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footer10.xml" ContentType="application/vnd.openxmlformats-officedocument.wordprocessingml.footer+xml"/>
  <Override PartName="/word/header11.xml" ContentType="application/vnd.openxmlformats-officedocument.wordprocessingml.head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footer13.xml" ContentType="application/vnd.openxmlformats-officedocument.wordprocessingml.footer+xml"/>
  <Override PartName="/word/header14.xml" ContentType="application/vnd.openxmlformats-officedocument.wordprocessingml.head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footer16.xml" ContentType="application/vnd.openxmlformats-officedocument.wordprocessingml.footer+xml"/>
  <Override PartName="/word/header17.xml" ContentType="application/vnd.openxmlformats-officedocument.wordprocessingml.head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footer19.xml" ContentType="application/vnd.openxmlformats-officedocument.wordprocessingml.footer+xml"/>
  <Override PartName="/word/header20.xml" ContentType="application/vnd.openxmlformats-officedocument.wordprocessingml.head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footer22.xml" ContentType="application/vnd.openxmlformats-officedocument.wordprocessingml.footer+xml"/>
  <Override PartName="/word/header23.xml" ContentType="application/vnd.openxmlformats-officedocument.wordprocessingml.head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header25.xml" ContentType="application/vnd.openxmlformats-officedocument.wordprocessingml.header+xml"/>
  <Override PartName="/word/footer25.xml" ContentType="application/vnd.openxmlformats-officedocument.wordprocessingml.footer+xml"/>
  <Override PartName="/word/header26.xml" ContentType="application/vnd.openxmlformats-officedocument.wordprocessingml.head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header27.xml" ContentType="application/vnd.openxmlformats-officedocument.wordprocessingml.header+xml"/>
  <Override PartName="/word/footer30.xml" ContentType="application/vnd.openxmlformats-officedocument.wordprocessingml.footer+xml"/>
  <Override PartName="/word/header28.xml" ContentType="application/vnd.openxmlformats-officedocument.wordprocessingml.header+xml"/>
  <Override PartName="/word/footer31.xml" ContentType="application/vnd.openxmlformats-officedocument.wordprocessingml.footer+xml"/>
  <Override PartName="/word/header29.xml" ContentType="application/vnd.openxmlformats-officedocument.wordprocessingml.header+xml"/>
  <Override PartName="/word/footer32.xml" ContentType="application/vnd.openxmlformats-officedocument.wordprocessingml.footer+xml"/>
  <Override PartName="/word/header30.xml" ContentType="application/vnd.openxmlformats-officedocument.wordprocessingml.header+xml"/>
  <Override PartName="/word/footer33.xml" ContentType="application/vnd.openxmlformats-officedocument.wordprocessingml.footer+xml"/>
  <Override PartName="/word/header31.xml" ContentType="application/vnd.openxmlformats-officedocument.wordprocessingml.header+xml"/>
  <Override PartName="/word/footer34.xml" ContentType="application/vnd.openxmlformats-officedocument.wordprocessingml.footer+xml"/>
  <Override PartName="/word/header32.xml" ContentType="application/vnd.openxmlformats-officedocument.wordprocessingml.header+xml"/>
  <Override PartName="/word/footer35.xml" ContentType="application/vnd.openxmlformats-officedocument.wordprocessingml.footer+xml"/>
  <Override PartName="/word/header33.xml" ContentType="application/vnd.openxmlformats-officedocument.wordprocessingml.header+xml"/>
  <Override PartName="/word/footer36.xml" ContentType="application/vnd.openxmlformats-officedocument.wordprocessingml.footer+xml"/>
  <Override PartName="/word/header34.xml" ContentType="application/vnd.openxmlformats-officedocument.wordprocessingml.header+xml"/>
  <Override PartName="/word/footer37.xml" ContentType="application/vnd.openxmlformats-officedocument.wordprocessingml.footer+xml"/>
  <Override PartName="/word/header35.xml" ContentType="application/vnd.openxmlformats-officedocument.wordprocessingml.header+xml"/>
  <Override PartName="/word/footer38.xml" ContentType="application/vnd.openxmlformats-officedocument.wordprocessingml.footer+xml"/>
  <Override PartName="/word/header36.xml" ContentType="application/vnd.openxmlformats-officedocument.wordprocessingml.header+xml"/>
  <Override PartName="/word/footer39.xml" ContentType="application/vnd.openxmlformats-officedocument.wordprocessingml.footer+xml"/>
  <Override PartName="/word/header37.xml" ContentType="application/vnd.openxmlformats-officedocument.wordprocessingml.header+xml"/>
  <Override PartName="/word/footer40.xml" ContentType="application/vnd.openxmlformats-officedocument.wordprocessingml.footer+xml"/>
  <Override PartName="/word/header38.xml" ContentType="application/vnd.openxmlformats-officedocument.wordprocessingml.header+xml"/>
  <Override PartName="/word/footer41.xml" ContentType="application/vnd.openxmlformats-officedocument.wordprocessingml.footer+xml"/>
  <Override PartName="/word/header39.xml" ContentType="application/vnd.openxmlformats-officedocument.wordprocessingml.header+xml"/>
  <Override PartName="/word/footer42.xml" ContentType="application/vnd.openxmlformats-officedocument.wordprocessingml.footer+xml"/>
  <Override PartName="/word/header40.xml" ContentType="application/vnd.openxmlformats-officedocument.wordprocessingml.header+xml"/>
  <Override PartName="/word/footer43.xml" ContentType="application/vnd.openxmlformats-officedocument.wordprocessingml.footer+xml"/>
  <Override PartName="/word/header41.xml" ContentType="application/vnd.openxmlformats-officedocument.wordprocessingml.header+xml"/>
  <Override PartName="/word/footer44.xml" ContentType="application/vnd.openxmlformats-officedocument.wordprocessingml.footer+xml"/>
  <Override PartName="/word/header42.xml" ContentType="application/vnd.openxmlformats-officedocument.wordprocessingml.header+xml"/>
  <Override PartName="/word/footer45.xml" ContentType="application/vnd.openxmlformats-officedocument.wordprocessingml.footer+xml"/>
  <Override PartName="/word/header43.xml" ContentType="application/vnd.openxmlformats-officedocument.wordprocessingml.header+xml"/>
  <Override PartName="/word/footer46.xml" ContentType="application/vnd.openxmlformats-officedocument.wordprocessingml.footer+xml"/>
  <Override PartName="/word/header44.xml" ContentType="application/vnd.openxmlformats-officedocument.wordprocessingml.header+xml"/>
  <Override PartName="/word/footer47.xml" ContentType="application/vnd.openxmlformats-officedocument.wordprocessingml.footer+xml"/>
  <Override PartName="/word/header45.xml" ContentType="application/vnd.openxmlformats-officedocument.wordprocessingml.header+xml"/>
  <Override PartName="/word/footer48.xml" ContentType="application/vnd.openxmlformats-officedocument.wordprocessingml.footer+xml"/>
  <Override PartName="/word/header46.xml" ContentType="application/vnd.openxmlformats-officedocument.wordprocessingml.header+xml"/>
  <Override PartName="/word/footer49.xml" ContentType="application/vnd.openxmlformats-officedocument.wordprocessingml.footer+xml"/>
  <Override PartName="/word/header47.xml" ContentType="application/vnd.openxmlformats-officedocument.wordprocessingml.header+xml"/>
  <Override PartName="/word/footer50.xml" ContentType="application/vnd.openxmlformats-officedocument.wordprocessingml.footer+xml"/>
  <Override PartName="/word/header48.xml" ContentType="application/vnd.openxmlformats-officedocument.wordprocessingml.header+xml"/>
  <Override PartName="/word/footer51.xml" ContentType="application/vnd.openxmlformats-officedocument.wordprocessingml.footer+xml"/>
  <Override PartName="/word/header49.xml" ContentType="application/vnd.openxmlformats-officedocument.wordprocessingml.header+xml"/>
  <Override PartName="/word/footer52.xml" ContentType="application/vnd.openxmlformats-officedocument.wordprocessingml.footer+xml"/>
  <Override PartName="/word/header50.xml" ContentType="application/vnd.openxmlformats-officedocument.wordprocessingml.header+xml"/>
  <Override PartName="/word/footer53.xml" ContentType="application/vnd.openxmlformats-officedocument.wordprocessingml.footer+xml"/>
  <Override PartName="/word/header51.xml" ContentType="application/vnd.openxmlformats-officedocument.wordprocessingml.header+xml"/>
  <Override PartName="/word/footer54.xml" ContentType="application/vnd.openxmlformats-officedocument.wordprocessingml.footer+xml"/>
  <Override PartName="/word/header52.xml" ContentType="application/vnd.openxmlformats-officedocument.wordprocessingml.header+xml"/>
  <Override PartName="/word/footer55.xml" ContentType="application/vnd.openxmlformats-officedocument.wordprocessingml.footer+xml"/>
  <Override PartName="/word/header53.xml" ContentType="application/vnd.openxmlformats-officedocument.wordprocessingml.header+xml"/>
  <Override PartName="/word/footer56.xml" ContentType="application/vnd.openxmlformats-officedocument.wordprocessingml.footer+xml"/>
  <Override PartName="/word/header54.xml" ContentType="application/vnd.openxmlformats-officedocument.wordprocessingml.header+xml"/>
  <Override PartName="/word/footer57.xml" ContentType="application/vnd.openxmlformats-officedocument.wordprocessingml.footer+xml"/>
  <Override PartName="/word/footer58.xml" ContentType="application/vnd.openxmlformats-officedocument.wordprocessingml.footer+xml"/>
  <Override PartName="/word/footer59.xml" ContentType="application/vnd.openxmlformats-officedocument.wordprocessingml.footer+xml"/>
  <Override PartName="/word/footer60.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13393A2" w14:textId="334FCF35" w:rsidR="006841BB" w:rsidRDefault="006841BB">
      <w:bookmarkStart w:id="1" w:name="_Hlk212189205"/>
      <w:bookmarkEnd w:id="1"/>
    </w:p>
    <w:tbl>
      <w:tblPr>
        <w:tblW w:w="9639" w:type="dxa"/>
        <w:jc w:val="center"/>
        <w:tblLayout w:type="fixed"/>
        <w:tblCellMar>
          <w:left w:w="0" w:type="dxa"/>
          <w:right w:w="0" w:type="dxa"/>
        </w:tblCellMar>
        <w:tblLook w:val="04A0" w:firstRow="1" w:lastRow="0" w:firstColumn="1" w:lastColumn="0" w:noHBand="0" w:noVBand="1"/>
      </w:tblPr>
      <w:tblGrid>
        <w:gridCol w:w="9639"/>
      </w:tblGrid>
      <w:tr w:rsidR="00145D77" w:rsidRPr="00145D77" w14:paraId="5AC16F8F" w14:textId="77777777" w:rsidTr="10944F5D">
        <w:trPr>
          <w:trHeight w:val="87"/>
          <w:jc w:val="center"/>
        </w:trPr>
        <w:tc>
          <w:tcPr>
            <w:tcW w:w="9639" w:type="dxa"/>
            <w:vAlign w:val="center"/>
          </w:tcPr>
          <w:p w14:paraId="675C4B4B" w14:textId="32ACD7F0" w:rsidR="00145D77" w:rsidRPr="00145D77" w:rsidRDefault="0072072F" w:rsidP="00712B57">
            <w:pPr>
              <w:spacing w:before="0" w:after="0" w:line="240" w:lineRule="auto"/>
              <w:jc w:val="right"/>
              <w:rPr>
                <w:rFonts w:eastAsia="Calibri"/>
                <w:b/>
                <w:caps/>
                <w:sz w:val="48"/>
                <w:szCs w:val="44"/>
                <w:lang w:eastAsia="fr-FR" w:bidi="ar-SA"/>
              </w:rPr>
            </w:pPr>
            <w:sdt>
              <w:sdtPr>
                <w:rPr>
                  <w:rFonts w:eastAsia="Calibri"/>
                  <w:b/>
                  <w:caps/>
                  <w:sz w:val="48"/>
                  <w:szCs w:val="44"/>
                  <w:lang w:eastAsia="fr-FR" w:bidi="ar-SA"/>
                </w:rPr>
                <w:alias w:val="Titre du document"/>
                <w:tag w:val=""/>
                <w:id w:val="-1965571087"/>
                <w:placeholder>
                  <w:docPart w:val="49295C19F65842929D480FE1CBC6A235"/>
                </w:placeholder>
                <w:dataBinding w:prefixMappings="xmlns:ns0='http://purl.org/dc/elements/1.1/' xmlns:ns1='http://schemas.openxmlformats.org/package/2006/metadata/core-properties' " w:xpath="/ns1:coreProperties[1]/ns0:subject[1]" w:storeItemID="{6C3C8BC8-F283-45AE-878A-BAB7291924A1}"/>
                <w:text w:multiLine="1"/>
              </w:sdtPr>
              <w:sdtEndPr/>
              <w:sdtContent>
                <w:r w:rsidR="00E52F02" w:rsidRPr="00E52F02">
                  <w:rPr>
                    <w:rFonts w:eastAsia="Calibri"/>
                    <w:b/>
                    <w:caps/>
                    <w:sz w:val="48"/>
                    <w:szCs w:val="44"/>
                    <w:lang w:eastAsia="fr-FR" w:bidi="ar-SA"/>
                  </w:rPr>
                  <w:t xml:space="preserve">Projet de Modernisation et d’Extension des Infrastructures Aéroportuaires de l’Aéroport </w:t>
                </w:r>
                <w:r w:rsidR="00233B08">
                  <w:rPr>
                    <w:rFonts w:eastAsia="Calibri"/>
                    <w:b/>
                    <w:caps/>
                    <w:sz w:val="48"/>
                    <w:szCs w:val="44"/>
                    <w:lang w:eastAsia="fr-FR" w:bidi="ar-SA"/>
                  </w:rPr>
                  <w:t>Marrakech Ménara</w:t>
                </w:r>
              </w:sdtContent>
            </w:sdt>
          </w:p>
        </w:tc>
      </w:tr>
      <w:tr w:rsidR="00145D77" w:rsidRPr="00145D77" w14:paraId="721E04F8" w14:textId="77777777" w:rsidTr="10944F5D">
        <w:trPr>
          <w:trHeight w:val="87"/>
          <w:jc w:val="center"/>
        </w:trPr>
        <w:tc>
          <w:tcPr>
            <w:tcW w:w="9639" w:type="dxa"/>
          </w:tcPr>
          <w:p w14:paraId="49E1AFB1" w14:textId="1D00C306" w:rsidR="00145D77" w:rsidRPr="00145D77" w:rsidRDefault="00145D77" w:rsidP="00145D77">
            <w:pPr>
              <w:spacing w:before="0" w:after="200" w:line="240" w:lineRule="auto"/>
              <w:jc w:val="right"/>
              <w:rPr>
                <w:rFonts w:eastAsia="Calibri"/>
                <w:sz w:val="20"/>
                <w:szCs w:val="20"/>
                <w:lang w:val="fr-MA" w:bidi="ar-SA"/>
              </w:rPr>
            </w:pPr>
            <w:r w:rsidRPr="00145D77">
              <w:rPr>
                <w:rFonts w:eastAsia="Calibri"/>
                <w:noProof/>
                <w:sz w:val="20"/>
                <w:szCs w:val="20"/>
                <w:lang w:eastAsia="fr-FR" w:bidi="ar-SA"/>
              </w:rPr>
              <mc:AlternateContent>
                <mc:Choice Requires="wps">
                  <w:drawing>
                    <wp:inline distT="0" distB="0" distL="0" distR="0" wp14:anchorId="01E8B1F4" wp14:editId="3829CAA2">
                      <wp:extent cx="6060440" cy="68580"/>
                      <wp:effectExtent l="0" t="0" r="16510" b="26670"/>
                      <wp:docPr id="2" name="Rectangle 2"/>
                      <wp:cNvGraphicFramePr/>
                      <a:graphic xmlns:a="http://schemas.openxmlformats.org/drawingml/2006/main">
                        <a:graphicData uri="http://schemas.microsoft.com/office/word/2010/wordprocessingShape">
                          <wps:wsp>
                            <wps:cNvSpPr/>
                            <wps:spPr>
                              <a:xfrm flipV="1">
                                <a:off x="0" y="0"/>
                                <a:ext cx="6060440" cy="68580"/>
                              </a:xfrm>
                              <a:prstGeom prst="rect">
                                <a:avLst/>
                              </a:prstGeom>
                              <a:solidFill>
                                <a:srgbClr val="0028A8"/>
                              </a:solidFill>
                              <a:ln w="12700" cap="flat" cmpd="sng" algn="ctr">
                                <a:solidFill>
                                  <a:srgbClr val="0028A8"/>
                                </a:solidFill>
                                <a:prstDash val="solid"/>
                                <a:miter lim="800000"/>
                              </a:ln>
                              <a:effectLst/>
                            </wps:spPr>
                            <wps:bodyPr rot="0" spcFirstLastPara="0" vertOverflow="overflow" horzOverflow="overflow" vert="horz" wrap="none" lIns="72000" tIns="72000" rIns="72000" bIns="72000" numCol="1" spcCol="0" rtlCol="0" fromWordArt="0" anchor="ctr" anchorCtr="0" forceAA="0" compatLnSpc="1">
                              <a:prstTxWarp prst="textNoShape">
                                <a:avLst/>
                              </a:prstTxWarp>
                              <a:noAutofit/>
                            </wps:bodyPr>
                          </wps:wsp>
                        </a:graphicData>
                      </a:graphic>
                    </wp:inline>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a="http://schemas.openxmlformats.org/drawingml/2006/main" xmlns:pic="http://schemas.openxmlformats.org/drawingml/2006/picture" xmlns:a14="http://schemas.microsoft.com/office/drawing/2010/main" xmlns:ask="http://schemas.microsoft.com/office/drawing/2018/sketchyshapes" xmlns:a16="http://schemas.microsoft.com/office/drawing/2014/main" xmlns:c="http://schemas.openxmlformats.org/drawingml/2006/chart">
                  <w:pict w14:anchorId="35A3707A">
                    <v:rect id="Rectangle 2" style="width:477.2pt;height:5.4pt;flip:y;visibility:visible;mso-wrap-style:none;mso-left-percent:-10001;mso-top-percent:-10001;mso-position-horizontal:absolute;mso-position-horizontal-relative:char;mso-position-vertical:absolute;mso-position-vertical-relative:line;mso-left-percent:-10001;mso-top-percent:-10001;v-text-anchor:middle" o:spid="_x0000_s1026" fillcolor="#0028a8" strokecolor="#0028a8" strokeweight="1pt" w14:anchorId="2F51A5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">
                      <v:textbox inset="2mm,2mm,2mm,2mm"/>
                      <w10:anchorlock/>
                    </v:rect>
                  </w:pict>
                </mc:Fallback>
              </mc:AlternateContent>
            </w:r>
          </w:p>
        </w:tc>
      </w:tr>
      <w:tr w:rsidR="00145D77" w:rsidRPr="00145D77" w14:paraId="2D2C7A1E" w14:textId="77777777" w:rsidTr="10944F5D">
        <w:trPr>
          <w:trHeight w:val="87"/>
          <w:jc w:val="center"/>
        </w:trPr>
        <w:tc>
          <w:tcPr>
            <w:tcW w:w="9639" w:type="dxa"/>
          </w:tcPr>
          <w:p w14:paraId="04B19EF9" w14:textId="5AE54B47" w:rsidR="00145D77" w:rsidRPr="00145D77" w:rsidRDefault="00145D77" w:rsidP="00145D77">
            <w:pPr>
              <w:spacing w:before="0" w:after="0" w:line="240" w:lineRule="auto"/>
              <w:jc w:val="right"/>
              <w:rPr>
                <w:rFonts w:eastAsia="Calibri"/>
                <w:b/>
                <w:caps/>
                <w:color w:val="4A66AC"/>
                <w:sz w:val="32"/>
                <w:szCs w:val="18"/>
                <w:lang w:eastAsia="fr-FR" w:bidi="ar-SA"/>
              </w:rPr>
            </w:pPr>
            <w:r w:rsidRPr="00145D77">
              <w:rPr>
                <w:rFonts w:eastAsia="Calibri"/>
                <w:b/>
                <w:caps/>
                <w:color w:val="0028A8"/>
                <w:sz w:val="32"/>
                <w:szCs w:val="18"/>
                <w:lang w:eastAsia="fr-FR" w:bidi="ar-SA"/>
              </w:rPr>
              <w:t>ETude d’impact Environnemental et social</w:t>
            </w:r>
          </w:p>
        </w:tc>
      </w:tr>
      <w:tr w:rsidR="00145D77" w:rsidRPr="00145D77" w14:paraId="372EB111" w14:textId="77777777" w:rsidTr="10944F5D">
        <w:trPr>
          <w:trHeight w:val="87"/>
          <w:jc w:val="center"/>
        </w:trPr>
        <w:tc>
          <w:tcPr>
            <w:tcW w:w="9639" w:type="dxa"/>
          </w:tcPr>
          <w:p w14:paraId="1E55AB90" w14:textId="58D025EA" w:rsidR="00145D77" w:rsidRPr="00145D77" w:rsidRDefault="00145D77" w:rsidP="00145D77">
            <w:pPr>
              <w:spacing w:before="0" w:after="0" w:line="240" w:lineRule="auto"/>
              <w:jc w:val="right"/>
              <w:rPr>
                <w:rFonts w:eastAsia="Calibri"/>
                <w:sz w:val="20"/>
                <w:szCs w:val="20"/>
                <w:lang w:eastAsia="fr-FR" w:bidi="ar-SA"/>
              </w:rPr>
            </w:pPr>
          </w:p>
          <w:p w14:paraId="57A384E9" w14:textId="7603D783" w:rsidR="00145D77" w:rsidRPr="00145D77" w:rsidRDefault="10944F5D" w:rsidP="10944F5D">
            <w:pPr>
              <w:spacing w:before="0" w:after="0" w:line="240" w:lineRule="auto"/>
              <w:jc w:val="right"/>
              <w:rPr>
                <w:rFonts w:eastAsia="Calibri"/>
                <w:b/>
                <w:bCs/>
                <w:i/>
                <w:iCs/>
                <w:caps/>
                <w:color w:val="629DD1"/>
                <w:sz w:val="36"/>
                <w:szCs w:val="36"/>
                <w:lang w:eastAsia="fr-FR" w:bidi="ar-SA"/>
              </w:rPr>
            </w:pPr>
            <w:r w:rsidRPr="10944F5D">
              <w:rPr>
                <w:rFonts w:eastAsia="Calibri"/>
                <w:b/>
                <w:bCs/>
                <w:i/>
                <w:iCs/>
                <w:sz w:val="20"/>
                <w:szCs w:val="20"/>
                <w:lang w:eastAsia="fr-FR" w:bidi="ar-SA"/>
              </w:rPr>
              <w:t xml:space="preserve">Version E </w:t>
            </w:r>
          </w:p>
        </w:tc>
      </w:tr>
    </w:tbl>
    <w:p w14:paraId="101266A5" w14:textId="77446127" w:rsidR="00712B57" w:rsidRDefault="007632BA" w:rsidP="00391B81">
      <w:pPr>
        <w:pStyle w:val="NormalWeb"/>
        <w:ind w:left="-1417"/>
        <w:jc w:val="right"/>
        <w:rPr>
          <w:rFonts w:eastAsia="Calibri"/>
          <w:b/>
          <w:caps/>
          <w:noProof/>
          <w:color w:val="0028A8"/>
          <w:sz w:val="36"/>
          <w:szCs w:val="20"/>
          <w:lang w:eastAsia="fr-FR"/>
        </w:rPr>
      </w:pPr>
      <w:r>
        <w:rPr>
          <w:noProof/>
          <w:lang w:val="fr-FR" w:eastAsia="fr-FR"/>
        </w:rPr>
        <w:drawing>
          <wp:inline distT="0" distB="0" distL="0" distR="0" wp14:anchorId="23BBE62C" wp14:editId="3E99C509">
            <wp:extent cx="7541537" cy="4641968"/>
            <wp:effectExtent l="0" t="0" r="2540" b="6350"/>
            <wp:docPr id="626816417" name="Image 6" descr="Classement Skytrax : L'aéroport Marrakech-Ménara dans le Top 5 africai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lassement Skytrax : L'aéroport Marrakech-Ménara dans le Top 5 africain ..."/>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7562929" cy="4655135"/>
                    </a:xfrm>
                    <a:prstGeom prst="rect">
                      <a:avLst/>
                    </a:prstGeom>
                    <a:noFill/>
                    <a:ln>
                      <a:noFill/>
                    </a:ln>
                  </pic:spPr>
                </pic:pic>
              </a:graphicData>
            </a:graphic>
          </wp:inline>
        </w:drawing>
      </w:r>
    </w:p>
    <w:p w14:paraId="36DA258D" w14:textId="5C08109B" w:rsidR="00E45A2B" w:rsidRPr="00E45A2B" w:rsidRDefault="004E045A" w:rsidP="00D143E1">
      <w:pPr>
        <w:pStyle w:val="NormalWeb"/>
        <w:jc w:val="center"/>
        <w:rPr>
          <w:rFonts w:ascii="Calibri" w:eastAsia="Calibri" w:hAnsi="Calibri" w:cs="Arial"/>
          <w:b/>
          <w:caps/>
          <w:color w:val="0028A8"/>
          <w:sz w:val="32"/>
          <w:szCs w:val="18"/>
          <w:lang w:val="fr-FR" w:eastAsia="fr-FR"/>
        </w:rPr>
      </w:pPr>
      <w:r>
        <w:rPr>
          <w:rFonts w:ascii="Calibri" w:eastAsia="Calibri" w:hAnsi="Calibri" w:cs="Arial"/>
          <w:b/>
          <w:caps/>
          <w:color w:val="0028A8"/>
          <w:sz w:val="32"/>
          <w:szCs w:val="18"/>
          <w:lang w:val="fr-FR" w:eastAsia="fr-FR"/>
        </w:rPr>
        <w:t>OCTOBRE</w:t>
      </w:r>
      <w:r w:rsidR="00E45A2B" w:rsidRPr="00E45A2B">
        <w:rPr>
          <w:rFonts w:ascii="Calibri" w:eastAsia="Calibri" w:hAnsi="Calibri" w:cs="Arial"/>
          <w:b/>
          <w:caps/>
          <w:color w:val="0028A8"/>
          <w:sz w:val="32"/>
          <w:szCs w:val="18"/>
          <w:lang w:val="fr-FR" w:eastAsia="fr-FR"/>
        </w:rPr>
        <w:t xml:space="preserve"> 2025</w:t>
      </w:r>
    </w:p>
    <w:p w14:paraId="5B1AD058" w14:textId="13154D3F" w:rsidR="00827584" w:rsidRPr="00694C40" w:rsidRDefault="00712B57" w:rsidP="00D143E1">
      <w:pPr>
        <w:pStyle w:val="NormalWeb"/>
        <w:jc w:val="center"/>
        <w:rPr>
          <w:lang w:val="en-US" w:eastAsia="en-US"/>
        </w:rPr>
      </w:pPr>
      <w:r w:rsidRPr="00145D77">
        <w:rPr>
          <w:rFonts w:eastAsia="Calibri"/>
          <w:b/>
          <w:caps/>
          <w:noProof/>
          <w:color w:val="0028A8"/>
          <w:sz w:val="36"/>
          <w:szCs w:val="20"/>
          <w:lang w:val="fr-FR" w:eastAsia="fr-FR"/>
        </w:rPr>
        <w:drawing>
          <wp:inline distT="0" distB="0" distL="0" distR="0" wp14:anchorId="23D3F011" wp14:editId="334136B0">
            <wp:extent cx="1528445" cy="489585"/>
            <wp:effectExtent l="0" t="0" r="0" b="5715"/>
            <wp:docPr id="558541910" name="Image 8" descr="LogoNove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Novec.jpg"/>
                    <pic:cNvPicPr/>
                  </pic:nvPicPr>
                  <pic:blipFill>
                    <a:blip r:embed="rId12">
                      <a:extLst>
                        <a:ext uri="{28A0092B-C50C-407E-A947-70E740481C1C}">
                          <a14:useLocalDpi xmlns:a14="http://schemas.microsoft.com/office/drawing/2010/main" val="0"/>
                        </a:ext>
                      </a:extLst>
                    </a:blip>
                    <a:stretch>
                      <a:fillRect/>
                    </a:stretch>
                  </pic:blipFill>
                  <pic:spPr>
                    <a:xfrm>
                      <a:off x="0" y="0"/>
                      <a:ext cx="1528445" cy="489585"/>
                    </a:xfrm>
                    <a:prstGeom prst="rect">
                      <a:avLst/>
                    </a:prstGeom>
                  </pic:spPr>
                </pic:pic>
              </a:graphicData>
            </a:graphic>
          </wp:inline>
        </w:drawing>
      </w:r>
    </w:p>
    <w:p w14:paraId="267626B2" w14:textId="77777777" w:rsidR="00232AD0" w:rsidRDefault="00232AD0" w:rsidP="00D143E1">
      <w:pPr>
        <w:pStyle w:val="Sous-titre"/>
        <w:spacing w:before="0" w:after="0" w:line="360" w:lineRule="auto"/>
        <w:rPr>
          <w:noProof/>
        </w:rPr>
      </w:pPr>
    </w:p>
    <w:p w14:paraId="2D009E04" w14:textId="1FAC3B8A" w:rsidR="00712B57" w:rsidRPr="00712B57" w:rsidRDefault="00712B57" w:rsidP="00D143E1">
      <w:pPr>
        <w:jc w:val="center"/>
        <w:sectPr w:rsidR="00712B57" w:rsidRPr="00712B57" w:rsidSect="006F4090">
          <w:headerReference w:type="default" r:id="rId13"/>
          <w:footerReference w:type="default" r:id="rId14"/>
          <w:pgSz w:w="11906" w:h="16838"/>
          <w:pgMar w:top="1417" w:right="1417" w:bottom="1417" w:left="1417" w:header="510" w:footer="1247" w:gutter="0"/>
          <w:cols w:space="708"/>
          <w:docGrid w:linePitch="360"/>
        </w:sectPr>
      </w:pPr>
    </w:p>
    <w:tbl>
      <w:tblPr>
        <w:tblW w:w="9015" w:type="dxa"/>
        <w:tblInd w:w="56" w:type="dxa"/>
        <w:tblLayout w:type="fixed"/>
        <w:tblCellMar>
          <w:left w:w="0" w:type="dxa"/>
          <w:right w:w="0" w:type="dxa"/>
        </w:tblCellMar>
        <w:tblLook w:val="04A0" w:firstRow="1" w:lastRow="0" w:firstColumn="1" w:lastColumn="0" w:noHBand="0" w:noVBand="1"/>
      </w:tblPr>
      <w:tblGrid>
        <w:gridCol w:w="1989"/>
        <w:gridCol w:w="7026"/>
      </w:tblGrid>
      <w:tr w:rsidR="00132352" w:rsidRPr="005A0ADF" w14:paraId="00E8E0B4" w14:textId="77777777" w:rsidTr="000A3EA4">
        <w:trPr>
          <w:trHeight w:val="594"/>
        </w:trPr>
        <w:tc>
          <w:tcPr>
            <w:tcW w:w="9015" w:type="dxa"/>
            <w:gridSpan w:val="2"/>
          </w:tcPr>
          <w:p w14:paraId="52E39C1D" w14:textId="77777777" w:rsidR="00132352" w:rsidRPr="005A0ADF" w:rsidRDefault="00132352" w:rsidP="00132352">
            <w:pPr>
              <w:spacing w:before="0" w:after="200" w:line="240" w:lineRule="auto"/>
              <w:ind w:left="-2"/>
              <w:rPr>
                <w:rFonts w:eastAsia="Calibri"/>
                <w:color w:val="00617E"/>
                <w:sz w:val="20"/>
                <w:szCs w:val="20"/>
                <w:lang w:val="fr-MA" w:bidi="ar-SA"/>
              </w:rPr>
            </w:pPr>
            <w:bookmarkStart w:id="2" w:name="_Toc181618960"/>
            <w:r w:rsidRPr="005A0ADF">
              <w:rPr>
                <w:rFonts w:eastAsia="Calibri"/>
                <w:b/>
                <w:sz w:val="20"/>
                <w:szCs w:val="20"/>
                <w:lang w:val="fr-MA" w:bidi="ar-SA"/>
              </w:rPr>
              <w:lastRenderedPageBreak/>
              <w:t>Document information</w:t>
            </w:r>
          </w:p>
        </w:tc>
      </w:tr>
      <w:tr w:rsidR="00132352" w:rsidRPr="005A0ADF" w14:paraId="20715129" w14:textId="77777777" w:rsidTr="000A3EA4">
        <w:trPr>
          <w:trHeight w:val="419"/>
        </w:trPr>
        <w:tc>
          <w:tcPr>
            <w:tcW w:w="9015" w:type="dxa"/>
            <w:gridSpan w:val="2"/>
          </w:tcPr>
          <w:p w14:paraId="01010D8B" w14:textId="77777777" w:rsidR="00132352" w:rsidRPr="005A0ADF" w:rsidRDefault="00132352" w:rsidP="00132352">
            <w:pPr>
              <w:spacing w:before="0" w:after="200" w:line="240" w:lineRule="auto"/>
              <w:ind w:left="-2"/>
              <w:rPr>
                <w:rFonts w:eastAsia="Calibri"/>
                <w:b/>
                <w:bCs/>
                <w:color w:val="0028A8"/>
                <w:sz w:val="20"/>
                <w:szCs w:val="20"/>
                <w:lang w:val="fr-MA" w:bidi="ar-SA"/>
              </w:rPr>
            </w:pPr>
            <w:r w:rsidRPr="005A0ADF">
              <w:rPr>
                <w:rFonts w:eastAsia="Calibri"/>
                <w:b/>
                <w:bCs/>
                <w:color w:val="0028A8"/>
                <w:sz w:val="20"/>
                <w:szCs w:val="20"/>
                <w:lang w:val="fr-MA" w:bidi="ar-SA"/>
              </w:rPr>
              <w:t>General information</w:t>
            </w:r>
          </w:p>
        </w:tc>
      </w:tr>
      <w:tr w:rsidR="00132352" w:rsidRPr="005A0ADF" w14:paraId="3513EB71" w14:textId="77777777" w:rsidTr="000A3EA4">
        <w:tc>
          <w:tcPr>
            <w:tcW w:w="1989" w:type="dxa"/>
          </w:tcPr>
          <w:p w14:paraId="364351B2" w14:textId="77777777" w:rsidR="00132352" w:rsidRPr="005A0ADF" w:rsidRDefault="00132352" w:rsidP="00132352">
            <w:pPr>
              <w:spacing w:before="0" w:after="200" w:line="240" w:lineRule="auto"/>
              <w:rPr>
                <w:rFonts w:eastAsia="Calibri"/>
                <w:b/>
                <w:color w:val="0E57C4"/>
                <w:sz w:val="20"/>
                <w:szCs w:val="20"/>
                <w:lang w:val="fr-MA" w:bidi="ar-SA"/>
              </w:rPr>
            </w:pPr>
            <w:r w:rsidRPr="005A0ADF">
              <w:rPr>
                <w:rFonts w:eastAsia="Calibri"/>
                <w:b/>
                <w:color w:val="0028A8"/>
                <w:sz w:val="20"/>
                <w:szCs w:val="20"/>
                <w:lang w:val="fr-MA" w:bidi="ar-SA"/>
              </w:rPr>
              <w:t xml:space="preserve">Auteurs </w:t>
            </w:r>
          </w:p>
        </w:tc>
        <w:tc>
          <w:tcPr>
            <w:tcW w:w="7026" w:type="dxa"/>
            <w:tcMar>
              <w:left w:w="113" w:type="dxa"/>
            </w:tcMar>
            <w:vAlign w:val="center"/>
          </w:tcPr>
          <w:p w14:paraId="4FA1E2E8" w14:textId="77777777" w:rsidR="00132352" w:rsidRPr="005A0ADF" w:rsidRDefault="00132352" w:rsidP="00132352">
            <w:pPr>
              <w:spacing w:before="0" w:after="0" w:line="240" w:lineRule="auto"/>
              <w:rPr>
                <w:rFonts w:eastAsia="Calibri"/>
                <w:color w:val="828282"/>
                <w:sz w:val="20"/>
                <w:szCs w:val="20"/>
                <w:lang w:val="fr-MA" w:bidi="ar-SA"/>
              </w:rPr>
            </w:pPr>
            <w:r w:rsidRPr="005A0ADF">
              <w:rPr>
                <w:rFonts w:eastAsia="Calibri"/>
                <w:color w:val="828282"/>
                <w:sz w:val="20"/>
                <w:szCs w:val="20"/>
                <w:lang w:val="fr-MA" w:bidi="ar-SA"/>
              </w:rPr>
              <w:t>Anas BENNANI, Directeur Projet</w:t>
            </w:r>
          </w:p>
          <w:p w14:paraId="108ABA26" w14:textId="7B64D712" w:rsidR="00132352" w:rsidRPr="005A0ADF" w:rsidRDefault="00DA3D9A" w:rsidP="00132352">
            <w:pPr>
              <w:spacing w:before="0" w:after="0" w:line="240" w:lineRule="auto"/>
              <w:rPr>
                <w:rFonts w:eastAsia="Calibri"/>
                <w:color w:val="828282"/>
                <w:sz w:val="20"/>
                <w:szCs w:val="20"/>
                <w:lang w:val="fr-MA" w:bidi="ar-SA"/>
              </w:rPr>
            </w:pPr>
            <w:r>
              <w:rPr>
                <w:rFonts w:eastAsia="Calibri"/>
                <w:color w:val="828282"/>
                <w:sz w:val="20"/>
                <w:szCs w:val="20"/>
                <w:lang w:val="fr-MA" w:bidi="ar-SA"/>
              </w:rPr>
              <w:t>Equipe projet</w:t>
            </w:r>
          </w:p>
        </w:tc>
      </w:tr>
      <w:tr w:rsidR="00132352" w:rsidRPr="005A0ADF" w14:paraId="3635F476" w14:textId="77777777" w:rsidTr="000A3EA4">
        <w:tc>
          <w:tcPr>
            <w:tcW w:w="1989" w:type="dxa"/>
          </w:tcPr>
          <w:p w14:paraId="583C2B43" w14:textId="77777777" w:rsidR="00132352" w:rsidRPr="005A0ADF" w:rsidRDefault="00132352" w:rsidP="00132352">
            <w:pPr>
              <w:spacing w:before="0" w:after="200" w:line="240" w:lineRule="auto"/>
              <w:rPr>
                <w:rFonts w:eastAsia="Calibri"/>
                <w:b/>
                <w:color w:val="0E57C4"/>
                <w:sz w:val="20"/>
                <w:szCs w:val="20"/>
                <w:lang w:val="fr-MA" w:bidi="ar-SA"/>
              </w:rPr>
            </w:pPr>
          </w:p>
        </w:tc>
        <w:tc>
          <w:tcPr>
            <w:tcW w:w="7026" w:type="dxa"/>
            <w:tcMar>
              <w:left w:w="113" w:type="dxa"/>
            </w:tcMar>
            <w:vAlign w:val="center"/>
          </w:tcPr>
          <w:p w14:paraId="754A15DF" w14:textId="77777777" w:rsidR="00132352" w:rsidRPr="005A0ADF" w:rsidRDefault="00132352" w:rsidP="00132352">
            <w:pPr>
              <w:spacing w:before="0" w:after="200" w:line="240" w:lineRule="auto"/>
              <w:rPr>
                <w:rFonts w:eastAsia="Calibri"/>
                <w:color w:val="828282"/>
                <w:sz w:val="20"/>
                <w:szCs w:val="20"/>
                <w:lang w:bidi="ar-SA"/>
              </w:rPr>
            </w:pPr>
          </w:p>
        </w:tc>
      </w:tr>
      <w:tr w:rsidR="00132352" w:rsidRPr="005A0ADF" w14:paraId="0B28F42F" w14:textId="77777777" w:rsidTr="000A3EA4">
        <w:tc>
          <w:tcPr>
            <w:tcW w:w="1989" w:type="dxa"/>
          </w:tcPr>
          <w:p w14:paraId="4EF034CC" w14:textId="77777777" w:rsidR="00132352" w:rsidRPr="005A0ADF" w:rsidRDefault="00132352" w:rsidP="00132352">
            <w:pPr>
              <w:spacing w:before="0" w:after="200" w:line="240" w:lineRule="auto"/>
              <w:rPr>
                <w:rFonts w:eastAsia="Calibri"/>
                <w:b/>
                <w:color w:val="0028A8"/>
                <w:sz w:val="20"/>
                <w:szCs w:val="20"/>
                <w:lang w:val="fr-MA" w:bidi="ar-SA"/>
              </w:rPr>
            </w:pPr>
            <w:r w:rsidRPr="005A0ADF">
              <w:rPr>
                <w:rFonts w:eastAsia="Calibri"/>
                <w:b/>
                <w:color w:val="0028A8"/>
                <w:sz w:val="20"/>
                <w:szCs w:val="20"/>
                <w:lang w:val="fr-MA" w:bidi="ar-SA"/>
              </w:rPr>
              <w:t>Version</w:t>
            </w:r>
          </w:p>
        </w:tc>
        <w:tc>
          <w:tcPr>
            <w:tcW w:w="7026" w:type="dxa"/>
            <w:tcMar>
              <w:left w:w="113" w:type="dxa"/>
            </w:tcMar>
            <w:vAlign w:val="center"/>
          </w:tcPr>
          <w:p w14:paraId="70265F75" w14:textId="083B1616" w:rsidR="00132352" w:rsidRPr="005A0ADF" w:rsidRDefault="00132352" w:rsidP="00132352">
            <w:pPr>
              <w:spacing w:before="0" w:after="200" w:line="240" w:lineRule="auto"/>
              <w:rPr>
                <w:rFonts w:eastAsia="Calibri"/>
                <w:color w:val="828282"/>
                <w:sz w:val="20"/>
                <w:szCs w:val="20"/>
                <w:lang w:val="fr-MA" w:bidi="ar-SA"/>
              </w:rPr>
            </w:pPr>
            <w:r w:rsidRPr="005A0ADF">
              <w:rPr>
                <w:rFonts w:eastAsia="Calibri"/>
                <w:color w:val="828282"/>
                <w:sz w:val="20"/>
                <w:szCs w:val="20"/>
                <w:lang w:val="fr-MA" w:bidi="ar-SA"/>
              </w:rPr>
              <w:t xml:space="preserve">Version </w:t>
            </w:r>
            <w:r w:rsidR="00943EF7">
              <w:rPr>
                <w:rFonts w:eastAsia="Calibri"/>
                <w:color w:val="828282"/>
                <w:sz w:val="20"/>
                <w:szCs w:val="20"/>
                <w:lang w:val="fr-MA" w:bidi="ar-SA"/>
              </w:rPr>
              <w:t>E</w:t>
            </w:r>
          </w:p>
        </w:tc>
      </w:tr>
      <w:tr w:rsidR="00132352" w:rsidRPr="005A0ADF" w14:paraId="23FAE85C" w14:textId="77777777" w:rsidTr="000A3EA4">
        <w:tc>
          <w:tcPr>
            <w:tcW w:w="1989" w:type="dxa"/>
          </w:tcPr>
          <w:p w14:paraId="3D2C591C" w14:textId="77777777" w:rsidR="00132352" w:rsidRPr="005A0ADF" w:rsidRDefault="00132352" w:rsidP="00132352">
            <w:pPr>
              <w:spacing w:before="0" w:after="200" w:line="240" w:lineRule="auto"/>
              <w:rPr>
                <w:rFonts w:eastAsia="Calibri"/>
                <w:b/>
                <w:color w:val="0028A8"/>
                <w:sz w:val="20"/>
                <w:szCs w:val="20"/>
                <w:lang w:val="fr-MA" w:bidi="ar-SA"/>
              </w:rPr>
            </w:pPr>
            <w:r w:rsidRPr="005A0ADF">
              <w:rPr>
                <w:rFonts w:eastAsia="Calibri"/>
                <w:b/>
                <w:color w:val="0028A8"/>
                <w:sz w:val="20"/>
                <w:szCs w:val="20"/>
                <w:lang w:val="fr-MA" w:bidi="ar-SA"/>
              </w:rPr>
              <w:t xml:space="preserve">Titre du document </w:t>
            </w:r>
          </w:p>
        </w:tc>
        <w:tc>
          <w:tcPr>
            <w:tcW w:w="7026" w:type="dxa"/>
            <w:tcMar>
              <w:left w:w="113" w:type="dxa"/>
            </w:tcMar>
            <w:vAlign w:val="center"/>
          </w:tcPr>
          <w:p w14:paraId="69635D30" w14:textId="77777777" w:rsidR="00132352" w:rsidRPr="005A0ADF" w:rsidRDefault="00132352" w:rsidP="00132352">
            <w:pPr>
              <w:spacing w:before="0" w:after="200" w:line="240" w:lineRule="auto"/>
              <w:rPr>
                <w:rFonts w:eastAsia="Calibri"/>
                <w:color w:val="828282"/>
                <w:sz w:val="20"/>
                <w:szCs w:val="20"/>
                <w:lang w:val="fr-MA" w:bidi="ar-SA"/>
              </w:rPr>
            </w:pPr>
            <w:r w:rsidRPr="005A0ADF">
              <w:rPr>
                <w:rFonts w:eastAsia="Calibri"/>
                <w:color w:val="828282"/>
                <w:sz w:val="20"/>
                <w:szCs w:val="20"/>
                <w:lang w:val="fr-MA" w:bidi="ar-SA"/>
              </w:rPr>
              <w:t>Rapport d’Etude d’Impact Environnemental et Social</w:t>
            </w:r>
          </w:p>
        </w:tc>
      </w:tr>
      <w:tr w:rsidR="00132352" w:rsidRPr="005A0ADF" w14:paraId="3E53CF67" w14:textId="77777777" w:rsidTr="000A3EA4">
        <w:trPr>
          <w:trHeight w:val="154"/>
        </w:trPr>
        <w:tc>
          <w:tcPr>
            <w:tcW w:w="1989" w:type="dxa"/>
          </w:tcPr>
          <w:p w14:paraId="6BB0D6CE" w14:textId="77777777" w:rsidR="00132352" w:rsidRPr="005A0ADF" w:rsidRDefault="00132352" w:rsidP="00132352">
            <w:pPr>
              <w:spacing w:before="0" w:after="200" w:line="240" w:lineRule="auto"/>
              <w:rPr>
                <w:rFonts w:eastAsia="Calibri"/>
                <w:b/>
                <w:color w:val="0028A8"/>
                <w:sz w:val="20"/>
                <w:szCs w:val="20"/>
                <w:lang w:val="fr-MA" w:bidi="ar-SA"/>
              </w:rPr>
            </w:pPr>
            <w:r w:rsidRPr="005A0ADF">
              <w:rPr>
                <w:rFonts w:eastAsia="Calibri"/>
                <w:b/>
                <w:color w:val="0028A8"/>
                <w:sz w:val="20"/>
                <w:szCs w:val="20"/>
                <w:lang w:val="fr-MA" w:bidi="ar-SA"/>
              </w:rPr>
              <w:t>Référence</w:t>
            </w:r>
          </w:p>
        </w:tc>
        <w:tc>
          <w:tcPr>
            <w:tcW w:w="7026" w:type="dxa"/>
            <w:tcMar>
              <w:left w:w="113" w:type="dxa"/>
            </w:tcMar>
            <w:vAlign w:val="center"/>
          </w:tcPr>
          <w:p w14:paraId="7A2D7E50" w14:textId="77777777" w:rsidR="00132352" w:rsidRPr="005A0ADF" w:rsidRDefault="00132352" w:rsidP="00132352">
            <w:pPr>
              <w:spacing w:before="0" w:after="200" w:line="240" w:lineRule="auto"/>
              <w:rPr>
                <w:rFonts w:eastAsia="Calibri"/>
                <w:color w:val="828282"/>
                <w:sz w:val="20"/>
                <w:szCs w:val="20"/>
                <w:lang w:val="en-US" w:bidi="ar-SA"/>
              </w:rPr>
            </w:pPr>
          </w:p>
        </w:tc>
      </w:tr>
      <w:tr w:rsidR="00132352" w:rsidRPr="005A0ADF" w14:paraId="23FA56AB" w14:textId="77777777" w:rsidTr="000A3EA4">
        <w:trPr>
          <w:trHeight w:val="250"/>
        </w:trPr>
        <w:tc>
          <w:tcPr>
            <w:tcW w:w="1989" w:type="dxa"/>
          </w:tcPr>
          <w:p w14:paraId="30488480" w14:textId="77777777" w:rsidR="00132352" w:rsidRPr="005A0ADF" w:rsidRDefault="00132352" w:rsidP="00132352">
            <w:pPr>
              <w:spacing w:before="0" w:after="200" w:line="240" w:lineRule="auto"/>
              <w:rPr>
                <w:rFonts w:eastAsia="Calibri"/>
                <w:b/>
                <w:color w:val="0028A8"/>
                <w:sz w:val="20"/>
                <w:szCs w:val="20"/>
                <w:lang w:val="fr-MA" w:bidi="ar-SA"/>
              </w:rPr>
            </w:pPr>
            <w:r w:rsidRPr="005A0ADF">
              <w:rPr>
                <w:rFonts w:eastAsia="Calibri"/>
                <w:b/>
                <w:color w:val="0028A8"/>
                <w:sz w:val="20"/>
                <w:szCs w:val="20"/>
                <w:lang w:val="fr-MA" w:bidi="ar-SA"/>
              </w:rPr>
              <w:t>CRM/DEAL</w:t>
            </w:r>
          </w:p>
        </w:tc>
        <w:tc>
          <w:tcPr>
            <w:tcW w:w="7026" w:type="dxa"/>
            <w:tcMar>
              <w:left w:w="113" w:type="dxa"/>
            </w:tcMar>
            <w:vAlign w:val="center"/>
          </w:tcPr>
          <w:p w14:paraId="690FF36C" w14:textId="77777777" w:rsidR="00132352" w:rsidRPr="005A0ADF" w:rsidRDefault="00132352" w:rsidP="00132352">
            <w:pPr>
              <w:spacing w:before="0" w:after="200" w:line="240" w:lineRule="auto"/>
              <w:rPr>
                <w:rFonts w:eastAsia="Calibri"/>
                <w:color w:val="828282"/>
                <w:sz w:val="20"/>
                <w:szCs w:val="20"/>
                <w:lang w:val="fr-MA" w:bidi="ar-SA"/>
              </w:rPr>
            </w:pPr>
          </w:p>
        </w:tc>
      </w:tr>
      <w:tr w:rsidR="00132352" w:rsidRPr="005A0ADF" w14:paraId="1E8435D1" w14:textId="77777777" w:rsidTr="000A3EA4">
        <w:tblPrEx>
          <w:tblCellMar>
            <w:left w:w="108" w:type="dxa"/>
            <w:right w:w="108" w:type="dxa"/>
          </w:tblCellMar>
        </w:tblPrEx>
        <w:tc>
          <w:tcPr>
            <w:tcW w:w="1989" w:type="dxa"/>
          </w:tcPr>
          <w:p w14:paraId="55DBAF31" w14:textId="77777777" w:rsidR="00132352" w:rsidRPr="005A0ADF" w:rsidRDefault="00132352" w:rsidP="00132352">
            <w:pPr>
              <w:spacing w:before="0" w:after="200" w:line="240" w:lineRule="auto"/>
              <w:rPr>
                <w:rFonts w:eastAsia="Calibri"/>
                <w:b/>
                <w:color w:val="0E57C4"/>
                <w:sz w:val="20"/>
                <w:szCs w:val="20"/>
                <w:lang w:val="fr-MA" w:bidi="ar-SA"/>
              </w:rPr>
            </w:pPr>
          </w:p>
        </w:tc>
        <w:tc>
          <w:tcPr>
            <w:tcW w:w="7026" w:type="dxa"/>
            <w:tcMar>
              <w:left w:w="113" w:type="dxa"/>
            </w:tcMar>
          </w:tcPr>
          <w:p w14:paraId="67DCD92B" w14:textId="77777777" w:rsidR="00132352" w:rsidRPr="005A0ADF" w:rsidRDefault="00132352" w:rsidP="00132352">
            <w:pPr>
              <w:spacing w:before="0" w:after="200" w:line="240" w:lineRule="auto"/>
              <w:rPr>
                <w:rFonts w:eastAsia="Calibri"/>
                <w:b/>
                <w:bCs/>
                <w:color w:val="0028A8"/>
                <w:sz w:val="20"/>
                <w:szCs w:val="20"/>
                <w:lang w:val="fr-MA" w:bidi="ar-SA"/>
              </w:rPr>
            </w:pPr>
            <w:r w:rsidRPr="005A0ADF">
              <w:rPr>
                <w:rFonts w:eastAsia="Calibri"/>
                <w:color w:val="0028A8"/>
                <w:sz w:val="20"/>
                <w:szCs w:val="20"/>
                <w:lang w:val="fr-MA" w:bidi="ar-SA"/>
              </w:rPr>
              <w:t xml:space="preserve">                          </w:t>
            </w:r>
            <w:r w:rsidRPr="005A0ADF">
              <w:rPr>
                <w:rFonts w:eastAsia="Calibri"/>
                <w:b/>
                <w:bCs/>
                <w:color w:val="0028A8"/>
                <w:sz w:val="20"/>
                <w:szCs w:val="20"/>
                <w:lang w:val="fr-MA" w:bidi="ar-SA"/>
              </w:rPr>
              <w:t>Historique des modifications</w:t>
            </w:r>
          </w:p>
        </w:tc>
      </w:tr>
    </w:tbl>
    <w:tbl>
      <w:tblPr>
        <w:tblStyle w:val="TableauInexia7"/>
        <w:tblW w:w="9011" w:type="dxa"/>
        <w:tblInd w:w="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937"/>
        <w:gridCol w:w="1559"/>
        <w:gridCol w:w="1559"/>
        <w:gridCol w:w="1843"/>
        <w:gridCol w:w="1510"/>
        <w:gridCol w:w="1603"/>
      </w:tblGrid>
      <w:tr w:rsidR="00132352" w:rsidRPr="005A0ADF" w14:paraId="5241A40A" w14:textId="77777777" w:rsidTr="00E45A2B">
        <w:trPr>
          <w:trHeight w:val="378"/>
        </w:trPr>
        <w:tc>
          <w:tcPr>
            <w:tcW w:w="937" w:type="dxa"/>
            <w:tcBorders>
              <w:bottom w:val="single" w:sz="6" w:space="0" w:color="999999"/>
            </w:tcBorders>
          </w:tcPr>
          <w:p w14:paraId="51115BAE" w14:textId="77777777" w:rsidR="00132352" w:rsidRPr="005A0ADF" w:rsidRDefault="00132352" w:rsidP="00132352">
            <w:pPr>
              <w:spacing w:before="0" w:after="200" w:line="240" w:lineRule="auto"/>
              <w:rPr>
                <w:rFonts w:eastAsia="Calibri"/>
                <w:b/>
                <w:color w:val="0028A8"/>
                <w:sz w:val="18"/>
                <w:szCs w:val="18"/>
                <w:lang w:val="fr-MA" w:bidi="ar-SA"/>
              </w:rPr>
            </w:pPr>
            <w:r w:rsidRPr="005A0ADF">
              <w:rPr>
                <w:rFonts w:eastAsia="Calibri"/>
                <w:b/>
                <w:color w:val="0028A8"/>
                <w:sz w:val="18"/>
                <w:szCs w:val="18"/>
                <w:lang w:val="fr-MA" w:bidi="ar-SA"/>
              </w:rPr>
              <w:t>Version</w:t>
            </w:r>
          </w:p>
        </w:tc>
        <w:tc>
          <w:tcPr>
            <w:tcW w:w="1559" w:type="dxa"/>
            <w:tcBorders>
              <w:bottom w:val="single" w:sz="6" w:space="0" w:color="999999"/>
            </w:tcBorders>
            <w:tcMar>
              <w:left w:w="113" w:type="dxa"/>
            </w:tcMar>
          </w:tcPr>
          <w:p w14:paraId="21F70A5D" w14:textId="77777777" w:rsidR="00132352" w:rsidRPr="005A0ADF" w:rsidRDefault="00132352" w:rsidP="00132352">
            <w:pPr>
              <w:spacing w:before="0" w:after="200" w:line="240" w:lineRule="auto"/>
              <w:rPr>
                <w:rFonts w:eastAsia="Calibri"/>
                <w:b/>
                <w:color w:val="0028A8"/>
                <w:sz w:val="18"/>
                <w:szCs w:val="18"/>
                <w:lang w:val="fr-MA" w:bidi="ar-SA"/>
              </w:rPr>
            </w:pPr>
            <w:r w:rsidRPr="005A0ADF">
              <w:rPr>
                <w:rFonts w:eastAsia="Calibri"/>
                <w:b/>
                <w:color w:val="0028A8"/>
                <w:sz w:val="18"/>
                <w:szCs w:val="18"/>
                <w:lang w:val="fr-MA" w:bidi="ar-SA"/>
              </w:rPr>
              <w:t>Date</w:t>
            </w:r>
          </w:p>
        </w:tc>
        <w:tc>
          <w:tcPr>
            <w:tcW w:w="1559" w:type="dxa"/>
            <w:tcBorders>
              <w:bottom w:val="single" w:sz="6" w:space="0" w:color="999999"/>
            </w:tcBorders>
          </w:tcPr>
          <w:p w14:paraId="1D5557B2" w14:textId="77777777" w:rsidR="00132352" w:rsidRPr="005A0ADF" w:rsidRDefault="00132352" w:rsidP="00132352">
            <w:pPr>
              <w:spacing w:before="0" w:after="200" w:line="240" w:lineRule="auto"/>
              <w:rPr>
                <w:rFonts w:eastAsia="Calibri"/>
                <w:b/>
                <w:color w:val="0028A8"/>
                <w:sz w:val="18"/>
                <w:szCs w:val="18"/>
                <w:lang w:val="fr-MA" w:bidi="ar-SA"/>
              </w:rPr>
            </w:pPr>
          </w:p>
        </w:tc>
        <w:tc>
          <w:tcPr>
            <w:tcW w:w="1843" w:type="dxa"/>
            <w:tcBorders>
              <w:bottom w:val="single" w:sz="6" w:space="0" w:color="999999"/>
            </w:tcBorders>
            <w:tcMar>
              <w:left w:w="113" w:type="dxa"/>
            </w:tcMar>
          </w:tcPr>
          <w:p w14:paraId="6E120D32" w14:textId="77777777" w:rsidR="00132352" w:rsidRPr="005A0ADF" w:rsidRDefault="00132352" w:rsidP="00132352">
            <w:pPr>
              <w:spacing w:before="0" w:after="200" w:line="240" w:lineRule="auto"/>
              <w:rPr>
                <w:rFonts w:eastAsia="Calibri"/>
                <w:b/>
                <w:color w:val="0028A8"/>
                <w:sz w:val="18"/>
                <w:szCs w:val="18"/>
                <w:lang w:val="fr-MA" w:bidi="ar-SA"/>
              </w:rPr>
            </w:pPr>
            <w:r w:rsidRPr="005A0ADF">
              <w:rPr>
                <w:rFonts w:eastAsia="Calibri"/>
                <w:b/>
                <w:color w:val="0028A8"/>
                <w:sz w:val="18"/>
                <w:szCs w:val="18"/>
                <w:lang w:val="fr-MA" w:bidi="ar-SA"/>
              </w:rPr>
              <w:t xml:space="preserve">Etabli par </w:t>
            </w:r>
          </w:p>
        </w:tc>
        <w:tc>
          <w:tcPr>
            <w:tcW w:w="1510" w:type="dxa"/>
            <w:tcBorders>
              <w:bottom w:val="single" w:sz="6" w:space="0" w:color="999999"/>
            </w:tcBorders>
            <w:tcMar>
              <w:left w:w="113" w:type="dxa"/>
            </w:tcMar>
          </w:tcPr>
          <w:p w14:paraId="45912695" w14:textId="77777777" w:rsidR="00132352" w:rsidRPr="005A0ADF" w:rsidRDefault="00132352" w:rsidP="00132352">
            <w:pPr>
              <w:spacing w:before="0" w:after="200" w:line="240" w:lineRule="auto"/>
              <w:rPr>
                <w:rFonts w:eastAsia="Calibri"/>
                <w:b/>
                <w:color w:val="0028A8"/>
                <w:sz w:val="18"/>
                <w:szCs w:val="18"/>
                <w:lang w:val="fr-MA" w:bidi="ar-SA"/>
              </w:rPr>
            </w:pPr>
            <w:r w:rsidRPr="005A0ADF">
              <w:rPr>
                <w:rFonts w:eastAsia="Calibri"/>
                <w:b/>
                <w:color w:val="0028A8"/>
                <w:sz w:val="18"/>
                <w:szCs w:val="18"/>
                <w:lang w:val="fr-MA" w:bidi="ar-SA"/>
              </w:rPr>
              <w:t xml:space="preserve">Vérifié par </w:t>
            </w:r>
          </w:p>
        </w:tc>
        <w:tc>
          <w:tcPr>
            <w:tcW w:w="1603" w:type="dxa"/>
            <w:tcBorders>
              <w:bottom w:val="single" w:sz="6" w:space="0" w:color="999999"/>
            </w:tcBorders>
            <w:tcMar>
              <w:left w:w="113" w:type="dxa"/>
            </w:tcMar>
          </w:tcPr>
          <w:p w14:paraId="6C81FFDD" w14:textId="77777777" w:rsidR="00132352" w:rsidRPr="005A0ADF" w:rsidRDefault="00132352" w:rsidP="00132352">
            <w:pPr>
              <w:spacing w:before="0" w:after="200" w:line="240" w:lineRule="auto"/>
              <w:rPr>
                <w:rFonts w:eastAsia="Calibri"/>
                <w:b/>
                <w:color w:val="0028A8"/>
                <w:sz w:val="18"/>
                <w:szCs w:val="18"/>
                <w:lang w:val="fr-MA" w:bidi="ar-SA"/>
              </w:rPr>
            </w:pPr>
            <w:r w:rsidRPr="005A0ADF">
              <w:rPr>
                <w:rFonts w:eastAsia="Calibri"/>
                <w:b/>
                <w:color w:val="0028A8"/>
                <w:sz w:val="18"/>
                <w:szCs w:val="18"/>
                <w:lang w:val="fr-MA" w:bidi="ar-SA"/>
              </w:rPr>
              <w:t>Approuvé par</w:t>
            </w:r>
          </w:p>
        </w:tc>
      </w:tr>
      <w:tr w:rsidR="00132352" w:rsidRPr="005A0ADF" w14:paraId="54366348" w14:textId="77777777" w:rsidTr="00E45A2B">
        <w:trPr>
          <w:trHeight w:val="236"/>
        </w:trPr>
        <w:tc>
          <w:tcPr>
            <w:tcW w:w="937" w:type="dxa"/>
            <w:tcBorders>
              <w:top w:val="single" w:sz="6" w:space="0" w:color="999999"/>
            </w:tcBorders>
            <w:vAlign w:val="center"/>
          </w:tcPr>
          <w:p w14:paraId="3B3EFD0F" w14:textId="77777777" w:rsidR="00132352" w:rsidRPr="005A0ADF" w:rsidRDefault="00132352" w:rsidP="00132352">
            <w:pPr>
              <w:spacing w:before="20" w:after="20" w:line="240" w:lineRule="auto"/>
              <w:ind w:left="57" w:right="-57"/>
              <w:jc w:val="left"/>
              <w:rPr>
                <w:rFonts w:ascii="Segoe UI" w:eastAsia="Calibri" w:hAnsi="Segoe UI" w:cs="Times New Roman"/>
                <w:sz w:val="18"/>
                <w:szCs w:val="18"/>
                <w:lang w:val="fr-MA" w:bidi="ar-SA"/>
              </w:rPr>
            </w:pPr>
            <w:r w:rsidRPr="005A0ADF">
              <w:rPr>
                <w:rFonts w:ascii="Segoe UI" w:eastAsia="Calibri" w:hAnsi="Segoe UI" w:cs="Times New Roman"/>
                <w:sz w:val="18"/>
                <w:szCs w:val="18"/>
                <w:lang w:val="fr-MA" w:bidi="ar-SA"/>
              </w:rPr>
              <w:t>Version A</w:t>
            </w:r>
          </w:p>
        </w:tc>
        <w:tc>
          <w:tcPr>
            <w:tcW w:w="1559" w:type="dxa"/>
            <w:tcBorders>
              <w:top w:val="single" w:sz="6" w:space="0" w:color="999999"/>
            </w:tcBorders>
            <w:tcMar>
              <w:left w:w="113" w:type="dxa"/>
            </w:tcMar>
            <w:vAlign w:val="center"/>
          </w:tcPr>
          <w:p w14:paraId="7A7EF1BA" w14:textId="77777777" w:rsidR="00132352" w:rsidRPr="005A0ADF" w:rsidRDefault="00132352" w:rsidP="00132352">
            <w:pPr>
              <w:spacing w:before="20" w:after="20" w:line="240" w:lineRule="auto"/>
              <w:ind w:left="57" w:right="-57"/>
              <w:jc w:val="left"/>
              <w:rPr>
                <w:rFonts w:ascii="Segoe UI" w:eastAsia="Calibri" w:hAnsi="Segoe UI" w:cs="Times New Roman"/>
                <w:sz w:val="18"/>
                <w:szCs w:val="18"/>
                <w:lang w:val="fr-MA" w:bidi="ar-SA"/>
              </w:rPr>
            </w:pPr>
            <w:r w:rsidRPr="005A0ADF">
              <w:rPr>
                <w:rFonts w:ascii="Segoe UI" w:eastAsia="Calibri" w:hAnsi="Segoe UI" w:cs="Times New Roman"/>
                <w:sz w:val="18"/>
                <w:szCs w:val="18"/>
                <w:lang w:val="fr-MA" w:bidi="ar-SA"/>
              </w:rPr>
              <w:t>Novembre 2024</w:t>
            </w:r>
          </w:p>
        </w:tc>
        <w:tc>
          <w:tcPr>
            <w:tcW w:w="1559" w:type="dxa"/>
            <w:tcBorders>
              <w:top w:val="single" w:sz="6" w:space="0" w:color="999999"/>
            </w:tcBorders>
            <w:vAlign w:val="center"/>
          </w:tcPr>
          <w:p w14:paraId="730C5F22" w14:textId="4430E719" w:rsidR="00132352" w:rsidRPr="005A0ADF" w:rsidRDefault="00132352" w:rsidP="00132352">
            <w:pPr>
              <w:spacing w:before="20" w:after="20" w:line="240" w:lineRule="auto"/>
              <w:ind w:left="57" w:right="-57"/>
              <w:jc w:val="left"/>
              <w:rPr>
                <w:rFonts w:ascii="Segoe UI" w:eastAsia="Calibri" w:hAnsi="Segoe UI" w:cs="Times New Roman"/>
                <w:i/>
                <w:sz w:val="18"/>
                <w:szCs w:val="18"/>
                <w:lang w:val="fr-MA" w:bidi="ar-SA"/>
              </w:rPr>
            </w:pPr>
            <w:r w:rsidRPr="005A0ADF">
              <w:rPr>
                <w:rFonts w:ascii="Segoe UI" w:eastAsia="Calibri" w:hAnsi="Segoe UI" w:cs="Times New Roman"/>
                <w:i/>
                <w:sz w:val="18"/>
                <w:szCs w:val="18"/>
                <w:lang w:val="fr-MA" w:bidi="ar-SA"/>
              </w:rPr>
              <w:t xml:space="preserve">Version </w:t>
            </w:r>
          </w:p>
        </w:tc>
        <w:tc>
          <w:tcPr>
            <w:tcW w:w="1843" w:type="dxa"/>
            <w:tcBorders>
              <w:top w:val="single" w:sz="6" w:space="0" w:color="999999"/>
            </w:tcBorders>
            <w:tcMar>
              <w:left w:w="113" w:type="dxa"/>
            </w:tcMar>
            <w:vAlign w:val="center"/>
          </w:tcPr>
          <w:p w14:paraId="3CAA9137" w14:textId="77777777" w:rsidR="00132352" w:rsidRPr="005A0ADF" w:rsidRDefault="00132352" w:rsidP="00132352">
            <w:pPr>
              <w:spacing w:before="20" w:after="20" w:line="240" w:lineRule="auto"/>
              <w:ind w:left="57" w:right="-57"/>
              <w:jc w:val="center"/>
              <w:rPr>
                <w:rFonts w:ascii="Segoe UI" w:eastAsia="Calibri" w:hAnsi="Segoe UI" w:cs="Times New Roman"/>
                <w:sz w:val="18"/>
                <w:szCs w:val="18"/>
                <w:lang w:val="fr-MA" w:bidi="ar-SA"/>
              </w:rPr>
            </w:pPr>
            <w:r w:rsidRPr="005A0ADF">
              <w:rPr>
                <w:rFonts w:ascii="Segoe UI" w:eastAsia="Calibri" w:hAnsi="Segoe UI" w:cs="Times New Roman"/>
                <w:sz w:val="18"/>
                <w:szCs w:val="18"/>
                <w:lang w:val="fr-MA" w:bidi="ar-SA"/>
              </w:rPr>
              <w:t>Auteurs</w:t>
            </w:r>
          </w:p>
        </w:tc>
        <w:tc>
          <w:tcPr>
            <w:tcW w:w="1510" w:type="dxa"/>
            <w:tcBorders>
              <w:top w:val="single" w:sz="6" w:space="0" w:color="999999"/>
            </w:tcBorders>
            <w:tcMar>
              <w:left w:w="113" w:type="dxa"/>
            </w:tcMar>
            <w:vAlign w:val="center"/>
          </w:tcPr>
          <w:p w14:paraId="7691BA2D" w14:textId="77777777" w:rsidR="00132352" w:rsidRPr="005A0ADF" w:rsidRDefault="00132352" w:rsidP="00132352">
            <w:pPr>
              <w:spacing w:before="20" w:after="20" w:line="240" w:lineRule="auto"/>
              <w:ind w:left="57" w:right="-57"/>
              <w:jc w:val="left"/>
              <w:rPr>
                <w:rFonts w:ascii="Segoe UI" w:eastAsia="Calibri" w:hAnsi="Segoe UI" w:cs="Times New Roman"/>
                <w:sz w:val="18"/>
                <w:szCs w:val="18"/>
                <w:lang w:val="fr-MA" w:bidi="ar-SA"/>
              </w:rPr>
            </w:pPr>
            <w:r w:rsidRPr="005A0ADF">
              <w:rPr>
                <w:rFonts w:ascii="Segoe UI" w:eastAsia="Calibri" w:hAnsi="Segoe UI" w:cs="Times New Roman"/>
                <w:sz w:val="18"/>
                <w:szCs w:val="18"/>
                <w:lang w:val="fr-MA" w:bidi="ar-SA"/>
              </w:rPr>
              <w:t>BAJJOU Loubna</w:t>
            </w:r>
          </w:p>
        </w:tc>
        <w:tc>
          <w:tcPr>
            <w:tcW w:w="1603" w:type="dxa"/>
            <w:tcBorders>
              <w:top w:val="single" w:sz="6" w:space="0" w:color="999999"/>
            </w:tcBorders>
            <w:tcMar>
              <w:left w:w="113" w:type="dxa"/>
            </w:tcMar>
            <w:vAlign w:val="center"/>
          </w:tcPr>
          <w:p w14:paraId="4FA05053" w14:textId="77777777" w:rsidR="00132352" w:rsidRPr="005A0ADF" w:rsidRDefault="00132352" w:rsidP="00132352">
            <w:pPr>
              <w:spacing w:before="20" w:after="20" w:line="240" w:lineRule="auto"/>
              <w:ind w:left="57" w:right="-57"/>
              <w:jc w:val="left"/>
              <w:rPr>
                <w:rFonts w:ascii="Segoe UI" w:eastAsia="Calibri" w:hAnsi="Segoe UI" w:cs="Times New Roman"/>
                <w:sz w:val="18"/>
                <w:szCs w:val="18"/>
                <w:lang w:val="fr-MA" w:bidi="ar-SA"/>
              </w:rPr>
            </w:pPr>
            <w:r w:rsidRPr="005A0ADF">
              <w:rPr>
                <w:rFonts w:ascii="Segoe UI" w:eastAsia="Calibri" w:hAnsi="Segoe UI" w:cs="Times New Roman"/>
                <w:sz w:val="18"/>
                <w:szCs w:val="18"/>
                <w:lang w:val="fr-MA" w:bidi="ar-SA"/>
              </w:rPr>
              <w:t>BENNANI Anas</w:t>
            </w:r>
          </w:p>
        </w:tc>
      </w:tr>
      <w:tr w:rsidR="00132352" w:rsidRPr="005A0ADF" w14:paraId="10C2B3C9" w14:textId="77777777" w:rsidTr="00E45A2B">
        <w:trPr>
          <w:trHeight w:val="248"/>
        </w:trPr>
        <w:tc>
          <w:tcPr>
            <w:tcW w:w="937" w:type="dxa"/>
            <w:tcBorders>
              <w:top w:val="single" w:sz="6" w:space="0" w:color="999999"/>
            </w:tcBorders>
            <w:vAlign w:val="center"/>
          </w:tcPr>
          <w:p w14:paraId="458BA6E9" w14:textId="77777777" w:rsidR="00132352" w:rsidRPr="005A0ADF" w:rsidRDefault="00132352" w:rsidP="00132352">
            <w:pPr>
              <w:spacing w:before="20" w:after="20" w:line="240" w:lineRule="auto"/>
              <w:ind w:left="57" w:right="-57"/>
              <w:jc w:val="left"/>
              <w:rPr>
                <w:rFonts w:ascii="Segoe UI" w:eastAsia="Calibri" w:hAnsi="Segoe UI" w:cs="Times New Roman"/>
                <w:sz w:val="18"/>
                <w:szCs w:val="18"/>
                <w:lang w:val="fr-MA" w:bidi="ar-SA"/>
              </w:rPr>
            </w:pPr>
            <w:r w:rsidRPr="005A0ADF">
              <w:rPr>
                <w:rFonts w:ascii="Segoe UI" w:eastAsia="Calibri" w:hAnsi="Segoe UI" w:cs="Times New Roman"/>
                <w:sz w:val="18"/>
                <w:szCs w:val="18"/>
                <w:lang w:val="fr-MA" w:bidi="ar-SA"/>
              </w:rPr>
              <w:t>Version B</w:t>
            </w:r>
          </w:p>
        </w:tc>
        <w:tc>
          <w:tcPr>
            <w:tcW w:w="1559" w:type="dxa"/>
            <w:tcBorders>
              <w:top w:val="single" w:sz="6" w:space="0" w:color="999999"/>
            </w:tcBorders>
            <w:tcMar>
              <w:left w:w="113" w:type="dxa"/>
            </w:tcMar>
            <w:vAlign w:val="center"/>
          </w:tcPr>
          <w:p w14:paraId="198F05C0" w14:textId="77777777" w:rsidR="00132352" w:rsidRPr="005A0ADF" w:rsidRDefault="00132352" w:rsidP="00132352">
            <w:pPr>
              <w:spacing w:before="20" w:after="20" w:line="240" w:lineRule="auto"/>
              <w:ind w:left="57" w:right="-57"/>
              <w:jc w:val="left"/>
              <w:rPr>
                <w:rFonts w:ascii="Segoe UI" w:eastAsia="Calibri" w:hAnsi="Segoe UI" w:cs="Times New Roman"/>
                <w:sz w:val="18"/>
                <w:szCs w:val="18"/>
                <w:lang w:val="fr-MA" w:bidi="ar-SA"/>
              </w:rPr>
            </w:pPr>
            <w:r w:rsidRPr="005A0ADF">
              <w:rPr>
                <w:rFonts w:ascii="Segoe UI" w:eastAsia="Calibri" w:hAnsi="Segoe UI" w:cs="Times New Roman"/>
                <w:sz w:val="18"/>
                <w:szCs w:val="18"/>
                <w:lang w:val="fr-MA" w:bidi="ar-SA"/>
              </w:rPr>
              <w:t>Novembre 2024</w:t>
            </w:r>
          </w:p>
        </w:tc>
        <w:tc>
          <w:tcPr>
            <w:tcW w:w="1559" w:type="dxa"/>
            <w:tcBorders>
              <w:top w:val="single" w:sz="6" w:space="0" w:color="999999"/>
            </w:tcBorders>
            <w:vAlign w:val="center"/>
          </w:tcPr>
          <w:p w14:paraId="1EDC46B5" w14:textId="77777777" w:rsidR="00132352" w:rsidRPr="005A0ADF" w:rsidRDefault="00132352" w:rsidP="00132352">
            <w:pPr>
              <w:spacing w:before="20" w:after="20" w:line="240" w:lineRule="auto"/>
              <w:ind w:left="57" w:right="-57"/>
              <w:jc w:val="left"/>
              <w:rPr>
                <w:rFonts w:ascii="Segoe UI" w:eastAsia="Calibri" w:hAnsi="Segoe UI" w:cs="Times New Roman"/>
                <w:i/>
                <w:sz w:val="18"/>
                <w:szCs w:val="18"/>
                <w:lang w:val="fr-MA" w:bidi="ar-SA"/>
              </w:rPr>
            </w:pPr>
            <w:r w:rsidRPr="005A0ADF">
              <w:rPr>
                <w:rFonts w:ascii="Segoe UI" w:eastAsia="Calibri" w:hAnsi="Segoe UI" w:cs="Times New Roman"/>
                <w:i/>
                <w:sz w:val="18"/>
                <w:szCs w:val="18"/>
                <w:lang w:val="fr-MA" w:bidi="ar-SA"/>
              </w:rPr>
              <w:t>Intégration des remarques ONDA</w:t>
            </w:r>
          </w:p>
        </w:tc>
        <w:tc>
          <w:tcPr>
            <w:tcW w:w="1843" w:type="dxa"/>
            <w:tcBorders>
              <w:top w:val="single" w:sz="6" w:space="0" w:color="999999"/>
            </w:tcBorders>
            <w:tcMar>
              <w:left w:w="113" w:type="dxa"/>
            </w:tcMar>
            <w:vAlign w:val="center"/>
          </w:tcPr>
          <w:p w14:paraId="03914AD3" w14:textId="73E40FAD" w:rsidR="00132352" w:rsidRPr="005A0ADF" w:rsidRDefault="00132352" w:rsidP="00132352">
            <w:pPr>
              <w:spacing w:before="20" w:after="20" w:line="240" w:lineRule="auto"/>
              <w:ind w:left="57" w:right="-57"/>
              <w:jc w:val="left"/>
              <w:rPr>
                <w:rFonts w:ascii="Segoe UI" w:eastAsia="Calibri" w:hAnsi="Segoe UI" w:cs="Times New Roman"/>
                <w:sz w:val="18"/>
                <w:szCs w:val="18"/>
                <w:lang w:val="fr-MA" w:bidi="ar-SA"/>
              </w:rPr>
            </w:pPr>
            <w:r w:rsidRPr="005A0ADF">
              <w:rPr>
                <w:rFonts w:ascii="Segoe UI" w:eastAsia="Calibri" w:hAnsi="Segoe UI" w:cs="Times New Roman"/>
                <w:sz w:val="18"/>
                <w:szCs w:val="18"/>
                <w:lang w:val="fr-MA" w:bidi="ar-SA"/>
              </w:rPr>
              <w:t>BENMOUSSA Doha</w:t>
            </w:r>
          </w:p>
        </w:tc>
        <w:tc>
          <w:tcPr>
            <w:tcW w:w="1510" w:type="dxa"/>
            <w:tcBorders>
              <w:top w:val="single" w:sz="6" w:space="0" w:color="999999"/>
            </w:tcBorders>
            <w:tcMar>
              <w:left w:w="113" w:type="dxa"/>
            </w:tcMar>
            <w:vAlign w:val="center"/>
          </w:tcPr>
          <w:p w14:paraId="77F0358C" w14:textId="77777777" w:rsidR="00132352" w:rsidRPr="005A0ADF" w:rsidRDefault="00132352" w:rsidP="00132352">
            <w:pPr>
              <w:spacing w:before="20" w:after="20" w:line="240" w:lineRule="auto"/>
              <w:ind w:left="57" w:right="-57"/>
              <w:jc w:val="left"/>
              <w:rPr>
                <w:rFonts w:ascii="Segoe UI" w:eastAsia="Calibri" w:hAnsi="Segoe UI" w:cs="Times New Roman"/>
                <w:sz w:val="18"/>
                <w:szCs w:val="18"/>
                <w:lang w:val="fr-MA" w:bidi="ar-SA"/>
              </w:rPr>
            </w:pPr>
            <w:r w:rsidRPr="005A0ADF">
              <w:rPr>
                <w:rFonts w:ascii="Segoe UI" w:eastAsia="Calibri" w:hAnsi="Segoe UI" w:cs="Times New Roman"/>
                <w:sz w:val="18"/>
                <w:szCs w:val="18"/>
                <w:lang w:val="fr-MA" w:bidi="ar-SA"/>
              </w:rPr>
              <w:t>BAJJOU Loubna</w:t>
            </w:r>
          </w:p>
        </w:tc>
        <w:tc>
          <w:tcPr>
            <w:tcW w:w="1603" w:type="dxa"/>
            <w:tcBorders>
              <w:top w:val="single" w:sz="6" w:space="0" w:color="999999"/>
            </w:tcBorders>
            <w:tcMar>
              <w:left w:w="113" w:type="dxa"/>
            </w:tcMar>
            <w:vAlign w:val="center"/>
          </w:tcPr>
          <w:p w14:paraId="55434534" w14:textId="77777777" w:rsidR="00132352" w:rsidRPr="005A0ADF" w:rsidRDefault="00132352" w:rsidP="00132352">
            <w:pPr>
              <w:spacing w:before="20" w:after="20" w:line="240" w:lineRule="auto"/>
              <w:ind w:left="57" w:right="-57"/>
              <w:jc w:val="left"/>
              <w:rPr>
                <w:rFonts w:ascii="Segoe UI" w:eastAsia="Calibri" w:hAnsi="Segoe UI" w:cs="Times New Roman"/>
                <w:color w:val="ACCBF9"/>
                <w:sz w:val="18"/>
                <w:szCs w:val="18"/>
                <w:lang w:val="fr-MA" w:bidi="ar-SA"/>
              </w:rPr>
            </w:pPr>
            <w:r w:rsidRPr="005A0ADF">
              <w:rPr>
                <w:rFonts w:ascii="Segoe UI" w:eastAsia="Calibri" w:hAnsi="Segoe UI" w:cs="Times New Roman"/>
                <w:sz w:val="18"/>
                <w:szCs w:val="18"/>
                <w:lang w:val="fr-MA" w:bidi="ar-SA"/>
              </w:rPr>
              <w:t>BENNANI Anas</w:t>
            </w:r>
          </w:p>
        </w:tc>
      </w:tr>
      <w:tr w:rsidR="00132352" w:rsidRPr="005A0ADF" w14:paraId="6F2CA4A2" w14:textId="77777777" w:rsidTr="00E45A2B">
        <w:trPr>
          <w:trHeight w:val="248"/>
        </w:trPr>
        <w:tc>
          <w:tcPr>
            <w:tcW w:w="937" w:type="dxa"/>
            <w:tcBorders>
              <w:top w:val="single" w:sz="6" w:space="0" w:color="999999"/>
            </w:tcBorders>
            <w:vAlign w:val="center"/>
          </w:tcPr>
          <w:p w14:paraId="1877DBF8" w14:textId="77777777" w:rsidR="00132352" w:rsidRPr="005A0ADF" w:rsidRDefault="00132352" w:rsidP="00132352">
            <w:pPr>
              <w:spacing w:before="20" w:after="20" w:line="240" w:lineRule="auto"/>
              <w:ind w:left="57" w:right="-57"/>
              <w:jc w:val="left"/>
              <w:rPr>
                <w:rFonts w:ascii="Segoe UI" w:eastAsia="Calibri" w:hAnsi="Segoe UI" w:cs="Times New Roman"/>
                <w:sz w:val="18"/>
                <w:szCs w:val="18"/>
                <w:lang w:val="fr-MA" w:bidi="ar-SA"/>
              </w:rPr>
            </w:pPr>
            <w:r w:rsidRPr="005A0ADF">
              <w:rPr>
                <w:rFonts w:ascii="Segoe UI" w:eastAsia="Calibri" w:hAnsi="Segoe UI" w:cs="Times New Roman"/>
                <w:sz w:val="18"/>
                <w:szCs w:val="18"/>
                <w:lang w:val="fr-MA" w:bidi="ar-SA"/>
              </w:rPr>
              <w:t>Version C</w:t>
            </w:r>
          </w:p>
        </w:tc>
        <w:tc>
          <w:tcPr>
            <w:tcW w:w="1559" w:type="dxa"/>
            <w:tcBorders>
              <w:top w:val="single" w:sz="6" w:space="0" w:color="999999"/>
            </w:tcBorders>
            <w:tcMar>
              <w:left w:w="113" w:type="dxa"/>
            </w:tcMar>
            <w:vAlign w:val="center"/>
          </w:tcPr>
          <w:p w14:paraId="493E8A8A" w14:textId="77777777" w:rsidR="00132352" w:rsidRPr="005A0ADF" w:rsidRDefault="00132352" w:rsidP="00132352">
            <w:pPr>
              <w:spacing w:before="20" w:after="20" w:line="240" w:lineRule="auto"/>
              <w:ind w:left="57" w:right="-57"/>
              <w:jc w:val="left"/>
              <w:rPr>
                <w:rFonts w:ascii="Segoe UI" w:eastAsia="Calibri" w:hAnsi="Segoe UI" w:cs="Times New Roman"/>
                <w:sz w:val="18"/>
                <w:szCs w:val="18"/>
                <w:lang w:val="fr-MA" w:bidi="ar-SA"/>
              </w:rPr>
            </w:pPr>
            <w:r w:rsidRPr="005A0ADF">
              <w:rPr>
                <w:rFonts w:ascii="Segoe UI" w:eastAsia="Calibri" w:hAnsi="Segoe UI" w:cs="Times New Roman"/>
                <w:sz w:val="18"/>
                <w:szCs w:val="18"/>
                <w:lang w:val="fr-MA" w:bidi="ar-SA"/>
              </w:rPr>
              <w:t>Avril 2025</w:t>
            </w:r>
          </w:p>
        </w:tc>
        <w:tc>
          <w:tcPr>
            <w:tcW w:w="1559" w:type="dxa"/>
            <w:tcBorders>
              <w:top w:val="single" w:sz="6" w:space="0" w:color="999999"/>
            </w:tcBorders>
            <w:vAlign w:val="center"/>
          </w:tcPr>
          <w:p w14:paraId="7F55BAFA" w14:textId="77777777" w:rsidR="00132352" w:rsidRPr="005A0ADF" w:rsidRDefault="00132352" w:rsidP="00132352">
            <w:pPr>
              <w:spacing w:before="20" w:after="20" w:line="240" w:lineRule="auto"/>
              <w:ind w:left="57" w:right="-57"/>
              <w:jc w:val="left"/>
              <w:rPr>
                <w:rFonts w:ascii="Segoe UI" w:eastAsia="Calibri" w:hAnsi="Segoe UI" w:cs="Times New Roman"/>
                <w:i/>
                <w:sz w:val="18"/>
                <w:szCs w:val="18"/>
                <w:lang w:val="fr-MA" w:bidi="ar-SA"/>
              </w:rPr>
            </w:pPr>
            <w:r w:rsidRPr="005A0ADF">
              <w:rPr>
                <w:rFonts w:ascii="Segoe UI" w:eastAsia="Calibri" w:hAnsi="Segoe UI" w:cs="Times New Roman"/>
                <w:i/>
                <w:sz w:val="18"/>
                <w:szCs w:val="18"/>
                <w:lang w:val="fr-MA" w:bidi="ar-SA"/>
              </w:rPr>
              <w:t>Version BAD</w:t>
            </w:r>
          </w:p>
        </w:tc>
        <w:tc>
          <w:tcPr>
            <w:tcW w:w="1843" w:type="dxa"/>
            <w:tcBorders>
              <w:top w:val="single" w:sz="6" w:space="0" w:color="999999"/>
            </w:tcBorders>
            <w:tcMar>
              <w:left w:w="113" w:type="dxa"/>
            </w:tcMar>
            <w:vAlign w:val="center"/>
          </w:tcPr>
          <w:p w14:paraId="16F309C6" w14:textId="676BBC3A" w:rsidR="00132352" w:rsidRPr="005A0ADF" w:rsidRDefault="00132352" w:rsidP="00132352">
            <w:pPr>
              <w:spacing w:before="20" w:after="20" w:line="240" w:lineRule="auto"/>
              <w:ind w:left="57" w:right="-57"/>
              <w:jc w:val="left"/>
              <w:rPr>
                <w:rFonts w:ascii="Segoe UI" w:eastAsia="Calibri" w:hAnsi="Segoe UI" w:cs="Times New Roman"/>
                <w:sz w:val="18"/>
                <w:szCs w:val="18"/>
                <w:lang w:val="fr-MA" w:bidi="ar-SA"/>
              </w:rPr>
            </w:pPr>
            <w:r w:rsidRPr="005A0ADF">
              <w:rPr>
                <w:rFonts w:ascii="Segoe UI" w:eastAsia="Calibri" w:hAnsi="Segoe UI" w:cs="Times New Roman"/>
                <w:sz w:val="18"/>
                <w:szCs w:val="18"/>
                <w:lang w:val="fr-MA" w:bidi="ar-SA"/>
              </w:rPr>
              <w:t>BENMOUSSA Doha</w:t>
            </w:r>
          </w:p>
        </w:tc>
        <w:tc>
          <w:tcPr>
            <w:tcW w:w="1510" w:type="dxa"/>
            <w:tcBorders>
              <w:top w:val="single" w:sz="6" w:space="0" w:color="999999"/>
            </w:tcBorders>
            <w:tcMar>
              <w:left w:w="113" w:type="dxa"/>
            </w:tcMar>
            <w:vAlign w:val="center"/>
          </w:tcPr>
          <w:p w14:paraId="04CABBA3" w14:textId="77777777" w:rsidR="00132352" w:rsidRPr="005A0ADF" w:rsidRDefault="00132352" w:rsidP="00132352">
            <w:pPr>
              <w:spacing w:before="20" w:after="20" w:line="240" w:lineRule="auto"/>
              <w:ind w:left="57" w:right="-57"/>
              <w:jc w:val="left"/>
              <w:rPr>
                <w:rFonts w:ascii="Segoe UI" w:eastAsia="Calibri" w:hAnsi="Segoe UI" w:cs="Times New Roman"/>
                <w:sz w:val="18"/>
                <w:szCs w:val="18"/>
                <w:lang w:val="fr-MA" w:bidi="ar-SA"/>
              </w:rPr>
            </w:pPr>
            <w:r w:rsidRPr="005A0ADF">
              <w:rPr>
                <w:rFonts w:ascii="Segoe UI" w:eastAsia="Calibri" w:hAnsi="Segoe UI" w:cs="Times New Roman"/>
                <w:sz w:val="18"/>
                <w:szCs w:val="18"/>
                <w:lang w:val="fr-MA" w:bidi="ar-SA"/>
              </w:rPr>
              <w:t>BAJJOU Loubna</w:t>
            </w:r>
          </w:p>
        </w:tc>
        <w:tc>
          <w:tcPr>
            <w:tcW w:w="1603" w:type="dxa"/>
            <w:tcBorders>
              <w:top w:val="single" w:sz="6" w:space="0" w:color="999999"/>
            </w:tcBorders>
            <w:tcMar>
              <w:left w:w="113" w:type="dxa"/>
            </w:tcMar>
            <w:vAlign w:val="center"/>
          </w:tcPr>
          <w:p w14:paraId="708D135C" w14:textId="77777777" w:rsidR="00132352" w:rsidRPr="005A0ADF" w:rsidRDefault="00132352" w:rsidP="00132352">
            <w:pPr>
              <w:spacing w:before="20" w:after="20" w:line="240" w:lineRule="auto"/>
              <w:ind w:left="57" w:right="-57"/>
              <w:jc w:val="left"/>
              <w:rPr>
                <w:rFonts w:ascii="Segoe UI" w:eastAsia="Calibri" w:hAnsi="Segoe UI" w:cs="Times New Roman"/>
                <w:sz w:val="18"/>
                <w:szCs w:val="18"/>
                <w:lang w:val="fr-MA" w:bidi="ar-SA"/>
              </w:rPr>
            </w:pPr>
            <w:r w:rsidRPr="005A0ADF">
              <w:rPr>
                <w:rFonts w:ascii="Segoe UI" w:eastAsia="Calibri" w:hAnsi="Segoe UI" w:cs="Times New Roman"/>
                <w:sz w:val="18"/>
                <w:szCs w:val="18"/>
                <w:lang w:val="fr-MA" w:bidi="ar-SA"/>
              </w:rPr>
              <w:t>BENNANI Anas</w:t>
            </w:r>
          </w:p>
        </w:tc>
      </w:tr>
      <w:tr w:rsidR="00132352" w:rsidRPr="005A0ADF" w14:paraId="0CCAF9E6" w14:textId="77777777" w:rsidTr="00E45A2B">
        <w:trPr>
          <w:trHeight w:val="248"/>
        </w:trPr>
        <w:tc>
          <w:tcPr>
            <w:tcW w:w="937" w:type="dxa"/>
            <w:tcBorders>
              <w:top w:val="single" w:sz="6" w:space="0" w:color="999999"/>
            </w:tcBorders>
            <w:vAlign w:val="center"/>
          </w:tcPr>
          <w:p w14:paraId="1EB4D091" w14:textId="7E570654" w:rsidR="00132352" w:rsidRPr="005A0ADF" w:rsidRDefault="00E45A2B" w:rsidP="00132352">
            <w:pPr>
              <w:spacing w:before="20" w:after="20" w:line="240" w:lineRule="auto"/>
              <w:ind w:left="57" w:right="-57"/>
              <w:jc w:val="left"/>
              <w:rPr>
                <w:rFonts w:ascii="Segoe UI" w:eastAsia="Calibri" w:hAnsi="Segoe UI" w:cs="Times New Roman"/>
                <w:sz w:val="18"/>
                <w:szCs w:val="18"/>
                <w:lang w:val="fr-MA" w:bidi="ar-SA"/>
              </w:rPr>
            </w:pPr>
            <w:r>
              <w:rPr>
                <w:rFonts w:ascii="Segoe UI" w:eastAsia="Calibri" w:hAnsi="Segoe UI" w:cs="Times New Roman"/>
                <w:sz w:val="18"/>
                <w:szCs w:val="18"/>
                <w:lang w:val="fr-MA" w:bidi="ar-SA"/>
              </w:rPr>
              <w:t xml:space="preserve">Version D </w:t>
            </w:r>
          </w:p>
        </w:tc>
        <w:tc>
          <w:tcPr>
            <w:tcW w:w="1559" w:type="dxa"/>
            <w:tcBorders>
              <w:top w:val="single" w:sz="6" w:space="0" w:color="999999"/>
            </w:tcBorders>
            <w:tcMar>
              <w:left w:w="113" w:type="dxa"/>
            </w:tcMar>
            <w:vAlign w:val="center"/>
          </w:tcPr>
          <w:p w14:paraId="19B20BF1" w14:textId="5DCB03AF" w:rsidR="00132352" w:rsidRPr="005A0ADF" w:rsidRDefault="00943EF7" w:rsidP="00132352">
            <w:pPr>
              <w:spacing w:before="20" w:after="20" w:line="240" w:lineRule="auto"/>
              <w:ind w:left="57" w:right="-57"/>
              <w:jc w:val="left"/>
              <w:rPr>
                <w:rFonts w:ascii="Segoe UI" w:eastAsia="Calibri" w:hAnsi="Segoe UI" w:cs="Times New Roman"/>
                <w:sz w:val="18"/>
                <w:szCs w:val="18"/>
                <w:lang w:val="fr-MA" w:bidi="ar-SA"/>
              </w:rPr>
            </w:pPr>
            <w:r>
              <w:rPr>
                <w:rFonts w:ascii="Segoe UI" w:eastAsia="Calibri" w:hAnsi="Segoe UI" w:cs="Times New Roman"/>
                <w:sz w:val="18"/>
                <w:szCs w:val="18"/>
                <w:lang w:val="fr-MA" w:bidi="ar-SA"/>
              </w:rPr>
              <w:t xml:space="preserve">Octobre </w:t>
            </w:r>
            <w:r w:rsidR="00E45A2B">
              <w:rPr>
                <w:rFonts w:ascii="Segoe UI" w:eastAsia="Calibri" w:hAnsi="Segoe UI" w:cs="Times New Roman"/>
                <w:sz w:val="18"/>
                <w:szCs w:val="18"/>
                <w:lang w:val="fr-MA" w:bidi="ar-SA"/>
              </w:rPr>
              <w:t>2025</w:t>
            </w:r>
          </w:p>
        </w:tc>
        <w:tc>
          <w:tcPr>
            <w:tcW w:w="1559" w:type="dxa"/>
            <w:tcBorders>
              <w:top w:val="single" w:sz="6" w:space="0" w:color="999999"/>
            </w:tcBorders>
          </w:tcPr>
          <w:p w14:paraId="5E80D80B" w14:textId="0D4FA9C7" w:rsidR="00132352" w:rsidRPr="005A0ADF" w:rsidRDefault="00E45A2B" w:rsidP="00132352">
            <w:pPr>
              <w:spacing w:before="20" w:after="20" w:line="240" w:lineRule="auto"/>
              <w:ind w:left="57" w:right="-57"/>
              <w:jc w:val="left"/>
              <w:rPr>
                <w:rFonts w:ascii="Segoe UI" w:eastAsia="Calibri" w:hAnsi="Segoe UI" w:cs="Times New Roman"/>
                <w:sz w:val="18"/>
                <w:szCs w:val="18"/>
                <w:lang w:val="fr-MA" w:bidi="ar-SA"/>
              </w:rPr>
            </w:pPr>
            <w:r w:rsidRPr="005A0ADF">
              <w:rPr>
                <w:rFonts w:ascii="Segoe UI" w:eastAsia="Calibri" w:hAnsi="Segoe UI" w:cs="Times New Roman"/>
                <w:i/>
                <w:sz w:val="18"/>
                <w:szCs w:val="18"/>
                <w:lang w:val="fr-MA" w:bidi="ar-SA"/>
              </w:rPr>
              <w:t>Version BAD</w:t>
            </w:r>
          </w:p>
        </w:tc>
        <w:tc>
          <w:tcPr>
            <w:tcW w:w="1843" w:type="dxa"/>
            <w:tcBorders>
              <w:top w:val="single" w:sz="6" w:space="0" w:color="999999"/>
            </w:tcBorders>
            <w:tcMar>
              <w:left w:w="113" w:type="dxa"/>
            </w:tcMar>
            <w:vAlign w:val="center"/>
          </w:tcPr>
          <w:p w14:paraId="0FED0061" w14:textId="70BBA39B" w:rsidR="00132352" w:rsidRPr="005A0ADF" w:rsidRDefault="00E45A2B" w:rsidP="00132352">
            <w:pPr>
              <w:spacing w:before="20" w:after="20" w:line="240" w:lineRule="auto"/>
              <w:ind w:left="57" w:right="-57"/>
              <w:jc w:val="left"/>
              <w:rPr>
                <w:rFonts w:ascii="Segoe UI" w:eastAsia="Calibri" w:hAnsi="Segoe UI" w:cs="Times New Roman"/>
                <w:sz w:val="18"/>
                <w:szCs w:val="18"/>
                <w:lang w:val="fr-MA" w:bidi="ar-SA"/>
              </w:rPr>
            </w:pPr>
            <w:r>
              <w:rPr>
                <w:rFonts w:ascii="Segoe UI" w:eastAsia="Calibri" w:hAnsi="Segoe UI" w:cs="Times New Roman"/>
                <w:sz w:val="18"/>
                <w:szCs w:val="18"/>
                <w:lang w:val="fr-MA" w:bidi="ar-SA"/>
              </w:rPr>
              <w:t>Equipe projet</w:t>
            </w:r>
          </w:p>
        </w:tc>
        <w:tc>
          <w:tcPr>
            <w:tcW w:w="1510" w:type="dxa"/>
            <w:tcBorders>
              <w:top w:val="single" w:sz="6" w:space="0" w:color="999999"/>
            </w:tcBorders>
            <w:tcMar>
              <w:left w:w="113" w:type="dxa"/>
            </w:tcMar>
            <w:vAlign w:val="center"/>
          </w:tcPr>
          <w:p w14:paraId="12344FAD" w14:textId="47314B4E" w:rsidR="00132352" w:rsidRPr="005A0ADF" w:rsidRDefault="00E45A2B" w:rsidP="00132352">
            <w:pPr>
              <w:spacing w:before="20" w:after="20" w:line="240" w:lineRule="auto"/>
              <w:ind w:left="57" w:right="-57"/>
              <w:jc w:val="left"/>
              <w:rPr>
                <w:rFonts w:ascii="Segoe UI" w:eastAsia="Calibri" w:hAnsi="Segoe UI" w:cs="Times New Roman"/>
                <w:sz w:val="18"/>
                <w:szCs w:val="18"/>
                <w:lang w:val="fr-MA" w:bidi="ar-SA"/>
              </w:rPr>
            </w:pPr>
            <w:r w:rsidRPr="005A0ADF">
              <w:rPr>
                <w:rFonts w:ascii="Segoe UI" w:eastAsia="Calibri" w:hAnsi="Segoe UI" w:cs="Times New Roman"/>
                <w:sz w:val="18"/>
                <w:szCs w:val="18"/>
                <w:lang w:val="fr-MA" w:bidi="ar-SA"/>
              </w:rPr>
              <w:t>BENNANI Anas</w:t>
            </w:r>
          </w:p>
        </w:tc>
        <w:tc>
          <w:tcPr>
            <w:tcW w:w="1603" w:type="dxa"/>
            <w:tcBorders>
              <w:top w:val="single" w:sz="6" w:space="0" w:color="999999"/>
            </w:tcBorders>
            <w:tcMar>
              <w:left w:w="113" w:type="dxa"/>
            </w:tcMar>
            <w:vAlign w:val="center"/>
          </w:tcPr>
          <w:p w14:paraId="7BE1496E" w14:textId="07750B40" w:rsidR="00132352" w:rsidRPr="005A0ADF" w:rsidRDefault="00E45A2B" w:rsidP="00132352">
            <w:pPr>
              <w:spacing w:before="20" w:after="20" w:line="240" w:lineRule="auto"/>
              <w:ind w:left="57" w:right="-57"/>
              <w:jc w:val="left"/>
              <w:rPr>
                <w:rFonts w:ascii="Segoe UI" w:eastAsia="Calibri" w:hAnsi="Segoe UI" w:cs="Times New Roman"/>
                <w:color w:val="ACCBF9"/>
                <w:sz w:val="18"/>
                <w:szCs w:val="18"/>
                <w:lang w:val="fr-MA" w:bidi="ar-SA"/>
              </w:rPr>
            </w:pPr>
            <w:r w:rsidRPr="005A0ADF">
              <w:rPr>
                <w:rFonts w:ascii="Segoe UI" w:eastAsia="Calibri" w:hAnsi="Segoe UI" w:cs="Times New Roman"/>
                <w:sz w:val="18"/>
                <w:szCs w:val="18"/>
                <w:lang w:val="fr-MA" w:bidi="ar-SA"/>
              </w:rPr>
              <w:t>BENNANI Anas</w:t>
            </w:r>
          </w:p>
        </w:tc>
      </w:tr>
      <w:tr w:rsidR="00943EF7" w:rsidRPr="005A0ADF" w14:paraId="602F167D" w14:textId="77777777" w:rsidTr="00E45A2B">
        <w:trPr>
          <w:trHeight w:val="236"/>
        </w:trPr>
        <w:tc>
          <w:tcPr>
            <w:tcW w:w="937" w:type="dxa"/>
            <w:vAlign w:val="center"/>
          </w:tcPr>
          <w:p w14:paraId="61E1A69F" w14:textId="21A6BE4C" w:rsidR="00943EF7" w:rsidRPr="005A0ADF" w:rsidRDefault="00943EF7" w:rsidP="00943EF7">
            <w:pPr>
              <w:spacing w:before="20" w:after="20" w:line="240" w:lineRule="auto"/>
              <w:ind w:left="57" w:right="-57"/>
              <w:jc w:val="left"/>
              <w:rPr>
                <w:rFonts w:ascii="Segoe UI" w:eastAsia="Calibri" w:hAnsi="Segoe UI" w:cs="Times New Roman"/>
                <w:sz w:val="18"/>
                <w:szCs w:val="18"/>
                <w:lang w:val="fr-MA" w:bidi="ar-SA"/>
              </w:rPr>
            </w:pPr>
            <w:r>
              <w:rPr>
                <w:rFonts w:ascii="Segoe UI" w:eastAsia="Calibri" w:hAnsi="Segoe UI" w:cs="Times New Roman"/>
                <w:sz w:val="18"/>
                <w:szCs w:val="18"/>
                <w:lang w:val="fr-MA" w:bidi="ar-SA"/>
              </w:rPr>
              <w:t>Version E</w:t>
            </w:r>
          </w:p>
        </w:tc>
        <w:tc>
          <w:tcPr>
            <w:tcW w:w="1559" w:type="dxa"/>
            <w:tcMar>
              <w:left w:w="113" w:type="dxa"/>
            </w:tcMar>
            <w:vAlign w:val="center"/>
          </w:tcPr>
          <w:p w14:paraId="28C21933" w14:textId="48A5F873" w:rsidR="00943EF7" w:rsidRPr="005A0ADF" w:rsidRDefault="00943EF7" w:rsidP="00943EF7">
            <w:pPr>
              <w:spacing w:before="20" w:after="20" w:line="240" w:lineRule="auto"/>
              <w:ind w:left="57" w:right="-57"/>
              <w:jc w:val="left"/>
              <w:rPr>
                <w:rFonts w:ascii="Segoe UI" w:eastAsia="Calibri" w:hAnsi="Segoe UI" w:cs="Times New Roman"/>
                <w:sz w:val="18"/>
                <w:szCs w:val="18"/>
                <w:lang w:val="fr-MA" w:bidi="ar-SA"/>
              </w:rPr>
            </w:pPr>
            <w:r>
              <w:rPr>
                <w:rFonts w:ascii="Segoe UI" w:eastAsia="Calibri" w:hAnsi="Segoe UI" w:cs="Times New Roman"/>
                <w:sz w:val="18"/>
                <w:szCs w:val="18"/>
                <w:lang w:val="fr-MA" w:bidi="ar-SA"/>
              </w:rPr>
              <w:t>Octobre 2025</w:t>
            </w:r>
          </w:p>
        </w:tc>
        <w:tc>
          <w:tcPr>
            <w:tcW w:w="1559" w:type="dxa"/>
          </w:tcPr>
          <w:p w14:paraId="394D8189" w14:textId="343E7AF8" w:rsidR="00943EF7" w:rsidRPr="005A0ADF" w:rsidRDefault="00943EF7" w:rsidP="00943EF7">
            <w:pPr>
              <w:spacing w:before="20" w:after="20" w:line="240" w:lineRule="auto"/>
              <w:ind w:left="57" w:right="-57"/>
              <w:jc w:val="left"/>
              <w:rPr>
                <w:rFonts w:ascii="Segoe UI" w:eastAsia="Calibri" w:hAnsi="Segoe UI" w:cs="Times New Roman"/>
                <w:sz w:val="18"/>
                <w:szCs w:val="18"/>
                <w:lang w:val="fr-MA" w:bidi="ar-SA"/>
              </w:rPr>
            </w:pPr>
            <w:r>
              <w:rPr>
                <w:rFonts w:ascii="Segoe UI" w:eastAsia="Calibri" w:hAnsi="Segoe UI" w:cs="Times New Roman"/>
                <w:sz w:val="18"/>
                <w:szCs w:val="18"/>
                <w:lang w:val="fr-MA" w:bidi="ar-SA"/>
              </w:rPr>
              <w:t>Intégration remarques BAD</w:t>
            </w:r>
          </w:p>
        </w:tc>
        <w:tc>
          <w:tcPr>
            <w:tcW w:w="1843" w:type="dxa"/>
            <w:tcMar>
              <w:left w:w="113" w:type="dxa"/>
            </w:tcMar>
            <w:vAlign w:val="center"/>
          </w:tcPr>
          <w:p w14:paraId="6D6F2D99" w14:textId="1470E6FD" w:rsidR="00943EF7" w:rsidRPr="005A0ADF" w:rsidRDefault="00943EF7" w:rsidP="00943EF7">
            <w:pPr>
              <w:spacing w:before="20" w:after="20" w:line="240" w:lineRule="auto"/>
              <w:ind w:left="57" w:right="-57"/>
              <w:jc w:val="left"/>
              <w:rPr>
                <w:rFonts w:ascii="Segoe UI" w:eastAsia="Calibri" w:hAnsi="Segoe UI" w:cs="Times New Roman"/>
                <w:sz w:val="18"/>
                <w:szCs w:val="18"/>
                <w:lang w:val="fr-MA" w:bidi="ar-SA"/>
              </w:rPr>
            </w:pPr>
            <w:r>
              <w:rPr>
                <w:rFonts w:ascii="Segoe UI" w:eastAsia="Calibri" w:hAnsi="Segoe UI" w:cs="Times New Roman"/>
                <w:sz w:val="18"/>
                <w:szCs w:val="18"/>
                <w:lang w:val="fr-MA" w:bidi="ar-SA"/>
              </w:rPr>
              <w:t>Equipe projet</w:t>
            </w:r>
          </w:p>
        </w:tc>
        <w:tc>
          <w:tcPr>
            <w:tcW w:w="1510" w:type="dxa"/>
            <w:tcMar>
              <w:left w:w="113" w:type="dxa"/>
            </w:tcMar>
            <w:vAlign w:val="center"/>
          </w:tcPr>
          <w:p w14:paraId="5D3535B3" w14:textId="4A5A33A1" w:rsidR="00943EF7" w:rsidRPr="005A0ADF" w:rsidRDefault="00943EF7" w:rsidP="00943EF7">
            <w:pPr>
              <w:spacing w:before="20" w:after="20" w:line="240" w:lineRule="auto"/>
              <w:ind w:left="57" w:right="-57"/>
              <w:jc w:val="left"/>
              <w:rPr>
                <w:rFonts w:ascii="Segoe UI" w:eastAsia="Calibri" w:hAnsi="Segoe UI" w:cs="Times New Roman"/>
                <w:sz w:val="18"/>
                <w:szCs w:val="18"/>
                <w:lang w:val="fr-MA" w:bidi="ar-SA"/>
              </w:rPr>
            </w:pPr>
            <w:r w:rsidRPr="005A0ADF">
              <w:rPr>
                <w:rFonts w:ascii="Segoe UI" w:eastAsia="Calibri" w:hAnsi="Segoe UI" w:cs="Times New Roman"/>
                <w:sz w:val="18"/>
                <w:szCs w:val="18"/>
                <w:lang w:val="fr-MA" w:bidi="ar-SA"/>
              </w:rPr>
              <w:t>BENNANI Anas</w:t>
            </w:r>
          </w:p>
        </w:tc>
        <w:tc>
          <w:tcPr>
            <w:tcW w:w="1603" w:type="dxa"/>
            <w:tcMar>
              <w:left w:w="113" w:type="dxa"/>
            </w:tcMar>
            <w:vAlign w:val="center"/>
          </w:tcPr>
          <w:p w14:paraId="5D59FC40" w14:textId="017B786A" w:rsidR="00943EF7" w:rsidRPr="005A0ADF" w:rsidRDefault="00943EF7" w:rsidP="00943EF7">
            <w:pPr>
              <w:spacing w:before="20" w:after="20" w:line="240" w:lineRule="auto"/>
              <w:ind w:left="57" w:right="-57"/>
              <w:jc w:val="left"/>
              <w:rPr>
                <w:rFonts w:ascii="Segoe UI" w:eastAsia="Calibri" w:hAnsi="Segoe UI" w:cs="Times New Roman"/>
                <w:sz w:val="18"/>
                <w:szCs w:val="18"/>
                <w:lang w:val="fr-MA" w:bidi="ar-SA"/>
              </w:rPr>
            </w:pPr>
            <w:r w:rsidRPr="005A0ADF">
              <w:rPr>
                <w:rFonts w:ascii="Segoe UI" w:eastAsia="Calibri" w:hAnsi="Segoe UI" w:cs="Times New Roman"/>
                <w:sz w:val="18"/>
                <w:szCs w:val="18"/>
                <w:lang w:val="fr-MA" w:bidi="ar-SA"/>
              </w:rPr>
              <w:t>BENNANI Anas</w:t>
            </w:r>
          </w:p>
        </w:tc>
      </w:tr>
      <w:tr w:rsidR="00132352" w:rsidRPr="005A0ADF" w14:paraId="3AB3DA02" w14:textId="77777777" w:rsidTr="00E45A2B">
        <w:trPr>
          <w:trHeight w:val="236"/>
        </w:trPr>
        <w:tc>
          <w:tcPr>
            <w:tcW w:w="937" w:type="dxa"/>
            <w:vAlign w:val="center"/>
          </w:tcPr>
          <w:p w14:paraId="097EA131" w14:textId="77777777" w:rsidR="00132352" w:rsidRPr="005A0ADF" w:rsidRDefault="00132352" w:rsidP="00132352">
            <w:pPr>
              <w:spacing w:before="20" w:after="20" w:line="240" w:lineRule="auto"/>
              <w:ind w:left="57" w:right="-57"/>
              <w:jc w:val="left"/>
              <w:rPr>
                <w:rFonts w:ascii="Segoe UI" w:eastAsia="Calibri" w:hAnsi="Segoe UI" w:cs="Times New Roman"/>
                <w:sz w:val="18"/>
                <w:szCs w:val="18"/>
                <w:lang w:val="fr-MA" w:bidi="ar-SA"/>
              </w:rPr>
            </w:pPr>
          </w:p>
        </w:tc>
        <w:tc>
          <w:tcPr>
            <w:tcW w:w="1559" w:type="dxa"/>
            <w:tcMar>
              <w:left w:w="113" w:type="dxa"/>
            </w:tcMar>
            <w:vAlign w:val="center"/>
          </w:tcPr>
          <w:p w14:paraId="59FA77DE" w14:textId="77777777" w:rsidR="00132352" w:rsidRPr="005A0ADF" w:rsidRDefault="00132352" w:rsidP="00132352">
            <w:pPr>
              <w:spacing w:before="20" w:after="20" w:line="240" w:lineRule="auto"/>
              <w:ind w:left="57" w:right="-57"/>
              <w:jc w:val="left"/>
              <w:rPr>
                <w:rFonts w:ascii="Segoe UI" w:eastAsia="Calibri" w:hAnsi="Segoe UI" w:cs="Times New Roman"/>
                <w:sz w:val="18"/>
                <w:szCs w:val="18"/>
                <w:lang w:val="fr-MA" w:bidi="ar-SA"/>
              </w:rPr>
            </w:pPr>
          </w:p>
        </w:tc>
        <w:tc>
          <w:tcPr>
            <w:tcW w:w="1559" w:type="dxa"/>
          </w:tcPr>
          <w:p w14:paraId="78D559C9" w14:textId="77777777" w:rsidR="00132352" w:rsidRPr="005A0ADF" w:rsidRDefault="00132352" w:rsidP="00132352">
            <w:pPr>
              <w:spacing w:before="20" w:after="20" w:line="240" w:lineRule="auto"/>
              <w:ind w:left="57" w:right="-57"/>
              <w:jc w:val="left"/>
              <w:rPr>
                <w:rFonts w:ascii="Segoe UI" w:eastAsia="Calibri" w:hAnsi="Segoe UI" w:cs="Times New Roman"/>
                <w:sz w:val="18"/>
                <w:szCs w:val="18"/>
                <w:lang w:val="fr-MA" w:bidi="ar-SA"/>
              </w:rPr>
            </w:pPr>
          </w:p>
        </w:tc>
        <w:tc>
          <w:tcPr>
            <w:tcW w:w="1843" w:type="dxa"/>
            <w:tcMar>
              <w:left w:w="113" w:type="dxa"/>
            </w:tcMar>
            <w:vAlign w:val="center"/>
          </w:tcPr>
          <w:p w14:paraId="2BE26191" w14:textId="77777777" w:rsidR="00132352" w:rsidRPr="005A0ADF" w:rsidRDefault="00132352" w:rsidP="00132352">
            <w:pPr>
              <w:spacing w:before="20" w:after="20" w:line="240" w:lineRule="auto"/>
              <w:ind w:left="57" w:right="-57"/>
              <w:jc w:val="left"/>
              <w:rPr>
                <w:rFonts w:ascii="Segoe UI" w:eastAsia="Calibri" w:hAnsi="Segoe UI" w:cs="Times New Roman"/>
                <w:sz w:val="18"/>
                <w:szCs w:val="18"/>
                <w:lang w:val="fr-MA" w:bidi="ar-SA"/>
              </w:rPr>
            </w:pPr>
          </w:p>
        </w:tc>
        <w:tc>
          <w:tcPr>
            <w:tcW w:w="1510" w:type="dxa"/>
            <w:tcMar>
              <w:left w:w="113" w:type="dxa"/>
            </w:tcMar>
            <w:vAlign w:val="center"/>
          </w:tcPr>
          <w:p w14:paraId="26C5C0BC" w14:textId="77777777" w:rsidR="00132352" w:rsidRPr="005A0ADF" w:rsidRDefault="00132352" w:rsidP="00132352">
            <w:pPr>
              <w:spacing w:before="20" w:after="20" w:line="240" w:lineRule="auto"/>
              <w:ind w:left="57" w:right="-57"/>
              <w:jc w:val="left"/>
              <w:rPr>
                <w:rFonts w:ascii="Segoe UI" w:eastAsia="Calibri" w:hAnsi="Segoe UI" w:cs="Times New Roman"/>
                <w:sz w:val="18"/>
                <w:szCs w:val="18"/>
                <w:lang w:val="fr-MA" w:bidi="ar-SA"/>
              </w:rPr>
            </w:pPr>
          </w:p>
        </w:tc>
        <w:tc>
          <w:tcPr>
            <w:tcW w:w="1603" w:type="dxa"/>
            <w:tcMar>
              <w:left w:w="113" w:type="dxa"/>
            </w:tcMar>
            <w:vAlign w:val="center"/>
          </w:tcPr>
          <w:p w14:paraId="0B7FA399" w14:textId="77777777" w:rsidR="00132352" w:rsidRPr="005A0ADF" w:rsidRDefault="00132352" w:rsidP="00132352">
            <w:pPr>
              <w:spacing w:before="20" w:after="20" w:line="240" w:lineRule="auto"/>
              <w:ind w:left="57" w:right="-57"/>
              <w:jc w:val="left"/>
              <w:rPr>
                <w:rFonts w:ascii="Segoe UI" w:eastAsia="Calibri" w:hAnsi="Segoe UI" w:cs="Times New Roman"/>
                <w:sz w:val="18"/>
                <w:szCs w:val="18"/>
                <w:lang w:val="fr-MA" w:bidi="ar-SA"/>
              </w:rPr>
            </w:pPr>
          </w:p>
        </w:tc>
      </w:tr>
      <w:tr w:rsidR="00132352" w:rsidRPr="005A0ADF" w14:paraId="387517A3" w14:textId="77777777" w:rsidTr="00E45A2B">
        <w:trPr>
          <w:trHeight w:val="248"/>
        </w:trPr>
        <w:tc>
          <w:tcPr>
            <w:tcW w:w="937" w:type="dxa"/>
            <w:vAlign w:val="center"/>
          </w:tcPr>
          <w:p w14:paraId="20BF45C3" w14:textId="77777777" w:rsidR="00132352" w:rsidRPr="005A0ADF" w:rsidRDefault="00132352" w:rsidP="00132352">
            <w:pPr>
              <w:spacing w:before="20" w:after="20" w:line="240" w:lineRule="auto"/>
              <w:ind w:left="57" w:right="-57"/>
              <w:jc w:val="left"/>
              <w:rPr>
                <w:rFonts w:ascii="Segoe UI" w:eastAsia="Calibri" w:hAnsi="Segoe UI" w:cs="Times New Roman"/>
                <w:sz w:val="18"/>
                <w:szCs w:val="18"/>
                <w:lang w:val="fr-MA" w:bidi="ar-SA"/>
              </w:rPr>
            </w:pPr>
          </w:p>
        </w:tc>
        <w:tc>
          <w:tcPr>
            <w:tcW w:w="1559" w:type="dxa"/>
            <w:tcMar>
              <w:left w:w="113" w:type="dxa"/>
            </w:tcMar>
            <w:vAlign w:val="center"/>
          </w:tcPr>
          <w:p w14:paraId="64E404CE" w14:textId="77777777" w:rsidR="00132352" w:rsidRPr="005A0ADF" w:rsidRDefault="00132352" w:rsidP="00132352">
            <w:pPr>
              <w:spacing w:before="20" w:after="20" w:line="240" w:lineRule="auto"/>
              <w:ind w:left="57" w:right="-57"/>
              <w:jc w:val="left"/>
              <w:rPr>
                <w:rFonts w:ascii="Segoe UI" w:eastAsia="Calibri" w:hAnsi="Segoe UI" w:cs="Times New Roman"/>
                <w:sz w:val="18"/>
                <w:szCs w:val="18"/>
                <w:lang w:val="fr-MA" w:bidi="ar-SA"/>
              </w:rPr>
            </w:pPr>
          </w:p>
        </w:tc>
        <w:tc>
          <w:tcPr>
            <w:tcW w:w="1559" w:type="dxa"/>
          </w:tcPr>
          <w:p w14:paraId="1A99512B" w14:textId="77777777" w:rsidR="00132352" w:rsidRPr="005A0ADF" w:rsidRDefault="00132352" w:rsidP="00132352">
            <w:pPr>
              <w:spacing w:before="20" w:after="20" w:line="240" w:lineRule="auto"/>
              <w:ind w:left="57" w:right="-57"/>
              <w:jc w:val="left"/>
              <w:rPr>
                <w:rFonts w:ascii="Segoe UI" w:eastAsia="Calibri" w:hAnsi="Segoe UI" w:cs="Times New Roman"/>
                <w:sz w:val="18"/>
                <w:szCs w:val="18"/>
                <w:lang w:val="fr-MA" w:bidi="ar-SA"/>
              </w:rPr>
            </w:pPr>
          </w:p>
        </w:tc>
        <w:tc>
          <w:tcPr>
            <w:tcW w:w="1843" w:type="dxa"/>
            <w:tcMar>
              <w:left w:w="113" w:type="dxa"/>
            </w:tcMar>
            <w:vAlign w:val="center"/>
          </w:tcPr>
          <w:p w14:paraId="06CB9B8B" w14:textId="77777777" w:rsidR="00132352" w:rsidRPr="005A0ADF" w:rsidRDefault="00132352" w:rsidP="00132352">
            <w:pPr>
              <w:spacing w:before="20" w:after="20" w:line="240" w:lineRule="auto"/>
              <w:ind w:left="57" w:right="-57"/>
              <w:jc w:val="left"/>
              <w:rPr>
                <w:rFonts w:ascii="Segoe UI" w:eastAsia="Calibri" w:hAnsi="Segoe UI" w:cs="Times New Roman"/>
                <w:sz w:val="18"/>
                <w:szCs w:val="18"/>
                <w:lang w:val="fr-MA" w:bidi="ar-SA"/>
              </w:rPr>
            </w:pPr>
          </w:p>
        </w:tc>
        <w:tc>
          <w:tcPr>
            <w:tcW w:w="1510" w:type="dxa"/>
            <w:tcMar>
              <w:left w:w="113" w:type="dxa"/>
            </w:tcMar>
            <w:vAlign w:val="center"/>
          </w:tcPr>
          <w:p w14:paraId="4C1ACA75" w14:textId="77777777" w:rsidR="00132352" w:rsidRPr="005A0ADF" w:rsidRDefault="00132352" w:rsidP="00132352">
            <w:pPr>
              <w:spacing w:before="20" w:after="20" w:line="240" w:lineRule="auto"/>
              <w:ind w:left="57" w:right="-57"/>
              <w:jc w:val="left"/>
              <w:rPr>
                <w:rFonts w:ascii="Segoe UI" w:eastAsia="Calibri" w:hAnsi="Segoe UI" w:cs="Times New Roman"/>
                <w:sz w:val="18"/>
                <w:szCs w:val="18"/>
                <w:lang w:val="fr-MA" w:bidi="ar-SA"/>
              </w:rPr>
            </w:pPr>
          </w:p>
        </w:tc>
        <w:tc>
          <w:tcPr>
            <w:tcW w:w="1603" w:type="dxa"/>
            <w:tcMar>
              <w:left w:w="113" w:type="dxa"/>
            </w:tcMar>
            <w:vAlign w:val="center"/>
          </w:tcPr>
          <w:p w14:paraId="3AD5D5BA" w14:textId="77777777" w:rsidR="00132352" w:rsidRPr="005A0ADF" w:rsidRDefault="00132352" w:rsidP="00132352">
            <w:pPr>
              <w:spacing w:before="20" w:after="20" w:line="240" w:lineRule="auto"/>
              <w:ind w:left="57" w:right="-57"/>
              <w:jc w:val="left"/>
              <w:rPr>
                <w:rFonts w:ascii="Segoe UI" w:eastAsia="Calibri" w:hAnsi="Segoe UI" w:cs="Times New Roman"/>
                <w:sz w:val="18"/>
                <w:szCs w:val="18"/>
                <w:lang w:val="fr-MA" w:bidi="ar-SA"/>
              </w:rPr>
            </w:pPr>
          </w:p>
        </w:tc>
      </w:tr>
    </w:tbl>
    <w:p w14:paraId="39420DC5" w14:textId="77777777" w:rsidR="00132352" w:rsidRDefault="00132352" w:rsidP="00132352">
      <w:pPr>
        <w:pStyle w:val="Normal0"/>
        <w:sectPr w:rsidR="00132352" w:rsidSect="00D17925">
          <w:headerReference w:type="default" r:id="rId15"/>
          <w:footerReference w:type="default" r:id="rId16"/>
          <w:pgSz w:w="11906" w:h="16838"/>
          <w:pgMar w:top="1417" w:right="1417" w:bottom="1276" w:left="1417" w:header="680" w:footer="680" w:gutter="0"/>
          <w:cols w:space="708"/>
          <w:docGrid w:linePitch="360"/>
        </w:sectPr>
      </w:pPr>
      <w:r>
        <w:br w:type="page"/>
      </w:r>
    </w:p>
    <w:p w14:paraId="6ECF3F0A" w14:textId="7ADA63F3" w:rsidR="00654FA4" w:rsidRPr="008612D4" w:rsidRDefault="00FB3B57" w:rsidP="00FB3B57">
      <w:pPr>
        <w:pStyle w:val="Titre1"/>
      </w:pPr>
      <w:bookmarkStart w:id="3" w:name="_Toc215131751"/>
      <w:r>
        <w:lastRenderedPageBreak/>
        <w:t>Table de matières</w:t>
      </w:r>
      <w:bookmarkEnd w:id="2"/>
      <w:bookmarkEnd w:id="3"/>
    </w:p>
    <w:p w14:paraId="39E33135" w14:textId="5C2775D7" w:rsidR="008B44A1" w:rsidRDefault="00D6030F">
      <w:pPr>
        <w:pStyle w:val="TM1"/>
        <w:tabs>
          <w:tab w:val="right" w:leader="dot" w:pos="9062"/>
        </w:tabs>
        <w:rPr>
          <w:rFonts w:asciiTheme="minorHAnsi" w:eastAsiaTheme="minorEastAsia" w:hAnsiTheme="minorHAnsi" w:cstheme="minorBidi"/>
          <w:noProof/>
          <w:lang w:eastAsia="fr-FR" w:bidi="ar-SA"/>
        </w:rPr>
      </w:pPr>
      <w:r>
        <w:rPr>
          <w:sz w:val="28"/>
          <w:szCs w:val="28"/>
          <w:u w:val="single"/>
        </w:rPr>
        <w:fldChar w:fldCharType="begin"/>
      </w:r>
      <w:r>
        <w:rPr>
          <w:sz w:val="28"/>
          <w:szCs w:val="28"/>
          <w:u w:val="single"/>
        </w:rPr>
        <w:instrText xml:space="preserve"> TOC \o "1-3" \h \z \u </w:instrText>
      </w:r>
      <w:r>
        <w:rPr>
          <w:sz w:val="28"/>
          <w:szCs w:val="28"/>
          <w:u w:val="single"/>
        </w:rPr>
        <w:fldChar w:fldCharType="separate"/>
      </w:r>
      <w:hyperlink w:anchor="_Toc215131751" w:history="1">
        <w:r w:rsidR="008B44A1" w:rsidRPr="00B27C46">
          <w:rPr>
            <w:rStyle w:val="Lienhypertexte"/>
            <w:noProof/>
          </w:rPr>
          <w:t>Table de matières</w:t>
        </w:r>
        <w:r w:rsidR="008B44A1">
          <w:rPr>
            <w:noProof/>
            <w:webHidden/>
          </w:rPr>
          <w:tab/>
        </w:r>
        <w:r w:rsidR="008B44A1">
          <w:rPr>
            <w:noProof/>
            <w:webHidden/>
          </w:rPr>
          <w:fldChar w:fldCharType="begin"/>
        </w:r>
        <w:r w:rsidR="008B44A1">
          <w:rPr>
            <w:noProof/>
            <w:webHidden/>
          </w:rPr>
          <w:instrText xml:space="preserve"> PAGEREF _Toc215131751 \h </w:instrText>
        </w:r>
        <w:r w:rsidR="008B44A1">
          <w:rPr>
            <w:noProof/>
            <w:webHidden/>
          </w:rPr>
        </w:r>
        <w:r w:rsidR="008B44A1">
          <w:rPr>
            <w:noProof/>
            <w:webHidden/>
          </w:rPr>
          <w:fldChar w:fldCharType="separate"/>
        </w:r>
        <w:r w:rsidR="008B44A1">
          <w:rPr>
            <w:noProof/>
            <w:webHidden/>
          </w:rPr>
          <w:t>3</w:t>
        </w:r>
        <w:r w:rsidR="008B44A1">
          <w:rPr>
            <w:noProof/>
            <w:webHidden/>
          </w:rPr>
          <w:fldChar w:fldCharType="end"/>
        </w:r>
      </w:hyperlink>
    </w:p>
    <w:p w14:paraId="5BE38A9B" w14:textId="3E46D75C" w:rsidR="008B44A1" w:rsidRDefault="008B44A1">
      <w:pPr>
        <w:pStyle w:val="TM1"/>
        <w:tabs>
          <w:tab w:val="right" w:leader="dot" w:pos="9062"/>
        </w:tabs>
        <w:rPr>
          <w:rFonts w:asciiTheme="minorHAnsi" w:eastAsiaTheme="minorEastAsia" w:hAnsiTheme="minorHAnsi" w:cstheme="minorBidi"/>
          <w:noProof/>
          <w:lang w:eastAsia="fr-FR" w:bidi="ar-SA"/>
        </w:rPr>
      </w:pPr>
      <w:hyperlink w:anchor="_Toc215131752" w:history="1">
        <w:r w:rsidRPr="00B27C46">
          <w:rPr>
            <w:rStyle w:val="Lienhypertexte"/>
            <w:noProof/>
          </w:rPr>
          <w:t>Listes de tableaux</w:t>
        </w:r>
        <w:r>
          <w:rPr>
            <w:noProof/>
            <w:webHidden/>
          </w:rPr>
          <w:tab/>
        </w:r>
        <w:r>
          <w:rPr>
            <w:noProof/>
            <w:webHidden/>
          </w:rPr>
          <w:fldChar w:fldCharType="begin"/>
        </w:r>
        <w:r>
          <w:rPr>
            <w:noProof/>
            <w:webHidden/>
          </w:rPr>
          <w:instrText xml:space="preserve"> PAGEREF _Toc215131752 \h </w:instrText>
        </w:r>
        <w:r>
          <w:rPr>
            <w:noProof/>
            <w:webHidden/>
          </w:rPr>
        </w:r>
        <w:r>
          <w:rPr>
            <w:noProof/>
            <w:webHidden/>
          </w:rPr>
          <w:fldChar w:fldCharType="separate"/>
        </w:r>
        <w:r>
          <w:rPr>
            <w:noProof/>
            <w:webHidden/>
          </w:rPr>
          <w:t>11</w:t>
        </w:r>
        <w:r>
          <w:rPr>
            <w:noProof/>
            <w:webHidden/>
          </w:rPr>
          <w:fldChar w:fldCharType="end"/>
        </w:r>
      </w:hyperlink>
    </w:p>
    <w:p w14:paraId="434939AB" w14:textId="422E867F" w:rsidR="008B44A1" w:rsidRDefault="008B44A1">
      <w:pPr>
        <w:pStyle w:val="TM1"/>
        <w:tabs>
          <w:tab w:val="right" w:leader="dot" w:pos="9062"/>
        </w:tabs>
        <w:rPr>
          <w:rFonts w:asciiTheme="minorHAnsi" w:eastAsiaTheme="minorEastAsia" w:hAnsiTheme="minorHAnsi" w:cstheme="minorBidi"/>
          <w:noProof/>
          <w:lang w:eastAsia="fr-FR" w:bidi="ar-SA"/>
        </w:rPr>
      </w:pPr>
      <w:hyperlink w:anchor="_Toc215131753" w:history="1">
        <w:r w:rsidRPr="00B27C46">
          <w:rPr>
            <w:rStyle w:val="Lienhypertexte"/>
            <w:noProof/>
          </w:rPr>
          <w:t>Liste de figures</w:t>
        </w:r>
        <w:r>
          <w:rPr>
            <w:noProof/>
            <w:webHidden/>
          </w:rPr>
          <w:tab/>
        </w:r>
        <w:r>
          <w:rPr>
            <w:noProof/>
            <w:webHidden/>
          </w:rPr>
          <w:fldChar w:fldCharType="begin"/>
        </w:r>
        <w:r>
          <w:rPr>
            <w:noProof/>
            <w:webHidden/>
          </w:rPr>
          <w:instrText xml:space="preserve"> PAGEREF _Toc215131753 \h </w:instrText>
        </w:r>
        <w:r>
          <w:rPr>
            <w:noProof/>
            <w:webHidden/>
          </w:rPr>
        </w:r>
        <w:r>
          <w:rPr>
            <w:noProof/>
            <w:webHidden/>
          </w:rPr>
          <w:fldChar w:fldCharType="separate"/>
        </w:r>
        <w:r>
          <w:rPr>
            <w:noProof/>
            <w:webHidden/>
          </w:rPr>
          <w:t>14</w:t>
        </w:r>
        <w:r>
          <w:rPr>
            <w:noProof/>
            <w:webHidden/>
          </w:rPr>
          <w:fldChar w:fldCharType="end"/>
        </w:r>
      </w:hyperlink>
    </w:p>
    <w:p w14:paraId="6B363B65" w14:textId="289DBCB0" w:rsidR="008B44A1" w:rsidRDefault="008B44A1">
      <w:pPr>
        <w:pStyle w:val="TM1"/>
        <w:tabs>
          <w:tab w:val="right" w:leader="dot" w:pos="9062"/>
        </w:tabs>
        <w:rPr>
          <w:rFonts w:asciiTheme="minorHAnsi" w:eastAsiaTheme="minorEastAsia" w:hAnsiTheme="minorHAnsi" w:cstheme="minorBidi"/>
          <w:noProof/>
          <w:lang w:eastAsia="fr-FR" w:bidi="ar-SA"/>
        </w:rPr>
      </w:pPr>
      <w:hyperlink w:anchor="_Toc215131754" w:history="1">
        <w:r w:rsidRPr="00B27C46">
          <w:rPr>
            <w:rStyle w:val="Lienhypertexte"/>
            <w:noProof/>
          </w:rPr>
          <w:t>Liste des acronymes</w:t>
        </w:r>
        <w:r>
          <w:rPr>
            <w:noProof/>
            <w:webHidden/>
          </w:rPr>
          <w:tab/>
        </w:r>
        <w:r>
          <w:rPr>
            <w:noProof/>
            <w:webHidden/>
          </w:rPr>
          <w:fldChar w:fldCharType="begin"/>
        </w:r>
        <w:r>
          <w:rPr>
            <w:noProof/>
            <w:webHidden/>
          </w:rPr>
          <w:instrText xml:space="preserve"> PAGEREF _Toc215131754 \h </w:instrText>
        </w:r>
        <w:r>
          <w:rPr>
            <w:noProof/>
            <w:webHidden/>
          </w:rPr>
        </w:r>
        <w:r>
          <w:rPr>
            <w:noProof/>
            <w:webHidden/>
          </w:rPr>
          <w:fldChar w:fldCharType="separate"/>
        </w:r>
        <w:r>
          <w:rPr>
            <w:noProof/>
            <w:webHidden/>
          </w:rPr>
          <w:t>15</w:t>
        </w:r>
        <w:r>
          <w:rPr>
            <w:noProof/>
            <w:webHidden/>
          </w:rPr>
          <w:fldChar w:fldCharType="end"/>
        </w:r>
      </w:hyperlink>
    </w:p>
    <w:p w14:paraId="1A918F93" w14:textId="1BDBEEAE" w:rsidR="008B44A1" w:rsidRDefault="008B44A1">
      <w:pPr>
        <w:pStyle w:val="TM1"/>
        <w:tabs>
          <w:tab w:val="left" w:pos="440"/>
          <w:tab w:val="right" w:leader="dot" w:pos="9062"/>
        </w:tabs>
        <w:rPr>
          <w:rFonts w:asciiTheme="minorHAnsi" w:eastAsiaTheme="minorEastAsia" w:hAnsiTheme="minorHAnsi" w:cstheme="minorBidi"/>
          <w:noProof/>
          <w:lang w:eastAsia="fr-FR" w:bidi="ar-SA"/>
        </w:rPr>
      </w:pPr>
      <w:hyperlink w:anchor="_Toc215131755" w:history="1">
        <w:r w:rsidRPr="00B27C46">
          <w:rPr>
            <w:rStyle w:val="Lienhypertexte"/>
            <w:noProof/>
          </w:rPr>
          <w:t>1.</w:t>
        </w:r>
        <w:r>
          <w:rPr>
            <w:rFonts w:asciiTheme="minorHAnsi" w:eastAsiaTheme="minorEastAsia" w:hAnsiTheme="minorHAnsi" w:cstheme="minorBidi"/>
            <w:noProof/>
            <w:lang w:eastAsia="fr-FR" w:bidi="ar-SA"/>
          </w:rPr>
          <w:tab/>
        </w:r>
        <w:r w:rsidRPr="00B27C46">
          <w:rPr>
            <w:rStyle w:val="Lienhypertexte"/>
            <w:noProof/>
          </w:rPr>
          <w:t>Résumé exécutif</w:t>
        </w:r>
        <w:r>
          <w:rPr>
            <w:noProof/>
            <w:webHidden/>
          </w:rPr>
          <w:tab/>
        </w:r>
        <w:r>
          <w:rPr>
            <w:noProof/>
            <w:webHidden/>
          </w:rPr>
          <w:fldChar w:fldCharType="begin"/>
        </w:r>
        <w:r>
          <w:rPr>
            <w:noProof/>
            <w:webHidden/>
          </w:rPr>
          <w:instrText xml:space="preserve"> PAGEREF _Toc215131755 \h </w:instrText>
        </w:r>
        <w:r>
          <w:rPr>
            <w:noProof/>
            <w:webHidden/>
          </w:rPr>
        </w:r>
        <w:r>
          <w:rPr>
            <w:noProof/>
            <w:webHidden/>
          </w:rPr>
          <w:fldChar w:fldCharType="separate"/>
        </w:r>
        <w:r>
          <w:rPr>
            <w:noProof/>
            <w:webHidden/>
          </w:rPr>
          <w:t>23</w:t>
        </w:r>
        <w:r>
          <w:rPr>
            <w:noProof/>
            <w:webHidden/>
          </w:rPr>
          <w:fldChar w:fldCharType="end"/>
        </w:r>
      </w:hyperlink>
    </w:p>
    <w:p w14:paraId="5D3DB3DF" w14:textId="7C8B9E2B" w:rsidR="008B44A1" w:rsidRDefault="008B44A1">
      <w:pPr>
        <w:pStyle w:val="TM2"/>
        <w:rPr>
          <w:rFonts w:asciiTheme="minorHAnsi" w:eastAsiaTheme="minorEastAsia" w:hAnsiTheme="minorHAnsi" w:cstheme="minorBidi"/>
          <w:noProof/>
          <w:lang w:eastAsia="fr-FR" w:bidi="ar-SA"/>
        </w:rPr>
      </w:pPr>
      <w:hyperlink w:anchor="_Toc215131756" w:history="1">
        <w:r w:rsidRPr="00B27C46">
          <w:rPr>
            <w:rStyle w:val="Lienhypertexte"/>
            <w:noProof/>
          </w:rPr>
          <w:t>1.1.</w:t>
        </w:r>
        <w:r>
          <w:rPr>
            <w:rFonts w:asciiTheme="minorHAnsi" w:eastAsiaTheme="minorEastAsia" w:hAnsiTheme="minorHAnsi" w:cstheme="minorBidi"/>
            <w:noProof/>
            <w:lang w:eastAsia="fr-FR" w:bidi="ar-SA"/>
          </w:rPr>
          <w:tab/>
        </w:r>
        <w:r w:rsidRPr="00B27C46">
          <w:rPr>
            <w:rStyle w:val="Lienhypertexte"/>
            <w:noProof/>
          </w:rPr>
          <w:t>Description sommaire du projet</w:t>
        </w:r>
        <w:r>
          <w:rPr>
            <w:noProof/>
            <w:webHidden/>
          </w:rPr>
          <w:tab/>
        </w:r>
        <w:r>
          <w:rPr>
            <w:noProof/>
            <w:webHidden/>
          </w:rPr>
          <w:fldChar w:fldCharType="begin"/>
        </w:r>
        <w:r>
          <w:rPr>
            <w:noProof/>
            <w:webHidden/>
          </w:rPr>
          <w:instrText xml:space="preserve"> PAGEREF _Toc215131756 \h </w:instrText>
        </w:r>
        <w:r>
          <w:rPr>
            <w:noProof/>
            <w:webHidden/>
          </w:rPr>
        </w:r>
        <w:r>
          <w:rPr>
            <w:noProof/>
            <w:webHidden/>
          </w:rPr>
          <w:fldChar w:fldCharType="separate"/>
        </w:r>
        <w:r>
          <w:rPr>
            <w:noProof/>
            <w:webHidden/>
          </w:rPr>
          <w:t>23</w:t>
        </w:r>
        <w:r>
          <w:rPr>
            <w:noProof/>
            <w:webHidden/>
          </w:rPr>
          <w:fldChar w:fldCharType="end"/>
        </w:r>
      </w:hyperlink>
    </w:p>
    <w:p w14:paraId="232A5811" w14:textId="5C8DABC2" w:rsidR="008B44A1" w:rsidRDefault="008B44A1">
      <w:pPr>
        <w:pStyle w:val="TM3"/>
        <w:rPr>
          <w:rFonts w:asciiTheme="minorHAnsi" w:eastAsiaTheme="minorEastAsia" w:hAnsiTheme="minorHAnsi" w:cstheme="minorBidi"/>
          <w:noProof/>
          <w:lang w:eastAsia="fr-FR" w:bidi="ar-SA"/>
        </w:rPr>
      </w:pPr>
      <w:hyperlink w:anchor="_Toc215131757" w:history="1">
        <w:r w:rsidRPr="00B27C46">
          <w:rPr>
            <w:rStyle w:val="Lienhypertexte"/>
            <w:noProof/>
          </w:rPr>
          <w:t>1.1.1.</w:t>
        </w:r>
        <w:r>
          <w:rPr>
            <w:rFonts w:asciiTheme="minorHAnsi" w:eastAsiaTheme="minorEastAsia" w:hAnsiTheme="minorHAnsi" w:cstheme="minorBidi"/>
            <w:noProof/>
            <w:lang w:eastAsia="fr-FR" w:bidi="ar-SA"/>
          </w:rPr>
          <w:tab/>
        </w:r>
        <w:r w:rsidRPr="00B27C46">
          <w:rPr>
            <w:rStyle w:val="Lienhypertexte"/>
            <w:noProof/>
          </w:rPr>
          <w:t>But et objectifs spécifiques du projet</w:t>
        </w:r>
        <w:r>
          <w:rPr>
            <w:noProof/>
            <w:webHidden/>
          </w:rPr>
          <w:tab/>
        </w:r>
        <w:r>
          <w:rPr>
            <w:noProof/>
            <w:webHidden/>
          </w:rPr>
          <w:fldChar w:fldCharType="begin"/>
        </w:r>
        <w:r>
          <w:rPr>
            <w:noProof/>
            <w:webHidden/>
          </w:rPr>
          <w:instrText xml:space="preserve"> PAGEREF _Toc215131757 \h </w:instrText>
        </w:r>
        <w:r>
          <w:rPr>
            <w:noProof/>
            <w:webHidden/>
          </w:rPr>
        </w:r>
        <w:r>
          <w:rPr>
            <w:noProof/>
            <w:webHidden/>
          </w:rPr>
          <w:fldChar w:fldCharType="separate"/>
        </w:r>
        <w:r>
          <w:rPr>
            <w:noProof/>
            <w:webHidden/>
          </w:rPr>
          <w:t>23</w:t>
        </w:r>
        <w:r>
          <w:rPr>
            <w:noProof/>
            <w:webHidden/>
          </w:rPr>
          <w:fldChar w:fldCharType="end"/>
        </w:r>
      </w:hyperlink>
    </w:p>
    <w:p w14:paraId="2A8146CA" w14:textId="29CB48F3" w:rsidR="008B44A1" w:rsidRDefault="008B44A1">
      <w:pPr>
        <w:pStyle w:val="TM3"/>
        <w:rPr>
          <w:rFonts w:asciiTheme="minorHAnsi" w:eastAsiaTheme="minorEastAsia" w:hAnsiTheme="minorHAnsi" w:cstheme="minorBidi"/>
          <w:noProof/>
          <w:lang w:eastAsia="fr-FR" w:bidi="ar-SA"/>
        </w:rPr>
      </w:pPr>
      <w:hyperlink w:anchor="_Toc215131758" w:history="1">
        <w:r w:rsidRPr="00B27C46">
          <w:rPr>
            <w:rStyle w:val="Lienhypertexte"/>
            <w:noProof/>
          </w:rPr>
          <w:t>1.1.2.</w:t>
        </w:r>
        <w:r>
          <w:rPr>
            <w:rFonts w:asciiTheme="minorHAnsi" w:eastAsiaTheme="minorEastAsia" w:hAnsiTheme="minorHAnsi" w:cstheme="minorBidi"/>
            <w:noProof/>
            <w:lang w:eastAsia="fr-FR" w:bidi="ar-SA"/>
          </w:rPr>
          <w:tab/>
        </w:r>
        <w:r w:rsidRPr="00B27C46">
          <w:rPr>
            <w:rStyle w:val="Lienhypertexte"/>
            <w:noProof/>
          </w:rPr>
          <w:t>Composantes et principales activités du projet</w:t>
        </w:r>
        <w:r>
          <w:rPr>
            <w:noProof/>
            <w:webHidden/>
          </w:rPr>
          <w:tab/>
        </w:r>
        <w:r>
          <w:rPr>
            <w:noProof/>
            <w:webHidden/>
          </w:rPr>
          <w:fldChar w:fldCharType="begin"/>
        </w:r>
        <w:r>
          <w:rPr>
            <w:noProof/>
            <w:webHidden/>
          </w:rPr>
          <w:instrText xml:space="preserve"> PAGEREF _Toc215131758 \h </w:instrText>
        </w:r>
        <w:r>
          <w:rPr>
            <w:noProof/>
            <w:webHidden/>
          </w:rPr>
        </w:r>
        <w:r>
          <w:rPr>
            <w:noProof/>
            <w:webHidden/>
          </w:rPr>
          <w:fldChar w:fldCharType="separate"/>
        </w:r>
        <w:r>
          <w:rPr>
            <w:noProof/>
            <w:webHidden/>
          </w:rPr>
          <w:t>23</w:t>
        </w:r>
        <w:r>
          <w:rPr>
            <w:noProof/>
            <w:webHidden/>
          </w:rPr>
          <w:fldChar w:fldCharType="end"/>
        </w:r>
      </w:hyperlink>
    </w:p>
    <w:p w14:paraId="3C857937" w14:textId="20D4A962" w:rsidR="008B44A1" w:rsidRDefault="008B44A1">
      <w:pPr>
        <w:pStyle w:val="TM3"/>
        <w:rPr>
          <w:rFonts w:asciiTheme="minorHAnsi" w:eastAsiaTheme="minorEastAsia" w:hAnsiTheme="minorHAnsi" w:cstheme="minorBidi"/>
          <w:noProof/>
          <w:lang w:eastAsia="fr-FR" w:bidi="ar-SA"/>
        </w:rPr>
      </w:pPr>
      <w:hyperlink w:anchor="_Toc215131759" w:history="1">
        <w:r w:rsidRPr="00B27C46">
          <w:rPr>
            <w:rStyle w:val="Lienhypertexte"/>
            <w:noProof/>
          </w:rPr>
          <w:t>1.1.3.</w:t>
        </w:r>
        <w:r>
          <w:rPr>
            <w:rFonts w:asciiTheme="minorHAnsi" w:eastAsiaTheme="minorEastAsia" w:hAnsiTheme="minorHAnsi" w:cstheme="minorBidi"/>
            <w:noProof/>
            <w:lang w:eastAsia="fr-FR" w:bidi="ar-SA"/>
          </w:rPr>
          <w:tab/>
        </w:r>
        <w:r w:rsidRPr="00B27C46">
          <w:rPr>
            <w:rStyle w:val="Lienhypertexte"/>
            <w:noProof/>
          </w:rPr>
          <w:t>Alternatives étudiées</w:t>
        </w:r>
        <w:r>
          <w:rPr>
            <w:noProof/>
            <w:webHidden/>
          </w:rPr>
          <w:tab/>
        </w:r>
        <w:r>
          <w:rPr>
            <w:noProof/>
            <w:webHidden/>
          </w:rPr>
          <w:fldChar w:fldCharType="begin"/>
        </w:r>
        <w:r>
          <w:rPr>
            <w:noProof/>
            <w:webHidden/>
          </w:rPr>
          <w:instrText xml:space="preserve"> PAGEREF _Toc215131759 \h </w:instrText>
        </w:r>
        <w:r>
          <w:rPr>
            <w:noProof/>
            <w:webHidden/>
          </w:rPr>
        </w:r>
        <w:r>
          <w:rPr>
            <w:noProof/>
            <w:webHidden/>
          </w:rPr>
          <w:fldChar w:fldCharType="separate"/>
        </w:r>
        <w:r>
          <w:rPr>
            <w:noProof/>
            <w:webHidden/>
          </w:rPr>
          <w:t>24</w:t>
        </w:r>
        <w:r>
          <w:rPr>
            <w:noProof/>
            <w:webHidden/>
          </w:rPr>
          <w:fldChar w:fldCharType="end"/>
        </w:r>
      </w:hyperlink>
    </w:p>
    <w:p w14:paraId="678817E8" w14:textId="02EB49D5" w:rsidR="008B44A1" w:rsidRDefault="008B44A1">
      <w:pPr>
        <w:pStyle w:val="TM2"/>
        <w:rPr>
          <w:rFonts w:asciiTheme="minorHAnsi" w:eastAsiaTheme="minorEastAsia" w:hAnsiTheme="minorHAnsi" w:cstheme="minorBidi"/>
          <w:noProof/>
          <w:lang w:eastAsia="fr-FR" w:bidi="ar-SA"/>
        </w:rPr>
      </w:pPr>
      <w:hyperlink w:anchor="_Toc215131760" w:history="1">
        <w:r w:rsidRPr="00B27C46">
          <w:rPr>
            <w:rStyle w:val="Lienhypertexte"/>
            <w:noProof/>
          </w:rPr>
          <w:t>1.2.</w:t>
        </w:r>
        <w:r>
          <w:rPr>
            <w:rFonts w:asciiTheme="minorHAnsi" w:eastAsiaTheme="minorEastAsia" w:hAnsiTheme="minorHAnsi" w:cstheme="minorBidi"/>
            <w:noProof/>
            <w:lang w:eastAsia="fr-FR" w:bidi="ar-SA"/>
          </w:rPr>
          <w:tab/>
        </w:r>
        <w:r w:rsidRPr="00B27C46">
          <w:rPr>
            <w:rStyle w:val="Lienhypertexte"/>
            <w:noProof/>
          </w:rPr>
          <w:t>Brève description du site du projet et des impacts environnementaux et sociaux majeurs</w:t>
        </w:r>
        <w:r>
          <w:rPr>
            <w:noProof/>
            <w:webHidden/>
          </w:rPr>
          <w:tab/>
        </w:r>
        <w:r>
          <w:rPr>
            <w:noProof/>
            <w:webHidden/>
          </w:rPr>
          <w:fldChar w:fldCharType="begin"/>
        </w:r>
        <w:r>
          <w:rPr>
            <w:noProof/>
            <w:webHidden/>
          </w:rPr>
          <w:instrText xml:space="preserve"> PAGEREF _Toc215131760 \h </w:instrText>
        </w:r>
        <w:r>
          <w:rPr>
            <w:noProof/>
            <w:webHidden/>
          </w:rPr>
        </w:r>
        <w:r>
          <w:rPr>
            <w:noProof/>
            <w:webHidden/>
          </w:rPr>
          <w:fldChar w:fldCharType="separate"/>
        </w:r>
        <w:r>
          <w:rPr>
            <w:noProof/>
            <w:webHidden/>
          </w:rPr>
          <w:t>25</w:t>
        </w:r>
        <w:r>
          <w:rPr>
            <w:noProof/>
            <w:webHidden/>
          </w:rPr>
          <w:fldChar w:fldCharType="end"/>
        </w:r>
      </w:hyperlink>
    </w:p>
    <w:p w14:paraId="6B0A12D2" w14:textId="5BDB8A05" w:rsidR="008B44A1" w:rsidRDefault="008B44A1">
      <w:pPr>
        <w:pStyle w:val="TM3"/>
        <w:rPr>
          <w:rFonts w:asciiTheme="minorHAnsi" w:eastAsiaTheme="minorEastAsia" w:hAnsiTheme="minorHAnsi" w:cstheme="minorBidi"/>
          <w:noProof/>
          <w:lang w:eastAsia="fr-FR" w:bidi="ar-SA"/>
        </w:rPr>
      </w:pPr>
      <w:hyperlink w:anchor="_Toc215131761" w:history="1">
        <w:r w:rsidRPr="00B27C46">
          <w:rPr>
            <w:rStyle w:val="Lienhypertexte"/>
            <w:noProof/>
          </w:rPr>
          <w:t>1.2.1.</w:t>
        </w:r>
        <w:r>
          <w:rPr>
            <w:rFonts w:asciiTheme="minorHAnsi" w:eastAsiaTheme="minorEastAsia" w:hAnsiTheme="minorHAnsi" w:cstheme="minorBidi"/>
            <w:noProof/>
            <w:lang w:eastAsia="fr-FR" w:bidi="ar-SA"/>
          </w:rPr>
          <w:tab/>
        </w:r>
        <w:r w:rsidRPr="00B27C46">
          <w:rPr>
            <w:rStyle w:val="Lienhypertexte"/>
            <w:noProof/>
          </w:rPr>
          <w:t>Localisation et contexte général du projet</w:t>
        </w:r>
        <w:r>
          <w:rPr>
            <w:noProof/>
            <w:webHidden/>
          </w:rPr>
          <w:tab/>
        </w:r>
        <w:r>
          <w:rPr>
            <w:noProof/>
            <w:webHidden/>
          </w:rPr>
          <w:fldChar w:fldCharType="begin"/>
        </w:r>
        <w:r>
          <w:rPr>
            <w:noProof/>
            <w:webHidden/>
          </w:rPr>
          <w:instrText xml:space="preserve"> PAGEREF _Toc215131761 \h </w:instrText>
        </w:r>
        <w:r>
          <w:rPr>
            <w:noProof/>
            <w:webHidden/>
          </w:rPr>
        </w:r>
        <w:r>
          <w:rPr>
            <w:noProof/>
            <w:webHidden/>
          </w:rPr>
          <w:fldChar w:fldCharType="separate"/>
        </w:r>
        <w:r>
          <w:rPr>
            <w:noProof/>
            <w:webHidden/>
          </w:rPr>
          <w:t>25</w:t>
        </w:r>
        <w:r>
          <w:rPr>
            <w:noProof/>
            <w:webHidden/>
          </w:rPr>
          <w:fldChar w:fldCharType="end"/>
        </w:r>
      </w:hyperlink>
    </w:p>
    <w:p w14:paraId="7C80DF92" w14:textId="044CD34D" w:rsidR="008B44A1" w:rsidRDefault="008B44A1">
      <w:pPr>
        <w:pStyle w:val="TM3"/>
        <w:rPr>
          <w:rFonts w:asciiTheme="minorHAnsi" w:eastAsiaTheme="minorEastAsia" w:hAnsiTheme="minorHAnsi" w:cstheme="minorBidi"/>
          <w:noProof/>
          <w:lang w:eastAsia="fr-FR" w:bidi="ar-SA"/>
        </w:rPr>
      </w:pPr>
      <w:hyperlink w:anchor="_Toc215131762" w:history="1">
        <w:r w:rsidRPr="00B27C46">
          <w:rPr>
            <w:rStyle w:val="Lienhypertexte"/>
            <w:noProof/>
          </w:rPr>
          <w:t>1.2.2.</w:t>
        </w:r>
        <w:r>
          <w:rPr>
            <w:rFonts w:asciiTheme="minorHAnsi" w:eastAsiaTheme="minorEastAsia" w:hAnsiTheme="minorHAnsi" w:cstheme="minorBidi"/>
            <w:noProof/>
            <w:lang w:eastAsia="fr-FR" w:bidi="ar-SA"/>
          </w:rPr>
          <w:tab/>
        </w:r>
        <w:r w:rsidRPr="00B27C46">
          <w:rPr>
            <w:rStyle w:val="Lienhypertexte"/>
            <w:noProof/>
          </w:rPr>
          <w:t>Environnement biophysique et composantes valorisées</w:t>
        </w:r>
        <w:r>
          <w:rPr>
            <w:noProof/>
            <w:webHidden/>
          </w:rPr>
          <w:tab/>
        </w:r>
        <w:r>
          <w:rPr>
            <w:noProof/>
            <w:webHidden/>
          </w:rPr>
          <w:fldChar w:fldCharType="begin"/>
        </w:r>
        <w:r>
          <w:rPr>
            <w:noProof/>
            <w:webHidden/>
          </w:rPr>
          <w:instrText xml:space="preserve"> PAGEREF _Toc215131762 \h </w:instrText>
        </w:r>
        <w:r>
          <w:rPr>
            <w:noProof/>
            <w:webHidden/>
          </w:rPr>
        </w:r>
        <w:r>
          <w:rPr>
            <w:noProof/>
            <w:webHidden/>
          </w:rPr>
          <w:fldChar w:fldCharType="separate"/>
        </w:r>
        <w:r>
          <w:rPr>
            <w:noProof/>
            <w:webHidden/>
          </w:rPr>
          <w:t>25</w:t>
        </w:r>
        <w:r>
          <w:rPr>
            <w:noProof/>
            <w:webHidden/>
          </w:rPr>
          <w:fldChar w:fldCharType="end"/>
        </w:r>
      </w:hyperlink>
    </w:p>
    <w:p w14:paraId="770DE9C8" w14:textId="72FA323F" w:rsidR="008B44A1" w:rsidRDefault="008B44A1">
      <w:pPr>
        <w:pStyle w:val="TM3"/>
        <w:rPr>
          <w:rFonts w:asciiTheme="minorHAnsi" w:eastAsiaTheme="minorEastAsia" w:hAnsiTheme="minorHAnsi" w:cstheme="minorBidi"/>
          <w:noProof/>
          <w:lang w:eastAsia="fr-FR" w:bidi="ar-SA"/>
        </w:rPr>
      </w:pPr>
      <w:hyperlink w:anchor="_Toc215131763" w:history="1">
        <w:r w:rsidRPr="00B27C46">
          <w:rPr>
            <w:rStyle w:val="Lienhypertexte"/>
            <w:noProof/>
          </w:rPr>
          <w:t>1.2.3.</w:t>
        </w:r>
        <w:r>
          <w:rPr>
            <w:rFonts w:asciiTheme="minorHAnsi" w:eastAsiaTheme="minorEastAsia" w:hAnsiTheme="minorHAnsi" w:cstheme="minorBidi"/>
            <w:noProof/>
            <w:lang w:eastAsia="fr-FR" w:bidi="ar-SA"/>
          </w:rPr>
          <w:tab/>
        </w:r>
        <w:r w:rsidRPr="00B27C46">
          <w:rPr>
            <w:rStyle w:val="Lienhypertexte"/>
            <w:noProof/>
          </w:rPr>
          <w:t>Contexte humain et social</w:t>
        </w:r>
        <w:r>
          <w:rPr>
            <w:noProof/>
            <w:webHidden/>
          </w:rPr>
          <w:tab/>
        </w:r>
        <w:r>
          <w:rPr>
            <w:noProof/>
            <w:webHidden/>
          </w:rPr>
          <w:fldChar w:fldCharType="begin"/>
        </w:r>
        <w:r>
          <w:rPr>
            <w:noProof/>
            <w:webHidden/>
          </w:rPr>
          <w:instrText xml:space="preserve"> PAGEREF _Toc215131763 \h </w:instrText>
        </w:r>
        <w:r>
          <w:rPr>
            <w:noProof/>
            <w:webHidden/>
          </w:rPr>
        </w:r>
        <w:r>
          <w:rPr>
            <w:noProof/>
            <w:webHidden/>
          </w:rPr>
          <w:fldChar w:fldCharType="separate"/>
        </w:r>
        <w:r>
          <w:rPr>
            <w:noProof/>
            <w:webHidden/>
          </w:rPr>
          <w:t>26</w:t>
        </w:r>
        <w:r>
          <w:rPr>
            <w:noProof/>
            <w:webHidden/>
          </w:rPr>
          <w:fldChar w:fldCharType="end"/>
        </w:r>
      </w:hyperlink>
    </w:p>
    <w:p w14:paraId="6BCEA6B3" w14:textId="791A83EE" w:rsidR="008B44A1" w:rsidRDefault="008B44A1">
      <w:pPr>
        <w:pStyle w:val="TM3"/>
        <w:rPr>
          <w:rFonts w:asciiTheme="minorHAnsi" w:eastAsiaTheme="minorEastAsia" w:hAnsiTheme="minorHAnsi" w:cstheme="minorBidi"/>
          <w:noProof/>
          <w:lang w:eastAsia="fr-FR" w:bidi="ar-SA"/>
        </w:rPr>
      </w:pPr>
      <w:hyperlink w:anchor="_Toc215131764" w:history="1">
        <w:r w:rsidRPr="00B27C46">
          <w:rPr>
            <w:rStyle w:val="Lienhypertexte"/>
            <w:noProof/>
          </w:rPr>
          <w:t>1.2.4.</w:t>
        </w:r>
        <w:r>
          <w:rPr>
            <w:rFonts w:asciiTheme="minorHAnsi" w:eastAsiaTheme="minorEastAsia" w:hAnsiTheme="minorHAnsi" w:cstheme="minorBidi"/>
            <w:noProof/>
            <w:lang w:eastAsia="fr-FR" w:bidi="ar-SA"/>
          </w:rPr>
          <w:tab/>
        </w:r>
        <w:r w:rsidRPr="00B27C46">
          <w:rPr>
            <w:rStyle w:val="Lienhypertexte"/>
            <w:noProof/>
          </w:rPr>
          <w:t>Impacts environnementaux et sociaux majeurs anticipés</w:t>
        </w:r>
        <w:r>
          <w:rPr>
            <w:noProof/>
            <w:webHidden/>
          </w:rPr>
          <w:tab/>
        </w:r>
        <w:r>
          <w:rPr>
            <w:noProof/>
            <w:webHidden/>
          </w:rPr>
          <w:fldChar w:fldCharType="begin"/>
        </w:r>
        <w:r>
          <w:rPr>
            <w:noProof/>
            <w:webHidden/>
          </w:rPr>
          <w:instrText xml:space="preserve"> PAGEREF _Toc215131764 \h </w:instrText>
        </w:r>
        <w:r>
          <w:rPr>
            <w:noProof/>
            <w:webHidden/>
          </w:rPr>
        </w:r>
        <w:r>
          <w:rPr>
            <w:noProof/>
            <w:webHidden/>
          </w:rPr>
          <w:fldChar w:fldCharType="separate"/>
        </w:r>
        <w:r>
          <w:rPr>
            <w:noProof/>
            <w:webHidden/>
          </w:rPr>
          <w:t>26</w:t>
        </w:r>
        <w:r>
          <w:rPr>
            <w:noProof/>
            <w:webHidden/>
          </w:rPr>
          <w:fldChar w:fldCharType="end"/>
        </w:r>
      </w:hyperlink>
    </w:p>
    <w:p w14:paraId="71DE0368" w14:textId="5C693616" w:rsidR="008B44A1" w:rsidRDefault="008B44A1">
      <w:pPr>
        <w:pStyle w:val="TM3"/>
        <w:rPr>
          <w:rFonts w:asciiTheme="minorHAnsi" w:eastAsiaTheme="minorEastAsia" w:hAnsiTheme="minorHAnsi" w:cstheme="minorBidi"/>
          <w:noProof/>
          <w:lang w:eastAsia="fr-FR" w:bidi="ar-SA"/>
        </w:rPr>
      </w:pPr>
      <w:hyperlink w:anchor="_Toc215131765" w:history="1">
        <w:r w:rsidRPr="00B27C46">
          <w:rPr>
            <w:rStyle w:val="Lienhypertexte"/>
            <w:noProof/>
          </w:rPr>
          <w:t>1.2.5.</w:t>
        </w:r>
        <w:r>
          <w:rPr>
            <w:rFonts w:asciiTheme="minorHAnsi" w:eastAsiaTheme="minorEastAsia" w:hAnsiTheme="minorHAnsi" w:cstheme="minorBidi"/>
            <w:noProof/>
            <w:lang w:eastAsia="fr-FR" w:bidi="ar-SA"/>
          </w:rPr>
          <w:tab/>
        </w:r>
        <w:r w:rsidRPr="00B27C46">
          <w:rPr>
            <w:rStyle w:val="Lienhypertexte"/>
            <w:noProof/>
          </w:rPr>
          <w:t>Occupation des sols et tendances sans projet</w:t>
        </w:r>
        <w:r>
          <w:rPr>
            <w:noProof/>
            <w:webHidden/>
          </w:rPr>
          <w:tab/>
        </w:r>
        <w:r>
          <w:rPr>
            <w:noProof/>
            <w:webHidden/>
          </w:rPr>
          <w:fldChar w:fldCharType="begin"/>
        </w:r>
        <w:r>
          <w:rPr>
            <w:noProof/>
            <w:webHidden/>
          </w:rPr>
          <w:instrText xml:space="preserve"> PAGEREF _Toc215131765 \h </w:instrText>
        </w:r>
        <w:r>
          <w:rPr>
            <w:noProof/>
            <w:webHidden/>
          </w:rPr>
        </w:r>
        <w:r>
          <w:rPr>
            <w:noProof/>
            <w:webHidden/>
          </w:rPr>
          <w:fldChar w:fldCharType="separate"/>
        </w:r>
        <w:r>
          <w:rPr>
            <w:noProof/>
            <w:webHidden/>
          </w:rPr>
          <w:t>27</w:t>
        </w:r>
        <w:r>
          <w:rPr>
            <w:noProof/>
            <w:webHidden/>
          </w:rPr>
          <w:fldChar w:fldCharType="end"/>
        </w:r>
      </w:hyperlink>
    </w:p>
    <w:p w14:paraId="6D3599A6" w14:textId="5BAE1033" w:rsidR="008B44A1" w:rsidRDefault="008B44A1">
      <w:pPr>
        <w:pStyle w:val="TM2"/>
        <w:rPr>
          <w:rFonts w:asciiTheme="minorHAnsi" w:eastAsiaTheme="minorEastAsia" w:hAnsiTheme="minorHAnsi" w:cstheme="minorBidi"/>
          <w:noProof/>
          <w:lang w:eastAsia="fr-FR" w:bidi="ar-SA"/>
        </w:rPr>
      </w:pPr>
      <w:hyperlink w:anchor="_Toc215131766" w:history="1">
        <w:r w:rsidRPr="00B27C46">
          <w:rPr>
            <w:rStyle w:val="Lienhypertexte"/>
            <w:noProof/>
          </w:rPr>
          <w:t>1.3.</w:t>
        </w:r>
        <w:r>
          <w:rPr>
            <w:rFonts w:asciiTheme="minorHAnsi" w:eastAsiaTheme="minorEastAsia" w:hAnsiTheme="minorHAnsi" w:cstheme="minorBidi"/>
            <w:noProof/>
            <w:lang w:eastAsia="fr-FR" w:bidi="ar-SA"/>
          </w:rPr>
          <w:tab/>
        </w:r>
        <w:r w:rsidRPr="00B27C46">
          <w:rPr>
            <w:rStyle w:val="Lienhypertexte"/>
            <w:noProof/>
          </w:rPr>
          <w:t>Cadre légal et institutionnel de mise en œuvre du projet</w:t>
        </w:r>
        <w:r>
          <w:rPr>
            <w:noProof/>
            <w:webHidden/>
          </w:rPr>
          <w:tab/>
        </w:r>
        <w:r>
          <w:rPr>
            <w:noProof/>
            <w:webHidden/>
          </w:rPr>
          <w:fldChar w:fldCharType="begin"/>
        </w:r>
        <w:r>
          <w:rPr>
            <w:noProof/>
            <w:webHidden/>
          </w:rPr>
          <w:instrText xml:space="preserve"> PAGEREF _Toc215131766 \h </w:instrText>
        </w:r>
        <w:r>
          <w:rPr>
            <w:noProof/>
            <w:webHidden/>
          </w:rPr>
        </w:r>
        <w:r>
          <w:rPr>
            <w:noProof/>
            <w:webHidden/>
          </w:rPr>
          <w:fldChar w:fldCharType="separate"/>
        </w:r>
        <w:r>
          <w:rPr>
            <w:noProof/>
            <w:webHidden/>
          </w:rPr>
          <w:t>27</w:t>
        </w:r>
        <w:r>
          <w:rPr>
            <w:noProof/>
            <w:webHidden/>
          </w:rPr>
          <w:fldChar w:fldCharType="end"/>
        </w:r>
      </w:hyperlink>
    </w:p>
    <w:p w14:paraId="3C5472A9" w14:textId="3CF8B9FA" w:rsidR="008B44A1" w:rsidRDefault="008B44A1">
      <w:pPr>
        <w:pStyle w:val="TM3"/>
        <w:rPr>
          <w:rFonts w:asciiTheme="minorHAnsi" w:eastAsiaTheme="minorEastAsia" w:hAnsiTheme="minorHAnsi" w:cstheme="minorBidi"/>
          <w:noProof/>
          <w:lang w:eastAsia="fr-FR" w:bidi="ar-SA"/>
        </w:rPr>
      </w:pPr>
      <w:hyperlink w:anchor="_Toc215131767" w:history="1">
        <w:r w:rsidRPr="00B27C46">
          <w:rPr>
            <w:rStyle w:val="Lienhypertexte"/>
            <w:noProof/>
          </w:rPr>
          <w:t>1.3.1.</w:t>
        </w:r>
        <w:r>
          <w:rPr>
            <w:rFonts w:asciiTheme="minorHAnsi" w:eastAsiaTheme="minorEastAsia" w:hAnsiTheme="minorHAnsi" w:cstheme="minorBidi"/>
            <w:noProof/>
            <w:lang w:eastAsia="fr-FR" w:bidi="ar-SA"/>
          </w:rPr>
          <w:tab/>
        </w:r>
        <w:r w:rsidRPr="00B27C46">
          <w:rPr>
            <w:rStyle w:val="Lienhypertexte"/>
            <w:noProof/>
          </w:rPr>
          <w:t>Cadre législatif et réglementaire national applicable</w:t>
        </w:r>
        <w:r>
          <w:rPr>
            <w:noProof/>
            <w:webHidden/>
          </w:rPr>
          <w:tab/>
        </w:r>
        <w:r>
          <w:rPr>
            <w:noProof/>
            <w:webHidden/>
          </w:rPr>
          <w:fldChar w:fldCharType="begin"/>
        </w:r>
        <w:r>
          <w:rPr>
            <w:noProof/>
            <w:webHidden/>
          </w:rPr>
          <w:instrText xml:space="preserve"> PAGEREF _Toc215131767 \h </w:instrText>
        </w:r>
        <w:r>
          <w:rPr>
            <w:noProof/>
            <w:webHidden/>
          </w:rPr>
        </w:r>
        <w:r>
          <w:rPr>
            <w:noProof/>
            <w:webHidden/>
          </w:rPr>
          <w:fldChar w:fldCharType="separate"/>
        </w:r>
        <w:r>
          <w:rPr>
            <w:noProof/>
            <w:webHidden/>
          </w:rPr>
          <w:t>27</w:t>
        </w:r>
        <w:r>
          <w:rPr>
            <w:noProof/>
            <w:webHidden/>
          </w:rPr>
          <w:fldChar w:fldCharType="end"/>
        </w:r>
      </w:hyperlink>
    </w:p>
    <w:p w14:paraId="0EBF92E4" w14:textId="16B151B3" w:rsidR="008B44A1" w:rsidRDefault="008B44A1">
      <w:pPr>
        <w:pStyle w:val="TM3"/>
        <w:rPr>
          <w:rFonts w:asciiTheme="minorHAnsi" w:eastAsiaTheme="minorEastAsia" w:hAnsiTheme="minorHAnsi" w:cstheme="minorBidi"/>
          <w:noProof/>
          <w:lang w:eastAsia="fr-FR" w:bidi="ar-SA"/>
        </w:rPr>
      </w:pPr>
      <w:hyperlink w:anchor="_Toc215131768" w:history="1">
        <w:r w:rsidRPr="00B27C46">
          <w:rPr>
            <w:rStyle w:val="Lienhypertexte"/>
            <w:noProof/>
          </w:rPr>
          <w:t>1.3.2.</w:t>
        </w:r>
        <w:r>
          <w:rPr>
            <w:rFonts w:asciiTheme="minorHAnsi" w:eastAsiaTheme="minorEastAsia" w:hAnsiTheme="minorHAnsi" w:cstheme="minorBidi"/>
            <w:noProof/>
            <w:lang w:eastAsia="fr-FR" w:bidi="ar-SA"/>
          </w:rPr>
          <w:tab/>
        </w:r>
        <w:r w:rsidRPr="00B27C46">
          <w:rPr>
            <w:rStyle w:val="Lienhypertexte"/>
            <w:noProof/>
          </w:rPr>
          <w:t>Cadre institutionnel et rôles des acteurs</w:t>
        </w:r>
        <w:r>
          <w:rPr>
            <w:noProof/>
            <w:webHidden/>
          </w:rPr>
          <w:tab/>
        </w:r>
        <w:r>
          <w:rPr>
            <w:noProof/>
            <w:webHidden/>
          </w:rPr>
          <w:fldChar w:fldCharType="begin"/>
        </w:r>
        <w:r>
          <w:rPr>
            <w:noProof/>
            <w:webHidden/>
          </w:rPr>
          <w:instrText xml:space="preserve"> PAGEREF _Toc215131768 \h </w:instrText>
        </w:r>
        <w:r>
          <w:rPr>
            <w:noProof/>
            <w:webHidden/>
          </w:rPr>
        </w:r>
        <w:r>
          <w:rPr>
            <w:noProof/>
            <w:webHidden/>
          </w:rPr>
          <w:fldChar w:fldCharType="separate"/>
        </w:r>
        <w:r>
          <w:rPr>
            <w:noProof/>
            <w:webHidden/>
          </w:rPr>
          <w:t>28</w:t>
        </w:r>
        <w:r>
          <w:rPr>
            <w:noProof/>
            <w:webHidden/>
          </w:rPr>
          <w:fldChar w:fldCharType="end"/>
        </w:r>
      </w:hyperlink>
    </w:p>
    <w:p w14:paraId="6672F1F8" w14:textId="120A223E" w:rsidR="008B44A1" w:rsidRDefault="008B44A1">
      <w:pPr>
        <w:pStyle w:val="TM3"/>
        <w:rPr>
          <w:rFonts w:asciiTheme="minorHAnsi" w:eastAsiaTheme="minorEastAsia" w:hAnsiTheme="minorHAnsi" w:cstheme="minorBidi"/>
          <w:noProof/>
          <w:lang w:eastAsia="fr-FR" w:bidi="ar-SA"/>
        </w:rPr>
      </w:pPr>
      <w:hyperlink w:anchor="_Toc215131769" w:history="1">
        <w:r w:rsidRPr="00B27C46">
          <w:rPr>
            <w:rStyle w:val="Lienhypertexte"/>
            <w:noProof/>
          </w:rPr>
          <w:t>1.3.3.</w:t>
        </w:r>
        <w:r>
          <w:rPr>
            <w:rFonts w:asciiTheme="minorHAnsi" w:eastAsiaTheme="minorEastAsia" w:hAnsiTheme="minorHAnsi" w:cstheme="minorBidi"/>
            <w:noProof/>
            <w:lang w:eastAsia="fr-FR" w:bidi="ar-SA"/>
          </w:rPr>
          <w:tab/>
        </w:r>
        <w:r w:rsidRPr="00B27C46">
          <w:rPr>
            <w:rStyle w:val="Lienhypertexte"/>
            <w:noProof/>
          </w:rPr>
          <w:t>Cadre de référence international</w:t>
        </w:r>
        <w:r>
          <w:rPr>
            <w:noProof/>
            <w:webHidden/>
          </w:rPr>
          <w:tab/>
        </w:r>
        <w:r>
          <w:rPr>
            <w:noProof/>
            <w:webHidden/>
          </w:rPr>
          <w:fldChar w:fldCharType="begin"/>
        </w:r>
        <w:r>
          <w:rPr>
            <w:noProof/>
            <w:webHidden/>
          </w:rPr>
          <w:instrText xml:space="preserve"> PAGEREF _Toc215131769 \h </w:instrText>
        </w:r>
        <w:r>
          <w:rPr>
            <w:noProof/>
            <w:webHidden/>
          </w:rPr>
        </w:r>
        <w:r>
          <w:rPr>
            <w:noProof/>
            <w:webHidden/>
          </w:rPr>
          <w:fldChar w:fldCharType="separate"/>
        </w:r>
        <w:r>
          <w:rPr>
            <w:noProof/>
            <w:webHidden/>
          </w:rPr>
          <w:t>29</w:t>
        </w:r>
        <w:r>
          <w:rPr>
            <w:noProof/>
            <w:webHidden/>
          </w:rPr>
          <w:fldChar w:fldCharType="end"/>
        </w:r>
      </w:hyperlink>
    </w:p>
    <w:p w14:paraId="62B99953" w14:textId="386926F2" w:rsidR="008B44A1" w:rsidRDefault="008B44A1">
      <w:pPr>
        <w:pStyle w:val="TM2"/>
        <w:rPr>
          <w:rFonts w:asciiTheme="minorHAnsi" w:eastAsiaTheme="minorEastAsia" w:hAnsiTheme="minorHAnsi" w:cstheme="minorBidi"/>
          <w:noProof/>
          <w:lang w:eastAsia="fr-FR" w:bidi="ar-SA"/>
        </w:rPr>
      </w:pPr>
      <w:hyperlink w:anchor="_Toc215131770" w:history="1">
        <w:r w:rsidRPr="00B27C46">
          <w:rPr>
            <w:rStyle w:val="Lienhypertexte"/>
            <w:noProof/>
          </w:rPr>
          <w:t>1.4.</w:t>
        </w:r>
        <w:r>
          <w:rPr>
            <w:rFonts w:asciiTheme="minorHAnsi" w:eastAsiaTheme="minorEastAsia" w:hAnsiTheme="minorHAnsi" w:cstheme="minorBidi"/>
            <w:noProof/>
            <w:lang w:eastAsia="fr-FR" w:bidi="ar-SA"/>
          </w:rPr>
          <w:tab/>
        </w:r>
        <w:r w:rsidRPr="00B27C46">
          <w:rPr>
            <w:rStyle w:val="Lienhypertexte"/>
            <w:noProof/>
          </w:rPr>
          <w:t>Impacts environnementaux et sociaux</w:t>
        </w:r>
        <w:r>
          <w:rPr>
            <w:noProof/>
            <w:webHidden/>
          </w:rPr>
          <w:tab/>
        </w:r>
        <w:r>
          <w:rPr>
            <w:noProof/>
            <w:webHidden/>
          </w:rPr>
          <w:fldChar w:fldCharType="begin"/>
        </w:r>
        <w:r>
          <w:rPr>
            <w:noProof/>
            <w:webHidden/>
          </w:rPr>
          <w:instrText xml:space="preserve"> PAGEREF _Toc215131770 \h </w:instrText>
        </w:r>
        <w:r>
          <w:rPr>
            <w:noProof/>
            <w:webHidden/>
          </w:rPr>
        </w:r>
        <w:r>
          <w:rPr>
            <w:noProof/>
            <w:webHidden/>
          </w:rPr>
          <w:fldChar w:fldCharType="separate"/>
        </w:r>
        <w:r>
          <w:rPr>
            <w:noProof/>
            <w:webHidden/>
          </w:rPr>
          <w:t>31</w:t>
        </w:r>
        <w:r>
          <w:rPr>
            <w:noProof/>
            <w:webHidden/>
          </w:rPr>
          <w:fldChar w:fldCharType="end"/>
        </w:r>
      </w:hyperlink>
    </w:p>
    <w:p w14:paraId="053BE404" w14:textId="68309EA0" w:rsidR="008B44A1" w:rsidRDefault="008B44A1">
      <w:pPr>
        <w:pStyle w:val="TM3"/>
        <w:rPr>
          <w:rFonts w:asciiTheme="minorHAnsi" w:eastAsiaTheme="minorEastAsia" w:hAnsiTheme="minorHAnsi" w:cstheme="minorBidi"/>
          <w:noProof/>
          <w:lang w:eastAsia="fr-FR" w:bidi="ar-SA"/>
        </w:rPr>
      </w:pPr>
      <w:hyperlink w:anchor="_Toc215131771" w:history="1">
        <w:r w:rsidRPr="00B27C46">
          <w:rPr>
            <w:rStyle w:val="Lienhypertexte"/>
            <w:noProof/>
          </w:rPr>
          <w:t>1.4.1.</w:t>
        </w:r>
        <w:r>
          <w:rPr>
            <w:rFonts w:asciiTheme="minorHAnsi" w:eastAsiaTheme="minorEastAsia" w:hAnsiTheme="minorHAnsi" w:cstheme="minorBidi"/>
            <w:noProof/>
            <w:lang w:eastAsia="fr-FR" w:bidi="ar-SA"/>
          </w:rPr>
          <w:tab/>
        </w:r>
        <w:r w:rsidRPr="00B27C46">
          <w:rPr>
            <w:rStyle w:val="Lienhypertexte"/>
            <w:noProof/>
          </w:rPr>
          <w:t>Phase de construction</w:t>
        </w:r>
        <w:r>
          <w:rPr>
            <w:noProof/>
            <w:webHidden/>
          </w:rPr>
          <w:tab/>
        </w:r>
        <w:r>
          <w:rPr>
            <w:noProof/>
            <w:webHidden/>
          </w:rPr>
          <w:fldChar w:fldCharType="begin"/>
        </w:r>
        <w:r>
          <w:rPr>
            <w:noProof/>
            <w:webHidden/>
          </w:rPr>
          <w:instrText xml:space="preserve"> PAGEREF _Toc215131771 \h </w:instrText>
        </w:r>
        <w:r>
          <w:rPr>
            <w:noProof/>
            <w:webHidden/>
          </w:rPr>
        </w:r>
        <w:r>
          <w:rPr>
            <w:noProof/>
            <w:webHidden/>
          </w:rPr>
          <w:fldChar w:fldCharType="separate"/>
        </w:r>
        <w:r>
          <w:rPr>
            <w:noProof/>
            <w:webHidden/>
          </w:rPr>
          <w:t>31</w:t>
        </w:r>
        <w:r>
          <w:rPr>
            <w:noProof/>
            <w:webHidden/>
          </w:rPr>
          <w:fldChar w:fldCharType="end"/>
        </w:r>
      </w:hyperlink>
    </w:p>
    <w:p w14:paraId="65A71F47" w14:textId="686E916C" w:rsidR="008B44A1" w:rsidRDefault="008B44A1">
      <w:pPr>
        <w:pStyle w:val="TM3"/>
        <w:rPr>
          <w:rFonts w:asciiTheme="minorHAnsi" w:eastAsiaTheme="minorEastAsia" w:hAnsiTheme="minorHAnsi" w:cstheme="minorBidi"/>
          <w:noProof/>
          <w:lang w:eastAsia="fr-FR" w:bidi="ar-SA"/>
        </w:rPr>
      </w:pPr>
      <w:hyperlink w:anchor="_Toc215131772" w:history="1">
        <w:r w:rsidRPr="00B27C46">
          <w:rPr>
            <w:rStyle w:val="Lienhypertexte"/>
            <w:noProof/>
          </w:rPr>
          <w:t>1.4.2.</w:t>
        </w:r>
        <w:r>
          <w:rPr>
            <w:rFonts w:asciiTheme="minorHAnsi" w:eastAsiaTheme="minorEastAsia" w:hAnsiTheme="minorHAnsi" w:cstheme="minorBidi"/>
            <w:noProof/>
            <w:lang w:eastAsia="fr-FR" w:bidi="ar-SA"/>
          </w:rPr>
          <w:tab/>
        </w:r>
        <w:r w:rsidRPr="00B27C46">
          <w:rPr>
            <w:rStyle w:val="Lienhypertexte"/>
            <w:noProof/>
          </w:rPr>
          <w:t>Phase d’exploitation</w:t>
        </w:r>
        <w:r>
          <w:rPr>
            <w:noProof/>
            <w:webHidden/>
          </w:rPr>
          <w:tab/>
        </w:r>
        <w:r>
          <w:rPr>
            <w:noProof/>
            <w:webHidden/>
          </w:rPr>
          <w:fldChar w:fldCharType="begin"/>
        </w:r>
        <w:r>
          <w:rPr>
            <w:noProof/>
            <w:webHidden/>
          </w:rPr>
          <w:instrText xml:space="preserve"> PAGEREF _Toc215131772 \h </w:instrText>
        </w:r>
        <w:r>
          <w:rPr>
            <w:noProof/>
            <w:webHidden/>
          </w:rPr>
        </w:r>
        <w:r>
          <w:rPr>
            <w:noProof/>
            <w:webHidden/>
          </w:rPr>
          <w:fldChar w:fldCharType="separate"/>
        </w:r>
        <w:r>
          <w:rPr>
            <w:noProof/>
            <w:webHidden/>
          </w:rPr>
          <w:t>32</w:t>
        </w:r>
        <w:r>
          <w:rPr>
            <w:noProof/>
            <w:webHidden/>
          </w:rPr>
          <w:fldChar w:fldCharType="end"/>
        </w:r>
      </w:hyperlink>
    </w:p>
    <w:p w14:paraId="5767DEFA" w14:textId="5499713A" w:rsidR="008B44A1" w:rsidRDefault="008B44A1">
      <w:pPr>
        <w:pStyle w:val="TM3"/>
        <w:rPr>
          <w:rFonts w:asciiTheme="minorHAnsi" w:eastAsiaTheme="minorEastAsia" w:hAnsiTheme="minorHAnsi" w:cstheme="minorBidi"/>
          <w:noProof/>
          <w:lang w:eastAsia="fr-FR" w:bidi="ar-SA"/>
        </w:rPr>
      </w:pPr>
      <w:hyperlink w:anchor="_Toc215131773" w:history="1">
        <w:r w:rsidRPr="00B27C46">
          <w:rPr>
            <w:rStyle w:val="Lienhypertexte"/>
            <w:noProof/>
          </w:rPr>
          <w:t>1.4.3.</w:t>
        </w:r>
        <w:r>
          <w:rPr>
            <w:rFonts w:asciiTheme="minorHAnsi" w:eastAsiaTheme="minorEastAsia" w:hAnsiTheme="minorHAnsi" w:cstheme="minorBidi"/>
            <w:noProof/>
            <w:lang w:eastAsia="fr-FR" w:bidi="ar-SA"/>
          </w:rPr>
          <w:tab/>
        </w:r>
        <w:r w:rsidRPr="00B27C46">
          <w:rPr>
            <w:rStyle w:val="Lienhypertexte"/>
            <w:noProof/>
          </w:rPr>
          <w:t>Synthèse des principaux impacts</w:t>
        </w:r>
        <w:r>
          <w:rPr>
            <w:noProof/>
            <w:webHidden/>
          </w:rPr>
          <w:tab/>
        </w:r>
        <w:r>
          <w:rPr>
            <w:noProof/>
            <w:webHidden/>
          </w:rPr>
          <w:fldChar w:fldCharType="begin"/>
        </w:r>
        <w:r>
          <w:rPr>
            <w:noProof/>
            <w:webHidden/>
          </w:rPr>
          <w:instrText xml:space="preserve"> PAGEREF _Toc215131773 \h </w:instrText>
        </w:r>
        <w:r>
          <w:rPr>
            <w:noProof/>
            <w:webHidden/>
          </w:rPr>
        </w:r>
        <w:r>
          <w:rPr>
            <w:noProof/>
            <w:webHidden/>
          </w:rPr>
          <w:fldChar w:fldCharType="separate"/>
        </w:r>
        <w:r>
          <w:rPr>
            <w:noProof/>
            <w:webHidden/>
          </w:rPr>
          <w:t>33</w:t>
        </w:r>
        <w:r>
          <w:rPr>
            <w:noProof/>
            <w:webHidden/>
          </w:rPr>
          <w:fldChar w:fldCharType="end"/>
        </w:r>
      </w:hyperlink>
    </w:p>
    <w:p w14:paraId="46E20425" w14:textId="36A302CB" w:rsidR="008B44A1" w:rsidRDefault="008B44A1">
      <w:pPr>
        <w:pStyle w:val="TM2"/>
        <w:rPr>
          <w:rFonts w:asciiTheme="minorHAnsi" w:eastAsiaTheme="minorEastAsia" w:hAnsiTheme="minorHAnsi" w:cstheme="minorBidi"/>
          <w:noProof/>
          <w:lang w:eastAsia="fr-FR" w:bidi="ar-SA"/>
        </w:rPr>
      </w:pPr>
      <w:hyperlink w:anchor="_Toc215131774" w:history="1">
        <w:r w:rsidRPr="00B27C46">
          <w:rPr>
            <w:rStyle w:val="Lienhypertexte"/>
            <w:noProof/>
          </w:rPr>
          <w:t>1.5.</w:t>
        </w:r>
        <w:r>
          <w:rPr>
            <w:rFonts w:asciiTheme="minorHAnsi" w:eastAsiaTheme="minorEastAsia" w:hAnsiTheme="minorHAnsi" w:cstheme="minorBidi"/>
            <w:noProof/>
            <w:lang w:eastAsia="fr-FR" w:bidi="ar-SA"/>
          </w:rPr>
          <w:tab/>
        </w:r>
        <w:r w:rsidRPr="00B27C46">
          <w:rPr>
            <w:rStyle w:val="Lienhypertexte"/>
            <w:noProof/>
          </w:rPr>
          <w:t>Consultation publique et Mécanisme de Gestion des Plaintes</w:t>
        </w:r>
        <w:r>
          <w:rPr>
            <w:noProof/>
            <w:webHidden/>
          </w:rPr>
          <w:tab/>
        </w:r>
        <w:r>
          <w:rPr>
            <w:noProof/>
            <w:webHidden/>
          </w:rPr>
          <w:fldChar w:fldCharType="begin"/>
        </w:r>
        <w:r>
          <w:rPr>
            <w:noProof/>
            <w:webHidden/>
          </w:rPr>
          <w:instrText xml:space="preserve"> PAGEREF _Toc215131774 \h </w:instrText>
        </w:r>
        <w:r>
          <w:rPr>
            <w:noProof/>
            <w:webHidden/>
          </w:rPr>
        </w:r>
        <w:r>
          <w:rPr>
            <w:noProof/>
            <w:webHidden/>
          </w:rPr>
          <w:fldChar w:fldCharType="separate"/>
        </w:r>
        <w:r>
          <w:rPr>
            <w:noProof/>
            <w:webHidden/>
          </w:rPr>
          <w:t>38</w:t>
        </w:r>
        <w:r>
          <w:rPr>
            <w:noProof/>
            <w:webHidden/>
          </w:rPr>
          <w:fldChar w:fldCharType="end"/>
        </w:r>
      </w:hyperlink>
    </w:p>
    <w:p w14:paraId="67C5EBC9" w14:textId="45A27E88" w:rsidR="008B44A1" w:rsidRDefault="008B44A1">
      <w:pPr>
        <w:pStyle w:val="TM3"/>
        <w:rPr>
          <w:rFonts w:asciiTheme="minorHAnsi" w:eastAsiaTheme="minorEastAsia" w:hAnsiTheme="minorHAnsi" w:cstheme="minorBidi"/>
          <w:noProof/>
          <w:lang w:eastAsia="fr-FR" w:bidi="ar-SA"/>
        </w:rPr>
      </w:pPr>
      <w:hyperlink w:anchor="_Toc215131775" w:history="1">
        <w:r w:rsidRPr="00B27C46">
          <w:rPr>
            <w:rStyle w:val="Lienhypertexte"/>
            <w:noProof/>
          </w:rPr>
          <w:t>1.5.1.</w:t>
        </w:r>
        <w:r>
          <w:rPr>
            <w:rFonts w:asciiTheme="minorHAnsi" w:eastAsiaTheme="minorEastAsia" w:hAnsiTheme="minorHAnsi" w:cstheme="minorBidi"/>
            <w:noProof/>
            <w:lang w:eastAsia="fr-FR" w:bidi="ar-SA"/>
          </w:rPr>
          <w:tab/>
        </w:r>
        <w:r w:rsidRPr="00B27C46">
          <w:rPr>
            <w:rStyle w:val="Lienhypertexte"/>
            <w:noProof/>
          </w:rPr>
          <w:t>Objectifs et principes directeurs</w:t>
        </w:r>
        <w:r>
          <w:rPr>
            <w:noProof/>
            <w:webHidden/>
          </w:rPr>
          <w:tab/>
        </w:r>
        <w:r>
          <w:rPr>
            <w:noProof/>
            <w:webHidden/>
          </w:rPr>
          <w:fldChar w:fldCharType="begin"/>
        </w:r>
        <w:r>
          <w:rPr>
            <w:noProof/>
            <w:webHidden/>
          </w:rPr>
          <w:instrText xml:space="preserve"> PAGEREF _Toc215131775 \h </w:instrText>
        </w:r>
        <w:r>
          <w:rPr>
            <w:noProof/>
            <w:webHidden/>
          </w:rPr>
        </w:r>
        <w:r>
          <w:rPr>
            <w:noProof/>
            <w:webHidden/>
          </w:rPr>
          <w:fldChar w:fldCharType="separate"/>
        </w:r>
        <w:r>
          <w:rPr>
            <w:noProof/>
            <w:webHidden/>
          </w:rPr>
          <w:t>38</w:t>
        </w:r>
        <w:r>
          <w:rPr>
            <w:noProof/>
            <w:webHidden/>
          </w:rPr>
          <w:fldChar w:fldCharType="end"/>
        </w:r>
      </w:hyperlink>
    </w:p>
    <w:p w14:paraId="2EF370E3" w14:textId="6B00E575" w:rsidR="008B44A1" w:rsidRDefault="008B44A1">
      <w:pPr>
        <w:pStyle w:val="TM3"/>
        <w:rPr>
          <w:rFonts w:asciiTheme="minorHAnsi" w:eastAsiaTheme="minorEastAsia" w:hAnsiTheme="minorHAnsi" w:cstheme="minorBidi"/>
          <w:noProof/>
          <w:lang w:eastAsia="fr-FR" w:bidi="ar-SA"/>
        </w:rPr>
      </w:pPr>
      <w:hyperlink w:anchor="_Toc215131776" w:history="1">
        <w:r w:rsidRPr="00B27C46">
          <w:rPr>
            <w:rStyle w:val="Lienhypertexte"/>
            <w:noProof/>
          </w:rPr>
          <w:t>1.5.2.</w:t>
        </w:r>
        <w:r>
          <w:rPr>
            <w:rFonts w:asciiTheme="minorHAnsi" w:eastAsiaTheme="minorEastAsia" w:hAnsiTheme="minorHAnsi" w:cstheme="minorBidi"/>
            <w:noProof/>
            <w:lang w:eastAsia="fr-FR" w:bidi="ar-SA"/>
          </w:rPr>
          <w:tab/>
        </w:r>
        <w:r w:rsidRPr="00B27C46">
          <w:rPr>
            <w:rStyle w:val="Lienhypertexte"/>
            <w:noProof/>
          </w:rPr>
          <w:t>Parties prenantes et modalités d’engagement</w:t>
        </w:r>
        <w:r>
          <w:rPr>
            <w:noProof/>
            <w:webHidden/>
          </w:rPr>
          <w:tab/>
        </w:r>
        <w:r>
          <w:rPr>
            <w:noProof/>
            <w:webHidden/>
          </w:rPr>
          <w:fldChar w:fldCharType="begin"/>
        </w:r>
        <w:r>
          <w:rPr>
            <w:noProof/>
            <w:webHidden/>
          </w:rPr>
          <w:instrText xml:space="preserve"> PAGEREF _Toc215131776 \h </w:instrText>
        </w:r>
        <w:r>
          <w:rPr>
            <w:noProof/>
            <w:webHidden/>
          </w:rPr>
        </w:r>
        <w:r>
          <w:rPr>
            <w:noProof/>
            <w:webHidden/>
          </w:rPr>
          <w:fldChar w:fldCharType="separate"/>
        </w:r>
        <w:r>
          <w:rPr>
            <w:noProof/>
            <w:webHidden/>
          </w:rPr>
          <w:t>38</w:t>
        </w:r>
        <w:r>
          <w:rPr>
            <w:noProof/>
            <w:webHidden/>
          </w:rPr>
          <w:fldChar w:fldCharType="end"/>
        </w:r>
      </w:hyperlink>
    </w:p>
    <w:p w14:paraId="4C3E7966" w14:textId="1C01AB2C" w:rsidR="008B44A1" w:rsidRDefault="008B44A1">
      <w:pPr>
        <w:pStyle w:val="TM3"/>
        <w:rPr>
          <w:rFonts w:asciiTheme="minorHAnsi" w:eastAsiaTheme="minorEastAsia" w:hAnsiTheme="minorHAnsi" w:cstheme="minorBidi"/>
          <w:noProof/>
          <w:lang w:eastAsia="fr-FR" w:bidi="ar-SA"/>
        </w:rPr>
      </w:pPr>
      <w:hyperlink w:anchor="_Toc215131777" w:history="1">
        <w:r w:rsidRPr="00B27C46">
          <w:rPr>
            <w:rStyle w:val="Lienhypertexte"/>
            <w:noProof/>
          </w:rPr>
          <w:t>1.5.3.</w:t>
        </w:r>
        <w:r>
          <w:rPr>
            <w:rFonts w:asciiTheme="minorHAnsi" w:eastAsiaTheme="minorEastAsia" w:hAnsiTheme="minorHAnsi" w:cstheme="minorBidi"/>
            <w:noProof/>
            <w:lang w:eastAsia="fr-FR" w:bidi="ar-SA"/>
          </w:rPr>
          <w:tab/>
        </w:r>
        <w:r w:rsidRPr="00B27C46">
          <w:rPr>
            <w:rStyle w:val="Lienhypertexte"/>
            <w:noProof/>
          </w:rPr>
          <w:t>Préoccupations majeures exprimées</w:t>
        </w:r>
        <w:r>
          <w:rPr>
            <w:noProof/>
            <w:webHidden/>
          </w:rPr>
          <w:tab/>
        </w:r>
        <w:r>
          <w:rPr>
            <w:noProof/>
            <w:webHidden/>
          </w:rPr>
          <w:fldChar w:fldCharType="begin"/>
        </w:r>
        <w:r>
          <w:rPr>
            <w:noProof/>
            <w:webHidden/>
          </w:rPr>
          <w:instrText xml:space="preserve"> PAGEREF _Toc215131777 \h </w:instrText>
        </w:r>
        <w:r>
          <w:rPr>
            <w:noProof/>
            <w:webHidden/>
          </w:rPr>
        </w:r>
        <w:r>
          <w:rPr>
            <w:noProof/>
            <w:webHidden/>
          </w:rPr>
          <w:fldChar w:fldCharType="separate"/>
        </w:r>
        <w:r>
          <w:rPr>
            <w:noProof/>
            <w:webHidden/>
          </w:rPr>
          <w:t>38</w:t>
        </w:r>
        <w:r>
          <w:rPr>
            <w:noProof/>
            <w:webHidden/>
          </w:rPr>
          <w:fldChar w:fldCharType="end"/>
        </w:r>
      </w:hyperlink>
    </w:p>
    <w:p w14:paraId="13C41C18" w14:textId="13449C17" w:rsidR="008B44A1" w:rsidRDefault="008B44A1">
      <w:pPr>
        <w:pStyle w:val="TM3"/>
        <w:rPr>
          <w:rFonts w:asciiTheme="minorHAnsi" w:eastAsiaTheme="minorEastAsia" w:hAnsiTheme="minorHAnsi" w:cstheme="minorBidi"/>
          <w:noProof/>
          <w:lang w:eastAsia="fr-FR" w:bidi="ar-SA"/>
        </w:rPr>
      </w:pPr>
      <w:hyperlink w:anchor="_Toc215131778" w:history="1">
        <w:r w:rsidRPr="00B27C46">
          <w:rPr>
            <w:rStyle w:val="Lienhypertexte"/>
            <w:noProof/>
          </w:rPr>
          <w:t>1.5.4.</w:t>
        </w:r>
        <w:r>
          <w:rPr>
            <w:rFonts w:asciiTheme="minorHAnsi" w:eastAsiaTheme="minorEastAsia" w:hAnsiTheme="minorHAnsi" w:cstheme="minorBidi"/>
            <w:noProof/>
            <w:lang w:eastAsia="fr-FR" w:bidi="ar-SA"/>
          </w:rPr>
          <w:tab/>
        </w:r>
        <w:r w:rsidRPr="00B27C46">
          <w:rPr>
            <w:rStyle w:val="Lienhypertexte"/>
            <w:noProof/>
          </w:rPr>
          <w:t>Dispositif de communication et de sensibilisation</w:t>
        </w:r>
        <w:r>
          <w:rPr>
            <w:noProof/>
            <w:webHidden/>
          </w:rPr>
          <w:tab/>
        </w:r>
        <w:r>
          <w:rPr>
            <w:noProof/>
            <w:webHidden/>
          </w:rPr>
          <w:fldChar w:fldCharType="begin"/>
        </w:r>
        <w:r>
          <w:rPr>
            <w:noProof/>
            <w:webHidden/>
          </w:rPr>
          <w:instrText xml:space="preserve"> PAGEREF _Toc215131778 \h </w:instrText>
        </w:r>
        <w:r>
          <w:rPr>
            <w:noProof/>
            <w:webHidden/>
          </w:rPr>
        </w:r>
        <w:r>
          <w:rPr>
            <w:noProof/>
            <w:webHidden/>
          </w:rPr>
          <w:fldChar w:fldCharType="separate"/>
        </w:r>
        <w:r>
          <w:rPr>
            <w:noProof/>
            <w:webHidden/>
          </w:rPr>
          <w:t>39</w:t>
        </w:r>
        <w:r>
          <w:rPr>
            <w:noProof/>
            <w:webHidden/>
          </w:rPr>
          <w:fldChar w:fldCharType="end"/>
        </w:r>
      </w:hyperlink>
    </w:p>
    <w:p w14:paraId="6576769E" w14:textId="5628CD4C" w:rsidR="008B44A1" w:rsidRDefault="008B44A1">
      <w:pPr>
        <w:pStyle w:val="TM3"/>
        <w:rPr>
          <w:rFonts w:asciiTheme="minorHAnsi" w:eastAsiaTheme="minorEastAsia" w:hAnsiTheme="minorHAnsi" w:cstheme="minorBidi"/>
          <w:noProof/>
          <w:lang w:eastAsia="fr-FR" w:bidi="ar-SA"/>
        </w:rPr>
      </w:pPr>
      <w:hyperlink w:anchor="_Toc215131779" w:history="1">
        <w:r w:rsidRPr="00B27C46">
          <w:rPr>
            <w:rStyle w:val="Lienhypertexte"/>
            <w:noProof/>
          </w:rPr>
          <w:t>1.5.5.</w:t>
        </w:r>
        <w:r>
          <w:rPr>
            <w:rFonts w:asciiTheme="minorHAnsi" w:eastAsiaTheme="minorEastAsia" w:hAnsiTheme="minorHAnsi" w:cstheme="minorBidi"/>
            <w:noProof/>
            <w:lang w:eastAsia="fr-FR" w:bidi="ar-SA"/>
          </w:rPr>
          <w:tab/>
        </w:r>
        <w:r w:rsidRPr="00B27C46">
          <w:rPr>
            <w:rStyle w:val="Lienhypertexte"/>
            <w:noProof/>
          </w:rPr>
          <w:t>Mécanisme de Gestion des Plaintes (MGP)</w:t>
        </w:r>
        <w:r>
          <w:rPr>
            <w:noProof/>
            <w:webHidden/>
          </w:rPr>
          <w:tab/>
        </w:r>
        <w:r>
          <w:rPr>
            <w:noProof/>
            <w:webHidden/>
          </w:rPr>
          <w:fldChar w:fldCharType="begin"/>
        </w:r>
        <w:r>
          <w:rPr>
            <w:noProof/>
            <w:webHidden/>
          </w:rPr>
          <w:instrText xml:space="preserve"> PAGEREF _Toc215131779 \h </w:instrText>
        </w:r>
        <w:r>
          <w:rPr>
            <w:noProof/>
            <w:webHidden/>
          </w:rPr>
        </w:r>
        <w:r>
          <w:rPr>
            <w:noProof/>
            <w:webHidden/>
          </w:rPr>
          <w:fldChar w:fldCharType="separate"/>
        </w:r>
        <w:r>
          <w:rPr>
            <w:noProof/>
            <w:webHidden/>
          </w:rPr>
          <w:t>39</w:t>
        </w:r>
        <w:r>
          <w:rPr>
            <w:noProof/>
            <w:webHidden/>
          </w:rPr>
          <w:fldChar w:fldCharType="end"/>
        </w:r>
      </w:hyperlink>
    </w:p>
    <w:p w14:paraId="0CB18A8E" w14:textId="606511A2" w:rsidR="008B44A1" w:rsidRDefault="008B44A1">
      <w:pPr>
        <w:pStyle w:val="TM3"/>
        <w:rPr>
          <w:rFonts w:asciiTheme="minorHAnsi" w:eastAsiaTheme="minorEastAsia" w:hAnsiTheme="minorHAnsi" w:cstheme="minorBidi"/>
          <w:noProof/>
          <w:lang w:eastAsia="fr-FR" w:bidi="ar-SA"/>
        </w:rPr>
      </w:pPr>
      <w:hyperlink w:anchor="_Toc215131780" w:history="1">
        <w:r w:rsidRPr="00B27C46">
          <w:rPr>
            <w:rStyle w:val="Lienhypertexte"/>
            <w:noProof/>
          </w:rPr>
          <w:t>1.5.6.</w:t>
        </w:r>
        <w:r>
          <w:rPr>
            <w:rFonts w:asciiTheme="minorHAnsi" w:eastAsiaTheme="minorEastAsia" w:hAnsiTheme="minorHAnsi" w:cstheme="minorBidi"/>
            <w:noProof/>
            <w:lang w:eastAsia="fr-FR" w:bidi="ar-SA"/>
          </w:rPr>
          <w:tab/>
        </w:r>
        <w:r w:rsidRPr="00B27C46">
          <w:rPr>
            <w:rStyle w:val="Lienhypertexte"/>
            <w:noProof/>
          </w:rPr>
          <w:t>Processus de traitement des plaintes</w:t>
        </w:r>
        <w:r>
          <w:rPr>
            <w:noProof/>
            <w:webHidden/>
          </w:rPr>
          <w:tab/>
        </w:r>
        <w:r>
          <w:rPr>
            <w:noProof/>
            <w:webHidden/>
          </w:rPr>
          <w:fldChar w:fldCharType="begin"/>
        </w:r>
        <w:r>
          <w:rPr>
            <w:noProof/>
            <w:webHidden/>
          </w:rPr>
          <w:instrText xml:space="preserve"> PAGEREF _Toc215131780 \h </w:instrText>
        </w:r>
        <w:r>
          <w:rPr>
            <w:noProof/>
            <w:webHidden/>
          </w:rPr>
        </w:r>
        <w:r>
          <w:rPr>
            <w:noProof/>
            <w:webHidden/>
          </w:rPr>
          <w:fldChar w:fldCharType="separate"/>
        </w:r>
        <w:r>
          <w:rPr>
            <w:noProof/>
            <w:webHidden/>
          </w:rPr>
          <w:t>39</w:t>
        </w:r>
        <w:r>
          <w:rPr>
            <w:noProof/>
            <w:webHidden/>
          </w:rPr>
          <w:fldChar w:fldCharType="end"/>
        </w:r>
      </w:hyperlink>
    </w:p>
    <w:p w14:paraId="121D266E" w14:textId="3F9A4971" w:rsidR="008B44A1" w:rsidRDefault="008B44A1">
      <w:pPr>
        <w:pStyle w:val="TM2"/>
        <w:rPr>
          <w:rFonts w:asciiTheme="minorHAnsi" w:eastAsiaTheme="minorEastAsia" w:hAnsiTheme="minorHAnsi" w:cstheme="minorBidi"/>
          <w:noProof/>
          <w:lang w:eastAsia="fr-FR" w:bidi="ar-SA"/>
        </w:rPr>
      </w:pPr>
      <w:hyperlink w:anchor="_Toc215131781" w:history="1">
        <w:r w:rsidRPr="00B27C46">
          <w:rPr>
            <w:rStyle w:val="Lienhypertexte"/>
            <w:noProof/>
          </w:rPr>
          <w:t>1.6.</w:t>
        </w:r>
        <w:r>
          <w:rPr>
            <w:rFonts w:asciiTheme="minorHAnsi" w:eastAsiaTheme="minorEastAsia" w:hAnsiTheme="minorHAnsi" w:cstheme="minorBidi"/>
            <w:noProof/>
            <w:lang w:eastAsia="fr-FR" w:bidi="ar-SA"/>
          </w:rPr>
          <w:tab/>
        </w:r>
        <w:r w:rsidRPr="00B27C46">
          <w:rPr>
            <w:rStyle w:val="Lienhypertexte"/>
            <w:noProof/>
          </w:rPr>
          <w:t>Plan de Gestion Environnementale et Sociale (PGES)</w:t>
        </w:r>
        <w:r>
          <w:rPr>
            <w:noProof/>
            <w:webHidden/>
          </w:rPr>
          <w:tab/>
        </w:r>
        <w:r>
          <w:rPr>
            <w:noProof/>
            <w:webHidden/>
          </w:rPr>
          <w:fldChar w:fldCharType="begin"/>
        </w:r>
        <w:r>
          <w:rPr>
            <w:noProof/>
            <w:webHidden/>
          </w:rPr>
          <w:instrText xml:space="preserve"> PAGEREF _Toc215131781 \h </w:instrText>
        </w:r>
        <w:r>
          <w:rPr>
            <w:noProof/>
            <w:webHidden/>
          </w:rPr>
        </w:r>
        <w:r>
          <w:rPr>
            <w:noProof/>
            <w:webHidden/>
          </w:rPr>
          <w:fldChar w:fldCharType="separate"/>
        </w:r>
        <w:r>
          <w:rPr>
            <w:noProof/>
            <w:webHidden/>
          </w:rPr>
          <w:t>40</w:t>
        </w:r>
        <w:r>
          <w:rPr>
            <w:noProof/>
            <w:webHidden/>
          </w:rPr>
          <w:fldChar w:fldCharType="end"/>
        </w:r>
      </w:hyperlink>
    </w:p>
    <w:p w14:paraId="03581053" w14:textId="3BEFDDEC" w:rsidR="008B44A1" w:rsidRDefault="008B44A1">
      <w:pPr>
        <w:pStyle w:val="TM3"/>
        <w:rPr>
          <w:rFonts w:asciiTheme="minorHAnsi" w:eastAsiaTheme="minorEastAsia" w:hAnsiTheme="minorHAnsi" w:cstheme="minorBidi"/>
          <w:noProof/>
          <w:lang w:eastAsia="fr-FR" w:bidi="ar-SA"/>
        </w:rPr>
      </w:pPr>
      <w:hyperlink w:anchor="_Toc215131782" w:history="1">
        <w:r w:rsidRPr="00B27C46">
          <w:rPr>
            <w:rStyle w:val="Lienhypertexte"/>
            <w:noProof/>
          </w:rPr>
          <w:t>1.6.1.</w:t>
        </w:r>
        <w:r>
          <w:rPr>
            <w:rFonts w:asciiTheme="minorHAnsi" w:eastAsiaTheme="minorEastAsia" w:hAnsiTheme="minorHAnsi" w:cstheme="minorBidi"/>
            <w:noProof/>
            <w:lang w:eastAsia="fr-FR" w:bidi="ar-SA"/>
          </w:rPr>
          <w:tab/>
        </w:r>
        <w:r w:rsidRPr="00B27C46">
          <w:rPr>
            <w:rStyle w:val="Lienhypertexte"/>
            <w:noProof/>
          </w:rPr>
          <w:t>Objectifs</w:t>
        </w:r>
        <w:r>
          <w:rPr>
            <w:noProof/>
            <w:webHidden/>
          </w:rPr>
          <w:tab/>
        </w:r>
        <w:r>
          <w:rPr>
            <w:noProof/>
            <w:webHidden/>
          </w:rPr>
          <w:fldChar w:fldCharType="begin"/>
        </w:r>
        <w:r>
          <w:rPr>
            <w:noProof/>
            <w:webHidden/>
          </w:rPr>
          <w:instrText xml:space="preserve"> PAGEREF _Toc215131782 \h </w:instrText>
        </w:r>
        <w:r>
          <w:rPr>
            <w:noProof/>
            <w:webHidden/>
          </w:rPr>
        </w:r>
        <w:r>
          <w:rPr>
            <w:noProof/>
            <w:webHidden/>
          </w:rPr>
          <w:fldChar w:fldCharType="separate"/>
        </w:r>
        <w:r>
          <w:rPr>
            <w:noProof/>
            <w:webHidden/>
          </w:rPr>
          <w:t>40</w:t>
        </w:r>
        <w:r>
          <w:rPr>
            <w:noProof/>
            <w:webHidden/>
          </w:rPr>
          <w:fldChar w:fldCharType="end"/>
        </w:r>
      </w:hyperlink>
    </w:p>
    <w:p w14:paraId="6476E2C4" w14:textId="62FAD55A" w:rsidR="008B44A1" w:rsidRDefault="008B44A1">
      <w:pPr>
        <w:pStyle w:val="TM3"/>
        <w:rPr>
          <w:rFonts w:asciiTheme="minorHAnsi" w:eastAsiaTheme="minorEastAsia" w:hAnsiTheme="minorHAnsi" w:cstheme="minorBidi"/>
          <w:noProof/>
          <w:lang w:eastAsia="fr-FR" w:bidi="ar-SA"/>
        </w:rPr>
      </w:pPr>
      <w:hyperlink w:anchor="_Toc215131783" w:history="1">
        <w:r w:rsidRPr="00B27C46">
          <w:rPr>
            <w:rStyle w:val="Lienhypertexte"/>
            <w:noProof/>
          </w:rPr>
          <w:t>1.6.2.</w:t>
        </w:r>
        <w:r>
          <w:rPr>
            <w:rFonts w:asciiTheme="minorHAnsi" w:eastAsiaTheme="minorEastAsia" w:hAnsiTheme="minorHAnsi" w:cstheme="minorBidi"/>
            <w:noProof/>
            <w:lang w:eastAsia="fr-FR" w:bidi="ar-SA"/>
          </w:rPr>
          <w:tab/>
        </w:r>
        <w:r w:rsidRPr="00B27C46">
          <w:rPr>
            <w:rStyle w:val="Lienhypertexte"/>
            <w:noProof/>
          </w:rPr>
          <w:t>Portée</w:t>
        </w:r>
        <w:r>
          <w:rPr>
            <w:noProof/>
            <w:webHidden/>
          </w:rPr>
          <w:tab/>
        </w:r>
        <w:r>
          <w:rPr>
            <w:noProof/>
            <w:webHidden/>
          </w:rPr>
          <w:fldChar w:fldCharType="begin"/>
        </w:r>
        <w:r>
          <w:rPr>
            <w:noProof/>
            <w:webHidden/>
          </w:rPr>
          <w:instrText xml:space="preserve"> PAGEREF _Toc215131783 \h </w:instrText>
        </w:r>
        <w:r>
          <w:rPr>
            <w:noProof/>
            <w:webHidden/>
          </w:rPr>
        </w:r>
        <w:r>
          <w:rPr>
            <w:noProof/>
            <w:webHidden/>
          </w:rPr>
          <w:fldChar w:fldCharType="separate"/>
        </w:r>
        <w:r>
          <w:rPr>
            <w:noProof/>
            <w:webHidden/>
          </w:rPr>
          <w:t>40</w:t>
        </w:r>
        <w:r>
          <w:rPr>
            <w:noProof/>
            <w:webHidden/>
          </w:rPr>
          <w:fldChar w:fldCharType="end"/>
        </w:r>
      </w:hyperlink>
    </w:p>
    <w:p w14:paraId="3FE67642" w14:textId="5CFB96F1" w:rsidR="008B44A1" w:rsidRDefault="008B44A1">
      <w:pPr>
        <w:pStyle w:val="TM3"/>
        <w:rPr>
          <w:rFonts w:asciiTheme="minorHAnsi" w:eastAsiaTheme="minorEastAsia" w:hAnsiTheme="minorHAnsi" w:cstheme="minorBidi"/>
          <w:noProof/>
          <w:lang w:eastAsia="fr-FR" w:bidi="ar-SA"/>
        </w:rPr>
      </w:pPr>
      <w:hyperlink w:anchor="_Toc215131784" w:history="1">
        <w:r w:rsidRPr="00B27C46">
          <w:rPr>
            <w:rStyle w:val="Lienhypertexte"/>
            <w:noProof/>
          </w:rPr>
          <w:t>1.6.3.</w:t>
        </w:r>
        <w:r>
          <w:rPr>
            <w:rFonts w:asciiTheme="minorHAnsi" w:eastAsiaTheme="minorEastAsia" w:hAnsiTheme="minorHAnsi" w:cstheme="minorBidi"/>
            <w:noProof/>
            <w:lang w:eastAsia="fr-FR" w:bidi="ar-SA"/>
          </w:rPr>
          <w:tab/>
        </w:r>
        <w:r w:rsidRPr="00B27C46">
          <w:rPr>
            <w:rStyle w:val="Lienhypertexte"/>
            <w:noProof/>
          </w:rPr>
          <w:t>Organisation et responsabilités institutionnelles</w:t>
        </w:r>
        <w:r>
          <w:rPr>
            <w:noProof/>
            <w:webHidden/>
          </w:rPr>
          <w:tab/>
        </w:r>
        <w:r>
          <w:rPr>
            <w:noProof/>
            <w:webHidden/>
          </w:rPr>
          <w:fldChar w:fldCharType="begin"/>
        </w:r>
        <w:r>
          <w:rPr>
            <w:noProof/>
            <w:webHidden/>
          </w:rPr>
          <w:instrText xml:space="preserve"> PAGEREF _Toc215131784 \h </w:instrText>
        </w:r>
        <w:r>
          <w:rPr>
            <w:noProof/>
            <w:webHidden/>
          </w:rPr>
        </w:r>
        <w:r>
          <w:rPr>
            <w:noProof/>
            <w:webHidden/>
          </w:rPr>
          <w:fldChar w:fldCharType="separate"/>
        </w:r>
        <w:r>
          <w:rPr>
            <w:noProof/>
            <w:webHidden/>
          </w:rPr>
          <w:t>40</w:t>
        </w:r>
        <w:r>
          <w:rPr>
            <w:noProof/>
            <w:webHidden/>
          </w:rPr>
          <w:fldChar w:fldCharType="end"/>
        </w:r>
      </w:hyperlink>
    </w:p>
    <w:p w14:paraId="0753A1E3" w14:textId="6B817F3C" w:rsidR="008B44A1" w:rsidRDefault="008B44A1">
      <w:pPr>
        <w:pStyle w:val="TM3"/>
        <w:rPr>
          <w:rFonts w:asciiTheme="minorHAnsi" w:eastAsiaTheme="minorEastAsia" w:hAnsiTheme="minorHAnsi" w:cstheme="minorBidi"/>
          <w:noProof/>
          <w:lang w:eastAsia="fr-FR" w:bidi="ar-SA"/>
        </w:rPr>
      </w:pPr>
      <w:hyperlink w:anchor="_Toc215131785" w:history="1">
        <w:r w:rsidRPr="00B27C46">
          <w:rPr>
            <w:rStyle w:val="Lienhypertexte"/>
            <w:noProof/>
          </w:rPr>
          <w:t>1.6.4.</w:t>
        </w:r>
        <w:r>
          <w:rPr>
            <w:rFonts w:asciiTheme="minorHAnsi" w:eastAsiaTheme="minorEastAsia" w:hAnsiTheme="minorHAnsi" w:cstheme="minorBidi"/>
            <w:noProof/>
            <w:lang w:eastAsia="fr-FR" w:bidi="ar-SA"/>
          </w:rPr>
          <w:tab/>
        </w:r>
        <w:r w:rsidRPr="00B27C46">
          <w:rPr>
            <w:rStyle w:val="Lienhypertexte"/>
            <w:noProof/>
          </w:rPr>
          <w:t>Synthèse des mesures d’atténuation</w:t>
        </w:r>
        <w:r>
          <w:rPr>
            <w:noProof/>
            <w:webHidden/>
          </w:rPr>
          <w:tab/>
        </w:r>
        <w:r>
          <w:rPr>
            <w:noProof/>
            <w:webHidden/>
          </w:rPr>
          <w:fldChar w:fldCharType="begin"/>
        </w:r>
        <w:r>
          <w:rPr>
            <w:noProof/>
            <w:webHidden/>
          </w:rPr>
          <w:instrText xml:space="preserve"> PAGEREF _Toc215131785 \h </w:instrText>
        </w:r>
        <w:r>
          <w:rPr>
            <w:noProof/>
            <w:webHidden/>
          </w:rPr>
        </w:r>
        <w:r>
          <w:rPr>
            <w:noProof/>
            <w:webHidden/>
          </w:rPr>
          <w:fldChar w:fldCharType="separate"/>
        </w:r>
        <w:r>
          <w:rPr>
            <w:noProof/>
            <w:webHidden/>
          </w:rPr>
          <w:t>41</w:t>
        </w:r>
        <w:r>
          <w:rPr>
            <w:noProof/>
            <w:webHidden/>
          </w:rPr>
          <w:fldChar w:fldCharType="end"/>
        </w:r>
      </w:hyperlink>
    </w:p>
    <w:p w14:paraId="2E764820" w14:textId="759EAB15" w:rsidR="008B44A1" w:rsidRDefault="008B44A1">
      <w:pPr>
        <w:pStyle w:val="TM3"/>
        <w:rPr>
          <w:rFonts w:asciiTheme="minorHAnsi" w:eastAsiaTheme="minorEastAsia" w:hAnsiTheme="minorHAnsi" w:cstheme="minorBidi"/>
          <w:noProof/>
          <w:lang w:eastAsia="fr-FR" w:bidi="ar-SA"/>
        </w:rPr>
      </w:pPr>
      <w:hyperlink w:anchor="_Toc215131786" w:history="1">
        <w:r w:rsidRPr="00B27C46">
          <w:rPr>
            <w:rStyle w:val="Lienhypertexte"/>
            <w:noProof/>
          </w:rPr>
          <w:t>1.6.5.</w:t>
        </w:r>
        <w:r>
          <w:rPr>
            <w:rFonts w:asciiTheme="minorHAnsi" w:eastAsiaTheme="minorEastAsia" w:hAnsiTheme="minorHAnsi" w:cstheme="minorBidi"/>
            <w:noProof/>
            <w:lang w:eastAsia="fr-FR" w:bidi="ar-SA"/>
          </w:rPr>
          <w:tab/>
        </w:r>
        <w:r w:rsidRPr="00B27C46">
          <w:rPr>
            <w:rStyle w:val="Lienhypertexte"/>
            <w:noProof/>
          </w:rPr>
          <w:t>Programme de surveillance, d’inspection et d’audit</w:t>
        </w:r>
        <w:r>
          <w:rPr>
            <w:noProof/>
            <w:webHidden/>
          </w:rPr>
          <w:tab/>
        </w:r>
        <w:r>
          <w:rPr>
            <w:noProof/>
            <w:webHidden/>
          </w:rPr>
          <w:fldChar w:fldCharType="begin"/>
        </w:r>
        <w:r>
          <w:rPr>
            <w:noProof/>
            <w:webHidden/>
          </w:rPr>
          <w:instrText xml:space="preserve"> PAGEREF _Toc215131786 \h </w:instrText>
        </w:r>
        <w:r>
          <w:rPr>
            <w:noProof/>
            <w:webHidden/>
          </w:rPr>
        </w:r>
        <w:r>
          <w:rPr>
            <w:noProof/>
            <w:webHidden/>
          </w:rPr>
          <w:fldChar w:fldCharType="separate"/>
        </w:r>
        <w:r>
          <w:rPr>
            <w:noProof/>
            <w:webHidden/>
          </w:rPr>
          <w:t>41</w:t>
        </w:r>
        <w:r>
          <w:rPr>
            <w:noProof/>
            <w:webHidden/>
          </w:rPr>
          <w:fldChar w:fldCharType="end"/>
        </w:r>
      </w:hyperlink>
    </w:p>
    <w:p w14:paraId="0AB9B21E" w14:textId="5AC92555" w:rsidR="008B44A1" w:rsidRDefault="008B44A1">
      <w:pPr>
        <w:pStyle w:val="TM3"/>
        <w:rPr>
          <w:rFonts w:asciiTheme="minorHAnsi" w:eastAsiaTheme="minorEastAsia" w:hAnsiTheme="minorHAnsi" w:cstheme="minorBidi"/>
          <w:noProof/>
          <w:lang w:eastAsia="fr-FR" w:bidi="ar-SA"/>
        </w:rPr>
      </w:pPr>
      <w:hyperlink w:anchor="_Toc215131787" w:history="1">
        <w:r w:rsidRPr="00B27C46">
          <w:rPr>
            <w:rStyle w:val="Lienhypertexte"/>
            <w:noProof/>
          </w:rPr>
          <w:t>1.6.6.</w:t>
        </w:r>
        <w:r>
          <w:rPr>
            <w:rFonts w:asciiTheme="minorHAnsi" w:eastAsiaTheme="minorEastAsia" w:hAnsiTheme="minorHAnsi" w:cstheme="minorBidi"/>
            <w:noProof/>
            <w:lang w:eastAsia="fr-FR" w:bidi="ar-SA"/>
          </w:rPr>
          <w:tab/>
        </w:r>
        <w:r w:rsidRPr="00B27C46">
          <w:rPr>
            <w:rStyle w:val="Lienhypertexte"/>
            <w:noProof/>
          </w:rPr>
          <w:t>Programme de suivi environnemental et social</w:t>
        </w:r>
        <w:r>
          <w:rPr>
            <w:noProof/>
            <w:webHidden/>
          </w:rPr>
          <w:tab/>
        </w:r>
        <w:r>
          <w:rPr>
            <w:noProof/>
            <w:webHidden/>
          </w:rPr>
          <w:fldChar w:fldCharType="begin"/>
        </w:r>
        <w:r>
          <w:rPr>
            <w:noProof/>
            <w:webHidden/>
          </w:rPr>
          <w:instrText xml:space="preserve"> PAGEREF _Toc215131787 \h </w:instrText>
        </w:r>
        <w:r>
          <w:rPr>
            <w:noProof/>
            <w:webHidden/>
          </w:rPr>
        </w:r>
        <w:r>
          <w:rPr>
            <w:noProof/>
            <w:webHidden/>
          </w:rPr>
          <w:fldChar w:fldCharType="separate"/>
        </w:r>
        <w:r>
          <w:rPr>
            <w:noProof/>
            <w:webHidden/>
          </w:rPr>
          <w:t>42</w:t>
        </w:r>
        <w:r>
          <w:rPr>
            <w:noProof/>
            <w:webHidden/>
          </w:rPr>
          <w:fldChar w:fldCharType="end"/>
        </w:r>
      </w:hyperlink>
    </w:p>
    <w:p w14:paraId="10F2EF1C" w14:textId="63E0A88D" w:rsidR="008B44A1" w:rsidRDefault="008B44A1">
      <w:pPr>
        <w:pStyle w:val="TM3"/>
        <w:rPr>
          <w:rFonts w:asciiTheme="minorHAnsi" w:eastAsiaTheme="minorEastAsia" w:hAnsiTheme="minorHAnsi" w:cstheme="minorBidi"/>
          <w:noProof/>
          <w:lang w:eastAsia="fr-FR" w:bidi="ar-SA"/>
        </w:rPr>
      </w:pPr>
      <w:hyperlink w:anchor="_Toc215131788" w:history="1">
        <w:r w:rsidRPr="00B27C46">
          <w:rPr>
            <w:rStyle w:val="Lienhypertexte"/>
            <w:noProof/>
          </w:rPr>
          <w:t>1.6.7.</w:t>
        </w:r>
        <w:r>
          <w:rPr>
            <w:rFonts w:asciiTheme="minorHAnsi" w:eastAsiaTheme="minorEastAsia" w:hAnsiTheme="minorHAnsi" w:cstheme="minorBidi"/>
            <w:noProof/>
            <w:lang w:eastAsia="fr-FR" w:bidi="ar-SA"/>
          </w:rPr>
          <w:tab/>
        </w:r>
        <w:r w:rsidRPr="00B27C46">
          <w:rPr>
            <w:rStyle w:val="Lienhypertexte"/>
            <w:noProof/>
          </w:rPr>
          <w:t>Coût de mise en œuvre</w:t>
        </w:r>
        <w:r>
          <w:rPr>
            <w:noProof/>
            <w:webHidden/>
          </w:rPr>
          <w:tab/>
        </w:r>
        <w:r>
          <w:rPr>
            <w:noProof/>
            <w:webHidden/>
          </w:rPr>
          <w:fldChar w:fldCharType="begin"/>
        </w:r>
        <w:r>
          <w:rPr>
            <w:noProof/>
            <w:webHidden/>
          </w:rPr>
          <w:instrText xml:space="preserve"> PAGEREF _Toc215131788 \h </w:instrText>
        </w:r>
        <w:r>
          <w:rPr>
            <w:noProof/>
            <w:webHidden/>
          </w:rPr>
        </w:r>
        <w:r>
          <w:rPr>
            <w:noProof/>
            <w:webHidden/>
          </w:rPr>
          <w:fldChar w:fldCharType="separate"/>
        </w:r>
        <w:r>
          <w:rPr>
            <w:noProof/>
            <w:webHidden/>
          </w:rPr>
          <w:t>48</w:t>
        </w:r>
        <w:r>
          <w:rPr>
            <w:noProof/>
            <w:webHidden/>
          </w:rPr>
          <w:fldChar w:fldCharType="end"/>
        </w:r>
      </w:hyperlink>
    </w:p>
    <w:p w14:paraId="52CBC037" w14:textId="2C5BDEC7" w:rsidR="008B44A1" w:rsidRDefault="008B44A1">
      <w:pPr>
        <w:pStyle w:val="TM1"/>
        <w:tabs>
          <w:tab w:val="left" w:pos="440"/>
          <w:tab w:val="right" w:leader="dot" w:pos="9062"/>
        </w:tabs>
        <w:rPr>
          <w:rFonts w:asciiTheme="minorHAnsi" w:eastAsiaTheme="minorEastAsia" w:hAnsiTheme="minorHAnsi" w:cstheme="minorBidi"/>
          <w:noProof/>
          <w:lang w:eastAsia="fr-FR" w:bidi="ar-SA"/>
        </w:rPr>
      </w:pPr>
      <w:hyperlink w:anchor="_Toc215131789" w:history="1">
        <w:r w:rsidRPr="00B27C46">
          <w:rPr>
            <w:rStyle w:val="Lienhypertexte"/>
            <w:noProof/>
          </w:rPr>
          <w:t>2.</w:t>
        </w:r>
        <w:r>
          <w:rPr>
            <w:rFonts w:asciiTheme="minorHAnsi" w:eastAsiaTheme="minorEastAsia" w:hAnsiTheme="minorHAnsi" w:cstheme="minorBidi"/>
            <w:noProof/>
            <w:lang w:eastAsia="fr-FR" w:bidi="ar-SA"/>
          </w:rPr>
          <w:tab/>
        </w:r>
        <w:r w:rsidRPr="00B27C46">
          <w:rPr>
            <w:rStyle w:val="Lienhypertexte"/>
            <w:noProof/>
          </w:rPr>
          <w:t>Introduction</w:t>
        </w:r>
        <w:r>
          <w:rPr>
            <w:noProof/>
            <w:webHidden/>
          </w:rPr>
          <w:tab/>
        </w:r>
        <w:r>
          <w:rPr>
            <w:noProof/>
            <w:webHidden/>
          </w:rPr>
          <w:fldChar w:fldCharType="begin"/>
        </w:r>
        <w:r>
          <w:rPr>
            <w:noProof/>
            <w:webHidden/>
          </w:rPr>
          <w:instrText xml:space="preserve"> PAGEREF _Toc215131789 \h </w:instrText>
        </w:r>
        <w:r>
          <w:rPr>
            <w:noProof/>
            <w:webHidden/>
          </w:rPr>
        </w:r>
        <w:r>
          <w:rPr>
            <w:noProof/>
            <w:webHidden/>
          </w:rPr>
          <w:fldChar w:fldCharType="separate"/>
        </w:r>
        <w:r>
          <w:rPr>
            <w:noProof/>
            <w:webHidden/>
          </w:rPr>
          <w:t>50</w:t>
        </w:r>
        <w:r>
          <w:rPr>
            <w:noProof/>
            <w:webHidden/>
          </w:rPr>
          <w:fldChar w:fldCharType="end"/>
        </w:r>
      </w:hyperlink>
    </w:p>
    <w:p w14:paraId="6D99DCEA" w14:textId="43813A53" w:rsidR="008B44A1" w:rsidRDefault="008B44A1">
      <w:pPr>
        <w:pStyle w:val="TM1"/>
        <w:tabs>
          <w:tab w:val="left" w:pos="440"/>
          <w:tab w:val="right" w:leader="dot" w:pos="9062"/>
        </w:tabs>
        <w:rPr>
          <w:rFonts w:asciiTheme="minorHAnsi" w:eastAsiaTheme="minorEastAsia" w:hAnsiTheme="minorHAnsi" w:cstheme="minorBidi"/>
          <w:noProof/>
          <w:lang w:eastAsia="fr-FR" w:bidi="ar-SA"/>
        </w:rPr>
      </w:pPr>
      <w:hyperlink w:anchor="_Toc215131790" w:history="1">
        <w:r w:rsidRPr="00B27C46">
          <w:rPr>
            <w:rStyle w:val="Lienhypertexte"/>
            <w:noProof/>
          </w:rPr>
          <w:t>3.</w:t>
        </w:r>
        <w:r>
          <w:rPr>
            <w:rFonts w:asciiTheme="minorHAnsi" w:eastAsiaTheme="minorEastAsia" w:hAnsiTheme="minorHAnsi" w:cstheme="minorBidi"/>
            <w:noProof/>
            <w:lang w:eastAsia="fr-FR" w:bidi="ar-SA"/>
          </w:rPr>
          <w:tab/>
        </w:r>
        <w:r w:rsidRPr="00B27C46">
          <w:rPr>
            <w:rStyle w:val="Lienhypertexte"/>
            <w:noProof/>
          </w:rPr>
          <w:t>Cadre Juridique, Stratégique et Institutionnel</w:t>
        </w:r>
        <w:r>
          <w:rPr>
            <w:noProof/>
            <w:webHidden/>
          </w:rPr>
          <w:tab/>
        </w:r>
        <w:r>
          <w:rPr>
            <w:noProof/>
            <w:webHidden/>
          </w:rPr>
          <w:fldChar w:fldCharType="begin"/>
        </w:r>
        <w:r>
          <w:rPr>
            <w:noProof/>
            <w:webHidden/>
          </w:rPr>
          <w:instrText xml:space="preserve"> PAGEREF _Toc215131790 \h </w:instrText>
        </w:r>
        <w:r>
          <w:rPr>
            <w:noProof/>
            <w:webHidden/>
          </w:rPr>
        </w:r>
        <w:r>
          <w:rPr>
            <w:noProof/>
            <w:webHidden/>
          </w:rPr>
          <w:fldChar w:fldCharType="separate"/>
        </w:r>
        <w:r>
          <w:rPr>
            <w:noProof/>
            <w:webHidden/>
          </w:rPr>
          <w:t>52</w:t>
        </w:r>
        <w:r>
          <w:rPr>
            <w:noProof/>
            <w:webHidden/>
          </w:rPr>
          <w:fldChar w:fldCharType="end"/>
        </w:r>
      </w:hyperlink>
    </w:p>
    <w:p w14:paraId="42BCDC2B" w14:textId="1EC482F6" w:rsidR="008B44A1" w:rsidRDefault="008B44A1">
      <w:pPr>
        <w:pStyle w:val="TM2"/>
        <w:rPr>
          <w:rFonts w:asciiTheme="minorHAnsi" w:eastAsiaTheme="minorEastAsia" w:hAnsiTheme="minorHAnsi" w:cstheme="minorBidi"/>
          <w:noProof/>
          <w:lang w:eastAsia="fr-FR" w:bidi="ar-SA"/>
        </w:rPr>
      </w:pPr>
      <w:hyperlink w:anchor="_Toc215131791" w:history="1">
        <w:r w:rsidRPr="00B27C46">
          <w:rPr>
            <w:rStyle w:val="Lienhypertexte"/>
            <w:noProof/>
          </w:rPr>
          <w:t>3.1.</w:t>
        </w:r>
        <w:r>
          <w:rPr>
            <w:rFonts w:asciiTheme="minorHAnsi" w:eastAsiaTheme="minorEastAsia" w:hAnsiTheme="minorHAnsi" w:cstheme="minorBidi"/>
            <w:noProof/>
            <w:lang w:eastAsia="fr-FR" w:bidi="ar-SA"/>
          </w:rPr>
          <w:tab/>
        </w:r>
        <w:r w:rsidRPr="00B27C46">
          <w:rPr>
            <w:rStyle w:val="Lienhypertexte"/>
            <w:noProof/>
          </w:rPr>
          <w:t>Cadre stratégique</w:t>
        </w:r>
        <w:r>
          <w:rPr>
            <w:noProof/>
            <w:webHidden/>
          </w:rPr>
          <w:tab/>
        </w:r>
        <w:r>
          <w:rPr>
            <w:noProof/>
            <w:webHidden/>
          </w:rPr>
          <w:fldChar w:fldCharType="begin"/>
        </w:r>
        <w:r>
          <w:rPr>
            <w:noProof/>
            <w:webHidden/>
          </w:rPr>
          <w:instrText xml:space="preserve"> PAGEREF _Toc215131791 \h </w:instrText>
        </w:r>
        <w:r>
          <w:rPr>
            <w:noProof/>
            <w:webHidden/>
          </w:rPr>
        </w:r>
        <w:r>
          <w:rPr>
            <w:noProof/>
            <w:webHidden/>
          </w:rPr>
          <w:fldChar w:fldCharType="separate"/>
        </w:r>
        <w:r>
          <w:rPr>
            <w:noProof/>
            <w:webHidden/>
          </w:rPr>
          <w:t>52</w:t>
        </w:r>
        <w:r>
          <w:rPr>
            <w:noProof/>
            <w:webHidden/>
          </w:rPr>
          <w:fldChar w:fldCharType="end"/>
        </w:r>
      </w:hyperlink>
    </w:p>
    <w:p w14:paraId="62572B78" w14:textId="4D5578BE" w:rsidR="008B44A1" w:rsidRDefault="008B44A1">
      <w:pPr>
        <w:pStyle w:val="TM2"/>
        <w:rPr>
          <w:rFonts w:asciiTheme="minorHAnsi" w:eastAsiaTheme="minorEastAsia" w:hAnsiTheme="minorHAnsi" w:cstheme="minorBidi"/>
          <w:noProof/>
          <w:lang w:eastAsia="fr-FR" w:bidi="ar-SA"/>
        </w:rPr>
      </w:pPr>
      <w:hyperlink w:anchor="_Toc215131792" w:history="1">
        <w:r w:rsidRPr="00B27C46">
          <w:rPr>
            <w:rStyle w:val="Lienhypertexte"/>
            <w:noProof/>
          </w:rPr>
          <w:t>3.2.</w:t>
        </w:r>
        <w:r>
          <w:rPr>
            <w:rFonts w:asciiTheme="minorHAnsi" w:eastAsiaTheme="minorEastAsia" w:hAnsiTheme="minorHAnsi" w:cstheme="minorBidi"/>
            <w:noProof/>
            <w:lang w:eastAsia="fr-FR" w:bidi="ar-SA"/>
          </w:rPr>
          <w:tab/>
        </w:r>
        <w:r w:rsidRPr="00B27C46">
          <w:rPr>
            <w:rStyle w:val="Lienhypertexte"/>
            <w:noProof/>
          </w:rPr>
          <w:t>Cadre Juridique</w:t>
        </w:r>
        <w:r>
          <w:rPr>
            <w:noProof/>
            <w:webHidden/>
          </w:rPr>
          <w:tab/>
        </w:r>
        <w:r>
          <w:rPr>
            <w:noProof/>
            <w:webHidden/>
          </w:rPr>
          <w:fldChar w:fldCharType="begin"/>
        </w:r>
        <w:r>
          <w:rPr>
            <w:noProof/>
            <w:webHidden/>
          </w:rPr>
          <w:instrText xml:space="preserve"> PAGEREF _Toc215131792 \h </w:instrText>
        </w:r>
        <w:r>
          <w:rPr>
            <w:noProof/>
            <w:webHidden/>
          </w:rPr>
        </w:r>
        <w:r>
          <w:rPr>
            <w:noProof/>
            <w:webHidden/>
          </w:rPr>
          <w:fldChar w:fldCharType="separate"/>
        </w:r>
        <w:r>
          <w:rPr>
            <w:noProof/>
            <w:webHidden/>
          </w:rPr>
          <w:t>53</w:t>
        </w:r>
        <w:r>
          <w:rPr>
            <w:noProof/>
            <w:webHidden/>
          </w:rPr>
          <w:fldChar w:fldCharType="end"/>
        </w:r>
      </w:hyperlink>
    </w:p>
    <w:p w14:paraId="452B903B" w14:textId="24B1392F" w:rsidR="008B44A1" w:rsidRDefault="008B44A1">
      <w:pPr>
        <w:pStyle w:val="TM3"/>
        <w:rPr>
          <w:rFonts w:asciiTheme="minorHAnsi" w:eastAsiaTheme="minorEastAsia" w:hAnsiTheme="minorHAnsi" w:cstheme="minorBidi"/>
          <w:noProof/>
          <w:lang w:eastAsia="fr-FR" w:bidi="ar-SA"/>
        </w:rPr>
      </w:pPr>
      <w:hyperlink w:anchor="_Toc215131793" w:history="1">
        <w:r w:rsidRPr="00B27C46">
          <w:rPr>
            <w:rStyle w:val="Lienhypertexte"/>
            <w:noProof/>
          </w:rPr>
          <w:t>3.2.1.</w:t>
        </w:r>
        <w:r>
          <w:rPr>
            <w:rFonts w:asciiTheme="minorHAnsi" w:eastAsiaTheme="minorEastAsia" w:hAnsiTheme="minorHAnsi" w:cstheme="minorBidi"/>
            <w:noProof/>
            <w:lang w:eastAsia="fr-FR" w:bidi="ar-SA"/>
          </w:rPr>
          <w:tab/>
        </w:r>
        <w:r w:rsidRPr="00B27C46">
          <w:rPr>
            <w:rStyle w:val="Lienhypertexte"/>
            <w:noProof/>
          </w:rPr>
          <w:t>Environnement et développement durable</w:t>
        </w:r>
        <w:r>
          <w:rPr>
            <w:noProof/>
            <w:webHidden/>
          </w:rPr>
          <w:tab/>
        </w:r>
        <w:r>
          <w:rPr>
            <w:noProof/>
            <w:webHidden/>
          </w:rPr>
          <w:fldChar w:fldCharType="begin"/>
        </w:r>
        <w:r>
          <w:rPr>
            <w:noProof/>
            <w:webHidden/>
          </w:rPr>
          <w:instrText xml:space="preserve"> PAGEREF _Toc215131793 \h </w:instrText>
        </w:r>
        <w:r>
          <w:rPr>
            <w:noProof/>
            <w:webHidden/>
          </w:rPr>
        </w:r>
        <w:r>
          <w:rPr>
            <w:noProof/>
            <w:webHidden/>
          </w:rPr>
          <w:fldChar w:fldCharType="separate"/>
        </w:r>
        <w:r>
          <w:rPr>
            <w:noProof/>
            <w:webHidden/>
          </w:rPr>
          <w:t>54</w:t>
        </w:r>
        <w:r>
          <w:rPr>
            <w:noProof/>
            <w:webHidden/>
          </w:rPr>
          <w:fldChar w:fldCharType="end"/>
        </w:r>
      </w:hyperlink>
    </w:p>
    <w:p w14:paraId="33490804" w14:textId="1567B28E" w:rsidR="008B44A1" w:rsidRDefault="008B44A1">
      <w:pPr>
        <w:pStyle w:val="TM3"/>
        <w:rPr>
          <w:rFonts w:asciiTheme="minorHAnsi" w:eastAsiaTheme="minorEastAsia" w:hAnsiTheme="minorHAnsi" w:cstheme="minorBidi"/>
          <w:noProof/>
          <w:lang w:eastAsia="fr-FR" w:bidi="ar-SA"/>
        </w:rPr>
      </w:pPr>
      <w:hyperlink w:anchor="_Toc215131794" w:history="1">
        <w:r w:rsidRPr="00B27C46">
          <w:rPr>
            <w:rStyle w:val="Lienhypertexte"/>
            <w:noProof/>
          </w:rPr>
          <w:t>3.2.2.</w:t>
        </w:r>
        <w:r>
          <w:rPr>
            <w:rFonts w:asciiTheme="minorHAnsi" w:eastAsiaTheme="minorEastAsia" w:hAnsiTheme="minorHAnsi" w:cstheme="minorBidi"/>
            <w:noProof/>
            <w:lang w:eastAsia="fr-FR" w:bidi="ar-SA"/>
          </w:rPr>
          <w:tab/>
        </w:r>
        <w:r w:rsidRPr="00B27C46">
          <w:rPr>
            <w:rStyle w:val="Lienhypertexte"/>
            <w:noProof/>
          </w:rPr>
          <w:t>Ressources en eau</w:t>
        </w:r>
        <w:r>
          <w:rPr>
            <w:noProof/>
            <w:webHidden/>
          </w:rPr>
          <w:tab/>
        </w:r>
        <w:r>
          <w:rPr>
            <w:noProof/>
            <w:webHidden/>
          </w:rPr>
          <w:fldChar w:fldCharType="begin"/>
        </w:r>
        <w:r>
          <w:rPr>
            <w:noProof/>
            <w:webHidden/>
          </w:rPr>
          <w:instrText xml:space="preserve"> PAGEREF _Toc215131794 \h </w:instrText>
        </w:r>
        <w:r>
          <w:rPr>
            <w:noProof/>
            <w:webHidden/>
          </w:rPr>
        </w:r>
        <w:r>
          <w:rPr>
            <w:noProof/>
            <w:webHidden/>
          </w:rPr>
          <w:fldChar w:fldCharType="separate"/>
        </w:r>
        <w:r>
          <w:rPr>
            <w:noProof/>
            <w:webHidden/>
          </w:rPr>
          <w:t>57</w:t>
        </w:r>
        <w:r>
          <w:rPr>
            <w:noProof/>
            <w:webHidden/>
          </w:rPr>
          <w:fldChar w:fldCharType="end"/>
        </w:r>
      </w:hyperlink>
    </w:p>
    <w:p w14:paraId="13C56077" w14:textId="6754CB47" w:rsidR="008B44A1" w:rsidRDefault="008B44A1">
      <w:pPr>
        <w:pStyle w:val="TM3"/>
        <w:rPr>
          <w:rFonts w:asciiTheme="minorHAnsi" w:eastAsiaTheme="minorEastAsia" w:hAnsiTheme="minorHAnsi" w:cstheme="minorBidi"/>
          <w:noProof/>
          <w:lang w:eastAsia="fr-FR" w:bidi="ar-SA"/>
        </w:rPr>
      </w:pPr>
      <w:hyperlink w:anchor="_Toc215131795" w:history="1">
        <w:r w:rsidRPr="00B27C46">
          <w:rPr>
            <w:rStyle w:val="Lienhypertexte"/>
            <w:noProof/>
          </w:rPr>
          <w:t>3.2.3.</w:t>
        </w:r>
        <w:r>
          <w:rPr>
            <w:rFonts w:asciiTheme="minorHAnsi" w:eastAsiaTheme="minorEastAsia" w:hAnsiTheme="minorHAnsi" w:cstheme="minorBidi"/>
            <w:noProof/>
            <w:lang w:eastAsia="fr-FR" w:bidi="ar-SA"/>
          </w:rPr>
          <w:tab/>
        </w:r>
        <w:r w:rsidRPr="00B27C46">
          <w:rPr>
            <w:rStyle w:val="Lienhypertexte"/>
            <w:noProof/>
          </w:rPr>
          <w:t>Gestion des déchets solides</w:t>
        </w:r>
        <w:r>
          <w:rPr>
            <w:noProof/>
            <w:webHidden/>
          </w:rPr>
          <w:tab/>
        </w:r>
        <w:r>
          <w:rPr>
            <w:noProof/>
            <w:webHidden/>
          </w:rPr>
          <w:fldChar w:fldCharType="begin"/>
        </w:r>
        <w:r>
          <w:rPr>
            <w:noProof/>
            <w:webHidden/>
          </w:rPr>
          <w:instrText xml:space="preserve"> PAGEREF _Toc215131795 \h </w:instrText>
        </w:r>
        <w:r>
          <w:rPr>
            <w:noProof/>
            <w:webHidden/>
          </w:rPr>
        </w:r>
        <w:r>
          <w:rPr>
            <w:noProof/>
            <w:webHidden/>
          </w:rPr>
          <w:fldChar w:fldCharType="separate"/>
        </w:r>
        <w:r>
          <w:rPr>
            <w:noProof/>
            <w:webHidden/>
          </w:rPr>
          <w:t>59</w:t>
        </w:r>
        <w:r>
          <w:rPr>
            <w:noProof/>
            <w:webHidden/>
          </w:rPr>
          <w:fldChar w:fldCharType="end"/>
        </w:r>
      </w:hyperlink>
    </w:p>
    <w:p w14:paraId="161274FF" w14:textId="5052C85B" w:rsidR="008B44A1" w:rsidRDefault="008B44A1">
      <w:pPr>
        <w:pStyle w:val="TM3"/>
        <w:rPr>
          <w:rFonts w:asciiTheme="minorHAnsi" w:eastAsiaTheme="minorEastAsia" w:hAnsiTheme="minorHAnsi" w:cstheme="minorBidi"/>
          <w:noProof/>
          <w:lang w:eastAsia="fr-FR" w:bidi="ar-SA"/>
        </w:rPr>
      </w:pPr>
      <w:hyperlink w:anchor="_Toc215131796" w:history="1">
        <w:r w:rsidRPr="00B27C46">
          <w:rPr>
            <w:rStyle w:val="Lienhypertexte"/>
            <w:noProof/>
          </w:rPr>
          <w:t>3.2.4.</w:t>
        </w:r>
        <w:r>
          <w:rPr>
            <w:rFonts w:asciiTheme="minorHAnsi" w:eastAsiaTheme="minorEastAsia" w:hAnsiTheme="minorHAnsi" w:cstheme="minorBidi"/>
            <w:noProof/>
            <w:lang w:eastAsia="fr-FR" w:bidi="ar-SA"/>
          </w:rPr>
          <w:tab/>
        </w:r>
        <w:r w:rsidRPr="00B27C46">
          <w:rPr>
            <w:rStyle w:val="Lienhypertexte"/>
            <w:noProof/>
          </w:rPr>
          <w:t>Qualité de l’air</w:t>
        </w:r>
        <w:r>
          <w:rPr>
            <w:noProof/>
            <w:webHidden/>
          </w:rPr>
          <w:tab/>
        </w:r>
        <w:r>
          <w:rPr>
            <w:noProof/>
            <w:webHidden/>
          </w:rPr>
          <w:fldChar w:fldCharType="begin"/>
        </w:r>
        <w:r>
          <w:rPr>
            <w:noProof/>
            <w:webHidden/>
          </w:rPr>
          <w:instrText xml:space="preserve"> PAGEREF _Toc215131796 \h </w:instrText>
        </w:r>
        <w:r>
          <w:rPr>
            <w:noProof/>
            <w:webHidden/>
          </w:rPr>
        </w:r>
        <w:r>
          <w:rPr>
            <w:noProof/>
            <w:webHidden/>
          </w:rPr>
          <w:fldChar w:fldCharType="separate"/>
        </w:r>
        <w:r>
          <w:rPr>
            <w:noProof/>
            <w:webHidden/>
          </w:rPr>
          <w:t>60</w:t>
        </w:r>
        <w:r>
          <w:rPr>
            <w:noProof/>
            <w:webHidden/>
          </w:rPr>
          <w:fldChar w:fldCharType="end"/>
        </w:r>
      </w:hyperlink>
    </w:p>
    <w:p w14:paraId="5D1F2437" w14:textId="198A4AB9" w:rsidR="008B44A1" w:rsidRDefault="008B44A1">
      <w:pPr>
        <w:pStyle w:val="TM3"/>
        <w:rPr>
          <w:rFonts w:asciiTheme="minorHAnsi" w:eastAsiaTheme="minorEastAsia" w:hAnsiTheme="minorHAnsi" w:cstheme="minorBidi"/>
          <w:noProof/>
          <w:lang w:eastAsia="fr-FR" w:bidi="ar-SA"/>
        </w:rPr>
      </w:pPr>
      <w:hyperlink w:anchor="_Toc215131797" w:history="1">
        <w:r w:rsidRPr="00B27C46">
          <w:rPr>
            <w:rStyle w:val="Lienhypertexte"/>
            <w:noProof/>
          </w:rPr>
          <w:t>3.2.5.</w:t>
        </w:r>
        <w:r>
          <w:rPr>
            <w:rFonts w:asciiTheme="minorHAnsi" w:eastAsiaTheme="minorEastAsia" w:hAnsiTheme="minorHAnsi" w:cstheme="minorBidi"/>
            <w:noProof/>
            <w:lang w:eastAsia="fr-FR" w:bidi="ar-SA"/>
          </w:rPr>
          <w:tab/>
        </w:r>
        <w:r w:rsidRPr="00B27C46">
          <w:rPr>
            <w:rStyle w:val="Lienhypertexte"/>
            <w:noProof/>
          </w:rPr>
          <w:t>Préservation des sols</w:t>
        </w:r>
        <w:r>
          <w:rPr>
            <w:noProof/>
            <w:webHidden/>
          </w:rPr>
          <w:tab/>
        </w:r>
        <w:r>
          <w:rPr>
            <w:noProof/>
            <w:webHidden/>
          </w:rPr>
          <w:fldChar w:fldCharType="begin"/>
        </w:r>
        <w:r>
          <w:rPr>
            <w:noProof/>
            <w:webHidden/>
          </w:rPr>
          <w:instrText xml:space="preserve"> PAGEREF _Toc215131797 \h </w:instrText>
        </w:r>
        <w:r>
          <w:rPr>
            <w:noProof/>
            <w:webHidden/>
          </w:rPr>
        </w:r>
        <w:r>
          <w:rPr>
            <w:noProof/>
            <w:webHidden/>
          </w:rPr>
          <w:fldChar w:fldCharType="separate"/>
        </w:r>
        <w:r>
          <w:rPr>
            <w:noProof/>
            <w:webHidden/>
          </w:rPr>
          <w:t>61</w:t>
        </w:r>
        <w:r>
          <w:rPr>
            <w:noProof/>
            <w:webHidden/>
          </w:rPr>
          <w:fldChar w:fldCharType="end"/>
        </w:r>
      </w:hyperlink>
    </w:p>
    <w:p w14:paraId="0EBD3A0F" w14:textId="2F0997D6" w:rsidR="008B44A1" w:rsidRDefault="008B44A1">
      <w:pPr>
        <w:pStyle w:val="TM3"/>
        <w:rPr>
          <w:rFonts w:asciiTheme="minorHAnsi" w:eastAsiaTheme="minorEastAsia" w:hAnsiTheme="minorHAnsi" w:cstheme="minorBidi"/>
          <w:noProof/>
          <w:lang w:eastAsia="fr-FR" w:bidi="ar-SA"/>
        </w:rPr>
      </w:pPr>
      <w:hyperlink w:anchor="_Toc215131798" w:history="1">
        <w:r w:rsidRPr="00B27C46">
          <w:rPr>
            <w:rStyle w:val="Lienhypertexte"/>
            <w:noProof/>
          </w:rPr>
          <w:t>3.2.6.</w:t>
        </w:r>
        <w:r>
          <w:rPr>
            <w:rFonts w:asciiTheme="minorHAnsi" w:eastAsiaTheme="minorEastAsia" w:hAnsiTheme="minorHAnsi" w:cstheme="minorBidi"/>
            <w:noProof/>
            <w:lang w:eastAsia="fr-FR" w:bidi="ar-SA"/>
          </w:rPr>
          <w:tab/>
        </w:r>
        <w:r w:rsidRPr="00B27C46">
          <w:rPr>
            <w:rStyle w:val="Lienhypertexte"/>
            <w:noProof/>
          </w:rPr>
          <w:t>Biodiversité</w:t>
        </w:r>
        <w:r>
          <w:rPr>
            <w:noProof/>
            <w:webHidden/>
          </w:rPr>
          <w:tab/>
        </w:r>
        <w:r>
          <w:rPr>
            <w:noProof/>
            <w:webHidden/>
          </w:rPr>
          <w:fldChar w:fldCharType="begin"/>
        </w:r>
        <w:r>
          <w:rPr>
            <w:noProof/>
            <w:webHidden/>
          </w:rPr>
          <w:instrText xml:space="preserve"> PAGEREF _Toc215131798 \h </w:instrText>
        </w:r>
        <w:r>
          <w:rPr>
            <w:noProof/>
            <w:webHidden/>
          </w:rPr>
        </w:r>
        <w:r>
          <w:rPr>
            <w:noProof/>
            <w:webHidden/>
          </w:rPr>
          <w:fldChar w:fldCharType="separate"/>
        </w:r>
        <w:r>
          <w:rPr>
            <w:noProof/>
            <w:webHidden/>
          </w:rPr>
          <w:t>61</w:t>
        </w:r>
        <w:r>
          <w:rPr>
            <w:noProof/>
            <w:webHidden/>
          </w:rPr>
          <w:fldChar w:fldCharType="end"/>
        </w:r>
      </w:hyperlink>
    </w:p>
    <w:p w14:paraId="0C691064" w14:textId="2EF56C14" w:rsidR="008B44A1" w:rsidRDefault="008B44A1">
      <w:pPr>
        <w:pStyle w:val="TM3"/>
        <w:rPr>
          <w:rFonts w:asciiTheme="minorHAnsi" w:eastAsiaTheme="minorEastAsia" w:hAnsiTheme="minorHAnsi" w:cstheme="minorBidi"/>
          <w:noProof/>
          <w:lang w:eastAsia="fr-FR" w:bidi="ar-SA"/>
        </w:rPr>
      </w:pPr>
      <w:hyperlink w:anchor="_Toc215131799" w:history="1">
        <w:r w:rsidRPr="00B27C46">
          <w:rPr>
            <w:rStyle w:val="Lienhypertexte"/>
            <w:noProof/>
          </w:rPr>
          <w:t>3.2.7.</w:t>
        </w:r>
        <w:r>
          <w:rPr>
            <w:rFonts w:asciiTheme="minorHAnsi" w:eastAsiaTheme="minorEastAsia" w:hAnsiTheme="minorHAnsi" w:cstheme="minorBidi"/>
            <w:noProof/>
            <w:lang w:eastAsia="fr-FR" w:bidi="ar-SA"/>
          </w:rPr>
          <w:tab/>
        </w:r>
        <w:r w:rsidRPr="00B27C46">
          <w:rPr>
            <w:rStyle w:val="Lienhypertexte"/>
            <w:noProof/>
          </w:rPr>
          <w:t>Urbanisme, foncier et organisation du territoire</w:t>
        </w:r>
        <w:r>
          <w:rPr>
            <w:noProof/>
            <w:webHidden/>
          </w:rPr>
          <w:tab/>
        </w:r>
        <w:r>
          <w:rPr>
            <w:noProof/>
            <w:webHidden/>
          </w:rPr>
          <w:fldChar w:fldCharType="begin"/>
        </w:r>
        <w:r>
          <w:rPr>
            <w:noProof/>
            <w:webHidden/>
          </w:rPr>
          <w:instrText xml:space="preserve"> PAGEREF _Toc215131799 \h </w:instrText>
        </w:r>
        <w:r>
          <w:rPr>
            <w:noProof/>
            <w:webHidden/>
          </w:rPr>
        </w:r>
        <w:r>
          <w:rPr>
            <w:noProof/>
            <w:webHidden/>
          </w:rPr>
          <w:fldChar w:fldCharType="separate"/>
        </w:r>
        <w:r>
          <w:rPr>
            <w:noProof/>
            <w:webHidden/>
          </w:rPr>
          <w:t>63</w:t>
        </w:r>
        <w:r>
          <w:rPr>
            <w:noProof/>
            <w:webHidden/>
          </w:rPr>
          <w:fldChar w:fldCharType="end"/>
        </w:r>
      </w:hyperlink>
    </w:p>
    <w:p w14:paraId="35A695FC" w14:textId="139479F3" w:rsidR="008B44A1" w:rsidRDefault="008B44A1">
      <w:pPr>
        <w:pStyle w:val="TM3"/>
        <w:rPr>
          <w:rFonts w:asciiTheme="minorHAnsi" w:eastAsiaTheme="minorEastAsia" w:hAnsiTheme="minorHAnsi" w:cstheme="minorBidi"/>
          <w:noProof/>
          <w:lang w:eastAsia="fr-FR" w:bidi="ar-SA"/>
        </w:rPr>
      </w:pPr>
      <w:hyperlink w:anchor="_Toc215131800" w:history="1">
        <w:r w:rsidRPr="00B27C46">
          <w:rPr>
            <w:rStyle w:val="Lienhypertexte"/>
            <w:noProof/>
          </w:rPr>
          <w:t>3.2.8.</w:t>
        </w:r>
        <w:r>
          <w:rPr>
            <w:rFonts w:asciiTheme="minorHAnsi" w:eastAsiaTheme="minorEastAsia" w:hAnsiTheme="minorHAnsi" w:cstheme="minorBidi"/>
            <w:noProof/>
            <w:lang w:eastAsia="fr-FR" w:bidi="ar-SA"/>
          </w:rPr>
          <w:tab/>
        </w:r>
        <w:r w:rsidRPr="00B27C46">
          <w:rPr>
            <w:rStyle w:val="Lienhypertexte"/>
            <w:noProof/>
          </w:rPr>
          <w:t>Patrimoine culturel et archéologique</w:t>
        </w:r>
        <w:r>
          <w:rPr>
            <w:noProof/>
            <w:webHidden/>
          </w:rPr>
          <w:tab/>
        </w:r>
        <w:r>
          <w:rPr>
            <w:noProof/>
            <w:webHidden/>
          </w:rPr>
          <w:fldChar w:fldCharType="begin"/>
        </w:r>
        <w:r>
          <w:rPr>
            <w:noProof/>
            <w:webHidden/>
          </w:rPr>
          <w:instrText xml:space="preserve"> PAGEREF _Toc215131800 \h </w:instrText>
        </w:r>
        <w:r>
          <w:rPr>
            <w:noProof/>
            <w:webHidden/>
          </w:rPr>
        </w:r>
        <w:r>
          <w:rPr>
            <w:noProof/>
            <w:webHidden/>
          </w:rPr>
          <w:fldChar w:fldCharType="separate"/>
        </w:r>
        <w:r>
          <w:rPr>
            <w:noProof/>
            <w:webHidden/>
          </w:rPr>
          <w:t>66</w:t>
        </w:r>
        <w:r>
          <w:rPr>
            <w:noProof/>
            <w:webHidden/>
          </w:rPr>
          <w:fldChar w:fldCharType="end"/>
        </w:r>
      </w:hyperlink>
    </w:p>
    <w:p w14:paraId="52D4AD3A" w14:textId="0982D3D9" w:rsidR="008B44A1" w:rsidRDefault="008B44A1">
      <w:pPr>
        <w:pStyle w:val="TM3"/>
        <w:rPr>
          <w:rFonts w:asciiTheme="minorHAnsi" w:eastAsiaTheme="minorEastAsia" w:hAnsiTheme="minorHAnsi" w:cstheme="minorBidi"/>
          <w:noProof/>
          <w:lang w:eastAsia="fr-FR" w:bidi="ar-SA"/>
        </w:rPr>
      </w:pPr>
      <w:hyperlink w:anchor="_Toc215131801" w:history="1">
        <w:r w:rsidRPr="00B27C46">
          <w:rPr>
            <w:rStyle w:val="Lienhypertexte"/>
            <w:noProof/>
          </w:rPr>
          <w:t>3.2.9.</w:t>
        </w:r>
        <w:r>
          <w:rPr>
            <w:rFonts w:asciiTheme="minorHAnsi" w:eastAsiaTheme="minorEastAsia" w:hAnsiTheme="minorHAnsi" w:cstheme="minorBidi"/>
            <w:noProof/>
            <w:lang w:eastAsia="fr-FR" w:bidi="ar-SA"/>
          </w:rPr>
          <w:tab/>
        </w:r>
        <w:r w:rsidRPr="00B27C46">
          <w:rPr>
            <w:rStyle w:val="Lienhypertexte"/>
            <w:noProof/>
          </w:rPr>
          <w:t>Transport et code de route</w:t>
        </w:r>
        <w:r>
          <w:rPr>
            <w:noProof/>
            <w:webHidden/>
          </w:rPr>
          <w:tab/>
        </w:r>
        <w:r>
          <w:rPr>
            <w:noProof/>
            <w:webHidden/>
          </w:rPr>
          <w:fldChar w:fldCharType="begin"/>
        </w:r>
        <w:r>
          <w:rPr>
            <w:noProof/>
            <w:webHidden/>
          </w:rPr>
          <w:instrText xml:space="preserve"> PAGEREF _Toc215131801 \h </w:instrText>
        </w:r>
        <w:r>
          <w:rPr>
            <w:noProof/>
            <w:webHidden/>
          </w:rPr>
        </w:r>
        <w:r>
          <w:rPr>
            <w:noProof/>
            <w:webHidden/>
          </w:rPr>
          <w:fldChar w:fldCharType="separate"/>
        </w:r>
        <w:r>
          <w:rPr>
            <w:noProof/>
            <w:webHidden/>
          </w:rPr>
          <w:t>67</w:t>
        </w:r>
        <w:r>
          <w:rPr>
            <w:noProof/>
            <w:webHidden/>
          </w:rPr>
          <w:fldChar w:fldCharType="end"/>
        </w:r>
      </w:hyperlink>
    </w:p>
    <w:p w14:paraId="44066B41" w14:textId="3DB1C42D" w:rsidR="008B44A1" w:rsidRDefault="008B44A1">
      <w:pPr>
        <w:pStyle w:val="TM3"/>
        <w:rPr>
          <w:rFonts w:asciiTheme="minorHAnsi" w:eastAsiaTheme="minorEastAsia" w:hAnsiTheme="minorHAnsi" w:cstheme="minorBidi"/>
          <w:noProof/>
          <w:lang w:eastAsia="fr-FR" w:bidi="ar-SA"/>
        </w:rPr>
      </w:pPr>
      <w:hyperlink w:anchor="_Toc215131802" w:history="1">
        <w:r w:rsidRPr="00B27C46">
          <w:rPr>
            <w:rStyle w:val="Lienhypertexte"/>
            <w:noProof/>
          </w:rPr>
          <w:t>3.2.10.</w:t>
        </w:r>
        <w:r>
          <w:rPr>
            <w:rFonts w:asciiTheme="minorHAnsi" w:eastAsiaTheme="minorEastAsia" w:hAnsiTheme="minorHAnsi" w:cstheme="minorBidi"/>
            <w:noProof/>
            <w:lang w:eastAsia="fr-FR" w:bidi="ar-SA"/>
          </w:rPr>
          <w:tab/>
        </w:r>
        <w:r w:rsidRPr="00B27C46">
          <w:rPr>
            <w:rStyle w:val="Lienhypertexte"/>
            <w:noProof/>
          </w:rPr>
          <w:t>Santé et sécurité au travail</w:t>
        </w:r>
        <w:r>
          <w:rPr>
            <w:noProof/>
            <w:webHidden/>
          </w:rPr>
          <w:tab/>
        </w:r>
        <w:r>
          <w:rPr>
            <w:noProof/>
            <w:webHidden/>
          </w:rPr>
          <w:fldChar w:fldCharType="begin"/>
        </w:r>
        <w:r>
          <w:rPr>
            <w:noProof/>
            <w:webHidden/>
          </w:rPr>
          <w:instrText xml:space="preserve"> PAGEREF _Toc215131802 \h </w:instrText>
        </w:r>
        <w:r>
          <w:rPr>
            <w:noProof/>
            <w:webHidden/>
          </w:rPr>
        </w:r>
        <w:r>
          <w:rPr>
            <w:noProof/>
            <w:webHidden/>
          </w:rPr>
          <w:fldChar w:fldCharType="separate"/>
        </w:r>
        <w:r>
          <w:rPr>
            <w:noProof/>
            <w:webHidden/>
          </w:rPr>
          <w:t>70</w:t>
        </w:r>
        <w:r>
          <w:rPr>
            <w:noProof/>
            <w:webHidden/>
          </w:rPr>
          <w:fldChar w:fldCharType="end"/>
        </w:r>
      </w:hyperlink>
    </w:p>
    <w:p w14:paraId="454D66A4" w14:textId="5078D440" w:rsidR="008B44A1" w:rsidRDefault="008B44A1">
      <w:pPr>
        <w:pStyle w:val="TM3"/>
        <w:rPr>
          <w:rFonts w:asciiTheme="minorHAnsi" w:eastAsiaTheme="minorEastAsia" w:hAnsiTheme="minorHAnsi" w:cstheme="minorBidi"/>
          <w:noProof/>
          <w:lang w:eastAsia="fr-FR" w:bidi="ar-SA"/>
        </w:rPr>
      </w:pPr>
      <w:hyperlink w:anchor="_Toc215131803" w:history="1">
        <w:r w:rsidRPr="00B27C46">
          <w:rPr>
            <w:rStyle w:val="Lienhypertexte"/>
            <w:noProof/>
          </w:rPr>
          <w:t>3.2.11.</w:t>
        </w:r>
        <w:r>
          <w:rPr>
            <w:rFonts w:asciiTheme="minorHAnsi" w:eastAsiaTheme="minorEastAsia" w:hAnsiTheme="minorHAnsi" w:cstheme="minorBidi"/>
            <w:noProof/>
            <w:lang w:eastAsia="fr-FR" w:bidi="ar-SA"/>
          </w:rPr>
          <w:tab/>
        </w:r>
        <w:r w:rsidRPr="00B27C46">
          <w:rPr>
            <w:rStyle w:val="Lienhypertexte"/>
            <w:noProof/>
          </w:rPr>
          <w:t>Autres textes réglementaires</w:t>
        </w:r>
        <w:r>
          <w:rPr>
            <w:noProof/>
            <w:webHidden/>
          </w:rPr>
          <w:tab/>
        </w:r>
        <w:r>
          <w:rPr>
            <w:noProof/>
            <w:webHidden/>
          </w:rPr>
          <w:fldChar w:fldCharType="begin"/>
        </w:r>
        <w:r>
          <w:rPr>
            <w:noProof/>
            <w:webHidden/>
          </w:rPr>
          <w:instrText xml:space="preserve"> PAGEREF _Toc215131803 \h </w:instrText>
        </w:r>
        <w:r>
          <w:rPr>
            <w:noProof/>
            <w:webHidden/>
          </w:rPr>
        </w:r>
        <w:r>
          <w:rPr>
            <w:noProof/>
            <w:webHidden/>
          </w:rPr>
          <w:fldChar w:fldCharType="separate"/>
        </w:r>
        <w:r>
          <w:rPr>
            <w:noProof/>
            <w:webHidden/>
          </w:rPr>
          <w:t>74</w:t>
        </w:r>
        <w:r>
          <w:rPr>
            <w:noProof/>
            <w:webHidden/>
          </w:rPr>
          <w:fldChar w:fldCharType="end"/>
        </w:r>
      </w:hyperlink>
    </w:p>
    <w:p w14:paraId="45678D1A" w14:textId="3A0C6C86" w:rsidR="008B44A1" w:rsidRDefault="008B44A1">
      <w:pPr>
        <w:pStyle w:val="TM2"/>
        <w:rPr>
          <w:rFonts w:asciiTheme="minorHAnsi" w:eastAsiaTheme="minorEastAsia" w:hAnsiTheme="minorHAnsi" w:cstheme="minorBidi"/>
          <w:noProof/>
          <w:lang w:eastAsia="fr-FR" w:bidi="ar-SA"/>
        </w:rPr>
      </w:pPr>
      <w:hyperlink w:anchor="_Toc215131804" w:history="1">
        <w:r w:rsidRPr="00B27C46">
          <w:rPr>
            <w:rStyle w:val="Lienhypertexte"/>
            <w:noProof/>
          </w:rPr>
          <w:t>3.3.</w:t>
        </w:r>
        <w:r>
          <w:rPr>
            <w:rFonts w:asciiTheme="minorHAnsi" w:eastAsiaTheme="minorEastAsia" w:hAnsiTheme="minorHAnsi" w:cstheme="minorBidi"/>
            <w:noProof/>
            <w:lang w:eastAsia="fr-FR" w:bidi="ar-SA"/>
          </w:rPr>
          <w:tab/>
        </w:r>
        <w:r w:rsidRPr="00B27C46">
          <w:rPr>
            <w:rStyle w:val="Lienhypertexte"/>
            <w:noProof/>
          </w:rPr>
          <w:t>Cadre institutionnel</w:t>
        </w:r>
        <w:r>
          <w:rPr>
            <w:noProof/>
            <w:webHidden/>
          </w:rPr>
          <w:tab/>
        </w:r>
        <w:r>
          <w:rPr>
            <w:noProof/>
            <w:webHidden/>
          </w:rPr>
          <w:fldChar w:fldCharType="begin"/>
        </w:r>
        <w:r>
          <w:rPr>
            <w:noProof/>
            <w:webHidden/>
          </w:rPr>
          <w:instrText xml:space="preserve"> PAGEREF _Toc215131804 \h </w:instrText>
        </w:r>
        <w:r>
          <w:rPr>
            <w:noProof/>
            <w:webHidden/>
          </w:rPr>
        </w:r>
        <w:r>
          <w:rPr>
            <w:noProof/>
            <w:webHidden/>
          </w:rPr>
          <w:fldChar w:fldCharType="separate"/>
        </w:r>
        <w:r>
          <w:rPr>
            <w:noProof/>
            <w:webHidden/>
          </w:rPr>
          <w:t>75</w:t>
        </w:r>
        <w:r>
          <w:rPr>
            <w:noProof/>
            <w:webHidden/>
          </w:rPr>
          <w:fldChar w:fldCharType="end"/>
        </w:r>
      </w:hyperlink>
    </w:p>
    <w:p w14:paraId="309CEB06" w14:textId="7B62C51A" w:rsidR="008B44A1" w:rsidRDefault="008B44A1">
      <w:pPr>
        <w:pStyle w:val="TM2"/>
        <w:rPr>
          <w:rFonts w:asciiTheme="minorHAnsi" w:eastAsiaTheme="minorEastAsia" w:hAnsiTheme="minorHAnsi" w:cstheme="minorBidi"/>
          <w:noProof/>
          <w:lang w:eastAsia="fr-FR" w:bidi="ar-SA"/>
        </w:rPr>
      </w:pPr>
      <w:hyperlink w:anchor="_Toc215131805" w:history="1">
        <w:r w:rsidRPr="00B27C46">
          <w:rPr>
            <w:rStyle w:val="Lienhypertexte"/>
            <w:noProof/>
          </w:rPr>
          <w:t>3.4.</w:t>
        </w:r>
        <w:r>
          <w:rPr>
            <w:rFonts w:asciiTheme="minorHAnsi" w:eastAsiaTheme="minorEastAsia" w:hAnsiTheme="minorHAnsi" w:cstheme="minorBidi"/>
            <w:noProof/>
            <w:lang w:eastAsia="fr-FR" w:bidi="ar-SA"/>
          </w:rPr>
          <w:tab/>
        </w:r>
        <w:r w:rsidRPr="00B27C46">
          <w:rPr>
            <w:rStyle w:val="Lienhypertexte"/>
            <w:noProof/>
          </w:rPr>
          <w:t>Exigences des principaux bailleurs de fonds</w:t>
        </w:r>
        <w:r>
          <w:rPr>
            <w:noProof/>
            <w:webHidden/>
          </w:rPr>
          <w:tab/>
        </w:r>
        <w:r>
          <w:rPr>
            <w:noProof/>
            <w:webHidden/>
          </w:rPr>
          <w:fldChar w:fldCharType="begin"/>
        </w:r>
        <w:r>
          <w:rPr>
            <w:noProof/>
            <w:webHidden/>
          </w:rPr>
          <w:instrText xml:space="preserve"> PAGEREF _Toc215131805 \h </w:instrText>
        </w:r>
        <w:r>
          <w:rPr>
            <w:noProof/>
            <w:webHidden/>
          </w:rPr>
        </w:r>
        <w:r>
          <w:rPr>
            <w:noProof/>
            <w:webHidden/>
          </w:rPr>
          <w:fldChar w:fldCharType="separate"/>
        </w:r>
        <w:r>
          <w:rPr>
            <w:noProof/>
            <w:webHidden/>
          </w:rPr>
          <w:t>77</w:t>
        </w:r>
        <w:r>
          <w:rPr>
            <w:noProof/>
            <w:webHidden/>
          </w:rPr>
          <w:fldChar w:fldCharType="end"/>
        </w:r>
      </w:hyperlink>
    </w:p>
    <w:p w14:paraId="0EF11116" w14:textId="58DC0421" w:rsidR="008B44A1" w:rsidRDefault="008B44A1">
      <w:pPr>
        <w:pStyle w:val="TM3"/>
        <w:rPr>
          <w:rFonts w:asciiTheme="minorHAnsi" w:eastAsiaTheme="minorEastAsia" w:hAnsiTheme="minorHAnsi" w:cstheme="minorBidi"/>
          <w:noProof/>
          <w:lang w:eastAsia="fr-FR" w:bidi="ar-SA"/>
        </w:rPr>
      </w:pPr>
      <w:hyperlink w:anchor="_Toc215131806" w:history="1">
        <w:r w:rsidRPr="00B27C46">
          <w:rPr>
            <w:rStyle w:val="Lienhypertexte"/>
            <w:noProof/>
          </w:rPr>
          <w:t>3.4.1.</w:t>
        </w:r>
        <w:r>
          <w:rPr>
            <w:rFonts w:asciiTheme="minorHAnsi" w:eastAsiaTheme="minorEastAsia" w:hAnsiTheme="minorHAnsi" w:cstheme="minorBidi"/>
            <w:noProof/>
            <w:lang w:eastAsia="fr-FR" w:bidi="ar-SA"/>
          </w:rPr>
          <w:tab/>
        </w:r>
        <w:r w:rsidRPr="00B27C46">
          <w:rPr>
            <w:rStyle w:val="Lienhypertexte"/>
            <w:noProof/>
          </w:rPr>
          <w:t>Introduction</w:t>
        </w:r>
        <w:r>
          <w:rPr>
            <w:noProof/>
            <w:webHidden/>
          </w:rPr>
          <w:tab/>
        </w:r>
        <w:r>
          <w:rPr>
            <w:noProof/>
            <w:webHidden/>
          </w:rPr>
          <w:fldChar w:fldCharType="begin"/>
        </w:r>
        <w:r>
          <w:rPr>
            <w:noProof/>
            <w:webHidden/>
          </w:rPr>
          <w:instrText xml:space="preserve"> PAGEREF _Toc215131806 \h </w:instrText>
        </w:r>
        <w:r>
          <w:rPr>
            <w:noProof/>
            <w:webHidden/>
          </w:rPr>
        </w:r>
        <w:r>
          <w:rPr>
            <w:noProof/>
            <w:webHidden/>
          </w:rPr>
          <w:fldChar w:fldCharType="separate"/>
        </w:r>
        <w:r>
          <w:rPr>
            <w:noProof/>
            <w:webHidden/>
          </w:rPr>
          <w:t>77</w:t>
        </w:r>
        <w:r>
          <w:rPr>
            <w:noProof/>
            <w:webHidden/>
          </w:rPr>
          <w:fldChar w:fldCharType="end"/>
        </w:r>
      </w:hyperlink>
    </w:p>
    <w:p w14:paraId="51292C8B" w14:textId="4E950548" w:rsidR="008B44A1" w:rsidRDefault="008B44A1">
      <w:pPr>
        <w:pStyle w:val="TM3"/>
        <w:rPr>
          <w:rFonts w:asciiTheme="minorHAnsi" w:eastAsiaTheme="minorEastAsia" w:hAnsiTheme="minorHAnsi" w:cstheme="minorBidi"/>
          <w:noProof/>
          <w:lang w:eastAsia="fr-FR" w:bidi="ar-SA"/>
        </w:rPr>
      </w:pPr>
      <w:hyperlink w:anchor="_Toc215131807" w:history="1">
        <w:r w:rsidRPr="00B27C46">
          <w:rPr>
            <w:rStyle w:val="Lienhypertexte"/>
            <w:noProof/>
          </w:rPr>
          <w:t>3.4.2.</w:t>
        </w:r>
        <w:r>
          <w:rPr>
            <w:rFonts w:asciiTheme="minorHAnsi" w:eastAsiaTheme="minorEastAsia" w:hAnsiTheme="minorHAnsi" w:cstheme="minorBidi"/>
            <w:noProof/>
            <w:lang w:eastAsia="fr-FR" w:bidi="ar-SA"/>
          </w:rPr>
          <w:tab/>
        </w:r>
        <w:r w:rsidRPr="00B27C46">
          <w:rPr>
            <w:rStyle w:val="Lienhypertexte"/>
            <w:noProof/>
          </w:rPr>
          <w:t>Banque Africaine de Développement</w:t>
        </w:r>
        <w:r>
          <w:rPr>
            <w:noProof/>
            <w:webHidden/>
          </w:rPr>
          <w:tab/>
        </w:r>
        <w:r>
          <w:rPr>
            <w:noProof/>
            <w:webHidden/>
          </w:rPr>
          <w:fldChar w:fldCharType="begin"/>
        </w:r>
        <w:r>
          <w:rPr>
            <w:noProof/>
            <w:webHidden/>
          </w:rPr>
          <w:instrText xml:space="preserve"> PAGEREF _Toc215131807 \h </w:instrText>
        </w:r>
        <w:r>
          <w:rPr>
            <w:noProof/>
            <w:webHidden/>
          </w:rPr>
        </w:r>
        <w:r>
          <w:rPr>
            <w:noProof/>
            <w:webHidden/>
          </w:rPr>
          <w:fldChar w:fldCharType="separate"/>
        </w:r>
        <w:r>
          <w:rPr>
            <w:noProof/>
            <w:webHidden/>
          </w:rPr>
          <w:t>78</w:t>
        </w:r>
        <w:r>
          <w:rPr>
            <w:noProof/>
            <w:webHidden/>
          </w:rPr>
          <w:fldChar w:fldCharType="end"/>
        </w:r>
      </w:hyperlink>
    </w:p>
    <w:p w14:paraId="339EA923" w14:textId="77078D06" w:rsidR="008B44A1" w:rsidRDefault="008B44A1">
      <w:pPr>
        <w:pStyle w:val="TM2"/>
        <w:rPr>
          <w:rFonts w:asciiTheme="minorHAnsi" w:eastAsiaTheme="minorEastAsia" w:hAnsiTheme="minorHAnsi" w:cstheme="minorBidi"/>
          <w:noProof/>
          <w:lang w:eastAsia="fr-FR" w:bidi="ar-SA"/>
        </w:rPr>
      </w:pPr>
      <w:hyperlink w:anchor="_Toc215131808" w:history="1">
        <w:r w:rsidRPr="00B27C46">
          <w:rPr>
            <w:rStyle w:val="Lienhypertexte"/>
            <w:noProof/>
          </w:rPr>
          <w:t>3.5.</w:t>
        </w:r>
        <w:r>
          <w:rPr>
            <w:rFonts w:asciiTheme="minorHAnsi" w:eastAsiaTheme="minorEastAsia" w:hAnsiTheme="minorHAnsi" w:cstheme="minorBidi"/>
            <w:noProof/>
            <w:lang w:eastAsia="fr-FR" w:bidi="ar-SA"/>
          </w:rPr>
          <w:tab/>
        </w:r>
        <w:r w:rsidRPr="00B27C46">
          <w:rPr>
            <w:rStyle w:val="Lienhypertexte"/>
            <w:noProof/>
          </w:rPr>
          <w:t>Conventions internationales</w:t>
        </w:r>
        <w:r>
          <w:rPr>
            <w:noProof/>
            <w:webHidden/>
          </w:rPr>
          <w:tab/>
        </w:r>
        <w:r>
          <w:rPr>
            <w:noProof/>
            <w:webHidden/>
          </w:rPr>
          <w:fldChar w:fldCharType="begin"/>
        </w:r>
        <w:r>
          <w:rPr>
            <w:noProof/>
            <w:webHidden/>
          </w:rPr>
          <w:instrText xml:space="preserve"> PAGEREF _Toc215131808 \h </w:instrText>
        </w:r>
        <w:r>
          <w:rPr>
            <w:noProof/>
            <w:webHidden/>
          </w:rPr>
        </w:r>
        <w:r>
          <w:rPr>
            <w:noProof/>
            <w:webHidden/>
          </w:rPr>
          <w:fldChar w:fldCharType="separate"/>
        </w:r>
        <w:r>
          <w:rPr>
            <w:noProof/>
            <w:webHidden/>
          </w:rPr>
          <w:t>99</w:t>
        </w:r>
        <w:r>
          <w:rPr>
            <w:noProof/>
            <w:webHidden/>
          </w:rPr>
          <w:fldChar w:fldCharType="end"/>
        </w:r>
      </w:hyperlink>
    </w:p>
    <w:p w14:paraId="68CB78FB" w14:textId="31A1C8C6" w:rsidR="008B44A1" w:rsidRDefault="008B44A1">
      <w:pPr>
        <w:pStyle w:val="TM3"/>
        <w:rPr>
          <w:rFonts w:asciiTheme="minorHAnsi" w:eastAsiaTheme="minorEastAsia" w:hAnsiTheme="minorHAnsi" w:cstheme="minorBidi"/>
          <w:noProof/>
          <w:lang w:eastAsia="fr-FR" w:bidi="ar-SA"/>
        </w:rPr>
      </w:pPr>
      <w:hyperlink w:anchor="_Toc215131809" w:history="1">
        <w:r w:rsidRPr="00B27C46">
          <w:rPr>
            <w:rStyle w:val="Lienhypertexte"/>
            <w:noProof/>
          </w:rPr>
          <w:t>3.5.1.</w:t>
        </w:r>
        <w:r>
          <w:rPr>
            <w:rFonts w:asciiTheme="minorHAnsi" w:eastAsiaTheme="minorEastAsia" w:hAnsiTheme="minorHAnsi" w:cstheme="minorBidi"/>
            <w:noProof/>
            <w:lang w:eastAsia="fr-FR" w:bidi="ar-SA"/>
          </w:rPr>
          <w:tab/>
        </w:r>
        <w:r w:rsidRPr="00B27C46">
          <w:rPr>
            <w:rStyle w:val="Lienhypertexte"/>
            <w:noProof/>
          </w:rPr>
          <w:t>Conventions environnementales</w:t>
        </w:r>
        <w:r>
          <w:rPr>
            <w:noProof/>
            <w:webHidden/>
          </w:rPr>
          <w:tab/>
        </w:r>
        <w:r>
          <w:rPr>
            <w:noProof/>
            <w:webHidden/>
          </w:rPr>
          <w:fldChar w:fldCharType="begin"/>
        </w:r>
        <w:r>
          <w:rPr>
            <w:noProof/>
            <w:webHidden/>
          </w:rPr>
          <w:instrText xml:space="preserve"> PAGEREF _Toc215131809 \h </w:instrText>
        </w:r>
        <w:r>
          <w:rPr>
            <w:noProof/>
            <w:webHidden/>
          </w:rPr>
        </w:r>
        <w:r>
          <w:rPr>
            <w:noProof/>
            <w:webHidden/>
          </w:rPr>
          <w:fldChar w:fldCharType="separate"/>
        </w:r>
        <w:r>
          <w:rPr>
            <w:noProof/>
            <w:webHidden/>
          </w:rPr>
          <w:t>99</w:t>
        </w:r>
        <w:r>
          <w:rPr>
            <w:noProof/>
            <w:webHidden/>
          </w:rPr>
          <w:fldChar w:fldCharType="end"/>
        </w:r>
      </w:hyperlink>
    </w:p>
    <w:p w14:paraId="60ED2A25" w14:textId="3043281E" w:rsidR="008B44A1" w:rsidRDefault="008B44A1">
      <w:pPr>
        <w:pStyle w:val="TM3"/>
        <w:rPr>
          <w:rFonts w:asciiTheme="minorHAnsi" w:eastAsiaTheme="minorEastAsia" w:hAnsiTheme="minorHAnsi" w:cstheme="minorBidi"/>
          <w:noProof/>
          <w:lang w:eastAsia="fr-FR" w:bidi="ar-SA"/>
        </w:rPr>
      </w:pPr>
      <w:hyperlink w:anchor="_Toc215131810" w:history="1">
        <w:r w:rsidRPr="00B27C46">
          <w:rPr>
            <w:rStyle w:val="Lienhypertexte"/>
            <w:noProof/>
          </w:rPr>
          <w:t>3.5.2.</w:t>
        </w:r>
        <w:r>
          <w:rPr>
            <w:rFonts w:asciiTheme="minorHAnsi" w:eastAsiaTheme="minorEastAsia" w:hAnsiTheme="minorHAnsi" w:cstheme="minorBidi"/>
            <w:noProof/>
            <w:lang w:eastAsia="fr-FR" w:bidi="ar-SA"/>
          </w:rPr>
          <w:tab/>
        </w:r>
        <w:r w:rsidRPr="00B27C46">
          <w:rPr>
            <w:rStyle w:val="Lienhypertexte"/>
            <w:noProof/>
          </w:rPr>
          <w:t>Conventions sociales</w:t>
        </w:r>
        <w:r>
          <w:rPr>
            <w:noProof/>
            <w:webHidden/>
          </w:rPr>
          <w:tab/>
        </w:r>
        <w:r>
          <w:rPr>
            <w:noProof/>
            <w:webHidden/>
          </w:rPr>
          <w:fldChar w:fldCharType="begin"/>
        </w:r>
        <w:r>
          <w:rPr>
            <w:noProof/>
            <w:webHidden/>
          </w:rPr>
          <w:instrText xml:space="preserve"> PAGEREF _Toc215131810 \h </w:instrText>
        </w:r>
        <w:r>
          <w:rPr>
            <w:noProof/>
            <w:webHidden/>
          </w:rPr>
        </w:r>
        <w:r>
          <w:rPr>
            <w:noProof/>
            <w:webHidden/>
          </w:rPr>
          <w:fldChar w:fldCharType="separate"/>
        </w:r>
        <w:r>
          <w:rPr>
            <w:noProof/>
            <w:webHidden/>
          </w:rPr>
          <w:t>101</w:t>
        </w:r>
        <w:r>
          <w:rPr>
            <w:noProof/>
            <w:webHidden/>
          </w:rPr>
          <w:fldChar w:fldCharType="end"/>
        </w:r>
      </w:hyperlink>
    </w:p>
    <w:p w14:paraId="0576BC0A" w14:textId="049C2544" w:rsidR="008B44A1" w:rsidRDefault="008B44A1">
      <w:pPr>
        <w:pStyle w:val="TM2"/>
        <w:rPr>
          <w:rFonts w:asciiTheme="minorHAnsi" w:eastAsiaTheme="minorEastAsia" w:hAnsiTheme="minorHAnsi" w:cstheme="minorBidi"/>
          <w:noProof/>
          <w:lang w:eastAsia="fr-FR" w:bidi="ar-SA"/>
        </w:rPr>
      </w:pPr>
      <w:hyperlink w:anchor="_Toc215131811" w:history="1">
        <w:r w:rsidRPr="00B27C46">
          <w:rPr>
            <w:rStyle w:val="Lienhypertexte"/>
            <w:noProof/>
          </w:rPr>
          <w:t>3.6.</w:t>
        </w:r>
        <w:r>
          <w:rPr>
            <w:rFonts w:asciiTheme="minorHAnsi" w:eastAsiaTheme="minorEastAsia" w:hAnsiTheme="minorHAnsi" w:cstheme="minorBidi"/>
            <w:noProof/>
            <w:lang w:eastAsia="fr-FR" w:bidi="ar-SA"/>
          </w:rPr>
          <w:tab/>
        </w:r>
        <w:r w:rsidRPr="00B27C46">
          <w:rPr>
            <w:rStyle w:val="Lienhypertexte"/>
            <w:noProof/>
          </w:rPr>
          <w:t>Normes nationales environnementales et sociales</w:t>
        </w:r>
        <w:r>
          <w:rPr>
            <w:noProof/>
            <w:webHidden/>
          </w:rPr>
          <w:tab/>
        </w:r>
        <w:r>
          <w:rPr>
            <w:noProof/>
            <w:webHidden/>
          </w:rPr>
          <w:fldChar w:fldCharType="begin"/>
        </w:r>
        <w:r>
          <w:rPr>
            <w:noProof/>
            <w:webHidden/>
          </w:rPr>
          <w:instrText xml:space="preserve"> PAGEREF _Toc215131811 \h </w:instrText>
        </w:r>
        <w:r>
          <w:rPr>
            <w:noProof/>
            <w:webHidden/>
          </w:rPr>
        </w:r>
        <w:r>
          <w:rPr>
            <w:noProof/>
            <w:webHidden/>
          </w:rPr>
          <w:fldChar w:fldCharType="separate"/>
        </w:r>
        <w:r>
          <w:rPr>
            <w:noProof/>
            <w:webHidden/>
          </w:rPr>
          <w:t>102</w:t>
        </w:r>
        <w:r>
          <w:rPr>
            <w:noProof/>
            <w:webHidden/>
          </w:rPr>
          <w:fldChar w:fldCharType="end"/>
        </w:r>
      </w:hyperlink>
    </w:p>
    <w:p w14:paraId="37188301" w14:textId="163819E7" w:rsidR="008B44A1" w:rsidRDefault="008B44A1">
      <w:pPr>
        <w:pStyle w:val="TM2"/>
        <w:rPr>
          <w:rFonts w:asciiTheme="minorHAnsi" w:eastAsiaTheme="minorEastAsia" w:hAnsiTheme="minorHAnsi" w:cstheme="minorBidi"/>
          <w:noProof/>
          <w:lang w:eastAsia="fr-FR" w:bidi="ar-SA"/>
        </w:rPr>
      </w:pPr>
      <w:hyperlink w:anchor="_Toc215131812" w:history="1">
        <w:r w:rsidRPr="00B27C46">
          <w:rPr>
            <w:rStyle w:val="Lienhypertexte"/>
            <w:noProof/>
          </w:rPr>
          <w:t>3.7.</w:t>
        </w:r>
        <w:r>
          <w:rPr>
            <w:rFonts w:asciiTheme="minorHAnsi" w:eastAsiaTheme="minorEastAsia" w:hAnsiTheme="minorHAnsi" w:cstheme="minorBidi"/>
            <w:noProof/>
            <w:lang w:eastAsia="fr-FR" w:bidi="ar-SA"/>
          </w:rPr>
          <w:tab/>
        </w:r>
        <w:r w:rsidRPr="00B27C46">
          <w:rPr>
            <w:rStyle w:val="Lienhypertexte"/>
            <w:noProof/>
          </w:rPr>
          <w:t>Normes internationales environnementales et sociales</w:t>
        </w:r>
        <w:r>
          <w:rPr>
            <w:noProof/>
            <w:webHidden/>
          </w:rPr>
          <w:tab/>
        </w:r>
        <w:r>
          <w:rPr>
            <w:noProof/>
            <w:webHidden/>
          </w:rPr>
          <w:fldChar w:fldCharType="begin"/>
        </w:r>
        <w:r>
          <w:rPr>
            <w:noProof/>
            <w:webHidden/>
          </w:rPr>
          <w:instrText xml:space="preserve"> PAGEREF _Toc215131812 \h </w:instrText>
        </w:r>
        <w:r>
          <w:rPr>
            <w:noProof/>
            <w:webHidden/>
          </w:rPr>
        </w:r>
        <w:r>
          <w:rPr>
            <w:noProof/>
            <w:webHidden/>
          </w:rPr>
          <w:fldChar w:fldCharType="separate"/>
        </w:r>
        <w:r>
          <w:rPr>
            <w:noProof/>
            <w:webHidden/>
          </w:rPr>
          <w:t>103</w:t>
        </w:r>
        <w:r>
          <w:rPr>
            <w:noProof/>
            <w:webHidden/>
          </w:rPr>
          <w:fldChar w:fldCharType="end"/>
        </w:r>
      </w:hyperlink>
    </w:p>
    <w:p w14:paraId="4266A01E" w14:textId="76FDBB5C" w:rsidR="008B44A1" w:rsidRDefault="008B44A1">
      <w:pPr>
        <w:pStyle w:val="TM3"/>
        <w:rPr>
          <w:rFonts w:asciiTheme="minorHAnsi" w:eastAsiaTheme="minorEastAsia" w:hAnsiTheme="minorHAnsi" w:cstheme="minorBidi"/>
          <w:noProof/>
          <w:lang w:eastAsia="fr-FR" w:bidi="ar-SA"/>
        </w:rPr>
      </w:pPr>
      <w:hyperlink w:anchor="_Toc215131813" w:history="1">
        <w:r w:rsidRPr="00B27C46">
          <w:rPr>
            <w:rStyle w:val="Lienhypertexte"/>
            <w:noProof/>
          </w:rPr>
          <w:t>3.7.1.</w:t>
        </w:r>
        <w:r>
          <w:rPr>
            <w:rFonts w:asciiTheme="minorHAnsi" w:eastAsiaTheme="minorEastAsia" w:hAnsiTheme="minorHAnsi" w:cstheme="minorBidi"/>
            <w:noProof/>
            <w:lang w:eastAsia="fr-FR" w:bidi="ar-SA"/>
          </w:rPr>
          <w:tab/>
        </w:r>
        <w:r w:rsidRPr="00B27C46">
          <w:rPr>
            <w:rStyle w:val="Lienhypertexte"/>
            <w:noProof/>
          </w:rPr>
          <w:t>Normes régissant la Pollution Sonore</w:t>
        </w:r>
        <w:r>
          <w:rPr>
            <w:noProof/>
            <w:webHidden/>
          </w:rPr>
          <w:tab/>
        </w:r>
        <w:r>
          <w:rPr>
            <w:noProof/>
            <w:webHidden/>
          </w:rPr>
          <w:fldChar w:fldCharType="begin"/>
        </w:r>
        <w:r>
          <w:rPr>
            <w:noProof/>
            <w:webHidden/>
          </w:rPr>
          <w:instrText xml:space="preserve"> PAGEREF _Toc215131813 \h </w:instrText>
        </w:r>
        <w:r>
          <w:rPr>
            <w:noProof/>
            <w:webHidden/>
          </w:rPr>
        </w:r>
        <w:r>
          <w:rPr>
            <w:noProof/>
            <w:webHidden/>
          </w:rPr>
          <w:fldChar w:fldCharType="separate"/>
        </w:r>
        <w:r>
          <w:rPr>
            <w:noProof/>
            <w:webHidden/>
          </w:rPr>
          <w:t>103</w:t>
        </w:r>
        <w:r>
          <w:rPr>
            <w:noProof/>
            <w:webHidden/>
          </w:rPr>
          <w:fldChar w:fldCharType="end"/>
        </w:r>
      </w:hyperlink>
    </w:p>
    <w:p w14:paraId="7619882B" w14:textId="74662E26" w:rsidR="008B44A1" w:rsidRDefault="008B44A1">
      <w:pPr>
        <w:pStyle w:val="TM3"/>
        <w:rPr>
          <w:rFonts w:asciiTheme="minorHAnsi" w:eastAsiaTheme="minorEastAsia" w:hAnsiTheme="minorHAnsi" w:cstheme="minorBidi"/>
          <w:noProof/>
          <w:lang w:eastAsia="fr-FR" w:bidi="ar-SA"/>
        </w:rPr>
      </w:pPr>
      <w:hyperlink w:anchor="_Toc215131814" w:history="1">
        <w:r w:rsidRPr="00B27C46">
          <w:rPr>
            <w:rStyle w:val="Lienhypertexte"/>
            <w:noProof/>
          </w:rPr>
          <w:t>3.7.2.</w:t>
        </w:r>
        <w:r>
          <w:rPr>
            <w:rFonts w:asciiTheme="minorHAnsi" w:eastAsiaTheme="minorEastAsia" w:hAnsiTheme="minorHAnsi" w:cstheme="minorBidi"/>
            <w:noProof/>
            <w:lang w:eastAsia="fr-FR" w:bidi="ar-SA"/>
          </w:rPr>
          <w:tab/>
        </w:r>
        <w:r w:rsidRPr="00B27C46">
          <w:rPr>
            <w:rStyle w:val="Lienhypertexte"/>
            <w:noProof/>
          </w:rPr>
          <w:t>Normes et Standards relatives à la Qualité de l’Air</w:t>
        </w:r>
        <w:r>
          <w:rPr>
            <w:noProof/>
            <w:webHidden/>
          </w:rPr>
          <w:tab/>
        </w:r>
        <w:r>
          <w:rPr>
            <w:noProof/>
            <w:webHidden/>
          </w:rPr>
          <w:fldChar w:fldCharType="begin"/>
        </w:r>
        <w:r>
          <w:rPr>
            <w:noProof/>
            <w:webHidden/>
          </w:rPr>
          <w:instrText xml:space="preserve"> PAGEREF _Toc215131814 \h </w:instrText>
        </w:r>
        <w:r>
          <w:rPr>
            <w:noProof/>
            <w:webHidden/>
          </w:rPr>
        </w:r>
        <w:r>
          <w:rPr>
            <w:noProof/>
            <w:webHidden/>
          </w:rPr>
          <w:fldChar w:fldCharType="separate"/>
        </w:r>
        <w:r>
          <w:rPr>
            <w:noProof/>
            <w:webHidden/>
          </w:rPr>
          <w:t>104</w:t>
        </w:r>
        <w:r>
          <w:rPr>
            <w:noProof/>
            <w:webHidden/>
          </w:rPr>
          <w:fldChar w:fldCharType="end"/>
        </w:r>
      </w:hyperlink>
    </w:p>
    <w:p w14:paraId="4C89E1B1" w14:textId="4A63ECAB" w:rsidR="008B44A1" w:rsidRDefault="008B44A1">
      <w:pPr>
        <w:pStyle w:val="TM3"/>
        <w:rPr>
          <w:rFonts w:asciiTheme="minorHAnsi" w:eastAsiaTheme="minorEastAsia" w:hAnsiTheme="minorHAnsi" w:cstheme="minorBidi"/>
          <w:noProof/>
          <w:lang w:eastAsia="fr-FR" w:bidi="ar-SA"/>
        </w:rPr>
      </w:pPr>
      <w:hyperlink w:anchor="_Toc215131815" w:history="1">
        <w:r w:rsidRPr="00B27C46">
          <w:rPr>
            <w:rStyle w:val="Lienhypertexte"/>
            <w:noProof/>
          </w:rPr>
          <w:t>3.7.3.</w:t>
        </w:r>
        <w:r>
          <w:rPr>
            <w:rFonts w:asciiTheme="minorHAnsi" w:eastAsiaTheme="minorEastAsia" w:hAnsiTheme="minorHAnsi" w:cstheme="minorBidi"/>
            <w:noProof/>
            <w:lang w:eastAsia="fr-FR" w:bidi="ar-SA"/>
          </w:rPr>
          <w:tab/>
        </w:r>
        <w:r w:rsidRPr="00B27C46">
          <w:rPr>
            <w:rStyle w:val="Lienhypertexte"/>
            <w:noProof/>
          </w:rPr>
          <w:t>Normes et Standards relatives à la Qualité de l’Eau</w:t>
        </w:r>
        <w:r>
          <w:rPr>
            <w:noProof/>
            <w:webHidden/>
          </w:rPr>
          <w:tab/>
        </w:r>
        <w:r>
          <w:rPr>
            <w:noProof/>
            <w:webHidden/>
          </w:rPr>
          <w:fldChar w:fldCharType="begin"/>
        </w:r>
        <w:r>
          <w:rPr>
            <w:noProof/>
            <w:webHidden/>
          </w:rPr>
          <w:instrText xml:space="preserve"> PAGEREF _Toc215131815 \h </w:instrText>
        </w:r>
        <w:r>
          <w:rPr>
            <w:noProof/>
            <w:webHidden/>
          </w:rPr>
        </w:r>
        <w:r>
          <w:rPr>
            <w:noProof/>
            <w:webHidden/>
          </w:rPr>
          <w:fldChar w:fldCharType="separate"/>
        </w:r>
        <w:r>
          <w:rPr>
            <w:noProof/>
            <w:webHidden/>
          </w:rPr>
          <w:t>107</w:t>
        </w:r>
        <w:r>
          <w:rPr>
            <w:noProof/>
            <w:webHidden/>
          </w:rPr>
          <w:fldChar w:fldCharType="end"/>
        </w:r>
      </w:hyperlink>
    </w:p>
    <w:p w14:paraId="60A417BE" w14:textId="33E6D1D9" w:rsidR="008B44A1" w:rsidRDefault="008B44A1">
      <w:pPr>
        <w:pStyle w:val="TM3"/>
        <w:rPr>
          <w:rFonts w:asciiTheme="minorHAnsi" w:eastAsiaTheme="minorEastAsia" w:hAnsiTheme="minorHAnsi" w:cstheme="minorBidi"/>
          <w:noProof/>
          <w:lang w:eastAsia="fr-FR" w:bidi="ar-SA"/>
        </w:rPr>
      </w:pPr>
      <w:hyperlink w:anchor="_Toc215131816" w:history="1">
        <w:r w:rsidRPr="00B27C46">
          <w:rPr>
            <w:rStyle w:val="Lienhypertexte"/>
            <w:noProof/>
          </w:rPr>
          <w:t>3.7.4.</w:t>
        </w:r>
        <w:r>
          <w:rPr>
            <w:rFonts w:asciiTheme="minorHAnsi" w:eastAsiaTheme="minorEastAsia" w:hAnsiTheme="minorHAnsi" w:cstheme="minorBidi"/>
            <w:noProof/>
            <w:lang w:eastAsia="fr-FR" w:bidi="ar-SA"/>
          </w:rPr>
          <w:tab/>
        </w:r>
        <w:r w:rsidRPr="00B27C46">
          <w:rPr>
            <w:rStyle w:val="Lienhypertexte"/>
            <w:noProof/>
          </w:rPr>
          <w:t>Normes et Standards relatifs à l’Hygiène et la Sécurité du travail</w:t>
        </w:r>
        <w:r>
          <w:rPr>
            <w:noProof/>
            <w:webHidden/>
          </w:rPr>
          <w:tab/>
        </w:r>
        <w:r>
          <w:rPr>
            <w:noProof/>
            <w:webHidden/>
          </w:rPr>
          <w:fldChar w:fldCharType="begin"/>
        </w:r>
        <w:r>
          <w:rPr>
            <w:noProof/>
            <w:webHidden/>
          </w:rPr>
          <w:instrText xml:space="preserve"> PAGEREF _Toc215131816 \h </w:instrText>
        </w:r>
        <w:r>
          <w:rPr>
            <w:noProof/>
            <w:webHidden/>
          </w:rPr>
        </w:r>
        <w:r>
          <w:rPr>
            <w:noProof/>
            <w:webHidden/>
          </w:rPr>
          <w:fldChar w:fldCharType="separate"/>
        </w:r>
        <w:r>
          <w:rPr>
            <w:noProof/>
            <w:webHidden/>
          </w:rPr>
          <w:t>108</w:t>
        </w:r>
        <w:r>
          <w:rPr>
            <w:noProof/>
            <w:webHidden/>
          </w:rPr>
          <w:fldChar w:fldCharType="end"/>
        </w:r>
      </w:hyperlink>
    </w:p>
    <w:p w14:paraId="122FC911" w14:textId="6DCBAA59" w:rsidR="008B44A1" w:rsidRDefault="008B44A1">
      <w:pPr>
        <w:pStyle w:val="TM3"/>
        <w:rPr>
          <w:rFonts w:asciiTheme="minorHAnsi" w:eastAsiaTheme="minorEastAsia" w:hAnsiTheme="minorHAnsi" w:cstheme="minorBidi"/>
          <w:noProof/>
          <w:lang w:eastAsia="fr-FR" w:bidi="ar-SA"/>
        </w:rPr>
      </w:pPr>
      <w:hyperlink w:anchor="_Toc215131817" w:history="1">
        <w:r w:rsidRPr="00B27C46">
          <w:rPr>
            <w:rStyle w:val="Lienhypertexte"/>
            <w:noProof/>
          </w:rPr>
          <w:t>3.7.5.</w:t>
        </w:r>
        <w:r>
          <w:rPr>
            <w:rFonts w:asciiTheme="minorHAnsi" w:eastAsiaTheme="minorEastAsia" w:hAnsiTheme="minorHAnsi" w:cstheme="minorBidi"/>
            <w:noProof/>
            <w:lang w:eastAsia="fr-FR" w:bidi="ar-SA"/>
          </w:rPr>
          <w:tab/>
        </w:r>
        <w:r w:rsidRPr="00B27C46">
          <w:rPr>
            <w:rStyle w:val="Lienhypertexte"/>
            <w:noProof/>
          </w:rPr>
          <w:t>Directives Environnementales, Sanitaires et Sécuritaires (EHS) de la Banque Mondiale</w:t>
        </w:r>
        <w:r>
          <w:rPr>
            <w:noProof/>
            <w:webHidden/>
          </w:rPr>
          <w:tab/>
        </w:r>
        <w:r>
          <w:rPr>
            <w:noProof/>
            <w:webHidden/>
          </w:rPr>
          <w:fldChar w:fldCharType="begin"/>
        </w:r>
        <w:r>
          <w:rPr>
            <w:noProof/>
            <w:webHidden/>
          </w:rPr>
          <w:instrText xml:space="preserve"> PAGEREF _Toc215131817 \h </w:instrText>
        </w:r>
        <w:r>
          <w:rPr>
            <w:noProof/>
            <w:webHidden/>
          </w:rPr>
        </w:r>
        <w:r>
          <w:rPr>
            <w:noProof/>
            <w:webHidden/>
          </w:rPr>
          <w:fldChar w:fldCharType="separate"/>
        </w:r>
        <w:r>
          <w:rPr>
            <w:noProof/>
            <w:webHidden/>
          </w:rPr>
          <w:t>108</w:t>
        </w:r>
        <w:r>
          <w:rPr>
            <w:noProof/>
            <w:webHidden/>
          </w:rPr>
          <w:fldChar w:fldCharType="end"/>
        </w:r>
      </w:hyperlink>
    </w:p>
    <w:p w14:paraId="4E413A03" w14:textId="0298D2C7" w:rsidR="008B44A1" w:rsidRDefault="008B44A1">
      <w:pPr>
        <w:pStyle w:val="TM1"/>
        <w:tabs>
          <w:tab w:val="left" w:pos="440"/>
          <w:tab w:val="right" w:leader="dot" w:pos="9062"/>
        </w:tabs>
        <w:rPr>
          <w:rFonts w:asciiTheme="minorHAnsi" w:eastAsiaTheme="minorEastAsia" w:hAnsiTheme="minorHAnsi" w:cstheme="minorBidi"/>
          <w:noProof/>
          <w:lang w:eastAsia="fr-FR" w:bidi="ar-SA"/>
        </w:rPr>
      </w:pPr>
      <w:hyperlink w:anchor="_Toc215131818" w:history="1">
        <w:r w:rsidRPr="00B27C46">
          <w:rPr>
            <w:rStyle w:val="Lienhypertexte"/>
            <w:noProof/>
            <w:lang w:val="fr-MA"/>
          </w:rPr>
          <w:t>4.</w:t>
        </w:r>
        <w:r>
          <w:rPr>
            <w:rFonts w:asciiTheme="minorHAnsi" w:eastAsiaTheme="minorEastAsia" w:hAnsiTheme="minorHAnsi" w:cstheme="minorBidi"/>
            <w:noProof/>
            <w:lang w:eastAsia="fr-FR" w:bidi="ar-SA"/>
          </w:rPr>
          <w:tab/>
        </w:r>
        <w:r w:rsidRPr="00B27C46">
          <w:rPr>
            <w:rStyle w:val="Lienhypertexte"/>
            <w:noProof/>
            <w:lang w:val="fr-MA"/>
          </w:rPr>
          <w:t>Analyse des alternatives</w:t>
        </w:r>
        <w:r>
          <w:rPr>
            <w:noProof/>
            <w:webHidden/>
          </w:rPr>
          <w:tab/>
        </w:r>
        <w:r>
          <w:rPr>
            <w:noProof/>
            <w:webHidden/>
          </w:rPr>
          <w:fldChar w:fldCharType="begin"/>
        </w:r>
        <w:r>
          <w:rPr>
            <w:noProof/>
            <w:webHidden/>
          </w:rPr>
          <w:instrText xml:space="preserve"> PAGEREF _Toc215131818 \h </w:instrText>
        </w:r>
        <w:r>
          <w:rPr>
            <w:noProof/>
            <w:webHidden/>
          </w:rPr>
        </w:r>
        <w:r>
          <w:rPr>
            <w:noProof/>
            <w:webHidden/>
          </w:rPr>
          <w:fldChar w:fldCharType="separate"/>
        </w:r>
        <w:r>
          <w:rPr>
            <w:noProof/>
            <w:webHidden/>
          </w:rPr>
          <w:t>109</w:t>
        </w:r>
        <w:r>
          <w:rPr>
            <w:noProof/>
            <w:webHidden/>
          </w:rPr>
          <w:fldChar w:fldCharType="end"/>
        </w:r>
      </w:hyperlink>
    </w:p>
    <w:p w14:paraId="375B5EB4" w14:textId="72AE83F4" w:rsidR="008B44A1" w:rsidRDefault="008B44A1">
      <w:pPr>
        <w:pStyle w:val="TM2"/>
        <w:rPr>
          <w:rFonts w:asciiTheme="minorHAnsi" w:eastAsiaTheme="minorEastAsia" w:hAnsiTheme="minorHAnsi" w:cstheme="minorBidi"/>
          <w:noProof/>
          <w:lang w:eastAsia="fr-FR" w:bidi="ar-SA"/>
        </w:rPr>
      </w:pPr>
      <w:hyperlink w:anchor="_Toc215131819" w:history="1">
        <w:r w:rsidRPr="00B27C46">
          <w:rPr>
            <w:rStyle w:val="Lienhypertexte"/>
            <w:noProof/>
            <w:lang w:val="fr-MA"/>
          </w:rPr>
          <w:t>4.1.</w:t>
        </w:r>
        <w:r>
          <w:rPr>
            <w:rFonts w:asciiTheme="minorHAnsi" w:eastAsiaTheme="minorEastAsia" w:hAnsiTheme="minorHAnsi" w:cstheme="minorBidi"/>
            <w:noProof/>
            <w:lang w:eastAsia="fr-FR" w:bidi="ar-SA"/>
          </w:rPr>
          <w:tab/>
        </w:r>
        <w:r w:rsidRPr="00B27C46">
          <w:rPr>
            <w:rStyle w:val="Lienhypertexte"/>
            <w:noProof/>
            <w:lang w:val="fr-MA"/>
          </w:rPr>
          <w:t>Alternative Sans Projet</w:t>
        </w:r>
        <w:r>
          <w:rPr>
            <w:noProof/>
            <w:webHidden/>
          </w:rPr>
          <w:tab/>
        </w:r>
        <w:r>
          <w:rPr>
            <w:noProof/>
            <w:webHidden/>
          </w:rPr>
          <w:fldChar w:fldCharType="begin"/>
        </w:r>
        <w:r>
          <w:rPr>
            <w:noProof/>
            <w:webHidden/>
          </w:rPr>
          <w:instrText xml:space="preserve"> PAGEREF _Toc215131819 \h </w:instrText>
        </w:r>
        <w:r>
          <w:rPr>
            <w:noProof/>
            <w:webHidden/>
          </w:rPr>
        </w:r>
        <w:r>
          <w:rPr>
            <w:noProof/>
            <w:webHidden/>
          </w:rPr>
          <w:fldChar w:fldCharType="separate"/>
        </w:r>
        <w:r>
          <w:rPr>
            <w:noProof/>
            <w:webHidden/>
          </w:rPr>
          <w:t>109</w:t>
        </w:r>
        <w:r>
          <w:rPr>
            <w:noProof/>
            <w:webHidden/>
          </w:rPr>
          <w:fldChar w:fldCharType="end"/>
        </w:r>
      </w:hyperlink>
    </w:p>
    <w:p w14:paraId="474D0285" w14:textId="00E09F56" w:rsidR="008B44A1" w:rsidRDefault="008B44A1">
      <w:pPr>
        <w:pStyle w:val="TM2"/>
        <w:rPr>
          <w:rFonts w:asciiTheme="minorHAnsi" w:eastAsiaTheme="minorEastAsia" w:hAnsiTheme="minorHAnsi" w:cstheme="minorBidi"/>
          <w:noProof/>
          <w:lang w:eastAsia="fr-FR" w:bidi="ar-SA"/>
        </w:rPr>
      </w:pPr>
      <w:hyperlink w:anchor="_Toc215131820" w:history="1">
        <w:r w:rsidRPr="00B27C46">
          <w:rPr>
            <w:rStyle w:val="Lienhypertexte"/>
            <w:noProof/>
            <w:lang w:val="fr-MA"/>
          </w:rPr>
          <w:t>4.2.</w:t>
        </w:r>
        <w:r>
          <w:rPr>
            <w:rFonts w:asciiTheme="minorHAnsi" w:eastAsiaTheme="minorEastAsia" w:hAnsiTheme="minorHAnsi" w:cstheme="minorBidi"/>
            <w:noProof/>
            <w:lang w:eastAsia="fr-FR" w:bidi="ar-SA"/>
          </w:rPr>
          <w:tab/>
        </w:r>
        <w:r w:rsidRPr="00B27C46">
          <w:rPr>
            <w:rStyle w:val="Lienhypertexte"/>
            <w:noProof/>
            <w:lang w:val="fr-MA"/>
          </w:rPr>
          <w:t>Alternative Avec Projet (option retenue)</w:t>
        </w:r>
        <w:r>
          <w:rPr>
            <w:noProof/>
            <w:webHidden/>
          </w:rPr>
          <w:tab/>
        </w:r>
        <w:r>
          <w:rPr>
            <w:noProof/>
            <w:webHidden/>
          </w:rPr>
          <w:fldChar w:fldCharType="begin"/>
        </w:r>
        <w:r>
          <w:rPr>
            <w:noProof/>
            <w:webHidden/>
          </w:rPr>
          <w:instrText xml:space="preserve"> PAGEREF _Toc215131820 \h </w:instrText>
        </w:r>
        <w:r>
          <w:rPr>
            <w:noProof/>
            <w:webHidden/>
          </w:rPr>
        </w:r>
        <w:r>
          <w:rPr>
            <w:noProof/>
            <w:webHidden/>
          </w:rPr>
          <w:fldChar w:fldCharType="separate"/>
        </w:r>
        <w:r>
          <w:rPr>
            <w:noProof/>
            <w:webHidden/>
          </w:rPr>
          <w:t>110</w:t>
        </w:r>
        <w:r>
          <w:rPr>
            <w:noProof/>
            <w:webHidden/>
          </w:rPr>
          <w:fldChar w:fldCharType="end"/>
        </w:r>
      </w:hyperlink>
    </w:p>
    <w:p w14:paraId="70668E11" w14:textId="723ECEBC" w:rsidR="008B44A1" w:rsidRDefault="008B44A1">
      <w:pPr>
        <w:pStyle w:val="TM2"/>
        <w:rPr>
          <w:rFonts w:asciiTheme="minorHAnsi" w:eastAsiaTheme="minorEastAsia" w:hAnsiTheme="minorHAnsi" w:cstheme="minorBidi"/>
          <w:noProof/>
          <w:lang w:eastAsia="fr-FR" w:bidi="ar-SA"/>
        </w:rPr>
      </w:pPr>
      <w:hyperlink w:anchor="_Toc215131821" w:history="1">
        <w:r w:rsidRPr="00B27C46">
          <w:rPr>
            <w:rStyle w:val="Lienhypertexte"/>
            <w:noProof/>
            <w:lang w:val="fr-MA"/>
          </w:rPr>
          <w:t>4.3.</w:t>
        </w:r>
        <w:r>
          <w:rPr>
            <w:rFonts w:asciiTheme="minorHAnsi" w:eastAsiaTheme="minorEastAsia" w:hAnsiTheme="minorHAnsi" w:cstheme="minorBidi"/>
            <w:noProof/>
            <w:lang w:eastAsia="fr-FR" w:bidi="ar-SA"/>
          </w:rPr>
          <w:tab/>
        </w:r>
        <w:r w:rsidRPr="00B27C46">
          <w:rPr>
            <w:rStyle w:val="Lienhypertexte"/>
            <w:noProof/>
            <w:lang w:val="fr-MA"/>
          </w:rPr>
          <w:t>Alternative de site</w:t>
        </w:r>
        <w:r>
          <w:rPr>
            <w:noProof/>
            <w:webHidden/>
          </w:rPr>
          <w:tab/>
        </w:r>
        <w:r>
          <w:rPr>
            <w:noProof/>
            <w:webHidden/>
          </w:rPr>
          <w:fldChar w:fldCharType="begin"/>
        </w:r>
        <w:r>
          <w:rPr>
            <w:noProof/>
            <w:webHidden/>
          </w:rPr>
          <w:instrText xml:space="preserve"> PAGEREF _Toc215131821 \h </w:instrText>
        </w:r>
        <w:r>
          <w:rPr>
            <w:noProof/>
            <w:webHidden/>
          </w:rPr>
        </w:r>
        <w:r>
          <w:rPr>
            <w:noProof/>
            <w:webHidden/>
          </w:rPr>
          <w:fldChar w:fldCharType="separate"/>
        </w:r>
        <w:r>
          <w:rPr>
            <w:noProof/>
            <w:webHidden/>
          </w:rPr>
          <w:t>111</w:t>
        </w:r>
        <w:r>
          <w:rPr>
            <w:noProof/>
            <w:webHidden/>
          </w:rPr>
          <w:fldChar w:fldCharType="end"/>
        </w:r>
      </w:hyperlink>
    </w:p>
    <w:p w14:paraId="296515A4" w14:textId="5F138713" w:rsidR="008B44A1" w:rsidRDefault="008B44A1">
      <w:pPr>
        <w:pStyle w:val="TM2"/>
        <w:rPr>
          <w:rFonts w:asciiTheme="minorHAnsi" w:eastAsiaTheme="minorEastAsia" w:hAnsiTheme="minorHAnsi" w:cstheme="minorBidi"/>
          <w:noProof/>
          <w:lang w:eastAsia="fr-FR" w:bidi="ar-SA"/>
        </w:rPr>
      </w:pPr>
      <w:hyperlink w:anchor="_Toc215131822" w:history="1">
        <w:r w:rsidRPr="00B27C46">
          <w:rPr>
            <w:rStyle w:val="Lienhypertexte"/>
            <w:noProof/>
          </w:rPr>
          <w:t>4.4.</w:t>
        </w:r>
        <w:r>
          <w:rPr>
            <w:rFonts w:asciiTheme="minorHAnsi" w:eastAsiaTheme="minorEastAsia" w:hAnsiTheme="minorHAnsi" w:cstheme="minorBidi"/>
            <w:noProof/>
            <w:lang w:eastAsia="fr-FR" w:bidi="ar-SA"/>
          </w:rPr>
          <w:tab/>
        </w:r>
        <w:r w:rsidRPr="00B27C46">
          <w:rPr>
            <w:rStyle w:val="Lienhypertexte"/>
            <w:noProof/>
          </w:rPr>
          <w:t>Alternatives technologiques</w:t>
        </w:r>
        <w:r>
          <w:rPr>
            <w:noProof/>
            <w:webHidden/>
          </w:rPr>
          <w:tab/>
        </w:r>
        <w:r>
          <w:rPr>
            <w:noProof/>
            <w:webHidden/>
          </w:rPr>
          <w:fldChar w:fldCharType="begin"/>
        </w:r>
        <w:r>
          <w:rPr>
            <w:noProof/>
            <w:webHidden/>
          </w:rPr>
          <w:instrText xml:space="preserve"> PAGEREF _Toc215131822 \h </w:instrText>
        </w:r>
        <w:r>
          <w:rPr>
            <w:noProof/>
            <w:webHidden/>
          </w:rPr>
        </w:r>
        <w:r>
          <w:rPr>
            <w:noProof/>
            <w:webHidden/>
          </w:rPr>
          <w:fldChar w:fldCharType="separate"/>
        </w:r>
        <w:r>
          <w:rPr>
            <w:noProof/>
            <w:webHidden/>
          </w:rPr>
          <w:t>111</w:t>
        </w:r>
        <w:r>
          <w:rPr>
            <w:noProof/>
            <w:webHidden/>
          </w:rPr>
          <w:fldChar w:fldCharType="end"/>
        </w:r>
      </w:hyperlink>
    </w:p>
    <w:p w14:paraId="25FC0AF9" w14:textId="02B75520" w:rsidR="008B44A1" w:rsidRDefault="008B44A1">
      <w:pPr>
        <w:pStyle w:val="TM3"/>
        <w:rPr>
          <w:rFonts w:asciiTheme="minorHAnsi" w:eastAsiaTheme="minorEastAsia" w:hAnsiTheme="minorHAnsi" w:cstheme="minorBidi"/>
          <w:noProof/>
          <w:lang w:eastAsia="fr-FR" w:bidi="ar-SA"/>
        </w:rPr>
      </w:pPr>
      <w:hyperlink w:anchor="_Toc215131823" w:history="1">
        <w:r w:rsidRPr="00B27C46">
          <w:rPr>
            <w:rStyle w:val="Lienhypertexte"/>
            <w:noProof/>
          </w:rPr>
          <w:t>4.4.1.</w:t>
        </w:r>
        <w:r>
          <w:rPr>
            <w:rFonts w:asciiTheme="minorHAnsi" w:eastAsiaTheme="minorEastAsia" w:hAnsiTheme="minorHAnsi" w:cstheme="minorBidi"/>
            <w:noProof/>
            <w:lang w:eastAsia="fr-FR" w:bidi="ar-SA"/>
          </w:rPr>
          <w:tab/>
        </w:r>
        <w:r w:rsidRPr="00B27C46">
          <w:rPr>
            <w:rStyle w:val="Lienhypertexte"/>
            <w:noProof/>
          </w:rPr>
          <w:t>Alternative technologique – Intégration de l’efficacité énergétique</w:t>
        </w:r>
        <w:r>
          <w:rPr>
            <w:noProof/>
            <w:webHidden/>
          </w:rPr>
          <w:tab/>
        </w:r>
        <w:r>
          <w:rPr>
            <w:noProof/>
            <w:webHidden/>
          </w:rPr>
          <w:fldChar w:fldCharType="begin"/>
        </w:r>
        <w:r>
          <w:rPr>
            <w:noProof/>
            <w:webHidden/>
          </w:rPr>
          <w:instrText xml:space="preserve"> PAGEREF _Toc215131823 \h </w:instrText>
        </w:r>
        <w:r>
          <w:rPr>
            <w:noProof/>
            <w:webHidden/>
          </w:rPr>
        </w:r>
        <w:r>
          <w:rPr>
            <w:noProof/>
            <w:webHidden/>
          </w:rPr>
          <w:fldChar w:fldCharType="separate"/>
        </w:r>
        <w:r>
          <w:rPr>
            <w:noProof/>
            <w:webHidden/>
          </w:rPr>
          <w:t>114</w:t>
        </w:r>
        <w:r>
          <w:rPr>
            <w:noProof/>
            <w:webHidden/>
          </w:rPr>
          <w:fldChar w:fldCharType="end"/>
        </w:r>
      </w:hyperlink>
    </w:p>
    <w:p w14:paraId="513DB67E" w14:textId="5C289B6C" w:rsidR="008B44A1" w:rsidRDefault="008B44A1">
      <w:pPr>
        <w:pStyle w:val="TM3"/>
        <w:rPr>
          <w:rFonts w:asciiTheme="minorHAnsi" w:eastAsiaTheme="minorEastAsia" w:hAnsiTheme="minorHAnsi" w:cstheme="minorBidi"/>
          <w:noProof/>
          <w:lang w:eastAsia="fr-FR" w:bidi="ar-SA"/>
        </w:rPr>
      </w:pPr>
      <w:hyperlink w:anchor="_Toc215131824" w:history="1">
        <w:r w:rsidRPr="00B27C46">
          <w:rPr>
            <w:rStyle w:val="Lienhypertexte"/>
            <w:noProof/>
          </w:rPr>
          <w:t>4.4.2.</w:t>
        </w:r>
        <w:r>
          <w:rPr>
            <w:rFonts w:asciiTheme="minorHAnsi" w:eastAsiaTheme="minorEastAsia" w:hAnsiTheme="minorHAnsi" w:cstheme="minorBidi"/>
            <w:noProof/>
            <w:lang w:eastAsia="fr-FR" w:bidi="ar-SA"/>
          </w:rPr>
          <w:tab/>
        </w:r>
        <w:r w:rsidRPr="00B27C46">
          <w:rPr>
            <w:rStyle w:val="Lienhypertexte"/>
            <w:noProof/>
          </w:rPr>
          <w:t>Analyse E&amp;S des alternatives technologiques</w:t>
        </w:r>
        <w:r>
          <w:rPr>
            <w:noProof/>
            <w:webHidden/>
          </w:rPr>
          <w:tab/>
        </w:r>
        <w:r>
          <w:rPr>
            <w:noProof/>
            <w:webHidden/>
          </w:rPr>
          <w:fldChar w:fldCharType="begin"/>
        </w:r>
        <w:r>
          <w:rPr>
            <w:noProof/>
            <w:webHidden/>
          </w:rPr>
          <w:instrText xml:space="preserve"> PAGEREF _Toc215131824 \h </w:instrText>
        </w:r>
        <w:r>
          <w:rPr>
            <w:noProof/>
            <w:webHidden/>
          </w:rPr>
        </w:r>
        <w:r>
          <w:rPr>
            <w:noProof/>
            <w:webHidden/>
          </w:rPr>
          <w:fldChar w:fldCharType="separate"/>
        </w:r>
        <w:r>
          <w:rPr>
            <w:noProof/>
            <w:webHidden/>
          </w:rPr>
          <w:t>114</w:t>
        </w:r>
        <w:r>
          <w:rPr>
            <w:noProof/>
            <w:webHidden/>
          </w:rPr>
          <w:fldChar w:fldCharType="end"/>
        </w:r>
      </w:hyperlink>
    </w:p>
    <w:p w14:paraId="478ED6EA" w14:textId="64BE08D1" w:rsidR="008B44A1" w:rsidRDefault="008B44A1">
      <w:pPr>
        <w:pStyle w:val="TM1"/>
        <w:tabs>
          <w:tab w:val="left" w:pos="440"/>
          <w:tab w:val="right" w:leader="dot" w:pos="9062"/>
        </w:tabs>
        <w:rPr>
          <w:rFonts w:asciiTheme="minorHAnsi" w:eastAsiaTheme="minorEastAsia" w:hAnsiTheme="minorHAnsi" w:cstheme="minorBidi"/>
          <w:noProof/>
          <w:lang w:eastAsia="fr-FR" w:bidi="ar-SA"/>
        </w:rPr>
      </w:pPr>
      <w:hyperlink w:anchor="_Toc215131825" w:history="1">
        <w:r w:rsidRPr="00B27C46">
          <w:rPr>
            <w:rStyle w:val="Lienhypertexte"/>
            <w:noProof/>
          </w:rPr>
          <w:t>5.</w:t>
        </w:r>
        <w:r>
          <w:rPr>
            <w:rFonts w:asciiTheme="minorHAnsi" w:eastAsiaTheme="minorEastAsia" w:hAnsiTheme="minorHAnsi" w:cstheme="minorBidi"/>
            <w:noProof/>
            <w:lang w:eastAsia="fr-FR" w:bidi="ar-SA"/>
          </w:rPr>
          <w:tab/>
        </w:r>
        <w:r w:rsidRPr="00B27C46">
          <w:rPr>
            <w:rStyle w:val="Lienhypertexte"/>
            <w:noProof/>
          </w:rPr>
          <w:t>Description et Justification du Projet</w:t>
        </w:r>
        <w:r>
          <w:rPr>
            <w:noProof/>
            <w:webHidden/>
          </w:rPr>
          <w:tab/>
        </w:r>
        <w:r>
          <w:rPr>
            <w:noProof/>
            <w:webHidden/>
          </w:rPr>
          <w:fldChar w:fldCharType="begin"/>
        </w:r>
        <w:r>
          <w:rPr>
            <w:noProof/>
            <w:webHidden/>
          </w:rPr>
          <w:instrText xml:space="preserve"> PAGEREF _Toc215131825 \h </w:instrText>
        </w:r>
        <w:r>
          <w:rPr>
            <w:noProof/>
            <w:webHidden/>
          </w:rPr>
        </w:r>
        <w:r>
          <w:rPr>
            <w:noProof/>
            <w:webHidden/>
          </w:rPr>
          <w:fldChar w:fldCharType="separate"/>
        </w:r>
        <w:r>
          <w:rPr>
            <w:noProof/>
            <w:webHidden/>
          </w:rPr>
          <w:t>117</w:t>
        </w:r>
        <w:r>
          <w:rPr>
            <w:noProof/>
            <w:webHidden/>
          </w:rPr>
          <w:fldChar w:fldCharType="end"/>
        </w:r>
      </w:hyperlink>
    </w:p>
    <w:p w14:paraId="4DD7B25D" w14:textId="74B9EC3F" w:rsidR="008B44A1" w:rsidRDefault="008B44A1">
      <w:pPr>
        <w:pStyle w:val="TM2"/>
        <w:rPr>
          <w:rFonts w:asciiTheme="minorHAnsi" w:eastAsiaTheme="minorEastAsia" w:hAnsiTheme="minorHAnsi" w:cstheme="minorBidi"/>
          <w:noProof/>
          <w:lang w:eastAsia="fr-FR" w:bidi="ar-SA"/>
        </w:rPr>
      </w:pPr>
      <w:hyperlink w:anchor="_Toc215131826" w:history="1">
        <w:r w:rsidRPr="00B27C46">
          <w:rPr>
            <w:rStyle w:val="Lienhypertexte"/>
            <w:noProof/>
          </w:rPr>
          <w:t>5.1.</w:t>
        </w:r>
        <w:r>
          <w:rPr>
            <w:rFonts w:asciiTheme="minorHAnsi" w:eastAsiaTheme="minorEastAsia" w:hAnsiTheme="minorHAnsi" w:cstheme="minorBidi"/>
            <w:noProof/>
            <w:lang w:eastAsia="fr-FR" w:bidi="ar-SA"/>
          </w:rPr>
          <w:tab/>
        </w:r>
        <w:r w:rsidRPr="00B27C46">
          <w:rPr>
            <w:rStyle w:val="Lienhypertexte"/>
            <w:noProof/>
          </w:rPr>
          <w:t>Présentation du contexte économique</w:t>
        </w:r>
        <w:r>
          <w:rPr>
            <w:noProof/>
            <w:webHidden/>
          </w:rPr>
          <w:tab/>
        </w:r>
        <w:r>
          <w:rPr>
            <w:noProof/>
            <w:webHidden/>
          </w:rPr>
          <w:fldChar w:fldCharType="begin"/>
        </w:r>
        <w:r>
          <w:rPr>
            <w:noProof/>
            <w:webHidden/>
          </w:rPr>
          <w:instrText xml:space="preserve"> PAGEREF _Toc215131826 \h </w:instrText>
        </w:r>
        <w:r>
          <w:rPr>
            <w:noProof/>
            <w:webHidden/>
          </w:rPr>
        </w:r>
        <w:r>
          <w:rPr>
            <w:noProof/>
            <w:webHidden/>
          </w:rPr>
          <w:fldChar w:fldCharType="separate"/>
        </w:r>
        <w:r>
          <w:rPr>
            <w:noProof/>
            <w:webHidden/>
          </w:rPr>
          <w:t>117</w:t>
        </w:r>
        <w:r>
          <w:rPr>
            <w:noProof/>
            <w:webHidden/>
          </w:rPr>
          <w:fldChar w:fldCharType="end"/>
        </w:r>
      </w:hyperlink>
    </w:p>
    <w:p w14:paraId="66E26E14" w14:textId="15CEA6B7" w:rsidR="008B44A1" w:rsidRDefault="008B44A1">
      <w:pPr>
        <w:pStyle w:val="TM2"/>
        <w:rPr>
          <w:rFonts w:asciiTheme="minorHAnsi" w:eastAsiaTheme="minorEastAsia" w:hAnsiTheme="minorHAnsi" w:cstheme="minorBidi"/>
          <w:noProof/>
          <w:lang w:eastAsia="fr-FR" w:bidi="ar-SA"/>
        </w:rPr>
      </w:pPr>
      <w:hyperlink w:anchor="_Toc215131827" w:history="1">
        <w:r w:rsidRPr="00B27C46">
          <w:rPr>
            <w:rStyle w:val="Lienhypertexte"/>
            <w:noProof/>
          </w:rPr>
          <w:t>5.2.</w:t>
        </w:r>
        <w:r>
          <w:rPr>
            <w:rFonts w:asciiTheme="minorHAnsi" w:eastAsiaTheme="minorEastAsia" w:hAnsiTheme="minorHAnsi" w:cstheme="minorBidi"/>
            <w:noProof/>
            <w:lang w:eastAsia="fr-FR" w:bidi="ar-SA"/>
          </w:rPr>
          <w:tab/>
        </w:r>
        <w:r w:rsidRPr="00B27C46">
          <w:rPr>
            <w:rStyle w:val="Lienhypertexte"/>
            <w:noProof/>
          </w:rPr>
          <w:t>Justification du projet</w:t>
        </w:r>
        <w:r>
          <w:rPr>
            <w:noProof/>
            <w:webHidden/>
          </w:rPr>
          <w:tab/>
        </w:r>
        <w:r>
          <w:rPr>
            <w:noProof/>
            <w:webHidden/>
          </w:rPr>
          <w:fldChar w:fldCharType="begin"/>
        </w:r>
        <w:r>
          <w:rPr>
            <w:noProof/>
            <w:webHidden/>
          </w:rPr>
          <w:instrText xml:space="preserve"> PAGEREF _Toc215131827 \h </w:instrText>
        </w:r>
        <w:r>
          <w:rPr>
            <w:noProof/>
            <w:webHidden/>
          </w:rPr>
        </w:r>
        <w:r>
          <w:rPr>
            <w:noProof/>
            <w:webHidden/>
          </w:rPr>
          <w:fldChar w:fldCharType="separate"/>
        </w:r>
        <w:r>
          <w:rPr>
            <w:noProof/>
            <w:webHidden/>
          </w:rPr>
          <w:t>118</w:t>
        </w:r>
        <w:r>
          <w:rPr>
            <w:noProof/>
            <w:webHidden/>
          </w:rPr>
          <w:fldChar w:fldCharType="end"/>
        </w:r>
      </w:hyperlink>
    </w:p>
    <w:p w14:paraId="17A5DC5F" w14:textId="2EA08794" w:rsidR="008B44A1" w:rsidRDefault="008B44A1">
      <w:pPr>
        <w:pStyle w:val="TM2"/>
        <w:rPr>
          <w:rFonts w:asciiTheme="minorHAnsi" w:eastAsiaTheme="minorEastAsia" w:hAnsiTheme="minorHAnsi" w:cstheme="minorBidi"/>
          <w:noProof/>
          <w:lang w:eastAsia="fr-FR" w:bidi="ar-SA"/>
        </w:rPr>
      </w:pPr>
      <w:hyperlink w:anchor="_Toc215131828" w:history="1">
        <w:r w:rsidRPr="00B27C46">
          <w:rPr>
            <w:rStyle w:val="Lienhypertexte"/>
            <w:noProof/>
          </w:rPr>
          <w:t>5.3.</w:t>
        </w:r>
        <w:r>
          <w:rPr>
            <w:rFonts w:asciiTheme="minorHAnsi" w:eastAsiaTheme="minorEastAsia" w:hAnsiTheme="minorHAnsi" w:cstheme="minorBidi"/>
            <w:noProof/>
            <w:lang w:eastAsia="fr-FR" w:bidi="ar-SA"/>
          </w:rPr>
          <w:tab/>
        </w:r>
        <w:r w:rsidRPr="00B27C46">
          <w:rPr>
            <w:rStyle w:val="Lienhypertexte"/>
            <w:noProof/>
          </w:rPr>
          <w:t>Description du projet</w:t>
        </w:r>
        <w:r>
          <w:rPr>
            <w:noProof/>
            <w:webHidden/>
          </w:rPr>
          <w:tab/>
        </w:r>
        <w:r>
          <w:rPr>
            <w:noProof/>
            <w:webHidden/>
          </w:rPr>
          <w:fldChar w:fldCharType="begin"/>
        </w:r>
        <w:r>
          <w:rPr>
            <w:noProof/>
            <w:webHidden/>
          </w:rPr>
          <w:instrText xml:space="preserve"> PAGEREF _Toc215131828 \h </w:instrText>
        </w:r>
        <w:r>
          <w:rPr>
            <w:noProof/>
            <w:webHidden/>
          </w:rPr>
        </w:r>
        <w:r>
          <w:rPr>
            <w:noProof/>
            <w:webHidden/>
          </w:rPr>
          <w:fldChar w:fldCharType="separate"/>
        </w:r>
        <w:r>
          <w:rPr>
            <w:noProof/>
            <w:webHidden/>
          </w:rPr>
          <w:t>119</w:t>
        </w:r>
        <w:r>
          <w:rPr>
            <w:noProof/>
            <w:webHidden/>
          </w:rPr>
          <w:fldChar w:fldCharType="end"/>
        </w:r>
      </w:hyperlink>
    </w:p>
    <w:p w14:paraId="5103D997" w14:textId="18BF6523" w:rsidR="008B44A1" w:rsidRDefault="008B44A1">
      <w:pPr>
        <w:pStyle w:val="TM3"/>
        <w:rPr>
          <w:rFonts w:asciiTheme="minorHAnsi" w:eastAsiaTheme="minorEastAsia" w:hAnsiTheme="minorHAnsi" w:cstheme="minorBidi"/>
          <w:noProof/>
          <w:lang w:eastAsia="fr-FR" w:bidi="ar-SA"/>
        </w:rPr>
      </w:pPr>
      <w:hyperlink w:anchor="_Toc215131829" w:history="1">
        <w:r w:rsidRPr="00B27C46">
          <w:rPr>
            <w:rStyle w:val="Lienhypertexte"/>
            <w:noProof/>
          </w:rPr>
          <w:t>5.3.1.</w:t>
        </w:r>
        <w:r>
          <w:rPr>
            <w:rFonts w:asciiTheme="minorHAnsi" w:eastAsiaTheme="minorEastAsia" w:hAnsiTheme="minorHAnsi" w:cstheme="minorBidi"/>
            <w:noProof/>
            <w:lang w:eastAsia="fr-FR" w:bidi="ar-SA"/>
          </w:rPr>
          <w:tab/>
        </w:r>
        <w:r w:rsidRPr="00B27C46">
          <w:rPr>
            <w:rStyle w:val="Lienhypertexte"/>
            <w:noProof/>
          </w:rPr>
          <w:t>Présentation de l’aéroport</w:t>
        </w:r>
        <w:r>
          <w:rPr>
            <w:noProof/>
            <w:webHidden/>
          </w:rPr>
          <w:tab/>
        </w:r>
        <w:r>
          <w:rPr>
            <w:noProof/>
            <w:webHidden/>
          </w:rPr>
          <w:fldChar w:fldCharType="begin"/>
        </w:r>
        <w:r>
          <w:rPr>
            <w:noProof/>
            <w:webHidden/>
          </w:rPr>
          <w:instrText xml:space="preserve"> PAGEREF _Toc215131829 \h </w:instrText>
        </w:r>
        <w:r>
          <w:rPr>
            <w:noProof/>
            <w:webHidden/>
          </w:rPr>
        </w:r>
        <w:r>
          <w:rPr>
            <w:noProof/>
            <w:webHidden/>
          </w:rPr>
          <w:fldChar w:fldCharType="separate"/>
        </w:r>
        <w:r>
          <w:rPr>
            <w:noProof/>
            <w:webHidden/>
          </w:rPr>
          <w:t>119</w:t>
        </w:r>
        <w:r>
          <w:rPr>
            <w:noProof/>
            <w:webHidden/>
          </w:rPr>
          <w:fldChar w:fldCharType="end"/>
        </w:r>
      </w:hyperlink>
    </w:p>
    <w:p w14:paraId="1BBF4EB9" w14:textId="15D4F6FE" w:rsidR="008B44A1" w:rsidRDefault="008B44A1">
      <w:pPr>
        <w:pStyle w:val="TM3"/>
        <w:rPr>
          <w:rFonts w:asciiTheme="minorHAnsi" w:eastAsiaTheme="minorEastAsia" w:hAnsiTheme="minorHAnsi" w:cstheme="minorBidi"/>
          <w:noProof/>
          <w:lang w:eastAsia="fr-FR" w:bidi="ar-SA"/>
        </w:rPr>
      </w:pPr>
      <w:hyperlink w:anchor="_Toc215131830" w:history="1">
        <w:r w:rsidRPr="00B27C46">
          <w:rPr>
            <w:rStyle w:val="Lienhypertexte"/>
            <w:noProof/>
          </w:rPr>
          <w:t>5.3.2.</w:t>
        </w:r>
        <w:r>
          <w:rPr>
            <w:rFonts w:asciiTheme="minorHAnsi" w:eastAsiaTheme="minorEastAsia" w:hAnsiTheme="minorHAnsi" w:cstheme="minorBidi"/>
            <w:noProof/>
            <w:lang w:eastAsia="fr-FR" w:bidi="ar-SA"/>
          </w:rPr>
          <w:tab/>
        </w:r>
        <w:r w:rsidRPr="00B27C46">
          <w:rPr>
            <w:rStyle w:val="Lienhypertexte"/>
            <w:noProof/>
          </w:rPr>
          <w:t>Historique et prévision du Trafic aérien</w:t>
        </w:r>
        <w:r>
          <w:rPr>
            <w:noProof/>
            <w:webHidden/>
          </w:rPr>
          <w:tab/>
        </w:r>
        <w:r>
          <w:rPr>
            <w:noProof/>
            <w:webHidden/>
          </w:rPr>
          <w:fldChar w:fldCharType="begin"/>
        </w:r>
        <w:r>
          <w:rPr>
            <w:noProof/>
            <w:webHidden/>
          </w:rPr>
          <w:instrText xml:space="preserve"> PAGEREF _Toc215131830 \h </w:instrText>
        </w:r>
        <w:r>
          <w:rPr>
            <w:noProof/>
            <w:webHidden/>
          </w:rPr>
        </w:r>
        <w:r>
          <w:rPr>
            <w:noProof/>
            <w:webHidden/>
          </w:rPr>
          <w:fldChar w:fldCharType="separate"/>
        </w:r>
        <w:r>
          <w:rPr>
            <w:noProof/>
            <w:webHidden/>
          </w:rPr>
          <w:t>120</w:t>
        </w:r>
        <w:r>
          <w:rPr>
            <w:noProof/>
            <w:webHidden/>
          </w:rPr>
          <w:fldChar w:fldCharType="end"/>
        </w:r>
      </w:hyperlink>
    </w:p>
    <w:p w14:paraId="153BD305" w14:textId="06B46B44" w:rsidR="008B44A1" w:rsidRDefault="008B44A1">
      <w:pPr>
        <w:pStyle w:val="TM3"/>
        <w:rPr>
          <w:rFonts w:asciiTheme="minorHAnsi" w:eastAsiaTheme="minorEastAsia" w:hAnsiTheme="minorHAnsi" w:cstheme="minorBidi"/>
          <w:noProof/>
          <w:lang w:eastAsia="fr-FR" w:bidi="ar-SA"/>
        </w:rPr>
      </w:pPr>
      <w:hyperlink w:anchor="_Toc215131831" w:history="1">
        <w:r w:rsidRPr="00B27C46">
          <w:rPr>
            <w:rStyle w:val="Lienhypertexte"/>
            <w:noProof/>
          </w:rPr>
          <w:t>5.3.3.</w:t>
        </w:r>
        <w:r>
          <w:rPr>
            <w:rFonts w:asciiTheme="minorHAnsi" w:eastAsiaTheme="minorEastAsia" w:hAnsiTheme="minorHAnsi" w:cstheme="minorBidi"/>
            <w:noProof/>
            <w:lang w:eastAsia="fr-FR" w:bidi="ar-SA"/>
          </w:rPr>
          <w:tab/>
        </w:r>
        <w:r w:rsidRPr="00B27C46">
          <w:rPr>
            <w:rStyle w:val="Lienhypertexte"/>
            <w:noProof/>
          </w:rPr>
          <w:t>Consistance des travaux</w:t>
        </w:r>
        <w:r>
          <w:rPr>
            <w:noProof/>
            <w:webHidden/>
          </w:rPr>
          <w:tab/>
        </w:r>
        <w:r>
          <w:rPr>
            <w:noProof/>
            <w:webHidden/>
          </w:rPr>
          <w:fldChar w:fldCharType="begin"/>
        </w:r>
        <w:r>
          <w:rPr>
            <w:noProof/>
            <w:webHidden/>
          </w:rPr>
          <w:instrText xml:space="preserve"> PAGEREF _Toc215131831 \h </w:instrText>
        </w:r>
        <w:r>
          <w:rPr>
            <w:noProof/>
            <w:webHidden/>
          </w:rPr>
        </w:r>
        <w:r>
          <w:rPr>
            <w:noProof/>
            <w:webHidden/>
          </w:rPr>
          <w:fldChar w:fldCharType="separate"/>
        </w:r>
        <w:r>
          <w:rPr>
            <w:noProof/>
            <w:webHidden/>
          </w:rPr>
          <w:t>121</w:t>
        </w:r>
        <w:r>
          <w:rPr>
            <w:noProof/>
            <w:webHidden/>
          </w:rPr>
          <w:fldChar w:fldCharType="end"/>
        </w:r>
      </w:hyperlink>
    </w:p>
    <w:p w14:paraId="331B290E" w14:textId="157831BA" w:rsidR="008B44A1" w:rsidRDefault="008B44A1">
      <w:pPr>
        <w:pStyle w:val="TM3"/>
        <w:rPr>
          <w:rFonts w:asciiTheme="minorHAnsi" w:eastAsiaTheme="minorEastAsia" w:hAnsiTheme="minorHAnsi" w:cstheme="minorBidi"/>
          <w:noProof/>
          <w:lang w:eastAsia="fr-FR" w:bidi="ar-SA"/>
        </w:rPr>
      </w:pPr>
      <w:hyperlink w:anchor="_Toc215131832" w:history="1">
        <w:r w:rsidRPr="00B27C46">
          <w:rPr>
            <w:rStyle w:val="Lienhypertexte"/>
            <w:noProof/>
          </w:rPr>
          <w:t>5.3.4.</w:t>
        </w:r>
        <w:r>
          <w:rPr>
            <w:rFonts w:asciiTheme="minorHAnsi" w:eastAsiaTheme="minorEastAsia" w:hAnsiTheme="minorHAnsi" w:cstheme="minorBidi"/>
            <w:noProof/>
            <w:lang w:eastAsia="fr-FR" w:bidi="ar-SA"/>
          </w:rPr>
          <w:tab/>
        </w:r>
        <w:r w:rsidRPr="00B27C46">
          <w:rPr>
            <w:rStyle w:val="Lienhypertexte"/>
            <w:noProof/>
          </w:rPr>
          <w:t>Évolution de la capacité de l’aéroport de Marrakech avant et après le projet de développement</w:t>
        </w:r>
        <w:r>
          <w:rPr>
            <w:noProof/>
            <w:webHidden/>
          </w:rPr>
          <w:tab/>
        </w:r>
        <w:r>
          <w:rPr>
            <w:noProof/>
            <w:webHidden/>
          </w:rPr>
          <w:fldChar w:fldCharType="begin"/>
        </w:r>
        <w:r>
          <w:rPr>
            <w:noProof/>
            <w:webHidden/>
          </w:rPr>
          <w:instrText xml:space="preserve"> PAGEREF _Toc215131832 \h </w:instrText>
        </w:r>
        <w:r>
          <w:rPr>
            <w:noProof/>
            <w:webHidden/>
          </w:rPr>
        </w:r>
        <w:r>
          <w:rPr>
            <w:noProof/>
            <w:webHidden/>
          </w:rPr>
          <w:fldChar w:fldCharType="separate"/>
        </w:r>
        <w:r>
          <w:rPr>
            <w:noProof/>
            <w:webHidden/>
          </w:rPr>
          <w:t>121</w:t>
        </w:r>
        <w:r>
          <w:rPr>
            <w:noProof/>
            <w:webHidden/>
          </w:rPr>
          <w:fldChar w:fldCharType="end"/>
        </w:r>
      </w:hyperlink>
    </w:p>
    <w:p w14:paraId="3402C771" w14:textId="0B603BFA" w:rsidR="008B44A1" w:rsidRDefault="008B44A1">
      <w:pPr>
        <w:pStyle w:val="TM2"/>
        <w:rPr>
          <w:rFonts w:asciiTheme="minorHAnsi" w:eastAsiaTheme="minorEastAsia" w:hAnsiTheme="minorHAnsi" w:cstheme="minorBidi"/>
          <w:noProof/>
          <w:lang w:eastAsia="fr-FR" w:bidi="ar-SA"/>
        </w:rPr>
      </w:pPr>
      <w:hyperlink w:anchor="_Toc215131833" w:history="1">
        <w:r w:rsidRPr="00B27C46">
          <w:rPr>
            <w:rStyle w:val="Lienhypertexte"/>
            <w:noProof/>
            <w:lang w:val="fr-MA"/>
          </w:rPr>
          <w:t>5.4.</w:t>
        </w:r>
        <w:r>
          <w:rPr>
            <w:rFonts w:asciiTheme="minorHAnsi" w:eastAsiaTheme="minorEastAsia" w:hAnsiTheme="minorHAnsi" w:cstheme="minorBidi"/>
            <w:noProof/>
            <w:lang w:eastAsia="fr-FR" w:bidi="ar-SA"/>
          </w:rPr>
          <w:tab/>
        </w:r>
        <w:r w:rsidRPr="00B27C46">
          <w:rPr>
            <w:rStyle w:val="Lienhypertexte"/>
            <w:noProof/>
            <w:lang w:val="fr-MA"/>
          </w:rPr>
          <w:t>Planning prévisionnel des travaux</w:t>
        </w:r>
        <w:r>
          <w:rPr>
            <w:noProof/>
            <w:webHidden/>
          </w:rPr>
          <w:tab/>
        </w:r>
        <w:r>
          <w:rPr>
            <w:noProof/>
            <w:webHidden/>
          </w:rPr>
          <w:fldChar w:fldCharType="begin"/>
        </w:r>
        <w:r>
          <w:rPr>
            <w:noProof/>
            <w:webHidden/>
          </w:rPr>
          <w:instrText xml:space="preserve"> PAGEREF _Toc215131833 \h </w:instrText>
        </w:r>
        <w:r>
          <w:rPr>
            <w:noProof/>
            <w:webHidden/>
          </w:rPr>
        </w:r>
        <w:r>
          <w:rPr>
            <w:noProof/>
            <w:webHidden/>
          </w:rPr>
          <w:fldChar w:fldCharType="separate"/>
        </w:r>
        <w:r>
          <w:rPr>
            <w:noProof/>
            <w:webHidden/>
          </w:rPr>
          <w:t>125</w:t>
        </w:r>
        <w:r>
          <w:rPr>
            <w:noProof/>
            <w:webHidden/>
          </w:rPr>
          <w:fldChar w:fldCharType="end"/>
        </w:r>
      </w:hyperlink>
    </w:p>
    <w:p w14:paraId="69AA0D38" w14:textId="0C90C94A" w:rsidR="008B44A1" w:rsidRDefault="008B44A1">
      <w:pPr>
        <w:pStyle w:val="TM2"/>
        <w:rPr>
          <w:rFonts w:asciiTheme="minorHAnsi" w:eastAsiaTheme="minorEastAsia" w:hAnsiTheme="minorHAnsi" w:cstheme="minorBidi"/>
          <w:noProof/>
          <w:lang w:eastAsia="fr-FR" w:bidi="ar-SA"/>
        </w:rPr>
      </w:pPr>
      <w:hyperlink w:anchor="_Toc215131834" w:history="1">
        <w:r w:rsidRPr="00B27C46">
          <w:rPr>
            <w:rStyle w:val="Lienhypertexte"/>
            <w:noProof/>
            <w:lang w:val="fr-MA"/>
          </w:rPr>
          <w:t>5.5.</w:t>
        </w:r>
        <w:r>
          <w:rPr>
            <w:rFonts w:asciiTheme="minorHAnsi" w:eastAsiaTheme="minorEastAsia" w:hAnsiTheme="minorHAnsi" w:cstheme="minorBidi"/>
            <w:noProof/>
            <w:lang w:eastAsia="fr-FR" w:bidi="ar-SA"/>
          </w:rPr>
          <w:tab/>
        </w:r>
        <w:r w:rsidRPr="00B27C46">
          <w:rPr>
            <w:rStyle w:val="Lienhypertexte"/>
            <w:noProof/>
            <w:lang w:val="fr-MA"/>
          </w:rPr>
          <w:t>Emploi</w:t>
        </w:r>
        <w:r>
          <w:rPr>
            <w:noProof/>
            <w:webHidden/>
          </w:rPr>
          <w:tab/>
        </w:r>
        <w:r>
          <w:rPr>
            <w:noProof/>
            <w:webHidden/>
          </w:rPr>
          <w:fldChar w:fldCharType="begin"/>
        </w:r>
        <w:r>
          <w:rPr>
            <w:noProof/>
            <w:webHidden/>
          </w:rPr>
          <w:instrText xml:space="preserve"> PAGEREF _Toc215131834 \h </w:instrText>
        </w:r>
        <w:r>
          <w:rPr>
            <w:noProof/>
            <w:webHidden/>
          </w:rPr>
        </w:r>
        <w:r>
          <w:rPr>
            <w:noProof/>
            <w:webHidden/>
          </w:rPr>
          <w:fldChar w:fldCharType="separate"/>
        </w:r>
        <w:r>
          <w:rPr>
            <w:noProof/>
            <w:webHidden/>
          </w:rPr>
          <w:t>125</w:t>
        </w:r>
        <w:r>
          <w:rPr>
            <w:noProof/>
            <w:webHidden/>
          </w:rPr>
          <w:fldChar w:fldCharType="end"/>
        </w:r>
      </w:hyperlink>
    </w:p>
    <w:p w14:paraId="3BCA0F03" w14:textId="27451635" w:rsidR="008B44A1" w:rsidRDefault="008B44A1">
      <w:pPr>
        <w:pStyle w:val="TM2"/>
        <w:rPr>
          <w:rFonts w:asciiTheme="minorHAnsi" w:eastAsiaTheme="minorEastAsia" w:hAnsiTheme="minorHAnsi" w:cstheme="minorBidi"/>
          <w:noProof/>
          <w:lang w:eastAsia="fr-FR" w:bidi="ar-SA"/>
        </w:rPr>
      </w:pPr>
      <w:hyperlink w:anchor="_Toc215131835" w:history="1">
        <w:r w:rsidRPr="00B27C46">
          <w:rPr>
            <w:rStyle w:val="Lienhypertexte"/>
            <w:noProof/>
          </w:rPr>
          <w:t>5.6.</w:t>
        </w:r>
        <w:r>
          <w:rPr>
            <w:rFonts w:asciiTheme="minorHAnsi" w:eastAsiaTheme="minorEastAsia" w:hAnsiTheme="minorHAnsi" w:cstheme="minorBidi"/>
            <w:noProof/>
            <w:lang w:eastAsia="fr-FR" w:bidi="ar-SA"/>
          </w:rPr>
          <w:tab/>
        </w:r>
        <w:r w:rsidRPr="00B27C46">
          <w:rPr>
            <w:rStyle w:val="Lienhypertexte"/>
            <w:noProof/>
          </w:rPr>
          <w:t>Montant d’investissement</w:t>
        </w:r>
        <w:r>
          <w:rPr>
            <w:noProof/>
            <w:webHidden/>
          </w:rPr>
          <w:tab/>
        </w:r>
        <w:r>
          <w:rPr>
            <w:noProof/>
            <w:webHidden/>
          </w:rPr>
          <w:fldChar w:fldCharType="begin"/>
        </w:r>
        <w:r>
          <w:rPr>
            <w:noProof/>
            <w:webHidden/>
          </w:rPr>
          <w:instrText xml:space="preserve"> PAGEREF _Toc215131835 \h </w:instrText>
        </w:r>
        <w:r>
          <w:rPr>
            <w:noProof/>
            <w:webHidden/>
          </w:rPr>
        </w:r>
        <w:r>
          <w:rPr>
            <w:noProof/>
            <w:webHidden/>
          </w:rPr>
          <w:fldChar w:fldCharType="separate"/>
        </w:r>
        <w:r>
          <w:rPr>
            <w:noProof/>
            <w:webHidden/>
          </w:rPr>
          <w:t>125</w:t>
        </w:r>
        <w:r>
          <w:rPr>
            <w:noProof/>
            <w:webHidden/>
          </w:rPr>
          <w:fldChar w:fldCharType="end"/>
        </w:r>
      </w:hyperlink>
    </w:p>
    <w:p w14:paraId="51AEAE9F" w14:textId="58422B6B" w:rsidR="008B44A1" w:rsidRDefault="008B44A1">
      <w:pPr>
        <w:pStyle w:val="TM1"/>
        <w:tabs>
          <w:tab w:val="left" w:pos="440"/>
          <w:tab w:val="right" w:leader="dot" w:pos="9062"/>
        </w:tabs>
        <w:rPr>
          <w:rFonts w:asciiTheme="minorHAnsi" w:eastAsiaTheme="minorEastAsia" w:hAnsiTheme="minorHAnsi" w:cstheme="minorBidi"/>
          <w:noProof/>
          <w:lang w:eastAsia="fr-FR" w:bidi="ar-SA"/>
        </w:rPr>
      </w:pPr>
      <w:hyperlink w:anchor="_Toc215131836" w:history="1">
        <w:r w:rsidRPr="00B27C46">
          <w:rPr>
            <w:rStyle w:val="Lienhypertexte"/>
            <w:noProof/>
          </w:rPr>
          <w:t>6.</w:t>
        </w:r>
        <w:r>
          <w:rPr>
            <w:rFonts w:asciiTheme="minorHAnsi" w:eastAsiaTheme="minorEastAsia" w:hAnsiTheme="minorHAnsi" w:cstheme="minorBidi"/>
            <w:noProof/>
            <w:lang w:eastAsia="fr-FR" w:bidi="ar-SA"/>
          </w:rPr>
          <w:tab/>
        </w:r>
        <w:r w:rsidRPr="00B27C46">
          <w:rPr>
            <w:rStyle w:val="Lienhypertexte"/>
            <w:noProof/>
          </w:rPr>
          <w:t>Description de l’état de référence des milieux</w:t>
        </w:r>
        <w:r>
          <w:rPr>
            <w:noProof/>
            <w:webHidden/>
          </w:rPr>
          <w:tab/>
        </w:r>
        <w:r>
          <w:rPr>
            <w:noProof/>
            <w:webHidden/>
          </w:rPr>
          <w:fldChar w:fldCharType="begin"/>
        </w:r>
        <w:r>
          <w:rPr>
            <w:noProof/>
            <w:webHidden/>
          </w:rPr>
          <w:instrText xml:space="preserve"> PAGEREF _Toc215131836 \h </w:instrText>
        </w:r>
        <w:r>
          <w:rPr>
            <w:noProof/>
            <w:webHidden/>
          </w:rPr>
        </w:r>
        <w:r>
          <w:rPr>
            <w:noProof/>
            <w:webHidden/>
          </w:rPr>
          <w:fldChar w:fldCharType="separate"/>
        </w:r>
        <w:r>
          <w:rPr>
            <w:noProof/>
            <w:webHidden/>
          </w:rPr>
          <w:t>126</w:t>
        </w:r>
        <w:r>
          <w:rPr>
            <w:noProof/>
            <w:webHidden/>
          </w:rPr>
          <w:fldChar w:fldCharType="end"/>
        </w:r>
      </w:hyperlink>
    </w:p>
    <w:p w14:paraId="356DDD02" w14:textId="0F913AE8" w:rsidR="008B44A1" w:rsidRDefault="008B44A1">
      <w:pPr>
        <w:pStyle w:val="TM2"/>
        <w:rPr>
          <w:rFonts w:asciiTheme="minorHAnsi" w:eastAsiaTheme="minorEastAsia" w:hAnsiTheme="minorHAnsi" w:cstheme="minorBidi"/>
          <w:noProof/>
          <w:lang w:eastAsia="fr-FR" w:bidi="ar-SA"/>
        </w:rPr>
      </w:pPr>
      <w:hyperlink w:anchor="_Toc215131837" w:history="1">
        <w:r w:rsidRPr="00B27C46">
          <w:rPr>
            <w:rStyle w:val="Lienhypertexte"/>
            <w:noProof/>
          </w:rPr>
          <w:t>6.1.</w:t>
        </w:r>
        <w:r>
          <w:rPr>
            <w:rFonts w:asciiTheme="minorHAnsi" w:eastAsiaTheme="minorEastAsia" w:hAnsiTheme="minorHAnsi" w:cstheme="minorBidi"/>
            <w:noProof/>
            <w:lang w:eastAsia="fr-FR" w:bidi="ar-SA"/>
          </w:rPr>
          <w:tab/>
        </w:r>
        <w:r w:rsidRPr="00B27C46">
          <w:rPr>
            <w:rStyle w:val="Lienhypertexte"/>
            <w:noProof/>
          </w:rPr>
          <w:t>Délimitation de la zone d’étude</w:t>
        </w:r>
        <w:r>
          <w:rPr>
            <w:noProof/>
            <w:webHidden/>
          </w:rPr>
          <w:tab/>
        </w:r>
        <w:r>
          <w:rPr>
            <w:noProof/>
            <w:webHidden/>
          </w:rPr>
          <w:fldChar w:fldCharType="begin"/>
        </w:r>
        <w:r>
          <w:rPr>
            <w:noProof/>
            <w:webHidden/>
          </w:rPr>
          <w:instrText xml:space="preserve"> PAGEREF _Toc215131837 \h </w:instrText>
        </w:r>
        <w:r>
          <w:rPr>
            <w:noProof/>
            <w:webHidden/>
          </w:rPr>
        </w:r>
        <w:r>
          <w:rPr>
            <w:noProof/>
            <w:webHidden/>
          </w:rPr>
          <w:fldChar w:fldCharType="separate"/>
        </w:r>
        <w:r>
          <w:rPr>
            <w:noProof/>
            <w:webHidden/>
          </w:rPr>
          <w:t>126</w:t>
        </w:r>
        <w:r>
          <w:rPr>
            <w:noProof/>
            <w:webHidden/>
          </w:rPr>
          <w:fldChar w:fldCharType="end"/>
        </w:r>
      </w:hyperlink>
    </w:p>
    <w:p w14:paraId="52C467FF" w14:textId="3C69AFEF" w:rsidR="008B44A1" w:rsidRDefault="008B44A1">
      <w:pPr>
        <w:pStyle w:val="TM2"/>
        <w:rPr>
          <w:rFonts w:asciiTheme="minorHAnsi" w:eastAsiaTheme="minorEastAsia" w:hAnsiTheme="minorHAnsi" w:cstheme="minorBidi"/>
          <w:noProof/>
          <w:lang w:eastAsia="fr-FR" w:bidi="ar-SA"/>
        </w:rPr>
      </w:pPr>
      <w:hyperlink w:anchor="_Toc215131838" w:history="1">
        <w:r w:rsidRPr="00B27C46">
          <w:rPr>
            <w:rStyle w:val="Lienhypertexte"/>
            <w:noProof/>
          </w:rPr>
          <w:t>6.2.</w:t>
        </w:r>
        <w:r>
          <w:rPr>
            <w:rFonts w:asciiTheme="minorHAnsi" w:eastAsiaTheme="minorEastAsia" w:hAnsiTheme="minorHAnsi" w:cstheme="minorBidi"/>
            <w:noProof/>
            <w:lang w:eastAsia="fr-FR" w:bidi="ar-SA"/>
          </w:rPr>
          <w:tab/>
        </w:r>
        <w:r w:rsidRPr="00B27C46">
          <w:rPr>
            <w:rStyle w:val="Lienhypertexte"/>
            <w:noProof/>
          </w:rPr>
          <w:t>Situation géographique</w:t>
        </w:r>
        <w:r>
          <w:rPr>
            <w:noProof/>
            <w:webHidden/>
          </w:rPr>
          <w:tab/>
        </w:r>
        <w:r>
          <w:rPr>
            <w:noProof/>
            <w:webHidden/>
          </w:rPr>
          <w:fldChar w:fldCharType="begin"/>
        </w:r>
        <w:r>
          <w:rPr>
            <w:noProof/>
            <w:webHidden/>
          </w:rPr>
          <w:instrText xml:space="preserve"> PAGEREF _Toc215131838 \h </w:instrText>
        </w:r>
        <w:r>
          <w:rPr>
            <w:noProof/>
            <w:webHidden/>
          </w:rPr>
        </w:r>
        <w:r>
          <w:rPr>
            <w:noProof/>
            <w:webHidden/>
          </w:rPr>
          <w:fldChar w:fldCharType="separate"/>
        </w:r>
        <w:r>
          <w:rPr>
            <w:noProof/>
            <w:webHidden/>
          </w:rPr>
          <w:t>129</w:t>
        </w:r>
        <w:r>
          <w:rPr>
            <w:noProof/>
            <w:webHidden/>
          </w:rPr>
          <w:fldChar w:fldCharType="end"/>
        </w:r>
      </w:hyperlink>
    </w:p>
    <w:p w14:paraId="53D68C69" w14:textId="19960BC0" w:rsidR="008B44A1" w:rsidRDefault="008B44A1">
      <w:pPr>
        <w:pStyle w:val="TM2"/>
        <w:rPr>
          <w:rFonts w:asciiTheme="minorHAnsi" w:eastAsiaTheme="minorEastAsia" w:hAnsiTheme="minorHAnsi" w:cstheme="minorBidi"/>
          <w:noProof/>
          <w:lang w:eastAsia="fr-FR" w:bidi="ar-SA"/>
        </w:rPr>
      </w:pPr>
      <w:hyperlink w:anchor="_Toc215131839" w:history="1">
        <w:r w:rsidRPr="00B27C46">
          <w:rPr>
            <w:rStyle w:val="Lienhypertexte"/>
            <w:noProof/>
          </w:rPr>
          <w:t>6.3.</w:t>
        </w:r>
        <w:r>
          <w:rPr>
            <w:rFonts w:asciiTheme="minorHAnsi" w:eastAsiaTheme="minorEastAsia" w:hAnsiTheme="minorHAnsi" w:cstheme="minorBidi"/>
            <w:noProof/>
            <w:lang w:eastAsia="fr-FR" w:bidi="ar-SA"/>
          </w:rPr>
          <w:tab/>
        </w:r>
        <w:r w:rsidRPr="00B27C46">
          <w:rPr>
            <w:rStyle w:val="Lienhypertexte"/>
            <w:noProof/>
          </w:rPr>
          <w:t>Milieu Physique</w:t>
        </w:r>
        <w:r>
          <w:rPr>
            <w:noProof/>
            <w:webHidden/>
          </w:rPr>
          <w:tab/>
        </w:r>
        <w:r>
          <w:rPr>
            <w:noProof/>
            <w:webHidden/>
          </w:rPr>
          <w:fldChar w:fldCharType="begin"/>
        </w:r>
        <w:r>
          <w:rPr>
            <w:noProof/>
            <w:webHidden/>
          </w:rPr>
          <w:instrText xml:space="preserve"> PAGEREF _Toc215131839 \h </w:instrText>
        </w:r>
        <w:r>
          <w:rPr>
            <w:noProof/>
            <w:webHidden/>
          </w:rPr>
        </w:r>
        <w:r>
          <w:rPr>
            <w:noProof/>
            <w:webHidden/>
          </w:rPr>
          <w:fldChar w:fldCharType="separate"/>
        </w:r>
        <w:r>
          <w:rPr>
            <w:noProof/>
            <w:webHidden/>
          </w:rPr>
          <w:t>131</w:t>
        </w:r>
        <w:r>
          <w:rPr>
            <w:noProof/>
            <w:webHidden/>
          </w:rPr>
          <w:fldChar w:fldCharType="end"/>
        </w:r>
      </w:hyperlink>
    </w:p>
    <w:p w14:paraId="68D56BC3" w14:textId="10346AD6" w:rsidR="008B44A1" w:rsidRDefault="008B44A1">
      <w:pPr>
        <w:pStyle w:val="TM3"/>
        <w:rPr>
          <w:rFonts w:asciiTheme="minorHAnsi" w:eastAsiaTheme="minorEastAsia" w:hAnsiTheme="minorHAnsi" w:cstheme="minorBidi"/>
          <w:noProof/>
          <w:lang w:eastAsia="fr-FR" w:bidi="ar-SA"/>
        </w:rPr>
      </w:pPr>
      <w:hyperlink w:anchor="_Toc215131840" w:history="1">
        <w:r w:rsidRPr="00B27C46">
          <w:rPr>
            <w:rStyle w:val="Lienhypertexte"/>
            <w:noProof/>
          </w:rPr>
          <w:t>6.3.1.</w:t>
        </w:r>
        <w:r>
          <w:rPr>
            <w:rFonts w:asciiTheme="minorHAnsi" w:eastAsiaTheme="minorEastAsia" w:hAnsiTheme="minorHAnsi" w:cstheme="minorBidi"/>
            <w:noProof/>
            <w:lang w:eastAsia="fr-FR" w:bidi="ar-SA"/>
          </w:rPr>
          <w:tab/>
        </w:r>
        <w:r w:rsidRPr="00B27C46">
          <w:rPr>
            <w:rStyle w:val="Lienhypertexte"/>
            <w:noProof/>
          </w:rPr>
          <w:t>Climat</w:t>
        </w:r>
        <w:r>
          <w:rPr>
            <w:noProof/>
            <w:webHidden/>
          </w:rPr>
          <w:tab/>
        </w:r>
        <w:r>
          <w:rPr>
            <w:noProof/>
            <w:webHidden/>
          </w:rPr>
          <w:fldChar w:fldCharType="begin"/>
        </w:r>
        <w:r>
          <w:rPr>
            <w:noProof/>
            <w:webHidden/>
          </w:rPr>
          <w:instrText xml:space="preserve"> PAGEREF _Toc215131840 \h </w:instrText>
        </w:r>
        <w:r>
          <w:rPr>
            <w:noProof/>
            <w:webHidden/>
          </w:rPr>
        </w:r>
        <w:r>
          <w:rPr>
            <w:noProof/>
            <w:webHidden/>
          </w:rPr>
          <w:fldChar w:fldCharType="separate"/>
        </w:r>
        <w:r>
          <w:rPr>
            <w:noProof/>
            <w:webHidden/>
          </w:rPr>
          <w:t>131</w:t>
        </w:r>
        <w:r>
          <w:rPr>
            <w:noProof/>
            <w:webHidden/>
          </w:rPr>
          <w:fldChar w:fldCharType="end"/>
        </w:r>
      </w:hyperlink>
    </w:p>
    <w:p w14:paraId="5E940CF4" w14:textId="7C4AC613" w:rsidR="008B44A1" w:rsidRDefault="008B44A1">
      <w:pPr>
        <w:pStyle w:val="TM3"/>
        <w:rPr>
          <w:rFonts w:asciiTheme="minorHAnsi" w:eastAsiaTheme="minorEastAsia" w:hAnsiTheme="minorHAnsi" w:cstheme="minorBidi"/>
          <w:noProof/>
          <w:lang w:eastAsia="fr-FR" w:bidi="ar-SA"/>
        </w:rPr>
      </w:pPr>
      <w:hyperlink w:anchor="_Toc215131841" w:history="1">
        <w:r w:rsidRPr="00B27C46">
          <w:rPr>
            <w:rStyle w:val="Lienhypertexte"/>
            <w:noProof/>
          </w:rPr>
          <w:t>6.3.2.</w:t>
        </w:r>
        <w:r>
          <w:rPr>
            <w:rFonts w:asciiTheme="minorHAnsi" w:eastAsiaTheme="minorEastAsia" w:hAnsiTheme="minorHAnsi" w:cstheme="minorBidi"/>
            <w:noProof/>
            <w:lang w:eastAsia="fr-FR" w:bidi="ar-SA"/>
          </w:rPr>
          <w:tab/>
        </w:r>
        <w:r w:rsidRPr="00B27C46">
          <w:rPr>
            <w:rStyle w:val="Lienhypertexte"/>
            <w:noProof/>
          </w:rPr>
          <w:t>Cadre topographique</w:t>
        </w:r>
        <w:r>
          <w:rPr>
            <w:noProof/>
            <w:webHidden/>
          </w:rPr>
          <w:tab/>
        </w:r>
        <w:r>
          <w:rPr>
            <w:noProof/>
            <w:webHidden/>
          </w:rPr>
          <w:fldChar w:fldCharType="begin"/>
        </w:r>
        <w:r>
          <w:rPr>
            <w:noProof/>
            <w:webHidden/>
          </w:rPr>
          <w:instrText xml:space="preserve"> PAGEREF _Toc215131841 \h </w:instrText>
        </w:r>
        <w:r>
          <w:rPr>
            <w:noProof/>
            <w:webHidden/>
          </w:rPr>
        </w:r>
        <w:r>
          <w:rPr>
            <w:noProof/>
            <w:webHidden/>
          </w:rPr>
          <w:fldChar w:fldCharType="separate"/>
        </w:r>
        <w:r>
          <w:rPr>
            <w:noProof/>
            <w:webHidden/>
          </w:rPr>
          <w:t>136</w:t>
        </w:r>
        <w:r>
          <w:rPr>
            <w:noProof/>
            <w:webHidden/>
          </w:rPr>
          <w:fldChar w:fldCharType="end"/>
        </w:r>
      </w:hyperlink>
    </w:p>
    <w:p w14:paraId="70C1C2CE" w14:textId="636C08F1" w:rsidR="008B44A1" w:rsidRDefault="008B44A1">
      <w:pPr>
        <w:pStyle w:val="TM3"/>
        <w:rPr>
          <w:rFonts w:asciiTheme="minorHAnsi" w:eastAsiaTheme="minorEastAsia" w:hAnsiTheme="minorHAnsi" w:cstheme="minorBidi"/>
          <w:noProof/>
          <w:lang w:eastAsia="fr-FR" w:bidi="ar-SA"/>
        </w:rPr>
      </w:pPr>
      <w:hyperlink w:anchor="_Toc215131842" w:history="1">
        <w:r w:rsidRPr="00B27C46">
          <w:rPr>
            <w:rStyle w:val="Lienhypertexte"/>
            <w:noProof/>
            <w:lang w:eastAsia="zh-CN"/>
          </w:rPr>
          <w:t>6.3.3.</w:t>
        </w:r>
        <w:r>
          <w:rPr>
            <w:rFonts w:asciiTheme="minorHAnsi" w:eastAsiaTheme="minorEastAsia" w:hAnsiTheme="minorHAnsi" w:cstheme="minorBidi"/>
            <w:noProof/>
            <w:lang w:eastAsia="fr-FR" w:bidi="ar-SA"/>
          </w:rPr>
          <w:tab/>
        </w:r>
        <w:r w:rsidRPr="00B27C46">
          <w:rPr>
            <w:rStyle w:val="Lienhypertexte"/>
            <w:noProof/>
            <w:lang w:eastAsia="zh-CN"/>
          </w:rPr>
          <w:t>Cadre géologique général</w:t>
        </w:r>
        <w:r>
          <w:rPr>
            <w:noProof/>
            <w:webHidden/>
          </w:rPr>
          <w:tab/>
        </w:r>
        <w:r>
          <w:rPr>
            <w:noProof/>
            <w:webHidden/>
          </w:rPr>
          <w:fldChar w:fldCharType="begin"/>
        </w:r>
        <w:r>
          <w:rPr>
            <w:noProof/>
            <w:webHidden/>
          </w:rPr>
          <w:instrText xml:space="preserve"> PAGEREF _Toc215131842 \h </w:instrText>
        </w:r>
        <w:r>
          <w:rPr>
            <w:noProof/>
            <w:webHidden/>
          </w:rPr>
        </w:r>
        <w:r>
          <w:rPr>
            <w:noProof/>
            <w:webHidden/>
          </w:rPr>
          <w:fldChar w:fldCharType="separate"/>
        </w:r>
        <w:r>
          <w:rPr>
            <w:noProof/>
            <w:webHidden/>
          </w:rPr>
          <w:t>137</w:t>
        </w:r>
        <w:r>
          <w:rPr>
            <w:noProof/>
            <w:webHidden/>
          </w:rPr>
          <w:fldChar w:fldCharType="end"/>
        </w:r>
      </w:hyperlink>
    </w:p>
    <w:p w14:paraId="545B54B1" w14:textId="16267AA9" w:rsidR="008B44A1" w:rsidRDefault="008B44A1">
      <w:pPr>
        <w:pStyle w:val="TM3"/>
        <w:rPr>
          <w:rFonts w:asciiTheme="minorHAnsi" w:eastAsiaTheme="minorEastAsia" w:hAnsiTheme="minorHAnsi" w:cstheme="minorBidi"/>
          <w:noProof/>
          <w:lang w:eastAsia="fr-FR" w:bidi="ar-SA"/>
        </w:rPr>
      </w:pPr>
      <w:hyperlink w:anchor="_Toc215131843" w:history="1">
        <w:r w:rsidRPr="00B27C46">
          <w:rPr>
            <w:rStyle w:val="Lienhypertexte"/>
            <w:noProof/>
          </w:rPr>
          <w:t>6.3.4.</w:t>
        </w:r>
        <w:r>
          <w:rPr>
            <w:rFonts w:asciiTheme="minorHAnsi" w:eastAsiaTheme="minorEastAsia" w:hAnsiTheme="minorHAnsi" w:cstheme="minorBidi"/>
            <w:noProof/>
            <w:lang w:eastAsia="fr-FR" w:bidi="ar-SA"/>
          </w:rPr>
          <w:tab/>
        </w:r>
        <w:r w:rsidRPr="00B27C46">
          <w:rPr>
            <w:rStyle w:val="Lienhypertexte"/>
            <w:noProof/>
          </w:rPr>
          <w:t>Pédologie</w:t>
        </w:r>
        <w:r>
          <w:rPr>
            <w:noProof/>
            <w:webHidden/>
          </w:rPr>
          <w:tab/>
        </w:r>
        <w:r>
          <w:rPr>
            <w:noProof/>
            <w:webHidden/>
          </w:rPr>
          <w:fldChar w:fldCharType="begin"/>
        </w:r>
        <w:r>
          <w:rPr>
            <w:noProof/>
            <w:webHidden/>
          </w:rPr>
          <w:instrText xml:space="preserve"> PAGEREF _Toc215131843 \h </w:instrText>
        </w:r>
        <w:r>
          <w:rPr>
            <w:noProof/>
            <w:webHidden/>
          </w:rPr>
        </w:r>
        <w:r>
          <w:rPr>
            <w:noProof/>
            <w:webHidden/>
          </w:rPr>
          <w:fldChar w:fldCharType="separate"/>
        </w:r>
        <w:r>
          <w:rPr>
            <w:noProof/>
            <w:webHidden/>
          </w:rPr>
          <w:t>140</w:t>
        </w:r>
        <w:r>
          <w:rPr>
            <w:noProof/>
            <w:webHidden/>
          </w:rPr>
          <w:fldChar w:fldCharType="end"/>
        </w:r>
      </w:hyperlink>
    </w:p>
    <w:p w14:paraId="4ECCEDE1" w14:textId="4A2924DC" w:rsidR="008B44A1" w:rsidRDefault="008B44A1">
      <w:pPr>
        <w:pStyle w:val="TM3"/>
        <w:rPr>
          <w:rFonts w:asciiTheme="minorHAnsi" w:eastAsiaTheme="minorEastAsia" w:hAnsiTheme="minorHAnsi" w:cstheme="minorBidi"/>
          <w:noProof/>
          <w:lang w:eastAsia="fr-FR" w:bidi="ar-SA"/>
        </w:rPr>
      </w:pPr>
      <w:hyperlink w:anchor="_Toc215131844" w:history="1">
        <w:r w:rsidRPr="00B27C46">
          <w:rPr>
            <w:rStyle w:val="Lienhypertexte"/>
            <w:noProof/>
          </w:rPr>
          <w:t>6.3.5.</w:t>
        </w:r>
        <w:r>
          <w:rPr>
            <w:rFonts w:asciiTheme="minorHAnsi" w:eastAsiaTheme="minorEastAsia" w:hAnsiTheme="minorHAnsi" w:cstheme="minorBidi"/>
            <w:noProof/>
            <w:lang w:eastAsia="fr-FR" w:bidi="ar-SA"/>
          </w:rPr>
          <w:tab/>
        </w:r>
        <w:r w:rsidRPr="00B27C46">
          <w:rPr>
            <w:rStyle w:val="Lienhypertexte"/>
            <w:noProof/>
          </w:rPr>
          <w:t>Sismicité</w:t>
        </w:r>
        <w:r>
          <w:rPr>
            <w:noProof/>
            <w:webHidden/>
          </w:rPr>
          <w:tab/>
        </w:r>
        <w:r>
          <w:rPr>
            <w:noProof/>
            <w:webHidden/>
          </w:rPr>
          <w:fldChar w:fldCharType="begin"/>
        </w:r>
        <w:r>
          <w:rPr>
            <w:noProof/>
            <w:webHidden/>
          </w:rPr>
          <w:instrText xml:space="preserve"> PAGEREF _Toc215131844 \h </w:instrText>
        </w:r>
        <w:r>
          <w:rPr>
            <w:noProof/>
            <w:webHidden/>
          </w:rPr>
        </w:r>
        <w:r>
          <w:rPr>
            <w:noProof/>
            <w:webHidden/>
          </w:rPr>
          <w:fldChar w:fldCharType="separate"/>
        </w:r>
        <w:r>
          <w:rPr>
            <w:noProof/>
            <w:webHidden/>
          </w:rPr>
          <w:t>140</w:t>
        </w:r>
        <w:r>
          <w:rPr>
            <w:noProof/>
            <w:webHidden/>
          </w:rPr>
          <w:fldChar w:fldCharType="end"/>
        </w:r>
      </w:hyperlink>
    </w:p>
    <w:p w14:paraId="26CEB9F1" w14:textId="122A1E93" w:rsidR="008B44A1" w:rsidRDefault="008B44A1">
      <w:pPr>
        <w:pStyle w:val="TM3"/>
        <w:rPr>
          <w:rFonts w:asciiTheme="minorHAnsi" w:eastAsiaTheme="minorEastAsia" w:hAnsiTheme="minorHAnsi" w:cstheme="minorBidi"/>
          <w:noProof/>
          <w:lang w:eastAsia="fr-FR" w:bidi="ar-SA"/>
        </w:rPr>
      </w:pPr>
      <w:hyperlink w:anchor="_Toc215131845" w:history="1">
        <w:r w:rsidRPr="00B27C46">
          <w:rPr>
            <w:rStyle w:val="Lienhypertexte"/>
            <w:noProof/>
          </w:rPr>
          <w:t>6.3.6.</w:t>
        </w:r>
        <w:r>
          <w:rPr>
            <w:rFonts w:asciiTheme="minorHAnsi" w:eastAsiaTheme="minorEastAsia" w:hAnsiTheme="minorHAnsi" w:cstheme="minorBidi"/>
            <w:noProof/>
            <w:lang w:eastAsia="fr-FR" w:bidi="ar-SA"/>
          </w:rPr>
          <w:tab/>
        </w:r>
        <w:r w:rsidRPr="00B27C46">
          <w:rPr>
            <w:rStyle w:val="Lienhypertexte"/>
            <w:noProof/>
          </w:rPr>
          <w:t>Cadre hydrologique</w:t>
        </w:r>
        <w:r>
          <w:rPr>
            <w:noProof/>
            <w:webHidden/>
          </w:rPr>
          <w:tab/>
        </w:r>
        <w:r>
          <w:rPr>
            <w:noProof/>
            <w:webHidden/>
          </w:rPr>
          <w:fldChar w:fldCharType="begin"/>
        </w:r>
        <w:r>
          <w:rPr>
            <w:noProof/>
            <w:webHidden/>
          </w:rPr>
          <w:instrText xml:space="preserve"> PAGEREF _Toc215131845 \h </w:instrText>
        </w:r>
        <w:r>
          <w:rPr>
            <w:noProof/>
            <w:webHidden/>
          </w:rPr>
        </w:r>
        <w:r>
          <w:rPr>
            <w:noProof/>
            <w:webHidden/>
          </w:rPr>
          <w:fldChar w:fldCharType="separate"/>
        </w:r>
        <w:r>
          <w:rPr>
            <w:noProof/>
            <w:webHidden/>
          </w:rPr>
          <w:t>141</w:t>
        </w:r>
        <w:r>
          <w:rPr>
            <w:noProof/>
            <w:webHidden/>
          </w:rPr>
          <w:fldChar w:fldCharType="end"/>
        </w:r>
      </w:hyperlink>
    </w:p>
    <w:p w14:paraId="63C006EC" w14:textId="7ED34188" w:rsidR="008B44A1" w:rsidRDefault="008B44A1">
      <w:pPr>
        <w:pStyle w:val="TM3"/>
        <w:rPr>
          <w:rFonts w:asciiTheme="minorHAnsi" w:eastAsiaTheme="minorEastAsia" w:hAnsiTheme="minorHAnsi" w:cstheme="minorBidi"/>
          <w:noProof/>
          <w:lang w:eastAsia="fr-FR" w:bidi="ar-SA"/>
        </w:rPr>
      </w:pPr>
      <w:hyperlink w:anchor="_Toc215131846" w:history="1">
        <w:r w:rsidRPr="00B27C46">
          <w:rPr>
            <w:rStyle w:val="Lienhypertexte"/>
            <w:noProof/>
          </w:rPr>
          <w:t>6.3.7.</w:t>
        </w:r>
        <w:r>
          <w:rPr>
            <w:rFonts w:asciiTheme="minorHAnsi" w:eastAsiaTheme="minorEastAsia" w:hAnsiTheme="minorHAnsi" w:cstheme="minorBidi"/>
            <w:noProof/>
            <w:lang w:eastAsia="fr-FR" w:bidi="ar-SA"/>
          </w:rPr>
          <w:tab/>
        </w:r>
        <w:r w:rsidRPr="00B27C46">
          <w:rPr>
            <w:rStyle w:val="Lienhypertexte"/>
            <w:noProof/>
          </w:rPr>
          <w:t>Cadre hydrogéologique</w:t>
        </w:r>
        <w:r>
          <w:rPr>
            <w:noProof/>
            <w:webHidden/>
          </w:rPr>
          <w:tab/>
        </w:r>
        <w:r>
          <w:rPr>
            <w:noProof/>
            <w:webHidden/>
          </w:rPr>
          <w:fldChar w:fldCharType="begin"/>
        </w:r>
        <w:r>
          <w:rPr>
            <w:noProof/>
            <w:webHidden/>
          </w:rPr>
          <w:instrText xml:space="preserve"> PAGEREF _Toc215131846 \h </w:instrText>
        </w:r>
        <w:r>
          <w:rPr>
            <w:noProof/>
            <w:webHidden/>
          </w:rPr>
        </w:r>
        <w:r>
          <w:rPr>
            <w:noProof/>
            <w:webHidden/>
          </w:rPr>
          <w:fldChar w:fldCharType="separate"/>
        </w:r>
        <w:r>
          <w:rPr>
            <w:noProof/>
            <w:webHidden/>
          </w:rPr>
          <w:t>144</w:t>
        </w:r>
        <w:r>
          <w:rPr>
            <w:noProof/>
            <w:webHidden/>
          </w:rPr>
          <w:fldChar w:fldCharType="end"/>
        </w:r>
      </w:hyperlink>
    </w:p>
    <w:p w14:paraId="58D68AA9" w14:textId="30BBA9B1" w:rsidR="008B44A1" w:rsidRDefault="008B44A1">
      <w:pPr>
        <w:pStyle w:val="TM3"/>
        <w:rPr>
          <w:rFonts w:asciiTheme="minorHAnsi" w:eastAsiaTheme="minorEastAsia" w:hAnsiTheme="minorHAnsi" w:cstheme="minorBidi"/>
          <w:noProof/>
          <w:lang w:eastAsia="fr-FR" w:bidi="ar-SA"/>
        </w:rPr>
      </w:pPr>
      <w:hyperlink w:anchor="_Toc215131847" w:history="1">
        <w:r w:rsidRPr="00B27C46">
          <w:rPr>
            <w:rStyle w:val="Lienhypertexte"/>
            <w:noProof/>
          </w:rPr>
          <w:t>6.3.8.</w:t>
        </w:r>
        <w:r>
          <w:rPr>
            <w:rFonts w:asciiTheme="minorHAnsi" w:eastAsiaTheme="minorEastAsia" w:hAnsiTheme="minorHAnsi" w:cstheme="minorBidi"/>
            <w:noProof/>
            <w:lang w:eastAsia="fr-FR" w:bidi="ar-SA"/>
          </w:rPr>
          <w:tab/>
        </w:r>
        <w:r w:rsidRPr="00B27C46">
          <w:rPr>
            <w:rStyle w:val="Lienhypertexte"/>
            <w:noProof/>
          </w:rPr>
          <w:t>Ambiance sonore</w:t>
        </w:r>
        <w:r>
          <w:rPr>
            <w:noProof/>
            <w:webHidden/>
          </w:rPr>
          <w:tab/>
        </w:r>
        <w:r>
          <w:rPr>
            <w:noProof/>
            <w:webHidden/>
          </w:rPr>
          <w:fldChar w:fldCharType="begin"/>
        </w:r>
        <w:r>
          <w:rPr>
            <w:noProof/>
            <w:webHidden/>
          </w:rPr>
          <w:instrText xml:space="preserve"> PAGEREF _Toc215131847 \h </w:instrText>
        </w:r>
        <w:r>
          <w:rPr>
            <w:noProof/>
            <w:webHidden/>
          </w:rPr>
        </w:r>
        <w:r>
          <w:rPr>
            <w:noProof/>
            <w:webHidden/>
          </w:rPr>
          <w:fldChar w:fldCharType="separate"/>
        </w:r>
        <w:r>
          <w:rPr>
            <w:noProof/>
            <w:webHidden/>
          </w:rPr>
          <w:t>cxlvii</w:t>
        </w:r>
        <w:r>
          <w:rPr>
            <w:noProof/>
            <w:webHidden/>
          </w:rPr>
          <w:fldChar w:fldCharType="end"/>
        </w:r>
      </w:hyperlink>
    </w:p>
    <w:p w14:paraId="39926A0F" w14:textId="650EF1AF" w:rsidR="008B44A1" w:rsidRDefault="008B44A1">
      <w:pPr>
        <w:pStyle w:val="TM2"/>
        <w:rPr>
          <w:rFonts w:asciiTheme="minorHAnsi" w:eastAsiaTheme="minorEastAsia" w:hAnsiTheme="minorHAnsi" w:cstheme="minorBidi"/>
          <w:noProof/>
          <w:lang w:eastAsia="fr-FR" w:bidi="ar-SA"/>
        </w:rPr>
      </w:pPr>
      <w:hyperlink w:anchor="_Toc215131848" w:history="1">
        <w:r w:rsidRPr="00B27C46">
          <w:rPr>
            <w:rStyle w:val="Lienhypertexte"/>
            <w:noProof/>
          </w:rPr>
          <w:t>6.4.</w:t>
        </w:r>
        <w:r>
          <w:rPr>
            <w:rFonts w:asciiTheme="minorHAnsi" w:eastAsiaTheme="minorEastAsia" w:hAnsiTheme="minorHAnsi" w:cstheme="minorBidi"/>
            <w:noProof/>
            <w:lang w:eastAsia="fr-FR" w:bidi="ar-SA"/>
          </w:rPr>
          <w:tab/>
        </w:r>
        <w:r w:rsidRPr="00B27C46">
          <w:rPr>
            <w:rStyle w:val="Lienhypertexte"/>
            <w:noProof/>
          </w:rPr>
          <w:t>Milieu biologique</w:t>
        </w:r>
        <w:r>
          <w:rPr>
            <w:noProof/>
            <w:webHidden/>
          </w:rPr>
          <w:tab/>
        </w:r>
        <w:r>
          <w:rPr>
            <w:noProof/>
            <w:webHidden/>
          </w:rPr>
          <w:fldChar w:fldCharType="begin"/>
        </w:r>
        <w:r>
          <w:rPr>
            <w:noProof/>
            <w:webHidden/>
          </w:rPr>
          <w:instrText xml:space="preserve"> PAGEREF _Toc215131848 \h </w:instrText>
        </w:r>
        <w:r>
          <w:rPr>
            <w:noProof/>
            <w:webHidden/>
          </w:rPr>
        </w:r>
        <w:r>
          <w:rPr>
            <w:noProof/>
            <w:webHidden/>
          </w:rPr>
          <w:fldChar w:fldCharType="separate"/>
        </w:r>
        <w:r>
          <w:rPr>
            <w:noProof/>
            <w:webHidden/>
          </w:rPr>
          <w:t>cxlvii</w:t>
        </w:r>
        <w:r>
          <w:rPr>
            <w:noProof/>
            <w:webHidden/>
          </w:rPr>
          <w:fldChar w:fldCharType="end"/>
        </w:r>
      </w:hyperlink>
    </w:p>
    <w:p w14:paraId="40FB942C" w14:textId="6896636B" w:rsidR="008B44A1" w:rsidRDefault="008B44A1">
      <w:pPr>
        <w:pStyle w:val="TM3"/>
        <w:rPr>
          <w:rFonts w:asciiTheme="minorHAnsi" w:eastAsiaTheme="minorEastAsia" w:hAnsiTheme="minorHAnsi" w:cstheme="minorBidi"/>
          <w:noProof/>
          <w:lang w:eastAsia="fr-FR" w:bidi="ar-SA"/>
        </w:rPr>
      </w:pPr>
      <w:hyperlink w:anchor="_Toc215131849" w:history="1">
        <w:r w:rsidRPr="00B27C46">
          <w:rPr>
            <w:rStyle w:val="Lienhypertexte"/>
            <w:rFonts w:eastAsia="Calibri"/>
            <w:noProof/>
            <w:lang w:val="fr-MA" w:eastAsia="fr-FR"/>
          </w:rPr>
          <w:t>6.4.1.</w:t>
        </w:r>
        <w:r>
          <w:rPr>
            <w:rFonts w:asciiTheme="minorHAnsi" w:eastAsiaTheme="minorEastAsia" w:hAnsiTheme="minorHAnsi" w:cstheme="minorBidi"/>
            <w:noProof/>
            <w:lang w:eastAsia="fr-FR" w:bidi="ar-SA"/>
          </w:rPr>
          <w:tab/>
        </w:r>
        <w:r w:rsidRPr="00B27C46">
          <w:rPr>
            <w:rStyle w:val="Lienhypertexte"/>
            <w:rFonts w:eastAsia="Calibri"/>
            <w:noProof/>
            <w:lang w:val="fr-MA" w:eastAsia="fr-FR"/>
          </w:rPr>
          <w:t>Méthodologie de l’établissement des inventaires floristiques et faunistiques</w:t>
        </w:r>
        <w:r>
          <w:rPr>
            <w:noProof/>
            <w:webHidden/>
          </w:rPr>
          <w:tab/>
        </w:r>
        <w:r>
          <w:rPr>
            <w:noProof/>
            <w:webHidden/>
          </w:rPr>
          <w:fldChar w:fldCharType="begin"/>
        </w:r>
        <w:r>
          <w:rPr>
            <w:noProof/>
            <w:webHidden/>
          </w:rPr>
          <w:instrText xml:space="preserve"> PAGEREF _Toc215131849 \h </w:instrText>
        </w:r>
        <w:r>
          <w:rPr>
            <w:noProof/>
            <w:webHidden/>
          </w:rPr>
        </w:r>
        <w:r>
          <w:rPr>
            <w:noProof/>
            <w:webHidden/>
          </w:rPr>
          <w:fldChar w:fldCharType="separate"/>
        </w:r>
        <w:r>
          <w:rPr>
            <w:noProof/>
            <w:webHidden/>
          </w:rPr>
          <w:t>cxlvii</w:t>
        </w:r>
        <w:r>
          <w:rPr>
            <w:noProof/>
            <w:webHidden/>
          </w:rPr>
          <w:fldChar w:fldCharType="end"/>
        </w:r>
      </w:hyperlink>
    </w:p>
    <w:p w14:paraId="0E7023D8" w14:textId="0D8F954A" w:rsidR="008B44A1" w:rsidRDefault="008B44A1">
      <w:pPr>
        <w:pStyle w:val="TM3"/>
        <w:rPr>
          <w:rFonts w:asciiTheme="minorHAnsi" w:eastAsiaTheme="minorEastAsia" w:hAnsiTheme="minorHAnsi" w:cstheme="minorBidi"/>
          <w:noProof/>
          <w:lang w:eastAsia="fr-FR" w:bidi="ar-SA"/>
        </w:rPr>
      </w:pPr>
      <w:hyperlink w:anchor="_Toc215131850" w:history="1">
        <w:r w:rsidRPr="00B27C46">
          <w:rPr>
            <w:rStyle w:val="Lienhypertexte"/>
            <w:noProof/>
            <w:lang w:val="fr-MA"/>
          </w:rPr>
          <w:t>6.4.2.</w:t>
        </w:r>
        <w:r>
          <w:rPr>
            <w:rFonts w:asciiTheme="minorHAnsi" w:eastAsiaTheme="minorEastAsia" w:hAnsiTheme="minorHAnsi" w:cstheme="minorBidi"/>
            <w:noProof/>
            <w:lang w:eastAsia="fr-FR" w:bidi="ar-SA"/>
          </w:rPr>
          <w:tab/>
        </w:r>
        <w:r w:rsidRPr="00B27C46">
          <w:rPr>
            <w:rStyle w:val="Lienhypertexte"/>
            <w:noProof/>
            <w:lang w:val="fr-MA"/>
          </w:rPr>
          <w:t>Principes généraux</w:t>
        </w:r>
        <w:r>
          <w:rPr>
            <w:noProof/>
            <w:webHidden/>
          </w:rPr>
          <w:tab/>
        </w:r>
        <w:r>
          <w:rPr>
            <w:noProof/>
            <w:webHidden/>
          </w:rPr>
          <w:fldChar w:fldCharType="begin"/>
        </w:r>
        <w:r>
          <w:rPr>
            <w:noProof/>
            <w:webHidden/>
          </w:rPr>
          <w:instrText xml:space="preserve"> PAGEREF _Toc215131850 \h </w:instrText>
        </w:r>
        <w:r>
          <w:rPr>
            <w:noProof/>
            <w:webHidden/>
          </w:rPr>
        </w:r>
        <w:r>
          <w:rPr>
            <w:noProof/>
            <w:webHidden/>
          </w:rPr>
          <w:fldChar w:fldCharType="separate"/>
        </w:r>
        <w:r>
          <w:rPr>
            <w:noProof/>
            <w:webHidden/>
          </w:rPr>
          <w:t>cxlvii</w:t>
        </w:r>
        <w:r>
          <w:rPr>
            <w:noProof/>
            <w:webHidden/>
          </w:rPr>
          <w:fldChar w:fldCharType="end"/>
        </w:r>
      </w:hyperlink>
    </w:p>
    <w:p w14:paraId="7F1BD05C" w14:textId="79AB5BA6" w:rsidR="008B44A1" w:rsidRDefault="008B44A1">
      <w:pPr>
        <w:pStyle w:val="TM3"/>
        <w:rPr>
          <w:rFonts w:asciiTheme="minorHAnsi" w:eastAsiaTheme="minorEastAsia" w:hAnsiTheme="minorHAnsi" w:cstheme="minorBidi"/>
          <w:noProof/>
          <w:lang w:eastAsia="fr-FR" w:bidi="ar-SA"/>
        </w:rPr>
      </w:pPr>
      <w:hyperlink w:anchor="_Toc215131851" w:history="1">
        <w:r w:rsidRPr="00B27C46">
          <w:rPr>
            <w:rStyle w:val="Lienhypertexte"/>
            <w:rFonts w:eastAsia="Calibri"/>
            <w:noProof/>
            <w:lang w:val="fr-MA"/>
          </w:rPr>
          <w:t>6.4.3.</w:t>
        </w:r>
        <w:r>
          <w:rPr>
            <w:rFonts w:asciiTheme="minorHAnsi" w:eastAsiaTheme="minorEastAsia" w:hAnsiTheme="minorHAnsi" w:cstheme="minorBidi"/>
            <w:noProof/>
            <w:lang w:eastAsia="fr-FR" w:bidi="ar-SA"/>
          </w:rPr>
          <w:tab/>
        </w:r>
        <w:r w:rsidRPr="00B27C46">
          <w:rPr>
            <w:rStyle w:val="Lienhypertexte"/>
            <w:rFonts w:eastAsia="Calibri"/>
            <w:noProof/>
            <w:lang w:val="fr-MA"/>
          </w:rPr>
          <w:t>Services écosystémiques</w:t>
        </w:r>
        <w:r>
          <w:rPr>
            <w:noProof/>
            <w:webHidden/>
          </w:rPr>
          <w:tab/>
        </w:r>
        <w:r>
          <w:rPr>
            <w:noProof/>
            <w:webHidden/>
          </w:rPr>
          <w:fldChar w:fldCharType="begin"/>
        </w:r>
        <w:r>
          <w:rPr>
            <w:noProof/>
            <w:webHidden/>
          </w:rPr>
          <w:instrText xml:space="preserve"> PAGEREF _Toc215131851 \h </w:instrText>
        </w:r>
        <w:r>
          <w:rPr>
            <w:noProof/>
            <w:webHidden/>
          </w:rPr>
        </w:r>
        <w:r>
          <w:rPr>
            <w:noProof/>
            <w:webHidden/>
          </w:rPr>
          <w:fldChar w:fldCharType="separate"/>
        </w:r>
        <w:r>
          <w:rPr>
            <w:noProof/>
            <w:webHidden/>
          </w:rPr>
          <w:t>cxlix</w:t>
        </w:r>
        <w:r>
          <w:rPr>
            <w:noProof/>
            <w:webHidden/>
          </w:rPr>
          <w:fldChar w:fldCharType="end"/>
        </w:r>
      </w:hyperlink>
    </w:p>
    <w:p w14:paraId="691550C8" w14:textId="4FE69913" w:rsidR="008B44A1" w:rsidRDefault="008B44A1">
      <w:pPr>
        <w:pStyle w:val="TM3"/>
        <w:rPr>
          <w:rFonts w:asciiTheme="minorHAnsi" w:eastAsiaTheme="minorEastAsia" w:hAnsiTheme="minorHAnsi" w:cstheme="minorBidi"/>
          <w:noProof/>
          <w:lang w:eastAsia="fr-FR" w:bidi="ar-SA"/>
        </w:rPr>
      </w:pPr>
      <w:hyperlink w:anchor="_Toc215131852" w:history="1">
        <w:r w:rsidRPr="00B27C46">
          <w:rPr>
            <w:rStyle w:val="Lienhypertexte"/>
            <w:rFonts w:eastAsia="Calibri"/>
            <w:noProof/>
            <w:lang w:val="fr-MA"/>
          </w:rPr>
          <w:t>6.4.4.</w:t>
        </w:r>
        <w:r>
          <w:rPr>
            <w:rFonts w:asciiTheme="minorHAnsi" w:eastAsiaTheme="minorEastAsia" w:hAnsiTheme="minorHAnsi" w:cstheme="minorBidi"/>
            <w:noProof/>
            <w:lang w:eastAsia="fr-FR" w:bidi="ar-SA"/>
          </w:rPr>
          <w:tab/>
        </w:r>
        <w:r w:rsidRPr="00B27C46">
          <w:rPr>
            <w:rStyle w:val="Lienhypertexte"/>
            <w:rFonts w:eastAsia="Calibri"/>
            <w:noProof/>
            <w:lang w:val="fr-MA"/>
          </w:rPr>
          <w:t>Les services écosystémiques de la zone de projet</w:t>
        </w:r>
        <w:r>
          <w:rPr>
            <w:noProof/>
            <w:webHidden/>
          </w:rPr>
          <w:tab/>
        </w:r>
        <w:r>
          <w:rPr>
            <w:noProof/>
            <w:webHidden/>
          </w:rPr>
          <w:fldChar w:fldCharType="begin"/>
        </w:r>
        <w:r>
          <w:rPr>
            <w:noProof/>
            <w:webHidden/>
          </w:rPr>
          <w:instrText xml:space="preserve"> PAGEREF _Toc215131852 \h </w:instrText>
        </w:r>
        <w:r>
          <w:rPr>
            <w:noProof/>
            <w:webHidden/>
          </w:rPr>
        </w:r>
        <w:r>
          <w:rPr>
            <w:noProof/>
            <w:webHidden/>
          </w:rPr>
          <w:fldChar w:fldCharType="separate"/>
        </w:r>
        <w:r>
          <w:rPr>
            <w:noProof/>
            <w:webHidden/>
          </w:rPr>
          <w:t>clii</w:t>
        </w:r>
        <w:r>
          <w:rPr>
            <w:noProof/>
            <w:webHidden/>
          </w:rPr>
          <w:fldChar w:fldCharType="end"/>
        </w:r>
      </w:hyperlink>
    </w:p>
    <w:p w14:paraId="71C8F021" w14:textId="3F464B94" w:rsidR="008B44A1" w:rsidRDefault="008B44A1">
      <w:pPr>
        <w:pStyle w:val="TM3"/>
        <w:rPr>
          <w:rFonts w:asciiTheme="minorHAnsi" w:eastAsiaTheme="minorEastAsia" w:hAnsiTheme="minorHAnsi" w:cstheme="minorBidi"/>
          <w:noProof/>
          <w:lang w:eastAsia="fr-FR" w:bidi="ar-SA"/>
        </w:rPr>
      </w:pPr>
      <w:hyperlink w:anchor="_Toc215131853" w:history="1">
        <w:r w:rsidRPr="00B27C46">
          <w:rPr>
            <w:rStyle w:val="Lienhypertexte"/>
            <w:noProof/>
          </w:rPr>
          <w:t>6.4.5.</w:t>
        </w:r>
        <w:r>
          <w:rPr>
            <w:rFonts w:asciiTheme="minorHAnsi" w:eastAsiaTheme="minorEastAsia" w:hAnsiTheme="minorHAnsi" w:cstheme="minorBidi"/>
            <w:noProof/>
            <w:lang w:eastAsia="fr-FR" w:bidi="ar-SA"/>
          </w:rPr>
          <w:tab/>
        </w:r>
        <w:r w:rsidRPr="00B27C46">
          <w:rPr>
            <w:rStyle w:val="Lienhypertexte"/>
            <w:noProof/>
          </w:rPr>
          <w:t>Faune</w:t>
        </w:r>
        <w:r>
          <w:rPr>
            <w:noProof/>
            <w:webHidden/>
          </w:rPr>
          <w:tab/>
        </w:r>
        <w:r>
          <w:rPr>
            <w:noProof/>
            <w:webHidden/>
          </w:rPr>
          <w:fldChar w:fldCharType="begin"/>
        </w:r>
        <w:r>
          <w:rPr>
            <w:noProof/>
            <w:webHidden/>
          </w:rPr>
          <w:instrText xml:space="preserve"> PAGEREF _Toc215131853 \h </w:instrText>
        </w:r>
        <w:r>
          <w:rPr>
            <w:noProof/>
            <w:webHidden/>
          </w:rPr>
        </w:r>
        <w:r>
          <w:rPr>
            <w:noProof/>
            <w:webHidden/>
          </w:rPr>
          <w:fldChar w:fldCharType="separate"/>
        </w:r>
        <w:r>
          <w:rPr>
            <w:noProof/>
            <w:webHidden/>
          </w:rPr>
          <w:t>cliii</w:t>
        </w:r>
        <w:r>
          <w:rPr>
            <w:noProof/>
            <w:webHidden/>
          </w:rPr>
          <w:fldChar w:fldCharType="end"/>
        </w:r>
      </w:hyperlink>
    </w:p>
    <w:p w14:paraId="44B11C45" w14:textId="1B8B2B1C" w:rsidR="008B44A1" w:rsidRDefault="008B44A1">
      <w:pPr>
        <w:pStyle w:val="TM3"/>
        <w:rPr>
          <w:rFonts w:asciiTheme="minorHAnsi" w:eastAsiaTheme="minorEastAsia" w:hAnsiTheme="minorHAnsi" w:cstheme="minorBidi"/>
          <w:noProof/>
          <w:lang w:eastAsia="fr-FR" w:bidi="ar-SA"/>
        </w:rPr>
      </w:pPr>
      <w:hyperlink w:anchor="_Toc215131854" w:history="1">
        <w:r w:rsidRPr="00B27C46">
          <w:rPr>
            <w:rStyle w:val="Lienhypertexte"/>
            <w:noProof/>
          </w:rPr>
          <w:t>6.4.6.</w:t>
        </w:r>
        <w:r>
          <w:rPr>
            <w:rFonts w:asciiTheme="minorHAnsi" w:eastAsiaTheme="minorEastAsia" w:hAnsiTheme="minorHAnsi" w:cstheme="minorBidi"/>
            <w:noProof/>
            <w:lang w:eastAsia="fr-FR" w:bidi="ar-SA"/>
          </w:rPr>
          <w:tab/>
        </w:r>
        <w:r w:rsidRPr="00B27C46">
          <w:rPr>
            <w:rStyle w:val="Lienhypertexte"/>
            <w:noProof/>
          </w:rPr>
          <w:t>Avifaune</w:t>
        </w:r>
        <w:r>
          <w:rPr>
            <w:noProof/>
            <w:webHidden/>
          </w:rPr>
          <w:tab/>
        </w:r>
        <w:r>
          <w:rPr>
            <w:noProof/>
            <w:webHidden/>
          </w:rPr>
          <w:fldChar w:fldCharType="begin"/>
        </w:r>
        <w:r>
          <w:rPr>
            <w:noProof/>
            <w:webHidden/>
          </w:rPr>
          <w:instrText xml:space="preserve"> PAGEREF _Toc215131854 \h </w:instrText>
        </w:r>
        <w:r>
          <w:rPr>
            <w:noProof/>
            <w:webHidden/>
          </w:rPr>
        </w:r>
        <w:r>
          <w:rPr>
            <w:noProof/>
            <w:webHidden/>
          </w:rPr>
          <w:fldChar w:fldCharType="separate"/>
        </w:r>
        <w:r>
          <w:rPr>
            <w:noProof/>
            <w:webHidden/>
          </w:rPr>
          <w:t>clv</w:t>
        </w:r>
        <w:r>
          <w:rPr>
            <w:noProof/>
            <w:webHidden/>
          </w:rPr>
          <w:fldChar w:fldCharType="end"/>
        </w:r>
      </w:hyperlink>
    </w:p>
    <w:p w14:paraId="59966DB0" w14:textId="4F08D1FA" w:rsidR="008B44A1" w:rsidRDefault="008B44A1">
      <w:pPr>
        <w:pStyle w:val="TM3"/>
        <w:rPr>
          <w:rFonts w:asciiTheme="minorHAnsi" w:eastAsiaTheme="minorEastAsia" w:hAnsiTheme="minorHAnsi" w:cstheme="minorBidi"/>
          <w:noProof/>
          <w:lang w:eastAsia="fr-FR" w:bidi="ar-SA"/>
        </w:rPr>
      </w:pPr>
      <w:hyperlink w:anchor="_Toc215131855" w:history="1">
        <w:r w:rsidRPr="00B27C46">
          <w:rPr>
            <w:rStyle w:val="Lienhypertexte"/>
            <w:noProof/>
          </w:rPr>
          <w:t>6.4.7.</w:t>
        </w:r>
        <w:r>
          <w:rPr>
            <w:rFonts w:asciiTheme="minorHAnsi" w:eastAsiaTheme="minorEastAsia" w:hAnsiTheme="minorHAnsi" w:cstheme="minorBidi"/>
            <w:noProof/>
            <w:lang w:eastAsia="fr-FR" w:bidi="ar-SA"/>
          </w:rPr>
          <w:tab/>
        </w:r>
        <w:r w:rsidRPr="00B27C46">
          <w:rPr>
            <w:rStyle w:val="Lienhypertexte"/>
            <w:noProof/>
          </w:rPr>
          <w:t>Mammifères</w:t>
        </w:r>
        <w:r>
          <w:rPr>
            <w:noProof/>
            <w:webHidden/>
          </w:rPr>
          <w:tab/>
        </w:r>
        <w:r>
          <w:rPr>
            <w:noProof/>
            <w:webHidden/>
          </w:rPr>
          <w:fldChar w:fldCharType="begin"/>
        </w:r>
        <w:r>
          <w:rPr>
            <w:noProof/>
            <w:webHidden/>
          </w:rPr>
          <w:instrText xml:space="preserve"> PAGEREF _Toc215131855 \h </w:instrText>
        </w:r>
        <w:r>
          <w:rPr>
            <w:noProof/>
            <w:webHidden/>
          </w:rPr>
        </w:r>
        <w:r>
          <w:rPr>
            <w:noProof/>
            <w:webHidden/>
          </w:rPr>
          <w:fldChar w:fldCharType="separate"/>
        </w:r>
        <w:r>
          <w:rPr>
            <w:noProof/>
            <w:webHidden/>
          </w:rPr>
          <w:t>164</w:t>
        </w:r>
        <w:r>
          <w:rPr>
            <w:noProof/>
            <w:webHidden/>
          </w:rPr>
          <w:fldChar w:fldCharType="end"/>
        </w:r>
      </w:hyperlink>
    </w:p>
    <w:p w14:paraId="7AFAE4FB" w14:textId="71ECBC5B" w:rsidR="008B44A1" w:rsidRDefault="008B44A1">
      <w:pPr>
        <w:pStyle w:val="TM3"/>
        <w:rPr>
          <w:rFonts w:asciiTheme="minorHAnsi" w:eastAsiaTheme="minorEastAsia" w:hAnsiTheme="minorHAnsi" w:cstheme="minorBidi"/>
          <w:noProof/>
          <w:lang w:eastAsia="fr-FR" w:bidi="ar-SA"/>
        </w:rPr>
      </w:pPr>
      <w:hyperlink w:anchor="_Toc215131856" w:history="1">
        <w:r w:rsidRPr="00B27C46">
          <w:rPr>
            <w:rStyle w:val="Lienhypertexte"/>
            <w:noProof/>
          </w:rPr>
          <w:t>6.4.8.</w:t>
        </w:r>
        <w:r>
          <w:rPr>
            <w:rFonts w:asciiTheme="minorHAnsi" w:eastAsiaTheme="minorEastAsia" w:hAnsiTheme="minorHAnsi" w:cstheme="minorBidi"/>
            <w:noProof/>
            <w:lang w:eastAsia="fr-FR" w:bidi="ar-SA"/>
          </w:rPr>
          <w:tab/>
        </w:r>
        <w:r w:rsidRPr="00B27C46">
          <w:rPr>
            <w:rStyle w:val="Lienhypertexte"/>
            <w:noProof/>
          </w:rPr>
          <w:t>Chiroptères</w:t>
        </w:r>
        <w:r>
          <w:rPr>
            <w:noProof/>
            <w:webHidden/>
          </w:rPr>
          <w:tab/>
        </w:r>
        <w:r>
          <w:rPr>
            <w:noProof/>
            <w:webHidden/>
          </w:rPr>
          <w:fldChar w:fldCharType="begin"/>
        </w:r>
        <w:r>
          <w:rPr>
            <w:noProof/>
            <w:webHidden/>
          </w:rPr>
          <w:instrText xml:space="preserve"> PAGEREF _Toc215131856 \h </w:instrText>
        </w:r>
        <w:r>
          <w:rPr>
            <w:noProof/>
            <w:webHidden/>
          </w:rPr>
        </w:r>
        <w:r>
          <w:rPr>
            <w:noProof/>
            <w:webHidden/>
          </w:rPr>
          <w:fldChar w:fldCharType="separate"/>
        </w:r>
        <w:r>
          <w:rPr>
            <w:noProof/>
            <w:webHidden/>
          </w:rPr>
          <w:t>166</w:t>
        </w:r>
        <w:r>
          <w:rPr>
            <w:noProof/>
            <w:webHidden/>
          </w:rPr>
          <w:fldChar w:fldCharType="end"/>
        </w:r>
      </w:hyperlink>
    </w:p>
    <w:p w14:paraId="062F6E8B" w14:textId="132D66FE" w:rsidR="008B44A1" w:rsidRDefault="008B44A1">
      <w:pPr>
        <w:pStyle w:val="TM3"/>
        <w:rPr>
          <w:rFonts w:asciiTheme="minorHAnsi" w:eastAsiaTheme="minorEastAsia" w:hAnsiTheme="minorHAnsi" w:cstheme="minorBidi"/>
          <w:noProof/>
          <w:lang w:eastAsia="fr-FR" w:bidi="ar-SA"/>
        </w:rPr>
      </w:pPr>
      <w:hyperlink w:anchor="_Toc215131857" w:history="1">
        <w:r w:rsidRPr="00B27C46">
          <w:rPr>
            <w:rStyle w:val="Lienhypertexte"/>
            <w:noProof/>
          </w:rPr>
          <w:t>6.4.9.</w:t>
        </w:r>
        <w:r>
          <w:rPr>
            <w:rFonts w:asciiTheme="minorHAnsi" w:eastAsiaTheme="minorEastAsia" w:hAnsiTheme="minorHAnsi" w:cstheme="minorBidi"/>
            <w:noProof/>
            <w:lang w:eastAsia="fr-FR" w:bidi="ar-SA"/>
          </w:rPr>
          <w:tab/>
        </w:r>
        <w:r w:rsidRPr="00B27C46">
          <w:rPr>
            <w:rStyle w:val="Lienhypertexte"/>
            <w:noProof/>
          </w:rPr>
          <w:t>Herpétofaune</w:t>
        </w:r>
        <w:r>
          <w:rPr>
            <w:noProof/>
            <w:webHidden/>
          </w:rPr>
          <w:tab/>
        </w:r>
        <w:r>
          <w:rPr>
            <w:noProof/>
            <w:webHidden/>
          </w:rPr>
          <w:fldChar w:fldCharType="begin"/>
        </w:r>
        <w:r>
          <w:rPr>
            <w:noProof/>
            <w:webHidden/>
          </w:rPr>
          <w:instrText xml:space="preserve"> PAGEREF _Toc215131857 \h </w:instrText>
        </w:r>
        <w:r>
          <w:rPr>
            <w:noProof/>
            <w:webHidden/>
          </w:rPr>
        </w:r>
        <w:r>
          <w:rPr>
            <w:noProof/>
            <w:webHidden/>
          </w:rPr>
          <w:fldChar w:fldCharType="separate"/>
        </w:r>
        <w:r>
          <w:rPr>
            <w:noProof/>
            <w:webHidden/>
          </w:rPr>
          <w:t>167</w:t>
        </w:r>
        <w:r>
          <w:rPr>
            <w:noProof/>
            <w:webHidden/>
          </w:rPr>
          <w:fldChar w:fldCharType="end"/>
        </w:r>
      </w:hyperlink>
    </w:p>
    <w:p w14:paraId="64B079A0" w14:textId="0A089FD5" w:rsidR="008B44A1" w:rsidRDefault="008B44A1">
      <w:pPr>
        <w:pStyle w:val="TM3"/>
        <w:rPr>
          <w:rFonts w:asciiTheme="minorHAnsi" w:eastAsiaTheme="minorEastAsia" w:hAnsiTheme="minorHAnsi" w:cstheme="minorBidi"/>
          <w:noProof/>
          <w:lang w:eastAsia="fr-FR" w:bidi="ar-SA"/>
        </w:rPr>
      </w:pPr>
      <w:hyperlink w:anchor="_Toc215131858" w:history="1">
        <w:r w:rsidRPr="00B27C46">
          <w:rPr>
            <w:rStyle w:val="Lienhypertexte"/>
            <w:noProof/>
          </w:rPr>
          <w:t>6.4.10.</w:t>
        </w:r>
        <w:r>
          <w:rPr>
            <w:rFonts w:asciiTheme="minorHAnsi" w:eastAsiaTheme="minorEastAsia" w:hAnsiTheme="minorHAnsi" w:cstheme="minorBidi"/>
            <w:noProof/>
            <w:lang w:eastAsia="fr-FR" w:bidi="ar-SA"/>
          </w:rPr>
          <w:tab/>
        </w:r>
        <w:r w:rsidRPr="00B27C46">
          <w:rPr>
            <w:rStyle w:val="Lienhypertexte"/>
            <w:noProof/>
          </w:rPr>
          <w:t>Espaces protégés et SIBEs</w:t>
        </w:r>
        <w:r>
          <w:rPr>
            <w:noProof/>
            <w:webHidden/>
          </w:rPr>
          <w:tab/>
        </w:r>
        <w:r>
          <w:rPr>
            <w:noProof/>
            <w:webHidden/>
          </w:rPr>
          <w:fldChar w:fldCharType="begin"/>
        </w:r>
        <w:r>
          <w:rPr>
            <w:noProof/>
            <w:webHidden/>
          </w:rPr>
          <w:instrText xml:space="preserve"> PAGEREF _Toc215131858 \h </w:instrText>
        </w:r>
        <w:r>
          <w:rPr>
            <w:noProof/>
            <w:webHidden/>
          </w:rPr>
        </w:r>
        <w:r>
          <w:rPr>
            <w:noProof/>
            <w:webHidden/>
          </w:rPr>
          <w:fldChar w:fldCharType="separate"/>
        </w:r>
        <w:r>
          <w:rPr>
            <w:noProof/>
            <w:webHidden/>
          </w:rPr>
          <w:t>169</w:t>
        </w:r>
        <w:r>
          <w:rPr>
            <w:noProof/>
            <w:webHidden/>
          </w:rPr>
          <w:fldChar w:fldCharType="end"/>
        </w:r>
      </w:hyperlink>
    </w:p>
    <w:p w14:paraId="6136D2A1" w14:textId="65FEB8EF" w:rsidR="008B44A1" w:rsidRDefault="008B44A1">
      <w:pPr>
        <w:pStyle w:val="TM2"/>
        <w:rPr>
          <w:rFonts w:asciiTheme="minorHAnsi" w:eastAsiaTheme="minorEastAsia" w:hAnsiTheme="minorHAnsi" w:cstheme="minorBidi"/>
          <w:noProof/>
          <w:lang w:eastAsia="fr-FR" w:bidi="ar-SA"/>
        </w:rPr>
      </w:pPr>
      <w:hyperlink w:anchor="_Toc215131859" w:history="1">
        <w:r w:rsidRPr="00B27C46">
          <w:rPr>
            <w:rStyle w:val="Lienhypertexte"/>
            <w:noProof/>
            <w:lang w:val="fr-MA"/>
          </w:rPr>
          <w:t>6.5.</w:t>
        </w:r>
        <w:r>
          <w:rPr>
            <w:rFonts w:asciiTheme="minorHAnsi" w:eastAsiaTheme="minorEastAsia" w:hAnsiTheme="minorHAnsi" w:cstheme="minorBidi"/>
            <w:noProof/>
            <w:lang w:eastAsia="fr-FR" w:bidi="ar-SA"/>
          </w:rPr>
          <w:tab/>
        </w:r>
        <w:r w:rsidRPr="00B27C46">
          <w:rPr>
            <w:rStyle w:val="Lienhypertexte"/>
            <w:noProof/>
            <w:lang w:val="fr-MA"/>
          </w:rPr>
          <w:t>Milieu humain</w:t>
        </w:r>
        <w:r>
          <w:rPr>
            <w:noProof/>
            <w:webHidden/>
          </w:rPr>
          <w:tab/>
        </w:r>
        <w:r>
          <w:rPr>
            <w:noProof/>
            <w:webHidden/>
          </w:rPr>
          <w:fldChar w:fldCharType="begin"/>
        </w:r>
        <w:r>
          <w:rPr>
            <w:noProof/>
            <w:webHidden/>
          </w:rPr>
          <w:instrText xml:space="preserve"> PAGEREF _Toc215131859 \h </w:instrText>
        </w:r>
        <w:r>
          <w:rPr>
            <w:noProof/>
            <w:webHidden/>
          </w:rPr>
        </w:r>
        <w:r>
          <w:rPr>
            <w:noProof/>
            <w:webHidden/>
          </w:rPr>
          <w:fldChar w:fldCharType="separate"/>
        </w:r>
        <w:r>
          <w:rPr>
            <w:noProof/>
            <w:webHidden/>
          </w:rPr>
          <w:t>172</w:t>
        </w:r>
        <w:r>
          <w:rPr>
            <w:noProof/>
            <w:webHidden/>
          </w:rPr>
          <w:fldChar w:fldCharType="end"/>
        </w:r>
      </w:hyperlink>
    </w:p>
    <w:p w14:paraId="0F3B4CB9" w14:textId="73D7CF69" w:rsidR="008B44A1" w:rsidRDefault="008B44A1">
      <w:pPr>
        <w:pStyle w:val="TM3"/>
        <w:rPr>
          <w:rFonts w:asciiTheme="minorHAnsi" w:eastAsiaTheme="minorEastAsia" w:hAnsiTheme="minorHAnsi" w:cstheme="minorBidi"/>
          <w:noProof/>
          <w:lang w:eastAsia="fr-FR" w:bidi="ar-SA"/>
        </w:rPr>
      </w:pPr>
      <w:hyperlink w:anchor="_Toc215131860" w:history="1">
        <w:r w:rsidRPr="00B27C46">
          <w:rPr>
            <w:rStyle w:val="Lienhypertexte"/>
            <w:noProof/>
            <w:lang w:val="fr-MA"/>
          </w:rPr>
          <w:t>6.5.1.</w:t>
        </w:r>
        <w:r>
          <w:rPr>
            <w:rFonts w:asciiTheme="minorHAnsi" w:eastAsiaTheme="minorEastAsia" w:hAnsiTheme="minorHAnsi" w:cstheme="minorBidi"/>
            <w:noProof/>
            <w:lang w:eastAsia="fr-FR" w:bidi="ar-SA"/>
          </w:rPr>
          <w:tab/>
        </w:r>
        <w:r w:rsidRPr="00B27C46">
          <w:rPr>
            <w:rStyle w:val="Lienhypertexte"/>
            <w:noProof/>
            <w:lang w:val="fr-MA"/>
          </w:rPr>
          <w:t>Découpage administratif</w:t>
        </w:r>
        <w:r>
          <w:rPr>
            <w:noProof/>
            <w:webHidden/>
          </w:rPr>
          <w:tab/>
        </w:r>
        <w:r>
          <w:rPr>
            <w:noProof/>
            <w:webHidden/>
          </w:rPr>
          <w:fldChar w:fldCharType="begin"/>
        </w:r>
        <w:r>
          <w:rPr>
            <w:noProof/>
            <w:webHidden/>
          </w:rPr>
          <w:instrText xml:space="preserve"> PAGEREF _Toc215131860 \h </w:instrText>
        </w:r>
        <w:r>
          <w:rPr>
            <w:noProof/>
            <w:webHidden/>
          </w:rPr>
        </w:r>
        <w:r>
          <w:rPr>
            <w:noProof/>
            <w:webHidden/>
          </w:rPr>
          <w:fldChar w:fldCharType="separate"/>
        </w:r>
        <w:r>
          <w:rPr>
            <w:noProof/>
            <w:webHidden/>
          </w:rPr>
          <w:t>172</w:t>
        </w:r>
        <w:r>
          <w:rPr>
            <w:noProof/>
            <w:webHidden/>
          </w:rPr>
          <w:fldChar w:fldCharType="end"/>
        </w:r>
      </w:hyperlink>
    </w:p>
    <w:p w14:paraId="70FB0DB3" w14:textId="01705B02" w:rsidR="008B44A1" w:rsidRDefault="008B44A1">
      <w:pPr>
        <w:pStyle w:val="TM3"/>
        <w:rPr>
          <w:rFonts w:asciiTheme="minorHAnsi" w:eastAsiaTheme="minorEastAsia" w:hAnsiTheme="minorHAnsi" w:cstheme="minorBidi"/>
          <w:noProof/>
          <w:lang w:eastAsia="fr-FR" w:bidi="ar-SA"/>
        </w:rPr>
      </w:pPr>
      <w:hyperlink w:anchor="_Toc215131861" w:history="1">
        <w:r w:rsidRPr="00B27C46">
          <w:rPr>
            <w:rStyle w:val="Lienhypertexte"/>
            <w:noProof/>
          </w:rPr>
          <w:t>6.5.2.</w:t>
        </w:r>
        <w:r>
          <w:rPr>
            <w:rFonts w:asciiTheme="minorHAnsi" w:eastAsiaTheme="minorEastAsia" w:hAnsiTheme="minorHAnsi" w:cstheme="minorBidi"/>
            <w:noProof/>
            <w:lang w:eastAsia="fr-FR" w:bidi="ar-SA"/>
          </w:rPr>
          <w:tab/>
        </w:r>
        <w:r w:rsidRPr="00B27C46">
          <w:rPr>
            <w:rStyle w:val="Lienhypertexte"/>
            <w:noProof/>
          </w:rPr>
          <w:t>Caractérisation socio-démographiques</w:t>
        </w:r>
        <w:r>
          <w:rPr>
            <w:noProof/>
            <w:webHidden/>
          </w:rPr>
          <w:tab/>
        </w:r>
        <w:r>
          <w:rPr>
            <w:noProof/>
            <w:webHidden/>
          </w:rPr>
          <w:fldChar w:fldCharType="begin"/>
        </w:r>
        <w:r>
          <w:rPr>
            <w:noProof/>
            <w:webHidden/>
          </w:rPr>
          <w:instrText xml:space="preserve"> PAGEREF _Toc215131861 \h </w:instrText>
        </w:r>
        <w:r>
          <w:rPr>
            <w:noProof/>
            <w:webHidden/>
          </w:rPr>
        </w:r>
        <w:r>
          <w:rPr>
            <w:noProof/>
            <w:webHidden/>
          </w:rPr>
          <w:fldChar w:fldCharType="separate"/>
        </w:r>
        <w:r>
          <w:rPr>
            <w:noProof/>
            <w:webHidden/>
          </w:rPr>
          <w:t>174</w:t>
        </w:r>
        <w:r>
          <w:rPr>
            <w:noProof/>
            <w:webHidden/>
          </w:rPr>
          <w:fldChar w:fldCharType="end"/>
        </w:r>
      </w:hyperlink>
    </w:p>
    <w:p w14:paraId="6A498A94" w14:textId="26B4ECAF" w:rsidR="008B44A1" w:rsidRDefault="008B44A1">
      <w:pPr>
        <w:pStyle w:val="TM3"/>
        <w:rPr>
          <w:rFonts w:asciiTheme="minorHAnsi" w:eastAsiaTheme="minorEastAsia" w:hAnsiTheme="minorHAnsi" w:cstheme="minorBidi"/>
          <w:noProof/>
          <w:lang w:eastAsia="fr-FR" w:bidi="ar-SA"/>
        </w:rPr>
      </w:pPr>
      <w:hyperlink w:anchor="_Toc215131862" w:history="1">
        <w:r w:rsidRPr="00B27C46">
          <w:rPr>
            <w:rStyle w:val="Lienhypertexte"/>
            <w:noProof/>
          </w:rPr>
          <w:t>6.5.3.</w:t>
        </w:r>
        <w:r>
          <w:rPr>
            <w:rFonts w:asciiTheme="minorHAnsi" w:eastAsiaTheme="minorEastAsia" w:hAnsiTheme="minorHAnsi" w:cstheme="minorBidi"/>
            <w:noProof/>
            <w:lang w:eastAsia="fr-FR" w:bidi="ar-SA"/>
          </w:rPr>
          <w:tab/>
        </w:r>
        <w:r w:rsidRPr="00B27C46">
          <w:rPr>
            <w:rStyle w:val="Lienhypertexte"/>
            <w:noProof/>
          </w:rPr>
          <w:t>Caractéristiques socio-économiques</w:t>
        </w:r>
        <w:r>
          <w:rPr>
            <w:noProof/>
            <w:webHidden/>
          </w:rPr>
          <w:tab/>
        </w:r>
        <w:r>
          <w:rPr>
            <w:noProof/>
            <w:webHidden/>
          </w:rPr>
          <w:fldChar w:fldCharType="begin"/>
        </w:r>
        <w:r>
          <w:rPr>
            <w:noProof/>
            <w:webHidden/>
          </w:rPr>
          <w:instrText xml:space="preserve"> PAGEREF _Toc215131862 \h </w:instrText>
        </w:r>
        <w:r>
          <w:rPr>
            <w:noProof/>
            <w:webHidden/>
          </w:rPr>
        </w:r>
        <w:r>
          <w:rPr>
            <w:noProof/>
            <w:webHidden/>
          </w:rPr>
          <w:fldChar w:fldCharType="separate"/>
        </w:r>
        <w:r>
          <w:rPr>
            <w:noProof/>
            <w:webHidden/>
          </w:rPr>
          <w:t>181</w:t>
        </w:r>
        <w:r>
          <w:rPr>
            <w:noProof/>
            <w:webHidden/>
          </w:rPr>
          <w:fldChar w:fldCharType="end"/>
        </w:r>
      </w:hyperlink>
    </w:p>
    <w:p w14:paraId="22564807" w14:textId="0801DBD2" w:rsidR="008B44A1" w:rsidRDefault="008B44A1">
      <w:pPr>
        <w:pStyle w:val="TM1"/>
        <w:tabs>
          <w:tab w:val="left" w:pos="440"/>
          <w:tab w:val="right" w:leader="dot" w:pos="9062"/>
        </w:tabs>
        <w:rPr>
          <w:rFonts w:asciiTheme="minorHAnsi" w:eastAsiaTheme="minorEastAsia" w:hAnsiTheme="minorHAnsi" w:cstheme="minorBidi"/>
          <w:noProof/>
          <w:lang w:eastAsia="fr-FR" w:bidi="ar-SA"/>
        </w:rPr>
      </w:pPr>
      <w:hyperlink w:anchor="_Toc215131863" w:history="1">
        <w:r w:rsidRPr="00B27C46">
          <w:rPr>
            <w:rStyle w:val="Lienhypertexte"/>
            <w:noProof/>
          </w:rPr>
          <w:t>7.</w:t>
        </w:r>
        <w:r>
          <w:rPr>
            <w:rFonts w:asciiTheme="minorHAnsi" w:eastAsiaTheme="minorEastAsia" w:hAnsiTheme="minorHAnsi" w:cstheme="minorBidi"/>
            <w:noProof/>
            <w:lang w:eastAsia="fr-FR" w:bidi="ar-SA"/>
          </w:rPr>
          <w:tab/>
        </w:r>
        <w:r w:rsidRPr="00B27C46">
          <w:rPr>
            <w:rStyle w:val="Lienhypertexte"/>
            <w:noProof/>
          </w:rPr>
          <w:t xml:space="preserve">Impacts </w:t>
        </w:r>
        <w:r w:rsidRPr="00B27C46">
          <w:rPr>
            <w:rStyle w:val="Lienhypertexte"/>
            <w:rFonts w:cs="Times New Roman"/>
            <w:noProof/>
          </w:rPr>
          <w:t>environnementaux</w:t>
        </w:r>
        <w:r w:rsidRPr="00B27C46">
          <w:rPr>
            <w:rStyle w:val="Lienhypertexte"/>
            <w:noProof/>
          </w:rPr>
          <w:t xml:space="preserve"> et sociaux</w:t>
        </w:r>
        <w:r>
          <w:rPr>
            <w:noProof/>
            <w:webHidden/>
          </w:rPr>
          <w:tab/>
        </w:r>
        <w:r>
          <w:rPr>
            <w:noProof/>
            <w:webHidden/>
          </w:rPr>
          <w:fldChar w:fldCharType="begin"/>
        </w:r>
        <w:r>
          <w:rPr>
            <w:noProof/>
            <w:webHidden/>
          </w:rPr>
          <w:instrText xml:space="preserve"> PAGEREF _Toc215131863 \h </w:instrText>
        </w:r>
        <w:r>
          <w:rPr>
            <w:noProof/>
            <w:webHidden/>
          </w:rPr>
        </w:r>
        <w:r>
          <w:rPr>
            <w:noProof/>
            <w:webHidden/>
          </w:rPr>
          <w:fldChar w:fldCharType="separate"/>
        </w:r>
        <w:r>
          <w:rPr>
            <w:noProof/>
            <w:webHidden/>
          </w:rPr>
          <w:t>187</w:t>
        </w:r>
        <w:r>
          <w:rPr>
            <w:noProof/>
            <w:webHidden/>
          </w:rPr>
          <w:fldChar w:fldCharType="end"/>
        </w:r>
      </w:hyperlink>
    </w:p>
    <w:p w14:paraId="6315FC79" w14:textId="2F159D3B" w:rsidR="008B44A1" w:rsidRDefault="008B44A1">
      <w:pPr>
        <w:pStyle w:val="TM2"/>
        <w:rPr>
          <w:rFonts w:asciiTheme="minorHAnsi" w:eastAsiaTheme="minorEastAsia" w:hAnsiTheme="minorHAnsi" w:cstheme="minorBidi"/>
          <w:noProof/>
          <w:lang w:eastAsia="fr-FR" w:bidi="ar-SA"/>
        </w:rPr>
      </w:pPr>
      <w:hyperlink w:anchor="_Toc215131864" w:history="1">
        <w:r w:rsidRPr="00B27C46">
          <w:rPr>
            <w:rStyle w:val="Lienhypertexte"/>
            <w:noProof/>
          </w:rPr>
          <w:t>7.1.</w:t>
        </w:r>
        <w:r>
          <w:rPr>
            <w:rFonts w:asciiTheme="minorHAnsi" w:eastAsiaTheme="minorEastAsia" w:hAnsiTheme="minorHAnsi" w:cstheme="minorBidi"/>
            <w:noProof/>
            <w:lang w:eastAsia="fr-FR" w:bidi="ar-SA"/>
          </w:rPr>
          <w:tab/>
        </w:r>
        <w:r w:rsidRPr="00B27C46">
          <w:rPr>
            <w:rStyle w:val="Lienhypertexte"/>
            <w:noProof/>
          </w:rPr>
          <w:t>Approche méthodologique</w:t>
        </w:r>
        <w:r>
          <w:rPr>
            <w:noProof/>
            <w:webHidden/>
          </w:rPr>
          <w:tab/>
        </w:r>
        <w:r>
          <w:rPr>
            <w:noProof/>
            <w:webHidden/>
          </w:rPr>
          <w:fldChar w:fldCharType="begin"/>
        </w:r>
        <w:r>
          <w:rPr>
            <w:noProof/>
            <w:webHidden/>
          </w:rPr>
          <w:instrText xml:space="preserve"> PAGEREF _Toc215131864 \h </w:instrText>
        </w:r>
        <w:r>
          <w:rPr>
            <w:noProof/>
            <w:webHidden/>
          </w:rPr>
        </w:r>
        <w:r>
          <w:rPr>
            <w:noProof/>
            <w:webHidden/>
          </w:rPr>
          <w:fldChar w:fldCharType="separate"/>
        </w:r>
        <w:r>
          <w:rPr>
            <w:noProof/>
            <w:webHidden/>
          </w:rPr>
          <w:t>187</w:t>
        </w:r>
        <w:r>
          <w:rPr>
            <w:noProof/>
            <w:webHidden/>
          </w:rPr>
          <w:fldChar w:fldCharType="end"/>
        </w:r>
      </w:hyperlink>
    </w:p>
    <w:p w14:paraId="5D83962E" w14:textId="7FD14E3C" w:rsidR="008B44A1" w:rsidRDefault="008B44A1">
      <w:pPr>
        <w:pStyle w:val="TM3"/>
        <w:rPr>
          <w:rFonts w:asciiTheme="minorHAnsi" w:eastAsiaTheme="minorEastAsia" w:hAnsiTheme="minorHAnsi" w:cstheme="minorBidi"/>
          <w:noProof/>
          <w:lang w:eastAsia="fr-FR" w:bidi="ar-SA"/>
        </w:rPr>
      </w:pPr>
      <w:hyperlink w:anchor="_Toc215131865" w:history="1">
        <w:r w:rsidRPr="00B27C46">
          <w:rPr>
            <w:rStyle w:val="Lienhypertexte"/>
            <w:noProof/>
          </w:rPr>
          <w:t>7.1.1.</w:t>
        </w:r>
        <w:r>
          <w:rPr>
            <w:rFonts w:asciiTheme="minorHAnsi" w:eastAsiaTheme="minorEastAsia" w:hAnsiTheme="minorHAnsi" w:cstheme="minorBidi"/>
            <w:noProof/>
            <w:lang w:eastAsia="fr-FR" w:bidi="ar-SA"/>
          </w:rPr>
          <w:tab/>
        </w:r>
        <w:r w:rsidRPr="00B27C46">
          <w:rPr>
            <w:rStyle w:val="Lienhypertexte"/>
            <w:noProof/>
          </w:rPr>
          <w:t>Préambule</w:t>
        </w:r>
        <w:r>
          <w:rPr>
            <w:noProof/>
            <w:webHidden/>
          </w:rPr>
          <w:tab/>
        </w:r>
        <w:r>
          <w:rPr>
            <w:noProof/>
            <w:webHidden/>
          </w:rPr>
          <w:fldChar w:fldCharType="begin"/>
        </w:r>
        <w:r>
          <w:rPr>
            <w:noProof/>
            <w:webHidden/>
          </w:rPr>
          <w:instrText xml:space="preserve"> PAGEREF _Toc215131865 \h </w:instrText>
        </w:r>
        <w:r>
          <w:rPr>
            <w:noProof/>
            <w:webHidden/>
          </w:rPr>
        </w:r>
        <w:r>
          <w:rPr>
            <w:noProof/>
            <w:webHidden/>
          </w:rPr>
          <w:fldChar w:fldCharType="separate"/>
        </w:r>
        <w:r>
          <w:rPr>
            <w:noProof/>
            <w:webHidden/>
          </w:rPr>
          <w:t>187</w:t>
        </w:r>
        <w:r>
          <w:rPr>
            <w:noProof/>
            <w:webHidden/>
          </w:rPr>
          <w:fldChar w:fldCharType="end"/>
        </w:r>
      </w:hyperlink>
    </w:p>
    <w:p w14:paraId="1C2555F4" w14:textId="3B683D51" w:rsidR="008B44A1" w:rsidRDefault="008B44A1">
      <w:pPr>
        <w:pStyle w:val="TM3"/>
        <w:rPr>
          <w:rFonts w:asciiTheme="minorHAnsi" w:eastAsiaTheme="minorEastAsia" w:hAnsiTheme="minorHAnsi" w:cstheme="minorBidi"/>
          <w:noProof/>
          <w:lang w:eastAsia="fr-FR" w:bidi="ar-SA"/>
        </w:rPr>
      </w:pPr>
      <w:hyperlink w:anchor="_Toc215131866" w:history="1">
        <w:r w:rsidRPr="00B27C46">
          <w:rPr>
            <w:rStyle w:val="Lienhypertexte"/>
            <w:noProof/>
          </w:rPr>
          <w:t>7.1.2.</w:t>
        </w:r>
        <w:r>
          <w:rPr>
            <w:rFonts w:asciiTheme="minorHAnsi" w:eastAsiaTheme="minorEastAsia" w:hAnsiTheme="minorHAnsi" w:cstheme="minorBidi"/>
            <w:noProof/>
            <w:lang w:eastAsia="fr-FR" w:bidi="ar-SA"/>
          </w:rPr>
          <w:tab/>
        </w:r>
        <w:r w:rsidRPr="00B27C46">
          <w:rPr>
            <w:rStyle w:val="Lienhypertexte"/>
            <w:noProof/>
          </w:rPr>
          <w:t>Prédiction de l’intensité des impacts</w:t>
        </w:r>
        <w:r>
          <w:rPr>
            <w:noProof/>
            <w:webHidden/>
          </w:rPr>
          <w:tab/>
        </w:r>
        <w:r>
          <w:rPr>
            <w:noProof/>
            <w:webHidden/>
          </w:rPr>
          <w:fldChar w:fldCharType="begin"/>
        </w:r>
        <w:r>
          <w:rPr>
            <w:noProof/>
            <w:webHidden/>
          </w:rPr>
          <w:instrText xml:space="preserve"> PAGEREF _Toc215131866 \h </w:instrText>
        </w:r>
        <w:r>
          <w:rPr>
            <w:noProof/>
            <w:webHidden/>
          </w:rPr>
        </w:r>
        <w:r>
          <w:rPr>
            <w:noProof/>
            <w:webHidden/>
          </w:rPr>
          <w:fldChar w:fldCharType="separate"/>
        </w:r>
        <w:r>
          <w:rPr>
            <w:noProof/>
            <w:webHidden/>
          </w:rPr>
          <w:t>187</w:t>
        </w:r>
        <w:r>
          <w:rPr>
            <w:noProof/>
            <w:webHidden/>
          </w:rPr>
          <w:fldChar w:fldCharType="end"/>
        </w:r>
      </w:hyperlink>
    </w:p>
    <w:p w14:paraId="5F5F330D" w14:textId="20E09239" w:rsidR="008B44A1" w:rsidRDefault="008B44A1">
      <w:pPr>
        <w:pStyle w:val="TM3"/>
        <w:rPr>
          <w:rFonts w:asciiTheme="minorHAnsi" w:eastAsiaTheme="minorEastAsia" w:hAnsiTheme="minorHAnsi" w:cstheme="minorBidi"/>
          <w:noProof/>
          <w:lang w:eastAsia="fr-FR" w:bidi="ar-SA"/>
        </w:rPr>
      </w:pPr>
      <w:hyperlink w:anchor="_Toc215131867" w:history="1">
        <w:r w:rsidRPr="00B27C46">
          <w:rPr>
            <w:rStyle w:val="Lienhypertexte"/>
            <w:noProof/>
          </w:rPr>
          <w:t>7.1.3.</w:t>
        </w:r>
        <w:r>
          <w:rPr>
            <w:rFonts w:asciiTheme="minorHAnsi" w:eastAsiaTheme="minorEastAsia" w:hAnsiTheme="minorHAnsi" w:cstheme="minorBidi"/>
            <w:noProof/>
            <w:lang w:eastAsia="fr-FR" w:bidi="ar-SA"/>
          </w:rPr>
          <w:tab/>
        </w:r>
        <w:r w:rsidRPr="00B27C46">
          <w:rPr>
            <w:rStyle w:val="Lienhypertexte"/>
            <w:noProof/>
          </w:rPr>
          <w:t>Sensibilité/Vulnérabilité/Importance des ressources et récepteurs</w:t>
        </w:r>
        <w:r>
          <w:rPr>
            <w:noProof/>
            <w:webHidden/>
          </w:rPr>
          <w:tab/>
        </w:r>
        <w:r>
          <w:rPr>
            <w:noProof/>
            <w:webHidden/>
          </w:rPr>
          <w:fldChar w:fldCharType="begin"/>
        </w:r>
        <w:r>
          <w:rPr>
            <w:noProof/>
            <w:webHidden/>
          </w:rPr>
          <w:instrText xml:space="preserve"> PAGEREF _Toc215131867 \h </w:instrText>
        </w:r>
        <w:r>
          <w:rPr>
            <w:noProof/>
            <w:webHidden/>
          </w:rPr>
        </w:r>
        <w:r>
          <w:rPr>
            <w:noProof/>
            <w:webHidden/>
          </w:rPr>
          <w:fldChar w:fldCharType="separate"/>
        </w:r>
        <w:r>
          <w:rPr>
            <w:noProof/>
            <w:webHidden/>
          </w:rPr>
          <w:t>189</w:t>
        </w:r>
        <w:r>
          <w:rPr>
            <w:noProof/>
            <w:webHidden/>
          </w:rPr>
          <w:fldChar w:fldCharType="end"/>
        </w:r>
      </w:hyperlink>
    </w:p>
    <w:p w14:paraId="62366984" w14:textId="38083403" w:rsidR="008B44A1" w:rsidRDefault="008B44A1">
      <w:pPr>
        <w:pStyle w:val="TM3"/>
        <w:rPr>
          <w:rFonts w:asciiTheme="minorHAnsi" w:eastAsiaTheme="minorEastAsia" w:hAnsiTheme="minorHAnsi" w:cstheme="minorBidi"/>
          <w:noProof/>
          <w:lang w:eastAsia="fr-FR" w:bidi="ar-SA"/>
        </w:rPr>
      </w:pPr>
      <w:hyperlink w:anchor="_Toc215131868" w:history="1">
        <w:r w:rsidRPr="00B27C46">
          <w:rPr>
            <w:rStyle w:val="Lienhypertexte"/>
            <w:noProof/>
          </w:rPr>
          <w:t>7.1.4.</w:t>
        </w:r>
        <w:r>
          <w:rPr>
            <w:rFonts w:asciiTheme="minorHAnsi" w:eastAsiaTheme="minorEastAsia" w:hAnsiTheme="minorHAnsi" w:cstheme="minorBidi"/>
            <w:noProof/>
            <w:lang w:eastAsia="fr-FR" w:bidi="ar-SA"/>
          </w:rPr>
          <w:tab/>
        </w:r>
        <w:r w:rsidRPr="00B27C46">
          <w:rPr>
            <w:rStyle w:val="Lienhypertexte"/>
            <w:noProof/>
          </w:rPr>
          <w:t>Évaluation de la sévérité des impacts</w:t>
        </w:r>
        <w:r>
          <w:rPr>
            <w:noProof/>
            <w:webHidden/>
          </w:rPr>
          <w:tab/>
        </w:r>
        <w:r>
          <w:rPr>
            <w:noProof/>
            <w:webHidden/>
          </w:rPr>
          <w:fldChar w:fldCharType="begin"/>
        </w:r>
        <w:r>
          <w:rPr>
            <w:noProof/>
            <w:webHidden/>
          </w:rPr>
          <w:instrText xml:space="preserve"> PAGEREF _Toc215131868 \h </w:instrText>
        </w:r>
        <w:r>
          <w:rPr>
            <w:noProof/>
            <w:webHidden/>
          </w:rPr>
        </w:r>
        <w:r>
          <w:rPr>
            <w:noProof/>
            <w:webHidden/>
          </w:rPr>
          <w:fldChar w:fldCharType="separate"/>
        </w:r>
        <w:r>
          <w:rPr>
            <w:noProof/>
            <w:webHidden/>
          </w:rPr>
          <w:t>189</w:t>
        </w:r>
        <w:r>
          <w:rPr>
            <w:noProof/>
            <w:webHidden/>
          </w:rPr>
          <w:fldChar w:fldCharType="end"/>
        </w:r>
      </w:hyperlink>
    </w:p>
    <w:p w14:paraId="5C7AC717" w14:textId="3E2A8422" w:rsidR="008B44A1" w:rsidRDefault="008B44A1">
      <w:pPr>
        <w:pStyle w:val="TM3"/>
        <w:rPr>
          <w:rFonts w:asciiTheme="minorHAnsi" w:eastAsiaTheme="minorEastAsia" w:hAnsiTheme="minorHAnsi" w:cstheme="minorBidi"/>
          <w:noProof/>
          <w:lang w:eastAsia="fr-FR" w:bidi="ar-SA"/>
        </w:rPr>
      </w:pPr>
      <w:hyperlink w:anchor="_Toc215131869" w:history="1">
        <w:r w:rsidRPr="00B27C46">
          <w:rPr>
            <w:rStyle w:val="Lienhypertexte"/>
            <w:noProof/>
          </w:rPr>
          <w:t>7.1.5.</w:t>
        </w:r>
        <w:r>
          <w:rPr>
            <w:rFonts w:asciiTheme="minorHAnsi" w:eastAsiaTheme="minorEastAsia" w:hAnsiTheme="minorHAnsi" w:cstheme="minorBidi"/>
            <w:noProof/>
            <w:lang w:eastAsia="fr-FR" w:bidi="ar-SA"/>
          </w:rPr>
          <w:tab/>
        </w:r>
        <w:r w:rsidRPr="00B27C46">
          <w:rPr>
            <w:rStyle w:val="Lienhypertexte"/>
            <w:noProof/>
          </w:rPr>
          <w:t>Mesures d’atténuation</w:t>
        </w:r>
        <w:r>
          <w:rPr>
            <w:noProof/>
            <w:webHidden/>
          </w:rPr>
          <w:tab/>
        </w:r>
        <w:r>
          <w:rPr>
            <w:noProof/>
            <w:webHidden/>
          </w:rPr>
          <w:fldChar w:fldCharType="begin"/>
        </w:r>
        <w:r>
          <w:rPr>
            <w:noProof/>
            <w:webHidden/>
          </w:rPr>
          <w:instrText xml:space="preserve"> PAGEREF _Toc215131869 \h </w:instrText>
        </w:r>
        <w:r>
          <w:rPr>
            <w:noProof/>
            <w:webHidden/>
          </w:rPr>
        </w:r>
        <w:r>
          <w:rPr>
            <w:noProof/>
            <w:webHidden/>
          </w:rPr>
          <w:fldChar w:fldCharType="separate"/>
        </w:r>
        <w:r>
          <w:rPr>
            <w:noProof/>
            <w:webHidden/>
          </w:rPr>
          <w:t>190</w:t>
        </w:r>
        <w:r>
          <w:rPr>
            <w:noProof/>
            <w:webHidden/>
          </w:rPr>
          <w:fldChar w:fldCharType="end"/>
        </w:r>
      </w:hyperlink>
    </w:p>
    <w:p w14:paraId="6D34AAE6" w14:textId="376BBAB6" w:rsidR="008B44A1" w:rsidRDefault="008B44A1">
      <w:pPr>
        <w:pStyle w:val="TM3"/>
        <w:rPr>
          <w:rFonts w:asciiTheme="minorHAnsi" w:eastAsiaTheme="minorEastAsia" w:hAnsiTheme="minorHAnsi" w:cstheme="minorBidi"/>
          <w:noProof/>
          <w:lang w:eastAsia="fr-FR" w:bidi="ar-SA"/>
        </w:rPr>
      </w:pPr>
      <w:hyperlink w:anchor="_Toc215131870" w:history="1">
        <w:r w:rsidRPr="00B27C46">
          <w:rPr>
            <w:rStyle w:val="Lienhypertexte"/>
            <w:noProof/>
          </w:rPr>
          <w:t>7.1.6.</w:t>
        </w:r>
        <w:r>
          <w:rPr>
            <w:rFonts w:asciiTheme="minorHAnsi" w:eastAsiaTheme="minorEastAsia" w:hAnsiTheme="minorHAnsi" w:cstheme="minorBidi"/>
            <w:noProof/>
            <w:lang w:eastAsia="fr-FR" w:bidi="ar-SA"/>
          </w:rPr>
          <w:tab/>
        </w:r>
        <w:r w:rsidRPr="00B27C46">
          <w:rPr>
            <w:rStyle w:val="Lienhypertexte"/>
            <w:noProof/>
          </w:rPr>
          <w:t>Sévérité des impacts résiduels</w:t>
        </w:r>
        <w:r>
          <w:rPr>
            <w:noProof/>
            <w:webHidden/>
          </w:rPr>
          <w:tab/>
        </w:r>
        <w:r>
          <w:rPr>
            <w:noProof/>
            <w:webHidden/>
          </w:rPr>
          <w:fldChar w:fldCharType="begin"/>
        </w:r>
        <w:r>
          <w:rPr>
            <w:noProof/>
            <w:webHidden/>
          </w:rPr>
          <w:instrText xml:space="preserve"> PAGEREF _Toc215131870 \h </w:instrText>
        </w:r>
        <w:r>
          <w:rPr>
            <w:noProof/>
            <w:webHidden/>
          </w:rPr>
        </w:r>
        <w:r>
          <w:rPr>
            <w:noProof/>
            <w:webHidden/>
          </w:rPr>
          <w:fldChar w:fldCharType="separate"/>
        </w:r>
        <w:r>
          <w:rPr>
            <w:noProof/>
            <w:webHidden/>
          </w:rPr>
          <w:t>191</w:t>
        </w:r>
        <w:r>
          <w:rPr>
            <w:noProof/>
            <w:webHidden/>
          </w:rPr>
          <w:fldChar w:fldCharType="end"/>
        </w:r>
      </w:hyperlink>
    </w:p>
    <w:p w14:paraId="188D28D3" w14:textId="05400693" w:rsidR="008B44A1" w:rsidRDefault="008B44A1">
      <w:pPr>
        <w:pStyle w:val="TM3"/>
        <w:rPr>
          <w:rFonts w:asciiTheme="minorHAnsi" w:eastAsiaTheme="minorEastAsia" w:hAnsiTheme="minorHAnsi" w:cstheme="minorBidi"/>
          <w:noProof/>
          <w:lang w:eastAsia="fr-FR" w:bidi="ar-SA"/>
        </w:rPr>
      </w:pPr>
      <w:hyperlink w:anchor="_Toc215131871" w:history="1">
        <w:r w:rsidRPr="00B27C46">
          <w:rPr>
            <w:rStyle w:val="Lienhypertexte"/>
            <w:noProof/>
          </w:rPr>
          <w:t>7.1.7.</w:t>
        </w:r>
        <w:r>
          <w:rPr>
            <w:rFonts w:asciiTheme="minorHAnsi" w:eastAsiaTheme="minorEastAsia" w:hAnsiTheme="minorHAnsi" w:cstheme="minorBidi"/>
            <w:noProof/>
            <w:lang w:eastAsia="fr-FR" w:bidi="ar-SA"/>
          </w:rPr>
          <w:tab/>
        </w:r>
        <w:r w:rsidRPr="00B27C46">
          <w:rPr>
            <w:rStyle w:val="Lienhypertexte"/>
            <w:noProof/>
          </w:rPr>
          <w:t>Analyse des risques</w:t>
        </w:r>
        <w:r>
          <w:rPr>
            <w:noProof/>
            <w:webHidden/>
          </w:rPr>
          <w:tab/>
        </w:r>
        <w:r>
          <w:rPr>
            <w:noProof/>
            <w:webHidden/>
          </w:rPr>
          <w:fldChar w:fldCharType="begin"/>
        </w:r>
        <w:r>
          <w:rPr>
            <w:noProof/>
            <w:webHidden/>
          </w:rPr>
          <w:instrText xml:space="preserve"> PAGEREF _Toc215131871 \h </w:instrText>
        </w:r>
        <w:r>
          <w:rPr>
            <w:noProof/>
            <w:webHidden/>
          </w:rPr>
        </w:r>
        <w:r>
          <w:rPr>
            <w:noProof/>
            <w:webHidden/>
          </w:rPr>
          <w:fldChar w:fldCharType="separate"/>
        </w:r>
        <w:r>
          <w:rPr>
            <w:noProof/>
            <w:webHidden/>
          </w:rPr>
          <w:t>192</w:t>
        </w:r>
        <w:r>
          <w:rPr>
            <w:noProof/>
            <w:webHidden/>
          </w:rPr>
          <w:fldChar w:fldCharType="end"/>
        </w:r>
      </w:hyperlink>
    </w:p>
    <w:p w14:paraId="7A63F673" w14:textId="356DF4A6" w:rsidR="008B44A1" w:rsidRDefault="008B44A1">
      <w:pPr>
        <w:pStyle w:val="TM2"/>
        <w:rPr>
          <w:rFonts w:asciiTheme="minorHAnsi" w:eastAsiaTheme="minorEastAsia" w:hAnsiTheme="minorHAnsi" w:cstheme="minorBidi"/>
          <w:noProof/>
          <w:lang w:eastAsia="fr-FR" w:bidi="ar-SA"/>
        </w:rPr>
      </w:pPr>
      <w:hyperlink w:anchor="_Toc215131872" w:history="1">
        <w:r w:rsidRPr="00B27C46">
          <w:rPr>
            <w:rStyle w:val="Lienhypertexte"/>
            <w:noProof/>
          </w:rPr>
          <w:t>7.2.</w:t>
        </w:r>
        <w:r>
          <w:rPr>
            <w:rFonts w:asciiTheme="minorHAnsi" w:eastAsiaTheme="minorEastAsia" w:hAnsiTheme="minorHAnsi" w:cstheme="minorBidi"/>
            <w:noProof/>
            <w:lang w:eastAsia="fr-FR" w:bidi="ar-SA"/>
          </w:rPr>
          <w:tab/>
        </w:r>
        <w:r w:rsidRPr="00B27C46">
          <w:rPr>
            <w:rStyle w:val="Lienhypertexte"/>
            <w:noProof/>
          </w:rPr>
          <w:t>Inventaire des sources d’impacts potentiels</w:t>
        </w:r>
        <w:r>
          <w:rPr>
            <w:noProof/>
            <w:webHidden/>
          </w:rPr>
          <w:tab/>
        </w:r>
        <w:r>
          <w:rPr>
            <w:noProof/>
            <w:webHidden/>
          </w:rPr>
          <w:fldChar w:fldCharType="begin"/>
        </w:r>
        <w:r>
          <w:rPr>
            <w:noProof/>
            <w:webHidden/>
          </w:rPr>
          <w:instrText xml:space="preserve"> PAGEREF _Toc215131872 \h </w:instrText>
        </w:r>
        <w:r>
          <w:rPr>
            <w:noProof/>
            <w:webHidden/>
          </w:rPr>
        </w:r>
        <w:r>
          <w:rPr>
            <w:noProof/>
            <w:webHidden/>
          </w:rPr>
          <w:fldChar w:fldCharType="separate"/>
        </w:r>
        <w:r>
          <w:rPr>
            <w:noProof/>
            <w:webHidden/>
          </w:rPr>
          <w:t>193</w:t>
        </w:r>
        <w:r>
          <w:rPr>
            <w:noProof/>
            <w:webHidden/>
          </w:rPr>
          <w:fldChar w:fldCharType="end"/>
        </w:r>
      </w:hyperlink>
    </w:p>
    <w:p w14:paraId="67F284C6" w14:textId="67645B6C" w:rsidR="008B44A1" w:rsidRDefault="008B44A1">
      <w:pPr>
        <w:pStyle w:val="TM2"/>
        <w:rPr>
          <w:rFonts w:asciiTheme="minorHAnsi" w:eastAsiaTheme="minorEastAsia" w:hAnsiTheme="minorHAnsi" w:cstheme="minorBidi"/>
          <w:noProof/>
          <w:lang w:eastAsia="fr-FR" w:bidi="ar-SA"/>
        </w:rPr>
      </w:pPr>
      <w:hyperlink w:anchor="_Toc215131873" w:history="1">
        <w:r w:rsidRPr="00B27C46">
          <w:rPr>
            <w:rStyle w:val="Lienhypertexte"/>
            <w:noProof/>
          </w:rPr>
          <w:t>7.3.</w:t>
        </w:r>
        <w:r>
          <w:rPr>
            <w:rFonts w:asciiTheme="minorHAnsi" w:eastAsiaTheme="minorEastAsia" w:hAnsiTheme="minorHAnsi" w:cstheme="minorBidi"/>
            <w:noProof/>
            <w:lang w:eastAsia="fr-FR" w:bidi="ar-SA"/>
          </w:rPr>
          <w:tab/>
        </w:r>
        <w:r w:rsidRPr="00B27C46">
          <w:rPr>
            <w:rStyle w:val="Lienhypertexte"/>
            <w:noProof/>
          </w:rPr>
          <w:t>Evaluation des impacts environnementaux et sociaux</w:t>
        </w:r>
        <w:r>
          <w:rPr>
            <w:noProof/>
            <w:webHidden/>
          </w:rPr>
          <w:tab/>
        </w:r>
        <w:r>
          <w:rPr>
            <w:noProof/>
            <w:webHidden/>
          </w:rPr>
          <w:fldChar w:fldCharType="begin"/>
        </w:r>
        <w:r>
          <w:rPr>
            <w:noProof/>
            <w:webHidden/>
          </w:rPr>
          <w:instrText xml:space="preserve"> PAGEREF _Toc215131873 \h </w:instrText>
        </w:r>
        <w:r>
          <w:rPr>
            <w:noProof/>
            <w:webHidden/>
          </w:rPr>
        </w:r>
        <w:r>
          <w:rPr>
            <w:noProof/>
            <w:webHidden/>
          </w:rPr>
          <w:fldChar w:fldCharType="separate"/>
        </w:r>
        <w:r>
          <w:rPr>
            <w:noProof/>
            <w:webHidden/>
          </w:rPr>
          <w:t>198</w:t>
        </w:r>
        <w:r>
          <w:rPr>
            <w:noProof/>
            <w:webHidden/>
          </w:rPr>
          <w:fldChar w:fldCharType="end"/>
        </w:r>
      </w:hyperlink>
    </w:p>
    <w:p w14:paraId="5DDC8874" w14:textId="0BCC2AC7" w:rsidR="008B44A1" w:rsidRDefault="008B44A1">
      <w:pPr>
        <w:pStyle w:val="TM3"/>
        <w:rPr>
          <w:rFonts w:asciiTheme="minorHAnsi" w:eastAsiaTheme="minorEastAsia" w:hAnsiTheme="minorHAnsi" w:cstheme="minorBidi"/>
          <w:noProof/>
          <w:lang w:eastAsia="fr-FR" w:bidi="ar-SA"/>
        </w:rPr>
      </w:pPr>
      <w:hyperlink w:anchor="_Toc215131874" w:history="1">
        <w:r w:rsidRPr="00B27C46">
          <w:rPr>
            <w:rStyle w:val="Lienhypertexte"/>
            <w:noProof/>
          </w:rPr>
          <w:t>7.3.1.</w:t>
        </w:r>
        <w:r>
          <w:rPr>
            <w:rFonts w:asciiTheme="minorHAnsi" w:eastAsiaTheme="minorEastAsia" w:hAnsiTheme="minorHAnsi" w:cstheme="minorBidi"/>
            <w:noProof/>
            <w:lang w:eastAsia="fr-FR" w:bidi="ar-SA"/>
          </w:rPr>
          <w:tab/>
        </w:r>
        <w:r w:rsidRPr="00B27C46">
          <w:rPr>
            <w:rStyle w:val="Lienhypertexte"/>
            <w:noProof/>
          </w:rPr>
          <w:t>Qualité de l’air</w:t>
        </w:r>
        <w:r>
          <w:rPr>
            <w:noProof/>
            <w:webHidden/>
          </w:rPr>
          <w:tab/>
        </w:r>
        <w:r>
          <w:rPr>
            <w:noProof/>
            <w:webHidden/>
          </w:rPr>
          <w:fldChar w:fldCharType="begin"/>
        </w:r>
        <w:r>
          <w:rPr>
            <w:noProof/>
            <w:webHidden/>
          </w:rPr>
          <w:instrText xml:space="preserve"> PAGEREF _Toc215131874 \h </w:instrText>
        </w:r>
        <w:r>
          <w:rPr>
            <w:noProof/>
            <w:webHidden/>
          </w:rPr>
        </w:r>
        <w:r>
          <w:rPr>
            <w:noProof/>
            <w:webHidden/>
          </w:rPr>
          <w:fldChar w:fldCharType="separate"/>
        </w:r>
        <w:r>
          <w:rPr>
            <w:noProof/>
            <w:webHidden/>
          </w:rPr>
          <w:t>198</w:t>
        </w:r>
        <w:r>
          <w:rPr>
            <w:noProof/>
            <w:webHidden/>
          </w:rPr>
          <w:fldChar w:fldCharType="end"/>
        </w:r>
      </w:hyperlink>
    </w:p>
    <w:p w14:paraId="706BB2E3" w14:textId="0A64BF2A" w:rsidR="008B44A1" w:rsidRDefault="008B44A1">
      <w:pPr>
        <w:pStyle w:val="TM3"/>
        <w:rPr>
          <w:rFonts w:asciiTheme="minorHAnsi" w:eastAsiaTheme="minorEastAsia" w:hAnsiTheme="minorHAnsi" w:cstheme="minorBidi"/>
          <w:noProof/>
          <w:lang w:eastAsia="fr-FR" w:bidi="ar-SA"/>
        </w:rPr>
      </w:pPr>
      <w:hyperlink w:anchor="_Toc215131875" w:history="1">
        <w:r w:rsidRPr="00B27C46">
          <w:rPr>
            <w:rStyle w:val="Lienhypertexte"/>
            <w:noProof/>
          </w:rPr>
          <w:t>7.3.2.</w:t>
        </w:r>
        <w:r>
          <w:rPr>
            <w:rFonts w:asciiTheme="minorHAnsi" w:eastAsiaTheme="minorEastAsia" w:hAnsiTheme="minorHAnsi" w:cstheme="minorBidi"/>
            <w:noProof/>
            <w:lang w:eastAsia="fr-FR" w:bidi="ar-SA"/>
          </w:rPr>
          <w:tab/>
        </w:r>
        <w:r w:rsidRPr="00B27C46">
          <w:rPr>
            <w:rStyle w:val="Lienhypertexte"/>
            <w:noProof/>
          </w:rPr>
          <w:t>Nuisances sonores et vibrations</w:t>
        </w:r>
        <w:r>
          <w:rPr>
            <w:noProof/>
            <w:webHidden/>
          </w:rPr>
          <w:tab/>
        </w:r>
        <w:r>
          <w:rPr>
            <w:noProof/>
            <w:webHidden/>
          </w:rPr>
          <w:fldChar w:fldCharType="begin"/>
        </w:r>
        <w:r>
          <w:rPr>
            <w:noProof/>
            <w:webHidden/>
          </w:rPr>
          <w:instrText xml:space="preserve"> PAGEREF _Toc215131875 \h </w:instrText>
        </w:r>
        <w:r>
          <w:rPr>
            <w:noProof/>
            <w:webHidden/>
          </w:rPr>
        </w:r>
        <w:r>
          <w:rPr>
            <w:noProof/>
            <w:webHidden/>
          </w:rPr>
          <w:fldChar w:fldCharType="separate"/>
        </w:r>
        <w:r>
          <w:rPr>
            <w:noProof/>
            <w:webHidden/>
          </w:rPr>
          <w:t>222</w:t>
        </w:r>
        <w:r>
          <w:rPr>
            <w:noProof/>
            <w:webHidden/>
          </w:rPr>
          <w:fldChar w:fldCharType="end"/>
        </w:r>
      </w:hyperlink>
    </w:p>
    <w:p w14:paraId="6EBAAC1E" w14:textId="3DC1B176" w:rsidR="008B44A1" w:rsidRDefault="008B44A1">
      <w:pPr>
        <w:pStyle w:val="TM3"/>
        <w:rPr>
          <w:rFonts w:asciiTheme="minorHAnsi" w:eastAsiaTheme="minorEastAsia" w:hAnsiTheme="minorHAnsi" w:cstheme="minorBidi"/>
          <w:noProof/>
          <w:lang w:eastAsia="fr-FR" w:bidi="ar-SA"/>
        </w:rPr>
      </w:pPr>
      <w:hyperlink w:anchor="_Toc215131876" w:history="1">
        <w:r w:rsidRPr="00B27C46">
          <w:rPr>
            <w:rStyle w:val="Lienhypertexte"/>
            <w:noProof/>
            <w:lang w:eastAsia="zh-CN"/>
          </w:rPr>
          <w:t>7.3.3.</w:t>
        </w:r>
        <w:r>
          <w:rPr>
            <w:rFonts w:asciiTheme="minorHAnsi" w:eastAsiaTheme="minorEastAsia" w:hAnsiTheme="minorHAnsi" w:cstheme="minorBidi"/>
            <w:noProof/>
            <w:lang w:eastAsia="fr-FR" w:bidi="ar-SA"/>
          </w:rPr>
          <w:tab/>
        </w:r>
        <w:r w:rsidRPr="00B27C46">
          <w:rPr>
            <w:rStyle w:val="Lienhypertexte"/>
            <w:noProof/>
            <w:lang w:eastAsia="zh-CN"/>
          </w:rPr>
          <w:t>Sols</w:t>
        </w:r>
        <w:r>
          <w:rPr>
            <w:noProof/>
            <w:webHidden/>
          </w:rPr>
          <w:tab/>
        </w:r>
        <w:r>
          <w:rPr>
            <w:noProof/>
            <w:webHidden/>
          </w:rPr>
          <w:fldChar w:fldCharType="begin"/>
        </w:r>
        <w:r>
          <w:rPr>
            <w:noProof/>
            <w:webHidden/>
          </w:rPr>
          <w:instrText xml:space="preserve"> PAGEREF _Toc215131876 \h </w:instrText>
        </w:r>
        <w:r>
          <w:rPr>
            <w:noProof/>
            <w:webHidden/>
          </w:rPr>
        </w:r>
        <w:r>
          <w:rPr>
            <w:noProof/>
            <w:webHidden/>
          </w:rPr>
          <w:fldChar w:fldCharType="separate"/>
        </w:r>
        <w:r>
          <w:rPr>
            <w:noProof/>
            <w:webHidden/>
          </w:rPr>
          <w:t>234</w:t>
        </w:r>
        <w:r>
          <w:rPr>
            <w:noProof/>
            <w:webHidden/>
          </w:rPr>
          <w:fldChar w:fldCharType="end"/>
        </w:r>
      </w:hyperlink>
    </w:p>
    <w:p w14:paraId="0A69EC45" w14:textId="245F8686" w:rsidR="008B44A1" w:rsidRDefault="008B44A1">
      <w:pPr>
        <w:pStyle w:val="TM3"/>
        <w:rPr>
          <w:rFonts w:asciiTheme="minorHAnsi" w:eastAsiaTheme="minorEastAsia" w:hAnsiTheme="minorHAnsi" w:cstheme="minorBidi"/>
          <w:noProof/>
          <w:lang w:eastAsia="fr-FR" w:bidi="ar-SA"/>
        </w:rPr>
      </w:pPr>
      <w:hyperlink w:anchor="_Toc215131877" w:history="1">
        <w:r w:rsidRPr="00B27C46">
          <w:rPr>
            <w:rStyle w:val="Lienhypertexte"/>
            <w:noProof/>
          </w:rPr>
          <w:t>7.3.4.</w:t>
        </w:r>
        <w:r>
          <w:rPr>
            <w:rFonts w:asciiTheme="minorHAnsi" w:eastAsiaTheme="minorEastAsia" w:hAnsiTheme="minorHAnsi" w:cstheme="minorBidi"/>
            <w:noProof/>
            <w:lang w:eastAsia="fr-FR" w:bidi="ar-SA"/>
          </w:rPr>
          <w:tab/>
        </w:r>
        <w:r w:rsidRPr="00B27C46">
          <w:rPr>
            <w:rStyle w:val="Lienhypertexte"/>
            <w:noProof/>
          </w:rPr>
          <w:t>Qualité des eaux superficielles et souterraines</w:t>
        </w:r>
        <w:r>
          <w:rPr>
            <w:noProof/>
            <w:webHidden/>
          </w:rPr>
          <w:tab/>
        </w:r>
        <w:r>
          <w:rPr>
            <w:noProof/>
            <w:webHidden/>
          </w:rPr>
          <w:fldChar w:fldCharType="begin"/>
        </w:r>
        <w:r>
          <w:rPr>
            <w:noProof/>
            <w:webHidden/>
          </w:rPr>
          <w:instrText xml:space="preserve"> PAGEREF _Toc215131877 \h </w:instrText>
        </w:r>
        <w:r>
          <w:rPr>
            <w:noProof/>
            <w:webHidden/>
          </w:rPr>
        </w:r>
        <w:r>
          <w:rPr>
            <w:noProof/>
            <w:webHidden/>
          </w:rPr>
          <w:fldChar w:fldCharType="separate"/>
        </w:r>
        <w:r>
          <w:rPr>
            <w:noProof/>
            <w:webHidden/>
          </w:rPr>
          <w:t>247</w:t>
        </w:r>
        <w:r>
          <w:rPr>
            <w:noProof/>
            <w:webHidden/>
          </w:rPr>
          <w:fldChar w:fldCharType="end"/>
        </w:r>
      </w:hyperlink>
    </w:p>
    <w:p w14:paraId="1C99BFCD" w14:textId="57BF075E" w:rsidR="008B44A1" w:rsidRDefault="008B44A1">
      <w:pPr>
        <w:pStyle w:val="TM3"/>
        <w:rPr>
          <w:rFonts w:asciiTheme="minorHAnsi" w:eastAsiaTheme="minorEastAsia" w:hAnsiTheme="minorHAnsi" w:cstheme="minorBidi"/>
          <w:noProof/>
          <w:lang w:eastAsia="fr-FR" w:bidi="ar-SA"/>
        </w:rPr>
      </w:pPr>
      <w:hyperlink w:anchor="_Toc215131878" w:history="1">
        <w:r w:rsidRPr="00B27C46">
          <w:rPr>
            <w:rStyle w:val="Lienhypertexte"/>
            <w:noProof/>
          </w:rPr>
          <w:t>7.3.5.</w:t>
        </w:r>
        <w:r>
          <w:rPr>
            <w:rFonts w:asciiTheme="minorHAnsi" w:eastAsiaTheme="minorEastAsia" w:hAnsiTheme="minorHAnsi" w:cstheme="minorBidi"/>
            <w:noProof/>
            <w:lang w:eastAsia="fr-FR" w:bidi="ar-SA"/>
          </w:rPr>
          <w:tab/>
        </w:r>
        <w:r w:rsidRPr="00B27C46">
          <w:rPr>
            <w:rStyle w:val="Lienhypertexte"/>
            <w:noProof/>
          </w:rPr>
          <w:t>Gestion des eaux usées</w:t>
        </w:r>
        <w:r>
          <w:rPr>
            <w:noProof/>
            <w:webHidden/>
          </w:rPr>
          <w:tab/>
        </w:r>
        <w:r>
          <w:rPr>
            <w:noProof/>
            <w:webHidden/>
          </w:rPr>
          <w:fldChar w:fldCharType="begin"/>
        </w:r>
        <w:r>
          <w:rPr>
            <w:noProof/>
            <w:webHidden/>
          </w:rPr>
          <w:instrText xml:space="preserve"> PAGEREF _Toc215131878 \h </w:instrText>
        </w:r>
        <w:r>
          <w:rPr>
            <w:noProof/>
            <w:webHidden/>
          </w:rPr>
        </w:r>
        <w:r>
          <w:rPr>
            <w:noProof/>
            <w:webHidden/>
          </w:rPr>
          <w:fldChar w:fldCharType="separate"/>
        </w:r>
        <w:r>
          <w:rPr>
            <w:noProof/>
            <w:webHidden/>
          </w:rPr>
          <w:t>265</w:t>
        </w:r>
        <w:r>
          <w:rPr>
            <w:noProof/>
            <w:webHidden/>
          </w:rPr>
          <w:fldChar w:fldCharType="end"/>
        </w:r>
      </w:hyperlink>
    </w:p>
    <w:p w14:paraId="515FDFCE" w14:textId="3775194D" w:rsidR="008B44A1" w:rsidRDefault="008B44A1">
      <w:pPr>
        <w:pStyle w:val="TM3"/>
        <w:rPr>
          <w:rFonts w:asciiTheme="minorHAnsi" w:eastAsiaTheme="minorEastAsia" w:hAnsiTheme="minorHAnsi" w:cstheme="minorBidi"/>
          <w:noProof/>
          <w:lang w:eastAsia="fr-FR" w:bidi="ar-SA"/>
        </w:rPr>
      </w:pPr>
      <w:hyperlink w:anchor="_Toc215131879" w:history="1">
        <w:r w:rsidRPr="00B27C46">
          <w:rPr>
            <w:rStyle w:val="Lienhypertexte"/>
            <w:noProof/>
          </w:rPr>
          <w:t>7.3.6.</w:t>
        </w:r>
        <w:r>
          <w:rPr>
            <w:rFonts w:asciiTheme="minorHAnsi" w:eastAsiaTheme="minorEastAsia" w:hAnsiTheme="minorHAnsi" w:cstheme="minorBidi"/>
            <w:noProof/>
            <w:lang w:eastAsia="fr-FR" w:bidi="ar-SA"/>
          </w:rPr>
          <w:tab/>
        </w:r>
        <w:r w:rsidRPr="00B27C46">
          <w:rPr>
            <w:rStyle w:val="Lienhypertexte"/>
            <w:noProof/>
          </w:rPr>
          <w:t>Gestion des déchets dangereux et non dangereux et matières dangereuses</w:t>
        </w:r>
        <w:r>
          <w:rPr>
            <w:noProof/>
            <w:webHidden/>
          </w:rPr>
          <w:tab/>
        </w:r>
        <w:r>
          <w:rPr>
            <w:noProof/>
            <w:webHidden/>
          </w:rPr>
          <w:fldChar w:fldCharType="begin"/>
        </w:r>
        <w:r>
          <w:rPr>
            <w:noProof/>
            <w:webHidden/>
          </w:rPr>
          <w:instrText xml:space="preserve"> PAGEREF _Toc215131879 \h </w:instrText>
        </w:r>
        <w:r>
          <w:rPr>
            <w:noProof/>
            <w:webHidden/>
          </w:rPr>
        </w:r>
        <w:r>
          <w:rPr>
            <w:noProof/>
            <w:webHidden/>
          </w:rPr>
          <w:fldChar w:fldCharType="separate"/>
        </w:r>
        <w:r>
          <w:rPr>
            <w:noProof/>
            <w:webHidden/>
          </w:rPr>
          <w:t>280</w:t>
        </w:r>
        <w:r>
          <w:rPr>
            <w:noProof/>
            <w:webHidden/>
          </w:rPr>
          <w:fldChar w:fldCharType="end"/>
        </w:r>
      </w:hyperlink>
    </w:p>
    <w:p w14:paraId="6619D4D9" w14:textId="17119350" w:rsidR="008B44A1" w:rsidRDefault="008B44A1">
      <w:pPr>
        <w:pStyle w:val="TM3"/>
        <w:rPr>
          <w:rFonts w:asciiTheme="minorHAnsi" w:eastAsiaTheme="minorEastAsia" w:hAnsiTheme="minorHAnsi" w:cstheme="minorBidi"/>
          <w:noProof/>
          <w:lang w:eastAsia="fr-FR" w:bidi="ar-SA"/>
        </w:rPr>
      </w:pPr>
      <w:hyperlink w:anchor="_Toc215131880" w:history="1">
        <w:r w:rsidRPr="00B27C46">
          <w:rPr>
            <w:rStyle w:val="Lienhypertexte"/>
            <w:noProof/>
          </w:rPr>
          <w:t>7.3.7.</w:t>
        </w:r>
        <w:r>
          <w:rPr>
            <w:rFonts w:asciiTheme="minorHAnsi" w:eastAsiaTheme="minorEastAsia" w:hAnsiTheme="minorHAnsi" w:cstheme="minorBidi"/>
            <w:noProof/>
            <w:lang w:eastAsia="fr-FR" w:bidi="ar-SA"/>
          </w:rPr>
          <w:tab/>
        </w:r>
        <w:r w:rsidRPr="00B27C46">
          <w:rPr>
            <w:rStyle w:val="Lienhypertexte"/>
            <w:noProof/>
          </w:rPr>
          <w:t>Paysage, Impact visuel</w:t>
        </w:r>
        <w:r>
          <w:rPr>
            <w:noProof/>
            <w:webHidden/>
          </w:rPr>
          <w:tab/>
        </w:r>
        <w:r>
          <w:rPr>
            <w:noProof/>
            <w:webHidden/>
          </w:rPr>
          <w:fldChar w:fldCharType="begin"/>
        </w:r>
        <w:r>
          <w:rPr>
            <w:noProof/>
            <w:webHidden/>
          </w:rPr>
          <w:instrText xml:space="preserve"> PAGEREF _Toc215131880 \h </w:instrText>
        </w:r>
        <w:r>
          <w:rPr>
            <w:noProof/>
            <w:webHidden/>
          </w:rPr>
        </w:r>
        <w:r>
          <w:rPr>
            <w:noProof/>
            <w:webHidden/>
          </w:rPr>
          <w:fldChar w:fldCharType="separate"/>
        </w:r>
        <w:r>
          <w:rPr>
            <w:noProof/>
            <w:webHidden/>
          </w:rPr>
          <w:t>309</w:t>
        </w:r>
        <w:r>
          <w:rPr>
            <w:noProof/>
            <w:webHidden/>
          </w:rPr>
          <w:fldChar w:fldCharType="end"/>
        </w:r>
      </w:hyperlink>
    </w:p>
    <w:p w14:paraId="08078212" w14:textId="7478BF94" w:rsidR="008B44A1" w:rsidRDefault="008B44A1">
      <w:pPr>
        <w:pStyle w:val="TM3"/>
        <w:rPr>
          <w:rFonts w:asciiTheme="minorHAnsi" w:eastAsiaTheme="minorEastAsia" w:hAnsiTheme="minorHAnsi" w:cstheme="minorBidi"/>
          <w:noProof/>
          <w:lang w:eastAsia="fr-FR" w:bidi="ar-SA"/>
        </w:rPr>
      </w:pPr>
      <w:hyperlink w:anchor="_Toc215131881" w:history="1">
        <w:r w:rsidRPr="00B27C46">
          <w:rPr>
            <w:rStyle w:val="Lienhypertexte"/>
            <w:noProof/>
          </w:rPr>
          <w:t>7.3.8.</w:t>
        </w:r>
        <w:r>
          <w:rPr>
            <w:rFonts w:asciiTheme="minorHAnsi" w:eastAsiaTheme="minorEastAsia" w:hAnsiTheme="minorHAnsi" w:cstheme="minorBidi"/>
            <w:noProof/>
            <w:lang w:eastAsia="fr-FR" w:bidi="ar-SA"/>
          </w:rPr>
          <w:tab/>
        </w:r>
        <w:r w:rsidRPr="00B27C46">
          <w:rPr>
            <w:rStyle w:val="Lienhypertexte"/>
            <w:noProof/>
          </w:rPr>
          <w:t>Biodiversité</w:t>
        </w:r>
        <w:r>
          <w:rPr>
            <w:noProof/>
            <w:webHidden/>
          </w:rPr>
          <w:tab/>
        </w:r>
        <w:r>
          <w:rPr>
            <w:noProof/>
            <w:webHidden/>
          </w:rPr>
          <w:fldChar w:fldCharType="begin"/>
        </w:r>
        <w:r>
          <w:rPr>
            <w:noProof/>
            <w:webHidden/>
          </w:rPr>
          <w:instrText xml:space="preserve"> PAGEREF _Toc215131881 \h </w:instrText>
        </w:r>
        <w:r>
          <w:rPr>
            <w:noProof/>
            <w:webHidden/>
          </w:rPr>
        </w:r>
        <w:r>
          <w:rPr>
            <w:noProof/>
            <w:webHidden/>
          </w:rPr>
          <w:fldChar w:fldCharType="separate"/>
        </w:r>
        <w:r>
          <w:rPr>
            <w:noProof/>
            <w:webHidden/>
          </w:rPr>
          <w:t>324</w:t>
        </w:r>
        <w:r>
          <w:rPr>
            <w:noProof/>
            <w:webHidden/>
          </w:rPr>
          <w:fldChar w:fldCharType="end"/>
        </w:r>
      </w:hyperlink>
    </w:p>
    <w:p w14:paraId="23159BF9" w14:textId="7E0D2327" w:rsidR="008B44A1" w:rsidRDefault="008B44A1">
      <w:pPr>
        <w:pStyle w:val="TM3"/>
        <w:rPr>
          <w:rFonts w:asciiTheme="minorHAnsi" w:eastAsiaTheme="minorEastAsia" w:hAnsiTheme="minorHAnsi" w:cstheme="minorBidi"/>
          <w:noProof/>
          <w:lang w:eastAsia="fr-FR" w:bidi="ar-SA"/>
        </w:rPr>
      </w:pPr>
      <w:hyperlink w:anchor="_Toc215131882" w:history="1">
        <w:r w:rsidRPr="00B27C46">
          <w:rPr>
            <w:rStyle w:val="Lienhypertexte"/>
            <w:noProof/>
          </w:rPr>
          <w:t>7.3.9.</w:t>
        </w:r>
        <w:r>
          <w:rPr>
            <w:rFonts w:asciiTheme="minorHAnsi" w:eastAsiaTheme="minorEastAsia" w:hAnsiTheme="minorHAnsi" w:cstheme="minorBidi"/>
            <w:noProof/>
            <w:lang w:eastAsia="fr-FR" w:bidi="ar-SA"/>
          </w:rPr>
          <w:tab/>
        </w:r>
        <w:r w:rsidRPr="00B27C46">
          <w:rPr>
            <w:rStyle w:val="Lienhypertexte"/>
            <w:noProof/>
          </w:rPr>
          <w:t>Usages fonciers</w:t>
        </w:r>
        <w:r>
          <w:rPr>
            <w:noProof/>
            <w:webHidden/>
          </w:rPr>
          <w:tab/>
        </w:r>
        <w:r>
          <w:rPr>
            <w:noProof/>
            <w:webHidden/>
          </w:rPr>
          <w:fldChar w:fldCharType="begin"/>
        </w:r>
        <w:r>
          <w:rPr>
            <w:noProof/>
            <w:webHidden/>
          </w:rPr>
          <w:instrText xml:space="preserve"> PAGEREF _Toc215131882 \h </w:instrText>
        </w:r>
        <w:r>
          <w:rPr>
            <w:noProof/>
            <w:webHidden/>
          </w:rPr>
        </w:r>
        <w:r>
          <w:rPr>
            <w:noProof/>
            <w:webHidden/>
          </w:rPr>
          <w:fldChar w:fldCharType="separate"/>
        </w:r>
        <w:r>
          <w:rPr>
            <w:noProof/>
            <w:webHidden/>
          </w:rPr>
          <w:t>344</w:t>
        </w:r>
        <w:r>
          <w:rPr>
            <w:noProof/>
            <w:webHidden/>
          </w:rPr>
          <w:fldChar w:fldCharType="end"/>
        </w:r>
      </w:hyperlink>
    </w:p>
    <w:p w14:paraId="0F0D521D" w14:textId="6BF904DD" w:rsidR="008B44A1" w:rsidRDefault="008B44A1">
      <w:pPr>
        <w:pStyle w:val="TM3"/>
        <w:rPr>
          <w:rFonts w:asciiTheme="minorHAnsi" w:eastAsiaTheme="minorEastAsia" w:hAnsiTheme="minorHAnsi" w:cstheme="minorBidi"/>
          <w:noProof/>
          <w:lang w:eastAsia="fr-FR" w:bidi="ar-SA"/>
        </w:rPr>
      </w:pPr>
      <w:hyperlink w:anchor="_Toc215131883" w:history="1">
        <w:r w:rsidRPr="00B27C46">
          <w:rPr>
            <w:rStyle w:val="Lienhypertexte"/>
            <w:noProof/>
          </w:rPr>
          <w:t>7.3.10.</w:t>
        </w:r>
        <w:r>
          <w:rPr>
            <w:rFonts w:asciiTheme="minorHAnsi" w:eastAsiaTheme="minorEastAsia" w:hAnsiTheme="minorHAnsi" w:cstheme="minorBidi"/>
            <w:noProof/>
            <w:lang w:eastAsia="fr-FR" w:bidi="ar-SA"/>
          </w:rPr>
          <w:tab/>
        </w:r>
        <w:r w:rsidRPr="00B27C46">
          <w:rPr>
            <w:rStyle w:val="Lienhypertexte"/>
            <w:noProof/>
          </w:rPr>
          <w:t>Utilisation et l’accès aux ressources</w:t>
        </w:r>
        <w:r>
          <w:rPr>
            <w:noProof/>
            <w:webHidden/>
          </w:rPr>
          <w:tab/>
        </w:r>
        <w:r>
          <w:rPr>
            <w:noProof/>
            <w:webHidden/>
          </w:rPr>
          <w:fldChar w:fldCharType="begin"/>
        </w:r>
        <w:r>
          <w:rPr>
            <w:noProof/>
            <w:webHidden/>
          </w:rPr>
          <w:instrText xml:space="preserve"> PAGEREF _Toc215131883 \h </w:instrText>
        </w:r>
        <w:r>
          <w:rPr>
            <w:noProof/>
            <w:webHidden/>
          </w:rPr>
        </w:r>
        <w:r>
          <w:rPr>
            <w:noProof/>
            <w:webHidden/>
          </w:rPr>
          <w:fldChar w:fldCharType="separate"/>
        </w:r>
        <w:r>
          <w:rPr>
            <w:noProof/>
            <w:webHidden/>
          </w:rPr>
          <w:t>345</w:t>
        </w:r>
        <w:r>
          <w:rPr>
            <w:noProof/>
            <w:webHidden/>
          </w:rPr>
          <w:fldChar w:fldCharType="end"/>
        </w:r>
      </w:hyperlink>
    </w:p>
    <w:p w14:paraId="0D13CDEC" w14:textId="3C122FB4" w:rsidR="008B44A1" w:rsidRDefault="008B44A1">
      <w:pPr>
        <w:pStyle w:val="TM3"/>
        <w:rPr>
          <w:rFonts w:asciiTheme="minorHAnsi" w:eastAsiaTheme="minorEastAsia" w:hAnsiTheme="minorHAnsi" w:cstheme="minorBidi"/>
          <w:noProof/>
          <w:lang w:eastAsia="fr-FR" w:bidi="ar-SA"/>
        </w:rPr>
      </w:pPr>
      <w:hyperlink w:anchor="_Toc215131884" w:history="1">
        <w:r w:rsidRPr="00B27C46">
          <w:rPr>
            <w:rStyle w:val="Lienhypertexte"/>
            <w:noProof/>
          </w:rPr>
          <w:t>7.3.11.</w:t>
        </w:r>
        <w:r>
          <w:rPr>
            <w:rFonts w:asciiTheme="minorHAnsi" w:eastAsiaTheme="minorEastAsia" w:hAnsiTheme="minorHAnsi" w:cstheme="minorBidi"/>
            <w:noProof/>
            <w:lang w:eastAsia="fr-FR" w:bidi="ar-SA"/>
          </w:rPr>
          <w:tab/>
        </w:r>
        <w:r w:rsidRPr="00B27C46">
          <w:rPr>
            <w:rStyle w:val="Lienhypertexte"/>
            <w:noProof/>
          </w:rPr>
          <w:t>Trafic routier</w:t>
        </w:r>
        <w:r>
          <w:rPr>
            <w:noProof/>
            <w:webHidden/>
          </w:rPr>
          <w:tab/>
        </w:r>
        <w:r>
          <w:rPr>
            <w:noProof/>
            <w:webHidden/>
          </w:rPr>
          <w:fldChar w:fldCharType="begin"/>
        </w:r>
        <w:r>
          <w:rPr>
            <w:noProof/>
            <w:webHidden/>
          </w:rPr>
          <w:instrText xml:space="preserve"> PAGEREF _Toc215131884 \h </w:instrText>
        </w:r>
        <w:r>
          <w:rPr>
            <w:noProof/>
            <w:webHidden/>
          </w:rPr>
        </w:r>
        <w:r>
          <w:rPr>
            <w:noProof/>
            <w:webHidden/>
          </w:rPr>
          <w:fldChar w:fldCharType="separate"/>
        </w:r>
        <w:r>
          <w:rPr>
            <w:noProof/>
            <w:webHidden/>
          </w:rPr>
          <w:t>363</w:t>
        </w:r>
        <w:r>
          <w:rPr>
            <w:noProof/>
            <w:webHidden/>
          </w:rPr>
          <w:fldChar w:fldCharType="end"/>
        </w:r>
      </w:hyperlink>
    </w:p>
    <w:p w14:paraId="4BCF90BA" w14:textId="00C3F966" w:rsidR="008B44A1" w:rsidRDefault="008B44A1">
      <w:pPr>
        <w:pStyle w:val="TM3"/>
        <w:rPr>
          <w:rFonts w:asciiTheme="minorHAnsi" w:eastAsiaTheme="minorEastAsia" w:hAnsiTheme="minorHAnsi" w:cstheme="minorBidi"/>
          <w:noProof/>
          <w:lang w:eastAsia="fr-FR" w:bidi="ar-SA"/>
        </w:rPr>
      </w:pPr>
      <w:hyperlink w:anchor="_Toc215131885" w:history="1">
        <w:r w:rsidRPr="00B27C46">
          <w:rPr>
            <w:rStyle w:val="Lienhypertexte"/>
            <w:noProof/>
          </w:rPr>
          <w:t>7.3.12.</w:t>
        </w:r>
        <w:r>
          <w:rPr>
            <w:rFonts w:asciiTheme="minorHAnsi" w:eastAsiaTheme="minorEastAsia" w:hAnsiTheme="minorHAnsi" w:cstheme="minorBidi"/>
            <w:noProof/>
            <w:lang w:eastAsia="fr-FR" w:bidi="ar-SA"/>
          </w:rPr>
          <w:tab/>
        </w:r>
        <w:r w:rsidRPr="00B27C46">
          <w:rPr>
            <w:rStyle w:val="Lienhypertexte"/>
            <w:noProof/>
          </w:rPr>
          <w:t>Retombés socio-économiques et emploi</w:t>
        </w:r>
        <w:r>
          <w:rPr>
            <w:noProof/>
            <w:webHidden/>
          </w:rPr>
          <w:tab/>
        </w:r>
        <w:r>
          <w:rPr>
            <w:noProof/>
            <w:webHidden/>
          </w:rPr>
          <w:fldChar w:fldCharType="begin"/>
        </w:r>
        <w:r>
          <w:rPr>
            <w:noProof/>
            <w:webHidden/>
          </w:rPr>
          <w:instrText xml:space="preserve"> PAGEREF _Toc215131885 \h </w:instrText>
        </w:r>
        <w:r>
          <w:rPr>
            <w:noProof/>
            <w:webHidden/>
          </w:rPr>
        </w:r>
        <w:r>
          <w:rPr>
            <w:noProof/>
            <w:webHidden/>
          </w:rPr>
          <w:fldChar w:fldCharType="separate"/>
        </w:r>
        <w:r>
          <w:rPr>
            <w:noProof/>
            <w:webHidden/>
          </w:rPr>
          <w:t>382</w:t>
        </w:r>
        <w:r>
          <w:rPr>
            <w:noProof/>
            <w:webHidden/>
          </w:rPr>
          <w:fldChar w:fldCharType="end"/>
        </w:r>
      </w:hyperlink>
    </w:p>
    <w:p w14:paraId="74F02009" w14:textId="1045082F" w:rsidR="008B44A1" w:rsidRDefault="008B44A1">
      <w:pPr>
        <w:pStyle w:val="TM3"/>
        <w:rPr>
          <w:rFonts w:asciiTheme="minorHAnsi" w:eastAsiaTheme="minorEastAsia" w:hAnsiTheme="minorHAnsi" w:cstheme="minorBidi"/>
          <w:noProof/>
          <w:lang w:eastAsia="fr-FR" w:bidi="ar-SA"/>
        </w:rPr>
      </w:pPr>
      <w:hyperlink w:anchor="_Toc215131886" w:history="1">
        <w:r w:rsidRPr="00B27C46">
          <w:rPr>
            <w:rStyle w:val="Lienhypertexte"/>
            <w:noProof/>
          </w:rPr>
          <w:t>7.3.13.</w:t>
        </w:r>
        <w:r>
          <w:rPr>
            <w:rFonts w:asciiTheme="minorHAnsi" w:eastAsiaTheme="minorEastAsia" w:hAnsiTheme="minorHAnsi" w:cstheme="minorBidi"/>
            <w:noProof/>
            <w:lang w:eastAsia="fr-FR" w:bidi="ar-SA"/>
          </w:rPr>
          <w:tab/>
        </w:r>
        <w:r w:rsidRPr="00B27C46">
          <w:rPr>
            <w:rStyle w:val="Lienhypertexte"/>
            <w:noProof/>
          </w:rPr>
          <w:t>Santé et sécurité des travailleurs</w:t>
        </w:r>
        <w:r>
          <w:rPr>
            <w:noProof/>
            <w:webHidden/>
          </w:rPr>
          <w:tab/>
        </w:r>
        <w:r>
          <w:rPr>
            <w:noProof/>
            <w:webHidden/>
          </w:rPr>
          <w:fldChar w:fldCharType="begin"/>
        </w:r>
        <w:r>
          <w:rPr>
            <w:noProof/>
            <w:webHidden/>
          </w:rPr>
          <w:instrText xml:space="preserve"> PAGEREF _Toc215131886 \h </w:instrText>
        </w:r>
        <w:r>
          <w:rPr>
            <w:noProof/>
            <w:webHidden/>
          </w:rPr>
        </w:r>
        <w:r>
          <w:rPr>
            <w:noProof/>
            <w:webHidden/>
          </w:rPr>
          <w:fldChar w:fldCharType="separate"/>
        </w:r>
        <w:r>
          <w:rPr>
            <w:noProof/>
            <w:webHidden/>
          </w:rPr>
          <w:t>405</w:t>
        </w:r>
        <w:r>
          <w:rPr>
            <w:noProof/>
            <w:webHidden/>
          </w:rPr>
          <w:fldChar w:fldCharType="end"/>
        </w:r>
      </w:hyperlink>
    </w:p>
    <w:p w14:paraId="3B09EBC3" w14:textId="2C85336C" w:rsidR="008B44A1" w:rsidRDefault="008B44A1">
      <w:pPr>
        <w:pStyle w:val="TM3"/>
        <w:rPr>
          <w:rFonts w:asciiTheme="minorHAnsi" w:eastAsiaTheme="minorEastAsia" w:hAnsiTheme="minorHAnsi" w:cstheme="minorBidi"/>
          <w:noProof/>
          <w:lang w:eastAsia="fr-FR" w:bidi="ar-SA"/>
        </w:rPr>
      </w:pPr>
      <w:hyperlink w:anchor="_Toc215131887" w:history="1">
        <w:r w:rsidRPr="00B27C46">
          <w:rPr>
            <w:rStyle w:val="Lienhypertexte"/>
            <w:noProof/>
            <w:lang w:eastAsia="zh-CN"/>
          </w:rPr>
          <w:t>7.3.14.</w:t>
        </w:r>
        <w:r>
          <w:rPr>
            <w:rFonts w:asciiTheme="minorHAnsi" w:eastAsiaTheme="minorEastAsia" w:hAnsiTheme="minorHAnsi" w:cstheme="minorBidi"/>
            <w:noProof/>
            <w:lang w:eastAsia="fr-FR" w:bidi="ar-SA"/>
          </w:rPr>
          <w:tab/>
        </w:r>
        <w:r w:rsidRPr="00B27C46">
          <w:rPr>
            <w:rStyle w:val="Lienhypertexte"/>
            <w:noProof/>
            <w:lang w:eastAsia="zh-CN"/>
          </w:rPr>
          <w:t>Santé, sureté et sécurité communautaire</w:t>
        </w:r>
        <w:r>
          <w:rPr>
            <w:noProof/>
            <w:webHidden/>
          </w:rPr>
          <w:tab/>
        </w:r>
        <w:r>
          <w:rPr>
            <w:noProof/>
            <w:webHidden/>
          </w:rPr>
          <w:fldChar w:fldCharType="begin"/>
        </w:r>
        <w:r>
          <w:rPr>
            <w:noProof/>
            <w:webHidden/>
          </w:rPr>
          <w:instrText xml:space="preserve"> PAGEREF _Toc215131887 \h </w:instrText>
        </w:r>
        <w:r>
          <w:rPr>
            <w:noProof/>
            <w:webHidden/>
          </w:rPr>
        </w:r>
        <w:r>
          <w:rPr>
            <w:noProof/>
            <w:webHidden/>
          </w:rPr>
          <w:fldChar w:fldCharType="separate"/>
        </w:r>
        <w:r>
          <w:rPr>
            <w:noProof/>
            <w:webHidden/>
          </w:rPr>
          <w:t>443</w:t>
        </w:r>
        <w:r>
          <w:rPr>
            <w:noProof/>
            <w:webHidden/>
          </w:rPr>
          <w:fldChar w:fldCharType="end"/>
        </w:r>
      </w:hyperlink>
    </w:p>
    <w:p w14:paraId="06A6604D" w14:textId="0FA5673C" w:rsidR="008B44A1" w:rsidRDefault="008B44A1">
      <w:pPr>
        <w:pStyle w:val="TM3"/>
        <w:rPr>
          <w:rFonts w:asciiTheme="minorHAnsi" w:eastAsiaTheme="minorEastAsia" w:hAnsiTheme="minorHAnsi" w:cstheme="minorBidi"/>
          <w:noProof/>
          <w:lang w:eastAsia="fr-FR" w:bidi="ar-SA"/>
        </w:rPr>
      </w:pPr>
      <w:hyperlink w:anchor="_Toc215131888" w:history="1">
        <w:r w:rsidRPr="00B27C46">
          <w:rPr>
            <w:rStyle w:val="Lienhypertexte"/>
            <w:noProof/>
            <w:lang w:eastAsia="zh-CN"/>
          </w:rPr>
          <w:t>7.3.15.</w:t>
        </w:r>
        <w:r>
          <w:rPr>
            <w:rFonts w:asciiTheme="minorHAnsi" w:eastAsiaTheme="minorEastAsia" w:hAnsiTheme="minorHAnsi" w:cstheme="minorBidi"/>
            <w:noProof/>
            <w:lang w:eastAsia="fr-FR" w:bidi="ar-SA"/>
          </w:rPr>
          <w:tab/>
        </w:r>
        <w:r w:rsidRPr="00B27C46">
          <w:rPr>
            <w:rStyle w:val="Lienhypertexte"/>
            <w:noProof/>
            <w:lang w:eastAsia="zh-CN"/>
          </w:rPr>
          <w:t>Patrimoine culturel et archéologique</w:t>
        </w:r>
        <w:r>
          <w:rPr>
            <w:noProof/>
            <w:webHidden/>
          </w:rPr>
          <w:tab/>
        </w:r>
        <w:r>
          <w:rPr>
            <w:noProof/>
            <w:webHidden/>
          </w:rPr>
          <w:fldChar w:fldCharType="begin"/>
        </w:r>
        <w:r>
          <w:rPr>
            <w:noProof/>
            <w:webHidden/>
          </w:rPr>
          <w:instrText xml:space="preserve"> PAGEREF _Toc215131888 \h </w:instrText>
        </w:r>
        <w:r>
          <w:rPr>
            <w:noProof/>
            <w:webHidden/>
          </w:rPr>
        </w:r>
        <w:r>
          <w:rPr>
            <w:noProof/>
            <w:webHidden/>
          </w:rPr>
          <w:fldChar w:fldCharType="separate"/>
        </w:r>
        <w:r>
          <w:rPr>
            <w:noProof/>
            <w:webHidden/>
          </w:rPr>
          <w:t>474</w:t>
        </w:r>
        <w:r>
          <w:rPr>
            <w:noProof/>
            <w:webHidden/>
          </w:rPr>
          <w:fldChar w:fldCharType="end"/>
        </w:r>
      </w:hyperlink>
    </w:p>
    <w:p w14:paraId="37C90FE3" w14:textId="153014F9" w:rsidR="008B44A1" w:rsidRDefault="008B44A1">
      <w:pPr>
        <w:pStyle w:val="TM2"/>
        <w:rPr>
          <w:rFonts w:asciiTheme="minorHAnsi" w:eastAsiaTheme="minorEastAsia" w:hAnsiTheme="minorHAnsi" w:cstheme="minorBidi"/>
          <w:noProof/>
          <w:lang w:eastAsia="fr-FR" w:bidi="ar-SA"/>
        </w:rPr>
      </w:pPr>
      <w:hyperlink w:anchor="_Toc215131889" w:history="1">
        <w:r w:rsidRPr="00B27C46">
          <w:rPr>
            <w:rStyle w:val="Lienhypertexte"/>
            <w:noProof/>
            <w:lang w:eastAsia="zh-CN"/>
          </w:rPr>
          <w:t>7.4.</w:t>
        </w:r>
        <w:r>
          <w:rPr>
            <w:rFonts w:asciiTheme="minorHAnsi" w:eastAsiaTheme="minorEastAsia" w:hAnsiTheme="minorHAnsi" w:cstheme="minorBidi"/>
            <w:noProof/>
            <w:lang w:eastAsia="fr-FR" w:bidi="ar-SA"/>
          </w:rPr>
          <w:tab/>
        </w:r>
        <w:r w:rsidRPr="00B27C46">
          <w:rPr>
            <w:rStyle w:val="Lienhypertexte"/>
            <w:noProof/>
            <w:lang w:eastAsia="zh-CN"/>
          </w:rPr>
          <w:t>Évaluation des impacts environnementaux et sociaux du Projet lors de la phase de démantèlement</w:t>
        </w:r>
        <w:r>
          <w:rPr>
            <w:noProof/>
            <w:webHidden/>
          </w:rPr>
          <w:tab/>
        </w:r>
        <w:r>
          <w:rPr>
            <w:noProof/>
            <w:webHidden/>
          </w:rPr>
          <w:fldChar w:fldCharType="begin"/>
        </w:r>
        <w:r>
          <w:rPr>
            <w:noProof/>
            <w:webHidden/>
          </w:rPr>
          <w:instrText xml:space="preserve"> PAGEREF _Toc215131889 \h </w:instrText>
        </w:r>
        <w:r>
          <w:rPr>
            <w:noProof/>
            <w:webHidden/>
          </w:rPr>
        </w:r>
        <w:r>
          <w:rPr>
            <w:noProof/>
            <w:webHidden/>
          </w:rPr>
          <w:fldChar w:fldCharType="separate"/>
        </w:r>
        <w:r>
          <w:rPr>
            <w:noProof/>
            <w:webHidden/>
          </w:rPr>
          <w:t>479</w:t>
        </w:r>
        <w:r>
          <w:rPr>
            <w:noProof/>
            <w:webHidden/>
          </w:rPr>
          <w:fldChar w:fldCharType="end"/>
        </w:r>
      </w:hyperlink>
    </w:p>
    <w:p w14:paraId="37734DDC" w14:textId="40B3E9CD" w:rsidR="008B44A1" w:rsidRDefault="008B44A1">
      <w:pPr>
        <w:pStyle w:val="TM3"/>
        <w:rPr>
          <w:rFonts w:asciiTheme="minorHAnsi" w:eastAsiaTheme="minorEastAsia" w:hAnsiTheme="minorHAnsi" w:cstheme="minorBidi"/>
          <w:noProof/>
          <w:lang w:eastAsia="fr-FR" w:bidi="ar-SA"/>
        </w:rPr>
      </w:pPr>
      <w:hyperlink w:anchor="_Toc215131890" w:history="1">
        <w:r w:rsidRPr="00B27C46">
          <w:rPr>
            <w:rStyle w:val="Lienhypertexte"/>
            <w:noProof/>
            <w:lang w:eastAsia="zh-CN"/>
          </w:rPr>
          <w:t>7.4.1.</w:t>
        </w:r>
        <w:r>
          <w:rPr>
            <w:rFonts w:asciiTheme="minorHAnsi" w:eastAsiaTheme="minorEastAsia" w:hAnsiTheme="minorHAnsi" w:cstheme="minorBidi"/>
            <w:noProof/>
            <w:lang w:eastAsia="fr-FR" w:bidi="ar-SA"/>
          </w:rPr>
          <w:tab/>
        </w:r>
        <w:r w:rsidRPr="00B27C46">
          <w:rPr>
            <w:rStyle w:val="Lienhypertexte"/>
            <w:noProof/>
            <w:lang w:eastAsia="zh-CN"/>
          </w:rPr>
          <w:t>Impacts</w:t>
        </w:r>
        <w:r>
          <w:rPr>
            <w:noProof/>
            <w:webHidden/>
          </w:rPr>
          <w:tab/>
        </w:r>
        <w:r>
          <w:rPr>
            <w:noProof/>
            <w:webHidden/>
          </w:rPr>
          <w:fldChar w:fldCharType="begin"/>
        </w:r>
        <w:r>
          <w:rPr>
            <w:noProof/>
            <w:webHidden/>
          </w:rPr>
          <w:instrText xml:space="preserve"> PAGEREF _Toc215131890 \h </w:instrText>
        </w:r>
        <w:r>
          <w:rPr>
            <w:noProof/>
            <w:webHidden/>
          </w:rPr>
        </w:r>
        <w:r>
          <w:rPr>
            <w:noProof/>
            <w:webHidden/>
          </w:rPr>
          <w:fldChar w:fldCharType="separate"/>
        </w:r>
        <w:r>
          <w:rPr>
            <w:noProof/>
            <w:webHidden/>
          </w:rPr>
          <w:t>479</w:t>
        </w:r>
        <w:r>
          <w:rPr>
            <w:noProof/>
            <w:webHidden/>
          </w:rPr>
          <w:fldChar w:fldCharType="end"/>
        </w:r>
      </w:hyperlink>
    </w:p>
    <w:p w14:paraId="5D7EB4F5" w14:textId="56918D98" w:rsidR="008B44A1" w:rsidRDefault="008B44A1">
      <w:pPr>
        <w:pStyle w:val="TM3"/>
        <w:rPr>
          <w:rFonts w:asciiTheme="minorHAnsi" w:eastAsiaTheme="minorEastAsia" w:hAnsiTheme="minorHAnsi" w:cstheme="minorBidi"/>
          <w:noProof/>
          <w:lang w:eastAsia="fr-FR" w:bidi="ar-SA"/>
        </w:rPr>
      </w:pPr>
      <w:hyperlink w:anchor="_Toc215131891" w:history="1">
        <w:r w:rsidRPr="00B27C46">
          <w:rPr>
            <w:rStyle w:val="Lienhypertexte"/>
            <w:noProof/>
            <w:lang w:eastAsia="zh-CN"/>
          </w:rPr>
          <w:t>7.4.2.</w:t>
        </w:r>
        <w:r>
          <w:rPr>
            <w:rFonts w:asciiTheme="minorHAnsi" w:eastAsiaTheme="minorEastAsia" w:hAnsiTheme="minorHAnsi" w:cstheme="minorBidi"/>
            <w:noProof/>
            <w:lang w:eastAsia="fr-FR" w:bidi="ar-SA"/>
          </w:rPr>
          <w:tab/>
        </w:r>
        <w:r w:rsidRPr="00B27C46">
          <w:rPr>
            <w:rStyle w:val="Lienhypertexte"/>
            <w:noProof/>
            <w:lang w:eastAsia="zh-CN"/>
          </w:rPr>
          <w:t>Mesures d’atténuation</w:t>
        </w:r>
        <w:r>
          <w:rPr>
            <w:noProof/>
            <w:webHidden/>
          </w:rPr>
          <w:tab/>
        </w:r>
        <w:r>
          <w:rPr>
            <w:noProof/>
            <w:webHidden/>
          </w:rPr>
          <w:fldChar w:fldCharType="begin"/>
        </w:r>
        <w:r>
          <w:rPr>
            <w:noProof/>
            <w:webHidden/>
          </w:rPr>
          <w:instrText xml:space="preserve"> PAGEREF _Toc215131891 \h </w:instrText>
        </w:r>
        <w:r>
          <w:rPr>
            <w:noProof/>
            <w:webHidden/>
          </w:rPr>
        </w:r>
        <w:r>
          <w:rPr>
            <w:noProof/>
            <w:webHidden/>
          </w:rPr>
          <w:fldChar w:fldCharType="separate"/>
        </w:r>
        <w:r>
          <w:rPr>
            <w:noProof/>
            <w:webHidden/>
          </w:rPr>
          <w:t>480</w:t>
        </w:r>
        <w:r>
          <w:rPr>
            <w:noProof/>
            <w:webHidden/>
          </w:rPr>
          <w:fldChar w:fldCharType="end"/>
        </w:r>
      </w:hyperlink>
    </w:p>
    <w:p w14:paraId="60F0F225" w14:textId="53FEF93B" w:rsidR="008B44A1" w:rsidRDefault="008B44A1">
      <w:pPr>
        <w:pStyle w:val="TM2"/>
        <w:rPr>
          <w:rFonts w:asciiTheme="minorHAnsi" w:eastAsiaTheme="minorEastAsia" w:hAnsiTheme="minorHAnsi" w:cstheme="minorBidi"/>
          <w:noProof/>
          <w:lang w:eastAsia="fr-FR" w:bidi="ar-SA"/>
        </w:rPr>
      </w:pPr>
      <w:hyperlink w:anchor="_Toc215131892" w:history="1">
        <w:r w:rsidRPr="00B27C46">
          <w:rPr>
            <w:rStyle w:val="Lienhypertexte"/>
            <w:noProof/>
            <w:lang w:eastAsia="zh-CN"/>
          </w:rPr>
          <w:t>7.5.</w:t>
        </w:r>
        <w:r>
          <w:rPr>
            <w:rFonts w:asciiTheme="minorHAnsi" w:eastAsiaTheme="minorEastAsia" w:hAnsiTheme="minorHAnsi" w:cstheme="minorBidi"/>
            <w:noProof/>
            <w:lang w:eastAsia="fr-FR" w:bidi="ar-SA"/>
          </w:rPr>
          <w:tab/>
        </w:r>
        <w:r w:rsidRPr="00B27C46">
          <w:rPr>
            <w:rStyle w:val="Lienhypertexte"/>
            <w:noProof/>
            <w:lang w:eastAsia="zh-CN"/>
          </w:rPr>
          <w:t>Evaluation des impacts cumulatifs</w:t>
        </w:r>
        <w:r>
          <w:rPr>
            <w:noProof/>
            <w:webHidden/>
          </w:rPr>
          <w:tab/>
        </w:r>
        <w:r>
          <w:rPr>
            <w:noProof/>
            <w:webHidden/>
          </w:rPr>
          <w:fldChar w:fldCharType="begin"/>
        </w:r>
        <w:r>
          <w:rPr>
            <w:noProof/>
            <w:webHidden/>
          </w:rPr>
          <w:instrText xml:space="preserve"> PAGEREF _Toc215131892 \h </w:instrText>
        </w:r>
        <w:r>
          <w:rPr>
            <w:noProof/>
            <w:webHidden/>
          </w:rPr>
        </w:r>
        <w:r>
          <w:rPr>
            <w:noProof/>
            <w:webHidden/>
          </w:rPr>
          <w:fldChar w:fldCharType="separate"/>
        </w:r>
        <w:r>
          <w:rPr>
            <w:noProof/>
            <w:webHidden/>
          </w:rPr>
          <w:t>480</w:t>
        </w:r>
        <w:r>
          <w:rPr>
            <w:noProof/>
            <w:webHidden/>
          </w:rPr>
          <w:fldChar w:fldCharType="end"/>
        </w:r>
      </w:hyperlink>
    </w:p>
    <w:p w14:paraId="168658CD" w14:textId="430AD404" w:rsidR="008B44A1" w:rsidRDefault="008B44A1">
      <w:pPr>
        <w:pStyle w:val="TM3"/>
        <w:rPr>
          <w:rFonts w:asciiTheme="minorHAnsi" w:eastAsiaTheme="minorEastAsia" w:hAnsiTheme="minorHAnsi" w:cstheme="minorBidi"/>
          <w:noProof/>
          <w:lang w:eastAsia="fr-FR" w:bidi="ar-SA"/>
        </w:rPr>
      </w:pPr>
      <w:hyperlink w:anchor="_Toc215131893" w:history="1">
        <w:r w:rsidRPr="00B27C46">
          <w:rPr>
            <w:rStyle w:val="Lienhypertexte"/>
            <w:noProof/>
          </w:rPr>
          <w:t>7.5.1.</w:t>
        </w:r>
        <w:r>
          <w:rPr>
            <w:rFonts w:asciiTheme="minorHAnsi" w:eastAsiaTheme="minorEastAsia" w:hAnsiTheme="minorHAnsi" w:cstheme="minorBidi"/>
            <w:noProof/>
            <w:lang w:eastAsia="fr-FR" w:bidi="ar-SA"/>
          </w:rPr>
          <w:tab/>
        </w:r>
        <w:r w:rsidRPr="00B27C46">
          <w:rPr>
            <w:rStyle w:val="Lienhypertexte"/>
            <w:noProof/>
          </w:rPr>
          <w:t>Approche méthodologique</w:t>
        </w:r>
        <w:r>
          <w:rPr>
            <w:noProof/>
            <w:webHidden/>
          </w:rPr>
          <w:tab/>
        </w:r>
        <w:r>
          <w:rPr>
            <w:noProof/>
            <w:webHidden/>
          </w:rPr>
          <w:fldChar w:fldCharType="begin"/>
        </w:r>
        <w:r>
          <w:rPr>
            <w:noProof/>
            <w:webHidden/>
          </w:rPr>
          <w:instrText xml:space="preserve"> PAGEREF _Toc215131893 \h </w:instrText>
        </w:r>
        <w:r>
          <w:rPr>
            <w:noProof/>
            <w:webHidden/>
          </w:rPr>
        </w:r>
        <w:r>
          <w:rPr>
            <w:noProof/>
            <w:webHidden/>
          </w:rPr>
          <w:fldChar w:fldCharType="separate"/>
        </w:r>
        <w:r>
          <w:rPr>
            <w:noProof/>
            <w:webHidden/>
          </w:rPr>
          <w:t>480</w:t>
        </w:r>
        <w:r>
          <w:rPr>
            <w:noProof/>
            <w:webHidden/>
          </w:rPr>
          <w:fldChar w:fldCharType="end"/>
        </w:r>
      </w:hyperlink>
    </w:p>
    <w:p w14:paraId="3B095E68" w14:textId="754EAB93" w:rsidR="008B44A1" w:rsidRDefault="008B44A1">
      <w:pPr>
        <w:pStyle w:val="TM3"/>
        <w:rPr>
          <w:rFonts w:asciiTheme="minorHAnsi" w:eastAsiaTheme="minorEastAsia" w:hAnsiTheme="minorHAnsi" w:cstheme="minorBidi"/>
          <w:noProof/>
          <w:lang w:eastAsia="fr-FR" w:bidi="ar-SA"/>
        </w:rPr>
      </w:pPr>
      <w:hyperlink w:anchor="_Toc215131894" w:history="1">
        <w:r w:rsidRPr="00B27C46">
          <w:rPr>
            <w:rStyle w:val="Lienhypertexte"/>
            <w:noProof/>
          </w:rPr>
          <w:t>7.5.2.</w:t>
        </w:r>
        <w:r>
          <w:rPr>
            <w:rFonts w:asciiTheme="minorHAnsi" w:eastAsiaTheme="minorEastAsia" w:hAnsiTheme="minorHAnsi" w:cstheme="minorBidi"/>
            <w:noProof/>
            <w:lang w:eastAsia="fr-FR" w:bidi="ar-SA"/>
          </w:rPr>
          <w:tab/>
        </w:r>
        <w:r w:rsidRPr="00B27C46">
          <w:rPr>
            <w:rStyle w:val="Lienhypertexte"/>
            <w:noProof/>
          </w:rPr>
          <w:t>Zone d’influence cumulative (ZIC)</w:t>
        </w:r>
        <w:r>
          <w:rPr>
            <w:noProof/>
            <w:webHidden/>
          </w:rPr>
          <w:tab/>
        </w:r>
        <w:r>
          <w:rPr>
            <w:noProof/>
            <w:webHidden/>
          </w:rPr>
          <w:fldChar w:fldCharType="begin"/>
        </w:r>
        <w:r>
          <w:rPr>
            <w:noProof/>
            <w:webHidden/>
          </w:rPr>
          <w:instrText xml:space="preserve"> PAGEREF _Toc215131894 \h </w:instrText>
        </w:r>
        <w:r>
          <w:rPr>
            <w:noProof/>
            <w:webHidden/>
          </w:rPr>
        </w:r>
        <w:r>
          <w:rPr>
            <w:noProof/>
            <w:webHidden/>
          </w:rPr>
          <w:fldChar w:fldCharType="separate"/>
        </w:r>
        <w:r>
          <w:rPr>
            <w:noProof/>
            <w:webHidden/>
          </w:rPr>
          <w:t>481</w:t>
        </w:r>
        <w:r>
          <w:rPr>
            <w:noProof/>
            <w:webHidden/>
          </w:rPr>
          <w:fldChar w:fldCharType="end"/>
        </w:r>
      </w:hyperlink>
    </w:p>
    <w:p w14:paraId="71777C84" w14:textId="1C7FD1C5" w:rsidR="008B44A1" w:rsidRDefault="008B44A1">
      <w:pPr>
        <w:pStyle w:val="TM3"/>
        <w:rPr>
          <w:rFonts w:asciiTheme="minorHAnsi" w:eastAsiaTheme="minorEastAsia" w:hAnsiTheme="minorHAnsi" w:cstheme="minorBidi"/>
          <w:noProof/>
          <w:lang w:eastAsia="fr-FR" w:bidi="ar-SA"/>
        </w:rPr>
      </w:pPr>
      <w:hyperlink w:anchor="_Toc215131895" w:history="1">
        <w:r w:rsidRPr="00B27C46">
          <w:rPr>
            <w:rStyle w:val="Lienhypertexte"/>
            <w:noProof/>
          </w:rPr>
          <w:t>7.5.3.</w:t>
        </w:r>
        <w:r>
          <w:rPr>
            <w:rFonts w:asciiTheme="minorHAnsi" w:eastAsiaTheme="minorEastAsia" w:hAnsiTheme="minorHAnsi" w:cstheme="minorBidi"/>
            <w:noProof/>
            <w:lang w:eastAsia="fr-FR" w:bidi="ar-SA"/>
          </w:rPr>
          <w:tab/>
        </w:r>
        <w:r w:rsidRPr="00B27C46">
          <w:rPr>
            <w:rStyle w:val="Lienhypertexte"/>
            <w:noProof/>
          </w:rPr>
          <w:t>Identification des projets et activités cumulables</w:t>
        </w:r>
        <w:r>
          <w:rPr>
            <w:noProof/>
            <w:webHidden/>
          </w:rPr>
          <w:tab/>
        </w:r>
        <w:r>
          <w:rPr>
            <w:noProof/>
            <w:webHidden/>
          </w:rPr>
          <w:fldChar w:fldCharType="begin"/>
        </w:r>
        <w:r>
          <w:rPr>
            <w:noProof/>
            <w:webHidden/>
          </w:rPr>
          <w:instrText xml:space="preserve"> PAGEREF _Toc215131895 \h </w:instrText>
        </w:r>
        <w:r>
          <w:rPr>
            <w:noProof/>
            <w:webHidden/>
          </w:rPr>
        </w:r>
        <w:r>
          <w:rPr>
            <w:noProof/>
            <w:webHidden/>
          </w:rPr>
          <w:fldChar w:fldCharType="separate"/>
        </w:r>
        <w:r>
          <w:rPr>
            <w:noProof/>
            <w:webHidden/>
          </w:rPr>
          <w:t>481</w:t>
        </w:r>
        <w:r>
          <w:rPr>
            <w:noProof/>
            <w:webHidden/>
          </w:rPr>
          <w:fldChar w:fldCharType="end"/>
        </w:r>
      </w:hyperlink>
    </w:p>
    <w:p w14:paraId="0FF0D1C3" w14:textId="6F35D6E4" w:rsidR="008B44A1" w:rsidRDefault="008B44A1">
      <w:pPr>
        <w:pStyle w:val="TM3"/>
        <w:rPr>
          <w:rFonts w:asciiTheme="minorHAnsi" w:eastAsiaTheme="minorEastAsia" w:hAnsiTheme="minorHAnsi" w:cstheme="minorBidi"/>
          <w:noProof/>
          <w:lang w:eastAsia="fr-FR" w:bidi="ar-SA"/>
        </w:rPr>
      </w:pPr>
      <w:hyperlink w:anchor="_Toc215131896" w:history="1">
        <w:r w:rsidRPr="00B27C46">
          <w:rPr>
            <w:rStyle w:val="Lienhypertexte"/>
            <w:noProof/>
          </w:rPr>
          <w:t>7.5.4.</w:t>
        </w:r>
        <w:r>
          <w:rPr>
            <w:rFonts w:asciiTheme="minorHAnsi" w:eastAsiaTheme="minorEastAsia" w:hAnsiTheme="minorHAnsi" w:cstheme="minorBidi"/>
            <w:noProof/>
            <w:lang w:eastAsia="fr-FR" w:bidi="ar-SA"/>
          </w:rPr>
          <w:tab/>
        </w:r>
        <w:r w:rsidRPr="00B27C46">
          <w:rPr>
            <w:rStyle w:val="Lienhypertexte"/>
            <w:noProof/>
          </w:rPr>
          <w:t>Composantes environnementales et sociales sensibles (VECs)</w:t>
        </w:r>
        <w:r>
          <w:rPr>
            <w:noProof/>
            <w:webHidden/>
          </w:rPr>
          <w:tab/>
        </w:r>
        <w:r>
          <w:rPr>
            <w:noProof/>
            <w:webHidden/>
          </w:rPr>
          <w:fldChar w:fldCharType="begin"/>
        </w:r>
        <w:r>
          <w:rPr>
            <w:noProof/>
            <w:webHidden/>
          </w:rPr>
          <w:instrText xml:space="preserve"> PAGEREF _Toc215131896 \h </w:instrText>
        </w:r>
        <w:r>
          <w:rPr>
            <w:noProof/>
            <w:webHidden/>
          </w:rPr>
        </w:r>
        <w:r>
          <w:rPr>
            <w:noProof/>
            <w:webHidden/>
          </w:rPr>
          <w:fldChar w:fldCharType="separate"/>
        </w:r>
        <w:r>
          <w:rPr>
            <w:noProof/>
            <w:webHidden/>
          </w:rPr>
          <w:t>482</w:t>
        </w:r>
        <w:r>
          <w:rPr>
            <w:noProof/>
            <w:webHidden/>
          </w:rPr>
          <w:fldChar w:fldCharType="end"/>
        </w:r>
      </w:hyperlink>
    </w:p>
    <w:p w14:paraId="24ABD86B" w14:textId="1390A4CB" w:rsidR="008B44A1" w:rsidRDefault="008B44A1">
      <w:pPr>
        <w:pStyle w:val="TM3"/>
        <w:rPr>
          <w:rFonts w:asciiTheme="minorHAnsi" w:eastAsiaTheme="minorEastAsia" w:hAnsiTheme="minorHAnsi" w:cstheme="minorBidi"/>
          <w:noProof/>
          <w:lang w:eastAsia="fr-FR" w:bidi="ar-SA"/>
        </w:rPr>
      </w:pPr>
      <w:hyperlink w:anchor="_Toc215131897" w:history="1">
        <w:r w:rsidRPr="00B27C46">
          <w:rPr>
            <w:rStyle w:val="Lienhypertexte"/>
            <w:noProof/>
          </w:rPr>
          <w:t>7.5.5.</w:t>
        </w:r>
        <w:r>
          <w:rPr>
            <w:rFonts w:asciiTheme="minorHAnsi" w:eastAsiaTheme="minorEastAsia" w:hAnsiTheme="minorHAnsi" w:cstheme="minorBidi"/>
            <w:noProof/>
            <w:lang w:eastAsia="fr-FR" w:bidi="ar-SA"/>
          </w:rPr>
          <w:tab/>
        </w:r>
        <w:r w:rsidRPr="00B27C46">
          <w:rPr>
            <w:rStyle w:val="Lienhypertexte"/>
            <w:noProof/>
          </w:rPr>
          <w:t>Analyse des interactions cumulatives</w:t>
        </w:r>
        <w:r>
          <w:rPr>
            <w:noProof/>
            <w:webHidden/>
          </w:rPr>
          <w:tab/>
        </w:r>
        <w:r>
          <w:rPr>
            <w:noProof/>
            <w:webHidden/>
          </w:rPr>
          <w:fldChar w:fldCharType="begin"/>
        </w:r>
        <w:r>
          <w:rPr>
            <w:noProof/>
            <w:webHidden/>
          </w:rPr>
          <w:instrText xml:space="preserve"> PAGEREF _Toc215131897 \h </w:instrText>
        </w:r>
        <w:r>
          <w:rPr>
            <w:noProof/>
            <w:webHidden/>
          </w:rPr>
        </w:r>
        <w:r>
          <w:rPr>
            <w:noProof/>
            <w:webHidden/>
          </w:rPr>
          <w:fldChar w:fldCharType="separate"/>
        </w:r>
        <w:r>
          <w:rPr>
            <w:noProof/>
            <w:webHidden/>
          </w:rPr>
          <w:t>482</w:t>
        </w:r>
        <w:r>
          <w:rPr>
            <w:noProof/>
            <w:webHidden/>
          </w:rPr>
          <w:fldChar w:fldCharType="end"/>
        </w:r>
      </w:hyperlink>
    </w:p>
    <w:p w14:paraId="6F9A4BA6" w14:textId="0D99B85C" w:rsidR="008B44A1" w:rsidRDefault="008B44A1">
      <w:pPr>
        <w:pStyle w:val="TM3"/>
        <w:rPr>
          <w:rFonts w:asciiTheme="minorHAnsi" w:eastAsiaTheme="minorEastAsia" w:hAnsiTheme="minorHAnsi" w:cstheme="minorBidi"/>
          <w:noProof/>
          <w:lang w:eastAsia="fr-FR" w:bidi="ar-SA"/>
        </w:rPr>
      </w:pPr>
      <w:hyperlink w:anchor="_Toc215131898" w:history="1">
        <w:r w:rsidRPr="00B27C46">
          <w:rPr>
            <w:rStyle w:val="Lienhypertexte"/>
            <w:noProof/>
          </w:rPr>
          <w:t>7.5.6.</w:t>
        </w:r>
        <w:r>
          <w:rPr>
            <w:rFonts w:asciiTheme="minorHAnsi" w:eastAsiaTheme="minorEastAsia" w:hAnsiTheme="minorHAnsi" w:cstheme="minorBidi"/>
            <w:noProof/>
            <w:lang w:eastAsia="fr-FR" w:bidi="ar-SA"/>
          </w:rPr>
          <w:tab/>
        </w:r>
        <w:r w:rsidRPr="00B27C46">
          <w:rPr>
            <w:rStyle w:val="Lienhypertexte"/>
            <w:noProof/>
          </w:rPr>
          <w:t>Mesures de gestion et suivi des effets cumulatifs</w:t>
        </w:r>
        <w:r>
          <w:rPr>
            <w:noProof/>
            <w:webHidden/>
          </w:rPr>
          <w:tab/>
        </w:r>
        <w:r>
          <w:rPr>
            <w:noProof/>
            <w:webHidden/>
          </w:rPr>
          <w:fldChar w:fldCharType="begin"/>
        </w:r>
        <w:r>
          <w:rPr>
            <w:noProof/>
            <w:webHidden/>
          </w:rPr>
          <w:instrText xml:space="preserve"> PAGEREF _Toc215131898 \h </w:instrText>
        </w:r>
        <w:r>
          <w:rPr>
            <w:noProof/>
            <w:webHidden/>
          </w:rPr>
        </w:r>
        <w:r>
          <w:rPr>
            <w:noProof/>
            <w:webHidden/>
          </w:rPr>
          <w:fldChar w:fldCharType="separate"/>
        </w:r>
        <w:r>
          <w:rPr>
            <w:noProof/>
            <w:webHidden/>
          </w:rPr>
          <w:t>484</w:t>
        </w:r>
        <w:r>
          <w:rPr>
            <w:noProof/>
            <w:webHidden/>
          </w:rPr>
          <w:fldChar w:fldCharType="end"/>
        </w:r>
      </w:hyperlink>
    </w:p>
    <w:p w14:paraId="0D5503C9" w14:textId="343B86EF" w:rsidR="008B44A1" w:rsidRDefault="008B44A1">
      <w:pPr>
        <w:pStyle w:val="TM3"/>
        <w:rPr>
          <w:rFonts w:asciiTheme="minorHAnsi" w:eastAsiaTheme="minorEastAsia" w:hAnsiTheme="minorHAnsi" w:cstheme="minorBidi"/>
          <w:noProof/>
          <w:lang w:eastAsia="fr-FR" w:bidi="ar-SA"/>
        </w:rPr>
      </w:pPr>
      <w:hyperlink w:anchor="_Toc215131899" w:history="1">
        <w:r w:rsidRPr="00B27C46">
          <w:rPr>
            <w:rStyle w:val="Lienhypertexte"/>
            <w:noProof/>
            <w:lang w:eastAsia="zh-CN"/>
          </w:rPr>
          <w:t>7.5.7.</w:t>
        </w:r>
        <w:r>
          <w:rPr>
            <w:rFonts w:asciiTheme="minorHAnsi" w:eastAsiaTheme="minorEastAsia" w:hAnsiTheme="minorHAnsi" w:cstheme="minorBidi"/>
            <w:noProof/>
            <w:lang w:eastAsia="fr-FR" w:bidi="ar-SA"/>
          </w:rPr>
          <w:tab/>
        </w:r>
        <w:r w:rsidRPr="00B27C46">
          <w:rPr>
            <w:rStyle w:val="Lienhypertexte"/>
            <w:noProof/>
            <w:lang w:eastAsia="zh-CN"/>
          </w:rPr>
          <w:t>Évaluation des impacts cumulatifs résiduels</w:t>
        </w:r>
        <w:r>
          <w:rPr>
            <w:noProof/>
            <w:webHidden/>
          </w:rPr>
          <w:tab/>
        </w:r>
        <w:r>
          <w:rPr>
            <w:noProof/>
            <w:webHidden/>
          </w:rPr>
          <w:fldChar w:fldCharType="begin"/>
        </w:r>
        <w:r>
          <w:rPr>
            <w:noProof/>
            <w:webHidden/>
          </w:rPr>
          <w:instrText xml:space="preserve"> PAGEREF _Toc215131899 \h </w:instrText>
        </w:r>
        <w:r>
          <w:rPr>
            <w:noProof/>
            <w:webHidden/>
          </w:rPr>
        </w:r>
        <w:r>
          <w:rPr>
            <w:noProof/>
            <w:webHidden/>
          </w:rPr>
          <w:fldChar w:fldCharType="separate"/>
        </w:r>
        <w:r>
          <w:rPr>
            <w:noProof/>
            <w:webHidden/>
          </w:rPr>
          <w:t>487</w:t>
        </w:r>
        <w:r>
          <w:rPr>
            <w:noProof/>
            <w:webHidden/>
          </w:rPr>
          <w:fldChar w:fldCharType="end"/>
        </w:r>
      </w:hyperlink>
    </w:p>
    <w:p w14:paraId="117EFFD4" w14:textId="7E18D2AF" w:rsidR="008B44A1" w:rsidRDefault="008B44A1">
      <w:pPr>
        <w:pStyle w:val="TM1"/>
        <w:tabs>
          <w:tab w:val="left" w:pos="440"/>
          <w:tab w:val="right" w:leader="dot" w:pos="9062"/>
        </w:tabs>
        <w:rPr>
          <w:rFonts w:asciiTheme="minorHAnsi" w:eastAsiaTheme="minorEastAsia" w:hAnsiTheme="minorHAnsi" w:cstheme="minorBidi"/>
          <w:noProof/>
          <w:lang w:eastAsia="fr-FR" w:bidi="ar-SA"/>
        </w:rPr>
      </w:pPr>
      <w:hyperlink w:anchor="_Toc215131900" w:history="1">
        <w:r w:rsidRPr="00B27C46">
          <w:rPr>
            <w:rStyle w:val="Lienhypertexte"/>
            <w:noProof/>
          </w:rPr>
          <w:t>8.</w:t>
        </w:r>
        <w:r>
          <w:rPr>
            <w:rFonts w:asciiTheme="minorHAnsi" w:eastAsiaTheme="minorEastAsia" w:hAnsiTheme="minorHAnsi" w:cstheme="minorBidi"/>
            <w:noProof/>
            <w:lang w:eastAsia="fr-FR" w:bidi="ar-SA"/>
          </w:rPr>
          <w:tab/>
        </w:r>
        <w:r w:rsidRPr="00B27C46">
          <w:rPr>
            <w:rStyle w:val="Lienhypertexte"/>
            <w:noProof/>
          </w:rPr>
          <w:t>Consultation  des Parties Prenantes et Mécanisme de Gestion des Plaintes</w:t>
        </w:r>
        <w:r>
          <w:rPr>
            <w:noProof/>
            <w:webHidden/>
          </w:rPr>
          <w:tab/>
        </w:r>
        <w:r>
          <w:rPr>
            <w:noProof/>
            <w:webHidden/>
          </w:rPr>
          <w:fldChar w:fldCharType="begin"/>
        </w:r>
        <w:r>
          <w:rPr>
            <w:noProof/>
            <w:webHidden/>
          </w:rPr>
          <w:instrText xml:space="preserve"> PAGEREF _Toc215131900 \h </w:instrText>
        </w:r>
        <w:r>
          <w:rPr>
            <w:noProof/>
            <w:webHidden/>
          </w:rPr>
        </w:r>
        <w:r>
          <w:rPr>
            <w:noProof/>
            <w:webHidden/>
          </w:rPr>
          <w:fldChar w:fldCharType="separate"/>
        </w:r>
        <w:r>
          <w:rPr>
            <w:noProof/>
            <w:webHidden/>
          </w:rPr>
          <w:t>488</w:t>
        </w:r>
        <w:r>
          <w:rPr>
            <w:noProof/>
            <w:webHidden/>
          </w:rPr>
          <w:fldChar w:fldCharType="end"/>
        </w:r>
      </w:hyperlink>
    </w:p>
    <w:p w14:paraId="50291845" w14:textId="7AE295A3" w:rsidR="008B44A1" w:rsidRDefault="008B44A1">
      <w:pPr>
        <w:pStyle w:val="TM2"/>
        <w:rPr>
          <w:rFonts w:asciiTheme="minorHAnsi" w:eastAsiaTheme="minorEastAsia" w:hAnsiTheme="minorHAnsi" w:cstheme="minorBidi"/>
          <w:noProof/>
          <w:lang w:eastAsia="fr-FR" w:bidi="ar-SA"/>
        </w:rPr>
      </w:pPr>
      <w:hyperlink w:anchor="_Toc215131901" w:history="1">
        <w:r w:rsidRPr="00B27C46">
          <w:rPr>
            <w:rStyle w:val="Lienhypertexte"/>
            <w:rFonts w:ascii="Times New Roman" w:hAnsi="Times New Roman"/>
            <w:noProof/>
          </w:rPr>
          <w:t>8.1.</w:t>
        </w:r>
        <w:r>
          <w:rPr>
            <w:rFonts w:asciiTheme="minorHAnsi" w:eastAsiaTheme="minorEastAsia" w:hAnsiTheme="minorHAnsi" w:cstheme="minorBidi"/>
            <w:noProof/>
            <w:lang w:eastAsia="fr-FR" w:bidi="ar-SA"/>
          </w:rPr>
          <w:tab/>
        </w:r>
        <w:r w:rsidRPr="00B27C46">
          <w:rPr>
            <w:rStyle w:val="Lienhypertexte"/>
            <w:b/>
            <w:noProof/>
          </w:rPr>
          <w:t>Parties prenantes et modalités d’engagement</w:t>
        </w:r>
        <w:r>
          <w:rPr>
            <w:noProof/>
            <w:webHidden/>
          </w:rPr>
          <w:tab/>
        </w:r>
        <w:r>
          <w:rPr>
            <w:noProof/>
            <w:webHidden/>
          </w:rPr>
          <w:fldChar w:fldCharType="begin"/>
        </w:r>
        <w:r>
          <w:rPr>
            <w:noProof/>
            <w:webHidden/>
          </w:rPr>
          <w:instrText xml:space="preserve"> PAGEREF _Toc215131901 \h </w:instrText>
        </w:r>
        <w:r>
          <w:rPr>
            <w:noProof/>
            <w:webHidden/>
          </w:rPr>
        </w:r>
        <w:r>
          <w:rPr>
            <w:noProof/>
            <w:webHidden/>
          </w:rPr>
          <w:fldChar w:fldCharType="separate"/>
        </w:r>
        <w:r>
          <w:rPr>
            <w:noProof/>
            <w:webHidden/>
          </w:rPr>
          <w:t>488</w:t>
        </w:r>
        <w:r>
          <w:rPr>
            <w:noProof/>
            <w:webHidden/>
          </w:rPr>
          <w:fldChar w:fldCharType="end"/>
        </w:r>
      </w:hyperlink>
    </w:p>
    <w:p w14:paraId="5394E801" w14:textId="59792A17" w:rsidR="008B44A1" w:rsidRDefault="008B44A1">
      <w:pPr>
        <w:pStyle w:val="TM2"/>
        <w:rPr>
          <w:rFonts w:asciiTheme="minorHAnsi" w:eastAsiaTheme="minorEastAsia" w:hAnsiTheme="minorHAnsi" w:cstheme="minorBidi"/>
          <w:noProof/>
          <w:lang w:eastAsia="fr-FR" w:bidi="ar-SA"/>
        </w:rPr>
      </w:pPr>
      <w:hyperlink w:anchor="_Toc215131902" w:history="1">
        <w:r w:rsidRPr="00B27C46">
          <w:rPr>
            <w:rStyle w:val="Lienhypertexte"/>
            <w:noProof/>
          </w:rPr>
          <w:t>8.2.</w:t>
        </w:r>
        <w:r>
          <w:rPr>
            <w:rFonts w:asciiTheme="minorHAnsi" w:eastAsiaTheme="minorEastAsia" w:hAnsiTheme="minorHAnsi" w:cstheme="minorBidi"/>
            <w:noProof/>
            <w:lang w:eastAsia="fr-FR" w:bidi="ar-SA"/>
          </w:rPr>
          <w:tab/>
        </w:r>
        <w:r w:rsidRPr="00B27C46">
          <w:rPr>
            <w:rStyle w:val="Lienhypertexte"/>
            <w:b/>
            <w:noProof/>
          </w:rPr>
          <w:t>Préoccupations exprimées par les parties prenantes</w:t>
        </w:r>
        <w:r>
          <w:rPr>
            <w:noProof/>
            <w:webHidden/>
          </w:rPr>
          <w:tab/>
        </w:r>
        <w:r>
          <w:rPr>
            <w:noProof/>
            <w:webHidden/>
          </w:rPr>
          <w:fldChar w:fldCharType="begin"/>
        </w:r>
        <w:r>
          <w:rPr>
            <w:noProof/>
            <w:webHidden/>
          </w:rPr>
          <w:instrText xml:space="preserve"> PAGEREF _Toc215131902 \h </w:instrText>
        </w:r>
        <w:r>
          <w:rPr>
            <w:noProof/>
            <w:webHidden/>
          </w:rPr>
        </w:r>
        <w:r>
          <w:rPr>
            <w:noProof/>
            <w:webHidden/>
          </w:rPr>
          <w:fldChar w:fldCharType="separate"/>
        </w:r>
        <w:r>
          <w:rPr>
            <w:noProof/>
            <w:webHidden/>
          </w:rPr>
          <w:t>489</w:t>
        </w:r>
        <w:r>
          <w:rPr>
            <w:noProof/>
            <w:webHidden/>
          </w:rPr>
          <w:fldChar w:fldCharType="end"/>
        </w:r>
      </w:hyperlink>
    </w:p>
    <w:p w14:paraId="12955F82" w14:textId="53EB1E10" w:rsidR="008B44A1" w:rsidRDefault="008B44A1">
      <w:pPr>
        <w:pStyle w:val="TM2"/>
        <w:rPr>
          <w:rFonts w:asciiTheme="minorHAnsi" w:eastAsiaTheme="minorEastAsia" w:hAnsiTheme="minorHAnsi" w:cstheme="minorBidi"/>
          <w:noProof/>
          <w:lang w:eastAsia="fr-FR" w:bidi="ar-SA"/>
        </w:rPr>
      </w:pPr>
      <w:hyperlink w:anchor="_Toc215131903" w:history="1">
        <w:r w:rsidRPr="00B27C46">
          <w:rPr>
            <w:rStyle w:val="Lienhypertexte"/>
            <w:noProof/>
          </w:rPr>
          <w:t>8.3.</w:t>
        </w:r>
        <w:r>
          <w:rPr>
            <w:rFonts w:asciiTheme="minorHAnsi" w:eastAsiaTheme="minorEastAsia" w:hAnsiTheme="minorHAnsi" w:cstheme="minorBidi"/>
            <w:noProof/>
            <w:lang w:eastAsia="fr-FR" w:bidi="ar-SA"/>
          </w:rPr>
          <w:tab/>
        </w:r>
        <w:r w:rsidRPr="00B27C46">
          <w:rPr>
            <w:rStyle w:val="Lienhypertexte"/>
            <w:noProof/>
          </w:rPr>
          <w:t>Dispositif de communication et de sensibilisation</w:t>
        </w:r>
        <w:r>
          <w:rPr>
            <w:noProof/>
            <w:webHidden/>
          </w:rPr>
          <w:tab/>
        </w:r>
        <w:r>
          <w:rPr>
            <w:noProof/>
            <w:webHidden/>
          </w:rPr>
          <w:fldChar w:fldCharType="begin"/>
        </w:r>
        <w:r>
          <w:rPr>
            <w:noProof/>
            <w:webHidden/>
          </w:rPr>
          <w:instrText xml:space="preserve"> PAGEREF _Toc215131903 \h </w:instrText>
        </w:r>
        <w:r>
          <w:rPr>
            <w:noProof/>
            <w:webHidden/>
          </w:rPr>
        </w:r>
        <w:r>
          <w:rPr>
            <w:noProof/>
            <w:webHidden/>
          </w:rPr>
          <w:fldChar w:fldCharType="separate"/>
        </w:r>
        <w:r>
          <w:rPr>
            <w:noProof/>
            <w:webHidden/>
          </w:rPr>
          <w:t>489</w:t>
        </w:r>
        <w:r>
          <w:rPr>
            <w:noProof/>
            <w:webHidden/>
          </w:rPr>
          <w:fldChar w:fldCharType="end"/>
        </w:r>
      </w:hyperlink>
    </w:p>
    <w:p w14:paraId="077DBC59" w14:textId="76FF0524" w:rsidR="008B44A1" w:rsidRDefault="008B44A1">
      <w:pPr>
        <w:pStyle w:val="TM3"/>
        <w:rPr>
          <w:rFonts w:asciiTheme="minorHAnsi" w:eastAsiaTheme="minorEastAsia" w:hAnsiTheme="minorHAnsi" w:cstheme="minorBidi"/>
          <w:noProof/>
          <w:lang w:eastAsia="fr-FR" w:bidi="ar-SA"/>
        </w:rPr>
      </w:pPr>
      <w:hyperlink w:anchor="_Toc215131904" w:history="1">
        <w:r w:rsidRPr="00B27C46">
          <w:rPr>
            <w:rStyle w:val="Lienhypertexte"/>
            <w:noProof/>
          </w:rPr>
          <w:t>8.3.1.</w:t>
        </w:r>
        <w:r>
          <w:rPr>
            <w:rFonts w:asciiTheme="minorHAnsi" w:eastAsiaTheme="minorEastAsia" w:hAnsiTheme="minorHAnsi" w:cstheme="minorBidi"/>
            <w:noProof/>
            <w:lang w:eastAsia="fr-FR" w:bidi="ar-SA"/>
          </w:rPr>
          <w:tab/>
        </w:r>
        <w:r w:rsidRPr="00B27C46">
          <w:rPr>
            <w:rStyle w:val="Lienhypertexte"/>
            <w:noProof/>
          </w:rPr>
          <w:t>Objectifs du dispositif</w:t>
        </w:r>
        <w:r>
          <w:rPr>
            <w:noProof/>
            <w:webHidden/>
          </w:rPr>
          <w:tab/>
        </w:r>
        <w:r>
          <w:rPr>
            <w:noProof/>
            <w:webHidden/>
          </w:rPr>
          <w:fldChar w:fldCharType="begin"/>
        </w:r>
        <w:r>
          <w:rPr>
            <w:noProof/>
            <w:webHidden/>
          </w:rPr>
          <w:instrText xml:space="preserve"> PAGEREF _Toc215131904 \h </w:instrText>
        </w:r>
        <w:r>
          <w:rPr>
            <w:noProof/>
            <w:webHidden/>
          </w:rPr>
        </w:r>
        <w:r>
          <w:rPr>
            <w:noProof/>
            <w:webHidden/>
          </w:rPr>
          <w:fldChar w:fldCharType="separate"/>
        </w:r>
        <w:r>
          <w:rPr>
            <w:noProof/>
            <w:webHidden/>
          </w:rPr>
          <w:t>489</w:t>
        </w:r>
        <w:r>
          <w:rPr>
            <w:noProof/>
            <w:webHidden/>
          </w:rPr>
          <w:fldChar w:fldCharType="end"/>
        </w:r>
      </w:hyperlink>
    </w:p>
    <w:p w14:paraId="7DAF45B2" w14:textId="5776B3E5" w:rsidR="008B44A1" w:rsidRDefault="008B44A1">
      <w:pPr>
        <w:pStyle w:val="TM3"/>
        <w:rPr>
          <w:rFonts w:asciiTheme="minorHAnsi" w:eastAsiaTheme="minorEastAsia" w:hAnsiTheme="minorHAnsi" w:cstheme="minorBidi"/>
          <w:noProof/>
          <w:lang w:eastAsia="fr-FR" w:bidi="ar-SA"/>
        </w:rPr>
      </w:pPr>
      <w:hyperlink w:anchor="_Toc215131905" w:history="1">
        <w:r w:rsidRPr="00B27C46">
          <w:rPr>
            <w:rStyle w:val="Lienhypertexte"/>
            <w:noProof/>
          </w:rPr>
          <w:t>8.3.2.</w:t>
        </w:r>
        <w:r>
          <w:rPr>
            <w:rFonts w:asciiTheme="minorHAnsi" w:eastAsiaTheme="minorEastAsia" w:hAnsiTheme="minorHAnsi" w:cstheme="minorBidi"/>
            <w:noProof/>
            <w:lang w:eastAsia="fr-FR" w:bidi="ar-SA"/>
          </w:rPr>
          <w:tab/>
        </w:r>
        <w:r w:rsidRPr="00B27C46">
          <w:rPr>
            <w:rStyle w:val="Lienhypertexte"/>
            <w:noProof/>
          </w:rPr>
          <w:t>Publics cibles</w:t>
        </w:r>
        <w:r>
          <w:rPr>
            <w:noProof/>
            <w:webHidden/>
          </w:rPr>
          <w:tab/>
        </w:r>
        <w:r>
          <w:rPr>
            <w:noProof/>
            <w:webHidden/>
          </w:rPr>
          <w:fldChar w:fldCharType="begin"/>
        </w:r>
        <w:r>
          <w:rPr>
            <w:noProof/>
            <w:webHidden/>
          </w:rPr>
          <w:instrText xml:space="preserve"> PAGEREF _Toc215131905 \h </w:instrText>
        </w:r>
        <w:r>
          <w:rPr>
            <w:noProof/>
            <w:webHidden/>
          </w:rPr>
        </w:r>
        <w:r>
          <w:rPr>
            <w:noProof/>
            <w:webHidden/>
          </w:rPr>
          <w:fldChar w:fldCharType="separate"/>
        </w:r>
        <w:r>
          <w:rPr>
            <w:noProof/>
            <w:webHidden/>
          </w:rPr>
          <w:t>490</w:t>
        </w:r>
        <w:r>
          <w:rPr>
            <w:noProof/>
            <w:webHidden/>
          </w:rPr>
          <w:fldChar w:fldCharType="end"/>
        </w:r>
      </w:hyperlink>
    </w:p>
    <w:p w14:paraId="4811B3AD" w14:textId="6436D249" w:rsidR="008B44A1" w:rsidRDefault="008B44A1">
      <w:pPr>
        <w:pStyle w:val="TM3"/>
        <w:rPr>
          <w:rFonts w:asciiTheme="minorHAnsi" w:eastAsiaTheme="minorEastAsia" w:hAnsiTheme="minorHAnsi" w:cstheme="minorBidi"/>
          <w:noProof/>
          <w:lang w:eastAsia="fr-FR" w:bidi="ar-SA"/>
        </w:rPr>
      </w:pPr>
      <w:hyperlink w:anchor="_Toc215131906" w:history="1">
        <w:r w:rsidRPr="00B27C46">
          <w:rPr>
            <w:rStyle w:val="Lienhypertexte"/>
            <w:noProof/>
          </w:rPr>
          <w:t>8.3.3.</w:t>
        </w:r>
        <w:r>
          <w:rPr>
            <w:rFonts w:asciiTheme="minorHAnsi" w:eastAsiaTheme="minorEastAsia" w:hAnsiTheme="minorHAnsi" w:cstheme="minorBidi"/>
            <w:noProof/>
            <w:lang w:eastAsia="fr-FR" w:bidi="ar-SA"/>
          </w:rPr>
          <w:tab/>
        </w:r>
        <w:r w:rsidRPr="00B27C46">
          <w:rPr>
            <w:rStyle w:val="Lienhypertexte"/>
            <w:noProof/>
          </w:rPr>
          <w:t>Outils et supports de communication</w:t>
        </w:r>
        <w:r>
          <w:rPr>
            <w:noProof/>
            <w:webHidden/>
          </w:rPr>
          <w:tab/>
        </w:r>
        <w:r>
          <w:rPr>
            <w:noProof/>
            <w:webHidden/>
          </w:rPr>
          <w:fldChar w:fldCharType="begin"/>
        </w:r>
        <w:r>
          <w:rPr>
            <w:noProof/>
            <w:webHidden/>
          </w:rPr>
          <w:instrText xml:space="preserve"> PAGEREF _Toc215131906 \h </w:instrText>
        </w:r>
        <w:r>
          <w:rPr>
            <w:noProof/>
            <w:webHidden/>
          </w:rPr>
        </w:r>
        <w:r>
          <w:rPr>
            <w:noProof/>
            <w:webHidden/>
          </w:rPr>
          <w:fldChar w:fldCharType="separate"/>
        </w:r>
        <w:r>
          <w:rPr>
            <w:noProof/>
            <w:webHidden/>
          </w:rPr>
          <w:t>490</w:t>
        </w:r>
        <w:r>
          <w:rPr>
            <w:noProof/>
            <w:webHidden/>
          </w:rPr>
          <w:fldChar w:fldCharType="end"/>
        </w:r>
      </w:hyperlink>
    </w:p>
    <w:p w14:paraId="6A26D0FB" w14:textId="59E9CD69" w:rsidR="008B44A1" w:rsidRDefault="008B44A1">
      <w:pPr>
        <w:pStyle w:val="TM3"/>
        <w:rPr>
          <w:rFonts w:asciiTheme="minorHAnsi" w:eastAsiaTheme="minorEastAsia" w:hAnsiTheme="minorHAnsi" w:cstheme="minorBidi"/>
          <w:noProof/>
          <w:lang w:eastAsia="fr-FR" w:bidi="ar-SA"/>
        </w:rPr>
      </w:pPr>
      <w:hyperlink w:anchor="_Toc215131907" w:history="1">
        <w:r w:rsidRPr="00B27C46">
          <w:rPr>
            <w:rStyle w:val="Lienhypertexte"/>
            <w:noProof/>
          </w:rPr>
          <w:t>8.3.4.</w:t>
        </w:r>
        <w:r>
          <w:rPr>
            <w:rFonts w:asciiTheme="minorHAnsi" w:eastAsiaTheme="minorEastAsia" w:hAnsiTheme="minorHAnsi" w:cstheme="minorBidi"/>
            <w:noProof/>
            <w:lang w:eastAsia="fr-FR" w:bidi="ar-SA"/>
          </w:rPr>
          <w:tab/>
        </w:r>
        <w:r w:rsidRPr="00B27C46">
          <w:rPr>
            <w:rStyle w:val="Lienhypertexte"/>
            <w:noProof/>
          </w:rPr>
          <w:t>Actions de sensibilisation</w:t>
        </w:r>
        <w:r>
          <w:rPr>
            <w:noProof/>
            <w:webHidden/>
          </w:rPr>
          <w:tab/>
        </w:r>
        <w:r>
          <w:rPr>
            <w:noProof/>
            <w:webHidden/>
          </w:rPr>
          <w:fldChar w:fldCharType="begin"/>
        </w:r>
        <w:r>
          <w:rPr>
            <w:noProof/>
            <w:webHidden/>
          </w:rPr>
          <w:instrText xml:space="preserve"> PAGEREF _Toc215131907 \h </w:instrText>
        </w:r>
        <w:r>
          <w:rPr>
            <w:noProof/>
            <w:webHidden/>
          </w:rPr>
        </w:r>
        <w:r>
          <w:rPr>
            <w:noProof/>
            <w:webHidden/>
          </w:rPr>
          <w:fldChar w:fldCharType="separate"/>
        </w:r>
        <w:r>
          <w:rPr>
            <w:noProof/>
            <w:webHidden/>
          </w:rPr>
          <w:t>491</w:t>
        </w:r>
        <w:r>
          <w:rPr>
            <w:noProof/>
            <w:webHidden/>
          </w:rPr>
          <w:fldChar w:fldCharType="end"/>
        </w:r>
      </w:hyperlink>
    </w:p>
    <w:p w14:paraId="6E2C24EB" w14:textId="79D8AAC5" w:rsidR="008B44A1" w:rsidRDefault="008B44A1">
      <w:pPr>
        <w:pStyle w:val="TM3"/>
        <w:rPr>
          <w:rFonts w:asciiTheme="minorHAnsi" w:eastAsiaTheme="minorEastAsia" w:hAnsiTheme="minorHAnsi" w:cstheme="minorBidi"/>
          <w:noProof/>
          <w:lang w:eastAsia="fr-FR" w:bidi="ar-SA"/>
        </w:rPr>
      </w:pPr>
      <w:hyperlink w:anchor="_Toc215131908" w:history="1">
        <w:r w:rsidRPr="00B27C46">
          <w:rPr>
            <w:rStyle w:val="Lienhypertexte"/>
            <w:noProof/>
          </w:rPr>
          <w:t>8.3.5.</w:t>
        </w:r>
        <w:r>
          <w:rPr>
            <w:rFonts w:asciiTheme="minorHAnsi" w:eastAsiaTheme="minorEastAsia" w:hAnsiTheme="minorHAnsi" w:cstheme="minorBidi"/>
            <w:noProof/>
            <w:lang w:eastAsia="fr-FR" w:bidi="ar-SA"/>
          </w:rPr>
          <w:tab/>
        </w:r>
        <w:r w:rsidRPr="00B27C46">
          <w:rPr>
            <w:rStyle w:val="Lienhypertexte"/>
            <w:noProof/>
          </w:rPr>
          <w:t>Fréquence et évaluation</w:t>
        </w:r>
        <w:r>
          <w:rPr>
            <w:noProof/>
            <w:webHidden/>
          </w:rPr>
          <w:tab/>
        </w:r>
        <w:r>
          <w:rPr>
            <w:noProof/>
            <w:webHidden/>
          </w:rPr>
          <w:fldChar w:fldCharType="begin"/>
        </w:r>
        <w:r>
          <w:rPr>
            <w:noProof/>
            <w:webHidden/>
          </w:rPr>
          <w:instrText xml:space="preserve"> PAGEREF _Toc215131908 \h </w:instrText>
        </w:r>
        <w:r>
          <w:rPr>
            <w:noProof/>
            <w:webHidden/>
          </w:rPr>
        </w:r>
        <w:r>
          <w:rPr>
            <w:noProof/>
            <w:webHidden/>
          </w:rPr>
          <w:fldChar w:fldCharType="separate"/>
        </w:r>
        <w:r>
          <w:rPr>
            <w:noProof/>
            <w:webHidden/>
          </w:rPr>
          <w:t>491</w:t>
        </w:r>
        <w:r>
          <w:rPr>
            <w:noProof/>
            <w:webHidden/>
          </w:rPr>
          <w:fldChar w:fldCharType="end"/>
        </w:r>
      </w:hyperlink>
    </w:p>
    <w:p w14:paraId="2E912F40" w14:textId="29A051AB" w:rsidR="008B44A1" w:rsidRDefault="008B44A1">
      <w:pPr>
        <w:pStyle w:val="TM3"/>
        <w:rPr>
          <w:rFonts w:asciiTheme="minorHAnsi" w:eastAsiaTheme="minorEastAsia" w:hAnsiTheme="minorHAnsi" w:cstheme="minorBidi"/>
          <w:noProof/>
          <w:lang w:eastAsia="fr-FR" w:bidi="ar-SA"/>
        </w:rPr>
      </w:pPr>
      <w:hyperlink w:anchor="_Toc215131909" w:history="1">
        <w:r w:rsidRPr="00B27C46">
          <w:rPr>
            <w:rStyle w:val="Lienhypertexte"/>
            <w:noProof/>
          </w:rPr>
          <w:t>8.3.6.</w:t>
        </w:r>
        <w:r>
          <w:rPr>
            <w:rFonts w:asciiTheme="minorHAnsi" w:eastAsiaTheme="minorEastAsia" w:hAnsiTheme="minorHAnsi" w:cstheme="minorBidi"/>
            <w:noProof/>
            <w:lang w:eastAsia="fr-FR" w:bidi="ar-SA"/>
          </w:rPr>
          <w:tab/>
        </w:r>
        <w:r w:rsidRPr="00B27C46">
          <w:rPr>
            <w:rStyle w:val="Lienhypertexte"/>
            <w:noProof/>
          </w:rPr>
          <w:t>Mécanisme de Gestion des plaintes</w:t>
        </w:r>
        <w:r>
          <w:rPr>
            <w:noProof/>
            <w:webHidden/>
          </w:rPr>
          <w:tab/>
        </w:r>
        <w:r>
          <w:rPr>
            <w:noProof/>
            <w:webHidden/>
          </w:rPr>
          <w:fldChar w:fldCharType="begin"/>
        </w:r>
        <w:r>
          <w:rPr>
            <w:noProof/>
            <w:webHidden/>
          </w:rPr>
          <w:instrText xml:space="preserve"> PAGEREF _Toc215131909 \h </w:instrText>
        </w:r>
        <w:r>
          <w:rPr>
            <w:noProof/>
            <w:webHidden/>
          </w:rPr>
        </w:r>
        <w:r>
          <w:rPr>
            <w:noProof/>
            <w:webHidden/>
          </w:rPr>
          <w:fldChar w:fldCharType="separate"/>
        </w:r>
        <w:r>
          <w:rPr>
            <w:noProof/>
            <w:webHidden/>
          </w:rPr>
          <w:t>492</w:t>
        </w:r>
        <w:r>
          <w:rPr>
            <w:noProof/>
            <w:webHidden/>
          </w:rPr>
          <w:fldChar w:fldCharType="end"/>
        </w:r>
      </w:hyperlink>
    </w:p>
    <w:p w14:paraId="12CE890A" w14:textId="6AB6E77D" w:rsidR="008B44A1" w:rsidRDefault="008B44A1">
      <w:pPr>
        <w:pStyle w:val="TM1"/>
        <w:tabs>
          <w:tab w:val="left" w:pos="440"/>
          <w:tab w:val="right" w:leader="dot" w:pos="9062"/>
        </w:tabs>
        <w:rPr>
          <w:rFonts w:asciiTheme="minorHAnsi" w:eastAsiaTheme="minorEastAsia" w:hAnsiTheme="minorHAnsi" w:cstheme="minorBidi"/>
          <w:noProof/>
          <w:lang w:eastAsia="fr-FR" w:bidi="ar-SA"/>
        </w:rPr>
      </w:pPr>
      <w:hyperlink w:anchor="_Toc215131910" w:history="1">
        <w:r w:rsidRPr="00B27C46">
          <w:rPr>
            <w:rStyle w:val="Lienhypertexte"/>
            <w:noProof/>
          </w:rPr>
          <w:t>9.</w:t>
        </w:r>
        <w:r>
          <w:rPr>
            <w:rFonts w:asciiTheme="minorHAnsi" w:eastAsiaTheme="minorEastAsia" w:hAnsiTheme="minorHAnsi" w:cstheme="minorBidi"/>
            <w:noProof/>
            <w:lang w:eastAsia="fr-FR" w:bidi="ar-SA"/>
          </w:rPr>
          <w:tab/>
        </w:r>
        <w:r w:rsidRPr="00B27C46">
          <w:rPr>
            <w:rStyle w:val="Lienhypertexte"/>
            <w:noProof/>
          </w:rPr>
          <w:t>Plan de Gestion Environnementale et Sociale</w:t>
        </w:r>
        <w:r>
          <w:rPr>
            <w:noProof/>
            <w:webHidden/>
          </w:rPr>
          <w:tab/>
        </w:r>
        <w:r>
          <w:rPr>
            <w:noProof/>
            <w:webHidden/>
          </w:rPr>
          <w:fldChar w:fldCharType="begin"/>
        </w:r>
        <w:r>
          <w:rPr>
            <w:noProof/>
            <w:webHidden/>
          </w:rPr>
          <w:instrText xml:space="preserve"> PAGEREF _Toc215131910 \h </w:instrText>
        </w:r>
        <w:r>
          <w:rPr>
            <w:noProof/>
            <w:webHidden/>
          </w:rPr>
        </w:r>
        <w:r>
          <w:rPr>
            <w:noProof/>
            <w:webHidden/>
          </w:rPr>
          <w:fldChar w:fldCharType="separate"/>
        </w:r>
        <w:r>
          <w:rPr>
            <w:noProof/>
            <w:webHidden/>
          </w:rPr>
          <w:t>496</w:t>
        </w:r>
        <w:r>
          <w:rPr>
            <w:noProof/>
            <w:webHidden/>
          </w:rPr>
          <w:fldChar w:fldCharType="end"/>
        </w:r>
      </w:hyperlink>
    </w:p>
    <w:p w14:paraId="186BEF7F" w14:textId="76C776A9" w:rsidR="008B44A1" w:rsidRDefault="008B44A1">
      <w:pPr>
        <w:pStyle w:val="TM2"/>
        <w:rPr>
          <w:rFonts w:asciiTheme="minorHAnsi" w:eastAsiaTheme="minorEastAsia" w:hAnsiTheme="minorHAnsi" w:cstheme="minorBidi"/>
          <w:noProof/>
          <w:lang w:eastAsia="fr-FR" w:bidi="ar-SA"/>
        </w:rPr>
      </w:pPr>
      <w:hyperlink w:anchor="_Toc215131911" w:history="1">
        <w:r w:rsidRPr="00B27C46">
          <w:rPr>
            <w:rStyle w:val="Lienhypertexte"/>
            <w:noProof/>
            <w:lang w:val="fr-MA" w:eastAsia="fr-FR"/>
          </w:rPr>
          <w:t>9.1.</w:t>
        </w:r>
        <w:r>
          <w:rPr>
            <w:rFonts w:asciiTheme="minorHAnsi" w:eastAsiaTheme="minorEastAsia" w:hAnsiTheme="minorHAnsi" w:cstheme="minorBidi"/>
            <w:noProof/>
            <w:lang w:eastAsia="fr-FR" w:bidi="ar-SA"/>
          </w:rPr>
          <w:tab/>
        </w:r>
        <w:r w:rsidRPr="00B27C46">
          <w:rPr>
            <w:rStyle w:val="Lienhypertexte"/>
            <w:noProof/>
            <w:lang w:val="fr-MA" w:eastAsia="fr-FR"/>
          </w:rPr>
          <w:t>Objectifs du PGES</w:t>
        </w:r>
        <w:r>
          <w:rPr>
            <w:noProof/>
            <w:webHidden/>
          </w:rPr>
          <w:tab/>
        </w:r>
        <w:r>
          <w:rPr>
            <w:noProof/>
            <w:webHidden/>
          </w:rPr>
          <w:fldChar w:fldCharType="begin"/>
        </w:r>
        <w:r>
          <w:rPr>
            <w:noProof/>
            <w:webHidden/>
          </w:rPr>
          <w:instrText xml:space="preserve"> PAGEREF _Toc215131911 \h </w:instrText>
        </w:r>
        <w:r>
          <w:rPr>
            <w:noProof/>
            <w:webHidden/>
          </w:rPr>
        </w:r>
        <w:r>
          <w:rPr>
            <w:noProof/>
            <w:webHidden/>
          </w:rPr>
          <w:fldChar w:fldCharType="separate"/>
        </w:r>
        <w:r>
          <w:rPr>
            <w:noProof/>
            <w:webHidden/>
          </w:rPr>
          <w:t>496</w:t>
        </w:r>
        <w:r>
          <w:rPr>
            <w:noProof/>
            <w:webHidden/>
          </w:rPr>
          <w:fldChar w:fldCharType="end"/>
        </w:r>
      </w:hyperlink>
    </w:p>
    <w:p w14:paraId="7FCF8AB6" w14:textId="3F42F7DA" w:rsidR="008B44A1" w:rsidRDefault="008B44A1">
      <w:pPr>
        <w:pStyle w:val="TM2"/>
        <w:rPr>
          <w:rFonts w:asciiTheme="minorHAnsi" w:eastAsiaTheme="minorEastAsia" w:hAnsiTheme="minorHAnsi" w:cstheme="minorBidi"/>
          <w:noProof/>
          <w:lang w:eastAsia="fr-FR" w:bidi="ar-SA"/>
        </w:rPr>
      </w:pPr>
      <w:hyperlink w:anchor="_Toc215131912" w:history="1">
        <w:r w:rsidRPr="00B27C46">
          <w:rPr>
            <w:rStyle w:val="Lienhypertexte"/>
            <w:noProof/>
            <w:lang w:val="fr-MA" w:eastAsia="fr-FR"/>
          </w:rPr>
          <w:t>9.2.</w:t>
        </w:r>
        <w:r>
          <w:rPr>
            <w:rFonts w:asciiTheme="minorHAnsi" w:eastAsiaTheme="minorEastAsia" w:hAnsiTheme="minorHAnsi" w:cstheme="minorBidi"/>
            <w:noProof/>
            <w:lang w:eastAsia="fr-FR" w:bidi="ar-SA"/>
          </w:rPr>
          <w:tab/>
        </w:r>
        <w:r w:rsidRPr="00B27C46">
          <w:rPr>
            <w:rStyle w:val="Lienhypertexte"/>
            <w:noProof/>
            <w:lang w:val="fr-MA" w:eastAsia="fr-FR"/>
          </w:rPr>
          <w:t>Portée et application du PGES</w:t>
        </w:r>
        <w:r>
          <w:rPr>
            <w:noProof/>
            <w:webHidden/>
          </w:rPr>
          <w:tab/>
        </w:r>
        <w:r>
          <w:rPr>
            <w:noProof/>
            <w:webHidden/>
          </w:rPr>
          <w:fldChar w:fldCharType="begin"/>
        </w:r>
        <w:r>
          <w:rPr>
            <w:noProof/>
            <w:webHidden/>
          </w:rPr>
          <w:instrText xml:space="preserve"> PAGEREF _Toc215131912 \h </w:instrText>
        </w:r>
        <w:r>
          <w:rPr>
            <w:noProof/>
            <w:webHidden/>
          </w:rPr>
        </w:r>
        <w:r>
          <w:rPr>
            <w:noProof/>
            <w:webHidden/>
          </w:rPr>
          <w:fldChar w:fldCharType="separate"/>
        </w:r>
        <w:r>
          <w:rPr>
            <w:noProof/>
            <w:webHidden/>
          </w:rPr>
          <w:t>496</w:t>
        </w:r>
        <w:r>
          <w:rPr>
            <w:noProof/>
            <w:webHidden/>
          </w:rPr>
          <w:fldChar w:fldCharType="end"/>
        </w:r>
      </w:hyperlink>
    </w:p>
    <w:p w14:paraId="5809756E" w14:textId="115EF340" w:rsidR="008B44A1" w:rsidRDefault="008B44A1">
      <w:pPr>
        <w:pStyle w:val="TM2"/>
        <w:rPr>
          <w:rFonts w:asciiTheme="minorHAnsi" w:eastAsiaTheme="minorEastAsia" w:hAnsiTheme="minorHAnsi" w:cstheme="minorBidi"/>
          <w:noProof/>
          <w:lang w:eastAsia="fr-FR" w:bidi="ar-SA"/>
        </w:rPr>
      </w:pPr>
      <w:hyperlink w:anchor="_Toc215131913" w:history="1">
        <w:r w:rsidRPr="00B27C46">
          <w:rPr>
            <w:rStyle w:val="Lienhypertexte"/>
            <w:noProof/>
            <w:lang w:val="fr-MA" w:eastAsia="fr-FR"/>
          </w:rPr>
          <w:t>9.3.</w:t>
        </w:r>
        <w:r>
          <w:rPr>
            <w:rFonts w:asciiTheme="minorHAnsi" w:eastAsiaTheme="minorEastAsia" w:hAnsiTheme="minorHAnsi" w:cstheme="minorBidi"/>
            <w:noProof/>
            <w:lang w:eastAsia="fr-FR" w:bidi="ar-SA"/>
          </w:rPr>
          <w:tab/>
        </w:r>
        <w:r w:rsidRPr="00B27C46">
          <w:rPr>
            <w:rStyle w:val="Lienhypertexte"/>
            <w:noProof/>
            <w:lang w:val="fr-MA" w:eastAsia="fr-FR"/>
          </w:rPr>
          <w:t>Organisation et responsabilités institutionnelles</w:t>
        </w:r>
        <w:r>
          <w:rPr>
            <w:noProof/>
            <w:webHidden/>
          </w:rPr>
          <w:tab/>
        </w:r>
        <w:r>
          <w:rPr>
            <w:noProof/>
            <w:webHidden/>
          </w:rPr>
          <w:fldChar w:fldCharType="begin"/>
        </w:r>
        <w:r>
          <w:rPr>
            <w:noProof/>
            <w:webHidden/>
          </w:rPr>
          <w:instrText xml:space="preserve"> PAGEREF _Toc215131913 \h </w:instrText>
        </w:r>
        <w:r>
          <w:rPr>
            <w:noProof/>
            <w:webHidden/>
          </w:rPr>
        </w:r>
        <w:r>
          <w:rPr>
            <w:noProof/>
            <w:webHidden/>
          </w:rPr>
          <w:fldChar w:fldCharType="separate"/>
        </w:r>
        <w:r>
          <w:rPr>
            <w:noProof/>
            <w:webHidden/>
          </w:rPr>
          <w:t>497</w:t>
        </w:r>
        <w:r>
          <w:rPr>
            <w:noProof/>
            <w:webHidden/>
          </w:rPr>
          <w:fldChar w:fldCharType="end"/>
        </w:r>
      </w:hyperlink>
    </w:p>
    <w:p w14:paraId="7DEAECFA" w14:textId="241FAA4A" w:rsidR="008B44A1" w:rsidRDefault="008B44A1">
      <w:pPr>
        <w:pStyle w:val="TM3"/>
        <w:rPr>
          <w:rFonts w:asciiTheme="minorHAnsi" w:eastAsiaTheme="minorEastAsia" w:hAnsiTheme="minorHAnsi" w:cstheme="minorBidi"/>
          <w:noProof/>
          <w:lang w:eastAsia="fr-FR" w:bidi="ar-SA"/>
        </w:rPr>
      </w:pPr>
      <w:hyperlink w:anchor="_Toc215131914" w:history="1">
        <w:r w:rsidRPr="00B27C46">
          <w:rPr>
            <w:rStyle w:val="Lienhypertexte"/>
            <w:noProof/>
            <w:lang w:val="fr-MA" w:eastAsia="fr-FR"/>
          </w:rPr>
          <w:t>9.3.1.</w:t>
        </w:r>
        <w:r>
          <w:rPr>
            <w:rFonts w:asciiTheme="minorHAnsi" w:eastAsiaTheme="minorEastAsia" w:hAnsiTheme="minorHAnsi" w:cstheme="minorBidi"/>
            <w:noProof/>
            <w:lang w:eastAsia="fr-FR" w:bidi="ar-SA"/>
          </w:rPr>
          <w:tab/>
        </w:r>
        <w:r w:rsidRPr="00B27C46">
          <w:rPr>
            <w:rStyle w:val="Lienhypertexte"/>
            <w:noProof/>
            <w:lang w:val="fr-MA" w:eastAsia="fr-FR"/>
          </w:rPr>
          <w:t>Principes de gouvernance environnementale et sociale</w:t>
        </w:r>
        <w:r>
          <w:rPr>
            <w:noProof/>
            <w:webHidden/>
          </w:rPr>
          <w:tab/>
        </w:r>
        <w:r>
          <w:rPr>
            <w:noProof/>
            <w:webHidden/>
          </w:rPr>
          <w:fldChar w:fldCharType="begin"/>
        </w:r>
        <w:r>
          <w:rPr>
            <w:noProof/>
            <w:webHidden/>
          </w:rPr>
          <w:instrText xml:space="preserve"> PAGEREF _Toc215131914 \h </w:instrText>
        </w:r>
        <w:r>
          <w:rPr>
            <w:noProof/>
            <w:webHidden/>
          </w:rPr>
        </w:r>
        <w:r>
          <w:rPr>
            <w:noProof/>
            <w:webHidden/>
          </w:rPr>
          <w:fldChar w:fldCharType="separate"/>
        </w:r>
        <w:r>
          <w:rPr>
            <w:noProof/>
            <w:webHidden/>
          </w:rPr>
          <w:t>497</w:t>
        </w:r>
        <w:r>
          <w:rPr>
            <w:noProof/>
            <w:webHidden/>
          </w:rPr>
          <w:fldChar w:fldCharType="end"/>
        </w:r>
      </w:hyperlink>
    </w:p>
    <w:p w14:paraId="389221DD" w14:textId="383E888B" w:rsidR="008B44A1" w:rsidRDefault="008B44A1">
      <w:pPr>
        <w:pStyle w:val="TM3"/>
        <w:rPr>
          <w:rFonts w:asciiTheme="minorHAnsi" w:eastAsiaTheme="minorEastAsia" w:hAnsiTheme="minorHAnsi" w:cstheme="minorBidi"/>
          <w:noProof/>
          <w:lang w:eastAsia="fr-FR" w:bidi="ar-SA"/>
        </w:rPr>
      </w:pPr>
      <w:hyperlink w:anchor="_Toc215131915" w:history="1">
        <w:r w:rsidRPr="00B27C46">
          <w:rPr>
            <w:rStyle w:val="Lienhypertexte"/>
            <w:noProof/>
            <w:lang w:val="fr-MA" w:eastAsia="fr-FR"/>
          </w:rPr>
          <w:t>9.3.2.</w:t>
        </w:r>
        <w:r>
          <w:rPr>
            <w:rFonts w:asciiTheme="minorHAnsi" w:eastAsiaTheme="minorEastAsia" w:hAnsiTheme="minorHAnsi" w:cstheme="minorBidi"/>
            <w:noProof/>
            <w:lang w:eastAsia="fr-FR" w:bidi="ar-SA"/>
          </w:rPr>
          <w:tab/>
        </w:r>
        <w:r w:rsidRPr="00B27C46">
          <w:rPr>
            <w:rStyle w:val="Lienhypertexte"/>
            <w:noProof/>
            <w:lang w:val="fr-MA" w:eastAsia="fr-FR"/>
          </w:rPr>
          <w:t>Acteurs et responsabilité</w:t>
        </w:r>
        <w:r>
          <w:rPr>
            <w:noProof/>
            <w:webHidden/>
          </w:rPr>
          <w:tab/>
        </w:r>
        <w:r>
          <w:rPr>
            <w:noProof/>
            <w:webHidden/>
          </w:rPr>
          <w:fldChar w:fldCharType="begin"/>
        </w:r>
        <w:r>
          <w:rPr>
            <w:noProof/>
            <w:webHidden/>
          </w:rPr>
          <w:instrText xml:space="preserve"> PAGEREF _Toc215131915 \h </w:instrText>
        </w:r>
        <w:r>
          <w:rPr>
            <w:noProof/>
            <w:webHidden/>
          </w:rPr>
        </w:r>
        <w:r>
          <w:rPr>
            <w:noProof/>
            <w:webHidden/>
          </w:rPr>
          <w:fldChar w:fldCharType="separate"/>
        </w:r>
        <w:r>
          <w:rPr>
            <w:noProof/>
            <w:webHidden/>
          </w:rPr>
          <w:t>497</w:t>
        </w:r>
        <w:r>
          <w:rPr>
            <w:noProof/>
            <w:webHidden/>
          </w:rPr>
          <w:fldChar w:fldCharType="end"/>
        </w:r>
      </w:hyperlink>
    </w:p>
    <w:p w14:paraId="5929FC9E" w14:textId="498C28E6" w:rsidR="008B44A1" w:rsidRDefault="008B44A1">
      <w:pPr>
        <w:pStyle w:val="TM3"/>
        <w:rPr>
          <w:rFonts w:asciiTheme="minorHAnsi" w:eastAsiaTheme="minorEastAsia" w:hAnsiTheme="minorHAnsi" w:cstheme="minorBidi"/>
          <w:noProof/>
          <w:lang w:eastAsia="fr-FR" w:bidi="ar-SA"/>
        </w:rPr>
      </w:pPr>
      <w:hyperlink w:anchor="_Toc215131916" w:history="1">
        <w:r w:rsidRPr="00B27C46">
          <w:rPr>
            <w:rStyle w:val="Lienhypertexte"/>
            <w:noProof/>
            <w:lang w:val="fr-MA" w:eastAsia="fr-FR"/>
          </w:rPr>
          <w:t>9.3.3.</w:t>
        </w:r>
        <w:r>
          <w:rPr>
            <w:rFonts w:asciiTheme="minorHAnsi" w:eastAsiaTheme="minorEastAsia" w:hAnsiTheme="minorHAnsi" w:cstheme="minorBidi"/>
            <w:noProof/>
            <w:lang w:eastAsia="fr-FR" w:bidi="ar-SA"/>
          </w:rPr>
          <w:tab/>
        </w:r>
        <w:r w:rsidRPr="00B27C46">
          <w:rPr>
            <w:rStyle w:val="Lienhypertexte"/>
            <w:noProof/>
            <w:lang w:val="fr-MA" w:eastAsia="fr-FR"/>
          </w:rPr>
          <w:t>Ressources humaines et profils requis</w:t>
        </w:r>
        <w:r>
          <w:rPr>
            <w:noProof/>
            <w:webHidden/>
          </w:rPr>
          <w:tab/>
        </w:r>
        <w:r>
          <w:rPr>
            <w:noProof/>
            <w:webHidden/>
          </w:rPr>
          <w:fldChar w:fldCharType="begin"/>
        </w:r>
        <w:r>
          <w:rPr>
            <w:noProof/>
            <w:webHidden/>
          </w:rPr>
          <w:instrText xml:space="preserve"> PAGEREF _Toc215131916 \h </w:instrText>
        </w:r>
        <w:r>
          <w:rPr>
            <w:noProof/>
            <w:webHidden/>
          </w:rPr>
        </w:r>
        <w:r>
          <w:rPr>
            <w:noProof/>
            <w:webHidden/>
          </w:rPr>
          <w:fldChar w:fldCharType="separate"/>
        </w:r>
        <w:r>
          <w:rPr>
            <w:noProof/>
            <w:webHidden/>
          </w:rPr>
          <w:t>499</w:t>
        </w:r>
        <w:r>
          <w:rPr>
            <w:noProof/>
            <w:webHidden/>
          </w:rPr>
          <w:fldChar w:fldCharType="end"/>
        </w:r>
      </w:hyperlink>
    </w:p>
    <w:p w14:paraId="3ACD115D" w14:textId="54B31FA2" w:rsidR="008B44A1" w:rsidRDefault="008B44A1">
      <w:pPr>
        <w:pStyle w:val="TM2"/>
        <w:rPr>
          <w:rFonts w:asciiTheme="minorHAnsi" w:eastAsiaTheme="minorEastAsia" w:hAnsiTheme="minorHAnsi" w:cstheme="minorBidi"/>
          <w:noProof/>
          <w:lang w:eastAsia="fr-FR" w:bidi="ar-SA"/>
        </w:rPr>
      </w:pPr>
      <w:hyperlink w:anchor="_Toc215131917" w:history="1">
        <w:r w:rsidRPr="00B27C46">
          <w:rPr>
            <w:rStyle w:val="Lienhypertexte"/>
            <w:noProof/>
            <w:lang w:val="fr-MA"/>
          </w:rPr>
          <w:t>9.4.</w:t>
        </w:r>
        <w:r>
          <w:rPr>
            <w:rFonts w:asciiTheme="minorHAnsi" w:eastAsiaTheme="minorEastAsia" w:hAnsiTheme="minorHAnsi" w:cstheme="minorBidi"/>
            <w:noProof/>
            <w:lang w:eastAsia="fr-FR" w:bidi="ar-SA"/>
          </w:rPr>
          <w:tab/>
        </w:r>
        <w:r w:rsidRPr="00B27C46">
          <w:rPr>
            <w:rStyle w:val="Lienhypertexte"/>
            <w:noProof/>
          </w:rPr>
          <w:t>Synthèse des mesures d’atténuation</w:t>
        </w:r>
        <w:r>
          <w:rPr>
            <w:noProof/>
            <w:webHidden/>
          </w:rPr>
          <w:tab/>
        </w:r>
        <w:r>
          <w:rPr>
            <w:noProof/>
            <w:webHidden/>
          </w:rPr>
          <w:fldChar w:fldCharType="begin"/>
        </w:r>
        <w:r>
          <w:rPr>
            <w:noProof/>
            <w:webHidden/>
          </w:rPr>
          <w:instrText xml:space="preserve"> PAGEREF _Toc215131917 \h </w:instrText>
        </w:r>
        <w:r>
          <w:rPr>
            <w:noProof/>
            <w:webHidden/>
          </w:rPr>
        </w:r>
        <w:r>
          <w:rPr>
            <w:noProof/>
            <w:webHidden/>
          </w:rPr>
          <w:fldChar w:fldCharType="separate"/>
        </w:r>
        <w:r>
          <w:rPr>
            <w:noProof/>
            <w:webHidden/>
          </w:rPr>
          <w:t>501</w:t>
        </w:r>
        <w:r>
          <w:rPr>
            <w:noProof/>
            <w:webHidden/>
          </w:rPr>
          <w:fldChar w:fldCharType="end"/>
        </w:r>
      </w:hyperlink>
    </w:p>
    <w:p w14:paraId="68200010" w14:textId="42AEF6DA" w:rsidR="008B44A1" w:rsidRDefault="008B44A1">
      <w:pPr>
        <w:pStyle w:val="TM2"/>
        <w:rPr>
          <w:rFonts w:asciiTheme="minorHAnsi" w:eastAsiaTheme="minorEastAsia" w:hAnsiTheme="minorHAnsi" w:cstheme="minorBidi"/>
          <w:noProof/>
          <w:lang w:eastAsia="fr-FR" w:bidi="ar-SA"/>
        </w:rPr>
      </w:pPr>
      <w:hyperlink w:anchor="_Toc215131918" w:history="1">
        <w:r w:rsidRPr="00B27C46">
          <w:rPr>
            <w:rStyle w:val="Lienhypertexte"/>
            <w:noProof/>
            <w:lang w:val="fr-MA"/>
          </w:rPr>
          <w:t>9.5.</w:t>
        </w:r>
        <w:r>
          <w:rPr>
            <w:rFonts w:asciiTheme="minorHAnsi" w:eastAsiaTheme="minorEastAsia" w:hAnsiTheme="minorHAnsi" w:cstheme="minorBidi"/>
            <w:noProof/>
            <w:lang w:eastAsia="fr-FR" w:bidi="ar-SA"/>
          </w:rPr>
          <w:tab/>
        </w:r>
        <w:r w:rsidRPr="00B27C46">
          <w:rPr>
            <w:rStyle w:val="Lienhypertexte"/>
            <w:noProof/>
            <w:lang w:val="fr-MA"/>
          </w:rPr>
          <w:t>Programme de surveillance, d’inspection et d’audit</w:t>
        </w:r>
        <w:r>
          <w:rPr>
            <w:noProof/>
            <w:webHidden/>
          </w:rPr>
          <w:tab/>
        </w:r>
        <w:r>
          <w:rPr>
            <w:noProof/>
            <w:webHidden/>
          </w:rPr>
          <w:fldChar w:fldCharType="begin"/>
        </w:r>
        <w:r>
          <w:rPr>
            <w:noProof/>
            <w:webHidden/>
          </w:rPr>
          <w:instrText xml:space="preserve"> PAGEREF _Toc215131918 \h </w:instrText>
        </w:r>
        <w:r>
          <w:rPr>
            <w:noProof/>
            <w:webHidden/>
          </w:rPr>
        </w:r>
        <w:r>
          <w:rPr>
            <w:noProof/>
            <w:webHidden/>
          </w:rPr>
          <w:fldChar w:fldCharType="separate"/>
        </w:r>
        <w:r>
          <w:rPr>
            <w:noProof/>
            <w:webHidden/>
          </w:rPr>
          <w:t>502</w:t>
        </w:r>
        <w:r>
          <w:rPr>
            <w:noProof/>
            <w:webHidden/>
          </w:rPr>
          <w:fldChar w:fldCharType="end"/>
        </w:r>
      </w:hyperlink>
    </w:p>
    <w:p w14:paraId="2EAF5981" w14:textId="56FD2EE0" w:rsidR="008B44A1" w:rsidRDefault="008B44A1">
      <w:pPr>
        <w:pStyle w:val="TM3"/>
        <w:rPr>
          <w:rFonts w:asciiTheme="minorHAnsi" w:eastAsiaTheme="minorEastAsia" w:hAnsiTheme="minorHAnsi" w:cstheme="minorBidi"/>
          <w:noProof/>
          <w:lang w:eastAsia="fr-FR" w:bidi="ar-SA"/>
        </w:rPr>
      </w:pPr>
      <w:hyperlink w:anchor="_Toc215131919" w:history="1">
        <w:r w:rsidRPr="00B27C46">
          <w:rPr>
            <w:rStyle w:val="Lienhypertexte"/>
            <w:bCs/>
            <w:noProof/>
          </w:rPr>
          <w:t>9.5.1.</w:t>
        </w:r>
        <w:r>
          <w:rPr>
            <w:rFonts w:asciiTheme="minorHAnsi" w:eastAsiaTheme="minorEastAsia" w:hAnsiTheme="minorHAnsi" w:cstheme="minorBidi"/>
            <w:noProof/>
            <w:lang w:eastAsia="fr-FR" w:bidi="ar-SA"/>
          </w:rPr>
          <w:tab/>
        </w:r>
        <w:r w:rsidRPr="00B27C46">
          <w:rPr>
            <w:rStyle w:val="Lienhypertexte"/>
            <w:bCs/>
            <w:noProof/>
          </w:rPr>
          <w:t>Dispositif de coordination et de communication</w:t>
        </w:r>
        <w:r>
          <w:rPr>
            <w:noProof/>
            <w:webHidden/>
          </w:rPr>
          <w:tab/>
        </w:r>
        <w:r>
          <w:rPr>
            <w:noProof/>
            <w:webHidden/>
          </w:rPr>
          <w:fldChar w:fldCharType="begin"/>
        </w:r>
        <w:r>
          <w:rPr>
            <w:noProof/>
            <w:webHidden/>
          </w:rPr>
          <w:instrText xml:space="preserve"> PAGEREF _Toc215131919 \h </w:instrText>
        </w:r>
        <w:r>
          <w:rPr>
            <w:noProof/>
            <w:webHidden/>
          </w:rPr>
        </w:r>
        <w:r>
          <w:rPr>
            <w:noProof/>
            <w:webHidden/>
          </w:rPr>
          <w:fldChar w:fldCharType="separate"/>
        </w:r>
        <w:r>
          <w:rPr>
            <w:noProof/>
            <w:webHidden/>
          </w:rPr>
          <w:t>502</w:t>
        </w:r>
        <w:r>
          <w:rPr>
            <w:noProof/>
            <w:webHidden/>
          </w:rPr>
          <w:fldChar w:fldCharType="end"/>
        </w:r>
      </w:hyperlink>
    </w:p>
    <w:p w14:paraId="18096EBA" w14:textId="5C6E8B1F" w:rsidR="008B44A1" w:rsidRDefault="008B44A1">
      <w:pPr>
        <w:pStyle w:val="TM3"/>
        <w:rPr>
          <w:rFonts w:asciiTheme="minorHAnsi" w:eastAsiaTheme="minorEastAsia" w:hAnsiTheme="minorHAnsi" w:cstheme="minorBidi"/>
          <w:noProof/>
          <w:lang w:eastAsia="fr-FR" w:bidi="ar-SA"/>
        </w:rPr>
      </w:pPr>
      <w:hyperlink w:anchor="_Toc215131920" w:history="1">
        <w:r w:rsidRPr="00B27C46">
          <w:rPr>
            <w:rStyle w:val="Lienhypertexte"/>
            <w:noProof/>
          </w:rPr>
          <w:t>9.5.2.</w:t>
        </w:r>
        <w:r>
          <w:rPr>
            <w:rFonts w:asciiTheme="minorHAnsi" w:eastAsiaTheme="minorEastAsia" w:hAnsiTheme="minorHAnsi" w:cstheme="minorBidi"/>
            <w:noProof/>
            <w:lang w:eastAsia="fr-FR" w:bidi="ar-SA"/>
          </w:rPr>
          <w:tab/>
        </w:r>
        <w:r w:rsidRPr="00B27C46">
          <w:rPr>
            <w:rStyle w:val="Lienhypertexte"/>
            <w:noProof/>
          </w:rPr>
          <w:t>Surveillance environnementale et sociale</w:t>
        </w:r>
        <w:r>
          <w:rPr>
            <w:noProof/>
            <w:webHidden/>
          </w:rPr>
          <w:tab/>
        </w:r>
        <w:r>
          <w:rPr>
            <w:noProof/>
            <w:webHidden/>
          </w:rPr>
          <w:fldChar w:fldCharType="begin"/>
        </w:r>
        <w:r>
          <w:rPr>
            <w:noProof/>
            <w:webHidden/>
          </w:rPr>
          <w:instrText xml:space="preserve"> PAGEREF _Toc215131920 \h </w:instrText>
        </w:r>
        <w:r>
          <w:rPr>
            <w:noProof/>
            <w:webHidden/>
          </w:rPr>
        </w:r>
        <w:r>
          <w:rPr>
            <w:noProof/>
            <w:webHidden/>
          </w:rPr>
          <w:fldChar w:fldCharType="separate"/>
        </w:r>
        <w:r>
          <w:rPr>
            <w:noProof/>
            <w:webHidden/>
          </w:rPr>
          <w:t>504</w:t>
        </w:r>
        <w:r>
          <w:rPr>
            <w:noProof/>
            <w:webHidden/>
          </w:rPr>
          <w:fldChar w:fldCharType="end"/>
        </w:r>
      </w:hyperlink>
    </w:p>
    <w:p w14:paraId="3CE98646" w14:textId="3719D70F" w:rsidR="008B44A1" w:rsidRDefault="008B44A1">
      <w:pPr>
        <w:pStyle w:val="TM2"/>
        <w:rPr>
          <w:rFonts w:asciiTheme="minorHAnsi" w:eastAsiaTheme="minorEastAsia" w:hAnsiTheme="minorHAnsi" w:cstheme="minorBidi"/>
          <w:noProof/>
          <w:lang w:eastAsia="fr-FR" w:bidi="ar-SA"/>
        </w:rPr>
      </w:pPr>
      <w:hyperlink w:anchor="_Toc215131921" w:history="1">
        <w:r w:rsidRPr="00B27C46">
          <w:rPr>
            <w:rStyle w:val="Lienhypertexte"/>
            <w:noProof/>
            <w:lang w:eastAsia="zh-CN"/>
          </w:rPr>
          <w:t>9.6.</w:t>
        </w:r>
        <w:r>
          <w:rPr>
            <w:rFonts w:asciiTheme="minorHAnsi" w:eastAsiaTheme="minorEastAsia" w:hAnsiTheme="minorHAnsi" w:cstheme="minorBidi"/>
            <w:noProof/>
            <w:lang w:eastAsia="fr-FR" w:bidi="ar-SA"/>
          </w:rPr>
          <w:tab/>
        </w:r>
        <w:r w:rsidRPr="00B27C46">
          <w:rPr>
            <w:rStyle w:val="Lienhypertexte"/>
            <w:noProof/>
            <w:lang w:eastAsia="zh-CN"/>
          </w:rPr>
          <w:t>Programme de suivi environnemental</w:t>
        </w:r>
        <w:r>
          <w:rPr>
            <w:noProof/>
            <w:webHidden/>
          </w:rPr>
          <w:tab/>
        </w:r>
        <w:r>
          <w:rPr>
            <w:noProof/>
            <w:webHidden/>
          </w:rPr>
          <w:fldChar w:fldCharType="begin"/>
        </w:r>
        <w:r>
          <w:rPr>
            <w:noProof/>
            <w:webHidden/>
          </w:rPr>
          <w:instrText xml:space="preserve"> PAGEREF _Toc215131921 \h </w:instrText>
        </w:r>
        <w:r>
          <w:rPr>
            <w:noProof/>
            <w:webHidden/>
          </w:rPr>
        </w:r>
        <w:r>
          <w:rPr>
            <w:noProof/>
            <w:webHidden/>
          </w:rPr>
          <w:fldChar w:fldCharType="separate"/>
        </w:r>
        <w:r>
          <w:rPr>
            <w:noProof/>
            <w:webHidden/>
          </w:rPr>
          <w:t>506</w:t>
        </w:r>
        <w:r>
          <w:rPr>
            <w:noProof/>
            <w:webHidden/>
          </w:rPr>
          <w:fldChar w:fldCharType="end"/>
        </w:r>
      </w:hyperlink>
    </w:p>
    <w:p w14:paraId="65D107D0" w14:textId="4ECB1A64" w:rsidR="008B44A1" w:rsidRDefault="008B44A1">
      <w:pPr>
        <w:pStyle w:val="TM2"/>
        <w:rPr>
          <w:rFonts w:asciiTheme="minorHAnsi" w:eastAsiaTheme="minorEastAsia" w:hAnsiTheme="minorHAnsi" w:cstheme="minorBidi"/>
          <w:noProof/>
          <w:lang w:eastAsia="fr-FR" w:bidi="ar-SA"/>
        </w:rPr>
      </w:pPr>
      <w:hyperlink w:anchor="_Toc215131922" w:history="1">
        <w:r w:rsidRPr="00B27C46">
          <w:rPr>
            <w:rStyle w:val="Lienhypertexte"/>
            <w:noProof/>
            <w:lang w:val="fr-MA"/>
          </w:rPr>
          <w:t>9.7.</w:t>
        </w:r>
        <w:r>
          <w:rPr>
            <w:rFonts w:asciiTheme="minorHAnsi" w:eastAsiaTheme="minorEastAsia" w:hAnsiTheme="minorHAnsi" w:cstheme="minorBidi"/>
            <w:noProof/>
            <w:lang w:eastAsia="fr-FR" w:bidi="ar-SA"/>
          </w:rPr>
          <w:tab/>
        </w:r>
        <w:r w:rsidRPr="00B27C46">
          <w:rPr>
            <w:rStyle w:val="Lienhypertexte"/>
            <w:noProof/>
            <w:lang w:val="fr-MA" w:eastAsia="fr-FR"/>
          </w:rPr>
          <w:t>Les plans de gestion sectoriels environnementaux et sociaux</w:t>
        </w:r>
        <w:r>
          <w:rPr>
            <w:noProof/>
            <w:webHidden/>
          </w:rPr>
          <w:tab/>
        </w:r>
        <w:r>
          <w:rPr>
            <w:noProof/>
            <w:webHidden/>
          </w:rPr>
          <w:fldChar w:fldCharType="begin"/>
        </w:r>
        <w:r>
          <w:rPr>
            <w:noProof/>
            <w:webHidden/>
          </w:rPr>
          <w:instrText xml:space="preserve"> PAGEREF _Toc215131922 \h </w:instrText>
        </w:r>
        <w:r>
          <w:rPr>
            <w:noProof/>
            <w:webHidden/>
          </w:rPr>
        </w:r>
        <w:r>
          <w:rPr>
            <w:noProof/>
            <w:webHidden/>
          </w:rPr>
          <w:fldChar w:fldCharType="separate"/>
        </w:r>
        <w:r>
          <w:rPr>
            <w:noProof/>
            <w:webHidden/>
          </w:rPr>
          <w:t>511</w:t>
        </w:r>
        <w:r>
          <w:rPr>
            <w:noProof/>
            <w:webHidden/>
          </w:rPr>
          <w:fldChar w:fldCharType="end"/>
        </w:r>
      </w:hyperlink>
    </w:p>
    <w:p w14:paraId="1F25B558" w14:textId="3E80B0AB" w:rsidR="008B44A1" w:rsidRDefault="008B44A1">
      <w:pPr>
        <w:pStyle w:val="TM3"/>
        <w:rPr>
          <w:rFonts w:asciiTheme="minorHAnsi" w:eastAsiaTheme="minorEastAsia" w:hAnsiTheme="minorHAnsi" w:cstheme="minorBidi"/>
          <w:noProof/>
          <w:lang w:eastAsia="fr-FR" w:bidi="ar-SA"/>
        </w:rPr>
      </w:pPr>
      <w:hyperlink w:anchor="_Toc215131923" w:history="1">
        <w:r w:rsidRPr="00B27C46">
          <w:rPr>
            <w:rStyle w:val="Lienhypertexte"/>
            <w:rFonts w:eastAsia="Calibri"/>
            <w:noProof/>
          </w:rPr>
          <w:t>9.7.1.</w:t>
        </w:r>
        <w:r>
          <w:rPr>
            <w:rFonts w:asciiTheme="minorHAnsi" w:eastAsiaTheme="minorEastAsia" w:hAnsiTheme="minorHAnsi" w:cstheme="minorBidi"/>
            <w:noProof/>
            <w:lang w:eastAsia="fr-FR" w:bidi="ar-SA"/>
          </w:rPr>
          <w:tab/>
        </w:r>
        <w:r w:rsidRPr="00B27C46">
          <w:rPr>
            <w:rStyle w:val="Lienhypertexte"/>
            <w:rFonts w:eastAsia="Calibri"/>
            <w:noProof/>
          </w:rPr>
          <w:t>Plan de sécurité et de sûreté</w:t>
        </w:r>
        <w:r>
          <w:rPr>
            <w:noProof/>
            <w:webHidden/>
          </w:rPr>
          <w:tab/>
        </w:r>
        <w:r>
          <w:rPr>
            <w:noProof/>
            <w:webHidden/>
          </w:rPr>
          <w:fldChar w:fldCharType="begin"/>
        </w:r>
        <w:r>
          <w:rPr>
            <w:noProof/>
            <w:webHidden/>
          </w:rPr>
          <w:instrText xml:space="preserve"> PAGEREF _Toc215131923 \h </w:instrText>
        </w:r>
        <w:r>
          <w:rPr>
            <w:noProof/>
            <w:webHidden/>
          </w:rPr>
        </w:r>
        <w:r>
          <w:rPr>
            <w:noProof/>
            <w:webHidden/>
          </w:rPr>
          <w:fldChar w:fldCharType="separate"/>
        </w:r>
        <w:r>
          <w:rPr>
            <w:noProof/>
            <w:webHidden/>
          </w:rPr>
          <w:t>511</w:t>
        </w:r>
        <w:r>
          <w:rPr>
            <w:noProof/>
            <w:webHidden/>
          </w:rPr>
          <w:fldChar w:fldCharType="end"/>
        </w:r>
      </w:hyperlink>
    </w:p>
    <w:p w14:paraId="04AAB156" w14:textId="662DBE51" w:rsidR="008B44A1" w:rsidRDefault="008B44A1">
      <w:pPr>
        <w:pStyle w:val="TM3"/>
        <w:rPr>
          <w:rFonts w:asciiTheme="minorHAnsi" w:eastAsiaTheme="minorEastAsia" w:hAnsiTheme="minorHAnsi" w:cstheme="minorBidi"/>
          <w:noProof/>
          <w:lang w:eastAsia="fr-FR" w:bidi="ar-SA"/>
        </w:rPr>
      </w:pPr>
      <w:hyperlink w:anchor="_Toc215131924" w:history="1">
        <w:r w:rsidRPr="00B27C46">
          <w:rPr>
            <w:rStyle w:val="Lienhypertexte"/>
            <w:rFonts w:eastAsia="Calibri"/>
            <w:noProof/>
          </w:rPr>
          <w:t>9.7.2.</w:t>
        </w:r>
        <w:r>
          <w:rPr>
            <w:rFonts w:asciiTheme="minorHAnsi" w:eastAsiaTheme="minorEastAsia" w:hAnsiTheme="minorHAnsi" w:cstheme="minorBidi"/>
            <w:noProof/>
            <w:lang w:eastAsia="fr-FR" w:bidi="ar-SA"/>
          </w:rPr>
          <w:tab/>
        </w:r>
        <w:r w:rsidRPr="00B27C46">
          <w:rPr>
            <w:rStyle w:val="Lienhypertexte"/>
            <w:rFonts w:eastAsia="Calibri"/>
            <w:noProof/>
          </w:rPr>
          <w:t>Plan de santé et de sécurité au travail (SST)</w:t>
        </w:r>
        <w:r>
          <w:rPr>
            <w:noProof/>
            <w:webHidden/>
          </w:rPr>
          <w:tab/>
        </w:r>
        <w:r>
          <w:rPr>
            <w:noProof/>
            <w:webHidden/>
          </w:rPr>
          <w:fldChar w:fldCharType="begin"/>
        </w:r>
        <w:r>
          <w:rPr>
            <w:noProof/>
            <w:webHidden/>
          </w:rPr>
          <w:instrText xml:space="preserve"> PAGEREF _Toc215131924 \h </w:instrText>
        </w:r>
        <w:r>
          <w:rPr>
            <w:noProof/>
            <w:webHidden/>
          </w:rPr>
        </w:r>
        <w:r>
          <w:rPr>
            <w:noProof/>
            <w:webHidden/>
          </w:rPr>
          <w:fldChar w:fldCharType="separate"/>
        </w:r>
        <w:r>
          <w:rPr>
            <w:noProof/>
            <w:webHidden/>
          </w:rPr>
          <w:t>511</w:t>
        </w:r>
        <w:r>
          <w:rPr>
            <w:noProof/>
            <w:webHidden/>
          </w:rPr>
          <w:fldChar w:fldCharType="end"/>
        </w:r>
      </w:hyperlink>
    </w:p>
    <w:p w14:paraId="2361E4D8" w14:textId="371B16AF" w:rsidR="008B44A1" w:rsidRDefault="008B44A1">
      <w:pPr>
        <w:pStyle w:val="TM3"/>
        <w:rPr>
          <w:rFonts w:asciiTheme="minorHAnsi" w:eastAsiaTheme="minorEastAsia" w:hAnsiTheme="minorHAnsi" w:cstheme="minorBidi"/>
          <w:noProof/>
          <w:lang w:eastAsia="fr-FR" w:bidi="ar-SA"/>
        </w:rPr>
      </w:pPr>
      <w:hyperlink w:anchor="_Toc215131925" w:history="1">
        <w:r w:rsidRPr="00B27C46">
          <w:rPr>
            <w:rStyle w:val="Lienhypertexte"/>
            <w:rFonts w:eastAsia="Calibri"/>
            <w:bCs/>
            <w:noProof/>
          </w:rPr>
          <w:t>9.7.3.</w:t>
        </w:r>
        <w:r>
          <w:rPr>
            <w:rFonts w:asciiTheme="minorHAnsi" w:eastAsiaTheme="minorEastAsia" w:hAnsiTheme="minorHAnsi" w:cstheme="minorBidi"/>
            <w:noProof/>
            <w:lang w:eastAsia="fr-FR" w:bidi="ar-SA"/>
          </w:rPr>
          <w:tab/>
        </w:r>
        <w:r w:rsidRPr="00B27C46">
          <w:rPr>
            <w:rStyle w:val="Lienhypertexte"/>
            <w:rFonts w:eastAsia="Calibri"/>
            <w:bCs/>
            <w:noProof/>
          </w:rPr>
          <w:t>Plan de gestion de la main-d’œuvre</w:t>
        </w:r>
        <w:r>
          <w:rPr>
            <w:noProof/>
            <w:webHidden/>
          </w:rPr>
          <w:tab/>
        </w:r>
        <w:r>
          <w:rPr>
            <w:noProof/>
            <w:webHidden/>
          </w:rPr>
          <w:fldChar w:fldCharType="begin"/>
        </w:r>
        <w:r>
          <w:rPr>
            <w:noProof/>
            <w:webHidden/>
          </w:rPr>
          <w:instrText xml:space="preserve"> PAGEREF _Toc215131925 \h </w:instrText>
        </w:r>
        <w:r>
          <w:rPr>
            <w:noProof/>
            <w:webHidden/>
          </w:rPr>
        </w:r>
        <w:r>
          <w:rPr>
            <w:noProof/>
            <w:webHidden/>
          </w:rPr>
          <w:fldChar w:fldCharType="separate"/>
        </w:r>
        <w:r>
          <w:rPr>
            <w:noProof/>
            <w:webHidden/>
          </w:rPr>
          <w:t>512</w:t>
        </w:r>
        <w:r>
          <w:rPr>
            <w:noProof/>
            <w:webHidden/>
          </w:rPr>
          <w:fldChar w:fldCharType="end"/>
        </w:r>
      </w:hyperlink>
    </w:p>
    <w:p w14:paraId="7D94F993" w14:textId="188AEAB8" w:rsidR="008B44A1" w:rsidRDefault="008B44A1">
      <w:pPr>
        <w:pStyle w:val="TM3"/>
        <w:rPr>
          <w:rFonts w:asciiTheme="minorHAnsi" w:eastAsiaTheme="minorEastAsia" w:hAnsiTheme="minorHAnsi" w:cstheme="minorBidi"/>
          <w:noProof/>
          <w:lang w:eastAsia="fr-FR" w:bidi="ar-SA"/>
        </w:rPr>
      </w:pPr>
      <w:hyperlink w:anchor="_Toc215131926" w:history="1">
        <w:r w:rsidRPr="00B27C46">
          <w:rPr>
            <w:rStyle w:val="Lienhypertexte"/>
            <w:rFonts w:eastAsia="Calibri"/>
            <w:noProof/>
          </w:rPr>
          <w:t>9.7.4.</w:t>
        </w:r>
        <w:r>
          <w:rPr>
            <w:rFonts w:asciiTheme="minorHAnsi" w:eastAsiaTheme="minorEastAsia" w:hAnsiTheme="minorHAnsi" w:cstheme="minorBidi"/>
            <w:noProof/>
            <w:lang w:eastAsia="fr-FR" w:bidi="ar-SA"/>
          </w:rPr>
          <w:tab/>
        </w:r>
        <w:r w:rsidRPr="00B27C46">
          <w:rPr>
            <w:rStyle w:val="Lienhypertexte"/>
            <w:rFonts w:eastAsia="Calibri"/>
            <w:noProof/>
          </w:rPr>
          <w:t>Plan communautaire de santé, sécurité et sûreté</w:t>
        </w:r>
        <w:r>
          <w:rPr>
            <w:noProof/>
            <w:webHidden/>
          </w:rPr>
          <w:tab/>
        </w:r>
        <w:r>
          <w:rPr>
            <w:noProof/>
            <w:webHidden/>
          </w:rPr>
          <w:fldChar w:fldCharType="begin"/>
        </w:r>
        <w:r>
          <w:rPr>
            <w:noProof/>
            <w:webHidden/>
          </w:rPr>
          <w:instrText xml:space="preserve"> PAGEREF _Toc215131926 \h </w:instrText>
        </w:r>
        <w:r>
          <w:rPr>
            <w:noProof/>
            <w:webHidden/>
          </w:rPr>
        </w:r>
        <w:r>
          <w:rPr>
            <w:noProof/>
            <w:webHidden/>
          </w:rPr>
          <w:fldChar w:fldCharType="separate"/>
        </w:r>
        <w:r>
          <w:rPr>
            <w:noProof/>
            <w:webHidden/>
          </w:rPr>
          <w:t>512</w:t>
        </w:r>
        <w:r>
          <w:rPr>
            <w:noProof/>
            <w:webHidden/>
          </w:rPr>
          <w:fldChar w:fldCharType="end"/>
        </w:r>
      </w:hyperlink>
    </w:p>
    <w:p w14:paraId="573764B4" w14:textId="55D00225" w:rsidR="008B44A1" w:rsidRDefault="008B44A1">
      <w:pPr>
        <w:pStyle w:val="TM3"/>
        <w:rPr>
          <w:rFonts w:asciiTheme="minorHAnsi" w:eastAsiaTheme="minorEastAsia" w:hAnsiTheme="minorHAnsi" w:cstheme="minorBidi"/>
          <w:noProof/>
          <w:lang w:eastAsia="fr-FR" w:bidi="ar-SA"/>
        </w:rPr>
      </w:pPr>
      <w:hyperlink w:anchor="_Toc215131927" w:history="1">
        <w:r w:rsidRPr="00B27C46">
          <w:rPr>
            <w:rStyle w:val="Lienhypertexte"/>
            <w:rFonts w:eastAsia="Calibri"/>
            <w:noProof/>
          </w:rPr>
          <w:t>9.7.5.</w:t>
        </w:r>
        <w:r>
          <w:rPr>
            <w:rFonts w:asciiTheme="minorHAnsi" w:eastAsiaTheme="minorEastAsia" w:hAnsiTheme="minorHAnsi" w:cstheme="minorBidi"/>
            <w:noProof/>
            <w:lang w:eastAsia="fr-FR" w:bidi="ar-SA"/>
          </w:rPr>
          <w:tab/>
        </w:r>
        <w:r w:rsidRPr="00B27C46">
          <w:rPr>
            <w:rStyle w:val="Lienhypertexte"/>
            <w:rFonts w:eastAsia="Calibri"/>
            <w:noProof/>
          </w:rPr>
          <w:t>Plan de gestion des déchets et matières dangereuses</w:t>
        </w:r>
        <w:r>
          <w:rPr>
            <w:noProof/>
            <w:webHidden/>
          </w:rPr>
          <w:tab/>
        </w:r>
        <w:r>
          <w:rPr>
            <w:noProof/>
            <w:webHidden/>
          </w:rPr>
          <w:fldChar w:fldCharType="begin"/>
        </w:r>
        <w:r>
          <w:rPr>
            <w:noProof/>
            <w:webHidden/>
          </w:rPr>
          <w:instrText xml:space="preserve"> PAGEREF _Toc215131927 \h </w:instrText>
        </w:r>
        <w:r>
          <w:rPr>
            <w:noProof/>
            <w:webHidden/>
          </w:rPr>
        </w:r>
        <w:r>
          <w:rPr>
            <w:noProof/>
            <w:webHidden/>
          </w:rPr>
          <w:fldChar w:fldCharType="separate"/>
        </w:r>
        <w:r>
          <w:rPr>
            <w:noProof/>
            <w:webHidden/>
          </w:rPr>
          <w:t>512</w:t>
        </w:r>
        <w:r>
          <w:rPr>
            <w:noProof/>
            <w:webHidden/>
          </w:rPr>
          <w:fldChar w:fldCharType="end"/>
        </w:r>
      </w:hyperlink>
    </w:p>
    <w:p w14:paraId="031F213D" w14:textId="5A97C8D2" w:rsidR="008B44A1" w:rsidRDefault="008B44A1">
      <w:pPr>
        <w:pStyle w:val="TM3"/>
        <w:rPr>
          <w:rFonts w:asciiTheme="minorHAnsi" w:eastAsiaTheme="minorEastAsia" w:hAnsiTheme="minorHAnsi" w:cstheme="minorBidi"/>
          <w:noProof/>
          <w:lang w:eastAsia="fr-FR" w:bidi="ar-SA"/>
        </w:rPr>
      </w:pPr>
      <w:hyperlink w:anchor="_Toc215131928" w:history="1">
        <w:r w:rsidRPr="00B27C46">
          <w:rPr>
            <w:rStyle w:val="Lienhypertexte"/>
            <w:rFonts w:eastAsia="Calibri"/>
            <w:noProof/>
          </w:rPr>
          <w:t>9.7.6.</w:t>
        </w:r>
        <w:r>
          <w:rPr>
            <w:rFonts w:asciiTheme="minorHAnsi" w:eastAsiaTheme="minorEastAsia" w:hAnsiTheme="minorHAnsi" w:cstheme="minorBidi"/>
            <w:noProof/>
            <w:lang w:eastAsia="fr-FR" w:bidi="ar-SA"/>
          </w:rPr>
          <w:tab/>
        </w:r>
        <w:r w:rsidRPr="00B27C46">
          <w:rPr>
            <w:rStyle w:val="Lienhypertexte"/>
            <w:rFonts w:eastAsia="Calibri"/>
            <w:noProof/>
          </w:rPr>
          <w:t>Plan de préparation et de réponse aux situations d’urgence</w:t>
        </w:r>
        <w:r>
          <w:rPr>
            <w:noProof/>
            <w:webHidden/>
          </w:rPr>
          <w:tab/>
        </w:r>
        <w:r>
          <w:rPr>
            <w:noProof/>
            <w:webHidden/>
          </w:rPr>
          <w:fldChar w:fldCharType="begin"/>
        </w:r>
        <w:r>
          <w:rPr>
            <w:noProof/>
            <w:webHidden/>
          </w:rPr>
          <w:instrText xml:space="preserve"> PAGEREF _Toc215131928 \h </w:instrText>
        </w:r>
        <w:r>
          <w:rPr>
            <w:noProof/>
            <w:webHidden/>
          </w:rPr>
        </w:r>
        <w:r>
          <w:rPr>
            <w:noProof/>
            <w:webHidden/>
          </w:rPr>
          <w:fldChar w:fldCharType="separate"/>
        </w:r>
        <w:r>
          <w:rPr>
            <w:noProof/>
            <w:webHidden/>
          </w:rPr>
          <w:t>513</w:t>
        </w:r>
        <w:r>
          <w:rPr>
            <w:noProof/>
            <w:webHidden/>
          </w:rPr>
          <w:fldChar w:fldCharType="end"/>
        </w:r>
      </w:hyperlink>
    </w:p>
    <w:p w14:paraId="5C4ADE73" w14:textId="6CAF097E" w:rsidR="008B44A1" w:rsidRDefault="008B44A1">
      <w:pPr>
        <w:pStyle w:val="TM3"/>
        <w:rPr>
          <w:rFonts w:asciiTheme="minorHAnsi" w:eastAsiaTheme="minorEastAsia" w:hAnsiTheme="minorHAnsi" w:cstheme="minorBidi"/>
          <w:noProof/>
          <w:lang w:eastAsia="fr-FR" w:bidi="ar-SA"/>
        </w:rPr>
      </w:pPr>
      <w:hyperlink w:anchor="_Toc215131929" w:history="1">
        <w:r w:rsidRPr="00B27C46">
          <w:rPr>
            <w:rStyle w:val="Lienhypertexte"/>
            <w:rFonts w:eastAsia="Calibri"/>
            <w:noProof/>
          </w:rPr>
          <w:t>9.7.7.</w:t>
        </w:r>
        <w:r>
          <w:rPr>
            <w:rFonts w:asciiTheme="minorHAnsi" w:eastAsiaTheme="minorEastAsia" w:hAnsiTheme="minorHAnsi" w:cstheme="minorBidi"/>
            <w:noProof/>
            <w:lang w:eastAsia="fr-FR" w:bidi="ar-SA"/>
          </w:rPr>
          <w:tab/>
        </w:r>
        <w:r w:rsidRPr="00B27C46">
          <w:rPr>
            <w:rStyle w:val="Lienhypertexte"/>
            <w:rFonts w:eastAsia="Calibri"/>
            <w:noProof/>
          </w:rPr>
          <w:t>Plan de gestion du trafic et des transports</w:t>
        </w:r>
        <w:r>
          <w:rPr>
            <w:noProof/>
            <w:webHidden/>
          </w:rPr>
          <w:tab/>
        </w:r>
        <w:r>
          <w:rPr>
            <w:noProof/>
            <w:webHidden/>
          </w:rPr>
          <w:fldChar w:fldCharType="begin"/>
        </w:r>
        <w:r>
          <w:rPr>
            <w:noProof/>
            <w:webHidden/>
          </w:rPr>
          <w:instrText xml:space="preserve"> PAGEREF _Toc215131929 \h </w:instrText>
        </w:r>
        <w:r>
          <w:rPr>
            <w:noProof/>
            <w:webHidden/>
          </w:rPr>
        </w:r>
        <w:r>
          <w:rPr>
            <w:noProof/>
            <w:webHidden/>
          </w:rPr>
          <w:fldChar w:fldCharType="separate"/>
        </w:r>
        <w:r>
          <w:rPr>
            <w:noProof/>
            <w:webHidden/>
          </w:rPr>
          <w:t>513</w:t>
        </w:r>
        <w:r>
          <w:rPr>
            <w:noProof/>
            <w:webHidden/>
          </w:rPr>
          <w:fldChar w:fldCharType="end"/>
        </w:r>
      </w:hyperlink>
    </w:p>
    <w:p w14:paraId="3F44D1F3" w14:textId="3BD0E699" w:rsidR="008B44A1" w:rsidRDefault="008B44A1">
      <w:pPr>
        <w:pStyle w:val="TM3"/>
        <w:rPr>
          <w:rFonts w:asciiTheme="minorHAnsi" w:eastAsiaTheme="minorEastAsia" w:hAnsiTheme="minorHAnsi" w:cstheme="minorBidi"/>
          <w:noProof/>
          <w:lang w:eastAsia="fr-FR" w:bidi="ar-SA"/>
        </w:rPr>
      </w:pPr>
      <w:hyperlink w:anchor="_Toc215131930" w:history="1">
        <w:r w:rsidRPr="00B27C46">
          <w:rPr>
            <w:rStyle w:val="Lienhypertexte"/>
            <w:rFonts w:eastAsia="Calibri"/>
            <w:noProof/>
          </w:rPr>
          <w:t>9.7.8.</w:t>
        </w:r>
        <w:r>
          <w:rPr>
            <w:rFonts w:asciiTheme="minorHAnsi" w:eastAsiaTheme="minorEastAsia" w:hAnsiTheme="minorHAnsi" w:cstheme="minorBidi"/>
            <w:noProof/>
            <w:lang w:eastAsia="fr-FR" w:bidi="ar-SA"/>
          </w:rPr>
          <w:tab/>
        </w:r>
        <w:r w:rsidRPr="00B27C46">
          <w:rPr>
            <w:rStyle w:val="Lienhypertexte"/>
            <w:rFonts w:eastAsia="Calibri"/>
            <w:noProof/>
          </w:rPr>
          <w:t>Plan de gestion des ressources en eau</w:t>
        </w:r>
        <w:r>
          <w:rPr>
            <w:noProof/>
            <w:webHidden/>
          </w:rPr>
          <w:tab/>
        </w:r>
        <w:r>
          <w:rPr>
            <w:noProof/>
            <w:webHidden/>
          </w:rPr>
          <w:fldChar w:fldCharType="begin"/>
        </w:r>
        <w:r>
          <w:rPr>
            <w:noProof/>
            <w:webHidden/>
          </w:rPr>
          <w:instrText xml:space="preserve"> PAGEREF _Toc215131930 \h </w:instrText>
        </w:r>
        <w:r>
          <w:rPr>
            <w:noProof/>
            <w:webHidden/>
          </w:rPr>
        </w:r>
        <w:r>
          <w:rPr>
            <w:noProof/>
            <w:webHidden/>
          </w:rPr>
          <w:fldChar w:fldCharType="separate"/>
        </w:r>
        <w:r>
          <w:rPr>
            <w:noProof/>
            <w:webHidden/>
          </w:rPr>
          <w:t>513</w:t>
        </w:r>
        <w:r>
          <w:rPr>
            <w:noProof/>
            <w:webHidden/>
          </w:rPr>
          <w:fldChar w:fldCharType="end"/>
        </w:r>
      </w:hyperlink>
    </w:p>
    <w:p w14:paraId="4E371E89" w14:textId="041F76E9" w:rsidR="008B44A1" w:rsidRDefault="008B44A1">
      <w:pPr>
        <w:pStyle w:val="TM3"/>
        <w:rPr>
          <w:rFonts w:asciiTheme="minorHAnsi" w:eastAsiaTheme="minorEastAsia" w:hAnsiTheme="minorHAnsi" w:cstheme="minorBidi"/>
          <w:noProof/>
          <w:lang w:eastAsia="fr-FR" w:bidi="ar-SA"/>
        </w:rPr>
      </w:pPr>
      <w:hyperlink w:anchor="_Toc215131931" w:history="1">
        <w:r w:rsidRPr="00B27C46">
          <w:rPr>
            <w:rStyle w:val="Lienhypertexte"/>
            <w:rFonts w:eastAsia="Calibri"/>
            <w:noProof/>
          </w:rPr>
          <w:t>9.7.9.</w:t>
        </w:r>
        <w:r>
          <w:rPr>
            <w:rFonts w:asciiTheme="minorHAnsi" w:eastAsiaTheme="minorEastAsia" w:hAnsiTheme="minorHAnsi" w:cstheme="minorBidi"/>
            <w:noProof/>
            <w:lang w:eastAsia="fr-FR" w:bidi="ar-SA"/>
          </w:rPr>
          <w:tab/>
        </w:r>
        <w:r w:rsidRPr="00B27C46">
          <w:rPr>
            <w:rStyle w:val="Lienhypertexte"/>
            <w:rFonts w:eastAsia="Calibri"/>
            <w:noProof/>
          </w:rPr>
          <w:t>Plan de gestion du drainage et des eaux pluviales</w:t>
        </w:r>
        <w:r>
          <w:rPr>
            <w:noProof/>
            <w:webHidden/>
          </w:rPr>
          <w:tab/>
        </w:r>
        <w:r>
          <w:rPr>
            <w:noProof/>
            <w:webHidden/>
          </w:rPr>
          <w:fldChar w:fldCharType="begin"/>
        </w:r>
        <w:r>
          <w:rPr>
            <w:noProof/>
            <w:webHidden/>
          </w:rPr>
          <w:instrText xml:space="preserve"> PAGEREF _Toc215131931 \h </w:instrText>
        </w:r>
        <w:r>
          <w:rPr>
            <w:noProof/>
            <w:webHidden/>
          </w:rPr>
        </w:r>
        <w:r>
          <w:rPr>
            <w:noProof/>
            <w:webHidden/>
          </w:rPr>
          <w:fldChar w:fldCharType="separate"/>
        </w:r>
        <w:r>
          <w:rPr>
            <w:noProof/>
            <w:webHidden/>
          </w:rPr>
          <w:t>514</w:t>
        </w:r>
        <w:r>
          <w:rPr>
            <w:noProof/>
            <w:webHidden/>
          </w:rPr>
          <w:fldChar w:fldCharType="end"/>
        </w:r>
      </w:hyperlink>
    </w:p>
    <w:p w14:paraId="339B3DA5" w14:textId="44E63CAC" w:rsidR="008B44A1" w:rsidRDefault="008B44A1">
      <w:pPr>
        <w:pStyle w:val="TM3"/>
        <w:rPr>
          <w:rFonts w:asciiTheme="minorHAnsi" w:eastAsiaTheme="minorEastAsia" w:hAnsiTheme="minorHAnsi" w:cstheme="minorBidi"/>
          <w:noProof/>
          <w:lang w:eastAsia="fr-FR" w:bidi="ar-SA"/>
        </w:rPr>
      </w:pPr>
      <w:hyperlink w:anchor="_Toc215131932" w:history="1">
        <w:r w:rsidRPr="00B27C46">
          <w:rPr>
            <w:rStyle w:val="Lienhypertexte"/>
            <w:rFonts w:eastAsia="Calibri"/>
            <w:noProof/>
          </w:rPr>
          <w:t>9.7.10.</w:t>
        </w:r>
        <w:r>
          <w:rPr>
            <w:rFonts w:asciiTheme="minorHAnsi" w:eastAsiaTheme="minorEastAsia" w:hAnsiTheme="minorHAnsi" w:cstheme="minorBidi"/>
            <w:noProof/>
            <w:lang w:eastAsia="fr-FR" w:bidi="ar-SA"/>
          </w:rPr>
          <w:tab/>
        </w:r>
        <w:r w:rsidRPr="00B27C46">
          <w:rPr>
            <w:rStyle w:val="Lienhypertexte"/>
            <w:rFonts w:eastAsia="Calibri"/>
            <w:noProof/>
          </w:rPr>
          <w:t>Plan de gestion des eaux usées</w:t>
        </w:r>
        <w:r>
          <w:rPr>
            <w:noProof/>
            <w:webHidden/>
          </w:rPr>
          <w:tab/>
        </w:r>
        <w:r>
          <w:rPr>
            <w:noProof/>
            <w:webHidden/>
          </w:rPr>
          <w:fldChar w:fldCharType="begin"/>
        </w:r>
        <w:r>
          <w:rPr>
            <w:noProof/>
            <w:webHidden/>
          </w:rPr>
          <w:instrText xml:space="preserve"> PAGEREF _Toc215131932 \h </w:instrText>
        </w:r>
        <w:r>
          <w:rPr>
            <w:noProof/>
            <w:webHidden/>
          </w:rPr>
        </w:r>
        <w:r>
          <w:rPr>
            <w:noProof/>
            <w:webHidden/>
          </w:rPr>
          <w:fldChar w:fldCharType="separate"/>
        </w:r>
        <w:r>
          <w:rPr>
            <w:noProof/>
            <w:webHidden/>
          </w:rPr>
          <w:t>514</w:t>
        </w:r>
        <w:r>
          <w:rPr>
            <w:noProof/>
            <w:webHidden/>
          </w:rPr>
          <w:fldChar w:fldCharType="end"/>
        </w:r>
      </w:hyperlink>
    </w:p>
    <w:p w14:paraId="6598AE8B" w14:textId="04269D9A" w:rsidR="008B44A1" w:rsidRDefault="008B44A1">
      <w:pPr>
        <w:pStyle w:val="TM3"/>
        <w:rPr>
          <w:rFonts w:asciiTheme="minorHAnsi" w:eastAsiaTheme="minorEastAsia" w:hAnsiTheme="minorHAnsi" w:cstheme="minorBidi"/>
          <w:noProof/>
          <w:lang w:eastAsia="fr-FR" w:bidi="ar-SA"/>
        </w:rPr>
      </w:pPr>
      <w:hyperlink w:anchor="_Toc215131933" w:history="1">
        <w:r w:rsidRPr="00B27C46">
          <w:rPr>
            <w:rStyle w:val="Lienhypertexte"/>
            <w:rFonts w:eastAsia="Calibri"/>
            <w:noProof/>
          </w:rPr>
          <w:t>9.7.11.</w:t>
        </w:r>
        <w:r>
          <w:rPr>
            <w:rFonts w:asciiTheme="minorHAnsi" w:eastAsiaTheme="minorEastAsia" w:hAnsiTheme="minorHAnsi" w:cstheme="minorBidi"/>
            <w:noProof/>
            <w:lang w:eastAsia="fr-FR" w:bidi="ar-SA"/>
          </w:rPr>
          <w:tab/>
        </w:r>
        <w:r w:rsidRPr="00B27C46">
          <w:rPr>
            <w:rStyle w:val="Lienhypertexte"/>
            <w:rFonts w:eastAsia="Calibri"/>
            <w:noProof/>
          </w:rPr>
          <w:t>Plan de gestion du patrimoine culturel et historique (Procédure de découverte fortuite)</w:t>
        </w:r>
        <w:r>
          <w:rPr>
            <w:noProof/>
            <w:webHidden/>
          </w:rPr>
          <w:tab/>
        </w:r>
        <w:r>
          <w:rPr>
            <w:noProof/>
            <w:webHidden/>
          </w:rPr>
          <w:fldChar w:fldCharType="begin"/>
        </w:r>
        <w:r>
          <w:rPr>
            <w:noProof/>
            <w:webHidden/>
          </w:rPr>
          <w:instrText xml:space="preserve"> PAGEREF _Toc215131933 \h </w:instrText>
        </w:r>
        <w:r>
          <w:rPr>
            <w:noProof/>
            <w:webHidden/>
          </w:rPr>
        </w:r>
        <w:r>
          <w:rPr>
            <w:noProof/>
            <w:webHidden/>
          </w:rPr>
          <w:fldChar w:fldCharType="separate"/>
        </w:r>
        <w:r>
          <w:rPr>
            <w:noProof/>
            <w:webHidden/>
          </w:rPr>
          <w:t>514</w:t>
        </w:r>
        <w:r>
          <w:rPr>
            <w:noProof/>
            <w:webHidden/>
          </w:rPr>
          <w:fldChar w:fldCharType="end"/>
        </w:r>
      </w:hyperlink>
    </w:p>
    <w:p w14:paraId="2D6CEEE7" w14:textId="50E36DCD" w:rsidR="008B44A1" w:rsidRDefault="008B44A1">
      <w:pPr>
        <w:pStyle w:val="TM2"/>
        <w:rPr>
          <w:rFonts w:asciiTheme="minorHAnsi" w:eastAsiaTheme="minorEastAsia" w:hAnsiTheme="minorHAnsi" w:cstheme="minorBidi"/>
          <w:noProof/>
          <w:lang w:eastAsia="fr-FR" w:bidi="ar-SA"/>
        </w:rPr>
      </w:pPr>
      <w:hyperlink w:anchor="_Toc215131934" w:history="1">
        <w:r w:rsidRPr="00B27C46">
          <w:rPr>
            <w:rStyle w:val="Lienhypertexte"/>
            <w:noProof/>
            <w:lang w:val="fr-MA"/>
          </w:rPr>
          <w:t>9.8.</w:t>
        </w:r>
        <w:r>
          <w:rPr>
            <w:rFonts w:asciiTheme="minorHAnsi" w:eastAsiaTheme="minorEastAsia" w:hAnsiTheme="minorHAnsi" w:cstheme="minorBidi"/>
            <w:noProof/>
            <w:lang w:eastAsia="fr-FR" w:bidi="ar-SA"/>
          </w:rPr>
          <w:tab/>
        </w:r>
        <w:r w:rsidRPr="00B27C46">
          <w:rPr>
            <w:rStyle w:val="Lienhypertexte"/>
            <w:noProof/>
            <w:lang w:val="fr-MA" w:eastAsia="fr-FR"/>
          </w:rPr>
          <w:t>Les mesures de renforcement des capacités institutionnelles</w:t>
        </w:r>
        <w:r>
          <w:rPr>
            <w:noProof/>
            <w:webHidden/>
          </w:rPr>
          <w:tab/>
        </w:r>
        <w:r>
          <w:rPr>
            <w:noProof/>
            <w:webHidden/>
          </w:rPr>
          <w:fldChar w:fldCharType="begin"/>
        </w:r>
        <w:r>
          <w:rPr>
            <w:noProof/>
            <w:webHidden/>
          </w:rPr>
          <w:instrText xml:space="preserve"> PAGEREF _Toc215131934 \h </w:instrText>
        </w:r>
        <w:r>
          <w:rPr>
            <w:noProof/>
            <w:webHidden/>
          </w:rPr>
        </w:r>
        <w:r>
          <w:rPr>
            <w:noProof/>
            <w:webHidden/>
          </w:rPr>
          <w:fldChar w:fldCharType="separate"/>
        </w:r>
        <w:r>
          <w:rPr>
            <w:noProof/>
            <w:webHidden/>
          </w:rPr>
          <w:t>515</w:t>
        </w:r>
        <w:r>
          <w:rPr>
            <w:noProof/>
            <w:webHidden/>
          </w:rPr>
          <w:fldChar w:fldCharType="end"/>
        </w:r>
      </w:hyperlink>
    </w:p>
    <w:p w14:paraId="4715D6AE" w14:textId="451004A1" w:rsidR="008B44A1" w:rsidRDefault="008B44A1">
      <w:pPr>
        <w:pStyle w:val="TM3"/>
        <w:rPr>
          <w:rFonts w:asciiTheme="minorHAnsi" w:eastAsiaTheme="minorEastAsia" w:hAnsiTheme="minorHAnsi" w:cstheme="minorBidi"/>
          <w:noProof/>
          <w:lang w:eastAsia="fr-FR" w:bidi="ar-SA"/>
        </w:rPr>
      </w:pPr>
      <w:hyperlink w:anchor="_Toc215131935" w:history="1">
        <w:r w:rsidRPr="00B27C46">
          <w:rPr>
            <w:rStyle w:val="Lienhypertexte"/>
            <w:noProof/>
          </w:rPr>
          <w:t>9.8.1.</w:t>
        </w:r>
        <w:r>
          <w:rPr>
            <w:rFonts w:asciiTheme="minorHAnsi" w:eastAsiaTheme="minorEastAsia" w:hAnsiTheme="minorHAnsi" w:cstheme="minorBidi"/>
            <w:noProof/>
            <w:lang w:eastAsia="fr-FR" w:bidi="ar-SA"/>
          </w:rPr>
          <w:tab/>
        </w:r>
        <w:r w:rsidRPr="00B27C46">
          <w:rPr>
            <w:rStyle w:val="Lienhypertexte"/>
            <w:noProof/>
          </w:rPr>
          <w:t>Objectifs du plan</w:t>
        </w:r>
        <w:r>
          <w:rPr>
            <w:noProof/>
            <w:webHidden/>
          </w:rPr>
          <w:tab/>
        </w:r>
        <w:r>
          <w:rPr>
            <w:noProof/>
            <w:webHidden/>
          </w:rPr>
          <w:fldChar w:fldCharType="begin"/>
        </w:r>
        <w:r>
          <w:rPr>
            <w:noProof/>
            <w:webHidden/>
          </w:rPr>
          <w:instrText xml:space="preserve"> PAGEREF _Toc215131935 \h </w:instrText>
        </w:r>
        <w:r>
          <w:rPr>
            <w:noProof/>
            <w:webHidden/>
          </w:rPr>
        </w:r>
        <w:r>
          <w:rPr>
            <w:noProof/>
            <w:webHidden/>
          </w:rPr>
          <w:fldChar w:fldCharType="separate"/>
        </w:r>
        <w:r>
          <w:rPr>
            <w:noProof/>
            <w:webHidden/>
          </w:rPr>
          <w:t>515</w:t>
        </w:r>
        <w:r>
          <w:rPr>
            <w:noProof/>
            <w:webHidden/>
          </w:rPr>
          <w:fldChar w:fldCharType="end"/>
        </w:r>
      </w:hyperlink>
    </w:p>
    <w:p w14:paraId="2BD9A4FB" w14:textId="14F755F1" w:rsidR="008B44A1" w:rsidRDefault="008B44A1">
      <w:pPr>
        <w:pStyle w:val="TM3"/>
        <w:rPr>
          <w:rFonts w:asciiTheme="minorHAnsi" w:eastAsiaTheme="minorEastAsia" w:hAnsiTheme="minorHAnsi" w:cstheme="minorBidi"/>
          <w:noProof/>
          <w:lang w:eastAsia="fr-FR" w:bidi="ar-SA"/>
        </w:rPr>
      </w:pPr>
      <w:hyperlink w:anchor="_Toc215131936" w:history="1">
        <w:r w:rsidRPr="00B27C46">
          <w:rPr>
            <w:rStyle w:val="Lienhypertexte"/>
            <w:noProof/>
          </w:rPr>
          <w:t>9.8.2.</w:t>
        </w:r>
        <w:r>
          <w:rPr>
            <w:rFonts w:asciiTheme="minorHAnsi" w:eastAsiaTheme="minorEastAsia" w:hAnsiTheme="minorHAnsi" w:cstheme="minorBidi"/>
            <w:noProof/>
            <w:lang w:eastAsia="fr-FR" w:bidi="ar-SA"/>
          </w:rPr>
          <w:tab/>
        </w:r>
        <w:r w:rsidRPr="00B27C46">
          <w:rPr>
            <w:rStyle w:val="Lienhypertexte"/>
            <w:noProof/>
          </w:rPr>
          <w:t>Axes d’intervention</w:t>
        </w:r>
        <w:r>
          <w:rPr>
            <w:noProof/>
            <w:webHidden/>
          </w:rPr>
          <w:tab/>
        </w:r>
        <w:r>
          <w:rPr>
            <w:noProof/>
            <w:webHidden/>
          </w:rPr>
          <w:fldChar w:fldCharType="begin"/>
        </w:r>
        <w:r>
          <w:rPr>
            <w:noProof/>
            <w:webHidden/>
          </w:rPr>
          <w:instrText xml:space="preserve"> PAGEREF _Toc215131936 \h </w:instrText>
        </w:r>
        <w:r>
          <w:rPr>
            <w:noProof/>
            <w:webHidden/>
          </w:rPr>
        </w:r>
        <w:r>
          <w:rPr>
            <w:noProof/>
            <w:webHidden/>
          </w:rPr>
          <w:fldChar w:fldCharType="separate"/>
        </w:r>
        <w:r>
          <w:rPr>
            <w:noProof/>
            <w:webHidden/>
          </w:rPr>
          <w:t>515</w:t>
        </w:r>
        <w:r>
          <w:rPr>
            <w:noProof/>
            <w:webHidden/>
          </w:rPr>
          <w:fldChar w:fldCharType="end"/>
        </w:r>
      </w:hyperlink>
    </w:p>
    <w:p w14:paraId="579B0DDE" w14:textId="5F96F10F" w:rsidR="008B44A1" w:rsidRDefault="008B44A1">
      <w:pPr>
        <w:pStyle w:val="TM2"/>
        <w:rPr>
          <w:rFonts w:asciiTheme="minorHAnsi" w:eastAsiaTheme="minorEastAsia" w:hAnsiTheme="minorHAnsi" w:cstheme="minorBidi"/>
          <w:noProof/>
          <w:lang w:eastAsia="fr-FR" w:bidi="ar-SA"/>
        </w:rPr>
      </w:pPr>
      <w:hyperlink w:anchor="_Toc215131937" w:history="1">
        <w:r w:rsidRPr="00B27C46">
          <w:rPr>
            <w:rStyle w:val="Lienhypertexte"/>
            <w:noProof/>
          </w:rPr>
          <w:t>9.9.</w:t>
        </w:r>
        <w:r>
          <w:rPr>
            <w:rFonts w:asciiTheme="minorHAnsi" w:eastAsiaTheme="minorEastAsia" w:hAnsiTheme="minorHAnsi" w:cstheme="minorBidi"/>
            <w:noProof/>
            <w:lang w:eastAsia="fr-FR" w:bidi="ar-SA"/>
          </w:rPr>
          <w:tab/>
        </w:r>
        <w:r w:rsidRPr="00B27C46">
          <w:rPr>
            <w:rStyle w:val="Lienhypertexte"/>
            <w:noProof/>
          </w:rPr>
          <w:t>Coûts de mise en œuvre du PGES</w:t>
        </w:r>
        <w:r>
          <w:rPr>
            <w:noProof/>
            <w:webHidden/>
          </w:rPr>
          <w:tab/>
        </w:r>
        <w:r>
          <w:rPr>
            <w:noProof/>
            <w:webHidden/>
          </w:rPr>
          <w:fldChar w:fldCharType="begin"/>
        </w:r>
        <w:r>
          <w:rPr>
            <w:noProof/>
            <w:webHidden/>
          </w:rPr>
          <w:instrText xml:space="preserve"> PAGEREF _Toc215131937 \h </w:instrText>
        </w:r>
        <w:r>
          <w:rPr>
            <w:noProof/>
            <w:webHidden/>
          </w:rPr>
        </w:r>
        <w:r>
          <w:rPr>
            <w:noProof/>
            <w:webHidden/>
          </w:rPr>
          <w:fldChar w:fldCharType="separate"/>
        </w:r>
        <w:r>
          <w:rPr>
            <w:noProof/>
            <w:webHidden/>
          </w:rPr>
          <w:t>518</w:t>
        </w:r>
        <w:r>
          <w:rPr>
            <w:noProof/>
            <w:webHidden/>
          </w:rPr>
          <w:fldChar w:fldCharType="end"/>
        </w:r>
      </w:hyperlink>
    </w:p>
    <w:p w14:paraId="726FF1EF" w14:textId="59197275" w:rsidR="008B44A1" w:rsidRDefault="008B44A1">
      <w:pPr>
        <w:pStyle w:val="TM1"/>
        <w:tabs>
          <w:tab w:val="left" w:pos="660"/>
          <w:tab w:val="right" w:leader="dot" w:pos="9062"/>
        </w:tabs>
        <w:rPr>
          <w:rFonts w:asciiTheme="minorHAnsi" w:eastAsiaTheme="minorEastAsia" w:hAnsiTheme="minorHAnsi" w:cstheme="minorBidi"/>
          <w:noProof/>
          <w:lang w:eastAsia="fr-FR" w:bidi="ar-SA"/>
        </w:rPr>
      </w:pPr>
      <w:hyperlink w:anchor="_Toc215131938" w:history="1">
        <w:r w:rsidRPr="00B27C46">
          <w:rPr>
            <w:rStyle w:val="Lienhypertexte"/>
            <w:noProof/>
          </w:rPr>
          <w:t>10.</w:t>
        </w:r>
        <w:r>
          <w:rPr>
            <w:rFonts w:asciiTheme="minorHAnsi" w:eastAsiaTheme="minorEastAsia" w:hAnsiTheme="minorHAnsi" w:cstheme="minorBidi"/>
            <w:noProof/>
            <w:lang w:eastAsia="fr-FR" w:bidi="ar-SA"/>
          </w:rPr>
          <w:tab/>
        </w:r>
        <w:r w:rsidRPr="00B27C46">
          <w:rPr>
            <w:rStyle w:val="Lienhypertexte"/>
            <w:noProof/>
          </w:rPr>
          <w:t>CONCLUSION</w:t>
        </w:r>
        <w:r>
          <w:rPr>
            <w:noProof/>
            <w:webHidden/>
          </w:rPr>
          <w:tab/>
        </w:r>
        <w:r>
          <w:rPr>
            <w:noProof/>
            <w:webHidden/>
          </w:rPr>
          <w:fldChar w:fldCharType="begin"/>
        </w:r>
        <w:r>
          <w:rPr>
            <w:noProof/>
            <w:webHidden/>
          </w:rPr>
          <w:instrText xml:space="preserve"> PAGEREF _Toc215131938 \h </w:instrText>
        </w:r>
        <w:r>
          <w:rPr>
            <w:noProof/>
            <w:webHidden/>
          </w:rPr>
        </w:r>
        <w:r>
          <w:rPr>
            <w:noProof/>
            <w:webHidden/>
          </w:rPr>
          <w:fldChar w:fldCharType="separate"/>
        </w:r>
        <w:r>
          <w:rPr>
            <w:noProof/>
            <w:webHidden/>
          </w:rPr>
          <w:t>521</w:t>
        </w:r>
        <w:r>
          <w:rPr>
            <w:noProof/>
            <w:webHidden/>
          </w:rPr>
          <w:fldChar w:fldCharType="end"/>
        </w:r>
      </w:hyperlink>
    </w:p>
    <w:p w14:paraId="4BA15A6E" w14:textId="47E99740" w:rsidR="008B44A1" w:rsidRDefault="008B44A1">
      <w:pPr>
        <w:pStyle w:val="TM1"/>
        <w:tabs>
          <w:tab w:val="left" w:pos="660"/>
          <w:tab w:val="right" w:leader="dot" w:pos="9062"/>
        </w:tabs>
        <w:rPr>
          <w:rFonts w:asciiTheme="minorHAnsi" w:eastAsiaTheme="minorEastAsia" w:hAnsiTheme="minorHAnsi" w:cstheme="minorBidi"/>
          <w:noProof/>
          <w:lang w:eastAsia="fr-FR" w:bidi="ar-SA"/>
        </w:rPr>
      </w:pPr>
      <w:hyperlink w:anchor="_Toc215131939" w:history="1">
        <w:r w:rsidRPr="00B27C46">
          <w:rPr>
            <w:rStyle w:val="Lienhypertexte"/>
            <w:noProof/>
          </w:rPr>
          <w:t>11.</w:t>
        </w:r>
        <w:r>
          <w:rPr>
            <w:rFonts w:asciiTheme="minorHAnsi" w:eastAsiaTheme="minorEastAsia" w:hAnsiTheme="minorHAnsi" w:cstheme="minorBidi"/>
            <w:noProof/>
            <w:lang w:eastAsia="fr-FR" w:bidi="ar-SA"/>
          </w:rPr>
          <w:tab/>
        </w:r>
        <w:r w:rsidRPr="00B27C46">
          <w:rPr>
            <w:rStyle w:val="Lienhypertexte"/>
            <w:noProof/>
          </w:rPr>
          <w:t>Annexes</w:t>
        </w:r>
        <w:r>
          <w:rPr>
            <w:noProof/>
            <w:webHidden/>
          </w:rPr>
          <w:tab/>
        </w:r>
        <w:r>
          <w:rPr>
            <w:noProof/>
            <w:webHidden/>
          </w:rPr>
          <w:fldChar w:fldCharType="begin"/>
        </w:r>
        <w:r>
          <w:rPr>
            <w:noProof/>
            <w:webHidden/>
          </w:rPr>
          <w:instrText xml:space="preserve"> PAGEREF _Toc215131939 \h </w:instrText>
        </w:r>
        <w:r>
          <w:rPr>
            <w:noProof/>
            <w:webHidden/>
          </w:rPr>
        </w:r>
        <w:r>
          <w:rPr>
            <w:noProof/>
            <w:webHidden/>
          </w:rPr>
          <w:fldChar w:fldCharType="separate"/>
        </w:r>
        <w:r>
          <w:rPr>
            <w:noProof/>
            <w:webHidden/>
          </w:rPr>
          <w:t>523</w:t>
        </w:r>
        <w:r>
          <w:rPr>
            <w:noProof/>
            <w:webHidden/>
          </w:rPr>
          <w:fldChar w:fldCharType="end"/>
        </w:r>
      </w:hyperlink>
    </w:p>
    <w:p w14:paraId="08170A80" w14:textId="6A1BCA66" w:rsidR="008B44A1" w:rsidRDefault="008B44A1">
      <w:pPr>
        <w:pStyle w:val="TM2"/>
        <w:rPr>
          <w:rFonts w:asciiTheme="minorHAnsi" w:eastAsiaTheme="minorEastAsia" w:hAnsiTheme="minorHAnsi" w:cstheme="minorBidi"/>
          <w:noProof/>
          <w:lang w:eastAsia="fr-FR" w:bidi="ar-SA"/>
        </w:rPr>
      </w:pPr>
      <w:hyperlink w:anchor="_Toc215131940" w:history="1">
        <w:r w:rsidRPr="00B27C46">
          <w:rPr>
            <w:rStyle w:val="Lienhypertexte"/>
            <w:noProof/>
          </w:rPr>
          <w:t>11.1.</w:t>
        </w:r>
        <w:r>
          <w:rPr>
            <w:rFonts w:asciiTheme="minorHAnsi" w:eastAsiaTheme="minorEastAsia" w:hAnsiTheme="minorHAnsi" w:cstheme="minorBidi"/>
            <w:noProof/>
            <w:lang w:eastAsia="fr-FR" w:bidi="ar-SA"/>
          </w:rPr>
          <w:tab/>
        </w:r>
        <w:r w:rsidRPr="00B27C46">
          <w:rPr>
            <w:rStyle w:val="Lienhypertexte"/>
            <w:noProof/>
          </w:rPr>
          <w:t>Plans de masses du projet</w:t>
        </w:r>
        <w:r>
          <w:rPr>
            <w:noProof/>
            <w:webHidden/>
          </w:rPr>
          <w:tab/>
        </w:r>
        <w:r>
          <w:rPr>
            <w:noProof/>
            <w:webHidden/>
          </w:rPr>
          <w:fldChar w:fldCharType="begin"/>
        </w:r>
        <w:r>
          <w:rPr>
            <w:noProof/>
            <w:webHidden/>
          </w:rPr>
          <w:instrText xml:space="preserve"> PAGEREF _Toc215131940 \h </w:instrText>
        </w:r>
        <w:r>
          <w:rPr>
            <w:noProof/>
            <w:webHidden/>
          </w:rPr>
        </w:r>
        <w:r>
          <w:rPr>
            <w:noProof/>
            <w:webHidden/>
          </w:rPr>
          <w:fldChar w:fldCharType="separate"/>
        </w:r>
        <w:r>
          <w:rPr>
            <w:noProof/>
            <w:webHidden/>
          </w:rPr>
          <w:t>523</w:t>
        </w:r>
        <w:r>
          <w:rPr>
            <w:noProof/>
            <w:webHidden/>
          </w:rPr>
          <w:fldChar w:fldCharType="end"/>
        </w:r>
      </w:hyperlink>
    </w:p>
    <w:bookmarkStart w:id="4" w:name="_GoBack"/>
    <w:bookmarkEnd w:id="4"/>
    <w:p w14:paraId="0585E9E6" w14:textId="70EE8AA1" w:rsidR="008B44A1" w:rsidRDefault="008B44A1">
      <w:pPr>
        <w:pStyle w:val="TM2"/>
        <w:rPr>
          <w:rFonts w:asciiTheme="minorHAnsi" w:eastAsiaTheme="minorEastAsia" w:hAnsiTheme="minorHAnsi" w:cstheme="minorBidi"/>
          <w:noProof/>
          <w:lang w:eastAsia="fr-FR" w:bidi="ar-SA"/>
        </w:rPr>
      </w:pPr>
      <w:r w:rsidRPr="00B27C46">
        <w:rPr>
          <w:rStyle w:val="Lienhypertexte"/>
          <w:noProof/>
        </w:rPr>
        <w:fldChar w:fldCharType="begin"/>
      </w:r>
      <w:r w:rsidRPr="00B27C46">
        <w:rPr>
          <w:rStyle w:val="Lienhypertexte"/>
          <w:noProof/>
        </w:rPr>
        <w:instrText xml:space="preserve"> </w:instrText>
      </w:r>
      <w:r>
        <w:rPr>
          <w:noProof/>
        </w:rPr>
        <w:instrText>HYPERLINK \l "_Toc215131942"</w:instrText>
      </w:r>
      <w:r w:rsidRPr="00B27C46">
        <w:rPr>
          <w:rStyle w:val="Lienhypertexte"/>
          <w:noProof/>
        </w:rPr>
        <w:instrText xml:space="preserve"> </w:instrText>
      </w:r>
      <w:r w:rsidRPr="00B27C46">
        <w:rPr>
          <w:rStyle w:val="Lienhypertexte"/>
          <w:noProof/>
        </w:rPr>
      </w:r>
      <w:r w:rsidRPr="00B27C46">
        <w:rPr>
          <w:rStyle w:val="Lienhypertexte"/>
          <w:noProof/>
        </w:rPr>
        <w:fldChar w:fldCharType="separate"/>
      </w:r>
      <w:r w:rsidRPr="00B27C46">
        <w:rPr>
          <w:rStyle w:val="Lienhypertexte"/>
          <w:noProof/>
        </w:rPr>
        <w:t>11.2.</w:t>
      </w:r>
      <w:r>
        <w:rPr>
          <w:rFonts w:asciiTheme="minorHAnsi" w:eastAsiaTheme="minorEastAsia" w:hAnsiTheme="minorHAnsi" w:cstheme="minorBidi"/>
          <w:noProof/>
          <w:lang w:eastAsia="fr-FR" w:bidi="ar-SA"/>
        </w:rPr>
        <w:tab/>
      </w:r>
      <w:r w:rsidRPr="00B27C46">
        <w:rPr>
          <w:rStyle w:val="Lienhypertexte"/>
          <w:noProof/>
        </w:rPr>
        <w:t>Modèle de registres de doléances</w:t>
      </w:r>
      <w:r>
        <w:rPr>
          <w:noProof/>
          <w:webHidden/>
        </w:rPr>
        <w:tab/>
      </w:r>
      <w:r>
        <w:rPr>
          <w:noProof/>
          <w:webHidden/>
        </w:rPr>
        <w:fldChar w:fldCharType="begin"/>
      </w:r>
      <w:r>
        <w:rPr>
          <w:noProof/>
          <w:webHidden/>
        </w:rPr>
        <w:instrText xml:space="preserve"> PAGEREF _Toc215131942 \h </w:instrText>
      </w:r>
      <w:r>
        <w:rPr>
          <w:noProof/>
          <w:webHidden/>
        </w:rPr>
      </w:r>
      <w:r>
        <w:rPr>
          <w:noProof/>
          <w:webHidden/>
        </w:rPr>
        <w:fldChar w:fldCharType="separate"/>
      </w:r>
      <w:r>
        <w:rPr>
          <w:noProof/>
          <w:webHidden/>
        </w:rPr>
        <w:t>526</w:t>
      </w:r>
      <w:r>
        <w:rPr>
          <w:noProof/>
          <w:webHidden/>
        </w:rPr>
        <w:fldChar w:fldCharType="end"/>
      </w:r>
      <w:r w:rsidRPr="00B27C46">
        <w:rPr>
          <w:rStyle w:val="Lienhypertexte"/>
          <w:noProof/>
        </w:rPr>
        <w:fldChar w:fldCharType="end"/>
      </w:r>
    </w:p>
    <w:p w14:paraId="06065138" w14:textId="3CCC76C7" w:rsidR="008B44A1" w:rsidRDefault="008B44A1">
      <w:pPr>
        <w:pStyle w:val="TM2"/>
        <w:rPr>
          <w:rFonts w:asciiTheme="minorHAnsi" w:eastAsiaTheme="minorEastAsia" w:hAnsiTheme="minorHAnsi" w:cstheme="minorBidi"/>
          <w:noProof/>
          <w:lang w:eastAsia="fr-FR" w:bidi="ar-SA"/>
        </w:rPr>
      </w:pPr>
      <w:hyperlink w:anchor="_Toc215131944" w:history="1">
        <w:r w:rsidRPr="00B27C46">
          <w:rPr>
            <w:rStyle w:val="Lienhypertexte"/>
            <w:noProof/>
          </w:rPr>
          <w:t>11.3.</w:t>
        </w:r>
        <w:r>
          <w:rPr>
            <w:rFonts w:asciiTheme="minorHAnsi" w:eastAsiaTheme="minorEastAsia" w:hAnsiTheme="minorHAnsi" w:cstheme="minorBidi"/>
            <w:noProof/>
            <w:lang w:eastAsia="fr-FR" w:bidi="ar-SA"/>
          </w:rPr>
          <w:tab/>
        </w:r>
        <w:r w:rsidRPr="00B27C46">
          <w:rPr>
            <w:rStyle w:val="Lienhypertexte"/>
            <w:noProof/>
          </w:rPr>
          <w:t>Fiche de consultation individuelle</w:t>
        </w:r>
        <w:r>
          <w:rPr>
            <w:noProof/>
            <w:webHidden/>
          </w:rPr>
          <w:tab/>
        </w:r>
        <w:r>
          <w:rPr>
            <w:noProof/>
            <w:webHidden/>
          </w:rPr>
          <w:fldChar w:fldCharType="begin"/>
        </w:r>
        <w:r>
          <w:rPr>
            <w:noProof/>
            <w:webHidden/>
          </w:rPr>
          <w:instrText xml:space="preserve"> PAGEREF _Toc215131944 \h </w:instrText>
        </w:r>
        <w:r>
          <w:rPr>
            <w:noProof/>
            <w:webHidden/>
          </w:rPr>
        </w:r>
        <w:r>
          <w:rPr>
            <w:noProof/>
            <w:webHidden/>
          </w:rPr>
          <w:fldChar w:fldCharType="separate"/>
        </w:r>
        <w:r>
          <w:rPr>
            <w:noProof/>
            <w:webHidden/>
          </w:rPr>
          <w:t>533</w:t>
        </w:r>
        <w:r>
          <w:rPr>
            <w:noProof/>
            <w:webHidden/>
          </w:rPr>
          <w:fldChar w:fldCharType="end"/>
        </w:r>
      </w:hyperlink>
    </w:p>
    <w:p w14:paraId="3B668C50" w14:textId="521DA28B" w:rsidR="008B44A1" w:rsidRDefault="008B44A1">
      <w:pPr>
        <w:pStyle w:val="TM2"/>
        <w:rPr>
          <w:rFonts w:asciiTheme="minorHAnsi" w:eastAsiaTheme="minorEastAsia" w:hAnsiTheme="minorHAnsi" w:cstheme="minorBidi"/>
          <w:noProof/>
          <w:lang w:eastAsia="fr-FR" w:bidi="ar-SA"/>
        </w:rPr>
      </w:pPr>
      <w:hyperlink w:anchor="_Toc215131945" w:history="1">
        <w:r w:rsidRPr="00B27C46">
          <w:rPr>
            <w:rStyle w:val="Lienhypertexte"/>
            <w:noProof/>
          </w:rPr>
          <w:t>11.4.</w:t>
        </w:r>
        <w:r>
          <w:rPr>
            <w:rFonts w:asciiTheme="minorHAnsi" w:eastAsiaTheme="minorEastAsia" w:hAnsiTheme="minorHAnsi" w:cstheme="minorBidi"/>
            <w:noProof/>
            <w:lang w:eastAsia="fr-FR" w:bidi="ar-SA"/>
          </w:rPr>
          <w:tab/>
        </w:r>
        <w:r w:rsidRPr="00B27C46">
          <w:rPr>
            <w:rStyle w:val="Lienhypertexte"/>
            <w:noProof/>
          </w:rPr>
          <w:t>Fiche d'entente mutuelle</w:t>
        </w:r>
        <w:r>
          <w:rPr>
            <w:noProof/>
            <w:webHidden/>
          </w:rPr>
          <w:tab/>
        </w:r>
        <w:r>
          <w:rPr>
            <w:noProof/>
            <w:webHidden/>
          </w:rPr>
          <w:fldChar w:fldCharType="begin"/>
        </w:r>
        <w:r>
          <w:rPr>
            <w:noProof/>
            <w:webHidden/>
          </w:rPr>
          <w:instrText xml:space="preserve"> PAGEREF _Toc215131945 \h </w:instrText>
        </w:r>
        <w:r>
          <w:rPr>
            <w:noProof/>
            <w:webHidden/>
          </w:rPr>
        </w:r>
        <w:r>
          <w:rPr>
            <w:noProof/>
            <w:webHidden/>
          </w:rPr>
          <w:fldChar w:fldCharType="separate"/>
        </w:r>
        <w:r>
          <w:rPr>
            <w:noProof/>
            <w:webHidden/>
          </w:rPr>
          <w:t>534</w:t>
        </w:r>
        <w:r>
          <w:rPr>
            <w:noProof/>
            <w:webHidden/>
          </w:rPr>
          <w:fldChar w:fldCharType="end"/>
        </w:r>
      </w:hyperlink>
    </w:p>
    <w:p w14:paraId="15564DCE" w14:textId="0F89F0AF" w:rsidR="00654FA4" w:rsidRPr="008612D4" w:rsidRDefault="00D6030F" w:rsidP="000F2617">
      <w:pPr>
        <w:rPr>
          <w:sz w:val="28"/>
          <w:szCs w:val="28"/>
          <w:u w:val="single"/>
        </w:rPr>
      </w:pPr>
      <w:r>
        <w:rPr>
          <w:sz w:val="28"/>
          <w:szCs w:val="28"/>
          <w:u w:val="single"/>
        </w:rPr>
        <w:fldChar w:fldCharType="end"/>
      </w:r>
    </w:p>
    <w:p w14:paraId="376C5095" w14:textId="37F8608C" w:rsidR="003A64E1" w:rsidRDefault="003A64E1" w:rsidP="003A64E1">
      <w:pPr>
        <w:pStyle w:val="Titre1"/>
      </w:pPr>
      <w:bookmarkStart w:id="5" w:name="_Toc215131752"/>
      <w:r>
        <w:t>Listes de tableaux</w:t>
      </w:r>
      <w:bookmarkEnd w:id="5"/>
    </w:p>
    <w:p w14:paraId="7DB4161B" w14:textId="1CBD733C" w:rsidR="00F51B27" w:rsidRDefault="00203FB8">
      <w:pPr>
        <w:pStyle w:val="Tabledesillustrations"/>
        <w:tabs>
          <w:tab w:val="right" w:leader="dot" w:pos="9062"/>
        </w:tabs>
        <w:rPr>
          <w:rFonts w:asciiTheme="minorHAnsi" w:eastAsiaTheme="minorEastAsia" w:hAnsiTheme="minorHAnsi" w:cstheme="minorBidi"/>
          <w:noProof/>
          <w:kern w:val="2"/>
          <w:sz w:val="24"/>
          <w:szCs w:val="24"/>
          <w:lang w:eastAsia="fr-FR" w:bidi="ar-SA"/>
          <w14:ligatures w14:val="standardContextual"/>
        </w:rPr>
      </w:pPr>
      <w:r>
        <w:fldChar w:fldCharType="begin"/>
      </w:r>
      <w:r>
        <w:instrText xml:space="preserve"> TOC \h \z \c "Tableau" </w:instrText>
      </w:r>
      <w:r>
        <w:fldChar w:fldCharType="separate"/>
      </w:r>
      <w:hyperlink w:anchor="_Toc213404324" w:history="1">
        <w:r w:rsidR="00F51B27" w:rsidRPr="005D19BF">
          <w:rPr>
            <w:rStyle w:val="Lienhypertexte"/>
            <w:noProof/>
          </w:rPr>
          <w:t>Tableau 1 : Composantes du projet</w:t>
        </w:r>
        <w:r w:rsidR="00F51B27">
          <w:rPr>
            <w:noProof/>
            <w:webHidden/>
          </w:rPr>
          <w:tab/>
        </w:r>
        <w:r w:rsidR="00F51B27">
          <w:rPr>
            <w:noProof/>
            <w:webHidden/>
          </w:rPr>
          <w:fldChar w:fldCharType="begin"/>
        </w:r>
        <w:r w:rsidR="00F51B27">
          <w:rPr>
            <w:noProof/>
            <w:webHidden/>
          </w:rPr>
          <w:instrText xml:space="preserve"> PAGEREF _Toc213404324 \h </w:instrText>
        </w:r>
        <w:r w:rsidR="00F51B27">
          <w:rPr>
            <w:noProof/>
            <w:webHidden/>
          </w:rPr>
        </w:r>
        <w:r w:rsidR="00F51B27">
          <w:rPr>
            <w:noProof/>
            <w:webHidden/>
          </w:rPr>
          <w:fldChar w:fldCharType="separate"/>
        </w:r>
        <w:r w:rsidR="00E40AF3">
          <w:rPr>
            <w:noProof/>
            <w:webHidden/>
          </w:rPr>
          <w:t>22</w:t>
        </w:r>
        <w:r w:rsidR="00F51B27">
          <w:rPr>
            <w:noProof/>
            <w:webHidden/>
          </w:rPr>
          <w:fldChar w:fldCharType="end"/>
        </w:r>
      </w:hyperlink>
    </w:p>
    <w:p w14:paraId="00C11854" w14:textId="523EFA13" w:rsidR="00F51B27" w:rsidRDefault="0072072F">
      <w:pPr>
        <w:pStyle w:val="Tabledesillustrations"/>
        <w:tabs>
          <w:tab w:val="right" w:leader="dot" w:pos="9062"/>
        </w:tabs>
        <w:rPr>
          <w:rFonts w:asciiTheme="minorHAnsi" w:eastAsiaTheme="minorEastAsia" w:hAnsiTheme="minorHAnsi" w:cstheme="minorBidi"/>
          <w:noProof/>
          <w:kern w:val="2"/>
          <w:sz w:val="24"/>
          <w:szCs w:val="24"/>
          <w:lang w:eastAsia="fr-FR" w:bidi="ar-SA"/>
          <w14:ligatures w14:val="standardContextual"/>
        </w:rPr>
      </w:pPr>
      <w:hyperlink w:anchor="_Toc213404325" w:history="1">
        <w:r w:rsidR="00F51B27" w:rsidRPr="005D19BF">
          <w:rPr>
            <w:rStyle w:val="Lienhypertexte"/>
            <w:noProof/>
          </w:rPr>
          <w:t>Tableau 2 : Environnement biophysique du site du projet</w:t>
        </w:r>
        <w:r w:rsidR="00F51B27">
          <w:rPr>
            <w:noProof/>
            <w:webHidden/>
          </w:rPr>
          <w:tab/>
        </w:r>
        <w:r w:rsidR="00F51B27">
          <w:rPr>
            <w:noProof/>
            <w:webHidden/>
          </w:rPr>
          <w:fldChar w:fldCharType="begin"/>
        </w:r>
        <w:r w:rsidR="00F51B27">
          <w:rPr>
            <w:noProof/>
            <w:webHidden/>
          </w:rPr>
          <w:instrText xml:space="preserve"> PAGEREF _Toc213404325 \h </w:instrText>
        </w:r>
        <w:r w:rsidR="00F51B27">
          <w:rPr>
            <w:noProof/>
            <w:webHidden/>
          </w:rPr>
        </w:r>
        <w:r w:rsidR="00F51B27">
          <w:rPr>
            <w:noProof/>
            <w:webHidden/>
          </w:rPr>
          <w:fldChar w:fldCharType="separate"/>
        </w:r>
        <w:r w:rsidR="00E40AF3">
          <w:rPr>
            <w:noProof/>
            <w:webHidden/>
          </w:rPr>
          <w:t>24</w:t>
        </w:r>
        <w:r w:rsidR="00F51B27">
          <w:rPr>
            <w:noProof/>
            <w:webHidden/>
          </w:rPr>
          <w:fldChar w:fldCharType="end"/>
        </w:r>
      </w:hyperlink>
    </w:p>
    <w:p w14:paraId="0ACEEE37" w14:textId="64A2B830" w:rsidR="00F51B27" w:rsidRDefault="0072072F">
      <w:pPr>
        <w:pStyle w:val="Tabledesillustrations"/>
        <w:tabs>
          <w:tab w:val="right" w:leader="dot" w:pos="9062"/>
        </w:tabs>
        <w:rPr>
          <w:rFonts w:asciiTheme="minorHAnsi" w:eastAsiaTheme="minorEastAsia" w:hAnsiTheme="minorHAnsi" w:cstheme="minorBidi"/>
          <w:noProof/>
          <w:kern w:val="2"/>
          <w:sz w:val="24"/>
          <w:szCs w:val="24"/>
          <w:lang w:eastAsia="fr-FR" w:bidi="ar-SA"/>
          <w14:ligatures w14:val="standardContextual"/>
        </w:rPr>
      </w:pPr>
      <w:hyperlink w:anchor="_Toc213404326" w:history="1">
        <w:r w:rsidR="00F51B27" w:rsidRPr="005D19BF">
          <w:rPr>
            <w:rStyle w:val="Lienhypertexte"/>
            <w:noProof/>
          </w:rPr>
          <w:t>Tableau 3 : Résumé des principaux textes réglementaires applicable au projet</w:t>
        </w:r>
        <w:r w:rsidR="00F51B27">
          <w:rPr>
            <w:noProof/>
            <w:webHidden/>
          </w:rPr>
          <w:tab/>
        </w:r>
        <w:r w:rsidR="00F51B27">
          <w:rPr>
            <w:noProof/>
            <w:webHidden/>
          </w:rPr>
          <w:fldChar w:fldCharType="begin"/>
        </w:r>
        <w:r w:rsidR="00F51B27">
          <w:rPr>
            <w:noProof/>
            <w:webHidden/>
          </w:rPr>
          <w:instrText xml:space="preserve"> PAGEREF _Toc213404326 \h </w:instrText>
        </w:r>
        <w:r w:rsidR="00F51B27">
          <w:rPr>
            <w:noProof/>
            <w:webHidden/>
          </w:rPr>
        </w:r>
        <w:r w:rsidR="00F51B27">
          <w:rPr>
            <w:noProof/>
            <w:webHidden/>
          </w:rPr>
          <w:fldChar w:fldCharType="separate"/>
        </w:r>
        <w:r w:rsidR="00E40AF3">
          <w:rPr>
            <w:noProof/>
            <w:webHidden/>
          </w:rPr>
          <w:t>26</w:t>
        </w:r>
        <w:r w:rsidR="00F51B27">
          <w:rPr>
            <w:noProof/>
            <w:webHidden/>
          </w:rPr>
          <w:fldChar w:fldCharType="end"/>
        </w:r>
      </w:hyperlink>
    </w:p>
    <w:p w14:paraId="3F956117" w14:textId="05981A38" w:rsidR="00F51B27" w:rsidRDefault="0072072F">
      <w:pPr>
        <w:pStyle w:val="Tabledesillustrations"/>
        <w:tabs>
          <w:tab w:val="right" w:leader="dot" w:pos="9062"/>
        </w:tabs>
        <w:rPr>
          <w:rFonts w:asciiTheme="minorHAnsi" w:eastAsiaTheme="minorEastAsia" w:hAnsiTheme="minorHAnsi" w:cstheme="minorBidi"/>
          <w:noProof/>
          <w:kern w:val="2"/>
          <w:sz w:val="24"/>
          <w:szCs w:val="24"/>
          <w:lang w:eastAsia="fr-FR" w:bidi="ar-SA"/>
          <w14:ligatures w14:val="standardContextual"/>
        </w:rPr>
      </w:pPr>
      <w:hyperlink w:anchor="_Toc213404327" w:history="1">
        <w:r w:rsidR="00F51B27" w:rsidRPr="005D19BF">
          <w:rPr>
            <w:rStyle w:val="Lienhypertexte"/>
            <w:noProof/>
          </w:rPr>
          <w:t>Tableau 4 : Cadre institutionnel</w:t>
        </w:r>
        <w:r w:rsidR="00F51B27">
          <w:rPr>
            <w:noProof/>
            <w:webHidden/>
          </w:rPr>
          <w:tab/>
        </w:r>
        <w:r w:rsidR="00F51B27">
          <w:rPr>
            <w:noProof/>
            <w:webHidden/>
          </w:rPr>
          <w:fldChar w:fldCharType="begin"/>
        </w:r>
        <w:r w:rsidR="00F51B27">
          <w:rPr>
            <w:noProof/>
            <w:webHidden/>
          </w:rPr>
          <w:instrText xml:space="preserve"> PAGEREF _Toc213404327 \h </w:instrText>
        </w:r>
        <w:r w:rsidR="00F51B27">
          <w:rPr>
            <w:noProof/>
            <w:webHidden/>
          </w:rPr>
        </w:r>
        <w:r w:rsidR="00F51B27">
          <w:rPr>
            <w:noProof/>
            <w:webHidden/>
          </w:rPr>
          <w:fldChar w:fldCharType="separate"/>
        </w:r>
        <w:r w:rsidR="00E40AF3">
          <w:rPr>
            <w:noProof/>
            <w:webHidden/>
          </w:rPr>
          <w:t>27</w:t>
        </w:r>
        <w:r w:rsidR="00F51B27">
          <w:rPr>
            <w:noProof/>
            <w:webHidden/>
          </w:rPr>
          <w:fldChar w:fldCharType="end"/>
        </w:r>
      </w:hyperlink>
    </w:p>
    <w:p w14:paraId="60BA7BAB" w14:textId="59FEFD9A" w:rsidR="00F51B27" w:rsidRDefault="0072072F">
      <w:pPr>
        <w:pStyle w:val="Tabledesillustrations"/>
        <w:tabs>
          <w:tab w:val="right" w:leader="dot" w:pos="9062"/>
        </w:tabs>
        <w:rPr>
          <w:rFonts w:asciiTheme="minorHAnsi" w:eastAsiaTheme="minorEastAsia" w:hAnsiTheme="minorHAnsi" w:cstheme="minorBidi"/>
          <w:noProof/>
          <w:kern w:val="2"/>
          <w:sz w:val="24"/>
          <w:szCs w:val="24"/>
          <w:lang w:eastAsia="fr-FR" w:bidi="ar-SA"/>
          <w14:ligatures w14:val="standardContextual"/>
        </w:rPr>
      </w:pPr>
      <w:hyperlink w:anchor="_Toc213404328" w:history="1">
        <w:r w:rsidR="00F51B27" w:rsidRPr="005D19BF">
          <w:rPr>
            <w:rStyle w:val="Lienhypertexte"/>
            <w:noProof/>
          </w:rPr>
          <w:t>Tableau 5 : Le SO de la BAD (2023)</w:t>
        </w:r>
        <w:r w:rsidR="00F51B27">
          <w:rPr>
            <w:noProof/>
            <w:webHidden/>
          </w:rPr>
          <w:tab/>
        </w:r>
        <w:r w:rsidR="00F51B27">
          <w:rPr>
            <w:noProof/>
            <w:webHidden/>
          </w:rPr>
          <w:fldChar w:fldCharType="begin"/>
        </w:r>
        <w:r w:rsidR="00F51B27">
          <w:rPr>
            <w:noProof/>
            <w:webHidden/>
          </w:rPr>
          <w:instrText xml:space="preserve"> PAGEREF _Toc213404328 \h </w:instrText>
        </w:r>
        <w:r w:rsidR="00F51B27">
          <w:rPr>
            <w:noProof/>
            <w:webHidden/>
          </w:rPr>
        </w:r>
        <w:r w:rsidR="00F51B27">
          <w:rPr>
            <w:noProof/>
            <w:webHidden/>
          </w:rPr>
          <w:fldChar w:fldCharType="separate"/>
        </w:r>
        <w:r w:rsidR="00E40AF3">
          <w:rPr>
            <w:noProof/>
            <w:webHidden/>
          </w:rPr>
          <w:t>28</w:t>
        </w:r>
        <w:r w:rsidR="00F51B27">
          <w:rPr>
            <w:noProof/>
            <w:webHidden/>
          </w:rPr>
          <w:fldChar w:fldCharType="end"/>
        </w:r>
      </w:hyperlink>
    </w:p>
    <w:p w14:paraId="6D273C37" w14:textId="6BD66CE0" w:rsidR="00F51B27" w:rsidRDefault="0072072F">
      <w:pPr>
        <w:pStyle w:val="Tabledesillustrations"/>
        <w:tabs>
          <w:tab w:val="right" w:leader="dot" w:pos="9062"/>
        </w:tabs>
        <w:rPr>
          <w:rFonts w:asciiTheme="minorHAnsi" w:eastAsiaTheme="minorEastAsia" w:hAnsiTheme="minorHAnsi" w:cstheme="minorBidi"/>
          <w:noProof/>
          <w:kern w:val="2"/>
          <w:sz w:val="24"/>
          <w:szCs w:val="24"/>
          <w:lang w:eastAsia="fr-FR" w:bidi="ar-SA"/>
          <w14:ligatures w14:val="standardContextual"/>
        </w:rPr>
      </w:pPr>
      <w:hyperlink w:anchor="_Toc213404329" w:history="1">
        <w:r w:rsidR="00F51B27" w:rsidRPr="005D19BF">
          <w:rPr>
            <w:rStyle w:val="Lienhypertexte"/>
            <w:noProof/>
          </w:rPr>
          <w:t>Tableau 6 : Tableau de synthèse global des impacts environnementaux et sociaux du projet</w:t>
        </w:r>
        <w:r w:rsidR="00F51B27">
          <w:rPr>
            <w:noProof/>
            <w:webHidden/>
          </w:rPr>
          <w:tab/>
        </w:r>
        <w:r w:rsidR="00F51B27">
          <w:rPr>
            <w:noProof/>
            <w:webHidden/>
          </w:rPr>
          <w:fldChar w:fldCharType="begin"/>
        </w:r>
        <w:r w:rsidR="00F51B27">
          <w:rPr>
            <w:noProof/>
            <w:webHidden/>
          </w:rPr>
          <w:instrText xml:space="preserve"> PAGEREF _Toc213404329 \h </w:instrText>
        </w:r>
        <w:r w:rsidR="00F51B27">
          <w:rPr>
            <w:noProof/>
            <w:webHidden/>
          </w:rPr>
        </w:r>
        <w:r w:rsidR="00F51B27">
          <w:rPr>
            <w:noProof/>
            <w:webHidden/>
          </w:rPr>
          <w:fldChar w:fldCharType="separate"/>
        </w:r>
        <w:r w:rsidR="00E40AF3">
          <w:rPr>
            <w:noProof/>
            <w:webHidden/>
          </w:rPr>
          <w:t>33</w:t>
        </w:r>
        <w:r w:rsidR="00F51B27">
          <w:rPr>
            <w:noProof/>
            <w:webHidden/>
          </w:rPr>
          <w:fldChar w:fldCharType="end"/>
        </w:r>
      </w:hyperlink>
    </w:p>
    <w:p w14:paraId="153DF5CE" w14:textId="562510BE" w:rsidR="00F51B27" w:rsidRDefault="0072072F">
      <w:pPr>
        <w:pStyle w:val="Tabledesillustrations"/>
        <w:tabs>
          <w:tab w:val="right" w:leader="dot" w:pos="9062"/>
        </w:tabs>
        <w:rPr>
          <w:rFonts w:asciiTheme="minorHAnsi" w:eastAsiaTheme="minorEastAsia" w:hAnsiTheme="minorHAnsi" w:cstheme="minorBidi"/>
          <w:noProof/>
          <w:kern w:val="2"/>
          <w:sz w:val="24"/>
          <w:szCs w:val="24"/>
          <w:lang w:eastAsia="fr-FR" w:bidi="ar-SA"/>
          <w14:ligatures w14:val="standardContextual"/>
        </w:rPr>
      </w:pPr>
      <w:hyperlink w:anchor="_Toc213404330" w:history="1">
        <w:r w:rsidR="00F51B27" w:rsidRPr="005D19BF">
          <w:rPr>
            <w:rStyle w:val="Lienhypertexte"/>
            <w:noProof/>
          </w:rPr>
          <w:t>Tableau 7 : Système de reporting</w:t>
        </w:r>
        <w:r w:rsidR="00F51B27">
          <w:rPr>
            <w:noProof/>
            <w:webHidden/>
          </w:rPr>
          <w:tab/>
        </w:r>
        <w:r w:rsidR="00F51B27">
          <w:rPr>
            <w:noProof/>
            <w:webHidden/>
          </w:rPr>
          <w:fldChar w:fldCharType="begin"/>
        </w:r>
        <w:r w:rsidR="00F51B27">
          <w:rPr>
            <w:noProof/>
            <w:webHidden/>
          </w:rPr>
          <w:instrText xml:space="preserve"> PAGEREF _Toc213404330 \h </w:instrText>
        </w:r>
        <w:r w:rsidR="00F51B27">
          <w:rPr>
            <w:noProof/>
            <w:webHidden/>
          </w:rPr>
        </w:r>
        <w:r w:rsidR="00F51B27">
          <w:rPr>
            <w:noProof/>
            <w:webHidden/>
          </w:rPr>
          <w:fldChar w:fldCharType="separate"/>
        </w:r>
        <w:r w:rsidR="00E40AF3">
          <w:rPr>
            <w:noProof/>
            <w:webHidden/>
          </w:rPr>
          <w:t>40</w:t>
        </w:r>
        <w:r w:rsidR="00F51B27">
          <w:rPr>
            <w:noProof/>
            <w:webHidden/>
          </w:rPr>
          <w:fldChar w:fldCharType="end"/>
        </w:r>
      </w:hyperlink>
    </w:p>
    <w:p w14:paraId="050BA200" w14:textId="74DFC636" w:rsidR="00F51B27" w:rsidRDefault="0072072F">
      <w:pPr>
        <w:pStyle w:val="Tabledesillustrations"/>
        <w:tabs>
          <w:tab w:val="right" w:leader="dot" w:pos="9062"/>
        </w:tabs>
        <w:rPr>
          <w:rFonts w:asciiTheme="minorHAnsi" w:eastAsiaTheme="minorEastAsia" w:hAnsiTheme="minorHAnsi" w:cstheme="minorBidi"/>
          <w:noProof/>
          <w:kern w:val="2"/>
          <w:sz w:val="24"/>
          <w:szCs w:val="24"/>
          <w:lang w:eastAsia="fr-FR" w:bidi="ar-SA"/>
          <w14:ligatures w14:val="standardContextual"/>
        </w:rPr>
      </w:pPr>
      <w:hyperlink w:anchor="_Toc213404331" w:history="1">
        <w:r w:rsidR="00F51B27" w:rsidRPr="005D19BF">
          <w:rPr>
            <w:rStyle w:val="Lienhypertexte"/>
            <w:noProof/>
          </w:rPr>
          <w:t>Tableau 8 : Surveillance environnementale et sociale</w:t>
        </w:r>
        <w:r w:rsidR="00F51B27">
          <w:rPr>
            <w:noProof/>
            <w:webHidden/>
          </w:rPr>
          <w:tab/>
        </w:r>
        <w:r w:rsidR="00F51B27">
          <w:rPr>
            <w:noProof/>
            <w:webHidden/>
          </w:rPr>
          <w:fldChar w:fldCharType="begin"/>
        </w:r>
        <w:r w:rsidR="00F51B27">
          <w:rPr>
            <w:noProof/>
            <w:webHidden/>
          </w:rPr>
          <w:instrText xml:space="preserve"> PAGEREF _Toc213404331 \h </w:instrText>
        </w:r>
        <w:r w:rsidR="00F51B27">
          <w:rPr>
            <w:noProof/>
            <w:webHidden/>
          </w:rPr>
        </w:r>
        <w:r w:rsidR="00F51B27">
          <w:rPr>
            <w:noProof/>
            <w:webHidden/>
          </w:rPr>
          <w:fldChar w:fldCharType="separate"/>
        </w:r>
        <w:r w:rsidR="00E40AF3">
          <w:rPr>
            <w:noProof/>
            <w:webHidden/>
          </w:rPr>
          <w:t>41</w:t>
        </w:r>
        <w:r w:rsidR="00F51B27">
          <w:rPr>
            <w:noProof/>
            <w:webHidden/>
          </w:rPr>
          <w:fldChar w:fldCharType="end"/>
        </w:r>
      </w:hyperlink>
    </w:p>
    <w:p w14:paraId="2A529C63" w14:textId="15FBEFC5" w:rsidR="00F51B27" w:rsidRDefault="0072072F">
      <w:pPr>
        <w:pStyle w:val="Tabledesillustrations"/>
        <w:tabs>
          <w:tab w:val="right" w:leader="dot" w:pos="9062"/>
        </w:tabs>
        <w:rPr>
          <w:rFonts w:asciiTheme="minorHAnsi" w:eastAsiaTheme="minorEastAsia" w:hAnsiTheme="minorHAnsi" w:cstheme="minorBidi"/>
          <w:noProof/>
          <w:kern w:val="2"/>
          <w:sz w:val="24"/>
          <w:szCs w:val="24"/>
          <w:lang w:eastAsia="fr-FR" w:bidi="ar-SA"/>
          <w14:ligatures w14:val="standardContextual"/>
        </w:rPr>
      </w:pPr>
      <w:hyperlink w:anchor="_Toc213404332" w:history="1">
        <w:r w:rsidR="00F51B27" w:rsidRPr="005D19BF">
          <w:rPr>
            <w:rStyle w:val="Lienhypertexte"/>
            <w:noProof/>
          </w:rPr>
          <w:t>Tableau 9 : Audits E&amp;S</w:t>
        </w:r>
        <w:r w:rsidR="00F51B27">
          <w:rPr>
            <w:noProof/>
            <w:webHidden/>
          </w:rPr>
          <w:tab/>
        </w:r>
        <w:r w:rsidR="00F51B27">
          <w:rPr>
            <w:noProof/>
            <w:webHidden/>
          </w:rPr>
          <w:fldChar w:fldCharType="begin"/>
        </w:r>
        <w:r w:rsidR="00F51B27">
          <w:rPr>
            <w:noProof/>
            <w:webHidden/>
          </w:rPr>
          <w:instrText xml:space="preserve"> PAGEREF _Toc213404332 \h </w:instrText>
        </w:r>
        <w:r w:rsidR="00F51B27">
          <w:rPr>
            <w:noProof/>
            <w:webHidden/>
          </w:rPr>
        </w:r>
        <w:r w:rsidR="00F51B27">
          <w:rPr>
            <w:noProof/>
            <w:webHidden/>
          </w:rPr>
          <w:fldChar w:fldCharType="separate"/>
        </w:r>
        <w:r w:rsidR="00E40AF3">
          <w:rPr>
            <w:noProof/>
            <w:webHidden/>
          </w:rPr>
          <w:t>41</w:t>
        </w:r>
        <w:r w:rsidR="00F51B27">
          <w:rPr>
            <w:noProof/>
            <w:webHidden/>
          </w:rPr>
          <w:fldChar w:fldCharType="end"/>
        </w:r>
      </w:hyperlink>
    </w:p>
    <w:p w14:paraId="3E465942" w14:textId="614E768D" w:rsidR="00F51B27" w:rsidRDefault="0072072F">
      <w:pPr>
        <w:pStyle w:val="Tabledesillustrations"/>
        <w:tabs>
          <w:tab w:val="right" w:leader="dot" w:pos="9062"/>
        </w:tabs>
        <w:rPr>
          <w:rFonts w:asciiTheme="minorHAnsi" w:eastAsiaTheme="minorEastAsia" w:hAnsiTheme="minorHAnsi" w:cstheme="minorBidi"/>
          <w:noProof/>
          <w:kern w:val="2"/>
          <w:sz w:val="24"/>
          <w:szCs w:val="24"/>
          <w:lang w:eastAsia="fr-FR" w:bidi="ar-SA"/>
          <w14:ligatures w14:val="standardContextual"/>
        </w:rPr>
      </w:pPr>
      <w:hyperlink w:anchor="_Toc213404333" w:history="1">
        <w:r w:rsidR="00F51B27" w:rsidRPr="005D19BF">
          <w:rPr>
            <w:rStyle w:val="Lienhypertexte"/>
            <w:noProof/>
          </w:rPr>
          <w:t>Tableau 10 : Programme de suivi environnemental et social - Phase de construction</w:t>
        </w:r>
        <w:r w:rsidR="00F51B27">
          <w:rPr>
            <w:noProof/>
            <w:webHidden/>
          </w:rPr>
          <w:tab/>
        </w:r>
        <w:r w:rsidR="00F51B27">
          <w:rPr>
            <w:noProof/>
            <w:webHidden/>
          </w:rPr>
          <w:fldChar w:fldCharType="begin"/>
        </w:r>
        <w:r w:rsidR="00F51B27">
          <w:rPr>
            <w:noProof/>
            <w:webHidden/>
          </w:rPr>
          <w:instrText xml:space="preserve"> PAGEREF _Toc213404333 \h </w:instrText>
        </w:r>
        <w:r w:rsidR="00F51B27">
          <w:rPr>
            <w:noProof/>
            <w:webHidden/>
          </w:rPr>
        </w:r>
        <w:r w:rsidR="00F51B27">
          <w:rPr>
            <w:noProof/>
            <w:webHidden/>
          </w:rPr>
          <w:fldChar w:fldCharType="separate"/>
        </w:r>
        <w:r w:rsidR="00E40AF3">
          <w:rPr>
            <w:noProof/>
            <w:webHidden/>
          </w:rPr>
          <w:t>43</w:t>
        </w:r>
        <w:r w:rsidR="00F51B27">
          <w:rPr>
            <w:noProof/>
            <w:webHidden/>
          </w:rPr>
          <w:fldChar w:fldCharType="end"/>
        </w:r>
      </w:hyperlink>
    </w:p>
    <w:p w14:paraId="2BDB03E8" w14:textId="160ECB8E" w:rsidR="00F51B27" w:rsidRDefault="0072072F">
      <w:pPr>
        <w:pStyle w:val="Tabledesillustrations"/>
        <w:tabs>
          <w:tab w:val="right" w:leader="dot" w:pos="9062"/>
        </w:tabs>
        <w:rPr>
          <w:rFonts w:asciiTheme="minorHAnsi" w:eastAsiaTheme="minorEastAsia" w:hAnsiTheme="minorHAnsi" w:cstheme="minorBidi"/>
          <w:noProof/>
          <w:kern w:val="2"/>
          <w:sz w:val="24"/>
          <w:szCs w:val="24"/>
          <w:lang w:eastAsia="fr-FR" w:bidi="ar-SA"/>
          <w14:ligatures w14:val="standardContextual"/>
        </w:rPr>
      </w:pPr>
      <w:hyperlink w:anchor="_Toc213404334" w:history="1">
        <w:r w:rsidR="00F51B27" w:rsidRPr="005D19BF">
          <w:rPr>
            <w:rStyle w:val="Lienhypertexte"/>
            <w:noProof/>
          </w:rPr>
          <w:t>Tableau 11 : Programme de suivi environnemental et social - Phase d’exploitation</w:t>
        </w:r>
        <w:r w:rsidR="00F51B27">
          <w:rPr>
            <w:noProof/>
            <w:webHidden/>
          </w:rPr>
          <w:tab/>
        </w:r>
        <w:r w:rsidR="00F51B27">
          <w:rPr>
            <w:noProof/>
            <w:webHidden/>
          </w:rPr>
          <w:fldChar w:fldCharType="begin"/>
        </w:r>
        <w:r w:rsidR="00F51B27">
          <w:rPr>
            <w:noProof/>
            <w:webHidden/>
          </w:rPr>
          <w:instrText xml:space="preserve"> PAGEREF _Toc213404334 \h </w:instrText>
        </w:r>
        <w:r w:rsidR="00F51B27">
          <w:rPr>
            <w:noProof/>
            <w:webHidden/>
          </w:rPr>
        </w:r>
        <w:r w:rsidR="00F51B27">
          <w:rPr>
            <w:noProof/>
            <w:webHidden/>
          </w:rPr>
          <w:fldChar w:fldCharType="separate"/>
        </w:r>
        <w:r w:rsidR="00E40AF3">
          <w:rPr>
            <w:noProof/>
            <w:webHidden/>
          </w:rPr>
          <w:t>45</w:t>
        </w:r>
        <w:r w:rsidR="00F51B27">
          <w:rPr>
            <w:noProof/>
            <w:webHidden/>
          </w:rPr>
          <w:fldChar w:fldCharType="end"/>
        </w:r>
      </w:hyperlink>
    </w:p>
    <w:p w14:paraId="0C31A756" w14:textId="37E693F3" w:rsidR="00F51B27" w:rsidRDefault="0072072F">
      <w:pPr>
        <w:pStyle w:val="Tabledesillustrations"/>
        <w:tabs>
          <w:tab w:val="right" w:leader="dot" w:pos="9062"/>
        </w:tabs>
        <w:rPr>
          <w:rFonts w:asciiTheme="minorHAnsi" w:eastAsiaTheme="minorEastAsia" w:hAnsiTheme="minorHAnsi" w:cstheme="minorBidi"/>
          <w:noProof/>
          <w:kern w:val="2"/>
          <w:sz w:val="24"/>
          <w:szCs w:val="24"/>
          <w:lang w:eastAsia="fr-FR" w:bidi="ar-SA"/>
          <w14:ligatures w14:val="standardContextual"/>
        </w:rPr>
      </w:pPr>
      <w:hyperlink w:anchor="_Toc213404335" w:history="1">
        <w:r w:rsidR="00F51B27" w:rsidRPr="005D19BF">
          <w:rPr>
            <w:rStyle w:val="Lienhypertexte"/>
            <w:noProof/>
          </w:rPr>
          <w:t>Tableau 12 : Estimation des coûts de mise en œuvre du PGES</w:t>
        </w:r>
        <w:r w:rsidR="00F51B27">
          <w:rPr>
            <w:noProof/>
            <w:webHidden/>
          </w:rPr>
          <w:tab/>
        </w:r>
        <w:r w:rsidR="00F51B27">
          <w:rPr>
            <w:noProof/>
            <w:webHidden/>
          </w:rPr>
          <w:fldChar w:fldCharType="begin"/>
        </w:r>
        <w:r w:rsidR="00F51B27">
          <w:rPr>
            <w:noProof/>
            <w:webHidden/>
          </w:rPr>
          <w:instrText xml:space="preserve"> PAGEREF _Toc213404335 \h </w:instrText>
        </w:r>
        <w:r w:rsidR="00F51B27">
          <w:rPr>
            <w:noProof/>
            <w:webHidden/>
          </w:rPr>
        </w:r>
        <w:r w:rsidR="00F51B27">
          <w:rPr>
            <w:noProof/>
            <w:webHidden/>
          </w:rPr>
          <w:fldChar w:fldCharType="separate"/>
        </w:r>
        <w:r w:rsidR="00E40AF3">
          <w:rPr>
            <w:noProof/>
            <w:webHidden/>
          </w:rPr>
          <w:t>47</w:t>
        </w:r>
        <w:r w:rsidR="00F51B27">
          <w:rPr>
            <w:noProof/>
            <w:webHidden/>
          </w:rPr>
          <w:fldChar w:fldCharType="end"/>
        </w:r>
      </w:hyperlink>
    </w:p>
    <w:p w14:paraId="67ED4FBA" w14:textId="3B7E3ADF" w:rsidR="00F51B27" w:rsidRDefault="0072072F">
      <w:pPr>
        <w:pStyle w:val="Tabledesillustrations"/>
        <w:tabs>
          <w:tab w:val="right" w:leader="dot" w:pos="9062"/>
        </w:tabs>
        <w:rPr>
          <w:rFonts w:asciiTheme="minorHAnsi" w:eastAsiaTheme="minorEastAsia" w:hAnsiTheme="minorHAnsi" w:cstheme="minorBidi"/>
          <w:noProof/>
          <w:kern w:val="2"/>
          <w:sz w:val="24"/>
          <w:szCs w:val="24"/>
          <w:lang w:eastAsia="fr-FR" w:bidi="ar-SA"/>
          <w14:ligatures w14:val="standardContextual"/>
        </w:rPr>
      </w:pPr>
      <w:hyperlink w:anchor="_Toc213404336" w:history="1">
        <w:r w:rsidR="00F51B27" w:rsidRPr="005D19BF">
          <w:rPr>
            <w:rStyle w:val="Lienhypertexte"/>
            <w:noProof/>
          </w:rPr>
          <w:t>Tableau 13 : Alignement du projet d’extension de l’aéroport Marrakech Ménara avec les stratégies et programmes nationaux</w:t>
        </w:r>
        <w:r w:rsidR="00F51B27">
          <w:rPr>
            <w:noProof/>
            <w:webHidden/>
          </w:rPr>
          <w:tab/>
        </w:r>
        <w:r w:rsidR="00F51B27">
          <w:rPr>
            <w:noProof/>
            <w:webHidden/>
          </w:rPr>
          <w:fldChar w:fldCharType="begin"/>
        </w:r>
        <w:r w:rsidR="00F51B27">
          <w:rPr>
            <w:noProof/>
            <w:webHidden/>
          </w:rPr>
          <w:instrText xml:space="preserve"> PAGEREF _Toc213404336 \h </w:instrText>
        </w:r>
        <w:r w:rsidR="00F51B27">
          <w:rPr>
            <w:noProof/>
            <w:webHidden/>
          </w:rPr>
        </w:r>
        <w:r w:rsidR="00F51B27">
          <w:rPr>
            <w:noProof/>
            <w:webHidden/>
          </w:rPr>
          <w:fldChar w:fldCharType="separate"/>
        </w:r>
        <w:r w:rsidR="00E40AF3">
          <w:rPr>
            <w:noProof/>
            <w:webHidden/>
          </w:rPr>
          <w:t>51</w:t>
        </w:r>
        <w:r w:rsidR="00F51B27">
          <w:rPr>
            <w:noProof/>
            <w:webHidden/>
          </w:rPr>
          <w:fldChar w:fldCharType="end"/>
        </w:r>
      </w:hyperlink>
    </w:p>
    <w:p w14:paraId="16188956" w14:textId="5212CE43" w:rsidR="00F51B27" w:rsidRDefault="0072072F">
      <w:pPr>
        <w:pStyle w:val="Tabledesillustrations"/>
        <w:tabs>
          <w:tab w:val="right" w:leader="dot" w:pos="9062"/>
        </w:tabs>
        <w:rPr>
          <w:rFonts w:asciiTheme="minorHAnsi" w:eastAsiaTheme="minorEastAsia" w:hAnsiTheme="minorHAnsi" w:cstheme="minorBidi"/>
          <w:noProof/>
          <w:kern w:val="2"/>
          <w:sz w:val="24"/>
          <w:szCs w:val="24"/>
          <w:lang w:eastAsia="fr-FR" w:bidi="ar-SA"/>
          <w14:ligatures w14:val="standardContextual"/>
        </w:rPr>
      </w:pPr>
      <w:hyperlink w:anchor="_Toc213404337" w:history="1">
        <w:r w:rsidR="00F51B27" w:rsidRPr="005D19BF">
          <w:rPr>
            <w:rStyle w:val="Lienhypertexte"/>
            <w:noProof/>
          </w:rPr>
          <w:t>Tableau 14 : Acteurs institutionnels et leur contribution à la gestion environnementale et sociale du projet</w:t>
        </w:r>
        <w:r w:rsidR="00F51B27">
          <w:rPr>
            <w:noProof/>
            <w:webHidden/>
          </w:rPr>
          <w:tab/>
        </w:r>
        <w:r w:rsidR="00F51B27">
          <w:rPr>
            <w:noProof/>
            <w:webHidden/>
          </w:rPr>
          <w:fldChar w:fldCharType="begin"/>
        </w:r>
        <w:r w:rsidR="00F51B27">
          <w:rPr>
            <w:noProof/>
            <w:webHidden/>
          </w:rPr>
          <w:instrText xml:space="preserve"> PAGEREF _Toc213404337 \h </w:instrText>
        </w:r>
        <w:r w:rsidR="00F51B27">
          <w:rPr>
            <w:noProof/>
            <w:webHidden/>
          </w:rPr>
        </w:r>
        <w:r w:rsidR="00F51B27">
          <w:rPr>
            <w:noProof/>
            <w:webHidden/>
          </w:rPr>
          <w:fldChar w:fldCharType="separate"/>
        </w:r>
        <w:r w:rsidR="00E40AF3">
          <w:rPr>
            <w:noProof/>
            <w:webHidden/>
          </w:rPr>
          <w:t>75</w:t>
        </w:r>
        <w:r w:rsidR="00F51B27">
          <w:rPr>
            <w:noProof/>
            <w:webHidden/>
          </w:rPr>
          <w:fldChar w:fldCharType="end"/>
        </w:r>
      </w:hyperlink>
    </w:p>
    <w:p w14:paraId="465957E6" w14:textId="4AB66309" w:rsidR="00F51B27" w:rsidRDefault="0072072F">
      <w:pPr>
        <w:pStyle w:val="Tabledesillustrations"/>
        <w:tabs>
          <w:tab w:val="right" w:leader="dot" w:pos="9062"/>
        </w:tabs>
        <w:rPr>
          <w:rFonts w:asciiTheme="minorHAnsi" w:eastAsiaTheme="minorEastAsia" w:hAnsiTheme="minorHAnsi" w:cstheme="minorBidi"/>
          <w:noProof/>
          <w:kern w:val="2"/>
          <w:sz w:val="24"/>
          <w:szCs w:val="24"/>
          <w:lang w:eastAsia="fr-FR" w:bidi="ar-SA"/>
          <w14:ligatures w14:val="standardContextual"/>
        </w:rPr>
      </w:pPr>
      <w:hyperlink w:anchor="_Toc213404338" w:history="1">
        <w:r w:rsidR="00F51B27" w:rsidRPr="005D19BF">
          <w:rPr>
            <w:rStyle w:val="Lienhypertexte"/>
            <w:rFonts w:cstheme="minorHAnsi"/>
            <w:noProof/>
          </w:rPr>
          <w:t>Tableau 15: Conformité des SO au projet</w:t>
        </w:r>
        <w:r w:rsidR="00F51B27">
          <w:rPr>
            <w:noProof/>
            <w:webHidden/>
          </w:rPr>
          <w:tab/>
        </w:r>
        <w:r w:rsidR="00F51B27">
          <w:rPr>
            <w:noProof/>
            <w:webHidden/>
          </w:rPr>
          <w:fldChar w:fldCharType="begin"/>
        </w:r>
        <w:r w:rsidR="00F51B27">
          <w:rPr>
            <w:noProof/>
            <w:webHidden/>
          </w:rPr>
          <w:instrText xml:space="preserve"> PAGEREF _Toc213404338 \h </w:instrText>
        </w:r>
        <w:r w:rsidR="00F51B27">
          <w:rPr>
            <w:noProof/>
            <w:webHidden/>
          </w:rPr>
        </w:r>
        <w:r w:rsidR="00F51B27">
          <w:rPr>
            <w:noProof/>
            <w:webHidden/>
          </w:rPr>
          <w:fldChar w:fldCharType="separate"/>
        </w:r>
        <w:r w:rsidR="00E40AF3">
          <w:rPr>
            <w:noProof/>
            <w:webHidden/>
          </w:rPr>
          <w:t>81</w:t>
        </w:r>
        <w:r w:rsidR="00F51B27">
          <w:rPr>
            <w:noProof/>
            <w:webHidden/>
          </w:rPr>
          <w:fldChar w:fldCharType="end"/>
        </w:r>
      </w:hyperlink>
    </w:p>
    <w:p w14:paraId="6C8DDA1C" w14:textId="60D16E0D" w:rsidR="00F51B27" w:rsidRDefault="0072072F">
      <w:pPr>
        <w:pStyle w:val="Tabledesillustrations"/>
        <w:tabs>
          <w:tab w:val="right" w:leader="dot" w:pos="9062"/>
        </w:tabs>
        <w:rPr>
          <w:rFonts w:asciiTheme="minorHAnsi" w:eastAsiaTheme="minorEastAsia" w:hAnsiTheme="minorHAnsi" w:cstheme="minorBidi"/>
          <w:noProof/>
          <w:kern w:val="2"/>
          <w:sz w:val="24"/>
          <w:szCs w:val="24"/>
          <w:lang w:eastAsia="fr-FR" w:bidi="ar-SA"/>
          <w14:ligatures w14:val="standardContextual"/>
        </w:rPr>
      </w:pPr>
      <w:hyperlink w:anchor="_Toc213404339" w:history="1">
        <w:r w:rsidR="00F51B27" w:rsidRPr="005D19BF">
          <w:rPr>
            <w:rStyle w:val="Lienhypertexte"/>
            <w:noProof/>
          </w:rPr>
          <w:t>Tableau 16:  Cadre légal et réglementaire national, écart avec les SO de la BAD et mesures de remédiation</w:t>
        </w:r>
        <w:r w:rsidR="00F51B27">
          <w:rPr>
            <w:noProof/>
            <w:webHidden/>
          </w:rPr>
          <w:tab/>
        </w:r>
        <w:r w:rsidR="00F51B27">
          <w:rPr>
            <w:noProof/>
            <w:webHidden/>
          </w:rPr>
          <w:fldChar w:fldCharType="begin"/>
        </w:r>
        <w:r w:rsidR="00F51B27">
          <w:rPr>
            <w:noProof/>
            <w:webHidden/>
          </w:rPr>
          <w:instrText xml:space="preserve"> PAGEREF _Toc213404339 \h </w:instrText>
        </w:r>
        <w:r w:rsidR="00F51B27">
          <w:rPr>
            <w:noProof/>
            <w:webHidden/>
          </w:rPr>
        </w:r>
        <w:r w:rsidR="00F51B27">
          <w:rPr>
            <w:noProof/>
            <w:webHidden/>
          </w:rPr>
          <w:fldChar w:fldCharType="separate"/>
        </w:r>
        <w:r w:rsidR="00E40AF3">
          <w:rPr>
            <w:noProof/>
            <w:webHidden/>
          </w:rPr>
          <w:t>89</w:t>
        </w:r>
        <w:r w:rsidR="00F51B27">
          <w:rPr>
            <w:noProof/>
            <w:webHidden/>
          </w:rPr>
          <w:fldChar w:fldCharType="end"/>
        </w:r>
      </w:hyperlink>
    </w:p>
    <w:p w14:paraId="18F54FEC" w14:textId="400674D6" w:rsidR="00F51B27" w:rsidRDefault="0072072F">
      <w:pPr>
        <w:pStyle w:val="Tabledesillustrations"/>
        <w:tabs>
          <w:tab w:val="right" w:leader="dot" w:pos="9062"/>
        </w:tabs>
        <w:rPr>
          <w:rFonts w:asciiTheme="minorHAnsi" w:eastAsiaTheme="minorEastAsia" w:hAnsiTheme="minorHAnsi" w:cstheme="minorBidi"/>
          <w:noProof/>
          <w:kern w:val="2"/>
          <w:sz w:val="24"/>
          <w:szCs w:val="24"/>
          <w:lang w:eastAsia="fr-FR" w:bidi="ar-SA"/>
          <w14:ligatures w14:val="standardContextual"/>
        </w:rPr>
      </w:pPr>
      <w:hyperlink w:anchor="_Toc213404340" w:history="1">
        <w:r w:rsidR="00F51B27" w:rsidRPr="005D19BF">
          <w:rPr>
            <w:rStyle w:val="Lienhypertexte"/>
            <w:noProof/>
          </w:rPr>
          <w:t>Tableau 17 : Conventions internationales environnementales ratifiées par le Maroc et leur applicabilité au projet</w:t>
        </w:r>
        <w:r w:rsidR="00F51B27">
          <w:rPr>
            <w:noProof/>
            <w:webHidden/>
          </w:rPr>
          <w:tab/>
        </w:r>
        <w:r w:rsidR="00F51B27">
          <w:rPr>
            <w:noProof/>
            <w:webHidden/>
          </w:rPr>
          <w:fldChar w:fldCharType="begin"/>
        </w:r>
        <w:r w:rsidR="00F51B27">
          <w:rPr>
            <w:noProof/>
            <w:webHidden/>
          </w:rPr>
          <w:instrText xml:space="preserve"> PAGEREF _Toc213404340 \h </w:instrText>
        </w:r>
        <w:r w:rsidR="00F51B27">
          <w:rPr>
            <w:noProof/>
            <w:webHidden/>
          </w:rPr>
        </w:r>
        <w:r w:rsidR="00F51B27">
          <w:rPr>
            <w:noProof/>
            <w:webHidden/>
          </w:rPr>
          <w:fldChar w:fldCharType="separate"/>
        </w:r>
        <w:r w:rsidR="00E40AF3">
          <w:rPr>
            <w:noProof/>
            <w:webHidden/>
          </w:rPr>
          <w:t>99</w:t>
        </w:r>
        <w:r w:rsidR="00F51B27">
          <w:rPr>
            <w:noProof/>
            <w:webHidden/>
          </w:rPr>
          <w:fldChar w:fldCharType="end"/>
        </w:r>
      </w:hyperlink>
    </w:p>
    <w:p w14:paraId="1607CC01" w14:textId="3B154543" w:rsidR="00F51B27" w:rsidRDefault="0072072F">
      <w:pPr>
        <w:pStyle w:val="Tabledesillustrations"/>
        <w:tabs>
          <w:tab w:val="right" w:leader="dot" w:pos="9062"/>
        </w:tabs>
        <w:rPr>
          <w:rFonts w:asciiTheme="minorHAnsi" w:eastAsiaTheme="minorEastAsia" w:hAnsiTheme="minorHAnsi" w:cstheme="minorBidi"/>
          <w:noProof/>
          <w:kern w:val="2"/>
          <w:sz w:val="24"/>
          <w:szCs w:val="24"/>
          <w:lang w:eastAsia="fr-FR" w:bidi="ar-SA"/>
          <w14:ligatures w14:val="standardContextual"/>
        </w:rPr>
      </w:pPr>
      <w:hyperlink w:anchor="_Toc213404341" w:history="1">
        <w:r w:rsidR="00F51B27" w:rsidRPr="005D19BF">
          <w:rPr>
            <w:rStyle w:val="Lienhypertexte"/>
            <w:noProof/>
          </w:rPr>
          <w:t>Tableau 18 : Principales conventions internationales sociales (OIT) ratifiées par le Maroc et leur applicabilité au projet</w:t>
        </w:r>
        <w:r w:rsidR="00F51B27">
          <w:rPr>
            <w:noProof/>
            <w:webHidden/>
          </w:rPr>
          <w:tab/>
        </w:r>
        <w:r w:rsidR="00F51B27">
          <w:rPr>
            <w:noProof/>
            <w:webHidden/>
          </w:rPr>
          <w:fldChar w:fldCharType="begin"/>
        </w:r>
        <w:r w:rsidR="00F51B27">
          <w:rPr>
            <w:noProof/>
            <w:webHidden/>
          </w:rPr>
          <w:instrText xml:space="preserve"> PAGEREF _Toc213404341 \h </w:instrText>
        </w:r>
        <w:r w:rsidR="00F51B27">
          <w:rPr>
            <w:noProof/>
            <w:webHidden/>
          </w:rPr>
        </w:r>
        <w:r w:rsidR="00F51B27">
          <w:rPr>
            <w:noProof/>
            <w:webHidden/>
          </w:rPr>
          <w:fldChar w:fldCharType="separate"/>
        </w:r>
        <w:r w:rsidR="00E40AF3">
          <w:rPr>
            <w:noProof/>
            <w:webHidden/>
          </w:rPr>
          <w:t>100</w:t>
        </w:r>
        <w:r w:rsidR="00F51B27">
          <w:rPr>
            <w:noProof/>
            <w:webHidden/>
          </w:rPr>
          <w:fldChar w:fldCharType="end"/>
        </w:r>
      </w:hyperlink>
    </w:p>
    <w:p w14:paraId="442A0FD7" w14:textId="349EDFF8" w:rsidR="00F51B27" w:rsidRDefault="0072072F">
      <w:pPr>
        <w:pStyle w:val="Tabledesillustrations"/>
        <w:tabs>
          <w:tab w:val="right" w:leader="dot" w:pos="9062"/>
        </w:tabs>
        <w:rPr>
          <w:rFonts w:asciiTheme="minorHAnsi" w:eastAsiaTheme="minorEastAsia" w:hAnsiTheme="minorHAnsi" w:cstheme="minorBidi"/>
          <w:noProof/>
          <w:kern w:val="2"/>
          <w:sz w:val="24"/>
          <w:szCs w:val="24"/>
          <w:lang w:eastAsia="fr-FR" w:bidi="ar-SA"/>
          <w14:ligatures w14:val="standardContextual"/>
        </w:rPr>
      </w:pPr>
      <w:hyperlink w:anchor="_Toc213404342" w:history="1">
        <w:r w:rsidR="00F51B27" w:rsidRPr="005D19BF">
          <w:rPr>
            <w:rStyle w:val="Lienhypertexte"/>
            <w:noProof/>
          </w:rPr>
          <w:t>Tableau 19 : Applicabilité des normes marocaines (NM) au projet</w:t>
        </w:r>
        <w:r w:rsidR="00F51B27">
          <w:rPr>
            <w:noProof/>
            <w:webHidden/>
          </w:rPr>
          <w:tab/>
        </w:r>
        <w:r w:rsidR="00F51B27">
          <w:rPr>
            <w:noProof/>
            <w:webHidden/>
          </w:rPr>
          <w:fldChar w:fldCharType="begin"/>
        </w:r>
        <w:r w:rsidR="00F51B27">
          <w:rPr>
            <w:noProof/>
            <w:webHidden/>
          </w:rPr>
          <w:instrText xml:space="preserve"> PAGEREF _Toc213404342 \h </w:instrText>
        </w:r>
        <w:r w:rsidR="00F51B27">
          <w:rPr>
            <w:noProof/>
            <w:webHidden/>
          </w:rPr>
        </w:r>
        <w:r w:rsidR="00F51B27">
          <w:rPr>
            <w:noProof/>
            <w:webHidden/>
          </w:rPr>
          <w:fldChar w:fldCharType="separate"/>
        </w:r>
        <w:r w:rsidR="00E40AF3">
          <w:rPr>
            <w:noProof/>
            <w:webHidden/>
          </w:rPr>
          <w:t>102</w:t>
        </w:r>
        <w:r w:rsidR="00F51B27">
          <w:rPr>
            <w:noProof/>
            <w:webHidden/>
          </w:rPr>
          <w:fldChar w:fldCharType="end"/>
        </w:r>
      </w:hyperlink>
    </w:p>
    <w:p w14:paraId="1CAE7DE7" w14:textId="143C3066" w:rsidR="00F51B27" w:rsidRDefault="0072072F">
      <w:pPr>
        <w:pStyle w:val="Tabledesillustrations"/>
        <w:tabs>
          <w:tab w:val="right" w:leader="dot" w:pos="9062"/>
        </w:tabs>
        <w:rPr>
          <w:rFonts w:asciiTheme="minorHAnsi" w:eastAsiaTheme="minorEastAsia" w:hAnsiTheme="minorHAnsi" w:cstheme="minorBidi"/>
          <w:noProof/>
          <w:kern w:val="2"/>
          <w:sz w:val="24"/>
          <w:szCs w:val="24"/>
          <w:lang w:eastAsia="fr-FR" w:bidi="ar-SA"/>
          <w14:ligatures w14:val="standardContextual"/>
        </w:rPr>
      </w:pPr>
      <w:hyperlink w:anchor="_Toc213404343" w:history="1">
        <w:r w:rsidR="00F51B27" w:rsidRPr="005D19BF">
          <w:rPr>
            <w:rStyle w:val="Lienhypertexte"/>
            <w:noProof/>
          </w:rPr>
          <w:t>Tableau 20:</w:t>
        </w:r>
        <w:r w:rsidR="00F51B27" w:rsidRPr="005D19BF">
          <w:rPr>
            <w:rStyle w:val="Lienhypertexte"/>
            <w:noProof/>
            <w:lang w:eastAsia="zh-CN"/>
          </w:rPr>
          <w:t xml:space="preserve"> </w:t>
        </w:r>
        <w:r w:rsidR="00F51B27" w:rsidRPr="005D19BF">
          <w:rPr>
            <w:rStyle w:val="Lienhypertexte"/>
            <w:noProof/>
          </w:rPr>
          <w:t>Valeurs admissibles du bruit</w:t>
        </w:r>
        <w:r w:rsidR="00F51B27">
          <w:rPr>
            <w:noProof/>
            <w:webHidden/>
          </w:rPr>
          <w:tab/>
        </w:r>
        <w:r w:rsidR="00F51B27">
          <w:rPr>
            <w:noProof/>
            <w:webHidden/>
          </w:rPr>
          <w:fldChar w:fldCharType="begin"/>
        </w:r>
        <w:r w:rsidR="00F51B27">
          <w:rPr>
            <w:noProof/>
            <w:webHidden/>
          </w:rPr>
          <w:instrText xml:space="preserve"> PAGEREF _Toc213404343 \h </w:instrText>
        </w:r>
        <w:r w:rsidR="00F51B27">
          <w:rPr>
            <w:noProof/>
            <w:webHidden/>
          </w:rPr>
        </w:r>
        <w:r w:rsidR="00F51B27">
          <w:rPr>
            <w:noProof/>
            <w:webHidden/>
          </w:rPr>
          <w:fldChar w:fldCharType="separate"/>
        </w:r>
        <w:r w:rsidR="00E40AF3">
          <w:rPr>
            <w:noProof/>
            <w:webHidden/>
          </w:rPr>
          <w:t>103</w:t>
        </w:r>
        <w:r w:rsidR="00F51B27">
          <w:rPr>
            <w:noProof/>
            <w:webHidden/>
          </w:rPr>
          <w:fldChar w:fldCharType="end"/>
        </w:r>
      </w:hyperlink>
    </w:p>
    <w:p w14:paraId="6D20D5BD" w14:textId="3E5F58FE" w:rsidR="00F51B27" w:rsidRDefault="0072072F">
      <w:pPr>
        <w:pStyle w:val="Tabledesillustrations"/>
        <w:tabs>
          <w:tab w:val="right" w:leader="dot" w:pos="9062"/>
        </w:tabs>
        <w:rPr>
          <w:rFonts w:asciiTheme="minorHAnsi" w:eastAsiaTheme="minorEastAsia" w:hAnsiTheme="minorHAnsi" w:cstheme="minorBidi"/>
          <w:noProof/>
          <w:kern w:val="2"/>
          <w:sz w:val="24"/>
          <w:szCs w:val="24"/>
          <w:lang w:eastAsia="fr-FR" w:bidi="ar-SA"/>
          <w14:ligatures w14:val="standardContextual"/>
        </w:rPr>
      </w:pPr>
      <w:hyperlink w:anchor="_Toc213404344" w:history="1">
        <w:r w:rsidR="00F51B27" w:rsidRPr="005D19BF">
          <w:rPr>
            <w:rStyle w:val="Lienhypertexte"/>
            <w:noProof/>
          </w:rPr>
          <w:t>Tableau 21:</w:t>
        </w:r>
        <w:r w:rsidR="00F51B27" w:rsidRPr="005D19BF">
          <w:rPr>
            <w:rStyle w:val="Lienhypertexte"/>
            <w:noProof/>
            <w:lang w:eastAsia="zh-CN"/>
          </w:rPr>
          <w:t xml:space="preserve"> </w:t>
        </w:r>
        <w:r w:rsidR="00F51B27" w:rsidRPr="005D19BF">
          <w:rPr>
            <w:rStyle w:val="Lienhypertexte"/>
            <w:noProof/>
          </w:rPr>
          <w:t>Niveaux admissibles de bruit à retenir à l’intérieur des locaux</w:t>
        </w:r>
        <w:r w:rsidR="00F51B27">
          <w:rPr>
            <w:noProof/>
            <w:webHidden/>
          </w:rPr>
          <w:tab/>
        </w:r>
        <w:r w:rsidR="00F51B27">
          <w:rPr>
            <w:noProof/>
            <w:webHidden/>
          </w:rPr>
          <w:fldChar w:fldCharType="begin"/>
        </w:r>
        <w:r w:rsidR="00F51B27">
          <w:rPr>
            <w:noProof/>
            <w:webHidden/>
          </w:rPr>
          <w:instrText xml:space="preserve"> PAGEREF _Toc213404344 \h </w:instrText>
        </w:r>
        <w:r w:rsidR="00F51B27">
          <w:rPr>
            <w:noProof/>
            <w:webHidden/>
          </w:rPr>
        </w:r>
        <w:r w:rsidR="00F51B27">
          <w:rPr>
            <w:noProof/>
            <w:webHidden/>
          </w:rPr>
          <w:fldChar w:fldCharType="separate"/>
        </w:r>
        <w:r w:rsidR="00E40AF3">
          <w:rPr>
            <w:noProof/>
            <w:webHidden/>
          </w:rPr>
          <w:t>103</w:t>
        </w:r>
        <w:r w:rsidR="00F51B27">
          <w:rPr>
            <w:noProof/>
            <w:webHidden/>
          </w:rPr>
          <w:fldChar w:fldCharType="end"/>
        </w:r>
      </w:hyperlink>
    </w:p>
    <w:p w14:paraId="1FB4B729" w14:textId="7488B43A" w:rsidR="00F51B27" w:rsidRDefault="0072072F">
      <w:pPr>
        <w:pStyle w:val="Tabledesillustrations"/>
        <w:tabs>
          <w:tab w:val="right" w:leader="dot" w:pos="9062"/>
        </w:tabs>
        <w:rPr>
          <w:rFonts w:asciiTheme="minorHAnsi" w:eastAsiaTheme="minorEastAsia" w:hAnsiTheme="minorHAnsi" w:cstheme="minorBidi"/>
          <w:noProof/>
          <w:kern w:val="2"/>
          <w:sz w:val="24"/>
          <w:szCs w:val="24"/>
          <w:lang w:eastAsia="fr-FR" w:bidi="ar-SA"/>
          <w14:ligatures w14:val="standardContextual"/>
        </w:rPr>
      </w:pPr>
      <w:hyperlink w:anchor="_Toc213404345" w:history="1">
        <w:r w:rsidR="00F51B27" w:rsidRPr="005D19BF">
          <w:rPr>
            <w:rStyle w:val="Lienhypertexte"/>
            <w:noProof/>
          </w:rPr>
          <w:t>Tableau 22:</w:t>
        </w:r>
        <w:r w:rsidR="00F51B27" w:rsidRPr="005D19BF">
          <w:rPr>
            <w:rStyle w:val="Lienhypertexte"/>
            <w:noProof/>
            <w:lang w:eastAsia="zh-CN"/>
          </w:rPr>
          <w:t xml:space="preserve"> </w:t>
        </w:r>
        <w:r w:rsidR="00F51B27" w:rsidRPr="005D19BF">
          <w:rPr>
            <w:rStyle w:val="Lienhypertexte"/>
            <w:noProof/>
          </w:rPr>
          <w:t>Normes marocaines de qualité de l’air</w:t>
        </w:r>
        <w:r w:rsidR="00F51B27">
          <w:rPr>
            <w:noProof/>
            <w:webHidden/>
          </w:rPr>
          <w:tab/>
        </w:r>
        <w:r w:rsidR="00F51B27">
          <w:rPr>
            <w:noProof/>
            <w:webHidden/>
          </w:rPr>
          <w:fldChar w:fldCharType="begin"/>
        </w:r>
        <w:r w:rsidR="00F51B27">
          <w:rPr>
            <w:noProof/>
            <w:webHidden/>
          </w:rPr>
          <w:instrText xml:space="preserve"> PAGEREF _Toc213404345 \h </w:instrText>
        </w:r>
        <w:r w:rsidR="00F51B27">
          <w:rPr>
            <w:noProof/>
            <w:webHidden/>
          </w:rPr>
        </w:r>
        <w:r w:rsidR="00F51B27">
          <w:rPr>
            <w:noProof/>
            <w:webHidden/>
          </w:rPr>
          <w:fldChar w:fldCharType="separate"/>
        </w:r>
        <w:r w:rsidR="00E40AF3">
          <w:rPr>
            <w:noProof/>
            <w:webHidden/>
          </w:rPr>
          <w:t>105</w:t>
        </w:r>
        <w:r w:rsidR="00F51B27">
          <w:rPr>
            <w:noProof/>
            <w:webHidden/>
          </w:rPr>
          <w:fldChar w:fldCharType="end"/>
        </w:r>
      </w:hyperlink>
    </w:p>
    <w:p w14:paraId="72E37157" w14:textId="057E2D7E" w:rsidR="00F51B27" w:rsidRDefault="0072072F">
      <w:pPr>
        <w:pStyle w:val="Tabledesillustrations"/>
        <w:tabs>
          <w:tab w:val="right" w:leader="dot" w:pos="9062"/>
        </w:tabs>
        <w:rPr>
          <w:rFonts w:asciiTheme="minorHAnsi" w:eastAsiaTheme="minorEastAsia" w:hAnsiTheme="minorHAnsi" w:cstheme="minorBidi"/>
          <w:noProof/>
          <w:kern w:val="2"/>
          <w:sz w:val="24"/>
          <w:szCs w:val="24"/>
          <w:lang w:eastAsia="fr-FR" w:bidi="ar-SA"/>
          <w14:ligatures w14:val="standardContextual"/>
        </w:rPr>
      </w:pPr>
      <w:hyperlink w:anchor="_Toc213404346" w:history="1">
        <w:r w:rsidR="00F51B27" w:rsidRPr="005D19BF">
          <w:rPr>
            <w:rStyle w:val="Lienhypertexte"/>
            <w:noProof/>
          </w:rPr>
          <w:t>Tableau 23:</w:t>
        </w:r>
        <w:r w:rsidR="00F51B27" w:rsidRPr="005D19BF">
          <w:rPr>
            <w:rStyle w:val="Lienhypertexte"/>
            <w:noProof/>
            <w:lang w:eastAsia="zh-CN"/>
          </w:rPr>
          <w:t xml:space="preserve"> </w:t>
        </w:r>
        <w:r w:rsidR="00F51B27" w:rsidRPr="005D19BF">
          <w:rPr>
            <w:rStyle w:val="Lienhypertexte"/>
            <w:noProof/>
          </w:rPr>
          <w:t>Lignes directrices OMS pour les valeurs limites de polluants atmosphériques</w:t>
        </w:r>
        <w:r w:rsidR="00F51B27">
          <w:rPr>
            <w:noProof/>
            <w:webHidden/>
          </w:rPr>
          <w:tab/>
        </w:r>
        <w:r w:rsidR="00F51B27">
          <w:rPr>
            <w:noProof/>
            <w:webHidden/>
          </w:rPr>
          <w:fldChar w:fldCharType="begin"/>
        </w:r>
        <w:r w:rsidR="00F51B27">
          <w:rPr>
            <w:noProof/>
            <w:webHidden/>
          </w:rPr>
          <w:instrText xml:space="preserve"> PAGEREF _Toc213404346 \h </w:instrText>
        </w:r>
        <w:r w:rsidR="00F51B27">
          <w:rPr>
            <w:noProof/>
            <w:webHidden/>
          </w:rPr>
        </w:r>
        <w:r w:rsidR="00F51B27">
          <w:rPr>
            <w:noProof/>
            <w:webHidden/>
          </w:rPr>
          <w:fldChar w:fldCharType="separate"/>
        </w:r>
        <w:r w:rsidR="00E40AF3">
          <w:rPr>
            <w:noProof/>
            <w:webHidden/>
          </w:rPr>
          <w:t>105</w:t>
        </w:r>
        <w:r w:rsidR="00F51B27">
          <w:rPr>
            <w:noProof/>
            <w:webHidden/>
          </w:rPr>
          <w:fldChar w:fldCharType="end"/>
        </w:r>
      </w:hyperlink>
    </w:p>
    <w:p w14:paraId="1A800175" w14:textId="06D312B6" w:rsidR="00F51B27" w:rsidRDefault="0072072F">
      <w:pPr>
        <w:pStyle w:val="Tabledesillustrations"/>
        <w:tabs>
          <w:tab w:val="right" w:leader="dot" w:pos="9062"/>
        </w:tabs>
        <w:rPr>
          <w:rFonts w:asciiTheme="minorHAnsi" w:eastAsiaTheme="minorEastAsia" w:hAnsiTheme="minorHAnsi" w:cstheme="minorBidi"/>
          <w:noProof/>
          <w:kern w:val="2"/>
          <w:sz w:val="24"/>
          <w:szCs w:val="24"/>
          <w:lang w:eastAsia="fr-FR" w:bidi="ar-SA"/>
          <w14:ligatures w14:val="standardContextual"/>
        </w:rPr>
      </w:pPr>
      <w:hyperlink w:anchor="_Toc213404347" w:history="1">
        <w:r w:rsidR="00F51B27" w:rsidRPr="005D19BF">
          <w:rPr>
            <w:rStyle w:val="Lienhypertexte"/>
            <w:noProof/>
          </w:rPr>
          <w:t>Tableau 24:</w:t>
        </w:r>
        <w:r w:rsidR="00F51B27" w:rsidRPr="005D19BF">
          <w:rPr>
            <w:rStyle w:val="Lienhypertexte"/>
            <w:noProof/>
            <w:lang w:eastAsia="zh-CN"/>
          </w:rPr>
          <w:t xml:space="preserve"> </w:t>
        </w:r>
        <w:r w:rsidR="00F51B27" w:rsidRPr="005D19BF">
          <w:rPr>
            <w:rStyle w:val="Lienhypertexte"/>
            <w:noProof/>
          </w:rPr>
          <w:t>Grille simplifiée de qualité des eaux de surface</w:t>
        </w:r>
        <w:r w:rsidR="00F51B27">
          <w:rPr>
            <w:noProof/>
            <w:webHidden/>
          </w:rPr>
          <w:tab/>
        </w:r>
        <w:r w:rsidR="00F51B27">
          <w:rPr>
            <w:noProof/>
            <w:webHidden/>
          </w:rPr>
          <w:fldChar w:fldCharType="begin"/>
        </w:r>
        <w:r w:rsidR="00F51B27">
          <w:rPr>
            <w:noProof/>
            <w:webHidden/>
          </w:rPr>
          <w:instrText xml:space="preserve"> PAGEREF _Toc213404347 \h </w:instrText>
        </w:r>
        <w:r w:rsidR="00F51B27">
          <w:rPr>
            <w:noProof/>
            <w:webHidden/>
          </w:rPr>
        </w:r>
        <w:r w:rsidR="00F51B27">
          <w:rPr>
            <w:noProof/>
            <w:webHidden/>
          </w:rPr>
          <w:fldChar w:fldCharType="separate"/>
        </w:r>
        <w:r w:rsidR="00E40AF3">
          <w:rPr>
            <w:noProof/>
            <w:webHidden/>
          </w:rPr>
          <w:t>107</w:t>
        </w:r>
        <w:r w:rsidR="00F51B27">
          <w:rPr>
            <w:noProof/>
            <w:webHidden/>
          </w:rPr>
          <w:fldChar w:fldCharType="end"/>
        </w:r>
      </w:hyperlink>
    </w:p>
    <w:p w14:paraId="3BC499E1" w14:textId="1E1D5E26" w:rsidR="00F51B27" w:rsidRDefault="0072072F">
      <w:pPr>
        <w:pStyle w:val="Tabledesillustrations"/>
        <w:tabs>
          <w:tab w:val="right" w:leader="dot" w:pos="9062"/>
        </w:tabs>
        <w:rPr>
          <w:rFonts w:asciiTheme="minorHAnsi" w:eastAsiaTheme="minorEastAsia" w:hAnsiTheme="minorHAnsi" w:cstheme="minorBidi"/>
          <w:noProof/>
          <w:kern w:val="2"/>
          <w:sz w:val="24"/>
          <w:szCs w:val="24"/>
          <w:lang w:eastAsia="fr-FR" w:bidi="ar-SA"/>
          <w14:ligatures w14:val="standardContextual"/>
        </w:rPr>
      </w:pPr>
      <w:hyperlink w:anchor="_Toc213404348" w:history="1">
        <w:r w:rsidR="00F51B27" w:rsidRPr="005D19BF">
          <w:rPr>
            <w:rStyle w:val="Lienhypertexte"/>
            <w:noProof/>
          </w:rPr>
          <w:t>Tableau 25 : Analyse des alternatives technologiques</w:t>
        </w:r>
        <w:r w:rsidR="00F51B27">
          <w:rPr>
            <w:noProof/>
            <w:webHidden/>
          </w:rPr>
          <w:tab/>
        </w:r>
        <w:r w:rsidR="00F51B27">
          <w:rPr>
            <w:noProof/>
            <w:webHidden/>
          </w:rPr>
          <w:fldChar w:fldCharType="begin"/>
        </w:r>
        <w:r w:rsidR="00F51B27">
          <w:rPr>
            <w:noProof/>
            <w:webHidden/>
          </w:rPr>
          <w:instrText xml:space="preserve"> PAGEREF _Toc213404348 \h </w:instrText>
        </w:r>
        <w:r w:rsidR="00F51B27">
          <w:rPr>
            <w:noProof/>
            <w:webHidden/>
          </w:rPr>
        </w:r>
        <w:r w:rsidR="00F51B27">
          <w:rPr>
            <w:noProof/>
            <w:webHidden/>
          </w:rPr>
          <w:fldChar w:fldCharType="separate"/>
        </w:r>
        <w:r w:rsidR="00E40AF3">
          <w:rPr>
            <w:noProof/>
            <w:webHidden/>
          </w:rPr>
          <w:t>111</w:t>
        </w:r>
        <w:r w:rsidR="00F51B27">
          <w:rPr>
            <w:noProof/>
            <w:webHidden/>
          </w:rPr>
          <w:fldChar w:fldCharType="end"/>
        </w:r>
      </w:hyperlink>
    </w:p>
    <w:p w14:paraId="0050254F" w14:textId="497F8DFB" w:rsidR="00F51B27" w:rsidRDefault="0072072F">
      <w:pPr>
        <w:pStyle w:val="Tabledesillustrations"/>
        <w:tabs>
          <w:tab w:val="right" w:leader="dot" w:pos="9062"/>
        </w:tabs>
        <w:rPr>
          <w:rFonts w:asciiTheme="minorHAnsi" w:eastAsiaTheme="minorEastAsia" w:hAnsiTheme="minorHAnsi" w:cstheme="minorBidi"/>
          <w:noProof/>
          <w:kern w:val="2"/>
          <w:sz w:val="24"/>
          <w:szCs w:val="24"/>
          <w:lang w:eastAsia="fr-FR" w:bidi="ar-SA"/>
          <w14:ligatures w14:val="standardContextual"/>
        </w:rPr>
      </w:pPr>
      <w:hyperlink w:anchor="_Toc213404349" w:history="1">
        <w:r w:rsidR="00F51B27" w:rsidRPr="005D19BF">
          <w:rPr>
            <w:rStyle w:val="Lienhypertexte"/>
            <w:noProof/>
          </w:rPr>
          <w:t>Tableau 26 : Analyse environnementale et sociale des variantes technologiques</w:t>
        </w:r>
        <w:r w:rsidR="00F51B27">
          <w:rPr>
            <w:noProof/>
            <w:webHidden/>
          </w:rPr>
          <w:tab/>
        </w:r>
        <w:r w:rsidR="00F51B27">
          <w:rPr>
            <w:noProof/>
            <w:webHidden/>
          </w:rPr>
          <w:fldChar w:fldCharType="begin"/>
        </w:r>
        <w:r w:rsidR="00F51B27">
          <w:rPr>
            <w:noProof/>
            <w:webHidden/>
          </w:rPr>
          <w:instrText xml:space="preserve"> PAGEREF _Toc213404349 \h </w:instrText>
        </w:r>
        <w:r w:rsidR="00F51B27">
          <w:rPr>
            <w:noProof/>
            <w:webHidden/>
          </w:rPr>
        </w:r>
        <w:r w:rsidR="00F51B27">
          <w:rPr>
            <w:noProof/>
            <w:webHidden/>
          </w:rPr>
          <w:fldChar w:fldCharType="separate"/>
        </w:r>
        <w:r w:rsidR="00E40AF3">
          <w:rPr>
            <w:noProof/>
            <w:webHidden/>
          </w:rPr>
          <w:t>114</w:t>
        </w:r>
        <w:r w:rsidR="00F51B27">
          <w:rPr>
            <w:noProof/>
            <w:webHidden/>
          </w:rPr>
          <w:fldChar w:fldCharType="end"/>
        </w:r>
      </w:hyperlink>
    </w:p>
    <w:p w14:paraId="1DB3EFA3" w14:textId="6CF02E5C" w:rsidR="00F51B27" w:rsidRDefault="0072072F">
      <w:pPr>
        <w:pStyle w:val="Tabledesillustrations"/>
        <w:tabs>
          <w:tab w:val="right" w:leader="dot" w:pos="9062"/>
        </w:tabs>
        <w:rPr>
          <w:rFonts w:asciiTheme="minorHAnsi" w:eastAsiaTheme="minorEastAsia" w:hAnsiTheme="minorHAnsi" w:cstheme="minorBidi"/>
          <w:noProof/>
          <w:kern w:val="2"/>
          <w:sz w:val="24"/>
          <w:szCs w:val="24"/>
          <w:lang w:eastAsia="fr-FR" w:bidi="ar-SA"/>
          <w14:ligatures w14:val="standardContextual"/>
        </w:rPr>
      </w:pPr>
      <w:hyperlink w:anchor="_Toc213404350" w:history="1">
        <w:r w:rsidR="00F51B27" w:rsidRPr="005D19BF">
          <w:rPr>
            <w:rStyle w:val="Lienhypertexte"/>
            <w:noProof/>
          </w:rPr>
          <w:t>Tableau 27: Ressources en eau de surface</w:t>
        </w:r>
        <w:r w:rsidR="00F51B27">
          <w:rPr>
            <w:noProof/>
            <w:webHidden/>
          </w:rPr>
          <w:tab/>
        </w:r>
        <w:r w:rsidR="00F51B27">
          <w:rPr>
            <w:noProof/>
            <w:webHidden/>
          </w:rPr>
          <w:fldChar w:fldCharType="begin"/>
        </w:r>
        <w:r w:rsidR="00F51B27">
          <w:rPr>
            <w:noProof/>
            <w:webHidden/>
          </w:rPr>
          <w:instrText xml:space="preserve"> PAGEREF _Toc213404350 \h </w:instrText>
        </w:r>
        <w:r w:rsidR="00F51B27">
          <w:rPr>
            <w:noProof/>
            <w:webHidden/>
          </w:rPr>
        </w:r>
        <w:r w:rsidR="00F51B27">
          <w:rPr>
            <w:noProof/>
            <w:webHidden/>
          </w:rPr>
          <w:fldChar w:fldCharType="separate"/>
        </w:r>
        <w:r w:rsidR="00E40AF3">
          <w:rPr>
            <w:noProof/>
            <w:webHidden/>
          </w:rPr>
          <w:t>141</w:t>
        </w:r>
        <w:r w:rsidR="00F51B27">
          <w:rPr>
            <w:noProof/>
            <w:webHidden/>
          </w:rPr>
          <w:fldChar w:fldCharType="end"/>
        </w:r>
      </w:hyperlink>
    </w:p>
    <w:p w14:paraId="1AFD12F1" w14:textId="030F4623" w:rsidR="00F51B27" w:rsidRDefault="0072072F">
      <w:pPr>
        <w:pStyle w:val="Tabledesillustrations"/>
        <w:tabs>
          <w:tab w:val="right" w:leader="dot" w:pos="9062"/>
        </w:tabs>
        <w:rPr>
          <w:rFonts w:asciiTheme="minorHAnsi" w:eastAsiaTheme="minorEastAsia" w:hAnsiTheme="minorHAnsi" w:cstheme="minorBidi"/>
          <w:noProof/>
          <w:kern w:val="2"/>
          <w:sz w:val="24"/>
          <w:szCs w:val="24"/>
          <w:lang w:eastAsia="fr-FR" w:bidi="ar-SA"/>
          <w14:ligatures w14:val="standardContextual"/>
        </w:rPr>
      </w:pPr>
      <w:hyperlink w:anchor="_Toc213404351" w:history="1">
        <w:r w:rsidR="00F51B27" w:rsidRPr="005D19BF">
          <w:rPr>
            <w:rStyle w:val="Lienhypertexte"/>
            <w:noProof/>
          </w:rPr>
          <w:t>Tableau 28 : Structure démographique et répartition par sexe (RGPH 2024)</w:t>
        </w:r>
        <w:r w:rsidR="00F51B27">
          <w:rPr>
            <w:noProof/>
            <w:webHidden/>
          </w:rPr>
          <w:tab/>
        </w:r>
        <w:r w:rsidR="00F51B27">
          <w:rPr>
            <w:noProof/>
            <w:webHidden/>
          </w:rPr>
          <w:fldChar w:fldCharType="begin"/>
        </w:r>
        <w:r w:rsidR="00F51B27">
          <w:rPr>
            <w:noProof/>
            <w:webHidden/>
          </w:rPr>
          <w:instrText xml:space="preserve"> PAGEREF _Toc213404351 \h </w:instrText>
        </w:r>
        <w:r w:rsidR="00F51B27">
          <w:rPr>
            <w:noProof/>
            <w:webHidden/>
          </w:rPr>
        </w:r>
        <w:r w:rsidR="00F51B27">
          <w:rPr>
            <w:noProof/>
            <w:webHidden/>
          </w:rPr>
          <w:fldChar w:fldCharType="separate"/>
        </w:r>
        <w:r w:rsidR="00E40AF3">
          <w:rPr>
            <w:noProof/>
            <w:webHidden/>
          </w:rPr>
          <w:t>173</w:t>
        </w:r>
        <w:r w:rsidR="00F51B27">
          <w:rPr>
            <w:noProof/>
            <w:webHidden/>
          </w:rPr>
          <w:fldChar w:fldCharType="end"/>
        </w:r>
      </w:hyperlink>
    </w:p>
    <w:p w14:paraId="79CC576D" w14:textId="5F46FA4D" w:rsidR="00F51B27" w:rsidRDefault="0072072F">
      <w:pPr>
        <w:pStyle w:val="Tabledesillustrations"/>
        <w:tabs>
          <w:tab w:val="right" w:leader="dot" w:pos="9062"/>
        </w:tabs>
        <w:rPr>
          <w:rFonts w:asciiTheme="minorHAnsi" w:eastAsiaTheme="minorEastAsia" w:hAnsiTheme="minorHAnsi" w:cstheme="minorBidi"/>
          <w:noProof/>
          <w:kern w:val="2"/>
          <w:sz w:val="24"/>
          <w:szCs w:val="24"/>
          <w:lang w:eastAsia="fr-FR" w:bidi="ar-SA"/>
          <w14:ligatures w14:val="standardContextual"/>
        </w:rPr>
      </w:pPr>
      <w:hyperlink w:anchor="_Toc213404352" w:history="1">
        <w:r w:rsidR="00F51B27" w:rsidRPr="005D19BF">
          <w:rPr>
            <w:rStyle w:val="Lienhypertexte"/>
            <w:noProof/>
          </w:rPr>
          <w:t>Tableau 29 : Données démographiques de la zone d'étude</w:t>
        </w:r>
        <w:r w:rsidR="00F51B27">
          <w:rPr>
            <w:noProof/>
            <w:webHidden/>
          </w:rPr>
          <w:tab/>
        </w:r>
        <w:r w:rsidR="00F51B27">
          <w:rPr>
            <w:noProof/>
            <w:webHidden/>
          </w:rPr>
          <w:fldChar w:fldCharType="begin"/>
        </w:r>
        <w:r w:rsidR="00F51B27">
          <w:rPr>
            <w:noProof/>
            <w:webHidden/>
          </w:rPr>
          <w:instrText xml:space="preserve"> PAGEREF _Toc213404352 \h </w:instrText>
        </w:r>
        <w:r w:rsidR="00F51B27">
          <w:rPr>
            <w:noProof/>
            <w:webHidden/>
          </w:rPr>
        </w:r>
        <w:r w:rsidR="00F51B27">
          <w:rPr>
            <w:noProof/>
            <w:webHidden/>
          </w:rPr>
          <w:fldChar w:fldCharType="separate"/>
        </w:r>
        <w:r w:rsidR="00E40AF3">
          <w:rPr>
            <w:noProof/>
            <w:webHidden/>
          </w:rPr>
          <w:t>174</w:t>
        </w:r>
        <w:r w:rsidR="00F51B27">
          <w:rPr>
            <w:noProof/>
            <w:webHidden/>
          </w:rPr>
          <w:fldChar w:fldCharType="end"/>
        </w:r>
      </w:hyperlink>
    </w:p>
    <w:p w14:paraId="2F42F36C" w14:textId="2440D998" w:rsidR="00F51B27" w:rsidRDefault="0072072F">
      <w:pPr>
        <w:pStyle w:val="Tabledesillustrations"/>
        <w:tabs>
          <w:tab w:val="right" w:leader="dot" w:pos="9062"/>
        </w:tabs>
        <w:rPr>
          <w:rFonts w:asciiTheme="minorHAnsi" w:eastAsiaTheme="minorEastAsia" w:hAnsiTheme="minorHAnsi" w:cstheme="minorBidi"/>
          <w:noProof/>
          <w:kern w:val="2"/>
          <w:sz w:val="24"/>
          <w:szCs w:val="24"/>
          <w:lang w:eastAsia="fr-FR" w:bidi="ar-SA"/>
          <w14:ligatures w14:val="standardContextual"/>
        </w:rPr>
      </w:pPr>
      <w:hyperlink w:anchor="_Toc213404353" w:history="1">
        <w:r w:rsidR="00F51B27" w:rsidRPr="005D19BF">
          <w:rPr>
            <w:rStyle w:val="Lienhypertexte"/>
            <w:noProof/>
          </w:rPr>
          <w:t>Tableau 30 : Statut matrimonial de la population adulte (RGPH 2024)</w:t>
        </w:r>
        <w:r w:rsidR="00F51B27">
          <w:rPr>
            <w:noProof/>
            <w:webHidden/>
          </w:rPr>
          <w:tab/>
        </w:r>
        <w:r w:rsidR="00F51B27">
          <w:rPr>
            <w:noProof/>
            <w:webHidden/>
          </w:rPr>
          <w:fldChar w:fldCharType="begin"/>
        </w:r>
        <w:r w:rsidR="00F51B27">
          <w:rPr>
            <w:noProof/>
            <w:webHidden/>
          </w:rPr>
          <w:instrText xml:space="preserve"> PAGEREF _Toc213404353 \h </w:instrText>
        </w:r>
        <w:r w:rsidR="00F51B27">
          <w:rPr>
            <w:noProof/>
            <w:webHidden/>
          </w:rPr>
        </w:r>
        <w:r w:rsidR="00F51B27">
          <w:rPr>
            <w:noProof/>
            <w:webHidden/>
          </w:rPr>
          <w:fldChar w:fldCharType="separate"/>
        </w:r>
        <w:r w:rsidR="00E40AF3">
          <w:rPr>
            <w:noProof/>
            <w:webHidden/>
          </w:rPr>
          <w:t>176</w:t>
        </w:r>
        <w:r w:rsidR="00F51B27">
          <w:rPr>
            <w:noProof/>
            <w:webHidden/>
          </w:rPr>
          <w:fldChar w:fldCharType="end"/>
        </w:r>
      </w:hyperlink>
    </w:p>
    <w:p w14:paraId="368155C5" w14:textId="4D3E828D" w:rsidR="00F51B27" w:rsidRDefault="0072072F">
      <w:pPr>
        <w:pStyle w:val="Tabledesillustrations"/>
        <w:tabs>
          <w:tab w:val="right" w:leader="dot" w:pos="9062"/>
        </w:tabs>
        <w:rPr>
          <w:rFonts w:asciiTheme="minorHAnsi" w:eastAsiaTheme="minorEastAsia" w:hAnsiTheme="minorHAnsi" w:cstheme="minorBidi"/>
          <w:noProof/>
          <w:kern w:val="2"/>
          <w:sz w:val="24"/>
          <w:szCs w:val="24"/>
          <w:lang w:eastAsia="fr-FR" w:bidi="ar-SA"/>
          <w14:ligatures w14:val="standardContextual"/>
        </w:rPr>
      </w:pPr>
      <w:hyperlink w:anchor="_Toc213404354" w:history="1">
        <w:r w:rsidR="00F51B27" w:rsidRPr="005D19BF">
          <w:rPr>
            <w:rStyle w:val="Lienhypertexte"/>
            <w:noProof/>
          </w:rPr>
          <w:t>Tableau 31 : Indicateurs sanitaires et handicap (RGPH 2024)</w:t>
        </w:r>
        <w:r w:rsidR="00F51B27">
          <w:rPr>
            <w:noProof/>
            <w:webHidden/>
          </w:rPr>
          <w:tab/>
        </w:r>
        <w:r w:rsidR="00F51B27">
          <w:rPr>
            <w:noProof/>
            <w:webHidden/>
          </w:rPr>
          <w:fldChar w:fldCharType="begin"/>
        </w:r>
        <w:r w:rsidR="00F51B27">
          <w:rPr>
            <w:noProof/>
            <w:webHidden/>
          </w:rPr>
          <w:instrText xml:space="preserve"> PAGEREF _Toc213404354 \h </w:instrText>
        </w:r>
        <w:r w:rsidR="00F51B27">
          <w:rPr>
            <w:noProof/>
            <w:webHidden/>
          </w:rPr>
        </w:r>
        <w:r w:rsidR="00F51B27">
          <w:rPr>
            <w:noProof/>
            <w:webHidden/>
          </w:rPr>
          <w:fldChar w:fldCharType="separate"/>
        </w:r>
        <w:r w:rsidR="00E40AF3">
          <w:rPr>
            <w:noProof/>
            <w:webHidden/>
          </w:rPr>
          <w:t>176</w:t>
        </w:r>
        <w:r w:rsidR="00F51B27">
          <w:rPr>
            <w:noProof/>
            <w:webHidden/>
          </w:rPr>
          <w:fldChar w:fldCharType="end"/>
        </w:r>
      </w:hyperlink>
    </w:p>
    <w:p w14:paraId="1AC430BF" w14:textId="7599D7F8" w:rsidR="00F51B27" w:rsidRDefault="0072072F">
      <w:pPr>
        <w:pStyle w:val="Tabledesillustrations"/>
        <w:tabs>
          <w:tab w:val="right" w:leader="dot" w:pos="9062"/>
        </w:tabs>
        <w:rPr>
          <w:rFonts w:asciiTheme="minorHAnsi" w:eastAsiaTheme="minorEastAsia" w:hAnsiTheme="minorHAnsi" w:cstheme="minorBidi"/>
          <w:noProof/>
          <w:kern w:val="2"/>
          <w:sz w:val="24"/>
          <w:szCs w:val="24"/>
          <w:lang w:eastAsia="fr-FR" w:bidi="ar-SA"/>
          <w14:ligatures w14:val="standardContextual"/>
        </w:rPr>
      </w:pPr>
      <w:hyperlink w:anchor="_Toc213404355" w:history="1">
        <w:r w:rsidR="00F51B27" w:rsidRPr="005D19BF">
          <w:rPr>
            <w:rStyle w:val="Lienhypertexte"/>
            <w:noProof/>
          </w:rPr>
          <w:t>Tableau 32 : Niveaux d’instruction et alphabétisation (RGPH 2024)</w:t>
        </w:r>
        <w:r w:rsidR="00F51B27">
          <w:rPr>
            <w:noProof/>
            <w:webHidden/>
          </w:rPr>
          <w:tab/>
        </w:r>
        <w:r w:rsidR="00F51B27">
          <w:rPr>
            <w:noProof/>
            <w:webHidden/>
          </w:rPr>
          <w:fldChar w:fldCharType="begin"/>
        </w:r>
        <w:r w:rsidR="00F51B27">
          <w:rPr>
            <w:noProof/>
            <w:webHidden/>
          </w:rPr>
          <w:instrText xml:space="preserve"> PAGEREF _Toc213404355 \h </w:instrText>
        </w:r>
        <w:r w:rsidR="00F51B27">
          <w:rPr>
            <w:noProof/>
            <w:webHidden/>
          </w:rPr>
        </w:r>
        <w:r w:rsidR="00F51B27">
          <w:rPr>
            <w:noProof/>
            <w:webHidden/>
          </w:rPr>
          <w:fldChar w:fldCharType="separate"/>
        </w:r>
        <w:r w:rsidR="00E40AF3">
          <w:rPr>
            <w:noProof/>
            <w:webHidden/>
          </w:rPr>
          <w:t>176</w:t>
        </w:r>
        <w:r w:rsidR="00F51B27">
          <w:rPr>
            <w:noProof/>
            <w:webHidden/>
          </w:rPr>
          <w:fldChar w:fldCharType="end"/>
        </w:r>
      </w:hyperlink>
    </w:p>
    <w:p w14:paraId="738EE27B" w14:textId="3A4362C5" w:rsidR="00F51B27" w:rsidRDefault="0072072F">
      <w:pPr>
        <w:pStyle w:val="Tabledesillustrations"/>
        <w:tabs>
          <w:tab w:val="right" w:leader="dot" w:pos="9062"/>
        </w:tabs>
        <w:rPr>
          <w:rFonts w:asciiTheme="minorHAnsi" w:eastAsiaTheme="minorEastAsia" w:hAnsiTheme="minorHAnsi" w:cstheme="minorBidi"/>
          <w:noProof/>
          <w:kern w:val="2"/>
          <w:sz w:val="24"/>
          <w:szCs w:val="24"/>
          <w:lang w:eastAsia="fr-FR" w:bidi="ar-SA"/>
          <w14:ligatures w14:val="standardContextual"/>
        </w:rPr>
      </w:pPr>
      <w:hyperlink w:anchor="_Toc213404356" w:history="1">
        <w:r w:rsidR="00F51B27" w:rsidRPr="005D19BF">
          <w:rPr>
            <w:rStyle w:val="Lienhypertexte"/>
            <w:noProof/>
          </w:rPr>
          <w:t>Tableau 33 : Indicateurs d’activité économique (RGPH 2024)</w:t>
        </w:r>
        <w:r w:rsidR="00F51B27">
          <w:rPr>
            <w:noProof/>
            <w:webHidden/>
          </w:rPr>
          <w:tab/>
        </w:r>
        <w:r w:rsidR="00F51B27">
          <w:rPr>
            <w:noProof/>
            <w:webHidden/>
          </w:rPr>
          <w:fldChar w:fldCharType="begin"/>
        </w:r>
        <w:r w:rsidR="00F51B27">
          <w:rPr>
            <w:noProof/>
            <w:webHidden/>
          </w:rPr>
          <w:instrText xml:space="preserve"> PAGEREF _Toc213404356 \h </w:instrText>
        </w:r>
        <w:r w:rsidR="00F51B27">
          <w:rPr>
            <w:noProof/>
            <w:webHidden/>
          </w:rPr>
        </w:r>
        <w:r w:rsidR="00F51B27">
          <w:rPr>
            <w:noProof/>
            <w:webHidden/>
          </w:rPr>
          <w:fldChar w:fldCharType="separate"/>
        </w:r>
        <w:r w:rsidR="00E40AF3">
          <w:rPr>
            <w:noProof/>
            <w:webHidden/>
          </w:rPr>
          <w:t>177</w:t>
        </w:r>
        <w:r w:rsidR="00F51B27">
          <w:rPr>
            <w:noProof/>
            <w:webHidden/>
          </w:rPr>
          <w:fldChar w:fldCharType="end"/>
        </w:r>
      </w:hyperlink>
    </w:p>
    <w:p w14:paraId="4B937362" w14:textId="768B29EC" w:rsidR="00F51B27" w:rsidRDefault="0072072F">
      <w:pPr>
        <w:pStyle w:val="Tabledesillustrations"/>
        <w:tabs>
          <w:tab w:val="right" w:leader="dot" w:pos="9062"/>
        </w:tabs>
        <w:rPr>
          <w:rFonts w:asciiTheme="minorHAnsi" w:eastAsiaTheme="minorEastAsia" w:hAnsiTheme="minorHAnsi" w:cstheme="minorBidi"/>
          <w:noProof/>
          <w:kern w:val="2"/>
          <w:sz w:val="24"/>
          <w:szCs w:val="24"/>
          <w:lang w:eastAsia="fr-FR" w:bidi="ar-SA"/>
          <w14:ligatures w14:val="standardContextual"/>
        </w:rPr>
      </w:pPr>
      <w:hyperlink w:anchor="_Toc213404357" w:history="1">
        <w:r w:rsidR="00F51B27" w:rsidRPr="005D19BF">
          <w:rPr>
            <w:rStyle w:val="Lienhypertexte"/>
            <w:noProof/>
          </w:rPr>
          <w:t>Tableau 34 : Niveaux d’instruction et alphabétisation (RGPH 2024)</w:t>
        </w:r>
        <w:r w:rsidR="00F51B27">
          <w:rPr>
            <w:noProof/>
            <w:webHidden/>
          </w:rPr>
          <w:tab/>
        </w:r>
        <w:r w:rsidR="00F51B27">
          <w:rPr>
            <w:noProof/>
            <w:webHidden/>
          </w:rPr>
          <w:fldChar w:fldCharType="begin"/>
        </w:r>
        <w:r w:rsidR="00F51B27">
          <w:rPr>
            <w:noProof/>
            <w:webHidden/>
          </w:rPr>
          <w:instrText xml:space="preserve"> PAGEREF _Toc213404357 \h </w:instrText>
        </w:r>
        <w:r w:rsidR="00F51B27">
          <w:rPr>
            <w:noProof/>
            <w:webHidden/>
          </w:rPr>
        </w:r>
        <w:r w:rsidR="00F51B27">
          <w:rPr>
            <w:noProof/>
            <w:webHidden/>
          </w:rPr>
          <w:fldChar w:fldCharType="separate"/>
        </w:r>
        <w:r w:rsidR="00E40AF3">
          <w:rPr>
            <w:noProof/>
            <w:webHidden/>
          </w:rPr>
          <w:t>177</w:t>
        </w:r>
        <w:r w:rsidR="00F51B27">
          <w:rPr>
            <w:noProof/>
            <w:webHidden/>
          </w:rPr>
          <w:fldChar w:fldCharType="end"/>
        </w:r>
      </w:hyperlink>
    </w:p>
    <w:p w14:paraId="72BE4340" w14:textId="1D84520A" w:rsidR="00F51B27" w:rsidRDefault="0072072F">
      <w:pPr>
        <w:pStyle w:val="Tabledesillustrations"/>
        <w:tabs>
          <w:tab w:val="right" w:leader="dot" w:pos="9062"/>
        </w:tabs>
        <w:rPr>
          <w:rFonts w:asciiTheme="minorHAnsi" w:eastAsiaTheme="minorEastAsia" w:hAnsiTheme="minorHAnsi" w:cstheme="minorBidi"/>
          <w:noProof/>
          <w:kern w:val="2"/>
          <w:sz w:val="24"/>
          <w:szCs w:val="24"/>
          <w:lang w:eastAsia="fr-FR" w:bidi="ar-SA"/>
          <w14:ligatures w14:val="standardContextual"/>
        </w:rPr>
      </w:pPr>
      <w:hyperlink w:anchor="_Toc213404358" w:history="1">
        <w:r w:rsidR="00F51B27" w:rsidRPr="005D19BF">
          <w:rPr>
            <w:rStyle w:val="Lienhypertexte"/>
            <w:noProof/>
          </w:rPr>
          <w:t>Tableau 35 : Indicateurs d’activité économique (RGPH 2024)</w:t>
        </w:r>
        <w:r w:rsidR="00F51B27">
          <w:rPr>
            <w:noProof/>
            <w:webHidden/>
          </w:rPr>
          <w:tab/>
        </w:r>
        <w:r w:rsidR="00F51B27">
          <w:rPr>
            <w:noProof/>
            <w:webHidden/>
          </w:rPr>
          <w:fldChar w:fldCharType="begin"/>
        </w:r>
        <w:r w:rsidR="00F51B27">
          <w:rPr>
            <w:noProof/>
            <w:webHidden/>
          </w:rPr>
          <w:instrText xml:space="preserve"> PAGEREF _Toc213404358 \h </w:instrText>
        </w:r>
        <w:r w:rsidR="00F51B27">
          <w:rPr>
            <w:noProof/>
            <w:webHidden/>
          </w:rPr>
        </w:r>
        <w:r w:rsidR="00F51B27">
          <w:rPr>
            <w:noProof/>
            <w:webHidden/>
          </w:rPr>
          <w:fldChar w:fldCharType="separate"/>
        </w:r>
        <w:r w:rsidR="00E40AF3">
          <w:rPr>
            <w:noProof/>
            <w:webHidden/>
          </w:rPr>
          <w:t>178</w:t>
        </w:r>
        <w:r w:rsidR="00F51B27">
          <w:rPr>
            <w:noProof/>
            <w:webHidden/>
          </w:rPr>
          <w:fldChar w:fldCharType="end"/>
        </w:r>
      </w:hyperlink>
    </w:p>
    <w:p w14:paraId="0826E77D" w14:textId="4ACF81C6" w:rsidR="00F51B27" w:rsidRDefault="0072072F">
      <w:pPr>
        <w:pStyle w:val="Tabledesillustrations"/>
        <w:tabs>
          <w:tab w:val="right" w:leader="dot" w:pos="9062"/>
        </w:tabs>
        <w:rPr>
          <w:rFonts w:asciiTheme="minorHAnsi" w:eastAsiaTheme="minorEastAsia" w:hAnsiTheme="minorHAnsi" w:cstheme="minorBidi"/>
          <w:noProof/>
          <w:kern w:val="2"/>
          <w:sz w:val="24"/>
          <w:szCs w:val="24"/>
          <w:lang w:eastAsia="fr-FR" w:bidi="ar-SA"/>
          <w14:ligatures w14:val="standardContextual"/>
        </w:rPr>
      </w:pPr>
      <w:hyperlink w:anchor="_Toc213404359" w:history="1">
        <w:r w:rsidR="00F51B27" w:rsidRPr="005D19BF">
          <w:rPr>
            <w:rStyle w:val="Lienhypertexte"/>
            <w:noProof/>
          </w:rPr>
          <w:t>Tableau 36 : Logement et accès aux services de base (RGPH 2024)</w:t>
        </w:r>
        <w:r w:rsidR="00F51B27">
          <w:rPr>
            <w:noProof/>
            <w:webHidden/>
          </w:rPr>
          <w:tab/>
        </w:r>
        <w:r w:rsidR="00F51B27">
          <w:rPr>
            <w:noProof/>
            <w:webHidden/>
          </w:rPr>
          <w:fldChar w:fldCharType="begin"/>
        </w:r>
        <w:r w:rsidR="00F51B27">
          <w:rPr>
            <w:noProof/>
            <w:webHidden/>
          </w:rPr>
          <w:instrText xml:space="preserve"> PAGEREF _Toc213404359 \h </w:instrText>
        </w:r>
        <w:r w:rsidR="00F51B27">
          <w:rPr>
            <w:noProof/>
            <w:webHidden/>
          </w:rPr>
        </w:r>
        <w:r w:rsidR="00F51B27">
          <w:rPr>
            <w:noProof/>
            <w:webHidden/>
          </w:rPr>
          <w:fldChar w:fldCharType="separate"/>
        </w:r>
        <w:r w:rsidR="00E40AF3">
          <w:rPr>
            <w:noProof/>
            <w:webHidden/>
          </w:rPr>
          <w:t>178</w:t>
        </w:r>
        <w:r w:rsidR="00F51B27">
          <w:rPr>
            <w:noProof/>
            <w:webHidden/>
          </w:rPr>
          <w:fldChar w:fldCharType="end"/>
        </w:r>
      </w:hyperlink>
    </w:p>
    <w:p w14:paraId="578B55FD" w14:textId="4F4EA307" w:rsidR="00F51B27" w:rsidRDefault="0072072F">
      <w:pPr>
        <w:pStyle w:val="Tabledesillustrations"/>
        <w:tabs>
          <w:tab w:val="right" w:leader="dot" w:pos="9062"/>
        </w:tabs>
        <w:rPr>
          <w:rFonts w:asciiTheme="minorHAnsi" w:eastAsiaTheme="minorEastAsia" w:hAnsiTheme="minorHAnsi" w:cstheme="minorBidi"/>
          <w:noProof/>
          <w:kern w:val="2"/>
          <w:sz w:val="24"/>
          <w:szCs w:val="24"/>
          <w:lang w:eastAsia="fr-FR" w:bidi="ar-SA"/>
          <w14:ligatures w14:val="standardContextual"/>
        </w:rPr>
      </w:pPr>
      <w:hyperlink w:anchor="_Toc213404360" w:history="1">
        <w:r w:rsidR="00F51B27" w:rsidRPr="005D19BF">
          <w:rPr>
            <w:rStyle w:val="Lienhypertexte"/>
            <w:noProof/>
          </w:rPr>
          <w:t>Tableau 37 : Groupes spécifiques identifiés</w:t>
        </w:r>
        <w:r w:rsidR="00F51B27">
          <w:rPr>
            <w:noProof/>
            <w:webHidden/>
          </w:rPr>
          <w:tab/>
        </w:r>
        <w:r w:rsidR="00F51B27">
          <w:rPr>
            <w:noProof/>
            <w:webHidden/>
          </w:rPr>
          <w:fldChar w:fldCharType="begin"/>
        </w:r>
        <w:r w:rsidR="00F51B27">
          <w:rPr>
            <w:noProof/>
            <w:webHidden/>
          </w:rPr>
          <w:instrText xml:space="preserve"> PAGEREF _Toc213404360 \h </w:instrText>
        </w:r>
        <w:r w:rsidR="00F51B27">
          <w:rPr>
            <w:noProof/>
            <w:webHidden/>
          </w:rPr>
        </w:r>
        <w:r w:rsidR="00F51B27">
          <w:rPr>
            <w:noProof/>
            <w:webHidden/>
          </w:rPr>
          <w:fldChar w:fldCharType="separate"/>
        </w:r>
        <w:r w:rsidR="00E40AF3">
          <w:rPr>
            <w:noProof/>
            <w:webHidden/>
          </w:rPr>
          <w:t>179</w:t>
        </w:r>
        <w:r w:rsidR="00F51B27">
          <w:rPr>
            <w:noProof/>
            <w:webHidden/>
          </w:rPr>
          <w:fldChar w:fldCharType="end"/>
        </w:r>
      </w:hyperlink>
    </w:p>
    <w:p w14:paraId="176EB1DD" w14:textId="4F6DE632" w:rsidR="00F51B27" w:rsidRDefault="0072072F">
      <w:pPr>
        <w:pStyle w:val="Tabledesillustrations"/>
        <w:tabs>
          <w:tab w:val="right" w:leader="dot" w:pos="9062"/>
        </w:tabs>
        <w:rPr>
          <w:rFonts w:asciiTheme="minorHAnsi" w:eastAsiaTheme="minorEastAsia" w:hAnsiTheme="minorHAnsi" w:cstheme="minorBidi"/>
          <w:noProof/>
          <w:kern w:val="2"/>
          <w:sz w:val="24"/>
          <w:szCs w:val="24"/>
          <w:lang w:eastAsia="fr-FR" w:bidi="ar-SA"/>
          <w14:ligatures w14:val="standardContextual"/>
        </w:rPr>
      </w:pPr>
      <w:hyperlink w:anchor="_Toc213404361" w:history="1">
        <w:r w:rsidR="00F51B27" w:rsidRPr="005D19BF">
          <w:rPr>
            <w:rStyle w:val="Lienhypertexte"/>
            <w:noProof/>
          </w:rPr>
          <w:t>Tableau 38 : Réseau hôtelier des provinces de la région</w:t>
        </w:r>
        <w:r w:rsidR="00F51B27">
          <w:rPr>
            <w:noProof/>
            <w:webHidden/>
          </w:rPr>
          <w:tab/>
        </w:r>
        <w:r w:rsidR="00F51B27">
          <w:rPr>
            <w:noProof/>
            <w:webHidden/>
          </w:rPr>
          <w:fldChar w:fldCharType="begin"/>
        </w:r>
        <w:r w:rsidR="00F51B27">
          <w:rPr>
            <w:noProof/>
            <w:webHidden/>
          </w:rPr>
          <w:instrText xml:space="preserve"> PAGEREF _Toc213404361 \h </w:instrText>
        </w:r>
        <w:r w:rsidR="00F51B27">
          <w:rPr>
            <w:noProof/>
            <w:webHidden/>
          </w:rPr>
        </w:r>
        <w:r w:rsidR="00F51B27">
          <w:rPr>
            <w:noProof/>
            <w:webHidden/>
          </w:rPr>
          <w:fldChar w:fldCharType="separate"/>
        </w:r>
        <w:r w:rsidR="00E40AF3">
          <w:rPr>
            <w:noProof/>
            <w:webHidden/>
          </w:rPr>
          <w:t>181</w:t>
        </w:r>
        <w:r w:rsidR="00F51B27">
          <w:rPr>
            <w:noProof/>
            <w:webHidden/>
          </w:rPr>
          <w:fldChar w:fldCharType="end"/>
        </w:r>
      </w:hyperlink>
    </w:p>
    <w:p w14:paraId="0CAA34CB" w14:textId="2100D061" w:rsidR="00F51B27" w:rsidRDefault="0072072F">
      <w:pPr>
        <w:pStyle w:val="Tabledesillustrations"/>
        <w:tabs>
          <w:tab w:val="right" w:leader="dot" w:pos="9062"/>
        </w:tabs>
        <w:rPr>
          <w:rFonts w:asciiTheme="minorHAnsi" w:eastAsiaTheme="minorEastAsia" w:hAnsiTheme="minorHAnsi" w:cstheme="minorBidi"/>
          <w:noProof/>
          <w:kern w:val="2"/>
          <w:sz w:val="24"/>
          <w:szCs w:val="24"/>
          <w:lang w:eastAsia="fr-FR" w:bidi="ar-SA"/>
          <w14:ligatures w14:val="standardContextual"/>
        </w:rPr>
      </w:pPr>
      <w:hyperlink w:anchor="_Toc213404362" w:history="1">
        <w:r w:rsidR="00F51B27" w:rsidRPr="005D19BF">
          <w:rPr>
            <w:rStyle w:val="Lienhypertexte"/>
            <w:noProof/>
          </w:rPr>
          <w:t>Tableau 40: Terminologie des caractéristiques des impacts</w:t>
        </w:r>
        <w:r w:rsidR="00F51B27">
          <w:rPr>
            <w:noProof/>
            <w:webHidden/>
          </w:rPr>
          <w:tab/>
        </w:r>
        <w:r w:rsidR="00F51B27">
          <w:rPr>
            <w:noProof/>
            <w:webHidden/>
          </w:rPr>
          <w:fldChar w:fldCharType="begin"/>
        </w:r>
        <w:r w:rsidR="00F51B27">
          <w:rPr>
            <w:noProof/>
            <w:webHidden/>
          </w:rPr>
          <w:instrText xml:space="preserve"> PAGEREF _Toc213404362 \h </w:instrText>
        </w:r>
        <w:r w:rsidR="00F51B27">
          <w:rPr>
            <w:noProof/>
            <w:webHidden/>
          </w:rPr>
        </w:r>
        <w:r w:rsidR="00F51B27">
          <w:rPr>
            <w:noProof/>
            <w:webHidden/>
          </w:rPr>
          <w:fldChar w:fldCharType="separate"/>
        </w:r>
        <w:r w:rsidR="00E40AF3">
          <w:rPr>
            <w:noProof/>
            <w:webHidden/>
          </w:rPr>
          <w:t>187</w:t>
        </w:r>
        <w:r w:rsidR="00F51B27">
          <w:rPr>
            <w:noProof/>
            <w:webHidden/>
          </w:rPr>
          <w:fldChar w:fldCharType="end"/>
        </w:r>
      </w:hyperlink>
    </w:p>
    <w:p w14:paraId="78B80A7D" w14:textId="5E86BD1C" w:rsidR="00F51B27" w:rsidRDefault="0072072F">
      <w:pPr>
        <w:pStyle w:val="Tabledesillustrations"/>
        <w:tabs>
          <w:tab w:val="right" w:leader="dot" w:pos="9062"/>
        </w:tabs>
        <w:rPr>
          <w:rFonts w:asciiTheme="minorHAnsi" w:eastAsiaTheme="minorEastAsia" w:hAnsiTheme="minorHAnsi" w:cstheme="minorBidi"/>
          <w:noProof/>
          <w:kern w:val="2"/>
          <w:sz w:val="24"/>
          <w:szCs w:val="24"/>
          <w:lang w:eastAsia="fr-FR" w:bidi="ar-SA"/>
          <w14:ligatures w14:val="standardContextual"/>
        </w:rPr>
      </w:pPr>
      <w:hyperlink w:anchor="_Toc213404363" w:history="1">
        <w:r w:rsidR="00F51B27" w:rsidRPr="005D19BF">
          <w:rPr>
            <w:rStyle w:val="Lienhypertexte"/>
            <w:noProof/>
          </w:rPr>
          <w:t>Tableau 41: Matrice d’évaluation de la sévérité des impacts</w:t>
        </w:r>
        <w:r w:rsidR="00F51B27">
          <w:rPr>
            <w:noProof/>
            <w:webHidden/>
          </w:rPr>
          <w:tab/>
        </w:r>
        <w:r w:rsidR="00F51B27">
          <w:rPr>
            <w:noProof/>
            <w:webHidden/>
          </w:rPr>
          <w:fldChar w:fldCharType="begin"/>
        </w:r>
        <w:r w:rsidR="00F51B27">
          <w:rPr>
            <w:noProof/>
            <w:webHidden/>
          </w:rPr>
          <w:instrText xml:space="preserve"> PAGEREF _Toc213404363 \h </w:instrText>
        </w:r>
        <w:r w:rsidR="00F51B27">
          <w:rPr>
            <w:noProof/>
            <w:webHidden/>
          </w:rPr>
        </w:r>
        <w:r w:rsidR="00F51B27">
          <w:rPr>
            <w:noProof/>
            <w:webHidden/>
          </w:rPr>
          <w:fldChar w:fldCharType="separate"/>
        </w:r>
        <w:r w:rsidR="00E40AF3">
          <w:rPr>
            <w:noProof/>
            <w:webHidden/>
          </w:rPr>
          <w:t>189</w:t>
        </w:r>
        <w:r w:rsidR="00F51B27">
          <w:rPr>
            <w:noProof/>
            <w:webHidden/>
          </w:rPr>
          <w:fldChar w:fldCharType="end"/>
        </w:r>
      </w:hyperlink>
    </w:p>
    <w:p w14:paraId="477746D6" w14:textId="0652BE15" w:rsidR="00F51B27" w:rsidRDefault="0072072F">
      <w:pPr>
        <w:pStyle w:val="Tabledesillustrations"/>
        <w:tabs>
          <w:tab w:val="right" w:leader="dot" w:pos="9062"/>
        </w:tabs>
        <w:rPr>
          <w:rFonts w:asciiTheme="minorHAnsi" w:eastAsiaTheme="minorEastAsia" w:hAnsiTheme="minorHAnsi" w:cstheme="minorBidi"/>
          <w:noProof/>
          <w:kern w:val="2"/>
          <w:sz w:val="24"/>
          <w:szCs w:val="24"/>
          <w:lang w:eastAsia="fr-FR" w:bidi="ar-SA"/>
          <w14:ligatures w14:val="standardContextual"/>
        </w:rPr>
      </w:pPr>
      <w:hyperlink w:anchor="_Toc213404364" w:history="1">
        <w:r w:rsidR="00F51B27" w:rsidRPr="005D19BF">
          <w:rPr>
            <w:rStyle w:val="Lienhypertexte"/>
            <w:noProof/>
          </w:rPr>
          <w:t>Tableau 42:Identification des impacts potentiels du Projet</w:t>
        </w:r>
        <w:r w:rsidR="00F51B27">
          <w:rPr>
            <w:noProof/>
            <w:webHidden/>
          </w:rPr>
          <w:tab/>
        </w:r>
        <w:r w:rsidR="00F51B27">
          <w:rPr>
            <w:noProof/>
            <w:webHidden/>
          </w:rPr>
          <w:fldChar w:fldCharType="begin"/>
        </w:r>
        <w:r w:rsidR="00F51B27">
          <w:rPr>
            <w:noProof/>
            <w:webHidden/>
          </w:rPr>
          <w:instrText xml:space="preserve"> PAGEREF _Toc213404364 \h </w:instrText>
        </w:r>
        <w:r w:rsidR="00F51B27">
          <w:rPr>
            <w:noProof/>
            <w:webHidden/>
          </w:rPr>
        </w:r>
        <w:r w:rsidR="00F51B27">
          <w:rPr>
            <w:noProof/>
            <w:webHidden/>
          </w:rPr>
          <w:fldChar w:fldCharType="separate"/>
        </w:r>
        <w:r w:rsidR="00E40AF3">
          <w:rPr>
            <w:noProof/>
            <w:webHidden/>
          </w:rPr>
          <w:t>194</w:t>
        </w:r>
        <w:r w:rsidR="00F51B27">
          <w:rPr>
            <w:noProof/>
            <w:webHidden/>
          </w:rPr>
          <w:fldChar w:fldCharType="end"/>
        </w:r>
      </w:hyperlink>
    </w:p>
    <w:p w14:paraId="45E54919" w14:textId="155F681E" w:rsidR="00F51B27" w:rsidRDefault="0072072F">
      <w:pPr>
        <w:pStyle w:val="Tabledesillustrations"/>
        <w:tabs>
          <w:tab w:val="right" w:leader="dot" w:pos="9062"/>
        </w:tabs>
        <w:rPr>
          <w:rFonts w:asciiTheme="minorHAnsi" w:eastAsiaTheme="minorEastAsia" w:hAnsiTheme="minorHAnsi" w:cstheme="minorBidi"/>
          <w:noProof/>
          <w:kern w:val="2"/>
          <w:sz w:val="24"/>
          <w:szCs w:val="24"/>
          <w:lang w:eastAsia="fr-FR" w:bidi="ar-SA"/>
          <w14:ligatures w14:val="standardContextual"/>
        </w:rPr>
      </w:pPr>
      <w:hyperlink w:anchor="_Toc213404365" w:history="1">
        <w:r w:rsidR="00F51B27" w:rsidRPr="005D19BF">
          <w:rPr>
            <w:rStyle w:val="Lienhypertexte"/>
            <w:noProof/>
          </w:rPr>
          <w:t>Tableau 43 : Mesures d’atténuation des impacts sur la qualité de l’air - Phase construction</w:t>
        </w:r>
        <w:r w:rsidR="00F51B27">
          <w:rPr>
            <w:noProof/>
            <w:webHidden/>
          </w:rPr>
          <w:tab/>
        </w:r>
        <w:r w:rsidR="00F51B27">
          <w:rPr>
            <w:noProof/>
            <w:webHidden/>
          </w:rPr>
          <w:fldChar w:fldCharType="begin"/>
        </w:r>
        <w:r w:rsidR="00F51B27">
          <w:rPr>
            <w:noProof/>
            <w:webHidden/>
          </w:rPr>
          <w:instrText xml:space="preserve"> PAGEREF _Toc213404365 \h </w:instrText>
        </w:r>
        <w:r w:rsidR="00F51B27">
          <w:rPr>
            <w:noProof/>
            <w:webHidden/>
          </w:rPr>
        </w:r>
        <w:r w:rsidR="00F51B27">
          <w:rPr>
            <w:noProof/>
            <w:webHidden/>
          </w:rPr>
          <w:fldChar w:fldCharType="separate"/>
        </w:r>
        <w:r w:rsidR="00E40AF3">
          <w:rPr>
            <w:noProof/>
            <w:webHidden/>
          </w:rPr>
          <w:t>201</w:t>
        </w:r>
        <w:r w:rsidR="00F51B27">
          <w:rPr>
            <w:noProof/>
            <w:webHidden/>
          </w:rPr>
          <w:fldChar w:fldCharType="end"/>
        </w:r>
      </w:hyperlink>
    </w:p>
    <w:p w14:paraId="08321742" w14:textId="5E5D3570" w:rsidR="00F51B27" w:rsidRDefault="0072072F">
      <w:pPr>
        <w:pStyle w:val="Tabledesillustrations"/>
        <w:tabs>
          <w:tab w:val="right" w:leader="dot" w:pos="9062"/>
        </w:tabs>
        <w:rPr>
          <w:rFonts w:asciiTheme="minorHAnsi" w:eastAsiaTheme="minorEastAsia" w:hAnsiTheme="minorHAnsi" w:cstheme="minorBidi"/>
          <w:noProof/>
          <w:kern w:val="2"/>
          <w:sz w:val="24"/>
          <w:szCs w:val="24"/>
          <w:lang w:eastAsia="fr-FR" w:bidi="ar-SA"/>
          <w14:ligatures w14:val="standardContextual"/>
        </w:rPr>
      </w:pPr>
      <w:hyperlink w:anchor="_Toc213404366" w:history="1">
        <w:r w:rsidR="00F51B27" w:rsidRPr="005D19BF">
          <w:rPr>
            <w:rStyle w:val="Lienhypertexte"/>
            <w:noProof/>
          </w:rPr>
          <w:t>Tableau 44 : Mesures d’atténuation des impacts sur la qualité de l’air - Phase exploitation</w:t>
        </w:r>
        <w:r w:rsidR="00F51B27">
          <w:rPr>
            <w:noProof/>
            <w:webHidden/>
          </w:rPr>
          <w:tab/>
        </w:r>
        <w:r w:rsidR="00F51B27">
          <w:rPr>
            <w:noProof/>
            <w:webHidden/>
          </w:rPr>
          <w:fldChar w:fldCharType="begin"/>
        </w:r>
        <w:r w:rsidR="00F51B27">
          <w:rPr>
            <w:noProof/>
            <w:webHidden/>
          </w:rPr>
          <w:instrText xml:space="preserve"> PAGEREF _Toc213404366 \h </w:instrText>
        </w:r>
        <w:r w:rsidR="00F51B27">
          <w:rPr>
            <w:noProof/>
            <w:webHidden/>
          </w:rPr>
        </w:r>
        <w:r w:rsidR="00F51B27">
          <w:rPr>
            <w:noProof/>
            <w:webHidden/>
          </w:rPr>
          <w:fldChar w:fldCharType="separate"/>
        </w:r>
        <w:r w:rsidR="00E40AF3">
          <w:rPr>
            <w:noProof/>
            <w:webHidden/>
          </w:rPr>
          <w:t>216</w:t>
        </w:r>
        <w:r w:rsidR="00F51B27">
          <w:rPr>
            <w:noProof/>
            <w:webHidden/>
          </w:rPr>
          <w:fldChar w:fldCharType="end"/>
        </w:r>
      </w:hyperlink>
    </w:p>
    <w:p w14:paraId="04B2E3EC" w14:textId="3EEABFC3" w:rsidR="00F51B27" w:rsidRDefault="0072072F">
      <w:pPr>
        <w:pStyle w:val="Tabledesillustrations"/>
        <w:tabs>
          <w:tab w:val="right" w:leader="dot" w:pos="9062"/>
        </w:tabs>
        <w:rPr>
          <w:rFonts w:asciiTheme="minorHAnsi" w:eastAsiaTheme="minorEastAsia" w:hAnsiTheme="minorHAnsi" w:cstheme="minorBidi"/>
          <w:noProof/>
          <w:kern w:val="2"/>
          <w:sz w:val="24"/>
          <w:szCs w:val="24"/>
          <w:lang w:eastAsia="fr-FR" w:bidi="ar-SA"/>
          <w14:ligatures w14:val="standardContextual"/>
        </w:rPr>
      </w:pPr>
      <w:hyperlink w:anchor="_Toc213404367" w:history="1">
        <w:r w:rsidR="00F51B27" w:rsidRPr="005D19BF">
          <w:rPr>
            <w:rStyle w:val="Lienhypertexte"/>
            <w:noProof/>
          </w:rPr>
          <w:t xml:space="preserve">Tableau 45: </w:t>
        </w:r>
        <w:r w:rsidR="00F51B27" w:rsidRPr="005D19BF">
          <w:rPr>
            <w:rStyle w:val="Lienhypertexte"/>
            <w:rFonts w:cstheme="minorHAnsi"/>
            <w:noProof/>
            <w:w w:val="105"/>
          </w:rPr>
          <w:t>Bruit</w:t>
        </w:r>
        <w:r w:rsidR="00F51B27" w:rsidRPr="005D19BF">
          <w:rPr>
            <w:rStyle w:val="Lienhypertexte"/>
            <w:rFonts w:cstheme="minorHAnsi"/>
            <w:noProof/>
            <w:spacing w:val="-8"/>
            <w:w w:val="105"/>
          </w:rPr>
          <w:t xml:space="preserve"> </w:t>
        </w:r>
        <w:r w:rsidR="00F51B27" w:rsidRPr="005D19BF">
          <w:rPr>
            <w:rStyle w:val="Lienhypertexte"/>
            <w:rFonts w:cstheme="minorHAnsi"/>
            <w:noProof/>
            <w:w w:val="105"/>
          </w:rPr>
          <w:t>et</w:t>
        </w:r>
        <w:r w:rsidR="00F51B27" w:rsidRPr="005D19BF">
          <w:rPr>
            <w:rStyle w:val="Lienhypertexte"/>
            <w:rFonts w:cstheme="minorHAnsi"/>
            <w:noProof/>
            <w:spacing w:val="-8"/>
            <w:w w:val="105"/>
          </w:rPr>
          <w:t xml:space="preserve"> </w:t>
        </w:r>
        <w:r w:rsidR="00F51B27" w:rsidRPr="005D19BF">
          <w:rPr>
            <w:rStyle w:val="Lienhypertexte"/>
            <w:rFonts w:cstheme="minorHAnsi"/>
            <w:noProof/>
            <w:w w:val="105"/>
          </w:rPr>
          <w:t>vibration</w:t>
        </w:r>
        <w:r w:rsidR="00F51B27" w:rsidRPr="005D19BF">
          <w:rPr>
            <w:rStyle w:val="Lienhypertexte"/>
            <w:rFonts w:cstheme="minorHAnsi"/>
            <w:noProof/>
            <w:spacing w:val="-10"/>
            <w:w w:val="105"/>
          </w:rPr>
          <w:t xml:space="preserve"> </w:t>
        </w:r>
        <w:r w:rsidR="00F51B27" w:rsidRPr="005D19BF">
          <w:rPr>
            <w:rStyle w:val="Lienhypertexte"/>
            <w:rFonts w:cstheme="minorHAnsi"/>
            <w:noProof/>
            <w:w w:val="105"/>
          </w:rPr>
          <w:t>–</w:t>
        </w:r>
        <w:r w:rsidR="00F51B27" w:rsidRPr="005D19BF">
          <w:rPr>
            <w:rStyle w:val="Lienhypertexte"/>
            <w:rFonts w:cstheme="minorHAnsi"/>
            <w:noProof/>
            <w:spacing w:val="-9"/>
            <w:w w:val="105"/>
          </w:rPr>
          <w:t xml:space="preserve"> </w:t>
        </w:r>
        <w:r w:rsidR="00F51B27" w:rsidRPr="005D19BF">
          <w:rPr>
            <w:rStyle w:val="Lienhypertexte"/>
            <w:rFonts w:cstheme="minorHAnsi"/>
            <w:noProof/>
            <w:w w:val="105"/>
          </w:rPr>
          <w:t>Mesures</w:t>
        </w:r>
        <w:r w:rsidR="00F51B27" w:rsidRPr="005D19BF">
          <w:rPr>
            <w:rStyle w:val="Lienhypertexte"/>
            <w:rFonts w:cstheme="minorHAnsi"/>
            <w:noProof/>
            <w:spacing w:val="-12"/>
            <w:w w:val="105"/>
          </w:rPr>
          <w:t xml:space="preserve"> </w:t>
        </w:r>
        <w:r w:rsidR="00F51B27" w:rsidRPr="005D19BF">
          <w:rPr>
            <w:rStyle w:val="Lienhypertexte"/>
            <w:rFonts w:cstheme="minorHAnsi"/>
            <w:noProof/>
            <w:w w:val="105"/>
          </w:rPr>
          <w:t>d’atténuation</w:t>
        </w:r>
        <w:r w:rsidR="00F51B27" w:rsidRPr="005D19BF">
          <w:rPr>
            <w:rStyle w:val="Lienhypertexte"/>
            <w:rFonts w:cstheme="minorHAnsi"/>
            <w:noProof/>
            <w:spacing w:val="-9"/>
            <w:w w:val="105"/>
          </w:rPr>
          <w:t xml:space="preserve"> </w:t>
        </w:r>
        <w:r w:rsidR="00F51B27" w:rsidRPr="005D19BF">
          <w:rPr>
            <w:rStyle w:val="Lienhypertexte"/>
            <w:rFonts w:cstheme="minorHAnsi"/>
            <w:noProof/>
            <w:w w:val="105"/>
          </w:rPr>
          <w:t>en</w:t>
        </w:r>
        <w:r w:rsidR="00F51B27" w:rsidRPr="005D19BF">
          <w:rPr>
            <w:rStyle w:val="Lienhypertexte"/>
            <w:rFonts w:cstheme="minorHAnsi"/>
            <w:noProof/>
            <w:spacing w:val="-11"/>
            <w:w w:val="105"/>
          </w:rPr>
          <w:t xml:space="preserve"> </w:t>
        </w:r>
        <w:r w:rsidR="00F51B27" w:rsidRPr="005D19BF">
          <w:rPr>
            <w:rStyle w:val="Lienhypertexte"/>
            <w:rFonts w:cstheme="minorHAnsi"/>
            <w:noProof/>
            <w:w w:val="105"/>
          </w:rPr>
          <w:t>phase</w:t>
        </w:r>
        <w:r w:rsidR="00F51B27" w:rsidRPr="005D19BF">
          <w:rPr>
            <w:rStyle w:val="Lienhypertexte"/>
            <w:rFonts w:cstheme="minorHAnsi"/>
            <w:noProof/>
            <w:spacing w:val="-12"/>
            <w:w w:val="105"/>
          </w:rPr>
          <w:t xml:space="preserve"> </w:t>
        </w:r>
        <w:r w:rsidR="00F51B27" w:rsidRPr="005D19BF">
          <w:rPr>
            <w:rStyle w:val="Lienhypertexte"/>
            <w:rFonts w:cstheme="minorHAnsi"/>
            <w:noProof/>
            <w:w w:val="105"/>
          </w:rPr>
          <w:t>de</w:t>
        </w:r>
        <w:r w:rsidR="00F51B27" w:rsidRPr="005D19BF">
          <w:rPr>
            <w:rStyle w:val="Lienhypertexte"/>
            <w:rFonts w:cstheme="minorHAnsi"/>
            <w:noProof/>
            <w:spacing w:val="-10"/>
            <w:w w:val="105"/>
          </w:rPr>
          <w:t xml:space="preserve"> </w:t>
        </w:r>
        <w:r w:rsidR="00F51B27" w:rsidRPr="005D19BF">
          <w:rPr>
            <w:rStyle w:val="Lienhypertexte"/>
            <w:rFonts w:cstheme="minorHAnsi"/>
            <w:noProof/>
            <w:w w:val="105"/>
          </w:rPr>
          <w:t>construction</w:t>
        </w:r>
        <w:r w:rsidR="00F51B27">
          <w:rPr>
            <w:noProof/>
            <w:webHidden/>
          </w:rPr>
          <w:tab/>
        </w:r>
        <w:r w:rsidR="00F51B27">
          <w:rPr>
            <w:noProof/>
            <w:webHidden/>
          </w:rPr>
          <w:fldChar w:fldCharType="begin"/>
        </w:r>
        <w:r w:rsidR="00F51B27">
          <w:rPr>
            <w:noProof/>
            <w:webHidden/>
          </w:rPr>
          <w:instrText xml:space="preserve"> PAGEREF _Toc213404367 \h </w:instrText>
        </w:r>
        <w:r w:rsidR="00F51B27">
          <w:rPr>
            <w:noProof/>
            <w:webHidden/>
          </w:rPr>
        </w:r>
        <w:r w:rsidR="00F51B27">
          <w:rPr>
            <w:noProof/>
            <w:webHidden/>
          </w:rPr>
          <w:fldChar w:fldCharType="separate"/>
        </w:r>
        <w:r w:rsidR="00E40AF3">
          <w:rPr>
            <w:noProof/>
            <w:webHidden/>
          </w:rPr>
          <w:t>224</w:t>
        </w:r>
        <w:r w:rsidR="00F51B27">
          <w:rPr>
            <w:noProof/>
            <w:webHidden/>
          </w:rPr>
          <w:fldChar w:fldCharType="end"/>
        </w:r>
      </w:hyperlink>
    </w:p>
    <w:p w14:paraId="5DDE76E6" w14:textId="5709B9E7" w:rsidR="00F51B27" w:rsidRDefault="0072072F">
      <w:pPr>
        <w:pStyle w:val="Tabledesillustrations"/>
        <w:tabs>
          <w:tab w:val="right" w:leader="dot" w:pos="9062"/>
        </w:tabs>
        <w:rPr>
          <w:rFonts w:asciiTheme="minorHAnsi" w:eastAsiaTheme="minorEastAsia" w:hAnsiTheme="minorHAnsi" w:cstheme="minorBidi"/>
          <w:noProof/>
          <w:kern w:val="2"/>
          <w:sz w:val="24"/>
          <w:szCs w:val="24"/>
          <w:lang w:eastAsia="fr-FR" w:bidi="ar-SA"/>
          <w14:ligatures w14:val="standardContextual"/>
        </w:rPr>
      </w:pPr>
      <w:hyperlink w:anchor="_Toc213404368" w:history="1">
        <w:r w:rsidR="00F51B27" w:rsidRPr="005D19BF">
          <w:rPr>
            <w:rStyle w:val="Lienhypertexte"/>
            <w:noProof/>
          </w:rPr>
          <w:t>Tableau 46 : Bruit et vibration – Mesures d’atténuation en phase d’exploitation</w:t>
        </w:r>
        <w:r w:rsidR="00F51B27">
          <w:rPr>
            <w:noProof/>
            <w:webHidden/>
          </w:rPr>
          <w:tab/>
        </w:r>
        <w:r w:rsidR="00F51B27">
          <w:rPr>
            <w:noProof/>
            <w:webHidden/>
          </w:rPr>
          <w:fldChar w:fldCharType="begin"/>
        </w:r>
        <w:r w:rsidR="00F51B27">
          <w:rPr>
            <w:noProof/>
            <w:webHidden/>
          </w:rPr>
          <w:instrText xml:space="preserve"> PAGEREF _Toc213404368 \h </w:instrText>
        </w:r>
        <w:r w:rsidR="00F51B27">
          <w:rPr>
            <w:noProof/>
            <w:webHidden/>
          </w:rPr>
        </w:r>
        <w:r w:rsidR="00F51B27">
          <w:rPr>
            <w:noProof/>
            <w:webHidden/>
          </w:rPr>
          <w:fldChar w:fldCharType="separate"/>
        </w:r>
        <w:r w:rsidR="00E40AF3">
          <w:rPr>
            <w:noProof/>
            <w:webHidden/>
          </w:rPr>
          <w:t>229</w:t>
        </w:r>
        <w:r w:rsidR="00F51B27">
          <w:rPr>
            <w:noProof/>
            <w:webHidden/>
          </w:rPr>
          <w:fldChar w:fldCharType="end"/>
        </w:r>
      </w:hyperlink>
    </w:p>
    <w:p w14:paraId="3A844F2A" w14:textId="66968713" w:rsidR="00F51B27" w:rsidRDefault="0072072F">
      <w:pPr>
        <w:pStyle w:val="Tabledesillustrations"/>
        <w:tabs>
          <w:tab w:val="right" w:leader="dot" w:pos="9062"/>
        </w:tabs>
        <w:rPr>
          <w:rFonts w:asciiTheme="minorHAnsi" w:eastAsiaTheme="minorEastAsia" w:hAnsiTheme="minorHAnsi" w:cstheme="minorBidi"/>
          <w:noProof/>
          <w:kern w:val="2"/>
          <w:sz w:val="24"/>
          <w:szCs w:val="24"/>
          <w:lang w:eastAsia="fr-FR" w:bidi="ar-SA"/>
          <w14:ligatures w14:val="standardContextual"/>
        </w:rPr>
      </w:pPr>
      <w:hyperlink w:anchor="_Toc213404369" w:history="1">
        <w:r w:rsidR="00F51B27" w:rsidRPr="005D19BF">
          <w:rPr>
            <w:rStyle w:val="Lienhypertexte"/>
            <w:noProof/>
          </w:rPr>
          <w:t xml:space="preserve">Tableau 47: </w:t>
        </w:r>
        <w:r w:rsidR="00F51B27" w:rsidRPr="005D19BF">
          <w:rPr>
            <w:rStyle w:val="Lienhypertexte"/>
            <w:noProof/>
            <w:lang w:eastAsia="zh-CN"/>
          </w:rPr>
          <w:t>Sol – Mesures d’atténuation en phases de construction</w:t>
        </w:r>
        <w:r w:rsidR="00F51B27">
          <w:rPr>
            <w:noProof/>
            <w:webHidden/>
          </w:rPr>
          <w:tab/>
        </w:r>
        <w:r w:rsidR="00F51B27">
          <w:rPr>
            <w:noProof/>
            <w:webHidden/>
          </w:rPr>
          <w:fldChar w:fldCharType="begin"/>
        </w:r>
        <w:r w:rsidR="00F51B27">
          <w:rPr>
            <w:noProof/>
            <w:webHidden/>
          </w:rPr>
          <w:instrText xml:space="preserve"> PAGEREF _Toc213404369 \h </w:instrText>
        </w:r>
        <w:r w:rsidR="00F51B27">
          <w:rPr>
            <w:noProof/>
            <w:webHidden/>
          </w:rPr>
        </w:r>
        <w:r w:rsidR="00F51B27">
          <w:rPr>
            <w:noProof/>
            <w:webHidden/>
          </w:rPr>
          <w:fldChar w:fldCharType="separate"/>
        </w:r>
        <w:r w:rsidR="00E40AF3">
          <w:rPr>
            <w:noProof/>
            <w:webHidden/>
          </w:rPr>
          <w:t>236</w:t>
        </w:r>
        <w:r w:rsidR="00F51B27">
          <w:rPr>
            <w:noProof/>
            <w:webHidden/>
          </w:rPr>
          <w:fldChar w:fldCharType="end"/>
        </w:r>
      </w:hyperlink>
    </w:p>
    <w:p w14:paraId="00DDD089" w14:textId="18DF7365" w:rsidR="00F51B27" w:rsidRDefault="0072072F">
      <w:pPr>
        <w:pStyle w:val="Tabledesillustrations"/>
        <w:tabs>
          <w:tab w:val="right" w:leader="dot" w:pos="9062"/>
        </w:tabs>
        <w:rPr>
          <w:rFonts w:asciiTheme="minorHAnsi" w:eastAsiaTheme="minorEastAsia" w:hAnsiTheme="minorHAnsi" w:cstheme="minorBidi"/>
          <w:noProof/>
          <w:kern w:val="2"/>
          <w:sz w:val="24"/>
          <w:szCs w:val="24"/>
          <w:lang w:eastAsia="fr-FR" w:bidi="ar-SA"/>
          <w14:ligatures w14:val="standardContextual"/>
        </w:rPr>
      </w:pPr>
      <w:hyperlink w:anchor="_Toc213404370" w:history="1">
        <w:r w:rsidR="00F51B27" w:rsidRPr="005D19BF">
          <w:rPr>
            <w:rStyle w:val="Lienhypertexte"/>
            <w:noProof/>
          </w:rPr>
          <w:t>Tableau 48: Sol – Mesures d'atténuation en phase d’exploitation</w:t>
        </w:r>
        <w:r w:rsidR="00F51B27">
          <w:rPr>
            <w:noProof/>
            <w:webHidden/>
          </w:rPr>
          <w:tab/>
        </w:r>
        <w:r w:rsidR="00F51B27">
          <w:rPr>
            <w:noProof/>
            <w:webHidden/>
          </w:rPr>
          <w:fldChar w:fldCharType="begin"/>
        </w:r>
        <w:r w:rsidR="00F51B27">
          <w:rPr>
            <w:noProof/>
            <w:webHidden/>
          </w:rPr>
          <w:instrText xml:space="preserve"> PAGEREF _Toc213404370 \h </w:instrText>
        </w:r>
        <w:r w:rsidR="00F51B27">
          <w:rPr>
            <w:noProof/>
            <w:webHidden/>
          </w:rPr>
        </w:r>
        <w:r w:rsidR="00F51B27">
          <w:rPr>
            <w:noProof/>
            <w:webHidden/>
          </w:rPr>
          <w:fldChar w:fldCharType="separate"/>
        </w:r>
        <w:r w:rsidR="00E40AF3">
          <w:rPr>
            <w:noProof/>
            <w:webHidden/>
          </w:rPr>
          <w:t>242</w:t>
        </w:r>
        <w:r w:rsidR="00F51B27">
          <w:rPr>
            <w:noProof/>
            <w:webHidden/>
          </w:rPr>
          <w:fldChar w:fldCharType="end"/>
        </w:r>
      </w:hyperlink>
    </w:p>
    <w:p w14:paraId="5895B5D1" w14:textId="2FBF453C" w:rsidR="00F51B27" w:rsidRDefault="0072072F">
      <w:pPr>
        <w:pStyle w:val="Tabledesillustrations"/>
        <w:tabs>
          <w:tab w:val="right" w:leader="dot" w:pos="9062"/>
        </w:tabs>
        <w:rPr>
          <w:rFonts w:asciiTheme="minorHAnsi" w:eastAsiaTheme="minorEastAsia" w:hAnsiTheme="minorHAnsi" w:cstheme="minorBidi"/>
          <w:noProof/>
          <w:kern w:val="2"/>
          <w:sz w:val="24"/>
          <w:szCs w:val="24"/>
          <w:lang w:eastAsia="fr-FR" w:bidi="ar-SA"/>
          <w14:ligatures w14:val="standardContextual"/>
        </w:rPr>
      </w:pPr>
      <w:hyperlink w:anchor="_Toc213404371" w:history="1">
        <w:r w:rsidR="00F51B27" w:rsidRPr="005D19BF">
          <w:rPr>
            <w:rStyle w:val="Lienhypertexte"/>
            <w:noProof/>
          </w:rPr>
          <w:t>Tableau 49: Ressource en eau – Mesures d’atténuation en phases de construction</w:t>
        </w:r>
        <w:r w:rsidR="00F51B27">
          <w:rPr>
            <w:noProof/>
            <w:webHidden/>
          </w:rPr>
          <w:tab/>
        </w:r>
        <w:r w:rsidR="00F51B27">
          <w:rPr>
            <w:noProof/>
            <w:webHidden/>
          </w:rPr>
          <w:fldChar w:fldCharType="begin"/>
        </w:r>
        <w:r w:rsidR="00F51B27">
          <w:rPr>
            <w:noProof/>
            <w:webHidden/>
          </w:rPr>
          <w:instrText xml:space="preserve"> PAGEREF _Toc213404371 \h </w:instrText>
        </w:r>
        <w:r w:rsidR="00F51B27">
          <w:rPr>
            <w:noProof/>
            <w:webHidden/>
          </w:rPr>
        </w:r>
        <w:r w:rsidR="00F51B27">
          <w:rPr>
            <w:noProof/>
            <w:webHidden/>
          </w:rPr>
          <w:fldChar w:fldCharType="separate"/>
        </w:r>
        <w:r w:rsidR="00E40AF3">
          <w:rPr>
            <w:noProof/>
            <w:webHidden/>
          </w:rPr>
          <w:t>250</w:t>
        </w:r>
        <w:r w:rsidR="00F51B27">
          <w:rPr>
            <w:noProof/>
            <w:webHidden/>
          </w:rPr>
          <w:fldChar w:fldCharType="end"/>
        </w:r>
      </w:hyperlink>
    </w:p>
    <w:p w14:paraId="026CE68D" w14:textId="703F83C4" w:rsidR="00F51B27" w:rsidRDefault="0072072F">
      <w:pPr>
        <w:pStyle w:val="Tabledesillustrations"/>
        <w:tabs>
          <w:tab w:val="right" w:leader="dot" w:pos="9062"/>
        </w:tabs>
        <w:rPr>
          <w:rFonts w:asciiTheme="minorHAnsi" w:eastAsiaTheme="minorEastAsia" w:hAnsiTheme="minorHAnsi" w:cstheme="minorBidi"/>
          <w:noProof/>
          <w:kern w:val="2"/>
          <w:sz w:val="24"/>
          <w:szCs w:val="24"/>
          <w:lang w:eastAsia="fr-FR" w:bidi="ar-SA"/>
          <w14:ligatures w14:val="standardContextual"/>
        </w:rPr>
      </w:pPr>
      <w:hyperlink w:anchor="_Toc213404372" w:history="1">
        <w:r w:rsidR="00F51B27" w:rsidRPr="005D19BF">
          <w:rPr>
            <w:rStyle w:val="Lienhypertexte"/>
            <w:noProof/>
          </w:rPr>
          <w:t>Tableau 50 : Ressource en eau – Mesures d’atténuation en phase d’exploitation</w:t>
        </w:r>
        <w:r w:rsidR="00F51B27">
          <w:rPr>
            <w:noProof/>
            <w:webHidden/>
          </w:rPr>
          <w:tab/>
        </w:r>
        <w:r w:rsidR="00F51B27">
          <w:rPr>
            <w:noProof/>
            <w:webHidden/>
          </w:rPr>
          <w:fldChar w:fldCharType="begin"/>
        </w:r>
        <w:r w:rsidR="00F51B27">
          <w:rPr>
            <w:noProof/>
            <w:webHidden/>
          </w:rPr>
          <w:instrText xml:space="preserve"> PAGEREF _Toc213404372 \h </w:instrText>
        </w:r>
        <w:r w:rsidR="00F51B27">
          <w:rPr>
            <w:noProof/>
            <w:webHidden/>
          </w:rPr>
        </w:r>
        <w:r w:rsidR="00F51B27">
          <w:rPr>
            <w:noProof/>
            <w:webHidden/>
          </w:rPr>
          <w:fldChar w:fldCharType="separate"/>
        </w:r>
        <w:r w:rsidR="00E40AF3">
          <w:rPr>
            <w:noProof/>
            <w:webHidden/>
          </w:rPr>
          <w:t>260</w:t>
        </w:r>
        <w:r w:rsidR="00F51B27">
          <w:rPr>
            <w:noProof/>
            <w:webHidden/>
          </w:rPr>
          <w:fldChar w:fldCharType="end"/>
        </w:r>
      </w:hyperlink>
    </w:p>
    <w:p w14:paraId="26D56313" w14:textId="52CEF6F3" w:rsidR="00F51B27" w:rsidRDefault="0072072F">
      <w:pPr>
        <w:pStyle w:val="Tabledesillustrations"/>
        <w:tabs>
          <w:tab w:val="right" w:leader="dot" w:pos="9062"/>
        </w:tabs>
        <w:rPr>
          <w:rFonts w:asciiTheme="minorHAnsi" w:eastAsiaTheme="minorEastAsia" w:hAnsiTheme="minorHAnsi" w:cstheme="minorBidi"/>
          <w:noProof/>
          <w:kern w:val="2"/>
          <w:sz w:val="24"/>
          <w:szCs w:val="24"/>
          <w:lang w:eastAsia="fr-FR" w:bidi="ar-SA"/>
          <w14:ligatures w14:val="standardContextual"/>
        </w:rPr>
      </w:pPr>
      <w:hyperlink w:anchor="_Toc213404373" w:history="1">
        <w:r w:rsidR="00F51B27" w:rsidRPr="005D19BF">
          <w:rPr>
            <w:rStyle w:val="Lienhypertexte"/>
            <w:noProof/>
          </w:rPr>
          <w:t>Tableau 51: Gestion des eaux usées – Mesures d’atténuation en phases de construction</w:t>
        </w:r>
        <w:r w:rsidR="00F51B27">
          <w:rPr>
            <w:noProof/>
            <w:webHidden/>
          </w:rPr>
          <w:tab/>
        </w:r>
        <w:r w:rsidR="00F51B27">
          <w:rPr>
            <w:noProof/>
            <w:webHidden/>
          </w:rPr>
          <w:fldChar w:fldCharType="begin"/>
        </w:r>
        <w:r w:rsidR="00F51B27">
          <w:rPr>
            <w:noProof/>
            <w:webHidden/>
          </w:rPr>
          <w:instrText xml:space="preserve"> PAGEREF _Toc213404373 \h </w:instrText>
        </w:r>
        <w:r w:rsidR="00F51B27">
          <w:rPr>
            <w:noProof/>
            <w:webHidden/>
          </w:rPr>
        </w:r>
        <w:r w:rsidR="00F51B27">
          <w:rPr>
            <w:noProof/>
            <w:webHidden/>
          </w:rPr>
          <w:fldChar w:fldCharType="separate"/>
        </w:r>
        <w:r w:rsidR="00E40AF3">
          <w:rPr>
            <w:noProof/>
            <w:webHidden/>
          </w:rPr>
          <w:t>267</w:t>
        </w:r>
        <w:r w:rsidR="00F51B27">
          <w:rPr>
            <w:noProof/>
            <w:webHidden/>
          </w:rPr>
          <w:fldChar w:fldCharType="end"/>
        </w:r>
      </w:hyperlink>
    </w:p>
    <w:p w14:paraId="63469E0E" w14:textId="2DD32C85" w:rsidR="00F51B27" w:rsidRDefault="0072072F">
      <w:pPr>
        <w:pStyle w:val="Tabledesillustrations"/>
        <w:tabs>
          <w:tab w:val="right" w:leader="dot" w:pos="9062"/>
        </w:tabs>
        <w:rPr>
          <w:rFonts w:asciiTheme="minorHAnsi" w:eastAsiaTheme="minorEastAsia" w:hAnsiTheme="minorHAnsi" w:cstheme="minorBidi"/>
          <w:noProof/>
          <w:kern w:val="2"/>
          <w:sz w:val="24"/>
          <w:szCs w:val="24"/>
          <w:lang w:eastAsia="fr-FR" w:bidi="ar-SA"/>
          <w14:ligatures w14:val="standardContextual"/>
        </w:rPr>
      </w:pPr>
      <w:hyperlink w:anchor="_Toc213404374" w:history="1">
        <w:r w:rsidR="00F51B27" w:rsidRPr="005D19BF">
          <w:rPr>
            <w:rStyle w:val="Lienhypertexte"/>
            <w:noProof/>
          </w:rPr>
          <w:t>Tableau 52: Gestion des eaux usées – Mesures d’atténuation en phase d’exploitation</w:t>
        </w:r>
        <w:r w:rsidR="00F51B27">
          <w:rPr>
            <w:noProof/>
            <w:webHidden/>
          </w:rPr>
          <w:tab/>
        </w:r>
        <w:r w:rsidR="00F51B27">
          <w:rPr>
            <w:noProof/>
            <w:webHidden/>
          </w:rPr>
          <w:fldChar w:fldCharType="begin"/>
        </w:r>
        <w:r w:rsidR="00F51B27">
          <w:rPr>
            <w:noProof/>
            <w:webHidden/>
          </w:rPr>
          <w:instrText xml:space="preserve"> PAGEREF _Toc213404374 \h </w:instrText>
        </w:r>
        <w:r w:rsidR="00F51B27">
          <w:rPr>
            <w:noProof/>
            <w:webHidden/>
          </w:rPr>
        </w:r>
        <w:r w:rsidR="00F51B27">
          <w:rPr>
            <w:noProof/>
            <w:webHidden/>
          </w:rPr>
          <w:fldChar w:fldCharType="separate"/>
        </w:r>
        <w:r w:rsidR="00E40AF3">
          <w:rPr>
            <w:noProof/>
            <w:webHidden/>
          </w:rPr>
          <w:t>276</w:t>
        </w:r>
        <w:r w:rsidR="00F51B27">
          <w:rPr>
            <w:noProof/>
            <w:webHidden/>
          </w:rPr>
          <w:fldChar w:fldCharType="end"/>
        </w:r>
      </w:hyperlink>
    </w:p>
    <w:p w14:paraId="272A5AE0" w14:textId="1869C6ED" w:rsidR="00F51B27" w:rsidRDefault="0072072F">
      <w:pPr>
        <w:pStyle w:val="Tabledesillustrations"/>
        <w:tabs>
          <w:tab w:val="right" w:leader="dot" w:pos="9062"/>
        </w:tabs>
        <w:rPr>
          <w:rFonts w:asciiTheme="minorHAnsi" w:eastAsiaTheme="minorEastAsia" w:hAnsiTheme="minorHAnsi" w:cstheme="minorBidi"/>
          <w:noProof/>
          <w:kern w:val="2"/>
          <w:sz w:val="24"/>
          <w:szCs w:val="24"/>
          <w:lang w:eastAsia="fr-FR" w:bidi="ar-SA"/>
          <w14:ligatures w14:val="standardContextual"/>
        </w:rPr>
      </w:pPr>
      <w:hyperlink w:anchor="_Toc213404375" w:history="1">
        <w:r w:rsidR="00F51B27" w:rsidRPr="005D19BF">
          <w:rPr>
            <w:rStyle w:val="Lienhypertexte"/>
            <w:noProof/>
          </w:rPr>
          <w:t xml:space="preserve">Tableau 53: </w:t>
        </w:r>
        <w:r w:rsidR="00F51B27" w:rsidRPr="005D19BF">
          <w:rPr>
            <w:rStyle w:val="Lienhypertexte"/>
            <w:noProof/>
            <w:lang w:eastAsia="zh-CN"/>
          </w:rPr>
          <w:t>D</w:t>
        </w:r>
        <w:r w:rsidR="00F51B27" w:rsidRPr="005D19BF">
          <w:rPr>
            <w:rStyle w:val="Lienhypertexte"/>
            <w:noProof/>
          </w:rPr>
          <w:t xml:space="preserve">échets dangereux et non dangereux et matières dangereuses </w:t>
        </w:r>
        <w:r w:rsidR="00F51B27" w:rsidRPr="005D19BF">
          <w:rPr>
            <w:rStyle w:val="Lienhypertexte"/>
            <w:rFonts w:cstheme="minorHAnsi"/>
            <w:noProof/>
          </w:rPr>
          <w:t>–</w:t>
        </w:r>
        <w:r w:rsidR="00F51B27" w:rsidRPr="005D19BF">
          <w:rPr>
            <w:rStyle w:val="Lienhypertexte"/>
            <w:rFonts w:cstheme="minorHAnsi"/>
            <w:noProof/>
            <w:spacing w:val="16"/>
          </w:rPr>
          <w:t xml:space="preserve"> </w:t>
        </w:r>
        <w:r w:rsidR="00F51B27" w:rsidRPr="005D19BF">
          <w:rPr>
            <w:rStyle w:val="Lienhypertexte"/>
            <w:rFonts w:cstheme="minorHAnsi"/>
            <w:noProof/>
          </w:rPr>
          <w:t>Mesures</w:t>
        </w:r>
        <w:r w:rsidR="00F51B27" w:rsidRPr="005D19BF">
          <w:rPr>
            <w:rStyle w:val="Lienhypertexte"/>
            <w:rFonts w:cstheme="minorHAnsi"/>
            <w:noProof/>
            <w:spacing w:val="18"/>
          </w:rPr>
          <w:t xml:space="preserve"> </w:t>
        </w:r>
        <w:r w:rsidR="00F51B27" w:rsidRPr="005D19BF">
          <w:rPr>
            <w:rStyle w:val="Lienhypertexte"/>
            <w:rFonts w:cstheme="minorHAnsi"/>
            <w:noProof/>
          </w:rPr>
          <w:t>d’atténuation</w:t>
        </w:r>
        <w:r w:rsidR="00F51B27" w:rsidRPr="005D19BF">
          <w:rPr>
            <w:rStyle w:val="Lienhypertexte"/>
            <w:rFonts w:cstheme="minorHAnsi"/>
            <w:noProof/>
            <w:spacing w:val="19"/>
          </w:rPr>
          <w:t xml:space="preserve"> </w:t>
        </w:r>
        <w:r w:rsidR="00F51B27" w:rsidRPr="005D19BF">
          <w:rPr>
            <w:rStyle w:val="Lienhypertexte"/>
            <w:rFonts w:cstheme="minorHAnsi"/>
            <w:noProof/>
          </w:rPr>
          <w:t>en</w:t>
        </w:r>
        <w:r w:rsidR="00F51B27" w:rsidRPr="005D19BF">
          <w:rPr>
            <w:rStyle w:val="Lienhypertexte"/>
            <w:rFonts w:cstheme="minorHAnsi"/>
            <w:noProof/>
            <w:spacing w:val="13"/>
          </w:rPr>
          <w:t xml:space="preserve"> </w:t>
        </w:r>
        <w:r w:rsidR="00F51B27" w:rsidRPr="005D19BF">
          <w:rPr>
            <w:rStyle w:val="Lienhypertexte"/>
            <w:rFonts w:cstheme="minorHAnsi"/>
            <w:noProof/>
          </w:rPr>
          <w:t>phases</w:t>
        </w:r>
        <w:r w:rsidR="00F51B27" w:rsidRPr="005D19BF">
          <w:rPr>
            <w:rStyle w:val="Lienhypertexte"/>
            <w:rFonts w:cstheme="minorHAnsi"/>
            <w:noProof/>
            <w:spacing w:val="17"/>
          </w:rPr>
          <w:t xml:space="preserve"> </w:t>
        </w:r>
        <w:r w:rsidR="00F51B27" w:rsidRPr="005D19BF">
          <w:rPr>
            <w:rStyle w:val="Lienhypertexte"/>
            <w:rFonts w:cstheme="minorHAnsi"/>
            <w:noProof/>
          </w:rPr>
          <w:t>de</w:t>
        </w:r>
        <w:r w:rsidR="00F51B27" w:rsidRPr="005D19BF">
          <w:rPr>
            <w:rStyle w:val="Lienhypertexte"/>
            <w:rFonts w:cstheme="minorHAnsi"/>
            <w:noProof/>
            <w:spacing w:val="21"/>
          </w:rPr>
          <w:t xml:space="preserve"> </w:t>
        </w:r>
        <w:r w:rsidR="00F51B27" w:rsidRPr="005D19BF">
          <w:rPr>
            <w:rStyle w:val="Lienhypertexte"/>
            <w:rFonts w:cstheme="minorHAnsi"/>
            <w:noProof/>
          </w:rPr>
          <w:t>construction</w:t>
        </w:r>
        <w:r w:rsidR="00F51B27">
          <w:rPr>
            <w:noProof/>
            <w:webHidden/>
          </w:rPr>
          <w:tab/>
        </w:r>
        <w:r w:rsidR="00F51B27">
          <w:rPr>
            <w:noProof/>
            <w:webHidden/>
          </w:rPr>
          <w:fldChar w:fldCharType="begin"/>
        </w:r>
        <w:r w:rsidR="00F51B27">
          <w:rPr>
            <w:noProof/>
            <w:webHidden/>
          </w:rPr>
          <w:instrText xml:space="preserve"> PAGEREF _Toc213404375 \h </w:instrText>
        </w:r>
        <w:r w:rsidR="00F51B27">
          <w:rPr>
            <w:noProof/>
            <w:webHidden/>
          </w:rPr>
        </w:r>
        <w:r w:rsidR="00F51B27">
          <w:rPr>
            <w:noProof/>
            <w:webHidden/>
          </w:rPr>
          <w:fldChar w:fldCharType="separate"/>
        </w:r>
        <w:r w:rsidR="00E40AF3">
          <w:rPr>
            <w:noProof/>
            <w:webHidden/>
          </w:rPr>
          <w:t>287</w:t>
        </w:r>
        <w:r w:rsidR="00F51B27">
          <w:rPr>
            <w:noProof/>
            <w:webHidden/>
          </w:rPr>
          <w:fldChar w:fldCharType="end"/>
        </w:r>
      </w:hyperlink>
    </w:p>
    <w:p w14:paraId="1EED0A69" w14:textId="5E780086" w:rsidR="00F51B27" w:rsidRDefault="0072072F">
      <w:pPr>
        <w:pStyle w:val="Tabledesillustrations"/>
        <w:tabs>
          <w:tab w:val="right" w:leader="dot" w:pos="9062"/>
        </w:tabs>
        <w:rPr>
          <w:rFonts w:asciiTheme="minorHAnsi" w:eastAsiaTheme="minorEastAsia" w:hAnsiTheme="minorHAnsi" w:cstheme="minorBidi"/>
          <w:noProof/>
          <w:kern w:val="2"/>
          <w:sz w:val="24"/>
          <w:szCs w:val="24"/>
          <w:lang w:eastAsia="fr-FR" w:bidi="ar-SA"/>
          <w14:ligatures w14:val="standardContextual"/>
        </w:rPr>
      </w:pPr>
      <w:hyperlink w:anchor="_Toc213404376" w:history="1">
        <w:r w:rsidR="00F51B27" w:rsidRPr="005D19BF">
          <w:rPr>
            <w:rStyle w:val="Lienhypertexte"/>
            <w:noProof/>
          </w:rPr>
          <w:t xml:space="preserve">Tableau 54: </w:t>
        </w:r>
        <w:r w:rsidR="00F51B27" w:rsidRPr="005D19BF">
          <w:rPr>
            <w:rStyle w:val="Lienhypertexte"/>
            <w:noProof/>
            <w:lang w:eastAsia="zh-CN"/>
          </w:rPr>
          <w:t>D</w:t>
        </w:r>
        <w:r w:rsidR="00F51B27" w:rsidRPr="005D19BF">
          <w:rPr>
            <w:rStyle w:val="Lienhypertexte"/>
            <w:noProof/>
          </w:rPr>
          <w:t xml:space="preserve">échets dangereux et non dangereux et matières dangereuses </w:t>
        </w:r>
        <w:r w:rsidR="00F51B27" w:rsidRPr="005D19BF">
          <w:rPr>
            <w:rStyle w:val="Lienhypertexte"/>
            <w:rFonts w:eastAsia="Carlito"/>
            <w:noProof/>
          </w:rPr>
          <w:t>–</w:t>
        </w:r>
        <w:r w:rsidR="00F51B27" w:rsidRPr="005D19BF">
          <w:rPr>
            <w:rStyle w:val="Lienhypertexte"/>
            <w:rFonts w:eastAsia="Carlito"/>
            <w:noProof/>
            <w:spacing w:val="12"/>
          </w:rPr>
          <w:t xml:space="preserve"> </w:t>
        </w:r>
        <w:r w:rsidR="00F51B27" w:rsidRPr="005D19BF">
          <w:rPr>
            <w:rStyle w:val="Lienhypertexte"/>
            <w:rFonts w:eastAsia="Carlito"/>
            <w:noProof/>
          </w:rPr>
          <w:t>Mesures</w:t>
        </w:r>
        <w:r w:rsidR="00F51B27" w:rsidRPr="005D19BF">
          <w:rPr>
            <w:rStyle w:val="Lienhypertexte"/>
            <w:rFonts w:eastAsia="Carlito"/>
            <w:noProof/>
            <w:spacing w:val="14"/>
          </w:rPr>
          <w:t xml:space="preserve"> </w:t>
        </w:r>
        <w:r w:rsidR="00F51B27" w:rsidRPr="005D19BF">
          <w:rPr>
            <w:rStyle w:val="Lienhypertexte"/>
            <w:rFonts w:eastAsia="Carlito"/>
            <w:noProof/>
          </w:rPr>
          <w:t>d’atténuation</w:t>
        </w:r>
        <w:r w:rsidR="00F51B27" w:rsidRPr="005D19BF">
          <w:rPr>
            <w:rStyle w:val="Lienhypertexte"/>
            <w:rFonts w:eastAsia="Carlito"/>
            <w:noProof/>
            <w:spacing w:val="13"/>
          </w:rPr>
          <w:t xml:space="preserve"> </w:t>
        </w:r>
        <w:r w:rsidR="00F51B27" w:rsidRPr="005D19BF">
          <w:rPr>
            <w:rStyle w:val="Lienhypertexte"/>
            <w:rFonts w:eastAsia="Carlito"/>
            <w:noProof/>
          </w:rPr>
          <w:t>en</w:t>
        </w:r>
        <w:r w:rsidR="00F51B27" w:rsidRPr="005D19BF">
          <w:rPr>
            <w:rStyle w:val="Lienhypertexte"/>
            <w:rFonts w:eastAsia="Carlito"/>
            <w:noProof/>
            <w:spacing w:val="14"/>
          </w:rPr>
          <w:t xml:space="preserve"> </w:t>
        </w:r>
        <w:r w:rsidR="00F51B27" w:rsidRPr="005D19BF">
          <w:rPr>
            <w:rStyle w:val="Lienhypertexte"/>
            <w:rFonts w:eastAsia="Carlito"/>
            <w:noProof/>
          </w:rPr>
          <w:t>phase</w:t>
        </w:r>
        <w:r w:rsidR="00F51B27" w:rsidRPr="005D19BF">
          <w:rPr>
            <w:rStyle w:val="Lienhypertexte"/>
            <w:rFonts w:eastAsia="Carlito"/>
            <w:noProof/>
            <w:spacing w:val="13"/>
          </w:rPr>
          <w:t xml:space="preserve"> </w:t>
        </w:r>
        <w:r w:rsidR="00F51B27" w:rsidRPr="005D19BF">
          <w:rPr>
            <w:rStyle w:val="Lienhypertexte"/>
            <w:rFonts w:eastAsia="Carlito"/>
            <w:noProof/>
            <w:spacing w:val="-2"/>
          </w:rPr>
          <w:t>d’exploitation</w:t>
        </w:r>
        <w:r w:rsidR="00F51B27">
          <w:rPr>
            <w:noProof/>
            <w:webHidden/>
          </w:rPr>
          <w:tab/>
        </w:r>
        <w:r w:rsidR="00F51B27">
          <w:rPr>
            <w:noProof/>
            <w:webHidden/>
          </w:rPr>
          <w:fldChar w:fldCharType="begin"/>
        </w:r>
        <w:r w:rsidR="00F51B27">
          <w:rPr>
            <w:noProof/>
            <w:webHidden/>
          </w:rPr>
          <w:instrText xml:space="preserve"> PAGEREF _Toc213404376 \h </w:instrText>
        </w:r>
        <w:r w:rsidR="00F51B27">
          <w:rPr>
            <w:noProof/>
            <w:webHidden/>
          </w:rPr>
        </w:r>
        <w:r w:rsidR="00F51B27">
          <w:rPr>
            <w:noProof/>
            <w:webHidden/>
          </w:rPr>
          <w:fldChar w:fldCharType="separate"/>
        </w:r>
        <w:r w:rsidR="00E40AF3">
          <w:rPr>
            <w:noProof/>
            <w:webHidden/>
          </w:rPr>
          <w:t>300</w:t>
        </w:r>
        <w:r w:rsidR="00F51B27">
          <w:rPr>
            <w:noProof/>
            <w:webHidden/>
          </w:rPr>
          <w:fldChar w:fldCharType="end"/>
        </w:r>
      </w:hyperlink>
    </w:p>
    <w:p w14:paraId="06B5191E" w14:textId="1D28CC6E" w:rsidR="00F51B27" w:rsidRDefault="0072072F">
      <w:pPr>
        <w:pStyle w:val="Tabledesillustrations"/>
        <w:tabs>
          <w:tab w:val="right" w:leader="dot" w:pos="9062"/>
        </w:tabs>
        <w:rPr>
          <w:rFonts w:asciiTheme="minorHAnsi" w:eastAsiaTheme="minorEastAsia" w:hAnsiTheme="minorHAnsi" w:cstheme="minorBidi"/>
          <w:noProof/>
          <w:kern w:val="2"/>
          <w:sz w:val="24"/>
          <w:szCs w:val="24"/>
          <w:lang w:eastAsia="fr-FR" w:bidi="ar-SA"/>
          <w14:ligatures w14:val="standardContextual"/>
        </w:rPr>
      </w:pPr>
      <w:hyperlink w:anchor="_Toc213404377" w:history="1">
        <w:r w:rsidR="00F51B27" w:rsidRPr="005D19BF">
          <w:rPr>
            <w:rStyle w:val="Lienhypertexte"/>
            <w:noProof/>
          </w:rPr>
          <w:t>Tableau 55 : Impacts visuels et paysagers - Mesures d’atténuation en phases de construction</w:t>
        </w:r>
        <w:r w:rsidR="00F51B27">
          <w:rPr>
            <w:noProof/>
            <w:webHidden/>
          </w:rPr>
          <w:tab/>
        </w:r>
        <w:r w:rsidR="00F51B27">
          <w:rPr>
            <w:noProof/>
            <w:webHidden/>
          </w:rPr>
          <w:fldChar w:fldCharType="begin"/>
        </w:r>
        <w:r w:rsidR="00F51B27">
          <w:rPr>
            <w:noProof/>
            <w:webHidden/>
          </w:rPr>
          <w:instrText xml:space="preserve"> PAGEREF _Toc213404377 \h </w:instrText>
        </w:r>
        <w:r w:rsidR="00F51B27">
          <w:rPr>
            <w:noProof/>
            <w:webHidden/>
          </w:rPr>
        </w:r>
        <w:r w:rsidR="00F51B27">
          <w:rPr>
            <w:noProof/>
            <w:webHidden/>
          </w:rPr>
          <w:fldChar w:fldCharType="separate"/>
        </w:r>
        <w:r w:rsidR="00E40AF3">
          <w:rPr>
            <w:noProof/>
            <w:webHidden/>
          </w:rPr>
          <w:t>312</w:t>
        </w:r>
        <w:r w:rsidR="00F51B27">
          <w:rPr>
            <w:noProof/>
            <w:webHidden/>
          </w:rPr>
          <w:fldChar w:fldCharType="end"/>
        </w:r>
      </w:hyperlink>
    </w:p>
    <w:p w14:paraId="6C914580" w14:textId="23E34366" w:rsidR="00F51B27" w:rsidRDefault="0072072F">
      <w:pPr>
        <w:pStyle w:val="Tabledesillustrations"/>
        <w:tabs>
          <w:tab w:val="right" w:leader="dot" w:pos="9062"/>
        </w:tabs>
        <w:rPr>
          <w:rFonts w:asciiTheme="minorHAnsi" w:eastAsiaTheme="minorEastAsia" w:hAnsiTheme="minorHAnsi" w:cstheme="minorBidi"/>
          <w:noProof/>
          <w:kern w:val="2"/>
          <w:sz w:val="24"/>
          <w:szCs w:val="24"/>
          <w:lang w:eastAsia="fr-FR" w:bidi="ar-SA"/>
          <w14:ligatures w14:val="standardContextual"/>
        </w:rPr>
      </w:pPr>
      <w:hyperlink w:anchor="_Toc213404378" w:history="1">
        <w:r w:rsidR="00F51B27" w:rsidRPr="005D19BF">
          <w:rPr>
            <w:rStyle w:val="Lienhypertexte"/>
            <w:noProof/>
          </w:rPr>
          <w:t>Tableau 56: Impacts visuels et paysagers - Mesures d’atténuation en phases d’exploitation</w:t>
        </w:r>
        <w:r w:rsidR="00F51B27">
          <w:rPr>
            <w:noProof/>
            <w:webHidden/>
          </w:rPr>
          <w:tab/>
        </w:r>
        <w:r w:rsidR="00F51B27">
          <w:rPr>
            <w:noProof/>
            <w:webHidden/>
          </w:rPr>
          <w:fldChar w:fldCharType="begin"/>
        </w:r>
        <w:r w:rsidR="00F51B27">
          <w:rPr>
            <w:noProof/>
            <w:webHidden/>
          </w:rPr>
          <w:instrText xml:space="preserve"> PAGEREF _Toc213404378 \h </w:instrText>
        </w:r>
        <w:r w:rsidR="00F51B27">
          <w:rPr>
            <w:noProof/>
            <w:webHidden/>
          </w:rPr>
        </w:r>
        <w:r w:rsidR="00F51B27">
          <w:rPr>
            <w:noProof/>
            <w:webHidden/>
          </w:rPr>
          <w:fldChar w:fldCharType="separate"/>
        </w:r>
        <w:r w:rsidR="00E40AF3">
          <w:rPr>
            <w:noProof/>
            <w:webHidden/>
          </w:rPr>
          <w:t>319</w:t>
        </w:r>
        <w:r w:rsidR="00F51B27">
          <w:rPr>
            <w:noProof/>
            <w:webHidden/>
          </w:rPr>
          <w:fldChar w:fldCharType="end"/>
        </w:r>
      </w:hyperlink>
    </w:p>
    <w:p w14:paraId="1C2422C8" w14:textId="08F69F84" w:rsidR="00F51B27" w:rsidRDefault="0072072F">
      <w:pPr>
        <w:pStyle w:val="Tabledesillustrations"/>
        <w:tabs>
          <w:tab w:val="right" w:leader="dot" w:pos="9062"/>
        </w:tabs>
        <w:rPr>
          <w:rFonts w:asciiTheme="minorHAnsi" w:eastAsiaTheme="minorEastAsia" w:hAnsiTheme="minorHAnsi" w:cstheme="minorBidi"/>
          <w:noProof/>
          <w:kern w:val="2"/>
          <w:sz w:val="24"/>
          <w:szCs w:val="24"/>
          <w:lang w:eastAsia="fr-FR" w:bidi="ar-SA"/>
          <w14:ligatures w14:val="standardContextual"/>
        </w:rPr>
      </w:pPr>
      <w:hyperlink w:anchor="_Toc213404379" w:history="1">
        <w:r w:rsidR="00F51B27" w:rsidRPr="005D19BF">
          <w:rPr>
            <w:rStyle w:val="Lienhypertexte"/>
            <w:noProof/>
          </w:rPr>
          <w:t>Tableau 57 : Biodiversité – Mesures d'atténuation en phase construction</w:t>
        </w:r>
        <w:r w:rsidR="00F51B27">
          <w:rPr>
            <w:noProof/>
            <w:webHidden/>
          </w:rPr>
          <w:tab/>
        </w:r>
        <w:r w:rsidR="00F51B27">
          <w:rPr>
            <w:noProof/>
            <w:webHidden/>
          </w:rPr>
          <w:fldChar w:fldCharType="begin"/>
        </w:r>
        <w:r w:rsidR="00F51B27">
          <w:rPr>
            <w:noProof/>
            <w:webHidden/>
          </w:rPr>
          <w:instrText xml:space="preserve"> PAGEREF _Toc213404379 \h </w:instrText>
        </w:r>
        <w:r w:rsidR="00F51B27">
          <w:rPr>
            <w:noProof/>
            <w:webHidden/>
          </w:rPr>
        </w:r>
        <w:r w:rsidR="00F51B27">
          <w:rPr>
            <w:noProof/>
            <w:webHidden/>
          </w:rPr>
          <w:fldChar w:fldCharType="separate"/>
        </w:r>
        <w:r w:rsidR="00E40AF3">
          <w:rPr>
            <w:noProof/>
            <w:webHidden/>
          </w:rPr>
          <w:t>327</w:t>
        </w:r>
        <w:r w:rsidR="00F51B27">
          <w:rPr>
            <w:noProof/>
            <w:webHidden/>
          </w:rPr>
          <w:fldChar w:fldCharType="end"/>
        </w:r>
      </w:hyperlink>
    </w:p>
    <w:p w14:paraId="3157200F" w14:textId="65CBBA7D" w:rsidR="00F51B27" w:rsidRDefault="0072072F">
      <w:pPr>
        <w:pStyle w:val="Tabledesillustrations"/>
        <w:tabs>
          <w:tab w:val="right" w:leader="dot" w:pos="9062"/>
        </w:tabs>
        <w:rPr>
          <w:rFonts w:asciiTheme="minorHAnsi" w:eastAsiaTheme="minorEastAsia" w:hAnsiTheme="minorHAnsi" w:cstheme="minorBidi"/>
          <w:noProof/>
          <w:kern w:val="2"/>
          <w:sz w:val="24"/>
          <w:szCs w:val="24"/>
          <w:lang w:eastAsia="fr-FR" w:bidi="ar-SA"/>
          <w14:ligatures w14:val="standardContextual"/>
        </w:rPr>
      </w:pPr>
      <w:hyperlink w:anchor="_Toc213404380" w:history="1">
        <w:r w:rsidR="00F51B27" w:rsidRPr="005D19BF">
          <w:rPr>
            <w:rStyle w:val="Lienhypertexte"/>
            <w:noProof/>
          </w:rPr>
          <w:t xml:space="preserve">Tableau 58: Biodiversité </w:t>
        </w:r>
        <w:r w:rsidR="00F51B27" w:rsidRPr="005D19BF">
          <w:rPr>
            <w:rStyle w:val="Lienhypertexte"/>
            <w:rFonts w:eastAsia="Carlito"/>
            <w:noProof/>
          </w:rPr>
          <w:t>–</w:t>
        </w:r>
        <w:r w:rsidR="00F51B27" w:rsidRPr="005D19BF">
          <w:rPr>
            <w:rStyle w:val="Lienhypertexte"/>
            <w:rFonts w:eastAsia="Carlito"/>
            <w:noProof/>
            <w:spacing w:val="12"/>
          </w:rPr>
          <w:t xml:space="preserve"> </w:t>
        </w:r>
        <w:r w:rsidR="00F51B27" w:rsidRPr="005D19BF">
          <w:rPr>
            <w:rStyle w:val="Lienhypertexte"/>
            <w:noProof/>
          </w:rPr>
          <w:t>Mesures d'atténuation en phase d’exploitation</w:t>
        </w:r>
        <w:r w:rsidR="00F51B27">
          <w:rPr>
            <w:noProof/>
            <w:webHidden/>
          </w:rPr>
          <w:tab/>
        </w:r>
        <w:r w:rsidR="00F51B27">
          <w:rPr>
            <w:noProof/>
            <w:webHidden/>
          </w:rPr>
          <w:fldChar w:fldCharType="begin"/>
        </w:r>
        <w:r w:rsidR="00F51B27">
          <w:rPr>
            <w:noProof/>
            <w:webHidden/>
          </w:rPr>
          <w:instrText xml:space="preserve"> PAGEREF _Toc213404380 \h </w:instrText>
        </w:r>
        <w:r w:rsidR="00F51B27">
          <w:rPr>
            <w:noProof/>
            <w:webHidden/>
          </w:rPr>
        </w:r>
        <w:r w:rsidR="00F51B27">
          <w:rPr>
            <w:noProof/>
            <w:webHidden/>
          </w:rPr>
          <w:fldChar w:fldCharType="separate"/>
        </w:r>
        <w:r w:rsidR="00E40AF3">
          <w:rPr>
            <w:noProof/>
            <w:webHidden/>
          </w:rPr>
          <w:t>337</w:t>
        </w:r>
        <w:r w:rsidR="00F51B27">
          <w:rPr>
            <w:noProof/>
            <w:webHidden/>
          </w:rPr>
          <w:fldChar w:fldCharType="end"/>
        </w:r>
      </w:hyperlink>
    </w:p>
    <w:p w14:paraId="7675AB46" w14:textId="06F4B8C9" w:rsidR="00F51B27" w:rsidRDefault="0072072F">
      <w:pPr>
        <w:pStyle w:val="Tabledesillustrations"/>
        <w:tabs>
          <w:tab w:val="right" w:leader="dot" w:pos="9062"/>
        </w:tabs>
        <w:rPr>
          <w:rFonts w:asciiTheme="minorHAnsi" w:eastAsiaTheme="minorEastAsia" w:hAnsiTheme="minorHAnsi" w:cstheme="minorBidi"/>
          <w:noProof/>
          <w:kern w:val="2"/>
          <w:sz w:val="24"/>
          <w:szCs w:val="24"/>
          <w:lang w:eastAsia="fr-FR" w:bidi="ar-SA"/>
          <w14:ligatures w14:val="standardContextual"/>
        </w:rPr>
      </w:pPr>
      <w:hyperlink w:anchor="_Toc213404381" w:history="1">
        <w:r w:rsidR="00F51B27" w:rsidRPr="005D19BF">
          <w:rPr>
            <w:rStyle w:val="Lienhypertexte"/>
            <w:noProof/>
          </w:rPr>
          <w:t>Tableau 59: Utilisation et accès aux ressources – Mesures d’atténuation en phase construction</w:t>
        </w:r>
        <w:r w:rsidR="00F51B27">
          <w:rPr>
            <w:noProof/>
            <w:webHidden/>
          </w:rPr>
          <w:tab/>
        </w:r>
        <w:r w:rsidR="00F51B27">
          <w:rPr>
            <w:noProof/>
            <w:webHidden/>
          </w:rPr>
          <w:fldChar w:fldCharType="begin"/>
        </w:r>
        <w:r w:rsidR="00F51B27">
          <w:rPr>
            <w:noProof/>
            <w:webHidden/>
          </w:rPr>
          <w:instrText xml:space="preserve"> PAGEREF _Toc213404381 \h </w:instrText>
        </w:r>
        <w:r w:rsidR="00F51B27">
          <w:rPr>
            <w:noProof/>
            <w:webHidden/>
          </w:rPr>
        </w:r>
        <w:r w:rsidR="00F51B27">
          <w:rPr>
            <w:noProof/>
            <w:webHidden/>
          </w:rPr>
          <w:fldChar w:fldCharType="separate"/>
        </w:r>
        <w:r w:rsidR="00E40AF3">
          <w:rPr>
            <w:noProof/>
            <w:webHidden/>
          </w:rPr>
          <w:t>349</w:t>
        </w:r>
        <w:r w:rsidR="00F51B27">
          <w:rPr>
            <w:noProof/>
            <w:webHidden/>
          </w:rPr>
          <w:fldChar w:fldCharType="end"/>
        </w:r>
      </w:hyperlink>
    </w:p>
    <w:p w14:paraId="1B3895BE" w14:textId="6BB075BE" w:rsidR="00F51B27" w:rsidRDefault="0072072F">
      <w:pPr>
        <w:pStyle w:val="Tabledesillustrations"/>
        <w:tabs>
          <w:tab w:val="right" w:leader="dot" w:pos="9062"/>
        </w:tabs>
        <w:rPr>
          <w:rFonts w:asciiTheme="minorHAnsi" w:eastAsiaTheme="minorEastAsia" w:hAnsiTheme="minorHAnsi" w:cstheme="minorBidi"/>
          <w:noProof/>
          <w:kern w:val="2"/>
          <w:sz w:val="24"/>
          <w:szCs w:val="24"/>
          <w:lang w:eastAsia="fr-FR" w:bidi="ar-SA"/>
          <w14:ligatures w14:val="standardContextual"/>
        </w:rPr>
      </w:pPr>
      <w:hyperlink w:anchor="_Toc213404382" w:history="1">
        <w:r w:rsidR="00F51B27" w:rsidRPr="005D19BF">
          <w:rPr>
            <w:rStyle w:val="Lienhypertexte"/>
            <w:noProof/>
          </w:rPr>
          <w:t>Tableau 60:Utilisation et accès aux ressources – Mesures d’atténuation en phase d’exploitation</w:t>
        </w:r>
        <w:r w:rsidR="00F51B27">
          <w:rPr>
            <w:noProof/>
            <w:webHidden/>
          </w:rPr>
          <w:tab/>
        </w:r>
        <w:r w:rsidR="00F51B27">
          <w:rPr>
            <w:noProof/>
            <w:webHidden/>
          </w:rPr>
          <w:fldChar w:fldCharType="begin"/>
        </w:r>
        <w:r w:rsidR="00F51B27">
          <w:rPr>
            <w:noProof/>
            <w:webHidden/>
          </w:rPr>
          <w:instrText xml:space="preserve"> PAGEREF _Toc213404382 \h </w:instrText>
        </w:r>
        <w:r w:rsidR="00F51B27">
          <w:rPr>
            <w:noProof/>
            <w:webHidden/>
          </w:rPr>
        </w:r>
        <w:r w:rsidR="00F51B27">
          <w:rPr>
            <w:noProof/>
            <w:webHidden/>
          </w:rPr>
          <w:fldChar w:fldCharType="separate"/>
        </w:r>
        <w:r w:rsidR="00E40AF3">
          <w:rPr>
            <w:noProof/>
            <w:webHidden/>
          </w:rPr>
          <w:t>357</w:t>
        </w:r>
        <w:r w:rsidR="00F51B27">
          <w:rPr>
            <w:noProof/>
            <w:webHidden/>
          </w:rPr>
          <w:fldChar w:fldCharType="end"/>
        </w:r>
      </w:hyperlink>
    </w:p>
    <w:p w14:paraId="64D5507F" w14:textId="2425E1F4" w:rsidR="00F51B27" w:rsidRDefault="0072072F">
      <w:pPr>
        <w:pStyle w:val="Tabledesillustrations"/>
        <w:tabs>
          <w:tab w:val="right" w:leader="dot" w:pos="9062"/>
        </w:tabs>
        <w:rPr>
          <w:rFonts w:asciiTheme="minorHAnsi" w:eastAsiaTheme="minorEastAsia" w:hAnsiTheme="minorHAnsi" w:cstheme="minorBidi"/>
          <w:noProof/>
          <w:kern w:val="2"/>
          <w:sz w:val="24"/>
          <w:szCs w:val="24"/>
          <w:lang w:eastAsia="fr-FR" w:bidi="ar-SA"/>
          <w14:ligatures w14:val="standardContextual"/>
        </w:rPr>
      </w:pPr>
      <w:hyperlink w:anchor="_Toc213404383" w:history="1">
        <w:r w:rsidR="00F51B27" w:rsidRPr="005D19BF">
          <w:rPr>
            <w:rStyle w:val="Lienhypertexte"/>
            <w:noProof/>
          </w:rPr>
          <w:t>Tableau 61: Trafic routier – mesure d’atténuation en phase de construction</w:t>
        </w:r>
        <w:r w:rsidR="00F51B27">
          <w:rPr>
            <w:noProof/>
            <w:webHidden/>
          </w:rPr>
          <w:tab/>
        </w:r>
        <w:r w:rsidR="00F51B27">
          <w:rPr>
            <w:noProof/>
            <w:webHidden/>
          </w:rPr>
          <w:fldChar w:fldCharType="begin"/>
        </w:r>
        <w:r w:rsidR="00F51B27">
          <w:rPr>
            <w:noProof/>
            <w:webHidden/>
          </w:rPr>
          <w:instrText xml:space="preserve"> PAGEREF _Toc213404383 \h </w:instrText>
        </w:r>
        <w:r w:rsidR="00F51B27">
          <w:rPr>
            <w:noProof/>
            <w:webHidden/>
          </w:rPr>
        </w:r>
        <w:r w:rsidR="00F51B27">
          <w:rPr>
            <w:noProof/>
            <w:webHidden/>
          </w:rPr>
          <w:fldChar w:fldCharType="separate"/>
        </w:r>
        <w:r w:rsidR="00E40AF3">
          <w:rPr>
            <w:noProof/>
            <w:webHidden/>
          </w:rPr>
          <w:t>367</w:t>
        </w:r>
        <w:r w:rsidR="00F51B27">
          <w:rPr>
            <w:noProof/>
            <w:webHidden/>
          </w:rPr>
          <w:fldChar w:fldCharType="end"/>
        </w:r>
      </w:hyperlink>
    </w:p>
    <w:p w14:paraId="667DF3FF" w14:textId="423D08EB" w:rsidR="00F51B27" w:rsidRDefault="0072072F">
      <w:pPr>
        <w:pStyle w:val="Tabledesillustrations"/>
        <w:tabs>
          <w:tab w:val="right" w:leader="dot" w:pos="9062"/>
        </w:tabs>
        <w:rPr>
          <w:rFonts w:asciiTheme="minorHAnsi" w:eastAsiaTheme="minorEastAsia" w:hAnsiTheme="minorHAnsi" w:cstheme="minorBidi"/>
          <w:noProof/>
          <w:kern w:val="2"/>
          <w:sz w:val="24"/>
          <w:szCs w:val="24"/>
          <w:lang w:eastAsia="fr-FR" w:bidi="ar-SA"/>
          <w14:ligatures w14:val="standardContextual"/>
        </w:rPr>
      </w:pPr>
      <w:hyperlink w:anchor="_Toc213404384" w:history="1">
        <w:r w:rsidR="00F51B27" w:rsidRPr="005D19BF">
          <w:rPr>
            <w:rStyle w:val="Lienhypertexte"/>
            <w:noProof/>
          </w:rPr>
          <w:t>Tableau 62: Trafic routier – mesure d’atténuation en phase d’exploitation</w:t>
        </w:r>
        <w:r w:rsidR="00F51B27">
          <w:rPr>
            <w:noProof/>
            <w:webHidden/>
          </w:rPr>
          <w:tab/>
        </w:r>
        <w:r w:rsidR="00F51B27">
          <w:rPr>
            <w:noProof/>
            <w:webHidden/>
          </w:rPr>
          <w:fldChar w:fldCharType="begin"/>
        </w:r>
        <w:r w:rsidR="00F51B27">
          <w:rPr>
            <w:noProof/>
            <w:webHidden/>
          </w:rPr>
          <w:instrText xml:space="preserve"> PAGEREF _Toc213404384 \h </w:instrText>
        </w:r>
        <w:r w:rsidR="00F51B27">
          <w:rPr>
            <w:noProof/>
            <w:webHidden/>
          </w:rPr>
        </w:r>
        <w:r w:rsidR="00F51B27">
          <w:rPr>
            <w:noProof/>
            <w:webHidden/>
          </w:rPr>
          <w:fldChar w:fldCharType="separate"/>
        </w:r>
        <w:r w:rsidR="00E40AF3">
          <w:rPr>
            <w:noProof/>
            <w:webHidden/>
          </w:rPr>
          <w:t>376</w:t>
        </w:r>
        <w:r w:rsidR="00F51B27">
          <w:rPr>
            <w:noProof/>
            <w:webHidden/>
          </w:rPr>
          <w:fldChar w:fldCharType="end"/>
        </w:r>
      </w:hyperlink>
    </w:p>
    <w:p w14:paraId="09067201" w14:textId="0A367CA7" w:rsidR="00F51B27" w:rsidRDefault="0072072F">
      <w:pPr>
        <w:pStyle w:val="Tabledesillustrations"/>
        <w:tabs>
          <w:tab w:val="right" w:leader="dot" w:pos="9062"/>
        </w:tabs>
        <w:rPr>
          <w:rFonts w:asciiTheme="minorHAnsi" w:eastAsiaTheme="minorEastAsia" w:hAnsiTheme="minorHAnsi" w:cstheme="minorBidi"/>
          <w:noProof/>
          <w:kern w:val="2"/>
          <w:sz w:val="24"/>
          <w:szCs w:val="24"/>
          <w:lang w:eastAsia="fr-FR" w:bidi="ar-SA"/>
          <w14:ligatures w14:val="standardContextual"/>
        </w:rPr>
      </w:pPr>
      <w:hyperlink w:anchor="_Toc213404385" w:history="1">
        <w:r w:rsidR="00F51B27" w:rsidRPr="005D19BF">
          <w:rPr>
            <w:rStyle w:val="Lienhypertexte"/>
            <w:noProof/>
          </w:rPr>
          <w:t>Tableau 63: Activités</w:t>
        </w:r>
        <w:r w:rsidR="00F51B27" w:rsidRPr="005D19BF">
          <w:rPr>
            <w:rStyle w:val="Lienhypertexte"/>
            <w:noProof/>
            <w:spacing w:val="-2"/>
          </w:rPr>
          <w:t xml:space="preserve"> </w:t>
        </w:r>
        <w:r w:rsidR="00F51B27" w:rsidRPr="005D19BF">
          <w:rPr>
            <w:rStyle w:val="Lienhypertexte"/>
            <w:noProof/>
          </w:rPr>
          <w:t>économiques</w:t>
        </w:r>
        <w:r w:rsidR="00F51B27" w:rsidRPr="005D19BF">
          <w:rPr>
            <w:rStyle w:val="Lienhypertexte"/>
            <w:noProof/>
            <w:spacing w:val="-3"/>
          </w:rPr>
          <w:t xml:space="preserve"> </w:t>
        </w:r>
        <w:r w:rsidR="00F51B27" w:rsidRPr="005D19BF">
          <w:rPr>
            <w:rStyle w:val="Lienhypertexte"/>
            <w:noProof/>
          </w:rPr>
          <w:t>et</w:t>
        </w:r>
        <w:r w:rsidR="00F51B27" w:rsidRPr="005D19BF">
          <w:rPr>
            <w:rStyle w:val="Lienhypertexte"/>
            <w:noProof/>
            <w:spacing w:val="-2"/>
          </w:rPr>
          <w:t xml:space="preserve"> </w:t>
        </w:r>
        <w:r w:rsidR="00F51B27" w:rsidRPr="005D19BF">
          <w:rPr>
            <w:rStyle w:val="Lienhypertexte"/>
            <w:noProof/>
          </w:rPr>
          <w:t>emploi</w:t>
        </w:r>
        <w:r w:rsidR="00F51B27" w:rsidRPr="005D19BF">
          <w:rPr>
            <w:rStyle w:val="Lienhypertexte"/>
            <w:noProof/>
            <w:spacing w:val="-3"/>
          </w:rPr>
          <w:t xml:space="preserve"> </w:t>
        </w:r>
        <w:r w:rsidR="00F51B27" w:rsidRPr="005D19BF">
          <w:rPr>
            <w:rStyle w:val="Lienhypertexte"/>
            <w:noProof/>
          </w:rPr>
          <w:t>–</w:t>
        </w:r>
        <w:r w:rsidR="00F51B27" w:rsidRPr="005D19BF">
          <w:rPr>
            <w:rStyle w:val="Lienhypertexte"/>
            <w:noProof/>
            <w:spacing w:val="-2"/>
          </w:rPr>
          <w:t xml:space="preserve"> </w:t>
        </w:r>
        <w:r w:rsidR="00F51B27" w:rsidRPr="005D19BF">
          <w:rPr>
            <w:rStyle w:val="Lienhypertexte"/>
            <w:noProof/>
          </w:rPr>
          <w:t>Mesures</w:t>
        </w:r>
        <w:r w:rsidR="00F51B27" w:rsidRPr="005D19BF">
          <w:rPr>
            <w:rStyle w:val="Lienhypertexte"/>
            <w:noProof/>
            <w:spacing w:val="-5"/>
          </w:rPr>
          <w:t xml:space="preserve"> </w:t>
        </w:r>
        <w:r w:rsidR="00F51B27" w:rsidRPr="005D19BF">
          <w:rPr>
            <w:rStyle w:val="Lienhypertexte"/>
            <w:noProof/>
          </w:rPr>
          <w:t>de renforcement</w:t>
        </w:r>
        <w:r w:rsidR="00F51B27" w:rsidRPr="005D19BF">
          <w:rPr>
            <w:rStyle w:val="Lienhypertexte"/>
            <w:noProof/>
            <w:spacing w:val="-2"/>
          </w:rPr>
          <w:t xml:space="preserve"> </w:t>
        </w:r>
        <w:r w:rsidR="00F51B27" w:rsidRPr="005D19BF">
          <w:rPr>
            <w:rStyle w:val="Lienhypertexte"/>
            <w:noProof/>
          </w:rPr>
          <w:t>en phase</w:t>
        </w:r>
        <w:r w:rsidR="00F51B27" w:rsidRPr="005D19BF">
          <w:rPr>
            <w:rStyle w:val="Lienhypertexte"/>
            <w:noProof/>
            <w:spacing w:val="-3"/>
          </w:rPr>
          <w:t xml:space="preserve"> de construction</w:t>
        </w:r>
        <w:r w:rsidR="00F51B27">
          <w:rPr>
            <w:noProof/>
            <w:webHidden/>
          </w:rPr>
          <w:tab/>
        </w:r>
        <w:r w:rsidR="00F51B27">
          <w:rPr>
            <w:noProof/>
            <w:webHidden/>
          </w:rPr>
          <w:fldChar w:fldCharType="begin"/>
        </w:r>
        <w:r w:rsidR="00F51B27">
          <w:rPr>
            <w:noProof/>
            <w:webHidden/>
          </w:rPr>
          <w:instrText xml:space="preserve"> PAGEREF _Toc213404385 \h </w:instrText>
        </w:r>
        <w:r w:rsidR="00F51B27">
          <w:rPr>
            <w:noProof/>
            <w:webHidden/>
          </w:rPr>
        </w:r>
        <w:r w:rsidR="00F51B27">
          <w:rPr>
            <w:noProof/>
            <w:webHidden/>
          </w:rPr>
          <w:fldChar w:fldCharType="separate"/>
        </w:r>
        <w:r w:rsidR="00E40AF3">
          <w:rPr>
            <w:noProof/>
            <w:webHidden/>
          </w:rPr>
          <w:t>386</w:t>
        </w:r>
        <w:r w:rsidR="00F51B27">
          <w:rPr>
            <w:noProof/>
            <w:webHidden/>
          </w:rPr>
          <w:fldChar w:fldCharType="end"/>
        </w:r>
      </w:hyperlink>
    </w:p>
    <w:p w14:paraId="57504736" w14:textId="57D053C3" w:rsidR="00F51B27" w:rsidRDefault="0072072F">
      <w:pPr>
        <w:pStyle w:val="Tabledesillustrations"/>
        <w:tabs>
          <w:tab w:val="right" w:leader="dot" w:pos="9062"/>
        </w:tabs>
        <w:rPr>
          <w:rFonts w:asciiTheme="minorHAnsi" w:eastAsiaTheme="minorEastAsia" w:hAnsiTheme="minorHAnsi" w:cstheme="minorBidi"/>
          <w:noProof/>
          <w:kern w:val="2"/>
          <w:sz w:val="24"/>
          <w:szCs w:val="24"/>
          <w:lang w:eastAsia="fr-FR" w:bidi="ar-SA"/>
          <w14:ligatures w14:val="standardContextual"/>
        </w:rPr>
      </w:pPr>
      <w:hyperlink w:anchor="_Toc213404386" w:history="1">
        <w:r w:rsidR="00F51B27" w:rsidRPr="005D19BF">
          <w:rPr>
            <w:rStyle w:val="Lienhypertexte"/>
            <w:noProof/>
          </w:rPr>
          <w:t>Tableau 64: Activités économiques et emploi – Mesures de renforcement en phase d’exploitation</w:t>
        </w:r>
        <w:r w:rsidR="00F51B27">
          <w:rPr>
            <w:noProof/>
            <w:webHidden/>
          </w:rPr>
          <w:tab/>
        </w:r>
        <w:r w:rsidR="00F51B27">
          <w:rPr>
            <w:noProof/>
            <w:webHidden/>
          </w:rPr>
          <w:fldChar w:fldCharType="begin"/>
        </w:r>
        <w:r w:rsidR="00F51B27">
          <w:rPr>
            <w:noProof/>
            <w:webHidden/>
          </w:rPr>
          <w:instrText xml:space="preserve"> PAGEREF _Toc213404386 \h </w:instrText>
        </w:r>
        <w:r w:rsidR="00F51B27">
          <w:rPr>
            <w:noProof/>
            <w:webHidden/>
          </w:rPr>
        </w:r>
        <w:r w:rsidR="00F51B27">
          <w:rPr>
            <w:noProof/>
            <w:webHidden/>
          </w:rPr>
          <w:fldChar w:fldCharType="separate"/>
        </w:r>
        <w:r w:rsidR="00E40AF3">
          <w:rPr>
            <w:noProof/>
            <w:webHidden/>
          </w:rPr>
          <w:t>397</w:t>
        </w:r>
        <w:r w:rsidR="00F51B27">
          <w:rPr>
            <w:noProof/>
            <w:webHidden/>
          </w:rPr>
          <w:fldChar w:fldCharType="end"/>
        </w:r>
      </w:hyperlink>
    </w:p>
    <w:p w14:paraId="3DC8BAF5" w14:textId="680D0D98" w:rsidR="00F51B27" w:rsidRDefault="0072072F">
      <w:pPr>
        <w:pStyle w:val="Tabledesillustrations"/>
        <w:tabs>
          <w:tab w:val="right" w:leader="dot" w:pos="9062"/>
        </w:tabs>
        <w:rPr>
          <w:rFonts w:asciiTheme="minorHAnsi" w:eastAsiaTheme="minorEastAsia" w:hAnsiTheme="minorHAnsi" w:cstheme="minorBidi"/>
          <w:noProof/>
          <w:kern w:val="2"/>
          <w:sz w:val="24"/>
          <w:szCs w:val="24"/>
          <w:lang w:eastAsia="fr-FR" w:bidi="ar-SA"/>
          <w14:ligatures w14:val="standardContextual"/>
        </w:rPr>
      </w:pPr>
      <w:hyperlink w:anchor="_Toc213404387" w:history="1">
        <w:r w:rsidR="00F51B27" w:rsidRPr="005D19BF">
          <w:rPr>
            <w:rStyle w:val="Lienhypertexte"/>
            <w:noProof/>
          </w:rPr>
          <w:t>Tableau 65: Mesures d'atténuation – Santé sécurité des travailleurs en phase construction</w:t>
        </w:r>
        <w:r w:rsidR="00F51B27">
          <w:rPr>
            <w:noProof/>
            <w:webHidden/>
          </w:rPr>
          <w:tab/>
        </w:r>
        <w:r w:rsidR="00F51B27">
          <w:rPr>
            <w:noProof/>
            <w:webHidden/>
          </w:rPr>
          <w:fldChar w:fldCharType="begin"/>
        </w:r>
        <w:r w:rsidR="00F51B27">
          <w:rPr>
            <w:noProof/>
            <w:webHidden/>
          </w:rPr>
          <w:instrText xml:space="preserve"> PAGEREF _Toc213404387 \h </w:instrText>
        </w:r>
        <w:r w:rsidR="00F51B27">
          <w:rPr>
            <w:noProof/>
            <w:webHidden/>
          </w:rPr>
        </w:r>
        <w:r w:rsidR="00F51B27">
          <w:rPr>
            <w:noProof/>
            <w:webHidden/>
          </w:rPr>
          <w:fldChar w:fldCharType="separate"/>
        </w:r>
        <w:r w:rsidR="00E40AF3">
          <w:rPr>
            <w:noProof/>
            <w:webHidden/>
          </w:rPr>
          <w:t>410</w:t>
        </w:r>
        <w:r w:rsidR="00F51B27">
          <w:rPr>
            <w:noProof/>
            <w:webHidden/>
          </w:rPr>
          <w:fldChar w:fldCharType="end"/>
        </w:r>
      </w:hyperlink>
    </w:p>
    <w:p w14:paraId="58B928C3" w14:textId="51576E13" w:rsidR="00F51B27" w:rsidRDefault="0072072F">
      <w:pPr>
        <w:pStyle w:val="Tabledesillustrations"/>
        <w:tabs>
          <w:tab w:val="right" w:leader="dot" w:pos="9062"/>
        </w:tabs>
        <w:rPr>
          <w:rFonts w:asciiTheme="minorHAnsi" w:eastAsiaTheme="minorEastAsia" w:hAnsiTheme="minorHAnsi" w:cstheme="minorBidi"/>
          <w:noProof/>
          <w:kern w:val="2"/>
          <w:sz w:val="24"/>
          <w:szCs w:val="24"/>
          <w:lang w:eastAsia="fr-FR" w:bidi="ar-SA"/>
          <w14:ligatures w14:val="standardContextual"/>
        </w:rPr>
      </w:pPr>
      <w:hyperlink w:anchor="_Toc213404388" w:history="1">
        <w:r w:rsidR="00F51B27" w:rsidRPr="005D19BF">
          <w:rPr>
            <w:rStyle w:val="Lienhypertexte"/>
            <w:noProof/>
          </w:rPr>
          <w:t>Tableau 66 : Mesures d'atténuation – Santé sécurité des travailleurs en phase d'exploitation</w:t>
        </w:r>
        <w:r w:rsidR="00F51B27">
          <w:rPr>
            <w:noProof/>
            <w:webHidden/>
          </w:rPr>
          <w:tab/>
        </w:r>
        <w:r w:rsidR="00F51B27">
          <w:rPr>
            <w:noProof/>
            <w:webHidden/>
          </w:rPr>
          <w:fldChar w:fldCharType="begin"/>
        </w:r>
        <w:r w:rsidR="00F51B27">
          <w:rPr>
            <w:noProof/>
            <w:webHidden/>
          </w:rPr>
          <w:instrText xml:space="preserve"> PAGEREF _Toc213404388 \h </w:instrText>
        </w:r>
        <w:r w:rsidR="00F51B27">
          <w:rPr>
            <w:noProof/>
            <w:webHidden/>
          </w:rPr>
        </w:r>
        <w:r w:rsidR="00F51B27">
          <w:rPr>
            <w:noProof/>
            <w:webHidden/>
          </w:rPr>
          <w:fldChar w:fldCharType="separate"/>
        </w:r>
        <w:r w:rsidR="00E40AF3">
          <w:rPr>
            <w:noProof/>
            <w:webHidden/>
          </w:rPr>
          <w:t>430</w:t>
        </w:r>
        <w:r w:rsidR="00F51B27">
          <w:rPr>
            <w:noProof/>
            <w:webHidden/>
          </w:rPr>
          <w:fldChar w:fldCharType="end"/>
        </w:r>
      </w:hyperlink>
    </w:p>
    <w:p w14:paraId="525D9FEC" w14:textId="6006AD1E" w:rsidR="00F51B27" w:rsidRDefault="0072072F">
      <w:pPr>
        <w:pStyle w:val="Tabledesillustrations"/>
        <w:tabs>
          <w:tab w:val="right" w:leader="dot" w:pos="9062"/>
        </w:tabs>
        <w:rPr>
          <w:rFonts w:asciiTheme="minorHAnsi" w:eastAsiaTheme="minorEastAsia" w:hAnsiTheme="minorHAnsi" w:cstheme="minorBidi"/>
          <w:noProof/>
          <w:kern w:val="2"/>
          <w:sz w:val="24"/>
          <w:szCs w:val="24"/>
          <w:lang w:eastAsia="fr-FR" w:bidi="ar-SA"/>
          <w14:ligatures w14:val="standardContextual"/>
        </w:rPr>
      </w:pPr>
      <w:hyperlink w:anchor="_Toc213404389" w:history="1">
        <w:r w:rsidR="00F51B27" w:rsidRPr="005D19BF">
          <w:rPr>
            <w:rStyle w:val="Lienhypertexte"/>
            <w:noProof/>
          </w:rPr>
          <w:t>Tableau 67 : Mesures d'atténuation – Santé, sureté et sécurité communautaires en phase construction</w:t>
        </w:r>
        <w:r w:rsidR="00F51B27">
          <w:rPr>
            <w:noProof/>
            <w:webHidden/>
          </w:rPr>
          <w:tab/>
        </w:r>
        <w:r w:rsidR="00F51B27">
          <w:rPr>
            <w:noProof/>
            <w:webHidden/>
          </w:rPr>
          <w:fldChar w:fldCharType="begin"/>
        </w:r>
        <w:r w:rsidR="00F51B27">
          <w:rPr>
            <w:noProof/>
            <w:webHidden/>
          </w:rPr>
          <w:instrText xml:space="preserve"> PAGEREF _Toc213404389 \h </w:instrText>
        </w:r>
        <w:r w:rsidR="00F51B27">
          <w:rPr>
            <w:noProof/>
            <w:webHidden/>
          </w:rPr>
        </w:r>
        <w:r w:rsidR="00F51B27">
          <w:rPr>
            <w:noProof/>
            <w:webHidden/>
          </w:rPr>
          <w:fldChar w:fldCharType="separate"/>
        </w:r>
        <w:r w:rsidR="00E40AF3">
          <w:rPr>
            <w:noProof/>
            <w:webHidden/>
          </w:rPr>
          <w:t>448</w:t>
        </w:r>
        <w:r w:rsidR="00F51B27">
          <w:rPr>
            <w:noProof/>
            <w:webHidden/>
          </w:rPr>
          <w:fldChar w:fldCharType="end"/>
        </w:r>
      </w:hyperlink>
    </w:p>
    <w:p w14:paraId="6CCD0DD4" w14:textId="1627D7A0" w:rsidR="00F51B27" w:rsidRDefault="0072072F">
      <w:pPr>
        <w:pStyle w:val="Tabledesillustrations"/>
        <w:tabs>
          <w:tab w:val="right" w:leader="dot" w:pos="9062"/>
        </w:tabs>
        <w:rPr>
          <w:rFonts w:asciiTheme="minorHAnsi" w:eastAsiaTheme="minorEastAsia" w:hAnsiTheme="minorHAnsi" w:cstheme="minorBidi"/>
          <w:noProof/>
          <w:kern w:val="2"/>
          <w:sz w:val="24"/>
          <w:szCs w:val="24"/>
          <w:lang w:eastAsia="fr-FR" w:bidi="ar-SA"/>
          <w14:ligatures w14:val="standardContextual"/>
        </w:rPr>
      </w:pPr>
      <w:hyperlink w:anchor="_Toc213404390" w:history="1">
        <w:r w:rsidR="00F51B27" w:rsidRPr="005D19BF">
          <w:rPr>
            <w:rStyle w:val="Lienhypertexte"/>
            <w:noProof/>
          </w:rPr>
          <w:t>Tableau 68 : Mesures d'atténuation – Santé, sureté et sécurité communautaires en phase exploitation</w:t>
        </w:r>
        <w:r w:rsidR="00F51B27">
          <w:rPr>
            <w:noProof/>
            <w:webHidden/>
          </w:rPr>
          <w:tab/>
        </w:r>
        <w:r w:rsidR="00F51B27">
          <w:rPr>
            <w:noProof/>
            <w:webHidden/>
          </w:rPr>
          <w:fldChar w:fldCharType="begin"/>
        </w:r>
        <w:r w:rsidR="00F51B27">
          <w:rPr>
            <w:noProof/>
            <w:webHidden/>
          </w:rPr>
          <w:instrText xml:space="preserve"> PAGEREF _Toc213404390 \h </w:instrText>
        </w:r>
        <w:r w:rsidR="00F51B27">
          <w:rPr>
            <w:noProof/>
            <w:webHidden/>
          </w:rPr>
        </w:r>
        <w:r w:rsidR="00F51B27">
          <w:rPr>
            <w:noProof/>
            <w:webHidden/>
          </w:rPr>
          <w:fldChar w:fldCharType="separate"/>
        </w:r>
        <w:r w:rsidR="00E40AF3">
          <w:rPr>
            <w:noProof/>
            <w:webHidden/>
          </w:rPr>
          <w:t>465</w:t>
        </w:r>
        <w:r w:rsidR="00F51B27">
          <w:rPr>
            <w:noProof/>
            <w:webHidden/>
          </w:rPr>
          <w:fldChar w:fldCharType="end"/>
        </w:r>
      </w:hyperlink>
    </w:p>
    <w:p w14:paraId="119869D7" w14:textId="28A5B1CB" w:rsidR="00F51B27" w:rsidRDefault="0072072F">
      <w:pPr>
        <w:pStyle w:val="Tabledesillustrations"/>
        <w:tabs>
          <w:tab w:val="right" w:leader="dot" w:pos="9062"/>
        </w:tabs>
        <w:rPr>
          <w:rFonts w:asciiTheme="minorHAnsi" w:eastAsiaTheme="minorEastAsia" w:hAnsiTheme="minorHAnsi" w:cstheme="minorBidi"/>
          <w:noProof/>
          <w:kern w:val="2"/>
          <w:sz w:val="24"/>
          <w:szCs w:val="24"/>
          <w:lang w:eastAsia="fr-FR" w:bidi="ar-SA"/>
          <w14:ligatures w14:val="standardContextual"/>
        </w:rPr>
      </w:pPr>
      <w:hyperlink w:anchor="_Toc213404391" w:history="1">
        <w:r w:rsidR="00F51B27" w:rsidRPr="005D19BF">
          <w:rPr>
            <w:rStyle w:val="Lienhypertexte"/>
            <w:noProof/>
          </w:rPr>
          <w:t>Tableau 69 : Mesures d'atténuation – Patrimoine culturel et archéologique en phase de construction</w:t>
        </w:r>
        <w:r w:rsidR="00F51B27">
          <w:rPr>
            <w:noProof/>
            <w:webHidden/>
          </w:rPr>
          <w:tab/>
        </w:r>
        <w:r w:rsidR="00F51B27">
          <w:rPr>
            <w:noProof/>
            <w:webHidden/>
          </w:rPr>
          <w:fldChar w:fldCharType="begin"/>
        </w:r>
        <w:r w:rsidR="00F51B27">
          <w:rPr>
            <w:noProof/>
            <w:webHidden/>
          </w:rPr>
          <w:instrText xml:space="preserve"> PAGEREF _Toc213404391 \h </w:instrText>
        </w:r>
        <w:r w:rsidR="00F51B27">
          <w:rPr>
            <w:noProof/>
            <w:webHidden/>
          </w:rPr>
        </w:r>
        <w:r w:rsidR="00F51B27">
          <w:rPr>
            <w:noProof/>
            <w:webHidden/>
          </w:rPr>
          <w:fldChar w:fldCharType="separate"/>
        </w:r>
        <w:r w:rsidR="00E40AF3">
          <w:rPr>
            <w:noProof/>
            <w:webHidden/>
          </w:rPr>
          <w:t>474</w:t>
        </w:r>
        <w:r w:rsidR="00F51B27">
          <w:rPr>
            <w:noProof/>
            <w:webHidden/>
          </w:rPr>
          <w:fldChar w:fldCharType="end"/>
        </w:r>
      </w:hyperlink>
    </w:p>
    <w:p w14:paraId="1F211F45" w14:textId="752F37AC" w:rsidR="00F51B27" w:rsidRDefault="0072072F">
      <w:pPr>
        <w:pStyle w:val="Tabledesillustrations"/>
        <w:tabs>
          <w:tab w:val="right" w:leader="dot" w:pos="9062"/>
        </w:tabs>
        <w:rPr>
          <w:rFonts w:asciiTheme="minorHAnsi" w:eastAsiaTheme="minorEastAsia" w:hAnsiTheme="minorHAnsi" w:cstheme="minorBidi"/>
          <w:noProof/>
          <w:kern w:val="2"/>
          <w:sz w:val="24"/>
          <w:szCs w:val="24"/>
          <w:lang w:eastAsia="fr-FR" w:bidi="ar-SA"/>
          <w14:ligatures w14:val="standardContextual"/>
        </w:rPr>
      </w:pPr>
      <w:hyperlink w:anchor="_Toc213404392" w:history="1">
        <w:r w:rsidR="00F51B27" w:rsidRPr="005D19BF">
          <w:rPr>
            <w:rStyle w:val="Lienhypertexte"/>
            <w:noProof/>
          </w:rPr>
          <w:t>Tableau 70:</w:t>
        </w:r>
        <w:r w:rsidR="00F51B27" w:rsidRPr="005D19BF">
          <w:rPr>
            <w:rStyle w:val="Lienhypertexte"/>
            <w:noProof/>
            <w:lang w:eastAsia="zh-CN"/>
          </w:rPr>
          <w:t>Recyclage des matériaux issus de démantèlement du projet</w:t>
        </w:r>
        <w:r w:rsidR="00F51B27">
          <w:rPr>
            <w:noProof/>
            <w:webHidden/>
          </w:rPr>
          <w:tab/>
        </w:r>
        <w:r w:rsidR="00F51B27">
          <w:rPr>
            <w:noProof/>
            <w:webHidden/>
          </w:rPr>
          <w:fldChar w:fldCharType="begin"/>
        </w:r>
        <w:r w:rsidR="00F51B27">
          <w:rPr>
            <w:noProof/>
            <w:webHidden/>
          </w:rPr>
          <w:instrText xml:space="preserve"> PAGEREF _Toc213404392 \h </w:instrText>
        </w:r>
        <w:r w:rsidR="00F51B27">
          <w:rPr>
            <w:noProof/>
            <w:webHidden/>
          </w:rPr>
        </w:r>
        <w:r w:rsidR="00F51B27">
          <w:rPr>
            <w:noProof/>
            <w:webHidden/>
          </w:rPr>
          <w:fldChar w:fldCharType="separate"/>
        </w:r>
        <w:r w:rsidR="00E40AF3">
          <w:rPr>
            <w:noProof/>
            <w:webHidden/>
          </w:rPr>
          <w:t>478</w:t>
        </w:r>
        <w:r w:rsidR="00F51B27">
          <w:rPr>
            <w:noProof/>
            <w:webHidden/>
          </w:rPr>
          <w:fldChar w:fldCharType="end"/>
        </w:r>
      </w:hyperlink>
    </w:p>
    <w:p w14:paraId="54B95C74" w14:textId="1B00D358" w:rsidR="00F51B27" w:rsidRDefault="0072072F">
      <w:pPr>
        <w:pStyle w:val="Tabledesillustrations"/>
        <w:tabs>
          <w:tab w:val="right" w:leader="dot" w:pos="9062"/>
        </w:tabs>
        <w:rPr>
          <w:rFonts w:asciiTheme="minorHAnsi" w:eastAsiaTheme="minorEastAsia" w:hAnsiTheme="minorHAnsi" w:cstheme="minorBidi"/>
          <w:noProof/>
          <w:kern w:val="2"/>
          <w:sz w:val="24"/>
          <w:szCs w:val="24"/>
          <w:lang w:eastAsia="fr-FR" w:bidi="ar-SA"/>
          <w14:ligatures w14:val="standardContextual"/>
        </w:rPr>
      </w:pPr>
      <w:hyperlink w:anchor="_Toc213404393" w:history="1">
        <w:r w:rsidR="00F51B27" w:rsidRPr="005D19BF">
          <w:rPr>
            <w:rStyle w:val="Lienhypertexte"/>
            <w:noProof/>
          </w:rPr>
          <w:t>Tableau 71 : Mesures d'atténuation des impacts cumulatifs</w:t>
        </w:r>
        <w:r w:rsidR="00F51B27">
          <w:rPr>
            <w:noProof/>
            <w:webHidden/>
          </w:rPr>
          <w:tab/>
        </w:r>
        <w:r w:rsidR="00F51B27">
          <w:rPr>
            <w:noProof/>
            <w:webHidden/>
          </w:rPr>
          <w:fldChar w:fldCharType="begin"/>
        </w:r>
        <w:r w:rsidR="00F51B27">
          <w:rPr>
            <w:noProof/>
            <w:webHidden/>
          </w:rPr>
          <w:instrText xml:space="preserve"> PAGEREF _Toc213404393 \h </w:instrText>
        </w:r>
        <w:r w:rsidR="00F51B27">
          <w:rPr>
            <w:noProof/>
            <w:webHidden/>
          </w:rPr>
        </w:r>
        <w:r w:rsidR="00F51B27">
          <w:rPr>
            <w:noProof/>
            <w:webHidden/>
          </w:rPr>
          <w:fldChar w:fldCharType="separate"/>
        </w:r>
        <w:r w:rsidR="00E40AF3">
          <w:rPr>
            <w:noProof/>
            <w:webHidden/>
          </w:rPr>
          <w:t>483</w:t>
        </w:r>
        <w:r w:rsidR="00F51B27">
          <w:rPr>
            <w:noProof/>
            <w:webHidden/>
          </w:rPr>
          <w:fldChar w:fldCharType="end"/>
        </w:r>
      </w:hyperlink>
    </w:p>
    <w:p w14:paraId="661CA56E" w14:textId="6DA7B71C" w:rsidR="00F51B27" w:rsidRDefault="0072072F">
      <w:pPr>
        <w:pStyle w:val="Tabledesillustrations"/>
        <w:tabs>
          <w:tab w:val="right" w:leader="dot" w:pos="9062"/>
        </w:tabs>
        <w:rPr>
          <w:rFonts w:asciiTheme="minorHAnsi" w:eastAsiaTheme="minorEastAsia" w:hAnsiTheme="minorHAnsi" w:cstheme="minorBidi"/>
          <w:noProof/>
          <w:kern w:val="2"/>
          <w:sz w:val="24"/>
          <w:szCs w:val="24"/>
          <w:lang w:eastAsia="fr-FR" w:bidi="ar-SA"/>
          <w14:ligatures w14:val="standardContextual"/>
        </w:rPr>
      </w:pPr>
      <w:hyperlink w:anchor="_Toc213404394" w:history="1">
        <w:r w:rsidR="00F51B27" w:rsidRPr="005D19BF">
          <w:rPr>
            <w:rStyle w:val="Lienhypertexte"/>
            <w:noProof/>
          </w:rPr>
          <w:t>Tableau 72 : Répartition des responsabilités des principaux acteurs du projet en matière de gestion environnementale et sociale</w:t>
        </w:r>
        <w:r w:rsidR="00F51B27">
          <w:rPr>
            <w:noProof/>
            <w:webHidden/>
          </w:rPr>
          <w:tab/>
        </w:r>
        <w:r w:rsidR="00F51B27">
          <w:rPr>
            <w:noProof/>
            <w:webHidden/>
          </w:rPr>
          <w:fldChar w:fldCharType="begin"/>
        </w:r>
        <w:r w:rsidR="00F51B27">
          <w:rPr>
            <w:noProof/>
            <w:webHidden/>
          </w:rPr>
          <w:instrText xml:space="preserve"> PAGEREF _Toc213404394 \h </w:instrText>
        </w:r>
        <w:r w:rsidR="00F51B27">
          <w:rPr>
            <w:noProof/>
            <w:webHidden/>
          </w:rPr>
        </w:r>
        <w:r w:rsidR="00F51B27">
          <w:rPr>
            <w:noProof/>
            <w:webHidden/>
          </w:rPr>
          <w:fldChar w:fldCharType="separate"/>
        </w:r>
        <w:r w:rsidR="00E40AF3">
          <w:rPr>
            <w:noProof/>
            <w:webHidden/>
          </w:rPr>
          <w:t>496</w:t>
        </w:r>
        <w:r w:rsidR="00F51B27">
          <w:rPr>
            <w:noProof/>
            <w:webHidden/>
          </w:rPr>
          <w:fldChar w:fldCharType="end"/>
        </w:r>
      </w:hyperlink>
    </w:p>
    <w:p w14:paraId="74035E40" w14:textId="50A05787" w:rsidR="00F51B27" w:rsidRDefault="0072072F">
      <w:pPr>
        <w:pStyle w:val="Tabledesillustrations"/>
        <w:tabs>
          <w:tab w:val="right" w:leader="dot" w:pos="9062"/>
        </w:tabs>
        <w:rPr>
          <w:rFonts w:asciiTheme="minorHAnsi" w:eastAsiaTheme="minorEastAsia" w:hAnsiTheme="minorHAnsi" w:cstheme="minorBidi"/>
          <w:noProof/>
          <w:kern w:val="2"/>
          <w:sz w:val="24"/>
          <w:szCs w:val="24"/>
          <w:lang w:eastAsia="fr-FR" w:bidi="ar-SA"/>
          <w14:ligatures w14:val="standardContextual"/>
        </w:rPr>
      </w:pPr>
      <w:hyperlink w:anchor="_Toc213404395" w:history="1">
        <w:r w:rsidR="00F51B27" w:rsidRPr="005D19BF">
          <w:rPr>
            <w:rStyle w:val="Lienhypertexte"/>
            <w:noProof/>
          </w:rPr>
          <w:t>Tableau 73 : Profils et responsabilité requis pour la mise en œuvre du PGES en phase de construction</w:t>
        </w:r>
        <w:r w:rsidR="00F51B27">
          <w:rPr>
            <w:noProof/>
            <w:webHidden/>
          </w:rPr>
          <w:tab/>
        </w:r>
        <w:r w:rsidR="00F51B27">
          <w:rPr>
            <w:noProof/>
            <w:webHidden/>
          </w:rPr>
          <w:fldChar w:fldCharType="begin"/>
        </w:r>
        <w:r w:rsidR="00F51B27">
          <w:rPr>
            <w:noProof/>
            <w:webHidden/>
          </w:rPr>
          <w:instrText xml:space="preserve"> PAGEREF _Toc213404395 \h </w:instrText>
        </w:r>
        <w:r w:rsidR="00F51B27">
          <w:rPr>
            <w:noProof/>
            <w:webHidden/>
          </w:rPr>
        </w:r>
        <w:r w:rsidR="00F51B27">
          <w:rPr>
            <w:noProof/>
            <w:webHidden/>
          </w:rPr>
          <w:fldChar w:fldCharType="separate"/>
        </w:r>
        <w:r w:rsidR="00E40AF3">
          <w:rPr>
            <w:noProof/>
            <w:webHidden/>
          </w:rPr>
          <w:t>497</w:t>
        </w:r>
        <w:r w:rsidR="00F51B27">
          <w:rPr>
            <w:noProof/>
            <w:webHidden/>
          </w:rPr>
          <w:fldChar w:fldCharType="end"/>
        </w:r>
      </w:hyperlink>
    </w:p>
    <w:p w14:paraId="4043AFAA" w14:textId="512342D1" w:rsidR="00F51B27" w:rsidRDefault="0072072F">
      <w:pPr>
        <w:pStyle w:val="Tabledesillustrations"/>
        <w:tabs>
          <w:tab w:val="right" w:leader="dot" w:pos="9062"/>
        </w:tabs>
        <w:rPr>
          <w:rFonts w:asciiTheme="minorHAnsi" w:eastAsiaTheme="minorEastAsia" w:hAnsiTheme="minorHAnsi" w:cstheme="minorBidi"/>
          <w:noProof/>
          <w:kern w:val="2"/>
          <w:sz w:val="24"/>
          <w:szCs w:val="24"/>
          <w:lang w:eastAsia="fr-FR" w:bidi="ar-SA"/>
          <w14:ligatures w14:val="standardContextual"/>
        </w:rPr>
      </w:pPr>
      <w:hyperlink w:anchor="_Toc213404396" w:history="1">
        <w:r w:rsidR="00F51B27" w:rsidRPr="005D19BF">
          <w:rPr>
            <w:rStyle w:val="Lienhypertexte"/>
            <w:noProof/>
          </w:rPr>
          <w:t>Tableau 74 : Profils et responsabilité requis pour la mise en œuvre du PGES en phase d’exploitation</w:t>
        </w:r>
        <w:r w:rsidR="00F51B27">
          <w:rPr>
            <w:noProof/>
            <w:webHidden/>
          </w:rPr>
          <w:tab/>
        </w:r>
        <w:r w:rsidR="00F51B27">
          <w:rPr>
            <w:noProof/>
            <w:webHidden/>
          </w:rPr>
          <w:fldChar w:fldCharType="begin"/>
        </w:r>
        <w:r w:rsidR="00F51B27">
          <w:rPr>
            <w:noProof/>
            <w:webHidden/>
          </w:rPr>
          <w:instrText xml:space="preserve"> PAGEREF _Toc213404396 \h </w:instrText>
        </w:r>
        <w:r w:rsidR="00F51B27">
          <w:rPr>
            <w:noProof/>
            <w:webHidden/>
          </w:rPr>
        </w:r>
        <w:r w:rsidR="00F51B27">
          <w:rPr>
            <w:noProof/>
            <w:webHidden/>
          </w:rPr>
          <w:fldChar w:fldCharType="separate"/>
        </w:r>
        <w:r w:rsidR="00E40AF3">
          <w:rPr>
            <w:noProof/>
            <w:webHidden/>
          </w:rPr>
          <w:t>499</w:t>
        </w:r>
        <w:r w:rsidR="00F51B27">
          <w:rPr>
            <w:noProof/>
            <w:webHidden/>
          </w:rPr>
          <w:fldChar w:fldCharType="end"/>
        </w:r>
      </w:hyperlink>
    </w:p>
    <w:p w14:paraId="7FB6F4AE" w14:textId="14C4CE1E" w:rsidR="00F51B27" w:rsidRDefault="0072072F">
      <w:pPr>
        <w:pStyle w:val="Tabledesillustrations"/>
        <w:tabs>
          <w:tab w:val="right" w:leader="dot" w:pos="9062"/>
        </w:tabs>
        <w:rPr>
          <w:rFonts w:asciiTheme="minorHAnsi" w:eastAsiaTheme="minorEastAsia" w:hAnsiTheme="minorHAnsi" w:cstheme="minorBidi"/>
          <w:noProof/>
          <w:kern w:val="2"/>
          <w:sz w:val="24"/>
          <w:szCs w:val="24"/>
          <w:lang w:eastAsia="fr-FR" w:bidi="ar-SA"/>
          <w14:ligatures w14:val="standardContextual"/>
        </w:rPr>
      </w:pPr>
      <w:hyperlink w:anchor="_Toc213404397" w:history="1">
        <w:r w:rsidR="00F51B27" w:rsidRPr="005D19BF">
          <w:rPr>
            <w:rStyle w:val="Lienhypertexte"/>
            <w:noProof/>
          </w:rPr>
          <w:t>Tableau 75 : Système et fréquence de reporting</w:t>
        </w:r>
        <w:r w:rsidR="00F51B27">
          <w:rPr>
            <w:noProof/>
            <w:webHidden/>
          </w:rPr>
          <w:tab/>
        </w:r>
        <w:r w:rsidR="00F51B27">
          <w:rPr>
            <w:noProof/>
            <w:webHidden/>
          </w:rPr>
          <w:fldChar w:fldCharType="begin"/>
        </w:r>
        <w:r w:rsidR="00F51B27">
          <w:rPr>
            <w:noProof/>
            <w:webHidden/>
          </w:rPr>
          <w:instrText xml:space="preserve"> PAGEREF _Toc213404397 \h </w:instrText>
        </w:r>
        <w:r w:rsidR="00F51B27">
          <w:rPr>
            <w:noProof/>
            <w:webHidden/>
          </w:rPr>
        </w:r>
        <w:r w:rsidR="00F51B27">
          <w:rPr>
            <w:noProof/>
            <w:webHidden/>
          </w:rPr>
          <w:fldChar w:fldCharType="separate"/>
        </w:r>
        <w:r w:rsidR="00E40AF3">
          <w:rPr>
            <w:noProof/>
            <w:webHidden/>
          </w:rPr>
          <w:t>502</w:t>
        </w:r>
        <w:r w:rsidR="00F51B27">
          <w:rPr>
            <w:noProof/>
            <w:webHidden/>
          </w:rPr>
          <w:fldChar w:fldCharType="end"/>
        </w:r>
      </w:hyperlink>
    </w:p>
    <w:p w14:paraId="28D5B4F1" w14:textId="53C59AEF" w:rsidR="00F51B27" w:rsidRDefault="0072072F">
      <w:pPr>
        <w:pStyle w:val="Tabledesillustrations"/>
        <w:tabs>
          <w:tab w:val="right" w:leader="dot" w:pos="9062"/>
        </w:tabs>
        <w:rPr>
          <w:rFonts w:asciiTheme="minorHAnsi" w:eastAsiaTheme="minorEastAsia" w:hAnsiTheme="minorHAnsi" w:cstheme="minorBidi"/>
          <w:noProof/>
          <w:kern w:val="2"/>
          <w:sz w:val="24"/>
          <w:szCs w:val="24"/>
          <w:lang w:eastAsia="fr-FR" w:bidi="ar-SA"/>
          <w14:ligatures w14:val="standardContextual"/>
        </w:rPr>
      </w:pPr>
      <w:hyperlink w:anchor="_Toc213404398" w:history="1">
        <w:r w:rsidR="00F51B27" w:rsidRPr="005D19BF">
          <w:rPr>
            <w:rStyle w:val="Lienhypertexte"/>
            <w:noProof/>
          </w:rPr>
          <w:t>Tableau 76 : Les types de surveillance à mettre en ouvre dans le cadre du projet</w:t>
        </w:r>
        <w:r w:rsidR="00F51B27">
          <w:rPr>
            <w:noProof/>
            <w:webHidden/>
          </w:rPr>
          <w:tab/>
        </w:r>
        <w:r w:rsidR="00F51B27">
          <w:rPr>
            <w:noProof/>
            <w:webHidden/>
          </w:rPr>
          <w:fldChar w:fldCharType="begin"/>
        </w:r>
        <w:r w:rsidR="00F51B27">
          <w:rPr>
            <w:noProof/>
            <w:webHidden/>
          </w:rPr>
          <w:instrText xml:space="preserve"> PAGEREF _Toc213404398 \h </w:instrText>
        </w:r>
        <w:r w:rsidR="00F51B27">
          <w:rPr>
            <w:noProof/>
            <w:webHidden/>
          </w:rPr>
        </w:r>
        <w:r w:rsidR="00F51B27">
          <w:rPr>
            <w:noProof/>
            <w:webHidden/>
          </w:rPr>
          <w:fldChar w:fldCharType="separate"/>
        </w:r>
        <w:r w:rsidR="00E40AF3">
          <w:rPr>
            <w:noProof/>
            <w:webHidden/>
          </w:rPr>
          <w:t>503</w:t>
        </w:r>
        <w:r w:rsidR="00F51B27">
          <w:rPr>
            <w:noProof/>
            <w:webHidden/>
          </w:rPr>
          <w:fldChar w:fldCharType="end"/>
        </w:r>
      </w:hyperlink>
    </w:p>
    <w:p w14:paraId="298B5399" w14:textId="7824A0A8" w:rsidR="00F51B27" w:rsidRDefault="0072072F">
      <w:pPr>
        <w:pStyle w:val="Tabledesillustrations"/>
        <w:tabs>
          <w:tab w:val="right" w:leader="dot" w:pos="9062"/>
        </w:tabs>
        <w:rPr>
          <w:rFonts w:asciiTheme="minorHAnsi" w:eastAsiaTheme="minorEastAsia" w:hAnsiTheme="minorHAnsi" w:cstheme="minorBidi"/>
          <w:noProof/>
          <w:kern w:val="2"/>
          <w:sz w:val="24"/>
          <w:szCs w:val="24"/>
          <w:lang w:eastAsia="fr-FR" w:bidi="ar-SA"/>
          <w14:ligatures w14:val="standardContextual"/>
        </w:rPr>
      </w:pPr>
      <w:hyperlink w:anchor="_Toc213404399" w:history="1">
        <w:r w:rsidR="00F51B27" w:rsidRPr="005D19BF">
          <w:rPr>
            <w:rStyle w:val="Lienhypertexte"/>
            <w:noProof/>
          </w:rPr>
          <w:t>Tableau 77 : Les audits E&amp;S à réaliser dans de la cadre du plan de surveillance du projet</w:t>
        </w:r>
        <w:r w:rsidR="00F51B27">
          <w:rPr>
            <w:noProof/>
            <w:webHidden/>
          </w:rPr>
          <w:tab/>
        </w:r>
        <w:r w:rsidR="00F51B27">
          <w:rPr>
            <w:noProof/>
            <w:webHidden/>
          </w:rPr>
          <w:fldChar w:fldCharType="begin"/>
        </w:r>
        <w:r w:rsidR="00F51B27">
          <w:rPr>
            <w:noProof/>
            <w:webHidden/>
          </w:rPr>
          <w:instrText xml:space="preserve"> PAGEREF _Toc213404399 \h </w:instrText>
        </w:r>
        <w:r w:rsidR="00F51B27">
          <w:rPr>
            <w:noProof/>
            <w:webHidden/>
          </w:rPr>
        </w:r>
        <w:r w:rsidR="00F51B27">
          <w:rPr>
            <w:noProof/>
            <w:webHidden/>
          </w:rPr>
          <w:fldChar w:fldCharType="separate"/>
        </w:r>
        <w:r w:rsidR="00E40AF3">
          <w:rPr>
            <w:noProof/>
            <w:webHidden/>
          </w:rPr>
          <w:t>503</w:t>
        </w:r>
        <w:r w:rsidR="00F51B27">
          <w:rPr>
            <w:noProof/>
            <w:webHidden/>
          </w:rPr>
          <w:fldChar w:fldCharType="end"/>
        </w:r>
      </w:hyperlink>
    </w:p>
    <w:p w14:paraId="6112EA73" w14:textId="2F5AF980" w:rsidR="00F51B27" w:rsidRDefault="0072072F">
      <w:pPr>
        <w:pStyle w:val="Tabledesillustrations"/>
        <w:tabs>
          <w:tab w:val="right" w:leader="dot" w:pos="9062"/>
        </w:tabs>
        <w:rPr>
          <w:rFonts w:asciiTheme="minorHAnsi" w:eastAsiaTheme="minorEastAsia" w:hAnsiTheme="minorHAnsi" w:cstheme="minorBidi"/>
          <w:noProof/>
          <w:kern w:val="2"/>
          <w:sz w:val="24"/>
          <w:szCs w:val="24"/>
          <w:lang w:eastAsia="fr-FR" w:bidi="ar-SA"/>
          <w14:ligatures w14:val="standardContextual"/>
        </w:rPr>
      </w:pPr>
      <w:hyperlink w:anchor="_Toc213404400" w:history="1">
        <w:r w:rsidR="00F51B27" w:rsidRPr="005D19BF">
          <w:rPr>
            <w:rStyle w:val="Lienhypertexte"/>
            <w:noProof/>
          </w:rPr>
          <w:t>Tableau 78 : Programme de suivi environnemental et social — Phase de construction</w:t>
        </w:r>
        <w:r w:rsidR="00F51B27">
          <w:rPr>
            <w:noProof/>
            <w:webHidden/>
          </w:rPr>
          <w:tab/>
        </w:r>
        <w:r w:rsidR="00F51B27">
          <w:rPr>
            <w:noProof/>
            <w:webHidden/>
          </w:rPr>
          <w:fldChar w:fldCharType="begin"/>
        </w:r>
        <w:r w:rsidR="00F51B27">
          <w:rPr>
            <w:noProof/>
            <w:webHidden/>
          </w:rPr>
          <w:instrText xml:space="preserve"> PAGEREF _Toc213404400 \h </w:instrText>
        </w:r>
        <w:r w:rsidR="00F51B27">
          <w:rPr>
            <w:noProof/>
            <w:webHidden/>
          </w:rPr>
        </w:r>
        <w:r w:rsidR="00F51B27">
          <w:rPr>
            <w:noProof/>
            <w:webHidden/>
          </w:rPr>
          <w:fldChar w:fldCharType="separate"/>
        </w:r>
        <w:r w:rsidR="00E40AF3">
          <w:rPr>
            <w:noProof/>
            <w:webHidden/>
          </w:rPr>
          <w:t>505</w:t>
        </w:r>
        <w:r w:rsidR="00F51B27">
          <w:rPr>
            <w:noProof/>
            <w:webHidden/>
          </w:rPr>
          <w:fldChar w:fldCharType="end"/>
        </w:r>
      </w:hyperlink>
    </w:p>
    <w:p w14:paraId="2DB91DC3" w14:textId="201782B5" w:rsidR="00F51B27" w:rsidRDefault="0072072F">
      <w:pPr>
        <w:pStyle w:val="Tabledesillustrations"/>
        <w:tabs>
          <w:tab w:val="right" w:leader="dot" w:pos="9062"/>
        </w:tabs>
        <w:rPr>
          <w:rFonts w:asciiTheme="minorHAnsi" w:eastAsiaTheme="minorEastAsia" w:hAnsiTheme="minorHAnsi" w:cstheme="minorBidi"/>
          <w:noProof/>
          <w:kern w:val="2"/>
          <w:sz w:val="24"/>
          <w:szCs w:val="24"/>
          <w:lang w:eastAsia="fr-FR" w:bidi="ar-SA"/>
          <w14:ligatures w14:val="standardContextual"/>
        </w:rPr>
      </w:pPr>
      <w:hyperlink w:anchor="_Toc213404401" w:history="1">
        <w:r w:rsidR="00F51B27" w:rsidRPr="005D19BF">
          <w:rPr>
            <w:rStyle w:val="Lienhypertexte"/>
            <w:noProof/>
          </w:rPr>
          <w:t>Tableau 79 :Programme de suivi environnemental et social — Phase d’exploitation</w:t>
        </w:r>
        <w:r w:rsidR="00F51B27">
          <w:rPr>
            <w:noProof/>
            <w:webHidden/>
          </w:rPr>
          <w:tab/>
        </w:r>
        <w:r w:rsidR="00F51B27">
          <w:rPr>
            <w:noProof/>
            <w:webHidden/>
          </w:rPr>
          <w:fldChar w:fldCharType="begin"/>
        </w:r>
        <w:r w:rsidR="00F51B27">
          <w:rPr>
            <w:noProof/>
            <w:webHidden/>
          </w:rPr>
          <w:instrText xml:space="preserve"> PAGEREF _Toc213404401 \h </w:instrText>
        </w:r>
        <w:r w:rsidR="00F51B27">
          <w:rPr>
            <w:noProof/>
            <w:webHidden/>
          </w:rPr>
        </w:r>
        <w:r w:rsidR="00F51B27">
          <w:rPr>
            <w:noProof/>
            <w:webHidden/>
          </w:rPr>
          <w:fldChar w:fldCharType="separate"/>
        </w:r>
        <w:r w:rsidR="00E40AF3">
          <w:rPr>
            <w:noProof/>
            <w:webHidden/>
          </w:rPr>
          <w:t>507</w:t>
        </w:r>
        <w:r w:rsidR="00F51B27">
          <w:rPr>
            <w:noProof/>
            <w:webHidden/>
          </w:rPr>
          <w:fldChar w:fldCharType="end"/>
        </w:r>
      </w:hyperlink>
    </w:p>
    <w:p w14:paraId="31B78F77" w14:textId="4D9D51CF" w:rsidR="00F51B27" w:rsidRDefault="0072072F">
      <w:pPr>
        <w:pStyle w:val="Tabledesillustrations"/>
        <w:tabs>
          <w:tab w:val="right" w:leader="dot" w:pos="9062"/>
        </w:tabs>
        <w:rPr>
          <w:rFonts w:asciiTheme="minorHAnsi" w:eastAsiaTheme="minorEastAsia" w:hAnsiTheme="minorHAnsi" w:cstheme="minorBidi"/>
          <w:noProof/>
          <w:kern w:val="2"/>
          <w:sz w:val="24"/>
          <w:szCs w:val="24"/>
          <w:lang w:eastAsia="fr-FR" w:bidi="ar-SA"/>
          <w14:ligatures w14:val="standardContextual"/>
        </w:rPr>
      </w:pPr>
      <w:hyperlink w:anchor="_Toc213404402" w:history="1">
        <w:r w:rsidR="00F51B27" w:rsidRPr="005D19BF">
          <w:rPr>
            <w:rStyle w:val="Lienhypertexte"/>
            <w:noProof/>
          </w:rPr>
          <w:t>Tableau 80 : Estimation des coûts de mise en œuvre du PGES</w:t>
        </w:r>
        <w:r w:rsidR="00F51B27">
          <w:rPr>
            <w:noProof/>
            <w:webHidden/>
          </w:rPr>
          <w:tab/>
        </w:r>
        <w:r w:rsidR="00F51B27">
          <w:rPr>
            <w:noProof/>
            <w:webHidden/>
          </w:rPr>
          <w:fldChar w:fldCharType="begin"/>
        </w:r>
        <w:r w:rsidR="00F51B27">
          <w:rPr>
            <w:noProof/>
            <w:webHidden/>
          </w:rPr>
          <w:instrText xml:space="preserve"> PAGEREF _Toc213404402 \h </w:instrText>
        </w:r>
        <w:r w:rsidR="00F51B27">
          <w:rPr>
            <w:noProof/>
            <w:webHidden/>
          </w:rPr>
        </w:r>
        <w:r w:rsidR="00F51B27">
          <w:rPr>
            <w:noProof/>
            <w:webHidden/>
          </w:rPr>
          <w:fldChar w:fldCharType="separate"/>
        </w:r>
        <w:r w:rsidR="00E40AF3">
          <w:rPr>
            <w:noProof/>
            <w:webHidden/>
          </w:rPr>
          <w:t>516</w:t>
        </w:r>
        <w:r w:rsidR="00F51B27">
          <w:rPr>
            <w:noProof/>
            <w:webHidden/>
          </w:rPr>
          <w:fldChar w:fldCharType="end"/>
        </w:r>
      </w:hyperlink>
    </w:p>
    <w:p w14:paraId="31CFF25A" w14:textId="6A07A8F6" w:rsidR="007A57C1" w:rsidRDefault="00203FB8" w:rsidP="004E044A">
      <w:r>
        <w:fldChar w:fldCharType="end"/>
      </w:r>
    </w:p>
    <w:p w14:paraId="7D1D740B" w14:textId="1191348D" w:rsidR="003A64E1" w:rsidRDefault="003A64E1" w:rsidP="004E044A">
      <w:r>
        <w:br w:type="page"/>
      </w:r>
    </w:p>
    <w:p w14:paraId="4B9A8F1D" w14:textId="77777777" w:rsidR="00E94185" w:rsidRDefault="003A64E1" w:rsidP="003A64E1">
      <w:pPr>
        <w:pStyle w:val="Titre1"/>
      </w:pPr>
      <w:bookmarkStart w:id="6" w:name="_Toc215131753"/>
      <w:r>
        <w:lastRenderedPageBreak/>
        <w:t>Liste de figures</w:t>
      </w:r>
      <w:bookmarkEnd w:id="6"/>
    </w:p>
    <w:p w14:paraId="1127606F" w14:textId="060ECD7F" w:rsidR="00F51B27" w:rsidRDefault="00283F23">
      <w:pPr>
        <w:pStyle w:val="Tabledesillustrations"/>
        <w:tabs>
          <w:tab w:val="right" w:leader="dot" w:pos="9062"/>
        </w:tabs>
        <w:rPr>
          <w:rFonts w:asciiTheme="minorHAnsi" w:eastAsiaTheme="minorEastAsia" w:hAnsiTheme="minorHAnsi" w:cstheme="minorBidi"/>
          <w:noProof/>
          <w:kern w:val="2"/>
          <w:sz w:val="24"/>
          <w:szCs w:val="24"/>
          <w:lang w:eastAsia="fr-FR" w:bidi="ar-SA"/>
          <w14:ligatures w14:val="standardContextual"/>
        </w:rPr>
      </w:pPr>
      <w:r>
        <w:rPr>
          <w:noProof/>
          <w:u w:val="single"/>
        </w:rPr>
        <w:fldChar w:fldCharType="begin"/>
      </w:r>
      <w:r>
        <w:rPr>
          <w:noProof/>
          <w:u w:val="single"/>
        </w:rPr>
        <w:instrText xml:space="preserve"> TOC \h \z \c "Figure" </w:instrText>
      </w:r>
      <w:r>
        <w:rPr>
          <w:noProof/>
          <w:u w:val="single"/>
        </w:rPr>
        <w:fldChar w:fldCharType="separate"/>
      </w:r>
      <w:hyperlink w:anchor="_Toc213404403" w:history="1">
        <w:r w:rsidR="00F51B27" w:rsidRPr="00B65D4F">
          <w:rPr>
            <w:rStyle w:val="Lienhypertexte"/>
            <w:noProof/>
          </w:rPr>
          <w:t>Figure 1</w:t>
        </w:r>
        <w:r w:rsidR="00F51B27" w:rsidRPr="00B65D4F">
          <w:rPr>
            <w:rStyle w:val="Lienhypertexte"/>
            <w:noProof/>
            <w:lang w:val="fr-MA"/>
          </w:rPr>
          <w:t>:  Délimitation de la zone d’étude</w:t>
        </w:r>
        <w:r w:rsidR="00F51B27">
          <w:rPr>
            <w:noProof/>
            <w:webHidden/>
          </w:rPr>
          <w:tab/>
        </w:r>
        <w:r w:rsidR="00F51B27">
          <w:rPr>
            <w:noProof/>
            <w:webHidden/>
          </w:rPr>
          <w:fldChar w:fldCharType="begin"/>
        </w:r>
        <w:r w:rsidR="00F51B27">
          <w:rPr>
            <w:noProof/>
            <w:webHidden/>
          </w:rPr>
          <w:instrText xml:space="preserve"> PAGEREF _Toc213404403 \h </w:instrText>
        </w:r>
        <w:r w:rsidR="00F51B27">
          <w:rPr>
            <w:noProof/>
            <w:webHidden/>
          </w:rPr>
        </w:r>
        <w:r w:rsidR="00F51B27">
          <w:rPr>
            <w:noProof/>
            <w:webHidden/>
          </w:rPr>
          <w:fldChar w:fldCharType="separate"/>
        </w:r>
        <w:r w:rsidR="00E40AF3">
          <w:rPr>
            <w:noProof/>
            <w:webHidden/>
          </w:rPr>
          <w:t>127</w:t>
        </w:r>
        <w:r w:rsidR="00F51B27">
          <w:rPr>
            <w:noProof/>
            <w:webHidden/>
          </w:rPr>
          <w:fldChar w:fldCharType="end"/>
        </w:r>
      </w:hyperlink>
    </w:p>
    <w:p w14:paraId="2EAB3726" w14:textId="5D762810" w:rsidR="00F51B27" w:rsidRDefault="0072072F">
      <w:pPr>
        <w:pStyle w:val="Tabledesillustrations"/>
        <w:tabs>
          <w:tab w:val="right" w:leader="dot" w:pos="9062"/>
        </w:tabs>
        <w:rPr>
          <w:rFonts w:asciiTheme="minorHAnsi" w:eastAsiaTheme="minorEastAsia" w:hAnsiTheme="minorHAnsi" w:cstheme="minorBidi"/>
          <w:noProof/>
          <w:kern w:val="2"/>
          <w:sz w:val="24"/>
          <w:szCs w:val="24"/>
          <w:lang w:eastAsia="fr-FR" w:bidi="ar-SA"/>
          <w14:ligatures w14:val="standardContextual"/>
        </w:rPr>
      </w:pPr>
      <w:hyperlink w:anchor="_Toc213404404" w:history="1">
        <w:r w:rsidR="00F51B27" w:rsidRPr="00B65D4F">
          <w:rPr>
            <w:rStyle w:val="Lienhypertexte"/>
            <w:noProof/>
          </w:rPr>
          <w:t>Figure 2: Carte de plan de situation</w:t>
        </w:r>
        <w:r w:rsidR="00F51B27">
          <w:rPr>
            <w:noProof/>
            <w:webHidden/>
          </w:rPr>
          <w:tab/>
        </w:r>
        <w:r w:rsidR="00F51B27">
          <w:rPr>
            <w:noProof/>
            <w:webHidden/>
          </w:rPr>
          <w:fldChar w:fldCharType="begin"/>
        </w:r>
        <w:r w:rsidR="00F51B27">
          <w:rPr>
            <w:noProof/>
            <w:webHidden/>
          </w:rPr>
          <w:instrText xml:space="preserve"> PAGEREF _Toc213404404 \h </w:instrText>
        </w:r>
        <w:r w:rsidR="00F51B27">
          <w:rPr>
            <w:noProof/>
            <w:webHidden/>
          </w:rPr>
        </w:r>
        <w:r w:rsidR="00F51B27">
          <w:rPr>
            <w:noProof/>
            <w:webHidden/>
          </w:rPr>
          <w:fldChar w:fldCharType="separate"/>
        </w:r>
        <w:r w:rsidR="00E40AF3">
          <w:rPr>
            <w:noProof/>
            <w:webHidden/>
          </w:rPr>
          <w:t>129</w:t>
        </w:r>
        <w:r w:rsidR="00F51B27">
          <w:rPr>
            <w:noProof/>
            <w:webHidden/>
          </w:rPr>
          <w:fldChar w:fldCharType="end"/>
        </w:r>
      </w:hyperlink>
    </w:p>
    <w:p w14:paraId="796F88D0" w14:textId="76577CD5" w:rsidR="00F51B27" w:rsidRDefault="0072072F">
      <w:pPr>
        <w:pStyle w:val="Tabledesillustrations"/>
        <w:tabs>
          <w:tab w:val="right" w:leader="dot" w:pos="9062"/>
        </w:tabs>
        <w:rPr>
          <w:rFonts w:asciiTheme="minorHAnsi" w:eastAsiaTheme="minorEastAsia" w:hAnsiTheme="minorHAnsi" w:cstheme="minorBidi"/>
          <w:noProof/>
          <w:kern w:val="2"/>
          <w:sz w:val="24"/>
          <w:szCs w:val="24"/>
          <w:lang w:eastAsia="fr-FR" w:bidi="ar-SA"/>
          <w14:ligatures w14:val="standardContextual"/>
        </w:rPr>
      </w:pPr>
      <w:hyperlink w:anchor="_Toc213404405" w:history="1">
        <w:r w:rsidR="00F51B27" w:rsidRPr="00B65D4F">
          <w:rPr>
            <w:rStyle w:val="Lienhypertexte"/>
            <w:noProof/>
          </w:rPr>
          <w:t>Figure 3: La température moyenne quotidienne maximale (ligne rouge) et minimale (ligne bleue) pour la période de 2023-2024. Les fines lignes pointillées sont les températures moyennes perçues correspondantes.</w:t>
        </w:r>
        <w:r w:rsidR="00F51B27">
          <w:rPr>
            <w:noProof/>
            <w:webHidden/>
          </w:rPr>
          <w:tab/>
        </w:r>
        <w:r w:rsidR="00F51B27">
          <w:rPr>
            <w:noProof/>
            <w:webHidden/>
          </w:rPr>
          <w:fldChar w:fldCharType="begin"/>
        </w:r>
        <w:r w:rsidR="00F51B27">
          <w:rPr>
            <w:noProof/>
            <w:webHidden/>
          </w:rPr>
          <w:instrText xml:space="preserve"> PAGEREF _Toc213404405 \h </w:instrText>
        </w:r>
        <w:r w:rsidR="00F51B27">
          <w:rPr>
            <w:noProof/>
            <w:webHidden/>
          </w:rPr>
        </w:r>
        <w:r w:rsidR="00F51B27">
          <w:rPr>
            <w:noProof/>
            <w:webHidden/>
          </w:rPr>
          <w:fldChar w:fldCharType="separate"/>
        </w:r>
        <w:r w:rsidR="00E40AF3">
          <w:rPr>
            <w:noProof/>
            <w:webHidden/>
          </w:rPr>
          <w:t>130</w:t>
        </w:r>
        <w:r w:rsidR="00F51B27">
          <w:rPr>
            <w:noProof/>
            <w:webHidden/>
          </w:rPr>
          <w:fldChar w:fldCharType="end"/>
        </w:r>
      </w:hyperlink>
    </w:p>
    <w:p w14:paraId="46E095DD" w14:textId="4A9FCAD1" w:rsidR="00F51B27" w:rsidRDefault="0072072F">
      <w:pPr>
        <w:pStyle w:val="Tabledesillustrations"/>
        <w:tabs>
          <w:tab w:val="right" w:leader="dot" w:pos="9062"/>
        </w:tabs>
        <w:rPr>
          <w:rFonts w:asciiTheme="minorHAnsi" w:eastAsiaTheme="minorEastAsia" w:hAnsiTheme="minorHAnsi" w:cstheme="minorBidi"/>
          <w:noProof/>
          <w:kern w:val="2"/>
          <w:sz w:val="24"/>
          <w:szCs w:val="24"/>
          <w:lang w:eastAsia="fr-FR" w:bidi="ar-SA"/>
          <w14:ligatures w14:val="standardContextual"/>
        </w:rPr>
      </w:pPr>
      <w:hyperlink w:anchor="_Toc213404406" w:history="1">
        <w:r w:rsidR="00F51B27" w:rsidRPr="00B65D4F">
          <w:rPr>
            <w:rStyle w:val="Lienhypertexte"/>
            <w:noProof/>
          </w:rPr>
          <w:t>Figure 4 : Température horaire moyenne à l'aéroport Marrakech Ménara</w:t>
        </w:r>
        <w:r w:rsidR="00F51B27">
          <w:rPr>
            <w:noProof/>
            <w:webHidden/>
          </w:rPr>
          <w:tab/>
        </w:r>
        <w:r w:rsidR="00F51B27">
          <w:rPr>
            <w:noProof/>
            <w:webHidden/>
          </w:rPr>
          <w:fldChar w:fldCharType="begin"/>
        </w:r>
        <w:r w:rsidR="00F51B27">
          <w:rPr>
            <w:noProof/>
            <w:webHidden/>
          </w:rPr>
          <w:instrText xml:space="preserve"> PAGEREF _Toc213404406 \h </w:instrText>
        </w:r>
        <w:r w:rsidR="00F51B27">
          <w:rPr>
            <w:noProof/>
            <w:webHidden/>
          </w:rPr>
        </w:r>
        <w:r w:rsidR="00F51B27">
          <w:rPr>
            <w:noProof/>
            <w:webHidden/>
          </w:rPr>
          <w:fldChar w:fldCharType="separate"/>
        </w:r>
        <w:r w:rsidR="00E40AF3">
          <w:rPr>
            <w:noProof/>
            <w:webHidden/>
          </w:rPr>
          <w:t>131</w:t>
        </w:r>
        <w:r w:rsidR="00F51B27">
          <w:rPr>
            <w:noProof/>
            <w:webHidden/>
          </w:rPr>
          <w:fldChar w:fldCharType="end"/>
        </w:r>
      </w:hyperlink>
    </w:p>
    <w:p w14:paraId="30E21454" w14:textId="52E3E85A" w:rsidR="00F51B27" w:rsidRDefault="0072072F">
      <w:pPr>
        <w:pStyle w:val="Tabledesillustrations"/>
        <w:tabs>
          <w:tab w:val="right" w:leader="dot" w:pos="9062"/>
        </w:tabs>
        <w:rPr>
          <w:rFonts w:asciiTheme="minorHAnsi" w:eastAsiaTheme="minorEastAsia" w:hAnsiTheme="minorHAnsi" w:cstheme="minorBidi"/>
          <w:noProof/>
          <w:kern w:val="2"/>
          <w:sz w:val="24"/>
          <w:szCs w:val="24"/>
          <w:lang w:eastAsia="fr-FR" w:bidi="ar-SA"/>
          <w14:ligatures w14:val="standardContextual"/>
        </w:rPr>
      </w:pPr>
      <w:hyperlink w:anchor="_Toc213404407" w:history="1">
        <w:r w:rsidR="00F51B27" w:rsidRPr="00B65D4F">
          <w:rPr>
            <w:rStyle w:val="Lienhypertexte"/>
            <w:noProof/>
          </w:rPr>
          <w:t>Figure 5 : Heures de clarté et crépuscule à l'aéroport Marrakech Ménara</w:t>
        </w:r>
        <w:r w:rsidR="00F51B27">
          <w:rPr>
            <w:noProof/>
            <w:webHidden/>
          </w:rPr>
          <w:tab/>
        </w:r>
        <w:r w:rsidR="00F51B27">
          <w:rPr>
            <w:noProof/>
            <w:webHidden/>
          </w:rPr>
          <w:fldChar w:fldCharType="begin"/>
        </w:r>
        <w:r w:rsidR="00F51B27">
          <w:rPr>
            <w:noProof/>
            <w:webHidden/>
          </w:rPr>
          <w:instrText xml:space="preserve"> PAGEREF _Toc213404407 \h </w:instrText>
        </w:r>
        <w:r w:rsidR="00F51B27">
          <w:rPr>
            <w:noProof/>
            <w:webHidden/>
          </w:rPr>
        </w:r>
        <w:r w:rsidR="00F51B27">
          <w:rPr>
            <w:noProof/>
            <w:webHidden/>
          </w:rPr>
          <w:fldChar w:fldCharType="separate"/>
        </w:r>
        <w:r w:rsidR="00E40AF3">
          <w:rPr>
            <w:noProof/>
            <w:webHidden/>
          </w:rPr>
          <w:t>131</w:t>
        </w:r>
        <w:r w:rsidR="00F51B27">
          <w:rPr>
            <w:noProof/>
            <w:webHidden/>
          </w:rPr>
          <w:fldChar w:fldCharType="end"/>
        </w:r>
      </w:hyperlink>
    </w:p>
    <w:p w14:paraId="6C32BA92" w14:textId="6D56B83C" w:rsidR="00F51B27" w:rsidRDefault="0072072F">
      <w:pPr>
        <w:pStyle w:val="Tabledesillustrations"/>
        <w:tabs>
          <w:tab w:val="right" w:leader="dot" w:pos="9062"/>
        </w:tabs>
        <w:rPr>
          <w:rFonts w:asciiTheme="minorHAnsi" w:eastAsiaTheme="minorEastAsia" w:hAnsiTheme="minorHAnsi" w:cstheme="minorBidi"/>
          <w:noProof/>
          <w:kern w:val="2"/>
          <w:sz w:val="24"/>
          <w:szCs w:val="24"/>
          <w:lang w:eastAsia="fr-FR" w:bidi="ar-SA"/>
          <w14:ligatures w14:val="standardContextual"/>
        </w:rPr>
      </w:pPr>
      <w:hyperlink w:anchor="_Toc213404408" w:history="1">
        <w:r w:rsidR="00F51B27" w:rsidRPr="00B65D4F">
          <w:rPr>
            <w:rStyle w:val="Lienhypertexte"/>
            <w:noProof/>
          </w:rPr>
          <w:t>Figure 6: Le pourcentage de jours durant lesquels divers types de précipitation sont observés, excepté les quantités traces : pluie seulement, neige seulement et mélange pour la période 2023-2024 (de la pluie et de la neige sont tombées au cours de la même journée)</w:t>
        </w:r>
        <w:r w:rsidR="00F51B27">
          <w:rPr>
            <w:noProof/>
            <w:webHidden/>
          </w:rPr>
          <w:tab/>
        </w:r>
        <w:r w:rsidR="00F51B27">
          <w:rPr>
            <w:noProof/>
            <w:webHidden/>
          </w:rPr>
          <w:fldChar w:fldCharType="begin"/>
        </w:r>
        <w:r w:rsidR="00F51B27">
          <w:rPr>
            <w:noProof/>
            <w:webHidden/>
          </w:rPr>
          <w:instrText xml:space="preserve"> PAGEREF _Toc213404408 \h </w:instrText>
        </w:r>
        <w:r w:rsidR="00F51B27">
          <w:rPr>
            <w:noProof/>
            <w:webHidden/>
          </w:rPr>
        </w:r>
        <w:r w:rsidR="00F51B27">
          <w:rPr>
            <w:noProof/>
            <w:webHidden/>
          </w:rPr>
          <w:fldChar w:fldCharType="separate"/>
        </w:r>
        <w:r w:rsidR="00E40AF3">
          <w:rPr>
            <w:noProof/>
            <w:webHidden/>
          </w:rPr>
          <w:t>132</w:t>
        </w:r>
        <w:r w:rsidR="00F51B27">
          <w:rPr>
            <w:noProof/>
            <w:webHidden/>
          </w:rPr>
          <w:fldChar w:fldCharType="end"/>
        </w:r>
      </w:hyperlink>
    </w:p>
    <w:p w14:paraId="712C6DFE" w14:textId="4F9215AD" w:rsidR="00F51B27" w:rsidRDefault="0072072F">
      <w:pPr>
        <w:pStyle w:val="Tabledesillustrations"/>
        <w:tabs>
          <w:tab w:val="right" w:leader="dot" w:pos="9062"/>
        </w:tabs>
        <w:rPr>
          <w:rFonts w:asciiTheme="minorHAnsi" w:eastAsiaTheme="minorEastAsia" w:hAnsiTheme="minorHAnsi" w:cstheme="minorBidi"/>
          <w:noProof/>
          <w:kern w:val="2"/>
          <w:sz w:val="24"/>
          <w:szCs w:val="24"/>
          <w:lang w:eastAsia="fr-FR" w:bidi="ar-SA"/>
          <w14:ligatures w14:val="standardContextual"/>
        </w:rPr>
      </w:pPr>
      <w:hyperlink w:anchor="_Toc213404409" w:history="1">
        <w:r w:rsidR="00F51B27" w:rsidRPr="00B65D4F">
          <w:rPr>
            <w:rStyle w:val="Lienhypertexte"/>
            <w:noProof/>
          </w:rPr>
          <w:t>Figure 7: La quantité de pluie moyenne (ligne continue) accumulée au cours d'une période glissante de 31 jours pour la période 2023-2024. La fine ligne pointillée représente la chute de neige</w:t>
        </w:r>
        <w:r w:rsidR="00F51B27">
          <w:rPr>
            <w:noProof/>
            <w:webHidden/>
          </w:rPr>
          <w:tab/>
        </w:r>
        <w:r w:rsidR="00F51B27">
          <w:rPr>
            <w:noProof/>
            <w:webHidden/>
          </w:rPr>
          <w:fldChar w:fldCharType="begin"/>
        </w:r>
        <w:r w:rsidR="00F51B27">
          <w:rPr>
            <w:noProof/>
            <w:webHidden/>
          </w:rPr>
          <w:instrText xml:space="preserve"> PAGEREF _Toc213404409 \h </w:instrText>
        </w:r>
        <w:r w:rsidR="00F51B27">
          <w:rPr>
            <w:noProof/>
            <w:webHidden/>
          </w:rPr>
        </w:r>
        <w:r w:rsidR="00F51B27">
          <w:rPr>
            <w:noProof/>
            <w:webHidden/>
          </w:rPr>
          <w:fldChar w:fldCharType="separate"/>
        </w:r>
        <w:r w:rsidR="00E40AF3">
          <w:rPr>
            <w:noProof/>
            <w:webHidden/>
          </w:rPr>
          <w:t>133</w:t>
        </w:r>
        <w:r w:rsidR="00F51B27">
          <w:rPr>
            <w:noProof/>
            <w:webHidden/>
          </w:rPr>
          <w:fldChar w:fldCharType="end"/>
        </w:r>
      </w:hyperlink>
    </w:p>
    <w:p w14:paraId="5084AC53" w14:textId="34E6C7BB" w:rsidR="00F51B27" w:rsidRDefault="0072072F">
      <w:pPr>
        <w:pStyle w:val="Tabledesillustrations"/>
        <w:tabs>
          <w:tab w:val="right" w:leader="dot" w:pos="9062"/>
        </w:tabs>
        <w:rPr>
          <w:rFonts w:asciiTheme="minorHAnsi" w:eastAsiaTheme="minorEastAsia" w:hAnsiTheme="minorHAnsi" w:cstheme="minorBidi"/>
          <w:noProof/>
          <w:kern w:val="2"/>
          <w:sz w:val="24"/>
          <w:szCs w:val="24"/>
          <w:lang w:eastAsia="fr-FR" w:bidi="ar-SA"/>
          <w14:ligatures w14:val="standardContextual"/>
        </w:rPr>
      </w:pPr>
      <w:hyperlink w:anchor="_Toc213404410" w:history="1">
        <w:r w:rsidR="00F51B27" w:rsidRPr="00B65D4F">
          <w:rPr>
            <w:rStyle w:val="Lienhypertexte"/>
            <w:noProof/>
          </w:rPr>
          <w:t>Figure 8: Le pourcentage de temps passé dans divers niveaux de confort selon l'humidité, catégorisés par le point de rosée pour la période 2023-2024</w:t>
        </w:r>
        <w:r w:rsidR="00F51B27">
          <w:rPr>
            <w:noProof/>
            <w:webHidden/>
          </w:rPr>
          <w:tab/>
        </w:r>
        <w:r w:rsidR="00F51B27">
          <w:rPr>
            <w:noProof/>
            <w:webHidden/>
          </w:rPr>
          <w:fldChar w:fldCharType="begin"/>
        </w:r>
        <w:r w:rsidR="00F51B27">
          <w:rPr>
            <w:noProof/>
            <w:webHidden/>
          </w:rPr>
          <w:instrText xml:space="preserve"> PAGEREF _Toc213404410 \h </w:instrText>
        </w:r>
        <w:r w:rsidR="00F51B27">
          <w:rPr>
            <w:noProof/>
            <w:webHidden/>
          </w:rPr>
        </w:r>
        <w:r w:rsidR="00F51B27">
          <w:rPr>
            <w:noProof/>
            <w:webHidden/>
          </w:rPr>
          <w:fldChar w:fldCharType="separate"/>
        </w:r>
        <w:r w:rsidR="00E40AF3">
          <w:rPr>
            <w:noProof/>
            <w:webHidden/>
          </w:rPr>
          <w:t>134</w:t>
        </w:r>
        <w:r w:rsidR="00F51B27">
          <w:rPr>
            <w:noProof/>
            <w:webHidden/>
          </w:rPr>
          <w:fldChar w:fldCharType="end"/>
        </w:r>
      </w:hyperlink>
    </w:p>
    <w:p w14:paraId="0CD3BA28" w14:textId="628D4390" w:rsidR="00F51B27" w:rsidRDefault="0072072F">
      <w:pPr>
        <w:pStyle w:val="Tabledesillustrations"/>
        <w:tabs>
          <w:tab w:val="right" w:leader="dot" w:pos="9062"/>
        </w:tabs>
        <w:rPr>
          <w:rFonts w:asciiTheme="minorHAnsi" w:eastAsiaTheme="minorEastAsia" w:hAnsiTheme="minorHAnsi" w:cstheme="minorBidi"/>
          <w:noProof/>
          <w:kern w:val="2"/>
          <w:sz w:val="24"/>
          <w:szCs w:val="24"/>
          <w:lang w:eastAsia="fr-FR" w:bidi="ar-SA"/>
          <w14:ligatures w14:val="standardContextual"/>
        </w:rPr>
      </w:pPr>
      <w:hyperlink w:anchor="_Toc213404411" w:history="1">
        <w:r w:rsidR="00F51B27" w:rsidRPr="00B65D4F">
          <w:rPr>
            <w:rStyle w:val="Lienhypertexte"/>
            <w:noProof/>
          </w:rPr>
          <w:t>Figure 9: La moyenne des vitesses des vents moyens horaires (ligne gris foncé) pour la période 2023-2024</w:t>
        </w:r>
        <w:r w:rsidR="00F51B27">
          <w:rPr>
            <w:noProof/>
            <w:webHidden/>
          </w:rPr>
          <w:tab/>
        </w:r>
        <w:r w:rsidR="00F51B27">
          <w:rPr>
            <w:noProof/>
            <w:webHidden/>
          </w:rPr>
          <w:fldChar w:fldCharType="begin"/>
        </w:r>
        <w:r w:rsidR="00F51B27">
          <w:rPr>
            <w:noProof/>
            <w:webHidden/>
          </w:rPr>
          <w:instrText xml:space="preserve"> PAGEREF _Toc213404411 \h </w:instrText>
        </w:r>
        <w:r w:rsidR="00F51B27">
          <w:rPr>
            <w:noProof/>
            <w:webHidden/>
          </w:rPr>
        </w:r>
        <w:r w:rsidR="00F51B27">
          <w:rPr>
            <w:noProof/>
            <w:webHidden/>
          </w:rPr>
          <w:fldChar w:fldCharType="separate"/>
        </w:r>
        <w:r w:rsidR="00E40AF3">
          <w:rPr>
            <w:noProof/>
            <w:webHidden/>
          </w:rPr>
          <w:t>135</w:t>
        </w:r>
        <w:r w:rsidR="00F51B27">
          <w:rPr>
            <w:noProof/>
            <w:webHidden/>
          </w:rPr>
          <w:fldChar w:fldCharType="end"/>
        </w:r>
      </w:hyperlink>
    </w:p>
    <w:p w14:paraId="31994761" w14:textId="3C0056A1" w:rsidR="00F51B27" w:rsidRDefault="0072072F">
      <w:pPr>
        <w:pStyle w:val="Tabledesillustrations"/>
        <w:tabs>
          <w:tab w:val="right" w:leader="dot" w:pos="9062"/>
        </w:tabs>
        <w:rPr>
          <w:rFonts w:asciiTheme="minorHAnsi" w:eastAsiaTheme="minorEastAsia" w:hAnsiTheme="minorHAnsi" w:cstheme="minorBidi"/>
          <w:noProof/>
          <w:kern w:val="2"/>
          <w:sz w:val="24"/>
          <w:szCs w:val="24"/>
          <w:lang w:eastAsia="fr-FR" w:bidi="ar-SA"/>
          <w14:ligatures w14:val="standardContextual"/>
        </w:rPr>
      </w:pPr>
      <w:hyperlink w:anchor="_Toc213404412" w:history="1">
        <w:r w:rsidR="00F51B27" w:rsidRPr="00B65D4F">
          <w:rPr>
            <w:rStyle w:val="Lienhypertexte"/>
            <w:noProof/>
          </w:rPr>
          <w:t>Figure 10:</w:t>
        </w:r>
        <w:r w:rsidR="00F51B27" w:rsidRPr="00B65D4F">
          <w:rPr>
            <w:rStyle w:val="Lienhypertexte"/>
            <w:noProof/>
            <w:lang w:eastAsia="zh-CN"/>
          </w:rPr>
          <w:t xml:space="preserve"> </w:t>
        </w:r>
        <w:r w:rsidR="00F51B27" w:rsidRPr="00B65D4F">
          <w:rPr>
            <w:rStyle w:val="Lienhypertexte"/>
            <w:noProof/>
          </w:rPr>
          <w:t>Rose des vents – Marrakech Ménara</w:t>
        </w:r>
        <w:r w:rsidR="00F51B27">
          <w:rPr>
            <w:noProof/>
            <w:webHidden/>
          </w:rPr>
          <w:tab/>
        </w:r>
        <w:r w:rsidR="00F51B27">
          <w:rPr>
            <w:noProof/>
            <w:webHidden/>
          </w:rPr>
          <w:fldChar w:fldCharType="begin"/>
        </w:r>
        <w:r w:rsidR="00F51B27">
          <w:rPr>
            <w:noProof/>
            <w:webHidden/>
          </w:rPr>
          <w:instrText xml:space="preserve"> PAGEREF _Toc213404412 \h </w:instrText>
        </w:r>
        <w:r w:rsidR="00F51B27">
          <w:rPr>
            <w:noProof/>
            <w:webHidden/>
          </w:rPr>
        </w:r>
        <w:r w:rsidR="00F51B27">
          <w:rPr>
            <w:noProof/>
            <w:webHidden/>
          </w:rPr>
          <w:fldChar w:fldCharType="separate"/>
        </w:r>
        <w:r w:rsidR="00E40AF3">
          <w:rPr>
            <w:noProof/>
            <w:webHidden/>
          </w:rPr>
          <w:t>135</w:t>
        </w:r>
        <w:r w:rsidR="00F51B27">
          <w:rPr>
            <w:noProof/>
            <w:webHidden/>
          </w:rPr>
          <w:fldChar w:fldCharType="end"/>
        </w:r>
      </w:hyperlink>
    </w:p>
    <w:p w14:paraId="60542C94" w14:textId="69531D7C" w:rsidR="00F51B27" w:rsidRDefault="0072072F">
      <w:pPr>
        <w:pStyle w:val="Tabledesillustrations"/>
        <w:tabs>
          <w:tab w:val="right" w:leader="dot" w:pos="9062"/>
        </w:tabs>
        <w:rPr>
          <w:rFonts w:asciiTheme="minorHAnsi" w:eastAsiaTheme="minorEastAsia" w:hAnsiTheme="minorHAnsi" w:cstheme="minorBidi"/>
          <w:noProof/>
          <w:kern w:val="2"/>
          <w:sz w:val="24"/>
          <w:szCs w:val="24"/>
          <w:lang w:eastAsia="fr-FR" w:bidi="ar-SA"/>
          <w14:ligatures w14:val="standardContextual"/>
        </w:rPr>
      </w:pPr>
      <w:hyperlink w:anchor="_Toc213404413" w:history="1">
        <w:r w:rsidR="00F51B27" w:rsidRPr="00B65D4F">
          <w:rPr>
            <w:rStyle w:val="Lienhypertexte"/>
            <w:noProof/>
          </w:rPr>
          <w:t>Figure 11 : Carte des pentes au niveau de la zone d’étude</w:t>
        </w:r>
        <w:r w:rsidR="00F51B27">
          <w:rPr>
            <w:noProof/>
            <w:webHidden/>
          </w:rPr>
          <w:tab/>
        </w:r>
        <w:r w:rsidR="00F51B27">
          <w:rPr>
            <w:noProof/>
            <w:webHidden/>
          </w:rPr>
          <w:fldChar w:fldCharType="begin"/>
        </w:r>
        <w:r w:rsidR="00F51B27">
          <w:rPr>
            <w:noProof/>
            <w:webHidden/>
          </w:rPr>
          <w:instrText xml:space="preserve"> PAGEREF _Toc213404413 \h </w:instrText>
        </w:r>
        <w:r w:rsidR="00F51B27">
          <w:rPr>
            <w:noProof/>
            <w:webHidden/>
          </w:rPr>
        </w:r>
        <w:r w:rsidR="00F51B27">
          <w:rPr>
            <w:noProof/>
            <w:webHidden/>
          </w:rPr>
          <w:fldChar w:fldCharType="separate"/>
        </w:r>
        <w:r w:rsidR="00E40AF3">
          <w:rPr>
            <w:noProof/>
            <w:webHidden/>
          </w:rPr>
          <w:t>136</w:t>
        </w:r>
        <w:r w:rsidR="00F51B27">
          <w:rPr>
            <w:noProof/>
            <w:webHidden/>
          </w:rPr>
          <w:fldChar w:fldCharType="end"/>
        </w:r>
      </w:hyperlink>
    </w:p>
    <w:p w14:paraId="183F0987" w14:textId="41535EAC" w:rsidR="00F51B27" w:rsidRDefault="0072072F">
      <w:pPr>
        <w:pStyle w:val="Tabledesillustrations"/>
        <w:tabs>
          <w:tab w:val="right" w:leader="dot" w:pos="9062"/>
        </w:tabs>
        <w:rPr>
          <w:rFonts w:asciiTheme="minorHAnsi" w:eastAsiaTheme="minorEastAsia" w:hAnsiTheme="minorHAnsi" w:cstheme="minorBidi"/>
          <w:noProof/>
          <w:kern w:val="2"/>
          <w:sz w:val="24"/>
          <w:szCs w:val="24"/>
          <w:lang w:eastAsia="fr-FR" w:bidi="ar-SA"/>
          <w14:ligatures w14:val="standardContextual"/>
        </w:rPr>
      </w:pPr>
      <w:hyperlink w:anchor="_Toc213404414" w:history="1">
        <w:r w:rsidR="00F51B27" w:rsidRPr="00B65D4F">
          <w:rPr>
            <w:rStyle w:val="Lienhypertexte"/>
            <w:noProof/>
          </w:rPr>
          <w:t>Figure 12 : Coupes litho stratigraphique</w:t>
        </w:r>
        <w:r w:rsidR="00F51B27">
          <w:rPr>
            <w:noProof/>
            <w:webHidden/>
          </w:rPr>
          <w:tab/>
        </w:r>
        <w:r w:rsidR="00F51B27">
          <w:rPr>
            <w:noProof/>
            <w:webHidden/>
          </w:rPr>
          <w:fldChar w:fldCharType="begin"/>
        </w:r>
        <w:r w:rsidR="00F51B27">
          <w:rPr>
            <w:noProof/>
            <w:webHidden/>
          </w:rPr>
          <w:instrText xml:space="preserve"> PAGEREF _Toc213404414 \h </w:instrText>
        </w:r>
        <w:r w:rsidR="00F51B27">
          <w:rPr>
            <w:noProof/>
            <w:webHidden/>
          </w:rPr>
        </w:r>
        <w:r w:rsidR="00F51B27">
          <w:rPr>
            <w:noProof/>
            <w:webHidden/>
          </w:rPr>
          <w:fldChar w:fldCharType="separate"/>
        </w:r>
        <w:r w:rsidR="00E40AF3">
          <w:rPr>
            <w:noProof/>
            <w:webHidden/>
          </w:rPr>
          <w:t>137</w:t>
        </w:r>
        <w:r w:rsidR="00F51B27">
          <w:rPr>
            <w:noProof/>
            <w:webHidden/>
          </w:rPr>
          <w:fldChar w:fldCharType="end"/>
        </w:r>
      </w:hyperlink>
    </w:p>
    <w:p w14:paraId="455D38C4" w14:textId="4696A5CF" w:rsidR="00F51B27" w:rsidRDefault="0072072F">
      <w:pPr>
        <w:pStyle w:val="Tabledesillustrations"/>
        <w:tabs>
          <w:tab w:val="right" w:leader="dot" w:pos="9062"/>
        </w:tabs>
        <w:rPr>
          <w:rFonts w:asciiTheme="minorHAnsi" w:eastAsiaTheme="minorEastAsia" w:hAnsiTheme="minorHAnsi" w:cstheme="minorBidi"/>
          <w:noProof/>
          <w:kern w:val="2"/>
          <w:sz w:val="24"/>
          <w:szCs w:val="24"/>
          <w:lang w:eastAsia="fr-FR" w:bidi="ar-SA"/>
          <w14:ligatures w14:val="standardContextual"/>
        </w:rPr>
      </w:pPr>
      <w:hyperlink w:anchor="_Toc213404415" w:history="1">
        <w:r w:rsidR="00F51B27" w:rsidRPr="00B65D4F">
          <w:rPr>
            <w:rStyle w:val="Lienhypertexte"/>
            <w:noProof/>
          </w:rPr>
          <w:t>Figure 13: Carte géologique de la zone d’étude</w:t>
        </w:r>
        <w:r w:rsidR="00F51B27">
          <w:rPr>
            <w:noProof/>
            <w:webHidden/>
          </w:rPr>
          <w:tab/>
        </w:r>
        <w:r w:rsidR="00F51B27">
          <w:rPr>
            <w:noProof/>
            <w:webHidden/>
          </w:rPr>
          <w:fldChar w:fldCharType="begin"/>
        </w:r>
        <w:r w:rsidR="00F51B27">
          <w:rPr>
            <w:noProof/>
            <w:webHidden/>
          </w:rPr>
          <w:instrText xml:space="preserve"> PAGEREF _Toc213404415 \h </w:instrText>
        </w:r>
        <w:r w:rsidR="00F51B27">
          <w:rPr>
            <w:noProof/>
            <w:webHidden/>
          </w:rPr>
        </w:r>
        <w:r w:rsidR="00F51B27">
          <w:rPr>
            <w:noProof/>
            <w:webHidden/>
          </w:rPr>
          <w:fldChar w:fldCharType="separate"/>
        </w:r>
        <w:r w:rsidR="00E40AF3">
          <w:rPr>
            <w:noProof/>
            <w:webHidden/>
          </w:rPr>
          <w:t>138</w:t>
        </w:r>
        <w:r w:rsidR="00F51B27">
          <w:rPr>
            <w:noProof/>
            <w:webHidden/>
          </w:rPr>
          <w:fldChar w:fldCharType="end"/>
        </w:r>
      </w:hyperlink>
    </w:p>
    <w:p w14:paraId="24577DF0" w14:textId="61FDAF7F" w:rsidR="00F51B27" w:rsidRDefault="0072072F">
      <w:pPr>
        <w:pStyle w:val="Tabledesillustrations"/>
        <w:tabs>
          <w:tab w:val="right" w:leader="dot" w:pos="9062"/>
        </w:tabs>
        <w:rPr>
          <w:rFonts w:asciiTheme="minorHAnsi" w:eastAsiaTheme="minorEastAsia" w:hAnsiTheme="minorHAnsi" w:cstheme="minorBidi"/>
          <w:noProof/>
          <w:kern w:val="2"/>
          <w:sz w:val="24"/>
          <w:szCs w:val="24"/>
          <w:lang w:eastAsia="fr-FR" w:bidi="ar-SA"/>
          <w14:ligatures w14:val="standardContextual"/>
        </w:rPr>
      </w:pPr>
      <w:hyperlink w:anchor="_Toc213404416" w:history="1">
        <w:r w:rsidR="00F51B27" w:rsidRPr="00B65D4F">
          <w:rPr>
            <w:rStyle w:val="Lienhypertexte"/>
            <w:noProof/>
          </w:rPr>
          <w:t>Figure 14 : Cartes des accelerations horizontales maximales du sol pour une probabilité d'apparition de 10% dans 50 ans (selon le RPS 2008)</w:t>
        </w:r>
        <w:r w:rsidR="00F51B27">
          <w:rPr>
            <w:noProof/>
            <w:webHidden/>
          </w:rPr>
          <w:tab/>
        </w:r>
        <w:r w:rsidR="00F51B27">
          <w:rPr>
            <w:noProof/>
            <w:webHidden/>
          </w:rPr>
          <w:fldChar w:fldCharType="begin"/>
        </w:r>
        <w:r w:rsidR="00F51B27">
          <w:rPr>
            <w:noProof/>
            <w:webHidden/>
          </w:rPr>
          <w:instrText xml:space="preserve"> PAGEREF _Toc213404416 \h </w:instrText>
        </w:r>
        <w:r w:rsidR="00F51B27">
          <w:rPr>
            <w:noProof/>
            <w:webHidden/>
          </w:rPr>
        </w:r>
        <w:r w:rsidR="00F51B27">
          <w:rPr>
            <w:noProof/>
            <w:webHidden/>
          </w:rPr>
          <w:fldChar w:fldCharType="separate"/>
        </w:r>
        <w:r w:rsidR="00E40AF3">
          <w:rPr>
            <w:noProof/>
            <w:webHidden/>
          </w:rPr>
          <w:t>140</w:t>
        </w:r>
        <w:r w:rsidR="00F51B27">
          <w:rPr>
            <w:noProof/>
            <w:webHidden/>
          </w:rPr>
          <w:fldChar w:fldCharType="end"/>
        </w:r>
      </w:hyperlink>
    </w:p>
    <w:p w14:paraId="4B8725A5" w14:textId="27713E0A" w:rsidR="00F51B27" w:rsidRDefault="0072072F">
      <w:pPr>
        <w:pStyle w:val="Tabledesillustrations"/>
        <w:tabs>
          <w:tab w:val="right" w:leader="dot" w:pos="9062"/>
        </w:tabs>
        <w:rPr>
          <w:rFonts w:asciiTheme="minorHAnsi" w:eastAsiaTheme="minorEastAsia" w:hAnsiTheme="minorHAnsi" w:cstheme="minorBidi"/>
          <w:noProof/>
          <w:kern w:val="2"/>
          <w:sz w:val="24"/>
          <w:szCs w:val="24"/>
          <w:lang w:eastAsia="fr-FR" w:bidi="ar-SA"/>
          <w14:ligatures w14:val="standardContextual"/>
        </w:rPr>
      </w:pPr>
      <w:hyperlink w:anchor="_Toc213404417" w:history="1">
        <w:r w:rsidR="00F51B27" w:rsidRPr="00B65D4F">
          <w:rPr>
            <w:rStyle w:val="Lienhypertexte"/>
            <w:noProof/>
          </w:rPr>
          <w:t>Figure 15: Carte du réseau hydrographique de la zone d’étude</w:t>
        </w:r>
        <w:r w:rsidR="00F51B27">
          <w:rPr>
            <w:noProof/>
            <w:webHidden/>
          </w:rPr>
          <w:tab/>
        </w:r>
        <w:r w:rsidR="00F51B27">
          <w:rPr>
            <w:noProof/>
            <w:webHidden/>
          </w:rPr>
          <w:fldChar w:fldCharType="begin"/>
        </w:r>
        <w:r w:rsidR="00F51B27">
          <w:rPr>
            <w:noProof/>
            <w:webHidden/>
          </w:rPr>
          <w:instrText xml:space="preserve"> PAGEREF _Toc213404417 \h </w:instrText>
        </w:r>
        <w:r w:rsidR="00F51B27">
          <w:rPr>
            <w:noProof/>
            <w:webHidden/>
          </w:rPr>
        </w:r>
        <w:r w:rsidR="00F51B27">
          <w:rPr>
            <w:noProof/>
            <w:webHidden/>
          </w:rPr>
          <w:fldChar w:fldCharType="separate"/>
        </w:r>
        <w:r w:rsidR="00E40AF3">
          <w:rPr>
            <w:noProof/>
            <w:webHidden/>
          </w:rPr>
          <w:t>142</w:t>
        </w:r>
        <w:r w:rsidR="00F51B27">
          <w:rPr>
            <w:noProof/>
            <w:webHidden/>
          </w:rPr>
          <w:fldChar w:fldCharType="end"/>
        </w:r>
      </w:hyperlink>
    </w:p>
    <w:p w14:paraId="1ABC1365" w14:textId="7699B93C" w:rsidR="00F51B27" w:rsidRDefault="0072072F">
      <w:pPr>
        <w:pStyle w:val="Tabledesillustrations"/>
        <w:tabs>
          <w:tab w:val="right" w:leader="dot" w:pos="9062"/>
        </w:tabs>
        <w:rPr>
          <w:rFonts w:asciiTheme="minorHAnsi" w:eastAsiaTheme="minorEastAsia" w:hAnsiTheme="minorHAnsi" w:cstheme="minorBidi"/>
          <w:noProof/>
          <w:kern w:val="2"/>
          <w:sz w:val="24"/>
          <w:szCs w:val="24"/>
          <w:lang w:eastAsia="fr-FR" w:bidi="ar-SA"/>
          <w14:ligatures w14:val="standardContextual"/>
        </w:rPr>
      </w:pPr>
      <w:hyperlink w:anchor="_Toc213404418" w:history="1">
        <w:r w:rsidR="00F51B27" w:rsidRPr="00B65D4F">
          <w:rPr>
            <w:rStyle w:val="Lienhypertexte"/>
            <w:noProof/>
          </w:rPr>
          <w:t>Figure 16 : Carte de principales nappes de la zone d'action de l'ABTH</w:t>
        </w:r>
        <w:r w:rsidR="00F51B27">
          <w:rPr>
            <w:noProof/>
            <w:webHidden/>
          </w:rPr>
          <w:tab/>
        </w:r>
        <w:r w:rsidR="00F51B27">
          <w:rPr>
            <w:noProof/>
            <w:webHidden/>
          </w:rPr>
          <w:fldChar w:fldCharType="begin"/>
        </w:r>
        <w:r w:rsidR="00F51B27">
          <w:rPr>
            <w:noProof/>
            <w:webHidden/>
          </w:rPr>
          <w:instrText xml:space="preserve"> PAGEREF _Toc213404418 \h </w:instrText>
        </w:r>
        <w:r w:rsidR="00F51B27">
          <w:rPr>
            <w:noProof/>
            <w:webHidden/>
          </w:rPr>
        </w:r>
        <w:r w:rsidR="00F51B27">
          <w:rPr>
            <w:noProof/>
            <w:webHidden/>
          </w:rPr>
          <w:fldChar w:fldCharType="separate"/>
        </w:r>
        <w:r w:rsidR="00E40AF3">
          <w:rPr>
            <w:noProof/>
            <w:webHidden/>
          </w:rPr>
          <w:t>143</w:t>
        </w:r>
        <w:r w:rsidR="00F51B27">
          <w:rPr>
            <w:noProof/>
            <w:webHidden/>
          </w:rPr>
          <w:fldChar w:fldCharType="end"/>
        </w:r>
      </w:hyperlink>
    </w:p>
    <w:p w14:paraId="3C40C51C" w14:textId="33A8036E" w:rsidR="00F51B27" w:rsidRDefault="0072072F">
      <w:pPr>
        <w:pStyle w:val="Tabledesillustrations"/>
        <w:tabs>
          <w:tab w:val="right" w:leader="dot" w:pos="9062"/>
        </w:tabs>
        <w:rPr>
          <w:rFonts w:asciiTheme="minorHAnsi" w:eastAsiaTheme="minorEastAsia" w:hAnsiTheme="minorHAnsi" w:cstheme="minorBidi"/>
          <w:noProof/>
          <w:kern w:val="2"/>
          <w:sz w:val="24"/>
          <w:szCs w:val="24"/>
          <w:lang w:eastAsia="fr-FR" w:bidi="ar-SA"/>
          <w14:ligatures w14:val="standardContextual"/>
        </w:rPr>
      </w:pPr>
      <w:hyperlink w:anchor="_Toc213404419" w:history="1">
        <w:r w:rsidR="00F51B27" w:rsidRPr="00B65D4F">
          <w:rPr>
            <w:rStyle w:val="Lienhypertexte"/>
            <w:noProof/>
          </w:rPr>
          <w:t>Figure 17: Cadre hydrogéologique de la zone d’étude</w:t>
        </w:r>
        <w:r w:rsidR="00F51B27">
          <w:rPr>
            <w:noProof/>
            <w:webHidden/>
          </w:rPr>
          <w:tab/>
        </w:r>
        <w:r w:rsidR="00F51B27">
          <w:rPr>
            <w:noProof/>
            <w:webHidden/>
          </w:rPr>
          <w:fldChar w:fldCharType="begin"/>
        </w:r>
        <w:r w:rsidR="00F51B27">
          <w:rPr>
            <w:noProof/>
            <w:webHidden/>
          </w:rPr>
          <w:instrText xml:space="preserve"> PAGEREF _Toc213404419 \h </w:instrText>
        </w:r>
        <w:r w:rsidR="00F51B27">
          <w:rPr>
            <w:noProof/>
            <w:webHidden/>
          </w:rPr>
        </w:r>
        <w:r w:rsidR="00F51B27">
          <w:rPr>
            <w:noProof/>
            <w:webHidden/>
          </w:rPr>
          <w:fldChar w:fldCharType="separate"/>
        </w:r>
        <w:r w:rsidR="00E40AF3">
          <w:rPr>
            <w:noProof/>
            <w:webHidden/>
          </w:rPr>
          <w:t>145</w:t>
        </w:r>
        <w:r w:rsidR="00F51B27">
          <w:rPr>
            <w:noProof/>
            <w:webHidden/>
          </w:rPr>
          <w:fldChar w:fldCharType="end"/>
        </w:r>
      </w:hyperlink>
    </w:p>
    <w:p w14:paraId="1BD69E96" w14:textId="30BDF4A6" w:rsidR="00F51B27" w:rsidRDefault="0072072F">
      <w:pPr>
        <w:pStyle w:val="Tabledesillustrations"/>
        <w:tabs>
          <w:tab w:val="right" w:leader="dot" w:pos="9062"/>
        </w:tabs>
        <w:rPr>
          <w:rFonts w:asciiTheme="minorHAnsi" w:eastAsiaTheme="minorEastAsia" w:hAnsiTheme="minorHAnsi" w:cstheme="minorBidi"/>
          <w:noProof/>
          <w:kern w:val="2"/>
          <w:sz w:val="24"/>
          <w:szCs w:val="24"/>
          <w:lang w:eastAsia="fr-FR" w:bidi="ar-SA"/>
          <w14:ligatures w14:val="standardContextual"/>
        </w:rPr>
      </w:pPr>
      <w:hyperlink w:anchor="_Toc213404420" w:history="1">
        <w:r w:rsidR="00F51B27" w:rsidRPr="00B65D4F">
          <w:rPr>
            <w:rStyle w:val="Lienhypertexte"/>
            <w:noProof/>
          </w:rPr>
          <w:t>Figure 18 : Classification des services écologiques</w:t>
        </w:r>
        <w:r w:rsidR="00F51B27">
          <w:rPr>
            <w:noProof/>
            <w:webHidden/>
          </w:rPr>
          <w:tab/>
        </w:r>
        <w:r w:rsidR="00F51B27">
          <w:rPr>
            <w:noProof/>
            <w:webHidden/>
          </w:rPr>
          <w:fldChar w:fldCharType="begin"/>
        </w:r>
        <w:r w:rsidR="00F51B27">
          <w:rPr>
            <w:noProof/>
            <w:webHidden/>
          </w:rPr>
          <w:instrText xml:space="preserve"> PAGEREF _Toc213404420 \h </w:instrText>
        </w:r>
        <w:r w:rsidR="00F51B27">
          <w:rPr>
            <w:noProof/>
            <w:webHidden/>
          </w:rPr>
        </w:r>
        <w:r w:rsidR="00F51B27">
          <w:rPr>
            <w:noProof/>
            <w:webHidden/>
          </w:rPr>
          <w:fldChar w:fldCharType="separate"/>
        </w:r>
        <w:r w:rsidR="00E40AF3">
          <w:rPr>
            <w:noProof/>
            <w:webHidden/>
          </w:rPr>
          <w:t>cxlviii</w:t>
        </w:r>
        <w:r w:rsidR="00F51B27">
          <w:rPr>
            <w:noProof/>
            <w:webHidden/>
          </w:rPr>
          <w:fldChar w:fldCharType="end"/>
        </w:r>
      </w:hyperlink>
    </w:p>
    <w:p w14:paraId="138EAB0D" w14:textId="31772D05" w:rsidR="00F51B27" w:rsidRDefault="0072072F">
      <w:pPr>
        <w:pStyle w:val="Tabledesillustrations"/>
        <w:tabs>
          <w:tab w:val="right" w:leader="dot" w:pos="9062"/>
        </w:tabs>
        <w:rPr>
          <w:rFonts w:asciiTheme="minorHAnsi" w:eastAsiaTheme="minorEastAsia" w:hAnsiTheme="minorHAnsi" w:cstheme="minorBidi"/>
          <w:noProof/>
          <w:kern w:val="2"/>
          <w:sz w:val="24"/>
          <w:szCs w:val="24"/>
          <w:lang w:eastAsia="fr-FR" w:bidi="ar-SA"/>
          <w14:ligatures w14:val="standardContextual"/>
        </w:rPr>
      </w:pPr>
      <w:hyperlink w:anchor="_Toc213404421" w:history="1">
        <w:r w:rsidR="00F51B27" w:rsidRPr="00B65D4F">
          <w:rPr>
            <w:rStyle w:val="Lienhypertexte"/>
            <w:noProof/>
          </w:rPr>
          <w:t>Figure 21</w:t>
        </w:r>
        <w:r w:rsidR="00F51B27" w:rsidRPr="00B65D4F">
          <w:rPr>
            <w:rStyle w:val="Lienhypertexte"/>
            <w:noProof/>
            <w:lang w:val="fr-MA"/>
          </w:rPr>
          <w:t>:Carte des SIBE</w:t>
        </w:r>
        <w:r w:rsidR="00F51B27">
          <w:rPr>
            <w:noProof/>
            <w:webHidden/>
          </w:rPr>
          <w:tab/>
        </w:r>
        <w:r w:rsidR="00F51B27">
          <w:rPr>
            <w:noProof/>
            <w:webHidden/>
          </w:rPr>
          <w:fldChar w:fldCharType="begin"/>
        </w:r>
        <w:r w:rsidR="00F51B27">
          <w:rPr>
            <w:noProof/>
            <w:webHidden/>
          </w:rPr>
          <w:instrText xml:space="preserve"> PAGEREF _Toc213404421 \h </w:instrText>
        </w:r>
        <w:r w:rsidR="00F51B27">
          <w:rPr>
            <w:noProof/>
            <w:webHidden/>
          </w:rPr>
        </w:r>
        <w:r w:rsidR="00F51B27">
          <w:rPr>
            <w:noProof/>
            <w:webHidden/>
          </w:rPr>
          <w:fldChar w:fldCharType="separate"/>
        </w:r>
        <w:r w:rsidR="00E40AF3">
          <w:rPr>
            <w:noProof/>
            <w:webHidden/>
          </w:rPr>
          <w:t>170</w:t>
        </w:r>
        <w:r w:rsidR="00F51B27">
          <w:rPr>
            <w:noProof/>
            <w:webHidden/>
          </w:rPr>
          <w:fldChar w:fldCharType="end"/>
        </w:r>
      </w:hyperlink>
    </w:p>
    <w:p w14:paraId="6344BAEE" w14:textId="4BD0EE9D" w:rsidR="00F51B27" w:rsidRDefault="0072072F">
      <w:pPr>
        <w:pStyle w:val="Tabledesillustrations"/>
        <w:tabs>
          <w:tab w:val="right" w:leader="dot" w:pos="9062"/>
        </w:tabs>
        <w:rPr>
          <w:rFonts w:asciiTheme="minorHAnsi" w:eastAsiaTheme="minorEastAsia" w:hAnsiTheme="minorHAnsi" w:cstheme="minorBidi"/>
          <w:noProof/>
          <w:kern w:val="2"/>
          <w:sz w:val="24"/>
          <w:szCs w:val="24"/>
          <w:lang w:eastAsia="fr-FR" w:bidi="ar-SA"/>
          <w14:ligatures w14:val="standardContextual"/>
        </w:rPr>
      </w:pPr>
      <w:hyperlink w:anchor="_Toc213404422" w:history="1">
        <w:r w:rsidR="00F51B27" w:rsidRPr="00B65D4F">
          <w:rPr>
            <w:rStyle w:val="Lienhypertexte"/>
            <w:noProof/>
          </w:rPr>
          <w:t>Figure 22</w:t>
        </w:r>
        <w:r w:rsidR="00F51B27" w:rsidRPr="00B65D4F">
          <w:rPr>
            <w:rStyle w:val="Lienhypertexte"/>
            <w:noProof/>
            <w:lang w:val="fr-MA"/>
          </w:rPr>
          <w:t xml:space="preserve">: </w:t>
        </w:r>
        <w:r w:rsidR="00F51B27" w:rsidRPr="00B65D4F">
          <w:rPr>
            <w:rStyle w:val="Lienhypertexte"/>
            <w:noProof/>
          </w:rPr>
          <w:t>Cadre administratif de la zone d’études</w:t>
        </w:r>
        <w:r w:rsidR="00F51B27">
          <w:rPr>
            <w:noProof/>
            <w:webHidden/>
          </w:rPr>
          <w:tab/>
        </w:r>
        <w:r w:rsidR="00F51B27">
          <w:rPr>
            <w:noProof/>
            <w:webHidden/>
          </w:rPr>
          <w:fldChar w:fldCharType="begin"/>
        </w:r>
        <w:r w:rsidR="00F51B27">
          <w:rPr>
            <w:noProof/>
            <w:webHidden/>
          </w:rPr>
          <w:instrText xml:space="preserve"> PAGEREF _Toc213404422 \h </w:instrText>
        </w:r>
        <w:r w:rsidR="00F51B27">
          <w:rPr>
            <w:noProof/>
            <w:webHidden/>
          </w:rPr>
        </w:r>
        <w:r w:rsidR="00F51B27">
          <w:rPr>
            <w:noProof/>
            <w:webHidden/>
          </w:rPr>
          <w:fldChar w:fldCharType="separate"/>
        </w:r>
        <w:r w:rsidR="00E40AF3">
          <w:rPr>
            <w:noProof/>
            <w:webHidden/>
          </w:rPr>
          <w:t>172</w:t>
        </w:r>
        <w:r w:rsidR="00F51B27">
          <w:rPr>
            <w:noProof/>
            <w:webHidden/>
          </w:rPr>
          <w:fldChar w:fldCharType="end"/>
        </w:r>
      </w:hyperlink>
    </w:p>
    <w:p w14:paraId="5EC438EA" w14:textId="611900EE" w:rsidR="00F51B27" w:rsidRDefault="0072072F">
      <w:pPr>
        <w:pStyle w:val="Tabledesillustrations"/>
        <w:tabs>
          <w:tab w:val="right" w:leader="dot" w:pos="9062"/>
        </w:tabs>
        <w:rPr>
          <w:rFonts w:asciiTheme="minorHAnsi" w:eastAsiaTheme="minorEastAsia" w:hAnsiTheme="minorHAnsi" w:cstheme="minorBidi"/>
          <w:noProof/>
          <w:kern w:val="2"/>
          <w:sz w:val="24"/>
          <w:szCs w:val="24"/>
          <w:lang w:eastAsia="fr-FR" w:bidi="ar-SA"/>
          <w14:ligatures w14:val="standardContextual"/>
        </w:rPr>
      </w:pPr>
      <w:hyperlink w:anchor="_Toc213404423" w:history="1">
        <w:r w:rsidR="00F51B27" w:rsidRPr="00B65D4F">
          <w:rPr>
            <w:rStyle w:val="Lienhypertexte"/>
            <w:noProof/>
          </w:rPr>
          <w:t>Figure 24: Carte d’occupation des sols</w:t>
        </w:r>
        <w:r w:rsidR="00F51B27">
          <w:rPr>
            <w:noProof/>
            <w:webHidden/>
          </w:rPr>
          <w:tab/>
        </w:r>
        <w:r w:rsidR="00F51B27">
          <w:rPr>
            <w:noProof/>
            <w:webHidden/>
          </w:rPr>
          <w:fldChar w:fldCharType="begin"/>
        </w:r>
        <w:r w:rsidR="00F51B27">
          <w:rPr>
            <w:noProof/>
            <w:webHidden/>
          </w:rPr>
          <w:instrText xml:space="preserve"> PAGEREF _Toc213404423 \h </w:instrText>
        </w:r>
        <w:r w:rsidR="00F51B27">
          <w:rPr>
            <w:noProof/>
            <w:webHidden/>
          </w:rPr>
        </w:r>
        <w:r w:rsidR="00F51B27">
          <w:rPr>
            <w:noProof/>
            <w:webHidden/>
          </w:rPr>
          <w:fldChar w:fldCharType="separate"/>
        </w:r>
        <w:r w:rsidR="00E40AF3">
          <w:rPr>
            <w:noProof/>
            <w:webHidden/>
          </w:rPr>
          <w:t>185</w:t>
        </w:r>
        <w:r w:rsidR="00F51B27">
          <w:rPr>
            <w:noProof/>
            <w:webHidden/>
          </w:rPr>
          <w:fldChar w:fldCharType="end"/>
        </w:r>
      </w:hyperlink>
    </w:p>
    <w:p w14:paraId="28C85DE6" w14:textId="08737028" w:rsidR="00F51B27" w:rsidRDefault="0072072F">
      <w:pPr>
        <w:pStyle w:val="Tabledesillustrations"/>
        <w:tabs>
          <w:tab w:val="right" w:leader="dot" w:pos="9062"/>
        </w:tabs>
        <w:rPr>
          <w:rFonts w:asciiTheme="minorHAnsi" w:eastAsiaTheme="minorEastAsia" w:hAnsiTheme="minorHAnsi" w:cstheme="minorBidi"/>
          <w:noProof/>
          <w:kern w:val="2"/>
          <w:sz w:val="24"/>
          <w:szCs w:val="24"/>
          <w:lang w:eastAsia="fr-FR" w:bidi="ar-SA"/>
          <w14:ligatures w14:val="standardContextual"/>
        </w:rPr>
      </w:pPr>
      <w:hyperlink w:anchor="_Toc213404424" w:history="1">
        <w:r w:rsidR="00F51B27" w:rsidRPr="00B65D4F">
          <w:rPr>
            <w:rStyle w:val="Lienhypertexte"/>
            <w:noProof/>
          </w:rPr>
          <w:t>Figure 25 : Etape de résolution des plaintes</w:t>
        </w:r>
        <w:r w:rsidR="00F51B27">
          <w:rPr>
            <w:noProof/>
            <w:webHidden/>
          </w:rPr>
          <w:tab/>
        </w:r>
        <w:r w:rsidR="00F51B27">
          <w:rPr>
            <w:noProof/>
            <w:webHidden/>
          </w:rPr>
          <w:fldChar w:fldCharType="begin"/>
        </w:r>
        <w:r w:rsidR="00F51B27">
          <w:rPr>
            <w:noProof/>
            <w:webHidden/>
          </w:rPr>
          <w:instrText xml:space="preserve"> PAGEREF _Toc213404424 \h </w:instrText>
        </w:r>
        <w:r w:rsidR="00F51B27">
          <w:rPr>
            <w:noProof/>
            <w:webHidden/>
          </w:rPr>
        </w:r>
        <w:r w:rsidR="00F51B27">
          <w:rPr>
            <w:noProof/>
            <w:webHidden/>
          </w:rPr>
          <w:fldChar w:fldCharType="separate"/>
        </w:r>
        <w:r w:rsidR="00E40AF3">
          <w:rPr>
            <w:noProof/>
            <w:webHidden/>
          </w:rPr>
          <w:t>509</w:t>
        </w:r>
        <w:r w:rsidR="00F51B27">
          <w:rPr>
            <w:noProof/>
            <w:webHidden/>
          </w:rPr>
          <w:fldChar w:fldCharType="end"/>
        </w:r>
      </w:hyperlink>
    </w:p>
    <w:p w14:paraId="62486FF8" w14:textId="29C701D2" w:rsidR="007366DD" w:rsidRPr="00E94185" w:rsidRDefault="00283F23" w:rsidP="007366DD">
      <w:pPr>
        <w:tabs>
          <w:tab w:val="right" w:leader="dot" w:pos="9062"/>
        </w:tabs>
        <w:spacing w:after="100"/>
        <w:rPr>
          <w:noProof/>
          <w:u w:val="single"/>
        </w:rPr>
      </w:pPr>
      <w:r>
        <w:rPr>
          <w:noProof/>
          <w:u w:val="single"/>
        </w:rPr>
        <w:fldChar w:fldCharType="end"/>
      </w:r>
    </w:p>
    <w:p w14:paraId="415D9C19" w14:textId="741E89E5" w:rsidR="00E71A65" w:rsidRDefault="00E71A65" w:rsidP="00E94185">
      <w:pPr>
        <w:tabs>
          <w:tab w:val="right" w:leader="dot" w:pos="9062"/>
        </w:tabs>
        <w:spacing w:after="100"/>
        <w:rPr>
          <w:noProof/>
          <w:u w:val="single"/>
        </w:rPr>
      </w:pPr>
      <w:r>
        <w:rPr>
          <w:noProof/>
          <w:u w:val="single"/>
        </w:rPr>
        <w:br w:type="page"/>
      </w:r>
    </w:p>
    <w:p w14:paraId="7BEA317A" w14:textId="77777777" w:rsidR="004B3BF1" w:rsidRDefault="00E71A65">
      <w:pPr>
        <w:pStyle w:val="Titre1"/>
      </w:pPr>
      <w:bookmarkStart w:id="7" w:name="_Toc154068725"/>
      <w:bookmarkStart w:id="8" w:name="_Toc181618961"/>
      <w:bookmarkStart w:id="9" w:name="_Toc215131754"/>
      <w:r>
        <w:lastRenderedPageBreak/>
        <w:t xml:space="preserve">Liste </w:t>
      </w:r>
      <w:r w:rsidR="004B3BF1">
        <w:t>des acronymes</w:t>
      </w:r>
      <w:bookmarkEnd w:id="9"/>
    </w:p>
    <w:tbl>
      <w:tblPr>
        <w:tblW w:w="10205" w:type="dxa"/>
        <w:tblCellSpacing w:w="15" w:type="dxa"/>
        <w:tblCellMar>
          <w:top w:w="15" w:type="dxa"/>
          <w:left w:w="15" w:type="dxa"/>
          <w:bottom w:w="15" w:type="dxa"/>
          <w:right w:w="15" w:type="dxa"/>
        </w:tblCellMar>
        <w:tblLook w:val="04A0" w:firstRow="1" w:lastRow="0" w:firstColumn="1" w:lastColumn="0" w:noHBand="0" w:noVBand="1"/>
      </w:tblPr>
      <w:tblGrid>
        <w:gridCol w:w="2268"/>
        <w:gridCol w:w="7937"/>
      </w:tblGrid>
      <w:tr w:rsidR="005463EE" w:rsidRPr="005463EE" w14:paraId="55D71C79" w14:textId="77777777" w:rsidTr="004F7AFA">
        <w:trPr>
          <w:trHeight w:val="283"/>
          <w:tblHeader/>
          <w:tblCellSpacing w:w="15" w:type="dxa"/>
        </w:trPr>
        <w:tc>
          <w:tcPr>
            <w:tcW w:w="2223" w:type="dxa"/>
            <w:shd w:val="clear" w:color="auto" w:fill="D9E2F3" w:themeFill="accent1" w:themeFillTint="33"/>
            <w:vAlign w:val="center"/>
            <w:hideMark/>
          </w:tcPr>
          <w:p w14:paraId="6C2EE919" w14:textId="77777777" w:rsidR="005463EE" w:rsidRPr="005463EE" w:rsidRDefault="005463EE" w:rsidP="004F7AFA">
            <w:pPr>
              <w:spacing w:before="0"/>
              <w:jc w:val="left"/>
              <w:rPr>
                <w:b/>
                <w:bCs/>
              </w:rPr>
            </w:pPr>
            <w:r w:rsidRPr="005463EE">
              <w:rPr>
                <w:b/>
                <w:bCs/>
              </w:rPr>
              <w:t>Acronyme</w:t>
            </w:r>
          </w:p>
        </w:tc>
        <w:tc>
          <w:tcPr>
            <w:tcW w:w="0" w:type="auto"/>
            <w:shd w:val="clear" w:color="auto" w:fill="D9E2F3" w:themeFill="accent1" w:themeFillTint="33"/>
            <w:vAlign w:val="center"/>
            <w:hideMark/>
          </w:tcPr>
          <w:p w14:paraId="5EB160B0" w14:textId="77777777" w:rsidR="005463EE" w:rsidRPr="005463EE" w:rsidRDefault="005463EE" w:rsidP="004F7AFA">
            <w:pPr>
              <w:spacing w:before="0"/>
              <w:jc w:val="left"/>
              <w:rPr>
                <w:b/>
                <w:bCs/>
              </w:rPr>
            </w:pPr>
            <w:r w:rsidRPr="005463EE">
              <w:rPr>
                <w:b/>
                <w:bCs/>
              </w:rPr>
              <w:t>Signification</w:t>
            </w:r>
          </w:p>
        </w:tc>
      </w:tr>
      <w:tr w:rsidR="005463EE" w:rsidRPr="005463EE" w14:paraId="19447BCA" w14:textId="77777777" w:rsidTr="003379EB">
        <w:trPr>
          <w:trHeight w:val="283"/>
          <w:tblCellSpacing w:w="15" w:type="dxa"/>
        </w:trPr>
        <w:tc>
          <w:tcPr>
            <w:tcW w:w="2223" w:type="dxa"/>
            <w:vAlign w:val="center"/>
            <w:hideMark/>
          </w:tcPr>
          <w:p w14:paraId="386C344F" w14:textId="77777777" w:rsidR="005463EE" w:rsidRPr="005463EE" w:rsidRDefault="005463EE" w:rsidP="003379EB">
            <w:pPr>
              <w:spacing w:before="0"/>
            </w:pPr>
            <w:r w:rsidRPr="005463EE">
              <w:rPr>
                <w:b/>
                <w:bCs/>
              </w:rPr>
              <w:t>ABH</w:t>
            </w:r>
          </w:p>
        </w:tc>
        <w:tc>
          <w:tcPr>
            <w:tcW w:w="0" w:type="auto"/>
            <w:vAlign w:val="center"/>
            <w:hideMark/>
          </w:tcPr>
          <w:p w14:paraId="2A1F992F" w14:textId="77777777" w:rsidR="005463EE" w:rsidRPr="005463EE" w:rsidRDefault="005463EE" w:rsidP="003379EB">
            <w:pPr>
              <w:spacing w:before="0"/>
            </w:pPr>
            <w:r w:rsidRPr="005463EE">
              <w:t>Agence de Bassin Hydraulique</w:t>
            </w:r>
          </w:p>
        </w:tc>
      </w:tr>
      <w:tr w:rsidR="005463EE" w:rsidRPr="005463EE" w14:paraId="1A144264" w14:textId="77777777" w:rsidTr="003379EB">
        <w:trPr>
          <w:trHeight w:val="283"/>
          <w:tblCellSpacing w:w="15" w:type="dxa"/>
        </w:trPr>
        <w:tc>
          <w:tcPr>
            <w:tcW w:w="2223" w:type="dxa"/>
            <w:vAlign w:val="center"/>
            <w:hideMark/>
          </w:tcPr>
          <w:p w14:paraId="734DB472" w14:textId="4441B064" w:rsidR="005463EE" w:rsidRPr="005463EE" w:rsidRDefault="005463EE" w:rsidP="003379EB">
            <w:pPr>
              <w:spacing w:before="0"/>
            </w:pPr>
            <w:r w:rsidRPr="005463EE">
              <w:rPr>
                <w:b/>
                <w:bCs/>
              </w:rPr>
              <w:t>ABH</w:t>
            </w:r>
            <w:r w:rsidR="00F278F3">
              <w:rPr>
                <w:b/>
                <w:bCs/>
              </w:rPr>
              <w:t>T</w:t>
            </w:r>
          </w:p>
        </w:tc>
        <w:tc>
          <w:tcPr>
            <w:tcW w:w="0" w:type="auto"/>
            <w:vAlign w:val="center"/>
            <w:hideMark/>
          </w:tcPr>
          <w:p w14:paraId="07105EDF" w14:textId="35E9699E" w:rsidR="005463EE" w:rsidRPr="005463EE" w:rsidRDefault="005463EE" w:rsidP="003379EB">
            <w:pPr>
              <w:spacing w:before="0"/>
            </w:pPr>
            <w:r w:rsidRPr="005463EE">
              <w:t xml:space="preserve">Agence du Bassin Hydraulique </w:t>
            </w:r>
            <w:r w:rsidR="00F278F3">
              <w:t>Ten</w:t>
            </w:r>
            <w:r w:rsidR="003D5591">
              <w:t>sift</w:t>
            </w:r>
          </w:p>
        </w:tc>
      </w:tr>
      <w:tr w:rsidR="005463EE" w:rsidRPr="005463EE" w14:paraId="20C2745E" w14:textId="77777777" w:rsidTr="003379EB">
        <w:trPr>
          <w:trHeight w:val="283"/>
          <w:tblCellSpacing w:w="15" w:type="dxa"/>
        </w:trPr>
        <w:tc>
          <w:tcPr>
            <w:tcW w:w="2223" w:type="dxa"/>
            <w:vAlign w:val="center"/>
            <w:hideMark/>
          </w:tcPr>
          <w:p w14:paraId="1643C4B5" w14:textId="77777777" w:rsidR="005463EE" w:rsidRPr="005463EE" w:rsidRDefault="005463EE" w:rsidP="003379EB">
            <w:pPr>
              <w:spacing w:before="0"/>
            </w:pPr>
            <w:r w:rsidRPr="005463EE">
              <w:rPr>
                <w:b/>
                <w:bCs/>
              </w:rPr>
              <w:t>AEP</w:t>
            </w:r>
          </w:p>
        </w:tc>
        <w:tc>
          <w:tcPr>
            <w:tcW w:w="0" w:type="auto"/>
            <w:vAlign w:val="center"/>
            <w:hideMark/>
          </w:tcPr>
          <w:p w14:paraId="40DE0714" w14:textId="77777777" w:rsidR="005463EE" w:rsidRPr="005463EE" w:rsidRDefault="005463EE" w:rsidP="003379EB">
            <w:pPr>
              <w:spacing w:before="0"/>
            </w:pPr>
            <w:r w:rsidRPr="005463EE">
              <w:t>Alimentation en Eau Potable</w:t>
            </w:r>
          </w:p>
        </w:tc>
      </w:tr>
      <w:tr w:rsidR="005463EE" w:rsidRPr="005463EE" w14:paraId="6A1F4420" w14:textId="77777777" w:rsidTr="003379EB">
        <w:trPr>
          <w:trHeight w:val="283"/>
          <w:tblCellSpacing w:w="15" w:type="dxa"/>
        </w:trPr>
        <w:tc>
          <w:tcPr>
            <w:tcW w:w="2223" w:type="dxa"/>
            <w:vAlign w:val="center"/>
            <w:hideMark/>
          </w:tcPr>
          <w:p w14:paraId="5EF6F56A" w14:textId="77777777" w:rsidR="005463EE" w:rsidRPr="005463EE" w:rsidRDefault="005463EE" w:rsidP="003379EB">
            <w:pPr>
              <w:spacing w:before="0"/>
            </w:pPr>
            <w:r w:rsidRPr="005463EE">
              <w:rPr>
                <w:b/>
                <w:bCs/>
              </w:rPr>
              <w:t>AMO</w:t>
            </w:r>
          </w:p>
        </w:tc>
        <w:tc>
          <w:tcPr>
            <w:tcW w:w="0" w:type="auto"/>
            <w:vAlign w:val="center"/>
            <w:hideMark/>
          </w:tcPr>
          <w:p w14:paraId="4331D759" w14:textId="77777777" w:rsidR="005463EE" w:rsidRPr="005463EE" w:rsidRDefault="005463EE" w:rsidP="003379EB">
            <w:pPr>
              <w:spacing w:before="0"/>
            </w:pPr>
            <w:r w:rsidRPr="005463EE">
              <w:t>Assistance à Maîtrise d’Ouvrage</w:t>
            </w:r>
          </w:p>
        </w:tc>
      </w:tr>
      <w:tr w:rsidR="005463EE" w:rsidRPr="005463EE" w14:paraId="62329106" w14:textId="77777777" w:rsidTr="003379EB">
        <w:trPr>
          <w:trHeight w:val="283"/>
          <w:tblCellSpacing w:w="15" w:type="dxa"/>
        </w:trPr>
        <w:tc>
          <w:tcPr>
            <w:tcW w:w="2223" w:type="dxa"/>
            <w:vAlign w:val="center"/>
            <w:hideMark/>
          </w:tcPr>
          <w:p w14:paraId="07904CF0" w14:textId="77777777" w:rsidR="005463EE" w:rsidRPr="005463EE" w:rsidRDefault="005463EE" w:rsidP="003379EB">
            <w:pPr>
              <w:spacing w:before="0"/>
            </w:pPr>
            <w:r w:rsidRPr="005463EE">
              <w:rPr>
                <w:b/>
                <w:bCs/>
              </w:rPr>
              <w:t>BAD</w:t>
            </w:r>
          </w:p>
        </w:tc>
        <w:tc>
          <w:tcPr>
            <w:tcW w:w="0" w:type="auto"/>
            <w:vAlign w:val="center"/>
            <w:hideMark/>
          </w:tcPr>
          <w:p w14:paraId="45E44B89" w14:textId="77777777" w:rsidR="005463EE" w:rsidRPr="005463EE" w:rsidRDefault="005463EE" w:rsidP="003379EB">
            <w:pPr>
              <w:spacing w:before="0"/>
            </w:pPr>
            <w:r w:rsidRPr="005463EE">
              <w:t>Banque Africaine de Développement</w:t>
            </w:r>
          </w:p>
        </w:tc>
      </w:tr>
      <w:tr w:rsidR="005463EE" w:rsidRPr="005463EE" w14:paraId="2573575B" w14:textId="77777777" w:rsidTr="003379EB">
        <w:trPr>
          <w:trHeight w:val="283"/>
          <w:tblCellSpacing w:w="15" w:type="dxa"/>
        </w:trPr>
        <w:tc>
          <w:tcPr>
            <w:tcW w:w="2223" w:type="dxa"/>
            <w:vAlign w:val="center"/>
            <w:hideMark/>
          </w:tcPr>
          <w:p w14:paraId="4919354E" w14:textId="77777777" w:rsidR="005463EE" w:rsidRPr="005463EE" w:rsidRDefault="005463EE" w:rsidP="003379EB">
            <w:pPr>
              <w:spacing w:before="0"/>
            </w:pPr>
            <w:r w:rsidRPr="005463EE">
              <w:rPr>
                <w:b/>
                <w:bCs/>
              </w:rPr>
              <w:t>CESMP</w:t>
            </w:r>
          </w:p>
        </w:tc>
        <w:tc>
          <w:tcPr>
            <w:tcW w:w="0" w:type="auto"/>
            <w:vAlign w:val="center"/>
            <w:hideMark/>
          </w:tcPr>
          <w:p w14:paraId="671ED8E3" w14:textId="77777777" w:rsidR="005463EE" w:rsidRPr="005463EE" w:rsidRDefault="005463EE" w:rsidP="003379EB">
            <w:pPr>
              <w:spacing w:before="0"/>
            </w:pPr>
            <w:r w:rsidRPr="005463EE">
              <w:t>Construction Environmental and Social Management Plan (Plan de Gestion Environnementale et Sociale de Chantier)</w:t>
            </w:r>
          </w:p>
        </w:tc>
      </w:tr>
      <w:tr w:rsidR="005463EE" w:rsidRPr="005463EE" w14:paraId="25513DF7" w14:textId="77777777" w:rsidTr="003379EB">
        <w:trPr>
          <w:trHeight w:val="283"/>
          <w:tblCellSpacing w:w="15" w:type="dxa"/>
        </w:trPr>
        <w:tc>
          <w:tcPr>
            <w:tcW w:w="2223" w:type="dxa"/>
            <w:vAlign w:val="center"/>
            <w:hideMark/>
          </w:tcPr>
          <w:p w14:paraId="54EAFE32" w14:textId="77777777" w:rsidR="005463EE" w:rsidRPr="005463EE" w:rsidRDefault="005463EE" w:rsidP="003379EB">
            <w:pPr>
              <w:spacing w:before="0"/>
            </w:pPr>
            <w:r w:rsidRPr="005463EE">
              <w:rPr>
                <w:b/>
                <w:bCs/>
              </w:rPr>
              <w:t>CLO</w:t>
            </w:r>
          </w:p>
        </w:tc>
        <w:tc>
          <w:tcPr>
            <w:tcW w:w="0" w:type="auto"/>
            <w:vAlign w:val="center"/>
            <w:hideMark/>
          </w:tcPr>
          <w:p w14:paraId="5626B096" w14:textId="77777777" w:rsidR="005463EE" w:rsidRPr="005463EE" w:rsidRDefault="005463EE" w:rsidP="003379EB">
            <w:pPr>
              <w:spacing w:before="0"/>
            </w:pPr>
            <w:r w:rsidRPr="005463EE">
              <w:t>Community Liaison Officer (Chargé de liaison communautaire)</w:t>
            </w:r>
          </w:p>
        </w:tc>
      </w:tr>
      <w:tr w:rsidR="005463EE" w:rsidRPr="005463EE" w14:paraId="43DE5806" w14:textId="77777777" w:rsidTr="003379EB">
        <w:trPr>
          <w:trHeight w:val="283"/>
          <w:tblCellSpacing w:w="15" w:type="dxa"/>
        </w:trPr>
        <w:tc>
          <w:tcPr>
            <w:tcW w:w="2223" w:type="dxa"/>
            <w:vAlign w:val="center"/>
            <w:hideMark/>
          </w:tcPr>
          <w:p w14:paraId="38C2ED8B" w14:textId="77777777" w:rsidR="005463EE" w:rsidRPr="005463EE" w:rsidRDefault="005463EE" w:rsidP="003379EB">
            <w:pPr>
              <w:spacing w:before="0"/>
            </w:pPr>
            <w:r w:rsidRPr="005463EE">
              <w:rPr>
                <w:b/>
                <w:bCs/>
              </w:rPr>
              <w:t>CO</w:t>
            </w:r>
          </w:p>
        </w:tc>
        <w:tc>
          <w:tcPr>
            <w:tcW w:w="0" w:type="auto"/>
            <w:vAlign w:val="center"/>
            <w:hideMark/>
          </w:tcPr>
          <w:p w14:paraId="291FCBE8" w14:textId="77777777" w:rsidR="005463EE" w:rsidRPr="005463EE" w:rsidRDefault="005463EE" w:rsidP="003379EB">
            <w:pPr>
              <w:spacing w:before="0"/>
            </w:pPr>
            <w:r w:rsidRPr="005463EE">
              <w:t>Monoxyde de Carbone</w:t>
            </w:r>
          </w:p>
        </w:tc>
      </w:tr>
      <w:tr w:rsidR="005463EE" w:rsidRPr="005463EE" w14:paraId="368CF76B" w14:textId="77777777" w:rsidTr="003379EB">
        <w:trPr>
          <w:trHeight w:val="283"/>
          <w:tblCellSpacing w:w="15" w:type="dxa"/>
        </w:trPr>
        <w:tc>
          <w:tcPr>
            <w:tcW w:w="2223" w:type="dxa"/>
            <w:vAlign w:val="center"/>
            <w:hideMark/>
          </w:tcPr>
          <w:p w14:paraId="43E3C8BA" w14:textId="77777777" w:rsidR="005463EE" w:rsidRPr="005463EE" w:rsidRDefault="005463EE" w:rsidP="003379EB">
            <w:pPr>
              <w:spacing w:before="0"/>
            </w:pPr>
            <w:r w:rsidRPr="005463EE">
              <w:rPr>
                <w:b/>
                <w:bCs/>
              </w:rPr>
              <w:t>COV</w:t>
            </w:r>
          </w:p>
        </w:tc>
        <w:tc>
          <w:tcPr>
            <w:tcW w:w="0" w:type="auto"/>
            <w:vAlign w:val="center"/>
            <w:hideMark/>
          </w:tcPr>
          <w:p w14:paraId="14986CA7" w14:textId="77777777" w:rsidR="005463EE" w:rsidRPr="005463EE" w:rsidRDefault="005463EE" w:rsidP="003379EB">
            <w:pPr>
              <w:spacing w:before="0"/>
            </w:pPr>
            <w:r w:rsidRPr="005463EE">
              <w:t>Composés Organiques Volatils</w:t>
            </w:r>
          </w:p>
        </w:tc>
      </w:tr>
      <w:tr w:rsidR="005463EE" w:rsidRPr="005463EE" w14:paraId="5BCB45C5" w14:textId="77777777" w:rsidTr="003379EB">
        <w:trPr>
          <w:trHeight w:val="283"/>
          <w:tblCellSpacing w:w="15" w:type="dxa"/>
        </w:trPr>
        <w:tc>
          <w:tcPr>
            <w:tcW w:w="2223" w:type="dxa"/>
            <w:vAlign w:val="center"/>
            <w:hideMark/>
          </w:tcPr>
          <w:p w14:paraId="58FC98EA" w14:textId="77777777" w:rsidR="005463EE" w:rsidRPr="005463EE" w:rsidRDefault="005463EE" w:rsidP="003379EB">
            <w:pPr>
              <w:spacing w:before="0"/>
            </w:pPr>
            <w:r w:rsidRPr="005463EE">
              <w:rPr>
                <w:b/>
                <w:bCs/>
              </w:rPr>
              <w:t>CRUI</w:t>
            </w:r>
          </w:p>
        </w:tc>
        <w:tc>
          <w:tcPr>
            <w:tcW w:w="0" w:type="auto"/>
            <w:vAlign w:val="center"/>
            <w:hideMark/>
          </w:tcPr>
          <w:p w14:paraId="6D832910" w14:textId="77777777" w:rsidR="005463EE" w:rsidRPr="005463EE" w:rsidRDefault="005463EE" w:rsidP="003379EB">
            <w:pPr>
              <w:spacing w:before="0"/>
            </w:pPr>
            <w:r w:rsidRPr="005463EE">
              <w:t>Commission Régionale Unifiée d’Investissement</w:t>
            </w:r>
          </w:p>
        </w:tc>
      </w:tr>
      <w:tr w:rsidR="005463EE" w:rsidRPr="005463EE" w14:paraId="7F754E5F" w14:textId="77777777" w:rsidTr="003379EB">
        <w:trPr>
          <w:trHeight w:val="283"/>
          <w:tblCellSpacing w:w="15" w:type="dxa"/>
        </w:trPr>
        <w:tc>
          <w:tcPr>
            <w:tcW w:w="2223" w:type="dxa"/>
            <w:vAlign w:val="center"/>
            <w:hideMark/>
          </w:tcPr>
          <w:p w14:paraId="20407341" w14:textId="77777777" w:rsidR="005463EE" w:rsidRPr="005463EE" w:rsidRDefault="005463EE" w:rsidP="003379EB">
            <w:pPr>
              <w:spacing w:before="0"/>
            </w:pPr>
            <w:r w:rsidRPr="005463EE">
              <w:rPr>
                <w:b/>
                <w:bCs/>
              </w:rPr>
              <w:t>DBO₅</w:t>
            </w:r>
          </w:p>
        </w:tc>
        <w:tc>
          <w:tcPr>
            <w:tcW w:w="0" w:type="auto"/>
            <w:vAlign w:val="center"/>
            <w:hideMark/>
          </w:tcPr>
          <w:p w14:paraId="63925289" w14:textId="77777777" w:rsidR="005463EE" w:rsidRPr="005463EE" w:rsidRDefault="005463EE" w:rsidP="003379EB">
            <w:pPr>
              <w:spacing w:before="0"/>
            </w:pPr>
            <w:r w:rsidRPr="005463EE">
              <w:t>Demande Biologique en Oxygène pendant 5 jours</w:t>
            </w:r>
          </w:p>
        </w:tc>
      </w:tr>
      <w:tr w:rsidR="005463EE" w:rsidRPr="005463EE" w14:paraId="1974137A" w14:textId="77777777" w:rsidTr="003379EB">
        <w:trPr>
          <w:trHeight w:val="283"/>
          <w:tblCellSpacing w:w="15" w:type="dxa"/>
        </w:trPr>
        <w:tc>
          <w:tcPr>
            <w:tcW w:w="2223" w:type="dxa"/>
            <w:vAlign w:val="center"/>
            <w:hideMark/>
          </w:tcPr>
          <w:p w14:paraId="524C9556" w14:textId="77777777" w:rsidR="005463EE" w:rsidRPr="005463EE" w:rsidRDefault="005463EE" w:rsidP="003379EB">
            <w:pPr>
              <w:spacing w:before="0"/>
            </w:pPr>
            <w:r w:rsidRPr="005463EE">
              <w:rPr>
                <w:b/>
                <w:bCs/>
              </w:rPr>
              <w:t>DCO</w:t>
            </w:r>
          </w:p>
        </w:tc>
        <w:tc>
          <w:tcPr>
            <w:tcW w:w="0" w:type="auto"/>
            <w:vAlign w:val="center"/>
            <w:hideMark/>
          </w:tcPr>
          <w:p w14:paraId="5F09E3C6" w14:textId="77777777" w:rsidR="005463EE" w:rsidRPr="005463EE" w:rsidRDefault="005463EE" w:rsidP="003379EB">
            <w:pPr>
              <w:spacing w:before="0"/>
            </w:pPr>
            <w:r w:rsidRPr="005463EE">
              <w:t>Demande Chimique en Oxygène</w:t>
            </w:r>
          </w:p>
        </w:tc>
      </w:tr>
      <w:tr w:rsidR="005463EE" w:rsidRPr="005463EE" w14:paraId="6C9D00E2" w14:textId="77777777" w:rsidTr="003379EB">
        <w:trPr>
          <w:trHeight w:val="283"/>
          <w:tblCellSpacing w:w="15" w:type="dxa"/>
        </w:trPr>
        <w:tc>
          <w:tcPr>
            <w:tcW w:w="2223" w:type="dxa"/>
            <w:vAlign w:val="center"/>
            <w:hideMark/>
          </w:tcPr>
          <w:p w14:paraId="151BDC0E" w14:textId="77777777" w:rsidR="005463EE" w:rsidRPr="005463EE" w:rsidRDefault="005463EE" w:rsidP="003379EB">
            <w:pPr>
              <w:spacing w:before="0"/>
            </w:pPr>
            <w:r w:rsidRPr="005463EE">
              <w:rPr>
                <w:b/>
                <w:bCs/>
              </w:rPr>
              <w:t>DPA</w:t>
            </w:r>
          </w:p>
        </w:tc>
        <w:tc>
          <w:tcPr>
            <w:tcW w:w="0" w:type="auto"/>
            <w:vAlign w:val="center"/>
            <w:hideMark/>
          </w:tcPr>
          <w:p w14:paraId="68D5C96B" w14:textId="77777777" w:rsidR="005463EE" w:rsidRPr="005463EE" w:rsidRDefault="005463EE" w:rsidP="003379EB">
            <w:pPr>
              <w:spacing w:before="0"/>
            </w:pPr>
            <w:r w:rsidRPr="005463EE">
              <w:t>Direction Provinciale de l’Agriculture</w:t>
            </w:r>
          </w:p>
        </w:tc>
      </w:tr>
      <w:tr w:rsidR="005463EE" w:rsidRPr="005463EE" w14:paraId="45756BA8" w14:textId="77777777" w:rsidTr="003379EB">
        <w:trPr>
          <w:trHeight w:val="283"/>
          <w:tblCellSpacing w:w="15" w:type="dxa"/>
        </w:trPr>
        <w:tc>
          <w:tcPr>
            <w:tcW w:w="2223" w:type="dxa"/>
            <w:vAlign w:val="center"/>
            <w:hideMark/>
          </w:tcPr>
          <w:p w14:paraId="5F0F340C" w14:textId="77777777" w:rsidR="005463EE" w:rsidRPr="005463EE" w:rsidRDefault="005463EE" w:rsidP="003379EB">
            <w:pPr>
              <w:spacing w:before="0"/>
            </w:pPr>
            <w:r w:rsidRPr="005463EE">
              <w:rPr>
                <w:b/>
                <w:bCs/>
              </w:rPr>
              <w:t>E&amp;S</w:t>
            </w:r>
          </w:p>
        </w:tc>
        <w:tc>
          <w:tcPr>
            <w:tcW w:w="0" w:type="auto"/>
            <w:vAlign w:val="center"/>
            <w:hideMark/>
          </w:tcPr>
          <w:p w14:paraId="654C9177" w14:textId="77777777" w:rsidR="005463EE" w:rsidRPr="005463EE" w:rsidRDefault="005463EE" w:rsidP="003379EB">
            <w:pPr>
              <w:spacing w:before="0"/>
            </w:pPr>
            <w:r w:rsidRPr="005463EE">
              <w:t>Environnemental et Social</w:t>
            </w:r>
          </w:p>
        </w:tc>
      </w:tr>
      <w:tr w:rsidR="005463EE" w:rsidRPr="005463EE" w14:paraId="4A3D4220" w14:textId="77777777" w:rsidTr="003379EB">
        <w:trPr>
          <w:trHeight w:val="283"/>
          <w:tblCellSpacing w:w="15" w:type="dxa"/>
        </w:trPr>
        <w:tc>
          <w:tcPr>
            <w:tcW w:w="2223" w:type="dxa"/>
            <w:vAlign w:val="center"/>
            <w:hideMark/>
          </w:tcPr>
          <w:p w14:paraId="44AFD550" w14:textId="77777777" w:rsidR="005463EE" w:rsidRPr="005463EE" w:rsidRDefault="005463EE" w:rsidP="003379EB">
            <w:pPr>
              <w:spacing w:before="0"/>
            </w:pPr>
            <w:r w:rsidRPr="005463EE">
              <w:rPr>
                <w:b/>
                <w:bCs/>
              </w:rPr>
              <w:t>EHS / HSE</w:t>
            </w:r>
          </w:p>
        </w:tc>
        <w:tc>
          <w:tcPr>
            <w:tcW w:w="0" w:type="auto"/>
            <w:vAlign w:val="center"/>
            <w:hideMark/>
          </w:tcPr>
          <w:p w14:paraId="28972A44" w14:textId="77777777" w:rsidR="005463EE" w:rsidRPr="005463EE" w:rsidRDefault="005463EE" w:rsidP="003379EB">
            <w:pPr>
              <w:spacing w:before="0"/>
            </w:pPr>
            <w:r w:rsidRPr="005463EE">
              <w:t>Environnement, Hygiène et Sécurité / Hygiène, Sécurité et Environnement</w:t>
            </w:r>
          </w:p>
        </w:tc>
      </w:tr>
      <w:tr w:rsidR="005463EE" w:rsidRPr="005463EE" w14:paraId="7D4DC621" w14:textId="77777777" w:rsidTr="003379EB">
        <w:trPr>
          <w:trHeight w:val="283"/>
          <w:tblCellSpacing w:w="15" w:type="dxa"/>
        </w:trPr>
        <w:tc>
          <w:tcPr>
            <w:tcW w:w="2223" w:type="dxa"/>
            <w:vAlign w:val="center"/>
            <w:hideMark/>
          </w:tcPr>
          <w:p w14:paraId="2B1EB425" w14:textId="77777777" w:rsidR="005463EE" w:rsidRPr="005463EE" w:rsidRDefault="005463EE" w:rsidP="003379EB">
            <w:pPr>
              <w:spacing w:before="0"/>
            </w:pPr>
            <w:r w:rsidRPr="005463EE">
              <w:rPr>
                <w:b/>
                <w:bCs/>
              </w:rPr>
              <w:t>EIES</w:t>
            </w:r>
          </w:p>
        </w:tc>
        <w:tc>
          <w:tcPr>
            <w:tcW w:w="0" w:type="auto"/>
            <w:vAlign w:val="center"/>
            <w:hideMark/>
          </w:tcPr>
          <w:p w14:paraId="53F1C635" w14:textId="77777777" w:rsidR="005463EE" w:rsidRPr="005463EE" w:rsidRDefault="005463EE" w:rsidP="003379EB">
            <w:pPr>
              <w:spacing w:before="0"/>
            </w:pPr>
            <w:r w:rsidRPr="005463EE">
              <w:t>Étude d’Impact Environnemental et Social</w:t>
            </w:r>
          </w:p>
        </w:tc>
      </w:tr>
      <w:tr w:rsidR="005463EE" w:rsidRPr="005463EE" w14:paraId="6DF31C59" w14:textId="77777777" w:rsidTr="003379EB">
        <w:trPr>
          <w:trHeight w:val="283"/>
          <w:tblCellSpacing w:w="15" w:type="dxa"/>
        </w:trPr>
        <w:tc>
          <w:tcPr>
            <w:tcW w:w="2223" w:type="dxa"/>
            <w:vAlign w:val="center"/>
            <w:hideMark/>
          </w:tcPr>
          <w:p w14:paraId="2BB6C8E4" w14:textId="77777777" w:rsidR="005463EE" w:rsidRPr="005463EE" w:rsidRDefault="005463EE" w:rsidP="003379EB">
            <w:pPr>
              <w:spacing w:before="0"/>
            </w:pPr>
            <w:r w:rsidRPr="005463EE">
              <w:rPr>
                <w:b/>
                <w:bCs/>
              </w:rPr>
              <w:t>EPC</w:t>
            </w:r>
          </w:p>
        </w:tc>
        <w:tc>
          <w:tcPr>
            <w:tcW w:w="0" w:type="auto"/>
            <w:vAlign w:val="center"/>
            <w:hideMark/>
          </w:tcPr>
          <w:p w14:paraId="1E4591B2" w14:textId="77777777" w:rsidR="005463EE" w:rsidRPr="005463EE" w:rsidRDefault="005463EE" w:rsidP="003379EB">
            <w:pPr>
              <w:spacing w:before="0"/>
            </w:pPr>
            <w:r w:rsidRPr="005463EE">
              <w:t>Engineering, Procurement and Construction (Entrepreneur principal)</w:t>
            </w:r>
          </w:p>
        </w:tc>
      </w:tr>
      <w:tr w:rsidR="005463EE" w:rsidRPr="005463EE" w14:paraId="00631657" w14:textId="77777777" w:rsidTr="003379EB">
        <w:trPr>
          <w:trHeight w:val="283"/>
          <w:tblCellSpacing w:w="15" w:type="dxa"/>
        </w:trPr>
        <w:tc>
          <w:tcPr>
            <w:tcW w:w="2223" w:type="dxa"/>
            <w:vAlign w:val="center"/>
            <w:hideMark/>
          </w:tcPr>
          <w:p w14:paraId="22937580" w14:textId="77777777" w:rsidR="005463EE" w:rsidRPr="005463EE" w:rsidRDefault="005463EE" w:rsidP="003379EB">
            <w:pPr>
              <w:spacing w:before="0"/>
            </w:pPr>
            <w:r w:rsidRPr="005463EE">
              <w:rPr>
                <w:b/>
                <w:bCs/>
              </w:rPr>
              <w:t>EPIC</w:t>
            </w:r>
          </w:p>
        </w:tc>
        <w:tc>
          <w:tcPr>
            <w:tcW w:w="0" w:type="auto"/>
            <w:vAlign w:val="center"/>
            <w:hideMark/>
          </w:tcPr>
          <w:p w14:paraId="0E0F6A06" w14:textId="77777777" w:rsidR="005463EE" w:rsidRPr="005463EE" w:rsidRDefault="005463EE" w:rsidP="003379EB">
            <w:pPr>
              <w:spacing w:before="0"/>
            </w:pPr>
            <w:r w:rsidRPr="005463EE">
              <w:t>Établissement Public à caractère Industriel et Commercial</w:t>
            </w:r>
          </w:p>
        </w:tc>
      </w:tr>
      <w:tr w:rsidR="005463EE" w:rsidRPr="005463EE" w14:paraId="0705D5E0" w14:textId="77777777" w:rsidTr="003379EB">
        <w:trPr>
          <w:trHeight w:val="283"/>
          <w:tblCellSpacing w:w="15" w:type="dxa"/>
        </w:trPr>
        <w:tc>
          <w:tcPr>
            <w:tcW w:w="2223" w:type="dxa"/>
            <w:vAlign w:val="center"/>
            <w:hideMark/>
          </w:tcPr>
          <w:p w14:paraId="745CB6E2" w14:textId="77777777" w:rsidR="005463EE" w:rsidRPr="005463EE" w:rsidRDefault="005463EE" w:rsidP="003379EB">
            <w:pPr>
              <w:spacing w:before="0"/>
            </w:pPr>
            <w:r w:rsidRPr="005463EE">
              <w:rPr>
                <w:b/>
                <w:bCs/>
              </w:rPr>
              <w:t>EPI</w:t>
            </w:r>
          </w:p>
        </w:tc>
        <w:tc>
          <w:tcPr>
            <w:tcW w:w="0" w:type="auto"/>
            <w:vAlign w:val="center"/>
            <w:hideMark/>
          </w:tcPr>
          <w:p w14:paraId="23E0ED8C" w14:textId="77777777" w:rsidR="005463EE" w:rsidRPr="005463EE" w:rsidRDefault="005463EE" w:rsidP="003379EB">
            <w:pPr>
              <w:spacing w:before="0"/>
            </w:pPr>
            <w:r w:rsidRPr="005463EE">
              <w:t>Équipement de Protection Individuelle</w:t>
            </w:r>
          </w:p>
        </w:tc>
      </w:tr>
      <w:tr w:rsidR="005463EE" w:rsidRPr="005463EE" w14:paraId="50BC179E" w14:textId="77777777" w:rsidTr="003379EB">
        <w:trPr>
          <w:trHeight w:val="283"/>
          <w:tblCellSpacing w:w="15" w:type="dxa"/>
        </w:trPr>
        <w:tc>
          <w:tcPr>
            <w:tcW w:w="2223" w:type="dxa"/>
            <w:vAlign w:val="center"/>
            <w:hideMark/>
          </w:tcPr>
          <w:p w14:paraId="05EAA6D4" w14:textId="77777777" w:rsidR="005463EE" w:rsidRPr="005463EE" w:rsidRDefault="005463EE" w:rsidP="003379EB">
            <w:pPr>
              <w:spacing w:before="0"/>
            </w:pPr>
            <w:r w:rsidRPr="005463EE">
              <w:rPr>
                <w:b/>
                <w:bCs/>
              </w:rPr>
              <w:t>GBV / VBG</w:t>
            </w:r>
          </w:p>
        </w:tc>
        <w:tc>
          <w:tcPr>
            <w:tcW w:w="0" w:type="auto"/>
            <w:vAlign w:val="center"/>
            <w:hideMark/>
          </w:tcPr>
          <w:p w14:paraId="160ECC30" w14:textId="77777777" w:rsidR="005463EE" w:rsidRPr="005463EE" w:rsidRDefault="005463EE" w:rsidP="003379EB">
            <w:pPr>
              <w:spacing w:before="0"/>
            </w:pPr>
            <w:r w:rsidRPr="005463EE">
              <w:t>Gender-Based Violence / Violences Basées sur le Genre</w:t>
            </w:r>
          </w:p>
        </w:tc>
      </w:tr>
      <w:tr w:rsidR="005463EE" w:rsidRPr="005463EE" w14:paraId="6AC0FD9B" w14:textId="77777777" w:rsidTr="003379EB">
        <w:trPr>
          <w:trHeight w:val="283"/>
          <w:tblCellSpacing w:w="15" w:type="dxa"/>
        </w:trPr>
        <w:tc>
          <w:tcPr>
            <w:tcW w:w="2223" w:type="dxa"/>
            <w:vAlign w:val="center"/>
            <w:hideMark/>
          </w:tcPr>
          <w:p w14:paraId="5AE2DB7E" w14:textId="77777777" w:rsidR="005463EE" w:rsidRPr="005463EE" w:rsidRDefault="005463EE" w:rsidP="003379EB">
            <w:pPr>
              <w:spacing w:before="0"/>
            </w:pPr>
            <w:r w:rsidRPr="005463EE">
              <w:rPr>
                <w:b/>
                <w:bCs/>
              </w:rPr>
              <w:t>GES</w:t>
            </w:r>
          </w:p>
        </w:tc>
        <w:tc>
          <w:tcPr>
            <w:tcW w:w="0" w:type="auto"/>
            <w:vAlign w:val="center"/>
            <w:hideMark/>
          </w:tcPr>
          <w:p w14:paraId="4C0B5B79" w14:textId="77777777" w:rsidR="005463EE" w:rsidRPr="005463EE" w:rsidRDefault="005463EE" w:rsidP="003379EB">
            <w:pPr>
              <w:spacing w:before="0"/>
            </w:pPr>
            <w:r w:rsidRPr="005463EE">
              <w:t>Gaz à Effet de Serre</w:t>
            </w:r>
          </w:p>
        </w:tc>
      </w:tr>
      <w:tr w:rsidR="005463EE" w:rsidRPr="005463EE" w14:paraId="7F2D9ADA" w14:textId="77777777" w:rsidTr="003379EB">
        <w:trPr>
          <w:trHeight w:val="283"/>
          <w:tblCellSpacing w:w="15" w:type="dxa"/>
        </w:trPr>
        <w:tc>
          <w:tcPr>
            <w:tcW w:w="2223" w:type="dxa"/>
            <w:vAlign w:val="center"/>
            <w:hideMark/>
          </w:tcPr>
          <w:p w14:paraId="4432224D" w14:textId="77777777" w:rsidR="005463EE" w:rsidRPr="005463EE" w:rsidRDefault="005463EE" w:rsidP="003379EB">
            <w:pPr>
              <w:spacing w:before="0"/>
            </w:pPr>
            <w:r w:rsidRPr="005463EE">
              <w:rPr>
                <w:b/>
                <w:bCs/>
              </w:rPr>
              <w:t>ILO / OIT</w:t>
            </w:r>
          </w:p>
        </w:tc>
        <w:tc>
          <w:tcPr>
            <w:tcW w:w="0" w:type="auto"/>
            <w:vAlign w:val="center"/>
            <w:hideMark/>
          </w:tcPr>
          <w:p w14:paraId="525AC468" w14:textId="77777777" w:rsidR="005463EE" w:rsidRPr="005463EE" w:rsidRDefault="005463EE" w:rsidP="003379EB">
            <w:pPr>
              <w:spacing w:before="0"/>
            </w:pPr>
            <w:r w:rsidRPr="005463EE">
              <w:t>International Labour Organization / Organisation Internationale du Travail</w:t>
            </w:r>
          </w:p>
        </w:tc>
      </w:tr>
      <w:tr w:rsidR="005463EE" w:rsidRPr="005463EE" w14:paraId="27F93812" w14:textId="77777777" w:rsidTr="003379EB">
        <w:trPr>
          <w:trHeight w:val="283"/>
          <w:tblCellSpacing w:w="15" w:type="dxa"/>
        </w:trPr>
        <w:tc>
          <w:tcPr>
            <w:tcW w:w="2223" w:type="dxa"/>
            <w:vAlign w:val="center"/>
            <w:hideMark/>
          </w:tcPr>
          <w:p w14:paraId="638FD839" w14:textId="77777777" w:rsidR="005463EE" w:rsidRPr="005463EE" w:rsidRDefault="005463EE" w:rsidP="003379EB">
            <w:pPr>
              <w:spacing w:before="0"/>
            </w:pPr>
            <w:r w:rsidRPr="005463EE">
              <w:rPr>
                <w:b/>
                <w:bCs/>
              </w:rPr>
              <w:t>MES</w:t>
            </w:r>
          </w:p>
        </w:tc>
        <w:tc>
          <w:tcPr>
            <w:tcW w:w="0" w:type="auto"/>
            <w:vAlign w:val="center"/>
            <w:hideMark/>
          </w:tcPr>
          <w:p w14:paraId="2066EF5B" w14:textId="77777777" w:rsidR="005463EE" w:rsidRPr="005463EE" w:rsidRDefault="005463EE" w:rsidP="003379EB">
            <w:pPr>
              <w:spacing w:before="0"/>
            </w:pPr>
            <w:r w:rsidRPr="005463EE">
              <w:t>Matières en Suspension</w:t>
            </w:r>
          </w:p>
        </w:tc>
      </w:tr>
      <w:tr w:rsidR="005463EE" w:rsidRPr="005463EE" w14:paraId="6E3DDA9C" w14:textId="77777777" w:rsidTr="003379EB">
        <w:trPr>
          <w:trHeight w:val="283"/>
          <w:tblCellSpacing w:w="15" w:type="dxa"/>
        </w:trPr>
        <w:tc>
          <w:tcPr>
            <w:tcW w:w="2223" w:type="dxa"/>
            <w:vAlign w:val="center"/>
            <w:hideMark/>
          </w:tcPr>
          <w:p w14:paraId="1EE8E55B" w14:textId="2ECD11EC" w:rsidR="005463EE" w:rsidRPr="005463EE" w:rsidRDefault="005463EE" w:rsidP="003379EB">
            <w:pPr>
              <w:spacing w:before="0"/>
            </w:pPr>
            <w:r w:rsidRPr="005463EE">
              <w:rPr>
                <w:b/>
                <w:bCs/>
              </w:rPr>
              <w:t>MGP</w:t>
            </w:r>
          </w:p>
        </w:tc>
        <w:tc>
          <w:tcPr>
            <w:tcW w:w="0" w:type="auto"/>
            <w:vAlign w:val="center"/>
            <w:hideMark/>
          </w:tcPr>
          <w:p w14:paraId="67B38D3A" w14:textId="00913544" w:rsidR="005463EE" w:rsidRPr="005463EE" w:rsidRDefault="005463EE" w:rsidP="003379EB">
            <w:pPr>
              <w:spacing w:before="0"/>
            </w:pPr>
            <w:r w:rsidRPr="005463EE">
              <w:t>Mécanisme de Gestion des Plaintes</w:t>
            </w:r>
          </w:p>
        </w:tc>
      </w:tr>
      <w:tr w:rsidR="005463EE" w:rsidRPr="005463EE" w14:paraId="4745C02B" w14:textId="77777777" w:rsidTr="003379EB">
        <w:trPr>
          <w:trHeight w:val="283"/>
          <w:tblCellSpacing w:w="15" w:type="dxa"/>
        </w:trPr>
        <w:tc>
          <w:tcPr>
            <w:tcW w:w="2223" w:type="dxa"/>
            <w:vAlign w:val="center"/>
            <w:hideMark/>
          </w:tcPr>
          <w:p w14:paraId="0AD9519F" w14:textId="77777777" w:rsidR="005463EE" w:rsidRPr="005463EE" w:rsidRDefault="005463EE" w:rsidP="003379EB">
            <w:pPr>
              <w:spacing w:before="0"/>
            </w:pPr>
            <w:r w:rsidRPr="005463EE">
              <w:rPr>
                <w:b/>
                <w:bCs/>
              </w:rPr>
              <w:lastRenderedPageBreak/>
              <w:t>OACI</w:t>
            </w:r>
          </w:p>
        </w:tc>
        <w:tc>
          <w:tcPr>
            <w:tcW w:w="0" w:type="auto"/>
            <w:vAlign w:val="center"/>
            <w:hideMark/>
          </w:tcPr>
          <w:p w14:paraId="4E1CF091" w14:textId="77777777" w:rsidR="005463EE" w:rsidRPr="005463EE" w:rsidRDefault="005463EE" w:rsidP="003379EB">
            <w:pPr>
              <w:spacing w:before="0"/>
            </w:pPr>
            <w:r w:rsidRPr="005463EE">
              <w:t>Organisation de l’Aviation Civile Internationale</w:t>
            </w:r>
          </w:p>
        </w:tc>
      </w:tr>
      <w:tr w:rsidR="005463EE" w:rsidRPr="005463EE" w14:paraId="2593066B" w14:textId="77777777" w:rsidTr="003379EB">
        <w:trPr>
          <w:trHeight w:val="283"/>
          <w:tblCellSpacing w:w="15" w:type="dxa"/>
        </w:trPr>
        <w:tc>
          <w:tcPr>
            <w:tcW w:w="2223" w:type="dxa"/>
            <w:vAlign w:val="center"/>
            <w:hideMark/>
          </w:tcPr>
          <w:p w14:paraId="59EA1520" w14:textId="77777777" w:rsidR="005463EE" w:rsidRPr="005463EE" w:rsidRDefault="005463EE" w:rsidP="003379EB">
            <w:pPr>
              <w:spacing w:before="0"/>
            </w:pPr>
            <w:r w:rsidRPr="005463EE">
              <w:rPr>
                <w:b/>
                <w:bCs/>
              </w:rPr>
              <w:t>OESMP</w:t>
            </w:r>
          </w:p>
        </w:tc>
        <w:tc>
          <w:tcPr>
            <w:tcW w:w="0" w:type="auto"/>
            <w:vAlign w:val="center"/>
            <w:hideMark/>
          </w:tcPr>
          <w:p w14:paraId="04394EDC" w14:textId="77777777" w:rsidR="005463EE" w:rsidRPr="005463EE" w:rsidRDefault="005463EE" w:rsidP="003379EB">
            <w:pPr>
              <w:spacing w:before="0"/>
            </w:pPr>
            <w:r w:rsidRPr="005463EE">
              <w:t>Operational Environmental and Social Management Plan (Plan de Gestion Environnementale et Sociale d’Exploitation)</w:t>
            </w:r>
          </w:p>
        </w:tc>
      </w:tr>
      <w:tr w:rsidR="005463EE" w:rsidRPr="005463EE" w14:paraId="372EF02E" w14:textId="77777777" w:rsidTr="003379EB">
        <w:trPr>
          <w:trHeight w:val="283"/>
          <w:tblCellSpacing w:w="15" w:type="dxa"/>
        </w:trPr>
        <w:tc>
          <w:tcPr>
            <w:tcW w:w="2223" w:type="dxa"/>
            <w:vAlign w:val="center"/>
            <w:hideMark/>
          </w:tcPr>
          <w:p w14:paraId="146A0F11" w14:textId="77777777" w:rsidR="005463EE" w:rsidRPr="005463EE" w:rsidRDefault="005463EE" w:rsidP="003379EB">
            <w:pPr>
              <w:spacing w:before="0"/>
            </w:pPr>
            <w:r w:rsidRPr="005463EE">
              <w:rPr>
                <w:b/>
                <w:bCs/>
              </w:rPr>
              <w:t>ONDA</w:t>
            </w:r>
          </w:p>
        </w:tc>
        <w:tc>
          <w:tcPr>
            <w:tcW w:w="0" w:type="auto"/>
            <w:vAlign w:val="center"/>
            <w:hideMark/>
          </w:tcPr>
          <w:p w14:paraId="43D0AAA2" w14:textId="77777777" w:rsidR="005463EE" w:rsidRPr="005463EE" w:rsidRDefault="005463EE" w:rsidP="003379EB">
            <w:pPr>
              <w:spacing w:before="0"/>
            </w:pPr>
            <w:r w:rsidRPr="005463EE">
              <w:t>Office National des Aéroports</w:t>
            </w:r>
          </w:p>
        </w:tc>
      </w:tr>
      <w:tr w:rsidR="005463EE" w:rsidRPr="005463EE" w14:paraId="00BD558F" w14:textId="77777777" w:rsidTr="003379EB">
        <w:trPr>
          <w:trHeight w:val="283"/>
          <w:tblCellSpacing w:w="15" w:type="dxa"/>
        </w:trPr>
        <w:tc>
          <w:tcPr>
            <w:tcW w:w="2223" w:type="dxa"/>
            <w:vAlign w:val="center"/>
            <w:hideMark/>
          </w:tcPr>
          <w:p w14:paraId="1EC0DAB2" w14:textId="77777777" w:rsidR="005463EE" w:rsidRPr="005463EE" w:rsidRDefault="005463EE" w:rsidP="003379EB">
            <w:pPr>
              <w:spacing w:before="0"/>
            </w:pPr>
            <w:r w:rsidRPr="005463EE">
              <w:rPr>
                <w:b/>
                <w:bCs/>
              </w:rPr>
              <w:t>ONEE</w:t>
            </w:r>
          </w:p>
        </w:tc>
        <w:tc>
          <w:tcPr>
            <w:tcW w:w="0" w:type="auto"/>
            <w:vAlign w:val="center"/>
            <w:hideMark/>
          </w:tcPr>
          <w:p w14:paraId="6792AB2A" w14:textId="77777777" w:rsidR="005463EE" w:rsidRPr="005463EE" w:rsidRDefault="005463EE" w:rsidP="003379EB">
            <w:pPr>
              <w:spacing w:before="0"/>
            </w:pPr>
            <w:r w:rsidRPr="005463EE">
              <w:t>Office National de l’Électricité et de l’Eau Potable</w:t>
            </w:r>
          </w:p>
        </w:tc>
      </w:tr>
      <w:tr w:rsidR="005463EE" w:rsidRPr="005463EE" w14:paraId="042322E0" w14:textId="77777777" w:rsidTr="003379EB">
        <w:trPr>
          <w:trHeight w:val="283"/>
          <w:tblCellSpacing w:w="15" w:type="dxa"/>
        </w:trPr>
        <w:tc>
          <w:tcPr>
            <w:tcW w:w="2223" w:type="dxa"/>
            <w:vAlign w:val="center"/>
            <w:hideMark/>
          </w:tcPr>
          <w:p w14:paraId="7A88069E" w14:textId="77777777" w:rsidR="005463EE" w:rsidRPr="005463EE" w:rsidRDefault="005463EE" w:rsidP="003379EB">
            <w:pPr>
              <w:spacing w:before="0"/>
            </w:pPr>
            <w:r w:rsidRPr="005463EE">
              <w:rPr>
                <w:b/>
                <w:bCs/>
              </w:rPr>
              <w:t>PGES</w:t>
            </w:r>
          </w:p>
        </w:tc>
        <w:tc>
          <w:tcPr>
            <w:tcW w:w="0" w:type="auto"/>
            <w:vAlign w:val="center"/>
            <w:hideMark/>
          </w:tcPr>
          <w:p w14:paraId="4F72DA07" w14:textId="77777777" w:rsidR="005463EE" w:rsidRPr="005463EE" w:rsidRDefault="005463EE" w:rsidP="003379EB">
            <w:pPr>
              <w:spacing w:before="0"/>
            </w:pPr>
            <w:r w:rsidRPr="005463EE">
              <w:t>Plan de Gestion Environnementale et Sociale</w:t>
            </w:r>
          </w:p>
        </w:tc>
      </w:tr>
      <w:tr w:rsidR="005463EE" w:rsidRPr="005463EE" w14:paraId="546B21E7" w14:textId="77777777" w:rsidTr="003379EB">
        <w:trPr>
          <w:trHeight w:val="283"/>
          <w:tblCellSpacing w:w="15" w:type="dxa"/>
        </w:trPr>
        <w:tc>
          <w:tcPr>
            <w:tcW w:w="2223" w:type="dxa"/>
            <w:vAlign w:val="center"/>
            <w:hideMark/>
          </w:tcPr>
          <w:p w14:paraId="52FDA72B" w14:textId="77777777" w:rsidR="005463EE" w:rsidRPr="005463EE" w:rsidRDefault="005463EE" w:rsidP="003379EB">
            <w:pPr>
              <w:spacing w:before="0"/>
            </w:pPr>
            <w:r w:rsidRPr="005463EE">
              <w:rPr>
                <w:b/>
                <w:bCs/>
              </w:rPr>
              <w:t>PPPP / SEP</w:t>
            </w:r>
          </w:p>
        </w:tc>
        <w:tc>
          <w:tcPr>
            <w:tcW w:w="0" w:type="auto"/>
            <w:vAlign w:val="center"/>
            <w:hideMark/>
          </w:tcPr>
          <w:p w14:paraId="6802F483" w14:textId="77777777" w:rsidR="005463EE" w:rsidRPr="005463EE" w:rsidRDefault="005463EE" w:rsidP="003379EB">
            <w:pPr>
              <w:spacing w:before="0"/>
            </w:pPr>
            <w:r w:rsidRPr="005463EE">
              <w:t>Plan de Participation des Parties Prenantes / Stakeholder Engagement Plan</w:t>
            </w:r>
          </w:p>
        </w:tc>
      </w:tr>
      <w:tr w:rsidR="005463EE" w:rsidRPr="005463EE" w14:paraId="29531F71" w14:textId="77777777" w:rsidTr="003379EB">
        <w:trPr>
          <w:trHeight w:val="283"/>
          <w:tblCellSpacing w:w="15" w:type="dxa"/>
        </w:trPr>
        <w:tc>
          <w:tcPr>
            <w:tcW w:w="2223" w:type="dxa"/>
            <w:vAlign w:val="center"/>
            <w:hideMark/>
          </w:tcPr>
          <w:p w14:paraId="2D006C5E" w14:textId="77777777" w:rsidR="005463EE" w:rsidRPr="005463EE" w:rsidRDefault="005463EE" w:rsidP="003379EB">
            <w:pPr>
              <w:spacing w:before="0"/>
            </w:pPr>
            <w:r w:rsidRPr="005463EE">
              <w:rPr>
                <w:b/>
                <w:bCs/>
              </w:rPr>
              <w:t>RGPH</w:t>
            </w:r>
          </w:p>
        </w:tc>
        <w:tc>
          <w:tcPr>
            <w:tcW w:w="0" w:type="auto"/>
            <w:vAlign w:val="center"/>
            <w:hideMark/>
          </w:tcPr>
          <w:p w14:paraId="044A16A3" w14:textId="77777777" w:rsidR="005463EE" w:rsidRPr="005463EE" w:rsidRDefault="005463EE" w:rsidP="003379EB">
            <w:pPr>
              <w:spacing w:before="0"/>
            </w:pPr>
            <w:r w:rsidRPr="005463EE">
              <w:t>Recensement Général de la Population et de l’Habitat</w:t>
            </w:r>
          </w:p>
        </w:tc>
      </w:tr>
      <w:tr w:rsidR="005463EE" w:rsidRPr="005463EE" w14:paraId="4DA53F29" w14:textId="77777777" w:rsidTr="003379EB">
        <w:trPr>
          <w:trHeight w:val="283"/>
          <w:tblCellSpacing w:w="15" w:type="dxa"/>
        </w:trPr>
        <w:tc>
          <w:tcPr>
            <w:tcW w:w="2223" w:type="dxa"/>
            <w:vAlign w:val="center"/>
            <w:hideMark/>
          </w:tcPr>
          <w:p w14:paraId="74E9FCAD" w14:textId="77777777" w:rsidR="005463EE" w:rsidRPr="005463EE" w:rsidRDefault="005463EE" w:rsidP="003379EB">
            <w:pPr>
              <w:spacing w:before="0"/>
            </w:pPr>
            <w:r w:rsidRPr="005463EE">
              <w:rPr>
                <w:b/>
                <w:bCs/>
              </w:rPr>
              <w:t>SFI</w:t>
            </w:r>
          </w:p>
        </w:tc>
        <w:tc>
          <w:tcPr>
            <w:tcW w:w="0" w:type="auto"/>
            <w:vAlign w:val="center"/>
            <w:hideMark/>
          </w:tcPr>
          <w:p w14:paraId="4F8F75C1" w14:textId="77777777" w:rsidR="005463EE" w:rsidRPr="005463EE" w:rsidRDefault="005463EE" w:rsidP="003379EB">
            <w:pPr>
              <w:spacing w:before="0"/>
            </w:pPr>
            <w:r w:rsidRPr="005463EE">
              <w:t>Société Financière Internationale</w:t>
            </w:r>
          </w:p>
        </w:tc>
      </w:tr>
      <w:tr w:rsidR="005463EE" w:rsidRPr="005463EE" w14:paraId="0DF1A948" w14:textId="77777777" w:rsidTr="003379EB">
        <w:trPr>
          <w:trHeight w:val="283"/>
          <w:tblCellSpacing w:w="15" w:type="dxa"/>
        </w:trPr>
        <w:tc>
          <w:tcPr>
            <w:tcW w:w="2223" w:type="dxa"/>
            <w:vAlign w:val="center"/>
            <w:hideMark/>
          </w:tcPr>
          <w:p w14:paraId="5774DDC3" w14:textId="77777777" w:rsidR="005463EE" w:rsidRPr="005463EE" w:rsidRDefault="005463EE" w:rsidP="003379EB">
            <w:pPr>
              <w:spacing w:before="0"/>
            </w:pPr>
            <w:r w:rsidRPr="005463EE">
              <w:rPr>
                <w:b/>
                <w:bCs/>
              </w:rPr>
              <w:t>SIBE</w:t>
            </w:r>
          </w:p>
        </w:tc>
        <w:tc>
          <w:tcPr>
            <w:tcW w:w="0" w:type="auto"/>
            <w:vAlign w:val="center"/>
            <w:hideMark/>
          </w:tcPr>
          <w:p w14:paraId="396C61D3" w14:textId="77777777" w:rsidR="005463EE" w:rsidRPr="005463EE" w:rsidRDefault="005463EE" w:rsidP="003379EB">
            <w:pPr>
              <w:spacing w:before="0"/>
            </w:pPr>
            <w:r w:rsidRPr="005463EE">
              <w:t>Site d’Intérêt Biologique et Écologique</w:t>
            </w:r>
          </w:p>
        </w:tc>
      </w:tr>
      <w:tr w:rsidR="005463EE" w:rsidRPr="005463EE" w14:paraId="56F32602" w14:textId="77777777" w:rsidTr="003379EB">
        <w:trPr>
          <w:trHeight w:val="283"/>
          <w:tblCellSpacing w:w="15" w:type="dxa"/>
        </w:trPr>
        <w:tc>
          <w:tcPr>
            <w:tcW w:w="2223" w:type="dxa"/>
            <w:vAlign w:val="center"/>
            <w:hideMark/>
          </w:tcPr>
          <w:p w14:paraId="0AF7E987" w14:textId="33D5D56F" w:rsidR="005463EE" w:rsidRPr="005463EE" w:rsidRDefault="005463EE" w:rsidP="003379EB">
            <w:pPr>
              <w:spacing w:before="0"/>
            </w:pPr>
            <w:r w:rsidRPr="005463EE">
              <w:rPr>
                <w:b/>
                <w:bCs/>
              </w:rPr>
              <w:t>SO</w:t>
            </w:r>
          </w:p>
        </w:tc>
        <w:tc>
          <w:tcPr>
            <w:tcW w:w="0" w:type="auto"/>
            <w:vAlign w:val="center"/>
            <w:hideMark/>
          </w:tcPr>
          <w:p w14:paraId="63C6A6A0" w14:textId="67F050D1" w:rsidR="005463EE" w:rsidRPr="005463EE" w:rsidRDefault="005463EE" w:rsidP="003379EB">
            <w:pPr>
              <w:spacing w:before="0"/>
            </w:pPr>
            <w:r w:rsidRPr="005463EE">
              <w:t>Sauvegarde Opérationnelle</w:t>
            </w:r>
          </w:p>
        </w:tc>
      </w:tr>
      <w:tr w:rsidR="005463EE" w:rsidRPr="005463EE" w14:paraId="4023C860" w14:textId="77777777" w:rsidTr="003379EB">
        <w:trPr>
          <w:trHeight w:val="283"/>
          <w:tblCellSpacing w:w="15" w:type="dxa"/>
        </w:trPr>
        <w:tc>
          <w:tcPr>
            <w:tcW w:w="2223" w:type="dxa"/>
            <w:vAlign w:val="center"/>
            <w:hideMark/>
          </w:tcPr>
          <w:p w14:paraId="49060B6B" w14:textId="77777777" w:rsidR="005463EE" w:rsidRPr="005463EE" w:rsidRDefault="005463EE" w:rsidP="003379EB">
            <w:pPr>
              <w:spacing w:before="0"/>
            </w:pPr>
            <w:r w:rsidRPr="005463EE">
              <w:rPr>
                <w:b/>
                <w:bCs/>
              </w:rPr>
              <w:t>STEP</w:t>
            </w:r>
          </w:p>
        </w:tc>
        <w:tc>
          <w:tcPr>
            <w:tcW w:w="0" w:type="auto"/>
            <w:vAlign w:val="center"/>
            <w:hideMark/>
          </w:tcPr>
          <w:p w14:paraId="07F0E8E8" w14:textId="77777777" w:rsidR="005463EE" w:rsidRPr="005463EE" w:rsidRDefault="005463EE" w:rsidP="003379EB">
            <w:pPr>
              <w:spacing w:before="0"/>
            </w:pPr>
            <w:r w:rsidRPr="005463EE">
              <w:t>Station d’Épuration des Eaux Usées</w:t>
            </w:r>
          </w:p>
        </w:tc>
      </w:tr>
      <w:tr w:rsidR="005463EE" w:rsidRPr="005463EE" w14:paraId="24DD91B6" w14:textId="77777777" w:rsidTr="003379EB">
        <w:trPr>
          <w:trHeight w:val="283"/>
          <w:tblCellSpacing w:w="15" w:type="dxa"/>
        </w:trPr>
        <w:tc>
          <w:tcPr>
            <w:tcW w:w="2223" w:type="dxa"/>
            <w:vAlign w:val="center"/>
            <w:hideMark/>
          </w:tcPr>
          <w:p w14:paraId="37CAD847" w14:textId="77777777" w:rsidR="005463EE" w:rsidRPr="005463EE" w:rsidRDefault="005463EE" w:rsidP="003379EB">
            <w:pPr>
              <w:spacing w:before="0"/>
            </w:pPr>
            <w:r w:rsidRPr="005463EE">
              <w:rPr>
                <w:b/>
                <w:bCs/>
              </w:rPr>
              <w:t>SSI</w:t>
            </w:r>
          </w:p>
        </w:tc>
        <w:tc>
          <w:tcPr>
            <w:tcW w:w="0" w:type="auto"/>
            <w:vAlign w:val="center"/>
            <w:hideMark/>
          </w:tcPr>
          <w:p w14:paraId="7BD7E79E" w14:textId="77777777" w:rsidR="005463EE" w:rsidRPr="005463EE" w:rsidRDefault="005463EE" w:rsidP="003379EB">
            <w:pPr>
              <w:spacing w:before="0"/>
            </w:pPr>
            <w:r w:rsidRPr="005463EE">
              <w:t>Système de Sauvegardes Intégré (BAD, 2023)</w:t>
            </w:r>
          </w:p>
        </w:tc>
      </w:tr>
      <w:tr w:rsidR="005463EE" w:rsidRPr="005463EE" w14:paraId="5E6743FB" w14:textId="77777777" w:rsidTr="003379EB">
        <w:trPr>
          <w:trHeight w:val="283"/>
          <w:tblCellSpacing w:w="15" w:type="dxa"/>
        </w:trPr>
        <w:tc>
          <w:tcPr>
            <w:tcW w:w="2223" w:type="dxa"/>
            <w:vAlign w:val="center"/>
            <w:hideMark/>
          </w:tcPr>
          <w:p w14:paraId="5362C4AE" w14:textId="77777777" w:rsidR="005463EE" w:rsidRPr="005463EE" w:rsidRDefault="005463EE" w:rsidP="003379EB">
            <w:pPr>
              <w:spacing w:before="0"/>
            </w:pPr>
            <w:r w:rsidRPr="005463EE">
              <w:rPr>
                <w:b/>
                <w:bCs/>
              </w:rPr>
              <w:t>VECs</w:t>
            </w:r>
          </w:p>
        </w:tc>
        <w:tc>
          <w:tcPr>
            <w:tcW w:w="0" w:type="auto"/>
            <w:vAlign w:val="center"/>
            <w:hideMark/>
          </w:tcPr>
          <w:p w14:paraId="0F201F8E" w14:textId="77777777" w:rsidR="005463EE" w:rsidRPr="005463EE" w:rsidRDefault="005463EE" w:rsidP="003379EB">
            <w:pPr>
              <w:spacing w:before="0"/>
            </w:pPr>
            <w:r w:rsidRPr="005463EE">
              <w:t>Valued Environmental and Social Components (Composantes Environnementales et Sociales Valorées)</w:t>
            </w:r>
          </w:p>
        </w:tc>
      </w:tr>
      <w:tr w:rsidR="005463EE" w:rsidRPr="005463EE" w14:paraId="426AB1EE" w14:textId="77777777" w:rsidTr="003379EB">
        <w:trPr>
          <w:trHeight w:val="283"/>
          <w:tblCellSpacing w:w="15" w:type="dxa"/>
        </w:trPr>
        <w:tc>
          <w:tcPr>
            <w:tcW w:w="2223" w:type="dxa"/>
            <w:vAlign w:val="center"/>
            <w:hideMark/>
          </w:tcPr>
          <w:p w14:paraId="3AA7D345" w14:textId="77777777" w:rsidR="005463EE" w:rsidRPr="005463EE" w:rsidRDefault="005463EE" w:rsidP="003379EB">
            <w:pPr>
              <w:spacing w:before="0"/>
            </w:pPr>
            <w:r w:rsidRPr="005463EE">
              <w:rPr>
                <w:b/>
                <w:bCs/>
              </w:rPr>
              <w:t>VBG / SEAH</w:t>
            </w:r>
          </w:p>
        </w:tc>
        <w:tc>
          <w:tcPr>
            <w:tcW w:w="0" w:type="auto"/>
            <w:vAlign w:val="center"/>
            <w:hideMark/>
          </w:tcPr>
          <w:p w14:paraId="5360C4CC" w14:textId="77777777" w:rsidR="005463EE" w:rsidRPr="005463EE" w:rsidRDefault="005463EE" w:rsidP="003379EB">
            <w:pPr>
              <w:spacing w:before="0"/>
            </w:pPr>
            <w:r w:rsidRPr="005463EE">
              <w:t>Violences Basées sur le Genre / Sexual Exploitation, Abuse and Harassment</w:t>
            </w:r>
          </w:p>
        </w:tc>
      </w:tr>
    </w:tbl>
    <w:p w14:paraId="23E5DA2A" w14:textId="2BD270CF" w:rsidR="00E71A65" w:rsidRDefault="00E71A65" w:rsidP="000048F7">
      <w:pPr>
        <w:rPr>
          <w:rFonts w:ascii="Arial"/>
          <w:rtl/>
        </w:rPr>
      </w:pPr>
      <w:r>
        <w:br w:type="page"/>
      </w:r>
    </w:p>
    <w:p w14:paraId="06B00181" w14:textId="77777777" w:rsidR="00183815" w:rsidRDefault="00183815" w:rsidP="00183815">
      <w:pPr>
        <w:pStyle w:val="Default"/>
        <w:spacing w:after="240" w:line="276" w:lineRule="auto"/>
        <w:jc w:val="center"/>
        <w:rPr>
          <w:rFonts w:ascii="Cambria" w:hAnsi="Cambria" w:cstheme="minorBidi"/>
          <w:b/>
          <w:bCs/>
          <w:color w:val="0028A8"/>
          <w:sz w:val="32"/>
          <w:szCs w:val="32"/>
        </w:rPr>
      </w:pPr>
      <w:r w:rsidRPr="00E00ACB">
        <w:rPr>
          <w:rFonts w:ascii="Cambria" w:hAnsi="Cambria" w:cstheme="minorBidi"/>
          <w:b/>
          <w:bCs/>
          <w:color w:val="0028A8"/>
          <w:sz w:val="32"/>
          <w:szCs w:val="32"/>
          <w:rtl/>
        </w:rPr>
        <w:lastRenderedPageBreak/>
        <w:t>ملخص</w:t>
      </w:r>
    </w:p>
    <w:p w14:paraId="29500FF5" w14:textId="77777777" w:rsidR="00183815" w:rsidRDefault="00183815" w:rsidP="00183815">
      <w:pPr>
        <w:bidi/>
        <w:rPr>
          <w:rFonts w:ascii="Arial"/>
          <w:rtl/>
        </w:rPr>
      </w:pPr>
      <w:r w:rsidRPr="00B67F5B">
        <w:rPr>
          <w:sz w:val="28"/>
          <w:szCs w:val="28"/>
          <w:rtl/>
          <w:lang w:bidi="ar-SA"/>
        </w:rPr>
        <w:t xml:space="preserve">في إطار مسؤولياته ووفقًا لأفضل التوصيات المعتمدة في قطاع المطارات، يحرص المكتب الوطني للمطارات </w:t>
      </w:r>
      <w:r>
        <w:rPr>
          <w:rFonts w:hint="cs"/>
          <w:sz w:val="28"/>
          <w:szCs w:val="28"/>
          <w:rtl/>
          <w:lang w:bidi="ar-SA"/>
        </w:rPr>
        <w:t xml:space="preserve">على </w:t>
      </w:r>
      <w:r w:rsidRPr="00B67F5B">
        <w:rPr>
          <w:sz w:val="28"/>
          <w:szCs w:val="28"/>
          <w:rtl/>
          <w:lang w:bidi="ar-SA"/>
        </w:rPr>
        <w:t>إ</w:t>
      </w:r>
      <w:r>
        <w:rPr>
          <w:rFonts w:hint="cs"/>
          <w:sz w:val="28"/>
          <w:szCs w:val="28"/>
          <w:rtl/>
          <w:lang w:bidi="ar-SA"/>
        </w:rPr>
        <w:t>جابة</w:t>
      </w:r>
      <w:r w:rsidRPr="00B67F5B">
        <w:rPr>
          <w:sz w:val="28"/>
          <w:szCs w:val="28"/>
          <w:rtl/>
          <w:lang w:bidi="ar-SA"/>
        </w:rPr>
        <w:t xml:space="preserve"> احتياجات الطاقة الاستيعابية للمطارات المغربية، وذلك لمواكبة </w:t>
      </w:r>
      <w:r w:rsidRPr="00B67F5B">
        <w:rPr>
          <w:rFonts w:hint="cs"/>
          <w:sz w:val="28"/>
          <w:szCs w:val="28"/>
          <w:rtl/>
          <w:lang w:bidi="ar-SA"/>
        </w:rPr>
        <w:t>تطورات</w:t>
      </w:r>
      <w:r w:rsidRPr="00B67F5B">
        <w:rPr>
          <w:sz w:val="28"/>
          <w:szCs w:val="28"/>
          <w:rtl/>
          <w:lang w:bidi="ar-SA"/>
        </w:rPr>
        <w:t xml:space="preserve"> حركة النقل الجوي</w:t>
      </w:r>
      <w:r w:rsidRPr="00B67F5B">
        <w:rPr>
          <w:rFonts w:ascii="Arial"/>
          <w:sz w:val="28"/>
          <w:szCs w:val="28"/>
          <w:rtl/>
        </w:rPr>
        <w:t xml:space="preserve">. </w:t>
      </w:r>
      <w:r w:rsidRPr="00B67F5B">
        <w:rPr>
          <w:sz w:val="28"/>
          <w:szCs w:val="28"/>
          <w:rtl/>
          <w:lang w:bidi="ar-SA"/>
        </w:rPr>
        <w:t xml:space="preserve">وتُحدد هذه الاحتياجات وفقاً للأولويات الوطنية </w:t>
      </w:r>
      <w:r w:rsidRPr="00B67F5B">
        <w:rPr>
          <w:rFonts w:hint="cs"/>
          <w:sz w:val="28"/>
          <w:szCs w:val="28"/>
          <w:rtl/>
          <w:lang w:bidi="ar-SA"/>
        </w:rPr>
        <w:t>و</w:t>
      </w:r>
      <w:r>
        <w:rPr>
          <w:rFonts w:hint="cs"/>
          <w:sz w:val="28"/>
          <w:szCs w:val="28"/>
          <w:rtl/>
          <w:lang w:bidi="ar-SA"/>
        </w:rPr>
        <w:t xml:space="preserve">ديناميات </w:t>
      </w:r>
      <w:r w:rsidRPr="00B67F5B">
        <w:rPr>
          <w:rFonts w:hint="cs"/>
          <w:sz w:val="28"/>
          <w:szCs w:val="28"/>
          <w:rtl/>
          <w:lang w:bidi="ar-SA"/>
        </w:rPr>
        <w:t>مختلف</w:t>
      </w:r>
      <w:r w:rsidRPr="00B67F5B">
        <w:rPr>
          <w:sz w:val="28"/>
          <w:szCs w:val="28"/>
          <w:rtl/>
          <w:lang w:bidi="ar-SA"/>
        </w:rPr>
        <w:t xml:space="preserve"> القطاعات المؤثرة على حركة النقل الجوي</w:t>
      </w:r>
      <w:r w:rsidRPr="00A01B59">
        <w:rPr>
          <w:rFonts w:ascii="Arial" w:hint="cs"/>
          <w:sz w:val="28"/>
          <w:szCs w:val="28"/>
          <w:rtl/>
        </w:rPr>
        <w:t>.</w:t>
      </w:r>
    </w:p>
    <w:p w14:paraId="7F80EF3C" w14:textId="02C0101A" w:rsidR="00183815" w:rsidRDefault="00183815" w:rsidP="00183815">
      <w:pPr>
        <w:bidi/>
        <w:rPr>
          <w:sz w:val="28"/>
          <w:szCs w:val="28"/>
        </w:rPr>
      </w:pPr>
      <w:r w:rsidRPr="00BE47FD">
        <w:rPr>
          <w:sz w:val="28"/>
          <w:szCs w:val="28"/>
          <w:rtl/>
          <w:lang w:bidi="ar-SA"/>
        </w:rPr>
        <w:t xml:space="preserve">انطلاقًا من هذا الهدف، يخطط المكتب الوطني للمطارات لتحديث وتوسيع البنيات التحتية لمطار </w:t>
      </w:r>
      <w:r w:rsidRPr="0029759F">
        <w:rPr>
          <w:sz w:val="28"/>
          <w:szCs w:val="28"/>
          <w:rtl/>
          <w:lang w:bidi="ar-SA"/>
        </w:rPr>
        <w:t>مراكش المنارة</w:t>
      </w:r>
      <w:r w:rsidRPr="00BE47FD">
        <w:rPr>
          <w:rFonts w:ascii="Arial"/>
          <w:sz w:val="28"/>
          <w:szCs w:val="28"/>
          <w:rtl/>
        </w:rPr>
        <w:t xml:space="preserve">. </w:t>
      </w:r>
      <w:r w:rsidRPr="00BE47FD">
        <w:rPr>
          <w:sz w:val="28"/>
          <w:szCs w:val="28"/>
          <w:rtl/>
          <w:lang w:bidi="ar-SA"/>
        </w:rPr>
        <w:t xml:space="preserve">تُقدر الطاقة الاستيعابية الحالية لمطار </w:t>
      </w:r>
      <w:r w:rsidRPr="0029759F">
        <w:rPr>
          <w:sz w:val="28"/>
          <w:szCs w:val="28"/>
          <w:rtl/>
          <w:lang w:bidi="ar-SA"/>
        </w:rPr>
        <w:t xml:space="preserve">مراكش </w:t>
      </w:r>
      <w:r>
        <w:rPr>
          <w:rFonts w:hint="cs"/>
          <w:sz w:val="28"/>
          <w:szCs w:val="28"/>
          <w:rtl/>
          <w:lang w:bidi="ar-AE"/>
        </w:rPr>
        <w:t>بثمانية</w:t>
      </w:r>
      <w:r w:rsidRPr="0029759F">
        <w:rPr>
          <w:sz w:val="28"/>
          <w:szCs w:val="28"/>
          <w:rtl/>
          <w:lang w:bidi="ar-SA"/>
        </w:rPr>
        <w:t xml:space="preserve"> ملايين مسافر </w:t>
      </w:r>
      <w:r w:rsidRPr="00BE47FD">
        <w:rPr>
          <w:sz w:val="28"/>
          <w:szCs w:val="28"/>
          <w:rtl/>
          <w:lang w:bidi="ar-SA"/>
        </w:rPr>
        <w:t xml:space="preserve">سنويًا، وفي إطار مشروع </w:t>
      </w:r>
      <w:r w:rsidRPr="00BE47FD">
        <w:rPr>
          <w:rFonts w:hint="cs"/>
          <w:sz w:val="28"/>
          <w:szCs w:val="28"/>
          <w:rtl/>
          <w:lang w:bidi="ar-SA"/>
        </w:rPr>
        <w:t>التطوير،</w:t>
      </w:r>
      <w:r>
        <w:rPr>
          <w:rFonts w:ascii="Arial"/>
          <w:sz w:val="28"/>
          <w:szCs w:val="28"/>
          <w:rtl/>
        </w:rPr>
        <w:t xml:space="preserve"> </w:t>
      </w:r>
      <w:r w:rsidRPr="00BE47FD">
        <w:rPr>
          <w:sz w:val="28"/>
          <w:szCs w:val="28"/>
          <w:rtl/>
          <w:lang w:bidi="ar-SA"/>
        </w:rPr>
        <w:t xml:space="preserve">سترتفع هذه الطاقة الاستيعابية لتصل إلى </w:t>
      </w:r>
      <w:r>
        <w:rPr>
          <w:sz w:val="28"/>
          <w:szCs w:val="28"/>
        </w:rPr>
        <w:t>16</w:t>
      </w:r>
      <w:r w:rsidRPr="00BE47FD">
        <w:rPr>
          <w:rFonts w:ascii="Arial"/>
          <w:sz w:val="28"/>
          <w:szCs w:val="28"/>
          <w:rtl/>
        </w:rPr>
        <w:t xml:space="preserve"> </w:t>
      </w:r>
      <w:r w:rsidRPr="0029759F">
        <w:rPr>
          <w:sz w:val="28"/>
          <w:szCs w:val="28"/>
          <w:rtl/>
          <w:lang w:bidi="ar-SA"/>
        </w:rPr>
        <w:t xml:space="preserve">مليون </w:t>
      </w:r>
      <w:r w:rsidRPr="00BE47FD">
        <w:rPr>
          <w:sz w:val="28"/>
          <w:szCs w:val="28"/>
          <w:rtl/>
          <w:lang w:bidi="ar-SA"/>
        </w:rPr>
        <w:t xml:space="preserve">مسافر سنويًا بحلول عام </w:t>
      </w:r>
      <w:r w:rsidRPr="00BE47FD">
        <w:rPr>
          <w:rFonts w:ascii="Arial"/>
          <w:sz w:val="28"/>
          <w:szCs w:val="28"/>
          <w:rtl/>
        </w:rPr>
        <w:t>2030</w:t>
      </w:r>
      <w:r w:rsidRPr="00BE47FD">
        <w:rPr>
          <w:sz w:val="28"/>
          <w:szCs w:val="28"/>
          <w:rtl/>
          <w:lang w:bidi="ar-SA"/>
        </w:rPr>
        <w:t xml:space="preserve">، </w:t>
      </w:r>
      <w:r w:rsidRPr="0029759F">
        <w:rPr>
          <w:sz w:val="28"/>
          <w:szCs w:val="28"/>
          <w:rtl/>
          <w:lang w:bidi="ar-SA"/>
        </w:rPr>
        <w:t>وذلك لمواكبة حركة النقل الجوي</w:t>
      </w:r>
      <w:r w:rsidRPr="0029759F">
        <w:rPr>
          <w:rFonts w:ascii="Arial"/>
          <w:sz w:val="28"/>
          <w:szCs w:val="28"/>
          <w:rtl/>
        </w:rPr>
        <w:t>.</w:t>
      </w:r>
    </w:p>
    <w:p w14:paraId="1066CAB5" w14:textId="77777777" w:rsidR="00183815" w:rsidRDefault="00183815" w:rsidP="00183815">
      <w:pPr>
        <w:bidi/>
        <w:rPr>
          <w:sz w:val="28"/>
          <w:szCs w:val="28"/>
        </w:rPr>
      </w:pPr>
      <w:r w:rsidRPr="00893054">
        <w:rPr>
          <w:sz w:val="28"/>
          <w:szCs w:val="28"/>
          <w:rtl/>
          <w:lang w:bidi="ar-SA"/>
        </w:rPr>
        <w:t>لدعم هذا التطور</w:t>
      </w:r>
      <w:r w:rsidRPr="00834A80">
        <w:rPr>
          <w:sz w:val="28"/>
          <w:szCs w:val="28"/>
          <w:rtl/>
          <w:lang w:bidi="ar-SA"/>
        </w:rPr>
        <w:t xml:space="preserve">، يتضمن مشروع توسعة مطار </w:t>
      </w:r>
      <w:r w:rsidRPr="0029759F">
        <w:rPr>
          <w:rFonts w:hint="cs"/>
          <w:sz w:val="28"/>
          <w:szCs w:val="28"/>
          <w:rtl/>
          <w:lang w:bidi="ar-SA"/>
        </w:rPr>
        <w:t>مراكش،</w:t>
      </w:r>
      <w:r w:rsidRPr="00834A80">
        <w:rPr>
          <w:sz w:val="28"/>
          <w:szCs w:val="28"/>
          <w:rtl/>
          <w:lang w:bidi="ar-SA"/>
        </w:rPr>
        <w:t xml:space="preserve"> الذي سيُموَّل من قبل البنك الإفريقي للتنمية، إنشاء ساحات جديدة لوقوف الطائرات والمسارات الجوية المرتبطة بها، وتطبيق نظام الإشارات الضوئية وإضاءة ساحات الوقوف، بالإضافة إلى تركيب معدات الأمن وتحسين وسائل التنقل الداخلية بالمطار</w:t>
      </w:r>
      <w:r>
        <w:rPr>
          <w:sz w:val="28"/>
          <w:szCs w:val="28"/>
        </w:rPr>
        <w:t>.</w:t>
      </w:r>
    </w:p>
    <w:p w14:paraId="527B499C" w14:textId="784E6667" w:rsidR="00183815" w:rsidRDefault="00183815" w:rsidP="00183815">
      <w:pPr>
        <w:bidi/>
        <w:rPr>
          <w:sz w:val="28"/>
          <w:szCs w:val="28"/>
        </w:rPr>
      </w:pPr>
      <w:r w:rsidRPr="002447FD">
        <w:rPr>
          <w:sz w:val="28"/>
          <w:szCs w:val="28"/>
          <w:rtl/>
          <w:lang w:bidi="ar-SA"/>
        </w:rPr>
        <w:t xml:space="preserve">يُقدّر مشروع توسيع وإعادة تطوير مرافق مطار </w:t>
      </w:r>
      <w:r w:rsidRPr="0029759F">
        <w:rPr>
          <w:rFonts w:hint="cs"/>
          <w:sz w:val="28"/>
          <w:szCs w:val="28"/>
          <w:rtl/>
          <w:lang w:bidi="ar-SA"/>
        </w:rPr>
        <w:t>مراكش</w:t>
      </w:r>
      <w:r>
        <w:rPr>
          <w:rFonts w:ascii="Arial"/>
          <w:sz w:val="28"/>
          <w:szCs w:val="28"/>
          <w:rtl/>
        </w:rPr>
        <w:t xml:space="preserve"> </w:t>
      </w:r>
      <w:r>
        <w:rPr>
          <w:sz w:val="28"/>
          <w:szCs w:val="28"/>
          <w:rtl/>
          <w:lang w:bidi="ar-SA"/>
        </w:rPr>
        <w:t xml:space="preserve">بميزانية إجمالية تبلغ </w:t>
      </w:r>
      <w:r>
        <w:rPr>
          <w:sz w:val="28"/>
          <w:szCs w:val="28"/>
        </w:rPr>
        <w:t>3</w:t>
      </w:r>
      <w:r>
        <w:rPr>
          <w:sz w:val="28"/>
          <w:szCs w:val="28"/>
          <w:rtl/>
          <w:lang w:bidi="ar-SA"/>
        </w:rPr>
        <w:t xml:space="preserve"> ملي</w:t>
      </w:r>
      <w:r>
        <w:rPr>
          <w:rFonts w:hint="cs"/>
          <w:sz w:val="28"/>
          <w:szCs w:val="28"/>
          <w:rtl/>
          <w:lang w:bidi="ar-SA"/>
        </w:rPr>
        <w:t xml:space="preserve">ار </w:t>
      </w:r>
      <w:r w:rsidRPr="002447FD">
        <w:rPr>
          <w:sz w:val="28"/>
          <w:szCs w:val="28"/>
          <w:rtl/>
          <w:lang w:bidi="ar-SA"/>
        </w:rPr>
        <w:t>درهم، مع مشاركة البنك الإفريقي للتنمية في تمويله</w:t>
      </w:r>
      <w:r>
        <w:rPr>
          <w:rFonts w:ascii="Arial" w:hint="cs"/>
          <w:sz w:val="28"/>
          <w:szCs w:val="28"/>
          <w:rtl/>
        </w:rPr>
        <w:t xml:space="preserve">. </w:t>
      </w:r>
      <w:r w:rsidRPr="00FB0DA2">
        <w:rPr>
          <w:sz w:val="28"/>
          <w:szCs w:val="28"/>
          <w:rtl/>
          <w:lang w:bidi="ar-SA"/>
        </w:rPr>
        <w:t>ويأتي هذا المشروع في إطار الدينامية الحضرية والاقتصادية الرامية إلى تحديث البنى التحتية وتنشيط القطاع السياحي</w:t>
      </w:r>
      <w:r w:rsidRPr="00FB0DA2">
        <w:rPr>
          <w:rFonts w:ascii="Arial"/>
          <w:sz w:val="28"/>
          <w:szCs w:val="28"/>
          <w:rtl/>
        </w:rPr>
        <w:t>.</w:t>
      </w:r>
    </w:p>
    <w:p w14:paraId="5EC3C6ED" w14:textId="77777777" w:rsidR="00183815" w:rsidRDefault="00183815" w:rsidP="00183815">
      <w:pPr>
        <w:bidi/>
        <w:rPr>
          <w:sz w:val="28"/>
          <w:szCs w:val="28"/>
        </w:rPr>
      </w:pPr>
      <w:r w:rsidRPr="004A2ADC">
        <w:rPr>
          <w:sz w:val="28"/>
          <w:szCs w:val="28"/>
          <w:rtl/>
          <w:lang w:bidi="ar-SA"/>
        </w:rPr>
        <w:t>تتناول هذه الدراسة حول التأثيرات البيئية والاجتماعية بش</w:t>
      </w:r>
      <w:r>
        <w:rPr>
          <w:sz w:val="28"/>
          <w:szCs w:val="28"/>
          <w:rtl/>
          <w:lang w:bidi="ar-SA"/>
        </w:rPr>
        <w:t>كل حصري مكونات مشروع توسعة مطار</w:t>
      </w:r>
      <w:r w:rsidRPr="00A31EEA">
        <w:rPr>
          <w:rFonts w:ascii="Arial"/>
          <w:sz w:val="28"/>
          <w:szCs w:val="28"/>
          <w:rtl/>
        </w:rPr>
        <w:t xml:space="preserve"> </w:t>
      </w:r>
      <w:r w:rsidRPr="0029759F">
        <w:rPr>
          <w:sz w:val="28"/>
          <w:szCs w:val="28"/>
          <w:rtl/>
          <w:lang w:bidi="ar-SA"/>
        </w:rPr>
        <w:t>مراكش</w:t>
      </w:r>
      <w:r w:rsidRPr="004A2ADC">
        <w:rPr>
          <w:rFonts w:ascii="Arial"/>
          <w:sz w:val="28"/>
          <w:szCs w:val="28"/>
          <w:rtl/>
        </w:rPr>
        <w:t xml:space="preserve">. </w:t>
      </w:r>
      <w:r w:rsidRPr="004A2ADC">
        <w:rPr>
          <w:sz w:val="28"/>
          <w:szCs w:val="28"/>
          <w:rtl/>
          <w:lang w:bidi="ar-SA"/>
        </w:rPr>
        <w:t xml:space="preserve">ومن حيث الآثار الإيجابية، يُتوقع أن يسهم المشروع بشكل رئيسي </w:t>
      </w:r>
      <w:r w:rsidRPr="004A2ADC">
        <w:rPr>
          <w:rFonts w:hint="cs"/>
          <w:sz w:val="28"/>
          <w:szCs w:val="28"/>
          <w:rtl/>
          <w:lang w:bidi="ar-SA"/>
        </w:rPr>
        <w:t>في</w:t>
      </w:r>
      <w:r>
        <w:rPr>
          <w:rFonts w:ascii="Arial" w:hint="cs"/>
          <w:sz w:val="28"/>
          <w:szCs w:val="28"/>
          <w:rtl/>
        </w:rPr>
        <w:t>:</w:t>
      </w:r>
    </w:p>
    <w:p w14:paraId="17B36976" w14:textId="77777777" w:rsidR="00183815" w:rsidRPr="00D07715" w:rsidRDefault="00183815" w:rsidP="0001633E">
      <w:pPr>
        <w:pStyle w:val="Paragraphedeliste"/>
        <w:numPr>
          <w:ilvl w:val="0"/>
          <w:numId w:val="208"/>
        </w:numPr>
        <w:bidi/>
        <w:spacing w:before="0" w:after="160" w:line="259" w:lineRule="auto"/>
        <w:rPr>
          <w:rFonts w:ascii="Arial"/>
          <w:sz w:val="28"/>
          <w:szCs w:val="28"/>
          <w:rtl/>
        </w:rPr>
      </w:pPr>
      <w:r w:rsidRPr="00FB0DA2">
        <w:rPr>
          <w:sz w:val="28"/>
          <w:szCs w:val="28"/>
          <w:rtl/>
          <w:lang w:bidi="ar-SA"/>
        </w:rPr>
        <w:t>زيادة القدرة الاستيعابية للطائرات والمسافرين، لمواكبة نمو حركة النقل الجوي الوطني والدولي</w:t>
      </w:r>
      <w:r>
        <w:rPr>
          <w:sz w:val="28"/>
          <w:szCs w:val="28"/>
        </w:rPr>
        <w:t>.</w:t>
      </w:r>
    </w:p>
    <w:p w14:paraId="58E194E7" w14:textId="77777777" w:rsidR="00183815" w:rsidRDefault="00183815" w:rsidP="0001633E">
      <w:pPr>
        <w:pStyle w:val="Paragraphedeliste"/>
        <w:numPr>
          <w:ilvl w:val="0"/>
          <w:numId w:val="208"/>
        </w:numPr>
        <w:bidi/>
        <w:spacing w:before="0" w:after="160" w:line="259" w:lineRule="auto"/>
        <w:rPr>
          <w:sz w:val="28"/>
          <w:szCs w:val="28"/>
        </w:rPr>
      </w:pPr>
      <w:r w:rsidRPr="00FB0DA2">
        <w:rPr>
          <w:sz w:val="28"/>
          <w:szCs w:val="28"/>
          <w:rtl/>
          <w:lang w:bidi="ar-SA"/>
        </w:rPr>
        <w:t xml:space="preserve">تعزيز سلاسة </w:t>
      </w:r>
      <w:r>
        <w:rPr>
          <w:rFonts w:hint="cs"/>
          <w:sz w:val="28"/>
          <w:szCs w:val="28"/>
          <w:rtl/>
          <w:lang w:bidi="ar-SA"/>
        </w:rPr>
        <w:t>الحركة</w:t>
      </w:r>
      <w:r w:rsidRPr="00FB0DA2">
        <w:rPr>
          <w:sz w:val="28"/>
          <w:szCs w:val="28"/>
          <w:rtl/>
          <w:lang w:bidi="ar-SA"/>
        </w:rPr>
        <w:t xml:space="preserve"> الجوية </w:t>
      </w:r>
      <w:r w:rsidRPr="00EE3B05">
        <w:rPr>
          <w:sz w:val="28"/>
          <w:szCs w:val="28"/>
          <w:rtl/>
          <w:lang w:bidi="ar-SA"/>
        </w:rPr>
        <w:t>من خلال تطوير البنى التحتية للإشارات الأرضية ومواقف الطائرات</w:t>
      </w:r>
      <w:r>
        <w:rPr>
          <w:rFonts w:ascii="Arial" w:hint="cs"/>
          <w:sz w:val="28"/>
          <w:szCs w:val="28"/>
          <w:rtl/>
        </w:rPr>
        <w:t>.</w:t>
      </w:r>
    </w:p>
    <w:p w14:paraId="611A553B" w14:textId="77777777" w:rsidR="00183815" w:rsidRDefault="00183815" w:rsidP="0001633E">
      <w:pPr>
        <w:pStyle w:val="Paragraphedeliste"/>
        <w:numPr>
          <w:ilvl w:val="0"/>
          <w:numId w:val="208"/>
        </w:numPr>
        <w:bidi/>
        <w:spacing w:before="0" w:after="160" w:line="259" w:lineRule="auto"/>
        <w:rPr>
          <w:sz w:val="28"/>
          <w:szCs w:val="28"/>
        </w:rPr>
      </w:pPr>
      <w:r w:rsidRPr="00EE3B05">
        <w:rPr>
          <w:sz w:val="28"/>
          <w:szCs w:val="28"/>
          <w:rtl/>
          <w:lang w:bidi="ar-SA"/>
        </w:rPr>
        <w:t>تحديث تجهيزات الأمن والسلامة بما يتوافق مع معايير منظمة الطيران المدني الدولي</w:t>
      </w:r>
      <w:r>
        <w:rPr>
          <w:sz w:val="28"/>
          <w:szCs w:val="28"/>
        </w:rPr>
        <w:t>.</w:t>
      </w:r>
    </w:p>
    <w:p w14:paraId="4A44A72D" w14:textId="77777777" w:rsidR="00183815" w:rsidRDefault="00183815" w:rsidP="0001633E">
      <w:pPr>
        <w:pStyle w:val="Paragraphedeliste"/>
        <w:numPr>
          <w:ilvl w:val="0"/>
          <w:numId w:val="208"/>
        </w:numPr>
        <w:bidi/>
        <w:spacing w:before="0" w:after="160" w:line="259" w:lineRule="auto"/>
        <w:rPr>
          <w:sz w:val="28"/>
          <w:szCs w:val="28"/>
        </w:rPr>
      </w:pPr>
      <w:r w:rsidRPr="00EE3B05">
        <w:rPr>
          <w:sz w:val="28"/>
          <w:szCs w:val="28"/>
          <w:rtl/>
          <w:lang w:bidi="ar-SA"/>
        </w:rPr>
        <w:t>تر</w:t>
      </w:r>
      <w:r>
        <w:rPr>
          <w:sz w:val="28"/>
          <w:szCs w:val="28"/>
          <w:rtl/>
          <w:lang w:bidi="ar-SA"/>
        </w:rPr>
        <w:t xml:space="preserve">سيخ الاستدامة البيئية لمنشآت </w:t>
      </w:r>
      <w:r>
        <w:rPr>
          <w:rFonts w:hint="cs"/>
          <w:sz w:val="28"/>
          <w:szCs w:val="28"/>
          <w:rtl/>
          <w:lang w:bidi="ar-AE"/>
        </w:rPr>
        <w:t>المطار.</w:t>
      </w:r>
    </w:p>
    <w:p w14:paraId="74A07B54" w14:textId="77777777" w:rsidR="00183815" w:rsidRDefault="00183815" w:rsidP="00183815">
      <w:pPr>
        <w:bidi/>
        <w:rPr>
          <w:sz w:val="28"/>
          <w:szCs w:val="28"/>
        </w:rPr>
      </w:pPr>
      <w:r w:rsidRPr="00073291">
        <w:rPr>
          <w:sz w:val="28"/>
          <w:szCs w:val="28"/>
          <w:rtl/>
          <w:lang w:bidi="ar-SA"/>
        </w:rPr>
        <w:t>تتركز الآثار السلبية المحتملة بشكل أساسي خلال مرحلة البناء، والتي سيتم تعويضها أو حتى التخلص منها من خلال بتطبيق تدابير التخفيف الموصى بها وخطة المتابعة والمراقبة الموضوعة في هذه الدراسة</w:t>
      </w:r>
      <w:r w:rsidRPr="00073291">
        <w:rPr>
          <w:rFonts w:ascii="Arial"/>
          <w:sz w:val="28"/>
          <w:szCs w:val="28"/>
          <w:rtl/>
        </w:rPr>
        <w:t xml:space="preserve">. </w:t>
      </w:r>
      <w:r w:rsidRPr="00073291">
        <w:rPr>
          <w:sz w:val="28"/>
          <w:szCs w:val="28"/>
          <w:rtl/>
          <w:lang w:bidi="ar-SA"/>
        </w:rPr>
        <w:t xml:space="preserve">كما </w:t>
      </w:r>
      <w:r>
        <w:rPr>
          <w:rFonts w:hint="cs"/>
          <w:sz w:val="28"/>
          <w:szCs w:val="28"/>
          <w:rtl/>
          <w:lang w:bidi="ar-SA"/>
        </w:rPr>
        <w:t>ي</w:t>
      </w:r>
      <w:r w:rsidRPr="00073291">
        <w:rPr>
          <w:sz w:val="28"/>
          <w:szCs w:val="28"/>
          <w:rtl/>
          <w:lang w:bidi="ar-SA"/>
        </w:rPr>
        <w:t>خطط المكتب الوطني للمطارات</w:t>
      </w:r>
      <w:r w:rsidRPr="00073291">
        <w:rPr>
          <w:sz w:val="28"/>
          <w:szCs w:val="28"/>
        </w:rPr>
        <w:t xml:space="preserve"> </w:t>
      </w:r>
      <w:r w:rsidRPr="00073291">
        <w:rPr>
          <w:sz w:val="28"/>
          <w:szCs w:val="28"/>
          <w:rtl/>
          <w:lang w:bidi="ar-SA"/>
        </w:rPr>
        <w:t>بتطبيق إجراءات تتعلق بالجودة والسلامة والبيئة، بهدف تجنب أي تأثيرات سلبية خلال مرحلة الأشغال</w:t>
      </w:r>
      <w:r w:rsidRPr="00073291">
        <w:rPr>
          <w:sz w:val="28"/>
          <w:szCs w:val="28"/>
        </w:rPr>
        <w:t>.</w:t>
      </w:r>
    </w:p>
    <w:p w14:paraId="4BA82F8A" w14:textId="77777777" w:rsidR="00183815" w:rsidRDefault="00183815" w:rsidP="00183815">
      <w:pPr>
        <w:bidi/>
        <w:rPr>
          <w:sz w:val="28"/>
          <w:szCs w:val="28"/>
        </w:rPr>
      </w:pPr>
      <w:r w:rsidRPr="00CC6C20">
        <w:rPr>
          <w:sz w:val="28"/>
          <w:szCs w:val="28"/>
          <w:rtl/>
          <w:lang w:bidi="ar-SA"/>
        </w:rPr>
        <w:t xml:space="preserve">خلال مرحلة </w:t>
      </w:r>
      <w:r w:rsidRPr="00073291">
        <w:rPr>
          <w:rFonts w:hint="cs"/>
          <w:sz w:val="28"/>
          <w:szCs w:val="28"/>
          <w:rtl/>
          <w:lang w:bidi="ar-SA"/>
        </w:rPr>
        <w:t>التشغيل</w:t>
      </w:r>
      <w:r w:rsidRPr="00CC6C20">
        <w:rPr>
          <w:rFonts w:hint="cs"/>
          <w:sz w:val="28"/>
          <w:szCs w:val="28"/>
          <w:rtl/>
          <w:lang w:bidi="ar-SA"/>
        </w:rPr>
        <w:t>،</w:t>
      </w:r>
      <w:r w:rsidRPr="00CC6C20">
        <w:rPr>
          <w:rFonts w:ascii="Arial"/>
          <w:sz w:val="28"/>
          <w:szCs w:val="28"/>
          <w:rtl/>
        </w:rPr>
        <w:t xml:space="preserve"> </w:t>
      </w:r>
      <w:r w:rsidRPr="00073291">
        <w:rPr>
          <w:sz w:val="28"/>
          <w:szCs w:val="28"/>
          <w:rtl/>
          <w:lang w:bidi="ar-SA"/>
        </w:rPr>
        <w:t xml:space="preserve">يعتزم </w:t>
      </w:r>
      <w:r w:rsidRPr="00CC6C20">
        <w:rPr>
          <w:sz w:val="28"/>
          <w:szCs w:val="28"/>
          <w:rtl/>
          <w:lang w:bidi="ar-SA"/>
        </w:rPr>
        <w:t>المكتب الوطني للمطارات</w:t>
      </w:r>
      <w:r w:rsidRPr="00CC6C20">
        <w:rPr>
          <w:sz w:val="28"/>
          <w:szCs w:val="28"/>
        </w:rPr>
        <w:t xml:space="preserve"> </w:t>
      </w:r>
      <w:r w:rsidRPr="00CC6C20">
        <w:rPr>
          <w:sz w:val="28"/>
          <w:szCs w:val="28"/>
          <w:rtl/>
          <w:lang w:bidi="ar-SA"/>
        </w:rPr>
        <w:t>إدارة المشروع بما يتوافق مع معايير الجودة والسلامة والصحة والبيئة</w:t>
      </w:r>
      <w:r w:rsidRPr="00CC6C20">
        <w:rPr>
          <w:rFonts w:ascii="Arial"/>
          <w:sz w:val="28"/>
          <w:szCs w:val="28"/>
          <w:rtl/>
        </w:rPr>
        <w:t xml:space="preserve">. </w:t>
      </w:r>
      <w:r w:rsidRPr="00CC6C20">
        <w:rPr>
          <w:sz w:val="28"/>
          <w:szCs w:val="28"/>
          <w:rtl/>
          <w:lang w:bidi="ar-SA"/>
        </w:rPr>
        <w:t>علاوة على ذلك، فإن دمج برنامج التخفيف والمتابعة لمكونات المشروع البيئية، كما أوصت به الدراسة، يجعل الآثار السلبية خلال هذه المرحلة ضئيلة للغاية أو حتى منعدمة</w:t>
      </w:r>
      <w:r w:rsidRPr="00CC6C20">
        <w:rPr>
          <w:sz w:val="28"/>
          <w:szCs w:val="28"/>
        </w:rPr>
        <w:t>.</w:t>
      </w:r>
    </w:p>
    <w:p w14:paraId="0E349BE0" w14:textId="77777777" w:rsidR="00183815" w:rsidRPr="001153E5" w:rsidRDefault="00183815" w:rsidP="00183815">
      <w:pPr>
        <w:bidi/>
        <w:rPr>
          <w:sz w:val="28"/>
          <w:szCs w:val="28"/>
        </w:rPr>
      </w:pPr>
      <w:r w:rsidRPr="001F3D3A">
        <w:rPr>
          <w:sz w:val="28"/>
          <w:szCs w:val="28"/>
          <w:rtl/>
          <w:lang w:bidi="ar-SA"/>
        </w:rPr>
        <w:t>التكلفة الإجمالية لبرنامج ال</w:t>
      </w:r>
      <w:r>
        <w:rPr>
          <w:sz w:val="28"/>
          <w:szCs w:val="28"/>
          <w:rtl/>
          <w:lang w:bidi="ar-SA"/>
        </w:rPr>
        <w:t xml:space="preserve">تدبير البيئي والاجتماعي تبلغ </w:t>
      </w:r>
      <w:r>
        <w:rPr>
          <w:rFonts w:cs="Times New Roman"/>
          <w:sz w:val="28"/>
          <w:szCs w:val="28"/>
        </w:rPr>
        <w:t>2,09</w:t>
      </w:r>
      <w:r w:rsidRPr="001F3D3A">
        <w:rPr>
          <w:sz w:val="28"/>
          <w:szCs w:val="28"/>
          <w:rtl/>
          <w:lang w:bidi="ar-SA"/>
        </w:rPr>
        <w:t xml:space="preserve"> مليون درهم</w:t>
      </w:r>
      <w:r w:rsidRPr="001F3D3A">
        <w:rPr>
          <w:rFonts w:ascii="Arial"/>
          <w:sz w:val="28"/>
          <w:szCs w:val="28"/>
          <w:rtl/>
        </w:rPr>
        <w:t>.</w:t>
      </w:r>
    </w:p>
    <w:p w14:paraId="134C9294" w14:textId="77777777" w:rsidR="00183815" w:rsidRDefault="00183815" w:rsidP="00183815">
      <w:pPr>
        <w:bidi/>
        <w:rPr>
          <w:lang w:bidi="ar-AE"/>
        </w:rPr>
      </w:pPr>
    </w:p>
    <w:p w14:paraId="7BA00610" w14:textId="77777777" w:rsidR="00183815" w:rsidRPr="00E84D8C" w:rsidRDefault="00183815" w:rsidP="00183815">
      <w:pPr>
        <w:bidi/>
        <w:rPr>
          <w:sz w:val="28"/>
          <w:szCs w:val="28"/>
        </w:rPr>
      </w:pPr>
      <w:r w:rsidRPr="00E84D8C">
        <w:rPr>
          <w:sz w:val="28"/>
          <w:szCs w:val="28"/>
          <w:rtl/>
          <w:lang w:bidi="ar-SA"/>
        </w:rPr>
        <w:lastRenderedPageBreak/>
        <w:t>يهدف مشروع تحديث وتوسيع البنية التحتية لمطار مراكش الدولي إلى تعزيز القدرة التشغيلية والأمن وجودة الخدمات المقدمة في المطار</w:t>
      </w:r>
      <w:r w:rsidRPr="00E84D8C">
        <w:rPr>
          <w:rFonts w:ascii="Arial"/>
          <w:sz w:val="28"/>
          <w:szCs w:val="28"/>
          <w:rtl/>
        </w:rPr>
        <w:t xml:space="preserve">. </w:t>
      </w:r>
      <w:r w:rsidRPr="00E84D8C">
        <w:rPr>
          <w:sz w:val="28"/>
          <w:szCs w:val="28"/>
          <w:rtl/>
          <w:lang w:bidi="ar-SA"/>
        </w:rPr>
        <w:t>ويندرج هذا المشروع في إطار الدينامية الرامية إلى تحديث شبكة المطارات الوطنية، بهدف مواكبة نمو حركة المسافرين ودعم التنمية الاقتصادية والسياحية لجهة مراكش آسفي</w:t>
      </w:r>
      <w:r w:rsidRPr="00E84D8C">
        <w:rPr>
          <w:rFonts w:ascii="Arial"/>
          <w:sz w:val="28"/>
          <w:szCs w:val="28"/>
          <w:rtl/>
        </w:rPr>
        <w:t>.</w:t>
      </w:r>
    </w:p>
    <w:p w14:paraId="45158CE6" w14:textId="77777777" w:rsidR="00183815" w:rsidRDefault="00183815" w:rsidP="00183815">
      <w:pPr>
        <w:bidi/>
        <w:rPr>
          <w:rtl/>
          <w:lang w:bidi="ar-AE"/>
        </w:rPr>
      </w:pPr>
    </w:p>
    <w:p w14:paraId="66CB1B69" w14:textId="77777777" w:rsidR="00183815" w:rsidRDefault="00183815" w:rsidP="00183815">
      <w:pPr>
        <w:bidi/>
      </w:pPr>
      <w:r>
        <w:t xml:space="preserve"> </w:t>
      </w:r>
    </w:p>
    <w:p w14:paraId="433E77D0" w14:textId="6F143A1F" w:rsidR="00183815" w:rsidRDefault="00183815" w:rsidP="000048F7"/>
    <w:p w14:paraId="7606B058" w14:textId="0F3BD55C" w:rsidR="00183815" w:rsidRDefault="00183815" w:rsidP="000048F7"/>
    <w:p w14:paraId="0574F581" w14:textId="14F2EE77" w:rsidR="00183815" w:rsidRDefault="00183815" w:rsidP="000048F7"/>
    <w:p w14:paraId="46B3199B" w14:textId="77A6BAD7" w:rsidR="00183815" w:rsidRDefault="00183815" w:rsidP="000048F7"/>
    <w:p w14:paraId="525AB0FB" w14:textId="5C0523F9" w:rsidR="00183815" w:rsidRDefault="00183815" w:rsidP="000048F7"/>
    <w:p w14:paraId="4C41DD53" w14:textId="18B34D98" w:rsidR="00183815" w:rsidRDefault="00183815" w:rsidP="000048F7"/>
    <w:p w14:paraId="31B47BB7" w14:textId="1B7B458F" w:rsidR="00183815" w:rsidRDefault="00183815" w:rsidP="000048F7"/>
    <w:p w14:paraId="63283D70" w14:textId="253D90F4" w:rsidR="00183815" w:rsidRDefault="00183815" w:rsidP="000048F7"/>
    <w:p w14:paraId="45EEB5E9" w14:textId="07284E8C" w:rsidR="00183815" w:rsidRDefault="00183815" w:rsidP="000048F7"/>
    <w:p w14:paraId="305A13C6" w14:textId="7436EEC7" w:rsidR="00183815" w:rsidRDefault="00183815" w:rsidP="000048F7"/>
    <w:p w14:paraId="7A7332EA" w14:textId="28E3E15D" w:rsidR="00183815" w:rsidRDefault="00183815" w:rsidP="000048F7"/>
    <w:p w14:paraId="49496F9F" w14:textId="6D48C4EC" w:rsidR="00183815" w:rsidRDefault="00183815" w:rsidP="000048F7"/>
    <w:p w14:paraId="1BB780DB" w14:textId="0A5B5B68" w:rsidR="00183815" w:rsidRDefault="00183815" w:rsidP="000048F7"/>
    <w:p w14:paraId="6DCE5CE6" w14:textId="22DCDFFE" w:rsidR="00183815" w:rsidRDefault="00183815" w:rsidP="000048F7"/>
    <w:p w14:paraId="0E89D643" w14:textId="09F7084F" w:rsidR="00183815" w:rsidRDefault="00183815" w:rsidP="000048F7"/>
    <w:p w14:paraId="650669A2" w14:textId="07F4E090" w:rsidR="00183815" w:rsidRDefault="00183815" w:rsidP="000048F7"/>
    <w:p w14:paraId="5857B473" w14:textId="1AD6F7D8" w:rsidR="00183815" w:rsidRDefault="00183815" w:rsidP="000048F7"/>
    <w:p w14:paraId="43EEE78B" w14:textId="169886DC" w:rsidR="00183815" w:rsidRDefault="00183815" w:rsidP="000048F7"/>
    <w:p w14:paraId="747A6CBA" w14:textId="60F77A4D" w:rsidR="00183815" w:rsidRDefault="00183815" w:rsidP="000048F7"/>
    <w:p w14:paraId="111BCE51" w14:textId="55AAEDEA" w:rsidR="00183815" w:rsidRDefault="00183815" w:rsidP="000048F7"/>
    <w:p w14:paraId="197617DB" w14:textId="0FAC0BFE" w:rsidR="00183815" w:rsidRDefault="00183815" w:rsidP="000048F7"/>
    <w:p w14:paraId="1C6E0968" w14:textId="77777777" w:rsidR="00183815" w:rsidRDefault="00183815" w:rsidP="000048F7">
      <w:pPr>
        <w:sectPr w:rsidR="00183815" w:rsidSect="008637EF">
          <w:headerReference w:type="default" r:id="rId17"/>
          <w:footerReference w:type="default" r:id="rId18"/>
          <w:pgSz w:w="11906" w:h="16838"/>
          <w:pgMar w:top="1417" w:right="1417" w:bottom="1276" w:left="1417" w:header="680" w:footer="680" w:gutter="0"/>
          <w:cols w:space="708"/>
          <w:docGrid w:linePitch="360"/>
        </w:sectPr>
      </w:pPr>
    </w:p>
    <w:p w14:paraId="2DEC06A7" w14:textId="77777777" w:rsidR="00183815" w:rsidRPr="008E0953" w:rsidRDefault="00183815" w:rsidP="00183815">
      <w:pPr>
        <w:jc w:val="center"/>
        <w:rPr>
          <w:rFonts w:ascii="Arial"/>
          <w:rtl/>
        </w:rPr>
      </w:pPr>
      <w:r w:rsidRPr="008E0953">
        <w:rPr>
          <w:sz w:val="24"/>
          <w:rtl/>
          <w:lang w:bidi="ar-SA"/>
        </w:rPr>
        <w:lastRenderedPageBreak/>
        <w:t>جدول</w:t>
      </w:r>
      <w:r w:rsidRPr="008E0953">
        <w:rPr>
          <w:rFonts w:ascii="Arial"/>
          <w:rtl/>
        </w:rPr>
        <w:t xml:space="preserve"> </w:t>
      </w:r>
      <w:r w:rsidRPr="008E0953">
        <w:rPr>
          <w:sz w:val="24"/>
          <w:rtl/>
          <w:lang w:bidi="ar-SA"/>
        </w:rPr>
        <w:t>برنامج</w:t>
      </w:r>
      <w:r w:rsidRPr="008E0953">
        <w:rPr>
          <w:rFonts w:ascii="Arial"/>
          <w:rtl/>
        </w:rPr>
        <w:t xml:space="preserve"> </w:t>
      </w:r>
      <w:r w:rsidRPr="008E0953">
        <w:rPr>
          <w:sz w:val="24"/>
          <w:rtl/>
          <w:lang w:bidi="ar-SA"/>
        </w:rPr>
        <w:t>إدارة</w:t>
      </w:r>
      <w:r w:rsidRPr="008E0953">
        <w:rPr>
          <w:rFonts w:ascii="Arial"/>
          <w:rtl/>
        </w:rPr>
        <w:t xml:space="preserve"> </w:t>
      </w:r>
      <w:r w:rsidRPr="008E0953">
        <w:rPr>
          <w:sz w:val="24"/>
          <w:rtl/>
          <w:lang w:bidi="ar-SA"/>
        </w:rPr>
        <w:t>البيئة</w:t>
      </w:r>
      <w:r w:rsidRPr="008E0953">
        <w:rPr>
          <w:rFonts w:ascii="Arial"/>
          <w:rtl/>
        </w:rPr>
        <w:t xml:space="preserve"> </w:t>
      </w:r>
      <w:r w:rsidRPr="008E0953">
        <w:rPr>
          <w:sz w:val="24"/>
          <w:rtl/>
          <w:lang w:bidi="ar-SA"/>
        </w:rPr>
        <w:t xml:space="preserve">والمجتمع </w:t>
      </w:r>
      <w:r w:rsidRPr="008E0953">
        <w:rPr>
          <w:rFonts w:ascii="Arial"/>
          <w:rtl/>
        </w:rPr>
        <w:t xml:space="preserve">– </w:t>
      </w:r>
      <w:r w:rsidRPr="008E0953">
        <w:rPr>
          <w:sz w:val="24"/>
          <w:rtl/>
          <w:lang w:bidi="ar-SA"/>
        </w:rPr>
        <w:t>مرحلة البناء</w:t>
      </w:r>
    </w:p>
    <w:tbl>
      <w:tblPr>
        <w:tblW w:w="0" w:type="auto"/>
        <w:jc w:val="center"/>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978"/>
        <w:gridCol w:w="2381"/>
        <w:gridCol w:w="2166"/>
        <w:gridCol w:w="1636"/>
        <w:gridCol w:w="2081"/>
        <w:gridCol w:w="2006"/>
        <w:gridCol w:w="1404"/>
        <w:gridCol w:w="1483"/>
      </w:tblGrid>
      <w:tr w:rsidR="00183815" w:rsidRPr="003B3295" w14:paraId="7F2EE755" w14:textId="77777777" w:rsidTr="00AC2854">
        <w:trPr>
          <w:tblHeader/>
          <w:tblCellSpacing w:w="15" w:type="dxa"/>
          <w:jc w:val="center"/>
        </w:trPr>
        <w:tc>
          <w:tcPr>
            <w:tcW w:w="0" w:type="auto"/>
            <w:vAlign w:val="center"/>
            <w:hideMark/>
          </w:tcPr>
          <w:p w14:paraId="1145F8AA" w14:textId="77777777" w:rsidR="00183815" w:rsidRPr="003B3295" w:rsidRDefault="00183815" w:rsidP="006C49DE">
            <w:pPr>
              <w:spacing w:after="0" w:line="240" w:lineRule="auto"/>
              <w:jc w:val="center"/>
              <w:rPr>
                <w:rFonts w:ascii="Times New Roman" w:hAnsi="Times New Roman" w:cs="Times New Roman"/>
                <w:b/>
                <w:bCs/>
                <w:sz w:val="24"/>
                <w:szCs w:val="24"/>
                <w:lang w:eastAsia="fr-FR"/>
              </w:rPr>
            </w:pPr>
            <w:r w:rsidRPr="003B3295">
              <w:rPr>
                <w:rFonts w:ascii="Times New Roman" w:hAnsi="Times New Roman" w:cs="Times New Roman"/>
                <w:b/>
                <w:bCs/>
                <w:sz w:val="24"/>
                <w:szCs w:val="24"/>
                <w:rtl/>
                <w:lang w:eastAsia="fr-FR" w:bidi="ar-SA"/>
              </w:rPr>
              <w:t>الجانب</w:t>
            </w:r>
          </w:p>
        </w:tc>
        <w:tc>
          <w:tcPr>
            <w:tcW w:w="0" w:type="auto"/>
            <w:vAlign w:val="center"/>
            <w:hideMark/>
          </w:tcPr>
          <w:p w14:paraId="44615D96" w14:textId="77777777" w:rsidR="00183815" w:rsidRPr="003B3295" w:rsidRDefault="00183815" w:rsidP="006C49DE">
            <w:pPr>
              <w:spacing w:after="0" w:line="240" w:lineRule="auto"/>
              <w:jc w:val="center"/>
              <w:rPr>
                <w:rFonts w:ascii="Times New Roman" w:hAnsi="Times New Roman" w:cs="Times New Roman"/>
                <w:b/>
                <w:bCs/>
                <w:sz w:val="24"/>
                <w:szCs w:val="24"/>
                <w:lang w:eastAsia="fr-FR"/>
              </w:rPr>
            </w:pPr>
            <w:r w:rsidRPr="003B3295">
              <w:rPr>
                <w:rFonts w:ascii="Times New Roman" w:hAnsi="Times New Roman" w:cs="Times New Roman"/>
                <w:b/>
                <w:bCs/>
                <w:sz w:val="24"/>
                <w:szCs w:val="24"/>
                <w:rtl/>
                <w:lang w:eastAsia="fr-FR" w:bidi="ar-SA"/>
              </w:rPr>
              <w:t xml:space="preserve">ما يجب القيام به </w:t>
            </w:r>
            <w:r w:rsidRPr="003B3295">
              <w:rPr>
                <w:rFonts w:ascii="Times New Roman" w:hAnsi="Times New Roman" w:cs="Times New Roman"/>
                <w:b/>
                <w:bCs/>
                <w:sz w:val="24"/>
                <w:szCs w:val="24"/>
                <w:rtl/>
                <w:lang w:eastAsia="fr-FR"/>
              </w:rPr>
              <w:t>(</w:t>
            </w:r>
            <w:r w:rsidRPr="003B3295">
              <w:rPr>
                <w:rFonts w:ascii="Times New Roman" w:hAnsi="Times New Roman" w:cs="Times New Roman"/>
                <w:b/>
                <w:bCs/>
                <w:sz w:val="24"/>
                <w:szCs w:val="24"/>
                <w:rtl/>
                <w:lang w:eastAsia="fr-FR" w:bidi="ar-SA"/>
              </w:rPr>
              <w:t>أيّ معطى يُرصد؟</w:t>
            </w:r>
            <w:r w:rsidRPr="003B3295">
              <w:rPr>
                <w:rFonts w:ascii="Times New Roman" w:hAnsi="Times New Roman" w:cs="Times New Roman"/>
                <w:b/>
                <w:bCs/>
                <w:sz w:val="24"/>
                <w:szCs w:val="24"/>
                <w:rtl/>
                <w:lang w:eastAsia="fr-FR"/>
              </w:rPr>
              <w:t>)</w:t>
            </w:r>
          </w:p>
        </w:tc>
        <w:tc>
          <w:tcPr>
            <w:tcW w:w="0" w:type="auto"/>
            <w:vAlign w:val="center"/>
            <w:hideMark/>
          </w:tcPr>
          <w:p w14:paraId="66501670" w14:textId="77777777" w:rsidR="00183815" w:rsidRPr="003B3295" w:rsidRDefault="00183815" w:rsidP="006C49DE">
            <w:pPr>
              <w:spacing w:after="0" w:line="240" w:lineRule="auto"/>
              <w:jc w:val="center"/>
              <w:rPr>
                <w:rFonts w:ascii="Times New Roman" w:hAnsi="Times New Roman" w:cs="Times New Roman"/>
                <w:b/>
                <w:bCs/>
                <w:sz w:val="24"/>
                <w:szCs w:val="24"/>
                <w:lang w:eastAsia="fr-FR"/>
              </w:rPr>
            </w:pPr>
            <w:r w:rsidRPr="003B3295">
              <w:rPr>
                <w:rFonts w:ascii="Times New Roman" w:hAnsi="Times New Roman" w:cs="Times New Roman"/>
                <w:b/>
                <w:bCs/>
                <w:sz w:val="24"/>
                <w:szCs w:val="24"/>
                <w:rtl/>
                <w:lang w:eastAsia="fr-FR" w:bidi="ar-SA"/>
              </w:rPr>
              <w:t xml:space="preserve">أين </w:t>
            </w:r>
            <w:r w:rsidRPr="003B3295">
              <w:rPr>
                <w:rFonts w:ascii="Times New Roman" w:hAnsi="Times New Roman" w:cs="Times New Roman"/>
                <w:b/>
                <w:bCs/>
                <w:sz w:val="24"/>
                <w:szCs w:val="24"/>
                <w:rtl/>
                <w:lang w:eastAsia="fr-FR"/>
              </w:rPr>
              <w:t>(</w:t>
            </w:r>
            <w:r w:rsidRPr="003B3295">
              <w:rPr>
                <w:rFonts w:ascii="Times New Roman" w:hAnsi="Times New Roman" w:cs="Times New Roman"/>
                <w:b/>
                <w:bCs/>
                <w:sz w:val="24"/>
                <w:szCs w:val="24"/>
                <w:rtl/>
                <w:lang w:eastAsia="fr-FR" w:bidi="ar-SA"/>
              </w:rPr>
              <w:t>نقطة المراقبة؟</w:t>
            </w:r>
            <w:r w:rsidRPr="003B3295">
              <w:rPr>
                <w:rFonts w:ascii="Times New Roman" w:hAnsi="Times New Roman" w:cs="Times New Roman"/>
                <w:b/>
                <w:bCs/>
                <w:sz w:val="24"/>
                <w:szCs w:val="24"/>
                <w:rtl/>
                <w:lang w:eastAsia="fr-FR"/>
              </w:rPr>
              <w:t>)</w:t>
            </w:r>
          </w:p>
        </w:tc>
        <w:tc>
          <w:tcPr>
            <w:tcW w:w="0" w:type="auto"/>
            <w:vAlign w:val="center"/>
            <w:hideMark/>
          </w:tcPr>
          <w:p w14:paraId="2979A373" w14:textId="77777777" w:rsidR="00183815" w:rsidRPr="003B3295" w:rsidRDefault="00183815" w:rsidP="006C49DE">
            <w:pPr>
              <w:spacing w:after="0" w:line="240" w:lineRule="auto"/>
              <w:jc w:val="center"/>
              <w:rPr>
                <w:rFonts w:ascii="Times New Roman" w:hAnsi="Times New Roman" w:cs="Times New Roman"/>
                <w:b/>
                <w:bCs/>
                <w:sz w:val="24"/>
                <w:szCs w:val="24"/>
                <w:lang w:eastAsia="fr-FR"/>
              </w:rPr>
            </w:pPr>
            <w:r w:rsidRPr="003B3295">
              <w:rPr>
                <w:rFonts w:ascii="Times New Roman" w:hAnsi="Times New Roman" w:cs="Times New Roman"/>
                <w:b/>
                <w:bCs/>
                <w:sz w:val="24"/>
                <w:szCs w:val="24"/>
                <w:rtl/>
                <w:lang w:eastAsia="fr-FR" w:bidi="ar-SA"/>
              </w:rPr>
              <w:t xml:space="preserve">كيف </w:t>
            </w:r>
            <w:r w:rsidRPr="003B3295">
              <w:rPr>
                <w:rFonts w:ascii="Times New Roman" w:hAnsi="Times New Roman" w:cs="Times New Roman"/>
                <w:b/>
                <w:bCs/>
                <w:sz w:val="24"/>
                <w:szCs w:val="24"/>
                <w:rtl/>
                <w:lang w:eastAsia="fr-FR"/>
              </w:rPr>
              <w:t>(</w:t>
            </w:r>
            <w:r w:rsidRPr="003B3295">
              <w:rPr>
                <w:rFonts w:ascii="Times New Roman" w:hAnsi="Times New Roman" w:cs="Times New Roman"/>
                <w:b/>
                <w:bCs/>
                <w:sz w:val="24"/>
                <w:szCs w:val="24"/>
                <w:rtl/>
                <w:lang w:eastAsia="fr-FR" w:bidi="ar-SA"/>
              </w:rPr>
              <w:t>طريقة المتابعة؟</w:t>
            </w:r>
            <w:r w:rsidRPr="003B3295">
              <w:rPr>
                <w:rFonts w:ascii="Times New Roman" w:hAnsi="Times New Roman" w:cs="Times New Roman"/>
                <w:b/>
                <w:bCs/>
                <w:sz w:val="24"/>
                <w:szCs w:val="24"/>
                <w:rtl/>
                <w:lang w:eastAsia="fr-FR"/>
              </w:rPr>
              <w:t>)</w:t>
            </w:r>
          </w:p>
        </w:tc>
        <w:tc>
          <w:tcPr>
            <w:tcW w:w="0" w:type="auto"/>
            <w:vAlign w:val="center"/>
            <w:hideMark/>
          </w:tcPr>
          <w:p w14:paraId="3A8047AC" w14:textId="77777777" w:rsidR="00183815" w:rsidRPr="003B3295" w:rsidRDefault="00183815" w:rsidP="006C49DE">
            <w:pPr>
              <w:spacing w:after="0" w:line="240" w:lineRule="auto"/>
              <w:jc w:val="center"/>
              <w:rPr>
                <w:rFonts w:ascii="Times New Roman" w:hAnsi="Times New Roman" w:cs="Times New Roman"/>
                <w:b/>
                <w:bCs/>
                <w:sz w:val="24"/>
                <w:szCs w:val="24"/>
                <w:lang w:eastAsia="fr-FR"/>
              </w:rPr>
            </w:pPr>
            <w:r w:rsidRPr="003B3295">
              <w:rPr>
                <w:rFonts w:ascii="Times New Roman" w:hAnsi="Times New Roman" w:cs="Times New Roman"/>
                <w:b/>
                <w:bCs/>
                <w:sz w:val="24"/>
                <w:szCs w:val="24"/>
                <w:rtl/>
                <w:lang w:eastAsia="fr-FR" w:bidi="ar-SA"/>
              </w:rPr>
              <w:t xml:space="preserve">متى </w:t>
            </w:r>
            <w:r w:rsidRPr="003B3295">
              <w:rPr>
                <w:rFonts w:ascii="Times New Roman" w:hAnsi="Times New Roman" w:cs="Times New Roman"/>
                <w:b/>
                <w:bCs/>
                <w:sz w:val="24"/>
                <w:szCs w:val="24"/>
                <w:rtl/>
                <w:lang w:eastAsia="fr-FR"/>
              </w:rPr>
              <w:t>(</w:t>
            </w:r>
            <w:r w:rsidRPr="003B3295">
              <w:rPr>
                <w:rFonts w:ascii="Times New Roman" w:hAnsi="Times New Roman" w:cs="Times New Roman"/>
                <w:b/>
                <w:bCs/>
                <w:sz w:val="24"/>
                <w:szCs w:val="24"/>
                <w:rtl/>
                <w:lang w:eastAsia="fr-FR" w:bidi="ar-SA"/>
              </w:rPr>
              <w:t>وتيرة المراقبة؟</w:t>
            </w:r>
            <w:r w:rsidRPr="003B3295">
              <w:rPr>
                <w:rFonts w:ascii="Times New Roman" w:hAnsi="Times New Roman" w:cs="Times New Roman"/>
                <w:b/>
                <w:bCs/>
                <w:sz w:val="24"/>
                <w:szCs w:val="24"/>
                <w:rtl/>
                <w:lang w:eastAsia="fr-FR"/>
              </w:rPr>
              <w:t>)</w:t>
            </w:r>
          </w:p>
        </w:tc>
        <w:tc>
          <w:tcPr>
            <w:tcW w:w="0" w:type="auto"/>
            <w:vAlign w:val="center"/>
            <w:hideMark/>
          </w:tcPr>
          <w:p w14:paraId="664A639B" w14:textId="77777777" w:rsidR="00183815" w:rsidRPr="003B3295" w:rsidRDefault="00183815" w:rsidP="006C49DE">
            <w:pPr>
              <w:spacing w:after="0" w:line="240" w:lineRule="auto"/>
              <w:jc w:val="center"/>
              <w:rPr>
                <w:rFonts w:ascii="Times New Roman" w:hAnsi="Times New Roman" w:cs="Times New Roman"/>
                <w:b/>
                <w:bCs/>
                <w:sz w:val="24"/>
                <w:szCs w:val="24"/>
                <w:lang w:eastAsia="fr-FR"/>
              </w:rPr>
            </w:pPr>
            <w:r w:rsidRPr="003B3295">
              <w:rPr>
                <w:rFonts w:ascii="Times New Roman" w:hAnsi="Times New Roman" w:cs="Times New Roman"/>
                <w:b/>
                <w:bCs/>
                <w:sz w:val="24"/>
                <w:szCs w:val="24"/>
                <w:rtl/>
                <w:lang w:eastAsia="fr-FR" w:bidi="ar-SA"/>
              </w:rPr>
              <w:t xml:space="preserve">لماذا </w:t>
            </w:r>
            <w:r w:rsidRPr="003B3295">
              <w:rPr>
                <w:rFonts w:ascii="Times New Roman" w:hAnsi="Times New Roman" w:cs="Times New Roman"/>
                <w:b/>
                <w:bCs/>
                <w:sz w:val="24"/>
                <w:szCs w:val="24"/>
                <w:rtl/>
                <w:lang w:eastAsia="fr-FR"/>
              </w:rPr>
              <w:t>(</w:t>
            </w:r>
            <w:r w:rsidRPr="003B3295">
              <w:rPr>
                <w:rFonts w:ascii="Times New Roman" w:hAnsi="Times New Roman" w:cs="Times New Roman"/>
                <w:b/>
                <w:bCs/>
                <w:sz w:val="24"/>
                <w:szCs w:val="24"/>
                <w:rtl/>
                <w:lang w:eastAsia="fr-FR" w:bidi="ar-SA"/>
              </w:rPr>
              <w:t>هدف المتابعة؟</w:t>
            </w:r>
            <w:r w:rsidRPr="003B3295">
              <w:rPr>
                <w:rFonts w:ascii="Times New Roman" w:hAnsi="Times New Roman" w:cs="Times New Roman"/>
                <w:b/>
                <w:bCs/>
                <w:sz w:val="24"/>
                <w:szCs w:val="24"/>
                <w:rtl/>
                <w:lang w:eastAsia="fr-FR"/>
              </w:rPr>
              <w:t>)</w:t>
            </w:r>
          </w:p>
        </w:tc>
        <w:tc>
          <w:tcPr>
            <w:tcW w:w="0" w:type="auto"/>
            <w:vAlign w:val="center"/>
            <w:hideMark/>
          </w:tcPr>
          <w:p w14:paraId="4EDC0E25" w14:textId="77777777" w:rsidR="00183815" w:rsidRPr="003B3295" w:rsidRDefault="00183815" w:rsidP="006C49DE">
            <w:pPr>
              <w:spacing w:after="0" w:line="240" w:lineRule="auto"/>
              <w:jc w:val="center"/>
              <w:rPr>
                <w:rFonts w:ascii="Times New Roman" w:hAnsi="Times New Roman" w:cs="Times New Roman"/>
                <w:b/>
                <w:bCs/>
                <w:sz w:val="24"/>
                <w:szCs w:val="24"/>
                <w:lang w:eastAsia="fr-FR"/>
              </w:rPr>
            </w:pPr>
            <w:r w:rsidRPr="003B3295">
              <w:rPr>
                <w:rFonts w:ascii="Times New Roman" w:hAnsi="Times New Roman" w:cs="Times New Roman"/>
                <w:b/>
                <w:bCs/>
                <w:sz w:val="24"/>
                <w:szCs w:val="24"/>
                <w:rtl/>
                <w:lang w:eastAsia="fr-FR" w:bidi="ar-SA"/>
              </w:rPr>
              <w:t>الكلفة</w:t>
            </w:r>
          </w:p>
        </w:tc>
        <w:tc>
          <w:tcPr>
            <w:tcW w:w="0" w:type="auto"/>
            <w:vAlign w:val="center"/>
            <w:hideMark/>
          </w:tcPr>
          <w:p w14:paraId="6B177D4D" w14:textId="77777777" w:rsidR="00183815" w:rsidRPr="003B3295" w:rsidRDefault="00183815" w:rsidP="006C49DE">
            <w:pPr>
              <w:spacing w:after="0" w:line="240" w:lineRule="auto"/>
              <w:jc w:val="center"/>
              <w:rPr>
                <w:rFonts w:ascii="Times New Roman" w:hAnsi="Times New Roman" w:cs="Times New Roman"/>
                <w:b/>
                <w:bCs/>
                <w:sz w:val="24"/>
                <w:szCs w:val="24"/>
                <w:lang w:eastAsia="fr-FR"/>
              </w:rPr>
            </w:pPr>
            <w:r w:rsidRPr="003B3295">
              <w:rPr>
                <w:rFonts w:ascii="Times New Roman" w:hAnsi="Times New Roman" w:cs="Times New Roman"/>
                <w:b/>
                <w:bCs/>
                <w:sz w:val="24"/>
                <w:szCs w:val="24"/>
                <w:rtl/>
                <w:lang w:eastAsia="fr-FR" w:bidi="ar-SA"/>
              </w:rPr>
              <w:t xml:space="preserve">من </w:t>
            </w:r>
            <w:r w:rsidRPr="003B3295">
              <w:rPr>
                <w:rFonts w:ascii="Times New Roman" w:hAnsi="Times New Roman" w:cs="Times New Roman"/>
                <w:b/>
                <w:bCs/>
                <w:sz w:val="24"/>
                <w:szCs w:val="24"/>
                <w:rtl/>
                <w:lang w:eastAsia="fr-FR"/>
              </w:rPr>
              <w:t>(</w:t>
            </w:r>
            <w:r w:rsidRPr="003B3295">
              <w:rPr>
                <w:rFonts w:ascii="Times New Roman" w:hAnsi="Times New Roman" w:cs="Times New Roman"/>
                <w:b/>
                <w:bCs/>
                <w:sz w:val="24"/>
                <w:szCs w:val="24"/>
                <w:rtl/>
                <w:lang w:eastAsia="fr-FR" w:bidi="ar-SA"/>
              </w:rPr>
              <w:t>المسؤول؟</w:t>
            </w:r>
            <w:r w:rsidRPr="003B3295">
              <w:rPr>
                <w:rFonts w:ascii="Times New Roman" w:hAnsi="Times New Roman" w:cs="Times New Roman"/>
                <w:b/>
                <w:bCs/>
                <w:sz w:val="24"/>
                <w:szCs w:val="24"/>
                <w:rtl/>
                <w:lang w:eastAsia="fr-FR"/>
              </w:rPr>
              <w:t>)</w:t>
            </w:r>
          </w:p>
        </w:tc>
      </w:tr>
      <w:tr w:rsidR="00183815" w:rsidRPr="003B3295" w14:paraId="4A8200A0" w14:textId="77777777" w:rsidTr="00AC2854">
        <w:trPr>
          <w:tblCellSpacing w:w="15" w:type="dxa"/>
          <w:jc w:val="center"/>
        </w:trPr>
        <w:tc>
          <w:tcPr>
            <w:tcW w:w="0" w:type="auto"/>
            <w:vAlign w:val="center"/>
            <w:hideMark/>
          </w:tcPr>
          <w:p w14:paraId="456DAB87" w14:textId="77777777" w:rsidR="00183815" w:rsidRPr="003B3295" w:rsidRDefault="00183815" w:rsidP="006C49DE">
            <w:pPr>
              <w:spacing w:after="0" w:line="240" w:lineRule="auto"/>
              <w:rPr>
                <w:rFonts w:ascii="Times New Roman" w:hAnsi="Times New Roman" w:cs="Times New Roman"/>
                <w:sz w:val="24"/>
                <w:szCs w:val="24"/>
                <w:lang w:eastAsia="fr-FR"/>
              </w:rPr>
            </w:pPr>
            <w:r w:rsidRPr="003B3295">
              <w:rPr>
                <w:rFonts w:ascii="Times New Roman" w:hAnsi="Times New Roman" w:cs="Times New Roman"/>
                <w:b/>
                <w:bCs/>
                <w:sz w:val="24"/>
                <w:szCs w:val="24"/>
                <w:rtl/>
                <w:lang w:eastAsia="fr-FR" w:bidi="ar-SA"/>
              </w:rPr>
              <w:t>الهواء</w:t>
            </w:r>
          </w:p>
        </w:tc>
        <w:tc>
          <w:tcPr>
            <w:tcW w:w="0" w:type="auto"/>
            <w:vAlign w:val="center"/>
            <w:hideMark/>
          </w:tcPr>
          <w:p w14:paraId="1B5A396E" w14:textId="77777777" w:rsidR="00183815" w:rsidRPr="003B3295" w:rsidRDefault="00183815" w:rsidP="006C49DE">
            <w:pPr>
              <w:spacing w:after="0" w:line="240" w:lineRule="auto"/>
              <w:rPr>
                <w:rFonts w:ascii="Times New Roman" w:hAnsi="Times New Roman" w:cs="Times New Roman"/>
                <w:sz w:val="24"/>
                <w:szCs w:val="24"/>
                <w:lang w:eastAsia="fr-FR"/>
              </w:rPr>
            </w:pPr>
            <w:r w:rsidRPr="003B3295">
              <w:rPr>
                <w:rFonts w:ascii="Times New Roman" w:hAnsi="Times New Roman" w:cs="Times New Roman"/>
                <w:sz w:val="24"/>
                <w:szCs w:val="24"/>
                <w:rtl/>
                <w:lang w:eastAsia="fr-FR" w:bidi="ar-SA"/>
              </w:rPr>
              <w:t>مراقبة مستويات الغبار والانبعاثات الناتجة عن الآليات</w:t>
            </w:r>
            <w:r w:rsidRPr="003B3295">
              <w:rPr>
                <w:rFonts w:ascii="Times New Roman" w:hAnsi="Times New Roman" w:cs="Times New Roman"/>
                <w:sz w:val="24"/>
                <w:szCs w:val="24"/>
                <w:lang w:eastAsia="fr-FR"/>
              </w:rPr>
              <w:t xml:space="preserve"> (PM10</w:t>
            </w:r>
            <w:r w:rsidRPr="003B3295">
              <w:rPr>
                <w:rFonts w:ascii="Times New Roman" w:hAnsi="Times New Roman" w:cs="Times New Roman"/>
                <w:sz w:val="24"/>
                <w:szCs w:val="24"/>
                <w:rtl/>
                <w:lang w:eastAsia="fr-FR" w:bidi="ar-SA"/>
              </w:rPr>
              <w:t xml:space="preserve">، </w:t>
            </w:r>
            <w:r w:rsidRPr="003B3295">
              <w:rPr>
                <w:rFonts w:ascii="Times New Roman" w:hAnsi="Times New Roman" w:cs="Times New Roman"/>
                <w:sz w:val="24"/>
                <w:szCs w:val="24"/>
                <w:lang w:eastAsia="fr-FR"/>
              </w:rPr>
              <w:t>PM2.5)</w:t>
            </w:r>
          </w:p>
        </w:tc>
        <w:tc>
          <w:tcPr>
            <w:tcW w:w="0" w:type="auto"/>
            <w:vAlign w:val="center"/>
            <w:hideMark/>
          </w:tcPr>
          <w:p w14:paraId="6F59ED33" w14:textId="77777777" w:rsidR="00183815" w:rsidRPr="003B3295" w:rsidRDefault="00183815" w:rsidP="006C49DE">
            <w:pPr>
              <w:spacing w:after="0" w:line="240" w:lineRule="auto"/>
              <w:rPr>
                <w:rFonts w:ascii="Times New Roman" w:hAnsi="Times New Roman" w:cs="Times New Roman"/>
                <w:sz w:val="24"/>
                <w:szCs w:val="24"/>
                <w:lang w:eastAsia="fr-FR"/>
              </w:rPr>
            </w:pPr>
            <w:r w:rsidRPr="003B3295">
              <w:rPr>
                <w:rFonts w:ascii="Times New Roman" w:hAnsi="Times New Roman" w:cs="Times New Roman"/>
                <w:sz w:val="24"/>
                <w:szCs w:val="24"/>
                <w:rtl/>
                <w:lang w:eastAsia="fr-FR" w:bidi="ar-SA"/>
              </w:rPr>
              <w:t>مناطق الحفر، المسالك الداخلية، مناطق تخزين المواد</w:t>
            </w:r>
          </w:p>
        </w:tc>
        <w:tc>
          <w:tcPr>
            <w:tcW w:w="0" w:type="auto"/>
            <w:vAlign w:val="center"/>
            <w:hideMark/>
          </w:tcPr>
          <w:p w14:paraId="67EDBF3A" w14:textId="77777777" w:rsidR="00183815" w:rsidRPr="003B3295" w:rsidRDefault="00183815" w:rsidP="006C49DE">
            <w:pPr>
              <w:spacing w:after="0" w:line="240" w:lineRule="auto"/>
              <w:rPr>
                <w:rFonts w:ascii="Times New Roman" w:hAnsi="Times New Roman" w:cs="Times New Roman"/>
                <w:sz w:val="24"/>
                <w:szCs w:val="24"/>
                <w:lang w:eastAsia="fr-FR"/>
              </w:rPr>
            </w:pPr>
            <w:r w:rsidRPr="003B3295">
              <w:rPr>
                <w:rFonts w:ascii="Times New Roman" w:hAnsi="Times New Roman" w:cs="Times New Roman"/>
                <w:sz w:val="24"/>
                <w:szCs w:val="24"/>
                <w:rtl/>
                <w:lang w:eastAsia="fr-FR" w:bidi="ar-SA"/>
              </w:rPr>
              <w:t>معاينة بصرية وقياس ميداني بواسطة جهاز محمول</w:t>
            </w:r>
          </w:p>
        </w:tc>
        <w:tc>
          <w:tcPr>
            <w:tcW w:w="0" w:type="auto"/>
            <w:vAlign w:val="center"/>
            <w:hideMark/>
          </w:tcPr>
          <w:p w14:paraId="26CDFE19" w14:textId="77777777" w:rsidR="00183815" w:rsidRPr="003B3295" w:rsidRDefault="00183815" w:rsidP="006C49DE">
            <w:pPr>
              <w:spacing w:after="0" w:line="240" w:lineRule="auto"/>
              <w:rPr>
                <w:rFonts w:ascii="Times New Roman" w:hAnsi="Times New Roman" w:cs="Times New Roman"/>
                <w:sz w:val="24"/>
                <w:szCs w:val="24"/>
                <w:lang w:eastAsia="fr-FR"/>
              </w:rPr>
            </w:pPr>
            <w:r w:rsidRPr="003B3295">
              <w:rPr>
                <w:rFonts w:ascii="Times New Roman" w:hAnsi="Times New Roman" w:cs="Times New Roman"/>
                <w:sz w:val="24"/>
                <w:szCs w:val="24"/>
                <w:rtl/>
                <w:lang w:eastAsia="fr-FR" w:bidi="ar-SA"/>
              </w:rPr>
              <w:t>أسبوعيًا أو بعد أي شكوى</w:t>
            </w:r>
          </w:p>
        </w:tc>
        <w:tc>
          <w:tcPr>
            <w:tcW w:w="0" w:type="auto"/>
            <w:vAlign w:val="center"/>
            <w:hideMark/>
          </w:tcPr>
          <w:p w14:paraId="4799B962" w14:textId="77777777" w:rsidR="00183815" w:rsidRPr="003B3295" w:rsidRDefault="00183815" w:rsidP="006C49DE">
            <w:pPr>
              <w:spacing w:after="0" w:line="240" w:lineRule="auto"/>
              <w:rPr>
                <w:rFonts w:ascii="Times New Roman" w:hAnsi="Times New Roman" w:cs="Times New Roman"/>
                <w:sz w:val="24"/>
                <w:szCs w:val="24"/>
                <w:lang w:eastAsia="fr-FR"/>
              </w:rPr>
            </w:pPr>
            <w:r w:rsidRPr="003B3295">
              <w:rPr>
                <w:rFonts w:ascii="Times New Roman" w:hAnsi="Times New Roman" w:cs="Times New Roman"/>
                <w:sz w:val="24"/>
                <w:szCs w:val="24"/>
                <w:rtl/>
                <w:lang w:eastAsia="fr-FR" w:bidi="ar-SA"/>
              </w:rPr>
              <w:t>التحقق من فعالية إجراءات مكافحة الغبار والحد من الإزعاج المحلي</w:t>
            </w:r>
          </w:p>
        </w:tc>
        <w:tc>
          <w:tcPr>
            <w:tcW w:w="0" w:type="auto"/>
            <w:vAlign w:val="center"/>
            <w:hideMark/>
          </w:tcPr>
          <w:p w14:paraId="6F69B632" w14:textId="77777777" w:rsidR="00183815" w:rsidRPr="003B3295" w:rsidRDefault="00183815" w:rsidP="006C49DE">
            <w:pPr>
              <w:spacing w:after="0" w:line="240" w:lineRule="auto"/>
              <w:rPr>
                <w:rFonts w:ascii="Times New Roman" w:hAnsi="Times New Roman" w:cs="Times New Roman"/>
                <w:sz w:val="24"/>
                <w:szCs w:val="24"/>
                <w:lang w:eastAsia="fr-FR"/>
              </w:rPr>
            </w:pPr>
            <w:r w:rsidRPr="003B3295">
              <w:rPr>
                <w:rFonts w:ascii="Times New Roman" w:hAnsi="Times New Roman" w:cs="Times New Roman"/>
                <w:sz w:val="24"/>
                <w:szCs w:val="24"/>
                <w:rtl/>
                <w:lang w:eastAsia="fr-FR" w:bidi="ar-SA"/>
              </w:rPr>
              <w:t>مضمَّن في عقد الـ</w:t>
            </w:r>
            <w:r w:rsidRPr="003B3295">
              <w:rPr>
                <w:rFonts w:ascii="Times New Roman" w:hAnsi="Times New Roman" w:cs="Times New Roman"/>
                <w:sz w:val="24"/>
                <w:szCs w:val="24"/>
                <w:lang w:eastAsia="fr-FR"/>
              </w:rPr>
              <w:t>EPC</w:t>
            </w:r>
          </w:p>
        </w:tc>
        <w:tc>
          <w:tcPr>
            <w:tcW w:w="0" w:type="auto"/>
            <w:vAlign w:val="center"/>
            <w:hideMark/>
          </w:tcPr>
          <w:p w14:paraId="457F94F3" w14:textId="77777777" w:rsidR="00183815" w:rsidRPr="003B3295" w:rsidRDefault="00183815" w:rsidP="006C49DE">
            <w:pPr>
              <w:spacing w:after="0" w:line="240" w:lineRule="auto"/>
              <w:rPr>
                <w:rFonts w:ascii="Times New Roman" w:hAnsi="Times New Roman" w:cs="Times New Roman"/>
                <w:sz w:val="24"/>
                <w:szCs w:val="24"/>
                <w:lang w:eastAsia="fr-FR"/>
              </w:rPr>
            </w:pPr>
            <w:r w:rsidRPr="003B3295">
              <w:rPr>
                <w:rFonts w:ascii="Times New Roman" w:hAnsi="Times New Roman" w:cs="Times New Roman"/>
                <w:sz w:val="24"/>
                <w:szCs w:val="24"/>
                <w:rtl/>
                <w:lang w:eastAsia="fr-FR" w:bidi="ar-SA"/>
              </w:rPr>
              <w:t>مقاول الـ</w:t>
            </w:r>
            <w:r w:rsidRPr="003B3295">
              <w:rPr>
                <w:rFonts w:ascii="Times New Roman" w:hAnsi="Times New Roman" w:cs="Times New Roman"/>
                <w:sz w:val="24"/>
                <w:szCs w:val="24"/>
                <w:lang w:eastAsia="fr-FR"/>
              </w:rPr>
              <w:t>EPC</w:t>
            </w:r>
          </w:p>
        </w:tc>
      </w:tr>
      <w:tr w:rsidR="00183815" w:rsidRPr="003B3295" w14:paraId="5B70FBF0" w14:textId="77777777" w:rsidTr="00AC2854">
        <w:trPr>
          <w:tblCellSpacing w:w="15" w:type="dxa"/>
          <w:jc w:val="center"/>
        </w:trPr>
        <w:tc>
          <w:tcPr>
            <w:tcW w:w="0" w:type="auto"/>
            <w:vAlign w:val="center"/>
            <w:hideMark/>
          </w:tcPr>
          <w:p w14:paraId="785EC580" w14:textId="77777777" w:rsidR="00183815" w:rsidRPr="003B3295" w:rsidRDefault="00183815" w:rsidP="006C49DE">
            <w:pPr>
              <w:spacing w:after="0" w:line="240" w:lineRule="auto"/>
              <w:rPr>
                <w:rFonts w:ascii="Times New Roman" w:hAnsi="Times New Roman" w:cs="Times New Roman"/>
                <w:sz w:val="24"/>
                <w:szCs w:val="24"/>
                <w:lang w:eastAsia="fr-FR"/>
              </w:rPr>
            </w:pPr>
            <w:r w:rsidRPr="003B3295">
              <w:rPr>
                <w:rFonts w:ascii="Times New Roman" w:hAnsi="Times New Roman" w:cs="Times New Roman"/>
                <w:b/>
                <w:bCs/>
                <w:sz w:val="24"/>
                <w:szCs w:val="24"/>
                <w:rtl/>
                <w:lang w:eastAsia="fr-FR" w:bidi="ar-SA"/>
              </w:rPr>
              <w:t>الضجيج</w:t>
            </w:r>
          </w:p>
        </w:tc>
        <w:tc>
          <w:tcPr>
            <w:tcW w:w="0" w:type="auto"/>
            <w:vAlign w:val="center"/>
            <w:hideMark/>
          </w:tcPr>
          <w:p w14:paraId="66CBB55C" w14:textId="77777777" w:rsidR="00183815" w:rsidRPr="003B3295" w:rsidRDefault="00183815" w:rsidP="006C49DE">
            <w:pPr>
              <w:spacing w:after="0" w:line="240" w:lineRule="auto"/>
              <w:rPr>
                <w:rFonts w:ascii="Times New Roman" w:hAnsi="Times New Roman" w:cs="Times New Roman"/>
                <w:sz w:val="24"/>
                <w:szCs w:val="24"/>
                <w:lang w:eastAsia="fr-FR"/>
              </w:rPr>
            </w:pPr>
            <w:r w:rsidRPr="003B3295">
              <w:rPr>
                <w:rFonts w:ascii="Times New Roman" w:hAnsi="Times New Roman" w:cs="Times New Roman"/>
                <w:sz w:val="24"/>
                <w:szCs w:val="24"/>
                <w:rtl/>
                <w:lang w:eastAsia="fr-FR" w:bidi="ar-SA"/>
              </w:rPr>
              <w:t>مراقبة مستويات الضوضاء والاهتزازات</w:t>
            </w:r>
          </w:p>
        </w:tc>
        <w:tc>
          <w:tcPr>
            <w:tcW w:w="0" w:type="auto"/>
            <w:vAlign w:val="center"/>
            <w:hideMark/>
          </w:tcPr>
          <w:p w14:paraId="2FF97FFC" w14:textId="77777777" w:rsidR="00183815" w:rsidRPr="003B3295" w:rsidRDefault="00183815" w:rsidP="006C49DE">
            <w:pPr>
              <w:spacing w:after="0" w:line="240" w:lineRule="auto"/>
              <w:rPr>
                <w:rFonts w:ascii="Times New Roman" w:hAnsi="Times New Roman" w:cs="Times New Roman"/>
                <w:sz w:val="24"/>
                <w:szCs w:val="24"/>
                <w:lang w:eastAsia="fr-FR"/>
              </w:rPr>
            </w:pPr>
            <w:r w:rsidRPr="003B3295">
              <w:rPr>
                <w:rFonts w:ascii="Times New Roman" w:hAnsi="Times New Roman" w:cs="Times New Roman"/>
                <w:sz w:val="24"/>
                <w:szCs w:val="24"/>
                <w:rtl/>
                <w:lang w:eastAsia="fr-FR" w:bidi="ar-SA"/>
              </w:rPr>
              <w:t xml:space="preserve">حدود الورشة، المناطق الحساسة </w:t>
            </w:r>
            <w:r w:rsidRPr="003B3295">
              <w:rPr>
                <w:rFonts w:ascii="Times New Roman" w:hAnsi="Times New Roman" w:cs="Times New Roman"/>
                <w:sz w:val="24"/>
                <w:szCs w:val="24"/>
                <w:rtl/>
                <w:lang w:eastAsia="fr-FR"/>
              </w:rPr>
              <w:t>(</w:t>
            </w:r>
            <w:r w:rsidRPr="003B3295">
              <w:rPr>
                <w:rFonts w:ascii="Times New Roman" w:hAnsi="Times New Roman" w:cs="Times New Roman"/>
                <w:sz w:val="24"/>
                <w:szCs w:val="24"/>
                <w:rtl/>
                <w:lang w:eastAsia="fr-FR" w:bidi="ar-SA"/>
              </w:rPr>
              <w:t>المساكن، مكاتب المكتب الوطني للمطارات</w:t>
            </w:r>
            <w:r w:rsidRPr="003B3295">
              <w:rPr>
                <w:rFonts w:ascii="Times New Roman" w:hAnsi="Times New Roman" w:cs="Times New Roman"/>
                <w:sz w:val="24"/>
                <w:szCs w:val="24"/>
                <w:rtl/>
                <w:lang w:eastAsia="fr-FR"/>
              </w:rPr>
              <w:t>)</w:t>
            </w:r>
          </w:p>
        </w:tc>
        <w:tc>
          <w:tcPr>
            <w:tcW w:w="0" w:type="auto"/>
            <w:vAlign w:val="center"/>
            <w:hideMark/>
          </w:tcPr>
          <w:p w14:paraId="11AFC02A" w14:textId="77777777" w:rsidR="00183815" w:rsidRPr="003B3295" w:rsidRDefault="00183815" w:rsidP="006C49DE">
            <w:pPr>
              <w:spacing w:after="0" w:line="240" w:lineRule="auto"/>
              <w:rPr>
                <w:rFonts w:ascii="Times New Roman" w:hAnsi="Times New Roman" w:cs="Times New Roman"/>
                <w:sz w:val="24"/>
                <w:szCs w:val="24"/>
                <w:lang w:eastAsia="fr-FR"/>
              </w:rPr>
            </w:pPr>
            <w:r w:rsidRPr="003B3295">
              <w:rPr>
                <w:rFonts w:ascii="Times New Roman" w:hAnsi="Times New Roman" w:cs="Times New Roman"/>
                <w:sz w:val="24"/>
                <w:szCs w:val="24"/>
                <w:rtl/>
                <w:lang w:eastAsia="fr-FR" w:bidi="ar-SA"/>
              </w:rPr>
              <w:t>قياسات صوتية وفق المعيار</w:t>
            </w:r>
            <w:r w:rsidRPr="003B3295">
              <w:rPr>
                <w:rFonts w:ascii="Times New Roman" w:hAnsi="Times New Roman" w:cs="Times New Roman"/>
                <w:sz w:val="24"/>
                <w:szCs w:val="24"/>
                <w:lang w:eastAsia="fr-FR"/>
              </w:rPr>
              <w:t xml:space="preserve"> ISO 1996</w:t>
            </w:r>
          </w:p>
        </w:tc>
        <w:tc>
          <w:tcPr>
            <w:tcW w:w="0" w:type="auto"/>
            <w:vAlign w:val="center"/>
            <w:hideMark/>
          </w:tcPr>
          <w:p w14:paraId="1E6BC807" w14:textId="77777777" w:rsidR="00183815" w:rsidRPr="003B3295" w:rsidRDefault="00183815" w:rsidP="006C49DE">
            <w:pPr>
              <w:spacing w:after="0" w:line="240" w:lineRule="auto"/>
              <w:rPr>
                <w:rFonts w:ascii="Times New Roman" w:hAnsi="Times New Roman" w:cs="Times New Roman"/>
                <w:sz w:val="24"/>
                <w:szCs w:val="24"/>
                <w:lang w:eastAsia="fr-FR"/>
              </w:rPr>
            </w:pPr>
            <w:r w:rsidRPr="003B3295">
              <w:rPr>
                <w:rFonts w:ascii="Times New Roman" w:hAnsi="Times New Roman" w:cs="Times New Roman"/>
                <w:sz w:val="24"/>
                <w:szCs w:val="24"/>
                <w:rtl/>
                <w:lang w:eastAsia="fr-FR" w:bidi="ar-SA"/>
              </w:rPr>
              <w:t xml:space="preserve">شهريًا </w:t>
            </w:r>
            <w:r w:rsidRPr="003B3295">
              <w:rPr>
                <w:rFonts w:ascii="Times New Roman" w:hAnsi="Times New Roman" w:cs="Times New Roman"/>
                <w:sz w:val="24"/>
                <w:szCs w:val="24"/>
                <w:rtl/>
                <w:lang w:eastAsia="fr-FR"/>
              </w:rPr>
              <w:t xml:space="preserve">/ </w:t>
            </w:r>
            <w:r w:rsidRPr="003B3295">
              <w:rPr>
                <w:rFonts w:ascii="Times New Roman" w:hAnsi="Times New Roman" w:cs="Times New Roman"/>
                <w:sz w:val="24"/>
                <w:szCs w:val="24"/>
                <w:rtl/>
                <w:lang w:eastAsia="fr-FR" w:bidi="ar-SA"/>
              </w:rPr>
              <w:t>أثناء الأشغال المكثفة</w:t>
            </w:r>
          </w:p>
        </w:tc>
        <w:tc>
          <w:tcPr>
            <w:tcW w:w="0" w:type="auto"/>
            <w:vAlign w:val="center"/>
            <w:hideMark/>
          </w:tcPr>
          <w:p w14:paraId="27E573EF" w14:textId="77777777" w:rsidR="00183815" w:rsidRPr="003B3295" w:rsidRDefault="00183815" w:rsidP="006C49DE">
            <w:pPr>
              <w:spacing w:after="0" w:line="240" w:lineRule="auto"/>
              <w:rPr>
                <w:rFonts w:ascii="Times New Roman" w:hAnsi="Times New Roman" w:cs="Times New Roman"/>
                <w:sz w:val="24"/>
                <w:szCs w:val="24"/>
                <w:lang w:eastAsia="fr-FR"/>
              </w:rPr>
            </w:pPr>
            <w:r w:rsidRPr="003B3295">
              <w:rPr>
                <w:rFonts w:ascii="Times New Roman" w:hAnsi="Times New Roman" w:cs="Times New Roman"/>
                <w:sz w:val="24"/>
                <w:szCs w:val="24"/>
                <w:rtl/>
                <w:lang w:eastAsia="fr-FR" w:bidi="ar-SA"/>
              </w:rPr>
              <w:t>التأكد من احترام العتبات القانونية المغربية</w:t>
            </w:r>
          </w:p>
        </w:tc>
        <w:tc>
          <w:tcPr>
            <w:tcW w:w="0" w:type="auto"/>
            <w:vAlign w:val="center"/>
            <w:hideMark/>
          </w:tcPr>
          <w:p w14:paraId="289D64ED" w14:textId="77777777" w:rsidR="00183815" w:rsidRPr="003B3295" w:rsidRDefault="00183815" w:rsidP="006C49DE">
            <w:pPr>
              <w:spacing w:after="0" w:line="240" w:lineRule="auto"/>
              <w:rPr>
                <w:rFonts w:ascii="Times New Roman" w:hAnsi="Times New Roman" w:cs="Times New Roman"/>
                <w:sz w:val="24"/>
                <w:szCs w:val="24"/>
                <w:lang w:eastAsia="fr-FR"/>
              </w:rPr>
            </w:pPr>
            <w:r w:rsidRPr="003B3295">
              <w:rPr>
                <w:rFonts w:ascii="Times New Roman" w:hAnsi="Times New Roman" w:cs="Times New Roman"/>
                <w:sz w:val="24"/>
                <w:szCs w:val="24"/>
                <w:rtl/>
                <w:lang w:eastAsia="fr-FR" w:bidi="ar-SA"/>
              </w:rPr>
              <w:t>مضمَّن في عقد الـ</w:t>
            </w:r>
            <w:r w:rsidRPr="003B3295">
              <w:rPr>
                <w:rFonts w:ascii="Times New Roman" w:hAnsi="Times New Roman" w:cs="Times New Roman"/>
                <w:sz w:val="24"/>
                <w:szCs w:val="24"/>
                <w:lang w:eastAsia="fr-FR"/>
              </w:rPr>
              <w:t>EPC</w:t>
            </w:r>
          </w:p>
        </w:tc>
        <w:tc>
          <w:tcPr>
            <w:tcW w:w="0" w:type="auto"/>
            <w:vAlign w:val="center"/>
            <w:hideMark/>
          </w:tcPr>
          <w:p w14:paraId="3935AE6A" w14:textId="77777777" w:rsidR="00183815" w:rsidRPr="003B3295" w:rsidRDefault="00183815" w:rsidP="006C49DE">
            <w:pPr>
              <w:spacing w:after="0" w:line="240" w:lineRule="auto"/>
              <w:rPr>
                <w:rFonts w:ascii="Times New Roman" w:hAnsi="Times New Roman" w:cs="Times New Roman"/>
                <w:sz w:val="24"/>
                <w:szCs w:val="24"/>
                <w:lang w:eastAsia="fr-FR"/>
              </w:rPr>
            </w:pPr>
            <w:r w:rsidRPr="003B3295">
              <w:rPr>
                <w:rFonts w:ascii="Times New Roman" w:hAnsi="Times New Roman" w:cs="Times New Roman"/>
                <w:sz w:val="24"/>
                <w:szCs w:val="24"/>
                <w:rtl/>
                <w:lang w:eastAsia="fr-FR" w:bidi="ar-SA"/>
              </w:rPr>
              <w:t>مقاول الـ</w:t>
            </w:r>
            <w:r w:rsidRPr="003B3295">
              <w:rPr>
                <w:rFonts w:ascii="Times New Roman" w:hAnsi="Times New Roman" w:cs="Times New Roman"/>
                <w:sz w:val="24"/>
                <w:szCs w:val="24"/>
                <w:lang w:eastAsia="fr-FR"/>
              </w:rPr>
              <w:t>EPC</w:t>
            </w:r>
          </w:p>
        </w:tc>
      </w:tr>
      <w:tr w:rsidR="00183815" w:rsidRPr="003B3295" w14:paraId="32D06A23" w14:textId="77777777" w:rsidTr="00AC2854">
        <w:trPr>
          <w:tblCellSpacing w:w="15" w:type="dxa"/>
          <w:jc w:val="center"/>
        </w:trPr>
        <w:tc>
          <w:tcPr>
            <w:tcW w:w="0" w:type="auto"/>
            <w:vAlign w:val="center"/>
            <w:hideMark/>
          </w:tcPr>
          <w:p w14:paraId="187E0174" w14:textId="77777777" w:rsidR="00183815" w:rsidRPr="003B3295" w:rsidRDefault="00183815" w:rsidP="006C49DE">
            <w:pPr>
              <w:spacing w:after="0" w:line="240" w:lineRule="auto"/>
              <w:rPr>
                <w:rFonts w:ascii="Times New Roman" w:hAnsi="Times New Roman" w:cs="Times New Roman"/>
                <w:sz w:val="24"/>
                <w:szCs w:val="24"/>
                <w:lang w:eastAsia="fr-FR"/>
              </w:rPr>
            </w:pPr>
            <w:r w:rsidRPr="003B3295">
              <w:rPr>
                <w:rFonts w:ascii="Times New Roman" w:hAnsi="Times New Roman" w:cs="Times New Roman"/>
                <w:b/>
                <w:bCs/>
                <w:sz w:val="24"/>
                <w:szCs w:val="24"/>
                <w:rtl/>
                <w:lang w:eastAsia="fr-FR" w:bidi="ar-SA"/>
              </w:rPr>
              <w:t>تدبير المياه العادمة</w:t>
            </w:r>
          </w:p>
        </w:tc>
        <w:tc>
          <w:tcPr>
            <w:tcW w:w="0" w:type="auto"/>
            <w:vAlign w:val="center"/>
            <w:hideMark/>
          </w:tcPr>
          <w:p w14:paraId="350A7BC2" w14:textId="77777777" w:rsidR="00183815" w:rsidRPr="003B3295" w:rsidRDefault="00183815" w:rsidP="006C49DE">
            <w:pPr>
              <w:spacing w:after="0" w:line="240" w:lineRule="auto"/>
              <w:rPr>
                <w:rFonts w:ascii="Times New Roman" w:hAnsi="Times New Roman" w:cs="Times New Roman"/>
                <w:sz w:val="24"/>
                <w:szCs w:val="24"/>
                <w:lang w:eastAsia="fr-FR"/>
              </w:rPr>
            </w:pPr>
            <w:r w:rsidRPr="003B3295">
              <w:rPr>
                <w:rFonts w:ascii="Times New Roman" w:hAnsi="Times New Roman" w:cs="Times New Roman"/>
                <w:sz w:val="24"/>
                <w:szCs w:val="24"/>
                <w:rtl/>
                <w:lang w:eastAsia="fr-FR" w:bidi="ar-SA"/>
              </w:rPr>
              <w:t>مراقبة تدبير مياه الصرف الناتجة عن الورشة</w:t>
            </w:r>
          </w:p>
        </w:tc>
        <w:tc>
          <w:tcPr>
            <w:tcW w:w="0" w:type="auto"/>
            <w:vAlign w:val="center"/>
            <w:hideMark/>
          </w:tcPr>
          <w:p w14:paraId="6E3A994A" w14:textId="77777777" w:rsidR="00183815" w:rsidRPr="003B3295" w:rsidRDefault="00183815" w:rsidP="006C49DE">
            <w:pPr>
              <w:spacing w:after="0" w:line="240" w:lineRule="auto"/>
              <w:rPr>
                <w:rFonts w:ascii="Times New Roman" w:hAnsi="Times New Roman" w:cs="Times New Roman"/>
                <w:sz w:val="24"/>
                <w:szCs w:val="24"/>
                <w:lang w:eastAsia="fr-FR"/>
              </w:rPr>
            </w:pPr>
            <w:r w:rsidRPr="003B3295">
              <w:rPr>
                <w:rFonts w:ascii="Times New Roman" w:hAnsi="Times New Roman" w:cs="Times New Roman"/>
                <w:sz w:val="24"/>
                <w:szCs w:val="24"/>
                <w:rtl/>
                <w:lang w:eastAsia="fr-FR" w:bidi="ar-SA"/>
              </w:rPr>
              <w:t>مناطق الإقامة، المراحيض، مناطق الغسل</w:t>
            </w:r>
          </w:p>
        </w:tc>
        <w:tc>
          <w:tcPr>
            <w:tcW w:w="0" w:type="auto"/>
            <w:vAlign w:val="center"/>
            <w:hideMark/>
          </w:tcPr>
          <w:p w14:paraId="5917A797" w14:textId="77777777" w:rsidR="00183815" w:rsidRPr="003B3295" w:rsidRDefault="00183815" w:rsidP="006C49DE">
            <w:pPr>
              <w:spacing w:after="0" w:line="240" w:lineRule="auto"/>
              <w:rPr>
                <w:rFonts w:ascii="Times New Roman" w:hAnsi="Times New Roman" w:cs="Times New Roman"/>
                <w:sz w:val="24"/>
                <w:szCs w:val="24"/>
                <w:lang w:eastAsia="fr-FR"/>
              </w:rPr>
            </w:pPr>
            <w:r w:rsidRPr="003B3295">
              <w:rPr>
                <w:rFonts w:ascii="Times New Roman" w:hAnsi="Times New Roman" w:cs="Times New Roman"/>
                <w:sz w:val="24"/>
                <w:szCs w:val="24"/>
                <w:rtl/>
                <w:lang w:eastAsia="fr-FR" w:bidi="ar-SA"/>
              </w:rPr>
              <w:t xml:space="preserve">معاينة بصرية </w:t>
            </w:r>
            <w:r w:rsidRPr="003B3295">
              <w:rPr>
                <w:rFonts w:ascii="Times New Roman" w:hAnsi="Times New Roman" w:cs="Times New Roman"/>
                <w:sz w:val="24"/>
                <w:szCs w:val="24"/>
                <w:rtl/>
                <w:lang w:eastAsia="fr-FR"/>
              </w:rPr>
              <w:t xml:space="preserve">+ </w:t>
            </w:r>
            <w:r w:rsidRPr="003B3295">
              <w:rPr>
                <w:rFonts w:ascii="Times New Roman" w:hAnsi="Times New Roman" w:cs="Times New Roman"/>
                <w:sz w:val="24"/>
                <w:szCs w:val="24"/>
                <w:rtl/>
                <w:lang w:eastAsia="fr-FR" w:bidi="ar-SA"/>
              </w:rPr>
              <w:t>سجلّ تفريغ الصهاريج</w:t>
            </w:r>
          </w:p>
        </w:tc>
        <w:tc>
          <w:tcPr>
            <w:tcW w:w="0" w:type="auto"/>
            <w:vAlign w:val="center"/>
            <w:hideMark/>
          </w:tcPr>
          <w:p w14:paraId="7B85217F" w14:textId="77777777" w:rsidR="00183815" w:rsidRPr="003B3295" w:rsidRDefault="00183815" w:rsidP="006C49DE">
            <w:pPr>
              <w:spacing w:after="0" w:line="240" w:lineRule="auto"/>
              <w:rPr>
                <w:rFonts w:ascii="Times New Roman" w:hAnsi="Times New Roman" w:cs="Times New Roman"/>
                <w:sz w:val="24"/>
                <w:szCs w:val="24"/>
                <w:lang w:eastAsia="fr-FR"/>
              </w:rPr>
            </w:pPr>
            <w:r w:rsidRPr="003B3295">
              <w:rPr>
                <w:rFonts w:ascii="Times New Roman" w:hAnsi="Times New Roman" w:cs="Times New Roman"/>
                <w:sz w:val="24"/>
                <w:szCs w:val="24"/>
                <w:rtl/>
                <w:lang w:eastAsia="fr-FR" w:bidi="ar-SA"/>
              </w:rPr>
              <w:t>أسبوعيًا</w:t>
            </w:r>
          </w:p>
        </w:tc>
        <w:tc>
          <w:tcPr>
            <w:tcW w:w="0" w:type="auto"/>
            <w:vAlign w:val="center"/>
            <w:hideMark/>
          </w:tcPr>
          <w:p w14:paraId="3D62F694" w14:textId="77777777" w:rsidR="00183815" w:rsidRPr="003B3295" w:rsidRDefault="00183815" w:rsidP="006C49DE">
            <w:pPr>
              <w:spacing w:after="0" w:line="240" w:lineRule="auto"/>
              <w:rPr>
                <w:rFonts w:ascii="Times New Roman" w:hAnsi="Times New Roman" w:cs="Times New Roman"/>
                <w:sz w:val="24"/>
                <w:szCs w:val="24"/>
                <w:lang w:eastAsia="fr-FR"/>
              </w:rPr>
            </w:pPr>
            <w:r w:rsidRPr="003B3295">
              <w:rPr>
                <w:rFonts w:ascii="Times New Roman" w:hAnsi="Times New Roman" w:cs="Times New Roman"/>
                <w:sz w:val="24"/>
                <w:szCs w:val="24"/>
                <w:rtl/>
                <w:lang w:eastAsia="fr-FR" w:bidi="ar-SA"/>
              </w:rPr>
              <w:t>الوقاية من تلوث التربة والمياه</w:t>
            </w:r>
          </w:p>
        </w:tc>
        <w:tc>
          <w:tcPr>
            <w:tcW w:w="0" w:type="auto"/>
            <w:vAlign w:val="center"/>
            <w:hideMark/>
          </w:tcPr>
          <w:p w14:paraId="189A65E8" w14:textId="77777777" w:rsidR="00183815" w:rsidRPr="003B3295" w:rsidRDefault="00183815" w:rsidP="006C49DE">
            <w:pPr>
              <w:spacing w:after="0" w:line="240" w:lineRule="auto"/>
              <w:rPr>
                <w:rFonts w:ascii="Times New Roman" w:hAnsi="Times New Roman" w:cs="Times New Roman"/>
                <w:sz w:val="24"/>
                <w:szCs w:val="24"/>
                <w:lang w:eastAsia="fr-FR"/>
              </w:rPr>
            </w:pPr>
            <w:r w:rsidRPr="003B3295">
              <w:rPr>
                <w:rFonts w:ascii="Times New Roman" w:hAnsi="Times New Roman" w:cs="Times New Roman"/>
                <w:sz w:val="24"/>
                <w:szCs w:val="24"/>
                <w:rtl/>
                <w:lang w:eastAsia="fr-FR" w:bidi="ar-SA"/>
              </w:rPr>
              <w:t>مضمَّن في عقد الـ</w:t>
            </w:r>
            <w:r w:rsidRPr="003B3295">
              <w:rPr>
                <w:rFonts w:ascii="Times New Roman" w:hAnsi="Times New Roman" w:cs="Times New Roman"/>
                <w:sz w:val="24"/>
                <w:szCs w:val="24"/>
                <w:lang w:eastAsia="fr-FR"/>
              </w:rPr>
              <w:t>EPC</w:t>
            </w:r>
          </w:p>
        </w:tc>
        <w:tc>
          <w:tcPr>
            <w:tcW w:w="0" w:type="auto"/>
            <w:vAlign w:val="center"/>
            <w:hideMark/>
          </w:tcPr>
          <w:p w14:paraId="76443C76" w14:textId="77777777" w:rsidR="00183815" w:rsidRPr="003B3295" w:rsidRDefault="00183815" w:rsidP="006C49DE">
            <w:pPr>
              <w:spacing w:after="0" w:line="240" w:lineRule="auto"/>
              <w:rPr>
                <w:rFonts w:ascii="Times New Roman" w:hAnsi="Times New Roman" w:cs="Times New Roman"/>
                <w:sz w:val="24"/>
                <w:szCs w:val="24"/>
                <w:lang w:eastAsia="fr-FR"/>
              </w:rPr>
            </w:pPr>
            <w:r w:rsidRPr="003B3295">
              <w:rPr>
                <w:rFonts w:ascii="Times New Roman" w:hAnsi="Times New Roman" w:cs="Times New Roman"/>
                <w:sz w:val="24"/>
                <w:szCs w:val="24"/>
                <w:rtl/>
                <w:lang w:eastAsia="fr-FR" w:bidi="ar-SA"/>
              </w:rPr>
              <w:t>مقاول الـ</w:t>
            </w:r>
            <w:r w:rsidRPr="003B3295">
              <w:rPr>
                <w:rFonts w:ascii="Times New Roman" w:hAnsi="Times New Roman" w:cs="Times New Roman"/>
                <w:sz w:val="24"/>
                <w:szCs w:val="24"/>
                <w:lang w:eastAsia="fr-FR"/>
              </w:rPr>
              <w:t>EPC</w:t>
            </w:r>
          </w:p>
        </w:tc>
      </w:tr>
      <w:tr w:rsidR="00183815" w:rsidRPr="003B3295" w14:paraId="1F1BF07E" w14:textId="77777777" w:rsidTr="00AC2854">
        <w:trPr>
          <w:tblCellSpacing w:w="15" w:type="dxa"/>
          <w:jc w:val="center"/>
        </w:trPr>
        <w:tc>
          <w:tcPr>
            <w:tcW w:w="0" w:type="auto"/>
            <w:vAlign w:val="center"/>
            <w:hideMark/>
          </w:tcPr>
          <w:p w14:paraId="00849085" w14:textId="77777777" w:rsidR="00183815" w:rsidRPr="003B3295" w:rsidRDefault="00183815" w:rsidP="006C49DE">
            <w:pPr>
              <w:spacing w:after="0" w:line="240" w:lineRule="auto"/>
              <w:rPr>
                <w:rFonts w:ascii="Times New Roman" w:hAnsi="Times New Roman" w:cs="Times New Roman"/>
                <w:sz w:val="24"/>
                <w:szCs w:val="24"/>
                <w:lang w:eastAsia="fr-FR"/>
              </w:rPr>
            </w:pPr>
            <w:r w:rsidRPr="003B3295">
              <w:rPr>
                <w:rFonts w:ascii="Times New Roman" w:hAnsi="Times New Roman" w:cs="Times New Roman"/>
                <w:b/>
                <w:bCs/>
                <w:sz w:val="24"/>
                <w:szCs w:val="24"/>
                <w:rtl/>
                <w:lang w:eastAsia="fr-FR" w:bidi="ar-SA"/>
              </w:rPr>
              <w:t>تدبير النفايات</w:t>
            </w:r>
          </w:p>
        </w:tc>
        <w:tc>
          <w:tcPr>
            <w:tcW w:w="0" w:type="auto"/>
            <w:vAlign w:val="center"/>
            <w:hideMark/>
          </w:tcPr>
          <w:p w14:paraId="78A8DC96" w14:textId="77777777" w:rsidR="00183815" w:rsidRPr="003B3295" w:rsidRDefault="00183815" w:rsidP="006C49DE">
            <w:pPr>
              <w:spacing w:after="0" w:line="240" w:lineRule="auto"/>
              <w:rPr>
                <w:rFonts w:ascii="Times New Roman" w:hAnsi="Times New Roman" w:cs="Times New Roman"/>
                <w:sz w:val="24"/>
                <w:szCs w:val="24"/>
                <w:lang w:eastAsia="fr-FR"/>
              </w:rPr>
            </w:pPr>
            <w:r w:rsidRPr="003B3295">
              <w:rPr>
                <w:rFonts w:ascii="Times New Roman" w:hAnsi="Times New Roman" w:cs="Times New Roman"/>
                <w:sz w:val="24"/>
                <w:szCs w:val="24"/>
                <w:rtl/>
                <w:lang w:eastAsia="fr-FR" w:bidi="ar-SA"/>
              </w:rPr>
              <w:t>متابعة تدبير وإزالة النفايات الصلبة والخطرة</w:t>
            </w:r>
          </w:p>
        </w:tc>
        <w:tc>
          <w:tcPr>
            <w:tcW w:w="0" w:type="auto"/>
            <w:vAlign w:val="center"/>
            <w:hideMark/>
          </w:tcPr>
          <w:p w14:paraId="01234F06" w14:textId="77777777" w:rsidR="00183815" w:rsidRPr="003B3295" w:rsidRDefault="00183815" w:rsidP="006C49DE">
            <w:pPr>
              <w:spacing w:after="0" w:line="240" w:lineRule="auto"/>
              <w:rPr>
                <w:rFonts w:ascii="Times New Roman" w:hAnsi="Times New Roman" w:cs="Times New Roman"/>
                <w:sz w:val="24"/>
                <w:szCs w:val="24"/>
                <w:lang w:eastAsia="fr-FR"/>
              </w:rPr>
            </w:pPr>
            <w:r w:rsidRPr="003B3295">
              <w:rPr>
                <w:rFonts w:ascii="Times New Roman" w:hAnsi="Times New Roman" w:cs="Times New Roman"/>
                <w:sz w:val="24"/>
                <w:szCs w:val="24"/>
                <w:rtl/>
                <w:lang w:eastAsia="fr-FR" w:bidi="ar-SA"/>
              </w:rPr>
              <w:t>منطقة التخزين المؤقت، ساحة الفرز</w:t>
            </w:r>
          </w:p>
        </w:tc>
        <w:tc>
          <w:tcPr>
            <w:tcW w:w="0" w:type="auto"/>
            <w:vAlign w:val="center"/>
            <w:hideMark/>
          </w:tcPr>
          <w:p w14:paraId="429B40D1" w14:textId="77777777" w:rsidR="00183815" w:rsidRPr="003B3295" w:rsidRDefault="00183815" w:rsidP="006C49DE">
            <w:pPr>
              <w:spacing w:after="0" w:line="240" w:lineRule="auto"/>
              <w:rPr>
                <w:rFonts w:ascii="Times New Roman" w:hAnsi="Times New Roman" w:cs="Times New Roman"/>
                <w:sz w:val="24"/>
                <w:szCs w:val="24"/>
                <w:lang w:eastAsia="fr-FR"/>
              </w:rPr>
            </w:pPr>
            <w:r w:rsidRPr="003B3295">
              <w:rPr>
                <w:rFonts w:ascii="Times New Roman" w:hAnsi="Times New Roman" w:cs="Times New Roman"/>
                <w:sz w:val="24"/>
                <w:szCs w:val="24"/>
                <w:rtl/>
                <w:lang w:eastAsia="fr-FR" w:bidi="ar-SA"/>
              </w:rPr>
              <w:t>سجلات، استمارات تتبع، ومعاينات ميدانية</w:t>
            </w:r>
          </w:p>
        </w:tc>
        <w:tc>
          <w:tcPr>
            <w:tcW w:w="0" w:type="auto"/>
            <w:vAlign w:val="center"/>
            <w:hideMark/>
          </w:tcPr>
          <w:p w14:paraId="59126F23" w14:textId="77777777" w:rsidR="00183815" w:rsidRPr="003B3295" w:rsidRDefault="00183815" w:rsidP="006C49DE">
            <w:pPr>
              <w:spacing w:after="0" w:line="240" w:lineRule="auto"/>
              <w:rPr>
                <w:rFonts w:ascii="Times New Roman" w:hAnsi="Times New Roman" w:cs="Times New Roman"/>
                <w:sz w:val="24"/>
                <w:szCs w:val="24"/>
                <w:lang w:eastAsia="fr-FR"/>
              </w:rPr>
            </w:pPr>
            <w:r w:rsidRPr="003B3295">
              <w:rPr>
                <w:rFonts w:ascii="Times New Roman" w:hAnsi="Times New Roman" w:cs="Times New Roman"/>
                <w:sz w:val="24"/>
                <w:szCs w:val="24"/>
                <w:rtl/>
                <w:lang w:eastAsia="fr-FR" w:bidi="ar-SA"/>
              </w:rPr>
              <w:t>أسبوعيًا</w:t>
            </w:r>
          </w:p>
        </w:tc>
        <w:tc>
          <w:tcPr>
            <w:tcW w:w="0" w:type="auto"/>
            <w:vAlign w:val="center"/>
            <w:hideMark/>
          </w:tcPr>
          <w:p w14:paraId="333E7585" w14:textId="77777777" w:rsidR="00183815" w:rsidRPr="003B3295" w:rsidRDefault="00183815" w:rsidP="006C49DE">
            <w:pPr>
              <w:spacing w:after="0" w:line="240" w:lineRule="auto"/>
              <w:rPr>
                <w:rFonts w:ascii="Times New Roman" w:hAnsi="Times New Roman" w:cs="Times New Roman"/>
                <w:sz w:val="24"/>
                <w:szCs w:val="24"/>
                <w:lang w:eastAsia="fr-FR"/>
              </w:rPr>
            </w:pPr>
            <w:r w:rsidRPr="003B3295">
              <w:rPr>
                <w:rFonts w:ascii="Times New Roman" w:hAnsi="Times New Roman" w:cs="Times New Roman"/>
                <w:sz w:val="24"/>
                <w:szCs w:val="24"/>
                <w:rtl/>
                <w:lang w:eastAsia="fr-FR" w:bidi="ar-SA"/>
              </w:rPr>
              <w:t>مراقبة مطابقة خطة تدبير النفايات وتفادي الإلقاء العشوائي</w:t>
            </w:r>
          </w:p>
        </w:tc>
        <w:tc>
          <w:tcPr>
            <w:tcW w:w="0" w:type="auto"/>
            <w:vAlign w:val="center"/>
            <w:hideMark/>
          </w:tcPr>
          <w:p w14:paraId="7E2F470E" w14:textId="77777777" w:rsidR="00183815" w:rsidRPr="003B3295" w:rsidRDefault="00183815" w:rsidP="006C49DE">
            <w:pPr>
              <w:spacing w:after="0" w:line="240" w:lineRule="auto"/>
              <w:rPr>
                <w:rFonts w:ascii="Times New Roman" w:hAnsi="Times New Roman" w:cs="Times New Roman"/>
                <w:sz w:val="24"/>
                <w:szCs w:val="24"/>
                <w:lang w:eastAsia="fr-FR"/>
              </w:rPr>
            </w:pPr>
            <w:r w:rsidRPr="003B3295">
              <w:rPr>
                <w:rFonts w:ascii="Times New Roman" w:hAnsi="Times New Roman" w:cs="Times New Roman"/>
                <w:sz w:val="24"/>
                <w:szCs w:val="24"/>
                <w:rtl/>
                <w:lang w:eastAsia="fr-FR" w:bidi="ar-SA"/>
              </w:rPr>
              <w:t>مضمَّن في عقد الـ</w:t>
            </w:r>
            <w:r w:rsidRPr="003B3295">
              <w:rPr>
                <w:rFonts w:ascii="Times New Roman" w:hAnsi="Times New Roman" w:cs="Times New Roman"/>
                <w:sz w:val="24"/>
                <w:szCs w:val="24"/>
                <w:lang w:eastAsia="fr-FR"/>
              </w:rPr>
              <w:t>EPC</w:t>
            </w:r>
          </w:p>
        </w:tc>
        <w:tc>
          <w:tcPr>
            <w:tcW w:w="0" w:type="auto"/>
            <w:vAlign w:val="center"/>
            <w:hideMark/>
          </w:tcPr>
          <w:p w14:paraId="76C5D8D2" w14:textId="77777777" w:rsidR="00183815" w:rsidRPr="003B3295" w:rsidRDefault="00183815" w:rsidP="006C49DE">
            <w:pPr>
              <w:spacing w:after="0" w:line="240" w:lineRule="auto"/>
              <w:rPr>
                <w:rFonts w:ascii="Times New Roman" w:hAnsi="Times New Roman" w:cs="Times New Roman"/>
                <w:sz w:val="24"/>
                <w:szCs w:val="24"/>
                <w:lang w:eastAsia="fr-FR"/>
              </w:rPr>
            </w:pPr>
            <w:r w:rsidRPr="003B3295">
              <w:rPr>
                <w:rFonts w:ascii="Times New Roman" w:hAnsi="Times New Roman" w:cs="Times New Roman"/>
                <w:sz w:val="24"/>
                <w:szCs w:val="24"/>
                <w:rtl/>
                <w:lang w:eastAsia="fr-FR" w:bidi="ar-SA"/>
              </w:rPr>
              <w:t>مقاول الـ</w:t>
            </w:r>
            <w:r w:rsidRPr="003B3295">
              <w:rPr>
                <w:rFonts w:ascii="Times New Roman" w:hAnsi="Times New Roman" w:cs="Times New Roman"/>
                <w:sz w:val="24"/>
                <w:szCs w:val="24"/>
                <w:lang w:eastAsia="fr-FR"/>
              </w:rPr>
              <w:t>EPC</w:t>
            </w:r>
          </w:p>
        </w:tc>
      </w:tr>
      <w:tr w:rsidR="00183815" w:rsidRPr="003B3295" w14:paraId="4FD477FF" w14:textId="77777777" w:rsidTr="00AC2854">
        <w:trPr>
          <w:tblCellSpacing w:w="15" w:type="dxa"/>
          <w:jc w:val="center"/>
        </w:trPr>
        <w:tc>
          <w:tcPr>
            <w:tcW w:w="0" w:type="auto"/>
            <w:vAlign w:val="center"/>
            <w:hideMark/>
          </w:tcPr>
          <w:p w14:paraId="0DE5E386" w14:textId="77777777" w:rsidR="00183815" w:rsidRPr="003B3295" w:rsidRDefault="00183815" w:rsidP="006C49DE">
            <w:pPr>
              <w:spacing w:after="0" w:line="240" w:lineRule="auto"/>
              <w:rPr>
                <w:rFonts w:ascii="Times New Roman" w:hAnsi="Times New Roman" w:cs="Times New Roman"/>
                <w:sz w:val="24"/>
                <w:szCs w:val="24"/>
                <w:lang w:eastAsia="fr-FR"/>
              </w:rPr>
            </w:pPr>
            <w:r w:rsidRPr="003B3295">
              <w:rPr>
                <w:rFonts w:ascii="Times New Roman" w:hAnsi="Times New Roman" w:cs="Times New Roman"/>
                <w:b/>
                <w:bCs/>
                <w:sz w:val="24"/>
                <w:szCs w:val="24"/>
                <w:rtl/>
                <w:lang w:eastAsia="fr-FR" w:bidi="ar-SA"/>
              </w:rPr>
              <w:t>صحة وسلامة العمال</w:t>
            </w:r>
          </w:p>
        </w:tc>
        <w:tc>
          <w:tcPr>
            <w:tcW w:w="0" w:type="auto"/>
            <w:vAlign w:val="center"/>
            <w:hideMark/>
          </w:tcPr>
          <w:p w14:paraId="475645AD" w14:textId="77777777" w:rsidR="00183815" w:rsidRPr="003B3295" w:rsidRDefault="00183815" w:rsidP="006C49DE">
            <w:pPr>
              <w:spacing w:after="0" w:line="240" w:lineRule="auto"/>
              <w:rPr>
                <w:rFonts w:ascii="Times New Roman" w:hAnsi="Times New Roman" w:cs="Times New Roman"/>
                <w:sz w:val="24"/>
                <w:szCs w:val="24"/>
                <w:lang w:eastAsia="fr-FR"/>
              </w:rPr>
            </w:pPr>
            <w:r w:rsidRPr="003B3295">
              <w:rPr>
                <w:rFonts w:ascii="Times New Roman" w:hAnsi="Times New Roman" w:cs="Times New Roman"/>
                <w:sz w:val="24"/>
                <w:szCs w:val="24"/>
                <w:rtl/>
                <w:lang w:eastAsia="fr-FR" w:bidi="ar-SA"/>
              </w:rPr>
              <w:t xml:space="preserve">مراقبة ظروف العمل والسلامة </w:t>
            </w:r>
            <w:r w:rsidRPr="003B3295">
              <w:rPr>
                <w:rFonts w:ascii="Times New Roman" w:hAnsi="Times New Roman" w:cs="Times New Roman"/>
                <w:sz w:val="24"/>
                <w:szCs w:val="24"/>
                <w:rtl/>
                <w:lang w:eastAsia="fr-FR"/>
              </w:rPr>
              <w:t>(</w:t>
            </w:r>
            <w:r w:rsidRPr="003B3295">
              <w:rPr>
                <w:rFonts w:ascii="Times New Roman" w:hAnsi="Times New Roman" w:cs="Times New Roman"/>
                <w:sz w:val="24"/>
                <w:szCs w:val="24"/>
                <w:rtl/>
                <w:lang w:eastAsia="fr-FR" w:bidi="ar-SA"/>
              </w:rPr>
              <w:t>معدات الوقاية، الحوادث، التكوينات</w:t>
            </w:r>
            <w:r w:rsidRPr="003B3295">
              <w:rPr>
                <w:rFonts w:ascii="Times New Roman" w:hAnsi="Times New Roman" w:cs="Times New Roman"/>
                <w:sz w:val="24"/>
                <w:szCs w:val="24"/>
                <w:rtl/>
                <w:lang w:eastAsia="fr-FR"/>
              </w:rPr>
              <w:t>)</w:t>
            </w:r>
          </w:p>
        </w:tc>
        <w:tc>
          <w:tcPr>
            <w:tcW w:w="0" w:type="auto"/>
            <w:vAlign w:val="center"/>
            <w:hideMark/>
          </w:tcPr>
          <w:p w14:paraId="53BBC7F3" w14:textId="77777777" w:rsidR="00183815" w:rsidRPr="003B3295" w:rsidRDefault="00183815" w:rsidP="006C49DE">
            <w:pPr>
              <w:spacing w:after="0" w:line="240" w:lineRule="auto"/>
              <w:rPr>
                <w:rFonts w:ascii="Times New Roman" w:hAnsi="Times New Roman" w:cs="Times New Roman"/>
                <w:sz w:val="24"/>
                <w:szCs w:val="24"/>
                <w:lang w:eastAsia="fr-FR"/>
              </w:rPr>
            </w:pPr>
            <w:r w:rsidRPr="003B3295">
              <w:rPr>
                <w:rFonts w:ascii="Times New Roman" w:hAnsi="Times New Roman" w:cs="Times New Roman"/>
                <w:sz w:val="24"/>
                <w:szCs w:val="24"/>
                <w:rtl/>
                <w:lang w:eastAsia="fr-FR" w:bidi="ar-SA"/>
              </w:rPr>
              <w:t>كافة أنحاء الورشة</w:t>
            </w:r>
          </w:p>
        </w:tc>
        <w:tc>
          <w:tcPr>
            <w:tcW w:w="0" w:type="auto"/>
            <w:vAlign w:val="center"/>
            <w:hideMark/>
          </w:tcPr>
          <w:p w14:paraId="65F2A7C4" w14:textId="77777777" w:rsidR="00183815" w:rsidRPr="003B3295" w:rsidRDefault="00183815" w:rsidP="006C49DE">
            <w:pPr>
              <w:spacing w:after="0" w:line="240" w:lineRule="auto"/>
              <w:rPr>
                <w:rFonts w:ascii="Times New Roman" w:hAnsi="Times New Roman" w:cs="Times New Roman"/>
                <w:sz w:val="24"/>
                <w:szCs w:val="24"/>
                <w:lang w:eastAsia="fr-FR"/>
              </w:rPr>
            </w:pPr>
            <w:r w:rsidRPr="003B3295">
              <w:rPr>
                <w:rFonts w:ascii="Times New Roman" w:hAnsi="Times New Roman" w:cs="Times New Roman"/>
                <w:sz w:val="24"/>
                <w:szCs w:val="24"/>
                <w:rtl/>
                <w:lang w:eastAsia="fr-FR" w:bidi="ar-SA"/>
              </w:rPr>
              <w:t>تدقيقات السلامة، استمارات المعاينة، سجلات الحوادث</w:t>
            </w:r>
          </w:p>
        </w:tc>
        <w:tc>
          <w:tcPr>
            <w:tcW w:w="0" w:type="auto"/>
            <w:vAlign w:val="center"/>
            <w:hideMark/>
          </w:tcPr>
          <w:p w14:paraId="291AF906" w14:textId="77777777" w:rsidR="00183815" w:rsidRPr="003B3295" w:rsidRDefault="00183815" w:rsidP="006C49DE">
            <w:pPr>
              <w:spacing w:after="0" w:line="240" w:lineRule="auto"/>
              <w:rPr>
                <w:rFonts w:ascii="Times New Roman" w:hAnsi="Times New Roman" w:cs="Times New Roman"/>
                <w:sz w:val="24"/>
                <w:szCs w:val="24"/>
                <w:lang w:eastAsia="fr-FR"/>
              </w:rPr>
            </w:pPr>
            <w:r w:rsidRPr="003B3295">
              <w:rPr>
                <w:rFonts w:ascii="Times New Roman" w:hAnsi="Times New Roman" w:cs="Times New Roman"/>
                <w:sz w:val="24"/>
                <w:szCs w:val="24"/>
                <w:rtl/>
                <w:lang w:eastAsia="fr-FR" w:bidi="ar-SA"/>
              </w:rPr>
              <w:t xml:space="preserve">يوميًا </w:t>
            </w:r>
            <w:r w:rsidRPr="003B3295">
              <w:rPr>
                <w:rFonts w:ascii="Times New Roman" w:hAnsi="Times New Roman" w:cs="Times New Roman"/>
                <w:sz w:val="24"/>
                <w:szCs w:val="24"/>
                <w:rtl/>
                <w:lang w:eastAsia="fr-FR"/>
              </w:rPr>
              <w:t xml:space="preserve">/ </w:t>
            </w:r>
            <w:r w:rsidRPr="003B3295">
              <w:rPr>
                <w:rFonts w:ascii="Times New Roman" w:hAnsi="Times New Roman" w:cs="Times New Roman"/>
                <w:sz w:val="24"/>
                <w:szCs w:val="24"/>
                <w:rtl/>
                <w:lang w:eastAsia="fr-FR" w:bidi="ar-SA"/>
              </w:rPr>
              <w:t>أسبوعيًا</w:t>
            </w:r>
          </w:p>
        </w:tc>
        <w:tc>
          <w:tcPr>
            <w:tcW w:w="0" w:type="auto"/>
            <w:vAlign w:val="center"/>
            <w:hideMark/>
          </w:tcPr>
          <w:p w14:paraId="0AD02776" w14:textId="77777777" w:rsidR="00183815" w:rsidRPr="003B3295" w:rsidRDefault="00183815" w:rsidP="006C49DE">
            <w:pPr>
              <w:spacing w:after="0" w:line="240" w:lineRule="auto"/>
              <w:rPr>
                <w:rFonts w:ascii="Times New Roman" w:hAnsi="Times New Roman" w:cs="Times New Roman"/>
                <w:sz w:val="24"/>
                <w:szCs w:val="24"/>
                <w:lang w:eastAsia="fr-FR"/>
              </w:rPr>
            </w:pPr>
            <w:r w:rsidRPr="003B3295">
              <w:rPr>
                <w:rFonts w:ascii="Times New Roman" w:hAnsi="Times New Roman" w:cs="Times New Roman"/>
                <w:sz w:val="24"/>
                <w:szCs w:val="24"/>
                <w:rtl/>
                <w:lang w:eastAsia="fr-FR" w:bidi="ar-SA"/>
              </w:rPr>
              <w:t>ضمان صحة وسلامة العاملين</w:t>
            </w:r>
          </w:p>
        </w:tc>
        <w:tc>
          <w:tcPr>
            <w:tcW w:w="0" w:type="auto"/>
            <w:vAlign w:val="center"/>
            <w:hideMark/>
          </w:tcPr>
          <w:p w14:paraId="6E8689E5" w14:textId="77777777" w:rsidR="00183815" w:rsidRPr="003B3295" w:rsidRDefault="00183815" w:rsidP="006C49DE">
            <w:pPr>
              <w:spacing w:after="0" w:line="240" w:lineRule="auto"/>
              <w:rPr>
                <w:rFonts w:ascii="Times New Roman" w:hAnsi="Times New Roman" w:cs="Times New Roman"/>
                <w:sz w:val="24"/>
                <w:szCs w:val="24"/>
                <w:lang w:eastAsia="fr-FR"/>
              </w:rPr>
            </w:pPr>
            <w:r w:rsidRPr="003B3295">
              <w:rPr>
                <w:rFonts w:ascii="Times New Roman" w:hAnsi="Times New Roman" w:cs="Times New Roman"/>
                <w:sz w:val="24"/>
                <w:szCs w:val="24"/>
                <w:rtl/>
                <w:lang w:eastAsia="fr-FR" w:bidi="ar-SA"/>
              </w:rPr>
              <w:t>مضمَّن في ميزانية</w:t>
            </w:r>
            <w:r w:rsidRPr="003B3295">
              <w:rPr>
                <w:rFonts w:ascii="Times New Roman" w:hAnsi="Times New Roman" w:cs="Times New Roman"/>
                <w:sz w:val="24"/>
                <w:szCs w:val="24"/>
                <w:lang w:eastAsia="fr-FR"/>
              </w:rPr>
              <w:t xml:space="preserve"> HSSE</w:t>
            </w:r>
          </w:p>
        </w:tc>
        <w:tc>
          <w:tcPr>
            <w:tcW w:w="0" w:type="auto"/>
            <w:vAlign w:val="center"/>
            <w:hideMark/>
          </w:tcPr>
          <w:p w14:paraId="3A650097" w14:textId="77777777" w:rsidR="00183815" w:rsidRPr="003B3295" w:rsidRDefault="00183815" w:rsidP="006C49DE">
            <w:pPr>
              <w:spacing w:after="0" w:line="240" w:lineRule="auto"/>
              <w:rPr>
                <w:rFonts w:ascii="Times New Roman" w:hAnsi="Times New Roman" w:cs="Times New Roman"/>
                <w:sz w:val="24"/>
                <w:szCs w:val="24"/>
                <w:lang w:eastAsia="fr-FR"/>
              </w:rPr>
            </w:pPr>
            <w:r w:rsidRPr="003B3295">
              <w:rPr>
                <w:rFonts w:ascii="Times New Roman" w:hAnsi="Times New Roman" w:cs="Times New Roman"/>
                <w:sz w:val="24"/>
                <w:szCs w:val="24"/>
                <w:rtl/>
                <w:lang w:eastAsia="fr-FR" w:bidi="ar-SA"/>
              </w:rPr>
              <w:t>مقاول الـ</w:t>
            </w:r>
            <w:r w:rsidRPr="003B3295">
              <w:rPr>
                <w:rFonts w:ascii="Times New Roman" w:hAnsi="Times New Roman" w:cs="Times New Roman"/>
                <w:sz w:val="24"/>
                <w:szCs w:val="24"/>
                <w:lang w:eastAsia="fr-FR"/>
              </w:rPr>
              <w:t>EPC</w:t>
            </w:r>
          </w:p>
        </w:tc>
      </w:tr>
      <w:tr w:rsidR="00183815" w:rsidRPr="003B3295" w14:paraId="33F52C7A" w14:textId="77777777" w:rsidTr="00AC2854">
        <w:trPr>
          <w:tblCellSpacing w:w="15" w:type="dxa"/>
          <w:jc w:val="center"/>
        </w:trPr>
        <w:tc>
          <w:tcPr>
            <w:tcW w:w="0" w:type="auto"/>
            <w:vAlign w:val="center"/>
            <w:hideMark/>
          </w:tcPr>
          <w:p w14:paraId="250C54FE" w14:textId="77777777" w:rsidR="00183815" w:rsidRPr="003B3295" w:rsidRDefault="00183815" w:rsidP="006C49DE">
            <w:pPr>
              <w:spacing w:after="0" w:line="240" w:lineRule="auto"/>
              <w:rPr>
                <w:rFonts w:ascii="Times New Roman" w:hAnsi="Times New Roman" w:cs="Times New Roman"/>
                <w:sz w:val="24"/>
                <w:szCs w:val="24"/>
                <w:lang w:eastAsia="fr-FR"/>
              </w:rPr>
            </w:pPr>
            <w:r w:rsidRPr="003B3295">
              <w:rPr>
                <w:rFonts w:ascii="Times New Roman" w:hAnsi="Times New Roman" w:cs="Times New Roman"/>
                <w:b/>
                <w:bCs/>
                <w:sz w:val="24"/>
                <w:szCs w:val="24"/>
                <w:rtl/>
                <w:lang w:eastAsia="fr-FR" w:bidi="ar-SA"/>
              </w:rPr>
              <w:t>الوسط الطبيعي</w:t>
            </w:r>
          </w:p>
        </w:tc>
        <w:tc>
          <w:tcPr>
            <w:tcW w:w="0" w:type="auto"/>
            <w:vAlign w:val="center"/>
            <w:hideMark/>
          </w:tcPr>
          <w:p w14:paraId="65256891" w14:textId="77777777" w:rsidR="00183815" w:rsidRPr="003B3295" w:rsidRDefault="00183815" w:rsidP="006C49DE">
            <w:pPr>
              <w:spacing w:after="0" w:line="240" w:lineRule="auto"/>
              <w:rPr>
                <w:rFonts w:ascii="Times New Roman" w:hAnsi="Times New Roman" w:cs="Times New Roman"/>
                <w:sz w:val="24"/>
                <w:szCs w:val="24"/>
                <w:lang w:eastAsia="fr-FR"/>
              </w:rPr>
            </w:pPr>
            <w:r w:rsidRPr="003B3295">
              <w:rPr>
                <w:rFonts w:ascii="Times New Roman" w:hAnsi="Times New Roman" w:cs="Times New Roman"/>
                <w:sz w:val="24"/>
                <w:szCs w:val="24"/>
                <w:rtl/>
                <w:lang w:eastAsia="fr-FR" w:bidi="ar-SA"/>
              </w:rPr>
              <w:t xml:space="preserve">مراقبة التنوع البيولوجي </w:t>
            </w:r>
            <w:r w:rsidRPr="003B3295">
              <w:rPr>
                <w:rFonts w:ascii="Times New Roman" w:hAnsi="Times New Roman" w:cs="Times New Roman"/>
                <w:sz w:val="24"/>
                <w:szCs w:val="24"/>
                <w:rtl/>
                <w:lang w:eastAsia="fr-FR"/>
              </w:rPr>
              <w:t>(</w:t>
            </w:r>
            <w:r w:rsidRPr="003B3295">
              <w:rPr>
                <w:rFonts w:ascii="Times New Roman" w:hAnsi="Times New Roman" w:cs="Times New Roman"/>
                <w:sz w:val="24"/>
                <w:szCs w:val="24"/>
                <w:rtl/>
                <w:lang w:eastAsia="fr-FR" w:bidi="ar-SA"/>
              </w:rPr>
              <w:t>الحيوانات، النباتات، المواطن الطبيعية</w:t>
            </w:r>
            <w:r w:rsidRPr="003B3295">
              <w:rPr>
                <w:rFonts w:ascii="Times New Roman" w:hAnsi="Times New Roman" w:cs="Times New Roman"/>
                <w:sz w:val="24"/>
                <w:szCs w:val="24"/>
                <w:rtl/>
                <w:lang w:eastAsia="fr-FR"/>
              </w:rPr>
              <w:t xml:space="preserve">) </w:t>
            </w:r>
            <w:r w:rsidRPr="003B3295">
              <w:rPr>
                <w:rFonts w:ascii="Times New Roman" w:hAnsi="Times New Roman" w:cs="Times New Roman"/>
                <w:sz w:val="24"/>
                <w:szCs w:val="24"/>
                <w:rtl/>
                <w:lang w:eastAsia="fr-FR" w:bidi="ar-SA"/>
              </w:rPr>
              <w:t>داخل الورشة وحولها</w:t>
            </w:r>
          </w:p>
        </w:tc>
        <w:tc>
          <w:tcPr>
            <w:tcW w:w="0" w:type="auto"/>
            <w:vAlign w:val="center"/>
            <w:hideMark/>
          </w:tcPr>
          <w:p w14:paraId="672969C6" w14:textId="77777777" w:rsidR="00183815" w:rsidRPr="003B3295" w:rsidRDefault="00183815" w:rsidP="006C49DE">
            <w:pPr>
              <w:spacing w:after="0" w:line="240" w:lineRule="auto"/>
              <w:rPr>
                <w:rFonts w:ascii="Times New Roman" w:hAnsi="Times New Roman" w:cs="Times New Roman"/>
                <w:sz w:val="24"/>
                <w:szCs w:val="24"/>
                <w:lang w:eastAsia="fr-FR"/>
              </w:rPr>
            </w:pPr>
            <w:r w:rsidRPr="003B3295">
              <w:rPr>
                <w:rFonts w:ascii="Times New Roman" w:hAnsi="Times New Roman" w:cs="Times New Roman"/>
                <w:sz w:val="24"/>
                <w:szCs w:val="24"/>
                <w:rtl/>
                <w:lang w:eastAsia="fr-FR" w:bidi="ar-SA"/>
              </w:rPr>
              <w:t>المناطق المحيطة بالورشة، المساحات غير المحفورة</w:t>
            </w:r>
          </w:p>
        </w:tc>
        <w:tc>
          <w:tcPr>
            <w:tcW w:w="0" w:type="auto"/>
            <w:vAlign w:val="center"/>
            <w:hideMark/>
          </w:tcPr>
          <w:p w14:paraId="3ACBCEBC" w14:textId="77777777" w:rsidR="00183815" w:rsidRPr="003B3295" w:rsidRDefault="00183815" w:rsidP="006C49DE">
            <w:pPr>
              <w:spacing w:after="0" w:line="240" w:lineRule="auto"/>
              <w:rPr>
                <w:rFonts w:ascii="Times New Roman" w:hAnsi="Times New Roman" w:cs="Times New Roman"/>
                <w:sz w:val="24"/>
                <w:szCs w:val="24"/>
                <w:lang w:eastAsia="fr-FR"/>
              </w:rPr>
            </w:pPr>
            <w:r w:rsidRPr="003B3295">
              <w:rPr>
                <w:rFonts w:ascii="Times New Roman" w:hAnsi="Times New Roman" w:cs="Times New Roman"/>
                <w:sz w:val="24"/>
                <w:szCs w:val="24"/>
                <w:rtl/>
                <w:lang w:eastAsia="fr-FR" w:bidi="ar-SA"/>
              </w:rPr>
              <w:t>معاينات بصرية، استمارات ملاحظة، تتبع بالصور</w:t>
            </w:r>
          </w:p>
        </w:tc>
        <w:tc>
          <w:tcPr>
            <w:tcW w:w="0" w:type="auto"/>
            <w:vAlign w:val="center"/>
            <w:hideMark/>
          </w:tcPr>
          <w:p w14:paraId="37C6DB2A" w14:textId="77777777" w:rsidR="00183815" w:rsidRPr="003B3295" w:rsidRDefault="00183815" w:rsidP="006C49DE">
            <w:pPr>
              <w:spacing w:after="0" w:line="240" w:lineRule="auto"/>
              <w:rPr>
                <w:rFonts w:ascii="Times New Roman" w:hAnsi="Times New Roman" w:cs="Times New Roman"/>
                <w:sz w:val="24"/>
                <w:szCs w:val="24"/>
                <w:lang w:eastAsia="fr-FR"/>
              </w:rPr>
            </w:pPr>
            <w:r w:rsidRPr="003B3295">
              <w:rPr>
                <w:rFonts w:ascii="Times New Roman" w:hAnsi="Times New Roman" w:cs="Times New Roman"/>
                <w:sz w:val="24"/>
                <w:szCs w:val="24"/>
                <w:rtl/>
                <w:lang w:eastAsia="fr-FR" w:bidi="ar-SA"/>
              </w:rPr>
              <w:t xml:space="preserve">موسمياً وقبل كل مرحلة رئيسية من الأشغال </w:t>
            </w:r>
            <w:r w:rsidRPr="003B3295">
              <w:rPr>
                <w:rFonts w:ascii="Times New Roman" w:hAnsi="Times New Roman" w:cs="Times New Roman"/>
                <w:sz w:val="24"/>
                <w:szCs w:val="24"/>
                <w:rtl/>
                <w:lang w:eastAsia="fr-FR"/>
              </w:rPr>
              <w:t>(</w:t>
            </w:r>
            <w:r w:rsidRPr="003B3295">
              <w:rPr>
                <w:rFonts w:ascii="Times New Roman" w:hAnsi="Times New Roman" w:cs="Times New Roman"/>
                <w:sz w:val="24"/>
                <w:szCs w:val="24"/>
                <w:rtl/>
                <w:lang w:eastAsia="fr-FR" w:bidi="ar-SA"/>
              </w:rPr>
              <w:t>الحفر، الإنارة، حركة الطائرات</w:t>
            </w:r>
            <w:r w:rsidRPr="003B3295">
              <w:rPr>
                <w:rFonts w:ascii="Times New Roman" w:hAnsi="Times New Roman" w:cs="Times New Roman"/>
                <w:sz w:val="24"/>
                <w:szCs w:val="24"/>
                <w:rtl/>
                <w:lang w:eastAsia="fr-FR"/>
              </w:rPr>
              <w:t>)</w:t>
            </w:r>
          </w:p>
        </w:tc>
        <w:tc>
          <w:tcPr>
            <w:tcW w:w="0" w:type="auto"/>
            <w:vAlign w:val="center"/>
            <w:hideMark/>
          </w:tcPr>
          <w:p w14:paraId="62D29E11" w14:textId="77777777" w:rsidR="00183815" w:rsidRPr="003B3295" w:rsidRDefault="00183815" w:rsidP="006C49DE">
            <w:pPr>
              <w:spacing w:after="0" w:line="240" w:lineRule="auto"/>
              <w:rPr>
                <w:rFonts w:ascii="Times New Roman" w:hAnsi="Times New Roman" w:cs="Times New Roman"/>
                <w:sz w:val="24"/>
                <w:szCs w:val="24"/>
                <w:lang w:eastAsia="fr-FR"/>
              </w:rPr>
            </w:pPr>
            <w:r w:rsidRPr="003B3295">
              <w:rPr>
                <w:rFonts w:ascii="Times New Roman" w:hAnsi="Times New Roman" w:cs="Times New Roman"/>
                <w:sz w:val="24"/>
                <w:szCs w:val="24"/>
                <w:rtl/>
                <w:lang w:eastAsia="fr-FR" w:bidi="ar-SA"/>
              </w:rPr>
              <w:t>التأكد من عدم حدوث اضطرابات بيئية هامة أو تدمير للمواطن الطبيعية</w:t>
            </w:r>
          </w:p>
        </w:tc>
        <w:tc>
          <w:tcPr>
            <w:tcW w:w="0" w:type="auto"/>
            <w:vAlign w:val="center"/>
            <w:hideMark/>
          </w:tcPr>
          <w:p w14:paraId="4506DAC7" w14:textId="77777777" w:rsidR="00183815" w:rsidRPr="003B3295" w:rsidRDefault="00183815" w:rsidP="006C49DE">
            <w:pPr>
              <w:spacing w:after="0" w:line="240" w:lineRule="auto"/>
              <w:rPr>
                <w:rFonts w:ascii="Times New Roman" w:hAnsi="Times New Roman" w:cs="Times New Roman"/>
                <w:sz w:val="24"/>
                <w:szCs w:val="24"/>
                <w:lang w:eastAsia="fr-FR"/>
              </w:rPr>
            </w:pPr>
            <w:r w:rsidRPr="003B3295">
              <w:rPr>
                <w:rFonts w:ascii="Times New Roman" w:hAnsi="Times New Roman" w:cs="Times New Roman"/>
                <w:sz w:val="24"/>
                <w:szCs w:val="24"/>
                <w:rtl/>
                <w:lang w:eastAsia="fr-FR" w:bidi="ar-SA"/>
              </w:rPr>
              <w:t>مضمَّن في مهمة المساعدة البيئية</w:t>
            </w:r>
            <w:r w:rsidRPr="003B3295">
              <w:rPr>
                <w:rFonts w:ascii="Times New Roman" w:hAnsi="Times New Roman" w:cs="Times New Roman"/>
                <w:sz w:val="24"/>
                <w:szCs w:val="24"/>
                <w:lang w:eastAsia="fr-FR"/>
              </w:rPr>
              <w:t xml:space="preserve"> (AMO)</w:t>
            </w:r>
          </w:p>
        </w:tc>
        <w:tc>
          <w:tcPr>
            <w:tcW w:w="0" w:type="auto"/>
            <w:vAlign w:val="center"/>
            <w:hideMark/>
          </w:tcPr>
          <w:p w14:paraId="3303CDA6" w14:textId="77777777" w:rsidR="00183815" w:rsidRPr="003B3295" w:rsidRDefault="00183815" w:rsidP="006C49DE">
            <w:pPr>
              <w:spacing w:after="0" w:line="240" w:lineRule="auto"/>
              <w:rPr>
                <w:rFonts w:ascii="Times New Roman" w:hAnsi="Times New Roman" w:cs="Times New Roman"/>
                <w:sz w:val="24"/>
                <w:szCs w:val="24"/>
                <w:lang w:eastAsia="fr-FR"/>
              </w:rPr>
            </w:pPr>
            <w:r w:rsidRPr="003B3295">
              <w:rPr>
                <w:rFonts w:ascii="Times New Roman" w:hAnsi="Times New Roman" w:cs="Times New Roman"/>
                <w:sz w:val="24"/>
                <w:szCs w:val="24"/>
                <w:rtl/>
                <w:lang w:eastAsia="fr-FR" w:bidi="ar-SA"/>
              </w:rPr>
              <w:t>مقاول الـ</w:t>
            </w:r>
            <w:r w:rsidRPr="003B3295">
              <w:rPr>
                <w:rFonts w:ascii="Times New Roman" w:hAnsi="Times New Roman" w:cs="Times New Roman"/>
                <w:sz w:val="24"/>
                <w:szCs w:val="24"/>
                <w:lang w:eastAsia="fr-FR"/>
              </w:rPr>
              <w:t>EPC</w:t>
            </w:r>
          </w:p>
        </w:tc>
      </w:tr>
      <w:tr w:rsidR="00183815" w:rsidRPr="003B3295" w14:paraId="77232F6D" w14:textId="77777777" w:rsidTr="00AC2854">
        <w:trPr>
          <w:tblCellSpacing w:w="15" w:type="dxa"/>
          <w:jc w:val="center"/>
        </w:trPr>
        <w:tc>
          <w:tcPr>
            <w:tcW w:w="0" w:type="auto"/>
            <w:vAlign w:val="center"/>
            <w:hideMark/>
          </w:tcPr>
          <w:p w14:paraId="5FB80F9F" w14:textId="77777777" w:rsidR="00183815" w:rsidRPr="003B3295" w:rsidRDefault="00183815" w:rsidP="006C49DE">
            <w:pPr>
              <w:spacing w:after="0" w:line="240" w:lineRule="auto"/>
              <w:rPr>
                <w:rFonts w:ascii="Times New Roman" w:hAnsi="Times New Roman" w:cs="Times New Roman"/>
                <w:sz w:val="24"/>
                <w:szCs w:val="24"/>
                <w:lang w:eastAsia="fr-FR"/>
              </w:rPr>
            </w:pPr>
            <w:r w:rsidRPr="003B3295">
              <w:rPr>
                <w:rFonts w:ascii="Times New Roman" w:hAnsi="Times New Roman" w:cs="Times New Roman"/>
                <w:b/>
                <w:bCs/>
                <w:sz w:val="24"/>
                <w:szCs w:val="24"/>
                <w:rtl/>
                <w:lang w:eastAsia="fr-FR" w:bidi="ar-SA"/>
              </w:rPr>
              <w:lastRenderedPageBreak/>
              <w:t>تدبير الشكاوى</w:t>
            </w:r>
          </w:p>
        </w:tc>
        <w:tc>
          <w:tcPr>
            <w:tcW w:w="0" w:type="auto"/>
            <w:vAlign w:val="center"/>
            <w:hideMark/>
          </w:tcPr>
          <w:p w14:paraId="333C35A8" w14:textId="77777777" w:rsidR="00183815" w:rsidRPr="003B3295" w:rsidRDefault="00183815" w:rsidP="006C49DE">
            <w:pPr>
              <w:spacing w:after="0" w:line="240" w:lineRule="auto"/>
              <w:rPr>
                <w:rFonts w:ascii="Times New Roman" w:hAnsi="Times New Roman" w:cs="Times New Roman"/>
                <w:sz w:val="24"/>
                <w:szCs w:val="24"/>
                <w:lang w:eastAsia="fr-FR"/>
              </w:rPr>
            </w:pPr>
            <w:r w:rsidRPr="003B3295">
              <w:rPr>
                <w:rFonts w:ascii="Times New Roman" w:hAnsi="Times New Roman" w:cs="Times New Roman"/>
                <w:sz w:val="24"/>
                <w:szCs w:val="24"/>
                <w:rtl/>
                <w:lang w:eastAsia="fr-FR" w:bidi="ar-SA"/>
              </w:rPr>
              <w:t>متابعة التفاعلات الاجتماعية والشكاوى المجتمعية</w:t>
            </w:r>
          </w:p>
        </w:tc>
        <w:tc>
          <w:tcPr>
            <w:tcW w:w="0" w:type="auto"/>
            <w:vAlign w:val="center"/>
            <w:hideMark/>
          </w:tcPr>
          <w:p w14:paraId="27E34147" w14:textId="77777777" w:rsidR="00183815" w:rsidRPr="003B3295" w:rsidRDefault="00183815" w:rsidP="006C49DE">
            <w:pPr>
              <w:spacing w:after="0" w:line="240" w:lineRule="auto"/>
              <w:rPr>
                <w:rFonts w:ascii="Times New Roman" w:hAnsi="Times New Roman" w:cs="Times New Roman"/>
                <w:sz w:val="24"/>
                <w:szCs w:val="24"/>
                <w:lang w:eastAsia="fr-FR"/>
              </w:rPr>
            </w:pPr>
            <w:r w:rsidRPr="003B3295">
              <w:rPr>
                <w:rFonts w:ascii="Times New Roman" w:hAnsi="Times New Roman" w:cs="Times New Roman"/>
                <w:sz w:val="24"/>
                <w:szCs w:val="24"/>
                <w:rtl/>
                <w:lang w:eastAsia="fr-FR" w:bidi="ar-SA"/>
              </w:rPr>
              <w:t>الجماعات المجاورة، مداخل الورشة</w:t>
            </w:r>
          </w:p>
        </w:tc>
        <w:tc>
          <w:tcPr>
            <w:tcW w:w="0" w:type="auto"/>
            <w:vAlign w:val="center"/>
            <w:hideMark/>
          </w:tcPr>
          <w:p w14:paraId="544C1310" w14:textId="77777777" w:rsidR="00183815" w:rsidRPr="003B3295" w:rsidRDefault="00183815" w:rsidP="006C49DE">
            <w:pPr>
              <w:spacing w:after="0" w:line="240" w:lineRule="auto"/>
              <w:rPr>
                <w:rFonts w:ascii="Times New Roman" w:hAnsi="Times New Roman" w:cs="Times New Roman"/>
                <w:sz w:val="24"/>
                <w:szCs w:val="24"/>
                <w:lang w:eastAsia="fr-FR"/>
              </w:rPr>
            </w:pPr>
            <w:r w:rsidRPr="003B3295">
              <w:rPr>
                <w:rFonts w:ascii="Times New Roman" w:hAnsi="Times New Roman" w:cs="Times New Roman"/>
                <w:sz w:val="24"/>
                <w:szCs w:val="24"/>
                <w:rtl/>
                <w:lang w:eastAsia="fr-FR" w:bidi="ar-SA"/>
              </w:rPr>
              <w:t>سجلّ آلية تدبير الشكاوى</w:t>
            </w:r>
            <w:r w:rsidRPr="003B3295">
              <w:rPr>
                <w:rFonts w:ascii="Times New Roman" w:hAnsi="Times New Roman" w:cs="Times New Roman"/>
                <w:sz w:val="24"/>
                <w:szCs w:val="24"/>
                <w:lang w:eastAsia="fr-FR"/>
              </w:rPr>
              <w:t xml:space="preserve"> (MGP)</w:t>
            </w:r>
          </w:p>
        </w:tc>
        <w:tc>
          <w:tcPr>
            <w:tcW w:w="0" w:type="auto"/>
            <w:vAlign w:val="center"/>
            <w:hideMark/>
          </w:tcPr>
          <w:p w14:paraId="05843797" w14:textId="77777777" w:rsidR="00183815" w:rsidRPr="003B3295" w:rsidRDefault="00183815" w:rsidP="006C49DE">
            <w:pPr>
              <w:spacing w:after="0" w:line="240" w:lineRule="auto"/>
              <w:rPr>
                <w:rFonts w:ascii="Times New Roman" w:hAnsi="Times New Roman" w:cs="Times New Roman"/>
                <w:sz w:val="24"/>
                <w:szCs w:val="24"/>
                <w:lang w:eastAsia="fr-FR"/>
              </w:rPr>
            </w:pPr>
            <w:r w:rsidRPr="003B3295">
              <w:rPr>
                <w:rFonts w:ascii="Times New Roman" w:hAnsi="Times New Roman" w:cs="Times New Roman"/>
                <w:sz w:val="24"/>
                <w:szCs w:val="24"/>
                <w:rtl/>
                <w:lang w:eastAsia="fr-FR" w:bidi="ar-SA"/>
              </w:rPr>
              <w:t xml:space="preserve">بشكل مستمر </w:t>
            </w:r>
            <w:r w:rsidRPr="003B3295">
              <w:rPr>
                <w:rFonts w:ascii="Times New Roman" w:hAnsi="Times New Roman" w:cs="Times New Roman"/>
                <w:sz w:val="24"/>
                <w:szCs w:val="24"/>
                <w:rtl/>
                <w:lang w:eastAsia="fr-FR"/>
              </w:rPr>
              <w:t xml:space="preserve">/ </w:t>
            </w:r>
            <w:r w:rsidRPr="003B3295">
              <w:rPr>
                <w:rFonts w:ascii="Times New Roman" w:hAnsi="Times New Roman" w:cs="Times New Roman"/>
                <w:sz w:val="24"/>
                <w:szCs w:val="24"/>
                <w:rtl/>
                <w:lang w:eastAsia="fr-FR" w:bidi="ar-SA"/>
              </w:rPr>
              <w:t>مراجعة ربع سنوية</w:t>
            </w:r>
          </w:p>
        </w:tc>
        <w:tc>
          <w:tcPr>
            <w:tcW w:w="0" w:type="auto"/>
            <w:vAlign w:val="center"/>
            <w:hideMark/>
          </w:tcPr>
          <w:p w14:paraId="3C55491D" w14:textId="77777777" w:rsidR="00183815" w:rsidRPr="003B3295" w:rsidRDefault="00183815" w:rsidP="006C49DE">
            <w:pPr>
              <w:spacing w:after="0" w:line="240" w:lineRule="auto"/>
              <w:rPr>
                <w:rFonts w:ascii="Times New Roman" w:hAnsi="Times New Roman" w:cs="Times New Roman"/>
                <w:sz w:val="24"/>
                <w:szCs w:val="24"/>
                <w:lang w:eastAsia="fr-FR"/>
              </w:rPr>
            </w:pPr>
            <w:r w:rsidRPr="003B3295">
              <w:rPr>
                <w:rFonts w:ascii="Times New Roman" w:hAnsi="Times New Roman" w:cs="Times New Roman"/>
                <w:sz w:val="24"/>
                <w:szCs w:val="24"/>
                <w:rtl/>
                <w:lang w:eastAsia="fr-FR" w:bidi="ar-SA"/>
              </w:rPr>
              <w:t>الحفاظ على علاقة جيدة مع الساكنة وتقليص التوترات الاجتماعية</w:t>
            </w:r>
          </w:p>
        </w:tc>
        <w:tc>
          <w:tcPr>
            <w:tcW w:w="0" w:type="auto"/>
            <w:vAlign w:val="center"/>
            <w:hideMark/>
          </w:tcPr>
          <w:p w14:paraId="2EE2AC49" w14:textId="77777777" w:rsidR="00183815" w:rsidRPr="003B3295" w:rsidRDefault="00183815" w:rsidP="006C49DE">
            <w:pPr>
              <w:spacing w:after="0" w:line="240" w:lineRule="auto"/>
              <w:rPr>
                <w:rFonts w:ascii="Times New Roman" w:hAnsi="Times New Roman" w:cs="Times New Roman"/>
                <w:sz w:val="24"/>
                <w:szCs w:val="24"/>
                <w:lang w:eastAsia="fr-FR"/>
              </w:rPr>
            </w:pPr>
            <w:r w:rsidRPr="003B3295">
              <w:rPr>
                <w:rFonts w:ascii="Times New Roman" w:hAnsi="Times New Roman" w:cs="Times New Roman"/>
                <w:sz w:val="24"/>
                <w:szCs w:val="24"/>
                <w:rtl/>
                <w:lang w:eastAsia="fr-FR" w:bidi="ar-SA"/>
              </w:rPr>
              <w:t>زهيدة</w:t>
            </w:r>
          </w:p>
        </w:tc>
        <w:tc>
          <w:tcPr>
            <w:tcW w:w="0" w:type="auto"/>
            <w:vAlign w:val="center"/>
            <w:hideMark/>
          </w:tcPr>
          <w:p w14:paraId="48F842B0" w14:textId="77777777" w:rsidR="00183815" w:rsidRPr="003B3295" w:rsidRDefault="00183815" w:rsidP="006C49DE">
            <w:pPr>
              <w:spacing w:after="0" w:line="240" w:lineRule="auto"/>
              <w:rPr>
                <w:rFonts w:ascii="Times New Roman" w:hAnsi="Times New Roman" w:cs="Times New Roman"/>
                <w:sz w:val="24"/>
                <w:szCs w:val="24"/>
                <w:lang w:eastAsia="fr-FR"/>
              </w:rPr>
            </w:pPr>
            <w:r w:rsidRPr="003B3295">
              <w:rPr>
                <w:rFonts w:ascii="Times New Roman" w:hAnsi="Times New Roman" w:cs="Times New Roman"/>
                <w:sz w:val="24"/>
                <w:szCs w:val="24"/>
                <w:rtl/>
                <w:lang w:eastAsia="fr-FR" w:bidi="ar-SA"/>
              </w:rPr>
              <w:t>المكتب الوطني للمطارات</w:t>
            </w:r>
            <w:r w:rsidRPr="003B3295">
              <w:rPr>
                <w:rFonts w:ascii="Times New Roman" w:hAnsi="Times New Roman" w:cs="Times New Roman"/>
                <w:sz w:val="24"/>
                <w:szCs w:val="24"/>
                <w:lang w:eastAsia="fr-FR"/>
              </w:rPr>
              <w:t xml:space="preserve"> (ONDA)</w:t>
            </w:r>
          </w:p>
        </w:tc>
      </w:tr>
      <w:tr w:rsidR="00183815" w:rsidRPr="003B3295" w14:paraId="05AE5648" w14:textId="77777777" w:rsidTr="00AC2854">
        <w:trPr>
          <w:tblCellSpacing w:w="15" w:type="dxa"/>
          <w:jc w:val="center"/>
        </w:trPr>
        <w:tc>
          <w:tcPr>
            <w:tcW w:w="0" w:type="auto"/>
            <w:vAlign w:val="center"/>
            <w:hideMark/>
          </w:tcPr>
          <w:p w14:paraId="1BDF7278" w14:textId="77777777" w:rsidR="00183815" w:rsidRPr="003B3295" w:rsidRDefault="00183815" w:rsidP="006C49DE">
            <w:pPr>
              <w:spacing w:after="0" w:line="240" w:lineRule="auto"/>
              <w:rPr>
                <w:rFonts w:ascii="Times New Roman" w:hAnsi="Times New Roman" w:cs="Times New Roman"/>
                <w:sz w:val="24"/>
                <w:szCs w:val="24"/>
                <w:lang w:eastAsia="fr-FR"/>
              </w:rPr>
            </w:pPr>
            <w:r w:rsidRPr="003B3295">
              <w:rPr>
                <w:rFonts w:ascii="Times New Roman" w:hAnsi="Times New Roman" w:cs="Times New Roman"/>
                <w:b/>
                <w:bCs/>
                <w:sz w:val="24"/>
                <w:szCs w:val="24"/>
                <w:rtl/>
                <w:lang w:eastAsia="fr-FR" w:bidi="ar-SA"/>
              </w:rPr>
              <w:t>حركة المرور</w:t>
            </w:r>
          </w:p>
        </w:tc>
        <w:tc>
          <w:tcPr>
            <w:tcW w:w="0" w:type="auto"/>
            <w:vAlign w:val="center"/>
            <w:hideMark/>
          </w:tcPr>
          <w:p w14:paraId="66372176" w14:textId="77777777" w:rsidR="00183815" w:rsidRPr="003B3295" w:rsidRDefault="00183815" w:rsidP="006C49DE">
            <w:pPr>
              <w:spacing w:after="0" w:line="240" w:lineRule="auto"/>
              <w:rPr>
                <w:rFonts w:ascii="Times New Roman" w:hAnsi="Times New Roman" w:cs="Times New Roman"/>
                <w:sz w:val="24"/>
                <w:szCs w:val="24"/>
                <w:lang w:eastAsia="fr-FR"/>
              </w:rPr>
            </w:pPr>
            <w:r w:rsidRPr="003B3295">
              <w:rPr>
                <w:rFonts w:ascii="Times New Roman" w:hAnsi="Times New Roman" w:cs="Times New Roman"/>
                <w:sz w:val="24"/>
                <w:szCs w:val="24"/>
                <w:rtl/>
                <w:lang w:eastAsia="fr-FR" w:bidi="ar-SA"/>
              </w:rPr>
              <w:t>مراقبة حركة السير والسلامة المرورية المرتبطة بالورشة</w:t>
            </w:r>
          </w:p>
        </w:tc>
        <w:tc>
          <w:tcPr>
            <w:tcW w:w="0" w:type="auto"/>
            <w:vAlign w:val="center"/>
            <w:hideMark/>
          </w:tcPr>
          <w:p w14:paraId="6C0B8AB9" w14:textId="77777777" w:rsidR="00183815" w:rsidRPr="003B3295" w:rsidRDefault="00183815" w:rsidP="006C49DE">
            <w:pPr>
              <w:spacing w:after="0" w:line="240" w:lineRule="auto"/>
              <w:rPr>
                <w:rFonts w:ascii="Times New Roman" w:hAnsi="Times New Roman" w:cs="Times New Roman"/>
                <w:sz w:val="24"/>
                <w:szCs w:val="24"/>
                <w:lang w:eastAsia="fr-FR"/>
              </w:rPr>
            </w:pPr>
            <w:r w:rsidRPr="003B3295">
              <w:rPr>
                <w:rFonts w:ascii="Times New Roman" w:hAnsi="Times New Roman" w:cs="Times New Roman"/>
                <w:sz w:val="24"/>
                <w:szCs w:val="24"/>
                <w:rtl/>
                <w:lang w:eastAsia="fr-FR" w:bidi="ar-SA"/>
              </w:rPr>
              <w:t>الطرق المؤدية ومحيط المطار</w:t>
            </w:r>
          </w:p>
        </w:tc>
        <w:tc>
          <w:tcPr>
            <w:tcW w:w="0" w:type="auto"/>
            <w:vAlign w:val="center"/>
            <w:hideMark/>
          </w:tcPr>
          <w:p w14:paraId="11D5D9C4" w14:textId="77777777" w:rsidR="00183815" w:rsidRPr="003B3295" w:rsidRDefault="00183815" w:rsidP="006C49DE">
            <w:pPr>
              <w:spacing w:after="0" w:line="240" w:lineRule="auto"/>
              <w:rPr>
                <w:rFonts w:ascii="Times New Roman" w:hAnsi="Times New Roman" w:cs="Times New Roman"/>
                <w:sz w:val="24"/>
                <w:szCs w:val="24"/>
                <w:lang w:eastAsia="fr-FR"/>
              </w:rPr>
            </w:pPr>
            <w:r w:rsidRPr="003B3295">
              <w:rPr>
                <w:rFonts w:ascii="Times New Roman" w:hAnsi="Times New Roman" w:cs="Times New Roman"/>
                <w:sz w:val="24"/>
                <w:szCs w:val="24"/>
                <w:rtl/>
                <w:lang w:eastAsia="fr-FR" w:bidi="ar-SA"/>
              </w:rPr>
              <w:t>إحصاء بصري، مراقبة الإشارات والسرعة</w:t>
            </w:r>
          </w:p>
        </w:tc>
        <w:tc>
          <w:tcPr>
            <w:tcW w:w="0" w:type="auto"/>
            <w:vAlign w:val="center"/>
            <w:hideMark/>
          </w:tcPr>
          <w:p w14:paraId="540FDFBC" w14:textId="77777777" w:rsidR="00183815" w:rsidRPr="003B3295" w:rsidRDefault="00183815" w:rsidP="006C49DE">
            <w:pPr>
              <w:spacing w:after="0" w:line="240" w:lineRule="auto"/>
              <w:rPr>
                <w:rFonts w:ascii="Times New Roman" w:hAnsi="Times New Roman" w:cs="Times New Roman"/>
                <w:sz w:val="24"/>
                <w:szCs w:val="24"/>
                <w:lang w:eastAsia="fr-FR"/>
              </w:rPr>
            </w:pPr>
            <w:r w:rsidRPr="003B3295">
              <w:rPr>
                <w:rFonts w:ascii="Times New Roman" w:hAnsi="Times New Roman" w:cs="Times New Roman"/>
                <w:sz w:val="24"/>
                <w:szCs w:val="24"/>
                <w:rtl/>
                <w:lang w:eastAsia="fr-FR" w:bidi="ar-SA"/>
              </w:rPr>
              <w:t>أسبوعيًا</w:t>
            </w:r>
          </w:p>
        </w:tc>
        <w:tc>
          <w:tcPr>
            <w:tcW w:w="0" w:type="auto"/>
            <w:vAlign w:val="center"/>
            <w:hideMark/>
          </w:tcPr>
          <w:p w14:paraId="00071D98" w14:textId="77777777" w:rsidR="00183815" w:rsidRPr="003B3295" w:rsidRDefault="00183815" w:rsidP="006C49DE">
            <w:pPr>
              <w:spacing w:after="0" w:line="240" w:lineRule="auto"/>
              <w:rPr>
                <w:rFonts w:ascii="Times New Roman" w:hAnsi="Times New Roman" w:cs="Times New Roman"/>
                <w:sz w:val="24"/>
                <w:szCs w:val="24"/>
                <w:lang w:eastAsia="fr-FR"/>
              </w:rPr>
            </w:pPr>
            <w:r w:rsidRPr="003B3295">
              <w:rPr>
                <w:rFonts w:ascii="Times New Roman" w:hAnsi="Times New Roman" w:cs="Times New Roman"/>
                <w:sz w:val="24"/>
                <w:szCs w:val="24"/>
                <w:rtl/>
                <w:lang w:eastAsia="fr-FR" w:bidi="ar-SA"/>
              </w:rPr>
              <w:t>الحد من حوادث السير والازدحام</w:t>
            </w:r>
          </w:p>
        </w:tc>
        <w:tc>
          <w:tcPr>
            <w:tcW w:w="0" w:type="auto"/>
            <w:vAlign w:val="center"/>
            <w:hideMark/>
          </w:tcPr>
          <w:p w14:paraId="2C071215" w14:textId="77777777" w:rsidR="00183815" w:rsidRPr="003B3295" w:rsidRDefault="00183815" w:rsidP="006C49DE">
            <w:pPr>
              <w:spacing w:after="0" w:line="240" w:lineRule="auto"/>
              <w:rPr>
                <w:rFonts w:ascii="Times New Roman" w:hAnsi="Times New Roman" w:cs="Times New Roman"/>
                <w:sz w:val="24"/>
                <w:szCs w:val="24"/>
                <w:lang w:eastAsia="fr-FR"/>
              </w:rPr>
            </w:pPr>
            <w:r w:rsidRPr="003B3295">
              <w:rPr>
                <w:rFonts w:ascii="Times New Roman" w:hAnsi="Times New Roman" w:cs="Times New Roman"/>
                <w:sz w:val="24"/>
                <w:szCs w:val="24"/>
                <w:rtl/>
                <w:lang w:eastAsia="fr-FR" w:bidi="ar-SA"/>
              </w:rPr>
              <w:t>مضمَّن في عقد الـ</w:t>
            </w:r>
            <w:r w:rsidRPr="003B3295">
              <w:rPr>
                <w:rFonts w:ascii="Times New Roman" w:hAnsi="Times New Roman" w:cs="Times New Roman"/>
                <w:sz w:val="24"/>
                <w:szCs w:val="24"/>
                <w:lang w:eastAsia="fr-FR"/>
              </w:rPr>
              <w:t>EPC</w:t>
            </w:r>
          </w:p>
        </w:tc>
        <w:tc>
          <w:tcPr>
            <w:tcW w:w="0" w:type="auto"/>
            <w:vAlign w:val="center"/>
            <w:hideMark/>
          </w:tcPr>
          <w:p w14:paraId="264D7C82" w14:textId="77777777" w:rsidR="00183815" w:rsidRPr="003B3295" w:rsidRDefault="00183815" w:rsidP="006C49DE">
            <w:pPr>
              <w:spacing w:after="0" w:line="240" w:lineRule="auto"/>
              <w:rPr>
                <w:rFonts w:ascii="Times New Roman" w:hAnsi="Times New Roman" w:cs="Times New Roman"/>
                <w:sz w:val="24"/>
                <w:szCs w:val="24"/>
                <w:lang w:eastAsia="fr-FR"/>
              </w:rPr>
            </w:pPr>
            <w:r w:rsidRPr="003B3295">
              <w:rPr>
                <w:rFonts w:ascii="Times New Roman" w:hAnsi="Times New Roman" w:cs="Times New Roman"/>
                <w:sz w:val="24"/>
                <w:szCs w:val="24"/>
                <w:rtl/>
                <w:lang w:eastAsia="fr-FR" w:bidi="ar-SA"/>
              </w:rPr>
              <w:t>مقاول الـ</w:t>
            </w:r>
            <w:r w:rsidRPr="003B3295">
              <w:rPr>
                <w:rFonts w:ascii="Times New Roman" w:hAnsi="Times New Roman" w:cs="Times New Roman"/>
                <w:sz w:val="24"/>
                <w:szCs w:val="24"/>
                <w:lang w:eastAsia="fr-FR"/>
              </w:rPr>
              <w:t>EPC</w:t>
            </w:r>
          </w:p>
        </w:tc>
      </w:tr>
    </w:tbl>
    <w:p w14:paraId="5654C1A0" w14:textId="7D061306" w:rsidR="00183815" w:rsidRPr="00AC2854" w:rsidRDefault="00183815" w:rsidP="00AC2854">
      <w:pPr>
        <w:bidi/>
        <w:rPr>
          <w:rFonts w:ascii="Arial"/>
          <w:rtl/>
          <w:lang w:val="fr-MA"/>
        </w:rPr>
      </w:pPr>
    </w:p>
    <w:p w14:paraId="6D14D2C6" w14:textId="6102C283" w:rsidR="00183815" w:rsidRDefault="00183815" w:rsidP="000048F7">
      <w:pPr>
        <w:rPr>
          <w:rFonts w:ascii="Arial"/>
          <w:rtl/>
        </w:rPr>
      </w:pPr>
    </w:p>
    <w:p w14:paraId="41ED06F6" w14:textId="4AE38BE8" w:rsidR="00183815" w:rsidRDefault="00183815" w:rsidP="000048F7">
      <w:pPr>
        <w:rPr>
          <w:rFonts w:ascii="Arial"/>
          <w:rtl/>
        </w:rPr>
      </w:pPr>
    </w:p>
    <w:p w14:paraId="167B200C" w14:textId="03EE1C87" w:rsidR="00183815" w:rsidRDefault="00183815" w:rsidP="000048F7">
      <w:pPr>
        <w:rPr>
          <w:rFonts w:ascii="Arial"/>
          <w:rtl/>
        </w:rPr>
      </w:pPr>
    </w:p>
    <w:p w14:paraId="60C912B9" w14:textId="3841E8E7" w:rsidR="00183815" w:rsidRDefault="00183815" w:rsidP="000048F7">
      <w:pPr>
        <w:rPr>
          <w:rFonts w:ascii="Arial"/>
          <w:rtl/>
        </w:rPr>
      </w:pPr>
    </w:p>
    <w:p w14:paraId="5390C839" w14:textId="7C00BBC4" w:rsidR="00183815" w:rsidRDefault="00183815" w:rsidP="000048F7">
      <w:pPr>
        <w:rPr>
          <w:rFonts w:ascii="Arial"/>
          <w:rtl/>
        </w:rPr>
      </w:pPr>
    </w:p>
    <w:p w14:paraId="43305706" w14:textId="719B0ECA" w:rsidR="00183815" w:rsidRDefault="00183815" w:rsidP="000048F7">
      <w:pPr>
        <w:rPr>
          <w:rFonts w:ascii="Arial"/>
          <w:rtl/>
        </w:rPr>
      </w:pPr>
    </w:p>
    <w:p w14:paraId="6493475A" w14:textId="4E085B07" w:rsidR="00183815" w:rsidRDefault="00183815" w:rsidP="000048F7">
      <w:pPr>
        <w:rPr>
          <w:rFonts w:ascii="Arial"/>
          <w:rtl/>
        </w:rPr>
      </w:pPr>
    </w:p>
    <w:p w14:paraId="3198E7AC" w14:textId="2810A0F1" w:rsidR="00183815" w:rsidRDefault="00183815" w:rsidP="000048F7">
      <w:pPr>
        <w:rPr>
          <w:rFonts w:ascii="Arial"/>
          <w:rtl/>
        </w:rPr>
      </w:pPr>
    </w:p>
    <w:p w14:paraId="20FAF500" w14:textId="1F1F46EC" w:rsidR="00183815" w:rsidRDefault="00183815" w:rsidP="000048F7">
      <w:pPr>
        <w:rPr>
          <w:rFonts w:ascii="Arial"/>
          <w:rtl/>
        </w:rPr>
      </w:pPr>
    </w:p>
    <w:p w14:paraId="0DF07E77" w14:textId="5DA1ACBC" w:rsidR="00183815" w:rsidRDefault="00183815" w:rsidP="000048F7">
      <w:pPr>
        <w:rPr>
          <w:rFonts w:ascii="Arial"/>
          <w:rtl/>
        </w:rPr>
      </w:pPr>
    </w:p>
    <w:p w14:paraId="1E6C9013" w14:textId="6BC09EB4" w:rsidR="00183815" w:rsidRDefault="00183815" w:rsidP="000048F7">
      <w:pPr>
        <w:rPr>
          <w:rFonts w:ascii="Arial"/>
          <w:rtl/>
        </w:rPr>
      </w:pPr>
    </w:p>
    <w:p w14:paraId="57955B9F" w14:textId="611E1F47" w:rsidR="00183815" w:rsidRDefault="00183815" w:rsidP="000048F7">
      <w:pPr>
        <w:rPr>
          <w:rFonts w:ascii="Arial"/>
          <w:rtl/>
        </w:rPr>
      </w:pPr>
    </w:p>
    <w:p w14:paraId="5BA2DAC8" w14:textId="557A048B" w:rsidR="00183815" w:rsidRDefault="00183815" w:rsidP="000048F7">
      <w:pPr>
        <w:rPr>
          <w:rFonts w:ascii="Arial"/>
          <w:rtl/>
        </w:rPr>
      </w:pPr>
    </w:p>
    <w:p w14:paraId="1FFF339B" w14:textId="77777777" w:rsidR="00183815" w:rsidRPr="008E0953" w:rsidRDefault="00183815" w:rsidP="00183815">
      <w:pPr>
        <w:jc w:val="center"/>
        <w:rPr>
          <w:rFonts w:ascii="Arial"/>
          <w:rtl/>
        </w:rPr>
      </w:pPr>
      <w:r w:rsidRPr="008E0953">
        <w:rPr>
          <w:sz w:val="24"/>
          <w:rtl/>
          <w:lang w:bidi="ar-SA"/>
        </w:rPr>
        <w:lastRenderedPageBreak/>
        <w:t>جدول</w:t>
      </w:r>
      <w:r w:rsidRPr="008E0953">
        <w:rPr>
          <w:rFonts w:ascii="Arial"/>
          <w:rtl/>
        </w:rPr>
        <w:t xml:space="preserve"> </w:t>
      </w:r>
      <w:r w:rsidRPr="008E0953">
        <w:rPr>
          <w:sz w:val="24"/>
          <w:rtl/>
          <w:lang w:bidi="ar-SA"/>
        </w:rPr>
        <w:t>برنامج</w:t>
      </w:r>
      <w:r w:rsidRPr="008E0953">
        <w:rPr>
          <w:rFonts w:ascii="Arial"/>
          <w:rtl/>
        </w:rPr>
        <w:t xml:space="preserve"> </w:t>
      </w:r>
      <w:r w:rsidRPr="008E0953">
        <w:rPr>
          <w:sz w:val="24"/>
          <w:rtl/>
          <w:lang w:bidi="ar-SA"/>
        </w:rPr>
        <w:t>إدارة</w:t>
      </w:r>
      <w:r w:rsidRPr="008E0953">
        <w:rPr>
          <w:rFonts w:ascii="Arial"/>
          <w:rtl/>
        </w:rPr>
        <w:t xml:space="preserve"> </w:t>
      </w:r>
      <w:r w:rsidRPr="008E0953">
        <w:rPr>
          <w:sz w:val="24"/>
          <w:rtl/>
          <w:lang w:bidi="ar-SA"/>
        </w:rPr>
        <w:t>البيئة</w:t>
      </w:r>
      <w:r w:rsidRPr="008E0953">
        <w:rPr>
          <w:rFonts w:ascii="Arial"/>
          <w:rtl/>
        </w:rPr>
        <w:t xml:space="preserve"> </w:t>
      </w:r>
      <w:r w:rsidRPr="008E0953">
        <w:rPr>
          <w:sz w:val="24"/>
          <w:rtl/>
          <w:lang w:bidi="ar-SA"/>
        </w:rPr>
        <w:t xml:space="preserve">والمجتمع </w:t>
      </w:r>
      <w:r w:rsidRPr="008E0953">
        <w:rPr>
          <w:rFonts w:ascii="Arial"/>
          <w:rtl/>
        </w:rPr>
        <w:t xml:space="preserve">– </w:t>
      </w:r>
      <w:r w:rsidRPr="008E0953">
        <w:rPr>
          <w:sz w:val="24"/>
          <w:rtl/>
          <w:lang w:bidi="ar-SA"/>
        </w:rPr>
        <w:t>مرحلة العمل التشغيلي</w:t>
      </w:r>
    </w:p>
    <w:tbl>
      <w:tblPr>
        <w:tblW w:w="0" w:type="auto"/>
        <w:jc w:val="center"/>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124"/>
        <w:gridCol w:w="2895"/>
        <w:gridCol w:w="1733"/>
        <w:gridCol w:w="1733"/>
        <w:gridCol w:w="1455"/>
        <w:gridCol w:w="2196"/>
        <w:gridCol w:w="1315"/>
        <w:gridCol w:w="1684"/>
      </w:tblGrid>
      <w:tr w:rsidR="0002131D" w:rsidRPr="003B3295" w14:paraId="5C8C4E96" w14:textId="77777777" w:rsidTr="006C49DE">
        <w:trPr>
          <w:tblHeader/>
          <w:tblCellSpacing w:w="15" w:type="dxa"/>
          <w:jc w:val="center"/>
        </w:trPr>
        <w:tc>
          <w:tcPr>
            <w:tcW w:w="0" w:type="auto"/>
            <w:vAlign w:val="center"/>
            <w:hideMark/>
          </w:tcPr>
          <w:p w14:paraId="200DC9B1" w14:textId="77777777" w:rsidR="0002131D" w:rsidRPr="003B3295" w:rsidRDefault="0002131D" w:rsidP="006C49DE">
            <w:pPr>
              <w:spacing w:after="0" w:line="240" w:lineRule="auto"/>
              <w:jc w:val="center"/>
              <w:rPr>
                <w:rFonts w:ascii="Times New Roman" w:hAnsi="Times New Roman" w:cs="Times New Roman"/>
                <w:b/>
                <w:bCs/>
                <w:sz w:val="24"/>
                <w:szCs w:val="24"/>
                <w:lang w:eastAsia="fr-FR"/>
              </w:rPr>
            </w:pPr>
            <w:r w:rsidRPr="003B3295">
              <w:rPr>
                <w:rFonts w:ascii="Times New Roman" w:hAnsi="Times New Roman" w:cs="Times New Roman"/>
                <w:b/>
                <w:bCs/>
                <w:sz w:val="24"/>
                <w:szCs w:val="24"/>
                <w:rtl/>
                <w:lang w:eastAsia="fr-FR" w:bidi="ar-SA"/>
              </w:rPr>
              <w:t>الجانب</w:t>
            </w:r>
          </w:p>
        </w:tc>
        <w:tc>
          <w:tcPr>
            <w:tcW w:w="0" w:type="auto"/>
            <w:vAlign w:val="center"/>
            <w:hideMark/>
          </w:tcPr>
          <w:p w14:paraId="4BFF5D1F" w14:textId="77777777" w:rsidR="0002131D" w:rsidRPr="003B3295" w:rsidRDefault="0002131D" w:rsidP="006C49DE">
            <w:pPr>
              <w:spacing w:after="0" w:line="240" w:lineRule="auto"/>
              <w:jc w:val="center"/>
              <w:rPr>
                <w:rFonts w:ascii="Times New Roman" w:hAnsi="Times New Roman" w:cs="Times New Roman"/>
                <w:b/>
                <w:bCs/>
                <w:sz w:val="24"/>
                <w:szCs w:val="24"/>
                <w:lang w:eastAsia="fr-FR"/>
              </w:rPr>
            </w:pPr>
            <w:r w:rsidRPr="003B3295">
              <w:rPr>
                <w:rFonts w:ascii="Times New Roman" w:hAnsi="Times New Roman" w:cs="Times New Roman"/>
                <w:b/>
                <w:bCs/>
                <w:sz w:val="24"/>
                <w:szCs w:val="24"/>
                <w:rtl/>
                <w:lang w:eastAsia="fr-FR" w:bidi="ar-SA"/>
              </w:rPr>
              <w:t xml:space="preserve">ما يجب القيام به </w:t>
            </w:r>
            <w:r w:rsidRPr="003B3295">
              <w:rPr>
                <w:rFonts w:ascii="Times New Roman" w:hAnsi="Times New Roman" w:cs="Times New Roman"/>
                <w:b/>
                <w:bCs/>
                <w:sz w:val="24"/>
                <w:szCs w:val="24"/>
                <w:rtl/>
                <w:lang w:eastAsia="fr-FR"/>
              </w:rPr>
              <w:t>(</w:t>
            </w:r>
            <w:r w:rsidRPr="003B3295">
              <w:rPr>
                <w:rFonts w:ascii="Times New Roman" w:hAnsi="Times New Roman" w:cs="Times New Roman"/>
                <w:b/>
                <w:bCs/>
                <w:sz w:val="24"/>
                <w:szCs w:val="24"/>
                <w:rtl/>
                <w:lang w:eastAsia="fr-FR" w:bidi="ar-SA"/>
              </w:rPr>
              <w:t>المؤشر أو المعطى المرصود</w:t>
            </w:r>
            <w:r w:rsidRPr="003B3295">
              <w:rPr>
                <w:rFonts w:ascii="Times New Roman" w:hAnsi="Times New Roman" w:cs="Times New Roman"/>
                <w:b/>
                <w:bCs/>
                <w:sz w:val="24"/>
                <w:szCs w:val="24"/>
                <w:rtl/>
                <w:lang w:eastAsia="fr-FR"/>
              </w:rPr>
              <w:t>)</w:t>
            </w:r>
          </w:p>
        </w:tc>
        <w:tc>
          <w:tcPr>
            <w:tcW w:w="0" w:type="auto"/>
            <w:vAlign w:val="center"/>
            <w:hideMark/>
          </w:tcPr>
          <w:p w14:paraId="1EA45597" w14:textId="77777777" w:rsidR="0002131D" w:rsidRPr="003B3295" w:rsidRDefault="0002131D" w:rsidP="006C49DE">
            <w:pPr>
              <w:spacing w:after="0" w:line="240" w:lineRule="auto"/>
              <w:jc w:val="center"/>
              <w:rPr>
                <w:rFonts w:ascii="Times New Roman" w:hAnsi="Times New Roman" w:cs="Times New Roman"/>
                <w:b/>
                <w:bCs/>
                <w:sz w:val="24"/>
                <w:szCs w:val="24"/>
                <w:lang w:eastAsia="fr-FR"/>
              </w:rPr>
            </w:pPr>
            <w:r w:rsidRPr="003B3295">
              <w:rPr>
                <w:rFonts w:ascii="Times New Roman" w:hAnsi="Times New Roman" w:cs="Times New Roman"/>
                <w:b/>
                <w:bCs/>
                <w:sz w:val="24"/>
                <w:szCs w:val="24"/>
                <w:rtl/>
                <w:lang w:eastAsia="fr-FR" w:bidi="ar-SA"/>
              </w:rPr>
              <w:t xml:space="preserve">أين </w:t>
            </w:r>
            <w:r w:rsidRPr="003B3295">
              <w:rPr>
                <w:rFonts w:ascii="Times New Roman" w:hAnsi="Times New Roman" w:cs="Times New Roman"/>
                <w:b/>
                <w:bCs/>
                <w:sz w:val="24"/>
                <w:szCs w:val="24"/>
                <w:rtl/>
                <w:lang w:eastAsia="fr-FR"/>
              </w:rPr>
              <w:t>(</w:t>
            </w:r>
            <w:r w:rsidRPr="003B3295">
              <w:rPr>
                <w:rFonts w:ascii="Times New Roman" w:hAnsi="Times New Roman" w:cs="Times New Roman"/>
                <w:b/>
                <w:bCs/>
                <w:sz w:val="24"/>
                <w:szCs w:val="24"/>
                <w:rtl/>
                <w:lang w:eastAsia="fr-FR" w:bidi="ar-SA"/>
              </w:rPr>
              <w:t>نقطة المراقبة</w:t>
            </w:r>
            <w:r w:rsidRPr="003B3295">
              <w:rPr>
                <w:rFonts w:ascii="Times New Roman" w:hAnsi="Times New Roman" w:cs="Times New Roman"/>
                <w:b/>
                <w:bCs/>
                <w:sz w:val="24"/>
                <w:szCs w:val="24"/>
                <w:rtl/>
                <w:lang w:eastAsia="fr-FR"/>
              </w:rPr>
              <w:t>)</w:t>
            </w:r>
          </w:p>
        </w:tc>
        <w:tc>
          <w:tcPr>
            <w:tcW w:w="0" w:type="auto"/>
            <w:vAlign w:val="center"/>
            <w:hideMark/>
          </w:tcPr>
          <w:p w14:paraId="217447D7" w14:textId="77777777" w:rsidR="0002131D" w:rsidRPr="003B3295" w:rsidRDefault="0002131D" w:rsidP="006C49DE">
            <w:pPr>
              <w:spacing w:after="0" w:line="240" w:lineRule="auto"/>
              <w:jc w:val="center"/>
              <w:rPr>
                <w:rFonts w:ascii="Times New Roman" w:hAnsi="Times New Roman" w:cs="Times New Roman"/>
                <w:b/>
                <w:bCs/>
                <w:sz w:val="24"/>
                <w:szCs w:val="24"/>
                <w:lang w:eastAsia="fr-FR"/>
              </w:rPr>
            </w:pPr>
            <w:r w:rsidRPr="003B3295">
              <w:rPr>
                <w:rFonts w:ascii="Times New Roman" w:hAnsi="Times New Roman" w:cs="Times New Roman"/>
                <w:b/>
                <w:bCs/>
                <w:sz w:val="24"/>
                <w:szCs w:val="24"/>
                <w:rtl/>
                <w:lang w:eastAsia="fr-FR" w:bidi="ar-SA"/>
              </w:rPr>
              <w:t xml:space="preserve">كيف </w:t>
            </w:r>
            <w:r w:rsidRPr="003B3295">
              <w:rPr>
                <w:rFonts w:ascii="Times New Roman" w:hAnsi="Times New Roman" w:cs="Times New Roman"/>
                <w:b/>
                <w:bCs/>
                <w:sz w:val="24"/>
                <w:szCs w:val="24"/>
                <w:rtl/>
                <w:lang w:eastAsia="fr-FR"/>
              </w:rPr>
              <w:t>(</w:t>
            </w:r>
            <w:r w:rsidRPr="003B3295">
              <w:rPr>
                <w:rFonts w:ascii="Times New Roman" w:hAnsi="Times New Roman" w:cs="Times New Roman"/>
                <w:b/>
                <w:bCs/>
                <w:sz w:val="24"/>
                <w:szCs w:val="24"/>
                <w:rtl/>
                <w:lang w:eastAsia="fr-FR" w:bidi="ar-SA"/>
              </w:rPr>
              <w:t>منهجية المتابعة</w:t>
            </w:r>
            <w:r w:rsidRPr="003B3295">
              <w:rPr>
                <w:rFonts w:ascii="Times New Roman" w:hAnsi="Times New Roman" w:cs="Times New Roman"/>
                <w:b/>
                <w:bCs/>
                <w:sz w:val="24"/>
                <w:szCs w:val="24"/>
                <w:rtl/>
                <w:lang w:eastAsia="fr-FR"/>
              </w:rPr>
              <w:t>)</w:t>
            </w:r>
          </w:p>
        </w:tc>
        <w:tc>
          <w:tcPr>
            <w:tcW w:w="0" w:type="auto"/>
            <w:vAlign w:val="center"/>
            <w:hideMark/>
          </w:tcPr>
          <w:p w14:paraId="04F4CF9C" w14:textId="77777777" w:rsidR="0002131D" w:rsidRPr="003B3295" w:rsidRDefault="0002131D" w:rsidP="006C49DE">
            <w:pPr>
              <w:spacing w:after="0" w:line="240" w:lineRule="auto"/>
              <w:jc w:val="center"/>
              <w:rPr>
                <w:rFonts w:ascii="Times New Roman" w:hAnsi="Times New Roman" w:cs="Times New Roman"/>
                <w:b/>
                <w:bCs/>
                <w:sz w:val="24"/>
                <w:szCs w:val="24"/>
                <w:lang w:eastAsia="fr-FR"/>
              </w:rPr>
            </w:pPr>
            <w:r w:rsidRPr="003B3295">
              <w:rPr>
                <w:rFonts w:ascii="Times New Roman" w:hAnsi="Times New Roman" w:cs="Times New Roman"/>
                <w:b/>
                <w:bCs/>
                <w:sz w:val="24"/>
                <w:szCs w:val="24"/>
                <w:rtl/>
                <w:lang w:eastAsia="fr-FR" w:bidi="ar-SA"/>
              </w:rPr>
              <w:t xml:space="preserve">متى </w:t>
            </w:r>
            <w:r w:rsidRPr="003B3295">
              <w:rPr>
                <w:rFonts w:ascii="Times New Roman" w:hAnsi="Times New Roman" w:cs="Times New Roman"/>
                <w:b/>
                <w:bCs/>
                <w:sz w:val="24"/>
                <w:szCs w:val="24"/>
                <w:rtl/>
                <w:lang w:eastAsia="fr-FR"/>
              </w:rPr>
              <w:t>(</w:t>
            </w:r>
            <w:r w:rsidRPr="003B3295">
              <w:rPr>
                <w:rFonts w:ascii="Times New Roman" w:hAnsi="Times New Roman" w:cs="Times New Roman"/>
                <w:b/>
                <w:bCs/>
                <w:sz w:val="24"/>
                <w:szCs w:val="24"/>
                <w:rtl/>
                <w:lang w:eastAsia="fr-FR" w:bidi="ar-SA"/>
              </w:rPr>
              <w:t>التواتر الزمني</w:t>
            </w:r>
            <w:r w:rsidRPr="003B3295">
              <w:rPr>
                <w:rFonts w:ascii="Times New Roman" w:hAnsi="Times New Roman" w:cs="Times New Roman"/>
                <w:b/>
                <w:bCs/>
                <w:sz w:val="24"/>
                <w:szCs w:val="24"/>
                <w:rtl/>
                <w:lang w:eastAsia="fr-FR"/>
              </w:rPr>
              <w:t>)</w:t>
            </w:r>
          </w:p>
        </w:tc>
        <w:tc>
          <w:tcPr>
            <w:tcW w:w="0" w:type="auto"/>
            <w:vAlign w:val="center"/>
            <w:hideMark/>
          </w:tcPr>
          <w:p w14:paraId="3ECD589B" w14:textId="77777777" w:rsidR="0002131D" w:rsidRPr="003B3295" w:rsidRDefault="0002131D" w:rsidP="006C49DE">
            <w:pPr>
              <w:spacing w:after="0" w:line="240" w:lineRule="auto"/>
              <w:jc w:val="center"/>
              <w:rPr>
                <w:rFonts w:ascii="Times New Roman" w:hAnsi="Times New Roman" w:cs="Times New Roman"/>
                <w:b/>
                <w:bCs/>
                <w:sz w:val="24"/>
                <w:szCs w:val="24"/>
                <w:lang w:eastAsia="fr-FR"/>
              </w:rPr>
            </w:pPr>
            <w:r w:rsidRPr="003B3295">
              <w:rPr>
                <w:rFonts w:ascii="Times New Roman" w:hAnsi="Times New Roman" w:cs="Times New Roman"/>
                <w:b/>
                <w:bCs/>
                <w:sz w:val="24"/>
                <w:szCs w:val="24"/>
                <w:rtl/>
                <w:lang w:eastAsia="fr-FR" w:bidi="ar-SA"/>
              </w:rPr>
              <w:t xml:space="preserve">لماذا </w:t>
            </w:r>
            <w:r w:rsidRPr="003B3295">
              <w:rPr>
                <w:rFonts w:ascii="Times New Roman" w:hAnsi="Times New Roman" w:cs="Times New Roman"/>
                <w:b/>
                <w:bCs/>
                <w:sz w:val="24"/>
                <w:szCs w:val="24"/>
                <w:rtl/>
                <w:lang w:eastAsia="fr-FR"/>
              </w:rPr>
              <w:t>(</w:t>
            </w:r>
            <w:r w:rsidRPr="003B3295">
              <w:rPr>
                <w:rFonts w:ascii="Times New Roman" w:hAnsi="Times New Roman" w:cs="Times New Roman"/>
                <w:b/>
                <w:bCs/>
                <w:sz w:val="24"/>
                <w:szCs w:val="24"/>
                <w:rtl/>
                <w:lang w:eastAsia="fr-FR" w:bidi="ar-SA"/>
              </w:rPr>
              <w:t>هدف المتابعة</w:t>
            </w:r>
            <w:r w:rsidRPr="003B3295">
              <w:rPr>
                <w:rFonts w:ascii="Times New Roman" w:hAnsi="Times New Roman" w:cs="Times New Roman"/>
                <w:b/>
                <w:bCs/>
                <w:sz w:val="24"/>
                <w:szCs w:val="24"/>
                <w:rtl/>
                <w:lang w:eastAsia="fr-FR"/>
              </w:rPr>
              <w:t>)</w:t>
            </w:r>
          </w:p>
        </w:tc>
        <w:tc>
          <w:tcPr>
            <w:tcW w:w="0" w:type="auto"/>
            <w:vAlign w:val="center"/>
            <w:hideMark/>
          </w:tcPr>
          <w:p w14:paraId="66CD1057" w14:textId="77777777" w:rsidR="0002131D" w:rsidRPr="003B3295" w:rsidRDefault="0002131D" w:rsidP="006C49DE">
            <w:pPr>
              <w:spacing w:after="0" w:line="240" w:lineRule="auto"/>
              <w:jc w:val="center"/>
              <w:rPr>
                <w:rFonts w:ascii="Times New Roman" w:hAnsi="Times New Roman" w:cs="Times New Roman"/>
                <w:b/>
                <w:bCs/>
                <w:sz w:val="24"/>
                <w:szCs w:val="24"/>
                <w:lang w:eastAsia="fr-FR"/>
              </w:rPr>
            </w:pPr>
            <w:r w:rsidRPr="003B3295">
              <w:rPr>
                <w:rFonts w:ascii="Times New Roman" w:hAnsi="Times New Roman" w:cs="Times New Roman"/>
                <w:b/>
                <w:bCs/>
                <w:sz w:val="24"/>
                <w:szCs w:val="24"/>
                <w:rtl/>
                <w:lang w:eastAsia="fr-FR" w:bidi="ar-SA"/>
              </w:rPr>
              <w:t>الكلفة</w:t>
            </w:r>
          </w:p>
        </w:tc>
        <w:tc>
          <w:tcPr>
            <w:tcW w:w="0" w:type="auto"/>
            <w:vAlign w:val="center"/>
            <w:hideMark/>
          </w:tcPr>
          <w:p w14:paraId="63F8D83B" w14:textId="77777777" w:rsidR="0002131D" w:rsidRPr="003B3295" w:rsidRDefault="0002131D" w:rsidP="006C49DE">
            <w:pPr>
              <w:spacing w:after="0" w:line="240" w:lineRule="auto"/>
              <w:jc w:val="center"/>
              <w:rPr>
                <w:rFonts w:ascii="Times New Roman" w:hAnsi="Times New Roman" w:cs="Times New Roman"/>
                <w:b/>
                <w:bCs/>
                <w:sz w:val="24"/>
                <w:szCs w:val="24"/>
                <w:lang w:eastAsia="fr-FR"/>
              </w:rPr>
            </w:pPr>
            <w:r w:rsidRPr="003B3295">
              <w:rPr>
                <w:rFonts w:ascii="Times New Roman" w:hAnsi="Times New Roman" w:cs="Times New Roman"/>
                <w:b/>
                <w:bCs/>
                <w:sz w:val="24"/>
                <w:szCs w:val="24"/>
                <w:rtl/>
                <w:lang w:eastAsia="fr-FR" w:bidi="ar-SA"/>
              </w:rPr>
              <w:t xml:space="preserve">من </w:t>
            </w:r>
            <w:r w:rsidRPr="003B3295">
              <w:rPr>
                <w:rFonts w:ascii="Times New Roman" w:hAnsi="Times New Roman" w:cs="Times New Roman"/>
                <w:b/>
                <w:bCs/>
                <w:sz w:val="24"/>
                <w:szCs w:val="24"/>
                <w:rtl/>
                <w:lang w:eastAsia="fr-FR"/>
              </w:rPr>
              <w:t>(</w:t>
            </w:r>
            <w:r w:rsidRPr="003B3295">
              <w:rPr>
                <w:rFonts w:ascii="Times New Roman" w:hAnsi="Times New Roman" w:cs="Times New Roman"/>
                <w:b/>
                <w:bCs/>
                <w:sz w:val="24"/>
                <w:szCs w:val="24"/>
                <w:rtl/>
                <w:lang w:eastAsia="fr-FR" w:bidi="ar-SA"/>
              </w:rPr>
              <w:t>الجهة المسؤولة</w:t>
            </w:r>
            <w:r w:rsidRPr="003B3295">
              <w:rPr>
                <w:rFonts w:ascii="Times New Roman" w:hAnsi="Times New Roman" w:cs="Times New Roman"/>
                <w:b/>
                <w:bCs/>
                <w:sz w:val="24"/>
                <w:szCs w:val="24"/>
                <w:rtl/>
                <w:lang w:eastAsia="fr-FR"/>
              </w:rPr>
              <w:t>)</w:t>
            </w:r>
          </w:p>
        </w:tc>
      </w:tr>
      <w:tr w:rsidR="0002131D" w:rsidRPr="003B3295" w14:paraId="2925D09D" w14:textId="77777777" w:rsidTr="006C49DE">
        <w:trPr>
          <w:tblCellSpacing w:w="15" w:type="dxa"/>
          <w:jc w:val="center"/>
        </w:trPr>
        <w:tc>
          <w:tcPr>
            <w:tcW w:w="0" w:type="auto"/>
            <w:vAlign w:val="center"/>
            <w:hideMark/>
          </w:tcPr>
          <w:p w14:paraId="0DAFB3B3" w14:textId="77777777" w:rsidR="0002131D" w:rsidRPr="003B3295" w:rsidRDefault="0002131D" w:rsidP="006C49DE">
            <w:pPr>
              <w:spacing w:after="0" w:line="240" w:lineRule="auto"/>
              <w:rPr>
                <w:rFonts w:ascii="Times New Roman" w:hAnsi="Times New Roman" w:cs="Times New Roman"/>
                <w:sz w:val="24"/>
                <w:szCs w:val="24"/>
                <w:lang w:eastAsia="fr-FR"/>
              </w:rPr>
            </w:pPr>
            <w:r w:rsidRPr="003B3295">
              <w:rPr>
                <w:rFonts w:ascii="Times New Roman" w:hAnsi="Times New Roman" w:cs="Times New Roman"/>
                <w:b/>
                <w:bCs/>
                <w:sz w:val="24"/>
                <w:szCs w:val="24"/>
                <w:rtl/>
                <w:lang w:eastAsia="fr-FR" w:bidi="ar-SA"/>
              </w:rPr>
              <w:t>الهواء</w:t>
            </w:r>
          </w:p>
        </w:tc>
        <w:tc>
          <w:tcPr>
            <w:tcW w:w="0" w:type="auto"/>
            <w:vAlign w:val="center"/>
            <w:hideMark/>
          </w:tcPr>
          <w:p w14:paraId="288DA063" w14:textId="77777777" w:rsidR="0002131D" w:rsidRPr="003B3295" w:rsidRDefault="0002131D" w:rsidP="006C49DE">
            <w:pPr>
              <w:spacing w:after="0" w:line="240" w:lineRule="auto"/>
              <w:rPr>
                <w:rFonts w:ascii="Times New Roman" w:hAnsi="Times New Roman" w:cs="Times New Roman"/>
                <w:sz w:val="24"/>
                <w:szCs w:val="24"/>
                <w:lang w:eastAsia="fr-FR"/>
              </w:rPr>
            </w:pPr>
            <w:r w:rsidRPr="003B3295">
              <w:rPr>
                <w:rFonts w:ascii="Times New Roman" w:hAnsi="Times New Roman" w:cs="Times New Roman"/>
                <w:sz w:val="24"/>
                <w:szCs w:val="24"/>
                <w:rtl/>
                <w:lang w:eastAsia="fr-FR" w:bidi="ar-SA"/>
              </w:rPr>
              <w:t>مراقبة جودة الهواء</w:t>
            </w:r>
            <w:r w:rsidRPr="003B3295">
              <w:rPr>
                <w:rFonts w:ascii="Times New Roman" w:hAnsi="Times New Roman" w:cs="Times New Roman"/>
                <w:sz w:val="24"/>
                <w:szCs w:val="24"/>
                <w:lang w:eastAsia="fr-FR"/>
              </w:rPr>
              <w:t xml:space="preserve"> (</w:t>
            </w:r>
            <w:r w:rsidRPr="003B3295">
              <w:rPr>
                <w:rFonts w:ascii="Times New Roman" w:hAnsi="Times New Roman" w:cs="Times New Roman"/>
                <w:sz w:val="24"/>
                <w:szCs w:val="24"/>
                <w:rtl/>
                <w:lang w:eastAsia="fr-FR" w:bidi="ar-SA"/>
              </w:rPr>
              <w:t>ثاني أكسيد النيتروجين</w:t>
            </w:r>
            <w:r w:rsidRPr="003B3295">
              <w:rPr>
                <w:rFonts w:ascii="Times New Roman" w:hAnsi="Times New Roman" w:cs="Times New Roman"/>
                <w:sz w:val="24"/>
                <w:szCs w:val="24"/>
                <w:lang w:eastAsia="fr-FR"/>
              </w:rPr>
              <w:t xml:space="preserve"> NO₂</w:t>
            </w:r>
            <w:r w:rsidRPr="003B3295">
              <w:rPr>
                <w:rFonts w:ascii="Times New Roman" w:hAnsi="Times New Roman" w:cs="Times New Roman"/>
                <w:sz w:val="24"/>
                <w:szCs w:val="24"/>
                <w:rtl/>
                <w:lang w:eastAsia="fr-FR" w:bidi="ar-SA"/>
              </w:rPr>
              <w:t>، ثاني أكسيد الكبريت</w:t>
            </w:r>
            <w:r w:rsidRPr="003B3295">
              <w:rPr>
                <w:rFonts w:ascii="Times New Roman" w:hAnsi="Times New Roman" w:cs="Times New Roman"/>
                <w:sz w:val="24"/>
                <w:szCs w:val="24"/>
                <w:lang w:eastAsia="fr-FR"/>
              </w:rPr>
              <w:t xml:space="preserve"> SO₂</w:t>
            </w:r>
            <w:r w:rsidRPr="003B3295">
              <w:rPr>
                <w:rFonts w:ascii="Times New Roman" w:hAnsi="Times New Roman" w:cs="Times New Roman"/>
                <w:sz w:val="24"/>
                <w:szCs w:val="24"/>
                <w:rtl/>
                <w:lang w:eastAsia="fr-FR" w:bidi="ar-SA"/>
              </w:rPr>
              <w:t>، أول أكسيد الكربون</w:t>
            </w:r>
            <w:r w:rsidRPr="003B3295">
              <w:rPr>
                <w:rFonts w:ascii="Times New Roman" w:hAnsi="Times New Roman" w:cs="Times New Roman"/>
                <w:sz w:val="24"/>
                <w:szCs w:val="24"/>
                <w:lang w:eastAsia="fr-FR"/>
              </w:rPr>
              <w:t xml:space="preserve"> CO</w:t>
            </w:r>
            <w:r w:rsidRPr="003B3295">
              <w:rPr>
                <w:rFonts w:ascii="Times New Roman" w:hAnsi="Times New Roman" w:cs="Times New Roman"/>
                <w:sz w:val="24"/>
                <w:szCs w:val="24"/>
                <w:rtl/>
                <w:lang w:eastAsia="fr-FR" w:bidi="ar-SA"/>
              </w:rPr>
              <w:t>، الجسيمات الدقيقة</w:t>
            </w:r>
            <w:r w:rsidRPr="003B3295">
              <w:rPr>
                <w:rFonts w:ascii="Times New Roman" w:hAnsi="Times New Roman" w:cs="Times New Roman"/>
                <w:sz w:val="24"/>
                <w:szCs w:val="24"/>
                <w:lang w:eastAsia="fr-FR"/>
              </w:rPr>
              <w:t xml:space="preserve"> PM10)</w:t>
            </w:r>
          </w:p>
        </w:tc>
        <w:tc>
          <w:tcPr>
            <w:tcW w:w="0" w:type="auto"/>
            <w:vAlign w:val="center"/>
            <w:hideMark/>
          </w:tcPr>
          <w:p w14:paraId="5C4EBEF2" w14:textId="77777777" w:rsidR="0002131D" w:rsidRPr="003B3295" w:rsidRDefault="0002131D" w:rsidP="006C49DE">
            <w:pPr>
              <w:spacing w:after="0" w:line="240" w:lineRule="auto"/>
              <w:rPr>
                <w:rFonts w:ascii="Times New Roman" w:hAnsi="Times New Roman" w:cs="Times New Roman"/>
                <w:sz w:val="24"/>
                <w:szCs w:val="24"/>
                <w:lang w:eastAsia="fr-FR"/>
              </w:rPr>
            </w:pPr>
            <w:r w:rsidRPr="003B3295">
              <w:rPr>
                <w:rFonts w:ascii="Times New Roman" w:hAnsi="Times New Roman" w:cs="Times New Roman"/>
                <w:sz w:val="24"/>
                <w:szCs w:val="24"/>
                <w:rtl/>
                <w:lang w:eastAsia="fr-FR" w:bidi="ar-SA"/>
              </w:rPr>
              <w:t>ساحات حركة الطائرات، المناطق التقنية، محيط مواقف الطائرات</w:t>
            </w:r>
          </w:p>
        </w:tc>
        <w:tc>
          <w:tcPr>
            <w:tcW w:w="0" w:type="auto"/>
            <w:vAlign w:val="center"/>
            <w:hideMark/>
          </w:tcPr>
          <w:p w14:paraId="5400209B" w14:textId="77777777" w:rsidR="0002131D" w:rsidRPr="003B3295" w:rsidRDefault="0002131D" w:rsidP="006C49DE">
            <w:pPr>
              <w:spacing w:after="0" w:line="240" w:lineRule="auto"/>
              <w:rPr>
                <w:rFonts w:ascii="Times New Roman" w:hAnsi="Times New Roman" w:cs="Times New Roman"/>
                <w:sz w:val="24"/>
                <w:szCs w:val="24"/>
                <w:lang w:eastAsia="fr-FR"/>
              </w:rPr>
            </w:pPr>
            <w:r w:rsidRPr="003B3295">
              <w:rPr>
                <w:rFonts w:ascii="Times New Roman" w:hAnsi="Times New Roman" w:cs="Times New Roman"/>
                <w:sz w:val="24"/>
                <w:szCs w:val="24"/>
                <w:rtl/>
                <w:lang w:eastAsia="fr-FR" w:bidi="ar-SA"/>
              </w:rPr>
              <w:t>حملات قياس معيارية ومعاينة بصرية لمصادر الانبعاث</w:t>
            </w:r>
          </w:p>
        </w:tc>
        <w:tc>
          <w:tcPr>
            <w:tcW w:w="0" w:type="auto"/>
            <w:vAlign w:val="center"/>
            <w:hideMark/>
          </w:tcPr>
          <w:p w14:paraId="23EFBA38" w14:textId="77777777" w:rsidR="0002131D" w:rsidRPr="003B3295" w:rsidRDefault="0002131D" w:rsidP="006C49DE">
            <w:pPr>
              <w:spacing w:after="0" w:line="240" w:lineRule="auto"/>
              <w:rPr>
                <w:rFonts w:ascii="Times New Roman" w:hAnsi="Times New Roman" w:cs="Times New Roman"/>
                <w:sz w:val="24"/>
                <w:szCs w:val="24"/>
                <w:lang w:eastAsia="fr-FR"/>
              </w:rPr>
            </w:pPr>
            <w:r w:rsidRPr="003B3295">
              <w:rPr>
                <w:rFonts w:ascii="Times New Roman" w:hAnsi="Times New Roman" w:cs="Times New Roman"/>
                <w:sz w:val="24"/>
                <w:szCs w:val="24"/>
                <w:rtl/>
                <w:lang w:eastAsia="fr-FR" w:bidi="ar-SA"/>
              </w:rPr>
              <w:t>سنوياً</w:t>
            </w:r>
          </w:p>
        </w:tc>
        <w:tc>
          <w:tcPr>
            <w:tcW w:w="0" w:type="auto"/>
            <w:vAlign w:val="center"/>
            <w:hideMark/>
          </w:tcPr>
          <w:p w14:paraId="3EC7BD00" w14:textId="77777777" w:rsidR="0002131D" w:rsidRPr="003B3295" w:rsidRDefault="0002131D" w:rsidP="006C49DE">
            <w:pPr>
              <w:spacing w:after="0" w:line="240" w:lineRule="auto"/>
              <w:rPr>
                <w:rFonts w:ascii="Times New Roman" w:hAnsi="Times New Roman" w:cs="Times New Roman"/>
                <w:sz w:val="24"/>
                <w:szCs w:val="24"/>
                <w:lang w:eastAsia="fr-FR"/>
              </w:rPr>
            </w:pPr>
            <w:r w:rsidRPr="003B3295">
              <w:rPr>
                <w:rFonts w:ascii="Times New Roman" w:hAnsi="Times New Roman" w:cs="Times New Roman"/>
                <w:sz w:val="24"/>
                <w:szCs w:val="24"/>
                <w:rtl/>
                <w:lang w:eastAsia="fr-FR" w:bidi="ar-SA"/>
              </w:rPr>
              <w:t>التحقق من مطابقة جودة الهواء للمعايير الوطنية وتحديد أي تدهور ناجم عن الأنشطة المطارّية</w:t>
            </w:r>
          </w:p>
        </w:tc>
        <w:tc>
          <w:tcPr>
            <w:tcW w:w="0" w:type="auto"/>
            <w:vAlign w:val="center"/>
            <w:hideMark/>
          </w:tcPr>
          <w:p w14:paraId="0FAA8DDB" w14:textId="77777777" w:rsidR="0002131D" w:rsidRPr="003B3295" w:rsidRDefault="0002131D" w:rsidP="006C49DE">
            <w:pPr>
              <w:spacing w:after="0" w:line="240" w:lineRule="auto"/>
              <w:rPr>
                <w:rFonts w:ascii="Times New Roman" w:hAnsi="Times New Roman" w:cs="Times New Roman"/>
                <w:sz w:val="24"/>
                <w:szCs w:val="24"/>
                <w:lang w:eastAsia="fr-FR"/>
              </w:rPr>
            </w:pPr>
            <w:r w:rsidRPr="003B3295">
              <w:rPr>
                <w:rFonts w:ascii="Times New Roman" w:hAnsi="Times New Roman" w:cs="Times New Roman"/>
                <w:sz w:val="24"/>
                <w:szCs w:val="24"/>
                <w:rtl/>
                <w:lang w:eastAsia="fr-FR" w:bidi="ar-SA"/>
              </w:rPr>
              <w:t>ميزانية استغلال المكتب الوطني للمطارات</w:t>
            </w:r>
          </w:p>
        </w:tc>
        <w:tc>
          <w:tcPr>
            <w:tcW w:w="0" w:type="auto"/>
            <w:vAlign w:val="center"/>
            <w:hideMark/>
          </w:tcPr>
          <w:p w14:paraId="1D10D0C5" w14:textId="77777777" w:rsidR="0002131D" w:rsidRPr="003B3295" w:rsidRDefault="0002131D" w:rsidP="006C49DE">
            <w:pPr>
              <w:spacing w:after="0" w:line="240" w:lineRule="auto"/>
              <w:rPr>
                <w:rFonts w:ascii="Times New Roman" w:hAnsi="Times New Roman" w:cs="Times New Roman"/>
                <w:sz w:val="24"/>
                <w:szCs w:val="24"/>
                <w:lang w:eastAsia="fr-FR"/>
              </w:rPr>
            </w:pPr>
            <w:r w:rsidRPr="003B3295">
              <w:rPr>
                <w:rFonts w:ascii="Times New Roman" w:hAnsi="Times New Roman" w:cs="Times New Roman"/>
                <w:sz w:val="24"/>
                <w:szCs w:val="24"/>
                <w:rtl/>
                <w:lang w:eastAsia="fr-FR" w:bidi="ar-SA"/>
              </w:rPr>
              <w:t xml:space="preserve">المكتب الوطني للمطارات </w:t>
            </w:r>
            <w:r w:rsidRPr="003B3295">
              <w:rPr>
                <w:rFonts w:ascii="Times New Roman" w:hAnsi="Times New Roman" w:cs="Times New Roman"/>
                <w:sz w:val="24"/>
                <w:szCs w:val="24"/>
                <w:rtl/>
                <w:lang w:eastAsia="fr-FR"/>
              </w:rPr>
              <w:t xml:space="preserve">/ </w:t>
            </w:r>
            <w:r w:rsidRPr="003B3295">
              <w:rPr>
                <w:rFonts w:ascii="Times New Roman" w:hAnsi="Times New Roman" w:cs="Times New Roman"/>
                <w:sz w:val="24"/>
                <w:szCs w:val="24"/>
                <w:rtl/>
                <w:lang w:eastAsia="fr-FR" w:bidi="ar-SA"/>
              </w:rPr>
              <w:t>المستغل</w:t>
            </w:r>
          </w:p>
        </w:tc>
      </w:tr>
      <w:tr w:rsidR="0002131D" w:rsidRPr="003B3295" w14:paraId="3960B310" w14:textId="77777777" w:rsidTr="006C49DE">
        <w:trPr>
          <w:tblCellSpacing w:w="15" w:type="dxa"/>
          <w:jc w:val="center"/>
        </w:trPr>
        <w:tc>
          <w:tcPr>
            <w:tcW w:w="0" w:type="auto"/>
            <w:vAlign w:val="center"/>
            <w:hideMark/>
          </w:tcPr>
          <w:p w14:paraId="2AC0CF9C" w14:textId="77777777" w:rsidR="0002131D" w:rsidRPr="003B3295" w:rsidRDefault="0002131D" w:rsidP="006C49DE">
            <w:pPr>
              <w:spacing w:after="0" w:line="240" w:lineRule="auto"/>
              <w:rPr>
                <w:rFonts w:ascii="Times New Roman" w:hAnsi="Times New Roman" w:cs="Times New Roman"/>
                <w:sz w:val="24"/>
                <w:szCs w:val="24"/>
                <w:lang w:eastAsia="fr-FR"/>
              </w:rPr>
            </w:pPr>
            <w:r w:rsidRPr="003B3295">
              <w:rPr>
                <w:rFonts w:ascii="Times New Roman" w:hAnsi="Times New Roman" w:cs="Times New Roman"/>
                <w:b/>
                <w:bCs/>
                <w:sz w:val="24"/>
                <w:szCs w:val="24"/>
                <w:rtl/>
                <w:lang w:eastAsia="fr-FR" w:bidi="ar-SA"/>
              </w:rPr>
              <w:t>الضجيج</w:t>
            </w:r>
          </w:p>
        </w:tc>
        <w:tc>
          <w:tcPr>
            <w:tcW w:w="0" w:type="auto"/>
            <w:vAlign w:val="center"/>
            <w:hideMark/>
          </w:tcPr>
          <w:p w14:paraId="41E94C78" w14:textId="77777777" w:rsidR="0002131D" w:rsidRPr="003B3295" w:rsidRDefault="0002131D" w:rsidP="006C49DE">
            <w:pPr>
              <w:spacing w:after="0" w:line="240" w:lineRule="auto"/>
              <w:rPr>
                <w:rFonts w:ascii="Times New Roman" w:hAnsi="Times New Roman" w:cs="Times New Roman"/>
                <w:sz w:val="24"/>
                <w:szCs w:val="24"/>
                <w:lang w:eastAsia="fr-FR"/>
              </w:rPr>
            </w:pPr>
            <w:r w:rsidRPr="003B3295">
              <w:rPr>
                <w:rFonts w:ascii="Times New Roman" w:hAnsi="Times New Roman" w:cs="Times New Roman"/>
                <w:sz w:val="24"/>
                <w:szCs w:val="24"/>
                <w:rtl/>
                <w:lang w:eastAsia="fr-FR" w:bidi="ar-SA"/>
              </w:rPr>
              <w:t>مراقبة مستويات الضوضاء الناتجة عن العمليات الجوية والمعدات التقنية</w:t>
            </w:r>
          </w:p>
        </w:tc>
        <w:tc>
          <w:tcPr>
            <w:tcW w:w="0" w:type="auto"/>
            <w:vAlign w:val="center"/>
            <w:hideMark/>
          </w:tcPr>
          <w:p w14:paraId="2E27654C" w14:textId="77777777" w:rsidR="0002131D" w:rsidRPr="003B3295" w:rsidRDefault="0002131D" w:rsidP="006C49DE">
            <w:pPr>
              <w:spacing w:after="0" w:line="240" w:lineRule="auto"/>
              <w:rPr>
                <w:rFonts w:ascii="Times New Roman" w:hAnsi="Times New Roman" w:cs="Times New Roman"/>
                <w:sz w:val="24"/>
                <w:szCs w:val="24"/>
                <w:lang w:eastAsia="fr-FR"/>
              </w:rPr>
            </w:pPr>
            <w:r w:rsidRPr="003B3295">
              <w:rPr>
                <w:rFonts w:ascii="Times New Roman" w:hAnsi="Times New Roman" w:cs="Times New Roman"/>
                <w:sz w:val="24"/>
                <w:szCs w:val="24"/>
                <w:rtl/>
                <w:lang w:eastAsia="fr-FR" w:bidi="ar-SA"/>
              </w:rPr>
              <w:t>محيط المطار، المناطق التقنية ومواقف الطائرات</w:t>
            </w:r>
          </w:p>
        </w:tc>
        <w:tc>
          <w:tcPr>
            <w:tcW w:w="0" w:type="auto"/>
            <w:vAlign w:val="center"/>
            <w:hideMark/>
          </w:tcPr>
          <w:p w14:paraId="3865D5F3" w14:textId="77777777" w:rsidR="0002131D" w:rsidRPr="003B3295" w:rsidRDefault="0002131D" w:rsidP="006C49DE">
            <w:pPr>
              <w:spacing w:after="0" w:line="240" w:lineRule="auto"/>
              <w:rPr>
                <w:rFonts w:ascii="Times New Roman" w:hAnsi="Times New Roman" w:cs="Times New Roman"/>
                <w:sz w:val="24"/>
                <w:szCs w:val="24"/>
                <w:lang w:eastAsia="fr-FR"/>
              </w:rPr>
            </w:pPr>
            <w:r w:rsidRPr="003B3295">
              <w:rPr>
                <w:rFonts w:ascii="Times New Roman" w:hAnsi="Times New Roman" w:cs="Times New Roman"/>
                <w:sz w:val="24"/>
                <w:szCs w:val="24"/>
                <w:rtl/>
                <w:lang w:eastAsia="fr-FR" w:bidi="ar-SA"/>
              </w:rPr>
              <w:t>قياسات صوتية وفق المعايير المغربية</w:t>
            </w:r>
            <w:r w:rsidRPr="003B3295">
              <w:rPr>
                <w:rFonts w:ascii="Times New Roman" w:hAnsi="Times New Roman" w:cs="Times New Roman"/>
                <w:sz w:val="24"/>
                <w:szCs w:val="24"/>
                <w:lang w:eastAsia="fr-FR"/>
              </w:rPr>
              <w:t xml:space="preserve"> (NM ISO 1996)</w:t>
            </w:r>
          </w:p>
        </w:tc>
        <w:tc>
          <w:tcPr>
            <w:tcW w:w="0" w:type="auto"/>
            <w:vAlign w:val="center"/>
            <w:hideMark/>
          </w:tcPr>
          <w:p w14:paraId="35CD8DBD" w14:textId="77777777" w:rsidR="0002131D" w:rsidRPr="003B3295" w:rsidRDefault="0002131D" w:rsidP="006C49DE">
            <w:pPr>
              <w:spacing w:after="0" w:line="240" w:lineRule="auto"/>
              <w:rPr>
                <w:rFonts w:ascii="Times New Roman" w:hAnsi="Times New Roman" w:cs="Times New Roman"/>
                <w:sz w:val="24"/>
                <w:szCs w:val="24"/>
                <w:lang w:eastAsia="fr-FR"/>
              </w:rPr>
            </w:pPr>
            <w:r w:rsidRPr="003B3295">
              <w:rPr>
                <w:rFonts w:ascii="Times New Roman" w:hAnsi="Times New Roman" w:cs="Times New Roman"/>
                <w:sz w:val="24"/>
                <w:szCs w:val="24"/>
                <w:rtl/>
                <w:lang w:eastAsia="fr-FR" w:bidi="ar-SA"/>
              </w:rPr>
              <w:t>نصف سنوية وبعد أي تغيير في البنية التحتية أو المعدات</w:t>
            </w:r>
          </w:p>
        </w:tc>
        <w:tc>
          <w:tcPr>
            <w:tcW w:w="0" w:type="auto"/>
            <w:vAlign w:val="center"/>
            <w:hideMark/>
          </w:tcPr>
          <w:p w14:paraId="29C369EC" w14:textId="77777777" w:rsidR="0002131D" w:rsidRPr="003B3295" w:rsidRDefault="0002131D" w:rsidP="006C49DE">
            <w:pPr>
              <w:spacing w:after="0" w:line="240" w:lineRule="auto"/>
              <w:rPr>
                <w:rFonts w:ascii="Times New Roman" w:hAnsi="Times New Roman" w:cs="Times New Roman"/>
                <w:sz w:val="24"/>
                <w:szCs w:val="24"/>
                <w:lang w:eastAsia="fr-FR"/>
              </w:rPr>
            </w:pPr>
            <w:r w:rsidRPr="003B3295">
              <w:rPr>
                <w:rFonts w:ascii="Times New Roman" w:hAnsi="Times New Roman" w:cs="Times New Roman"/>
                <w:sz w:val="24"/>
                <w:szCs w:val="24"/>
                <w:rtl/>
                <w:lang w:eastAsia="fr-FR" w:bidi="ar-SA"/>
              </w:rPr>
              <w:t>التأكد من احترام العتبات القانونية والوقاية من الإزعاجات الصوتية</w:t>
            </w:r>
          </w:p>
        </w:tc>
        <w:tc>
          <w:tcPr>
            <w:tcW w:w="0" w:type="auto"/>
            <w:vAlign w:val="center"/>
            <w:hideMark/>
          </w:tcPr>
          <w:p w14:paraId="48C3498B" w14:textId="77777777" w:rsidR="0002131D" w:rsidRPr="003B3295" w:rsidRDefault="0002131D" w:rsidP="006C49DE">
            <w:pPr>
              <w:spacing w:after="0" w:line="240" w:lineRule="auto"/>
              <w:rPr>
                <w:rFonts w:ascii="Times New Roman" w:hAnsi="Times New Roman" w:cs="Times New Roman"/>
                <w:sz w:val="24"/>
                <w:szCs w:val="24"/>
                <w:lang w:eastAsia="fr-FR"/>
              </w:rPr>
            </w:pPr>
            <w:r w:rsidRPr="003B3295">
              <w:rPr>
                <w:rFonts w:ascii="Times New Roman" w:hAnsi="Times New Roman" w:cs="Times New Roman"/>
                <w:sz w:val="24"/>
                <w:szCs w:val="24"/>
                <w:rtl/>
                <w:lang w:eastAsia="fr-FR" w:bidi="ar-SA"/>
              </w:rPr>
              <w:t>ميزانية استغلال المكتب الوطني للمطارات</w:t>
            </w:r>
          </w:p>
        </w:tc>
        <w:tc>
          <w:tcPr>
            <w:tcW w:w="0" w:type="auto"/>
            <w:vAlign w:val="center"/>
            <w:hideMark/>
          </w:tcPr>
          <w:p w14:paraId="06E925ED" w14:textId="77777777" w:rsidR="0002131D" w:rsidRPr="003B3295" w:rsidRDefault="0002131D" w:rsidP="006C49DE">
            <w:pPr>
              <w:spacing w:after="0" w:line="240" w:lineRule="auto"/>
              <w:rPr>
                <w:rFonts w:ascii="Times New Roman" w:hAnsi="Times New Roman" w:cs="Times New Roman"/>
                <w:sz w:val="24"/>
                <w:szCs w:val="24"/>
                <w:lang w:eastAsia="fr-FR"/>
              </w:rPr>
            </w:pPr>
            <w:r w:rsidRPr="003B3295">
              <w:rPr>
                <w:rFonts w:ascii="Times New Roman" w:hAnsi="Times New Roman" w:cs="Times New Roman"/>
                <w:sz w:val="24"/>
                <w:szCs w:val="24"/>
                <w:rtl/>
                <w:lang w:eastAsia="fr-FR" w:bidi="ar-SA"/>
              </w:rPr>
              <w:t xml:space="preserve">المكتب الوطني للمطارات </w:t>
            </w:r>
            <w:r w:rsidRPr="003B3295">
              <w:rPr>
                <w:rFonts w:ascii="Times New Roman" w:hAnsi="Times New Roman" w:cs="Times New Roman"/>
                <w:sz w:val="24"/>
                <w:szCs w:val="24"/>
                <w:rtl/>
                <w:lang w:eastAsia="fr-FR"/>
              </w:rPr>
              <w:t xml:space="preserve">/ </w:t>
            </w:r>
            <w:r w:rsidRPr="003B3295">
              <w:rPr>
                <w:rFonts w:ascii="Times New Roman" w:hAnsi="Times New Roman" w:cs="Times New Roman"/>
                <w:sz w:val="24"/>
                <w:szCs w:val="24"/>
                <w:rtl/>
                <w:lang w:eastAsia="fr-FR" w:bidi="ar-SA"/>
              </w:rPr>
              <w:t>المستغل</w:t>
            </w:r>
          </w:p>
        </w:tc>
      </w:tr>
      <w:tr w:rsidR="0002131D" w:rsidRPr="003B3295" w14:paraId="087328E8" w14:textId="77777777" w:rsidTr="006C49DE">
        <w:trPr>
          <w:tblCellSpacing w:w="15" w:type="dxa"/>
          <w:jc w:val="center"/>
        </w:trPr>
        <w:tc>
          <w:tcPr>
            <w:tcW w:w="0" w:type="auto"/>
            <w:vAlign w:val="center"/>
            <w:hideMark/>
          </w:tcPr>
          <w:p w14:paraId="4DC24EF8" w14:textId="77777777" w:rsidR="0002131D" w:rsidRPr="003B3295" w:rsidRDefault="0002131D" w:rsidP="006C49DE">
            <w:pPr>
              <w:spacing w:after="0" w:line="240" w:lineRule="auto"/>
              <w:rPr>
                <w:rFonts w:ascii="Times New Roman" w:hAnsi="Times New Roman" w:cs="Times New Roman"/>
                <w:sz w:val="24"/>
                <w:szCs w:val="24"/>
                <w:lang w:eastAsia="fr-FR"/>
              </w:rPr>
            </w:pPr>
            <w:r w:rsidRPr="003B3295">
              <w:rPr>
                <w:rFonts w:ascii="Times New Roman" w:hAnsi="Times New Roman" w:cs="Times New Roman"/>
                <w:b/>
                <w:bCs/>
                <w:sz w:val="24"/>
                <w:szCs w:val="24"/>
                <w:rtl/>
                <w:lang w:eastAsia="fr-FR" w:bidi="ar-SA"/>
              </w:rPr>
              <w:t>تدبير النفايات</w:t>
            </w:r>
          </w:p>
        </w:tc>
        <w:tc>
          <w:tcPr>
            <w:tcW w:w="0" w:type="auto"/>
            <w:vAlign w:val="center"/>
            <w:hideMark/>
          </w:tcPr>
          <w:p w14:paraId="325C57FC" w14:textId="77777777" w:rsidR="0002131D" w:rsidRPr="003B3295" w:rsidRDefault="0002131D" w:rsidP="006C49DE">
            <w:pPr>
              <w:spacing w:after="0" w:line="240" w:lineRule="auto"/>
              <w:rPr>
                <w:rFonts w:ascii="Times New Roman" w:hAnsi="Times New Roman" w:cs="Times New Roman"/>
                <w:sz w:val="24"/>
                <w:szCs w:val="24"/>
                <w:lang w:eastAsia="fr-FR"/>
              </w:rPr>
            </w:pPr>
            <w:r w:rsidRPr="003B3295">
              <w:rPr>
                <w:rFonts w:ascii="Times New Roman" w:hAnsi="Times New Roman" w:cs="Times New Roman"/>
                <w:sz w:val="24"/>
                <w:szCs w:val="24"/>
                <w:rtl/>
                <w:lang w:eastAsia="fr-FR" w:bidi="ar-SA"/>
              </w:rPr>
              <w:t>متابعة تدبير وجمع النفايات غير الخطرة والخطرة وإتلافها</w:t>
            </w:r>
          </w:p>
        </w:tc>
        <w:tc>
          <w:tcPr>
            <w:tcW w:w="0" w:type="auto"/>
            <w:vAlign w:val="center"/>
            <w:hideMark/>
          </w:tcPr>
          <w:p w14:paraId="1BA83ADC" w14:textId="77777777" w:rsidR="0002131D" w:rsidRPr="003B3295" w:rsidRDefault="0002131D" w:rsidP="006C49DE">
            <w:pPr>
              <w:spacing w:after="0" w:line="240" w:lineRule="auto"/>
              <w:rPr>
                <w:rFonts w:ascii="Times New Roman" w:hAnsi="Times New Roman" w:cs="Times New Roman"/>
                <w:sz w:val="24"/>
                <w:szCs w:val="24"/>
                <w:lang w:eastAsia="fr-FR"/>
              </w:rPr>
            </w:pPr>
            <w:r w:rsidRPr="003B3295">
              <w:rPr>
                <w:rFonts w:ascii="Times New Roman" w:hAnsi="Times New Roman" w:cs="Times New Roman"/>
                <w:sz w:val="24"/>
                <w:szCs w:val="24"/>
                <w:rtl/>
                <w:lang w:eastAsia="fr-FR" w:bidi="ar-SA"/>
              </w:rPr>
              <w:t>مناطق التخزين المؤقت ومسارات الجمع</w:t>
            </w:r>
          </w:p>
        </w:tc>
        <w:tc>
          <w:tcPr>
            <w:tcW w:w="0" w:type="auto"/>
            <w:vAlign w:val="center"/>
            <w:hideMark/>
          </w:tcPr>
          <w:p w14:paraId="1FE6DB5F" w14:textId="77777777" w:rsidR="0002131D" w:rsidRPr="003B3295" w:rsidRDefault="0002131D" w:rsidP="006C49DE">
            <w:pPr>
              <w:spacing w:after="0" w:line="240" w:lineRule="auto"/>
              <w:rPr>
                <w:rFonts w:ascii="Times New Roman" w:hAnsi="Times New Roman" w:cs="Times New Roman"/>
                <w:sz w:val="24"/>
                <w:szCs w:val="24"/>
                <w:lang w:eastAsia="fr-FR"/>
              </w:rPr>
            </w:pPr>
            <w:r w:rsidRPr="003B3295">
              <w:rPr>
                <w:rFonts w:ascii="Times New Roman" w:hAnsi="Times New Roman" w:cs="Times New Roman"/>
                <w:sz w:val="24"/>
                <w:szCs w:val="24"/>
                <w:rtl/>
                <w:lang w:eastAsia="fr-FR" w:bidi="ar-SA"/>
              </w:rPr>
              <w:t>سجلات الجمع، استمارات التتبع، ومعاينات مطابقة</w:t>
            </w:r>
          </w:p>
        </w:tc>
        <w:tc>
          <w:tcPr>
            <w:tcW w:w="0" w:type="auto"/>
            <w:vAlign w:val="center"/>
            <w:hideMark/>
          </w:tcPr>
          <w:p w14:paraId="767A8FFE" w14:textId="77777777" w:rsidR="0002131D" w:rsidRPr="003B3295" w:rsidRDefault="0002131D" w:rsidP="006C49DE">
            <w:pPr>
              <w:spacing w:after="0" w:line="240" w:lineRule="auto"/>
              <w:rPr>
                <w:rFonts w:ascii="Times New Roman" w:hAnsi="Times New Roman" w:cs="Times New Roman"/>
                <w:sz w:val="24"/>
                <w:szCs w:val="24"/>
                <w:lang w:eastAsia="fr-FR"/>
              </w:rPr>
            </w:pPr>
            <w:r w:rsidRPr="003B3295">
              <w:rPr>
                <w:rFonts w:ascii="Times New Roman" w:hAnsi="Times New Roman" w:cs="Times New Roman"/>
                <w:sz w:val="24"/>
                <w:szCs w:val="24"/>
                <w:rtl/>
                <w:lang w:eastAsia="fr-FR" w:bidi="ar-SA"/>
              </w:rPr>
              <w:t>ربع سنوية</w:t>
            </w:r>
          </w:p>
        </w:tc>
        <w:tc>
          <w:tcPr>
            <w:tcW w:w="0" w:type="auto"/>
            <w:vAlign w:val="center"/>
            <w:hideMark/>
          </w:tcPr>
          <w:p w14:paraId="56F30439" w14:textId="77777777" w:rsidR="0002131D" w:rsidRPr="003B3295" w:rsidRDefault="0002131D" w:rsidP="006C49DE">
            <w:pPr>
              <w:spacing w:after="0" w:line="240" w:lineRule="auto"/>
              <w:rPr>
                <w:rFonts w:ascii="Times New Roman" w:hAnsi="Times New Roman" w:cs="Times New Roman"/>
                <w:sz w:val="24"/>
                <w:szCs w:val="24"/>
                <w:lang w:eastAsia="fr-FR"/>
              </w:rPr>
            </w:pPr>
            <w:r w:rsidRPr="003B3295">
              <w:rPr>
                <w:rFonts w:ascii="Times New Roman" w:hAnsi="Times New Roman" w:cs="Times New Roman"/>
                <w:sz w:val="24"/>
                <w:szCs w:val="24"/>
                <w:rtl/>
                <w:lang w:eastAsia="fr-FR" w:bidi="ar-SA"/>
              </w:rPr>
              <w:t>ضمان التتبع والشفافية، الوقاية من التلوث، وتحسين الفرز الانتقائي</w:t>
            </w:r>
          </w:p>
        </w:tc>
        <w:tc>
          <w:tcPr>
            <w:tcW w:w="0" w:type="auto"/>
            <w:vAlign w:val="center"/>
            <w:hideMark/>
          </w:tcPr>
          <w:p w14:paraId="43F5EFC6" w14:textId="77777777" w:rsidR="0002131D" w:rsidRPr="003B3295" w:rsidRDefault="0002131D" w:rsidP="006C49DE">
            <w:pPr>
              <w:spacing w:after="0" w:line="240" w:lineRule="auto"/>
              <w:rPr>
                <w:rFonts w:ascii="Times New Roman" w:hAnsi="Times New Roman" w:cs="Times New Roman"/>
                <w:sz w:val="24"/>
                <w:szCs w:val="24"/>
                <w:lang w:eastAsia="fr-FR"/>
              </w:rPr>
            </w:pPr>
            <w:r w:rsidRPr="003B3295">
              <w:rPr>
                <w:rFonts w:ascii="Times New Roman" w:hAnsi="Times New Roman" w:cs="Times New Roman"/>
                <w:sz w:val="24"/>
                <w:szCs w:val="24"/>
                <w:rtl/>
                <w:lang w:eastAsia="fr-FR" w:bidi="ar-SA"/>
              </w:rPr>
              <w:t>عقد مع متعهد معتمد</w:t>
            </w:r>
          </w:p>
        </w:tc>
        <w:tc>
          <w:tcPr>
            <w:tcW w:w="0" w:type="auto"/>
            <w:vAlign w:val="center"/>
            <w:hideMark/>
          </w:tcPr>
          <w:p w14:paraId="4CFC5C71" w14:textId="77777777" w:rsidR="0002131D" w:rsidRPr="003B3295" w:rsidRDefault="0002131D" w:rsidP="006C49DE">
            <w:pPr>
              <w:spacing w:after="0" w:line="240" w:lineRule="auto"/>
              <w:rPr>
                <w:rFonts w:ascii="Times New Roman" w:hAnsi="Times New Roman" w:cs="Times New Roman"/>
                <w:sz w:val="24"/>
                <w:szCs w:val="24"/>
                <w:lang w:eastAsia="fr-FR"/>
              </w:rPr>
            </w:pPr>
            <w:r w:rsidRPr="003B3295">
              <w:rPr>
                <w:rFonts w:ascii="Times New Roman" w:hAnsi="Times New Roman" w:cs="Times New Roman"/>
                <w:sz w:val="24"/>
                <w:szCs w:val="24"/>
                <w:rtl/>
                <w:lang w:eastAsia="fr-FR" w:bidi="ar-SA"/>
              </w:rPr>
              <w:t xml:space="preserve">المكتب الوطني للمطارات </w:t>
            </w:r>
            <w:r w:rsidRPr="003B3295">
              <w:rPr>
                <w:rFonts w:ascii="Times New Roman" w:hAnsi="Times New Roman" w:cs="Times New Roman"/>
                <w:sz w:val="24"/>
                <w:szCs w:val="24"/>
                <w:rtl/>
                <w:lang w:eastAsia="fr-FR"/>
              </w:rPr>
              <w:t xml:space="preserve">/ </w:t>
            </w:r>
            <w:r w:rsidRPr="003B3295">
              <w:rPr>
                <w:rFonts w:ascii="Times New Roman" w:hAnsi="Times New Roman" w:cs="Times New Roman"/>
                <w:sz w:val="24"/>
                <w:szCs w:val="24"/>
                <w:rtl/>
                <w:lang w:eastAsia="fr-FR" w:bidi="ar-SA"/>
              </w:rPr>
              <w:t>المستغل</w:t>
            </w:r>
          </w:p>
        </w:tc>
      </w:tr>
      <w:tr w:rsidR="0002131D" w:rsidRPr="003B3295" w14:paraId="0132BBF1" w14:textId="77777777" w:rsidTr="006C49DE">
        <w:trPr>
          <w:tblCellSpacing w:w="15" w:type="dxa"/>
          <w:jc w:val="center"/>
        </w:trPr>
        <w:tc>
          <w:tcPr>
            <w:tcW w:w="0" w:type="auto"/>
            <w:vAlign w:val="center"/>
            <w:hideMark/>
          </w:tcPr>
          <w:p w14:paraId="44F4F531" w14:textId="77777777" w:rsidR="0002131D" w:rsidRPr="003B3295" w:rsidRDefault="0002131D" w:rsidP="006C49DE">
            <w:pPr>
              <w:spacing w:after="0" w:line="240" w:lineRule="auto"/>
              <w:rPr>
                <w:rFonts w:ascii="Times New Roman" w:hAnsi="Times New Roman" w:cs="Times New Roman"/>
                <w:sz w:val="24"/>
                <w:szCs w:val="24"/>
                <w:lang w:eastAsia="fr-FR"/>
              </w:rPr>
            </w:pPr>
            <w:r w:rsidRPr="003B3295">
              <w:rPr>
                <w:rFonts w:ascii="Times New Roman" w:hAnsi="Times New Roman" w:cs="Times New Roman"/>
                <w:b/>
                <w:bCs/>
                <w:sz w:val="24"/>
                <w:szCs w:val="24"/>
                <w:rtl/>
                <w:lang w:eastAsia="fr-FR" w:bidi="ar-SA"/>
              </w:rPr>
              <w:t>صحة وسلامة العمال</w:t>
            </w:r>
          </w:p>
        </w:tc>
        <w:tc>
          <w:tcPr>
            <w:tcW w:w="0" w:type="auto"/>
            <w:vAlign w:val="center"/>
            <w:hideMark/>
          </w:tcPr>
          <w:p w14:paraId="046F3963" w14:textId="77777777" w:rsidR="0002131D" w:rsidRPr="003B3295" w:rsidRDefault="0002131D" w:rsidP="006C49DE">
            <w:pPr>
              <w:spacing w:after="0" w:line="240" w:lineRule="auto"/>
              <w:rPr>
                <w:rFonts w:ascii="Times New Roman" w:hAnsi="Times New Roman" w:cs="Times New Roman"/>
                <w:sz w:val="24"/>
                <w:szCs w:val="24"/>
                <w:lang w:eastAsia="fr-FR"/>
              </w:rPr>
            </w:pPr>
            <w:r w:rsidRPr="003B3295">
              <w:rPr>
                <w:rFonts w:ascii="Times New Roman" w:hAnsi="Times New Roman" w:cs="Times New Roman"/>
                <w:sz w:val="24"/>
                <w:szCs w:val="24"/>
                <w:rtl/>
                <w:lang w:eastAsia="fr-FR" w:bidi="ar-SA"/>
              </w:rPr>
              <w:t>مراقبة صحة وسلامة العاملين والمستخدمين</w:t>
            </w:r>
          </w:p>
        </w:tc>
        <w:tc>
          <w:tcPr>
            <w:tcW w:w="0" w:type="auto"/>
            <w:vAlign w:val="center"/>
            <w:hideMark/>
          </w:tcPr>
          <w:p w14:paraId="39F9439D" w14:textId="77777777" w:rsidR="0002131D" w:rsidRPr="003B3295" w:rsidRDefault="0002131D" w:rsidP="006C49DE">
            <w:pPr>
              <w:spacing w:after="0" w:line="240" w:lineRule="auto"/>
              <w:rPr>
                <w:rFonts w:ascii="Times New Roman" w:hAnsi="Times New Roman" w:cs="Times New Roman"/>
                <w:sz w:val="24"/>
                <w:szCs w:val="24"/>
                <w:lang w:eastAsia="fr-FR"/>
              </w:rPr>
            </w:pPr>
            <w:r w:rsidRPr="003B3295">
              <w:rPr>
                <w:rFonts w:ascii="Times New Roman" w:hAnsi="Times New Roman" w:cs="Times New Roman"/>
                <w:sz w:val="24"/>
                <w:szCs w:val="24"/>
                <w:rtl/>
                <w:lang w:eastAsia="fr-FR" w:bidi="ar-SA"/>
              </w:rPr>
              <w:t>المباني التقنية، مناطق الاستغلال، مواقف الطائرات</w:t>
            </w:r>
          </w:p>
        </w:tc>
        <w:tc>
          <w:tcPr>
            <w:tcW w:w="0" w:type="auto"/>
            <w:vAlign w:val="center"/>
            <w:hideMark/>
          </w:tcPr>
          <w:p w14:paraId="2AA39DCD" w14:textId="77777777" w:rsidR="0002131D" w:rsidRPr="003B3295" w:rsidRDefault="0002131D" w:rsidP="006C49DE">
            <w:pPr>
              <w:spacing w:after="0" w:line="240" w:lineRule="auto"/>
              <w:rPr>
                <w:rFonts w:ascii="Times New Roman" w:hAnsi="Times New Roman" w:cs="Times New Roman"/>
                <w:sz w:val="24"/>
                <w:szCs w:val="24"/>
                <w:lang w:eastAsia="fr-FR"/>
              </w:rPr>
            </w:pPr>
            <w:r w:rsidRPr="003B3295">
              <w:rPr>
                <w:rFonts w:ascii="Times New Roman" w:hAnsi="Times New Roman" w:cs="Times New Roman"/>
                <w:sz w:val="24"/>
                <w:szCs w:val="24"/>
                <w:rtl/>
                <w:lang w:eastAsia="fr-FR" w:bidi="ar-SA"/>
              </w:rPr>
              <w:t>سجلات الحوادث، عمليات تدقيق داخلية، ومعاينات السلامة</w:t>
            </w:r>
          </w:p>
        </w:tc>
        <w:tc>
          <w:tcPr>
            <w:tcW w:w="0" w:type="auto"/>
            <w:vAlign w:val="center"/>
            <w:hideMark/>
          </w:tcPr>
          <w:p w14:paraId="61E98B0D" w14:textId="77777777" w:rsidR="0002131D" w:rsidRPr="003B3295" w:rsidRDefault="0002131D" w:rsidP="006C49DE">
            <w:pPr>
              <w:spacing w:after="0" w:line="240" w:lineRule="auto"/>
              <w:rPr>
                <w:rFonts w:ascii="Times New Roman" w:hAnsi="Times New Roman" w:cs="Times New Roman"/>
                <w:sz w:val="24"/>
                <w:szCs w:val="24"/>
                <w:lang w:eastAsia="fr-FR"/>
              </w:rPr>
            </w:pPr>
            <w:r w:rsidRPr="003B3295">
              <w:rPr>
                <w:rFonts w:ascii="Times New Roman" w:hAnsi="Times New Roman" w:cs="Times New Roman"/>
                <w:sz w:val="24"/>
                <w:szCs w:val="24"/>
                <w:rtl/>
                <w:lang w:eastAsia="fr-FR" w:bidi="ar-SA"/>
              </w:rPr>
              <w:t xml:space="preserve">شهرية </w:t>
            </w:r>
            <w:r w:rsidRPr="003B3295">
              <w:rPr>
                <w:rFonts w:ascii="Times New Roman" w:hAnsi="Times New Roman" w:cs="Times New Roman"/>
                <w:sz w:val="24"/>
                <w:szCs w:val="24"/>
                <w:rtl/>
                <w:lang w:eastAsia="fr-FR"/>
              </w:rPr>
              <w:t>(</w:t>
            </w:r>
            <w:r w:rsidRPr="003B3295">
              <w:rPr>
                <w:rFonts w:ascii="Times New Roman" w:hAnsi="Times New Roman" w:cs="Times New Roman"/>
                <w:sz w:val="24"/>
                <w:szCs w:val="24"/>
                <w:rtl/>
                <w:lang w:eastAsia="fr-FR" w:bidi="ar-SA"/>
              </w:rPr>
              <w:t>مراقبة</w:t>
            </w:r>
            <w:r w:rsidRPr="003B3295">
              <w:rPr>
                <w:rFonts w:ascii="Times New Roman" w:hAnsi="Times New Roman" w:cs="Times New Roman"/>
                <w:sz w:val="24"/>
                <w:szCs w:val="24"/>
                <w:rtl/>
                <w:lang w:eastAsia="fr-FR"/>
              </w:rPr>
              <w:t xml:space="preserve">) / </w:t>
            </w:r>
            <w:r w:rsidRPr="003B3295">
              <w:rPr>
                <w:rFonts w:ascii="Times New Roman" w:hAnsi="Times New Roman" w:cs="Times New Roman"/>
                <w:sz w:val="24"/>
                <w:szCs w:val="24"/>
                <w:rtl/>
                <w:lang w:eastAsia="fr-FR" w:bidi="ar-SA"/>
              </w:rPr>
              <w:t xml:space="preserve">ربع سنوية </w:t>
            </w:r>
            <w:r w:rsidRPr="003B3295">
              <w:rPr>
                <w:rFonts w:ascii="Times New Roman" w:hAnsi="Times New Roman" w:cs="Times New Roman"/>
                <w:sz w:val="24"/>
                <w:szCs w:val="24"/>
                <w:rtl/>
                <w:lang w:eastAsia="fr-FR"/>
              </w:rPr>
              <w:t>(</w:t>
            </w:r>
            <w:r w:rsidRPr="003B3295">
              <w:rPr>
                <w:rFonts w:ascii="Times New Roman" w:hAnsi="Times New Roman" w:cs="Times New Roman"/>
                <w:sz w:val="24"/>
                <w:szCs w:val="24"/>
                <w:rtl/>
                <w:lang w:eastAsia="fr-FR" w:bidi="ar-SA"/>
              </w:rPr>
              <w:t>تقرير مجمّع</w:t>
            </w:r>
            <w:r w:rsidRPr="003B3295">
              <w:rPr>
                <w:rFonts w:ascii="Times New Roman" w:hAnsi="Times New Roman" w:cs="Times New Roman"/>
                <w:sz w:val="24"/>
                <w:szCs w:val="24"/>
                <w:rtl/>
                <w:lang w:eastAsia="fr-FR"/>
              </w:rPr>
              <w:t>)</w:t>
            </w:r>
          </w:p>
        </w:tc>
        <w:tc>
          <w:tcPr>
            <w:tcW w:w="0" w:type="auto"/>
            <w:vAlign w:val="center"/>
            <w:hideMark/>
          </w:tcPr>
          <w:p w14:paraId="578859CC" w14:textId="77777777" w:rsidR="0002131D" w:rsidRPr="003B3295" w:rsidRDefault="0002131D" w:rsidP="006C49DE">
            <w:pPr>
              <w:spacing w:after="0" w:line="240" w:lineRule="auto"/>
              <w:rPr>
                <w:rFonts w:ascii="Times New Roman" w:hAnsi="Times New Roman" w:cs="Times New Roman"/>
                <w:sz w:val="24"/>
                <w:szCs w:val="24"/>
                <w:lang w:eastAsia="fr-FR"/>
              </w:rPr>
            </w:pPr>
            <w:r w:rsidRPr="003B3295">
              <w:rPr>
                <w:rFonts w:ascii="Times New Roman" w:hAnsi="Times New Roman" w:cs="Times New Roman"/>
                <w:sz w:val="24"/>
                <w:szCs w:val="24"/>
                <w:rtl/>
                <w:lang w:eastAsia="fr-FR" w:bidi="ar-SA"/>
              </w:rPr>
              <w:t>الحفاظ على بيئة عمل آمنة وتقليص عدد الحوادث</w:t>
            </w:r>
          </w:p>
        </w:tc>
        <w:tc>
          <w:tcPr>
            <w:tcW w:w="0" w:type="auto"/>
            <w:vAlign w:val="center"/>
            <w:hideMark/>
          </w:tcPr>
          <w:p w14:paraId="24E9CC6A" w14:textId="77777777" w:rsidR="0002131D" w:rsidRPr="003B3295" w:rsidRDefault="0002131D" w:rsidP="006C49DE">
            <w:pPr>
              <w:spacing w:after="0" w:line="240" w:lineRule="auto"/>
              <w:rPr>
                <w:rFonts w:ascii="Times New Roman" w:hAnsi="Times New Roman" w:cs="Times New Roman"/>
                <w:sz w:val="24"/>
                <w:szCs w:val="24"/>
                <w:lang w:eastAsia="fr-FR"/>
              </w:rPr>
            </w:pPr>
            <w:r w:rsidRPr="003B3295">
              <w:rPr>
                <w:rFonts w:ascii="Times New Roman" w:hAnsi="Times New Roman" w:cs="Times New Roman"/>
                <w:sz w:val="24"/>
                <w:szCs w:val="24"/>
                <w:rtl/>
                <w:lang w:eastAsia="fr-FR" w:bidi="ar-SA"/>
              </w:rPr>
              <w:t>ميزانية استغلال المكتب الوطني للمطارات</w:t>
            </w:r>
          </w:p>
        </w:tc>
        <w:tc>
          <w:tcPr>
            <w:tcW w:w="0" w:type="auto"/>
            <w:vAlign w:val="center"/>
            <w:hideMark/>
          </w:tcPr>
          <w:p w14:paraId="3853C82A" w14:textId="77777777" w:rsidR="0002131D" w:rsidRPr="003B3295" w:rsidRDefault="0002131D" w:rsidP="006C49DE">
            <w:pPr>
              <w:spacing w:after="0" w:line="240" w:lineRule="auto"/>
              <w:rPr>
                <w:rFonts w:ascii="Times New Roman" w:hAnsi="Times New Roman" w:cs="Times New Roman"/>
                <w:sz w:val="24"/>
                <w:szCs w:val="24"/>
                <w:lang w:eastAsia="fr-FR"/>
              </w:rPr>
            </w:pPr>
            <w:r w:rsidRPr="003B3295">
              <w:rPr>
                <w:rFonts w:ascii="Times New Roman" w:hAnsi="Times New Roman" w:cs="Times New Roman"/>
                <w:sz w:val="24"/>
                <w:szCs w:val="24"/>
                <w:rtl/>
                <w:lang w:eastAsia="fr-FR" w:bidi="ar-SA"/>
              </w:rPr>
              <w:t>المكتب الوطني للمطارات</w:t>
            </w:r>
          </w:p>
        </w:tc>
      </w:tr>
      <w:tr w:rsidR="0002131D" w:rsidRPr="003B3295" w14:paraId="5789350A" w14:textId="77777777" w:rsidTr="006C49DE">
        <w:trPr>
          <w:tblCellSpacing w:w="15" w:type="dxa"/>
          <w:jc w:val="center"/>
        </w:trPr>
        <w:tc>
          <w:tcPr>
            <w:tcW w:w="0" w:type="auto"/>
            <w:vAlign w:val="center"/>
            <w:hideMark/>
          </w:tcPr>
          <w:p w14:paraId="1260C75F" w14:textId="77777777" w:rsidR="0002131D" w:rsidRPr="003B3295" w:rsidRDefault="0002131D" w:rsidP="006C49DE">
            <w:pPr>
              <w:spacing w:after="0" w:line="240" w:lineRule="auto"/>
              <w:rPr>
                <w:rFonts w:ascii="Times New Roman" w:hAnsi="Times New Roman" w:cs="Times New Roman"/>
                <w:sz w:val="24"/>
                <w:szCs w:val="24"/>
                <w:lang w:eastAsia="fr-FR"/>
              </w:rPr>
            </w:pPr>
            <w:r w:rsidRPr="003B3295">
              <w:rPr>
                <w:rFonts w:ascii="Times New Roman" w:hAnsi="Times New Roman" w:cs="Times New Roman"/>
                <w:b/>
                <w:bCs/>
                <w:sz w:val="24"/>
                <w:szCs w:val="24"/>
                <w:rtl/>
                <w:lang w:eastAsia="fr-FR" w:bidi="ar-SA"/>
              </w:rPr>
              <w:t>تدبير الشكاوى</w:t>
            </w:r>
          </w:p>
        </w:tc>
        <w:tc>
          <w:tcPr>
            <w:tcW w:w="0" w:type="auto"/>
            <w:vAlign w:val="center"/>
            <w:hideMark/>
          </w:tcPr>
          <w:p w14:paraId="25CD518B" w14:textId="77777777" w:rsidR="0002131D" w:rsidRPr="003B3295" w:rsidRDefault="0002131D" w:rsidP="006C49DE">
            <w:pPr>
              <w:spacing w:after="0" w:line="240" w:lineRule="auto"/>
              <w:rPr>
                <w:rFonts w:ascii="Times New Roman" w:hAnsi="Times New Roman" w:cs="Times New Roman"/>
                <w:sz w:val="24"/>
                <w:szCs w:val="24"/>
                <w:lang w:eastAsia="fr-FR"/>
              </w:rPr>
            </w:pPr>
            <w:r w:rsidRPr="003B3295">
              <w:rPr>
                <w:rFonts w:ascii="Times New Roman" w:hAnsi="Times New Roman" w:cs="Times New Roman"/>
                <w:sz w:val="24"/>
                <w:szCs w:val="24"/>
                <w:rtl/>
                <w:lang w:eastAsia="fr-FR" w:bidi="ar-SA"/>
              </w:rPr>
              <w:t>متابعة العلاقات المجتمعية ومعالجة الشكاوى</w:t>
            </w:r>
          </w:p>
        </w:tc>
        <w:tc>
          <w:tcPr>
            <w:tcW w:w="0" w:type="auto"/>
            <w:vAlign w:val="center"/>
            <w:hideMark/>
          </w:tcPr>
          <w:p w14:paraId="50BE1228" w14:textId="77777777" w:rsidR="0002131D" w:rsidRPr="003B3295" w:rsidRDefault="0002131D" w:rsidP="006C49DE">
            <w:pPr>
              <w:spacing w:after="0" w:line="240" w:lineRule="auto"/>
              <w:rPr>
                <w:rFonts w:ascii="Times New Roman" w:hAnsi="Times New Roman" w:cs="Times New Roman"/>
                <w:sz w:val="24"/>
                <w:szCs w:val="24"/>
                <w:lang w:eastAsia="fr-FR"/>
              </w:rPr>
            </w:pPr>
            <w:r w:rsidRPr="003B3295">
              <w:rPr>
                <w:rFonts w:ascii="Times New Roman" w:hAnsi="Times New Roman" w:cs="Times New Roman"/>
                <w:sz w:val="24"/>
                <w:szCs w:val="24"/>
                <w:rtl/>
                <w:lang w:eastAsia="fr-FR" w:bidi="ar-SA"/>
              </w:rPr>
              <w:t>الجماعات المجاورة والسلطات المحلية</w:t>
            </w:r>
          </w:p>
        </w:tc>
        <w:tc>
          <w:tcPr>
            <w:tcW w:w="0" w:type="auto"/>
            <w:vAlign w:val="center"/>
            <w:hideMark/>
          </w:tcPr>
          <w:p w14:paraId="26CB63C2" w14:textId="77777777" w:rsidR="0002131D" w:rsidRPr="003B3295" w:rsidRDefault="0002131D" w:rsidP="006C49DE">
            <w:pPr>
              <w:spacing w:after="0" w:line="240" w:lineRule="auto"/>
              <w:rPr>
                <w:rFonts w:ascii="Times New Roman" w:hAnsi="Times New Roman" w:cs="Times New Roman"/>
                <w:sz w:val="24"/>
                <w:szCs w:val="24"/>
                <w:lang w:eastAsia="fr-FR"/>
              </w:rPr>
            </w:pPr>
            <w:r w:rsidRPr="003B3295">
              <w:rPr>
                <w:rFonts w:ascii="Times New Roman" w:hAnsi="Times New Roman" w:cs="Times New Roman"/>
                <w:sz w:val="24"/>
                <w:szCs w:val="24"/>
                <w:rtl/>
                <w:lang w:eastAsia="fr-FR" w:bidi="ar-SA"/>
              </w:rPr>
              <w:t>سجلّ آلية تدبير الشكاوى</w:t>
            </w:r>
            <w:r w:rsidRPr="003B3295">
              <w:rPr>
                <w:rFonts w:ascii="Times New Roman" w:hAnsi="Times New Roman" w:cs="Times New Roman"/>
                <w:sz w:val="24"/>
                <w:szCs w:val="24"/>
                <w:lang w:eastAsia="fr-FR"/>
              </w:rPr>
              <w:t xml:space="preserve"> (MGP)</w:t>
            </w:r>
            <w:r w:rsidRPr="003B3295">
              <w:rPr>
                <w:rFonts w:ascii="Times New Roman" w:hAnsi="Times New Roman" w:cs="Times New Roman"/>
                <w:sz w:val="24"/>
                <w:szCs w:val="24"/>
                <w:rtl/>
                <w:lang w:eastAsia="fr-FR" w:bidi="ar-SA"/>
              </w:rPr>
              <w:t>، واجتماعات تشاورية دورية</w:t>
            </w:r>
          </w:p>
        </w:tc>
        <w:tc>
          <w:tcPr>
            <w:tcW w:w="0" w:type="auto"/>
            <w:vAlign w:val="center"/>
            <w:hideMark/>
          </w:tcPr>
          <w:p w14:paraId="63BED5C0" w14:textId="77777777" w:rsidR="0002131D" w:rsidRPr="003B3295" w:rsidRDefault="0002131D" w:rsidP="006C49DE">
            <w:pPr>
              <w:spacing w:after="0" w:line="240" w:lineRule="auto"/>
              <w:rPr>
                <w:rFonts w:ascii="Times New Roman" w:hAnsi="Times New Roman" w:cs="Times New Roman"/>
                <w:sz w:val="24"/>
                <w:szCs w:val="24"/>
                <w:lang w:eastAsia="fr-FR"/>
              </w:rPr>
            </w:pPr>
            <w:r w:rsidRPr="003B3295">
              <w:rPr>
                <w:rFonts w:ascii="Times New Roman" w:hAnsi="Times New Roman" w:cs="Times New Roman"/>
                <w:sz w:val="24"/>
                <w:szCs w:val="24"/>
                <w:rtl/>
                <w:lang w:eastAsia="fr-FR" w:bidi="ar-SA"/>
              </w:rPr>
              <w:t>ربع سنوية</w:t>
            </w:r>
          </w:p>
        </w:tc>
        <w:tc>
          <w:tcPr>
            <w:tcW w:w="0" w:type="auto"/>
            <w:vAlign w:val="center"/>
            <w:hideMark/>
          </w:tcPr>
          <w:p w14:paraId="2B1B2382" w14:textId="77777777" w:rsidR="0002131D" w:rsidRPr="003B3295" w:rsidRDefault="0002131D" w:rsidP="006C49DE">
            <w:pPr>
              <w:spacing w:after="0" w:line="240" w:lineRule="auto"/>
              <w:rPr>
                <w:rFonts w:ascii="Times New Roman" w:hAnsi="Times New Roman" w:cs="Times New Roman"/>
                <w:sz w:val="24"/>
                <w:szCs w:val="24"/>
                <w:lang w:eastAsia="fr-FR"/>
              </w:rPr>
            </w:pPr>
            <w:r w:rsidRPr="003B3295">
              <w:rPr>
                <w:rFonts w:ascii="Times New Roman" w:hAnsi="Times New Roman" w:cs="Times New Roman"/>
                <w:sz w:val="24"/>
                <w:szCs w:val="24"/>
                <w:rtl/>
                <w:lang w:eastAsia="fr-FR" w:bidi="ar-SA"/>
              </w:rPr>
              <w:t>الحفاظ على علاقة طيبة مع الساكنة وضمان الشفافية</w:t>
            </w:r>
          </w:p>
        </w:tc>
        <w:tc>
          <w:tcPr>
            <w:tcW w:w="0" w:type="auto"/>
            <w:vAlign w:val="center"/>
            <w:hideMark/>
          </w:tcPr>
          <w:p w14:paraId="4B2DF643" w14:textId="77777777" w:rsidR="0002131D" w:rsidRPr="003B3295" w:rsidRDefault="0002131D" w:rsidP="006C49DE">
            <w:pPr>
              <w:spacing w:after="0" w:line="240" w:lineRule="auto"/>
              <w:rPr>
                <w:rFonts w:ascii="Times New Roman" w:hAnsi="Times New Roman" w:cs="Times New Roman"/>
                <w:sz w:val="24"/>
                <w:szCs w:val="24"/>
                <w:lang w:eastAsia="fr-FR"/>
              </w:rPr>
            </w:pPr>
            <w:r w:rsidRPr="003B3295">
              <w:rPr>
                <w:rFonts w:ascii="Times New Roman" w:hAnsi="Times New Roman" w:cs="Times New Roman"/>
                <w:sz w:val="24"/>
                <w:szCs w:val="24"/>
                <w:rtl/>
                <w:lang w:eastAsia="fr-FR" w:bidi="ar-SA"/>
              </w:rPr>
              <w:t>زهيدة</w:t>
            </w:r>
          </w:p>
        </w:tc>
        <w:tc>
          <w:tcPr>
            <w:tcW w:w="0" w:type="auto"/>
            <w:vAlign w:val="center"/>
            <w:hideMark/>
          </w:tcPr>
          <w:p w14:paraId="3D4D3F7B" w14:textId="77777777" w:rsidR="0002131D" w:rsidRPr="003B3295" w:rsidRDefault="0002131D" w:rsidP="006C49DE">
            <w:pPr>
              <w:spacing w:after="0" w:line="240" w:lineRule="auto"/>
              <w:rPr>
                <w:rFonts w:ascii="Times New Roman" w:hAnsi="Times New Roman" w:cs="Times New Roman"/>
                <w:sz w:val="24"/>
                <w:szCs w:val="24"/>
                <w:lang w:eastAsia="fr-FR"/>
              </w:rPr>
            </w:pPr>
            <w:r w:rsidRPr="003B3295">
              <w:rPr>
                <w:rFonts w:ascii="Times New Roman" w:hAnsi="Times New Roman" w:cs="Times New Roman"/>
                <w:sz w:val="24"/>
                <w:szCs w:val="24"/>
                <w:rtl/>
                <w:lang w:eastAsia="fr-FR" w:bidi="ar-SA"/>
              </w:rPr>
              <w:t xml:space="preserve">المكتب الوطني للمطارات </w:t>
            </w:r>
            <w:r w:rsidRPr="003B3295">
              <w:rPr>
                <w:rFonts w:ascii="Times New Roman" w:hAnsi="Times New Roman" w:cs="Times New Roman"/>
                <w:sz w:val="24"/>
                <w:szCs w:val="24"/>
                <w:rtl/>
                <w:lang w:eastAsia="fr-FR"/>
              </w:rPr>
              <w:t xml:space="preserve">– </w:t>
            </w:r>
            <w:r w:rsidRPr="003B3295">
              <w:rPr>
                <w:rFonts w:ascii="Times New Roman" w:hAnsi="Times New Roman" w:cs="Times New Roman"/>
                <w:sz w:val="24"/>
                <w:szCs w:val="24"/>
                <w:rtl/>
                <w:lang w:eastAsia="fr-FR" w:bidi="ar-SA"/>
              </w:rPr>
              <w:t>منسق العلاقات المحلية</w:t>
            </w:r>
            <w:r w:rsidRPr="003B3295">
              <w:rPr>
                <w:rFonts w:ascii="Times New Roman" w:hAnsi="Times New Roman" w:cs="Times New Roman"/>
                <w:sz w:val="24"/>
                <w:szCs w:val="24"/>
                <w:lang w:eastAsia="fr-FR"/>
              </w:rPr>
              <w:t xml:space="preserve"> (CLO)</w:t>
            </w:r>
          </w:p>
        </w:tc>
      </w:tr>
      <w:tr w:rsidR="0002131D" w:rsidRPr="003B3295" w14:paraId="7A78BC69" w14:textId="77777777" w:rsidTr="006C49DE">
        <w:trPr>
          <w:tblCellSpacing w:w="15" w:type="dxa"/>
          <w:jc w:val="center"/>
        </w:trPr>
        <w:tc>
          <w:tcPr>
            <w:tcW w:w="0" w:type="auto"/>
            <w:vAlign w:val="center"/>
            <w:hideMark/>
          </w:tcPr>
          <w:p w14:paraId="45C494ED" w14:textId="77777777" w:rsidR="0002131D" w:rsidRPr="003B3295" w:rsidRDefault="0002131D" w:rsidP="006C49DE">
            <w:pPr>
              <w:spacing w:after="0" w:line="240" w:lineRule="auto"/>
              <w:rPr>
                <w:rFonts w:ascii="Times New Roman" w:hAnsi="Times New Roman" w:cs="Times New Roman"/>
                <w:sz w:val="24"/>
                <w:szCs w:val="24"/>
                <w:lang w:eastAsia="fr-FR"/>
              </w:rPr>
            </w:pPr>
            <w:r w:rsidRPr="003B3295">
              <w:rPr>
                <w:rFonts w:ascii="Times New Roman" w:hAnsi="Times New Roman" w:cs="Times New Roman"/>
                <w:b/>
                <w:bCs/>
                <w:sz w:val="24"/>
                <w:szCs w:val="24"/>
                <w:rtl/>
                <w:lang w:eastAsia="fr-FR" w:bidi="ar-SA"/>
              </w:rPr>
              <w:t>استعمال الموارد المائية والطاقة</w:t>
            </w:r>
          </w:p>
        </w:tc>
        <w:tc>
          <w:tcPr>
            <w:tcW w:w="0" w:type="auto"/>
            <w:vAlign w:val="center"/>
            <w:hideMark/>
          </w:tcPr>
          <w:p w14:paraId="21922F33" w14:textId="77777777" w:rsidR="0002131D" w:rsidRPr="003B3295" w:rsidRDefault="0002131D" w:rsidP="006C49DE">
            <w:pPr>
              <w:spacing w:after="0" w:line="240" w:lineRule="auto"/>
              <w:rPr>
                <w:rFonts w:ascii="Times New Roman" w:hAnsi="Times New Roman" w:cs="Times New Roman"/>
                <w:sz w:val="24"/>
                <w:szCs w:val="24"/>
                <w:lang w:eastAsia="fr-FR"/>
              </w:rPr>
            </w:pPr>
            <w:r w:rsidRPr="003B3295">
              <w:rPr>
                <w:rFonts w:ascii="Times New Roman" w:hAnsi="Times New Roman" w:cs="Times New Roman"/>
                <w:sz w:val="24"/>
                <w:szCs w:val="24"/>
                <w:rtl/>
                <w:lang w:eastAsia="fr-FR" w:bidi="ar-SA"/>
              </w:rPr>
              <w:t>مراقبة استهلاك الماء والطاقة</w:t>
            </w:r>
          </w:p>
        </w:tc>
        <w:tc>
          <w:tcPr>
            <w:tcW w:w="0" w:type="auto"/>
            <w:vAlign w:val="center"/>
            <w:hideMark/>
          </w:tcPr>
          <w:p w14:paraId="00298EF9" w14:textId="77777777" w:rsidR="0002131D" w:rsidRPr="003B3295" w:rsidRDefault="0002131D" w:rsidP="006C49DE">
            <w:pPr>
              <w:spacing w:after="0" w:line="240" w:lineRule="auto"/>
              <w:rPr>
                <w:rFonts w:ascii="Times New Roman" w:hAnsi="Times New Roman" w:cs="Times New Roman"/>
                <w:sz w:val="24"/>
                <w:szCs w:val="24"/>
                <w:lang w:eastAsia="fr-FR"/>
              </w:rPr>
            </w:pPr>
            <w:r w:rsidRPr="003B3295">
              <w:rPr>
                <w:rFonts w:ascii="Times New Roman" w:hAnsi="Times New Roman" w:cs="Times New Roman"/>
                <w:sz w:val="24"/>
                <w:szCs w:val="24"/>
                <w:rtl/>
                <w:lang w:eastAsia="fr-FR" w:bidi="ar-SA"/>
              </w:rPr>
              <w:t xml:space="preserve">نقاط الاستهلاك الرئيسية </w:t>
            </w:r>
            <w:r w:rsidRPr="003B3295">
              <w:rPr>
                <w:rFonts w:ascii="Times New Roman" w:hAnsi="Times New Roman" w:cs="Times New Roman"/>
                <w:sz w:val="24"/>
                <w:szCs w:val="24"/>
                <w:rtl/>
                <w:lang w:eastAsia="fr-FR"/>
              </w:rPr>
              <w:t>(</w:t>
            </w:r>
            <w:r w:rsidRPr="003B3295">
              <w:rPr>
                <w:rFonts w:ascii="Times New Roman" w:hAnsi="Times New Roman" w:cs="Times New Roman"/>
                <w:sz w:val="24"/>
                <w:szCs w:val="24"/>
                <w:rtl/>
                <w:lang w:eastAsia="fr-FR" w:bidi="ar-SA"/>
              </w:rPr>
              <w:t>المباني، الإنارة، المعدات</w:t>
            </w:r>
            <w:r w:rsidRPr="003B3295">
              <w:rPr>
                <w:rFonts w:ascii="Times New Roman" w:hAnsi="Times New Roman" w:cs="Times New Roman"/>
                <w:sz w:val="24"/>
                <w:szCs w:val="24"/>
                <w:rtl/>
                <w:lang w:eastAsia="fr-FR"/>
              </w:rPr>
              <w:t>)</w:t>
            </w:r>
          </w:p>
        </w:tc>
        <w:tc>
          <w:tcPr>
            <w:tcW w:w="0" w:type="auto"/>
            <w:vAlign w:val="center"/>
            <w:hideMark/>
          </w:tcPr>
          <w:p w14:paraId="555E98F5" w14:textId="77777777" w:rsidR="0002131D" w:rsidRPr="003B3295" w:rsidRDefault="0002131D" w:rsidP="006C49DE">
            <w:pPr>
              <w:spacing w:after="0" w:line="240" w:lineRule="auto"/>
              <w:rPr>
                <w:rFonts w:ascii="Times New Roman" w:hAnsi="Times New Roman" w:cs="Times New Roman"/>
                <w:sz w:val="24"/>
                <w:szCs w:val="24"/>
                <w:lang w:eastAsia="fr-FR"/>
              </w:rPr>
            </w:pPr>
            <w:r w:rsidRPr="003B3295">
              <w:rPr>
                <w:rFonts w:ascii="Times New Roman" w:hAnsi="Times New Roman" w:cs="Times New Roman"/>
                <w:sz w:val="24"/>
                <w:szCs w:val="24"/>
                <w:rtl/>
                <w:lang w:eastAsia="fr-FR" w:bidi="ar-SA"/>
              </w:rPr>
              <w:t>تسجيل قراءات العدّادات ومقارنتها بالبيانات التاريخية</w:t>
            </w:r>
          </w:p>
        </w:tc>
        <w:tc>
          <w:tcPr>
            <w:tcW w:w="0" w:type="auto"/>
            <w:vAlign w:val="center"/>
            <w:hideMark/>
          </w:tcPr>
          <w:p w14:paraId="291ED92E" w14:textId="77777777" w:rsidR="0002131D" w:rsidRPr="003B3295" w:rsidRDefault="0002131D" w:rsidP="006C49DE">
            <w:pPr>
              <w:spacing w:after="0" w:line="240" w:lineRule="auto"/>
              <w:rPr>
                <w:rFonts w:ascii="Times New Roman" w:hAnsi="Times New Roman" w:cs="Times New Roman"/>
                <w:sz w:val="24"/>
                <w:szCs w:val="24"/>
                <w:lang w:eastAsia="fr-FR"/>
              </w:rPr>
            </w:pPr>
            <w:r w:rsidRPr="003B3295">
              <w:rPr>
                <w:rFonts w:ascii="Times New Roman" w:hAnsi="Times New Roman" w:cs="Times New Roman"/>
                <w:sz w:val="24"/>
                <w:szCs w:val="24"/>
                <w:rtl/>
                <w:lang w:eastAsia="fr-FR" w:bidi="ar-SA"/>
              </w:rPr>
              <w:t>ربع سنوية</w:t>
            </w:r>
          </w:p>
        </w:tc>
        <w:tc>
          <w:tcPr>
            <w:tcW w:w="0" w:type="auto"/>
            <w:vAlign w:val="center"/>
            <w:hideMark/>
          </w:tcPr>
          <w:p w14:paraId="1F7E8A56" w14:textId="77777777" w:rsidR="0002131D" w:rsidRPr="003B3295" w:rsidRDefault="0002131D" w:rsidP="006C49DE">
            <w:pPr>
              <w:spacing w:after="0" w:line="240" w:lineRule="auto"/>
              <w:rPr>
                <w:rFonts w:ascii="Times New Roman" w:hAnsi="Times New Roman" w:cs="Times New Roman"/>
                <w:sz w:val="24"/>
                <w:szCs w:val="24"/>
                <w:lang w:eastAsia="fr-FR"/>
              </w:rPr>
            </w:pPr>
            <w:r w:rsidRPr="003B3295">
              <w:rPr>
                <w:rFonts w:ascii="Times New Roman" w:hAnsi="Times New Roman" w:cs="Times New Roman"/>
                <w:sz w:val="24"/>
                <w:szCs w:val="24"/>
                <w:rtl/>
                <w:lang w:eastAsia="fr-FR" w:bidi="ar-SA"/>
              </w:rPr>
              <w:t>تحسين الأداء الطاقي وترشيد استعمال الموارد</w:t>
            </w:r>
          </w:p>
        </w:tc>
        <w:tc>
          <w:tcPr>
            <w:tcW w:w="0" w:type="auto"/>
            <w:vAlign w:val="center"/>
            <w:hideMark/>
          </w:tcPr>
          <w:p w14:paraId="548DC9CD" w14:textId="77777777" w:rsidR="0002131D" w:rsidRPr="003B3295" w:rsidRDefault="0002131D" w:rsidP="006C49DE">
            <w:pPr>
              <w:spacing w:after="0" w:line="240" w:lineRule="auto"/>
              <w:rPr>
                <w:rFonts w:ascii="Times New Roman" w:hAnsi="Times New Roman" w:cs="Times New Roman"/>
                <w:sz w:val="24"/>
                <w:szCs w:val="24"/>
                <w:lang w:eastAsia="fr-FR"/>
              </w:rPr>
            </w:pPr>
            <w:r w:rsidRPr="003B3295">
              <w:rPr>
                <w:rFonts w:ascii="Times New Roman" w:hAnsi="Times New Roman" w:cs="Times New Roman"/>
                <w:sz w:val="24"/>
                <w:szCs w:val="24"/>
                <w:rtl/>
                <w:lang w:eastAsia="fr-FR" w:bidi="ar-SA"/>
              </w:rPr>
              <w:t>ميزانية استغلال المكتب الوطني للمطارات</w:t>
            </w:r>
          </w:p>
        </w:tc>
        <w:tc>
          <w:tcPr>
            <w:tcW w:w="0" w:type="auto"/>
            <w:vAlign w:val="center"/>
            <w:hideMark/>
          </w:tcPr>
          <w:p w14:paraId="5E839F07" w14:textId="77777777" w:rsidR="0002131D" w:rsidRPr="003B3295" w:rsidRDefault="0002131D" w:rsidP="006C49DE">
            <w:pPr>
              <w:spacing w:after="0" w:line="240" w:lineRule="auto"/>
              <w:rPr>
                <w:rFonts w:ascii="Times New Roman" w:hAnsi="Times New Roman" w:cs="Times New Roman"/>
                <w:sz w:val="24"/>
                <w:szCs w:val="24"/>
                <w:lang w:eastAsia="fr-FR"/>
              </w:rPr>
            </w:pPr>
            <w:r w:rsidRPr="003B3295">
              <w:rPr>
                <w:rFonts w:ascii="Times New Roman" w:hAnsi="Times New Roman" w:cs="Times New Roman"/>
                <w:sz w:val="24"/>
                <w:szCs w:val="24"/>
                <w:rtl/>
                <w:lang w:eastAsia="fr-FR" w:bidi="ar-SA"/>
              </w:rPr>
              <w:t>المكتب الوطني للمطارات</w:t>
            </w:r>
          </w:p>
        </w:tc>
      </w:tr>
      <w:tr w:rsidR="0002131D" w:rsidRPr="003B3295" w14:paraId="5D06F1CD" w14:textId="77777777" w:rsidTr="006C49DE">
        <w:trPr>
          <w:tblCellSpacing w:w="15" w:type="dxa"/>
          <w:jc w:val="center"/>
        </w:trPr>
        <w:tc>
          <w:tcPr>
            <w:tcW w:w="0" w:type="auto"/>
            <w:vAlign w:val="center"/>
            <w:hideMark/>
          </w:tcPr>
          <w:p w14:paraId="04E1056E" w14:textId="77777777" w:rsidR="0002131D" w:rsidRPr="003B3295" w:rsidRDefault="0002131D" w:rsidP="006C49DE">
            <w:pPr>
              <w:spacing w:after="0" w:line="240" w:lineRule="auto"/>
              <w:rPr>
                <w:rFonts w:ascii="Times New Roman" w:hAnsi="Times New Roman" w:cs="Times New Roman"/>
                <w:sz w:val="24"/>
                <w:szCs w:val="24"/>
                <w:lang w:eastAsia="fr-FR"/>
              </w:rPr>
            </w:pPr>
            <w:r w:rsidRPr="003B3295">
              <w:rPr>
                <w:rFonts w:ascii="Times New Roman" w:hAnsi="Times New Roman" w:cs="Times New Roman"/>
                <w:b/>
                <w:bCs/>
                <w:sz w:val="24"/>
                <w:szCs w:val="24"/>
                <w:rtl/>
                <w:lang w:eastAsia="fr-FR" w:bidi="ar-SA"/>
              </w:rPr>
              <w:lastRenderedPageBreak/>
              <w:t>الوسط الطبيعي</w:t>
            </w:r>
          </w:p>
        </w:tc>
        <w:tc>
          <w:tcPr>
            <w:tcW w:w="0" w:type="auto"/>
            <w:vAlign w:val="center"/>
            <w:hideMark/>
          </w:tcPr>
          <w:p w14:paraId="4799F50C" w14:textId="77777777" w:rsidR="0002131D" w:rsidRPr="003B3295" w:rsidRDefault="0002131D" w:rsidP="006C49DE">
            <w:pPr>
              <w:spacing w:after="0" w:line="240" w:lineRule="auto"/>
              <w:rPr>
                <w:rFonts w:ascii="Times New Roman" w:hAnsi="Times New Roman" w:cs="Times New Roman"/>
                <w:sz w:val="24"/>
                <w:szCs w:val="24"/>
                <w:lang w:eastAsia="fr-FR"/>
              </w:rPr>
            </w:pPr>
            <w:r w:rsidRPr="003B3295">
              <w:rPr>
                <w:rFonts w:ascii="Times New Roman" w:hAnsi="Times New Roman" w:cs="Times New Roman"/>
                <w:sz w:val="24"/>
                <w:szCs w:val="24"/>
                <w:rtl/>
                <w:lang w:eastAsia="fr-FR" w:bidi="ar-SA"/>
              </w:rPr>
              <w:t>مراقبة الغطاء النباتي والمنشآت التجميلية</w:t>
            </w:r>
          </w:p>
        </w:tc>
        <w:tc>
          <w:tcPr>
            <w:tcW w:w="0" w:type="auto"/>
            <w:vAlign w:val="center"/>
            <w:hideMark/>
          </w:tcPr>
          <w:p w14:paraId="785AAE04" w14:textId="77777777" w:rsidR="0002131D" w:rsidRPr="003B3295" w:rsidRDefault="0002131D" w:rsidP="006C49DE">
            <w:pPr>
              <w:spacing w:after="0" w:line="240" w:lineRule="auto"/>
              <w:rPr>
                <w:rFonts w:ascii="Times New Roman" w:hAnsi="Times New Roman" w:cs="Times New Roman"/>
                <w:sz w:val="24"/>
                <w:szCs w:val="24"/>
                <w:lang w:eastAsia="fr-FR"/>
              </w:rPr>
            </w:pPr>
            <w:r w:rsidRPr="003B3295">
              <w:rPr>
                <w:rFonts w:ascii="Times New Roman" w:hAnsi="Times New Roman" w:cs="Times New Roman"/>
                <w:sz w:val="24"/>
                <w:szCs w:val="24"/>
                <w:rtl/>
                <w:lang w:eastAsia="fr-FR" w:bidi="ar-SA"/>
              </w:rPr>
              <w:t>المناطق المشجّرة والمهيأة حول البنية التحتية</w:t>
            </w:r>
          </w:p>
        </w:tc>
        <w:tc>
          <w:tcPr>
            <w:tcW w:w="0" w:type="auto"/>
            <w:vAlign w:val="center"/>
            <w:hideMark/>
          </w:tcPr>
          <w:p w14:paraId="49D2B56E" w14:textId="77777777" w:rsidR="0002131D" w:rsidRPr="003B3295" w:rsidRDefault="0002131D" w:rsidP="006C49DE">
            <w:pPr>
              <w:spacing w:after="0" w:line="240" w:lineRule="auto"/>
              <w:rPr>
                <w:rFonts w:ascii="Times New Roman" w:hAnsi="Times New Roman" w:cs="Times New Roman"/>
                <w:sz w:val="24"/>
                <w:szCs w:val="24"/>
                <w:lang w:eastAsia="fr-FR"/>
              </w:rPr>
            </w:pPr>
            <w:r w:rsidRPr="003B3295">
              <w:rPr>
                <w:rFonts w:ascii="Times New Roman" w:hAnsi="Times New Roman" w:cs="Times New Roman"/>
                <w:sz w:val="24"/>
                <w:szCs w:val="24"/>
                <w:rtl/>
                <w:lang w:eastAsia="fr-FR" w:bidi="ar-SA"/>
              </w:rPr>
              <w:t>معاينة بصرية وصيانة دورية</w:t>
            </w:r>
          </w:p>
        </w:tc>
        <w:tc>
          <w:tcPr>
            <w:tcW w:w="0" w:type="auto"/>
            <w:vAlign w:val="center"/>
            <w:hideMark/>
          </w:tcPr>
          <w:p w14:paraId="33871F0B" w14:textId="77777777" w:rsidR="0002131D" w:rsidRPr="003B3295" w:rsidRDefault="0002131D" w:rsidP="006C49DE">
            <w:pPr>
              <w:spacing w:after="0" w:line="240" w:lineRule="auto"/>
              <w:rPr>
                <w:rFonts w:ascii="Times New Roman" w:hAnsi="Times New Roman" w:cs="Times New Roman"/>
                <w:sz w:val="24"/>
                <w:szCs w:val="24"/>
                <w:lang w:eastAsia="fr-FR"/>
              </w:rPr>
            </w:pPr>
            <w:r w:rsidRPr="003B3295">
              <w:rPr>
                <w:rFonts w:ascii="Times New Roman" w:hAnsi="Times New Roman" w:cs="Times New Roman"/>
                <w:sz w:val="24"/>
                <w:szCs w:val="24"/>
                <w:rtl/>
                <w:lang w:eastAsia="fr-FR" w:bidi="ar-SA"/>
              </w:rPr>
              <w:t>نصف سنوية</w:t>
            </w:r>
          </w:p>
        </w:tc>
        <w:tc>
          <w:tcPr>
            <w:tcW w:w="0" w:type="auto"/>
            <w:vAlign w:val="center"/>
            <w:hideMark/>
          </w:tcPr>
          <w:p w14:paraId="61BEB9EB" w14:textId="77777777" w:rsidR="0002131D" w:rsidRPr="003B3295" w:rsidRDefault="0002131D" w:rsidP="006C49DE">
            <w:pPr>
              <w:spacing w:after="0" w:line="240" w:lineRule="auto"/>
              <w:rPr>
                <w:rFonts w:ascii="Times New Roman" w:hAnsi="Times New Roman" w:cs="Times New Roman"/>
                <w:sz w:val="24"/>
                <w:szCs w:val="24"/>
                <w:lang w:eastAsia="fr-FR"/>
              </w:rPr>
            </w:pPr>
            <w:r w:rsidRPr="003B3295">
              <w:rPr>
                <w:rFonts w:ascii="Times New Roman" w:hAnsi="Times New Roman" w:cs="Times New Roman"/>
                <w:sz w:val="24"/>
                <w:szCs w:val="24"/>
                <w:rtl/>
                <w:lang w:eastAsia="fr-FR" w:bidi="ar-SA"/>
              </w:rPr>
              <w:t>الحفاظ على الجمالية ومنع جذب الطيور أو تشويشها</w:t>
            </w:r>
          </w:p>
        </w:tc>
        <w:tc>
          <w:tcPr>
            <w:tcW w:w="0" w:type="auto"/>
            <w:vAlign w:val="center"/>
            <w:hideMark/>
          </w:tcPr>
          <w:p w14:paraId="6CEF4CCD" w14:textId="77777777" w:rsidR="0002131D" w:rsidRPr="003B3295" w:rsidRDefault="0002131D" w:rsidP="006C49DE">
            <w:pPr>
              <w:spacing w:after="0" w:line="240" w:lineRule="auto"/>
              <w:rPr>
                <w:rFonts w:ascii="Times New Roman" w:hAnsi="Times New Roman" w:cs="Times New Roman"/>
                <w:sz w:val="24"/>
                <w:szCs w:val="24"/>
                <w:lang w:eastAsia="fr-FR"/>
              </w:rPr>
            </w:pPr>
            <w:r w:rsidRPr="003B3295">
              <w:rPr>
                <w:rFonts w:ascii="Times New Roman" w:hAnsi="Times New Roman" w:cs="Times New Roman"/>
                <w:sz w:val="24"/>
                <w:szCs w:val="24"/>
                <w:rtl/>
                <w:lang w:eastAsia="fr-FR" w:bidi="ar-SA"/>
              </w:rPr>
              <w:t>ميزانية استغلال المكتب الوطني للمطارات</w:t>
            </w:r>
          </w:p>
        </w:tc>
        <w:tc>
          <w:tcPr>
            <w:tcW w:w="0" w:type="auto"/>
            <w:vAlign w:val="center"/>
            <w:hideMark/>
          </w:tcPr>
          <w:p w14:paraId="33624BE9" w14:textId="77777777" w:rsidR="0002131D" w:rsidRPr="003B3295" w:rsidRDefault="0002131D" w:rsidP="006C49DE">
            <w:pPr>
              <w:spacing w:after="0" w:line="240" w:lineRule="auto"/>
              <w:rPr>
                <w:rFonts w:ascii="Times New Roman" w:hAnsi="Times New Roman" w:cs="Times New Roman"/>
                <w:sz w:val="24"/>
                <w:szCs w:val="24"/>
                <w:lang w:eastAsia="fr-FR"/>
              </w:rPr>
            </w:pPr>
            <w:r w:rsidRPr="003B3295">
              <w:rPr>
                <w:rFonts w:ascii="Times New Roman" w:hAnsi="Times New Roman" w:cs="Times New Roman"/>
                <w:sz w:val="24"/>
                <w:szCs w:val="24"/>
                <w:rtl/>
                <w:lang w:eastAsia="fr-FR" w:bidi="ar-SA"/>
              </w:rPr>
              <w:t>المكتب الوطني للمطارات</w:t>
            </w:r>
          </w:p>
        </w:tc>
      </w:tr>
    </w:tbl>
    <w:p w14:paraId="450D1B4B" w14:textId="201C1C0A" w:rsidR="00183815" w:rsidRDefault="00183815" w:rsidP="000048F7">
      <w:pPr>
        <w:rPr>
          <w:rFonts w:ascii="Arial"/>
          <w:rtl/>
        </w:rPr>
      </w:pPr>
    </w:p>
    <w:p w14:paraId="716C5D88" w14:textId="19A72377" w:rsidR="00183815" w:rsidRDefault="00183815" w:rsidP="000048F7">
      <w:pPr>
        <w:rPr>
          <w:rFonts w:ascii="Arial"/>
          <w:rtl/>
        </w:rPr>
      </w:pPr>
    </w:p>
    <w:p w14:paraId="3C085416" w14:textId="3B3CAB20" w:rsidR="00183815" w:rsidRDefault="00183815" w:rsidP="000048F7">
      <w:pPr>
        <w:rPr>
          <w:rFonts w:ascii="Arial"/>
          <w:rtl/>
        </w:rPr>
      </w:pPr>
    </w:p>
    <w:p w14:paraId="423767F8" w14:textId="77777777" w:rsidR="00183815" w:rsidRDefault="00183815" w:rsidP="000048F7">
      <w:pPr>
        <w:sectPr w:rsidR="00183815" w:rsidSect="00183815">
          <w:pgSz w:w="16838" w:h="11906" w:orient="landscape"/>
          <w:pgMar w:top="1417" w:right="1276" w:bottom="1417" w:left="1417" w:header="680" w:footer="680" w:gutter="0"/>
          <w:cols w:space="708"/>
          <w:docGrid w:linePitch="360"/>
        </w:sectPr>
      </w:pPr>
    </w:p>
    <w:p w14:paraId="52E21369" w14:textId="016AAF5A" w:rsidR="00492F37" w:rsidRPr="00492F37" w:rsidRDefault="00492F37" w:rsidP="00492F37">
      <w:pPr>
        <w:pStyle w:val="Title1"/>
        <w:ind w:left="723"/>
      </w:pPr>
      <w:bookmarkStart w:id="10" w:name="_Toc214025113"/>
      <w:bookmarkStart w:id="11" w:name="_Toc181618962"/>
      <w:bookmarkStart w:id="12" w:name="_Toc215131755"/>
      <w:bookmarkEnd w:id="7"/>
      <w:bookmarkEnd w:id="8"/>
      <w:bookmarkEnd w:id="10"/>
      <w:r>
        <w:lastRenderedPageBreak/>
        <w:t>Résumé exécutif</w:t>
      </w:r>
      <w:bookmarkEnd w:id="12"/>
    </w:p>
    <w:p w14:paraId="799035DD" w14:textId="77777777" w:rsidR="00492F37" w:rsidRPr="00492F37" w:rsidRDefault="00492F37" w:rsidP="00492F37">
      <w:pPr>
        <w:pStyle w:val="Title2"/>
      </w:pPr>
      <w:bookmarkStart w:id="13" w:name="_Toc215131756"/>
      <w:r w:rsidRPr="00492F37">
        <w:t>Description sommaire du projet</w:t>
      </w:r>
      <w:bookmarkEnd w:id="13"/>
    </w:p>
    <w:p w14:paraId="2C6F4A6F" w14:textId="73B3A016" w:rsidR="00492F37" w:rsidRPr="00492F37" w:rsidRDefault="00492F37" w:rsidP="00492F37">
      <w:pPr>
        <w:pStyle w:val="Title3"/>
      </w:pPr>
      <w:bookmarkStart w:id="14" w:name="_Toc215131757"/>
      <w:r w:rsidRPr="00492F37">
        <w:t>But et objectifs spécifiques du projet</w:t>
      </w:r>
      <w:bookmarkEnd w:id="14"/>
    </w:p>
    <w:p w14:paraId="44875493" w14:textId="56337B9C" w:rsidR="00492F37" w:rsidRPr="00A43714" w:rsidRDefault="00492F37" w:rsidP="00A43714">
      <w:r w:rsidRPr="00A43714">
        <w:t xml:space="preserve">Le projet de modernisation et d’extension des infrastructures aéroportuaires de l’aéroport international </w:t>
      </w:r>
      <w:r w:rsidR="00233B08">
        <w:t>Marrakech – Ménara</w:t>
      </w:r>
      <w:r w:rsidRPr="00A43714">
        <w:t xml:space="preserve"> vise à renforcer la capacité opérationnelle, la sécurité et la qualité des services aéroportuaires conformément aux standards de l’Organisation de l’Aviation Civile Internationale (OACI) et à la stratégie nationale de développement du transport aérien du Maroc.</w:t>
      </w:r>
      <w:r w:rsidRPr="00A43714">
        <w:br/>
        <w:t xml:space="preserve">Il s’inscrit dans la dynamique de modernisation du réseau aéroportuaire national initiée par l’Office National des Aéroports (ONDA) afin d’accompagner la croissance du trafic passager et de soutenir le développement économique et touristique de la région </w:t>
      </w:r>
      <w:r w:rsidR="00233B08">
        <w:t>Marrakech – Safi</w:t>
      </w:r>
      <w:r w:rsidRPr="00A43714">
        <w:t>.</w:t>
      </w:r>
    </w:p>
    <w:p w14:paraId="16C4537C" w14:textId="77777777" w:rsidR="00492F37" w:rsidRPr="00492F37" w:rsidRDefault="00492F37" w:rsidP="00492F37">
      <w:r w:rsidRPr="00492F37">
        <w:t>Les objectifs spécifiques du projet sont :</w:t>
      </w:r>
    </w:p>
    <w:p w14:paraId="04C38BD9" w14:textId="3256011E" w:rsidR="00492F37" w:rsidRPr="00492F37" w:rsidRDefault="00492F37" w:rsidP="0001633E">
      <w:pPr>
        <w:numPr>
          <w:ilvl w:val="0"/>
          <w:numId w:val="160"/>
        </w:numPr>
        <w:spacing w:line="240" w:lineRule="auto"/>
      </w:pPr>
      <w:r w:rsidRPr="00492F37">
        <w:rPr>
          <w:b/>
          <w:bCs/>
        </w:rPr>
        <w:t>Augmenter la capacité d’accueil</w:t>
      </w:r>
      <w:r w:rsidRPr="00492F37">
        <w:t xml:space="preserve"> des aéronefs et des passagers</w:t>
      </w:r>
      <w:r w:rsidR="00CE2F99">
        <w:t>, afin d’accompagner la croissance du trafic aérien national et international</w:t>
      </w:r>
      <w:r w:rsidRPr="00492F37">
        <w:t xml:space="preserve"> ;</w:t>
      </w:r>
    </w:p>
    <w:p w14:paraId="5CD8C877" w14:textId="77777777" w:rsidR="00492F37" w:rsidRPr="00492F37" w:rsidRDefault="00492F37" w:rsidP="0001633E">
      <w:pPr>
        <w:numPr>
          <w:ilvl w:val="0"/>
          <w:numId w:val="160"/>
        </w:numPr>
        <w:spacing w:line="240" w:lineRule="auto"/>
      </w:pPr>
      <w:r w:rsidRPr="00492F37">
        <w:rPr>
          <w:b/>
          <w:bCs/>
        </w:rPr>
        <w:t>Améliorer la fluidité des opérations aériennes</w:t>
      </w:r>
      <w:r w:rsidRPr="00492F37">
        <w:t xml:space="preserve"> grâce à l’optimisation du balisage, du stationnement et des voies de circulation ;</w:t>
      </w:r>
    </w:p>
    <w:p w14:paraId="038F65C2" w14:textId="77777777" w:rsidR="00492F37" w:rsidRPr="00492F37" w:rsidRDefault="00492F37" w:rsidP="0001633E">
      <w:pPr>
        <w:numPr>
          <w:ilvl w:val="0"/>
          <w:numId w:val="160"/>
        </w:numPr>
        <w:spacing w:line="240" w:lineRule="auto"/>
      </w:pPr>
      <w:r w:rsidRPr="00492F37">
        <w:rPr>
          <w:b/>
          <w:bCs/>
        </w:rPr>
        <w:t>Moderniser les équipements de sûreté et de sécurité</w:t>
      </w:r>
      <w:r w:rsidRPr="00492F37">
        <w:t xml:space="preserve"> conformément aux normes OACI ;</w:t>
      </w:r>
    </w:p>
    <w:p w14:paraId="2F3F85DD" w14:textId="1FD097ED" w:rsidR="00492F37" w:rsidRPr="00492F37" w:rsidRDefault="00492F37" w:rsidP="0001633E">
      <w:pPr>
        <w:numPr>
          <w:ilvl w:val="0"/>
          <w:numId w:val="160"/>
        </w:numPr>
        <w:spacing w:line="240" w:lineRule="auto"/>
      </w:pPr>
      <w:r w:rsidRPr="00492F37">
        <w:rPr>
          <w:b/>
          <w:bCs/>
        </w:rPr>
        <w:t>Renforcer la durabilité environnementale</w:t>
      </w:r>
      <w:r w:rsidRPr="00492F37">
        <w:t xml:space="preserve"> des installations (éclairage LED, gestion des eaux, contrôle </w:t>
      </w:r>
      <w:r w:rsidR="00C93DDE">
        <w:t xml:space="preserve">rigoureux </w:t>
      </w:r>
      <w:r w:rsidRPr="00492F37">
        <w:t>des nuisances</w:t>
      </w:r>
      <w:r w:rsidR="00C93DDE">
        <w:t xml:space="preserve"> sonores et atmosphériques</w:t>
      </w:r>
      <w:r w:rsidRPr="00492F37">
        <w:t>) ;</w:t>
      </w:r>
    </w:p>
    <w:p w14:paraId="32FF4694" w14:textId="77777777" w:rsidR="00492F37" w:rsidRPr="00492F37" w:rsidRDefault="00492F37" w:rsidP="0001633E">
      <w:pPr>
        <w:numPr>
          <w:ilvl w:val="0"/>
          <w:numId w:val="160"/>
        </w:numPr>
        <w:spacing w:line="240" w:lineRule="auto"/>
      </w:pPr>
      <w:r w:rsidRPr="00492F37">
        <w:rPr>
          <w:b/>
          <w:bCs/>
        </w:rPr>
        <w:t>Créer des opportunités socio-économiques locales</w:t>
      </w:r>
      <w:r w:rsidRPr="00492F37">
        <w:t>, notamment par l’emploi temporaire en phase travaux et la mobilisation d’entreprises locales.</w:t>
      </w:r>
    </w:p>
    <w:p w14:paraId="064366B3" w14:textId="5B7F5D14" w:rsidR="00492F37" w:rsidRPr="00492F37" w:rsidRDefault="00492F37" w:rsidP="00492F37"/>
    <w:p w14:paraId="62C786B7" w14:textId="0B8C592A" w:rsidR="00492F37" w:rsidRPr="00492F37" w:rsidRDefault="00492F37" w:rsidP="00A43714">
      <w:pPr>
        <w:pStyle w:val="Title3"/>
      </w:pPr>
      <w:bookmarkStart w:id="15" w:name="_Toc215131758"/>
      <w:r w:rsidRPr="00492F37">
        <w:t>Composantes et principales activités du projet</w:t>
      </w:r>
      <w:bookmarkEnd w:id="15"/>
    </w:p>
    <w:p w14:paraId="1B880255" w14:textId="77777777" w:rsidR="00492F37" w:rsidRDefault="00492F37" w:rsidP="00492F37">
      <w:r w:rsidRPr="00492F37">
        <w:t>Le projet comprend plusieurs composantes techniques principales :</w:t>
      </w:r>
    </w:p>
    <w:p w14:paraId="3F2C5FA6" w14:textId="6FA5781C" w:rsidR="00A43714" w:rsidRPr="00492F37" w:rsidRDefault="00A43714" w:rsidP="00A43714">
      <w:pPr>
        <w:pStyle w:val="Lgende"/>
        <w:rPr>
          <w:lang w:bidi="en-US"/>
        </w:rPr>
      </w:pPr>
      <w:bookmarkStart w:id="16" w:name="_Toc213404324"/>
      <w:r>
        <w:t xml:space="preserve">Tableau </w:t>
      </w:r>
      <w:r>
        <w:fldChar w:fldCharType="begin"/>
      </w:r>
      <w:r>
        <w:instrText xml:space="preserve"> SEQ Tableau \* ARABIC </w:instrText>
      </w:r>
      <w:r>
        <w:fldChar w:fldCharType="separate"/>
      </w:r>
      <w:r w:rsidR="00274E71">
        <w:rPr>
          <w:noProof/>
        </w:rPr>
        <w:t>1</w:t>
      </w:r>
      <w:r>
        <w:fldChar w:fldCharType="end"/>
      </w:r>
      <w:r>
        <w:rPr>
          <w:lang w:val="fr-FR"/>
        </w:rPr>
        <w:t xml:space="preserve"> : Composantes du projet</w:t>
      </w:r>
      <w:bookmarkEnd w:id="16"/>
    </w:p>
    <w:tbl>
      <w:tblPr>
        <w:tblStyle w:val="TableauGrille1Clair-Accentuation111"/>
        <w:tblW w:w="0" w:type="auto"/>
        <w:tblLook w:val="04A0" w:firstRow="1" w:lastRow="0" w:firstColumn="1" w:lastColumn="0" w:noHBand="0" w:noVBand="1"/>
      </w:tblPr>
      <w:tblGrid>
        <w:gridCol w:w="2387"/>
        <w:gridCol w:w="6675"/>
      </w:tblGrid>
      <w:tr w:rsidR="00492F37" w:rsidRPr="00492F37" w14:paraId="3709A71F" w14:textId="77777777" w:rsidTr="00A4371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4BCE4747" w14:textId="77777777" w:rsidR="00492F37" w:rsidRPr="00492F37" w:rsidRDefault="00492F37" w:rsidP="00A43714">
            <w:pPr>
              <w:jc w:val="left"/>
            </w:pPr>
            <w:r w:rsidRPr="00492F37">
              <w:t>Composante</w:t>
            </w:r>
          </w:p>
        </w:tc>
        <w:tc>
          <w:tcPr>
            <w:tcW w:w="0" w:type="auto"/>
            <w:vAlign w:val="center"/>
            <w:hideMark/>
          </w:tcPr>
          <w:p w14:paraId="439144D0" w14:textId="77777777" w:rsidR="00492F37" w:rsidRPr="00492F37" w:rsidRDefault="00492F37" w:rsidP="00A43714">
            <w:pPr>
              <w:jc w:val="left"/>
              <w:cnfStyle w:val="100000000000" w:firstRow="1" w:lastRow="0" w:firstColumn="0" w:lastColumn="0" w:oddVBand="0" w:evenVBand="0" w:oddHBand="0" w:evenHBand="0" w:firstRowFirstColumn="0" w:firstRowLastColumn="0" w:lastRowFirstColumn="0" w:lastRowLastColumn="0"/>
            </w:pPr>
            <w:r w:rsidRPr="00492F37">
              <w:t>Description / Activités prévues</w:t>
            </w:r>
          </w:p>
        </w:tc>
      </w:tr>
      <w:tr w:rsidR="00492F37" w:rsidRPr="00492F37" w14:paraId="015EE124" w14:textId="77777777" w:rsidTr="00A43714">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085D15A6" w14:textId="77777777" w:rsidR="00492F37" w:rsidRPr="00492F37" w:rsidRDefault="00492F37" w:rsidP="00A43714">
            <w:pPr>
              <w:jc w:val="left"/>
            </w:pPr>
            <w:r w:rsidRPr="00492F37">
              <w:t>Extension du parking avion</w:t>
            </w:r>
          </w:p>
        </w:tc>
        <w:tc>
          <w:tcPr>
            <w:tcW w:w="0" w:type="auto"/>
            <w:vAlign w:val="center"/>
            <w:hideMark/>
          </w:tcPr>
          <w:p w14:paraId="76143C6C" w14:textId="77777777" w:rsidR="00492F37" w:rsidRPr="00492F37" w:rsidRDefault="00492F37" w:rsidP="00A43714">
            <w:pPr>
              <w:jc w:val="left"/>
              <w:cnfStyle w:val="000000000000" w:firstRow="0" w:lastRow="0" w:firstColumn="0" w:lastColumn="0" w:oddVBand="0" w:evenVBand="0" w:oddHBand="0" w:evenHBand="0" w:firstRowFirstColumn="0" w:firstRowLastColumn="0" w:lastRowFirstColumn="0" w:lastRowLastColumn="0"/>
            </w:pPr>
            <w:r w:rsidRPr="00492F37">
              <w:t>Construction et aménagement de nouvelles positions de stationnement pour avions moyen-courriers ; renforcement du revêtement et mise à niveau du système de drainage.</w:t>
            </w:r>
          </w:p>
        </w:tc>
      </w:tr>
      <w:tr w:rsidR="00492F37" w:rsidRPr="00492F37" w14:paraId="0925B91F" w14:textId="77777777" w:rsidTr="00A43714">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2FEFD6C1" w14:textId="37394444" w:rsidR="00492F37" w:rsidRPr="00492F37" w:rsidRDefault="00F738DE" w:rsidP="00A43714">
            <w:pPr>
              <w:jc w:val="left"/>
            </w:pPr>
            <w:r>
              <w:t xml:space="preserve">Taxiways et </w:t>
            </w:r>
            <w:r w:rsidR="00492F37" w:rsidRPr="00492F37">
              <w:t>Voies de circulation aéronautiques</w:t>
            </w:r>
          </w:p>
        </w:tc>
        <w:tc>
          <w:tcPr>
            <w:tcW w:w="0" w:type="auto"/>
            <w:vAlign w:val="center"/>
            <w:hideMark/>
          </w:tcPr>
          <w:p w14:paraId="1F0E7831" w14:textId="77777777" w:rsidR="00492F37" w:rsidRPr="00492F37" w:rsidRDefault="00492F37" w:rsidP="00A43714">
            <w:pPr>
              <w:jc w:val="left"/>
              <w:cnfStyle w:val="000000000000" w:firstRow="0" w:lastRow="0" w:firstColumn="0" w:lastColumn="0" w:oddVBand="0" w:evenVBand="0" w:oddHBand="0" w:evenHBand="0" w:firstRowFirstColumn="0" w:firstRowLastColumn="0" w:lastRowFirstColumn="0" w:lastRowLastColumn="0"/>
            </w:pPr>
            <w:r w:rsidRPr="00492F37">
              <w:t>Réalisation ou réhabilitation des taxiways et raccordements vers les aires de stationnement ; mise en œuvre du balisage lumineux et du marquage réglementaire.</w:t>
            </w:r>
          </w:p>
        </w:tc>
      </w:tr>
      <w:tr w:rsidR="00492F37" w:rsidRPr="00492F37" w14:paraId="54633718" w14:textId="77777777" w:rsidTr="00A43714">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073B96C5" w14:textId="77777777" w:rsidR="00492F37" w:rsidRPr="00492F37" w:rsidRDefault="00492F37" w:rsidP="00A43714">
            <w:pPr>
              <w:jc w:val="left"/>
            </w:pPr>
            <w:r w:rsidRPr="00492F37">
              <w:t>Équipements de sûreté et sécurité</w:t>
            </w:r>
          </w:p>
        </w:tc>
        <w:tc>
          <w:tcPr>
            <w:tcW w:w="0" w:type="auto"/>
            <w:vAlign w:val="center"/>
            <w:hideMark/>
          </w:tcPr>
          <w:p w14:paraId="1413BDC0" w14:textId="77777777" w:rsidR="00492F37" w:rsidRPr="00492F37" w:rsidRDefault="00492F37" w:rsidP="00A43714">
            <w:pPr>
              <w:jc w:val="left"/>
              <w:cnfStyle w:val="000000000000" w:firstRow="0" w:lastRow="0" w:firstColumn="0" w:lastColumn="0" w:oddVBand="0" w:evenVBand="0" w:oddHBand="0" w:evenHBand="0" w:firstRowFirstColumn="0" w:firstRowLastColumn="0" w:lastRowFirstColumn="0" w:lastRowLastColumn="0"/>
            </w:pPr>
            <w:r w:rsidRPr="00492F37">
              <w:t>Installation d’équipements de contrôle de sûreté pour bagages de soute (EDS, RX double vues, ETD) et de cabine (EDS de cabine, body-scans, portiques magnétiques) ; amélioration du système de vidéosurveillance et de détection incendie.</w:t>
            </w:r>
          </w:p>
        </w:tc>
      </w:tr>
      <w:tr w:rsidR="00492F37" w:rsidRPr="00492F37" w14:paraId="332EE724" w14:textId="77777777" w:rsidTr="00A43714">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7D4568B9" w14:textId="77777777" w:rsidR="00492F37" w:rsidRPr="00492F37" w:rsidRDefault="00492F37" w:rsidP="00A43714">
            <w:pPr>
              <w:jc w:val="left"/>
            </w:pPr>
            <w:r w:rsidRPr="00492F37">
              <w:lastRenderedPageBreak/>
              <w:t>Équipements de mobilité interne</w:t>
            </w:r>
          </w:p>
        </w:tc>
        <w:tc>
          <w:tcPr>
            <w:tcW w:w="0" w:type="auto"/>
            <w:vAlign w:val="center"/>
            <w:hideMark/>
          </w:tcPr>
          <w:p w14:paraId="6ACF70FF" w14:textId="77777777" w:rsidR="00492F37" w:rsidRPr="00492F37" w:rsidRDefault="00492F37" w:rsidP="00A43714">
            <w:pPr>
              <w:jc w:val="left"/>
              <w:cnfStyle w:val="000000000000" w:firstRow="0" w:lastRow="0" w:firstColumn="0" w:lastColumn="0" w:oddVBand="0" w:evenVBand="0" w:oddHBand="0" w:evenHBand="0" w:firstRowFirstColumn="0" w:firstRowLastColumn="0" w:lastRowFirstColumn="0" w:lastRowLastColumn="0"/>
            </w:pPr>
            <w:r w:rsidRPr="00492F37">
              <w:t>Installation d’ascenseurs, escalators, trottoirs roulants et couloirs rapides pour le confort des passagers.</w:t>
            </w:r>
          </w:p>
        </w:tc>
      </w:tr>
      <w:tr w:rsidR="00492F37" w:rsidRPr="00492F37" w14:paraId="4D1C6080" w14:textId="77777777" w:rsidTr="00A43714">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29661756" w14:textId="77777777" w:rsidR="00492F37" w:rsidRPr="00492F37" w:rsidRDefault="00492F37" w:rsidP="00A43714">
            <w:pPr>
              <w:jc w:val="left"/>
            </w:pPr>
            <w:r w:rsidRPr="00492F37">
              <w:t>Aménagements du terminal et bâtiments techniques</w:t>
            </w:r>
          </w:p>
        </w:tc>
        <w:tc>
          <w:tcPr>
            <w:tcW w:w="0" w:type="auto"/>
            <w:vAlign w:val="center"/>
            <w:hideMark/>
          </w:tcPr>
          <w:p w14:paraId="4C9A0E1E" w14:textId="77777777" w:rsidR="00492F37" w:rsidRPr="00492F37" w:rsidRDefault="00492F37" w:rsidP="00A43714">
            <w:pPr>
              <w:jc w:val="left"/>
              <w:cnfStyle w:val="000000000000" w:firstRow="0" w:lastRow="0" w:firstColumn="0" w:lastColumn="0" w:oddVBand="0" w:evenVBand="0" w:oddHBand="0" w:evenHBand="0" w:firstRowFirstColumn="0" w:firstRowLastColumn="0" w:lastRowFirstColumn="0" w:lastRowLastColumn="0"/>
            </w:pPr>
            <w:r w:rsidRPr="00492F37">
              <w:t>Travaux de modernisation du terminal existant ; réhabilitation des locaux techniques et création d’espaces annexes pour la maintenance.</w:t>
            </w:r>
          </w:p>
        </w:tc>
      </w:tr>
      <w:tr w:rsidR="00492F37" w:rsidRPr="00492F37" w14:paraId="3D6286C4" w14:textId="77777777" w:rsidTr="00A43714">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54AEF2E7" w14:textId="77777777" w:rsidR="00492F37" w:rsidRPr="00492F37" w:rsidRDefault="00492F37" w:rsidP="00A43714">
            <w:pPr>
              <w:jc w:val="left"/>
            </w:pPr>
            <w:r w:rsidRPr="00492F37">
              <w:t>Infrastructures de support</w:t>
            </w:r>
          </w:p>
        </w:tc>
        <w:tc>
          <w:tcPr>
            <w:tcW w:w="0" w:type="auto"/>
            <w:vAlign w:val="center"/>
            <w:hideMark/>
          </w:tcPr>
          <w:p w14:paraId="56A9710B" w14:textId="77777777" w:rsidR="00492F37" w:rsidRPr="00492F37" w:rsidRDefault="00492F37" w:rsidP="00A43714">
            <w:pPr>
              <w:jc w:val="left"/>
              <w:cnfStyle w:val="000000000000" w:firstRow="0" w:lastRow="0" w:firstColumn="0" w:lastColumn="0" w:oddVBand="0" w:evenVBand="0" w:oddHBand="0" w:evenHBand="0" w:firstRowFirstColumn="0" w:firstRowLastColumn="0" w:lastRowFirstColumn="0" w:lastRowLastColumn="0"/>
            </w:pPr>
            <w:r w:rsidRPr="00492F37">
              <w:t>Réseaux électriques, éclairage par mâts de grande hauteur, assainissement pluvial, dispositifs de gestion des déchets, zones de stockage temporaires et signalisation.</w:t>
            </w:r>
          </w:p>
        </w:tc>
      </w:tr>
    </w:tbl>
    <w:p w14:paraId="07D8E9E5" w14:textId="408BDB1F" w:rsidR="00492F37" w:rsidRPr="00492F37" w:rsidRDefault="00492F37" w:rsidP="00492F37"/>
    <w:p w14:paraId="27919DC1" w14:textId="5CA9EE48" w:rsidR="00492F37" w:rsidRPr="00492F37" w:rsidRDefault="00492F37" w:rsidP="00A43714">
      <w:pPr>
        <w:pStyle w:val="Title3"/>
      </w:pPr>
      <w:bookmarkStart w:id="17" w:name="_Toc215131759"/>
      <w:r w:rsidRPr="00492F37">
        <w:t>Alternatives étudiées</w:t>
      </w:r>
      <w:bookmarkEnd w:id="17"/>
    </w:p>
    <w:p w14:paraId="1A1033A5" w14:textId="77777777" w:rsidR="0092502E" w:rsidRPr="00492F37" w:rsidRDefault="0092502E" w:rsidP="0092502E">
      <w:r w:rsidRPr="005A5B6D">
        <w:t>L’analyse des alternatives a porté sur les options disponibles pour répondre aux besoins de modernisation et d’augmentation de capacité de l’aéroport Marrakech-Ménara, conformément aux exigences environnementales et sociales de la BAD</w:t>
      </w:r>
      <w:r>
        <w:t xml:space="preserve"> </w:t>
      </w:r>
      <w:r w:rsidRPr="00492F37">
        <w:t>:</w:t>
      </w:r>
    </w:p>
    <w:p w14:paraId="7A9A0C64" w14:textId="77777777" w:rsidR="0092502E" w:rsidRDefault="0092502E" w:rsidP="0001633E">
      <w:pPr>
        <w:numPr>
          <w:ilvl w:val="0"/>
          <w:numId w:val="161"/>
        </w:numPr>
      </w:pPr>
      <w:r w:rsidRPr="00492F37">
        <w:rPr>
          <w:b/>
          <w:bCs/>
        </w:rPr>
        <w:t>Scénario “Sans projet”</w:t>
      </w:r>
      <w:r w:rsidRPr="00492F37">
        <w:t xml:space="preserve"> : </w:t>
      </w:r>
      <w:r>
        <w:t>Le maintien des infrastructures actuelles éviterait les impacts temporaires liés aux travaux (poussières, bruit, déchets, consommation de ressources). Cependant, cette option entraînerait rapidement :</w:t>
      </w:r>
    </w:p>
    <w:p w14:paraId="02DA552A" w14:textId="77777777" w:rsidR="0092502E" w:rsidRDefault="0092502E" w:rsidP="0001633E">
      <w:pPr>
        <w:numPr>
          <w:ilvl w:val="1"/>
          <w:numId w:val="161"/>
        </w:numPr>
        <w:tabs>
          <w:tab w:val="clear" w:pos="1440"/>
        </w:tabs>
      </w:pPr>
      <w:r w:rsidRPr="005A5B6D">
        <w:t xml:space="preserve">La saturation du terminal </w:t>
      </w:r>
      <w:r>
        <w:t>et des aires de trafic ;</w:t>
      </w:r>
    </w:p>
    <w:p w14:paraId="0D01D10D" w14:textId="77777777" w:rsidR="0092502E" w:rsidRDefault="0092502E" w:rsidP="0001633E">
      <w:pPr>
        <w:numPr>
          <w:ilvl w:val="1"/>
          <w:numId w:val="161"/>
        </w:numPr>
        <w:tabs>
          <w:tab w:val="clear" w:pos="1440"/>
        </w:tabs>
      </w:pPr>
      <w:r>
        <w:t>Une dégradation du niveau de service ;</w:t>
      </w:r>
    </w:p>
    <w:p w14:paraId="19BD9A52" w14:textId="77777777" w:rsidR="0092502E" w:rsidRDefault="0092502E" w:rsidP="0001633E">
      <w:pPr>
        <w:numPr>
          <w:ilvl w:val="1"/>
          <w:numId w:val="161"/>
        </w:numPr>
        <w:tabs>
          <w:tab w:val="clear" w:pos="1440"/>
        </w:tabs>
      </w:pPr>
      <w:r>
        <w:t>Des limitations opérationnelles et de sûreté ;</w:t>
      </w:r>
    </w:p>
    <w:p w14:paraId="19D607E9" w14:textId="77777777" w:rsidR="0092502E" w:rsidRDefault="0092502E" w:rsidP="0001633E">
      <w:pPr>
        <w:numPr>
          <w:ilvl w:val="1"/>
          <w:numId w:val="161"/>
        </w:numPr>
        <w:tabs>
          <w:tab w:val="clear" w:pos="1440"/>
        </w:tabs>
      </w:pPr>
      <w:r>
        <w:t>Une perte d’attractivité économique pour la région.</w:t>
      </w:r>
    </w:p>
    <w:p w14:paraId="42FA2EDA" w14:textId="77777777" w:rsidR="0092502E" w:rsidRPr="005A5B6D" w:rsidRDefault="0092502E" w:rsidP="0092502E">
      <w:pPr>
        <w:ind w:left="360"/>
      </w:pPr>
      <w:r>
        <w:t>Cette option ne permettrait pas d’atteindre les objectifs nationaux en matière de mobilité aérienne et de développement durable.</w:t>
      </w:r>
    </w:p>
    <w:p w14:paraId="12E4420B" w14:textId="77777777" w:rsidR="0092502E" w:rsidRPr="00492F37" w:rsidRDefault="0092502E" w:rsidP="0001633E">
      <w:pPr>
        <w:numPr>
          <w:ilvl w:val="0"/>
          <w:numId w:val="161"/>
        </w:numPr>
      </w:pPr>
      <w:r>
        <w:rPr>
          <w:b/>
          <w:bCs/>
        </w:rPr>
        <w:t>Alternatives techniques</w:t>
      </w:r>
      <w:r w:rsidRPr="00492F37">
        <w:t xml:space="preserve"> : </w:t>
      </w:r>
      <w:r w:rsidRPr="005A5B6D">
        <w:t>Plusieurs variantes ont été évaluées selon des critères techniques, économiques, environnementaux et sociaux</w:t>
      </w:r>
      <w:r w:rsidRPr="00492F37">
        <w:t>.</w:t>
      </w:r>
    </w:p>
    <w:p w14:paraId="59C65DE3" w14:textId="77777777" w:rsidR="0092502E" w:rsidRDefault="0092502E" w:rsidP="0001633E">
      <w:pPr>
        <w:pStyle w:val="Paragraphedeliste"/>
        <w:numPr>
          <w:ilvl w:val="1"/>
          <w:numId w:val="161"/>
        </w:numPr>
        <w:tabs>
          <w:tab w:val="clear" w:pos="1440"/>
        </w:tabs>
      </w:pPr>
      <w:r>
        <w:t xml:space="preserve">Parkings avions : </w:t>
      </w:r>
    </w:p>
    <w:p w14:paraId="2A0CA8A7" w14:textId="77777777" w:rsidR="0092502E" w:rsidRDefault="0092502E" w:rsidP="0001633E">
      <w:pPr>
        <w:pStyle w:val="Paragraphedeliste"/>
        <w:numPr>
          <w:ilvl w:val="2"/>
          <w:numId w:val="161"/>
        </w:numPr>
        <w:tabs>
          <w:tab w:val="clear" w:pos="2160"/>
        </w:tabs>
      </w:pPr>
      <w:r w:rsidRPr="005A5B6D">
        <w:t>Chaussée rigide (béton) retenue pour sa durabilité, sa faible maintenance et la réduction des travaux de resurfaçage.</w:t>
      </w:r>
    </w:p>
    <w:p w14:paraId="42AEEAAE" w14:textId="77777777" w:rsidR="0092502E" w:rsidRDefault="0092502E" w:rsidP="0001633E">
      <w:pPr>
        <w:pStyle w:val="Paragraphedeliste"/>
        <w:numPr>
          <w:ilvl w:val="2"/>
          <w:numId w:val="161"/>
        </w:numPr>
        <w:tabs>
          <w:tab w:val="clear" w:pos="2160"/>
        </w:tabs>
      </w:pPr>
      <w:r w:rsidRPr="005A5B6D">
        <w:t>Chaussée souple rejetée (durée de vie courte, maintenance fréquente, sensibilité climatique).</w:t>
      </w:r>
    </w:p>
    <w:p w14:paraId="4B6DF126" w14:textId="77777777" w:rsidR="0092502E" w:rsidRDefault="0092502E" w:rsidP="0001633E">
      <w:pPr>
        <w:pStyle w:val="Paragraphedeliste"/>
        <w:numPr>
          <w:ilvl w:val="1"/>
          <w:numId w:val="161"/>
        </w:numPr>
        <w:tabs>
          <w:tab w:val="clear" w:pos="1440"/>
        </w:tabs>
      </w:pPr>
      <w:r>
        <w:t>Taxiways et voies de circulation :</w:t>
      </w:r>
    </w:p>
    <w:p w14:paraId="53C913C6" w14:textId="77777777" w:rsidR="0092502E" w:rsidRDefault="0092502E" w:rsidP="0001633E">
      <w:pPr>
        <w:pStyle w:val="Paragraphedeliste"/>
        <w:numPr>
          <w:ilvl w:val="2"/>
          <w:numId w:val="161"/>
        </w:numPr>
        <w:tabs>
          <w:tab w:val="clear" w:pos="2160"/>
        </w:tabs>
      </w:pPr>
      <w:r w:rsidRPr="005A5B6D">
        <w:t>Chaussée souple retenue, adaptée au roulement des avions et offrant un délai de mise en service plus court.</w:t>
      </w:r>
    </w:p>
    <w:p w14:paraId="64086C04" w14:textId="77777777" w:rsidR="0092502E" w:rsidRDefault="0092502E" w:rsidP="0001633E">
      <w:pPr>
        <w:pStyle w:val="Paragraphedeliste"/>
        <w:numPr>
          <w:ilvl w:val="2"/>
          <w:numId w:val="161"/>
        </w:numPr>
        <w:tabs>
          <w:tab w:val="clear" w:pos="2160"/>
        </w:tabs>
      </w:pPr>
      <w:r w:rsidRPr="005A5B6D">
        <w:t>Chaussée rigide rejetée (coût élevé, mise en œuvre longue, confort de roulement moindre).</w:t>
      </w:r>
    </w:p>
    <w:p w14:paraId="3224D488" w14:textId="77777777" w:rsidR="0092502E" w:rsidRDefault="0092502E" w:rsidP="0001633E">
      <w:pPr>
        <w:pStyle w:val="Paragraphedeliste"/>
        <w:numPr>
          <w:ilvl w:val="1"/>
          <w:numId w:val="161"/>
        </w:numPr>
        <w:tabs>
          <w:tab w:val="clear" w:pos="1440"/>
        </w:tabs>
      </w:pPr>
      <w:r>
        <w:t>Alimentation électrique de l’éclairage et du balisage :</w:t>
      </w:r>
    </w:p>
    <w:p w14:paraId="49FA41A5" w14:textId="77777777" w:rsidR="0092502E" w:rsidRDefault="0092502E" w:rsidP="0001633E">
      <w:pPr>
        <w:pStyle w:val="Paragraphedeliste"/>
        <w:numPr>
          <w:ilvl w:val="2"/>
          <w:numId w:val="161"/>
        </w:numPr>
        <w:tabs>
          <w:tab w:val="clear" w:pos="2160"/>
        </w:tabs>
      </w:pPr>
      <w:r w:rsidRPr="005A5B6D">
        <w:t>Raccordement au réseau interne de l’aéroport retenu pour sa stabilité et son intégration sans emprises additionnelles.</w:t>
      </w:r>
    </w:p>
    <w:p w14:paraId="20B5216C" w14:textId="77777777" w:rsidR="0092502E" w:rsidRDefault="0092502E" w:rsidP="0001633E">
      <w:pPr>
        <w:pStyle w:val="Paragraphedeliste"/>
        <w:numPr>
          <w:ilvl w:val="2"/>
          <w:numId w:val="161"/>
        </w:numPr>
        <w:tabs>
          <w:tab w:val="clear" w:pos="2160"/>
        </w:tabs>
      </w:pPr>
      <w:r w:rsidRPr="005A5B6D">
        <w:lastRenderedPageBreak/>
        <w:t>Système photovoltaïque avec batteries rejeté (besoins fonciers, coûts élevés, impacts environnementaux des batteries, risques de maintenance).</w:t>
      </w:r>
    </w:p>
    <w:p w14:paraId="5FCFF4D7" w14:textId="77777777" w:rsidR="0092502E" w:rsidRDefault="0092502E" w:rsidP="0092502E">
      <w:pPr>
        <w:pStyle w:val="Paragraphedeliste"/>
      </w:pPr>
      <w:r w:rsidRPr="005A5B6D">
        <w:t>Les variantes retenues offrent le meilleur compromis entre performance technique, durabilité, maîtrise des impacts et continuité du service aéroportuaire.</w:t>
      </w:r>
    </w:p>
    <w:p w14:paraId="504AFE5F" w14:textId="77777777" w:rsidR="00816D22" w:rsidRPr="00816D22" w:rsidRDefault="00816D22" w:rsidP="00816D22">
      <w:pPr>
        <w:pStyle w:val="Title2"/>
      </w:pPr>
      <w:bookmarkStart w:id="18" w:name="_Toc214025119"/>
      <w:bookmarkStart w:id="19" w:name="_Toc214025120"/>
      <w:bookmarkStart w:id="20" w:name="_Toc214025121"/>
      <w:bookmarkStart w:id="21" w:name="_Toc214025122"/>
      <w:bookmarkStart w:id="22" w:name="_Toc214025123"/>
      <w:bookmarkStart w:id="23" w:name="_Toc214025124"/>
      <w:bookmarkStart w:id="24" w:name="_Toc215131760"/>
      <w:bookmarkEnd w:id="18"/>
      <w:bookmarkEnd w:id="19"/>
      <w:bookmarkEnd w:id="20"/>
      <w:bookmarkEnd w:id="21"/>
      <w:bookmarkEnd w:id="22"/>
      <w:bookmarkEnd w:id="23"/>
      <w:r w:rsidRPr="00816D22">
        <w:t>Brève description du site du projet et des impacts environnementaux et sociaux majeurs</w:t>
      </w:r>
      <w:bookmarkEnd w:id="24"/>
    </w:p>
    <w:p w14:paraId="680D66EA" w14:textId="114421E6" w:rsidR="00816D22" w:rsidRPr="00816D22" w:rsidRDefault="00816D22" w:rsidP="00816D22">
      <w:pPr>
        <w:pStyle w:val="Title3"/>
      </w:pPr>
      <w:bookmarkStart w:id="25" w:name="_Toc215131761"/>
      <w:r w:rsidRPr="00816D22">
        <w:t>Localisation et contexte général du projet</w:t>
      </w:r>
      <w:bookmarkEnd w:id="25"/>
    </w:p>
    <w:p w14:paraId="24918C20" w14:textId="77087010" w:rsidR="00B17D71" w:rsidRDefault="00B17D71" w:rsidP="00F739DF">
      <w:r>
        <w:t>L’aéroport international Marrakech-Ménara est situé au sud-ouest du centre-ville de Marrakech, dans la commune urbaine de Ménara, relevant de la préfecture de Marrakech, région Marrakech-Safi. Il s’étend sur une superficie d’environ 510 hectares, en zone urbaine et périurbaine, à proximité immédiate des grands axes reliant Marrakech à Agadir, Essaouira et Safi.</w:t>
      </w:r>
    </w:p>
    <w:p w14:paraId="2A166D08" w14:textId="73EAD111" w:rsidR="00B17D71" w:rsidRDefault="00B17D71" w:rsidP="00F739DF">
      <w:r>
        <w:t xml:space="preserve">L’accès principal à la plateforme aéroportuaire s’effectue par la Route </w:t>
      </w:r>
      <w:r w:rsidR="007F1933">
        <w:t>RR212</w:t>
      </w:r>
      <w:r>
        <w:t>, axes structurants du réseau routier de la ville.</w:t>
      </w:r>
    </w:p>
    <w:p w14:paraId="6D3B1A71" w14:textId="7911A0C3" w:rsidR="00B17D71" w:rsidRDefault="00B17D71" w:rsidP="00F739DF">
      <w:r>
        <w:t>L’environnement immédiat de l’aéroport présente une vocation mixte urbaine, touristique et résidentielle, marquée par la présence d’hôtels, de zones vertes et de quartiers résidentiels récents. La zone sud-ouest demeure partiellement non urbanisée, avec quelques terrains nus ou faiblement végétalisés.</w:t>
      </w:r>
    </w:p>
    <w:p w14:paraId="4B6ED41F" w14:textId="23031719" w:rsidR="00816D22" w:rsidRPr="00816D22" w:rsidRDefault="00B17D71" w:rsidP="00B17D71">
      <w:r>
        <w:t>Aucun habitat dense n’est situé dans l’emprise directe de l’aéroport ; les quartiers les plus proches sont</w:t>
      </w:r>
      <w:r w:rsidR="007F1933">
        <w:t xml:space="preserve"> Bouakkaz et</w:t>
      </w:r>
      <w:r>
        <w:t xml:space="preserve"> M’Hamid, localisés à plus de 1 km des limites du domaine aéroportuaire</w:t>
      </w:r>
      <w:r w:rsidR="00816D22" w:rsidRPr="00816D22">
        <w:t>.</w:t>
      </w:r>
    </w:p>
    <w:p w14:paraId="75CC85F2" w14:textId="77777777" w:rsidR="00816D22" w:rsidRPr="00816D22" w:rsidRDefault="0072072F" w:rsidP="00816D22">
      <w:r>
        <w:rPr>
          <w:noProof/>
        </w:rPr>
        <w:pict w14:anchorId="2276289F">
          <v:rect id="_x0000_i1025" style="width:0;height:1.5pt" o:hralign="center" o:hrstd="t" o:hr="t" fillcolor="#a0a0a0" stroked="f"/>
        </w:pict>
      </w:r>
    </w:p>
    <w:p w14:paraId="423B8934" w14:textId="74E392C8" w:rsidR="00816D22" w:rsidRDefault="00816D22" w:rsidP="00816D22">
      <w:pPr>
        <w:pStyle w:val="Title3"/>
      </w:pPr>
      <w:bookmarkStart w:id="26" w:name="_Toc215131762"/>
      <w:r w:rsidRPr="00816D22">
        <w:t>Environnement biophysique et composantes valorisées</w:t>
      </w:r>
      <w:bookmarkEnd w:id="26"/>
    </w:p>
    <w:p w14:paraId="4C1E3309" w14:textId="6081878F" w:rsidR="00816D22" w:rsidRPr="00816D22" w:rsidRDefault="00816D22" w:rsidP="00816D22">
      <w:pPr>
        <w:pStyle w:val="Lgende"/>
        <w:rPr>
          <w:lang w:val="fr-FR" w:bidi="en-US"/>
        </w:rPr>
      </w:pPr>
      <w:bookmarkStart w:id="27" w:name="_Toc213404325"/>
      <w:r>
        <w:t xml:space="preserve">Tableau </w:t>
      </w:r>
      <w:r>
        <w:fldChar w:fldCharType="begin"/>
      </w:r>
      <w:r>
        <w:instrText xml:space="preserve"> SEQ Tableau \* ARABIC </w:instrText>
      </w:r>
      <w:r>
        <w:fldChar w:fldCharType="separate"/>
      </w:r>
      <w:r w:rsidR="00274E71">
        <w:rPr>
          <w:noProof/>
        </w:rPr>
        <w:t>2</w:t>
      </w:r>
      <w:r>
        <w:fldChar w:fldCharType="end"/>
      </w:r>
      <w:r>
        <w:rPr>
          <w:lang w:val="fr-FR"/>
        </w:rPr>
        <w:t xml:space="preserve"> : </w:t>
      </w:r>
      <w:r w:rsidRPr="00816D22">
        <w:t>Environnement biophysique</w:t>
      </w:r>
      <w:r>
        <w:rPr>
          <w:lang w:val="fr-FR"/>
        </w:rPr>
        <w:t xml:space="preserve"> du site du projet</w:t>
      </w:r>
      <w:bookmarkEnd w:id="27"/>
    </w:p>
    <w:tbl>
      <w:tblPr>
        <w:tblStyle w:val="TableauGrille1Clair-Accentuation111"/>
        <w:tblW w:w="0" w:type="auto"/>
        <w:tblLook w:val="04A0" w:firstRow="1" w:lastRow="0" w:firstColumn="1" w:lastColumn="0" w:noHBand="0" w:noVBand="1"/>
      </w:tblPr>
      <w:tblGrid>
        <w:gridCol w:w="1519"/>
        <w:gridCol w:w="7543"/>
      </w:tblGrid>
      <w:tr w:rsidR="00816D22" w:rsidRPr="00816D22" w14:paraId="712AC4F2" w14:textId="77777777" w:rsidTr="00816D2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010B6623" w14:textId="77777777" w:rsidR="00816D22" w:rsidRPr="00816D22" w:rsidRDefault="00816D22" w:rsidP="00816D22">
            <w:pPr>
              <w:jc w:val="left"/>
            </w:pPr>
            <w:r w:rsidRPr="00816D22">
              <w:t>Composante</w:t>
            </w:r>
          </w:p>
        </w:tc>
        <w:tc>
          <w:tcPr>
            <w:tcW w:w="0" w:type="auto"/>
            <w:vAlign w:val="center"/>
            <w:hideMark/>
          </w:tcPr>
          <w:p w14:paraId="2D5A02D1" w14:textId="77777777" w:rsidR="00816D22" w:rsidRPr="00816D22" w:rsidRDefault="00816D22" w:rsidP="00816D22">
            <w:pPr>
              <w:jc w:val="left"/>
              <w:cnfStyle w:val="100000000000" w:firstRow="1" w:lastRow="0" w:firstColumn="0" w:lastColumn="0" w:oddVBand="0" w:evenVBand="0" w:oddHBand="0" w:evenHBand="0" w:firstRowFirstColumn="0" w:firstRowLastColumn="0" w:lastRowFirstColumn="0" w:lastRowLastColumn="0"/>
            </w:pPr>
            <w:r w:rsidRPr="00816D22">
              <w:t>État initial et caractéristiques principales</w:t>
            </w:r>
          </w:p>
        </w:tc>
      </w:tr>
      <w:tr w:rsidR="00816D22" w:rsidRPr="00816D22" w14:paraId="1AB98DC5" w14:textId="77777777" w:rsidTr="00816D22">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10D26606" w14:textId="77777777" w:rsidR="00816D22" w:rsidRPr="00816D22" w:rsidRDefault="00816D22" w:rsidP="00816D22">
            <w:pPr>
              <w:jc w:val="left"/>
            </w:pPr>
            <w:r w:rsidRPr="00816D22">
              <w:t>Climat et air ambiant</w:t>
            </w:r>
          </w:p>
        </w:tc>
        <w:tc>
          <w:tcPr>
            <w:tcW w:w="0" w:type="auto"/>
            <w:vAlign w:val="center"/>
            <w:hideMark/>
          </w:tcPr>
          <w:p w14:paraId="72A0B7D6" w14:textId="77777777" w:rsidR="00816D22" w:rsidRPr="00816D22" w:rsidRDefault="00816D22" w:rsidP="00816D22">
            <w:pPr>
              <w:jc w:val="left"/>
              <w:cnfStyle w:val="000000000000" w:firstRow="0" w:lastRow="0" w:firstColumn="0" w:lastColumn="0" w:oddVBand="0" w:evenVBand="0" w:oddHBand="0" w:evenHBand="0" w:firstRowFirstColumn="0" w:firstRowLastColumn="0" w:lastRowFirstColumn="0" w:lastRowLastColumn="0"/>
            </w:pPr>
            <w:r w:rsidRPr="00816D22">
              <w:t>Climat semi-aride chaud, avec vents dominants d’ouest à nord-ouest ; la qualité de l’air est globalement bonne selon les mesures réalisées par NOVEC (rapport 2024). Les concentrations en NO₂ et PM₁₀ restent en-deçà des normes marocaines (Décret 2-09-286).</w:t>
            </w:r>
          </w:p>
        </w:tc>
      </w:tr>
      <w:tr w:rsidR="00816D22" w:rsidRPr="00816D22" w14:paraId="56345256" w14:textId="77777777" w:rsidTr="00816D22">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5B809050" w14:textId="77777777" w:rsidR="00816D22" w:rsidRPr="00816D22" w:rsidRDefault="00816D22" w:rsidP="00816D22">
            <w:pPr>
              <w:jc w:val="left"/>
            </w:pPr>
            <w:r w:rsidRPr="00816D22">
              <w:t>Sols et eaux de surface</w:t>
            </w:r>
          </w:p>
        </w:tc>
        <w:tc>
          <w:tcPr>
            <w:tcW w:w="0" w:type="auto"/>
            <w:vAlign w:val="center"/>
            <w:hideMark/>
          </w:tcPr>
          <w:p w14:paraId="6E2D2D6B" w14:textId="275A41F7" w:rsidR="00816D22" w:rsidRPr="00816D22" w:rsidRDefault="00816D22" w:rsidP="00816D22">
            <w:pPr>
              <w:jc w:val="left"/>
              <w:cnfStyle w:val="000000000000" w:firstRow="0" w:lastRow="0" w:firstColumn="0" w:lastColumn="0" w:oddVBand="0" w:evenVBand="0" w:oddHBand="0" w:evenHBand="0" w:firstRowFirstColumn="0" w:firstRowLastColumn="0" w:lastRowFirstColumn="0" w:lastRowLastColumn="0"/>
            </w:pPr>
            <w:r w:rsidRPr="00816D22">
              <w:t>Sols sablo-</w:t>
            </w:r>
            <w:r w:rsidR="00F4206C">
              <w:t>argileux</w:t>
            </w:r>
            <w:r w:rsidRPr="00816D22">
              <w:t xml:space="preserve"> à structure fragile ; absence d’écoulements permanents ; drainage pluvial orienté vers des exutoires artificiels internes au site. Risque modéré d’érosion localisée lors des travaux de terrassement.</w:t>
            </w:r>
          </w:p>
        </w:tc>
      </w:tr>
      <w:tr w:rsidR="00816D22" w:rsidRPr="00816D22" w14:paraId="65279D47" w14:textId="77777777" w:rsidTr="00816D22">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30479FCF" w14:textId="77777777" w:rsidR="00816D22" w:rsidRPr="00816D22" w:rsidRDefault="00816D22" w:rsidP="00816D22">
            <w:pPr>
              <w:jc w:val="left"/>
            </w:pPr>
            <w:r w:rsidRPr="00816D22">
              <w:t>Biodiversité terrestre</w:t>
            </w:r>
          </w:p>
        </w:tc>
        <w:tc>
          <w:tcPr>
            <w:tcW w:w="0" w:type="auto"/>
            <w:vAlign w:val="center"/>
            <w:hideMark/>
          </w:tcPr>
          <w:p w14:paraId="46CA97A0" w14:textId="05E3C74C" w:rsidR="00816D22" w:rsidRPr="00816D22" w:rsidRDefault="00816D22" w:rsidP="00816D22">
            <w:pPr>
              <w:jc w:val="left"/>
              <w:cnfStyle w:val="000000000000" w:firstRow="0" w:lastRow="0" w:firstColumn="0" w:lastColumn="0" w:oddVBand="0" w:evenVBand="0" w:oddHBand="0" w:evenHBand="0" w:firstRowFirstColumn="0" w:firstRowLastColumn="0" w:lastRowFirstColumn="0" w:lastRowLastColumn="0"/>
            </w:pPr>
            <w:r w:rsidRPr="00816D22">
              <w:t>Environnement déjà anthropisé et dépourvu de formations végétales naturelles significatives. Végétation rudérale et steppique basse</w:t>
            </w:r>
            <w:r w:rsidR="00DA29CD">
              <w:t xml:space="preserve">. </w:t>
            </w:r>
            <w:r w:rsidRPr="00816D22">
              <w:t>Absence d’espèces menacées ou protégées recensées sur le périmètre direct.</w:t>
            </w:r>
          </w:p>
        </w:tc>
      </w:tr>
      <w:tr w:rsidR="00816D22" w:rsidRPr="00816D22" w14:paraId="0FDFAE93" w14:textId="77777777" w:rsidTr="00816D22">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3BC9A9EC" w14:textId="77777777" w:rsidR="00816D22" w:rsidRPr="00816D22" w:rsidRDefault="00816D22" w:rsidP="00816D22">
            <w:pPr>
              <w:jc w:val="left"/>
            </w:pPr>
            <w:r w:rsidRPr="00816D22">
              <w:t>Paysage</w:t>
            </w:r>
          </w:p>
        </w:tc>
        <w:tc>
          <w:tcPr>
            <w:tcW w:w="0" w:type="auto"/>
            <w:vAlign w:val="center"/>
            <w:hideMark/>
          </w:tcPr>
          <w:p w14:paraId="4288A99C" w14:textId="77777777" w:rsidR="00816D22" w:rsidRPr="00816D22" w:rsidRDefault="00816D22" w:rsidP="00816D22">
            <w:pPr>
              <w:jc w:val="left"/>
              <w:cnfStyle w:val="000000000000" w:firstRow="0" w:lastRow="0" w:firstColumn="0" w:lastColumn="0" w:oddVBand="0" w:evenVBand="0" w:oddHBand="0" w:evenHBand="0" w:firstRowFirstColumn="0" w:firstRowLastColumn="0" w:lastRowFirstColumn="0" w:lastRowLastColumn="0"/>
            </w:pPr>
            <w:r w:rsidRPr="00816D22">
              <w:t>Paysage aéroportuaire fonctionnel inséré dans une plaine ouverte ; visibilité limitée depuis les axes principaux. Sensibilité visuelle faible à moyenne.</w:t>
            </w:r>
          </w:p>
        </w:tc>
      </w:tr>
      <w:tr w:rsidR="00816D22" w:rsidRPr="00816D22" w14:paraId="0E0DA9EB" w14:textId="77777777" w:rsidTr="00816D22">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1338FC45" w14:textId="77777777" w:rsidR="00816D22" w:rsidRPr="00816D22" w:rsidRDefault="00816D22" w:rsidP="00816D22">
            <w:pPr>
              <w:jc w:val="left"/>
            </w:pPr>
            <w:r w:rsidRPr="00816D22">
              <w:lastRenderedPageBreak/>
              <w:t>Bruit ambiant</w:t>
            </w:r>
          </w:p>
        </w:tc>
        <w:tc>
          <w:tcPr>
            <w:tcW w:w="0" w:type="auto"/>
            <w:vAlign w:val="center"/>
            <w:hideMark/>
          </w:tcPr>
          <w:p w14:paraId="0C32A5C2" w14:textId="77777777" w:rsidR="00816D22" w:rsidRPr="00816D22" w:rsidRDefault="00816D22" w:rsidP="00816D22">
            <w:pPr>
              <w:jc w:val="left"/>
              <w:cnfStyle w:val="000000000000" w:firstRow="0" w:lastRow="0" w:firstColumn="0" w:lastColumn="0" w:oddVBand="0" w:evenVBand="0" w:oddHBand="0" w:evenHBand="0" w:firstRowFirstColumn="0" w:firstRowLastColumn="0" w:lastRowFirstColumn="0" w:lastRowLastColumn="0"/>
            </w:pPr>
            <w:r w:rsidRPr="00816D22">
              <w:t>Bruit de fond dominé par le trafic aérien et routier ; niveaux mesurés en 2024 conformes à la norme marocaine N.M. 03.7.001.</w:t>
            </w:r>
          </w:p>
        </w:tc>
      </w:tr>
      <w:tr w:rsidR="00816D22" w:rsidRPr="00816D22" w14:paraId="509DEB15" w14:textId="77777777" w:rsidTr="00816D22">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3D3C56D1" w14:textId="77777777" w:rsidR="00816D22" w:rsidRPr="00816D22" w:rsidRDefault="00816D22" w:rsidP="00816D22">
            <w:pPr>
              <w:jc w:val="left"/>
            </w:pPr>
            <w:r w:rsidRPr="00816D22">
              <w:t>Occupation du sol</w:t>
            </w:r>
          </w:p>
        </w:tc>
        <w:tc>
          <w:tcPr>
            <w:tcW w:w="0" w:type="auto"/>
            <w:vAlign w:val="center"/>
            <w:hideMark/>
          </w:tcPr>
          <w:p w14:paraId="4EDB5D7A" w14:textId="77777777" w:rsidR="00816D22" w:rsidRPr="00816D22" w:rsidRDefault="00816D22" w:rsidP="00816D22">
            <w:pPr>
              <w:jc w:val="left"/>
              <w:cnfStyle w:val="000000000000" w:firstRow="0" w:lastRow="0" w:firstColumn="0" w:lastColumn="0" w:oddVBand="0" w:evenVBand="0" w:oddHBand="0" w:evenHBand="0" w:firstRowFirstColumn="0" w:firstRowLastColumn="0" w:lastRowFirstColumn="0" w:lastRowLastColumn="0"/>
            </w:pPr>
            <w:r w:rsidRPr="00816D22">
              <w:t>Zone domaniale clôturée ; emprises déjà consacrées aux infrastructures aéroportuaires. Absence d’expropriations prévues.</w:t>
            </w:r>
          </w:p>
        </w:tc>
      </w:tr>
    </w:tbl>
    <w:p w14:paraId="555075B2" w14:textId="5C5268BD" w:rsidR="00816D22" w:rsidRPr="00816D22" w:rsidRDefault="00816D22" w:rsidP="00816D22"/>
    <w:p w14:paraId="0AC00B2E" w14:textId="02FB8E73" w:rsidR="00816D22" w:rsidRPr="00816D22" w:rsidRDefault="00816D22" w:rsidP="00816D22">
      <w:pPr>
        <w:pStyle w:val="Title3"/>
      </w:pPr>
      <w:bookmarkStart w:id="28" w:name="_Toc215131763"/>
      <w:r w:rsidRPr="00816D22">
        <w:t>Contexte humain et social</w:t>
      </w:r>
      <w:bookmarkEnd w:id="28"/>
    </w:p>
    <w:p w14:paraId="04798B34" w14:textId="44A1A1D8" w:rsidR="00816D22" w:rsidRPr="00816D22" w:rsidRDefault="00816D22" w:rsidP="00816D22">
      <w:r w:rsidRPr="00816D22">
        <w:t xml:space="preserve">La commune de </w:t>
      </w:r>
      <w:r w:rsidR="00DA29CD">
        <w:t>Ménara</w:t>
      </w:r>
      <w:r w:rsidRPr="00816D22">
        <w:t xml:space="preserve"> compte environ </w:t>
      </w:r>
      <w:r w:rsidR="004B4F6D">
        <w:t xml:space="preserve">519 </w:t>
      </w:r>
      <w:r w:rsidR="00EE2E8C">
        <w:t>433</w:t>
      </w:r>
      <w:r w:rsidRPr="00816D22">
        <w:t xml:space="preserve"> habitants (RGPH 2024), avec une population majoritairement jeune et active dans les secteurs du commerce, des services et de l’agriculture.</w:t>
      </w:r>
      <w:r w:rsidRPr="00816D22">
        <w:br/>
        <w:t xml:space="preserve">Le taux d’activité est estimé à </w:t>
      </w:r>
      <w:r w:rsidR="00EE2E8C">
        <w:t>44,4</w:t>
      </w:r>
      <w:r w:rsidRPr="00816D22">
        <w:t xml:space="preserve"> %, avec un taux de chômage avoisinant </w:t>
      </w:r>
      <w:r w:rsidR="001D0685">
        <w:t>18,3</w:t>
      </w:r>
      <w:r w:rsidRPr="00816D22">
        <w:t xml:space="preserve"> %. Les indicateurs d’accès aux services de base (eau, électricité, santé, éducation) sont globalement satisfaisants, bien que les localités rurales périphériques présentent une vulnérabilité moyenne.</w:t>
      </w:r>
    </w:p>
    <w:p w14:paraId="45DDF2CD" w14:textId="77777777" w:rsidR="00816D22" w:rsidRPr="00816D22" w:rsidRDefault="00816D22" w:rsidP="00816D22">
      <w:r w:rsidRPr="00816D22">
        <w:t>Les populations locales identifiées comme récepteurs sensibles sont :</w:t>
      </w:r>
    </w:p>
    <w:p w14:paraId="6EB8830D" w14:textId="7901A436" w:rsidR="00816D22" w:rsidRPr="00816D22" w:rsidRDefault="00125ED2" w:rsidP="0001633E">
      <w:pPr>
        <w:numPr>
          <w:ilvl w:val="0"/>
          <w:numId w:val="162"/>
        </w:numPr>
        <w:spacing w:line="240" w:lineRule="auto"/>
      </w:pPr>
      <w:r w:rsidRPr="00816D22">
        <w:t>Les</w:t>
      </w:r>
      <w:r w:rsidR="00816D22" w:rsidRPr="00816D22">
        <w:t xml:space="preserve"> habitants </w:t>
      </w:r>
      <w:r w:rsidR="001D0685">
        <w:t>de Bouakkaz</w:t>
      </w:r>
      <w:r w:rsidR="00816D22" w:rsidRPr="00816D22">
        <w:t xml:space="preserve"> (exposés au trafic routier et aux nuisances sonores) ;</w:t>
      </w:r>
    </w:p>
    <w:p w14:paraId="37888F19" w14:textId="14F4DD36" w:rsidR="00816D22" w:rsidRPr="00816D22" w:rsidRDefault="00125ED2" w:rsidP="0001633E">
      <w:pPr>
        <w:numPr>
          <w:ilvl w:val="0"/>
          <w:numId w:val="162"/>
        </w:numPr>
        <w:spacing w:line="240" w:lineRule="auto"/>
      </w:pPr>
      <w:r w:rsidRPr="00816D22">
        <w:t>Les</w:t>
      </w:r>
      <w:r w:rsidR="00816D22" w:rsidRPr="00816D22">
        <w:t xml:space="preserve"> travailleurs de l’aéroport (exposés aux risques professionnels, bruit et air ambiant) ;</w:t>
      </w:r>
    </w:p>
    <w:p w14:paraId="0CE671D9" w14:textId="26CE8705" w:rsidR="00816D22" w:rsidRPr="00816D22" w:rsidRDefault="00125ED2" w:rsidP="0001633E">
      <w:pPr>
        <w:numPr>
          <w:ilvl w:val="0"/>
          <w:numId w:val="162"/>
        </w:numPr>
        <w:spacing w:line="240" w:lineRule="auto"/>
      </w:pPr>
      <w:r w:rsidRPr="00816D22">
        <w:t>Les</w:t>
      </w:r>
      <w:r w:rsidR="00816D22" w:rsidRPr="00816D22">
        <w:t xml:space="preserve"> femmes et jeunes de la commune (groupes potentiellement vulnérables du point de vue socio-économique).</w:t>
      </w:r>
    </w:p>
    <w:p w14:paraId="7FAA5B68" w14:textId="2CD5A3CD" w:rsidR="00816D22" w:rsidRPr="00816D22" w:rsidRDefault="00816D22" w:rsidP="00816D22"/>
    <w:p w14:paraId="4581B338" w14:textId="77ECBEED" w:rsidR="00816D22" w:rsidRPr="00816D22" w:rsidRDefault="00816D22" w:rsidP="00C355E5">
      <w:pPr>
        <w:pStyle w:val="Title3"/>
      </w:pPr>
      <w:bookmarkStart w:id="29" w:name="_Toc215131764"/>
      <w:r w:rsidRPr="00816D22">
        <w:t>Impacts environnementaux et sociaux majeurs anticipés</w:t>
      </w:r>
      <w:bookmarkEnd w:id="29"/>
    </w:p>
    <w:p w14:paraId="1BC550B9" w14:textId="77777777" w:rsidR="00816D22" w:rsidRPr="00816D22" w:rsidRDefault="00816D22" w:rsidP="00816D22">
      <w:r w:rsidRPr="00816D22">
        <w:t>Les analyses de l’EIES ont permis d’identifier les impacts significatifs suivants :</w:t>
      </w:r>
    </w:p>
    <w:p w14:paraId="7BB699D4" w14:textId="77777777" w:rsidR="00816D22" w:rsidRPr="00816D22" w:rsidRDefault="00816D22" w:rsidP="00816D22">
      <w:pPr>
        <w:rPr>
          <w:b/>
          <w:bCs/>
        </w:rPr>
      </w:pPr>
      <w:r w:rsidRPr="00816D22">
        <w:rPr>
          <w:b/>
          <w:bCs/>
        </w:rPr>
        <w:t>Phase de construction</w:t>
      </w:r>
    </w:p>
    <w:p w14:paraId="273844F1" w14:textId="77777777" w:rsidR="00816D22" w:rsidRPr="00816D22" w:rsidRDefault="00816D22" w:rsidP="0001633E">
      <w:pPr>
        <w:numPr>
          <w:ilvl w:val="0"/>
          <w:numId w:val="163"/>
        </w:numPr>
        <w:spacing w:line="240" w:lineRule="auto"/>
      </w:pPr>
      <w:r w:rsidRPr="00816D22">
        <w:t>Émissions temporaires de poussières et gaz d’échappement lors des terrassements et transports de matériaux ;</w:t>
      </w:r>
    </w:p>
    <w:p w14:paraId="34B98CD2" w14:textId="77777777" w:rsidR="00816D22" w:rsidRPr="00816D22" w:rsidRDefault="00816D22" w:rsidP="0001633E">
      <w:pPr>
        <w:numPr>
          <w:ilvl w:val="0"/>
          <w:numId w:val="163"/>
        </w:numPr>
        <w:spacing w:line="240" w:lineRule="auto"/>
      </w:pPr>
      <w:r w:rsidRPr="00816D22">
        <w:t>Nuisances sonores ponctuelles liées aux engins de chantier ;</w:t>
      </w:r>
    </w:p>
    <w:p w14:paraId="4D5C21C4" w14:textId="77777777" w:rsidR="00816D22" w:rsidRPr="00816D22" w:rsidRDefault="00816D22" w:rsidP="0001633E">
      <w:pPr>
        <w:numPr>
          <w:ilvl w:val="0"/>
          <w:numId w:val="163"/>
        </w:numPr>
        <w:spacing w:line="240" w:lineRule="auto"/>
      </w:pPr>
      <w:r w:rsidRPr="00816D22">
        <w:t>Risque de pollution accidentelle du sol et du réseau pluvial interne (déversements d’hydrocarbures, huiles) ;</w:t>
      </w:r>
    </w:p>
    <w:p w14:paraId="62882EFF" w14:textId="77777777" w:rsidR="00816D22" w:rsidRPr="00816D22" w:rsidRDefault="00816D22" w:rsidP="0001633E">
      <w:pPr>
        <w:numPr>
          <w:ilvl w:val="0"/>
          <w:numId w:val="163"/>
        </w:numPr>
        <w:spacing w:line="240" w:lineRule="auto"/>
      </w:pPr>
      <w:r w:rsidRPr="00816D22">
        <w:t>Production de déchets inertes et dangereux ;</w:t>
      </w:r>
    </w:p>
    <w:p w14:paraId="1D7FE1D4" w14:textId="77777777" w:rsidR="00816D22" w:rsidRPr="00816D22" w:rsidRDefault="00816D22" w:rsidP="0001633E">
      <w:pPr>
        <w:numPr>
          <w:ilvl w:val="0"/>
          <w:numId w:val="163"/>
        </w:numPr>
        <w:spacing w:line="240" w:lineRule="auto"/>
      </w:pPr>
      <w:r w:rsidRPr="00816D22">
        <w:t>Risques d’accidents du travail, de circulation et de coactivité ;</w:t>
      </w:r>
    </w:p>
    <w:p w14:paraId="4E0738CA" w14:textId="77777777" w:rsidR="00816D22" w:rsidRPr="00816D22" w:rsidRDefault="00816D22" w:rsidP="0001633E">
      <w:pPr>
        <w:numPr>
          <w:ilvl w:val="0"/>
          <w:numId w:val="163"/>
        </w:numPr>
        <w:spacing w:line="240" w:lineRule="auto"/>
      </w:pPr>
      <w:r w:rsidRPr="00816D22">
        <w:t>Risque de transmission de maladies (MST/VIH, infections respiratoires) lié à la concentration temporaire de main-d’œuvre ;</w:t>
      </w:r>
    </w:p>
    <w:p w14:paraId="061A6EC2" w14:textId="77777777" w:rsidR="00816D22" w:rsidRPr="00816D22" w:rsidRDefault="00816D22" w:rsidP="0001633E">
      <w:pPr>
        <w:numPr>
          <w:ilvl w:val="0"/>
          <w:numId w:val="163"/>
        </w:numPr>
        <w:spacing w:line="240" w:lineRule="auto"/>
      </w:pPr>
      <w:r w:rsidRPr="00816D22">
        <w:t>Risques de tensions sociales mineures si la main-d’œuvre locale n’est pas prioritairement mobilisée.</w:t>
      </w:r>
    </w:p>
    <w:p w14:paraId="3F17C5FE" w14:textId="77777777" w:rsidR="00816D22" w:rsidRPr="00816D22" w:rsidRDefault="00816D22" w:rsidP="00816D22">
      <w:pPr>
        <w:rPr>
          <w:b/>
          <w:bCs/>
        </w:rPr>
      </w:pPr>
      <w:r w:rsidRPr="00816D22">
        <w:rPr>
          <w:b/>
          <w:bCs/>
        </w:rPr>
        <w:t>Phase d’exploitation</w:t>
      </w:r>
    </w:p>
    <w:p w14:paraId="0E137FFC" w14:textId="77777777" w:rsidR="00816D22" w:rsidRPr="00816D22" w:rsidRDefault="00816D22" w:rsidP="0001633E">
      <w:pPr>
        <w:numPr>
          <w:ilvl w:val="0"/>
          <w:numId w:val="164"/>
        </w:numPr>
        <w:spacing w:line="240" w:lineRule="auto"/>
      </w:pPr>
      <w:r w:rsidRPr="00816D22">
        <w:t>Rejets limités de polluants atmosphériques dus aux groupes électrogènes de secours ;</w:t>
      </w:r>
    </w:p>
    <w:p w14:paraId="1D21B0CE" w14:textId="77777777" w:rsidR="00816D22" w:rsidRPr="00816D22" w:rsidRDefault="00816D22" w:rsidP="0001633E">
      <w:pPr>
        <w:numPr>
          <w:ilvl w:val="0"/>
          <w:numId w:val="164"/>
        </w:numPr>
        <w:spacing w:line="240" w:lineRule="auto"/>
      </w:pPr>
      <w:r w:rsidRPr="00816D22">
        <w:t>Nuisances sonores aéronautiques (fonctionnement normal, conforme aux seuils OACI) ;</w:t>
      </w:r>
    </w:p>
    <w:p w14:paraId="3088828A" w14:textId="77777777" w:rsidR="00816D22" w:rsidRPr="00816D22" w:rsidRDefault="00816D22" w:rsidP="0001633E">
      <w:pPr>
        <w:numPr>
          <w:ilvl w:val="0"/>
          <w:numId w:val="164"/>
        </w:numPr>
        <w:spacing w:line="240" w:lineRule="auto"/>
      </w:pPr>
      <w:r w:rsidRPr="00816D22">
        <w:lastRenderedPageBreak/>
        <w:t>Risque ponctuel de pollution accidentelle lors de la maintenance des équipements techniques (carburants, huiles, produits chimiques) ;</w:t>
      </w:r>
    </w:p>
    <w:p w14:paraId="0004A85A" w14:textId="77777777" w:rsidR="00816D22" w:rsidRPr="00816D22" w:rsidRDefault="00816D22" w:rsidP="0001633E">
      <w:pPr>
        <w:numPr>
          <w:ilvl w:val="0"/>
          <w:numId w:val="164"/>
        </w:numPr>
        <w:spacing w:line="240" w:lineRule="auto"/>
      </w:pPr>
      <w:r w:rsidRPr="00816D22">
        <w:t>Gestion accrue des eaux pluviales et des déchets d’exploitation ;</w:t>
      </w:r>
    </w:p>
    <w:p w14:paraId="4DBB2B5C" w14:textId="77777777" w:rsidR="00816D22" w:rsidRPr="00816D22" w:rsidRDefault="00816D22" w:rsidP="0001633E">
      <w:pPr>
        <w:numPr>
          <w:ilvl w:val="0"/>
          <w:numId w:val="164"/>
        </w:numPr>
        <w:spacing w:line="240" w:lineRule="auto"/>
      </w:pPr>
      <w:r w:rsidRPr="00816D22">
        <w:t>Amélioration significative de la sécurité, de la sûreté et du confort des passagers ;</w:t>
      </w:r>
    </w:p>
    <w:p w14:paraId="207B37C6" w14:textId="77777777" w:rsidR="00816D22" w:rsidRPr="00816D22" w:rsidRDefault="00816D22" w:rsidP="0001633E">
      <w:pPr>
        <w:numPr>
          <w:ilvl w:val="0"/>
          <w:numId w:val="164"/>
        </w:numPr>
        <w:spacing w:line="240" w:lineRule="auto"/>
      </w:pPr>
      <w:r w:rsidRPr="00816D22">
        <w:t>Effets socio-économiques positifs (emploi direct et indirect, attractivité touristique, image régionale).</w:t>
      </w:r>
    </w:p>
    <w:p w14:paraId="2077B19E" w14:textId="77777777" w:rsidR="009F3A2F" w:rsidRPr="00AC2854" w:rsidRDefault="009F3A2F" w:rsidP="009F3A2F">
      <w:pPr>
        <w:pStyle w:val="Default"/>
        <w:spacing w:after="240" w:line="276" w:lineRule="auto"/>
        <w:jc w:val="both"/>
        <w:rPr>
          <w:rFonts w:cs="Arial"/>
          <w:color w:val="auto"/>
          <w:sz w:val="22"/>
          <w:szCs w:val="22"/>
          <w:lang w:eastAsia="en-US" w:bidi="en-US"/>
        </w:rPr>
      </w:pPr>
      <w:r w:rsidRPr="00AC2854">
        <w:rPr>
          <w:rFonts w:cs="Arial"/>
          <w:color w:val="auto"/>
          <w:sz w:val="22"/>
          <w:szCs w:val="22"/>
          <w:lang w:eastAsia="en-US" w:bidi="en-US"/>
        </w:rPr>
        <w:t>En termes d’impacts positifs, le projet induit principalement :</w:t>
      </w:r>
    </w:p>
    <w:p w14:paraId="2AE5ABDA" w14:textId="77777777" w:rsidR="009F3A2F" w:rsidRPr="002804C2" w:rsidRDefault="009F3A2F" w:rsidP="0001633E">
      <w:pPr>
        <w:numPr>
          <w:ilvl w:val="0"/>
          <w:numId w:val="164"/>
        </w:numPr>
        <w:spacing w:line="240" w:lineRule="auto"/>
      </w:pPr>
      <w:r w:rsidRPr="002804C2">
        <w:t>Augmenter la capacité d’accueil des aéronefs et des passagers, afin d’accompagner la croissance du trafic aérien national et international.</w:t>
      </w:r>
    </w:p>
    <w:p w14:paraId="47FE9F8A" w14:textId="77777777" w:rsidR="009F3A2F" w:rsidRPr="002804C2" w:rsidRDefault="009F3A2F" w:rsidP="0001633E">
      <w:pPr>
        <w:numPr>
          <w:ilvl w:val="0"/>
          <w:numId w:val="164"/>
        </w:numPr>
        <w:spacing w:line="240" w:lineRule="auto"/>
      </w:pPr>
      <w:r w:rsidRPr="002804C2">
        <w:t>Améliorer la fluidité des opérations aériennes grâce à l’optimisation du balisage, du stationnement et des voies de circulation.</w:t>
      </w:r>
    </w:p>
    <w:p w14:paraId="0E3B46B4" w14:textId="77777777" w:rsidR="009F3A2F" w:rsidRPr="002804C2" w:rsidRDefault="009F3A2F" w:rsidP="0001633E">
      <w:pPr>
        <w:numPr>
          <w:ilvl w:val="0"/>
          <w:numId w:val="164"/>
        </w:numPr>
        <w:spacing w:line="240" w:lineRule="auto"/>
      </w:pPr>
      <w:r w:rsidRPr="002804C2">
        <w:t>Moderniser les équipements de sûreté et de sécurité conformément aux normes OACI.</w:t>
      </w:r>
    </w:p>
    <w:p w14:paraId="13142B81" w14:textId="77777777" w:rsidR="009F3A2F" w:rsidRPr="002804C2" w:rsidRDefault="009F3A2F" w:rsidP="0001633E">
      <w:pPr>
        <w:numPr>
          <w:ilvl w:val="0"/>
          <w:numId w:val="164"/>
        </w:numPr>
        <w:spacing w:line="240" w:lineRule="auto"/>
      </w:pPr>
      <w:r w:rsidRPr="002804C2">
        <w:t>Renforcer la durabilité environnementale des installations (éclairage LED, gestion des eaux, contrôle rigoureux des nuisances sonores et atmosphériques).</w:t>
      </w:r>
    </w:p>
    <w:p w14:paraId="07D5AB9D" w14:textId="77777777" w:rsidR="009F3A2F" w:rsidRPr="002804C2" w:rsidRDefault="009F3A2F" w:rsidP="0001633E">
      <w:pPr>
        <w:numPr>
          <w:ilvl w:val="0"/>
          <w:numId w:val="164"/>
        </w:numPr>
        <w:spacing w:line="240" w:lineRule="auto"/>
      </w:pPr>
      <w:r w:rsidRPr="002804C2">
        <w:t>Créer des opportunités socio-économiques locales, notamment par l’emploi temporaire en phase travaux et la mobilisation d’entreprises locales.</w:t>
      </w:r>
    </w:p>
    <w:p w14:paraId="4915E9DC" w14:textId="13A32FCD" w:rsidR="00816D22" w:rsidRPr="00816D22" w:rsidRDefault="00816D22" w:rsidP="00C355E5">
      <w:pPr>
        <w:pStyle w:val="Title3"/>
      </w:pPr>
      <w:bookmarkStart w:id="30" w:name="_Toc215131765"/>
      <w:r w:rsidRPr="00816D22">
        <w:t>Occupation des sols et tendances sans projet</w:t>
      </w:r>
      <w:bookmarkEnd w:id="30"/>
    </w:p>
    <w:p w14:paraId="68B9884B" w14:textId="22804D90" w:rsidR="00816D22" w:rsidRPr="00816D22" w:rsidRDefault="00816D22" w:rsidP="00816D22">
      <w:r w:rsidRPr="00816D22">
        <w:t xml:space="preserve">Sans la mise en œuvre du projet, l’aéroport conserverait des </w:t>
      </w:r>
      <w:r w:rsidRPr="00816D22">
        <w:rPr>
          <w:b/>
          <w:bCs/>
        </w:rPr>
        <w:t>infrastructures vieillissantes</w:t>
      </w:r>
      <w:r w:rsidRPr="00816D22">
        <w:t>, inadaptées à la hausse prévue du trafic aérien régional.</w:t>
      </w:r>
      <w:r w:rsidR="00C355E5">
        <w:t xml:space="preserve"> </w:t>
      </w:r>
      <w:r w:rsidRPr="00816D22">
        <w:t>Le scénario « sans projet » impliquerait :</w:t>
      </w:r>
    </w:p>
    <w:p w14:paraId="30AE8A40" w14:textId="77777777" w:rsidR="00816D22" w:rsidRPr="00816D22" w:rsidRDefault="00816D22" w:rsidP="0001633E">
      <w:pPr>
        <w:numPr>
          <w:ilvl w:val="0"/>
          <w:numId w:val="165"/>
        </w:numPr>
        <w:spacing w:line="240" w:lineRule="auto"/>
      </w:pPr>
      <w:r w:rsidRPr="00816D22">
        <w:t>une dégradation progressive des infrastructures ;</w:t>
      </w:r>
    </w:p>
    <w:p w14:paraId="32FA8D65" w14:textId="77777777" w:rsidR="00816D22" w:rsidRPr="00816D22" w:rsidRDefault="00816D22" w:rsidP="0001633E">
      <w:pPr>
        <w:numPr>
          <w:ilvl w:val="0"/>
          <w:numId w:val="165"/>
        </w:numPr>
        <w:spacing w:line="240" w:lineRule="auto"/>
      </w:pPr>
      <w:r w:rsidRPr="00816D22">
        <w:t>un risque accru d’incidents d’exploitation ;</w:t>
      </w:r>
    </w:p>
    <w:p w14:paraId="510F34DB" w14:textId="77777777" w:rsidR="00816D22" w:rsidRPr="00816D22" w:rsidRDefault="00816D22" w:rsidP="0001633E">
      <w:pPr>
        <w:numPr>
          <w:ilvl w:val="0"/>
          <w:numId w:val="165"/>
        </w:numPr>
        <w:spacing w:line="240" w:lineRule="auto"/>
      </w:pPr>
      <w:r w:rsidRPr="00816D22">
        <w:t>des nuisances non maîtrisées faute d’amélioration des dispositifs techniques (drainage, bruit, éclairage, etc.).</w:t>
      </w:r>
    </w:p>
    <w:p w14:paraId="4F6B953E" w14:textId="77777777" w:rsidR="00816D22" w:rsidRDefault="00816D22" w:rsidP="00816D22">
      <w:r w:rsidRPr="00816D22">
        <w:t>Ainsi, la réalisation du projet représente une option durable, conciliant modernisation, sécurité et intégration environnementale.</w:t>
      </w:r>
    </w:p>
    <w:p w14:paraId="0711B317" w14:textId="77777777" w:rsidR="00C355E5" w:rsidRPr="00816D22" w:rsidRDefault="00C355E5" w:rsidP="00816D22"/>
    <w:p w14:paraId="655A9AA2" w14:textId="77777777" w:rsidR="00C355E5" w:rsidRPr="00C355E5" w:rsidRDefault="00C355E5" w:rsidP="00C355E5">
      <w:pPr>
        <w:pStyle w:val="Title2"/>
      </w:pPr>
      <w:bookmarkStart w:id="31" w:name="_Toc215131766"/>
      <w:r w:rsidRPr="00C355E5">
        <w:t>Cadre légal et institutionnel de mise en œuvre du projet</w:t>
      </w:r>
      <w:bookmarkEnd w:id="31"/>
    </w:p>
    <w:p w14:paraId="5FEB383A" w14:textId="20AA4D98" w:rsidR="00C355E5" w:rsidRPr="00C355E5" w:rsidRDefault="00C355E5" w:rsidP="00C355E5">
      <w:pPr>
        <w:pStyle w:val="Title3"/>
      </w:pPr>
      <w:bookmarkStart w:id="32" w:name="_Toc215131767"/>
      <w:r w:rsidRPr="00C355E5">
        <w:t>Cadre législatif et réglementaire national applicable</w:t>
      </w:r>
      <w:bookmarkEnd w:id="32"/>
    </w:p>
    <w:p w14:paraId="5DD9012E" w14:textId="4B37B6F7" w:rsidR="00C355E5" w:rsidRDefault="00C355E5" w:rsidP="00C355E5">
      <w:r w:rsidRPr="00C355E5">
        <w:t xml:space="preserve">La mise en œuvre du projet de modernisation et d’extension des infrastructures aéroportuaires de l’aéroport </w:t>
      </w:r>
      <w:r w:rsidR="003311CB">
        <w:t>Marrakech Ménara</w:t>
      </w:r>
      <w:r w:rsidRPr="00C355E5">
        <w:t xml:space="preserve"> est soumise au cadre juridique marocain relatif à la protection de l’environnement, à la santé, à la sécurité au travail et à la gestion sociale. Les principaux textes applicables sont :</w:t>
      </w:r>
    </w:p>
    <w:p w14:paraId="13D7EA3D" w14:textId="7E93700D" w:rsidR="00C355E5" w:rsidRPr="00C355E5" w:rsidRDefault="005C15CC" w:rsidP="005C15CC">
      <w:pPr>
        <w:pStyle w:val="Lgende"/>
        <w:rPr>
          <w:lang w:bidi="en-US"/>
        </w:rPr>
      </w:pPr>
      <w:bookmarkStart w:id="33" w:name="_Toc213404326"/>
      <w:r>
        <w:t xml:space="preserve">Tableau </w:t>
      </w:r>
      <w:r>
        <w:fldChar w:fldCharType="begin"/>
      </w:r>
      <w:r>
        <w:instrText xml:space="preserve"> SEQ Tableau \* ARABIC </w:instrText>
      </w:r>
      <w:r>
        <w:fldChar w:fldCharType="separate"/>
      </w:r>
      <w:r w:rsidR="00274E71">
        <w:rPr>
          <w:noProof/>
        </w:rPr>
        <w:t>3</w:t>
      </w:r>
      <w:r>
        <w:fldChar w:fldCharType="end"/>
      </w:r>
      <w:r>
        <w:rPr>
          <w:lang w:val="fr-FR"/>
        </w:rPr>
        <w:t xml:space="preserve"> : Résumé des principaux textes réglementaires applicable au projet</w:t>
      </w:r>
      <w:bookmarkEnd w:id="33"/>
    </w:p>
    <w:tbl>
      <w:tblPr>
        <w:tblStyle w:val="TableauGrille1Clair-Accentuation111"/>
        <w:tblW w:w="0" w:type="auto"/>
        <w:tblLook w:val="04A0" w:firstRow="1" w:lastRow="0" w:firstColumn="1" w:lastColumn="0" w:noHBand="0" w:noVBand="1"/>
      </w:tblPr>
      <w:tblGrid>
        <w:gridCol w:w="2153"/>
        <w:gridCol w:w="3455"/>
        <w:gridCol w:w="3454"/>
      </w:tblGrid>
      <w:tr w:rsidR="00C355E5" w:rsidRPr="00C355E5" w14:paraId="21252EFF" w14:textId="77777777" w:rsidTr="00C355E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690F2211" w14:textId="77777777" w:rsidR="00C355E5" w:rsidRPr="00C355E5" w:rsidRDefault="00C355E5" w:rsidP="00C355E5">
            <w:pPr>
              <w:jc w:val="left"/>
            </w:pPr>
            <w:r w:rsidRPr="00C355E5">
              <w:t>Domaine</w:t>
            </w:r>
          </w:p>
        </w:tc>
        <w:tc>
          <w:tcPr>
            <w:tcW w:w="0" w:type="auto"/>
            <w:vAlign w:val="center"/>
            <w:hideMark/>
          </w:tcPr>
          <w:p w14:paraId="049AD6A6" w14:textId="77777777" w:rsidR="00C355E5" w:rsidRPr="00C355E5" w:rsidRDefault="00C355E5" w:rsidP="00C355E5">
            <w:pPr>
              <w:jc w:val="left"/>
              <w:cnfStyle w:val="100000000000" w:firstRow="1" w:lastRow="0" w:firstColumn="0" w:lastColumn="0" w:oddVBand="0" w:evenVBand="0" w:oddHBand="0" w:evenHBand="0" w:firstRowFirstColumn="0" w:firstRowLastColumn="0" w:lastRowFirstColumn="0" w:lastRowLastColumn="0"/>
            </w:pPr>
            <w:r w:rsidRPr="00C355E5">
              <w:t>Texte de référence</w:t>
            </w:r>
          </w:p>
        </w:tc>
        <w:tc>
          <w:tcPr>
            <w:tcW w:w="0" w:type="auto"/>
            <w:vAlign w:val="center"/>
            <w:hideMark/>
          </w:tcPr>
          <w:p w14:paraId="43294412" w14:textId="77777777" w:rsidR="00C355E5" w:rsidRPr="00C355E5" w:rsidRDefault="00C355E5" w:rsidP="00C355E5">
            <w:pPr>
              <w:jc w:val="left"/>
              <w:cnfStyle w:val="100000000000" w:firstRow="1" w:lastRow="0" w:firstColumn="0" w:lastColumn="0" w:oddVBand="0" w:evenVBand="0" w:oddHBand="0" w:evenHBand="0" w:firstRowFirstColumn="0" w:firstRowLastColumn="0" w:lastRowFirstColumn="0" w:lastRowLastColumn="0"/>
            </w:pPr>
            <w:r w:rsidRPr="00C355E5">
              <w:t>Principales dispositions applicables</w:t>
            </w:r>
          </w:p>
        </w:tc>
      </w:tr>
      <w:tr w:rsidR="00C355E5" w:rsidRPr="00C355E5" w14:paraId="7F81B747" w14:textId="77777777" w:rsidTr="00C355E5">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2A88B8EA" w14:textId="77777777" w:rsidR="00C355E5" w:rsidRPr="00C355E5" w:rsidRDefault="00C355E5" w:rsidP="00C355E5">
            <w:pPr>
              <w:jc w:val="left"/>
            </w:pPr>
            <w:r w:rsidRPr="00C355E5">
              <w:lastRenderedPageBreak/>
              <w:t>Évaluation environnementale</w:t>
            </w:r>
          </w:p>
        </w:tc>
        <w:tc>
          <w:tcPr>
            <w:tcW w:w="0" w:type="auto"/>
            <w:vAlign w:val="center"/>
            <w:hideMark/>
          </w:tcPr>
          <w:p w14:paraId="5A2ABF66" w14:textId="77777777" w:rsidR="00C355E5" w:rsidRPr="00C355E5" w:rsidRDefault="00C355E5" w:rsidP="00C355E5">
            <w:pPr>
              <w:jc w:val="left"/>
              <w:cnfStyle w:val="000000000000" w:firstRow="0" w:lastRow="0" w:firstColumn="0" w:lastColumn="0" w:oddVBand="0" w:evenVBand="0" w:oddHBand="0" w:evenHBand="0" w:firstRowFirstColumn="0" w:firstRowLastColumn="0" w:lastRowFirstColumn="0" w:lastRowLastColumn="0"/>
            </w:pPr>
            <w:r w:rsidRPr="00C355E5">
              <w:t>Loi n° 12-03 relative aux études d’impact sur l’environnement et son décret d’application n° 2-04-563</w:t>
            </w:r>
          </w:p>
        </w:tc>
        <w:tc>
          <w:tcPr>
            <w:tcW w:w="0" w:type="auto"/>
            <w:vAlign w:val="center"/>
            <w:hideMark/>
          </w:tcPr>
          <w:p w14:paraId="34FD9674" w14:textId="77777777" w:rsidR="00C355E5" w:rsidRPr="00C355E5" w:rsidRDefault="00C355E5" w:rsidP="00C355E5">
            <w:pPr>
              <w:jc w:val="left"/>
              <w:cnfStyle w:val="000000000000" w:firstRow="0" w:lastRow="0" w:firstColumn="0" w:lastColumn="0" w:oddVBand="0" w:evenVBand="0" w:oddHBand="0" w:evenHBand="0" w:firstRowFirstColumn="0" w:firstRowLastColumn="0" w:lastRowFirstColumn="0" w:lastRowLastColumn="0"/>
            </w:pPr>
            <w:r w:rsidRPr="00C355E5">
              <w:t>Obligation d’EIES préalable à toute extension d’infrastructure aéroportuaire ; consultation publique et obtention de l’avis de la Commission Régionale Unifiée d’Investissement (CRUI).</w:t>
            </w:r>
          </w:p>
        </w:tc>
      </w:tr>
      <w:tr w:rsidR="00C355E5" w:rsidRPr="00C355E5" w14:paraId="1DDFAC1E" w14:textId="77777777" w:rsidTr="00C355E5">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2E612883" w14:textId="77777777" w:rsidR="00C355E5" w:rsidRPr="00C355E5" w:rsidRDefault="00C355E5" w:rsidP="00C355E5">
            <w:pPr>
              <w:jc w:val="left"/>
            </w:pPr>
            <w:r w:rsidRPr="00C355E5">
              <w:t>Air, eau, déchets</w:t>
            </w:r>
          </w:p>
        </w:tc>
        <w:tc>
          <w:tcPr>
            <w:tcW w:w="0" w:type="auto"/>
            <w:vAlign w:val="center"/>
            <w:hideMark/>
          </w:tcPr>
          <w:p w14:paraId="605BFE08" w14:textId="77777777" w:rsidR="00C355E5" w:rsidRPr="00C355E5" w:rsidRDefault="00C355E5" w:rsidP="00C355E5">
            <w:pPr>
              <w:jc w:val="left"/>
              <w:cnfStyle w:val="000000000000" w:firstRow="0" w:lastRow="0" w:firstColumn="0" w:lastColumn="0" w:oddVBand="0" w:evenVBand="0" w:oddHBand="0" w:evenHBand="0" w:firstRowFirstColumn="0" w:firstRowLastColumn="0" w:lastRowFirstColumn="0" w:lastRowLastColumn="0"/>
            </w:pPr>
            <w:r w:rsidRPr="00C355E5">
              <w:t>Loi 28-00 relative à la gestion des déchets et à leur élimination ; Loi 10-95 sur l’eau ; Décret n° 2-09-286 fixant les normes de qualité de l’air</w:t>
            </w:r>
          </w:p>
        </w:tc>
        <w:tc>
          <w:tcPr>
            <w:tcW w:w="0" w:type="auto"/>
            <w:vAlign w:val="center"/>
            <w:hideMark/>
          </w:tcPr>
          <w:p w14:paraId="442D6DF2" w14:textId="77777777" w:rsidR="00C355E5" w:rsidRPr="00C355E5" w:rsidRDefault="00C355E5" w:rsidP="00C355E5">
            <w:pPr>
              <w:jc w:val="left"/>
              <w:cnfStyle w:val="000000000000" w:firstRow="0" w:lastRow="0" w:firstColumn="0" w:lastColumn="0" w:oddVBand="0" w:evenVBand="0" w:oddHBand="0" w:evenHBand="0" w:firstRowFirstColumn="0" w:firstRowLastColumn="0" w:lastRowFirstColumn="0" w:lastRowLastColumn="0"/>
            </w:pPr>
            <w:r w:rsidRPr="00C355E5">
              <w:t>Gestion séparée des déchets inertes et dangereux ; respect des normes de qualité de l’air et de rejet des eaux pluviales.</w:t>
            </w:r>
          </w:p>
        </w:tc>
      </w:tr>
      <w:tr w:rsidR="00C355E5" w:rsidRPr="00C355E5" w14:paraId="29E8B2DE" w14:textId="77777777" w:rsidTr="00C355E5">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28DAAE27" w14:textId="77777777" w:rsidR="00C355E5" w:rsidRPr="00C355E5" w:rsidRDefault="00C355E5" w:rsidP="00C355E5">
            <w:pPr>
              <w:jc w:val="left"/>
            </w:pPr>
            <w:r w:rsidRPr="00C355E5">
              <w:t>Santé et sécurité au travail</w:t>
            </w:r>
          </w:p>
        </w:tc>
        <w:tc>
          <w:tcPr>
            <w:tcW w:w="0" w:type="auto"/>
            <w:vAlign w:val="center"/>
            <w:hideMark/>
          </w:tcPr>
          <w:p w14:paraId="6857CAEF" w14:textId="77777777" w:rsidR="00C355E5" w:rsidRPr="00C355E5" w:rsidRDefault="00C355E5" w:rsidP="00C355E5">
            <w:pPr>
              <w:jc w:val="left"/>
              <w:cnfStyle w:val="000000000000" w:firstRow="0" w:lastRow="0" w:firstColumn="0" w:lastColumn="0" w:oddVBand="0" w:evenVBand="0" w:oddHBand="0" w:evenHBand="0" w:firstRowFirstColumn="0" w:firstRowLastColumn="0" w:lastRowFirstColumn="0" w:lastRowLastColumn="0"/>
            </w:pPr>
            <w:r w:rsidRPr="00C355E5">
              <w:t>Code du Travail – Loi 65-99, Décret n° 2-04-682 fixant les conditions de protection des travailleurs ; Décret n° 2-12-349 relatif aux marchés publics</w:t>
            </w:r>
          </w:p>
        </w:tc>
        <w:tc>
          <w:tcPr>
            <w:tcW w:w="0" w:type="auto"/>
            <w:vAlign w:val="center"/>
            <w:hideMark/>
          </w:tcPr>
          <w:p w14:paraId="0B111895" w14:textId="77777777" w:rsidR="00C355E5" w:rsidRPr="00C355E5" w:rsidRDefault="00C355E5" w:rsidP="00C355E5">
            <w:pPr>
              <w:jc w:val="left"/>
              <w:cnfStyle w:val="000000000000" w:firstRow="0" w:lastRow="0" w:firstColumn="0" w:lastColumn="0" w:oddVBand="0" w:evenVBand="0" w:oddHBand="0" w:evenHBand="0" w:firstRowFirstColumn="0" w:firstRowLastColumn="0" w:lastRowFirstColumn="0" w:lastRowLastColumn="0"/>
            </w:pPr>
            <w:r w:rsidRPr="00C355E5">
              <w:t>Intégration des exigences HSE dans les contrats ; prévention des risques professionnels et plan d’hygiène et sécurité sur les chantiers.</w:t>
            </w:r>
          </w:p>
        </w:tc>
      </w:tr>
      <w:tr w:rsidR="00C355E5" w:rsidRPr="00C355E5" w14:paraId="5E811483" w14:textId="77777777" w:rsidTr="00C355E5">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5F22C4F7" w14:textId="77777777" w:rsidR="00C355E5" w:rsidRPr="00C355E5" w:rsidRDefault="00C355E5" w:rsidP="00C355E5">
            <w:pPr>
              <w:jc w:val="left"/>
            </w:pPr>
            <w:r w:rsidRPr="00C355E5">
              <w:t>Protection de la biodiversité et du patrimoine naturel</w:t>
            </w:r>
          </w:p>
        </w:tc>
        <w:tc>
          <w:tcPr>
            <w:tcW w:w="0" w:type="auto"/>
            <w:vAlign w:val="center"/>
            <w:hideMark/>
          </w:tcPr>
          <w:p w14:paraId="53EB1B29" w14:textId="77777777" w:rsidR="00C355E5" w:rsidRPr="00C355E5" w:rsidRDefault="00C355E5" w:rsidP="00C355E5">
            <w:pPr>
              <w:jc w:val="left"/>
              <w:cnfStyle w:val="000000000000" w:firstRow="0" w:lastRow="0" w:firstColumn="0" w:lastColumn="0" w:oddVBand="0" w:evenVBand="0" w:oddHBand="0" w:evenHBand="0" w:firstRowFirstColumn="0" w:firstRowLastColumn="0" w:lastRowFirstColumn="0" w:lastRowLastColumn="0"/>
            </w:pPr>
            <w:r w:rsidRPr="00C355E5">
              <w:t>Loi 29-05 relative à la protection des espèces de faune et de flore sauvages et au contrôle de leur commerce ; Loi 11-03 relative à la protection et à la mise en valeur de l’environnement</w:t>
            </w:r>
          </w:p>
        </w:tc>
        <w:tc>
          <w:tcPr>
            <w:tcW w:w="0" w:type="auto"/>
            <w:vAlign w:val="center"/>
            <w:hideMark/>
          </w:tcPr>
          <w:p w14:paraId="7D7DCF27" w14:textId="77777777" w:rsidR="00C355E5" w:rsidRPr="00C355E5" w:rsidRDefault="00C355E5" w:rsidP="00C355E5">
            <w:pPr>
              <w:jc w:val="left"/>
              <w:cnfStyle w:val="000000000000" w:firstRow="0" w:lastRow="0" w:firstColumn="0" w:lastColumn="0" w:oddVBand="0" w:evenVBand="0" w:oddHBand="0" w:evenHBand="0" w:firstRowFirstColumn="0" w:firstRowLastColumn="0" w:lastRowFirstColumn="0" w:lastRowLastColumn="0"/>
            </w:pPr>
            <w:r w:rsidRPr="00C355E5">
              <w:t>Prévention des atteintes aux espèces protégées et obligation de réhabilitation en cas de dégradation.</w:t>
            </w:r>
          </w:p>
        </w:tc>
      </w:tr>
      <w:tr w:rsidR="00C355E5" w:rsidRPr="00C355E5" w14:paraId="6294C37A" w14:textId="77777777" w:rsidTr="00C355E5">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18FCBD7C" w14:textId="77777777" w:rsidR="00C355E5" w:rsidRPr="00C355E5" w:rsidRDefault="00C355E5" w:rsidP="00C355E5">
            <w:pPr>
              <w:jc w:val="left"/>
            </w:pPr>
            <w:r w:rsidRPr="00C355E5">
              <w:t>Patrimoine culturel</w:t>
            </w:r>
          </w:p>
        </w:tc>
        <w:tc>
          <w:tcPr>
            <w:tcW w:w="0" w:type="auto"/>
            <w:vAlign w:val="center"/>
            <w:hideMark/>
          </w:tcPr>
          <w:p w14:paraId="32FDF3FF" w14:textId="77777777" w:rsidR="00C355E5" w:rsidRPr="00C355E5" w:rsidRDefault="00C355E5" w:rsidP="00C355E5">
            <w:pPr>
              <w:jc w:val="left"/>
              <w:cnfStyle w:val="000000000000" w:firstRow="0" w:lastRow="0" w:firstColumn="0" w:lastColumn="0" w:oddVBand="0" w:evenVBand="0" w:oddHBand="0" w:evenHBand="0" w:firstRowFirstColumn="0" w:firstRowLastColumn="0" w:lastRowFirstColumn="0" w:lastRowLastColumn="0"/>
            </w:pPr>
            <w:r w:rsidRPr="00C355E5">
              <w:t>Loi 22-80 relative à la conservation des monuments historiques et des sites, inscriptions, objets d’art et antiquités</w:t>
            </w:r>
          </w:p>
        </w:tc>
        <w:tc>
          <w:tcPr>
            <w:tcW w:w="0" w:type="auto"/>
            <w:vAlign w:val="center"/>
            <w:hideMark/>
          </w:tcPr>
          <w:p w14:paraId="53864F15" w14:textId="77777777" w:rsidR="00C355E5" w:rsidRPr="00C355E5" w:rsidRDefault="00C355E5" w:rsidP="00C355E5">
            <w:pPr>
              <w:jc w:val="left"/>
              <w:cnfStyle w:val="000000000000" w:firstRow="0" w:lastRow="0" w:firstColumn="0" w:lastColumn="0" w:oddVBand="0" w:evenVBand="0" w:oddHBand="0" w:evenHBand="0" w:firstRowFirstColumn="0" w:firstRowLastColumn="0" w:lastRowFirstColumn="0" w:lastRowLastColumn="0"/>
            </w:pPr>
            <w:r w:rsidRPr="00C355E5">
              <w:t>Application d’une procédure de « chance finds » (découvertes fortuites) pendant les travaux.</w:t>
            </w:r>
          </w:p>
        </w:tc>
      </w:tr>
      <w:tr w:rsidR="00C355E5" w:rsidRPr="00C355E5" w14:paraId="1B2751D1" w14:textId="77777777" w:rsidTr="00C355E5">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001BF9EA" w14:textId="77777777" w:rsidR="00C355E5" w:rsidRPr="00C355E5" w:rsidRDefault="00C355E5" w:rsidP="00C355E5">
            <w:pPr>
              <w:jc w:val="left"/>
            </w:pPr>
            <w:r w:rsidRPr="00C355E5">
              <w:t>Énergie et efficacité énergétique</w:t>
            </w:r>
          </w:p>
        </w:tc>
        <w:tc>
          <w:tcPr>
            <w:tcW w:w="0" w:type="auto"/>
            <w:vAlign w:val="center"/>
            <w:hideMark/>
          </w:tcPr>
          <w:p w14:paraId="4C4F2A46" w14:textId="77777777" w:rsidR="00C355E5" w:rsidRPr="00C355E5" w:rsidRDefault="00C355E5" w:rsidP="00C355E5">
            <w:pPr>
              <w:jc w:val="left"/>
              <w:cnfStyle w:val="000000000000" w:firstRow="0" w:lastRow="0" w:firstColumn="0" w:lastColumn="0" w:oddVBand="0" w:evenVBand="0" w:oddHBand="0" w:evenHBand="0" w:firstRowFirstColumn="0" w:firstRowLastColumn="0" w:lastRowFirstColumn="0" w:lastRowLastColumn="0"/>
            </w:pPr>
            <w:r w:rsidRPr="00C355E5">
              <w:t>Loi 13-09 relative aux énergies renouvelables ; Loi 47-09 sur l’efficacité énergétique</w:t>
            </w:r>
          </w:p>
        </w:tc>
        <w:tc>
          <w:tcPr>
            <w:tcW w:w="0" w:type="auto"/>
            <w:vAlign w:val="center"/>
            <w:hideMark/>
          </w:tcPr>
          <w:p w14:paraId="141595FA" w14:textId="77777777" w:rsidR="00C355E5" w:rsidRPr="00C355E5" w:rsidRDefault="00C355E5" w:rsidP="00C355E5">
            <w:pPr>
              <w:jc w:val="left"/>
              <w:cnfStyle w:val="000000000000" w:firstRow="0" w:lastRow="0" w:firstColumn="0" w:lastColumn="0" w:oddVBand="0" w:evenVBand="0" w:oddHBand="0" w:evenHBand="0" w:firstRowFirstColumn="0" w:firstRowLastColumn="0" w:lastRowFirstColumn="0" w:lastRowLastColumn="0"/>
            </w:pPr>
            <w:r w:rsidRPr="00C355E5">
              <w:t>Favorise l’utilisation de technologies économes en énergie (éclairage LED, gestion intelligente).</w:t>
            </w:r>
          </w:p>
        </w:tc>
      </w:tr>
      <w:tr w:rsidR="00C355E5" w:rsidRPr="00C355E5" w14:paraId="0ADD8CDA" w14:textId="77777777" w:rsidTr="00C355E5">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4E7A8908" w14:textId="77777777" w:rsidR="00C355E5" w:rsidRPr="00C355E5" w:rsidRDefault="00C355E5" w:rsidP="00C355E5">
            <w:pPr>
              <w:jc w:val="left"/>
            </w:pPr>
            <w:r w:rsidRPr="00C355E5">
              <w:t>Genre et équité sociale</w:t>
            </w:r>
          </w:p>
        </w:tc>
        <w:tc>
          <w:tcPr>
            <w:tcW w:w="0" w:type="auto"/>
            <w:vAlign w:val="center"/>
            <w:hideMark/>
          </w:tcPr>
          <w:p w14:paraId="4DE7C408" w14:textId="77777777" w:rsidR="00C355E5" w:rsidRPr="00C355E5" w:rsidRDefault="00C355E5" w:rsidP="00C355E5">
            <w:pPr>
              <w:jc w:val="left"/>
              <w:cnfStyle w:val="000000000000" w:firstRow="0" w:lastRow="0" w:firstColumn="0" w:lastColumn="0" w:oddVBand="0" w:evenVBand="0" w:oddHBand="0" w:evenHBand="0" w:firstRowFirstColumn="0" w:firstRowLastColumn="0" w:lastRowFirstColumn="0" w:lastRowLastColumn="0"/>
            </w:pPr>
            <w:r w:rsidRPr="00C355E5">
              <w:t>Constitution du Royaume (2011) et Loi-cadre n° 99-12 portant Charte nationale de l’environnement et du développement durable</w:t>
            </w:r>
          </w:p>
        </w:tc>
        <w:tc>
          <w:tcPr>
            <w:tcW w:w="0" w:type="auto"/>
            <w:vAlign w:val="center"/>
            <w:hideMark/>
          </w:tcPr>
          <w:p w14:paraId="4F5855B9" w14:textId="77777777" w:rsidR="00C355E5" w:rsidRPr="00C355E5" w:rsidRDefault="00C355E5" w:rsidP="00C355E5">
            <w:pPr>
              <w:jc w:val="left"/>
              <w:cnfStyle w:val="000000000000" w:firstRow="0" w:lastRow="0" w:firstColumn="0" w:lastColumn="0" w:oddVBand="0" w:evenVBand="0" w:oddHBand="0" w:evenHBand="0" w:firstRowFirstColumn="0" w:firstRowLastColumn="0" w:lastRowFirstColumn="0" w:lastRowLastColumn="0"/>
            </w:pPr>
            <w:r w:rsidRPr="00C355E5">
              <w:t>Principe d’équité, de participation et d’inclusion des groupes vulnérables dans la mise en œuvre du projet.</w:t>
            </w:r>
          </w:p>
        </w:tc>
      </w:tr>
    </w:tbl>
    <w:p w14:paraId="4260701B" w14:textId="334A88DE" w:rsidR="00C355E5" w:rsidRDefault="00C355E5" w:rsidP="005C15CC">
      <w:pPr>
        <w:pStyle w:val="Title3"/>
      </w:pPr>
      <w:bookmarkStart w:id="34" w:name="_Toc215131768"/>
      <w:r w:rsidRPr="00C355E5">
        <w:t>Cadre institutionnel et rôles des acteurs</w:t>
      </w:r>
      <w:bookmarkEnd w:id="34"/>
    </w:p>
    <w:p w14:paraId="16D9BFBE" w14:textId="39A0FC2B" w:rsidR="005C15CC" w:rsidRPr="00C355E5" w:rsidRDefault="001F107C" w:rsidP="001F107C">
      <w:pPr>
        <w:pStyle w:val="Lgende"/>
      </w:pPr>
      <w:bookmarkStart w:id="35" w:name="_Toc213404327"/>
      <w:r>
        <w:t xml:space="preserve">Tableau </w:t>
      </w:r>
      <w:r>
        <w:fldChar w:fldCharType="begin"/>
      </w:r>
      <w:r>
        <w:instrText xml:space="preserve"> SEQ Tableau \* ARABIC </w:instrText>
      </w:r>
      <w:r>
        <w:fldChar w:fldCharType="separate"/>
      </w:r>
      <w:r w:rsidR="00274E71">
        <w:rPr>
          <w:noProof/>
        </w:rPr>
        <w:t>4</w:t>
      </w:r>
      <w:r>
        <w:fldChar w:fldCharType="end"/>
      </w:r>
      <w:r>
        <w:rPr>
          <w:lang w:val="fr-FR"/>
        </w:rPr>
        <w:t xml:space="preserve"> : </w:t>
      </w:r>
      <w:r w:rsidRPr="005B59F7">
        <w:rPr>
          <w:lang w:val="fr-FR"/>
        </w:rPr>
        <w:t>Cadre institutionnel</w:t>
      </w:r>
      <w:bookmarkEnd w:id="35"/>
    </w:p>
    <w:tbl>
      <w:tblPr>
        <w:tblStyle w:val="TableauGrille1Clair-Accentuation111"/>
        <w:tblW w:w="0" w:type="auto"/>
        <w:tblLook w:val="04A0" w:firstRow="1" w:lastRow="0" w:firstColumn="1" w:lastColumn="0" w:noHBand="0" w:noVBand="1"/>
      </w:tblPr>
      <w:tblGrid>
        <w:gridCol w:w="2856"/>
        <w:gridCol w:w="6206"/>
      </w:tblGrid>
      <w:tr w:rsidR="005C15CC" w:rsidRPr="00C355E5" w14:paraId="15F9B626" w14:textId="77777777" w:rsidTr="005C15C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08B992F4" w14:textId="77777777" w:rsidR="00C355E5" w:rsidRPr="00C355E5" w:rsidRDefault="00C355E5" w:rsidP="005C15CC">
            <w:pPr>
              <w:jc w:val="left"/>
            </w:pPr>
            <w:r w:rsidRPr="00C355E5">
              <w:t>Acteur / Institution</w:t>
            </w:r>
          </w:p>
        </w:tc>
        <w:tc>
          <w:tcPr>
            <w:tcW w:w="0" w:type="auto"/>
            <w:vAlign w:val="center"/>
            <w:hideMark/>
          </w:tcPr>
          <w:p w14:paraId="524757A2" w14:textId="77777777" w:rsidR="00C355E5" w:rsidRPr="00C355E5" w:rsidRDefault="00C355E5" w:rsidP="005C15CC">
            <w:pPr>
              <w:jc w:val="left"/>
              <w:cnfStyle w:val="100000000000" w:firstRow="1" w:lastRow="0" w:firstColumn="0" w:lastColumn="0" w:oddVBand="0" w:evenVBand="0" w:oddHBand="0" w:evenHBand="0" w:firstRowFirstColumn="0" w:firstRowLastColumn="0" w:lastRowFirstColumn="0" w:lastRowLastColumn="0"/>
            </w:pPr>
            <w:r w:rsidRPr="00C355E5">
              <w:t>Rôle et responsabilité dans la mise en œuvre du projet et du PGES</w:t>
            </w:r>
          </w:p>
        </w:tc>
      </w:tr>
      <w:tr w:rsidR="005C15CC" w:rsidRPr="00C355E5" w14:paraId="6983FF0D" w14:textId="77777777" w:rsidTr="005C15CC">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27CD908B" w14:textId="77777777" w:rsidR="00C355E5" w:rsidRPr="00C355E5" w:rsidRDefault="00C355E5" w:rsidP="005C15CC">
            <w:pPr>
              <w:jc w:val="left"/>
            </w:pPr>
            <w:r w:rsidRPr="00C355E5">
              <w:t>Office National des Aéroports (ONDA)</w:t>
            </w:r>
          </w:p>
        </w:tc>
        <w:tc>
          <w:tcPr>
            <w:tcW w:w="0" w:type="auto"/>
            <w:vAlign w:val="center"/>
            <w:hideMark/>
          </w:tcPr>
          <w:p w14:paraId="142EFBF1" w14:textId="77777777" w:rsidR="00C355E5" w:rsidRPr="00C355E5" w:rsidRDefault="00C355E5" w:rsidP="005C15CC">
            <w:pPr>
              <w:jc w:val="left"/>
              <w:cnfStyle w:val="000000000000" w:firstRow="0" w:lastRow="0" w:firstColumn="0" w:lastColumn="0" w:oddVBand="0" w:evenVBand="0" w:oddHBand="0" w:evenHBand="0" w:firstRowFirstColumn="0" w:firstRowLastColumn="0" w:lastRowFirstColumn="0" w:lastRowLastColumn="0"/>
            </w:pPr>
            <w:r w:rsidRPr="00C355E5">
              <w:t>Maître d’ouvrage et responsable de la conformité environnementale et sociale ; supervision globale du PGES ; suivi contractuel de la performance E&amp;S de l’EPC et de la mission de contrôle.</w:t>
            </w:r>
          </w:p>
        </w:tc>
      </w:tr>
      <w:tr w:rsidR="005C15CC" w:rsidRPr="00C355E5" w14:paraId="1151F6ED" w14:textId="77777777" w:rsidTr="005C15CC">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3750359E" w14:textId="77777777" w:rsidR="00C355E5" w:rsidRPr="00C355E5" w:rsidRDefault="00C355E5" w:rsidP="005C15CC">
            <w:pPr>
              <w:jc w:val="left"/>
            </w:pPr>
            <w:r w:rsidRPr="00C355E5">
              <w:lastRenderedPageBreak/>
              <w:t>Entrepreneur (EPC)</w:t>
            </w:r>
          </w:p>
        </w:tc>
        <w:tc>
          <w:tcPr>
            <w:tcW w:w="0" w:type="auto"/>
            <w:vAlign w:val="center"/>
            <w:hideMark/>
          </w:tcPr>
          <w:p w14:paraId="1B25B9B4" w14:textId="77777777" w:rsidR="00C355E5" w:rsidRPr="00C355E5" w:rsidRDefault="00C355E5" w:rsidP="005C15CC">
            <w:pPr>
              <w:jc w:val="left"/>
              <w:cnfStyle w:val="000000000000" w:firstRow="0" w:lastRow="0" w:firstColumn="0" w:lastColumn="0" w:oddVBand="0" w:evenVBand="0" w:oddHBand="0" w:evenHBand="0" w:firstRowFirstColumn="0" w:firstRowLastColumn="0" w:lastRowFirstColumn="0" w:lastRowLastColumn="0"/>
            </w:pPr>
            <w:r w:rsidRPr="00C355E5">
              <w:t xml:space="preserve">Mise en œuvre effective des mesures d’atténuation HSE ; élaboration et application du </w:t>
            </w:r>
            <w:r w:rsidRPr="00C355E5">
              <w:rPr>
                <w:b/>
                <w:bCs/>
              </w:rPr>
              <w:t>Plan de Gestion Environnementale et Sociale de Chantier (CESMP)</w:t>
            </w:r>
            <w:r w:rsidRPr="00C355E5">
              <w:t xml:space="preserve"> ; formation des travailleurs ; reporting mensuel.</w:t>
            </w:r>
          </w:p>
        </w:tc>
      </w:tr>
      <w:tr w:rsidR="005C15CC" w:rsidRPr="00C355E5" w14:paraId="55FA1DEA" w14:textId="77777777" w:rsidTr="005C15CC">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107A8EFC" w14:textId="77777777" w:rsidR="00C355E5" w:rsidRPr="00C355E5" w:rsidRDefault="00C355E5" w:rsidP="005C15CC">
            <w:pPr>
              <w:jc w:val="left"/>
            </w:pPr>
            <w:r w:rsidRPr="00C355E5">
              <w:t>Mission de Contrôle / AMO</w:t>
            </w:r>
          </w:p>
        </w:tc>
        <w:tc>
          <w:tcPr>
            <w:tcW w:w="0" w:type="auto"/>
            <w:vAlign w:val="center"/>
            <w:hideMark/>
          </w:tcPr>
          <w:p w14:paraId="48CC0574" w14:textId="77777777" w:rsidR="00C355E5" w:rsidRPr="00C355E5" w:rsidRDefault="00C355E5" w:rsidP="005C15CC">
            <w:pPr>
              <w:jc w:val="left"/>
              <w:cnfStyle w:val="000000000000" w:firstRow="0" w:lastRow="0" w:firstColumn="0" w:lastColumn="0" w:oddVBand="0" w:evenVBand="0" w:oddHBand="0" w:evenHBand="0" w:firstRowFirstColumn="0" w:firstRowLastColumn="0" w:lastRowFirstColumn="0" w:lastRowLastColumn="0"/>
            </w:pPr>
            <w:r w:rsidRPr="00C355E5">
              <w:t>Supervision environnementale et sociale ; validation des plans d’exécution ; contrôle des performances HSE ; appui au Responsable E&amp;S de l’ONDA.</w:t>
            </w:r>
          </w:p>
        </w:tc>
      </w:tr>
      <w:tr w:rsidR="005C15CC" w:rsidRPr="00C355E5" w14:paraId="3E736267" w14:textId="77777777" w:rsidTr="005C15CC">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775A6DA0" w14:textId="77777777" w:rsidR="00C355E5" w:rsidRPr="00C355E5" w:rsidRDefault="00C355E5" w:rsidP="005C15CC">
            <w:pPr>
              <w:jc w:val="left"/>
            </w:pPr>
            <w:r w:rsidRPr="00C355E5">
              <w:t>Autorités locales et CRUI</w:t>
            </w:r>
          </w:p>
        </w:tc>
        <w:tc>
          <w:tcPr>
            <w:tcW w:w="0" w:type="auto"/>
            <w:vAlign w:val="center"/>
            <w:hideMark/>
          </w:tcPr>
          <w:p w14:paraId="632C883C" w14:textId="77777777" w:rsidR="00C355E5" w:rsidRPr="00C355E5" w:rsidRDefault="00C355E5" w:rsidP="005C15CC">
            <w:pPr>
              <w:jc w:val="left"/>
              <w:cnfStyle w:val="000000000000" w:firstRow="0" w:lastRow="0" w:firstColumn="0" w:lastColumn="0" w:oddVBand="0" w:evenVBand="0" w:oddHBand="0" w:evenHBand="0" w:firstRowFirstColumn="0" w:firstRowLastColumn="0" w:lastRowFirstColumn="0" w:lastRowLastColumn="0"/>
            </w:pPr>
            <w:r w:rsidRPr="00C355E5">
              <w:t>Examen et approbation de l’EIES ; délivrance de l’avis de conformité environnementale ; suivi de la mise en œuvre du PGES conformément à la loi 12-03.</w:t>
            </w:r>
          </w:p>
        </w:tc>
      </w:tr>
      <w:tr w:rsidR="005C15CC" w:rsidRPr="00C355E5" w14:paraId="29CF2FF2" w14:textId="77777777" w:rsidTr="005C15CC">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6B92E5E1" w14:textId="12C4A1E4" w:rsidR="00C355E5" w:rsidRPr="00C355E5" w:rsidRDefault="00C355E5" w:rsidP="005C15CC">
            <w:pPr>
              <w:jc w:val="left"/>
            </w:pPr>
            <w:r w:rsidRPr="00C355E5">
              <w:t xml:space="preserve">ABH </w:t>
            </w:r>
            <w:r w:rsidR="003D5591">
              <w:t>Tensift</w:t>
            </w:r>
          </w:p>
        </w:tc>
        <w:tc>
          <w:tcPr>
            <w:tcW w:w="0" w:type="auto"/>
            <w:vAlign w:val="center"/>
            <w:hideMark/>
          </w:tcPr>
          <w:p w14:paraId="7D89C81E" w14:textId="77777777" w:rsidR="00C355E5" w:rsidRPr="00C355E5" w:rsidRDefault="00C355E5" w:rsidP="005C15CC">
            <w:pPr>
              <w:jc w:val="left"/>
              <w:cnfStyle w:val="000000000000" w:firstRow="0" w:lastRow="0" w:firstColumn="0" w:lastColumn="0" w:oddVBand="0" w:evenVBand="0" w:oddHBand="0" w:evenHBand="0" w:firstRowFirstColumn="0" w:firstRowLastColumn="0" w:lastRowFirstColumn="0" w:lastRowLastColumn="0"/>
            </w:pPr>
            <w:r w:rsidRPr="00C355E5">
              <w:t>Autorité de bassin compétente pour la gestion des eaux ; contrôle des rejets et autorisations de prélèvement ou d’évacuation.</w:t>
            </w:r>
          </w:p>
        </w:tc>
      </w:tr>
      <w:tr w:rsidR="005C15CC" w:rsidRPr="00C355E5" w14:paraId="63A6B0EC" w14:textId="77777777" w:rsidTr="005C15CC">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0C6F12EF" w14:textId="1D75147D" w:rsidR="00C355E5" w:rsidRPr="00C355E5" w:rsidRDefault="00C355E5" w:rsidP="005C15CC">
            <w:pPr>
              <w:jc w:val="left"/>
            </w:pPr>
            <w:r w:rsidRPr="00C355E5">
              <w:t>DR</w:t>
            </w:r>
            <w:r w:rsidR="005C15CC">
              <w:t>TEDD</w:t>
            </w:r>
            <w:r w:rsidRPr="00C355E5">
              <w:t xml:space="preserve"> </w:t>
            </w:r>
            <w:r w:rsidR="00B5291C">
              <w:t>Marrakech</w:t>
            </w:r>
            <w:r w:rsidRPr="00C355E5">
              <w:t xml:space="preserve"> (Direction Régionale </w:t>
            </w:r>
            <w:r w:rsidR="005C15CC">
              <w:t>Développement Durable</w:t>
            </w:r>
            <w:r w:rsidRPr="00C355E5">
              <w:t>)</w:t>
            </w:r>
          </w:p>
        </w:tc>
        <w:tc>
          <w:tcPr>
            <w:tcW w:w="0" w:type="auto"/>
            <w:vAlign w:val="center"/>
            <w:hideMark/>
          </w:tcPr>
          <w:p w14:paraId="1C362142" w14:textId="77777777" w:rsidR="00C355E5" w:rsidRPr="00C355E5" w:rsidRDefault="00C355E5" w:rsidP="005C15CC">
            <w:pPr>
              <w:jc w:val="left"/>
              <w:cnfStyle w:val="000000000000" w:firstRow="0" w:lastRow="0" w:firstColumn="0" w:lastColumn="0" w:oddVBand="0" w:evenVBand="0" w:oddHBand="0" w:evenHBand="0" w:firstRowFirstColumn="0" w:firstRowLastColumn="0" w:lastRowFirstColumn="0" w:lastRowLastColumn="0"/>
            </w:pPr>
            <w:r w:rsidRPr="00C355E5">
              <w:t>Appui technique à la CRUI ; suivi du respect des engagements environnementaux.</w:t>
            </w:r>
          </w:p>
        </w:tc>
      </w:tr>
      <w:tr w:rsidR="005C15CC" w:rsidRPr="00C355E5" w14:paraId="1D4BCEEB" w14:textId="77777777" w:rsidTr="005C15CC">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0CDE46AC" w14:textId="139DC7CB" w:rsidR="00C355E5" w:rsidRPr="00C355E5" w:rsidRDefault="00C355E5" w:rsidP="005C15CC">
            <w:pPr>
              <w:jc w:val="left"/>
            </w:pPr>
            <w:r w:rsidRPr="00C355E5">
              <w:t xml:space="preserve">Collectivités locales (Commune de </w:t>
            </w:r>
            <w:r w:rsidR="003311CB">
              <w:t>Ménara</w:t>
            </w:r>
            <w:r w:rsidRPr="00C355E5">
              <w:t xml:space="preserve">, Préfecture </w:t>
            </w:r>
            <w:r w:rsidR="003311CB">
              <w:t>de Marrakech</w:t>
            </w:r>
            <w:r w:rsidRPr="00C355E5">
              <w:t>)</w:t>
            </w:r>
          </w:p>
        </w:tc>
        <w:tc>
          <w:tcPr>
            <w:tcW w:w="0" w:type="auto"/>
            <w:vAlign w:val="center"/>
            <w:hideMark/>
          </w:tcPr>
          <w:p w14:paraId="4649EE67" w14:textId="77777777" w:rsidR="00C355E5" w:rsidRPr="00C355E5" w:rsidRDefault="00C355E5" w:rsidP="005C15CC">
            <w:pPr>
              <w:jc w:val="left"/>
              <w:cnfStyle w:val="000000000000" w:firstRow="0" w:lastRow="0" w:firstColumn="0" w:lastColumn="0" w:oddVBand="0" w:evenVBand="0" w:oddHBand="0" w:evenHBand="0" w:firstRowFirstColumn="0" w:firstRowLastColumn="0" w:lastRowFirstColumn="0" w:lastRowLastColumn="0"/>
            </w:pPr>
            <w:r w:rsidRPr="00C355E5">
              <w:t>Participation à la consultation publique ; relais des doléances et mécanisme local de gestion des plaintes ; suivi des retombées socio-économiques.</w:t>
            </w:r>
          </w:p>
        </w:tc>
      </w:tr>
    </w:tbl>
    <w:p w14:paraId="004DDDA0" w14:textId="38C1778E" w:rsidR="00C355E5" w:rsidRPr="00C355E5" w:rsidRDefault="00C355E5" w:rsidP="00C355E5"/>
    <w:p w14:paraId="463BE4D8" w14:textId="2BFB4E69" w:rsidR="00C355E5" w:rsidRPr="00C355E5" w:rsidRDefault="00C355E5" w:rsidP="001F107C">
      <w:pPr>
        <w:pStyle w:val="Title3"/>
      </w:pPr>
      <w:bookmarkStart w:id="36" w:name="_Toc215131769"/>
      <w:r w:rsidRPr="00C355E5">
        <w:t>Cadre de référence international</w:t>
      </w:r>
      <w:bookmarkEnd w:id="36"/>
    </w:p>
    <w:p w14:paraId="0ABC9A82" w14:textId="7352FC33" w:rsidR="0053791B" w:rsidRPr="0053791B" w:rsidRDefault="00C355E5" w:rsidP="0053791B">
      <w:pPr>
        <w:rPr>
          <w:b/>
          <w:bCs/>
        </w:rPr>
      </w:pPr>
      <w:r w:rsidRPr="00C355E5">
        <w:t xml:space="preserve">Le projet respecte également les exigences environnementales et sociales de la </w:t>
      </w:r>
      <w:r w:rsidRPr="00C355E5">
        <w:rPr>
          <w:b/>
          <w:bCs/>
        </w:rPr>
        <w:t>Banque Africaine de Développement</w:t>
      </w:r>
      <w:r w:rsidRPr="00C355E5">
        <w:t>, notamment :</w:t>
      </w:r>
      <w:r w:rsidR="0053791B">
        <w:t xml:space="preserve"> </w:t>
      </w:r>
      <w:r w:rsidR="0053791B" w:rsidRPr="0053791B">
        <w:rPr>
          <w:b/>
          <w:bCs/>
        </w:rPr>
        <w:t>Les 10 Sauvegardes Opérationnelles (SO) du Système de Sauvegardes Intégré de la BAD (édition 2023)</w:t>
      </w:r>
    </w:p>
    <w:p w14:paraId="4F224C2A" w14:textId="409AA54B" w:rsidR="00763E2C" w:rsidRDefault="00763E2C" w:rsidP="00763E2C">
      <w:pPr>
        <w:pStyle w:val="Lgende"/>
        <w:keepNext/>
      </w:pPr>
      <w:bookmarkStart w:id="37" w:name="_Toc213404328"/>
      <w:r>
        <w:t xml:space="preserve">Tableau </w:t>
      </w:r>
      <w:r>
        <w:fldChar w:fldCharType="begin"/>
      </w:r>
      <w:r>
        <w:instrText xml:space="preserve"> SEQ Tableau \* ARABIC </w:instrText>
      </w:r>
      <w:r>
        <w:fldChar w:fldCharType="separate"/>
      </w:r>
      <w:r w:rsidR="00274E71">
        <w:rPr>
          <w:noProof/>
        </w:rPr>
        <w:t>5</w:t>
      </w:r>
      <w:r>
        <w:fldChar w:fldCharType="end"/>
      </w:r>
      <w:r>
        <w:rPr>
          <w:lang w:val="fr-FR"/>
        </w:rPr>
        <w:t xml:space="preserve"> : Le SO de la BAD (2023)</w:t>
      </w:r>
      <w:bookmarkEnd w:id="37"/>
    </w:p>
    <w:tbl>
      <w:tblPr>
        <w:tblStyle w:val="TableauGrille1Clair-Accentuation111"/>
        <w:tblW w:w="9067" w:type="dxa"/>
        <w:tblLook w:val="04A0" w:firstRow="1" w:lastRow="0" w:firstColumn="1" w:lastColumn="0" w:noHBand="0" w:noVBand="1"/>
      </w:tblPr>
      <w:tblGrid>
        <w:gridCol w:w="3270"/>
        <w:gridCol w:w="3392"/>
        <w:gridCol w:w="2405"/>
      </w:tblGrid>
      <w:tr w:rsidR="00650482" w:rsidRPr="0053791B" w14:paraId="0FC76FD9" w14:textId="1CD163C1" w:rsidTr="0065048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70" w:type="dxa"/>
            <w:vAlign w:val="center"/>
            <w:hideMark/>
          </w:tcPr>
          <w:p w14:paraId="718F6C1A" w14:textId="77777777" w:rsidR="00650482" w:rsidRPr="0053791B" w:rsidRDefault="00650482" w:rsidP="00650482">
            <w:pPr>
              <w:jc w:val="left"/>
            </w:pPr>
            <w:r w:rsidRPr="0053791B">
              <w:t>Sauvegarde Opérationnelle (SO)</w:t>
            </w:r>
          </w:p>
        </w:tc>
        <w:tc>
          <w:tcPr>
            <w:tcW w:w="3392" w:type="dxa"/>
            <w:vAlign w:val="center"/>
            <w:hideMark/>
          </w:tcPr>
          <w:p w14:paraId="26330EB1" w14:textId="77777777" w:rsidR="00650482" w:rsidRPr="0053791B" w:rsidRDefault="00650482" w:rsidP="00650482">
            <w:pPr>
              <w:jc w:val="left"/>
              <w:cnfStyle w:val="100000000000" w:firstRow="1" w:lastRow="0" w:firstColumn="0" w:lastColumn="0" w:oddVBand="0" w:evenVBand="0" w:oddHBand="0" w:evenHBand="0" w:firstRowFirstColumn="0" w:firstRowLastColumn="0" w:lastRowFirstColumn="0" w:lastRowLastColumn="0"/>
            </w:pPr>
            <w:r w:rsidRPr="0053791B">
              <w:t>Objet principal</w:t>
            </w:r>
          </w:p>
        </w:tc>
        <w:tc>
          <w:tcPr>
            <w:tcW w:w="2405" w:type="dxa"/>
            <w:vAlign w:val="center"/>
          </w:tcPr>
          <w:p w14:paraId="27EC9671" w14:textId="1CFA0469" w:rsidR="00650482" w:rsidRPr="00ED1E78" w:rsidRDefault="00650482" w:rsidP="00650482">
            <w:pPr>
              <w:jc w:val="left"/>
              <w:cnfStyle w:val="100000000000" w:firstRow="1" w:lastRow="0" w:firstColumn="0" w:lastColumn="0" w:oddVBand="0" w:evenVBand="0" w:oddHBand="0" w:evenHBand="0" w:firstRowFirstColumn="0" w:firstRowLastColumn="0" w:lastRowFirstColumn="0" w:lastRowLastColumn="0"/>
            </w:pPr>
            <w:r w:rsidRPr="00ED1E78">
              <w:t>Applicabilité au projet</w:t>
            </w:r>
          </w:p>
        </w:tc>
      </w:tr>
      <w:tr w:rsidR="00650482" w:rsidRPr="0053791B" w14:paraId="4C7072F7" w14:textId="3A5430C9" w:rsidTr="00650482">
        <w:tc>
          <w:tcPr>
            <w:cnfStyle w:val="001000000000" w:firstRow="0" w:lastRow="0" w:firstColumn="1" w:lastColumn="0" w:oddVBand="0" w:evenVBand="0" w:oddHBand="0" w:evenHBand="0" w:firstRowFirstColumn="0" w:firstRowLastColumn="0" w:lastRowFirstColumn="0" w:lastRowLastColumn="0"/>
            <w:tcW w:w="3270" w:type="dxa"/>
            <w:vAlign w:val="center"/>
            <w:hideMark/>
          </w:tcPr>
          <w:p w14:paraId="256A2453" w14:textId="6DC90240" w:rsidR="00650482" w:rsidRPr="0053791B" w:rsidRDefault="00650482" w:rsidP="00650482">
            <w:pPr>
              <w:jc w:val="left"/>
              <w:rPr>
                <w:b w:val="0"/>
                <w:bCs w:val="0"/>
              </w:rPr>
            </w:pPr>
            <w:r w:rsidRPr="00650482">
              <w:rPr>
                <w:b w:val="0"/>
                <w:bCs w:val="0"/>
                <w:szCs w:val="20"/>
              </w:rPr>
              <w:t>Sauvegarde opérationnelle 1 : Évaluation et gestion des risques environnementaux et sociaux</w:t>
            </w:r>
          </w:p>
        </w:tc>
        <w:tc>
          <w:tcPr>
            <w:tcW w:w="3392" w:type="dxa"/>
            <w:vAlign w:val="center"/>
            <w:hideMark/>
          </w:tcPr>
          <w:p w14:paraId="74005958" w14:textId="2EC4999F" w:rsidR="00650482" w:rsidRPr="0053791B" w:rsidRDefault="00650482" w:rsidP="00650482">
            <w:pPr>
              <w:jc w:val="left"/>
              <w:cnfStyle w:val="000000000000" w:firstRow="0" w:lastRow="0" w:firstColumn="0" w:lastColumn="0" w:oddVBand="0" w:evenVBand="0" w:oddHBand="0" w:evenHBand="0" w:firstRowFirstColumn="0" w:firstRowLastColumn="0" w:lastRowFirstColumn="0" w:lastRowLastColumn="0"/>
            </w:pPr>
            <w:r w:rsidRPr="0053791B">
              <w:t xml:space="preserve">Identifier et évaluer les </w:t>
            </w:r>
            <w:r w:rsidR="00DC2891">
              <w:t>risques</w:t>
            </w:r>
            <w:r w:rsidR="00DC2891" w:rsidRPr="0053791B">
              <w:t xml:space="preserve"> </w:t>
            </w:r>
            <w:r w:rsidRPr="0053791B">
              <w:t xml:space="preserve">et </w:t>
            </w:r>
            <w:r w:rsidR="00DC2891">
              <w:t>impacts</w:t>
            </w:r>
            <w:r w:rsidRPr="0053791B">
              <w:t xml:space="preserve"> environnementaux et sociaux, intégrer les mesures d’atténuation dans la conception du projet.</w:t>
            </w:r>
          </w:p>
        </w:tc>
        <w:tc>
          <w:tcPr>
            <w:tcW w:w="2405" w:type="dxa"/>
            <w:vAlign w:val="center"/>
          </w:tcPr>
          <w:p w14:paraId="4AE070A7" w14:textId="187CC246" w:rsidR="00650482" w:rsidRPr="00650482" w:rsidRDefault="00650482" w:rsidP="00650482">
            <w:pPr>
              <w:jc w:val="left"/>
              <w:cnfStyle w:val="000000000000" w:firstRow="0" w:lastRow="0" w:firstColumn="0" w:lastColumn="0" w:oddVBand="0" w:evenVBand="0" w:oddHBand="0" w:evenHBand="0" w:firstRowFirstColumn="0" w:firstRowLastColumn="0" w:lastRowFirstColumn="0" w:lastRowLastColumn="0"/>
            </w:pPr>
            <w:r w:rsidRPr="00650482">
              <w:t>Oui</w:t>
            </w:r>
          </w:p>
        </w:tc>
      </w:tr>
      <w:tr w:rsidR="00650482" w:rsidRPr="0053791B" w14:paraId="5E994D07" w14:textId="1F4E8425" w:rsidTr="00650482">
        <w:tc>
          <w:tcPr>
            <w:cnfStyle w:val="001000000000" w:firstRow="0" w:lastRow="0" w:firstColumn="1" w:lastColumn="0" w:oddVBand="0" w:evenVBand="0" w:oddHBand="0" w:evenHBand="0" w:firstRowFirstColumn="0" w:firstRowLastColumn="0" w:lastRowFirstColumn="0" w:lastRowLastColumn="0"/>
            <w:tcW w:w="3270" w:type="dxa"/>
            <w:vAlign w:val="center"/>
            <w:hideMark/>
          </w:tcPr>
          <w:p w14:paraId="777C14FD" w14:textId="645FDD01" w:rsidR="00650482" w:rsidRPr="0053791B" w:rsidRDefault="00650482" w:rsidP="00650482">
            <w:pPr>
              <w:jc w:val="left"/>
              <w:rPr>
                <w:b w:val="0"/>
                <w:bCs w:val="0"/>
              </w:rPr>
            </w:pPr>
            <w:r w:rsidRPr="00650482">
              <w:rPr>
                <w:b w:val="0"/>
                <w:bCs w:val="0"/>
                <w:szCs w:val="20"/>
              </w:rPr>
              <w:t xml:space="preserve">Sauvegarde opérationnelle 2 : Conditions d’emplois et de travail </w:t>
            </w:r>
          </w:p>
        </w:tc>
        <w:tc>
          <w:tcPr>
            <w:tcW w:w="3392" w:type="dxa"/>
            <w:vAlign w:val="center"/>
            <w:hideMark/>
          </w:tcPr>
          <w:p w14:paraId="1F718278" w14:textId="6073E247" w:rsidR="00650482" w:rsidRDefault="00E17BFB" w:rsidP="00650482">
            <w:pPr>
              <w:jc w:val="left"/>
              <w:cnfStyle w:val="000000000000" w:firstRow="0" w:lastRow="0" w:firstColumn="0" w:lastColumn="0" w:oddVBand="0" w:evenVBand="0" w:oddHBand="0" w:evenHBand="0" w:firstRowFirstColumn="0" w:firstRowLastColumn="0" w:lastRowFirstColumn="0" w:lastRowLastColumn="0"/>
            </w:pPr>
            <w:r w:rsidRPr="00867167">
              <w:rPr>
                <w:rFonts w:asciiTheme="minorHAnsi" w:hAnsiTheme="minorHAnsi" w:cstheme="minorHAnsi"/>
                <w:szCs w:val="20"/>
              </w:rPr>
              <w:t xml:space="preserve"> </w:t>
            </w:r>
          </w:p>
          <w:p w14:paraId="6E3E142F" w14:textId="310365E4" w:rsidR="00AE3A8F" w:rsidRPr="0053791B" w:rsidRDefault="00AE3A8F">
            <w:pPr>
              <w:jc w:val="left"/>
              <w:cnfStyle w:val="000000000000" w:firstRow="0" w:lastRow="0" w:firstColumn="0" w:lastColumn="0" w:oddVBand="0" w:evenVBand="0" w:oddHBand="0" w:evenHBand="0" w:firstRowFirstColumn="0" w:firstRowLastColumn="0" w:lastRowFirstColumn="0" w:lastRowLastColumn="0"/>
            </w:pPr>
            <w:r w:rsidRPr="0053791B">
              <w:t>Garantir des conditions de travail décentes, la non-discrimination, la santé et la sécurité au travail.</w:t>
            </w:r>
          </w:p>
        </w:tc>
        <w:tc>
          <w:tcPr>
            <w:tcW w:w="2405" w:type="dxa"/>
            <w:vAlign w:val="center"/>
          </w:tcPr>
          <w:p w14:paraId="2230523D" w14:textId="500CA26F" w:rsidR="00650482" w:rsidRPr="00650482" w:rsidRDefault="00650482" w:rsidP="00650482">
            <w:pPr>
              <w:jc w:val="left"/>
              <w:cnfStyle w:val="000000000000" w:firstRow="0" w:lastRow="0" w:firstColumn="0" w:lastColumn="0" w:oddVBand="0" w:evenVBand="0" w:oddHBand="0" w:evenHBand="0" w:firstRowFirstColumn="0" w:firstRowLastColumn="0" w:lastRowFirstColumn="0" w:lastRowLastColumn="0"/>
            </w:pPr>
            <w:r w:rsidRPr="00650482">
              <w:t>Oui</w:t>
            </w:r>
          </w:p>
        </w:tc>
      </w:tr>
      <w:tr w:rsidR="00650482" w:rsidRPr="0053791B" w14:paraId="7B36ABCB" w14:textId="32CFBCFC" w:rsidTr="00650482">
        <w:tc>
          <w:tcPr>
            <w:cnfStyle w:val="001000000000" w:firstRow="0" w:lastRow="0" w:firstColumn="1" w:lastColumn="0" w:oddVBand="0" w:evenVBand="0" w:oddHBand="0" w:evenHBand="0" w:firstRowFirstColumn="0" w:firstRowLastColumn="0" w:lastRowFirstColumn="0" w:lastRowLastColumn="0"/>
            <w:tcW w:w="3270" w:type="dxa"/>
            <w:vAlign w:val="center"/>
            <w:hideMark/>
          </w:tcPr>
          <w:p w14:paraId="6876ADC5" w14:textId="5AAD42D7" w:rsidR="00650482" w:rsidRPr="0053791B" w:rsidRDefault="00650482" w:rsidP="00650482">
            <w:pPr>
              <w:jc w:val="left"/>
              <w:rPr>
                <w:b w:val="0"/>
                <w:bCs w:val="0"/>
              </w:rPr>
            </w:pPr>
            <w:r w:rsidRPr="00650482">
              <w:rPr>
                <w:b w:val="0"/>
                <w:bCs w:val="0"/>
                <w:szCs w:val="20"/>
              </w:rPr>
              <w:t xml:space="preserve">Sauvegarde opérationnelle environnementale et sociale 3 : Utilisation efficiente des ressources </w:t>
            </w:r>
            <w:r w:rsidRPr="00650482">
              <w:rPr>
                <w:b w:val="0"/>
                <w:bCs w:val="0"/>
                <w:szCs w:val="20"/>
              </w:rPr>
              <w:lastRenderedPageBreak/>
              <w:t>et prévention et gestion de la pollution</w:t>
            </w:r>
          </w:p>
        </w:tc>
        <w:tc>
          <w:tcPr>
            <w:tcW w:w="3392" w:type="dxa"/>
            <w:vAlign w:val="center"/>
            <w:hideMark/>
          </w:tcPr>
          <w:p w14:paraId="2BF543CC" w14:textId="5AF2D6E3" w:rsidR="00650482" w:rsidRPr="0053791B" w:rsidRDefault="00650482">
            <w:pPr>
              <w:jc w:val="left"/>
              <w:cnfStyle w:val="000000000000" w:firstRow="0" w:lastRow="0" w:firstColumn="0" w:lastColumn="0" w:oddVBand="0" w:evenVBand="0" w:oddHBand="0" w:evenHBand="0" w:firstRowFirstColumn="0" w:firstRowLastColumn="0" w:lastRowFirstColumn="0" w:lastRowLastColumn="0"/>
            </w:pPr>
            <w:r w:rsidRPr="0053791B">
              <w:lastRenderedPageBreak/>
              <w:t>.</w:t>
            </w:r>
            <w:r w:rsidR="00AE3A8F" w:rsidRPr="0053791B">
              <w:t xml:space="preserve"> Promouvoir l’utilisation rationnelle de l’énergie, de l’eau et des matériaux</w:t>
            </w:r>
            <w:r w:rsidR="00DC2891">
              <w:t xml:space="preserve"> et des ressources naturelles</w:t>
            </w:r>
            <w:r w:rsidR="00AE3A8F" w:rsidRPr="0053791B">
              <w:t xml:space="preserve"> ; prévenir </w:t>
            </w:r>
            <w:r w:rsidR="00AE3A8F" w:rsidRPr="0053791B">
              <w:lastRenderedPageBreak/>
              <w:t>et réduire les émissions, déchets et rejets polluants.</w:t>
            </w:r>
          </w:p>
        </w:tc>
        <w:tc>
          <w:tcPr>
            <w:tcW w:w="2405" w:type="dxa"/>
            <w:vAlign w:val="center"/>
          </w:tcPr>
          <w:p w14:paraId="6691ECAE" w14:textId="06343116" w:rsidR="00650482" w:rsidRPr="00650482" w:rsidRDefault="00650482" w:rsidP="00650482">
            <w:pPr>
              <w:jc w:val="left"/>
              <w:cnfStyle w:val="000000000000" w:firstRow="0" w:lastRow="0" w:firstColumn="0" w:lastColumn="0" w:oddVBand="0" w:evenVBand="0" w:oddHBand="0" w:evenHBand="0" w:firstRowFirstColumn="0" w:firstRowLastColumn="0" w:lastRowFirstColumn="0" w:lastRowLastColumn="0"/>
            </w:pPr>
            <w:r w:rsidRPr="00650482">
              <w:lastRenderedPageBreak/>
              <w:t>Oui</w:t>
            </w:r>
          </w:p>
        </w:tc>
      </w:tr>
      <w:tr w:rsidR="00E17BFB" w:rsidRPr="0053791B" w14:paraId="4E7E90D3" w14:textId="0731C6F3" w:rsidTr="00AC2854">
        <w:tc>
          <w:tcPr>
            <w:cnfStyle w:val="001000000000" w:firstRow="0" w:lastRow="0" w:firstColumn="1" w:lastColumn="0" w:oddVBand="0" w:evenVBand="0" w:oddHBand="0" w:evenHBand="0" w:firstRowFirstColumn="0" w:firstRowLastColumn="0" w:lastRowFirstColumn="0" w:lastRowLastColumn="0"/>
            <w:tcW w:w="0" w:type="dxa"/>
            <w:vAlign w:val="center"/>
            <w:hideMark/>
          </w:tcPr>
          <w:p w14:paraId="19103488" w14:textId="04353BF6" w:rsidR="00E17BFB" w:rsidRPr="0053791B" w:rsidRDefault="00E17BFB" w:rsidP="00E17BFB">
            <w:pPr>
              <w:jc w:val="left"/>
              <w:rPr>
                <w:b w:val="0"/>
                <w:bCs w:val="0"/>
              </w:rPr>
            </w:pPr>
            <w:r w:rsidRPr="00650482">
              <w:rPr>
                <w:b w:val="0"/>
                <w:bCs w:val="0"/>
                <w:szCs w:val="20"/>
              </w:rPr>
              <w:lastRenderedPageBreak/>
              <w:t>Sauvegarde opérationnelle environnementale et sociale 4 : Santé, sûreté et sécurité communautaires</w:t>
            </w:r>
          </w:p>
        </w:tc>
        <w:tc>
          <w:tcPr>
            <w:tcW w:w="0" w:type="dxa"/>
            <w:hideMark/>
          </w:tcPr>
          <w:p w14:paraId="1DBBF3A4" w14:textId="4E13C778" w:rsidR="00E17BFB" w:rsidRPr="0053791B" w:rsidRDefault="00E17BFB">
            <w:pPr>
              <w:jc w:val="left"/>
              <w:cnfStyle w:val="000000000000" w:firstRow="0" w:lastRow="0" w:firstColumn="0" w:lastColumn="0" w:oddVBand="0" w:evenVBand="0" w:oddHBand="0" w:evenHBand="0" w:firstRowFirstColumn="0" w:firstRowLastColumn="0" w:lastRowFirstColumn="0" w:lastRowLastColumn="0"/>
            </w:pPr>
            <w:r w:rsidRPr="0053791B">
              <w:t>. Prévenir les</w:t>
            </w:r>
            <w:r w:rsidR="00DC2891">
              <w:t xml:space="preserve"> risques et</w:t>
            </w:r>
            <w:r w:rsidRPr="0053791B">
              <w:t xml:space="preserve"> impacts sur la santé, la sécurité et la sûreté des populations ; planifier la gestion des situations d’urgence</w:t>
            </w:r>
          </w:p>
        </w:tc>
        <w:tc>
          <w:tcPr>
            <w:tcW w:w="0" w:type="dxa"/>
            <w:vAlign w:val="center"/>
          </w:tcPr>
          <w:p w14:paraId="1BAA15CC" w14:textId="0A0F16A5" w:rsidR="00E17BFB" w:rsidRPr="00650482" w:rsidRDefault="00E17BFB" w:rsidP="00E17BFB">
            <w:pPr>
              <w:jc w:val="left"/>
              <w:cnfStyle w:val="000000000000" w:firstRow="0" w:lastRow="0" w:firstColumn="0" w:lastColumn="0" w:oddVBand="0" w:evenVBand="0" w:oddHBand="0" w:evenHBand="0" w:firstRowFirstColumn="0" w:firstRowLastColumn="0" w:lastRowFirstColumn="0" w:lastRowLastColumn="0"/>
            </w:pPr>
            <w:r w:rsidRPr="00650482">
              <w:t>Oui</w:t>
            </w:r>
          </w:p>
        </w:tc>
      </w:tr>
      <w:tr w:rsidR="00E17BFB" w:rsidRPr="0053791B" w14:paraId="2ECD0AC8" w14:textId="6712EB74" w:rsidTr="00650482">
        <w:tc>
          <w:tcPr>
            <w:cnfStyle w:val="001000000000" w:firstRow="0" w:lastRow="0" w:firstColumn="1" w:lastColumn="0" w:oddVBand="0" w:evenVBand="0" w:oddHBand="0" w:evenHBand="0" w:firstRowFirstColumn="0" w:firstRowLastColumn="0" w:lastRowFirstColumn="0" w:lastRowLastColumn="0"/>
            <w:tcW w:w="3270" w:type="dxa"/>
            <w:vAlign w:val="center"/>
            <w:hideMark/>
          </w:tcPr>
          <w:p w14:paraId="18B1B9D3" w14:textId="778CABC4" w:rsidR="00E17BFB" w:rsidRPr="0053791B" w:rsidRDefault="00E17BFB" w:rsidP="00E17BFB">
            <w:pPr>
              <w:jc w:val="left"/>
              <w:rPr>
                <w:b w:val="0"/>
                <w:bCs w:val="0"/>
              </w:rPr>
            </w:pPr>
            <w:r w:rsidRPr="00650482">
              <w:rPr>
                <w:b w:val="0"/>
                <w:bCs w:val="0"/>
                <w:szCs w:val="20"/>
              </w:rPr>
              <w:t>Sauvegarde opérationnelle environnementale et sociale 5 : Acquisition de terres, restrictions à l’accès et à l’utilisation des terres, et réinstallation involontaire</w:t>
            </w:r>
          </w:p>
        </w:tc>
        <w:tc>
          <w:tcPr>
            <w:tcW w:w="3392" w:type="dxa"/>
            <w:vAlign w:val="center"/>
            <w:hideMark/>
          </w:tcPr>
          <w:p w14:paraId="7532895F" w14:textId="3AA959E4" w:rsidR="00E17BFB" w:rsidRPr="0053791B" w:rsidRDefault="00E17BFB">
            <w:pPr>
              <w:jc w:val="left"/>
              <w:cnfStyle w:val="000000000000" w:firstRow="0" w:lastRow="0" w:firstColumn="0" w:lastColumn="0" w:oddVBand="0" w:evenVBand="0" w:oddHBand="0" w:evenHBand="0" w:firstRowFirstColumn="0" w:firstRowLastColumn="0" w:lastRowFirstColumn="0" w:lastRowLastColumn="0"/>
            </w:pPr>
            <w:r w:rsidRPr="00867167">
              <w:rPr>
                <w:rFonts w:asciiTheme="minorHAnsi" w:hAnsiTheme="minorHAnsi" w:cstheme="minorHAnsi"/>
                <w:szCs w:val="20"/>
              </w:rPr>
              <w:t>.</w:t>
            </w:r>
            <w:r w:rsidRPr="0053791B">
              <w:t>. Gérer équitablement les déplacements physiques et économiques ; indemniser et restaurer les moyens de subsistance.</w:t>
            </w:r>
          </w:p>
        </w:tc>
        <w:tc>
          <w:tcPr>
            <w:tcW w:w="2405" w:type="dxa"/>
            <w:vAlign w:val="center"/>
          </w:tcPr>
          <w:p w14:paraId="5BDFB1C2" w14:textId="530A3C12" w:rsidR="00E17BFB" w:rsidRPr="00650482" w:rsidRDefault="00E17BFB" w:rsidP="00E17BFB">
            <w:pPr>
              <w:jc w:val="left"/>
              <w:cnfStyle w:val="000000000000" w:firstRow="0" w:lastRow="0" w:firstColumn="0" w:lastColumn="0" w:oddVBand="0" w:evenVBand="0" w:oddHBand="0" w:evenHBand="0" w:firstRowFirstColumn="0" w:firstRowLastColumn="0" w:lastRowFirstColumn="0" w:lastRowLastColumn="0"/>
            </w:pPr>
            <w:r w:rsidRPr="00650482">
              <w:t>Non</w:t>
            </w:r>
          </w:p>
        </w:tc>
      </w:tr>
      <w:tr w:rsidR="00E17BFB" w:rsidRPr="0053791B" w14:paraId="2DC921C0" w14:textId="2FB3398B" w:rsidTr="00650482">
        <w:tc>
          <w:tcPr>
            <w:cnfStyle w:val="001000000000" w:firstRow="0" w:lastRow="0" w:firstColumn="1" w:lastColumn="0" w:oddVBand="0" w:evenVBand="0" w:oddHBand="0" w:evenHBand="0" w:firstRowFirstColumn="0" w:firstRowLastColumn="0" w:lastRowFirstColumn="0" w:lastRowLastColumn="0"/>
            <w:tcW w:w="3270" w:type="dxa"/>
            <w:vAlign w:val="center"/>
            <w:hideMark/>
          </w:tcPr>
          <w:p w14:paraId="68E00D53" w14:textId="0F85D688" w:rsidR="00E17BFB" w:rsidRPr="0053791B" w:rsidRDefault="00E17BFB" w:rsidP="00E17BFB">
            <w:pPr>
              <w:jc w:val="left"/>
              <w:rPr>
                <w:b w:val="0"/>
                <w:bCs w:val="0"/>
              </w:rPr>
            </w:pPr>
            <w:r w:rsidRPr="00650482">
              <w:rPr>
                <w:b w:val="0"/>
                <w:bCs w:val="0"/>
                <w:szCs w:val="20"/>
              </w:rPr>
              <w:t>Sauvegarde opérationnelle environnementale et sociale 6 : Conservation des habitats et de la biodiversité et gestion durable des ressources naturelles vivantes</w:t>
            </w:r>
          </w:p>
        </w:tc>
        <w:tc>
          <w:tcPr>
            <w:tcW w:w="3392" w:type="dxa"/>
            <w:vAlign w:val="center"/>
            <w:hideMark/>
          </w:tcPr>
          <w:p w14:paraId="766C24B5" w14:textId="78B76652" w:rsidR="00E17BFB" w:rsidRPr="0053791B" w:rsidRDefault="00E17BFB">
            <w:pPr>
              <w:jc w:val="left"/>
              <w:cnfStyle w:val="000000000000" w:firstRow="0" w:lastRow="0" w:firstColumn="0" w:lastColumn="0" w:oddVBand="0" w:evenVBand="0" w:oddHBand="0" w:evenHBand="0" w:firstRowFirstColumn="0" w:firstRowLastColumn="0" w:lastRowFirstColumn="0" w:lastRowLastColumn="0"/>
            </w:pPr>
            <w:r w:rsidRPr="00867167">
              <w:rPr>
                <w:rFonts w:asciiTheme="minorHAnsi" w:hAnsiTheme="minorHAnsi" w:cstheme="minorHAnsi"/>
                <w:szCs w:val="20"/>
              </w:rPr>
              <w:t>.</w:t>
            </w:r>
            <w:r w:rsidRPr="0053791B">
              <w:t>Préserver la diversité biologique, les services écosystémiques et les habitats naturels et critiques</w:t>
            </w:r>
          </w:p>
        </w:tc>
        <w:tc>
          <w:tcPr>
            <w:tcW w:w="2405" w:type="dxa"/>
            <w:vAlign w:val="center"/>
          </w:tcPr>
          <w:p w14:paraId="09B349B7" w14:textId="27408CE8" w:rsidR="00E17BFB" w:rsidRPr="00650482" w:rsidRDefault="00E17BFB" w:rsidP="00E17BFB">
            <w:pPr>
              <w:jc w:val="left"/>
              <w:cnfStyle w:val="000000000000" w:firstRow="0" w:lastRow="0" w:firstColumn="0" w:lastColumn="0" w:oddVBand="0" w:evenVBand="0" w:oddHBand="0" w:evenHBand="0" w:firstRowFirstColumn="0" w:firstRowLastColumn="0" w:lastRowFirstColumn="0" w:lastRowLastColumn="0"/>
            </w:pPr>
            <w:r w:rsidRPr="00650482">
              <w:t>Oui</w:t>
            </w:r>
          </w:p>
        </w:tc>
      </w:tr>
      <w:tr w:rsidR="00E17BFB" w:rsidRPr="0053791B" w14:paraId="1BF2DE0E" w14:textId="3E1F9825" w:rsidTr="00AC2854">
        <w:tc>
          <w:tcPr>
            <w:cnfStyle w:val="001000000000" w:firstRow="0" w:lastRow="0" w:firstColumn="1" w:lastColumn="0" w:oddVBand="0" w:evenVBand="0" w:oddHBand="0" w:evenHBand="0" w:firstRowFirstColumn="0" w:firstRowLastColumn="0" w:lastRowFirstColumn="0" w:lastRowLastColumn="0"/>
            <w:tcW w:w="0" w:type="dxa"/>
            <w:vAlign w:val="center"/>
            <w:hideMark/>
          </w:tcPr>
          <w:p w14:paraId="341EB5CF" w14:textId="06E2296D" w:rsidR="00E17BFB" w:rsidRPr="0053791B" w:rsidRDefault="00E17BFB" w:rsidP="00E17BFB">
            <w:pPr>
              <w:jc w:val="left"/>
              <w:rPr>
                <w:b w:val="0"/>
                <w:bCs w:val="0"/>
              </w:rPr>
            </w:pPr>
            <w:r w:rsidRPr="00650482">
              <w:rPr>
                <w:b w:val="0"/>
                <w:bCs w:val="0"/>
                <w:szCs w:val="20"/>
              </w:rPr>
              <w:t>Sauvegarde opérationnelle environnementale et sociale 7 : Groupes vulnérables</w:t>
            </w:r>
          </w:p>
        </w:tc>
        <w:tc>
          <w:tcPr>
            <w:tcW w:w="0" w:type="dxa"/>
            <w:vAlign w:val="center"/>
          </w:tcPr>
          <w:p w14:paraId="1931861E" w14:textId="164155F6" w:rsidR="00E17BFB" w:rsidRPr="0053791B" w:rsidRDefault="00E17BFB" w:rsidP="00E17BFB">
            <w:pPr>
              <w:jc w:val="left"/>
              <w:cnfStyle w:val="000000000000" w:firstRow="0" w:lastRow="0" w:firstColumn="0" w:lastColumn="0" w:oddVBand="0" w:evenVBand="0" w:oddHBand="0" w:evenHBand="0" w:firstRowFirstColumn="0" w:firstRowLastColumn="0" w:lastRowFirstColumn="0" w:lastRowLastColumn="0"/>
            </w:pPr>
            <w:r w:rsidRPr="00867167">
              <w:rPr>
                <w:rFonts w:asciiTheme="minorHAnsi" w:hAnsiTheme="minorHAnsi" w:cstheme="minorHAnsi"/>
                <w:szCs w:val="20"/>
              </w:rPr>
              <w:t>.</w:t>
            </w:r>
            <w:r w:rsidRPr="0053791B">
              <w:t xml:space="preserve"> Promouvoir l’égalité des sexes, la protection des groupes vulnérables et le respect des droits humains fondamentaux</w:t>
            </w:r>
            <w:r>
              <w:t xml:space="preserve"> dans le cadre du projet</w:t>
            </w:r>
            <w:r w:rsidRPr="0053791B">
              <w:t>.</w:t>
            </w:r>
          </w:p>
        </w:tc>
        <w:tc>
          <w:tcPr>
            <w:tcW w:w="0" w:type="dxa"/>
            <w:vAlign w:val="center"/>
          </w:tcPr>
          <w:p w14:paraId="5D1C92CA" w14:textId="212CF427" w:rsidR="00E17BFB" w:rsidRPr="00650482" w:rsidRDefault="00E17BFB" w:rsidP="00E17BFB">
            <w:pPr>
              <w:jc w:val="left"/>
              <w:cnfStyle w:val="000000000000" w:firstRow="0" w:lastRow="0" w:firstColumn="0" w:lastColumn="0" w:oddVBand="0" w:evenVBand="0" w:oddHBand="0" w:evenHBand="0" w:firstRowFirstColumn="0" w:firstRowLastColumn="0" w:lastRowFirstColumn="0" w:lastRowLastColumn="0"/>
            </w:pPr>
            <w:r w:rsidRPr="00650482">
              <w:t>Oui</w:t>
            </w:r>
          </w:p>
        </w:tc>
      </w:tr>
      <w:tr w:rsidR="00E17BFB" w:rsidRPr="0053791B" w14:paraId="186A08A3" w14:textId="2C3836EF" w:rsidTr="00650482">
        <w:tc>
          <w:tcPr>
            <w:cnfStyle w:val="001000000000" w:firstRow="0" w:lastRow="0" w:firstColumn="1" w:lastColumn="0" w:oddVBand="0" w:evenVBand="0" w:oddHBand="0" w:evenHBand="0" w:firstRowFirstColumn="0" w:firstRowLastColumn="0" w:lastRowFirstColumn="0" w:lastRowLastColumn="0"/>
            <w:tcW w:w="3270" w:type="dxa"/>
            <w:vAlign w:val="center"/>
            <w:hideMark/>
          </w:tcPr>
          <w:p w14:paraId="0446C5A4" w14:textId="3AB5017B" w:rsidR="00E17BFB" w:rsidRPr="0053791B" w:rsidRDefault="00E17BFB" w:rsidP="00E17BFB">
            <w:pPr>
              <w:jc w:val="left"/>
              <w:rPr>
                <w:b w:val="0"/>
                <w:bCs w:val="0"/>
              </w:rPr>
            </w:pPr>
            <w:r w:rsidRPr="00650482">
              <w:rPr>
                <w:b w:val="0"/>
                <w:bCs w:val="0"/>
                <w:szCs w:val="20"/>
              </w:rPr>
              <w:t>Sauvegarde opérationnelle environnementale et sociale 8 : Patrimoine culturel</w:t>
            </w:r>
          </w:p>
        </w:tc>
        <w:tc>
          <w:tcPr>
            <w:tcW w:w="3392" w:type="dxa"/>
            <w:vAlign w:val="center"/>
            <w:hideMark/>
          </w:tcPr>
          <w:p w14:paraId="2A18E731" w14:textId="638B7AD5" w:rsidR="00E17BFB" w:rsidRPr="0053791B" w:rsidRDefault="00E17BFB" w:rsidP="00E17BFB">
            <w:pPr>
              <w:jc w:val="left"/>
              <w:cnfStyle w:val="000000000000" w:firstRow="0" w:lastRow="0" w:firstColumn="0" w:lastColumn="0" w:oddVBand="0" w:evenVBand="0" w:oddHBand="0" w:evenHBand="0" w:firstRowFirstColumn="0" w:firstRowLastColumn="0" w:lastRowFirstColumn="0" w:lastRowLastColumn="0"/>
            </w:pPr>
            <w:r w:rsidRPr="00867167">
              <w:rPr>
                <w:rFonts w:asciiTheme="minorHAnsi" w:hAnsiTheme="minorHAnsi" w:cstheme="minorHAnsi"/>
                <w:szCs w:val="20"/>
              </w:rPr>
              <w:t>Protéger les sites, objets et traditions culturelles ; appliquer la procédure de « découvertes fortuites ».</w:t>
            </w:r>
          </w:p>
        </w:tc>
        <w:tc>
          <w:tcPr>
            <w:tcW w:w="2405" w:type="dxa"/>
            <w:vAlign w:val="center"/>
          </w:tcPr>
          <w:p w14:paraId="03A049B7" w14:textId="37157F63" w:rsidR="00E17BFB" w:rsidRPr="00650482" w:rsidRDefault="00E17BFB" w:rsidP="00E17BFB">
            <w:pPr>
              <w:jc w:val="left"/>
              <w:cnfStyle w:val="000000000000" w:firstRow="0" w:lastRow="0" w:firstColumn="0" w:lastColumn="0" w:oddVBand="0" w:evenVBand="0" w:oddHBand="0" w:evenHBand="0" w:firstRowFirstColumn="0" w:firstRowLastColumn="0" w:lastRowFirstColumn="0" w:lastRowLastColumn="0"/>
            </w:pPr>
            <w:r w:rsidRPr="00650482">
              <w:t>Oui</w:t>
            </w:r>
          </w:p>
        </w:tc>
      </w:tr>
      <w:tr w:rsidR="00E17BFB" w:rsidRPr="0053791B" w14:paraId="1D3B0D12" w14:textId="3738B19F" w:rsidTr="00650482">
        <w:tc>
          <w:tcPr>
            <w:cnfStyle w:val="001000000000" w:firstRow="0" w:lastRow="0" w:firstColumn="1" w:lastColumn="0" w:oddVBand="0" w:evenVBand="0" w:oddHBand="0" w:evenHBand="0" w:firstRowFirstColumn="0" w:firstRowLastColumn="0" w:lastRowFirstColumn="0" w:lastRowLastColumn="0"/>
            <w:tcW w:w="3270" w:type="dxa"/>
            <w:vAlign w:val="center"/>
            <w:hideMark/>
          </w:tcPr>
          <w:p w14:paraId="6735ACD5" w14:textId="118A888E" w:rsidR="00E17BFB" w:rsidRPr="0053791B" w:rsidRDefault="00E17BFB" w:rsidP="00E17BFB">
            <w:pPr>
              <w:jc w:val="left"/>
              <w:rPr>
                <w:b w:val="0"/>
                <w:bCs w:val="0"/>
              </w:rPr>
            </w:pPr>
            <w:r w:rsidRPr="00650482">
              <w:rPr>
                <w:b w:val="0"/>
                <w:bCs w:val="0"/>
                <w:szCs w:val="20"/>
              </w:rPr>
              <w:t>Sauvegarde opérationnelle environnementale et sociale 9 : Intermédiaires financiers</w:t>
            </w:r>
          </w:p>
        </w:tc>
        <w:tc>
          <w:tcPr>
            <w:tcW w:w="3392" w:type="dxa"/>
            <w:vAlign w:val="center"/>
            <w:hideMark/>
          </w:tcPr>
          <w:p w14:paraId="64FCF7CC" w14:textId="6B286B9D" w:rsidR="00E17BFB" w:rsidRDefault="00E17BFB" w:rsidP="00E17BFB">
            <w:pPr>
              <w:jc w:val="left"/>
              <w:cnfStyle w:val="000000000000" w:firstRow="0" w:lastRow="0" w:firstColumn="0" w:lastColumn="0" w:oddVBand="0" w:evenVBand="0" w:oddHBand="0" w:evenHBand="0" w:firstRowFirstColumn="0" w:firstRowLastColumn="0" w:lastRowFirstColumn="0" w:lastRowLastColumn="0"/>
            </w:pPr>
            <w:r w:rsidRPr="00867167">
              <w:rPr>
                <w:rFonts w:asciiTheme="minorHAnsi" w:hAnsiTheme="minorHAnsi" w:cstheme="minorHAnsi"/>
                <w:szCs w:val="20"/>
              </w:rPr>
              <w:t>.</w:t>
            </w:r>
          </w:p>
          <w:p w14:paraId="113444AB" w14:textId="5247CDDA" w:rsidR="00DC2891" w:rsidRPr="0053791B" w:rsidRDefault="00DC2891" w:rsidP="00E17BFB">
            <w:pPr>
              <w:jc w:val="left"/>
              <w:cnfStyle w:val="000000000000" w:firstRow="0" w:lastRow="0" w:firstColumn="0" w:lastColumn="0" w:oddVBand="0" w:evenVBand="0" w:oddHBand="0" w:evenHBand="0" w:firstRowFirstColumn="0" w:firstRowLastColumn="0" w:lastRowFirstColumn="0" w:lastRowLastColumn="0"/>
            </w:pPr>
            <w:r>
              <w:t>Gestion des risques et impacts E&amp;S dans le cadre des activités des intermédiaires financier. SGES et procédures E&amp;S</w:t>
            </w:r>
          </w:p>
        </w:tc>
        <w:tc>
          <w:tcPr>
            <w:tcW w:w="2405" w:type="dxa"/>
            <w:vAlign w:val="center"/>
          </w:tcPr>
          <w:p w14:paraId="1502E6D3" w14:textId="65744ED6" w:rsidR="00E17BFB" w:rsidRPr="00650482" w:rsidRDefault="00E17BFB" w:rsidP="00E17BFB">
            <w:pPr>
              <w:jc w:val="left"/>
              <w:cnfStyle w:val="000000000000" w:firstRow="0" w:lastRow="0" w:firstColumn="0" w:lastColumn="0" w:oddVBand="0" w:evenVBand="0" w:oddHBand="0" w:evenHBand="0" w:firstRowFirstColumn="0" w:firstRowLastColumn="0" w:lastRowFirstColumn="0" w:lastRowLastColumn="0"/>
            </w:pPr>
            <w:r w:rsidRPr="00650482">
              <w:t>Non</w:t>
            </w:r>
          </w:p>
        </w:tc>
      </w:tr>
      <w:tr w:rsidR="00E17BFB" w:rsidRPr="0053791B" w14:paraId="39173B5D" w14:textId="2B5DD9C3" w:rsidTr="00650482">
        <w:tc>
          <w:tcPr>
            <w:cnfStyle w:val="001000000000" w:firstRow="0" w:lastRow="0" w:firstColumn="1" w:lastColumn="0" w:oddVBand="0" w:evenVBand="0" w:oddHBand="0" w:evenHBand="0" w:firstRowFirstColumn="0" w:firstRowLastColumn="0" w:lastRowFirstColumn="0" w:lastRowLastColumn="0"/>
            <w:tcW w:w="3270" w:type="dxa"/>
            <w:vAlign w:val="center"/>
            <w:hideMark/>
          </w:tcPr>
          <w:p w14:paraId="7804AB05" w14:textId="076B7C41" w:rsidR="00E17BFB" w:rsidRPr="0053791B" w:rsidRDefault="00E17BFB" w:rsidP="00E17BFB">
            <w:pPr>
              <w:jc w:val="left"/>
              <w:rPr>
                <w:b w:val="0"/>
                <w:bCs w:val="0"/>
              </w:rPr>
            </w:pPr>
            <w:r w:rsidRPr="00650482">
              <w:rPr>
                <w:b w:val="0"/>
                <w:bCs w:val="0"/>
                <w:szCs w:val="20"/>
              </w:rPr>
              <w:t>Sauvegarde opérationnelle environnementale et sociale 10 : Engagement des parties prenantes et diffusion de l’information</w:t>
            </w:r>
          </w:p>
        </w:tc>
        <w:tc>
          <w:tcPr>
            <w:tcW w:w="3392" w:type="dxa"/>
            <w:vAlign w:val="center"/>
            <w:hideMark/>
          </w:tcPr>
          <w:p w14:paraId="3BDFF5F1" w14:textId="12745474" w:rsidR="00DC2891" w:rsidRDefault="00DC2891" w:rsidP="00E17BFB">
            <w:pPr>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867167">
              <w:rPr>
                <w:rFonts w:asciiTheme="minorHAnsi" w:hAnsiTheme="minorHAnsi" w:cstheme="minorHAnsi"/>
                <w:szCs w:val="20"/>
              </w:rPr>
              <w:t>Favoriser la participation inclusive</w:t>
            </w:r>
            <w:r>
              <w:rPr>
                <w:rFonts w:asciiTheme="minorHAnsi" w:hAnsiTheme="minorHAnsi" w:cstheme="minorHAnsi"/>
                <w:szCs w:val="20"/>
              </w:rPr>
              <w:t xml:space="preserve"> des différentes catégories de partie prenante</w:t>
            </w:r>
            <w:r w:rsidRPr="00867167">
              <w:rPr>
                <w:rFonts w:asciiTheme="minorHAnsi" w:hAnsiTheme="minorHAnsi" w:cstheme="minorHAnsi"/>
                <w:szCs w:val="20"/>
              </w:rPr>
              <w:t>, la transparence et la gestion efficace des doléances</w:t>
            </w:r>
          </w:p>
          <w:p w14:paraId="6621C88A" w14:textId="08AE5BBF" w:rsidR="00E17BFB" w:rsidRPr="0053791B" w:rsidRDefault="00E17BFB" w:rsidP="00E17BFB">
            <w:pPr>
              <w:jc w:val="left"/>
              <w:cnfStyle w:val="000000000000" w:firstRow="0" w:lastRow="0" w:firstColumn="0" w:lastColumn="0" w:oddVBand="0" w:evenVBand="0" w:oddHBand="0" w:evenHBand="0" w:firstRowFirstColumn="0" w:firstRowLastColumn="0" w:lastRowFirstColumn="0" w:lastRowLastColumn="0"/>
            </w:pPr>
          </w:p>
        </w:tc>
        <w:tc>
          <w:tcPr>
            <w:tcW w:w="2405" w:type="dxa"/>
            <w:vAlign w:val="center"/>
          </w:tcPr>
          <w:p w14:paraId="4A77CEA7" w14:textId="181A5F0B" w:rsidR="00E17BFB" w:rsidRPr="00650482" w:rsidRDefault="00E17BFB" w:rsidP="00E17BFB">
            <w:pPr>
              <w:jc w:val="left"/>
              <w:cnfStyle w:val="000000000000" w:firstRow="0" w:lastRow="0" w:firstColumn="0" w:lastColumn="0" w:oddVBand="0" w:evenVBand="0" w:oddHBand="0" w:evenHBand="0" w:firstRowFirstColumn="0" w:firstRowLastColumn="0" w:lastRowFirstColumn="0" w:lastRowLastColumn="0"/>
            </w:pPr>
            <w:r w:rsidRPr="00650482">
              <w:t>Oui</w:t>
            </w:r>
          </w:p>
        </w:tc>
      </w:tr>
    </w:tbl>
    <w:p w14:paraId="46EE9D71" w14:textId="55E69A5C" w:rsidR="00C355E5" w:rsidRPr="00C355E5" w:rsidRDefault="00C355E5" w:rsidP="00C355E5"/>
    <w:p w14:paraId="591838C3" w14:textId="77777777" w:rsidR="00492F37" w:rsidRDefault="00492F37" w:rsidP="00492F37"/>
    <w:p w14:paraId="4853023F" w14:textId="77777777" w:rsidR="00C355E5" w:rsidRDefault="00C355E5" w:rsidP="00492F37"/>
    <w:p w14:paraId="0DEF8C78" w14:textId="0B026107" w:rsidR="00BB71E0" w:rsidRPr="00BB71E0" w:rsidRDefault="00BB71E0" w:rsidP="00BB71E0">
      <w:pPr>
        <w:pStyle w:val="Title2"/>
      </w:pPr>
      <w:bookmarkStart w:id="38" w:name="_Toc215131770"/>
      <w:r w:rsidRPr="00BB71E0">
        <w:lastRenderedPageBreak/>
        <w:t>Impacts environnementaux et sociaux</w:t>
      </w:r>
      <w:bookmarkEnd w:id="38"/>
      <w:r w:rsidRPr="00BB71E0">
        <w:t xml:space="preserve"> </w:t>
      </w:r>
    </w:p>
    <w:p w14:paraId="39EC9962" w14:textId="70EE3C0F" w:rsidR="00BB71E0" w:rsidRPr="00BB71E0" w:rsidRDefault="00BB71E0" w:rsidP="00BB71E0">
      <w:pPr>
        <w:pStyle w:val="Title3"/>
      </w:pPr>
      <w:bookmarkStart w:id="39" w:name="_Toc215131771"/>
      <w:r w:rsidRPr="00BB71E0">
        <w:t>Phase de construction</w:t>
      </w:r>
      <w:bookmarkEnd w:id="39"/>
    </w:p>
    <w:p w14:paraId="44C50A82" w14:textId="77777777" w:rsidR="00BB71E0" w:rsidRPr="00BB71E0" w:rsidRDefault="00BB71E0" w:rsidP="00BB71E0">
      <w:pPr>
        <w:pStyle w:val="Title4"/>
      </w:pPr>
      <w:r w:rsidRPr="00BB71E0">
        <w:t>Qualité de l’air et émissions atmosphériques</w:t>
      </w:r>
    </w:p>
    <w:p w14:paraId="5631091F" w14:textId="77777777" w:rsidR="00BB71E0" w:rsidRPr="00BB71E0" w:rsidRDefault="00BB71E0" w:rsidP="0001633E">
      <w:pPr>
        <w:numPr>
          <w:ilvl w:val="1"/>
          <w:numId w:val="166"/>
        </w:numPr>
      </w:pPr>
      <w:r w:rsidRPr="00BB71E0">
        <w:t>Émissions de poussières et de gaz d’échappement provenant des engins de chantier et du transport des matériaux.</w:t>
      </w:r>
    </w:p>
    <w:p w14:paraId="3237D9AE" w14:textId="77777777" w:rsidR="00BB71E0" w:rsidRPr="00BB71E0" w:rsidRDefault="00BB71E0" w:rsidP="0001633E">
      <w:pPr>
        <w:numPr>
          <w:ilvl w:val="1"/>
          <w:numId w:val="166"/>
        </w:numPr>
      </w:pPr>
      <w:r w:rsidRPr="00BB71E0">
        <w:t>Impacts temporaires, localisés et réversibles ; importance modérée.</w:t>
      </w:r>
    </w:p>
    <w:p w14:paraId="23A6C5E0" w14:textId="77777777" w:rsidR="00BB71E0" w:rsidRPr="00BB71E0" w:rsidRDefault="00BB71E0" w:rsidP="00BB71E0">
      <w:pPr>
        <w:pStyle w:val="Title4"/>
      </w:pPr>
      <w:r w:rsidRPr="00BB71E0">
        <w:t>Bruit et vibrations</w:t>
      </w:r>
    </w:p>
    <w:p w14:paraId="5001D7CC" w14:textId="77777777" w:rsidR="00BB71E0" w:rsidRPr="00BB71E0" w:rsidRDefault="00BB71E0" w:rsidP="0001633E">
      <w:pPr>
        <w:numPr>
          <w:ilvl w:val="1"/>
          <w:numId w:val="166"/>
        </w:numPr>
      </w:pPr>
      <w:r w:rsidRPr="00BB71E0">
        <w:t>Nuisances sonores liées aux travaux de terrassement et d’aménagement.</w:t>
      </w:r>
    </w:p>
    <w:p w14:paraId="71C09A81" w14:textId="77777777" w:rsidR="00BB71E0" w:rsidRPr="00BB71E0" w:rsidRDefault="00BB71E0" w:rsidP="0001633E">
      <w:pPr>
        <w:numPr>
          <w:ilvl w:val="1"/>
          <w:numId w:val="166"/>
        </w:numPr>
      </w:pPr>
      <w:r w:rsidRPr="00BB71E0">
        <w:t>Impacts limités dans le temps et dans l’espace, ne concernant que la zone d’activité ; importance modérée.</w:t>
      </w:r>
    </w:p>
    <w:p w14:paraId="04F42833" w14:textId="77777777" w:rsidR="00BB71E0" w:rsidRPr="00BB71E0" w:rsidRDefault="00BB71E0" w:rsidP="00BB71E0">
      <w:pPr>
        <w:pStyle w:val="Title4"/>
      </w:pPr>
      <w:r w:rsidRPr="00BB71E0">
        <w:t>Sols et eaux superficielles</w:t>
      </w:r>
    </w:p>
    <w:p w14:paraId="25B6DE35" w14:textId="77777777" w:rsidR="00BB71E0" w:rsidRPr="00BB71E0" w:rsidRDefault="00BB71E0" w:rsidP="0001633E">
      <w:pPr>
        <w:numPr>
          <w:ilvl w:val="1"/>
          <w:numId w:val="166"/>
        </w:numPr>
      </w:pPr>
      <w:r w:rsidRPr="00BB71E0">
        <w:t>Risques ponctuels de pollution accidentelle du sol ou du réseau pluvial en cas de fuite ou de débordement d’hydrocarbures.</w:t>
      </w:r>
    </w:p>
    <w:p w14:paraId="73775B23" w14:textId="77777777" w:rsidR="00BB71E0" w:rsidRPr="00BB71E0" w:rsidRDefault="00BB71E0" w:rsidP="0001633E">
      <w:pPr>
        <w:numPr>
          <w:ilvl w:val="1"/>
          <w:numId w:val="166"/>
        </w:numPr>
      </w:pPr>
      <w:r w:rsidRPr="00BB71E0">
        <w:t>Impacts temporaires et réversibles ; criticité modérée.</w:t>
      </w:r>
    </w:p>
    <w:p w14:paraId="44F03D48" w14:textId="77777777" w:rsidR="00BB71E0" w:rsidRPr="00BB71E0" w:rsidRDefault="00BB71E0" w:rsidP="00BB71E0">
      <w:pPr>
        <w:pStyle w:val="Title4"/>
      </w:pPr>
      <w:r w:rsidRPr="00BB71E0">
        <w:t>Déchets solides</w:t>
      </w:r>
    </w:p>
    <w:p w14:paraId="4F6BDED4" w14:textId="77777777" w:rsidR="00BB71E0" w:rsidRPr="00BB71E0" w:rsidRDefault="00BB71E0" w:rsidP="0001633E">
      <w:pPr>
        <w:numPr>
          <w:ilvl w:val="1"/>
          <w:numId w:val="166"/>
        </w:numPr>
      </w:pPr>
      <w:r w:rsidRPr="00BB71E0">
        <w:t>Production de déchets inertes, banals et dangereux issus des activités de chantier.</w:t>
      </w:r>
    </w:p>
    <w:p w14:paraId="78504587" w14:textId="77777777" w:rsidR="00BB71E0" w:rsidRPr="00BB71E0" w:rsidRDefault="00BB71E0" w:rsidP="0001633E">
      <w:pPr>
        <w:numPr>
          <w:ilvl w:val="1"/>
          <w:numId w:val="166"/>
        </w:numPr>
      </w:pPr>
      <w:r w:rsidRPr="00BB71E0">
        <w:t>Gestion prévue par un Plan de Gestion des Déchets intégré au PGES ; impact modéré.</w:t>
      </w:r>
    </w:p>
    <w:p w14:paraId="3A883611" w14:textId="77777777" w:rsidR="00BB71E0" w:rsidRPr="00BB71E0" w:rsidRDefault="00BB71E0" w:rsidP="00BB71E0">
      <w:pPr>
        <w:pStyle w:val="Title4"/>
      </w:pPr>
      <w:r w:rsidRPr="00BB71E0">
        <w:t>Végétation et biodiversité</w:t>
      </w:r>
    </w:p>
    <w:p w14:paraId="168F04EB" w14:textId="77777777" w:rsidR="00BB71E0" w:rsidRPr="00BB71E0" w:rsidRDefault="00BB71E0" w:rsidP="0001633E">
      <w:pPr>
        <w:numPr>
          <w:ilvl w:val="1"/>
          <w:numId w:val="166"/>
        </w:numPr>
      </w:pPr>
      <w:r w:rsidRPr="00BB71E0">
        <w:t>Enlèvement temporaire d’une végétation rudérale à faible valeur écologique à l’intérieur du domaine ONDA.</w:t>
      </w:r>
    </w:p>
    <w:p w14:paraId="07BC5D94" w14:textId="77777777" w:rsidR="00BB71E0" w:rsidRPr="00BB71E0" w:rsidRDefault="00BB71E0" w:rsidP="0001633E">
      <w:pPr>
        <w:numPr>
          <w:ilvl w:val="1"/>
          <w:numId w:val="166"/>
        </w:numPr>
      </w:pPr>
      <w:r w:rsidRPr="00BB71E0">
        <w:t>Aucun habitat naturel critique ni espèce protégée identifiés ; impact faible et réversible.</w:t>
      </w:r>
    </w:p>
    <w:p w14:paraId="605E9EB3" w14:textId="77777777" w:rsidR="00BB71E0" w:rsidRPr="00BB71E0" w:rsidRDefault="00BB71E0" w:rsidP="00BB71E0">
      <w:pPr>
        <w:pStyle w:val="Title4"/>
      </w:pPr>
      <w:r w:rsidRPr="00BB71E0">
        <w:t>Santé et sécurité des travailleurs</w:t>
      </w:r>
    </w:p>
    <w:p w14:paraId="28FB321D" w14:textId="77777777" w:rsidR="00BB71E0" w:rsidRPr="00BB71E0" w:rsidRDefault="00BB71E0" w:rsidP="0001633E">
      <w:pPr>
        <w:numPr>
          <w:ilvl w:val="1"/>
          <w:numId w:val="166"/>
        </w:numPr>
      </w:pPr>
      <w:r w:rsidRPr="00BB71E0">
        <w:t>Risques liés aux accidents de chantier, à l’exposition au bruit, à la chaleur et aux produits chimiques.</w:t>
      </w:r>
    </w:p>
    <w:p w14:paraId="47BE4A64" w14:textId="77777777" w:rsidR="00BB71E0" w:rsidRPr="00BB71E0" w:rsidRDefault="00BB71E0" w:rsidP="0001633E">
      <w:pPr>
        <w:numPr>
          <w:ilvl w:val="1"/>
          <w:numId w:val="166"/>
        </w:numPr>
      </w:pPr>
      <w:r w:rsidRPr="00BB71E0">
        <w:t>Impact modéré à élevé, réduit par la mise en œuvre du Plan Santé et Sécurité au Travail.</w:t>
      </w:r>
    </w:p>
    <w:p w14:paraId="6A38BF95" w14:textId="77777777" w:rsidR="00BB71E0" w:rsidRPr="00BB71E0" w:rsidRDefault="00BB71E0" w:rsidP="00BB71E0">
      <w:pPr>
        <w:pStyle w:val="Title4"/>
      </w:pPr>
      <w:r w:rsidRPr="00BB71E0">
        <w:lastRenderedPageBreak/>
        <w:t>Santé communautaire et sécurité publique</w:t>
      </w:r>
    </w:p>
    <w:p w14:paraId="1E1AAE7E" w14:textId="77777777" w:rsidR="00BB71E0" w:rsidRPr="00BB71E0" w:rsidRDefault="00BB71E0" w:rsidP="0001633E">
      <w:pPr>
        <w:numPr>
          <w:ilvl w:val="1"/>
          <w:numId w:val="166"/>
        </w:numPr>
      </w:pPr>
      <w:r w:rsidRPr="00BB71E0">
        <w:t>Risques sanitaires liés aux interactions entre les travailleurs et les populations locales (MST/VIH, infections respiratoires).</w:t>
      </w:r>
    </w:p>
    <w:p w14:paraId="00A4D8D1" w14:textId="0D320B0E" w:rsidR="00BB71E0" w:rsidRPr="00BB71E0" w:rsidRDefault="00BB71E0" w:rsidP="0001633E">
      <w:pPr>
        <w:numPr>
          <w:ilvl w:val="1"/>
          <w:numId w:val="166"/>
        </w:numPr>
      </w:pPr>
      <w:r w:rsidRPr="00BB71E0">
        <w:t xml:space="preserve">Augmentation temporaire du trafic sur la </w:t>
      </w:r>
      <w:r w:rsidR="00622D6B">
        <w:t>RR212</w:t>
      </w:r>
      <w:r w:rsidRPr="00BB71E0">
        <w:t xml:space="preserve"> et risques associés à la circulation des engins.</w:t>
      </w:r>
    </w:p>
    <w:p w14:paraId="4F1E7083" w14:textId="77777777" w:rsidR="00BB71E0" w:rsidRPr="00BB71E0" w:rsidRDefault="00BB71E0" w:rsidP="0001633E">
      <w:pPr>
        <w:numPr>
          <w:ilvl w:val="1"/>
          <w:numId w:val="166"/>
        </w:numPr>
      </w:pPr>
      <w:r w:rsidRPr="00BB71E0">
        <w:t>Importance élevée sans mesures de prévention, réduite à un niveau modéré avec les actions prévues.</w:t>
      </w:r>
    </w:p>
    <w:p w14:paraId="5DCF4055" w14:textId="77777777" w:rsidR="00BB71E0" w:rsidRPr="00BB71E0" w:rsidRDefault="00BB71E0" w:rsidP="00BB71E0">
      <w:pPr>
        <w:pStyle w:val="Title4"/>
      </w:pPr>
      <w:r w:rsidRPr="00BB71E0">
        <w:t>Genre et vulnérabilité sociale</w:t>
      </w:r>
    </w:p>
    <w:p w14:paraId="72E3F403" w14:textId="77777777" w:rsidR="00BB71E0" w:rsidRPr="00BB71E0" w:rsidRDefault="00BB71E0" w:rsidP="0001633E">
      <w:pPr>
        <w:numPr>
          <w:ilvl w:val="1"/>
          <w:numId w:val="166"/>
        </w:numPr>
      </w:pPr>
      <w:r w:rsidRPr="00BB71E0">
        <w:t>Risque contextuel de violences basées sur le genre (VBG) ; prévention assurée par le Code de conduite et la sensibilisation.</w:t>
      </w:r>
    </w:p>
    <w:p w14:paraId="2E150FF3" w14:textId="77777777" w:rsidR="00BB71E0" w:rsidRPr="00BB71E0" w:rsidRDefault="00BB71E0" w:rsidP="0001633E">
      <w:pPr>
        <w:numPr>
          <w:ilvl w:val="1"/>
          <w:numId w:val="166"/>
        </w:numPr>
      </w:pPr>
      <w:r w:rsidRPr="00BB71E0">
        <w:t>Opportunités d’emploi local, notamment pour les femmes et les jeunes ; effet positif attendu.</w:t>
      </w:r>
    </w:p>
    <w:p w14:paraId="7911B6AA" w14:textId="51F46083" w:rsidR="00BB71E0" w:rsidRPr="00BB71E0" w:rsidRDefault="00BB71E0" w:rsidP="00BB71E0"/>
    <w:p w14:paraId="37998C59" w14:textId="2F4F83F7" w:rsidR="00BB71E0" w:rsidRPr="00BB71E0" w:rsidRDefault="00BB71E0" w:rsidP="00BB71E0">
      <w:pPr>
        <w:pStyle w:val="Title3"/>
      </w:pPr>
      <w:bookmarkStart w:id="40" w:name="_Toc215131772"/>
      <w:r w:rsidRPr="00BB71E0">
        <w:t>Phase d’exploitation</w:t>
      </w:r>
      <w:bookmarkEnd w:id="40"/>
    </w:p>
    <w:p w14:paraId="18A9FE16" w14:textId="77777777" w:rsidR="00BB71E0" w:rsidRPr="00BB71E0" w:rsidRDefault="00BB71E0" w:rsidP="00BB71E0">
      <w:pPr>
        <w:pStyle w:val="Title4"/>
      </w:pPr>
      <w:r w:rsidRPr="00BB71E0">
        <w:t>Qualité de l’air</w:t>
      </w:r>
    </w:p>
    <w:p w14:paraId="4C855DF8" w14:textId="77777777" w:rsidR="00BB71E0" w:rsidRPr="00BB71E0" w:rsidRDefault="00BB71E0" w:rsidP="0001633E">
      <w:pPr>
        <w:numPr>
          <w:ilvl w:val="1"/>
          <w:numId w:val="167"/>
        </w:numPr>
      </w:pPr>
      <w:r w:rsidRPr="00BB71E0">
        <w:t>Émissions limitées liées au fonctionnement des groupes électrogènes de secours.</w:t>
      </w:r>
    </w:p>
    <w:p w14:paraId="3372D3FA" w14:textId="77777777" w:rsidR="00BB71E0" w:rsidRPr="00BB71E0" w:rsidRDefault="00BB71E0" w:rsidP="0001633E">
      <w:pPr>
        <w:numPr>
          <w:ilvl w:val="1"/>
          <w:numId w:val="167"/>
        </w:numPr>
      </w:pPr>
      <w:r w:rsidRPr="00BB71E0">
        <w:t>Impact faible et maîtrisé grâce à la maintenance et à la gestion des combustibles.</w:t>
      </w:r>
    </w:p>
    <w:p w14:paraId="573AF257" w14:textId="77777777" w:rsidR="00BB71E0" w:rsidRPr="00BB71E0" w:rsidRDefault="00BB71E0" w:rsidP="00BB71E0">
      <w:pPr>
        <w:pStyle w:val="Title4"/>
      </w:pPr>
      <w:r w:rsidRPr="00BB71E0">
        <w:t>Bruit aéronautique et ambiant</w:t>
      </w:r>
    </w:p>
    <w:p w14:paraId="0B6FC941" w14:textId="77777777" w:rsidR="00BB71E0" w:rsidRPr="00BB71E0" w:rsidRDefault="00BB71E0" w:rsidP="0001633E">
      <w:pPr>
        <w:numPr>
          <w:ilvl w:val="1"/>
          <w:numId w:val="167"/>
        </w:numPr>
      </w:pPr>
      <w:r w:rsidRPr="00BB71E0">
        <w:t>Légère hausse des niveaux sonores liée à l’activité aérienne et aux équipements techniques.</w:t>
      </w:r>
    </w:p>
    <w:p w14:paraId="5A886754" w14:textId="77777777" w:rsidR="00BB71E0" w:rsidRPr="00BB71E0" w:rsidRDefault="00BB71E0" w:rsidP="0001633E">
      <w:pPr>
        <w:numPr>
          <w:ilvl w:val="1"/>
          <w:numId w:val="167"/>
        </w:numPr>
      </w:pPr>
      <w:r w:rsidRPr="00BB71E0">
        <w:t>Impact modéré, permanent mais contenu dans les limites réglementaires.</w:t>
      </w:r>
    </w:p>
    <w:p w14:paraId="3DF0DB81" w14:textId="77777777" w:rsidR="00BB71E0" w:rsidRPr="00BB71E0" w:rsidRDefault="00BB71E0" w:rsidP="00BB71E0">
      <w:pPr>
        <w:pStyle w:val="Title4"/>
      </w:pPr>
      <w:r w:rsidRPr="00BB71E0">
        <w:t>Eaux pluviales et sols</w:t>
      </w:r>
    </w:p>
    <w:p w14:paraId="5C21C378" w14:textId="77777777" w:rsidR="00BB71E0" w:rsidRPr="00BB71E0" w:rsidRDefault="00BB71E0" w:rsidP="0001633E">
      <w:pPr>
        <w:numPr>
          <w:ilvl w:val="1"/>
          <w:numId w:val="167"/>
        </w:numPr>
      </w:pPr>
      <w:r w:rsidRPr="00BB71E0">
        <w:t>Risque de pollution accidentelle en cas de déversement d’huiles ou de carburants lors des opérations de maintenance.</w:t>
      </w:r>
    </w:p>
    <w:p w14:paraId="1654CA1B" w14:textId="77777777" w:rsidR="00BB71E0" w:rsidRPr="00BB71E0" w:rsidRDefault="00BB71E0" w:rsidP="0001633E">
      <w:pPr>
        <w:numPr>
          <w:ilvl w:val="1"/>
          <w:numId w:val="167"/>
        </w:numPr>
      </w:pPr>
      <w:r w:rsidRPr="00BB71E0">
        <w:t>Impact faible, gérable par les dispositifs de confinement et les bonnes pratiques d’entretien.</w:t>
      </w:r>
    </w:p>
    <w:p w14:paraId="4DDA3CC8" w14:textId="77777777" w:rsidR="00BB71E0" w:rsidRPr="00BB71E0" w:rsidRDefault="00BB71E0" w:rsidP="00BB71E0">
      <w:pPr>
        <w:pStyle w:val="Title4"/>
      </w:pPr>
      <w:r w:rsidRPr="00BB71E0">
        <w:t>Déchets d’exploitation</w:t>
      </w:r>
    </w:p>
    <w:p w14:paraId="485AAFBB" w14:textId="77777777" w:rsidR="00BB71E0" w:rsidRPr="00BB71E0" w:rsidRDefault="00BB71E0" w:rsidP="0001633E">
      <w:pPr>
        <w:numPr>
          <w:ilvl w:val="1"/>
          <w:numId w:val="167"/>
        </w:numPr>
      </w:pPr>
      <w:r w:rsidRPr="00BB71E0">
        <w:t>Production régulière de déchets assimilés aux ordures ménagères et de déchets dangereux en faible quantité.</w:t>
      </w:r>
    </w:p>
    <w:p w14:paraId="5A146210" w14:textId="77777777" w:rsidR="00BB71E0" w:rsidRPr="00BB71E0" w:rsidRDefault="00BB71E0" w:rsidP="0001633E">
      <w:pPr>
        <w:numPr>
          <w:ilvl w:val="1"/>
          <w:numId w:val="167"/>
        </w:numPr>
      </w:pPr>
      <w:r w:rsidRPr="00BB71E0">
        <w:t>Impact faible ; gestion conforme au Plan de Gestion des Déchets.</w:t>
      </w:r>
    </w:p>
    <w:p w14:paraId="5B02E471" w14:textId="77777777" w:rsidR="00BB71E0" w:rsidRPr="00BB71E0" w:rsidRDefault="00BB71E0" w:rsidP="00BB71E0">
      <w:pPr>
        <w:pStyle w:val="Title4"/>
      </w:pPr>
      <w:r w:rsidRPr="00BB71E0">
        <w:lastRenderedPageBreak/>
        <w:t>Biodiversité et paysage</w:t>
      </w:r>
    </w:p>
    <w:p w14:paraId="19029AB8" w14:textId="77777777" w:rsidR="00BB71E0" w:rsidRPr="00BB71E0" w:rsidRDefault="00BB71E0" w:rsidP="0001633E">
      <w:pPr>
        <w:numPr>
          <w:ilvl w:val="1"/>
          <w:numId w:val="167"/>
        </w:numPr>
      </w:pPr>
      <w:r w:rsidRPr="00BB71E0">
        <w:t>Aucun effet significatif sur les composantes biologiques ou le paysage, compte tenu du caractère déjà anthropisé du site.</w:t>
      </w:r>
    </w:p>
    <w:p w14:paraId="13F64C41" w14:textId="77777777" w:rsidR="00BB71E0" w:rsidRPr="00BB71E0" w:rsidRDefault="00BB71E0" w:rsidP="0001633E">
      <w:pPr>
        <w:numPr>
          <w:ilvl w:val="1"/>
          <w:numId w:val="167"/>
        </w:numPr>
      </w:pPr>
      <w:r w:rsidRPr="00BB71E0">
        <w:t>Impact faible à négligeable.</w:t>
      </w:r>
    </w:p>
    <w:p w14:paraId="6AD8110F" w14:textId="77777777" w:rsidR="00BB71E0" w:rsidRPr="00BB71E0" w:rsidRDefault="00BB71E0" w:rsidP="00BB71E0">
      <w:pPr>
        <w:pStyle w:val="Title4"/>
      </w:pPr>
      <w:r w:rsidRPr="00BB71E0">
        <w:t>Santé, sûreté et sécurité communautaire</w:t>
      </w:r>
    </w:p>
    <w:p w14:paraId="7E13562B" w14:textId="77777777" w:rsidR="00BB71E0" w:rsidRPr="00BB71E0" w:rsidRDefault="00BB71E0" w:rsidP="0001633E">
      <w:pPr>
        <w:numPr>
          <w:ilvl w:val="1"/>
          <w:numId w:val="167"/>
        </w:numPr>
      </w:pPr>
      <w:r w:rsidRPr="00BB71E0">
        <w:t>Amélioration de la sûreté aéroportuaire grâce aux nouveaux dispositifs de contrôle, d’éclairage et de vidéosurveillance.</w:t>
      </w:r>
    </w:p>
    <w:p w14:paraId="46DDBB36" w14:textId="77777777" w:rsidR="00BB71E0" w:rsidRPr="00BB71E0" w:rsidRDefault="00BB71E0" w:rsidP="0001633E">
      <w:pPr>
        <w:numPr>
          <w:ilvl w:val="1"/>
          <w:numId w:val="167"/>
        </w:numPr>
      </w:pPr>
      <w:r w:rsidRPr="00BB71E0">
        <w:t>Effet positif majeur et durable.</w:t>
      </w:r>
    </w:p>
    <w:p w14:paraId="4363EFBE" w14:textId="77777777" w:rsidR="00BB71E0" w:rsidRPr="00BB71E0" w:rsidRDefault="00BB71E0" w:rsidP="00BB71E0">
      <w:pPr>
        <w:pStyle w:val="Title4"/>
      </w:pPr>
      <w:r w:rsidRPr="00BB71E0">
        <w:t>Effets socio-économiques</w:t>
      </w:r>
    </w:p>
    <w:p w14:paraId="6BF11FCA" w14:textId="77777777" w:rsidR="00BB71E0" w:rsidRPr="00BB71E0" w:rsidRDefault="00BB71E0" w:rsidP="0001633E">
      <w:pPr>
        <w:numPr>
          <w:ilvl w:val="1"/>
          <w:numId w:val="167"/>
        </w:numPr>
      </w:pPr>
      <w:r w:rsidRPr="00BB71E0">
        <w:t>Création d’emplois permanents et retombées économiques locales positives.</w:t>
      </w:r>
    </w:p>
    <w:p w14:paraId="1C5D8B6F" w14:textId="77777777" w:rsidR="00BB71E0" w:rsidRPr="00BB71E0" w:rsidRDefault="00BB71E0" w:rsidP="0001633E">
      <w:pPr>
        <w:numPr>
          <w:ilvl w:val="1"/>
          <w:numId w:val="167"/>
        </w:numPr>
      </w:pPr>
      <w:r w:rsidRPr="00BB71E0">
        <w:t>Impact social globalement positif et durable.</w:t>
      </w:r>
    </w:p>
    <w:p w14:paraId="4BBAEF53" w14:textId="2FD3B477" w:rsidR="00BB71E0" w:rsidRPr="00BB71E0" w:rsidRDefault="00BB71E0" w:rsidP="00BB71E0"/>
    <w:p w14:paraId="5D7C205D" w14:textId="23D91E6D" w:rsidR="00BB71E0" w:rsidRDefault="00BB71E0" w:rsidP="00FC149F">
      <w:pPr>
        <w:pStyle w:val="Title3"/>
      </w:pPr>
      <w:bookmarkStart w:id="41" w:name="_Toc215131773"/>
      <w:r w:rsidRPr="00BB71E0">
        <w:t>Synthèse des principaux impacts</w:t>
      </w:r>
      <w:bookmarkEnd w:id="41"/>
    </w:p>
    <w:p w14:paraId="4EBF1DF1" w14:textId="77777777" w:rsidR="00C355E5" w:rsidRDefault="00C355E5" w:rsidP="00492F37"/>
    <w:p w14:paraId="20939D73" w14:textId="77777777" w:rsidR="001C2242" w:rsidRDefault="001C2242" w:rsidP="00492F37">
      <w:pPr>
        <w:sectPr w:rsidR="001C2242" w:rsidSect="00183815">
          <w:pgSz w:w="11906" w:h="16838"/>
          <w:pgMar w:top="1417" w:right="1417" w:bottom="1276" w:left="1417" w:header="680" w:footer="680" w:gutter="0"/>
          <w:cols w:space="708"/>
          <w:docGrid w:linePitch="360"/>
        </w:sectPr>
      </w:pPr>
    </w:p>
    <w:p w14:paraId="501E4BBA" w14:textId="72832DF2" w:rsidR="00DF652E" w:rsidRPr="00DF652E" w:rsidRDefault="00DF652E" w:rsidP="00DF652E">
      <w:pPr>
        <w:pStyle w:val="Lgende"/>
        <w:rPr>
          <w:lang w:bidi="en-US"/>
        </w:rPr>
      </w:pPr>
      <w:bookmarkStart w:id="42" w:name="_Toc213404329"/>
      <w:r>
        <w:lastRenderedPageBreak/>
        <w:t xml:space="preserve">Tableau </w:t>
      </w:r>
      <w:r>
        <w:fldChar w:fldCharType="begin"/>
      </w:r>
      <w:r>
        <w:instrText xml:space="preserve"> SEQ Tableau \* ARABIC </w:instrText>
      </w:r>
      <w:r>
        <w:fldChar w:fldCharType="separate"/>
      </w:r>
      <w:r w:rsidR="00274E71">
        <w:rPr>
          <w:noProof/>
        </w:rPr>
        <w:t>6</w:t>
      </w:r>
      <w:r>
        <w:fldChar w:fldCharType="end"/>
      </w:r>
      <w:r>
        <w:rPr>
          <w:lang w:val="fr-FR"/>
        </w:rPr>
        <w:t xml:space="preserve"> : </w:t>
      </w:r>
      <w:r w:rsidRPr="00E46AE4">
        <w:rPr>
          <w:lang w:val="fr-FR"/>
        </w:rPr>
        <w:t>Tableau de synthèse global des impacts environnementaux et sociaux du projet</w:t>
      </w:r>
      <w:bookmarkEnd w:id="42"/>
    </w:p>
    <w:tbl>
      <w:tblPr>
        <w:tblStyle w:val="TableauGrille1Clair-Accentuation111"/>
        <w:tblW w:w="0" w:type="auto"/>
        <w:tblLook w:val="04A0" w:firstRow="1" w:lastRow="0" w:firstColumn="1" w:lastColumn="0" w:noHBand="0" w:noVBand="1"/>
      </w:tblPr>
      <w:tblGrid>
        <w:gridCol w:w="1680"/>
        <w:gridCol w:w="2358"/>
        <w:gridCol w:w="1262"/>
        <w:gridCol w:w="900"/>
        <w:gridCol w:w="1178"/>
        <w:gridCol w:w="1164"/>
        <w:gridCol w:w="1199"/>
        <w:gridCol w:w="983"/>
        <w:gridCol w:w="1056"/>
        <w:gridCol w:w="1152"/>
        <w:gridCol w:w="1203"/>
      </w:tblGrid>
      <w:tr w:rsidR="00DF652E" w:rsidRPr="00DF652E" w14:paraId="272EC4B7" w14:textId="77777777" w:rsidTr="00862C9D">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354C0586" w14:textId="77777777" w:rsidR="00DF652E" w:rsidRPr="00DF652E" w:rsidRDefault="00DF652E" w:rsidP="00DF652E">
            <w:pPr>
              <w:jc w:val="left"/>
            </w:pPr>
            <w:r w:rsidRPr="00DF652E">
              <w:t>Composante</w:t>
            </w:r>
          </w:p>
        </w:tc>
        <w:tc>
          <w:tcPr>
            <w:tcW w:w="0" w:type="auto"/>
            <w:vAlign w:val="center"/>
            <w:hideMark/>
          </w:tcPr>
          <w:p w14:paraId="407CAF2F" w14:textId="77777777" w:rsidR="00DF652E" w:rsidRPr="00DF652E" w:rsidRDefault="00DF652E" w:rsidP="00DF652E">
            <w:pPr>
              <w:jc w:val="left"/>
              <w:cnfStyle w:val="100000000000" w:firstRow="1" w:lastRow="0" w:firstColumn="0" w:lastColumn="0" w:oddVBand="0" w:evenVBand="0" w:oddHBand="0" w:evenHBand="0" w:firstRowFirstColumn="0" w:firstRowLastColumn="0" w:lastRowFirstColumn="0" w:lastRowLastColumn="0"/>
            </w:pPr>
            <w:r w:rsidRPr="00DF652E">
              <w:t>Impact identifié</w:t>
            </w:r>
          </w:p>
        </w:tc>
        <w:tc>
          <w:tcPr>
            <w:tcW w:w="0" w:type="auto"/>
            <w:vAlign w:val="center"/>
            <w:hideMark/>
          </w:tcPr>
          <w:p w14:paraId="0A597F2F" w14:textId="77777777" w:rsidR="00DF652E" w:rsidRPr="00DF652E" w:rsidRDefault="00DF652E" w:rsidP="00DF652E">
            <w:pPr>
              <w:jc w:val="left"/>
              <w:cnfStyle w:val="100000000000" w:firstRow="1" w:lastRow="0" w:firstColumn="0" w:lastColumn="0" w:oddVBand="0" w:evenVBand="0" w:oddHBand="0" w:evenHBand="0" w:firstRowFirstColumn="0" w:firstRowLastColumn="0" w:lastRowFirstColumn="0" w:lastRowLastColumn="0"/>
            </w:pPr>
            <w:r w:rsidRPr="00DF652E">
              <w:t>Phase</w:t>
            </w:r>
          </w:p>
        </w:tc>
        <w:tc>
          <w:tcPr>
            <w:tcW w:w="0" w:type="auto"/>
            <w:vAlign w:val="center"/>
            <w:hideMark/>
          </w:tcPr>
          <w:p w14:paraId="2670F123" w14:textId="77777777" w:rsidR="00DF652E" w:rsidRPr="00DF652E" w:rsidRDefault="00DF652E" w:rsidP="00DF652E">
            <w:pPr>
              <w:jc w:val="left"/>
              <w:cnfStyle w:val="100000000000" w:firstRow="1" w:lastRow="0" w:firstColumn="0" w:lastColumn="0" w:oddVBand="0" w:evenVBand="0" w:oddHBand="0" w:evenHBand="0" w:firstRowFirstColumn="0" w:firstRowLastColumn="0" w:lastRowFirstColumn="0" w:lastRowLastColumn="0"/>
            </w:pPr>
            <w:r w:rsidRPr="00DF652E">
              <w:t>Nature</w:t>
            </w:r>
          </w:p>
        </w:tc>
        <w:tc>
          <w:tcPr>
            <w:tcW w:w="0" w:type="auto"/>
            <w:vAlign w:val="center"/>
            <w:hideMark/>
          </w:tcPr>
          <w:p w14:paraId="55DF94FE" w14:textId="77777777" w:rsidR="00DF652E" w:rsidRPr="00DF652E" w:rsidRDefault="00DF652E" w:rsidP="00DF652E">
            <w:pPr>
              <w:jc w:val="left"/>
              <w:cnfStyle w:val="100000000000" w:firstRow="1" w:lastRow="0" w:firstColumn="0" w:lastColumn="0" w:oddVBand="0" w:evenVBand="0" w:oddHBand="0" w:evenHBand="0" w:firstRowFirstColumn="0" w:firstRowLastColumn="0" w:lastRowFirstColumn="0" w:lastRowLastColumn="0"/>
            </w:pPr>
            <w:r w:rsidRPr="00DF652E">
              <w:t>Importance</w:t>
            </w:r>
          </w:p>
        </w:tc>
        <w:tc>
          <w:tcPr>
            <w:tcW w:w="0" w:type="auto"/>
            <w:vAlign w:val="center"/>
            <w:hideMark/>
          </w:tcPr>
          <w:p w14:paraId="7D63C6D6" w14:textId="77777777" w:rsidR="00DF652E" w:rsidRPr="00DF652E" w:rsidRDefault="00DF652E" w:rsidP="00DF652E">
            <w:pPr>
              <w:jc w:val="left"/>
              <w:cnfStyle w:val="100000000000" w:firstRow="1" w:lastRow="0" w:firstColumn="0" w:lastColumn="0" w:oddVBand="0" w:evenVBand="0" w:oddHBand="0" w:evenHBand="0" w:firstRowFirstColumn="0" w:firstRowLastColumn="0" w:lastRowFirstColumn="0" w:lastRowLastColumn="0"/>
            </w:pPr>
            <w:r w:rsidRPr="00DF652E">
              <w:t>Durée</w:t>
            </w:r>
          </w:p>
        </w:tc>
        <w:tc>
          <w:tcPr>
            <w:tcW w:w="0" w:type="auto"/>
            <w:vAlign w:val="center"/>
            <w:hideMark/>
          </w:tcPr>
          <w:p w14:paraId="77CFF587" w14:textId="77777777" w:rsidR="00DF652E" w:rsidRPr="00DF652E" w:rsidRDefault="00DF652E" w:rsidP="00DF652E">
            <w:pPr>
              <w:jc w:val="left"/>
              <w:cnfStyle w:val="100000000000" w:firstRow="1" w:lastRow="0" w:firstColumn="0" w:lastColumn="0" w:oddVBand="0" w:evenVBand="0" w:oddHBand="0" w:evenHBand="0" w:firstRowFirstColumn="0" w:firstRowLastColumn="0" w:lastRowFirstColumn="0" w:lastRowLastColumn="0"/>
            </w:pPr>
            <w:r w:rsidRPr="00DF652E">
              <w:t>Fréquence</w:t>
            </w:r>
          </w:p>
        </w:tc>
        <w:tc>
          <w:tcPr>
            <w:tcW w:w="0" w:type="auto"/>
            <w:vAlign w:val="center"/>
            <w:hideMark/>
          </w:tcPr>
          <w:p w14:paraId="000B2A91" w14:textId="77777777" w:rsidR="00DF652E" w:rsidRPr="00DF652E" w:rsidRDefault="00DF652E" w:rsidP="00DF652E">
            <w:pPr>
              <w:jc w:val="left"/>
              <w:cnfStyle w:val="100000000000" w:firstRow="1" w:lastRow="0" w:firstColumn="0" w:lastColumn="0" w:oddVBand="0" w:evenVBand="0" w:oddHBand="0" w:evenHBand="0" w:firstRowFirstColumn="0" w:firstRowLastColumn="0" w:lastRowFirstColumn="0" w:lastRowLastColumn="0"/>
            </w:pPr>
            <w:r w:rsidRPr="00DF652E">
              <w:t>Étendue</w:t>
            </w:r>
          </w:p>
        </w:tc>
        <w:tc>
          <w:tcPr>
            <w:tcW w:w="0" w:type="auto"/>
            <w:vAlign w:val="center"/>
            <w:hideMark/>
          </w:tcPr>
          <w:p w14:paraId="476CAD27" w14:textId="77777777" w:rsidR="00DF652E" w:rsidRPr="00DF652E" w:rsidRDefault="00DF652E" w:rsidP="00DF652E">
            <w:pPr>
              <w:jc w:val="left"/>
              <w:cnfStyle w:val="100000000000" w:firstRow="1" w:lastRow="0" w:firstColumn="0" w:lastColumn="0" w:oddVBand="0" w:evenVBand="0" w:oddHBand="0" w:evenHBand="0" w:firstRowFirstColumn="0" w:firstRowLastColumn="0" w:lastRowFirstColumn="0" w:lastRowLastColumn="0"/>
            </w:pPr>
            <w:r w:rsidRPr="00DF652E">
              <w:t>Intensité</w:t>
            </w:r>
          </w:p>
        </w:tc>
        <w:tc>
          <w:tcPr>
            <w:tcW w:w="0" w:type="auto"/>
            <w:vAlign w:val="center"/>
            <w:hideMark/>
          </w:tcPr>
          <w:p w14:paraId="2F3B9F04" w14:textId="77777777" w:rsidR="00DF652E" w:rsidRPr="00DF652E" w:rsidRDefault="00DF652E" w:rsidP="00DF652E">
            <w:pPr>
              <w:jc w:val="left"/>
              <w:cnfStyle w:val="100000000000" w:firstRow="1" w:lastRow="0" w:firstColumn="0" w:lastColumn="0" w:oddVBand="0" w:evenVBand="0" w:oddHBand="0" w:evenHBand="0" w:firstRowFirstColumn="0" w:firstRowLastColumn="0" w:lastRowFirstColumn="0" w:lastRowLastColumn="0"/>
            </w:pPr>
            <w:r w:rsidRPr="00DF652E">
              <w:t>Sensibilité du milieu</w:t>
            </w:r>
          </w:p>
        </w:tc>
        <w:tc>
          <w:tcPr>
            <w:tcW w:w="0" w:type="auto"/>
            <w:vAlign w:val="center"/>
            <w:hideMark/>
          </w:tcPr>
          <w:p w14:paraId="1D502882" w14:textId="77777777" w:rsidR="00DF652E" w:rsidRPr="00DF652E" w:rsidRDefault="00DF652E" w:rsidP="00DF652E">
            <w:pPr>
              <w:jc w:val="left"/>
              <w:cnfStyle w:val="100000000000" w:firstRow="1" w:lastRow="0" w:firstColumn="0" w:lastColumn="0" w:oddVBand="0" w:evenVBand="0" w:oddHBand="0" w:evenHBand="0" w:firstRowFirstColumn="0" w:firstRowLastColumn="0" w:lastRowFirstColumn="0" w:lastRowLastColumn="0"/>
            </w:pPr>
            <w:r w:rsidRPr="00DF652E">
              <w:t>Impact résiduel</w:t>
            </w:r>
          </w:p>
        </w:tc>
      </w:tr>
      <w:tr w:rsidR="00DF652E" w:rsidRPr="00DF652E" w14:paraId="590DD358" w14:textId="77777777" w:rsidTr="005A7661">
        <w:tc>
          <w:tcPr>
            <w:cnfStyle w:val="001000000000" w:firstRow="0" w:lastRow="0" w:firstColumn="1" w:lastColumn="0" w:oddVBand="0" w:evenVBand="0" w:oddHBand="0" w:evenHBand="0" w:firstRowFirstColumn="0" w:firstRowLastColumn="0" w:lastRowFirstColumn="0" w:lastRowLastColumn="0"/>
            <w:tcW w:w="0" w:type="auto"/>
            <w:gridSpan w:val="11"/>
            <w:vAlign w:val="center"/>
          </w:tcPr>
          <w:p w14:paraId="5263C873" w14:textId="05E188CA" w:rsidR="00DF652E" w:rsidRPr="00DF652E" w:rsidRDefault="00DF652E" w:rsidP="00DF652E">
            <w:pPr>
              <w:jc w:val="left"/>
            </w:pPr>
            <w:r>
              <w:t>Phase de construction</w:t>
            </w:r>
          </w:p>
        </w:tc>
      </w:tr>
      <w:tr w:rsidR="00DF652E" w:rsidRPr="00DF652E" w14:paraId="645CA50C" w14:textId="77777777" w:rsidTr="00DF652E">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483D70E1" w14:textId="77777777" w:rsidR="00DF652E" w:rsidRPr="00DF652E" w:rsidRDefault="00DF652E" w:rsidP="00DF652E">
            <w:pPr>
              <w:jc w:val="left"/>
            </w:pPr>
            <w:r w:rsidRPr="00DF652E">
              <w:t>Air et climat</w:t>
            </w:r>
          </w:p>
        </w:tc>
        <w:tc>
          <w:tcPr>
            <w:tcW w:w="0" w:type="auto"/>
            <w:vAlign w:val="center"/>
            <w:hideMark/>
          </w:tcPr>
          <w:p w14:paraId="78203DC1" w14:textId="77777777" w:rsidR="00DF652E" w:rsidRPr="00DF652E" w:rsidRDefault="00DF652E" w:rsidP="00DF652E">
            <w:pPr>
              <w:jc w:val="left"/>
              <w:cnfStyle w:val="000000000000" w:firstRow="0" w:lastRow="0" w:firstColumn="0" w:lastColumn="0" w:oddVBand="0" w:evenVBand="0" w:oddHBand="0" w:evenHBand="0" w:firstRowFirstColumn="0" w:firstRowLastColumn="0" w:lastRowFirstColumn="0" w:lastRowLastColumn="0"/>
            </w:pPr>
            <w:r w:rsidRPr="00DF652E">
              <w:t>Émissions de poussières et gaz d’échappement liées aux engins et au transport des matériaux</w:t>
            </w:r>
          </w:p>
        </w:tc>
        <w:tc>
          <w:tcPr>
            <w:tcW w:w="0" w:type="auto"/>
            <w:vAlign w:val="center"/>
            <w:hideMark/>
          </w:tcPr>
          <w:p w14:paraId="07EE0309" w14:textId="77777777" w:rsidR="00DF652E" w:rsidRPr="00DF652E" w:rsidRDefault="00DF652E" w:rsidP="00DF652E">
            <w:pPr>
              <w:jc w:val="left"/>
              <w:cnfStyle w:val="000000000000" w:firstRow="0" w:lastRow="0" w:firstColumn="0" w:lastColumn="0" w:oddVBand="0" w:evenVBand="0" w:oddHBand="0" w:evenHBand="0" w:firstRowFirstColumn="0" w:firstRowLastColumn="0" w:lastRowFirstColumn="0" w:lastRowLastColumn="0"/>
            </w:pPr>
            <w:r w:rsidRPr="00DF652E">
              <w:t>Construction</w:t>
            </w:r>
          </w:p>
        </w:tc>
        <w:tc>
          <w:tcPr>
            <w:tcW w:w="0" w:type="auto"/>
            <w:vAlign w:val="center"/>
            <w:hideMark/>
          </w:tcPr>
          <w:p w14:paraId="50F735BA" w14:textId="77777777" w:rsidR="00DF652E" w:rsidRPr="00DF652E" w:rsidRDefault="00DF652E" w:rsidP="00DF652E">
            <w:pPr>
              <w:jc w:val="left"/>
              <w:cnfStyle w:val="000000000000" w:firstRow="0" w:lastRow="0" w:firstColumn="0" w:lastColumn="0" w:oddVBand="0" w:evenVBand="0" w:oddHBand="0" w:evenHBand="0" w:firstRowFirstColumn="0" w:firstRowLastColumn="0" w:lastRowFirstColumn="0" w:lastRowLastColumn="0"/>
            </w:pPr>
            <w:r w:rsidRPr="00DF652E">
              <w:t>Négatif direct</w:t>
            </w:r>
          </w:p>
        </w:tc>
        <w:tc>
          <w:tcPr>
            <w:tcW w:w="0" w:type="auto"/>
            <w:vAlign w:val="center"/>
            <w:hideMark/>
          </w:tcPr>
          <w:p w14:paraId="36D50905" w14:textId="77777777" w:rsidR="00DF652E" w:rsidRPr="00DF652E" w:rsidRDefault="00DF652E" w:rsidP="00DF652E">
            <w:pPr>
              <w:jc w:val="left"/>
              <w:cnfStyle w:val="000000000000" w:firstRow="0" w:lastRow="0" w:firstColumn="0" w:lastColumn="0" w:oddVBand="0" w:evenVBand="0" w:oddHBand="0" w:evenHBand="0" w:firstRowFirstColumn="0" w:firstRowLastColumn="0" w:lastRowFirstColumn="0" w:lastRowLastColumn="0"/>
            </w:pPr>
            <w:r w:rsidRPr="00DF652E">
              <w:t>Modéré</w:t>
            </w:r>
          </w:p>
        </w:tc>
        <w:tc>
          <w:tcPr>
            <w:tcW w:w="0" w:type="auto"/>
            <w:vAlign w:val="center"/>
            <w:hideMark/>
          </w:tcPr>
          <w:p w14:paraId="25C7E69A" w14:textId="77777777" w:rsidR="00DF652E" w:rsidRPr="00DF652E" w:rsidRDefault="00DF652E" w:rsidP="00DF652E">
            <w:pPr>
              <w:jc w:val="left"/>
              <w:cnfStyle w:val="000000000000" w:firstRow="0" w:lastRow="0" w:firstColumn="0" w:lastColumn="0" w:oddVBand="0" w:evenVBand="0" w:oddHBand="0" w:evenHBand="0" w:firstRowFirstColumn="0" w:firstRowLastColumn="0" w:lastRowFirstColumn="0" w:lastRowLastColumn="0"/>
            </w:pPr>
            <w:r w:rsidRPr="00DF652E">
              <w:t>Temporaire</w:t>
            </w:r>
          </w:p>
        </w:tc>
        <w:tc>
          <w:tcPr>
            <w:tcW w:w="0" w:type="auto"/>
            <w:vAlign w:val="center"/>
            <w:hideMark/>
          </w:tcPr>
          <w:p w14:paraId="00E65700" w14:textId="77777777" w:rsidR="00DF652E" w:rsidRPr="00DF652E" w:rsidRDefault="00DF652E" w:rsidP="00DF652E">
            <w:pPr>
              <w:jc w:val="left"/>
              <w:cnfStyle w:val="000000000000" w:firstRow="0" w:lastRow="0" w:firstColumn="0" w:lastColumn="0" w:oddVBand="0" w:evenVBand="0" w:oddHBand="0" w:evenHBand="0" w:firstRowFirstColumn="0" w:firstRowLastColumn="0" w:lastRowFirstColumn="0" w:lastRowLastColumn="0"/>
            </w:pPr>
            <w:r w:rsidRPr="00DF652E">
              <w:t>Fréquent</w:t>
            </w:r>
          </w:p>
        </w:tc>
        <w:tc>
          <w:tcPr>
            <w:tcW w:w="0" w:type="auto"/>
            <w:vAlign w:val="center"/>
            <w:hideMark/>
          </w:tcPr>
          <w:p w14:paraId="1FA43F31" w14:textId="77777777" w:rsidR="00DF652E" w:rsidRPr="00DF652E" w:rsidRDefault="00DF652E" w:rsidP="00DF652E">
            <w:pPr>
              <w:jc w:val="left"/>
              <w:cnfStyle w:val="000000000000" w:firstRow="0" w:lastRow="0" w:firstColumn="0" w:lastColumn="0" w:oddVBand="0" w:evenVBand="0" w:oddHBand="0" w:evenHBand="0" w:firstRowFirstColumn="0" w:firstRowLastColumn="0" w:lastRowFirstColumn="0" w:lastRowLastColumn="0"/>
            </w:pPr>
            <w:r w:rsidRPr="00DF652E">
              <w:t>Localisé</w:t>
            </w:r>
          </w:p>
        </w:tc>
        <w:tc>
          <w:tcPr>
            <w:tcW w:w="0" w:type="auto"/>
            <w:vAlign w:val="center"/>
            <w:hideMark/>
          </w:tcPr>
          <w:p w14:paraId="7B190A5F" w14:textId="77777777" w:rsidR="00DF652E" w:rsidRPr="00DF652E" w:rsidRDefault="00DF652E" w:rsidP="00DF652E">
            <w:pPr>
              <w:jc w:val="left"/>
              <w:cnfStyle w:val="000000000000" w:firstRow="0" w:lastRow="0" w:firstColumn="0" w:lastColumn="0" w:oddVBand="0" w:evenVBand="0" w:oddHBand="0" w:evenHBand="0" w:firstRowFirstColumn="0" w:firstRowLastColumn="0" w:lastRowFirstColumn="0" w:lastRowLastColumn="0"/>
            </w:pPr>
            <w:r w:rsidRPr="00DF652E">
              <w:t>Moyenne</w:t>
            </w:r>
          </w:p>
        </w:tc>
        <w:tc>
          <w:tcPr>
            <w:tcW w:w="0" w:type="auto"/>
            <w:vAlign w:val="center"/>
            <w:hideMark/>
          </w:tcPr>
          <w:p w14:paraId="0AAFE679" w14:textId="77777777" w:rsidR="00DF652E" w:rsidRPr="00DF652E" w:rsidRDefault="00DF652E" w:rsidP="00DF652E">
            <w:pPr>
              <w:jc w:val="left"/>
              <w:cnfStyle w:val="000000000000" w:firstRow="0" w:lastRow="0" w:firstColumn="0" w:lastColumn="0" w:oddVBand="0" w:evenVBand="0" w:oddHBand="0" w:evenHBand="0" w:firstRowFirstColumn="0" w:firstRowLastColumn="0" w:lastRowFirstColumn="0" w:lastRowLastColumn="0"/>
            </w:pPr>
            <w:r w:rsidRPr="00DF652E">
              <w:t>Faible</w:t>
            </w:r>
          </w:p>
        </w:tc>
        <w:tc>
          <w:tcPr>
            <w:tcW w:w="0" w:type="auto"/>
            <w:vAlign w:val="center"/>
            <w:hideMark/>
          </w:tcPr>
          <w:p w14:paraId="192966E2" w14:textId="1D2A2B88" w:rsidR="00DF652E" w:rsidRPr="00DF652E" w:rsidRDefault="00537092" w:rsidP="00DF652E">
            <w:pPr>
              <w:jc w:val="left"/>
              <w:cnfStyle w:val="000000000000" w:firstRow="0" w:lastRow="0" w:firstColumn="0" w:lastColumn="0" w:oddVBand="0" w:evenVBand="0" w:oddHBand="0" w:evenHBand="0" w:firstRowFirstColumn="0" w:firstRowLastColumn="0" w:lastRowFirstColumn="0" w:lastRowLastColumn="0"/>
            </w:pPr>
            <w:r>
              <w:t>Mineur</w:t>
            </w:r>
          </w:p>
        </w:tc>
      </w:tr>
      <w:tr w:rsidR="00537092" w:rsidRPr="00DF652E" w14:paraId="12E26C27" w14:textId="77777777" w:rsidTr="00DF652E">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513498FF" w14:textId="77777777" w:rsidR="00537092" w:rsidRPr="00DF652E" w:rsidRDefault="00537092" w:rsidP="00537092">
            <w:pPr>
              <w:jc w:val="left"/>
            </w:pPr>
            <w:r w:rsidRPr="00DF652E">
              <w:t>Bruit et vibrations</w:t>
            </w:r>
          </w:p>
        </w:tc>
        <w:tc>
          <w:tcPr>
            <w:tcW w:w="0" w:type="auto"/>
            <w:vAlign w:val="center"/>
            <w:hideMark/>
          </w:tcPr>
          <w:p w14:paraId="69DE4E18" w14:textId="77777777" w:rsidR="00537092" w:rsidRPr="00DF652E" w:rsidRDefault="00537092" w:rsidP="00537092">
            <w:pPr>
              <w:jc w:val="left"/>
              <w:cnfStyle w:val="000000000000" w:firstRow="0" w:lastRow="0" w:firstColumn="0" w:lastColumn="0" w:oddVBand="0" w:evenVBand="0" w:oddHBand="0" w:evenHBand="0" w:firstRowFirstColumn="0" w:firstRowLastColumn="0" w:lastRowFirstColumn="0" w:lastRowLastColumn="0"/>
            </w:pPr>
            <w:r w:rsidRPr="00DF652E">
              <w:t>Nuisances sonores dues aux engins de chantier et aux mouvements de véhicules</w:t>
            </w:r>
          </w:p>
        </w:tc>
        <w:tc>
          <w:tcPr>
            <w:tcW w:w="0" w:type="auto"/>
            <w:vAlign w:val="center"/>
            <w:hideMark/>
          </w:tcPr>
          <w:p w14:paraId="1066D84C" w14:textId="77777777" w:rsidR="00537092" w:rsidRPr="00DF652E" w:rsidRDefault="00537092" w:rsidP="00537092">
            <w:pPr>
              <w:jc w:val="left"/>
              <w:cnfStyle w:val="000000000000" w:firstRow="0" w:lastRow="0" w:firstColumn="0" w:lastColumn="0" w:oddVBand="0" w:evenVBand="0" w:oddHBand="0" w:evenHBand="0" w:firstRowFirstColumn="0" w:firstRowLastColumn="0" w:lastRowFirstColumn="0" w:lastRowLastColumn="0"/>
            </w:pPr>
            <w:r w:rsidRPr="00DF652E">
              <w:t>Construction</w:t>
            </w:r>
          </w:p>
        </w:tc>
        <w:tc>
          <w:tcPr>
            <w:tcW w:w="0" w:type="auto"/>
            <w:vAlign w:val="center"/>
            <w:hideMark/>
          </w:tcPr>
          <w:p w14:paraId="54848C76" w14:textId="77777777" w:rsidR="00537092" w:rsidRPr="00DF652E" w:rsidRDefault="00537092" w:rsidP="00537092">
            <w:pPr>
              <w:jc w:val="left"/>
              <w:cnfStyle w:val="000000000000" w:firstRow="0" w:lastRow="0" w:firstColumn="0" w:lastColumn="0" w:oddVBand="0" w:evenVBand="0" w:oddHBand="0" w:evenHBand="0" w:firstRowFirstColumn="0" w:firstRowLastColumn="0" w:lastRowFirstColumn="0" w:lastRowLastColumn="0"/>
            </w:pPr>
            <w:r w:rsidRPr="00DF652E">
              <w:t>Négatif direct</w:t>
            </w:r>
          </w:p>
        </w:tc>
        <w:tc>
          <w:tcPr>
            <w:tcW w:w="0" w:type="auto"/>
            <w:vAlign w:val="center"/>
            <w:hideMark/>
          </w:tcPr>
          <w:p w14:paraId="7C0D7530" w14:textId="77777777" w:rsidR="00537092" w:rsidRPr="00DF652E" w:rsidRDefault="00537092" w:rsidP="00537092">
            <w:pPr>
              <w:jc w:val="left"/>
              <w:cnfStyle w:val="000000000000" w:firstRow="0" w:lastRow="0" w:firstColumn="0" w:lastColumn="0" w:oddVBand="0" w:evenVBand="0" w:oddHBand="0" w:evenHBand="0" w:firstRowFirstColumn="0" w:firstRowLastColumn="0" w:lastRowFirstColumn="0" w:lastRowLastColumn="0"/>
            </w:pPr>
            <w:r w:rsidRPr="00DF652E">
              <w:t>Modéré</w:t>
            </w:r>
          </w:p>
        </w:tc>
        <w:tc>
          <w:tcPr>
            <w:tcW w:w="0" w:type="auto"/>
            <w:vAlign w:val="center"/>
            <w:hideMark/>
          </w:tcPr>
          <w:p w14:paraId="2B55A8FA" w14:textId="77777777" w:rsidR="00537092" w:rsidRPr="00DF652E" w:rsidRDefault="00537092" w:rsidP="00537092">
            <w:pPr>
              <w:jc w:val="left"/>
              <w:cnfStyle w:val="000000000000" w:firstRow="0" w:lastRow="0" w:firstColumn="0" w:lastColumn="0" w:oddVBand="0" w:evenVBand="0" w:oddHBand="0" w:evenHBand="0" w:firstRowFirstColumn="0" w:firstRowLastColumn="0" w:lastRowFirstColumn="0" w:lastRowLastColumn="0"/>
            </w:pPr>
            <w:r w:rsidRPr="00DF652E">
              <w:t>Temporaire</w:t>
            </w:r>
          </w:p>
        </w:tc>
        <w:tc>
          <w:tcPr>
            <w:tcW w:w="0" w:type="auto"/>
            <w:vAlign w:val="center"/>
            <w:hideMark/>
          </w:tcPr>
          <w:p w14:paraId="10404016" w14:textId="77777777" w:rsidR="00537092" w:rsidRPr="00DF652E" w:rsidRDefault="00537092" w:rsidP="00537092">
            <w:pPr>
              <w:jc w:val="left"/>
              <w:cnfStyle w:val="000000000000" w:firstRow="0" w:lastRow="0" w:firstColumn="0" w:lastColumn="0" w:oddVBand="0" w:evenVBand="0" w:oddHBand="0" w:evenHBand="0" w:firstRowFirstColumn="0" w:firstRowLastColumn="0" w:lastRowFirstColumn="0" w:lastRowLastColumn="0"/>
            </w:pPr>
            <w:r w:rsidRPr="00DF652E">
              <w:t>Régulier</w:t>
            </w:r>
          </w:p>
        </w:tc>
        <w:tc>
          <w:tcPr>
            <w:tcW w:w="0" w:type="auto"/>
            <w:vAlign w:val="center"/>
            <w:hideMark/>
          </w:tcPr>
          <w:p w14:paraId="0BE7477D" w14:textId="77777777" w:rsidR="00537092" w:rsidRPr="00DF652E" w:rsidRDefault="00537092" w:rsidP="00537092">
            <w:pPr>
              <w:jc w:val="left"/>
              <w:cnfStyle w:val="000000000000" w:firstRow="0" w:lastRow="0" w:firstColumn="0" w:lastColumn="0" w:oddVBand="0" w:evenVBand="0" w:oddHBand="0" w:evenHBand="0" w:firstRowFirstColumn="0" w:firstRowLastColumn="0" w:lastRowFirstColumn="0" w:lastRowLastColumn="0"/>
            </w:pPr>
            <w:r w:rsidRPr="00DF652E">
              <w:t>Localisé</w:t>
            </w:r>
          </w:p>
        </w:tc>
        <w:tc>
          <w:tcPr>
            <w:tcW w:w="0" w:type="auto"/>
            <w:vAlign w:val="center"/>
            <w:hideMark/>
          </w:tcPr>
          <w:p w14:paraId="42AE426E" w14:textId="77777777" w:rsidR="00537092" w:rsidRPr="00DF652E" w:rsidRDefault="00537092" w:rsidP="00537092">
            <w:pPr>
              <w:jc w:val="left"/>
              <w:cnfStyle w:val="000000000000" w:firstRow="0" w:lastRow="0" w:firstColumn="0" w:lastColumn="0" w:oddVBand="0" w:evenVBand="0" w:oddHBand="0" w:evenHBand="0" w:firstRowFirstColumn="0" w:firstRowLastColumn="0" w:lastRowFirstColumn="0" w:lastRowLastColumn="0"/>
            </w:pPr>
            <w:r w:rsidRPr="00DF652E">
              <w:t>Moyenne</w:t>
            </w:r>
          </w:p>
        </w:tc>
        <w:tc>
          <w:tcPr>
            <w:tcW w:w="0" w:type="auto"/>
            <w:vAlign w:val="center"/>
            <w:hideMark/>
          </w:tcPr>
          <w:p w14:paraId="32373C65" w14:textId="77777777" w:rsidR="00537092" w:rsidRPr="00DF652E" w:rsidRDefault="00537092" w:rsidP="00537092">
            <w:pPr>
              <w:jc w:val="left"/>
              <w:cnfStyle w:val="000000000000" w:firstRow="0" w:lastRow="0" w:firstColumn="0" w:lastColumn="0" w:oddVBand="0" w:evenVBand="0" w:oddHBand="0" w:evenHBand="0" w:firstRowFirstColumn="0" w:firstRowLastColumn="0" w:lastRowFirstColumn="0" w:lastRowLastColumn="0"/>
            </w:pPr>
            <w:r w:rsidRPr="00DF652E">
              <w:t>Moyenne</w:t>
            </w:r>
          </w:p>
        </w:tc>
        <w:tc>
          <w:tcPr>
            <w:tcW w:w="0" w:type="auto"/>
            <w:vAlign w:val="center"/>
            <w:hideMark/>
          </w:tcPr>
          <w:p w14:paraId="0C14BEA5" w14:textId="00136817" w:rsidR="00537092" w:rsidRPr="00DF652E" w:rsidRDefault="00537092" w:rsidP="00537092">
            <w:pPr>
              <w:jc w:val="left"/>
              <w:cnfStyle w:val="000000000000" w:firstRow="0" w:lastRow="0" w:firstColumn="0" w:lastColumn="0" w:oddVBand="0" w:evenVBand="0" w:oddHBand="0" w:evenHBand="0" w:firstRowFirstColumn="0" w:firstRowLastColumn="0" w:lastRowFirstColumn="0" w:lastRowLastColumn="0"/>
            </w:pPr>
            <w:r>
              <w:t>Mineur</w:t>
            </w:r>
          </w:p>
        </w:tc>
      </w:tr>
      <w:tr w:rsidR="00537092" w:rsidRPr="00DF652E" w14:paraId="203E6E7C" w14:textId="77777777" w:rsidTr="00DF652E">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135BCE17" w14:textId="77777777" w:rsidR="00537092" w:rsidRPr="00DF652E" w:rsidRDefault="00537092" w:rsidP="00537092">
            <w:pPr>
              <w:jc w:val="left"/>
            </w:pPr>
            <w:r w:rsidRPr="00DF652E">
              <w:t>Sols et eaux superficielles</w:t>
            </w:r>
          </w:p>
        </w:tc>
        <w:tc>
          <w:tcPr>
            <w:tcW w:w="0" w:type="auto"/>
            <w:vAlign w:val="center"/>
            <w:hideMark/>
          </w:tcPr>
          <w:p w14:paraId="43FE0B7E" w14:textId="77777777" w:rsidR="00537092" w:rsidRPr="00DF652E" w:rsidRDefault="00537092" w:rsidP="00537092">
            <w:pPr>
              <w:jc w:val="left"/>
              <w:cnfStyle w:val="000000000000" w:firstRow="0" w:lastRow="0" w:firstColumn="0" w:lastColumn="0" w:oddVBand="0" w:evenVBand="0" w:oddHBand="0" w:evenHBand="0" w:firstRowFirstColumn="0" w:firstRowLastColumn="0" w:lastRowFirstColumn="0" w:lastRowLastColumn="0"/>
            </w:pPr>
            <w:r w:rsidRPr="00DF652E">
              <w:t>Risque de pollution accidentelle (hydrocarbures, huiles, produits chimiques)</w:t>
            </w:r>
          </w:p>
        </w:tc>
        <w:tc>
          <w:tcPr>
            <w:tcW w:w="0" w:type="auto"/>
            <w:vAlign w:val="center"/>
            <w:hideMark/>
          </w:tcPr>
          <w:p w14:paraId="040BB107" w14:textId="77777777" w:rsidR="00537092" w:rsidRPr="00DF652E" w:rsidRDefault="00537092" w:rsidP="00537092">
            <w:pPr>
              <w:jc w:val="left"/>
              <w:cnfStyle w:val="000000000000" w:firstRow="0" w:lastRow="0" w:firstColumn="0" w:lastColumn="0" w:oddVBand="0" w:evenVBand="0" w:oddHBand="0" w:evenHBand="0" w:firstRowFirstColumn="0" w:firstRowLastColumn="0" w:lastRowFirstColumn="0" w:lastRowLastColumn="0"/>
            </w:pPr>
            <w:r w:rsidRPr="00DF652E">
              <w:t>Construction</w:t>
            </w:r>
          </w:p>
        </w:tc>
        <w:tc>
          <w:tcPr>
            <w:tcW w:w="0" w:type="auto"/>
            <w:vAlign w:val="center"/>
            <w:hideMark/>
          </w:tcPr>
          <w:p w14:paraId="4F92FB43" w14:textId="77777777" w:rsidR="00537092" w:rsidRPr="00DF652E" w:rsidRDefault="00537092" w:rsidP="00537092">
            <w:pPr>
              <w:jc w:val="left"/>
              <w:cnfStyle w:val="000000000000" w:firstRow="0" w:lastRow="0" w:firstColumn="0" w:lastColumn="0" w:oddVBand="0" w:evenVBand="0" w:oddHBand="0" w:evenHBand="0" w:firstRowFirstColumn="0" w:firstRowLastColumn="0" w:lastRowFirstColumn="0" w:lastRowLastColumn="0"/>
            </w:pPr>
            <w:r w:rsidRPr="00DF652E">
              <w:t>Négatif direct</w:t>
            </w:r>
          </w:p>
        </w:tc>
        <w:tc>
          <w:tcPr>
            <w:tcW w:w="0" w:type="auto"/>
            <w:vAlign w:val="center"/>
            <w:hideMark/>
          </w:tcPr>
          <w:p w14:paraId="54BE0923" w14:textId="77777777" w:rsidR="00537092" w:rsidRPr="00DF652E" w:rsidRDefault="00537092" w:rsidP="00537092">
            <w:pPr>
              <w:jc w:val="left"/>
              <w:cnfStyle w:val="000000000000" w:firstRow="0" w:lastRow="0" w:firstColumn="0" w:lastColumn="0" w:oddVBand="0" w:evenVBand="0" w:oddHBand="0" w:evenHBand="0" w:firstRowFirstColumn="0" w:firstRowLastColumn="0" w:lastRowFirstColumn="0" w:lastRowLastColumn="0"/>
            </w:pPr>
            <w:r w:rsidRPr="00DF652E">
              <w:t>Modéré</w:t>
            </w:r>
          </w:p>
        </w:tc>
        <w:tc>
          <w:tcPr>
            <w:tcW w:w="0" w:type="auto"/>
            <w:vAlign w:val="center"/>
            <w:hideMark/>
          </w:tcPr>
          <w:p w14:paraId="19716EB7" w14:textId="77777777" w:rsidR="00537092" w:rsidRPr="00DF652E" w:rsidRDefault="00537092" w:rsidP="00537092">
            <w:pPr>
              <w:jc w:val="left"/>
              <w:cnfStyle w:val="000000000000" w:firstRow="0" w:lastRow="0" w:firstColumn="0" w:lastColumn="0" w:oddVBand="0" w:evenVBand="0" w:oddHBand="0" w:evenHBand="0" w:firstRowFirstColumn="0" w:firstRowLastColumn="0" w:lastRowFirstColumn="0" w:lastRowLastColumn="0"/>
            </w:pPr>
            <w:r w:rsidRPr="00DF652E">
              <w:t>Temporaire</w:t>
            </w:r>
          </w:p>
        </w:tc>
        <w:tc>
          <w:tcPr>
            <w:tcW w:w="0" w:type="auto"/>
            <w:vAlign w:val="center"/>
            <w:hideMark/>
          </w:tcPr>
          <w:p w14:paraId="2FB124A5" w14:textId="77777777" w:rsidR="00537092" w:rsidRPr="00DF652E" w:rsidRDefault="00537092" w:rsidP="00537092">
            <w:pPr>
              <w:jc w:val="left"/>
              <w:cnfStyle w:val="000000000000" w:firstRow="0" w:lastRow="0" w:firstColumn="0" w:lastColumn="0" w:oddVBand="0" w:evenVBand="0" w:oddHBand="0" w:evenHBand="0" w:firstRowFirstColumn="0" w:firstRowLastColumn="0" w:lastRowFirstColumn="0" w:lastRowLastColumn="0"/>
            </w:pPr>
            <w:r w:rsidRPr="00DF652E">
              <w:t>Occasionnel</w:t>
            </w:r>
          </w:p>
        </w:tc>
        <w:tc>
          <w:tcPr>
            <w:tcW w:w="0" w:type="auto"/>
            <w:vAlign w:val="center"/>
            <w:hideMark/>
          </w:tcPr>
          <w:p w14:paraId="39D79054" w14:textId="77777777" w:rsidR="00537092" w:rsidRPr="00DF652E" w:rsidRDefault="00537092" w:rsidP="00537092">
            <w:pPr>
              <w:jc w:val="left"/>
              <w:cnfStyle w:val="000000000000" w:firstRow="0" w:lastRow="0" w:firstColumn="0" w:lastColumn="0" w:oddVBand="0" w:evenVBand="0" w:oddHBand="0" w:evenHBand="0" w:firstRowFirstColumn="0" w:firstRowLastColumn="0" w:lastRowFirstColumn="0" w:lastRowLastColumn="0"/>
            </w:pPr>
            <w:r w:rsidRPr="00DF652E">
              <w:t>Localisé</w:t>
            </w:r>
          </w:p>
        </w:tc>
        <w:tc>
          <w:tcPr>
            <w:tcW w:w="0" w:type="auto"/>
            <w:vAlign w:val="center"/>
            <w:hideMark/>
          </w:tcPr>
          <w:p w14:paraId="1DC8BDCF" w14:textId="77777777" w:rsidR="00537092" w:rsidRPr="00DF652E" w:rsidRDefault="00537092" w:rsidP="00537092">
            <w:pPr>
              <w:jc w:val="left"/>
              <w:cnfStyle w:val="000000000000" w:firstRow="0" w:lastRow="0" w:firstColumn="0" w:lastColumn="0" w:oddVBand="0" w:evenVBand="0" w:oddHBand="0" w:evenHBand="0" w:firstRowFirstColumn="0" w:firstRowLastColumn="0" w:lastRowFirstColumn="0" w:lastRowLastColumn="0"/>
            </w:pPr>
            <w:r w:rsidRPr="00DF652E">
              <w:t>Faible à moyenne</w:t>
            </w:r>
          </w:p>
        </w:tc>
        <w:tc>
          <w:tcPr>
            <w:tcW w:w="0" w:type="auto"/>
            <w:vAlign w:val="center"/>
            <w:hideMark/>
          </w:tcPr>
          <w:p w14:paraId="39267921" w14:textId="77777777" w:rsidR="00537092" w:rsidRPr="00DF652E" w:rsidRDefault="00537092" w:rsidP="00537092">
            <w:pPr>
              <w:jc w:val="left"/>
              <w:cnfStyle w:val="000000000000" w:firstRow="0" w:lastRow="0" w:firstColumn="0" w:lastColumn="0" w:oddVBand="0" w:evenVBand="0" w:oddHBand="0" w:evenHBand="0" w:firstRowFirstColumn="0" w:firstRowLastColumn="0" w:lastRowFirstColumn="0" w:lastRowLastColumn="0"/>
            </w:pPr>
            <w:r w:rsidRPr="00DF652E">
              <w:t>Moyenne</w:t>
            </w:r>
          </w:p>
        </w:tc>
        <w:tc>
          <w:tcPr>
            <w:tcW w:w="0" w:type="auto"/>
            <w:vAlign w:val="center"/>
            <w:hideMark/>
          </w:tcPr>
          <w:p w14:paraId="1401B30B" w14:textId="51C34816" w:rsidR="00537092" w:rsidRPr="00DF652E" w:rsidRDefault="00537092" w:rsidP="00537092">
            <w:pPr>
              <w:jc w:val="left"/>
              <w:cnfStyle w:val="000000000000" w:firstRow="0" w:lastRow="0" w:firstColumn="0" w:lastColumn="0" w:oddVBand="0" w:evenVBand="0" w:oddHBand="0" w:evenHBand="0" w:firstRowFirstColumn="0" w:firstRowLastColumn="0" w:lastRowFirstColumn="0" w:lastRowLastColumn="0"/>
            </w:pPr>
            <w:r>
              <w:t>Mineur</w:t>
            </w:r>
          </w:p>
        </w:tc>
      </w:tr>
      <w:tr w:rsidR="00DF652E" w:rsidRPr="00DF652E" w14:paraId="7FE6628D" w14:textId="77777777" w:rsidTr="00DF652E">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16215B73" w14:textId="77777777" w:rsidR="00DF652E" w:rsidRPr="00DF652E" w:rsidRDefault="00DF652E" w:rsidP="00DF652E">
            <w:pPr>
              <w:jc w:val="left"/>
            </w:pPr>
            <w:r w:rsidRPr="00DF652E">
              <w:t>Biodiversité</w:t>
            </w:r>
          </w:p>
        </w:tc>
        <w:tc>
          <w:tcPr>
            <w:tcW w:w="0" w:type="auto"/>
            <w:vAlign w:val="center"/>
            <w:hideMark/>
          </w:tcPr>
          <w:p w14:paraId="18BDFA6F" w14:textId="77777777" w:rsidR="00DF652E" w:rsidRPr="00DF652E" w:rsidRDefault="00DF652E" w:rsidP="00DF652E">
            <w:pPr>
              <w:jc w:val="left"/>
              <w:cnfStyle w:val="000000000000" w:firstRow="0" w:lastRow="0" w:firstColumn="0" w:lastColumn="0" w:oddVBand="0" w:evenVBand="0" w:oddHBand="0" w:evenHBand="0" w:firstRowFirstColumn="0" w:firstRowLastColumn="0" w:lastRowFirstColumn="0" w:lastRowLastColumn="0"/>
            </w:pPr>
            <w:r w:rsidRPr="00DF652E">
              <w:t>Perturbation de la végétation rudérale à faible valeur écologique et dérangement ponctuel de la faune commune</w:t>
            </w:r>
          </w:p>
        </w:tc>
        <w:tc>
          <w:tcPr>
            <w:tcW w:w="0" w:type="auto"/>
            <w:vAlign w:val="center"/>
            <w:hideMark/>
          </w:tcPr>
          <w:p w14:paraId="4B3D3BE1" w14:textId="77777777" w:rsidR="00DF652E" w:rsidRPr="00DF652E" w:rsidRDefault="00DF652E" w:rsidP="00DF652E">
            <w:pPr>
              <w:jc w:val="left"/>
              <w:cnfStyle w:val="000000000000" w:firstRow="0" w:lastRow="0" w:firstColumn="0" w:lastColumn="0" w:oddVBand="0" w:evenVBand="0" w:oddHBand="0" w:evenHBand="0" w:firstRowFirstColumn="0" w:firstRowLastColumn="0" w:lastRowFirstColumn="0" w:lastRowLastColumn="0"/>
            </w:pPr>
            <w:r w:rsidRPr="00DF652E">
              <w:t>Construction</w:t>
            </w:r>
          </w:p>
        </w:tc>
        <w:tc>
          <w:tcPr>
            <w:tcW w:w="0" w:type="auto"/>
            <w:vAlign w:val="center"/>
            <w:hideMark/>
          </w:tcPr>
          <w:p w14:paraId="072F127D" w14:textId="77777777" w:rsidR="00DF652E" w:rsidRPr="00DF652E" w:rsidRDefault="00DF652E" w:rsidP="00DF652E">
            <w:pPr>
              <w:jc w:val="left"/>
              <w:cnfStyle w:val="000000000000" w:firstRow="0" w:lastRow="0" w:firstColumn="0" w:lastColumn="0" w:oddVBand="0" w:evenVBand="0" w:oddHBand="0" w:evenHBand="0" w:firstRowFirstColumn="0" w:firstRowLastColumn="0" w:lastRowFirstColumn="0" w:lastRowLastColumn="0"/>
            </w:pPr>
            <w:r w:rsidRPr="00DF652E">
              <w:t>Négatif direct</w:t>
            </w:r>
          </w:p>
        </w:tc>
        <w:tc>
          <w:tcPr>
            <w:tcW w:w="0" w:type="auto"/>
            <w:vAlign w:val="center"/>
            <w:hideMark/>
          </w:tcPr>
          <w:p w14:paraId="33E50088" w14:textId="77777777" w:rsidR="00DF652E" w:rsidRPr="00DF652E" w:rsidRDefault="00DF652E" w:rsidP="00DF652E">
            <w:pPr>
              <w:jc w:val="left"/>
              <w:cnfStyle w:val="000000000000" w:firstRow="0" w:lastRow="0" w:firstColumn="0" w:lastColumn="0" w:oddVBand="0" w:evenVBand="0" w:oddHBand="0" w:evenHBand="0" w:firstRowFirstColumn="0" w:firstRowLastColumn="0" w:lastRowFirstColumn="0" w:lastRowLastColumn="0"/>
            </w:pPr>
            <w:r w:rsidRPr="00DF652E">
              <w:t>Faible</w:t>
            </w:r>
          </w:p>
        </w:tc>
        <w:tc>
          <w:tcPr>
            <w:tcW w:w="0" w:type="auto"/>
            <w:vAlign w:val="center"/>
            <w:hideMark/>
          </w:tcPr>
          <w:p w14:paraId="735220F1" w14:textId="77777777" w:rsidR="00DF652E" w:rsidRPr="00DF652E" w:rsidRDefault="00DF652E" w:rsidP="00DF652E">
            <w:pPr>
              <w:jc w:val="left"/>
              <w:cnfStyle w:val="000000000000" w:firstRow="0" w:lastRow="0" w:firstColumn="0" w:lastColumn="0" w:oddVBand="0" w:evenVBand="0" w:oddHBand="0" w:evenHBand="0" w:firstRowFirstColumn="0" w:firstRowLastColumn="0" w:lastRowFirstColumn="0" w:lastRowLastColumn="0"/>
            </w:pPr>
            <w:r w:rsidRPr="00DF652E">
              <w:t>Temporaire</w:t>
            </w:r>
          </w:p>
        </w:tc>
        <w:tc>
          <w:tcPr>
            <w:tcW w:w="0" w:type="auto"/>
            <w:vAlign w:val="center"/>
            <w:hideMark/>
          </w:tcPr>
          <w:p w14:paraId="30C6BEF4" w14:textId="77777777" w:rsidR="00DF652E" w:rsidRPr="00DF652E" w:rsidRDefault="00DF652E" w:rsidP="00DF652E">
            <w:pPr>
              <w:jc w:val="left"/>
              <w:cnfStyle w:val="000000000000" w:firstRow="0" w:lastRow="0" w:firstColumn="0" w:lastColumn="0" w:oddVBand="0" w:evenVBand="0" w:oddHBand="0" w:evenHBand="0" w:firstRowFirstColumn="0" w:firstRowLastColumn="0" w:lastRowFirstColumn="0" w:lastRowLastColumn="0"/>
            </w:pPr>
            <w:r w:rsidRPr="00DF652E">
              <w:t>Unique</w:t>
            </w:r>
          </w:p>
        </w:tc>
        <w:tc>
          <w:tcPr>
            <w:tcW w:w="0" w:type="auto"/>
            <w:vAlign w:val="center"/>
            <w:hideMark/>
          </w:tcPr>
          <w:p w14:paraId="539864CA" w14:textId="77777777" w:rsidR="00DF652E" w:rsidRPr="00DF652E" w:rsidRDefault="00DF652E" w:rsidP="00DF652E">
            <w:pPr>
              <w:jc w:val="left"/>
              <w:cnfStyle w:val="000000000000" w:firstRow="0" w:lastRow="0" w:firstColumn="0" w:lastColumn="0" w:oddVBand="0" w:evenVBand="0" w:oddHBand="0" w:evenHBand="0" w:firstRowFirstColumn="0" w:firstRowLastColumn="0" w:lastRowFirstColumn="0" w:lastRowLastColumn="0"/>
            </w:pPr>
            <w:r w:rsidRPr="00DF652E">
              <w:t>Localisé</w:t>
            </w:r>
          </w:p>
        </w:tc>
        <w:tc>
          <w:tcPr>
            <w:tcW w:w="0" w:type="auto"/>
            <w:vAlign w:val="center"/>
            <w:hideMark/>
          </w:tcPr>
          <w:p w14:paraId="185F8488" w14:textId="77777777" w:rsidR="00DF652E" w:rsidRPr="00DF652E" w:rsidRDefault="00DF652E" w:rsidP="00DF652E">
            <w:pPr>
              <w:jc w:val="left"/>
              <w:cnfStyle w:val="000000000000" w:firstRow="0" w:lastRow="0" w:firstColumn="0" w:lastColumn="0" w:oddVBand="0" w:evenVBand="0" w:oddHBand="0" w:evenHBand="0" w:firstRowFirstColumn="0" w:firstRowLastColumn="0" w:lastRowFirstColumn="0" w:lastRowLastColumn="0"/>
            </w:pPr>
            <w:r w:rsidRPr="00DF652E">
              <w:t>Faible</w:t>
            </w:r>
          </w:p>
        </w:tc>
        <w:tc>
          <w:tcPr>
            <w:tcW w:w="0" w:type="auto"/>
            <w:vAlign w:val="center"/>
            <w:hideMark/>
          </w:tcPr>
          <w:p w14:paraId="236C2582" w14:textId="77777777" w:rsidR="00DF652E" w:rsidRPr="00DF652E" w:rsidRDefault="00DF652E" w:rsidP="00DF652E">
            <w:pPr>
              <w:jc w:val="left"/>
              <w:cnfStyle w:val="000000000000" w:firstRow="0" w:lastRow="0" w:firstColumn="0" w:lastColumn="0" w:oddVBand="0" w:evenVBand="0" w:oddHBand="0" w:evenHBand="0" w:firstRowFirstColumn="0" w:firstRowLastColumn="0" w:lastRowFirstColumn="0" w:lastRowLastColumn="0"/>
            </w:pPr>
            <w:r w:rsidRPr="00DF652E">
              <w:t>Faible</w:t>
            </w:r>
          </w:p>
        </w:tc>
        <w:tc>
          <w:tcPr>
            <w:tcW w:w="0" w:type="auto"/>
            <w:vAlign w:val="center"/>
            <w:hideMark/>
          </w:tcPr>
          <w:p w14:paraId="06E7A660" w14:textId="77777777" w:rsidR="00DF652E" w:rsidRPr="00DF652E" w:rsidRDefault="00DF652E" w:rsidP="00DF652E">
            <w:pPr>
              <w:jc w:val="left"/>
              <w:cnfStyle w:val="000000000000" w:firstRow="0" w:lastRow="0" w:firstColumn="0" w:lastColumn="0" w:oddVBand="0" w:evenVBand="0" w:oddHBand="0" w:evenHBand="0" w:firstRowFirstColumn="0" w:firstRowLastColumn="0" w:lastRowFirstColumn="0" w:lastRowLastColumn="0"/>
            </w:pPr>
            <w:r w:rsidRPr="00DF652E">
              <w:t>Négligeable</w:t>
            </w:r>
          </w:p>
        </w:tc>
      </w:tr>
      <w:tr w:rsidR="00DF652E" w:rsidRPr="00DF652E" w14:paraId="16C4DE7D" w14:textId="77777777" w:rsidTr="00DF652E">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445FA579" w14:textId="77777777" w:rsidR="00DF652E" w:rsidRPr="00DF652E" w:rsidRDefault="00DF652E" w:rsidP="00DF652E">
            <w:pPr>
              <w:jc w:val="left"/>
            </w:pPr>
            <w:r w:rsidRPr="00DF652E">
              <w:t>Santé et sécurité au travail</w:t>
            </w:r>
          </w:p>
        </w:tc>
        <w:tc>
          <w:tcPr>
            <w:tcW w:w="0" w:type="auto"/>
            <w:vAlign w:val="center"/>
            <w:hideMark/>
          </w:tcPr>
          <w:p w14:paraId="245BDC50" w14:textId="77777777" w:rsidR="00DF652E" w:rsidRPr="00DF652E" w:rsidRDefault="00DF652E" w:rsidP="00DF652E">
            <w:pPr>
              <w:jc w:val="left"/>
              <w:cnfStyle w:val="000000000000" w:firstRow="0" w:lastRow="0" w:firstColumn="0" w:lastColumn="0" w:oddVBand="0" w:evenVBand="0" w:oddHBand="0" w:evenHBand="0" w:firstRowFirstColumn="0" w:firstRowLastColumn="0" w:lastRowFirstColumn="0" w:lastRowLastColumn="0"/>
            </w:pPr>
            <w:r w:rsidRPr="00DF652E">
              <w:t xml:space="preserve">Risques d’accidents corporels, exposition au </w:t>
            </w:r>
            <w:r w:rsidRPr="00DF652E">
              <w:lastRenderedPageBreak/>
              <w:t>bruit, à la chaleur et aux produits dangereux</w:t>
            </w:r>
          </w:p>
        </w:tc>
        <w:tc>
          <w:tcPr>
            <w:tcW w:w="0" w:type="auto"/>
            <w:vAlign w:val="center"/>
            <w:hideMark/>
          </w:tcPr>
          <w:p w14:paraId="731FBC3B" w14:textId="77777777" w:rsidR="00DF652E" w:rsidRPr="00DF652E" w:rsidRDefault="00DF652E" w:rsidP="00DF652E">
            <w:pPr>
              <w:jc w:val="left"/>
              <w:cnfStyle w:val="000000000000" w:firstRow="0" w:lastRow="0" w:firstColumn="0" w:lastColumn="0" w:oddVBand="0" w:evenVBand="0" w:oddHBand="0" w:evenHBand="0" w:firstRowFirstColumn="0" w:firstRowLastColumn="0" w:lastRowFirstColumn="0" w:lastRowLastColumn="0"/>
            </w:pPr>
            <w:r w:rsidRPr="00DF652E">
              <w:lastRenderedPageBreak/>
              <w:t>Construction</w:t>
            </w:r>
          </w:p>
        </w:tc>
        <w:tc>
          <w:tcPr>
            <w:tcW w:w="0" w:type="auto"/>
            <w:vAlign w:val="center"/>
            <w:hideMark/>
          </w:tcPr>
          <w:p w14:paraId="2385151A" w14:textId="77777777" w:rsidR="00DF652E" w:rsidRPr="00DF652E" w:rsidRDefault="00DF652E" w:rsidP="00DF652E">
            <w:pPr>
              <w:jc w:val="left"/>
              <w:cnfStyle w:val="000000000000" w:firstRow="0" w:lastRow="0" w:firstColumn="0" w:lastColumn="0" w:oddVBand="0" w:evenVBand="0" w:oddHBand="0" w:evenHBand="0" w:firstRowFirstColumn="0" w:firstRowLastColumn="0" w:lastRowFirstColumn="0" w:lastRowLastColumn="0"/>
            </w:pPr>
            <w:r w:rsidRPr="00DF652E">
              <w:t>Négatif direct</w:t>
            </w:r>
          </w:p>
        </w:tc>
        <w:tc>
          <w:tcPr>
            <w:tcW w:w="0" w:type="auto"/>
            <w:vAlign w:val="center"/>
            <w:hideMark/>
          </w:tcPr>
          <w:p w14:paraId="43874F0D" w14:textId="77777777" w:rsidR="00DF652E" w:rsidRPr="00DF652E" w:rsidRDefault="00DF652E" w:rsidP="00DF652E">
            <w:pPr>
              <w:jc w:val="left"/>
              <w:cnfStyle w:val="000000000000" w:firstRow="0" w:lastRow="0" w:firstColumn="0" w:lastColumn="0" w:oddVBand="0" w:evenVBand="0" w:oddHBand="0" w:evenHBand="0" w:firstRowFirstColumn="0" w:firstRowLastColumn="0" w:lastRowFirstColumn="0" w:lastRowLastColumn="0"/>
            </w:pPr>
            <w:r w:rsidRPr="00DF652E">
              <w:t>Élevé</w:t>
            </w:r>
          </w:p>
        </w:tc>
        <w:tc>
          <w:tcPr>
            <w:tcW w:w="0" w:type="auto"/>
            <w:vAlign w:val="center"/>
            <w:hideMark/>
          </w:tcPr>
          <w:p w14:paraId="38F07FF0" w14:textId="77777777" w:rsidR="00DF652E" w:rsidRPr="00DF652E" w:rsidRDefault="00DF652E" w:rsidP="00DF652E">
            <w:pPr>
              <w:jc w:val="left"/>
              <w:cnfStyle w:val="000000000000" w:firstRow="0" w:lastRow="0" w:firstColumn="0" w:lastColumn="0" w:oddVBand="0" w:evenVBand="0" w:oddHBand="0" w:evenHBand="0" w:firstRowFirstColumn="0" w:firstRowLastColumn="0" w:lastRowFirstColumn="0" w:lastRowLastColumn="0"/>
            </w:pPr>
            <w:r w:rsidRPr="00DF652E">
              <w:t>Temporaire</w:t>
            </w:r>
          </w:p>
        </w:tc>
        <w:tc>
          <w:tcPr>
            <w:tcW w:w="0" w:type="auto"/>
            <w:vAlign w:val="center"/>
            <w:hideMark/>
          </w:tcPr>
          <w:p w14:paraId="7D68E856" w14:textId="77777777" w:rsidR="00DF652E" w:rsidRPr="00DF652E" w:rsidRDefault="00DF652E" w:rsidP="00DF652E">
            <w:pPr>
              <w:jc w:val="left"/>
              <w:cnfStyle w:val="000000000000" w:firstRow="0" w:lastRow="0" w:firstColumn="0" w:lastColumn="0" w:oddVBand="0" w:evenVBand="0" w:oddHBand="0" w:evenHBand="0" w:firstRowFirstColumn="0" w:firstRowLastColumn="0" w:lastRowFirstColumn="0" w:lastRowLastColumn="0"/>
            </w:pPr>
            <w:r w:rsidRPr="00DF652E">
              <w:t>Régulier</w:t>
            </w:r>
          </w:p>
        </w:tc>
        <w:tc>
          <w:tcPr>
            <w:tcW w:w="0" w:type="auto"/>
            <w:vAlign w:val="center"/>
            <w:hideMark/>
          </w:tcPr>
          <w:p w14:paraId="3CA61664" w14:textId="77777777" w:rsidR="00DF652E" w:rsidRPr="00DF652E" w:rsidRDefault="00DF652E" w:rsidP="00DF652E">
            <w:pPr>
              <w:jc w:val="left"/>
              <w:cnfStyle w:val="000000000000" w:firstRow="0" w:lastRow="0" w:firstColumn="0" w:lastColumn="0" w:oddVBand="0" w:evenVBand="0" w:oddHBand="0" w:evenHBand="0" w:firstRowFirstColumn="0" w:firstRowLastColumn="0" w:lastRowFirstColumn="0" w:lastRowLastColumn="0"/>
            </w:pPr>
            <w:r w:rsidRPr="00DF652E">
              <w:t>Localisé</w:t>
            </w:r>
          </w:p>
        </w:tc>
        <w:tc>
          <w:tcPr>
            <w:tcW w:w="0" w:type="auto"/>
            <w:vAlign w:val="center"/>
            <w:hideMark/>
          </w:tcPr>
          <w:p w14:paraId="4AB5CA93" w14:textId="77777777" w:rsidR="00DF652E" w:rsidRPr="00DF652E" w:rsidRDefault="00DF652E" w:rsidP="00DF652E">
            <w:pPr>
              <w:jc w:val="left"/>
              <w:cnfStyle w:val="000000000000" w:firstRow="0" w:lastRow="0" w:firstColumn="0" w:lastColumn="0" w:oddVBand="0" w:evenVBand="0" w:oddHBand="0" w:evenHBand="0" w:firstRowFirstColumn="0" w:firstRowLastColumn="0" w:lastRowFirstColumn="0" w:lastRowLastColumn="0"/>
            </w:pPr>
            <w:r w:rsidRPr="00DF652E">
              <w:t>Moyenne à forte</w:t>
            </w:r>
          </w:p>
        </w:tc>
        <w:tc>
          <w:tcPr>
            <w:tcW w:w="0" w:type="auto"/>
            <w:vAlign w:val="center"/>
            <w:hideMark/>
          </w:tcPr>
          <w:p w14:paraId="3B2957D9" w14:textId="77777777" w:rsidR="00DF652E" w:rsidRPr="00DF652E" w:rsidRDefault="00DF652E" w:rsidP="00DF652E">
            <w:pPr>
              <w:jc w:val="left"/>
              <w:cnfStyle w:val="000000000000" w:firstRow="0" w:lastRow="0" w:firstColumn="0" w:lastColumn="0" w:oddVBand="0" w:evenVBand="0" w:oddHBand="0" w:evenHBand="0" w:firstRowFirstColumn="0" w:firstRowLastColumn="0" w:lastRowFirstColumn="0" w:lastRowLastColumn="0"/>
            </w:pPr>
            <w:r w:rsidRPr="00DF652E">
              <w:t>Moyenne</w:t>
            </w:r>
          </w:p>
        </w:tc>
        <w:tc>
          <w:tcPr>
            <w:tcW w:w="0" w:type="auto"/>
            <w:vAlign w:val="center"/>
            <w:hideMark/>
          </w:tcPr>
          <w:p w14:paraId="3C1BEFA2" w14:textId="77777777" w:rsidR="00DF652E" w:rsidRPr="00DF652E" w:rsidRDefault="00DF652E" w:rsidP="00DF652E">
            <w:pPr>
              <w:jc w:val="left"/>
              <w:cnfStyle w:val="000000000000" w:firstRow="0" w:lastRow="0" w:firstColumn="0" w:lastColumn="0" w:oddVBand="0" w:evenVBand="0" w:oddHBand="0" w:evenHBand="0" w:firstRowFirstColumn="0" w:firstRowLastColumn="0" w:lastRowFirstColumn="0" w:lastRowLastColumn="0"/>
            </w:pPr>
            <w:r w:rsidRPr="00DF652E">
              <w:t>Modéré</w:t>
            </w:r>
          </w:p>
        </w:tc>
      </w:tr>
      <w:tr w:rsidR="00DF652E" w:rsidRPr="00DF652E" w14:paraId="31CC57E2" w14:textId="77777777" w:rsidTr="00DF652E">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19982393" w14:textId="77777777" w:rsidR="00DF652E" w:rsidRPr="00DF652E" w:rsidRDefault="00DF652E" w:rsidP="00DF652E">
            <w:pPr>
              <w:jc w:val="left"/>
            </w:pPr>
            <w:r w:rsidRPr="00DF652E">
              <w:lastRenderedPageBreak/>
              <w:t>Santé communautaire</w:t>
            </w:r>
          </w:p>
        </w:tc>
        <w:tc>
          <w:tcPr>
            <w:tcW w:w="0" w:type="auto"/>
            <w:vAlign w:val="center"/>
            <w:hideMark/>
          </w:tcPr>
          <w:p w14:paraId="7C9980C9" w14:textId="77777777" w:rsidR="00DF652E" w:rsidRPr="00DF652E" w:rsidRDefault="00DF652E" w:rsidP="00DF652E">
            <w:pPr>
              <w:jc w:val="left"/>
              <w:cnfStyle w:val="000000000000" w:firstRow="0" w:lastRow="0" w:firstColumn="0" w:lastColumn="0" w:oddVBand="0" w:evenVBand="0" w:oddHBand="0" w:evenHBand="0" w:firstRowFirstColumn="0" w:firstRowLastColumn="0" w:lastRowFirstColumn="0" w:lastRowLastColumn="0"/>
            </w:pPr>
            <w:r w:rsidRPr="00DF652E">
              <w:t>Risques de transmission de maladies (MST/VIH, infections respiratoires) entre travailleurs et communautés</w:t>
            </w:r>
          </w:p>
        </w:tc>
        <w:tc>
          <w:tcPr>
            <w:tcW w:w="0" w:type="auto"/>
            <w:vAlign w:val="center"/>
            <w:hideMark/>
          </w:tcPr>
          <w:p w14:paraId="27EE9CAD" w14:textId="77777777" w:rsidR="00DF652E" w:rsidRPr="00DF652E" w:rsidRDefault="00DF652E" w:rsidP="00DF652E">
            <w:pPr>
              <w:jc w:val="left"/>
              <w:cnfStyle w:val="000000000000" w:firstRow="0" w:lastRow="0" w:firstColumn="0" w:lastColumn="0" w:oddVBand="0" w:evenVBand="0" w:oddHBand="0" w:evenHBand="0" w:firstRowFirstColumn="0" w:firstRowLastColumn="0" w:lastRowFirstColumn="0" w:lastRowLastColumn="0"/>
            </w:pPr>
            <w:r w:rsidRPr="00DF652E">
              <w:t>Construction</w:t>
            </w:r>
          </w:p>
        </w:tc>
        <w:tc>
          <w:tcPr>
            <w:tcW w:w="0" w:type="auto"/>
            <w:vAlign w:val="center"/>
            <w:hideMark/>
          </w:tcPr>
          <w:p w14:paraId="07FD63DB" w14:textId="77777777" w:rsidR="00DF652E" w:rsidRPr="00DF652E" w:rsidRDefault="00DF652E" w:rsidP="00DF652E">
            <w:pPr>
              <w:jc w:val="left"/>
              <w:cnfStyle w:val="000000000000" w:firstRow="0" w:lastRow="0" w:firstColumn="0" w:lastColumn="0" w:oddVBand="0" w:evenVBand="0" w:oddHBand="0" w:evenHBand="0" w:firstRowFirstColumn="0" w:firstRowLastColumn="0" w:lastRowFirstColumn="0" w:lastRowLastColumn="0"/>
            </w:pPr>
            <w:r w:rsidRPr="00DF652E">
              <w:t>Négatif indirect</w:t>
            </w:r>
          </w:p>
        </w:tc>
        <w:tc>
          <w:tcPr>
            <w:tcW w:w="0" w:type="auto"/>
            <w:vAlign w:val="center"/>
            <w:hideMark/>
          </w:tcPr>
          <w:p w14:paraId="1EEC7538" w14:textId="77777777" w:rsidR="00DF652E" w:rsidRPr="00DF652E" w:rsidRDefault="00DF652E" w:rsidP="00DF652E">
            <w:pPr>
              <w:jc w:val="left"/>
              <w:cnfStyle w:val="000000000000" w:firstRow="0" w:lastRow="0" w:firstColumn="0" w:lastColumn="0" w:oddVBand="0" w:evenVBand="0" w:oddHBand="0" w:evenHBand="0" w:firstRowFirstColumn="0" w:firstRowLastColumn="0" w:lastRowFirstColumn="0" w:lastRowLastColumn="0"/>
            </w:pPr>
            <w:r w:rsidRPr="00DF652E">
              <w:t>Élevé</w:t>
            </w:r>
          </w:p>
        </w:tc>
        <w:tc>
          <w:tcPr>
            <w:tcW w:w="0" w:type="auto"/>
            <w:vAlign w:val="center"/>
            <w:hideMark/>
          </w:tcPr>
          <w:p w14:paraId="7059A2B5" w14:textId="77777777" w:rsidR="00DF652E" w:rsidRPr="00DF652E" w:rsidRDefault="00DF652E" w:rsidP="00DF652E">
            <w:pPr>
              <w:jc w:val="left"/>
              <w:cnfStyle w:val="000000000000" w:firstRow="0" w:lastRow="0" w:firstColumn="0" w:lastColumn="0" w:oddVBand="0" w:evenVBand="0" w:oddHBand="0" w:evenHBand="0" w:firstRowFirstColumn="0" w:firstRowLastColumn="0" w:lastRowFirstColumn="0" w:lastRowLastColumn="0"/>
            </w:pPr>
            <w:r w:rsidRPr="00DF652E">
              <w:t>Temporaire</w:t>
            </w:r>
          </w:p>
        </w:tc>
        <w:tc>
          <w:tcPr>
            <w:tcW w:w="0" w:type="auto"/>
            <w:vAlign w:val="center"/>
            <w:hideMark/>
          </w:tcPr>
          <w:p w14:paraId="39C3F0E4" w14:textId="77777777" w:rsidR="00DF652E" w:rsidRPr="00DF652E" w:rsidRDefault="00DF652E" w:rsidP="00DF652E">
            <w:pPr>
              <w:jc w:val="left"/>
              <w:cnfStyle w:val="000000000000" w:firstRow="0" w:lastRow="0" w:firstColumn="0" w:lastColumn="0" w:oddVBand="0" w:evenVBand="0" w:oddHBand="0" w:evenHBand="0" w:firstRowFirstColumn="0" w:firstRowLastColumn="0" w:lastRowFirstColumn="0" w:lastRowLastColumn="0"/>
            </w:pPr>
            <w:r w:rsidRPr="00DF652E">
              <w:t>Occasionnel</w:t>
            </w:r>
          </w:p>
        </w:tc>
        <w:tc>
          <w:tcPr>
            <w:tcW w:w="0" w:type="auto"/>
            <w:vAlign w:val="center"/>
            <w:hideMark/>
          </w:tcPr>
          <w:p w14:paraId="2CFD2D7A" w14:textId="77777777" w:rsidR="00DF652E" w:rsidRPr="00DF652E" w:rsidRDefault="00DF652E" w:rsidP="00DF652E">
            <w:pPr>
              <w:jc w:val="left"/>
              <w:cnfStyle w:val="000000000000" w:firstRow="0" w:lastRow="0" w:firstColumn="0" w:lastColumn="0" w:oddVBand="0" w:evenVBand="0" w:oddHBand="0" w:evenHBand="0" w:firstRowFirstColumn="0" w:firstRowLastColumn="0" w:lastRowFirstColumn="0" w:lastRowLastColumn="0"/>
            </w:pPr>
            <w:r w:rsidRPr="00DF652E">
              <w:t>Localisé</w:t>
            </w:r>
          </w:p>
        </w:tc>
        <w:tc>
          <w:tcPr>
            <w:tcW w:w="0" w:type="auto"/>
            <w:vAlign w:val="center"/>
            <w:hideMark/>
          </w:tcPr>
          <w:p w14:paraId="07C66236" w14:textId="77777777" w:rsidR="00DF652E" w:rsidRPr="00DF652E" w:rsidRDefault="00DF652E" w:rsidP="00DF652E">
            <w:pPr>
              <w:jc w:val="left"/>
              <w:cnfStyle w:val="000000000000" w:firstRow="0" w:lastRow="0" w:firstColumn="0" w:lastColumn="0" w:oddVBand="0" w:evenVBand="0" w:oddHBand="0" w:evenHBand="0" w:firstRowFirstColumn="0" w:firstRowLastColumn="0" w:lastRowFirstColumn="0" w:lastRowLastColumn="0"/>
            </w:pPr>
            <w:r w:rsidRPr="00DF652E">
              <w:t>Moyenne</w:t>
            </w:r>
          </w:p>
        </w:tc>
        <w:tc>
          <w:tcPr>
            <w:tcW w:w="0" w:type="auto"/>
            <w:vAlign w:val="center"/>
            <w:hideMark/>
          </w:tcPr>
          <w:p w14:paraId="60B270A1" w14:textId="77777777" w:rsidR="00DF652E" w:rsidRPr="00DF652E" w:rsidRDefault="00DF652E" w:rsidP="00DF652E">
            <w:pPr>
              <w:jc w:val="left"/>
              <w:cnfStyle w:val="000000000000" w:firstRow="0" w:lastRow="0" w:firstColumn="0" w:lastColumn="0" w:oddVBand="0" w:evenVBand="0" w:oddHBand="0" w:evenHBand="0" w:firstRowFirstColumn="0" w:firstRowLastColumn="0" w:lastRowFirstColumn="0" w:lastRowLastColumn="0"/>
            </w:pPr>
            <w:r w:rsidRPr="00DF652E">
              <w:t>Moyenne</w:t>
            </w:r>
          </w:p>
        </w:tc>
        <w:tc>
          <w:tcPr>
            <w:tcW w:w="0" w:type="auto"/>
            <w:vAlign w:val="center"/>
            <w:hideMark/>
          </w:tcPr>
          <w:p w14:paraId="3897C77A" w14:textId="77777777" w:rsidR="00DF652E" w:rsidRPr="00DF652E" w:rsidRDefault="00DF652E" w:rsidP="00DF652E">
            <w:pPr>
              <w:jc w:val="left"/>
              <w:cnfStyle w:val="000000000000" w:firstRow="0" w:lastRow="0" w:firstColumn="0" w:lastColumn="0" w:oddVBand="0" w:evenVBand="0" w:oddHBand="0" w:evenHBand="0" w:firstRowFirstColumn="0" w:firstRowLastColumn="0" w:lastRowFirstColumn="0" w:lastRowLastColumn="0"/>
            </w:pPr>
            <w:r w:rsidRPr="00DF652E">
              <w:t>Modéré</w:t>
            </w:r>
          </w:p>
        </w:tc>
      </w:tr>
      <w:tr w:rsidR="00DF652E" w:rsidRPr="00DF652E" w14:paraId="5F38786B" w14:textId="77777777" w:rsidTr="00DF652E">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0754344C" w14:textId="77777777" w:rsidR="00DF652E" w:rsidRPr="00DF652E" w:rsidRDefault="00DF652E" w:rsidP="00DF652E">
            <w:pPr>
              <w:jc w:val="left"/>
            </w:pPr>
            <w:r w:rsidRPr="00DF652E">
              <w:t>Sécurité routière</w:t>
            </w:r>
          </w:p>
        </w:tc>
        <w:tc>
          <w:tcPr>
            <w:tcW w:w="0" w:type="auto"/>
            <w:vAlign w:val="center"/>
            <w:hideMark/>
          </w:tcPr>
          <w:p w14:paraId="44670E1E" w14:textId="6955D490" w:rsidR="00DF652E" w:rsidRPr="00DF652E" w:rsidRDefault="00DF652E" w:rsidP="00DF652E">
            <w:pPr>
              <w:jc w:val="left"/>
              <w:cnfStyle w:val="000000000000" w:firstRow="0" w:lastRow="0" w:firstColumn="0" w:lastColumn="0" w:oddVBand="0" w:evenVBand="0" w:oddHBand="0" w:evenHBand="0" w:firstRowFirstColumn="0" w:firstRowLastColumn="0" w:lastRowFirstColumn="0" w:lastRowLastColumn="0"/>
            </w:pPr>
            <w:r w:rsidRPr="00DF652E">
              <w:t xml:space="preserve">Risques d’accidents dus à la circulation accrue sur la </w:t>
            </w:r>
            <w:r w:rsidR="004209B3">
              <w:t>RR212</w:t>
            </w:r>
            <w:r w:rsidRPr="00DF652E">
              <w:t xml:space="preserve"> et les accès au chantier</w:t>
            </w:r>
          </w:p>
        </w:tc>
        <w:tc>
          <w:tcPr>
            <w:tcW w:w="0" w:type="auto"/>
            <w:vAlign w:val="center"/>
            <w:hideMark/>
          </w:tcPr>
          <w:p w14:paraId="40956BD1" w14:textId="77777777" w:rsidR="00DF652E" w:rsidRPr="00DF652E" w:rsidRDefault="00DF652E" w:rsidP="00DF652E">
            <w:pPr>
              <w:jc w:val="left"/>
              <w:cnfStyle w:val="000000000000" w:firstRow="0" w:lastRow="0" w:firstColumn="0" w:lastColumn="0" w:oddVBand="0" w:evenVBand="0" w:oddHBand="0" w:evenHBand="0" w:firstRowFirstColumn="0" w:firstRowLastColumn="0" w:lastRowFirstColumn="0" w:lastRowLastColumn="0"/>
            </w:pPr>
            <w:r w:rsidRPr="00DF652E">
              <w:t>Construction</w:t>
            </w:r>
          </w:p>
        </w:tc>
        <w:tc>
          <w:tcPr>
            <w:tcW w:w="0" w:type="auto"/>
            <w:vAlign w:val="center"/>
            <w:hideMark/>
          </w:tcPr>
          <w:p w14:paraId="3F55FF60" w14:textId="77777777" w:rsidR="00DF652E" w:rsidRPr="00DF652E" w:rsidRDefault="00DF652E" w:rsidP="00DF652E">
            <w:pPr>
              <w:jc w:val="left"/>
              <w:cnfStyle w:val="000000000000" w:firstRow="0" w:lastRow="0" w:firstColumn="0" w:lastColumn="0" w:oddVBand="0" w:evenVBand="0" w:oddHBand="0" w:evenHBand="0" w:firstRowFirstColumn="0" w:firstRowLastColumn="0" w:lastRowFirstColumn="0" w:lastRowLastColumn="0"/>
            </w:pPr>
            <w:r w:rsidRPr="00DF652E">
              <w:t>Négatif indirect</w:t>
            </w:r>
          </w:p>
        </w:tc>
        <w:tc>
          <w:tcPr>
            <w:tcW w:w="0" w:type="auto"/>
            <w:vAlign w:val="center"/>
            <w:hideMark/>
          </w:tcPr>
          <w:p w14:paraId="6132E688" w14:textId="77777777" w:rsidR="00DF652E" w:rsidRPr="00DF652E" w:rsidRDefault="00DF652E" w:rsidP="00DF652E">
            <w:pPr>
              <w:jc w:val="left"/>
              <w:cnfStyle w:val="000000000000" w:firstRow="0" w:lastRow="0" w:firstColumn="0" w:lastColumn="0" w:oddVBand="0" w:evenVBand="0" w:oddHBand="0" w:evenHBand="0" w:firstRowFirstColumn="0" w:firstRowLastColumn="0" w:lastRowFirstColumn="0" w:lastRowLastColumn="0"/>
            </w:pPr>
            <w:r w:rsidRPr="00DF652E">
              <w:t>Élevé</w:t>
            </w:r>
          </w:p>
        </w:tc>
        <w:tc>
          <w:tcPr>
            <w:tcW w:w="0" w:type="auto"/>
            <w:vAlign w:val="center"/>
            <w:hideMark/>
          </w:tcPr>
          <w:p w14:paraId="78C2D561" w14:textId="77777777" w:rsidR="00DF652E" w:rsidRPr="00DF652E" w:rsidRDefault="00DF652E" w:rsidP="00DF652E">
            <w:pPr>
              <w:jc w:val="left"/>
              <w:cnfStyle w:val="000000000000" w:firstRow="0" w:lastRow="0" w:firstColumn="0" w:lastColumn="0" w:oddVBand="0" w:evenVBand="0" w:oddHBand="0" w:evenHBand="0" w:firstRowFirstColumn="0" w:firstRowLastColumn="0" w:lastRowFirstColumn="0" w:lastRowLastColumn="0"/>
            </w:pPr>
            <w:r w:rsidRPr="00DF652E">
              <w:t>Temporaire</w:t>
            </w:r>
          </w:p>
        </w:tc>
        <w:tc>
          <w:tcPr>
            <w:tcW w:w="0" w:type="auto"/>
            <w:vAlign w:val="center"/>
            <w:hideMark/>
          </w:tcPr>
          <w:p w14:paraId="6580F29B" w14:textId="77777777" w:rsidR="00DF652E" w:rsidRPr="00DF652E" w:rsidRDefault="00DF652E" w:rsidP="00DF652E">
            <w:pPr>
              <w:jc w:val="left"/>
              <w:cnfStyle w:val="000000000000" w:firstRow="0" w:lastRow="0" w:firstColumn="0" w:lastColumn="0" w:oddVBand="0" w:evenVBand="0" w:oddHBand="0" w:evenHBand="0" w:firstRowFirstColumn="0" w:firstRowLastColumn="0" w:lastRowFirstColumn="0" w:lastRowLastColumn="0"/>
            </w:pPr>
            <w:r w:rsidRPr="00DF652E">
              <w:t>Régulier</w:t>
            </w:r>
          </w:p>
        </w:tc>
        <w:tc>
          <w:tcPr>
            <w:tcW w:w="0" w:type="auto"/>
            <w:vAlign w:val="center"/>
            <w:hideMark/>
          </w:tcPr>
          <w:p w14:paraId="1EE814A1" w14:textId="77777777" w:rsidR="00DF652E" w:rsidRPr="00DF652E" w:rsidRDefault="00DF652E" w:rsidP="00DF652E">
            <w:pPr>
              <w:jc w:val="left"/>
              <w:cnfStyle w:val="000000000000" w:firstRow="0" w:lastRow="0" w:firstColumn="0" w:lastColumn="0" w:oddVBand="0" w:evenVBand="0" w:oddHBand="0" w:evenHBand="0" w:firstRowFirstColumn="0" w:firstRowLastColumn="0" w:lastRowFirstColumn="0" w:lastRowLastColumn="0"/>
            </w:pPr>
            <w:r w:rsidRPr="00DF652E">
              <w:t>Localisé</w:t>
            </w:r>
          </w:p>
        </w:tc>
        <w:tc>
          <w:tcPr>
            <w:tcW w:w="0" w:type="auto"/>
            <w:vAlign w:val="center"/>
            <w:hideMark/>
          </w:tcPr>
          <w:p w14:paraId="486C22AE" w14:textId="77777777" w:rsidR="00DF652E" w:rsidRPr="00DF652E" w:rsidRDefault="00DF652E" w:rsidP="00DF652E">
            <w:pPr>
              <w:jc w:val="left"/>
              <w:cnfStyle w:val="000000000000" w:firstRow="0" w:lastRow="0" w:firstColumn="0" w:lastColumn="0" w:oddVBand="0" w:evenVBand="0" w:oddHBand="0" w:evenHBand="0" w:firstRowFirstColumn="0" w:firstRowLastColumn="0" w:lastRowFirstColumn="0" w:lastRowLastColumn="0"/>
            </w:pPr>
            <w:r w:rsidRPr="00DF652E">
              <w:t>Moyenne</w:t>
            </w:r>
          </w:p>
        </w:tc>
        <w:tc>
          <w:tcPr>
            <w:tcW w:w="0" w:type="auto"/>
            <w:vAlign w:val="center"/>
            <w:hideMark/>
          </w:tcPr>
          <w:p w14:paraId="777B3DE8" w14:textId="77777777" w:rsidR="00DF652E" w:rsidRPr="00DF652E" w:rsidRDefault="00DF652E" w:rsidP="00DF652E">
            <w:pPr>
              <w:jc w:val="left"/>
              <w:cnfStyle w:val="000000000000" w:firstRow="0" w:lastRow="0" w:firstColumn="0" w:lastColumn="0" w:oddVBand="0" w:evenVBand="0" w:oddHBand="0" w:evenHBand="0" w:firstRowFirstColumn="0" w:firstRowLastColumn="0" w:lastRowFirstColumn="0" w:lastRowLastColumn="0"/>
            </w:pPr>
            <w:r w:rsidRPr="00DF652E">
              <w:t>Moyenne</w:t>
            </w:r>
          </w:p>
        </w:tc>
        <w:tc>
          <w:tcPr>
            <w:tcW w:w="0" w:type="auto"/>
            <w:vAlign w:val="center"/>
            <w:hideMark/>
          </w:tcPr>
          <w:p w14:paraId="4E02DF2C" w14:textId="77777777" w:rsidR="00DF652E" w:rsidRPr="00DF652E" w:rsidRDefault="00DF652E" w:rsidP="00DF652E">
            <w:pPr>
              <w:jc w:val="left"/>
              <w:cnfStyle w:val="000000000000" w:firstRow="0" w:lastRow="0" w:firstColumn="0" w:lastColumn="0" w:oddVBand="0" w:evenVBand="0" w:oddHBand="0" w:evenHBand="0" w:firstRowFirstColumn="0" w:firstRowLastColumn="0" w:lastRowFirstColumn="0" w:lastRowLastColumn="0"/>
            </w:pPr>
            <w:r w:rsidRPr="00DF652E">
              <w:t>Modéré</w:t>
            </w:r>
          </w:p>
        </w:tc>
      </w:tr>
      <w:tr w:rsidR="00537092" w:rsidRPr="00DF652E" w14:paraId="0FE2B6D5" w14:textId="77777777" w:rsidTr="00DF652E">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14708E1F" w14:textId="77777777" w:rsidR="00537092" w:rsidRPr="00DF652E" w:rsidRDefault="00537092" w:rsidP="00537092">
            <w:pPr>
              <w:jc w:val="left"/>
            </w:pPr>
            <w:r w:rsidRPr="00DF652E">
              <w:t>Relations sociales et VBG</w:t>
            </w:r>
          </w:p>
        </w:tc>
        <w:tc>
          <w:tcPr>
            <w:tcW w:w="0" w:type="auto"/>
            <w:vAlign w:val="center"/>
            <w:hideMark/>
          </w:tcPr>
          <w:p w14:paraId="3D08E84B" w14:textId="77777777" w:rsidR="00537092" w:rsidRPr="00DF652E" w:rsidRDefault="00537092" w:rsidP="00537092">
            <w:pPr>
              <w:jc w:val="left"/>
              <w:cnfStyle w:val="000000000000" w:firstRow="0" w:lastRow="0" w:firstColumn="0" w:lastColumn="0" w:oddVBand="0" w:evenVBand="0" w:oddHBand="0" w:evenHBand="0" w:firstRowFirstColumn="0" w:firstRowLastColumn="0" w:lastRowFirstColumn="0" w:lastRowLastColumn="0"/>
            </w:pPr>
            <w:r w:rsidRPr="00DF652E">
              <w:t>Risques de tensions sociales et de violences basées sur le genre liées à la présence de main-d’œuvre externe</w:t>
            </w:r>
          </w:p>
        </w:tc>
        <w:tc>
          <w:tcPr>
            <w:tcW w:w="0" w:type="auto"/>
            <w:vAlign w:val="center"/>
            <w:hideMark/>
          </w:tcPr>
          <w:p w14:paraId="19C46575" w14:textId="77777777" w:rsidR="00537092" w:rsidRPr="00DF652E" w:rsidRDefault="00537092" w:rsidP="00537092">
            <w:pPr>
              <w:jc w:val="left"/>
              <w:cnfStyle w:val="000000000000" w:firstRow="0" w:lastRow="0" w:firstColumn="0" w:lastColumn="0" w:oddVBand="0" w:evenVBand="0" w:oddHBand="0" w:evenHBand="0" w:firstRowFirstColumn="0" w:firstRowLastColumn="0" w:lastRowFirstColumn="0" w:lastRowLastColumn="0"/>
            </w:pPr>
            <w:r w:rsidRPr="00DF652E">
              <w:t>Construction</w:t>
            </w:r>
          </w:p>
        </w:tc>
        <w:tc>
          <w:tcPr>
            <w:tcW w:w="0" w:type="auto"/>
            <w:vAlign w:val="center"/>
            <w:hideMark/>
          </w:tcPr>
          <w:p w14:paraId="1E74F5AC" w14:textId="77777777" w:rsidR="00537092" w:rsidRPr="00DF652E" w:rsidRDefault="00537092" w:rsidP="00537092">
            <w:pPr>
              <w:jc w:val="left"/>
              <w:cnfStyle w:val="000000000000" w:firstRow="0" w:lastRow="0" w:firstColumn="0" w:lastColumn="0" w:oddVBand="0" w:evenVBand="0" w:oddHBand="0" w:evenHBand="0" w:firstRowFirstColumn="0" w:firstRowLastColumn="0" w:lastRowFirstColumn="0" w:lastRowLastColumn="0"/>
            </w:pPr>
            <w:r w:rsidRPr="00DF652E">
              <w:t>Négatif indirect</w:t>
            </w:r>
          </w:p>
        </w:tc>
        <w:tc>
          <w:tcPr>
            <w:tcW w:w="0" w:type="auto"/>
            <w:vAlign w:val="center"/>
            <w:hideMark/>
          </w:tcPr>
          <w:p w14:paraId="08019BDB" w14:textId="77777777" w:rsidR="00537092" w:rsidRPr="00DF652E" w:rsidRDefault="00537092" w:rsidP="00537092">
            <w:pPr>
              <w:jc w:val="left"/>
              <w:cnfStyle w:val="000000000000" w:firstRow="0" w:lastRow="0" w:firstColumn="0" w:lastColumn="0" w:oddVBand="0" w:evenVBand="0" w:oddHBand="0" w:evenHBand="0" w:firstRowFirstColumn="0" w:firstRowLastColumn="0" w:lastRowFirstColumn="0" w:lastRowLastColumn="0"/>
            </w:pPr>
            <w:r w:rsidRPr="00DF652E">
              <w:t>Modéré</w:t>
            </w:r>
          </w:p>
        </w:tc>
        <w:tc>
          <w:tcPr>
            <w:tcW w:w="0" w:type="auto"/>
            <w:vAlign w:val="center"/>
            <w:hideMark/>
          </w:tcPr>
          <w:p w14:paraId="40C4E844" w14:textId="77777777" w:rsidR="00537092" w:rsidRPr="00DF652E" w:rsidRDefault="00537092" w:rsidP="00537092">
            <w:pPr>
              <w:jc w:val="left"/>
              <w:cnfStyle w:val="000000000000" w:firstRow="0" w:lastRow="0" w:firstColumn="0" w:lastColumn="0" w:oddVBand="0" w:evenVBand="0" w:oddHBand="0" w:evenHBand="0" w:firstRowFirstColumn="0" w:firstRowLastColumn="0" w:lastRowFirstColumn="0" w:lastRowLastColumn="0"/>
            </w:pPr>
            <w:r w:rsidRPr="00DF652E">
              <w:t>Temporaire</w:t>
            </w:r>
          </w:p>
        </w:tc>
        <w:tc>
          <w:tcPr>
            <w:tcW w:w="0" w:type="auto"/>
            <w:vAlign w:val="center"/>
            <w:hideMark/>
          </w:tcPr>
          <w:p w14:paraId="5D0F4C06" w14:textId="77777777" w:rsidR="00537092" w:rsidRPr="00DF652E" w:rsidRDefault="00537092" w:rsidP="00537092">
            <w:pPr>
              <w:jc w:val="left"/>
              <w:cnfStyle w:val="000000000000" w:firstRow="0" w:lastRow="0" w:firstColumn="0" w:lastColumn="0" w:oddVBand="0" w:evenVBand="0" w:oddHBand="0" w:evenHBand="0" w:firstRowFirstColumn="0" w:firstRowLastColumn="0" w:lastRowFirstColumn="0" w:lastRowLastColumn="0"/>
            </w:pPr>
            <w:r w:rsidRPr="00DF652E">
              <w:t>Occasionnel</w:t>
            </w:r>
          </w:p>
        </w:tc>
        <w:tc>
          <w:tcPr>
            <w:tcW w:w="0" w:type="auto"/>
            <w:vAlign w:val="center"/>
            <w:hideMark/>
          </w:tcPr>
          <w:p w14:paraId="2EE45B6C" w14:textId="77777777" w:rsidR="00537092" w:rsidRPr="00DF652E" w:rsidRDefault="00537092" w:rsidP="00537092">
            <w:pPr>
              <w:jc w:val="left"/>
              <w:cnfStyle w:val="000000000000" w:firstRow="0" w:lastRow="0" w:firstColumn="0" w:lastColumn="0" w:oddVBand="0" w:evenVBand="0" w:oddHBand="0" w:evenHBand="0" w:firstRowFirstColumn="0" w:firstRowLastColumn="0" w:lastRowFirstColumn="0" w:lastRowLastColumn="0"/>
            </w:pPr>
            <w:r w:rsidRPr="00DF652E">
              <w:t>Localisé</w:t>
            </w:r>
          </w:p>
        </w:tc>
        <w:tc>
          <w:tcPr>
            <w:tcW w:w="0" w:type="auto"/>
            <w:vAlign w:val="center"/>
            <w:hideMark/>
          </w:tcPr>
          <w:p w14:paraId="0993FE87" w14:textId="77777777" w:rsidR="00537092" w:rsidRPr="00DF652E" w:rsidRDefault="00537092" w:rsidP="00537092">
            <w:pPr>
              <w:jc w:val="left"/>
              <w:cnfStyle w:val="000000000000" w:firstRow="0" w:lastRow="0" w:firstColumn="0" w:lastColumn="0" w:oddVBand="0" w:evenVBand="0" w:oddHBand="0" w:evenHBand="0" w:firstRowFirstColumn="0" w:firstRowLastColumn="0" w:lastRowFirstColumn="0" w:lastRowLastColumn="0"/>
            </w:pPr>
            <w:r w:rsidRPr="00DF652E">
              <w:t>Moyenne</w:t>
            </w:r>
          </w:p>
        </w:tc>
        <w:tc>
          <w:tcPr>
            <w:tcW w:w="0" w:type="auto"/>
            <w:vAlign w:val="center"/>
            <w:hideMark/>
          </w:tcPr>
          <w:p w14:paraId="0D982EAD" w14:textId="77777777" w:rsidR="00537092" w:rsidRPr="00DF652E" w:rsidRDefault="00537092" w:rsidP="00537092">
            <w:pPr>
              <w:jc w:val="left"/>
              <w:cnfStyle w:val="000000000000" w:firstRow="0" w:lastRow="0" w:firstColumn="0" w:lastColumn="0" w:oddVBand="0" w:evenVBand="0" w:oddHBand="0" w:evenHBand="0" w:firstRowFirstColumn="0" w:firstRowLastColumn="0" w:lastRowFirstColumn="0" w:lastRowLastColumn="0"/>
            </w:pPr>
            <w:r w:rsidRPr="00DF652E">
              <w:t>Moyenne</w:t>
            </w:r>
          </w:p>
        </w:tc>
        <w:tc>
          <w:tcPr>
            <w:tcW w:w="0" w:type="auto"/>
            <w:vAlign w:val="center"/>
            <w:hideMark/>
          </w:tcPr>
          <w:p w14:paraId="22436E14" w14:textId="47D700D8" w:rsidR="00537092" w:rsidRPr="00DF652E" w:rsidRDefault="00537092" w:rsidP="00537092">
            <w:pPr>
              <w:jc w:val="left"/>
              <w:cnfStyle w:val="000000000000" w:firstRow="0" w:lastRow="0" w:firstColumn="0" w:lastColumn="0" w:oddVBand="0" w:evenVBand="0" w:oddHBand="0" w:evenHBand="0" w:firstRowFirstColumn="0" w:firstRowLastColumn="0" w:lastRowFirstColumn="0" w:lastRowLastColumn="0"/>
            </w:pPr>
            <w:r>
              <w:t>Mineur</w:t>
            </w:r>
          </w:p>
        </w:tc>
      </w:tr>
      <w:tr w:rsidR="00DF652E" w:rsidRPr="00DF652E" w14:paraId="4CEB54B6" w14:textId="77777777" w:rsidTr="00DF652E">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078CBA63" w14:textId="77777777" w:rsidR="00DF652E" w:rsidRPr="00DF652E" w:rsidRDefault="00DF652E" w:rsidP="00DF652E">
            <w:pPr>
              <w:jc w:val="left"/>
            </w:pPr>
            <w:r w:rsidRPr="00DF652E">
              <w:t>Socio-économie / emploi local</w:t>
            </w:r>
          </w:p>
        </w:tc>
        <w:tc>
          <w:tcPr>
            <w:tcW w:w="0" w:type="auto"/>
            <w:vAlign w:val="center"/>
            <w:hideMark/>
          </w:tcPr>
          <w:p w14:paraId="3CD71380" w14:textId="77777777" w:rsidR="00DF652E" w:rsidRPr="00DF652E" w:rsidRDefault="00DF652E" w:rsidP="00DF652E">
            <w:pPr>
              <w:jc w:val="left"/>
              <w:cnfStyle w:val="000000000000" w:firstRow="0" w:lastRow="0" w:firstColumn="0" w:lastColumn="0" w:oddVBand="0" w:evenVBand="0" w:oddHBand="0" w:evenHBand="0" w:firstRowFirstColumn="0" w:firstRowLastColumn="0" w:lastRowFirstColumn="0" w:lastRowLastColumn="0"/>
            </w:pPr>
            <w:r w:rsidRPr="00DF652E">
              <w:t>Création d’emplois temporaires pour la main-d’œuvre locale et opportunités économiques pour les prestataires régionaux</w:t>
            </w:r>
          </w:p>
        </w:tc>
        <w:tc>
          <w:tcPr>
            <w:tcW w:w="0" w:type="auto"/>
            <w:vAlign w:val="center"/>
            <w:hideMark/>
          </w:tcPr>
          <w:p w14:paraId="2213DD6F" w14:textId="77777777" w:rsidR="00DF652E" w:rsidRPr="00DF652E" w:rsidRDefault="00DF652E" w:rsidP="00DF652E">
            <w:pPr>
              <w:jc w:val="left"/>
              <w:cnfStyle w:val="000000000000" w:firstRow="0" w:lastRow="0" w:firstColumn="0" w:lastColumn="0" w:oddVBand="0" w:evenVBand="0" w:oddHBand="0" w:evenHBand="0" w:firstRowFirstColumn="0" w:firstRowLastColumn="0" w:lastRowFirstColumn="0" w:lastRowLastColumn="0"/>
            </w:pPr>
            <w:r w:rsidRPr="00DF652E">
              <w:t>Construction</w:t>
            </w:r>
          </w:p>
        </w:tc>
        <w:tc>
          <w:tcPr>
            <w:tcW w:w="0" w:type="auto"/>
            <w:vAlign w:val="center"/>
            <w:hideMark/>
          </w:tcPr>
          <w:p w14:paraId="6F22AD2F" w14:textId="77777777" w:rsidR="00DF652E" w:rsidRPr="00DF652E" w:rsidRDefault="00DF652E" w:rsidP="00DF652E">
            <w:pPr>
              <w:jc w:val="left"/>
              <w:cnfStyle w:val="000000000000" w:firstRow="0" w:lastRow="0" w:firstColumn="0" w:lastColumn="0" w:oddVBand="0" w:evenVBand="0" w:oddHBand="0" w:evenHBand="0" w:firstRowFirstColumn="0" w:firstRowLastColumn="0" w:lastRowFirstColumn="0" w:lastRowLastColumn="0"/>
            </w:pPr>
            <w:r w:rsidRPr="00DF652E">
              <w:t>Positif direct</w:t>
            </w:r>
          </w:p>
        </w:tc>
        <w:tc>
          <w:tcPr>
            <w:tcW w:w="0" w:type="auto"/>
            <w:vAlign w:val="center"/>
            <w:hideMark/>
          </w:tcPr>
          <w:p w14:paraId="205AD751" w14:textId="77777777" w:rsidR="00DF652E" w:rsidRPr="00DF652E" w:rsidRDefault="00DF652E" w:rsidP="00DF652E">
            <w:pPr>
              <w:jc w:val="left"/>
              <w:cnfStyle w:val="000000000000" w:firstRow="0" w:lastRow="0" w:firstColumn="0" w:lastColumn="0" w:oddVBand="0" w:evenVBand="0" w:oddHBand="0" w:evenHBand="0" w:firstRowFirstColumn="0" w:firstRowLastColumn="0" w:lastRowFirstColumn="0" w:lastRowLastColumn="0"/>
            </w:pPr>
            <w:r w:rsidRPr="00DF652E">
              <w:t>Majeur</w:t>
            </w:r>
          </w:p>
        </w:tc>
        <w:tc>
          <w:tcPr>
            <w:tcW w:w="0" w:type="auto"/>
            <w:vAlign w:val="center"/>
            <w:hideMark/>
          </w:tcPr>
          <w:p w14:paraId="5802FFFD" w14:textId="77777777" w:rsidR="00DF652E" w:rsidRPr="00DF652E" w:rsidRDefault="00DF652E" w:rsidP="00DF652E">
            <w:pPr>
              <w:jc w:val="left"/>
              <w:cnfStyle w:val="000000000000" w:firstRow="0" w:lastRow="0" w:firstColumn="0" w:lastColumn="0" w:oddVBand="0" w:evenVBand="0" w:oddHBand="0" w:evenHBand="0" w:firstRowFirstColumn="0" w:firstRowLastColumn="0" w:lastRowFirstColumn="0" w:lastRowLastColumn="0"/>
            </w:pPr>
            <w:r w:rsidRPr="00DF652E">
              <w:t>Temporaire</w:t>
            </w:r>
          </w:p>
        </w:tc>
        <w:tc>
          <w:tcPr>
            <w:tcW w:w="0" w:type="auto"/>
            <w:vAlign w:val="center"/>
            <w:hideMark/>
          </w:tcPr>
          <w:p w14:paraId="06236448" w14:textId="77777777" w:rsidR="00DF652E" w:rsidRPr="00DF652E" w:rsidRDefault="00DF652E" w:rsidP="00DF652E">
            <w:pPr>
              <w:jc w:val="left"/>
              <w:cnfStyle w:val="000000000000" w:firstRow="0" w:lastRow="0" w:firstColumn="0" w:lastColumn="0" w:oddVBand="0" w:evenVBand="0" w:oddHBand="0" w:evenHBand="0" w:firstRowFirstColumn="0" w:firstRowLastColumn="0" w:lastRowFirstColumn="0" w:lastRowLastColumn="0"/>
            </w:pPr>
            <w:r w:rsidRPr="00DF652E">
              <w:t>Régulier</w:t>
            </w:r>
          </w:p>
        </w:tc>
        <w:tc>
          <w:tcPr>
            <w:tcW w:w="0" w:type="auto"/>
            <w:vAlign w:val="center"/>
            <w:hideMark/>
          </w:tcPr>
          <w:p w14:paraId="16CAC9B1" w14:textId="77777777" w:rsidR="00DF652E" w:rsidRPr="00DF652E" w:rsidRDefault="00DF652E" w:rsidP="00DF652E">
            <w:pPr>
              <w:jc w:val="left"/>
              <w:cnfStyle w:val="000000000000" w:firstRow="0" w:lastRow="0" w:firstColumn="0" w:lastColumn="0" w:oddVBand="0" w:evenVBand="0" w:oddHBand="0" w:evenHBand="0" w:firstRowFirstColumn="0" w:firstRowLastColumn="0" w:lastRowFirstColumn="0" w:lastRowLastColumn="0"/>
            </w:pPr>
            <w:r w:rsidRPr="00DF652E">
              <w:t>Localisé à régional</w:t>
            </w:r>
          </w:p>
        </w:tc>
        <w:tc>
          <w:tcPr>
            <w:tcW w:w="0" w:type="auto"/>
            <w:vAlign w:val="center"/>
            <w:hideMark/>
          </w:tcPr>
          <w:p w14:paraId="7CA8533B" w14:textId="77777777" w:rsidR="00DF652E" w:rsidRPr="00DF652E" w:rsidRDefault="00DF652E" w:rsidP="00DF652E">
            <w:pPr>
              <w:jc w:val="left"/>
              <w:cnfStyle w:val="000000000000" w:firstRow="0" w:lastRow="0" w:firstColumn="0" w:lastColumn="0" w:oddVBand="0" w:evenVBand="0" w:oddHBand="0" w:evenHBand="0" w:firstRowFirstColumn="0" w:firstRowLastColumn="0" w:lastRowFirstColumn="0" w:lastRowLastColumn="0"/>
            </w:pPr>
            <w:r w:rsidRPr="00DF652E">
              <w:t>Moyenne</w:t>
            </w:r>
          </w:p>
        </w:tc>
        <w:tc>
          <w:tcPr>
            <w:tcW w:w="0" w:type="auto"/>
            <w:vAlign w:val="center"/>
            <w:hideMark/>
          </w:tcPr>
          <w:p w14:paraId="608DE6A8" w14:textId="77777777" w:rsidR="00DF652E" w:rsidRPr="00DF652E" w:rsidRDefault="00DF652E" w:rsidP="00DF652E">
            <w:pPr>
              <w:jc w:val="left"/>
              <w:cnfStyle w:val="000000000000" w:firstRow="0" w:lastRow="0" w:firstColumn="0" w:lastColumn="0" w:oddVBand="0" w:evenVBand="0" w:oddHBand="0" w:evenHBand="0" w:firstRowFirstColumn="0" w:firstRowLastColumn="0" w:lastRowFirstColumn="0" w:lastRowLastColumn="0"/>
            </w:pPr>
            <w:r w:rsidRPr="00DF652E">
              <w:t>Moyenne</w:t>
            </w:r>
          </w:p>
        </w:tc>
        <w:tc>
          <w:tcPr>
            <w:tcW w:w="0" w:type="auto"/>
            <w:vAlign w:val="center"/>
            <w:hideMark/>
          </w:tcPr>
          <w:p w14:paraId="3ED6AE59" w14:textId="77777777" w:rsidR="00DF652E" w:rsidRPr="00DF652E" w:rsidRDefault="00DF652E" w:rsidP="00DF652E">
            <w:pPr>
              <w:jc w:val="left"/>
              <w:cnfStyle w:val="000000000000" w:firstRow="0" w:lastRow="0" w:firstColumn="0" w:lastColumn="0" w:oddVBand="0" w:evenVBand="0" w:oddHBand="0" w:evenHBand="0" w:firstRowFirstColumn="0" w:firstRowLastColumn="0" w:lastRowFirstColumn="0" w:lastRowLastColumn="0"/>
            </w:pPr>
            <w:r w:rsidRPr="00DF652E">
              <w:t>Positif</w:t>
            </w:r>
          </w:p>
        </w:tc>
      </w:tr>
      <w:tr w:rsidR="00DF652E" w:rsidRPr="00DF652E" w14:paraId="58062AB0" w14:textId="77777777" w:rsidTr="005A7661">
        <w:tc>
          <w:tcPr>
            <w:cnfStyle w:val="001000000000" w:firstRow="0" w:lastRow="0" w:firstColumn="1" w:lastColumn="0" w:oddVBand="0" w:evenVBand="0" w:oddHBand="0" w:evenHBand="0" w:firstRowFirstColumn="0" w:firstRowLastColumn="0" w:lastRowFirstColumn="0" w:lastRowLastColumn="0"/>
            <w:tcW w:w="0" w:type="auto"/>
            <w:gridSpan w:val="11"/>
            <w:vAlign w:val="center"/>
          </w:tcPr>
          <w:p w14:paraId="158986D4" w14:textId="3E8763ED" w:rsidR="00DF652E" w:rsidRPr="00DF652E" w:rsidRDefault="00DF652E" w:rsidP="00DF652E">
            <w:pPr>
              <w:jc w:val="left"/>
            </w:pPr>
            <w:r>
              <w:lastRenderedPageBreak/>
              <w:t>Phase d’exploitation</w:t>
            </w:r>
          </w:p>
        </w:tc>
      </w:tr>
      <w:tr w:rsidR="00537092" w:rsidRPr="00DF652E" w14:paraId="18067E46" w14:textId="77777777" w:rsidTr="00DF652E">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7B1DB5C9" w14:textId="77777777" w:rsidR="00537092" w:rsidRPr="00DF652E" w:rsidRDefault="00537092" w:rsidP="00537092">
            <w:pPr>
              <w:jc w:val="left"/>
            </w:pPr>
            <w:r w:rsidRPr="00DF652E">
              <w:t>Air et climat</w:t>
            </w:r>
          </w:p>
        </w:tc>
        <w:tc>
          <w:tcPr>
            <w:tcW w:w="0" w:type="auto"/>
            <w:vAlign w:val="center"/>
            <w:hideMark/>
          </w:tcPr>
          <w:p w14:paraId="3DD3E0E6" w14:textId="77777777" w:rsidR="00537092" w:rsidRPr="00DF652E" w:rsidRDefault="00537092" w:rsidP="00537092">
            <w:pPr>
              <w:jc w:val="left"/>
              <w:cnfStyle w:val="000000000000" w:firstRow="0" w:lastRow="0" w:firstColumn="0" w:lastColumn="0" w:oddVBand="0" w:evenVBand="0" w:oddHBand="0" w:evenHBand="0" w:firstRowFirstColumn="0" w:firstRowLastColumn="0" w:lastRowFirstColumn="0" w:lastRowLastColumn="0"/>
            </w:pPr>
            <w:r w:rsidRPr="00DF652E">
              <w:t>Émissions limitées issues du fonctionnement des groupes électrogènes et véhicules d’exploitation</w:t>
            </w:r>
          </w:p>
        </w:tc>
        <w:tc>
          <w:tcPr>
            <w:tcW w:w="0" w:type="auto"/>
            <w:vAlign w:val="center"/>
            <w:hideMark/>
          </w:tcPr>
          <w:p w14:paraId="04679B38" w14:textId="77777777" w:rsidR="00537092" w:rsidRPr="00DF652E" w:rsidRDefault="00537092" w:rsidP="00537092">
            <w:pPr>
              <w:jc w:val="left"/>
              <w:cnfStyle w:val="000000000000" w:firstRow="0" w:lastRow="0" w:firstColumn="0" w:lastColumn="0" w:oddVBand="0" w:evenVBand="0" w:oddHBand="0" w:evenHBand="0" w:firstRowFirstColumn="0" w:firstRowLastColumn="0" w:lastRowFirstColumn="0" w:lastRowLastColumn="0"/>
            </w:pPr>
            <w:r w:rsidRPr="00DF652E">
              <w:t>Exploitation</w:t>
            </w:r>
          </w:p>
        </w:tc>
        <w:tc>
          <w:tcPr>
            <w:tcW w:w="0" w:type="auto"/>
            <w:vAlign w:val="center"/>
            <w:hideMark/>
          </w:tcPr>
          <w:p w14:paraId="15BA67A6" w14:textId="77777777" w:rsidR="00537092" w:rsidRPr="00DF652E" w:rsidRDefault="00537092" w:rsidP="00537092">
            <w:pPr>
              <w:jc w:val="left"/>
              <w:cnfStyle w:val="000000000000" w:firstRow="0" w:lastRow="0" w:firstColumn="0" w:lastColumn="0" w:oddVBand="0" w:evenVBand="0" w:oddHBand="0" w:evenHBand="0" w:firstRowFirstColumn="0" w:firstRowLastColumn="0" w:lastRowFirstColumn="0" w:lastRowLastColumn="0"/>
            </w:pPr>
            <w:r w:rsidRPr="00DF652E">
              <w:t>Négatif direct</w:t>
            </w:r>
          </w:p>
        </w:tc>
        <w:tc>
          <w:tcPr>
            <w:tcW w:w="0" w:type="auto"/>
            <w:vAlign w:val="center"/>
            <w:hideMark/>
          </w:tcPr>
          <w:p w14:paraId="2B26F68A" w14:textId="77777777" w:rsidR="00537092" w:rsidRPr="00DF652E" w:rsidRDefault="00537092" w:rsidP="00537092">
            <w:pPr>
              <w:jc w:val="left"/>
              <w:cnfStyle w:val="000000000000" w:firstRow="0" w:lastRow="0" w:firstColumn="0" w:lastColumn="0" w:oddVBand="0" w:evenVBand="0" w:oddHBand="0" w:evenHBand="0" w:firstRowFirstColumn="0" w:firstRowLastColumn="0" w:lastRowFirstColumn="0" w:lastRowLastColumn="0"/>
            </w:pPr>
            <w:r w:rsidRPr="00DF652E">
              <w:t>Faible</w:t>
            </w:r>
          </w:p>
        </w:tc>
        <w:tc>
          <w:tcPr>
            <w:tcW w:w="0" w:type="auto"/>
            <w:vAlign w:val="center"/>
            <w:hideMark/>
          </w:tcPr>
          <w:p w14:paraId="10CCDE8F" w14:textId="77777777" w:rsidR="00537092" w:rsidRPr="00DF652E" w:rsidRDefault="00537092" w:rsidP="00537092">
            <w:pPr>
              <w:jc w:val="left"/>
              <w:cnfStyle w:val="000000000000" w:firstRow="0" w:lastRow="0" w:firstColumn="0" w:lastColumn="0" w:oddVBand="0" w:evenVBand="0" w:oddHBand="0" w:evenHBand="0" w:firstRowFirstColumn="0" w:firstRowLastColumn="0" w:lastRowFirstColumn="0" w:lastRowLastColumn="0"/>
            </w:pPr>
            <w:r w:rsidRPr="00DF652E">
              <w:t>Permanent</w:t>
            </w:r>
          </w:p>
        </w:tc>
        <w:tc>
          <w:tcPr>
            <w:tcW w:w="0" w:type="auto"/>
            <w:vAlign w:val="center"/>
            <w:hideMark/>
          </w:tcPr>
          <w:p w14:paraId="1E82BFEF" w14:textId="77777777" w:rsidR="00537092" w:rsidRPr="00DF652E" w:rsidRDefault="00537092" w:rsidP="00537092">
            <w:pPr>
              <w:jc w:val="left"/>
              <w:cnfStyle w:val="000000000000" w:firstRow="0" w:lastRow="0" w:firstColumn="0" w:lastColumn="0" w:oddVBand="0" w:evenVBand="0" w:oddHBand="0" w:evenHBand="0" w:firstRowFirstColumn="0" w:firstRowLastColumn="0" w:lastRowFirstColumn="0" w:lastRowLastColumn="0"/>
            </w:pPr>
            <w:r w:rsidRPr="00DF652E">
              <w:t>Occasionnel</w:t>
            </w:r>
          </w:p>
        </w:tc>
        <w:tc>
          <w:tcPr>
            <w:tcW w:w="0" w:type="auto"/>
            <w:vAlign w:val="center"/>
            <w:hideMark/>
          </w:tcPr>
          <w:p w14:paraId="1909FF34" w14:textId="77777777" w:rsidR="00537092" w:rsidRPr="00DF652E" w:rsidRDefault="00537092" w:rsidP="00537092">
            <w:pPr>
              <w:jc w:val="left"/>
              <w:cnfStyle w:val="000000000000" w:firstRow="0" w:lastRow="0" w:firstColumn="0" w:lastColumn="0" w:oddVBand="0" w:evenVBand="0" w:oddHBand="0" w:evenHBand="0" w:firstRowFirstColumn="0" w:firstRowLastColumn="0" w:lastRowFirstColumn="0" w:lastRowLastColumn="0"/>
            </w:pPr>
            <w:r w:rsidRPr="00DF652E">
              <w:t>Localisé</w:t>
            </w:r>
          </w:p>
        </w:tc>
        <w:tc>
          <w:tcPr>
            <w:tcW w:w="0" w:type="auto"/>
            <w:vAlign w:val="center"/>
            <w:hideMark/>
          </w:tcPr>
          <w:p w14:paraId="2F903D64" w14:textId="77777777" w:rsidR="00537092" w:rsidRPr="00DF652E" w:rsidRDefault="00537092" w:rsidP="00537092">
            <w:pPr>
              <w:jc w:val="left"/>
              <w:cnfStyle w:val="000000000000" w:firstRow="0" w:lastRow="0" w:firstColumn="0" w:lastColumn="0" w:oddVBand="0" w:evenVBand="0" w:oddHBand="0" w:evenHBand="0" w:firstRowFirstColumn="0" w:firstRowLastColumn="0" w:lastRowFirstColumn="0" w:lastRowLastColumn="0"/>
            </w:pPr>
            <w:r w:rsidRPr="00DF652E">
              <w:t>Faible</w:t>
            </w:r>
          </w:p>
        </w:tc>
        <w:tc>
          <w:tcPr>
            <w:tcW w:w="0" w:type="auto"/>
            <w:vAlign w:val="center"/>
            <w:hideMark/>
          </w:tcPr>
          <w:p w14:paraId="4B8FF474" w14:textId="77777777" w:rsidR="00537092" w:rsidRPr="00DF652E" w:rsidRDefault="00537092" w:rsidP="00537092">
            <w:pPr>
              <w:jc w:val="left"/>
              <w:cnfStyle w:val="000000000000" w:firstRow="0" w:lastRow="0" w:firstColumn="0" w:lastColumn="0" w:oddVBand="0" w:evenVBand="0" w:oddHBand="0" w:evenHBand="0" w:firstRowFirstColumn="0" w:firstRowLastColumn="0" w:lastRowFirstColumn="0" w:lastRowLastColumn="0"/>
            </w:pPr>
            <w:r w:rsidRPr="00DF652E">
              <w:t>Faible</w:t>
            </w:r>
          </w:p>
        </w:tc>
        <w:tc>
          <w:tcPr>
            <w:tcW w:w="0" w:type="auto"/>
            <w:vAlign w:val="center"/>
            <w:hideMark/>
          </w:tcPr>
          <w:p w14:paraId="6CA1D8C9" w14:textId="18F98128" w:rsidR="00537092" w:rsidRPr="00DF652E" w:rsidRDefault="00537092" w:rsidP="00537092">
            <w:pPr>
              <w:jc w:val="left"/>
              <w:cnfStyle w:val="000000000000" w:firstRow="0" w:lastRow="0" w:firstColumn="0" w:lastColumn="0" w:oddVBand="0" w:evenVBand="0" w:oddHBand="0" w:evenHBand="0" w:firstRowFirstColumn="0" w:firstRowLastColumn="0" w:lastRowFirstColumn="0" w:lastRowLastColumn="0"/>
            </w:pPr>
            <w:r>
              <w:t>Mineur</w:t>
            </w:r>
          </w:p>
        </w:tc>
      </w:tr>
      <w:tr w:rsidR="00537092" w:rsidRPr="00DF652E" w14:paraId="189F1224" w14:textId="77777777" w:rsidTr="00DF652E">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4C270298" w14:textId="77777777" w:rsidR="00537092" w:rsidRPr="00DF652E" w:rsidRDefault="00537092" w:rsidP="00537092">
            <w:pPr>
              <w:jc w:val="left"/>
            </w:pPr>
            <w:r w:rsidRPr="00DF652E">
              <w:t>Bruit</w:t>
            </w:r>
          </w:p>
        </w:tc>
        <w:tc>
          <w:tcPr>
            <w:tcW w:w="0" w:type="auto"/>
            <w:vAlign w:val="center"/>
            <w:hideMark/>
          </w:tcPr>
          <w:p w14:paraId="0F9B5FC8" w14:textId="77777777" w:rsidR="00537092" w:rsidRPr="00DF652E" w:rsidRDefault="00537092" w:rsidP="00537092">
            <w:pPr>
              <w:jc w:val="left"/>
              <w:cnfStyle w:val="000000000000" w:firstRow="0" w:lastRow="0" w:firstColumn="0" w:lastColumn="0" w:oddVBand="0" w:evenVBand="0" w:oddHBand="0" w:evenHBand="0" w:firstRowFirstColumn="0" w:firstRowLastColumn="0" w:lastRowFirstColumn="0" w:lastRowLastColumn="0"/>
            </w:pPr>
            <w:r w:rsidRPr="00DF652E">
              <w:t>Nuisances sonores dues au trafic aérien et aux équipements techniques</w:t>
            </w:r>
          </w:p>
        </w:tc>
        <w:tc>
          <w:tcPr>
            <w:tcW w:w="0" w:type="auto"/>
            <w:vAlign w:val="center"/>
            <w:hideMark/>
          </w:tcPr>
          <w:p w14:paraId="56B637F9" w14:textId="77777777" w:rsidR="00537092" w:rsidRPr="00DF652E" w:rsidRDefault="00537092" w:rsidP="00537092">
            <w:pPr>
              <w:jc w:val="left"/>
              <w:cnfStyle w:val="000000000000" w:firstRow="0" w:lastRow="0" w:firstColumn="0" w:lastColumn="0" w:oddVBand="0" w:evenVBand="0" w:oddHBand="0" w:evenHBand="0" w:firstRowFirstColumn="0" w:firstRowLastColumn="0" w:lastRowFirstColumn="0" w:lastRowLastColumn="0"/>
            </w:pPr>
            <w:r w:rsidRPr="00DF652E">
              <w:t>Exploitation</w:t>
            </w:r>
          </w:p>
        </w:tc>
        <w:tc>
          <w:tcPr>
            <w:tcW w:w="0" w:type="auto"/>
            <w:vAlign w:val="center"/>
            <w:hideMark/>
          </w:tcPr>
          <w:p w14:paraId="278E2DC4" w14:textId="77777777" w:rsidR="00537092" w:rsidRPr="00DF652E" w:rsidRDefault="00537092" w:rsidP="00537092">
            <w:pPr>
              <w:jc w:val="left"/>
              <w:cnfStyle w:val="000000000000" w:firstRow="0" w:lastRow="0" w:firstColumn="0" w:lastColumn="0" w:oddVBand="0" w:evenVBand="0" w:oddHBand="0" w:evenHBand="0" w:firstRowFirstColumn="0" w:firstRowLastColumn="0" w:lastRowFirstColumn="0" w:lastRowLastColumn="0"/>
            </w:pPr>
            <w:r w:rsidRPr="00DF652E">
              <w:t>Négatif direct</w:t>
            </w:r>
          </w:p>
        </w:tc>
        <w:tc>
          <w:tcPr>
            <w:tcW w:w="0" w:type="auto"/>
            <w:vAlign w:val="center"/>
            <w:hideMark/>
          </w:tcPr>
          <w:p w14:paraId="147E77AC" w14:textId="77777777" w:rsidR="00537092" w:rsidRPr="00DF652E" w:rsidRDefault="00537092" w:rsidP="00537092">
            <w:pPr>
              <w:jc w:val="left"/>
              <w:cnfStyle w:val="000000000000" w:firstRow="0" w:lastRow="0" w:firstColumn="0" w:lastColumn="0" w:oddVBand="0" w:evenVBand="0" w:oddHBand="0" w:evenHBand="0" w:firstRowFirstColumn="0" w:firstRowLastColumn="0" w:lastRowFirstColumn="0" w:lastRowLastColumn="0"/>
            </w:pPr>
            <w:r w:rsidRPr="00DF652E">
              <w:t>Modéré</w:t>
            </w:r>
          </w:p>
        </w:tc>
        <w:tc>
          <w:tcPr>
            <w:tcW w:w="0" w:type="auto"/>
            <w:vAlign w:val="center"/>
            <w:hideMark/>
          </w:tcPr>
          <w:p w14:paraId="52C1AF31" w14:textId="77777777" w:rsidR="00537092" w:rsidRPr="00DF652E" w:rsidRDefault="00537092" w:rsidP="00537092">
            <w:pPr>
              <w:jc w:val="left"/>
              <w:cnfStyle w:val="000000000000" w:firstRow="0" w:lastRow="0" w:firstColumn="0" w:lastColumn="0" w:oddVBand="0" w:evenVBand="0" w:oddHBand="0" w:evenHBand="0" w:firstRowFirstColumn="0" w:firstRowLastColumn="0" w:lastRowFirstColumn="0" w:lastRowLastColumn="0"/>
            </w:pPr>
            <w:r w:rsidRPr="00DF652E">
              <w:t>Permanent</w:t>
            </w:r>
          </w:p>
        </w:tc>
        <w:tc>
          <w:tcPr>
            <w:tcW w:w="0" w:type="auto"/>
            <w:vAlign w:val="center"/>
            <w:hideMark/>
          </w:tcPr>
          <w:p w14:paraId="6B6ABCFF" w14:textId="77777777" w:rsidR="00537092" w:rsidRPr="00DF652E" w:rsidRDefault="00537092" w:rsidP="00537092">
            <w:pPr>
              <w:jc w:val="left"/>
              <w:cnfStyle w:val="000000000000" w:firstRow="0" w:lastRow="0" w:firstColumn="0" w:lastColumn="0" w:oddVBand="0" w:evenVBand="0" w:oddHBand="0" w:evenHBand="0" w:firstRowFirstColumn="0" w:firstRowLastColumn="0" w:lastRowFirstColumn="0" w:lastRowLastColumn="0"/>
            </w:pPr>
            <w:r w:rsidRPr="00DF652E">
              <w:t>Régulier</w:t>
            </w:r>
          </w:p>
        </w:tc>
        <w:tc>
          <w:tcPr>
            <w:tcW w:w="0" w:type="auto"/>
            <w:vAlign w:val="center"/>
            <w:hideMark/>
          </w:tcPr>
          <w:p w14:paraId="78E16670" w14:textId="77777777" w:rsidR="00537092" w:rsidRPr="00DF652E" w:rsidRDefault="00537092" w:rsidP="00537092">
            <w:pPr>
              <w:jc w:val="left"/>
              <w:cnfStyle w:val="000000000000" w:firstRow="0" w:lastRow="0" w:firstColumn="0" w:lastColumn="0" w:oddVBand="0" w:evenVBand="0" w:oddHBand="0" w:evenHBand="0" w:firstRowFirstColumn="0" w:firstRowLastColumn="0" w:lastRowFirstColumn="0" w:lastRowLastColumn="0"/>
            </w:pPr>
            <w:r w:rsidRPr="00DF652E">
              <w:t>Localisé</w:t>
            </w:r>
          </w:p>
        </w:tc>
        <w:tc>
          <w:tcPr>
            <w:tcW w:w="0" w:type="auto"/>
            <w:vAlign w:val="center"/>
            <w:hideMark/>
          </w:tcPr>
          <w:p w14:paraId="7A23D4CA" w14:textId="77777777" w:rsidR="00537092" w:rsidRPr="00DF652E" w:rsidRDefault="00537092" w:rsidP="00537092">
            <w:pPr>
              <w:jc w:val="left"/>
              <w:cnfStyle w:val="000000000000" w:firstRow="0" w:lastRow="0" w:firstColumn="0" w:lastColumn="0" w:oddVBand="0" w:evenVBand="0" w:oddHBand="0" w:evenHBand="0" w:firstRowFirstColumn="0" w:firstRowLastColumn="0" w:lastRowFirstColumn="0" w:lastRowLastColumn="0"/>
            </w:pPr>
            <w:r w:rsidRPr="00DF652E">
              <w:t>Moyenne</w:t>
            </w:r>
          </w:p>
        </w:tc>
        <w:tc>
          <w:tcPr>
            <w:tcW w:w="0" w:type="auto"/>
            <w:vAlign w:val="center"/>
            <w:hideMark/>
          </w:tcPr>
          <w:p w14:paraId="4BA73E32" w14:textId="77777777" w:rsidR="00537092" w:rsidRPr="00DF652E" w:rsidRDefault="00537092" w:rsidP="00537092">
            <w:pPr>
              <w:jc w:val="left"/>
              <w:cnfStyle w:val="000000000000" w:firstRow="0" w:lastRow="0" w:firstColumn="0" w:lastColumn="0" w:oddVBand="0" w:evenVBand="0" w:oddHBand="0" w:evenHBand="0" w:firstRowFirstColumn="0" w:firstRowLastColumn="0" w:lastRowFirstColumn="0" w:lastRowLastColumn="0"/>
            </w:pPr>
            <w:r w:rsidRPr="00DF652E">
              <w:t>Moyenne</w:t>
            </w:r>
          </w:p>
        </w:tc>
        <w:tc>
          <w:tcPr>
            <w:tcW w:w="0" w:type="auto"/>
            <w:vAlign w:val="center"/>
            <w:hideMark/>
          </w:tcPr>
          <w:p w14:paraId="6A09E4E5" w14:textId="43EC4B44" w:rsidR="00537092" w:rsidRPr="00DF652E" w:rsidRDefault="00537092" w:rsidP="00537092">
            <w:pPr>
              <w:jc w:val="left"/>
              <w:cnfStyle w:val="000000000000" w:firstRow="0" w:lastRow="0" w:firstColumn="0" w:lastColumn="0" w:oddVBand="0" w:evenVBand="0" w:oddHBand="0" w:evenHBand="0" w:firstRowFirstColumn="0" w:firstRowLastColumn="0" w:lastRowFirstColumn="0" w:lastRowLastColumn="0"/>
            </w:pPr>
            <w:r>
              <w:t>Mineur</w:t>
            </w:r>
          </w:p>
        </w:tc>
      </w:tr>
      <w:tr w:rsidR="00537092" w:rsidRPr="00DF652E" w14:paraId="7859CE2A" w14:textId="77777777" w:rsidTr="00DF652E">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2987A69A" w14:textId="77777777" w:rsidR="00537092" w:rsidRPr="00DF652E" w:rsidRDefault="00537092" w:rsidP="00537092">
            <w:pPr>
              <w:jc w:val="left"/>
            </w:pPr>
            <w:r w:rsidRPr="00DF652E">
              <w:t>Sols et eaux superficielles</w:t>
            </w:r>
          </w:p>
        </w:tc>
        <w:tc>
          <w:tcPr>
            <w:tcW w:w="0" w:type="auto"/>
            <w:vAlign w:val="center"/>
            <w:hideMark/>
          </w:tcPr>
          <w:p w14:paraId="540F2C46" w14:textId="77777777" w:rsidR="00537092" w:rsidRPr="00DF652E" w:rsidRDefault="00537092" w:rsidP="00537092">
            <w:pPr>
              <w:jc w:val="left"/>
              <w:cnfStyle w:val="000000000000" w:firstRow="0" w:lastRow="0" w:firstColumn="0" w:lastColumn="0" w:oddVBand="0" w:evenVBand="0" w:oddHBand="0" w:evenHBand="0" w:firstRowFirstColumn="0" w:firstRowLastColumn="0" w:lastRowFirstColumn="0" w:lastRowLastColumn="0"/>
            </w:pPr>
            <w:r w:rsidRPr="00DF652E">
              <w:t>Risques ponctuels de pollution liés à la maintenance (huiles, carburants, produits d’entretien)</w:t>
            </w:r>
          </w:p>
        </w:tc>
        <w:tc>
          <w:tcPr>
            <w:tcW w:w="0" w:type="auto"/>
            <w:vAlign w:val="center"/>
            <w:hideMark/>
          </w:tcPr>
          <w:p w14:paraId="65225A76" w14:textId="77777777" w:rsidR="00537092" w:rsidRPr="00DF652E" w:rsidRDefault="00537092" w:rsidP="00537092">
            <w:pPr>
              <w:jc w:val="left"/>
              <w:cnfStyle w:val="000000000000" w:firstRow="0" w:lastRow="0" w:firstColumn="0" w:lastColumn="0" w:oddVBand="0" w:evenVBand="0" w:oddHBand="0" w:evenHBand="0" w:firstRowFirstColumn="0" w:firstRowLastColumn="0" w:lastRowFirstColumn="0" w:lastRowLastColumn="0"/>
            </w:pPr>
            <w:r w:rsidRPr="00DF652E">
              <w:t>Exploitation</w:t>
            </w:r>
          </w:p>
        </w:tc>
        <w:tc>
          <w:tcPr>
            <w:tcW w:w="0" w:type="auto"/>
            <w:vAlign w:val="center"/>
            <w:hideMark/>
          </w:tcPr>
          <w:p w14:paraId="71F54352" w14:textId="77777777" w:rsidR="00537092" w:rsidRPr="00DF652E" w:rsidRDefault="00537092" w:rsidP="00537092">
            <w:pPr>
              <w:jc w:val="left"/>
              <w:cnfStyle w:val="000000000000" w:firstRow="0" w:lastRow="0" w:firstColumn="0" w:lastColumn="0" w:oddVBand="0" w:evenVBand="0" w:oddHBand="0" w:evenHBand="0" w:firstRowFirstColumn="0" w:firstRowLastColumn="0" w:lastRowFirstColumn="0" w:lastRowLastColumn="0"/>
            </w:pPr>
            <w:r w:rsidRPr="00DF652E">
              <w:t>Négatif indirect</w:t>
            </w:r>
          </w:p>
        </w:tc>
        <w:tc>
          <w:tcPr>
            <w:tcW w:w="0" w:type="auto"/>
            <w:vAlign w:val="center"/>
            <w:hideMark/>
          </w:tcPr>
          <w:p w14:paraId="6924948D" w14:textId="77777777" w:rsidR="00537092" w:rsidRPr="00DF652E" w:rsidRDefault="00537092" w:rsidP="00537092">
            <w:pPr>
              <w:jc w:val="left"/>
              <w:cnfStyle w:val="000000000000" w:firstRow="0" w:lastRow="0" w:firstColumn="0" w:lastColumn="0" w:oddVBand="0" w:evenVBand="0" w:oddHBand="0" w:evenHBand="0" w:firstRowFirstColumn="0" w:firstRowLastColumn="0" w:lastRowFirstColumn="0" w:lastRowLastColumn="0"/>
            </w:pPr>
            <w:r w:rsidRPr="00DF652E">
              <w:t>Modéré</w:t>
            </w:r>
          </w:p>
        </w:tc>
        <w:tc>
          <w:tcPr>
            <w:tcW w:w="0" w:type="auto"/>
            <w:vAlign w:val="center"/>
            <w:hideMark/>
          </w:tcPr>
          <w:p w14:paraId="3B63D77D" w14:textId="77777777" w:rsidR="00537092" w:rsidRPr="00DF652E" w:rsidRDefault="00537092" w:rsidP="00537092">
            <w:pPr>
              <w:jc w:val="left"/>
              <w:cnfStyle w:val="000000000000" w:firstRow="0" w:lastRow="0" w:firstColumn="0" w:lastColumn="0" w:oddVBand="0" w:evenVBand="0" w:oddHBand="0" w:evenHBand="0" w:firstRowFirstColumn="0" w:firstRowLastColumn="0" w:lastRowFirstColumn="0" w:lastRowLastColumn="0"/>
            </w:pPr>
            <w:r w:rsidRPr="00DF652E">
              <w:t>Permanent</w:t>
            </w:r>
          </w:p>
        </w:tc>
        <w:tc>
          <w:tcPr>
            <w:tcW w:w="0" w:type="auto"/>
            <w:vAlign w:val="center"/>
            <w:hideMark/>
          </w:tcPr>
          <w:p w14:paraId="004EB054" w14:textId="77777777" w:rsidR="00537092" w:rsidRPr="00DF652E" w:rsidRDefault="00537092" w:rsidP="00537092">
            <w:pPr>
              <w:jc w:val="left"/>
              <w:cnfStyle w:val="000000000000" w:firstRow="0" w:lastRow="0" w:firstColumn="0" w:lastColumn="0" w:oddVBand="0" w:evenVBand="0" w:oddHBand="0" w:evenHBand="0" w:firstRowFirstColumn="0" w:firstRowLastColumn="0" w:lastRowFirstColumn="0" w:lastRowLastColumn="0"/>
            </w:pPr>
            <w:r w:rsidRPr="00DF652E">
              <w:t>Occasionnel</w:t>
            </w:r>
          </w:p>
        </w:tc>
        <w:tc>
          <w:tcPr>
            <w:tcW w:w="0" w:type="auto"/>
            <w:vAlign w:val="center"/>
            <w:hideMark/>
          </w:tcPr>
          <w:p w14:paraId="65CF38CA" w14:textId="77777777" w:rsidR="00537092" w:rsidRPr="00DF652E" w:rsidRDefault="00537092" w:rsidP="00537092">
            <w:pPr>
              <w:jc w:val="left"/>
              <w:cnfStyle w:val="000000000000" w:firstRow="0" w:lastRow="0" w:firstColumn="0" w:lastColumn="0" w:oddVBand="0" w:evenVBand="0" w:oddHBand="0" w:evenHBand="0" w:firstRowFirstColumn="0" w:firstRowLastColumn="0" w:lastRowFirstColumn="0" w:lastRowLastColumn="0"/>
            </w:pPr>
            <w:r w:rsidRPr="00DF652E">
              <w:t>Localisé</w:t>
            </w:r>
          </w:p>
        </w:tc>
        <w:tc>
          <w:tcPr>
            <w:tcW w:w="0" w:type="auto"/>
            <w:vAlign w:val="center"/>
            <w:hideMark/>
          </w:tcPr>
          <w:p w14:paraId="59C29904" w14:textId="77777777" w:rsidR="00537092" w:rsidRPr="00DF652E" w:rsidRDefault="00537092" w:rsidP="00537092">
            <w:pPr>
              <w:jc w:val="left"/>
              <w:cnfStyle w:val="000000000000" w:firstRow="0" w:lastRow="0" w:firstColumn="0" w:lastColumn="0" w:oddVBand="0" w:evenVBand="0" w:oddHBand="0" w:evenHBand="0" w:firstRowFirstColumn="0" w:firstRowLastColumn="0" w:lastRowFirstColumn="0" w:lastRowLastColumn="0"/>
            </w:pPr>
            <w:r w:rsidRPr="00DF652E">
              <w:t>Faible à moyenne</w:t>
            </w:r>
          </w:p>
        </w:tc>
        <w:tc>
          <w:tcPr>
            <w:tcW w:w="0" w:type="auto"/>
            <w:vAlign w:val="center"/>
            <w:hideMark/>
          </w:tcPr>
          <w:p w14:paraId="19750B71" w14:textId="77777777" w:rsidR="00537092" w:rsidRPr="00DF652E" w:rsidRDefault="00537092" w:rsidP="00537092">
            <w:pPr>
              <w:jc w:val="left"/>
              <w:cnfStyle w:val="000000000000" w:firstRow="0" w:lastRow="0" w:firstColumn="0" w:lastColumn="0" w:oddVBand="0" w:evenVBand="0" w:oddHBand="0" w:evenHBand="0" w:firstRowFirstColumn="0" w:firstRowLastColumn="0" w:lastRowFirstColumn="0" w:lastRowLastColumn="0"/>
            </w:pPr>
            <w:r w:rsidRPr="00DF652E">
              <w:t>Moyenne</w:t>
            </w:r>
          </w:p>
        </w:tc>
        <w:tc>
          <w:tcPr>
            <w:tcW w:w="0" w:type="auto"/>
            <w:vAlign w:val="center"/>
            <w:hideMark/>
          </w:tcPr>
          <w:p w14:paraId="3A44B17D" w14:textId="110FE357" w:rsidR="00537092" w:rsidRPr="00DF652E" w:rsidRDefault="00537092" w:rsidP="00537092">
            <w:pPr>
              <w:jc w:val="left"/>
              <w:cnfStyle w:val="000000000000" w:firstRow="0" w:lastRow="0" w:firstColumn="0" w:lastColumn="0" w:oddVBand="0" w:evenVBand="0" w:oddHBand="0" w:evenHBand="0" w:firstRowFirstColumn="0" w:firstRowLastColumn="0" w:lastRowFirstColumn="0" w:lastRowLastColumn="0"/>
            </w:pPr>
            <w:r>
              <w:t>Mineur</w:t>
            </w:r>
          </w:p>
        </w:tc>
      </w:tr>
      <w:tr w:rsidR="00537092" w:rsidRPr="00DF652E" w14:paraId="7C43A2CA" w14:textId="77777777" w:rsidTr="00DF652E">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28472595" w14:textId="77777777" w:rsidR="00537092" w:rsidRPr="00DF652E" w:rsidRDefault="00537092" w:rsidP="00537092">
            <w:pPr>
              <w:jc w:val="left"/>
            </w:pPr>
            <w:r w:rsidRPr="00DF652E">
              <w:t>Déchets d’exploitation</w:t>
            </w:r>
          </w:p>
        </w:tc>
        <w:tc>
          <w:tcPr>
            <w:tcW w:w="0" w:type="auto"/>
            <w:vAlign w:val="center"/>
            <w:hideMark/>
          </w:tcPr>
          <w:p w14:paraId="4C799693" w14:textId="77777777" w:rsidR="00537092" w:rsidRPr="00DF652E" w:rsidRDefault="00537092" w:rsidP="00537092">
            <w:pPr>
              <w:jc w:val="left"/>
              <w:cnfStyle w:val="000000000000" w:firstRow="0" w:lastRow="0" w:firstColumn="0" w:lastColumn="0" w:oddVBand="0" w:evenVBand="0" w:oddHBand="0" w:evenHBand="0" w:firstRowFirstColumn="0" w:firstRowLastColumn="0" w:lastRowFirstColumn="0" w:lastRowLastColumn="0"/>
            </w:pPr>
            <w:r w:rsidRPr="00DF652E">
              <w:t>Production régulière de déchets ménagers et dangereux en faible quantité</w:t>
            </w:r>
          </w:p>
        </w:tc>
        <w:tc>
          <w:tcPr>
            <w:tcW w:w="0" w:type="auto"/>
            <w:vAlign w:val="center"/>
            <w:hideMark/>
          </w:tcPr>
          <w:p w14:paraId="6F92703F" w14:textId="77777777" w:rsidR="00537092" w:rsidRPr="00DF652E" w:rsidRDefault="00537092" w:rsidP="00537092">
            <w:pPr>
              <w:jc w:val="left"/>
              <w:cnfStyle w:val="000000000000" w:firstRow="0" w:lastRow="0" w:firstColumn="0" w:lastColumn="0" w:oddVBand="0" w:evenVBand="0" w:oddHBand="0" w:evenHBand="0" w:firstRowFirstColumn="0" w:firstRowLastColumn="0" w:lastRowFirstColumn="0" w:lastRowLastColumn="0"/>
            </w:pPr>
            <w:r w:rsidRPr="00DF652E">
              <w:t>Exploitation</w:t>
            </w:r>
          </w:p>
        </w:tc>
        <w:tc>
          <w:tcPr>
            <w:tcW w:w="0" w:type="auto"/>
            <w:vAlign w:val="center"/>
            <w:hideMark/>
          </w:tcPr>
          <w:p w14:paraId="5FE921D6" w14:textId="77777777" w:rsidR="00537092" w:rsidRPr="00DF652E" w:rsidRDefault="00537092" w:rsidP="00537092">
            <w:pPr>
              <w:jc w:val="left"/>
              <w:cnfStyle w:val="000000000000" w:firstRow="0" w:lastRow="0" w:firstColumn="0" w:lastColumn="0" w:oddVBand="0" w:evenVBand="0" w:oddHBand="0" w:evenHBand="0" w:firstRowFirstColumn="0" w:firstRowLastColumn="0" w:lastRowFirstColumn="0" w:lastRowLastColumn="0"/>
            </w:pPr>
            <w:r w:rsidRPr="00DF652E">
              <w:t>Négatif direct</w:t>
            </w:r>
          </w:p>
        </w:tc>
        <w:tc>
          <w:tcPr>
            <w:tcW w:w="0" w:type="auto"/>
            <w:vAlign w:val="center"/>
            <w:hideMark/>
          </w:tcPr>
          <w:p w14:paraId="0DC3FFD0" w14:textId="77777777" w:rsidR="00537092" w:rsidRPr="00DF652E" w:rsidRDefault="00537092" w:rsidP="00537092">
            <w:pPr>
              <w:jc w:val="left"/>
              <w:cnfStyle w:val="000000000000" w:firstRow="0" w:lastRow="0" w:firstColumn="0" w:lastColumn="0" w:oddVBand="0" w:evenVBand="0" w:oddHBand="0" w:evenHBand="0" w:firstRowFirstColumn="0" w:firstRowLastColumn="0" w:lastRowFirstColumn="0" w:lastRowLastColumn="0"/>
            </w:pPr>
            <w:r w:rsidRPr="00DF652E">
              <w:t>Modéré</w:t>
            </w:r>
          </w:p>
        </w:tc>
        <w:tc>
          <w:tcPr>
            <w:tcW w:w="0" w:type="auto"/>
            <w:vAlign w:val="center"/>
            <w:hideMark/>
          </w:tcPr>
          <w:p w14:paraId="333985B6" w14:textId="77777777" w:rsidR="00537092" w:rsidRPr="00DF652E" w:rsidRDefault="00537092" w:rsidP="00537092">
            <w:pPr>
              <w:jc w:val="left"/>
              <w:cnfStyle w:val="000000000000" w:firstRow="0" w:lastRow="0" w:firstColumn="0" w:lastColumn="0" w:oddVBand="0" w:evenVBand="0" w:oddHBand="0" w:evenHBand="0" w:firstRowFirstColumn="0" w:firstRowLastColumn="0" w:lastRowFirstColumn="0" w:lastRowLastColumn="0"/>
            </w:pPr>
            <w:r w:rsidRPr="00DF652E">
              <w:t>Permanent</w:t>
            </w:r>
          </w:p>
        </w:tc>
        <w:tc>
          <w:tcPr>
            <w:tcW w:w="0" w:type="auto"/>
            <w:vAlign w:val="center"/>
            <w:hideMark/>
          </w:tcPr>
          <w:p w14:paraId="40CB64F8" w14:textId="77777777" w:rsidR="00537092" w:rsidRPr="00DF652E" w:rsidRDefault="00537092" w:rsidP="00537092">
            <w:pPr>
              <w:jc w:val="left"/>
              <w:cnfStyle w:val="000000000000" w:firstRow="0" w:lastRow="0" w:firstColumn="0" w:lastColumn="0" w:oddVBand="0" w:evenVBand="0" w:oddHBand="0" w:evenHBand="0" w:firstRowFirstColumn="0" w:firstRowLastColumn="0" w:lastRowFirstColumn="0" w:lastRowLastColumn="0"/>
            </w:pPr>
            <w:r w:rsidRPr="00DF652E">
              <w:t>Régulier</w:t>
            </w:r>
          </w:p>
        </w:tc>
        <w:tc>
          <w:tcPr>
            <w:tcW w:w="0" w:type="auto"/>
            <w:vAlign w:val="center"/>
            <w:hideMark/>
          </w:tcPr>
          <w:p w14:paraId="55ED4D5E" w14:textId="77777777" w:rsidR="00537092" w:rsidRPr="00DF652E" w:rsidRDefault="00537092" w:rsidP="00537092">
            <w:pPr>
              <w:jc w:val="left"/>
              <w:cnfStyle w:val="000000000000" w:firstRow="0" w:lastRow="0" w:firstColumn="0" w:lastColumn="0" w:oddVBand="0" w:evenVBand="0" w:oddHBand="0" w:evenHBand="0" w:firstRowFirstColumn="0" w:firstRowLastColumn="0" w:lastRowFirstColumn="0" w:lastRowLastColumn="0"/>
            </w:pPr>
            <w:r w:rsidRPr="00DF652E">
              <w:t>Localisé</w:t>
            </w:r>
          </w:p>
        </w:tc>
        <w:tc>
          <w:tcPr>
            <w:tcW w:w="0" w:type="auto"/>
            <w:vAlign w:val="center"/>
            <w:hideMark/>
          </w:tcPr>
          <w:p w14:paraId="0BBDEFBC" w14:textId="77777777" w:rsidR="00537092" w:rsidRPr="00DF652E" w:rsidRDefault="00537092" w:rsidP="00537092">
            <w:pPr>
              <w:jc w:val="left"/>
              <w:cnfStyle w:val="000000000000" w:firstRow="0" w:lastRow="0" w:firstColumn="0" w:lastColumn="0" w:oddVBand="0" w:evenVBand="0" w:oddHBand="0" w:evenHBand="0" w:firstRowFirstColumn="0" w:firstRowLastColumn="0" w:lastRowFirstColumn="0" w:lastRowLastColumn="0"/>
            </w:pPr>
            <w:r w:rsidRPr="00DF652E">
              <w:t>Faible</w:t>
            </w:r>
          </w:p>
        </w:tc>
        <w:tc>
          <w:tcPr>
            <w:tcW w:w="0" w:type="auto"/>
            <w:vAlign w:val="center"/>
            <w:hideMark/>
          </w:tcPr>
          <w:p w14:paraId="10A2B7F2" w14:textId="77777777" w:rsidR="00537092" w:rsidRPr="00DF652E" w:rsidRDefault="00537092" w:rsidP="00537092">
            <w:pPr>
              <w:jc w:val="left"/>
              <w:cnfStyle w:val="000000000000" w:firstRow="0" w:lastRow="0" w:firstColumn="0" w:lastColumn="0" w:oddVBand="0" w:evenVBand="0" w:oddHBand="0" w:evenHBand="0" w:firstRowFirstColumn="0" w:firstRowLastColumn="0" w:lastRowFirstColumn="0" w:lastRowLastColumn="0"/>
            </w:pPr>
            <w:r w:rsidRPr="00DF652E">
              <w:t>Faible</w:t>
            </w:r>
          </w:p>
        </w:tc>
        <w:tc>
          <w:tcPr>
            <w:tcW w:w="0" w:type="auto"/>
            <w:vAlign w:val="center"/>
            <w:hideMark/>
          </w:tcPr>
          <w:p w14:paraId="4D777EAD" w14:textId="30D8442C" w:rsidR="00537092" w:rsidRPr="00DF652E" w:rsidRDefault="00537092" w:rsidP="00537092">
            <w:pPr>
              <w:jc w:val="left"/>
              <w:cnfStyle w:val="000000000000" w:firstRow="0" w:lastRow="0" w:firstColumn="0" w:lastColumn="0" w:oddVBand="0" w:evenVBand="0" w:oddHBand="0" w:evenHBand="0" w:firstRowFirstColumn="0" w:firstRowLastColumn="0" w:lastRowFirstColumn="0" w:lastRowLastColumn="0"/>
            </w:pPr>
            <w:r>
              <w:t>Mineur</w:t>
            </w:r>
          </w:p>
        </w:tc>
      </w:tr>
      <w:tr w:rsidR="00DF652E" w:rsidRPr="00DF652E" w14:paraId="789979AB" w14:textId="77777777" w:rsidTr="00DF652E">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4AA993EE" w14:textId="77777777" w:rsidR="00DF652E" w:rsidRPr="00DF652E" w:rsidRDefault="00DF652E" w:rsidP="00DF652E">
            <w:pPr>
              <w:jc w:val="left"/>
            </w:pPr>
            <w:r w:rsidRPr="00DF652E">
              <w:t>Santé et sécurité au travail</w:t>
            </w:r>
          </w:p>
        </w:tc>
        <w:tc>
          <w:tcPr>
            <w:tcW w:w="0" w:type="auto"/>
            <w:vAlign w:val="center"/>
            <w:hideMark/>
          </w:tcPr>
          <w:p w14:paraId="669CE228" w14:textId="77777777" w:rsidR="00DF652E" w:rsidRPr="00DF652E" w:rsidRDefault="00DF652E" w:rsidP="00DF652E">
            <w:pPr>
              <w:jc w:val="left"/>
              <w:cnfStyle w:val="000000000000" w:firstRow="0" w:lastRow="0" w:firstColumn="0" w:lastColumn="0" w:oddVBand="0" w:evenVBand="0" w:oddHBand="0" w:evenHBand="0" w:firstRowFirstColumn="0" w:firstRowLastColumn="0" w:lastRowFirstColumn="0" w:lastRowLastColumn="0"/>
            </w:pPr>
            <w:r w:rsidRPr="00DF652E">
              <w:t>Risques liés à la maintenance, au travail en hauteur et à la manipulation de produits chimiques</w:t>
            </w:r>
          </w:p>
        </w:tc>
        <w:tc>
          <w:tcPr>
            <w:tcW w:w="0" w:type="auto"/>
            <w:vAlign w:val="center"/>
            <w:hideMark/>
          </w:tcPr>
          <w:p w14:paraId="2B9D0A6C" w14:textId="77777777" w:rsidR="00DF652E" w:rsidRPr="00DF652E" w:rsidRDefault="00DF652E" w:rsidP="00DF652E">
            <w:pPr>
              <w:jc w:val="left"/>
              <w:cnfStyle w:val="000000000000" w:firstRow="0" w:lastRow="0" w:firstColumn="0" w:lastColumn="0" w:oddVBand="0" w:evenVBand="0" w:oddHBand="0" w:evenHBand="0" w:firstRowFirstColumn="0" w:firstRowLastColumn="0" w:lastRowFirstColumn="0" w:lastRowLastColumn="0"/>
            </w:pPr>
            <w:r w:rsidRPr="00DF652E">
              <w:t>Exploitation</w:t>
            </w:r>
          </w:p>
        </w:tc>
        <w:tc>
          <w:tcPr>
            <w:tcW w:w="0" w:type="auto"/>
            <w:vAlign w:val="center"/>
            <w:hideMark/>
          </w:tcPr>
          <w:p w14:paraId="42A5AEAC" w14:textId="77777777" w:rsidR="00DF652E" w:rsidRPr="00DF652E" w:rsidRDefault="00DF652E" w:rsidP="00DF652E">
            <w:pPr>
              <w:jc w:val="left"/>
              <w:cnfStyle w:val="000000000000" w:firstRow="0" w:lastRow="0" w:firstColumn="0" w:lastColumn="0" w:oddVBand="0" w:evenVBand="0" w:oddHBand="0" w:evenHBand="0" w:firstRowFirstColumn="0" w:firstRowLastColumn="0" w:lastRowFirstColumn="0" w:lastRowLastColumn="0"/>
            </w:pPr>
            <w:r w:rsidRPr="00DF652E">
              <w:t>Négatif direct</w:t>
            </w:r>
          </w:p>
        </w:tc>
        <w:tc>
          <w:tcPr>
            <w:tcW w:w="0" w:type="auto"/>
            <w:vAlign w:val="center"/>
            <w:hideMark/>
          </w:tcPr>
          <w:p w14:paraId="692AC35D" w14:textId="77777777" w:rsidR="00DF652E" w:rsidRPr="00DF652E" w:rsidRDefault="00DF652E" w:rsidP="00DF652E">
            <w:pPr>
              <w:jc w:val="left"/>
              <w:cnfStyle w:val="000000000000" w:firstRow="0" w:lastRow="0" w:firstColumn="0" w:lastColumn="0" w:oddVBand="0" w:evenVBand="0" w:oddHBand="0" w:evenHBand="0" w:firstRowFirstColumn="0" w:firstRowLastColumn="0" w:lastRowFirstColumn="0" w:lastRowLastColumn="0"/>
            </w:pPr>
            <w:r w:rsidRPr="00DF652E">
              <w:t>Modéré</w:t>
            </w:r>
          </w:p>
        </w:tc>
        <w:tc>
          <w:tcPr>
            <w:tcW w:w="0" w:type="auto"/>
            <w:vAlign w:val="center"/>
            <w:hideMark/>
          </w:tcPr>
          <w:p w14:paraId="2895C08C" w14:textId="77777777" w:rsidR="00DF652E" w:rsidRPr="00DF652E" w:rsidRDefault="00DF652E" w:rsidP="00DF652E">
            <w:pPr>
              <w:jc w:val="left"/>
              <w:cnfStyle w:val="000000000000" w:firstRow="0" w:lastRow="0" w:firstColumn="0" w:lastColumn="0" w:oddVBand="0" w:evenVBand="0" w:oddHBand="0" w:evenHBand="0" w:firstRowFirstColumn="0" w:firstRowLastColumn="0" w:lastRowFirstColumn="0" w:lastRowLastColumn="0"/>
            </w:pPr>
            <w:r w:rsidRPr="00DF652E">
              <w:t>Permanent</w:t>
            </w:r>
          </w:p>
        </w:tc>
        <w:tc>
          <w:tcPr>
            <w:tcW w:w="0" w:type="auto"/>
            <w:vAlign w:val="center"/>
            <w:hideMark/>
          </w:tcPr>
          <w:p w14:paraId="140874B5" w14:textId="77777777" w:rsidR="00DF652E" w:rsidRPr="00DF652E" w:rsidRDefault="00DF652E" w:rsidP="00DF652E">
            <w:pPr>
              <w:jc w:val="left"/>
              <w:cnfStyle w:val="000000000000" w:firstRow="0" w:lastRow="0" w:firstColumn="0" w:lastColumn="0" w:oddVBand="0" w:evenVBand="0" w:oddHBand="0" w:evenHBand="0" w:firstRowFirstColumn="0" w:firstRowLastColumn="0" w:lastRowFirstColumn="0" w:lastRowLastColumn="0"/>
            </w:pPr>
            <w:r w:rsidRPr="00DF652E">
              <w:t>Régulier</w:t>
            </w:r>
          </w:p>
        </w:tc>
        <w:tc>
          <w:tcPr>
            <w:tcW w:w="0" w:type="auto"/>
            <w:vAlign w:val="center"/>
            <w:hideMark/>
          </w:tcPr>
          <w:p w14:paraId="2371FFEC" w14:textId="77777777" w:rsidR="00DF652E" w:rsidRPr="00DF652E" w:rsidRDefault="00DF652E" w:rsidP="00DF652E">
            <w:pPr>
              <w:jc w:val="left"/>
              <w:cnfStyle w:val="000000000000" w:firstRow="0" w:lastRow="0" w:firstColumn="0" w:lastColumn="0" w:oddVBand="0" w:evenVBand="0" w:oddHBand="0" w:evenHBand="0" w:firstRowFirstColumn="0" w:firstRowLastColumn="0" w:lastRowFirstColumn="0" w:lastRowLastColumn="0"/>
            </w:pPr>
            <w:r w:rsidRPr="00DF652E">
              <w:t>Localisé</w:t>
            </w:r>
          </w:p>
        </w:tc>
        <w:tc>
          <w:tcPr>
            <w:tcW w:w="0" w:type="auto"/>
            <w:vAlign w:val="center"/>
            <w:hideMark/>
          </w:tcPr>
          <w:p w14:paraId="6773D51A" w14:textId="77777777" w:rsidR="00DF652E" w:rsidRPr="00DF652E" w:rsidRDefault="00DF652E" w:rsidP="00DF652E">
            <w:pPr>
              <w:jc w:val="left"/>
              <w:cnfStyle w:val="000000000000" w:firstRow="0" w:lastRow="0" w:firstColumn="0" w:lastColumn="0" w:oddVBand="0" w:evenVBand="0" w:oddHBand="0" w:evenHBand="0" w:firstRowFirstColumn="0" w:firstRowLastColumn="0" w:lastRowFirstColumn="0" w:lastRowLastColumn="0"/>
            </w:pPr>
            <w:r w:rsidRPr="00DF652E">
              <w:t>Moyenne</w:t>
            </w:r>
          </w:p>
        </w:tc>
        <w:tc>
          <w:tcPr>
            <w:tcW w:w="0" w:type="auto"/>
            <w:vAlign w:val="center"/>
            <w:hideMark/>
          </w:tcPr>
          <w:p w14:paraId="61C33483" w14:textId="77777777" w:rsidR="00DF652E" w:rsidRPr="00DF652E" w:rsidRDefault="00DF652E" w:rsidP="00DF652E">
            <w:pPr>
              <w:jc w:val="left"/>
              <w:cnfStyle w:val="000000000000" w:firstRow="0" w:lastRow="0" w:firstColumn="0" w:lastColumn="0" w:oddVBand="0" w:evenVBand="0" w:oddHBand="0" w:evenHBand="0" w:firstRowFirstColumn="0" w:firstRowLastColumn="0" w:lastRowFirstColumn="0" w:lastRowLastColumn="0"/>
            </w:pPr>
            <w:r w:rsidRPr="00DF652E">
              <w:t>Moyenne</w:t>
            </w:r>
          </w:p>
        </w:tc>
        <w:tc>
          <w:tcPr>
            <w:tcW w:w="0" w:type="auto"/>
            <w:vAlign w:val="center"/>
            <w:hideMark/>
          </w:tcPr>
          <w:p w14:paraId="18C27F47" w14:textId="0E8AF4FC" w:rsidR="00DF652E" w:rsidRPr="00DF652E" w:rsidRDefault="00537092" w:rsidP="00DF652E">
            <w:pPr>
              <w:jc w:val="left"/>
              <w:cnfStyle w:val="000000000000" w:firstRow="0" w:lastRow="0" w:firstColumn="0" w:lastColumn="0" w:oddVBand="0" w:evenVBand="0" w:oddHBand="0" w:evenHBand="0" w:firstRowFirstColumn="0" w:firstRowLastColumn="0" w:lastRowFirstColumn="0" w:lastRowLastColumn="0"/>
            </w:pPr>
            <w:r>
              <w:t>M</w:t>
            </w:r>
            <w:r w:rsidR="00862C9D">
              <w:t>i</w:t>
            </w:r>
            <w:r w:rsidRPr="00537092">
              <w:t>neur</w:t>
            </w:r>
          </w:p>
        </w:tc>
      </w:tr>
      <w:tr w:rsidR="00DF652E" w:rsidRPr="00DF652E" w14:paraId="335C2566" w14:textId="77777777" w:rsidTr="00DF652E">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32DD7BC6" w14:textId="77777777" w:rsidR="00DF652E" w:rsidRPr="00DF652E" w:rsidRDefault="00DF652E" w:rsidP="00DF652E">
            <w:pPr>
              <w:jc w:val="left"/>
            </w:pPr>
            <w:r w:rsidRPr="00DF652E">
              <w:lastRenderedPageBreak/>
              <w:t>Santé et sécurité communautaire</w:t>
            </w:r>
          </w:p>
        </w:tc>
        <w:tc>
          <w:tcPr>
            <w:tcW w:w="0" w:type="auto"/>
            <w:vAlign w:val="center"/>
            <w:hideMark/>
          </w:tcPr>
          <w:p w14:paraId="75E22F12" w14:textId="77777777" w:rsidR="00DF652E" w:rsidRPr="00DF652E" w:rsidRDefault="00DF652E" w:rsidP="00DF652E">
            <w:pPr>
              <w:jc w:val="left"/>
              <w:cnfStyle w:val="000000000000" w:firstRow="0" w:lastRow="0" w:firstColumn="0" w:lastColumn="0" w:oddVBand="0" w:evenVBand="0" w:oddHBand="0" w:evenHBand="0" w:firstRowFirstColumn="0" w:firstRowLastColumn="0" w:lastRowFirstColumn="0" w:lastRowLastColumn="0"/>
            </w:pPr>
            <w:r w:rsidRPr="00DF652E">
              <w:t>Risques limités d’incident ou d’accident technologique (incendie, panne électrique)</w:t>
            </w:r>
          </w:p>
        </w:tc>
        <w:tc>
          <w:tcPr>
            <w:tcW w:w="0" w:type="auto"/>
            <w:vAlign w:val="center"/>
            <w:hideMark/>
          </w:tcPr>
          <w:p w14:paraId="0134C512" w14:textId="77777777" w:rsidR="00DF652E" w:rsidRPr="00DF652E" w:rsidRDefault="00DF652E" w:rsidP="00DF652E">
            <w:pPr>
              <w:jc w:val="left"/>
              <w:cnfStyle w:val="000000000000" w:firstRow="0" w:lastRow="0" w:firstColumn="0" w:lastColumn="0" w:oddVBand="0" w:evenVBand="0" w:oddHBand="0" w:evenHBand="0" w:firstRowFirstColumn="0" w:firstRowLastColumn="0" w:lastRowFirstColumn="0" w:lastRowLastColumn="0"/>
            </w:pPr>
            <w:r w:rsidRPr="00DF652E">
              <w:t>Exploitation</w:t>
            </w:r>
          </w:p>
        </w:tc>
        <w:tc>
          <w:tcPr>
            <w:tcW w:w="0" w:type="auto"/>
            <w:vAlign w:val="center"/>
            <w:hideMark/>
          </w:tcPr>
          <w:p w14:paraId="6078FD02" w14:textId="77777777" w:rsidR="00DF652E" w:rsidRPr="00DF652E" w:rsidRDefault="00DF652E" w:rsidP="00DF652E">
            <w:pPr>
              <w:jc w:val="left"/>
              <w:cnfStyle w:val="000000000000" w:firstRow="0" w:lastRow="0" w:firstColumn="0" w:lastColumn="0" w:oddVBand="0" w:evenVBand="0" w:oddHBand="0" w:evenHBand="0" w:firstRowFirstColumn="0" w:firstRowLastColumn="0" w:lastRowFirstColumn="0" w:lastRowLastColumn="0"/>
            </w:pPr>
            <w:r w:rsidRPr="00DF652E">
              <w:t>Négatif indirect</w:t>
            </w:r>
          </w:p>
        </w:tc>
        <w:tc>
          <w:tcPr>
            <w:tcW w:w="0" w:type="auto"/>
            <w:vAlign w:val="center"/>
            <w:hideMark/>
          </w:tcPr>
          <w:p w14:paraId="1C8F1BC8" w14:textId="77777777" w:rsidR="00DF652E" w:rsidRPr="00DF652E" w:rsidRDefault="00DF652E" w:rsidP="00DF652E">
            <w:pPr>
              <w:jc w:val="left"/>
              <w:cnfStyle w:val="000000000000" w:firstRow="0" w:lastRow="0" w:firstColumn="0" w:lastColumn="0" w:oddVBand="0" w:evenVBand="0" w:oddHBand="0" w:evenHBand="0" w:firstRowFirstColumn="0" w:firstRowLastColumn="0" w:lastRowFirstColumn="0" w:lastRowLastColumn="0"/>
            </w:pPr>
            <w:r w:rsidRPr="00DF652E">
              <w:t>Modéré</w:t>
            </w:r>
          </w:p>
        </w:tc>
        <w:tc>
          <w:tcPr>
            <w:tcW w:w="0" w:type="auto"/>
            <w:vAlign w:val="center"/>
            <w:hideMark/>
          </w:tcPr>
          <w:p w14:paraId="392995BB" w14:textId="77777777" w:rsidR="00DF652E" w:rsidRPr="00DF652E" w:rsidRDefault="00DF652E" w:rsidP="00DF652E">
            <w:pPr>
              <w:jc w:val="left"/>
              <w:cnfStyle w:val="000000000000" w:firstRow="0" w:lastRow="0" w:firstColumn="0" w:lastColumn="0" w:oddVBand="0" w:evenVBand="0" w:oddHBand="0" w:evenHBand="0" w:firstRowFirstColumn="0" w:firstRowLastColumn="0" w:lastRowFirstColumn="0" w:lastRowLastColumn="0"/>
            </w:pPr>
            <w:r w:rsidRPr="00DF652E">
              <w:t>Permanent</w:t>
            </w:r>
          </w:p>
        </w:tc>
        <w:tc>
          <w:tcPr>
            <w:tcW w:w="0" w:type="auto"/>
            <w:vAlign w:val="center"/>
            <w:hideMark/>
          </w:tcPr>
          <w:p w14:paraId="0B620B1E" w14:textId="77777777" w:rsidR="00DF652E" w:rsidRPr="00DF652E" w:rsidRDefault="00DF652E" w:rsidP="00DF652E">
            <w:pPr>
              <w:jc w:val="left"/>
              <w:cnfStyle w:val="000000000000" w:firstRow="0" w:lastRow="0" w:firstColumn="0" w:lastColumn="0" w:oddVBand="0" w:evenVBand="0" w:oddHBand="0" w:evenHBand="0" w:firstRowFirstColumn="0" w:firstRowLastColumn="0" w:lastRowFirstColumn="0" w:lastRowLastColumn="0"/>
            </w:pPr>
            <w:r w:rsidRPr="00DF652E">
              <w:t>Occasionnel</w:t>
            </w:r>
          </w:p>
        </w:tc>
        <w:tc>
          <w:tcPr>
            <w:tcW w:w="0" w:type="auto"/>
            <w:vAlign w:val="center"/>
            <w:hideMark/>
          </w:tcPr>
          <w:p w14:paraId="4B512BC1" w14:textId="77777777" w:rsidR="00DF652E" w:rsidRPr="00DF652E" w:rsidRDefault="00DF652E" w:rsidP="00DF652E">
            <w:pPr>
              <w:jc w:val="left"/>
              <w:cnfStyle w:val="000000000000" w:firstRow="0" w:lastRow="0" w:firstColumn="0" w:lastColumn="0" w:oddVBand="0" w:evenVBand="0" w:oddHBand="0" w:evenHBand="0" w:firstRowFirstColumn="0" w:firstRowLastColumn="0" w:lastRowFirstColumn="0" w:lastRowLastColumn="0"/>
            </w:pPr>
            <w:r w:rsidRPr="00DF652E">
              <w:t>Localisé</w:t>
            </w:r>
          </w:p>
        </w:tc>
        <w:tc>
          <w:tcPr>
            <w:tcW w:w="0" w:type="auto"/>
            <w:vAlign w:val="center"/>
            <w:hideMark/>
          </w:tcPr>
          <w:p w14:paraId="04086B40" w14:textId="77777777" w:rsidR="00DF652E" w:rsidRPr="00DF652E" w:rsidRDefault="00DF652E" w:rsidP="00DF652E">
            <w:pPr>
              <w:jc w:val="left"/>
              <w:cnfStyle w:val="000000000000" w:firstRow="0" w:lastRow="0" w:firstColumn="0" w:lastColumn="0" w:oddVBand="0" w:evenVBand="0" w:oddHBand="0" w:evenHBand="0" w:firstRowFirstColumn="0" w:firstRowLastColumn="0" w:lastRowFirstColumn="0" w:lastRowLastColumn="0"/>
            </w:pPr>
            <w:r w:rsidRPr="00DF652E">
              <w:t>Faible</w:t>
            </w:r>
          </w:p>
        </w:tc>
        <w:tc>
          <w:tcPr>
            <w:tcW w:w="0" w:type="auto"/>
            <w:vAlign w:val="center"/>
            <w:hideMark/>
          </w:tcPr>
          <w:p w14:paraId="52072B73" w14:textId="77777777" w:rsidR="00DF652E" w:rsidRPr="00DF652E" w:rsidRDefault="00DF652E" w:rsidP="00DF652E">
            <w:pPr>
              <w:jc w:val="left"/>
              <w:cnfStyle w:val="000000000000" w:firstRow="0" w:lastRow="0" w:firstColumn="0" w:lastColumn="0" w:oddVBand="0" w:evenVBand="0" w:oddHBand="0" w:evenHBand="0" w:firstRowFirstColumn="0" w:firstRowLastColumn="0" w:lastRowFirstColumn="0" w:lastRowLastColumn="0"/>
            </w:pPr>
            <w:r w:rsidRPr="00DF652E">
              <w:t>Moyenne</w:t>
            </w:r>
          </w:p>
        </w:tc>
        <w:tc>
          <w:tcPr>
            <w:tcW w:w="0" w:type="auto"/>
            <w:vAlign w:val="center"/>
            <w:hideMark/>
          </w:tcPr>
          <w:p w14:paraId="781AB344" w14:textId="142946B9" w:rsidR="00DF652E" w:rsidRPr="00DF652E" w:rsidRDefault="00862C9D" w:rsidP="00DF652E">
            <w:pPr>
              <w:jc w:val="left"/>
              <w:cnfStyle w:val="000000000000" w:firstRow="0" w:lastRow="0" w:firstColumn="0" w:lastColumn="0" w:oddVBand="0" w:evenVBand="0" w:oddHBand="0" w:evenHBand="0" w:firstRowFirstColumn="0" w:firstRowLastColumn="0" w:lastRowFirstColumn="0" w:lastRowLastColumn="0"/>
            </w:pPr>
            <w:r w:rsidRPr="00862C9D">
              <w:t>Mineur</w:t>
            </w:r>
          </w:p>
        </w:tc>
      </w:tr>
      <w:tr w:rsidR="00DF652E" w:rsidRPr="00DF652E" w14:paraId="657286DC" w14:textId="77777777" w:rsidTr="00DF652E">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711390E5" w14:textId="77777777" w:rsidR="00DF652E" w:rsidRPr="00DF652E" w:rsidRDefault="00DF652E" w:rsidP="00DF652E">
            <w:pPr>
              <w:jc w:val="left"/>
            </w:pPr>
            <w:r w:rsidRPr="00DF652E">
              <w:t>Socio-économie / emploi</w:t>
            </w:r>
          </w:p>
        </w:tc>
        <w:tc>
          <w:tcPr>
            <w:tcW w:w="0" w:type="auto"/>
            <w:vAlign w:val="center"/>
            <w:hideMark/>
          </w:tcPr>
          <w:p w14:paraId="16AA8F0A" w14:textId="77777777" w:rsidR="00DF652E" w:rsidRPr="00DF652E" w:rsidRDefault="00DF652E" w:rsidP="00DF652E">
            <w:pPr>
              <w:jc w:val="left"/>
              <w:cnfStyle w:val="000000000000" w:firstRow="0" w:lastRow="0" w:firstColumn="0" w:lastColumn="0" w:oddVBand="0" w:evenVBand="0" w:oddHBand="0" w:evenHBand="0" w:firstRowFirstColumn="0" w:firstRowLastColumn="0" w:lastRowFirstColumn="0" w:lastRowLastColumn="0"/>
            </w:pPr>
            <w:r w:rsidRPr="00DF652E">
              <w:t>Création d’emplois permanents et retombées économiques locales positives</w:t>
            </w:r>
          </w:p>
        </w:tc>
        <w:tc>
          <w:tcPr>
            <w:tcW w:w="0" w:type="auto"/>
            <w:vAlign w:val="center"/>
            <w:hideMark/>
          </w:tcPr>
          <w:p w14:paraId="283E3133" w14:textId="77777777" w:rsidR="00DF652E" w:rsidRPr="00DF652E" w:rsidRDefault="00DF652E" w:rsidP="00DF652E">
            <w:pPr>
              <w:jc w:val="left"/>
              <w:cnfStyle w:val="000000000000" w:firstRow="0" w:lastRow="0" w:firstColumn="0" w:lastColumn="0" w:oddVBand="0" w:evenVBand="0" w:oddHBand="0" w:evenHBand="0" w:firstRowFirstColumn="0" w:firstRowLastColumn="0" w:lastRowFirstColumn="0" w:lastRowLastColumn="0"/>
            </w:pPr>
            <w:r w:rsidRPr="00DF652E">
              <w:t>Exploitation</w:t>
            </w:r>
          </w:p>
        </w:tc>
        <w:tc>
          <w:tcPr>
            <w:tcW w:w="0" w:type="auto"/>
            <w:vAlign w:val="center"/>
            <w:hideMark/>
          </w:tcPr>
          <w:p w14:paraId="74F23EB3" w14:textId="77777777" w:rsidR="00DF652E" w:rsidRPr="00DF652E" w:rsidRDefault="00DF652E" w:rsidP="00DF652E">
            <w:pPr>
              <w:jc w:val="left"/>
              <w:cnfStyle w:val="000000000000" w:firstRow="0" w:lastRow="0" w:firstColumn="0" w:lastColumn="0" w:oddVBand="0" w:evenVBand="0" w:oddHBand="0" w:evenHBand="0" w:firstRowFirstColumn="0" w:firstRowLastColumn="0" w:lastRowFirstColumn="0" w:lastRowLastColumn="0"/>
            </w:pPr>
            <w:r w:rsidRPr="00DF652E">
              <w:t>Positif direct</w:t>
            </w:r>
          </w:p>
        </w:tc>
        <w:tc>
          <w:tcPr>
            <w:tcW w:w="0" w:type="auto"/>
            <w:vAlign w:val="center"/>
            <w:hideMark/>
          </w:tcPr>
          <w:p w14:paraId="0C5C5CAE" w14:textId="77777777" w:rsidR="00DF652E" w:rsidRPr="00DF652E" w:rsidRDefault="00DF652E" w:rsidP="00DF652E">
            <w:pPr>
              <w:jc w:val="left"/>
              <w:cnfStyle w:val="000000000000" w:firstRow="0" w:lastRow="0" w:firstColumn="0" w:lastColumn="0" w:oddVBand="0" w:evenVBand="0" w:oddHBand="0" w:evenHBand="0" w:firstRowFirstColumn="0" w:firstRowLastColumn="0" w:lastRowFirstColumn="0" w:lastRowLastColumn="0"/>
            </w:pPr>
            <w:r w:rsidRPr="00DF652E">
              <w:t>Majeur</w:t>
            </w:r>
          </w:p>
        </w:tc>
        <w:tc>
          <w:tcPr>
            <w:tcW w:w="0" w:type="auto"/>
            <w:vAlign w:val="center"/>
            <w:hideMark/>
          </w:tcPr>
          <w:p w14:paraId="4E5C383B" w14:textId="77777777" w:rsidR="00DF652E" w:rsidRPr="00DF652E" w:rsidRDefault="00DF652E" w:rsidP="00DF652E">
            <w:pPr>
              <w:jc w:val="left"/>
              <w:cnfStyle w:val="000000000000" w:firstRow="0" w:lastRow="0" w:firstColumn="0" w:lastColumn="0" w:oddVBand="0" w:evenVBand="0" w:oddHBand="0" w:evenHBand="0" w:firstRowFirstColumn="0" w:firstRowLastColumn="0" w:lastRowFirstColumn="0" w:lastRowLastColumn="0"/>
            </w:pPr>
            <w:r w:rsidRPr="00DF652E">
              <w:t>Permanent</w:t>
            </w:r>
          </w:p>
        </w:tc>
        <w:tc>
          <w:tcPr>
            <w:tcW w:w="0" w:type="auto"/>
            <w:vAlign w:val="center"/>
            <w:hideMark/>
          </w:tcPr>
          <w:p w14:paraId="42E6120A" w14:textId="77777777" w:rsidR="00DF652E" w:rsidRPr="00DF652E" w:rsidRDefault="00DF652E" w:rsidP="00DF652E">
            <w:pPr>
              <w:jc w:val="left"/>
              <w:cnfStyle w:val="000000000000" w:firstRow="0" w:lastRow="0" w:firstColumn="0" w:lastColumn="0" w:oddVBand="0" w:evenVBand="0" w:oddHBand="0" w:evenHBand="0" w:firstRowFirstColumn="0" w:firstRowLastColumn="0" w:lastRowFirstColumn="0" w:lastRowLastColumn="0"/>
            </w:pPr>
            <w:r w:rsidRPr="00DF652E">
              <w:t>Régulier</w:t>
            </w:r>
          </w:p>
        </w:tc>
        <w:tc>
          <w:tcPr>
            <w:tcW w:w="0" w:type="auto"/>
            <w:vAlign w:val="center"/>
            <w:hideMark/>
          </w:tcPr>
          <w:p w14:paraId="0F4EE4F9" w14:textId="77777777" w:rsidR="00DF652E" w:rsidRPr="00DF652E" w:rsidRDefault="00DF652E" w:rsidP="00DF652E">
            <w:pPr>
              <w:jc w:val="left"/>
              <w:cnfStyle w:val="000000000000" w:firstRow="0" w:lastRow="0" w:firstColumn="0" w:lastColumn="0" w:oddVBand="0" w:evenVBand="0" w:oddHBand="0" w:evenHBand="0" w:firstRowFirstColumn="0" w:firstRowLastColumn="0" w:lastRowFirstColumn="0" w:lastRowLastColumn="0"/>
            </w:pPr>
            <w:r w:rsidRPr="00DF652E">
              <w:t>Localisé à régional</w:t>
            </w:r>
          </w:p>
        </w:tc>
        <w:tc>
          <w:tcPr>
            <w:tcW w:w="0" w:type="auto"/>
            <w:vAlign w:val="center"/>
            <w:hideMark/>
          </w:tcPr>
          <w:p w14:paraId="60B2E80A" w14:textId="77777777" w:rsidR="00DF652E" w:rsidRPr="00DF652E" w:rsidRDefault="00DF652E" w:rsidP="00DF652E">
            <w:pPr>
              <w:jc w:val="left"/>
              <w:cnfStyle w:val="000000000000" w:firstRow="0" w:lastRow="0" w:firstColumn="0" w:lastColumn="0" w:oddVBand="0" w:evenVBand="0" w:oddHBand="0" w:evenHBand="0" w:firstRowFirstColumn="0" w:firstRowLastColumn="0" w:lastRowFirstColumn="0" w:lastRowLastColumn="0"/>
            </w:pPr>
            <w:r w:rsidRPr="00DF652E">
              <w:t>Moyenne</w:t>
            </w:r>
          </w:p>
        </w:tc>
        <w:tc>
          <w:tcPr>
            <w:tcW w:w="0" w:type="auto"/>
            <w:vAlign w:val="center"/>
            <w:hideMark/>
          </w:tcPr>
          <w:p w14:paraId="4A7CC1B1" w14:textId="77777777" w:rsidR="00DF652E" w:rsidRPr="00DF652E" w:rsidRDefault="00DF652E" w:rsidP="00DF652E">
            <w:pPr>
              <w:jc w:val="left"/>
              <w:cnfStyle w:val="000000000000" w:firstRow="0" w:lastRow="0" w:firstColumn="0" w:lastColumn="0" w:oddVBand="0" w:evenVBand="0" w:oddHBand="0" w:evenHBand="0" w:firstRowFirstColumn="0" w:firstRowLastColumn="0" w:lastRowFirstColumn="0" w:lastRowLastColumn="0"/>
            </w:pPr>
            <w:r w:rsidRPr="00DF652E">
              <w:t>Moyenne</w:t>
            </w:r>
          </w:p>
        </w:tc>
        <w:tc>
          <w:tcPr>
            <w:tcW w:w="0" w:type="auto"/>
            <w:vAlign w:val="center"/>
            <w:hideMark/>
          </w:tcPr>
          <w:p w14:paraId="2F1F7905" w14:textId="77777777" w:rsidR="00DF652E" w:rsidRPr="00DF652E" w:rsidRDefault="00DF652E" w:rsidP="00DF652E">
            <w:pPr>
              <w:jc w:val="left"/>
              <w:cnfStyle w:val="000000000000" w:firstRow="0" w:lastRow="0" w:firstColumn="0" w:lastColumn="0" w:oddVBand="0" w:evenVBand="0" w:oddHBand="0" w:evenHBand="0" w:firstRowFirstColumn="0" w:firstRowLastColumn="0" w:lastRowFirstColumn="0" w:lastRowLastColumn="0"/>
            </w:pPr>
            <w:r w:rsidRPr="00DF652E">
              <w:t>Positif</w:t>
            </w:r>
          </w:p>
        </w:tc>
      </w:tr>
      <w:tr w:rsidR="00DF652E" w:rsidRPr="00DF652E" w14:paraId="170A7F5C" w14:textId="77777777" w:rsidTr="00DF652E">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75ACA226" w14:textId="77777777" w:rsidR="00DF652E" w:rsidRPr="00DF652E" w:rsidRDefault="00DF652E" w:rsidP="00DF652E">
            <w:pPr>
              <w:jc w:val="left"/>
            </w:pPr>
            <w:r w:rsidRPr="00DF652E">
              <w:t>Genre et inclusion</w:t>
            </w:r>
          </w:p>
        </w:tc>
        <w:tc>
          <w:tcPr>
            <w:tcW w:w="0" w:type="auto"/>
            <w:vAlign w:val="center"/>
            <w:hideMark/>
          </w:tcPr>
          <w:p w14:paraId="7AD59226" w14:textId="77777777" w:rsidR="00DF652E" w:rsidRPr="00DF652E" w:rsidRDefault="00DF652E" w:rsidP="00DF652E">
            <w:pPr>
              <w:jc w:val="left"/>
              <w:cnfStyle w:val="000000000000" w:firstRow="0" w:lastRow="0" w:firstColumn="0" w:lastColumn="0" w:oddVBand="0" w:evenVBand="0" w:oddHBand="0" w:evenHBand="0" w:firstRowFirstColumn="0" w:firstRowLastColumn="0" w:lastRowFirstColumn="0" w:lastRowLastColumn="0"/>
            </w:pPr>
            <w:r w:rsidRPr="00DF652E">
              <w:t>Emploi de femmes et amélioration des conditions de travail inclusives</w:t>
            </w:r>
          </w:p>
        </w:tc>
        <w:tc>
          <w:tcPr>
            <w:tcW w:w="0" w:type="auto"/>
            <w:vAlign w:val="center"/>
            <w:hideMark/>
          </w:tcPr>
          <w:p w14:paraId="6E54AFDE" w14:textId="77777777" w:rsidR="00DF652E" w:rsidRPr="00DF652E" w:rsidRDefault="00DF652E" w:rsidP="00DF652E">
            <w:pPr>
              <w:jc w:val="left"/>
              <w:cnfStyle w:val="000000000000" w:firstRow="0" w:lastRow="0" w:firstColumn="0" w:lastColumn="0" w:oddVBand="0" w:evenVBand="0" w:oddHBand="0" w:evenHBand="0" w:firstRowFirstColumn="0" w:firstRowLastColumn="0" w:lastRowFirstColumn="0" w:lastRowLastColumn="0"/>
            </w:pPr>
            <w:r w:rsidRPr="00DF652E">
              <w:t>Exploitation</w:t>
            </w:r>
          </w:p>
        </w:tc>
        <w:tc>
          <w:tcPr>
            <w:tcW w:w="0" w:type="auto"/>
            <w:vAlign w:val="center"/>
            <w:hideMark/>
          </w:tcPr>
          <w:p w14:paraId="41EBBF6D" w14:textId="77777777" w:rsidR="00DF652E" w:rsidRPr="00DF652E" w:rsidRDefault="00DF652E" w:rsidP="00DF652E">
            <w:pPr>
              <w:jc w:val="left"/>
              <w:cnfStyle w:val="000000000000" w:firstRow="0" w:lastRow="0" w:firstColumn="0" w:lastColumn="0" w:oddVBand="0" w:evenVBand="0" w:oddHBand="0" w:evenHBand="0" w:firstRowFirstColumn="0" w:firstRowLastColumn="0" w:lastRowFirstColumn="0" w:lastRowLastColumn="0"/>
            </w:pPr>
            <w:r w:rsidRPr="00DF652E">
              <w:t>Positif direct</w:t>
            </w:r>
          </w:p>
        </w:tc>
        <w:tc>
          <w:tcPr>
            <w:tcW w:w="0" w:type="auto"/>
            <w:vAlign w:val="center"/>
            <w:hideMark/>
          </w:tcPr>
          <w:p w14:paraId="0C1B821B" w14:textId="77777777" w:rsidR="00DF652E" w:rsidRPr="00DF652E" w:rsidRDefault="00DF652E" w:rsidP="00DF652E">
            <w:pPr>
              <w:jc w:val="left"/>
              <w:cnfStyle w:val="000000000000" w:firstRow="0" w:lastRow="0" w:firstColumn="0" w:lastColumn="0" w:oddVBand="0" w:evenVBand="0" w:oddHBand="0" w:evenHBand="0" w:firstRowFirstColumn="0" w:firstRowLastColumn="0" w:lastRowFirstColumn="0" w:lastRowLastColumn="0"/>
            </w:pPr>
            <w:r w:rsidRPr="00DF652E">
              <w:t>Modéré</w:t>
            </w:r>
          </w:p>
        </w:tc>
        <w:tc>
          <w:tcPr>
            <w:tcW w:w="0" w:type="auto"/>
            <w:vAlign w:val="center"/>
            <w:hideMark/>
          </w:tcPr>
          <w:p w14:paraId="165B008E" w14:textId="77777777" w:rsidR="00DF652E" w:rsidRPr="00DF652E" w:rsidRDefault="00DF652E" w:rsidP="00DF652E">
            <w:pPr>
              <w:jc w:val="left"/>
              <w:cnfStyle w:val="000000000000" w:firstRow="0" w:lastRow="0" w:firstColumn="0" w:lastColumn="0" w:oddVBand="0" w:evenVBand="0" w:oddHBand="0" w:evenHBand="0" w:firstRowFirstColumn="0" w:firstRowLastColumn="0" w:lastRowFirstColumn="0" w:lastRowLastColumn="0"/>
            </w:pPr>
            <w:r w:rsidRPr="00DF652E">
              <w:t>Permanent</w:t>
            </w:r>
          </w:p>
        </w:tc>
        <w:tc>
          <w:tcPr>
            <w:tcW w:w="0" w:type="auto"/>
            <w:vAlign w:val="center"/>
            <w:hideMark/>
          </w:tcPr>
          <w:p w14:paraId="3C310AA6" w14:textId="77777777" w:rsidR="00DF652E" w:rsidRPr="00DF652E" w:rsidRDefault="00DF652E" w:rsidP="00DF652E">
            <w:pPr>
              <w:jc w:val="left"/>
              <w:cnfStyle w:val="000000000000" w:firstRow="0" w:lastRow="0" w:firstColumn="0" w:lastColumn="0" w:oddVBand="0" w:evenVBand="0" w:oddHBand="0" w:evenHBand="0" w:firstRowFirstColumn="0" w:firstRowLastColumn="0" w:lastRowFirstColumn="0" w:lastRowLastColumn="0"/>
            </w:pPr>
            <w:r w:rsidRPr="00DF652E">
              <w:t>Régulier</w:t>
            </w:r>
          </w:p>
        </w:tc>
        <w:tc>
          <w:tcPr>
            <w:tcW w:w="0" w:type="auto"/>
            <w:vAlign w:val="center"/>
            <w:hideMark/>
          </w:tcPr>
          <w:p w14:paraId="40724B96" w14:textId="77777777" w:rsidR="00DF652E" w:rsidRPr="00DF652E" w:rsidRDefault="00DF652E" w:rsidP="00DF652E">
            <w:pPr>
              <w:jc w:val="left"/>
              <w:cnfStyle w:val="000000000000" w:firstRow="0" w:lastRow="0" w:firstColumn="0" w:lastColumn="0" w:oddVBand="0" w:evenVBand="0" w:oddHBand="0" w:evenHBand="0" w:firstRowFirstColumn="0" w:firstRowLastColumn="0" w:lastRowFirstColumn="0" w:lastRowLastColumn="0"/>
            </w:pPr>
            <w:r w:rsidRPr="00DF652E">
              <w:t>Localisé</w:t>
            </w:r>
          </w:p>
        </w:tc>
        <w:tc>
          <w:tcPr>
            <w:tcW w:w="0" w:type="auto"/>
            <w:vAlign w:val="center"/>
            <w:hideMark/>
          </w:tcPr>
          <w:p w14:paraId="7BCA85B1" w14:textId="77777777" w:rsidR="00DF652E" w:rsidRPr="00DF652E" w:rsidRDefault="00DF652E" w:rsidP="00DF652E">
            <w:pPr>
              <w:jc w:val="left"/>
              <w:cnfStyle w:val="000000000000" w:firstRow="0" w:lastRow="0" w:firstColumn="0" w:lastColumn="0" w:oddVBand="0" w:evenVBand="0" w:oddHBand="0" w:evenHBand="0" w:firstRowFirstColumn="0" w:firstRowLastColumn="0" w:lastRowFirstColumn="0" w:lastRowLastColumn="0"/>
            </w:pPr>
            <w:r w:rsidRPr="00DF652E">
              <w:t>Moyenne</w:t>
            </w:r>
          </w:p>
        </w:tc>
        <w:tc>
          <w:tcPr>
            <w:tcW w:w="0" w:type="auto"/>
            <w:vAlign w:val="center"/>
            <w:hideMark/>
          </w:tcPr>
          <w:p w14:paraId="2377CD17" w14:textId="77777777" w:rsidR="00DF652E" w:rsidRPr="00DF652E" w:rsidRDefault="00DF652E" w:rsidP="00DF652E">
            <w:pPr>
              <w:jc w:val="left"/>
              <w:cnfStyle w:val="000000000000" w:firstRow="0" w:lastRow="0" w:firstColumn="0" w:lastColumn="0" w:oddVBand="0" w:evenVBand="0" w:oddHBand="0" w:evenHBand="0" w:firstRowFirstColumn="0" w:firstRowLastColumn="0" w:lastRowFirstColumn="0" w:lastRowLastColumn="0"/>
            </w:pPr>
            <w:r w:rsidRPr="00DF652E">
              <w:t>Moyenne</w:t>
            </w:r>
          </w:p>
        </w:tc>
        <w:tc>
          <w:tcPr>
            <w:tcW w:w="0" w:type="auto"/>
            <w:vAlign w:val="center"/>
            <w:hideMark/>
          </w:tcPr>
          <w:p w14:paraId="4603B383" w14:textId="77777777" w:rsidR="00DF652E" w:rsidRPr="00DF652E" w:rsidRDefault="00DF652E" w:rsidP="00DF652E">
            <w:pPr>
              <w:jc w:val="left"/>
              <w:cnfStyle w:val="000000000000" w:firstRow="0" w:lastRow="0" w:firstColumn="0" w:lastColumn="0" w:oddVBand="0" w:evenVBand="0" w:oddHBand="0" w:evenHBand="0" w:firstRowFirstColumn="0" w:firstRowLastColumn="0" w:lastRowFirstColumn="0" w:lastRowLastColumn="0"/>
            </w:pPr>
            <w:r w:rsidRPr="00DF652E">
              <w:t>Positif</w:t>
            </w:r>
          </w:p>
        </w:tc>
      </w:tr>
    </w:tbl>
    <w:p w14:paraId="065DB2CA" w14:textId="77777777" w:rsidR="001C2242" w:rsidRDefault="001C2242" w:rsidP="00492F37">
      <w:pPr>
        <w:sectPr w:rsidR="001C2242" w:rsidSect="001C2242">
          <w:pgSz w:w="16838" w:h="11906" w:orient="landscape"/>
          <w:pgMar w:top="1417" w:right="1417" w:bottom="1417" w:left="1276" w:header="680" w:footer="680" w:gutter="0"/>
          <w:cols w:space="708"/>
          <w:docGrid w:linePitch="360"/>
        </w:sectPr>
      </w:pPr>
    </w:p>
    <w:p w14:paraId="070AD5EC" w14:textId="09321B51" w:rsidR="00C24406" w:rsidRPr="00C24406" w:rsidRDefault="00D602F0" w:rsidP="00C24406">
      <w:pPr>
        <w:pStyle w:val="Title2"/>
      </w:pPr>
      <w:bookmarkStart w:id="43" w:name="_Toc215131774"/>
      <w:r>
        <w:lastRenderedPageBreak/>
        <w:t>Consultation publique</w:t>
      </w:r>
      <w:r w:rsidR="00642BE5">
        <w:t xml:space="preserve"> et Mécanisme de Gestion des Plaintes</w:t>
      </w:r>
      <w:bookmarkEnd w:id="43"/>
    </w:p>
    <w:p w14:paraId="3DA8B10C" w14:textId="65BAE5C7" w:rsidR="001F7D97" w:rsidRPr="001F7D97" w:rsidRDefault="001F7D97" w:rsidP="001F7D97">
      <w:r w:rsidRPr="001F7D97">
        <w:t xml:space="preserve">La participation des parties prenantes constitue un pilier essentiel de la conformité du projet avec les Sauvegardes Opérationnelles de la Banque africaine de développement, en particulier la SO10 relative à la participation et à la divulgation de l’information. Consciente de l’importance d’un dialogue inclusif, transparent et continu, </w:t>
      </w:r>
      <w:r>
        <w:t>l’</w:t>
      </w:r>
      <w:r w:rsidRPr="001F7D97">
        <w:t>ONDA s’engage à instaurer un dispositif participatif et de gestion des plaintes garantissant l’adhésion et la confiance des acteurs concernés tout au long du cycle du projet.</w:t>
      </w:r>
    </w:p>
    <w:p w14:paraId="0B9CEE68" w14:textId="77777777" w:rsidR="001F7D97" w:rsidRPr="001F7D97" w:rsidRDefault="001F7D97" w:rsidP="001F7D97">
      <w:pPr>
        <w:pStyle w:val="Title3"/>
      </w:pPr>
      <w:bookmarkStart w:id="44" w:name="_Toc215131775"/>
      <w:r w:rsidRPr="001F7D97">
        <w:t>Objectifs et principes directeurs</w:t>
      </w:r>
      <w:bookmarkEnd w:id="44"/>
    </w:p>
    <w:p w14:paraId="1E72C57A" w14:textId="77777777" w:rsidR="001F7D97" w:rsidRPr="001F7D97" w:rsidRDefault="001F7D97" w:rsidP="001F7D97">
      <w:r w:rsidRPr="001F7D97">
        <w:t>Le Plan de Participation des Parties Prenantes (P3P) vise à assurer :</w:t>
      </w:r>
    </w:p>
    <w:p w14:paraId="340EADEA" w14:textId="77777777" w:rsidR="001F7D97" w:rsidRPr="001F7D97" w:rsidRDefault="001F7D97" w:rsidP="0001633E">
      <w:pPr>
        <w:numPr>
          <w:ilvl w:val="0"/>
          <w:numId w:val="187"/>
        </w:numPr>
      </w:pPr>
      <w:r w:rsidRPr="001F7D97">
        <w:t>une inclusion équitable de tous les groupes concernés, notamment les populations vulnérables (femmes, jeunes, personnes handicapées, ménages à faibles revenus) ;</w:t>
      </w:r>
    </w:p>
    <w:p w14:paraId="3232C69F" w14:textId="77777777" w:rsidR="001F7D97" w:rsidRPr="001F7D97" w:rsidRDefault="001F7D97" w:rsidP="0001633E">
      <w:pPr>
        <w:numPr>
          <w:ilvl w:val="0"/>
          <w:numId w:val="187"/>
        </w:numPr>
      </w:pPr>
      <w:r w:rsidRPr="001F7D97">
        <w:t>une transparence totale dans la diffusion des informations liées au projet ;</w:t>
      </w:r>
    </w:p>
    <w:p w14:paraId="60FA88B8" w14:textId="77777777" w:rsidR="001F7D97" w:rsidRPr="001F7D97" w:rsidRDefault="001F7D97" w:rsidP="0001633E">
      <w:pPr>
        <w:numPr>
          <w:ilvl w:val="0"/>
          <w:numId w:val="187"/>
        </w:numPr>
      </w:pPr>
      <w:r w:rsidRPr="001F7D97">
        <w:t>un dialogue constructif et traçable entre l’ONDA, les autorités et les communautés locales ;</w:t>
      </w:r>
    </w:p>
    <w:p w14:paraId="065BD536" w14:textId="77777777" w:rsidR="001F7D97" w:rsidRPr="001F7D97" w:rsidRDefault="001F7D97" w:rsidP="0001633E">
      <w:pPr>
        <w:numPr>
          <w:ilvl w:val="0"/>
          <w:numId w:val="187"/>
        </w:numPr>
      </w:pPr>
      <w:r w:rsidRPr="001F7D97">
        <w:t>une réactivité renforcée face aux préoccupations soulevées par les parties prenantes.</w:t>
      </w:r>
    </w:p>
    <w:p w14:paraId="0C0F2E58" w14:textId="77777777" w:rsidR="001F7D97" w:rsidRPr="001F7D97" w:rsidRDefault="001F7D97" w:rsidP="001F7D97">
      <w:r w:rsidRPr="001F7D97">
        <w:t>Ces principes s’appliquent à toutes les phases du projet, depuis la planification jusqu’à l’exploitation.</w:t>
      </w:r>
    </w:p>
    <w:p w14:paraId="3D71A283" w14:textId="77777777" w:rsidR="001F7D97" w:rsidRPr="001F7D97" w:rsidRDefault="001F7D97" w:rsidP="001F7D97">
      <w:pPr>
        <w:pStyle w:val="Title3"/>
      </w:pPr>
      <w:bookmarkStart w:id="45" w:name="_Toc215131776"/>
      <w:r w:rsidRPr="001F7D97">
        <w:t>Parties prenantes et modalités d’engagement</w:t>
      </w:r>
      <w:bookmarkEnd w:id="45"/>
    </w:p>
    <w:p w14:paraId="4B744C70" w14:textId="77777777" w:rsidR="001F7D97" w:rsidRPr="001F7D97" w:rsidRDefault="001F7D97" w:rsidP="001F7D97">
      <w:r w:rsidRPr="001F7D97">
        <w:t>Les consultations ont permis d’identifier trois grandes catégories de parties prenantes :</w:t>
      </w:r>
    </w:p>
    <w:p w14:paraId="47A53E27" w14:textId="77777777" w:rsidR="001F7D97" w:rsidRPr="001F7D97" w:rsidRDefault="001F7D97" w:rsidP="0001633E">
      <w:pPr>
        <w:numPr>
          <w:ilvl w:val="0"/>
          <w:numId w:val="188"/>
        </w:numPr>
      </w:pPr>
      <w:r w:rsidRPr="001F7D97">
        <w:t>Les parties affectées, incluant les riverains, les travailleurs, les usagers et les communes limitrophes ;</w:t>
      </w:r>
    </w:p>
    <w:p w14:paraId="294E335D" w14:textId="77777777" w:rsidR="001F7D97" w:rsidRPr="001F7D97" w:rsidRDefault="001F7D97" w:rsidP="0001633E">
      <w:pPr>
        <w:numPr>
          <w:ilvl w:val="0"/>
          <w:numId w:val="188"/>
        </w:numPr>
      </w:pPr>
      <w:r w:rsidRPr="001F7D97">
        <w:t>Les parties intéressées, telles que les administrations régionales (Environnement, Équipement, ANEF, Santé, etc.) et les collectivités locales ;</w:t>
      </w:r>
    </w:p>
    <w:p w14:paraId="38153E6B" w14:textId="77777777" w:rsidR="001F7D97" w:rsidRPr="001F7D97" w:rsidRDefault="001F7D97" w:rsidP="0001633E">
      <w:pPr>
        <w:numPr>
          <w:ilvl w:val="0"/>
          <w:numId w:val="188"/>
        </w:numPr>
      </w:pPr>
      <w:r w:rsidRPr="001F7D97">
        <w:t>Les groupes vulnérables, bénéficiant de modalités de participation adaptées.</w:t>
      </w:r>
    </w:p>
    <w:p w14:paraId="22085B3A" w14:textId="77777777" w:rsidR="001F7D97" w:rsidRPr="001F7D97" w:rsidRDefault="001F7D97" w:rsidP="001F7D97">
      <w:r w:rsidRPr="001F7D97">
        <w:t>L’ONDA mobilise plusieurs canaux d’échange : réunions publiques, affichage, communication via médias locaux, site web institutionnel, et point focal social sur site pour la réception et le suivi des doléances.</w:t>
      </w:r>
    </w:p>
    <w:p w14:paraId="35A07712" w14:textId="77777777" w:rsidR="001F7D97" w:rsidRPr="001F7D97" w:rsidRDefault="001F7D97" w:rsidP="001F7D97">
      <w:pPr>
        <w:pStyle w:val="Title3"/>
      </w:pPr>
      <w:bookmarkStart w:id="46" w:name="_Toc215131777"/>
      <w:r w:rsidRPr="001F7D97">
        <w:t>Préoccupations majeures exprimées</w:t>
      </w:r>
      <w:bookmarkEnd w:id="46"/>
    </w:p>
    <w:p w14:paraId="6804AD73" w14:textId="77777777" w:rsidR="001F7D97" w:rsidRPr="001F7D97" w:rsidRDefault="001F7D97" w:rsidP="001F7D97">
      <w:r w:rsidRPr="001F7D97">
        <w:t>Les consultations ont mis en évidence des priorités clés :</w:t>
      </w:r>
    </w:p>
    <w:p w14:paraId="167F12A9" w14:textId="77777777" w:rsidR="001F7D97" w:rsidRPr="001F7D97" w:rsidRDefault="001F7D97" w:rsidP="0001633E">
      <w:pPr>
        <w:numPr>
          <w:ilvl w:val="0"/>
          <w:numId w:val="189"/>
        </w:numPr>
      </w:pPr>
      <w:r w:rsidRPr="001F7D97">
        <w:t>la préservation de la biodiversité et de l’avifaune migratrice ;</w:t>
      </w:r>
    </w:p>
    <w:p w14:paraId="23FB96DE" w14:textId="77777777" w:rsidR="001F7D97" w:rsidRPr="001F7D97" w:rsidRDefault="001F7D97" w:rsidP="0001633E">
      <w:pPr>
        <w:numPr>
          <w:ilvl w:val="0"/>
          <w:numId w:val="189"/>
        </w:numPr>
      </w:pPr>
      <w:r w:rsidRPr="001F7D97">
        <w:t>la gestion de la circulation et la sécurité routière pendant les travaux ;</w:t>
      </w:r>
    </w:p>
    <w:p w14:paraId="05D78257" w14:textId="77777777" w:rsidR="001F7D97" w:rsidRPr="001F7D97" w:rsidRDefault="001F7D97" w:rsidP="0001633E">
      <w:pPr>
        <w:numPr>
          <w:ilvl w:val="0"/>
          <w:numId w:val="189"/>
        </w:numPr>
      </w:pPr>
      <w:r w:rsidRPr="001F7D97">
        <w:t>la réduction de l’empreinte carbone et la promotion de l’efficacité énergétique ;</w:t>
      </w:r>
    </w:p>
    <w:p w14:paraId="37B00638" w14:textId="77777777" w:rsidR="001F7D97" w:rsidRPr="001F7D97" w:rsidRDefault="001F7D97" w:rsidP="0001633E">
      <w:pPr>
        <w:numPr>
          <w:ilvl w:val="0"/>
          <w:numId w:val="189"/>
        </w:numPr>
      </w:pPr>
      <w:r w:rsidRPr="001F7D97">
        <w:t>la maîtrise de la pollution du sol et de l’air ;</w:t>
      </w:r>
    </w:p>
    <w:p w14:paraId="76EB582D" w14:textId="77777777" w:rsidR="001F7D97" w:rsidRPr="001F7D97" w:rsidRDefault="001F7D97" w:rsidP="0001633E">
      <w:pPr>
        <w:numPr>
          <w:ilvl w:val="0"/>
          <w:numId w:val="189"/>
        </w:numPr>
      </w:pPr>
      <w:r w:rsidRPr="001F7D97">
        <w:t>la bonne gestion des zones de dépôt et de stockage avec remise en état ;</w:t>
      </w:r>
    </w:p>
    <w:p w14:paraId="3DA29B47" w14:textId="77777777" w:rsidR="001F7D97" w:rsidRPr="001F7D97" w:rsidRDefault="001F7D97" w:rsidP="0001633E">
      <w:pPr>
        <w:numPr>
          <w:ilvl w:val="0"/>
          <w:numId w:val="189"/>
        </w:numPr>
      </w:pPr>
      <w:r w:rsidRPr="001F7D97">
        <w:t>la rationalisation de la consommation d’eau et l’usage d’eaux non conventionnelles ;</w:t>
      </w:r>
    </w:p>
    <w:p w14:paraId="222BC00C" w14:textId="77777777" w:rsidR="001F7D97" w:rsidRPr="001F7D97" w:rsidRDefault="001F7D97" w:rsidP="0001633E">
      <w:pPr>
        <w:numPr>
          <w:ilvl w:val="0"/>
          <w:numId w:val="189"/>
        </w:numPr>
      </w:pPr>
      <w:r w:rsidRPr="001F7D97">
        <w:t>le tri et recyclage des déchets par des opérateurs agréés.</w:t>
      </w:r>
    </w:p>
    <w:p w14:paraId="03734A41" w14:textId="77777777" w:rsidR="001F7D97" w:rsidRPr="001F7D97" w:rsidRDefault="001F7D97" w:rsidP="001F7D97">
      <w:r w:rsidRPr="001F7D97">
        <w:lastRenderedPageBreak/>
        <w:t>Ces préoccupations ont été intégrées dans les mesures d’atténuation du PGES et feront l’objet d’un suivi participatif.</w:t>
      </w:r>
    </w:p>
    <w:p w14:paraId="78F4546F" w14:textId="77777777" w:rsidR="001F7D97" w:rsidRPr="001F7D97" w:rsidRDefault="001F7D97" w:rsidP="001F7D97">
      <w:pPr>
        <w:pStyle w:val="Title3"/>
      </w:pPr>
      <w:bookmarkStart w:id="47" w:name="_Toc215131778"/>
      <w:r w:rsidRPr="001F7D97">
        <w:t>Dispositif de communication et de sensibilisation</w:t>
      </w:r>
      <w:bookmarkEnd w:id="47"/>
    </w:p>
    <w:p w14:paraId="5F5CDB17" w14:textId="77777777" w:rsidR="001F7D97" w:rsidRPr="001F7D97" w:rsidRDefault="001F7D97" w:rsidP="001F7D97">
      <w:r w:rsidRPr="001F7D97">
        <w:t>Le dispositif de communication vise à informer régulièrement les acteurs du projet, sensibiliser aux enjeux HSE et favoriser le dialogue.</w:t>
      </w:r>
    </w:p>
    <w:p w14:paraId="505828B3" w14:textId="33D722BF" w:rsidR="001F7D97" w:rsidRPr="001F7D97" w:rsidRDefault="001F7D97" w:rsidP="001F7D97">
      <w:r w:rsidRPr="001F7D97">
        <w:t>Les outils déployés comprennent :</w:t>
      </w:r>
    </w:p>
    <w:p w14:paraId="611E36F6" w14:textId="77777777" w:rsidR="001F7D97" w:rsidRPr="001F7D97" w:rsidRDefault="001F7D97" w:rsidP="0001633E">
      <w:pPr>
        <w:numPr>
          <w:ilvl w:val="0"/>
          <w:numId w:val="190"/>
        </w:numPr>
      </w:pPr>
      <w:r w:rsidRPr="001F7D97">
        <w:t>panneaux d’information et affiches bilingues (français/arabe) ;</w:t>
      </w:r>
    </w:p>
    <w:p w14:paraId="5F2F76B3" w14:textId="77777777" w:rsidR="001F7D97" w:rsidRPr="001F7D97" w:rsidRDefault="001F7D97" w:rsidP="0001633E">
      <w:pPr>
        <w:numPr>
          <w:ilvl w:val="0"/>
          <w:numId w:val="190"/>
        </w:numPr>
      </w:pPr>
      <w:r w:rsidRPr="001F7D97">
        <w:t>réunions communautaires trimestrielles animées par le CLO et le Point Focal HSSE ;</w:t>
      </w:r>
    </w:p>
    <w:p w14:paraId="3AE98A1E" w14:textId="77777777" w:rsidR="001F7D97" w:rsidRPr="001F7D97" w:rsidRDefault="001F7D97" w:rsidP="0001633E">
      <w:pPr>
        <w:numPr>
          <w:ilvl w:val="0"/>
          <w:numId w:val="190"/>
        </w:numPr>
      </w:pPr>
      <w:r w:rsidRPr="001F7D97">
        <w:t>supports écrits et numériques (brochures, bulletins, site web de l’ONDA) ;</w:t>
      </w:r>
    </w:p>
    <w:p w14:paraId="2C64799D" w14:textId="77777777" w:rsidR="001F7D97" w:rsidRPr="001F7D97" w:rsidRDefault="001F7D97" w:rsidP="0001633E">
      <w:pPr>
        <w:numPr>
          <w:ilvl w:val="0"/>
          <w:numId w:val="190"/>
        </w:numPr>
      </w:pPr>
      <w:r w:rsidRPr="001F7D97">
        <w:t>médias locaux et annonces radios ;</w:t>
      </w:r>
    </w:p>
    <w:p w14:paraId="259A5846" w14:textId="77777777" w:rsidR="001F7D97" w:rsidRPr="001F7D97" w:rsidRDefault="001F7D97" w:rsidP="0001633E">
      <w:pPr>
        <w:numPr>
          <w:ilvl w:val="0"/>
          <w:numId w:val="190"/>
        </w:numPr>
      </w:pPr>
      <w:r w:rsidRPr="001F7D97">
        <w:t>briefings et réunions HSE internes hebdomadaires.</w:t>
      </w:r>
    </w:p>
    <w:p w14:paraId="594E1920" w14:textId="77777777" w:rsidR="00651DC9" w:rsidRDefault="001F7D97" w:rsidP="001F7D97">
      <w:r w:rsidRPr="001F7D97">
        <w:t>Des campagnes de sensibilisation récurrentes porteront sur la sécurité, la gestion des déchets, la prévention des violences basées sur le genre (VBG) et la sobriété énergétique.</w:t>
      </w:r>
    </w:p>
    <w:p w14:paraId="2D393FE9" w14:textId="6BB9FDE5" w:rsidR="001F7D97" w:rsidRPr="001F7D97" w:rsidRDefault="001F7D97" w:rsidP="001F7D97">
      <w:r w:rsidRPr="001F7D97">
        <w:t>Le dispositif fera l’objet de revues trimestrielles basées sur des indicateurs de performance (taux de participation, niveau de connaissance HSE, nombre de plaintes traitées).</w:t>
      </w:r>
    </w:p>
    <w:p w14:paraId="08559641" w14:textId="77777777" w:rsidR="001F7D97" w:rsidRPr="001F7D97" w:rsidRDefault="001F7D97" w:rsidP="001F7D97">
      <w:pPr>
        <w:pStyle w:val="Title3"/>
      </w:pPr>
      <w:bookmarkStart w:id="48" w:name="_Toc215131779"/>
      <w:r w:rsidRPr="001F7D97">
        <w:t>Mécanisme de Gestion des Plaintes (MGP)</w:t>
      </w:r>
      <w:bookmarkEnd w:id="48"/>
    </w:p>
    <w:p w14:paraId="5671EF76" w14:textId="77777777" w:rsidR="001F7D97" w:rsidRPr="001F7D97" w:rsidRDefault="001F7D97" w:rsidP="001F7D97">
      <w:r w:rsidRPr="001F7D97">
        <w:t>Le MGP constitue un instrument de transparence et de redevabilité sociale, garantissant à toute personne affectée la possibilité de formuler une plainte ou suggestion par des canaux multiples : registre physique, formulaire en ligne, ligne téléphonique, e-mail dédié, boîtes à plaintes et dépôt verbal auprès du CLO pour les personnes analphabètes.</w:t>
      </w:r>
    </w:p>
    <w:p w14:paraId="6BFC7661" w14:textId="77777777" w:rsidR="001F7D97" w:rsidRPr="001F7D97" w:rsidRDefault="001F7D97" w:rsidP="001F7D97">
      <w:pPr>
        <w:pStyle w:val="Title3"/>
      </w:pPr>
      <w:bookmarkStart w:id="49" w:name="_Toc215131780"/>
      <w:r w:rsidRPr="001F7D97">
        <w:t>Processus de traitement des plaintes</w:t>
      </w:r>
      <w:bookmarkEnd w:id="49"/>
    </w:p>
    <w:p w14:paraId="4F565263" w14:textId="77777777" w:rsidR="001F7D97" w:rsidRPr="001F7D97" w:rsidRDefault="001F7D97" w:rsidP="001F7D97">
      <w:r w:rsidRPr="001F7D97">
        <w:t>Le MGP suit cinq étapes structurées, avec des délais précis :</w:t>
      </w:r>
    </w:p>
    <w:p w14:paraId="3DA37037" w14:textId="77777777" w:rsidR="001F7D97" w:rsidRPr="001F7D97" w:rsidRDefault="001F7D97" w:rsidP="0001633E">
      <w:pPr>
        <w:numPr>
          <w:ilvl w:val="0"/>
          <w:numId w:val="191"/>
        </w:numPr>
      </w:pPr>
      <w:r w:rsidRPr="001F7D97">
        <w:t>Réception et enregistrement – accusé de réception sous 5 jours ouvrables ;</w:t>
      </w:r>
    </w:p>
    <w:p w14:paraId="4214B610" w14:textId="77777777" w:rsidR="001F7D97" w:rsidRPr="001F7D97" w:rsidRDefault="001F7D97" w:rsidP="0001633E">
      <w:pPr>
        <w:numPr>
          <w:ilvl w:val="0"/>
          <w:numId w:val="191"/>
        </w:numPr>
      </w:pPr>
      <w:r w:rsidRPr="001F7D97">
        <w:t>Analyse et classification – validation sous 5 jours supplémentaires ;</w:t>
      </w:r>
    </w:p>
    <w:p w14:paraId="2F99539D" w14:textId="77777777" w:rsidR="001F7D97" w:rsidRPr="001F7D97" w:rsidRDefault="001F7D97" w:rsidP="0001633E">
      <w:pPr>
        <w:numPr>
          <w:ilvl w:val="0"/>
          <w:numId w:val="191"/>
        </w:numPr>
      </w:pPr>
      <w:r w:rsidRPr="001F7D97">
        <w:t>Investigation et proposition de résolution – sous 10 jours ouvrables ;</w:t>
      </w:r>
    </w:p>
    <w:p w14:paraId="282972AC" w14:textId="77777777" w:rsidR="001F7D97" w:rsidRPr="001F7D97" w:rsidRDefault="001F7D97" w:rsidP="0001633E">
      <w:pPr>
        <w:numPr>
          <w:ilvl w:val="0"/>
          <w:numId w:val="191"/>
        </w:numPr>
      </w:pPr>
      <w:r w:rsidRPr="001F7D97">
        <w:t>Communication et clôture – avec possibilité de réévaluation sous 5 jours ;</w:t>
      </w:r>
    </w:p>
    <w:p w14:paraId="5920F2A5" w14:textId="77777777" w:rsidR="001F7D97" w:rsidRPr="001F7D97" w:rsidRDefault="001F7D97" w:rsidP="0001633E">
      <w:pPr>
        <w:numPr>
          <w:ilvl w:val="0"/>
          <w:numId w:val="191"/>
        </w:numPr>
      </w:pPr>
      <w:r w:rsidRPr="001F7D97">
        <w:t>Suivi et évaluation – intégration dans les rapports de suivi du PGES.</w:t>
      </w:r>
    </w:p>
    <w:p w14:paraId="60098CB1" w14:textId="77777777" w:rsidR="001F7D97" w:rsidRPr="001F7D97" w:rsidRDefault="001F7D97" w:rsidP="001F7D97">
      <w:r w:rsidRPr="001F7D97">
        <w:t>Les plaintes sensibles (VBG, harcèlement, discrimination) bénéficient d’un traitement confidentiel et prioritaire, avec orientation immédiate vers les structures d’assistance spécialisées.</w:t>
      </w:r>
    </w:p>
    <w:p w14:paraId="69673997" w14:textId="77777777" w:rsidR="001F7D97" w:rsidRPr="001F7D97" w:rsidRDefault="001F7D97" w:rsidP="001F7D97">
      <w:r w:rsidRPr="001F7D97">
        <w:t>La supervision du MGP est assurée par le Comité de Suivi Social, Sanitaire, Sécurité et Environnemental (CSSE), présidé par le Responsable HSSE de l’ONDA, tandis que la coordination opérationnelle relève du Point Focal HSSE et du CLO. Une évaluation annuelle du dispositif est prévue pour améliorer son efficacité et sa transparence.</w:t>
      </w:r>
    </w:p>
    <w:p w14:paraId="46E24582" w14:textId="232A386C" w:rsidR="00852904" w:rsidRPr="00852904" w:rsidRDefault="00852904" w:rsidP="00852904"/>
    <w:p w14:paraId="212A9702" w14:textId="5206ABCF" w:rsidR="00C24406" w:rsidRPr="00C24406" w:rsidRDefault="00981B3C" w:rsidP="00981B3C">
      <w:pPr>
        <w:pStyle w:val="Title2"/>
      </w:pPr>
      <w:bookmarkStart w:id="50" w:name="_Toc215131781"/>
      <w:r w:rsidRPr="00981B3C">
        <w:lastRenderedPageBreak/>
        <w:t>Plan de Gestion Environnementale et Sociale (PGES)</w:t>
      </w:r>
      <w:bookmarkEnd w:id="50"/>
      <w:r w:rsidRPr="00981B3C">
        <w:t xml:space="preserve"> </w:t>
      </w:r>
    </w:p>
    <w:p w14:paraId="4356274E" w14:textId="77777777" w:rsidR="00981B3C" w:rsidRPr="00981B3C" w:rsidRDefault="00981B3C" w:rsidP="00981B3C">
      <w:pPr>
        <w:pStyle w:val="Title3"/>
      </w:pPr>
      <w:bookmarkStart w:id="51" w:name="_Toc215131782"/>
      <w:r w:rsidRPr="00981B3C">
        <w:t>Objectifs</w:t>
      </w:r>
      <w:bookmarkEnd w:id="51"/>
    </w:p>
    <w:p w14:paraId="5B2EB267" w14:textId="0CC1A94F" w:rsidR="00981B3C" w:rsidRPr="00981B3C" w:rsidRDefault="00981B3C" w:rsidP="00981B3C">
      <w:r w:rsidRPr="00981B3C">
        <w:t xml:space="preserve">Le PGES est le cadre de gestion garantissant la conformité environnementale et sociale du projet de modernisation et d’extension de l’aéroport international </w:t>
      </w:r>
      <w:r w:rsidR="003500AD">
        <w:t>de Marrakech Ménara</w:t>
      </w:r>
      <w:r w:rsidRPr="00981B3C">
        <w:t>. Il vise à :</w:t>
      </w:r>
    </w:p>
    <w:p w14:paraId="297EF5CE" w14:textId="77777777" w:rsidR="00981B3C" w:rsidRPr="00981B3C" w:rsidRDefault="00981B3C" w:rsidP="0001633E">
      <w:pPr>
        <w:numPr>
          <w:ilvl w:val="0"/>
          <w:numId w:val="168"/>
        </w:numPr>
        <w:spacing w:line="240" w:lineRule="auto"/>
      </w:pPr>
      <w:r w:rsidRPr="00981B3C">
        <w:t>Traduire les mesures d’atténuation en plan d’action opérationnel ;</w:t>
      </w:r>
    </w:p>
    <w:p w14:paraId="06A8B841" w14:textId="77777777" w:rsidR="00981B3C" w:rsidRPr="00981B3C" w:rsidRDefault="00981B3C" w:rsidP="0001633E">
      <w:pPr>
        <w:numPr>
          <w:ilvl w:val="0"/>
          <w:numId w:val="168"/>
        </w:numPr>
        <w:spacing w:line="240" w:lineRule="auto"/>
      </w:pPr>
      <w:r w:rsidRPr="00981B3C">
        <w:t>Définir les responsabilités institutionnelles et organisationnelles ;</w:t>
      </w:r>
    </w:p>
    <w:p w14:paraId="11B155FB" w14:textId="77777777" w:rsidR="00981B3C" w:rsidRPr="00981B3C" w:rsidRDefault="00981B3C" w:rsidP="0001633E">
      <w:pPr>
        <w:numPr>
          <w:ilvl w:val="0"/>
          <w:numId w:val="168"/>
        </w:numPr>
        <w:spacing w:line="240" w:lineRule="auto"/>
      </w:pPr>
      <w:r w:rsidRPr="00981B3C">
        <w:t>Assurer le suivi, la surveillance et le reporting E&amp;S ;</w:t>
      </w:r>
    </w:p>
    <w:p w14:paraId="5B3C32C8" w14:textId="77777777" w:rsidR="00981B3C" w:rsidRPr="00981B3C" w:rsidRDefault="00981B3C" w:rsidP="0001633E">
      <w:pPr>
        <w:numPr>
          <w:ilvl w:val="0"/>
          <w:numId w:val="168"/>
        </w:numPr>
        <w:spacing w:line="240" w:lineRule="auto"/>
      </w:pPr>
      <w:r w:rsidRPr="00981B3C">
        <w:t>Mettre en place un mécanisme de gestion des plaintes (MGP) ;</w:t>
      </w:r>
    </w:p>
    <w:p w14:paraId="2F751021" w14:textId="77777777" w:rsidR="00981B3C" w:rsidRPr="00981B3C" w:rsidRDefault="00981B3C" w:rsidP="0001633E">
      <w:pPr>
        <w:numPr>
          <w:ilvl w:val="0"/>
          <w:numId w:val="168"/>
        </w:numPr>
        <w:spacing w:line="240" w:lineRule="auto"/>
      </w:pPr>
      <w:r w:rsidRPr="00981B3C">
        <w:t>Renforcer les capacités des acteurs et assurer la traçabilité des actions.</w:t>
      </w:r>
    </w:p>
    <w:p w14:paraId="38F883ED" w14:textId="538C9B74" w:rsidR="00981B3C" w:rsidRPr="00981B3C" w:rsidRDefault="00981B3C" w:rsidP="00981B3C">
      <w:pPr>
        <w:pStyle w:val="Title3"/>
      </w:pPr>
      <w:bookmarkStart w:id="52" w:name="_Toc215131783"/>
      <w:r w:rsidRPr="00981B3C">
        <w:t>Portée</w:t>
      </w:r>
      <w:bookmarkEnd w:id="52"/>
    </w:p>
    <w:p w14:paraId="30E9EEF2" w14:textId="77777777" w:rsidR="00981B3C" w:rsidRPr="00981B3C" w:rsidRDefault="00981B3C" w:rsidP="00981B3C">
      <w:r w:rsidRPr="00981B3C">
        <w:t>Le PGES s’applique à toutes les phases du projet : conception, construction, exploitation et démantèlement. Il inclut :</w:t>
      </w:r>
    </w:p>
    <w:p w14:paraId="19807735" w14:textId="77777777" w:rsidR="00981B3C" w:rsidRPr="00981B3C" w:rsidRDefault="00981B3C" w:rsidP="0001633E">
      <w:pPr>
        <w:numPr>
          <w:ilvl w:val="0"/>
          <w:numId w:val="169"/>
        </w:numPr>
        <w:spacing w:line="240" w:lineRule="auto"/>
      </w:pPr>
      <w:r w:rsidRPr="00981B3C">
        <w:t>Les mesures d’atténuation et de bonification ;</w:t>
      </w:r>
    </w:p>
    <w:p w14:paraId="7069F60E" w14:textId="77777777" w:rsidR="00981B3C" w:rsidRPr="00981B3C" w:rsidRDefault="00981B3C" w:rsidP="0001633E">
      <w:pPr>
        <w:numPr>
          <w:ilvl w:val="0"/>
          <w:numId w:val="169"/>
        </w:numPr>
        <w:spacing w:line="240" w:lineRule="auto"/>
      </w:pPr>
      <w:r w:rsidRPr="00981B3C">
        <w:t>Le plan de suivi et de surveillance environnemental et social ;</w:t>
      </w:r>
    </w:p>
    <w:p w14:paraId="2C117411" w14:textId="77777777" w:rsidR="00981B3C" w:rsidRPr="00981B3C" w:rsidRDefault="00981B3C" w:rsidP="0001633E">
      <w:pPr>
        <w:numPr>
          <w:ilvl w:val="0"/>
          <w:numId w:val="169"/>
        </w:numPr>
        <w:spacing w:line="240" w:lineRule="auto"/>
      </w:pPr>
      <w:r w:rsidRPr="00981B3C">
        <w:t>Le mécanisme de gestion des plaintes ;</w:t>
      </w:r>
    </w:p>
    <w:p w14:paraId="349E891E" w14:textId="77777777" w:rsidR="00981B3C" w:rsidRPr="00981B3C" w:rsidRDefault="00981B3C" w:rsidP="0001633E">
      <w:pPr>
        <w:numPr>
          <w:ilvl w:val="0"/>
          <w:numId w:val="169"/>
        </w:numPr>
        <w:spacing w:line="240" w:lineRule="auto"/>
      </w:pPr>
      <w:r w:rsidRPr="00981B3C">
        <w:t>Le plan de communication et de formation ;</w:t>
      </w:r>
    </w:p>
    <w:p w14:paraId="40FF0EAD" w14:textId="77777777" w:rsidR="00981B3C" w:rsidRDefault="00981B3C" w:rsidP="0001633E">
      <w:pPr>
        <w:numPr>
          <w:ilvl w:val="0"/>
          <w:numId w:val="169"/>
        </w:numPr>
        <w:spacing w:line="240" w:lineRule="auto"/>
      </w:pPr>
      <w:r w:rsidRPr="00981B3C">
        <w:t>L’estimation des coûts et des indicateurs de performance.</w:t>
      </w:r>
    </w:p>
    <w:p w14:paraId="6B967B95" w14:textId="77777777" w:rsidR="00981B3C" w:rsidRPr="00981B3C" w:rsidRDefault="00981B3C" w:rsidP="00981B3C">
      <w:pPr>
        <w:spacing w:line="240" w:lineRule="auto"/>
        <w:ind w:left="720"/>
      </w:pPr>
    </w:p>
    <w:p w14:paraId="13E2E754" w14:textId="60F18FBE" w:rsidR="00981B3C" w:rsidRPr="00981B3C" w:rsidRDefault="00981B3C" w:rsidP="00981B3C">
      <w:pPr>
        <w:pStyle w:val="Title3"/>
      </w:pPr>
      <w:bookmarkStart w:id="53" w:name="_Toc215131784"/>
      <w:r w:rsidRPr="00981B3C">
        <w:t>Organisation et responsabilités institutionnelles</w:t>
      </w:r>
      <w:bookmarkEnd w:id="53"/>
    </w:p>
    <w:p w14:paraId="02D14B40" w14:textId="77777777" w:rsidR="00981B3C" w:rsidRPr="00981B3C" w:rsidRDefault="00981B3C" w:rsidP="00981B3C">
      <w:pPr>
        <w:pStyle w:val="Title4"/>
      </w:pPr>
      <w:r w:rsidRPr="00981B3C">
        <w:t>Répartition des responsabilités</w:t>
      </w:r>
    </w:p>
    <w:tbl>
      <w:tblPr>
        <w:tblStyle w:val="TableauGrille1Clair-Accentuation111"/>
        <w:tblW w:w="0" w:type="auto"/>
        <w:tblLook w:val="04A0" w:firstRow="1" w:lastRow="0" w:firstColumn="1" w:lastColumn="0" w:noHBand="0" w:noVBand="1"/>
      </w:tblPr>
      <w:tblGrid>
        <w:gridCol w:w="2053"/>
        <w:gridCol w:w="7009"/>
      </w:tblGrid>
      <w:tr w:rsidR="00981B3C" w:rsidRPr="00981B3C" w14:paraId="3E8CD7C9" w14:textId="77777777" w:rsidTr="00981B3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32407F89" w14:textId="77777777" w:rsidR="00981B3C" w:rsidRPr="00981B3C" w:rsidRDefault="00981B3C" w:rsidP="00981B3C">
            <w:pPr>
              <w:jc w:val="left"/>
            </w:pPr>
            <w:r w:rsidRPr="00981B3C">
              <w:t>Acteur / Structure</w:t>
            </w:r>
          </w:p>
        </w:tc>
        <w:tc>
          <w:tcPr>
            <w:tcW w:w="0" w:type="auto"/>
            <w:vAlign w:val="center"/>
            <w:hideMark/>
          </w:tcPr>
          <w:p w14:paraId="6F6987D5" w14:textId="77777777" w:rsidR="00981B3C" w:rsidRPr="00981B3C" w:rsidRDefault="00981B3C" w:rsidP="00981B3C">
            <w:pPr>
              <w:jc w:val="left"/>
              <w:cnfStyle w:val="100000000000" w:firstRow="1" w:lastRow="0" w:firstColumn="0" w:lastColumn="0" w:oddVBand="0" w:evenVBand="0" w:oddHBand="0" w:evenHBand="0" w:firstRowFirstColumn="0" w:firstRowLastColumn="0" w:lastRowFirstColumn="0" w:lastRowLastColumn="0"/>
            </w:pPr>
            <w:r w:rsidRPr="00981B3C">
              <w:t>Responsabilités principales</w:t>
            </w:r>
          </w:p>
        </w:tc>
      </w:tr>
      <w:tr w:rsidR="00981B3C" w:rsidRPr="00981B3C" w14:paraId="1CDCB12D" w14:textId="77777777" w:rsidTr="00981B3C">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3C3F18F4" w14:textId="77777777" w:rsidR="00981B3C" w:rsidRPr="00981B3C" w:rsidRDefault="00981B3C" w:rsidP="00981B3C">
            <w:pPr>
              <w:jc w:val="left"/>
            </w:pPr>
            <w:r w:rsidRPr="00981B3C">
              <w:t>ONDA – Maître d’ouvrage</w:t>
            </w:r>
          </w:p>
        </w:tc>
        <w:tc>
          <w:tcPr>
            <w:tcW w:w="0" w:type="auto"/>
            <w:vAlign w:val="center"/>
            <w:hideMark/>
          </w:tcPr>
          <w:p w14:paraId="5BAD27CC" w14:textId="77777777" w:rsidR="00981B3C" w:rsidRPr="00981B3C" w:rsidRDefault="00981B3C" w:rsidP="00981B3C">
            <w:pPr>
              <w:jc w:val="left"/>
              <w:cnfStyle w:val="000000000000" w:firstRow="0" w:lastRow="0" w:firstColumn="0" w:lastColumn="0" w:oddVBand="0" w:evenVBand="0" w:oddHBand="0" w:evenHBand="0" w:firstRowFirstColumn="0" w:firstRowLastColumn="0" w:lastRowFirstColumn="0" w:lastRowLastColumn="0"/>
            </w:pPr>
            <w:r w:rsidRPr="00981B3C">
              <w:t>Supervision globale, validation du PGES, intégration dans les DAO, coordination avec la BAD et autorités, gestion du MGP.</w:t>
            </w:r>
          </w:p>
        </w:tc>
      </w:tr>
      <w:tr w:rsidR="00981B3C" w:rsidRPr="00981B3C" w14:paraId="0D08AD51" w14:textId="77777777" w:rsidTr="00981B3C">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5985CCAF" w14:textId="77777777" w:rsidR="00981B3C" w:rsidRPr="00981B3C" w:rsidRDefault="00981B3C" w:rsidP="00981B3C">
            <w:pPr>
              <w:jc w:val="left"/>
            </w:pPr>
            <w:r w:rsidRPr="00981B3C">
              <w:t>Entreprise EPC</w:t>
            </w:r>
          </w:p>
        </w:tc>
        <w:tc>
          <w:tcPr>
            <w:tcW w:w="0" w:type="auto"/>
            <w:vAlign w:val="center"/>
            <w:hideMark/>
          </w:tcPr>
          <w:p w14:paraId="7D0A3E65" w14:textId="77777777" w:rsidR="00981B3C" w:rsidRPr="00981B3C" w:rsidRDefault="00981B3C" w:rsidP="00981B3C">
            <w:pPr>
              <w:jc w:val="left"/>
              <w:cnfStyle w:val="000000000000" w:firstRow="0" w:lastRow="0" w:firstColumn="0" w:lastColumn="0" w:oddVBand="0" w:evenVBand="0" w:oddHBand="0" w:evenHBand="0" w:firstRowFirstColumn="0" w:firstRowLastColumn="0" w:lastRowFirstColumn="0" w:lastRowLastColumn="0"/>
            </w:pPr>
            <w:r w:rsidRPr="00981B3C">
              <w:t>Mise en œuvre des mesures E&amp;S, préparation des plans CESMP et OHS, formation du personnel, suivi des sous-traitants.</w:t>
            </w:r>
          </w:p>
        </w:tc>
      </w:tr>
      <w:tr w:rsidR="00981B3C" w:rsidRPr="00981B3C" w14:paraId="6B2DBFD1" w14:textId="77777777" w:rsidTr="00981B3C">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20EDC363" w14:textId="77777777" w:rsidR="00981B3C" w:rsidRPr="00981B3C" w:rsidRDefault="00981B3C" w:rsidP="00981B3C">
            <w:pPr>
              <w:jc w:val="left"/>
            </w:pPr>
            <w:r w:rsidRPr="00981B3C">
              <w:t>Sous-traitants</w:t>
            </w:r>
          </w:p>
        </w:tc>
        <w:tc>
          <w:tcPr>
            <w:tcW w:w="0" w:type="auto"/>
            <w:vAlign w:val="center"/>
            <w:hideMark/>
          </w:tcPr>
          <w:p w14:paraId="5C6D60F7" w14:textId="77777777" w:rsidR="00981B3C" w:rsidRPr="00981B3C" w:rsidRDefault="00981B3C" w:rsidP="00981B3C">
            <w:pPr>
              <w:jc w:val="left"/>
              <w:cnfStyle w:val="000000000000" w:firstRow="0" w:lastRow="0" w:firstColumn="0" w:lastColumn="0" w:oddVBand="0" w:evenVBand="0" w:oddHBand="0" w:evenHBand="0" w:firstRowFirstColumn="0" w:firstRowLastColumn="0" w:lastRowFirstColumn="0" w:lastRowLastColumn="0"/>
            </w:pPr>
            <w:r w:rsidRPr="00981B3C">
              <w:t>Application des exigences HSE, tenue des registres de sécurité et déchets.</w:t>
            </w:r>
          </w:p>
        </w:tc>
      </w:tr>
      <w:tr w:rsidR="00981B3C" w:rsidRPr="00981B3C" w14:paraId="24736589" w14:textId="77777777" w:rsidTr="00981B3C">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552497D5" w14:textId="77777777" w:rsidR="00981B3C" w:rsidRPr="00981B3C" w:rsidRDefault="00981B3C" w:rsidP="00981B3C">
            <w:pPr>
              <w:jc w:val="left"/>
            </w:pPr>
            <w:r w:rsidRPr="00981B3C">
              <w:t>Mission de Contrôle / AMO</w:t>
            </w:r>
          </w:p>
        </w:tc>
        <w:tc>
          <w:tcPr>
            <w:tcW w:w="0" w:type="auto"/>
            <w:vAlign w:val="center"/>
            <w:hideMark/>
          </w:tcPr>
          <w:p w14:paraId="77E19739" w14:textId="77777777" w:rsidR="00981B3C" w:rsidRPr="00981B3C" w:rsidRDefault="00981B3C" w:rsidP="00981B3C">
            <w:pPr>
              <w:jc w:val="left"/>
              <w:cnfStyle w:val="000000000000" w:firstRow="0" w:lastRow="0" w:firstColumn="0" w:lastColumn="0" w:oddVBand="0" w:evenVBand="0" w:oddHBand="0" w:evenHBand="0" w:firstRowFirstColumn="0" w:firstRowLastColumn="0" w:lastRowFirstColumn="0" w:lastRowLastColumn="0"/>
            </w:pPr>
            <w:r w:rsidRPr="00981B3C">
              <w:t>Supervision environnementale et sociale, vérification des mesures, assistance technique à l’ONDA.</w:t>
            </w:r>
          </w:p>
        </w:tc>
      </w:tr>
      <w:tr w:rsidR="00981B3C" w:rsidRPr="00981B3C" w14:paraId="6B268411" w14:textId="77777777" w:rsidTr="00981B3C">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7A0B0E1C" w14:textId="77777777" w:rsidR="00981B3C" w:rsidRPr="00981B3C" w:rsidRDefault="00981B3C" w:rsidP="00981B3C">
            <w:pPr>
              <w:jc w:val="left"/>
            </w:pPr>
            <w:r w:rsidRPr="00981B3C">
              <w:t>Autorités compétentes</w:t>
            </w:r>
          </w:p>
        </w:tc>
        <w:tc>
          <w:tcPr>
            <w:tcW w:w="0" w:type="auto"/>
            <w:vAlign w:val="center"/>
            <w:hideMark/>
          </w:tcPr>
          <w:p w14:paraId="1529441B" w14:textId="77777777" w:rsidR="00981B3C" w:rsidRPr="00981B3C" w:rsidRDefault="00981B3C" w:rsidP="00981B3C">
            <w:pPr>
              <w:jc w:val="left"/>
              <w:cnfStyle w:val="000000000000" w:firstRow="0" w:lastRow="0" w:firstColumn="0" w:lastColumn="0" w:oddVBand="0" w:evenVBand="0" w:oddHBand="0" w:evenHBand="0" w:firstRowFirstColumn="0" w:firstRowLastColumn="0" w:lastRowFirstColumn="0" w:lastRowLastColumn="0"/>
            </w:pPr>
            <w:r w:rsidRPr="00981B3C">
              <w:t>Contrôle réglementaire, inspections et validation des rapports.</w:t>
            </w:r>
          </w:p>
        </w:tc>
      </w:tr>
    </w:tbl>
    <w:p w14:paraId="3FA56C39" w14:textId="77777777" w:rsidR="00981B3C" w:rsidRPr="00981B3C" w:rsidRDefault="00981B3C" w:rsidP="00981B3C">
      <w:pPr>
        <w:pStyle w:val="Title4"/>
      </w:pPr>
      <w:r w:rsidRPr="00981B3C">
        <w:lastRenderedPageBreak/>
        <w:t>Profils requis – Phase de construction</w:t>
      </w:r>
    </w:p>
    <w:tbl>
      <w:tblPr>
        <w:tblStyle w:val="TableauGrille1Clair-Accentuation111"/>
        <w:tblW w:w="9067" w:type="dxa"/>
        <w:tblLook w:val="04A0" w:firstRow="1" w:lastRow="0" w:firstColumn="1" w:lastColumn="0" w:noHBand="0" w:noVBand="1"/>
      </w:tblPr>
      <w:tblGrid>
        <w:gridCol w:w="1271"/>
        <w:gridCol w:w="3686"/>
        <w:gridCol w:w="4110"/>
      </w:tblGrid>
      <w:tr w:rsidR="00981B3C" w:rsidRPr="00981B3C" w14:paraId="114F770A" w14:textId="77777777" w:rsidTr="00981B3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1" w:type="dxa"/>
            <w:vAlign w:val="center"/>
            <w:hideMark/>
          </w:tcPr>
          <w:p w14:paraId="48359DD9" w14:textId="77777777" w:rsidR="00981B3C" w:rsidRPr="00981B3C" w:rsidRDefault="00981B3C" w:rsidP="00981B3C">
            <w:pPr>
              <w:jc w:val="left"/>
            </w:pPr>
            <w:r w:rsidRPr="00981B3C">
              <w:t>Entité</w:t>
            </w:r>
          </w:p>
        </w:tc>
        <w:tc>
          <w:tcPr>
            <w:tcW w:w="3686" w:type="dxa"/>
            <w:vAlign w:val="center"/>
            <w:hideMark/>
          </w:tcPr>
          <w:p w14:paraId="4BF57130" w14:textId="77777777" w:rsidR="00981B3C" w:rsidRPr="00981B3C" w:rsidRDefault="00981B3C" w:rsidP="00981B3C">
            <w:pPr>
              <w:jc w:val="left"/>
              <w:cnfStyle w:val="100000000000" w:firstRow="1" w:lastRow="0" w:firstColumn="0" w:lastColumn="0" w:oddVBand="0" w:evenVBand="0" w:oddHBand="0" w:evenHBand="0" w:firstRowFirstColumn="0" w:firstRowLastColumn="0" w:lastRowFirstColumn="0" w:lastRowLastColumn="0"/>
            </w:pPr>
            <w:r w:rsidRPr="00981B3C">
              <w:t>Profil / Fonction</w:t>
            </w:r>
          </w:p>
        </w:tc>
        <w:tc>
          <w:tcPr>
            <w:tcW w:w="4110" w:type="dxa"/>
            <w:vAlign w:val="center"/>
            <w:hideMark/>
          </w:tcPr>
          <w:p w14:paraId="220412BC" w14:textId="77777777" w:rsidR="00981B3C" w:rsidRPr="00981B3C" w:rsidRDefault="00981B3C" w:rsidP="00981B3C">
            <w:pPr>
              <w:jc w:val="left"/>
              <w:cnfStyle w:val="100000000000" w:firstRow="1" w:lastRow="0" w:firstColumn="0" w:lastColumn="0" w:oddVBand="0" w:evenVBand="0" w:oddHBand="0" w:evenHBand="0" w:firstRowFirstColumn="0" w:firstRowLastColumn="0" w:lastRowFirstColumn="0" w:lastRowLastColumn="0"/>
            </w:pPr>
            <w:r w:rsidRPr="00981B3C">
              <w:t>Rôle principal</w:t>
            </w:r>
          </w:p>
        </w:tc>
      </w:tr>
      <w:tr w:rsidR="00981B3C" w:rsidRPr="00981B3C" w14:paraId="76AD3BA8" w14:textId="77777777" w:rsidTr="00981B3C">
        <w:tc>
          <w:tcPr>
            <w:cnfStyle w:val="001000000000" w:firstRow="0" w:lastRow="0" w:firstColumn="1" w:lastColumn="0" w:oddVBand="0" w:evenVBand="0" w:oddHBand="0" w:evenHBand="0" w:firstRowFirstColumn="0" w:firstRowLastColumn="0" w:lastRowFirstColumn="0" w:lastRowLastColumn="0"/>
            <w:tcW w:w="1271" w:type="dxa"/>
            <w:vMerge w:val="restart"/>
            <w:vAlign w:val="center"/>
            <w:hideMark/>
          </w:tcPr>
          <w:p w14:paraId="30966BB6" w14:textId="77777777" w:rsidR="00981B3C" w:rsidRPr="00981B3C" w:rsidRDefault="00981B3C" w:rsidP="00981B3C">
            <w:pPr>
              <w:jc w:val="left"/>
            </w:pPr>
            <w:r w:rsidRPr="00981B3C">
              <w:t>ONDA</w:t>
            </w:r>
          </w:p>
        </w:tc>
        <w:tc>
          <w:tcPr>
            <w:tcW w:w="3686" w:type="dxa"/>
            <w:vAlign w:val="center"/>
            <w:hideMark/>
          </w:tcPr>
          <w:p w14:paraId="15AEFDFC" w14:textId="77777777" w:rsidR="00981B3C" w:rsidRPr="00981B3C" w:rsidRDefault="00981B3C" w:rsidP="00981B3C">
            <w:pPr>
              <w:jc w:val="left"/>
              <w:cnfStyle w:val="000000000000" w:firstRow="0" w:lastRow="0" w:firstColumn="0" w:lastColumn="0" w:oddVBand="0" w:evenVBand="0" w:oddHBand="0" w:evenHBand="0" w:firstRowFirstColumn="0" w:firstRowLastColumn="0" w:lastRowFirstColumn="0" w:lastRowLastColumn="0"/>
            </w:pPr>
            <w:r w:rsidRPr="00981B3C">
              <w:t>Responsable HSSE du Projet</w:t>
            </w:r>
          </w:p>
        </w:tc>
        <w:tc>
          <w:tcPr>
            <w:tcW w:w="4110" w:type="dxa"/>
            <w:vAlign w:val="center"/>
            <w:hideMark/>
          </w:tcPr>
          <w:p w14:paraId="7552705B" w14:textId="77777777" w:rsidR="00981B3C" w:rsidRPr="00981B3C" w:rsidRDefault="00981B3C" w:rsidP="00981B3C">
            <w:pPr>
              <w:jc w:val="left"/>
              <w:cnfStyle w:val="000000000000" w:firstRow="0" w:lastRow="0" w:firstColumn="0" w:lastColumn="0" w:oddVBand="0" w:evenVBand="0" w:oddHBand="0" w:evenHBand="0" w:firstRowFirstColumn="0" w:firstRowLastColumn="0" w:lastRowFirstColumn="0" w:lastRowLastColumn="0"/>
            </w:pPr>
            <w:r w:rsidRPr="00981B3C">
              <w:t>Supervision globale et liaison BAD.</w:t>
            </w:r>
          </w:p>
        </w:tc>
      </w:tr>
      <w:tr w:rsidR="00981B3C" w:rsidRPr="00981B3C" w14:paraId="589585EC" w14:textId="77777777" w:rsidTr="00981B3C">
        <w:tc>
          <w:tcPr>
            <w:cnfStyle w:val="001000000000" w:firstRow="0" w:lastRow="0" w:firstColumn="1" w:lastColumn="0" w:oddVBand="0" w:evenVBand="0" w:oddHBand="0" w:evenHBand="0" w:firstRowFirstColumn="0" w:firstRowLastColumn="0" w:lastRowFirstColumn="0" w:lastRowLastColumn="0"/>
            <w:tcW w:w="1271" w:type="dxa"/>
            <w:vMerge/>
            <w:vAlign w:val="center"/>
            <w:hideMark/>
          </w:tcPr>
          <w:p w14:paraId="6ED68BBF" w14:textId="77777777" w:rsidR="00981B3C" w:rsidRPr="00981B3C" w:rsidRDefault="00981B3C" w:rsidP="00981B3C">
            <w:pPr>
              <w:jc w:val="left"/>
            </w:pPr>
          </w:p>
        </w:tc>
        <w:tc>
          <w:tcPr>
            <w:tcW w:w="3686" w:type="dxa"/>
            <w:vAlign w:val="center"/>
            <w:hideMark/>
          </w:tcPr>
          <w:p w14:paraId="37BC17FF" w14:textId="77777777" w:rsidR="00981B3C" w:rsidRPr="00981B3C" w:rsidRDefault="00981B3C" w:rsidP="00981B3C">
            <w:pPr>
              <w:jc w:val="left"/>
              <w:cnfStyle w:val="000000000000" w:firstRow="0" w:lastRow="0" w:firstColumn="0" w:lastColumn="0" w:oddVBand="0" w:evenVBand="0" w:oddHBand="0" w:evenHBand="0" w:firstRowFirstColumn="0" w:firstRowLastColumn="0" w:lastRowFirstColumn="0" w:lastRowLastColumn="0"/>
            </w:pPr>
            <w:r w:rsidRPr="00981B3C">
              <w:t>Point Focal HSSE Site</w:t>
            </w:r>
          </w:p>
        </w:tc>
        <w:tc>
          <w:tcPr>
            <w:tcW w:w="4110" w:type="dxa"/>
            <w:vAlign w:val="center"/>
            <w:hideMark/>
          </w:tcPr>
          <w:p w14:paraId="45F163FC" w14:textId="77777777" w:rsidR="00981B3C" w:rsidRPr="00981B3C" w:rsidRDefault="00981B3C" w:rsidP="00981B3C">
            <w:pPr>
              <w:jc w:val="left"/>
              <w:cnfStyle w:val="000000000000" w:firstRow="0" w:lastRow="0" w:firstColumn="0" w:lastColumn="0" w:oddVBand="0" w:evenVBand="0" w:oddHBand="0" w:evenHBand="0" w:firstRowFirstColumn="0" w:firstRowLastColumn="0" w:lastRowFirstColumn="0" w:lastRowLastColumn="0"/>
            </w:pPr>
            <w:r w:rsidRPr="00981B3C">
              <w:t>Suivi des mesures sur le terrain.</w:t>
            </w:r>
          </w:p>
        </w:tc>
      </w:tr>
      <w:tr w:rsidR="00981B3C" w:rsidRPr="00981B3C" w14:paraId="27C3EA4F" w14:textId="77777777" w:rsidTr="00981B3C">
        <w:tc>
          <w:tcPr>
            <w:cnfStyle w:val="001000000000" w:firstRow="0" w:lastRow="0" w:firstColumn="1" w:lastColumn="0" w:oddVBand="0" w:evenVBand="0" w:oddHBand="0" w:evenHBand="0" w:firstRowFirstColumn="0" w:firstRowLastColumn="0" w:lastRowFirstColumn="0" w:lastRowLastColumn="0"/>
            <w:tcW w:w="1271" w:type="dxa"/>
            <w:vMerge/>
            <w:vAlign w:val="center"/>
            <w:hideMark/>
          </w:tcPr>
          <w:p w14:paraId="7B3FA498" w14:textId="77777777" w:rsidR="00981B3C" w:rsidRPr="00981B3C" w:rsidRDefault="00981B3C" w:rsidP="00981B3C">
            <w:pPr>
              <w:jc w:val="left"/>
            </w:pPr>
          </w:p>
        </w:tc>
        <w:tc>
          <w:tcPr>
            <w:tcW w:w="3686" w:type="dxa"/>
            <w:vAlign w:val="center"/>
            <w:hideMark/>
          </w:tcPr>
          <w:p w14:paraId="539A50B5" w14:textId="77777777" w:rsidR="00981B3C" w:rsidRPr="00981B3C" w:rsidRDefault="00981B3C" w:rsidP="00981B3C">
            <w:pPr>
              <w:jc w:val="left"/>
              <w:cnfStyle w:val="000000000000" w:firstRow="0" w:lastRow="0" w:firstColumn="0" w:lastColumn="0" w:oddVBand="0" w:evenVBand="0" w:oddHBand="0" w:evenHBand="0" w:firstRowFirstColumn="0" w:firstRowLastColumn="0" w:lastRowFirstColumn="0" w:lastRowLastColumn="0"/>
            </w:pPr>
            <w:r w:rsidRPr="00981B3C">
              <w:t>Animateur CLO</w:t>
            </w:r>
          </w:p>
        </w:tc>
        <w:tc>
          <w:tcPr>
            <w:tcW w:w="4110" w:type="dxa"/>
            <w:vAlign w:val="center"/>
            <w:hideMark/>
          </w:tcPr>
          <w:p w14:paraId="62170266" w14:textId="77777777" w:rsidR="00981B3C" w:rsidRPr="00981B3C" w:rsidRDefault="00981B3C" w:rsidP="00981B3C">
            <w:pPr>
              <w:jc w:val="left"/>
              <w:cnfStyle w:val="000000000000" w:firstRow="0" w:lastRow="0" w:firstColumn="0" w:lastColumn="0" w:oddVBand="0" w:evenVBand="0" w:oddHBand="0" w:evenHBand="0" w:firstRowFirstColumn="0" w:firstRowLastColumn="0" w:lastRowFirstColumn="0" w:lastRowLastColumn="0"/>
            </w:pPr>
            <w:r w:rsidRPr="00981B3C">
              <w:t>Dialogue communautaire et plaintes.</w:t>
            </w:r>
          </w:p>
        </w:tc>
      </w:tr>
      <w:tr w:rsidR="00981B3C" w:rsidRPr="00981B3C" w14:paraId="0EB25FB5" w14:textId="77777777" w:rsidTr="00981B3C">
        <w:tc>
          <w:tcPr>
            <w:cnfStyle w:val="001000000000" w:firstRow="0" w:lastRow="0" w:firstColumn="1" w:lastColumn="0" w:oddVBand="0" w:evenVBand="0" w:oddHBand="0" w:evenHBand="0" w:firstRowFirstColumn="0" w:firstRowLastColumn="0" w:lastRowFirstColumn="0" w:lastRowLastColumn="0"/>
            <w:tcW w:w="1271" w:type="dxa"/>
            <w:vMerge w:val="restart"/>
            <w:vAlign w:val="center"/>
            <w:hideMark/>
          </w:tcPr>
          <w:p w14:paraId="220097B7" w14:textId="77777777" w:rsidR="00981B3C" w:rsidRPr="00981B3C" w:rsidRDefault="00981B3C" w:rsidP="00981B3C">
            <w:pPr>
              <w:jc w:val="left"/>
            </w:pPr>
            <w:r w:rsidRPr="00981B3C">
              <w:t>EPC</w:t>
            </w:r>
          </w:p>
        </w:tc>
        <w:tc>
          <w:tcPr>
            <w:tcW w:w="3686" w:type="dxa"/>
            <w:vAlign w:val="center"/>
            <w:hideMark/>
          </w:tcPr>
          <w:p w14:paraId="0BC9181B" w14:textId="77777777" w:rsidR="00981B3C" w:rsidRPr="00981B3C" w:rsidRDefault="00981B3C" w:rsidP="00981B3C">
            <w:pPr>
              <w:jc w:val="left"/>
              <w:cnfStyle w:val="000000000000" w:firstRow="0" w:lastRow="0" w:firstColumn="0" w:lastColumn="0" w:oddVBand="0" w:evenVBand="0" w:oddHBand="0" w:evenHBand="0" w:firstRowFirstColumn="0" w:firstRowLastColumn="0" w:lastRowFirstColumn="0" w:lastRowLastColumn="0"/>
            </w:pPr>
            <w:r w:rsidRPr="00981B3C">
              <w:t>Responsable HSSE chantier</w:t>
            </w:r>
          </w:p>
        </w:tc>
        <w:tc>
          <w:tcPr>
            <w:tcW w:w="4110" w:type="dxa"/>
            <w:vAlign w:val="center"/>
            <w:hideMark/>
          </w:tcPr>
          <w:p w14:paraId="3CAE885E" w14:textId="77777777" w:rsidR="00981B3C" w:rsidRPr="00981B3C" w:rsidRDefault="00981B3C" w:rsidP="00981B3C">
            <w:pPr>
              <w:jc w:val="left"/>
              <w:cnfStyle w:val="000000000000" w:firstRow="0" w:lastRow="0" w:firstColumn="0" w:lastColumn="0" w:oddVBand="0" w:evenVBand="0" w:oddHBand="0" w:evenHBand="0" w:firstRowFirstColumn="0" w:firstRowLastColumn="0" w:lastRowFirstColumn="0" w:lastRowLastColumn="0"/>
            </w:pPr>
            <w:r w:rsidRPr="00981B3C">
              <w:t>Conformité et reporting HSE.</w:t>
            </w:r>
          </w:p>
        </w:tc>
      </w:tr>
      <w:tr w:rsidR="00981B3C" w:rsidRPr="00981B3C" w14:paraId="422B9655" w14:textId="77777777" w:rsidTr="00981B3C">
        <w:tc>
          <w:tcPr>
            <w:cnfStyle w:val="001000000000" w:firstRow="0" w:lastRow="0" w:firstColumn="1" w:lastColumn="0" w:oddVBand="0" w:evenVBand="0" w:oddHBand="0" w:evenHBand="0" w:firstRowFirstColumn="0" w:firstRowLastColumn="0" w:lastRowFirstColumn="0" w:lastRowLastColumn="0"/>
            <w:tcW w:w="1271" w:type="dxa"/>
            <w:vMerge/>
            <w:vAlign w:val="center"/>
            <w:hideMark/>
          </w:tcPr>
          <w:p w14:paraId="6C0E6942" w14:textId="77777777" w:rsidR="00981B3C" w:rsidRPr="00981B3C" w:rsidRDefault="00981B3C" w:rsidP="00981B3C">
            <w:pPr>
              <w:jc w:val="left"/>
            </w:pPr>
          </w:p>
        </w:tc>
        <w:tc>
          <w:tcPr>
            <w:tcW w:w="3686" w:type="dxa"/>
            <w:vAlign w:val="center"/>
            <w:hideMark/>
          </w:tcPr>
          <w:p w14:paraId="7FE90641" w14:textId="77777777" w:rsidR="00981B3C" w:rsidRPr="00981B3C" w:rsidRDefault="00981B3C" w:rsidP="00981B3C">
            <w:pPr>
              <w:jc w:val="left"/>
              <w:cnfStyle w:val="000000000000" w:firstRow="0" w:lastRow="0" w:firstColumn="0" w:lastColumn="0" w:oddVBand="0" w:evenVBand="0" w:oddHBand="0" w:evenHBand="0" w:firstRowFirstColumn="0" w:firstRowLastColumn="0" w:lastRowFirstColumn="0" w:lastRowLastColumn="0"/>
            </w:pPr>
            <w:r w:rsidRPr="00981B3C">
              <w:t>Coordinateurs E&amp;S</w:t>
            </w:r>
          </w:p>
        </w:tc>
        <w:tc>
          <w:tcPr>
            <w:tcW w:w="4110" w:type="dxa"/>
            <w:vAlign w:val="center"/>
            <w:hideMark/>
          </w:tcPr>
          <w:p w14:paraId="29A1E06E" w14:textId="77777777" w:rsidR="00981B3C" w:rsidRPr="00981B3C" w:rsidRDefault="00981B3C" w:rsidP="00981B3C">
            <w:pPr>
              <w:jc w:val="left"/>
              <w:cnfStyle w:val="000000000000" w:firstRow="0" w:lastRow="0" w:firstColumn="0" w:lastColumn="0" w:oddVBand="0" w:evenVBand="0" w:oddHBand="0" w:evenHBand="0" w:firstRowFirstColumn="0" w:firstRowLastColumn="0" w:lastRowFirstColumn="0" w:lastRowLastColumn="0"/>
            </w:pPr>
            <w:r w:rsidRPr="00981B3C">
              <w:t>Formation et suivi des sous-traitants.</w:t>
            </w:r>
          </w:p>
        </w:tc>
      </w:tr>
      <w:tr w:rsidR="00981B3C" w:rsidRPr="00981B3C" w14:paraId="3467DF15" w14:textId="77777777" w:rsidTr="00981B3C">
        <w:tc>
          <w:tcPr>
            <w:cnfStyle w:val="001000000000" w:firstRow="0" w:lastRow="0" w:firstColumn="1" w:lastColumn="0" w:oddVBand="0" w:evenVBand="0" w:oddHBand="0" w:evenHBand="0" w:firstRowFirstColumn="0" w:firstRowLastColumn="0" w:lastRowFirstColumn="0" w:lastRowLastColumn="0"/>
            <w:tcW w:w="1271" w:type="dxa"/>
            <w:vMerge/>
            <w:vAlign w:val="center"/>
            <w:hideMark/>
          </w:tcPr>
          <w:p w14:paraId="1D330177" w14:textId="77777777" w:rsidR="00981B3C" w:rsidRPr="00981B3C" w:rsidRDefault="00981B3C" w:rsidP="00981B3C">
            <w:pPr>
              <w:jc w:val="left"/>
            </w:pPr>
          </w:p>
        </w:tc>
        <w:tc>
          <w:tcPr>
            <w:tcW w:w="3686" w:type="dxa"/>
            <w:vAlign w:val="center"/>
            <w:hideMark/>
          </w:tcPr>
          <w:p w14:paraId="48CBE9C1" w14:textId="77777777" w:rsidR="00981B3C" w:rsidRPr="00981B3C" w:rsidRDefault="00981B3C" w:rsidP="00981B3C">
            <w:pPr>
              <w:jc w:val="left"/>
              <w:cnfStyle w:val="000000000000" w:firstRow="0" w:lastRow="0" w:firstColumn="0" w:lastColumn="0" w:oddVBand="0" w:evenVBand="0" w:oddHBand="0" w:evenHBand="0" w:firstRowFirstColumn="0" w:firstRowLastColumn="0" w:lastRowFirstColumn="0" w:lastRowLastColumn="0"/>
            </w:pPr>
            <w:r w:rsidRPr="00981B3C">
              <w:t>Médecin/Infirmier</w:t>
            </w:r>
          </w:p>
        </w:tc>
        <w:tc>
          <w:tcPr>
            <w:tcW w:w="4110" w:type="dxa"/>
            <w:vAlign w:val="center"/>
            <w:hideMark/>
          </w:tcPr>
          <w:p w14:paraId="51D35B71" w14:textId="77777777" w:rsidR="00981B3C" w:rsidRPr="00981B3C" w:rsidRDefault="00981B3C" w:rsidP="00981B3C">
            <w:pPr>
              <w:jc w:val="left"/>
              <w:cnfStyle w:val="000000000000" w:firstRow="0" w:lastRow="0" w:firstColumn="0" w:lastColumn="0" w:oddVBand="0" w:evenVBand="0" w:oddHBand="0" w:evenHBand="0" w:firstRowFirstColumn="0" w:firstRowLastColumn="0" w:lastRowFirstColumn="0" w:lastRowLastColumn="0"/>
            </w:pPr>
            <w:r w:rsidRPr="00981B3C">
              <w:t>Surveillance médicale.</w:t>
            </w:r>
          </w:p>
        </w:tc>
      </w:tr>
      <w:tr w:rsidR="00981B3C" w:rsidRPr="00981B3C" w14:paraId="7BC90F42" w14:textId="77777777" w:rsidTr="00981B3C">
        <w:tc>
          <w:tcPr>
            <w:cnfStyle w:val="001000000000" w:firstRow="0" w:lastRow="0" w:firstColumn="1" w:lastColumn="0" w:oddVBand="0" w:evenVBand="0" w:oddHBand="0" w:evenHBand="0" w:firstRowFirstColumn="0" w:firstRowLastColumn="0" w:lastRowFirstColumn="0" w:lastRowLastColumn="0"/>
            <w:tcW w:w="1271" w:type="dxa"/>
            <w:vMerge w:val="restart"/>
            <w:vAlign w:val="center"/>
            <w:hideMark/>
          </w:tcPr>
          <w:p w14:paraId="0FE60B17" w14:textId="77777777" w:rsidR="00981B3C" w:rsidRPr="00981B3C" w:rsidRDefault="00981B3C" w:rsidP="00981B3C">
            <w:pPr>
              <w:jc w:val="left"/>
            </w:pPr>
            <w:r w:rsidRPr="00981B3C">
              <w:t>AMO</w:t>
            </w:r>
          </w:p>
        </w:tc>
        <w:tc>
          <w:tcPr>
            <w:tcW w:w="3686" w:type="dxa"/>
            <w:vAlign w:val="center"/>
            <w:hideMark/>
          </w:tcPr>
          <w:p w14:paraId="07441866" w14:textId="77777777" w:rsidR="00981B3C" w:rsidRPr="00981B3C" w:rsidRDefault="00981B3C" w:rsidP="00981B3C">
            <w:pPr>
              <w:jc w:val="left"/>
              <w:cnfStyle w:val="000000000000" w:firstRow="0" w:lastRow="0" w:firstColumn="0" w:lastColumn="0" w:oddVBand="0" w:evenVBand="0" w:oddHBand="0" w:evenHBand="0" w:firstRowFirstColumn="0" w:firstRowLastColumn="0" w:lastRowFirstColumn="0" w:lastRowLastColumn="0"/>
            </w:pPr>
            <w:r w:rsidRPr="00981B3C">
              <w:t>Expert environnementaliste</w:t>
            </w:r>
          </w:p>
        </w:tc>
        <w:tc>
          <w:tcPr>
            <w:tcW w:w="4110" w:type="dxa"/>
            <w:vAlign w:val="center"/>
            <w:hideMark/>
          </w:tcPr>
          <w:p w14:paraId="5A68A684" w14:textId="77777777" w:rsidR="00981B3C" w:rsidRPr="00981B3C" w:rsidRDefault="00981B3C" w:rsidP="00981B3C">
            <w:pPr>
              <w:jc w:val="left"/>
              <w:cnfStyle w:val="000000000000" w:firstRow="0" w:lastRow="0" w:firstColumn="0" w:lastColumn="0" w:oddVBand="0" w:evenVBand="0" w:oddHBand="0" w:evenHBand="0" w:firstRowFirstColumn="0" w:firstRowLastColumn="0" w:lastRowFirstColumn="0" w:lastRowLastColumn="0"/>
            </w:pPr>
            <w:r w:rsidRPr="00981B3C">
              <w:t>Vérification conformité environnementale.</w:t>
            </w:r>
          </w:p>
        </w:tc>
      </w:tr>
      <w:tr w:rsidR="00981B3C" w:rsidRPr="00981B3C" w14:paraId="2B2BCB0F" w14:textId="77777777" w:rsidTr="00981B3C">
        <w:tc>
          <w:tcPr>
            <w:cnfStyle w:val="001000000000" w:firstRow="0" w:lastRow="0" w:firstColumn="1" w:lastColumn="0" w:oddVBand="0" w:evenVBand="0" w:oddHBand="0" w:evenHBand="0" w:firstRowFirstColumn="0" w:firstRowLastColumn="0" w:lastRowFirstColumn="0" w:lastRowLastColumn="0"/>
            <w:tcW w:w="1271" w:type="dxa"/>
            <w:vMerge/>
            <w:vAlign w:val="center"/>
            <w:hideMark/>
          </w:tcPr>
          <w:p w14:paraId="6B5B5A19" w14:textId="77777777" w:rsidR="00981B3C" w:rsidRPr="00981B3C" w:rsidRDefault="00981B3C" w:rsidP="00981B3C">
            <w:pPr>
              <w:jc w:val="left"/>
            </w:pPr>
          </w:p>
        </w:tc>
        <w:tc>
          <w:tcPr>
            <w:tcW w:w="3686" w:type="dxa"/>
            <w:vAlign w:val="center"/>
            <w:hideMark/>
          </w:tcPr>
          <w:p w14:paraId="2A9C6C7E" w14:textId="77777777" w:rsidR="00981B3C" w:rsidRPr="00981B3C" w:rsidRDefault="00981B3C" w:rsidP="00981B3C">
            <w:pPr>
              <w:jc w:val="left"/>
              <w:cnfStyle w:val="000000000000" w:firstRow="0" w:lastRow="0" w:firstColumn="0" w:lastColumn="0" w:oddVBand="0" w:evenVBand="0" w:oddHBand="0" w:evenHBand="0" w:firstRowFirstColumn="0" w:firstRowLastColumn="0" w:lastRowFirstColumn="0" w:lastRowLastColumn="0"/>
            </w:pPr>
            <w:r w:rsidRPr="00981B3C">
              <w:t>Spécialiste social/genre</w:t>
            </w:r>
          </w:p>
        </w:tc>
        <w:tc>
          <w:tcPr>
            <w:tcW w:w="4110" w:type="dxa"/>
            <w:vAlign w:val="center"/>
            <w:hideMark/>
          </w:tcPr>
          <w:p w14:paraId="4DFAD78B" w14:textId="77777777" w:rsidR="00981B3C" w:rsidRPr="00981B3C" w:rsidRDefault="00981B3C" w:rsidP="00981B3C">
            <w:pPr>
              <w:jc w:val="left"/>
              <w:cnfStyle w:val="000000000000" w:firstRow="0" w:lastRow="0" w:firstColumn="0" w:lastColumn="0" w:oddVBand="0" w:evenVBand="0" w:oddHBand="0" w:evenHBand="0" w:firstRowFirstColumn="0" w:firstRowLastColumn="0" w:lastRowFirstColumn="0" w:lastRowLastColumn="0"/>
            </w:pPr>
            <w:r w:rsidRPr="00981B3C">
              <w:t>Suivi SEAH/VBG et communication.</w:t>
            </w:r>
          </w:p>
        </w:tc>
      </w:tr>
    </w:tbl>
    <w:p w14:paraId="4A19D6F0" w14:textId="77777777" w:rsidR="00981B3C" w:rsidRPr="00981B3C" w:rsidRDefault="00981B3C" w:rsidP="00981B3C">
      <w:pPr>
        <w:pStyle w:val="Title4"/>
      </w:pPr>
      <w:r w:rsidRPr="00981B3C">
        <w:t>Profils requis – Phase d’exploitation</w:t>
      </w:r>
    </w:p>
    <w:tbl>
      <w:tblPr>
        <w:tblStyle w:val="TableauGrille1Clair-Accentuation111"/>
        <w:tblW w:w="9067" w:type="dxa"/>
        <w:tblLook w:val="04A0" w:firstRow="1" w:lastRow="0" w:firstColumn="1" w:lastColumn="0" w:noHBand="0" w:noVBand="1"/>
      </w:tblPr>
      <w:tblGrid>
        <w:gridCol w:w="1271"/>
        <w:gridCol w:w="3686"/>
        <w:gridCol w:w="4110"/>
      </w:tblGrid>
      <w:tr w:rsidR="00981B3C" w:rsidRPr="00981B3C" w14:paraId="2C648479" w14:textId="77777777" w:rsidTr="008F475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1" w:type="dxa"/>
            <w:vAlign w:val="center"/>
            <w:hideMark/>
          </w:tcPr>
          <w:p w14:paraId="5C57A2E2" w14:textId="77777777" w:rsidR="00981B3C" w:rsidRPr="00981B3C" w:rsidRDefault="00981B3C" w:rsidP="008F475B">
            <w:pPr>
              <w:jc w:val="left"/>
            </w:pPr>
            <w:r w:rsidRPr="00981B3C">
              <w:t>Entité</w:t>
            </w:r>
          </w:p>
        </w:tc>
        <w:tc>
          <w:tcPr>
            <w:tcW w:w="3686" w:type="dxa"/>
            <w:vAlign w:val="center"/>
            <w:hideMark/>
          </w:tcPr>
          <w:p w14:paraId="29108EF2" w14:textId="77777777" w:rsidR="00981B3C" w:rsidRPr="00981B3C" w:rsidRDefault="00981B3C" w:rsidP="008F475B">
            <w:pPr>
              <w:jc w:val="left"/>
              <w:cnfStyle w:val="100000000000" w:firstRow="1" w:lastRow="0" w:firstColumn="0" w:lastColumn="0" w:oddVBand="0" w:evenVBand="0" w:oddHBand="0" w:evenHBand="0" w:firstRowFirstColumn="0" w:firstRowLastColumn="0" w:lastRowFirstColumn="0" w:lastRowLastColumn="0"/>
            </w:pPr>
            <w:r w:rsidRPr="00981B3C">
              <w:t>Profil / Fonction</w:t>
            </w:r>
          </w:p>
        </w:tc>
        <w:tc>
          <w:tcPr>
            <w:tcW w:w="4110" w:type="dxa"/>
            <w:vAlign w:val="center"/>
            <w:hideMark/>
          </w:tcPr>
          <w:p w14:paraId="7B48A164" w14:textId="77777777" w:rsidR="00981B3C" w:rsidRPr="00981B3C" w:rsidRDefault="00981B3C" w:rsidP="008F475B">
            <w:pPr>
              <w:jc w:val="left"/>
              <w:cnfStyle w:val="100000000000" w:firstRow="1" w:lastRow="0" w:firstColumn="0" w:lastColumn="0" w:oddVBand="0" w:evenVBand="0" w:oddHBand="0" w:evenHBand="0" w:firstRowFirstColumn="0" w:firstRowLastColumn="0" w:lastRowFirstColumn="0" w:lastRowLastColumn="0"/>
            </w:pPr>
            <w:r w:rsidRPr="00981B3C">
              <w:t>Rôle principal</w:t>
            </w:r>
          </w:p>
        </w:tc>
      </w:tr>
      <w:tr w:rsidR="008F475B" w:rsidRPr="00981B3C" w14:paraId="4B4862CE" w14:textId="77777777" w:rsidTr="008F475B">
        <w:tc>
          <w:tcPr>
            <w:cnfStyle w:val="001000000000" w:firstRow="0" w:lastRow="0" w:firstColumn="1" w:lastColumn="0" w:oddVBand="0" w:evenVBand="0" w:oddHBand="0" w:evenHBand="0" w:firstRowFirstColumn="0" w:firstRowLastColumn="0" w:lastRowFirstColumn="0" w:lastRowLastColumn="0"/>
            <w:tcW w:w="1271" w:type="dxa"/>
            <w:vMerge w:val="restart"/>
            <w:vAlign w:val="center"/>
            <w:hideMark/>
          </w:tcPr>
          <w:p w14:paraId="273AD546" w14:textId="77777777" w:rsidR="008F475B" w:rsidRPr="00981B3C" w:rsidRDefault="008F475B" w:rsidP="008F475B">
            <w:pPr>
              <w:jc w:val="left"/>
            </w:pPr>
            <w:r w:rsidRPr="00981B3C">
              <w:t>ONDA</w:t>
            </w:r>
          </w:p>
        </w:tc>
        <w:tc>
          <w:tcPr>
            <w:tcW w:w="3686" w:type="dxa"/>
            <w:vAlign w:val="center"/>
            <w:hideMark/>
          </w:tcPr>
          <w:p w14:paraId="1714A491" w14:textId="77777777" w:rsidR="008F475B" w:rsidRPr="00981B3C" w:rsidRDefault="008F475B" w:rsidP="008F475B">
            <w:pPr>
              <w:jc w:val="left"/>
              <w:cnfStyle w:val="000000000000" w:firstRow="0" w:lastRow="0" w:firstColumn="0" w:lastColumn="0" w:oddVBand="0" w:evenVBand="0" w:oddHBand="0" w:evenHBand="0" w:firstRowFirstColumn="0" w:firstRowLastColumn="0" w:lastRowFirstColumn="0" w:lastRowLastColumn="0"/>
            </w:pPr>
            <w:r w:rsidRPr="00981B3C">
              <w:t>Responsable HSSE</w:t>
            </w:r>
          </w:p>
        </w:tc>
        <w:tc>
          <w:tcPr>
            <w:tcW w:w="4110" w:type="dxa"/>
            <w:vAlign w:val="center"/>
            <w:hideMark/>
          </w:tcPr>
          <w:p w14:paraId="0DFA02C1" w14:textId="77777777" w:rsidR="008F475B" w:rsidRPr="00981B3C" w:rsidRDefault="008F475B" w:rsidP="008F475B">
            <w:pPr>
              <w:jc w:val="left"/>
              <w:cnfStyle w:val="000000000000" w:firstRow="0" w:lastRow="0" w:firstColumn="0" w:lastColumn="0" w:oddVBand="0" w:evenVBand="0" w:oddHBand="0" w:evenHBand="0" w:firstRowFirstColumn="0" w:firstRowLastColumn="0" w:lastRowFirstColumn="0" w:lastRowLastColumn="0"/>
            </w:pPr>
            <w:r w:rsidRPr="00981B3C">
              <w:t>Supervision et reporting global.</w:t>
            </w:r>
          </w:p>
        </w:tc>
      </w:tr>
      <w:tr w:rsidR="008F475B" w:rsidRPr="00981B3C" w14:paraId="0818AE5E" w14:textId="77777777" w:rsidTr="008F475B">
        <w:tc>
          <w:tcPr>
            <w:cnfStyle w:val="001000000000" w:firstRow="0" w:lastRow="0" w:firstColumn="1" w:lastColumn="0" w:oddVBand="0" w:evenVBand="0" w:oddHBand="0" w:evenHBand="0" w:firstRowFirstColumn="0" w:firstRowLastColumn="0" w:lastRowFirstColumn="0" w:lastRowLastColumn="0"/>
            <w:tcW w:w="1271" w:type="dxa"/>
            <w:vMerge/>
            <w:vAlign w:val="center"/>
            <w:hideMark/>
          </w:tcPr>
          <w:p w14:paraId="3303579F" w14:textId="77777777" w:rsidR="008F475B" w:rsidRPr="00981B3C" w:rsidRDefault="008F475B" w:rsidP="008F475B">
            <w:pPr>
              <w:jc w:val="left"/>
            </w:pPr>
          </w:p>
        </w:tc>
        <w:tc>
          <w:tcPr>
            <w:tcW w:w="3686" w:type="dxa"/>
            <w:vAlign w:val="center"/>
            <w:hideMark/>
          </w:tcPr>
          <w:p w14:paraId="22453FFC" w14:textId="77777777" w:rsidR="008F475B" w:rsidRPr="00981B3C" w:rsidRDefault="008F475B" w:rsidP="008F475B">
            <w:pPr>
              <w:jc w:val="left"/>
              <w:cnfStyle w:val="000000000000" w:firstRow="0" w:lastRow="0" w:firstColumn="0" w:lastColumn="0" w:oddVBand="0" w:evenVBand="0" w:oddHBand="0" w:evenHBand="0" w:firstRowFirstColumn="0" w:firstRowLastColumn="0" w:lastRowFirstColumn="0" w:lastRowLastColumn="0"/>
            </w:pPr>
            <w:r w:rsidRPr="00981B3C">
              <w:t>Point Focal HSSE</w:t>
            </w:r>
          </w:p>
        </w:tc>
        <w:tc>
          <w:tcPr>
            <w:tcW w:w="4110" w:type="dxa"/>
            <w:vAlign w:val="center"/>
            <w:hideMark/>
          </w:tcPr>
          <w:p w14:paraId="55B47C7D" w14:textId="77777777" w:rsidR="008F475B" w:rsidRPr="00981B3C" w:rsidRDefault="008F475B" w:rsidP="008F475B">
            <w:pPr>
              <w:jc w:val="left"/>
              <w:cnfStyle w:val="000000000000" w:firstRow="0" w:lastRow="0" w:firstColumn="0" w:lastColumn="0" w:oddVBand="0" w:evenVBand="0" w:oddHBand="0" w:evenHBand="0" w:firstRowFirstColumn="0" w:firstRowLastColumn="0" w:lastRowFirstColumn="0" w:lastRowLastColumn="0"/>
            </w:pPr>
            <w:r w:rsidRPr="00981B3C">
              <w:t>Suivi environnemental quotidien.</w:t>
            </w:r>
          </w:p>
        </w:tc>
      </w:tr>
      <w:tr w:rsidR="008F475B" w:rsidRPr="00981B3C" w14:paraId="7543ED85" w14:textId="77777777" w:rsidTr="008F475B">
        <w:tc>
          <w:tcPr>
            <w:cnfStyle w:val="001000000000" w:firstRow="0" w:lastRow="0" w:firstColumn="1" w:lastColumn="0" w:oddVBand="0" w:evenVBand="0" w:oddHBand="0" w:evenHBand="0" w:firstRowFirstColumn="0" w:firstRowLastColumn="0" w:lastRowFirstColumn="0" w:lastRowLastColumn="0"/>
            <w:tcW w:w="1271" w:type="dxa"/>
            <w:vMerge/>
            <w:vAlign w:val="center"/>
            <w:hideMark/>
          </w:tcPr>
          <w:p w14:paraId="35E5EF4A" w14:textId="77777777" w:rsidR="008F475B" w:rsidRPr="00981B3C" w:rsidRDefault="008F475B" w:rsidP="008F475B">
            <w:pPr>
              <w:jc w:val="left"/>
            </w:pPr>
          </w:p>
        </w:tc>
        <w:tc>
          <w:tcPr>
            <w:tcW w:w="3686" w:type="dxa"/>
            <w:vAlign w:val="center"/>
            <w:hideMark/>
          </w:tcPr>
          <w:p w14:paraId="5119CAFD" w14:textId="77777777" w:rsidR="008F475B" w:rsidRPr="00981B3C" w:rsidRDefault="008F475B" w:rsidP="008F475B">
            <w:pPr>
              <w:jc w:val="left"/>
              <w:cnfStyle w:val="000000000000" w:firstRow="0" w:lastRow="0" w:firstColumn="0" w:lastColumn="0" w:oddVBand="0" w:evenVBand="0" w:oddHBand="0" w:evenHBand="0" w:firstRowFirstColumn="0" w:firstRowLastColumn="0" w:lastRowFirstColumn="0" w:lastRowLastColumn="0"/>
            </w:pPr>
            <w:r w:rsidRPr="00981B3C">
              <w:t>Animateur CLO</w:t>
            </w:r>
          </w:p>
        </w:tc>
        <w:tc>
          <w:tcPr>
            <w:tcW w:w="4110" w:type="dxa"/>
            <w:vAlign w:val="center"/>
            <w:hideMark/>
          </w:tcPr>
          <w:p w14:paraId="658D3555" w14:textId="77777777" w:rsidR="008F475B" w:rsidRPr="00981B3C" w:rsidRDefault="008F475B" w:rsidP="008F475B">
            <w:pPr>
              <w:jc w:val="left"/>
              <w:cnfStyle w:val="000000000000" w:firstRow="0" w:lastRow="0" w:firstColumn="0" w:lastColumn="0" w:oddVBand="0" w:evenVBand="0" w:oddHBand="0" w:evenHBand="0" w:firstRowFirstColumn="0" w:firstRowLastColumn="0" w:lastRowFirstColumn="0" w:lastRowLastColumn="0"/>
            </w:pPr>
            <w:r w:rsidRPr="00981B3C">
              <w:t>Communication communautaire.</w:t>
            </w:r>
          </w:p>
        </w:tc>
      </w:tr>
      <w:tr w:rsidR="008F475B" w:rsidRPr="00981B3C" w14:paraId="329DAE30" w14:textId="77777777" w:rsidTr="008F475B">
        <w:tc>
          <w:tcPr>
            <w:cnfStyle w:val="001000000000" w:firstRow="0" w:lastRow="0" w:firstColumn="1" w:lastColumn="0" w:oddVBand="0" w:evenVBand="0" w:oddHBand="0" w:evenHBand="0" w:firstRowFirstColumn="0" w:firstRowLastColumn="0" w:lastRowFirstColumn="0" w:lastRowLastColumn="0"/>
            <w:tcW w:w="1271" w:type="dxa"/>
            <w:vMerge w:val="restart"/>
            <w:vAlign w:val="center"/>
            <w:hideMark/>
          </w:tcPr>
          <w:p w14:paraId="49FBF9E2" w14:textId="77777777" w:rsidR="008F475B" w:rsidRPr="00981B3C" w:rsidRDefault="008F475B" w:rsidP="008F475B">
            <w:pPr>
              <w:jc w:val="left"/>
            </w:pPr>
            <w:r w:rsidRPr="00981B3C">
              <w:t>Prestataires</w:t>
            </w:r>
          </w:p>
        </w:tc>
        <w:tc>
          <w:tcPr>
            <w:tcW w:w="3686" w:type="dxa"/>
            <w:vAlign w:val="center"/>
            <w:hideMark/>
          </w:tcPr>
          <w:p w14:paraId="62AE2299" w14:textId="77777777" w:rsidR="008F475B" w:rsidRPr="00981B3C" w:rsidRDefault="008F475B" w:rsidP="008F475B">
            <w:pPr>
              <w:jc w:val="left"/>
              <w:cnfStyle w:val="000000000000" w:firstRow="0" w:lastRow="0" w:firstColumn="0" w:lastColumn="0" w:oddVBand="0" w:evenVBand="0" w:oddHBand="0" w:evenHBand="0" w:firstRowFirstColumn="0" w:firstRowLastColumn="0" w:lastRowFirstColumn="0" w:lastRowLastColumn="0"/>
            </w:pPr>
            <w:r w:rsidRPr="00981B3C">
              <w:t>Superviseur HSSE</w:t>
            </w:r>
          </w:p>
        </w:tc>
        <w:tc>
          <w:tcPr>
            <w:tcW w:w="4110" w:type="dxa"/>
            <w:vAlign w:val="center"/>
            <w:hideMark/>
          </w:tcPr>
          <w:p w14:paraId="4D723D12" w14:textId="77777777" w:rsidR="008F475B" w:rsidRPr="00981B3C" w:rsidRDefault="008F475B" w:rsidP="008F475B">
            <w:pPr>
              <w:jc w:val="left"/>
              <w:cnfStyle w:val="000000000000" w:firstRow="0" w:lastRow="0" w:firstColumn="0" w:lastColumn="0" w:oddVBand="0" w:evenVBand="0" w:oddHBand="0" w:evenHBand="0" w:firstRowFirstColumn="0" w:firstRowLastColumn="0" w:lastRowFirstColumn="0" w:lastRowLastColumn="0"/>
            </w:pPr>
            <w:r w:rsidRPr="00981B3C">
              <w:t>Application des protocoles HSSE.</w:t>
            </w:r>
          </w:p>
        </w:tc>
      </w:tr>
      <w:tr w:rsidR="008F475B" w:rsidRPr="00981B3C" w14:paraId="5F5EA677" w14:textId="77777777" w:rsidTr="008F475B">
        <w:tc>
          <w:tcPr>
            <w:cnfStyle w:val="001000000000" w:firstRow="0" w:lastRow="0" w:firstColumn="1" w:lastColumn="0" w:oddVBand="0" w:evenVBand="0" w:oddHBand="0" w:evenHBand="0" w:firstRowFirstColumn="0" w:firstRowLastColumn="0" w:lastRowFirstColumn="0" w:lastRowLastColumn="0"/>
            <w:tcW w:w="1271" w:type="dxa"/>
            <w:vMerge/>
            <w:vAlign w:val="center"/>
            <w:hideMark/>
          </w:tcPr>
          <w:p w14:paraId="66302853" w14:textId="77777777" w:rsidR="008F475B" w:rsidRPr="00981B3C" w:rsidRDefault="008F475B" w:rsidP="008F475B">
            <w:pPr>
              <w:jc w:val="left"/>
            </w:pPr>
          </w:p>
        </w:tc>
        <w:tc>
          <w:tcPr>
            <w:tcW w:w="3686" w:type="dxa"/>
            <w:vAlign w:val="center"/>
            <w:hideMark/>
          </w:tcPr>
          <w:p w14:paraId="6087DD87" w14:textId="77777777" w:rsidR="008F475B" w:rsidRPr="00981B3C" w:rsidRDefault="008F475B" w:rsidP="008F475B">
            <w:pPr>
              <w:jc w:val="left"/>
              <w:cnfStyle w:val="000000000000" w:firstRow="0" w:lastRow="0" w:firstColumn="0" w:lastColumn="0" w:oddVBand="0" w:evenVBand="0" w:oddHBand="0" w:evenHBand="0" w:firstRowFirstColumn="0" w:firstRowLastColumn="0" w:lastRowFirstColumn="0" w:lastRowLastColumn="0"/>
            </w:pPr>
            <w:r w:rsidRPr="00981B3C">
              <w:t>Techniciens spécialisés</w:t>
            </w:r>
          </w:p>
        </w:tc>
        <w:tc>
          <w:tcPr>
            <w:tcW w:w="4110" w:type="dxa"/>
            <w:vAlign w:val="center"/>
            <w:hideMark/>
          </w:tcPr>
          <w:p w14:paraId="574A7B07" w14:textId="77777777" w:rsidR="008F475B" w:rsidRPr="00981B3C" w:rsidRDefault="008F475B" w:rsidP="008F475B">
            <w:pPr>
              <w:jc w:val="left"/>
              <w:cnfStyle w:val="000000000000" w:firstRow="0" w:lastRow="0" w:firstColumn="0" w:lastColumn="0" w:oddVBand="0" w:evenVBand="0" w:oddHBand="0" w:evenHBand="0" w:firstRowFirstColumn="0" w:firstRowLastColumn="0" w:lastRowFirstColumn="0" w:lastRowLastColumn="0"/>
            </w:pPr>
            <w:r w:rsidRPr="00981B3C">
              <w:t>Maintenance et sûreté environnementale.</w:t>
            </w:r>
          </w:p>
        </w:tc>
      </w:tr>
    </w:tbl>
    <w:p w14:paraId="4D2504C9" w14:textId="59336A14" w:rsidR="00981B3C" w:rsidRPr="00981B3C" w:rsidRDefault="00981B3C" w:rsidP="008F475B">
      <w:pPr>
        <w:pStyle w:val="Title3"/>
      </w:pPr>
      <w:bookmarkStart w:id="54" w:name="_Toc215131785"/>
      <w:r w:rsidRPr="00981B3C">
        <w:t>Synthèse des mesures d’atténuation</w:t>
      </w:r>
      <w:bookmarkEnd w:id="54"/>
    </w:p>
    <w:p w14:paraId="20357FE5" w14:textId="77777777" w:rsidR="00981B3C" w:rsidRPr="00981B3C" w:rsidRDefault="00981B3C" w:rsidP="00981B3C">
      <w:r w:rsidRPr="00981B3C">
        <w:t>Les mesures sont détaillées au chapitre 7.3 de l’EIES et reprises dans deux plans :</w:t>
      </w:r>
    </w:p>
    <w:p w14:paraId="3F7824BF" w14:textId="77777777" w:rsidR="00981B3C" w:rsidRPr="00981B3C" w:rsidRDefault="00981B3C" w:rsidP="0001633E">
      <w:pPr>
        <w:numPr>
          <w:ilvl w:val="0"/>
          <w:numId w:val="170"/>
        </w:numPr>
      </w:pPr>
      <w:r w:rsidRPr="00981B3C">
        <w:rPr>
          <w:b/>
          <w:bCs/>
        </w:rPr>
        <w:t>PGES-C (construction)</w:t>
      </w:r>
      <w:r w:rsidRPr="00981B3C">
        <w:t xml:space="preserve"> : mise en œuvre et suivi des mesures HSE sur chantier ;</w:t>
      </w:r>
    </w:p>
    <w:p w14:paraId="7F2681D5" w14:textId="77777777" w:rsidR="00981B3C" w:rsidRDefault="00981B3C" w:rsidP="0001633E">
      <w:pPr>
        <w:numPr>
          <w:ilvl w:val="0"/>
          <w:numId w:val="170"/>
        </w:numPr>
      </w:pPr>
      <w:r w:rsidRPr="00981B3C">
        <w:rPr>
          <w:b/>
          <w:bCs/>
        </w:rPr>
        <w:t>PGES-O (exploitation)</w:t>
      </w:r>
      <w:r w:rsidRPr="00981B3C">
        <w:t xml:space="preserve"> : suivi des émissions, gestion des déchets et sécurité du personnel.</w:t>
      </w:r>
    </w:p>
    <w:p w14:paraId="1B1ADA61" w14:textId="77777777" w:rsidR="008F475B" w:rsidRPr="00981B3C" w:rsidRDefault="008F475B" w:rsidP="009F437F"/>
    <w:p w14:paraId="034FCF67" w14:textId="24D6CEB5" w:rsidR="00981B3C" w:rsidRPr="00981B3C" w:rsidRDefault="00981B3C" w:rsidP="008F475B">
      <w:pPr>
        <w:pStyle w:val="Title3"/>
      </w:pPr>
      <w:bookmarkStart w:id="55" w:name="_Toc215131786"/>
      <w:r w:rsidRPr="00981B3C">
        <w:t>Programme de surveillance, d’inspection et d’audit</w:t>
      </w:r>
      <w:bookmarkEnd w:id="55"/>
    </w:p>
    <w:p w14:paraId="27D4622F" w14:textId="77777777" w:rsidR="00981B3C" w:rsidRDefault="00981B3C" w:rsidP="008F475B">
      <w:pPr>
        <w:pStyle w:val="Title4"/>
      </w:pPr>
      <w:r w:rsidRPr="00981B3C">
        <w:t>Système de reporting</w:t>
      </w:r>
    </w:p>
    <w:p w14:paraId="25E9D077" w14:textId="2EF3C769" w:rsidR="008F475B" w:rsidRPr="00981B3C" w:rsidRDefault="008F475B" w:rsidP="008F475B">
      <w:pPr>
        <w:pStyle w:val="Lgende"/>
      </w:pPr>
      <w:bookmarkStart w:id="56" w:name="_Toc213404330"/>
      <w:r>
        <w:t xml:space="preserve">Tableau </w:t>
      </w:r>
      <w:r>
        <w:fldChar w:fldCharType="begin"/>
      </w:r>
      <w:r>
        <w:instrText xml:space="preserve"> SEQ Tableau \* ARABIC </w:instrText>
      </w:r>
      <w:r>
        <w:fldChar w:fldCharType="separate"/>
      </w:r>
      <w:r w:rsidR="00274E71">
        <w:rPr>
          <w:noProof/>
        </w:rPr>
        <w:t>7</w:t>
      </w:r>
      <w:r>
        <w:fldChar w:fldCharType="end"/>
      </w:r>
      <w:r>
        <w:rPr>
          <w:lang w:val="fr-FR"/>
        </w:rPr>
        <w:t xml:space="preserve"> : </w:t>
      </w:r>
      <w:r w:rsidRPr="00D33F02">
        <w:rPr>
          <w:lang w:val="fr-FR"/>
        </w:rPr>
        <w:t>Système de reporting</w:t>
      </w:r>
      <w:bookmarkEnd w:id="56"/>
    </w:p>
    <w:tbl>
      <w:tblPr>
        <w:tblStyle w:val="TableauGrille1Clair-Accentuation111"/>
        <w:tblW w:w="0" w:type="auto"/>
        <w:tblLook w:val="04A0" w:firstRow="1" w:lastRow="0" w:firstColumn="1" w:lastColumn="0" w:noHBand="0" w:noVBand="1"/>
      </w:tblPr>
      <w:tblGrid>
        <w:gridCol w:w="2320"/>
        <w:gridCol w:w="2997"/>
        <w:gridCol w:w="1241"/>
        <w:gridCol w:w="1267"/>
        <w:gridCol w:w="1237"/>
      </w:tblGrid>
      <w:tr w:rsidR="00981B3C" w:rsidRPr="00981B3C" w14:paraId="7D7FDB38" w14:textId="77777777" w:rsidTr="008F475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19C76EA9" w14:textId="77777777" w:rsidR="00981B3C" w:rsidRPr="00981B3C" w:rsidRDefault="00981B3C" w:rsidP="00981B3C">
            <w:r w:rsidRPr="00981B3C">
              <w:lastRenderedPageBreak/>
              <w:t>Type de rapport</w:t>
            </w:r>
          </w:p>
        </w:tc>
        <w:tc>
          <w:tcPr>
            <w:tcW w:w="0" w:type="auto"/>
            <w:hideMark/>
          </w:tcPr>
          <w:p w14:paraId="12ECFBC0" w14:textId="77777777" w:rsidR="00981B3C" w:rsidRPr="00981B3C" w:rsidRDefault="00981B3C" w:rsidP="00981B3C">
            <w:pPr>
              <w:cnfStyle w:val="100000000000" w:firstRow="1" w:lastRow="0" w:firstColumn="0" w:lastColumn="0" w:oddVBand="0" w:evenVBand="0" w:oddHBand="0" w:evenHBand="0" w:firstRowFirstColumn="0" w:firstRowLastColumn="0" w:lastRowFirstColumn="0" w:lastRowLastColumn="0"/>
            </w:pPr>
            <w:r w:rsidRPr="00981B3C">
              <w:t>Contenu</w:t>
            </w:r>
          </w:p>
        </w:tc>
        <w:tc>
          <w:tcPr>
            <w:tcW w:w="0" w:type="auto"/>
            <w:hideMark/>
          </w:tcPr>
          <w:p w14:paraId="2882AAA0" w14:textId="77777777" w:rsidR="00981B3C" w:rsidRPr="00981B3C" w:rsidRDefault="00981B3C" w:rsidP="00981B3C">
            <w:pPr>
              <w:cnfStyle w:val="100000000000" w:firstRow="1" w:lastRow="0" w:firstColumn="0" w:lastColumn="0" w:oddVBand="0" w:evenVBand="0" w:oddHBand="0" w:evenHBand="0" w:firstRowFirstColumn="0" w:firstRowLastColumn="0" w:lastRowFirstColumn="0" w:lastRowLastColumn="0"/>
            </w:pPr>
            <w:r w:rsidRPr="00981B3C">
              <w:t>Fréquence</w:t>
            </w:r>
          </w:p>
        </w:tc>
        <w:tc>
          <w:tcPr>
            <w:tcW w:w="0" w:type="auto"/>
            <w:hideMark/>
          </w:tcPr>
          <w:p w14:paraId="37D8869B" w14:textId="77777777" w:rsidR="00981B3C" w:rsidRPr="00981B3C" w:rsidRDefault="00981B3C" w:rsidP="00981B3C">
            <w:pPr>
              <w:cnfStyle w:val="100000000000" w:firstRow="1" w:lastRow="0" w:firstColumn="0" w:lastColumn="0" w:oddVBand="0" w:evenVBand="0" w:oddHBand="0" w:evenHBand="0" w:firstRowFirstColumn="0" w:firstRowLastColumn="0" w:lastRowFirstColumn="0" w:lastRowLastColumn="0"/>
            </w:pPr>
            <w:r w:rsidRPr="00981B3C">
              <w:t>Responsable</w:t>
            </w:r>
          </w:p>
        </w:tc>
        <w:tc>
          <w:tcPr>
            <w:tcW w:w="0" w:type="auto"/>
            <w:hideMark/>
          </w:tcPr>
          <w:p w14:paraId="08B0B0EB" w14:textId="77777777" w:rsidR="00981B3C" w:rsidRPr="00981B3C" w:rsidRDefault="00981B3C" w:rsidP="00981B3C">
            <w:pPr>
              <w:cnfStyle w:val="100000000000" w:firstRow="1" w:lastRow="0" w:firstColumn="0" w:lastColumn="0" w:oddVBand="0" w:evenVBand="0" w:oddHBand="0" w:evenHBand="0" w:firstRowFirstColumn="0" w:firstRowLastColumn="0" w:lastRowFirstColumn="0" w:lastRowLastColumn="0"/>
            </w:pPr>
            <w:r w:rsidRPr="00981B3C">
              <w:t>Destinataire</w:t>
            </w:r>
          </w:p>
        </w:tc>
      </w:tr>
      <w:tr w:rsidR="00981B3C" w:rsidRPr="00981B3C" w14:paraId="3872235C" w14:textId="77777777" w:rsidTr="008F475B">
        <w:tc>
          <w:tcPr>
            <w:cnfStyle w:val="001000000000" w:firstRow="0" w:lastRow="0" w:firstColumn="1" w:lastColumn="0" w:oddVBand="0" w:evenVBand="0" w:oddHBand="0" w:evenHBand="0" w:firstRowFirstColumn="0" w:firstRowLastColumn="0" w:lastRowFirstColumn="0" w:lastRowLastColumn="0"/>
            <w:tcW w:w="0" w:type="auto"/>
            <w:hideMark/>
          </w:tcPr>
          <w:p w14:paraId="2D09E7DC" w14:textId="77777777" w:rsidR="00981B3C" w:rsidRPr="00981B3C" w:rsidRDefault="00981B3C" w:rsidP="00981B3C">
            <w:r w:rsidRPr="00981B3C">
              <w:t>Rapport interne HSSE</w:t>
            </w:r>
          </w:p>
        </w:tc>
        <w:tc>
          <w:tcPr>
            <w:tcW w:w="0" w:type="auto"/>
            <w:hideMark/>
          </w:tcPr>
          <w:p w14:paraId="7010A7C7" w14:textId="77777777" w:rsidR="00981B3C" w:rsidRPr="00981B3C" w:rsidRDefault="00981B3C" w:rsidP="00981B3C">
            <w:pPr>
              <w:cnfStyle w:val="000000000000" w:firstRow="0" w:lastRow="0" w:firstColumn="0" w:lastColumn="0" w:oddVBand="0" w:evenVBand="0" w:oddHBand="0" w:evenHBand="0" w:firstRowFirstColumn="0" w:firstRowLastColumn="0" w:lastRowFirstColumn="0" w:lastRowLastColumn="0"/>
            </w:pPr>
            <w:r w:rsidRPr="00981B3C">
              <w:t>Inspections, incidents</w:t>
            </w:r>
          </w:p>
        </w:tc>
        <w:tc>
          <w:tcPr>
            <w:tcW w:w="0" w:type="auto"/>
            <w:hideMark/>
          </w:tcPr>
          <w:p w14:paraId="4A017AB9" w14:textId="77777777" w:rsidR="00981B3C" w:rsidRPr="00981B3C" w:rsidRDefault="00981B3C" w:rsidP="00981B3C">
            <w:pPr>
              <w:cnfStyle w:val="000000000000" w:firstRow="0" w:lastRow="0" w:firstColumn="0" w:lastColumn="0" w:oddVBand="0" w:evenVBand="0" w:oddHBand="0" w:evenHBand="0" w:firstRowFirstColumn="0" w:firstRowLastColumn="0" w:lastRowFirstColumn="0" w:lastRowLastColumn="0"/>
            </w:pPr>
            <w:r w:rsidRPr="00981B3C">
              <w:t>Mensuelle</w:t>
            </w:r>
          </w:p>
        </w:tc>
        <w:tc>
          <w:tcPr>
            <w:tcW w:w="0" w:type="auto"/>
            <w:hideMark/>
          </w:tcPr>
          <w:p w14:paraId="35CDE7BF" w14:textId="77777777" w:rsidR="00981B3C" w:rsidRPr="00981B3C" w:rsidRDefault="00981B3C" w:rsidP="00981B3C">
            <w:pPr>
              <w:cnfStyle w:val="000000000000" w:firstRow="0" w:lastRow="0" w:firstColumn="0" w:lastColumn="0" w:oddVBand="0" w:evenVBand="0" w:oddHBand="0" w:evenHBand="0" w:firstRowFirstColumn="0" w:firstRowLastColumn="0" w:lastRowFirstColumn="0" w:lastRowLastColumn="0"/>
            </w:pPr>
            <w:r w:rsidRPr="00981B3C">
              <w:t>EPC</w:t>
            </w:r>
          </w:p>
        </w:tc>
        <w:tc>
          <w:tcPr>
            <w:tcW w:w="0" w:type="auto"/>
            <w:hideMark/>
          </w:tcPr>
          <w:p w14:paraId="37404A60" w14:textId="77777777" w:rsidR="00981B3C" w:rsidRPr="00981B3C" w:rsidRDefault="00981B3C" w:rsidP="00981B3C">
            <w:pPr>
              <w:cnfStyle w:val="000000000000" w:firstRow="0" w:lastRow="0" w:firstColumn="0" w:lastColumn="0" w:oddVBand="0" w:evenVBand="0" w:oddHBand="0" w:evenHBand="0" w:firstRowFirstColumn="0" w:firstRowLastColumn="0" w:lastRowFirstColumn="0" w:lastRowLastColumn="0"/>
            </w:pPr>
            <w:r w:rsidRPr="00981B3C">
              <w:t>ONDA</w:t>
            </w:r>
          </w:p>
        </w:tc>
      </w:tr>
      <w:tr w:rsidR="00981B3C" w:rsidRPr="00981B3C" w14:paraId="000641B2" w14:textId="77777777" w:rsidTr="008F475B">
        <w:tc>
          <w:tcPr>
            <w:cnfStyle w:val="001000000000" w:firstRow="0" w:lastRow="0" w:firstColumn="1" w:lastColumn="0" w:oddVBand="0" w:evenVBand="0" w:oddHBand="0" w:evenHBand="0" w:firstRowFirstColumn="0" w:firstRowLastColumn="0" w:lastRowFirstColumn="0" w:lastRowLastColumn="0"/>
            <w:tcW w:w="0" w:type="auto"/>
            <w:hideMark/>
          </w:tcPr>
          <w:p w14:paraId="0DC35C23" w14:textId="77777777" w:rsidR="00981B3C" w:rsidRPr="00981B3C" w:rsidRDefault="00981B3C" w:rsidP="00981B3C">
            <w:r w:rsidRPr="00981B3C">
              <w:t>Rapport conformité PGES</w:t>
            </w:r>
          </w:p>
        </w:tc>
        <w:tc>
          <w:tcPr>
            <w:tcW w:w="0" w:type="auto"/>
            <w:hideMark/>
          </w:tcPr>
          <w:p w14:paraId="1AB26AC8" w14:textId="77777777" w:rsidR="00981B3C" w:rsidRPr="00981B3C" w:rsidRDefault="00981B3C" w:rsidP="00981B3C">
            <w:pPr>
              <w:cnfStyle w:val="000000000000" w:firstRow="0" w:lastRow="0" w:firstColumn="0" w:lastColumn="0" w:oddVBand="0" w:evenVBand="0" w:oddHBand="0" w:evenHBand="0" w:firstRowFirstColumn="0" w:firstRowLastColumn="0" w:lastRowFirstColumn="0" w:lastRowLastColumn="0"/>
            </w:pPr>
            <w:r w:rsidRPr="00981B3C">
              <w:t>Indicateurs, plaintes, performance</w:t>
            </w:r>
          </w:p>
        </w:tc>
        <w:tc>
          <w:tcPr>
            <w:tcW w:w="0" w:type="auto"/>
            <w:hideMark/>
          </w:tcPr>
          <w:p w14:paraId="49B739BF" w14:textId="77777777" w:rsidR="00981B3C" w:rsidRPr="00981B3C" w:rsidRDefault="00981B3C" w:rsidP="00981B3C">
            <w:pPr>
              <w:cnfStyle w:val="000000000000" w:firstRow="0" w:lastRow="0" w:firstColumn="0" w:lastColumn="0" w:oddVBand="0" w:evenVBand="0" w:oddHBand="0" w:evenHBand="0" w:firstRowFirstColumn="0" w:firstRowLastColumn="0" w:lastRowFirstColumn="0" w:lastRowLastColumn="0"/>
            </w:pPr>
            <w:r w:rsidRPr="00981B3C">
              <w:t>Trimestrielle</w:t>
            </w:r>
          </w:p>
        </w:tc>
        <w:tc>
          <w:tcPr>
            <w:tcW w:w="0" w:type="auto"/>
            <w:hideMark/>
          </w:tcPr>
          <w:p w14:paraId="152F2BFB" w14:textId="77777777" w:rsidR="00981B3C" w:rsidRPr="00981B3C" w:rsidRDefault="00981B3C" w:rsidP="00981B3C">
            <w:pPr>
              <w:cnfStyle w:val="000000000000" w:firstRow="0" w:lastRow="0" w:firstColumn="0" w:lastColumn="0" w:oddVBand="0" w:evenVBand="0" w:oddHBand="0" w:evenHBand="0" w:firstRowFirstColumn="0" w:firstRowLastColumn="0" w:lastRowFirstColumn="0" w:lastRowLastColumn="0"/>
            </w:pPr>
            <w:r w:rsidRPr="00981B3C">
              <w:t>ONDA</w:t>
            </w:r>
          </w:p>
        </w:tc>
        <w:tc>
          <w:tcPr>
            <w:tcW w:w="0" w:type="auto"/>
            <w:hideMark/>
          </w:tcPr>
          <w:p w14:paraId="4DB6FC9F" w14:textId="77777777" w:rsidR="00981B3C" w:rsidRPr="00981B3C" w:rsidRDefault="00981B3C" w:rsidP="00981B3C">
            <w:pPr>
              <w:cnfStyle w:val="000000000000" w:firstRow="0" w:lastRow="0" w:firstColumn="0" w:lastColumn="0" w:oddVBand="0" w:evenVBand="0" w:oddHBand="0" w:evenHBand="0" w:firstRowFirstColumn="0" w:firstRowLastColumn="0" w:lastRowFirstColumn="0" w:lastRowLastColumn="0"/>
            </w:pPr>
            <w:r w:rsidRPr="00981B3C">
              <w:t>BAD</w:t>
            </w:r>
          </w:p>
        </w:tc>
      </w:tr>
      <w:tr w:rsidR="00981B3C" w:rsidRPr="00981B3C" w14:paraId="18C7C157" w14:textId="77777777" w:rsidTr="008F475B">
        <w:tc>
          <w:tcPr>
            <w:cnfStyle w:val="001000000000" w:firstRow="0" w:lastRow="0" w:firstColumn="1" w:lastColumn="0" w:oddVBand="0" w:evenVBand="0" w:oddHBand="0" w:evenHBand="0" w:firstRowFirstColumn="0" w:firstRowLastColumn="0" w:lastRowFirstColumn="0" w:lastRowLastColumn="0"/>
            <w:tcW w:w="0" w:type="auto"/>
            <w:hideMark/>
          </w:tcPr>
          <w:p w14:paraId="0B130CA7" w14:textId="77777777" w:rsidR="00981B3C" w:rsidRPr="00981B3C" w:rsidRDefault="00981B3C" w:rsidP="00981B3C">
            <w:r w:rsidRPr="00981B3C">
              <w:t>Rapport annuel E&amp;S</w:t>
            </w:r>
          </w:p>
        </w:tc>
        <w:tc>
          <w:tcPr>
            <w:tcW w:w="0" w:type="auto"/>
            <w:hideMark/>
          </w:tcPr>
          <w:p w14:paraId="74D924FA" w14:textId="77777777" w:rsidR="00981B3C" w:rsidRPr="00981B3C" w:rsidRDefault="00981B3C" w:rsidP="00981B3C">
            <w:pPr>
              <w:cnfStyle w:val="000000000000" w:firstRow="0" w:lastRow="0" w:firstColumn="0" w:lastColumn="0" w:oddVBand="0" w:evenVBand="0" w:oddHBand="0" w:evenHBand="0" w:firstRowFirstColumn="0" w:firstRowLastColumn="0" w:lastRowFirstColumn="0" w:lastRowLastColumn="0"/>
            </w:pPr>
            <w:r w:rsidRPr="00981B3C">
              <w:t>Évaluation globale, audits</w:t>
            </w:r>
          </w:p>
        </w:tc>
        <w:tc>
          <w:tcPr>
            <w:tcW w:w="0" w:type="auto"/>
            <w:hideMark/>
          </w:tcPr>
          <w:p w14:paraId="496C8F2A" w14:textId="77777777" w:rsidR="00981B3C" w:rsidRPr="00981B3C" w:rsidRDefault="00981B3C" w:rsidP="00981B3C">
            <w:pPr>
              <w:cnfStyle w:val="000000000000" w:firstRow="0" w:lastRow="0" w:firstColumn="0" w:lastColumn="0" w:oddVBand="0" w:evenVBand="0" w:oddHBand="0" w:evenHBand="0" w:firstRowFirstColumn="0" w:firstRowLastColumn="0" w:lastRowFirstColumn="0" w:lastRowLastColumn="0"/>
            </w:pPr>
            <w:r w:rsidRPr="00981B3C">
              <w:t>Annuelle</w:t>
            </w:r>
          </w:p>
        </w:tc>
        <w:tc>
          <w:tcPr>
            <w:tcW w:w="0" w:type="auto"/>
            <w:hideMark/>
          </w:tcPr>
          <w:p w14:paraId="64BD07C3" w14:textId="77777777" w:rsidR="00981B3C" w:rsidRPr="00981B3C" w:rsidRDefault="00981B3C" w:rsidP="00981B3C">
            <w:pPr>
              <w:cnfStyle w:val="000000000000" w:firstRow="0" w:lastRow="0" w:firstColumn="0" w:lastColumn="0" w:oddVBand="0" w:evenVBand="0" w:oddHBand="0" w:evenHBand="0" w:firstRowFirstColumn="0" w:firstRowLastColumn="0" w:lastRowFirstColumn="0" w:lastRowLastColumn="0"/>
            </w:pPr>
            <w:r w:rsidRPr="00981B3C">
              <w:t>ONDA</w:t>
            </w:r>
          </w:p>
        </w:tc>
        <w:tc>
          <w:tcPr>
            <w:tcW w:w="0" w:type="auto"/>
            <w:hideMark/>
          </w:tcPr>
          <w:p w14:paraId="42DFA4F2" w14:textId="77777777" w:rsidR="00981B3C" w:rsidRPr="00981B3C" w:rsidRDefault="00981B3C" w:rsidP="00981B3C">
            <w:pPr>
              <w:cnfStyle w:val="000000000000" w:firstRow="0" w:lastRow="0" w:firstColumn="0" w:lastColumn="0" w:oddVBand="0" w:evenVBand="0" w:oddHBand="0" w:evenHBand="0" w:firstRowFirstColumn="0" w:firstRowLastColumn="0" w:lastRowFirstColumn="0" w:lastRowLastColumn="0"/>
            </w:pPr>
            <w:r w:rsidRPr="00981B3C">
              <w:t>BAD</w:t>
            </w:r>
          </w:p>
        </w:tc>
      </w:tr>
      <w:tr w:rsidR="00981B3C" w:rsidRPr="00981B3C" w14:paraId="7DE15438" w14:textId="77777777" w:rsidTr="008F475B">
        <w:tc>
          <w:tcPr>
            <w:cnfStyle w:val="001000000000" w:firstRow="0" w:lastRow="0" w:firstColumn="1" w:lastColumn="0" w:oddVBand="0" w:evenVBand="0" w:oddHBand="0" w:evenHBand="0" w:firstRowFirstColumn="0" w:firstRowLastColumn="0" w:lastRowFirstColumn="0" w:lastRowLastColumn="0"/>
            <w:tcW w:w="0" w:type="auto"/>
            <w:hideMark/>
          </w:tcPr>
          <w:p w14:paraId="4250EFE3" w14:textId="77777777" w:rsidR="00981B3C" w:rsidRPr="00981B3C" w:rsidRDefault="00981B3C" w:rsidP="00981B3C">
            <w:r w:rsidRPr="00981B3C">
              <w:t>Rapport incident majeur</w:t>
            </w:r>
          </w:p>
        </w:tc>
        <w:tc>
          <w:tcPr>
            <w:tcW w:w="0" w:type="auto"/>
            <w:hideMark/>
          </w:tcPr>
          <w:p w14:paraId="360FA3AB" w14:textId="77777777" w:rsidR="00981B3C" w:rsidRPr="00981B3C" w:rsidRDefault="00981B3C" w:rsidP="00981B3C">
            <w:pPr>
              <w:cnfStyle w:val="000000000000" w:firstRow="0" w:lastRow="0" w:firstColumn="0" w:lastColumn="0" w:oddVBand="0" w:evenVBand="0" w:oddHBand="0" w:evenHBand="0" w:firstRowFirstColumn="0" w:firstRowLastColumn="0" w:lastRowFirstColumn="0" w:lastRowLastColumn="0"/>
            </w:pPr>
            <w:r w:rsidRPr="00981B3C">
              <w:t>Notification 48 h</w:t>
            </w:r>
          </w:p>
        </w:tc>
        <w:tc>
          <w:tcPr>
            <w:tcW w:w="0" w:type="auto"/>
            <w:hideMark/>
          </w:tcPr>
          <w:p w14:paraId="1106A68C" w14:textId="77777777" w:rsidR="00981B3C" w:rsidRPr="00981B3C" w:rsidRDefault="00981B3C" w:rsidP="00981B3C">
            <w:pPr>
              <w:cnfStyle w:val="000000000000" w:firstRow="0" w:lastRow="0" w:firstColumn="0" w:lastColumn="0" w:oddVBand="0" w:evenVBand="0" w:oddHBand="0" w:evenHBand="0" w:firstRowFirstColumn="0" w:firstRowLastColumn="0" w:lastRowFirstColumn="0" w:lastRowLastColumn="0"/>
            </w:pPr>
            <w:r w:rsidRPr="00981B3C">
              <w:t>Ad hoc</w:t>
            </w:r>
          </w:p>
        </w:tc>
        <w:tc>
          <w:tcPr>
            <w:tcW w:w="0" w:type="auto"/>
            <w:hideMark/>
          </w:tcPr>
          <w:p w14:paraId="47301104" w14:textId="77777777" w:rsidR="00981B3C" w:rsidRPr="00981B3C" w:rsidRDefault="00981B3C" w:rsidP="00981B3C">
            <w:pPr>
              <w:cnfStyle w:val="000000000000" w:firstRow="0" w:lastRow="0" w:firstColumn="0" w:lastColumn="0" w:oddVBand="0" w:evenVBand="0" w:oddHBand="0" w:evenHBand="0" w:firstRowFirstColumn="0" w:firstRowLastColumn="0" w:lastRowFirstColumn="0" w:lastRowLastColumn="0"/>
            </w:pPr>
            <w:r w:rsidRPr="00981B3C">
              <w:t>EPC / ONDA</w:t>
            </w:r>
          </w:p>
        </w:tc>
        <w:tc>
          <w:tcPr>
            <w:tcW w:w="0" w:type="auto"/>
            <w:hideMark/>
          </w:tcPr>
          <w:p w14:paraId="1A099D39" w14:textId="77777777" w:rsidR="00981B3C" w:rsidRPr="00981B3C" w:rsidRDefault="00981B3C" w:rsidP="00981B3C">
            <w:pPr>
              <w:cnfStyle w:val="000000000000" w:firstRow="0" w:lastRow="0" w:firstColumn="0" w:lastColumn="0" w:oddVBand="0" w:evenVBand="0" w:oddHBand="0" w:evenHBand="0" w:firstRowFirstColumn="0" w:firstRowLastColumn="0" w:lastRowFirstColumn="0" w:lastRowLastColumn="0"/>
            </w:pPr>
            <w:r w:rsidRPr="00981B3C">
              <w:t>BAD</w:t>
            </w:r>
          </w:p>
        </w:tc>
      </w:tr>
    </w:tbl>
    <w:p w14:paraId="4868D13E" w14:textId="77777777" w:rsidR="00981B3C" w:rsidRDefault="00981B3C" w:rsidP="008F475B">
      <w:pPr>
        <w:pStyle w:val="Title4"/>
      </w:pPr>
      <w:r w:rsidRPr="00981B3C">
        <w:t>Surveillance environnementale et sociale</w:t>
      </w:r>
    </w:p>
    <w:p w14:paraId="3FA1F349" w14:textId="6751F92A" w:rsidR="008F475B" w:rsidRPr="00981B3C" w:rsidRDefault="008F475B" w:rsidP="008F475B">
      <w:pPr>
        <w:pStyle w:val="Lgende"/>
      </w:pPr>
      <w:bookmarkStart w:id="57" w:name="_Toc213404331"/>
      <w:r>
        <w:t xml:space="preserve">Tableau </w:t>
      </w:r>
      <w:r>
        <w:fldChar w:fldCharType="begin"/>
      </w:r>
      <w:r>
        <w:instrText xml:space="preserve"> SEQ Tableau \* ARABIC </w:instrText>
      </w:r>
      <w:r>
        <w:fldChar w:fldCharType="separate"/>
      </w:r>
      <w:r w:rsidR="00274E71">
        <w:rPr>
          <w:noProof/>
        </w:rPr>
        <w:t>8</w:t>
      </w:r>
      <w:r>
        <w:fldChar w:fldCharType="end"/>
      </w:r>
      <w:r>
        <w:rPr>
          <w:lang w:val="fr-FR"/>
        </w:rPr>
        <w:t xml:space="preserve"> : </w:t>
      </w:r>
      <w:r w:rsidRPr="006C3FF7">
        <w:rPr>
          <w:lang w:val="fr-FR"/>
        </w:rPr>
        <w:t>Surveillance environnementale et sociale</w:t>
      </w:r>
      <w:bookmarkEnd w:id="57"/>
    </w:p>
    <w:tbl>
      <w:tblPr>
        <w:tblStyle w:val="TableauGrille1Clair-Accentuation111"/>
        <w:tblW w:w="0" w:type="auto"/>
        <w:tblLook w:val="04A0" w:firstRow="1" w:lastRow="0" w:firstColumn="1" w:lastColumn="0" w:noHBand="0" w:noVBand="1"/>
      </w:tblPr>
      <w:tblGrid>
        <w:gridCol w:w="2238"/>
        <w:gridCol w:w="1815"/>
        <w:gridCol w:w="2268"/>
        <w:gridCol w:w="2741"/>
      </w:tblGrid>
      <w:tr w:rsidR="00981B3C" w:rsidRPr="00981B3C" w14:paraId="74BB9AA4" w14:textId="77777777" w:rsidTr="008F475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78301CC0" w14:textId="77777777" w:rsidR="00981B3C" w:rsidRPr="00981B3C" w:rsidRDefault="00981B3C" w:rsidP="00981B3C">
            <w:r w:rsidRPr="00981B3C">
              <w:t>Type</w:t>
            </w:r>
          </w:p>
        </w:tc>
        <w:tc>
          <w:tcPr>
            <w:tcW w:w="0" w:type="auto"/>
            <w:hideMark/>
          </w:tcPr>
          <w:p w14:paraId="68CBDACC" w14:textId="77777777" w:rsidR="00981B3C" w:rsidRPr="00981B3C" w:rsidRDefault="00981B3C" w:rsidP="00981B3C">
            <w:pPr>
              <w:cnfStyle w:val="100000000000" w:firstRow="1" w:lastRow="0" w:firstColumn="0" w:lastColumn="0" w:oddVBand="0" w:evenVBand="0" w:oddHBand="0" w:evenHBand="0" w:firstRowFirstColumn="0" w:firstRowLastColumn="0" w:lastRowFirstColumn="0" w:lastRowLastColumn="0"/>
            </w:pPr>
            <w:r w:rsidRPr="00981B3C">
              <w:t>Responsable principal</w:t>
            </w:r>
          </w:p>
        </w:tc>
        <w:tc>
          <w:tcPr>
            <w:tcW w:w="0" w:type="auto"/>
            <w:hideMark/>
          </w:tcPr>
          <w:p w14:paraId="6F95B76C" w14:textId="77777777" w:rsidR="00981B3C" w:rsidRPr="00981B3C" w:rsidRDefault="00981B3C" w:rsidP="00981B3C">
            <w:pPr>
              <w:cnfStyle w:val="100000000000" w:firstRow="1" w:lastRow="0" w:firstColumn="0" w:lastColumn="0" w:oddVBand="0" w:evenVBand="0" w:oddHBand="0" w:evenHBand="0" w:firstRowFirstColumn="0" w:firstRowLastColumn="0" w:lastRowFirstColumn="0" w:lastRowLastColumn="0"/>
            </w:pPr>
            <w:r w:rsidRPr="00981B3C">
              <w:t>Fréquence / Étendue</w:t>
            </w:r>
          </w:p>
        </w:tc>
        <w:tc>
          <w:tcPr>
            <w:tcW w:w="0" w:type="auto"/>
            <w:hideMark/>
          </w:tcPr>
          <w:p w14:paraId="5DAA98FA" w14:textId="77777777" w:rsidR="00981B3C" w:rsidRPr="00981B3C" w:rsidRDefault="00981B3C" w:rsidP="00981B3C">
            <w:pPr>
              <w:cnfStyle w:val="100000000000" w:firstRow="1" w:lastRow="0" w:firstColumn="0" w:lastColumn="0" w:oddVBand="0" w:evenVBand="0" w:oddHBand="0" w:evenHBand="0" w:firstRowFirstColumn="0" w:firstRowLastColumn="0" w:lastRowFirstColumn="0" w:lastRowLastColumn="0"/>
            </w:pPr>
            <w:r w:rsidRPr="00981B3C">
              <w:t>Objectif</w:t>
            </w:r>
          </w:p>
        </w:tc>
      </w:tr>
      <w:tr w:rsidR="00981B3C" w:rsidRPr="00981B3C" w14:paraId="59AAEF69" w14:textId="77777777" w:rsidTr="008F475B">
        <w:tc>
          <w:tcPr>
            <w:cnfStyle w:val="001000000000" w:firstRow="0" w:lastRow="0" w:firstColumn="1" w:lastColumn="0" w:oddVBand="0" w:evenVBand="0" w:oddHBand="0" w:evenHBand="0" w:firstRowFirstColumn="0" w:firstRowLastColumn="0" w:lastRowFirstColumn="0" w:lastRowLastColumn="0"/>
            <w:tcW w:w="0" w:type="auto"/>
            <w:hideMark/>
          </w:tcPr>
          <w:p w14:paraId="5C286E07" w14:textId="77777777" w:rsidR="00981B3C" w:rsidRPr="00981B3C" w:rsidRDefault="00981B3C" w:rsidP="00981B3C">
            <w:r w:rsidRPr="00981B3C">
              <w:t>Surveillance de terrain</w:t>
            </w:r>
          </w:p>
        </w:tc>
        <w:tc>
          <w:tcPr>
            <w:tcW w:w="0" w:type="auto"/>
            <w:hideMark/>
          </w:tcPr>
          <w:p w14:paraId="1611E47A" w14:textId="77777777" w:rsidR="00981B3C" w:rsidRPr="00981B3C" w:rsidRDefault="00981B3C" w:rsidP="00981B3C">
            <w:pPr>
              <w:cnfStyle w:val="000000000000" w:firstRow="0" w:lastRow="0" w:firstColumn="0" w:lastColumn="0" w:oddVBand="0" w:evenVBand="0" w:oddHBand="0" w:evenHBand="0" w:firstRowFirstColumn="0" w:firstRowLastColumn="0" w:lastRowFirstColumn="0" w:lastRowLastColumn="0"/>
            </w:pPr>
            <w:r w:rsidRPr="00981B3C">
              <w:t>EPC / Coord. E&amp;S</w:t>
            </w:r>
          </w:p>
        </w:tc>
        <w:tc>
          <w:tcPr>
            <w:tcW w:w="0" w:type="auto"/>
            <w:hideMark/>
          </w:tcPr>
          <w:p w14:paraId="4776DF4E" w14:textId="77777777" w:rsidR="00981B3C" w:rsidRPr="00981B3C" w:rsidRDefault="00981B3C" w:rsidP="00981B3C">
            <w:pPr>
              <w:cnfStyle w:val="000000000000" w:firstRow="0" w:lastRow="0" w:firstColumn="0" w:lastColumn="0" w:oddVBand="0" w:evenVBand="0" w:oddHBand="0" w:evenHBand="0" w:firstRowFirstColumn="0" w:firstRowLastColumn="0" w:lastRowFirstColumn="0" w:lastRowLastColumn="0"/>
            </w:pPr>
            <w:r w:rsidRPr="00981B3C">
              <w:t>Quotidienne à hebdomadaire</w:t>
            </w:r>
          </w:p>
        </w:tc>
        <w:tc>
          <w:tcPr>
            <w:tcW w:w="0" w:type="auto"/>
            <w:hideMark/>
          </w:tcPr>
          <w:p w14:paraId="36619C03" w14:textId="77777777" w:rsidR="00981B3C" w:rsidRPr="00981B3C" w:rsidRDefault="00981B3C" w:rsidP="00981B3C">
            <w:pPr>
              <w:cnfStyle w:val="000000000000" w:firstRow="0" w:lastRow="0" w:firstColumn="0" w:lastColumn="0" w:oddVBand="0" w:evenVBand="0" w:oddHBand="0" w:evenHBand="0" w:firstRowFirstColumn="0" w:firstRowLastColumn="0" w:lastRowFirstColumn="0" w:lastRowLastColumn="0"/>
            </w:pPr>
            <w:r w:rsidRPr="00981B3C">
              <w:t>Contrôle des pratiques chantier</w:t>
            </w:r>
          </w:p>
        </w:tc>
      </w:tr>
      <w:tr w:rsidR="00981B3C" w:rsidRPr="00981B3C" w14:paraId="247C0039" w14:textId="77777777" w:rsidTr="008F475B">
        <w:tc>
          <w:tcPr>
            <w:cnfStyle w:val="001000000000" w:firstRow="0" w:lastRow="0" w:firstColumn="1" w:lastColumn="0" w:oddVBand="0" w:evenVBand="0" w:oddHBand="0" w:evenHBand="0" w:firstRowFirstColumn="0" w:firstRowLastColumn="0" w:lastRowFirstColumn="0" w:lastRowLastColumn="0"/>
            <w:tcW w:w="0" w:type="auto"/>
            <w:hideMark/>
          </w:tcPr>
          <w:p w14:paraId="0DAF8490" w14:textId="77777777" w:rsidR="00981B3C" w:rsidRPr="00981B3C" w:rsidRDefault="00981B3C" w:rsidP="00981B3C">
            <w:r w:rsidRPr="00981B3C">
              <w:t>Surveillance documentaire</w:t>
            </w:r>
          </w:p>
        </w:tc>
        <w:tc>
          <w:tcPr>
            <w:tcW w:w="0" w:type="auto"/>
            <w:hideMark/>
          </w:tcPr>
          <w:p w14:paraId="217D2DA1" w14:textId="77777777" w:rsidR="00981B3C" w:rsidRPr="00981B3C" w:rsidRDefault="00981B3C" w:rsidP="00981B3C">
            <w:pPr>
              <w:cnfStyle w:val="000000000000" w:firstRow="0" w:lastRow="0" w:firstColumn="0" w:lastColumn="0" w:oddVBand="0" w:evenVBand="0" w:oddHBand="0" w:evenHBand="0" w:firstRowFirstColumn="0" w:firstRowLastColumn="0" w:lastRowFirstColumn="0" w:lastRowLastColumn="0"/>
            </w:pPr>
            <w:r w:rsidRPr="00981B3C">
              <w:t>EPC / ONDA</w:t>
            </w:r>
          </w:p>
        </w:tc>
        <w:tc>
          <w:tcPr>
            <w:tcW w:w="0" w:type="auto"/>
            <w:hideMark/>
          </w:tcPr>
          <w:p w14:paraId="5A4C3E7F" w14:textId="77777777" w:rsidR="00981B3C" w:rsidRPr="00981B3C" w:rsidRDefault="00981B3C" w:rsidP="00981B3C">
            <w:pPr>
              <w:cnfStyle w:val="000000000000" w:firstRow="0" w:lastRow="0" w:firstColumn="0" w:lastColumn="0" w:oddVBand="0" w:evenVBand="0" w:oddHBand="0" w:evenHBand="0" w:firstRowFirstColumn="0" w:firstRowLastColumn="0" w:lastRowFirstColumn="0" w:lastRowLastColumn="0"/>
            </w:pPr>
            <w:r w:rsidRPr="00981B3C">
              <w:t>Mensuelle</w:t>
            </w:r>
          </w:p>
        </w:tc>
        <w:tc>
          <w:tcPr>
            <w:tcW w:w="0" w:type="auto"/>
            <w:hideMark/>
          </w:tcPr>
          <w:p w14:paraId="3A067324" w14:textId="77777777" w:rsidR="00981B3C" w:rsidRPr="00981B3C" w:rsidRDefault="00981B3C" w:rsidP="00981B3C">
            <w:pPr>
              <w:cnfStyle w:val="000000000000" w:firstRow="0" w:lastRow="0" w:firstColumn="0" w:lastColumn="0" w:oddVBand="0" w:evenVBand="0" w:oddHBand="0" w:evenHBand="0" w:firstRowFirstColumn="0" w:firstRowLastColumn="0" w:lastRowFirstColumn="0" w:lastRowLastColumn="0"/>
            </w:pPr>
            <w:r w:rsidRPr="00981B3C">
              <w:t>Vérification registres et plaintes</w:t>
            </w:r>
          </w:p>
        </w:tc>
      </w:tr>
      <w:tr w:rsidR="00981B3C" w:rsidRPr="00981B3C" w14:paraId="6AE426AC" w14:textId="77777777" w:rsidTr="008F475B">
        <w:tc>
          <w:tcPr>
            <w:cnfStyle w:val="001000000000" w:firstRow="0" w:lastRow="0" w:firstColumn="1" w:lastColumn="0" w:oddVBand="0" w:evenVBand="0" w:oddHBand="0" w:evenHBand="0" w:firstRowFirstColumn="0" w:firstRowLastColumn="0" w:lastRowFirstColumn="0" w:lastRowLastColumn="0"/>
            <w:tcW w:w="0" w:type="auto"/>
            <w:hideMark/>
          </w:tcPr>
          <w:p w14:paraId="442163DF" w14:textId="77777777" w:rsidR="00981B3C" w:rsidRPr="00981B3C" w:rsidRDefault="00981B3C" w:rsidP="00981B3C">
            <w:r w:rsidRPr="00981B3C">
              <w:t>Surveillance institutionnelle</w:t>
            </w:r>
          </w:p>
        </w:tc>
        <w:tc>
          <w:tcPr>
            <w:tcW w:w="0" w:type="auto"/>
            <w:hideMark/>
          </w:tcPr>
          <w:p w14:paraId="500141B2" w14:textId="77777777" w:rsidR="00981B3C" w:rsidRPr="00981B3C" w:rsidRDefault="00981B3C" w:rsidP="00981B3C">
            <w:pPr>
              <w:cnfStyle w:val="000000000000" w:firstRow="0" w:lastRow="0" w:firstColumn="0" w:lastColumn="0" w:oddVBand="0" w:evenVBand="0" w:oddHBand="0" w:evenHBand="0" w:firstRowFirstColumn="0" w:firstRowLastColumn="0" w:lastRowFirstColumn="0" w:lastRowLastColumn="0"/>
            </w:pPr>
            <w:r w:rsidRPr="00981B3C">
              <w:t>ONDA / AMO</w:t>
            </w:r>
          </w:p>
        </w:tc>
        <w:tc>
          <w:tcPr>
            <w:tcW w:w="0" w:type="auto"/>
            <w:hideMark/>
          </w:tcPr>
          <w:p w14:paraId="5B4221C7" w14:textId="77777777" w:rsidR="00981B3C" w:rsidRPr="00981B3C" w:rsidRDefault="00981B3C" w:rsidP="00981B3C">
            <w:pPr>
              <w:cnfStyle w:val="000000000000" w:firstRow="0" w:lastRow="0" w:firstColumn="0" w:lastColumn="0" w:oddVBand="0" w:evenVBand="0" w:oddHBand="0" w:evenHBand="0" w:firstRowFirstColumn="0" w:firstRowLastColumn="0" w:lastRowFirstColumn="0" w:lastRowLastColumn="0"/>
            </w:pPr>
            <w:r w:rsidRPr="00981B3C">
              <w:t>Trimestrielle</w:t>
            </w:r>
          </w:p>
        </w:tc>
        <w:tc>
          <w:tcPr>
            <w:tcW w:w="0" w:type="auto"/>
            <w:hideMark/>
          </w:tcPr>
          <w:p w14:paraId="1316C083" w14:textId="77777777" w:rsidR="00981B3C" w:rsidRPr="00981B3C" w:rsidRDefault="00981B3C" w:rsidP="00981B3C">
            <w:pPr>
              <w:cnfStyle w:val="000000000000" w:firstRow="0" w:lastRow="0" w:firstColumn="0" w:lastColumn="0" w:oddVBand="0" w:evenVBand="0" w:oddHBand="0" w:evenHBand="0" w:firstRowFirstColumn="0" w:firstRowLastColumn="0" w:lastRowFirstColumn="0" w:lastRowLastColumn="0"/>
            </w:pPr>
            <w:r w:rsidRPr="00981B3C">
              <w:t>Validation des rapports</w:t>
            </w:r>
          </w:p>
        </w:tc>
      </w:tr>
      <w:tr w:rsidR="00981B3C" w:rsidRPr="00981B3C" w14:paraId="6DB5ACF5" w14:textId="77777777" w:rsidTr="008F475B">
        <w:tc>
          <w:tcPr>
            <w:cnfStyle w:val="001000000000" w:firstRow="0" w:lastRow="0" w:firstColumn="1" w:lastColumn="0" w:oddVBand="0" w:evenVBand="0" w:oddHBand="0" w:evenHBand="0" w:firstRowFirstColumn="0" w:firstRowLastColumn="0" w:lastRowFirstColumn="0" w:lastRowLastColumn="0"/>
            <w:tcW w:w="0" w:type="auto"/>
            <w:hideMark/>
          </w:tcPr>
          <w:p w14:paraId="4DAC8075" w14:textId="77777777" w:rsidR="00981B3C" w:rsidRPr="00981B3C" w:rsidRDefault="00981B3C" w:rsidP="00981B3C">
            <w:r w:rsidRPr="00981B3C">
              <w:t>Surveillance indépendante</w:t>
            </w:r>
          </w:p>
        </w:tc>
        <w:tc>
          <w:tcPr>
            <w:tcW w:w="0" w:type="auto"/>
            <w:hideMark/>
          </w:tcPr>
          <w:p w14:paraId="6DC8D89A" w14:textId="77777777" w:rsidR="00981B3C" w:rsidRPr="00981B3C" w:rsidRDefault="00981B3C" w:rsidP="00981B3C">
            <w:pPr>
              <w:cnfStyle w:val="000000000000" w:firstRow="0" w:lastRow="0" w:firstColumn="0" w:lastColumn="0" w:oddVBand="0" w:evenVBand="0" w:oddHBand="0" w:evenHBand="0" w:firstRowFirstColumn="0" w:firstRowLastColumn="0" w:lastRowFirstColumn="0" w:lastRowLastColumn="0"/>
            </w:pPr>
            <w:r w:rsidRPr="00981B3C">
              <w:t>Auditeur externe</w:t>
            </w:r>
          </w:p>
        </w:tc>
        <w:tc>
          <w:tcPr>
            <w:tcW w:w="0" w:type="auto"/>
            <w:hideMark/>
          </w:tcPr>
          <w:p w14:paraId="4D2A6C74" w14:textId="77777777" w:rsidR="00981B3C" w:rsidRPr="00981B3C" w:rsidRDefault="00981B3C" w:rsidP="00981B3C">
            <w:pPr>
              <w:cnfStyle w:val="000000000000" w:firstRow="0" w:lastRow="0" w:firstColumn="0" w:lastColumn="0" w:oddVBand="0" w:evenVBand="0" w:oddHBand="0" w:evenHBand="0" w:firstRowFirstColumn="0" w:firstRowLastColumn="0" w:lastRowFirstColumn="0" w:lastRowLastColumn="0"/>
            </w:pPr>
            <w:r w:rsidRPr="00981B3C">
              <w:t>Annuelle</w:t>
            </w:r>
          </w:p>
        </w:tc>
        <w:tc>
          <w:tcPr>
            <w:tcW w:w="0" w:type="auto"/>
            <w:hideMark/>
          </w:tcPr>
          <w:p w14:paraId="6F8F762E" w14:textId="77777777" w:rsidR="00981B3C" w:rsidRPr="00981B3C" w:rsidRDefault="00981B3C" w:rsidP="00981B3C">
            <w:pPr>
              <w:cnfStyle w:val="000000000000" w:firstRow="0" w:lastRow="0" w:firstColumn="0" w:lastColumn="0" w:oddVBand="0" w:evenVBand="0" w:oddHBand="0" w:evenHBand="0" w:firstRowFirstColumn="0" w:firstRowLastColumn="0" w:lastRowFirstColumn="0" w:lastRowLastColumn="0"/>
            </w:pPr>
            <w:r w:rsidRPr="00981B3C">
              <w:t>Évaluation conformité BAD et loi 12-03</w:t>
            </w:r>
          </w:p>
        </w:tc>
      </w:tr>
    </w:tbl>
    <w:p w14:paraId="6DB922B8" w14:textId="77777777" w:rsidR="00981B3C" w:rsidRDefault="00981B3C" w:rsidP="008F475B">
      <w:pPr>
        <w:pStyle w:val="Title4"/>
      </w:pPr>
      <w:r w:rsidRPr="00981B3C">
        <w:t>Audits E&amp;S</w:t>
      </w:r>
    </w:p>
    <w:p w14:paraId="571ABCDB" w14:textId="1A11FE13" w:rsidR="008F475B" w:rsidRPr="00981B3C" w:rsidRDefault="008F475B" w:rsidP="008F475B">
      <w:pPr>
        <w:pStyle w:val="Lgende"/>
      </w:pPr>
      <w:bookmarkStart w:id="58" w:name="_Toc213404332"/>
      <w:r>
        <w:t xml:space="preserve">Tableau </w:t>
      </w:r>
      <w:r>
        <w:fldChar w:fldCharType="begin"/>
      </w:r>
      <w:r>
        <w:instrText xml:space="preserve"> SEQ Tableau \* ARABIC </w:instrText>
      </w:r>
      <w:r>
        <w:fldChar w:fldCharType="separate"/>
      </w:r>
      <w:r w:rsidR="00274E71">
        <w:rPr>
          <w:noProof/>
        </w:rPr>
        <w:t>9</w:t>
      </w:r>
      <w:r>
        <w:fldChar w:fldCharType="end"/>
      </w:r>
      <w:r>
        <w:rPr>
          <w:lang w:val="fr-FR"/>
        </w:rPr>
        <w:t xml:space="preserve"> : </w:t>
      </w:r>
      <w:r w:rsidRPr="00141D74">
        <w:rPr>
          <w:lang w:val="fr-FR"/>
        </w:rPr>
        <w:t>Audits E&amp;S</w:t>
      </w:r>
      <w:bookmarkEnd w:id="58"/>
    </w:p>
    <w:tbl>
      <w:tblPr>
        <w:tblStyle w:val="TableauGrille1Clair-Accentuation111"/>
        <w:tblW w:w="9067" w:type="dxa"/>
        <w:tblLook w:val="04A0" w:firstRow="1" w:lastRow="0" w:firstColumn="1" w:lastColumn="0" w:noHBand="0" w:noVBand="1"/>
      </w:tblPr>
      <w:tblGrid>
        <w:gridCol w:w="1838"/>
        <w:gridCol w:w="2410"/>
        <w:gridCol w:w="1276"/>
        <w:gridCol w:w="3543"/>
      </w:tblGrid>
      <w:tr w:rsidR="00981B3C" w:rsidRPr="00981B3C" w14:paraId="76C35B43" w14:textId="77777777" w:rsidTr="008F475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hideMark/>
          </w:tcPr>
          <w:p w14:paraId="7275E673" w14:textId="77777777" w:rsidR="00981B3C" w:rsidRPr="00981B3C" w:rsidRDefault="00981B3C" w:rsidP="00981B3C">
            <w:r w:rsidRPr="00981B3C">
              <w:t>Type</w:t>
            </w:r>
          </w:p>
        </w:tc>
        <w:tc>
          <w:tcPr>
            <w:tcW w:w="2410" w:type="dxa"/>
            <w:hideMark/>
          </w:tcPr>
          <w:p w14:paraId="3016C27D" w14:textId="77777777" w:rsidR="00981B3C" w:rsidRPr="00981B3C" w:rsidRDefault="00981B3C" w:rsidP="00981B3C">
            <w:pPr>
              <w:cnfStyle w:val="100000000000" w:firstRow="1" w:lastRow="0" w:firstColumn="0" w:lastColumn="0" w:oddVBand="0" w:evenVBand="0" w:oddHBand="0" w:evenHBand="0" w:firstRowFirstColumn="0" w:firstRowLastColumn="0" w:lastRowFirstColumn="0" w:lastRowLastColumn="0"/>
            </w:pPr>
            <w:r w:rsidRPr="00981B3C">
              <w:t>Responsable</w:t>
            </w:r>
          </w:p>
        </w:tc>
        <w:tc>
          <w:tcPr>
            <w:tcW w:w="1276" w:type="dxa"/>
            <w:hideMark/>
          </w:tcPr>
          <w:p w14:paraId="743000DC" w14:textId="77777777" w:rsidR="00981B3C" w:rsidRPr="00981B3C" w:rsidRDefault="00981B3C" w:rsidP="00981B3C">
            <w:pPr>
              <w:cnfStyle w:val="100000000000" w:firstRow="1" w:lastRow="0" w:firstColumn="0" w:lastColumn="0" w:oddVBand="0" w:evenVBand="0" w:oddHBand="0" w:evenHBand="0" w:firstRowFirstColumn="0" w:firstRowLastColumn="0" w:lastRowFirstColumn="0" w:lastRowLastColumn="0"/>
            </w:pPr>
            <w:r w:rsidRPr="00981B3C">
              <w:t>Fréquence</w:t>
            </w:r>
          </w:p>
        </w:tc>
        <w:tc>
          <w:tcPr>
            <w:tcW w:w="3543" w:type="dxa"/>
            <w:hideMark/>
          </w:tcPr>
          <w:p w14:paraId="709DF4C0" w14:textId="77777777" w:rsidR="00981B3C" w:rsidRPr="00981B3C" w:rsidRDefault="00981B3C" w:rsidP="00981B3C">
            <w:pPr>
              <w:cnfStyle w:val="100000000000" w:firstRow="1" w:lastRow="0" w:firstColumn="0" w:lastColumn="0" w:oddVBand="0" w:evenVBand="0" w:oddHBand="0" w:evenHBand="0" w:firstRowFirstColumn="0" w:firstRowLastColumn="0" w:lastRowFirstColumn="0" w:lastRowLastColumn="0"/>
            </w:pPr>
            <w:r w:rsidRPr="00981B3C">
              <w:t>Objectif</w:t>
            </w:r>
          </w:p>
        </w:tc>
      </w:tr>
      <w:tr w:rsidR="00981B3C" w:rsidRPr="00981B3C" w14:paraId="658E29E1" w14:textId="77777777" w:rsidTr="008F475B">
        <w:tc>
          <w:tcPr>
            <w:cnfStyle w:val="001000000000" w:firstRow="0" w:lastRow="0" w:firstColumn="1" w:lastColumn="0" w:oddVBand="0" w:evenVBand="0" w:oddHBand="0" w:evenHBand="0" w:firstRowFirstColumn="0" w:firstRowLastColumn="0" w:lastRowFirstColumn="0" w:lastRowLastColumn="0"/>
            <w:tcW w:w="1838" w:type="dxa"/>
            <w:hideMark/>
          </w:tcPr>
          <w:p w14:paraId="3F9120BC" w14:textId="77777777" w:rsidR="00981B3C" w:rsidRPr="00981B3C" w:rsidRDefault="00981B3C" w:rsidP="00981B3C">
            <w:r w:rsidRPr="00981B3C">
              <w:t>Audit interne</w:t>
            </w:r>
          </w:p>
        </w:tc>
        <w:tc>
          <w:tcPr>
            <w:tcW w:w="2410" w:type="dxa"/>
            <w:hideMark/>
          </w:tcPr>
          <w:p w14:paraId="3DA1AED4" w14:textId="77777777" w:rsidR="00981B3C" w:rsidRPr="00981B3C" w:rsidRDefault="00981B3C" w:rsidP="00981B3C">
            <w:pPr>
              <w:cnfStyle w:val="000000000000" w:firstRow="0" w:lastRow="0" w:firstColumn="0" w:lastColumn="0" w:oddVBand="0" w:evenVBand="0" w:oddHBand="0" w:evenHBand="0" w:firstRowFirstColumn="0" w:firstRowLastColumn="0" w:lastRowFirstColumn="0" w:lastRowLastColumn="0"/>
            </w:pPr>
            <w:r w:rsidRPr="00981B3C">
              <w:t>ONDA</w:t>
            </w:r>
          </w:p>
        </w:tc>
        <w:tc>
          <w:tcPr>
            <w:tcW w:w="1276" w:type="dxa"/>
            <w:hideMark/>
          </w:tcPr>
          <w:p w14:paraId="7EBCCF62" w14:textId="77777777" w:rsidR="00981B3C" w:rsidRPr="00981B3C" w:rsidRDefault="00981B3C" w:rsidP="00981B3C">
            <w:pPr>
              <w:cnfStyle w:val="000000000000" w:firstRow="0" w:lastRow="0" w:firstColumn="0" w:lastColumn="0" w:oddVBand="0" w:evenVBand="0" w:oddHBand="0" w:evenHBand="0" w:firstRowFirstColumn="0" w:firstRowLastColumn="0" w:lastRowFirstColumn="0" w:lastRowLastColumn="0"/>
            </w:pPr>
            <w:r w:rsidRPr="00981B3C">
              <w:t>Trimestriel</w:t>
            </w:r>
          </w:p>
        </w:tc>
        <w:tc>
          <w:tcPr>
            <w:tcW w:w="3543" w:type="dxa"/>
            <w:hideMark/>
          </w:tcPr>
          <w:p w14:paraId="2C6CD0AC" w14:textId="77777777" w:rsidR="00981B3C" w:rsidRPr="00981B3C" w:rsidRDefault="00981B3C" w:rsidP="00981B3C">
            <w:pPr>
              <w:cnfStyle w:val="000000000000" w:firstRow="0" w:lastRow="0" w:firstColumn="0" w:lastColumn="0" w:oddVBand="0" w:evenVBand="0" w:oddHBand="0" w:evenHBand="0" w:firstRowFirstColumn="0" w:firstRowLastColumn="0" w:lastRowFirstColumn="0" w:lastRowLastColumn="0"/>
            </w:pPr>
            <w:r w:rsidRPr="00981B3C">
              <w:t>Vérification des registres et pratiques</w:t>
            </w:r>
          </w:p>
        </w:tc>
      </w:tr>
      <w:tr w:rsidR="00981B3C" w:rsidRPr="00981B3C" w14:paraId="668B2BE3" w14:textId="77777777" w:rsidTr="008F475B">
        <w:tc>
          <w:tcPr>
            <w:cnfStyle w:val="001000000000" w:firstRow="0" w:lastRow="0" w:firstColumn="1" w:lastColumn="0" w:oddVBand="0" w:evenVBand="0" w:oddHBand="0" w:evenHBand="0" w:firstRowFirstColumn="0" w:firstRowLastColumn="0" w:lastRowFirstColumn="0" w:lastRowLastColumn="0"/>
            <w:tcW w:w="1838" w:type="dxa"/>
            <w:hideMark/>
          </w:tcPr>
          <w:p w14:paraId="19E97CF3" w14:textId="77777777" w:rsidR="00981B3C" w:rsidRPr="00981B3C" w:rsidRDefault="00981B3C" w:rsidP="00981B3C">
            <w:r w:rsidRPr="00981B3C">
              <w:t>Audit externe</w:t>
            </w:r>
          </w:p>
        </w:tc>
        <w:tc>
          <w:tcPr>
            <w:tcW w:w="2410" w:type="dxa"/>
            <w:hideMark/>
          </w:tcPr>
          <w:p w14:paraId="2D6B3272" w14:textId="77777777" w:rsidR="00981B3C" w:rsidRPr="00981B3C" w:rsidRDefault="00981B3C" w:rsidP="00981B3C">
            <w:pPr>
              <w:cnfStyle w:val="000000000000" w:firstRow="0" w:lastRow="0" w:firstColumn="0" w:lastColumn="0" w:oddVBand="0" w:evenVBand="0" w:oddHBand="0" w:evenHBand="0" w:firstRowFirstColumn="0" w:firstRowLastColumn="0" w:lastRowFirstColumn="0" w:lastRowLastColumn="0"/>
            </w:pPr>
            <w:r w:rsidRPr="00981B3C">
              <w:t>Auditeur indépendant</w:t>
            </w:r>
          </w:p>
        </w:tc>
        <w:tc>
          <w:tcPr>
            <w:tcW w:w="1276" w:type="dxa"/>
            <w:hideMark/>
          </w:tcPr>
          <w:p w14:paraId="047B13CA" w14:textId="77777777" w:rsidR="00981B3C" w:rsidRPr="00981B3C" w:rsidRDefault="00981B3C" w:rsidP="00981B3C">
            <w:pPr>
              <w:cnfStyle w:val="000000000000" w:firstRow="0" w:lastRow="0" w:firstColumn="0" w:lastColumn="0" w:oddVBand="0" w:evenVBand="0" w:oddHBand="0" w:evenHBand="0" w:firstRowFirstColumn="0" w:firstRowLastColumn="0" w:lastRowFirstColumn="0" w:lastRowLastColumn="0"/>
            </w:pPr>
            <w:r w:rsidRPr="00981B3C">
              <w:t>Annuel</w:t>
            </w:r>
          </w:p>
        </w:tc>
        <w:tc>
          <w:tcPr>
            <w:tcW w:w="3543" w:type="dxa"/>
            <w:hideMark/>
          </w:tcPr>
          <w:p w14:paraId="00B2CDBB" w14:textId="36340BE1" w:rsidR="00981B3C" w:rsidRPr="00981B3C" w:rsidRDefault="00981B3C" w:rsidP="00981B3C">
            <w:pPr>
              <w:cnfStyle w:val="000000000000" w:firstRow="0" w:lastRow="0" w:firstColumn="0" w:lastColumn="0" w:oddVBand="0" w:evenVBand="0" w:oddHBand="0" w:evenHBand="0" w:firstRowFirstColumn="0" w:firstRowLastColumn="0" w:lastRowFirstColumn="0" w:lastRowLastColumn="0"/>
            </w:pPr>
            <w:r w:rsidRPr="00981B3C">
              <w:t>Conformité au SSI BAD</w:t>
            </w:r>
            <w:r w:rsidR="00E078E4">
              <w:t xml:space="preserve"> et performance E&amp;S</w:t>
            </w:r>
          </w:p>
        </w:tc>
      </w:tr>
    </w:tbl>
    <w:p w14:paraId="041FA313" w14:textId="745191E7" w:rsidR="00981B3C" w:rsidRDefault="00981B3C" w:rsidP="008F475B">
      <w:pPr>
        <w:pStyle w:val="Title3"/>
      </w:pPr>
      <w:bookmarkStart w:id="59" w:name="_Toc215131787"/>
      <w:r w:rsidRPr="00981B3C">
        <w:t>Programme de suivi environnemental et social</w:t>
      </w:r>
      <w:bookmarkEnd w:id="59"/>
    </w:p>
    <w:p w14:paraId="4271DBB0" w14:textId="77777777" w:rsidR="00766AF5" w:rsidRPr="00E20061" w:rsidRDefault="00766AF5" w:rsidP="00766AF5">
      <w:pPr>
        <w:rPr>
          <w:lang w:eastAsia="zh-CN"/>
        </w:rPr>
      </w:pPr>
      <w:r w:rsidRPr="00E20061">
        <w:rPr>
          <w:lang w:eastAsia="zh-CN"/>
        </w:rPr>
        <w:t>Le suivi environnemental et social vise à s’assurer que les mesures prévues dans le PGES et détaillées dans le chapitre 7.3 de l’EIES sont effectivement mises en œuvre et demeurent efficaces dans le temps.</w:t>
      </w:r>
      <w:r>
        <w:rPr>
          <w:lang w:eastAsia="zh-CN"/>
        </w:rPr>
        <w:t xml:space="preserve"> </w:t>
      </w:r>
      <w:r w:rsidRPr="00E20061">
        <w:rPr>
          <w:lang w:eastAsia="zh-CN"/>
        </w:rPr>
        <w:t>Il comprend :</w:t>
      </w:r>
    </w:p>
    <w:p w14:paraId="2505B958" w14:textId="77777777" w:rsidR="00766AF5" w:rsidRPr="00E20061" w:rsidRDefault="00766AF5" w:rsidP="0001633E">
      <w:pPr>
        <w:numPr>
          <w:ilvl w:val="0"/>
          <w:numId w:val="143"/>
        </w:numPr>
        <w:rPr>
          <w:lang w:eastAsia="zh-CN"/>
        </w:rPr>
      </w:pPr>
      <w:r w:rsidRPr="00E20061">
        <w:rPr>
          <w:lang w:eastAsia="zh-CN"/>
        </w:rPr>
        <w:t xml:space="preserve">Le </w:t>
      </w:r>
      <w:r w:rsidRPr="004637C7">
        <w:rPr>
          <w:lang w:eastAsia="zh-CN"/>
        </w:rPr>
        <w:t>suivi de conformité</w:t>
      </w:r>
      <w:r w:rsidRPr="00E20061">
        <w:rPr>
          <w:lang w:eastAsia="zh-CN"/>
        </w:rPr>
        <w:t>, vérifiant la mise en œuvre des mesures d’atténuation et de gestion ;</w:t>
      </w:r>
    </w:p>
    <w:p w14:paraId="67A4269B" w14:textId="77777777" w:rsidR="00766AF5" w:rsidRPr="00E20061" w:rsidRDefault="00766AF5" w:rsidP="0001633E">
      <w:pPr>
        <w:numPr>
          <w:ilvl w:val="0"/>
          <w:numId w:val="143"/>
        </w:numPr>
        <w:rPr>
          <w:lang w:eastAsia="zh-CN"/>
        </w:rPr>
      </w:pPr>
      <w:r w:rsidRPr="00E20061">
        <w:rPr>
          <w:lang w:eastAsia="zh-CN"/>
        </w:rPr>
        <w:lastRenderedPageBreak/>
        <w:t xml:space="preserve">Le </w:t>
      </w:r>
      <w:r w:rsidRPr="004637C7">
        <w:rPr>
          <w:lang w:eastAsia="zh-CN"/>
        </w:rPr>
        <w:t>suivi de performance</w:t>
      </w:r>
      <w:r w:rsidRPr="00E20061">
        <w:rPr>
          <w:lang w:eastAsia="zh-CN"/>
        </w:rPr>
        <w:t>, évaluant l’efficacité de ces mesures à réduire les impacts ;</w:t>
      </w:r>
    </w:p>
    <w:p w14:paraId="1F69E6A5" w14:textId="77777777" w:rsidR="00766AF5" w:rsidRPr="00E20061" w:rsidRDefault="00766AF5" w:rsidP="0001633E">
      <w:pPr>
        <w:numPr>
          <w:ilvl w:val="0"/>
          <w:numId w:val="143"/>
        </w:numPr>
        <w:rPr>
          <w:lang w:eastAsia="zh-CN"/>
        </w:rPr>
      </w:pPr>
      <w:r w:rsidRPr="00E20061">
        <w:rPr>
          <w:lang w:eastAsia="zh-CN"/>
        </w:rPr>
        <w:t xml:space="preserve">Le </w:t>
      </w:r>
      <w:r w:rsidRPr="004637C7">
        <w:rPr>
          <w:lang w:eastAsia="zh-CN"/>
        </w:rPr>
        <w:t>suivi de qualité environnementale</w:t>
      </w:r>
      <w:r w:rsidRPr="00E20061">
        <w:rPr>
          <w:lang w:eastAsia="zh-CN"/>
        </w:rPr>
        <w:t>, mesurant l’évolution des paramètres physiques, biologiques et sociaux.</w:t>
      </w:r>
    </w:p>
    <w:p w14:paraId="0EEF5473" w14:textId="77777777" w:rsidR="00766AF5" w:rsidRDefault="00766AF5" w:rsidP="00766AF5">
      <w:pPr>
        <w:rPr>
          <w:lang w:eastAsia="zh-CN"/>
        </w:rPr>
        <w:sectPr w:rsidR="00766AF5" w:rsidSect="008637EF">
          <w:pgSz w:w="11906" w:h="16838"/>
          <w:pgMar w:top="1417" w:right="1417" w:bottom="1276" w:left="1417" w:header="680" w:footer="680" w:gutter="0"/>
          <w:cols w:space="708"/>
          <w:docGrid w:linePitch="360"/>
        </w:sectPr>
      </w:pPr>
      <w:r w:rsidRPr="00E20061">
        <w:rPr>
          <w:lang w:eastAsia="zh-CN"/>
        </w:rPr>
        <w:t xml:space="preserve">Les fréquences de mesure indiquées ci-dessous sont issues du programme de suivi validé dans l’EIES, tandis que le </w:t>
      </w:r>
      <w:r w:rsidRPr="004637C7">
        <w:rPr>
          <w:lang w:eastAsia="zh-CN"/>
        </w:rPr>
        <w:t>reporting</w:t>
      </w:r>
      <w:r w:rsidRPr="00E20061">
        <w:rPr>
          <w:lang w:eastAsia="zh-CN"/>
        </w:rPr>
        <w:t xml:space="preserve"> sera réalisé </w:t>
      </w:r>
      <w:r w:rsidRPr="004637C7">
        <w:rPr>
          <w:lang w:eastAsia="zh-CN"/>
        </w:rPr>
        <w:t>trimestriellement</w:t>
      </w:r>
      <w:r w:rsidRPr="00E20061">
        <w:rPr>
          <w:lang w:eastAsia="zh-CN"/>
        </w:rPr>
        <w:t xml:space="preserve"> conformément à la classification de risque modéré du projet (Catégorie 2).</w:t>
      </w:r>
    </w:p>
    <w:p w14:paraId="3CC215B8" w14:textId="7CC7FC25" w:rsidR="00766AF5" w:rsidRPr="00E20061" w:rsidRDefault="00766AF5" w:rsidP="00766AF5">
      <w:pPr>
        <w:rPr>
          <w:lang w:eastAsia="zh-CN"/>
        </w:rPr>
      </w:pPr>
    </w:p>
    <w:p w14:paraId="0CF03A5F" w14:textId="54D75429" w:rsidR="008F475B" w:rsidRDefault="00766AF5" w:rsidP="00766AF5">
      <w:pPr>
        <w:pStyle w:val="Lgende"/>
        <w:rPr>
          <w:noProof/>
          <w:lang w:val="fr-FR"/>
        </w:rPr>
      </w:pPr>
      <w:bookmarkStart w:id="60" w:name="_Toc213404333"/>
      <w:bookmarkStart w:id="61" w:name="_Hlk212195675"/>
      <w:r>
        <w:t xml:space="preserve">Tableau </w:t>
      </w:r>
      <w:r>
        <w:fldChar w:fldCharType="begin"/>
      </w:r>
      <w:r>
        <w:instrText xml:space="preserve"> SEQ Tableau \* ARABIC </w:instrText>
      </w:r>
      <w:r>
        <w:fldChar w:fldCharType="separate"/>
      </w:r>
      <w:r w:rsidR="00274E71">
        <w:rPr>
          <w:noProof/>
        </w:rPr>
        <w:t>10</w:t>
      </w:r>
      <w:r>
        <w:fldChar w:fldCharType="end"/>
      </w:r>
      <w:r>
        <w:rPr>
          <w:lang w:val="fr-FR"/>
        </w:rPr>
        <w:t xml:space="preserve"> : </w:t>
      </w:r>
      <w:r w:rsidRPr="003E2CA6">
        <w:rPr>
          <w:lang w:val="fr-FR"/>
        </w:rPr>
        <w:t>Programme de suivi environnemental et social - Phase de construction</w:t>
      </w:r>
      <w:bookmarkEnd w:id="60"/>
    </w:p>
    <w:tbl>
      <w:tblPr>
        <w:tblStyle w:val="TableauGrille1Clair-Accentuation111"/>
        <w:tblW w:w="0" w:type="auto"/>
        <w:tblLook w:val="04A0" w:firstRow="1" w:lastRow="0" w:firstColumn="1" w:lastColumn="0" w:noHBand="0" w:noVBand="1"/>
      </w:tblPr>
      <w:tblGrid>
        <w:gridCol w:w="1293"/>
        <w:gridCol w:w="2037"/>
        <w:gridCol w:w="1673"/>
        <w:gridCol w:w="1743"/>
        <w:gridCol w:w="1975"/>
        <w:gridCol w:w="2218"/>
        <w:gridCol w:w="1824"/>
        <w:gridCol w:w="1372"/>
      </w:tblGrid>
      <w:tr w:rsidR="00766AF5" w:rsidRPr="00F37F43" w14:paraId="411F21E9" w14:textId="77777777" w:rsidTr="005A7661">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0" w:type="auto"/>
            <w:vAlign w:val="center"/>
          </w:tcPr>
          <w:p w14:paraId="6D628AA8" w14:textId="77777777" w:rsidR="00766AF5" w:rsidRPr="004637C7" w:rsidRDefault="00766AF5" w:rsidP="005A7661">
            <w:pPr>
              <w:jc w:val="left"/>
            </w:pPr>
            <w:r w:rsidRPr="004637C7">
              <w:t xml:space="preserve">Aspect </w:t>
            </w:r>
          </w:p>
        </w:tc>
        <w:tc>
          <w:tcPr>
            <w:tcW w:w="0" w:type="auto"/>
            <w:vAlign w:val="center"/>
            <w:hideMark/>
          </w:tcPr>
          <w:p w14:paraId="786E3DFF" w14:textId="77777777" w:rsidR="00766AF5" w:rsidRPr="00F37F43" w:rsidRDefault="00766AF5" w:rsidP="005A7661">
            <w:pPr>
              <w:jc w:val="left"/>
              <w:cnfStyle w:val="100000000000" w:firstRow="1" w:lastRow="0" w:firstColumn="0" w:lastColumn="0" w:oddVBand="0" w:evenVBand="0" w:oddHBand="0" w:evenHBand="0" w:firstRowFirstColumn="0" w:firstRowLastColumn="0" w:lastRowFirstColumn="0" w:lastRowLastColumn="0"/>
            </w:pPr>
            <w:r w:rsidRPr="00F37F43">
              <w:t>Ce qu’il faut faire (Quel paramètre ?)</w:t>
            </w:r>
          </w:p>
        </w:tc>
        <w:tc>
          <w:tcPr>
            <w:tcW w:w="0" w:type="auto"/>
            <w:vAlign w:val="center"/>
            <w:hideMark/>
          </w:tcPr>
          <w:p w14:paraId="384D604A" w14:textId="77777777" w:rsidR="00766AF5" w:rsidRPr="00F37F43" w:rsidRDefault="00766AF5" w:rsidP="005A7661">
            <w:pPr>
              <w:jc w:val="left"/>
              <w:cnfStyle w:val="100000000000" w:firstRow="1" w:lastRow="0" w:firstColumn="0" w:lastColumn="0" w:oddVBand="0" w:evenVBand="0" w:oddHBand="0" w:evenHBand="0" w:firstRowFirstColumn="0" w:firstRowLastColumn="0" w:lastRowFirstColumn="0" w:lastRowLastColumn="0"/>
            </w:pPr>
            <w:r w:rsidRPr="00F37F43">
              <w:t>Où (Point de contrôle ?)</w:t>
            </w:r>
          </w:p>
        </w:tc>
        <w:tc>
          <w:tcPr>
            <w:tcW w:w="0" w:type="auto"/>
            <w:vAlign w:val="center"/>
            <w:hideMark/>
          </w:tcPr>
          <w:p w14:paraId="0B73CC14" w14:textId="77777777" w:rsidR="00766AF5" w:rsidRPr="00F37F43" w:rsidRDefault="00766AF5" w:rsidP="005A7661">
            <w:pPr>
              <w:jc w:val="left"/>
              <w:cnfStyle w:val="100000000000" w:firstRow="1" w:lastRow="0" w:firstColumn="0" w:lastColumn="0" w:oddVBand="0" w:evenVBand="0" w:oddHBand="0" w:evenHBand="0" w:firstRowFirstColumn="0" w:firstRowLastColumn="0" w:lastRowFirstColumn="0" w:lastRowLastColumn="0"/>
            </w:pPr>
            <w:r w:rsidRPr="00F37F43">
              <w:t>Comment (Méthode de suivi ?)</w:t>
            </w:r>
          </w:p>
        </w:tc>
        <w:tc>
          <w:tcPr>
            <w:tcW w:w="0" w:type="auto"/>
            <w:vAlign w:val="center"/>
            <w:hideMark/>
          </w:tcPr>
          <w:p w14:paraId="7468E2E5" w14:textId="77777777" w:rsidR="00766AF5" w:rsidRPr="00F37F43" w:rsidRDefault="00766AF5" w:rsidP="005A7661">
            <w:pPr>
              <w:jc w:val="left"/>
              <w:cnfStyle w:val="100000000000" w:firstRow="1" w:lastRow="0" w:firstColumn="0" w:lastColumn="0" w:oddVBand="0" w:evenVBand="0" w:oddHBand="0" w:evenHBand="0" w:firstRowFirstColumn="0" w:firstRowLastColumn="0" w:lastRowFirstColumn="0" w:lastRowLastColumn="0"/>
            </w:pPr>
            <w:r w:rsidRPr="00F37F43">
              <w:t>Quand (Fréquence ?)</w:t>
            </w:r>
          </w:p>
        </w:tc>
        <w:tc>
          <w:tcPr>
            <w:tcW w:w="0" w:type="auto"/>
            <w:vAlign w:val="center"/>
            <w:hideMark/>
          </w:tcPr>
          <w:p w14:paraId="76D55DE7" w14:textId="77777777" w:rsidR="00766AF5" w:rsidRPr="00F37F43" w:rsidRDefault="00766AF5" w:rsidP="005A7661">
            <w:pPr>
              <w:jc w:val="left"/>
              <w:cnfStyle w:val="100000000000" w:firstRow="1" w:lastRow="0" w:firstColumn="0" w:lastColumn="0" w:oddVBand="0" w:evenVBand="0" w:oddHBand="0" w:evenHBand="0" w:firstRowFirstColumn="0" w:firstRowLastColumn="0" w:lastRowFirstColumn="0" w:lastRowLastColumn="0"/>
            </w:pPr>
            <w:r w:rsidRPr="00F37F43">
              <w:t>Pourquoi (Objectif du suivi ?)</w:t>
            </w:r>
          </w:p>
        </w:tc>
        <w:tc>
          <w:tcPr>
            <w:tcW w:w="0" w:type="auto"/>
            <w:vAlign w:val="center"/>
            <w:hideMark/>
          </w:tcPr>
          <w:p w14:paraId="72806AB7" w14:textId="77777777" w:rsidR="00766AF5" w:rsidRPr="00F37F43" w:rsidRDefault="00766AF5" w:rsidP="005A7661">
            <w:pPr>
              <w:jc w:val="left"/>
              <w:cnfStyle w:val="100000000000" w:firstRow="1" w:lastRow="0" w:firstColumn="0" w:lastColumn="0" w:oddVBand="0" w:evenVBand="0" w:oddHBand="0" w:evenHBand="0" w:firstRowFirstColumn="0" w:firstRowLastColumn="0" w:lastRowFirstColumn="0" w:lastRowLastColumn="0"/>
            </w:pPr>
            <w:r w:rsidRPr="00F37F43">
              <w:t>Coût</w:t>
            </w:r>
          </w:p>
        </w:tc>
        <w:tc>
          <w:tcPr>
            <w:tcW w:w="0" w:type="auto"/>
            <w:vAlign w:val="center"/>
            <w:hideMark/>
          </w:tcPr>
          <w:p w14:paraId="438ADBCD" w14:textId="77777777" w:rsidR="00766AF5" w:rsidRPr="00F37F43" w:rsidRDefault="00766AF5" w:rsidP="005A7661">
            <w:pPr>
              <w:jc w:val="left"/>
              <w:cnfStyle w:val="100000000000" w:firstRow="1" w:lastRow="0" w:firstColumn="0" w:lastColumn="0" w:oddVBand="0" w:evenVBand="0" w:oddHBand="0" w:evenHBand="0" w:firstRowFirstColumn="0" w:firstRowLastColumn="0" w:lastRowFirstColumn="0" w:lastRowLastColumn="0"/>
            </w:pPr>
            <w:r w:rsidRPr="00F37F43">
              <w:t>Qui (Responsable ?)</w:t>
            </w:r>
          </w:p>
        </w:tc>
      </w:tr>
      <w:tr w:rsidR="00766AF5" w:rsidRPr="00712B57" w14:paraId="4F677C8A" w14:textId="77777777" w:rsidTr="005A7661">
        <w:tc>
          <w:tcPr>
            <w:cnfStyle w:val="001000000000" w:firstRow="0" w:lastRow="0" w:firstColumn="1" w:lastColumn="0" w:oddVBand="0" w:evenVBand="0" w:oddHBand="0" w:evenHBand="0" w:firstRowFirstColumn="0" w:firstRowLastColumn="0" w:lastRowFirstColumn="0" w:lastRowLastColumn="0"/>
            <w:tcW w:w="0" w:type="auto"/>
            <w:vAlign w:val="center"/>
          </w:tcPr>
          <w:p w14:paraId="6264CAB3" w14:textId="77777777" w:rsidR="00766AF5" w:rsidRPr="00E20061" w:rsidRDefault="00766AF5" w:rsidP="005A7661">
            <w:pPr>
              <w:jc w:val="left"/>
            </w:pPr>
            <w:r>
              <w:t>Air</w:t>
            </w:r>
          </w:p>
        </w:tc>
        <w:tc>
          <w:tcPr>
            <w:tcW w:w="0" w:type="auto"/>
            <w:vAlign w:val="center"/>
            <w:hideMark/>
          </w:tcPr>
          <w:p w14:paraId="4FC113D0" w14:textId="77777777" w:rsidR="00766AF5" w:rsidRPr="00E20061" w:rsidRDefault="00766AF5" w:rsidP="005A7661">
            <w:pPr>
              <w:jc w:val="left"/>
              <w:cnfStyle w:val="000000000000" w:firstRow="0" w:lastRow="0" w:firstColumn="0" w:lastColumn="0" w:oddVBand="0" w:evenVBand="0" w:oddHBand="0" w:evenHBand="0" w:firstRowFirstColumn="0" w:firstRowLastColumn="0" w:lastRowFirstColumn="0" w:lastRowLastColumn="0"/>
            </w:pPr>
            <w:r w:rsidRPr="00E20061">
              <w:t>Surveiller les niveaux de poussières et émissions des engins (PM10, PM2.5)</w:t>
            </w:r>
          </w:p>
        </w:tc>
        <w:tc>
          <w:tcPr>
            <w:tcW w:w="0" w:type="auto"/>
            <w:vAlign w:val="center"/>
            <w:hideMark/>
          </w:tcPr>
          <w:p w14:paraId="3D21E3C9" w14:textId="77777777" w:rsidR="00766AF5" w:rsidRPr="00E20061" w:rsidRDefault="00766AF5" w:rsidP="005A7661">
            <w:pPr>
              <w:jc w:val="left"/>
              <w:cnfStyle w:val="000000000000" w:firstRow="0" w:lastRow="0" w:firstColumn="0" w:lastColumn="0" w:oddVBand="0" w:evenVBand="0" w:oddHBand="0" w:evenHBand="0" w:firstRowFirstColumn="0" w:firstRowLastColumn="0" w:lastRowFirstColumn="0" w:lastRowLastColumn="0"/>
            </w:pPr>
            <w:r w:rsidRPr="00E20061">
              <w:t>Zones de terrassement, voies internes, stockage matériaux</w:t>
            </w:r>
          </w:p>
        </w:tc>
        <w:tc>
          <w:tcPr>
            <w:tcW w:w="0" w:type="auto"/>
            <w:vAlign w:val="center"/>
            <w:hideMark/>
          </w:tcPr>
          <w:p w14:paraId="582C6BF6" w14:textId="77777777" w:rsidR="00766AF5" w:rsidRPr="00E20061" w:rsidRDefault="00766AF5" w:rsidP="005A7661">
            <w:pPr>
              <w:jc w:val="left"/>
              <w:cnfStyle w:val="000000000000" w:firstRow="0" w:lastRow="0" w:firstColumn="0" w:lastColumn="0" w:oddVBand="0" w:evenVBand="0" w:oddHBand="0" w:evenHBand="0" w:firstRowFirstColumn="0" w:firstRowLastColumn="0" w:lastRowFirstColumn="0" w:lastRowLastColumn="0"/>
            </w:pPr>
            <w:r w:rsidRPr="00E20061">
              <w:t>Inspection visuelle et mesure ponctuelle avec capteur portable</w:t>
            </w:r>
          </w:p>
        </w:tc>
        <w:tc>
          <w:tcPr>
            <w:tcW w:w="0" w:type="auto"/>
            <w:vAlign w:val="center"/>
            <w:hideMark/>
          </w:tcPr>
          <w:p w14:paraId="3B36A352" w14:textId="77777777" w:rsidR="00766AF5" w:rsidRPr="00E20061" w:rsidRDefault="00766AF5" w:rsidP="005A7661">
            <w:pPr>
              <w:jc w:val="left"/>
              <w:cnfStyle w:val="000000000000" w:firstRow="0" w:lastRow="0" w:firstColumn="0" w:lastColumn="0" w:oddVBand="0" w:evenVBand="0" w:oddHBand="0" w:evenHBand="0" w:firstRowFirstColumn="0" w:firstRowLastColumn="0" w:lastRowFirstColumn="0" w:lastRowLastColumn="0"/>
            </w:pPr>
            <w:r w:rsidRPr="00E20061">
              <w:t>Hebdomadaire ou après réclamation</w:t>
            </w:r>
          </w:p>
        </w:tc>
        <w:tc>
          <w:tcPr>
            <w:tcW w:w="0" w:type="auto"/>
            <w:vAlign w:val="center"/>
            <w:hideMark/>
          </w:tcPr>
          <w:p w14:paraId="3A244A4B" w14:textId="77777777" w:rsidR="00766AF5" w:rsidRPr="00E20061" w:rsidRDefault="00766AF5" w:rsidP="005A7661">
            <w:pPr>
              <w:jc w:val="left"/>
              <w:cnfStyle w:val="000000000000" w:firstRow="0" w:lastRow="0" w:firstColumn="0" w:lastColumn="0" w:oddVBand="0" w:evenVBand="0" w:oddHBand="0" w:evenHBand="0" w:firstRowFirstColumn="0" w:firstRowLastColumn="0" w:lastRowFirstColumn="0" w:lastRowLastColumn="0"/>
            </w:pPr>
            <w:r w:rsidRPr="00E20061">
              <w:t>Vérifier l’efficacité des mesures anti-poussières et prévenir les nuisances locales</w:t>
            </w:r>
          </w:p>
        </w:tc>
        <w:tc>
          <w:tcPr>
            <w:tcW w:w="0" w:type="auto"/>
            <w:vAlign w:val="center"/>
            <w:hideMark/>
          </w:tcPr>
          <w:p w14:paraId="1D43005B" w14:textId="77777777" w:rsidR="00766AF5" w:rsidRPr="00E20061" w:rsidRDefault="00766AF5" w:rsidP="005A7661">
            <w:pPr>
              <w:jc w:val="left"/>
              <w:cnfStyle w:val="000000000000" w:firstRow="0" w:lastRow="0" w:firstColumn="0" w:lastColumn="0" w:oddVBand="0" w:evenVBand="0" w:oddHBand="0" w:evenHBand="0" w:firstRowFirstColumn="0" w:firstRowLastColumn="0" w:lastRowFirstColumn="0" w:lastRowLastColumn="0"/>
            </w:pPr>
            <w:r w:rsidRPr="00E20061">
              <w:t>Inclus dans contrat EPC</w:t>
            </w:r>
          </w:p>
        </w:tc>
        <w:tc>
          <w:tcPr>
            <w:tcW w:w="0" w:type="auto"/>
            <w:vAlign w:val="center"/>
            <w:hideMark/>
          </w:tcPr>
          <w:p w14:paraId="2E71661F" w14:textId="77777777" w:rsidR="00766AF5" w:rsidRPr="004637C7" w:rsidRDefault="00766AF5" w:rsidP="005A7661">
            <w:pPr>
              <w:jc w:val="left"/>
              <w:cnfStyle w:val="000000000000" w:firstRow="0" w:lastRow="0" w:firstColumn="0" w:lastColumn="0" w:oddVBand="0" w:evenVBand="0" w:oddHBand="0" w:evenHBand="0" w:firstRowFirstColumn="0" w:firstRowLastColumn="0" w:lastRowFirstColumn="0" w:lastRowLastColumn="0"/>
              <w:rPr>
                <w:lang w:val="en-US"/>
              </w:rPr>
            </w:pPr>
            <w:r w:rsidRPr="004637C7">
              <w:rPr>
                <w:lang w:val="en-US"/>
              </w:rPr>
              <w:t xml:space="preserve">EPC </w:t>
            </w:r>
          </w:p>
        </w:tc>
      </w:tr>
      <w:tr w:rsidR="00766AF5" w:rsidRPr="00712B57" w14:paraId="1222A7D4" w14:textId="77777777" w:rsidTr="005A7661">
        <w:tc>
          <w:tcPr>
            <w:cnfStyle w:val="001000000000" w:firstRow="0" w:lastRow="0" w:firstColumn="1" w:lastColumn="0" w:oddVBand="0" w:evenVBand="0" w:oddHBand="0" w:evenHBand="0" w:firstRowFirstColumn="0" w:firstRowLastColumn="0" w:lastRowFirstColumn="0" w:lastRowLastColumn="0"/>
            <w:tcW w:w="0" w:type="auto"/>
            <w:vAlign w:val="center"/>
          </w:tcPr>
          <w:p w14:paraId="5021ACB3" w14:textId="77777777" w:rsidR="00766AF5" w:rsidRPr="00E20061" w:rsidRDefault="00766AF5" w:rsidP="005A7661">
            <w:pPr>
              <w:jc w:val="left"/>
            </w:pPr>
            <w:r>
              <w:t>Bruit</w:t>
            </w:r>
          </w:p>
        </w:tc>
        <w:tc>
          <w:tcPr>
            <w:tcW w:w="0" w:type="auto"/>
            <w:vAlign w:val="center"/>
            <w:hideMark/>
          </w:tcPr>
          <w:p w14:paraId="36EB1E74" w14:textId="77777777" w:rsidR="00766AF5" w:rsidRPr="00E20061" w:rsidRDefault="00766AF5" w:rsidP="005A7661">
            <w:pPr>
              <w:jc w:val="left"/>
              <w:cnfStyle w:val="000000000000" w:firstRow="0" w:lastRow="0" w:firstColumn="0" w:lastColumn="0" w:oddVBand="0" w:evenVBand="0" w:oddHBand="0" w:evenHBand="0" w:firstRowFirstColumn="0" w:firstRowLastColumn="0" w:lastRowFirstColumn="0" w:lastRowLastColumn="0"/>
            </w:pPr>
            <w:r w:rsidRPr="00E20061">
              <w:t>Contrôler le niveau sonore et les vibrations</w:t>
            </w:r>
          </w:p>
        </w:tc>
        <w:tc>
          <w:tcPr>
            <w:tcW w:w="0" w:type="auto"/>
            <w:vAlign w:val="center"/>
            <w:hideMark/>
          </w:tcPr>
          <w:p w14:paraId="74FC104B" w14:textId="77777777" w:rsidR="00766AF5" w:rsidRPr="00E20061" w:rsidRDefault="00766AF5" w:rsidP="005A7661">
            <w:pPr>
              <w:jc w:val="left"/>
              <w:cnfStyle w:val="000000000000" w:firstRow="0" w:lastRow="0" w:firstColumn="0" w:lastColumn="0" w:oddVBand="0" w:evenVBand="0" w:oddHBand="0" w:evenHBand="0" w:firstRowFirstColumn="0" w:firstRowLastColumn="0" w:lastRowFirstColumn="0" w:lastRowLastColumn="0"/>
            </w:pPr>
            <w:r w:rsidRPr="00E20061">
              <w:t>Limites du chantier, zones sensibles (logements, bureaux ONDA)</w:t>
            </w:r>
          </w:p>
        </w:tc>
        <w:tc>
          <w:tcPr>
            <w:tcW w:w="0" w:type="auto"/>
            <w:vAlign w:val="center"/>
            <w:hideMark/>
          </w:tcPr>
          <w:p w14:paraId="050A0A61" w14:textId="77777777" w:rsidR="00766AF5" w:rsidRPr="00E20061" w:rsidRDefault="00766AF5" w:rsidP="005A7661">
            <w:pPr>
              <w:jc w:val="left"/>
              <w:cnfStyle w:val="000000000000" w:firstRow="0" w:lastRow="0" w:firstColumn="0" w:lastColumn="0" w:oddVBand="0" w:evenVBand="0" w:oddHBand="0" w:evenHBand="0" w:firstRowFirstColumn="0" w:firstRowLastColumn="0" w:lastRowFirstColumn="0" w:lastRowLastColumn="0"/>
            </w:pPr>
            <w:r w:rsidRPr="00E20061">
              <w:t>Mesures sonométriques (norme ISO 1996)</w:t>
            </w:r>
          </w:p>
        </w:tc>
        <w:tc>
          <w:tcPr>
            <w:tcW w:w="0" w:type="auto"/>
            <w:vAlign w:val="center"/>
            <w:hideMark/>
          </w:tcPr>
          <w:p w14:paraId="6D3CEBE6" w14:textId="77777777" w:rsidR="00766AF5" w:rsidRPr="00E20061" w:rsidRDefault="00766AF5" w:rsidP="005A7661">
            <w:pPr>
              <w:jc w:val="left"/>
              <w:cnfStyle w:val="000000000000" w:firstRow="0" w:lastRow="0" w:firstColumn="0" w:lastColumn="0" w:oddVBand="0" w:evenVBand="0" w:oddHBand="0" w:evenHBand="0" w:firstRowFirstColumn="0" w:firstRowLastColumn="0" w:lastRowFirstColumn="0" w:lastRowLastColumn="0"/>
            </w:pPr>
            <w:r w:rsidRPr="00E20061">
              <w:t>Mensuelle / lors des travaux intensifs</w:t>
            </w:r>
          </w:p>
        </w:tc>
        <w:tc>
          <w:tcPr>
            <w:tcW w:w="0" w:type="auto"/>
            <w:vAlign w:val="center"/>
            <w:hideMark/>
          </w:tcPr>
          <w:p w14:paraId="5532CD64" w14:textId="77777777" w:rsidR="00766AF5" w:rsidRPr="00E20061" w:rsidRDefault="00766AF5" w:rsidP="005A7661">
            <w:pPr>
              <w:jc w:val="left"/>
              <w:cnfStyle w:val="000000000000" w:firstRow="0" w:lastRow="0" w:firstColumn="0" w:lastColumn="0" w:oddVBand="0" w:evenVBand="0" w:oddHBand="0" w:evenHBand="0" w:firstRowFirstColumn="0" w:firstRowLastColumn="0" w:lastRowFirstColumn="0" w:lastRowLastColumn="0"/>
            </w:pPr>
            <w:r w:rsidRPr="00E20061">
              <w:t>S’assurer du respect des seuils réglementaires marocains</w:t>
            </w:r>
          </w:p>
        </w:tc>
        <w:tc>
          <w:tcPr>
            <w:tcW w:w="0" w:type="auto"/>
            <w:vAlign w:val="center"/>
            <w:hideMark/>
          </w:tcPr>
          <w:p w14:paraId="18FE5277" w14:textId="77777777" w:rsidR="00766AF5" w:rsidRPr="00E20061" w:rsidRDefault="00766AF5" w:rsidP="005A7661">
            <w:pPr>
              <w:jc w:val="left"/>
              <w:cnfStyle w:val="000000000000" w:firstRow="0" w:lastRow="0" w:firstColumn="0" w:lastColumn="0" w:oddVBand="0" w:evenVBand="0" w:oddHBand="0" w:evenHBand="0" w:firstRowFirstColumn="0" w:firstRowLastColumn="0" w:lastRowFirstColumn="0" w:lastRowLastColumn="0"/>
            </w:pPr>
            <w:r w:rsidRPr="00E20061">
              <w:t>Inclus dans contrat EPC</w:t>
            </w:r>
          </w:p>
        </w:tc>
        <w:tc>
          <w:tcPr>
            <w:tcW w:w="0" w:type="auto"/>
            <w:vAlign w:val="center"/>
            <w:hideMark/>
          </w:tcPr>
          <w:p w14:paraId="6FAE709A" w14:textId="77777777" w:rsidR="00766AF5" w:rsidRPr="004637C7" w:rsidRDefault="00766AF5" w:rsidP="005A7661">
            <w:pPr>
              <w:jc w:val="left"/>
              <w:cnfStyle w:val="000000000000" w:firstRow="0" w:lastRow="0" w:firstColumn="0" w:lastColumn="0" w:oddVBand="0" w:evenVBand="0" w:oddHBand="0" w:evenHBand="0" w:firstRowFirstColumn="0" w:firstRowLastColumn="0" w:lastRowFirstColumn="0" w:lastRowLastColumn="0"/>
              <w:rPr>
                <w:lang w:val="en-US"/>
              </w:rPr>
            </w:pPr>
            <w:r w:rsidRPr="004637C7">
              <w:rPr>
                <w:lang w:val="en-US"/>
              </w:rPr>
              <w:t xml:space="preserve">EPC </w:t>
            </w:r>
          </w:p>
        </w:tc>
      </w:tr>
      <w:tr w:rsidR="00766AF5" w:rsidRPr="00712B57" w14:paraId="4C260C0A" w14:textId="77777777" w:rsidTr="005A7661">
        <w:tc>
          <w:tcPr>
            <w:cnfStyle w:val="001000000000" w:firstRow="0" w:lastRow="0" w:firstColumn="1" w:lastColumn="0" w:oddVBand="0" w:evenVBand="0" w:oddHBand="0" w:evenHBand="0" w:firstRowFirstColumn="0" w:firstRowLastColumn="0" w:lastRowFirstColumn="0" w:lastRowLastColumn="0"/>
            <w:tcW w:w="0" w:type="auto"/>
            <w:vAlign w:val="center"/>
          </w:tcPr>
          <w:p w14:paraId="568D2870" w14:textId="77777777" w:rsidR="00766AF5" w:rsidRPr="00E20061" w:rsidRDefault="00766AF5" w:rsidP="005A7661">
            <w:pPr>
              <w:jc w:val="left"/>
            </w:pPr>
            <w:r>
              <w:t>Gestion des EU</w:t>
            </w:r>
          </w:p>
        </w:tc>
        <w:tc>
          <w:tcPr>
            <w:tcW w:w="0" w:type="auto"/>
            <w:vAlign w:val="center"/>
            <w:hideMark/>
          </w:tcPr>
          <w:p w14:paraId="005521EA" w14:textId="77777777" w:rsidR="00766AF5" w:rsidRPr="00E20061" w:rsidRDefault="00766AF5" w:rsidP="005A7661">
            <w:pPr>
              <w:jc w:val="left"/>
              <w:cnfStyle w:val="000000000000" w:firstRow="0" w:lastRow="0" w:firstColumn="0" w:lastColumn="0" w:oddVBand="0" w:evenVBand="0" w:oddHBand="0" w:evenHBand="0" w:firstRowFirstColumn="0" w:firstRowLastColumn="0" w:lastRowFirstColumn="0" w:lastRowLastColumn="0"/>
            </w:pPr>
            <w:r w:rsidRPr="00E20061">
              <w:t>Contrôler la gestion des eaux usées de chantier</w:t>
            </w:r>
          </w:p>
        </w:tc>
        <w:tc>
          <w:tcPr>
            <w:tcW w:w="0" w:type="auto"/>
            <w:vAlign w:val="center"/>
            <w:hideMark/>
          </w:tcPr>
          <w:p w14:paraId="5D02BD96" w14:textId="77777777" w:rsidR="00766AF5" w:rsidRPr="00E20061" w:rsidRDefault="00766AF5" w:rsidP="005A7661">
            <w:pPr>
              <w:jc w:val="left"/>
              <w:cnfStyle w:val="000000000000" w:firstRow="0" w:lastRow="0" w:firstColumn="0" w:lastColumn="0" w:oddVBand="0" w:evenVBand="0" w:oddHBand="0" w:evenHBand="0" w:firstRowFirstColumn="0" w:firstRowLastColumn="0" w:lastRowFirstColumn="0" w:lastRowLastColumn="0"/>
            </w:pPr>
            <w:r w:rsidRPr="00E20061">
              <w:t>Aires de vie, sanitaires, zones de lavage</w:t>
            </w:r>
          </w:p>
        </w:tc>
        <w:tc>
          <w:tcPr>
            <w:tcW w:w="0" w:type="auto"/>
            <w:vAlign w:val="center"/>
            <w:hideMark/>
          </w:tcPr>
          <w:p w14:paraId="4D300A72" w14:textId="77777777" w:rsidR="00766AF5" w:rsidRPr="00E20061" w:rsidRDefault="00766AF5" w:rsidP="005A7661">
            <w:pPr>
              <w:jc w:val="left"/>
              <w:cnfStyle w:val="000000000000" w:firstRow="0" w:lastRow="0" w:firstColumn="0" w:lastColumn="0" w:oddVBand="0" w:evenVBand="0" w:oddHBand="0" w:evenHBand="0" w:firstRowFirstColumn="0" w:firstRowLastColumn="0" w:lastRowFirstColumn="0" w:lastRowLastColumn="0"/>
            </w:pPr>
            <w:r w:rsidRPr="00E20061">
              <w:t>Vérification visuelle + registre de vidange</w:t>
            </w:r>
          </w:p>
        </w:tc>
        <w:tc>
          <w:tcPr>
            <w:tcW w:w="0" w:type="auto"/>
            <w:vAlign w:val="center"/>
            <w:hideMark/>
          </w:tcPr>
          <w:p w14:paraId="470D8F4E" w14:textId="77777777" w:rsidR="00766AF5" w:rsidRPr="00E20061" w:rsidRDefault="00766AF5" w:rsidP="005A7661">
            <w:pPr>
              <w:jc w:val="left"/>
              <w:cnfStyle w:val="000000000000" w:firstRow="0" w:lastRow="0" w:firstColumn="0" w:lastColumn="0" w:oddVBand="0" w:evenVBand="0" w:oddHBand="0" w:evenHBand="0" w:firstRowFirstColumn="0" w:firstRowLastColumn="0" w:lastRowFirstColumn="0" w:lastRowLastColumn="0"/>
            </w:pPr>
            <w:r w:rsidRPr="00E20061">
              <w:t>Hebdomadaire</w:t>
            </w:r>
          </w:p>
        </w:tc>
        <w:tc>
          <w:tcPr>
            <w:tcW w:w="0" w:type="auto"/>
            <w:vAlign w:val="center"/>
            <w:hideMark/>
          </w:tcPr>
          <w:p w14:paraId="6E3F7FA5" w14:textId="77777777" w:rsidR="00766AF5" w:rsidRPr="00E20061" w:rsidRDefault="00766AF5" w:rsidP="005A7661">
            <w:pPr>
              <w:jc w:val="left"/>
              <w:cnfStyle w:val="000000000000" w:firstRow="0" w:lastRow="0" w:firstColumn="0" w:lastColumn="0" w:oddVBand="0" w:evenVBand="0" w:oddHBand="0" w:evenHBand="0" w:firstRowFirstColumn="0" w:firstRowLastColumn="0" w:lastRowFirstColumn="0" w:lastRowLastColumn="0"/>
            </w:pPr>
            <w:r w:rsidRPr="00E20061">
              <w:t>Prévenir les pollutions du sol et des eaux</w:t>
            </w:r>
          </w:p>
        </w:tc>
        <w:tc>
          <w:tcPr>
            <w:tcW w:w="0" w:type="auto"/>
            <w:vAlign w:val="center"/>
            <w:hideMark/>
          </w:tcPr>
          <w:p w14:paraId="1510D4C1" w14:textId="77777777" w:rsidR="00766AF5" w:rsidRPr="00E20061" w:rsidRDefault="00766AF5" w:rsidP="005A7661">
            <w:pPr>
              <w:jc w:val="left"/>
              <w:cnfStyle w:val="000000000000" w:firstRow="0" w:lastRow="0" w:firstColumn="0" w:lastColumn="0" w:oddVBand="0" w:evenVBand="0" w:oddHBand="0" w:evenHBand="0" w:firstRowFirstColumn="0" w:firstRowLastColumn="0" w:lastRowFirstColumn="0" w:lastRowLastColumn="0"/>
            </w:pPr>
            <w:r w:rsidRPr="00E20061">
              <w:t>Inclus dans contrat EPC</w:t>
            </w:r>
          </w:p>
        </w:tc>
        <w:tc>
          <w:tcPr>
            <w:tcW w:w="0" w:type="auto"/>
            <w:vAlign w:val="center"/>
            <w:hideMark/>
          </w:tcPr>
          <w:p w14:paraId="41BEB4AC" w14:textId="77777777" w:rsidR="00766AF5" w:rsidRPr="004637C7" w:rsidRDefault="00766AF5" w:rsidP="005A7661">
            <w:pPr>
              <w:jc w:val="left"/>
              <w:cnfStyle w:val="000000000000" w:firstRow="0" w:lastRow="0" w:firstColumn="0" w:lastColumn="0" w:oddVBand="0" w:evenVBand="0" w:oddHBand="0" w:evenHBand="0" w:firstRowFirstColumn="0" w:firstRowLastColumn="0" w:lastRowFirstColumn="0" w:lastRowLastColumn="0"/>
              <w:rPr>
                <w:lang w:val="en-US"/>
              </w:rPr>
            </w:pPr>
            <w:r w:rsidRPr="004637C7">
              <w:rPr>
                <w:lang w:val="en-US"/>
              </w:rPr>
              <w:t xml:space="preserve">EPC </w:t>
            </w:r>
          </w:p>
        </w:tc>
      </w:tr>
      <w:tr w:rsidR="00766AF5" w:rsidRPr="00F37F43" w14:paraId="457FFE52" w14:textId="77777777" w:rsidTr="005A7661">
        <w:tc>
          <w:tcPr>
            <w:cnfStyle w:val="001000000000" w:firstRow="0" w:lastRow="0" w:firstColumn="1" w:lastColumn="0" w:oddVBand="0" w:evenVBand="0" w:oddHBand="0" w:evenHBand="0" w:firstRowFirstColumn="0" w:firstRowLastColumn="0" w:lastRowFirstColumn="0" w:lastRowLastColumn="0"/>
            <w:tcW w:w="0" w:type="auto"/>
            <w:vAlign w:val="center"/>
          </w:tcPr>
          <w:p w14:paraId="6AA8C880" w14:textId="77777777" w:rsidR="00766AF5" w:rsidRPr="00E20061" w:rsidRDefault="00766AF5" w:rsidP="005A7661">
            <w:pPr>
              <w:jc w:val="left"/>
            </w:pPr>
            <w:r>
              <w:t>Gestion des déchets</w:t>
            </w:r>
          </w:p>
        </w:tc>
        <w:tc>
          <w:tcPr>
            <w:tcW w:w="0" w:type="auto"/>
            <w:vAlign w:val="center"/>
            <w:hideMark/>
          </w:tcPr>
          <w:p w14:paraId="6820D3C7" w14:textId="77777777" w:rsidR="00766AF5" w:rsidRPr="00E20061" w:rsidRDefault="00766AF5" w:rsidP="005A7661">
            <w:pPr>
              <w:jc w:val="left"/>
              <w:cnfStyle w:val="000000000000" w:firstRow="0" w:lastRow="0" w:firstColumn="0" w:lastColumn="0" w:oddVBand="0" w:evenVBand="0" w:oddHBand="0" w:evenHBand="0" w:firstRowFirstColumn="0" w:firstRowLastColumn="0" w:lastRowFirstColumn="0" w:lastRowLastColumn="0"/>
            </w:pPr>
            <w:r w:rsidRPr="00E20061">
              <w:t>Suivre la gestion et l’élimination des déchets solides et dangereux</w:t>
            </w:r>
          </w:p>
        </w:tc>
        <w:tc>
          <w:tcPr>
            <w:tcW w:w="0" w:type="auto"/>
            <w:vAlign w:val="center"/>
            <w:hideMark/>
          </w:tcPr>
          <w:p w14:paraId="4E696E1B" w14:textId="77777777" w:rsidR="00766AF5" w:rsidRPr="00E20061" w:rsidRDefault="00766AF5" w:rsidP="005A7661">
            <w:pPr>
              <w:jc w:val="left"/>
              <w:cnfStyle w:val="000000000000" w:firstRow="0" w:lastRow="0" w:firstColumn="0" w:lastColumn="0" w:oddVBand="0" w:evenVBand="0" w:oddHBand="0" w:evenHBand="0" w:firstRowFirstColumn="0" w:firstRowLastColumn="0" w:lastRowFirstColumn="0" w:lastRowLastColumn="0"/>
            </w:pPr>
            <w:r w:rsidRPr="00E20061">
              <w:t>Zone de stockage temporaire, aire de tri</w:t>
            </w:r>
          </w:p>
        </w:tc>
        <w:tc>
          <w:tcPr>
            <w:tcW w:w="0" w:type="auto"/>
            <w:vAlign w:val="center"/>
            <w:hideMark/>
          </w:tcPr>
          <w:p w14:paraId="3DB1E277" w14:textId="77777777" w:rsidR="00766AF5" w:rsidRPr="00E20061" w:rsidRDefault="00766AF5" w:rsidP="005A7661">
            <w:pPr>
              <w:jc w:val="left"/>
              <w:cnfStyle w:val="000000000000" w:firstRow="0" w:lastRow="0" w:firstColumn="0" w:lastColumn="0" w:oddVBand="0" w:evenVBand="0" w:oddHBand="0" w:evenHBand="0" w:firstRowFirstColumn="0" w:firstRowLastColumn="0" w:lastRowFirstColumn="0" w:lastRowLastColumn="0"/>
            </w:pPr>
            <w:r w:rsidRPr="00E20061">
              <w:t>Registre, bordereaux de suivi et inspection</w:t>
            </w:r>
          </w:p>
        </w:tc>
        <w:tc>
          <w:tcPr>
            <w:tcW w:w="0" w:type="auto"/>
            <w:vAlign w:val="center"/>
            <w:hideMark/>
          </w:tcPr>
          <w:p w14:paraId="6C49D535" w14:textId="77777777" w:rsidR="00766AF5" w:rsidRPr="00E20061" w:rsidRDefault="00766AF5" w:rsidP="005A7661">
            <w:pPr>
              <w:jc w:val="left"/>
              <w:cnfStyle w:val="000000000000" w:firstRow="0" w:lastRow="0" w:firstColumn="0" w:lastColumn="0" w:oddVBand="0" w:evenVBand="0" w:oddHBand="0" w:evenHBand="0" w:firstRowFirstColumn="0" w:firstRowLastColumn="0" w:lastRowFirstColumn="0" w:lastRowLastColumn="0"/>
            </w:pPr>
            <w:r w:rsidRPr="00E20061">
              <w:t>Hebdomadaire</w:t>
            </w:r>
          </w:p>
        </w:tc>
        <w:tc>
          <w:tcPr>
            <w:tcW w:w="0" w:type="auto"/>
            <w:vAlign w:val="center"/>
            <w:hideMark/>
          </w:tcPr>
          <w:p w14:paraId="67853442" w14:textId="77777777" w:rsidR="00766AF5" w:rsidRPr="00E20061" w:rsidRDefault="00766AF5" w:rsidP="005A7661">
            <w:pPr>
              <w:jc w:val="left"/>
              <w:cnfStyle w:val="000000000000" w:firstRow="0" w:lastRow="0" w:firstColumn="0" w:lastColumn="0" w:oddVBand="0" w:evenVBand="0" w:oddHBand="0" w:evenHBand="0" w:firstRowFirstColumn="0" w:firstRowLastColumn="0" w:lastRowFirstColumn="0" w:lastRowLastColumn="0"/>
            </w:pPr>
            <w:r w:rsidRPr="00E20061">
              <w:t>Contrôler la conformité au plan de gestion des déchets et éviter les dépôts sauvages</w:t>
            </w:r>
          </w:p>
        </w:tc>
        <w:tc>
          <w:tcPr>
            <w:tcW w:w="0" w:type="auto"/>
            <w:vAlign w:val="center"/>
            <w:hideMark/>
          </w:tcPr>
          <w:p w14:paraId="7C32B84A" w14:textId="77777777" w:rsidR="00766AF5" w:rsidRPr="00E20061" w:rsidRDefault="00766AF5" w:rsidP="005A7661">
            <w:pPr>
              <w:jc w:val="left"/>
              <w:cnfStyle w:val="000000000000" w:firstRow="0" w:lastRow="0" w:firstColumn="0" w:lastColumn="0" w:oddVBand="0" w:evenVBand="0" w:oddHBand="0" w:evenHBand="0" w:firstRowFirstColumn="0" w:firstRowLastColumn="0" w:lastRowFirstColumn="0" w:lastRowLastColumn="0"/>
            </w:pPr>
            <w:r w:rsidRPr="00E20061">
              <w:t>Inclus dans contrat EPC</w:t>
            </w:r>
          </w:p>
        </w:tc>
        <w:tc>
          <w:tcPr>
            <w:tcW w:w="0" w:type="auto"/>
            <w:vAlign w:val="center"/>
            <w:hideMark/>
          </w:tcPr>
          <w:p w14:paraId="40D4F9CD" w14:textId="77777777" w:rsidR="00766AF5" w:rsidRPr="00E20061" w:rsidRDefault="00766AF5" w:rsidP="005A7661">
            <w:pPr>
              <w:jc w:val="left"/>
              <w:cnfStyle w:val="000000000000" w:firstRow="0" w:lastRow="0" w:firstColumn="0" w:lastColumn="0" w:oddVBand="0" w:evenVBand="0" w:oddHBand="0" w:evenHBand="0" w:firstRowFirstColumn="0" w:firstRowLastColumn="0" w:lastRowFirstColumn="0" w:lastRowLastColumn="0"/>
            </w:pPr>
            <w:r w:rsidRPr="00E20061">
              <w:t xml:space="preserve">EPC </w:t>
            </w:r>
          </w:p>
        </w:tc>
      </w:tr>
      <w:tr w:rsidR="00766AF5" w:rsidRPr="00F37F43" w14:paraId="7602650E" w14:textId="77777777" w:rsidTr="005A7661">
        <w:tc>
          <w:tcPr>
            <w:cnfStyle w:val="001000000000" w:firstRow="0" w:lastRow="0" w:firstColumn="1" w:lastColumn="0" w:oddVBand="0" w:evenVBand="0" w:oddHBand="0" w:evenHBand="0" w:firstRowFirstColumn="0" w:firstRowLastColumn="0" w:lastRowFirstColumn="0" w:lastRowLastColumn="0"/>
            <w:tcW w:w="0" w:type="auto"/>
            <w:vAlign w:val="center"/>
          </w:tcPr>
          <w:p w14:paraId="5A4C6941" w14:textId="77777777" w:rsidR="00766AF5" w:rsidRPr="00E20061" w:rsidRDefault="00766AF5" w:rsidP="005A7661">
            <w:pPr>
              <w:jc w:val="left"/>
            </w:pPr>
            <w:r>
              <w:lastRenderedPageBreak/>
              <w:t>Santé et Sécurité des travailleurs</w:t>
            </w:r>
          </w:p>
        </w:tc>
        <w:tc>
          <w:tcPr>
            <w:tcW w:w="0" w:type="auto"/>
            <w:vAlign w:val="center"/>
            <w:hideMark/>
          </w:tcPr>
          <w:p w14:paraId="406EB7CF" w14:textId="77777777" w:rsidR="00766AF5" w:rsidRPr="00E20061" w:rsidRDefault="00766AF5" w:rsidP="005A7661">
            <w:pPr>
              <w:jc w:val="left"/>
              <w:cnfStyle w:val="000000000000" w:firstRow="0" w:lastRow="0" w:firstColumn="0" w:lastColumn="0" w:oddVBand="0" w:evenVBand="0" w:oddHBand="0" w:evenHBand="0" w:firstRowFirstColumn="0" w:firstRowLastColumn="0" w:lastRowFirstColumn="0" w:lastRowLastColumn="0"/>
            </w:pPr>
            <w:r w:rsidRPr="00E20061">
              <w:t>Contrôler les conditions de travail et la sécurité (EPI, incidents, formations)</w:t>
            </w:r>
          </w:p>
        </w:tc>
        <w:tc>
          <w:tcPr>
            <w:tcW w:w="0" w:type="auto"/>
            <w:vAlign w:val="center"/>
            <w:hideMark/>
          </w:tcPr>
          <w:p w14:paraId="728E47D4" w14:textId="77777777" w:rsidR="00766AF5" w:rsidRPr="00E20061" w:rsidRDefault="00766AF5" w:rsidP="005A7661">
            <w:pPr>
              <w:jc w:val="left"/>
              <w:cnfStyle w:val="000000000000" w:firstRow="0" w:lastRow="0" w:firstColumn="0" w:lastColumn="0" w:oddVBand="0" w:evenVBand="0" w:oddHBand="0" w:evenHBand="0" w:firstRowFirstColumn="0" w:firstRowLastColumn="0" w:lastRowFirstColumn="0" w:lastRowLastColumn="0"/>
            </w:pPr>
            <w:r w:rsidRPr="00E20061">
              <w:t>L’ensemble du chantier</w:t>
            </w:r>
          </w:p>
        </w:tc>
        <w:tc>
          <w:tcPr>
            <w:tcW w:w="0" w:type="auto"/>
            <w:vAlign w:val="center"/>
            <w:hideMark/>
          </w:tcPr>
          <w:p w14:paraId="576682BB" w14:textId="77777777" w:rsidR="00766AF5" w:rsidRPr="00E20061" w:rsidRDefault="00766AF5" w:rsidP="005A7661">
            <w:pPr>
              <w:jc w:val="left"/>
              <w:cnfStyle w:val="000000000000" w:firstRow="0" w:lastRow="0" w:firstColumn="0" w:lastColumn="0" w:oddVBand="0" w:evenVBand="0" w:oddHBand="0" w:evenHBand="0" w:firstRowFirstColumn="0" w:firstRowLastColumn="0" w:lastRowFirstColumn="0" w:lastRowLastColumn="0"/>
            </w:pPr>
            <w:r w:rsidRPr="00E20061">
              <w:t>Audit sécurité, fiches d’inspection, registres d’accident</w:t>
            </w:r>
          </w:p>
        </w:tc>
        <w:tc>
          <w:tcPr>
            <w:tcW w:w="0" w:type="auto"/>
            <w:vAlign w:val="center"/>
            <w:hideMark/>
          </w:tcPr>
          <w:p w14:paraId="12B21D5F" w14:textId="77777777" w:rsidR="00766AF5" w:rsidRPr="00E20061" w:rsidRDefault="00766AF5" w:rsidP="005A7661">
            <w:pPr>
              <w:jc w:val="left"/>
              <w:cnfStyle w:val="000000000000" w:firstRow="0" w:lastRow="0" w:firstColumn="0" w:lastColumn="0" w:oddVBand="0" w:evenVBand="0" w:oddHBand="0" w:evenHBand="0" w:firstRowFirstColumn="0" w:firstRowLastColumn="0" w:lastRowFirstColumn="0" w:lastRowLastColumn="0"/>
            </w:pPr>
            <w:r w:rsidRPr="00E20061">
              <w:t>Quotidien / Hebdomadaire</w:t>
            </w:r>
          </w:p>
        </w:tc>
        <w:tc>
          <w:tcPr>
            <w:tcW w:w="0" w:type="auto"/>
            <w:vAlign w:val="center"/>
            <w:hideMark/>
          </w:tcPr>
          <w:p w14:paraId="561D8C65" w14:textId="77777777" w:rsidR="00766AF5" w:rsidRPr="00E20061" w:rsidRDefault="00766AF5" w:rsidP="005A7661">
            <w:pPr>
              <w:jc w:val="left"/>
              <w:cnfStyle w:val="000000000000" w:firstRow="0" w:lastRow="0" w:firstColumn="0" w:lastColumn="0" w:oddVBand="0" w:evenVBand="0" w:oddHBand="0" w:evenHBand="0" w:firstRowFirstColumn="0" w:firstRowLastColumn="0" w:lastRowFirstColumn="0" w:lastRowLastColumn="0"/>
            </w:pPr>
            <w:r w:rsidRPr="00E20061">
              <w:t>Garantir la santé et sécurité du personnel</w:t>
            </w:r>
          </w:p>
        </w:tc>
        <w:tc>
          <w:tcPr>
            <w:tcW w:w="0" w:type="auto"/>
            <w:vAlign w:val="center"/>
            <w:hideMark/>
          </w:tcPr>
          <w:p w14:paraId="469FD216" w14:textId="77777777" w:rsidR="00766AF5" w:rsidRPr="00E20061" w:rsidRDefault="00766AF5" w:rsidP="005A7661">
            <w:pPr>
              <w:jc w:val="left"/>
              <w:cnfStyle w:val="000000000000" w:firstRow="0" w:lastRow="0" w:firstColumn="0" w:lastColumn="0" w:oddVBand="0" w:evenVBand="0" w:oddHBand="0" w:evenHBand="0" w:firstRowFirstColumn="0" w:firstRowLastColumn="0" w:lastRowFirstColumn="0" w:lastRowLastColumn="0"/>
            </w:pPr>
            <w:r w:rsidRPr="00E20061">
              <w:t>Inclus dans budget HSSE</w:t>
            </w:r>
          </w:p>
        </w:tc>
        <w:tc>
          <w:tcPr>
            <w:tcW w:w="0" w:type="auto"/>
            <w:vAlign w:val="center"/>
            <w:hideMark/>
          </w:tcPr>
          <w:p w14:paraId="7C4B7632" w14:textId="77777777" w:rsidR="00766AF5" w:rsidRPr="00E20061" w:rsidRDefault="00766AF5" w:rsidP="005A7661">
            <w:pPr>
              <w:jc w:val="left"/>
              <w:cnfStyle w:val="000000000000" w:firstRow="0" w:lastRow="0" w:firstColumn="0" w:lastColumn="0" w:oddVBand="0" w:evenVBand="0" w:oddHBand="0" w:evenHBand="0" w:firstRowFirstColumn="0" w:firstRowLastColumn="0" w:lastRowFirstColumn="0" w:lastRowLastColumn="0"/>
            </w:pPr>
            <w:r w:rsidRPr="00E20061">
              <w:t xml:space="preserve">EPC </w:t>
            </w:r>
          </w:p>
        </w:tc>
      </w:tr>
      <w:tr w:rsidR="00766AF5" w:rsidRPr="00712B57" w14:paraId="1B1CB57F" w14:textId="77777777" w:rsidTr="005A7661">
        <w:tc>
          <w:tcPr>
            <w:cnfStyle w:val="001000000000" w:firstRow="0" w:lastRow="0" w:firstColumn="1" w:lastColumn="0" w:oddVBand="0" w:evenVBand="0" w:oddHBand="0" w:evenHBand="0" w:firstRowFirstColumn="0" w:firstRowLastColumn="0" w:lastRowFirstColumn="0" w:lastRowLastColumn="0"/>
            <w:tcW w:w="0" w:type="auto"/>
            <w:vAlign w:val="center"/>
          </w:tcPr>
          <w:p w14:paraId="54EBC4E4" w14:textId="77777777" w:rsidR="00766AF5" w:rsidRPr="00E20061" w:rsidRDefault="00766AF5" w:rsidP="005A7661">
            <w:pPr>
              <w:jc w:val="left"/>
            </w:pPr>
            <w:r>
              <w:t>Milieu naturel</w:t>
            </w:r>
          </w:p>
        </w:tc>
        <w:tc>
          <w:tcPr>
            <w:tcW w:w="0" w:type="auto"/>
            <w:vAlign w:val="center"/>
            <w:hideMark/>
          </w:tcPr>
          <w:p w14:paraId="73ED53F0" w14:textId="77777777" w:rsidR="00766AF5" w:rsidRPr="00E20061" w:rsidRDefault="00766AF5" w:rsidP="005A7661">
            <w:pPr>
              <w:jc w:val="left"/>
              <w:cnfStyle w:val="000000000000" w:firstRow="0" w:lastRow="0" w:firstColumn="0" w:lastColumn="0" w:oddVBand="0" w:evenVBand="0" w:oddHBand="0" w:evenHBand="0" w:firstRowFirstColumn="0" w:firstRowLastColumn="0" w:lastRowFirstColumn="0" w:lastRowLastColumn="0"/>
            </w:pPr>
            <w:r w:rsidRPr="004637C7">
              <w:t>Surveiller la faune, la flore et les habitats dans et autour du chantier (milieu biologique)</w:t>
            </w:r>
          </w:p>
        </w:tc>
        <w:tc>
          <w:tcPr>
            <w:tcW w:w="0" w:type="auto"/>
            <w:vAlign w:val="center"/>
            <w:hideMark/>
          </w:tcPr>
          <w:p w14:paraId="72BA1AB7" w14:textId="77777777" w:rsidR="00766AF5" w:rsidRPr="00E20061" w:rsidRDefault="00766AF5" w:rsidP="005A7661">
            <w:pPr>
              <w:jc w:val="left"/>
              <w:cnfStyle w:val="000000000000" w:firstRow="0" w:lastRow="0" w:firstColumn="0" w:lastColumn="0" w:oddVBand="0" w:evenVBand="0" w:oddHBand="0" w:evenHBand="0" w:firstRowFirstColumn="0" w:firstRowLastColumn="0" w:lastRowFirstColumn="0" w:lastRowLastColumn="0"/>
            </w:pPr>
            <w:r w:rsidRPr="00E20061">
              <w:t>Zones périphériques du chantier, emprises non terrassées</w:t>
            </w:r>
          </w:p>
        </w:tc>
        <w:tc>
          <w:tcPr>
            <w:tcW w:w="0" w:type="auto"/>
            <w:vAlign w:val="center"/>
            <w:hideMark/>
          </w:tcPr>
          <w:p w14:paraId="689FDA7C" w14:textId="77777777" w:rsidR="00766AF5" w:rsidRPr="00E20061" w:rsidRDefault="00766AF5" w:rsidP="005A7661">
            <w:pPr>
              <w:jc w:val="left"/>
              <w:cnfStyle w:val="000000000000" w:firstRow="0" w:lastRow="0" w:firstColumn="0" w:lastColumn="0" w:oddVBand="0" w:evenVBand="0" w:oddHBand="0" w:evenHBand="0" w:firstRowFirstColumn="0" w:firstRowLastColumn="0" w:lastRowFirstColumn="0" w:lastRowLastColumn="0"/>
            </w:pPr>
            <w:r w:rsidRPr="00E20061">
              <w:t>Inspections visuelles, fiches d’observation, photo-tracking</w:t>
            </w:r>
          </w:p>
        </w:tc>
        <w:tc>
          <w:tcPr>
            <w:tcW w:w="0" w:type="auto"/>
            <w:vAlign w:val="center"/>
            <w:hideMark/>
          </w:tcPr>
          <w:p w14:paraId="578DB890" w14:textId="77777777" w:rsidR="00766AF5" w:rsidRPr="00E20061" w:rsidRDefault="00766AF5" w:rsidP="005A7661">
            <w:pPr>
              <w:jc w:val="left"/>
              <w:cnfStyle w:val="000000000000" w:firstRow="0" w:lastRow="0" w:firstColumn="0" w:lastColumn="0" w:oddVBand="0" w:evenVBand="0" w:oddHBand="0" w:evenHBand="0" w:firstRowFirstColumn="0" w:firstRowLastColumn="0" w:lastRowFirstColumn="0" w:lastRowLastColumn="0"/>
            </w:pPr>
            <w:r w:rsidRPr="004637C7">
              <w:t>Saisonnière et avant chaque phase majeure de travaux (terrassement, éclairage, circulation aérienne)</w:t>
            </w:r>
          </w:p>
        </w:tc>
        <w:tc>
          <w:tcPr>
            <w:tcW w:w="0" w:type="auto"/>
            <w:vAlign w:val="center"/>
            <w:hideMark/>
          </w:tcPr>
          <w:p w14:paraId="72EE4D44" w14:textId="77777777" w:rsidR="00766AF5" w:rsidRPr="00E20061" w:rsidRDefault="00766AF5" w:rsidP="005A7661">
            <w:pPr>
              <w:jc w:val="left"/>
              <w:cnfStyle w:val="000000000000" w:firstRow="0" w:lastRow="0" w:firstColumn="0" w:lastColumn="0" w:oddVBand="0" w:evenVBand="0" w:oddHBand="0" w:evenHBand="0" w:firstRowFirstColumn="0" w:firstRowLastColumn="0" w:lastRowFirstColumn="0" w:lastRowLastColumn="0"/>
            </w:pPr>
            <w:r w:rsidRPr="004637C7">
              <w:t>Vérifier qu’aucune perturbation significative de la faune locale (oiseaux, reptiles) ou destruction d’habitats n’intervient durant les travaux</w:t>
            </w:r>
          </w:p>
        </w:tc>
        <w:tc>
          <w:tcPr>
            <w:tcW w:w="0" w:type="auto"/>
            <w:vAlign w:val="center"/>
            <w:hideMark/>
          </w:tcPr>
          <w:p w14:paraId="3B172B8E" w14:textId="77777777" w:rsidR="00766AF5" w:rsidRPr="00E20061" w:rsidRDefault="00766AF5" w:rsidP="005A7661">
            <w:pPr>
              <w:jc w:val="left"/>
              <w:cnfStyle w:val="000000000000" w:firstRow="0" w:lastRow="0" w:firstColumn="0" w:lastColumn="0" w:oddVBand="0" w:evenVBand="0" w:oddHBand="0" w:evenHBand="0" w:firstRowFirstColumn="0" w:firstRowLastColumn="0" w:lastRowFirstColumn="0" w:lastRowLastColumn="0"/>
            </w:pPr>
            <w:r w:rsidRPr="00E20061">
              <w:t>Inclus dans AMO environnementale</w:t>
            </w:r>
          </w:p>
        </w:tc>
        <w:tc>
          <w:tcPr>
            <w:tcW w:w="0" w:type="auto"/>
            <w:vAlign w:val="center"/>
            <w:hideMark/>
          </w:tcPr>
          <w:p w14:paraId="02EEB830" w14:textId="77777777" w:rsidR="00766AF5" w:rsidRPr="004637C7" w:rsidRDefault="00766AF5" w:rsidP="005A7661">
            <w:pPr>
              <w:jc w:val="left"/>
              <w:cnfStyle w:val="000000000000" w:firstRow="0" w:lastRow="0" w:firstColumn="0" w:lastColumn="0" w:oddVBand="0" w:evenVBand="0" w:oddHBand="0" w:evenHBand="0" w:firstRowFirstColumn="0" w:firstRowLastColumn="0" w:lastRowFirstColumn="0" w:lastRowLastColumn="0"/>
              <w:rPr>
                <w:lang w:val="en-US"/>
              </w:rPr>
            </w:pPr>
            <w:r>
              <w:rPr>
                <w:lang w:val="en-US"/>
              </w:rPr>
              <w:t>EPC</w:t>
            </w:r>
          </w:p>
        </w:tc>
      </w:tr>
      <w:tr w:rsidR="00766AF5" w:rsidRPr="00712B57" w14:paraId="471CCBB2" w14:textId="77777777" w:rsidTr="005A7661">
        <w:tc>
          <w:tcPr>
            <w:cnfStyle w:val="001000000000" w:firstRow="0" w:lastRow="0" w:firstColumn="1" w:lastColumn="0" w:oddVBand="0" w:evenVBand="0" w:oddHBand="0" w:evenHBand="0" w:firstRowFirstColumn="0" w:firstRowLastColumn="0" w:lastRowFirstColumn="0" w:lastRowLastColumn="0"/>
            <w:tcW w:w="0" w:type="auto"/>
            <w:vAlign w:val="center"/>
          </w:tcPr>
          <w:p w14:paraId="376B9B7C" w14:textId="77777777" w:rsidR="00766AF5" w:rsidRPr="00E20061" w:rsidRDefault="00766AF5" w:rsidP="005A7661">
            <w:pPr>
              <w:jc w:val="left"/>
            </w:pPr>
            <w:r>
              <w:t>Gestion des plaintes</w:t>
            </w:r>
          </w:p>
        </w:tc>
        <w:tc>
          <w:tcPr>
            <w:tcW w:w="0" w:type="auto"/>
            <w:vAlign w:val="center"/>
            <w:hideMark/>
          </w:tcPr>
          <w:p w14:paraId="3638C66E" w14:textId="77777777" w:rsidR="00766AF5" w:rsidRPr="00E20061" w:rsidRDefault="00766AF5" w:rsidP="005A7661">
            <w:pPr>
              <w:jc w:val="left"/>
              <w:cnfStyle w:val="000000000000" w:firstRow="0" w:lastRow="0" w:firstColumn="0" w:lastColumn="0" w:oddVBand="0" w:evenVBand="0" w:oddHBand="0" w:evenHBand="0" w:firstRowFirstColumn="0" w:firstRowLastColumn="0" w:lastRowFirstColumn="0" w:lastRowLastColumn="0"/>
            </w:pPr>
            <w:r w:rsidRPr="00E20061">
              <w:t>Suivre les interactions sociales et plaintes communautaires</w:t>
            </w:r>
          </w:p>
        </w:tc>
        <w:tc>
          <w:tcPr>
            <w:tcW w:w="0" w:type="auto"/>
            <w:vAlign w:val="center"/>
            <w:hideMark/>
          </w:tcPr>
          <w:p w14:paraId="3B213065" w14:textId="77777777" w:rsidR="00766AF5" w:rsidRPr="00E20061" w:rsidRDefault="00766AF5" w:rsidP="005A7661">
            <w:pPr>
              <w:jc w:val="left"/>
              <w:cnfStyle w:val="000000000000" w:firstRow="0" w:lastRow="0" w:firstColumn="0" w:lastColumn="0" w:oddVBand="0" w:evenVBand="0" w:oddHBand="0" w:evenHBand="0" w:firstRowFirstColumn="0" w:firstRowLastColumn="0" w:lastRowFirstColumn="0" w:lastRowLastColumn="0"/>
            </w:pPr>
            <w:r w:rsidRPr="00E20061">
              <w:t>Communes voisines, accès au chantier</w:t>
            </w:r>
          </w:p>
        </w:tc>
        <w:tc>
          <w:tcPr>
            <w:tcW w:w="0" w:type="auto"/>
            <w:vAlign w:val="center"/>
            <w:hideMark/>
          </w:tcPr>
          <w:p w14:paraId="034A62A5" w14:textId="77777777" w:rsidR="00766AF5" w:rsidRPr="00E20061" w:rsidRDefault="00766AF5" w:rsidP="005A7661">
            <w:pPr>
              <w:jc w:val="left"/>
              <w:cnfStyle w:val="000000000000" w:firstRow="0" w:lastRow="0" w:firstColumn="0" w:lastColumn="0" w:oddVBand="0" w:evenVBand="0" w:oddHBand="0" w:evenHBand="0" w:firstRowFirstColumn="0" w:firstRowLastColumn="0" w:lastRowFirstColumn="0" w:lastRowLastColumn="0"/>
            </w:pPr>
            <w:r w:rsidRPr="00E20061">
              <w:t>Registre du Mécanisme de Gestion des Plaintes (MGP)</w:t>
            </w:r>
          </w:p>
        </w:tc>
        <w:tc>
          <w:tcPr>
            <w:tcW w:w="0" w:type="auto"/>
            <w:vAlign w:val="center"/>
            <w:hideMark/>
          </w:tcPr>
          <w:p w14:paraId="57B70026" w14:textId="77777777" w:rsidR="00766AF5" w:rsidRPr="00E20061" w:rsidRDefault="00766AF5" w:rsidP="005A7661">
            <w:pPr>
              <w:jc w:val="left"/>
              <w:cnfStyle w:val="000000000000" w:firstRow="0" w:lastRow="0" w:firstColumn="0" w:lastColumn="0" w:oddVBand="0" w:evenVBand="0" w:oddHBand="0" w:evenHBand="0" w:firstRowFirstColumn="0" w:firstRowLastColumn="0" w:lastRowFirstColumn="0" w:lastRowLastColumn="0"/>
            </w:pPr>
            <w:r w:rsidRPr="00E20061">
              <w:t>Continu / revue trimestrielle</w:t>
            </w:r>
          </w:p>
        </w:tc>
        <w:tc>
          <w:tcPr>
            <w:tcW w:w="0" w:type="auto"/>
            <w:vAlign w:val="center"/>
            <w:hideMark/>
          </w:tcPr>
          <w:p w14:paraId="228D9218" w14:textId="77777777" w:rsidR="00766AF5" w:rsidRPr="00E20061" w:rsidRDefault="00766AF5" w:rsidP="005A7661">
            <w:pPr>
              <w:jc w:val="left"/>
              <w:cnfStyle w:val="000000000000" w:firstRow="0" w:lastRow="0" w:firstColumn="0" w:lastColumn="0" w:oddVBand="0" w:evenVBand="0" w:oddHBand="0" w:evenHBand="0" w:firstRowFirstColumn="0" w:firstRowLastColumn="0" w:lastRowFirstColumn="0" w:lastRowLastColumn="0"/>
            </w:pPr>
            <w:r w:rsidRPr="00E20061">
              <w:t>Assurer la bonne relation avec les communautés et réduire les tensions sociales</w:t>
            </w:r>
          </w:p>
        </w:tc>
        <w:tc>
          <w:tcPr>
            <w:tcW w:w="0" w:type="auto"/>
            <w:vAlign w:val="center"/>
            <w:hideMark/>
          </w:tcPr>
          <w:p w14:paraId="2C2A567F" w14:textId="77777777" w:rsidR="00766AF5" w:rsidRPr="00E20061" w:rsidRDefault="00766AF5" w:rsidP="005A7661">
            <w:pPr>
              <w:jc w:val="left"/>
              <w:cnfStyle w:val="000000000000" w:firstRow="0" w:lastRow="0" w:firstColumn="0" w:lastColumn="0" w:oddVBand="0" w:evenVBand="0" w:oddHBand="0" w:evenHBand="0" w:firstRowFirstColumn="0" w:firstRowLastColumn="0" w:lastRowFirstColumn="0" w:lastRowLastColumn="0"/>
            </w:pPr>
            <w:r w:rsidRPr="00E20061">
              <w:t>Négligeable</w:t>
            </w:r>
          </w:p>
        </w:tc>
        <w:tc>
          <w:tcPr>
            <w:tcW w:w="0" w:type="auto"/>
            <w:vAlign w:val="center"/>
            <w:hideMark/>
          </w:tcPr>
          <w:p w14:paraId="6F450D51" w14:textId="77777777" w:rsidR="00766AF5" w:rsidRPr="004637C7" w:rsidRDefault="00766AF5" w:rsidP="005A7661">
            <w:pPr>
              <w:jc w:val="left"/>
              <w:cnfStyle w:val="000000000000" w:firstRow="0" w:lastRow="0" w:firstColumn="0" w:lastColumn="0" w:oddVBand="0" w:evenVBand="0" w:oddHBand="0" w:evenHBand="0" w:firstRowFirstColumn="0" w:firstRowLastColumn="0" w:lastRowFirstColumn="0" w:lastRowLastColumn="0"/>
              <w:rPr>
                <w:lang w:val="en-US"/>
              </w:rPr>
            </w:pPr>
            <w:r w:rsidRPr="004637C7">
              <w:rPr>
                <w:lang w:val="en-US"/>
              </w:rPr>
              <w:t xml:space="preserve">ONDA </w:t>
            </w:r>
          </w:p>
        </w:tc>
      </w:tr>
      <w:tr w:rsidR="00766AF5" w:rsidRPr="00F37F43" w14:paraId="4A7F59D9" w14:textId="77777777" w:rsidTr="005A7661">
        <w:tc>
          <w:tcPr>
            <w:cnfStyle w:val="001000000000" w:firstRow="0" w:lastRow="0" w:firstColumn="1" w:lastColumn="0" w:oddVBand="0" w:evenVBand="0" w:oddHBand="0" w:evenHBand="0" w:firstRowFirstColumn="0" w:firstRowLastColumn="0" w:lastRowFirstColumn="0" w:lastRowLastColumn="0"/>
            <w:tcW w:w="0" w:type="auto"/>
            <w:vAlign w:val="center"/>
          </w:tcPr>
          <w:p w14:paraId="36BF3B77" w14:textId="77777777" w:rsidR="00766AF5" w:rsidRPr="00E20061" w:rsidRDefault="00766AF5" w:rsidP="005A7661">
            <w:pPr>
              <w:jc w:val="left"/>
            </w:pPr>
            <w:r>
              <w:t>Trafic routier</w:t>
            </w:r>
          </w:p>
        </w:tc>
        <w:tc>
          <w:tcPr>
            <w:tcW w:w="0" w:type="auto"/>
            <w:vAlign w:val="center"/>
            <w:hideMark/>
          </w:tcPr>
          <w:p w14:paraId="615908DD" w14:textId="77777777" w:rsidR="00766AF5" w:rsidRPr="00E20061" w:rsidRDefault="00766AF5" w:rsidP="005A7661">
            <w:pPr>
              <w:jc w:val="left"/>
              <w:cnfStyle w:val="000000000000" w:firstRow="0" w:lastRow="0" w:firstColumn="0" w:lastColumn="0" w:oddVBand="0" w:evenVBand="0" w:oddHBand="0" w:evenHBand="0" w:firstRowFirstColumn="0" w:firstRowLastColumn="0" w:lastRowFirstColumn="0" w:lastRowLastColumn="0"/>
            </w:pPr>
            <w:r w:rsidRPr="00E20061">
              <w:t>Contrôler le trafic et la sécurité routière liés au chantier</w:t>
            </w:r>
          </w:p>
        </w:tc>
        <w:tc>
          <w:tcPr>
            <w:tcW w:w="0" w:type="auto"/>
            <w:vAlign w:val="center"/>
            <w:hideMark/>
          </w:tcPr>
          <w:p w14:paraId="2FB5EED0" w14:textId="77777777" w:rsidR="00766AF5" w:rsidRPr="00E20061" w:rsidRDefault="00766AF5" w:rsidP="005A7661">
            <w:pPr>
              <w:jc w:val="left"/>
              <w:cnfStyle w:val="000000000000" w:firstRow="0" w:lastRow="0" w:firstColumn="0" w:lastColumn="0" w:oddVBand="0" w:evenVBand="0" w:oddHBand="0" w:evenHBand="0" w:firstRowFirstColumn="0" w:firstRowLastColumn="0" w:lastRowFirstColumn="0" w:lastRowLastColumn="0"/>
            </w:pPr>
            <w:r w:rsidRPr="00E20061">
              <w:t>Voies d’accès et périmètre de l’aéroport</w:t>
            </w:r>
          </w:p>
        </w:tc>
        <w:tc>
          <w:tcPr>
            <w:tcW w:w="0" w:type="auto"/>
            <w:vAlign w:val="center"/>
            <w:hideMark/>
          </w:tcPr>
          <w:p w14:paraId="719763F2" w14:textId="77777777" w:rsidR="00766AF5" w:rsidRPr="00E20061" w:rsidRDefault="00766AF5" w:rsidP="005A7661">
            <w:pPr>
              <w:jc w:val="left"/>
              <w:cnfStyle w:val="000000000000" w:firstRow="0" w:lastRow="0" w:firstColumn="0" w:lastColumn="0" w:oddVBand="0" w:evenVBand="0" w:oddHBand="0" w:evenHBand="0" w:firstRowFirstColumn="0" w:firstRowLastColumn="0" w:lastRowFirstColumn="0" w:lastRowLastColumn="0"/>
            </w:pPr>
            <w:r w:rsidRPr="00E20061">
              <w:t>Comptage visuel, contrôle signalisation et vitesse</w:t>
            </w:r>
          </w:p>
        </w:tc>
        <w:tc>
          <w:tcPr>
            <w:tcW w:w="0" w:type="auto"/>
            <w:vAlign w:val="center"/>
            <w:hideMark/>
          </w:tcPr>
          <w:p w14:paraId="57E23891" w14:textId="77777777" w:rsidR="00766AF5" w:rsidRPr="00E20061" w:rsidRDefault="00766AF5" w:rsidP="005A7661">
            <w:pPr>
              <w:jc w:val="left"/>
              <w:cnfStyle w:val="000000000000" w:firstRow="0" w:lastRow="0" w:firstColumn="0" w:lastColumn="0" w:oddVBand="0" w:evenVBand="0" w:oddHBand="0" w:evenHBand="0" w:firstRowFirstColumn="0" w:firstRowLastColumn="0" w:lastRowFirstColumn="0" w:lastRowLastColumn="0"/>
            </w:pPr>
            <w:r w:rsidRPr="00E20061">
              <w:t>Hebdomadaire</w:t>
            </w:r>
          </w:p>
        </w:tc>
        <w:tc>
          <w:tcPr>
            <w:tcW w:w="0" w:type="auto"/>
            <w:vAlign w:val="center"/>
            <w:hideMark/>
          </w:tcPr>
          <w:p w14:paraId="1CA1040B" w14:textId="77777777" w:rsidR="00766AF5" w:rsidRPr="00E20061" w:rsidRDefault="00766AF5" w:rsidP="005A7661">
            <w:pPr>
              <w:jc w:val="left"/>
              <w:cnfStyle w:val="000000000000" w:firstRow="0" w:lastRow="0" w:firstColumn="0" w:lastColumn="0" w:oddVBand="0" w:evenVBand="0" w:oddHBand="0" w:evenHBand="0" w:firstRowFirstColumn="0" w:firstRowLastColumn="0" w:lastRowFirstColumn="0" w:lastRowLastColumn="0"/>
            </w:pPr>
            <w:r w:rsidRPr="00E20061">
              <w:t>Limiter les risques d’accident et la congestion</w:t>
            </w:r>
          </w:p>
        </w:tc>
        <w:tc>
          <w:tcPr>
            <w:tcW w:w="0" w:type="auto"/>
            <w:vAlign w:val="center"/>
            <w:hideMark/>
          </w:tcPr>
          <w:p w14:paraId="6824ED04" w14:textId="77777777" w:rsidR="00766AF5" w:rsidRPr="00E20061" w:rsidRDefault="00766AF5" w:rsidP="005A7661">
            <w:pPr>
              <w:jc w:val="left"/>
              <w:cnfStyle w:val="000000000000" w:firstRow="0" w:lastRow="0" w:firstColumn="0" w:lastColumn="0" w:oddVBand="0" w:evenVBand="0" w:oddHBand="0" w:evenHBand="0" w:firstRowFirstColumn="0" w:firstRowLastColumn="0" w:lastRowFirstColumn="0" w:lastRowLastColumn="0"/>
            </w:pPr>
            <w:r w:rsidRPr="00E20061">
              <w:t>Inclus dans EPC</w:t>
            </w:r>
          </w:p>
        </w:tc>
        <w:tc>
          <w:tcPr>
            <w:tcW w:w="0" w:type="auto"/>
            <w:vAlign w:val="center"/>
            <w:hideMark/>
          </w:tcPr>
          <w:p w14:paraId="6BA5962E" w14:textId="77777777" w:rsidR="00766AF5" w:rsidRPr="00E20061" w:rsidRDefault="00766AF5" w:rsidP="005A7661">
            <w:pPr>
              <w:jc w:val="left"/>
              <w:cnfStyle w:val="000000000000" w:firstRow="0" w:lastRow="0" w:firstColumn="0" w:lastColumn="0" w:oddVBand="0" w:evenVBand="0" w:oddHBand="0" w:evenHBand="0" w:firstRowFirstColumn="0" w:firstRowLastColumn="0" w:lastRowFirstColumn="0" w:lastRowLastColumn="0"/>
            </w:pPr>
            <w:r w:rsidRPr="00E20061">
              <w:t xml:space="preserve">EPC </w:t>
            </w:r>
          </w:p>
        </w:tc>
      </w:tr>
      <w:bookmarkEnd w:id="61"/>
    </w:tbl>
    <w:p w14:paraId="7B2E78D2" w14:textId="77777777" w:rsidR="00766AF5" w:rsidRDefault="00766AF5" w:rsidP="00766AF5">
      <w:pPr>
        <w:pStyle w:val="Lgende"/>
        <w:spacing w:before="240"/>
      </w:pPr>
      <w:r>
        <w:br w:type="page"/>
      </w:r>
    </w:p>
    <w:p w14:paraId="477C478F" w14:textId="2C953ACC" w:rsidR="008F475B" w:rsidRPr="008F475B" w:rsidRDefault="008F475B" w:rsidP="00766AF5">
      <w:pPr>
        <w:pStyle w:val="Lgende"/>
        <w:spacing w:before="240"/>
        <w:rPr>
          <w:lang w:val="fr-FR"/>
        </w:rPr>
      </w:pPr>
      <w:bookmarkStart w:id="62" w:name="_Toc213404334"/>
      <w:r>
        <w:lastRenderedPageBreak/>
        <w:t xml:space="preserve">Tableau </w:t>
      </w:r>
      <w:r>
        <w:fldChar w:fldCharType="begin"/>
      </w:r>
      <w:r>
        <w:instrText xml:space="preserve"> SEQ Tableau \* ARABIC </w:instrText>
      </w:r>
      <w:r>
        <w:fldChar w:fldCharType="separate"/>
      </w:r>
      <w:r w:rsidR="00274E71">
        <w:rPr>
          <w:noProof/>
        </w:rPr>
        <w:t>11</w:t>
      </w:r>
      <w:r>
        <w:fldChar w:fldCharType="end"/>
      </w:r>
      <w:r>
        <w:t xml:space="preserve"> : </w:t>
      </w:r>
      <w:r w:rsidRPr="00691715">
        <w:t>Programme de suivi environnemental et social</w:t>
      </w:r>
      <w:r>
        <w:rPr>
          <w:noProof/>
        </w:rPr>
        <w:t xml:space="preserve"> - Phase d</w:t>
      </w:r>
      <w:r>
        <w:rPr>
          <w:noProof/>
          <w:lang w:val="fr-FR"/>
        </w:rPr>
        <w:t>’exploitation</w:t>
      </w:r>
      <w:bookmarkEnd w:id="62"/>
    </w:p>
    <w:tbl>
      <w:tblPr>
        <w:tblStyle w:val="TableauGrille1Clair-Accentuation111"/>
        <w:tblW w:w="0" w:type="auto"/>
        <w:tblLook w:val="04A0" w:firstRow="1" w:lastRow="0" w:firstColumn="1" w:lastColumn="0" w:noHBand="0" w:noVBand="1"/>
      </w:tblPr>
      <w:tblGrid>
        <w:gridCol w:w="1415"/>
        <w:gridCol w:w="2064"/>
        <w:gridCol w:w="1838"/>
        <w:gridCol w:w="1819"/>
        <w:gridCol w:w="1895"/>
        <w:gridCol w:w="2173"/>
        <w:gridCol w:w="1292"/>
        <w:gridCol w:w="1639"/>
      </w:tblGrid>
      <w:tr w:rsidR="00766AF5" w:rsidRPr="00F37F43" w14:paraId="7282C63C" w14:textId="77777777" w:rsidTr="00766AF5">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0" w:type="auto"/>
            <w:vAlign w:val="center"/>
          </w:tcPr>
          <w:p w14:paraId="4DEEC609" w14:textId="77777777" w:rsidR="00766AF5" w:rsidRPr="00F37F43" w:rsidRDefault="00766AF5" w:rsidP="005A7661">
            <w:pPr>
              <w:jc w:val="left"/>
              <w:rPr>
                <w:b w:val="0"/>
                <w:bCs w:val="0"/>
              </w:rPr>
            </w:pPr>
            <w:r w:rsidRPr="00082C8F">
              <w:t xml:space="preserve">Aspect </w:t>
            </w:r>
          </w:p>
        </w:tc>
        <w:tc>
          <w:tcPr>
            <w:tcW w:w="0" w:type="auto"/>
            <w:vAlign w:val="center"/>
            <w:hideMark/>
          </w:tcPr>
          <w:p w14:paraId="5C3017D1" w14:textId="77777777" w:rsidR="00766AF5" w:rsidRPr="00F37F43" w:rsidRDefault="00766AF5" w:rsidP="005A7661">
            <w:pPr>
              <w:jc w:val="left"/>
              <w:cnfStyle w:val="100000000000" w:firstRow="1" w:lastRow="0" w:firstColumn="0" w:lastColumn="0" w:oddVBand="0" w:evenVBand="0" w:oddHBand="0" w:evenHBand="0" w:firstRowFirstColumn="0" w:firstRowLastColumn="0" w:lastRowFirstColumn="0" w:lastRowLastColumn="0"/>
            </w:pPr>
            <w:r w:rsidRPr="00F37F43">
              <w:t>Ce qu’il faut faire (Quel paramètre ?)</w:t>
            </w:r>
          </w:p>
        </w:tc>
        <w:tc>
          <w:tcPr>
            <w:tcW w:w="0" w:type="auto"/>
            <w:vAlign w:val="center"/>
            <w:hideMark/>
          </w:tcPr>
          <w:p w14:paraId="3C0E90E1" w14:textId="77777777" w:rsidR="00766AF5" w:rsidRPr="00F37F43" w:rsidRDefault="00766AF5" w:rsidP="005A7661">
            <w:pPr>
              <w:jc w:val="left"/>
              <w:cnfStyle w:val="100000000000" w:firstRow="1" w:lastRow="0" w:firstColumn="0" w:lastColumn="0" w:oddVBand="0" w:evenVBand="0" w:oddHBand="0" w:evenHBand="0" w:firstRowFirstColumn="0" w:firstRowLastColumn="0" w:lastRowFirstColumn="0" w:lastRowLastColumn="0"/>
            </w:pPr>
            <w:r w:rsidRPr="00F37F43">
              <w:t>Où (Point de contrôle ?)</w:t>
            </w:r>
          </w:p>
        </w:tc>
        <w:tc>
          <w:tcPr>
            <w:tcW w:w="0" w:type="auto"/>
            <w:vAlign w:val="center"/>
            <w:hideMark/>
          </w:tcPr>
          <w:p w14:paraId="15D8ED6B" w14:textId="77777777" w:rsidR="00766AF5" w:rsidRPr="00F37F43" w:rsidRDefault="00766AF5" w:rsidP="005A7661">
            <w:pPr>
              <w:jc w:val="left"/>
              <w:cnfStyle w:val="100000000000" w:firstRow="1" w:lastRow="0" w:firstColumn="0" w:lastColumn="0" w:oddVBand="0" w:evenVBand="0" w:oddHBand="0" w:evenHBand="0" w:firstRowFirstColumn="0" w:firstRowLastColumn="0" w:lastRowFirstColumn="0" w:lastRowLastColumn="0"/>
            </w:pPr>
            <w:r w:rsidRPr="00F37F43">
              <w:t>Comment (Méthode de suivi ?)</w:t>
            </w:r>
          </w:p>
        </w:tc>
        <w:tc>
          <w:tcPr>
            <w:tcW w:w="0" w:type="auto"/>
            <w:vAlign w:val="center"/>
            <w:hideMark/>
          </w:tcPr>
          <w:p w14:paraId="3E18E801" w14:textId="77777777" w:rsidR="00766AF5" w:rsidRPr="00F37F43" w:rsidRDefault="00766AF5" w:rsidP="005A7661">
            <w:pPr>
              <w:jc w:val="left"/>
              <w:cnfStyle w:val="100000000000" w:firstRow="1" w:lastRow="0" w:firstColumn="0" w:lastColumn="0" w:oddVBand="0" w:evenVBand="0" w:oddHBand="0" w:evenHBand="0" w:firstRowFirstColumn="0" w:firstRowLastColumn="0" w:lastRowFirstColumn="0" w:lastRowLastColumn="0"/>
            </w:pPr>
            <w:r w:rsidRPr="00F37F43">
              <w:t>Quand (Fréquence ?)</w:t>
            </w:r>
          </w:p>
        </w:tc>
        <w:tc>
          <w:tcPr>
            <w:tcW w:w="0" w:type="auto"/>
            <w:vAlign w:val="center"/>
            <w:hideMark/>
          </w:tcPr>
          <w:p w14:paraId="5C8948CD" w14:textId="77777777" w:rsidR="00766AF5" w:rsidRPr="00F37F43" w:rsidRDefault="00766AF5" w:rsidP="005A7661">
            <w:pPr>
              <w:jc w:val="left"/>
              <w:cnfStyle w:val="100000000000" w:firstRow="1" w:lastRow="0" w:firstColumn="0" w:lastColumn="0" w:oddVBand="0" w:evenVBand="0" w:oddHBand="0" w:evenHBand="0" w:firstRowFirstColumn="0" w:firstRowLastColumn="0" w:lastRowFirstColumn="0" w:lastRowLastColumn="0"/>
            </w:pPr>
            <w:r w:rsidRPr="00F37F43">
              <w:t>Pourquoi (Objectif du suivi ?)</w:t>
            </w:r>
          </w:p>
        </w:tc>
        <w:tc>
          <w:tcPr>
            <w:tcW w:w="0" w:type="auto"/>
            <w:vAlign w:val="center"/>
            <w:hideMark/>
          </w:tcPr>
          <w:p w14:paraId="19BAC388" w14:textId="77777777" w:rsidR="00766AF5" w:rsidRPr="00F37F43" w:rsidRDefault="00766AF5" w:rsidP="005A7661">
            <w:pPr>
              <w:jc w:val="left"/>
              <w:cnfStyle w:val="100000000000" w:firstRow="1" w:lastRow="0" w:firstColumn="0" w:lastColumn="0" w:oddVBand="0" w:evenVBand="0" w:oddHBand="0" w:evenHBand="0" w:firstRowFirstColumn="0" w:firstRowLastColumn="0" w:lastRowFirstColumn="0" w:lastRowLastColumn="0"/>
            </w:pPr>
            <w:r w:rsidRPr="00F37F43">
              <w:t>Coût</w:t>
            </w:r>
          </w:p>
        </w:tc>
        <w:tc>
          <w:tcPr>
            <w:tcW w:w="0" w:type="auto"/>
            <w:vAlign w:val="center"/>
            <w:hideMark/>
          </w:tcPr>
          <w:p w14:paraId="2CEBF0D4" w14:textId="77777777" w:rsidR="00766AF5" w:rsidRPr="00F37F43" w:rsidRDefault="00766AF5" w:rsidP="005A7661">
            <w:pPr>
              <w:jc w:val="left"/>
              <w:cnfStyle w:val="100000000000" w:firstRow="1" w:lastRow="0" w:firstColumn="0" w:lastColumn="0" w:oddVBand="0" w:evenVBand="0" w:oddHBand="0" w:evenHBand="0" w:firstRowFirstColumn="0" w:firstRowLastColumn="0" w:lastRowFirstColumn="0" w:lastRowLastColumn="0"/>
            </w:pPr>
            <w:r w:rsidRPr="00F37F43">
              <w:t>Qui (Responsable ?)</w:t>
            </w:r>
          </w:p>
        </w:tc>
      </w:tr>
      <w:tr w:rsidR="00766AF5" w:rsidRPr="00F37F43" w14:paraId="7B3C2C4A" w14:textId="77777777" w:rsidTr="005A7661">
        <w:tc>
          <w:tcPr>
            <w:cnfStyle w:val="001000000000" w:firstRow="0" w:lastRow="0" w:firstColumn="1" w:lastColumn="0" w:oddVBand="0" w:evenVBand="0" w:oddHBand="0" w:evenHBand="0" w:firstRowFirstColumn="0" w:firstRowLastColumn="0" w:lastRowFirstColumn="0" w:lastRowLastColumn="0"/>
            <w:tcW w:w="0" w:type="auto"/>
            <w:vAlign w:val="center"/>
          </w:tcPr>
          <w:p w14:paraId="1DFBE81B" w14:textId="77777777" w:rsidR="00766AF5" w:rsidRPr="00F37F43" w:rsidRDefault="00766AF5" w:rsidP="005A7661">
            <w:pPr>
              <w:jc w:val="left"/>
            </w:pPr>
            <w:r>
              <w:t>Air</w:t>
            </w:r>
          </w:p>
        </w:tc>
        <w:tc>
          <w:tcPr>
            <w:tcW w:w="0" w:type="auto"/>
            <w:vAlign w:val="center"/>
            <w:hideMark/>
          </w:tcPr>
          <w:p w14:paraId="64041478" w14:textId="77777777" w:rsidR="00766AF5" w:rsidRPr="00E20061" w:rsidRDefault="00766AF5" w:rsidP="005A7661">
            <w:pPr>
              <w:jc w:val="left"/>
              <w:cnfStyle w:val="000000000000" w:firstRow="0" w:lastRow="0" w:firstColumn="0" w:lastColumn="0" w:oddVBand="0" w:evenVBand="0" w:oddHBand="0" w:evenHBand="0" w:firstRowFirstColumn="0" w:firstRowLastColumn="0" w:lastRowFirstColumn="0" w:lastRowLastColumn="0"/>
            </w:pPr>
            <w:r w:rsidRPr="00E20061">
              <w:t>Surveiller la qualité de l’air (NO₂, SO₂, CO, PM10)</w:t>
            </w:r>
          </w:p>
        </w:tc>
        <w:tc>
          <w:tcPr>
            <w:tcW w:w="0" w:type="auto"/>
            <w:vAlign w:val="center"/>
            <w:hideMark/>
          </w:tcPr>
          <w:p w14:paraId="0B92366F" w14:textId="77777777" w:rsidR="00766AF5" w:rsidRPr="00E20061" w:rsidRDefault="00766AF5" w:rsidP="005A7661">
            <w:pPr>
              <w:jc w:val="left"/>
              <w:cnfStyle w:val="000000000000" w:firstRow="0" w:lastRow="0" w:firstColumn="0" w:lastColumn="0" w:oddVBand="0" w:evenVBand="0" w:oddHBand="0" w:evenHBand="0" w:firstRowFirstColumn="0" w:firstRowLastColumn="0" w:lastRowFirstColumn="0" w:lastRowLastColumn="0"/>
            </w:pPr>
            <w:r w:rsidRPr="00E20061">
              <w:t>Aires de trafic, zones techniques, abords du parking avion</w:t>
            </w:r>
          </w:p>
        </w:tc>
        <w:tc>
          <w:tcPr>
            <w:tcW w:w="0" w:type="auto"/>
            <w:vAlign w:val="center"/>
            <w:hideMark/>
          </w:tcPr>
          <w:p w14:paraId="033EF6F3" w14:textId="77777777" w:rsidR="00766AF5" w:rsidRPr="00E20061" w:rsidRDefault="00766AF5" w:rsidP="005A7661">
            <w:pPr>
              <w:jc w:val="left"/>
              <w:cnfStyle w:val="000000000000" w:firstRow="0" w:lastRow="0" w:firstColumn="0" w:lastColumn="0" w:oddVBand="0" w:evenVBand="0" w:oddHBand="0" w:evenHBand="0" w:firstRowFirstColumn="0" w:firstRowLastColumn="0" w:lastRowFirstColumn="0" w:lastRowLastColumn="0"/>
            </w:pPr>
            <w:r w:rsidRPr="00E20061">
              <w:t>Campagnes de mesure normalisées et inspection visuelle des sources</w:t>
            </w:r>
          </w:p>
        </w:tc>
        <w:tc>
          <w:tcPr>
            <w:tcW w:w="0" w:type="auto"/>
            <w:vAlign w:val="center"/>
            <w:hideMark/>
          </w:tcPr>
          <w:p w14:paraId="21948BB7" w14:textId="77777777" w:rsidR="00766AF5" w:rsidRPr="00E20061" w:rsidRDefault="00766AF5" w:rsidP="005A7661">
            <w:pPr>
              <w:jc w:val="left"/>
              <w:cnfStyle w:val="000000000000" w:firstRow="0" w:lastRow="0" w:firstColumn="0" w:lastColumn="0" w:oddVBand="0" w:evenVBand="0" w:oddHBand="0" w:evenHBand="0" w:firstRowFirstColumn="0" w:firstRowLastColumn="0" w:lastRowFirstColumn="0" w:lastRowLastColumn="0"/>
            </w:pPr>
            <w:r>
              <w:t>Annuel</w:t>
            </w:r>
          </w:p>
        </w:tc>
        <w:tc>
          <w:tcPr>
            <w:tcW w:w="0" w:type="auto"/>
            <w:vAlign w:val="center"/>
            <w:hideMark/>
          </w:tcPr>
          <w:p w14:paraId="5AC0B13D" w14:textId="77777777" w:rsidR="00766AF5" w:rsidRPr="00E20061" w:rsidRDefault="00766AF5" w:rsidP="005A7661">
            <w:pPr>
              <w:jc w:val="left"/>
              <w:cnfStyle w:val="000000000000" w:firstRow="0" w:lastRow="0" w:firstColumn="0" w:lastColumn="0" w:oddVBand="0" w:evenVBand="0" w:oddHBand="0" w:evenHBand="0" w:firstRowFirstColumn="0" w:firstRowLastColumn="0" w:lastRowFirstColumn="0" w:lastRowLastColumn="0"/>
            </w:pPr>
            <w:r w:rsidRPr="00E20061">
              <w:t>Vérifier la conformité aux normes de qualité de l’air et identifier toute dégradation due aux activités aéroportuaires</w:t>
            </w:r>
          </w:p>
        </w:tc>
        <w:tc>
          <w:tcPr>
            <w:tcW w:w="0" w:type="auto"/>
            <w:vAlign w:val="center"/>
            <w:hideMark/>
          </w:tcPr>
          <w:p w14:paraId="2D5C6620" w14:textId="77777777" w:rsidR="00766AF5" w:rsidRPr="00E20061" w:rsidRDefault="00766AF5" w:rsidP="005A7661">
            <w:pPr>
              <w:jc w:val="left"/>
              <w:cnfStyle w:val="000000000000" w:firstRow="0" w:lastRow="0" w:firstColumn="0" w:lastColumn="0" w:oddVBand="0" w:evenVBand="0" w:oddHBand="0" w:evenHBand="0" w:firstRowFirstColumn="0" w:firstRowLastColumn="0" w:lastRowFirstColumn="0" w:lastRowLastColumn="0"/>
            </w:pPr>
            <w:r w:rsidRPr="00E20061">
              <w:t>Budget exploitation ONDA</w:t>
            </w:r>
          </w:p>
        </w:tc>
        <w:tc>
          <w:tcPr>
            <w:tcW w:w="0" w:type="auto"/>
            <w:vAlign w:val="center"/>
            <w:hideMark/>
          </w:tcPr>
          <w:p w14:paraId="4CC6A1DB" w14:textId="77777777" w:rsidR="00766AF5" w:rsidRPr="00E20061" w:rsidRDefault="00766AF5" w:rsidP="005A7661">
            <w:pPr>
              <w:jc w:val="left"/>
              <w:cnfStyle w:val="000000000000" w:firstRow="0" w:lastRow="0" w:firstColumn="0" w:lastColumn="0" w:oddVBand="0" w:evenVBand="0" w:oddHBand="0" w:evenHBand="0" w:firstRowFirstColumn="0" w:firstRowLastColumn="0" w:lastRowFirstColumn="0" w:lastRowLastColumn="0"/>
            </w:pPr>
            <w:r w:rsidRPr="00E20061">
              <w:t>ONDA</w:t>
            </w:r>
            <w:r>
              <w:t>/exploitant</w:t>
            </w:r>
          </w:p>
        </w:tc>
      </w:tr>
      <w:tr w:rsidR="00766AF5" w:rsidRPr="00F37F43" w14:paraId="3A0EA89F" w14:textId="77777777" w:rsidTr="005A7661">
        <w:tc>
          <w:tcPr>
            <w:cnfStyle w:val="001000000000" w:firstRow="0" w:lastRow="0" w:firstColumn="1" w:lastColumn="0" w:oddVBand="0" w:evenVBand="0" w:oddHBand="0" w:evenHBand="0" w:firstRowFirstColumn="0" w:firstRowLastColumn="0" w:lastRowFirstColumn="0" w:lastRowLastColumn="0"/>
            <w:tcW w:w="0" w:type="auto"/>
            <w:vAlign w:val="center"/>
          </w:tcPr>
          <w:p w14:paraId="4E7C1C00" w14:textId="77777777" w:rsidR="00766AF5" w:rsidRPr="00F37F43" w:rsidRDefault="00766AF5" w:rsidP="005A7661">
            <w:pPr>
              <w:jc w:val="left"/>
            </w:pPr>
            <w:r>
              <w:t>Bruit</w:t>
            </w:r>
          </w:p>
        </w:tc>
        <w:tc>
          <w:tcPr>
            <w:tcW w:w="0" w:type="auto"/>
            <w:vAlign w:val="center"/>
            <w:hideMark/>
          </w:tcPr>
          <w:p w14:paraId="0A4B156D" w14:textId="77777777" w:rsidR="00766AF5" w:rsidRPr="00E20061" w:rsidRDefault="00766AF5" w:rsidP="005A7661">
            <w:pPr>
              <w:jc w:val="left"/>
              <w:cnfStyle w:val="000000000000" w:firstRow="0" w:lastRow="0" w:firstColumn="0" w:lastColumn="0" w:oddVBand="0" w:evenVBand="0" w:oddHBand="0" w:evenHBand="0" w:firstRowFirstColumn="0" w:firstRowLastColumn="0" w:lastRowFirstColumn="0" w:lastRowLastColumn="0"/>
            </w:pPr>
            <w:r w:rsidRPr="00E20061">
              <w:t>Contrôler les niveaux de bruit liés aux opérations aéronautiques et aux équipements</w:t>
            </w:r>
          </w:p>
        </w:tc>
        <w:tc>
          <w:tcPr>
            <w:tcW w:w="0" w:type="auto"/>
            <w:vAlign w:val="center"/>
            <w:hideMark/>
          </w:tcPr>
          <w:p w14:paraId="7D81BFE0" w14:textId="77777777" w:rsidR="00766AF5" w:rsidRPr="00E20061" w:rsidRDefault="00766AF5" w:rsidP="005A7661">
            <w:pPr>
              <w:jc w:val="left"/>
              <w:cnfStyle w:val="000000000000" w:firstRow="0" w:lastRow="0" w:firstColumn="0" w:lastColumn="0" w:oddVBand="0" w:evenVBand="0" w:oddHBand="0" w:evenHBand="0" w:firstRowFirstColumn="0" w:firstRowLastColumn="0" w:lastRowFirstColumn="0" w:lastRowLastColumn="0"/>
            </w:pPr>
            <w:r w:rsidRPr="00E20061">
              <w:t>Périmètre de l’aéroport, zones techniques et parkings avions</w:t>
            </w:r>
          </w:p>
        </w:tc>
        <w:tc>
          <w:tcPr>
            <w:tcW w:w="0" w:type="auto"/>
            <w:vAlign w:val="center"/>
            <w:hideMark/>
          </w:tcPr>
          <w:p w14:paraId="75AAE6F0" w14:textId="77777777" w:rsidR="00766AF5" w:rsidRPr="00E20061" w:rsidRDefault="00766AF5" w:rsidP="005A7661">
            <w:pPr>
              <w:jc w:val="left"/>
              <w:cnfStyle w:val="000000000000" w:firstRow="0" w:lastRow="0" w:firstColumn="0" w:lastColumn="0" w:oddVBand="0" w:evenVBand="0" w:oddHBand="0" w:evenHBand="0" w:firstRowFirstColumn="0" w:firstRowLastColumn="0" w:lastRowFirstColumn="0" w:lastRowLastColumn="0"/>
            </w:pPr>
            <w:r w:rsidRPr="00E20061">
              <w:t>Mesures sonométriques selon normes marocaines (NM ISO 1996)</w:t>
            </w:r>
          </w:p>
        </w:tc>
        <w:tc>
          <w:tcPr>
            <w:tcW w:w="0" w:type="auto"/>
            <w:vAlign w:val="center"/>
            <w:hideMark/>
          </w:tcPr>
          <w:p w14:paraId="386A7B0D" w14:textId="77777777" w:rsidR="00766AF5" w:rsidRPr="00E20061" w:rsidRDefault="00766AF5" w:rsidP="005A7661">
            <w:pPr>
              <w:jc w:val="left"/>
              <w:cnfStyle w:val="000000000000" w:firstRow="0" w:lastRow="0" w:firstColumn="0" w:lastColumn="0" w:oddVBand="0" w:evenVBand="0" w:oddHBand="0" w:evenHBand="0" w:firstRowFirstColumn="0" w:firstRowLastColumn="0" w:lastRowFirstColumn="0" w:lastRowLastColumn="0"/>
            </w:pPr>
            <w:r w:rsidRPr="004637C7">
              <w:t>Semestrielle</w:t>
            </w:r>
            <w:r w:rsidRPr="00E20061">
              <w:t xml:space="preserve"> et </w:t>
            </w:r>
            <w:r w:rsidRPr="004637C7">
              <w:t>après tout changement d’infrastructure ou d’équipement</w:t>
            </w:r>
          </w:p>
        </w:tc>
        <w:tc>
          <w:tcPr>
            <w:tcW w:w="0" w:type="auto"/>
            <w:vAlign w:val="center"/>
            <w:hideMark/>
          </w:tcPr>
          <w:p w14:paraId="67FF70EB" w14:textId="77777777" w:rsidR="00766AF5" w:rsidRPr="00E20061" w:rsidRDefault="00766AF5" w:rsidP="005A7661">
            <w:pPr>
              <w:jc w:val="left"/>
              <w:cnfStyle w:val="000000000000" w:firstRow="0" w:lastRow="0" w:firstColumn="0" w:lastColumn="0" w:oddVBand="0" w:evenVBand="0" w:oddHBand="0" w:evenHBand="0" w:firstRowFirstColumn="0" w:firstRowLastColumn="0" w:lastRowFirstColumn="0" w:lastRowLastColumn="0"/>
            </w:pPr>
            <w:r w:rsidRPr="00E20061">
              <w:t>S’assurer du respect des seuils réglementaires et prévenir les nuisances sonores</w:t>
            </w:r>
          </w:p>
        </w:tc>
        <w:tc>
          <w:tcPr>
            <w:tcW w:w="0" w:type="auto"/>
            <w:vAlign w:val="center"/>
            <w:hideMark/>
          </w:tcPr>
          <w:p w14:paraId="4D9BE759" w14:textId="77777777" w:rsidR="00766AF5" w:rsidRPr="00E20061" w:rsidRDefault="00766AF5" w:rsidP="005A7661">
            <w:pPr>
              <w:jc w:val="left"/>
              <w:cnfStyle w:val="000000000000" w:firstRow="0" w:lastRow="0" w:firstColumn="0" w:lastColumn="0" w:oddVBand="0" w:evenVBand="0" w:oddHBand="0" w:evenHBand="0" w:firstRowFirstColumn="0" w:firstRowLastColumn="0" w:lastRowFirstColumn="0" w:lastRowLastColumn="0"/>
            </w:pPr>
            <w:r w:rsidRPr="00E20061">
              <w:t>Budget exploitation ONDA</w:t>
            </w:r>
          </w:p>
        </w:tc>
        <w:tc>
          <w:tcPr>
            <w:tcW w:w="0" w:type="auto"/>
            <w:vAlign w:val="center"/>
            <w:hideMark/>
          </w:tcPr>
          <w:p w14:paraId="71072476" w14:textId="77777777" w:rsidR="00766AF5" w:rsidRPr="00E20061" w:rsidRDefault="00766AF5" w:rsidP="005A7661">
            <w:pPr>
              <w:jc w:val="left"/>
              <w:cnfStyle w:val="000000000000" w:firstRow="0" w:lastRow="0" w:firstColumn="0" w:lastColumn="0" w:oddVBand="0" w:evenVBand="0" w:oddHBand="0" w:evenHBand="0" w:firstRowFirstColumn="0" w:firstRowLastColumn="0" w:lastRowFirstColumn="0" w:lastRowLastColumn="0"/>
            </w:pPr>
            <w:r w:rsidRPr="00E20061">
              <w:t>ONDA</w:t>
            </w:r>
            <w:r>
              <w:t>/exploitant</w:t>
            </w:r>
          </w:p>
        </w:tc>
      </w:tr>
      <w:tr w:rsidR="00766AF5" w:rsidRPr="00F37F43" w14:paraId="3E5D6C72" w14:textId="77777777" w:rsidTr="005A7661">
        <w:tc>
          <w:tcPr>
            <w:cnfStyle w:val="001000000000" w:firstRow="0" w:lastRow="0" w:firstColumn="1" w:lastColumn="0" w:oddVBand="0" w:evenVBand="0" w:oddHBand="0" w:evenHBand="0" w:firstRowFirstColumn="0" w:firstRowLastColumn="0" w:lastRowFirstColumn="0" w:lastRowLastColumn="0"/>
            <w:tcW w:w="0" w:type="auto"/>
            <w:vAlign w:val="center"/>
          </w:tcPr>
          <w:p w14:paraId="5F67A903" w14:textId="77777777" w:rsidR="00766AF5" w:rsidRPr="00F37F43" w:rsidRDefault="00766AF5" w:rsidP="005A7661">
            <w:pPr>
              <w:jc w:val="left"/>
            </w:pPr>
            <w:r>
              <w:t>Gestion des déchets</w:t>
            </w:r>
          </w:p>
        </w:tc>
        <w:tc>
          <w:tcPr>
            <w:tcW w:w="0" w:type="auto"/>
            <w:vAlign w:val="center"/>
            <w:hideMark/>
          </w:tcPr>
          <w:p w14:paraId="26CBBC59" w14:textId="77777777" w:rsidR="00766AF5" w:rsidRPr="00E20061" w:rsidRDefault="00766AF5" w:rsidP="005A7661">
            <w:pPr>
              <w:jc w:val="left"/>
              <w:cnfStyle w:val="000000000000" w:firstRow="0" w:lastRow="0" w:firstColumn="0" w:lastColumn="0" w:oddVBand="0" w:evenVBand="0" w:oddHBand="0" w:evenHBand="0" w:firstRowFirstColumn="0" w:firstRowLastColumn="0" w:lastRowFirstColumn="0" w:lastRowLastColumn="0"/>
            </w:pPr>
            <w:r w:rsidRPr="00E20061">
              <w:t>Suivre la gestion et l’élimination des déchets non dangereux et dangereux</w:t>
            </w:r>
          </w:p>
        </w:tc>
        <w:tc>
          <w:tcPr>
            <w:tcW w:w="0" w:type="auto"/>
            <w:vAlign w:val="center"/>
            <w:hideMark/>
          </w:tcPr>
          <w:p w14:paraId="71055727" w14:textId="77777777" w:rsidR="00766AF5" w:rsidRPr="00E20061" w:rsidRDefault="00766AF5" w:rsidP="005A7661">
            <w:pPr>
              <w:jc w:val="left"/>
              <w:cnfStyle w:val="000000000000" w:firstRow="0" w:lastRow="0" w:firstColumn="0" w:lastColumn="0" w:oddVBand="0" w:evenVBand="0" w:oddHBand="0" w:evenHBand="0" w:firstRowFirstColumn="0" w:firstRowLastColumn="0" w:lastRowFirstColumn="0" w:lastRowLastColumn="0"/>
            </w:pPr>
            <w:r w:rsidRPr="00E20061">
              <w:t>Zones de stockage temporaire et circuits de collecte</w:t>
            </w:r>
          </w:p>
        </w:tc>
        <w:tc>
          <w:tcPr>
            <w:tcW w:w="0" w:type="auto"/>
            <w:vAlign w:val="center"/>
            <w:hideMark/>
          </w:tcPr>
          <w:p w14:paraId="74ED758A" w14:textId="77777777" w:rsidR="00766AF5" w:rsidRPr="00E20061" w:rsidRDefault="00766AF5" w:rsidP="005A7661">
            <w:pPr>
              <w:jc w:val="left"/>
              <w:cnfStyle w:val="000000000000" w:firstRow="0" w:lastRow="0" w:firstColumn="0" w:lastColumn="0" w:oddVBand="0" w:evenVBand="0" w:oddHBand="0" w:evenHBand="0" w:firstRowFirstColumn="0" w:firstRowLastColumn="0" w:lastRowFirstColumn="0" w:lastRowLastColumn="0"/>
            </w:pPr>
            <w:r w:rsidRPr="00E20061">
              <w:t>Registres de collecte, bordereaux de suivi, inspections de conformité</w:t>
            </w:r>
          </w:p>
        </w:tc>
        <w:tc>
          <w:tcPr>
            <w:tcW w:w="0" w:type="auto"/>
            <w:vAlign w:val="center"/>
            <w:hideMark/>
          </w:tcPr>
          <w:p w14:paraId="54C3316F" w14:textId="77777777" w:rsidR="00766AF5" w:rsidRPr="00E20061" w:rsidRDefault="00766AF5" w:rsidP="005A7661">
            <w:pPr>
              <w:jc w:val="left"/>
              <w:cnfStyle w:val="000000000000" w:firstRow="0" w:lastRow="0" w:firstColumn="0" w:lastColumn="0" w:oddVBand="0" w:evenVBand="0" w:oddHBand="0" w:evenHBand="0" w:firstRowFirstColumn="0" w:firstRowLastColumn="0" w:lastRowFirstColumn="0" w:lastRowLastColumn="0"/>
            </w:pPr>
            <w:r w:rsidRPr="004637C7">
              <w:t>Trimestrielle</w:t>
            </w:r>
          </w:p>
        </w:tc>
        <w:tc>
          <w:tcPr>
            <w:tcW w:w="0" w:type="auto"/>
            <w:vAlign w:val="center"/>
            <w:hideMark/>
          </w:tcPr>
          <w:p w14:paraId="5F4C445E" w14:textId="77777777" w:rsidR="00766AF5" w:rsidRPr="00E20061" w:rsidRDefault="00766AF5" w:rsidP="005A7661">
            <w:pPr>
              <w:jc w:val="left"/>
              <w:cnfStyle w:val="000000000000" w:firstRow="0" w:lastRow="0" w:firstColumn="0" w:lastColumn="0" w:oddVBand="0" w:evenVBand="0" w:oddHBand="0" w:evenHBand="0" w:firstRowFirstColumn="0" w:firstRowLastColumn="0" w:lastRowFirstColumn="0" w:lastRowLastColumn="0"/>
            </w:pPr>
            <w:r w:rsidRPr="00E20061">
              <w:t>Assurer la traçabilité, prévenir les pollutions et améliorer le tri sélectif</w:t>
            </w:r>
          </w:p>
        </w:tc>
        <w:tc>
          <w:tcPr>
            <w:tcW w:w="0" w:type="auto"/>
            <w:vAlign w:val="center"/>
            <w:hideMark/>
          </w:tcPr>
          <w:p w14:paraId="0BE7AA36" w14:textId="77777777" w:rsidR="00766AF5" w:rsidRPr="00E20061" w:rsidRDefault="00766AF5" w:rsidP="005A7661">
            <w:pPr>
              <w:jc w:val="left"/>
              <w:cnfStyle w:val="000000000000" w:firstRow="0" w:lastRow="0" w:firstColumn="0" w:lastColumn="0" w:oddVBand="0" w:evenVBand="0" w:oddHBand="0" w:evenHBand="0" w:firstRowFirstColumn="0" w:firstRowLastColumn="0" w:lastRowFirstColumn="0" w:lastRowLastColumn="0"/>
            </w:pPr>
            <w:r w:rsidRPr="00E20061">
              <w:t>Contrat prestataire agréé</w:t>
            </w:r>
          </w:p>
        </w:tc>
        <w:tc>
          <w:tcPr>
            <w:tcW w:w="0" w:type="auto"/>
            <w:vAlign w:val="center"/>
            <w:hideMark/>
          </w:tcPr>
          <w:p w14:paraId="517987D9" w14:textId="77777777" w:rsidR="00766AF5" w:rsidRPr="00E20061" w:rsidRDefault="00766AF5" w:rsidP="005A7661">
            <w:pPr>
              <w:jc w:val="left"/>
              <w:cnfStyle w:val="000000000000" w:firstRow="0" w:lastRow="0" w:firstColumn="0" w:lastColumn="0" w:oddVBand="0" w:evenVBand="0" w:oddHBand="0" w:evenHBand="0" w:firstRowFirstColumn="0" w:firstRowLastColumn="0" w:lastRowFirstColumn="0" w:lastRowLastColumn="0"/>
            </w:pPr>
            <w:r w:rsidRPr="00E20061">
              <w:t>ONDA</w:t>
            </w:r>
            <w:r>
              <w:t>/exploitant</w:t>
            </w:r>
          </w:p>
        </w:tc>
      </w:tr>
      <w:tr w:rsidR="00766AF5" w:rsidRPr="00F37F43" w14:paraId="5EA19B40" w14:textId="77777777" w:rsidTr="005A7661">
        <w:tc>
          <w:tcPr>
            <w:cnfStyle w:val="001000000000" w:firstRow="0" w:lastRow="0" w:firstColumn="1" w:lastColumn="0" w:oddVBand="0" w:evenVBand="0" w:oddHBand="0" w:evenHBand="0" w:firstRowFirstColumn="0" w:firstRowLastColumn="0" w:lastRowFirstColumn="0" w:lastRowLastColumn="0"/>
            <w:tcW w:w="0" w:type="auto"/>
            <w:vAlign w:val="center"/>
          </w:tcPr>
          <w:p w14:paraId="21161860" w14:textId="77777777" w:rsidR="00766AF5" w:rsidRPr="00F37F43" w:rsidRDefault="00766AF5" w:rsidP="005A7661">
            <w:pPr>
              <w:jc w:val="left"/>
            </w:pPr>
            <w:r>
              <w:t>Santé et Sécurité des travailleurs</w:t>
            </w:r>
          </w:p>
        </w:tc>
        <w:tc>
          <w:tcPr>
            <w:tcW w:w="0" w:type="auto"/>
            <w:vAlign w:val="center"/>
            <w:hideMark/>
          </w:tcPr>
          <w:p w14:paraId="67B1CEE0" w14:textId="77777777" w:rsidR="00766AF5" w:rsidRPr="00E20061" w:rsidRDefault="00766AF5" w:rsidP="005A7661">
            <w:pPr>
              <w:jc w:val="left"/>
              <w:cnfStyle w:val="000000000000" w:firstRow="0" w:lastRow="0" w:firstColumn="0" w:lastColumn="0" w:oddVBand="0" w:evenVBand="0" w:oddHBand="0" w:evenHBand="0" w:firstRowFirstColumn="0" w:firstRowLastColumn="0" w:lastRowFirstColumn="0" w:lastRowLastColumn="0"/>
            </w:pPr>
            <w:r w:rsidRPr="00E20061">
              <w:t>Contrôler la santé et la sécurité du personnel et des usagers</w:t>
            </w:r>
          </w:p>
        </w:tc>
        <w:tc>
          <w:tcPr>
            <w:tcW w:w="0" w:type="auto"/>
            <w:vAlign w:val="center"/>
            <w:hideMark/>
          </w:tcPr>
          <w:p w14:paraId="2B5A4377" w14:textId="77777777" w:rsidR="00766AF5" w:rsidRPr="00E20061" w:rsidRDefault="00766AF5" w:rsidP="005A7661">
            <w:pPr>
              <w:jc w:val="left"/>
              <w:cnfStyle w:val="000000000000" w:firstRow="0" w:lastRow="0" w:firstColumn="0" w:lastColumn="0" w:oddVBand="0" w:evenVBand="0" w:oddHBand="0" w:evenHBand="0" w:firstRowFirstColumn="0" w:firstRowLastColumn="0" w:lastRowFirstColumn="0" w:lastRowLastColumn="0"/>
            </w:pPr>
            <w:r w:rsidRPr="00E20061">
              <w:t>Bâtiments techniques, zones d’exploitation, parkings avions</w:t>
            </w:r>
          </w:p>
        </w:tc>
        <w:tc>
          <w:tcPr>
            <w:tcW w:w="0" w:type="auto"/>
            <w:vAlign w:val="center"/>
            <w:hideMark/>
          </w:tcPr>
          <w:p w14:paraId="40DAE8C6" w14:textId="77777777" w:rsidR="00766AF5" w:rsidRPr="00E20061" w:rsidRDefault="00766AF5" w:rsidP="005A7661">
            <w:pPr>
              <w:jc w:val="left"/>
              <w:cnfStyle w:val="000000000000" w:firstRow="0" w:lastRow="0" w:firstColumn="0" w:lastColumn="0" w:oddVBand="0" w:evenVBand="0" w:oddHBand="0" w:evenHBand="0" w:firstRowFirstColumn="0" w:firstRowLastColumn="0" w:lastRowFirstColumn="0" w:lastRowLastColumn="0"/>
            </w:pPr>
            <w:r w:rsidRPr="00E20061">
              <w:t>Registre d’accidents, audits internes, inspections sécurité</w:t>
            </w:r>
          </w:p>
        </w:tc>
        <w:tc>
          <w:tcPr>
            <w:tcW w:w="0" w:type="auto"/>
            <w:vAlign w:val="center"/>
            <w:hideMark/>
          </w:tcPr>
          <w:p w14:paraId="2920C4C7" w14:textId="77777777" w:rsidR="00766AF5" w:rsidRPr="00E20061" w:rsidRDefault="00766AF5" w:rsidP="005A7661">
            <w:pPr>
              <w:jc w:val="left"/>
              <w:cnfStyle w:val="000000000000" w:firstRow="0" w:lastRow="0" w:firstColumn="0" w:lastColumn="0" w:oddVBand="0" w:evenVBand="0" w:oddHBand="0" w:evenHBand="0" w:firstRowFirstColumn="0" w:firstRowLastColumn="0" w:lastRowFirstColumn="0" w:lastRowLastColumn="0"/>
            </w:pPr>
            <w:r w:rsidRPr="004637C7">
              <w:t>Mensuelle</w:t>
            </w:r>
            <w:r w:rsidRPr="00E20061">
              <w:t xml:space="preserve"> (surveillance) / </w:t>
            </w:r>
            <w:r w:rsidRPr="004637C7">
              <w:t>Trimestrielle</w:t>
            </w:r>
            <w:r w:rsidRPr="00E20061">
              <w:t xml:space="preserve"> (reporting consolidé)</w:t>
            </w:r>
          </w:p>
        </w:tc>
        <w:tc>
          <w:tcPr>
            <w:tcW w:w="0" w:type="auto"/>
            <w:vAlign w:val="center"/>
            <w:hideMark/>
          </w:tcPr>
          <w:p w14:paraId="6929DFC1" w14:textId="77777777" w:rsidR="00766AF5" w:rsidRPr="00E20061" w:rsidRDefault="00766AF5" w:rsidP="005A7661">
            <w:pPr>
              <w:jc w:val="left"/>
              <w:cnfStyle w:val="000000000000" w:firstRow="0" w:lastRow="0" w:firstColumn="0" w:lastColumn="0" w:oddVBand="0" w:evenVBand="0" w:oddHBand="0" w:evenHBand="0" w:firstRowFirstColumn="0" w:firstRowLastColumn="0" w:lastRowFirstColumn="0" w:lastRowLastColumn="0"/>
            </w:pPr>
            <w:r w:rsidRPr="00E20061">
              <w:t>Maintenir un environnement de travail sûr et réduire les incidents</w:t>
            </w:r>
          </w:p>
        </w:tc>
        <w:tc>
          <w:tcPr>
            <w:tcW w:w="0" w:type="auto"/>
            <w:vAlign w:val="center"/>
            <w:hideMark/>
          </w:tcPr>
          <w:p w14:paraId="0679EAAD" w14:textId="77777777" w:rsidR="00766AF5" w:rsidRPr="00E20061" w:rsidRDefault="00766AF5" w:rsidP="005A7661">
            <w:pPr>
              <w:jc w:val="left"/>
              <w:cnfStyle w:val="000000000000" w:firstRow="0" w:lastRow="0" w:firstColumn="0" w:lastColumn="0" w:oddVBand="0" w:evenVBand="0" w:oddHBand="0" w:evenHBand="0" w:firstRowFirstColumn="0" w:firstRowLastColumn="0" w:lastRowFirstColumn="0" w:lastRowLastColumn="0"/>
            </w:pPr>
            <w:r w:rsidRPr="00E20061">
              <w:t>Budget exploitation ONDA</w:t>
            </w:r>
          </w:p>
        </w:tc>
        <w:tc>
          <w:tcPr>
            <w:tcW w:w="0" w:type="auto"/>
            <w:vAlign w:val="center"/>
            <w:hideMark/>
          </w:tcPr>
          <w:p w14:paraId="0E2C901F" w14:textId="77777777" w:rsidR="00766AF5" w:rsidRPr="00E20061" w:rsidRDefault="00766AF5" w:rsidP="005A7661">
            <w:pPr>
              <w:jc w:val="left"/>
              <w:cnfStyle w:val="000000000000" w:firstRow="0" w:lastRow="0" w:firstColumn="0" w:lastColumn="0" w:oddVBand="0" w:evenVBand="0" w:oddHBand="0" w:evenHBand="0" w:firstRowFirstColumn="0" w:firstRowLastColumn="0" w:lastRowFirstColumn="0" w:lastRowLastColumn="0"/>
            </w:pPr>
            <w:r w:rsidRPr="00E20061">
              <w:t xml:space="preserve">ONDA </w:t>
            </w:r>
          </w:p>
        </w:tc>
      </w:tr>
      <w:tr w:rsidR="00766AF5" w:rsidRPr="00712B57" w14:paraId="09F24736" w14:textId="77777777" w:rsidTr="005A7661">
        <w:tc>
          <w:tcPr>
            <w:cnfStyle w:val="001000000000" w:firstRow="0" w:lastRow="0" w:firstColumn="1" w:lastColumn="0" w:oddVBand="0" w:evenVBand="0" w:oddHBand="0" w:evenHBand="0" w:firstRowFirstColumn="0" w:firstRowLastColumn="0" w:lastRowFirstColumn="0" w:lastRowLastColumn="0"/>
            <w:tcW w:w="0" w:type="auto"/>
            <w:vAlign w:val="center"/>
          </w:tcPr>
          <w:p w14:paraId="78CDC39C" w14:textId="77777777" w:rsidR="00766AF5" w:rsidRPr="00F37F43" w:rsidRDefault="00766AF5" w:rsidP="005A7661">
            <w:pPr>
              <w:jc w:val="left"/>
            </w:pPr>
            <w:r>
              <w:lastRenderedPageBreak/>
              <w:t>Gestion des plaintes</w:t>
            </w:r>
          </w:p>
        </w:tc>
        <w:tc>
          <w:tcPr>
            <w:tcW w:w="0" w:type="auto"/>
            <w:vAlign w:val="center"/>
            <w:hideMark/>
          </w:tcPr>
          <w:p w14:paraId="08D61DF4" w14:textId="77777777" w:rsidR="00766AF5" w:rsidRPr="00E20061" w:rsidRDefault="00766AF5" w:rsidP="005A7661">
            <w:pPr>
              <w:jc w:val="left"/>
              <w:cnfStyle w:val="000000000000" w:firstRow="0" w:lastRow="0" w:firstColumn="0" w:lastColumn="0" w:oddVBand="0" w:evenVBand="0" w:oddHBand="0" w:evenHBand="0" w:firstRowFirstColumn="0" w:firstRowLastColumn="0" w:lastRowFirstColumn="0" w:lastRowLastColumn="0"/>
            </w:pPr>
            <w:r w:rsidRPr="00E20061">
              <w:t xml:space="preserve">Suivre les relations communautaires et plaintes </w:t>
            </w:r>
          </w:p>
        </w:tc>
        <w:tc>
          <w:tcPr>
            <w:tcW w:w="0" w:type="auto"/>
            <w:vAlign w:val="center"/>
            <w:hideMark/>
          </w:tcPr>
          <w:p w14:paraId="1947CADF" w14:textId="77777777" w:rsidR="00766AF5" w:rsidRPr="00E20061" w:rsidRDefault="00766AF5" w:rsidP="005A7661">
            <w:pPr>
              <w:jc w:val="left"/>
              <w:cnfStyle w:val="000000000000" w:firstRow="0" w:lastRow="0" w:firstColumn="0" w:lastColumn="0" w:oddVBand="0" w:evenVBand="0" w:oddHBand="0" w:evenHBand="0" w:firstRowFirstColumn="0" w:firstRowLastColumn="0" w:lastRowFirstColumn="0" w:lastRowLastColumn="0"/>
            </w:pPr>
            <w:r w:rsidRPr="00E20061">
              <w:t>Communes avoisinantes et autorités locales</w:t>
            </w:r>
          </w:p>
        </w:tc>
        <w:tc>
          <w:tcPr>
            <w:tcW w:w="0" w:type="auto"/>
            <w:vAlign w:val="center"/>
            <w:hideMark/>
          </w:tcPr>
          <w:p w14:paraId="723E8D73" w14:textId="77777777" w:rsidR="00766AF5" w:rsidRPr="00E20061" w:rsidRDefault="00766AF5" w:rsidP="005A7661">
            <w:pPr>
              <w:jc w:val="left"/>
              <w:cnfStyle w:val="000000000000" w:firstRow="0" w:lastRow="0" w:firstColumn="0" w:lastColumn="0" w:oddVBand="0" w:evenVBand="0" w:oddHBand="0" w:evenHBand="0" w:firstRowFirstColumn="0" w:firstRowLastColumn="0" w:lastRowFirstColumn="0" w:lastRowLastColumn="0"/>
            </w:pPr>
            <w:r w:rsidRPr="00E20061">
              <w:t>Registre du MGP, réunions périodiques de concertation</w:t>
            </w:r>
          </w:p>
        </w:tc>
        <w:tc>
          <w:tcPr>
            <w:tcW w:w="0" w:type="auto"/>
            <w:vAlign w:val="center"/>
            <w:hideMark/>
          </w:tcPr>
          <w:p w14:paraId="64C556B5" w14:textId="77777777" w:rsidR="00766AF5" w:rsidRPr="00E20061" w:rsidRDefault="00766AF5" w:rsidP="005A7661">
            <w:pPr>
              <w:jc w:val="left"/>
              <w:cnfStyle w:val="000000000000" w:firstRow="0" w:lastRow="0" w:firstColumn="0" w:lastColumn="0" w:oddVBand="0" w:evenVBand="0" w:oddHBand="0" w:evenHBand="0" w:firstRowFirstColumn="0" w:firstRowLastColumn="0" w:lastRowFirstColumn="0" w:lastRowLastColumn="0"/>
            </w:pPr>
            <w:r w:rsidRPr="004637C7">
              <w:t>Trimestrielle</w:t>
            </w:r>
          </w:p>
        </w:tc>
        <w:tc>
          <w:tcPr>
            <w:tcW w:w="0" w:type="auto"/>
            <w:vAlign w:val="center"/>
            <w:hideMark/>
          </w:tcPr>
          <w:p w14:paraId="019C472F" w14:textId="77777777" w:rsidR="00766AF5" w:rsidRPr="00E20061" w:rsidRDefault="00766AF5" w:rsidP="005A7661">
            <w:pPr>
              <w:jc w:val="left"/>
              <w:cnfStyle w:val="000000000000" w:firstRow="0" w:lastRow="0" w:firstColumn="0" w:lastColumn="0" w:oddVBand="0" w:evenVBand="0" w:oddHBand="0" w:evenHBand="0" w:firstRowFirstColumn="0" w:firstRowLastColumn="0" w:lastRowFirstColumn="0" w:lastRowLastColumn="0"/>
            </w:pPr>
            <w:r w:rsidRPr="00E20061">
              <w:t>Préserver la bonne entente avec les riverains et garantir la transparence</w:t>
            </w:r>
          </w:p>
        </w:tc>
        <w:tc>
          <w:tcPr>
            <w:tcW w:w="0" w:type="auto"/>
            <w:vAlign w:val="center"/>
            <w:hideMark/>
          </w:tcPr>
          <w:p w14:paraId="636378FD" w14:textId="77777777" w:rsidR="00766AF5" w:rsidRPr="00E20061" w:rsidRDefault="00766AF5" w:rsidP="005A7661">
            <w:pPr>
              <w:jc w:val="left"/>
              <w:cnfStyle w:val="000000000000" w:firstRow="0" w:lastRow="0" w:firstColumn="0" w:lastColumn="0" w:oddVBand="0" w:evenVBand="0" w:oddHBand="0" w:evenHBand="0" w:firstRowFirstColumn="0" w:firstRowLastColumn="0" w:lastRowFirstColumn="0" w:lastRowLastColumn="0"/>
            </w:pPr>
            <w:r w:rsidRPr="00E20061">
              <w:t>Négligeable</w:t>
            </w:r>
          </w:p>
        </w:tc>
        <w:tc>
          <w:tcPr>
            <w:tcW w:w="0" w:type="auto"/>
            <w:vAlign w:val="center"/>
            <w:hideMark/>
          </w:tcPr>
          <w:p w14:paraId="7A257479" w14:textId="77777777" w:rsidR="00766AF5" w:rsidRPr="004637C7" w:rsidRDefault="00766AF5" w:rsidP="005A7661">
            <w:pPr>
              <w:jc w:val="left"/>
              <w:cnfStyle w:val="000000000000" w:firstRow="0" w:lastRow="0" w:firstColumn="0" w:lastColumn="0" w:oddVBand="0" w:evenVBand="0" w:oddHBand="0" w:evenHBand="0" w:firstRowFirstColumn="0" w:firstRowLastColumn="0" w:lastRowFirstColumn="0" w:lastRowLastColumn="0"/>
              <w:rPr>
                <w:lang w:val="en-US"/>
              </w:rPr>
            </w:pPr>
            <w:r w:rsidRPr="004637C7">
              <w:rPr>
                <w:lang w:val="en-US"/>
              </w:rPr>
              <w:t xml:space="preserve">ONDA – </w:t>
            </w:r>
            <w:r>
              <w:rPr>
                <w:lang w:val="en-US"/>
              </w:rPr>
              <w:t>CLO</w:t>
            </w:r>
          </w:p>
        </w:tc>
      </w:tr>
      <w:tr w:rsidR="00766AF5" w:rsidRPr="00F37F43" w14:paraId="34F80326" w14:textId="77777777" w:rsidTr="005A7661">
        <w:tc>
          <w:tcPr>
            <w:cnfStyle w:val="001000000000" w:firstRow="0" w:lastRow="0" w:firstColumn="1" w:lastColumn="0" w:oddVBand="0" w:evenVBand="0" w:oddHBand="0" w:evenHBand="0" w:firstRowFirstColumn="0" w:firstRowLastColumn="0" w:lastRowFirstColumn="0" w:lastRowLastColumn="0"/>
            <w:tcW w:w="0" w:type="auto"/>
            <w:vAlign w:val="center"/>
          </w:tcPr>
          <w:p w14:paraId="2EA2A2D5" w14:textId="77777777" w:rsidR="00766AF5" w:rsidRPr="00F37F43" w:rsidRDefault="00766AF5" w:rsidP="005A7661">
            <w:pPr>
              <w:jc w:val="left"/>
            </w:pPr>
            <w:r>
              <w:t>Utilisation des ressources en eau et de l’Energie</w:t>
            </w:r>
          </w:p>
        </w:tc>
        <w:tc>
          <w:tcPr>
            <w:tcW w:w="0" w:type="auto"/>
            <w:vAlign w:val="center"/>
            <w:hideMark/>
          </w:tcPr>
          <w:p w14:paraId="304D9268" w14:textId="77777777" w:rsidR="00766AF5" w:rsidRPr="00E20061" w:rsidRDefault="00766AF5" w:rsidP="005A7661">
            <w:pPr>
              <w:jc w:val="left"/>
              <w:cnfStyle w:val="000000000000" w:firstRow="0" w:lastRow="0" w:firstColumn="0" w:lastColumn="0" w:oddVBand="0" w:evenVBand="0" w:oddHBand="0" w:evenHBand="0" w:firstRowFirstColumn="0" w:firstRowLastColumn="0" w:lastRowFirstColumn="0" w:lastRowLastColumn="0"/>
            </w:pPr>
            <w:r w:rsidRPr="00E20061">
              <w:t>Surveiller la consommation d’énergie et d’eau</w:t>
            </w:r>
          </w:p>
        </w:tc>
        <w:tc>
          <w:tcPr>
            <w:tcW w:w="0" w:type="auto"/>
            <w:vAlign w:val="center"/>
            <w:hideMark/>
          </w:tcPr>
          <w:p w14:paraId="2AF66F22" w14:textId="77777777" w:rsidR="00766AF5" w:rsidRPr="00E20061" w:rsidRDefault="00766AF5" w:rsidP="005A7661">
            <w:pPr>
              <w:jc w:val="left"/>
              <w:cnfStyle w:val="000000000000" w:firstRow="0" w:lastRow="0" w:firstColumn="0" w:lastColumn="0" w:oddVBand="0" w:evenVBand="0" w:oddHBand="0" w:evenHBand="0" w:firstRowFirstColumn="0" w:firstRowLastColumn="0" w:lastRowFirstColumn="0" w:lastRowLastColumn="0"/>
            </w:pPr>
            <w:r w:rsidRPr="00E20061">
              <w:t>Postes de consommation principaux (bâtiments, éclairage, équipements)</w:t>
            </w:r>
          </w:p>
        </w:tc>
        <w:tc>
          <w:tcPr>
            <w:tcW w:w="0" w:type="auto"/>
            <w:vAlign w:val="center"/>
            <w:hideMark/>
          </w:tcPr>
          <w:p w14:paraId="4B122C8A" w14:textId="77777777" w:rsidR="00766AF5" w:rsidRPr="00E20061" w:rsidRDefault="00766AF5" w:rsidP="005A7661">
            <w:pPr>
              <w:jc w:val="left"/>
              <w:cnfStyle w:val="000000000000" w:firstRow="0" w:lastRow="0" w:firstColumn="0" w:lastColumn="0" w:oddVBand="0" w:evenVBand="0" w:oddHBand="0" w:evenHBand="0" w:firstRowFirstColumn="0" w:firstRowLastColumn="0" w:lastRowFirstColumn="0" w:lastRowLastColumn="0"/>
            </w:pPr>
            <w:r w:rsidRPr="00E20061">
              <w:t>Relevés des compteurs, comparaison avec les historiques</w:t>
            </w:r>
          </w:p>
        </w:tc>
        <w:tc>
          <w:tcPr>
            <w:tcW w:w="0" w:type="auto"/>
            <w:vAlign w:val="center"/>
            <w:hideMark/>
          </w:tcPr>
          <w:p w14:paraId="13438506" w14:textId="77777777" w:rsidR="00766AF5" w:rsidRPr="00E20061" w:rsidRDefault="00766AF5" w:rsidP="005A7661">
            <w:pPr>
              <w:jc w:val="left"/>
              <w:cnfStyle w:val="000000000000" w:firstRow="0" w:lastRow="0" w:firstColumn="0" w:lastColumn="0" w:oddVBand="0" w:evenVBand="0" w:oddHBand="0" w:evenHBand="0" w:firstRowFirstColumn="0" w:firstRowLastColumn="0" w:lastRowFirstColumn="0" w:lastRowLastColumn="0"/>
            </w:pPr>
            <w:r w:rsidRPr="004637C7">
              <w:t>Trimestrielle</w:t>
            </w:r>
          </w:p>
        </w:tc>
        <w:tc>
          <w:tcPr>
            <w:tcW w:w="0" w:type="auto"/>
            <w:vAlign w:val="center"/>
            <w:hideMark/>
          </w:tcPr>
          <w:p w14:paraId="2052F752" w14:textId="77777777" w:rsidR="00766AF5" w:rsidRPr="00E20061" w:rsidRDefault="00766AF5" w:rsidP="005A7661">
            <w:pPr>
              <w:jc w:val="left"/>
              <w:cnfStyle w:val="000000000000" w:firstRow="0" w:lastRow="0" w:firstColumn="0" w:lastColumn="0" w:oddVBand="0" w:evenVBand="0" w:oddHBand="0" w:evenHBand="0" w:firstRowFirstColumn="0" w:firstRowLastColumn="0" w:lastRowFirstColumn="0" w:lastRowLastColumn="0"/>
            </w:pPr>
            <w:r w:rsidRPr="00E20061">
              <w:t>Optimiser la performance énergétique et maîtriser les ressources</w:t>
            </w:r>
          </w:p>
        </w:tc>
        <w:tc>
          <w:tcPr>
            <w:tcW w:w="0" w:type="auto"/>
            <w:vAlign w:val="center"/>
            <w:hideMark/>
          </w:tcPr>
          <w:p w14:paraId="29E6CAD9" w14:textId="77777777" w:rsidR="00766AF5" w:rsidRPr="00E20061" w:rsidRDefault="00766AF5" w:rsidP="005A7661">
            <w:pPr>
              <w:jc w:val="left"/>
              <w:cnfStyle w:val="000000000000" w:firstRow="0" w:lastRow="0" w:firstColumn="0" w:lastColumn="0" w:oddVBand="0" w:evenVBand="0" w:oddHBand="0" w:evenHBand="0" w:firstRowFirstColumn="0" w:firstRowLastColumn="0" w:lastRowFirstColumn="0" w:lastRowLastColumn="0"/>
            </w:pPr>
            <w:r w:rsidRPr="00E20061">
              <w:t>Budget exploitation ONDA</w:t>
            </w:r>
          </w:p>
        </w:tc>
        <w:tc>
          <w:tcPr>
            <w:tcW w:w="0" w:type="auto"/>
            <w:vAlign w:val="center"/>
            <w:hideMark/>
          </w:tcPr>
          <w:p w14:paraId="1600BA4E" w14:textId="77777777" w:rsidR="00766AF5" w:rsidRPr="00E20061" w:rsidRDefault="00766AF5" w:rsidP="005A7661">
            <w:pPr>
              <w:jc w:val="left"/>
              <w:cnfStyle w:val="000000000000" w:firstRow="0" w:lastRow="0" w:firstColumn="0" w:lastColumn="0" w:oddVBand="0" w:evenVBand="0" w:oddHBand="0" w:evenHBand="0" w:firstRowFirstColumn="0" w:firstRowLastColumn="0" w:lastRowFirstColumn="0" w:lastRowLastColumn="0"/>
            </w:pPr>
            <w:r w:rsidRPr="00E20061">
              <w:t xml:space="preserve">ONDA </w:t>
            </w:r>
          </w:p>
        </w:tc>
      </w:tr>
      <w:tr w:rsidR="00766AF5" w:rsidRPr="00F37F43" w14:paraId="6FE907DC" w14:textId="77777777" w:rsidTr="005A7661">
        <w:tc>
          <w:tcPr>
            <w:cnfStyle w:val="001000000000" w:firstRow="0" w:lastRow="0" w:firstColumn="1" w:lastColumn="0" w:oddVBand="0" w:evenVBand="0" w:oddHBand="0" w:evenHBand="0" w:firstRowFirstColumn="0" w:firstRowLastColumn="0" w:lastRowFirstColumn="0" w:lastRowLastColumn="0"/>
            <w:tcW w:w="0" w:type="auto"/>
            <w:vAlign w:val="center"/>
          </w:tcPr>
          <w:p w14:paraId="299DA737" w14:textId="77777777" w:rsidR="00766AF5" w:rsidRPr="00F37F43" w:rsidRDefault="00766AF5" w:rsidP="005A7661">
            <w:pPr>
              <w:jc w:val="left"/>
            </w:pPr>
            <w:r>
              <w:t>Milieu naturel</w:t>
            </w:r>
          </w:p>
        </w:tc>
        <w:tc>
          <w:tcPr>
            <w:tcW w:w="0" w:type="auto"/>
            <w:vAlign w:val="center"/>
            <w:hideMark/>
          </w:tcPr>
          <w:p w14:paraId="2024BDBA" w14:textId="77777777" w:rsidR="00766AF5" w:rsidRPr="00E20061" w:rsidRDefault="00766AF5" w:rsidP="005A7661">
            <w:pPr>
              <w:jc w:val="left"/>
              <w:cnfStyle w:val="000000000000" w:firstRow="0" w:lastRow="0" w:firstColumn="0" w:lastColumn="0" w:oddVBand="0" w:evenVBand="0" w:oddHBand="0" w:evenHBand="0" w:firstRowFirstColumn="0" w:firstRowLastColumn="0" w:lastRowFirstColumn="0" w:lastRowLastColumn="0"/>
            </w:pPr>
            <w:r w:rsidRPr="00E20061">
              <w:t>Contrôler la végétation et les aménagements paysagers</w:t>
            </w:r>
          </w:p>
        </w:tc>
        <w:tc>
          <w:tcPr>
            <w:tcW w:w="0" w:type="auto"/>
            <w:vAlign w:val="center"/>
            <w:hideMark/>
          </w:tcPr>
          <w:p w14:paraId="3C8F4CC1" w14:textId="77777777" w:rsidR="00766AF5" w:rsidRPr="00E20061" w:rsidRDefault="00766AF5" w:rsidP="005A7661">
            <w:pPr>
              <w:jc w:val="left"/>
              <w:cnfStyle w:val="000000000000" w:firstRow="0" w:lastRow="0" w:firstColumn="0" w:lastColumn="0" w:oddVBand="0" w:evenVBand="0" w:oddHBand="0" w:evenHBand="0" w:firstRowFirstColumn="0" w:firstRowLastColumn="0" w:lastRowFirstColumn="0" w:lastRowLastColumn="0"/>
            </w:pPr>
            <w:r w:rsidRPr="00E20061">
              <w:t>Zones aménagées autour des infrastructures</w:t>
            </w:r>
          </w:p>
        </w:tc>
        <w:tc>
          <w:tcPr>
            <w:tcW w:w="0" w:type="auto"/>
            <w:vAlign w:val="center"/>
            <w:hideMark/>
          </w:tcPr>
          <w:p w14:paraId="60806D31" w14:textId="77777777" w:rsidR="00766AF5" w:rsidRPr="00E20061" w:rsidRDefault="00766AF5" w:rsidP="005A7661">
            <w:pPr>
              <w:jc w:val="left"/>
              <w:cnfStyle w:val="000000000000" w:firstRow="0" w:lastRow="0" w:firstColumn="0" w:lastColumn="0" w:oddVBand="0" w:evenVBand="0" w:oddHBand="0" w:evenHBand="0" w:firstRowFirstColumn="0" w:firstRowLastColumn="0" w:lastRowFirstColumn="0" w:lastRowLastColumn="0"/>
            </w:pPr>
            <w:r w:rsidRPr="00E20061">
              <w:t>Inspection visuelle et entretien périodique</w:t>
            </w:r>
          </w:p>
        </w:tc>
        <w:tc>
          <w:tcPr>
            <w:tcW w:w="0" w:type="auto"/>
            <w:vAlign w:val="center"/>
            <w:hideMark/>
          </w:tcPr>
          <w:p w14:paraId="39E9CBEA" w14:textId="77777777" w:rsidR="00766AF5" w:rsidRPr="00E20061" w:rsidRDefault="00766AF5" w:rsidP="005A7661">
            <w:pPr>
              <w:jc w:val="left"/>
              <w:cnfStyle w:val="000000000000" w:firstRow="0" w:lastRow="0" w:firstColumn="0" w:lastColumn="0" w:oddVBand="0" w:evenVBand="0" w:oddHBand="0" w:evenHBand="0" w:firstRowFirstColumn="0" w:firstRowLastColumn="0" w:lastRowFirstColumn="0" w:lastRowLastColumn="0"/>
            </w:pPr>
            <w:r w:rsidRPr="004637C7">
              <w:t>Semestrielle</w:t>
            </w:r>
          </w:p>
        </w:tc>
        <w:tc>
          <w:tcPr>
            <w:tcW w:w="0" w:type="auto"/>
            <w:vAlign w:val="center"/>
            <w:hideMark/>
          </w:tcPr>
          <w:p w14:paraId="5940A50D" w14:textId="77777777" w:rsidR="00766AF5" w:rsidRPr="00E20061" w:rsidRDefault="00766AF5" w:rsidP="005A7661">
            <w:pPr>
              <w:jc w:val="left"/>
              <w:cnfStyle w:val="000000000000" w:firstRow="0" w:lastRow="0" w:firstColumn="0" w:lastColumn="0" w:oddVBand="0" w:evenVBand="0" w:oddHBand="0" w:evenHBand="0" w:firstRowFirstColumn="0" w:firstRowLastColumn="0" w:lastRowFirstColumn="0" w:lastRowLastColumn="0"/>
            </w:pPr>
            <w:r w:rsidRPr="00E20061">
              <w:t>Maintenir les conditions esthétiques et éviter les risques d’attraction aviaire</w:t>
            </w:r>
          </w:p>
        </w:tc>
        <w:tc>
          <w:tcPr>
            <w:tcW w:w="0" w:type="auto"/>
            <w:vAlign w:val="center"/>
            <w:hideMark/>
          </w:tcPr>
          <w:p w14:paraId="2008C3C8" w14:textId="77777777" w:rsidR="00766AF5" w:rsidRPr="00E20061" w:rsidRDefault="00766AF5" w:rsidP="005A7661">
            <w:pPr>
              <w:jc w:val="left"/>
              <w:cnfStyle w:val="000000000000" w:firstRow="0" w:lastRow="0" w:firstColumn="0" w:lastColumn="0" w:oddVBand="0" w:evenVBand="0" w:oddHBand="0" w:evenHBand="0" w:firstRowFirstColumn="0" w:firstRowLastColumn="0" w:lastRowFirstColumn="0" w:lastRowLastColumn="0"/>
            </w:pPr>
            <w:r w:rsidRPr="00E20061">
              <w:t>Budget exploitation ONDA</w:t>
            </w:r>
          </w:p>
        </w:tc>
        <w:tc>
          <w:tcPr>
            <w:tcW w:w="0" w:type="auto"/>
            <w:vAlign w:val="center"/>
            <w:hideMark/>
          </w:tcPr>
          <w:p w14:paraId="0B4BA441" w14:textId="77777777" w:rsidR="00766AF5" w:rsidRPr="00E20061" w:rsidRDefault="00766AF5" w:rsidP="005A7661">
            <w:pPr>
              <w:jc w:val="left"/>
              <w:cnfStyle w:val="000000000000" w:firstRow="0" w:lastRow="0" w:firstColumn="0" w:lastColumn="0" w:oddVBand="0" w:evenVBand="0" w:oddHBand="0" w:evenHBand="0" w:firstRowFirstColumn="0" w:firstRowLastColumn="0" w:lastRowFirstColumn="0" w:lastRowLastColumn="0"/>
            </w:pPr>
            <w:r w:rsidRPr="00E20061">
              <w:t xml:space="preserve">ONDA </w:t>
            </w:r>
          </w:p>
        </w:tc>
      </w:tr>
    </w:tbl>
    <w:p w14:paraId="76861E8D" w14:textId="77777777" w:rsidR="009F437F" w:rsidRDefault="009F437F" w:rsidP="00492F37"/>
    <w:p w14:paraId="799B17D9" w14:textId="77777777" w:rsidR="00766AF5" w:rsidRDefault="00766AF5" w:rsidP="00492F37"/>
    <w:p w14:paraId="47D0FEAE" w14:textId="77777777" w:rsidR="00766AF5" w:rsidRDefault="00766AF5" w:rsidP="00492F37">
      <w:pPr>
        <w:sectPr w:rsidR="00766AF5" w:rsidSect="00766AF5">
          <w:pgSz w:w="16838" w:h="11906" w:orient="landscape"/>
          <w:pgMar w:top="1417" w:right="1417" w:bottom="1417" w:left="1276" w:header="680" w:footer="680" w:gutter="0"/>
          <w:cols w:space="708"/>
          <w:docGrid w:linePitch="360"/>
        </w:sectPr>
      </w:pPr>
    </w:p>
    <w:p w14:paraId="705CDDBD" w14:textId="77777777" w:rsidR="00C24406" w:rsidRDefault="00C24406" w:rsidP="00492F37"/>
    <w:p w14:paraId="105EAB0E" w14:textId="4AD7B440" w:rsidR="009F437F" w:rsidRDefault="00862C9D" w:rsidP="00862C9D">
      <w:pPr>
        <w:pStyle w:val="Title3"/>
      </w:pPr>
      <w:bookmarkStart w:id="63" w:name="_Toc215131788"/>
      <w:r>
        <w:t>Coût de mise en œuvre</w:t>
      </w:r>
      <w:bookmarkEnd w:id="63"/>
    </w:p>
    <w:p w14:paraId="1443E131" w14:textId="77777777" w:rsidR="00386ECC" w:rsidRDefault="00386ECC" w:rsidP="00386ECC">
      <w:r>
        <w:t>Le tableau ci-après présente la synthèse des coûts par phase et par entité responsable.</w:t>
      </w:r>
    </w:p>
    <w:p w14:paraId="0B22C642" w14:textId="1D14FD7A" w:rsidR="00386ECC" w:rsidRDefault="00386ECC" w:rsidP="00386ECC">
      <w:pPr>
        <w:pStyle w:val="Lgende"/>
      </w:pPr>
      <w:bookmarkStart w:id="64" w:name="_Toc213404335"/>
      <w:r>
        <w:t xml:space="preserve">Tableau </w:t>
      </w:r>
      <w:r>
        <w:fldChar w:fldCharType="begin"/>
      </w:r>
      <w:r>
        <w:instrText xml:space="preserve"> SEQ Tableau \* ARABIC </w:instrText>
      </w:r>
      <w:r>
        <w:fldChar w:fldCharType="separate"/>
      </w:r>
      <w:r w:rsidR="00274E71">
        <w:rPr>
          <w:noProof/>
        </w:rPr>
        <w:t>12</w:t>
      </w:r>
      <w:r>
        <w:fldChar w:fldCharType="end"/>
      </w:r>
      <w:r>
        <w:rPr>
          <w:lang w:val="fr-FR"/>
        </w:rPr>
        <w:t xml:space="preserve"> : </w:t>
      </w:r>
      <w:r w:rsidRPr="00FE257E">
        <w:rPr>
          <w:lang w:val="fr-FR"/>
        </w:rPr>
        <w:t>Estimation des coûts de mise en œuvre du PGES</w:t>
      </w:r>
      <w:bookmarkEnd w:id="64"/>
    </w:p>
    <w:tbl>
      <w:tblPr>
        <w:tblStyle w:val="TableauGrille1Clair-Accentuation111"/>
        <w:tblW w:w="0" w:type="auto"/>
        <w:tblInd w:w="-113" w:type="dxa"/>
        <w:tblLook w:val="04A0" w:firstRow="1" w:lastRow="0" w:firstColumn="1" w:lastColumn="0" w:noHBand="0" w:noVBand="1"/>
      </w:tblPr>
      <w:tblGrid>
        <w:gridCol w:w="1861"/>
        <w:gridCol w:w="2402"/>
        <w:gridCol w:w="2509"/>
        <w:gridCol w:w="1093"/>
        <w:gridCol w:w="1310"/>
      </w:tblGrid>
      <w:tr w:rsidR="00693B36" w14:paraId="66606EB3" w14:textId="77777777" w:rsidTr="00693B3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B4C6E7"/>
              <w:left w:val="single" w:sz="4" w:space="0" w:color="B4C6E7"/>
              <w:bottom w:val="single" w:sz="4" w:space="0" w:color="B4C6E7"/>
              <w:right w:val="single" w:sz="4" w:space="0" w:color="B4C6E7"/>
            </w:tcBorders>
            <w:hideMark/>
          </w:tcPr>
          <w:p w14:paraId="2374814A" w14:textId="77777777" w:rsidR="00693B36" w:rsidRDefault="00693B36">
            <w:pPr>
              <w:spacing w:before="0" w:after="0" w:line="240" w:lineRule="auto"/>
              <w:jc w:val="center"/>
              <w:rPr>
                <w:rFonts w:asciiTheme="minorHAnsi" w:hAnsiTheme="minorHAnsi" w:cstheme="minorHAnsi"/>
                <w:lang w:eastAsia="fr-FR" w:bidi="ar-SA"/>
              </w:rPr>
            </w:pPr>
            <w:r>
              <w:rPr>
                <w:rFonts w:asciiTheme="minorHAnsi" w:hAnsiTheme="minorHAnsi" w:cstheme="minorHAnsi"/>
                <w:lang w:eastAsia="fr-FR" w:bidi="ar-SA"/>
              </w:rPr>
              <w:t>Catégorie</w:t>
            </w:r>
          </w:p>
        </w:tc>
        <w:tc>
          <w:tcPr>
            <w:tcW w:w="0" w:type="auto"/>
            <w:tcBorders>
              <w:top w:val="single" w:sz="4" w:space="0" w:color="B4C6E7"/>
              <w:left w:val="single" w:sz="4" w:space="0" w:color="B4C6E7"/>
              <w:bottom w:val="single" w:sz="4" w:space="0" w:color="B4C6E7"/>
              <w:right w:val="single" w:sz="4" w:space="0" w:color="B4C6E7"/>
            </w:tcBorders>
            <w:hideMark/>
          </w:tcPr>
          <w:p w14:paraId="4790A722" w14:textId="77777777" w:rsidR="00693B36" w:rsidRDefault="00693B36">
            <w:pPr>
              <w:spacing w:before="0"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lang w:eastAsia="fr-FR" w:bidi="ar-SA"/>
              </w:rPr>
            </w:pPr>
            <w:r>
              <w:rPr>
                <w:rFonts w:asciiTheme="minorHAnsi" w:hAnsiTheme="minorHAnsi" w:cstheme="minorHAnsi"/>
                <w:b w:val="0"/>
                <w:bCs w:val="0"/>
                <w:lang w:eastAsia="fr-FR" w:bidi="ar-SA"/>
              </w:rPr>
              <w:t>Activités / Postes</w:t>
            </w:r>
          </w:p>
        </w:tc>
        <w:tc>
          <w:tcPr>
            <w:tcW w:w="0" w:type="auto"/>
            <w:tcBorders>
              <w:top w:val="single" w:sz="4" w:space="0" w:color="B4C6E7"/>
              <w:left w:val="single" w:sz="4" w:space="0" w:color="B4C6E7"/>
              <w:bottom w:val="single" w:sz="4" w:space="0" w:color="B4C6E7"/>
              <w:right w:val="single" w:sz="4" w:space="0" w:color="B4C6E7"/>
            </w:tcBorders>
            <w:hideMark/>
          </w:tcPr>
          <w:p w14:paraId="1368A67C" w14:textId="77777777" w:rsidR="00693B36" w:rsidRDefault="00693B36">
            <w:pPr>
              <w:spacing w:before="0"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lang w:eastAsia="fr-FR" w:bidi="ar-SA"/>
              </w:rPr>
            </w:pPr>
            <w:r>
              <w:rPr>
                <w:rFonts w:asciiTheme="minorHAnsi" w:hAnsiTheme="minorHAnsi" w:cstheme="minorHAnsi"/>
                <w:b w:val="0"/>
                <w:bCs w:val="0"/>
                <w:lang w:eastAsia="fr-FR" w:bidi="ar-SA"/>
              </w:rPr>
              <w:t>Description</w:t>
            </w:r>
          </w:p>
        </w:tc>
        <w:tc>
          <w:tcPr>
            <w:tcW w:w="0" w:type="auto"/>
            <w:tcBorders>
              <w:top w:val="single" w:sz="4" w:space="0" w:color="B4C6E7"/>
              <w:left w:val="single" w:sz="4" w:space="0" w:color="B4C6E7"/>
              <w:bottom w:val="single" w:sz="4" w:space="0" w:color="B4C6E7"/>
              <w:right w:val="single" w:sz="4" w:space="0" w:color="B4C6E7"/>
            </w:tcBorders>
            <w:hideMark/>
          </w:tcPr>
          <w:p w14:paraId="30C7A270" w14:textId="77777777" w:rsidR="00693B36" w:rsidRDefault="00693B36">
            <w:pPr>
              <w:spacing w:before="0"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lang w:eastAsia="fr-FR" w:bidi="ar-SA"/>
              </w:rPr>
            </w:pPr>
            <w:r>
              <w:rPr>
                <w:rFonts w:asciiTheme="minorHAnsi" w:hAnsiTheme="minorHAnsi" w:cstheme="minorHAnsi"/>
                <w:b w:val="0"/>
                <w:bCs w:val="0"/>
                <w:lang w:eastAsia="fr-FR" w:bidi="ar-SA"/>
              </w:rPr>
              <w:t>Prix unitaire (MAD)</w:t>
            </w:r>
          </w:p>
        </w:tc>
        <w:tc>
          <w:tcPr>
            <w:tcW w:w="0" w:type="auto"/>
            <w:tcBorders>
              <w:top w:val="single" w:sz="4" w:space="0" w:color="B4C6E7"/>
              <w:left w:val="single" w:sz="4" w:space="0" w:color="B4C6E7"/>
              <w:bottom w:val="single" w:sz="4" w:space="0" w:color="B4C6E7"/>
              <w:right w:val="single" w:sz="4" w:space="0" w:color="B4C6E7"/>
            </w:tcBorders>
            <w:hideMark/>
          </w:tcPr>
          <w:p w14:paraId="75AF6FC9" w14:textId="77777777" w:rsidR="00693B36" w:rsidRDefault="00693B36">
            <w:pPr>
              <w:spacing w:before="0"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lang w:eastAsia="fr-FR" w:bidi="ar-SA"/>
              </w:rPr>
            </w:pPr>
            <w:r>
              <w:rPr>
                <w:rFonts w:asciiTheme="minorHAnsi" w:hAnsiTheme="minorHAnsi" w:cstheme="minorHAnsi"/>
                <w:b w:val="0"/>
                <w:bCs w:val="0"/>
                <w:lang w:eastAsia="fr-FR" w:bidi="ar-SA"/>
              </w:rPr>
              <w:t>Responsable / Entité</w:t>
            </w:r>
          </w:p>
        </w:tc>
      </w:tr>
      <w:tr w:rsidR="00693B36" w14:paraId="027BDFC5" w14:textId="77777777" w:rsidTr="00693B36">
        <w:tc>
          <w:tcPr>
            <w:cnfStyle w:val="001000000000" w:firstRow="0" w:lastRow="0" w:firstColumn="1" w:lastColumn="0" w:oddVBand="0" w:evenVBand="0" w:oddHBand="0" w:evenHBand="0" w:firstRowFirstColumn="0" w:firstRowLastColumn="0" w:lastRowFirstColumn="0" w:lastRowLastColumn="0"/>
            <w:tcW w:w="0" w:type="auto"/>
            <w:gridSpan w:val="5"/>
            <w:tcBorders>
              <w:top w:val="single" w:sz="4" w:space="0" w:color="B4C6E7"/>
              <w:left w:val="single" w:sz="4" w:space="0" w:color="B4C6E7"/>
              <w:bottom w:val="single" w:sz="4" w:space="0" w:color="B4C6E7"/>
              <w:right w:val="single" w:sz="4" w:space="0" w:color="B4C6E7"/>
            </w:tcBorders>
            <w:shd w:val="clear" w:color="auto" w:fill="D9E2F3" w:themeFill="accent1" w:themeFillTint="33"/>
            <w:vAlign w:val="center"/>
            <w:hideMark/>
          </w:tcPr>
          <w:p w14:paraId="1C83AC76" w14:textId="77777777" w:rsidR="00693B36" w:rsidRDefault="00693B36">
            <w:pPr>
              <w:spacing w:before="0" w:after="0" w:line="240" w:lineRule="auto"/>
              <w:jc w:val="center"/>
              <w:rPr>
                <w:rFonts w:asciiTheme="minorHAnsi" w:hAnsiTheme="minorHAnsi" w:cstheme="minorHAnsi"/>
                <w:lang w:eastAsia="fr-FR" w:bidi="ar-SA"/>
              </w:rPr>
            </w:pPr>
            <w:r>
              <w:rPr>
                <w:rFonts w:asciiTheme="minorHAnsi" w:hAnsiTheme="minorHAnsi" w:cstheme="minorHAnsi"/>
                <w:lang w:eastAsia="fr-FR" w:bidi="ar-SA"/>
              </w:rPr>
              <w:t xml:space="preserve">Phase de Construction </w:t>
            </w:r>
          </w:p>
        </w:tc>
      </w:tr>
      <w:tr w:rsidR="00693B36" w14:paraId="4959B006" w14:textId="77777777" w:rsidTr="00693B36">
        <w:tc>
          <w:tcPr>
            <w:cnfStyle w:val="001000000000" w:firstRow="0" w:lastRow="0" w:firstColumn="1" w:lastColumn="0" w:oddVBand="0" w:evenVBand="0" w:oddHBand="0" w:evenHBand="0" w:firstRowFirstColumn="0" w:firstRowLastColumn="0" w:lastRowFirstColumn="0" w:lastRowLastColumn="0"/>
            <w:tcW w:w="0" w:type="auto"/>
            <w:vMerge w:val="restart"/>
            <w:tcBorders>
              <w:top w:val="single" w:sz="4" w:space="0" w:color="B4C6E7"/>
              <w:left w:val="single" w:sz="4" w:space="0" w:color="B4C6E7"/>
              <w:bottom w:val="single" w:sz="4" w:space="0" w:color="B4C6E7"/>
              <w:right w:val="single" w:sz="4" w:space="0" w:color="B4C6E7"/>
            </w:tcBorders>
            <w:vAlign w:val="center"/>
            <w:hideMark/>
          </w:tcPr>
          <w:p w14:paraId="6544452E" w14:textId="77777777" w:rsidR="00693B36" w:rsidRDefault="00693B36">
            <w:pPr>
              <w:spacing w:before="0" w:after="0" w:line="240" w:lineRule="auto"/>
              <w:jc w:val="center"/>
              <w:rPr>
                <w:rFonts w:asciiTheme="minorHAnsi" w:hAnsiTheme="minorHAnsi" w:cstheme="minorHAnsi"/>
                <w:lang w:eastAsia="fr-FR" w:bidi="ar-SA"/>
              </w:rPr>
            </w:pPr>
            <w:r>
              <w:rPr>
                <w:rFonts w:asciiTheme="minorHAnsi" w:hAnsiTheme="minorHAnsi" w:cstheme="minorHAnsi"/>
                <w:lang w:eastAsia="fr-FR" w:bidi="ar-SA"/>
              </w:rPr>
              <w:t>Ressources humaines E&amp;S</w:t>
            </w:r>
          </w:p>
        </w:tc>
        <w:tc>
          <w:tcPr>
            <w:tcW w:w="0" w:type="auto"/>
            <w:tcBorders>
              <w:top w:val="single" w:sz="4" w:space="0" w:color="B4C6E7"/>
              <w:left w:val="single" w:sz="4" w:space="0" w:color="B4C6E7"/>
              <w:bottom w:val="single" w:sz="4" w:space="0" w:color="B4C6E7"/>
              <w:right w:val="single" w:sz="4" w:space="0" w:color="B4C6E7"/>
            </w:tcBorders>
            <w:hideMark/>
          </w:tcPr>
          <w:p w14:paraId="071EF3E5" w14:textId="77777777" w:rsidR="00693B36" w:rsidRDefault="00693B36">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eastAsia="fr-FR" w:bidi="ar-SA"/>
              </w:rPr>
            </w:pPr>
            <w:r>
              <w:rPr>
                <w:rFonts w:asciiTheme="minorHAnsi" w:hAnsiTheme="minorHAnsi" w:cstheme="minorHAnsi"/>
                <w:lang w:eastAsia="fr-FR" w:bidi="ar-SA"/>
              </w:rPr>
              <w:t>Responsable HSSE du Projet</w:t>
            </w:r>
          </w:p>
        </w:tc>
        <w:tc>
          <w:tcPr>
            <w:tcW w:w="0" w:type="auto"/>
            <w:tcBorders>
              <w:top w:val="single" w:sz="4" w:space="0" w:color="B4C6E7"/>
              <w:left w:val="single" w:sz="4" w:space="0" w:color="B4C6E7"/>
              <w:bottom w:val="single" w:sz="4" w:space="0" w:color="B4C6E7"/>
              <w:right w:val="single" w:sz="4" w:space="0" w:color="B4C6E7"/>
            </w:tcBorders>
            <w:hideMark/>
          </w:tcPr>
          <w:p w14:paraId="497F5E2D" w14:textId="77777777" w:rsidR="00693B36" w:rsidRDefault="00693B36">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eastAsia="fr-FR" w:bidi="ar-SA"/>
              </w:rPr>
            </w:pPr>
            <w:r>
              <w:rPr>
                <w:rFonts w:asciiTheme="minorHAnsi" w:hAnsiTheme="minorHAnsi" w:cstheme="minorHAnsi"/>
                <w:lang w:eastAsia="fr-FR" w:bidi="ar-SA"/>
              </w:rPr>
              <w:t>Supervision globale de la conformité E&amp;S</w:t>
            </w:r>
          </w:p>
        </w:tc>
        <w:tc>
          <w:tcPr>
            <w:tcW w:w="0" w:type="auto"/>
            <w:tcBorders>
              <w:top w:val="single" w:sz="4" w:space="0" w:color="B4C6E7"/>
              <w:left w:val="single" w:sz="4" w:space="0" w:color="B4C6E7"/>
              <w:bottom w:val="single" w:sz="4" w:space="0" w:color="B4C6E7"/>
              <w:right w:val="single" w:sz="4" w:space="0" w:color="B4C6E7"/>
            </w:tcBorders>
            <w:hideMark/>
          </w:tcPr>
          <w:p w14:paraId="364CB0DA" w14:textId="77777777" w:rsidR="00693B36" w:rsidRDefault="00693B36">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eastAsia="fr-FR" w:bidi="ar-SA"/>
              </w:rPr>
            </w:pPr>
            <w:r>
              <w:rPr>
                <w:rFonts w:asciiTheme="minorHAnsi" w:hAnsiTheme="minorHAnsi" w:cstheme="minorHAnsi"/>
                <w:lang w:eastAsia="fr-FR" w:bidi="ar-SA"/>
              </w:rPr>
              <w:t>Déjà mobilisé au niveau central</w:t>
            </w:r>
          </w:p>
        </w:tc>
        <w:tc>
          <w:tcPr>
            <w:tcW w:w="0" w:type="auto"/>
            <w:tcBorders>
              <w:top w:val="single" w:sz="4" w:space="0" w:color="B4C6E7"/>
              <w:left w:val="single" w:sz="4" w:space="0" w:color="B4C6E7"/>
              <w:bottom w:val="single" w:sz="4" w:space="0" w:color="B4C6E7"/>
              <w:right w:val="single" w:sz="4" w:space="0" w:color="B4C6E7"/>
            </w:tcBorders>
            <w:hideMark/>
          </w:tcPr>
          <w:p w14:paraId="37296021" w14:textId="77777777" w:rsidR="00693B36" w:rsidRDefault="00693B36">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eastAsia="fr-FR" w:bidi="ar-SA"/>
              </w:rPr>
            </w:pPr>
            <w:r>
              <w:rPr>
                <w:rFonts w:asciiTheme="minorHAnsi" w:hAnsiTheme="minorHAnsi" w:cstheme="minorHAnsi"/>
                <w:lang w:eastAsia="fr-FR" w:bidi="ar-SA"/>
              </w:rPr>
              <w:t>ONDA</w:t>
            </w:r>
          </w:p>
        </w:tc>
      </w:tr>
      <w:tr w:rsidR="00693B36" w14:paraId="52DF1899" w14:textId="77777777" w:rsidTr="00693B36">
        <w:tc>
          <w:tcPr>
            <w:cnfStyle w:val="001000000000" w:firstRow="0" w:lastRow="0" w:firstColumn="1" w:lastColumn="0" w:oddVBand="0" w:evenVBand="0" w:oddHBand="0" w:evenHBand="0" w:firstRowFirstColumn="0" w:firstRowLastColumn="0" w:lastRowFirstColumn="0" w:lastRowLastColumn="0"/>
            <w:tcW w:w="0" w:type="auto"/>
            <w:vMerge/>
            <w:tcBorders>
              <w:top w:val="single" w:sz="4" w:space="0" w:color="B4C6E7"/>
              <w:left w:val="single" w:sz="4" w:space="0" w:color="B4C6E7"/>
              <w:bottom w:val="single" w:sz="4" w:space="0" w:color="B4C6E7"/>
              <w:right w:val="single" w:sz="4" w:space="0" w:color="B4C6E7"/>
            </w:tcBorders>
            <w:vAlign w:val="center"/>
            <w:hideMark/>
          </w:tcPr>
          <w:p w14:paraId="10C2AE73" w14:textId="77777777" w:rsidR="00693B36" w:rsidRDefault="00693B36">
            <w:pPr>
              <w:spacing w:before="0" w:after="0" w:line="240" w:lineRule="auto"/>
              <w:jc w:val="left"/>
              <w:rPr>
                <w:rFonts w:asciiTheme="minorHAnsi" w:hAnsiTheme="minorHAnsi" w:cstheme="minorHAnsi"/>
                <w:sz w:val="22"/>
                <w:lang w:eastAsia="fr-FR" w:bidi="ar-SA"/>
              </w:rPr>
            </w:pPr>
          </w:p>
        </w:tc>
        <w:tc>
          <w:tcPr>
            <w:tcW w:w="0" w:type="auto"/>
            <w:tcBorders>
              <w:top w:val="single" w:sz="4" w:space="0" w:color="B4C6E7"/>
              <w:left w:val="single" w:sz="4" w:space="0" w:color="B4C6E7"/>
              <w:bottom w:val="single" w:sz="4" w:space="0" w:color="B4C6E7"/>
              <w:right w:val="single" w:sz="4" w:space="0" w:color="B4C6E7"/>
            </w:tcBorders>
            <w:hideMark/>
          </w:tcPr>
          <w:p w14:paraId="17AB2435" w14:textId="77777777" w:rsidR="00693B36" w:rsidRDefault="00693B36">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eastAsia="fr-FR" w:bidi="ar-SA"/>
              </w:rPr>
            </w:pPr>
            <w:r>
              <w:rPr>
                <w:rFonts w:asciiTheme="minorHAnsi" w:hAnsiTheme="minorHAnsi" w:cstheme="minorHAnsi"/>
                <w:lang w:eastAsia="fr-FR" w:bidi="ar-SA"/>
              </w:rPr>
              <w:t>Point focal HSSE site</w:t>
            </w:r>
          </w:p>
        </w:tc>
        <w:tc>
          <w:tcPr>
            <w:tcW w:w="0" w:type="auto"/>
            <w:tcBorders>
              <w:top w:val="single" w:sz="4" w:space="0" w:color="B4C6E7"/>
              <w:left w:val="single" w:sz="4" w:space="0" w:color="B4C6E7"/>
              <w:bottom w:val="single" w:sz="4" w:space="0" w:color="B4C6E7"/>
              <w:right w:val="single" w:sz="4" w:space="0" w:color="B4C6E7"/>
            </w:tcBorders>
            <w:hideMark/>
          </w:tcPr>
          <w:p w14:paraId="1B98C219" w14:textId="77777777" w:rsidR="00693B36" w:rsidRDefault="00693B36">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eastAsia="fr-FR" w:bidi="ar-SA"/>
              </w:rPr>
            </w:pPr>
            <w:r>
              <w:rPr>
                <w:rFonts w:asciiTheme="minorHAnsi" w:hAnsiTheme="minorHAnsi" w:cstheme="minorHAnsi"/>
                <w:lang w:eastAsia="fr-FR" w:bidi="ar-SA"/>
              </w:rPr>
              <w:t>Suivi opérationnel sur site</w:t>
            </w:r>
          </w:p>
        </w:tc>
        <w:tc>
          <w:tcPr>
            <w:tcW w:w="0" w:type="auto"/>
            <w:tcBorders>
              <w:top w:val="single" w:sz="4" w:space="0" w:color="B4C6E7"/>
              <w:left w:val="single" w:sz="4" w:space="0" w:color="B4C6E7"/>
              <w:bottom w:val="single" w:sz="4" w:space="0" w:color="B4C6E7"/>
              <w:right w:val="single" w:sz="4" w:space="0" w:color="B4C6E7"/>
            </w:tcBorders>
            <w:hideMark/>
          </w:tcPr>
          <w:p w14:paraId="4E5AFF70" w14:textId="77777777" w:rsidR="00693B36" w:rsidRDefault="00693B36">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eastAsia="fr-FR" w:bidi="ar-SA"/>
              </w:rPr>
            </w:pPr>
            <w:r>
              <w:rPr>
                <w:rFonts w:asciiTheme="minorHAnsi" w:hAnsiTheme="minorHAnsi" w:cstheme="minorHAnsi"/>
                <w:lang w:eastAsia="fr-FR" w:bidi="ar-SA"/>
              </w:rPr>
              <w:t>Selon la grille salariale ONDA</w:t>
            </w:r>
          </w:p>
        </w:tc>
        <w:tc>
          <w:tcPr>
            <w:tcW w:w="0" w:type="auto"/>
            <w:tcBorders>
              <w:top w:val="single" w:sz="4" w:space="0" w:color="B4C6E7"/>
              <w:left w:val="single" w:sz="4" w:space="0" w:color="B4C6E7"/>
              <w:bottom w:val="single" w:sz="4" w:space="0" w:color="B4C6E7"/>
              <w:right w:val="single" w:sz="4" w:space="0" w:color="B4C6E7"/>
            </w:tcBorders>
            <w:hideMark/>
          </w:tcPr>
          <w:p w14:paraId="14065B09" w14:textId="77777777" w:rsidR="00693B36" w:rsidRDefault="00693B36">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eastAsia="fr-FR" w:bidi="ar-SA"/>
              </w:rPr>
            </w:pPr>
            <w:r>
              <w:rPr>
                <w:rFonts w:asciiTheme="minorHAnsi" w:hAnsiTheme="minorHAnsi" w:cstheme="minorHAnsi"/>
                <w:lang w:eastAsia="fr-FR" w:bidi="ar-SA"/>
              </w:rPr>
              <w:t>ONDA</w:t>
            </w:r>
          </w:p>
        </w:tc>
      </w:tr>
      <w:tr w:rsidR="00693B36" w14:paraId="53883B31" w14:textId="77777777" w:rsidTr="00693B36">
        <w:tc>
          <w:tcPr>
            <w:cnfStyle w:val="001000000000" w:firstRow="0" w:lastRow="0" w:firstColumn="1" w:lastColumn="0" w:oddVBand="0" w:evenVBand="0" w:oddHBand="0" w:evenHBand="0" w:firstRowFirstColumn="0" w:firstRowLastColumn="0" w:lastRowFirstColumn="0" w:lastRowLastColumn="0"/>
            <w:tcW w:w="0" w:type="auto"/>
            <w:vMerge/>
            <w:tcBorders>
              <w:top w:val="single" w:sz="4" w:space="0" w:color="B4C6E7"/>
              <w:left w:val="single" w:sz="4" w:space="0" w:color="B4C6E7"/>
              <w:bottom w:val="single" w:sz="4" w:space="0" w:color="B4C6E7"/>
              <w:right w:val="single" w:sz="4" w:space="0" w:color="B4C6E7"/>
            </w:tcBorders>
            <w:vAlign w:val="center"/>
            <w:hideMark/>
          </w:tcPr>
          <w:p w14:paraId="53BF857D" w14:textId="77777777" w:rsidR="00693B36" w:rsidRDefault="00693B36">
            <w:pPr>
              <w:spacing w:before="0" w:after="0" w:line="240" w:lineRule="auto"/>
              <w:jc w:val="left"/>
              <w:rPr>
                <w:rFonts w:asciiTheme="minorHAnsi" w:hAnsiTheme="minorHAnsi" w:cstheme="minorHAnsi"/>
                <w:sz w:val="22"/>
                <w:lang w:eastAsia="fr-FR" w:bidi="ar-SA"/>
              </w:rPr>
            </w:pPr>
          </w:p>
        </w:tc>
        <w:tc>
          <w:tcPr>
            <w:tcW w:w="0" w:type="auto"/>
            <w:tcBorders>
              <w:top w:val="single" w:sz="4" w:space="0" w:color="B4C6E7"/>
              <w:left w:val="single" w:sz="4" w:space="0" w:color="B4C6E7"/>
              <w:bottom w:val="single" w:sz="4" w:space="0" w:color="B4C6E7"/>
              <w:right w:val="single" w:sz="4" w:space="0" w:color="B4C6E7"/>
            </w:tcBorders>
            <w:hideMark/>
          </w:tcPr>
          <w:p w14:paraId="7570F96E" w14:textId="77777777" w:rsidR="00693B36" w:rsidRDefault="00693B36">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eastAsia="fr-FR" w:bidi="ar-SA"/>
              </w:rPr>
            </w:pPr>
            <w:r>
              <w:rPr>
                <w:rFonts w:asciiTheme="minorHAnsi" w:hAnsiTheme="minorHAnsi" w:cstheme="minorHAnsi"/>
                <w:lang w:eastAsia="fr-FR" w:bidi="ar-SA"/>
              </w:rPr>
              <w:t>Responsable HSSE EPC</w:t>
            </w:r>
          </w:p>
        </w:tc>
        <w:tc>
          <w:tcPr>
            <w:tcW w:w="0" w:type="auto"/>
            <w:tcBorders>
              <w:top w:val="single" w:sz="4" w:space="0" w:color="B4C6E7"/>
              <w:left w:val="single" w:sz="4" w:space="0" w:color="B4C6E7"/>
              <w:bottom w:val="single" w:sz="4" w:space="0" w:color="B4C6E7"/>
              <w:right w:val="single" w:sz="4" w:space="0" w:color="B4C6E7"/>
            </w:tcBorders>
            <w:hideMark/>
          </w:tcPr>
          <w:p w14:paraId="0A1DD5D1" w14:textId="77777777" w:rsidR="00693B36" w:rsidRDefault="00693B36">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eastAsia="fr-FR" w:bidi="ar-SA"/>
              </w:rPr>
            </w:pPr>
            <w:r>
              <w:rPr>
                <w:rFonts w:asciiTheme="minorHAnsi" w:hAnsiTheme="minorHAnsi" w:cstheme="minorHAnsi"/>
                <w:lang w:eastAsia="fr-FR" w:bidi="ar-SA"/>
              </w:rPr>
              <w:t>Mise en œuvre PGES chantier</w:t>
            </w:r>
          </w:p>
        </w:tc>
        <w:tc>
          <w:tcPr>
            <w:tcW w:w="0" w:type="auto"/>
            <w:tcBorders>
              <w:top w:val="single" w:sz="4" w:space="0" w:color="B4C6E7"/>
              <w:left w:val="single" w:sz="4" w:space="0" w:color="B4C6E7"/>
              <w:bottom w:val="single" w:sz="4" w:space="0" w:color="B4C6E7"/>
              <w:right w:val="single" w:sz="4" w:space="0" w:color="B4C6E7"/>
            </w:tcBorders>
            <w:hideMark/>
          </w:tcPr>
          <w:p w14:paraId="35A07949" w14:textId="77777777" w:rsidR="00693B36" w:rsidRDefault="00693B36">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eastAsia="fr-FR" w:bidi="ar-SA"/>
              </w:rPr>
            </w:pPr>
            <w:r>
              <w:rPr>
                <w:rFonts w:asciiTheme="minorHAnsi" w:hAnsiTheme="minorHAnsi" w:cstheme="minorHAnsi"/>
                <w:lang w:eastAsia="fr-FR" w:bidi="ar-SA"/>
              </w:rPr>
              <w:t>204 000</w:t>
            </w:r>
          </w:p>
        </w:tc>
        <w:tc>
          <w:tcPr>
            <w:tcW w:w="0" w:type="auto"/>
            <w:tcBorders>
              <w:top w:val="single" w:sz="4" w:space="0" w:color="B4C6E7"/>
              <w:left w:val="single" w:sz="4" w:space="0" w:color="B4C6E7"/>
              <w:bottom w:val="single" w:sz="4" w:space="0" w:color="B4C6E7"/>
              <w:right w:val="single" w:sz="4" w:space="0" w:color="B4C6E7"/>
            </w:tcBorders>
            <w:hideMark/>
          </w:tcPr>
          <w:p w14:paraId="6859AE7F" w14:textId="77777777" w:rsidR="00693B36" w:rsidRDefault="00693B36">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eastAsia="fr-FR" w:bidi="ar-SA"/>
              </w:rPr>
            </w:pPr>
            <w:r>
              <w:rPr>
                <w:rFonts w:asciiTheme="minorHAnsi" w:hAnsiTheme="minorHAnsi" w:cstheme="minorHAnsi"/>
                <w:lang w:eastAsia="fr-FR" w:bidi="ar-SA"/>
              </w:rPr>
              <w:t>EPC</w:t>
            </w:r>
          </w:p>
        </w:tc>
      </w:tr>
      <w:tr w:rsidR="00693B36" w14:paraId="0C934842" w14:textId="77777777" w:rsidTr="00693B36">
        <w:tc>
          <w:tcPr>
            <w:cnfStyle w:val="001000000000" w:firstRow="0" w:lastRow="0" w:firstColumn="1" w:lastColumn="0" w:oddVBand="0" w:evenVBand="0" w:oddHBand="0" w:evenHBand="0" w:firstRowFirstColumn="0" w:firstRowLastColumn="0" w:lastRowFirstColumn="0" w:lastRowLastColumn="0"/>
            <w:tcW w:w="0" w:type="auto"/>
            <w:vMerge/>
            <w:tcBorders>
              <w:top w:val="single" w:sz="4" w:space="0" w:color="B4C6E7"/>
              <w:left w:val="single" w:sz="4" w:space="0" w:color="B4C6E7"/>
              <w:bottom w:val="single" w:sz="4" w:space="0" w:color="B4C6E7"/>
              <w:right w:val="single" w:sz="4" w:space="0" w:color="B4C6E7"/>
            </w:tcBorders>
            <w:vAlign w:val="center"/>
            <w:hideMark/>
          </w:tcPr>
          <w:p w14:paraId="2C53A6B6" w14:textId="77777777" w:rsidR="00693B36" w:rsidRDefault="00693B36">
            <w:pPr>
              <w:spacing w:before="0" w:after="0" w:line="240" w:lineRule="auto"/>
              <w:jc w:val="left"/>
              <w:rPr>
                <w:rFonts w:asciiTheme="minorHAnsi" w:hAnsiTheme="minorHAnsi" w:cstheme="minorHAnsi"/>
                <w:sz w:val="22"/>
                <w:lang w:eastAsia="fr-FR" w:bidi="ar-SA"/>
              </w:rPr>
            </w:pPr>
          </w:p>
        </w:tc>
        <w:tc>
          <w:tcPr>
            <w:tcW w:w="0" w:type="auto"/>
            <w:tcBorders>
              <w:top w:val="single" w:sz="4" w:space="0" w:color="B4C6E7"/>
              <w:left w:val="single" w:sz="4" w:space="0" w:color="B4C6E7"/>
              <w:bottom w:val="single" w:sz="4" w:space="0" w:color="B4C6E7"/>
              <w:right w:val="single" w:sz="4" w:space="0" w:color="B4C6E7"/>
            </w:tcBorders>
            <w:hideMark/>
          </w:tcPr>
          <w:p w14:paraId="202F5AC7" w14:textId="77777777" w:rsidR="00693B36" w:rsidRDefault="00693B36">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eastAsia="fr-FR" w:bidi="ar-SA"/>
              </w:rPr>
            </w:pPr>
            <w:r>
              <w:rPr>
                <w:rFonts w:asciiTheme="minorHAnsi" w:hAnsiTheme="minorHAnsi" w:cstheme="minorHAnsi"/>
                <w:lang w:eastAsia="fr-FR" w:bidi="ar-SA"/>
              </w:rPr>
              <w:t>Coordinateurs E&amp;S</w:t>
            </w:r>
          </w:p>
        </w:tc>
        <w:tc>
          <w:tcPr>
            <w:tcW w:w="0" w:type="auto"/>
            <w:tcBorders>
              <w:top w:val="single" w:sz="4" w:space="0" w:color="B4C6E7"/>
              <w:left w:val="single" w:sz="4" w:space="0" w:color="B4C6E7"/>
              <w:bottom w:val="single" w:sz="4" w:space="0" w:color="B4C6E7"/>
              <w:right w:val="single" w:sz="4" w:space="0" w:color="B4C6E7"/>
            </w:tcBorders>
            <w:hideMark/>
          </w:tcPr>
          <w:p w14:paraId="53BA42C8" w14:textId="77777777" w:rsidR="00693B36" w:rsidRDefault="00693B36">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eastAsia="fr-FR" w:bidi="ar-SA"/>
              </w:rPr>
            </w:pPr>
            <w:r>
              <w:rPr>
                <w:rFonts w:asciiTheme="minorHAnsi" w:hAnsiTheme="minorHAnsi" w:cstheme="minorHAnsi"/>
                <w:lang w:eastAsia="fr-FR" w:bidi="ar-SA"/>
              </w:rPr>
              <w:t>Encadrement HSE sous-traitants</w:t>
            </w:r>
          </w:p>
        </w:tc>
        <w:tc>
          <w:tcPr>
            <w:tcW w:w="0" w:type="auto"/>
            <w:tcBorders>
              <w:top w:val="single" w:sz="4" w:space="0" w:color="B4C6E7"/>
              <w:left w:val="single" w:sz="4" w:space="0" w:color="B4C6E7"/>
              <w:bottom w:val="single" w:sz="4" w:space="0" w:color="B4C6E7"/>
              <w:right w:val="single" w:sz="4" w:space="0" w:color="B4C6E7"/>
            </w:tcBorders>
            <w:hideMark/>
          </w:tcPr>
          <w:p w14:paraId="2BA0DF3B" w14:textId="77777777" w:rsidR="00693B36" w:rsidRDefault="00693B36">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eastAsia="fr-FR" w:bidi="ar-SA"/>
              </w:rPr>
            </w:pPr>
            <w:r>
              <w:rPr>
                <w:rFonts w:asciiTheme="minorHAnsi" w:hAnsiTheme="minorHAnsi" w:cstheme="minorHAnsi"/>
                <w:lang w:eastAsia="fr-FR" w:bidi="ar-SA"/>
              </w:rPr>
              <w:t>96 000</w:t>
            </w:r>
          </w:p>
        </w:tc>
        <w:tc>
          <w:tcPr>
            <w:tcW w:w="0" w:type="auto"/>
            <w:tcBorders>
              <w:top w:val="single" w:sz="4" w:space="0" w:color="B4C6E7"/>
              <w:left w:val="single" w:sz="4" w:space="0" w:color="B4C6E7"/>
              <w:bottom w:val="single" w:sz="4" w:space="0" w:color="B4C6E7"/>
              <w:right w:val="single" w:sz="4" w:space="0" w:color="B4C6E7"/>
            </w:tcBorders>
            <w:hideMark/>
          </w:tcPr>
          <w:p w14:paraId="55A0957A" w14:textId="77777777" w:rsidR="00693B36" w:rsidRDefault="00693B36">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eastAsia="fr-FR" w:bidi="ar-SA"/>
              </w:rPr>
            </w:pPr>
            <w:r>
              <w:rPr>
                <w:rFonts w:asciiTheme="minorHAnsi" w:hAnsiTheme="minorHAnsi" w:cstheme="minorHAnsi"/>
                <w:lang w:eastAsia="fr-FR" w:bidi="ar-SA"/>
              </w:rPr>
              <w:t>EPC</w:t>
            </w:r>
          </w:p>
        </w:tc>
      </w:tr>
      <w:tr w:rsidR="00693B36" w14:paraId="4E95F1C1" w14:textId="77777777" w:rsidTr="00693B36">
        <w:tc>
          <w:tcPr>
            <w:cnfStyle w:val="001000000000" w:firstRow="0" w:lastRow="0" w:firstColumn="1" w:lastColumn="0" w:oddVBand="0" w:evenVBand="0" w:oddHBand="0" w:evenHBand="0" w:firstRowFirstColumn="0" w:firstRowLastColumn="0" w:lastRowFirstColumn="0" w:lastRowLastColumn="0"/>
            <w:tcW w:w="0" w:type="auto"/>
            <w:vMerge/>
            <w:tcBorders>
              <w:top w:val="single" w:sz="4" w:space="0" w:color="B4C6E7"/>
              <w:left w:val="single" w:sz="4" w:space="0" w:color="B4C6E7"/>
              <w:bottom w:val="single" w:sz="4" w:space="0" w:color="B4C6E7"/>
              <w:right w:val="single" w:sz="4" w:space="0" w:color="B4C6E7"/>
            </w:tcBorders>
            <w:vAlign w:val="center"/>
            <w:hideMark/>
          </w:tcPr>
          <w:p w14:paraId="0947C4C7" w14:textId="77777777" w:rsidR="00693B36" w:rsidRDefault="00693B36">
            <w:pPr>
              <w:spacing w:before="0" w:after="0" w:line="240" w:lineRule="auto"/>
              <w:jc w:val="left"/>
              <w:rPr>
                <w:rFonts w:asciiTheme="minorHAnsi" w:hAnsiTheme="minorHAnsi" w:cstheme="minorHAnsi"/>
                <w:sz w:val="22"/>
                <w:lang w:eastAsia="fr-FR" w:bidi="ar-SA"/>
              </w:rPr>
            </w:pPr>
          </w:p>
        </w:tc>
        <w:tc>
          <w:tcPr>
            <w:tcW w:w="0" w:type="auto"/>
            <w:tcBorders>
              <w:top w:val="single" w:sz="4" w:space="0" w:color="B4C6E7"/>
              <w:left w:val="single" w:sz="4" w:space="0" w:color="B4C6E7"/>
              <w:bottom w:val="single" w:sz="4" w:space="0" w:color="B4C6E7"/>
              <w:right w:val="single" w:sz="4" w:space="0" w:color="B4C6E7"/>
            </w:tcBorders>
            <w:hideMark/>
          </w:tcPr>
          <w:p w14:paraId="2154ADA2" w14:textId="77777777" w:rsidR="00693B36" w:rsidRDefault="00693B36">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eastAsia="fr-FR" w:bidi="ar-SA"/>
              </w:rPr>
            </w:pPr>
            <w:r>
              <w:rPr>
                <w:rFonts w:asciiTheme="minorHAnsi" w:hAnsiTheme="minorHAnsi" w:cstheme="minorHAnsi"/>
                <w:lang w:eastAsia="fr-FR" w:bidi="ar-SA"/>
              </w:rPr>
              <w:t>Médecin du travail</w:t>
            </w:r>
          </w:p>
        </w:tc>
        <w:tc>
          <w:tcPr>
            <w:tcW w:w="0" w:type="auto"/>
            <w:tcBorders>
              <w:top w:val="single" w:sz="4" w:space="0" w:color="B4C6E7"/>
              <w:left w:val="single" w:sz="4" w:space="0" w:color="B4C6E7"/>
              <w:bottom w:val="single" w:sz="4" w:space="0" w:color="B4C6E7"/>
              <w:right w:val="single" w:sz="4" w:space="0" w:color="B4C6E7"/>
            </w:tcBorders>
            <w:hideMark/>
          </w:tcPr>
          <w:p w14:paraId="4895E130" w14:textId="77777777" w:rsidR="00693B36" w:rsidRDefault="00693B36">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eastAsia="fr-FR" w:bidi="ar-SA"/>
              </w:rPr>
            </w:pPr>
            <w:r>
              <w:rPr>
                <w:rFonts w:asciiTheme="minorHAnsi" w:hAnsiTheme="minorHAnsi" w:cstheme="minorHAnsi"/>
                <w:lang w:eastAsia="fr-FR" w:bidi="ar-SA"/>
              </w:rPr>
              <w:t>Suivi médical du personnel</w:t>
            </w:r>
          </w:p>
        </w:tc>
        <w:tc>
          <w:tcPr>
            <w:tcW w:w="0" w:type="auto"/>
            <w:tcBorders>
              <w:top w:val="single" w:sz="4" w:space="0" w:color="B4C6E7"/>
              <w:left w:val="single" w:sz="4" w:space="0" w:color="B4C6E7"/>
              <w:bottom w:val="single" w:sz="4" w:space="0" w:color="B4C6E7"/>
              <w:right w:val="single" w:sz="4" w:space="0" w:color="B4C6E7"/>
            </w:tcBorders>
            <w:hideMark/>
          </w:tcPr>
          <w:p w14:paraId="38ECD743" w14:textId="77777777" w:rsidR="00693B36" w:rsidRDefault="00693B36">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eastAsia="fr-FR" w:bidi="ar-SA"/>
              </w:rPr>
            </w:pPr>
            <w:r>
              <w:rPr>
                <w:rFonts w:asciiTheme="minorHAnsi" w:hAnsiTheme="minorHAnsi" w:cstheme="minorHAnsi"/>
                <w:lang w:eastAsia="fr-FR" w:bidi="ar-SA"/>
              </w:rPr>
              <w:t>216 000</w:t>
            </w:r>
          </w:p>
        </w:tc>
        <w:tc>
          <w:tcPr>
            <w:tcW w:w="0" w:type="auto"/>
            <w:tcBorders>
              <w:top w:val="single" w:sz="4" w:space="0" w:color="B4C6E7"/>
              <w:left w:val="single" w:sz="4" w:space="0" w:color="B4C6E7"/>
              <w:bottom w:val="single" w:sz="4" w:space="0" w:color="B4C6E7"/>
              <w:right w:val="single" w:sz="4" w:space="0" w:color="B4C6E7"/>
            </w:tcBorders>
            <w:hideMark/>
          </w:tcPr>
          <w:p w14:paraId="710B0399" w14:textId="77777777" w:rsidR="00693B36" w:rsidRDefault="00693B36">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eastAsia="fr-FR" w:bidi="ar-SA"/>
              </w:rPr>
            </w:pPr>
            <w:r>
              <w:rPr>
                <w:rFonts w:asciiTheme="minorHAnsi" w:hAnsiTheme="minorHAnsi" w:cstheme="minorHAnsi"/>
                <w:lang w:eastAsia="fr-FR" w:bidi="ar-SA"/>
              </w:rPr>
              <w:t>EPC</w:t>
            </w:r>
          </w:p>
        </w:tc>
      </w:tr>
      <w:tr w:rsidR="00693B36" w14:paraId="0E996B8D" w14:textId="77777777" w:rsidTr="00693B36">
        <w:tc>
          <w:tcPr>
            <w:cnfStyle w:val="001000000000" w:firstRow="0" w:lastRow="0" w:firstColumn="1" w:lastColumn="0" w:oddVBand="0" w:evenVBand="0" w:oddHBand="0" w:evenHBand="0" w:firstRowFirstColumn="0" w:firstRowLastColumn="0" w:lastRowFirstColumn="0" w:lastRowLastColumn="0"/>
            <w:tcW w:w="0" w:type="auto"/>
            <w:vMerge/>
            <w:tcBorders>
              <w:top w:val="single" w:sz="4" w:space="0" w:color="B4C6E7"/>
              <w:left w:val="single" w:sz="4" w:space="0" w:color="B4C6E7"/>
              <w:bottom w:val="single" w:sz="4" w:space="0" w:color="B4C6E7"/>
              <w:right w:val="single" w:sz="4" w:space="0" w:color="B4C6E7"/>
            </w:tcBorders>
            <w:vAlign w:val="center"/>
            <w:hideMark/>
          </w:tcPr>
          <w:p w14:paraId="6968459D" w14:textId="77777777" w:rsidR="00693B36" w:rsidRDefault="00693B36">
            <w:pPr>
              <w:spacing w:before="0" w:after="0" w:line="240" w:lineRule="auto"/>
              <w:jc w:val="left"/>
              <w:rPr>
                <w:rFonts w:asciiTheme="minorHAnsi" w:hAnsiTheme="minorHAnsi" w:cstheme="minorHAnsi"/>
                <w:sz w:val="22"/>
                <w:lang w:eastAsia="fr-FR" w:bidi="ar-SA"/>
              </w:rPr>
            </w:pPr>
          </w:p>
        </w:tc>
        <w:tc>
          <w:tcPr>
            <w:tcW w:w="0" w:type="auto"/>
            <w:tcBorders>
              <w:top w:val="single" w:sz="4" w:space="0" w:color="B4C6E7"/>
              <w:left w:val="single" w:sz="4" w:space="0" w:color="B4C6E7"/>
              <w:bottom w:val="single" w:sz="4" w:space="0" w:color="B4C6E7"/>
              <w:right w:val="single" w:sz="4" w:space="0" w:color="B4C6E7"/>
            </w:tcBorders>
            <w:hideMark/>
          </w:tcPr>
          <w:p w14:paraId="60438355" w14:textId="77777777" w:rsidR="00693B36" w:rsidRDefault="00693B36">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eastAsia="fr-FR" w:bidi="ar-SA"/>
              </w:rPr>
            </w:pPr>
            <w:r>
              <w:rPr>
                <w:rFonts w:asciiTheme="minorHAnsi" w:hAnsiTheme="minorHAnsi" w:cstheme="minorHAnsi"/>
                <w:lang w:eastAsia="fr-FR" w:bidi="ar-SA"/>
              </w:rPr>
              <w:t>Infirmier permanent</w:t>
            </w:r>
          </w:p>
        </w:tc>
        <w:tc>
          <w:tcPr>
            <w:tcW w:w="0" w:type="auto"/>
            <w:tcBorders>
              <w:top w:val="single" w:sz="4" w:space="0" w:color="B4C6E7"/>
              <w:left w:val="single" w:sz="4" w:space="0" w:color="B4C6E7"/>
              <w:bottom w:val="single" w:sz="4" w:space="0" w:color="B4C6E7"/>
              <w:right w:val="single" w:sz="4" w:space="0" w:color="B4C6E7"/>
            </w:tcBorders>
            <w:hideMark/>
          </w:tcPr>
          <w:p w14:paraId="191231EB" w14:textId="77777777" w:rsidR="00693B36" w:rsidRDefault="00693B36">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eastAsia="fr-FR" w:bidi="ar-SA"/>
              </w:rPr>
            </w:pPr>
            <w:r>
              <w:rPr>
                <w:rFonts w:asciiTheme="minorHAnsi" w:hAnsiTheme="minorHAnsi" w:cstheme="minorHAnsi"/>
                <w:lang w:eastAsia="fr-FR" w:bidi="ar-SA"/>
              </w:rPr>
              <w:t>Appui santé et premiers secours</w:t>
            </w:r>
          </w:p>
        </w:tc>
        <w:tc>
          <w:tcPr>
            <w:tcW w:w="0" w:type="auto"/>
            <w:tcBorders>
              <w:top w:val="single" w:sz="4" w:space="0" w:color="B4C6E7"/>
              <w:left w:val="single" w:sz="4" w:space="0" w:color="B4C6E7"/>
              <w:bottom w:val="single" w:sz="4" w:space="0" w:color="B4C6E7"/>
              <w:right w:val="single" w:sz="4" w:space="0" w:color="B4C6E7"/>
            </w:tcBorders>
            <w:hideMark/>
          </w:tcPr>
          <w:p w14:paraId="6A11B645" w14:textId="77777777" w:rsidR="00693B36" w:rsidRDefault="00693B36">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eastAsia="fr-FR" w:bidi="ar-SA"/>
              </w:rPr>
            </w:pPr>
            <w:r>
              <w:rPr>
                <w:rFonts w:asciiTheme="minorHAnsi" w:hAnsiTheme="minorHAnsi" w:cstheme="minorHAnsi"/>
                <w:lang w:eastAsia="fr-FR" w:bidi="ar-SA"/>
              </w:rPr>
              <w:t>120 000</w:t>
            </w:r>
          </w:p>
        </w:tc>
        <w:tc>
          <w:tcPr>
            <w:tcW w:w="0" w:type="auto"/>
            <w:tcBorders>
              <w:top w:val="single" w:sz="4" w:space="0" w:color="B4C6E7"/>
              <w:left w:val="single" w:sz="4" w:space="0" w:color="B4C6E7"/>
              <w:bottom w:val="single" w:sz="4" w:space="0" w:color="B4C6E7"/>
              <w:right w:val="single" w:sz="4" w:space="0" w:color="B4C6E7"/>
            </w:tcBorders>
            <w:hideMark/>
          </w:tcPr>
          <w:p w14:paraId="448A7438" w14:textId="77777777" w:rsidR="00693B36" w:rsidRDefault="00693B36">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eastAsia="fr-FR" w:bidi="ar-SA"/>
              </w:rPr>
            </w:pPr>
            <w:r>
              <w:rPr>
                <w:rFonts w:asciiTheme="minorHAnsi" w:hAnsiTheme="minorHAnsi" w:cstheme="minorHAnsi"/>
                <w:lang w:eastAsia="fr-FR" w:bidi="ar-SA"/>
              </w:rPr>
              <w:t>EPC</w:t>
            </w:r>
          </w:p>
        </w:tc>
      </w:tr>
      <w:tr w:rsidR="00693B36" w14:paraId="4820A224" w14:textId="77777777" w:rsidTr="00693B36">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B4C6E7"/>
              <w:left w:val="single" w:sz="4" w:space="0" w:color="B4C6E7"/>
              <w:bottom w:val="single" w:sz="4" w:space="0" w:color="B4C6E7"/>
              <w:right w:val="single" w:sz="4" w:space="0" w:color="B4C6E7"/>
            </w:tcBorders>
            <w:hideMark/>
          </w:tcPr>
          <w:p w14:paraId="2EBFC695" w14:textId="77777777" w:rsidR="00693B36" w:rsidRDefault="00693B36">
            <w:pPr>
              <w:spacing w:before="0" w:after="0" w:line="240" w:lineRule="auto"/>
              <w:jc w:val="left"/>
              <w:rPr>
                <w:rFonts w:asciiTheme="minorHAnsi" w:hAnsiTheme="minorHAnsi" w:cstheme="minorHAnsi"/>
                <w:lang w:eastAsia="fr-FR" w:bidi="ar-SA"/>
              </w:rPr>
            </w:pPr>
            <w:r>
              <w:rPr>
                <w:rFonts w:asciiTheme="minorHAnsi" w:hAnsiTheme="minorHAnsi" w:cstheme="minorHAnsi"/>
                <w:lang w:eastAsia="fr-FR" w:bidi="ar-SA"/>
              </w:rPr>
              <w:t>Mise en œuvre des mesures de mitigation</w:t>
            </w:r>
          </w:p>
        </w:tc>
        <w:tc>
          <w:tcPr>
            <w:tcW w:w="0" w:type="auto"/>
            <w:tcBorders>
              <w:top w:val="single" w:sz="4" w:space="0" w:color="B4C6E7"/>
              <w:left w:val="single" w:sz="4" w:space="0" w:color="B4C6E7"/>
              <w:bottom w:val="single" w:sz="4" w:space="0" w:color="B4C6E7"/>
              <w:right w:val="single" w:sz="4" w:space="0" w:color="B4C6E7"/>
            </w:tcBorders>
            <w:hideMark/>
          </w:tcPr>
          <w:p w14:paraId="0E320B1D" w14:textId="77777777" w:rsidR="00693B36" w:rsidRDefault="00693B36">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eastAsia="fr-FR" w:bidi="ar-SA"/>
              </w:rPr>
            </w:pPr>
            <w:r>
              <w:rPr>
                <w:rFonts w:asciiTheme="minorHAnsi" w:hAnsiTheme="minorHAnsi" w:cstheme="minorHAnsi"/>
                <w:lang w:eastAsia="fr-FR" w:bidi="ar-SA"/>
              </w:rPr>
              <w:t>Mesures gestion des risques et impacts E&amp;S</w:t>
            </w:r>
          </w:p>
        </w:tc>
        <w:tc>
          <w:tcPr>
            <w:tcW w:w="0" w:type="auto"/>
            <w:tcBorders>
              <w:top w:val="single" w:sz="4" w:space="0" w:color="B4C6E7"/>
              <w:left w:val="single" w:sz="4" w:space="0" w:color="B4C6E7"/>
              <w:bottom w:val="single" w:sz="4" w:space="0" w:color="B4C6E7"/>
              <w:right w:val="single" w:sz="4" w:space="0" w:color="B4C6E7"/>
            </w:tcBorders>
            <w:hideMark/>
          </w:tcPr>
          <w:p w14:paraId="30E107DD" w14:textId="77777777" w:rsidR="00693B36" w:rsidRDefault="00693B36">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eastAsia="fr-FR" w:bidi="ar-SA"/>
              </w:rPr>
            </w:pPr>
            <w:r>
              <w:rPr>
                <w:rFonts w:asciiTheme="minorHAnsi" w:hAnsiTheme="minorHAnsi" w:cstheme="minorHAnsi"/>
                <w:lang w:eastAsia="fr-FR" w:bidi="ar-SA"/>
              </w:rPr>
              <w:t>Mise en œuvre des mesures de mitigation des différents risques et impacts E&amp;S (poussières, bruit, eau, biodiversité, social etc)</w:t>
            </w:r>
          </w:p>
        </w:tc>
        <w:tc>
          <w:tcPr>
            <w:tcW w:w="0" w:type="auto"/>
            <w:tcBorders>
              <w:top w:val="single" w:sz="4" w:space="0" w:color="B4C6E7"/>
              <w:left w:val="single" w:sz="4" w:space="0" w:color="B4C6E7"/>
              <w:bottom w:val="single" w:sz="4" w:space="0" w:color="B4C6E7"/>
              <w:right w:val="single" w:sz="4" w:space="0" w:color="B4C6E7"/>
            </w:tcBorders>
            <w:hideMark/>
          </w:tcPr>
          <w:p w14:paraId="43F78932" w14:textId="77777777" w:rsidR="00693B36" w:rsidRDefault="00693B36">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eastAsia="fr-FR" w:bidi="ar-SA"/>
              </w:rPr>
            </w:pPr>
            <w:r>
              <w:rPr>
                <w:rFonts w:asciiTheme="minorHAnsi" w:hAnsiTheme="minorHAnsi" w:cstheme="minorHAnsi"/>
                <w:lang w:eastAsia="fr-FR" w:bidi="ar-SA"/>
              </w:rPr>
              <w:t xml:space="preserve">35 000 </w:t>
            </w:r>
          </w:p>
        </w:tc>
        <w:tc>
          <w:tcPr>
            <w:tcW w:w="0" w:type="auto"/>
            <w:tcBorders>
              <w:top w:val="single" w:sz="4" w:space="0" w:color="B4C6E7"/>
              <w:left w:val="single" w:sz="4" w:space="0" w:color="B4C6E7"/>
              <w:bottom w:val="single" w:sz="4" w:space="0" w:color="B4C6E7"/>
              <w:right w:val="single" w:sz="4" w:space="0" w:color="B4C6E7"/>
            </w:tcBorders>
            <w:hideMark/>
          </w:tcPr>
          <w:p w14:paraId="0A5709D3" w14:textId="77777777" w:rsidR="00693B36" w:rsidRDefault="00693B36">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eastAsia="fr-FR" w:bidi="ar-SA"/>
              </w:rPr>
            </w:pPr>
            <w:r>
              <w:rPr>
                <w:rFonts w:asciiTheme="minorHAnsi" w:hAnsiTheme="minorHAnsi" w:cstheme="minorHAnsi"/>
                <w:lang w:eastAsia="fr-FR" w:bidi="ar-SA"/>
              </w:rPr>
              <w:t>EPC</w:t>
            </w:r>
          </w:p>
        </w:tc>
      </w:tr>
      <w:tr w:rsidR="00693B36" w14:paraId="2EDBF140" w14:textId="77777777" w:rsidTr="00693B36">
        <w:tc>
          <w:tcPr>
            <w:cnfStyle w:val="001000000000" w:firstRow="0" w:lastRow="0" w:firstColumn="1" w:lastColumn="0" w:oddVBand="0" w:evenVBand="0" w:oddHBand="0" w:evenHBand="0" w:firstRowFirstColumn="0" w:firstRowLastColumn="0" w:lastRowFirstColumn="0" w:lastRowLastColumn="0"/>
            <w:tcW w:w="0" w:type="auto"/>
            <w:vMerge w:val="restart"/>
            <w:tcBorders>
              <w:top w:val="single" w:sz="4" w:space="0" w:color="B4C6E7"/>
              <w:left w:val="single" w:sz="4" w:space="0" w:color="B4C6E7"/>
              <w:bottom w:val="single" w:sz="4" w:space="0" w:color="B4C6E7"/>
              <w:right w:val="single" w:sz="4" w:space="0" w:color="B4C6E7"/>
            </w:tcBorders>
            <w:vAlign w:val="center"/>
            <w:hideMark/>
          </w:tcPr>
          <w:p w14:paraId="26F92BA7" w14:textId="77777777" w:rsidR="00693B36" w:rsidRDefault="00693B36">
            <w:pPr>
              <w:spacing w:before="0" w:after="0" w:line="240" w:lineRule="auto"/>
              <w:jc w:val="center"/>
              <w:rPr>
                <w:rFonts w:asciiTheme="minorHAnsi" w:hAnsiTheme="minorHAnsi" w:cstheme="minorHAnsi"/>
                <w:lang w:eastAsia="fr-FR" w:bidi="ar-SA"/>
              </w:rPr>
            </w:pPr>
            <w:r>
              <w:rPr>
                <w:rFonts w:asciiTheme="minorHAnsi" w:hAnsiTheme="minorHAnsi" w:cstheme="minorHAnsi"/>
                <w:lang w:eastAsia="fr-FR" w:bidi="ar-SA"/>
              </w:rPr>
              <w:t>Gestion des déchets</w:t>
            </w:r>
          </w:p>
        </w:tc>
        <w:tc>
          <w:tcPr>
            <w:tcW w:w="0" w:type="auto"/>
            <w:tcBorders>
              <w:top w:val="single" w:sz="4" w:space="0" w:color="B4C6E7"/>
              <w:left w:val="single" w:sz="4" w:space="0" w:color="B4C6E7"/>
              <w:bottom w:val="single" w:sz="4" w:space="0" w:color="B4C6E7"/>
              <w:right w:val="single" w:sz="4" w:space="0" w:color="B4C6E7"/>
            </w:tcBorders>
            <w:hideMark/>
          </w:tcPr>
          <w:p w14:paraId="400C60B6" w14:textId="77777777" w:rsidR="00693B36" w:rsidRDefault="00693B36">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eastAsia="fr-FR" w:bidi="ar-SA"/>
              </w:rPr>
            </w:pPr>
            <w:r>
              <w:rPr>
                <w:rFonts w:asciiTheme="minorHAnsi" w:hAnsiTheme="minorHAnsi" w:cstheme="minorHAnsi"/>
                <w:lang w:eastAsia="fr-FR" w:bidi="ar-SA"/>
              </w:rPr>
              <w:t>Déchets ménagers et inertes</w:t>
            </w:r>
          </w:p>
        </w:tc>
        <w:tc>
          <w:tcPr>
            <w:tcW w:w="0" w:type="auto"/>
            <w:tcBorders>
              <w:top w:val="single" w:sz="4" w:space="0" w:color="B4C6E7"/>
              <w:left w:val="single" w:sz="4" w:space="0" w:color="B4C6E7"/>
              <w:bottom w:val="single" w:sz="4" w:space="0" w:color="B4C6E7"/>
              <w:right w:val="single" w:sz="4" w:space="0" w:color="B4C6E7"/>
            </w:tcBorders>
            <w:hideMark/>
          </w:tcPr>
          <w:p w14:paraId="35E7050D" w14:textId="77777777" w:rsidR="00693B36" w:rsidRDefault="00693B36">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eastAsia="fr-FR" w:bidi="ar-SA"/>
              </w:rPr>
            </w:pPr>
            <w:r>
              <w:rPr>
                <w:rFonts w:asciiTheme="minorHAnsi" w:hAnsiTheme="minorHAnsi" w:cstheme="minorHAnsi"/>
                <w:lang w:eastAsia="fr-FR" w:bidi="ar-SA"/>
              </w:rPr>
              <w:t>Collecte et transport</w:t>
            </w:r>
          </w:p>
        </w:tc>
        <w:tc>
          <w:tcPr>
            <w:tcW w:w="0" w:type="auto"/>
            <w:tcBorders>
              <w:top w:val="single" w:sz="4" w:space="0" w:color="B4C6E7"/>
              <w:left w:val="single" w:sz="4" w:space="0" w:color="B4C6E7"/>
              <w:bottom w:val="single" w:sz="4" w:space="0" w:color="B4C6E7"/>
              <w:right w:val="single" w:sz="4" w:space="0" w:color="B4C6E7"/>
            </w:tcBorders>
            <w:hideMark/>
          </w:tcPr>
          <w:p w14:paraId="7AB9A2E1" w14:textId="77777777" w:rsidR="00693B36" w:rsidRDefault="00693B36">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eastAsia="fr-FR" w:bidi="ar-SA"/>
              </w:rPr>
            </w:pPr>
            <w:r>
              <w:rPr>
                <w:rFonts w:asciiTheme="minorHAnsi" w:hAnsiTheme="minorHAnsi" w:cstheme="minorHAnsi"/>
                <w:lang w:eastAsia="fr-FR" w:bidi="ar-SA"/>
              </w:rPr>
              <w:t>44 000</w:t>
            </w:r>
          </w:p>
        </w:tc>
        <w:tc>
          <w:tcPr>
            <w:tcW w:w="0" w:type="auto"/>
            <w:tcBorders>
              <w:top w:val="single" w:sz="4" w:space="0" w:color="B4C6E7"/>
              <w:left w:val="single" w:sz="4" w:space="0" w:color="B4C6E7"/>
              <w:bottom w:val="single" w:sz="4" w:space="0" w:color="B4C6E7"/>
              <w:right w:val="single" w:sz="4" w:space="0" w:color="B4C6E7"/>
            </w:tcBorders>
            <w:hideMark/>
          </w:tcPr>
          <w:p w14:paraId="3EAA85CD" w14:textId="77777777" w:rsidR="00693B36" w:rsidRDefault="00693B36">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eastAsia="fr-FR" w:bidi="ar-SA"/>
              </w:rPr>
            </w:pPr>
            <w:r>
              <w:rPr>
                <w:rFonts w:asciiTheme="minorHAnsi" w:hAnsiTheme="minorHAnsi" w:cstheme="minorHAnsi"/>
                <w:lang w:eastAsia="fr-FR" w:bidi="ar-SA"/>
              </w:rPr>
              <w:t>EPC</w:t>
            </w:r>
          </w:p>
        </w:tc>
      </w:tr>
      <w:tr w:rsidR="00693B36" w14:paraId="2DA0D7CA" w14:textId="77777777" w:rsidTr="00693B36">
        <w:tc>
          <w:tcPr>
            <w:cnfStyle w:val="001000000000" w:firstRow="0" w:lastRow="0" w:firstColumn="1" w:lastColumn="0" w:oddVBand="0" w:evenVBand="0" w:oddHBand="0" w:evenHBand="0" w:firstRowFirstColumn="0" w:firstRowLastColumn="0" w:lastRowFirstColumn="0" w:lastRowLastColumn="0"/>
            <w:tcW w:w="0" w:type="auto"/>
            <w:vMerge/>
            <w:tcBorders>
              <w:top w:val="single" w:sz="4" w:space="0" w:color="B4C6E7"/>
              <w:left w:val="single" w:sz="4" w:space="0" w:color="B4C6E7"/>
              <w:bottom w:val="single" w:sz="4" w:space="0" w:color="B4C6E7"/>
              <w:right w:val="single" w:sz="4" w:space="0" w:color="B4C6E7"/>
            </w:tcBorders>
            <w:vAlign w:val="center"/>
            <w:hideMark/>
          </w:tcPr>
          <w:p w14:paraId="46C2EDAE" w14:textId="77777777" w:rsidR="00693B36" w:rsidRDefault="00693B36">
            <w:pPr>
              <w:spacing w:before="0" w:after="0" w:line="240" w:lineRule="auto"/>
              <w:jc w:val="left"/>
              <w:rPr>
                <w:rFonts w:asciiTheme="minorHAnsi" w:hAnsiTheme="minorHAnsi" w:cstheme="minorHAnsi"/>
                <w:sz w:val="22"/>
                <w:lang w:eastAsia="fr-FR" w:bidi="ar-SA"/>
              </w:rPr>
            </w:pPr>
          </w:p>
        </w:tc>
        <w:tc>
          <w:tcPr>
            <w:tcW w:w="0" w:type="auto"/>
            <w:tcBorders>
              <w:top w:val="single" w:sz="4" w:space="0" w:color="B4C6E7"/>
              <w:left w:val="single" w:sz="4" w:space="0" w:color="B4C6E7"/>
              <w:bottom w:val="single" w:sz="4" w:space="0" w:color="B4C6E7"/>
              <w:right w:val="single" w:sz="4" w:space="0" w:color="B4C6E7"/>
            </w:tcBorders>
            <w:hideMark/>
          </w:tcPr>
          <w:p w14:paraId="3F25065A" w14:textId="77777777" w:rsidR="00693B36" w:rsidRDefault="00693B36">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eastAsia="fr-FR" w:bidi="ar-SA"/>
              </w:rPr>
            </w:pPr>
            <w:r>
              <w:rPr>
                <w:rFonts w:asciiTheme="minorHAnsi" w:hAnsiTheme="minorHAnsi" w:cstheme="minorHAnsi"/>
                <w:lang w:eastAsia="fr-FR" w:bidi="ar-SA"/>
              </w:rPr>
              <w:t>Déchets dangereux</w:t>
            </w:r>
          </w:p>
        </w:tc>
        <w:tc>
          <w:tcPr>
            <w:tcW w:w="0" w:type="auto"/>
            <w:tcBorders>
              <w:top w:val="single" w:sz="4" w:space="0" w:color="B4C6E7"/>
              <w:left w:val="single" w:sz="4" w:space="0" w:color="B4C6E7"/>
              <w:bottom w:val="single" w:sz="4" w:space="0" w:color="B4C6E7"/>
              <w:right w:val="single" w:sz="4" w:space="0" w:color="B4C6E7"/>
            </w:tcBorders>
            <w:hideMark/>
          </w:tcPr>
          <w:p w14:paraId="0A7171E1" w14:textId="77777777" w:rsidR="00693B36" w:rsidRDefault="00693B36">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eastAsia="fr-FR" w:bidi="ar-SA"/>
              </w:rPr>
            </w:pPr>
            <w:r>
              <w:rPr>
                <w:rFonts w:asciiTheme="minorHAnsi" w:hAnsiTheme="minorHAnsi" w:cstheme="minorHAnsi"/>
                <w:lang w:eastAsia="fr-FR" w:bidi="ar-SA"/>
              </w:rPr>
              <w:t>Collecte et traitement spécialisé</w:t>
            </w:r>
          </w:p>
        </w:tc>
        <w:tc>
          <w:tcPr>
            <w:tcW w:w="0" w:type="auto"/>
            <w:tcBorders>
              <w:top w:val="single" w:sz="4" w:space="0" w:color="B4C6E7"/>
              <w:left w:val="single" w:sz="4" w:space="0" w:color="B4C6E7"/>
              <w:bottom w:val="single" w:sz="4" w:space="0" w:color="B4C6E7"/>
              <w:right w:val="single" w:sz="4" w:space="0" w:color="B4C6E7"/>
            </w:tcBorders>
            <w:hideMark/>
          </w:tcPr>
          <w:p w14:paraId="3D2A8DA5" w14:textId="77777777" w:rsidR="00693B36" w:rsidRDefault="00693B36">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eastAsia="fr-FR" w:bidi="ar-SA"/>
              </w:rPr>
            </w:pPr>
            <w:r>
              <w:rPr>
                <w:rFonts w:asciiTheme="minorHAnsi" w:hAnsiTheme="minorHAnsi" w:cstheme="minorHAnsi"/>
                <w:lang w:eastAsia="fr-FR" w:bidi="ar-SA"/>
              </w:rPr>
              <w:t>100 000</w:t>
            </w:r>
          </w:p>
        </w:tc>
        <w:tc>
          <w:tcPr>
            <w:tcW w:w="0" w:type="auto"/>
            <w:tcBorders>
              <w:top w:val="single" w:sz="4" w:space="0" w:color="B4C6E7"/>
              <w:left w:val="single" w:sz="4" w:space="0" w:color="B4C6E7"/>
              <w:bottom w:val="single" w:sz="4" w:space="0" w:color="B4C6E7"/>
              <w:right w:val="single" w:sz="4" w:space="0" w:color="B4C6E7"/>
            </w:tcBorders>
            <w:hideMark/>
          </w:tcPr>
          <w:p w14:paraId="2488C2AB" w14:textId="77777777" w:rsidR="00693B36" w:rsidRDefault="00693B36">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eastAsia="fr-FR" w:bidi="ar-SA"/>
              </w:rPr>
            </w:pPr>
            <w:r>
              <w:rPr>
                <w:rFonts w:asciiTheme="minorHAnsi" w:hAnsiTheme="minorHAnsi" w:cstheme="minorHAnsi"/>
                <w:lang w:eastAsia="fr-FR" w:bidi="ar-SA"/>
              </w:rPr>
              <w:t>EPC</w:t>
            </w:r>
          </w:p>
        </w:tc>
      </w:tr>
      <w:tr w:rsidR="00693B36" w14:paraId="67168157" w14:textId="77777777" w:rsidTr="00693B36">
        <w:tc>
          <w:tcPr>
            <w:cnfStyle w:val="001000000000" w:firstRow="0" w:lastRow="0" w:firstColumn="1" w:lastColumn="0" w:oddVBand="0" w:evenVBand="0" w:oddHBand="0" w:evenHBand="0" w:firstRowFirstColumn="0" w:firstRowLastColumn="0" w:lastRowFirstColumn="0" w:lastRowLastColumn="0"/>
            <w:tcW w:w="0" w:type="auto"/>
            <w:vMerge w:val="restart"/>
            <w:tcBorders>
              <w:top w:val="single" w:sz="4" w:space="0" w:color="B4C6E7"/>
              <w:left w:val="single" w:sz="4" w:space="0" w:color="B4C6E7"/>
              <w:bottom w:val="single" w:sz="4" w:space="0" w:color="B4C6E7"/>
              <w:right w:val="single" w:sz="4" w:space="0" w:color="B4C6E7"/>
            </w:tcBorders>
            <w:vAlign w:val="center"/>
            <w:hideMark/>
          </w:tcPr>
          <w:p w14:paraId="0E8326AB" w14:textId="77777777" w:rsidR="00693B36" w:rsidRDefault="00693B36">
            <w:pPr>
              <w:spacing w:before="0" w:after="0" w:line="240" w:lineRule="auto"/>
              <w:jc w:val="center"/>
              <w:rPr>
                <w:rFonts w:asciiTheme="minorHAnsi" w:hAnsiTheme="minorHAnsi" w:cstheme="minorHAnsi"/>
                <w:lang w:eastAsia="fr-FR" w:bidi="ar-SA"/>
              </w:rPr>
            </w:pPr>
            <w:r>
              <w:rPr>
                <w:rFonts w:asciiTheme="minorHAnsi" w:hAnsiTheme="minorHAnsi" w:cstheme="minorHAnsi"/>
                <w:lang w:eastAsia="fr-FR" w:bidi="ar-SA"/>
              </w:rPr>
              <w:t>Équipements de suivi et contrôle</w:t>
            </w:r>
          </w:p>
        </w:tc>
        <w:tc>
          <w:tcPr>
            <w:tcW w:w="0" w:type="auto"/>
            <w:tcBorders>
              <w:top w:val="single" w:sz="4" w:space="0" w:color="B4C6E7"/>
              <w:left w:val="single" w:sz="4" w:space="0" w:color="B4C6E7"/>
              <w:bottom w:val="single" w:sz="4" w:space="0" w:color="B4C6E7"/>
              <w:right w:val="single" w:sz="4" w:space="0" w:color="B4C6E7"/>
            </w:tcBorders>
            <w:hideMark/>
          </w:tcPr>
          <w:p w14:paraId="586F3022" w14:textId="77777777" w:rsidR="00693B36" w:rsidRDefault="00693B36">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eastAsia="fr-FR" w:bidi="ar-SA"/>
              </w:rPr>
            </w:pPr>
            <w:r>
              <w:rPr>
                <w:rFonts w:asciiTheme="minorHAnsi" w:hAnsiTheme="minorHAnsi" w:cstheme="minorHAnsi"/>
                <w:lang w:eastAsia="fr-FR" w:bidi="ar-SA"/>
              </w:rPr>
              <w:t>Appareil de mesure de poussières</w:t>
            </w:r>
          </w:p>
        </w:tc>
        <w:tc>
          <w:tcPr>
            <w:tcW w:w="0" w:type="auto"/>
            <w:tcBorders>
              <w:top w:val="single" w:sz="4" w:space="0" w:color="B4C6E7"/>
              <w:left w:val="single" w:sz="4" w:space="0" w:color="B4C6E7"/>
              <w:bottom w:val="single" w:sz="4" w:space="0" w:color="B4C6E7"/>
              <w:right w:val="single" w:sz="4" w:space="0" w:color="B4C6E7"/>
            </w:tcBorders>
            <w:hideMark/>
          </w:tcPr>
          <w:p w14:paraId="3C96632A" w14:textId="77777777" w:rsidR="00693B36" w:rsidRDefault="00693B36">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eastAsia="fr-FR" w:bidi="ar-SA"/>
              </w:rPr>
            </w:pPr>
            <w:r>
              <w:rPr>
                <w:rFonts w:asciiTheme="minorHAnsi" w:hAnsiTheme="minorHAnsi" w:cstheme="minorHAnsi"/>
                <w:lang w:eastAsia="fr-FR" w:bidi="ar-SA"/>
              </w:rPr>
              <w:t>Contrôle de la qualité de l’air</w:t>
            </w:r>
          </w:p>
        </w:tc>
        <w:tc>
          <w:tcPr>
            <w:tcW w:w="0" w:type="auto"/>
            <w:tcBorders>
              <w:top w:val="single" w:sz="4" w:space="0" w:color="B4C6E7"/>
              <w:left w:val="single" w:sz="4" w:space="0" w:color="B4C6E7"/>
              <w:bottom w:val="single" w:sz="4" w:space="0" w:color="B4C6E7"/>
              <w:right w:val="single" w:sz="4" w:space="0" w:color="B4C6E7"/>
            </w:tcBorders>
            <w:hideMark/>
          </w:tcPr>
          <w:p w14:paraId="706721CA" w14:textId="77777777" w:rsidR="00693B36" w:rsidRDefault="00693B36">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eastAsia="fr-FR" w:bidi="ar-SA"/>
              </w:rPr>
            </w:pPr>
            <w:r>
              <w:rPr>
                <w:rFonts w:asciiTheme="minorHAnsi" w:hAnsiTheme="minorHAnsi" w:cstheme="minorHAnsi"/>
                <w:lang w:eastAsia="fr-FR" w:bidi="ar-SA"/>
              </w:rPr>
              <w:t>2 000</w:t>
            </w:r>
          </w:p>
        </w:tc>
        <w:tc>
          <w:tcPr>
            <w:tcW w:w="0" w:type="auto"/>
            <w:tcBorders>
              <w:top w:val="single" w:sz="4" w:space="0" w:color="B4C6E7"/>
              <w:left w:val="single" w:sz="4" w:space="0" w:color="B4C6E7"/>
              <w:bottom w:val="single" w:sz="4" w:space="0" w:color="B4C6E7"/>
              <w:right w:val="single" w:sz="4" w:space="0" w:color="B4C6E7"/>
            </w:tcBorders>
            <w:hideMark/>
          </w:tcPr>
          <w:p w14:paraId="3F8832ED" w14:textId="77777777" w:rsidR="00693B36" w:rsidRDefault="00693B36">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eastAsia="fr-FR" w:bidi="ar-SA"/>
              </w:rPr>
            </w:pPr>
            <w:r>
              <w:rPr>
                <w:rFonts w:asciiTheme="minorHAnsi" w:hAnsiTheme="minorHAnsi" w:cstheme="minorHAnsi"/>
                <w:lang w:eastAsia="fr-FR" w:bidi="ar-SA"/>
              </w:rPr>
              <w:t>EPC</w:t>
            </w:r>
          </w:p>
        </w:tc>
      </w:tr>
      <w:tr w:rsidR="00693B36" w14:paraId="1C074118" w14:textId="77777777" w:rsidTr="00693B36">
        <w:tc>
          <w:tcPr>
            <w:cnfStyle w:val="001000000000" w:firstRow="0" w:lastRow="0" w:firstColumn="1" w:lastColumn="0" w:oddVBand="0" w:evenVBand="0" w:oddHBand="0" w:evenHBand="0" w:firstRowFirstColumn="0" w:firstRowLastColumn="0" w:lastRowFirstColumn="0" w:lastRowLastColumn="0"/>
            <w:tcW w:w="0" w:type="auto"/>
            <w:vMerge/>
            <w:tcBorders>
              <w:top w:val="single" w:sz="4" w:space="0" w:color="B4C6E7"/>
              <w:left w:val="single" w:sz="4" w:space="0" w:color="B4C6E7"/>
              <w:bottom w:val="single" w:sz="4" w:space="0" w:color="B4C6E7"/>
              <w:right w:val="single" w:sz="4" w:space="0" w:color="B4C6E7"/>
            </w:tcBorders>
            <w:vAlign w:val="center"/>
            <w:hideMark/>
          </w:tcPr>
          <w:p w14:paraId="656CDF3D" w14:textId="77777777" w:rsidR="00693B36" w:rsidRDefault="00693B36">
            <w:pPr>
              <w:spacing w:before="0" w:after="0" w:line="240" w:lineRule="auto"/>
              <w:jc w:val="left"/>
              <w:rPr>
                <w:rFonts w:asciiTheme="minorHAnsi" w:hAnsiTheme="minorHAnsi" w:cstheme="minorHAnsi"/>
                <w:sz w:val="22"/>
                <w:lang w:eastAsia="fr-FR" w:bidi="ar-SA"/>
              </w:rPr>
            </w:pPr>
          </w:p>
        </w:tc>
        <w:tc>
          <w:tcPr>
            <w:tcW w:w="0" w:type="auto"/>
            <w:tcBorders>
              <w:top w:val="single" w:sz="4" w:space="0" w:color="B4C6E7"/>
              <w:left w:val="single" w:sz="4" w:space="0" w:color="B4C6E7"/>
              <w:bottom w:val="single" w:sz="4" w:space="0" w:color="B4C6E7"/>
              <w:right w:val="single" w:sz="4" w:space="0" w:color="B4C6E7"/>
            </w:tcBorders>
            <w:hideMark/>
          </w:tcPr>
          <w:p w14:paraId="1CBD11EF" w14:textId="77777777" w:rsidR="00693B36" w:rsidRDefault="00693B36">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eastAsia="fr-FR" w:bidi="ar-SA"/>
              </w:rPr>
            </w:pPr>
            <w:r>
              <w:rPr>
                <w:rFonts w:asciiTheme="minorHAnsi" w:hAnsiTheme="minorHAnsi" w:cstheme="minorHAnsi"/>
                <w:lang w:eastAsia="fr-FR" w:bidi="ar-SA"/>
              </w:rPr>
              <w:t>Sonomètre</w:t>
            </w:r>
          </w:p>
        </w:tc>
        <w:tc>
          <w:tcPr>
            <w:tcW w:w="0" w:type="auto"/>
            <w:tcBorders>
              <w:top w:val="single" w:sz="4" w:space="0" w:color="B4C6E7"/>
              <w:left w:val="single" w:sz="4" w:space="0" w:color="B4C6E7"/>
              <w:bottom w:val="single" w:sz="4" w:space="0" w:color="B4C6E7"/>
              <w:right w:val="single" w:sz="4" w:space="0" w:color="B4C6E7"/>
            </w:tcBorders>
            <w:hideMark/>
          </w:tcPr>
          <w:p w14:paraId="1C65D172" w14:textId="77777777" w:rsidR="00693B36" w:rsidRDefault="00693B36">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eastAsia="fr-FR" w:bidi="ar-SA"/>
              </w:rPr>
            </w:pPr>
            <w:r>
              <w:rPr>
                <w:rFonts w:asciiTheme="minorHAnsi" w:hAnsiTheme="minorHAnsi" w:cstheme="minorHAnsi"/>
                <w:lang w:eastAsia="fr-FR" w:bidi="ar-SA"/>
              </w:rPr>
              <w:t>Contrôle du niveau sonore</w:t>
            </w:r>
          </w:p>
        </w:tc>
        <w:tc>
          <w:tcPr>
            <w:tcW w:w="0" w:type="auto"/>
            <w:tcBorders>
              <w:top w:val="single" w:sz="4" w:space="0" w:color="B4C6E7"/>
              <w:left w:val="single" w:sz="4" w:space="0" w:color="B4C6E7"/>
              <w:bottom w:val="single" w:sz="4" w:space="0" w:color="B4C6E7"/>
              <w:right w:val="single" w:sz="4" w:space="0" w:color="B4C6E7"/>
            </w:tcBorders>
            <w:hideMark/>
          </w:tcPr>
          <w:p w14:paraId="0920D12B" w14:textId="77777777" w:rsidR="00693B36" w:rsidRDefault="00693B36">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eastAsia="fr-FR" w:bidi="ar-SA"/>
              </w:rPr>
            </w:pPr>
            <w:r>
              <w:rPr>
                <w:rFonts w:asciiTheme="minorHAnsi" w:hAnsiTheme="minorHAnsi" w:cstheme="minorHAnsi"/>
                <w:lang w:eastAsia="fr-FR" w:bidi="ar-SA"/>
              </w:rPr>
              <w:t>5 000</w:t>
            </w:r>
          </w:p>
        </w:tc>
        <w:tc>
          <w:tcPr>
            <w:tcW w:w="0" w:type="auto"/>
            <w:tcBorders>
              <w:top w:val="single" w:sz="4" w:space="0" w:color="B4C6E7"/>
              <w:left w:val="single" w:sz="4" w:space="0" w:color="B4C6E7"/>
              <w:bottom w:val="single" w:sz="4" w:space="0" w:color="B4C6E7"/>
              <w:right w:val="single" w:sz="4" w:space="0" w:color="B4C6E7"/>
            </w:tcBorders>
            <w:hideMark/>
          </w:tcPr>
          <w:p w14:paraId="4B050E6D" w14:textId="77777777" w:rsidR="00693B36" w:rsidRDefault="00693B36">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eastAsia="fr-FR" w:bidi="ar-SA"/>
              </w:rPr>
            </w:pPr>
            <w:r>
              <w:rPr>
                <w:rFonts w:asciiTheme="minorHAnsi" w:hAnsiTheme="minorHAnsi" w:cstheme="minorHAnsi"/>
                <w:lang w:eastAsia="fr-FR" w:bidi="ar-SA"/>
              </w:rPr>
              <w:t>EPC</w:t>
            </w:r>
          </w:p>
        </w:tc>
      </w:tr>
      <w:tr w:rsidR="00693B36" w14:paraId="4170473A" w14:textId="77777777" w:rsidTr="00693B36">
        <w:tc>
          <w:tcPr>
            <w:cnfStyle w:val="001000000000" w:firstRow="0" w:lastRow="0" w:firstColumn="1" w:lastColumn="0" w:oddVBand="0" w:evenVBand="0" w:oddHBand="0" w:evenHBand="0" w:firstRowFirstColumn="0" w:firstRowLastColumn="0" w:lastRowFirstColumn="0" w:lastRowLastColumn="0"/>
            <w:tcW w:w="0" w:type="auto"/>
            <w:vMerge/>
            <w:tcBorders>
              <w:top w:val="single" w:sz="4" w:space="0" w:color="B4C6E7"/>
              <w:left w:val="single" w:sz="4" w:space="0" w:color="B4C6E7"/>
              <w:bottom w:val="single" w:sz="4" w:space="0" w:color="B4C6E7"/>
              <w:right w:val="single" w:sz="4" w:space="0" w:color="B4C6E7"/>
            </w:tcBorders>
            <w:vAlign w:val="center"/>
            <w:hideMark/>
          </w:tcPr>
          <w:p w14:paraId="5D58F2DC" w14:textId="77777777" w:rsidR="00693B36" w:rsidRDefault="00693B36">
            <w:pPr>
              <w:spacing w:before="0" w:after="0" w:line="240" w:lineRule="auto"/>
              <w:jc w:val="left"/>
              <w:rPr>
                <w:rFonts w:asciiTheme="minorHAnsi" w:hAnsiTheme="minorHAnsi" w:cstheme="minorHAnsi"/>
                <w:sz w:val="22"/>
                <w:lang w:eastAsia="fr-FR" w:bidi="ar-SA"/>
              </w:rPr>
            </w:pPr>
          </w:p>
        </w:tc>
        <w:tc>
          <w:tcPr>
            <w:tcW w:w="0" w:type="auto"/>
            <w:tcBorders>
              <w:top w:val="single" w:sz="4" w:space="0" w:color="B4C6E7"/>
              <w:left w:val="single" w:sz="4" w:space="0" w:color="B4C6E7"/>
              <w:bottom w:val="single" w:sz="4" w:space="0" w:color="B4C6E7"/>
              <w:right w:val="single" w:sz="4" w:space="0" w:color="B4C6E7"/>
            </w:tcBorders>
            <w:hideMark/>
          </w:tcPr>
          <w:p w14:paraId="3869C427" w14:textId="77777777" w:rsidR="00693B36" w:rsidRDefault="00693B36">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eastAsia="fr-FR" w:bidi="ar-SA"/>
              </w:rPr>
            </w:pPr>
            <w:r>
              <w:rPr>
                <w:rFonts w:asciiTheme="minorHAnsi" w:hAnsiTheme="minorHAnsi" w:cstheme="minorHAnsi"/>
                <w:lang w:eastAsia="fr-FR" w:bidi="ar-SA"/>
              </w:rPr>
              <w:t>Kits d’urgence HSE</w:t>
            </w:r>
          </w:p>
        </w:tc>
        <w:tc>
          <w:tcPr>
            <w:tcW w:w="0" w:type="auto"/>
            <w:tcBorders>
              <w:top w:val="single" w:sz="4" w:space="0" w:color="B4C6E7"/>
              <w:left w:val="single" w:sz="4" w:space="0" w:color="B4C6E7"/>
              <w:bottom w:val="single" w:sz="4" w:space="0" w:color="B4C6E7"/>
              <w:right w:val="single" w:sz="4" w:space="0" w:color="B4C6E7"/>
            </w:tcBorders>
            <w:hideMark/>
          </w:tcPr>
          <w:p w14:paraId="4C96EB07" w14:textId="77777777" w:rsidR="00693B36" w:rsidRDefault="00693B36">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eastAsia="fr-FR" w:bidi="ar-SA"/>
              </w:rPr>
            </w:pPr>
            <w:r>
              <w:rPr>
                <w:rFonts w:asciiTheme="minorHAnsi" w:hAnsiTheme="minorHAnsi" w:cstheme="minorHAnsi"/>
                <w:lang w:eastAsia="fr-FR" w:bidi="ar-SA"/>
              </w:rPr>
              <w:t>Absorbants, barrières anti-pollution</w:t>
            </w:r>
          </w:p>
        </w:tc>
        <w:tc>
          <w:tcPr>
            <w:tcW w:w="0" w:type="auto"/>
            <w:tcBorders>
              <w:top w:val="single" w:sz="4" w:space="0" w:color="B4C6E7"/>
              <w:left w:val="single" w:sz="4" w:space="0" w:color="B4C6E7"/>
              <w:bottom w:val="single" w:sz="4" w:space="0" w:color="B4C6E7"/>
              <w:right w:val="single" w:sz="4" w:space="0" w:color="B4C6E7"/>
            </w:tcBorders>
            <w:hideMark/>
          </w:tcPr>
          <w:p w14:paraId="54C343BC" w14:textId="77777777" w:rsidR="00693B36" w:rsidRDefault="00693B36">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eastAsia="fr-FR" w:bidi="ar-SA"/>
              </w:rPr>
            </w:pPr>
            <w:r>
              <w:rPr>
                <w:rFonts w:asciiTheme="minorHAnsi" w:hAnsiTheme="minorHAnsi" w:cstheme="minorHAnsi"/>
                <w:lang w:eastAsia="fr-FR" w:bidi="ar-SA"/>
              </w:rPr>
              <w:t>8 000</w:t>
            </w:r>
          </w:p>
        </w:tc>
        <w:tc>
          <w:tcPr>
            <w:tcW w:w="0" w:type="auto"/>
            <w:tcBorders>
              <w:top w:val="single" w:sz="4" w:space="0" w:color="B4C6E7"/>
              <w:left w:val="single" w:sz="4" w:space="0" w:color="B4C6E7"/>
              <w:bottom w:val="single" w:sz="4" w:space="0" w:color="B4C6E7"/>
              <w:right w:val="single" w:sz="4" w:space="0" w:color="B4C6E7"/>
            </w:tcBorders>
            <w:hideMark/>
          </w:tcPr>
          <w:p w14:paraId="620A551E" w14:textId="77777777" w:rsidR="00693B36" w:rsidRDefault="00693B36">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eastAsia="fr-FR" w:bidi="ar-SA"/>
              </w:rPr>
            </w:pPr>
            <w:r>
              <w:rPr>
                <w:rFonts w:asciiTheme="minorHAnsi" w:hAnsiTheme="minorHAnsi" w:cstheme="minorHAnsi"/>
                <w:lang w:eastAsia="fr-FR" w:bidi="ar-SA"/>
              </w:rPr>
              <w:t>EPC</w:t>
            </w:r>
          </w:p>
        </w:tc>
      </w:tr>
      <w:tr w:rsidR="00693B36" w14:paraId="647A5781" w14:textId="77777777" w:rsidTr="00693B36">
        <w:tc>
          <w:tcPr>
            <w:cnfStyle w:val="001000000000" w:firstRow="0" w:lastRow="0" w:firstColumn="1" w:lastColumn="0" w:oddVBand="0" w:evenVBand="0" w:oddHBand="0" w:evenHBand="0" w:firstRowFirstColumn="0" w:firstRowLastColumn="0" w:lastRowFirstColumn="0" w:lastRowLastColumn="0"/>
            <w:tcW w:w="0" w:type="auto"/>
            <w:vMerge/>
            <w:tcBorders>
              <w:top w:val="single" w:sz="4" w:space="0" w:color="B4C6E7"/>
              <w:left w:val="single" w:sz="4" w:space="0" w:color="B4C6E7"/>
              <w:bottom w:val="single" w:sz="4" w:space="0" w:color="B4C6E7"/>
              <w:right w:val="single" w:sz="4" w:space="0" w:color="B4C6E7"/>
            </w:tcBorders>
            <w:vAlign w:val="center"/>
            <w:hideMark/>
          </w:tcPr>
          <w:p w14:paraId="0B69420F" w14:textId="77777777" w:rsidR="00693B36" w:rsidRDefault="00693B36">
            <w:pPr>
              <w:spacing w:before="0" w:after="0" w:line="240" w:lineRule="auto"/>
              <w:jc w:val="left"/>
              <w:rPr>
                <w:rFonts w:asciiTheme="minorHAnsi" w:hAnsiTheme="minorHAnsi" w:cstheme="minorHAnsi"/>
                <w:sz w:val="22"/>
                <w:lang w:eastAsia="fr-FR" w:bidi="ar-SA"/>
              </w:rPr>
            </w:pPr>
          </w:p>
        </w:tc>
        <w:tc>
          <w:tcPr>
            <w:tcW w:w="0" w:type="auto"/>
            <w:tcBorders>
              <w:top w:val="single" w:sz="4" w:space="0" w:color="B4C6E7"/>
              <w:left w:val="single" w:sz="4" w:space="0" w:color="B4C6E7"/>
              <w:bottom w:val="single" w:sz="4" w:space="0" w:color="B4C6E7"/>
              <w:right w:val="single" w:sz="4" w:space="0" w:color="B4C6E7"/>
            </w:tcBorders>
            <w:hideMark/>
          </w:tcPr>
          <w:p w14:paraId="6017DF96" w14:textId="77777777" w:rsidR="00693B36" w:rsidRDefault="00693B36">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eastAsia="fr-FR" w:bidi="ar-SA"/>
              </w:rPr>
            </w:pPr>
            <w:r>
              <w:rPr>
                <w:rFonts w:asciiTheme="minorHAnsi" w:hAnsiTheme="minorHAnsi" w:cstheme="minorHAnsi"/>
                <w:lang w:eastAsia="fr-FR" w:bidi="ar-SA"/>
              </w:rPr>
              <w:t>Latrines chimiques</w:t>
            </w:r>
          </w:p>
        </w:tc>
        <w:tc>
          <w:tcPr>
            <w:tcW w:w="0" w:type="auto"/>
            <w:tcBorders>
              <w:top w:val="single" w:sz="4" w:space="0" w:color="B4C6E7"/>
              <w:left w:val="single" w:sz="4" w:space="0" w:color="B4C6E7"/>
              <w:bottom w:val="single" w:sz="4" w:space="0" w:color="B4C6E7"/>
              <w:right w:val="single" w:sz="4" w:space="0" w:color="B4C6E7"/>
            </w:tcBorders>
            <w:hideMark/>
          </w:tcPr>
          <w:p w14:paraId="0EE968CB" w14:textId="77777777" w:rsidR="00693B36" w:rsidRDefault="00693B36">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eastAsia="fr-FR" w:bidi="ar-SA"/>
              </w:rPr>
            </w:pPr>
            <w:r>
              <w:rPr>
                <w:rFonts w:asciiTheme="minorHAnsi" w:hAnsiTheme="minorHAnsi" w:cstheme="minorHAnsi"/>
                <w:lang w:eastAsia="fr-FR" w:bidi="ar-SA"/>
              </w:rPr>
              <w:t>Installation sur site</w:t>
            </w:r>
          </w:p>
        </w:tc>
        <w:tc>
          <w:tcPr>
            <w:tcW w:w="0" w:type="auto"/>
            <w:tcBorders>
              <w:top w:val="single" w:sz="4" w:space="0" w:color="B4C6E7"/>
              <w:left w:val="single" w:sz="4" w:space="0" w:color="B4C6E7"/>
              <w:bottom w:val="single" w:sz="4" w:space="0" w:color="B4C6E7"/>
              <w:right w:val="single" w:sz="4" w:space="0" w:color="B4C6E7"/>
            </w:tcBorders>
            <w:hideMark/>
          </w:tcPr>
          <w:p w14:paraId="2B65EB6B" w14:textId="77777777" w:rsidR="00693B36" w:rsidRDefault="00693B36">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eastAsia="fr-FR" w:bidi="ar-SA"/>
              </w:rPr>
            </w:pPr>
            <w:r>
              <w:rPr>
                <w:rFonts w:asciiTheme="minorHAnsi" w:hAnsiTheme="minorHAnsi" w:cstheme="minorHAnsi"/>
                <w:lang w:eastAsia="fr-FR" w:bidi="ar-SA"/>
              </w:rPr>
              <w:t>20 000</w:t>
            </w:r>
          </w:p>
        </w:tc>
        <w:tc>
          <w:tcPr>
            <w:tcW w:w="0" w:type="auto"/>
            <w:tcBorders>
              <w:top w:val="single" w:sz="4" w:space="0" w:color="B4C6E7"/>
              <w:left w:val="single" w:sz="4" w:space="0" w:color="B4C6E7"/>
              <w:bottom w:val="single" w:sz="4" w:space="0" w:color="B4C6E7"/>
              <w:right w:val="single" w:sz="4" w:space="0" w:color="B4C6E7"/>
            </w:tcBorders>
            <w:hideMark/>
          </w:tcPr>
          <w:p w14:paraId="00054024" w14:textId="77777777" w:rsidR="00693B36" w:rsidRDefault="00693B36">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eastAsia="fr-FR" w:bidi="ar-SA"/>
              </w:rPr>
            </w:pPr>
            <w:r>
              <w:rPr>
                <w:rFonts w:asciiTheme="minorHAnsi" w:hAnsiTheme="minorHAnsi" w:cstheme="minorHAnsi"/>
                <w:lang w:eastAsia="fr-FR" w:bidi="ar-SA"/>
              </w:rPr>
              <w:t>EPC</w:t>
            </w:r>
          </w:p>
        </w:tc>
      </w:tr>
      <w:tr w:rsidR="00693B36" w14:paraId="1C982F38" w14:textId="77777777" w:rsidTr="00693B36">
        <w:tc>
          <w:tcPr>
            <w:cnfStyle w:val="001000000000" w:firstRow="0" w:lastRow="0" w:firstColumn="1" w:lastColumn="0" w:oddVBand="0" w:evenVBand="0" w:oddHBand="0" w:evenHBand="0" w:firstRowFirstColumn="0" w:firstRowLastColumn="0" w:lastRowFirstColumn="0" w:lastRowLastColumn="0"/>
            <w:tcW w:w="0" w:type="auto"/>
            <w:vMerge/>
            <w:tcBorders>
              <w:top w:val="single" w:sz="4" w:space="0" w:color="B4C6E7"/>
              <w:left w:val="single" w:sz="4" w:space="0" w:color="B4C6E7"/>
              <w:bottom w:val="single" w:sz="4" w:space="0" w:color="B4C6E7"/>
              <w:right w:val="single" w:sz="4" w:space="0" w:color="B4C6E7"/>
            </w:tcBorders>
            <w:vAlign w:val="center"/>
            <w:hideMark/>
          </w:tcPr>
          <w:p w14:paraId="447BD312" w14:textId="77777777" w:rsidR="00693B36" w:rsidRDefault="00693B36">
            <w:pPr>
              <w:spacing w:before="0" w:after="0" w:line="240" w:lineRule="auto"/>
              <w:jc w:val="left"/>
              <w:rPr>
                <w:rFonts w:asciiTheme="minorHAnsi" w:hAnsiTheme="minorHAnsi" w:cstheme="minorHAnsi"/>
                <w:sz w:val="22"/>
                <w:lang w:eastAsia="fr-FR" w:bidi="ar-SA"/>
              </w:rPr>
            </w:pPr>
          </w:p>
        </w:tc>
        <w:tc>
          <w:tcPr>
            <w:tcW w:w="0" w:type="auto"/>
            <w:tcBorders>
              <w:top w:val="single" w:sz="4" w:space="0" w:color="B4C6E7"/>
              <w:left w:val="single" w:sz="4" w:space="0" w:color="B4C6E7"/>
              <w:bottom w:val="single" w:sz="4" w:space="0" w:color="B4C6E7"/>
              <w:right w:val="single" w:sz="4" w:space="0" w:color="B4C6E7"/>
            </w:tcBorders>
            <w:hideMark/>
          </w:tcPr>
          <w:p w14:paraId="5D5D2DC2" w14:textId="77777777" w:rsidR="00693B36" w:rsidRDefault="00693B36">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eastAsia="fr-FR" w:bidi="ar-SA"/>
              </w:rPr>
            </w:pPr>
            <w:r>
              <w:rPr>
                <w:rFonts w:asciiTheme="minorHAnsi" w:hAnsiTheme="minorHAnsi" w:cstheme="minorHAnsi"/>
                <w:lang w:eastAsia="fr-FR" w:bidi="ar-SA"/>
              </w:rPr>
              <w:t>Vidange latrines</w:t>
            </w:r>
          </w:p>
        </w:tc>
        <w:tc>
          <w:tcPr>
            <w:tcW w:w="0" w:type="auto"/>
            <w:tcBorders>
              <w:top w:val="single" w:sz="4" w:space="0" w:color="B4C6E7"/>
              <w:left w:val="single" w:sz="4" w:space="0" w:color="B4C6E7"/>
              <w:bottom w:val="single" w:sz="4" w:space="0" w:color="B4C6E7"/>
              <w:right w:val="single" w:sz="4" w:space="0" w:color="B4C6E7"/>
            </w:tcBorders>
            <w:hideMark/>
          </w:tcPr>
          <w:p w14:paraId="5AB14B9C" w14:textId="77777777" w:rsidR="00693B36" w:rsidRDefault="00693B36">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eastAsia="fr-FR" w:bidi="ar-SA"/>
              </w:rPr>
            </w:pPr>
            <w:r>
              <w:rPr>
                <w:rFonts w:asciiTheme="minorHAnsi" w:hAnsiTheme="minorHAnsi" w:cstheme="minorHAnsi"/>
                <w:lang w:eastAsia="fr-FR" w:bidi="ar-SA"/>
              </w:rPr>
              <w:t>Entretien hebdomadaire</w:t>
            </w:r>
          </w:p>
        </w:tc>
        <w:tc>
          <w:tcPr>
            <w:tcW w:w="0" w:type="auto"/>
            <w:tcBorders>
              <w:top w:val="single" w:sz="4" w:space="0" w:color="B4C6E7"/>
              <w:left w:val="single" w:sz="4" w:space="0" w:color="B4C6E7"/>
              <w:bottom w:val="single" w:sz="4" w:space="0" w:color="B4C6E7"/>
              <w:right w:val="single" w:sz="4" w:space="0" w:color="B4C6E7"/>
            </w:tcBorders>
            <w:hideMark/>
          </w:tcPr>
          <w:p w14:paraId="5EAE7B3C" w14:textId="77777777" w:rsidR="00693B36" w:rsidRDefault="00693B36">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eastAsia="fr-FR" w:bidi="ar-SA"/>
              </w:rPr>
            </w:pPr>
            <w:r>
              <w:rPr>
                <w:rFonts w:asciiTheme="minorHAnsi" w:hAnsiTheme="minorHAnsi" w:cstheme="minorHAnsi"/>
                <w:lang w:eastAsia="fr-FR" w:bidi="ar-SA"/>
              </w:rPr>
              <w:t>5 000</w:t>
            </w:r>
          </w:p>
        </w:tc>
        <w:tc>
          <w:tcPr>
            <w:tcW w:w="0" w:type="auto"/>
            <w:tcBorders>
              <w:top w:val="single" w:sz="4" w:space="0" w:color="B4C6E7"/>
              <w:left w:val="single" w:sz="4" w:space="0" w:color="B4C6E7"/>
              <w:bottom w:val="single" w:sz="4" w:space="0" w:color="B4C6E7"/>
              <w:right w:val="single" w:sz="4" w:space="0" w:color="B4C6E7"/>
            </w:tcBorders>
            <w:hideMark/>
          </w:tcPr>
          <w:p w14:paraId="66BA8549" w14:textId="77777777" w:rsidR="00693B36" w:rsidRDefault="00693B36">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eastAsia="fr-FR" w:bidi="ar-SA"/>
              </w:rPr>
            </w:pPr>
            <w:r>
              <w:rPr>
                <w:rFonts w:asciiTheme="minorHAnsi" w:hAnsiTheme="minorHAnsi" w:cstheme="minorHAnsi"/>
                <w:lang w:eastAsia="fr-FR" w:bidi="ar-SA"/>
              </w:rPr>
              <w:t>EPC</w:t>
            </w:r>
          </w:p>
        </w:tc>
      </w:tr>
      <w:tr w:rsidR="00693B36" w14:paraId="6A75D283" w14:textId="77777777" w:rsidTr="00693B36">
        <w:tc>
          <w:tcPr>
            <w:cnfStyle w:val="001000000000" w:firstRow="0" w:lastRow="0" w:firstColumn="1" w:lastColumn="0" w:oddVBand="0" w:evenVBand="0" w:oddHBand="0" w:evenHBand="0" w:firstRowFirstColumn="0" w:firstRowLastColumn="0" w:lastRowFirstColumn="0" w:lastRowLastColumn="0"/>
            <w:tcW w:w="0" w:type="auto"/>
            <w:vMerge w:val="restart"/>
            <w:tcBorders>
              <w:top w:val="single" w:sz="4" w:space="0" w:color="B4C6E7"/>
              <w:left w:val="single" w:sz="4" w:space="0" w:color="B4C6E7"/>
              <w:bottom w:val="single" w:sz="4" w:space="0" w:color="B4C6E7"/>
              <w:right w:val="single" w:sz="4" w:space="0" w:color="B4C6E7"/>
            </w:tcBorders>
            <w:vAlign w:val="center"/>
            <w:hideMark/>
          </w:tcPr>
          <w:p w14:paraId="155827D3" w14:textId="77777777" w:rsidR="00693B36" w:rsidRDefault="00693B36">
            <w:pPr>
              <w:spacing w:before="0" w:after="0" w:line="240" w:lineRule="auto"/>
              <w:jc w:val="center"/>
              <w:rPr>
                <w:rFonts w:asciiTheme="minorHAnsi" w:hAnsiTheme="minorHAnsi" w:cstheme="minorHAnsi"/>
                <w:lang w:eastAsia="fr-FR" w:bidi="ar-SA"/>
              </w:rPr>
            </w:pPr>
            <w:r>
              <w:rPr>
                <w:rFonts w:asciiTheme="minorHAnsi" w:hAnsiTheme="minorHAnsi" w:cstheme="minorHAnsi"/>
                <w:lang w:eastAsia="fr-FR" w:bidi="ar-SA"/>
              </w:rPr>
              <w:t>Formations et sensibilisation</w:t>
            </w:r>
          </w:p>
        </w:tc>
        <w:tc>
          <w:tcPr>
            <w:tcW w:w="0" w:type="auto"/>
            <w:tcBorders>
              <w:top w:val="single" w:sz="4" w:space="0" w:color="B4C6E7"/>
              <w:left w:val="single" w:sz="4" w:space="0" w:color="B4C6E7"/>
              <w:bottom w:val="single" w:sz="4" w:space="0" w:color="B4C6E7"/>
              <w:right w:val="single" w:sz="4" w:space="0" w:color="B4C6E7"/>
            </w:tcBorders>
            <w:hideMark/>
          </w:tcPr>
          <w:p w14:paraId="71FC9122" w14:textId="77777777" w:rsidR="00693B36" w:rsidRDefault="00693B36">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eastAsia="fr-FR" w:bidi="ar-SA"/>
              </w:rPr>
            </w:pPr>
            <w:r>
              <w:rPr>
                <w:rFonts w:asciiTheme="minorHAnsi" w:hAnsiTheme="minorHAnsi" w:cstheme="minorHAnsi"/>
                <w:lang w:eastAsia="fr-FR" w:bidi="ar-SA"/>
              </w:rPr>
              <w:t>Santé, sécurité, premiers secours</w:t>
            </w:r>
          </w:p>
        </w:tc>
        <w:tc>
          <w:tcPr>
            <w:tcW w:w="0" w:type="auto"/>
            <w:tcBorders>
              <w:top w:val="single" w:sz="4" w:space="0" w:color="B4C6E7"/>
              <w:left w:val="single" w:sz="4" w:space="0" w:color="B4C6E7"/>
              <w:bottom w:val="single" w:sz="4" w:space="0" w:color="B4C6E7"/>
              <w:right w:val="single" w:sz="4" w:space="0" w:color="B4C6E7"/>
            </w:tcBorders>
            <w:hideMark/>
          </w:tcPr>
          <w:p w14:paraId="0158AA22" w14:textId="77777777" w:rsidR="00693B36" w:rsidRDefault="00693B36">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eastAsia="fr-FR" w:bidi="ar-SA"/>
              </w:rPr>
            </w:pPr>
            <w:r>
              <w:rPr>
                <w:rFonts w:asciiTheme="minorHAnsi" w:hAnsiTheme="minorHAnsi" w:cstheme="minorHAnsi"/>
                <w:lang w:eastAsia="fr-FR" w:bidi="ar-SA"/>
              </w:rPr>
              <w:t>Formation trimestrielle</w:t>
            </w:r>
          </w:p>
        </w:tc>
        <w:tc>
          <w:tcPr>
            <w:tcW w:w="0" w:type="auto"/>
            <w:tcBorders>
              <w:top w:val="single" w:sz="4" w:space="0" w:color="B4C6E7"/>
              <w:left w:val="single" w:sz="4" w:space="0" w:color="B4C6E7"/>
              <w:bottom w:val="single" w:sz="4" w:space="0" w:color="B4C6E7"/>
              <w:right w:val="single" w:sz="4" w:space="0" w:color="B4C6E7"/>
            </w:tcBorders>
            <w:hideMark/>
          </w:tcPr>
          <w:p w14:paraId="418399AB" w14:textId="77777777" w:rsidR="00693B36" w:rsidRDefault="00693B36">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eastAsia="fr-FR" w:bidi="ar-SA"/>
              </w:rPr>
            </w:pPr>
            <w:r>
              <w:rPr>
                <w:rFonts w:asciiTheme="minorHAnsi" w:hAnsiTheme="minorHAnsi" w:cstheme="minorHAnsi"/>
                <w:lang w:eastAsia="fr-FR" w:bidi="ar-SA"/>
              </w:rPr>
              <w:t>15 000</w:t>
            </w:r>
          </w:p>
        </w:tc>
        <w:tc>
          <w:tcPr>
            <w:tcW w:w="0" w:type="auto"/>
            <w:tcBorders>
              <w:top w:val="single" w:sz="4" w:space="0" w:color="B4C6E7"/>
              <w:left w:val="single" w:sz="4" w:space="0" w:color="B4C6E7"/>
              <w:bottom w:val="single" w:sz="4" w:space="0" w:color="B4C6E7"/>
              <w:right w:val="single" w:sz="4" w:space="0" w:color="B4C6E7"/>
            </w:tcBorders>
            <w:hideMark/>
          </w:tcPr>
          <w:p w14:paraId="70AAFB41" w14:textId="77777777" w:rsidR="00693B36" w:rsidRDefault="00693B36">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eastAsia="fr-FR" w:bidi="ar-SA"/>
              </w:rPr>
            </w:pPr>
            <w:r>
              <w:rPr>
                <w:rFonts w:asciiTheme="minorHAnsi" w:hAnsiTheme="minorHAnsi" w:cstheme="minorHAnsi"/>
                <w:lang w:eastAsia="fr-FR" w:bidi="ar-SA"/>
              </w:rPr>
              <w:t>EPC</w:t>
            </w:r>
          </w:p>
        </w:tc>
      </w:tr>
      <w:tr w:rsidR="00693B36" w14:paraId="34E29970" w14:textId="77777777" w:rsidTr="00693B36">
        <w:tc>
          <w:tcPr>
            <w:cnfStyle w:val="001000000000" w:firstRow="0" w:lastRow="0" w:firstColumn="1" w:lastColumn="0" w:oddVBand="0" w:evenVBand="0" w:oddHBand="0" w:evenHBand="0" w:firstRowFirstColumn="0" w:firstRowLastColumn="0" w:lastRowFirstColumn="0" w:lastRowLastColumn="0"/>
            <w:tcW w:w="0" w:type="auto"/>
            <w:vMerge/>
            <w:tcBorders>
              <w:top w:val="single" w:sz="4" w:space="0" w:color="B4C6E7"/>
              <w:left w:val="single" w:sz="4" w:space="0" w:color="B4C6E7"/>
              <w:bottom w:val="single" w:sz="4" w:space="0" w:color="B4C6E7"/>
              <w:right w:val="single" w:sz="4" w:space="0" w:color="B4C6E7"/>
            </w:tcBorders>
            <w:vAlign w:val="center"/>
            <w:hideMark/>
          </w:tcPr>
          <w:p w14:paraId="4519ECFE" w14:textId="77777777" w:rsidR="00693B36" w:rsidRDefault="00693B36">
            <w:pPr>
              <w:spacing w:before="0" w:after="0" w:line="240" w:lineRule="auto"/>
              <w:jc w:val="left"/>
              <w:rPr>
                <w:rFonts w:asciiTheme="minorHAnsi" w:hAnsiTheme="minorHAnsi" w:cstheme="minorHAnsi"/>
                <w:sz w:val="22"/>
                <w:lang w:eastAsia="fr-FR" w:bidi="ar-SA"/>
              </w:rPr>
            </w:pPr>
          </w:p>
        </w:tc>
        <w:tc>
          <w:tcPr>
            <w:tcW w:w="0" w:type="auto"/>
            <w:tcBorders>
              <w:top w:val="single" w:sz="4" w:space="0" w:color="B4C6E7"/>
              <w:left w:val="single" w:sz="4" w:space="0" w:color="B4C6E7"/>
              <w:bottom w:val="single" w:sz="4" w:space="0" w:color="B4C6E7"/>
              <w:right w:val="single" w:sz="4" w:space="0" w:color="B4C6E7"/>
            </w:tcBorders>
            <w:hideMark/>
          </w:tcPr>
          <w:p w14:paraId="0EA59A5A" w14:textId="77777777" w:rsidR="00693B36" w:rsidRDefault="00693B36">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eastAsia="fr-FR" w:bidi="ar-SA"/>
              </w:rPr>
            </w:pPr>
            <w:r>
              <w:rPr>
                <w:rFonts w:asciiTheme="minorHAnsi" w:hAnsiTheme="minorHAnsi" w:cstheme="minorHAnsi"/>
                <w:lang w:eastAsia="fr-FR" w:bidi="ar-SA"/>
              </w:rPr>
              <w:t>Gestion des déchets et matières dangereuses</w:t>
            </w:r>
          </w:p>
        </w:tc>
        <w:tc>
          <w:tcPr>
            <w:tcW w:w="0" w:type="auto"/>
            <w:tcBorders>
              <w:top w:val="single" w:sz="4" w:space="0" w:color="B4C6E7"/>
              <w:left w:val="single" w:sz="4" w:space="0" w:color="B4C6E7"/>
              <w:bottom w:val="single" w:sz="4" w:space="0" w:color="B4C6E7"/>
              <w:right w:val="single" w:sz="4" w:space="0" w:color="B4C6E7"/>
            </w:tcBorders>
            <w:hideMark/>
          </w:tcPr>
          <w:p w14:paraId="021F2C84" w14:textId="77777777" w:rsidR="00693B36" w:rsidRDefault="00693B36">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eastAsia="fr-FR" w:bidi="ar-SA"/>
              </w:rPr>
            </w:pPr>
            <w:r>
              <w:rPr>
                <w:rFonts w:asciiTheme="minorHAnsi" w:hAnsiTheme="minorHAnsi" w:cstheme="minorHAnsi"/>
                <w:lang w:eastAsia="fr-FR" w:bidi="ar-SA"/>
              </w:rPr>
              <w:t>Formation semestrielle</w:t>
            </w:r>
          </w:p>
        </w:tc>
        <w:tc>
          <w:tcPr>
            <w:tcW w:w="0" w:type="auto"/>
            <w:tcBorders>
              <w:top w:val="single" w:sz="4" w:space="0" w:color="B4C6E7"/>
              <w:left w:val="single" w:sz="4" w:space="0" w:color="B4C6E7"/>
              <w:bottom w:val="single" w:sz="4" w:space="0" w:color="B4C6E7"/>
              <w:right w:val="single" w:sz="4" w:space="0" w:color="B4C6E7"/>
            </w:tcBorders>
            <w:hideMark/>
          </w:tcPr>
          <w:p w14:paraId="00FB71D0" w14:textId="77777777" w:rsidR="00693B36" w:rsidRDefault="00693B36">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eastAsia="fr-FR" w:bidi="ar-SA"/>
              </w:rPr>
            </w:pPr>
            <w:r>
              <w:rPr>
                <w:rFonts w:asciiTheme="minorHAnsi" w:hAnsiTheme="minorHAnsi" w:cstheme="minorHAnsi"/>
                <w:lang w:eastAsia="fr-FR" w:bidi="ar-SA"/>
              </w:rPr>
              <w:t>10 000</w:t>
            </w:r>
          </w:p>
        </w:tc>
        <w:tc>
          <w:tcPr>
            <w:tcW w:w="0" w:type="auto"/>
            <w:tcBorders>
              <w:top w:val="single" w:sz="4" w:space="0" w:color="B4C6E7"/>
              <w:left w:val="single" w:sz="4" w:space="0" w:color="B4C6E7"/>
              <w:bottom w:val="single" w:sz="4" w:space="0" w:color="B4C6E7"/>
              <w:right w:val="single" w:sz="4" w:space="0" w:color="B4C6E7"/>
            </w:tcBorders>
            <w:hideMark/>
          </w:tcPr>
          <w:p w14:paraId="4949F256" w14:textId="77777777" w:rsidR="00693B36" w:rsidRDefault="00693B36">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eastAsia="fr-FR" w:bidi="ar-SA"/>
              </w:rPr>
            </w:pPr>
            <w:r>
              <w:rPr>
                <w:rFonts w:asciiTheme="minorHAnsi" w:hAnsiTheme="minorHAnsi" w:cstheme="minorHAnsi"/>
                <w:lang w:eastAsia="fr-FR" w:bidi="ar-SA"/>
              </w:rPr>
              <w:t>EPC</w:t>
            </w:r>
          </w:p>
        </w:tc>
      </w:tr>
      <w:tr w:rsidR="00693B36" w14:paraId="1C7C57F3" w14:textId="77777777" w:rsidTr="00693B36">
        <w:tc>
          <w:tcPr>
            <w:cnfStyle w:val="001000000000" w:firstRow="0" w:lastRow="0" w:firstColumn="1" w:lastColumn="0" w:oddVBand="0" w:evenVBand="0" w:oddHBand="0" w:evenHBand="0" w:firstRowFirstColumn="0" w:firstRowLastColumn="0" w:lastRowFirstColumn="0" w:lastRowLastColumn="0"/>
            <w:tcW w:w="0" w:type="auto"/>
            <w:vMerge/>
            <w:tcBorders>
              <w:top w:val="single" w:sz="4" w:space="0" w:color="B4C6E7"/>
              <w:left w:val="single" w:sz="4" w:space="0" w:color="B4C6E7"/>
              <w:bottom w:val="single" w:sz="4" w:space="0" w:color="B4C6E7"/>
              <w:right w:val="single" w:sz="4" w:space="0" w:color="B4C6E7"/>
            </w:tcBorders>
            <w:vAlign w:val="center"/>
            <w:hideMark/>
          </w:tcPr>
          <w:p w14:paraId="7425405D" w14:textId="77777777" w:rsidR="00693B36" w:rsidRDefault="00693B36">
            <w:pPr>
              <w:spacing w:before="0" w:after="0" w:line="240" w:lineRule="auto"/>
              <w:jc w:val="left"/>
              <w:rPr>
                <w:rFonts w:asciiTheme="minorHAnsi" w:hAnsiTheme="minorHAnsi" w:cstheme="minorHAnsi"/>
                <w:sz w:val="22"/>
                <w:lang w:eastAsia="fr-FR" w:bidi="ar-SA"/>
              </w:rPr>
            </w:pPr>
          </w:p>
        </w:tc>
        <w:tc>
          <w:tcPr>
            <w:tcW w:w="0" w:type="auto"/>
            <w:tcBorders>
              <w:top w:val="single" w:sz="4" w:space="0" w:color="B4C6E7"/>
              <w:left w:val="single" w:sz="4" w:space="0" w:color="B4C6E7"/>
              <w:bottom w:val="single" w:sz="4" w:space="0" w:color="B4C6E7"/>
              <w:right w:val="single" w:sz="4" w:space="0" w:color="B4C6E7"/>
            </w:tcBorders>
            <w:hideMark/>
          </w:tcPr>
          <w:p w14:paraId="54233874" w14:textId="77777777" w:rsidR="00693B36" w:rsidRDefault="00693B36">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eastAsia="fr-FR" w:bidi="ar-SA"/>
              </w:rPr>
            </w:pPr>
            <w:r>
              <w:rPr>
                <w:rFonts w:asciiTheme="minorHAnsi" w:hAnsiTheme="minorHAnsi" w:cstheme="minorHAnsi"/>
                <w:lang w:eastAsia="fr-FR" w:bidi="ar-SA"/>
              </w:rPr>
              <w:t>Prévention SEAH/VBG et Code de conduite</w:t>
            </w:r>
          </w:p>
        </w:tc>
        <w:tc>
          <w:tcPr>
            <w:tcW w:w="0" w:type="auto"/>
            <w:tcBorders>
              <w:top w:val="single" w:sz="4" w:space="0" w:color="B4C6E7"/>
              <w:left w:val="single" w:sz="4" w:space="0" w:color="B4C6E7"/>
              <w:bottom w:val="single" w:sz="4" w:space="0" w:color="B4C6E7"/>
              <w:right w:val="single" w:sz="4" w:space="0" w:color="B4C6E7"/>
            </w:tcBorders>
            <w:hideMark/>
          </w:tcPr>
          <w:p w14:paraId="66399FF7" w14:textId="77777777" w:rsidR="00693B36" w:rsidRDefault="00693B36">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eastAsia="fr-FR" w:bidi="ar-SA"/>
              </w:rPr>
            </w:pPr>
            <w:r>
              <w:rPr>
                <w:rFonts w:asciiTheme="minorHAnsi" w:hAnsiTheme="minorHAnsi" w:cstheme="minorHAnsi"/>
                <w:lang w:eastAsia="fr-FR" w:bidi="ar-SA"/>
              </w:rPr>
              <w:t>Sensibilisation interactive</w:t>
            </w:r>
          </w:p>
        </w:tc>
        <w:tc>
          <w:tcPr>
            <w:tcW w:w="0" w:type="auto"/>
            <w:tcBorders>
              <w:top w:val="single" w:sz="4" w:space="0" w:color="B4C6E7"/>
              <w:left w:val="single" w:sz="4" w:space="0" w:color="B4C6E7"/>
              <w:bottom w:val="single" w:sz="4" w:space="0" w:color="B4C6E7"/>
              <w:right w:val="single" w:sz="4" w:space="0" w:color="B4C6E7"/>
            </w:tcBorders>
            <w:hideMark/>
          </w:tcPr>
          <w:p w14:paraId="4BBAC12A" w14:textId="77777777" w:rsidR="00693B36" w:rsidRDefault="00693B36">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eastAsia="fr-FR" w:bidi="ar-SA"/>
              </w:rPr>
            </w:pPr>
            <w:r>
              <w:rPr>
                <w:rFonts w:asciiTheme="minorHAnsi" w:hAnsiTheme="minorHAnsi" w:cstheme="minorHAnsi"/>
                <w:lang w:eastAsia="fr-FR" w:bidi="ar-SA"/>
              </w:rPr>
              <w:t>15 000</w:t>
            </w:r>
          </w:p>
        </w:tc>
        <w:tc>
          <w:tcPr>
            <w:tcW w:w="0" w:type="auto"/>
            <w:tcBorders>
              <w:top w:val="single" w:sz="4" w:space="0" w:color="B4C6E7"/>
              <w:left w:val="single" w:sz="4" w:space="0" w:color="B4C6E7"/>
              <w:bottom w:val="single" w:sz="4" w:space="0" w:color="B4C6E7"/>
              <w:right w:val="single" w:sz="4" w:space="0" w:color="B4C6E7"/>
            </w:tcBorders>
            <w:hideMark/>
          </w:tcPr>
          <w:p w14:paraId="56913A74" w14:textId="77777777" w:rsidR="00693B36" w:rsidRDefault="00693B36">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eastAsia="fr-FR" w:bidi="ar-SA"/>
              </w:rPr>
            </w:pPr>
            <w:r>
              <w:rPr>
                <w:rFonts w:asciiTheme="minorHAnsi" w:hAnsiTheme="minorHAnsi" w:cstheme="minorHAnsi"/>
                <w:lang w:eastAsia="fr-FR" w:bidi="ar-SA"/>
              </w:rPr>
              <w:t>ONDA / EPC</w:t>
            </w:r>
          </w:p>
        </w:tc>
      </w:tr>
      <w:tr w:rsidR="00693B36" w14:paraId="6C816A4C" w14:textId="77777777" w:rsidTr="00693B36">
        <w:tc>
          <w:tcPr>
            <w:cnfStyle w:val="001000000000" w:firstRow="0" w:lastRow="0" w:firstColumn="1" w:lastColumn="0" w:oddVBand="0" w:evenVBand="0" w:oddHBand="0" w:evenHBand="0" w:firstRowFirstColumn="0" w:firstRowLastColumn="0" w:lastRowFirstColumn="0" w:lastRowLastColumn="0"/>
            <w:tcW w:w="0" w:type="auto"/>
            <w:vMerge/>
            <w:tcBorders>
              <w:top w:val="single" w:sz="4" w:space="0" w:color="B4C6E7"/>
              <w:left w:val="single" w:sz="4" w:space="0" w:color="B4C6E7"/>
              <w:bottom w:val="single" w:sz="4" w:space="0" w:color="B4C6E7"/>
              <w:right w:val="single" w:sz="4" w:space="0" w:color="B4C6E7"/>
            </w:tcBorders>
            <w:vAlign w:val="center"/>
            <w:hideMark/>
          </w:tcPr>
          <w:p w14:paraId="6946B6A7" w14:textId="77777777" w:rsidR="00693B36" w:rsidRDefault="00693B36">
            <w:pPr>
              <w:spacing w:before="0" w:after="0" w:line="240" w:lineRule="auto"/>
              <w:jc w:val="left"/>
              <w:rPr>
                <w:rFonts w:asciiTheme="minorHAnsi" w:hAnsiTheme="minorHAnsi" w:cstheme="minorHAnsi"/>
                <w:sz w:val="22"/>
                <w:lang w:eastAsia="fr-FR" w:bidi="ar-SA"/>
              </w:rPr>
            </w:pPr>
          </w:p>
        </w:tc>
        <w:tc>
          <w:tcPr>
            <w:tcW w:w="0" w:type="auto"/>
            <w:tcBorders>
              <w:top w:val="single" w:sz="4" w:space="0" w:color="B4C6E7"/>
              <w:left w:val="single" w:sz="4" w:space="0" w:color="B4C6E7"/>
              <w:bottom w:val="single" w:sz="4" w:space="0" w:color="B4C6E7"/>
              <w:right w:val="single" w:sz="4" w:space="0" w:color="B4C6E7"/>
            </w:tcBorders>
            <w:hideMark/>
          </w:tcPr>
          <w:p w14:paraId="58DA1968" w14:textId="77777777" w:rsidR="00693B36" w:rsidRDefault="00693B36">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eastAsia="fr-FR" w:bidi="ar-SA"/>
              </w:rPr>
            </w:pPr>
            <w:r>
              <w:rPr>
                <w:rFonts w:asciiTheme="minorHAnsi" w:hAnsiTheme="minorHAnsi" w:cstheme="minorHAnsi"/>
                <w:lang w:eastAsia="fr-FR" w:bidi="ar-SA"/>
              </w:rPr>
              <w:t>Réponse aux urgences</w:t>
            </w:r>
          </w:p>
        </w:tc>
        <w:tc>
          <w:tcPr>
            <w:tcW w:w="0" w:type="auto"/>
            <w:tcBorders>
              <w:top w:val="single" w:sz="4" w:space="0" w:color="B4C6E7"/>
              <w:left w:val="single" w:sz="4" w:space="0" w:color="B4C6E7"/>
              <w:bottom w:val="single" w:sz="4" w:space="0" w:color="B4C6E7"/>
              <w:right w:val="single" w:sz="4" w:space="0" w:color="B4C6E7"/>
            </w:tcBorders>
            <w:hideMark/>
          </w:tcPr>
          <w:p w14:paraId="420D8478" w14:textId="77777777" w:rsidR="00693B36" w:rsidRDefault="00693B36">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eastAsia="fr-FR" w:bidi="ar-SA"/>
              </w:rPr>
            </w:pPr>
            <w:r>
              <w:rPr>
                <w:rFonts w:asciiTheme="minorHAnsi" w:hAnsiTheme="minorHAnsi" w:cstheme="minorHAnsi"/>
                <w:lang w:eastAsia="fr-FR" w:bidi="ar-SA"/>
              </w:rPr>
              <w:t>Simulation d’incident HSE</w:t>
            </w:r>
          </w:p>
        </w:tc>
        <w:tc>
          <w:tcPr>
            <w:tcW w:w="0" w:type="auto"/>
            <w:tcBorders>
              <w:top w:val="single" w:sz="4" w:space="0" w:color="B4C6E7"/>
              <w:left w:val="single" w:sz="4" w:space="0" w:color="B4C6E7"/>
              <w:bottom w:val="single" w:sz="4" w:space="0" w:color="B4C6E7"/>
              <w:right w:val="single" w:sz="4" w:space="0" w:color="B4C6E7"/>
            </w:tcBorders>
            <w:hideMark/>
          </w:tcPr>
          <w:p w14:paraId="1B9FD9B2" w14:textId="77777777" w:rsidR="00693B36" w:rsidRDefault="00693B36">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eastAsia="fr-FR" w:bidi="ar-SA"/>
              </w:rPr>
            </w:pPr>
            <w:r>
              <w:rPr>
                <w:rFonts w:asciiTheme="minorHAnsi" w:hAnsiTheme="minorHAnsi" w:cstheme="minorHAnsi"/>
                <w:lang w:eastAsia="fr-FR" w:bidi="ar-SA"/>
              </w:rPr>
              <w:t>20 000</w:t>
            </w:r>
          </w:p>
        </w:tc>
        <w:tc>
          <w:tcPr>
            <w:tcW w:w="0" w:type="auto"/>
            <w:tcBorders>
              <w:top w:val="single" w:sz="4" w:space="0" w:color="B4C6E7"/>
              <w:left w:val="single" w:sz="4" w:space="0" w:color="B4C6E7"/>
              <w:bottom w:val="single" w:sz="4" w:space="0" w:color="B4C6E7"/>
              <w:right w:val="single" w:sz="4" w:space="0" w:color="B4C6E7"/>
            </w:tcBorders>
            <w:hideMark/>
          </w:tcPr>
          <w:p w14:paraId="5E6F3CEE" w14:textId="77777777" w:rsidR="00693B36" w:rsidRDefault="00693B36">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eastAsia="fr-FR" w:bidi="ar-SA"/>
              </w:rPr>
            </w:pPr>
            <w:r>
              <w:rPr>
                <w:rFonts w:asciiTheme="minorHAnsi" w:hAnsiTheme="minorHAnsi" w:cstheme="minorHAnsi"/>
                <w:lang w:eastAsia="fr-FR" w:bidi="ar-SA"/>
              </w:rPr>
              <w:t>EPC / ONDA</w:t>
            </w:r>
          </w:p>
        </w:tc>
      </w:tr>
      <w:tr w:rsidR="00693B36" w14:paraId="4574BCBB" w14:textId="77777777" w:rsidTr="00693B36">
        <w:tc>
          <w:tcPr>
            <w:cnfStyle w:val="001000000000" w:firstRow="0" w:lastRow="0" w:firstColumn="1" w:lastColumn="0" w:oddVBand="0" w:evenVBand="0" w:oddHBand="0" w:evenHBand="0" w:firstRowFirstColumn="0" w:firstRowLastColumn="0" w:lastRowFirstColumn="0" w:lastRowLastColumn="0"/>
            <w:tcW w:w="0" w:type="auto"/>
            <w:vMerge/>
            <w:tcBorders>
              <w:top w:val="single" w:sz="4" w:space="0" w:color="B4C6E7"/>
              <w:left w:val="single" w:sz="4" w:space="0" w:color="B4C6E7"/>
              <w:bottom w:val="single" w:sz="4" w:space="0" w:color="B4C6E7"/>
              <w:right w:val="single" w:sz="4" w:space="0" w:color="B4C6E7"/>
            </w:tcBorders>
            <w:vAlign w:val="center"/>
            <w:hideMark/>
          </w:tcPr>
          <w:p w14:paraId="3BD7DEC5" w14:textId="77777777" w:rsidR="00693B36" w:rsidRDefault="00693B36">
            <w:pPr>
              <w:spacing w:before="0" w:after="0" w:line="240" w:lineRule="auto"/>
              <w:jc w:val="left"/>
              <w:rPr>
                <w:rFonts w:asciiTheme="minorHAnsi" w:hAnsiTheme="minorHAnsi" w:cstheme="minorHAnsi"/>
                <w:sz w:val="22"/>
                <w:lang w:eastAsia="fr-FR" w:bidi="ar-SA"/>
              </w:rPr>
            </w:pPr>
          </w:p>
        </w:tc>
        <w:tc>
          <w:tcPr>
            <w:tcW w:w="0" w:type="auto"/>
            <w:tcBorders>
              <w:top w:val="single" w:sz="4" w:space="0" w:color="B4C6E7"/>
              <w:left w:val="single" w:sz="4" w:space="0" w:color="B4C6E7"/>
              <w:bottom w:val="single" w:sz="4" w:space="0" w:color="B4C6E7"/>
              <w:right w:val="single" w:sz="4" w:space="0" w:color="B4C6E7"/>
            </w:tcBorders>
            <w:hideMark/>
          </w:tcPr>
          <w:p w14:paraId="6389FA77" w14:textId="77777777" w:rsidR="00693B36" w:rsidRDefault="00693B36">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eastAsia="fr-FR" w:bidi="ar-SA"/>
              </w:rPr>
            </w:pPr>
            <w:r>
              <w:rPr>
                <w:rFonts w:asciiTheme="minorHAnsi" w:hAnsiTheme="minorHAnsi" w:cstheme="minorHAnsi"/>
                <w:lang w:eastAsia="fr-FR" w:bidi="ar-SA"/>
              </w:rPr>
              <w:t>Engagement communautaire</w:t>
            </w:r>
          </w:p>
        </w:tc>
        <w:tc>
          <w:tcPr>
            <w:tcW w:w="0" w:type="auto"/>
            <w:tcBorders>
              <w:top w:val="single" w:sz="4" w:space="0" w:color="B4C6E7"/>
              <w:left w:val="single" w:sz="4" w:space="0" w:color="B4C6E7"/>
              <w:bottom w:val="single" w:sz="4" w:space="0" w:color="B4C6E7"/>
              <w:right w:val="single" w:sz="4" w:space="0" w:color="B4C6E7"/>
            </w:tcBorders>
            <w:hideMark/>
          </w:tcPr>
          <w:p w14:paraId="3F5A8B56" w14:textId="77777777" w:rsidR="00693B36" w:rsidRDefault="00693B36">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eastAsia="fr-FR" w:bidi="ar-SA"/>
              </w:rPr>
            </w:pPr>
            <w:r>
              <w:rPr>
                <w:rFonts w:asciiTheme="minorHAnsi" w:hAnsiTheme="minorHAnsi" w:cstheme="minorHAnsi"/>
                <w:lang w:eastAsia="fr-FR" w:bidi="ar-SA"/>
              </w:rPr>
              <w:t>Atelier participatif annuel</w:t>
            </w:r>
          </w:p>
        </w:tc>
        <w:tc>
          <w:tcPr>
            <w:tcW w:w="0" w:type="auto"/>
            <w:tcBorders>
              <w:top w:val="single" w:sz="4" w:space="0" w:color="B4C6E7"/>
              <w:left w:val="single" w:sz="4" w:space="0" w:color="B4C6E7"/>
              <w:bottom w:val="single" w:sz="4" w:space="0" w:color="B4C6E7"/>
              <w:right w:val="single" w:sz="4" w:space="0" w:color="B4C6E7"/>
            </w:tcBorders>
            <w:hideMark/>
          </w:tcPr>
          <w:p w14:paraId="0FA02F7F" w14:textId="77777777" w:rsidR="00693B36" w:rsidRDefault="00693B36">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eastAsia="fr-FR" w:bidi="ar-SA"/>
              </w:rPr>
            </w:pPr>
            <w:r>
              <w:rPr>
                <w:rFonts w:asciiTheme="minorHAnsi" w:hAnsiTheme="minorHAnsi" w:cstheme="minorHAnsi"/>
                <w:lang w:eastAsia="fr-FR" w:bidi="ar-SA"/>
              </w:rPr>
              <w:t>25 000</w:t>
            </w:r>
          </w:p>
        </w:tc>
        <w:tc>
          <w:tcPr>
            <w:tcW w:w="0" w:type="auto"/>
            <w:tcBorders>
              <w:top w:val="single" w:sz="4" w:space="0" w:color="B4C6E7"/>
              <w:left w:val="single" w:sz="4" w:space="0" w:color="B4C6E7"/>
              <w:bottom w:val="single" w:sz="4" w:space="0" w:color="B4C6E7"/>
              <w:right w:val="single" w:sz="4" w:space="0" w:color="B4C6E7"/>
            </w:tcBorders>
            <w:hideMark/>
          </w:tcPr>
          <w:p w14:paraId="0F4AD908" w14:textId="77777777" w:rsidR="00693B36" w:rsidRDefault="00693B36">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eastAsia="fr-FR" w:bidi="ar-SA"/>
              </w:rPr>
            </w:pPr>
            <w:r>
              <w:rPr>
                <w:rFonts w:asciiTheme="minorHAnsi" w:hAnsiTheme="minorHAnsi" w:cstheme="minorHAnsi"/>
                <w:lang w:eastAsia="fr-FR" w:bidi="ar-SA"/>
              </w:rPr>
              <w:t xml:space="preserve">ONDA </w:t>
            </w:r>
          </w:p>
        </w:tc>
      </w:tr>
      <w:tr w:rsidR="00693B36" w14:paraId="05E478DB" w14:textId="77777777" w:rsidTr="00693B36">
        <w:tc>
          <w:tcPr>
            <w:cnfStyle w:val="001000000000" w:firstRow="0" w:lastRow="0" w:firstColumn="1" w:lastColumn="0" w:oddVBand="0" w:evenVBand="0" w:oddHBand="0" w:evenHBand="0" w:firstRowFirstColumn="0" w:firstRowLastColumn="0" w:lastRowFirstColumn="0" w:lastRowLastColumn="0"/>
            <w:tcW w:w="0" w:type="auto"/>
            <w:gridSpan w:val="5"/>
            <w:tcBorders>
              <w:top w:val="single" w:sz="4" w:space="0" w:color="B4C6E7"/>
              <w:left w:val="single" w:sz="4" w:space="0" w:color="B4C6E7"/>
              <w:bottom w:val="single" w:sz="4" w:space="0" w:color="B4C6E7"/>
              <w:right w:val="single" w:sz="4" w:space="0" w:color="B4C6E7"/>
            </w:tcBorders>
            <w:hideMark/>
          </w:tcPr>
          <w:p w14:paraId="2A792DF2" w14:textId="77777777" w:rsidR="00693B36" w:rsidRDefault="00693B36">
            <w:pPr>
              <w:spacing w:before="0" w:after="0" w:line="240" w:lineRule="auto"/>
              <w:jc w:val="center"/>
              <w:rPr>
                <w:rFonts w:asciiTheme="minorHAnsi" w:hAnsiTheme="minorHAnsi" w:cstheme="minorHAnsi"/>
                <w:lang w:eastAsia="fr-FR" w:bidi="ar-SA"/>
              </w:rPr>
            </w:pPr>
            <w:r>
              <w:rPr>
                <w:rFonts w:asciiTheme="minorHAnsi" w:hAnsiTheme="minorHAnsi" w:cstheme="minorHAnsi"/>
                <w:lang w:eastAsia="fr-FR" w:bidi="ar-SA"/>
              </w:rPr>
              <w:t>Coût total pour la mise en œuvre du PGES : 940 000 MAD</w:t>
            </w:r>
          </w:p>
        </w:tc>
      </w:tr>
      <w:tr w:rsidR="00693B36" w14:paraId="5429756B" w14:textId="77777777" w:rsidTr="00693B36">
        <w:tc>
          <w:tcPr>
            <w:cnfStyle w:val="001000000000" w:firstRow="0" w:lastRow="0" w:firstColumn="1" w:lastColumn="0" w:oddVBand="0" w:evenVBand="0" w:oddHBand="0" w:evenHBand="0" w:firstRowFirstColumn="0" w:firstRowLastColumn="0" w:lastRowFirstColumn="0" w:lastRowLastColumn="0"/>
            <w:tcW w:w="0" w:type="auto"/>
            <w:vMerge w:val="restart"/>
            <w:tcBorders>
              <w:top w:val="single" w:sz="4" w:space="0" w:color="B4C6E7"/>
              <w:left w:val="single" w:sz="4" w:space="0" w:color="B4C6E7"/>
              <w:bottom w:val="single" w:sz="4" w:space="0" w:color="B4C6E7"/>
              <w:right w:val="single" w:sz="4" w:space="0" w:color="B4C6E7"/>
            </w:tcBorders>
            <w:vAlign w:val="center"/>
            <w:hideMark/>
          </w:tcPr>
          <w:p w14:paraId="28FD182A" w14:textId="77777777" w:rsidR="00693B36" w:rsidRDefault="00693B36">
            <w:pPr>
              <w:spacing w:before="0" w:after="0" w:line="240" w:lineRule="auto"/>
              <w:jc w:val="center"/>
              <w:rPr>
                <w:rFonts w:asciiTheme="minorHAnsi" w:hAnsiTheme="minorHAnsi" w:cstheme="minorHAnsi"/>
                <w:lang w:eastAsia="fr-FR" w:bidi="ar-SA"/>
              </w:rPr>
            </w:pPr>
            <w:r>
              <w:rPr>
                <w:rFonts w:asciiTheme="minorHAnsi" w:hAnsiTheme="minorHAnsi" w:cstheme="minorHAnsi"/>
                <w:lang w:eastAsia="fr-FR" w:bidi="ar-SA"/>
              </w:rPr>
              <w:lastRenderedPageBreak/>
              <w:t>MGP</w:t>
            </w:r>
          </w:p>
        </w:tc>
        <w:tc>
          <w:tcPr>
            <w:tcW w:w="0" w:type="auto"/>
            <w:tcBorders>
              <w:top w:val="single" w:sz="4" w:space="0" w:color="B4C6E7"/>
              <w:left w:val="single" w:sz="4" w:space="0" w:color="B4C6E7"/>
              <w:bottom w:val="single" w:sz="4" w:space="0" w:color="B4C6E7"/>
              <w:right w:val="single" w:sz="4" w:space="0" w:color="B4C6E7"/>
            </w:tcBorders>
            <w:hideMark/>
          </w:tcPr>
          <w:p w14:paraId="1094DC5A" w14:textId="77777777" w:rsidR="00693B36" w:rsidRDefault="00693B36">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eastAsia="fr-FR" w:bidi="ar-SA"/>
              </w:rPr>
            </w:pPr>
            <w:r>
              <w:rPr>
                <w:rFonts w:asciiTheme="minorHAnsi" w:hAnsiTheme="minorHAnsi" w:cstheme="minorHAnsi"/>
                <w:lang w:eastAsia="fr-FR" w:bidi="ar-SA"/>
              </w:rPr>
              <w:t>CLO (Community Liaison Officer)</w:t>
            </w:r>
          </w:p>
        </w:tc>
        <w:tc>
          <w:tcPr>
            <w:tcW w:w="0" w:type="auto"/>
            <w:tcBorders>
              <w:top w:val="single" w:sz="4" w:space="0" w:color="B4C6E7"/>
              <w:left w:val="single" w:sz="4" w:space="0" w:color="B4C6E7"/>
              <w:bottom w:val="single" w:sz="4" w:space="0" w:color="B4C6E7"/>
              <w:right w:val="single" w:sz="4" w:space="0" w:color="B4C6E7"/>
            </w:tcBorders>
            <w:hideMark/>
          </w:tcPr>
          <w:p w14:paraId="39D61B0C" w14:textId="77777777" w:rsidR="00693B36" w:rsidRDefault="00693B36">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eastAsia="fr-FR" w:bidi="ar-SA"/>
              </w:rPr>
            </w:pPr>
            <w:r>
              <w:rPr>
                <w:rFonts w:asciiTheme="minorHAnsi" w:hAnsiTheme="minorHAnsi" w:cstheme="minorHAnsi"/>
                <w:lang w:eastAsia="fr-FR" w:bidi="ar-SA"/>
              </w:rPr>
              <w:t>Mécanisme de gestion des plaintes (MGP)</w:t>
            </w:r>
          </w:p>
        </w:tc>
        <w:tc>
          <w:tcPr>
            <w:tcW w:w="0" w:type="auto"/>
            <w:tcBorders>
              <w:top w:val="single" w:sz="4" w:space="0" w:color="B4C6E7"/>
              <w:left w:val="single" w:sz="4" w:space="0" w:color="B4C6E7"/>
              <w:bottom w:val="single" w:sz="4" w:space="0" w:color="B4C6E7"/>
              <w:right w:val="single" w:sz="4" w:space="0" w:color="B4C6E7"/>
            </w:tcBorders>
            <w:hideMark/>
          </w:tcPr>
          <w:p w14:paraId="65D87798" w14:textId="77777777" w:rsidR="00693B36" w:rsidRDefault="00693B36">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eastAsia="fr-FR" w:bidi="ar-SA"/>
              </w:rPr>
            </w:pPr>
            <w:r>
              <w:rPr>
                <w:rFonts w:asciiTheme="minorHAnsi" w:hAnsiTheme="minorHAnsi" w:cstheme="minorHAnsi"/>
                <w:lang w:eastAsia="fr-FR" w:bidi="ar-SA"/>
              </w:rPr>
              <w:t>72 000</w:t>
            </w:r>
          </w:p>
        </w:tc>
        <w:tc>
          <w:tcPr>
            <w:tcW w:w="0" w:type="auto"/>
            <w:tcBorders>
              <w:top w:val="single" w:sz="4" w:space="0" w:color="B4C6E7"/>
              <w:left w:val="single" w:sz="4" w:space="0" w:color="B4C6E7"/>
              <w:bottom w:val="single" w:sz="4" w:space="0" w:color="B4C6E7"/>
              <w:right w:val="single" w:sz="4" w:space="0" w:color="B4C6E7"/>
            </w:tcBorders>
            <w:hideMark/>
          </w:tcPr>
          <w:p w14:paraId="3C70F310" w14:textId="77777777" w:rsidR="00693B36" w:rsidRDefault="00693B36">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eastAsia="fr-FR" w:bidi="ar-SA"/>
              </w:rPr>
            </w:pPr>
            <w:r>
              <w:rPr>
                <w:rFonts w:asciiTheme="minorHAnsi" w:hAnsiTheme="minorHAnsi" w:cstheme="minorHAnsi"/>
                <w:lang w:eastAsia="fr-FR" w:bidi="ar-SA"/>
              </w:rPr>
              <w:t>ONDA</w:t>
            </w:r>
          </w:p>
        </w:tc>
      </w:tr>
      <w:tr w:rsidR="00693B36" w14:paraId="15673B08" w14:textId="77777777" w:rsidTr="00693B36">
        <w:tc>
          <w:tcPr>
            <w:cnfStyle w:val="001000000000" w:firstRow="0" w:lastRow="0" w:firstColumn="1" w:lastColumn="0" w:oddVBand="0" w:evenVBand="0" w:oddHBand="0" w:evenHBand="0" w:firstRowFirstColumn="0" w:firstRowLastColumn="0" w:lastRowFirstColumn="0" w:lastRowLastColumn="0"/>
            <w:tcW w:w="0" w:type="auto"/>
            <w:vMerge/>
            <w:tcBorders>
              <w:top w:val="single" w:sz="4" w:space="0" w:color="B4C6E7"/>
              <w:left w:val="single" w:sz="4" w:space="0" w:color="B4C6E7"/>
              <w:bottom w:val="single" w:sz="4" w:space="0" w:color="B4C6E7"/>
              <w:right w:val="single" w:sz="4" w:space="0" w:color="B4C6E7"/>
            </w:tcBorders>
            <w:vAlign w:val="center"/>
            <w:hideMark/>
          </w:tcPr>
          <w:p w14:paraId="558A6415" w14:textId="77777777" w:rsidR="00693B36" w:rsidRDefault="00693B36">
            <w:pPr>
              <w:spacing w:before="0" w:after="0" w:line="240" w:lineRule="auto"/>
              <w:jc w:val="left"/>
              <w:rPr>
                <w:rFonts w:asciiTheme="minorHAnsi" w:hAnsiTheme="minorHAnsi" w:cstheme="minorHAnsi"/>
                <w:sz w:val="22"/>
                <w:lang w:eastAsia="fr-FR" w:bidi="ar-SA"/>
              </w:rPr>
            </w:pPr>
          </w:p>
        </w:tc>
        <w:tc>
          <w:tcPr>
            <w:tcW w:w="0" w:type="auto"/>
            <w:tcBorders>
              <w:top w:val="single" w:sz="4" w:space="0" w:color="B4C6E7"/>
              <w:left w:val="single" w:sz="4" w:space="0" w:color="B4C6E7"/>
              <w:bottom w:val="single" w:sz="4" w:space="0" w:color="B4C6E7"/>
              <w:right w:val="single" w:sz="4" w:space="0" w:color="B4C6E7"/>
            </w:tcBorders>
            <w:hideMark/>
          </w:tcPr>
          <w:p w14:paraId="392E6E25" w14:textId="77777777" w:rsidR="00693B36" w:rsidRDefault="00693B36">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eastAsia="fr-FR" w:bidi="ar-SA"/>
              </w:rPr>
            </w:pPr>
            <w:r>
              <w:rPr>
                <w:rFonts w:asciiTheme="minorHAnsi" w:hAnsiTheme="minorHAnsi" w:cstheme="minorHAnsi"/>
                <w:lang w:eastAsia="fr-FR" w:bidi="ar-SA"/>
              </w:rPr>
              <w:t>Mise en œuvre des outils</w:t>
            </w:r>
          </w:p>
        </w:tc>
        <w:tc>
          <w:tcPr>
            <w:tcW w:w="0" w:type="auto"/>
            <w:tcBorders>
              <w:top w:val="single" w:sz="4" w:space="0" w:color="B4C6E7"/>
              <w:left w:val="single" w:sz="4" w:space="0" w:color="B4C6E7"/>
              <w:bottom w:val="single" w:sz="4" w:space="0" w:color="B4C6E7"/>
              <w:right w:val="single" w:sz="4" w:space="0" w:color="B4C6E7"/>
            </w:tcBorders>
            <w:hideMark/>
          </w:tcPr>
          <w:p w14:paraId="4544463A" w14:textId="77777777" w:rsidR="00693B36" w:rsidRDefault="00693B36">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eastAsia="fr-FR" w:bidi="ar-SA"/>
              </w:rPr>
            </w:pPr>
            <w:r>
              <w:rPr>
                <w:rFonts w:asciiTheme="minorHAnsi" w:hAnsiTheme="minorHAnsi" w:cstheme="minorHAnsi"/>
                <w:lang w:eastAsia="fr-FR" w:bidi="ar-SA"/>
              </w:rPr>
              <w:t>Mécanisme de gestion des plaintes (MGP)</w:t>
            </w:r>
          </w:p>
        </w:tc>
        <w:tc>
          <w:tcPr>
            <w:tcW w:w="0" w:type="auto"/>
            <w:tcBorders>
              <w:top w:val="single" w:sz="4" w:space="0" w:color="B4C6E7"/>
              <w:left w:val="single" w:sz="4" w:space="0" w:color="B4C6E7"/>
              <w:bottom w:val="single" w:sz="4" w:space="0" w:color="B4C6E7"/>
              <w:right w:val="single" w:sz="4" w:space="0" w:color="B4C6E7"/>
            </w:tcBorders>
            <w:hideMark/>
          </w:tcPr>
          <w:p w14:paraId="6746EF2B" w14:textId="77777777" w:rsidR="00693B36" w:rsidRDefault="00693B36">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eastAsia="fr-FR" w:bidi="ar-SA"/>
              </w:rPr>
            </w:pPr>
            <w:r>
              <w:rPr>
                <w:rFonts w:asciiTheme="minorHAnsi" w:hAnsiTheme="minorHAnsi" w:cstheme="minorHAnsi"/>
                <w:lang w:eastAsia="fr-FR" w:bidi="ar-SA"/>
              </w:rPr>
              <w:t>80 000</w:t>
            </w:r>
          </w:p>
        </w:tc>
        <w:tc>
          <w:tcPr>
            <w:tcW w:w="0" w:type="auto"/>
            <w:tcBorders>
              <w:top w:val="single" w:sz="4" w:space="0" w:color="B4C6E7"/>
              <w:left w:val="single" w:sz="4" w:space="0" w:color="B4C6E7"/>
              <w:bottom w:val="single" w:sz="4" w:space="0" w:color="B4C6E7"/>
              <w:right w:val="single" w:sz="4" w:space="0" w:color="B4C6E7"/>
            </w:tcBorders>
          </w:tcPr>
          <w:p w14:paraId="27522521" w14:textId="77777777" w:rsidR="00693B36" w:rsidRDefault="00693B36">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eastAsia="fr-FR" w:bidi="ar-SA"/>
              </w:rPr>
            </w:pPr>
          </w:p>
        </w:tc>
      </w:tr>
      <w:tr w:rsidR="00693B36" w14:paraId="2486353E" w14:textId="77777777" w:rsidTr="00693B36">
        <w:tc>
          <w:tcPr>
            <w:cnfStyle w:val="001000000000" w:firstRow="0" w:lastRow="0" w:firstColumn="1" w:lastColumn="0" w:oddVBand="0" w:evenVBand="0" w:oddHBand="0" w:evenHBand="0" w:firstRowFirstColumn="0" w:firstRowLastColumn="0" w:lastRowFirstColumn="0" w:lastRowLastColumn="0"/>
            <w:tcW w:w="0" w:type="auto"/>
            <w:vMerge/>
            <w:tcBorders>
              <w:top w:val="single" w:sz="4" w:space="0" w:color="B4C6E7"/>
              <w:left w:val="single" w:sz="4" w:space="0" w:color="B4C6E7"/>
              <w:bottom w:val="single" w:sz="4" w:space="0" w:color="B4C6E7"/>
              <w:right w:val="single" w:sz="4" w:space="0" w:color="B4C6E7"/>
            </w:tcBorders>
            <w:vAlign w:val="center"/>
            <w:hideMark/>
          </w:tcPr>
          <w:p w14:paraId="345065CB" w14:textId="77777777" w:rsidR="00693B36" w:rsidRDefault="00693B36">
            <w:pPr>
              <w:spacing w:before="0" w:after="0" w:line="240" w:lineRule="auto"/>
              <w:jc w:val="left"/>
              <w:rPr>
                <w:rFonts w:asciiTheme="minorHAnsi" w:hAnsiTheme="minorHAnsi" w:cstheme="minorHAnsi"/>
                <w:sz w:val="22"/>
                <w:lang w:eastAsia="fr-FR" w:bidi="ar-SA"/>
              </w:rPr>
            </w:pPr>
          </w:p>
        </w:tc>
        <w:tc>
          <w:tcPr>
            <w:tcW w:w="0" w:type="auto"/>
            <w:tcBorders>
              <w:top w:val="single" w:sz="4" w:space="0" w:color="B4C6E7"/>
              <w:left w:val="single" w:sz="4" w:space="0" w:color="B4C6E7"/>
              <w:bottom w:val="single" w:sz="4" w:space="0" w:color="B4C6E7"/>
              <w:right w:val="single" w:sz="4" w:space="0" w:color="B4C6E7"/>
            </w:tcBorders>
            <w:hideMark/>
          </w:tcPr>
          <w:p w14:paraId="0B5DE5F4" w14:textId="77777777" w:rsidR="00693B36" w:rsidRDefault="00693B36">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eastAsia="fr-FR" w:bidi="ar-SA"/>
              </w:rPr>
            </w:pPr>
            <w:r>
              <w:rPr>
                <w:rFonts w:asciiTheme="minorHAnsi" w:hAnsiTheme="minorHAnsi" w:cstheme="minorHAnsi"/>
                <w:lang w:eastAsia="fr-FR" w:bidi="ar-SA"/>
              </w:rPr>
              <w:t>Informations sensibilisations</w:t>
            </w:r>
          </w:p>
        </w:tc>
        <w:tc>
          <w:tcPr>
            <w:tcW w:w="0" w:type="auto"/>
            <w:tcBorders>
              <w:top w:val="single" w:sz="4" w:space="0" w:color="B4C6E7"/>
              <w:left w:val="single" w:sz="4" w:space="0" w:color="B4C6E7"/>
              <w:bottom w:val="single" w:sz="4" w:space="0" w:color="B4C6E7"/>
              <w:right w:val="single" w:sz="4" w:space="0" w:color="B4C6E7"/>
            </w:tcBorders>
            <w:hideMark/>
          </w:tcPr>
          <w:p w14:paraId="2C4B86E0" w14:textId="77777777" w:rsidR="00693B36" w:rsidRDefault="00693B36">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eastAsia="fr-FR" w:bidi="ar-SA"/>
              </w:rPr>
            </w:pPr>
            <w:r>
              <w:rPr>
                <w:rFonts w:asciiTheme="minorHAnsi" w:hAnsiTheme="minorHAnsi" w:cstheme="minorHAnsi"/>
                <w:lang w:eastAsia="fr-FR" w:bidi="ar-SA"/>
              </w:rPr>
              <w:t>Sensibilisation au MGP</w:t>
            </w:r>
          </w:p>
        </w:tc>
        <w:tc>
          <w:tcPr>
            <w:tcW w:w="0" w:type="auto"/>
            <w:tcBorders>
              <w:top w:val="single" w:sz="4" w:space="0" w:color="B4C6E7"/>
              <w:left w:val="single" w:sz="4" w:space="0" w:color="B4C6E7"/>
              <w:bottom w:val="single" w:sz="4" w:space="0" w:color="B4C6E7"/>
              <w:right w:val="single" w:sz="4" w:space="0" w:color="B4C6E7"/>
            </w:tcBorders>
            <w:hideMark/>
          </w:tcPr>
          <w:p w14:paraId="688212EB" w14:textId="77777777" w:rsidR="00693B36" w:rsidRDefault="00693B36">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eastAsia="fr-FR" w:bidi="ar-SA"/>
              </w:rPr>
            </w:pPr>
            <w:r>
              <w:rPr>
                <w:rFonts w:asciiTheme="minorHAnsi" w:hAnsiTheme="minorHAnsi" w:cstheme="minorHAnsi"/>
                <w:lang w:eastAsia="fr-FR" w:bidi="ar-SA"/>
              </w:rPr>
              <w:t>10 000</w:t>
            </w:r>
          </w:p>
        </w:tc>
        <w:tc>
          <w:tcPr>
            <w:tcW w:w="0" w:type="auto"/>
            <w:tcBorders>
              <w:top w:val="single" w:sz="4" w:space="0" w:color="B4C6E7"/>
              <w:left w:val="single" w:sz="4" w:space="0" w:color="B4C6E7"/>
              <w:bottom w:val="single" w:sz="4" w:space="0" w:color="B4C6E7"/>
              <w:right w:val="single" w:sz="4" w:space="0" w:color="B4C6E7"/>
            </w:tcBorders>
          </w:tcPr>
          <w:p w14:paraId="611CAF84" w14:textId="77777777" w:rsidR="00693B36" w:rsidRDefault="00693B36">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eastAsia="fr-FR" w:bidi="ar-SA"/>
              </w:rPr>
            </w:pPr>
          </w:p>
        </w:tc>
      </w:tr>
      <w:tr w:rsidR="00693B36" w14:paraId="08495A9C" w14:textId="77777777" w:rsidTr="00693B36">
        <w:tc>
          <w:tcPr>
            <w:cnfStyle w:val="001000000000" w:firstRow="0" w:lastRow="0" w:firstColumn="1" w:lastColumn="0" w:oddVBand="0" w:evenVBand="0" w:oddHBand="0" w:evenHBand="0" w:firstRowFirstColumn="0" w:firstRowLastColumn="0" w:lastRowFirstColumn="0" w:lastRowLastColumn="0"/>
            <w:tcW w:w="0" w:type="auto"/>
            <w:gridSpan w:val="5"/>
            <w:tcBorders>
              <w:top w:val="single" w:sz="4" w:space="0" w:color="B4C6E7"/>
              <w:left w:val="single" w:sz="4" w:space="0" w:color="B4C6E7"/>
              <w:bottom w:val="single" w:sz="4" w:space="0" w:color="B4C6E7"/>
              <w:right w:val="single" w:sz="4" w:space="0" w:color="B4C6E7"/>
            </w:tcBorders>
            <w:vAlign w:val="center"/>
            <w:hideMark/>
          </w:tcPr>
          <w:p w14:paraId="4BB560A4" w14:textId="77777777" w:rsidR="00693B36" w:rsidRDefault="00693B36">
            <w:pPr>
              <w:spacing w:before="0" w:after="0" w:line="240" w:lineRule="auto"/>
              <w:jc w:val="center"/>
              <w:rPr>
                <w:rFonts w:asciiTheme="minorHAnsi" w:hAnsiTheme="minorHAnsi" w:cstheme="minorHAnsi"/>
                <w:lang w:eastAsia="fr-FR" w:bidi="ar-SA"/>
              </w:rPr>
            </w:pPr>
            <w:r>
              <w:rPr>
                <w:rFonts w:asciiTheme="minorHAnsi" w:hAnsiTheme="minorHAnsi" w:cstheme="minorHAnsi"/>
                <w:lang w:eastAsia="fr-FR" w:bidi="ar-SA"/>
              </w:rPr>
              <w:t>Coût total MGP : 162 000 MAD</w:t>
            </w:r>
          </w:p>
        </w:tc>
      </w:tr>
      <w:tr w:rsidR="00693B36" w14:paraId="43F79108" w14:textId="77777777" w:rsidTr="00693B36">
        <w:tc>
          <w:tcPr>
            <w:cnfStyle w:val="001000000000" w:firstRow="0" w:lastRow="0" w:firstColumn="1" w:lastColumn="0" w:oddVBand="0" w:evenVBand="0" w:oddHBand="0" w:evenHBand="0" w:firstRowFirstColumn="0" w:firstRowLastColumn="0" w:lastRowFirstColumn="0" w:lastRowLastColumn="0"/>
            <w:tcW w:w="0" w:type="auto"/>
            <w:vMerge w:val="restart"/>
            <w:tcBorders>
              <w:top w:val="single" w:sz="4" w:space="0" w:color="B4C6E7"/>
              <w:left w:val="single" w:sz="4" w:space="0" w:color="B4C6E7"/>
              <w:bottom w:val="single" w:sz="4" w:space="0" w:color="B4C6E7"/>
              <w:right w:val="single" w:sz="4" w:space="0" w:color="B4C6E7"/>
            </w:tcBorders>
            <w:hideMark/>
          </w:tcPr>
          <w:p w14:paraId="0125BCC9" w14:textId="77777777" w:rsidR="00693B36" w:rsidRDefault="00693B36">
            <w:pPr>
              <w:spacing w:before="0" w:after="0" w:line="240" w:lineRule="auto"/>
              <w:jc w:val="left"/>
              <w:rPr>
                <w:rFonts w:asciiTheme="minorHAnsi" w:hAnsiTheme="minorHAnsi" w:cstheme="minorHAnsi"/>
                <w:lang w:eastAsia="fr-FR" w:bidi="ar-SA"/>
              </w:rPr>
            </w:pPr>
            <w:r>
              <w:rPr>
                <w:rFonts w:asciiTheme="minorHAnsi" w:hAnsiTheme="minorHAnsi" w:cstheme="minorHAnsi"/>
                <w:lang w:eastAsia="fr-FR" w:bidi="ar-SA"/>
              </w:rPr>
              <w:t xml:space="preserve">Suivi </w:t>
            </w:r>
          </w:p>
        </w:tc>
        <w:tc>
          <w:tcPr>
            <w:tcW w:w="0" w:type="auto"/>
            <w:tcBorders>
              <w:top w:val="single" w:sz="4" w:space="0" w:color="B4C6E7"/>
              <w:left w:val="single" w:sz="4" w:space="0" w:color="B4C6E7"/>
              <w:bottom w:val="single" w:sz="4" w:space="0" w:color="B4C6E7"/>
              <w:right w:val="single" w:sz="4" w:space="0" w:color="B4C6E7"/>
            </w:tcBorders>
            <w:hideMark/>
          </w:tcPr>
          <w:p w14:paraId="1FC821A5" w14:textId="77777777" w:rsidR="00693B36" w:rsidRDefault="00693B36">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eastAsia="fr-FR" w:bidi="ar-SA"/>
              </w:rPr>
            </w:pPr>
            <w:r>
              <w:rPr>
                <w:rFonts w:asciiTheme="minorHAnsi" w:hAnsiTheme="minorHAnsi" w:cstheme="minorHAnsi"/>
                <w:lang w:eastAsia="fr-FR" w:bidi="ar-SA"/>
              </w:rPr>
              <w:t>Expert environnementaliste</w:t>
            </w:r>
          </w:p>
        </w:tc>
        <w:tc>
          <w:tcPr>
            <w:tcW w:w="0" w:type="auto"/>
            <w:tcBorders>
              <w:top w:val="single" w:sz="4" w:space="0" w:color="B4C6E7"/>
              <w:left w:val="single" w:sz="4" w:space="0" w:color="B4C6E7"/>
              <w:bottom w:val="single" w:sz="4" w:space="0" w:color="B4C6E7"/>
              <w:right w:val="single" w:sz="4" w:space="0" w:color="B4C6E7"/>
            </w:tcBorders>
            <w:hideMark/>
          </w:tcPr>
          <w:p w14:paraId="5BBF7A60" w14:textId="77777777" w:rsidR="00693B36" w:rsidRDefault="00693B36">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eastAsia="fr-FR" w:bidi="ar-SA"/>
              </w:rPr>
            </w:pPr>
            <w:r>
              <w:rPr>
                <w:rFonts w:asciiTheme="minorHAnsi" w:hAnsiTheme="minorHAnsi" w:cstheme="minorHAnsi"/>
                <w:lang w:eastAsia="fr-FR" w:bidi="ar-SA"/>
              </w:rPr>
              <w:t>Appui technique à l’AMO</w:t>
            </w:r>
          </w:p>
        </w:tc>
        <w:tc>
          <w:tcPr>
            <w:tcW w:w="0" w:type="auto"/>
            <w:tcBorders>
              <w:top w:val="single" w:sz="4" w:space="0" w:color="B4C6E7"/>
              <w:left w:val="single" w:sz="4" w:space="0" w:color="B4C6E7"/>
              <w:bottom w:val="single" w:sz="4" w:space="0" w:color="B4C6E7"/>
              <w:right w:val="single" w:sz="4" w:space="0" w:color="B4C6E7"/>
            </w:tcBorders>
            <w:hideMark/>
          </w:tcPr>
          <w:p w14:paraId="5BC6AC7F" w14:textId="77777777" w:rsidR="00693B36" w:rsidRDefault="00693B36">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eastAsia="fr-FR" w:bidi="ar-SA"/>
              </w:rPr>
            </w:pPr>
            <w:r>
              <w:rPr>
                <w:rFonts w:asciiTheme="minorHAnsi" w:hAnsiTheme="minorHAnsi" w:cstheme="minorHAnsi"/>
                <w:lang w:eastAsia="fr-FR" w:bidi="ar-SA"/>
              </w:rPr>
              <w:t>204 000</w:t>
            </w:r>
          </w:p>
        </w:tc>
        <w:tc>
          <w:tcPr>
            <w:tcW w:w="0" w:type="auto"/>
            <w:tcBorders>
              <w:top w:val="single" w:sz="4" w:space="0" w:color="B4C6E7"/>
              <w:left w:val="single" w:sz="4" w:space="0" w:color="B4C6E7"/>
              <w:bottom w:val="single" w:sz="4" w:space="0" w:color="B4C6E7"/>
              <w:right w:val="single" w:sz="4" w:space="0" w:color="B4C6E7"/>
            </w:tcBorders>
            <w:hideMark/>
          </w:tcPr>
          <w:p w14:paraId="6FD470C8" w14:textId="77777777" w:rsidR="00693B36" w:rsidRDefault="00693B36">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eastAsia="fr-FR" w:bidi="ar-SA"/>
              </w:rPr>
            </w:pPr>
            <w:r>
              <w:rPr>
                <w:rFonts w:asciiTheme="minorHAnsi" w:hAnsiTheme="minorHAnsi" w:cstheme="minorHAnsi"/>
                <w:lang w:eastAsia="fr-FR" w:bidi="ar-SA"/>
              </w:rPr>
              <w:t>AMO</w:t>
            </w:r>
          </w:p>
        </w:tc>
      </w:tr>
      <w:tr w:rsidR="00693B36" w14:paraId="77269742" w14:textId="77777777" w:rsidTr="00693B36">
        <w:tc>
          <w:tcPr>
            <w:cnfStyle w:val="001000000000" w:firstRow="0" w:lastRow="0" w:firstColumn="1" w:lastColumn="0" w:oddVBand="0" w:evenVBand="0" w:oddHBand="0" w:evenHBand="0" w:firstRowFirstColumn="0" w:firstRowLastColumn="0" w:lastRowFirstColumn="0" w:lastRowLastColumn="0"/>
            <w:tcW w:w="0" w:type="auto"/>
            <w:vMerge/>
            <w:tcBorders>
              <w:top w:val="single" w:sz="4" w:space="0" w:color="B4C6E7"/>
              <w:left w:val="single" w:sz="4" w:space="0" w:color="B4C6E7"/>
              <w:bottom w:val="single" w:sz="4" w:space="0" w:color="B4C6E7"/>
              <w:right w:val="single" w:sz="4" w:space="0" w:color="B4C6E7"/>
            </w:tcBorders>
            <w:vAlign w:val="center"/>
            <w:hideMark/>
          </w:tcPr>
          <w:p w14:paraId="0B83BACC" w14:textId="77777777" w:rsidR="00693B36" w:rsidRDefault="00693B36">
            <w:pPr>
              <w:spacing w:before="0" w:after="0" w:line="240" w:lineRule="auto"/>
              <w:jc w:val="left"/>
              <w:rPr>
                <w:rFonts w:asciiTheme="minorHAnsi" w:hAnsiTheme="minorHAnsi" w:cstheme="minorHAnsi"/>
                <w:sz w:val="22"/>
                <w:lang w:eastAsia="fr-FR" w:bidi="ar-SA"/>
              </w:rPr>
            </w:pPr>
          </w:p>
        </w:tc>
        <w:tc>
          <w:tcPr>
            <w:tcW w:w="0" w:type="auto"/>
            <w:tcBorders>
              <w:top w:val="single" w:sz="4" w:space="0" w:color="B4C6E7"/>
              <w:left w:val="single" w:sz="4" w:space="0" w:color="B4C6E7"/>
              <w:bottom w:val="single" w:sz="4" w:space="0" w:color="B4C6E7"/>
              <w:right w:val="single" w:sz="4" w:space="0" w:color="B4C6E7"/>
            </w:tcBorders>
            <w:hideMark/>
          </w:tcPr>
          <w:p w14:paraId="57A1E43F" w14:textId="77777777" w:rsidR="00693B36" w:rsidRDefault="00693B36">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eastAsia="fr-FR" w:bidi="ar-SA"/>
              </w:rPr>
            </w:pPr>
            <w:r>
              <w:rPr>
                <w:rFonts w:asciiTheme="minorHAnsi" w:hAnsiTheme="minorHAnsi" w:cstheme="minorHAnsi"/>
                <w:lang w:eastAsia="fr-FR" w:bidi="ar-SA"/>
              </w:rPr>
              <w:t>Spécialiste social/genre</w:t>
            </w:r>
          </w:p>
        </w:tc>
        <w:tc>
          <w:tcPr>
            <w:tcW w:w="0" w:type="auto"/>
            <w:tcBorders>
              <w:top w:val="single" w:sz="4" w:space="0" w:color="B4C6E7"/>
              <w:left w:val="single" w:sz="4" w:space="0" w:color="B4C6E7"/>
              <w:bottom w:val="single" w:sz="4" w:space="0" w:color="B4C6E7"/>
              <w:right w:val="single" w:sz="4" w:space="0" w:color="B4C6E7"/>
            </w:tcBorders>
            <w:hideMark/>
          </w:tcPr>
          <w:p w14:paraId="78BE314E" w14:textId="77777777" w:rsidR="00693B36" w:rsidRDefault="00693B36">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eastAsia="fr-FR" w:bidi="ar-SA"/>
              </w:rPr>
            </w:pPr>
            <w:r>
              <w:rPr>
                <w:rFonts w:asciiTheme="minorHAnsi" w:hAnsiTheme="minorHAnsi" w:cstheme="minorHAnsi"/>
                <w:lang w:eastAsia="fr-FR" w:bidi="ar-SA"/>
              </w:rPr>
              <w:t>Suivi SEAH/VBG et relations communautaires</w:t>
            </w:r>
          </w:p>
        </w:tc>
        <w:tc>
          <w:tcPr>
            <w:tcW w:w="0" w:type="auto"/>
            <w:tcBorders>
              <w:top w:val="single" w:sz="4" w:space="0" w:color="B4C6E7"/>
              <w:left w:val="single" w:sz="4" w:space="0" w:color="B4C6E7"/>
              <w:bottom w:val="single" w:sz="4" w:space="0" w:color="B4C6E7"/>
              <w:right w:val="single" w:sz="4" w:space="0" w:color="B4C6E7"/>
            </w:tcBorders>
            <w:hideMark/>
          </w:tcPr>
          <w:p w14:paraId="3376772C" w14:textId="77777777" w:rsidR="00693B36" w:rsidRDefault="00693B36">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eastAsia="fr-FR" w:bidi="ar-SA"/>
              </w:rPr>
            </w:pPr>
            <w:r>
              <w:rPr>
                <w:rFonts w:asciiTheme="minorHAnsi" w:hAnsiTheme="minorHAnsi" w:cstheme="minorHAnsi"/>
                <w:lang w:eastAsia="fr-FR" w:bidi="ar-SA"/>
              </w:rPr>
              <w:t>204 000</w:t>
            </w:r>
          </w:p>
        </w:tc>
        <w:tc>
          <w:tcPr>
            <w:tcW w:w="0" w:type="auto"/>
            <w:tcBorders>
              <w:top w:val="single" w:sz="4" w:space="0" w:color="B4C6E7"/>
              <w:left w:val="single" w:sz="4" w:space="0" w:color="B4C6E7"/>
              <w:bottom w:val="single" w:sz="4" w:space="0" w:color="B4C6E7"/>
              <w:right w:val="single" w:sz="4" w:space="0" w:color="B4C6E7"/>
            </w:tcBorders>
            <w:hideMark/>
          </w:tcPr>
          <w:p w14:paraId="62C693F2" w14:textId="77777777" w:rsidR="00693B36" w:rsidRDefault="00693B36">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eastAsia="fr-FR" w:bidi="ar-SA"/>
              </w:rPr>
            </w:pPr>
            <w:r>
              <w:rPr>
                <w:rFonts w:asciiTheme="minorHAnsi" w:hAnsiTheme="minorHAnsi" w:cstheme="minorHAnsi"/>
                <w:lang w:eastAsia="fr-FR" w:bidi="ar-SA"/>
              </w:rPr>
              <w:t>AMO</w:t>
            </w:r>
          </w:p>
        </w:tc>
      </w:tr>
      <w:tr w:rsidR="00693B36" w14:paraId="265E0C9D" w14:textId="77777777" w:rsidTr="00693B36">
        <w:tc>
          <w:tcPr>
            <w:cnfStyle w:val="001000000000" w:firstRow="0" w:lastRow="0" w:firstColumn="1" w:lastColumn="0" w:oddVBand="0" w:evenVBand="0" w:oddHBand="0" w:evenHBand="0" w:firstRowFirstColumn="0" w:firstRowLastColumn="0" w:lastRowFirstColumn="0" w:lastRowLastColumn="0"/>
            <w:tcW w:w="0" w:type="auto"/>
            <w:vMerge/>
            <w:tcBorders>
              <w:top w:val="single" w:sz="4" w:space="0" w:color="B4C6E7"/>
              <w:left w:val="single" w:sz="4" w:space="0" w:color="B4C6E7"/>
              <w:bottom w:val="single" w:sz="4" w:space="0" w:color="B4C6E7"/>
              <w:right w:val="single" w:sz="4" w:space="0" w:color="B4C6E7"/>
            </w:tcBorders>
            <w:vAlign w:val="center"/>
            <w:hideMark/>
          </w:tcPr>
          <w:p w14:paraId="1E85B1D8" w14:textId="77777777" w:rsidR="00693B36" w:rsidRDefault="00693B36">
            <w:pPr>
              <w:spacing w:before="0" w:after="0" w:line="240" w:lineRule="auto"/>
              <w:jc w:val="left"/>
              <w:rPr>
                <w:rFonts w:asciiTheme="minorHAnsi" w:hAnsiTheme="minorHAnsi" w:cstheme="minorHAnsi"/>
                <w:sz w:val="22"/>
                <w:lang w:eastAsia="fr-FR" w:bidi="ar-SA"/>
              </w:rPr>
            </w:pPr>
          </w:p>
        </w:tc>
        <w:tc>
          <w:tcPr>
            <w:tcW w:w="0" w:type="auto"/>
            <w:tcBorders>
              <w:top w:val="single" w:sz="4" w:space="0" w:color="B4C6E7"/>
              <w:left w:val="single" w:sz="4" w:space="0" w:color="B4C6E7"/>
              <w:bottom w:val="single" w:sz="4" w:space="0" w:color="B4C6E7"/>
              <w:right w:val="single" w:sz="4" w:space="0" w:color="B4C6E7"/>
            </w:tcBorders>
            <w:hideMark/>
          </w:tcPr>
          <w:p w14:paraId="0A04707B" w14:textId="77777777" w:rsidR="00693B36" w:rsidRDefault="00693B36">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eastAsia="fr-FR" w:bidi="ar-SA"/>
              </w:rPr>
            </w:pPr>
            <w:r>
              <w:rPr>
                <w:rFonts w:asciiTheme="minorHAnsi" w:hAnsiTheme="minorHAnsi" w:cstheme="minorHAnsi"/>
                <w:lang w:eastAsia="fr-FR" w:bidi="ar-SA"/>
              </w:rPr>
              <w:t>Suivi par l’ONDA</w:t>
            </w:r>
          </w:p>
        </w:tc>
        <w:tc>
          <w:tcPr>
            <w:tcW w:w="0" w:type="auto"/>
            <w:tcBorders>
              <w:top w:val="single" w:sz="4" w:space="0" w:color="B4C6E7"/>
              <w:left w:val="single" w:sz="4" w:space="0" w:color="B4C6E7"/>
              <w:bottom w:val="single" w:sz="4" w:space="0" w:color="B4C6E7"/>
              <w:right w:val="single" w:sz="4" w:space="0" w:color="B4C6E7"/>
            </w:tcBorders>
            <w:hideMark/>
          </w:tcPr>
          <w:p w14:paraId="675BDD52" w14:textId="77777777" w:rsidR="00693B36" w:rsidRDefault="00693B36">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eastAsia="fr-FR" w:bidi="ar-SA"/>
              </w:rPr>
            </w:pPr>
            <w:r>
              <w:rPr>
                <w:rFonts w:asciiTheme="minorHAnsi" w:hAnsiTheme="minorHAnsi" w:cstheme="minorHAnsi"/>
                <w:lang w:eastAsia="fr-FR" w:bidi="ar-SA"/>
              </w:rPr>
              <w:t>Vérification conformité BAD &amp; Loi 12-03</w:t>
            </w:r>
          </w:p>
        </w:tc>
        <w:tc>
          <w:tcPr>
            <w:tcW w:w="0" w:type="auto"/>
            <w:tcBorders>
              <w:top w:val="single" w:sz="4" w:space="0" w:color="B4C6E7"/>
              <w:left w:val="single" w:sz="4" w:space="0" w:color="B4C6E7"/>
              <w:bottom w:val="single" w:sz="4" w:space="0" w:color="B4C6E7"/>
              <w:right w:val="single" w:sz="4" w:space="0" w:color="B4C6E7"/>
            </w:tcBorders>
            <w:hideMark/>
          </w:tcPr>
          <w:p w14:paraId="4A468D4C" w14:textId="77777777" w:rsidR="00693B36" w:rsidRDefault="00693B36">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eastAsia="fr-FR" w:bidi="ar-SA"/>
              </w:rPr>
            </w:pPr>
            <w:r>
              <w:rPr>
                <w:rFonts w:asciiTheme="minorHAnsi" w:hAnsiTheme="minorHAnsi" w:cstheme="minorHAnsi"/>
                <w:lang w:eastAsia="fr-FR" w:bidi="ar-SA"/>
              </w:rPr>
              <w:t>80 000</w:t>
            </w:r>
          </w:p>
        </w:tc>
        <w:tc>
          <w:tcPr>
            <w:tcW w:w="0" w:type="auto"/>
            <w:tcBorders>
              <w:top w:val="single" w:sz="4" w:space="0" w:color="B4C6E7"/>
              <w:left w:val="single" w:sz="4" w:space="0" w:color="B4C6E7"/>
              <w:bottom w:val="single" w:sz="4" w:space="0" w:color="B4C6E7"/>
              <w:right w:val="single" w:sz="4" w:space="0" w:color="B4C6E7"/>
            </w:tcBorders>
            <w:hideMark/>
          </w:tcPr>
          <w:p w14:paraId="0FA775C7" w14:textId="77777777" w:rsidR="00693B36" w:rsidRDefault="00693B36">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eastAsia="fr-FR" w:bidi="ar-SA"/>
              </w:rPr>
            </w:pPr>
            <w:r>
              <w:rPr>
                <w:rFonts w:asciiTheme="minorHAnsi" w:hAnsiTheme="minorHAnsi" w:cstheme="minorHAnsi"/>
                <w:lang w:eastAsia="fr-FR" w:bidi="ar-SA"/>
              </w:rPr>
              <w:t>ONDA</w:t>
            </w:r>
          </w:p>
        </w:tc>
      </w:tr>
      <w:tr w:rsidR="00693B36" w14:paraId="394296E1" w14:textId="77777777" w:rsidTr="00693B36">
        <w:tc>
          <w:tcPr>
            <w:cnfStyle w:val="001000000000" w:firstRow="0" w:lastRow="0" w:firstColumn="1" w:lastColumn="0" w:oddVBand="0" w:evenVBand="0" w:oddHBand="0" w:evenHBand="0" w:firstRowFirstColumn="0" w:firstRowLastColumn="0" w:lastRowFirstColumn="0" w:lastRowLastColumn="0"/>
            <w:tcW w:w="0" w:type="auto"/>
            <w:vMerge/>
            <w:tcBorders>
              <w:top w:val="single" w:sz="4" w:space="0" w:color="B4C6E7"/>
              <w:left w:val="single" w:sz="4" w:space="0" w:color="B4C6E7"/>
              <w:bottom w:val="single" w:sz="4" w:space="0" w:color="B4C6E7"/>
              <w:right w:val="single" w:sz="4" w:space="0" w:color="B4C6E7"/>
            </w:tcBorders>
            <w:vAlign w:val="center"/>
            <w:hideMark/>
          </w:tcPr>
          <w:p w14:paraId="0116BB28" w14:textId="77777777" w:rsidR="00693B36" w:rsidRDefault="00693B36">
            <w:pPr>
              <w:spacing w:before="0" w:after="0" w:line="240" w:lineRule="auto"/>
              <w:jc w:val="left"/>
              <w:rPr>
                <w:rFonts w:asciiTheme="minorHAnsi" w:hAnsiTheme="minorHAnsi" w:cstheme="minorHAnsi"/>
                <w:sz w:val="22"/>
                <w:lang w:eastAsia="fr-FR" w:bidi="ar-SA"/>
              </w:rPr>
            </w:pPr>
          </w:p>
        </w:tc>
        <w:tc>
          <w:tcPr>
            <w:tcW w:w="0" w:type="auto"/>
            <w:tcBorders>
              <w:top w:val="single" w:sz="4" w:space="0" w:color="B4C6E7"/>
              <w:left w:val="single" w:sz="4" w:space="0" w:color="B4C6E7"/>
              <w:bottom w:val="single" w:sz="4" w:space="0" w:color="B4C6E7"/>
              <w:right w:val="single" w:sz="4" w:space="0" w:color="B4C6E7"/>
            </w:tcBorders>
            <w:hideMark/>
          </w:tcPr>
          <w:p w14:paraId="60169205" w14:textId="77777777" w:rsidR="00693B36" w:rsidRDefault="00693B36">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eastAsia="fr-FR" w:bidi="ar-SA"/>
              </w:rPr>
            </w:pPr>
            <w:r>
              <w:rPr>
                <w:rFonts w:asciiTheme="minorHAnsi" w:hAnsiTheme="minorHAnsi" w:cstheme="minorHAnsi"/>
                <w:lang w:eastAsia="fr-FR" w:bidi="ar-SA"/>
              </w:rPr>
              <w:t>Surveillance qualité de l’air</w:t>
            </w:r>
          </w:p>
        </w:tc>
        <w:tc>
          <w:tcPr>
            <w:tcW w:w="0" w:type="auto"/>
            <w:tcBorders>
              <w:top w:val="single" w:sz="4" w:space="0" w:color="B4C6E7"/>
              <w:left w:val="single" w:sz="4" w:space="0" w:color="B4C6E7"/>
              <w:bottom w:val="single" w:sz="4" w:space="0" w:color="B4C6E7"/>
              <w:right w:val="single" w:sz="4" w:space="0" w:color="B4C6E7"/>
            </w:tcBorders>
            <w:hideMark/>
          </w:tcPr>
          <w:p w14:paraId="5CECB543" w14:textId="77777777" w:rsidR="00693B36" w:rsidRDefault="00693B36">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eastAsia="fr-FR" w:bidi="ar-SA"/>
              </w:rPr>
            </w:pPr>
            <w:r>
              <w:rPr>
                <w:rFonts w:asciiTheme="minorHAnsi" w:hAnsiTheme="minorHAnsi" w:cstheme="minorHAnsi"/>
                <w:lang w:eastAsia="fr-FR" w:bidi="ar-SA"/>
              </w:rPr>
              <w:t>Campagnes annuelles (NO₂, SO₂, PM₁₀)</w:t>
            </w:r>
          </w:p>
        </w:tc>
        <w:tc>
          <w:tcPr>
            <w:tcW w:w="0" w:type="auto"/>
            <w:tcBorders>
              <w:top w:val="single" w:sz="4" w:space="0" w:color="B4C6E7"/>
              <w:left w:val="single" w:sz="4" w:space="0" w:color="B4C6E7"/>
              <w:bottom w:val="single" w:sz="4" w:space="0" w:color="B4C6E7"/>
              <w:right w:val="single" w:sz="4" w:space="0" w:color="B4C6E7"/>
            </w:tcBorders>
            <w:hideMark/>
          </w:tcPr>
          <w:p w14:paraId="7FF2C2C6" w14:textId="77777777" w:rsidR="00693B36" w:rsidRDefault="00693B36">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eastAsia="fr-FR" w:bidi="ar-SA"/>
              </w:rPr>
            </w:pPr>
            <w:r>
              <w:rPr>
                <w:rFonts w:asciiTheme="minorHAnsi" w:hAnsiTheme="minorHAnsi" w:cstheme="minorHAnsi"/>
                <w:lang w:eastAsia="fr-FR" w:bidi="ar-SA"/>
              </w:rPr>
              <w:t>25 000</w:t>
            </w:r>
          </w:p>
        </w:tc>
        <w:tc>
          <w:tcPr>
            <w:tcW w:w="0" w:type="auto"/>
            <w:tcBorders>
              <w:top w:val="single" w:sz="4" w:space="0" w:color="B4C6E7"/>
              <w:left w:val="single" w:sz="4" w:space="0" w:color="B4C6E7"/>
              <w:bottom w:val="single" w:sz="4" w:space="0" w:color="B4C6E7"/>
              <w:right w:val="single" w:sz="4" w:space="0" w:color="B4C6E7"/>
            </w:tcBorders>
            <w:hideMark/>
          </w:tcPr>
          <w:p w14:paraId="1F27144D" w14:textId="77777777" w:rsidR="00693B36" w:rsidRDefault="00693B36">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eastAsia="fr-FR" w:bidi="ar-SA"/>
              </w:rPr>
            </w:pPr>
            <w:r>
              <w:rPr>
                <w:rFonts w:asciiTheme="minorHAnsi" w:hAnsiTheme="minorHAnsi" w:cstheme="minorHAnsi"/>
                <w:lang w:eastAsia="fr-FR" w:bidi="ar-SA"/>
              </w:rPr>
              <w:t>ONDA</w:t>
            </w:r>
          </w:p>
        </w:tc>
      </w:tr>
      <w:tr w:rsidR="00693B36" w14:paraId="0EF99C6F" w14:textId="77777777" w:rsidTr="00693B36">
        <w:tc>
          <w:tcPr>
            <w:cnfStyle w:val="001000000000" w:firstRow="0" w:lastRow="0" w:firstColumn="1" w:lastColumn="0" w:oddVBand="0" w:evenVBand="0" w:oddHBand="0" w:evenHBand="0" w:firstRowFirstColumn="0" w:firstRowLastColumn="0" w:lastRowFirstColumn="0" w:lastRowLastColumn="0"/>
            <w:tcW w:w="0" w:type="auto"/>
            <w:vMerge/>
            <w:tcBorders>
              <w:top w:val="single" w:sz="4" w:space="0" w:color="B4C6E7"/>
              <w:left w:val="single" w:sz="4" w:space="0" w:color="B4C6E7"/>
              <w:bottom w:val="single" w:sz="4" w:space="0" w:color="B4C6E7"/>
              <w:right w:val="single" w:sz="4" w:space="0" w:color="B4C6E7"/>
            </w:tcBorders>
            <w:vAlign w:val="center"/>
            <w:hideMark/>
          </w:tcPr>
          <w:p w14:paraId="4AA30576" w14:textId="77777777" w:rsidR="00693B36" w:rsidRDefault="00693B36">
            <w:pPr>
              <w:spacing w:before="0" w:after="0" w:line="240" w:lineRule="auto"/>
              <w:jc w:val="left"/>
              <w:rPr>
                <w:rFonts w:asciiTheme="minorHAnsi" w:hAnsiTheme="minorHAnsi" w:cstheme="minorHAnsi"/>
                <w:sz w:val="22"/>
                <w:lang w:eastAsia="fr-FR" w:bidi="ar-SA"/>
              </w:rPr>
            </w:pPr>
          </w:p>
        </w:tc>
        <w:tc>
          <w:tcPr>
            <w:tcW w:w="0" w:type="auto"/>
            <w:tcBorders>
              <w:top w:val="single" w:sz="4" w:space="0" w:color="B4C6E7"/>
              <w:left w:val="single" w:sz="4" w:space="0" w:color="B4C6E7"/>
              <w:bottom w:val="single" w:sz="4" w:space="0" w:color="B4C6E7"/>
              <w:right w:val="single" w:sz="4" w:space="0" w:color="B4C6E7"/>
            </w:tcBorders>
            <w:hideMark/>
          </w:tcPr>
          <w:p w14:paraId="6B1563E5" w14:textId="77777777" w:rsidR="00693B36" w:rsidRDefault="00693B36">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eastAsia="fr-FR" w:bidi="ar-SA"/>
              </w:rPr>
            </w:pPr>
            <w:r>
              <w:rPr>
                <w:rFonts w:asciiTheme="minorHAnsi" w:hAnsiTheme="minorHAnsi" w:cstheme="minorHAnsi"/>
                <w:lang w:eastAsia="fr-FR" w:bidi="ar-SA"/>
              </w:rPr>
              <w:t>Mesure du bruit aéronautique</w:t>
            </w:r>
          </w:p>
        </w:tc>
        <w:tc>
          <w:tcPr>
            <w:tcW w:w="0" w:type="auto"/>
            <w:tcBorders>
              <w:top w:val="single" w:sz="4" w:space="0" w:color="B4C6E7"/>
              <w:left w:val="single" w:sz="4" w:space="0" w:color="B4C6E7"/>
              <w:bottom w:val="single" w:sz="4" w:space="0" w:color="B4C6E7"/>
              <w:right w:val="single" w:sz="4" w:space="0" w:color="B4C6E7"/>
            </w:tcBorders>
            <w:hideMark/>
          </w:tcPr>
          <w:p w14:paraId="2EA634D7" w14:textId="77777777" w:rsidR="00693B36" w:rsidRDefault="00693B36">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eastAsia="fr-FR" w:bidi="ar-SA"/>
              </w:rPr>
            </w:pPr>
            <w:r>
              <w:rPr>
                <w:rFonts w:asciiTheme="minorHAnsi" w:hAnsiTheme="minorHAnsi" w:cstheme="minorHAnsi"/>
                <w:lang w:eastAsia="fr-FR" w:bidi="ar-SA"/>
              </w:rPr>
              <w:t>Campagnes semestrielles</w:t>
            </w:r>
          </w:p>
        </w:tc>
        <w:tc>
          <w:tcPr>
            <w:tcW w:w="0" w:type="auto"/>
            <w:tcBorders>
              <w:top w:val="single" w:sz="4" w:space="0" w:color="B4C6E7"/>
              <w:left w:val="single" w:sz="4" w:space="0" w:color="B4C6E7"/>
              <w:bottom w:val="single" w:sz="4" w:space="0" w:color="B4C6E7"/>
              <w:right w:val="single" w:sz="4" w:space="0" w:color="B4C6E7"/>
            </w:tcBorders>
            <w:hideMark/>
          </w:tcPr>
          <w:p w14:paraId="3945DE45" w14:textId="77777777" w:rsidR="00693B36" w:rsidRDefault="00693B36">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eastAsia="fr-FR" w:bidi="ar-SA"/>
              </w:rPr>
            </w:pPr>
            <w:r>
              <w:rPr>
                <w:rFonts w:asciiTheme="minorHAnsi" w:hAnsiTheme="minorHAnsi" w:cstheme="minorHAnsi"/>
                <w:lang w:eastAsia="fr-FR" w:bidi="ar-SA"/>
              </w:rPr>
              <w:t>15 000</w:t>
            </w:r>
          </w:p>
        </w:tc>
        <w:tc>
          <w:tcPr>
            <w:tcW w:w="0" w:type="auto"/>
            <w:tcBorders>
              <w:top w:val="single" w:sz="4" w:space="0" w:color="B4C6E7"/>
              <w:left w:val="single" w:sz="4" w:space="0" w:color="B4C6E7"/>
              <w:bottom w:val="single" w:sz="4" w:space="0" w:color="B4C6E7"/>
              <w:right w:val="single" w:sz="4" w:space="0" w:color="B4C6E7"/>
            </w:tcBorders>
            <w:hideMark/>
          </w:tcPr>
          <w:p w14:paraId="486CBF74" w14:textId="77777777" w:rsidR="00693B36" w:rsidRDefault="00693B36">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eastAsia="fr-FR" w:bidi="ar-SA"/>
              </w:rPr>
            </w:pPr>
            <w:r>
              <w:rPr>
                <w:rFonts w:asciiTheme="minorHAnsi" w:hAnsiTheme="minorHAnsi" w:cstheme="minorHAnsi"/>
                <w:lang w:eastAsia="fr-FR" w:bidi="ar-SA"/>
              </w:rPr>
              <w:t>ONDA</w:t>
            </w:r>
          </w:p>
        </w:tc>
      </w:tr>
      <w:tr w:rsidR="00693B36" w14:paraId="37051082" w14:textId="77777777" w:rsidTr="00693B36">
        <w:tc>
          <w:tcPr>
            <w:cnfStyle w:val="001000000000" w:firstRow="0" w:lastRow="0" w:firstColumn="1" w:lastColumn="0" w:oddVBand="0" w:evenVBand="0" w:oddHBand="0" w:evenHBand="0" w:firstRowFirstColumn="0" w:firstRowLastColumn="0" w:lastRowFirstColumn="0" w:lastRowLastColumn="0"/>
            <w:tcW w:w="0" w:type="auto"/>
            <w:vMerge/>
            <w:tcBorders>
              <w:top w:val="single" w:sz="4" w:space="0" w:color="B4C6E7"/>
              <w:left w:val="single" w:sz="4" w:space="0" w:color="B4C6E7"/>
              <w:bottom w:val="single" w:sz="4" w:space="0" w:color="B4C6E7"/>
              <w:right w:val="single" w:sz="4" w:space="0" w:color="B4C6E7"/>
            </w:tcBorders>
            <w:vAlign w:val="center"/>
            <w:hideMark/>
          </w:tcPr>
          <w:p w14:paraId="18F31941" w14:textId="77777777" w:rsidR="00693B36" w:rsidRDefault="00693B36">
            <w:pPr>
              <w:spacing w:before="0" w:after="0" w:line="240" w:lineRule="auto"/>
              <w:jc w:val="left"/>
              <w:rPr>
                <w:rFonts w:asciiTheme="minorHAnsi" w:hAnsiTheme="minorHAnsi" w:cstheme="minorHAnsi"/>
                <w:sz w:val="22"/>
                <w:lang w:eastAsia="fr-FR" w:bidi="ar-SA"/>
              </w:rPr>
            </w:pPr>
          </w:p>
        </w:tc>
        <w:tc>
          <w:tcPr>
            <w:tcW w:w="0" w:type="auto"/>
            <w:tcBorders>
              <w:top w:val="single" w:sz="4" w:space="0" w:color="B4C6E7"/>
              <w:left w:val="single" w:sz="4" w:space="0" w:color="B4C6E7"/>
              <w:bottom w:val="single" w:sz="4" w:space="0" w:color="B4C6E7"/>
              <w:right w:val="single" w:sz="4" w:space="0" w:color="B4C6E7"/>
            </w:tcBorders>
            <w:hideMark/>
          </w:tcPr>
          <w:p w14:paraId="411C9EAA" w14:textId="77777777" w:rsidR="00693B36" w:rsidRDefault="00693B36">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eastAsia="fr-FR" w:bidi="ar-SA"/>
              </w:rPr>
            </w:pPr>
            <w:r>
              <w:rPr>
                <w:rFonts w:asciiTheme="minorHAnsi" w:hAnsiTheme="minorHAnsi" w:cstheme="minorHAnsi"/>
                <w:lang w:eastAsia="fr-FR" w:bidi="ar-SA"/>
              </w:rPr>
              <w:t>Suivi biodiversité / paysage</w:t>
            </w:r>
          </w:p>
        </w:tc>
        <w:tc>
          <w:tcPr>
            <w:tcW w:w="0" w:type="auto"/>
            <w:tcBorders>
              <w:top w:val="single" w:sz="4" w:space="0" w:color="B4C6E7"/>
              <w:left w:val="single" w:sz="4" w:space="0" w:color="B4C6E7"/>
              <w:bottom w:val="single" w:sz="4" w:space="0" w:color="B4C6E7"/>
              <w:right w:val="single" w:sz="4" w:space="0" w:color="B4C6E7"/>
            </w:tcBorders>
            <w:hideMark/>
          </w:tcPr>
          <w:p w14:paraId="01FFC79D" w14:textId="77777777" w:rsidR="00693B36" w:rsidRDefault="00693B36">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eastAsia="fr-FR" w:bidi="ar-SA"/>
              </w:rPr>
            </w:pPr>
            <w:r>
              <w:rPr>
                <w:rFonts w:asciiTheme="minorHAnsi" w:hAnsiTheme="minorHAnsi" w:cstheme="minorHAnsi"/>
                <w:lang w:eastAsia="fr-FR" w:bidi="ar-SA"/>
              </w:rPr>
              <w:t>Inspection semestrielle</w:t>
            </w:r>
          </w:p>
        </w:tc>
        <w:tc>
          <w:tcPr>
            <w:tcW w:w="0" w:type="auto"/>
            <w:tcBorders>
              <w:top w:val="single" w:sz="4" w:space="0" w:color="B4C6E7"/>
              <w:left w:val="single" w:sz="4" w:space="0" w:color="B4C6E7"/>
              <w:bottom w:val="single" w:sz="4" w:space="0" w:color="B4C6E7"/>
              <w:right w:val="single" w:sz="4" w:space="0" w:color="B4C6E7"/>
            </w:tcBorders>
            <w:hideMark/>
          </w:tcPr>
          <w:p w14:paraId="4C997C12" w14:textId="77777777" w:rsidR="00693B36" w:rsidRDefault="00693B36">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eastAsia="fr-FR" w:bidi="ar-SA"/>
              </w:rPr>
            </w:pPr>
            <w:r>
              <w:rPr>
                <w:rFonts w:asciiTheme="minorHAnsi" w:hAnsiTheme="minorHAnsi" w:cstheme="minorHAnsi"/>
                <w:lang w:eastAsia="fr-FR" w:bidi="ar-SA"/>
              </w:rPr>
              <w:t>10 000</w:t>
            </w:r>
          </w:p>
        </w:tc>
        <w:tc>
          <w:tcPr>
            <w:tcW w:w="0" w:type="auto"/>
            <w:tcBorders>
              <w:top w:val="single" w:sz="4" w:space="0" w:color="B4C6E7"/>
              <w:left w:val="single" w:sz="4" w:space="0" w:color="B4C6E7"/>
              <w:bottom w:val="single" w:sz="4" w:space="0" w:color="B4C6E7"/>
              <w:right w:val="single" w:sz="4" w:space="0" w:color="B4C6E7"/>
            </w:tcBorders>
            <w:hideMark/>
          </w:tcPr>
          <w:p w14:paraId="3739948F" w14:textId="77777777" w:rsidR="00693B36" w:rsidRDefault="00693B36">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eastAsia="fr-FR" w:bidi="ar-SA"/>
              </w:rPr>
            </w:pPr>
            <w:r>
              <w:rPr>
                <w:rFonts w:asciiTheme="minorHAnsi" w:hAnsiTheme="minorHAnsi" w:cstheme="minorHAnsi"/>
                <w:lang w:eastAsia="fr-FR" w:bidi="ar-SA"/>
              </w:rPr>
              <w:t>ONDA</w:t>
            </w:r>
          </w:p>
        </w:tc>
      </w:tr>
      <w:tr w:rsidR="00693B36" w14:paraId="2388FF97" w14:textId="77777777" w:rsidTr="00693B36">
        <w:tc>
          <w:tcPr>
            <w:cnfStyle w:val="001000000000" w:firstRow="0" w:lastRow="0" w:firstColumn="1" w:lastColumn="0" w:oddVBand="0" w:evenVBand="0" w:oddHBand="0" w:evenHBand="0" w:firstRowFirstColumn="0" w:firstRowLastColumn="0" w:lastRowFirstColumn="0" w:lastRowLastColumn="0"/>
            <w:tcW w:w="0" w:type="auto"/>
            <w:gridSpan w:val="5"/>
            <w:tcBorders>
              <w:top w:val="single" w:sz="4" w:space="0" w:color="B4C6E7"/>
              <w:left w:val="single" w:sz="4" w:space="0" w:color="B4C6E7"/>
              <w:bottom w:val="single" w:sz="4" w:space="0" w:color="B4C6E7"/>
              <w:right w:val="single" w:sz="4" w:space="0" w:color="B4C6E7"/>
            </w:tcBorders>
            <w:hideMark/>
          </w:tcPr>
          <w:p w14:paraId="58572DE8" w14:textId="77777777" w:rsidR="00693B36" w:rsidRDefault="00693B36">
            <w:pPr>
              <w:spacing w:before="0" w:after="0" w:line="240" w:lineRule="auto"/>
              <w:jc w:val="center"/>
              <w:rPr>
                <w:rFonts w:asciiTheme="minorHAnsi" w:hAnsiTheme="minorHAnsi" w:cstheme="minorHAnsi"/>
                <w:lang w:eastAsia="fr-FR" w:bidi="ar-SA"/>
              </w:rPr>
            </w:pPr>
            <w:r>
              <w:rPr>
                <w:rFonts w:asciiTheme="minorHAnsi" w:hAnsiTheme="minorHAnsi" w:cstheme="minorHAnsi"/>
                <w:lang w:eastAsia="fr-FR" w:bidi="ar-SA"/>
              </w:rPr>
              <w:t>Coût total suivi E&amp;S : 538 000 MAD</w:t>
            </w:r>
          </w:p>
        </w:tc>
      </w:tr>
      <w:tr w:rsidR="00693B36" w14:paraId="5BB2A406" w14:textId="77777777" w:rsidTr="00693B36">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B4C6E7"/>
              <w:left w:val="single" w:sz="4" w:space="0" w:color="B4C6E7"/>
              <w:bottom w:val="single" w:sz="4" w:space="0" w:color="B4C6E7"/>
              <w:right w:val="single" w:sz="4" w:space="0" w:color="B4C6E7"/>
            </w:tcBorders>
            <w:hideMark/>
          </w:tcPr>
          <w:p w14:paraId="59C20352" w14:textId="77777777" w:rsidR="00693B36" w:rsidRDefault="00693B36">
            <w:pPr>
              <w:spacing w:before="0" w:after="0" w:line="240" w:lineRule="auto"/>
              <w:jc w:val="left"/>
              <w:rPr>
                <w:rFonts w:asciiTheme="minorHAnsi" w:hAnsiTheme="minorHAnsi" w:cstheme="minorHAnsi"/>
                <w:lang w:eastAsia="fr-FR" w:bidi="ar-SA"/>
              </w:rPr>
            </w:pPr>
            <w:r>
              <w:rPr>
                <w:rFonts w:asciiTheme="minorHAnsi" w:hAnsiTheme="minorHAnsi" w:cstheme="minorHAnsi"/>
                <w:lang w:eastAsia="fr-FR" w:bidi="ar-SA"/>
              </w:rPr>
              <w:t>Renforcement des capactité</w:t>
            </w:r>
          </w:p>
        </w:tc>
        <w:tc>
          <w:tcPr>
            <w:tcW w:w="0" w:type="auto"/>
            <w:tcBorders>
              <w:top w:val="single" w:sz="4" w:space="0" w:color="B4C6E7"/>
              <w:left w:val="single" w:sz="4" w:space="0" w:color="B4C6E7"/>
              <w:bottom w:val="single" w:sz="4" w:space="0" w:color="B4C6E7"/>
              <w:right w:val="single" w:sz="4" w:space="0" w:color="B4C6E7"/>
            </w:tcBorders>
            <w:hideMark/>
          </w:tcPr>
          <w:p w14:paraId="030634DD" w14:textId="77777777" w:rsidR="00693B36" w:rsidRDefault="00693B36">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eastAsia="fr-FR" w:bidi="ar-SA"/>
              </w:rPr>
            </w:pPr>
            <w:r>
              <w:rPr>
                <w:rFonts w:asciiTheme="minorHAnsi" w:hAnsiTheme="minorHAnsi" w:cstheme="minorHAnsi"/>
                <w:lang w:eastAsia="fr-FR" w:bidi="ar-SA"/>
              </w:rPr>
              <w:t>Formation sensibilisation des acteurs institutionnels en charge de la gestion E&amp;S</w:t>
            </w:r>
          </w:p>
        </w:tc>
        <w:tc>
          <w:tcPr>
            <w:tcW w:w="0" w:type="auto"/>
            <w:tcBorders>
              <w:top w:val="single" w:sz="4" w:space="0" w:color="B4C6E7"/>
              <w:left w:val="single" w:sz="4" w:space="0" w:color="B4C6E7"/>
              <w:bottom w:val="single" w:sz="4" w:space="0" w:color="B4C6E7"/>
              <w:right w:val="single" w:sz="4" w:space="0" w:color="B4C6E7"/>
            </w:tcBorders>
            <w:hideMark/>
          </w:tcPr>
          <w:p w14:paraId="2026AE1F" w14:textId="77777777" w:rsidR="00693B36" w:rsidRDefault="00693B36">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eastAsia="fr-FR" w:bidi="ar-SA"/>
              </w:rPr>
            </w:pPr>
            <w:r>
              <w:rPr>
                <w:rFonts w:asciiTheme="minorHAnsi" w:hAnsiTheme="minorHAnsi" w:cstheme="minorHAnsi"/>
                <w:lang w:eastAsia="fr-FR" w:bidi="ar-SA"/>
              </w:rPr>
              <w:t>Mise en œuvre des PGES</w:t>
            </w:r>
          </w:p>
        </w:tc>
        <w:tc>
          <w:tcPr>
            <w:tcW w:w="0" w:type="auto"/>
            <w:tcBorders>
              <w:top w:val="single" w:sz="4" w:space="0" w:color="B4C6E7"/>
              <w:left w:val="single" w:sz="4" w:space="0" w:color="B4C6E7"/>
              <w:bottom w:val="single" w:sz="4" w:space="0" w:color="B4C6E7"/>
              <w:right w:val="single" w:sz="4" w:space="0" w:color="B4C6E7"/>
            </w:tcBorders>
            <w:hideMark/>
          </w:tcPr>
          <w:p w14:paraId="06F298B6" w14:textId="77777777" w:rsidR="00693B36" w:rsidRDefault="00693B36">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eastAsia="fr-FR" w:bidi="ar-SA"/>
              </w:rPr>
            </w:pPr>
            <w:r>
              <w:rPr>
                <w:rFonts w:asciiTheme="minorHAnsi" w:hAnsiTheme="minorHAnsi" w:cstheme="minorHAnsi"/>
                <w:lang w:eastAsia="fr-FR" w:bidi="ar-SA"/>
              </w:rPr>
              <w:t>Déjà mobilisé au niveau central</w:t>
            </w:r>
          </w:p>
        </w:tc>
        <w:tc>
          <w:tcPr>
            <w:tcW w:w="0" w:type="auto"/>
            <w:tcBorders>
              <w:top w:val="single" w:sz="4" w:space="0" w:color="B4C6E7"/>
              <w:left w:val="single" w:sz="4" w:space="0" w:color="B4C6E7"/>
              <w:bottom w:val="single" w:sz="4" w:space="0" w:color="B4C6E7"/>
              <w:right w:val="single" w:sz="4" w:space="0" w:color="B4C6E7"/>
            </w:tcBorders>
            <w:hideMark/>
          </w:tcPr>
          <w:p w14:paraId="23D92023" w14:textId="77777777" w:rsidR="00693B36" w:rsidRDefault="00693B36">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eastAsia="fr-FR" w:bidi="ar-SA"/>
              </w:rPr>
            </w:pPr>
            <w:r>
              <w:rPr>
                <w:rFonts w:asciiTheme="minorHAnsi" w:hAnsiTheme="minorHAnsi" w:cstheme="minorHAnsi"/>
                <w:lang w:eastAsia="fr-FR" w:bidi="ar-SA"/>
              </w:rPr>
              <w:t>ONDA</w:t>
            </w:r>
          </w:p>
        </w:tc>
      </w:tr>
      <w:tr w:rsidR="00693B36" w14:paraId="271CD3D0" w14:textId="77777777" w:rsidTr="00693B36">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B4C6E7"/>
              <w:left w:val="single" w:sz="4" w:space="0" w:color="B4C6E7"/>
              <w:bottom w:val="single" w:sz="4" w:space="0" w:color="B4C6E7"/>
              <w:right w:val="single" w:sz="4" w:space="0" w:color="B4C6E7"/>
            </w:tcBorders>
            <w:hideMark/>
          </w:tcPr>
          <w:p w14:paraId="6F4B54B1" w14:textId="77777777" w:rsidR="00693B36" w:rsidRDefault="00693B36">
            <w:pPr>
              <w:spacing w:before="0" w:after="0" w:line="240" w:lineRule="auto"/>
              <w:jc w:val="left"/>
              <w:rPr>
                <w:rFonts w:asciiTheme="minorHAnsi" w:hAnsiTheme="minorHAnsi" w:cstheme="minorHAnsi"/>
                <w:lang w:eastAsia="fr-FR" w:bidi="ar-SA"/>
              </w:rPr>
            </w:pPr>
            <w:r>
              <w:rPr>
                <w:rFonts w:asciiTheme="minorHAnsi" w:hAnsiTheme="minorHAnsi" w:cstheme="minorHAnsi"/>
                <w:lang w:eastAsia="fr-FR" w:bidi="ar-SA"/>
              </w:rPr>
              <w:t>Audit</w:t>
            </w:r>
          </w:p>
        </w:tc>
        <w:tc>
          <w:tcPr>
            <w:tcW w:w="0" w:type="auto"/>
            <w:tcBorders>
              <w:top w:val="single" w:sz="4" w:space="0" w:color="B4C6E7"/>
              <w:left w:val="single" w:sz="4" w:space="0" w:color="B4C6E7"/>
              <w:bottom w:val="single" w:sz="4" w:space="0" w:color="B4C6E7"/>
              <w:right w:val="single" w:sz="4" w:space="0" w:color="B4C6E7"/>
            </w:tcBorders>
            <w:hideMark/>
          </w:tcPr>
          <w:p w14:paraId="37FCF453" w14:textId="77777777" w:rsidR="00693B36" w:rsidRDefault="00693B36">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eastAsia="fr-FR" w:bidi="ar-SA"/>
              </w:rPr>
            </w:pPr>
            <w:r>
              <w:rPr>
                <w:rFonts w:asciiTheme="minorHAnsi" w:hAnsiTheme="minorHAnsi" w:cstheme="minorHAnsi"/>
                <w:lang w:eastAsia="fr-FR" w:bidi="ar-SA"/>
              </w:rPr>
              <w:t>Audit E&amp;S</w:t>
            </w:r>
          </w:p>
        </w:tc>
        <w:tc>
          <w:tcPr>
            <w:tcW w:w="0" w:type="auto"/>
            <w:tcBorders>
              <w:top w:val="single" w:sz="4" w:space="0" w:color="B4C6E7"/>
              <w:left w:val="single" w:sz="4" w:space="0" w:color="B4C6E7"/>
              <w:bottom w:val="single" w:sz="4" w:space="0" w:color="B4C6E7"/>
              <w:right w:val="single" w:sz="4" w:space="0" w:color="B4C6E7"/>
            </w:tcBorders>
            <w:hideMark/>
          </w:tcPr>
          <w:p w14:paraId="7E35EEE3" w14:textId="77777777" w:rsidR="00693B36" w:rsidRDefault="00693B36">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eastAsia="fr-FR" w:bidi="ar-SA"/>
              </w:rPr>
            </w:pPr>
            <w:r>
              <w:rPr>
                <w:rFonts w:asciiTheme="minorHAnsi" w:hAnsiTheme="minorHAnsi" w:cstheme="minorHAnsi"/>
                <w:lang w:eastAsia="fr-FR" w:bidi="ar-SA"/>
              </w:rPr>
              <w:t>Audit de performance E&amp;S</w:t>
            </w:r>
          </w:p>
        </w:tc>
        <w:tc>
          <w:tcPr>
            <w:tcW w:w="0" w:type="auto"/>
            <w:tcBorders>
              <w:top w:val="single" w:sz="4" w:space="0" w:color="B4C6E7"/>
              <w:left w:val="single" w:sz="4" w:space="0" w:color="B4C6E7"/>
              <w:bottom w:val="single" w:sz="4" w:space="0" w:color="B4C6E7"/>
              <w:right w:val="single" w:sz="4" w:space="0" w:color="B4C6E7"/>
            </w:tcBorders>
            <w:hideMark/>
          </w:tcPr>
          <w:p w14:paraId="761A7964" w14:textId="77777777" w:rsidR="00693B36" w:rsidRDefault="00693B36">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eastAsia="fr-FR" w:bidi="ar-SA"/>
              </w:rPr>
            </w:pPr>
            <w:r>
              <w:rPr>
                <w:rFonts w:asciiTheme="minorHAnsi" w:hAnsiTheme="minorHAnsi" w:cstheme="minorHAnsi"/>
                <w:lang w:eastAsia="fr-FR" w:bidi="ar-SA"/>
              </w:rPr>
              <w:t>200 000</w:t>
            </w:r>
          </w:p>
        </w:tc>
        <w:tc>
          <w:tcPr>
            <w:tcW w:w="0" w:type="auto"/>
            <w:tcBorders>
              <w:top w:val="single" w:sz="4" w:space="0" w:color="B4C6E7"/>
              <w:left w:val="single" w:sz="4" w:space="0" w:color="B4C6E7"/>
              <w:bottom w:val="single" w:sz="4" w:space="0" w:color="B4C6E7"/>
              <w:right w:val="single" w:sz="4" w:space="0" w:color="B4C6E7"/>
            </w:tcBorders>
          </w:tcPr>
          <w:p w14:paraId="70AFE624" w14:textId="77777777" w:rsidR="00693B36" w:rsidRDefault="00693B36">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eastAsia="fr-FR" w:bidi="ar-SA"/>
              </w:rPr>
            </w:pPr>
          </w:p>
        </w:tc>
      </w:tr>
      <w:tr w:rsidR="00693B36" w14:paraId="6A60DE32" w14:textId="77777777" w:rsidTr="00693B36">
        <w:tc>
          <w:tcPr>
            <w:cnfStyle w:val="001000000000" w:firstRow="0" w:lastRow="0" w:firstColumn="1" w:lastColumn="0" w:oddVBand="0" w:evenVBand="0" w:oddHBand="0" w:evenHBand="0" w:firstRowFirstColumn="0" w:firstRowLastColumn="0" w:lastRowFirstColumn="0" w:lastRowLastColumn="0"/>
            <w:tcW w:w="0" w:type="auto"/>
            <w:gridSpan w:val="5"/>
            <w:tcBorders>
              <w:top w:val="single" w:sz="4" w:space="0" w:color="B4C6E7"/>
              <w:left w:val="single" w:sz="4" w:space="0" w:color="B4C6E7"/>
              <w:bottom w:val="single" w:sz="4" w:space="0" w:color="B4C6E7"/>
              <w:right w:val="single" w:sz="4" w:space="0" w:color="B4C6E7"/>
            </w:tcBorders>
            <w:hideMark/>
          </w:tcPr>
          <w:p w14:paraId="17F69939" w14:textId="77777777" w:rsidR="00693B36" w:rsidRDefault="00693B36">
            <w:pPr>
              <w:spacing w:before="0" w:after="0" w:line="240" w:lineRule="auto"/>
              <w:jc w:val="center"/>
              <w:rPr>
                <w:rFonts w:asciiTheme="minorHAnsi" w:hAnsiTheme="minorHAnsi" w:cstheme="minorHAnsi"/>
                <w:lang w:eastAsia="fr-FR" w:bidi="ar-SA"/>
              </w:rPr>
            </w:pPr>
            <w:r>
              <w:rPr>
                <w:rFonts w:asciiTheme="minorHAnsi" w:hAnsiTheme="minorHAnsi" w:cstheme="minorHAnsi"/>
                <w:lang w:eastAsia="fr-FR" w:bidi="ar-SA"/>
              </w:rPr>
              <w:t>Coût total Audit : 200 000 MAD</w:t>
            </w:r>
          </w:p>
        </w:tc>
      </w:tr>
      <w:tr w:rsidR="00693B36" w14:paraId="2543DDB5" w14:textId="77777777" w:rsidTr="00693B36">
        <w:tc>
          <w:tcPr>
            <w:cnfStyle w:val="001000000000" w:firstRow="0" w:lastRow="0" w:firstColumn="1" w:lastColumn="0" w:oddVBand="0" w:evenVBand="0" w:oddHBand="0" w:evenHBand="0" w:firstRowFirstColumn="0" w:firstRowLastColumn="0" w:lastRowFirstColumn="0" w:lastRowLastColumn="0"/>
            <w:tcW w:w="0" w:type="auto"/>
            <w:gridSpan w:val="5"/>
            <w:tcBorders>
              <w:top w:val="single" w:sz="4" w:space="0" w:color="B4C6E7"/>
              <w:left w:val="single" w:sz="4" w:space="0" w:color="B4C6E7"/>
              <w:bottom w:val="single" w:sz="4" w:space="0" w:color="B4C6E7"/>
              <w:right w:val="single" w:sz="4" w:space="0" w:color="B4C6E7"/>
            </w:tcBorders>
            <w:vAlign w:val="center"/>
            <w:hideMark/>
          </w:tcPr>
          <w:p w14:paraId="213910BD" w14:textId="77777777" w:rsidR="00693B36" w:rsidRDefault="00693B36">
            <w:pPr>
              <w:spacing w:before="0" w:after="0" w:line="240" w:lineRule="auto"/>
              <w:jc w:val="center"/>
              <w:rPr>
                <w:rFonts w:asciiTheme="minorHAnsi" w:hAnsiTheme="minorHAnsi" w:cstheme="minorHAnsi"/>
                <w:lang w:eastAsia="fr-FR" w:bidi="ar-SA"/>
              </w:rPr>
            </w:pPr>
            <w:r>
              <w:rPr>
                <w:rFonts w:asciiTheme="minorHAnsi" w:hAnsiTheme="minorHAnsi" w:cstheme="minorHAnsi"/>
                <w:lang w:eastAsia="fr-FR" w:bidi="ar-SA"/>
              </w:rPr>
              <w:t>Coût général des coûts du PGES : 1 840 000</w:t>
            </w:r>
          </w:p>
        </w:tc>
      </w:tr>
      <w:tr w:rsidR="00693B36" w14:paraId="22144C50" w14:textId="77777777" w:rsidTr="00693B36">
        <w:tc>
          <w:tcPr>
            <w:cnfStyle w:val="001000000000" w:firstRow="0" w:lastRow="0" w:firstColumn="1" w:lastColumn="0" w:oddVBand="0" w:evenVBand="0" w:oddHBand="0" w:evenHBand="0" w:firstRowFirstColumn="0" w:firstRowLastColumn="0" w:lastRowFirstColumn="0" w:lastRowLastColumn="0"/>
            <w:tcW w:w="0" w:type="auto"/>
            <w:gridSpan w:val="5"/>
            <w:tcBorders>
              <w:top w:val="single" w:sz="4" w:space="0" w:color="B4C6E7"/>
              <w:left w:val="single" w:sz="4" w:space="0" w:color="B4C6E7"/>
              <w:bottom w:val="single" w:sz="4" w:space="0" w:color="B4C6E7"/>
              <w:right w:val="single" w:sz="4" w:space="0" w:color="B4C6E7"/>
            </w:tcBorders>
            <w:shd w:val="clear" w:color="auto" w:fill="D9E2F3" w:themeFill="accent1" w:themeFillTint="33"/>
            <w:vAlign w:val="center"/>
            <w:hideMark/>
          </w:tcPr>
          <w:p w14:paraId="379D2153" w14:textId="77777777" w:rsidR="00693B36" w:rsidRDefault="00693B36">
            <w:pPr>
              <w:spacing w:before="0" w:after="0" w:line="240" w:lineRule="auto"/>
              <w:jc w:val="center"/>
              <w:rPr>
                <w:rFonts w:asciiTheme="minorHAnsi" w:hAnsiTheme="minorHAnsi" w:cstheme="minorHAnsi"/>
                <w:lang w:eastAsia="fr-FR" w:bidi="ar-SA"/>
              </w:rPr>
            </w:pPr>
            <w:r>
              <w:rPr>
                <w:rFonts w:asciiTheme="minorHAnsi" w:hAnsiTheme="minorHAnsi" w:cstheme="minorHAnsi"/>
                <w:lang w:eastAsia="fr-FR" w:bidi="ar-SA"/>
              </w:rPr>
              <w:t>Phase exploitation</w:t>
            </w:r>
          </w:p>
        </w:tc>
      </w:tr>
      <w:tr w:rsidR="00693B36" w14:paraId="6633A204" w14:textId="77777777" w:rsidTr="00693B36">
        <w:tc>
          <w:tcPr>
            <w:cnfStyle w:val="001000000000" w:firstRow="0" w:lastRow="0" w:firstColumn="1" w:lastColumn="0" w:oddVBand="0" w:evenVBand="0" w:oddHBand="0" w:evenHBand="0" w:firstRowFirstColumn="0" w:firstRowLastColumn="0" w:lastRowFirstColumn="0" w:lastRowLastColumn="0"/>
            <w:tcW w:w="0" w:type="auto"/>
            <w:vMerge w:val="restart"/>
            <w:tcBorders>
              <w:top w:val="single" w:sz="4" w:space="0" w:color="B4C6E7"/>
              <w:left w:val="single" w:sz="4" w:space="0" w:color="B4C6E7"/>
              <w:bottom w:val="single" w:sz="4" w:space="0" w:color="B4C6E7"/>
              <w:right w:val="single" w:sz="4" w:space="0" w:color="B4C6E7"/>
            </w:tcBorders>
            <w:vAlign w:val="center"/>
            <w:hideMark/>
          </w:tcPr>
          <w:p w14:paraId="7FC066C2" w14:textId="77777777" w:rsidR="00693B36" w:rsidRDefault="00693B36">
            <w:pPr>
              <w:spacing w:before="0" w:after="0" w:line="240" w:lineRule="auto"/>
              <w:jc w:val="center"/>
              <w:rPr>
                <w:rFonts w:asciiTheme="minorHAnsi" w:hAnsiTheme="minorHAnsi" w:cstheme="minorHAnsi"/>
                <w:lang w:eastAsia="fr-FR" w:bidi="ar-SA"/>
              </w:rPr>
            </w:pPr>
            <w:r>
              <w:rPr>
                <w:rFonts w:asciiTheme="minorHAnsi" w:hAnsiTheme="minorHAnsi" w:cstheme="minorHAnsi"/>
                <w:lang w:eastAsia="fr-FR" w:bidi="ar-SA"/>
              </w:rPr>
              <w:t>Ressources humaines et suivi</w:t>
            </w:r>
          </w:p>
        </w:tc>
        <w:tc>
          <w:tcPr>
            <w:tcW w:w="0" w:type="auto"/>
            <w:tcBorders>
              <w:top w:val="single" w:sz="4" w:space="0" w:color="B4C6E7"/>
              <w:left w:val="single" w:sz="4" w:space="0" w:color="B4C6E7"/>
              <w:bottom w:val="single" w:sz="4" w:space="0" w:color="B4C6E7"/>
              <w:right w:val="single" w:sz="4" w:space="0" w:color="B4C6E7"/>
            </w:tcBorders>
            <w:hideMark/>
          </w:tcPr>
          <w:p w14:paraId="13332E8B" w14:textId="77777777" w:rsidR="00693B36" w:rsidRDefault="00693B36">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eastAsia="fr-FR" w:bidi="ar-SA"/>
              </w:rPr>
            </w:pPr>
            <w:r>
              <w:rPr>
                <w:rFonts w:asciiTheme="minorHAnsi" w:hAnsiTheme="minorHAnsi" w:cstheme="minorHAnsi"/>
                <w:lang w:eastAsia="fr-FR" w:bidi="ar-SA"/>
              </w:rPr>
              <w:t>Responsable HSSE (ONDA)</w:t>
            </w:r>
          </w:p>
        </w:tc>
        <w:tc>
          <w:tcPr>
            <w:tcW w:w="0" w:type="auto"/>
            <w:tcBorders>
              <w:top w:val="single" w:sz="4" w:space="0" w:color="B4C6E7"/>
              <w:left w:val="single" w:sz="4" w:space="0" w:color="B4C6E7"/>
              <w:bottom w:val="single" w:sz="4" w:space="0" w:color="B4C6E7"/>
              <w:right w:val="single" w:sz="4" w:space="0" w:color="B4C6E7"/>
            </w:tcBorders>
            <w:hideMark/>
          </w:tcPr>
          <w:p w14:paraId="2D8D4CF5" w14:textId="77777777" w:rsidR="00693B36" w:rsidRDefault="00693B36">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eastAsia="fr-FR" w:bidi="ar-SA"/>
              </w:rPr>
            </w:pPr>
            <w:r>
              <w:rPr>
                <w:rFonts w:asciiTheme="minorHAnsi" w:hAnsiTheme="minorHAnsi" w:cstheme="minorHAnsi"/>
                <w:lang w:eastAsia="fr-FR" w:bidi="ar-SA"/>
              </w:rPr>
              <w:t>Suivi et reporting annuel</w:t>
            </w:r>
          </w:p>
        </w:tc>
        <w:tc>
          <w:tcPr>
            <w:tcW w:w="0" w:type="auto"/>
            <w:tcBorders>
              <w:top w:val="single" w:sz="4" w:space="0" w:color="B4C6E7"/>
              <w:left w:val="single" w:sz="4" w:space="0" w:color="B4C6E7"/>
              <w:bottom w:val="single" w:sz="4" w:space="0" w:color="B4C6E7"/>
              <w:right w:val="single" w:sz="4" w:space="0" w:color="B4C6E7"/>
            </w:tcBorders>
            <w:hideMark/>
          </w:tcPr>
          <w:p w14:paraId="20CE3144" w14:textId="77777777" w:rsidR="00693B36" w:rsidRDefault="00693B36">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eastAsia="fr-FR" w:bidi="ar-SA"/>
              </w:rPr>
            </w:pPr>
            <w:r>
              <w:rPr>
                <w:rFonts w:asciiTheme="minorHAnsi" w:hAnsiTheme="minorHAnsi" w:cstheme="minorHAnsi"/>
                <w:lang w:eastAsia="fr-FR" w:bidi="ar-SA"/>
              </w:rPr>
              <w:t>Déjà mobilisé au niveau central</w:t>
            </w:r>
          </w:p>
        </w:tc>
        <w:tc>
          <w:tcPr>
            <w:tcW w:w="0" w:type="auto"/>
            <w:tcBorders>
              <w:top w:val="single" w:sz="4" w:space="0" w:color="B4C6E7"/>
              <w:left w:val="single" w:sz="4" w:space="0" w:color="B4C6E7"/>
              <w:bottom w:val="single" w:sz="4" w:space="0" w:color="B4C6E7"/>
              <w:right w:val="single" w:sz="4" w:space="0" w:color="B4C6E7"/>
            </w:tcBorders>
            <w:hideMark/>
          </w:tcPr>
          <w:p w14:paraId="2144C483" w14:textId="77777777" w:rsidR="00693B36" w:rsidRDefault="00693B36">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eastAsia="fr-FR" w:bidi="ar-SA"/>
              </w:rPr>
            </w:pPr>
            <w:r>
              <w:rPr>
                <w:rFonts w:asciiTheme="minorHAnsi" w:hAnsiTheme="minorHAnsi" w:cstheme="minorHAnsi"/>
                <w:lang w:eastAsia="fr-FR" w:bidi="ar-SA"/>
              </w:rPr>
              <w:t>ONDA</w:t>
            </w:r>
          </w:p>
        </w:tc>
      </w:tr>
      <w:tr w:rsidR="00693B36" w14:paraId="620C2E57" w14:textId="77777777" w:rsidTr="00693B36">
        <w:tc>
          <w:tcPr>
            <w:cnfStyle w:val="001000000000" w:firstRow="0" w:lastRow="0" w:firstColumn="1" w:lastColumn="0" w:oddVBand="0" w:evenVBand="0" w:oddHBand="0" w:evenHBand="0" w:firstRowFirstColumn="0" w:firstRowLastColumn="0" w:lastRowFirstColumn="0" w:lastRowLastColumn="0"/>
            <w:tcW w:w="0" w:type="auto"/>
            <w:vMerge/>
            <w:tcBorders>
              <w:top w:val="single" w:sz="4" w:space="0" w:color="B4C6E7"/>
              <w:left w:val="single" w:sz="4" w:space="0" w:color="B4C6E7"/>
              <w:bottom w:val="single" w:sz="4" w:space="0" w:color="B4C6E7"/>
              <w:right w:val="single" w:sz="4" w:space="0" w:color="B4C6E7"/>
            </w:tcBorders>
            <w:vAlign w:val="center"/>
            <w:hideMark/>
          </w:tcPr>
          <w:p w14:paraId="65DB57C8" w14:textId="77777777" w:rsidR="00693B36" w:rsidRDefault="00693B36">
            <w:pPr>
              <w:spacing w:before="0" w:after="0" w:line="240" w:lineRule="auto"/>
              <w:jc w:val="left"/>
              <w:rPr>
                <w:rFonts w:asciiTheme="minorHAnsi" w:hAnsiTheme="minorHAnsi" w:cstheme="minorHAnsi"/>
                <w:sz w:val="22"/>
                <w:lang w:eastAsia="fr-FR" w:bidi="ar-SA"/>
              </w:rPr>
            </w:pPr>
          </w:p>
        </w:tc>
        <w:tc>
          <w:tcPr>
            <w:tcW w:w="0" w:type="auto"/>
            <w:tcBorders>
              <w:top w:val="single" w:sz="4" w:space="0" w:color="B4C6E7"/>
              <w:left w:val="single" w:sz="4" w:space="0" w:color="B4C6E7"/>
              <w:bottom w:val="single" w:sz="4" w:space="0" w:color="B4C6E7"/>
              <w:right w:val="single" w:sz="4" w:space="0" w:color="B4C6E7"/>
            </w:tcBorders>
            <w:hideMark/>
          </w:tcPr>
          <w:p w14:paraId="2AC375D0" w14:textId="77777777" w:rsidR="00693B36" w:rsidRDefault="00693B36">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eastAsia="fr-FR" w:bidi="ar-SA"/>
              </w:rPr>
            </w:pPr>
            <w:r>
              <w:rPr>
                <w:rFonts w:asciiTheme="minorHAnsi" w:hAnsiTheme="minorHAnsi" w:cstheme="minorHAnsi"/>
                <w:lang w:eastAsia="fr-FR" w:bidi="ar-SA"/>
              </w:rPr>
              <w:t>Point focal HSSE</w:t>
            </w:r>
          </w:p>
        </w:tc>
        <w:tc>
          <w:tcPr>
            <w:tcW w:w="0" w:type="auto"/>
            <w:tcBorders>
              <w:top w:val="single" w:sz="4" w:space="0" w:color="B4C6E7"/>
              <w:left w:val="single" w:sz="4" w:space="0" w:color="B4C6E7"/>
              <w:bottom w:val="single" w:sz="4" w:space="0" w:color="B4C6E7"/>
              <w:right w:val="single" w:sz="4" w:space="0" w:color="B4C6E7"/>
            </w:tcBorders>
            <w:hideMark/>
          </w:tcPr>
          <w:p w14:paraId="278B8475" w14:textId="77777777" w:rsidR="00693B36" w:rsidRDefault="00693B36">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eastAsia="fr-FR" w:bidi="ar-SA"/>
              </w:rPr>
            </w:pPr>
            <w:r>
              <w:rPr>
                <w:rFonts w:asciiTheme="minorHAnsi" w:hAnsiTheme="minorHAnsi" w:cstheme="minorHAnsi"/>
                <w:lang w:eastAsia="fr-FR" w:bidi="ar-SA"/>
              </w:rPr>
              <w:t>Suivi quotidien</w:t>
            </w:r>
          </w:p>
        </w:tc>
        <w:tc>
          <w:tcPr>
            <w:tcW w:w="0" w:type="auto"/>
            <w:tcBorders>
              <w:top w:val="single" w:sz="4" w:space="0" w:color="B4C6E7"/>
              <w:left w:val="single" w:sz="4" w:space="0" w:color="B4C6E7"/>
              <w:bottom w:val="single" w:sz="4" w:space="0" w:color="B4C6E7"/>
              <w:right w:val="single" w:sz="4" w:space="0" w:color="B4C6E7"/>
            </w:tcBorders>
            <w:hideMark/>
          </w:tcPr>
          <w:p w14:paraId="2E653274" w14:textId="77777777" w:rsidR="00693B36" w:rsidRDefault="00693B36">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eastAsia="fr-FR" w:bidi="ar-SA"/>
              </w:rPr>
            </w:pPr>
            <w:r>
              <w:rPr>
                <w:rFonts w:asciiTheme="minorHAnsi" w:hAnsiTheme="minorHAnsi" w:cstheme="minorHAnsi"/>
                <w:lang w:eastAsia="fr-FR" w:bidi="ar-SA"/>
              </w:rPr>
              <w:t>Selon la grille salariale ONDA</w:t>
            </w:r>
          </w:p>
        </w:tc>
        <w:tc>
          <w:tcPr>
            <w:tcW w:w="0" w:type="auto"/>
            <w:tcBorders>
              <w:top w:val="single" w:sz="4" w:space="0" w:color="B4C6E7"/>
              <w:left w:val="single" w:sz="4" w:space="0" w:color="B4C6E7"/>
              <w:bottom w:val="single" w:sz="4" w:space="0" w:color="B4C6E7"/>
              <w:right w:val="single" w:sz="4" w:space="0" w:color="B4C6E7"/>
            </w:tcBorders>
            <w:hideMark/>
          </w:tcPr>
          <w:p w14:paraId="7B4D5D96" w14:textId="77777777" w:rsidR="00693B36" w:rsidRDefault="00693B36">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eastAsia="fr-FR" w:bidi="ar-SA"/>
              </w:rPr>
            </w:pPr>
            <w:r>
              <w:rPr>
                <w:rFonts w:asciiTheme="minorHAnsi" w:hAnsiTheme="minorHAnsi" w:cstheme="minorHAnsi"/>
                <w:lang w:eastAsia="fr-FR" w:bidi="ar-SA"/>
              </w:rPr>
              <w:t>ONDA</w:t>
            </w:r>
          </w:p>
        </w:tc>
      </w:tr>
      <w:tr w:rsidR="00693B36" w14:paraId="4432DE6C" w14:textId="77777777" w:rsidTr="00693B36">
        <w:tc>
          <w:tcPr>
            <w:cnfStyle w:val="001000000000" w:firstRow="0" w:lastRow="0" w:firstColumn="1" w:lastColumn="0" w:oddVBand="0" w:evenVBand="0" w:oddHBand="0" w:evenHBand="0" w:firstRowFirstColumn="0" w:firstRowLastColumn="0" w:lastRowFirstColumn="0" w:lastRowLastColumn="0"/>
            <w:tcW w:w="0" w:type="auto"/>
            <w:vMerge w:val="restart"/>
            <w:tcBorders>
              <w:top w:val="single" w:sz="4" w:space="0" w:color="B4C6E7"/>
              <w:left w:val="single" w:sz="4" w:space="0" w:color="B4C6E7"/>
              <w:bottom w:val="single" w:sz="4" w:space="0" w:color="B4C6E7"/>
              <w:right w:val="single" w:sz="4" w:space="0" w:color="B4C6E7"/>
            </w:tcBorders>
            <w:vAlign w:val="center"/>
            <w:hideMark/>
          </w:tcPr>
          <w:p w14:paraId="085A9A59" w14:textId="77777777" w:rsidR="00693B36" w:rsidRDefault="00693B36">
            <w:pPr>
              <w:spacing w:before="0" w:after="0" w:line="240" w:lineRule="auto"/>
              <w:jc w:val="center"/>
              <w:rPr>
                <w:rFonts w:asciiTheme="minorHAnsi" w:hAnsiTheme="minorHAnsi" w:cstheme="minorHAnsi"/>
                <w:lang w:eastAsia="fr-FR" w:bidi="ar-SA"/>
              </w:rPr>
            </w:pPr>
            <w:r>
              <w:rPr>
                <w:rFonts w:asciiTheme="minorHAnsi" w:hAnsiTheme="minorHAnsi" w:cstheme="minorHAnsi"/>
                <w:lang w:eastAsia="fr-FR" w:bidi="ar-SA"/>
              </w:rPr>
              <w:t>Gestion des déchets</w:t>
            </w:r>
          </w:p>
        </w:tc>
        <w:tc>
          <w:tcPr>
            <w:tcW w:w="0" w:type="auto"/>
            <w:tcBorders>
              <w:top w:val="single" w:sz="4" w:space="0" w:color="B4C6E7"/>
              <w:left w:val="single" w:sz="4" w:space="0" w:color="B4C6E7"/>
              <w:bottom w:val="single" w:sz="4" w:space="0" w:color="B4C6E7"/>
              <w:right w:val="single" w:sz="4" w:space="0" w:color="B4C6E7"/>
            </w:tcBorders>
            <w:hideMark/>
          </w:tcPr>
          <w:p w14:paraId="16DFFA89" w14:textId="77777777" w:rsidR="00693B36" w:rsidRDefault="00693B36">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eastAsia="fr-FR" w:bidi="ar-SA"/>
              </w:rPr>
            </w:pPr>
            <w:r>
              <w:rPr>
                <w:rFonts w:asciiTheme="minorHAnsi" w:hAnsiTheme="minorHAnsi" w:cstheme="minorHAnsi"/>
                <w:lang w:eastAsia="fr-FR" w:bidi="ar-SA"/>
              </w:rPr>
              <w:t>Collecte déchets non dangereux</w:t>
            </w:r>
          </w:p>
        </w:tc>
        <w:tc>
          <w:tcPr>
            <w:tcW w:w="0" w:type="auto"/>
            <w:tcBorders>
              <w:top w:val="single" w:sz="4" w:space="0" w:color="B4C6E7"/>
              <w:left w:val="single" w:sz="4" w:space="0" w:color="B4C6E7"/>
              <w:bottom w:val="single" w:sz="4" w:space="0" w:color="B4C6E7"/>
              <w:right w:val="single" w:sz="4" w:space="0" w:color="B4C6E7"/>
            </w:tcBorders>
            <w:hideMark/>
          </w:tcPr>
          <w:p w14:paraId="299B2812" w14:textId="77777777" w:rsidR="00693B36" w:rsidRDefault="00693B36">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eastAsia="fr-FR" w:bidi="ar-SA"/>
              </w:rPr>
            </w:pPr>
            <w:r>
              <w:rPr>
                <w:rFonts w:asciiTheme="minorHAnsi" w:hAnsiTheme="minorHAnsi" w:cstheme="minorHAnsi"/>
                <w:lang w:eastAsia="fr-FR" w:bidi="ar-SA"/>
              </w:rPr>
              <w:t>Contrat annuel</w:t>
            </w:r>
          </w:p>
        </w:tc>
        <w:tc>
          <w:tcPr>
            <w:tcW w:w="0" w:type="auto"/>
            <w:tcBorders>
              <w:top w:val="single" w:sz="4" w:space="0" w:color="B4C6E7"/>
              <w:left w:val="single" w:sz="4" w:space="0" w:color="B4C6E7"/>
              <w:bottom w:val="single" w:sz="4" w:space="0" w:color="B4C6E7"/>
              <w:right w:val="single" w:sz="4" w:space="0" w:color="B4C6E7"/>
            </w:tcBorders>
            <w:hideMark/>
          </w:tcPr>
          <w:p w14:paraId="405D0D43" w14:textId="77777777" w:rsidR="00693B36" w:rsidRDefault="00693B36">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eastAsia="fr-FR" w:bidi="ar-SA"/>
              </w:rPr>
            </w:pPr>
            <w:r>
              <w:rPr>
                <w:rFonts w:asciiTheme="minorHAnsi" w:hAnsiTheme="minorHAnsi" w:cstheme="minorHAnsi"/>
                <w:lang w:eastAsia="fr-FR" w:bidi="ar-SA"/>
              </w:rPr>
              <w:t xml:space="preserve">120 000 </w:t>
            </w:r>
          </w:p>
        </w:tc>
        <w:tc>
          <w:tcPr>
            <w:tcW w:w="0" w:type="auto"/>
            <w:tcBorders>
              <w:top w:val="single" w:sz="4" w:space="0" w:color="B4C6E7"/>
              <w:left w:val="single" w:sz="4" w:space="0" w:color="B4C6E7"/>
              <w:bottom w:val="single" w:sz="4" w:space="0" w:color="B4C6E7"/>
              <w:right w:val="single" w:sz="4" w:space="0" w:color="B4C6E7"/>
            </w:tcBorders>
            <w:hideMark/>
          </w:tcPr>
          <w:p w14:paraId="4CD28B32" w14:textId="77777777" w:rsidR="00693B36" w:rsidRDefault="00693B36">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eastAsia="fr-FR" w:bidi="ar-SA"/>
              </w:rPr>
            </w:pPr>
            <w:r>
              <w:rPr>
                <w:rFonts w:asciiTheme="minorHAnsi" w:hAnsiTheme="minorHAnsi" w:cstheme="minorHAnsi"/>
                <w:lang w:eastAsia="fr-FR" w:bidi="ar-SA"/>
              </w:rPr>
              <w:t>ONDA</w:t>
            </w:r>
          </w:p>
        </w:tc>
      </w:tr>
      <w:tr w:rsidR="00693B36" w14:paraId="2A4F7066" w14:textId="77777777" w:rsidTr="00693B36">
        <w:tc>
          <w:tcPr>
            <w:cnfStyle w:val="001000000000" w:firstRow="0" w:lastRow="0" w:firstColumn="1" w:lastColumn="0" w:oddVBand="0" w:evenVBand="0" w:oddHBand="0" w:evenHBand="0" w:firstRowFirstColumn="0" w:firstRowLastColumn="0" w:lastRowFirstColumn="0" w:lastRowLastColumn="0"/>
            <w:tcW w:w="0" w:type="auto"/>
            <w:vMerge/>
            <w:tcBorders>
              <w:top w:val="single" w:sz="4" w:space="0" w:color="B4C6E7"/>
              <w:left w:val="single" w:sz="4" w:space="0" w:color="B4C6E7"/>
              <w:bottom w:val="single" w:sz="4" w:space="0" w:color="B4C6E7"/>
              <w:right w:val="single" w:sz="4" w:space="0" w:color="B4C6E7"/>
            </w:tcBorders>
            <w:vAlign w:val="center"/>
            <w:hideMark/>
          </w:tcPr>
          <w:p w14:paraId="6E8BA63B" w14:textId="77777777" w:rsidR="00693B36" w:rsidRDefault="00693B36">
            <w:pPr>
              <w:spacing w:before="0" w:after="0" w:line="240" w:lineRule="auto"/>
              <w:jc w:val="left"/>
              <w:rPr>
                <w:rFonts w:asciiTheme="minorHAnsi" w:hAnsiTheme="minorHAnsi" w:cstheme="minorHAnsi"/>
                <w:sz w:val="22"/>
                <w:lang w:eastAsia="fr-FR" w:bidi="ar-SA"/>
              </w:rPr>
            </w:pPr>
          </w:p>
        </w:tc>
        <w:tc>
          <w:tcPr>
            <w:tcW w:w="0" w:type="auto"/>
            <w:tcBorders>
              <w:top w:val="single" w:sz="4" w:space="0" w:color="B4C6E7"/>
              <w:left w:val="single" w:sz="4" w:space="0" w:color="B4C6E7"/>
              <w:bottom w:val="single" w:sz="4" w:space="0" w:color="B4C6E7"/>
              <w:right w:val="single" w:sz="4" w:space="0" w:color="B4C6E7"/>
            </w:tcBorders>
            <w:hideMark/>
          </w:tcPr>
          <w:p w14:paraId="7E750CD5" w14:textId="77777777" w:rsidR="00693B36" w:rsidRDefault="00693B36">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eastAsia="fr-FR" w:bidi="ar-SA"/>
              </w:rPr>
            </w:pPr>
            <w:r>
              <w:rPr>
                <w:rFonts w:asciiTheme="minorHAnsi" w:hAnsiTheme="minorHAnsi" w:cstheme="minorHAnsi"/>
                <w:lang w:eastAsia="fr-FR" w:bidi="ar-SA"/>
              </w:rPr>
              <w:t>Collecte déchets dangereux</w:t>
            </w:r>
          </w:p>
        </w:tc>
        <w:tc>
          <w:tcPr>
            <w:tcW w:w="0" w:type="auto"/>
            <w:tcBorders>
              <w:top w:val="single" w:sz="4" w:space="0" w:color="B4C6E7"/>
              <w:left w:val="single" w:sz="4" w:space="0" w:color="B4C6E7"/>
              <w:bottom w:val="single" w:sz="4" w:space="0" w:color="B4C6E7"/>
              <w:right w:val="single" w:sz="4" w:space="0" w:color="B4C6E7"/>
            </w:tcBorders>
            <w:hideMark/>
          </w:tcPr>
          <w:p w14:paraId="6B7A3AB1" w14:textId="77777777" w:rsidR="00693B36" w:rsidRDefault="00693B36">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eastAsia="fr-FR" w:bidi="ar-SA"/>
              </w:rPr>
            </w:pPr>
            <w:r>
              <w:rPr>
                <w:rFonts w:asciiTheme="minorHAnsi" w:hAnsiTheme="minorHAnsi" w:cstheme="minorHAnsi"/>
                <w:lang w:eastAsia="fr-FR" w:bidi="ar-SA"/>
              </w:rPr>
              <w:t>Prestataire agréé</w:t>
            </w:r>
          </w:p>
        </w:tc>
        <w:tc>
          <w:tcPr>
            <w:tcW w:w="0" w:type="auto"/>
            <w:tcBorders>
              <w:top w:val="single" w:sz="4" w:space="0" w:color="B4C6E7"/>
              <w:left w:val="single" w:sz="4" w:space="0" w:color="B4C6E7"/>
              <w:bottom w:val="single" w:sz="4" w:space="0" w:color="B4C6E7"/>
              <w:right w:val="single" w:sz="4" w:space="0" w:color="B4C6E7"/>
            </w:tcBorders>
            <w:hideMark/>
          </w:tcPr>
          <w:p w14:paraId="4B2A871F" w14:textId="77777777" w:rsidR="00693B36" w:rsidRDefault="00693B36">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eastAsia="fr-FR" w:bidi="ar-SA"/>
              </w:rPr>
            </w:pPr>
            <w:r>
              <w:rPr>
                <w:rFonts w:asciiTheme="minorHAnsi" w:hAnsiTheme="minorHAnsi" w:cstheme="minorHAnsi"/>
                <w:lang w:eastAsia="fr-FR" w:bidi="ar-SA"/>
              </w:rPr>
              <w:t xml:space="preserve">40 000 </w:t>
            </w:r>
          </w:p>
        </w:tc>
        <w:tc>
          <w:tcPr>
            <w:tcW w:w="0" w:type="auto"/>
            <w:tcBorders>
              <w:top w:val="single" w:sz="4" w:space="0" w:color="B4C6E7"/>
              <w:left w:val="single" w:sz="4" w:space="0" w:color="B4C6E7"/>
              <w:bottom w:val="single" w:sz="4" w:space="0" w:color="B4C6E7"/>
              <w:right w:val="single" w:sz="4" w:space="0" w:color="B4C6E7"/>
            </w:tcBorders>
            <w:hideMark/>
          </w:tcPr>
          <w:p w14:paraId="398E7C9D" w14:textId="77777777" w:rsidR="00693B36" w:rsidRDefault="00693B36">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eastAsia="fr-FR" w:bidi="ar-SA"/>
              </w:rPr>
            </w:pPr>
            <w:r>
              <w:rPr>
                <w:rFonts w:asciiTheme="minorHAnsi" w:hAnsiTheme="minorHAnsi" w:cstheme="minorHAnsi"/>
                <w:lang w:eastAsia="fr-FR" w:bidi="ar-SA"/>
              </w:rPr>
              <w:t>ONDA</w:t>
            </w:r>
          </w:p>
        </w:tc>
      </w:tr>
      <w:tr w:rsidR="00693B36" w14:paraId="7F39F160" w14:textId="77777777" w:rsidTr="00693B36">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B4C6E7"/>
              <w:left w:val="single" w:sz="4" w:space="0" w:color="B4C6E7"/>
              <w:bottom w:val="single" w:sz="4" w:space="0" w:color="B4C6E7"/>
              <w:right w:val="single" w:sz="4" w:space="0" w:color="B4C6E7"/>
            </w:tcBorders>
            <w:vAlign w:val="center"/>
            <w:hideMark/>
          </w:tcPr>
          <w:p w14:paraId="4497B8F8" w14:textId="77777777" w:rsidR="00693B36" w:rsidRDefault="00693B36">
            <w:pPr>
              <w:spacing w:before="0" w:after="0" w:line="240" w:lineRule="auto"/>
              <w:jc w:val="center"/>
              <w:rPr>
                <w:rFonts w:asciiTheme="minorHAnsi" w:hAnsiTheme="minorHAnsi" w:cstheme="minorHAnsi"/>
                <w:lang w:eastAsia="fr-FR" w:bidi="ar-SA"/>
              </w:rPr>
            </w:pPr>
            <w:r>
              <w:rPr>
                <w:rFonts w:asciiTheme="minorHAnsi" w:hAnsiTheme="minorHAnsi" w:cstheme="minorHAnsi"/>
                <w:lang w:eastAsia="fr-FR" w:bidi="ar-SA"/>
              </w:rPr>
              <w:t>Formation et communication</w:t>
            </w:r>
          </w:p>
        </w:tc>
        <w:tc>
          <w:tcPr>
            <w:tcW w:w="0" w:type="auto"/>
            <w:tcBorders>
              <w:top w:val="single" w:sz="4" w:space="0" w:color="B4C6E7"/>
              <w:left w:val="single" w:sz="4" w:space="0" w:color="B4C6E7"/>
              <w:bottom w:val="single" w:sz="4" w:space="0" w:color="B4C6E7"/>
              <w:right w:val="single" w:sz="4" w:space="0" w:color="B4C6E7"/>
            </w:tcBorders>
            <w:hideMark/>
          </w:tcPr>
          <w:p w14:paraId="0B9FD99D" w14:textId="77777777" w:rsidR="00693B36" w:rsidRDefault="00693B36">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eastAsia="fr-FR" w:bidi="ar-SA"/>
              </w:rPr>
            </w:pPr>
            <w:r>
              <w:rPr>
                <w:rFonts w:asciiTheme="minorHAnsi" w:hAnsiTheme="minorHAnsi" w:cstheme="minorHAnsi"/>
                <w:lang w:eastAsia="fr-FR" w:bidi="ar-SA"/>
              </w:rPr>
              <w:t>Formation annuelle HSSE du personnel</w:t>
            </w:r>
          </w:p>
        </w:tc>
        <w:tc>
          <w:tcPr>
            <w:tcW w:w="0" w:type="auto"/>
            <w:tcBorders>
              <w:top w:val="single" w:sz="4" w:space="0" w:color="B4C6E7"/>
              <w:left w:val="single" w:sz="4" w:space="0" w:color="B4C6E7"/>
              <w:bottom w:val="single" w:sz="4" w:space="0" w:color="B4C6E7"/>
              <w:right w:val="single" w:sz="4" w:space="0" w:color="B4C6E7"/>
            </w:tcBorders>
            <w:hideMark/>
          </w:tcPr>
          <w:p w14:paraId="0E6C1582" w14:textId="77777777" w:rsidR="00693B36" w:rsidRDefault="00693B36">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eastAsia="fr-FR" w:bidi="ar-SA"/>
              </w:rPr>
            </w:pPr>
            <w:r>
              <w:rPr>
                <w:rFonts w:asciiTheme="minorHAnsi" w:hAnsiTheme="minorHAnsi" w:cstheme="minorHAnsi"/>
                <w:lang w:eastAsia="fr-FR" w:bidi="ar-SA"/>
              </w:rPr>
              <w:t>Programme interne annuel</w:t>
            </w:r>
          </w:p>
        </w:tc>
        <w:tc>
          <w:tcPr>
            <w:tcW w:w="0" w:type="auto"/>
            <w:tcBorders>
              <w:top w:val="single" w:sz="4" w:space="0" w:color="B4C6E7"/>
              <w:left w:val="single" w:sz="4" w:space="0" w:color="B4C6E7"/>
              <w:bottom w:val="single" w:sz="4" w:space="0" w:color="B4C6E7"/>
              <w:right w:val="single" w:sz="4" w:space="0" w:color="B4C6E7"/>
            </w:tcBorders>
            <w:hideMark/>
          </w:tcPr>
          <w:p w14:paraId="6381DBEA" w14:textId="77777777" w:rsidR="00693B36" w:rsidRDefault="00693B36">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eastAsia="fr-FR" w:bidi="ar-SA"/>
              </w:rPr>
            </w:pPr>
            <w:r>
              <w:rPr>
                <w:rFonts w:asciiTheme="minorHAnsi" w:hAnsiTheme="minorHAnsi" w:cstheme="minorHAnsi"/>
                <w:lang w:eastAsia="fr-FR" w:bidi="ar-SA"/>
              </w:rPr>
              <w:t>20 000</w:t>
            </w:r>
          </w:p>
        </w:tc>
        <w:tc>
          <w:tcPr>
            <w:tcW w:w="0" w:type="auto"/>
            <w:tcBorders>
              <w:top w:val="single" w:sz="4" w:space="0" w:color="B4C6E7"/>
              <w:left w:val="single" w:sz="4" w:space="0" w:color="B4C6E7"/>
              <w:bottom w:val="single" w:sz="4" w:space="0" w:color="B4C6E7"/>
              <w:right w:val="single" w:sz="4" w:space="0" w:color="B4C6E7"/>
            </w:tcBorders>
            <w:hideMark/>
          </w:tcPr>
          <w:p w14:paraId="07DE88FC" w14:textId="77777777" w:rsidR="00693B36" w:rsidRDefault="00693B36">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eastAsia="fr-FR" w:bidi="ar-SA"/>
              </w:rPr>
            </w:pPr>
            <w:r>
              <w:rPr>
                <w:rFonts w:asciiTheme="minorHAnsi" w:hAnsiTheme="minorHAnsi" w:cstheme="minorHAnsi"/>
                <w:lang w:eastAsia="fr-FR" w:bidi="ar-SA"/>
              </w:rPr>
              <w:t>ONDA</w:t>
            </w:r>
          </w:p>
        </w:tc>
      </w:tr>
      <w:tr w:rsidR="00693B36" w14:paraId="1A4D8976" w14:textId="77777777" w:rsidTr="00693B36">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B4C6E7"/>
              <w:left w:val="single" w:sz="4" w:space="0" w:color="B4C6E7"/>
              <w:bottom w:val="single" w:sz="4" w:space="0" w:color="B4C6E7"/>
              <w:right w:val="single" w:sz="4" w:space="0" w:color="B4C6E7"/>
            </w:tcBorders>
            <w:vAlign w:val="center"/>
            <w:hideMark/>
          </w:tcPr>
          <w:p w14:paraId="6CEDFB2A" w14:textId="77777777" w:rsidR="00693B36" w:rsidRDefault="00693B36">
            <w:pPr>
              <w:spacing w:before="0" w:after="0" w:line="240" w:lineRule="auto"/>
              <w:jc w:val="center"/>
              <w:rPr>
                <w:rFonts w:asciiTheme="minorHAnsi" w:hAnsiTheme="minorHAnsi" w:cstheme="minorHAnsi"/>
                <w:lang w:eastAsia="fr-FR" w:bidi="ar-SA"/>
              </w:rPr>
            </w:pPr>
            <w:r>
              <w:rPr>
                <w:rFonts w:asciiTheme="minorHAnsi" w:hAnsiTheme="minorHAnsi" w:cstheme="minorHAnsi"/>
                <w:lang w:eastAsia="fr-FR" w:bidi="ar-SA"/>
              </w:rPr>
              <w:t>Formation et communication</w:t>
            </w:r>
          </w:p>
        </w:tc>
        <w:tc>
          <w:tcPr>
            <w:tcW w:w="0" w:type="auto"/>
            <w:tcBorders>
              <w:top w:val="single" w:sz="4" w:space="0" w:color="B4C6E7"/>
              <w:left w:val="single" w:sz="4" w:space="0" w:color="B4C6E7"/>
              <w:bottom w:val="single" w:sz="4" w:space="0" w:color="B4C6E7"/>
              <w:right w:val="single" w:sz="4" w:space="0" w:color="B4C6E7"/>
            </w:tcBorders>
            <w:hideMark/>
          </w:tcPr>
          <w:p w14:paraId="00C96DE0" w14:textId="77777777" w:rsidR="00693B36" w:rsidRDefault="00693B36">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eastAsia="fr-FR" w:bidi="ar-SA"/>
              </w:rPr>
            </w:pPr>
            <w:r>
              <w:rPr>
                <w:rFonts w:asciiTheme="minorHAnsi" w:hAnsiTheme="minorHAnsi" w:cstheme="minorHAnsi"/>
                <w:lang w:eastAsia="fr-FR" w:bidi="ar-SA"/>
              </w:rPr>
              <w:t>Sensibilisation au MGP</w:t>
            </w:r>
          </w:p>
        </w:tc>
        <w:tc>
          <w:tcPr>
            <w:tcW w:w="0" w:type="auto"/>
            <w:tcBorders>
              <w:top w:val="single" w:sz="4" w:space="0" w:color="B4C6E7"/>
              <w:left w:val="single" w:sz="4" w:space="0" w:color="B4C6E7"/>
              <w:bottom w:val="single" w:sz="4" w:space="0" w:color="B4C6E7"/>
              <w:right w:val="single" w:sz="4" w:space="0" w:color="B4C6E7"/>
            </w:tcBorders>
            <w:hideMark/>
          </w:tcPr>
          <w:p w14:paraId="4A88E857" w14:textId="77777777" w:rsidR="00693B36" w:rsidRDefault="00693B36">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eastAsia="fr-FR" w:bidi="ar-SA"/>
              </w:rPr>
            </w:pPr>
            <w:r>
              <w:rPr>
                <w:rFonts w:asciiTheme="minorHAnsi" w:hAnsiTheme="minorHAnsi" w:cstheme="minorHAnsi"/>
                <w:lang w:eastAsia="fr-FR" w:bidi="ar-SA"/>
              </w:rPr>
              <w:t>Réunion communautaire annuelle</w:t>
            </w:r>
          </w:p>
        </w:tc>
        <w:tc>
          <w:tcPr>
            <w:tcW w:w="0" w:type="auto"/>
            <w:tcBorders>
              <w:top w:val="single" w:sz="4" w:space="0" w:color="B4C6E7"/>
              <w:left w:val="single" w:sz="4" w:space="0" w:color="B4C6E7"/>
              <w:bottom w:val="single" w:sz="4" w:space="0" w:color="B4C6E7"/>
              <w:right w:val="single" w:sz="4" w:space="0" w:color="B4C6E7"/>
            </w:tcBorders>
            <w:hideMark/>
          </w:tcPr>
          <w:p w14:paraId="014633C4" w14:textId="77777777" w:rsidR="00693B36" w:rsidRDefault="00693B36">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eastAsia="fr-FR" w:bidi="ar-SA"/>
              </w:rPr>
            </w:pPr>
            <w:r>
              <w:rPr>
                <w:rFonts w:asciiTheme="minorHAnsi" w:hAnsiTheme="minorHAnsi" w:cstheme="minorHAnsi"/>
                <w:lang w:eastAsia="fr-FR" w:bidi="ar-SA"/>
              </w:rPr>
              <w:t>20 000</w:t>
            </w:r>
          </w:p>
        </w:tc>
        <w:tc>
          <w:tcPr>
            <w:tcW w:w="0" w:type="auto"/>
            <w:tcBorders>
              <w:top w:val="single" w:sz="4" w:space="0" w:color="B4C6E7"/>
              <w:left w:val="single" w:sz="4" w:space="0" w:color="B4C6E7"/>
              <w:bottom w:val="single" w:sz="4" w:space="0" w:color="B4C6E7"/>
              <w:right w:val="single" w:sz="4" w:space="0" w:color="B4C6E7"/>
            </w:tcBorders>
            <w:hideMark/>
          </w:tcPr>
          <w:p w14:paraId="7D3CA331" w14:textId="77777777" w:rsidR="00693B36" w:rsidRDefault="00693B36">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eastAsia="fr-FR" w:bidi="ar-SA"/>
              </w:rPr>
            </w:pPr>
            <w:r>
              <w:rPr>
                <w:rFonts w:asciiTheme="minorHAnsi" w:hAnsiTheme="minorHAnsi" w:cstheme="minorHAnsi"/>
                <w:lang w:eastAsia="fr-FR" w:bidi="ar-SA"/>
              </w:rPr>
              <w:t>ONDA</w:t>
            </w:r>
          </w:p>
        </w:tc>
      </w:tr>
      <w:tr w:rsidR="00693B36" w14:paraId="1B06C66A" w14:textId="77777777" w:rsidTr="00693B36">
        <w:tc>
          <w:tcPr>
            <w:cnfStyle w:val="001000000000" w:firstRow="0" w:lastRow="0" w:firstColumn="1" w:lastColumn="0" w:oddVBand="0" w:evenVBand="0" w:oddHBand="0" w:evenHBand="0" w:firstRowFirstColumn="0" w:firstRowLastColumn="0" w:lastRowFirstColumn="0" w:lastRowLastColumn="0"/>
            <w:tcW w:w="0" w:type="auto"/>
            <w:vMerge w:val="restart"/>
            <w:tcBorders>
              <w:top w:val="single" w:sz="4" w:space="0" w:color="B4C6E7"/>
              <w:left w:val="single" w:sz="4" w:space="0" w:color="B4C6E7"/>
              <w:bottom w:val="single" w:sz="4" w:space="0" w:color="B4C6E7"/>
              <w:right w:val="single" w:sz="4" w:space="0" w:color="B4C6E7"/>
            </w:tcBorders>
            <w:vAlign w:val="center"/>
            <w:hideMark/>
          </w:tcPr>
          <w:p w14:paraId="2B9F4038" w14:textId="77777777" w:rsidR="00693B36" w:rsidRDefault="00693B36">
            <w:pPr>
              <w:spacing w:before="0" w:after="0" w:line="240" w:lineRule="auto"/>
              <w:jc w:val="center"/>
              <w:rPr>
                <w:rFonts w:asciiTheme="minorHAnsi" w:hAnsiTheme="minorHAnsi" w:cstheme="minorHAnsi"/>
                <w:lang w:eastAsia="fr-FR" w:bidi="ar-SA"/>
              </w:rPr>
            </w:pPr>
            <w:r>
              <w:rPr>
                <w:rFonts w:asciiTheme="minorHAnsi" w:hAnsiTheme="minorHAnsi" w:cstheme="minorHAnsi"/>
                <w:szCs w:val="20"/>
                <w:lang w:eastAsia="fr-FR" w:bidi="ar-SA"/>
              </w:rPr>
              <w:t>Suivi environnemental</w:t>
            </w:r>
          </w:p>
        </w:tc>
        <w:tc>
          <w:tcPr>
            <w:tcW w:w="0" w:type="auto"/>
            <w:tcBorders>
              <w:top w:val="single" w:sz="4" w:space="0" w:color="B4C6E7"/>
              <w:left w:val="single" w:sz="4" w:space="0" w:color="B4C6E7"/>
              <w:bottom w:val="single" w:sz="4" w:space="0" w:color="B4C6E7"/>
              <w:right w:val="single" w:sz="4" w:space="0" w:color="B4C6E7"/>
            </w:tcBorders>
            <w:hideMark/>
          </w:tcPr>
          <w:p w14:paraId="176F81B5" w14:textId="77777777" w:rsidR="00693B36" w:rsidRDefault="00693B36">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eastAsia="fr-FR" w:bidi="ar-SA"/>
              </w:rPr>
            </w:pPr>
            <w:r>
              <w:rPr>
                <w:rFonts w:asciiTheme="minorHAnsi" w:hAnsiTheme="minorHAnsi" w:cstheme="minorHAnsi"/>
                <w:lang w:eastAsia="fr-FR" w:bidi="ar-SA"/>
              </w:rPr>
              <w:t>Surveillance qualité de l’air</w:t>
            </w:r>
          </w:p>
        </w:tc>
        <w:tc>
          <w:tcPr>
            <w:tcW w:w="0" w:type="auto"/>
            <w:tcBorders>
              <w:top w:val="single" w:sz="4" w:space="0" w:color="B4C6E7"/>
              <w:left w:val="single" w:sz="4" w:space="0" w:color="B4C6E7"/>
              <w:bottom w:val="single" w:sz="4" w:space="0" w:color="B4C6E7"/>
              <w:right w:val="single" w:sz="4" w:space="0" w:color="B4C6E7"/>
            </w:tcBorders>
            <w:hideMark/>
          </w:tcPr>
          <w:p w14:paraId="2BCFBCAB" w14:textId="77777777" w:rsidR="00693B36" w:rsidRDefault="00693B36">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eastAsia="fr-FR" w:bidi="ar-SA"/>
              </w:rPr>
            </w:pPr>
            <w:r>
              <w:rPr>
                <w:rFonts w:asciiTheme="minorHAnsi" w:hAnsiTheme="minorHAnsi" w:cstheme="minorHAnsi"/>
                <w:lang w:eastAsia="fr-FR" w:bidi="ar-SA"/>
              </w:rPr>
              <w:t>Campagnes annuelles (NO₂, SO₂, PM₁₀)</w:t>
            </w:r>
          </w:p>
        </w:tc>
        <w:tc>
          <w:tcPr>
            <w:tcW w:w="0" w:type="auto"/>
            <w:tcBorders>
              <w:top w:val="single" w:sz="4" w:space="0" w:color="B4C6E7"/>
              <w:left w:val="single" w:sz="4" w:space="0" w:color="B4C6E7"/>
              <w:bottom w:val="single" w:sz="4" w:space="0" w:color="B4C6E7"/>
              <w:right w:val="single" w:sz="4" w:space="0" w:color="B4C6E7"/>
            </w:tcBorders>
            <w:hideMark/>
          </w:tcPr>
          <w:p w14:paraId="5B85C3A3" w14:textId="77777777" w:rsidR="00693B36" w:rsidRDefault="00693B36">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eastAsia="fr-FR" w:bidi="ar-SA"/>
              </w:rPr>
            </w:pPr>
            <w:r>
              <w:rPr>
                <w:rFonts w:asciiTheme="minorHAnsi" w:hAnsiTheme="minorHAnsi" w:cstheme="minorHAnsi"/>
                <w:lang w:eastAsia="fr-FR" w:bidi="ar-SA"/>
              </w:rPr>
              <w:t>25 000</w:t>
            </w:r>
          </w:p>
        </w:tc>
        <w:tc>
          <w:tcPr>
            <w:tcW w:w="0" w:type="auto"/>
            <w:tcBorders>
              <w:top w:val="single" w:sz="4" w:space="0" w:color="B4C6E7"/>
              <w:left w:val="single" w:sz="4" w:space="0" w:color="B4C6E7"/>
              <w:bottom w:val="single" w:sz="4" w:space="0" w:color="B4C6E7"/>
              <w:right w:val="single" w:sz="4" w:space="0" w:color="B4C6E7"/>
            </w:tcBorders>
            <w:hideMark/>
          </w:tcPr>
          <w:p w14:paraId="35AF240D" w14:textId="77777777" w:rsidR="00693B36" w:rsidRDefault="00693B36">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eastAsia="fr-FR" w:bidi="ar-SA"/>
              </w:rPr>
            </w:pPr>
            <w:r>
              <w:rPr>
                <w:rFonts w:asciiTheme="minorHAnsi" w:hAnsiTheme="minorHAnsi" w:cstheme="minorHAnsi"/>
                <w:lang w:eastAsia="fr-FR" w:bidi="ar-SA"/>
              </w:rPr>
              <w:t>ONDA</w:t>
            </w:r>
          </w:p>
        </w:tc>
      </w:tr>
      <w:tr w:rsidR="00693B36" w14:paraId="057A0068" w14:textId="77777777" w:rsidTr="00693B36">
        <w:tc>
          <w:tcPr>
            <w:cnfStyle w:val="001000000000" w:firstRow="0" w:lastRow="0" w:firstColumn="1" w:lastColumn="0" w:oddVBand="0" w:evenVBand="0" w:oddHBand="0" w:evenHBand="0" w:firstRowFirstColumn="0" w:firstRowLastColumn="0" w:lastRowFirstColumn="0" w:lastRowLastColumn="0"/>
            <w:tcW w:w="0" w:type="auto"/>
            <w:vMerge/>
            <w:tcBorders>
              <w:top w:val="single" w:sz="4" w:space="0" w:color="B4C6E7"/>
              <w:left w:val="single" w:sz="4" w:space="0" w:color="B4C6E7"/>
              <w:bottom w:val="single" w:sz="4" w:space="0" w:color="B4C6E7"/>
              <w:right w:val="single" w:sz="4" w:space="0" w:color="B4C6E7"/>
            </w:tcBorders>
            <w:vAlign w:val="center"/>
            <w:hideMark/>
          </w:tcPr>
          <w:p w14:paraId="6DF6931E" w14:textId="77777777" w:rsidR="00693B36" w:rsidRDefault="00693B36">
            <w:pPr>
              <w:spacing w:before="0" w:after="0" w:line="240" w:lineRule="auto"/>
              <w:jc w:val="left"/>
              <w:rPr>
                <w:rFonts w:asciiTheme="minorHAnsi" w:hAnsiTheme="minorHAnsi" w:cstheme="minorHAnsi"/>
                <w:sz w:val="22"/>
                <w:lang w:eastAsia="fr-FR" w:bidi="ar-SA"/>
              </w:rPr>
            </w:pPr>
          </w:p>
        </w:tc>
        <w:tc>
          <w:tcPr>
            <w:tcW w:w="0" w:type="auto"/>
            <w:tcBorders>
              <w:top w:val="single" w:sz="4" w:space="0" w:color="B4C6E7"/>
              <w:left w:val="single" w:sz="4" w:space="0" w:color="B4C6E7"/>
              <w:bottom w:val="single" w:sz="4" w:space="0" w:color="B4C6E7"/>
              <w:right w:val="single" w:sz="4" w:space="0" w:color="B4C6E7"/>
            </w:tcBorders>
            <w:hideMark/>
          </w:tcPr>
          <w:p w14:paraId="2776D219" w14:textId="77777777" w:rsidR="00693B36" w:rsidRDefault="00693B36">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eastAsia="fr-FR" w:bidi="ar-SA"/>
              </w:rPr>
            </w:pPr>
            <w:r>
              <w:rPr>
                <w:rFonts w:asciiTheme="minorHAnsi" w:hAnsiTheme="minorHAnsi" w:cstheme="minorHAnsi"/>
                <w:lang w:eastAsia="fr-FR" w:bidi="ar-SA"/>
              </w:rPr>
              <w:t>Mesure du bruit aéronautique</w:t>
            </w:r>
          </w:p>
        </w:tc>
        <w:tc>
          <w:tcPr>
            <w:tcW w:w="0" w:type="auto"/>
            <w:tcBorders>
              <w:top w:val="single" w:sz="4" w:space="0" w:color="B4C6E7"/>
              <w:left w:val="single" w:sz="4" w:space="0" w:color="B4C6E7"/>
              <w:bottom w:val="single" w:sz="4" w:space="0" w:color="B4C6E7"/>
              <w:right w:val="single" w:sz="4" w:space="0" w:color="B4C6E7"/>
            </w:tcBorders>
            <w:hideMark/>
          </w:tcPr>
          <w:p w14:paraId="1466C7A6" w14:textId="77777777" w:rsidR="00693B36" w:rsidRDefault="00693B36">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eastAsia="fr-FR" w:bidi="ar-SA"/>
              </w:rPr>
            </w:pPr>
            <w:r>
              <w:rPr>
                <w:rFonts w:asciiTheme="minorHAnsi" w:hAnsiTheme="minorHAnsi" w:cstheme="minorHAnsi"/>
                <w:lang w:eastAsia="fr-FR" w:bidi="ar-SA"/>
              </w:rPr>
              <w:t>Campagnes semestrielles</w:t>
            </w:r>
          </w:p>
        </w:tc>
        <w:tc>
          <w:tcPr>
            <w:tcW w:w="0" w:type="auto"/>
            <w:tcBorders>
              <w:top w:val="single" w:sz="4" w:space="0" w:color="B4C6E7"/>
              <w:left w:val="single" w:sz="4" w:space="0" w:color="B4C6E7"/>
              <w:bottom w:val="single" w:sz="4" w:space="0" w:color="B4C6E7"/>
              <w:right w:val="single" w:sz="4" w:space="0" w:color="B4C6E7"/>
            </w:tcBorders>
            <w:hideMark/>
          </w:tcPr>
          <w:p w14:paraId="4605F87B" w14:textId="77777777" w:rsidR="00693B36" w:rsidRDefault="00693B36">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eastAsia="fr-FR" w:bidi="ar-SA"/>
              </w:rPr>
            </w:pPr>
            <w:r>
              <w:rPr>
                <w:rFonts w:asciiTheme="minorHAnsi" w:hAnsiTheme="minorHAnsi" w:cstheme="minorHAnsi"/>
                <w:lang w:eastAsia="fr-FR" w:bidi="ar-SA"/>
              </w:rPr>
              <w:t>15 000</w:t>
            </w:r>
          </w:p>
        </w:tc>
        <w:tc>
          <w:tcPr>
            <w:tcW w:w="0" w:type="auto"/>
            <w:tcBorders>
              <w:top w:val="single" w:sz="4" w:space="0" w:color="B4C6E7"/>
              <w:left w:val="single" w:sz="4" w:space="0" w:color="B4C6E7"/>
              <w:bottom w:val="single" w:sz="4" w:space="0" w:color="B4C6E7"/>
              <w:right w:val="single" w:sz="4" w:space="0" w:color="B4C6E7"/>
            </w:tcBorders>
            <w:hideMark/>
          </w:tcPr>
          <w:p w14:paraId="6E1A63F8" w14:textId="77777777" w:rsidR="00693B36" w:rsidRDefault="00693B36">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eastAsia="fr-FR" w:bidi="ar-SA"/>
              </w:rPr>
            </w:pPr>
            <w:r>
              <w:rPr>
                <w:rFonts w:asciiTheme="minorHAnsi" w:hAnsiTheme="minorHAnsi" w:cstheme="minorHAnsi"/>
                <w:lang w:eastAsia="fr-FR" w:bidi="ar-SA"/>
              </w:rPr>
              <w:t>ONDA</w:t>
            </w:r>
          </w:p>
        </w:tc>
      </w:tr>
      <w:tr w:rsidR="00693B36" w14:paraId="3BB484DD" w14:textId="77777777" w:rsidTr="00693B36">
        <w:tc>
          <w:tcPr>
            <w:cnfStyle w:val="001000000000" w:firstRow="0" w:lastRow="0" w:firstColumn="1" w:lastColumn="0" w:oddVBand="0" w:evenVBand="0" w:oddHBand="0" w:evenHBand="0" w:firstRowFirstColumn="0" w:firstRowLastColumn="0" w:lastRowFirstColumn="0" w:lastRowLastColumn="0"/>
            <w:tcW w:w="0" w:type="auto"/>
            <w:vMerge/>
            <w:tcBorders>
              <w:top w:val="single" w:sz="4" w:space="0" w:color="B4C6E7"/>
              <w:left w:val="single" w:sz="4" w:space="0" w:color="B4C6E7"/>
              <w:bottom w:val="single" w:sz="4" w:space="0" w:color="B4C6E7"/>
              <w:right w:val="single" w:sz="4" w:space="0" w:color="B4C6E7"/>
            </w:tcBorders>
            <w:vAlign w:val="center"/>
            <w:hideMark/>
          </w:tcPr>
          <w:p w14:paraId="346E4B0E" w14:textId="77777777" w:rsidR="00693B36" w:rsidRDefault="00693B36">
            <w:pPr>
              <w:spacing w:before="0" w:after="0" w:line="240" w:lineRule="auto"/>
              <w:jc w:val="left"/>
              <w:rPr>
                <w:rFonts w:asciiTheme="minorHAnsi" w:hAnsiTheme="minorHAnsi" w:cstheme="minorHAnsi"/>
                <w:sz w:val="22"/>
                <w:lang w:eastAsia="fr-FR" w:bidi="ar-SA"/>
              </w:rPr>
            </w:pPr>
          </w:p>
        </w:tc>
        <w:tc>
          <w:tcPr>
            <w:tcW w:w="0" w:type="auto"/>
            <w:tcBorders>
              <w:top w:val="single" w:sz="4" w:space="0" w:color="B4C6E7"/>
              <w:left w:val="single" w:sz="4" w:space="0" w:color="B4C6E7"/>
              <w:bottom w:val="single" w:sz="4" w:space="0" w:color="B4C6E7"/>
              <w:right w:val="single" w:sz="4" w:space="0" w:color="B4C6E7"/>
            </w:tcBorders>
            <w:hideMark/>
          </w:tcPr>
          <w:p w14:paraId="0642378C" w14:textId="77777777" w:rsidR="00693B36" w:rsidRDefault="00693B36">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eastAsia="fr-FR" w:bidi="ar-SA"/>
              </w:rPr>
            </w:pPr>
            <w:r>
              <w:rPr>
                <w:rFonts w:asciiTheme="minorHAnsi" w:hAnsiTheme="minorHAnsi" w:cstheme="minorHAnsi"/>
                <w:lang w:eastAsia="fr-FR" w:bidi="ar-SA"/>
              </w:rPr>
              <w:t>Suivi biodiversité / paysage</w:t>
            </w:r>
          </w:p>
        </w:tc>
        <w:tc>
          <w:tcPr>
            <w:tcW w:w="0" w:type="auto"/>
            <w:tcBorders>
              <w:top w:val="single" w:sz="4" w:space="0" w:color="B4C6E7"/>
              <w:left w:val="single" w:sz="4" w:space="0" w:color="B4C6E7"/>
              <w:bottom w:val="single" w:sz="4" w:space="0" w:color="B4C6E7"/>
              <w:right w:val="single" w:sz="4" w:space="0" w:color="B4C6E7"/>
            </w:tcBorders>
            <w:hideMark/>
          </w:tcPr>
          <w:p w14:paraId="3559B912" w14:textId="77777777" w:rsidR="00693B36" w:rsidRDefault="00693B36">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eastAsia="fr-FR" w:bidi="ar-SA"/>
              </w:rPr>
            </w:pPr>
            <w:r>
              <w:rPr>
                <w:rFonts w:asciiTheme="minorHAnsi" w:hAnsiTheme="minorHAnsi" w:cstheme="minorHAnsi"/>
                <w:lang w:eastAsia="fr-FR" w:bidi="ar-SA"/>
              </w:rPr>
              <w:t>Inspection semestrielle</w:t>
            </w:r>
          </w:p>
        </w:tc>
        <w:tc>
          <w:tcPr>
            <w:tcW w:w="0" w:type="auto"/>
            <w:tcBorders>
              <w:top w:val="single" w:sz="4" w:space="0" w:color="B4C6E7"/>
              <w:left w:val="single" w:sz="4" w:space="0" w:color="B4C6E7"/>
              <w:bottom w:val="single" w:sz="4" w:space="0" w:color="B4C6E7"/>
              <w:right w:val="single" w:sz="4" w:space="0" w:color="B4C6E7"/>
            </w:tcBorders>
            <w:hideMark/>
          </w:tcPr>
          <w:p w14:paraId="4E1DBEC1" w14:textId="77777777" w:rsidR="00693B36" w:rsidRDefault="00693B36">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eastAsia="fr-FR" w:bidi="ar-SA"/>
              </w:rPr>
            </w:pPr>
            <w:r>
              <w:rPr>
                <w:rFonts w:asciiTheme="minorHAnsi" w:hAnsiTheme="minorHAnsi" w:cstheme="minorHAnsi"/>
                <w:lang w:eastAsia="fr-FR" w:bidi="ar-SA"/>
              </w:rPr>
              <w:t>10 000</w:t>
            </w:r>
          </w:p>
        </w:tc>
        <w:tc>
          <w:tcPr>
            <w:tcW w:w="0" w:type="auto"/>
            <w:tcBorders>
              <w:top w:val="single" w:sz="4" w:space="0" w:color="B4C6E7"/>
              <w:left w:val="single" w:sz="4" w:space="0" w:color="B4C6E7"/>
              <w:bottom w:val="single" w:sz="4" w:space="0" w:color="B4C6E7"/>
              <w:right w:val="single" w:sz="4" w:space="0" w:color="B4C6E7"/>
            </w:tcBorders>
            <w:hideMark/>
          </w:tcPr>
          <w:p w14:paraId="662BDC6F" w14:textId="77777777" w:rsidR="00693B36" w:rsidRDefault="00693B36">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eastAsia="fr-FR" w:bidi="ar-SA"/>
              </w:rPr>
            </w:pPr>
            <w:r>
              <w:rPr>
                <w:rFonts w:asciiTheme="minorHAnsi" w:hAnsiTheme="minorHAnsi" w:cstheme="minorHAnsi"/>
                <w:lang w:eastAsia="fr-FR" w:bidi="ar-SA"/>
              </w:rPr>
              <w:t>ONDA</w:t>
            </w:r>
          </w:p>
        </w:tc>
      </w:tr>
      <w:tr w:rsidR="00693B36" w14:paraId="6C0FC3F9" w14:textId="77777777" w:rsidTr="00693B36">
        <w:tc>
          <w:tcPr>
            <w:cnfStyle w:val="001000000000" w:firstRow="0" w:lastRow="0" w:firstColumn="1" w:lastColumn="0" w:oddVBand="0" w:evenVBand="0" w:oddHBand="0" w:evenHBand="0" w:firstRowFirstColumn="0" w:firstRowLastColumn="0" w:lastRowFirstColumn="0" w:lastRowLastColumn="0"/>
            <w:tcW w:w="0" w:type="auto"/>
            <w:gridSpan w:val="5"/>
            <w:tcBorders>
              <w:top w:val="single" w:sz="4" w:space="0" w:color="B4C6E7"/>
              <w:left w:val="single" w:sz="4" w:space="0" w:color="B4C6E7"/>
              <w:bottom w:val="single" w:sz="4" w:space="0" w:color="B4C6E7"/>
              <w:right w:val="single" w:sz="4" w:space="0" w:color="B4C6E7"/>
            </w:tcBorders>
            <w:vAlign w:val="center"/>
            <w:hideMark/>
          </w:tcPr>
          <w:p w14:paraId="1759D367" w14:textId="77777777" w:rsidR="00693B36" w:rsidRDefault="00693B36">
            <w:pPr>
              <w:spacing w:before="0" w:after="0" w:line="240" w:lineRule="auto"/>
              <w:jc w:val="center"/>
              <w:rPr>
                <w:rFonts w:asciiTheme="minorHAnsi" w:hAnsiTheme="minorHAnsi" w:cstheme="minorHAnsi"/>
                <w:lang w:eastAsia="fr-FR" w:bidi="ar-SA"/>
              </w:rPr>
            </w:pPr>
            <w:r>
              <w:rPr>
                <w:rFonts w:asciiTheme="minorHAnsi" w:hAnsiTheme="minorHAnsi" w:cstheme="minorHAnsi"/>
                <w:lang w:eastAsia="fr-FR" w:bidi="ar-SA"/>
              </w:rPr>
              <w:t>Coût général des coûts du PGES en phase d’exploitation : 250 000 MAD</w:t>
            </w:r>
          </w:p>
        </w:tc>
      </w:tr>
    </w:tbl>
    <w:p w14:paraId="16FB5C7F" w14:textId="77777777" w:rsidR="00862C9D" w:rsidRDefault="00862C9D" w:rsidP="00862C9D"/>
    <w:p w14:paraId="37C72676" w14:textId="251FF816" w:rsidR="00862C9D" w:rsidRDefault="00862C9D" w:rsidP="00492F37">
      <w:pPr>
        <w:sectPr w:rsidR="00862C9D" w:rsidSect="00862C9D">
          <w:headerReference w:type="default" r:id="rId19"/>
          <w:footerReference w:type="default" r:id="rId20"/>
          <w:pgSz w:w="11906" w:h="16838"/>
          <w:pgMar w:top="1417" w:right="1417" w:bottom="1276" w:left="1417" w:header="680" w:footer="680" w:gutter="0"/>
          <w:cols w:space="708"/>
          <w:docGrid w:linePitch="360"/>
        </w:sectPr>
      </w:pPr>
    </w:p>
    <w:p w14:paraId="12427214" w14:textId="4BC5DF7D" w:rsidR="00834214" w:rsidRDefault="00834214">
      <w:pPr>
        <w:pStyle w:val="Title1"/>
        <w:ind w:left="723"/>
      </w:pPr>
      <w:bookmarkStart w:id="65" w:name="_Toc214025154"/>
      <w:bookmarkStart w:id="66" w:name="_Toc215131789"/>
      <w:bookmarkEnd w:id="65"/>
      <w:r w:rsidRPr="008612D4">
        <w:lastRenderedPageBreak/>
        <w:t>Introduction</w:t>
      </w:r>
      <w:bookmarkEnd w:id="66"/>
    </w:p>
    <w:p w14:paraId="1A1F3219" w14:textId="77777777" w:rsidR="00834214" w:rsidRPr="008612D4" w:rsidRDefault="00834214" w:rsidP="00834214">
      <w:pPr>
        <w:spacing w:before="240"/>
      </w:pPr>
      <w:r w:rsidRPr="008612D4">
        <w:t>Le développement durable est un choix de développement auquel le Maroc a souscrit au même titre que la communauté internationale. Un choix dicté au niveau national, non seulement par la rationalisation de la gestion des ressources, gage du développement socio-économique futur du pays, mais également et surtout en raison d’un souci d’amélioration continue de la qualité de vie du citoyen marocain. Le droit à un environnement sain est de ce fait un principe fondamental de la politique nationale en matière de gestion de l’environnement.</w:t>
      </w:r>
    </w:p>
    <w:p w14:paraId="39D1B1D7" w14:textId="77777777" w:rsidR="00834214" w:rsidRPr="008612D4" w:rsidRDefault="00834214" w:rsidP="00834214">
      <w:r w:rsidRPr="008612D4">
        <w:t xml:space="preserve">Face à l’ampleur des problèmes environnementaux, et l’importance des investissements requis, le Maroc s’est résolument engagé dans un processus de maîtrise des problèmes environnementaux dans le cadre d’une politique intégrée et efficiente. </w:t>
      </w:r>
    </w:p>
    <w:p w14:paraId="3CA046E5" w14:textId="77777777" w:rsidR="00834214" w:rsidRPr="008612D4" w:rsidRDefault="00834214" w:rsidP="00834214">
      <w:r w:rsidRPr="008612D4">
        <w:t xml:space="preserve">L’Office National Des Aéroports (ONDA), tout en inscrivant ses actions dans une perspective de développement durable, a fait de la prise en compte de l’environnement à des stades de planification, études, travaux et exploitation, une priorité dans l’ensemble des actions </w:t>
      </w:r>
      <w:r>
        <w:t xml:space="preserve">que l’Office </w:t>
      </w:r>
      <w:r w:rsidRPr="008612D4">
        <w:t>mène.</w:t>
      </w:r>
    </w:p>
    <w:p w14:paraId="6BCC8519" w14:textId="61B8EAB5" w:rsidR="00834214" w:rsidRPr="008612D4" w:rsidRDefault="00834214" w:rsidP="00834214">
      <w:r w:rsidRPr="008612D4">
        <w:t xml:space="preserve">Dans l’objectif de répondre aux besoins induit par l’augmentation croissante du trafic passagers, l'Office National Des Aéroports (ONDA) s’est lancé dans un programme de développement et de modernisation des plateformes aéroportuaires dont celui </w:t>
      </w:r>
      <w:r w:rsidR="00ED2E47">
        <w:t>de Marrakech</w:t>
      </w:r>
      <w:r w:rsidRPr="008612D4">
        <w:t xml:space="preserve">. </w:t>
      </w:r>
    </w:p>
    <w:p w14:paraId="2D91697C" w14:textId="47703954" w:rsidR="000B2BBF" w:rsidRDefault="000B2BBF" w:rsidP="000B2BBF">
      <w:r>
        <w:t xml:space="preserve">La présente Étude d’Impact Environnemental et Social (EIES) porte exclusivement sur les composantes du projet d’extension de l’aéroport </w:t>
      </w:r>
      <w:r w:rsidR="00ED2E47">
        <w:t>de Marrakech – Ménara</w:t>
      </w:r>
      <w:r>
        <w:t xml:space="preserve"> qui feront l’objet d’un financement par la Banque Africaine de Développement (BAD).</w:t>
      </w:r>
    </w:p>
    <w:p w14:paraId="16C1129C" w14:textId="77777777" w:rsidR="000B2BBF" w:rsidRDefault="000B2BBF" w:rsidP="000B2BBF">
      <w:r>
        <w:t>Ces composantes concernent spécifiquement :</w:t>
      </w:r>
    </w:p>
    <w:p w14:paraId="3C1AA0A5" w14:textId="3DE33575" w:rsidR="000B2BBF" w:rsidRDefault="00ED2E47" w:rsidP="000B2BBF">
      <w:pPr>
        <w:pStyle w:val="Tirets"/>
        <w:ind w:left="567"/>
      </w:pPr>
      <w:r>
        <w:t>La</w:t>
      </w:r>
      <w:r w:rsidR="000B2BBF">
        <w:t xml:space="preserve"> réalisation du nouveau parking avion et des voies de circulation aéronautiques associées,</w:t>
      </w:r>
    </w:p>
    <w:p w14:paraId="4DA0F782" w14:textId="558BF74A" w:rsidR="000B2BBF" w:rsidRDefault="00ED2E47" w:rsidP="000B2BBF">
      <w:pPr>
        <w:pStyle w:val="Tirets"/>
        <w:ind w:left="567"/>
      </w:pPr>
      <w:r>
        <w:t>La</w:t>
      </w:r>
      <w:r w:rsidR="000B2BBF">
        <w:t xml:space="preserve"> mise en œuvre du balisage lumineux (feux de guidage des avions entre la piste et les parkings),</w:t>
      </w:r>
    </w:p>
    <w:p w14:paraId="7EF1CADD" w14:textId="15D7D7B5" w:rsidR="000B2BBF" w:rsidRDefault="00ED2E47" w:rsidP="005A7661">
      <w:pPr>
        <w:pStyle w:val="Tirets"/>
        <w:ind w:left="567"/>
      </w:pPr>
      <w:r>
        <w:t>L’éclairage</w:t>
      </w:r>
      <w:r w:rsidR="000B2BBF">
        <w:t xml:space="preserve"> des parkings avions </w:t>
      </w:r>
      <w:r>
        <w:t>à grands mâts,</w:t>
      </w:r>
    </w:p>
    <w:p w14:paraId="5E17BB99" w14:textId="4D092879" w:rsidR="000B2BBF" w:rsidRDefault="00ED2E47" w:rsidP="004637C7">
      <w:pPr>
        <w:pStyle w:val="Tirets"/>
        <w:ind w:left="567"/>
      </w:pPr>
      <w:r>
        <w:t>Ainsi</w:t>
      </w:r>
      <w:r w:rsidR="000B2BBF">
        <w:t xml:space="preserve"> que l’installation des équipements de sûreté et de mobilité interne (systèmes EDS, portiques, escalators, trottoirs roulants, etc.).</w:t>
      </w:r>
    </w:p>
    <w:p w14:paraId="4EB4F961" w14:textId="14DB8395" w:rsidR="00785832" w:rsidRDefault="000B2BBF" w:rsidP="000B2BBF">
      <w:r>
        <w:t xml:space="preserve">Ces éléments constituent un lot technique distinct, intégré dans le programme global d’aménagement et de modernisation de l’aéroport </w:t>
      </w:r>
      <w:r w:rsidR="00ED2E47">
        <w:t>de Marrakech Ménara</w:t>
      </w:r>
      <w:r>
        <w:t>, piloté par l’ONDA.</w:t>
      </w:r>
    </w:p>
    <w:p w14:paraId="523445B6" w14:textId="6940053B" w:rsidR="000B2BBF" w:rsidRDefault="000B2BBF" w:rsidP="000B2BBF">
      <w:r>
        <w:t>Les autres composantes du programme, notamment l’extension et le réaménagement du terminal passagers, la construction de la nouvelle tour de contrôle, la démolition et reconstruction des bâtiments techniques, ainsi que les aménagements extérieurs, ne sont pas incluses dans le périmètre de la présente étude, car elles ne font pas partie du financement BAD.</w:t>
      </w:r>
    </w:p>
    <w:p w14:paraId="4641953D" w14:textId="7FD477DB" w:rsidR="00834214" w:rsidRPr="008612D4" w:rsidRDefault="000B2BBF" w:rsidP="00834214">
      <w:r w:rsidRPr="000B2BBF">
        <w:t>La présente EIES évalue donc les impacts et risques environnementaux et sociaux relatifs aux composantes financées par la BAD,</w:t>
      </w:r>
      <w:r>
        <w:t xml:space="preserve"> </w:t>
      </w:r>
      <w:r w:rsidR="00834214" w:rsidRPr="008612D4">
        <w:t>en tenant compte de :</w:t>
      </w:r>
    </w:p>
    <w:p w14:paraId="5D0722D2" w14:textId="1C1CCCC5" w:rsidR="00834214" w:rsidRDefault="00834214" w:rsidP="00834214">
      <w:pPr>
        <w:pStyle w:val="Style1"/>
        <w:spacing w:before="120" w:after="120"/>
        <w:ind w:left="1040"/>
      </w:pPr>
      <w:r w:rsidRPr="008612D4">
        <w:t>La règlementation marocaine environnementale et plus spécifiquement les exigences de la loi 12-03</w:t>
      </w:r>
      <w:r>
        <w:t xml:space="preserve"> </w:t>
      </w:r>
      <w:r w:rsidRPr="008612D4">
        <w:t>relative aux études d’impact sur l’environnement</w:t>
      </w:r>
      <w:r>
        <w:t xml:space="preserve"> et l’évaluation environnementale ; </w:t>
      </w:r>
    </w:p>
    <w:p w14:paraId="75CFAE13" w14:textId="77777777" w:rsidR="00834214" w:rsidRPr="008612D4" w:rsidRDefault="00834214" w:rsidP="00834214">
      <w:pPr>
        <w:pStyle w:val="Style1"/>
        <w:spacing w:before="120" w:after="120"/>
        <w:ind w:left="1040"/>
      </w:pPr>
      <w:r w:rsidRPr="008612D4">
        <w:t>Les termes de référence développés par l’ONDA ;</w:t>
      </w:r>
    </w:p>
    <w:p w14:paraId="3B55FC4C" w14:textId="77777777" w:rsidR="00834214" w:rsidRPr="00CF0526" w:rsidRDefault="00834214" w:rsidP="00834214">
      <w:pPr>
        <w:pStyle w:val="Style1"/>
        <w:spacing w:before="120" w:after="120"/>
        <w:ind w:left="1040"/>
      </w:pPr>
      <w:r w:rsidRPr="00CF0526">
        <w:lastRenderedPageBreak/>
        <w:t>Les orientations adoptées par l’ONDA dans le cadre de l’exercice de ses activités</w:t>
      </w:r>
      <w:r>
        <w:t> ;</w:t>
      </w:r>
    </w:p>
    <w:p w14:paraId="6CBCD0F0" w14:textId="77777777" w:rsidR="00834214" w:rsidRPr="00CF0526" w:rsidRDefault="00834214" w:rsidP="00834214">
      <w:pPr>
        <w:pStyle w:val="Style1"/>
        <w:spacing w:before="120" w:after="120"/>
        <w:ind w:left="1040"/>
      </w:pPr>
      <w:r w:rsidRPr="00CF0526">
        <w:t>Les Exigences et critères des bailleurs de fonds en matière d’évaluation environnementale.</w:t>
      </w:r>
    </w:p>
    <w:p w14:paraId="22A88585" w14:textId="74EC10A9" w:rsidR="00834214" w:rsidRPr="008612D4" w:rsidRDefault="00834214" w:rsidP="00834214">
      <w:r w:rsidRPr="008612D4">
        <w:t>L’objectif principal de cette étude, est d’arriver à un projet optimal sur le plan environnemental tout en respectant les impératifs techniques et économiques associés à sa réalisation.</w:t>
      </w:r>
    </w:p>
    <w:p w14:paraId="3616FC62" w14:textId="16EBFB9C" w:rsidR="00834214" w:rsidRPr="008612D4" w:rsidRDefault="00834214" w:rsidP="00834214">
      <w:r>
        <w:t xml:space="preserve">Cette étude est scindée en </w:t>
      </w:r>
      <w:r w:rsidR="00ED2E47">
        <w:t>8</w:t>
      </w:r>
      <w:r w:rsidRPr="008612D4">
        <w:t xml:space="preserve"> parties</w:t>
      </w:r>
      <w:r w:rsidR="00ED2E47">
        <w:t>, plus une dédiée aux annexes</w:t>
      </w:r>
      <w:r w:rsidRPr="008612D4">
        <w:t> :</w:t>
      </w:r>
    </w:p>
    <w:p w14:paraId="0B68F1E4" w14:textId="2CDC7886" w:rsidR="003668E5" w:rsidRDefault="003668E5" w:rsidP="00834214">
      <w:pPr>
        <w:spacing w:before="0" w:after="0" w:line="360" w:lineRule="auto"/>
        <w:ind w:firstLine="708"/>
        <w:rPr>
          <w:rFonts w:ascii="Century Gothic" w:hAnsi="Century Gothic"/>
          <w:color w:val="0028A8"/>
        </w:rPr>
      </w:pPr>
      <w:r>
        <w:rPr>
          <w:rFonts w:ascii="Century Gothic" w:hAnsi="Century Gothic"/>
          <w:color w:val="0028A8"/>
        </w:rPr>
        <w:t xml:space="preserve">Partie 1 : Résumé </w:t>
      </w:r>
      <w:r w:rsidR="008637EF">
        <w:rPr>
          <w:rFonts w:ascii="Century Gothic" w:hAnsi="Century Gothic"/>
          <w:color w:val="0028A8"/>
        </w:rPr>
        <w:t>exécutif</w:t>
      </w:r>
    </w:p>
    <w:p w14:paraId="7A4D51D6" w14:textId="45271684" w:rsidR="000B2BBF" w:rsidRDefault="000B2BBF" w:rsidP="00834214">
      <w:pPr>
        <w:spacing w:before="0" w:after="0" w:line="360" w:lineRule="auto"/>
        <w:ind w:firstLine="708"/>
        <w:rPr>
          <w:rFonts w:ascii="Century Gothic" w:hAnsi="Century Gothic"/>
          <w:color w:val="0028A8"/>
        </w:rPr>
      </w:pPr>
      <w:r>
        <w:rPr>
          <w:rFonts w:ascii="Century Gothic" w:hAnsi="Century Gothic"/>
          <w:color w:val="0028A8"/>
        </w:rPr>
        <w:t>Partie 2 : Introduction</w:t>
      </w:r>
    </w:p>
    <w:p w14:paraId="7EC2FF43" w14:textId="3064EE47" w:rsidR="00834214" w:rsidRPr="00E72AF6" w:rsidRDefault="00834214" w:rsidP="00834214">
      <w:pPr>
        <w:spacing w:before="0" w:after="0" w:line="360" w:lineRule="auto"/>
        <w:ind w:firstLine="708"/>
        <w:rPr>
          <w:rFonts w:ascii="Century Gothic" w:hAnsi="Century Gothic"/>
          <w:color w:val="0028A8"/>
        </w:rPr>
      </w:pPr>
      <w:r w:rsidRPr="00E72AF6">
        <w:rPr>
          <w:rFonts w:ascii="Century Gothic" w:hAnsi="Century Gothic"/>
          <w:color w:val="0028A8"/>
        </w:rPr>
        <w:t xml:space="preserve">Partie </w:t>
      </w:r>
      <w:r w:rsidR="003668E5">
        <w:rPr>
          <w:rFonts w:ascii="Century Gothic" w:hAnsi="Century Gothic"/>
          <w:color w:val="0028A8"/>
        </w:rPr>
        <w:t>3</w:t>
      </w:r>
      <w:r w:rsidRPr="00E72AF6">
        <w:rPr>
          <w:rFonts w:ascii="Century Gothic" w:hAnsi="Century Gothic"/>
          <w:color w:val="0028A8"/>
        </w:rPr>
        <w:t xml:space="preserve"> : </w:t>
      </w:r>
      <w:r w:rsidR="00E92325">
        <w:rPr>
          <w:rFonts w:ascii="Century Gothic" w:hAnsi="Century Gothic"/>
          <w:color w:val="0028A8"/>
        </w:rPr>
        <w:t>Cadre juridique, stratégique et institutionnel</w:t>
      </w:r>
    </w:p>
    <w:p w14:paraId="19C7AB86" w14:textId="71A8C759" w:rsidR="00834214" w:rsidRPr="00E72AF6" w:rsidRDefault="00834214" w:rsidP="00834214">
      <w:pPr>
        <w:spacing w:before="0" w:after="0" w:line="360" w:lineRule="auto"/>
        <w:ind w:firstLine="708"/>
        <w:rPr>
          <w:rFonts w:ascii="Century Gothic" w:hAnsi="Century Gothic"/>
          <w:color w:val="0028A8"/>
        </w:rPr>
      </w:pPr>
      <w:r w:rsidRPr="00E72AF6">
        <w:rPr>
          <w:rFonts w:ascii="Century Gothic" w:hAnsi="Century Gothic"/>
          <w:color w:val="0028A8"/>
        </w:rPr>
        <w:t xml:space="preserve">Partie </w:t>
      </w:r>
      <w:r w:rsidR="003668E5">
        <w:rPr>
          <w:rFonts w:ascii="Century Gothic" w:hAnsi="Century Gothic"/>
          <w:color w:val="0028A8"/>
        </w:rPr>
        <w:t>4</w:t>
      </w:r>
      <w:r w:rsidRPr="00E72AF6">
        <w:rPr>
          <w:rFonts w:ascii="Century Gothic" w:hAnsi="Century Gothic"/>
          <w:color w:val="0028A8"/>
        </w:rPr>
        <w:t xml:space="preserve"> : </w:t>
      </w:r>
      <w:r w:rsidR="00E92325">
        <w:rPr>
          <w:rFonts w:ascii="Century Gothic" w:hAnsi="Century Gothic"/>
          <w:color w:val="0028A8"/>
        </w:rPr>
        <w:t>Analyses des alternatives</w:t>
      </w:r>
    </w:p>
    <w:p w14:paraId="4BFF90A5" w14:textId="4D02C714" w:rsidR="00154657" w:rsidRDefault="00834214" w:rsidP="00834214">
      <w:pPr>
        <w:spacing w:before="0" w:after="0" w:line="360" w:lineRule="auto"/>
        <w:ind w:firstLine="708"/>
        <w:rPr>
          <w:rFonts w:ascii="Century Gothic" w:hAnsi="Century Gothic"/>
          <w:color w:val="0028A8"/>
        </w:rPr>
      </w:pPr>
      <w:r w:rsidRPr="00E72AF6">
        <w:rPr>
          <w:rFonts w:ascii="Century Gothic" w:hAnsi="Century Gothic"/>
          <w:color w:val="0028A8"/>
        </w:rPr>
        <w:t xml:space="preserve">Partie </w:t>
      </w:r>
      <w:r w:rsidR="003668E5">
        <w:rPr>
          <w:rFonts w:ascii="Century Gothic" w:hAnsi="Century Gothic"/>
          <w:color w:val="0028A8"/>
        </w:rPr>
        <w:t>5</w:t>
      </w:r>
      <w:r w:rsidRPr="00E72AF6">
        <w:rPr>
          <w:rFonts w:ascii="Century Gothic" w:hAnsi="Century Gothic"/>
          <w:color w:val="0028A8"/>
        </w:rPr>
        <w:t xml:space="preserve"> : </w:t>
      </w:r>
      <w:r w:rsidR="00E92325">
        <w:rPr>
          <w:rFonts w:ascii="Century Gothic" w:hAnsi="Century Gothic"/>
          <w:color w:val="0028A8"/>
        </w:rPr>
        <w:t>Description et Justification du projet</w:t>
      </w:r>
    </w:p>
    <w:p w14:paraId="47F987C8" w14:textId="3A636D82" w:rsidR="00E92325" w:rsidRDefault="00E92325" w:rsidP="00834214">
      <w:pPr>
        <w:spacing w:before="0" w:after="0" w:line="360" w:lineRule="auto"/>
        <w:ind w:firstLine="708"/>
        <w:rPr>
          <w:rFonts w:ascii="Century Gothic" w:hAnsi="Century Gothic"/>
          <w:color w:val="0028A8"/>
        </w:rPr>
      </w:pPr>
      <w:r>
        <w:rPr>
          <w:rFonts w:ascii="Century Gothic" w:hAnsi="Century Gothic"/>
          <w:color w:val="0028A8"/>
        </w:rPr>
        <w:t>Partie 6 : Description de l’état de référence des milieux</w:t>
      </w:r>
    </w:p>
    <w:p w14:paraId="7D87AA06" w14:textId="235A4787" w:rsidR="00E078E4" w:rsidRPr="00E72AF6" w:rsidRDefault="00E078E4" w:rsidP="00834214">
      <w:pPr>
        <w:spacing w:before="0" w:after="0" w:line="360" w:lineRule="auto"/>
        <w:ind w:firstLine="708"/>
        <w:rPr>
          <w:rFonts w:ascii="Century Gothic" w:hAnsi="Century Gothic"/>
          <w:color w:val="0028A8"/>
        </w:rPr>
      </w:pPr>
      <w:r>
        <w:rPr>
          <w:rFonts w:ascii="Century Gothic" w:hAnsi="Century Gothic"/>
          <w:color w:val="0028A8"/>
        </w:rPr>
        <w:t>Partie 7 : Consultation des parties prenantes</w:t>
      </w:r>
    </w:p>
    <w:p w14:paraId="0B2CC1D8" w14:textId="624EA287" w:rsidR="00834214" w:rsidRPr="00E72AF6" w:rsidRDefault="00834214" w:rsidP="00834214">
      <w:pPr>
        <w:spacing w:before="0" w:after="0" w:line="360" w:lineRule="auto"/>
        <w:ind w:firstLine="708"/>
        <w:rPr>
          <w:rFonts w:ascii="Century Gothic" w:hAnsi="Century Gothic"/>
          <w:color w:val="0028A8"/>
        </w:rPr>
      </w:pPr>
      <w:r w:rsidRPr="00E72AF6">
        <w:rPr>
          <w:rFonts w:ascii="Century Gothic" w:hAnsi="Century Gothic"/>
          <w:color w:val="0028A8"/>
        </w:rPr>
        <w:t xml:space="preserve">Partie </w:t>
      </w:r>
      <w:r w:rsidR="00E078E4">
        <w:rPr>
          <w:rFonts w:ascii="Century Gothic" w:hAnsi="Century Gothic"/>
          <w:color w:val="0028A8"/>
        </w:rPr>
        <w:t>8</w:t>
      </w:r>
      <w:r w:rsidRPr="00E72AF6">
        <w:rPr>
          <w:rFonts w:ascii="Century Gothic" w:hAnsi="Century Gothic"/>
          <w:color w:val="0028A8"/>
        </w:rPr>
        <w:t xml:space="preserve"> : </w:t>
      </w:r>
      <w:r w:rsidR="00E92325">
        <w:rPr>
          <w:rFonts w:ascii="Century Gothic" w:hAnsi="Century Gothic"/>
          <w:color w:val="0028A8"/>
        </w:rPr>
        <w:t>Impacts environnementaux et sociaux</w:t>
      </w:r>
      <w:r w:rsidR="004E045A">
        <w:rPr>
          <w:rFonts w:ascii="Century Gothic" w:hAnsi="Century Gothic"/>
          <w:color w:val="0028A8"/>
        </w:rPr>
        <w:t xml:space="preserve"> et mesures d’atténuation</w:t>
      </w:r>
    </w:p>
    <w:p w14:paraId="4F153337" w14:textId="7DBE0668" w:rsidR="00834214" w:rsidRPr="00E72AF6" w:rsidRDefault="00834214" w:rsidP="00834214">
      <w:pPr>
        <w:spacing w:before="0" w:after="0" w:line="360" w:lineRule="auto"/>
        <w:ind w:firstLine="708"/>
        <w:rPr>
          <w:rFonts w:ascii="Century Gothic" w:hAnsi="Century Gothic"/>
          <w:color w:val="0028A8"/>
        </w:rPr>
      </w:pPr>
      <w:r w:rsidRPr="00E72AF6">
        <w:rPr>
          <w:rFonts w:ascii="Century Gothic" w:hAnsi="Century Gothic"/>
          <w:color w:val="0028A8"/>
        </w:rPr>
        <w:t xml:space="preserve">Partie </w:t>
      </w:r>
      <w:r w:rsidR="00E078E4">
        <w:rPr>
          <w:rFonts w:ascii="Century Gothic" w:hAnsi="Century Gothic"/>
          <w:color w:val="0028A8"/>
        </w:rPr>
        <w:t>9</w:t>
      </w:r>
      <w:r w:rsidRPr="00E72AF6">
        <w:rPr>
          <w:rFonts w:ascii="Century Gothic" w:hAnsi="Century Gothic"/>
          <w:color w:val="0028A8"/>
        </w:rPr>
        <w:t xml:space="preserve"> : </w:t>
      </w:r>
      <w:r w:rsidR="00E92325">
        <w:rPr>
          <w:rFonts w:ascii="Century Gothic" w:hAnsi="Century Gothic"/>
          <w:color w:val="0028A8"/>
        </w:rPr>
        <w:t>Plan de Gestion Environnemental et Social (PGES)</w:t>
      </w:r>
    </w:p>
    <w:p w14:paraId="0E5FF0A3" w14:textId="5C944978" w:rsidR="00E078E4" w:rsidRDefault="00E078E4" w:rsidP="00834214">
      <w:pPr>
        <w:spacing w:before="0" w:after="0" w:line="360" w:lineRule="auto"/>
        <w:ind w:firstLine="708"/>
        <w:rPr>
          <w:rFonts w:ascii="Century Gothic" w:hAnsi="Century Gothic"/>
          <w:color w:val="0028A8"/>
        </w:rPr>
      </w:pPr>
      <w:r>
        <w:rPr>
          <w:rFonts w:ascii="Century Gothic" w:hAnsi="Century Gothic"/>
          <w:color w:val="0028A8"/>
        </w:rPr>
        <w:t>Partie 10 : Conclusion</w:t>
      </w:r>
    </w:p>
    <w:p w14:paraId="7B5AA436" w14:textId="7E08BD29" w:rsidR="00834214" w:rsidRDefault="00834214" w:rsidP="00834214">
      <w:pPr>
        <w:spacing w:before="0" w:after="0" w:line="360" w:lineRule="auto"/>
        <w:ind w:firstLine="708"/>
        <w:rPr>
          <w:rFonts w:ascii="Century Gothic" w:hAnsi="Century Gothic"/>
          <w:color w:val="0028A8"/>
        </w:rPr>
      </w:pPr>
      <w:r w:rsidRPr="00E72AF6">
        <w:rPr>
          <w:rFonts w:ascii="Century Gothic" w:hAnsi="Century Gothic"/>
          <w:color w:val="0028A8"/>
        </w:rPr>
        <w:t xml:space="preserve">Partie </w:t>
      </w:r>
      <w:r w:rsidR="00E078E4">
        <w:rPr>
          <w:rFonts w:ascii="Century Gothic" w:hAnsi="Century Gothic"/>
          <w:color w:val="0028A8"/>
        </w:rPr>
        <w:t>10</w:t>
      </w:r>
      <w:r w:rsidRPr="00E72AF6">
        <w:rPr>
          <w:rFonts w:ascii="Century Gothic" w:hAnsi="Century Gothic"/>
          <w:color w:val="0028A8"/>
        </w:rPr>
        <w:t xml:space="preserve"> : </w:t>
      </w:r>
      <w:r w:rsidR="009B52DB">
        <w:rPr>
          <w:rFonts w:ascii="Century Gothic" w:hAnsi="Century Gothic"/>
          <w:color w:val="0028A8"/>
        </w:rPr>
        <w:t>Annexes</w:t>
      </w:r>
    </w:p>
    <w:p w14:paraId="5F5AA6A6" w14:textId="77777777" w:rsidR="00834214" w:rsidRDefault="00834214" w:rsidP="00834214">
      <w:r w:rsidRPr="008612D4">
        <w:t>Elle s’est fondée principalement sur les études relatives au projet et à son aire d’occupation et les prospections de terrain relatives aux ressources naturelles, l’utilisation des terres et les caractéristiques socio-économiques de la zone d’influence des différents éléments du projet.</w:t>
      </w:r>
    </w:p>
    <w:p w14:paraId="33B81209" w14:textId="77777777" w:rsidR="00834214" w:rsidRDefault="00834214" w:rsidP="00834214">
      <w:r>
        <w:br w:type="page"/>
      </w:r>
    </w:p>
    <w:p w14:paraId="053CA863" w14:textId="77777777" w:rsidR="008637EF" w:rsidRPr="00391BD3" w:rsidRDefault="008637EF" w:rsidP="008637EF">
      <w:pPr>
        <w:pStyle w:val="Title1"/>
      </w:pPr>
      <w:bookmarkStart w:id="67" w:name="_Toc215131790"/>
      <w:r w:rsidRPr="00391BD3">
        <w:lastRenderedPageBreak/>
        <w:t>Cadre Juridique</w:t>
      </w:r>
      <w:r>
        <w:t>, Stratégique</w:t>
      </w:r>
      <w:r w:rsidRPr="00391BD3">
        <w:t xml:space="preserve"> et Institutionnel</w:t>
      </w:r>
      <w:bookmarkEnd w:id="67"/>
      <w:r w:rsidRPr="00391BD3">
        <w:t xml:space="preserve"> </w:t>
      </w:r>
    </w:p>
    <w:p w14:paraId="0314830F" w14:textId="77777777" w:rsidR="008637EF" w:rsidRDefault="008637EF" w:rsidP="008637EF">
      <w:pPr>
        <w:pStyle w:val="Title2"/>
        <w:spacing w:before="100"/>
      </w:pPr>
      <w:bookmarkStart w:id="68" w:name="_Toc215131791"/>
      <w:r>
        <w:t>Cadre stratégique</w:t>
      </w:r>
      <w:bookmarkEnd w:id="68"/>
    </w:p>
    <w:p w14:paraId="44F4868E" w14:textId="77777777" w:rsidR="008637EF" w:rsidRDefault="008637EF" w:rsidP="008637EF">
      <w:r>
        <w:t xml:space="preserve">Il convient de rappeler de manière succincte les principales stratégies, plans et programmes mis en place par le gouvernement marocain, en matière de développement durable et de protection des ressources naturelles, devant être pris en compte par le projet afin de s’assurer que ce dernier partage les mêmes préoccupations et suit les mêmes orientations.  </w:t>
      </w:r>
    </w:p>
    <w:p w14:paraId="73DAC097" w14:textId="77777777" w:rsidR="008637EF" w:rsidRPr="00273BD5" w:rsidRDefault="008637EF" w:rsidP="008637EF">
      <w:r>
        <w:t>L</w:t>
      </w:r>
      <w:r w:rsidRPr="00DE2755">
        <w:t>e tableau ci-après présente, pour chaque document stratégique, sa finalité générale et son application spécifique aux activités du projet.</w:t>
      </w:r>
    </w:p>
    <w:p w14:paraId="2A1B4AE1" w14:textId="6CC8F1A1" w:rsidR="008637EF" w:rsidRDefault="008637EF" w:rsidP="008637EF">
      <w:pPr>
        <w:pStyle w:val="Lgende"/>
        <w:keepNext/>
      </w:pPr>
      <w:bookmarkStart w:id="69" w:name="_Toc213404336"/>
      <w:r>
        <w:t xml:space="preserve">Tableau </w:t>
      </w:r>
      <w:r>
        <w:fldChar w:fldCharType="begin"/>
      </w:r>
      <w:r>
        <w:instrText xml:space="preserve"> SEQ Tableau \* ARABIC </w:instrText>
      </w:r>
      <w:r>
        <w:fldChar w:fldCharType="separate"/>
      </w:r>
      <w:r w:rsidR="00274E71">
        <w:rPr>
          <w:noProof/>
        </w:rPr>
        <w:t>13</w:t>
      </w:r>
      <w:r>
        <w:fldChar w:fldCharType="end"/>
      </w:r>
      <w:r>
        <w:rPr>
          <w:lang w:val="fr-FR"/>
        </w:rPr>
        <w:t xml:space="preserve"> : </w:t>
      </w:r>
      <w:r w:rsidRPr="00117341">
        <w:rPr>
          <w:lang w:val="fr-FR"/>
        </w:rPr>
        <w:t xml:space="preserve">Alignement du projet d’extension de l’aéroport </w:t>
      </w:r>
      <w:r w:rsidR="006F74CC">
        <w:rPr>
          <w:lang w:val="fr-FR"/>
        </w:rPr>
        <w:t>Marrakech Ménara</w:t>
      </w:r>
      <w:r w:rsidRPr="00117341">
        <w:rPr>
          <w:lang w:val="fr-FR"/>
        </w:rPr>
        <w:t xml:space="preserve"> avec les stratégies et programmes nationaux</w:t>
      </w:r>
      <w:bookmarkEnd w:id="69"/>
    </w:p>
    <w:tbl>
      <w:tblPr>
        <w:tblStyle w:val="TableauGrille1Clair-Accentuation111"/>
        <w:tblW w:w="0" w:type="auto"/>
        <w:tblLook w:val="04A0" w:firstRow="1" w:lastRow="0" w:firstColumn="1" w:lastColumn="0" w:noHBand="0" w:noVBand="1"/>
      </w:tblPr>
      <w:tblGrid>
        <w:gridCol w:w="2735"/>
        <w:gridCol w:w="2419"/>
        <w:gridCol w:w="3908"/>
      </w:tblGrid>
      <w:tr w:rsidR="008637EF" w:rsidRPr="00DE2755" w14:paraId="6F749FAA" w14:textId="77777777" w:rsidTr="004637C7">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74147479" w14:textId="77777777" w:rsidR="008637EF" w:rsidRPr="004637C7" w:rsidRDefault="008637EF" w:rsidP="004928CD">
            <w:pPr>
              <w:overflowPunct w:val="0"/>
              <w:autoSpaceDE w:val="0"/>
              <w:autoSpaceDN w:val="0"/>
              <w:adjustRightInd w:val="0"/>
              <w:spacing w:before="0" w:after="0" w:line="240" w:lineRule="auto"/>
              <w:jc w:val="center"/>
              <w:textAlignment w:val="baseline"/>
              <w:rPr>
                <w:rFonts w:eastAsia="Calibri" w:cs="Calibri"/>
                <w:b w:val="0"/>
                <w:bCs w:val="0"/>
                <w:color w:val="000000" w:themeColor="text1"/>
                <w:lang w:val="fr-MA" w:eastAsia="es-ES" w:bidi="ar-SA"/>
              </w:rPr>
            </w:pPr>
            <w:r w:rsidRPr="004637C7">
              <w:rPr>
                <w:rFonts w:eastAsia="Calibri" w:cs="Calibri"/>
                <w:color w:val="000000" w:themeColor="text1"/>
                <w:lang w:val="fr-MA" w:eastAsia="es-ES" w:bidi="ar-SA"/>
              </w:rPr>
              <w:t>Document stratégique</w:t>
            </w:r>
          </w:p>
        </w:tc>
        <w:tc>
          <w:tcPr>
            <w:tcW w:w="0" w:type="auto"/>
            <w:vAlign w:val="center"/>
            <w:hideMark/>
          </w:tcPr>
          <w:p w14:paraId="4FC544E3" w14:textId="77777777" w:rsidR="008637EF" w:rsidRPr="004637C7" w:rsidRDefault="008637EF" w:rsidP="004928CD">
            <w:pPr>
              <w:overflowPunct w:val="0"/>
              <w:autoSpaceDE w:val="0"/>
              <w:autoSpaceDN w:val="0"/>
              <w:adjustRightInd w:val="0"/>
              <w:spacing w:before="0" w:after="0" w:line="240" w:lineRule="auto"/>
              <w:jc w:val="center"/>
              <w:textAlignment w:val="baseline"/>
              <w:cnfStyle w:val="100000000000" w:firstRow="1" w:lastRow="0" w:firstColumn="0" w:lastColumn="0" w:oddVBand="0" w:evenVBand="0" w:oddHBand="0" w:evenHBand="0" w:firstRowFirstColumn="0" w:firstRowLastColumn="0" w:lastRowFirstColumn="0" w:lastRowLastColumn="0"/>
              <w:rPr>
                <w:rFonts w:eastAsia="Calibri" w:cs="Calibri"/>
                <w:b w:val="0"/>
                <w:bCs w:val="0"/>
                <w:color w:val="000000" w:themeColor="text1"/>
                <w:lang w:val="fr-MA" w:eastAsia="es-ES" w:bidi="ar-SA"/>
              </w:rPr>
            </w:pPr>
            <w:r w:rsidRPr="004637C7">
              <w:rPr>
                <w:rFonts w:eastAsia="Calibri" w:cs="Calibri"/>
                <w:color w:val="000000" w:themeColor="text1"/>
                <w:lang w:val="fr-MA" w:eastAsia="es-ES" w:bidi="ar-SA"/>
              </w:rPr>
              <w:t>Pertinence générale</w:t>
            </w:r>
          </w:p>
        </w:tc>
        <w:tc>
          <w:tcPr>
            <w:tcW w:w="0" w:type="auto"/>
            <w:vAlign w:val="center"/>
            <w:hideMark/>
          </w:tcPr>
          <w:p w14:paraId="5DF086EA" w14:textId="58D56484" w:rsidR="008637EF" w:rsidRPr="004637C7" w:rsidRDefault="008637EF" w:rsidP="004928CD">
            <w:pPr>
              <w:overflowPunct w:val="0"/>
              <w:autoSpaceDE w:val="0"/>
              <w:autoSpaceDN w:val="0"/>
              <w:adjustRightInd w:val="0"/>
              <w:spacing w:before="0" w:after="0" w:line="240" w:lineRule="auto"/>
              <w:jc w:val="center"/>
              <w:textAlignment w:val="baseline"/>
              <w:cnfStyle w:val="100000000000" w:firstRow="1" w:lastRow="0" w:firstColumn="0" w:lastColumn="0" w:oddVBand="0" w:evenVBand="0" w:oddHBand="0" w:evenHBand="0" w:firstRowFirstColumn="0" w:firstRowLastColumn="0" w:lastRowFirstColumn="0" w:lastRowLastColumn="0"/>
              <w:rPr>
                <w:rFonts w:eastAsia="Calibri" w:cs="Calibri"/>
                <w:b w:val="0"/>
                <w:bCs w:val="0"/>
                <w:color w:val="000000" w:themeColor="text1"/>
                <w:lang w:val="fr-MA" w:eastAsia="es-ES" w:bidi="ar-SA"/>
              </w:rPr>
            </w:pPr>
            <w:r w:rsidRPr="004637C7">
              <w:rPr>
                <w:rFonts w:eastAsia="Calibri" w:cs="Calibri"/>
                <w:color w:val="000000" w:themeColor="text1"/>
                <w:lang w:val="fr-MA" w:eastAsia="es-ES" w:bidi="ar-SA"/>
              </w:rPr>
              <w:t xml:space="preserve">Application spécifique au projet d’extension de </w:t>
            </w:r>
            <w:r w:rsidR="006F74CC">
              <w:rPr>
                <w:rFonts w:eastAsia="Calibri" w:cs="Calibri"/>
                <w:color w:val="000000" w:themeColor="text1"/>
                <w:lang w:val="fr-MA" w:eastAsia="es-ES" w:bidi="ar-SA"/>
              </w:rPr>
              <w:t>Marrakech Ménara</w:t>
            </w:r>
          </w:p>
        </w:tc>
      </w:tr>
      <w:tr w:rsidR="008637EF" w:rsidRPr="00DE2755" w14:paraId="31175F54" w14:textId="77777777" w:rsidTr="004637C7">
        <w:tc>
          <w:tcPr>
            <w:cnfStyle w:val="001000000000" w:firstRow="0" w:lastRow="0" w:firstColumn="1" w:lastColumn="0" w:oddVBand="0" w:evenVBand="0" w:oddHBand="0" w:evenHBand="0" w:firstRowFirstColumn="0" w:firstRowLastColumn="0" w:lastRowFirstColumn="0" w:lastRowLastColumn="0"/>
            <w:tcW w:w="0" w:type="auto"/>
          </w:tcPr>
          <w:p w14:paraId="681E22BC" w14:textId="77777777" w:rsidR="008637EF" w:rsidRPr="00090C81" w:rsidRDefault="008637EF" w:rsidP="005A7661">
            <w:pPr>
              <w:rPr>
                <w:b w:val="0"/>
                <w:bCs w:val="0"/>
              </w:rPr>
            </w:pPr>
            <w:r w:rsidRPr="00900B08">
              <w:t>Schéma Directeur Aéroportuaire National 2030 et Étude AJWAE 2035</w:t>
            </w:r>
          </w:p>
        </w:tc>
        <w:tc>
          <w:tcPr>
            <w:tcW w:w="0" w:type="auto"/>
          </w:tcPr>
          <w:p w14:paraId="67276860" w14:textId="77777777" w:rsidR="008637EF" w:rsidRPr="00DE2755" w:rsidRDefault="008637EF" w:rsidP="005A7661">
            <w:pPr>
              <w:cnfStyle w:val="000000000000" w:firstRow="0" w:lastRow="0" w:firstColumn="0" w:lastColumn="0" w:oddVBand="0" w:evenVBand="0" w:oddHBand="0" w:evenHBand="0" w:firstRowFirstColumn="0" w:firstRowLastColumn="0" w:lastRowFirstColumn="0" w:lastRowLastColumn="0"/>
            </w:pPr>
            <w:r w:rsidRPr="00DE2755">
              <w:t>Développement du réseau aéroportuaire national.</w:t>
            </w:r>
          </w:p>
        </w:tc>
        <w:tc>
          <w:tcPr>
            <w:tcW w:w="0" w:type="auto"/>
          </w:tcPr>
          <w:p w14:paraId="6DDC2229" w14:textId="77777777" w:rsidR="008637EF" w:rsidRPr="00DE2755" w:rsidRDefault="008637EF" w:rsidP="005A7661">
            <w:pPr>
              <w:cnfStyle w:val="000000000000" w:firstRow="0" w:lastRow="0" w:firstColumn="0" w:lastColumn="0" w:oddVBand="0" w:evenVBand="0" w:oddHBand="0" w:evenHBand="0" w:firstRowFirstColumn="0" w:firstRowLastColumn="0" w:lastRowFirstColumn="0" w:lastRowLastColumn="0"/>
            </w:pPr>
            <w:r w:rsidRPr="00DE2755">
              <w:t>L’extension de l’aéroport répond directement aux besoins de capacité, aux projections de trafic et aux objectifs stratégiques nationaux.</w:t>
            </w:r>
          </w:p>
        </w:tc>
      </w:tr>
      <w:tr w:rsidR="008637EF" w:rsidRPr="00DE2755" w14:paraId="792DBCDA" w14:textId="77777777" w:rsidTr="004637C7">
        <w:tc>
          <w:tcPr>
            <w:cnfStyle w:val="001000000000" w:firstRow="0" w:lastRow="0" w:firstColumn="1" w:lastColumn="0" w:oddVBand="0" w:evenVBand="0" w:oddHBand="0" w:evenHBand="0" w:firstRowFirstColumn="0" w:firstRowLastColumn="0" w:lastRowFirstColumn="0" w:lastRowLastColumn="0"/>
            <w:tcW w:w="0" w:type="auto"/>
            <w:hideMark/>
          </w:tcPr>
          <w:p w14:paraId="68B0EAA9" w14:textId="77777777" w:rsidR="008637EF" w:rsidRPr="00273BD5" w:rsidRDefault="008637EF" w:rsidP="005A7661">
            <w:pPr>
              <w:rPr>
                <w:b w:val="0"/>
                <w:bCs w:val="0"/>
              </w:rPr>
            </w:pPr>
            <w:r w:rsidRPr="00273BD5">
              <w:t>Stratégie Nationale de Développement Durable (SNDD, 2014)</w:t>
            </w:r>
          </w:p>
        </w:tc>
        <w:tc>
          <w:tcPr>
            <w:tcW w:w="0" w:type="auto"/>
            <w:hideMark/>
          </w:tcPr>
          <w:p w14:paraId="66274ABB" w14:textId="77777777" w:rsidR="008637EF" w:rsidRPr="00DE2755" w:rsidRDefault="008637EF" w:rsidP="005A7661">
            <w:pPr>
              <w:cnfStyle w:val="000000000000" w:firstRow="0" w:lastRow="0" w:firstColumn="0" w:lastColumn="0" w:oddVBand="0" w:evenVBand="0" w:oddHBand="0" w:evenHBand="0" w:firstRowFirstColumn="0" w:firstRowLastColumn="0" w:lastRowFirstColumn="0" w:lastRowLastColumn="0"/>
            </w:pPr>
            <w:r w:rsidRPr="00DE2755">
              <w:t>Intégrer la durabilité dans tous les secteurs de développement.</w:t>
            </w:r>
          </w:p>
        </w:tc>
        <w:tc>
          <w:tcPr>
            <w:tcW w:w="0" w:type="auto"/>
            <w:hideMark/>
          </w:tcPr>
          <w:p w14:paraId="0C6AD302" w14:textId="77777777" w:rsidR="008637EF" w:rsidRPr="00DE2755" w:rsidRDefault="008637EF" w:rsidP="005A7661">
            <w:pPr>
              <w:cnfStyle w:val="000000000000" w:firstRow="0" w:lastRow="0" w:firstColumn="0" w:lastColumn="0" w:oddVBand="0" w:evenVBand="0" w:oddHBand="0" w:evenHBand="0" w:firstRowFirstColumn="0" w:firstRowLastColumn="0" w:lastRowFirstColumn="0" w:lastRowLastColumn="0"/>
            </w:pPr>
            <w:r w:rsidRPr="00DE2755">
              <w:t>Mise en œuvre de solutions d’efficacité énergétique, énergies renouvelables et gestion durable des ressources.</w:t>
            </w:r>
          </w:p>
        </w:tc>
      </w:tr>
      <w:tr w:rsidR="008637EF" w:rsidRPr="00DE2755" w14:paraId="373947D5" w14:textId="77777777" w:rsidTr="004637C7">
        <w:tc>
          <w:tcPr>
            <w:cnfStyle w:val="001000000000" w:firstRow="0" w:lastRow="0" w:firstColumn="1" w:lastColumn="0" w:oddVBand="0" w:evenVBand="0" w:oddHBand="0" w:evenHBand="0" w:firstRowFirstColumn="0" w:firstRowLastColumn="0" w:lastRowFirstColumn="0" w:lastRowLastColumn="0"/>
            <w:tcW w:w="0" w:type="auto"/>
          </w:tcPr>
          <w:p w14:paraId="6AB3022F" w14:textId="77777777" w:rsidR="008637EF" w:rsidRPr="00090C81" w:rsidRDefault="008637EF" w:rsidP="005A7661">
            <w:pPr>
              <w:rPr>
                <w:b w:val="0"/>
                <w:bCs w:val="0"/>
              </w:rPr>
            </w:pPr>
            <w:r w:rsidRPr="00900B08">
              <w:t>Stratégie et Plan d’Actions National pour la Biodiversité (SPANB 2016-2020)</w:t>
            </w:r>
          </w:p>
        </w:tc>
        <w:tc>
          <w:tcPr>
            <w:tcW w:w="0" w:type="auto"/>
          </w:tcPr>
          <w:p w14:paraId="7067C32D" w14:textId="77777777" w:rsidR="008637EF" w:rsidRPr="00DE2755" w:rsidRDefault="008637EF" w:rsidP="005A7661">
            <w:pPr>
              <w:cnfStyle w:val="000000000000" w:firstRow="0" w:lastRow="0" w:firstColumn="0" w:lastColumn="0" w:oddVBand="0" w:evenVBand="0" w:oddHBand="0" w:evenHBand="0" w:firstRowFirstColumn="0" w:firstRowLastColumn="0" w:lastRowFirstColumn="0" w:lastRowLastColumn="0"/>
            </w:pPr>
            <w:r w:rsidRPr="00DE2755">
              <w:t>Conservation, restauration et valorisation de la biodiversité.</w:t>
            </w:r>
          </w:p>
        </w:tc>
        <w:tc>
          <w:tcPr>
            <w:tcW w:w="0" w:type="auto"/>
          </w:tcPr>
          <w:p w14:paraId="57B78A16" w14:textId="77777777" w:rsidR="008637EF" w:rsidRPr="00DE2755" w:rsidRDefault="008637EF" w:rsidP="005A7661">
            <w:pPr>
              <w:cnfStyle w:val="000000000000" w:firstRow="0" w:lastRow="0" w:firstColumn="0" w:lastColumn="0" w:oddVBand="0" w:evenVBand="0" w:oddHBand="0" w:evenHBand="0" w:firstRowFirstColumn="0" w:firstRowLastColumn="0" w:lastRowFirstColumn="0" w:lastRowLastColumn="0"/>
            </w:pPr>
            <w:r w:rsidRPr="00DE2755">
              <w:t>Protection des espèces et habitats affectés par le projet, mise en place de mesures compensatoires et suivi écologique.</w:t>
            </w:r>
          </w:p>
        </w:tc>
      </w:tr>
      <w:tr w:rsidR="008637EF" w:rsidRPr="00DE2755" w14:paraId="1F1EA698" w14:textId="77777777" w:rsidTr="004637C7">
        <w:tc>
          <w:tcPr>
            <w:cnfStyle w:val="001000000000" w:firstRow="0" w:lastRow="0" w:firstColumn="1" w:lastColumn="0" w:oddVBand="0" w:evenVBand="0" w:oddHBand="0" w:evenHBand="0" w:firstRowFirstColumn="0" w:firstRowLastColumn="0" w:lastRowFirstColumn="0" w:lastRowLastColumn="0"/>
            <w:tcW w:w="0" w:type="auto"/>
            <w:hideMark/>
          </w:tcPr>
          <w:p w14:paraId="2B85880D" w14:textId="77777777" w:rsidR="008637EF" w:rsidRPr="00273BD5" w:rsidRDefault="008637EF" w:rsidP="005A7661">
            <w:pPr>
              <w:rPr>
                <w:b w:val="0"/>
                <w:bCs w:val="0"/>
              </w:rPr>
            </w:pPr>
            <w:r w:rsidRPr="00273BD5">
              <w:t>Stratégie Nationale de l’Énergie (2008)</w:t>
            </w:r>
          </w:p>
        </w:tc>
        <w:tc>
          <w:tcPr>
            <w:tcW w:w="0" w:type="auto"/>
            <w:hideMark/>
          </w:tcPr>
          <w:p w14:paraId="3CC1341D" w14:textId="77777777" w:rsidR="008637EF" w:rsidRPr="00DE2755" w:rsidRDefault="008637EF" w:rsidP="005A7661">
            <w:pPr>
              <w:cnfStyle w:val="000000000000" w:firstRow="0" w:lastRow="0" w:firstColumn="0" w:lastColumn="0" w:oddVBand="0" w:evenVBand="0" w:oddHBand="0" w:evenHBand="0" w:firstRowFirstColumn="0" w:firstRowLastColumn="0" w:lastRowFirstColumn="0" w:lastRowLastColumn="0"/>
            </w:pPr>
            <w:r w:rsidRPr="00DE2755">
              <w:t>Promotion de l’efficacité énergétique et des énergies renouvelables.</w:t>
            </w:r>
          </w:p>
        </w:tc>
        <w:tc>
          <w:tcPr>
            <w:tcW w:w="0" w:type="auto"/>
            <w:hideMark/>
          </w:tcPr>
          <w:p w14:paraId="5AF90AC2" w14:textId="77777777" w:rsidR="008637EF" w:rsidRPr="00DE2755" w:rsidRDefault="008637EF" w:rsidP="005A7661">
            <w:pPr>
              <w:cnfStyle w:val="000000000000" w:firstRow="0" w:lastRow="0" w:firstColumn="0" w:lastColumn="0" w:oddVBand="0" w:evenVBand="0" w:oddHBand="0" w:evenHBand="0" w:firstRowFirstColumn="0" w:firstRowLastColumn="0" w:lastRowFirstColumn="0" w:lastRowLastColumn="0"/>
            </w:pPr>
            <w:r w:rsidRPr="00DE2755">
              <w:t>Réduction de la consommation électrique et installation de panneaux photovoltaïques pour l’autoconsommation.</w:t>
            </w:r>
          </w:p>
        </w:tc>
      </w:tr>
      <w:tr w:rsidR="008637EF" w:rsidRPr="00DE2755" w14:paraId="41BC8941" w14:textId="77777777" w:rsidTr="004637C7">
        <w:tc>
          <w:tcPr>
            <w:cnfStyle w:val="001000000000" w:firstRow="0" w:lastRow="0" w:firstColumn="1" w:lastColumn="0" w:oddVBand="0" w:evenVBand="0" w:oddHBand="0" w:evenHBand="0" w:firstRowFirstColumn="0" w:firstRowLastColumn="0" w:lastRowFirstColumn="0" w:lastRowLastColumn="0"/>
            <w:tcW w:w="0" w:type="auto"/>
            <w:hideMark/>
          </w:tcPr>
          <w:p w14:paraId="75E9E131" w14:textId="77777777" w:rsidR="008637EF" w:rsidRPr="00273BD5" w:rsidRDefault="008637EF" w:rsidP="005A7661">
            <w:pPr>
              <w:rPr>
                <w:b w:val="0"/>
                <w:bCs w:val="0"/>
              </w:rPr>
            </w:pPr>
            <w:r w:rsidRPr="00273BD5">
              <w:t>Stratégie Nationale de Protection de l’Environnement (SNPE) et PANE (2002)</w:t>
            </w:r>
          </w:p>
        </w:tc>
        <w:tc>
          <w:tcPr>
            <w:tcW w:w="0" w:type="auto"/>
            <w:hideMark/>
          </w:tcPr>
          <w:p w14:paraId="28711C0C" w14:textId="77777777" w:rsidR="008637EF" w:rsidRPr="00DE2755" w:rsidRDefault="008637EF" w:rsidP="005A7661">
            <w:pPr>
              <w:cnfStyle w:val="000000000000" w:firstRow="0" w:lastRow="0" w:firstColumn="0" w:lastColumn="0" w:oddVBand="0" w:evenVBand="0" w:oddHBand="0" w:evenHBand="0" w:firstRowFirstColumn="0" w:firstRowLastColumn="0" w:lastRowFirstColumn="0" w:lastRowLastColumn="0"/>
            </w:pPr>
            <w:r w:rsidRPr="00DE2755">
              <w:t>Protection des ressources naturelles, lutte contre la pollution.</w:t>
            </w:r>
          </w:p>
        </w:tc>
        <w:tc>
          <w:tcPr>
            <w:tcW w:w="0" w:type="auto"/>
            <w:hideMark/>
          </w:tcPr>
          <w:p w14:paraId="164DCCF5" w14:textId="77777777" w:rsidR="008637EF" w:rsidRPr="00DE2755" w:rsidRDefault="008637EF" w:rsidP="005A7661">
            <w:pPr>
              <w:cnfStyle w:val="000000000000" w:firstRow="0" w:lastRow="0" w:firstColumn="0" w:lastColumn="0" w:oddVBand="0" w:evenVBand="0" w:oddHBand="0" w:evenHBand="0" w:firstRowFirstColumn="0" w:firstRowLastColumn="0" w:lastRowFirstColumn="0" w:lastRowLastColumn="0"/>
            </w:pPr>
            <w:r w:rsidRPr="00DE2755">
              <w:t>Gestion des déchets de chantier, limitation des nuisances (poussières, bruit) et préservation de la biodiversité locale.</w:t>
            </w:r>
          </w:p>
        </w:tc>
      </w:tr>
      <w:tr w:rsidR="008637EF" w:rsidRPr="00DE2755" w14:paraId="2F7E7683" w14:textId="77777777" w:rsidTr="004637C7">
        <w:tc>
          <w:tcPr>
            <w:cnfStyle w:val="001000000000" w:firstRow="0" w:lastRow="0" w:firstColumn="1" w:lastColumn="0" w:oddVBand="0" w:evenVBand="0" w:oddHBand="0" w:evenHBand="0" w:firstRowFirstColumn="0" w:firstRowLastColumn="0" w:lastRowFirstColumn="0" w:lastRowLastColumn="0"/>
            <w:tcW w:w="0" w:type="auto"/>
            <w:hideMark/>
          </w:tcPr>
          <w:p w14:paraId="78EA4991" w14:textId="77777777" w:rsidR="008637EF" w:rsidRPr="00273BD5" w:rsidRDefault="008637EF" w:rsidP="005A7661">
            <w:pPr>
              <w:rPr>
                <w:b w:val="0"/>
                <w:bCs w:val="0"/>
              </w:rPr>
            </w:pPr>
            <w:r w:rsidRPr="00273BD5">
              <w:t>Plan National de l’Eau (PNE) et Programme National d’Assainissement (PNA, 2006)</w:t>
            </w:r>
          </w:p>
        </w:tc>
        <w:tc>
          <w:tcPr>
            <w:tcW w:w="0" w:type="auto"/>
            <w:hideMark/>
          </w:tcPr>
          <w:p w14:paraId="4F154067" w14:textId="77777777" w:rsidR="008637EF" w:rsidRPr="00DE2755" w:rsidRDefault="008637EF" w:rsidP="005A7661">
            <w:pPr>
              <w:cnfStyle w:val="000000000000" w:firstRow="0" w:lastRow="0" w:firstColumn="0" w:lastColumn="0" w:oddVBand="0" w:evenVBand="0" w:oddHBand="0" w:evenHBand="0" w:firstRowFirstColumn="0" w:firstRowLastColumn="0" w:lastRowFirstColumn="0" w:lastRowLastColumn="0"/>
            </w:pPr>
            <w:r w:rsidRPr="00DE2755">
              <w:t>Gestion intégrée et durable des ressources en eau.</w:t>
            </w:r>
          </w:p>
        </w:tc>
        <w:tc>
          <w:tcPr>
            <w:tcW w:w="0" w:type="auto"/>
            <w:hideMark/>
          </w:tcPr>
          <w:p w14:paraId="7D548BA7" w14:textId="77777777" w:rsidR="008637EF" w:rsidRPr="00DE2755" w:rsidRDefault="008637EF" w:rsidP="005A7661">
            <w:pPr>
              <w:cnfStyle w:val="000000000000" w:firstRow="0" w:lastRow="0" w:firstColumn="0" w:lastColumn="0" w:oddVBand="0" w:evenVBand="0" w:oddHBand="0" w:evenHBand="0" w:firstRowFirstColumn="0" w:firstRowLastColumn="0" w:lastRowFirstColumn="0" w:lastRowLastColumn="0"/>
            </w:pPr>
            <w:r w:rsidRPr="00DE2755">
              <w:t>Optimisation de la consommation d’eau, traitement des eaux usées, et recyclage éventuel pour usages secondaires.</w:t>
            </w:r>
          </w:p>
        </w:tc>
      </w:tr>
      <w:tr w:rsidR="008637EF" w:rsidRPr="00DE2755" w14:paraId="19A87C98" w14:textId="77777777" w:rsidTr="004637C7">
        <w:tc>
          <w:tcPr>
            <w:cnfStyle w:val="001000000000" w:firstRow="0" w:lastRow="0" w:firstColumn="1" w:lastColumn="0" w:oddVBand="0" w:evenVBand="0" w:oddHBand="0" w:evenHBand="0" w:firstRowFirstColumn="0" w:firstRowLastColumn="0" w:lastRowFirstColumn="0" w:lastRowLastColumn="0"/>
            <w:tcW w:w="0" w:type="auto"/>
            <w:hideMark/>
          </w:tcPr>
          <w:p w14:paraId="21954859" w14:textId="77777777" w:rsidR="008637EF" w:rsidRPr="00273BD5" w:rsidRDefault="008637EF" w:rsidP="005A7661">
            <w:pPr>
              <w:rPr>
                <w:b w:val="0"/>
                <w:bCs w:val="0"/>
              </w:rPr>
            </w:pPr>
            <w:r w:rsidRPr="00273BD5">
              <w:t>Plan National de Lutte contre le Réchauffement Climatique</w:t>
            </w:r>
          </w:p>
        </w:tc>
        <w:tc>
          <w:tcPr>
            <w:tcW w:w="0" w:type="auto"/>
            <w:hideMark/>
          </w:tcPr>
          <w:p w14:paraId="7705401E" w14:textId="77777777" w:rsidR="008637EF" w:rsidRPr="00DE2755" w:rsidRDefault="008637EF" w:rsidP="005A7661">
            <w:pPr>
              <w:cnfStyle w:val="000000000000" w:firstRow="0" w:lastRow="0" w:firstColumn="0" w:lastColumn="0" w:oddVBand="0" w:evenVBand="0" w:oddHBand="0" w:evenHBand="0" w:firstRowFirstColumn="0" w:firstRowLastColumn="0" w:lastRowFirstColumn="0" w:lastRowLastColumn="0"/>
            </w:pPr>
            <w:r w:rsidRPr="00DE2755">
              <w:t>Réduction des émissions de GES et adaptation.</w:t>
            </w:r>
          </w:p>
        </w:tc>
        <w:tc>
          <w:tcPr>
            <w:tcW w:w="0" w:type="auto"/>
            <w:hideMark/>
          </w:tcPr>
          <w:p w14:paraId="1F79AB2C" w14:textId="77777777" w:rsidR="008637EF" w:rsidRPr="00DE2755" w:rsidRDefault="008637EF" w:rsidP="005A7661">
            <w:pPr>
              <w:cnfStyle w:val="000000000000" w:firstRow="0" w:lastRow="0" w:firstColumn="0" w:lastColumn="0" w:oddVBand="0" w:evenVBand="0" w:oddHBand="0" w:evenHBand="0" w:firstRowFirstColumn="0" w:firstRowLastColumn="0" w:lastRowFirstColumn="0" w:lastRowLastColumn="0"/>
            </w:pPr>
            <w:r w:rsidRPr="00DE2755">
              <w:t>Évaluation des émissions liées au chantier et à l’exploitation, intégration de mesures d’adaptation (espaces verts, gestion des ilots de chaleur).</w:t>
            </w:r>
          </w:p>
        </w:tc>
      </w:tr>
      <w:tr w:rsidR="008637EF" w:rsidRPr="00DE2755" w14:paraId="33772A34" w14:textId="77777777" w:rsidTr="004637C7">
        <w:tc>
          <w:tcPr>
            <w:cnfStyle w:val="001000000000" w:firstRow="0" w:lastRow="0" w:firstColumn="1" w:lastColumn="0" w:oddVBand="0" w:evenVBand="0" w:oddHBand="0" w:evenHBand="0" w:firstRowFirstColumn="0" w:firstRowLastColumn="0" w:lastRowFirstColumn="0" w:lastRowLastColumn="0"/>
            <w:tcW w:w="0" w:type="auto"/>
            <w:hideMark/>
          </w:tcPr>
          <w:p w14:paraId="6FC0A33D" w14:textId="77777777" w:rsidR="008637EF" w:rsidRPr="00273BD5" w:rsidRDefault="008637EF" w:rsidP="005A7661">
            <w:pPr>
              <w:rPr>
                <w:b w:val="0"/>
                <w:bCs w:val="0"/>
              </w:rPr>
            </w:pPr>
            <w:r w:rsidRPr="00273BD5">
              <w:lastRenderedPageBreak/>
              <w:t>Programme National des Déchets Ménagers (PNDM, 2006)</w:t>
            </w:r>
          </w:p>
        </w:tc>
        <w:tc>
          <w:tcPr>
            <w:tcW w:w="0" w:type="auto"/>
            <w:hideMark/>
          </w:tcPr>
          <w:p w14:paraId="4C435B10" w14:textId="77777777" w:rsidR="008637EF" w:rsidRPr="00DE2755" w:rsidRDefault="008637EF" w:rsidP="005A7661">
            <w:pPr>
              <w:cnfStyle w:val="000000000000" w:firstRow="0" w:lastRow="0" w:firstColumn="0" w:lastColumn="0" w:oddVBand="0" w:evenVBand="0" w:oddHBand="0" w:evenHBand="0" w:firstRowFirstColumn="0" w:firstRowLastColumn="0" w:lastRowFirstColumn="0" w:lastRowLastColumn="0"/>
            </w:pPr>
            <w:r w:rsidRPr="00DE2755">
              <w:t>Modernisation et valorisation de la gestion des déchets.</w:t>
            </w:r>
          </w:p>
        </w:tc>
        <w:tc>
          <w:tcPr>
            <w:tcW w:w="0" w:type="auto"/>
            <w:hideMark/>
          </w:tcPr>
          <w:p w14:paraId="4F09510C" w14:textId="77777777" w:rsidR="008637EF" w:rsidRPr="00DE2755" w:rsidRDefault="008637EF" w:rsidP="005A7661">
            <w:pPr>
              <w:cnfStyle w:val="000000000000" w:firstRow="0" w:lastRow="0" w:firstColumn="0" w:lastColumn="0" w:oddVBand="0" w:evenVBand="0" w:oddHBand="0" w:evenHBand="0" w:firstRowFirstColumn="0" w:firstRowLastColumn="0" w:lastRowFirstColumn="0" w:lastRowLastColumn="0"/>
            </w:pPr>
            <w:r w:rsidRPr="00DE2755">
              <w:t>Mise en place d’un système de tri et de valorisation des déchets produits par les chantiers et les activités aéroportuaires.</w:t>
            </w:r>
          </w:p>
        </w:tc>
      </w:tr>
      <w:tr w:rsidR="008637EF" w:rsidRPr="00DE2755" w14:paraId="4806C69E" w14:textId="77777777" w:rsidTr="004637C7">
        <w:tc>
          <w:tcPr>
            <w:cnfStyle w:val="001000000000" w:firstRow="0" w:lastRow="0" w:firstColumn="1" w:lastColumn="0" w:oddVBand="0" w:evenVBand="0" w:oddHBand="0" w:evenHBand="0" w:firstRowFirstColumn="0" w:firstRowLastColumn="0" w:lastRowFirstColumn="0" w:lastRowLastColumn="0"/>
            <w:tcW w:w="0" w:type="auto"/>
            <w:hideMark/>
          </w:tcPr>
          <w:p w14:paraId="7D9AD57E" w14:textId="77777777" w:rsidR="008637EF" w:rsidRPr="00273BD5" w:rsidRDefault="008637EF" w:rsidP="005A7661">
            <w:pPr>
              <w:rPr>
                <w:b w:val="0"/>
                <w:bCs w:val="0"/>
              </w:rPr>
            </w:pPr>
            <w:r w:rsidRPr="00273BD5">
              <w:t>Programme National de Protection de la Qualité de l’Air</w:t>
            </w:r>
          </w:p>
        </w:tc>
        <w:tc>
          <w:tcPr>
            <w:tcW w:w="0" w:type="auto"/>
            <w:hideMark/>
          </w:tcPr>
          <w:p w14:paraId="37FD435A" w14:textId="77777777" w:rsidR="008637EF" w:rsidRPr="00DE2755" w:rsidRDefault="008637EF" w:rsidP="005A7661">
            <w:pPr>
              <w:cnfStyle w:val="000000000000" w:firstRow="0" w:lastRow="0" w:firstColumn="0" w:lastColumn="0" w:oddVBand="0" w:evenVBand="0" w:oddHBand="0" w:evenHBand="0" w:firstRowFirstColumn="0" w:firstRowLastColumn="0" w:lastRowFirstColumn="0" w:lastRowLastColumn="0"/>
            </w:pPr>
            <w:r w:rsidRPr="00DE2755">
              <w:t>Suivi et réduction des pollutions atmosphériques.</w:t>
            </w:r>
          </w:p>
        </w:tc>
        <w:tc>
          <w:tcPr>
            <w:tcW w:w="0" w:type="auto"/>
            <w:hideMark/>
          </w:tcPr>
          <w:p w14:paraId="0A0DA1D9" w14:textId="77777777" w:rsidR="008637EF" w:rsidRPr="00DE2755" w:rsidRDefault="008637EF" w:rsidP="005A7661">
            <w:pPr>
              <w:cnfStyle w:val="000000000000" w:firstRow="0" w:lastRow="0" w:firstColumn="0" w:lastColumn="0" w:oddVBand="0" w:evenVBand="0" w:oddHBand="0" w:evenHBand="0" w:firstRowFirstColumn="0" w:firstRowLastColumn="0" w:lastRowFirstColumn="0" w:lastRowLastColumn="0"/>
            </w:pPr>
            <w:r w:rsidRPr="00DE2755">
              <w:t>Réduction des émissions des engins de chantier, contrôle des systèmes de climatisation et limitation des poussières.</w:t>
            </w:r>
          </w:p>
        </w:tc>
      </w:tr>
    </w:tbl>
    <w:p w14:paraId="46FE6B7F" w14:textId="77777777" w:rsidR="008637EF" w:rsidRDefault="008637EF" w:rsidP="008637EF">
      <w:pPr>
        <w:pStyle w:val="Title2"/>
        <w:spacing w:before="100"/>
      </w:pPr>
      <w:bookmarkStart w:id="70" w:name="_Toc215131792"/>
      <w:r w:rsidRPr="008612D4">
        <w:t>Cadre Juridique</w:t>
      </w:r>
      <w:bookmarkEnd w:id="70"/>
    </w:p>
    <w:p w14:paraId="296EC7A5" w14:textId="77777777" w:rsidR="008637EF" w:rsidRPr="00E36343" w:rsidRDefault="008637EF" w:rsidP="008637EF">
      <w:r w:rsidRPr="00E36343">
        <w:t xml:space="preserve">Les cadres législatif et juridique marocains se caractérisent par un nombre important de textes dont les premiers remontent à l’année 1914. </w:t>
      </w:r>
    </w:p>
    <w:p w14:paraId="19EDDCFC" w14:textId="77777777" w:rsidR="008637EF" w:rsidRPr="00E36343" w:rsidRDefault="008637EF" w:rsidP="008637EF">
      <w:r w:rsidRPr="00E36343">
        <w:t>Au sujet de la protection de l’environnement, en 2003, trois nouvelles lois ont été promulguées :</w:t>
      </w:r>
    </w:p>
    <w:p w14:paraId="5543736E" w14:textId="77777777" w:rsidR="008637EF" w:rsidRPr="00E36343" w:rsidRDefault="008637EF" w:rsidP="008637EF">
      <w:pPr>
        <w:pStyle w:val="Style1"/>
      </w:pPr>
      <w:r w:rsidRPr="00E36343">
        <w:t>Dahir n°1-03-59 portant promulgation de la loi cadre n°11-03 relative à la protection et à la mise en valeur de l’environnement ;</w:t>
      </w:r>
    </w:p>
    <w:p w14:paraId="17B03288" w14:textId="77777777" w:rsidR="008637EF" w:rsidRPr="00E36343" w:rsidRDefault="008637EF" w:rsidP="008637EF">
      <w:pPr>
        <w:pStyle w:val="Style1"/>
      </w:pPr>
      <w:r w:rsidRPr="00E36343">
        <w:t>Dahir n°1-03-60 portant promulgation de la loi 12-03 relative aux études d’impact sur l’environnement (EIE) ;</w:t>
      </w:r>
    </w:p>
    <w:p w14:paraId="5D8F50A3" w14:textId="77777777" w:rsidR="008637EF" w:rsidRPr="00E36343" w:rsidRDefault="008637EF" w:rsidP="008637EF">
      <w:pPr>
        <w:pStyle w:val="Style1"/>
      </w:pPr>
      <w:r w:rsidRPr="00E36343">
        <w:t>Dahir n°1-03-61 portant promulgation de la loi 13-03 relative à la lutte contre la pollution de l’air.</w:t>
      </w:r>
    </w:p>
    <w:p w14:paraId="5E15771F" w14:textId="77777777" w:rsidR="008637EF" w:rsidRPr="00E36343" w:rsidRDefault="008637EF" w:rsidP="008637EF">
      <w:r w:rsidRPr="00E36343">
        <w:t xml:space="preserve">Cette adoption a permis de mieux préciser le cadre général de protection de l’environnement au Maroc et de renforcer, d’une manière significative, l’arsenal juridique et réglementaire en matière de protection des écosystèmes. </w:t>
      </w:r>
    </w:p>
    <w:p w14:paraId="7887CE67" w14:textId="77777777" w:rsidR="008637EF" w:rsidRPr="00E36343" w:rsidRDefault="008637EF" w:rsidP="008637EF">
      <w:r w:rsidRPr="00E36343">
        <w:t>Il est important de signaler que le cadre juridique en matière de protection de l’environnement ne cesse d’être renforcé et alimenté par plusieurs nouveaux textes et décrets, sans pour autant omettre de citer la charte nationale de l’environnement et du développement durable récemment adoptée, et qui présente un tremplin vers une meilleure considération de l’enjeu environnemental dans la réalisation des projets et dans le développement en général.</w:t>
      </w:r>
    </w:p>
    <w:p w14:paraId="0D064613" w14:textId="77777777" w:rsidR="008637EF" w:rsidRPr="00E36343" w:rsidRDefault="008637EF" w:rsidP="008637EF">
      <w:r w:rsidRPr="00E36343">
        <w:t xml:space="preserve">Actuellement, l’arsenal juridique marocain en matière d’environnement est composé des lois suivantes : </w:t>
      </w:r>
    </w:p>
    <w:p w14:paraId="44BAF5BC" w14:textId="77777777" w:rsidR="008637EF" w:rsidRPr="00E36343" w:rsidRDefault="008637EF">
      <w:pPr>
        <w:numPr>
          <w:ilvl w:val="0"/>
          <w:numId w:val="6"/>
        </w:numPr>
        <w:spacing w:before="0" w:after="0"/>
        <w:ind w:left="1097"/>
      </w:pPr>
      <w:r w:rsidRPr="00E36343">
        <w:t>La loi 99-12 portant charte nationale de l’environnement et du développement durable ;</w:t>
      </w:r>
    </w:p>
    <w:p w14:paraId="5371F4ED" w14:textId="77777777" w:rsidR="008637EF" w:rsidRPr="00E36343" w:rsidRDefault="008637EF">
      <w:pPr>
        <w:numPr>
          <w:ilvl w:val="0"/>
          <w:numId w:val="6"/>
        </w:numPr>
        <w:spacing w:before="0" w:after="0"/>
        <w:ind w:left="1097"/>
      </w:pPr>
      <w:r w:rsidRPr="00E36343">
        <w:t>La loi 11-03 sur la protection et la mise en valeur de l’environnement ;</w:t>
      </w:r>
    </w:p>
    <w:p w14:paraId="55CE1AD0" w14:textId="77777777" w:rsidR="008637EF" w:rsidRPr="00E36343" w:rsidRDefault="008637EF">
      <w:pPr>
        <w:numPr>
          <w:ilvl w:val="0"/>
          <w:numId w:val="6"/>
        </w:numPr>
        <w:spacing w:before="0" w:after="0"/>
        <w:ind w:left="1097"/>
      </w:pPr>
      <w:r w:rsidRPr="00E36343">
        <w:t>La loi 12-03 sur les Études d’Impact sur l’Environnement et ses décrets d’application (Décret n°2-04-584 fixant les modalités d’organisation et de déroulement de l’enquête publique relative aux projets soumis aux études d’impact sur l’environnement, et le décret n°2-04-563 relatif aux attributions et au fonctionnement du comité national et des comités régionaux des études d’impact sur l’environnement) ;</w:t>
      </w:r>
    </w:p>
    <w:p w14:paraId="5EE77AEC" w14:textId="77777777" w:rsidR="008637EF" w:rsidRPr="00E36343" w:rsidRDefault="008637EF">
      <w:pPr>
        <w:numPr>
          <w:ilvl w:val="0"/>
          <w:numId w:val="6"/>
        </w:numPr>
        <w:spacing w:before="0" w:after="0"/>
        <w:ind w:left="1097"/>
      </w:pPr>
      <w:r w:rsidRPr="00E36343">
        <w:t>La loi 13-03 relative à la lutte contre la pollution de l’air et son décret d’application ;</w:t>
      </w:r>
    </w:p>
    <w:p w14:paraId="71639602" w14:textId="77777777" w:rsidR="008637EF" w:rsidRPr="00E36343" w:rsidRDefault="008637EF">
      <w:pPr>
        <w:numPr>
          <w:ilvl w:val="0"/>
          <w:numId w:val="6"/>
        </w:numPr>
        <w:spacing w:before="0" w:after="0"/>
        <w:ind w:left="1097"/>
      </w:pPr>
      <w:r w:rsidRPr="00E36343">
        <w:t xml:space="preserve">La loi 28-00 relative à la gestion des déchets solides et à leur élimination et ses décrets d’application ; </w:t>
      </w:r>
    </w:p>
    <w:p w14:paraId="147EC89C" w14:textId="77777777" w:rsidR="008637EF" w:rsidRPr="00E36343" w:rsidRDefault="008637EF">
      <w:pPr>
        <w:numPr>
          <w:ilvl w:val="0"/>
          <w:numId w:val="6"/>
        </w:numPr>
        <w:spacing w:before="0" w:after="0"/>
        <w:ind w:left="1097"/>
      </w:pPr>
      <w:r w:rsidRPr="00E36343">
        <w:t>La loi 10-95 sur l’eau et ses textes d’application ;</w:t>
      </w:r>
    </w:p>
    <w:p w14:paraId="5EE2C224" w14:textId="77777777" w:rsidR="008637EF" w:rsidRPr="00E36343" w:rsidRDefault="008637EF">
      <w:pPr>
        <w:numPr>
          <w:ilvl w:val="0"/>
          <w:numId w:val="6"/>
        </w:numPr>
        <w:spacing w:before="0" w:after="0"/>
        <w:ind w:left="1097"/>
      </w:pPr>
      <w:r w:rsidRPr="00E36343">
        <w:lastRenderedPageBreak/>
        <w:t>La loi 81-12 sur le littoral, adoptée le 16 mai 2013 ;</w:t>
      </w:r>
    </w:p>
    <w:p w14:paraId="3C3EC522" w14:textId="77777777" w:rsidR="008637EF" w:rsidRPr="00E36343" w:rsidRDefault="008637EF">
      <w:pPr>
        <w:numPr>
          <w:ilvl w:val="0"/>
          <w:numId w:val="6"/>
        </w:numPr>
        <w:spacing w:before="0" w:after="0"/>
        <w:ind w:left="1097"/>
      </w:pPr>
      <w:r w:rsidRPr="00E36343">
        <w:t>Les différentes normes de rejets, liquides ou gazeux ;</w:t>
      </w:r>
    </w:p>
    <w:p w14:paraId="4F1D6BF6" w14:textId="77777777" w:rsidR="008637EF" w:rsidRPr="00E36343" w:rsidRDefault="008637EF">
      <w:pPr>
        <w:numPr>
          <w:ilvl w:val="0"/>
          <w:numId w:val="6"/>
        </w:numPr>
        <w:spacing w:before="0" w:after="0"/>
        <w:ind w:left="1097"/>
      </w:pPr>
      <w:r w:rsidRPr="00E36343">
        <w:t>Dahir du 25 juillet 1969 sur la défense et la restauration des sols ;</w:t>
      </w:r>
    </w:p>
    <w:p w14:paraId="36C3A891" w14:textId="77777777" w:rsidR="008637EF" w:rsidRPr="00E36343" w:rsidRDefault="008637EF">
      <w:pPr>
        <w:numPr>
          <w:ilvl w:val="0"/>
          <w:numId w:val="6"/>
        </w:numPr>
        <w:spacing w:before="0" w:after="0"/>
        <w:ind w:left="1097"/>
      </w:pPr>
      <w:r w:rsidRPr="00E36343">
        <w:t>Dahir du 25 août 1914 portant réglementation des établissements insalubres, incommodes ou dangereux ;</w:t>
      </w:r>
    </w:p>
    <w:p w14:paraId="0B26813F" w14:textId="77777777" w:rsidR="008637EF" w:rsidRPr="00E36343" w:rsidRDefault="008637EF">
      <w:pPr>
        <w:numPr>
          <w:ilvl w:val="0"/>
          <w:numId w:val="6"/>
        </w:numPr>
        <w:spacing w:before="0" w:after="0"/>
        <w:ind w:left="1097"/>
      </w:pPr>
      <w:r w:rsidRPr="00E36343">
        <w:t>La loi de 1917 sur l’exploitation et la conservation des forêts ;</w:t>
      </w:r>
    </w:p>
    <w:p w14:paraId="5F38F4B3" w14:textId="77777777" w:rsidR="008637EF" w:rsidRPr="00E36343" w:rsidRDefault="008637EF">
      <w:pPr>
        <w:numPr>
          <w:ilvl w:val="0"/>
          <w:numId w:val="6"/>
        </w:numPr>
        <w:spacing w:before="0" w:after="0"/>
        <w:ind w:left="1097"/>
      </w:pPr>
      <w:r w:rsidRPr="00E36343">
        <w:t>La loi 12-90 sur l’urbanisme et son décret d’application ;</w:t>
      </w:r>
    </w:p>
    <w:p w14:paraId="27105451" w14:textId="77777777" w:rsidR="008637EF" w:rsidRPr="00E36343" w:rsidRDefault="008637EF">
      <w:pPr>
        <w:numPr>
          <w:ilvl w:val="0"/>
          <w:numId w:val="6"/>
        </w:numPr>
        <w:spacing w:before="0" w:after="0"/>
        <w:ind w:left="1097"/>
      </w:pPr>
      <w:r w:rsidRPr="00E36343">
        <w:t>Etc.</w:t>
      </w:r>
    </w:p>
    <w:p w14:paraId="387F605F" w14:textId="77777777" w:rsidR="008637EF" w:rsidRPr="00E36343" w:rsidRDefault="008637EF" w:rsidP="008637EF">
      <w:r w:rsidRPr="00E36343">
        <w:t>D'autres textes de loi complètent ceux cités ci-dessus et s’adaptent avec le contexte de chaque projet.</w:t>
      </w:r>
    </w:p>
    <w:p w14:paraId="09A0F827" w14:textId="77777777" w:rsidR="008637EF" w:rsidRDefault="008637EF">
      <w:pPr>
        <w:numPr>
          <w:ilvl w:val="0"/>
          <w:numId w:val="7"/>
        </w:numPr>
        <w:spacing w:before="0"/>
        <w:ind w:left="1097"/>
      </w:pPr>
      <w:r>
        <w:t>La l</w:t>
      </w:r>
      <w:r w:rsidRPr="00E36343">
        <w:t>oi 65-99 relative au code du travail ;</w:t>
      </w:r>
    </w:p>
    <w:p w14:paraId="7F5CA943" w14:textId="77777777" w:rsidR="008637EF" w:rsidRPr="00E36343" w:rsidRDefault="008637EF">
      <w:pPr>
        <w:numPr>
          <w:ilvl w:val="0"/>
          <w:numId w:val="7"/>
        </w:numPr>
        <w:spacing w:before="0"/>
        <w:ind w:left="1097"/>
      </w:pPr>
      <w:r>
        <w:t>La loi 13-09 aux énergies renouvelables tel que modifiée et complétée par la loi 58-15</w:t>
      </w:r>
    </w:p>
    <w:p w14:paraId="20D658EB" w14:textId="77777777" w:rsidR="008637EF" w:rsidRPr="00E36343" w:rsidRDefault="008637EF">
      <w:pPr>
        <w:numPr>
          <w:ilvl w:val="0"/>
          <w:numId w:val="7"/>
        </w:numPr>
        <w:spacing w:before="0"/>
        <w:ind w:left="1097"/>
      </w:pPr>
      <w:r w:rsidRPr="00E36343">
        <w:t>L</w:t>
      </w:r>
      <w:r>
        <w:t>a l</w:t>
      </w:r>
      <w:r w:rsidRPr="00E36343">
        <w:t>oi 07-81 relative à l’expropriation publique pour cause d’utilité publique et à l’occupation temporaire </w:t>
      </w:r>
    </w:p>
    <w:p w14:paraId="5A1DE04C" w14:textId="77777777" w:rsidR="008637EF" w:rsidRPr="00E36343" w:rsidRDefault="008637EF">
      <w:pPr>
        <w:numPr>
          <w:ilvl w:val="0"/>
          <w:numId w:val="7"/>
        </w:numPr>
        <w:spacing w:before="0"/>
        <w:ind w:left="1097"/>
      </w:pPr>
      <w:r w:rsidRPr="00E36343">
        <w:t>La charte communale 78-00 telle que modifiée en 2002 et 2009 ;</w:t>
      </w:r>
    </w:p>
    <w:p w14:paraId="4732B4E7" w14:textId="77777777" w:rsidR="008637EF" w:rsidRPr="00E36343" w:rsidRDefault="008637EF">
      <w:pPr>
        <w:numPr>
          <w:ilvl w:val="0"/>
          <w:numId w:val="7"/>
        </w:numPr>
        <w:spacing w:before="0"/>
        <w:ind w:left="1097"/>
      </w:pPr>
      <w:r w:rsidRPr="00E36343">
        <w:t>La charte d’Aménagement urbain (1999) ;</w:t>
      </w:r>
    </w:p>
    <w:p w14:paraId="7F52CDF7" w14:textId="77777777" w:rsidR="008637EF" w:rsidRPr="00E36343" w:rsidRDefault="008637EF">
      <w:pPr>
        <w:numPr>
          <w:ilvl w:val="0"/>
          <w:numId w:val="7"/>
        </w:numPr>
        <w:spacing w:before="0"/>
        <w:ind w:left="1097"/>
      </w:pPr>
      <w:r w:rsidRPr="00E36343">
        <w:t>La loi 54-05 relative à la concession des services publics ;</w:t>
      </w:r>
    </w:p>
    <w:p w14:paraId="26B48AF2" w14:textId="77777777" w:rsidR="008637EF" w:rsidRPr="00E36343" w:rsidRDefault="008637EF">
      <w:pPr>
        <w:numPr>
          <w:ilvl w:val="0"/>
          <w:numId w:val="7"/>
        </w:numPr>
        <w:spacing w:before="0"/>
        <w:ind w:left="1097"/>
      </w:pPr>
      <w:r w:rsidRPr="00E36343">
        <w:t>Dahir de 1914 relatif au domaine public ;</w:t>
      </w:r>
    </w:p>
    <w:p w14:paraId="77433675" w14:textId="77777777" w:rsidR="008637EF" w:rsidRPr="00E36343" w:rsidRDefault="008637EF">
      <w:pPr>
        <w:numPr>
          <w:ilvl w:val="0"/>
          <w:numId w:val="7"/>
        </w:numPr>
        <w:spacing w:before="0"/>
        <w:ind w:left="1097"/>
      </w:pPr>
      <w:r w:rsidRPr="00E36343">
        <w:t>La législation forestière notamment Le dahir du 20 Hijja 1335 (10 octobre 1917) sur la conservation et l'exploitation des forêts ;</w:t>
      </w:r>
    </w:p>
    <w:p w14:paraId="688D30D2" w14:textId="77777777" w:rsidR="008637EF" w:rsidRPr="00E36343" w:rsidRDefault="008637EF">
      <w:pPr>
        <w:numPr>
          <w:ilvl w:val="0"/>
          <w:numId w:val="7"/>
        </w:numPr>
        <w:spacing w:before="0"/>
        <w:ind w:left="1097"/>
      </w:pPr>
      <w:r w:rsidRPr="00E36343">
        <w:t>L</w:t>
      </w:r>
      <w:r>
        <w:t>a l</w:t>
      </w:r>
      <w:r w:rsidRPr="00E36343">
        <w:t>oi 22-07 sur les aires protégées ;</w:t>
      </w:r>
    </w:p>
    <w:p w14:paraId="0B96CE1F" w14:textId="77777777" w:rsidR="008637EF" w:rsidRPr="00E36343" w:rsidRDefault="008637EF">
      <w:pPr>
        <w:numPr>
          <w:ilvl w:val="0"/>
          <w:numId w:val="7"/>
        </w:numPr>
        <w:spacing w:before="0"/>
        <w:ind w:left="1097"/>
      </w:pPr>
      <w:r w:rsidRPr="00E36343">
        <w:t>Dahir du 5 mai 1914 sur l’exploitation des carrières ;</w:t>
      </w:r>
    </w:p>
    <w:p w14:paraId="336E28F8" w14:textId="77777777" w:rsidR="008637EF" w:rsidRPr="00E36343" w:rsidRDefault="008637EF">
      <w:pPr>
        <w:numPr>
          <w:ilvl w:val="0"/>
          <w:numId w:val="7"/>
        </w:numPr>
        <w:spacing w:before="0"/>
        <w:ind w:left="1097"/>
      </w:pPr>
      <w:r w:rsidRPr="00E36343">
        <w:t>L</w:t>
      </w:r>
      <w:r>
        <w:t>a l</w:t>
      </w:r>
      <w:r w:rsidRPr="00E36343">
        <w:t>oi 22-80 relative à la conservation des Monuments historiques et des sites, des inscriptions, des objets d’art et d’Antiquité ;</w:t>
      </w:r>
    </w:p>
    <w:p w14:paraId="2426844B" w14:textId="77777777" w:rsidR="008637EF" w:rsidRDefault="008637EF">
      <w:pPr>
        <w:numPr>
          <w:ilvl w:val="0"/>
          <w:numId w:val="7"/>
        </w:numPr>
        <w:spacing w:before="0"/>
        <w:ind w:left="1097"/>
      </w:pPr>
      <w:r w:rsidRPr="00E36343">
        <w:t>Etc.</w:t>
      </w:r>
    </w:p>
    <w:p w14:paraId="74ADEEAF" w14:textId="77777777" w:rsidR="008637EF" w:rsidRDefault="008637EF" w:rsidP="008637EF">
      <w:pPr>
        <w:pStyle w:val="Title3"/>
      </w:pPr>
      <w:bookmarkStart w:id="71" w:name="_Toc215131793"/>
      <w:r>
        <w:t>Environnement et développement durable</w:t>
      </w:r>
      <w:bookmarkEnd w:id="71"/>
    </w:p>
    <w:tbl>
      <w:tblPr>
        <w:tblStyle w:val="Grilledetableauclaire"/>
        <w:tblW w:w="0" w:type="auto"/>
        <w:tblLook w:val="04A0" w:firstRow="1" w:lastRow="0" w:firstColumn="1" w:lastColumn="0" w:noHBand="0" w:noVBand="1"/>
      </w:tblPr>
      <w:tblGrid>
        <w:gridCol w:w="2547"/>
        <w:gridCol w:w="6515"/>
      </w:tblGrid>
      <w:tr w:rsidR="008637EF" w:rsidRPr="004637C7" w14:paraId="61D5BAA9" w14:textId="77777777" w:rsidTr="005A7661">
        <w:trPr>
          <w:trHeight w:val="616"/>
        </w:trPr>
        <w:tc>
          <w:tcPr>
            <w:tcW w:w="9062" w:type="dxa"/>
            <w:gridSpan w:val="2"/>
          </w:tcPr>
          <w:p w14:paraId="4FAAADAE" w14:textId="77777777" w:rsidR="008637EF" w:rsidRPr="004637C7" w:rsidRDefault="008637EF" w:rsidP="005A7661">
            <w:pPr>
              <w:spacing w:before="0" w:after="0"/>
              <w:rPr>
                <w:rFonts w:asciiTheme="minorHAnsi" w:hAnsiTheme="minorHAnsi" w:cstheme="minorHAnsi"/>
                <w:b/>
                <w:bCs/>
                <w:color w:val="323E4F" w:themeColor="text2" w:themeShade="BF"/>
              </w:rPr>
            </w:pPr>
            <w:r w:rsidRPr="004637C7">
              <w:rPr>
                <w:rFonts w:asciiTheme="minorHAnsi" w:hAnsiTheme="minorHAnsi" w:cstheme="minorHAnsi"/>
                <w:b/>
                <w:bCs/>
                <w:color w:val="323E4F" w:themeColor="text2" w:themeShade="BF"/>
              </w:rPr>
              <w:t>Loi cadre n°99-12 portant Charte nationale de l’environnement et du développement durable</w:t>
            </w:r>
          </w:p>
        </w:tc>
      </w:tr>
      <w:tr w:rsidR="008637EF" w:rsidRPr="004637C7" w14:paraId="257BA309" w14:textId="77777777" w:rsidTr="005A7661">
        <w:tc>
          <w:tcPr>
            <w:tcW w:w="2547" w:type="dxa"/>
          </w:tcPr>
          <w:p w14:paraId="5F66C60D" w14:textId="77777777" w:rsidR="008637EF" w:rsidRPr="004637C7" w:rsidRDefault="008637EF" w:rsidP="005A7661">
            <w:pPr>
              <w:rPr>
                <w:rFonts w:asciiTheme="minorHAnsi" w:hAnsiTheme="minorHAnsi" w:cstheme="minorHAnsi"/>
                <w:b/>
                <w:bCs/>
              </w:rPr>
            </w:pPr>
            <w:r w:rsidRPr="004637C7">
              <w:rPr>
                <w:rFonts w:asciiTheme="minorHAnsi" w:hAnsiTheme="minorHAnsi" w:cstheme="minorHAnsi"/>
                <w:b/>
                <w:bCs/>
              </w:rPr>
              <w:t xml:space="preserve">Résumé </w:t>
            </w:r>
          </w:p>
        </w:tc>
        <w:tc>
          <w:tcPr>
            <w:tcW w:w="6515" w:type="dxa"/>
          </w:tcPr>
          <w:p w14:paraId="04C8C6B4" w14:textId="77777777" w:rsidR="008637EF" w:rsidRPr="004637C7" w:rsidRDefault="008637EF" w:rsidP="005A7661">
            <w:pPr>
              <w:rPr>
                <w:rFonts w:asciiTheme="minorHAnsi" w:hAnsiTheme="minorHAnsi" w:cstheme="minorHAnsi"/>
              </w:rPr>
            </w:pPr>
            <w:r w:rsidRPr="004637C7">
              <w:rPr>
                <w:rFonts w:asciiTheme="minorHAnsi" w:hAnsiTheme="minorHAnsi" w:cstheme="minorHAnsi"/>
              </w:rPr>
              <w:t>Cette loi établit la Charte nationale de l’environnement et du développement durable, fondée sur les droits (droit à un environnement sain), les devoirs (préserver les ressources, protéger le patrimoine naturel et culturel) et les principes (précaution, prévention, participation, responsabilité, durabilité).</w:t>
            </w:r>
          </w:p>
        </w:tc>
      </w:tr>
      <w:tr w:rsidR="008637EF" w:rsidRPr="004637C7" w14:paraId="170CD80A" w14:textId="77777777" w:rsidTr="005A7661">
        <w:tc>
          <w:tcPr>
            <w:tcW w:w="2547" w:type="dxa"/>
          </w:tcPr>
          <w:p w14:paraId="132A5A3A" w14:textId="77777777" w:rsidR="008637EF" w:rsidRPr="004637C7" w:rsidRDefault="008637EF" w:rsidP="005A7661">
            <w:pPr>
              <w:rPr>
                <w:rFonts w:asciiTheme="minorHAnsi" w:hAnsiTheme="minorHAnsi" w:cstheme="minorHAnsi"/>
                <w:b/>
                <w:bCs/>
              </w:rPr>
            </w:pPr>
            <w:r w:rsidRPr="004637C7">
              <w:rPr>
                <w:rFonts w:asciiTheme="minorHAnsi" w:hAnsiTheme="minorHAnsi" w:cstheme="minorHAnsi"/>
                <w:b/>
                <w:bCs/>
              </w:rPr>
              <w:t>Applicabilité</w:t>
            </w:r>
          </w:p>
        </w:tc>
        <w:tc>
          <w:tcPr>
            <w:tcW w:w="6515" w:type="dxa"/>
          </w:tcPr>
          <w:p w14:paraId="5AD42142" w14:textId="04F08386" w:rsidR="008637EF" w:rsidRPr="004637C7" w:rsidRDefault="008637EF" w:rsidP="005A7661">
            <w:pPr>
              <w:rPr>
                <w:rFonts w:asciiTheme="minorHAnsi" w:hAnsiTheme="minorHAnsi" w:cstheme="minorHAnsi"/>
              </w:rPr>
            </w:pPr>
            <w:r w:rsidRPr="004637C7">
              <w:rPr>
                <w:rFonts w:asciiTheme="minorHAnsi" w:hAnsiTheme="minorHAnsi" w:cstheme="minorHAnsi"/>
              </w:rPr>
              <w:t xml:space="preserve">Le projet </w:t>
            </w:r>
            <w:r w:rsidR="00BD4D87" w:rsidRPr="00BD4D87">
              <w:rPr>
                <w:rFonts w:asciiTheme="minorHAnsi" w:hAnsiTheme="minorHAnsi" w:cstheme="minorHAnsi"/>
              </w:rPr>
              <w:t xml:space="preserve">de modernisation et d’extension des infrastructures aéroportuaires </w:t>
            </w:r>
            <w:r w:rsidRPr="004637C7">
              <w:rPr>
                <w:rFonts w:asciiTheme="minorHAnsi" w:hAnsiTheme="minorHAnsi" w:cstheme="minorHAnsi"/>
              </w:rPr>
              <w:t xml:space="preserve">de l’aéroport </w:t>
            </w:r>
            <w:r w:rsidR="00EE6509">
              <w:rPr>
                <w:rFonts w:asciiTheme="minorHAnsi" w:hAnsiTheme="minorHAnsi" w:cstheme="minorHAnsi"/>
              </w:rPr>
              <w:t>de Marrakech Ménara</w:t>
            </w:r>
            <w:r w:rsidRPr="004637C7">
              <w:rPr>
                <w:rFonts w:asciiTheme="minorHAnsi" w:hAnsiTheme="minorHAnsi" w:cstheme="minorHAnsi"/>
              </w:rPr>
              <w:t xml:space="preserve"> implique des travaux et des activités susceptibles de générer des impacts (pollution </w:t>
            </w:r>
            <w:r w:rsidRPr="004637C7">
              <w:rPr>
                <w:rFonts w:asciiTheme="minorHAnsi" w:hAnsiTheme="minorHAnsi" w:cstheme="minorHAnsi"/>
              </w:rPr>
              <w:lastRenderedPageBreak/>
              <w:t>sonore, gestion des déchets, rejets liquides, occupation du sol, consommation d’énergie et d’eau). La Charte s’applique car elle impose que ces projets structurants intègrent les principes de durabilité, de précaution et de participation, en garantissant le droit des usagers et des riverains à un environnement sain.</w:t>
            </w:r>
          </w:p>
        </w:tc>
      </w:tr>
      <w:tr w:rsidR="008637EF" w:rsidRPr="004637C7" w14:paraId="600CD2E4" w14:textId="77777777" w:rsidTr="005A7661">
        <w:tc>
          <w:tcPr>
            <w:tcW w:w="2547" w:type="dxa"/>
          </w:tcPr>
          <w:p w14:paraId="62C8C329" w14:textId="77777777" w:rsidR="008637EF" w:rsidRPr="004637C7" w:rsidRDefault="008637EF" w:rsidP="005A7661">
            <w:pPr>
              <w:rPr>
                <w:rFonts w:asciiTheme="minorHAnsi" w:hAnsiTheme="minorHAnsi" w:cstheme="minorHAnsi"/>
                <w:b/>
                <w:bCs/>
              </w:rPr>
            </w:pPr>
            <w:r w:rsidRPr="004637C7">
              <w:rPr>
                <w:rFonts w:asciiTheme="minorHAnsi" w:hAnsiTheme="minorHAnsi" w:cstheme="minorHAnsi"/>
                <w:b/>
                <w:bCs/>
              </w:rPr>
              <w:lastRenderedPageBreak/>
              <w:t>Exigences de conformité</w:t>
            </w:r>
          </w:p>
        </w:tc>
        <w:tc>
          <w:tcPr>
            <w:tcW w:w="6515" w:type="dxa"/>
          </w:tcPr>
          <w:p w14:paraId="4AF3D954" w14:textId="77777777" w:rsidR="008637EF" w:rsidRPr="004637C7" w:rsidRDefault="008637EF" w:rsidP="005A7661">
            <w:pPr>
              <w:spacing w:after="0"/>
              <w:rPr>
                <w:rFonts w:asciiTheme="minorHAnsi" w:hAnsiTheme="minorHAnsi" w:cstheme="minorHAnsi"/>
              </w:rPr>
            </w:pPr>
            <w:r w:rsidRPr="004637C7">
              <w:rPr>
                <w:rFonts w:asciiTheme="minorHAnsi" w:hAnsiTheme="minorHAnsi" w:cstheme="minorHAnsi"/>
              </w:rPr>
              <w:t>L’ONDA et l’EPC devront :</w:t>
            </w:r>
          </w:p>
          <w:p w14:paraId="07E558C4" w14:textId="77777777" w:rsidR="008637EF" w:rsidRPr="004637C7" w:rsidRDefault="008637EF" w:rsidP="005A7661">
            <w:pPr>
              <w:pStyle w:val="Tirets"/>
              <w:spacing w:line="240" w:lineRule="auto"/>
              <w:ind w:left="313"/>
              <w:rPr>
                <w:rFonts w:asciiTheme="minorHAnsi" w:hAnsiTheme="minorHAnsi" w:cstheme="minorHAnsi"/>
              </w:rPr>
            </w:pPr>
            <w:r w:rsidRPr="004637C7">
              <w:rPr>
                <w:rFonts w:asciiTheme="minorHAnsi" w:hAnsiTheme="minorHAnsi" w:cstheme="minorHAnsi"/>
              </w:rPr>
              <w:t>démontrer l’intégration des valeurs de durabilité et de responsabilité dans l’EIES ;</w:t>
            </w:r>
          </w:p>
          <w:p w14:paraId="048B043D" w14:textId="77777777" w:rsidR="008637EF" w:rsidRPr="004637C7" w:rsidRDefault="008637EF" w:rsidP="005A7661">
            <w:pPr>
              <w:pStyle w:val="Tirets"/>
              <w:spacing w:line="240" w:lineRule="auto"/>
              <w:ind w:left="313"/>
              <w:rPr>
                <w:rFonts w:asciiTheme="minorHAnsi" w:hAnsiTheme="minorHAnsi" w:cstheme="minorHAnsi"/>
              </w:rPr>
            </w:pPr>
            <w:r w:rsidRPr="004637C7">
              <w:rPr>
                <w:rFonts w:asciiTheme="minorHAnsi" w:hAnsiTheme="minorHAnsi" w:cstheme="minorHAnsi"/>
              </w:rPr>
              <w:t>assurer la participation des parties prenantes (enquête publique, concertation) ;</w:t>
            </w:r>
          </w:p>
          <w:p w14:paraId="642E5201" w14:textId="77777777" w:rsidR="008637EF" w:rsidRPr="004637C7" w:rsidRDefault="008637EF" w:rsidP="005A7661">
            <w:pPr>
              <w:pStyle w:val="Tirets"/>
              <w:spacing w:line="240" w:lineRule="auto"/>
              <w:ind w:left="313"/>
              <w:rPr>
                <w:rFonts w:asciiTheme="minorHAnsi" w:hAnsiTheme="minorHAnsi" w:cstheme="minorHAnsi"/>
              </w:rPr>
            </w:pPr>
            <w:r w:rsidRPr="004637C7">
              <w:rPr>
                <w:rFonts w:asciiTheme="minorHAnsi" w:hAnsiTheme="minorHAnsi" w:cstheme="minorHAnsi"/>
              </w:rPr>
              <w:t>mettre en œuvre des mesures de prévention et de suivi environnemental et social.</w:t>
            </w:r>
          </w:p>
        </w:tc>
      </w:tr>
      <w:tr w:rsidR="008637EF" w:rsidRPr="004637C7" w14:paraId="09DBAF06" w14:textId="77777777" w:rsidTr="005A7661">
        <w:tc>
          <w:tcPr>
            <w:tcW w:w="9062" w:type="dxa"/>
            <w:gridSpan w:val="2"/>
          </w:tcPr>
          <w:p w14:paraId="67036F8F" w14:textId="77777777" w:rsidR="008637EF" w:rsidRPr="004637C7" w:rsidRDefault="008637EF" w:rsidP="005A7661">
            <w:pPr>
              <w:spacing w:before="0" w:after="0"/>
              <w:rPr>
                <w:rFonts w:asciiTheme="minorHAnsi" w:hAnsiTheme="minorHAnsi" w:cstheme="minorHAnsi"/>
                <w:b/>
                <w:bCs/>
                <w:color w:val="323E4F" w:themeColor="text2" w:themeShade="BF"/>
              </w:rPr>
            </w:pPr>
            <w:r w:rsidRPr="004637C7">
              <w:rPr>
                <w:rFonts w:asciiTheme="minorHAnsi" w:hAnsiTheme="minorHAnsi" w:cstheme="minorHAnsi"/>
                <w:b/>
                <w:bCs/>
                <w:color w:val="323E4F" w:themeColor="text2" w:themeShade="BF"/>
              </w:rPr>
              <w:t>Loi 11-03 de protection et de mise en valeur de l’environnement</w:t>
            </w:r>
          </w:p>
        </w:tc>
      </w:tr>
      <w:tr w:rsidR="008637EF" w:rsidRPr="004637C7" w14:paraId="1F5FA84B" w14:textId="77777777" w:rsidTr="005A7661">
        <w:tc>
          <w:tcPr>
            <w:tcW w:w="2547" w:type="dxa"/>
          </w:tcPr>
          <w:p w14:paraId="4BD62623" w14:textId="77777777" w:rsidR="008637EF" w:rsidRPr="004637C7" w:rsidRDefault="008637EF" w:rsidP="005A7661">
            <w:pPr>
              <w:rPr>
                <w:rFonts w:asciiTheme="minorHAnsi" w:hAnsiTheme="minorHAnsi" w:cstheme="minorHAnsi"/>
                <w:b/>
                <w:bCs/>
              </w:rPr>
            </w:pPr>
            <w:r w:rsidRPr="004637C7">
              <w:rPr>
                <w:rFonts w:asciiTheme="minorHAnsi" w:hAnsiTheme="minorHAnsi" w:cstheme="minorHAnsi"/>
                <w:b/>
                <w:bCs/>
              </w:rPr>
              <w:t xml:space="preserve">Résumé </w:t>
            </w:r>
          </w:p>
        </w:tc>
        <w:tc>
          <w:tcPr>
            <w:tcW w:w="6515" w:type="dxa"/>
          </w:tcPr>
          <w:p w14:paraId="7181E5F4" w14:textId="77777777" w:rsidR="008637EF" w:rsidRPr="004637C7" w:rsidRDefault="008637EF" w:rsidP="005A7661">
            <w:pPr>
              <w:spacing w:after="0"/>
              <w:rPr>
                <w:rFonts w:asciiTheme="minorHAnsi" w:hAnsiTheme="minorHAnsi" w:cstheme="minorHAnsi"/>
              </w:rPr>
            </w:pPr>
            <w:r w:rsidRPr="004637C7">
              <w:rPr>
                <w:rFonts w:asciiTheme="minorHAnsi" w:hAnsiTheme="minorHAnsi" w:cstheme="minorHAnsi"/>
              </w:rPr>
              <w:t>Cette loi fixe le cadre général de la protection de l’environnement au Maroc. Elle définit les principes de prévention des nuisances, les normes de rejets, les outils de gestion et institue la responsabilité du pollueur et de l’usager.</w:t>
            </w:r>
          </w:p>
        </w:tc>
      </w:tr>
      <w:tr w:rsidR="008637EF" w:rsidRPr="004637C7" w14:paraId="1F6AC376" w14:textId="77777777" w:rsidTr="005A7661">
        <w:tc>
          <w:tcPr>
            <w:tcW w:w="2547" w:type="dxa"/>
          </w:tcPr>
          <w:p w14:paraId="33C81964" w14:textId="77777777" w:rsidR="008637EF" w:rsidRPr="004637C7" w:rsidRDefault="008637EF" w:rsidP="005A7661">
            <w:pPr>
              <w:rPr>
                <w:rFonts w:asciiTheme="minorHAnsi" w:hAnsiTheme="minorHAnsi" w:cstheme="minorHAnsi"/>
                <w:b/>
                <w:bCs/>
              </w:rPr>
            </w:pPr>
            <w:r w:rsidRPr="004637C7">
              <w:rPr>
                <w:rFonts w:asciiTheme="minorHAnsi" w:hAnsiTheme="minorHAnsi" w:cstheme="minorHAnsi"/>
                <w:b/>
                <w:bCs/>
              </w:rPr>
              <w:t>Applicabilité</w:t>
            </w:r>
          </w:p>
        </w:tc>
        <w:tc>
          <w:tcPr>
            <w:tcW w:w="6515" w:type="dxa"/>
          </w:tcPr>
          <w:p w14:paraId="1E82EA7F" w14:textId="77777777" w:rsidR="008637EF" w:rsidRPr="004637C7" w:rsidRDefault="008637EF" w:rsidP="005A7661">
            <w:pPr>
              <w:spacing w:after="0"/>
              <w:rPr>
                <w:rFonts w:asciiTheme="minorHAnsi" w:hAnsiTheme="minorHAnsi" w:cstheme="minorHAnsi"/>
              </w:rPr>
            </w:pPr>
            <w:r w:rsidRPr="004637C7">
              <w:rPr>
                <w:rFonts w:asciiTheme="minorHAnsi" w:hAnsiTheme="minorHAnsi" w:cstheme="minorHAnsi"/>
              </w:rPr>
              <w:t>Le projet d’aéroport engendre des risques de nuisances (émissions atmosphériques, rejets liquides, bruit, gestion de déchets solides et dangereux, risques de pollution des sols et eaux). Ces composantes relèvent directement de la Loi 11-03, qui impose leur contrôle et leur réduction.</w:t>
            </w:r>
          </w:p>
        </w:tc>
      </w:tr>
      <w:tr w:rsidR="008637EF" w:rsidRPr="004637C7" w14:paraId="255DC875" w14:textId="77777777" w:rsidTr="005A7661">
        <w:tc>
          <w:tcPr>
            <w:tcW w:w="2547" w:type="dxa"/>
          </w:tcPr>
          <w:p w14:paraId="5DD9379E" w14:textId="77777777" w:rsidR="008637EF" w:rsidRPr="004637C7" w:rsidRDefault="008637EF" w:rsidP="005A7661">
            <w:pPr>
              <w:rPr>
                <w:rFonts w:asciiTheme="minorHAnsi" w:hAnsiTheme="minorHAnsi" w:cstheme="minorHAnsi"/>
                <w:b/>
                <w:bCs/>
              </w:rPr>
            </w:pPr>
            <w:r w:rsidRPr="004637C7">
              <w:rPr>
                <w:rFonts w:asciiTheme="minorHAnsi" w:hAnsiTheme="minorHAnsi" w:cstheme="minorHAnsi"/>
                <w:b/>
                <w:bCs/>
              </w:rPr>
              <w:t>Exigences de conformité</w:t>
            </w:r>
          </w:p>
        </w:tc>
        <w:tc>
          <w:tcPr>
            <w:tcW w:w="6515" w:type="dxa"/>
          </w:tcPr>
          <w:p w14:paraId="7137999D" w14:textId="77777777" w:rsidR="008637EF" w:rsidRPr="004637C7" w:rsidRDefault="008637EF" w:rsidP="005A7661">
            <w:pPr>
              <w:spacing w:after="0"/>
              <w:rPr>
                <w:rFonts w:asciiTheme="minorHAnsi" w:hAnsiTheme="minorHAnsi" w:cstheme="minorHAnsi"/>
              </w:rPr>
            </w:pPr>
            <w:r w:rsidRPr="004637C7">
              <w:rPr>
                <w:rFonts w:asciiTheme="minorHAnsi" w:hAnsiTheme="minorHAnsi" w:cstheme="minorHAnsi"/>
              </w:rPr>
              <w:t>Le maître d’ouvrage doit :</w:t>
            </w:r>
          </w:p>
          <w:p w14:paraId="7D0D077B" w14:textId="77777777" w:rsidR="008637EF" w:rsidRPr="004637C7" w:rsidRDefault="008637EF" w:rsidP="005A7661">
            <w:pPr>
              <w:pStyle w:val="Tirets"/>
              <w:spacing w:line="240" w:lineRule="auto"/>
              <w:ind w:left="313"/>
              <w:rPr>
                <w:rFonts w:asciiTheme="minorHAnsi" w:hAnsiTheme="minorHAnsi" w:cstheme="minorHAnsi"/>
              </w:rPr>
            </w:pPr>
            <w:r w:rsidRPr="004637C7">
              <w:rPr>
                <w:rFonts w:asciiTheme="minorHAnsi" w:hAnsiTheme="minorHAnsi" w:cstheme="minorHAnsi"/>
              </w:rPr>
              <w:t>respecter les normes nationales de rejets atmosphériques, liquides et sonores ;</w:t>
            </w:r>
          </w:p>
          <w:p w14:paraId="77E4E5CD" w14:textId="77777777" w:rsidR="008637EF" w:rsidRPr="004637C7" w:rsidRDefault="008637EF" w:rsidP="005A7661">
            <w:pPr>
              <w:pStyle w:val="Tirets"/>
              <w:spacing w:line="240" w:lineRule="auto"/>
              <w:ind w:left="313"/>
              <w:rPr>
                <w:rFonts w:asciiTheme="minorHAnsi" w:hAnsiTheme="minorHAnsi" w:cstheme="minorHAnsi"/>
              </w:rPr>
            </w:pPr>
            <w:r w:rsidRPr="004637C7">
              <w:rPr>
                <w:rFonts w:asciiTheme="minorHAnsi" w:hAnsiTheme="minorHAnsi" w:cstheme="minorHAnsi"/>
              </w:rPr>
              <w:t>mettre en place des mesures de prévention, atténuation et réparation en cas de pollution ;</w:t>
            </w:r>
          </w:p>
          <w:p w14:paraId="2350EDDF" w14:textId="77777777" w:rsidR="008637EF" w:rsidRPr="004637C7" w:rsidRDefault="008637EF" w:rsidP="005A7661">
            <w:pPr>
              <w:pStyle w:val="Tirets"/>
              <w:spacing w:line="240" w:lineRule="auto"/>
              <w:ind w:left="313"/>
              <w:rPr>
                <w:rFonts w:asciiTheme="minorHAnsi" w:hAnsiTheme="minorHAnsi" w:cstheme="minorHAnsi"/>
              </w:rPr>
            </w:pPr>
            <w:r w:rsidRPr="004637C7">
              <w:rPr>
                <w:rFonts w:asciiTheme="minorHAnsi" w:hAnsiTheme="minorHAnsi" w:cstheme="minorHAnsi"/>
              </w:rPr>
              <w:t>assurer la gestion des déchets générés par les travaux et l’exploitation ;</w:t>
            </w:r>
          </w:p>
          <w:p w14:paraId="72C25C59" w14:textId="77777777" w:rsidR="008637EF" w:rsidRPr="004637C7" w:rsidRDefault="008637EF" w:rsidP="005A7661">
            <w:pPr>
              <w:pStyle w:val="Tirets"/>
              <w:spacing w:line="240" w:lineRule="auto"/>
              <w:ind w:left="313"/>
              <w:rPr>
                <w:rFonts w:asciiTheme="minorHAnsi" w:hAnsiTheme="minorHAnsi" w:cstheme="minorHAnsi"/>
              </w:rPr>
            </w:pPr>
            <w:r w:rsidRPr="004637C7">
              <w:rPr>
                <w:rFonts w:asciiTheme="minorHAnsi" w:hAnsiTheme="minorHAnsi" w:cstheme="minorHAnsi"/>
              </w:rPr>
              <w:t>garantir un équilibre entre exigences de développement aéroportuaire et protection de l’environnement.</w:t>
            </w:r>
          </w:p>
        </w:tc>
      </w:tr>
      <w:tr w:rsidR="008637EF" w:rsidRPr="004637C7" w14:paraId="3E08DC8B" w14:textId="77777777" w:rsidTr="005A7661">
        <w:tc>
          <w:tcPr>
            <w:tcW w:w="9062" w:type="dxa"/>
            <w:gridSpan w:val="2"/>
          </w:tcPr>
          <w:p w14:paraId="19DFE961" w14:textId="77777777" w:rsidR="008637EF" w:rsidRPr="004637C7" w:rsidRDefault="008637EF" w:rsidP="005A7661">
            <w:pPr>
              <w:spacing w:before="0" w:after="0"/>
              <w:rPr>
                <w:rFonts w:asciiTheme="minorHAnsi" w:hAnsiTheme="minorHAnsi" w:cstheme="minorHAnsi"/>
                <w:b/>
                <w:bCs/>
                <w:color w:val="323E4F" w:themeColor="text2" w:themeShade="BF"/>
              </w:rPr>
            </w:pPr>
            <w:r w:rsidRPr="004637C7">
              <w:rPr>
                <w:rFonts w:asciiTheme="minorHAnsi" w:hAnsiTheme="minorHAnsi" w:cstheme="minorHAnsi"/>
                <w:b/>
                <w:bCs/>
                <w:color w:val="323E4F" w:themeColor="text2" w:themeShade="BF"/>
              </w:rPr>
              <w:t>Loi 12-03 relative aux études d’impact sur l’environnement et ses décrets d’application</w:t>
            </w:r>
          </w:p>
        </w:tc>
      </w:tr>
      <w:tr w:rsidR="008637EF" w:rsidRPr="004637C7" w14:paraId="36F3FE2F" w14:textId="77777777" w:rsidTr="005A7661">
        <w:tc>
          <w:tcPr>
            <w:tcW w:w="2547" w:type="dxa"/>
          </w:tcPr>
          <w:p w14:paraId="7501A413" w14:textId="77777777" w:rsidR="008637EF" w:rsidRPr="004637C7" w:rsidRDefault="008637EF" w:rsidP="005A7661">
            <w:pPr>
              <w:rPr>
                <w:rFonts w:asciiTheme="minorHAnsi" w:hAnsiTheme="minorHAnsi" w:cstheme="minorHAnsi"/>
                <w:b/>
                <w:bCs/>
              </w:rPr>
            </w:pPr>
            <w:r w:rsidRPr="004637C7">
              <w:rPr>
                <w:rFonts w:asciiTheme="minorHAnsi" w:hAnsiTheme="minorHAnsi" w:cstheme="minorHAnsi"/>
                <w:b/>
                <w:bCs/>
              </w:rPr>
              <w:t xml:space="preserve">Résumé </w:t>
            </w:r>
          </w:p>
        </w:tc>
        <w:tc>
          <w:tcPr>
            <w:tcW w:w="6515" w:type="dxa"/>
          </w:tcPr>
          <w:p w14:paraId="5B00561A" w14:textId="77777777" w:rsidR="008637EF" w:rsidRPr="004637C7" w:rsidRDefault="008637EF" w:rsidP="005A7661">
            <w:pPr>
              <w:spacing w:after="0"/>
              <w:rPr>
                <w:rFonts w:asciiTheme="minorHAnsi" w:hAnsiTheme="minorHAnsi" w:cstheme="minorHAnsi"/>
              </w:rPr>
            </w:pPr>
            <w:r w:rsidRPr="004637C7">
              <w:rPr>
                <w:rFonts w:asciiTheme="minorHAnsi" w:hAnsiTheme="minorHAnsi" w:cstheme="minorHAnsi"/>
              </w:rPr>
              <w:t>La loi 12-03 définit le champ d’application des EIE, leur contenu obligatoire, et conditionne la réalisation des projets à l’obtention d’une décision d’acceptabilité environnementale. Elle prévoit également une enquête publique (Décret n°2-04-564), l’organisation des comités d’examen nationaux et régionaux (Décret n°2-04-563), ainsi que des modalités administratives (délégation de signature aux walis – Arrêté n°470-08 ; tarification des services liés à l’enquête publique – Arrêté n°636-10).</w:t>
            </w:r>
          </w:p>
        </w:tc>
      </w:tr>
      <w:tr w:rsidR="008637EF" w:rsidRPr="004637C7" w14:paraId="5D90F875" w14:textId="77777777" w:rsidTr="005A7661">
        <w:tc>
          <w:tcPr>
            <w:tcW w:w="2547" w:type="dxa"/>
          </w:tcPr>
          <w:p w14:paraId="496B29A4" w14:textId="77777777" w:rsidR="008637EF" w:rsidRPr="004637C7" w:rsidRDefault="008637EF" w:rsidP="005A7661">
            <w:pPr>
              <w:rPr>
                <w:rFonts w:asciiTheme="minorHAnsi" w:hAnsiTheme="minorHAnsi" w:cstheme="minorHAnsi"/>
                <w:b/>
                <w:bCs/>
              </w:rPr>
            </w:pPr>
            <w:r w:rsidRPr="004637C7">
              <w:rPr>
                <w:rFonts w:asciiTheme="minorHAnsi" w:hAnsiTheme="minorHAnsi" w:cstheme="minorHAnsi"/>
                <w:b/>
                <w:bCs/>
              </w:rPr>
              <w:lastRenderedPageBreak/>
              <w:t>Applicabilité</w:t>
            </w:r>
          </w:p>
        </w:tc>
        <w:tc>
          <w:tcPr>
            <w:tcW w:w="6515" w:type="dxa"/>
          </w:tcPr>
          <w:p w14:paraId="2F2946E1" w14:textId="4A38585B" w:rsidR="008637EF" w:rsidRPr="004637C7" w:rsidRDefault="008637EF" w:rsidP="005A7661">
            <w:pPr>
              <w:spacing w:after="0"/>
              <w:rPr>
                <w:rFonts w:asciiTheme="minorHAnsi" w:hAnsiTheme="minorHAnsi" w:cstheme="minorHAnsi"/>
              </w:rPr>
            </w:pPr>
            <w:r w:rsidRPr="004637C7">
              <w:rPr>
                <w:rFonts w:asciiTheme="minorHAnsi" w:hAnsiTheme="minorHAnsi" w:cstheme="minorHAnsi"/>
              </w:rPr>
              <w:t xml:space="preserve">Les projets d’aménagement d’aéroports et leurs extensions figurent explicitement dans la liste des projets soumis à EIE. L’aéroport </w:t>
            </w:r>
            <w:r w:rsidR="00EE6509">
              <w:rPr>
                <w:rFonts w:asciiTheme="minorHAnsi" w:hAnsiTheme="minorHAnsi" w:cstheme="minorHAnsi"/>
              </w:rPr>
              <w:t xml:space="preserve">de Marrakech Ménara </w:t>
            </w:r>
            <w:r w:rsidRPr="004637C7">
              <w:rPr>
                <w:rFonts w:asciiTheme="minorHAnsi" w:hAnsiTheme="minorHAnsi" w:cstheme="minorHAnsi"/>
              </w:rPr>
              <w:t>ne peut donc être réaménagé ou agrandi sans acceptabilité environnementale délivrée par la CRUI après instruction et enquête publique.</w:t>
            </w:r>
          </w:p>
        </w:tc>
      </w:tr>
      <w:tr w:rsidR="008637EF" w:rsidRPr="004637C7" w14:paraId="50F7F996" w14:textId="77777777" w:rsidTr="005A7661">
        <w:tc>
          <w:tcPr>
            <w:tcW w:w="2547" w:type="dxa"/>
          </w:tcPr>
          <w:p w14:paraId="1D988EBA" w14:textId="77777777" w:rsidR="008637EF" w:rsidRPr="004637C7" w:rsidRDefault="008637EF" w:rsidP="005A7661">
            <w:pPr>
              <w:rPr>
                <w:rFonts w:asciiTheme="minorHAnsi" w:hAnsiTheme="minorHAnsi" w:cstheme="minorHAnsi"/>
                <w:b/>
                <w:bCs/>
              </w:rPr>
            </w:pPr>
            <w:r w:rsidRPr="004637C7">
              <w:rPr>
                <w:rFonts w:asciiTheme="minorHAnsi" w:hAnsiTheme="minorHAnsi" w:cstheme="minorHAnsi"/>
                <w:b/>
                <w:bCs/>
              </w:rPr>
              <w:t>Exigences de conformité</w:t>
            </w:r>
          </w:p>
        </w:tc>
        <w:tc>
          <w:tcPr>
            <w:tcW w:w="6515" w:type="dxa"/>
          </w:tcPr>
          <w:p w14:paraId="00A83078" w14:textId="77777777" w:rsidR="008637EF" w:rsidRPr="004637C7" w:rsidRDefault="008637EF" w:rsidP="005A7661">
            <w:pPr>
              <w:spacing w:after="0"/>
              <w:rPr>
                <w:rFonts w:asciiTheme="minorHAnsi" w:hAnsiTheme="minorHAnsi" w:cstheme="minorHAnsi"/>
              </w:rPr>
            </w:pPr>
            <w:r w:rsidRPr="004637C7">
              <w:rPr>
                <w:rFonts w:asciiTheme="minorHAnsi" w:hAnsiTheme="minorHAnsi" w:cstheme="minorHAnsi"/>
              </w:rPr>
              <w:t>Le maître d’ouvrage doit :</w:t>
            </w:r>
          </w:p>
          <w:p w14:paraId="4F58163A" w14:textId="77777777" w:rsidR="008637EF" w:rsidRPr="004637C7" w:rsidRDefault="008637EF" w:rsidP="005A7661">
            <w:pPr>
              <w:pStyle w:val="Tirets"/>
              <w:spacing w:line="240" w:lineRule="auto"/>
              <w:ind w:left="313"/>
              <w:rPr>
                <w:rFonts w:asciiTheme="minorHAnsi" w:hAnsiTheme="minorHAnsi" w:cstheme="minorHAnsi"/>
              </w:rPr>
            </w:pPr>
            <w:r w:rsidRPr="004637C7">
              <w:rPr>
                <w:rFonts w:asciiTheme="minorHAnsi" w:hAnsiTheme="minorHAnsi" w:cstheme="minorHAnsi"/>
              </w:rPr>
              <w:t>déposer une EIES complète conforme aux articles 5 et 6 (analyse de l’état initial, identification des impacts, mesures d’atténuation et compensation, plan de suivi) ;</w:t>
            </w:r>
          </w:p>
          <w:p w14:paraId="0159967A" w14:textId="77777777" w:rsidR="008637EF" w:rsidRPr="004637C7" w:rsidRDefault="008637EF" w:rsidP="005A7661">
            <w:pPr>
              <w:pStyle w:val="Tirets"/>
              <w:spacing w:line="240" w:lineRule="auto"/>
              <w:ind w:left="313"/>
              <w:rPr>
                <w:rFonts w:asciiTheme="minorHAnsi" w:hAnsiTheme="minorHAnsi" w:cstheme="minorHAnsi"/>
              </w:rPr>
            </w:pPr>
            <w:r w:rsidRPr="004637C7">
              <w:rPr>
                <w:rFonts w:asciiTheme="minorHAnsi" w:hAnsiTheme="minorHAnsi" w:cstheme="minorHAnsi"/>
              </w:rPr>
              <w:t>organiser une enquête publique selon le Décret n°2-04-564 ;</w:t>
            </w:r>
          </w:p>
          <w:p w14:paraId="64EE785F" w14:textId="77777777" w:rsidR="008637EF" w:rsidRPr="004637C7" w:rsidRDefault="008637EF" w:rsidP="005A7661">
            <w:pPr>
              <w:pStyle w:val="Tirets"/>
              <w:spacing w:line="240" w:lineRule="auto"/>
              <w:ind w:left="313"/>
              <w:rPr>
                <w:rFonts w:asciiTheme="minorHAnsi" w:hAnsiTheme="minorHAnsi" w:cstheme="minorHAnsi"/>
              </w:rPr>
            </w:pPr>
            <w:r w:rsidRPr="004637C7">
              <w:rPr>
                <w:rFonts w:asciiTheme="minorHAnsi" w:hAnsiTheme="minorHAnsi" w:cstheme="minorHAnsi"/>
              </w:rPr>
              <w:t>obtenir une décision d’acceptabilité environnementale signée par le wali de région avant tout démarrage ;</w:t>
            </w:r>
          </w:p>
          <w:p w14:paraId="2B8CBB3E" w14:textId="77777777" w:rsidR="008637EF" w:rsidRPr="004637C7" w:rsidRDefault="008637EF" w:rsidP="005A7661">
            <w:pPr>
              <w:pStyle w:val="Tirets"/>
              <w:spacing w:line="240" w:lineRule="auto"/>
              <w:ind w:left="313"/>
              <w:rPr>
                <w:rFonts w:asciiTheme="minorHAnsi" w:hAnsiTheme="minorHAnsi" w:cstheme="minorHAnsi"/>
              </w:rPr>
            </w:pPr>
            <w:r w:rsidRPr="004637C7">
              <w:rPr>
                <w:rFonts w:asciiTheme="minorHAnsi" w:hAnsiTheme="minorHAnsi" w:cstheme="minorHAnsi"/>
              </w:rPr>
              <w:t>se conformer aux prescriptions de suivi et de contrôle imposées par l’administration.</w:t>
            </w:r>
          </w:p>
        </w:tc>
      </w:tr>
      <w:tr w:rsidR="008637EF" w:rsidRPr="004637C7" w14:paraId="23AC1F82" w14:textId="77777777" w:rsidTr="005A7661">
        <w:tc>
          <w:tcPr>
            <w:tcW w:w="9062" w:type="dxa"/>
            <w:gridSpan w:val="2"/>
          </w:tcPr>
          <w:p w14:paraId="542ED4F2" w14:textId="77777777" w:rsidR="008637EF" w:rsidRPr="004637C7" w:rsidRDefault="008637EF" w:rsidP="005A7661">
            <w:pPr>
              <w:spacing w:before="0" w:after="0"/>
              <w:rPr>
                <w:rFonts w:asciiTheme="minorHAnsi" w:hAnsiTheme="minorHAnsi" w:cstheme="minorHAnsi"/>
                <w:b/>
                <w:bCs/>
                <w:color w:val="323E4F" w:themeColor="text2" w:themeShade="BF"/>
              </w:rPr>
            </w:pPr>
            <w:r w:rsidRPr="004637C7">
              <w:rPr>
                <w:rFonts w:asciiTheme="minorHAnsi" w:hAnsiTheme="minorHAnsi" w:cstheme="minorHAnsi"/>
                <w:b/>
                <w:bCs/>
                <w:color w:val="323E4F" w:themeColor="text2" w:themeShade="BF"/>
              </w:rPr>
              <w:t>Loi 49-17 relative à l’évaluation environnementale</w:t>
            </w:r>
          </w:p>
        </w:tc>
      </w:tr>
      <w:tr w:rsidR="008637EF" w:rsidRPr="004637C7" w14:paraId="7E0A4649" w14:textId="77777777" w:rsidTr="005A7661">
        <w:tc>
          <w:tcPr>
            <w:tcW w:w="2547" w:type="dxa"/>
          </w:tcPr>
          <w:p w14:paraId="1D417EAB" w14:textId="77777777" w:rsidR="008637EF" w:rsidRPr="004637C7" w:rsidRDefault="008637EF" w:rsidP="005A7661">
            <w:pPr>
              <w:rPr>
                <w:rFonts w:asciiTheme="minorHAnsi" w:hAnsiTheme="minorHAnsi" w:cstheme="minorHAnsi"/>
                <w:b/>
                <w:bCs/>
              </w:rPr>
            </w:pPr>
            <w:r w:rsidRPr="004637C7">
              <w:rPr>
                <w:rFonts w:asciiTheme="minorHAnsi" w:hAnsiTheme="minorHAnsi" w:cstheme="minorHAnsi"/>
                <w:b/>
                <w:bCs/>
              </w:rPr>
              <w:t xml:space="preserve">Résumé </w:t>
            </w:r>
          </w:p>
        </w:tc>
        <w:tc>
          <w:tcPr>
            <w:tcW w:w="6515" w:type="dxa"/>
          </w:tcPr>
          <w:p w14:paraId="74A521B0" w14:textId="77777777" w:rsidR="008637EF" w:rsidRPr="004637C7" w:rsidRDefault="008637EF" w:rsidP="005A7661">
            <w:pPr>
              <w:spacing w:after="0"/>
              <w:rPr>
                <w:rFonts w:asciiTheme="minorHAnsi" w:hAnsiTheme="minorHAnsi" w:cstheme="minorHAnsi"/>
              </w:rPr>
            </w:pPr>
            <w:r w:rsidRPr="004637C7">
              <w:rPr>
                <w:rFonts w:asciiTheme="minorHAnsi" w:hAnsiTheme="minorHAnsi" w:cstheme="minorHAnsi"/>
              </w:rPr>
              <w:t>Publiée au Bulletin officiel du 13 août 2020 (N°6908), la loi 49-17 abroge et remplace la loi 12-03. Elle élargit le champ de l’évaluation environnementale en introduisant l’évaluation environnementale stratégique (EES), qui s’applique aux politiques, plans et programmes (PPP) sectoriels et régionaux. Elle consolide aussi le dispositif des études d’impact environnemental, des notices environnementales et des audits environnementaux, avec pour objectif d’intégrer les considérations environnementales dès la planification et de renforcer le rôle de la police de l’environnement.</w:t>
            </w:r>
          </w:p>
        </w:tc>
      </w:tr>
      <w:tr w:rsidR="008637EF" w:rsidRPr="004637C7" w14:paraId="580527B6" w14:textId="77777777" w:rsidTr="005A7661">
        <w:tc>
          <w:tcPr>
            <w:tcW w:w="2547" w:type="dxa"/>
          </w:tcPr>
          <w:p w14:paraId="6B374758" w14:textId="77777777" w:rsidR="008637EF" w:rsidRPr="004637C7" w:rsidRDefault="008637EF" w:rsidP="005A7661">
            <w:pPr>
              <w:rPr>
                <w:rFonts w:asciiTheme="minorHAnsi" w:hAnsiTheme="minorHAnsi" w:cstheme="minorHAnsi"/>
                <w:b/>
                <w:bCs/>
              </w:rPr>
            </w:pPr>
            <w:r w:rsidRPr="004637C7">
              <w:rPr>
                <w:rFonts w:asciiTheme="minorHAnsi" w:hAnsiTheme="minorHAnsi" w:cstheme="minorHAnsi"/>
                <w:b/>
                <w:bCs/>
              </w:rPr>
              <w:t>Applicabilité</w:t>
            </w:r>
          </w:p>
        </w:tc>
        <w:tc>
          <w:tcPr>
            <w:tcW w:w="6515" w:type="dxa"/>
          </w:tcPr>
          <w:p w14:paraId="42B8D94E" w14:textId="77777777" w:rsidR="008637EF" w:rsidRPr="004637C7" w:rsidRDefault="008637EF" w:rsidP="005A7661">
            <w:pPr>
              <w:pStyle w:val="Tirets"/>
              <w:numPr>
                <w:ilvl w:val="0"/>
                <w:numId w:val="0"/>
              </w:numPr>
              <w:spacing w:line="240" w:lineRule="auto"/>
              <w:rPr>
                <w:rFonts w:asciiTheme="minorHAnsi" w:hAnsiTheme="minorHAnsi" w:cstheme="minorHAnsi"/>
              </w:rPr>
            </w:pPr>
            <w:r w:rsidRPr="004637C7">
              <w:rPr>
                <w:rFonts w:asciiTheme="minorHAnsi" w:hAnsiTheme="minorHAnsi" w:cstheme="minorHAnsi"/>
              </w:rPr>
              <w:t>Cette loi encadre la procédure actuelle des études d’impact environnemental (EIE) exigées pour les projets. Toutefois, la loi précise que son entrée en vigueur est subordonnée à la publication de ses textes d’application au Bulletin officiel. Or, à ce jour, ces textes n’ont pas encore été publiés.</w:t>
            </w:r>
          </w:p>
          <w:p w14:paraId="48755330" w14:textId="77777777" w:rsidR="008637EF" w:rsidRPr="004637C7" w:rsidRDefault="008637EF" w:rsidP="005A7661">
            <w:pPr>
              <w:pStyle w:val="Tirets"/>
              <w:numPr>
                <w:ilvl w:val="0"/>
                <w:numId w:val="0"/>
              </w:numPr>
              <w:spacing w:line="240" w:lineRule="auto"/>
              <w:rPr>
                <w:rFonts w:asciiTheme="minorHAnsi" w:hAnsiTheme="minorHAnsi" w:cstheme="minorHAnsi"/>
              </w:rPr>
            </w:pPr>
            <w:r w:rsidRPr="004637C7">
              <w:rPr>
                <w:rFonts w:asciiTheme="minorHAnsi" w:hAnsiTheme="minorHAnsi" w:cstheme="minorHAnsi"/>
              </w:rPr>
              <w:t>La loi n°12-03, demeure donc applicable en pratique, avec ses décrets et arrêtés d’application.</w:t>
            </w:r>
          </w:p>
        </w:tc>
      </w:tr>
      <w:tr w:rsidR="008637EF" w:rsidRPr="004637C7" w14:paraId="53EA354B" w14:textId="77777777" w:rsidTr="005A7661">
        <w:tc>
          <w:tcPr>
            <w:tcW w:w="2547" w:type="dxa"/>
          </w:tcPr>
          <w:p w14:paraId="58D151B3" w14:textId="77777777" w:rsidR="008637EF" w:rsidRPr="004637C7" w:rsidRDefault="008637EF" w:rsidP="005A7661">
            <w:pPr>
              <w:rPr>
                <w:rFonts w:asciiTheme="minorHAnsi" w:hAnsiTheme="minorHAnsi" w:cstheme="minorHAnsi"/>
                <w:b/>
                <w:bCs/>
              </w:rPr>
            </w:pPr>
            <w:r w:rsidRPr="004637C7">
              <w:rPr>
                <w:rFonts w:asciiTheme="minorHAnsi" w:hAnsiTheme="minorHAnsi" w:cstheme="minorHAnsi"/>
                <w:b/>
                <w:bCs/>
              </w:rPr>
              <w:t>Exigences de conformité</w:t>
            </w:r>
          </w:p>
        </w:tc>
        <w:tc>
          <w:tcPr>
            <w:tcW w:w="6515" w:type="dxa"/>
          </w:tcPr>
          <w:p w14:paraId="71381F09" w14:textId="77777777" w:rsidR="008637EF" w:rsidRPr="004637C7" w:rsidRDefault="008637EF" w:rsidP="005A7661">
            <w:pPr>
              <w:spacing w:after="0"/>
              <w:rPr>
                <w:rFonts w:asciiTheme="minorHAnsi" w:hAnsiTheme="minorHAnsi" w:cstheme="minorHAnsi"/>
              </w:rPr>
            </w:pPr>
            <w:r w:rsidRPr="004637C7">
              <w:rPr>
                <w:rFonts w:asciiTheme="minorHAnsi" w:hAnsiTheme="minorHAnsi" w:cstheme="minorHAnsi"/>
              </w:rPr>
              <w:t>Le maître d’ouvrage doit :</w:t>
            </w:r>
          </w:p>
          <w:p w14:paraId="110B8266" w14:textId="77777777" w:rsidR="008637EF" w:rsidRPr="004637C7" w:rsidRDefault="008637EF" w:rsidP="005A7661">
            <w:pPr>
              <w:pStyle w:val="Tirets"/>
              <w:spacing w:line="240" w:lineRule="auto"/>
              <w:ind w:left="313"/>
              <w:rPr>
                <w:rFonts w:asciiTheme="minorHAnsi" w:hAnsiTheme="minorHAnsi" w:cstheme="minorHAnsi"/>
              </w:rPr>
            </w:pPr>
            <w:r w:rsidRPr="004637C7">
              <w:rPr>
                <w:rFonts w:asciiTheme="minorHAnsi" w:hAnsiTheme="minorHAnsi" w:cstheme="minorHAnsi"/>
              </w:rPr>
              <w:t>élaborer une EIES détaillée conformément aux prescriptions de la 12-03 (décrets et arrêtés en vigueur) ;</w:t>
            </w:r>
          </w:p>
          <w:p w14:paraId="01964CB7" w14:textId="77777777" w:rsidR="008637EF" w:rsidRPr="004637C7" w:rsidRDefault="008637EF" w:rsidP="005A7661">
            <w:pPr>
              <w:pStyle w:val="Tirets"/>
              <w:spacing w:line="240" w:lineRule="auto"/>
              <w:ind w:left="313"/>
              <w:rPr>
                <w:rFonts w:asciiTheme="minorHAnsi" w:hAnsiTheme="minorHAnsi" w:cstheme="minorHAnsi"/>
              </w:rPr>
            </w:pPr>
            <w:r w:rsidRPr="004637C7">
              <w:rPr>
                <w:rFonts w:asciiTheme="minorHAnsi" w:hAnsiTheme="minorHAnsi" w:cstheme="minorHAnsi"/>
              </w:rPr>
              <w:t>déposer le dossier auprès de la CRUI et obtenir une décision d’acceptabilité environnementale ;</w:t>
            </w:r>
          </w:p>
          <w:p w14:paraId="7E09AACB" w14:textId="77777777" w:rsidR="008637EF" w:rsidRPr="004637C7" w:rsidRDefault="008637EF" w:rsidP="005A7661">
            <w:pPr>
              <w:pStyle w:val="Tirets"/>
              <w:spacing w:line="240" w:lineRule="auto"/>
              <w:ind w:left="313"/>
              <w:rPr>
                <w:rFonts w:asciiTheme="minorHAnsi" w:hAnsiTheme="minorHAnsi" w:cstheme="minorHAnsi"/>
              </w:rPr>
            </w:pPr>
            <w:r w:rsidRPr="004637C7">
              <w:rPr>
                <w:rFonts w:asciiTheme="minorHAnsi" w:hAnsiTheme="minorHAnsi" w:cstheme="minorHAnsi"/>
              </w:rPr>
              <w:t>anticiper les évolutions réglementaires liées à l’entrée en vigueur effective de la 49-17 (audits environnementaux, suivi renforcé, EES pour les programmes futurs).</w:t>
            </w:r>
          </w:p>
        </w:tc>
      </w:tr>
    </w:tbl>
    <w:p w14:paraId="41464E12" w14:textId="77777777" w:rsidR="004928CD" w:rsidRDefault="004928CD" w:rsidP="004637C7">
      <w:r>
        <w:br w:type="page"/>
      </w:r>
    </w:p>
    <w:p w14:paraId="5B0B53E3" w14:textId="4E2374D7" w:rsidR="008637EF" w:rsidRDefault="008637EF" w:rsidP="008637EF">
      <w:pPr>
        <w:pStyle w:val="Title3"/>
      </w:pPr>
      <w:bookmarkStart w:id="72" w:name="_Toc215131794"/>
      <w:r>
        <w:lastRenderedPageBreak/>
        <w:t>Ressources en eau</w:t>
      </w:r>
      <w:bookmarkEnd w:id="72"/>
    </w:p>
    <w:tbl>
      <w:tblPr>
        <w:tblStyle w:val="Grilledetableauclaire"/>
        <w:tblW w:w="0" w:type="auto"/>
        <w:tblLook w:val="04A0" w:firstRow="1" w:lastRow="0" w:firstColumn="1" w:lastColumn="0" w:noHBand="0" w:noVBand="1"/>
      </w:tblPr>
      <w:tblGrid>
        <w:gridCol w:w="2547"/>
        <w:gridCol w:w="6515"/>
      </w:tblGrid>
      <w:tr w:rsidR="008637EF" w:rsidRPr="004637C7" w14:paraId="38C7CA45" w14:textId="77777777" w:rsidTr="005A7661">
        <w:tc>
          <w:tcPr>
            <w:tcW w:w="9062" w:type="dxa"/>
            <w:gridSpan w:val="2"/>
          </w:tcPr>
          <w:p w14:paraId="5C9E1CE8" w14:textId="77777777" w:rsidR="008637EF" w:rsidRPr="004637C7" w:rsidRDefault="008637EF" w:rsidP="005A7661">
            <w:pPr>
              <w:spacing w:after="0"/>
            </w:pPr>
            <w:r w:rsidRPr="004637C7">
              <w:rPr>
                <w:b/>
                <w:bCs/>
                <w:color w:val="323E4F" w:themeColor="text2" w:themeShade="BF"/>
              </w:rPr>
              <w:t>Loi 36-15 sur l’eau</w:t>
            </w:r>
          </w:p>
        </w:tc>
      </w:tr>
      <w:tr w:rsidR="008637EF" w:rsidRPr="004637C7" w14:paraId="1A22069D" w14:textId="77777777" w:rsidTr="005A7661">
        <w:tc>
          <w:tcPr>
            <w:tcW w:w="2547" w:type="dxa"/>
          </w:tcPr>
          <w:p w14:paraId="63A798AC" w14:textId="77777777" w:rsidR="008637EF" w:rsidRPr="004637C7" w:rsidRDefault="008637EF" w:rsidP="005A7661">
            <w:pPr>
              <w:rPr>
                <w:b/>
                <w:bCs/>
              </w:rPr>
            </w:pPr>
            <w:r w:rsidRPr="004637C7">
              <w:rPr>
                <w:b/>
                <w:bCs/>
              </w:rPr>
              <w:t xml:space="preserve">Résumé </w:t>
            </w:r>
          </w:p>
        </w:tc>
        <w:tc>
          <w:tcPr>
            <w:tcW w:w="6515" w:type="dxa"/>
          </w:tcPr>
          <w:p w14:paraId="2F98F5FF" w14:textId="77777777" w:rsidR="008637EF" w:rsidRPr="004637C7" w:rsidRDefault="008637EF" w:rsidP="005A7661">
            <w:pPr>
              <w:spacing w:after="0"/>
            </w:pPr>
            <w:r w:rsidRPr="004637C7">
              <w:t>La loi n°36-15 définit les règles de gestion intégrée, décentralisée et participative des ressources en eau. Elle repose sur les principes de domanialité publique de l’eau, d’égalité d’accès, d’utilisation rationnelle et durable, de solidarité spatiale, et de prévention des risques liés à l’eau. Elle consacre les principes pollueur-payeur et utilisateur-payeur, intègre la mobilisation des eaux non conventionnelles (usées traitées, dessalées), et prévoit l’adaptation aux changements climatiques dans la planification et la gestion des ressources hydriques.</w:t>
            </w:r>
          </w:p>
        </w:tc>
      </w:tr>
      <w:tr w:rsidR="008637EF" w:rsidRPr="004637C7" w14:paraId="37D37595" w14:textId="77777777" w:rsidTr="005A7661">
        <w:tc>
          <w:tcPr>
            <w:tcW w:w="2547" w:type="dxa"/>
          </w:tcPr>
          <w:p w14:paraId="266479BF" w14:textId="77777777" w:rsidR="008637EF" w:rsidRPr="004637C7" w:rsidRDefault="008637EF" w:rsidP="005A7661">
            <w:pPr>
              <w:rPr>
                <w:b/>
                <w:bCs/>
              </w:rPr>
            </w:pPr>
            <w:r w:rsidRPr="004637C7">
              <w:rPr>
                <w:b/>
                <w:bCs/>
              </w:rPr>
              <w:t>Applicabilité</w:t>
            </w:r>
          </w:p>
        </w:tc>
        <w:tc>
          <w:tcPr>
            <w:tcW w:w="6515" w:type="dxa"/>
          </w:tcPr>
          <w:p w14:paraId="779F5D83" w14:textId="1F796312" w:rsidR="008637EF" w:rsidRPr="004637C7" w:rsidRDefault="008637EF" w:rsidP="005A7661">
            <w:pPr>
              <w:spacing w:after="0"/>
            </w:pPr>
            <w:r w:rsidRPr="004637C7">
              <w:t>Le projet</w:t>
            </w:r>
            <w:r w:rsidR="00BD4D87" w:rsidRPr="00BD4D87">
              <w:t xml:space="preserve"> </w:t>
            </w:r>
            <w:bookmarkStart w:id="73" w:name="_Hlk212198984"/>
            <w:r w:rsidR="00BD4D87" w:rsidRPr="00BD4D87">
              <w:t>de modernisation et d’extension des infrastructures aéroportuaires</w:t>
            </w:r>
            <w:r w:rsidR="00BD4D87" w:rsidRPr="004637C7">
              <w:t xml:space="preserve"> </w:t>
            </w:r>
            <w:bookmarkEnd w:id="73"/>
            <w:r w:rsidRPr="004637C7">
              <w:t xml:space="preserve">de l’aéroport </w:t>
            </w:r>
            <w:r w:rsidR="00EE6509">
              <w:t>Marrakech Ménara</w:t>
            </w:r>
            <w:r w:rsidRPr="004637C7">
              <w:t xml:space="preserve"> implique une consommation d’eau pour différentes utilisations (chantier, exploitation, lutte contre l’incendie, nettoyage, usages sanitaires). Il entraîne également la production d’eaux usées et de rejets liquides susceptibles de relever du domaine public hydraulique. Dans ce cadre, la loi 36-15 s’applique, notamment en ce qui concerne les autorisations de prélèvement et d’utilisation de l’eau, ainsi que les dispositions relatives à la gestion et à la prévention des rejets.</w:t>
            </w:r>
          </w:p>
        </w:tc>
      </w:tr>
      <w:tr w:rsidR="008637EF" w:rsidRPr="004637C7" w14:paraId="3A35543C" w14:textId="77777777" w:rsidTr="005A7661">
        <w:tc>
          <w:tcPr>
            <w:tcW w:w="2547" w:type="dxa"/>
          </w:tcPr>
          <w:p w14:paraId="4652ACDF" w14:textId="77777777" w:rsidR="008637EF" w:rsidRPr="004637C7" w:rsidRDefault="008637EF" w:rsidP="005A7661">
            <w:pPr>
              <w:rPr>
                <w:b/>
                <w:bCs/>
              </w:rPr>
            </w:pPr>
            <w:r w:rsidRPr="004637C7">
              <w:rPr>
                <w:b/>
                <w:bCs/>
              </w:rPr>
              <w:t>Exigences de conformité</w:t>
            </w:r>
          </w:p>
        </w:tc>
        <w:tc>
          <w:tcPr>
            <w:tcW w:w="6515" w:type="dxa"/>
          </w:tcPr>
          <w:p w14:paraId="6CBEB562" w14:textId="77777777" w:rsidR="008637EF" w:rsidRPr="004637C7" w:rsidRDefault="008637EF" w:rsidP="005A7661">
            <w:pPr>
              <w:spacing w:after="0"/>
            </w:pPr>
            <w:r w:rsidRPr="004637C7">
              <w:t>Le maître d’ouvrage devra, le cas échéant :</w:t>
            </w:r>
          </w:p>
          <w:p w14:paraId="6B4170A7" w14:textId="4B8F5E6B" w:rsidR="008637EF" w:rsidRPr="004637C7" w:rsidRDefault="008637EF" w:rsidP="005A7661">
            <w:pPr>
              <w:pStyle w:val="Tirets"/>
              <w:spacing w:line="240" w:lineRule="auto"/>
              <w:ind w:left="313"/>
            </w:pPr>
            <w:r w:rsidRPr="004637C7">
              <w:t xml:space="preserve">Solliciter les autorisations nécessaires auprès de l’Agence de Bassin Hydraulique de </w:t>
            </w:r>
            <w:r w:rsidR="00B5291C">
              <w:t>Tensift</w:t>
            </w:r>
            <w:r w:rsidRPr="004637C7">
              <w:t xml:space="preserve"> pour tout prélèvement ou rejet dans le DPH ;</w:t>
            </w:r>
          </w:p>
          <w:p w14:paraId="488BA0D7" w14:textId="77777777" w:rsidR="008637EF" w:rsidRPr="004637C7" w:rsidRDefault="008637EF" w:rsidP="005A7661">
            <w:pPr>
              <w:pStyle w:val="Tirets"/>
              <w:spacing w:line="240" w:lineRule="auto"/>
              <w:ind w:left="313"/>
            </w:pPr>
            <w:r w:rsidRPr="004637C7">
              <w:t>Prévoir des dispositifs appropriés de traitement et de contrôle de la qualité des eaux usées, si leur rejet est envisagé ;</w:t>
            </w:r>
          </w:p>
          <w:p w14:paraId="2FA640C8" w14:textId="77777777" w:rsidR="008637EF" w:rsidRPr="004637C7" w:rsidRDefault="008637EF" w:rsidP="005A7661">
            <w:pPr>
              <w:pStyle w:val="Tirets"/>
              <w:spacing w:line="240" w:lineRule="auto"/>
              <w:ind w:left="313"/>
            </w:pPr>
            <w:r w:rsidRPr="004637C7">
              <w:t>Appliquer, en cas de rejets, les principes de pollueur-payeur et d’utilisateur-payeur prévus par la loi ;</w:t>
            </w:r>
          </w:p>
          <w:p w14:paraId="181008FB" w14:textId="77777777" w:rsidR="008637EF" w:rsidRPr="004637C7" w:rsidRDefault="008637EF" w:rsidP="005A7661">
            <w:pPr>
              <w:pStyle w:val="Tirets"/>
              <w:spacing w:line="240" w:lineRule="auto"/>
              <w:ind w:left="313"/>
            </w:pPr>
            <w:r w:rsidRPr="004637C7">
              <w:t>Intégrer, de manière anticipative, les considérations liées à l’adaptation aux changements climatiques dans la planification de la consommation et de la gestion de l’eau.</w:t>
            </w:r>
          </w:p>
        </w:tc>
      </w:tr>
      <w:tr w:rsidR="008637EF" w:rsidRPr="004637C7" w14:paraId="6CC20654" w14:textId="77777777" w:rsidTr="005A7661">
        <w:tc>
          <w:tcPr>
            <w:tcW w:w="9062" w:type="dxa"/>
            <w:gridSpan w:val="2"/>
          </w:tcPr>
          <w:p w14:paraId="2AED4D7A" w14:textId="77777777" w:rsidR="008637EF" w:rsidRPr="004637C7" w:rsidRDefault="008637EF" w:rsidP="005A7661">
            <w:pPr>
              <w:spacing w:after="0"/>
              <w:rPr>
                <w:b/>
                <w:bCs/>
                <w:color w:val="323E4F" w:themeColor="text2" w:themeShade="BF"/>
              </w:rPr>
            </w:pPr>
            <w:r w:rsidRPr="004637C7">
              <w:rPr>
                <w:b/>
                <w:bCs/>
                <w:color w:val="323E4F" w:themeColor="text2" w:themeShade="BF"/>
              </w:rPr>
              <w:t>Décret n° 2-04-553 du 13 Hijja 1425 (24 janvier 2005), relatif aux « déversements, écoulements, rejets, dépôts directs ou indirects dans les eaux superficielles ou souterraines »</w:t>
            </w:r>
          </w:p>
        </w:tc>
      </w:tr>
      <w:tr w:rsidR="008637EF" w:rsidRPr="004637C7" w14:paraId="551BB308" w14:textId="77777777" w:rsidTr="005A7661">
        <w:tc>
          <w:tcPr>
            <w:tcW w:w="2547" w:type="dxa"/>
          </w:tcPr>
          <w:p w14:paraId="6A79A984" w14:textId="77777777" w:rsidR="008637EF" w:rsidRPr="004637C7" w:rsidRDefault="008637EF" w:rsidP="005A7661">
            <w:pPr>
              <w:rPr>
                <w:b/>
                <w:bCs/>
              </w:rPr>
            </w:pPr>
            <w:r w:rsidRPr="004637C7">
              <w:rPr>
                <w:b/>
                <w:bCs/>
              </w:rPr>
              <w:t xml:space="preserve">Résumé </w:t>
            </w:r>
          </w:p>
        </w:tc>
        <w:tc>
          <w:tcPr>
            <w:tcW w:w="6515" w:type="dxa"/>
          </w:tcPr>
          <w:p w14:paraId="58692776" w14:textId="77777777" w:rsidR="008637EF" w:rsidRPr="004637C7" w:rsidRDefault="008637EF" w:rsidP="005A7661">
            <w:pPr>
              <w:spacing w:after="0"/>
            </w:pPr>
            <w:r w:rsidRPr="004637C7">
              <w:t>Il établit la procédure d’autorisation des rejets, fixe les règles de base pour déterminer les normes de rejet, et organise la perception des redevances affectées au financement de la dépollution.</w:t>
            </w:r>
          </w:p>
        </w:tc>
      </w:tr>
      <w:tr w:rsidR="008637EF" w:rsidRPr="004637C7" w14:paraId="209D5450" w14:textId="77777777" w:rsidTr="005A7661">
        <w:tc>
          <w:tcPr>
            <w:tcW w:w="2547" w:type="dxa"/>
          </w:tcPr>
          <w:p w14:paraId="22B01997" w14:textId="77777777" w:rsidR="008637EF" w:rsidRPr="004637C7" w:rsidRDefault="008637EF" w:rsidP="005A7661">
            <w:pPr>
              <w:rPr>
                <w:b/>
                <w:bCs/>
              </w:rPr>
            </w:pPr>
            <w:r w:rsidRPr="004637C7">
              <w:rPr>
                <w:b/>
                <w:bCs/>
              </w:rPr>
              <w:t>Applicabilité</w:t>
            </w:r>
          </w:p>
        </w:tc>
        <w:tc>
          <w:tcPr>
            <w:tcW w:w="6515" w:type="dxa"/>
          </w:tcPr>
          <w:p w14:paraId="58D28DF8" w14:textId="77777777" w:rsidR="008637EF" w:rsidRPr="004637C7" w:rsidRDefault="008637EF" w:rsidP="005A7661">
            <w:pPr>
              <w:spacing w:after="0"/>
            </w:pPr>
            <w:r w:rsidRPr="004637C7">
              <w:t>Le projet générera des eaux de chantier (ruissellement, eaux de lavage, hydrocarbures) et des eaux usées en phase d’exploitation. Ces effluents sont soumis au régime d’autorisation prévu par le décret et doivent respecter les normes nationales de rejet.</w:t>
            </w:r>
          </w:p>
        </w:tc>
      </w:tr>
      <w:tr w:rsidR="008637EF" w:rsidRPr="004637C7" w14:paraId="463EAE05" w14:textId="77777777" w:rsidTr="005A7661">
        <w:tc>
          <w:tcPr>
            <w:tcW w:w="2547" w:type="dxa"/>
          </w:tcPr>
          <w:p w14:paraId="4EB84625" w14:textId="77777777" w:rsidR="008637EF" w:rsidRPr="004637C7" w:rsidRDefault="008637EF" w:rsidP="005A7661">
            <w:pPr>
              <w:rPr>
                <w:b/>
                <w:bCs/>
              </w:rPr>
            </w:pPr>
            <w:r w:rsidRPr="004637C7">
              <w:rPr>
                <w:b/>
                <w:bCs/>
              </w:rPr>
              <w:lastRenderedPageBreak/>
              <w:t>Exigences de conformité</w:t>
            </w:r>
          </w:p>
        </w:tc>
        <w:tc>
          <w:tcPr>
            <w:tcW w:w="6515" w:type="dxa"/>
          </w:tcPr>
          <w:p w14:paraId="0E67E56B" w14:textId="77777777" w:rsidR="008637EF" w:rsidRPr="004637C7" w:rsidRDefault="008637EF" w:rsidP="005A7661">
            <w:pPr>
              <w:spacing w:after="0"/>
            </w:pPr>
            <w:r w:rsidRPr="004637C7">
              <w:t>Le maître d’ouvrage devra, le cas échéant :</w:t>
            </w:r>
          </w:p>
          <w:p w14:paraId="42D8E388" w14:textId="77777777" w:rsidR="008637EF" w:rsidRPr="004637C7" w:rsidRDefault="008637EF" w:rsidP="005A7661">
            <w:pPr>
              <w:pStyle w:val="Tirets"/>
              <w:spacing w:line="240" w:lineRule="auto"/>
              <w:ind w:left="313"/>
            </w:pPr>
            <w:r w:rsidRPr="004637C7">
              <w:t>Déclarer et obtenir l’autorisation préalable pour tout rejet ;</w:t>
            </w:r>
          </w:p>
          <w:p w14:paraId="159DB1F3" w14:textId="77777777" w:rsidR="008637EF" w:rsidRPr="004637C7" w:rsidRDefault="008637EF" w:rsidP="005A7661">
            <w:pPr>
              <w:pStyle w:val="Tirets"/>
              <w:spacing w:line="240" w:lineRule="auto"/>
              <w:ind w:left="313"/>
            </w:pPr>
            <w:r w:rsidRPr="004637C7">
              <w:t>Veiller au respect des normes de rejet définies par arrêtés conjoints ;</w:t>
            </w:r>
          </w:p>
          <w:p w14:paraId="5DC06D13" w14:textId="77777777" w:rsidR="008637EF" w:rsidRPr="004637C7" w:rsidRDefault="008637EF" w:rsidP="005A7661">
            <w:pPr>
              <w:pStyle w:val="Tirets"/>
              <w:spacing w:line="240" w:lineRule="auto"/>
              <w:ind w:left="313"/>
            </w:pPr>
            <w:r w:rsidRPr="004637C7">
              <w:t>S’acquitter des redevances éventuelles auprès de l’Agence de Bassin ;</w:t>
            </w:r>
          </w:p>
          <w:p w14:paraId="3A255BC7" w14:textId="77777777" w:rsidR="008637EF" w:rsidRPr="004637C7" w:rsidRDefault="008637EF" w:rsidP="005A7661">
            <w:pPr>
              <w:pStyle w:val="Tirets"/>
              <w:spacing w:line="240" w:lineRule="auto"/>
              <w:ind w:left="313"/>
            </w:pPr>
            <w:r w:rsidRPr="004637C7">
              <w:t>Mettre en place un plan de gestion des rejets accidentels.</w:t>
            </w:r>
          </w:p>
        </w:tc>
      </w:tr>
      <w:tr w:rsidR="008637EF" w:rsidRPr="004637C7" w14:paraId="337931B4" w14:textId="77777777" w:rsidTr="005A7661">
        <w:tc>
          <w:tcPr>
            <w:tcW w:w="9062" w:type="dxa"/>
            <w:gridSpan w:val="2"/>
          </w:tcPr>
          <w:p w14:paraId="6DA6CFA7" w14:textId="1EE84B97" w:rsidR="008637EF" w:rsidRPr="004637C7" w:rsidRDefault="008637EF" w:rsidP="005A7661">
            <w:pPr>
              <w:spacing w:after="0"/>
              <w:rPr>
                <w:b/>
                <w:bCs/>
                <w:color w:val="323E4F" w:themeColor="text2" w:themeShade="BF"/>
              </w:rPr>
            </w:pPr>
            <w:r w:rsidRPr="004637C7">
              <w:rPr>
                <w:b/>
                <w:bCs/>
                <w:color w:val="323E4F" w:themeColor="text2" w:themeShade="BF"/>
              </w:rPr>
              <w:t>Décret n° 2-97-875 du 6 Chaoual 1418 (4 février 1998), relatif à l’utilisation des eaux usées</w:t>
            </w:r>
          </w:p>
        </w:tc>
      </w:tr>
      <w:tr w:rsidR="008637EF" w:rsidRPr="004637C7" w14:paraId="289D42A3" w14:textId="77777777" w:rsidTr="005A7661">
        <w:tc>
          <w:tcPr>
            <w:tcW w:w="2547" w:type="dxa"/>
          </w:tcPr>
          <w:p w14:paraId="4B749FEE" w14:textId="77777777" w:rsidR="008637EF" w:rsidRPr="004637C7" w:rsidRDefault="008637EF" w:rsidP="005A7661">
            <w:pPr>
              <w:rPr>
                <w:b/>
                <w:bCs/>
              </w:rPr>
            </w:pPr>
            <w:r w:rsidRPr="004637C7">
              <w:rPr>
                <w:b/>
                <w:bCs/>
              </w:rPr>
              <w:t xml:space="preserve">Résumé </w:t>
            </w:r>
          </w:p>
        </w:tc>
        <w:tc>
          <w:tcPr>
            <w:tcW w:w="6515" w:type="dxa"/>
          </w:tcPr>
          <w:p w14:paraId="5428499F" w14:textId="77777777" w:rsidR="008637EF" w:rsidRPr="004637C7" w:rsidRDefault="008637EF" w:rsidP="005A7661">
            <w:pPr>
              <w:spacing w:after="0"/>
            </w:pPr>
            <w:r w:rsidRPr="004637C7">
              <w:t>Ce décret encadre les conditions de réutilisation des eaux usées, sous autorisation de l’Agence de Bassin Hydraulique. Il encourage la réutilisation par un dispositif d’assistance technique et financière. La qualité des eaux usées destinées à l’irrigation est définie par l’arrêté n°1276-01 du 17 octobre 2002.</w:t>
            </w:r>
          </w:p>
        </w:tc>
      </w:tr>
      <w:tr w:rsidR="008637EF" w:rsidRPr="004637C7" w14:paraId="1F809401" w14:textId="77777777" w:rsidTr="005A7661">
        <w:tc>
          <w:tcPr>
            <w:tcW w:w="2547" w:type="dxa"/>
          </w:tcPr>
          <w:p w14:paraId="341233F1" w14:textId="77777777" w:rsidR="008637EF" w:rsidRPr="004637C7" w:rsidRDefault="008637EF" w:rsidP="005A7661">
            <w:pPr>
              <w:rPr>
                <w:b/>
                <w:bCs/>
              </w:rPr>
            </w:pPr>
            <w:r w:rsidRPr="004637C7">
              <w:rPr>
                <w:b/>
                <w:bCs/>
              </w:rPr>
              <w:t>Applicabilité</w:t>
            </w:r>
          </w:p>
        </w:tc>
        <w:tc>
          <w:tcPr>
            <w:tcW w:w="6515" w:type="dxa"/>
          </w:tcPr>
          <w:p w14:paraId="395F7E64" w14:textId="77777777" w:rsidR="008637EF" w:rsidRPr="004637C7" w:rsidRDefault="008637EF" w:rsidP="005A7661">
            <w:pPr>
              <w:spacing w:after="0"/>
            </w:pPr>
            <w:r w:rsidRPr="004637C7">
              <w:t>La réutilisation éventuelle des eaux usées traitées de l’aéroport (espaces verts, usages techniques) doit se conformer à ce décret et à l’arrêté 1276-01.</w:t>
            </w:r>
          </w:p>
        </w:tc>
      </w:tr>
      <w:tr w:rsidR="008637EF" w:rsidRPr="004637C7" w14:paraId="36CE7FE2" w14:textId="77777777" w:rsidTr="005A7661">
        <w:tc>
          <w:tcPr>
            <w:tcW w:w="2547" w:type="dxa"/>
          </w:tcPr>
          <w:p w14:paraId="22BA9D64" w14:textId="77777777" w:rsidR="008637EF" w:rsidRPr="004637C7" w:rsidRDefault="008637EF" w:rsidP="005A7661">
            <w:pPr>
              <w:rPr>
                <w:b/>
                <w:bCs/>
              </w:rPr>
            </w:pPr>
            <w:r w:rsidRPr="004637C7">
              <w:rPr>
                <w:b/>
                <w:bCs/>
              </w:rPr>
              <w:t>Exigences de conformité</w:t>
            </w:r>
          </w:p>
        </w:tc>
        <w:tc>
          <w:tcPr>
            <w:tcW w:w="6515" w:type="dxa"/>
          </w:tcPr>
          <w:p w14:paraId="6C34D38D" w14:textId="77777777" w:rsidR="008637EF" w:rsidRPr="004637C7" w:rsidRDefault="008637EF" w:rsidP="005A7661">
            <w:pPr>
              <w:pStyle w:val="Tirets"/>
              <w:spacing w:line="240" w:lineRule="auto"/>
              <w:ind w:left="313"/>
            </w:pPr>
            <w:r w:rsidRPr="004637C7">
              <w:t>Obtenir une autorisation de l’Agence de Bassin pour toute réutilisation ;</w:t>
            </w:r>
          </w:p>
          <w:p w14:paraId="41A4BA57" w14:textId="77777777" w:rsidR="008637EF" w:rsidRPr="004637C7" w:rsidRDefault="008637EF" w:rsidP="005A7661">
            <w:pPr>
              <w:pStyle w:val="Tirets"/>
              <w:spacing w:line="240" w:lineRule="auto"/>
              <w:ind w:left="313"/>
            </w:pPr>
            <w:r w:rsidRPr="004637C7">
              <w:t>Garantir le respect des normes de qualité fixées par l’arrêté 1276-01 ;</w:t>
            </w:r>
          </w:p>
          <w:p w14:paraId="678D67A8" w14:textId="77777777" w:rsidR="008637EF" w:rsidRPr="004637C7" w:rsidRDefault="008637EF" w:rsidP="005A7661">
            <w:pPr>
              <w:pStyle w:val="Tirets"/>
              <w:spacing w:line="240" w:lineRule="auto"/>
              <w:ind w:left="313"/>
            </w:pPr>
            <w:r w:rsidRPr="004637C7">
              <w:t>Prévoir un suivi régulier de la qualité des eaux usées réutilisées.</w:t>
            </w:r>
          </w:p>
        </w:tc>
      </w:tr>
      <w:tr w:rsidR="008637EF" w:rsidRPr="004637C7" w14:paraId="25CDF185" w14:textId="77777777" w:rsidTr="005A7661">
        <w:tc>
          <w:tcPr>
            <w:tcW w:w="9062" w:type="dxa"/>
            <w:gridSpan w:val="2"/>
          </w:tcPr>
          <w:p w14:paraId="2B0CD180" w14:textId="77777777" w:rsidR="008637EF" w:rsidRPr="004637C7" w:rsidRDefault="008637EF" w:rsidP="005A7661">
            <w:pPr>
              <w:spacing w:after="0"/>
              <w:rPr>
                <w:b/>
                <w:bCs/>
                <w:color w:val="323E4F" w:themeColor="text2" w:themeShade="BF"/>
              </w:rPr>
            </w:pPr>
            <w:r w:rsidRPr="004637C7">
              <w:rPr>
                <w:b/>
                <w:bCs/>
                <w:color w:val="323E4F" w:themeColor="text2" w:themeShade="BF"/>
              </w:rPr>
              <w:t>Décret n° 2-05-1326 du 29 joumada II 1427 (25 juillet 2006) relatif aux eaux à usage alimentaire</w:t>
            </w:r>
          </w:p>
        </w:tc>
      </w:tr>
      <w:tr w:rsidR="008637EF" w:rsidRPr="004637C7" w14:paraId="1D6003F6" w14:textId="77777777" w:rsidTr="005A7661">
        <w:tc>
          <w:tcPr>
            <w:tcW w:w="2547" w:type="dxa"/>
          </w:tcPr>
          <w:p w14:paraId="68B742DF" w14:textId="77777777" w:rsidR="008637EF" w:rsidRPr="004637C7" w:rsidRDefault="008637EF" w:rsidP="005A7661">
            <w:pPr>
              <w:rPr>
                <w:b/>
                <w:bCs/>
              </w:rPr>
            </w:pPr>
            <w:r w:rsidRPr="004637C7">
              <w:rPr>
                <w:b/>
                <w:bCs/>
              </w:rPr>
              <w:t xml:space="preserve">Résumé </w:t>
            </w:r>
          </w:p>
        </w:tc>
        <w:tc>
          <w:tcPr>
            <w:tcW w:w="6515" w:type="dxa"/>
          </w:tcPr>
          <w:p w14:paraId="598D50C2" w14:textId="77777777" w:rsidR="008637EF" w:rsidRPr="004637C7" w:rsidRDefault="008637EF" w:rsidP="005A7661">
            <w:pPr>
              <w:spacing w:after="0"/>
            </w:pPr>
            <w:r w:rsidRPr="004637C7">
              <w:t>Ce décret complète la loi 10-95 sur l’eau (articles 58 à 66) et fixe les conditions d’autorisation pour l’alimentation en eau potable. La demande doit être adressée à l’autorité gouvernementale chargée de la santé, accompagnée d’une étude démontrant l’absence d’alternatives et de risques pour la santé publique.</w:t>
            </w:r>
          </w:p>
        </w:tc>
      </w:tr>
      <w:tr w:rsidR="008637EF" w:rsidRPr="004637C7" w14:paraId="795765DC" w14:textId="77777777" w:rsidTr="005A7661">
        <w:tc>
          <w:tcPr>
            <w:tcW w:w="2547" w:type="dxa"/>
          </w:tcPr>
          <w:p w14:paraId="0784B3E9" w14:textId="77777777" w:rsidR="008637EF" w:rsidRPr="004637C7" w:rsidRDefault="008637EF" w:rsidP="005A7661">
            <w:pPr>
              <w:rPr>
                <w:b/>
                <w:bCs/>
              </w:rPr>
            </w:pPr>
            <w:r w:rsidRPr="004637C7">
              <w:rPr>
                <w:b/>
                <w:bCs/>
              </w:rPr>
              <w:t>Applicabilité</w:t>
            </w:r>
          </w:p>
        </w:tc>
        <w:tc>
          <w:tcPr>
            <w:tcW w:w="6515" w:type="dxa"/>
          </w:tcPr>
          <w:p w14:paraId="08F6A653" w14:textId="77777777" w:rsidR="008637EF" w:rsidRPr="004637C7" w:rsidRDefault="008637EF" w:rsidP="005A7661">
            <w:pPr>
              <w:pStyle w:val="Tirets"/>
              <w:numPr>
                <w:ilvl w:val="0"/>
                <w:numId w:val="0"/>
              </w:numPr>
              <w:spacing w:line="240" w:lineRule="auto"/>
            </w:pPr>
            <w:r w:rsidRPr="004637C7">
              <w:t>Dans l’hypothèse où le projet aurait recours à une source d’eau nécessitant une autorisation spécifique pour l’alimentation humaine (boisson, préparation ou conservation de denrées alimentaires), ce décret trouverait à s’appliquer.</w:t>
            </w:r>
          </w:p>
        </w:tc>
      </w:tr>
      <w:tr w:rsidR="008637EF" w:rsidRPr="004637C7" w14:paraId="713BF016" w14:textId="77777777" w:rsidTr="005A7661">
        <w:tc>
          <w:tcPr>
            <w:tcW w:w="2547" w:type="dxa"/>
          </w:tcPr>
          <w:p w14:paraId="28EBB377" w14:textId="77777777" w:rsidR="008637EF" w:rsidRPr="004637C7" w:rsidRDefault="008637EF" w:rsidP="005A7661">
            <w:pPr>
              <w:rPr>
                <w:b/>
                <w:bCs/>
              </w:rPr>
            </w:pPr>
            <w:r w:rsidRPr="004637C7">
              <w:rPr>
                <w:b/>
                <w:bCs/>
              </w:rPr>
              <w:t>Exigences de conformité</w:t>
            </w:r>
          </w:p>
        </w:tc>
        <w:tc>
          <w:tcPr>
            <w:tcW w:w="6515" w:type="dxa"/>
          </w:tcPr>
          <w:p w14:paraId="7550B086" w14:textId="77777777" w:rsidR="008637EF" w:rsidRPr="004637C7" w:rsidRDefault="008637EF" w:rsidP="005A7661">
            <w:pPr>
              <w:pStyle w:val="Tirets"/>
              <w:numPr>
                <w:ilvl w:val="0"/>
                <w:numId w:val="0"/>
              </w:numPr>
              <w:spacing w:line="240" w:lineRule="auto"/>
            </w:pPr>
            <w:r w:rsidRPr="004637C7">
              <w:t>Le maître d’ouvrage devra, le cas échéant :</w:t>
            </w:r>
          </w:p>
          <w:p w14:paraId="3390EBC8" w14:textId="77777777" w:rsidR="008637EF" w:rsidRPr="004637C7" w:rsidRDefault="008637EF" w:rsidP="005A7661">
            <w:pPr>
              <w:pStyle w:val="Tirets"/>
              <w:spacing w:line="240" w:lineRule="auto"/>
              <w:ind w:left="313"/>
            </w:pPr>
            <w:r w:rsidRPr="004637C7">
              <w:t>Adresser une demande d’autorisation, accompagnée d’une étude justificative ;</w:t>
            </w:r>
          </w:p>
          <w:p w14:paraId="59B22F19" w14:textId="77777777" w:rsidR="008637EF" w:rsidRPr="004637C7" w:rsidRDefault="008637EF" w:rsidP="005A7661">
            <w:pPr>
              <w:pStyle w:val="Tirets"/>
              <w:spacing w:line="240" w:lineRule="auto"/>
              <w:ind w:left="313"/>
            </w:pPr>
            <w:r w:rsidRPr="004637C7">
              <w:t>Démontrer l’absence d’alternatives viables et de risques sanitaires ;</w:t>
            </w:r>
          </w:p>
          <w:p w14:paraId="23C5AAF3" w14:textId="77777777" w:rsidR="008637EF" w:rsidRPr="004637C7" w:rsidRDefault="008637EF" w:rsidP="005A7661">
            <w:pPr>
              <w:pStyle w:val="Tirets"/>
              <w:spacing w:line="240" w:lineRule="auto"/>
              <w:ind w:left="313"/>
            </w:pPr>
            <w:r w:rsidRPr="004637C7">
              <w:t>Assurer le suivi et le respect des spécifications fixées par la norme marocaine NM 03.7.001 (paramètres bactériologiques, biologiques, minéraux et organiques).</w:t>
            </w:r>
          </w:p>
        </w:tc>
      </w:tr>
    </w:tbl>
    <w:p w14:paraId="56ACAD59" w14:textId="77777777" w:rsidR="004637C7" w:rsidRDefault="004637C7">
      <w:r>
        <w:br w:type="page"/>
      </w:r>
    </w:p>
    <w:tbl>
      <w:tblPr>
        <w:tblStyle w:val="Grilledetableauclaire"/>
        <w:tblW w:w="0" w:type="auto"/>
        <w:tblLook w:val="04A0" w:firstRow="1" w:lastRow="0" w:firstColumn="1" w:lastColumn="0" w:noHBand="0" w:noVBand="1"/>
      </w:tblPr>
      <w:tblGrid>
        <w:gridCol w:w="2547"/>
        <w:gridCol w:w="6515"/>
      </w:tblGrid>
      <w:tr w:rsidR="008637EF" w:rsidRPr="004637C7" w14:paraId="0FFDE494" w14:textId="77777777" w:rsidTr="005A7661">
        <w:tc>
          <w:tcPr>
            <w:tcW w:w="9062" w:type="dxa"/>
            <w:gridSpan w:val="2"/>
          </w:tcPr>
          <w:p w14:paraId="23766498" w14:textId="36402A89" w:rsidR="008637EF" w:rsidRPr="004637C7" w:rsidRDefault="008637EF" w:rsidP="005A7661">
            <w:pPr>
              <w:spacing w:after="0"/>
              <w:rPr>
                <w:b/>
                <w:bCs/>
                <w:color w:val="323E4F" w:themeColor="text2" w:themeShade="BF"/>
              </w:rPr>
            </w:pPr>
            <w:r w:rsidRPr="004637C7">
              <w:rPr>
                <w:b/>
                <w:bCs/>
                <w:color w:val="323E4F" w:themeColor="text2" w:themeShade="BF"/>
              </w:rPr>
              <w:lastRenderedPageBreak/>
              <w:t>Décret n° 2-97-787, relatif aux normes de qualité des eaux et à l’inventaire du degré de pollution des eaux</w:t>
            </w:r>
          </w:p>
        </w:tc>
      </w:tr>
      <w:tr w:rsidR="008637EF" w:rsidRPr="004637C7" w14:paraId="675ED048" w14:textId="77777777" w:rsidTr="005A7661">
        <w:tc>
          <w:tcPr>
            <w:tcW w:w="2547" w:type="dxa"/>
          </w:tcPr>
          <w:p w14:paraId="1A36AE93" w14:textId="77777777" w:rsidR="008637EF" w:rsidRPr="004637C7" w:rsidRDefault="008637EF" w:rsidP="005A7661">
            <w:pPr>
              <w:rPr>
                <w:b/>
                <w:bCs/>
              </w:rPr>
            </w:pPr>
            <w:r w:rsidRPr="004637C7">
              <w:rPr>
                <w:b/>
                <w:bCs/>
              </w:rPr>
              <w:t xml:space="preserve">Résumé </w:t>
            </w:r>
          </w:p>
        </w:tc>
        <w:tc>
          <w:tcPr>
            <w:tcW w:w="6515" w:type="dxa"/>
          </w:tcPr>
          <w:p w14:paraId="3ED408B5" w14:textId="77777777" w:rsidR="008637EF" w:rsidRPr="004637C7" w:rsidRDefault="008637EF" w:rsidP="005A7661">
            <w:pPr>
              <w:pStyle w:val="Tirets"/>
              <w:numPr>
                <w:ilvl w:val="0"/>
                <w:numId w:val="0"/>
              </w:numPr>
              <w:spacing w:line="240" w:lineRule="auto"/>
            </w:pPr>
            <w:r w:rsidRPr="004637C7">
              <w:t>Ce décret précise les normes de qualité des eaux ainsi que les procédures d’inventaire du degré de pollution des ressources hydriques. Il impose le suivi régulier des paramètres de qualité afin de prévenir les risques pour la santé et l’environnement.</w:t>
            </w:r>
          </w:p>
        </w:tc>
      </w:tr>
      <w:tr w:rsidR="008637EF" w:rsidRPr="004637C7" w14:paraId="11B204BC" w14:textId="77777777" w:rsidTr="005A7661">
        <w:tc>
          <w:tcPr>
            <w:tcW w:w="2547" w:type="dxa"/>
          </w:tcPr>
          <w:p w14:paraId="3B6953C4" w14:textId="77777777" w:rsidR="008637EF" w:rsidRPr="004637C7" w:rsidRDefault="008637EF" w:rsidP="005A7661">
            <w:pPr>
              <w:rPr>
                <w:b/>
                <w:bCs/>
              </w:rPr>
            </w:pPr>
            <w:r w:rsidRPr="004637C7">
              <w:rPr>
                <w:b/>
                <w:bCs/>
              </w:rPr>
              <w:t>Applicabilité</w:t>
            </w:r>
          </w:p>
        </w:tc>
        <w:tc>
          <w:tcPr>
            <w:tcW w:w="6515" w:type="dxa"/>
          </w:tcPr>
          <w:p w14:paraId="52BF5879" w14:textId="77777777" w:rsidR="008637EF" w:rsidRPr="004637C7" w:rsidRDefault="008637EF" w:rsidP="005A7661">
            <w:pPr>
              <w:pStyle w:val="Tirets"/>
              <w:numPr>
                <w:ilvl w:val="0"/>
                <w:numId w:val="0"/>
              </w:numPr>
              <w:spacing w:line="240" w:lineRule="auto"/>
            </w:pPr>
            <w:r w:rsidRPr="004637C7">
              <w:t>Si le projet rejette des effluents ou utilise des ressources en eau relevant du domaine public hydraulique, ce décret sera applicable en matière de suivi et de contrôle de leur qualité.</w:t>
            </w:r>
          </w:p>
        </w:tc>
      </w:tr>
      <w:tr w:rsidR="008637EF" w:rsidRPr="004637C7" w14:paraId="60E38A47" w14:textId="77777777" w:rsidTr="005A7661">
        <w:tc>
          <w:tcPr>
            <w:tcW w:w="2547" w:type="dxa"/>
          </w:tcPr>
          <w:p w14:paraId="756C4D8D" w14:textId="77777777" w:rsidR="008637EF" w:rsidRPr="004637C7" w:rsidRDefault="008637EF" w:rsidP="005A7661">
            <w:pPr>
              <w:rPr>
                <w:b/>
                <w:bCs/>
              </w:rPr>
            </w:pPr>
            <w:r w:rsidRPr="004637C7">
              <w:rPr>
                <w:b/>
                <w:bCs/>
              </w:rPr>
              <w:t>Exigences de conformité</w:t>
            </w:r>
          </w:p>
        </w:tc>
        <w:tc>
          <w:tcPr>
            <w:tcW w:w="6515" w:type="dxa"/>
          </w:tcPr>
          <w:p w14:paraId="56E80F56" w14:textId="77777777" w:rsidR="008637EF" w:rsidRPr="004637C7" w:rsidRDefault="008637EF" w:rsidP="005A7661">
            <w:pPr>
              <w:pStyle w:val="Tirets"/>
              <w:numPr>
                <w:ilvl w:val="0"/>
                <w:numId w:val="0"/>
              </w:numPr>
              <w:spacing w:line="240" w:lineRule="auto"/>
            </w:pPr>
            <w:r w:rsidRPr="004637C7">
              <w:t>Le maître d’ouvrage devra, le cas échéant :</w:t>
            </w:r>
          </w:p>
          <w:p w14:paraId="1FA12C7D" w14:textId="77777777" w:rsidR="008637EF" w:rsidRPr="004637C7" w:rsidRDefault="008637EF" w:rsidP="005A7661">
            <w:pPr>
              <w:pStyle w:val="Tirets"/>
              <w:spacing w:line="240" w:lineRule="auto"/>
              <w:ind w:left="313"/>
            </w:pPr>
            <w:r w:rsidRPr="004637C7">
              <w:t>Se conformer aux normes de qualité fixées par la réglementation ;</w:t>
            </w:r>
          </w:p>
          <w:p w14:paraId="05346D83" w14:textId="77777777" w:rsidR="008637EF" w:rsidRPr="004637C7" w:rsidRDefault="008637EF" w:rsidP="005A7661">
            <w:pPr>
              <w:pStyle w:val="Tirets"/>
              <w:spacing w:line="240" w:lineRule="auto"/>
              <w:ind w:left="313"/>
            </w:pPr>
            <w:r w:rsidRPr="004637C7">
              <w:t>Réaliser ou faire réaliser des analyses de suivi périodiques ;</w:t>
            </w:r>
          </w:p>
          <w:p w14:paraId="4759F39C" w14:textId="77777777" w:rsidR="008637EF" w:rsidRPr="004637C7" w:rsidRDefault="008637EF" w:rsidP="005A7661">
            <w:pPr>
              <w:pStyle w:val="Tirets"/>
              <w:spacing w:line="240" w:lineRule="auto"/>
              <w:ind w:left="313"/>
            </w:pPr>
            <w:r w:rsidRPr="004637C7">
              <w:t>Intégrer les résultats de suivi dans l’inventaire national de la qualité des eaux, via l’Agence de Bassin.</w:t>
            </w:r>
          </w:p>
        </w:tc>
      </w:tr>
    </w:tbl>
    <w:p w14:paraId="143CA122" w14:textId="77777777" w:rsidR="008637EF" w:rsidRPr="00F3142D" w:rsidRDefault="008637EF" w:rsidP="008637EF">
      <w:pPr>
        <w:pStyle w:val="Title3"/>
      </w:pPr>
      <w:bookmarkStart w:id="74" w:name="_Toc215131795"/>
      <w:r>
        <w:t>Gestion des déchets solides</w:t>
      </w:r>
      <w:bookmarkEnd w:id="74"/>
    </w:p>
    <w:tbl>
      <w:tblPr>
        <w:tblStyle w:val="Grilledetableauclaire"/>
        <w:tblW w:w="0" w:type="auto"/>
        <w:tblLook w:val="04A0" w:firstRow="1" w:lastRow="0" w:firstColumn="1" w:lastColumn="0" w:noHBand="0" w:noVBand="1"/>
      </w:tblPr>
      <w:tblGrid>
        <w:gridCol w:w="2547"/>
        <w:gridCol w:w="6515"/>
      </w:tblGrid>
      <w:tr w:rsidR="008637EF" w:rsidRPr="004637C7" w14:paraId="5CA6C2E2" w14:textId="77777777" w:rsidTr="005A7661">
        <w:tc>
          <w:tcPr>
            <w:tcW w:w="9062" w:type="dxa"/>
            <w:gridSpan w:val="2"/>
          </w:tcPr>
          <w:p w14:paraId="74FE58EF" w14:textId="77777777" w:rsidR="008637EF" w:rsidRPr="004637C7" w:rsidRDefault="008637EF" w:rsidP="005A7661">
            <w:pPr>
              <w:spacing w:after="0"/>
              <w:rPr>
                <w:b/>
                <w:bCs/>
                <w:color w:val="323E4F" w:themeColor="text2" w:themeShade="BF"/>
              </w:rPr>
            </w:pPr>
            <w:r w:rsidRPr="004637C7">
              <w:rPr>
                <w:b/>
                <w:bCs/>
                <w:color w:val="323E4F" w:themeColor="text2" w:themeShade="BF"/>
              </w:rPr>
              <w:t>Loi n°28-00 relative à la gestion des déchets solides (modifiée par la loi 23-12)</w:t>
            </w:r>
          </w:p>
        </w:tc>
      </w:tr>
      <w:tr w:rsidR="008637EF" w:rsidRPr="004637C7" w14:paraId="0530D776" w14:textId="77777777" w:rsidTr="005A7661">
        <w:tc>
          <w:tcPr>
            <w:tcW w:w="2547" w:type="dxa"/>
          </w:tcPr>
          <w:p w14:paraId="048F2DE6" w14:textId="77777777" w:rsidR="008637EF" w:rsidRPr="004637C7" w:rsidRDefault="008637EF" w:rsidP="005A7661">
            <w:pPr>
              <w:rPr>
                <w:b/>
                <w:bCs/>
              </w:rPr>
            </w:pPr>
            <w:r w:rsidRPr="004637C7">
              <w:rPr>
                <w:b/>
                <w:bCs/>
              </w:rPr>
              <w:t xml:space="preserve">Résumé </w:t>
            </w:r>
          </w:p>
        </w:tc>
        <w:tc>
          <w:tcPr>
            <w:tcW w:w="6515" w:type="dxa"/>
          </w:tcPr>
          <w:p w14:paraId="03E08336" w14:textId="77777777" w:rsidR="008637EF" w:rsidRPr="004637C7" w:rsidRDefault="008637EF" w:rsidP="005A7661">
            <w:pPr>
              <w:pStyle w:val="Tirets"/>
              <w:numPr>
                <w:ilvl w:val="0"/>
                <w:numId w:val="0"/>
              </w:numPr>
              <w:spacing w:line="240" w:lineRule="auto"/>
            </w:pPr>
            <w:r w:rsidRPr="004637C7">
              <w:t xml:space="preserve">La loi 28-00, publiée au Bulletin officiel n°5480 du 7 décembre 2006, constitue le socle juridique de la gestion des déchets au Maroc. Elle établit les règles et principes fondamentaux pour une gestion rationnelle, moderne et respectueuse de l’environnement, en intégrant les notions de prévention, de pollueur-payeur et de planification territoriale. </w:t>
            </w:r>
          </w:p>
          <w:p w14:paraId="57165A00" w14:textId="77777777" w:rsidR="008637EF" w:rsidRPr="004637C7" w:rsidRDefault="008637EF" w:rsidP="005A7661">
            <w:pPr>
              <w:pStyle w:val="Tirets"/>
              <w:numPr>
                <w:ilvl w:val="0"/>
                <w:numId w:val="0"/>
              </w:numPr>
              <w:spacing w:line="240" w:lineRule="auto"/>
            </w:pPr>
            <w:r w:rsidRPr="004637C7">
              <w:t>La modification apportée par la loi 23-12 (art. 42) interdit l’importation des déchets dangereux, sauf dérogation accordée par l’Administration pour certaines zones industrielles d’exportation (loi 19-94).</w:t>
            </w:r>
          </w:p>
          <w:p w14:paraId="0F87925C" w14:textId="77777777" w:rsidR="008637EF" w:rsidRPr="004637C7" w:rsidRDefault="008637EF" w:rsidP="005A7661">
            <w:r w:rsidRPr="004637C7">
              <w:t xml:space="preserve">Plusieurs décrets d’application de cette loi ont été publiés : </w:t>
            </w:r>
          </w:p>
          <w:p w14:paraId="5F069D86" w14:textId="77777777" w:rsidR="008637EF" w:rsidRPr="004637C7" w:rsidRDefault="008637EF" w:rsidP="005A7661">
            <w:pPr>
              <w:pStyle w:val="Tirets"/>
              <w:spacing w:line="240" w:lineRule="auto"/>
              <w:ind w:left="313"/>
            </w:pPr>
            <w:r w:rsidRPr="004637C7">
              <w:t>Décret n°2-07-253 du 14 Rejeb 1429 (18 juillet 2008) portant classification des déchets et fixant la liste des déchets dangereux ;</w:t>
            </w:r>
          </w:p>
          <w:p w14:paraId="1BD6102C" w14:textId="77777777" w:rsidR="008637EF" w:rsidRPr="004637C7" w:rsidRDefault="008637EF" w:rsidP="005A7661">
            <w:pPr>
              <w:pStyle w:val="Tirets"/>
              <w:spacing w:line="240" w:lineRule="auto"/>
              <w:ind w:left="313"/>
            </w:pPr>
            <w:r w:rsidRPr="004637C7">
              <w:t>Décret n° 2-09-139 du 25 Joumada I 1430 (21 mai 2009) relatif à la gestion des déchets médicaux et pharmaceutiques ;</w:t>
            </w:r>
          </w:p>
          <w:p w14:paraId="7E373070" w14:textId="77777777" w:rsidR="008637EF" w:rsidRPr="004637C7" w:rsidRDefault="008637EF" w:rsidP="005A7661">
            <w:pPr>
              <w:pStyle w:val="Tirets"/>
              <w:spacing w:line="240" w:lineRule="auto"/>
              <w:ind w:left="313"/>
            </w:pPr>
            <w:r w:rsidRPr="004637C7">
              <w:t>Décret n°2-09-284 du 20 Hijja 1430 (8 décembre 2009) fixant les procédures administratives et les prescriptions techniques relatives aux décharges contrôlées ;</w:t>
            </w:r>
          </w:p>
          <w:p w14:paraId="264A2B54" w14:textId="77777777" w:rsidR="008637EF" w:rsidRPr="004637C7" w:rsidRDefault="008637EF" w:rsidP="005A7661">
            <w:pPr>
              <w:pStyle w:val="Tirets"/>
              <w:spacing w:line="240" w:lineRule="auto"/>
              <w:ind w:left="313"/>
            </w:pPr>
            <w:r w:rsidRPr="004637C7">
              <w:t>Décret n°2 -09 -538 du 5 Rabii II 1431 (22 mars 2010) fixant les modalités d’élaboration du plan directeur national de gestion des déchets dangereux ;</w:t>
            </w:r>
          </w:p>
          <w:p w14:paraId="066D0C10" w14:textId="77777777" w:rsidR="008637EF" w:rsidRPr="004637C7" w:rsidRDefault="008637EF" w:rsidP="005A7661">
            <w:pPr>
              <w:pStyle w:val="Tirets"/>
              <w:spacing w:line="240" w:lineRule="auto"/>
              <w:ind w:left="313"/>
            </w:pPr>
            <w:r w:rsidRPr="004637C7">
              <w:t>Décret n°2-09-285 du 23 rejeb 1431 (6 juillet 2010) fixant les modalités d’élaboration du plan directeur préfectoral ou provincial de gestion des déchets ménagers et assimilés et la procédure d’organisation de l’enquête publique afférente à ce plan ;</w:t>
            </w:r>
          </w:p>
          <w:p w14:paraId="20746D6C" w14:textId="77777777" w:rsidR="008637EF" w:rsidRPr="004637C7" w:rsidRDefault="008637EF" w:rsidP="005A7661">
            <w:pPr>
              <w:pStyle w:val="Tirets"/>
              <w:spacing w:line="240" w:lineRule="auto"/>
              <w:ind w:left="313"/>
            </w:pPr>
            <w:r w:rsidRPr="004637C7">
              <w:t>Le décret n°2-09-85 du 7 Chaoual 1432 (6 septembre 2011) relatif à la collecte, au transport et au traitement de certaines huiles usagées.</w:t>
            </w:r>
          </w:p>
          <w:p w14:paraId="2D969723" w14:textId="77777777" w:rsidR="008637EF" w:rsidRPr="004637C7" w:rsidRDefault="008637EF" w:rsidP="005A7661">
            <w:pPr>
              <w:pStyle w:val="Tirets"/>
              <w:spacing w:line="240" w:lineRule="auto"/>
              <w:ind w:left="313"/>
            </w:pPr>
            <w:r w:rsidRPr="004637C7">
              <w:t xml:space="preserve">Décret n° 2-09-683 du 23 rejeb 1431 (6 juillet 2010) fixant les modalités d’élaboration du plan directeur régional de gestion des </w:t>
            </w:r>
            <w:r w:rsidRPr="004637C7">
              <w:lastRenderedPageBreak/>
              <w:t>déchets industriels, médicaux et pharmaceutiques non dangereux, des déchets ultimes, agricoles et inertes et la procédure d’organisation de l’enquête publique afférente à ce plan.</w:t>
            </w:r>
          </w:p>
        </w:tc>
      </w:tr>
      <w:tr w:rsidR="008637EF" w:rsidRPr="004637C7" w14:paraId="5A968367" w14:textId="77777777" w:rsidTr="005A7661">
        <w:tc>
          <w:tcPr>
            <w:tcW w:w="2547" w:type="dxa"/>
          </w:tcPr>
          <w:p w14:paraId="3DC670C1" w14:textId="77777777" w:rsidR="008637EF" w:rsidRPr="004637C7" w:rsidRDefault="008637EF" w:rsidP="005A7661">
            <w:pPr>
              <w:rPr>
                <w:b/>
                <w:bCs/>
              </w:rPr>
            </w:pPr>
            <w:r w:rsidRPr="004637C7">
              <w:rPr>
                <w:b/>
                <w:bCs/>
              </w:rPr>
              <w:lastRenderedPageBreak/>
              <w:t>Applicabilité</w:t>
            </w:r>
          </w:p>
        </w:tc>
        <w:tc>
          <w:tcPr>
            <w:tcW w:w="6515" w:type="dxa"/>
          </w:tcPr>
          <w:p w14:paraId="00E0805F" w14:textId="4440A7D0" w:rsidR="008637EF" w:rsidRPr="004637C7" w:rsidRDefault="008637EF" w:rsidP="005A7661">
            <w:pPr>
              <w:pStyle w:val="Tirets"/>
              <w:numPr>
                <w:ilvl w:val="0"/>
                <w:numId w:val="0"/>
              </w:numPr>
              <w:spacing w:line="240" w:lineRule="auto"/>
            </w:pPr>
            <w:r w:rsidRPr="004637C7">
              <w:t xml:space="preserve">Dans le cadre du projet </w:t>
            </w:r>
            <w:r w:rsidR="00BD4D87" w:rsidRPr="00BD4D87">
              <w:t>de modernisation et d’extension des infrastructures aéroportuaires</w:t>
            </w:r>
            <w:r w:rsidRPr="004637C7">
              <w:t xml:space="preserve"> de l’aéroport </w:t>
            </w:r>
            <w:r w:rsidR="00EE6509">
              <w:t>Marrakech Ménara</w:t>
            </w:r>
            <w:r w:rsidRPr="004637C7">
              <w:t>, cette loi est applicable pour la gestion :</w:t>
            </w:r>
          </w:p>
          <w:p w14:paraId="3FA97156" w14:textId="77777777" w:rsidR="008637EF" w:rsidRPr="004637C7" w:rsidRDefault="008637EF" w:rsidP="005A7661">
            <w:pPr>
              <w:pStyle w:val="Tirets"/>
              <w:spacing w:line="240" w:lineRule="auto"/>
              <w:ind w:left="313"/>
            </w:pPr>
            <w:r w:rsidRPr="004637C7">
              <w:t>Des déchets de chantier (inertes, dangereux, assimilés aux ménagers) ;</w:t>
            </w:r>
          </w:p>
          <w:p w14:paraId="626DCC41" w14:textId="77777777" w:rsidR="008637EF" w:rsidRPr="004637C7" w:rsidRDefault="008637EF" w:rsidP="005A7661">
            <w:pPr>
              <w:pStyle w:val="Tirets"/>
              <w:spacing w:line="240" w:lineRule="auto"/>
              <w:ind w:left="313"/>
            </w:pPr>
            <w:r w:rsidRPr="004637C7">
              <w:t>Des huiles usagées, solvants ou autres déchets techniques générés par l’exploitation ;</w:t>
            </w:r>
          </w:p>
          <w:p w14:paraId="2941C104" w14:textId="77777777" w:rsidR="008637EF" w:rsidRPr="004637C7" w:rsidRDefault="008637EF" w:rsidP="005A7661">
            <w:pPr>
              <w:pStyle w:val="Tirets"/>
              <w:spacing w:line="240" w:lineRule="auto"/>
              <w:ind w:left="313"/>
            </w:pPr>
            <w:r w:rsidRPr="004637C7">
              <w:t>Des installations de stockage et d’élimination des déchets.</w:t>
            </w:r>
          </w:p>
        </w:tc>
      </w:tr>
      <w:tr w:rsidR="008637EF" w:rsidRPr="004637C7" w14:paraId="42B62076" w14:textId="77777777" w:rsidTr="005A7661">
        <w:tc>
          <w:tcPr>
            <w:tcW w:w="2547" w:type="dxa"/>
          </w:tcPr>
          <w:p w14:paraId="5B3BF529" w14:textId="77777777" w:rsidR="008637EF" w:rsidRPr="004637C7" w:rsidRDefault="008637EF" w:rsidP="005A7661">
            <w:pPr>
              <w:rPr>
                <w:b/>
                <w:bCs/>
              </w:rPr>
            </w:pPr>
            <w:r w:rsidRPr="004637C7">
              <w:rPr>
                <w:b/>
                <w:bCs/>
              </w:rPr>
              <w:t>Exigences de conformité</w:t>
            </w:r>
          </w:p>
        </w:tc>
        <w:tc>
          <w:tcPr>
            <w:tcW w:w="6515" w:type="dxa"/>
          </w:tcPr>
          <w:p w14:paraId="26391192" w14:textId="77777777" w:rsidR="008637EF" w:rsidRPr="004637C7" w:rsidRDefault="008637EF" w:rsidP="005A7661">
            <w:pPr>
              <w:pStyle w:val="Tirets"/>
              <w:numPr>
                <w:ilvl w:val="0"/>
                <w:numId w:val="0"/>
              </w:numPr>
              <w:spacing w:line="240" w:lineRule="auto"/>
            </w:pPr>
            <w:r w:rsidRPr="004637C7">
              <w:t>Le maître d’ouvrage et ses contractants devront, le cas échéant :</w:t>
            </w:r>
          </w:p>
          <w:p w14:paraId="7663C230" w14:textId="77777777" w:rsidR="008637EF" w:rsidRPr="004637C7" w:rsidRDefault="008637EF" w:rsidP="005A7661">
            <w:pPr>
              <w:pStyle w:val="Tirets"/>
              <w:spacing w:line="240" w:lineRule="auto"/>
              <w:ind w:left="313"/>
            </w:pPr>
            <w:r w:rsidRPr="004637C7">
              <w:t>Mettre en place une gestion différenciée des déchets (ménagers, inertes, dangereux, médicaux le cas échéant) ;</w:t>
            </w:r>
          </w:p>
          <w:p w14:paraId="6C1D9575" w14:textId="77777777" w:rsidR="008637EF" w:rsidRPr="004637C7" w:rsidRDefault="008637EF" w:rsidP="005A7661">
            <w:pPr>
              <w:pStyle w:val="Tirets"/>
              <w:spacing w:line="240" w:lineRule="auto"/>
              <w:ind w:left="313"/>
            </w:pPr>
            <w:r w:rsidRPr="004637C7">
              <w:t>Assurer la collecte, le stockage temporaire, le transport et l’élimination dans des filières autorisées ;</w:t>
            </w:r>
          </w:p>
          <w:p w14:paraId="45FBAA9B" w14:textId="77777777" w:rsidR="008637EF" w:rsidRPr="004637C7" w:rsidRDefault="008637EF" w:rsidP="005A7661">
            <w:pPr>
              <w:pStyle w:val="Tirets"/>
              <w:spacing w:line="240" w:lineRule="auto"/>
              <w:ind w:left="313"/>
            </w:pPr>
            <w:r w:rsidRPr="004637C7">
              <w:t>Éviter tout mélange entre déchets dangereux et non dangereux ;</w:t>
            </w:r>
          </w:p>
          <w:p w14:paraId="62CCD4F2" w14:textId="77777777" w:rsidR="008637EF" w:rsidRPr="004637C7" w:rsidRDefault="008637EF" w:rsidP="005A7661">
            <w:pPr>
              <w:pStyle w:val="Tirets"/>
              <w:spacing w:line="240" w:lineRule="auto"/>
              <w:ind w:left="313"/>
            </w:pPr>
            <w:r w:rsidRPr="004637C7">
              <w:t>Respecter les plans directeurs (national, régional, provincial) de gestion des déchets ;</w:t>
            </w:r>
          </w:p>
          <w:p w14:paraId="6712438B" w14:textId="77777777" w:rsidR="008637EF" w:rsidRPr="004637C7" w:rsidRDefault="008637EF" w:rsidP="005A7661">
            <w:pPr>
              <w:pStyle w:val="Tirets"/>
              <w:spacing w:line="240" w:lineRule="auto"/>
              <w:ind w:left="313"/>
            </w:pPr>
            <w:r w:rsidRPr="004637C7">
              <w:t>Appliquer le principe pollueur-payeur et prévoir des mesures de prévention à la source.</w:t>
            </w:r>
          </w:p>
        </w:tc>
      </w:tr>
    </w:tbl>
    <w:p w14:paraId="60081719" w14:textId="77777777" w:rsidR="008637EF" w:rsidRDefault="008637EF" w:rsidP="008637EF">
      <w:pPr>
        <w:pStyle w:val="Title3"/>
      </w:pPr>
      <w:bookmarkStart w:id="75" w:name="_Toc215131796"/>
      <w:r>
        <w:t>Qualité de l’air</w:t>
      </w:r>
      <w:bookmarkEnd w:id="75"/>
    </w:p>
    <w:tbl>
      <w:tblPr>
        <w:tblStyle w:val="Grilledetableauclaire"/>
        <w:tblW w:w="0" w:type="auto"/>
        <w:tblLook w:val="04A0" w:firstRow="1" w:lastRow="0" w:firstColumn="1" w:lastColumn="0" w:noHBand="0" w:noVBand="1"/>
      </w:tblPr>
      <w:tblGrid>
        <w:gridCol w:w="2547"/>
        <w:gridCol w:w="6515"/>
      </w:tblGrid>
      <w:tr w:rsidR="008637EF" w:rsidRPr="004637C7" w14:paraId="6FB1EFAE" w14:textId="77777777" w:rsidTr="005A7661">
        <w:tc>
          <w:tcPr>
            <w:tcW w:w="9062" w:type="dxa"/>
            <w:gridSpan w:val="2"/>
          </w:tcPr>
          <w:p w14:paraId="316AF7D2" w14:textId="77777777" w:rsidR="008637EF" w:rsidRPr="004637C7" w:rsidRDefault="008637EF" w:rsidP="005A7661">
            <w:pPr>
              <w:spacing w:after="0"/>
              <w:rPr>
                <w:b/>
                <w:bCs/>
                <w:color w:val="323E4F" w:themeColor="text2" w:themeShade="BF"/>
              </w:rPr>
            </w:pPr>
            <w:r w:rsidRPr="004637C7">
              <w:rPr>
                <w:b/>
                <w:bCs/>
                <w:color w:val="323E4F" w:themeColor="text2" w:themeShade="BF"/>
              </w:rPr>
              <w:t>Loi n°13-03 relative à la lutte contre la pollution de l’air</w:t>
            </w:r>
          </w:p>
        </w:tc>
      </w:tr>
      <w:tr w:rsidR="008637EF" w:rsidRPr="004637C7" w14:paraId="70CEDB02" w14:textId="77777777" w:rsidTr="005A7661">
        <w:tc>
          <w:tcPr>
            <w:tcW w:w="2547" w:type="dxa"/>
          </w:tcPr>
          <w:p w14:paraId="1844CF7D" w14:textId="77777777" w:rsidR="008637EF" w:rsidRPr="004637C7" w:rsidRDefault="008637EF" w:rsidP="005A7661">
            <w:pPr>
              <w:rPr>
                <w:b/>
                <w:bCs/>
              </w:rPr>
            </w:pPr>
            <w:r w:rsidRPr="004637C7">
              <w:rPr>
                <w:b/>
                <w:bCs/>
              </w:rPr>
              <w:t xml:space="preserve">Résumé </w:t>
            </w:r>
          </w:p>
        </w:tc>
        <w:tc>
          <w:tcPr>
            <w:tcW w:w="6515" w:type="dxa"/>
          </w:tcPr>
          <w:p w14:paraId="22D8A9D5" w14:textId="77777777" w:rsidR="008637EF" w:rsidRPr="004637C7" w:rsidRDefault="008637EF" w:rsidP="005A7661">
            <w:pPr>
              <w:pStyle w:val="Tirets"/>
              <w:numPr>
                <w:ilvl w:val="0"/>
                <w:numId w:val="0"/>
              </w:numPr>
              <w:spacing w:line="240" w:lineRule="auto"/>
            </w:pPr>
            <w:r w:rsidRPr="004637C7">
              <w:t>La loi 13-03 établit le cadre juridique pour la prévention et la réduction des émissions polluantes dans l’air, susceptibles de nuire à la santé humaine, à la biodiversité, au climat, au patrimoine et à l’environnement en général.</w:t>
            </w:r>
          </w:p>
          <w:p w14:paraId="6CF8056D" w14:textId="77777777" w:rsidR="008637EF" w:rsidRPr="004637C7" w:rsidRDefault="008637EF" w:rsidP="005A7661">
            <w:pPr>
              <w:pStyle w:val="Tirets"/>
              <w:spacing w:line="240" w:lineRule="auto"/>
              <w:ind w:left="313"/>
            </w:pPr>
            <w:r w:rsidRPr="004637C7">
              <w:t>Décret n° 2-09-286 du 20 hija 1430 (8 décembre 2009) fixant les normes de qualité de l’air et les modalités de surveillance de l’air</w:t>
            </w:r>
          </w:p>
          <w:p w14:paraId="01F51785" w14:textId="77777777" w:rsidR="008637EF" w:rsidRPr="004637C7" w:rsidRDefault="008637EF" w:rsidP="005A7661">
            <w:pPr>
              <w:pStyle w:val="Tirets"/>
              <w:spacing w:line="240" w:lineRule="auto"/>
              <w:ind w:left="313"/>
            </w:pPr>
            <w:r w:rsidRPr="004637C7">
              <w:t>Décret n° 2-09-631 du 23 rejeb 1431 (6 juillet 2010) fixant les valeurs limites de dégagement, d’émission ou de rejet de polluants dans l’air émanant de sources fixes, et les modalités de leur contrôle</w:t>
            </w:r>
          </w:p>
          <w:p w14:paraId="3293F29A" w14:textId="77777777" w:rsidR="008637EF" w:rsidRPr="004637C7" w:rsidRDefault="008637EF" w:rsidP="005A7661">
            <w:pPr>
              <w:pStyle w:val="Tirets"/>
              <w:spacing w:line="240" w:lineRule="auto"/>
              <w:ind w:left="313"/>
            </w:pPr>
            <w:r w:rsidRPr="004637C7">
              <w:t>Décret n° 2-18-74 du 14 Rejeb 1440 (21 mars 2019) relatif au système national d’inventaire des émissions des gaz à effet de serre.</w:t>
            </w:r>
          </w:p>
        </w:tc>
      </w:tr>
      <w:tr w:rsidR="008637EF" w:rsidRPr="004637C7" w14:paraId="05E4EDCC" w14:textId="77777777" w:rsidTr="005A7661">
        <w:tc>
          <w:tcPr>
            <w:tcW w:w="2547" w:type="dxa"/>
          </w:tcPr>
          <w:p w14:paraId="4AB4BD22" w14:textId="77777777" w:rsidR="008637EF" w:rsidRPr="004637C7" w:rsidRDefault="008637EF" w:rsidP="005A7661">
            <w:pPr>
              <w:rPr>
                <w:b/>
                <w:bCs/>
              </w:rPr>
            </w:pPr>
            <w:r w:rsidRPr="004637C7">
              <w:rPr>
                <w:b/>
                <w:bCs/>
              </w:rPr>
              <w:t>Applicabilité</w:t>
            </w:r>
          </w:p>
        </w:tc>
        <w:tc>
          <w:tcPr>
            <w:tcW w:w="6515" w:type="dxa"/>
          </w:tcPr>
          <w:p w14:paraId="12C8A04A" w14:textId="4A00EE36" w:rsidR="008637EF" w:rsidRPr="004637C7" w:rsidRDefault="008637EF" w:rsidP="005A7661">
            <w:pPr>
              <w:pStyle w:val="Tirets"/>
              <w:numPr>
                <w:ilvl w:val="0"/>
                <w:numId w:val="0"/>
              </w:numPr>
              <w:spacing w:line="240" w:lineRule="auto"/>
            </w:pPr>
            <w:r w:rsidRPr="004637C7">
              <w:t xml:space="preserve">Dans le cadre du </w:t>
            </w:r>
            <w:r w:rsidR="00BD4D87">
              <w:t xml:space="preserve">projet </w:t>
            </w:r>
            <w:r w:rsidR="00BD4D87" w:rsidRPr="00BD4D87">
              <w:t xml:space="preserve">de modernisation et d’extension des infrastructures aéroportuaires </w:t>
            </w:r>
            <w:r w:rsidRPr="004637C7">
              <w:t xml:space="preserve">de l’aéroport </w:t>
            </w:r>
            <w:r w:rsidR="00EE6509">
              <w:t>Marrakech Ménara</w:t>
            </w:r>
            <w:r w:rsidRPr="004637C7">
              <w:t>, cette loi est applicable pour :</w:t>
            </w:r>
          </w:p>
          <w:p w14:paraId="35B9EFAE" w14:textId="77777777" w:rsidR="008637EF" w:rsidRPr="004637C7" w:rsidRDefault="008637EF" w:rsidP="005A7661">
            <w:pPr>
              <w:pStyle w:val="Tirets"/>
              <w:spacing w:line="240" w:lineRule="auto"/>
              <w:ind w:left="313"/>
            </w:pPr>
            <w:r w:rsidRPr="004637C7">
              <w:t>Les émissions atmosphériques des engins de chantier et véhicules ;</w:t>
            </w:r>
          </w:p>
          <w:p w14:paraId="392CB3EA" w14:textId="77777777" w:rsidR="008637EF" w:rsidRPr="004637C7" w:rsidRDefault="008637EF" w:rsidP="005A7661">
            <w:pPr>
              <w:pStyle w:val="Tirets"/>
              <w:spacing w:line="240" w:lineRule="auto"/>
              <w:ind w:left="313"/>
            </w:pPr>
            <w:r w:rsidRPr="004637C7">
              <w:t>Les poussières et particules générées lors des travaux de terrassement et de construction ;</w:t>
            </w:r>
          </w:p>
          <w:p w14:paraId="02FED959" w14:textId="77777777" w:rsidR="008637EF" w:rsidRPr="004637C7" w:rsidRDefault="008637EF" w:rsidP="005A7661">
            <w:pPr>
              <w:pStyle w:val="Tirets"/>
              <w:spacing w:line="240" w:lineRule="auto"/>
              <w:ind w:left="313"/>
            </w:pPr>
            <w:r w:rsidRPr="004637C7">
              <w:t>Les rejets potentiels liés aux équipements de chauffage, de climatisation ou d’incinération de déchets en phase d’exploitation.</w:t>
            </w:r>
          </w:p>
        </w:tc>
      </w:tr>
      <w:tr w:rsidR="008637EF" w:rsidRPr="004637C7" w14:paraId="30509129" w14:textId="77777777" w:rsidTr="005A7661">
        <w:tc>
          <w:tcPr>
            <w:tcW w:w="2547" w:type="dxa"/>
          </w:tcPr>
          <w:p w14:paraId="3A836302" w14:textId="77777777" w:rsidR="008637EF" w:rsidRPr="004637C7" w:rsidRDefault="008637EF" w:rsidP="005A7661">
            <w:pPr>
              <w:rPr>
                <w:b/>
                <w:bCs/>
              </w:rPr>
            </w:pPr>
            <w:r w:rsidRPr="004637C7">
              <w:rPr>
                <w:b/>
                <w:bCs/>
              </w:rPr>
              <w:t>Exigences de conformité</w:t>
            </w:r>
          </w:p>
        </w:tc>
        <w:tc>
          <w:tcPr>
            <w:tcW w:w="6515" w:type="dxa"/>
          </w:tcPr>
          <w:p w14:paraId="5D7A2187" w14:textId="77777777" w:rsidR="008637EF" w:rsidRPr="004637C7" w:rsidRDefault="008637EF" w:rsidP="005A7661">
            <w:pPr>
              <w:pStyle w:val="Tirets"/>
              <w:numPr>
                <w:ilvl w:val="0"/>
                <w:numId w:val="0"/>
              </w:numPr>
              <w:spacing w:line="240" w:lineRule="auto"/>
            </w:pPr>
            <w:r w:rsidRPr="004637C7">
              <w:t>Le maître d’ouvrage et ses prestataires devront, le cas échéant :</w:t>
            </w:r>
          </w:p>
          <w:p w14:paraId="3165127C" w14:textId="77777777" w:rsidR="008637EF" w:rsidRPr="004637C7" w:rsidRDefault="008637EF" w:rsidP="005A7661">
            <w:pPr>
              <w:pStyle w:val="Tirets"/>
              <w:spacing w:line="240" w:lineRule="auto"/>
              <w:ind w:left="313"/>
            </w:pPr>
            <w:r w:rsidRPr="004637C7">
              <w:t>Respecter les normes de qualité de l’air fixées par voie réglementaire;</w:t>
            </w:r>
          </w:p>
          <w:p w14:paraId="0D82DBBE" w14:textId="77777777" w:rsidR="008637EF" w:rsidRPr="004637C7" w:rsidRDefault="008637EF" w:rsidP="005A7661">
            <w:pPr>
              <w:pStyle w:val="Tirets"/>
              <w:spacing w:line="240" w:lineRule="auto"/>
              <w:ind w:left="313"/>
            </w:pPr>
            <w:r w:rsidRPr="004637C7">
              <w:lastRenderedPageBreak/>
              <w:t>Mettre en place des mesures de prévention et de réduction des émissions (arrosage, filtres, techniques moins émissives) ;</w:t>
            </w:r>
          </w:p>
          <w:p w14:paraId="7034C071" w14:textId="77777777" w:rsidR="008637EF" w:rsidRPr="004637C7" w:rsidRDefault="008637EF" w:rsidP="005A7661">
            <w:pPr>
              <w:pStyle w:val="Tirets"/>
              <w:spacing w:line="240" w:lineRule="auto"/>
              <w:ind w:left="313"/>
            </w:pPr>
            <w:r w:rsidRPr="004637C7">
              <w:t>Appliquer les meilleures techniques disponibles en cas d’absence de normes spécifiques ;</w:t>
            </w:r>
          </w:p>
          <w:p w14:paraId="32C7A6A3" w14:textId="77777777" w:rsidR="008637EF" w:rsidRPr="004637C7" w:rsidRDefault="008637EF" w:rsidP="005A7661">
            <w:pPr>
              <w:pStyle w:val="Tirets"/>
              <w:spacing w:line="240" w:lineRule="auto"/>
              <w:ind w:left="313"/>
            </w:pPr>
            <w:r w:rsidRPr="004637C7">
              <w:t>Coopérer avec les autorités compétentes en cas de mise en place de réseaux de surveillance de la qualité de l’air.</w:t>
            </w:r>
          </w:p>
        </w:tc>
      </w:tr>
    </w:tbl>
    <w:p w14:paraId="1DDD927C" w14:textId="77777777" w:rsidR="008637EF" w:rsidRDefault="008637EF" w:rsidP="008637EF">
      <w:pPr>
        <w:pStyle w:val="Title3"/>
      </w:pPr>
      <w:bookmarkStart w:id="76" w:name="_Toc215131797"/>
      <w:r>
        <w:lastRenderedPageBreak/>
        <w:t>Préservation des sols</w:t>
      </w:r>
      <w:bookmarkEnd w:id="76"/>
    </w:p>
    <w:tbl>
      <w:tblPr>
        <w:tblStyle w:val="Grilledetableauclaire"/>
        <w:tblW w:w="0" w:type="auto"/>
        <w:tblLook w:val="04A0" w:firstRow="1" w:lastRow="0" w:firstColumn="1" w:lastColumn="0" w:noHBand="0" w:noVBand="1"/>
      </w:tblPr>
      <w:tblGrid>
        <w:gridCol w:w="2547"/>
        <w:gridCol w:w="6515"/>
      </w:tblGrid>
      <w:tr w:rsidR="008637EF" w:rsidRPr="004637C7" w14:paraId="133CCA55" w14:textId="77777777" w:rsidTr="005A7661">
        <w:tc>
          <w:tcPr>
            <w:tcW w:w="9062" w:type="dxa"/>
            <w:gridSpan w:val="2"/>
          </w:tcPr>
          <w:p w14:paraId="5849688D" w14:textId="77777777" w:rsidR="008637EF" w:rsidRPr="004637C7" w:rsidRDefault="008637EF" w:rsidP="005A7661">
            <w:pPr>
              <w:spacing w:after="0"/>
              <w:rPr>
                <w:b/>
                <w:bCs/>
                <w:color w:val="323E4F" w:themeColor="text2" w:themeShade="BF"/>
              </w:rPr>
            </w:pPr>
            <w:r w:rsidRPr="004637C7">
              <w:rPr>
                <w:b/>
                <w:bCs/>
                <w:color w:val="323E4F" w:themeColor="text2" w:themeShade="BF"/>
              </w:rPr>
              <w:t>Dahir n°1-69-170 du 25 juillet 1969 sur la défense et la restauration des sols</w:t>
            </w:r>
          </w:p>
        </w:tc>
      </w:tr>
      <w:tr w:rsidR="008637EF" w:rsidRPr="004637C7" w14:paraId="13B52D8E" w14:textId="77777777" w:rsidTr="005A7661">
        <w:tc>
          <w:tcPr>
            <w:tcW w:w="2547" w:type="dxa"/>
          </w:tcPr>
          <w:p w14:paraId="1E2AE1F1" w14:textId="77777777" w:rsidR="008637EF" w:rsidRPr="004637C7" w:rsidRDefault="008637EF" w:rsidP="005A7661">
            <w:pPr>
              <w:rPr>
                <w:b/>
                <w:bCs/>
              </w:rPr>
            </w:pPr>
            <w:r w:rsidRPr="004637C7">
              <w:rPr>
                <w:b/>
                <w:bCs/>
              </w:rPr>
              <w:t xml:space="preserve">Résumé </w:t>
            </w:r>
          </w:p>
        </w:tc>
        <w:tc>
          <w:tcPr>
            <w:tcW w:w="6515" w:type="dxa"/>
          </w:tcPr>
          <w:p w14:paraId="6E2AA3D4" w14:textId="77777777" w:rsidR="008637EF" w:rsidRPr="004637C7" w:rsidRDefault="008637EF" w:rsidP="005A7661">
            <w:pPr>
              <w:pStyle w:val="Tirets"/>
              <w:numPr>
                <w:ilvl w:val="0"/>
                <w:numId w:val="0"/>
              </w:numPr>
              <w:spacing w:line="240" w:lineRule="auto"/>
            </w:pPr>
            <w:r w:rsidRPr="004637C7">
              <w:t>Ce dahir établit les règles relatives à la protection, la restauration et l’utilisation durable des sols. Il :</w:t>
            </w:r>
          </w:p>
          <w:p w14:paraId="74DBEE94" w14:textId="77777777" w:rsidR="008637EF" w:rsidRPr="004637C7" w:rsidRDefault="008637EF" w:rsidP="005A7661">
            <w:pPr>
              <w:pStyle w:val="Tirets"/>
              <w:spacing w:line="240" w:lineRule="auto"/>
              <w:ind w:left="313"/>
            </w:pPr>
            <w:r w:rsidRPr="004637C7">
              <w:t>Réglemente les autorisations de travaux dans les périmètres classés pour la défense et la restauration des sols ;</w:t>
            </w:r>
          </w:p>
          <w:p w14:paraId="345C99A1" w14:textId="77777777" w:rsidR="008637EF" w:rsidRPr="004637C7" w:rsidRDefault="008637EF" w:rsidP="005A7661">
            <w:pPr>
              <w:pStyle w:val="Tirets"/>
              <w:spacing w:line="240" w:lineRule="auto"/>
              <w:ind w:left="313"/>
            </w:pPr>
            <w:r w:rsidRPr="004637C7">
              <w:t>Encadre l’implantation de certains établissements considérés comme polluants ;</w:t>
            </w:r>
          </w:p>
          <w:p w14:paraId="5F7E84B0" w14:textId="77777777" w:rsidR="008637EF" w:rsidRPr="004637C7" w:rsidRDefault="008637EF" w:rsidP="005A7661">
            <w:pPr>
              <w:pStyle w:val="Tirets"/>
              <w:spacing w:line="240" w:lineRule="auto"/>
              <w:ind w:left="313"/>
            </w:pPr>
            <w:r w:rsidRPr="004637C7">
              <w:t>Prévoit un ensemble d’interdictions pour limiter la dégradation des sols, en particulier dans les secteurs présentant une valeur écologique ou patrimoniale importante.</w:t>
            </w:r>
          </w:p>
        </w:tc>
      </w:tr>
      <w:tr w:rsidR="008637EF" w:rsidRPr="004637C7" w14:paraId="74C4B183" w14:textId="77777777" w:rsidTr="005A7661">
        <w:tc>
          <w:tcPr>
            <w:tcW w:w="2547" w:type="dxa"/>
          </w:tcPr>
          <w:p w14:paraId="28A15D5B" w14:textId="77777777" w:rsidR="008637EF" w:rsidRPr="004637C7" w:rsidRDefault="008637EF" w:rsidP="005A7661">
            <w:pPr>
              <w:rPr>
                <w:b/>
                <w:bCs/>
              </w:rPr>
            </w:pPr>
            <w:r w:rsidRPr="004637C7">
              <w:rPr>
                <w:b/>
                <w:bCs/>
              </w:rPr>
              <w:t>Applicabilité</w:t>
            </w:r>
          </w:p>
        </w:tc>
        <w:tc>
          <w:tcPr>
            <w:tcW w:w="6515" w:type="dxa"/>
          </w:tcPr>
          <w:p w14:paraId="51872B72" w14:textId="6CD841B5" w:rsidR="008637EF" w:rsidRPr="004637C7" w:rsidRDefault="008637EF" w:rsidP="005A7661">
            <w:pPr>
              <w:pStyle w:val="Tirets"/>
              <w:numPr>
                <w:ilvl w:val="0"/>
                <w:numId w:val="0"/>
              </w:numPr>
              <w:spacing w:line="240" w:lineRule="auto"/>
            </w:pPr>
            <w:r w:rsidRPr="004637C7">
              <w:t xml:space="preserve">Le projet </w:t>
            </w:r>
            <w:r w:rsidR="00451B3C" w:rsidRPr="00451B3C">
              <w:t xml:space="preserve">de modernisation et d’extension des infrastructures aéroportuaires </w:t>
            </w:r>
            <w:r w:rsidRPr="004637C7">
              <w:t xml:space="preserve">l’aéroport </w:t>
            </w:r>
            <w:r w:rsidR="00EE6509">
              <w:t>Marrakech Ménara</w:t>
            </w:r>
            <w:r w:rsidR="00EE6509" w:rsidRPr="004637C7">
              <w:t xml:space="preserve"> </w:t>
            </w:r>
            <w:r w:rsidRPr="004637C7">
              <w:t>pourrait être concerné si :</w:t>
            </w:r>
          </w:p>
          <w:p w14:paraId="499AA7E1" w14:textId="77777777" w:rsidR="008637EF" w:rsidRPr="004637C7" w:rsidRDefault="008637EF" w:rsidP="005A7661">
            <w:pPr>
              <w:pStyle w:val="Tirets"/>
              <w:spacing w:line="240" w:lineRule="auto"/>
              <w:ind w:left="313"/>
            </w:pPr>
            <w:r w:rsidRPr="004637C7">
              <w:t>Certaines emprises ou zones de chantier se situaient dans des périmètres classés au titre de la défense et de la restauration des sols ;</w:t>
            </w:r>
          </w:p>
          <w:p w14:paraId="4D27390E" w14:textId="77777777" w:rsidR="008637EF" w:rsidRPr="004637C7" w:rsidRDefault="008637EF" w:rsidP="005A7661">
            <w:pPr>
              <w:pStyle w:val="Tirets"/>
              <w:spacing w:line="240" w:lineRule="auto"/>
              <w:ind w:left="313"/>
            </w:pPr>
            <w:r w:rsidRPr="004637C7">
              <w:t>Des activités générant des risques de pollution ou d’érosion affectaient des secteurs sensibles du patrimoine naturel environnant.</w:t>
            </w:r>
          </w:p>
        </w:tc>
      </w:tr>
      <w:tr w:rsidR="008637EF" w:rsidRPr="004637C7" w14:paraId="10505CA8" w14:textId="77777777" w:rsidTr="005A7661">
        <w:tc>
          <w:tcPr>
            <w:tcW w:w="2547" w:type="dxa"/>
          </w:tcPr>
          <w:p w14:paraId="38DAF037" w14:textId="77777777" w:rsidR="008637EF" w:rsidRPr="004637C7" w:rsidRDefault="008637EF" w:rsidP="005A7661">
            <w:pPr>
              <w:rPr>
                <w:b/>
                <w:bCs/>
              </w:rPr>
            </w:pPr>
            <w:r w:rsidRPr="004637C7">
              <w:rPr>
                <w:b/>
                <w:bCs/>
              </w:rPr>
              <w:t>Exigences de conformité</w:t>
            </w:r>
          </w:p>
        </w:tc>
        <w:tc>
          <w:tcPr>
            <w:tcW w:w="6515" w:type="dxa"/>
          </w:tcPr>
          <w:p w14:paraId="423E511C" w14:textId="77777777" w:rsidR="008637EF" w:rsidRPr="004637C7" w:rsidRDefault="008637EF" w:rsidP="005A7661">
            <w:pPr>
              <w:pStyle w:val="Tirets"/>
              <w:numPr>
                <w:ilvl w:val="0"/>
                <w:numId w:val="0"/>
              </w:numPr>
              <w:spacing w:line="240" w:lineRule="auto"/>
            </w:pPr>
            <w:r w:rsidRPr="004637C7">
              <w:t>Le maître d’ouvrage devra, le cas échéant :</w:t>
            </w:r>
          </w:p>
          <w:p w14:paraId="6BBA84EC" w14:textId="77777777" w:rsidR="008637EF" w:rsidRPr="004637C7" w:rsidRDefault="008637EF" w:rsidP="005A7661">
            <w:pPr>
              <w:pStyle w:val="Tirets"/>
              <w:spacing w:line="240" w:lineRule="auto"/>
              <w:ind w:left="313"/>
            </w:pPr>
            <w:r w:rsidRPr="004637C7">
              <w:t>Obtenir les autorisations nécessaires pour toute intervention dans les périmètres protégés ;</w:t>
            </w:r>
          </w:p>
          <w:p w14:paraId="6D8A4532" w14:textId="77777777" w:rsidR="008637EF" w:rsidRPr="004637C7" w:rsidRDefault="008637EF" w:rsidP="005A7661">
            <w:pPr>
              <w:pStyle w:val="Tirets"/>
              <w:spacing w:line="240" w:lineRule="auto"/>
              <w:ind w:left="313"/>
            </w:pPr>
            <w:r w:rsidRPr="004637C7">
              <w:t>Éviter toute implantation d’ouvrages ou d’installations susceptibles de porter atteinte à la stabilité et à la qualité des sols ;</w:t>
            </w:r>
          </w:p>
          <w:p w14:paraId="6C8D8BEB" w14:textId="77777777" w:rsidR="008637EF" w:rsidRPr="004637C7" w:rsidRDefault="008637EF" w:rsidP="005A7661">
            <w:pPr>
              <w:pStyle w:val="Tirets"/>
              <w:spacing w:line="240" w:lineRule="auto"/>
              <w:ind w:left="313"/>
            </w:pPr>
            <w:r w:rsidRPr="004637C7">
              <w:t>Respecter les interdictions en vigueur dans les zones sensibles identifiées par l’administration ;</w:t>
            </w:r>
          </w:p>
          <w:p w14:paraId="0D3DA0D9" w14:textId="77777777" w:rsidR="008637EF" w:rsidRPr="004637C7" w:rsidRDefault="008637EF" w:rsidP="005A7661">
            <w:pPr>
              <w:pStyle w:val="Tirets"/>
              <w:spacing w:line="240" w:lineRule="auto"/>
              <w:ind w:left="313"/>
            </w:pPr>
            <w:r w:rsidRPr="004637C7">
              <w:t>Intégrer des mesures de prévention de l’érosion et de restauration des sols dégradés dans la planification des travaux.</w:t>
            </w:r>
          </w:p>
        </w:tc>
      </w:tr>
    </w:tbl>
    <w:p w14:paraId="75FF58DE" w14:textId="325B717C" w:rsidR="008637EF" w:rsidRDefault="008637EF" w:rsidP="008637EF">
      <w:pPr>
        <w:pStyle w:val="Title3"/>
      </w:pPr>
      <w:bookmarkStart w:id="77" w:name="_Toc215131798"/>
      <w:r>
        <w:t>Biodiversité</w:t>
      </w:r>
      <w:bookmarkEnd w:id="77"/>
    </w:p>
    <w:tbl>
      <w:tblPr>
        <w:tblStyle w:val="Grilledetableauclaire"/>
        <w:tblW w:w="0" w:type="auto"/>
        <w:tblLook w:val="04A0" w:firstRow="1" w:lastRow="0" w:firstColumn="1" w:lastColumn="0" w:noHBand="0" w:noVBand="1"/>
      </w:tblPr>
      <w:tblGrid>
        <w:gridCol w:w="2547"/>
        <w:gridCol w:w="6515"/>
      </w:tblGrid>
      <w:tr w:rsidR="008637EF" w:rsidRPr="004637C7" w14:paraId="2923D8FB" w14:textId="77777777" w:rsidTr="005A7661">
        <w:tc>
          <w:tcPr>
            <w:tcW w:w="9062" w:type="dxa"/>
            <w:gridSpan w:val="2"/>
          </w:tcPr>
          <w:p w14:paraId="6001338F" w14:textId="77777777" w:rsidR="008637EF" w:rsidRPr="004637C7" w:rsidRDefault="008637EF" w:rsidP="005A7661">
            <w:pPr>
              <w:spacing w:after="0"/>
              <w:rPr>
                <w:b/>
                <w:bCs/>
                <w:color w:val="323E4F" w:themeColor="text2" w:themeShade="BF"/>
              </w:rPr>
            </w:pPr>
            <w:r w:rsidRPr="004637C7">
              <w:rPr>
                <w:b/>
                <w:bCs/>
                <w:color w:val="323E4F" w:themeColor="text2" w:themeShade="BF"/>
              </w:rPr>
              <w:t>Loi n°22-07 relative aux aires protégées</w:t>
            </w:r>
          </w:p>
        </w:tc>
      </w:tr>
      <w:tr w:rsidR="008637EF" w:rsidRPr="004637C7" w14:paraId="2AB12194" w14:textId="77777777" w:rsidTr="005A7661">
        <w:tc>
          <w:tcPr>
            <w:tcW w:w="2547" w:type="dxa"/>
          </w:tcPr>
          <w:p w14:paraId="5F47DB77" w14:textId="77777777" w:rsidR="008637EF" w:rsidRPr="004637C7" w:rsidRDefault="008637EF" w:rsidP="005A7661">
            <w:pPr>
              <w:rPr>
                <w:b/>
                <w:bCs/>
              </w:rPr>
            </w:pPr>
            <w:r w:rsidRPr="004637C7">
              <w:rPr>
                <w:b/>
                <w:bCs/>
              </w:rPr>
              <w:t xml:space="preserve">Résumé </w:t>
            </w:r>
          </w:p>
        </w:tc>
        <w:tc>
          <w:tcPr>
            <w:tcW w:w="6515" w:type="dxa"/>
          </w:tcPr>
          <w:p w14:paraId="62BB4C9B" w14:textId="77777777" w:rsidR="008637EF" w:rsidRPr="004637C7" w:rsidRDefault="008637EF" w:rsidP="005A7661">
            <w:pPr>
              <w:pStyle w:val="Tirets"/>
              <w:numPr>
                <w:ilvl w:val="0"/>
                <w:numId w:val="0"/>
              </w:numPr>
              <w:spacing w:line="240" w:lineRule="auto"/>
            </w:pPr>
            <w:r w:rsidRPr="004637C7">
              <w:t>Cette loi établit le cadre juridique de la création, de la gestion et de la protection des aires protégées au Maroc, dans l’objectif de préserver :</w:t>
            </w:r>
          </w:p>
          <w:p w14:paraId="4676B11F" w14:textId="77777777" w:rsidR="008637EF" w:rsidRPr="004637C7" w:rsidRDefault="008637EF" w:rsidP="005A7661">
            <w:pPr>
              <w:pStyle w:val="Tirets"/>
              <w:spacing w:line="240" w:lineRule="auto"/>
              <w:ind w:left="313"/>
            </w:pPr>
            <w:r w:rsidRPr="004637C7">
              <w:t>La diversité biologique et les écosystèmes naturels ;</w:t>
            </w:r>
          </w:p>
          <w:p w14:paraId="5275D1CB" w14:textId="77777777" w:rsidR="008637EF" w:rsidRPr="004637C7" w:rsidRDefault="008637EF" w:rsidP="005A7661">
            <w:pPr>
              <w:pStyle w:val="Tirets"/>
              <w:spacing w:line="240" w:lineRule="auto"/>
              <w:ind w:left="313"/>
            </w:pPr>
            <w:r w:rsidRPr="004637C7">
              <w:t>Le patrimoine faunistique et floristique ;</w:t>
            </w:r>
          </w:p>
          <w:p w14:paraId="0CFE494B" w14:textId="77777777" w:rsidR="008637EF" w:rsidRPr="004637C7" w:rsidRDefault="008637EF" w:rsidP="005A7661">
            <w:pPr>
              <w:pStyle w:val="Tirets"/>
              <w:spacing w:line="240" w:lineRule="auto"/>
              <w:ind w:left="313"/>
            </w:pPr>
            <w:r w:rsidRPr="004637C7">
              <w:t>Les valeurs paysagères, scientifiques et culturelles.</w:t>
            </w:r>
          </w:p>
          <w:p w14:paraId="124E6EFB" w14:textId="77777777" w:rsidR="008637EF" w:rsidRPr="004637C7" w:rsidRDefault="008637EF" w:rsidP="005A7661">
            <w:pPr>
              <w:pStyle w:val="Tirets"/>
              <w:numPr>
                <w:ilvl w:val="0"/>
                <w:numId w:val="0"/>
              </w:numPr>
              <w:spacing w:line="240" w:lineRule="auto"/>
            </w:pPr>
            <w:r w:rsidRPr="004637C7">
              <w:t>Elle définit les catégories d’aires protégées : parcs nationaux, réserves biologiques, réserves de chasse, sites d’intérêt biologique et écologique (SIBE), zones humides RAMSAR, etc.</w:t>
            </w:r>
          </w:p>
          <w:p w14:paraId="66045784" w14:textId="77777777" w:rsidR="008637EF" w:rsidRPr="004637C7" w:rsidRDefault="008637EF" w:rsidP="005A7661">
            <w:pPr>
              <w:pStyle w:val="Tirets"/>
              <w:numPr>
                <w:ilvl w:val="0"/>
                <w:numId w:val="0"/>
              </w:numPr>
              <w:spacing w:line="240" w:lineRule="auto"/>
            </w:pPr>
            <w:r w:rsidRPr="004637C7">
              <w:lastRenderedPageBreak/>
              <w:t>La création d’une aire protégée est prononcée par décret, après enquête publique et consultation des collectivités territoriales.</w:t>
            </w:r>
          </w:p>
          <w:p w14:paraId="4F9E55F8" w14:textId="77777777" w:rsidR="008637EF" w:rsidRPr="004637C7" w:rsidRDefault="008637EF" w:rsidP="005A7661">
            <w:pPr>
              <w:pStyle w:val="Tirets"/>
              <w:numPr>
                <w:ilvl w:val="0"/>
                <w:numId w:val="0"/>
              </w:numPr>
              <w:spacing w:line="240" w:lineRule="auto"/>
            </w:pPr>
            <w:r w:rsidRPr="004637C7">
              <w:t>Chaque aire protégée doit être dotée d’un plan d’aménagement et de gestion (PAG).</w:t>
            </w:r>
          </w:p>
          <w:p w14:paraId="0854DDF8" w14:textId="77777777" w:rsidR="008637EF" w:rsidRPr="004637C7" w:rsidRDefault="008637EF" w:rsidP="005A7661">
            <w:pPr>
              <w:pStyle w:val="Tirets"/>
              <w:numPr>
                <w:ilvl w:val="0"/>
                <w:numId w:val="0"/>
              </w:numPr>
              <w:spacing w:line="240" w:lineRule="auto"/>
            </w:pPr>
            <w:r w:rsidRPr="004637C7">
              <w:t>La loi prévoit également :</w:t>
            </w:r>
          </w:p>
          <w:p w14:paraId="3AD42286" w14:textId="77777777" w:rsidR="008637EF" w:rsidRPr="004637C7" w:rsidRDefault="008637EF" w:rsidP="005A7661">
            <w:pPr>
              <w:pStyle w:val="Tirets"/>
              <w:spacing w:line="240" w:lineRule="auto"/>
              <w:ind w:left="313"/>
            </w:pPr>
            <w:r w:rsidRPr="004637C7">
              <w:t>L’instauration possible de zones tampons ;</w:t>
            </w:r>
          </w:p>
          <w:p w14:paraId="773D47B1" w14:textId="77777777" w:rsidR="008637EF" w:rsidRPr="004637C7" w:rsidRDefault="008637EF" w:rsidP="005A7661">
            <w:pPr>
              <w:pStyle w:val="Tirets"/>
              <w:spacing w:line="240" w:lineRule="auto"/>
              <w:ind w:left="313"/>
            </w:pPr>
            <w:r w:rsidRPr="004637C7">
              <w:t>La participation des populations locales ;</w:t>
            </w:r>
          </w:p>
          <w:p w14:paraId="04F4496A" w14:textId="77777777" w:rsidR="008637EF" w:rsidRPr="004637C7" w:rsidRDefault="008637EF" w:rsidP="005A7661">
            <w:pPr>
              <w:pStyle w:val="Tirets"/>
              <w:spacing w:line="240" w:lineRule="auto"/>
              <w:ind w:left="313"/>
            </w:pPr>
            <w:r w:rsidRPr="004637C7">
              <w:t>Des sanctions contre les infractions (destruction d’habitats, braconnage, pollution, etc.).</w:t>
            </w:r>
          </w:p>
        </w:tc>
      </w:tr>
      <w:tr w:rsidR="008637EF" w:rsidRPr="004637C7" w14:paraId="29920012" w14:textId="77777777" w:rsidTr="005A7661">
        <w:tc>
          <w:tcPr>
            <w:tcW w:w="2547" w:type="dxa"/>
          </w:tcPr>
          <w:p w14:paraId="6861FBD6" w14:textId="77777777" w:rsidR="008637EF" w:rsidRPr="004637C7" w:rsidRDefault="008637EF" w:rsidP="005A7661">
            <w:pPr>
              <w:rPr>
                <w:b/>
                <w:bCs/>
              </w:rPr>
            </w:pPr>
            <w:r w:rsidRPr="004637C7">
              <w:rPr>
                <w:b/>
                <w:bCs/>
              </w:rPr>
              <w:lastRenderedPageBreak/>
              <w:t>Applicabilité</w:t>
            </w:r>
          </w:p>
        </w:tc>
        <w:tc>
          <w:tcPr>
            <w:tcW w:w="6515" w:type="dxa"/>
          </w:tcPr>
          <w:p w14:paraId="12072F1D" w14:textId="71EEAE14" w:rsidR="008637EF" w:rsidRPr="004637C7" w:rsidRDefault="008637EF" w:rsidP="005A7661">
            <w:pPr>
              <w:pStyle w:val="Tirets"/>
              <w:numPr>
                <w:ilvl w:val="0"/>
                <w:numId w:val="0"/>
              </w:numPr>
              <w:spacing w:line="240" w:lineRule="auto"/>
            </w:pPr>
            <w:r w:rsidRPr="004637C7">
              <w:t xml:space="preserve">Le projet </w:t>
            </w:r>
            <w:r w:rsidR="00451B3C" w:rsidRPr="00451B3C">
              <w:t xml:space="preserve">de modernisation et d’extension des infrastructures aéroportuaires </w:t>
            </w:r>
            <w:r w:rsidRPr="004637C7">
              <w:t xml:space="preserve">de l’aéroport </w:t>
            </w:r>
            <w:r w:rsidR="00EE6509">
              <w:t>Marrakech Ménara</w:t>
            </w:r>
            <w:r w:rsidR="00EE6509" w:rsidRPr="004637C7">
              <w:t xml:space="preserve"> </w:t>
            </w:r>
            <w:r w:rsidRPr="004637C7">
              <w:t>pourrait être concerné si :</w:t>
            </w:r>
          </w:p>
          <w:p w14:paraId="38A7345E" w14:textId="77777777" w:rsidR="008637EF" w:rsidRPr="004637C7" w:rsidRDefault="008637EF" w:rsidP="005A7661">
            <w:pPr>
              <w:pStyle w:val="Tirets"/>
              <w:spacing w:line="240" w:lineRule="auto"/>
              <w:ind w:left="313"/>
            </w:pPr>
            <w:r w:rsidRPr="004637C7">
              <w:t>Ses emprises ou zones d’influence se situent à proximité d’une aire protégée (ex. SIBE, site RAMSAR, réserve de chasse) ;</w:t>
            </w:r>
          </w:p>
          <w:p w14:paraId="0190C2E8" w14:textId="77777777" w:rsidR="008637EF" w:rsidRPr="004637C7" w:rsidRDefault="008637EF" w:rsidP="005A7661">
            <w:pPr>
              <w:pStyle w:val="Tirets"/>
              <w:spacing w:line="240" w:lineRule="auto"/>
              <w:ind w:left="313"/>
            </w:pPr>
            <w:r w:rsidRPr="004637C7">
              <w:t>Des impacts directs ou indirects sur la biodiversité ou les habitats naturels sont identifiés.</w:t>
            </w:r>
          </w:p>
        </w:tc>
      </w:tr>
      <w:tr w:rsidR="008637EF" w:rsidRPr="004637C7" w14:paraId="147D00FB" w14:textId="77777777" w:rsidTr="005A7661">
        <w:tc>
          <w:tcPr>
            <w:tcW w:w="2547" w:type="dxa"/>
          </w:tcPr>
          <w:p w14:paraId="61197872" w14:textId="77777777" w:rsidR="008637EF" w:rsidRPr="004637C7" w:rsidRDefault="008637EF" w:rsidP="005A7661">
            <w:pPr>
              <w:rPr>
                <w:b/>
                <w:bCs/>
              </w:rPr>
            </w:pPr>
            <w:r w:rsidRPr="004637C7">
              <w:rPr>
                <w:b/>
                <w:bCs/>
              </w:rPr>
              <w:t>Exigences de conformité</w:t>
            </w:r>
          </w:p>
        </w:tc>
        <w:tc>
          <w:tcPr>
            <w:tcW w:w="6515" w:type="dxa"/>
          </w:tcPr>
          <w:p w14:paraId="292EA4D0" w14:textId="77777777" w:rsidR="008637EF" w:rsidRPr="004637C7" w:rsidRDefault="008637EF" w:rsidP="005A7661">
            <w:pPr>
              <w:pStyle w:val="Tirets"/>
              <w:numPr>
                <w:ilvl w:val="0"/>
                <w:numId w:val="0"/>
              </w:numPr>
            </w:pPr>
            <w:r w:rsidRPr="004637C7">
              <w:t>Le maître d’ouvrage devra, le cas échéant :</w:t>
            </w:r>
          </w:p>
          <w:p w14:paraId="7D75973A" w14:textId="77777777" w:rsidR="008637EF" w:rsidRPr="004637C7" w:rsidRDefault="008637EF" w:rsidP="005A7661">
            <w:pPr>
              <w:pStyle w:val="Tirets"/>
              <w:spacing w:line="240" w:lineRule="auto"/>
              <w:ind w:left="313"/>
            </w:pPr>
            <w:r w:rsidRPr="004637C7">
              <w:t>Vérifier la présence éventuelle d’aires protégées ou de zones tampons dans l’aire d’influence du projet ;</w:t>
            </w:r>
          </w:p>
          <w:p w14:paraId="233779D8" w14:textId="77777777" w:rsidR="008637EF" w:rsidRPr="004637C7" w:rsidRDefault="008637EF" w:rsidP="005A7661">
            <w:pPr>
              <w:pStyle w:val="Tirets"/>
              <w:spacing w:line="240" w:lineRule="auto"/>
              <w:ind w:left="313"/>
            </w:pPr>
            <w:r w:rsidRPr="004637C7">
              <w:t>Consulter les autorités compétentes (ANEF, collectivités territoriales) en cas d’interactions avec une aire protégée ;</w:t>
            </w:r>
          </w:p>
          <w:p w14:paraId="224A0AFE" w14:textId="77777777" w:rsidR="008637EF" w:rsidRPr="004637C7" w:rsidRDefault="008637EF" w:rsidP="005A7661">
            <w:pPr>
              <w:pStyle w:val="Tirets"/>
              <w:spacing w:line="240" w:lineRule="auto"/>
              <w:ind w:left="313"/>
            </w:pPr>
            <w:r w:rsidRPr="004637C7">
              <w:t>Adapter les mesures de conception, de construction et d’exploitation pour éviter tout impact significatif sur ces espaces ;</w:t>
            </w:r>
          </w:p>
          <w:p w14:paraId="0D947C9B" w14:textId="77777777" w:rsidR="008637EF" w:rsidRPr="004637C7" w:rsidRDefault="008637EF" w:rsidP="005A7661">
            <w:pPr>
              <w:pStyle w:val="Tirets"/>
              <w:spacing w:line="240" w:lineRule="auto"/>
              <w:ind w:left="313"/>
            </w:pPr>
            <w:r w:rsidRPr="004637C7">
              <w:t>Respecter les restrictions d’usage et les prescriptions des plans d’aménagement et de gestion en vigueur.</w:t>
            </w:r>
          </w:p>
        </w:tc>
      </w:tr>
      <w:tr w:rsidR="008637EF" w:rsidRPr="004637C7" w14:paraId="54BCC631" w14:textId="77777777" w:rsidTr="005A7661">
        <w:tc>
          <w:tcPr>
            <w:tcW w:w="9062" w:type="dxa"/>
            <w:gridSpan w:val="2"/>
          </w:tcPr>
          <w:p w14:paraId="1A9B5947" w14:textId="77777777" w:rsidR="008637EF" w:rsidRPr="004637C7" w:rsidRDefault="008637EF" w:rsidP="005A7661">
            <w:pPr>
              <w:spacing w:after="0"/>
              <w:rPr>
                <w:b/>
                <w:bCs/>
                <w:color w:val="323E4F" w:themeColor="text2" w:themeShade="BF"/>
              </w:rPr>
            </w:pPr>
            <w:r w:rsidRPr="004637C7">
              <w:rPr>
                <w:b/>
                <w:bCs/>
                <w:color w:val="323E4F" w:themeColor="text2" w:themeShade="BF"/>
              </w:rPr>
              <w:t>Loi n°29-05 relative à la protection des espèces de flore et de faune sauvages et au contrôle de leur commerce</w:t>
            </w:r>
          </w:p>
        </w:tc>
      </w:tr>
      <w:tr w:rsidR="008637EF" w:rsidRPr="004637C7" w14:paraId="1698E9DF" w14:textId="77777777" w:rsidTr="005A7661">
        <w:tc>
          <w:tcPr>
            <w:tcW w:w="2547" w:type="dxa"/>
          </w:tcPr>
          <w:p w14:paraId="690C37FD" w14:textId="77777777" w:rsidR="008637EF" w:rsidRPr="004637C7" w:rsidRDefault="008637EF" w:rsidP="005A7661">
            <w:pPr>
              <w:rPr>
                <w:b/>
                <w:bCs/>
              </w:rPr>
            </w:pPr>
            <w:r w:rsidRPr="004637C7">
              <w:rPr>
                <w:b/>
                <w:bCs/>
              </w:rPr>
              <w:t xml:space="preserve">Résumé </w:t>
            </w:r>
          </w:p>
        </w:tc>
        <w:tc>
          <w:tcPr>
            <w:tcW w:w="6515" w:type="dxa"/>
          </w:tcPr>
          <w:p w14:paraId="14CCDE39" w14:textId="77777777" w:rsidR="008637EF" w:rsidRPr="004637C7" w:rsidRDefault="008637EF" w:rsidP="005A7661">
            <w:pPr>
              <w:pStyle w:val="Tirets"/>
              <w:numPr>
                <w:ilvl w:val="0"/>
                <w:numId w:val="0"/>
              </w:numPr>
            </w:pPr>
            <w:r w:rsidRPr="004637C7">
              <w:t>Cette loi vise à protéger la flore et la faune sauvages, à préserver la biodiversité et à encadrer le commerce des espèces menacées, en transposant notamment les engagements du Maroc au titre de la Convention CITES (Convention sur le commerce international des espèces de faune et de flore sauvages menacées d’extinction).</w:t>
            </w:r>
          </w:p>
          <w:p w14:paraId="1275E71C" w14:textId="77777777" w:rsidR="008637EF" w:rsidRPr="004637C7" w:rsidRDefault="008637EF" w:rsidP="005A7661">
            <w:pPr>
              <w:pStyle w:val="Tirets"/>
              <w:numPr>
                <w:ilvl w:val="0"/>
                <w:numId w:val="0"/>
              </w:numPr>
            </w:pPr>
            <w:r w:rsidRPr="004637C7">
              <w:t>Elle prévoit :</w:t>
            </w:r>
          </w:p>
          <w:p w14:paraId="502FCBB4" w14:textId="77777777" w:rsidR="008637EF" w:rsidRPr="004637C7" w:rsidRDefault="008637EF" w:rsidP="005A7661">
            <w:pPr>
              <w:pStyle w:val="Tirets"/>
              <w:spacing w:line="240" w:lineRule="auto"/>
              <w:ind w:left="313"/>
            </w:pPr>
            <w:r w:rsidRPr="004637C7">
              <w:t>La classification des espèces protégées en annexes (interdiction ou encadrement strict de leur capture, détention, transport et commercialisation) ;</w:t>
            </w:r>
          </w:p>
          <w:p w14:paraId="54A68A83" w14:textId="77777777" w:rsidR="008637EF" w:rsidRPr="004637C7" w:rsidRDefault="008637EF" w:rsidP="005A7661">
            <w:pPr>
              <w:pStyle w:val="Tirets"/>
              <w:spacing w:line="240" w:lineRule="auto"/>
              <w:ind w:left="313"/>
            </w:pPr>
            <w:r w:rsidRPr="004637C7">
              <w:t>Un système d’autorisation et de certificats pour l’importation, l’exportation, la réexportation ou l’introduction en provenance de la mer d’espèces protégées ;</w:t>
            </w:r>
          </w:p>
          <w:p w14:paraId="141CA06E" w14:textId="77777777" w:rsidR="008637EF" w:rsidRPr="004637C7" w:rsidRDefault="008637EF" w:rsidP="005A7661">
            <w:pPr>
              <w:pStyle w:val="Tirets"/>
              <w:spacing w:line="240" w:lineRule="auto"/>
              <w:ind w:left="313"/>
            </w:pPr>
            <w:r w:rsidRPr="004637C7">
              <w:t>Des obligations de contrôle douanier et administratif ;</w:t>
            </w:r>
          </w:p>
          <w:p w14:paraId="29435176" w14:textId="77777777" w:rsidR="008637EF" w:rsidRPr="004637C7" w:rsidRDefault="008637EF" w:rsidP="005A7661">
            <w:pPr>
              <w:pStyle w:val="Tirets"/>
              <w:spacing w:line="240" w:lineRule="auto"/>
              <w:ind w:left="313"/>
            </w:pPr>
            <w:r w:rsidRPr="004637C7">
              <w:t>Des sanctions pénales et administratives en cas d’infraction.</w:t>
            </w:r>
          </w:p>
        </w:tc>
      </w:tr>
      <w:tr w:rsidR="008637EF" w:rsidRPr="004637C7" w14:paraId="53117AF3" w14:textId="77777777" w:rsidTr="005A7661">
        <w:tc>
          <w:tcPr>
            <w:tcW w:w="2547" w:type="dxa"/>
          </w:tcPr>
          <w:p w14:paraId="0350C6DD" w14:textId="77777777" w:rsidR="008637EF" w:rsidRPr="004637C7" w:rsidRDefault="008637EF" w:rsidP="005A7661">
            <w:pPr>
              <w:rPr>
                <w:b/>
                <w:bCs/>
              </w:rPr>
            </w:pPr>
            <w:r w:rsidRPr="004637C7">
              <w:rPr>
                <w:b/>
                <w:bCs/>
              </w:rPr>
              <w:t>Applicabilité</w:t>
            </w:r>
          </w:p>
        </w:tc>
        <w:tc>
          <w:tcPr>
            <w:tcW w:w="6515" w:type="dxa"/>
          </w:tcPr>
          <w:p w14:paraId="4CE9BE43" w14:textId="1848E609" w:rsidR="008637EF" w:rsidRPr="004637C7" w:rsidRDefault="008637EF" w:rsidP="005A7661">
            <w:pPr>
              <w:pStyle w:val="Tirets"/>
              <w:numPr>
                <w:ilvl w:val="0"/>
                <w:numId w:val="0"/>
              </w:numPr>
            </w:pPr>
            <w:r w:rsidRPr="004637C7">
              <w:t xml:space="preserve">Le projet </w:t>
            </w:r>
            <w:r w:rsidR="00451B3C" w:rsidRPr="00451B3C">
              <w:t xml:space="preserve">de modernisation et d’extension des infrastructures aéroportuaires </w:t>
            </w:r>
            <w:r w:rsidRPr="004637C7">
              <w:t xml:space="preserve">de l’aéroport </w:t>
            </w:r>
            <w:r w:rsidR="00EE6509">
              <w:t>Marrakech Ménara</w:t>
            </w:r>
            <w:r w:rsidR="00EE6509" w:rsidRPr="004637C7">
              <w:t xml:space="preserve"> </w:t>
            </w:r>
            <w:r w:rsidRPr="004637C7">
              <w:t>pourrait être concerné si :</w:t>
            </w:r>
          </w:p>
          <w:p w14:paraId="3E34F01A" w14:textId="77777777" w:rsidR="008637EF" w:rsidRPr="004637C7" w:rsidRDefault="008637EF" w:rsidP="005A7661">
            <w:pPr>
              <w:pStyle w:val="Tirets"/>
              <w:spacing w:line="240" w:lineRule="auto"/>
              <w:ind w:left="313"/>
            </w:pPr>
            <w:r w:rsidRPr="004637C7">
              <w:lastRenderedPageBreak/>
              <w:t>Des espèces protégées de faune ou de flore sont présentes sur le site ou dans sa zone d’influence (ex. oiseaux, reptiles, plantes endémiques) ;</w:t>
            </w:r>
          </w:p>
          <w:p w14:paraId="0FEBE52C" w14:textId="77777777" w:rsidR="008637EF" w:rsidRPr="004637C7" w:rsidRDefault="008637EF" w:rsidP="005A7661">
            <w:pPr>
              <w:pStyle w:val="Tirets"/>
              <w:spacing w:line="240" w:lineRule="auto"/>
              <w:ind w:left="313"/>
            </w:pPr>
            <w:r w:rsidRPr="004637C7">
              <w:t>Des travaux impactent des habitats hébergeant des espèces inscrites sur les listes de protection nationales ou CITES ;</w:t>
            </w:r>
          </w:p>
          <w:p w14:paraId="67C386A6" w14:textId="77777777" w:rsidR="008637EF" w:rsidRPr="004637C7" w:rsidRDefault="008637EF" w:rsidP="005A7661">
            <w:pPr>
              <w:pStyle w:val="Tirets"/>
              <w:spacing w:line="240" w:lineRule="auto"/>
              <w:ind w:left="313"/>
            </w:pPr>
            <w:r w:rsidRPr="004637C7">
              <w:t>Des flux commerciaux liés à l’aéroport impliquent des contrôles douaniers sur des espèces protégées.</w:t>
            </w:r>
          </w:p>
        </w:tc>
      </w:tr>
      <w:tr w:rsidR="008637EF" w:rsidRPr="004637C7" w14:paraId="24AC0ACF" w14:textId="77777777" w:rsidTr="005A7661">
        <w:tc>
          <w:tcPr>
            <w:tcW w:w="2547" w:type="dxa"/>
          </w:tcPr>
          <w:p w14:paraId="60A6A4A7" w14:textId="77777777" w:rsidR="008637EF" w:rsidRPr="004637C7" w:rsidRDefault="008637EF" w:rsidP="005A7661">
            <w:pPr>
              <w:rPr>
                <w:b/>
                <w:bCs/>
              </w:rPr>
            </w:pPr>
            <w:r w:rsidRPr="004637C7">
              <w:rPr>
                <w:b/>
                <w:bCs/>
              </w:rPr>
              <w:lastRenderedPageBreak/>
              <w:t>Exigences de conformité</w:t>
            </w:r>
          </w:p>
        </w:tc>
        <w:tc>
          <w:tcPr>
            <w:tcW w:w="6515" w:type="dxa"/>
          </w:tcPr>
          <w:p w14:paraId="7407757A" w14:textId="77777777" w:rsidR="008637EF" w:rsidRPr="004637C7" w:rsidRDefault="008637EF" w:rsidP="005A7661">
            <w:pPr>
              <w:pStyle w:val="Tirets"/>
              <w:numPr>
                <w:ilvl w:val="0"/>
                <w:numId w:val="0"/>
              </w:numPr>
            </w:pPr>
            <w:r w:rsidRPr="004637C7">
              <w:t>Le maître d’ouvrage devra, le cas échéant :</w:t>
            </w:r>
          </w:p>
          <w:p w14:paraId="5D32CF37" w14:textId="77777777" w:rsidR="008637EF" w:rsidRPr="004637C7" w:rsidRDefault="008637EF" w:rsidP="005A7661">
            <w:pPr>
              <w:pStyle w:val="Tirets"/>
              <w:spacing w:line="240" w:lineRule="auto"/>
              <w:ind w:left="313"/>
            </w:pPr>
            <w:r w:rsidRPr="004637C7">
              <w:t>Réaliser des inventaires écologiques pour identifier la présence d’espèces protégées ;</w:t>
            </w:r>
          </w:p>
          <w:p w14:paraId="0144619A" w14:textId="77777777" w:rsidR="008637EF" w:rsidRPr="004637C7" w:rsidRDefault="008637EF" w:rsidP="005A7661">
            <w:pPr>
              <w:pStyle w:val="Tirets"/>
              <w:spacing w:line="240" w:lineRule="auto"/>
              <w:ind w:left="313"/>
            </w:pPr>
            <w:r w:rsidRPr="004637C7">
              <w:t>Consulter l’administration compétente (ANEF) en cas de risque d’impact ou d’interaction avec ces espèces ;</w:t>
            </w:r>
          </w:p>
          <w:p w14:paraId="376104A6" w14:textId="77777777" w:rsidR="008637EF" w:rsidRPr="004637C7" w:rsidRDefault="008637EF" w:rsidP="005A7661">
            <w:pPr>
              <w:pStyle w:val="Tirets"/>
              <w:spacing w:line="240" w:lineRule="auto"/>
              <w:ind w:left="313"/>
            </w:pPr>
            <w:r w:rsidRPr="004637C7">
              <w:t>Mettre en œuvre des mesures de gestion et de compensation pour éviter la destruction d’espèces ou d’habitats protégés ;</w:t>
            </w:r>
          </w:p>
          <w:p w14:paraId="1FFC1486" w14:textId="77777777" w:rsidR="008637EF" w:rsidRPr="004637C7" w:rsidRDefault="008637EF" w:rsidP="005A7661">
            <w:pPr>
              <w:pStyle w:val="Tirets"/>
              <w:spacing w:line="240" w:lineRule="auto"/>
              <w:ind w:left="313"/>
            </w:pPr>
            <w:r w:rsidRPr="004637C7">
              <w:t>Respecter les procédures de contrôle prévues pour le commerce international des espèces (CITES).</w:t>
            </w:r>
          </w:p>
        </w:tc>
      </w:tr>
    </w:tbl>
    <w:p w14:paraId="77276E87" w14:textId="77777777" w:rsidR="008637EF" w:rsidRDefault="008637EF" w:rsidP="008637EF">
      <w:pPr>
        <w:pStyle w:val="Title3"/>
      </w:pPr>
      <w:bookmarkStart w:id="78" w:name="_Toc215131799"/>
      <w:r>
        <w:t>Urbanisme, foncier et organisation du territoire</w:t>
      </w:r>
      <w:bookmarkEnd w:id="78"/>
      <w:r>
        <w:t xml:space="preserve"> </w:t>
      </w:r>
    </w:p>
    <w:tbl>
      <w:tblPr>
        <w:tblStyle w:val="Grilledetableauclaire"/>
        <w:tblW w:w="0" w:type="auto"/>
        <w:tblLook w:val="04A0" w:firstRow="1" w:lastRow="0" w:firstColumn="1" w:lastColumn="0" w:noHBand="0" w:noVBand="1"/>
      </w:tblPr>
      <w:tblGrid>
        <w:gridCol w:w="2547"/>
        <w:gridCol w:w="6515"/>
      </w:tblGrid>
      <w:tr w:rsidR="008637EF" w:rsidRPr="00897C81" w14:paraId="20A314CF" w14:textId="77777777" w:rsidTr="005A7661">
        <w:tc>
          <w:tcPr>
            <w:tcW w:w="9062" w:type="dxa"/>
            <w:gridSpan w:val="2"/>
          </w:tcPr>
          <w:p w14:paraId="3EC82E40" w14:textId="77777777" w:rsidR="008637EF" w:rsidRPr="004637C7" w:rsidRDefault="008637EF" w:rsidP="005A7661">
            <w:pPr>
              <w:spacing w:after="0"/>
              <w:rPr>
                <w:b/>
                <w:bCs/>
                <w:color w:val="323E4F" w:themeColor="text2" w:themeShade="BF"/>
              </w:rPr>
            </w:pPr>
            <w:r w:rsidRPr="004637C7">
              <w:rPr>
                <w:b/>
                <w:bCs/>
                <w:color w:val="323E4F" w:themeColor="text2" w:themeShade="BF"/>
              </w:rPr>
              <w:t>Loi n°7-81 relative à l’expropriation pour cause d’utilité publique et à l’occupation temporaire</w:t>
            </w:r>
          </w:p>
        </w:tc>
      </w:tr>
      <w:tr w:rsidR="008637EF" w:rsidRPr="00BC14E7" w14:paraId="171F8594" w14:textId="77777777" w:rsidTr="005A7661">
        <w:tc>
          <w:tcPr>
            <w:tcW w:w="2547" w:type="dxa"/>
          </w:tcPr>
          <w:p w14:paraId="2B620E96" w14:textId="77777777" w:rsidR="008637EF" w:rsidRPr="00897C81" w:rsidRDefault="008637EF" w:rsidP="005A7661">
            <w:pPr>
              <w:rPr>
                <w:b/>
                <w:bCs/>
              </w:rPr>
            </w:pPr>
            <w:r w:rsidRPr="00897C81">
              <w:rPr>
                <w:b/>
                <w:bCs/>
              </w:rPr>
              <w:t xml:space="preserve">Résumé </w:t>
            </w:r>
          </w:p>
        </w:tc>
        <w:tc>
          <w:tcPr>
            <w:tcW w:w="6515" w:type="dxa"/>
          </w:tcPr>
          <w:p w14:paraId="6BD64B9C" w14:textId="77777777" w:rsidR="008637EF" w:rsidRPr="00BC14E7" w:rsidRDefault="008637EF" w:rsidP="005A7661">
            <w:pPr>
              <w:pStyle w:val="Tirets"/>
              <w:numPr>
                <w:ilvl w:val="0"/>
                <w:numId w:val="0"/>
              </w:numPr>
            </w:pPr>
            <w:r w:rsidRPr="008F7C8C">
              <w:t>La loi encadre l’expropriation de biens privés pour cause d’utilité publique et l’occupation temporaire de terrains nécessaires aux travaux publics. Elle prévoit une procédure administrative (déclaration d’utilité publique, enquête publique, arrêté de cessibilité) et judiciaire (transfert de propriété, fixation et recours sur l’indemnité). Elle garantit une indemnisation préalable et équitable, limite l’occupation temporaire dans le temps et interdit toute expropriation abusive sans finalité réelle d’intérêt public.</w:t>
            </w:r>
          </w:p>
        </w:tc>
      </w:tr>
      <w:tr w:rsidR="008637EF" w:rsidRPr="00BC14E7" w14:paraId="4515BB38" w14:textId="77777777" w:rsidTr="005A7661">
        <w:tc>
          <w:tcPr>
            <w:tcW w:w="2547" w:type="dxa"/>
          </w:tcPr>
          <w:p w14:paraId="2F543371" w14:textId="77777777" w:rsidR="008637EF" w:rsidRPr="00897C81" w:rsidRDefault="008637EF" w:rsidP="005A7661">
            <w:pPr>
              <w:rPr>
                <w:b/>
                <w:bCs/>
              </w:rPr>
            </w:pPr>
            <w:r w:rsidRPr="00897C81">
              <w:rPr>
                <w:b/>
                <w:bCs/>
              </w:rPr>
              <w:t>Applicabilité</w:t>
            </w:r>
          </w:p>
        </w:tc>
        <w:tc>
          <w:tcPr>
            <w:tcW w:w="6515" w:type="dxa"/>
          </w:tcPr>
          <w:p w14:paraId="4C464420" w14:textId="3CF910A2" w:rsidR="008637EF" w:rsidRPr="00273BD5" w:rsidRDefault="008637EF" w:rsidP="005A7661">
            <w:pPr>
              <w:pStyle w:val="Tirets"/>
              <w:numPr>
                <w:ilvl w:val="0"/>
                <w:numId w:val="0"/>
              </w:numPr>
            </w:pPr>
            <w:r w:rsidRPr="00273BD5">
              <w:t xml:space="preserve">Le projet </w:t>
            </w:r>
            <w:r w:rsidR="00451B3C" w:rsidRPr="00451B3C">
              <w:t xml:space="preserve">de modernisation et d’extension des infrastructures aéroportuaires </w:t>
            </w:r>
            <w:r w:rsidR="00451B3C">
              <w:t xml:space="preserve">de </w:t>
            </w:r>
            <w:r w:rsidRPr="00273BD5">
              <w:t xml:space="preserve">l’aéroport </w:t>
            </w:r>
            <w:r w:rsidR="00EE6509">
              <w:t>Marrakech Ménara</w:t>
            </w:r>
            <w:r w:rsidR="00EE6509" w:rsidRPr="00273BD5">
              <w:t xml:space="preserve"> </w:t>
            </w:r>
            <w:r w:rsidRPr="00273BD5">
              <w:t>peut être concerné si :</w:t>
            </w:r>
          </w:p>
          <w:p w14:paraId="3EB063CE" w14:textId="77777777" w:rsidR="008637EF" w:rsidRPr="008F7C8C" w:rsidRDefault="008637EF" w:rsidP="005A7661">
            <w:pPr>
              <w:pStyle w:val="Tirets"/>
              <w:spacing w:line="240" w:lineRule="auto"/>
              <w:ind w:left="313"/>
            </w:pPr>
            <w:r w:rsidRPr="008F7C8C">
              <w:t>Des terrains privés doivent être acquis pour l’extension des pistes, des aires ou des accès routiers ;</w:t>
            </w:r>
          </w:p>
          <w:p w14:paraId="0FF1AA0F" w14:textId="77777777" w:rsidR="008637EF" w:rsidRPr="00BC14E7" w:rsidRDefault="008637EF" w:rsidP="005A7661">
            <w:pPr>
              <w:pStyle w:val="Tirets"/>
              <w:spacing w:line="240" w:lineRule="auto"/>
              <w:ind w:left="313"/>
            </w:pPr>
            <w:r w:rsidRPr="008F7C8C">
              <w:t>Des occupations temporaires de terrains sont nécessaires pendant la phase de travaux (zones de chantier, emprises provisoires).</w:t>
            </w:r>
          </w:p>
        </w:tc>
      </w:tr>
      <w:tr w:rsidR="008637EF" w:rsidRPr="00BC14E7" w14:paraId="11A02F67" w14:textId="77777777" w:rsidTr="005A7661">
        <w:tc>
          <w:tcPr>
            <w:tcW w:w="2547" w:type="dxa"/>
          </w:tcPr>
          <w:p w14:paraId="6DBC2EE7" w14:textId="77777777" w:rsidR="008637EF" w:rsidRPr="00897C81" w:rsidRDefault="008637EF" w:rsidP="005A7661">
            <w:pPr>
              <w:rPr>
                <w:b/>
                <w:bCs/>
              </w:rPr>
            </w:pPr>
            <w:r w:rsidRPr="00897C81">
              <w:rPr>
                <w:b/>
                <w:bCs/>
              </w:rPr>
              <w:t>Exigences de conformité</w:t>
            </w:r>
          </w:p>
        </w:tc>
        <w:tc>
          <w:tcPr>
            <w:tcW w:w="6515" w:type="dxa"/>
          </w:tcPr>
          <w:p w14:paraId="676052C5" w14:textId="77777777" w:rsidR="008637EF" w:rsidRPr="00273BD5" w:rsidRDefault="008637EF" w:rsidP="005A7661">
            <w:pPr>
              <w:pStyle w:val="Tirets"/>
              <w:numPr>
                <w:ilvl w:val="0"/>
                <w:numId w:val="0"/>
              </w:numPr>
            </w:pPr>
            <w:r w:rsidRPr="00273BD5">
              <w:t>Le maître d’ouvrage devra, le cas échéant :</w:t>
            </w:r>
          </w:p>
          <w:p w14:paraId="75543D55" w14:textId="77777777" w:rsidR="008637EF" w:rsidRPr="0017466B" w:rsidRDefault="008637EF" w:rsidP="005A7661">
            <w:pPr>
              <w:pStyle w:val="Tirets"/>
              <w:spacing w:line="240" w:lineRule="auto"/>
              <w:ind w:left="313"/>
            </w:pPr>
            <w:r w:rsidRPr="0017466B">
              <w:t>Initier la procédure d’expropriation par déclaration d’utilité publique et arrêté de cessibilité, après enquête publique ;</w:t>
            </w:r>
          </w:p>
          <w:p w14:paraId="3BC1EA0E" w14:textId="77777777" w:rsidR="008637EF" w:rsidRPr="0017466B" w:rsidRDefault="008637EF" w:rsidP="005A7661">
            <w:pPr>
              <w:pStyle w:val="Tirets"/>
              <w:spacing w:line="240" w:lineRule="auto"/>
              <w:ind w:left="313"/>
            </w:pPr>
            <w:r w:rsidRPr="0017466B">
              <w:t>Garantir le paiement préalable et équitable des indemnités d’expropriation ou d’occupation temporaire, conformément à la valeur vénale réelle des biens concernés ;</w:t>
            </w:r>
          </w:p>
          <w:p w14:paraId="193CDE73" w14:textId="77777777" w:rsidR="008637EF" w:rsidRPr="0017466B" w:rsidRDefault="008637EF" w:rsidP="005A7661">
            <w:pPr>
              <w:pStyle w:val="Tirets"/>
              <w:spacing w:line="240" w:lineRule="auto"/>
              <w:ind w:left="313"/>
            </w:pPr>
            <w:r w:rsidRPr="0017466B">
              <w:t>Respecter les délais légaux pour la réalisation effective du projet afin d’éviter toute nullité de la déclaration d’utilité publique ;</w:t>
            </w:r>
          </w:p>
          <w:p w14:paraId="4F2EA091" w14:textId="77777777" w:rsidR="008637EF" w:rsidRPr="0017466B" w:rsidRDefault="008637EF" w:rsidP="005A7661">
            <w:pPr>
              <w:pStyle w:val="Tirets"/>
              <w:spacing w:line="240" w:lineRule="auto"/>
              <w:ind w:left="313"/>
            </w:pPr>
            <w:r w:rsidRPr="0017466B">
              <w:t>Veiller à ne pas porter atteinte aux biens culturels ou agricoles protégés ;</w:t>
            </w:r>
          </w:p>
          <w:p w14:paraId="4AD2BCC2" w14:textId="77777777" w:rsidR="008637EF" w:rsidRPr="00BC14E7" w:rsidRDefault="008637EF" w:rsidP="005A7661">
            <w:pPr>
              <w:pStyle w:val="Tirets"/>
              <w:spacing w:line="240" w:lineRule="auto"/>
              <w:ind w:left="313"/>
            </w:pPr>
            <w:r w:rsidRPr="0017466B">
              <w:lastRenderedPageBreak/>
              <w:t>Assurer l’information et la concertation des propriétaires et usagers impactés.</w:t>
            </w:r>
          </w:p>
        </w:tc>
      </w:tr>
      <w:tr w:rsidR="008637EF" w:rsidRPr="00897C81" w14:paraId="4CE8587B" w14:textId="77777777" w:rsidTr="005A7661">
        <w:tc>
          <w:tcPr>
            <w:tcW w:w="9062" w:type="dxa"/>
            <w:gridSpan w:val="2"/>
          </w:tcPr>
          <w:p w14:paraId="49473C7D" w14:textId="77777777" w:rsidR="008637EF" w:rsidRPr="004637C7" w:rsidRDefault="008637EF" w:rsidP="005A7661">
            <w:pPr>
              <w:spacing w:after="0"/>
              <w:rPr>
                <w:b/>
                <w:bCs/>
                <w:color w:val="323E4F" w:themeColor="text2" w:themeShade="BF"/>
              </w:rPr>
            </w:pPr>
            <w:r w:rsidRPr="004637C7">
              <w:rPr>
                <w:b/>
                <w:bCs/>
                <w:color w:val="323E4F" w:themeColor="text2" w:themeShade="BF"/>
              </w:rPr>
              <w:lastRenderedPageBreak/>
              <w:t>Loi n°12-90 relative à l’urbanisme</w:t>
            </w:r>
          </w:p>
        </w:tc>
      </w:tr>
      <w:tr w:rsidR="008637EF" w:rsidRPr="00BC14E7" w14:paraId="4B08E754" w14:textId="77777777" w:rsidTr="005A7661">
        <w:tc>
          <w:tcPr>
            <w:tcW w:w="2547" w:type="dxa"/>
          </w:tcPr>
          <w:p w14:paraId="0897550F" w14:textId="77777777" w:rsidR="008637EF" w:rsidRPr="00897C81" w:rsidRDefault="008637EF" w:rsidP="005A7661">
            <w:pPr>
              <w:rPr>
                <w:b/>
                <w:bCs/>
              </w:rPr>
            </w:pPr>
            <w:r w:rsidRPr="00897C81">
              <w:rPr>
                <w:b/>
                <w:bCs/>
              </w:rPr>
              <w:t xml:space="preserve">Résumé </w:t>
            </w:r>
          </w:p>
        </w:tc>
        <w:tc>
          <w:tcPr>
            <w:tcW w:w="6515" w:type="dxa"/>
          </w:tcPr>
          <w:p w14:paraId="30A6C2EB" w14:textId="77777777" w:rsidR="008637EF" w:rsidRPr="0017466B" w:rsidRDefault="008637EF" w:rsidP="005A7661">
            <w:pPr>
              <w:pStyle w:val="Tirets"/>
              <w:numPr>
                <w:ilvl w:val="0"/>
                <w:numId w:val="0"/>
              </w:numPr>
            </w:pPr>
            <w:r w:rsidRPr="0017466B">
              <w:t>Cette loi définit le cadre juridique de l’urbanisme au Maroc à travers :</w:t>
            </w:r>
          </w:p>
          <w:p w14:paraId="08907A21" w14:textId="77777777" w:rsidR="008637EF" w:rsidRPr="0017466B" w:rsidRDefault="008637EF" w:rsidP="005A7661">
            <w:pPr>
              <w:pStyle w:val="Tirets"/>
              <w:spacing w:line="240" w:lineRule="auto"/>
              <w:ind w:left="313"/>
            </w:pPr>
            <w:r w:rsidRPr="0017466B">
              <w:t>Les documents d’aménagement : SDAU, Plans d’Aménagement (PA), Plans de Zonage, arrêtés d’alignement, permis de construire ;</w:t>
            </w:r>
          </w:p>
          <w:p w14:paraId="29AA05C7" w14:textId="77777777" w:rsidR="008637EF" w:rsidRPr="0017466B" w:rsidRDefault="008637EF" w:rsidP="005A7661">
            <w:pPr>
              <w:pStyle w:val="Tirets"/>
              <w:spacing w:line="240" w:lineRule="auto"/>
              <w:ind w:left="313"/>
            </w:pPr>
            <w:r w:rsidRPr="0017466B">
              <w:t>Les règles de construction.</w:t>
            </w:r>
          </w:p>
          <w:p w14:paraId="7AAC6933" w14:textId="77777777" w:rsidR="008637EF" w:rsidRPr="0017466B" w:rsidRDefault="008637EF" w:rsidP="005A7661">
            <w:pPr>
              <w:pStyle w:val="Tirets"/>
              <w:numPr>
                <w:ilvl w:val="0"/>
                <w:numId w:val="0"/>
              </w:numPr>
            </w:pPr>
            <w:r w:rsidRPr="0017466B">
              <w:t xml:space="preserve">Elle s’applique aux </w:t>
            </w:r>
            <w:r w:rsidRPr="00273BD5">
              <w:t>communes urbaines</w:t>
            </w:r>
            <w:r w:rsidRPr="0017466B">
              <w:t xml:space="preserve">, </w:t>
            </w:r>
            <w:r w:rsidRPr="00273BD5">
              <w:t>centres ruraux délimités</w:t>
            </w:r>
            <w:r w:rsidRPr="0017466B">
              <w:t xml:space="preserve">, </w:t>
            </w:r>
            <w:r w:rsidRPr="00273BD5">
              <w:t>zones périphériques (15 km)</w:t>
            </w:r>
            <w:r w:rsidRPr="0017466B">
              <w:t xml:space="preserve"> et </w:t>
            </w:r>
            <w:r w:rsidRPr="00273BD5">
              <w:t>groupements d’urbanisme</w:t>
            </w:r>
            <w:r w:rsidRPr="0017466B">
              <w:t>.</w:t>
            </w:r>
          </w:p>
          <w:p w14:paraId="434CB56D" w14:textId="77777777" w:rsidR="008637EF" w:rsidRPr="0017466B" w:rsidRDefault="008637EF" w:rsidP="005A7661">
            <w:pPr>
              <w:pStyle w:val="Tirets"/>
              <w:numPr>
                <w:ilvl w:val="0"/>
                <w:numId w:val="0"/>
              </w:numPr>
            </w:pPr>
            <w:r w:rsidRPr="0017466B">
              <w:t xml:space="preserve">Elle prévoit également la protection des </w:t>
            </w:r>
            <w:r w:rsidRPr="00273BD5">
              <w:t>terres agricoles et forestières</w:t>
            </w:r>
            <w:r w:rsidRPr="0017466B">
              <w:t xml:space="preserve"> lors de l’élaboration des documents d’urbanisme, avec obligation de </w:t>
            </w:r>
            <w:r w:rsidRPr="00273BD5">
              <w:t>cartographier et réglementer</w:t>
            </w:r>
            <w:r w:rsidRPr="0017466B">
              <w:t xml:space="preserve"> les zones agricoles et forestières.</w:t>
            </w:r>
          </w:p>
          <w:p w14:paraId="70D8DFA6" w14:textId="77777777" w:rsidR="008637EF" w:rsidRPr="00BC14E7" w:rsidRDefault="008637EF" w:rsidP="005A7661">
            <w:pPr>
              <w:pStyle w:val="Tirets"/>
              <w:numPr>
                <w:ilvl w:val="0"/>
                <w:numId w:val="0"/>
              </w:numPr>
            </w:pPr>
            <w:r w:rsidRPr="0017466B">
              <w:t>Le décret d’application précise le contenu et les modalités de mise en œuvre de ces dispositions.</w:t>
            </w:r>
          </w:p>
        </w:tc>
      </w:tr>
      <w:tr w:rsidR="008637EF" w:rsidRPr="00BC14E7" w14:paraId="79A70F52" w14:textId="77777777" w:rsidTr="005A7661">
        <w:tc>
          <w:tcPr>
            <w:tcW w:w="2547" w:type="dxa"/>
          </w:tcPr>
          <w:p w14:paraId="2F9F5D74" w14:textId="77777777" w:rsidR="008637EF" w:rsidRPr="00897C81" w:rsidRDefault="008637EF" w:rsidP="005A7661">
            <w:pPr>
              <w:rPr>
                <w:b/>
                <w:bCs/>
              </w:rPr>
            </w:pPr>
            <w:r w:rsidRPr="00897C81">
              <w:rPr>
                <w:b/>
                <w:bCs/>
              </w:rPr>
              <w:t>Applicabilité</w:t>
            </w:r>
          </w:p>
        </w:tc>
        <w:tc>
          <w:tcPr>
            <w:tcW w:w="6515" w:type="dxa"/>
          </w:tcPr>
          <w:p w14:paraId="0FD1001D" w14:textId="14A8FF12" w:rsidR="008637EF" w:rsidRPr="00273BD5" w:rsidRDefault="008637EF" w:rsidP="005A7661">
            <w:pPr>
              <w:pStyle w:val="Tirets"/>
              <w:numPr>
                <w:ilvl w:val="0"/>
                <w:numId w:val="0"/>
              </w:numPr>
            </w:pPr>
            <w:r w:rsidRPr="00273BD5">
              <w:t xml:space="preserve">Le projet </w:t>
            </w:r>
            <w:r w:rsidR="00451B3C" w:rsidRPr="00451B3C">
              <w:t xml:space="preserve">de modernisation et d’extension des infrastructures aéroportuaires </w:t>
            </w:r>
            <w:r w:rsidRPr="00273BD5">
              <w:t xml:space="preserve">de l’aéroport </w:t>
            </w:r>
            <w:r w:rsidR="00EE6509">
              <w:t>Marrakech Ménara</w:t>
            </w:r>
            <w:r w:rsidR="00EE6509" w:rsidRPr="00273BD5">
              <w:t xml:space="preserve"> </w:t>
            </w:r>
            <w:r w:rsidRPr="00273BD5">
              <w:t>peut être concerné par :</w:t>
            </w:r>
          </w:p>
          <w:p w14:paraId="3002E20E" w14:textId="7D5131C1" w:rsidR="008637EF" w:rsidRPr="00BC14E7" w:rsidRDefault="008637EF" w:rsidP="00B932B2">
            <w:pPr>
              <w:pStyle w:val="Tirets"/>
              <w:spacing w:line="240" w:lineRule="auto"/>
              <w:ind w:left="313"/>
            </w:pPr>
            <w:r w:rsidRPr="0017466B">
              <w:t>La conformité aux documents d’urbanisme en vigueur (SDAU, PA) ;</w:t>
            </w:r>
          </w:p>
        </w:tc>
      </w:tr>
      <w:tr w:rsidR="008637EF" w:rsidRPr="00BC14E7" w14:paraId="4A9E8F12" w14:textId="77777777" w:rsidTr="005A7661">
        <w:tc>
          <w:tcPr>
            <w:tcW w:w="2547" w:type="dxa"/>
          </w:tcPr>
          <w:p w14:paraId="1903ADA2" w14:textId="77777777" w:rsidR="008637EF" w:rsidRPr="00897C81" w:rsidRDefault="008637EF" w:rsidP="005A7661">
            <w:pPr>
              <w:rPr>
                <w:b/>
                <w:bCs/>
              </w:rPr>
            </w:pPr>
            <w:r w:rsidRPr="00897C81">
              <w:rPr>
                <w:b/>
                <w:bCs/>
              </w:rPr>
              <w:t>Exigences de conformité</w:t>
            </w:r>
          </w:p>
        </w:tc>
        <w:tc>
          <w:tcPr>
            <w:tcW w:w="6515" w:type="dxa"/>
          </w:tcPr>
          <w:p w14:paraId="3D28E89C" w14:textId="77777777" w:rsidR="008637EF" w:rsidRPr="00273BD5" w:rsidRDefault="008637EF" w:rsidP="005A7661">
            <w:pPr>
              <w:pStyle w:val="Tirets"/>
              <w:numPr>
                <w:ilvl w:val="0"/>
                <w:numId w:val="0"/>
              </w:numPr>
            </w:pPr>
            <w:r w:rsidRPr="00273BD5">
              <w:t>Le maître d’ouvrage devra, le cas échéant :</w:t>
            </w:r>
          </w:p>
          <w:p w14:paraId="65706A75" w14:textId="77777777" w:rsidR="008637EF" w:rsidRPr="0017466B" w:rsidRDefault="008637EF" w:rsidP="005A7661">
            <w:pPr>
              <w:pStyle w:val="Tirets"/>
              <w:spacing w:line="240" w:lineRule="auto"/>
              <w:ind w:left="313"/>
            </w:pPr>
            <w:r w:rsidRPr="0017466B">
              <w:t>Vérifier la compatibilité du projet avec les documents d’urbanisme applicables ;</w:t>
            </w:r>
          </w:p>
          <w:p w14:paraId="24B0F6C7" w14:textId="77777777" w:rsidR="008637EF" w:rsidRPr="0017466B" w:rsidRDefault="008637EF" w:rsidP="005A7661">
            <w:pPr>
              <w:pStyle w:val="Tirets"/>
              <w:spacing w:line="240" w:lineRule="auto"/>
              <w:ind w:left="313"/>
            </w:pPr>
            <w:r w:rsidRPr="0017466B">
              <w:t>Obtenir les autorisations nécessaires (permis de construire, arrêtés d’alignement) ;</w:t>
            </w:r>
          </w:p>
          <w:p w14:paraId="33F7F5D4" w14:textId="1833DF92" w:rsidR="008637EF" w:rsidRPr="00BC14E7" w:rsidRDefault="008637EF" w:rsidP="005A7661">
            <w:pPr>
              <w:pStyle w:val="Tirets"/>
              <w:spacing w:line="240" w:lineRule="auto"/>
              <w:ind w:left="313"/>
            </w:pPr>
            <w:r w:rsidRPr="0017466B">
              <w:t>Respecter les servitudes et limitations prévues dans les SDAU et PA</w:t>
            </w:r>
            <w:r w:rsidR="00B932B2">
              <w:t>.</w:t>
            </w:r>
          </w:p>
        </w:tc>
      </w:tr>
      <w:tr w:rsidR="008637EF" w:rsidRPr="00BC14E7" w14:paraId="162D1751" w14:textId="77777777" w:rsidTr="005A7661">
        <w:tc>
          <w:tcPr>
            <w:tcW w:w="9062" w:type="dxa"/>
            <w:gridSpan w:val="2"/>
          </w:tcPr>
          <w:p w14:paraId="3FE38333" w14:textId="77777777" w:rsidR="008637EF" w:rsidRPr="004637C7" w:rsidRDefault="008637EF" w:rsidP="005A7661">
            <w:pPr>
              <w:pStyle w:val="Tirets"/>
              <w:numPr>
                <w:ilvl w:val="0"/>
                <w:numId w:val="0"/>
              </w:numPr>
            </w:pPr>
            <w:r w:rsidRPr="004637C7">
              <w:rPr>
                <w:b/>
                <w:bCs/>
                <w:color w:val="323E4F" w:themeColor="text2" w:themeShade="BF"/>
              </w:rPr>
              <w:t>Loi n°66-12 relative au contrôle et à la répression des infractions en matière d’urbanisme et de construction (2016)</w:t>
            </w:r>
          </w:p>
        </w:tc>
      </w:tr>
      <w:tr w:rsidR="008637EF" w:rsidRPr="00BC14E7" w14:paraId="57FA3BB5" w14:textId="77777777" w:rsidTr="005A7661">
        <w:tc>
          <w:tcPr>
            <w:tcW w:w="2547" w:type="dxa"/>
          </w:tcPr>
          <w:p w14:paraId="5AE44575" w14:textId="77777777" w:rsidR="008637EF" w:rsidRPr="00897C81" w:rsidRDefault="008637EF" w:rsidP="005A7661">
            <w:pPr>
              <w:rPr>
                <w:b/>
                <w:bCs/>
              </w:rPr>
            </w:pPr>
            <w:r w:rsidRPr="00897C81">
              <w:rPr>
                <w:b/>
                <w:bCs/>
              </w:rPr>
              <w:t xml:space="preserve">Résumé </w:t>
            </w:r>
          </w:p>
        </w:tc>
        <w:tc>
          <w:tcPr>
            <w:tcW w:w="6515" w:type="dxa"/>
          </w:tcPr>
          <w:p w14:paraId="02497AD7" w14:textId="77777777" w:rsidR="008637EF" w:rsidRPr="00876272" w:rsidRDefault="008637EF" w:rsidP="005A7661">
            <w:pPr>
              <w:pStyle w:val="Tirets"/>
              <w:numPr>
                <w:ilvl w:val="0"/>
                <w:numId w:val="0"/>
              </w:numPr>
            </w:pPr>
            <w:r w:rsidRPr="00876272">
              <w:t>Cette loi complète la loi n°12-90 sur l’urbanisme et la loi n°25-90 sur les lotissements. Elle introduit de nouvelles infractions en matière d’urbanisme et de construction, crée des contrôleurs d’urbanisme habilités à constater les infractions et renforce les sanctions administratives et pénales contre les constructions irrégulières.</w:t>
            </w:r>
          </w:p>
        </w:tc>
      </w:tr>
      <w:tr w:rsidR="008637EF" w:rsidRPr="00BC14E7" w14:paraId="7CFA7ABC" w14:textId="77777777" w:rsidTr="005A7661">
        <w:tc>
          <w:tcPr>
            <w:tcW w:w="2547" w:type="dxa"/>
          </w:tcPr>
          <w:p w14:paraId="35D1720A" w14:textId="77777777" w:rsidR="008637EF" w:rsidRPr="00897C81" w:rsidRDefault="008637EF" w:rsidP="005A7661">
            <w:pPr>
              <w:rPr>
                <w:b/>
                <w:bCs/>
              </w:rPr>
            </w:pPr>
            <w:r w:rsidRPr="00897C81">
              <w:rPr>
                <w:b/>
                <w:bCs/>
              </w:rPr>
              <w:t>Applicabilité</w:t>
            </w:r>
          </w:p>
        </w:tc>
        <w:tc>
          <w:tcPr>
            <w:tcW w:w="6515" w:type="dxa"/>
          </w:tcPr>
          <w:p w14:paraId="3F10A799" w14:textId="4CC993D7" w:rsidR="008637EF" w:rsidRPr="00876272" w:rsidRDefault="008637EF" w:rsidP="005A7661">
            <w:pPr>
              <w:pStyle w:val="Tirets"/>
              <w:numPr>
                <w:ilvl w:val="0"/>
                <w:numId w:val="0"/>
              </w:numPr>
            </w:pPr>
            <w:r w:rsidRPr="00876272">
              <w:t xml:space="preserve">Le projet </w:t>
            </w:r>
            <w:r w:rsidR="00451B3C" w:rsidRPr="00451B3C">
              <w:t>de modernisation et d’extension des infrastructures aéroportuaires</w:t>
            </w:r>
            <w:r w:rsidRPr="00876272">
              <w:t xml:space="preserve"> de l’aéroport </w:t>
            </w:r>
            <w:r w:rsidR="00EE6509">
              <w:t>Marrakech Ménara</w:t>
            </w:r>
            <w:r w:rsidR="00EE6509" w:rsidRPr="00876272">
              <w:t xml:space="preserve"> </w:t>
            </w:r>
            <w:r w:rsidRPr="00876272">
              <w:t>est concerné par cette loi en ce qui concerne la conformité des constructions (permis, alignement, respect des documents d’urbanisme) et les éventuelles infractions relevées lors des travaux.</w:t>
            </w:r>
          </w:p>
        </w:tc>
      </w:tr>
      <w:tr w:rsidR="008637EF" w:rsidRPr="00BC14E7" w14:paraId="43FC1D4E" w14:textId="77777777" w:rsidTr="005A7661">
        <w:tc>
          <w:tcPr>
            <w:tcW w:w="2547" w:type="dxa"/>
          </w:tcPr>
          <w:p w14:paraId="30437C8D" w14:textId="77777777" w:rsidR="008637EF" w:rsidRPr="00897C81" w:rsidRDefault="008637EF" w:rsidP="005A7661">
            <w:pPr>
              <w:rPr>
                <w:b/>
                <w:bCs/>
              </w:rPr>
            </w:pPr>
            <w:r w:rsidRPr="00897C81">
              <w:rPr>
                <w:b/>
                <w:bCs/>
              </w:rPr>
              <w:t>Exigences de conformité</w:t>
            </w:r>
          </w:p>
        </w:tc>
        <w:tc>
          <w:tcPr>
            <w:tcW w:w="6515" w:type="dxa"/>
          </w:tcPr>
          <w:p w14:paraId="280E099C" w14:textId="77777777" w:rsidR="008637EF" w:rsidRPr="00876272" w:rsidRDefault="008637EF" w:rsidP="005A7661">
            <w:pPr>
              <w:pStyle w:val="Tirets"/>
              <w:numPr>
                <w:ilvl w:val="0"/>
                <w:numId w:val="0"/>
              </w:numPr>
            </w:pPr>
            <w:r w:rsidRPr="00876272">
              <w:t>Le maître d’ouvrage devra :</w:t>
            </w:r>
          </w:p>
          <w:p w14:paraId="3D937E16" w14:textId="77777777" w:rsidR="008637EF" w:rsidRPr="00876272" w:rsidRDefault="008637EF" w:rsidP="005A7661">
            <w:pPr>
              <w:pStyle w:val="Tirets"/>
              <w:spacing w:line="240" w:lineRule="auto"/>
              <w:ind w:left="313"/>
            </w:pPr>
            <w:r w:rsidRPr="00876272">
              <w:t>veiller à la conformité des travaux avec les autorisations d’urbanisme délivrées ;</w:t>
            </w:r>
          </w:p>
          <w:p w14:paraId="5E58F8B8" w14:textId="77777777" w:rsidR="008637EF" w:rsidRPr="00876272" w:rsidRDefault="008637EF" w:rsidP="005A7661">
            <w:pPr>
              <w:pStyle w:val="Tirets"/>
              <w:spacing w:line="240" w:lineRule="auto"/>
              <w:ind w:left="313"/>
            </w:pPr>
            <w:r w:rsidRPr="00876272">
              <w:t>collaborer avec les autorités de contrôle en cas d’inspection ;</w:t>
            </w:r>
          </w:p>
          <w:p w14:paraId="164A85CF" w14:textId="77777777" w:rsidR="008637EF" w:rsidRPr="00876272" w:rsidRDefault="008637EF" w:rsidP="005A7661">
            <w:pPr>
              <w:pStyle w:val="Tirets"/>
              <w:spacing w:line="240" w:lineRule="auto"/>
              <w:ind w:left="313"/>
            </w:pPr>
            <w:r w:rsidRPr="00876272">
              <w:t>prévenir toute infraction passible de sanctions administratives ou pénales.</w:t>
            </w:r>
          </w:p>
        </w:tc>
      </w:tr>
      <w:tr w:rsidR="008637EF" w:rsidRPr="00BC14E7" w14:paraId="3F003E0F" w14:textId="77777777" w:rsidTr="005A7661">
        <w:tc>
          <w:tcPr>
            <w:tcW w:w="9062" w:type="dxa"/>
            <w:gridSpan w:val="2"/>
          </w:tcPr>
          <w:p w14:paraId="39FD21A3" w14:textId="77777777" w:rsidR="008637EF" w:rsidRPr="004637C7" w:rsidRDefault="008637EF" w:rsidP="005A7661">
            <w:pPr>
              <w:spacing w:after="0"/>
              <w:rPr>
                <w:b/>
                <w:bCs/>
                <w:color w:val="323E4F" w:themeColor="text2" w:themeShade="BF"/>
              </w:rPr>
            </w:pPr>
            <w:r w:rsidRPr="004637C7">
              <w:rPr>
                <w:b/>
                <w:bCs/>
                <w:color w:val="323E4F" w:themeColor="text2" w:themeShade="BF"/>
              </w:rPr>
              <w:lastRenderedPageBreak/>
              <w:t>Loi n°25-90 relative aux lotissements, groupes d’habitations et morcellements (1992) et son décret d’application</w:t>
            </w:r>
          </w:p>
        </w:tc>
      </w:tr>
      <w:tr w:rsidR="008637EF" w:rsidRPr="00BC14E7" w14:paraId="7E0A6FA6" w14:textId="77777777" w:rsidTr="005A7661">
        <w:tc>
          <w:tcPr>
            <w:tcW w:w="2547" w:type="dxa"/>
          </w:tcPr>
          <w:p w14:paraId="0759A91C" w14:textId="77777777" w:rsidR="008637EF" w:rsidRPr="00897C81" w:rsidRDefault="008637EF" w:rsidP="005A7661">
            <w:pPr>
              <w:rPr>
                <w:b/>
                <w:bCs/>
              </w:rPr>
            </w:pPr>
            <w:r w:rsidRPr="00897C81">
              <w:rPr>
                <w:b/>
                <w:bCs/>
              </w:rPr>
              <w:t xml:space="preserve">Résumé </w:t>
            </w:r>
          </w:p>
        </w:tc>
        <w:tc>
          <w:tcPr>
            <w:tcW w:w="6515" w:type="dxa"/>
          </w:tcPr>
          <w:p w14:paraId="15B93A9E" w14:textId="77777777" w:rsidR="008637EF" w:rsidRPr="00E63143" w:rsidRDefault="008637EF" w:rsidP="005A7661">
            <w:pPr>
              <w:pStyle w:val="Tirets"/>
              <w:numPr>
                <w:ilvl w:val="0"/>
                <w:numId w:val="0"/>
              </w:numPr>
            </w:pPr>
            <w:r w:rsidRPr="00E63143">
              <w:t>Cette loi définit le régime juridique des lotissements, des groupes d’habitations et des morcellements fonciers. Est considéré comme lotissement toute division d’une propriété foncière en plusieurs lots destinés à la construction (habitation, industrie, commerce, tourisme, artisanat), quelle que soit la superficie. La création d’un lotissement est subordonnée à une autorisation administrative préalable. La loi encadre les obligations et droits du lotisseur, les actes de vente ou location, la réalisation des travaux par tranches, le règlement de copropriété, la publicité ainsi que les conditions de construction dans les lotissements.</w:t>
            </w:r>
          </w:p>
        </w:tc>
      </w:tr>
      <w:tr w:rsidR="008637EF" w:rsidRPr="00BC14E7" w14:paraId="16F1E134" w14:textId="77777777" w:rsidTr="005A7661">
        <w:tc>
          <w:tcPr>
            <w:tcW w:w="2547" w:type="dxa"/>
          </w:tcPr>
          <w:p w14:paraId="716A329B" w14:textId="77777777" w:rsidR="008637EF" w:rsidRPr="00897C81" w:rsidRDefault="008637EF" w:rsidP="005A7661">
            <w:pPr>
              <w:rPr>
                <w:b/>
                <w:bCs/>
              </w:rPr>
            </w:pPr>
            <w:r w:rsidRPr="00897C81">
              <w:rPr>
                <w:b/>
                <w:bCs/>
              </w:rPr>
              <w:t>Applicabilité</w:t>
            </w:r>
          </w:p>
        </w:tc>
        <w:tc>
          <w:tcPr>
            <w:tcW w:w="6515" w:type="dxa"/>
          </w:tcPr>
          <w:p w14:paraId="12245587" w14:textId="441DFFF5" w:rsidR="008637EF" w:rsidRPr="00E63143" w:rsidRDefault="008637EF" w:rsidP="005A7661">
            <w:pPr>
              <w:pStyle w:val="Tirets"/>
              <w:numPr>
                <w:ilvl w:val="0"/>
                <w:numId w:val="0"/>
              </w:numPr>
            </w:pPr>
            <w:r w:rsidRPr="00E63143">
              <w:t xml:space="preserve">Le projet </w:t>
            </w:r>
            <w:r w:rsidR="00451B3C" w:rsidRPr="00BD4D87">
              <w:t>de modernisation et d’extension des infrastructures aéroportuaires</w:t>
            </w:r>
            <w:r w:rsidRPr="00E63143">
              <w:t xml:space="preserve"> de l’aéroport </w:t>
            </w:r>
            <w:r w:rsidR="00EE6509">
              <w:t>Marrakech Ménara</w:t>
            </w:r>
            <w:r w:rsidR="00EE6509" w:rsidRPr="00E63143">
              <w:t xml:space="preserve"> </w:t>
            </w:r>
            <w:r w:rsidRPr="00E63143">
              <w:t>peut être concerné en cas de division, aménagement ou occupation de terrains voisins dans le cadre d’opérations d’urbanisation liées à l’aéroport (zones commerciales, industrielles ou résidentielles attenantes).</w:t>
            </w:r>
          </w:p>
        </w:tc>
      </w:tr>
      <w:tr w:rsidR="008637EF" w:rsidRPr="00BC14E7" w14:paraId="1CC967EA" w14:textId="77777777" w:rsidTr="005A7661">
        <w:tc>
          <w:tcPr>
            <w:tcW w:w="2547" w:type="dxa"/>
          </w:tcPr>
          <w:p w14:paraId="58595477" w14:textId="77777777" w:rsidR="008637EF" w:rsidRPr="00897C81" w:rsidRDefault="008637EF" w:rsidP="005A7661">
            <w:pPr>
              <w:rPr>
                <w:b/>
                <w:bCs/>
              </w:rPr>
            </w:pPr>
            <w:r w:rsidRPr="00897C81">
              <w:rPr>
                <w:b/>
                <w:bCs/>
              </w:rPr>
              <w:t>Exigences de conformité</w:t>
            </w:r>
          </w:p>
        </w:tc>
        <w:tc>
          <w:tcPr>
            <w:tcW w:w="6515" w:type="dxa"/>
          </w:tcPr>
          <w:p w14:paraId="760A4B7E" w14:textId="77777777" w:rsidR="008637EF" w:rsidRPr="00E63143" w:rsidRDefault="008637EF" w:rsidP="005A7661">
            <w:pPr>
              <w:pStyle w:val="Tirets"/>
              <w:numPr>
                <w:ilvl w:val="0"/>
                <w:numId w:val="0"/>
              </w:numPr>
            </w:pPr>
            <w:r w:rsidRPr="00E63143">
              <w:t>Le maître d’ouvrage devra, le cas échéant :</w:t>
            </w:r>
          </w:p>
          <w:p w14:paraId="03FF210E" w14:textId="77777777" w:rsidR="008637EF" w:rsidRPr="00E63143" w:rsidRDefault="008637EF" w:rsidP="005A7661">
            <w:pPr>
              <w:pStyle w:val="Tirets"/>
              <w:spacing w:line="240" w:lineRule="auto"/>
              <w:ind w:left="313"/>
            </w:pPr>
            <w:r w:rsidRPr="00E63143">
              <w:t>Obtenir une autorisation préalable de lotir auprès de l’autorité compétente ;</w:t>
            </w:r>
          </w:p>
          <w:p w14:paraId="6DA3C85C" w14:textId="77777777" w:rsidR="008637EF" w:rsidRPr="00E63143" w:rsidRDefault="008637EF" w:rsidP="005A7661">
            <w:pPr>
              <w:pStyle w:val="Tirets"/>
              <w:spacing w:line="240" w:lineRule="auto"/>
              <w:ind w:left="313"/>
            </w:pPr>
            <w:r w:rsidRPr="00E63143">
              <w:t>Respecter les droits et obligations fixés pour les lotisseurs (aménagement, équipements, espaces communs) ;</w:t>
            </w:r>
          </w:p>
          <w:p w14:paraId="3F4A6D0E" w14:textId="77777777" w:rsidR="008637EF" w:rsidRPr="00E63143" w:rsidRDefault="008637EF" w:rsidP="005A7661">
            <w:pPr>
              <w:pStyle w:val="Tirets"/>
              <w:spacing w:line="240" w:lineRule="auto"/>
              <w:ind w:left="313"/>
            </w:pPr>
            <w:r w:rsidRPr="00E63143">
              <w:t>S’assurer que les actes juridiques (vente, location, partage) respectent les dispositions légales ;</w:t>
            </w:r>
          </w:p>
          <w:p w14:paraId="254680D6" w14:textId="77777777" w:rsidR="008637EF" w:rsidRPr="00E63143" w:rsidRDefault="008637EF" w:rsidP="005A7661">
            <w:pPr>
              <w:pStyle w:val="Tirets"/>
              <w:spacing w:line="240" w:lineRule="auto"/>
              <w:ind w:left="313"/>
            </w:pPr>
            <w:r w:rsidRPr="00E63143">
              <w:t>Intégrer les règlements de copropriété et de construction si des groupes d’habitations ou morcellements sont prévus.</w:t>
            </w:r>
          </w:p>
        </w:tc>
      </w:tr>
      <w:tr w:rsidR="008637EF" w:rsidRPr="00BC14E7" w14:paraId="3617C138" w14:textId="77777777" w:rsidTr="005A7661">
        <w:tc>
          <w:tcPr>
            <w:tcW w:w="9062" w:type="dxa"/>
            <w:gridSpan w:val="2"/>
          </w:tcPr>
          <w:p w14:paraId="75A42B22" w14:textId="77777777" w:rsidR="008637EF" w:rsidRPr="004637C7" w:rsidRDefault="008637EF" w:rsidP="005A7661">
            <w:pPr>
              <w:spacing w:after="0"/>
              <w:rPr>
                <w:b/>
                <w:bCs/>
                <w:color w:val="323E4F" w:themeColor="text2" w:themeShade="BF"/>
              </w:rPr>
            </w:pPr>
            <w:r w:rsidRPr="004637C7">
              <w:rPr>
                <w:b/>
                <w:bCs/>
                <w:color w:val="323E4F" w:themeColor="text2" w:themeShade="BF"/>
              </w:rPr>
              <w:t>Loi organique n°111-14 relative aux Régions</w:t>
            </w:r>
          </w:p>
        </w:tc>
      </w:tr>
      <w:tr w:rsidR="008637EF" w:rsidRPr="00BC14E7" w14:paraId="07892B89" w14:textId="77777777" w:rsidTr="005A7661">
        <w:tc>
          <w:tcPr>
            <w:tcW w:w="2547" w:type="dxa"/>
          </w:tcPr>
          <w:p w14:paraId="485C6393" w14:textId="77777777" w:rsidR="008637EF" w:rsidRPr="00897C81" w:rsidRDefault="008637EF" w:rsidP="005A7661">
            <w:pPr>
              <w:rPr>
                <w:b/>
                <w:bCs/>
              </w:rPr>
            </w:pPr>
            <w:r w:rsidRPr="00897C81">
              <w:rPr>
                <w:b/>
                <w:bCs/>
              </w:rPr>
              <w:t xml:space="preserve">Résumé </w:t>
            </w:r>
          </w:p>
        </w:tc>
        <w:tc>
          <w:tcPr>
            <w:tcW w:w="6515" w:type="dxa"/>
          </w:tcPr>
          <w:p w14:paraId="1B64DD44" w14:textId="77777777" w:rsidR="008637EF" w:rsidRPr="00F9254B" w:rsidRDefault="008637EF" w:rsidP="005A7661">
            <w:pPr>
              <w:pStyle w:val="Tirets"/>
              <w:numPr>
                <w:ilvl w:val="0"/>
                <w:numId w:val="0"/>
              </w:numPr>
            </w:pPr>
            <w:r w:rsidRPr="00105CCB">
              <w:t>Cette loi définit les attributions, l’organisation et le fonctionnement des conseils régionaux. Elle confère aux régions des compétences propres, partagées et transférées dans des domaines tels que l’aménagement du territoire, le développement économique, l’environnement, la formation et les infrastructures régionales. Elle instaure le Plan de Développement Régional (PDR) comme outil stratégique et consacre les principes de subsidiarité, de participation citoyenne et de renforcement des capacités régionales</w:t>
            </w:r>
            <w:r w:rsidRPr="0041270E">
              <w:t>.</w:t>
            </w:r>
          </w:p>
        </w:tc>
      </w:tr>
      <w:tr w:rsidR="008637EF" w:rsidRPr="00BC14E7" w14:paraId="4382290A" w14:textId="77777777" w:rsidTr="005A7661">
        <w:tc>
          <w:tcPr>
            <w:tcW w:w="2547" w:type="dxa"/>
          </w:tcPr>
          <w:p w14:paraId="3457D23B" w14:textId="77777777" w:rsidR="008637EF" w:rsidRPr="00897C81" w:rsidRDefault="008637EF" w:rsidP="005A7661">
            <w:pPr>
              <w:rPr>
                <w:b/>
                <w:bCs/>
              </w:rPr>
            </w:pPr>
            <w:r w:rsidRPr="00897C81">
              <w:rPr>
                <w:b/>
                <w:bCs/>
              </w:rPr>
              <w:t>Applicabilité</w:t>
            </w:r>
          </w:p>
        </w:tc>
        <w:tc>
          <w:tcPr>
            <w:tcW w:w="6515" w:type="dxa"/>
          </w:tcPr>
          <w:p w14:paraId="2828E266" w14:textId="6A333035" w:rsidR="008637EF" w:rsidRPr="00F9254B" w:rsidRDefault="008637EF" w:rsidP="005A7661">
            <w:pPr>
              <w:pStyle w:val="Tirets"/>
              <w:numPr>
                <w:ilvl w:val="0"/>
                <w:numId w:val="0"/>
              </w:numPr>
            </w:pPr>
            <w:r w:rsidRPr="0084110D">
              <w:t xml:space="preserve">Le projet doit s’inscrire dans le PDR de la Région </w:t>
            </w:r>
            <w:r w:rsidR="00B5291C">
              <w:t>Marrakech Safi</w:t>
            </w:r>
            <w:r w:rsidRPr="0084110D">
              <w:t>, en cohérence avec les priorités régionales en matière d’infrastructures, de développement territorial et d’environnement.</w:t>
            </w:r>
          </w:p>
        </w:tc>
      </w:tr>
      <w:tr w:rsidR="008637EF" w:rsidRPr="00BC14E7" w14:paraId="4B8321AD" w14:textId="77777777" w:rsidTr="005A7661">
        <w:tc>
          <w:tcPr>
            <w:tcW w:w="2547" w:type="dxa"/>
          </w:tcPr>
          <w:p w14:paraId="736D3122" w14:textId="77777777" w:rsidR="008637EF" w:rsidRPr="00897C81" w:rsidRDefault="008637EF" w:rsidP="005A7661">
            <w:pPr>
              <w:rPr>
                <w:b/>
                <w:bCs/>
              </w:rPr>
            </w:pPr>
            <w:r w:rsidRPr="00897C81">
              <w:rPr>
                <w:b/>
                <w:bCs/>
              </w:rPr>
              <w:t>Exigences de conformité</w:t>
            </w:r>
          </w:p>
        </w:tc>
        <w:tc>
          <w:tcPr>
            <w:tcW w:w="6515" w:type="dxa"/>
          </w:tcPr>
          <w:p w14:paraId="3F02D0A6" w14:textId="77777777" w:rsidR="008637EF" w:rsidRDefault="008637EF" w:rsidP="005A7661">
            <w:pPr>
              <w:pStyle w:val="Tirets"/>
              <w:numPr>
                <w:ilvl w:val="0"/>
                <w:numId w:val="0"/>
              </w:numPr>
            </w:pPr>
            <w:r>
              <w:t>Le maître d’ouvrage devra :</w:t>
            </w:r>
          </w:p>
          <w:p w14:paraId="6A0B4E56" w14:textId="77777777" w:rsidR="008637EF" w:rsidRDefault="008637EF" w:rsidP="005A7661">
            <w:pPr>
              <w:pStyle w:val="Tirets"/>
              <w:spacing w:line="240" w:lineRule="auto"/>
              <w:ind w:left="313"/>
            </w:pPr>
            <w:r>
              <w:t>s’assurer de la compatibilité du projet avec les orientations stratégiques du PDR ;</w:t>
            </w:r>
          </w:p>
          <w:p w14:paraId="4EC937DF" w14:textId="77777777" w:rsidR="008637EF" w:rsidRDefault="008637EF" w:rsidP="005A7661">
            <w:pPr>
              <w:pStyle w:val="Tirets"/>
              <w:spacing w:line="240" w:lineRule="auto"/>
              <w:ind w:left="313"/>
            </w:pPr>
            <w:r>
              <w:t>coopérer avec le Conseil régional dans la phase de planification et de suivi ;</w:t>
            </w:r>
          </w:p>
          <w:p w14:paraId="18713ECE" w14:textId="77777777" w:rsidR="008637EF" w:rsidRPr="00F9254B" w:rsidRDefault="008637EF" w:rsidP="005A7661">
            <w:pPr>
              <w:pStyle w:val="Tirets"/>
              <w:spacing w:line="240" w:lineRule="auto"/>
              <w:ind w:left="313"/>
            </w:pPr>
            <w:r>
              <w:lastRenderedPageBreak/>
              <w:t>intégrer les mécanismes de concertation et participation prévus par la loi.</w:t>
            </w:r>
          </w:p>
        </w:tc>
      </w:tr>
      <w:tr w:rsidR="008637EF" w:rsidRPr="00BC14E7" w14:paraId="74C76804" w14:textId="77777777" w:rsidTr="005A7661">
        <w:tc>
          <w:tcPr>
            <w:tcW w:w="9062" w:type="dxa"/>
            <w:gridSpan w:val="2"/>
          </w:tcPr>
          <w:p w14:paraId="00AFD693" w14:textId="77777777" w:rsidR="008637EF" w:rsidRPr="004637C7" w:rsidRDefault="008637EF" w:rsidP="005A7661">
            <w:pPr>
              <w:spacing w:after="0"/>
              <w:rPr>
                <w:b/>
                <w:bCs/>
                <w:color w:val="323E4F" w:themeColor="text2" w:themeShade="BF"/>
              </w:rPr>
            </w:pPr>
            <w:bookmarkStart w:id="79" w:name="_Toc203326991"/>
            <w:r w:rsidRPr="004637C7">
              <w:rPr>
                <w:b/>
                <w:bCs/>
                <w:color w:val="323E4F" w:themeColor="text2" w:themeShade="BF"/>
              </w:rPr>
              <w:lastRenderedPageBreak/>
              <w:t>Loi organique n° 112-14 relative aux Préfectures et Provinces</w:t>
            </w:r>
            <w:bookmarkEnd w:id="79"/>
          </w:p>
        </w:tc>
      </w:tr>
      <w:tr w:rsidR="008637EF" w:rsidRPr="00BC14E7" w14:paraId="3DA06E54" w14:textId="77777777" w:rsidTr="005A7661">
        <w:tc>
          <w:tcPr>
            <w:tcW w:w="2547" w:type="dxa"/>
          </w:tcPr>
          <w:p w14:paraId="20EE5E83" w14:textId="77777777" w:rsidR="008637EF" w:rsidRPr="00897C81" w:rsidRDefault="008637EF" w:rsidP="005A7661">
            <w:pPr>
              <w:rPr>
                <w:b/>
                <w:bCs/>
              </w:rPr>
            </w:pPr>
            <w:r w:rsidRPr="00897C81">
              <w:rPr>
                <w:b/>
                <w:bCs/>
              </w:rPr>
              <w:t xml:space="preserve">Résumé </w:t>
            </w:r>
          </w:p>
        </w:tc>
        <w:tc>
          <w:tcPr>
            <w:tcW w:w="6515" w:type="dxa"/>
          </w:tcPr>
          <w:p w14:paraId="73AC8CBF" w14:textId="77777777" w:rsidR="008637EF" w:rsidRPr="00F9254B" w:rsidRDefault="008637EF" w:rsidP="005A7661">
            <w:pPr>
              <w:pStyle w:val="Tirets"/>
              <w:numPr>
                <w:ilvl w:val="0"/>
                <w:numId w:val="0"/>
              </w:numPr>
            </w:pPr>
            <w:r w:rsidRPr="00105CCB">
              <w:t>Cette loi encadre l’action des conseils préfectoraux et provinciaux, situés entre les régions et les communes. Leur mission porte sur la cohésion territoriale, le désenclavement, la coordination intercommunale et l’amélioration des services sociaux de proximité. Le président du conseil préfectoral/provincial en est l’organe exécutif.</w:t>
            </w:r>
          </w:p>
        </w:tc>
      </w:tr>
      <w:tr w:rsidR="008637EF" w:rsidRPr="00BC14E7" w14:paraId="711BFD70" w14:textId="77777777" w:rsidTr="005A7661">
        <w:tc>
          <w:tcPr>
            <w:tcW w:w="2547" w:type="dxa"/>
          </w:tcPr>
          <w:p w14:paraId="4EB55891" w14:textId="77777777" w:rsidR="008637EF" w:rsidRPr="00897C81" w:rsidRDefault="008637EF" w:rsidP="005A7661">
            <w:pPr>
              <w:rPr>
                <w:b/>
                <w:bCs/>
              </w:rPr>
            </w:pPr>
            <w:r w:rsidRPr="00897C81">
              <w:rPr>
                <w:b/>
                <w:bCs/>
              </w:rPr>
              <w:t>Applicabilité</w:t>
            </w:r>
          </w:p>
        </w:tc>
        <w:tc>
          <w:tcPr>
            <w:tcW w:w="6515" w:type="dxa"/>
          </w:tcPr>
          <w:p w14:paraId="1E139A87" w14:textId="77777777" w:rsidR="008637EF" w:rsidRPr="00F9254B" w:rsidRDefault="008637EF" w:rsidP="005A7661">
            <w:pPr>
              <w:pStyle w:val="Tirets"/>
              <w:numPr>
                <w:ilvl w:val="0"/>
                <w:numId w:val="0"/>
              </w:numPr>
            </w:pPr>
            <w:r w:rsidRPr="00105CCB">
              <w:t xml:space="preserve">Le projet peut mobiliser la </w:t>
            </w:r>
            <w:r>
              <w:t>préfecture</w:t>
            </w:r>
            <w:r w:rsidRPr="00105CCB">
              <w:t xml:space="preserve"> d’Inezgane-Aït Melloul </w:t>
            </w:r>
            <w:r>
              <w:t xml:space="preserve">et la province de Chtouka Ait Baha </w:t>
            </w:r>
            <w:r w:rsidRPr="00105CCB">
              <w:t>pour les aspects de cohésion territoriale, de coordination intercommunale et d’appui aux infrastructures locales autour de l’aéroport</w:t>
            </w:r>
            <w:r>
              <w:t>.</w:t>
            </w:r>
          </w:p>
        </w:tc>
      </w:tr>
      <w:tr w:rsidR="008637EF" w:rsidRPr="00BC14E7" w14:paraId="16A35E06" w14:textId="77777777" w:rsidTr="005A7661">
        <w:tc>
          <w:tcPr>
            <w:tcW w:w="2547" w:type="dxa"/>
          </w:tcPr>
          <w:p w14:paraId="59D6AE11" w14:textId="77777777" w:rsidR="008637EF" w:rsidRPr="00897C81" w:rsidRDefault="008637EF" w:rsidP="005A7661">
            <w:pPr>
              <w:rPr>
                <w:b/>
                <w:bCs/>
              </w:rPr>
            </w:pPr>
            <w:r w:rsidRPr="00897C81">
              <w:rPr>
                <w:b/>
                <w:bCs/>
              </w:rPr>
              <w:t>Exigences de conformité</w:t>
            </w:r>
          </w:p>
        </w:tc>
        <w:tc>
          <w:tcPr>
            <w:tcW w:w="6515" w:type="dxa"/>
          </w:tcPr>
          <w:p w14:paraId="1BE0B019" w14:textId="77777777" w:rsidR="008637EF" w:rsidRDefault="008637EF" w:rsidP="005A7661">
            <w:pPr>
              <w:pStyle w:val="Tirets"/>
              <w:numPr>
                <w:ilvl w:val="0"/>
                <w:numId w:val="0"/>
              </w:numPr>
            </w:pPr>
            <w:r>
              <w:t>Le maître d’ouvrage devra :</w:t>
            </w:r>
          </w:p>
          <w:p w14:paraId="15D07478" w14:textId="77777777" w:rsidR="008637EF" w:rsidRDefault="008637EF" w:rsidP="005A7661">
            <w:pPr>
              <w:pStyle w:val="Tirets"/>
              <w:spacing w:line="240" w:lineRule="auto"/>
              <w:ind w:left="313"/>
            </w:pPr>
            <w:r>
              <w:t>associer les autorités provinciales aux concertations relatives aux impacts et retombées du projet ;</w:t>
            </w:r>
          </w:p>
          <w:p w14:paraId="7910DAB6" w14:textId="77777777" w:rsidR="008637EF" w:rsidRPr="00F9254B" w:rsidRDefault="008637EF" w:rsidP="005A7661">
            <w:pPr>
              <w:pStyle w:val="Tirets"/>
              <w:spacing w:line="240" w:lineRule="auto"/>
              <w:ind w:left="313"/>
            </w:pPr>
            <w:r>
              <w:t>prendre en compte les priorités provinciales en matière d’aménagement et de services sociaux.</w:t>
            </w:r>
          </w:p>
        </w:tc>
      </w:tr>
      <w:tr w:rsidR="008637EF" w:rsidRPr="00BC14E7" w14:paraId="78A55FA1" w14:textId="77777777" w:rsidTr="005A7661">
        <w:tc>
          <w:tcPr>
            <w:tcW w:w="9062" w:type="dxa"/>
            <w:gridSpan w:val="2"/>
          </w:tcPr>
          <w:p w14:paraId="145AC0DB" w14:textId="77777777" w:rsidR="008637EF" w:rsidRPr="004637C7" w:rsidRDefault="008637EF" w:rsidP="005A7661">
            <w:pPr>
              <w:spacing w:after="0"/>
              <w:rPr>
                <w:b/>
                <w:bCs/>
                <w:color w:val="323E4F" w:themeColor="text2" w:themeShade="BF"/>
              </w:rPr>
            </w:pPr>
            <w:r w:rsidRPr="004637C7">
              <w:rPr>
                <w:b/>
                <w:bCs/>
                <w:color w:val="323E4F" w:themeColor="text2" w:themeShade="BF"/>
              </w:rPr>
              <w:t>Loi organique n°113-14 relative aux Communes</w:t>
            </w:r>
          </w:p>
        </w:tc>
      </w:tr>
      <w:tr w:rsidR="008637EF" w:rsidRPr="00BC14E7" w14:paraId="3497B4B4" w14:textId="77777777" w:rsidTr="005A7661">
        <w:tc>
          <w:tcPr>
            <w:tcW w:w="2547" w:type="dxa"/>
          </w:tcPr>
          <w:p w14:paraId="7B52AE07" w14:textId="77777777" w:rsidR="008637EF" w:rsidRPr="00897C81" w:rsidRDefault="008637EF" w:rsidP="005A7661">
            <w:pPr>
              <w:rPr>
                <w:b/>
                <w:bCs/>
              </w:rPr>
            </w:pPr>
            <w:r w:rsidRPr="00897C81">
              <w:rPr>
                <w:b/>
                <w:bCs/>
              </w:rPr>
              <w:t xml:space="preserve">Résumé </w:t>
            </w:r>
          </w:p>
        </w:tc>
        <w:tc>
          <w:tcPr>
            <w:tcW w:w="6515" w:type="dxa"/>
          </w:tcPr>
          <w:p w14:paraId="2DEB3D34" w14:textId="77777777" w:rsidR="008637EF" w:rsidRPr="00F9254B" w:rsidRDefault="008637EF" w:rsidP="005A7661">
            <w:pPr>
              <w:pStyle w:val="Tirets"/>
              <w:numPr>
                <w:ilvl w:val="0"/>
                <w:numId w:val="0"/>
              </w:numPr>
            </w:pPr>
            <w:r w:rsidRPr="007162A7">
              <w:t>Cette loi renforce le rôle de la commune comme cellule de base de la démocratie locale. Elle attribue aux communes des compétences propres dans les domaines de l’urbanisme, des équipements, de l’environnement, du transport et des services publics locaux. Le président du conseil communal est l’organe exécutif et responsable de la police administrative. Des outils de planification comme le Plan d’Action Communal (PAC) sont institués, avec des mécanismes de démocratie participative (pétitions, commissions consultatives, accès à l’information).</w:t>
            </w:r>
          </w:p>
        </w:tc>
      </w:tr>
      <w:tr w:rsidR="008637EF" w:rsidRPr="00BC14E7" w14:paraId="7D6EB486" w14:textId="77777777" w:rsidTr="005A7661">
        <w:tc>
          <w:tcPr>
            <w:tcW w:w="2547" w:type="dxa"/>
          </w:tcPr>
          <w:p w14:paraId="3AFC3BCD" w14:textId="77777777" w:rsidR="008637EF" w:rsidRPr="00897C81" w:rsidRDefault="008637EF" w:rsidP="005A7661">
            <w:pPr>
              <w:rPr>
                <w:b/>
                <w:bCs/>
              </w:rPr>
            </w:pPr>
            <w:r w:rsidRPr="00897C81">
              <w:rPr>
                <w:b/>
                <w:bCs/>
              </w:rPr>
              <w:t>Applicabilité</w:t>
            </w:r>
          </w:p>
        </w:tc>
        <w:tc>
          <w:tcPr>
            <w:tcW w:w="6515" w:type="dxa"/>
          </w:tcPr>
          <w:p w14:paraId="798EFC37" w14:textId="77777777" w:rsidR="008637EF" w:rsidRPr="00F9254B" w:rsidRDefault="008637EF" w:rsidP="005A7661">
            <w:r w:rsidRPr="009B46D0">
              <w:t>Le projet implique directement l</w:t>
            </w:r>
            <w:r>
              <w:t>es</w:t>
            </w:r>
            <w:r w:rsidRPr="009B46D0">
              <w:t xml:space="preserve"> </w:t>
            </w:r>
            <w:r>
              <w:t>c</w:t>
            </w:r>
            <w:r w:rsidRPr="00933FE7">
              <w:t>ommune</w:t>
            </w:r>
            <w:r>
              <w:t>s</w:t>
            </w:r>
            <w:r w:rsidRPr="00933FE7">
              <w:t xml:space="preserve"> de Temsia</w:t>
            </w:r>
            <w:r>
              <w:t xml:space="preserve"> et </w:t>
            </w:r>
            <w:r w:rsidRPr="00933FE7">
              <w:t>Ouad Essafa</w:t>
            </w:r>
            <w:r w:rsidRPr="009B46D0">
              <w:t>, notamment pour les aspects liés à l’urbanisme, aux équipements, aux services publics locaux et aux impacts environnementaux.</w:t>
            </w:r>
          </w:p>
        </w:tc>
      </w:tr>
      <w:tr w:rsidR="008637EF" w:rsidRPr="00BC14E7" w14:paraId="13566762" w14:textId="77777777" w:rsidTr="005A7661">
        <w:tc>
          <w:tcPr>
            <w:tcW w:w="2547" w:type="dxa"/>
          </w:tcPr>
          <w:p w14:paraId="1B108446" w14:textId="77777777" w:rsidR="008637EF" w:rsidRPr="00897C81" w:rsidRDefault="008637EF" w:rsidP="005A7661">
            <w:pPr>
              <w:rPr>
                <w:b/>
                <w:bCs/>
              </w:rPr>
            </w:pPr>
            <w:r w:rsidRPr="00897C81">
              <w:rPr>
                <w:b/>
                <w:bCs/>
              </w:rPr>
              <w:t>Exigences de conformité</w:t>
            </w:r>
          </w:p>
        </w:tc>
        <w:tc>
          <w:tcPr>
            <w:tcW w:w="6515" w:type="dxa"/>
          </w:tcPr>
          <w:p w14:paraId="63AF3430" w14:textId="77777777" w:rsidR="008637EF" w:rsidRDefault="008637EF" w:rsidP="005A7661">
            <w:pPr>
              <w:pStyle w:val="Tirets"/>
              <w:numPr>
                <w:ilvl w:val="0"/>
                <w:numId w:val="0"/>
              </w:numPr>
            </w:pPr>
            <w:r>
              <w:t>Le maître d’ouvrage devra :</w:t>
            </w:r>
          </w:p>
          <w:p w14:paraId="53720F92" w14:textId="77777777" w:rsidR="008637EF" w:rsidRDefault="008637EF" w:rsidP="005A7661">
            <w:pPr>
              <w:pStyle w:val="Tirets"/>
              <w:spacing w:line="240" w:lineRule="auto"/>
              <w:ind w:left="313"/>
            </w:pPr>
            <w:r>
              <w:t>coordonner avec le Conseil communal pour la délivrance des autorisations d’urbanisme et de voirie ;</w:t>
            </w:r>
          </w:p>
          <w:p w14:paraId="59CC30B9" w14:textId="77777777" w:rsidR="008637EF" w:rsidRDefault="008637EF" w:rsidP="005A7661">
            <w:pPr>
              <w:pStyle w:val="Tirets"/>
              <w:spacing w:line="240" w:lineRule="auto"/>
              <w:ind w:left="313"/>
            </w:pPr>
            <w:r>
              <w:t>intégrer le projet dans le PAC, en lien avec les services publics locaux ;</w:t>
            </w:r>
          </w:p>
          <w:p w14:paraId="09761D80" w14:textId="77777777" w:rsidR="008637EF" w:rsidRPr="00F9254B" w:rsidRDefault="008637EF" w:rsidP="005A7661">
            <w:pPr>
              <w:pStyle w:val="Tirets"/>
              <w:spacing w:line="240" w:lineRule="auto"/>
              <w:ind w:left="313"/>
            </w:pPr>
            <w:r>
              <w:t>respecter les dispositions de concertation et d’information prévues par la loi.</w:t>
            </w:r>
          </w:p>
        </w:tc>
      </w:tr>
    </w:tbl>
    <w:p w14:paraId="74C8D0B2" w14:textId="77777777" w:rsidR="008637EF" w:rsidRDefault="008637EF" w:rsidP="008637EF">
      <w:pPr>
        <w:pStyle w:val="Title3"/>
      </w:pPr>
      <w:bookmarkStart w:id="80" w:name="_Toc215131800"/>
      <w:r>
        <w:t>Patrimoine culturel et archéologique</w:t>
      </w:r>
      <w:bookmarkEnd w:id="80"/>
    </w:p>
    <w:tbl>
      <w:tblPr>
        <w:tblStyle w:val="Grilledetableauclaire"/>
        <w:tblW w:w="0" w:type="auto"/>
        <w:tblLook w:val="04A0" w:firstRow="1" w:lastRow="0" w:firstColumn="1" w:lastColumn="0" w:noHBand="0" w:noVBand="1"/>
      </w:tblPr>
      <w:tblGrid>
        <w:gridCol w:w="2547"/>
        <w:gridCol w:w="6515"/>
      </w:tblGrid>
      <w:tr w:rsidR="008637EF" w:rsidRPr="00897C81" w14:paraId="002F98D4" w14:textId="77777777" w:rsidTr="005A7661">
        <w:tc>
          <w:tcPr>
            <w:tcW w:w="9062" w:type="dxa"/>
            <w:gridSpan w:val="2"/>
          </w:tcPr>
          <w:p w14:paraId="56FB4269" w14:textId="77777777" w:rsidR="008637EF" w:rsidRPr="004637C7" w:rsidRDefault="008637EF" w:rsidP="005A7661">
            <w:pPr>
              <w:spacing w:after="0"/>
              <w:rPr>
                <w:b/>
                <w:bCs/>
                <w:color w:val="323E4F" w:themeColor="text2" w:themeShade="BF"/>
              </w:rPr>
            </w:pPr>
            <w:r w:rsidRPr="004637C7">
              <w:rPr>
                <w:b/>
                <w:bCs/>
                <w:color w:val="323E4F" w:themeColor="text2" w:themeShade="BF"/>
              </w:rPr>
              <w:t>Loi 22-80 (dahir 1-80-341 du 25 décembre 1980) sur le patrimoine culturel et historique telle que modifiée et complétée en 2006 par la loi 19-05 (dahir 1-06-102 du 8 juin 2006)</w:t>
            </w:r>
          </w:p>
        </w:tc>
      </w:tr>
      <w:tr w:rsidR="008637EF" w:rsidRPr="00F9254B" w14:paraId="0178F1D7" w14:textId="77777777" w:rsidTr="005A7661">
        <w:tc>
          <w:tcPr>
            <w:tcW w:w="2547" w:type="dxa"/>
          </w:tcPr>
          <w:p w14:paraId="3D06B8F5" w14:textId="77777777" w:rsidR="008637EF" w:rsidRPr="00897C81" w:rsidRDefault="008637EF" w:rsidP="005A7661">
            <w:pPr>
              <w:rPr>
                <w:b/>
                <w:bCs/>
              </w:rPr>
            </w:pPr>
            <w:r w:rsidRPr="00897C81">
              <w:rPr>
                <w:b/>
                <w:bCs/>
              </w:rPr>
              <w:lastRenderedPageBreak/>
              <w:t xml:space="preserve">Résumé </w:t>
            </w:r>
          </w:p>
        </w:tc>
        <w:tc>
          <w:tcPr>
            <w:tcW w:w="6515" w:type="dxa"/>
          </w:tcPr>
          <w:p w14:paraId="45F274D5" w14:textId="77777777" w:rsidR="008637EF" w:rsidRPr="00F9254B" w:rsidRDefault="008637EF" w:rsidP="005A7661">
            <w:pPr>
              <w:pStyle w:val="Tirets"/>
              <w:numPr>
                <w:ilvl w:val="0"/>
                <w:numId w:val="0"/>
              </w:numPr>
            </w:pPr>
            <w:r w:rsidRPr="00876272">
              <w:t>Cette loi protège les biens culturels matériels et immatériels en instituant des procédures de classement et d’inscription, encadrant les fouilles archéologiques, et prévoyant des servitudes, indemnités et sanctions. Le ministère de la Culture est l’autorité compétente pour leur gestion et leur préservation.</w:t>
            </w:r>
          </w:p>
        </w:tc>
      </w:tr>
      <w:tr w:rsidR="008637EF" w:rsidRPr="00F9254B" w14:paraId="282D9C84" w14:textId="77777777" w:rsidTr="005A7661">
        <w:tc>
          <w:tcPr>
            <w:tcW w:w="2547" w:type="dxa"/>
          </w:tcPr>
          <w:p w14:paraId="17E26C25" w14:textId="77777777" w:rsidR="008637EF" w:rsidRPr="00897C81" w:rsidRDefault="008637EF" w:rsidP="005A7661">
            <w:pPr>
              <w:rPr>
                <w:b/>
                <w:bCs/>
              </w:rPr>
            </w:pPr>
            <w:r w:rsidRPr="00897C81">
              <w:rPr>
                <w:b/>
                <w:bCs/>
              </w:rPr>
              <w:t>Applicabilité</w:t>
            </w:r>
          </w:p>
        </w:tc>
        <w:tc>
          <w:tcPr>
            <w:tcW w:w="6515" w:type="dxa"/>
          </w:tcPr>
          <w:p w14:paraId="645B9345" w14:textId="77777777" w:rsidR="008637EF" w:rsidRPr="00F9254B" w:rsidRDefault="008637EF" w:rsidP="005A7661">
            <w:r w:rsidRPr="00876272">
              <w:t>Le projet pourrait être concerné en cas de proximité de sites classés/inscrits ou de découvertes fortuites de vestiges lors des travaux, ainsi que par la prise en compte du patrimoine immatériel local.</w:t>
            </w:r>
          </w:p>
        </w:tc>
      </w:tr>
      <w:tr w:rsidR="008637EF" w:rsidRPr="00F9254B" w14:paraId="5FFD7DA7" w14:textId="77777777" w:rsidTr="005A7661">
        <w:tc>
          <w:tcPr>
            <w:tcW w:w="2547" w:type="dxa"/>
          </w:tcPr>
          <w:p w14:paraId="78DA3909" w14:textId="77777777" w:rsidR="008637EF" w:rsidRPr="00897C81" w:rsidRDefault="008637EF" w:rsidP="005A7661">
            <w:pPr>
              <w:rPr>
                <w:b/>
                <w:bCs/>
              </w:rPr>
            </w:pPr>
            <w:r w:rsidRPr="00897C81">
              <w:rPr>
                <w:b/>
                <w:bCs/>
              </w:rPr>
              <w:t>Exigences de conformité</w:t>
            </w:r>
          </w:p>
        </w:tc>
        <w:tc>
          <w:tcPr>
            <w:tcW w:w="6515" w:type="dxa"/>
          </w:tcPr>
          <w:p w14:paraId="66CAFA3D" w14:textId="77777777" w:rsidR="008637EF" w:rsidRPr="00876272" w:rsidRDefault="008637EF" w:rsidP="005A7661">
            <w:pPr>
              <w:pStyle w:val="Tirets"/>
              <w:numPr>
                <w:ilvl w:val="0"/>
                <w:numId w:val="0"/>
              </w:numPr>
            </w:pPr>
            <w:r w:rsidRPr="00876272">
              <w:t>Le maître d’ouvrage devra, le cas échéant :</w:t>
            </w:r>
          </w:p>
          <w:p w14:paraId="13EEECA0" w14:textId="77777777" w:rsidR="008637EF" w:rsidRPr="00876272" w:rsidRDefault="008637EF" w:rsidP="005A7661">
            <w:pPr>
              <w:pStyle w:val="Tirets"/>
              <w:spacing w:line="240" w:lineRule="auto"/>
              <w:ind w:left="313"/>
            </w:pPr>
            <w:r w:rsidRPr="00876272">
              <w:t>consulter le ministère de la Culture avant toute intervention sur un bien protégé ;</w:t>
            </w:r>
          </w:p>
          <w:p w14:paraId="4FF87045" w14:textId="77777777" w:rsidR="008637EF" w:rsidRPr="00876272" w:rsidRDefault="008637EF" w:rsidP="005A7661">
            <w:pPr>
              <w:pStyle w:val="Tirets"/>
              <w:spacing w:line="240" w:lineRule="auto"/>
              <w:ind w:left="313"/>
            </w:pPr>
            <w:r w:rsidRPr="00876272">
              <w:t>respecter les servitudes de protection autour des sites ;</w:t>
            </w:r>
          </w:p>
          <w:p w14:paraId="08F7DF1C" w14:textId="77777777" w:rsidR="008637EF" w:rsidRPr="00876272" w:rsidRDefault="008637EF" w:rsidP="005A7661">
            <w:pPr>
              <w:pStyle w:val="Tirets"/>
              <w:spacing w:line="240" w:lineRule="auto"/>
              <w:ind w:left="313"/>
            </w:pPr>
            <w:r w:rsidRPr="00876272">
              <w:t>appliquer la procédure de chance find en cas de découvertes ;</w:t>
            </w:r>
          </w:p>
          <w:p w14:paraId="2836F90F" w14:textId="77777777" w:rsidR="008637EF" w:rsidRPr="00F9254B" w:rsidRDefault="008637EF" w:rsidP="005A7661">
            <w:pPr>
              <w:pStyle w:val="Tirets"/>
              <w:spacing w:line="240" w:lineRule="auto"/>
              <w:ind w:left="313"/>
            </w:pPr>
            <w:r w:rsidRPr="00876272">
              <w:t>préserver et valoriser le patrimoine matériel et immatériel concerné.</w:t>
            </w:r>
          </w:p>
        </w:tc>
      </w:tr>
    </w:tbl>
    <w:p w14:paraId="1ACA5B45" w14:textId="77777777" w:rsidR="008637EF" w:rsidRDefault="008637EF" w:rsidP="008637EF">
      <w:pPr>
        <w:pStyle w:val="Title3"/>
      </w:pPr>
      <w:bookmarkStart w:id="81" w:name="_Toc215131801"/>
      <w:r>
        <w:t>Transport et code de route</w:t>
      </w:r>
      <w:bookmarkEnd w:id="81"/>
    </w:p>
    <w:tbl>
      <w:tblPr>
        <w:tblStyle w:val="Grilledetableauclaire"/>
        <w:tblW w:w="0" w:type="auto"/>
        <w:tblLook w:val="04A0" w:firstRow="1" w:lastRow="0" w:firstColumn="1" w:lastColumn="0" w:noHBand="0" w:noVBand="1"/>
      </w:tblPr>
      <w:tblGrid>
        <w:gridCol w:w="3043"/>
        <w:gridCol w:w="6019"/>
      </w:tblGrid>
      <w:tr w:rsidR="008637EF" w:rsidRPr="00897C81" w14:paraId="301B4608" w14:textId="77777777" w:rsidTr="005A7661">
        <w:tc>
          <w:tcPr>
            <w:tcW w:w="9062" w:type="dxa"/>
            <w:gridSpan w:val="2"/>
          </w:tcPr>
          <w:p w14:paraId="601C133F" w14:textId="77777777" w:rsidR="008637EF" w:rsidRPr="004637C7" w:rsidRDefault="008637EF" w:rsidP="005A7661">
            <w:pPr>
              <w:spacing w:after="0"/>
              <w:rPr>
                <w:b/>
                <w:bCs/>
                <w:color w:val="323E4F" w:themeColor="text2" w:themeShade="BF"/>
              </w:rPr>
            </w:pPr>
            <w:r w:rsidRPr="004637C7">
              <w:rPr>
                <w:b/>
                <w:bCs/>
                <w:color w:val="323E4F" w:themeColor="text2" w:themeShade="BF"/>
              </w:rPr>
              <w:t>Loi 52-05 relative au code de la route, telle que modifiée et complétée par la Loi 116-14</w:t>
            </w:r>
          </w:p>
        </w:tc>
      </w:tr>
      <w:tr w:rsidR="008637EF" w:rsidRPr="00F9254B" w14:paraId="600DBA8C" w14:textId="77777777" w:rsidTr="005A7661">
        <w:tc>
          <w:tcPr>
            <w:tcW w:w="3043" w:type="dxa"/>
          </w:tcPr>
          <w:p w14:paraId="215A7B32" w14:textId="77777777" w:rsidR="008637EF" w:rsidRPr="00897C81" w:rsidRDefault="008637EF" w:rsidP="005A7661">
            <w:pPr>
              <w:rPr>
                <w:b/>
                <w:bCs/>
              </w:rPr>
            </w:pPr>
            <w:r w:rsidRPr="00897C81">
              <w:rPr>
                <w:b/>
                <w:bCs/>
              </w:rPr>
              <w:t xml:space="preserve">Résumé </w:t>
            </w:r>
          </w:p>
        </w:tc>
        <w:tc>
          <w:tcPr>
            <w:tcW w:w="6019" w:type="dxa"/>
          </w:tcPr>
          <w:p w14:paraId="27350249" w14:textId="77777777" w:rsidR="008637EF" w:rsidRDefault="008637EF" w:rsidP="005A7661">
            <w:pPr>
              <w:pStyle w:val="Tirets"/>
              <w:numPr>
                <w:ilvl w:val="0"/>
                <w:numId w:val="0"/>
              </w:numPr>
            </w:pPr>
            <w:r w:rsidRPr="00C2339A">
              <w:t>La loi 116-14 apporte plusieurs nouveautés au Code de la route. Elle supprime la rétention du permis de conduire en cas d’accident corporel, sauf en cas d’ivresse, de consommation de stupéfiants ou de délit de fuite.</w:t>
            </w:r>
            <w:r>
              <w:t xml:space="preserve"> </w:t>
            </w:r>
            <w:r w:rsidRPr="00C2339A">
              <w:t>Elle introduit de nouvelles infractions au tableau de retrait de points</w:t>
            </w:r>
            <w:r>
              <w:t>.</w:t>
            </w:r>
          </w:p>
          <w:p w14:paraId="37A56B2F" w14:textId="77777777" w:rsidR="008637EF" w:rsidRPr="00F9254B" w:rsidRDefault="008637EF" w:rsidP="005A7661">
            <w:pPr>
              <w:pStyle w:val="Tirets"/>
              <w:numPr>
                <w:ilvl w:val="0"/>
                <w:numId w:val="0"/>
              </w:numPr>
            </w:pPr>
            <w:r w:rsidRPr="00C2339A">
              <w:t>La loi réduit également de quatre à deux ans le délai nécessaire pour passer du permis de catégorie «B» aux permis poids lourd «D» et «C». Elle instaure enfin des sanctions relatives aux cyclomoteurs, désormais soumis à un titre de propriété et à un numéro d’ordre.</w:t>
            </w:r>
          </w:p>
        </w:tc>
      </w:tr>
      <w:tr w:rsidR="008637EF" w:rsidRPr="00F9254B" w14:paraId="4D1BB5D3" w14:textId="77777777" w:rsidTr="005A7661">
        <w:tc>
          <w:tcPr>
            <w:tcW w:w="3043" w:type="dxa"/>
          </w:tcPr>
          <w:p w14:paraId="09BA69D9" w14:textId="77777777" w:rsidR="008637EF" w:rsidRPr="00897C81" w:rsidRDefault="008637EF" w:rsidP="005A7661">
            <w:pPr>
              <w:rPr>
                <w:b/>
                <w:bCs/>
              </w:rPr>
            </w:pPr>
            <w:r w:rsidRPr="00897C81">
              <w:rPr>
                <w:b/>
                <w:bCs/>
              </w:rPr>
              <w:t>Applicabilité</w:t>
            </w:r>
          </w:p>
        </w:tc>
        <w:tc>
          <w:tcPr>
            <w:tcW w:w="6019" w:type="dxa"/>
          </w:tcPr>
          <w:p w14:paraId="4F7B6D44" w14:textId="501D5071" w:rsidR="008637EF" w:rsidRPr="00F9254B" w:rsidRDefault="008637EF" w:rsidP="005A7661">
            <w:r w:rsidRPr="00C2339A">
              <w:t xml:space="preserve">Le projet </w:t>
            </w:r>
            <w:r w:rsidR="00451B3C" w:rsidRPr="00BD4D87">
              <w:t>de modernisation et d’extension des infrastructures aéroportuaires</w:t>
            </w:r>
            <w:r w:rsidR="00451B3C" w:rsidRPr="004637C7">
              <w:t xml:space="preserve"> </w:t>
            </w:r>
            <w:r w:rsidRPr="00C2339A">
              <w:t xml:space="preserve">de l’aéroport </w:t>
            </w:r>
            <w:r w:rsidR="00EE6509">
              <w:t>Marrakech Ménara</w:t>
            </w:r>
            <w:r w:rsidR="00EE6509" w:rsidRPr="00C2339A">
              <w:t xml:space="preserve"> </w:t>
            </w:r>
            <w:r w:rsidRPr="00C2339A">
              <w:t>sera concerné par cette loi à travers la circulation des véhicules et engins de chantier, le transport de matériaux, ainsi que les déplacements du personnel. Le respect du Code de la route est essentiel pour prévenir les accidents et garantir la sécurité des travailleurs et des riverains.</w:t>
            </w:r>
          </w:p>
        </w:tc>
      </w:tr>
      <w:tr w:rsidR="008637EF" w:rsidRPr="00F9254B" w14:paraId="2747F904" w14:textId="77777777" w:rsidTr="005A7661">
        <w:tc>
          <w:tcPr>
            <w:tcW w:w="3043" w:type="dxa"/>
          </w:tcPr>
          <w:p w14:paraId="3B1B3D9D" w14:textId="77777777" w:rsidR="008637EF" w:rsidRPr="00897C81" w:rsidRDefault="008637EF" w:rsidP="005A7661">
            <w:pPr>
              <w:rPr>
                <w:b/>
                <w:bCs/>
              </w:rPr>
            </w:pPr>
            <w:r w:rsidRPr="00897C81">
              <w:rPr>
                <w:b/>
                <w:bCs/>
              </w:rPr>
              <w:t>Exigences de conformité</w:t>
            </w:r>
          </w:p>
        </w:tc>
        <w:tc>
          <w:tcPr>
            <w:tcW w:w="6019" w:type="dxa"/>
          </w:tcPr>
          <w:p w14:paraId="1F178156" w14:textId="77777777" w:rsidR="008637EF" w:rsidRPr="00C2339A" w:rsidRDefault="008637EF" w:rsidP="005A7661">
            <w:r w:rsidRPr="00C2339A">
              <w:t>Le maître d’ouvrage et l’EPC devront :</w:t>
            </w:r>
          </w:p>
          <w:p w14:paraId="63C976CA" w14:textId="77777777" w:rsidR="008637EF" w:rsidRPr="00C2339A" w:rsidRDefault="008637EF" w:rsidP="005A7661">
            <w:pPr>
              <w:pStyle w:val="Tirets"/>
              <w:spacing w:line="240" w:lineRule="auto"/>
              <w:ind w:left="313"/>
            </w:pPr>
            <w:r w:rsidRPr="00C2339A">
              <w:t>veiller à ce que tous les conducteurs (camions, engins, véhicules de service) soient titulaires d’un permis en règle ;</w:t>
            </w:r>
          </w:p>
          <w:p w14:paraId="42DF0637" w14:textId="77777777" w:rsidR="008637EF" w:rsidRPr="00C2339A" w:rsidRDefault="008637EF" w:rsidP="005A7661">
            <w:pPr>
              <w:pStyle w:val="Tirets"/>
              <w:spacing w:line="240" w:lineRule="auto"/>
              <w:ind w:left="313"/>
            </w:pPr>
            <w:r w:rsidRPr="00C2339A">
              <w:lastRenderedPageBreak/>
              <w:t>assurer la sensibilisation des chauffeurs sur les obligations du Code de la route, notamment l’interdiction de l’usage du téléphone au volant et l’obligation du port de la ceinture ;</w:t>
            </w:r>
          </w:p>
          <w:p w14:paraId="00FE35DD" w14:textId="77777777" w:rsidR="008637EF" w:rsidRPr="00C2339A" w:rsidRDefault="008637EF" w:rsidP="005A7661">
            <w:pPr>
              <w:pStyle w:val="Tirets"/>
              <w:spacing w:line="240" w:lineRule="auto"/>
              <w:ind w:left="313"/>
            </w:pPr>
            <w:r w:rsidRPr="00C2339A">
              <w:t>contrôler le respect des limitations de vitesse et des consignes de circulation aux abords du chantier ;</w:t>
            </w:r>
          </w:p>
          <w:p w14:paraId="33651682" w14:textId="77777777" w:rsidR="008637EF" w:rsidRPr="00C2339A" w:rsidRDefault="008637EF" w:rsidP="005A7661">
            <w:pPr>
              <w:pStyle w:val="Tirets"/>
              <w:spacing w:line="240" w:lineRule="auto"/>
              <w:ind w:left="313"/>
            </w:pPr>
            <w:r w:rsidRPr="00C2339A">
              <w:t>coopérer avec les autorités compétentes en cas de contrôle ou d’accident ;</w:t>
            </w:r>
          </w:p>
          <w:p w14:paraId="481D4E0C" w14:textId="77777777" w:rsidR="008637EF" w:rsidRPr="00F9254B" w:rsidRDefault="008637EF" w:rsidP="005A7661">
            <w:pPr>
              <w:pStyle w:val="Tirets"/>
              <w:spacing w:line="240" w:lineRule="auto"/>
              <w:ind w:left="313"/>
            </w:pPr>
            <w:r w:rsidRPr="00C2339A">
              <w:t>intégrer des mesures spécifiques de gestion de la circulation dans le Plan Hygiène, Santé et Sécurité (HSS)</w:t>
            </w:r>
          </w:p>
        </w:tc>
      </w:tr>
      <w:tr w:rsidR="008637EF" w:rsidRPr="00F9254B" w14:paraId="2CE91380" w14:textId="77777777" w:rsidTr="005A7661">
        <w:tc>
          <w:tcPr>
            <w:tcW w:w="9062" w:type="dxa"/>
            <w:gridSpan w:val="2"/>
          </w:tcPr>
          <w:p w14:paraId="0F28D7BC" w14:textId="77777777" w:rsidR="008637EF" w:rsidRPr="004637C7" w:rsidRDefault="008637EF" w:rsidP="005A7661">
            <w:pPr>
              <w:spacing w:after="0"/>
              <w:rPr>
                <w:b/>
                <w:bCs/>
                <w:color w:val="323E4F" w:themeColor="text2" w:themeShade="BF"/>
              </w:rPr>
            </w:pPr>
            <w:r w:rsidRPr="004637C7">
              <w:rPr>
                <w:b/>
                <w:bCs/>
                <w:color w:val="323E4F" w:themeColor="text2" w:themeShade="BF"/>
              </w:rPr>
              <w:lastRenderedPageBreak/>
              <w:t xml:space="preserve">Loi 16-99 sur les transports, et son décret d’application </w:t>
            </w:r>
          </w:p>
        </w:tc>
      </w:tr>
      <w:tr w:rsidR="008637EF" w:rsidRPr="00F9254B" w14:paraId="540A146F" w14:textId="77777777" w:rsidTr="005A7661">
        <w:tc>
          <w:tcPr>
            <w:tcW w:w="3043" w:type="dxa"/>
          </w:tcPr>
          <w:p w14:paraId="049DE4EE" w14:textId="77777777" w:rsidR="008637EF" w:rsidRPr="00DE2755" w:rsidRDefault="008637EF" w:rsidP="005A7661">
            <w:r w:rsidRPr="00897C81">
              <w:rPr>
                <w:b/>
                <w:bCs/>
              </w:rPr>
              <w:t xml:space="preserve">Résumé </w:t>
            </w:r>
          </w:p>
        </w:tc>
        <w:tc>
          <w:tcPr>
            <w:tcW w:w="6019" w:type="dxa"/>
          </w:tcPr>
          <w:p w14:paraId="38642041" w14:textId="77777777" w:rsidR="008637EF" w:rsidRPr="00C2339A" w:rsidRDefault="008637EF" w:rsidP="005A7661">
            <w:r w:rsidRPr="00C2339A">
              <w:t>Cette loi établit un cadre législatif pour le développement harmonieux du transport routier au Maroc. Elle vise à intégrer ce secteur dans un système global de transport tenant compte de l’aménagement du territoire, de la protection de l’environnement et des échanges internationaux. La loi introduit progressivement des dispositions renforçant le professionnalisme et la concurrence loyale, notamment :</w:t>
            </w:r>
          </w:p>
          <w:p w14:paraId="74363461" w14:textId="77777777" w:rsidR="008637EF" w:rsidRPr="00C2339A" w:rsidRDefault="008637EF" w:rsidP="005A7661">
            <w:pPr>
              <w:pStyle w:val="Tirets"/>
              <w:spacing w:line="240" w:lineRule="auto"/>
              <w:ind w:left="313"/>
            </w:pPr>
            <w:r w:rsidRPr="00C2339A">
              <w:t>adoption de normes qualitatives pour l’exercice de la profession de transporteur routier de marchandises puis de voyageurs ;</w:t>
            </w:r>
          </w:p>
          <w:p w14:paraId="5E84541D" w14:textId="77777777" w:rsidR="008637EF" w:rsidRPr="00C2339A" w:rsidRDefault="008637EF" w:rsidP="005A7661">
            <w:pPr>
              <w:pStyle w:val="Tirets"/>
              <w:spacing w:line="240" w:lineRule="auto"/>
              <w:ind w:left="313"/>
            </w:pPr>
            <w:r w:rsidRPr="00C2339A">
              <w:t>ouverture du marché du transport des marchandises à la concurrence, avec libéralisation des tarifs ;</w:t>
            </w:r>
          </w:p>
          <w:p w14:paraId="159BC583" w14:textId="77777777" w:rsidR="008637EF" w:rsidRPr="00C2339A" w:rsidRDefault="008637EF" w:rsidP="005A7661">
            <w:pPr>
              <w:pStyle w:val="Tirets"/>
              <w:spacing w:line="240" w:lineRule="auto"/>
              <w:ind w:left="313"/>
            </w:pPr>
            <w:r w:rsidRPr="00C2339A">
              <w:t>intégration des camions de 3,5 à 8 tonnes dans l’activité réglementée ;</w:t>
            </w:r>
          </w:p>
          <w:p w14:paraId="13F4F86D" w14:textId="77777777" w:rsidR="008637EF" w:rsidRPr="00C2339A" w:rsidRDefault="008637EF" w:rsidP="005A7661">
            <w:pPr>
              <w:pStyle w:val="Tirets"/>
              <w:spacing w:line="240" w:lineRule="auto"/>
              <w:ind w:left="313"/>
            </w:pPr>
            <w:r w:rsidRPr="00C2339A">
              <w:t>suppression du monopole d’affrètement de l’ONT, qui se voit confier des missions d’encadrement et de développement du secteur ;</w:t>
            </w:r>
          </w:p>
          <w:p w14:paraId="37EB2C2A" w14:textId="77777777" w:rsidR="008637EF" w:rsidRPr="00C2339A" w:rsidRDefault="008637EF" w:rsidP="005A7661">
            <w:pPr>
              <w:pStyle w:val="Tirets"/>
              <w:spacing w:line="240" w:lineRule="auto"/>
              <w:ind w:left="313"/>
            </w:pPr>
            <w:r w:rsidRPr="00C2339A">
              <w:t>création de nouvelles professions pour renforcer les capacités du secteur.</w:t>
            </w:r>
          </w:p>
        </w:tc>
      </w:tr>
      <w:tr w:rsidR="008637EF" w:rsidRPr="00F9254B" w14:paraId="2A7576D3" w14:textId="77777777" w:rsidTr="005A7661">
        <w:tc>
          <w:tcPr>
            <w:tcW w:w="3043" w:type="dxa"/>
          </w:tcPr>
          <w:p w14:paraId="21BEC39D" w14:textId="77777777" w:rsidR="008637EF" w:rsidRPr="00DE2755" w:rsidRDefault="008637EF" w:rsidP="005A7661">
            <w:r w:rsidRPr="00897C81">
              <w:rPr>
                <w:b/>
                <w:bCs/>
              </w:rPr>
              <w:t>Applicabilité</w:t>
            </w:r>
          </w:p>
        </w:tc>
        <w:tc>
          <w:tcPr>
            <w:tcW w:w="6019" w:type="dxa"/>
          </w:tcPr>
          <w:p w14:paraId="2E6316FB" w14:textId="00111A76" w:rsidR="008637EF" w:rsidRPr="00C2339A" w:rsidRDefault="008637EF" w:rsidP="005A7661">
            <w:r w:rsidRPr="00C2339A">
              <w:t xml:space="preserve">Le projet </w:t>
            </w:r>
            <w:r w:rsidR="00AE6B74" w:rsidRPr="00BD4D87">
              <w:t>de modernisation et d’extension des infrastructures aéroportuaires</w:t>
            </w:r>
            <w:r w:rsidRPr="00C2339A">
              <w:t xml:space="preserve"> de l’aéroport </w:t>
            </w:r>
            <w:r w:rsidR="00EE6509">
              <w:t>Marrakech Ménara</w:t>
            </w:r>
            <w:r w:rsidR="00EE6509" w:rsidRPr="00C2339A">
              <w:t xml:space="preserve"> </w:t>
            </w:r>
            <w:r w:rsidRPr="00C2339A">
              <w:t xml:space="preserve">mobilisera </w:t>
            </w:r>
            <w:r>
              <w:t>du</w:t>
            </w:r>
            <w:r w:rsidRPr="00C2339A">
              <w:t xml:space="preserve"> transport routier (matériaux, équipements, personnel). Cette loi s’applique aux activités de transport de marchandises et de voyageurs liées au chantier et à l’exploitation, dans la mesure où elles doivent respecter les règles de concurrence loyale, de professionnalisme et de conformité réglementaire.</w:t>
            </w:r>
          </w:p>
        </w:tc>
      </w:tr>
      <w:tr w:rsidR="008637EF" w:rsidRPr="00F9254B" w14:paraId="36D83B41" w14:textId="77777777" w:rsidTr="005A7661">
        <w:tc>
          <w:tcPr>
            <w:tcW w:w="3043" w:type="dxa"/>
          </w:tcPr>
          <w:p w14:paraId="775C35BF" w14:textId="77777777" w:rsidR="008637EF" w:rsidRPr="00DE2755" w:rsidRDefault="008637EF" w:rsidP="005A7661">
            <w:r w:rsidRPr="00897C81">
              <w:rPr>
                <w:b/>
                <w:bCs/>
              </w:rPr>
              <w:t>Exigences de conformité</w:t>
            </w:r>
          </w:p>
        </w:tc>
        <w:tc>
          <w:tcPr>
            <w:tcW w:w="6019" w:type="dxa"/>
          </w:tcPr>
          <w:p w14:paraId="2786C9F6" w14:textId="77777777" w:rsidR="008637EF" w:rsidRPr="00C2339A" w:rsidRDefault="008637EF" w:rsidP="005A7661">
            <w:r w:rsidRPr="00C2339A">
              <w:t>Le maître d’ouvrage et l’EPC devront :</w:t>
            </w:r>
          </w:p>
          <w:p w14:paraId="78FEB9A8" w14:textId="77777777" w:rsidR="008637EF" w:rsidRPr="00C2339A" w:rsidRDefault="008637EF" w:rsidP="005A7661">
            <w:pPr>
              <w:pStyle w:val="Tirets"/>
              <w:spacing w:line="240" w:lineRule="auto"/>
              <w:ind w:left="313"/>
            </w:pPr>
            <w:r w:rsidRPr="00C2339A">
              <w:t>recourir à des transporteurs routiers agréés et conformes aux normes légales ;</w:t>
            </w:r>
          </w:p>
          <w:p w14:paraId="5F255352" w14:textId="77777777" w:rsidR="008637EF" w:rsidRPr="00C2339A" w:rsidRDefault="008637EF" w:rsidP="005A7661">
            <w:pPr>
              <w:pStyle w:val="Tirets"/>
              <w:spacing w:line="240" w:lineRule="auto"/>
              <w:ind w:left="313"/>
            </w:pPr>
            <w:r w:rsidRPr="00C2339A">
              <w:t>veiller à ce que les véhicules utilisés soient en règle et adaptés au transport de marchandises ou de personnel ;</w:t>
            </w:r>
          </w:p>
          <w:p w14:paraId="35FA6335" w14:textId="77777777" w:rsidR="008637EF" w:rsidRPr="00C2339A" w:rsidRDefault="008637EF" w:rsidP="005A7661">
            <w:pPr>
              <w:pStyle w:val="Tirets"/>
              <w:spacing w:line="240" w:lineRule="auto"/>
              <w:ind w:left="313"/>
            </w:pPr>
            <w:r w:rsidRPr="00C2339A">
              <w:lastRenderedPageBreak/>
              <w:t>s’assurer que les prestataires de transport respectent les obligations liées à la concurrence loyale et aux règles de sécurité ;</w:t>
            </w:r>
          </w:p>
          <w:p w14:paraId="61BCA9BD" w14:textId="77777777" w:rsidR="008637EF" w:rsidRPr="00C2339A" w:rsidRDefault="008637EF" w:rsidP="005A7661">
            <w:pPr>
              <w:pStyle w:val="Tirets"/>
              <w:spacing w:line="240" w:lineRule="auto"/>
              <w:ind w:left="313"/>
            </w:pPr>
            <w:r w:rsidRPr="00C2339A">
              <w:t>collaborer avec les autorités pour garantir la régularité des opérations de transport ;</w:t>
            </w:r>
          </w:p>
          <w:p w14:paraId="1DC8AE6D" w14:textId="77777777" w:rsidR="008637EF" w:rsidRPr="00C2339A" w:rsidRDefault="008637EF" w:rsidP="005A7661">
            <w:pPr>
              <w:pStyle w:val="Tirets"/>
              <w:spacing w:line="240" w:lineRule="auto"/>
              <w:ind w:left="313"/>
            </w:pPr>
            <w:r w:rsidRPr="00C2339A">
              <w:t>intégrer la gestion logistique du transport routier dans la planification du chantier, en cohérence avec la réglementation nationale.</w:t>
            </w:r>
          </w:p>
        </w:tc>
      </w:tr>
    </w:tbl>
    <w:p w14:paraId="257E34F9" w14:textId="77777777" w:rsidR="004637C7" w:rsidRDefault="004637C7">
      <w:r>
        <w:lastRenderedPageBreak/>
        <w:br w:type="page"/>
      </w:r>
    </w:p>
    <w:tbl>
      <w:tblPr>
        <w:tblStyle w:val="Grilledetableauclaire"/>
        <w:tblW w:w="0" w:type="auto"/>
        <w:tblLook w:val="04A0" w:firstRow="1" w:lastRow="0" w:firstColumn="1" w:lastColumn="0" w:noHBand="0" w:noVBand="1"/>
      </w:tblPr>
      <w:tblGrid>
        <w:gridCol w:w="3043"/>
        <w:gridCol w:w="6019"/>
      </w:tblGrid>
      <w:tr w:rsidR="008637EF" w:rsidRPr="00F9254B" w14:paraId="0255015F" w14:textId="77777777" w:rsidTr="005A7661">
        <w:tc>
          <w:tcPr>
            <w:tcW w:w="9062" w:type="dxa"/>
            <w:gridSpan w:val="2"/>
          </w:tcPr>
          <w:p w14:paraId="2065F42C" w14:textId="290AFC4F" w:rsidR="008637EF" w:rsidRPr="004637C7" w:rsidRDefault="008637EF" w:rsidP="005A7661">
            <w:pPr>
              <w:spacing w:after="0"/>
              <w:rPr>
                <w:b/>
                <w:bCs/>
                <w:color w:val="323E4F" w:themeColor="text2" w:themeShade="BF"/>
              </w:rPr>
            </w:pPr>
            <w:r w:rsidRPr="004637C7">
              <w:rPr>
                <w:b/>
                <w:bCs/>
                <w:color w:val="323E4F" w:themeColor="text2" w:themeShade="BF"/>
              </w:rPr>
              <w:lastRenderedPageBreak/>
              <w:t>Loi n°30-05 relative au transport routier des marchandises dangereuses</w:t>
            </w:r>
          </w:p>
        </w:tc>
      </w:tr>
      <w:tr w:rsidR="008637EF" w:rsidRPr="00F9254B" w14:paraId="6851F310" w14:textId="77777777" w:rsidTr="005A7661">
        <w:tc>
          <w:tcPr>
            <w:tcW w:w="3043" w:type="dxa"/>
          </w:tcPr>
          <w:p w14:paraId="122254A2" w14:textId="77777777" w:rsidR="008637EF" w:rsidRPr="00897C81" w:rsidRDefault="008637EF" w:rsidP="005A7661">
            <w:pPr>
              <w:rPr>
                <w:b/>
                <w:bCs/>
              </w:rPr>
            </w:pPr>
            <w:r w:rsidRPr="00897C81">
              <w:rPr>
                <w:b/>
                <w:bCs/>
              </w:rPr>
              <w:t xml:space="preserve">Résumé </w:t>
            </w:r>
          </w:p>
        </w:tc>
        <w:tc>
          <w:tcPr>
            <w:tcW w:w="6019" w:type="dxa"/>
          </w:tcPr>
          <w:p w14:paraId="4A158A65" w14:textId="77777777" w:rsidR="008637EF" w:rsidRPr="00793A5D" w:rsidRDefault="008637EF" w:rsidP="005A7661">
            <w:r w:rsidRPr="00793A5D">
              <w:t>Cette loi établit les règles applicables au transport routier des matières dangereuses, en conformité avec les normes internationales. Elle prévoit :</w:t>
            </w:r>
          </w:p>
          <w:p w14:paraId="376B105F" w14:textId="77777777" w:rsidR="008637EF" w:rsidRPr="00793A5D" w:rsidRDefault="008637EF" w:rsidP="005A7661">
            <w:pPr>
              <w:pStyle w:val="Tirets"/>
              <w:spacing w:line="240" w:lineRule="auto"/>
              <w:ind w:left="313"/>
            </w:pPr>
            <w:r w:rsidRPr="00793A5D">
              <w:t>l’obtention d’autorisations spécifiques ;</w:t>
            </w:r>
          </w:p>
          <w:p w14:paraId="215FD186" w14:textId="77777777" w:rsidR="008637EF" w:rsidRPr="00793A5D" w:rsidRDefault="008637EF" w:rsidP="005A7661">
            <w:pPr>
              <w:pStyle w:val="Tirets"/>
              <w:spacing w:line="240" w:lineRule="auto"/>
              <w:ind w:left="313"/>
            </w:pPr>
            <w:r w:rsidRPr="00793A5D">
              <w:t>l’utilisation de dispositifs de signalisation appropriés ;</w:t>
            </w:r>
          </w:p>
          <w:p w14:paraId="73F5C051" w14:textId="77777777" w:rsidR="008637EF" w:rsidRPr="00793A5D" w:rsidRDefault="008637EF" w:rsidP="005A7661">
            <w:pPr>
              <w:pStyle w:val="Tirets"/>
              <w:spacing w:line="240" w:lineRule="auto"/>
              <w:ind w:left="313"/>
            </w:pPr>
            <w:r w:rsidRPr="00793A5D">
              <w:t>une formation obligatoire des conducteurs ;</w:t>
            </w:r>
          </w:p>
          <w:p w14:paraId="35DFDDEF" w14:textId="77777777" w:rsidR="008637EF" w:rsidRPr="00C2339A" w:rsidRDefault="008637EF" w:rsidP="005A7661">
            <w:pPr>
              <w:pStyle w:val="Tirets"/>
              <w:spacing w:line="240" w:lineRule="auto"/>
              <w:ind w:left="313"/>
            </w:pPr>
            <w:r w:rsidRPr="00793A5D">
              <w:t>l’élaboration de plans d’intervention d’urgence.</w:t>
            </w:r>
            <w:r w:rsidRPr="00793A5D">
              <w:br/>
              <w:t>Son objectif est de réduire les risques pour la santé, la sécurité publique et l’environnement.</w:t>
            </w:r>
          </w:p>
        </w:tc>
      </w:tr>
      <w:tr w:rsidR="008637EF" w:rsidRPr="00F9254B" w14:paraId="18DF4C4D" w14:textId="77777777" w:rsidTr="005A7661">
        <w:tc>
          <w:tcPr>
            <w:tcW w:w="3043" w:type="dxa"/>
          </w:tcPr>
          <w:p w14:paraId="2AE69377" w14:textId="77777777" w:rsidR="008637EF" w:rsidRPr="00897C81" w:rsidRDefault="008637EF" w:rsidP="005A7661">
            <w:pPr>
              <w:rPr>
                <w:b/>
                <w:bCs/>
              </w:rPr>
            </w:pPr>
            <w:r w:rsidRPr="00897C81">
              <w:rPr>
                <w:b/>
                <w:bCs/>
              </w:rPr>
              <w:t>Applicabilité</w:t>
            </w:r>
          </w:p>
        </w:tc>
        <w:tc>
          <w:tcPr>
            <w:tcW w:w="6019" w:type="dxa"/>
          </w:tcPr>
          <w:p w14:paraId="6AB41039" w14:textId="6839A16D" w:rsidR="008637EF" w:rsidRPr="00C2339A" w:rsidRDefault="008637EF" w:rsidP="005A7661">
            <w:r w:rsidRPr="00793A5D">
              <w:t xml:space="preserve">Le projet </w:t>
            </w:r>
            <w:r w:rsidR="00AE6B74" w:rsidRPr="00BD4D87">
              <w:t>de modernisation et d’extension des infrastructures aéroportuaires</w:t>
            </w:r>
            <w:r w:rsidR="00AE6B74" w:rsidRPr="004637C7">
              <w:t xml:space="preserve"> </w:t>
            </w:r>
            <w:r w:rsidRPr="00793A5D">
              <w:t xml:space="preserve">de l’aéroport </w:t>
            </w:r>
            <w:r w:rsidR="00EE6509">
              <w:t>Marrakech Ménara</w:t>
            </w:r>
            <w:r w:rsidR="00EE6509" w:rsidRPr="00793A5D">
              <w:t xml:space="preserve"> </w:t>
            </w:r>
            <w:r w:rsidRPr="00793A5D">
              <w:t>pourrait impliquer le transport de marchandises dangereuses (carburants, huiles, produits chimiques, peintures, solvants) pendant la phase de construction et d’exploitation. Cette loi s’applique donc aux transporteurs et prestataires intervenant sur le projet.</w:t>
            </w:r>
          </w:p>
        </w:tc>
      </w:tr>
      <w:tr w:rsidR="008637EF" w:rsidRPr="00F9254B" w14:paraId="69DFD183" w14:textId="77777777" w:rsidTr="005A7661">
        <w:tc>
          <w:tcPr>
            <w:tcW w:w="3043" w:type="dxa"/>
          </w:tcPr>
          <w:p w14:paraId="497EE789" w14:textId="77777777" w:rsidR="008637EF" w:rsidRPr="00897C81" w:rsidRDefault="008637EF" w:rsidP="005A7661">
            <w:pPr>
              <w:rPr>
                <w:b/>
                <w:bCs/>
              </w:rPr>
            </w:pPr>
            <w:r w:rsidRPr="00897C81">
              <w:rPr>
                <w:b/>
                <w:bCs/>
              </w:rPr>
              <w:t>Exigences de conformité</w:t>
            </w:r>
          </w:p>
        </w:tc>
        <w:tc>
          <w:tcPr>
            <w:tcW w:w="6019" w:type="dxa"/>
          </w:tcPr>
          <w:p w14:paraId="24854A23" w14:textId="77777777" w:rsidR="008637EF" w:rsidRPr="00793A5D" w:rsidRDefault="008637EF" w:rsidP="005A7661">
            <w:r w:rsidRPr="00793A5D">
              <w:t>Le maître d’ouvrage et l’EPC devront, le cas échéant :</w:t>
            </w:r>
          </w:p>
          <w:p w14:paraId="2879F29D" w14:textId="77777777" w:rsidR="008637EF" w:rsidRPr="00793A5D" w:rsidRDefault="008637EF" w:rsidP="005A7661">
            <w:pPr>
              <w:pStyle w:val="Tirets"/>
              <w:spacing w:line="240" w:lineRule="auto"/>
              <w:ind w:left="313"/>
            </w:pPr>
            <w:r w:rsidRPr="00793A5D">
              <w:t>recourir uniquement à des transporteurs agréés et disposant des autorisations nécessaires ;</w:t>
            </w:r>
          </w:p>
          <w:p w14:paraId="695D38F7" w14:textId="77777777" w:rsidR="008637EF" w:rsidRPr="00793A5D" w:rsidRDefault="008637EF" w:rsidP="005A7661">
            <w:pPr>
              <w:pStyle w:val="Tirets"/>
              <w:spacing w:line="240" w:lineRule="auto"/>
              <w:ind w:left="313"/>
            </w:pPr>
            <w:r w:rsidRPr="00793A5D">
              <w:t>s’assurer que les véhicules de transport respectent les normes de signalisation et d’équipement ;</w:t>
            </w:r>
          </w:p>
          <w:p w14:paraId="385F43F5" w14:textId="77777777" w:rsidR="008637EF" w:rsidRPr="00793A5D" w:rsidRDefault="008637EF" w:rsidP="005A7661">
            <w:pPr>
              <w:pStyle w:val="Tirets"/>
              <w:spacing w:line="240" w:lineRule="auto"/>
              <w:ind w:left="313"/>
            </w:pPr>
            <w:r w:rsidRPr="00793A5D">
              <w:t>vérifier que les conducteurs sont formés et certifiés pour le transport de matières dangereuses ;</w:t>
            </w:r>
          </w:p>
          <w:p w14:paraId="39BEDAE2" w14:textId="77777777" w:rsidR="008637EF" w:rsidRPr="00C2339A" w:rsidRDefault="008637EF" w:rsidP="005A7661">
            <w:pPr>
              <w:pStyle w:val="Tirets"/>
              <w:spacing w:line="240" w:lineRule="auto"/>
              <w:ind w:left="313"/>
            </w:pPr>
            <w:r w:rsidRPr="00793A5D">
              <w:t>intégrer des procédures d’urgence et un plan d’intervention en cas d’accident lors du transport de produits dangereux.</w:t>
            </w:r>
          </w:p>
        </w:tc>
      </w:tr>
    </w:tbl>
    <w:p w14:paraId="4A757E62" w14:textId="77777777" w:rsidR="008637EF" w:rsidRDefault="008637EF" w:rsidP="008637EF">
      <w:pPr>
        <w:pStyle w:val="Title3"/>
      </w:pPr>
      <w:bookmarkStart w:id="82" w:name="_Toc215131802"/>
      <w:r>
        <w:t>Santé et sécurité au travail</w:t>
      </w:r>
      <w:bookmarkEnd w:id="82"/>
    </w:p>
    <w:tbl>
      <w:tblPr>
        <w:tblStyle w:val="Grilledetableauclaire"/>
        <w:tblW w:w="0" w:type="auto"/>
        <w:tblLook w:val="04A0" w:firstRow="1" w:lastRow="0" w:firstColumn="1" w:lastColumn="0" w:noHBand="0" w:noVBand="1"/>
      </w:tblPr>
      <w:tblGrid>
        <w:gridCol w:w="3043"/>
        <w:gridCol w:w="6019"/>
      </w:tblGrid>
      <w:tr w:rsidR="008637EF" w:rsidRPr="00897C81" w14:paraId="40C5F335" w14:textId="77777777" w:rsidTr="005A7661">
        <w:tc>
          <w:tcPr>
            <w:tcW w:w="9062" w:type="dxa"/>
            <w:gridSpan w:val="2"/>
          </w:tcPr>
          <w:p w14:paraId="187E4FBE" w14:textId="77777777" w:rsidR="008637EF" w:rsidRPr="004637C7" w:rsidRDefault="008637EF" w:rsidP="005A7661">
            <w:pPr>
              <w:spacing w:after="0"/>
              <w:rPr>
                <w:b/>
                <w:bCs/>
                <w:color w:val="323E4F" w:themeColor="text2" w:themeShade="BF"/>
              </w:rPr>
            </w:pPr>
            <w:r w:rsidRPr="004637C7">
              <w:rPr>
                <w:b/>
                <w:bCs/>
                <w:color w:val="323E4F" w:themeColor="text2" w:themeShade="BF"/>
              </w:rPr>
              <w:t>Loi n°65-99 relative au Code du Travail et son décret d’application</w:t>
            </w:r>
          </w:p>
        </w:tc>
      </w:tr>
      <w:tr w:rsidR="008637EF" w:rsidRPr="00F9254B" w14:paraId="4A8CFE6D" w14:textId="77777777" w:rsidTr="005A7661">
        <w:tc>
          <w:tcPr>
            <w:tcW w:w="3043" w:type="dxa"/>
          </w:tcPr>
          <w:p w14:paraId="0510012A" w14:textId="77777777" w:rsidR="008637EF" w:rsidRPr="00897C81" w:rsidRDefault="008637EF" w:rsidP="005A7661">
            <w:pPr>
              <w:rPr>
                <w:b/>
                <w:bCs/>
              </w:rPr>
            </w:pPr>
            <w:r w:rsidRPr="00897C81">
              <w:rPr>
                <w:b/>
                <w:bCs/>
              </w:rPr>
              <w:t xml:space="preserve">Résumé </w:t>
            </w:r>
          </w:p>
        </w:tc>
        <w:tc>
          <w:tcPr>
            <w:tcW w:w="6019" w:type="dxa"/>
          </w:tcPr>
          <w:p w14:paraId="5209519E" w14:textId="77777777" w:rsidR="008637EF" w:rsidRPr="00F9254B" w:rsidRDefault="008637EF" w:rsidP="005A7661">
            <w:pPr>
              <w:pStyle w:val="Tirets"/>
              <w:numPr>
                <w:ilvl w:val="0"/>
                <w:numId w:val="0"/>
              </w:numPr>
            </w:pPr>
            <w:r w:rsidRPr="002E0164">
              <w:t>Promulgué par le Dahir n°1-03-194 du 11 septembre 2003 et publié au BO n°5210 du 6 mai 2004, le Code du Travail s’aligne sur la Constitution et les conventions internationales de l’OIT et des Nations Unies. Il encadre les relations de travail, fixe les droits et devoirs des employeurs et salariés, et définit les règles en matière de contrats, salaires, conditions de travail, hygiène et sécurité.</w:t>
            </w:r>
          </w:p>
        </w:tc>
      </w:tr>
      <w:tr w:rsidR="008637EF" w:rsidRPr="00F9254B" w14:paraId="548F445E" w14:textId="77777777" w:rsidTr="005A7661">
        <w:tc>
          <w:tcPr>
            <w:tcW w:w="3043" w:type="dxa"/>
          </w:tcPr>
          <w:p w14:paraId="1E09883F" w14:textId="77777777" w:rsidR="008637EF" w:rsidRPr="00897C81" w:rsidRDefault="008637EF" w:rsidP="005A7661">
            <w:pPr>
              <w:rPr>
                <w:b/>
                <w:bCs/>
              </w:rPr>
            </w:pPr>
            <w:r w:rsidRPr="00897C81">
              <w:rPr>
                <w:b/>
                <w:bCs/>
              </w:rPr>
              <w:t>Applicabilité</w:t>
            </w:r>
          </w:p>
        </w:tc>
        <w:tc>
          <w:tcPr>
            <w:tcW w:w="6019" w:type="dxa"/>
          </w:tcPr>
          <w:p w14:paraId="6EBC9AE5" w14:textId="15B109BD" w:rsidR="008637EF" w:rsidRPr="00F9254B" w:rsidRDefault="008637EF" w:rsidP="005A7661">
            <w:r w:rsidRPr="002E0164">
              <w:t xml:space="preserve">Le projet </w:t>
            </w:r>
            <w:r w:rsidR="00AE6B74" w:rsidRPr="00BD4D87">
              <w:t>de modernisation et d’extension des infrastructures aéroportuaires</w:t>
            </w:r>
            <w:r w:rsidR="00AE6B74" w:rsidRPr="004637C7">
              <w:t xml:space="preserve"> </w:t>
            </w:r>
            <w:r w:rsidRPr="002E0164">
              <w:t xml:space="preserve">de l’aéroport </w:t>
            </w:r>
            <w:r w:rsidR="00EE6509">
              <w:t>Marrakech Ménara</w:t>
            </w:r>
            <w:r w:rsidR="00EE6509" w:rsidRPr="002E0164">
              <w:t xml:space="preserve"> </w:t>
            </w:r>
            <w:r w:rsidRPr="002E0164">
              <w:t>implique le recours à de la main-d’œuvre salariée durant la construction et l’exploitation. Le Code du Travail s’applique pour encadrer les conditions de travail, la sécurité et les droits sociaux.</w:t>
            </w:r>
          </w:p>
        </w:tc>
      </w:tr>
      <w:tr w:rsidR="008637EF" w:rsidRPr="00F9254B" w14:paraId="2EC8A7D8" w14:textId="77777777" w:rsidTr="005A7661">
        <w:tc>
          <w:tcPr>
            <w:tcW w:w="3043" w:type="dxa"/>
          </w:tcPr>
          <w:p w14:paraId="173EA9AF" w14:textId="77777777" w:rsidR="008637EF" w:rsidRPr="00897C81" w:rsidRDefault="008637EF" w:rsidP="005A7661">
            <w:pPr>
              <w:rPr>
                <w:b/>
                <w:bCs/>
              </w:rPr>
            </w:pPr>
            <w:r w:rsidRPr="00897C81">
              <w:rPr>
                <w:b/>
                <w:bCs/>
              </w:rPr>
              <w:lastRenderedPageBreak/>
              <w:t>Exigences de conformité</w:t>
            </w:r>
          </w:p>
        </w:tc>
        <w:tc>
          <w:tcPr>
            <w:tcW w:w="6019" w:type="dxa"/>
          </w:tcPr>
          <w:p w14:paraId="5A0068C1" w14:textId="77777777" w:rsidR="008637EF" w:rsidRPr="00273BD5" w:rsidRDefault="008637EF" w:rsidP="005A7661">
            <w:r w:rsidRPr="00273BD5">
              <w:t>Le maître d’ouvrage et l’EPC devront :</w:t>
            </w:r>
          </w:p>
          <w:p w14:paraId="5CBF8735" w14:textId="77777777" w:rsidR="008637EF" w:rsidRPr="002E0164" w:rsidRDefault="008637EF" w:rsidP="005A7661">
            <w:pPr>
              <w:pStyle w:val="Tirets"/>
              <w:spacing w:line="240" w:lineRule="auto"/>
              <w:ind w:left="313"/>
            </w:pPr>
            <w:r w:rsidRPr="002E0164">
              <w:t>respecter les dispositions du Code du Travail en matière de contrats, rémunération et droits sociaux ;</w:t>
            </w:r>
          </w:p>
          <w:p w14:paraId="3AB2E6F4" w14:textId="77777777" w:rsidR="008637EF" w:rsidRPr="002E0164" w:rsidRDefault="008637EF" w:rsidP="005A7661">
            <w:pPr>
              <w:pStyle w:val="Tirets"/>
              <w:spacing w:line="240" w:lineRule="auto"/>
              <w:ind w:left="313"/>
            </w:pPr>
            <w:r w:rsidRPr="002E0164">
              <w:t>appliquer les règles de santé, hygiène et sécurité au travail ;</w:t>
            </w:r>
          </w:p>
          <w:p w14:paraId="7C52EB4A" w14:textId="77777777" w:rsidR="008637EF" w:rsidRPr="002E0164" w:rsidRDefault="008637EF" w:rsidP="005A7661">
            <w:pPr>
              <w:pStyle w:val="Tirets"/>
              <w:spacing w:line="240" w:lineRule="auto"/>
              <w:ind w:left="313"/>
            </w:pPr>
            <w:r w:rsidRPr="002E0164">
              <w:t>coopérer avec l’Inspection du travail en cas de contrôle ;</w:t>
            </w:r>
          </w:p>
          <w:p w14:paraId="14196F1F" w14:textId="77777777" w:rsidR="008637EF" w:rsidRPr="00F9254B" w:rsidRDefault="008637EF" w:rsidP="005A7661">
            <w:pPr>
              <w:pStyle w:val="Tirets"/>
              <w:spacing w:line="240" w:lineRule="auto"/>
              <w:ind w:left="313"/>
            </w:pPr>
            <w:r w:rsidRPr="002E0164">
              <w:t>se conformer aux décrets d’application, notamment sur la durée du travail, congés et conditions de rupture.</w:t>
            </w:r>
          </w:p>
        </w:tc>
      </w:tr>
      <w:tr w:rsidR="008637EF" w:rsidRPr="00897C81" w14:paraId="24E36AF5" w14:textId="77777777" w:rsidTr="005A7661">
        <w:tc>
          <w:tcPr>
            <w:tcW w:w="9062" w:type="dxa"/>
            <w:gridSpan w:val="2"/>
          </w:tcPr>
          <w:p w14:paraId="62DBCA0E" w14:textId="77777777" w:rsidR="008637EF" w:rsidRPr="004637C7" w:rsidRDefault="008637EF" w:rsidP="005A7661">
            <w:pPr>
              <w:spacing w:after="0"/>
              <w:rPr>
                <w:b/>
                <w:bCs/>
                <w:color w:val="323E4F" w:themeColor="text2" w:themeShade="BF"/>
              </w:rPr>
            </w:pPr>
            <w:r w:rsidRPr="004637C7">
              <w:rPr>
                <w:b/>
                <w:bCs/>
                <w:color w:val="323E4F" w:themeColor="text2" w:themeShade="BF"/>
              </w:rPr>
              <w:t>Loi n°18-12 modifiant et complétant la loi n°06-03 relative à la réparation des accidents de travail</w:t>
            </w:r>
          </w:p>
        </w:tc>
      </w:tr>
      <w:tr w:rsidR="008637EF" w:rsidRPr="00C2339A" w14:paraId="0DF227D9" w14:textId="77777777" w:rsidTr="005A7661">
        <w:tc>
          <w:tcPr>
            <w:tcW w:w="3043" w:type="dxa"/>
          </w:tcPr>
          <w:p w14:paraId="438AF3BF" w14:textId="77777777" w:rsidR="008637EF" w:rsidRPr="00897C81" w:rsidRDefault="008637EF" w:rsidP="005A7661">
            <w:pPr>
              <w:rPr>
                <w:b/>
                <w:bCs/>
              </w:rPr>
            </w:pPr>
            <w:r w:rsidRPr="00897C81">
              <w:rPr>
                <w:b/>
                <w:bCs/>
              </w:rPr>
              <w:t xml:space="preserve">Résumé </w:t>
            </w:r>
          </w:p>
        </w:tc>
        <w:tc>
          <w:tcPr>
            <w:tcW w:w="6019" w:type="dxa"/>
          </w:tcPr>
          <w:p w14:paraId="44B5CFD0" w14:textId="77777777" w:rsidR="008637EF" w:rsidRPr="00C2339A" w:rsidRDefault="008637EF" w:rsidP="005A7661">
            <w:r w:rsidRPr="002E0164">
              <w:t xml:space="preserve">Cette loi </w:t>
            </w:r>
            <w:r>
              <w:t>reforme</w:t>
            </w:r>
            <w:r w:rsidRPr="002E0164">
              <w:t xml:space="preserve"> le régime des accidents de travail, en imposant une couverture obligatoire par assurance, une procédure de conciliation préalable et un délai strict de 30 jours pour l’indemnisation par l’assureur. Elle fixe les obligations d’information et de déclaration de l’accident par la victime et par l’employeur.</w:t>
            </w:r>
          </w:p>
        </w:tc>
      </w:tr>
      <w:tr w:rsidR="008637EF" w:rsidRPr="00C2339A" w14:paraId="4FFC90CD" w14:textId="77777777" w:rsidTr="005A7661">
        <w:tc>
          <w:tcPr>
            <w:tcW w:w="3043" w:type="dxa"/>
          </w:tcPr>
          <w:p w14:paraId="1DEF55AC" w14:textId="77777777" w:rsidR="008637EF" w:rsidRPr="00897C81" w:rsidRDefault="008637EF" w:rsidP="005A7661">
            <w:pPr>
              <w:rPr>
                <w:b/>
                <w:bCs/>
              </w:rPr>
            </w:pPr>
            <w:r w:rsidRPr="00897C81">
              <w:rPr>
                <w:b/>
                <w:bCs/>
              </w:rPr>
              <w:t>Applicabilité</w:t>
            </w:r>
          </w:p>
        </w:tc>
        <w:tc>
          <w:tcPr>
            <w:tcW w:w="6019" w:type="dxa"/>
          </w:tcPr>
          <w:p w14:paraId="01B676EA" w14:textId="77777777" w:rsidR="008637EF" w:rsidRPr="00C2339A" w:rsidRDefault="008637EF" w:rsidP="005A7661">
            <w:r w:rsidRPr="002E0164">
              <w:t>Les travaux du projet présentent des risques d’accidents pour les ouvriers et employés. Cette loi s’applique à tout employeur assujetti au régime de la sécurité sociale.</w:t>
            </w:r>
          </w:p>
        </w:tc>
      </w:tr>
      <w:tr w:rsidR="008637EF" w:rsidRPr="00C2339A" w14:paraId="76896BC8" w14:textId="77777777" w:rsidTr="005A7661">
        <w:tc>
          <w:tcPr>
            <w:tcW w:w="3043" w:type="dxa"/>
          </w:tcPr>
          <w:p w14:paraId="274BDF3E" w14:textId="77777777" w:rsidR="008637EF" w:rsidRPr="00897C81" w:rsidRDefault="008637EF" w:rsidP="005A7661">
            <w:pPr>
              <w:rPr>
                <w:b/>
                <w:bCs/>
              </w:rPr>
            </w:pPr>
            <w:r w:rsidRPr="00897C81">
              <w:rPr>
                <w:b/>
                <w:bCs/>
              </w:rPr>
              <w:t>Exigences de conformité</w:t>
            </w:r>
          </w:p>
        </w:tc>
        <w:tc>
          <w:tcPr>
            <w:tcW w:w="6019" w:type="dxa"/>
          </w:tcPr>
          <w:p w14:paraId="24C0250B" w14:textId="77777777" w:rsidR="008637EF" w:rsidRPr="00273BD5" w:rsidRDefault="008637EF" w:rsidP="005A7661">
            <w:r w:rsidRPr="00273BD5">
              <w:t>Le maître d’ouvrage et l’EPC devront :</w:t>
            </w:r>
          </w:p>
          <w:p w14:paraId="7A59D076" w14:textId="77777777" w:rsidR="008637EF" w:rsidRPr="002E0164" w:rsidRDefault="008637EF" w:rsidP="005A7661">
            <w:pPr>
              <w:pStyle w:val="Tirets"/>
              <w:spacing w:line="240" w:lineRule="auto"/>
              <w:ind w:left="313"/>
            </w:pPr>
            <w:r w:rsidRPr="002E0164">
              <w:t>souscrire une assurance couvrant les accidents de travail ;</w:t>
            </w:r>
          </w:p>
          <w:p w14:paraId="629F4B48" w14:textId="77777777" w:rsidR="008637EF" w:rsidRPr="002E0164" w:rsidRDefault="008637EF" w:rsidP="005A7661">
            <w:pPr>
              <w:pStyle w:val="Tirets"/>
              <w:spacing w:line="240" w:lineRule="auto"/>
              <w:ind w:left="313"/>
            </w:pPr>
            <w:r w:rsidRPr="002E0164">
              <w:t>déclarer tout accident dans les délais légaux</w:t>
            </w:r>
            <w:r>
              <w:t xml:space="preserve"> </w:t>
            </w:r>
            <w:r w:rsidRPr="002E0164">
              <w:t>;</w:t>
            </w:r>
          </w:p>
          <w:p w14:paraId="1417F249" w14:textId="77777777" w:rsidR="008637EF" w:rsidRPr="002E0164" w:rsidRDefault="008637EF" w:rsidP="005A7661">
            <w:pPr>
              <w:pStyle w:val="Tirets"/>
              <w:spacing w:line="240" w:lineRule="auto"/>
              <w:ind w:left="313"/>
            </w:pPr>
            <w:r w:rsidRPr="002E0164">
              <w:t>respecter la procédure de conciliation avec les assureurs ;</w:t>
            </w:r>
          </w:p>
          <w:p w14:paraId="75B687EC" w14:textId="77777777" w:rsidR="008637EF" w:rsidRPr="00C2339A" w:rsidRDefault="008637EF" w:rsidP="005A7661">
            <w:pPr>
              <w:pStyle w:val="Tirets"/>
              <w:spacing w:line="240" w:lineRule="auto"/>
              <w:ind w:left="313"/>
            </w:pPr>
            <w:r w:rsidRPr="002E0164">
              <w:t>garantir à la victime et ses ayants droit l’accès aux indemnités et remboursements.</w:t>
            </w:r>
          </w:p>
        </w:tc>
      </w:tr>
      <w:tr w:rsidR="008637EF" w:rsidRPr="00897C81" w14:paraId="33B7B91A" w14:textId="77777777" w:rsidTr="005A7661">
        <w:tc>
          <w:tcPr>
            <w:tcW w:w="9062" w:type="dxa"/>
            <w:gridSpan w:val="2"/>
          </w:tcPr>
          <w:p w14:paraId="10F8CC06" w14:textId="77777777" w:rsidR="008637EF" w:rsidRPr="004637C7" w:rsidRDefault="008637EF" w:rsidP="005A7661">
            <w:pPr>
              <w:spacing w:after="0"/>
              <w:rPr>
                <w:b/>
                <w:bCs/>
                <w:color w:val="323E4F" w:themeColor="text2" w:themeShade="BF"/>
              </w:rPr>
            </w:pPr>
            <w:r w:rsidRPr="004637C7">
              <w:rPr>
                <w:b/>
                <w:bCs/>
                <w:color w:val="323E4F" w:themeColor="text2" w:themeShade="BF"/>
              </w:rPr>
              <w:t>Loi n°76-15 du 22 février 2018 relative à la réorganisation du Conseil national des droits de l’Homme</w:t>
            </w:r>
          </w:p>
        </w:tc>
      </w:tr>
      <w:tr w:rsidR="008637EF" w:rsidRPr="00C2339A" w14:paraId="0FDD7136" w14:textId="77777777" w:rsidTr="005A7661">
        <w:tc>
          <w:tcPr>
            <w:tcW w:w="3043" w:type="dxa"/>
          </w:tcPr>
          <w:p w14:paraId="2A44F9C1" w14:textId="77777777" w:rsidR="008637EF" w:rsidRPr="00897C81" w:rsidRDefault="008637EF" w:rsidP="005A7661">
            <w:pPr>
              <w:rPr>
                <w:b/>
                <w:bCs/>
              </w:rPr>
            </w:pPr>
            <w:r w:rsidRPr="00897C81">
              <w:rPr>
                <w:b/>
                <w:bCs/>
              </w:rPr>
              <w:t xml:space="preserve">Résumé </w:t>
            </w:r>
          </w:p>
        </w:tc>
        <w:tc>
          <w:tcPr>
            <w:tcW w:w="6019" w:type="dxa"/>
          </w:tcPr>
          <w:p w14:paraId="332E3CC0" w14:textId="77777777" w:rsidR="008637EF" w:rsidRPr="00C2339A" w:rsidRDefault="008637EF" w:rsidP="005A7661">
            <w:r w:rsidRPr="002E0164">
              <w:t>Cette loi confère au C</w:t>
            </w:r>
            <w:r>
              <w:t xml:space="preserve">onseil National des </w:t>
            </w:r>
            <w:r w:rsidRPr="002E0164">
              <w:t>D</w:t>
            </w:r>
            <w:r>
              <w:t>roits de l’</w:t>
            </w:r>
            <w:r w:rsidRPr="002E0164">
              <w:t>H</w:t>
            </w:r>
            <w:r>
              <w:t>omme</w:t>
            </w:r>
            <w:r w:rsidRPr="002E0164">
              <w:t xml:space="preserve"> des attributions de protection et de promotion des droits humains. Elle crée plusieurs mécanismes nationaux : prévention contre la torture, recours en cas de violation des droits de l’enfant, protection des droits des personnes en situation de handicap.</w:t>
            </w:r>
          </w:p>
        </w:tc>
      </w:tr>
      <w:tr w:rsidR="008637EF" w:rsidRPr="00C2339A" w14:paraId="5A5ECCC1" w14:textId="77777777" w:rsidTr="005A7661">
        <w:tc>
          <w:tcPr>
            <w:tcW w:w="3043" w:type="dxa"/>
          </w:tcPr>
          <w:p w14:paraId="3D4CE7D4" w14:textId="77777777" w:rsidR="008637EF" w:rsidRPr="00897C81" w:rsidRDefault="008637EF" w:rsidP="005A7661">
            <w:pPr>
              <w:rPr>
                <w:b/>
                <w:bCs/>
              </w:rPr>
            </w:pPr>
            <w:r w:rsidRPr="00897C81">
              <w:rPr>
                <w:b/>
                <w:bCs/>
              </w:rPr>
              <w:t>Applicabilité</w:t>
            </w:r>
          </w:p>
        </w:tc>
        <w:tc>
          <w:tcPr>
            <w:tcW w:w="6019" w:type="dxa"/>
          </w:tcPr>
          <w:p w14:paraId="4A66873B" w14:textId="77777777" w:rsidR="008637EF" w:rsidRPr="00C2339A" w:rsidRDefault="008637EF" w:rsidP="005A7661">
            <w:r w:rsidRPr="002E0164">
              <w:t>Le projet peut avoir des implications sociales et humaines (conditions de travail, droits des communautés, non-discrimination). La loi constitue un cadre de référence garantissant que le projet respecte les droits fondamentaux.</w:t>
            </w:r>
          </w:p>
        </w:tc>
      </w:tr>
      <w:tr w:rsidR="008637EF" w:rsidRPr="00C2339A" w14:paraId="14B06993" w14:textId="77777777" w:rsidTr="005A7661">
        <w:tc>
          <w:tcPr>
            <w:tcW w:w="3043" w:type="dxa"/>
          </w:tcPr>
          <w:p w14:paraId="01E1FEA7" w14:textId="77777777" w:rsidR="008637EF" w:rsidRPr="00897C81" w:rsidRDefault="008637EF" w:rsidP="005A7661">
            <w:pPr>
              <w:rPr>
                <w:b/>
                <w:bCs/>
              </w:rPr>
            </w:pPr>
            <w:r w:rsidRPr="00897C81">
              <w:rPr>
                <w:b/>
                <w:bCs/>
              </w:rPr>
              <w:t>Exigences de conformité</w:t>
            </w:r>
          </w:p>
        </w:tc>
        <w:tc>
          <w:tcPr>
            <w:tcW w:w="6019" w:type="dxa"/>
          </w:tcPr>
          <w:p w14:paraId="55F30DC8" w14:textId="77777777" w:rsidR="008637EF" w:rsidRPr="00273BD5" w:rsidRDefault="008637EF" w:rsidP="005A7661">
            <w:r w:rsidRPr="00273BD5">
              <w:t>Le maître d’ouvrage et l’EPC devront :</w:t>
            </w:r>
          </w:p>
          <w:p w14:paraId="68648593" w14:textId="77777777" w:rsidR="008637EF" w:rsidRPr="002E0164" w:rsidRDefault="008637EF" w:rsidP="005A7661">
            <w:pPr>
              <w:pStyle w:val="Tirets"/>
              <w:spacing w:line="240" w:lineRule="auto"/>
              <w:ind w:left="313"/>
            </w:pPr>
            <w:r w:rsidRPr="002E0164">
              <w:t>respecter les principes de non-discrimination et d’égalité de traitement ;</w:t>
            </w:r>
          </w:p>
          <w:p w14:paraId="73655A07" w14:textId="77777777" w:rsidR="008637EF" w:rsidRPr="002E0164" w:rsidRDefault="008637EF" w:rsidP="005A7661">
            <w:pPr>
              <w:pStyle w:val="Tirets"/>
              <w:spacing w:line="240" w:lineRule="auto"/>
              <w:ind w:left="313"/>
            </w:pPr>
            <w:r w:rsidRPr="002E0164">
              <w:lastRenderedPageBreak/>
              <w:t>assurer la protection des droits des travailleurs et des populations locales ;</w:t>
            </w:r>
          </w:p>
          <w:p w14:paraId="123BA187" w14:textId="77777777" w:rsidR="008637EF" w:rsidRPr="00C2339A" w:rsidRDefault="008637EF" w:rsidP="005A7661">
            <w:pPr>
              <w:pStyle w:val="Tirets"/>
              <w:spacing w:line="240" w:lineRule="auto"/>
              <w:ind w:left="313"/>
            </w:pPr>
            <w:r w:rsidRPr="002E0164">
              <w:t>coopérer avec les institutions nationales en cas de recours ou de plainte.</w:t>
            </w:r>
          </w:p>
        </w:tc>
      </w:tr>
      <w:tr w:rsidR="008637EF" w:rsidRPr="00C2339A" w14:paraId="71CE6824" w14:textId="77777777" w:rsidTr="005A7661">
        <w:tc>
          <w:tcPr>
            <w:tcW w:w="9062" w:type="dxa"/>
            <w:gridSpan w:val="2"/>
          </w:tcPr>
          <w:p w14:paraId="4ECEE25A" w14:textId="77777777" w:rsidR="008637EF" w:rsidRPr="004637C7" w:rsidRDefault="008637EF" w:rsidP="005A7661">
            <w:r w:rsidRPr="004637C7">
              <w:rPr>
                <w:b/>
                <w:bCs/>
                <w:color w:val="323E4F" w:themeColor="text2" w:themeShade="BF"/>
              </w:rPr>
              <w:lastRenderedPageBreak/>
              <w:t>Décret n°2-04-469 du 29 décembre 2004 relatif au délai de préavis pour la rupture d’un CDI</w:t>
            </w:r>
          </w:p>
        </w:tc>
      </w:tr>
      <w:tr w:rsidR="008637EF" w:rsidRPr="00C2339A" w14:paraId="12AE1F4F" w14:textId="77777777" w:rsidTr="005A7661">
        <w:tc>
          <w:tcPr>
            <w:tcW w:w="3043" w:type="dxa"/>
          </w:tcPr>
          <w:p w14:paraId="167E17EE" w14:textId="77777777" w:rsidR="008637EF" w:rsidRPr="00897C81" w:rsidRDefault="008637EF" w:rsidP="005A7661">
            <w:pPr>
              <w:rPr>
                <w:b/>
                <w:bCs/>
              </w:rPr>
            </w:pPr>
            <w:r w:rsidRPr="00897C81">
              <w:rPr>
                <w:b/>
                <w:bCs/>
              </w:rPr>
              <w:t xml:space="preserve">Résumé </w:t>
            </w:r>
          </w:p>
        </w:tc>
        <w:tc>
          <w:tcPr>
            <w:tcW w:w="6019" w:type="dxa"/>
          </w:tcPr>
          <w:p w14:paraId="7E68B9D5" w14:textId="77777777" w:rsidR="008637EF" w:rsidRPr="0033486E" w:rsidRDefault="008637EF" w:rsidP="005A7661">
            <w:r w:rsidRPr="0033486E">
              <w:t>Pris en application de l’article 43 du Code du Travail, ce décret fixe les délais de préavis en cas de rupture unilatérale d’un contrat à durée indéterminée : de 1 à 3 mois pour les cadres selon l’ancienneté, et de 8 jours à 2 mois pour les employés et ouvriers. Il abroge les anciens textes de 1951 et 1975.</w:t>
            </w:r>
          </w:p>
        </w:tc>
      </w:tr>
      <w:tr w:rsidR="008637EF" w:rsidRPr="00C2339A" w14:paraId="3852C6D8" w14:textId="77777777" w:rsidTr="005A7661">
        <w:tc>
          <w:tcPr>
            <w:tcW w:w="3043" w:type="dxa"/>
          </w:tcPr>
          <w:p w14:paraId="3CF3E826" w14:textId="77777777" w:rsidR="008637EF" w:rsidRPr="00897C81" w:rsidRDefault="008637EF" w:rsidP="005A7661">
            <w:pPr>
              <w:rPr>
                <w:b/>
                <w:bCs/>
              </w:rPr>
            </w:pPr>
            <w:r w:rsidRPr="00897C81">
              <w:rPr>
                <w:b/>
                <w:bCs/>
              </w:rPr>
              <w:t>Applicabilité</w:t>
            </w:r>
          </w:p>
        </w:tc>
        <w:tc>
          <w:tcPr>
            <w:tcW w:w="6019" w:type="dxa"/>
          </w:tcPr>
          <w:p w14:paraId="741DDA76" w14:textId="77777777" w:rsidR="008637EF" w:rsidRPr="0033486E" w:rsidRDefault="008637EF" w:rsidP="005A7661">
            <w:r w:rsidRPr="0033486E">
              <w:t>Le décret concerne directement les relations de travail entre l’EPC/maître d’ouvrage et les employés mobilisés pour le projet.</w:t>
            </w:r>
          </w:p>
        </w:tc>
      </w:tr>
      <w:tr w:rsidR="008637EF" w:rsidRPr="00C2339A" w14:paraId="4B30EF97" w14:textId="77777777" w:rsidTr="005A7661">
        <w:tc>
          <w:tcPr>
            <w:tcW w:w="3043" w:type="dxa"/>
          </w:tcPr>
          <w:p w14:paraId="5AA32E8C" w14:textId="77777777" w:rsidR="008637EF" w:rsidRPr="00897C81" w:rsidRDefault="008637EF" w:rsidP="005A7661">
            <w:pPr>
              <w:rPr>
                <w:b/>
                <w:bCs/>
              </w:rPr>
            </w:pPr>
            <w:r w:rsidRPr="00897C81">
              <w:rPr>
                <w:b/>
                <w:bCs/>
              </w:rPr>
              <w:t>Exigences de conformité</w:t>
            </w:r>
          </w:p>
        </w:tc>
        <w:tc>
          <w:tcPr>
            <w:tcW w:w="6019" w:type="dxa"/>
          </w:tcPr>
          <w:p w14:paraId="413DA825" w14:textId="77777777" w:rsidR="008637EF" w:rsidRPr="0033486E" w:rsidRDefault="008637EF" w:rsidP="005A7661">
            <w:r w:rsidRPr="0033486E">
              <w:t>Le maître d’ouvrage et l’EPC devront :</w:t>
            </w:r>
          </w:p>
          <w:p w14:paraId="756873DF" w14:textId="77777777" w:rsidR="008637EF" w:rsidRPr="0033486E" w:rsidRDefault="008637EF" w:rsidP="005A7661">
            <w:pPr>
              <w:pStyle w:val="Tirets"/>
              <w:spacing w:line="240" w:lineRule="auto"/>
              <w:ind w:left="313"/>
            </w:pPr>
            <w:r w:rsidRPr="0033486E">
              <w:t>appliquer les délais de préavis légaux en cas de rupture de contrat de travail ;</w:t>
            </w:r>
          </w:p>
          <w:p w14:paraId="43322973" w14:textId="77777777" w:rsidR="008637EF" w:rsidRPr="0033486E" w:rsidRDefault="008637EF" w:rsidP="005A7661">
            <w:pPr>
              <w:pStyle w:val="Tirets"/>
              <w:spacing w:line="240" w:lineRule="auto"/>
              <w:ind w:left="313"/>
            </w:pPr>
            <w:r w:rsidRPr="0033486E">
              <w:t>garantir l’information des salariés sur leurs droits ;</w:t>
            </w:r>
          </w:p>
          <w:p w14:paraId="766CE8EE" w14:textId="77777777" w:rsidR="008637EF" w:rsidRPr="0033486E" w:rsidRDefault="008637EF" w:rsidP="005A7661">
            <w:pPr>
              <w:pStyle w:val="Tirets"/>
              <w:spacing w:line="240" w:lineRule="auto"/>
              <w:ind w:left="313"/>
            </w:pPr>
            <w:r w:rsidRPr="0033486E">
              <w:t>s’assurer que toute rupture de contrat respecte la procédure fixée par le Code du Travail.</w:t>
            </w:r>
          </w:p>
        </w:tc>
      </w:tr>
      <w:tr w:rsidR="008637EF" w:rsidRPr="00C2339A" w14:paraId="37FF6093" w14:textId="77777777" w:rsidTr="005A7661">
        <w:tc>
          <w:tcPr>
            <w:tcW w:w="9062" w:type="dxa"/>
            <w:gridSpan w:val="2"/>
          </w:tcPr>
          <w:p w14:paraId="2F645AE2" w14:textId="77777777" w:rsidR="008637EF" w:rsidRPr="004637C7" w:rsidRDefault="008637EF" w:rsidP="005A7661">
            <w:pPr>
              <w:rPr>
                <w:b/>
                <w:bCs/>
                <w:color w:val="323E4F" w:themeColor="text2" w:themeShade="BF"/>
              </w:rPr>
            </w:pPr>
            <w:bookmarkStart w:id="83" w:name="_Toc203326997"/>
            <w:r w:rsidRPr="004637C7">
              <w:rPr>
                <w:b/>
                <w:bCs/>
                <w:color w:val="323E4F" w:themeColor="text2" w:themeShade="BF"/>
              </w:rPr>
              <w:t>Loi n° 16-12 relative aux dispositifs de santé au travail</w:t>
            </w:r>
            <w:bookmarkEnd w:id="83"/>
          </w:p>
        </w:tc>
      </w:tr>
      <w:tr w:rsidR="008637EF" w:rsidRPr="00C2339A" w14:paraId="7A4E6BF5" w14:textId="77777777" w:rsidTr="005A7661">
        <w:tc>
          <w:tcPr>
            <w:tcW w:w="3043" w:type="dxa"/>
          </w:tcPr>
          <w:p w14:paraId="5B28C463" w14:textId="77777777" w:rsidR="008637EF" w:rsidRPr="00897C81" w:rsidRDefault="008637EF" w:rsidP="005A7661">
            <w:pPr>
              <w:rPr>
                <w:b/>
                <w:bCs/>
              </w:rPr>
            </w:pPr>
            <w:r w:rsidRPr="00897C81">
              <w:rPr>
                <w:b/>
                <w:bCs/>
              </w:rPr>
              <w:t xml:space="preserve">Résumé </w:t>
            </w:r>
          </w:p>
        </w:tc>
        <w:tc>
          <w:tcPr>
            <w:tcW w:w="6019" w:type="dxa"/>
          </w:tcPr>
          <w:p w14:paraId="4602F3C3" w14:textId="77777777" w:rsidR="008637EF" w:rsidRPr="0033486E" w:rsidRDefault="008637EF" w:rsidP="005A7661">
            <w:r w:rsidRPr="0033486E">
              <w:t>Promulguée par le Dahir n°1-13-59 du 17 juin 2013 (BO n°6170 du 18 juillet 2013), cette loi renforce le cadre juridique de la santé et sécurité au travail. Elle établit un système national de veille sanitaire dans les milieux professionnels, impose la surveillance médicale des travailleurs, la prévention des maladies professionnelles, la déclaration des accidents et maladies liés au travail, et prévoit la création d’unités de médecine du travail avec visites médicales périodiques.</w:t>
            </w:r>
          </w:p>
        </w:tc>
      </w:tr>
      <w:tr w:rsidR="008637EF" w:rsidRPr="00C2339A" w14:paraId="26F11D37" w14:textId="77777777" w:rsidTr="005A7661">
        <w:tc>
          <w:tcPr>
            <w:tcW w:w="3043" w:type="dxa"/>
          </w:tcPr>
          <w:p w14:paraId="2D909A54" w14:textId="77777777" w:rsidR="008637EF" w:rsidRPr="00897C81" w:rsidRDefault="008637EF" w:rsidP="005A7661">
            <w:pPr>
              <w:rPr>
                <w:b/>
                <w:bCs/>
              </w:rPr>
            </w:pPr>
            <w:r w:rsidRPr="00897C81">
              <w:rPr>
                <w:b/>
                <w:bCs/>
              </w:rPr>
              <w:t>Applicabilité</w:t>
            </w:r>
          </w:p>
        </w:tc>
        <w:tc>
          <w:tcPr>
            <w:tcW w:w="6019" w:type="dxa"/>
          </w:tcPr>
          <w:p w14:paraId="1F7D59F7" w14:textId="3C4BC161" w:rsidR="008637EF" w:rsidRPr="0033486E" w:rsidRDefault="008637EF" w:rsidP="005A7661">
            <w:r w:rsidRPr="0033486E">
              <w:t xml:space="preserve">Le projet </w:t>
            </w:r>
            <w:r w:rsidR="00AE6B74" w:rsidRPr="00BD4D87">
              <w:t>de modernisation et d’extension des infrastructures aéroportuaires</w:t>
            </w:r>
            <w:r w:rsidR="00AE6B74" w:rsidRPr="004637C7">
              <w:t xml:space="preserve"> </w:t>
            </w:r>
            <w:r w:rsidRPr="0033486E">
              <w:t xml:space="preserve">de l’aéroport </w:t>
            </w:r>
            <w:r w:rsidR="00EE6509">
              <w:t>Marrakech Ménara</w:t>
            </w:r>
            <w:r w:rsidR="00EE6509" w:rsidRPr="0033486E">
              <w:t xml:space="preserve"> </w:t>
            </w:r>
            <w:r w:rsidRPr="0033486E">
              <w:t>mobilisera un nombre important de travailleurs pendant la construction et l’exploitation, exposés à divers risques professionnels. Cette loi s’applique donc pour encadrer la santé et la sécurité de la main-d’œuvre.</w:t>
            </w:r>
          </w:p>
        </w:tc>
      </w:tr>
      <w:tr w:rsidR="008637EF" w:rsidRPr="00C2339A" w14:paraId="11BCEDDE" w14:textId="77777777" w:rsidTr="005A7661">
        <w:tc>
          <w:tcPr>
            <w:tcW w:w="3043" w:type="dxa"/>
          </w:tcPr>
          <w:p w14:paraId="0AFAA193" w14:textId="77777777" w:rsidR="008637EF" w:rsidRPr="00897C81" w:rsidRDefault="008637EF" w:rsidP="005A7661">
            <w:pPr>
              <w:rPr>
                <w:b/>
                <w:bCs/>
              </w:rPr>
            </w:pPr>
            <w:r w:rsidRPr="00897C81">
              <w:rPr>
                <w:b/>
                <w:bCs/>
              </w:rPr>
              <w:t>Exigences de conformité</w:t>
            </w:r>
          </w:p>
        </w:tc>
        <w:tc>
          <w:tcPr>
            <w:tcW w:w="6019" w:type="dxa"/>
          </w:tcPr>
          <w:p w14:paraId="4C1528AB" w14:textId="77777777" w:rsidR="008637EF" w:rsidRPr="0033486E" w:rsidRDefault="008637EF" w:rsidP="005A7661">
            <w:r w:rsidRPr="0033486E">
              <w:t>Le maître d’ouvrage et l’EPC devront :</w:t>
            </w:r>
          </w:p>
          <w:p w14:paraId="62C5FEA9" w14:textId="77777777" w:rsidR="008637EF" w:rsidRPr="0033486E" w:rsidRDefault="008637EF" w:rsidP="005A7661">
            <w:pPr>
              <w:pStyle w:val="Tirets"/>
              <w:spacing w:line="240" w:lineRule="auto"/>
              <w:ind w:left="313"/>
            </w:pPr>
            <w:r w:rsidRPr="0033486E">
              <w:t>organiser la surveillance médicale régulière des travailleurs ;</w:t>
            </w:r>
          </w:p>
          <w:p w14:paraId="60C791BA" w14:textId="77777777" w:rsidR="008637EF" w:rsidRPr="0033486E" w:rsidRDefault="008637EF" w:rsidP="005A7661">
            <w:pPr>
              <w:pStyle w:val="Tirets"/>
              <w:spacing w:line="240" w:lineRule="auto"/>
              <w:ind w:left="313"/>
            </w:pPr>
            <w:r w:rsidRPr="0033486E">
              <w:t>mettre en place un dispositif de prévention des maladies et risques professionnels ;</w:t>
            </w:r>
          </w:p>
          <w:p w14:paraId="632E81D5" w14:textId="77777777" w:rsidR="008637EF" w:rsidRPr="0033486E" w:rsidRDefault="008637EF" w:rsidP="005A7661">
            <w:pPr>
              <w:pStyle w:val="Tirets"/>
              <w:spacing w:line="240" w:lineRule="auto"/>
              <w:ind w:left="313"/>
            </w:pPr>
            <w:r w:rsidRPr="0033486E">
              <w:lastRenderedPageBreak/>
              <w:t>déclarer les accidents et maladies liés au travail auprès des organismes compétents ;</w:t>
            </w:r>
          </w:p>
          <w:p w14:paraId="0A37AC7D" w14:textId="77777777" w:rsidR="008637EF" w:rsidRPr="0033486E" w:rsidRDefault="008637EF" w:rsidP="005A7661">
            <w:pPr>
              <w:pStyle w:val="Tirets"/>
              <w:spacing w:line="240" w:lineRule="auto"/>
              <w:ind w:left="313"/>
            </w:pPr>
            <w:r w:rsidRPr="0033486E">
              <w:t>collaborer avec les unités de médecine du travail et les services de sécurité sociale ;</w:t>
            </w:r>
          </w:p>
          <w:p w14:paraId="14E0DE4D" w14:textId="77777777" w:rsidR="008637EF" w:rsidRPr="0033486E" w:rsidRDefault="008637EF" w:rsidP="005A7661">
            <w:pPr>
              <w:pStyle w:val="Tirets"/>
              <w:spacing w:line="240" w:lineRule="auto"/>
              <w:ind w:left="313"/>
            </w:pPr>
            <w:r w:rsidRPr="0033486E">
              <w:t>assurer la coordination entre employeurs, services de santé et institutions pour garantir la protection sanitaire des employés.</w:t>
            </w:r>
          </w:p>
        </w:tc>
      </w:tr>
      <w:tr w:rsidR="008637EF" w:rsidRPr="00C2339A" w14:paraId="091787F9" w14:textId="77777777" w:rsidTr="005A7661">
        <w:tc>
          <w:tcPr>
            <w:tcW w:w="9062" w:type="dxa"/>
            <w:gridSpan w:val="2"/>
          </w:tcPr>
          <w:p w14:paraId="17FE127A" w14:textId="77777777" w:rsidR="008637EF" w:rsidRPr="004637C7" w:rsidRDefault="008637EF" w:rsidP="005A7661">
            <w:pPr>
              <w:rPr>
                <w:b/>
                <w:bCs/>
                <w:color w:val="323E4F" w:themeColor="text2" w:themeShade="BF"/>
              </w:rPr>
            </w:pPr>
            <w:r w:rsidRPr="004637C7">
              <w:rPr>
                <w:b/>
                <w:bCs/>
                <w:color w:val="323E4F" w:themeColor="text2" w:themeShade="BF"/>
              </w:rPr>
              <w:lastRenderedPageBreak/>
              <w:t>Décret n°2-70-510 du 8 octobre 1970 relatif aux mesures prophylactiques sur les chantiers</w:t>
            </w:r>
          </w:p>
        </w:tc>
      </w:tr>
      <w:tr w:rsidR="008637EF" w:rsidRPr="00C2339A" w14:paraId="1AF34E78" w14:textId="77777777" w:rsidTr="005A7661">
        <w:tc>
          <w:tcPr>
            <w:tcW w:w="3043" w:type="dxa"/>
          </w:tcPr>
          <w:p w14:paraId="66C81107" w14:textId="77777777" w:rsidR="008637EF" w:rsidRPr="00897C81" w:rsidRDefault="008637EF" w:rsidP="005A7661">
            <w:pPr>
              <w:rPr>
                <w:b/>
                <w:bCs/>
              </w:rPr>
            </w:pPr>
            <w:r w:rsidRPr="00897C81">
              <w:rPr>
                <w:b/>
                <w:bCs/>
              </w:rPr>
              <w:t xml:space="preserve">Résumé </w:t>
            </w:r>
          </w:p>
        </w:tc>
        <w:tc>
          <w:tcPr>
            <w:tcW w:w="6019" w:type="dxa"/>
          </w:tcPr>
          <w:p w14:paraId="244234E0" w14:textId="77777777" w:rsidR="008637EF" w:rsidRPr="0033486E" w:rsidRDefault="008637EF" w:rsidP="005A7661">
            <w:r w:rsidRPr="00B60889">
              <w:t>Ce décret impose aux employeurs de mettre en œuvre des mesures préventives pour protéger la santé et la sécurité des travailleurs sur les chantiers de construction et de travaux publics. Il prévoit notamment l’assainissement des locaux, la gestion des eaux usées, la mise à disposition d’installations d’hygiène (latrines, points d’eau potable), des actions de sensibilisation et d’éducation sanitaire, ainsi que la désinfection des lieux en cas de risques de contagion.</w:t>
            </w:r>
          </w:p>
        </w:tc>
      </w:tr>
      <w:tr w:rsidR="008637EF" w:rsidRPr="00C2339A" w14:paraId="302A9DA6" w14:textId="77777777" w:rsidTr="005A7661">
        <w:tc>
          <w:tcPr>
            <w:tcW w:w="3043" w:type="dxa"/>
          </w:tcPr>
          <w:p w14:paraId="031603F3" w14:textId="77777777" w:rsidR="008637EF" w:rsidRPr="00897C81" w:rsidRDefault="008637EF" w:rsidP="005A7661">
            <w:pPr>
              <w:rPr>
                <w:b/>
                <w:bCs/>
              </w:rPr>
            </w:pPr>
            <w:r w:rsidRPr="00897C81">
              <w:rPr>
                <w:b/>
                <w:bCs/>
              </w:rPr>
              <w:t>Applicabilité</w:t>
            </w:r>
          </w:p>
        </w:tc>
        <w:tc>
          <w:tcPr>
            <w:tcW w:w="6019" w:type="dxa"/>
          </w:tcPr>
          <w:p w14:paraId="7EA23726" w14:textId="59243E11" w:rsidR="008637EF" w:rsidRPr="0033486E" w:rsidRDefault="008637EF" w:rsidP="005A7661">
            <w:r w:rsidRPr="00B60889">
              <w:t xml:space="preserve">Le chantier </w:t>
            </w:r>
            <w:r w:rsidR="00AE6B74" w:rsidRPr="00BD4D87">
              <w:t>de modernisation et d’extension des infrastructures aéroportuaires</w:t>
            </w:r>
            <w:r w:rsidR="00AE6B74" w:rsidRPr="004637C7">
              <w:t xml:space="preserve"> </w:t>
            </w:r>
            <w:r w:rsidRPr="00B60889">
              <w:t xml:space="preserve">de l’aéroport </w:t>
            </w:r>
            <w:r w:rsidR="00EE6509">
              <w:t>Marrakech Ménara</w:t>
            </w:r>
            <w:r w:rsidR="00EE6509" w:rsidRPr="00B60889">
              <w:t xml:space="preserve"> </w:t>
            </w:r>
            <w:r w:rsidRPr="00B60889">
              <w:t>est directement concerné par ce décret, compte tenu du nombre d’ouvriers mobilisés et de la durée du projet.</w:t>
            </w:r>
          </w:p>
        </w:tc>
      </w:tr>
      <w:tr w:rsidR="008637EF" w:rsidRPr="00C2339A" w14:paraId="488A031C" w14:textId="77777777" w:rsidTr="005A7661">
        <w:tc>
          <w:tcPr>
            <w:tcW w:w="3043" w:type="dxa"/>
          </w:tcPr>
          <w:p w14:paraId="6DEEC8FC" w14:textId="77777777" w:rsidR="008637EF" w:rsidRPr="00897C81" w:rsidRDefault="008637EF" w:rsidP="005A7661">
            <w:pPr>
              <w:rPr>
                <w:b/>
                <w:bCs/>
              </w:rPr>
            </w:pPr>
            <w:r w:rsidRPr="00897C81">
              <w:rPr>
                <w:b/>
                <w:bCs/>
              </w:rPr>
              <w:t>Exigences de conformité</w:t>
            </w:r>
          </w:p>
        </w:tc>
        <w:tc>
          <w:tcPr>
            <w:tcW w:w="6019" w:type="dxa"/>
          </w:tcPr>
          <w:p w14:paraId="7CA16A06" w14:textId="77777777" w:rsidR="008637EF" w:rsidRPr="00B60889" w:rsidRDefault="008637EF" w:rsidP="005A7661">
            <w:r w:rsidRPr="00B60889">
              <w:t>Le maître d’ouvrage et l’EPC devront :</w:t>
            </w:r>
          </w:p>
          <w:p w14:paraId="576D5965" w14:textId="77777777" w:rsidR="008637EF" w:rsidRPr="00B60889" w:rsidRDefault="008637EF" w:rsidP="005A7661">
            <w:pPr>
              <w:pStyle w:val="Tirets"/>
              <w:spacing w:line="240" w:lineRule="auto"/>
              <w:ind w:left="313"/>
            </w:pPr>
            <w:r w:rsidRPr="00B60889">
              <w:t>mettre en place des installations d’hygiène et d’assainissement adaptées ;</w:t>
            </w:r>
          </w:p>
          <w:p w14:paraId="190B6337" w14:textId="77777777" w:rsidR="008637EF" w:rsidRPr="00B60889" w:rsidRDefault="008637EF" w:rsidP="005A7661">
            <w:pPr>
              <w:pStyle w:val="Tirets"/>
              <w:spacing w:line="240" w:lineRule="auto"/>
              <w:ind w:left="313"/>
            </w:pPr>
            <w:r w:rsidRPr="00B60889">
              <w:t>organiser des actions de sensibilisation sanitaire pour les travailleurs ;</w:t>
            </w:r>
          </w:p>
          <w:p w14:paraId="64EA018E" w14:textId="77777777" w:rsidR="008637EF" w:rsidRPr="00B60889" w:rsidRDefault="008637EF" w:rsidP="005A7661">
            <w:pPr>
              <w:pStyle w:val="Tirets"/>
              <w:spacing w:line="240" w:lineRule="auto"/>
              <w:ind w:left="313"/>
            </w:pPr>
            <w:r w:rsidRPr="00B60889">
              <w:t>assurer un entretien régulier et une désinfection en cas de risques de contagion ;</w:t>
            </w:r>
          </w:p>
          <w:p w14:paraId="004A96DB" w14:textId="77777777" w:rsidR="008637EF" w:rsidRPr="0033486E" w:rsidRDefault="008637EF" w:rsidP="005A7661">
            <w:pPr>
              <w:pStyle w:val="Tirets"/>
              <w:spacing w:line="240" w:lineRule="auto"/>
              <w:ind w:left="313"/>
            </w:pPr>
            <w:r w:rsidRPr="00B60889">
              <w:t>garantir un environnement de travail sain et conforme aux exigences légales.</w:t>
            </w:r>
          </w:p>
        </w:tc>
      </w:tr>
      <w:tr w:rsidR="008637EF" w:rsidRPr="00C2339A" w14:paraId="0D6C0C38" w14:textId="77777777" w:rsidTr="005A7661">
        <w:tc>
          <w:tcPr>
            <w:tcW w:w="9062" w:type="dxa"/>
            <w:gridSpan w:val="2"/>
          </w:tcPr>
          <w:p w14:paraId="71A621D0" w14:textId="77777777" w:rsidR="008637EF" w:rsidRPr="004637C7" w:rsidRDefault="008637EF" w:rsidP="005A7661">
            <w:r w:rsidRPr="004637C7">
              <w:rPr>
                <w:b/>
                <w:bCs/>
                <w:color w:val="323E4F" w:themeColor="text2" w:themeShade="BF"/>
              </w:rPr>
              <w:t>Arrêté du 23 novembre 1950 relatif aux médicaments et matériels médicaux sur chantier</w:t>
            </w:r>
          </w:p>
        </w:tc>
      </w:tr>
      <w:tr w:rsidR="008637EF" w:rsidRPr="00C2339A" w14:paraId="56A89DF4" w14:textId="77777777" w:rsidTr="005A7661">
        <w:tc>
          <w:tcPr>
            <w:tcW w:w="3043" w:type="dxa"/>
          </w:tcPr>
          <w:p w14:paraId="051D8A4D" w14:textId="77777777" w:rsidR="008637EF" w:rsidRPr="00897C81" w:rsidRDefault="008637EF" w:rsidP="005A7661">
            <w:pPr>
              <w:rPr>
                <w:b/>
                <w:bCs/>
              </w:rPr>
            </w:pPr>
            <w:r w:rsidRPr="00897C81">
              <w:rPr>
                <w:b/>
                <w:bCs/>
              </w:rPr>
              <w:t xml:space="preserve">Résumé </w:t>
            </w:r>
          </w:p>
        </w:tc>
        <w:tc>
          <w:tcPr>
            <w:tcW w:w="6019" w:type="dxa"/>
          </w:tcPr>
          <w:p w14:paraId="594F6A29" w14:textId="77777777" w:rsidR="008637EF" w:rsidRPr="0033486E" w:rsidRDefault="008637EF" w:rsidP="005A7661">
            <w:r w:rsidRPr="00B60889">
              <w:t>Cet arrêté impose aux employeurs de fournir une trousse de premiers secours adaptée sur les chantiers employant au moins 100 ouvriers en permanence, ou situés à plus de 10 km d’un centre médical. Il fixe la liste minimale des médicaments et matériels à prévoir (pansements, antiseptiques, compresses, instruments médicaux, etc.), afin de garantir une prise en charge immédiate des urgences.</w:t>
            </w:r>
          </w:p>
        </w:tc>
      </w:tr>
      <w:tr w:rsidR="008637EF" w:rsidRPr="00C2339A" w14:paraId="1D40CE5A" w14:textId="77777777" w:rsidTr="005A7661">
        <w:tc>
          <w:tcPr>
            <w:tcW w:w="3043" w:type="dxa"/>
          </w:tcPr>
          <w:p w14:paraId="1DC08B89" w14:textId="77777777" w:rsidR="008637EF" w:rsidRPr="00897C81" w:rsidRDefault="008637EF" w:rsidP="005A7661">
            <w:pPr>
              <w:rPr>
                <w:b/>
                <w:bCs/>
              </w:rPr>
            </w:pPr>
            <w:r w:rsidRPr="00897C81">
              <w:rPr>
                <w:b/>
                <w:bCs/>
              </w:rPr>
              <w:lastRenderedPageBreak/>
              <w:t>Applicabilité</w:t>
            </w:r>
          </w:p>
        </w:tc>
        <w:tc>
          <w:tcPr>
            <w:tcW w:w="6019" w:type="dxa"/>
          </w:tcPr>
          <w:p w14:paraId="7EB5BDD7" w14:textId="77777777" w:rsidR="008637EF" w:rsidRPr="0033486E" w:rsidRDefault="008637EF" w:rsidP="005A7661">
            <w:r w:rsidRPr="00B60889">
              <w:t>Le chantier de l’aéroport, mobilisant un effectif important et éloigné d’infrastructures médicales immédiates, est susceptible d’entrer dans le champ d’application de cet arrêté.</w:t>
            </w:r>
          </w:p>
        </w:tc>
      </w:tr>
      <w:tr w:rsidR="008637EF" w:rsidRPr="00C2339A" w14:paraId="2D8ED7B2" w14:textId="77777777" w:rsidTr="005A7661">
        <w:tc>
          <w:tcPr>
            <w:tcW w:w="3043" w:type="dxa"/>
          </w:tcPr>
          <w:p w14:paraId="5A39263D" w14:textId="77777777" w:rsidR="008637EF" w:rsidRPr="00897C81" w:rsidRDefault="008637EF" w:rsidP="005A7661">
            <w:pPr>
              <w:rPr>
                <w:b/>
                <w:bCs/>
              </w:rPr>
            </w:pPr>
            <w:r w:rsidRPr="00897C81">
              <w:rPr>
                <w:b/>
                <w:bCs/>
              </w:rPr>
              <w:t>Exigences de conformité</w:t>
            </w:r>
          </w:p>
        </w:tc>
        <w:tc>
          <w:tcPr>
            <w:tcW w:w="6019" w:type="dxa"/>
          </w:tcPr>
          <w:p w14:paraId="5D7CE04E" w14:textId="77777777" w:rsidR="008637EF" w:rsidRPr="00B60889" w:rsidRDefault="008637EF" w:rsidP="005A7661">
            <w:r w:rsidRPr="00B60889">
              <w:t>Le maître d’ouvrage et l’EPC devront :</w:t>
            </w:r>
          </w:p>
          <w:p w14:paraId="1AB5EAA1" w14:textId="77777777" w:rsidR="008637EF" w:rsidRPr="00B60889" w:rsidRDefault="008637EF" w:rsidP="005A7661">
            <w:pPr>
              <w:pStyle w:val="Tirets"/>
              <w:spacing w:line="240" w:lineRule="auto"/>
              <w:ind w:left="313"/>
            </w:pPr>
            <w:r w:rsidRPr="00B60889">
              <w:t>prévoir et maintenir des trousses de premiers secours complètes et conformes à la réglementation ;</w:t>
            </w:r>
          </w:p>
          <w:p w14:paraId="4FF6D13E" w14:textId="77777777" w:rsidR="008637EF" w:rsidRPr="00B60889" w:rsidRDefault="008637EF" w:rsidP="005A7661">
            <w:pPr>
              <w:pStyle w:val="Tirets"/>
              <w:spacing w:line="240" w:lineRule="auto"/>
              <w:ind w:left="313"/>
            </w:pPr>
            <w:r w:rsidRPr="00B60889">
              <w:t>veiller à la disponibilité des médicaments et matériels prescrits ;</w:t>
            </w:r>
          </w:p>
          <w:p w14:paraId="4AC61E8D" w14:textId="77777777" w:rsidR="008637EF" w:rsidRPr="0033486E" w:rsidRDefault="008637EF" w:rsidP="005A7661">
            <w:pPr>
              <w:pStyle w:val="Tirets"/>
              <w:spacing w:line="240" w:lineRule="auto"/>
              <w:ind w:left="313"/>
            </w:pPr>
            <w:r w:rsidRPr="00B60889">
              <w:t>organiser une réponse rapide en cas d’accident ou de malaise, en attendant l’intervention des services médicaux.</w:t>
            </w:r>
          </w:p>
        </w:tc>
      </w:tr>
    </w:tbl>
    <w:p w14:paraId="5BF5A4A6" w14:textId="77777777" w:rsidR="008637EF" w:rsidRDefault="008637EF" w:rsidP="008637EF">
      <w:pPr>
        <w:pStyle w:val="Title3"/>
      </w:pPr>
      <w:bookmarkStart w:id="84" w:name="_Toc215131803"/>
      <w:r>
        <w:t>Autres textes réglementaires</w:t>
      </w:r>
      <w:bookmarkEnd w:id="84"/>
    </w:p>
    <w:tbl>
      <w:tblPr>
        <w:tblStyle w:val="Grilledetableauclaire"/>
        <w:tblW w:w="0" w:type="auto"/>
        <w:tblLook w:val="04A0" w:firstRow="1" w:lastRow="0" w:firstColumn="1" w:lastColumn="0" w:noHBand="0" w:noVBand="1"/>
      </w:tblPr>
      <w:tblGrid>
        <w:gridCol w:w="3043"/>
        <w:gridCol w:w="6019"/>
      </w:tblGrid>
      <w:tr w:rsidR="008637EF" w:rsidRPr="00897C81" w14:paraId="7DB8F790" w14:textId="77777777" w:rsidTr="005A7661">
        <w:tc>
          <w:tcPr>
            <w:tcW w:w="9062" w:type="dxa"/>
            <w:gridSpan w:val="2"/>
          </w:tcPr>
          <w:p w14:paraId="79BA5E1A" w14:textId="77777777" w:rsidR="008637EF" w:rsidRPr="004637C7" w:rsidRDefault="008637EF" w:rsidP="005A7661">
            <w:pPr>
              <w:rPr>
                <w:color w:val="323E4F" w:themeColor="text2" w:themeShade="BF"/>
              </w:rPr>
            </w:pPr>
            <w:r w:rsidRPr="004637C7">
              <w:rPr>
                <w:b/>
                <w:bCs/>
                <w:color w:val="323E4F" w:themeColor="text2" w:themeShade="BF"/>
              </w:rPr>
              <w:t>Loi N°47-18 portant réforme des centres régionaux d’investissement et création des commissions régionales unifiées d’investissement, et ses décrets d’application</w:t>
            </w:r>
          </w:p>
        </w:tc>
      </w:tr>
      <w:tr w:rsidR="008637EF" w:rsidRPr="0033486E" w14:paraId="16E7FC57" w14:textId="77777777" w:rsidTr="005A7661">
        <w:tc>
          <w:tcPr>
            <w:tcW w:w="3043" w:type="dxa"/>
          </w:tcPr>
          <w:p w14:paraId="3BFE53B6" w14:textId="77777777" w:rsidR="008637EF" w:rsidRPr="00897C81" w:rsidRDefault="008637EF" w:rsidP="005A7661">
            <w:pPr>
              <w:rPr>
                <w:b/>
                <w:bCs/>
              </w:rPr>
            </w:pPr>
            <w:r w:rsidRPr="00897C81">
              <w:rPr>
                <w:b/>
                <w:bCs/>
              </w:rPr>
              <w:t xml:space="preserve">Résumé </w:t>
            </w:r>
          </w:p>
        </w:tc>
        <w:tc>
          <w:tcPr>
            <w:tcW w:w="6019" w:type="dxa"/>
          </w:tcPr>
          <w:p w14:paraId="26DE4576" w14:textId="77777777" w:rsidR="008637EF" w:rsidRPr="009738A3" w:rsidRDefault="008637EF" w:rsidP="005A7661">
            <w:r w:rsidRPr="009738A3">
              <w:t>Promulguée pour renforcer la gouvernance territoriale de l’investissement, cette loi confère aux CRI trois missions principales :</w:t>
            </w:r>
          </w:p>
          <w:p w14:paraId="381B7943" w14:textId="77777777" w:rsidR="008637EF" w:rsidRPr="009738A3" w:rsidRDefault="008637EF" w:rsidP="0001633E">
            <w:pPr>
              <w:numPr>
                <w:ilvl w:val="0"/>
                <w:numId w:val="104"/>
              </w:numPr>
              <w:tabs>
                <w:tab w:val="clear" w:pos="720"/>
              </w:tabs>
              <w:ind w:left="250"/>
            </w:pPr>
            <w:r w:rsidRPr="00273BD5">
              <w:t>Guichet unique</w:t>
            </w:r>
            <w:r w:rsidRPr="009738A3">
              <w:t xml:space="preserve"> : assistance administrative, accompagnement des investisseurs et PME/TPE, gestion dématérialisée des dossiers et délivrance d’actes administratifs.</w:t>
            </w:r>
          </w:p>
          <w:p w14:paraId="1107DE6D" w14:textId="77777777" w:rsidR="008637EF" w:rsidRPr="009738A3" w:rsidRDefault="008637EF" w:rsidP="0001633E">
            <w:pPr>
              <w:numPr>
                <w:ilvl w:val="0"/>
                <w:numId w:val="104"/>
              </w:numPr>
              <w:tabs>
                <w:tab w:val="clear" w:pos="720"/>
              </w:tabs>
              <w:ind w:left="250"/>
            </w:pPr>
            <w:r w:rsidRPr="00273BD5">
              <w:t>Impulsion économique régionale</w:t>
            </w:r>
            <w:r w:rsidRPr="009738A3">
              <w:t xml:space="preserve"> : veille économique, identification et promotion des opportunités d’investissement, contribution au développement de zones industrielles et d’activités économiques.</w:t>
            </w:r>
          </w:p>
          <w:p w14:paraId="76A8F2A4" w14:textId="77777777" w:rsidR="004637C7" w:rsidRDefault="008637EF" w:rsidP="0001633E">
            <w:pPr>
              <w:numPr>
                <w:ilvl w:val="0"/>
                <w:numId w:val="104"/>
              </w:numPr>
              <w:tabs>
                <w:tab w:val="clear" w:pos="720"/>
              </w:tabs>
              <w:ind w:left="250"/>
            </w:pPr>
            <w:r w:rsidRPr="00273BD5">
              <w:t>Conciliation</w:t>
            </w:r>
            <w:r w:rsidRPr="009738A3">
              <w:t xml:space="preserve"> : règlement à l’amiable des différends entre investisseurs et administrations.</w:t>
            </w:r>
          </w:p>
          <w:p w14:paraId="75ECC254" w14:textId="5ECCECE5" w:rsidR="008637EF" w:rsidRPr="0033486E" w:rsidRDefault="008637EF" w:rsidP="004637C7">
            <w:pPr>
              <w:ind w:left="-110"/>
            </w:pPr>
            <w:r w:rsidRPr="009738A3">
              <w:t>La loi crée les CRUI présidées par le wali de région, chargées de statuer sur les dossiers d’investissement et de superviser leur suivi.</w:t>
            </w:r>
          </w:p>
        </w:tc>
      </w:tr>
      <w:tr w:rsidR="008637EF" w:rsidRPr="0033486E" w14:paraId="6A9E81EE" w14:textId="77777777" w:rsidTr="005A7661">
        <w:tc>
          <w:tcPr>
            <w:tcW w:w="3043" w:type="dxa"/>
          </w:tcPr>
          <w:p w14:paraId="5CC857C4" w14:textId="77777777" w:rsidR="008637EF" w:rsidRPr="00897C81" w:rsidRDefault="008637EF" w:rsidP="005A7661">
            <w:pPr>
              <w:rPr>
                <w:b/>
                <w:bCs/>
              </w:rPr>
            </w:pPr>
            <w:r w:rsidRPr="00897C81">
              <w:rPr>
                <w:b/>
                <w:bCs/>
              </w:rPr>
              <w:t>Applicabilité</w:t>
            </w:r>
          </w:p>
        </w:tc>
        <w:tc>
          <w:tcPr>
            <w:tcW w:w="6019" w:type="dxa"/>
          </w:tcPr>
          <w:p w14:paraId="0CDBE2F5" w14:textId="1DBB114D" w:rsidR="008637EF" w:rsidRPr="0033486E" w:rsidRDefault="008637EF" w:rsidP="005A7661">
            <w:r w:rsidRPr="009738A3">
              <w:t xml:space="preserve">Le projet </w:t>
            </w:r>
            <w:r w:rsidR="00AE6B74" w:rsidRPr="00BD4D87">
              <w:t>de modernisation et d’extension des infrastructures aéroportuaires</w:t>
            </w:r>
            <w:r w:rsidR="00AE6B74" w:rsidRPr="004637C7">
              <w:t xml:space="preserve"> </w:t>
            </w:r>
            <w:r w:rsidRPr="009738A3">
              <w:t xml:space="preserve">de l’aéroport </w:t>
            </w:r>
            <w:r w:rsidR="00EE6509">
              <w:t>Marrakech Ménara</w:t>
            </w:r>
            <w:r w:rsidR="00EE6509" w:rsidRPr="009738A3">
              <w:t xml:space="preserve"> </w:t>
            </w:r>
            <w:r w:rsidRPr="009738A3">
              <w:t xml:space="preserve">relève du ressort territorial du </w:t>
            </w:r>
            <w:r w:rsidRPr="00273BD5">
              <w:t xml:space="preserve">CRI </w:t>
            </w:r>
            <w:r w:rsidR="00B5291C">
              <w:t>Marrakech Safi</w:t>
            </w:r>
            <w:r w:rsidRPr="009738A3">
              <w:t>. Les procédures administratives, autorisations, et suivi des investissements liés au projet sont instruites via ce dispositif.</w:t>
            </w:r>
          </w:p>
        </w:tc>
      </w:tr>
      <w:tr w:rsidR="008637EF" w:rsidRPr="0033486E" w14:paraId="72F058A7" w14:textId="77777777" w:rsidTr="005A7661">
        <w:tc>
          <w:tcPr>
            <w:tcW w:w="3043" w:type="dxa"/>
          </w:tcPr>
          <w:p w14:paraId="5DEB78C0" w14:textId="77777777" w:rsidR="008637EF" w:rsidRPr="00897C81" w:rsidRDefault="008637EF" w:rsidP="005A7661">
            <w:pPr>
              <w:rPr>
                <w:b/>
                <w:bCs/>
              </w:rPr>
            </w:pPr>
            <w:r w:rsidRPr="00897C81">
              <w:rPr>
                <w:b/>
                <w:bCs/>
              </w:rPr>
              <w:t>Exigences de conformité</w:t>
            </w:r>
          </w:p>
        </w:tc>
        <w:tc>
          <w:tcPr>
            <w:tcW w:w="6019" w:type="dxa"/>
          </w:tcPr>
          <w:p w14:paraId="2D84502B" w14:textId="77777777" w:rsidR="008637EF" w:rsidRPr="009738A3" w:rsidRDefault="008637EF" w:rsidP="005A7661">
            <w:r w:rsidRPr="009738A3">
              <w:t>Le maître d’ouvrage devra :</w:t>
            </w:r>
          </w:p>
          <w:p w14:paraId="4804431C" w14:textId="77777777" w:rsidR="008637EF" w:rsidRPr="009738A3" w:rsidRDefault="008637EF" w:rsidP="005A7661">
            <w:pPr>
              <w:pStyle w:val="Tirets"/>
              <w:spacing w:line="240" w:lineRule="auto"/>
              <w:ind w:left="313"/>
            </w:pPr>
            <w:r w:rsidRPr="009738A3">
              <w:t>déposer les dossiers d’investissement et demandes d’autorisations auprès du CRI</w:t>
            </w:r>
            <w:r>
              <w:t>, notamment la décision d’acceptabilité environnementale</w:t>
            </w:r>
            <w:r w:rsidRPr="009738A3">
              <w:t xml:space="preserve"> ;</w:t>
            </w:r>
          </w:p>
          <w:p w14:paraId="668F5991" w14:textId="77777777" w:rsidR="008637EF" w:rsidRPr="009738A3" w:rsidRDefault="008637EF" w:rsidP="005A7661">
            <w:pPr>
              <w:pStyle w:val="Tirets"/>
              <w:spacing w:line="240" w:lineRule="auto"/>
              <w:ind w:left="313"/>
            </w:pPr>
            <w:r w:rsidRPr="009738A3">
              <w:lastRenderedPageBreak/>
              <w:t>collaborer avec le CRUI pour l’instruction et le suivi des autorisations ;</w:t>
            </w:r>
          </w:p>
          <w:p w14:paraId="246C0C0F" w14:textId="77777777" w:rsidR="008637EF" w:rsidRPr="009738A3" w:rsidRDefault="008637EF" w:rsidP="005A7661">
            <w:pPr>
              <w:pStyle w:val="Tirets"/>
              <w:spacing w:line="240" w:lineRule="auto"/>
              <w:ind w:left="313"/>
            </w:pPr>
            <w:r w:rsidRPr="009738A3">
              <w:t>se conformer aux délais et procédures dématérialisées fixées par le CRI ;</w:t>
            </w:r>
          </w:p>
          <w:p w14:paraId="60176301" w14:textId="77777777" w:rsidR="008637EF" w:rsidRPr="009738A3" w:rsidRDefault="008637EF" w:rsidP="005A7661">
            <w:pPr>
              <w:pStyle w:val="Tirets"/>
              <w:spacing w:line="240" w:lineRule="auto"/>
              <w:ind w:left="313"/>
            </w:pPr>
            <w:r w:rsidRPr="009738A3">
              <w:t>utiliser les plateformes électroniques pour le suivi administratif et la cartographie foncière ;</w:t>
            </w:r>
          </w:p>
          <w:p w14:paraId="7C3E091B" w14:textId="77777777" w:rsidR="008637EF" w:rsidRPr="0033486E" w:rsidRDefault="008637EF" w:rsidP="005A7661">
            <w:pPr>
              <w:pStyle w:val="Tirets"/>
              <w:spacing w:line="240" w:lineRule="auto"/>
              <w:ind w:left="313"/>
            </w:pPr>
            <w:r w:rsidRPr="009738A3">
              <w:t>recourir à la conciliation auprès du CRI en cas de différend avec les administrations.</w:t>
            </w:r>
          </w:p>
        </w:tc>
      </w:tr>
      <w:tr w:rsidR="008637EF" w:rsidRPr="0033486E" w14:paraId="70A17005" w14:textId="77777777" w:rsidTr="005A7661">
        <w:tc>
          <w:tcPr>
            <w:tcW w:w="9062" w:type="dxa"/>
            <w:gridSpan w:val="2"/>
          </w:tcPr>
          <w:p w14:paraId="0985E4A6" w14:textId="77777777" w:rsidR="008637EF" w:rsidRPr="004637C7" w:rsidRDefault="008637EF" w:rsidP="005A7661">
            <w:pPr>
              <w:rPr>
                <w:b/>
                <w:bCs/>
                <w:color w:val="323E4F" w:themeColor="text2" w:themeShade="BF"/>
              </w:rPr>
            </w:pPr>
            <w:r w:rsidRPr="004637C7">
              <w:rPr>
                <w:b/>
                <w:bCs/>
                <w:color w:val="323E4F" w:themeColor="text2" w:themeShade="BF"/>
              </w:rPr>
              <w:lastRenderedPageBreak/>
              <w:t>Loi 48-15 relative à la régulation du secteur d'électricité</w:t>
            </w:r>
          </w:p>
        </w:tc>
      </w:tr>
      <w:tr w:rsidR="008637EF" w:rsidRPr="0033486E" w14:paraId="770AF8E2" w14:textId="77777777" w:rsidTr="005A7661">
        <w:tc>
          <w:tcPr>
            <w:tcW w:w="3043" w:type="dxa"/>
          </w:tcPr>
          <w:p w14:paraId="7C536719" w14:textId="77777777" w:rsidR="008637EF" w:rsidRPr="00897C81" w:rsidRDefault="008637EF" w:rsidP="005A7661">
            <w:pPr>
              <w:rPr>
                <w:b/>
                <w:bCs/>
              </w:rPr>
            </w:pPr>
            <w:r w:rsidRPr="00897C81">
              <w:rPr>
                <w:b/>
                <w:bCs/>
              </w:rPr>
              <w:t xml:space="preserve">Résumé </w:t>
            </w:r>
          </w:p>
        </w:tc>
        <w:tc>
          <w:tcPr>
            <w:tcW w:w="6019" w:type="dxa"/>
          </w:tcPr>
          <w:p w14:paraId="26A730E1" w14:textId="77777777" w:rsidR="008637EF" w:rsidRPr="009738A3" w:rsidRDefault="008637EF" w:rsidP="005A7661">
            <w:r w:rsidRPr="003B48CE">
              <w:t>Publiée au Bulletin Officiel n°6472 du 9 juin 2016, cette loi crée l’Autorité Nationale de Régulation de l’Électricité (ANRE), établissement public autonome chargé d’assurer le bon fonctionnement du marché de l’électricité. L’ANRE régule l’accès au réseau de transport, approuve le code du réseau, valide les programmes d’investissements du gestionnaire du réseau, fixe les règles et tarifs d’interconnexion, et contrôle la qualité du service. Elle dispose d’un pouvoir de contrôle sur pièces et sur place, ainsi que d’un comité de règlement des différends entre opérateurs et utilisateurs.</w:t>
            </w:r>
          </w:p>
        </w:tc>
      </w:tr>
      <w:tr w:rsidR="008637EF" w:rsidRPr="0033486E" w14:paraId="010D4BCA" w14:textId="77777777" w:rsidTr="005A7661">
        <w:tc>
          <w:tcPr>
            <w:tcW w:w="3043" w:type="dxa"/>
          </w:tcPr>
          <w:p w14:paraId="7AFAEB70" w14:textId="77777777" w:rsidR="008637EF" w:rsidRPr="00897C81" w:rsidRDefault="008637EF" w:rsidP="005A7661">
            <w:pPr>
              <w:rPr>
                <w:b/>
                <w:bCs/>
              </w:rPr>
            </w:pPr>
            <w:r w:rsidRPr="00897C81">
              <w:rPr>
                <w:b/>
                <w:bCs/>
              </w:rPr>
              <w:t>Applicabilité</w:t>
            </w:r>
          </w:p>
        </w:tc>
        <w:tc>
          <w:tcPr>
            <w:tcW w:w="6019" w:type="dxa"/>
          </w:tcPr>
          <w:p w14:paraId="072712EA" w14:textId="401290AF" w:rsidR="008637EF" w:rsidRPr="009738A3" w:rsidRDefault="008637EF" w:rsidP="005A7661">
            <w:r w:rsidRPr="003B48CE">
              <w:t xml:space="preserve">Le projet </w:t>
            </w:r>
            <w:r w:rsidR="00AE6B74" w:rsidRPr="00BD4D87">
              <w:t>de modernisation et d’extension des infrastructures aéroportuaires</w:t>
            </w:r>
            <w:r w:rsidR="00AE6B74" w:rsidRPr="004637C7">
              <w:t xml:space="preserve"> </w:t>
            </w:r>
            <w:r w:rsidRPr="003B48CE">
              <w:t xml:space="preserve">de l’aéroport </w:t>
            </w:r>
            <w:r w:rsidR="00EE6509">
              <w:t>Marrakech Ménara</w:t>
            </w:r>
            <w:r w:rsidR="00EE6509" w:rsidRPr="003B48CE">
              <w:t xml:space="preserve"> </w:t>
            </w:r>
            <w:r w:rsidRPr="003B48CE">
              <w:t>impliquera des raccordements au réseau électrique national et une consommation importante d’électricité. À ce titre, les dispositions relatives à l’accès au réseau et au respect des règles fixées par l’ANRE s’appliquent.</w:t>
            </w:r>
          </w:p>
        </w:tc>
      </w:tr>
      <w:tr w:rsidR="008637EF" w:rsidRPr="0033486E" w14:paraId="1DBA46BF" w14:textId="77777777" w:rsidTr="005A7661">
        <w:tc>
          <w:tcPr>
            <w:tcW w:w="3043" w:type="dxa"/>
          </w:tcPr>
          <w:p w14:paraId="7621415F" w14:textId="77777777" w:rsidR="008637EF" w:rsidRPr="00897C81" w:rsidRDefault="008637EF" w:rsidP="005A7661">
            <w:pPr>
              <w:rPr>
                <w:b/>
                <w:bCs/>
              </w:rPr>
            </w:pPr>
            <w:r w:rsidRPr="00897C81">
              <w:rPr>
                <w:b/>
                <w:bCs/>
              </w:rPr>
              <w:t>Exigences de conformité</w:t>
            </w:r>
          </w:p>
        </w:tc>
        <w:tc>
          <w:tcPr>
            <w:tcW w:w="6019" w:type="dxa"/>
          </w:tcPr>
          <w:p w14:paraId="74D5D42B" w14:textId="77777777" w:rsidR="008637EF" w:rsidRPr="003B48CE" w:rsidRDefault="008637EF" w:rsidP="005A7661">
            <w:r w:rsidRPr="003B48CE">
              <w:t>Le maître d’ouvrage devra :</w:t>
            </w:r>
          </w:p>
          <w:p w14:paraId="4A396856" w14:textId="77777777" w:rsidR="008637EF" w:rsidRPr="003B48CE" w:rsidRDefault="008637EF" w:rsidP="005A7661">
            <w:pPr>
              <w:pStyle w:val="Tirets"/>
              <w:spacing w:line="240" w:lineRule="auto"/>
              <w:ind w:left="313"/>
            </w:pPr>
            <w:r w:rsidRPr="003B48CE">
              <w:t>respecter les conditions d’accès au réseau de transport et de distribution d’électricité fixées par l’ANRE ;</w:t>
            </w:r>
          </w:p>
          <w:p w14:paraId="176488AE" w14:textId="77777777" w:rsidR="008637EF" w:rsidRPr="003B48CE" w:rsidRDefault="008637EF" w:rsidP="005A7661">
            <w:pPr>
              <w:pStyle w:val="Tirets"/>
              <w:spacing w:line="240" w:lineRule="auto"/>
              <w:ind w:left="313"/>
            </w:pPr>
            <w:r w:rsidRPr="003B48CE">
              <w:t>se conformer aux règles et tarifs validés par l’Autorité ;</w:t>
            </w:r>
          </w:p>
          <w:p w14:paraId="06DC4219" w14:textId="77777777" w:rsidR="008637EF" w:rsidRPr="003B48CE" w:rsidRDefault="008637EF" w:rsidP="005A7661">
            <w:pPr>
              <w:pStyle w:val="Tirets"/>
              <w:spacing w:line="240" w:lineRule="auto"/>
              <w:ind w:left="313"/>
            </w:pPr>
            <w:r w:rsidRPr="003B48CE">
              <w:t>coopérer en cas de contrôle ou d’audit réalisé par les agents assermentés de l’ANRE ;</w:t>
            </w:r>
          </w:p>
          <w:p w14:paraId="4AE0661D" w14:textId="77777777" w:rsidR="008637EF" w:rsidRPr="009738A3" w:rsidRDefault="008637EF" w:rsidP="005A7661">
            <w:pPr>
              <w:pStyle w:val="Tirets"/>
              <w:spacing w:line="240" w:lineRule="auto"/>
              <w:ind w:left="313"/>
            </w:pPr>
            <w:r w:rsidRPr="003B48CE">
              <w:t>régler, le cas échéant, tout différend relatif au raccordement ou à l’utilisation du réseau via le comité compétent de l’ANRE.</w:t>
            </w:r>
          </w:p>
        </w:tc>
      </w:tr>
    </w:tbl>
    <w:p w14:paraId="0E38C98F" w14:textId="77777777" w:rsidR="008637EF" w:rsidRDefault="008637EF" w:rsidP="008637EF">
      <w:pPr>
        <w:pStyle w:val="Title2"/>
        <w:spacing w:before="120"/>
      </w:pPr>
      <w:bookmarkStart w:id="85" w:name="_Toc215131804"/>
      <w:r>
        <w:t>Cadre institutionnel</w:t>
      </w:r>
      <w:bookmarkEnd w:id="85"/>
    </w:p>
    <w:p w14:paraId="339920F5" w14:textId="559F59F8" w:rsidR="008637EF" w:rsidRPr="00273BD5" w:rsidRDefault="008637EF" w:rsidP="008637EF">
      <w:pPr>
        <w:spacing w:before="0" w:after="0"/>
        <w:rPr>
          <w:b/>
        </w:rPr>
      </w:pPr>
      <w:r w:rsidRPr="00AF08B6">
        <w:t xml:space="preserve">Le projet </w:t>
      </w:r>
      <w:r w:rsidR="00FD58ED" w:rsidRPr="00BD4D87">
        <w:t>de modernisation et d’extension des infrastructures aéroportuaires</w:t>
      </w:r>
      <w:r w:rsidR="00FD58ED" w:rsidRPr="004637C7">
        <w:t xml:space="preserve"> </w:t>
      </w:r>
      <w:r w:rsidRPr="00AF08B6">
        <w:t xml:space="preserve">de l’aéroport </w:t>
      </w:r>
      <w:r w:rsidR="00EE6509">
        <w:t>Marrakech Ménara</w:t>
      </w:r>
      <w:r w:rsidR="00EE6509" w:rsidRPr="00AF08B6">
        <w:t xml:space="preserve"> </w:t>
      </w:r>
      <w:r w:rsidRPr="00AF08B6">
        <w:t xml:space="preserve">mobilise un large éventail d’institutions nationales, régionales et locales, chacune disposant de compétences spécifiques en matière de gestion environnementale et sociale. Le tableau ci-après présente ces acteurs institutionnels, leurs principaux rôles et responsabilités ainsi que leur contribution directe ou indirecte à la bonne conduite du projet. Cette cartographie permet de clarifier les missions de chaque institution et de mettre en évidence les mécanismes de coordination </w:t>
      </w:r>
      <w:r w:rsidRPr="00AF08B6">
        <w:lastRenderedPageBreak/>
        <w:t>nécessaires pour assurer le respect du cadre réglementaire et la prise en compte des enjeux environnementaux, sociaux et territoriaux.</w:t>
      </w:r>
    </w:p>
    <w:p w14:paraId="14921EB7" w14:textId="50DFE25F" w:rsidR="008637EF" w:rsidRDefault="008637EF" w:rsidP="008637EF">
      <w:pPr>
        <w:pStyle w:val="Lgende"/>
        <w:keepNext/>
      </w:pPr>
      <w:bookmarkStart w:id="86" w:name="_Toc213404337"/>
      <w:r>
        <w:t xml:space="preserve">Tableau </w:t>
      </w:r>
      <w:r>
        <w:fldChar w:fldCharType="begin"/>
      </w:r>
      <w:r>
        <w:instrText xml:space="preserve"> SEQ Tableau \* ARABIC </w:instrText>
      </w:r>
      <w:r>
        <w:fldChar w:fldCharType="separate"/>
      </w:r>
      <w:r w:rsidR="00274E71">
        <w:rPr>
          <w:noProof/>
        </w:rPr>
        <w:t>14</w:t>
      </w:r>
      <w:r>
        <w:fldChar w:fldCharType="end"/>
      </w:r>
      <w:r>
        <w:rPr>
          <w:lang w:val="fr-FR"/>
        </w:rPr>
        <w:t xml:space="preserve"> : </w:t>
      </w:r>
      <w:r w:rsidRPr="00531ADC">
        <w:rPr>
          <w:lang w:val="fr-FR"/>
        </w:rPr>
        <w:t>Acteurs institutionnels et leur contribution à la gestion environnementale et sociale du projet</w:t>
      </w:r>
      <w:bookmarkEnd w:id="86"/>
    </w:p>
    <w:tbl>
      <w:tblPr>
        <w:tblStyle w:val="TableauGrille1Clair-Accentuation111"/>
        <w:tblW w:w="0" w:type="auto"/>
        <w:tblLook w:val="04A0" w:firstRow="1" w:lastRow="0" w:firstColumn="1" w:lastColumn="0" w:noHBand="0" w:noVBand="1"/>
      </w:tblPr>
      <w:tblGrid>
        <w:gridCol w:w="2263"/>
        <w:gridCol w:w="3402"/>
        <w:gridCol w:w="3397"/>
      </w:tblGrid>
      <w:tr w:rsidR="008637EF" w:rsidRPr="00AF08B6" w14:paraId="40497FBF" w14:textId="77777777" w:rsidTr="00737967">
        <w:trPr>
          <w:cnfStyle w:val="100000000000" w:firstRow="1" w:lastRow="0" w:firstColumn="0" w:lastColumn="0" w:oddVBand="0" w:evenVBand="0" w:oddHBand="0" w:evenHBand="0" w:firstRowFirstColumn="0" w:firstRowLastColumn="0" w:lastRowFirstColumn="0" w:lastRowLastColumn="0"/>
          <w:trHeight w:val="510"/>
          <w:tblHeader/>
        </w:trPr>
        <w:tc>
          <w:tcPr>
            <w:cnfStyle w:val="001000000000" w:firstRow="0" w:lastRow="0" w:firstColumn="1" w:lastColumn="0" w:oddVBand="0" w:evenVBand="0" w:oddHBand="0" w:evenHBand="0" w:firstRowFirstColumn="0" w:firstRowLastColumn="0" w:lastRowFirstColumn="0" w:lastRowLastColumn="0"/>
            <w:tcW w:w="2263" w:type="dxa"/>
            <w:hideMark/>
          </w:tcPr>
          <w:p w14:paraId="44B0FF70" w14:textId="77777777" w:rsidR="008637EF" w:rsidRPr="004637C7" w:rsidRDefault="008637EF" w:rsidP="005A7661">
            <w:pPr>
              <w:spacing w:before="0" w:after="0"/>
              <w:jc w:val="center"/>
              <w:rPr>
                <w:b w:val="0"/>
                <w:bCs w:val="0"/>
                <w:color w:val="000000" w:themeColor="text1"/>
              </w:rPr>
            </w:pPr>
            <w:r w:rsidRPr="004637C7">
              <w:rPr>
                <w:color w:val="000000" w:themeColor="text1"/>
              </w:rPr>
              <w:t>Institution / Organe</w:t>
            </w:r>
          </w:p>
        </w:tc>
        <w:tc>
          <w:tcPr>
            <w:tcW w:w="3402" w:type="dxa"/>
            <w:hideMark/>
          </w:tcPr>
          <w:p w14:paraId="554444ED" w14:textId="77777777" w:rsidR="008637EF" w:rsidRPr="004637C7" w:rsidRDefault="008637EF" w:rsidP="005A7661">
            <w:pPr>
              <w:spacing w:before="0" w:after="0"/>
              <w:jc w:val="center"/>
              <w:cnfStyle w:val="100000000000" w:firstRow="1" w:lastRow="0" w:firstColumn="0" w:lastColumn="0" w:oddVBand="0" w:evenVBand="0" w:oddHBand="0" w:evenHBand="0" w:firstRowFirstColumn="0" w:firstRowLastColumn="0" w:lastRowFirstColumn="0" w:lastRowLastColumn="0"/>
              <w:rPr>
                <w:b w:val="0"/>
                <w:bCs w:val="0"/>
                <w:color w:val="000000" w:themeColor="text1"/>
              </w:rPr>
            </w:pPr>
            <w:r w:rsidRPr="004637C7">
              <w:rPr>
                <w:color w:val="000000" w:themeColor="text1"/>
              </w:rPr>
              <w:t>Rôle et responsabilités principales</w:t>
            </w:r>
          </w:p>
        </w:tc>
        <w:tc>
          <w:tcPr>
            <w:tcW w:w="3397" w:type="dxa"/>
            <w:hideMark/>
          </w:tcPr>
          <w:p w14:paraId="37151EC0" w14:textId="77777777" w:rsidR="008637EF" w:rsidRPr="004637C7" w:rsidRDefault="008637EF" w:rsidP="005A7661">
            <w:pPr>
              <w:spacing w:before="0" w:after="0"/>
              <w:jc w:val="center"/>
              <w:cnfStyle w:val="100000000000" w:firstRow="1" w:lastRow="0" w:firstColumn="0" w:lastColumn="0" w:oddVBand="0" w:evenVBand="0" w:oddHBand="0" w:evenHBand="0" w:firstRowFirstColumn="0" w:firstRowLastColumn="0" w:lastRowFirstColumn="0" w:lastRowLastColumn="0"/>
              <w:rPr>
                <w:b w:val="0"/>
                <w:bCs w:val="0"/>
                <w:color w:val="000000" w:themeColor="text1"/>
              </w:rPr>
            </w:pPr>
            <w:r w:rsidRPr="004637C7">
              <w:rPr>
                <w:color w:val="000000" w:themeColor="text1"/>
              </w:rPr>
              <w:t>Contribution au projet</w:t>
            </w:r>
          </w:p>
        </w:tc>
      </w:tr>
      <w:tr w:rsidR="008637EF" w:rsidRPr="00AF08B6" w14:paraId="52788131" w14:textId="77777777" w:rsidTr="00737967">
        <w:tc>
          <w:tcPr>
            <w:cnfStyle w:val="001000000000" w:firstRow="0" w:lastRow="0" w:firstColumn="1" w:lastColumn="0" w:oddVBand="0" w:evenVBand="0" w:oddHBand="0" w:evenHBand="0" w:firstRowFirstColumn="0" w:firstRowLastColumn="0" w:lastRowFirstColumn="0" w:lastRowLastColumn="0"/>
            <w:tcW w:w="2263" w:type="dxa"/>
          </w:tcPr>
          <w:p w14:paraId="5EB68D9D" w14:textId="77777777" w:rsidR="008637EF" w:rsidRPr="00273BD5" w:rsidRDefault="008637EF" w:rsidP="005A7661">
            <w:pPr>
              <w:spacing w:before="0" w:after="0"/>
            </w:pPr>
            <w:r w:rsidRPr="00900B08">
              <w:t>Centre Régional d’Investissement (CRI) et CRUI</w:t>
            </w:r>
          </w:p>
        </w:tc>
        <w:tc>
          <w:tcPr>
            <w:tcW w:w="3402" w:type="dxa"/>
          </w:tcPr>
          <w:p w14:paraId="1C63A7F7" w14:textId="77777777" w:rsidR="008637EF" w:rsidRPr="00273BD5" w:rsidRDefault="008637EF" w:rsidP="005A7661">
            <w:pPr>
              <w:spacing w:before="0" w:after="0"/>
              <w:cnfStyle w:val="000000000000" w:firstRow="0" w:lastRow="0" w:firstColumn="0" w:lastColumn="0" w:oddVBand="0" w:evenVBand="0" w:oddHBand="0" w:evenHBand="0" w:firstRowFirstColumn="0" w:firstRowLastColumn="0" w:lastRowFirstColumn="0" w:lastRowLastColumn="0"/>
            </w:pPr>
            <w:r w:rsidRPr="00900B08">
              <w:t>Instance régionale de coordination et de pilotage des projets d’investissement, regroupant toutes les administrations compétentes</w:t>
            </w:r>
          </w:p>
        </w:tc>
        <w:tc>
          <w:tcPr>
            <w:tcW w:w="3397" w:type="dxa"/>
          </w:tcPr>
          <w:p w14:paraId="362F5FBC" w14:textId="77777777" w:rsidR="008637EF" w:rsidRPr="00273BD5" w:rsidRDefault="008637EF" w:rsidP="005A7661">
            <w:pPr>
              <w:spacing w:before="0" w:after="0"/>
              <w:cnfStyle w:val="000000000000" w:firstRow="0" w:lastRow="0" w:firstColumn="0" w:lastColumn="0" w:oddVBand="0" w:evenVBand="0" w:oddHBand="0" w:evenHBand="0" w:firstRowFirstColumn="0" w:firstRowLastColumn="0" w:lastRowFirstColumn="0" w:lastRowLastColumn="0"/>
            </w:pPr>
            <w:r w:rsidRPr="00900B08">
              <w:t>Validation de l’EIES et délivrance des autorisations nécessaires au projet, coordination interinstitutionnelle</w:t>
            </w:r>
          </w:p>
        </w:tc>
      </w:tr>
      <w:tr w:rsidR="008637EF" w:rsidRPr="00E66DEE" w14:paraId="33330C08" w14:textId="77777777" w:rsidTr="00737967">
        <w:tc>
          <w:tcPr>
            <w:cnfStyle w:val="001000000000" w:firstRow="0" w:lastRow="0" w:firstColumn="1" w:lastColumn="0" w:oddVBand="0" w:evenVBand="0" w:oddHBand="0" w:evenHBand="0" w:firstRowFirstColumn="0" w:firstRowLastColumn="0" w:lastRowFirstColumn="0" w:lastRowLastColumn="0"/>
            <w:tcW w:w="2263" w:type="dxa"/>
            <w:hideMark/>
          </w:tcPr>
          <w:p w14:paraId="74012318" w14:textId="77777777" w:rsidR="008637EF" w:rsidRPr="00273BD5" w:rsidRDefault="008637EF" w:rsidP="005A7661">
            <w:pPr>
              <w:spacing w:before="0" w:after="0"/>
            </w:pPr>
            <w:r w:rsidRPr="00273BD5">
              <w:t>Ministère de la Transition énergétique et du Développement durable</w:t>
            </w:r>
          </w:p>
        </w:tc>
        <w:tc>
          <w:tcPr>
            <w:tcW w:w="3402" w:type="dxa"/>
            <w:hideMark/>
          </w:tcPr>
          <w:p w14:paraId="6AAC37F1" w14:textId="77777777" w:rsidR="008637EF" w:rsidRPr="00273BD5" w:rsidRDefault="008637EF" w:rsidP="005A7661">
            <w:pPr>
              <w:spacing w:before="0" w:after="0"/>
              <w:cnfStyle w:val="000000000000" w:firstRow="0" w:lastRow="0" w:firstColumn="0" w:lastColumn="0" w:oddVBand="0" w:evenVBand="0" w:oddHBand="0" w:evenHBand="0" w:firstRowFirstColumn="0" w:firstRowLastColumn="0" w:lastRowFirstColumn="0" w:lastRowLastColumn="0"/>
            </w:pPr>
            <w:r w:rsidRPr="00273BD5">
              <w:t>Coordination nationale en matière d’environnement, élaboration du cadre juridique, surveillance et contrôle</w:t>
            </w:r>
            <w:r>
              <w:t>.</w:t>
            </w:r>
          </w:p>
        </w:tc>
        <w:tc>
          <w:tcPr>
            <w:tcW w:w="3397" w:type="dxa"/>
            <w:hideMark/>
          </w:tcPr>
          <w:p w14:paraId="6BEB0BDD" w14:textId="77777777" w:rsidR="008637EF" w:rsidRPr="00273BD5" w:rsidRDefault="008637EF" w:rsidP="005A7661">
            <w:pPr>
              <w:spacing w:before="0" w:after="0"/>
              <w:cnfStyle w:val="000000000000" w:firstRow="0" w:lastRow="0" w:firstColumn="0" w:lastColumn="0" w:oddVBand="0" w:evenVBand="0" w:oddHBand="0" w:evenHBand="0" w:firstRowFirstColumn="0" w:firstRowLastColumn="0" w:lastRowFirstColumn="0" w:lastRowLastColumn="0"/>
            </w:pPr>
            <w:r w:rsidRPr="00273BD5">
              <w:t>Supervision générale de l’EIES, élaboration et suivi du cadre réglementaire environnemental</w:t>
            </w:r>
          </w:p>
        </w:tc>
      </w:tr>
      <w:tr w:rsidR="008637EF" w:rsidRPr="00E66DEE" w14:paraId="2241482E" w14:textId="77777777" w:rsidTr="00737967">
        <w:tc>
          <w:tcPr>
            <w:cnfStyle w:val="001000000000" w:firstRow="0" w:lastRow="0" w:firstColumn="1" w:lastColumn="0" w:oddVBand="0" w:evenVBand="0" w:oddHBand="0" w:evenHBand="0" w:firstRowFirstColumn="0" w:firstRowLastColumn="0" w:lastRowFirstColumn="0" w:lastRowLastColumn="0"/>
            <w:tcW w:w="2263" w:type="dxa"/>
            <w:hideMark/>
          </w:tcPr>
          <w:p w14:paraId="4861545D" w14:textId="77777777" w:rsidR="008637EF" w:rsidRPr="00273BD5" w:rsidRDefault="008637EF" w:rsidP="005A7661">
            <w:pPr>
              <w:spacing w:before="0" w:after="0"/>
            </w:pPr>
            <w:r w:rsidRPr="00273BD5">
              <w:t>Ministère de l’Équipement et de l’Eau</w:t>
            </w:r>
          </w:p>
        </w:tc>
        <w:tc>
          <w:tcPr>
            <w:tcW w:w="3402" w:type="dxa"/>
            <w:hideMark/>
          </w:tcPr>
          <w:p w14:paraId="58EE5C3C" w14:textId="77777777" w:rsidR="008637EF" w:rsidRPr="00273BD5" w:rsidRDefault="008637EF" w:rsidP="005A7661">
            <w:pPr>
              <w:spacing w:before="0" w:after="0"/>
              <w:cnfStyle w:val="000000000000" w:firstRow="0" w:lastRow="0" w:firstColumn="0" w:lastColumn="0" w:oddVBand="0" w:evenVBand="0" w:oddHBand="0" w:evenHBand="0" w:firstRowFirstColumn="0" w:firstRowLastColumn="0" w:lastRowFirstColumn="0" w:lastRowLastColumn="0"/>
            </w:pPr>
            <w:r w:rsidRPr="00273BD5">
              <w:t>Politique des transports (routier, ferroviaire, aérien, maritime), sécurité routière, gestion du domaine public hydraulique, littoral et carrières</w:t>
            </w:r>
          </w:p>
        </w:tc>
        <w:tc>
          <w:tcPr>
            <w:tcW w:w="3397" w:type="dxa"/>
            <w:hideMark/>
          </w:tcPr>
          <w:p w14:paraId="4B554B94" w14:textId="77777777" w:rsidR="008637EF" w:rsidRPr="00273BD5" w:rsidRDefault="008637EF" w:rsidP="005A7661">
            <w:pPr>
              <w:spacing w:before="0" w:after="0"/>
              <w:cnfStyle w:val="000000000000" w:firstRow="0" w:lastRow="0" w:firstColumn="0" w:lastColumn="0" w:oddVBand="0" w:evenVBand="0" w:oddHBand="0" w:evenHBand="0" w:firstRowFirstColumn="0" w:firstRowLastColumn="0" w:lastRowFirstColumn="0" w:lastRowLastColumn="0"/>
            </w:pPr>
            <w:r w:rsidRPr="00273BD5">
              <w:t>Appui à la conception et au contrôle des infrastructures aéroportuaires, gestion des ressources hydriques et du littoral</w:t>
            </w:r>
          </w:p>
        </w:tc>
      </w:tr>
      <w:tr w:rsidR="008637EF" w:rsidRPr="00E66DEE" w14:paraId="0F18FAFE" w14:textId="77777777" w:rsidTr="00737967">
        <w:tc>
          <w:tcPr>
            <w:cnfStyle w:val="001000000000" w:firstRow="0" w:lastRow="0" w:firstColumn="1" w:lastColumn="0" w:oddVBand="0" w:evenVBand="0" w:oddHBand="0" w:evenHBand="0" w:firstRowFirstColumn="0" w:firstRowLastColumn="0" w:lastRowFirstColumn="0" w:lastRowLastColumn="0"/>
            <w:tcW w:w="2263" w:type="dxa"/>
            <w:hideMark/>
          </w:tcPr>
          <w:p w14:paraId="3D7AD744" w14:textId="77777777" w:rsidR="008637EF" w:rsidRPr="00273BD5" w:rsidRDefault="008637EF" w:rsidP="005A7661">
            <w:pPr>
              <w:spacing w:before="0" w:after="0"/>
            </w:pPr>
            <w:r w:rsidRPr="00273BD5">
              <w:t>Ministère de l’Intérieur / DGCL</w:t>
            </w:r>
          </w:p>
        </w:tc>
        <w:tc>
          <w:tcPr>
            <w:tcW w:w="3402" w:type="dxa"/>
            <w:hideMark/>
          </w:tcPr>
          <w:p w14:paraId="2CA11B47" w14:textId="77777777" w:rsidR="008637EF" w:rsidRPr="00273BD5" w:rsidRDefault="008637EF" w:rsidP="005A7661">
            <w:pPr>
              <w:spacing w:before="0" w:after="0"/>
              <w:cnfStyle w:val="000000000000" w:firstRow="0" w:lastRow="0" w:firstColumn="0" w:lastColumn="0" w:oddVBand="0" w:evenVBand="0" w:oddHBand="0" w:evenHBand="0" w:firstRowFirstColumn="0" w:firstRowLastColumn="0" w:lastRowFirstColumn="0" w:lastRowLastColumn="0"/>
            </w:pPr>
            <w:r w:rsidRPr="00273BD5">
              <w:t>Tutelle des collectivités locales, planification communale, gestion eau potable, assainissement, déchets solides, protection des ressources naturelles</w:t>
            </w:r>
          </w:p>
        </w:tc>
        <w:tc>
          <w:tcPr>
            <w:tcW w:w="3397" w:type="dxa"/>
            <w:hideMark/>
          </w:tcPr>
          <w:p w14:paraId="3BA048E3" w14:textId="77777777" w:rsidR="008637EF" w:rsidRPr="00273BD5" w:rsidRDefault="008637EF" w:rsidP="005A7661">
            <w:pPr>
              <w:spacing w:before="0" w:after="0"/>
              <w:cnfStyle w:val="000000000000" w:firstRow="0" w:lastRow="0" w:firstColumn="0" w:lastColumn="0" w:oddVBand="0" w:evenVBand="0" w:oddHBand="0" w:evenHBand="0" w:firstRowFirstColumn="0" w:firstRowLastColumn="0" w:lastRowFirstColumn="0" w:lastRowLastColumn="0"/>
            </w:pPr>
            <w:r w:rsidRPr="00273BD5">
              <w:t>Suivi des projets communaux liés à l’aéroport, appui à la gestion des services locaux (eau, assainissement, déchets)</w:t>
            </w:r>
          </w:p>
        </w:tc>
      </w:tr>
      <w:tr w:rsidR="008637EF" w:rsidRPr="00E66DEE" w14:paraId="5D2CCDA8" w14:textId="77777777" w:rsidTr="00737967">
        <w:tc>
          <w:tcPr>
            <w:cnfStyle w:val="001000000000" w:firstRow="0" w:lastRow="0" w:firstColumn="1" w:lastColumn="0" w:oddVBand="0" w:evenVBand="0" w:oddHBand="0" w:evenHBand="0" w:firstRowFirstColumn="0" w:firstRowLastColumn="0" w:lastRowFirstColumn="0" w:lastRowLastColumn="0"/>
            <w:tcW w:w="2263" w:type="dxa"/>
            <w:hideMark/>
          </w:tcPr>
          <w:p w14:paraId="4C61A389" w14:textId="77777777" w:rsidR="008637EF" w:rsidRPr="00273BD5" w:rsidRDefault="008637EF" w:rsidP="005A7661">
            <w:pPr>
              <w:spacing w:before="0" w:after="0"/>
            </w:pPr>
            <w:r w:rsidRPr="00273BD5">
              <w:t>Ministère de l’Agriculture, Pêche Maritime, Développement Rural et Eaux &amp; Forêts</w:t>
            </w:r>
          </w:p>
        </w:tc>
        <w:tc>
          <w:tcPr>
            <w:tcW w:w="3402" w:type="dxa"/>
            <w:hideMark/>
          </w:tcPr>
          <w:p w14:paraId="58CBA0A0" w14:textId="77777777" w:rsidR="008637EF" w:rsidRPr="00273BD5" w:rsidRDefault="008637EF" w:rsidP="005A7661">
            <w:pPr>
              <w:spacing w:before="0" w:after="0"/>
              <w:cnfStyle w:val="000000000000" w:firstRow="0" w:lastRow="0" w:firstColumn="0" w:lastColumn="0" w:oddVBand="0" w:evenVBand="0" w:oddHBand="0" w:evenHBand="0" w:firstRowFirstColumn="0" w:firstRowLastColumn="0" w:lastRowFirstColumn="0" w:lastRowLastColumn="0"/>
            </w:pPr>
            <w:r w:rsidRPr="00273BD5">
              <w:t>Gestion de l’irrigation, aménagement agricole, assistance technique rurale, approvisionnement en eau brute et potable</w:t>
            </w:r>
          </w:p>
        </w:tc>
        <w:tc>
          <w:tcPr>
            <w:tcW w:w="3397" w:type="dxa"/>
            <w:hideMark/>
          </w:tcPr>
          <w:p w14:paraId="16DDFC82" w14:textId="5630A667" w:rsidR="008637EF" w:rsidRPr="00273BD5" w:rsidRDefault="008637EF" w:rsidP="005A7661">
            <w:pPr>
              <w:spacing w:before="0" w:after="0"/>
              <w:cnfStyle w:val="000000000000" w:firstRow="0" w:lastRow="0" w:firstColumn="0" w:lastColumn="0" w:oddVBand="0" w:evenVBand="0" w:oddHBand="0" w:evenHBand="0" w:firstRowFirstColumn="0" w:firstRowLastColumn="0" w:lastRowFirstColumn="0" w:lastRowLastColumn="0"/>
            </w:pPr>
            <w:r w:rsidRPr="00273BD5">
              <w:t xml:space="preserve">Gestion des ressources en eau </w:t>
            </w:r>
          </w:p>
        </w:tc>
      </w:tr>
      <w:tr w:rsidR="008637EF" w:rsidRPr="00E66DEE" w14:paraId="4E6C0002" w14:textId="77777777" w:rsidTr="00737967">
        <w:tc>
          <w:tcPr>
            <w:cnfStyle w:val="001000000000" w:firstRow="0" w:lastRow="0" w:firstColumn="1" w:lastColumn="0" w:oddVBand="0" w:evenVBand="0" w:oddHBand="0" w:evenHBand="0" w:firstRowFirstColumn="0" w:firstRowLastColumn="0" w:lastRowFirstColumn="0" w:lastRowLastColumn="0"/>
            <w:tcW w:w="2263" w:type="dxa"/>
            <w:hideMark/>
          </w:tcPr>
          <w:p w14:paraId="1ADA9C58" w14:textId="77777777" w:rsidR="008637EF" w:rsidRPr="00273BD5" w:rsidRDefault="008637EF" w:rsidP="005A7661">
            <w:pPr>
              <w:spacing w:before="0" w:after="0"/>
            </w:pPr>
            <w:r w:rsidRPr="00273BD5">
              <w:t>Direction de l’Irrigation et de l’Aménagement de l’Espace Agricole</w:t>
            </w:r>
          </w:p>
        </w:tc>
        <w:tc>
          <w:tcPr>
            <w:tcW w:w="3402" w:type="dxa"/>
            <w:hideMark/>
          </w:tcPr>
          <w:p w14:paraId="4FACAE8A" w14:textId="77777777" w:rsidR="008637EF" w:rsidRPr="00273BD5" w:rsidRDefault="008637EF" w:rsidP="005A7661">
            <w:pPr>
              <w:spacing w:before="0" w:after="0"/>
              <w:cnfStyle w:val="000000000000" w:firstRow="0" w:lastRow="0" w:firstColumn="0" w:lastColumn="0" w:oddVBand="0" w:evenVBand="0" w:oddHBand="0" w:evenHBand="0" w:firstRowFirstColumn="0" w:firstRowLastColumn="0" w:lastRowFirstColumn="0" w:lastRowLastColumn="0"/>
            </w:pPr>
            <w:r w:rsidRPr="00273BD5">
              <w:t>Aménagement des terres irriguées, bours et parcours</w:t>
            </w:r>
          </w:p>
        </w:tc>
        <w:tc>
          <w:tcPr>
            <w:tcW w:w="3397" w:type="dxa"/>
            <w:hideMark/>
          </w:tcPr>
          <w:p w14:paraId="2EB0C46B" w14:textId="236C9A2E" w:rsidR="008637EF" w:rsidRPr="00273BD5" w:rsidRDefault="008637EF" w:rsidP="005A7661">
            <w:pPr>
              <w:spacing w:before="0" w:after="0"/>
              <w:cnfStyle w:val="000000000000" w:firstRow="0" w:lastRow="0" w:firstColumn="0" w:lastColumn="0" w:oddVBand="0" w:evenVBand="0" w:oddHBand="0" w:evenHBand="0" w:firstRowFirstColumn="0" w:firstRowLastColumn="0" w:lastRowFirstColumn="0" w:lastRowLastColumn="0"/>
            </w:pPr>
            <w:r w:rsidRPr="00273BD5">
              <w:t xml:space="preserve">Contribution à la gestion durable des sols </w:t>
            </w:r>
          </w:p>
        </w:tc>
      </w:tr>
      <w:tr w:rsidR="008637EF" w:rsidRPr="00E66DEE" w14:paraId="0D172A7B" w14:textId="77777777" w:rsidTr="00737967">
        <w:tc>
          <w:tcPr>
            <w:cnfStyle w:val="001000000000" w:firstRow="0" w:lastRow="0" w:firstColumn="1" w:lastColumn="0" w:oddVBand="0" w:evenVBand="0" w:oddHBand="0" w:evenHBand="0" w:firstRowFirstColumn="0" w:firstRowLastColumn="0" w:lastRowFirstColumn="0" w:lastRowLastColumn="0"/>
            <w:tcW w:w="2263" w:type="dxa"/>
            <w:hideMark/>
          </w:tcPr>
          <w:p w14:paraId="20491CFA" w14:textId="77777777" w:rsidR="008637EF" w:rsidRPr="00273BD5" w:rsidRDefault="008637EF" w:rsidP="005A7661">
            <w:pPr>
              <w:spacing w:before="0" w:after="0"/>
            </w:pPr>
            <w:r w:rsidRPr="00273BD5">
              <w:t>Agence Nationale des Eaux et Forêts (ANEF)</w:t>
            </w:r>
          </w:p>
        </w:tc>
        <w:tc>
          <w:tcPr>
            <w:tcW w:w="3402" w:type="dxa"/>
            <w:hideMark/>
          </w:tcPr>
          <w:p w14:paraId="2FE96AE7" w14:textId="77777777" w:rsidR="008637EF" w:rsidRPr="00273BD5" w:rsidRDefault="008637EF" w:rsidP="005A7661">
            <w:pPr>
              <w:spacing w:before="0" w:after="0"/>
              <w:cnfStyle w:val="000000000000" w:firstRow="0" w:lastRow="0" w:firstColumn="0" w:lastColumn="0" w:oddVBand="0" w:evenVBand="0" w:oddHBand="0" w:evenHBand="0" w:firstRowFirstColumn="0" w:firstRowLastColumn="0" w:lastRowFirstColumn="0" w:lastRowLastColumn="0"/>
            </w:pPr>
            <w:r w:rsidRPr="00273BD5">
              <w:t>Conservation et développement des ressources forestières, lutte contre la désertification, gestion cynégétique et piscicole, coordination des conventions internationales</w:t>
            </w:r>
          </w:p>
        </w:tc>
        <w:tc>
          <w:tcPr>
            <w:tcW w:w="3397" w:type="dxa"/>
            <w:hideMark/>
          </w:tcPr>
          <w:p w14:paraId="28B6EFB8" w14:textId="77777777" w:rsidR="008637EF" w:rsidRPr="00273BD5" w:rsidRDefault="008637EF" w:rsidP="005A7661">
            <w:pPr>
              <w:spacing w:before="0" w:after="0"/>
              <w:cnfStyle w:val="000000000000" w:firstRow="0" w:lastRow="0" w:firstColumn="0" w:lastColumn="0" w:oddVBand="0" w:evenVBand="0" w:oddHBand="0" w:evenHBand="0" w:firstRowFirstColumn="0" w:firstRowLastColumn="0" w:lastRowFirstColumn="0" w:lastRowLastColumn="0"/>
            </w:pPr>
            <w:r w:rsidRPr="00273BD5">
              <w:t>Suivi des impacts sur la biodiversité, mise en œuvre de mesures de compensation et de conservation</w:t>
            </w:r>
          </w:p>
        </w:tc>
      </w:tr>
      <w:tr w:rsidR="008637EF" w:rsidRPr="00E66DEE" w14:paraId="0C80A026" w14:textId="77777777" w:rsidTr="00737967">
        <w:tc>
          <w:tcPr>
            <w:cnfStyle w:val="001000000000" w:firstRow="0" w:lastRow="0" w:firstColumn="1" w:lastColumn="0" w:oddVBand="0" w:evenVBand="0" w:oddHBand="0" w:evenHBand="0" w:firstRowFirstColumn="0" w:firstRowLastColumn="0" w:lastRowFirstColumn="0" w:lastRowLastColumn="0"/>
            <w:tcW w:w="2263" w:type="dxa"/>
            <w:hideMark/>
          </w:tcPr>
          <w:p w14:paraId="4CC572D8" w14:textId="77777777" w:rsidR="008637EF" w:rsidRPr="00273BD5" w:rsidRDefault="008637EF" w:rsidP="005A7661">
            <w:pPr>
              <w:spacing w:before="0" w:after="0"/>
            </w:pPr>
            <w:r w:rsidRPr="00273BD5">
              <w:t>Ministère de l’Aménagement du Territoire, Urbanisme, Habitat et Politique de la Ville</w:t>
            </w:r>
          </w:p>
        </w:tc>
        <w:tc>
          <w:tcPr>
            <w:tcW w:w="3402" w:type="dxa"/>
            <w:hideMark/>
          </w:tcPr>
          <w:p w14:paraId="4DD3B138" w14:textId="77777777" w:rsidR="008637EF" w:rsidRPr="00273BD5" w:rsidRDefault="008637EF" w:rsidP="005A7661">
            <w:pPr>
              <w:spacing w:before="0" w:after="0"/>
              <w:cnfStyle w:val="000000000000" w:firstRow="0" w:lastRow="0" w:firstColumn="0" w:lastColumn="0" w:oddVBand="0" w:evenVBand="0" w:oddHBand="0" w:evenHBand="0" w:firstRowFirstColumn="0" w:firstRowLastColumn="0" w:lastRowFirstColumn="0" w:lastRowLastColumn="0"/>
            </w:pPr>
            <w:r w:rsidRPr="00273BD5">
              <w:t>Cohérence de l’action publique, planification territoriale, analyses stratégiques de développement durable</w:t>
            </w:r>
          </w:p>
        </w:tc>
        <w:tc>
          <w:tcPr>
            <w:tcW w:w="3397" w:type="dxa"/>
            <w:hideMark/>
          </w:tcPr>
          <w:p w14:paraId="4D4288A2" w14:textId="77777777" w:rsidR="008637EF" w:rsidRPr="00273BD5" w:rsidRDefault="008637EF" w:rsidP="005A7661">
            <w:pPr>
              <w:spacing w:before="0" w:after="0"/>
              <w:cnfStyle w:val="000000000000" w:firstRow="0" w:lastRow="0" w:firstColumn="0" w:lastColumn="0" w:oddVBand="0" w:evenVBand="0" w:oddHBand="0" w:evenHBand="0" w:firstRowFirstColumn="0" w:firstRowLastColumn="0" w:lastRowFirstColumn="0" w:lastRowLastColumn="0"/>
            </w:pPr>
            <w:r w:rsidRPr="00273BD5">
              <w:t>Contribution à l’intégration territoriale et urbanistique du projet</w:t>
            </w:r>
          </w:p>
        </w:tc>
      </w:tr>
      <w:tr w:rsidR="008637EF" w:rsidRPr="00E66DEE" w14:paraId="2D8A70B3" w14:textId="77777777" w:rsidTr="00737967">
        <w:tc>
          <w:tcPr>
            <w:cnfStyle w:val="001000000000" w:firstRow="0" w:lastRow="0" w:firstColumn="1" w:lastColumn="0" w:oddVBand="0" w:evenVBand="0" w:oddHBand="0" w:evenHBand="0" w:firstRowFirstColumn="0" w:firstRowLastColumn="0" w:lastRowFirstColumn="0" w:lastRowLastColumn="0"/>
            <w:tcW w:w="2263" w:type="dxa"/>
            <w:hideMark/>
          </w:tcPr>
          <w:p w14:paraId="3D8C777E" w14:textId="77777777" w:rsidR="008637EF" w:rsidRPr="00273BD5" w:rsidRDefault="008637EF" w:rsidP="005A7661">
            <w:pPr>
              <w:spacing w:before="0" w:after="0"/>
            </w:pPr>
            <w:r w:rsidRPr="00273BD5">
              <w:t>Ministère du Tourisme, de l’Artisanat et de l’Économie sociale et solidaire</w:t>
            </w:r>
          </w:p>
        </w:tc>
        <w:tc>
          <w:tcPr>
            <w:tcW w:w="3402" w:type="dxa"/>
            <w:hideMark/>
          </w:tcPr>
          <w:p w14:paraId="50D104A0" w14:textId="77777777" w:rsidR="008637EF" w:rsidRPr="00273BD5" w:rsidRDefault="008637EF" w:rsidP="005A7661">
            <w:pPr>
              <w:spacing w:before="0" w:after="0"/>
              <w:cnfStyle w:val="000000000000" w:firstRow="0" w:lastRow="0" w:firstColumn="0" w:lastColumn="0" w:oddVBand="0" w:evenVBand="0" w:oddHBand="0" w:evenHBand="0" w:firstRowFirstColumn="0" w:firstRowLastColumn="0" w:lastRowFirstColumn="0" w:lastRowLastColumn="0"/>
            </w:pPr>
            <w:r w:rsidRPr="00273BD5">
              <w:t>Développement d’un tourisme durable, gestion des zones touristiques, sensibilisation écologique</w:t>
            </w:r>
          </w:p>
        </w:tc>
        <w:tc>
          <w:tcPr>
            <w:tcW w:w="3397" w:type="dxa"/>
            <w:hideMark/>
          </w:tcPr>
          <w:p w14:paraId="7DAB3E85" w14:textId="77777777" w:rsidR="008637EF" w:rsidRPr="00273BD5" w:rsidRDefault="008637EF" w:rsidP="005A7661">
            <w:pPr>
              <w:spacing w:before="0" w:after="0"/>
              <w:cnfStyle w:val="000000000000" w:firstRow="0" w:lastRow="0" w:firstColumn="0" w:lastColumn="0" w:oddVBand="0" w:evenVBand="0" w:oddHBand="0" w:evenHBand="0" w:firstRowFirstColumn="0" w:firstRowLastColumn="0" w:lastRowFirstColumn="0" w:lastRowLastColumn="0"/>
            </w:pPr>
            <w:r w:rsidRPr="00273BD5">
              <w:t>Contribution à l’intégration du projet dans une dynamique de tourisme durable et responsable</w:t>
            </w:r>
          </w:p>
        </w:tc>
      </w:tr>
      <w:tr w:rsidR="008637EF" w:rsidRPr="00E66DEE" w14:paraId="7C540A75" w14:textId="77777777" w:rsidTr="00737967">
        <w:tc>
          <w:tcPr>
            <w:cnfStyle w:val="001000000000" w:firstRow="0" w:lastRow="0" w:firstColumn="1" w:lastColumn="0" w:oddVBand="0" w:evenVBand="0" w:oddHBand="0" w:evenHBand="0" w:firstRowFirstColumn="0" w:firstRowLastColumn="0" w:lastRowFirstColumn="0" w:lastRowLastColumn="0"/>
            <w:tcW w:w="2263" w:type="dxa"/>
            <w:hideMark/>
          </w:tcPr>
          <w:p w14:paraId="33124A96" w14:textId="77777777" w:rsidR="008637EF" w:rsidRPr="00273BD5" w:rsidRDefault="008637EF" w:rsidP="005A7661">
            <w:pPr>
              <w:spacing w:before="0" w:after="0"/>
            </w:pPr>
            <w:r w:rsidRPr="00273BD5">
              <w:lastRenderedPageBreak/>
              <w:t>Ministère de la Santé et de la Protection Sociale</w:t>
            </w:r>
          </w:p>
        </w:tc>
        <w:tc>
          <w:tcPr>
            <w:tcW w:w="3402" w:type="dxa"/>
            <w:hideMark/>
          </w:tcPr>
          <w:p w14:paraId="5FC421E0" w14:textId="77777777" w:rsidR="008637EF" w:rsidRPr="00273BD5" w:rsidRDefault="008637EF" w:rsidP="005A7661">
            <w:pPr>
              <w:spacing w:before="0" w:after="0"/>
              <w:cnfStyle w:val="000000000000" w:firstRow="0" w:lastRow="0" w:firstColumn="0" w:lastColumn="0" w:oddVBand="0" w:evenVBand="0" w:oddHBand="0" w:evenHBand="0" w:firstRowFirstColumn="0" w:firstRowLastColumn="0" w:lastRowFirstColumn="0" w:lastRowLastColumn="0"/>
            </w:pPr>
            <w:r w:rsidRPr="00273BD5">
              <w:t>Politique de santé publique, contrôle de la qualité de l’eau, prévention des maladies, gestion des déchets liés à la santé</w:t>
            </w:r>
          </w:p>
        </w:tc>
        <w:tc>
          <w:tcPr>
            <w:tcW w:w="3397" w:type="dxa"/>
            <w:hideMark/>
          </w:tcPr>
          <w:p w14:paraId="02546FDC" w14:textId="77777777" w:rsidR="008637EF" w:rsidRPr="00273BD5" w:rsidRDefault="008637EF" w:rsidP="005A7661">
            <w:pPr>
              <w:spacing w:before="0" w:after="0"/>
              <w:cnfStyle w:val="000000000000" w:firstRow="0" w:lastRow="0" w:firstColumn="0" w:lastColumn="0" w:oddVBand="0" w:evenVBand="0" w:oddHBand="0" w:evenHBand="0" w:firstRowFirstColumn="0" w:firstRowLastColumn="0" w:lastRowFirstColumn="0" w:lastRowLastColumn="0"/>
            </w:pPr>
            <w:r w:rsidRPr="00273BD5">
              <w:t>Suivi sanitaire des populations et des travailleurs, contrôle de la qualité des eaux et gestion des risques sanitaires</w:t>
            </w:r>
          </w:p>
        </w:tc>
      </w:tr>
      <w:tr w:rsidR="008637EF" w:rsidRPr="00E66DEE" w14:paraId="659A78D0" w14:textId="77777777" w:rsidTr="00737967">
        <w:tc>
          <w:tcPr>
            <w:cnfStyle w:val="001000000000" w:firstRow="0" w:lastRow="0" w:firstColumn="1" w:lastColumn="0" w:oddVBand="0" w:evenVBand="0" w:oddHBand="0" w:evenHBand="0" w:firstRowFirstColumn="0" w:firstRowLastColumn="0" w:lastRowFirstColumn="0" w:lastRowLastColumn="0"/>
            <w:tcW w:w="2263" w:type="dxa"/>
          </w:tcPr>
          <w:p w14:paraId="3F222BE8" w14:textId="77777777" w:rsidR="008637EF" w:rsidRPr="00C90DBC" w:rsidRDefault="008637EF" w:rsidP="005A7661">
            <w:pPr>
              <w:spacing w:before="0" w:after="0"/>
            </w:pPr>
            <w:r w:rsidRPr="00900B08">
              <w:t>Conseil National de l’Environnement</w:t>
            </w:r>
          </w:p>
        </w:tc>
        <w:tc>
          <w:tcPr>
            <w:tcW w:w="3402" w:type="dxa"/>
          </w:tcPr>
          <w:p w14:paraId="1CFB485D" w14:textId="77777777" w:rsidR="008637EF" w:rsidRPr="00C90DBC" w:rsidRDefault="008637EF" w:rsidP="005A7661">
            <w:pPr>
              <w:spacing w:before="0" w:after="0"/>
              <w:cnfStyle w:val="000000000000" w:firstRow="0" w:lastRow="0" w:firstColumn="0" w:lastColumn="0" w:oddVBand="0" w:evenVBand="0" w:oddHBand="0" w:evenHBand="0" w:firstRowFirstColumn="0" w:firstRowLastColumn="0" w:lastRowFirstColumn="0" w:lastRowLastColumn="0"/>
            </w:pPr>
            <w:r w:rsidRPr="00900B08">
              <w:t>Élaboration et exécution de la politique nationale environnementale, prévention des pollutions, amélioration du cadre de vie</w:t>
            </w:r>
          </w:p>
        </w:tc>
        <w:tc>
          <w:tcPr>
            <w:tcW w:w="3397" w:type="dxa"/>
          </w:tcPr>
          <w:p w14:paraId="6F13CC88" w14:textId="77777777" w:rsidR="008637EF" w:rsidRPr="00C90DBC" w:rsidRDefault="008637EF" w:rsidP="005A7661">
            <w:pPr>
              <w:spacing w:before="0" w:after="0"/>
              <w:cnfStyle w:val="000000000000" w:firstRow="0" w:lastRow="0" w:firstColumn="0" w:lastColumn="0" w:oddVBand="0" w:evenVBand="0" w:oddHBand="0" w:evenHBand="0" w:firstRowFirstColumn="0" w:firstRowLastColumn="0" w:lastRowFirstColumn="0" w:lastRowLastColumn="0"/>
            </w:pPr>
            <w:r w:rsidRPr="00900B08">
              <w:t>Instance de concertation et de validation des grandes orientations environnementales</w:t>
            </w:r>
          </w:p>
        </w:tc>
      </w:tr>
      <w:tr w:rsidR="008637EF" w:rsidRPr="00E66DEE" w14:paraId="389AD763" w14:textId="77777777" w:rsidTr="00737967">
        <w:tc>
          <w:tcPr>
            <w:cnfStyle w:val="001000000000" w:firstRow="0" w:lastRow="0" w:firstColumn="1" w:lastColumn="0" w:oddVBand="0" w:evenVBand="0" w:oddHBand="0" w:evenHBand="0" w:firstRowFirstColumn="0" w:firstRowLastColumn="0" w:lastRowFirstColumn="0" w:lastRowLastColumn="0"/>
            <w:tcW w:w="2263" w:type="dxa"/>
          </w:tcPr>
          <w:p w14:paraId="7219A3B1" w14:textId="77777777" w:rsidR="008637EF" w:rsidRPr="00C90DBC" w:rsidRDefault="008637EF" w:rsidP="005A7661">
            <w:pPr>
              <w:spacing w:before="0" w:after="0"/>
            </w:pPr>
            <w:r w:rsidRPr="00900B08">
              <w:t>Conseil Supérieur de l’Eau et du Climat</w:t>
            </w:r>
          </w:p>
        </w:tc>
        <w:tc>
          <w:tcPr>
            <w:tcW w:w="3402" w:type="dxa"/>
          </w:tcPr>
          <w:p w14:paraId="5CA9BF3A" w14:textId="77777777" w:rsidR="008637EF" w:rsidRPr="00C90DBC" w:rsidRDefault="008637EF" w:rsidP="005A7661">
            <w:pPr>
              <w:spacing w:before="0" w:after="0"/>
              <w:cnfStyle w:val="000000000000" w:firstRow="0" w:lastRow="0" w:firstColumn="0" w:lastColumn="0" w:oddVBand="0" w:evenVBand="0" w:oddHBand="0" w:evenHBand="0" w:firstRowFirstColumn="0" w:firstRowLastColumn="0" w:lastRowFirstColumn="0" w:lastRowLastColumn="0"/>
            </w:pPr>
            <w:r w:rsidRPr="00900B08">
              <w:t>Définition de la politique nationale de l’eau, stratégie climat, validation des plans directeurs hydriques</w:t>
            </w:r>
          </w:p>
        </w:tc>
        <w:tc>
          <w:tcPr>
            <w:tcW w:w="3397" w:type="dxa"/>
          </w:tcPr>
          <w:p w14:paraId="7719ECB5" w14:textId="77777777" w:rsidR="008637EF" w:rsidRPr="00C90DBC" w:rsidRDefault="008637EF" w:rsidP="005A7661">
            <w:pPr>
              <w:spacing w:before="0" w:after="0"/>
              <w:cnfStyle w:val="000000000000" w:firstRow="0" w:lastRow="0" w:firstColumn="0" w:lastColumn="0" w:oddVBand="0" w:evenVBand="0" w:oddHBand="0" w:evenHBand="0" w:firstRowFirstColumn="0" w:firstRowLastColumn="0" w:lastRowFirstColumn="0" w:lastRowLastColumn="0"/>
            </w:pPr>
            <w:r w:rsidRPr="00900B08">
              <w:t>Contribution à la sécurisation de l’approvisionnement en eau et à la résilience climatique du projet</w:t>
            </w:r>
          </w:p>
        </w:tc>
      </w:tr>
    </w:tbl>
    <w:p w14:paraId="2745BFB7" w14:textId="77777777" w:rsidR="008637EF" w:rsidRDefault="008637EF" w:rsidP="008637EF">
      <w:pPr>
        <w:spacing w:before="0" w:after="0"/>
        <w:rPr>
          <w:b/>
        </w:rPr>
      </w:pPr>
    </w:p>
    <w:p w14:paraId="78FD568F" w14:textId="77777777" w:rsidR="008637EF" w:rsidRPr="004928CD" w:rsidRDefault="008637EF" w:rsidP="004637C7">
      <w:pPr>
        <w:pStyle w:val="Title2"/>
      </w:pPr>
      <w:bookmarkStart w:id="87" w:name="_Toc215131805"/>
      <w:r w:rsidRPr="004928CD">
        <w:t>Exigences des principaux bailleurs de fonds</w:t>
      </w:r>
      <w:bookmarkEnd w:id="87"/>
    </w:p>
    <w:p w14:paraId="29EEA436" w14:textId="77777777" w:rsidR="008637EF" w:rsidRDefault="008637EF" w:rsidP="008637EF">
      <w:pPr>
        <w:pStyle w:val="Title3"/>
      </w:pPr>
      <w:bookmarkStart w:id="88" w:name="_Toc215131806"/>
      <w:r>
        <w:t>Introduction</w:t>
      </w:r>
      <w:bookmarkEnd w:id="88"/>
    </w:p>
    <w:p w14:paraId="431E73A0" w14:textId="77777777" w:rsidR="008637EF" w:rsidRDefault="008637EF" w:rsidP="008637EF">
      <w:r>
        <w:t>Depuis le début des années 90, la majorité des organismes de financement se sont dotés d’une procédure et de directives d’évaluation environnementale, qui conditionnent le financement des projets de développement. Le but visé par une telle procédure est d’améliorer la sélection, la conception et la mise en œuvre des projets, afin de minimiser les impacts environnementaux négatifs et pour permettre une meilleure intégration des projets dans leur environnement.</w:t>
      </w:r>
    </w:p>
    <w:p w14:paraId="024689F6" w14:textId="77777777" w:rsidR="008637EF" w:rsidRDefault="008637EF" w:rsidP="008637EF">
      <w:r>
        <w:t>A cet effet, les bailleurs de fonds déterminent le type d’évaluation requis pour chaque catégorie de projet et le promoteur (ou l’emprunteur) est responsable de la préparation du rapport d’évaluation environnementale. Les résultats attendus de la procédure sont des recommandations sures :</w:t>
      </w:r>
    </w:p>
    <w:p w14:paraId="672744C2" w14:textId="77777777" w:rsidR="008637EF" w:rsidRDefault="008637EF">
      <w:pPr>
        <w:numPr>
          <w:ilvl w:val="0"/>
          <w:numId w:val="9"/>
        </w:numPr>
        <w:spacing w:before="0" w:after="0"/>
        <w:ind w:left="1097"/>
      </w:pPr>
      <w:r>
        <w:t>La faisabilité environnementale du projet ;</w:t>
      </w:r>
    </w:p>
    <w:p w14:paraId="6885AEA1" w14:textId="77777777" w:rsidR="008637EF" w:rsidRDefault="008637EF">
      <w:pPr>
        <w:numPr>
          <w:ilvl w:val="0"/>
          <w:numId w:val="9"/>
        </w:numPr>
        <w:spacing w:before="0" w:after="0"/>
        <w:ind w:left="1097"/>
      </w:pPr>
      <w:r>
        <w:t>Les changements dans la conception du projet ;</w:t>
      </w:r>
    </w:p>
    <w:p w14:paraId="6B893366" w14:textId="77777777" w:rsidR="008637EF" w:rsidRDefault="008637EF">
      <w:pPr>
        <w:numPr>
          <w:ilvl w:val="0"/>
          <w:numId w:val="9"/>
        </w:numPr>
        <w:spacing w:before="0" w:after="0"/>
        <w:ind w:left="1097"/>
      </w:pPr>
      <w:r>
        <w:t>Les mesures d’atténuation des impacts environnementaux, et</w:t>
      </w:r>
    </w:p>
    <w:p w14:paraId="0985B2E4" w14:textId="77777777" w:rsidR="008637EF" w:rsidRDefault="008637EF">
      <w:pPr>
        <w:numPr>
          <w:ilvl w:val="0"/>
          <w:numId w:val="9"/>
        </w:numPr>
        <w:spacing w:before="0" w:after="0"/>
        <w:ind w:left="1097"/>
      </w:pPr>
      <w:r>
        <w:t>La gestion environnementale durant la mise en œuvre et l’exploitation du projet.</w:t>
      </w:r>
    </w:p>
    <w:p w14:paraId="692C786B" w14:textId="77777777" w:rsidR="008637EF" w:rsidRDefault="008637EF" w:rsidP="008637EF">
      <w:r>
        <w:t>Les directives d’évaluation environnementale des bailleurs de fonds ne s’appliquent pas seulement sur des projets spécifiques, mais également sur des plans et programmes et sur des secteurs ou des régions, telles que pratiquées par la Banque mondiale à travers le ‘’sectoral and regional environmental assessment’’ (étude environnementale sectorielle et régionale). Un exemple de cette approche se retrouve dans la politique environnementale de la Banque africaine de développement qui affirme ceci : « L’approche de la Banque Africaine de Développement envers la gestion environnementale et le développement durable est basée sur l’utilisation de procédures d’évaluation des impacts environnementaux des programmes et projets financés par la Banque. Ces procédures permettront d’intégrer des mesures de protection de l’environnement dans les projets. Les considérations environnementales deviendront partie intégrale des accords de financement et des appels d’offres ».</w:t>
      </w:r>
    </w:p>
    <w:p w14:paraId="6A14856C" w14:textId="77777777" w:rsidR="008637EF" w:rsidRPr="002107BD" w:rsidRDefault="008637EF" w:rsidP="008637EF">
      <w:pPr>
        <w:pStyle w:val="Title3"/>
      </w:pPr>
      <w:bookmarkStart w:id="89" w:name="_Toc215131807"/>
      <w:r>
        <w:lastRenderedPageBreak/>
        <w:t>Banque Africaine de Développement</w:t>
      </w:r>
      <w:bookmarkEnd w:id="89"/>
      <w:r>
        <w:t xml:space="preserve"> </w:t>
      </w:r>
    </w:p>
    <w:p w14:paraId="304F774C" w14:textId="77777777" w:rsidR="008637EF" w:rsidRDefault="008637EF" w:rsidP="008637EF">
      <w:r>
        <w:t>Consciente de l’importance de considérer les principes de développement durable lors du financement et la réalisation de projets de développement et d’infrastructures, la BAD adoptait en 1990 une politique environnementale qui a été révisée en 2004. Depuis cette date, elle a procédé à une restructuration majeure (fin 1996 - début 1997) pour mettre en place « Environment and Sustainable Development Unit », avec comme mission d’être l’interlocuteur privilégié de la Banque en matière d’environnement, de développement social et institutionnel, de coopération avec les organisations non gouvernementales.</w:t>
      </w:r>
    </w:p>
    <w:p w14:paraId="73A06A22" w14:textId="77777777" w:rsidR="008637EF" w:rsidRDefault="008637EF" w:rsidP="008637EF">
      <w:r>
        <w:t>Afin de remplir pleinement cette mission et d’aider les professionnels de la Banque dans l’analyse des projets, des directives ont été élaborées définissant trois catégories de projets pour lesquels une évaluation environnementale peut être réalisée et précisant les éléments de contenu de l’évaluation environnementale. Ainsi, la Banque s’assure que les impacts environnementaux de certaines catégories de projets sont pris en compte et que les recommandations et mesures correctives sont mises en place pour minimiser les répercussions environnementales des projets.</w:t>
      </w:r>
    </w:p>
    <w:p w14:paraId="6C149E26" w14:textId="77777777" w:rsidR="008637EF" w:rsidRDefault="008637EF" w:rsidP="008637EF">
      <w:r>
        <w:t>Cette approche est d’ailleurs similaire à l’approche de la Banque mondiale en ce qui a trait à la classification des projets devant faire l’objet d’une étude d’impact ou d’une analyse environnementale.</w:t>
      </w:r>
    </w:p>
    <w:p w14:paraId="6E04051F" w14:textId="77777777" w:rsidR="008637EF" w:rsidRDefault="008637EF" w:rsidP="008637EF">
      <w:r>
        <w:t>Les projets de catégorie 1’ doivent faire l’objet d’une étude d’impact complète compte tenu de la nature et de l’ampleur des impacts anticipés susceptibles de modifier les composantes environnementales et les ressources naturelles. Les projets de catégorie 2 sont également soumis à une procédure d’analyse, mais qui consiste simplement en une évaluation sommaire des répercussions anticipées et l’identification de mesures correctives du projet dans le milieu. Les projets de catégorie 3 n’ont pas à faire l’objet d’une évaluation environnementale en raison de leurs caractéristiques.</w:t>
      </w:r>
    </w:p>
    <w:p w14:paraId="2B457711" w14:textId="1E2FAA06" w:rsidR="008637EF" w:rsidRPr="008167EA" w:rsidRDefault="008637EF" w:rsidP="008637EF">
      <w:pPr>
        <w:rPr>
          <w:rFonts w:eastAsia="Calibri"/>
          <w:lang w:val="fr-MA" w:bidi="ar-SA"/>
        </w:rPr>
      </w:pPr>
      <w:r w:rsidRPr="00957C0F">
        <w:rPr>
          <w:rFonts w:eastAsia="Calibri"/>
          <w:lang w:bidi="ar-SA"/>
        </w:rPr>
        <w:t xml:space="preserve">Au vu de la nature des travaux, de la localisation des impacts (principalement site-spécifiques), de leur caractère gérable et de la disponibilité de mesures d'atténuation éprouvées, le projet d'extension </w:t>
      </w:r>
      <w:r w:rsidR="004637C7">
        <w:rPr>
          <w:rFonts w:eastAsia="Calibri"/>
          <w:lang w:bidi="ar-SA"/>
        </w:rPr>
        <w:t xml:space="preserve">du parking avions </w:t>
      </w:r>
      <w:r>
        <w:rPr>
          <w:rFonts w:eastAsia="Calibri"/>
          <w:lang w:bidi="ar-SA"/>
        </w:rPr>
        <w:t xml:space="preserve">de l’aéroport </w:t>
      </w:r>
      <w:r w:rsidR="00EE6509">
        <w:t>Marrakech Ménara</w:t>
      </w:r>
      <w:r w:rsidR="00EE6509" w:rsidRPr="00957C0F">
        <w:rPr>
          <w:rFonts w:eastAsia="Calibri"/>
          <w:lang w:bidi="ar-SA"/>
        </w:rPr>
        <w:t xml:space="preserve"> </w:t>
      </w:r>
      <w:r w:rsidRPr="00957C0F">
        <w:rPr>
          <w:rFonts w:eastAsia="Calibri"/>
          <w:lang w:bidi="ar-SA"/>
        </w:rPr>
        <w:t>est justifié en tant que </w:t>
      </w:r>
      <w:r w:rsidRPr="00957C0F">
        <w:rPr>
          <w:rFonts w:eastAsia="Calibri"/>
          <w:b/>
          <w:bCs/>
          <w:lang w:bidi="ar-SA"/>
        </w:rPr>
        <w:t>Projet de Catégorie 2</w:t>
      </w:r>
      <w:r w:rsidRPr="00957C0F">
        <w:rPr>
          <w:rFonts w:eastAsia="Calibri"/>
          <w:lang w:bidi="ar-SA"/>
        </w:rPr>
        <w:t>. Cette classification implique la nécessité de réaliser une évaluation environnementale et sociale appropriée (telle qu'une Étude d'Impact Environnemental et Social - EIES, ou une évaluation ciblée) et de développer un Plan de Gestion Environnementale et Sociale (PGES) détaillé pour identifier, prévenir, minimiser et compenser les impacts négatifs potentiels</w:t>
      </w:r>
      <w:r w:rsidRPr="008167EA">
        <w:rPr>
          <w:rFonts w:eastAsia="Calibri"/>
          <w:lang w:val="fr-MA" w:bidi="ar-SA"/>
        </w:rPr>
        <w:t>.</w:t>
      </w:r>
    </w:p>
    <w:p w14:paraId="22F583F2" w14:textId="77777777" w:rsidR="008637EF" w:rsidRPr="008167EA" w:rsidRDefault="008637EF" w:rsidP="008637EF">
      <w:pPr>
        <w:rPr>
          <w:rFonts w:eastAsia="Calibri"/>
          <w:lang w:val="fr-MA" w:bidi="ar-SA"/>
        </w:rPr>
      </w:pPr>
      <w:r w:rsidRPr="008167EA">
        <w:rPr>
          <w:rFonts w:eastAsia="Calibri"/>
          <w:lang w:val="fr-MA" w:bidi="ar-SA"/>
        </w:rPr>
        <w:t>Pour renforcer ses différentes politiques, la BAD a développé un système de sauvegarde intégré (SSI) (en 2013</w:t>
      </w:r>
      <w:r>
        <w:rPr>
          <w:rFonts w:eastAsia="Calibri"/>
          <w:lang w:val="fr-MA" w:bidi="ar-SA"/>
        </w:rPr>
        <w:t xml:space="preserve"> et actualisé en 2023</w:t>
      </w:r>
      <w:r w:rsidRPr="008167EA">
        <w:rPr>
          <w:rFonts w:eastAsia="Calibri"/>
          <w:lang w:val="fr-MA" w:bidi="ar-SA"/>
        </w:rPr>
        <w:t xml:space="preserve">) afin de mettre à jour les politiques de sauvegardes existantes et de les consolider en un ensemble de sauvegardes opérationnelles (SO), appuyées par des procédures d’évaluation environnementale et sociale (PEES) et des lignes directrices d’évaluation intégrée des impacts environnementaux et sociaux (EIIES) révisées. </w:t>
      </w:r>
    </w:p>
    <w:p w14:paraId="3FD39A4E" w14:textId="77777777" w:rsidR="008637EF" w:rsidRDefault="008637EF" w:rsidP="008637EF">
      <w:pPr>
        <w:rPr>
          <w:rFonts w:eastAsia="Calibri"/>
          <w:lang w:val="fr-MA" w:bidi="ar-SA"/>
        </w:rPr>
      </w:pPr>
      <w:r w:rsidRPr="008167EA">
        <w:rPr>
          <w:rFonts w:eastAsia="Calibri"/>
          <w:lang w:val="fr-MA" w:bidi="ar-SA"/>
        </w:rPr>
        <w:t xml:space="preserve">La durabilité environnementale et sociale est la pierre angulaire de la croissance économique et de la réduction de la pauvreté en Afrique. La stratégie à long terme (2013- 2022) de la BAD mettait l’accent sur la nécessité d’aider les États dans leurs efforts visant à réaliser une croissance inclusive et à assurer la transition vers l’économie verte. En outre, la BAD s’est engagée à assurer la viabilité sociale et environnementale des projets qu’elle appuie. Le SSI est conçu pour promouvoir la durabilité des </w:t>
      </w:r>
      <w:r w:rsidRPr="008167EA">
        <w:rPr>
          <w:rFonts w:eastAsia="Calibri"/>
          <w:lang w:val="fr-MA" w:bidi="ar-SA"/>
        </w:rPr>
        <w:lastRenderedPageBreak/>
        <w:t xml:space="preserve">résultats des projets par la protection de l’environnement et des personnes contre les éventuels impacts négatifs des projets. </w:t>
      </w:r>
    </w:p>
    <w:p w14:paraId="33D36F70" w14:textId="77777777" w:rsidR="008637EF" w:rsidRDefault="008637EF" w:rsidP="008637EF">
      <w:pPr>
        <w:rPr>
          <w:rFonts w:eastAsia="Calibri"/>
          <w:lang w:val="fr-MA" w:bidi="ar-SA"/>
        </w:rPr>
      </w:pPr>
      <w:r w:rsidRPr="008167EA">
        <w:rPr>
          <w:rFonts w:eastAsia="Calibri"/>
          <w:lang w:val="fr-MA" w:bidi="ar-SA"/>
        </w:rPr>
        <w:t>La Banque a adopté une série de dix sauvegardes opérationnelles en 2023 :</w:t>
      </w:r>
    </w:p>
    <w:p w14:paraId="5166F201" w14:textId="77777777" w:rsidR="008637EF" w:rsidRPr="008167EA" w:rsidRDefault="008637EF" w:rsidP="004637C7">
      <w:pPr>
        <w:pStyle w:val="AltTitle2"/>
        <w:rPr>
          <w:rFonts w:eastAsia="Calibri"/>
          <w:lang w:val="fr-MA" w:bidi="ar-SA"/>
        </w:rPr>
      </w:pPr>
      <w:r w:rsidRPr="008167EA">
        <w:rPr>
          <w:rFonts w:eastAsia="Calibri" w:cs="Calibri"/>
          <w:lang w:val="fr-MA" w:bidi="ar-SA"/>
        </w:rPr>
        <w:t>SO 1 :</w:t>
      </w:r>
      <w:r w:rsidRPr="008167EA">
        <w:rPr>
          <w:rFonts w:eastAsia="Calibri"/>
          <w:lang w:val="fr-MA" w:bidi="ar-SA"/>
        </w:rPr>
        <w:t xml:space="preserve"> Évaluation et gestion des risques et impacts environnementaux et sociaux </w:t>
      </w:r>
    </w:p>
    <w:p w14:paraId="755EF3CA" w14:textId="77777777" w:rsidR="008637EF" w:rsidRPr="008167EA" w:rsidRDefault="008637EF" w:rsidP="008637EF">
      <w:pPr>
        <w:rPr>
          <w:rFonts w:eastAsia="Calibri"/>
          <w:lang w:val="fr-MA" w:bidi="ar-SA"/>
        </w:rPr>
      </w:pPr>
      <w:r w:rsidRPr="008167EA">
        <w:rPr>
          <w:rFonts w:eastAsia="Calibri"/>
          <w:lang w:val="fr-MA" w:bidi="ar-SA"/>
        </w:rPr>
        <w:t>L’objectif de cette sauvegarde opérationnelle (SO)primordiale et de celles qui la complètent est d’intégrer dans les opérations de la Banque les considérations environnementales et sociales, et notamment celles liées à la vulnérabilité au changement climatique, et de contribuer ainsi au développement durable du continent.</w:t>
      </w:r>
    </w:p>
    <w:p w14:paraId="56BB8E02" w14:textId="77777777" w:rsidR="008637EF" w:rsidRPr="008167EA" w:rsidRDefault="008637EF" w:rsidP="00737967">
      <w:pPr>
        <w:pStyle w:val="AltTitle2"/>
        <w:rPr>
          <w:rFonts w:eastAsia="Calibri"/>
          <w:lang w:val="fr-MA" w:bidi="ar-SA"/>
        </w:rPr>
      </w:pPr>
      <w:r w:rsidRPr="008167EA">
        <w:rPr>
          <w:rFonts w:eastAsia="Calibri"/>
          <w:lang w:val="fr-MA" w:bidi="ar-SA"/>
        </w:rPr>
        <w:t>SO 2: Conditions d’emploi et de travail</w:t>
      </w:r>
    </w:p>
    <w:p w14:paraId="7443C5DB" w14:textId="77777777" w:rsidR="008637EF" w:rsidRPr="008167EA" w:rsidRDefault="008637EF" w:rsidP="008637EF">
      <w:pPr>
        <w:rPr>
          <w:rFonts w:eastAsia="Calibri"/>
          <w:lang w:val="fr-MA" w:bidi="ar-SA"/>
        </w:rPr>
      </w:pPr>
      <w:r w:rsidRPr="008167EA">
        <w:rPr>
          <w:rFonts w:eastAsia="Calibri"/>
          <w:lang w:val="fr-MA" w:bidi="ar-SA"/>
        </w:rPr>
        <w:t>La SO2 reconnaît l’importance de la création d’emplois et de la production de revenus pour la réduction de la pauvreté et de la croissance économique inclusive. Les emprunteurs peuvent promouvoir de bonnes relations entre les travailleurs et les employeurs et renforcer les avantages d’un projet en traitant les travailleurs concernés de façon juste et en leur fournissant des conditions de travail sûres et saines. Le respect des droits des travailleurs est l’une des clés de voûte du développement d’une main-d’œuvre forte et productive. La présente SO s’appuie sur la Déclaration de l’Organisation internationale du Travail relative aux principes et droits fondamentaux au travail, et les Principes directeurs des Nations Unies relatifs aux droits de l’homme dans les entreprises.</w:t>
      </w:r>
    </w:p>
    <w:p w14:paraId="670A484F" w14:textId="77777777" w:rsidR="008637EF" w:rsidRPr="008167EA" w:rsidRDefault="008637EF" w:rsidP="00737967">
      <w:pPr>
        <w:pStyle w:val="AltTitle2"/>
        <w:rPr>
          <w:rFonts w:eastAsia="Calibri"/>
          <w:lang w:val="fr-MA" w:bidi="ar-SA"/>
        </w:rPr>
      </w:pPr>
      <w:r w:rsidRPr="008167EA">
        <w:rPr>
          <w:rFonts w:eastAsia="Calibri"/>
          <w:lang w:val="fr-MA" w:bidi="ar-SA"/>
        </w:rPr>
        <w:t>SO 3 : Utilisation efficiente des ressources et prévention et gestion de la pollution</w:t>
      </w:r>
    </w:p>
    <w:p w14:paraId="1084F251" w14:textId="77777777" w:rsidR="008637EF" w:rsidRPr="008167EA" w:rsidRDefault="008637EF" w:rsidP="008637EF">
      <w:pPr>
        <w:rPr>
          <w:rFonts w:eastAsia="Calibri"/>
          <w:lang w:val="fr-MA" w:bidi="ar-SA"/>
        </w:rPr>
      </w:pPr>
      <w:r w:rsidRPr="008167EA">
        <w:rPr>
          <w:rFonts w:eastAsia="Calibri"/>
          <w:lang w:val="fr-MA" w:bidi="ar-SA"/>
        </w:rPr>
        <w:t>Cette SO définit les exigences en matière d’utilisation efficiente des ressources, de prévention et de gestion de la pollution durant tout le cycle de vie des projets conformément aux bonnes pratiques industrielles internationales (BPII) en usage dans le secteur.</w:t>
      </w:r>
    </w:p>
    <w:p w14:paraId="5750CB51" w14:textId="77777777" w:rsidR="008637EF" w:rsidRPr="008167EA" w:rsidRDefault="008637EF" w:rsidP="00737967">
      <w:pPr>
        <w:pStyle w:val="AltTitle2"/>
        <w:rPr>
          <w:rFonts w:eastAsia="Calibri"/>
          <w:lang w:val="fr-MA" w:bidi="ar-SA"/>
        </w:rPr>
      </w:pPr>
      <w:r w:rsidRPr="008167EA">
        <w:rPr>
          <w:rFonts w:eastAsia="Calibri"/>
          <w:lang w:val="fr-MA" w:bidi="ar-SA"/>
        </w:rPr>
        <w:t>SO 4 : Santé, sûreté et sécurité communautaires</w:t>
      </w:r>
    </w:p>
    <w:p w14:paraId="5194BD9D" w14:textId="77777777" w:rsidR="008637EF" w:rsidRPr="008167EA" w:rsidRDefault="008637EF" w:rsidP="008637EF">
      <w:pPr>
        <w:rPr>
          <w:rFonts w:eastAsia="Calibri"/>
          <w:lang w:val="fr-MA" w:bidi="ar-SA"/>
        </w:rPr>
      </w:pPr>
      <w:r w:rsidRPr="008167EA">
        <w:rPr>
          <w:rFonts w:eastAsia="Calibri"/>
          <w:lang w:val="fr-MA" w:bidi="ar-SA"/>
        </w:rPr>
        <w:t>La SO4 vise les risques et les impacts sur la santé, la sûreté et la sécurité des communautés affectées par les projets ainsi que la responsabilité correspondante de l’emprunteur d’éviter ou de réduire de tels risques et impacts, avec un accent particulier sur les personnes qui, à cause de leurs conditions particulières, peuvent y être vulnérables.</w:t>
      </w:r>
    </w:p>
    <w:p w14:paraId="523B0C0C" w14:textId="77777777" w:rsidR="008637EF" w:rsidRPr="008167EA" w:rsidRDefault="008637EF" w:rsidP="00737967">
      <w:pPr>
        <w:pStyle w:val="AltTitle2"/>
        <w:rPr>
          <w:rFonts w:eastAsia="Calibri"/>
          <w:lang w:val="fr-MA" w:bidi="ar-SA"/>
        </w:rPr>
      </w:pPr>
      <w:r w:rsidRPr="008167EA">
        <w:rPr>
          <w:rFonts w:eastAsia="Calibri"/>
          <w:lang w:val="fr-MA" w:bidi="ar-SA"/>
        </w:rPr>
        <w:t>SO 5: Acquisition de terres, restrictions à l’accès et à l’utilisation des terres, et réinstallation involontaire</w:t>
      </w:r>
    </w:p>
    <w:p w14:paraId="3E4A044C" w14:textId="77777777" w:rsidR="008637EF" w:rsidRDefault="008637EF" w:rsidP="008637EF">
      <w:pPr>
        <w:rPr>
          <w:rFonts w:eastAsia="Calibri"/>
          <w:lang w:val="fr-MA" w:bidi="ar-SA"/>
        </w:rPr>
      </w:pPr>
      <w:r w:rsidRPr="008167EA">
        <w:rPr>
          <w:rFonts w:eastAsia="Calibri"/>
          <w:lang w:val="fr-MA" w:bidi="ar-SA"/>
        </w:rPr>
        <w:t>La SO5 reconnaît que l’acquisition de terres dans le cadre de projets et les restrictions à l’accès ou à l’utilisation des terres et la perte de biens/actifs peuvent avoir des impacts défavorables sur les communautés et les personnes. L’acquisition de terres dans le cadre de projets ou les restrictions à l’accès et à l’utilisation des terres peut entraîner le déplacement physique des personnes (relocalisation, perte de terrains résidentiels ou perte d’habitat), le déplacement économique (perte de terres, d’actifs ou d’accès aux actifs, donnant lieu à la perte de sources de revenu ou d’autres moyens de subsistance, ou les deux. Le terme « réinstallation involontaire » renvoie à ces impacts. La réinstallation est jugée involontaire lorsque les personnes ou les communautés touchées n’ont pas le droit, ou une véritable opportunité, libre de coercition ou d’intimidation, de refuser l’expropriation de leurs terres ou des restrictions à l’accès ou à l’utilisation des terres entraînant la perte d’actifs ou le déplacement.</w:t>
      </w:r>
    </w:p>
    <w:p w14:paraId="6FB0ACA3" w14:textId="77777777" w:rsidR="00737967" w:rsidRDefault="00737967" w:rsidP="008637EF">
      <w:pPr>
        <w:rPr>
          <w:rFonts w:eastAsia="Calibri"/>
          <w:lang w:val="fr-MA" w:bidi="ar-SA"/>
        </w:rPr>
      </w:pPr>
    </w:p>
    <w:p w14:paraId="3893AC94" w14:textId="77777777" w:rsidR="008637EF" w:rsidRPr="008167EA" w:rsidRDefault="008637EF" w:rsidP="00737967">
      <w:pPr>
        <w:pStyle w:val="AltTitle2"/>
        <w:rPr>
          <w:rFonts w:eastAsia="Calibri"/>
          <w:lang w:val="fr-MA" w:bidi="ar-SA"/>
        </w:rPr>
      </w:pPr>
      <w:r w:rsidRPr="008167EA">
        <w:rPr>
          <w:rFonts w:eastAsia="Calibri"/>
          <w:lang w:bidi="ar-SA"/>
        </w:rPr>
        <w:t>SO 6</w:t>
      </w:r>
      <w:r w:rsidRPr="008167EA">
        <w:rPr>
          <w:rFonts w:eastAsia="Calibri"/>
          <w:lang w:val="fr-MA" w:bidi="ar-SA"/>
        </w:rPr>
        <w:t xml:space="preserve"> : Conservation des habitats et de la biodiversité et gestion durable des ressources naturelles vivantes </w:t>
      </w:r>
    </w:p>
    <w:p w14:paraId="145082DC" w14:textId="77777777" w:rsidR="008637EF" w:rsidRPr="008167EA" w:rsidRDefault="008637EF" w:rsidP="008637EF">
      <w:pPr>
        <w:rPr>
          <w:rFonts w:eastAsia="Calibri"/>
          <w:lang w:val="fr-MA" w:bidi="ar-SA"/>
        </w:rPr>
      </w:pPr>
      <w:r w:rsidRPr="008167EA">
        <w:rPr>
          <w:rFonts w:eastAsia="Calibri"/>
          <w:lang w:val="fr-MA" w:bidi="ar-SA"/>
        </w:rPr>
        <w:t>Cette sauvegarde opérationnelle (SO) décrit les exigences auxquelles l’emprunteur doit se conformer pour :</w:t>
      </w:r>
    </w:p>
    <w:p w14:paraId="6FB8E445" w14:textId="77777777" w:rsidR="008637EF" w:rsidRDefault="008637EF" w:rsidP="0001633E">
      <w:pPr>
        <w:pStyle w:val="Paragraphedeliste"/>
        <w:numPr>
          <w:ilvl w:val="0"/>
          <w:numId w:val="26"/>
        </w:numPr>
        <w:rPr>
          <w:rFonts w:eastAsia="Calibri"/>
          <w:lang w:val="fr-MA" w:bidi="ar-SA"/>
        </w:rPr>
      </w:pPr>
      <w:r w:rsidRPr="008167EA">
        <w:rPr>
          <w:rFonts w:eastAsia="Calibri"/>
          <w:lang w:val="fr-MA" w:bidi="ar-SA"/>
        </w:rPr>
        <w:t>Identifier et mettre en œuvre les opportunités permettant de conserver et d’utiliser durablement la biodiversité et les habitats naturels ;</w:t>
      </w:r>
    </w:p>
    <w:p w14:paraId="231A2DAB" w14:textId="77777777" w:rsidR="008637EF" w:rsidRPr="008167EA" w:rsidRDefault="008637EF" w:rsidP="0001633E">
      <w:pPr>
        <w:pStyle w:val="Paragraphedeliste"/>
        <w:numPr>
          <w:ilvl w:val="0"/>
          <w:numId w:val="26"/>
        </w:numPr>
        <w:rPr>
          <w:rFonts w:eastAsia="Calibri"/>
          <w:lang w:val="fr-MA" w:bidi="ar-SA"/>
        </w:rPr>
      </w:pPr>
      <w:r w:rsidRPr="008167EA">
        <w:rPr>
          <w:rFonts w:eastAsia="Calibri"/>
          <w:lang w:val="fr-MA" w:bidi="ar-SA"/>
        </w:rPr>
        <w:t>Observer, mettre en œuvre et satisfaire aux conditions de conservation et de gestion durable des services écosystémiques prioritaires.</w:t>
      </w:r>
    </w:p>
    <w:p w14:paraId="3E56C3AD" w14:textId="77777777" w:rsidR="008637EF" w:rsidRPr="008167EA" w:rsidRDefault="008637EF" w:rsidP="00737967">
      <w:pPr>
        <w:pStyle w:val="AltTitle2"/>
        <w:rPr>
          <w:rFonts w:eastAsia="Calibri"/>
          <w:lang w:bidi="ar-SA"/>
        </w:rPr>
      </w:pPr>
      <w:r w:rsidRPr="008167EA">
        <w:rPr>
          <w:rFonts w:eastAsia="Calibri"/>
          <w:lang w:bidi="ar-SA"/>
        </w:rPr>
        <w:t>SO 7 : Groupes vulnérables</w:t>
      </w:r>
    </w:p>
    <w:p w14:paraId="219D936C" w14:textId="77777777" w:rsidR="008637EF" w:rsidRPr="008167EA" w:rsidRDefault="008637EF" w:rsidP="008637EF">
      <w:pPr>
        <w:rPr>
          <w:rFonts w:eastAsia="Calibri"/>
          <w:lang w:val="fr-MA" w:bidi="ar-SA"/>
        </w:rPr>
      </w:pPr>
      <w:r w:rsidRPr="008167EA">
        <w:rPr>
          <w:rFonts w:eastAsia="Calibri"/>
          <w:lang w:val="fr-MA" w:bidi="ar-SA"/>
        </w:rPr>
        <w:t>La BAD considère les droits économiques et sociaux comme faisant partie intégrante des droits de l’Homme, et respecte les principes et valeurs des droits de l’homme tels qu’énoncés dans la Charte des Nations Unies et la Charte africaine des droits de l’homme et des peuples.</w:t>
      </w:r>
    </w:p>
    <w:p w14:paraId="352D6C54" w14:textId="77777777" w:rsidR="008637EF" w:rsidRPr="008167EA" w:rsidRDefault="008637EF" w:rsidP="008637EF">
      <w:pPr>
        <w:rPr>
          <w:rFonts w:eastAsia="Calibri"/>
          <w:lang w:val="fr-MA" w:bidi="ar-SA"/>
        </w:rPr>
      </w:pPr>
      <w:r w:rsidRPr="008167EA">
        <w:rPr>
          <w:rFonts w:eastAsia="Calibri"/>
          <w:lang w:val="fr-MA" w:bidi="ar-SA"/>
        </w:rPr>
        <w:t>Par le biais des exigences de la présente SO, la Banque encourage les emprunteurs à respecter les normes, les standards et les meilleures pratiques internationales en matière de droits de l’homme et à refléter dans les opérations de la Banque, les engagements nationaux pris, entre autres, au titre des Actes internationaux sur les droits de l’homme et de la Charte africaine des droits de l’homme et des peuples.</w:t>
      </w:r>
    </w:p>
    <w:p w14:paraId="2AA1A10B" w14:textId="77777777" w:rsidR="008637EF" w:rsidRPr="008167EA" w:rsidRDefault="008637EF" w:rsidP="00737967">
      <w:pPr>
        <w:pStyle w:val="AltTitle2"/>
        <w:rPr>
          <w:rFonts w:eastAsia="Calibri"/>
          <w:lang w:bidi="ar-SA"/>
        </w:rPr>
      </w:pPr>
      <w:r w:rsidRPr="008167EA">
        <w:rPr>
          <w:rFonts w:eastAsia="Calibri"/>
          <w:lang w:bidi="ar-SA"/>
        </w:rPr>
        <w:t>SO 8 : Patrimoine culturel</w:t>
      </w:r>
    </w:p>
    <w:p w14:paraId="15ABE443" w14:textId="77777777" w:rsidR="008637EF" w:rsidRPr="008167EA" w:rsidRDefault="008637EF" w:rsidP="008637EF">
      <w:pPr>
        <w:rPr>
          <w:rFonts w:eastAsia="Calibri"/>
          <w:lang w:val="fr-MA" w:bidi="ar-SA"/>
        </w:rPr>
      </w:pPr>
      <w:r w:rsidRPr="008167EA">
        <w:rPr>
          <w:rFonts w:eastAsia="Calibri"/>
          <w:lang w:val="fr-MA" w:bidi="ar-SA"/>
        </w:rPr>
        <w:t>Les objectifs de la SO8 sont les suivants :</w:t>
      </w:r>
    </w:p>
    <w:p w14:paraId="7E6099D4" w14:textId="77777777" w:rsidR="008637EF" w:rsidRPr="00787CAA" w:rsidRDefault="008637EF" w:rsidP="0001633E">
      <w:pPr>
        <w:pStyle w:val="Paragraphedeliste"/>
        <w:numPr>
          <w:ilvl w:val="0"/>
          <w:numId w:val="27"/>
        </w:numPr>
        <w:rPr>
          <w:rFonts w:eastAsia="Calibri"/>
          <w:lang w:val="fr-MA" w:bidi="ar-SA"/>
        </w:rPr>
      </w:pPr>
      <w:r w:rsidRPr="00787CAA">
        <w:rPr>
          <w:rFonts w:eastAsia="Calibri"/>
          <w:lang w:val="fr-MA" w:bidi="ar-SA"/>
        </w:rPr>
        <w:t>Protéger le patrimoine culturel des impacts négatifs des activités du projet et soutenir sa préservation.</w:t>
      </w:r>
    </w:p>
    <w:p w14:paraId="5AFA62C2" w14:textId="77777777" w:rsidR="008637EF" w:rsidRPr="00787CAA" w:rsidRDefault="008637EF" w:rsidP="0001633E">
      <w:pPr>
        <w:pStyle w:val="Paragraphedeliste"/>
        <w:numPr>
          <w:ilvl w:val="0"/>
          <w:numId w:val="27"/>
        </w:numPr>
        <w:rPr>
          <w:rFonts w:eastAsia="Calibri"/>
          <w:lang w:val="fr-MA" w:bidi="ar-SA"/>
        </w:rPr>
      </w:pPr>
      <w:r w:rsidRPr="00787CAA">
        <w:rPr>
          <w:rFonts w:eastAsia="Calibri"/>
          <w:lang w:val="fr-MA" w:bidi="ar-SA"/>
        </w:rPr>
        <w:t>Traiter le patrimoine culturel comme un aspect intégral du développement durable.</w:t>
      </w:r>
    </w:p>
    <w:p w14:paraId="52AB9959" w14:textId="77777777" w:rsidR="008637EF" w:rsidRPr="00787CAA" w:rsidRDefault="008637EF" w:rsidP="0001633E">
      <w:pPr>
        <w:pStyle w:val="Paragraphedeliste"/>
        <w:numPr>
          <w:ilvl w:val="0"/>
          <w:numId w:val="27"/>
        </w:numPr>
        <w:rPr>
          <w:rFonts w:eastAsia="Calibri"/>
          <w:lang w:val="fr-MA" w:bidi="ar-SA"/>
        </w:rPr>
      </w:pPr>
      <w:r w:rsidRPr="00787CAA">
        <w:rPr>
          <w:rFonts w:eastAsia="Calibri"/>
          <w:lang w:val="fr-MA" w:bidi="ar-SA"/>
        </w:rPr>
        <w:t>Promouvoir une consultation significative avec les parties prenantes concernant le patrimoine culturel comme moyen d’identifier et de traiter les risques et les impacts liés au patrimoine culturel.</w:t>
      </w:r>
    </w:p>
    <w:p w14:paraId="1C26C240" w14:textId="77777777" w:rsidR="008637EF" w:rsidRPr="00787CAA" w:rsidRDefault="008637EF" w:rsidP="0001633E">
      <w:pPr>
        <w:pStyle w:val="Paragraphedeliste"/>
        <w:numPr>
          <w:ilvl w:val="0"/>
          <w:numId w:val="27"/>
        </w:numPr>
        <w:rPr>
          <w:rFonts w:eastAsia="Calibri"/>
          <w:lang w:val="fr-MA" w:bidi="ar-SA"/>
        </w:rPr>
      </w:pPr>
      <w:r w:rsidRPr="00787CAA">
        <w:rPr>
          <w:rFonts w:eastAsia="Calibri"/>
          <w:lang w:val="fr-MA" w:bidi="ar-SA"/>
        </w:rPr>
        <w:t>Promouvoir le partage équitable des avantages découlant de l’utilisation du patrimoine culturel avec les parties prenantes affectées.</w:t>
      </w:r>
    </w:p>
    <w:p w14:paraId="15F6DFB4" w14:textId="77777777" w:rsidR="008637EF" w:rsidRPr="008167EA" w:rsidRDefault="008637EF" w:rsidP="00737967">
      <w:pPr>
        <w:pStyle w:val="AltTitle2"/>
        <w:rPr>
          <w:rFonts w:eastAsia="Calibri"/>
          <w:lang w:bidi="ar-SA"/>
        </w:rPr>
      </w:pPr>
      <w:r w:rsidRPr="008167EA">
        <w:rPr>
          <w:rFonts w:eastAsia="Calibri"/>
          <w:lang w:bidi="ar-SA"/>
        </w:rPr>
        <w:t xml:space="preserve">SO 9 : </w:t>
      </w:r>
      <w:r w:rsidRPr="002A0860">
        <w:rPr>
          <w:rFonts w:eastAsia="Calibri"/>
          <w:lang w:bidi="ar-SA"/>
        </w:rPr>
        <w:t>Patrimoine culturel</w:t>
      </w:r>
    </w:p>
    <w:p w14:paraId="3AF0B6AF" w14:textId="77777777" w:rsidR="008637EF" w:rsidRDefault="008637EF" w:rsidP="008637EF">
      <w:pPr>
        <w:rPr>
          <w:rFonts w:eastAsia="Calibri"/>
          <w:lang w:val="fr-MA" w:bidi="ar-SA"/>
        </w:rPr>
      </w:pPr>
      <w:r w:rsidRPr="008167EA">
        <w:rPr>
          <w:rFonts w:eastAsia="Calibri"/>
          <w:lang w:val="fr-MA" w:bidi="ar-SA"/>
        </w:rPr>
        <w:t xml:space="preserve">La SO9 reconnaît que des marchés financiers et de capitaux nationaux solides et l’accès au financement sont importants pour le développement économique, la croissance et la réduction de la pauvreté. La Banque s’engage à soutenir le développement durable du secteur financier et à renforcer le rôle des marchés financiers et de capitaux nationaux. La présente SO traite des exigences environnementales et sociales associées au financement intermédiaire par le biais d’institutions financières et non financières. </w:t>
      </w:r>
    </w:p>
    <w:p w14:paraId="53077EF6" w14:textId="77777777" w:rsidR="004E045A" w:rsidRDefault="004E045A" w:rsidP="008637EF">
      <w:pPr>
        <w:rPr>
          <w:rFonts w:eastAsia="Calibri"/>
          <w:lang w:val="fr-MA" w:bidi="ar-SA"/>
        </w:rPr>
      </w:pPr>
    </w:p>
    <w:p w14:paraId="1A55737C" w14:textId="77777777" w:rsidR="004E045A" w:rsidRDefault="004E045A" w:rsidP="008637EF">
      <w:pPr>
        <w:rPr>
          <w:rFonts w:eastAsia="Calibri"/>
          <w:lang w:val="fr-MA" w:bidi="ar-SA"/>
        </w:rPr>
      </w:pPr>
    </w:p>
    <w:p w14:paraId="2E1D4BF6" w14:textId="77777777" w:rsidR="004E045A" w:rsidRPr="008167EA" w:rsidRDefault="004E045A" w:rsidP="008637EF">
      <w:pPr>
        <w:rPr>
          <w:rFonts w:eastAsia="Calibri"/>
          <w:lang w:val="fr-MA" w:bidi="ar-SA"/>
        </w:rPr>
      </w:pPr>
    </w:p>
    <w:p w14:paraId="3F9D3D8D" w14:textId="77777777" w:rsidR="008637EF" w:rsidRPr="008167EA" w:rsidRDefault="008637EF" w:rsidP="00737967">
      <w:pPr>
        <w:pStyle w:val="AltTitle2"/>
        <w:rPr>
          <w:rFonts w:eastAsia="Calibri"/>
          <w:lang w:bidi="ar-SA"/>
        </w:rPr>
      </w:pPr>
      <w:r w:rsidRPr="008167EA">
        <w:rPr>
          <w:rFonts w:eastAsia="Calibri"/>
          <w:lang w:bidi="ar-SA"/>
        </w:rPr>
        <w:lastRenderedPageBreak/>
        <w:t>SO 10 : Engagement des parties prenantes et diffusion de l’information</w:t>
      </w:r>
    </w:p>
    <w:p w14:paraId="0E4F2C3B" w14:textId="77777777" w:rsidR="008637EF" w:rsidRPr="008167EA" w:rsidRDefault="008637EF" w:rsidP="008637EF">
      <w:pPr>
        <w:rPr>
          <w:rFonts w:eastAsia="Calibri"/>
          <w:lang w:val="fr-MA" w:bidi="ar-SA"/>
        </w:rPr>
      </w:pPr>
      <w:r w:rsidRPr="008167EA">
        <w:rPr>
          <w:rFonts w:eastAsia="Calibri"/>
          <w:lang w:val="fr-MA" w:bidi="ar-SA"/>
        </w:rPr>
        <w:t>Dans sa quête pour atteindre son objectif principal d’aider les pays africains à atteindre le développement économique et le progrès social, la Banque reconnaît que le droit à une participation effective à la prise de décision est essentiel pour le développement de sociétés inclusives et justes.</w:t>
      </w:r>
    </w:p>
    <w:p w14:paraId="0E609D64" w14:textId="77777777" w:rsidR="008637EF" w:rsidRPr="00176B1F" w:rsidRDefault="008637EF" w:rsidP="008637EF">
      <w:pPr>
        <w:pStyle w:val="Title4"/>
      </w:pPr>
      <w:r w:rsidRPr="00176B1F">
        <w:t xml:space="preserve">Conformité </w:t>
      </w:r>
      <w:r>
        <w:t xml:space="preserve">du projet au </w:t>
      </w:r>
      <w:r w:rsidRPr="00176B1F">
        <w:t xml:space="preserve">des Sauvegardes Opérationnelles </w:t>
      </w:r>
    </w:p>
    <w:p w14:paraId="52939603" w14:textId="39D9D360" w:rsidR="008637EF" w:rsidRDefault="008637EF" w:rsidP="00EE6509">
      <w:pPr>
        <w:spacing w:after="0"/>
        <w:sectPr w:rsidR="008637EF" w:rsidSect="008637EF">
          <w:headerReference w:type="default" r:id="rId21"/>
          <w:footerReference w:type="default" r:id="rId22"/>
          <w:pgSz w:w="11906" w:h="16838"/>
          <w:pgMar w:top="1417" w:right="1417" w:bottom="1276" w:left="1417" w:header="680" w:footer="680" w:gutter="0"/>
          <w:cols w:space="708"/>
          <w:docGrid w:linePitch="360"/>
        </w:sectPr>
      </w:pPr>
      <w:r>
        <w:t xml:space="preserve">Le tableau ci-dessous présente la conformité des Sauvegardes Opérationnelles de la BAD au présent projet </w:t>
      </w:r>
      <w:r w:rsidR="00662B50" w:rsidRPr="00662B50">
        <w:t>de modernisation et d’extension des infrastructures aéroportuaires</w:t>
      </w:r>
      <w:r>
        <w:t xml:space="preserve"> de l’Aéroport </w:t>
      </w:r>
      <w:r w:rsidR="00EE6509">
        <w:t>Marrakech Ménara.</w:t>
      </w:r>
    </w:p>
    <w:p w14:paraId="02EEE2FC" w14:textId="2070FEFB" w:rsidR="008637EF" w:rsidRPr="002A0860" w:rsidRDefault="008637EF" w:rsidP="008637EF">
      <w:pPr>
        <w:pStyle w:val="Lgende"/>
        <w:keepNext/>
        <w:rPr>
          <w:rFonts w:asciiTheme="minorHAnsi" w:hAnsiTheme="minorHAnsi" w:cstheme="minorHAnsi"/>
          <w:lang w:val="fr-FR"/>
        </w:rPr>
      </w:pPr>
      <w:bookmarkStart w:id="90" w:name="_Toc213404338"/>
      <w:r w:rsidRPr="002A0860">
        <w:rPr>
          <w:rFonts w:asciiTheme="minorHAnsi" w:hAnsiTheme="minorHAnsi" w:cstheme="minorHAnsi"/>
          <w:lang w:val="fr-FR"/>
        </w:rPr>
        <w:lastRenderedPageBreak/>
        <w:t xml:space="preserve">Tableau </w:t>
      </w:r>
      <w:r w:rsidRPr="008503A3">
        <w:rPr>
          <w:rFonts w:asciiTheme="minorHAnsi" w:hAnsiTheme="minorHAnsi" w:cstheme="minorHAnsi"/>
        </w:rPr>
        <w:fldChar w:fldCharType="begin"/>
      </w:r>
      <w:r w:rsidRPr="002A0860">
        <w:rPr>
          <w:rFonts w:asciiTheme="minorHAnsi" w:hAnsiTheme="minorHAnsi" w:cstheme="minorHAnsi"/>
          <w:lang w:val="fr-FR"/>
        </w:rPr>
        <w:instrText xml:space="preserve"> SEQ Tableau \* ARABIC </w:instrText>
      </w:r>
      <w:r w:rsidRPr="008503A3">
        <w:rPr>
          <w:rFonts w:asciiTheme="minorHAnsi" w:hAnsiTheme="minorHAnsi" w:cstheme="minorHAnsi"/>
        </w:rPr>
        <w:fldChar w:fldCharType="separate"/>
      </w:r>
      <w:r w:rsidR="00274E71">
        <w:rPr>
          <w:rFonts w:asciiTheme="minorHAnsi" w:hAnsiTheme="minorHAnsi" w:cstheme="minorHAnsi"/>
          <w:noProof/>
          <w:lang w:val="fr-FR"/>
        </w:rPr>
        <w:t>15</w:t>
      </w:r>
      <w:r w:rsidRPr="008503A3">
        <w:rPr>
          <w:rFonts w:asciiTheme="minorHAnsi" w:hAnsiTheme="minorHAnsi" w:cstheme="minorHAnsi"/>
        </w:rPr>
        <w:fldChar w:fldCharType="end"/>
      </w:r>
      <w:r w:rsidRPr="008503A3">
        <w:rPr>
          <w:rFonts w:asciiTheme="minorHAnsi" w:hAnsiTheme="minorHAnsi" w:cstheme="minorHAnsi"/>
          <w:noProof/>
          <w:lang w:val="fr-FR"/>
        </w:rPr>
        <w:t>:</w:t>
      </w:r>
      <w:r w:rsidRPr="008503A3">
        <w:rPr>
          <w:rFonts w:asciiTheme="minorHAnsi" w:hAnsiTheme="minorHAnsi" w:cstheme="minorHAnsi"/>
          <w:lang w:val="fr-FR"/>
        </w:rPr>
        <w:t xml:space="preserve"> </w:t>
      </w:r>
      <w:r w:rsidRPr="002A0860">
        <w:rPr>
          <w:rFonts w:asciiTheme="minorHAnsi" w:hAnsiTheme="minorHAnsi" w:cstheme="minorHAnsi"/>
          <w:lang w:val="fr-FR"/>
        </w:rPr>
        <w:t>Conformité des SO au projet</w:t>
      </w:r>
      <w:bookmarkEnd w:id="90"/>
    </w:p>
    <w:tbl>
      <w:tblPr>
        <w:tblStyle w:val="TableauGrille1Clair-Accentuation111"/>
        <w:tblW w:w="14391" w:type="dxa"/>
        <w:tblLook w:val="04A0" w:firstRow="1" w:lastRow="0" w:firstColumn="1" w:lastColumn="0" w:noHBand="0" w:noVBand="1"/>
      </w:tblPr>
      <w:tblGrid>
        <w:gridCol w:w="2922"/>
        <w:gridCol w:w="1200"/>
        <w:gridCol w:w="4605"/>
        <w:gridCol w:w="5664"/>
      </w:tblGrid>
      <w:tr w:rsidR="008637EF" w:rsidRPr="0081139E" w14:paraId="53E37CBE" w14:textId="77777777" w:rsidTr="00737967">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0" w:type="auto"/>
            <w:hideMark/>
          </w:tcPr>
          <w:p w14:paraId="2186949F" w14:textId="77777777" w:rsidR="008637EF" w:rsidRPr="0081139E" w:rsidRDefault="008637EF" w:rsidP="005A7661">
            <w:pPr>
              <w:jc w:val="center"/>
              <w:rPr>
                <w:b w:val="0"/>
                <w:bCs w:val="0"/>
                <w:szCs w:val="20"/>
              </w:rPr>
            </w:pPr>
            <w:r w:rsidRPr="0081139E">
              <w:rPr>
                <w:szCs w:val="20"/>
              </w:rPr>
              <w:t>Sauvegarde Opérationnelle</w:t>
            </w:r>
          </w:p>
        </w:tc>
        <w:tc>
          <w:tcPr>
            <w:tcW w:w="0" w:type="auto"/>
            <w:hideMark/>
          </w:tcPr>
          <w:p w14:paraId="43005EA5" w14:textId="77777777" w:rsidR="008637EF" w:rsidRPr="0081139E" w:rsidRDefault="008637EF" w:rsidP="005A7661">
            <w:pPr>
              <w:jc w:val="center"/>
              <w:cnfStyle w:val="100000000000" w:firstRow="1" w:lastRow="0" w:firstColumn="0" w:lastColumn="0" w:oddVBand="0" w:evenVBand="0" w:oddHBand="0" w:evenHBand="0" w:firstRowFirstColumn="0" w:firstRowLastColumn="0" w:lastRowFirstColumn="0" w:lastRowLastColumn="0"/>
              <w:rPr>
                <w:b w:val="0"/>
                <w:bCs w:val="0"/>
                <w:szCs w:val="20"/>
              </w:rPr>
            </w:pPr>
            <w:r w:rsidRPr="0081139E">
              <w:rPr>
                <w:szCs w:val="20"/>
              </w:rPr>
              <w:t>État de conformité</w:t>
            </w:r>
          </w:p>
        </w:tc>
        <w:tc>
          <w:tcPr>
            <w:tcW w:w="0" w:type="auto"/>
            <w:hideMark/>
          </w:tcPr>
          <w:p w14:paraId="003BCA58" w14:textId="77777777" w:rsidR="008637EF" w:rsidRPr="0081139E" w:rsidRDefault="008637EF" w:rsidP="005A7661">
            <w:pPr>
              <w:jc w:val="center"/>
              <w:cnfStyle w:val="100000000000" w:firstRow="1" w:lastRow="0" w:firstColumn="0" w:lastColumn="0" w:oddVBand="0" w:evenVBand="0" w:oddHBand="0" w:evenHBand="0" w:firstRowFirstColumn="0" w:firstRowLastColumn="0" w:lastRowFirstColumn="0" w:lastRowLastColumn="0"/>
              <w:rPr>
                <w:b w:val="0"/>
                <w:bCs w:val="0"/>
                <w:szCs w:val="20"/>
              </w:rPr>
            </w:pPr>
            <w:r w:rsidRPr="0081139E">
              <w:rPr>
                <w:szCs w:val="20"/>
              </w:rPr>
              <w:t>Description de la SO</w:t>
            </w:r>
          </w:p>
        </w:tc>
        <w:tc>
          <w:tcPr>
            <w:tcW w:w="5664" w:type="dxa"/>
            <w:hideMark/>
          </w:tcPr>
          <w:p w14:paraId="10CE42C0" w14:textId="77777777" w:rsidR="008637EF" w:rsidRPr="0081139E" w:rsidRDefault="008637EF" w:rsidP="005A7661">
            <w:pPr>
              <w:jc w:val="center"/>
              <w:cnfStyle w:val="100000000000" w:firstRow="1" w:lastRow="0" w:firstColumn="0" w:lastColumn="0" w:oddVBand="0" w:evenVBand="0" w:oddHBand="0" w:evenHBand="0" w:firstRowFirstColumn="0" w:firstRowLastColumn="0" w:lastRowFirstColumn="0" w:lastRowLastColumn="0"/>
              <w:rPr>
                <w:b w:val="0"/>
                <w:bCs w:val="0"/>
                <w:szCs w:val="20"/>
              </w:rPr>
            </w:pPr>
            <w:r w:rsidRPr="0081139E">
              <w:rPr>
                <w:szCs w:val="20"/>
              </w:rPr>
              <w:t>Évaluation de la conformité</w:t>
            </w:r>
          </w:p>
        </w:tc>
      </w:tr>
      <w:tr w:rsidR="008637EF" w:rsidRPr="0081139E" w14:paraId="4816F134" w14:textId="77777777" w:rsidTr="00737967">
        <w:tc>
          <w:tcPr>
            <w:cnfStyle w:val="001000000000" w:firstRow="0" w:lastRow="0" w:firstColumn="1" w:lastColumn="0" w:oddVBand="0" w:evenVBand="0" w:oddHBand="0" w:evenHBand="0" w:firstRowFirstColumn="0" w:firstRowLastColumn="0" w:lastRowFirstColumn="0" w:lastRowLastColumn="0"/>
            <w:tcW w:w="0" w:type="auto"/>
          </w:tcPr>
          <w:p w14:paraId="593567AF" w14:textId="77777777" w:rsidR="008637EF" w:rsidRPr="0081139E" w:rsidRDefault="008637EF" w:rsidP="005A7661">
            <w:pPr>
              <w:jc w:val="left"/>
              <w:rPr>
                <w:szCs w:val="20"/>
              </w:rPr>
            </w:pPr>
            <w:r w:rsidRPr="0081139E">
              <w:rPr>
                <w:szCs w:val="20"/>
              </w:rPr>
              <w:t>Sauvegarde opérationnelle 1 : Évaluation et gestion des risques environnementaux et sociaux</w:t>
            </w:r>
          </w:p>
        </w:tc>
        <w:tc>
          <w:tcPr>
            <w:tcW w:w="0" w:type="auto"/>
          </w:tcPr>
          <w:p w14:paraId="70D78EBF" w14:textId="77777777" w:rsidR="008637EF" w:rsidRPr="0081139E" w:rsidRDefault="008637EF" w:rsidP="005A7661">
            <w:pPr>
              <w:jc w:val="center"/>
              <w:cnfStyle w:val="000000000000" w:firstRow="0" w:lastRow="0" w:firstColumn="0" w:lastColumn="0" w:oddVBand="0" w:evenVBand="0" w:oddHBand="0" w:evenHBand="0" w:firstRowFirstColumn="0" w:firstRowLastColumn="0" w:lastRowFirstColumn="0" w:lastRowLastColumn="0"/>
              <w:rPr>
                <w:szCs w:val="20"/>
              </w:rPr>
            </w:pPr>
            <w:r w:rsidRPr="0081139E">
              <w:rPr>
                <w:szCs w:val="20"/>
              </w:rPr>
              <w:t>Conforme</w:t>
            </w:r>
          </w:p>
        </w:tc>
        <w:tc>
          <w:tcPr>
            <w:tcW w:w="0" w:type="auto"/>
          </w:tcPr>
          <w:p w14:paraId="188C1DFD" w14:textId="77777777" w:rsidR="008637EF" w:rsidRPr="0081139E" w:rsidRDefault="008637EF" w:rsidP="005A7661">
            <w:pPr>
              <w:cnfStyle w:val="000000000000" w:firstRow="0" w:lastRow="0" w:firstColumn="0" w:lastColumn="0" w:oddVBand="0" w:evenVBand="0" w:oddHBand="0" w:evenHBand="0" w:firstRowFirstColumn="0" w:firstRowLastColumn="0" w:lastRowFirstColumn="0" w:lastRowLastColumn="0"/>
              <w:rPr>
                <w:szCs w:val="20"/>
              </w:rPr>
            </w:pPr>
            <w:r w:rsidRPr="0081139E">
              <w:rPr>
                <w:szCs w:val="20"/>
              </w:rPr>
              <w:t>Cette sauvegarde fondamentale régit le processus de catégorisation environnementale et sociale des projets, ainsi que les exigences liées à l’évaluation environnementale et sociale qui en découlent.</w:t>
            </w:r>
          </w:p>
        </w:tc>
        <w:tc>
          <w:tcPr>
            <w:tcW w:w="5664" w:type="dxa"/>
          </w:tcPr>
          <w:p w14:paraId="52673C44" w14:textId="77777777" w:rsidR="008637EF" w:rsidRPr="0081139E" w:rsidRDefault="008637EF" w:rsidP="005A7661">
            <w:pPr>
              <w:cnfStyle w:val="000000000000" w:firstRow="0" w:lastRow="0" w:firstColumn="0" w:lastColumn="0" w:oddVBand="0" w:evenVBand="0" w:oddHBand="0" w:evenHBand="0" w:firstRowFirstColumn="0" w:firstRowLastColumn="0" w:lastRowFirstColumn="0" w:lastRowLastColumn="0"/>
              <w:rPr>
                <w:szCs w:val="20"/>
              </w:rPr>
            </w:pPr>
            <w:r w:rsidRPr="0081139E">
              <w:rPr>
                <w:szCs w:val="20"/>
              </w:rPr>
              <w:t>Évaluation et gestion des risques et impacts environnementaux et sociaux</w:t>
            </w:r>
          </w:p>
          <w:p w14:paraId="5D7FCFDF" w14:textId="77777777" w:rsidR="008637EF" w:rsidRPr="0081139E" w:rsidRDefault="008637EF" w:rsidP="005A7661">
            <w:pPr>
              <w:cnfStyle w:val="000000000000" w:firstRow="0" w:lastRow="0" w:firstColumn="0" w:lastColumn="0" w:oddVBand="0" w:evenVBand="0" w:oddHBand="0" w:evenHBand="0" w:firstRowFirstColumn="0" w:firstRowLastColumn="0" w:lastRowFirstColumn="0" w:lastRowLastColumn="0"/>
              <w:rPr>
                <w:szCs w:val="20"/>
              </w:rPr>
            </w:pPr>
            <w:r w:rsidRPr="0081139E">
              <w:rPr>
                <w:szCs w:val="20"/>
              </w:rPr>
              <w:t xml:space="preserve">L’étude d’impact environnemental et social (EIES), élaborée conformément aux exigences de la BAD, met en évidence l’importance d’une gestion intégrée des risques et impacts E&amp;S sur l’ensemble du cycle de vie du projet (construction, exploitation et démantèlement). </w:t>
            </w:r>
          </w:p>
          <w:p w14:paraId="0B568FAE" w14:textId="77777777" w:rsidR="008637EF" w:rsidRPr="0081139E" w:rsidRDefault="008637EF" w:rsidP="005A7661">
            <w:pPr>
              <w:cnfStyle w:val="000000000000" w:firstRow="0" w:lastRow="0" w:firstColumn="0" w:lastColumn="0" w:oddVBand="0" w:evenVBand="0" w:oddHBand="0" w:evenHBand="0" w:firstRowFirstColumn="0" w:firstRowLastColumn="0" w:lastRowFirstColumn="0" w:lastRowLastColumn="0"/>
              <w:rPr>
                <w:szCs w:val="20"/>
              </w:rPr>
            </w:pPr>
            <w:r w:rsidRPr="0081139E">
              <w:rPr>
                <w:szCs w:val="20"/>
              </w:rPr>
              <w:t>L’analyse porte sur les impacts majeurs, propose des mesures d’atténuation appropriées et prend en compte les impacts cumulatifs d’autres aménagements connexes</w:t>
            </w:r>
          </w:p>
          <w:p w14:paraId="12D2CEBF" w14:textId="77777777" w:rsidR="008637EF" w:rsidRPr="0081139E" w:rsidRDefault="008637EF" w:rsidP="005A7661">
            <w:pPr>
              <w:cnfStyle w:val="000000000000" w:firstRow="0" w:lastRow="0" w:firstColumn="0" w:lastColumn="0" w:oddVBand="0" w:evenVBand="0" w:oddHBand="0" w:evenHBand="0" w:firstRowFirstColumn="0" w:firstRowLastColumn="0" w:lastRowFirstColumn="0" w:lastRowLastColumn="0"/>
              <w:rPr>
                <w:szCs w:val="20"/>
              </w:rPr>
            </w:pPr>
            <w:r w:rsidRPr="0081139E">
              <w:rPr>
                <w:szCs w:val="20"/>
              </w:rPr>
              <w:t>La justification de la zone d’influence est détaillée et intègre les ouvrages annexes ainsi que les aires potentiellement affectées.</w:t>
            </w:r>
          </w:p>
          <w:p w14:paraId="3C522245" w14:textId="77777777" w:rsidR="008637EF" w:rsidRPr="0081139E" w:rsidRDefault="008637EF" w:rsidP="005A7661">
            <w:pPr>
              <w:cnfStyle w:val="000000000000" w:firstRow="0" w:lastRow="0" w:firstColumn="0" w:lastColumn="0" w:oddVBand="0" w:evenVBand="0" w:oddHBand="0" w:evenHBand="0" w:firstRowFirstColumn="0" w:firstRowLastColumn="0" w:lastRowFirstColumn="0" w:lastRowLastColumn="0"/>
              <w:rPr>
                <w:szCs w:val="20"/>
              </w:rPr>
            </w:pPr>
            <w:r w:rsidRPr="0081139E">
              <w:rPr>
                <w:szCs w:val="20"/>
              </w:rPr>
              <w:t>Processus d’identification des risques et impacts</w:t>
            </w:r>
          </w:p>
          <w:p w14:paraId="35F98357" w14:textId="77777777" w:rsidR="008637EF" w:rsidRPr="0081139E" w:rsidRDefault="008637EF" w:rsidP="005A7661">
            <w:pPr>
              <w:cnfStyle w:val="000000000000" w:firstRow="0" w:lastRow="0" w:firstColumn="0" w:lastColumn="0" w:oddVBand="0" w:evenVBand="0" w:oddHBand="0" w:evenHBand="0" w:firstRowFirstColumn="0" w:firstRowLastColumn="0" w:lastRowFirstColumn="0" w:lastRowLastColumn="0"/>
              <w:rPr>
                <w:szCs w:val="20"/>
              </w:rPr>
            </w:pPr>
            <w:r w:rsidRPr="0081139E">
              <w:rPr>
                <w:szCs w:val="20"/>
              </w:rPr>
              <w:t>Le processus d’identification s’appuie sur des méthodes rigoureuses permettant de détecter, analyser, mesurer et évaluer, de manière qualitative et quantitative lorsque cela est possible, les risques et impacts environnementaux et sociaux négatifs.</w:t>
            </w:r>
          </w:p>
          <w:p w14:paraId="40306504" w14:textId="77777777" w:rsidR="008637EF" w:rsidRPr="0081139E" w:rsidRDefault="008637EF" w:rsidP="005A7661">
            <w:pPr>
              <w:cnfStyle w:val="000000000000" w:firstRow="0" w:lastRow="0" w:firstColumn="0" w:lastColumn="0" w:oddVBand="0" w:evenVBand="0" w:oddHBand="0" w:evenHBand="0" w:firstRowFirstColumn="0" w:firstRowLastColumn="0" w:lastRowFirstColumn="0" w:lastRowLastColumn="0"/>
              <w:rPr>
                <w:szCs w:val="20"/>
              </w:rPr>
            </w:pPr>
            <w:r w:rsidRPr="0081139E">
              <w:rPr>
                <w:szCs w:val="20"/>
              </w:rPr>
              <w:t>Plan de Gestion Environnementale et Sociale (PGES)</w:t>
            </w:r>
          </w:p>
          <w:p w14:paraId="1BA01E13" w14:textId="77777777" w:rsidR="008637EF" w:rsidRPr="0081139E" w:rsidRDefault="008637EF" w:rsidP="005A7661">
            <w:pPr>
              <w:cnfStyle w:val="000000000000" w:firstRow="0" w:lastRow="0" w:firstColumn="0" w:lastColumn="0" w:oddVBand="0" w:evenVBand="0" w:oddHBand="0" w:evenHBand="0" w:firstRowFirstColumn="0" w:firstRowLastColumn="0" w:lastRowFirstColumn="0" w:lastRowLastColumn="0"/>
              <w:rPr>
                <w:szCs w:val="20"/>
              </w:rPr>
            </w:pPr>
            <w:r w:rsidRPr="0081139E">
              <w:rPr>
                <w:szCs w:val="20"/>
              </w:rPr>
              <w:t xml:space="preserve">Le PGES, dérivé des résultats de l’EIES, regroupe l’ensemble des mesures d’atténuation, de surveillance et de suivi, ainsi que les responsabilités institutionnelles et les mécanismes de rapport, assurant ainsi la gestion efficace des risques et impacts </w:t>
            </w:r>
            <w:r w:rsidRPr="0081139E">
              <w:rPr>
                <w:szCs w:val="20"/>
              </w:rPr>
              <w:lastRenderedPageBreak/>
              <w:t>environnementaux et sociaux tout au long du cycle de vie du projet. Il est assorti d’un budget et d’un calendrier précis pour la mise en œuvre des actions.</w:t>
            </w:r>
          </w:p>
          <w:p w14:paraId="68AE8DA6" w14:textId="77777777" w:rsidR="008637EF" w:rsidRPr="0081139E" w:rsidRDefault="008637EF" w:rsidP="005A7661">
            <w:pPr>
              <w:cnfStyle w:val="000000000000" w:firstRow="0" w:lastRow="0" w:firstColumn="0" w:lastColumn="0" w:oddVBand="0" w:evenVBand="0" w:oddHBand="0" w:evenHBand="0" w:firstRowFirstColumn="0" w:firstRowLastColumn="0" w:lastRowFirstColumn="0" w:lastRowLastColumn="0"/>
              <w:rPr>
                <w:szCs w:val="20"/>
              </w:rPr>
            </w:pPr>
            <w:r w:rsidRPr="0081139E">
              <w:rPr>
                <w:szCs w:val="20"/>
              </w:rPr>
              <w:t>Plan d</w:t>
            </w:r>
            <w:r>
              <w:rPr>
                <w:szCs w:val="20"/>
              </w:rPr>
              <w:t>e Participation</w:t>
            </w:r>
            <w:r w:rsidRPr="0081139E">
              <w:rPr>
                <w:szCs w:val="20"/>
              </w:rPr>
              <w:t xml:space="preserve"> des parties prenantes </w:t>
            </w:r>
          </w:p>
          <w:p w14:paraId="0B7D15D7" w14:textId="77777777" w:rsidR="008637EF" w:rsidRPr="0081139E" w:rsidRDefault="008637EF" w:rsidP="005A7661">
            <w:pPr>
              <w:cnfStyle w:val="000000000000" w:firstRow="0" w:lastRow="0" w:firstColumn="0" w:lastColumn="0" w:oddVBand="0" w:evenVBand="0" w:oddHBand="0" w:evenHBand="0" w:firstRowFirstColumn="0" w:firstRowLastColumn="0" w:lastRowFirstColumn="0" w:lastRowLastColumn="0"/>
              <w:rPr>
                <w:szCs w:val="20"/>
              </w:rPr>
            </w:pPr>
            <w:r w:rsidRPr="0081139E">
              <w:rPr>
                <w:szCs w:val="20"/>
              </w:rPr>
              <w:t>Un P</w:t>
            </w:r>
            <w:r>
              <w:rPr>
                <w:szCs w:val="20"/>
              </w:rPr>
              <w:t xml:space="preserve">lan de participation des parties prenantes </w:t>
            </w:r>
            <w:r w:rsidRPr="0081139E">
              <w:rPr>
                <w:szCs w:val="20"/>
              </w:rPr>
              <w:t>détaillé définit les relations, responsabilités et modalités de concertation avec les parties prenantes, y compris les communautés locales, tout au long du cycle de vie du projet.</w:t>
            </w:r>
          </w:p>
          <w:p w14:paraId="58BB883C" w14:textId="77777777" w:rsidR="008637EF" w:rsidRPr="0081139E" w:rsidRDefault="008637EF" w:rsidP="005A7661">
            <w:pPr>
              <w:cnfStyle w:val="000000000000" w:firstRow="0" w:lastRow="0" w:firstColumn="0" w:lastColumn="0" w:oddVBand="0" w:evenVBand="0" w:oddHBand="0" w:evenHBand="0" w:firstRowFirstColumn="0" w:firstRowLastColumn="0" w:lastRowFirstColumn="0" w:lastRowLastColumn="0"/>
              <w:rPr>
                <w:szCs w:val="20"/>
              </w:rPr>
            </w:pPr>
            <w:r w:rsidRPr="0081139E">
              <w:rPr>
                <w:szCs w:val="20"/>
              </w:rPr>
              <w:t>Mécanisme de gestion des doléances (MGD)</w:t>
            </w:r>
          </w:p>
          <w:p w14:paraId="2D66494E" w14:textId="77777777" w:rsidR="008637EF" w:rsidRPr="0081139E" w:rsidRDefault="008637EF" w:rsidP="005A7661">
            <w:pPr>
              <w:cnfStyle w:val="000000000000" w:firstRow="0" w:lastRow="0" w:firstColumn="0" w:lastColumn="0" w:oddVBand="0" w:evenVBand="0" w:oddHBand="0" w:evenHBand="0" w:firstRowFirstColumn="0" w:firstRowLastColumn="0" w:lastRowFirstColumn="0" w:lastRowLastColumn="0"/>
              <w:rPr>
                <w:szCs w:val="20"/>
              </w:rPr>
            </w:pPr>
            <w:r w:rsidRPr="0081139E">
              <w:rPr>
                <w:szCs w:val="20"/>
              </w:rPr>
              <w:t>L’EIES décrit un MGD conforme aux standards de la BAD, garantissant une prise en charge transparente, rapide et efficace des griefs exprimés par les populations affectées ou autres parties concernées.</w:t>
            </w:r>
          </w:p>
        </w:tc>
      </w:tr>
      <w:tr w:rsidR="008637EF" w:rsidRPr="0081139E" w14:paraId="3E30C778" w14:textId="77777777" w:rsidTr="00737967">
        <w:tc>
          <w:tcPr>
            <w:cnfStyle w:val="001000000000" w:firstRow="0" w:lastRow="0" w:firstColumn="1" w:lastColumn="0" w:oddVBand="0" w:evenVBand="0" w:oddHBand="0" w:evenHBand="0" w:firstRowFirstColumn="0" w:firstRowLastColumn="0" w:lastRowFirstColumn="0" w:lastRowLastColumn="0"/>
            <w:tcW w:w="0" w:type="auto"/>
          </w:tcPr>
          <w:p w14:paraId="333036C0" w14:textId="77777777" w:rsidR="008637EF" w:rsidRPr="0081139E" w:rsidRDefault="008637EF" w:rsidP="005A7661">
            <w:pPr>
              <w:rPr>
                <w:szCs w:val="20"/>
              </w:rPr>
            </w:pPr>
            <w:r w:rsidRPr="0081139E">
              <w:rPr>
                <w:szCs w:val="20"/>
              </w:rPr>
              <w:lastRenderedPageBreak/>
              <w:t xml:space="preserve">Sauvegarde opérationnelle 2 : Conditions d’emplois et de travail </w:t>
            </w:r>
          </w:p>
        </w:tc>
        <w:tc>
          <w:tcPr>
            <w:tcW w:w="0" w:type="auto"/>
          </w:tcPr>
          <w:p w14:paraId="5BB13BF0" w14:textId="77777777" w:rsidR="008637EF" w:rsidRPr="0081139E" w:rsidRDefault="008637EF" w:rsidP="005A7661">
            <w:pPr>
              <w:jc w:val="center"/>
              <w:cnfStyle w:val="000000000000" w:firstRow="0" w:lastRow="0" w:firstColumn="0" w:lastColumn="0" w:oddVBand="0" w:evenVBand="0" w:oddHBand="0" w:evenHBand="0" w:firstRowFirstColumn="0" w:firstRowLastColumn="0" w:lastRowFirstColumn="0" w:lastRowLastColumn="0"/>
              <w:rPr>
                <w:szCs w:val="20"/>
              </w:rPr>
            </w:pPr>
            <w:r w:rsidRPr="0081139E">
              <w:rPr>
                <w:szCs w:val="20"/>
              </w:rPr>
              <w:t>Conforme</w:t>
            </w:r>
          </w:p>
        </w:tc>
        <w:tc>
          <w:tcPr>
            <w:tcW w:w="0" w:type="auto"/>
          </w:tcPr>
          <w:p w14:paraId="39555E60" w14:textId="77777777" w:rsidR="008637EF" w:rsidRPr="0081139E" w:rsidRDefault="008637EF" w:rsidP="005A7661">
            <w:pPr>
              <w:cnfStyle w:val="000000000000" w:firstRow="0" w:lastRow="0" w:firstColumn="0" w:lastColumn="0" w:oddVBand="0" w:evenVBand="0" w:oddHBand="0" w:evenHBand="0" w:firstRowFirstColumn="0" w:firstRowLastColumn="0" w:lastRowFirstColumn="0" w:lastRowLastColumn="0"/>
              <w:rPr>
                <w:szCs w:val="20"/>
              </w:rPr>
            </w:pPr>
            <w:r w:rsidRPr="0081139E">
              <w:rPr>
                <w:szCs w:val="20"/>
              </w:rPr>
              <w:t>Cette sauvegarde précise les exigences relatives à la protection des travailleurs, à leurs conditions de travail et à leur sécurité, tout en assurant la protection des communautés contre les risques induits par le projet.</w:t>
            </w:r>
          </w:p>
        </w:tc>
        <w:tc>
          <w:tcPr>
            <w:tcW w:w="5664" w:type="dxa"/>
          </w:tcPr>
          <w:p w14:paraId="1B1249D7" w14:textId="77777777" w:rsidR="008637EF" w:rsidRPr="0081139E" w:rsidRDefault="008637EF" w:rsidP="005A7661">
            <w:pPr>
              <w:cnfStyle w:val="000000000000" w:firstRow="0" w:lastRow="0" w:firstColumn="0" w:lastColumn="0" w:oddVBand="0" w:evenVBand="0" w:oddHBand="0" w:evenHBand="0" w:firstRowFirstColumn="0" w:firstRowLastColumn="0" w:lastRowFirstColumn="0" w:lastRowLastColumn="0"/>
              <w:rPr>
                <w:szCs w:val="20"/>
              </w:rPr>
            </w:pPr>
            <w:r w:rsidRPr="0081139E">
              <w:rPr>
                <w:szCs w:val="20"/>
              </w:rPr>
              <w:t>Gestion des conditions de travail et santé-sécurité</w:t>
            </w:r>
          </w:p>
          <w:p w14:paraId="27A78317" w14:textId="77777777" w:rsidR="008637EF" w:rsidRPr="0081139E" w:rsidRDefault="008637EF" w:rsidP="005A7661">
            <w:pPr>
              <w:cnfStyle w:val="000000000000" w:firstRow="0" w:lastRow="0" w:firstColumn="0" w:lastColumn="0" w:oddVBand="0" w:evenVBand="0" w:oddHBand="0" w:evenHBand="0" w:firstRowFirstColumn="0" w:firstRowLastColumn="0" w:lastRowFirstColumn="0" w:lastRowLastColumn="0"/>
              <w:rPr>
                <w:szCs w:val="20"/>
              </w:rPr>
            </w:pPr>
            <w:r w:rsidRPr="0081139E">
              <w:rPr>
                <w:szCs w:val="20"/>
              </w:rPr>
              <w:t>L’EIES identifie les risques en matière de santé et de sécurité pour les travailleurs et les communautés avoisinantes. Des mesures sont mises en place pour prévenir les accidents, minimiser les risques liés aux transports, aux substances dangereuses et aux maladies, et gérer efficacement les situations d’urgence.</w:t>
            </w:r>
          </w:p>
          <w:p w14:paraId="605CD5DB" w14:textId="77777777" w:rsidR="008637EF" w:rsidRPr="0081139E" w:rsidRDefault="008637EF" w:rsidP="005A7661">
            <w:pPr>
              <w:cnfStyle w:val="000000000000" w:firstRow="0" w:lastRow="0" w:firstColumn="0" w:lastColumn="0" w:oddVBand="0" w:evenVBand="0" w:oddHBand="0" w:evenHBand="0" w:firstRowFirstColumn="0" w:firstRowLastColumn="0" w:lastRowFirstColumn="0" w:lastRowLastColumn="0"/>
              <w:rPr>
                <w:szCs w:val="20"/>
              </w:rPr>
            </w:pPr>
            <w:r w:rsidRPr="0081139E">
              <w:rPr>
                <w:szCs w:val="20"/>
              </w:rPr>
              <w:t>Mécanisme de gestion des doléances (MGD)</w:t>
            </w:r>
          </w:p>
          <w:p w14:paraId="64851DDB" w14:textId="77777777" w:rsidR="008637EF" w:rsidRPr="0081139E" w:rsidRDefault="008637EF" w:rsidP="005A7661">
            <w:pPr>
              <w:cnfStyle w:val="000000000000" w:firstRow="0" w:lastRow="0" w:firstColumn="0" w:lastColumn="0" w:oddVBand="0" w:evenVBand="0" w:oddHBand="0" w:evenHBand="0" w:firstRowFirstColumn="0" w:firstRowLastColumn="0" w:lastRowFirstColumn="0" w:lastRowLastColumn="0"/>
              <w:rPr>
                <w:szCs w:val="20"/>
              </w:rPr>
            </w:pPr>
            <w:r w:rsidRPr="0081139E">
              <w:rPr>
                <w:szCs w:val="20"/>
              </w:rPr>
              <w:t>Un MGD opérationnel, incluant les six étapes suivantes, est établi :</w:t>
            </w:r>
          </w:p>
          <w:p w14:paraId="61D73898" w14:textId="77777777" w:rsidR="008637EF" w:rsidRPr="0081139E" w:rsidRDefault="008637EF" w:rsidP="005A7661">
            <w:pPr>
              <w:cnfStyle w:val="000000000000" w:firstRow="0" w:lastRow="0" w:firstColumn="0" w:lastColumn="0" w:oddVBand="0" w:evenVBand="0" w:oddHBand="0" w:evenHBand="0" w:firstRowFirstColumn="0" w:firstRowLastColumn="0" w:lastRowFirstColumn="0" w:lastRowLastColumn="0"/>
              <w:rPr>
                <w:szCs w:val="20"/>
              </w:rPr>
            </w:pPr>
            <w:r w:rsidRPr="0081139E">
              <w:rPr>
                <w:szCs w:val="20"/>
              </w:rPr>
              <w:lastRenderedPageBreak/>
              <w:t>Information et sensibilisation des parties prenantes sur le processus de doléances ;</w:t>
            </w:r>
          </w:p>
          <w:p w14:paraId="18A2F77D" w14:textId="77777777" w:rsidR="008637EF" w:rsidRPr="0081139E" w:rsidRDefault="008637EF" w:rsidP="005A7661">
            <w:pPr>
              <w:cnfStyle w:val="000000000000" w:firstRow="0" w:lastRow="0" w:firstColumn="0" w:lastColumn="0" w:oddVBand="0" w:evenVBand="0" w:oddHBand="0" w:evenHBand="0" w:firstRowFirstColumn="0" w:firstRowLastColumn="0" w:lastRowFirstColumn="0" w:lastRowLastColumn="0"/>
              <w:rPr>
                <w:szCs w:val="20"/>
              </w:rPr>
            </w:pPr>
            <w:r w:rsidRPr="0081139E">
              <w:rPr>
                <w:szCs w:val="20"/>
              </w:rPr>
              <w:t>Réception, enregistrement et validation des doléances ;</w:t>
            </w:r>
          </w:p>
          <w:p w14:paraId="3EFD28D6" w14:textId="77777777" w:rsidR="008637EF" w:rsidRPr="0081139E" w:rsidRDefault="008637EF" w:rsidP="005A7661">
            <w:pPr>
              <w:cnfStyle w:val="000000000000" w:firstRow="0" w:lastRow="0" w:firstColumn="0" w:lastColumn="0" w:oddVBand="0" w:evenVBand="0" w:oddHBand="0" w:evenHBand="0" w:firstRowFirstColumn="0" w:firstRowLastColumn="0" w:lastRowFirstColumn="0" w:lastRowLastColumn="0"/>
              <w:rPr>
                <w:szCs w:val="20"/>
              </w:rPr>
            </w:pPr>
            <w:r w:rsidRPr="0081139E">
              <w:rPr>
                <w:szCs w:val="20"/>
              </w:rPr>
              <w:t>Analyse et traitement des doléances ;</w:t>
            </w:r>
          </w:p>
          <w:p w14:paraId="11147CF3" w14:textId="77777777" w:rsidR="008637EF" w:rsidRPr="0081139E" w:rsidRDefault="008637EF" w:rsidP="005A7661">
            <w:pPr>
              <w:cnfStyle w:val="000000000000" w:firstRow="0" w:lastRow="0" w:firstColumn="0" w:lastColumn="0" w:oddVBand="0" w:evenVBand="0" w:oddHBand="0" w:evenHBand="0" w:firstRowFirstColumn="0" w:firstRowLastColumn="0" w:lastRowFirstColumn="0" w:lastRowLastColumn="0"/>
              <w:rPr>
                <w:szCs w:val="20"/>
              </w:rPr>
            </w:pPr>
            <w:r w:rsidRPr="0081139E">
              <w:rPr>
                <w:szCs w:val="20"/>
              </w:rPr>
              <w:t>Médiation ou recours à des tiers, si nécessaire ;</w:t>
            </w:r>
          </w:p>
          <w:p w14:paraId="5A0A3CA2" w14:textId="77777777" w:rsidR="008637EF" w:rsidRPr="0081139E" w:rsidRDefault="008637EF" w:rsidP="005A7661">
            <w:pPr>
              <w:cnfStyle w:val="000000000000" w:firstRow="0" w:lastRow="0" w:firstColumn="0" w:lastColumn="0" w:oddVBand="0" w:evenVBand="0" w:oddHBand="0" w:evenHBand="0" w:firstRowFirstColumn="0" w:firstRowLastColumn="0" w:lastRowFirstColumn="0" w:lastRowLastColumn="0"/>
              <w:rPr>
                <w:szCs w:val="20"/>
              </w:rPr>
            </w:pPr>
            <w:r w:rsidRPr="0081139E">
              <w:rPr>
                <w:szCs w:val="20"/>
              </w:rPr>
              <w:t>Communication des décisions et clôture des dossiers ;</w:t>
            </w:r>
          </w:p>
          <w:p w14:paraId="55C50232" w14:textId="77777777" w:rsidR="008637EF" w:rsidRPr="0081139E" w:rsidRDefault="008637EF" w:rsidP="005A7661">
            <w:pPr>
              <w:cnfStyle w:val="000000000000" w:firstRow="0" w:lastRow="0" w:firstColumn="0" w:lastColumn="0" w:oddVBand="0" w:evenVBand="0" w:oddHBand="0" w:evenHBand="0" w:firstRowFirstColumn="0" w:firstRowLastColumn="0" w:lastRowFirstColumn="0" w:lastRowLastColumn="0"/>
              <w:rPr>
                <w:szCs w:val="20"/>
              </w:rPr>
            </w:pPr>
            <w:r w:rsidRPr="0081139E">
              <w:rPr>
                <w:szCs w:val="20"/>
              </w:rPr>
              <w:t>Suivi et retour d’information aux plaignants.</w:t>
            </w:r>
          </w:p>
          <w:p w14:paraId="01F20EDC" w14:textId="77777777" w:rsidR="008637EF" w:rsidRPr="0081139E" w:rsidRDefault="008637EF" w:rsidP="005A7661">
            <w:pPr>
              <w:cnfStyle w:val="000000000000" w:firstRow="0" w:lastRow="0" w:firstColumn="0" w:lastColumn="0" w:oddVBand="0" w:evenVBand="0" w:oddHBand="0" w:evenHBand="0" w:firstRowFirstColumn="0" w:firstRowLastColumn="0" w:lastRowFirstColumn="0" w:lastRowLastColumn="0"/>
              <w:rPr>
                <w:szCs w:val="20"/>
              </w:rPr>
            </w:pPr>
            <w:r w:rsidRPr="0081139E">
              <w:rPr>
                <w:szCs w:val="20"/>
              </w:rPr>
              <w:t>Le recrutement local est également favorisé, conformément aux exigences de la BAD.</w:t>
            </w:r>
          </w:p>
        </w:tc>
      </w:tr>
      <w:tr w:rsidR="008637EF" w:rsidRPr="0081139E" w14:paraId="5C05DD85" w14:textId="77777777" w:rsidTr="00737967">
        <w:tc>
          <w:tcPr>
            <w:cnfStyle w:val="001000000000" w:firstRow="0" w:lastRow="0" w:firstColumn="1" w:lastColumn="0" w:oddVBand="0" w:evenVBand="0" w:oddHBand="0" w:evenHBand="0" w:firstRowFirstColumn="0" w:firstRowLastColumn="0" w:lastRowFirstColumn="0" w:lastRowLastColumn="0"/>
            <w:tcW w:w="0" w:type="auto"/>
          </w:tcPr>
          <w:p w14:paraId="70610D40" w14:textId="77777777" w:rsidR="008637EF" w:rsidRPr="0081139E" w:rsidRDefault="008637EF" w:rsidP="005A7661">
            <w:pPr>
              <w:rPr>
                <w:szCs w:val="20"/>
              </w:rPr>
            </w:pPr>
            <w:r w:rsidRPr="0081139E">
              <w:rPr>
                <w:szCs w:val="20"/>
              </w:rPr>
              <w:lastRenderedPageBreak/>
              <w:t>Sauvegarde opérationnelle environnementale et sociale 3 : Utilisation efficiente des ressources et prévention et gestion de la pollution</w:t>
            </w:r>
          </w:p>
        </w:tc>
        <w:tc>
          <w:tcPr>
            <w:tcW w:w="0" w:type="auto"/>
          </w:tcPr>
          <w:p w14:paraId="56464C1B" w14:textId="77777777" w:rsidR="008637EF" w:rsidRPr="0081139E" w:rsidRDefault="008637EF" w:rsidP="005A7661">
            <w:pPr>
              <w:jc w:val="center"/>
              <w:cnfStyle w:val="000000000000" w:firstRow="0" w:lastRow="0" w:firstColumn="0" w:lastColumn="0" w:oddVBand="0" w:evenVBand="0" w:oddHBand="0" w:evenHBand="0" w:firstRowFirstColumn="0" w:firstRowLastColumn="0" w:lastRowFirstColumn="0" w:lastRowLastColumn="0"/>
              <w:rPr>
                <w:szCs w:val="20"/>
              </w:rPr>
            </w:pPr>
            <w:r w:rsidRPr="0081139E">
              <w:rPr>
                <w:szCs w:val="20"/>
              </w:rPr>
              <w:t>Conforme</w:t>
            </w:r>
          </w:p>
        </w:tc>
        <w:tc>
          <w:tcPr>
            <w:tcW w:w="0" w:type="auto"/>
          </w:tcPr>
          <w:p w14:paraId="61E28B63" w14:textId="77777777" w:rsidR="008637EF" w:rsidRPr="0081139E" w:rsidRDefault="008637EF" w:rsidP="005A7661">
            <w:pPr>
              <w:cnfStyle w:val="000000000000" w:firstRow="0" w:lastRow="0" w:firstColumn="0" w:lastColumn="0" w:oddVBand="0" w:evenVBand="0" w:oddHBand="0" w:evenHBand="0" w:firstRowFirstColumn="0" w:firstRowLastColumn="0" w:lastRowFirstColumn="0" w:lastRowLastColumn="0"/>
              <w:rPr>
                <w:szCs w:val="20"/>
              </w:rPr>
            </w:pPr>
            <w:r w:rsidRPr="0081139E">
              <w:rPr>
                <w:szCs w:val="20"/>
              </w:rPr>
              <w:t>Cette sauvegarde traite de la prévention et du contrôle de la pollution, évaluation des effets du changement climatique, de la gestion des déchets et des substances dangereuses, ainsi que de l’efficacité de l’utilisation des ressources naturelles, en cohérence avec les normes internationales et régionales.</w:t>
            </w:r>
          </w:p>
        </w:tc>
        <w:tc>
          <w:tcPr>
            <w:tcW w:w="5664" w:type="dxa"/>
          </w:tcPr>
          <w:p w14:paraId="4B0A3E2A" w14:textId="77777777" w:rsidR="008637EF" w:rsidRPr="0081139E" w:rsidRDefault="008637EF" w:rsidP="005A7661">
            <w:pPr>
              <w:cnfStyle w:val="000000000000" w:firstRow="0" w:lastRow="0" w:firstColumn="0" w:lastColumn="0" w:oddVBand="0" w:evenVBand="0" w:oddHBand="0" w:evenHBand="0" w:firstRowFirstColumn="0" w:firstRowLastColumn="0" w:lastRowFirstColumn="0" w:lastRowLastColumn="0"/>
              <w:rPr>
                <w:szCs w:val="20"/>
              </w:rPr>
            </w:pPr>
            <w:r w:rsidRPr="0081139E">
              <w:rPr>
                <w:szCs w:val="20"/>
              </w:rPr>
              <w:t>Gestion de la pollution et des ressources</w:t>
            </w:r>
          </w:p>
          <w:p w14:paraId="62FFABFF" w14:textId="77777777" w:rsidR="008637EF" w:rsidRPr="0081139E" w:rsidRDefault="008637EF" w:rsidP="005A7661">
            <w:pPr>
              <w:cnfStyle w:val="000000000000" w:firstRow="0" w:lastRow="0" w:firstColumn="0" w:lastColumn="0" w:oddVBand="0" w:evenVBand="0" w:oddHBand="0" w:evenHBand="0" w:firstRowFirstColumn="0" w:firstRowLastColumn="0" w:lastRowFirstColumn="0" w:lastRowLastColumn="0"/>
              <w:rPr>
                <w:szCs w:val="20"/>
              </w:rPr>
            </w:pPr>
            <w:r w:rsidRPr="0081139E">
              <w:rPr>
                <w:szCs w:val="20"/>
              </w:rPr>
              <w:t>L’EIES décrit les mesures visant à minimiser la pollution, réduire les émissions de gaz à effet de serre et gérer les déchets solides et dangereux selon les meilleures pratiques reconnues.</w:t>
            </w:r>
          </w:p>
          <w:p w14:paraId="05762E35" w14:textId="77777777" w:rsidR="008637EF" w:rsidRPr="0081139E" w:rsidRDefault="008637EF" w:rsidP="005A7661">
            <w:pPr>
              <w:cnfStyle w:val="000000000000" w:firstRow="0" w:lastRow="0" w:firstColumn="0" w:lastColumn="0" w:oddVBand="0" w:evenVBand="0" w:oddHBand="0" w:evenHBand="0" w:firstRowFirstColumn="0" w:firstRowLastColumn="0" w:lastRowFirstColumn="0" w:lastRowLastColumn="0"/>
              <w:rPr>
                <w:szCs w:val="20"/>
              </w:rPr>
            </w:pPr>
            <w:r w:rsidRPr="0081139E">
              <w:rPr>
                <w:szCs w:val="20"/>
              </w:rPr>
              <w:t>Utilisation efficiente de l’eau et de l’énergie</w:t>
            </w:r>
          </w:p>
          <w:p w14:paraId="21D74F31" w14:textId="77777777" w:rsidR="008637EF" w:rsidRPr="0081139E" w:rsidRDefault="008637EF" w:rsidP="005A7661">
            <w:pPr>
              <w:cnfStyle w:val="000000000000" w:firstRow="0" w:lastRow="0" w:firstColumn="0" w:lastColumn="0" w:oddVBand="0" w:evenVBand="0" w:oddHBand="0" w:evenHBand="0" w:firstRowFirstColumn="0" w:firstRowLastColumn="0" w:lastRowFirstColumn="0" w:lastRowLastColumn="0"/>
              <w:rPr>
                <w:szCs w:val="20"/>
              </w:rPr>
            </w:pPr>
            <w:r w:rsidRPr="0081139E">
              <w:rPr>
                <w:szCs w:val="20"/>
              </w:rPr>
              <w:t>Des mesures sont prévues pour optimiser la consommation d’eau et d’énergie, limitant ainsi les impacts sur les ressources locales et les communautés avoisinantes.</w:t>
            </w:r>
          </w:p>
        </w:tc>
      </w:tr>
      <w:tr w:rsidR="008637EF" w:rsidRPr="0081139E" w14:paraId="732C3F08" w14:textId="77777777" w:rsidTr="00737967">
        <w:tc>
          <w:tcPr>
            <w:cnfStyle w:val="001000000000" w:firstRow="0" w:lastRow="0" w:firstColumn="1" w:lastColumn="0" w:oddVBand="0" w:evenVBand="0" w:oddHBand="0" w:evenHBand="0" w:firstRowFirstColumn="0" w:firstRowLastColumn="0" w:lastRowFirstColumn="0" w:lastRowLastColumn="0"/>
            <w:tcW w:w="0" w:type="auto"/>
          </w:tcPr>
          <w:p w14:paraId="68102589" w14:textId="77777777" w:rsidR="008637EF" w:rsidRPr="0081139E" w:rsidRDefault="008637EF" w:rsidP="005A7661">
            <w:pPr>
              <w:rPr>
                <w:szCs w:val="20"/>
              </w:rPr>
            </w:pPr>
            <w:r w:rsidRPr="0081139E">
              <w:rPr>
                <w:szCs w:val="20"/>
              </w:rPr>
              <w:t>Sauvegarde opérationnelle environnementale et sociale 4 : Santé, sûreté et sécurité communautaires</w:t>
            </w:r>
          </w:p>
        </w:tc>
        <w:tc>
          <w:tcPr>
            <w:tcW w:w="0" w:type="auto"/>
          </w:tcPr>
          <w:p w14:paraId="4E7CDA07" w14:textId="77777777" w:rsidR="008637EF" w:rsidRPr="0081139E" w:rsidRDefault="008637EF" w:rsidP="005A7661">
            <w:pPr>
              <w:jc w:val="center"/>
              <w:cnfStyle w:val="000000000000" w:firstRow="0" w:lastRow="0" w:firstColumn="0" w:lastColumn="0" w:oddVBand="0" w:evenVBand="0" w:oddHBand="0" w:evenHBand="0" w:firstRowFirstColumn="0" w:firstRowLastColumn="0" w:lastRowFirstColumn="0" w:lastRowLastColumn="0"/>
              <w:rPr>
                <w:szCs w:val="20"/>
              </w:rPr>
            </w:pPr>
          </w:p>
        </w:tc>
        <w:tc>
          <w:tcPr>
            <w:tcW w:w="0" w:type="auto"/>
          </w:tcPr>
          <w:p w14:paraId="26C50F8B" w14:textId="77777777" w:rsidR="008637EF" w:rsidRPr="0081139E" w:rsidRDefault="008637EF" w:rsidP="005A7661">
            <w:pPr>
              <w:cnfStyle w:val="000000000000" w:firstRow="0" w:lastRow="0" w:firstColumn="0" w:lastColumn="0" w:oddVBand="0" w:evenVBand="0" w:oddHBand="0" w:evenHBand="0" w:firstRowFirstColumn="0" w:firstRowLastColumn="0" w:lastRowFirstColumn="0" w:lastRowLastColumn="0"/>
              <w:rPr>
                <w:szCs w:val="20"/>
              </w:rPr>
            </w:pPr>
            <w:r w:rsidRPr="0081139E">
              <w:rPr>
                <w:szCs w:val="20"/>
              </w:rPr>
              <w:t xml:space="preserve">L’applicabilité de la SO 4 est établie au cours de l’évaluation environnementale et sociale décrite à la SO1. Elle traite les exigences nécessaires pour assurer la santé et la sécurité des communautés </w:t>
            </w:r>
          </w:p>
        </w:tc>
        <w:tc>
          <w:tcPr>
            <w:tcW w:w="5664" w:type="dxa"/>
          </w:tcPr>
          <w:p w14:paraId="70F20888" w14:textId="77777777" w:rsidR="008637EF" w:rsidRPr="0081139E" w:rsidRDefault="008637EF" w:rsidP="005A7661">
            <w:pPr>
              <w:cnfStyle w:val="000000000000" w:firstRow="0" w:lastRow="0" w:firstColumn="0" w:lastColumn="0" w:oddVBand="0" w:evenVBand="0" w:oddHBand="0" w:evenHBand="0" w:firstRowFirstColumn="0" w:firstRowLastColumn="0" w:lastRowFirstColumn="0" w:lastRowLastColumn="0"/>
              <w:rPr>
                <w:szCs w:val="20"/>
              </w:rPr>
            </w:pPr>
            <w:r w:rsidRPr="0081139E">
              <w:rPr>
                <w:szCs w:val="20"/>
              </w:rPr>
              <w:t>L’EIES évalue les risques et les impacts du projet sur la santé et la sécurité des communautés affectées au cours du cycle de vie du projet, y compris celles qui, du fait de leurs conditions particulières, peuvent y être vulnérables.</w:t>
            </w:r>
          </w:p>
          <w:p w14:paraId="103E3CB9" w14:textId="77777777" w:rsidR="008637EF" w:rsidRPr="0081139E" w:rsidRDefault="008637EF" w:rsidP="005A7661">
            <w:pPr>
              <w:cnfStyle w:val="000000000000" w:firstRow="0" w:lastRow="0" w:firstColumn="0" w:lastColumn="0" w:oddVBand="0" w:evenVBand="0" w:oddHBand="0" w:evenHBand="0" w:firstRowFirstColumn="0" w:firstRowLastColumn="0" w:lastRowFirstColumn="0" w:lastRowLastColumn="0"/>
              <w:rPr>
                <w:szCs w:val="20"/>
              </w:rPr>
            </w:pPr>
            <w:r w:rsidRPr="0081139E">
              <w:rPr>
                <w:szCs w:val="20"/>
              </w:rPr>
              <w:lastRenderedPageBreak/>
              <w:t>L’étude élabore et met en œuvre un plan de gestion de la santé et de la sécurité, qui : i) identifie les risques et les impacts et propose des mesures d’atténuation conformément à la hiérarchie de l’atténuation ; ii) examine les exigences en matière de prévention des urgences, de préparation aux situations d’urgence et de riposte d’urgence, d’une part, et de planification de la prévention et du confinement des maladies, d’autre part.</w:t>
            </w:r>
          </w:p>
          <w:p w14:paraId="3EAC4DAA" w14:textId="77777777" w:rsidR="008637EF" w:rsidRPr="0081139E" w:rsidRDefault="008637EF" w:rsidP="005A7661">
            <w:pPr>
              <w:cnfStyle w:val="000000000000" w:firstRow="0" w:lastRow="0" w:firstColumn="0" w:lastColumn="0" w:oddVBand="0" w:evenVBand="0" w:oddHBand="0" w:evenHBand="0" w:firstRowFirstColumn="0" w:firstRowLastColumn="0" w:lastRowFirstColumn="0" w:lastRowLastColumn="0"/>
              <w:rPr>
                <w:szCs w:val="20"/>
              </w:rPr>
            </w:pPr>
            <w:r w:rsidRPr="0081139E">
              <w:rPr>
                <w:szCs w:val="20"/>
              </w:rPr>
              <w:t>Un canevas du plan de préparation et de réponse aux urgences est élaboré tant que plan de gestion sectoriel.</w:t>
            </w:r>
          </w:p>
        </w:tc>
      </w:tr>
      <w:tr w:rsidR="008637EF" w:rsidRPr="0081139E" w14:paraId="21D4CEC0" w14:textId="77777777" w:rsidTr="00737967">
        <w:tc>
          <w:tcPr>
            <w:cnfStyle w:val="001000000000" w:firstRow="0" w:lastRow="0" w:firstColumn="1" w:lastColumn="0" w:oddVBand="0" w:evenVBand="0" w:oddHBand="0" w:evenHBand="0" w:firstRowFirstColumn="0" w:firstRowLastColumn="0" w:lastRowFirstColumn="0" w:lastRowLastColumn="0"/>
            <w:tcW w:w="0" w:type="auto"/>
          </w:tcPr>
          <w:p w14:paraId="037B12AA" w14:textId="77777777" w:rsidR="008637EF" w:rsidRPr="0081139E" w:rsidRDefault="008637EF" w:rsidP="005A7661">
            <w:pPr>
              <w:rPr>
                <w:szCs w:val="20"/>
              </w:rPr>
            </w:pPr>
            <w:r w:rsidRPr="0081139E">
              <w:rPr>
                <w:szCs w:val="20"/>
              </w:rPr>
              <w:lastRenderedPageBreak/>
              <w:t>Sauvegarde opérationnelle environnementale et sociale 5 : Acquisition de terres, restrictions à l’accès et à l’utilisation des terres, et réinstallation involontaire</w:t>
            </w:r>
          </w:p>
        </w:tc>
        <w:tc>
          <w:tcPr>
            <w:tcW w:w="0" w:type="auto"/>
          </w:tcPr>
          <w:p w14:paraId="2387C7DF" w14:textId="77777777" w:rsidR="008637EF" w:rsidRPr="0081139E" w:rsidRDefault="008637EF" w:rsidP="005A7661">
            <w:pPr>
              <w:jc w:val="center"/>
              <w:cnfStyle w:val="000000000000" w:firstRow="0" w:lastRow="0" w:firstColumn="0" w:lastColumn="0" w:oddVBand="0" w:evenVBand="0" w:oddHBand="0" w:evenHBand="0" w:firstRowFirstColumn="0" w:firstRowLastColumn="0" w:lastRowFirstColumn="0" w:lastRowLastColumn="0"/>
              <w:rPr>
                <w:szCs w:val="20"/>
              </w:rPr>
            </w:pPr>
            <w:r w:rsidRPr="0081139E">
              <w:rPr>
                <w:szCs w:val="20"/>
              </w:rPr>
              <w:t>Conforme</w:t>
            </w:r>
          </w:p>
        </w:tc>
        <w:tc>
          <w:tcPr>
            <w:tcW w:w="0" w:type="auto"/>
          </w:tcPr>
          <w:p w14:paraId="2B0B6DC3" w14:textId="77777777" w:rsidR="008637EF" w:rsidRPr="0081139E" w:rsidRDefault="008637EF" w:rsidP="005A7661">
            <w:pPr>
              <w:cnfStyle w:val="000000000000" w:firstRow="0" w:lastRow="0" w:firstColumn="0" w:lastColumn="0" w:oddVBand="0" w:evenVBand="0" w:oddHBand="0" w:evenHBand="0" w:firstRowFirstColumn="0" w:firstRowLastColumn="0" w:lastRowFirstColumn="0" w:lastRowLastColumn="0"/>
              <w:rPr>
                <w:szCs w:val="20"/>
              </w:rPr>
            </w:pPr>
            <w:r w:rsidRPr="0081139E">
              <w:rPr>
                <w:szCs w:val="20"/>
              </w:rPr>
              <w:t>Cette sauvegarde encadre les conditions d’acquisition de terres, le déplacement involontaire des populations et leur indemnisation, conformément à la politique de la BAD sur la réinstallation involontaire. Elle vise à limiter les impacts sociaux négatifs et à garantir que les personnes affectées bénéficient de conditions de vie égales ou meilleures après leur réinstallation.</w:t>
            </w:r>
          </w:p>
        </w:tc>
        <w:tc>
          <w:tcPr>
            <w:tcW w:w="5664" w:type="dxa"/>
          </w:tcPr>
          <w:p w14:paraId="707E8AB5" w14:textId="2752C5B5" w:rsidR="008637EF" w:rsidRDefault="008637EF" w:rsidP="005A7661">
            <w:pPr>
              <w:cnfStyle w:val="000000000000" w:firstRow="0" w:lastRow="0" w:firstColumn="0" w:lastColumn="0" w:oddVBand="0" w:evenVBand="0" w:oddHBand="0" w:evenHBand="0" w:firstRowFirstColumn="0" w:firstRowLastColumn="0" w:lastRowFirstColumn="0" w:lastRowLastColumn="0"/>
            </w:pPr>
            <w:r w:rsidRPr="007761DF">
              <w:t xml:space="preserve">Le projet d’extension de la piste de l’aéroport </w:t>
            </w:r>
            <w:r w:rsidR="00EE6509">
              <w:t>Marrakech Ménara</w:t>
            </w:r>
            <w:r w:rsidRPr="007761DF">
              <w:t>, nécessitant une expropriation,</w:t>
            </w:r>
            <w:r>
              <w:t xml:space="preserve"> selon le plan parcellaire donné en annexes.</w:t>
            </w:r>
          </w:p>
          <w:p w14:paraId="419C3CC9" w14:textId="1DCE4AC3" w:rsidR="008637EF" w:rsidRPr="006E1C45" w:rsidRDefault="008637EF" w:rsidP="005A7661">
            <w:pPr>
              <w:cnfStyle w:val="000000000000" w:firstRow="0" w:lastRow="0" w:firstColumn="0" w:lastColumn="0" w:oddVBand="0" w:evenVBand="0" w:oddHBand="0" w:evenHBand="0" w:firstRowFirstColumn="0" w:firstRowLastColumn="0" w:lastRowFirstColumn="0" w:lastRowLastColumn="0"/>
            </w:pPr>
            <w:r w:rsidRPr="00CD2670">
              <w:rPr>
                <w:rFonts w:eastAsia="Calibri"/>
                <w:lang w:val="fr-MA" w:bidi="ar-SA"/>
              </w:rPr>
              <w:t>En conformité avec les exigences de la SO5, les travaux et les nouvelles installations se situent à l'intérieur de la clôture aéroportuaire. Le projet </w:t>
            </w:r>
            <w:r w:rsidRPr="00CD2670">
              <w:rPr>
                <w:rFonts w:eastAsia="Calibri"/>
                <w:b/>
                <w:bCs/>
                <w:lang w:val="fr-MA" w:bidi="ar-SA"/>
              </w:rPr>
              <w:t>n'implique pas la création de nouvelles restrictions d'accès ou d'utilisation</w:t>
            </w:r>
            <w:r w:rsidRPr="00CD2670">
              <w:rPr>
                <w:rFonts w:eastAsia="Calibri"/>
                <w:lang w:val="fr-MA" w:bidi="ar-SA"/>
              </w:rPr>
              <w:t> sur des terres ou des ressources naturelles </w:t>
            </w:r>
            <w:r w:rsidRPr="00CD2670">
              <w:rPr>
                <w:rFonts w:eastAsia="Calibri"/>
                <w:i/>
                <w:iCs/>
                <w:lang w:val="fr-MA" w:bidi="ar-SA"/>
              </w:rPr>
              <w:t>extérieures</w:t>
            </w:r>
            <w:r w:rsidRPr="00CD2670">
              <w:rPr>
                <w:rFonts w:eastAsia="Calibri"/>
                <w:lang w:val="fr-MA" w:bidi="ar-SA"/>
              </w:rPr>
              <w:t> à l'aéroport</w:t>
            </w:r>
            <w:r w:rsidR="005F07C3">
              <w:rPr>
                <w:rFonts w:eastAsia="Calibri"/>
                <w:lang w:val="fr-MA" w:bidi="ar-SA"/>
              </w:rPr>
              <w:t xml:space="preserve"> </w:t>
            </w:r>
            <w:r w:rsidRPr="00CD2670">
              <w:rPr>
                <w:rFonts w:eastAsia="Calibri"/>
                <w:lang w:val="fr-MA" w:bidi="ar-SA"/>
              </w:rPr>
              <w:t>qui pourraient affecter les moyens de subsistance des communautés locales ou de groupes spécifiques.</w:t>
            </w:r>
            <w:r w:rsidRPr="00735711">
              <w:rPr>
                <w:rFonts w:eastAsia="Calibri"/>
                <w:b/>
                <w:bCs/>
                <w:lang w:bidi="ar-SA"/>
              </w:rPr>
              <w:t xml:space="preserve"> </w:t>
            </w:r>
            <w:r>
              <w:rPr>
                <w:rFonts w:eastAsia="Calibri"/>
                <w:b/>
                <w:bCs/>
                <w:lang w:bidi="ar-SA"/>
              </w:rPr>
              <w:t>A</w:t>
            </w:r>
            <w:r w:rsidRPr="00CD2670">
              <w:rPr>
                <w:rFonts w:eastAsia="Calibri"/>
                <w:b/>
                <w:bCs/>
                <w:lang w:bidi="ar-SA"/>
              </w:rPr>
              <w:t>ucun déplacement économique, tel que défini et déclenché par les mécanismes de la SO5, n'est prévu</w:t>
            </w:r>
            <w:r w:rsidRPr="00CD2670">
              <w:rPr>
                <w:rFonts w:eastAsia="Calibri"/>
                <w:lang w:bidi="ar-SA"/>
              </w:rPr>
              <w:t>.</w:t>
            </w:r>
          </w:p>
        </w:tc>
      </w:tr>
      <w:tr w:rsidR="008637EF" w:rsidRPr="0081139E" w14:paraId="16035CE6" w14:textId="77777777" w:rsidTr="00737967">
        <w:tc>
          <w:tcPr>
            <w:cnfStyle w:val="001000000000" w:firstRow="0" w:lastRow="0" w:firstColumn="1" w:lastColumn="0" w:oddVBand="0" w:evenVBand="0" w:oddHBand="0" w:evenHBand="0" w:firstRowFirstColumn="0" w:firstRowLastColumn="0" w:lastRowFirstColumn="0" w:lastRowLastColumn="0"/>
            <w:tcW w:w="0" w:type="auto"/>
          </w:tcPr>
          <w:p w14:paraId="7C0C6C85" w14:textId="77777777" w:rsidR="008637EF" w:rsidRPr="0081139E" w:rsidRDefault="008637EF" w:rsidP="005A7661">
            <w:pPr>
              <w:rPr>
                <w:szCs w:val="20"/>
              </w:rPr>
            </w:pPr>
            <w:r w:rsidRPr="0081139E">
              <w:rPr>
                <w:szCs w:val="20"/>
              </w:rPr>
              <w:t xml:space="preserve">Sauvegarde opérationnelle environnementale et sociale 6 : Conservation des habitats et de la biodiversité et gestion durable </w:t>
            </w:r>
            <w:r w:rsidRPr="0081139E">
              <w:rPr>
                <w:szCs w:val="20"/>
              </w:rPr>
              <w:lastRenderedPageBreak/>
              <w:t>des ressources naturelles vivantes</w:t>
            </w:r>
          </w:p>
        </w:tc>
        <w:tc>
          <w:tcPr>
            <w:tcW w:w="0" w:type="auto"/>
          </w:tcPr>
          <w:p w14:paraId="03AC232E" w14:textId="77777777" w:rsidR="008637EF" w:rsidRPr="0081139E" w:rsidRDefault="008637EF" w:rsidP="005A7661">
            <w:pPr>
              <w:jc w:val="center"/>
              <w:cnfStyle w:val="000000000000" w:firstRow="0" w:lastRow="0" w:firstColumn="0" w:lastColumn="0" w:oddVBand="0" w:evenVBand="0" w:oddHBand="0" w:evenHBand="0" w:firstRowFirstColumn="0" w:firstRowLastColumn="0" w:lastRowFirstColumn="0" w:lastRowLastColumn="0"/>
              <w:rPr>
                <w:szCs w:val="20"/>
              </w:rPr>
            </w:pPr>
            <w:r w:rsidRPr="0081139E">
              <w:rPr>
                <w:szCs w:val="20"/>
              </w:rPr>
              <w:lastRenderedPageBreak/>
              <w:t>Conforme</w:t>
            </w:r>
          </w:p>
        </w:tc>
        <w:tc>
          <w:tcPr>
            <w:tcW w:w="0" w:type="auto"/>
          </w:tcPr>
          <w:p w14:paraId="7DCE4EBC" w14:textId="77777777" w:rsidR="008637EF" w:rsidRPr="0081139E" w:rsidRDefault="008637EF" w:rsidP="005A7661">
            <w:pPr>
              <w:cnfStyle w:val="000000000000" w:firstRow="0" w:lastRow="0" w:firstColumn="0" w:lastColumn="0" w:oddVBand="0" w:evenVBand="0" w:oddHBand="0" w:evenHBand="0" w:firstRowFirstColumn="0" w:firstRowLastColumn="0" w:lastRowFirstColumn="0" w:lastRowLastColumn="0"/>
              <w:rPr>
                <w:szCs w:val="20"/>
              </w:rPr>
            </w:pPr>
            <w:r w:rsidRPr="0081139E">
              <w:rPr>
                <w:szCs w:val="20"/>
              </w:rPr>
              <w:t xml:space="preserve">Cette sauvegarde a pour objectif de préserver la diversité biologique et d’encourager une utilisation durable des ressources naturelles, en ligne avec les </w:t>
            </w:r>
            <w:r w:rsidRPr="0081139E">
              <w:rPr>
                <w:szCs w:val="20"/>
              </w:rPr>
              <w:lastRenderedPageBreak/>
              <w:t>engagements politiques de la BAD et les exigences opérationnelles sectorielles.</w:t>
            </w:r>
          </w:p>
        </w:tc>
        <w:tc>
          <w:tcPr>
            <w:tcW w:w="5664" w:type="dxa"/>
          </w:tcPr>
          <w:p w14:paraId="6EAF76E2" w14:textId="77777777" w:rsidR="008637EF" w:rsidRPr="0081139E" w:rsidRDefault="008637EF" w:rsidP="005A7661">
            <w:pPr>
              <w:cnfStyle w:val="000000000000" w:firstRow="0" w:lastRow="0" w:firstColumn="0" w:lastColumn="0" w:oddVBand="0" w:evenVBand="0" w:oddHBand="0" w:evenHBand="0" w:firstRowFirstColumn="0" w:firstRowLastColumn="0" w:lastRowFirstColumn="0" w:lastRowLastColumn="0"/>
              <w:rPr>
                <w:szCs w:val="20"/>
              </w:rPr>
            </w:pPr>
            <w:r w:rsidRPr="0081139E">
              <w:rPr>
                <w:szCs w:val="20"/>
              </w:rPr>
              <w:lastRenderedPageBreak/>
              <w:t>Analyse de la biodiversité et des services écosystémiques</w:t>
            </w:r>
          </w:p>
          <w:p w14:paraId="5C70AE37" w14:textId="77777777" w:rsidR="008637EF" w:rsidRPr="0081139E" w:rsidRDefault="008637EF" w:rsidP="005A7661">
            <w:pPr>
              <w:cnfStyle w:val="000000000000" w:firstRow="0" w:lastRow="0" w:firstColumn="0" w:lastColumn="0" w:oddVBand="0" w:evenVBand="0" w:oddHBand="0" w:evenHBand="0" w:firstRowFirstColumn="0" w:firstRowLastColumn="0" w:lastRowFirstColumn="0" w:lastRowLastColumn="0"/>
              <w:rPr>
                <w:szCs w:val="20"/>
              </w:rPr>
            </w:pPr>
            <w:r w:rsidRPr="0081139E">
              <w:rPr>
                <w:szCs w:val="20"/>
              </w:rPr>
              <w:t xml:space="preserve">L’EIES comprend une évaluation approfondie des impacts du projet sur la biodiversité locale, en identifiant les espèces et habitats </w:t>
            </w:r>
            <w:r w:rsidRPr="0081139E">
              <w:rPr>
                <w:szCs w:val="20"/>
              </w:rPr>
              <w:lastRenderedPageBreak/>
              <w:t>sensibles. Des mesures d’atténuation spécifiques sont proposées pour prévenir ou réduire les impacts négatifs.</w:t>
            </w:r>
          </w:p>
          <w:p w14:paraId="69D86665" w14:textId="77777777" w:rsidR="008637EF" w:rsidRPr="0081139E" w:rsidRDefault="008637EF" w:rsidP="005A7661">
            <w:pPr>
              <w:cnfStyle w:val="000000000000" w:firstRow="0" w:lastRow="0" w:firstColumn="0" w:lastColumn="0" w:oddVBand="0" w:evenVBand="0" w:oddHBand="0" w:evenHBand="0" w:firstRowFirstColumn="0" w:firstRowLastColumn="0" w:lastRowFirstColumn="0" w:lastRowLastColumn="0"/>
              <w:rPr>
                <w:szCs w:val="20"/>
              </w:rPr>
            </w:pPr>
            <w:r w:rsidRPr="0081139E">
              <w:rPr>
                <w:szCs w:val="20"/>
              </w:rPr>
              <w:t>Identification des habitats et services écosystémiques</w:t>
            </w:r>
          </w:p>
          <w:p w14:paraId="2DDD188B" w14:textId="77777777" w:rsidR="008637EF" w:rsidRPr="0081139E" w:rsidRDefault="008637EF" w:rsidP="005A7661">
            <w:pPr>
              <w:cnfStyle w:val="000000000000" w:firstRow="0" w:lastRow="0" w:firstColumn="0" w:lastColumn="0" w:oddVBand="0" w:evenVBand="0" w:oddHBand="0" w:evenHBand="0" w:firstRowFirstColumn="0" w:firstRowLastColumn="0" w:lastRowFirstColumn="0" w:lastRowLastColumn="0"/>
              <w:rPr>
                <w:szCs w:val="20"/>
              </w:rPr>
            </w:pPr>
            <w:r w:rsidRPr="0081139E">
              <w:rPr>
                <w:szCs w:val="20"/>
              </w:rPr>
              <w:t>Les habitats critiques sont catégorisés selon leur vulnérabilité et remplaçabilité, et la valeur que leur attribuent les parties prenantes est intégrée dans l’analyse.</w:t>
            </w:r>
          </w:p>
        </w:tc>
      </w:tr>
      <w:tr w:rsidR="008637EF" w:rsidRPr="0081139E" w14:paraId="33C5532F" w14:textId="77777777" w:rsidTr="00737967">
        <w:tc>
          <w:tcPr>
            <w:cnfStyle w:val="001000000000" w:firstRow="0" w:lastRow="0" w:firstColumn="1" w:lastColumn="0" w:oddVBand="0" w:evenVBand="0" w:oddHBand="0" w:evenHBand="0" w:firstRowFirstColumn="0" w:firstRowLastColumn="0" w:lastRowFirstColumn="0" w:lastRowLastColumn="0"/>
            <w:tcW w:w="0" w:type="auto"/>
          </w:tcPr>
          <w:p w14:paraId="1A0F9336" w14:textId="77777777" w:rsidR="008637EF" w:rsidRPr="0081139E" w:rsidRDefault="008637EF" w:rsidP="005A7661">
            <w:pPr>
              <w:rPr>
                <w:szCs w:val="20"/>
              </w:rPr>
            </w:pPr>
            <w:r w:rsidRPr="0081139E">
              <w:rPr>
                <w:szCs w:val="20"/>
              </w:rPr>
              <w:lastRenderedPageBreak/>
              <w:t>Sauvegarde opérationnelle environnementale et sociale 7 : Groupes vulnérables</w:t>
            </w:r>
          </w:p>
        </w:tc>
        <w:tc>
          <w:tcPr>
            <w:tcW w:w="0" w:type="auto"/>
          </w:tcPr>
          <w:p w14:paraId="628F462C" w14:textId="77777777" w:rsidR="008637EF" w:rsidRPr="0081139E" w:rsidRDefault="008637EF" w:rsidP="005A7661">
            <w:pPr>
              <w:jc w:val="center"/>
              <w:cnfStyle w:val="000000000000" w:firstRow="0" w:lastRow="0" w:firstColumn="0" w:lastColumn="0" w:oddVBand="0" w:evenVBand="0" w:oddHBand="0" w:evenHBand="0" w:firstRowFirstColumn="0" w:firstRowLastColumn="0" w:lastRowFirstColumn="0" w:lastRowLastColumn="0"/>
              <w:rPr>
                <w:szCs w:val="20"/>
              </w:rPr>
            </w:pPr>
            <w:r w:rsidRPr="0081139E">
              <w:rPr>
                <w:szCs w:val="20"/>
              </w:rPr>
              <w:t>Conforme</w:t>
            </w:r>
          </w:p>
        </w:tc>
        <w:tc>
          <w:tcPr>
            <w:tcW w:w="0" w:type="auto"/>
          </w:tcPr>
          <w:p w14:paraId="2D83F1BC" w14:textId="77777777" w:rsidR="008637EF" w:rsidRPr="0081139E" w:rsidRDefault="008637EF" w:rsidP="005A7661">
            <w:pPr>
              <w:cnfStyle w:val="000000000000" w:firstRow="0" w:lastRow="0" w:firstColumn="0" w:lastColumn="0" w:oddVBand="0" w:evenVBand="0" w:oddHBand="0" w:evenHBand="0" w:firstRowFirstColumn="0" w:firstRowLastColumn="0" w:lastRowFirstColumn="0" w:lastRowLastColumn="0"/>
              <w:rPr>
                <w:szCs w:val="20"/>
              </w:rPr>
            </w:pPr>
            <w:r w:rsidRPr="0081139E">
              <w:rPr>
                <w:szCs w:val="20"/>
              </w:rPr>
              <w:t>Cette SO vise à garantir que les projets de la Banque renforcent les possibilités pour les groupes vulnérables de participer au développement et d'en bénéficier, tout en évitant ou en atténuant les impacts négatifs. Elle reconnaît les droits spécifiques et les besoins des groupes vulnérables, y compris les minorités rurales très vulnérables (MRTV), et promeut une approche sensible au genre et inclusive.</w:t>
            </w:r>
          </w:p>
        </w:tc>
        <w:tc>
          <w:tcPr>
            <w:tcW w:w="5664" w:type="dxa"/>
          </w:tcPr>
          <w:p w14:paraId="39DD746A" w14:textId="77777777" w:rsidR="008637EF" w:rsidRPr="00273BD5" w:rsidRDefault="008637EF" w:rsidP="005A7661">
            <w:pPr>
              <w:cnfStyle w:val="000000000000" w:firstRow="0" w:lastRow="0" w:firstColumn="0" w:lastColumn="0" w:oddVBand="0" w:evenVBand="0" w:oddHBand="0" w:evenHBand="0" w:firstRowFirstColumn="0" w:firstRowLastColumn="0" w:lastRowFirstColumn="0" w:lastRowLastColumn="0"/>
              <w:rPr>
                <w:szCs w:val="20"/>
              </w:rPr>
            </w:pPr>
            <w:r w:rsidRPr="00273BD5">
              <w:rPr>
                <w:szCs w:val="20"/>
              </w:rPr>
              <w:t>La SO n°7 est pertinente dans le cadre du projet. En effet, certaines catégories de population présentent des vulnérabilités sociales, économiques ou sanitaires susceptibles d’accentuer les impacts du projet. Il s’agit notamment des populations riveraines à faibles revenus, des femmes et jeunes filles exposées à des risques de marginalisation ou de violences basées sur le genre, ainsi que des personnes âgées ou en situation de handicap affectées par les changements d’accessibilité.</w:t>
            </w:r>
          </w:p>
          <w:p w14:paraId="7FC7EC68" w14:textId="77777777" w:rsidR="008637EF" w:rsidRPr="0081139E" w:rsidRDefault="008637EF" w:rsidP="005A7661">
            <w:pPr>
              <w:cnfStyle w:val="000000000000" w:firstRow="0" w:lastRow="0" w:firstColumn="0" w:lastColumn="0" w:oddVBand="0" w:evenVBand="0" w:oddHBand="0" w:evenHBand="0" w:firstRowFirstColumn="0" w:firstRowLastColumn="0" w:lastRowFirstColumn="0" w:lastRowLastColumn="0"/>
              <w:rPr>
                <w:szCs w:val="20"/>
              </w:rPr>
            </w:pPr>
            <w:r>
              <w:rPr>
                <w:szCs w:val="20"/>
              </w:rPr>
              <w:t>L’EIES doit donc veiller à l</w:t>
            </w:r>
            <w:r w:rsidRPr="0081139E">
              <w:rPr>
                <w:szCs w:val="20"/>
              </w:rPr>
              <w:t>'identification précoce des groupes vulnérables et des MRTV</w:t>
            </w:r>
            <w:r w:rsidRPr="0081139E">
              <w:rPr>
                <w:rStyle w:val="Appelnotedebasdep"/>
                <w:szCs w:val="20"/>
              </w:rPr>
              <w:footnoteReference w:id="2"/>
            </w:r>
            <w:r w:rsidRPr="0081139E">
              <w:rPr>
                <w:szCs w:val="20"/>
              </w:rPr>
              <w:t xml:space="preserve"> potentiellement affectés ; l'analyse des risques et impacts spécifiques (y compris socio-économiques, culturels, de genre) ; la mise en œuvre de mesures d'atténuation différenciées pour éviter les impacts disproportionnés ; l'assurance d'un partage équitable des bénéfices du projet ; la conduite de consultations culturellement appropriées, sécurisées et inclusives ; et la mise en place de mécanismes de suivi adaptés, sont préconisés au niveau de l’étude.</w:t>
            </w:r>
          </w:p>
        </w:tc>
      </w:tr>
      <w:tr w:rsidR="008637EF" w:rsidRPr="0081139E" w14:paraId="758AF12C" w14:textId="77777777" w:rsidTr="00737967">
        <w:tc>
          <w:tcPr>
            <w:cnfStyle w:val="001000000000" w:firstRow="0" w:lastRow="0" w:firstColumn="1" w:lastColumn="0" w:oddVBand="0" w:evenVBand="0" w:oddHBand="0" w:evenHBand="0" w:firstRowFirstColumn="0" w:firstRowLastColumn="0" w:lastRowFirstColumn="0" w:lastRowLastColumn="0"/>
            <w:tcW w:w="0" w:type="auto"/>
          </w:tcPr>
          <w:p w14:paraId="3415003A" w14:textId="77777777" w:rsidR="008637EF" w:rsidRPr="0081139E" w:rsidRDefault="008637EF" w:rsidP="005A7661">
            <w:pPr>
              <w:rPr>
                <w:szCs w:val="20"/>
              </w:rPr>
            </w:pPr>
            <w:r w:rsidRPr="0081139E">
              <w:rPr>
                <w:szCs w:val="20"/>
              </w:rPr>
              <w:lastRenderedPageBreak/>
              <w:t>Sauvegarde opérationnelle environnementale et sociale 8 : Patrimoine culturel</w:t>
            </w:r>
          </w:p>
        </w:tc>
        <w:tc>
          <w:tcPr>
            <w:tcW w:w="0" w:type="auto"/>
          </w:tcPr>
          <w:p w14:paraId="24B675DB" w14:textId="77777777" w:rsidR="008637EF" w:rsidRPr="0081139E" w:rsidRDefault="008637EF" w:rsidP="005A7661">
            <w:pPr>
              <w:jc w:val="center"/>
              <w:cnfStyle w:val="000000000000" w:firstRow="0" w:lastRow="0" w:firstColumn="0" w:lastColumn="0" w:oddVBand="0" w:evenVBand="0" w:oddHBand="0" w:evenHBand="0" w:firstRowFirstColumn="0" w:firstRowLastColumn="0" w:lastRowFirstColumn="0" w:lastRowLastColumn="0"/>
              <w:rPr>
                <w:szCs w:val="20"/>
              </w:rPr>
            </w:pPr>
            <w:r w:rsidRPr="0081139E">
              <w:rPr>
                <w:szCs w:val="20"/>
              </w:rPr>
              <w:t>Conforme</w:t>
            </w:r>
          </w:p>
        </w:tc>
        <w:tc>
          <w:tcPr>
            <w:tcW w:w="0" w:type="auto"/>
          </w:tcPr>
          <w:p w14:paraId="06D422A9" w14:textId="77777777" w:rsidR="008637EF" w:rsidRPr="0081139E" w:rsidRDefault="008637EF" w:rsidP="005A7661">
            <w:pPr>
              <w:cnfStyle w:val="000000000000" w:firstRow="0" w:lastRow="0" w:firstColumn="0" w:lastColumn="0" w:oddVBand="0" w:evenVBand="0" w:oddHBand="0" w:evenHBand="0" w:firstRowFirstColumn="0" w:firstRowLastColumn="0" w:lastRowFirstColumn="0" w:lastRowLastColumn="0"/>
              <w:rPr>
                <w:szCs w:val="20"/>
              </w:rPr>
            </w:pPr>
            <w:r w:rsidRPr="0081139E">
              <w:rPr>
                <w:szCs w:val="20"/>
              </w:rPr>
              <w:t>Cette SO vise à protéger le patrimoine culturel (matériel et immatériel) contre les impacts négatifs des activités du projet et à soutenir sa préservation. Elle promeut la consultation significative des parties prenantes et le partage équitable des avantages découlant de l'utilisation commerciale du patrimoine culture</w:t>
            </w:r>
          </w:p>
        </w:tc>
        <w:tc>
          <w:tcPr>
            <w:tcW w:w="5664" w:type="dxa"/>
          </w:tcPr>
          <w:p w14:paraId="1342678B" w14:textId="77777777" w:rsidR="008637EF" w:rsidRPr="0081139E" w:rsidRDefault="008637EF" w:rsidP="005A7661">
            <w:pPr>
              <w:cnfStyle w:val="000000000000" w:firstRow="0" w:lastRow="0" w:firstColumn="0" w:lastColumn="0" w:oddVBand="0" w:evenVBand="0" w:oddHBand="0" w:evenHBand="0" w:firstRowFirstColumn="0" w:firstRowLastColumn="0" w:lastRowFirstColumn="0" w:lastRowLastColumn="0"/>
              <w:rPr>
                <w:szCs w:val="20"/>
              </w:rPr>
            </w:pPr>
            <w:r w:rsidRPr="0081139E">
              <w:rPr>
                <w:szCs w:val="20"/>
              </w:rPr>
              <w:t>L’EIES identifie et l'évalue les risques et impacts potentiels sur le patrimoine culturel matériel (archéologique, bâti, etc.) et immatériel ; et contient l'application de la hiérarchie d'atténuation (éviter, minimiser, restaurer, compenser) ; la mise en place et le respect d'une procédure de découverte fortuite ; la consultation des communautés affectées, des experts et des autorités compétentes ; le respect des protections légales nationales et internationales ; et l'établissement d'accords équitables en cas d'utilisation commerciale du patrimoine culturel.</w:t>
            </w:r>
          </w:p>
        </w:tc>
      </w:tr>
      <w:tr w:rsidR="008637EF" w:rsidRPr="0081139E" w14:paraId="42F48611" w14:textId="77777777" w:rsidTr="00737967">
        <w:tc>
          <w:tcPr>
            <w:cnfStyle w:val="001000000000" w:firstRow="0" w:lastRow="0" w:firstColumn="1" w:lastColumn="0" w:oddVBand="0" w:evenVBand="0" w:oddHBand="0" w:evenHBand="0" w:firstRowFirstColumn="0" w:firstRowLastColumn="0" w:lastRowFirstColumn="0" w:lastRowLastColumn="0"/>
            <w:tcW w:w="0" w:type="auto"/>
          </w:tcPr>
          <w:p w14:paraId="6E530F3B" w14:textId="77777777" w:rsidR="008637EF" w:rsidRPr="0081139E" w:rsidRDefault="008637EF" w:rsidP="005A7661">
            <w:pPr>
              <w:rPr>
                <w:szCs w:val="20"/>
              </w:rPr>
            </w:pPr>
            <w:r w:rsidRPr="0081139E">
              <w:rPr>
                <w:szCs w:val="20"/>
              </w:rPr>
              <w:t>Sauvegarde opérationnelle environnementale et sociale 9 : Intermédiaires financiers</w:t>
            </w:r>
          </w:p>
        </w:tc>
        <w:tc>
          <w:tcPr>
            <w:tcW w:w="0" w:type="auto"/>
          </w:tcPr>
          <w:p w14:paraId="037C3A28" w14:textId="77777777" w:rsidR="008637EF" w:rsidRPr="0081139E" w:rsidRDefault="008637EF" w:rsidP="005A7661">
            <w:pPr>
              <w:jc w:val="center"/>
              <w:cnfStyle w:val="000000000000" w:firstRow="0" w:lastRow="0" w:firstColumn="0" w:lastColumn="0" w:oddVBand="0" w:evenVBand="0" w:oddHBand="0" w:evenHBand="0" w:firstRowFirstColumn="0" w:firstRowLastColumn="0" w:lastRowFirstColumn="0" w:lastRowLastColumn="0"/>
              <w:rPr>
                <w:szCs w:val="20"/>
              </w:rPr>
            </w:pPr>
            <w:r w:rsidRPr="0081139E">
              <w:rPr>
                <w:szCs w:val="20"/>
              </w:rPr>
              <w:t>NA</w:t>
            </w:r>
          </w:p>
        </w:tc>
        <w:tc>
          <w:tcPr>
            <w:tcW w:w="0" w:type="auto"/>
          </w:tcPr>
          <w:p w14:paraId="4FCFBD6A" w14:textId="77777777" w:rsidR="008637EF" w:rsidRPr="0081139E" w:rsidRDefault="008637EF" w:rsidP="005A7661">
            <w:pPr>
              <w:cnfStyle w:val="000000000000" w:firstRow="0" w:lastRow="0" w:firstColumn="0" w:lastColumn="0" w:oddVBand="0" w:evenVBand="0" w:oddHBand="0" w:evenHBand="0" w:firstRowFirstColumn="0" w:firstRowLastColumn="0" w:lastRowFirstColumn="0" w:lastRowLastColumn="0"/>
              <w:rPr>
                <w:szCs w:val="20"/>
              </w:rPr>
            </w:pPr>
            <w:r w:rsidRPr="0081139E">
              <w:rPr>
                <w:szCs w:val="20"/>
              </w:rPr>
              <w:t>Cette SO s'applique lorsque le financement de la Banque est acheminé via des Intermédiaires Financiers (IF). Elle exige que l'IF développe et maintienne un Système de Gestion Environnementale et Sociale (SGES) pour identifier, évaluer, gérer et suivre les risques et impacts E&amp;S de ses sous-projets et de son portefeuille, de manière proportionnée aux risques.</w:t>
            </w:r>
          </w:p>
        </w:tc>
        <w:tc>
          <w:tcPr>
            <w:tcW w:w="5664" w:type="dxa"/>
          </w:tcPr>
          <w:p w14:paraId="6FA25DC7" w14:textId="77777777" w:rsidR="008637EF" w:rsidRPr="0081139E" w:rsidRDefault="008637EF" w:rsidP="005A7661">
            <w:pPr>
              <w:cnfStyle w:val="000000000000" w:firstRow="0" w:lastRow="0" w:firstColumn="0" w:lastColumn="0" w:oddVBand="0" w:evenVBand="0" w:oddHBand="0" w:evenHBand="0" w:firstRowFirstColumn="0" w:firstRowLastColumn="0" w:lastRowFirstColumn="0" w:lastRowLastColumn="0"/>
              <w:rPr>
                <w:szCs w:val="20"/>
              </w:rPr>
            </w:pPr>
            <w:r w:rsidRPr="0081139E">
              <w:rPr>
                <w:szCs w:val="20"/>
              </w:rPr>
              <w:t>RAS</w:t>
            </w:r>
          </w:p>
        </w:tc>
      </w:tr>
      <w:tr w:rsidR="008637EF" w:rsidRPr="0081139E" w14:paraId="0FB545B6" w14:textId="77777777" w:rsidTr="00737967">
        <w:tc>
          <w:tcPr>
            <w:cnfStyle w:val="001000000000" w:firstRow="0" w:lastRow="0" w:firstColumn="1" w:lastColumn="0" w:oddVBand="0" w:evenVBand="0" w:oddHBand="0" w:evenHBand="0" w:firstRowFirstColumn="0" w:firstRowLastColumn="0" w:lastRowFirstColumn="0" w:lastRowLastColumn="0"/>
            <w:tcW w:w="0" w:type="auto"/>
          </w:tcPr>
          <w:p w14:paraId="39C80DDF" w14:textId="77777777" w:rsidR="008637EF" w:rsidRPr="0081139E" w:rsidRDefault="008637EF" w:rsidP="005A7661">
            <w:pPr>
              <w:rPr>
                <w:szCs w:val="20"/>
              </w:rPr>
            </w:pPr>
            <w:r w:rsidRPr="0081139E">
              <w:rPr>
                <w:szCs w:val="20"/>
              </w:rPr>
              <w:t>Sauvegarde opérationnelle environnementale et sociale 10 : Engagement des parties prenantes et diffusion de l’information</w:t>
            </w:r>
          </w:p>
        </w:tc>
        <w:tc>
          <w:tcPr>
            <w:tcW w:w="0" w:type="auto"/>
          </w:tcPr>
          <w:p w14:paraId="4AC8F9BB" w14:textId="77777777" w:rsidR="008637EF" w:rsidRPr="0081139E" w:rsidRDefault="008637EF" w:rsidP="005A7661">
            <w:pPr>
              <w:jc w:val="center"/>
              <w:cnfStyle w:val="000000000000" w:firstRow="0" w:lastRow="0" w:firstColumn="0" w:lastColumn="0" w:oddVBand="0" w:evenVBand="0" w:oddHBand="0" w:evenHBand="0" w:firstRowFirstColumn="0" w:firstRowLastColumn="0" w:lastRowFirstColumn="0" w:lastRowLastColumn="0"/>
              <w:rPr>
                <w:szCs w:val="20"/>
              </w:rPr>
            </w:pPr>
            <w:r w:rsidRPr="0081139E">
              <w:rPr>
                <w:szCs w:val="20"/>
              </w:rPr>
              <w:t>Conforme</w:t>
            </w:r>
          </w:p>
        </w:tc>
        <w:tc>
          <w:tcPr>
            <w:tcW w:w="0" w:type="auto"/>
          </w:tcPr>
          <w:p w14:paraId="1B214CFC" w14:textId="77777777" w:rsidR="008637EF" w:rsidRPr="0081139E" w:rsidRDefault="008637EF" w:rsidP="005A7661">
            <w:pPr>
              <w:cnfStyle w:val="000000000000" w:firstRow="0" w:lastRow="0" w:firstColumn="0" w:lastColumn="0" w:oddVBand="0" w:evenVBand="0" w:oddHBand="0" w:evenHBand="0" w:firstRowFirstColumn="0" w:firstRowLastColumn="0" w:lastRowFirstColumn="0" w:lastRowLastColumn="0"/>
              <w:rPr>
                <w:szCs w:val="20"/>
              </w:rPr>
            </w:pPr>
            <w:r w:rsidRPr="0081139E">
              <w:rPr>
                <w:szCs w:val="20"/>
              </w:rPr>
              <w:t>Cette SO établit l'importance d'une collaboration ouverte et transparente entre l'emprunteur et les parties prenantes tout au long du cycle de vie du projet. Elle vise à assurer une participation effective, inclusive et sécurisée, en particulier des groupes affectés et vulnérables, pour améliorer la durabilité et les résultats du projet.</w:t>
            </w:r>
          </w:p>
        </w:tc>
        <w:tc>
          <w:tcPr>
            <w:tcW w:w="5664" w:type="dxa"/>
          </w:tcPr>
          <w:p w14:paraId="67930F0D" w14:textId="77777777" w:rsidR="008637EF" w:rsidRPr="0081139E" w:rsidRDefault="008637EF" w:rsidP="005A7661">
            <w:pPr>
              <w:cnfStyle w:val="000000000000" w:firstRow="0" w:lastRow="0" w:firstColumn="0" w:lastColumn="0" w:oddVBand="0" w:evenVBand="0" w:oddHBand="0" w:evenHBand="0" w:firstRowFirstColumn="0" w:firstRowLastColumn="0" w:lastRowFirstColumn="0" w:lastRowLastColumn="0"/>
              <w:rPr>
                <w:szCs w:val="20"/>
              </w:rPr>
            </w:pPr>
            <w:r w:rsidRPr="0081139E">
              <w:rPr>
                <w:szCs w:val="20"/>
              </w:rPr>
              <w:t xml:space="preserve">L'identification et l'analyse précoces et continues des parties prenantes ; l'élaboration et la mise en œuvre d'un Plan d'Engagement des Parties Prenantes adapté ; la diffusion opportune d'informations pertinentes, accessibles et compréhensibles ; la conduite de consultations significatives, bidirectionnelles et culturellement appropriées, sans intimidation ni représailles ; l'établissement et le maintien d'un mécanisme de gestion des </w:t>
            </w:r>
            <w:r w:rsidRPr="0081139E">
              <w:rPr>
                <w:szCs w:val="20"/>
              </w:rPr>
              <w:lastRenderedPageBreak/>
              <w:t>plaintes accessible et efficace ; la documentation et le reporting des activités d'engagement ; et l'allocation de ressources adéquates.</w:t>
            </w:r>
          </w:p>
        </w:tc>
      </w:tr>
    </w:tbl>
    <w:p w14:paraId="383FFE61" w14:textId="77777777" w:rsidR="008637EF" w:rsidRDefault="008637EF" w:rsidP="008637EF">
      <w:pPr>
        <w:spacing w:after="0"/>
        <w:ind w:left="1097"/>
      </w:pPr>
    </w:p>
    <w:p w14:paraId="0A0EAFF9" w14:textId="77777777" w:rsidR="008637EF" w:rsidRDefault="008637EF" w:rsidP="008637EF">
      <w:pPr>
        <w:spacing w:after="0"/>
        <w:ind w:left="1097"/>
      </w:pPr>
    </w:p>
    <w:p w14:paraId="7081AA09" w14:textId="77777777" w:rsidR="008637EF" w:rsidRDefault="008637EF" w:rsidP="008637EF">
      <w:pPr>
        <w:spacing w:after="0"/>
        <w:ind w:left="1097"/>
        <w:sectPr w:rsidR="008637EF" w:rsidSect="008637EF">
          <w:headerReference w:type="default" r:id="rId23"/>
          <w:footerReference w:type="default" r:id="rId24"/>
          <w:pgSz w:w="16838" w:h="11906" w:orient="landscape"/>
          <w:pgMar w:top="1417" w:right="1417" w:bottom="1417" w:left="1276" w:header="680" w:footer="680" w:gutter="0"/>
          <w:cols w:space="708"/>
          <w:docGrid w:linePitch="360"/>
        </w:sectPr>
      </w:pPr>
    </w:p>
    <w:p w14:paraId="39651F85" w14:textId="77777777" w:rsidR="008637EF" w:rsidRPr="000C038A" w:rsidRDefault="008637EF" w:rsidP="004E045A">
      <w:pPr>
        <w:pStyle w:val="Title4"/>
      </w:pPr>
      <w:r w:rsidRPr="000C038A">
        <w:lastRenderedPageBreak/>
        <w:t>Ecart entre les SO de la BAD et le cadre légal et réglementaire national, et mesures de remédiation</w:t>
      </w:r>
    </w:p>
    <w:p w14:paraId="7776FBB8" w14:textId="77777777" w:rsidR="008637EF" w:rsidRDefault="008637EF" w:rsidP="008637EF">
      <w:pPr>
        <w:sectPr w:rsidR="008637EF" w:rsidSect="008637EF">
          <w:headerReference w:type="default" r:id="rId25"/>
          <w:footerReference w:type="default" r:id="rId26"/>
          <w:pgSz w:w="11906" w:h="16838"/>
          <w:pgMar w:top="1417" w:right="1417" w:bottom="1276" w:left="1417" w:header="680" w:footer="680" w:gutter="0"/>
          <w:cols w:space="708"/>
          <w:docGrid w:linePitch="360"/>
        </w:sectPr>
      </w:pPr>
      <w:r>
        <w:t xml:space="preserve">Le tableau ci-dessous présente l’écart entre </w:t>
      </w:r>
      <w:r w:rsidRPr="00BC6368">
        <w:t>les SO de la BAD et le cadre légal et réglementaire national, et mesures de remédiation</w:t>
      </w:r>
      <w:r>
        <w:t xml:space="preserve"> pour le présent projet :</w:t>
      </w:r>
    </w:p>
    <w:p w14:paraId="2AA3A9D9" w14:textId="3409522D" w:rsidR="008637EF" w:rsidRPr="002A0860" w:rsidRDefault="008637EF" w:rsidP="008637EF">
      <w:pPr>
        <w:pStyle w:val="Lgende"/>
        <w:keepNext/>
        <w:rPr>
          <w:lang w:val="fr-FR"/>
        </w:rPr>
      </w:pPr>
      <w:bookmarkStart w:id="91" w:name="_Toc213404339"/>
      <w:r w:rsidRPr="002A0860">
        <w:rPr>
          <w:lang w:val="fr-FR"/>
        </w:rPr>
        <w:lastRenderedPageBreak/>
        <w:t xml:space="preserve">Tableau </w:t>
      </w:r>
      <w:r>
        <w:fldChar w:fldCharType="begin"/>
      </w:r>
      <w:r w:rsidRPr="002A0860">
        <w:rPr>
          <w:lang w:val="fr-FR"/>
        </w:rPr>
        <w:instrText xml:space="preserve"> SEQ Tableau \* ARABIC </w:instrText>
      </w:r>
      <w:r>
        <w:fldChar w:fldCharType="separate"/>
      </w:r>
      <w:r w:rsidR="00274E71">
        <w:rPr>
          <w:noProof/>
          <w:lang w:val="fr-FR"/>
        </w:rPr>
        <w:t>16</w:t>
      </w:r>
      <w:r>
        <w:fldChar w:fldCharType="end"/>
      </w:r>
      <w:r>
        <w:rPr>
          <w:lang w:val="fr-FR"/>
        </w:rPr>
        <w:t xml:space="preserve">:  </w:t>
      </w:r>
      <w:r w:rsidRPr="002A0860">
        <w:rPr>
          <w:lang w:val="fr-FR"/>
        </w:rPr>
        <w:t>Cadre légal et réglementaire national, écart avec les SO de la BAD et mesures de remédiation</w:t>
      </w:r>
      <w:bookmarkEnd w:id="91"/>
    </w:p>
    <w:tbl>
      <w:tblPr>
        <w:tblStyle w:val="TableauGrille1Clair-Accentuation111"/>
        <w:tblW w:w="14250" w:type="dxa"/>
        <w:tblLook w:val="04A0" w:firstRow="1" w:lastRow="0" w:firstColumn="1" w:lastColumn="0" w:noHBand="0" w:noVBand="1"/>
      </w:tblPr>
      <w:tblGrid>
        <w:gridCol w:w="2425"/>
        <w:gridCol w:w="1304"/>
        <w:gridCol w:w="3688"/>
        <w:gridCol w:w="3465"/>
        <w:gridCol w:w="3368"/>
      </w:tblGrid>
      <w:tr w:rsidR="008637EF" w:rsidRPr="00C12375" w14:paraId="78884986" w14:textId="77777777" w:rsidTr="00737967">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0" w:type="auto"/>
            <w:hideMark/>
          </w:tcPr>
          <w:p w14:paraId="63B7A1CD" w14:textId="77777777" w:rsidR="008637EF" w:rsidRPr="00C12375" w:rsidRDefault="008637EF" w:rsidP="005A7661">
            <w:pPr>
              <w:spacing w:after="160" w:line="259" w:lineRule="auto"/>
              <w:jc w:val="center"/>
              <w:rPr>
                <w:rFonts w:asciiTheme="minorHAnsi" w:hAnsiTheme="minorHAnsi" w:cstheme="minorHAnsi"/>
                <w:b w:val="0"/>
                <w:bCs w:val="0"/>
                <w:szCs w:val="20"/>
              </w:rPr>
            </w:pPr>
            <w:r w:rsidRPr="00C12375">
              <w:rPr>
                <w:rFonts w:asciiTheme="minorHAnsi" w:hAnsiTheme="minorHAnsi" w:cstheme="minorHAnsi"/>
                <w:szCs w:val="20"/>
              </w:rPr>
              <w:t>SO de la BAD</w:t>
            </w:r>
          </w:p>
        </w:tc>
        <w:tc>
          <w:tcPr>
            <w:tcW w:w="0" w:type="auto"/>
            <w:hideMark/>
          </w:tcPr>
          <w:p w14:paraId="16C7299D" w14:textId="77777777" w:rsidR="008637EF" w:rsidRPr="00C12375" w:rsidRDefault="008637EF" w:rsidP="005A7661">
            <w:pPr>
              <w:spacing w:after="160" w:line="259"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szCs w:val="20"/>
              </w:rPr>
            </w:pPr>
            <w:r w:rsidRPr="00C12375">
              <w:rPr>
                <w:rFonts w:asciiTheme="minorHAnsi" w:hAnsiTheme="minorHAnsi" w:cstheme="minorHAnsi"/>
                <w:szCs w:val="20"/>
              </w:rPr>
              <w:t>Applicabilité au Projet</w:t>
            </w:r>
          </w:p>
        </w:tc>
        <w:tc>
          <w:tcPr>
            <w:tcW w:w="0" w:type="auto"/>
            <w:hideMark/>
          </w:tcPr>
          <w:p w14:paraId="71943457" w14:textId="77777777" w:rsidR="008637EF" w:rsidRPr="00C12375" w:rsidRDefault="008637EF" w:rsidP="005A7661">
            <w:pPr>
              <w:spacing w:after="160" w:line="259"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szCs w:val="20"/>
              </w:rPr>
            </w:pPr>
            <w:r w:rsidRPr="00C12375">
              <w:rPr>
                <w:rFonts w:asciiTheme="minorHAnsi" w:hAnsiTheme="minorHAnsi" w:cstheme="minorHAnsi"/>
                <w:szCs w:val="20"/>
              </w:rPr>
              <w:t>Cadre légal marocain</w:t>
            </w:r>
          </w:p>
        </w:tc>
        <w:tc>
          <w:tcPr>
            <w:tcW w:w="0" w:type="auto"/>
            <w:hideMark/>
          </w:tcPr>
          <w:p w14:paraId="5DA8D24F" w14:textId="77777777" w:rsidR="008637EF" w:rsidRPr="00C12375" w:rsidRDefault="008637EF" w:rsidP="005A7661">
            <w:pPr>
              <w:spacing w:after="160" w:line="259"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szCs w:val="20"/>
              </w:rPr>
            </w:pPr>
            <w:r w:rsidRPr="00C12375">
              <w:rPr>
                <w:rFonts w:asciiTheme="minorHAnsi" w:hAnsiTheme="minorHAnsi" w:cstheme="minorHAnsi"/>
                <w:szCs w:val="20"/>
              </w:rPr>
              <w:t>Écarts</w:t>
            </w:r>
          </w:p>
        </w:tc>
        <w:tc>
          <w:tcPr>
            <w:tcW w:w="3368" w:type="dxa"/>
            <w:hideMark/>
          </w:tcPr>
          <w:p w14:paraId="3098FF56" w14:textId="77777777" w:rsidR="008637EF" w:rsidRPr="00C12375" w:rsidRDefault="008637EF" w:rsidP="005A7661">
            <w:pPr>
              <w:spacing w:after="160" w:line="259"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szCs w:val="20"/>
              </w:rPr>
            </w:pPr>
            <w:r w:rsidRPr="00C12375">
              <w:rPr>
                <w:rFonts w:asciiTheme="minorHAnsi" w:hAnsiTheme="minorHAnsi" w:cstheme="minorHAnsi"/>
                <w:szCs w:val="20"/>
              </w:rPr>
              <w:t>Mesures du Projet pour remédier aux écarts</w:t>
            </w:r>
          </w:p>
        </w:tc>
      </w:tr>
      <w:tr w:rsidR="008637EF" w:rsidRPr="00C12375" w14:paraId="669B949D" w14:textId="77777777" w:rsidTr="00737967">
        <w:tc>
          <w:tcPr>
            <w:cnfStyle w:val="001000000000" w:firstRow="0" w:lastRow="0" w:firstColumn="1" w:lastColumn="0" w:oddVBand="0" w:evenVBand="0" w:oddHBand="0" w:evenHBand="0" w:firstRowFirstColumn="0" w:firstRowLastColumn="0" w:lastRowFirstColumn="0" w:lastRowLastColumn="0"/>
            <w:tcW w:w="0" w:type="auto"/>
          </w:tcPr>
          <w:p w14:paraId="1F799E3B" w14:textId="77777777" w:rsidR="008637EF" w:rsidRPr="00C12375" w:rsidRDefault="008637EF" w:rsidP="005A7661">
            <w:pPr>
              <w:spacing w:after="160" w:line="259" w:lineRule="auto"/>
              <w:rPr>
                <w:rFonts w:asciiTheme="minorHAnsi" w:hAnsiTheme="minorHAnsi" w:cstheme="minorHAnsi"/>
                <w:szCs w:val="20"/>
              </w:rPr>
            </w:pPr>
            <w:r w:rsidRPr="00C12375">
              <w:rPr>
                <w:rFonts w:asciiTheme="minorHAnsi" w:hAnsiTheme="minorHAnsi" w:cstheme="minorHAnsi"/>
                <w:szCs w:val="20"/>
              </w:rPr>
              <w:t>SO 1 : Évaluation environnementale et sociale</w:t>
            </w:r>
          </w:p>
        </w:tc>
        <w:tc>
          <w:tcPr>
            <w:tcW w:w="0" w:type="auto"/>
          </w:tcPr>
          <w:p w14:paraId="17B7FD5A" w14:textId="77777777" w:rsidR="008637EF" w:rsidRPr="00C12375" w:rsidRDefault="008637EF" w:rsidP="005A7661">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C12375">
              <w:rPr>
                <w:rFonts w:asciiTheme="minorHAnsi" w:hAnsiTheme="minorHAnsi" w:cstheme="minorHAnsi"/>
                <w:szCs w:val="20"/>
              </w:rPr>
              <w:t>Oui</w:t>
            </w:r>
          </w:p>
        </w:tc>
        <w:tc>
          <w:tcPr>
            <w:tcW w:w="0" w:type="auto"/>
          </w:tcPr>
          <w:p w14:paraId="087F16DA" w14:textId="77777777" w:rsidR="008637EF" w:rsidRPr="00C12375" w:rsidRDefault="008637EF" w:rsidP="005A7661">
            <w:pPr>
              <w:spacing w:after="160" w:line="259"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C12375">
              <w:rPr>
                <w:rFonts w:asciiTheme="minorHAnsi" w:hAnsiTheme="minorHAnsi" w:cstheme="minorHAnsi"/>
                <w:szCs w:val="20"/>
              </w:rPr>
              <w:t>La loi n° 12-03 sur l’étude d’impact sur l’environnement et ses deux décrets d’application régissent toujours la procédure d’évaluation et de gestion environnementale et sociale, en attendant l’entrée en vigueur de la loi 49-17 qui l’abroge.</w:t>
            </w:r>
          </w:p>
        </w:tc>
        <w:tc>
          <w:tcPr>
            <w:tcW w:w="0" w:type="auto"/>
          </w:tcPr>
          <w:p w14:paraId="0E9C62AB" w14:textId="77777777" w:rsidR="008637EF" w:rsidRPr="00C12375" w:rsidRDefault="008637EF" w:rsidP="005A7661">
            <w:pPr>
              <w:spacing w:after="160" w:line="259"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C12375">
              <w:rPr>
                <w:rFonts w:asciiTheme="minorHAnsi" w:hAnsiTheme="minorHAnsi" w:cstheme="minorHAnsi"/>
                <w:szCs w:val="20"/>
              </w:rPr>
              <w:t>- La loi 12-03 limite l’étude d’impact environnemental aux projets listés dans son annexe, excluant certains projets présentant des risques et impacts E&amp;S significatifs.</w:t>
            </w:r>
          </w:p>
          <w:p w14:paraId="2081F9D0" w14:textId="77777777" w:rsidR="008637EF" w:rsidRPr="00C12375" w:rsidRDefault="008637EF" w:rsidP="005A7661">
            <w:pPr>
              <w:spacing w:after="160" w:line="259"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C12375">
              <w:rPr>
                <w:rFonts w:asciiTheme="minorHAnsi" w:hAnsiTheme="minorHAnsi" w:cstheme="minorHAnsi"/>
                <w:szCs w:val="20"/>
              </w:rPr>
              <w:t>- Couvre de façon partielle les aspects sociaux, ne traite pas des impacts cumulatifs et n’exige pas l’examen des alternatives (y compris l’option « pas de projet »).</w:t>
            </w:r>
          </w:p>
          <w:p w14:paraId="3559632D" w14:textId="77777777" w:rsidR="008637EF" w:rsidRPr="00C12375" w:rsidRDefault="008637EF" w:rsidP="005A7661">
            <w:pPr>
              <w:spacing w:after="160" w:line="259"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C12375">
              <w:rPr>
                <w:rFonts w:asciiTheme="minorHAnsi" w:hAnsiTheme="minorHAnsi" w:cstheme="minorHAnsi"/>
                <w:szCs w:val="20"/>
              </w:rPr>
              <w:t>- Les obligations de mise en œuvre, de suivi et d’évaluation environnementale ne sont pas détaillées (responsabilités, moyens, ressources).</w:t>
            </w:r>
          </w:p>
          <w:p w14:paraId="413E7B2E" w14:textId="77777777" w:rsidR="008637EF" w:rsidRPr="00C12375" w:rsidRDefault="008637EF" w:rsidP="005A7661">
            <w:pPr>
              <w:spacing w:after="160" w:line="259"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C12375">
              <w:rPr>
                <w:rFonts w:asciiTheme="minorHAnsi" w:hAnsiTheme="minorHAnsi" w:cstheme="minorHAnsi"/>
                <w:szCs w:val="20"/>
              </w:rPr>
              <w:t>- Le cadre marocain reconnaît le droit à l’information et à la participation (constitution, loi-cadre 99-12, loi 31-13), mais sans processus structuré de mobilisation des parties prenantes conforme aux exigences de la SO 1.</w:t>
            </w:r>
          </w:p>
          <w:p w14:paraId="150878A4" w14:textId="77777777" w:rsidR="008637EF" w:rsidRPr="00C12375" w:rsidRDefault="008637EF" w:rsidP="005A7661">
            <w:pPr>
              <w:spacing w:after="160" w:line="259"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C12375">
              <w:rPr>
                <w:rFonts w:asciiTheme="minorHAnsi" w:hAnsiTheme="minorHAnsi" w:cstheme="minorHAnsi"/>
                <w:szCs w:val="20"/>
              </w:rPr>
              <w:t>- La consultation publique se limite aux enquêtes publiques (EIE) et administratives (expropriation).</w:t>
            </w:r>
          </w:p>
          <w:p w14:paraId="0108F8C2" w14:textId="77777777" w:rsidR="008637EF" w:rsidRPr="00C12375" w:rsidRDefault="008637EF" w:rsidP="005A7661">
            <w:pPr>
              <w:spacing w:after="160" w:line="259"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C12375">
              <w:rPr>
                <w:rFonts w:asciiTheme="minorHAnsi" w:hAnsiTheme="minorHAnsi" w:cstheme="minorHAnsi"/>
                <w:szCs w:val="20"/>
              </w:rPr>
              <w:lastRenderedPageBreak/>
              <w:t>- Absence de mesures claires pour la prise en compte des populations vulnérables.</w:t>
            </w:r>
          </w:p>
          <w:p w14:paraId="503BE166" w14:textId="77777777" w:rsidR="008637EF" w:rsidRPr="00C12375" w:rsidRDefault="008637EF" w:rsidP="005A7661">
            <w:pPr>
              <w:spacing w:after="160" w:line="259"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C12375">
              <w:rPr>
                <w:rFonts w:asciiTheme="minorHAnsi" w:hAnsiTheme="minorHAnsi" w:cstheme="minorHAnsi"/>
                <w:szCs w:val="20"/>
              </w:rPr>
              <w:t>- Pas de mécanismes spécifiques pour l’adaptation du projet aux nouveaux risques identifiés durant son cycle de vie.</w:t>
            </w:r>
          </w:p>
          <w:p w14:paraId="2442E55E" w14:textId="77777777" w:rsidR="008637EF" w:rsidRPr="00C12375" w:rsidRDefault="008637EF" w:rsidP="005A7661">
            <w:pPr>
              <w:spacing w:after="160" w:line="259"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C12375">
              <w:rPr>
                <w:rFonts w:asciiTheme="minorHAnsi" w:hAnsiTheme="minorHAnsi" w:cstheme="minorHAnsi"/>
                <w:szCs w:val="20"/>
              </w:rPr>
              <w:t>- Pas de dispositions relatives à la gestion des sous-traitants et des entrepreneurs.</w:t>
            </w:r>
          </w:p>
        </w:tc>
        <w:tc>
          <w:tcPr>
            <w:tcW w:w="3368" w:type="dxa"/>
          </w:tcPr>
          <w:p w14:paraId="356607E3" w14:textId="77777777" w:rsidR="008637EF" w:rsidRPr="00C12375" w:rsidRDefault="008637EF" w:rsidP="005A7661">
            <w:pPr>
              <w:spacing w:after="160" w:line="259"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C12375">
              <w:rPr>
                <w:rFonts w:asciiTheme="minorHAnsi" w:hAnsiTheme="minorHAnsi" w:cstheme="minorHAnsi"/>
                <w:szCs w:val="20"/>
              </w:rPr>
              <w:lastRenderedPageBreak/>
              <w:t>Le projet appliquera les exigences de la SO 1 de la BAD en réalisant des EIES et PGES couvrant l’ensemble des impacts environnementaux et sociaux,</w:t>
            </w:r>
          </w:p>
          <w:p w14:paraId="264966E8" w14:textId="77777777" w:rsidR="008637EF" w:rsidRPr="00C12375" w:rsidRDefault="008637EF" w:rsidP="005A7661">
            <w:pPr>
              <w:spacing w:after="160" w:line="259"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C12375">
              <w:rPr>
                <w:rFonts w:asciiTheme="minorHAnsi" w:hAnsiTheme="minorHAnsi" w:cstheme="minorHAnsi"/>
                <w:szCs w:val="20"/>
              </w:rPr>
              <w:t xml:space="preserve"> - Les PGES comprendront les responsabilités, ressources et mécanismes de suivi et d’évaluation nécessaires.</w:t>
            </w:r>
            <w:r w:rsidRPr="00C12375">
              <w:rPr>
                <w:rFonts w:asciiTheme="minorHAnsi" w:hAnsiTheme="minorHAnsi" w:cstheme="minorHAnsi"/>
                <w:szCs w:val="20"/>
              </w:rPr>
              <w:br/>
              <w:t xml:space="preserve"> - </w:t>
            </w:r>
            <w:r>
              <w:rPr>
                <w:rFonts w:asciiTheme="minorHAnsi" w:hAnsiTheme="minorHAnsi" w:cstheme="minorHAnsi"/>
                <w:szCs w:val="20"/>
              </w:rPr>
              <w:t>La</w:t>
            </w:r>
            <w:r w:rsidRPr="00C12375">
              <w:rPr>
                <w:rFonts w:asciiTheme="minorHAnsi" w:hAnsiTheme="minorHAnsi" w:cstheme="minorHAnsi"/>
                <w:szCs w:val="20"/>
              </w:rPr>
              <w:t xml:space="preserve"> mobilisation des parties prenantes se fera sur tout le cycle de vie du projet à travers un Plan de Mobilisation des Parties Prenantes (PMPP) conforme aux exigences de la SO 1.</w:t>
            </w:r>
          </w:p>
          <w:p w14:paraId="68FDAB25" w14:textId="77777777" w:rsidR="008637EF" w:rsidRPr="00C12375" w:rsidRDefault="008637EF" w:rsidP="005A7661">
            <w:pPr>
              <w:spacing w:after="160" w:line="259"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C12375">
              <w:rPr>
                <w:rFonts w:asciiTheme="minorHAnsi" w:hAnsiTheme="minorHAnsi" w:cstheme="minorHAnsi"/>
                <w:szCs w:val="20"/>
              </w:rPr>
              <w:t xml:space="preserve"> - Le projet s’adaptera à tout changement majeur, intégrera des mécanismes de gestion des sous-traitants et prendra en compte les populations vulnérables dans le processus de consultation.</w:t>
            </w:r>
          </w:p>
        </w:tc>
      </w:tr>
      <w:tr w:rsidR="008637EF" w:rsidRPr="00C12375" w14:paraId="07755DCC" w14:textId="77777777" w:rsidTr="00737967">
        <w:tc>
          <w:tcPr>
            <w:cnfStyle w:val="001000000000" w:firstRow="0" w:lastRow="0" w:firstColumn="1" w:lastColumn="0" w:oddVBand="0" w:evenVBand="0" w:oddHBand="0" w:evenHBand="0" w:firstRowFirstColumn="0" w:firstRowLastColumn="0" w:lastRowFirstColumn="0" w:lastRowLastColumn="0"/>
            <w:tcW w:w="0" w:type="auto"/>
          </w:tcPr>
          <w:p w14:paraId="79A133A2" w14:textId="77777777" w:rsidR="008637EF" w:rsidRPr="00C12375" w:rsidRDefault="008637EF" w:rsidP="005A7661">
            <w:pPr>
              <w:rPr>
                <w:rFonts w:asciiTheme="minorHAnsi" w:hAnsiTheme="minorHAnsi" w:cstheme="minorHAnsi"/>
                <w:szCs w:val="20"/>
              </w:rPr>
            </w:pPr>
            <w:r w:rsidRPr="00C12375">
              <w:rPr>
                <w:rFonts w:asciiTheme="minorHAnsi" w:hAnsiTheme="minorHAnsi" w:cstheme="minorHAnsi"/>
                <w:szCs w:val="20"/>
              </w:rPr>
              <w:lastRenderedPageBreak/>
              <w:t>Sauvegarde opérationnelle 2 : Conditions d’emplois et de travail</w:t>
            </w:r>
          </w:p>
        </w:tc>
        <w:tc>
          <w:tcPr>
            <w:tcW w:w="0" w:type="auto"/>
          </w:tcPr>
          <w:p w14:paraId="3846BD92" w14:textId="77777777" w:rsidR="008637EF" w:rsidRPr="00C12375" w:rsidRDefault="008637EF" w:rsidP="005A7661">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C12375">
              <w:rPr>
                <w:rFonts w:asciiTheme="minorHAnsi" w:hAnsiTheme="minorHAnsi" w:cstheme="minorHAnsi"/>
                <w:szCs w:val="20"/>
              </w:rPr>
              <w:t>Oui</w:t>
            </w:r>
          </w:p>
        </w:tc>
        <w:tc>
          <w:tcPr>
            <w:tcW w:w="0" w:type="auto"/>
          </w:tcPr>
          <w:p w14:paraId="0CE35D4A" w14:textId="77777777" w:rsidR="008637EF" w:rsidRPr="00C12375" w:rsidRDefault="008637EF" w:rsidP="005A7661">
            <w:pPr>
              <w:spacing w:after="160" w:line="259"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C12375">
              <w:rPr>
                <w:rFonts w:asciiTheme="minorHAnsi" w:hAnsiTheme="minorHAnsi" w:cstheme="minorHAnsi"/>
                <w:szCs w:val="20"/>
              </w:rPr>
              <w:t>Le Code du Travail s’applique à tous les travailleurs, y compris ceux des sous-traitants et fournisseurs. Les statuts particuliers (fonctionnaires) garantissent au moins les droits prévus dans le Code du Travail. Principales dispositions :</w:t>
            </w:r>
          </w:p>
          <w:p w14:paraId="097E8BCB" w14:textId="77777777" w:rsidR="008637EF" w:rsidRPr="00C12375" w:rsidRDefault="008637EF" w:rsidP="005A7661">
            <w:pPr>
              <w:spacing w:after="160" w:line="259"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C12375">
              <w:rPr>
                <w:rFonts w:asciiTheme="minorHAnsi" w:hAnsiTheme="minorHAnsi" w:cstheme="minorHAnsi"/>
                <w:szCs w:val="20"/>
              </w:rPr>
              <w:t>- Information des travailleurs sur leur emploi et relation de travail.</w:t>
            </w:r>
          </w:p>
          <w:p w14:paraId="56C5AF28" w14:textId="77777777" w:rsidR="008637EF" w:rsidRPr="00C12375" w:rsidRDefault="008637EF" w:rsidP="005A7661">
            <w:pPr>
              <w:spacing w:after="160" w:line="259"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C12375">
              <w:rPr>
                <w:rFonts w:asciiTheme="minorHAnsi" w:hAnsiTheme="minorHAnsi" w:cstheme="minorHAnsi"/>
                <w:szCs w:val="20"/>
              </w:rPr>
              <w:t>- Établissement d’une carte de travail et d’un bulletin de paye.</w:t>
            </w:r>
          </w:p>
          <w:p w14:paraId="78DD6526" w14:textId="77777777" w:rsidR="008637EF" w:rsidRPr="00C12375" w:rsidRDefault="008637EF" w:rsidP="005A7661">
            <w:pPr>
              <w:spacing w:after="160" w:line="259"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C12375">
              <w:rPr>
                <w:rFonts w:asciiTheme="minorHAnsi" w:hAnsiTheme="minorHAnsi" w:cstheme="minorHAnsi"/>
                <w:szCs w:val="20"/>
              </w:rPr>
              <w:t>- Prévention et protection de la santé et sécurité au travail.</w:t>
            </w:r>
          </w:p>
          <w:p w14:paraId="607E57EA" w14:textId="77777777" w:rsidR="008637EF" w:rsidRPr="00C12375" w:rsidRDefault="008637EF" w:rsidP="005A7661">
            <w:pPr>
              <w:spacing w:after="160" w:line="259"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C12375">
              <w:rPr>
                <w:rFonts w:asciiTheme="minorHAnsi" w:hAnsiTheme="minorHAnsi" w:cstheme="minorHAnsi"/>
                <w:szCs w:val="20"/>
              </w:rPr>
              <w:lastRenderedPageBreak/>
              <w:t>- Non-discrimination, interdiction du harcèlement et du travail forcé.</w:t>
            </w:r>
          </w:p>
          <w:p w14:paraId="69FFA89C" w14:textId="77777777" w:rsidR="008637EF" w:rsidRPr="00C12375" w:rsidRDefault="008637EF" w:rsidP="005A7661">
            <w:pPr>
              <w:spacing w:after="160" w:line="259"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C12375">
              <w:rPr>
                <w:rFonts w:asciiTheme="minorHAnsi" w:hAnsiTheme="minorHAnsi" w:cstheme="minorHAnsi"/>
                <w:szCs w:val="20"/>
              </w:rPr>
              <w:br/>
              <w:t>- Protection des groupes vulnérables (femmes, personnes handicapées, enfants).</w:t>
            </w:r>
          </w:p>
          <w:p w14:paraId="0FF46B80" w14:textId="77777777" w:rsidR="008637EF" w:rsidRPr="00C12375" w:rsidRDefault="008637EF" w:rsidP="005A7661">
            <w:pPr>
              <w:spacing w:before="0"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C12375">
              <w:rPr>
                <w:rFonts w:asciiTheme="minorHAnsi" w:hAnsiTheme="minorHAnsi" w:cstheme="minorHAnsi"/>
                <w:szCs w:val="20"/>
              </w:rPr>
              <w:t>- Droit de constituer des syndicats et de négocier collectivement.</w:t>
            </w:r>
          </w:p>
        </w:tc>
        <w:tc>
          <w:tcPr>
            <w:tcW w:w="0" w:type="auto"/>
          </w:tcPr>
          <w:p w14:paraId="2ECCC686" w14:textId="77777777" w:rsidR="008637EF" w:rsidRDefault="008637EF" w:rsidP="005A7661">
            <w:pPr>
              <w:spacing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C12375">
              <w:rPr>
                <w:rFonts w:asciiTheme="minorHAnsi" w:hAnsiTheme="minorHAnsi" w:cstheme="minorHAnsi"/>
                <w:szCs w:val="20"/>
              </w:rPr>
              <w:lastRenderedPageBreak/>
              <w:t>- Le Code du Travail ne prévoit pas de protections spécifiques pour les travailleurs migrants</w:t>
            </w:r>
          </w:p>
          <w:p w14:paraId="00E8BEED" w14:textId="77777777" w:rsidR="008637EF" w:rsidRDefault="008637EF" w:rsidP="005A7661">
            <w:pPr>
              <w:spacing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C12375">
              <w:rPr>
                <w:rFonts w:asciiTheme="minorHAnsi" w:hAnsiTheme="minorHAnsi" w:cstheme="minorHAnsi"/>
                <w:szCs w:val="20"/>
              </w:rPr>
              <w:t>- L’absence d’un mécanisme formel de gestion des plaintes des travailleurs au sens de la SO 2.</w:t>
            </w:r>
          </w:p>
          <w:p w14:paraId="7BF13F12" w14:textId="77777777" w:rsidR="008637EF" w:rsidRDefault="008637EF" w:rsidP="005A7661">
            <w:pPr>
              <w:spacing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C12375">
              <w:rPr>
                <w:rFonts w:asciiTheme="minorHAnsi" w:hAnsiTheme="minorHAnsi" w:cstheme="minorHAnsi"/>
                <w:szCs w:val="20"/>
              </w:rPr>
              <w:t>- Pas d’exigences spécifiques en matière de sécurité routière ou de gestion des risques liés aux flux de main-d’œuvre pour les communautés hôtes.</w:t>
            </w:r>
          </w:p>
          <w:p w14:paraId="710D7F7C" w14:textId="77777777" w:rsidR="008637EF" w:rsidRPr="00C12375" w:rsidRDefault="008637EF" w:rsidP="005A7661">
            <w:pPr>
              <w:spacing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C12375">
              <w:rPr>
                <w:rFonts w:asciiTheme="minorHAnsi" w:hAnsiTheme="minorHAnsi" w:cstheme="minorHAnsi"/>
                <w:szCs w:val="20"/>
              </w:rPr>
              <w:t>- Pas d’exigences pour s’assurer que les sous-traitants appliquent les mêmes standards en matière de conditions de travail et de santé-sécurité.</w:t>
            </w:r>
          </w:p>
        </w:tc>
        <w:tc>
          <w:tcPr>
            <w:tcW w:w="3368" w:type="dxa"/>
          </w:tcPr>
          <w:p w14:paraId="2DE0BDA5" w14:textId="77777777" w:rsidR="008637EF" w:rsidRDefault="008637EF" w:rsidP="005A7661">
            <w:pPr>
              <w:spacing w:after="160" w:line="259"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C12375">
              <w:rPr>
                <w:rFonts w:asciiTheme="minorHAnsi" w:hAnsiTheme="minorHAnsi" w:cstheme="minorHAnsi"/>
                <w:szCs w:val="20"/>
              </w:rPr>
              <w:t>Le projet appliquera les exigences de la SO 2 de la BAD, incluant un mécanisme de recours pour les travailleurs et des procédures de gestion des conditions de travail respectant les standards internationaux.</w:t>
            </w:r>
          </w:p>
          <w:p w14:paraId="21D837B0" w14:textId="77777777" w:rsidR="008637EF" w:rsidRPr="00C12375" w:rsidRDefault="008637EF" w:rsidP="005A7661">
            <w:pPr>
              <w:spacing w:after="160" w:line="259"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C12375">
              <w:rPr>
                <w:rFonts w:asciiTheme="minorHAnsi" w:hAnsiTheme="minorHAnsi" w:cstheme="minorHAnsi"/>
                <w:szCs w:val="20"/>
              </w:rPr>
              <w:t>- Un Plan d’Hygiène et de Sécurité (PHS) sera mis en œuvre sur l’ensemble du projet et inclura les sous-traitants.</w:t>
            </w:r>
          </w:p>
          <w:p w14:paraId="7EDD1F1E" w14:textId="77777777" w:rsidR="008637EF" w:rsidRDefault="008637EF" w:rsidP="005A7661">
            <w:pPr>
              <w:spacing w:after="160" w:line="259"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C12375">
              <w:rPr>
                <w:rFonts w:asciiTheme="minorHAnsi" w:hAnsiTheme="minorHAnsi" w:cstheme="minorHAnsi"/>
                <w:szCs w:val="20"/>
              </w:rPr>
              <w:t>- Les conditions de travail pour les travailleurs migrants seront alignées sur les exigences de la SO 2.</w:t>
            </w:r>
          </w:p>
          <w:p w14:paraId="03FFCD58" w14:textId="77777777" w:rsidR="008637EF" w:rsidRPr="00C12375" w:rsidRDefault="008637EF" w:rsidP="005A7661">
            <w:pPr>
              <w:spacing w:after="160" w:line="259"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C12375">
              <w:rPr>
                <w:rFonts w:asciiTheme="minorHAnsi" w:hAnsiTheme="minorHAnsi" w:cstheme="minorHAnsi"/>
                <w:szCs w:val="20"/>
              </w:rPr>
              <w:lastRenderedPageBreak/>
              <w:t xml:space="preserve">- </w:t>
            </w:r>
            <w:r>
              <w:rPr>
                <w:rFonts w:asciiTheme="minorHAnsi" w:hAnsiTheme="minorHAnsi" w:cstheme="minorHAnsi"/>
                <w:szCs w:val="20"/>
              </w:rPr>
              <w:t xml:space="preserve"> </w:t>
            </w:r>
            <w:r w:rsidRPr="00C12375">
              <w:rPr>
                <w:rFonts w:asciiTheme="minorHAnsi" w:hAnsiTheme="minorHAnsi" w:cstheme="minorHAnsi"/>
                <w:szCs w:val="20"/>
              </w:rPr>
              <w:t>Le projet mettra en place des mesures spécifiques pour gérer les risques liés aux flux de main-d’œuvre et garantir la sécurité routière.</w:t>
            </w:r>
          </w:p>
        </w:tc>
      </w:tr>
      <w:tr w:rsidR="008637EF" w:rsidRPr="00C12375" w14:paraId="2A734378" w14:textId="77777777" w:rsidTr="00737967">
        <w:tc>
          <w:tcPr>
            <w:cnfStyle w:val="001000000000" w:firstRow="0" w:lastRow="0" w:firstColumn="1" w:lastColumn="0" w:oddVBand="0" w:evenVBand="0" w:oddHBand="0" w:evenHBand="0" w:firstRowFirstColumn="0" w:firstRowLastColumn="0" w:lastRowFirstColumn="0" w:lastRowLastColumn="0"/>
            <w:tcW w:w="0" w:type="auto"/>
          </w:tcPr>
          <w:p w14:paraId="3C9C10C2" w14:textId="77777777" w:rsidR="008637EF" w:rsidRPr="00C12375" w:rsidRDefault="008637EF" w:rsidP="005A7661">
            <w:pPr>
              <w:rPr>
                <w:rFonts w:asciiTheme="minorHAnsi" w:hAnsiTheme="minorHAnsi" w:cstheme="minorHAnsi"/>
                <w:szCs w:val="20"/>
              </w:rPr>
            </w:pPr>
            <w:r w:rsidRPr="00C12375">
              <w:rPr>
                <w:rFonts w:asciiTheme="minorHAnsi" w:hAnsiTheme="minorHAnsi" w:cstheme="minorHAnsi"/>
                <w:szCs w:val="20"/>
              </w:rPr>
              <w:lastRenderedPageBreak/>
              <w:t>Sauvegarde opérationnelle environnementale et sociale 3 : Utilisation efficiente des ressources et prévention et gestion de la pollution</w:t>
            </w:r>
          </w:p>
        </w:tc>
        <w:tc>
          <w:tcPr>
            <w:tcW w:w="0" w:type="auto"/>
          </w:tcPr>
          <w:p w14:paraId="4A3BBE6A" w14:textId="77777777" w:rsidR="008637EF" w:rsidRPr="00C12375" w:rsidRDefault="008637EF" w:rsidP="005A7661">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C12375">
              <w:rPr>
                <w:rFonts w:asciiTheme="minorHAnsi" w:hAnsiTheme="minorHAnsi" w:cstheme="minorHAnsi"/>
                <w:szCs w:val="20"/>
              </w:rPr>
              <w:t>Oui</w:t>
            </w:r>
          </w:p>
        </w:tc>
        <w:tc>
          <w:tcPr>
            <w:tcW w:w="0" w:type="auto"/>
          </w:tcPr>
          <w:p w14:paraId="7104BD79" w14:textId="77777777" w:rsidR="008637EF" w:rsidRPr="00C12375" w:rsidRDefault="008637EF" w:rsidP="005A7661">
            <w:pPr>
              <w:spacing w:after="160" w:line="259"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C12375">
              <w:rPr>
                <w:rFonts w:asciiTheme="minorHAnsi" w:hAnsiTheme="minorHAnsi" w:cstheme="minorHAnsi"/>
                <w:szCs w:val="20"/>
              </w:rPr>
              <w:t>Le cadre réglementaire national couvre les principaux risques traités par la SO 3 de la BAD : gestion des pesticides, produits chimiques et substances dangereuses, gestion des déchets, utilisation rationnelle des ressources, prévention et gestion de la pollution. Textes clés :</w:t>
            </w:r>
          </w:p>
          <w:p w14:paraId="5DE5CA69" w14:textId="77777777" w:rsidR="008637EF" w:rsidRPr="00C12375" w:rsidRDefault="008637EF" w:rsidP="005A7661">
            <w:pPr>
              <w:spacing w:after="160" w:line="259"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C12375">
              <w:rPr>
                <w:rFonts w:asciiTheme="minorHAnsi" w:hAnsiTheme="minorHAnsi" w:cstheme="minorHAnsi"/>
                <w:szCs w:val="20"/>
              </w:rPr>
              <w:t>- Loi-cadre 99-12</w:t>
            </w:r>
          </w:p>
          <w:p w14:paraId="5392F6EF" w14:textId="77777777" w:rsidR="008637EF" w:rsidRPr="00C12375" w:rsidRDefault="008637EF" w:rsidP="005A7661">
            <w:pPr>
              <w:spacing w:after="160" w:line="259"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C12375">
              <w:rPr>
                <w:rFonts w:asciiTheme="minorHAnsi" w:hAnsiTheme="minorHAnsi" w:cstheme="minorHAnsi"/>
                <w:szCs w:val="20"/>
              </w:rPr>
              <w:t>- Loi 11-03</w:t>
            </w:r>
          </w:p>
          <w:p w14:paraId="48181207" w14:textId="77777777" w:rsidR="008637EF" w:rsidRPr="00C12375" w:rsidRDefault="008637EF" w:rsidP="005A7661">
            <w:pPr>
              <w:spacing w:after="160" w:line="259"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C12375">
              <w:rPr>
                <w:rFonts w:asciiTheme="minorHAnsi" w:hAnsiTheme="minorHAnsi" w:cstheme="minorHAnsi"/>
                <w:szCs w:val="20"/>
              </w:rPr>
              <w:t>- Loi 13-03</w:t>
            </w:r>
          </w:p>
          <w:p w14:paraId="5E788343" w14:textId="77777777" w:rsidR="008637EF" w:rsidRPr="00C12375" w:rsidRDefault="008637EF" w:rsidP="005A7661">
            <w:pPr>
              <w:spacing w:after="160" w:line="259"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C12375">
              <w:rPr>
                <w:rFonts w:asciiTheme="minorHAnsi" w:hAnsiTheme="minorHAnsi" w:cstheme="minorHAnsi"/>
                <w:szCs w:val="20"/>
              </w:rPr>
              <w:t>- Décret 2.18.74 (GES)</w:t>
            </w:r>
          </w:p>
          <w:p w14:paraId="505090AF" w14:textId="77777777" w:rsidR="008637EF" w:rsidRPr="00C12375" w:rsidRDefault="008637EF" w:rsidP="005A7661">
            <w:pPr>
              <w:spacing w:after="160" w:line="259"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C12375">
              <w:rPr>
                <w:rFonts w:asciiTheme="minorHAnsi" w:hAnsiTheme="minorHAnsi" w:cstheme="minorHAnsi"/>
                <w:szCs w:val="20"/>
              </w:rPr>
              <w:t>- Loi 47-09 (efficacité énergétique)</w:t>
            </w:r>
          </w:p>
          <w:p w14:paraId="3DCB6044" w14:textId="77777777" w:rsidR="008637EF" w:rsidRPr="00C12375" w:rsidRDefault="008637EF" w:rsidP="005A7661">
            <w:pPr>
              <w:spacing w:after="160" w:line="259"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C12375">
              <w:rPr>
                <w:rFonts w:asciiTheme="minorHAnsi" w:hAnsiTheme="minorHAnsi" w:cstheme="minorHAnsi"/>
                <w:szCs w:val="20"/>
              </w:rPr>
              <w:t>- Loi 36-15 (eaux)</w:t>
            </w:r>
          </w:p>
          <w:p w14:paraId="3E38F09D" w14:textId="77777777" w:rsidR="008637EF" w:rsidRPr="00C12375" w:rsidRDefault="008637EF" w:rsidP="005A7661">
            <w:pPr>
              <w:spacing w:after="160" w:line="259"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C12375">
              <w:rPr>
                <w:rFonts w:asciiTheme="minorHAnsi" w:hAnsiTheme="minorHAnsi" w:cstheme="minorHAnsi"/>
                <w:szCs w:val="20"/>
              </w:rPr>
              <w:t>- Loi 42-95 (pesticides)</w:t>
            </w:r>
          </w:p>
          <w:p w14:paraId="29737DB2" w14:textId="77777777" w:rsidR="008637EF" w:rsidRPr="00C12375" w:rsidRDefault="008637EF" w:rsidP="005A766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C12375">
              <w:rPr>
                <w:rFonts w:asciiTheme="minorHAnsi" w:hAnsiTheme="minorHAnsi" w:cstheme="minorHAnsi"/>
                <w:szCs w:val="20"/>
              </w:rPr>
              <w:lastRenderedPageBreak/>
              <w:t>- Loi 28-00 (déchets)</w:t>
            </w:r>
          </w:p>
        </w:tc>
        <w:tc>
          <w:tcPr>
            <w:tcW w:w="0" w:type="auto"/>
          </w:tcPr>
          <w:p w14:paraId="4EA9D427" w14:textId="77777777" w:rsidR="008637EF" w:rsidRPr="00C12375" w:rsidRDefault="008637EF" w:rsidP="005A7661">
            <w:pPr>
              <w:spacing w:after="160" w:line="259"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C12375">
              <w:rPr>
                <w:rFonts w:asciiTheme="minorHAnsi" w:hAnsiTheme="minorHAnsi" w:cstheme="minorHAnsi"/>
                <w:szCs w:val="20"/>
              </w:rPr>
              <w:lastRenderedPageBreak/>
              <w:t>- La réglementation marocaine n’impose pas systématiquement l’évaluation des émissions de polluants atmosphériques pour chaque projet.</w:t>
            </w:r>
          </w:p>
          <w:p w14:paraId="643CC8BD" w14:textId="77777777" w:rsidR="008637EF" w:rsidRPr="00C12375" w:rsidRDefault="008637EF" w:rsidP="005A7661">
            <w:pPr>
              <w:spacing w:after="160" w:line="259"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C12375">
              <w:rPr>
                <w:rFonts w:asciiTheme="minorHAnsi" w:hAnsiTheme="minorHAnsi" w:cstheme="minorHAnsi"/>
                <w:szCs w:val="20"/>
              </w:rPr>
              <w:t xml:space="preserve">- </w:t>
            </w:r>
            <w:r>
              <w:rPr>
                <w:rFonts w:asciiTheme="minorHAnsi" w:hAnsiTheme="minorHAnsi" w:cstheme="minorHAnsi"/>
                <w:szCs w:val="20"/>
              </w:rPr>
              <w:t xml:space="preserve"> </w:t>
            </w:r>
            <w:r w:rsidRPr="00C12375">
              <w:rPr>
                <w:rFonts w:asciiTheme="minorHAnsi" w:hAnsiTheme="minorHAnsi" w:cstheme="minorHAnsi"/>
                <w:szCs w:val="20"/>
              </w:rPr>
              <w:t>La coordination de l’inventaire des GES relève de plusieurs autorités sans obligation claire pour les promoteurs de projets individuels de réaliser des bilans GES.</w:t>
            </w:r>
          </w:p>
          <w:p w14:paraId="0AEDDC12" w14:textId="77777777" w:rsidR="008637EF" w:rsidRPr="00C12375" w:rsidRDefault="008637EF" w:rsidP="005A766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C12375">
              <w:rPr>
                <w:rFonts w:asciiTheme="minorHAnsi" w:hAnsiTheme="minorHAnsi" w:cstheme="minorHAnsi"/>
                <w:szCs w:val="20"/>
              </w:rPr>
              <w:t>- Pas d’exigence spécifique en matière d’évaluation et de gestion des risques liés aux flux de matières dangereuses ou à l’utilisation efficiente des ressources à l’échelle projet, conformément à la SO 3.</w:t>
            </w:r>
          </w:p>
        </w:tc>
        <w:tc>
          <w:tcPr>
            <w:tcW w:w="3368" w:type="dxa"/>
          </w:tcPr>
          <w:p w14:paraId="6220571C" w14:textId="77777777" w:rsidR="008637EF" w:rsidRPr="00C12375" w:rsidRDefault="008637EF" w:rsidP="005A7661">
            <w:pPr>
              <w:spacing w:after="160" w:line="259"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C12375">
              <w:rPr>
                <w:rFonts w:asciiTheme="minorHAnsi" w:hAnsiTheme="minorHAnsi" w:cstheme="minorHAnsi"/>
                <w:szCs w:val="20"/>
              </w:rPr>
              <w:t>Le projet intégrera les exigences de la SO 3 en matière d’évaluation des émissions atmosphériques et de gestion des GES dans les EIES/PGES.</w:t>
            </w:r>
          </w:p>
          <w:p w14:paraId="0DBAAC56" w14:textId="77777777" w:rsidR="008637EF" w:rsidRPr="00C12375" w:rsidRDefault="008637EF" w:rsidP="005A7661">
            <w:pPr>
              <w:spacing w:after="160" w:line="259"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C12375">
              <w:rPr>
                <w:rFonts w:asciiTheme="minorHAnsi" w:hAnsiTheme="minorHAnsi" w:cstheme="minorHAnsi"/>
                <w:szCs w:val="20"/>
              </w:rPr>
              <w:t xml:space="preserve"> - Des plans spécifiques de gestion des déchets, substances dangereuses et ressources seront élaborés pour garantir l’utilisation efficiente des ressources et la prévention de la pollution.</w:t>
            </w:r>
          </w:p>
          <w:p w14:paraId="4D720694" w14:textId="77777777" w:rsidR="008637EF" w:rsidRPr="00C12375" w:rsidRDefault="008637EF" w:rsidP="005A766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C12375">
              <w:rPr>
                <w:rFonts w:asciiTheme="minorHAnsi" w:hAnsiTheme="minorHAnsi" w:cstheme="minorHAnsi"/>
                <w:szCs w:val="20"/>
              </w:rPr>
              <w:t xml:space="preserve"> - Le projet respectera les meilleures pratiques internationales en matière de gestion environnementale.</w:t>
            </w:r>
          </w:p>
        </w:tc>
      </w:tr>
      <w:tr w:rsidR="008637EF" w:rsidRPr="00C12375" w14:paraId="2A6D8663" w14:textId="77777777" w:rsidTr="00737967">
        <w:tc>
          <w:tcPr>
            <w:cnfStyle w:val="001000000000" w:firstRow="0" w:lastRow="0" w:firstColumn="1" w:lastColumn="0" w:oddVBand="0" w:evenVBand="0" w:oddHBand="0" w:evenHBand="0" w:firstRowFirstColumn="0" w:firstRowLastColumn="0" w:lastRowFirstColumn="0" w:lastRowLastColumn="0"/>
            <w:tcW w:w="0" w:type="auto"/>
          </w:tcPr>
          <w:p w14:paraId="22F0150F" w14:textId="77777777" w:rsidR="008637EF" w:rsidRPr="00C12375" w:rsidRDefault="008637EF" w:rsidP="005A7661">
            <w:pPr>
              <w:spacing w:after="160" w:line="259" w:lineRule="auto"/>
              <w:rPr>
                <w:rFonts w:asciiTheme="minorHAnsi" w:hAnsiTheme="minorHAnsi" w:cstheme="minorHAnsi"/>
                <w:szCs w:val="20"/>
              </w:rPr>
            </w:pPr>
            <w:r w:rsidRPr="00C12375">
              <w:rPr>
                <w:rFonts w:asciiTheme="minorHAnsi" w:hAnsiTheme="minorHAnsi" w:cstheme="minorHAnsi"/>
                <w:szCs w:val="20"/>
              </w:rPr>
              <w:lastRenderedPageBreak/>
              <w:t>Sauvegarde opérationnelle environnementale et sociale 4 : Santé, sûreté et sécurité communautaires</w:t>
            </w:r>
          </w:p>
        </w:tc>
        <w:tc>
          <w:tcPr>
            <w:tcW w:w="0" w:type="auto"/>
          </w:tcPr>
          <w:p w14:paraId="6F649858" w14:textId="34FFC8FD" w:rsidR="008637EF" w:rsidRPr="00C12375" w:rsidRDefault="00332926" w:rsidP="005A7661">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Pr>
                <w:rFonts w:asciiTheme="minorHAnsi" w:hAnsiTheme="minorHAnsi" w:cstheme="minorHAnsi"/>
                <w:szCs w:val="20"/>
              </w:rPr>
              <w:t>Oui</w:t>
            </w:r>
          </w:p>
        </w:tc>
        <w:tc>
          <w:tcPr>
            <w:tcW w:w="0" w:type="auto"/>
          </w:tcPr>
          <w:p w14:paraId="567EF8C3" w14:textId="393D16A3" w:rsidR="00083923" w:rsidRPr="00083923" w:rsidRDefault="00083923" w:rsidP="00083923">
            <w:pPr>
              <w:spacing w:after="160" w:line="259"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Pr>
                <w:rFonts w:asciiTheme="minorHAnsi" w:hAnsiTheme="minorHAnsi" w:cstheme="minorHAnsi"/>
                <w:szCs w:val="20"/>
              </w:rPr>
              <w:t>L</w:t>
            </w:r>
            <w:r w:rsidRPr="00083923">
              <w:rPr>
                <w:rFonts w:asciiTheme="minorHAnsi" w:hAnsiTheme="minorHAnsi" w:cstheme="minorHAnsi"/>
                <w:szCs w:val="20"/>
              </w:rPr>
              <w:t>e cadre légal marocain en matière de santé, sûreté et sécurité communautaires repose sur :</w:t>
            </w:r>
          </w:p>
          <w:p w14:paraId="601A2C53" w14:textId="77777777" w:rsidR="00083923" w:rsidRPr="00083923" w:rsidRDefault="00083923" w:rsidP="00083923">
            <w:pPr>
              <w:spacing w:after="160" w:line="259"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083923">
              <w:rPr>
                <w:rFonts w:asciiTheme="minorHAnsi" w:hAnsiTheme="minorHAnsi" w:cstheme="minorHAnsi"/>
                <w:szCs w:val="20"/>
              </w:rPr>
              <w:t>• Loi n° 65-99 relative au Code du travail : articles 281-344 (santé et sécurité au travail).</w:t>
            </w:r>
          </w:p>
          <w:p w14:paraId="67236409" w14:textId="77777777" w:rsidR="00083923" w:rsidRPr="00083923" w:rsidRDefault="00083923" w:rsidP="00083923">
            <w:pPr>
              <w:spacing w:after="160" w:line="259"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083923">
              <w:rPr>
                <w:rFonts w:asciiTheme="minorHAnsi" w:hAnsiTheme="minorHAnsi" w:cstheme="minorHAnsi"/>
                <w:szCs w:val="20"/>
              </w:rPr>
              <w:t>• Décret n° 2-12-349 fixant les conditions de passation des marchés publics, incluant les clauses de sécurité et de santé sur les chantiers publics.</w:t>
            </w:r>
          </w:p>
          <w:p w14:paraId="53C19F16" w14:textId="77777777" w:rsidR="00083923" w:rsidRPr="00083923" w:rsidRDefault="00083923" w:rsidP="00083923">
            <w:pPr>
              <w:spacing w:after="160" w:line="259"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083923">
              <w:rPr>
                <w:rFonts w:asciiTheme="minorHAnsi" w:hAnsiTheme="minorHAnsi" w:cstheme="minorHAnsi"/>
                <w:szCs w:val="20"/>
              </w:rPr>
              <w:t>• Décret n° 2-04-682 relatif à la santé et la sécurité sur les chantiers de BTP.</w:t>
            </w:r>
          </w:p>
          <w:p w14:paraId="4600E576" w14:textId="77777777" w:rsidR="00083923" w:rsidRPr="00083923" w:rsidRDefault="00083923" w:rsidP="00083923">
            <w:pPr>
              <w:spacing w:after="160" w:line="259"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083923">
              <w:rPr>
                <w:rFonts w:asciiTheme="minorHAnsi" w:hAnsiTheme="minorHAnsi" w:cstheme="minorHAnsi"/>
                <w:szCs w:val="20"/>
              </w:rPr>
              <w:t>• Loi n° 28-00 sur la gestion des déchets et leur élimination.</w:t>
            </w:r>
          </w:p>
          <w:p w14:paraId="2B6FAADF" w14:textId="77777777" w:rsidR="00083923" w:rsidRPr="00083923" w:rsidRDefault="00083923" w:rsidP="00083923">
            <w:pPr>
              <w:spacing w:after="160" w:line="259"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083923">
              <w:rPr>
                <w:rFonts w:asciiTheme="minorHAnsi" w:hAnsiTheme="minorHAnsi" w:cstheme="minorHAnsi"/>
                <w:szCs w:val="20"/>
              </w:rPr>
              <w:t>• Loi n° 31-08 sur la protection du consommateur (prévention des risques sanitaires).</w:t>
            </w:r>
          </w:p>
          <w:p w14:paraId="01355525" w14:textId="75FB0008" w:rsidR="008637EF" w:rsidRPr="00C12375" w:rsidRDefault="00083923" w:rsidP="00083923">
            <w:pPr>
              <w:spacing w:after="160" w:line="259"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083923">
              <w:rPr>
                <w:rFonts w:asciiTheme="minorHAnsi" w:hAnsiTheme="minorHAnsi" w:cstheme="minorHAnsi"/>
                <w:szCs w:val="20"/>
              </w:rPr>
              <w:t>• Loi n° 34-09 relative au système de santé et à l’offre de soins.</w:t>
            </w:r>
          </w:p>
        </w:tc>
        <w:tc>
          <w:tcPr>
            <w:tcW w:w="0" w:type="auto"/>
          </w:tcPr>
          <w:p w14:paraId="09864189" w14:textId="77777777" w:rsidR="00083923" w:rsidRPr="00083923" w:rsidRDefault="00083923" w:rsidP="00083923">
            <w:pPr>
              <w:spacing w:after="160" w:line="259"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083923">
              <w:rPr>
                <w:rFonts w:asciiTheme="minorHAnsi" w:hAnsiTheme="minorHAnsi" w:cstheme="minorHAnsi"/>
                <w:szCs w:val="20"/>
              </w:rPr>
              <w:t>Le cadre marocain :</w:t>
            </w:r>
          </w:p>
          <w:p w14:paraId="7E8CE3EE" w14:textId="037BD754" w:rsidR="00083923" w:rsidRPr="00083923" w:rsidRDefault="00083923" w:rsidP="00083923">
            <w:pPr>
              <w:spacing w:after="160" w:line="259"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Pr>
                <w:rFonts w:asciiTheme="minorHAnsi" w:hAnsiTheme="minorHAnsi" w:cstheme="minorHAnsi"/>
                <w:szCs w:val="20"/>
              </w:rPr>
              <w:t>-</w:t>
            </w:r>
            <w:r w:rsidRPr="00083923">
              <w:rPr>
                <w:rFonts w:asciiTheme="minorHAnsi" w:hAnsiTheme="minorHAnsi" w:cstheme="minorHAnsi"/>
                <w:szCs w:val="20"/>
              </w:rPr>
              <w:t>Ne couvre pas explicitement la sécurité communautaire (risques pour les populations avoisinantes).</w:t>
            </w:r>
          </w:p>
          <w:p w14:paraId="7E112661" w14:textId="4F8258B0" w:rsidR="00083923" w:rsidRPr="00083923" w:rsidRDefault="00083923" w:rsidP="00083923">
            <w:pPr>
              <w:spacing w:after="160" w:line="259"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Pr>
                <w:rFonts w:asciiTheme="minorHAnsi" w:hAnsiTheme="minorHAnsi" w:cstheme="minorHAnsi"/>
                <w:szCs w:val="20"/>
              </w:rPr>
              <w:t>-</w:t>
            </w:r>
            <w:r w:rsidRPr="00083923">
              <w:rPr>
                <w:rFonts w:asciiTheme="minorHAnsi" w:hAnsiTheme="minorHAnsi" w:cstheme="minorHAnsi"/>
                <w:szCs w:val="20"/>
              </w:rPr>
              <w:t>Ne prévoit pas de procédures spécifiques pour la gestion des risques communautaires liés aux projets d’infrastructure.</w:t>
            </w:r>
          </w:p>
          <w:p w14:paraId="72FA606E" w14:textId="46C2C4F0" w:rsidR="00083923" w:rsidRPr="00083923" w:rsidRDefault="00083923" w:rsidP="00083923">
            <w:pPr>
              <w:spacing w:after="160" w:line="259"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Pr>
                <w:rFonts w:asciiTheme="minorHAnsi" w:hAnsiTheme="minorHAnsi" w:cstheme="minorHAnsi"/>
                <w:szCs w:val="20"/>
              </w:rPr>
              <w:t>-</w:t>
            </w:r>
            <w:r w:rsidRPr="00083923">
              <w:rPr>
                <w:rFonts w:asciiTheme="minorHAnsi" w:hAnsiTheme="minorHAnsi" w:cstheme="minorHAnsi"/>
                <w:szCs w:val="20"/>
              </w:rPr>
              <w:t>Ne définit pas clairement la responsabilité des promoteurs envers les communautés pour les impacts sanitaires indirects (trafic, bruit, pollution, etc.).</w:t>
            </w:r>
          </w:p>
          <w:p w14:paraId="76101294" w14:textId="59B5DC63" w:rsidR="008637EF" w:rsidRPr="00C12375" w:rsidRDefault="00083923" w:rsidP="00083923">
            <w:pPr>
              <w:spacing w:after="160" w:line="259"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Pr>
                <w:rFonts w:asciiTheme="minorHAnsi" w:hAnsiTheme="minorHAnsi" w:cstheme="minorHAnsi"/>
                <w:szCs w:val="20"/>
              </w:rPr>
              <w:t>-</w:t>
            </w:r>
            <w:r w:rsidRPr="00083923">
              <w:rPr>
                <w:rFonts w:asciiTheme="minorHAnsi" w:hAnsiTheme="minorHAnsi" w:cstheme="minorHAnsi"/>
                <w:szCs w:val="20"/>
              </w:rPr>
              <w:t>Ne prévoit pas de mécanismes d’information, de consultation et de suivi communautaire en matière de santé et sécurité.</w:t>
            </w:r>
          </w:p>
        </w:tc>
        <w:tc>
          <w:tcPr>
            <w:tcW w:w="3368" w:type="dxa"/>
          </w:tcPr>
          <w:p w14:paraId="53B51E3C" w14:textId="6F747724" w:rsidR="00083923" w:rsidRPr="00083923" w:rsidRDefault="00083923" w:rsidP="00083923">
            <w:pPr>
              <w:spacing w:after="160" w:line="259"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083923">
              <w:rPr>
                <w:rFonts w:asciiTheme="minorHAnsi" w:hAnsiTheme="minorHAnsi" w:cstheme="minorHAnsi"/>
                <w:szCs w:val="20"/>
              </w:rPr>
              <w:t xml:space="preserve">Le projet d’extension de l’aéroport </w:t>
            </w:r>
            <w:r w:rsidR="00180EC0">
              <w:t>Marrakech Ménara</w:t>
            </w:r>
            <w:r w:rsidR="00180EC0" w:rsidRPr="00083923">
              <w:rPr>
                <w:rFonts w:asciiTheme="minorHAnsi" w:hAnsiTheme="minorHAnsi" w:cstheme="minorHAnsi"/>
                <w:szCs w:val="20"/>
              </w:rPr>
              <w:t xml:space="preserve"> </w:t>
            </w:r>
            <w:r w:rsidRPr="00083923">
              <w:rPr>
                <w:rFonts w:asciiTheme="minorHAnsi" w:hAnsiTheme="minorHAnsi" w:cstheme="minorHAnsi"/>
                <w:szCs w:val="20"/>
              </w:rPr>
              <w:t>mettra en œuvre un Plan de gestion de la santé, sécurité et sûreté communautaires conforme à la SO4 de la BAD, comprenant :</w:t>
            </w:r>
          </w:p>
          <w:p w14:paraId="6655B88A" w14:textId="4A173D37" w:rsidR="00083923" w:rsidRPr="00083923" w:rsidRDefault="00083923" w:rsidP="00083923">
            <w:pPr>
              <w:spacing w:after="160" w:line="259"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Pr>
                <w:rFonts w:asciiTheme="minorHAnsi" w:hAnsiTheme="minorHAnsi" w:cstheme="minorHAnsi"/>
                <w:szCs w:val="20"/>
              </w:rPr>
              <w:t>-</w:t>
            </w:r>
            <w:r w:rsidRPr="00083923">
              <w:rPr>
                <w:rFonts w:asciiTheme="minorHAnsi" w:hAnsiTheme="minorHAnsi" w:cstheme="minorHAnsi"/>
                <w:szCs w:val="20"/>
              </w:rPr>
              <w:t>Un Plan de gestion de la santé et sécurité au travail (OHS Plan) et un Plan de santé et sécurité communautaire (CHSP) intégrés au PGES.</w:t>
            </w:r>
          </w:p>
          <w:p w14:paraId="019570AF" w14:textId="4D3E34D9" w:rsidR="00083923" w:rsidRPr="00083923" w:rsidRDefault="00083923" w:rsidP="00083923">
            <w:pPr>
              <w:spacing w:after="160" w:line="259"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Pr>
                <w:rFonts w:asciiTheme="minorHAnsi" w:hAnsiTheme="minorHAnsi" w:cstheme="minorHAnsi"/>
                <w:szCs w:val="20"/>
              </w:rPr>
              <w:t>-</w:t>
            </w:r>
            <w:r w:rsidRPr="00083923">
              <w:rPr>
                <w:rFonts w:asciiTheme="minorHAnsi" w:hAnsiTheme="minorHAnsi" w:cstheme="minorHAnsi"/>
                <w:szCs w:val="20"/>
              </w:rPr>
              <w:t>Des mesures préventives contre les accidents, nuisances sonores, émissions atmosphériques, circulation d’engins et risques liés aux chantiers.</w:t>
            </w:r>
          </w:p>
          <w:p w14:paraId="5D10A84A" w14:textId="4DD6D9C7" w:rsidR="00083923" w:rsidRPr="00083923" w:rsidRDefault="00083923" w:rsidP="00083923">
            <w:pPr>
              <w:spacing w:after="160" w:line="259"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Pr>
                <w:rFonts w:asciiTheme="minorHAnsi" w:hAnsiTheme="minorHAnsi" w:cstheme="minorHAnsi"/>
                <w:szCs w:val="20"/>
              </w:rPr>
              <w:t>-</w:t>
            </w:r>
            <w:r w:rsidRPr="00083923">
              <w:rPr>
                <w:rFonts w:asciiTheme="minorHAnsi" w:hAnsiTheme="minorHAnsi" w:cstheme="minorHAnsi"/>
                <w:szCs w:val="20"/>
              </w:rPr>
              <w:t>Des campagnes de sensibilisation pour les travailleurs et les riverains.</w:t>
            </w:r>
          </w:p>
          <w:p w14:paraId="6314F9FF" w14:textId="27538CD5" w:rsidR="00083923" w:rsidRPr="00083923" w:rsidRDefault="00083923" w:rsidP="00083923">
            <w:pPr>
              <w:spacing w:after="160" w:line="259"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Pr>
                <w:rFonts w:asciiTheme="minorHAnsi" w:hAnsiTheme="minorHAnsi" w:cstheme="minorHAnsi"/>
                <w:szCs w:val="20"/>
              </w:rPr>
              <w:t>-</w:t>
            </w:r>
            <w:r w:rsidRPr="00083923">
              <w:rPr>
                <w:rFonts w:asciiTheme="minorHAnsi" w:hAnsiTheme="minorHAnsi" w:cstheme="minorHAnsi"/>
                <w:szCs w:val="20"/>
              </w:rPr>
              <w:t>Un dispositif d’urgence (ERP) incluant les communautés proches.</w:t>
            </w:r>
          </w:p>
          <w:p w14:paraId="36C78C25" w14:textId="3D9AF9ED" w:rsidR="00083923" w:rsidRPr="00083923" w:rsidRDefault="00083923" w:rsidP="00083923">
            <w:pPr>
              <w:spacing w:after="160" w:line="259"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Pr>
                <w:rFonts w:asciiTheme="minorHAnsi" w:hAnsiTheme="minorHAnsi" w:cstheme="minorHAnsi"/>
                <w:szCs w:val="20"/>
              </w:rPr>
              <w:t>-</w:t>
            </w:r>
            <w:r w:rsidRPr="00083923">
              <w:rPr>
                <w:rFonts w:asciiTheme="minorHAnsi" w:hAnsiTheme="minorHAnsi" w:cstheme="minorHAnsi"/>
                <w:szCs w:val="20"/>
              </w:rPr>
              <w:t>Une coordination avec les autorités locales et la protection civile pour la gestion des situations d’urgence.</w:t>
            </w:r>
          </w:p>
          <w:p w14:paraId="61A5A310" w14:textId="4BCA16CC" w:rsidR="008637EF" w:rsidRPr="00C12375" w:rsidRDefault="00083923" w:rsidP="00083923">
            <w:pPr>
              <w:spacing w:after="160" w:line="259"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Pr>
                <w:rFonts w:asciiTheme="minorHAnsi" w:hAnsiTheme="minorHAnsi" w:cstheme="minorHAnsi"/>
                <w:szCs w:val="20"/>
              </w:rPr>
              <w:t>-</w:t>
            </w:r>
            <w:r w:rsidRPr="00083923">
              <w:rPr>
                <w:rFonts w:asciiTheme="minorHAnsi" w:hAnsiTheme="minorHAnsi" w:cstheme="minorHAnsi"/>
                <w:szCs w:val="20"/>
              </w:rPr>
              <w:t>Un suivi régulier et un rapportage trimestriel au bailleur (BAD).</w:t>
            </w:r>
          </w:p>
        </w:tc>
      </w:tr>
      <w:tr w:rsidR="008637EF" w:rsidRPr="00C12375" w14:paraId="5F9AE584" w14:textId="77777777" w:rsidTr="00737967">
        <w:tc>
          <w:tcPr>
            <w:cnfStyle w:val="001000000000" w:firstRow="0" w:lastRow="0" w:firstColumn="1" w:lastColumn="0" w:oddVBand="0" w:evenVBand="0" w:oddHBand="0" w:evenHBand="0" w:firstRowFirstColumn="0" w:firstRowLastColumn="0" w:lastRowFirstColumn="0" w:lastRowLastColumn="0"/>
            <w:tcW w:w="0" w:type="auto"/>
          </w:tcPr>
          <w:p w14:paraId="46C95B2E" w14:textId="77777777" w:rsidR="008637EF" w:rsidRPr="00C12375" w:rsidRDefault="008637EF" w:rsidP="005A7661">
            <w:pPr>
              <w:spacing w:after="160" w:line="259" w:lineRule="auto"/>
              <w:rPr>
                <w:rFonts w:asciiTheme="minorHAnsi" w:hAnsiTheme="minorHAnsi" w:cstheme="minorHAnsi"/>
                <w:szCs w:val="20"/>
              </w:rPr>
            </w:pPr>
            <w:r w:rsidRPr="00C12375">
              <w:rPr>
                <w:rFonts w:asciiTheme="minorHAnsi" w:hAnsiTheme="minorHAnsi" w:cstheme="minorHAnsi"/>
                <w:szCs w:val="20"/>
              </w:rPr>
              <w:lastRenderedPageBreak/>
              <w:t>Sauvegarde opérationnelle environnementale et sociale 5 : Acquisition de terres, restrictions à l’accès et à l’utilisation des terres, et réinstallation involontaire</w:t>
            </w:r>
          </w:p>
        </w:tc>
        <w:tc>
          <w:tcPr>
            <w:tcW w:w="0" w:type="auto"/>
          </w:tcPr>
          <w:p w14:paraId="35BBDE09" w14:textId="77777777" w:rsidR="008637EF" w:rsidRPr="00C12375" w:rsidRDefault="008637EF" w:rsidP="005A7661">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C12375">
              <w:rPr>
                <w:rFonts w:asciiTheme="minorHAnsi" w:hAnsiTheme="minorHAnsi" w:cstheme="minorHAnsi"/>
                <w:szCs w:val="20"/>
              </w:rPr>
              <w:t>Oui</w:t>
            </w:r>
          </w:p>
        </w:tc>
        <w:tc>
          <w:tcPr>
            <w:tcW w:w="0" w:type="auto"/>
          </w:tcPr>
          <w:p w14:paraId="0341CF72" w14:textId="77777777" w:rsidR="008637EF" w:rsidRPr="00C12375" w:rsidRDefault="008637EF" w:rsidP="005A766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C12375">
              <w:rPr>
                <w:rFonts w:asciiTheme="minorHAnsi" w:hAnsiTheme="minorHAnsi" w:cstheme="minorHAnsi"/>
                <w:szCs w:val="20"/>
              </w:rPr>
              <w:t>Le cadre légal marocain (la constitution, article 35, la loi 7-81 relative à l’expropriation pour cause d’utilité publique et à l’occupation temporaire et le décret n° n° 2-82-382 pris pour son application) :</w:t>
            </w:r>
          </w:p>
          <w:p w14:paraId="0EC00988" w14:textId="77777777" w:rsidR="008637EF" w:rsidRPr="00C12375" w:rsidRDefault="008637EF" w:rsidP="0001633E">
            <w:pPr>
              <w:pStyle w:val="Listepuces3"/>
              <w:numPr>
                <w:ilvl w:val="0"/>
                <w:numId w:val="28"/>
              </w:numPr>
              <w:ind w:left="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C12375">
              <w:rPr>
                <w:rFonts w:asciiTheme="minorHAnsi" w:hAnsiTheme="minorHAnsi" w:cstheme="minorHAnsi"/>
              </w:rPr>
              <w:t>Protègent le droit de propriété et prévoient le principe et la procédure d’indemnisation des personnes qui perdent des biens ou des actifs du fait d’un projet d’utilité publique</w:t>
            </w:r>
          </w:p>
          <w:p w14:paraId="783A53F6" w14:textId="77777777" w:rsidR="008637EF" w:rsidRPr="00C12375" w:rsidRDefault="008637EF" w:rsidP="005A7661">
            <w:pPr>
              <w:spacing w:after="160" w:line="259"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C12375">
              <w:rPr>
                <w:rFonts w:asciiTheme="minorHAnsi" w:hAnsiTheme="minorHAnsi" w:cstheme="minorHAnsi"/>
                <w:szCs w:val="20"/>
              </w:rPr>
              <w:t>La loi 7-81 et son décret d’application prévoient l’inventaire des biens affectés sous forme d’enquête parcellaire</w:t>
            </w:r>
          </w:p>
        </w:tc>
        <w:tc>
          <w:tcPr>
            <w:tcW w:w="0" w:type="auto"/>
          </w:tcPr>
          <w:p w14:paraId="70B405FE" w14:textId="77777777" w:rsidR="008637EF" w:rsidRPr="00C12375" w:rsidRDefault="008637EF" w:rsidP="005A766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C12375">
              <w:rPr>
                <w:rFonts w:asciiTheme="minorHAnsi" w:hAnsiTheme="minorHAnsi" w:cstheme="minorHAnsi"/>
                <w:szCs w:val="20"/>
              </w:rPr>
              <w:t>Le cadre légal marocain :</w:t>
            </w:r>
          </w:p>
          <w:p w14:paraId="4556C467" w14:textId="77777777" w:rsidR="008637EF" w:rsidRPr="00C12375" w:rsidRDefault="008637EF" w:rsidP="0001633E">
            <w:pPr>
              <w:pStyle w:val="Paragraphedeliste"/>
              <w:numPr>
                <w:ilvl w:val="0"/>
                <w:numId w:val="29"/>
              </w:numPr>
              <w:spacing w:before="0" w:after="0" w:line="240" w:lineRule="auto"/>
              <w:ind w:left="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C12375">
              <w:rPr>
                <w:rFonts w:asciiTheme="minorHAnsi" w:hAnsiTheme="minorHAnsi" w:cstheme="minorHAnsi"/>
                <w:szCs w:val="20"/>
              </w:rPr>
              <w:t>N’exige pas l’élaboration d’instruments de réinstallation (planification de la réinstallation, budget, suivi-évaluation, etc.)</w:t>
            </w:r>
          </w:p>
          <w:p w14:paraId="2CB9893F" w14:textId="77777777" w:rsidR="008637EF" w:rsidRPr="00C12375" w:rsidRDefault="008637EF" w:rsidP="0001633E">
            <w:pPr>
              <w:pStyle w:val="Paragraphedeliste"/>
              <w:numPr>
                <w:ilvl w:val="0"/>
                <w:numId w:val="29"/>
              </w:numPr>
              <w:spacing w:before="0" w:after="0" w:line="240" w:lineRule="auto"/>
              <w:ind w:left="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C12375">
              <w:rPr>
                <w:rFonts w:asciiTheme="minorHAnsi" w:hAnsiTheme="minorHAnsi" w:cstheme="minorHAnsi"/>
                <w:szCs w:val="20"/>
              </w:rPr>
              <w:t>Ne reconnaît et indemnise que les droits formels établis légalement</w:t>
            </w:r>
          </w:p>
          <w:p w14:paraId="64D309F4" w14:textId="77777777" w:rsidR="008637EF" w:rsidRPr="00C12375" w:rsidRDefault="008637EF" w:rsidP="0001633E">
            <w:pPr>
              <w:pStyle w:val="Paragraphedeliste"/>
              <w:numPr>
                <w:ilvl w:val="0"/>
                <w:numId w:val="29"/>
              </w:numPr>
              <w:spacing w:before="0" w:after="0" w:line="240" w:lineRule="auto"/>
              <w:ind w:left="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C12375">
              <w:rPr>
                <w:rFonts w:asciiTheme="minorHAnsi" w:hAnsiTheme="minorHAnsi" w:cstheme="minorHAnsi"/>
                <w:szCs w:val="20"/>
              </w:rPr>
              <w:t>Evalue les biens perdus à leur valeur vénale, mais n’évalue pas les déplacements économiques</w:t>
            </w:r>
          </w:p>
          <w:p w14:paraId="0F31CE34" w14:textId="77777777" w:rsidR="008637EF" w:rsidRPr="00C12375" w:rsidRDefault="008637EF" w:rsidP="0001633E">
            <w:pPr>
              <w:pStyle w:val="Paragraphedeliste"/>
              <w:numPr>
                <w:ilvl w:val="0"/>
                <w:numId w:val="29"/>
              </w:numPr>
              <w:spacing w:before="0" w:after="0" w:line="240" w:lineRule="auto"/>
              <w:ind w:left="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C12375">
              <w:rPr>
                <w:rFonts w:asciiTheme="minorHAnsi" w:hAnsiTheme="minorHAnsi" w:cstheme="minorHAnsi"/>
                <w:szCs w:val="20"/>
              </w:rPr>
              <w:t>N’interdit pas les évictions forcées</w:t>
            </w:r>
          </w:p>
          <w:p w14:paraId="04C05E56" w14:textId="77777777" w:rsidR="008637EF" w:rsidRPr="00C12375" w:rsidRDefault="008637EF" w:rsidP="0001633E">
            <w:pPr>
              <w:pStyle w:val="Paragraphedeliste"/>
              <w:numPr>
                <w:ilvl w:val="0"/>
                <w:numId w:val="29"/>
              </w:numPr>
              <w:spacing w:before="0" w:after="0" w:line="240" w:lineRule="auto"/>
              <w:ind w:left="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C12375">
              <w:rPr>
                <w:rFonts w:asciiTheme="minorHAnsi" w:hAnsiTheme="minorHAnsi" w:cstheme="minorHAnsi"/>
                <w:szCs w:val="20"/>
              </w:rPr>
              <w:t>Ne prévoit pas de mesures spécifiques en faveur des personnes vulnérables</w:t>
            </w:r>
          </w:p>
          <w:p w14:paraId="62EFBA9E" w14:textId="77777777" w:rsidR="008637EF" w:rsidRPr="00C12375" w:rsidRDefault="008637EF" w:rsidP="005A7661">
            <w:pPr>
              <w:spacing w:after="160" w:line="259"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C12375">
              <w:rPr>
                <w:rFonts w:asciiTheme="minorHAnsi" w:hAnsiTheme="minorHAnsi" w:cstheme="minorHAnsi"/>
                <w:szCs w:val="20"/>
              </w:rPr>
              <w:t>Limite l’information et la consultation des PAPs à la diffusion des actes de la procédure d’expropriation (journaux et affichage dans les locaux de la commune) et à l’enquête administrative</w:t>
            </w:r>
          </w:p>
        </w:tc>
        <w:tc>
          <w:tcPr>
            <w:tcW w:w="3368" w:type="dxa"/>
          </w:tcPr>
          <w:p w14:paraId="21D73424" w14:textId="391FCA5F" w:rsidR="008637EF" w:rsidRDefault="008637EF" w:rsidP="005A7661">
            <w:pPr>
              <w:cnfStyle w:val="000000000000" w:firstRow="0" w:lastRow="0" w:firstColumn="0" w:lastColumn="0" w:oddVBand="0" w:evenVBand="0" w:oddHBand="0" w:evenHBand="0" w:firstRowFirstColumn="0" w:firstRowLastColumn="0" w:lastRowFirstColumn="0" w:lastRowLastColumn="0"/>
            </w:pPr>
            <w:r w:rsidRPr="007761DF">
              <w:t xml:space="preserve">Le projet d’extension de la piste de l’aéroport </w:t>
            </w:r>
            <w:r w:rsidR="00180EC0">
              <w:t>Marrakech Ménara</w:t>
            </w:r>
            <w:r w:rsidRPr="007761DF">
              <w:t>, nécessitant une expropriation,</w:t>
            </w:r>
            <w:r>
              <w:t xml:space="preserve"> selon le plan parcellaire donné en annexes.</w:t>
            </w:r>
          </w:p>
          <w:p w14:paraId="57F7FC67" w14:textId="35744BF5" w:rsidR="008637EF" w:rsidRPr="006E1C45" w:rsidRDefault="008637EF" w:rsidP="005A7661">
            <w:pPr>
              <w:cnfStyle w:val="000000000000" w:firstRow="0" w:lastRow="0" w:firstColumn="0" w:lastColumn="0" w:oddVBand="0" w:evenVBand="0" w:oddHBand="0" w:evenHBand="0" w:firstRowFirstColumn="0" w:firstRowLastColumn="0" w:lastRowFirstColumn="0" w:lastRowLastColumn="0"/>
            </w:pPr>
            <w:r w:rsidRPr="00CD2670">
              <w:rPr>
                <w:rFonts w:eastAsia="Calibri"/>
                <w:lang w:val="fr-MA" w:bidi="ar-SA"/>
              </w:rPr>
              <w:t>En conformité avec les exigences de la SO5, les travaux et les nouvelles installations se situent à l'intérieur de la clôture aéroportuaire. Le projet </w:t>
            </w:r>
            <w:r w:rsidRPr="00CD2670">
              <w:rPr>
                <w:rFonts w:eastAsia="Calibri"/>
                <w:b/>
                <w:bCs/>
                <w:lang w:val="fr-MA" w:bidi="ar-SA"/>
              </w:rPr>
              <w:t>n'implique pas la création de nouvelles restrictions d'accès ou d'utilisation</w:t>
            </w:r>
            <w:r w:rsidRPr="00CD2670">
              <w:rPr>
                <w:rFonts w:eastAsia="Calibri"/>
                <w:lang w:val="fr-MA" w:bidi="ar-SA"/>
              </w:rPr>
              <w:t> sur des terres ou des ressources naturelles </w:t>
            </w:r>
            <w:r w:rsidRPr="00CD2670">
              <w:rPr>
                <w:rFonts w:eastAsia="Calibri"/>
                <w:i/>
                <w:iCs/>
                <w:lang w:val="fr-MA" w:bidi="ar-SA"/>
              </w:rPr>
              <w:t>extérieures</w:t>
            </w:r>
            <w:r w:rsidRPr="00CD2670">
              <w:rPr>
                <w:rFonts w:eastAsia="Calibri"/>
                <w:lang w:val="fr-MA" w:bidi="ar-SA"/>
              </w:rPr>
              <w:t> à l'aéroport qui pourraient affecter les moyens de subsistance des communautés locales ou de groupes spécifiques.</w:t>
            </w:r>
            <w:r w:rsidRPr="00735711">
              <w:rPr>
                <w:rFonts w:eastAsia="Calibri"/>
                <w:b/>
                <w:bCs/>
                <w:lang w:bidi="ar-SA"/>
              </w:rPr>
              <w:t xml:space="preserve"> </w:t>
            </w:r>
            <w:r>
              <w:rPr>
                <w:rFonts w:eastAsia="Calibri"/>
                <w:b/>
                <w:bCs/>
                <w:lang w:bidi="ar-SA"/>
              </w:rPr>
              <w:t>A</w:t>
            </w:r>
            <w:r w:rsidRPr="00CD2670">
              <w:rPr>
                <w:rFonts w:eastAsia="Calibri"/>
                <w:b/>
                <w:bCs/>
                <w:lang w:bidi="ar-SA"/>
              </w:rPr>
              <w:t>ucun déplacement économique, tel que défini et déclenché par les mécanismes de la SO5, n'est prévu</w:t>
            </w:r>
            <w:r w:rsidRPr="00CD2670">
              <w:rPr>
                <w:rFonts w:eastAsia="Calibri"/>
                <w:lang w:bidi="ar-SA"/>
              </w:rPr>
              <w:t>.</w:t>
            </w:r>
          </w:p>
        </w:tc>
      </w:tr>
      <w:tr w:rsidR="008637EF" w:rsidRPr="00C12375" w14:paraId="1348DB51" w14:textId="77777777" w:rsidTr="00737967">
        <w:tc>
          <w:tcPr>
            <w:cnfStyle w:val="001000000000" w:firstRow="0" w:lastRow="0" w:firstColumn="1" w:lastColumn="0" w:oddVBand="0" w:evenVBand="0" w:oddHBand="0" w:evenHBand="0" w:firstRowFirstColumn="0" w:firstRowLastColumn="0" w:lastRowFirstColumn="0" w:lastRowLastColumn="0"/>
            <w:tcW w:w="0" w:type="auto"/>
          </w:tcPr>
          <w:p w14:paraId="5463DA95" w14:textId="77777777" w:rsidR="008637EF" w:rsidRPr="00C12375" w:rsidRDefault="008637EF" w:rsidP="005A7661">
            <w:pPr>
              <w:spacing w:after="160" w:line="259" w:lineRule="auto"/>
              <w:rPr>
                <w:rFonts w:asciiTheme="minorHAnsi" w:hAnsiTheme="minorHAnsi" w:cstheme="minorHAnsi"/>
                <w:b w:val="0"/>
                <w:bCs w:val="0"/>
                <w:szCs w:val="20"/>
              </w:rPr>
            </w:pPr>
            <w:r w:rsidRPr="00C12375">
              <w:rPr>
                <w:rFonts w:asciiTheme="minorHAnsi" w:hAnsiTheme="minorHAnsi" w:cstheme="minorHAnsi"/>
                <w:szCs w:val="20"/>
              </w:rPr>
              <w:t xml:space="preserve">Sauvegarde opérationnelle environnementale et sociale 6 : Conservation des habitats et de la biodiversité et gestion </w:t>
            </w:r>
            <w:r w:rsidRPr="00C12375">
              <w:rPr>
                <w:rFonts w:asciiTheme="minorHAnsi" w:hAnsiTheme="minorHAnsi" w:cstheme="minorHAnsi"/>
                <w:szCs w:val="20"/>
              </w:rPr>
              <w:lastRenderedPageBreak/>
              <w:t>durable des ressources naturelles vivantes</w:t>
            </w:r>
          </w:p>
        </w:tc>
        <w:tc>
          <w:tcPr>
            <w:tcW w:w="0" w:type="auto"/>
          </w:tcPr>
          <w:p w14:paraId="15C579F9" w14:textId="77777777" w:rsidR="008637EF" w:rsidRPr="00C12375" w:rsidRDefault="008637EF" w:rsidP="005A7661">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C12375">
              <w:rPr>
                <w:rFonts w:asciiTheme="minorHAnsi" w:hAnsiTheme="minorHAnsi" w:cstheme="minorHAnsi"/>
                <w:szCs w:val="20"/>
              </w:rPr>
              <w:lastRenderedPageBreak/>
              <w:t>Oui</w:t>
            </w:r>
          </w:p>
        </w:tc>
        <w:tc>
          <w:tcPr>
            <w:tcW w:w="0" w:type="auto"/>
          </w:tcPr>
          <w:p w14:paraId="53E4F1E3" w14:textId="77777777" w:rsidR="008637EF" w:rsidRPr="00C12375" w:rsidRDefault="008637EF" w:rsidP="005A766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C12375">
              <w:rPr>
                <w:rFonts w:asciiTheme="minorHAnsi" w:hAnsiTheme="minorHAnsi" w:cstheme="minorHAnsi"/>
                <w:szCs w:val="20"/>
              </w:rPr>
              <w:t>La gestion de la biodiversité et des ressources naturelles est régie par :</w:t>
            </w:r>
          </w:p>
          <w:p w14:paraId="112086A8" w14:textId="77777777" w:rsidR="008637EF" w:rsidRPr="00C12375" w:rsidRDefault="008637EF" w:rsidP="005A766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C12375">
              <w:rPr>
                <w:rFonts w:asciiTheme="minorHAnsi" w:hAnsiTheme="minorHAnsi" w:cstheme="minorHAnsi"/>
                <w:szCs w:val="20"/>
              </w:rPr>
              <w:t>- La Loi 12-03 sur les EIE</w:t>
            </w:r>
          </w:p>
          <w:p w14:paraId="27DA91CE" w14:textId="77777777" w:rsidR="008637EF" w:rsidRPr="00C12375" w:rsidRDefault="008637EF" w:rsidP="005A766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C12375">
              <w:rPr>
                <w:rFonts w:asciiTheme="minorHAnsi" w:hAnsiTheme="minorHAnsi" w:cstheme="minorHAnsi"/>
                <w:szCs w:val="20"/>
              </w:rPr>
              <w:t>- La loi 11-03 sur la conservation de l’environnement</w:t>
            </w:r>
          </w:p>
          <w:p w14:paraId="07185D36" w14:textId="77777777" w:rsidR="008637EF" w:rsidRPr="00C12375" w:rsidRDefault="008637EF" w:rsidP="005A7661">
            <w:pPr>
              <w:spacing w:after="160" w:line="259"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C12375">
              <w:rPr>
                <w:rFonts w:asciiTheme="minorHAnsi" w:hAnsiTheme="minorHAnsi" w:cstheme="minorHAnsi"/>
                <w:szCs w:val="20"/>
              </w:rPr>
              <w:lastRenderedPageBreak/>
              <w:t>- La loi n° 22-07 relative aux aires protégées</w:t>
            </w:r>
          </w:p>
        </w:tc>
        <w:tc>
          <w:tcPr>
            <w:tcW w:w="0" w:type="auto"/>
          </w:tcPr>
          <w:p w14:paraId="4CBC9E22" w14:textId="77777777" w:rsidR="008637EF" w:rsidRPr="00C12375" w:rsidRDefault="008637EF" w:rsidP="005A7661">
            <w:pPr>
              <w:spacing w:after="160" w:line="259"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C12375">
              <w:rPr>
                <w:rFonts w:asciiTheme="minorHAnsi" w:hAnsiTheme="minorHAnsi" w:cstheme="minorHAnsi"/>
                <w:szCs w:val="20"/>
              </w:rPr>
              <w:lastRenderedPageBreak/>
              <w:t xml:space="preserve">La réglementation nationale ne couvre pas les aspects relatifs à la gestion des espèces envahissantes et au contrôle des fournisseurs sur les risques connus de conversion ou de dégradation importante d’habitats naturels ou </w:t>
            </w:r>
            <w:r w:rsidRPr="00C12375">
              <w:rPr>
                <w:rFonts w:asciiTheme="minorHAnsi" w:hAnsiTheme="minorHAnsi" w:cstheme="minorHAnsi"/>
                <w:szCs w:val="20"/>
              </w:rPr>
              <w:lastRenderedPageBreak/>
              <w:t>critiques liés à un produit à base de ressources naturelles qui doit être acheté dans le cadre du projet ne sont pas couverts par la règlementation nationale</w:t>
            </w:r>
          </w:p>
        </w:tc>
        <w:tc>
          <w:tcPr>
            <w:tcW w:w="3368" w:type="dxa"/>
          </w:tcPr>
          <w:p w14:paraId="7B0B5D0F" w14:textId="77777777" w:rsidR="008637EF" w:rsidRPr="00C12375" w:rsidRDefault="008637EF" w:rsidP="005A766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C12375">
              <w:rPr>
                <w:rFonts w:asciiTheme="minorHAnsi" w:hAnsiTheme="minorHAnsi" w:cstheme="minorHAnsi"/>
                <w:szCs w:val="20"/>
              </w:rPr>
              <w:lastRenderedPageBreak/>
              <w:t>La nature des risques et impacts relatifs à la biodiversité telles qu’identifiés à ce stade ne nécessitent pas l’élaboration d’un Plan de gestion de la biodiversité</w:t>
            </w:r>
          </w:p>
          <w:p w14:paraId="7DFDF910" w14:textId="77777777" w:rsidR="008637EF" w:rsidRPr="00C12375" w:rsidRDefault="008637EF" w:rsidP="005A7661">
            <w:pPr>
              <w:spacing w:after="160" w:line="259"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C12375">
              <w:rPr>
                <w:rFonts w:asciiTheme="minorHAnsi" w:hAnsiTheme="minorHAnsi" w:cstheme="minorHAnsi"/>
                <w:szCs w:val="20"/>
              </w:rPr>
              <w:lastRenderedPageBreak/>
              <w:t>L’EIES évaluera minutieusement les impacts sur les habitats dans la zone d’impact du Projet et le PGES définira les mesures de leur gestion conformément à la SO6.</w:t>
            </w:r>
          </w:p>
        </w:tc>
      </w:tr>
      <w:tr w:rsidR="008637EF" w:rsidRPr="00C12375" w14:paraId="6BFC833C" w14:textId="77777777" w:rsidTr="00737967">
        <w:tc>
          <w:tcPr>
            <w:cnfStyle w:val="001000000000" w:firstRow="0" w:lastRow="0" w:firstColumn="1" w:lastColumn="0" w:oddVBand="0" w:evenVBand="0" w:oddHBand="0" w:evenHBand="0" w:firstRowFirstColumn="0" w:firstRowLastColumn="0" w:lastRowFirstColumn="0" w:lastRowLastColumn="0"/>
            <w:tcW w:w="0" w:type="auto"/>
          </w:tcPr>
          <w:p w14:paraId="6D1279AE" w14:textId="77777777" w:rsidR="008637EF" w:rsidRPr="00C12375" w:rsidRDefault="008637EF" w:rsidP="005A7661">
            <w:pPr>
              <w:spacing w:after="160" w:line="259" w:lineRule="auto"/>
              <w:rPr>
                <w:rFonts w:asciiTheme="minorHAnsi" w:hAnsiTheme="minorHAnsi" w:cstheme="minorHAnsi"/>
                <w:b w:val="0"/>
                <w:bCs w:val="0"/>
                <w:szCs w:val="20"/>
              </w:rPr>
            </w:pPr>
            <w:r w:rsidRPr="00C12375">
              <w:rPr>
                <w:rFonts w:asciiTheme="minorHAnsi" w:hAnsiTheme="minorHAnsi" w:cstheme="minorHAnsi"/>
                <w:szCs w:val="20"/>
              </w:rPr>
              <w:lastRenderedPageBreak/>
              <w:t>Sauvegarde opérationnelle environnementale et sociale 7 : Groupes vulnérables</w:t>
            </w:r>
          </w:p>
        </w:tc>
        <w:tc>
          <w:tcPr>
            <w:tcW w:w="0" w:type="auto"/>
          </w:tcPr>
          <w:p w14:paraId="78D2FE72" w14:textId="77777777" w:rsidR="008637EF" w:rsidRPr="00C12375" w:rsidRDefault="008637EF" w:rsidP="005A7661">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C12375">
              <w:rPr>
                <w:rFonts w:asciiTheme="minorHAnsi" w:hAnsiTheme="minorHAnsi" w:cstheme="minorHAnsi"/>
                <w:szCs w:val="20"/>
              </w:rPr>
              <w:t>Oui</w:t>
            </w:r>
          </w:p>
        </w:tc>
        <w:tc>
          <w:tcPr>
            <w:tcW w:w="0" w:type="auto"/>
          </w:tcPr>
          <w:p w14:paraId="51784D87" w14:textId="77777777" w:rsidR="008637EF" w:rsidRPr="00C12375" w:rsidRDefault="008637EF" w:rsidP="005A766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C12375">
              <w:rPr>
                <w:rFonts w:asciiTheme="minorHAnsi" w:hAnsiTheme="minorHAnsi" w:cstheme="minorHAnsi"/>
                <w:szCs w:val="20"/>
              </w:rPr>
              <w:t>Les droits et les intérêts des personnes vulnérables sont protégés par la Constitution du Maroc.</w:t>
            </w:r>
          </w:p>
          <w:p w14:paraId="0F432676" w14:textId="77777777" w:rsidR="008637EF" w:rsidRPr="00C12375" w:rsidRDefault="008637EF" w:rsidP="005A766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C12375">
              <w:rPr>
                <w:rFonts w:asciiTheme="minorHAnsi" w:hAnsiTheme="minorHAnsi" w:cstheme="minorHAnsi"/>
                <w:szCs w:val="20"/>
              </w:rPr>
              <w:t>Constitution du Maroc</w:t>
            </w:r>
          </w:p>
          <w:p w14:paraId="1E273E5B" w14:textId="77777777" w:rsidR="008637EF" w:rsidRPr="00C12375" w:rsidRDefault="008637EF" w:rsidP="005A7661">
            <w:pPr>
              <w:spacing w:after="160" w:line="259"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C12375">
              <w:rPr>
                <w:rFonts w:asciiTheme="minorHAnsi" w:hAnsiTheme="minorHAnsi" w:cstheme="minorHAnsi"/>
                <w:szCs w:val="20"/>
              </w:rPr>
              <w:t>Titre II : Droits et libertés fondamentaux (pages 19 à 40).</w:t>
            </w:r>
          </w:p>
        </w:tc>
        <w:tc>
          <w:tcPr>
            <w:tcW w:w="0" w:type="auto"/>
          </w:tcPr>
          <w:p w14:paraId="628FF974" w14:textId="77777777" w:rsidR="008637EF" w:rsidRPr="00C12375" w:rsidRDefault="008637EF" w:rsidP="005A7661">
            <w:pPr>
              <w:spacing w:after="160" w:line="259"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C12375">
              <w:rPr>
                <w:rFonts w:asciiTheme="minorHAnsi" w:hAnsiTheme="minorHAnsi" w:cstheme="minorHAnsi"/>
                <w:szCs w:val="20"/>
              </w:rPr>
              <w:t>N/A</w:t>
            </w:r>
          </w:p>
        </w:tc>
        <w:tc>
          <w:tcPr>
            <w:tcW w:w="3368" w:type="dxa"/>
          </w:tcPr>
          <w:p w14:paraId="4861D385" w14:textId="77777777" w:rsidR="008637EF" w:rsidRPr="00C12375" w:rsidRDefault="008637EF" w:rsidP="005A7661">
            <w:pPr>
              <w:spacing w:after="160" w:line="259"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C12375">
              <w:rPr>
                <w:rFonts w:asciiTheme="minorHAnsi" w:hAnsiTheme="minorHAnsi" w:cstheme="minorHAnsi"/>
                <w:szCs w:val="20"/>
              </w:rPr>
              <w:t>N/A</w:t>
            </w:r>
          </w:p>
        </w:tc>
      </w:tr>
      <w:tr w:rsidR="008637EF" w:rsidRPr="00C12375" w14:paraId="16EAD37D" w14:textId="77777777" w:rsidTr="00737967">
        <w:tc>
          <w:tcPr>
            <w:cnfStyle w:val="001000000000" w:firstRow="0" w:lastRow="0" w:firstColumn="1" w:lastColumn="0" w:oddVBand="0" w:evenVBand="0" w:oddHBand="0" w:evenHBand="0" w:firstRowFirstColumn="0" w:firstRowLastColumn="0" w:lastRowFirstColumn="0" w:lastRowLastColumn="0"/>
            <w:tcW w:w="0" w:type="auto"/>
          </w:tcPr>
          <w:p w14:paraId="5143808B" w14:textId="77777777" w:rsidR="008637EF" w:rsidRPr="00C12375" w:rsidRDefault="008637EF" w:rsidP="005A7661">
            <w:pPr>
              <w:spacing w:after="160" w:line="259" w:lineRule="auto"/>
              <w:rPr>
                <w:rFonts w:asciiTheme="minorHAnsi" w:hAnsiTheme="minorHAnsi" w:cstheme="minorHAnsi"/>
                <w:b w:val="0"/>
                <w:bCs w:val="0"/>
                <w:szCs w:val="20"/>
              </w:rPr>
            </w:pPr>
            <w:r w:rsidRPr="00C12375">
              <w:rPr>
                <w:rFonts w:asciiTheme="minorHAnsi" w:hAnsiTheme="minorHAnsi" w:cstheme="minorHAnsi"/>
                <w:szCs w:val="20"/>
              </w:rPr>
              <w:t>Sauvegarde opérationnelle environnementale et sociale 8 : Patrimoine culturel</w:t>
            </w:r>
          </w:p>
        </w:tc>
        <w:tc>
          <w:tcPr>
            <w:tcW w:w="0" w:type="auto"/>
          </w:tcPr>
          <w:p w14:paraId="25A73621" w14:textId="77777777" w:rsidR="008637EF" w:rsidRPr="00C12375" w:rsidRDefault="008637EF" w:rsidP="005A7661">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C12375">
              <w:rPr>
                <w:rFonts w:asciiTheme="minorHAnsi" w:hAnsiTheme="minorHAnsi" w:cstheme="minorHAnsi"/>
                <w:szCs w:val="20"/>
              </w:rPr>
              <w:t>Oui</w:t>
            </w:r>
          </w:p>
        </w:tc>
        <w:tc>
          <w:tcPr>
            <w:tcW w:w="0" w:type="auto"/>
          </w:tcPr>
          <w:p w14:paraId="1AD45D77" w14:textId="77777777" w:rsidR="008637EF" w:rsidRPr="00C12375" w:rsidRDefault="008637EF" w:rsidP="005A766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C12375">
              <w:rPr>
                <w:rFonts w:asciiTheme="minorHAnsi" w:hAnsiTheme="minorHAnsi" w:cstheme="minorHAnsi"/>
                <w:szCs w:val="20"/>
              </w:rPr>
              <w:t>La loi 22-80 complétée par la loi 19-05 régit le patrimoine historique et culturel en cas de découverte.</w:t>
            </w:r>
          </w:p>
          <w:p w14:paraId="60127106" w14:textId="77777777" w:rsidR="008637EF" w:rsidRPr="00C12375" w:rsidRDefault="008637EF" w:rsidP="005A766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C12375">
              <w:rPr>
                <w:rFonts w:asciiTheme="minorHAnsi" w:hAnsiTheme="minorHAnsi" w:cstheme="minorHAnsi"/>
                <w:szCs w:val="20"/>
              </w:rPr>
              <w:t>La loi 49-17 sur l'EIE inclut l'évaluation des impacts sur le patrimoine culturel.</w:t>
            </w:r>
          </w:p>
          <w:p w14:paraId="3E86E85E" w14:textId="77777777" w:rsidR="008637EF" w:rsidRPr="00C12375" w:rsidRDefault="008637EF" w:rsidP="005A766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C12375">
              <w:rPr>
                <w:rFonts w:asciiTheme="minorHAnsi" w:hAnsiTheme="minorHAnsi" w:cstheme="minorHAnsi"/>
                <w:szCs w:val="20"/>
              </w:rPr>
              <w:t xml:space="preserve">La protection du patrimoine archéologique est régie par plusieurs lois, qui définissent les mesures de protection, de conservation, et de gestion des biens culturels, y compris les sites archéologiques. La loi établit aussi les procédures et les obligations liées aux </w:t>
            </w:r>
            <w:r w:rsidRPr="00C12375">
              <w:rPr>
                <w:rFonts w:asciiTheme="minorHAnsi" w:hAnsiTheme="minorHAnsi" w:cstheme="minorHAnsi"/>
                <w:szCs w:val="20"/>
              </w:rPr>
              <w:lastRenderedPageBreak/>
              <w:t>fouilles archéologiques préventives avant la réalisation de travaux de construction ou d'aménagement du territoire. Elle vise à préserver les découvertes archéologiques potentielles lors de projets de développement.</w:t>
            </w:r>
          </w:p>
          <w:p w14:paraId="588D3B48" w14:textId="77777777" w:rsidR="008637EF" w:rsidRPr="00C12375" w:rsidRDefault="008637EF" w:rsidP="005A7661">
            <w:pPr>
              <w:spacing w:after="160" w:line="259"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C12375">
              <w:rPr>
                <w:rFonts w:asciiTheme="minorHAnsi" w:hAnsiTheme="minorHAnsi" w:cstheme="minorHAnsi"/>
                <w:szCs w:val="20"/>
              </w:rPr>
              <w:t>Le ministère de la Culture est engagé avec l’UNESCO et d’autres institutions internationale spécialisées en la matière dans des projets de restauration et conservation des monuments historiques et dispose des compétences techniques pour assurer la gestion des risques liés à la préservation du patrimoine culturel matériel lié à la mise en œuvre des projets.</w:t>
            </w:r>
          </w:p>
        </w:tc>
        <w:tc>
          <w:tcPr>
            <w:tcW w:w="0" w:type="auto"/>
          </w:tcPr>
          <w:p w14:paraId="3D2830E4" w14:textId="77777777" w:rsidR="008637EF" w:rsidRPr="00C12375" w:rsidRDefault="008637EF" w:rsidP="005A7661">
            <w:pPr>
              <w:spacing w:after="160" w:line="259"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C12375">
              <w:rPr>
                <w:rFonts w:asciiTheme="minorHAnsi" w:hAnsiTheme="minorHAnsi" w:cstheme="minorHAnsi"/>
                <w:szCs w:val="20"/>
              </w:rPr>
              <w:lastRenderedPageBreak/>
              <w:t>Il n'existe pas de réglementation spécifique pour promouvoir une répartition équitable des bénéfices issus de l'utilisation du patrimoine culturel.</w:t>
            </w:r>
          </w:p>
        </w:tc>
        <w:tc>
          <w:tcPr>
            <w:tcW w:w="3368" w:type="dxa"/>
          </w:tcPr>
          <w:p w14:paraId="49E87EB5" w14:textId="77777777" w:rsidR="008637EF" w:rsidRPr="00C12375" w:rsidRDefault="008637EF" w:rsidP="005A7661">
            <w:pPr>
              <w:spacing w:after="100" w:afterAutospacing="1"/>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C12375">
              <w:rPr>
                <w:rFonts w:asciiTheme="minorHAnsi" w:hAnsiTheme="minorHAnsi" w:cstheme="minorHAnsi"/>
                <w:szCs w:val="20"/>
              </w:rPr>
              <w:t>Le dossier inclut le document sur l’évaluation d’impact sur le patrimoine archéologique, et les mesures d'atténuation associées qui seront mises en œuvre.</w:t>
            </w:r>
          </w:p>
          <w:p w14:paraId="7751C476" w14:textId="77777777" w:rsidR="008637EF" w:rsidRPr="00C12375" w:rsidRDefault="008637EF" w:rsidP="005A7661">
            <w:pPr>
              <w:spacing w:after="160" w:line="259"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C12375">
              <w:rPr>
                <w:rFonts w:asciiTheme="minorHAnsi" w:hAnsiTheme="minorHAnsi" w:cstheme="minorHAnsi"/>
                <w:szCs w:val="20"/>
              </w:rPr>
              <w:t xml:space="preserve">Le projet de développement de l’aéroport </w:t>
            </w:r>
            <w:r>
              <w:rPr>
                <w:rFonts w:asciiTheme="minorHAnsi" w:hAnsiTheme="minorHAnsi" w:cstheme="minorHAnsi"/>
                <w:szCs w:val="20"/>
              </w:rPr>
              <w:t>Al Massira</w:t>
            </w:r>
            <w:r w:rsidRPr="00C12375">
              <w:rPr>
                <w:rFonts w:asciiTheme="minorHAnsi" w:hAnsiTheme="minorHAnsi" w:cstheme="minorHAnsi"/>
                <w:szCs w:val="20"/>
              </w:rPr>
              <w:t xml:space="preserve"> se trouve dans une zone urbanisée escompte de tout patrimoine culturel.</w:t>
            </w:r>
          </w:p>
        </w:tc>
      </w:tr>
      <w:tr w:rsidR="008637EF" w:rsidRPr="00C12375" w14:paraId="5CAEA760" w14:textId="77777777" w:rsidTr="00737967">
        <w:tc>
          <w:tcPr>
            <w:cnfStyle w:val="001000000000" w:firstRow="0" w:lastRow="0" w:firstColumn="1" w:lastColumn="0" w:oddVBand="0" w:evenVBand="0" w:oddHBand="0" w:evenHBand="0" w:firstRowFirstColumn="0" w:firstRowLastColumn="0" w:lastRowFirstColumn="0" w:lastRowLastColumn="0"/>
            <w:tcW w:w="0" w:type="auto"/>
          </w:tcPr>
          <w:p w14:paraId="49C0162F" w14:textId="77777777" w:rsidR="008637EF" w:rsidRPr="00C12375" w:rsidRDefault="008637EF" w:rsidP="005A7661">
            <w:pPr>
              <w:spacing w:after="160" w:line="259" w:lineRule="auto"/>
              <w:rPr>
                <w:rFonts w:asciiTheme="minorHAnsi" w:hAnsiTheme="minorHAnsi" w:cstheme="minorHAnsi"/>
                <w:b w:val="0"/>
                <w:bCs w:val="0"/>
                <w:szCs w:val="20"/>
              </w:rPr>
            </w:pPr>
            <w:r w:rsidRPr="00C12375">
              <w:rPr>
                <w:rFonts w:asciiTheme="minorHAnsi" w:hAnsiTheme="minorHAnsi" w:cstheme="minorHAnsi"/>
                <w:szCs w:val="20"/>
              </w:rPr>
              <w:lastRenderedPageBreak/>
              <w:t>Sauvegarde opérationnelle environnementale et sociale 9 : Intermédiaires financiers</w:t>
            </w:r>
          </w:p>
        </w:tc>
        <w:tc>
          <w:tcPr>
            <w:tcW w:w="0" w:type="auto"/>
          </w:tcPr>
          <w:p w14:paraId="691FF69E" w14:textId="77777777" w:rsidR="008637EF" w:rsidRPr="00C12375" w:rsidRDefault="008637EF" w:rsidP="005A7661">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C12375">
              <w:rPr>
                <w:rFonts w:asciiTheme="minorHAnsi" w:hAnsiTheme="minorHAnsi" w:cstheme="minorHAnsi"/>
                <w:szCs w:val="20"/>
              </w:rPr>
              <w:t>NA</w:t>
            </w:r>
          </w:p>
        </w:tc>
        <w:tc>
          <w:tcPr>
            <w:tcW w:w="0" w:type="auto"/>
          </w:tcPr>
          <w:p w14:paraId="0A44FAAC" w14:textId="77777777" w:rsidR="008637EF" w:rsidRPr="00C12375" w:rsidRDefault="008637EF" w:rsidP="005A766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C12375">
              <w:rPr>
                <w:rFonts w:asciiTheme="minorHAnsi" w:hAnsiTheme="minorHAnsi" w:cstheme="minorHAnsi"/>
                <w:szCs w:val="20"/>
              </w:rPr>
              <w:t>Les sous projets assujettis à la loi 12-03 sont soumis à l’EIE. La Bank Al Maghreb a publié :</w:t>
            </w:r>
          </w:p>
          <w:p w14:paraId="135141D9" w14:textId="77777777" w:rsidR="008637EF" w:rsidRPr="00C12375" w:rsidRDefault="008637EF" w:rsidP="005A766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C12375">
              <w:rPr>
                <w:rFonts w:asciiTheme="minorHAnsi" w:hAnsiTheme="minorHAnsi" w:cstheme="minorHAnsi"/>
                <w:szCs w:val="20"/>
              </w:rPr>
              <w:t>- La directive relative au dispositif de gestion des risques financiers lié au changement climatique et à l’environnement ;</w:t>
            </w:r>
          </w:p>
          <w:p w14:paraId="2F57DF80" w14:textId="77777777" w:rsidR="008637EF" w:rsidRPr="00C12375" w:rsidRDefault="008637EF" w:rsidP="005A7661">
            <w:pPr>
              <w:spacing w:after="160" w:line="259"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C12375">
              <w:rPr>
                <w:rFonts w:asciiTheme="minorHAnsi" w:hAnsiTheme="minorHAnsi" w:cstheme="minorHAnsi"/>
                <w:szCs w:val="20"/>
              </w:rPr>
              <w:t>- La recommandation relative à la prise en compte de l’aspect genre dans les établissements de crédits</w:t>
            </w:r>
          </w:p>
        </w:tc>
        <w:tc>
          <w:tcPr>
            <w:tcW w:w="0" w:type="auto"/>
          </w:tcPr>
          <w:p w14:paraId="5925F7C8" w14:textId="77777777" w:rsidR="008637EF" w:rsidRPr="00C12375" w:rsidRDefault="008637EF" w:rsidP="005A766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C12375">
              <w:rPr>
                <w:rFonts w:asciiTheme="minorHAnsi" w:hAnsiTheme="minorHAnsi" w:cstheme="minorHAnsi"/>
                <w:szCs w:val="20"/>
              </w:rPr>
              <w:t>A la différence des exigences de la NES9, la loi nationale n’exige pas la conduite d’EIE de la part des institutions financières.</w:t>
            </w:r>
          </w:p>
          <w:p w14:paraId="209F9C09" w14:textId="77777777" w:rsidR="008637EF" w:rsidRPr="00C12375" w:rsidRDefault="008637EF" w:rsidP="005A7661">
            <w:pPr>
              <w:spacing w:after="160" w:line="259"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C12375">
              <w:rPr>
                <w:rFonts w:asciiTheme="minorHAnsi" w:hAnsiTheme="minorHAnsi" w:cstheme="minorHAnsi"/>
                <w:szCs w:val="20"/>
              </w:rPr>
              <w:t xml:space="preserve">Certaines institutions financières (certaines banques commerciales et l’Initiative nationale pour le Développement humain/ INDH) qui financent ou garantissent des crédits ont des expériences de coopération), technique et financière avec les </w:t>
            </w:r>
            <w:r w:rsidRPr="00C12375">
              <w:rPr>
                <w:rFonts w:asciiTheme="minorHAnsi" w:hAnsiTheme="minorHAnsi" w:cstheme="minorHAnsi"/>
                <w:szCs w:val="20"/>
              </w:rPr>
              <w:lastRenderedPageBreak/>
              <w:t>bailleurs de fonds internationaux qui exigent la mise en place d’un SGES. Ces expériences restent généralement limitées aux financements par les bailleurs de fonds internationaux et ne sont pas généralisées sur tout le portefeuille de projets.</w:t>
            </w:r>
          </w:p>
        </w:tc>
        <w:tc>
          <w:tcPr>
            <w:tcW w:w="3368" w:type="dxa"/>
          </w:tcPr>
          <w:p w14:paraId="2631B9B9" w14:textId="77777777" w:rsidR="008637EF" w:rsidRPr="00C12375" w:rsidRDefault="008637EF" w:rsidP="005A7661">
            <w:pPr>
              <w:spacing w:after="160" w:line="259"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C12375">
              <w:rPr>
                <w:rFonts w:asciiTheme="minorHAnsi" w:hAnsiTheme="minorHAnsi" w:cstheme="minorHAnsi"/>
                <w:szCs w:val="20"/>
              </w:rPr>
              <w:lastRenderedPageBreak/>
              <w:t>RAS</w:t>
            </w:r>
          </w:p>
        </w:tc>
      </w:tr>
      <w:tr w:rsidR="008637EF" w:rsidRPr="00C12375" w14:paraId="734CD22F" w14:textId="77777777" w:rsidTr="00737967">
        <w:tc>
          <w:tcPr>
            <w:cnfStyle w:val="001000000000" w:firstRow="0" w:lastRow="0" w:firstColumn="1" w:lastColumn="0" w:oddVBand="0" w:evenVBand="0" w:oddHBand="0" w:evenHBand="0" w:firstRowFirstColumn="0" w:firstRowLastColumn="0" w:lastRowFirstColumn="0" w:lastRowLastColumn="0"/>
            <w:tcW w:w="0" w:type="auto"/>
          </w:tcPr>
          <w:p w14:paraId="3357FE6B" w14:textId="77777777" w:rsidR="008637EF" w:rsidRPr="00C12375" w:rsidRDefault="008637EF" w:rsidP="005A7661">
            <w:pPr>
              <w:spacing w:after="160" w:line="259" w:lineRule="auto"/>
              <w:rPr>
                <w:rFonts w:asciiTheme="minorHAnsi" w:hAnsiTheme="minorHAnsi" w:cstheme="minorHAnsi"/>
                <w:b w:val="0"/>
                <w:bCs w:val="0"/>
                <w:szCs w:val="20"/>
              </w:rPr>
            </w:pPr>
            <w:r w:rsidRPr="00C12375">
              <w:rPr>
                <w:rFonts w:asciiTheme="minorHAnsi" w:hAnsiTheme="minorHAnsi" w:cstheme="minorHAnsi"/>
                <w:szCs w:val="20"/>
              </w:rPr>
              <w:lastRenderedPageBreak/>
              <w:t>Sauvegarde opérationnelle environnementale et sociale 10 : Engagement des parties prenantes et diffusion de l’information</w:t>
            </w:r>
          </w:p>
        </w:tc>
        <w:tc>
          <w:tcPr>
            <w:tcW w:w="0" w:type="auto"/>
          </w:tcPr>
          <w:p w14:paraId="51C821F7" w14:textId="77777777" w:rsidR="008637EF" w:rsidRPr="00C12375" w:rsidRDefault="008637EF" w:rsidP="005A7661">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C12375">
              <w:rPr>
                <w:rFonts w:asciiTheme="minorHAnsi" w:hAnsiTheme="minorHAnsi" w:cstheme="minorHAnsi"/>
                <w:szCs w:val="20"/>
              </w:rPr>
              <w:t>Oui</w:t>
            </w:r>
          </w:p>
        </w:tc>
        <w:tc>
          <w:tcPr>
            <w:tcW w:w="0" w:type="auto"/>
          </w:tcPr>
          <w:p w14:paraId="05CBEB6F" w14:textId="77777777" w:rsidR="008637EF" w:rsidRDefault="008637EF" w:rsidP="005A7661">
            <w:pPr>
              <w:spacing w:after="160" w:line="259"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C12375">
              <w:rPr>
                <w:rFonts w:asciiTheme="minorHAnsi" w:hAnsiTheme="minorHAnsi" w:cstheme="minorHAnsi"/>
                <w:szCs w:val="20"/>
              </w:rPr>
              <w:t xml:space="preserve">La Constitution de 2011 du Royaume du Maroc fournit un cadre pour la démocratie participative. Elle reconnaît le rôle des organisations de la société civile dans l'élaboration, la mise en œuvre et l'évaluation des politiques publiques, et elle exige que le gouvernement crée des opportunités pour le dialogue et une participation significative. Également, la Constitution consacre les principes d’équité et de non-discrimination, l’égalité femme-homme et l’inclusion des personnes à besoins spécifiques. </w:t>
            </w:r>
          </w:p>
          <w:p w14:paraId="7B13A79C" w14:textId="77777777" w:rsidR="008637EF" w:rsidRPr="00C12375" w:rsidRDefault="008637EF" w:rsidP="005A7661">
            <w:pPr>
              <w:spacing w:after="160" w:line="259"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C12375">
              <w:rPr>
                <w:rFonts w:asciiTheme="minorHAnsi" w:hAnsiTheme="minorHAnsi" w:cstheme="minorHAnsi"/>
                <w:szCs w:val="20"/>
              </w:rPr>
              <w:t xml:space="preserve">La loi instaure l’enquête publique et la consultation publique comme moyens de divulgation des informations/impacts du projet au grand publique. Par ailleurs, la loi stipule que les collectivités locales doivent garantir la transparence dans la gestion des affaires publiques. Les citoyens ont le droit </w:t>
            </w:r>
            <w:r w:rsidRPr="00C12375">
              <w:rPr>
                <w:rFonts w:asciiTheme="minorHAnsi" w:hAnsiTheme="minorHAnsi" w:cstheme="minorHAnsi"/>
                <w:szCs w:val="20"/>
              </w:rPr>
              <w:lastRenderedPageBreak/>
              <w:t>d'accéder à l'information concernant les activités communales. Les réunions du conseil communal sont généralement publiques, et les citoyens ont le droit de s'exprimer et de faire des suggestions. La loi prévoit l'organisation de consultations publiques sur des questions d'intérêt local. La loi encourage la participation des femmes dans les organes décisionnels locaux et prévoit des mesures pour favoriser leur représentation équitable.</w:t>
            </w:r>
          </w:p>
        </w:tc>
        <w:tc>
          <w:tcPr>
            <w:tcW w:w="0" w:type="auto"/>
          </w:tcPr>
          <w:p w14:paraId="3C1204E8" w14:textId="77777777" w:rsidR="008637EF" w:rsidRPr="00C12375" w:rsidRDefault="008637EF" w:rsidP="005A766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C12375">
              <w:rPr>
                <w:rFonts w:asciiTheme="minorHAnsi" w:hAnsiTheme="minorHAnsi" w:cstheme="minorHAnsi"/>
                <w:szCs w:val="20"/>
              </w:rPr>
              <w:lastRenderedPageBreak/>
              <w:t>Les décrets d’application de la loi qui instaure l’enquête publique et la consultation publique ne sont pas encore publiés. Toutes les parties prenantes ne sont pas toujours correctement identifiées dès le début d’un projet, ce qui peut entraîner des omissions importantes.</w:t>
            </w:r>
          </w:p>
          <w:p w14:paraId="1A530E3A" w14:textId="77777777" w:rsidR="008637EF" w:rsidRPr="00C12375" w:rsidRDefault="008637EF" w:rsidP="005A766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C12375">
              <w:rPr>
                <w:rFonts w:asciiTheme="minorHAnsi" w:hAnsiTheme="minorHAnsi" w:cstheme="minorHAnsi"/>
                <w:szCs w:val="20"/>
              </w:rPr>
              <w:t>La participation des parties peut être limitée à des consultations formelles sans véritable engagement ou prise en compte de leurs avis dans les décisions finales.</w:t>
            </w:r>
          </w:p>
          <w:p w14:paraId="7F5587A8" w14:textId="77777777" w:rsidR="008637EF" w:rsidRPr="00C12375" w:rsidRDefault="008637EF" w:rsidP="005A766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C12375">
              <w:rPr>
                <w:rFonts w:asciiTheme="minorHAnsi" w:hAnsiTheme="minorHAnsi" w:cstheme="minorHAnsi"/>
                <w:szCs w:val="20"/>
              </w:rPr>
              <w:t>L’enquête publique n’est pas systématiquement exigée pour tous les projets.</w:t>
            </w:r>
          </w:p>
          <w:p w14:paraId="0F4227E7" w14:textId="77777777" w:rsidR="008637EF" w:rsidRPr="00C12375" w:rsidRDefault="008637EF" w:rsidP="005A7661">
            <w:pPr>
              <w:spacing w:after="160" w:line="259"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C12375">
              <w:rPr>
                <w:rFonts w:asciiTheme="minorHAnsi" w:hAnsiTheme="minorHAnsi" w:cstheme="minorHAnsi"/>
                <w:szCs w:val="20"/>
              </w:rPr>
              <w:t xml:space="preserve">Les informations sur les projets souvent communiquées tardivement et pas </w:t>
            </w:r>
            <w:r w:rsidRPr="00C12375">
              <w:rPr>
                <w:rFonts w:asciiTheme="minorHAnsi" w:hAnsiTheme="minorHAnsi" w:cstheme="minorHAnsi"/>
                <w:szCs w:val="20"/>
              </w:rPr>
              <w:lastRenderedPageBreak/>
              <w:t>toujours diffusées de manière transparente et accessible. Les canaux de communication utilisés ne sont pas toujours adaptés pour atteindre toutes les parties impliquées</w:t>
            </w:r>
          </w:p>
        </w:tc>
        <w:tc>
          <w:tcPr>
            <w:tcW w:w="3368" w:type="dxa"/>
          </w:tcPr>
          <w:p w14:paraId="780183BC" w14:textId="77777777" w:rsidR="008637EF" w:rsidRPr="00C12375" w:rsidRDefault="008637EF" w:rsidP="005A766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C12375">
              <w:rPr>
                <w:rFonts w:asciiTheme="minorHAnsi" w:hAnsiTheme="minorHAnsi" w:cstheme="minorHAnsi"/>
                <w:szCs w:val="20"/>
              </w:rPr>
              <w:lastRenderedPageBreak/>
              <w:t>Par rapport à la SO 10, les écarts peuvent être considérés minimes pour les projets à risque E&amp;S faible à modéré. Quelques ajustements sont requis pour les projets à risque élevé à très élevé.</w:t>
            </w:r>
          </w:p>
          <w:p w14:paraId="6D27B3B0" w14:textId="77777777" w:rsidR="008637EF" w:rsidRPr="00C12375" w:rsidRDefault="008637EF" w:rsidP="005A766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C12375">
              <w:rPr>
                <w:rFonts w:asciiTheme="minorHAnsi" w:hAnsiTheme="minorHAnsi" w:cstheme="minorHAnsi"/>
                <w:szCs w:val="20"/>
              </w:rPr>
              <w:t>- Elaborer et mettre en œuvre un plan de mobilisation des parties prenantes (PMPP) conformément aux exigences de la SO 10 (ce plan devra être divulgué le plus tôt possible pendant la phase de préparation d’un projet).</w:t>
            </w:r>
          </w:p>
          <w:p w14:paraId="27255276" w14:textId="77777777" w:rsidR="008637EF" w:rsidRPr="00C12375" w:rsidRDefault="008637EF" w:rsidP="005A766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C12375">
              <w:rPr>
                <w:rFonts w:asciiTheme="minorHAnsi" w:hAnsiTheme="minorHAnsi" w:cstheme="minorHAnsi"/>
                <w:szCs w:val="20"/>
              </w:rPr>
              <w:t xml:space="preserve">- Apporter des amendements aux réglementations actuelles concernant l'évaluation environnementale pour y inclure l’analyse sommaire des parties prenantes et l’organisation d’une consultation publique inclusive pour </w:t>
            </w:r>
            <w:r w:rsidRPr="00C12375">
              <w:rPr>
                <w:rFonts w:asciiTheme="minorHAnsi" w:hAnsiTheme="minorHAnsi" w:cstheme="minorHAnsi"/>
                <w:szCs w:val="20"/>
              </w:rPr>
              <w:lastRenderedPageBreak/>
              <w:t>informer et recueillir les avis des parties prenantes.</w:t>
            </w:r>
          </w:p>
          <w:p w14:paraId="5DD94584" w14:textId="77777777" w:rsidR="008637EF" w:rsidRPr="00C12375" w:rsidRDefault="008637EF" w:rsidP="005A7661">
            <w:pPr>
              <w:spacing w:after="160" w:line="259"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C12375">
              <w:rPr>
                <w:rFonts w:asciiTheme="minorHAnsi" w:hAnsiTheme="minorHAnsi" w:cstheme="minorHAnsi"/>
                <w:szCs w:val="20"/>
              </w:rPr>
              <w:t>- Conformément aux exigences de la SO 10, tous les moyens disponibles devront être utilisés pour diffuser les informations sur le projet pour permettre aux parties prenantes de comprendre les risques et les effets potentiels et organiser des consultations approfondies au fur et à mesure de l’avancement du projet.</w:t>
            </w:r>
          </w:p>
        </w:tc>
      </w:tr>
    </w:tbl>
    <w:p w14:paraId="6528513A" w14:textId="77777777" w:rsidR="008637EF" w:rsidRDefault="008637EF" w:rsidP="008637EF"/>
    <w:p w14:paraId="56C11D86" w14:textId="77777777" w:rsidR="008637EF" w:rsidRDefault="008637EF" w:rsidP="008637EF">
      <w:pPr>
        <w:spacing w:before="0" w:after="0"/>
      </w:pPr>
    </w:p>
    <w:p w14:paraId="49967665" w14:textId="77777777" w:rsidR="008637EF" w:rsidRDefault="008637EF">
      <w:pPr>
        <w:numPr>
          <w:ilvl w:val="0"/>
          <w:numId w:val="9"/>
        </w:numPr>
        <w:spacing w:before="0" w:after="0"/>
        <w:ind w:left="1097"/>
        <w:sectPr w:rsidR="008637EF" w:rsidSect="008637EF">
          <w:headerReference w:type="default" r:id="rId27"/>
          <w:footerReference w:type="default" r:id="rId28"/>
          <w:pgSz w:w="16838" w:h="11906" w:orient="landscape" w:code="9"/>
          <w:pgMar w:top="1418" w:right="1418" w:bottom="1418" w:left="1276" w:header="680" w:footer="680" w:gutter="0"/>
          <w:cols w:space="708"/>
          <w:docGrid w:linePitch="360"/>
        </w:sectPr>
      </w:pPr>
    </w:p>
    <w:p w14:paraId="2C48DCEE" w14:textId="77777777" w:rsidR="008637EF" w:rsidRDefault="008637EF" w:rsidP="008637EF">
      <w:pPr>
        <w:spacing w:before="0" w:after="0"/>
      </w:pPr>
    </w:p>
    <w:p w14:paraId="16AD0AC7" w14:textId="77777777" w:rsidR="008637EF" w:rsidRPr="00B9329B" w:rsidRDefault="008637EF" w:rsidP="008637EF">
      <w:pPr>
        <w:pStyle w:val="Title2"/>
        <w:spacing w:before="120" w:after="120"/>
      </w:pPr>
      <w:bookmarkStart w:id="92" w:name="_Toc214025174"/>
      <w:bookmarkStart w:id="93" w:name="_Toc214025175"/>
      <w:bookmarkStart w:id="94" w:name="_Toc214025176"/>
      <w:bookmarkStart w:id="95" w:name="_Toc214025177"/>
      <w:bookmarkStart w:id="96" w:name="_Toc214025178"/>
      <w:bookmarkStart w:id="97" w:name="_Toc214025179"/>
      <w:bookmarkStart w:id="98" w:name="_Toc214025180"/>
      <w:bookmarkStart w:id="99" w:name="_Toc214025181"/>
      <w:bookmarkStart w:id="100" w:name="_Toc214025182"/>
      <w:bookmarkStart w:id="101" w:name="_Toc214025183"/>
      <w:bookmarkStart w:id="102" w:name="_Toc214025184"/>
      <w:bookmarkStart w:id="103" w:name="_Toc214025185"/>
      <w:bookmarkStart w:id="104" w:name="_Toc214025186"/>
      <w:bookmarkStart w:id="105" w:name="_Toc214025187"/>
      <w:bookmarkStart w:id="106" w:name="_Toc214025188"/>
      <w:bookmarkStart w:id="107" w:name="_Toc214025189"/>
      <w:bookmarkStart w:id="108" w:name="_Toc214025190"/>
      <w:bookmarkStart w:id="109" w:name="_Toc214025191"/>
      <w:bookmarkStart w:id="110" w:name="_Toc214025192"/>
      <w:bookmarkStart w:id="111" w:name="_Toc214025193"/>
      <w:bookmarkStart w:id="112" w:name="_Toc214025194"/>
      <w:bookmarkStart w:id="113" w:name="_Toc214025195"/>
      <w:bookmarkStart w:id="114" w:name="_Toc214025196"/>
      <w:bookmarkStart w:id="115" w:name="_Toc214025197"/>
      <w:bookmarkStart w:id="116" w:name="_Toc214025198"/>
      <w:bookmarkStart w:id="117" w:name="_Toc214025199"/>
      <w:bookmarkStart w:id="118" w:name="_Toc214025200"/>
      <w:bookmarkStart w:id="119" w:name="_Toc214025201"/>
      <w:bookmarkStart w:id="120" w:name="_Toc214025202"/>
      <w:bookmarkStart w:id="121" w:name="_Toc214025203"/>
      <w:bookmarkStart w:id="122" w:name="_Toc214025204"/>
      <w:bookmarkStart w:id="123" w:name="_Toc214025205"/>
      <w:bookmarkStart w:id="124" w:name="_Toc214025206"/>
      <w:bookmarkStart w:id="125" w:name="_Toc214025207"/>
      <w:bookmarkStart w:id="126" w:name="_Toc214025208"/>
      <w:bookmarkStart w:id="127" w:name="_Toc214025209"/>
      <w:bookmarkStart w:id="128" w:name="_Toc214025210"/>
      <w:bookmarkStart w:id="129" w:name="_Toc214025211"/>
      <w:bookmarkStart w:id="130" w:name="_Toc214025212"/>
      <w:bookmarkStart w:id="131" w:name="_Toc214025213"/>
      <w:bookmarkStart w:id="132" w:name="_Toc214025214"/>
      <w:bookmarkStart w:id="133" w:name="_Toc214025215"/>
      <w:bookmarkStart w:id="134" w:name="_Toc214025216"/>
      <w:bookmarkStart w:id="135" w:name="_Toc214025217"/>
      <w:bookmarkStart w:id="136" w:name="_Toc214025218"/>
      <w:bookmarkStart w:id="137" w:name="_Toc214025219"/>
      <w:bookmarkStart w:id="138" w:name="_Toc214025220"/>
      <w:bookmarkStart w:id="139" w:name="_Toc214025221"/>
      <w:bookmarkStart w:id="140" w:name="_Toc214025222"/>
      <w:bookmarkStart w:id="141" w:name="_Toc214025223"/>
      <w:bookmarkStart w:id="142" w:name="_Toc214025224"/>
      <w:bookmarkStart w:id="143" w:name="_Toc214025225"/>
      <w:bookmarkStart w:id="144" w:name="_Toc214025226"/>
      <w:bookmarkStart w:id="145" w:name="_Toc214025227"/>
      <w:bookmarkStart w:id="146" w:name="_Toc214025228"/>
      <w:bookmarkStart w:id="147" w:name="_Toc214025229"/>
      <w:bookmarkStart w:id="148" w:name="_Toc214025230"/>
      <w:bookmarkStart w:id="149" w:name="_Toc214025231"/>
      <w:bookmarkStart w:id="150" w:name="_Toc214025232"/>
      <w:bookmarkStart w:id="151" w:name="_Toc214025233"/>
      <w:bookmarkStart w:id="152" w:name="_Toc214025234"/>
      <w:bookmarkStart w:id="153" w:name="_Toc214025235"/>
      <w:bookmarkStart w:id="154" w:name="_Toc214025236"/>
      <w:bookmarkStart w:id="155" w:name="_Toc214025237"/>
      <w:bookmarkStart w:id="156" w:name="_Toc214025238"/>
      <w:bookmarkStart w:id="157" w:name="_Toc214025239"/>
      <w:bookmarkStart w:id="158" w:name="_Toc214025240"/>
      <w:bookmarkStart w:id="159" w:name="_Toc214025241"/>
      <w:bookmarkStart w:id="160" w:name="_Toc214025242"/>
      <w:bookmarkStart w:id="161" w:name="_Toc214025243"/>
      <w:bookmarkStart w:id="162" w:name="_Toc214025244"/>
      <w:bookmarkStart w:id="163" w:name="_Toc214025245"/>
      <w:bookmarkStart w:id="164" w:name="_Toc214025246"/>
      <w:bookmarkStart w:id="165" w:name="_Toc214025247"/>
      <w:bookmarkStart w:id="166" w:name="_Toc214025248"/>
      <w:bookmarkStart w:id="167" w:name="_Toc214025249"/>
      <w:bookmarkStart w:id="168" w:name="_Toc214025250"/>
      <w:bookmarkStart w:id="169" w:name="_Toc214025251"/>
      <w:bookmarkStart w:id="170" w:name="_Toc214025252"/>
      <w:bookmarkStart w:id="171" w:name="_Toc214025253"/>
      <w:bookmarkStart w:id="172" w:name="_Toc214025254"/>
      <w:bookmarkStart w:id="173" w:name="_Toc214025255"/>
      <w:bookmarkStart w:id="174" w:name="_Toc214025256"/>
      <w:bookmarkStart w:id="175" w:name="_Toc214025257"/>
      <w:bookmarkStart w:id="176" w:name="_Toc214025258"/>
      <w:bookmarkStart w:id="177" w:name="_Toc214025259"/>
      <w:bookmarkStart w:id="178" w:name="_Toc214025260"/>
      <w:bookmarkStart w:id="179" w:name="_Toc214025261"/>
      <w:bookmarkStart w:id="180" w:name="_Toc215131808"/>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r w:rsidRPr="00B9329B">
        <w:t>Conventions internationales</w:t>
      </w:r>
      <w:bookmarkEnd w:id="180"/>
    </w:p>
    <w:p w14:paraId="07832F6A" w14:textId="77777777" w:rsidR="008637EF" w:rsidRDefault="008637EF" w:rsidP="008637EF">
      <w:pPr>
        <w:pStyle w:val="Title3"/>
      </w:pPr>
      <w:bookmarkStart w:id="181" w:name="_Toc215131809"/>
      <w:r>
        <w:t>Conventions environnementales</w:t>
      </w:r>
      <w:bookmarkEnd w:id="181"/>
    </w:p>
    <w:p w14:paraId="4EBEB50C" w14:textId="77777777" w:rsidR="008637EF" w:rsidRPr="00AD5A79" w:rsidRDefault="008637EF" w:rsidP="008637EF">
      <w:r w:rsidRPr="00AD5A79">
        <w:t>S’agissant de l’apport du Maroc à la protection de l‘environnement au niveau international, il faut souligner que ce dernier affiche une ferme volonté politique de coopération en vue de protéger et gérer l’environnement et participe activement à l‘œuvre de codification du droit international de l‘environnement.</w:t>
      </w:r>
    </w:p>
    <w:p w14:paraId="325AE49E" w14:textId="77777777" w:rsidR="00083923" w:rsidRDefault="008637EF" w:rsidP="008637EF">
      <w:pPr>
        <w:sectPr w:rsidR="00083923" w:rsidSect="004637C7">
          <w:headerReference w:type="default" r:id="rId29"/>
          <w:footerReference w:type="default" r:id="rId30"/>
          <w:pgSz w:w="11906" w:h="16838"/>
          <w:pgMar w:top="1701" w:right="1417" w:bottom="1276" w:left="1417" w:header="680" w:footer="680" w:gutter="0"/>
          <w:cols w:space="708"/>
          <w:docGrid w:linePitch="360"/>
        </w:sectPr>
      </w:pPr>
      <w:r w:rsidRPr="00AD5A79">
        <w:t xml:space="preserve">En ce qui concerne l’arsenal conventionnel environnemental liant le Maroc à l’international, la Direction de la Réglementation et du Contrôle du Ministère de l‘Environnement a recensé environ quatre-vingts conventions signées, dont soixante et une sont signées et ratifiées et onze sont seulement signées. </w:t>
      </w:r>
    </w:p>
    <w:p w14:paraId="4695DF21" w14:textId="6CFF68E5" w:rsidR="008637EF" w:rsidRDefault="008637EF" w:rsidP="008637EF">
      <w:pPr>
        <w:pStyle w:val="Lgende"/>
        <w:keepNext/>
      </w:pPr>
      <w:bookmarkStart w:id="182" w:name="_Toc213404340"/>
      <w:r>
        <w:lastRenderedPageBreak/>
        <w:t xml:space="preserve">Tableau </w:t>
      </w:r>
      <w:r>
        <w:fldChar w:fldCharType="begin"/>
      </w:r>
      <w:r>
        <w:instrText xml:space="preserve"> SEQ Tableau \* ARABIC </w:instrText>
      </w:r>
      <w:r>
        <w:fldChar w:fldCharType="separate"/>
      </w:r>
      <w:r w:rsidR="00274E71">
        <w:rPr>
          <w:noProof/>
        </w:rPr>
        <w:t>17</w:t>
      </w:r>
      <w:r>
        <w:fldChar w:fldCharType="end"/>
      </w:r>
      <w:r>
        <w:rPr>
          <w:lang w:val="fr-FR"/>
        </w:rPr>
        <w:t xml:space="preserve"> : C</w:t>
      </w:r>
      <w:r w:rsidRPr="004B12B6">
        <w:rPr>
          <w:lang w:val="fr-FR"/>
        </w:rPr>
        <w:t>onventions internationales environnementales ratifiées par le Maroc et leur applicabilité au projet</w:t>
      </w:r>
      <w:bookmarkEnd w:id="182"/>
    </w:p>
    <w:tbl>
      <w:tblPr>
        <w:tblStyle w:val="TableauGrille1Clair-Accentuation111"/>
        <w:tblW w:w="0" w:type="auto"/>
        <w:tblLook w:val="04A0" w:firstRow="1" w:lastRow="0" w:firstColumn="1" w:lastColumn="0" w:noHBand="0" w:noVBand="1"/>
      </w:tblPr>
      <w:tblGrid>
        <w:gridCol w:w="3439"/>
        <w:gridCol w:w="2233"/>
        <w:gridCol w:w="3390"/>
      </w:tblGrid>
      <w:tr w:rsidR="008637EF" w:rsidRPr="00A67F24" w14:paraId="48B721B9" w14:textId="77777777" w:rsidTr="00083923">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0" w:type="auto"/>
            <w:hideMark/>
          </w:tcPr>
          <w:p w14:paraId="7E9DD92A" w14:textId="77777777" w:rsidR="008637EF" w:rsidRPr="00083923" w:rsidRDefault="008637EF" w:rsidP="005A7661">
            <w:pPr>
              <w:rPr>
                <w:b w:val="0"/>
                <w:bCs w:val="0"/>
                <w:color w:val="000000" w:themeColor="text1"/>
              </w:rPr>
            </w:pPr>
            <w:r w:rsidRPr="00083923">
              <w:rPr>
                <w:color w:val="000000" w:themeColor="text1"/>
              </w:rPr>
              <w:t>Convention internationale</w:t>
            </w:r>
          </w:p>
        </w:tc>
        <w:tc>
          <w:tcPr>
            <w:tcW w:w="0" w:type="auto"/>
            <w:hideMark/>
          </w:tcPr>
          <w:p w14:paraId="08A11AD8" w14:textId="77777777" w:rsidR="008637EF" w:rsidRPr="00083923" w:rsidRDefault="008637EF" w:rsidP="005A7661">
            <w:pPr>
              <w:cnfStyle w:val="100000000000" w:firstRow="1" w:lastRow="0" w:firstColumn="0" w:lastColumn="0" w:oddVBand="0" w:evenVBand="0" w:oddHBand="0" w:evenHBand="0" w:firstRowFirstColumn="0" w:firstRowLastColumn="0" w:lastRowFirstColumn="0" w:lastRowLastColumn="0"/>
              <w:rPr>
                <w:b w:val="0"/>
                <w:bCs w:val="0"/>
                <w:color w:val="000000" w:themeColor="text1"/>
              </w:rPr>
            </w:pPr>
            <w:r w:rsidRPr="00083923">
              <w:rPr>
                <w:color w:val="000000" w:themeColor="text1"/>
              </w:rPr>
              <w:t>Domaine couvert</w:t>
            </w:r>
          </w:p>
        </w:tc>
        <w:tc>
          <w:tcPr>
            <w:tcW w:w="0" w:type="auto"/>
            <w:hideMark/>
          </w:tcPr>
          <w:p w14:paraId="278F8A3E" w14:textId="77777777" w:rsidR="008637EF" w:rsidRPr="00083923" w:rsidRDefault="008637EF" w:rsidP="005A7661">
            <w:pPr>
              <w:cnfStyle w:val="100000000000" w:firstRow="1" w:lastRow="0" w:firstColumn="0" w:lastColumn="0" w:oddVBand="0" w:evenVBand="0" w:oddHBand="0" w:evenHBand="0" w:firstRowFirstColumn="0" w:firstRowLastColumn="0" w:lastRowFirstColumn="0" w:lastRowLastColumn="0"/>
              <w:rPr>
                <w:b w:val="0"/>
                <w:bCs w:val="0"/>
                <w:color w:val="000000" w:themeColor="text1"/>
              </w:rPr>
            </w:pPr>
            <w:r w:rsidRPr="00083923">
              <w:rPr>
                <w:color w:val="000000" w:themeColor="text1"/>
              </w:rPr>
              <w:t>Pertinence pour le projet</w:t>
            </w:r>
          </w:p>
        </w:tc>
      </w:tr>
      <w:tr w:rsidR="008637EF" w:rsidRPr="00A67F24" w14:paraId="4428C82F" w14:textId="77777777" w:rsidTr="00083923">
        <w:tc>
          <w:tcPr>
            <w:cnfStyle w:val="001000000000" w:firstRow="0" w:lastRow="0" w:firstColumn="1" w:lastColumn="0" w:oddVBand="0" w:evenVBand="0" w:oddHBand="0" w:evenHBand="0" w:firstRowFirstColumn="0" w:firstRowLastColumn="0" w:lastRowFirstColumn="0" w:lastRowLastColumn="0"/>
            <w:tcW w:w="0" w:type="auto"/>
            <w:hideMark/>
          </w:tcPr>
          <w:p w14:paraId="34958EB3" w14:textId="77777777" w:rsidR="008637EF" w:rsidRPr="00A67F24" w:rsidRDefault="008637EF" w:rsidP="005A7661">
            <w:r w:rsidRPr="00A67F24">
              <w:t>Convention de Ramsar sur les zones humides – ratifiée le 20 octobre 1980</w:t>
            </w:r>
          </w:p>
        </w:tc>
        <w:tc>
          <w:tcPr>
            <w:tcW w:w="0" w:type="auto"/>
            <w:hideMark/>
          </w:tcPr>
          <w:p w14:paraId="6890305B" w14:textId="77777777" w:rsidR="008637EF" w:rsidRPr="00A67F24" w:rsidRDefault="008637EF" w:rsidP="005A7661">
            <w:pPr>
              <w:cnfStyle w:val="000000000000" w:firstRow="0" w:lastRow="0" w:firstColumn="0" w:lastColumn="0" w:oddVBand="0" w:evenVBand="0" w:oddHBand="0" w:evenHBand="0" w:firstRowFirstColumn="0" w:firstRowLastColumn="0" w:lastRowFirstColumn="0" w:lastRowLastColumn="0"/>
            </w:pPr>
            <w:r w:rsidRPr="00A67F24">
              <w:t>Biodiversité – zones humides et avifaune</w:t>
            </w:r>
          </w:p>
        </w:tc>
        <w:tc>
          <w:tcPr>
            <w:tcW w:w="0" w:type="auto"/>
            <w:hideMark/>
          </w:tcPr>
          <w:p w14:paraId="7E9C1043" w14:textId="77DC23C2" w:rsidR="008637EF" w:rsidRPr="00A67F24" w:rsidRDefault="008637EF" w:rsidP="005A7661">
            <w:pPr>
              <w:cnfStyle w:val="000000000000" w:firstRow="0" w:lastRow="0" w:firstColumn="0" w:lastColumn="0" w:oddVBand="0" w:evenVBand="0" w:oddHBand="0" w:evenHBand="0" w:firstRowFirstColumn="0" w:firstRowLastColumn="0" w:lastRowFirstColumn="0" w:lastRowLastColumn="0"/>
            </w:pPr>
            <w:r w:rsidRPr="00A67F24">
              <w:t xml:space="preserve">Pertinente pour la protection des oiseaux migrateurs utilisant les zones humides de la région </w:t>
            </w:r>
            <w:r w:rsidR="00EA3548">
              <w:t>Marrakech Safi</w:t>
            </w:r>
            <w:r w:rsidRPr="00A67F24">
              <w:t>, pouvant interagir avec les couloirs aériens.</w:t>
            </w:r>
          </w:p>
        </w:tc>
      </w:tr>
      <w:tr w:rsidR="008637EF" w:rsidRPr="00A67F24" w14:paraId="032CE9ED" w14:textId="77777777" w:rsidTr="00083923">
        <w:tc>
          <w:tcPr>
            <w:cnfStyle w:val="001000000000" w:firstRow="0" w:lastRow="0" w:firstColumn="1" w:lastColumn="0" w:oddVBand="0" w:evenVBand="0" w:oddHBand="0" w:evenHBand="0" w:firstRowFirstColumn="0" w:firstRowLastColumn="0" w:lastRowFirstColumn="0" w:lastRowLastColumn="0"/>
            <w:tcW w:w="0" w:type="auto"/>
            <w:hideMark/>
          </w:tcPr>
          <w:p w14:paraId="6B949800" w14:textId="77777777" w:rsidR="008637EF" w:rsidRPr="00A67F24" w:rsidRDefault="008637EF" w:rsidP="005A7661">
            <w:r w:rsidRPr="00A67F24">
              <w:t>Convention du patrimoine mondial (UNESCO) – ratifiée le 28 octobre 1975</w:t>
            </w:r>
          </w:p>
        </w:tc>
        <w:tc>
          <w:tcPr>
            <w:tcW w:w="0" w:type="auto"/>
            <w:hideMark/>
          </w:tcPr>
          <w:p w14:paraId="3E982B8A" w14:textId="77777777" w:rsidR="008637EF" w:rsidRPr="00A67F24" w:rsidRDefault="008637EF" w:rsidP="005A7661">
            <w:pPr>
              <w:cnfStyle w:val="000000000000" w:firstRow="0" w:lastRow="0" w:firstColumn="0" w:lastColumn="0" w:oddVBand="0" w:evenVBand="0" w:oddHBand="0" w:evenHBand="0" w:firstRowFirstColumn="0" w:firstRowLastColumn="0" w:lastRowFirstColumn="0" w:lastRowLastColumn="0"/>
            </w:pPr>
            <w:r w:rsidRPr="00A67F24">
              <w:t>Patrimoine culturel et naturel</w:t>
            </w:r>
          </w:p>
        </w:tc>
        <w:tc>
          <w:tcPr>
            <w:tcW w:w="0" w:type="auto"/>
            <w:hideMark/>
          </w:tcPr>
          <w:p w14:paraId="6ECB2A91" w14:textId="77777777" w:rsidR="008637EF" w:rsidRPr="00A67F24" w:rsidRDefault="008637EF" w:rsidP="005A7661">
            <w:pPr>
              <w:cnfStyle w:val="000000000000" w:firstRow="0" w:lastRow="0" w:firstColumn="0" w:lastColumn="0" w:oddVBand="0" w:evenVBand="0" w:oddHBand="0" w:evenHBand="0" w:firstRowFirstColumn="0" w:firstRowLastColumn="0" w:lastRowFirstColumn="0" w:lastRowLastColumn="0"/>
            </w:pPr>
            <w:r w:rsidRPr="00A67F24">
              <w:t>Applicabilité si des sites culturels ou naturels classés se trouvent dans la zone d’influence du projet.</w:t>
            </w:r>
          </w:p>
        </w:tc>
      </w:tr>
      <w:tr w:rsidR="008637EF" w:rsidRPr="00A67F24" w14:paraId="7386699B" w14:textId="77777777" w:rsidTr="00083923">
        <w:tc>
          <w:tcPr>
            <w:cnfStyle w:val="001000000000" w:firstRow="0" w:lastRow="0" w:firstColumn="1" w:lastColumn="0" w:oddVBand="0" w:evenVBand="0" w:oddHBand="0" w:evenHBand="0" w:firstRowFirstColumn="0" w:firstRowLastColumn="0" w:lastRowFirstColumn="0" w:lastRowLastColumn="0"/>
            <w:tcW w:w="0" w:type="auto"/>
            <w:hideMark/>
          </w:tcPr>
          <w:p w14:paraId="6D16D647" w14:textId="77777777" w:rsidR="008637EF" w:rsidRPr="00A67F24" w:rsidRDefault="008637EF" w:rsidP="005A7661">
            <w:r w:rsidRPr="00A67F24">
              <w:t>Convention de Londres sur l’immersion des déchets – ratifiée le 16 février 1976</w:t>
            </w:r>
          </w:p>
        </w:tc>
        <w:tc>
          <w:tcPr>
            <w:tcW w:w="0" w:type="auto"/>
            <w:hideMark/>
          </w:tcPr>
          <w:p w14:paraId="20274FF1" w14:textId="77777777" w:rsidR="008637EF" w:rsidRPr="00A67F24" w:rsidRDefault="008637EF" w:rsidP="005A7661">
            <w:pPr>
              <w:cnfStyle w:val="000000000000" w:firstRow="0" w:lastRow="0" w:firstColumn="0" w:lastColumn="0" w:oddVBand="0" w:evenVBand="0" w:oddHBand="0" w:evenHBand="0" w:firstRowFirstColumn="0" w:firstRowLastColumn="0" w:lastRowFirstColumn="0" w:lastRowLastColumn="0"/>
            </w:pPr>
            <w:r w:rsidRPr="00A67F24">
              <w:t>Pollution marine – immersion des déchets</w:t>
            </w:r>
          </w:p>
        </w:tc>
        <w:tc>
          <w:tcPr>
            <w:tcW w:w="0" w:type="auto"/>
            <w:hideMark/>
          </w:tcPr>
          <w:p w14:paraId="1F329B8E" w14:textId="77777777" w:rsidR="008637EF" w:rsidRPr="00A67F24" w:rsidRDefault="008637EF" w:rsidP="005A7661">
            <w:pPr>
              <w:cnfStyle w:val="000000000000" w:firstRow="0" w:lastRow="0" w:firstColumn="0" w:lastColumn="0" w:oddVBand="0" w:evenVBand="0" w:oddHBand="0" w:evenHBand="0" w:firstRowFirstColumn="0" w:firstRowLastColumn="0" w:lastRowFirstColumn="0" w:lastRowLastColumn="0"/>
            </w:pPr>
            <w:r>
              <w:t xml:space="preserve">Pertinente </w:t>
            </w:r>
            <w:r w:rsidRPr="00A67F24">
              <w:t>: la nécessité de gérer les déchets solides/liquides conformément aux bonnes pratiques et éviter toute élimination non réglementée.</w:t>
            </w:r>
          </w:p>
        </w:tc>
      </w:tr>
      <w:tr w:rsidR="008637EF" w:rsidRPr="00A67F24" w14:paraId="178BCE00" w14:textId="77777777" w:rsidTr="00083923">
        <w:tc>
          <w:tcPr>
            <w:cnfStyle w:val="001000000000" w:firstRow="0" w:lastRow="0" w:firstColumn="1" w:lastColumn="0" w:oddVBand="0" w:evenVBand="0" w:oddHBand="0" w:evenHBand="0" w:firstRowFirstColumn="0" w:firstRowLastColumn="0" w:lastRowFirstColumn="0" w:lastRowLastColumn="0"/>
            <w:tcW w:w="0" w:type="auto"/>
            <w:hideMark/>
          </w:tcPr>
          <w:p w14:paraId="068E430B" w14:textId="77777777" w:rsidR="008637EF" w:rsidRPr="00A67F24" w:rsidRDefault="008637EF" w:rsidP="005A7661">
            <w:r w:rsidRPr="00A67F24">
              <w:t>Convention CITES sur le commerce des espèces menacées – ratifiée le 14 janvier 1976</w:t>
            </w:r>
          </w:p>
        </w:tc>
        <w:tc>
          <w:tcPr>
            <w:tcW w:w="0" w:type="auto"/>
            <w:hideMark/>
          </w:tcPr>
          <w:p w14:paraId="1AAEA77C" w14:textId="77777777" w:rsidR="008637EF" w:rsidRPr="00A67F24" w:rsidRDefault="008637EF" w:rsidP="005A7661">
            <w:pPr>
              <w:cnfStyle w:val="000000000000" w:firstRow="0" w:lastRow="0" w:firstColumn="0" w:lastColumn="0" w:oddVBand="0" w:evenVBand="0" w:oddHBand="0" w:evenHBand="0" w:firstRowFirstColumn="0" w:firstRowLastColumn="0" w:lastRowFirstColumn="0" w:lastRowLastColumn="0"/>
            </w:pPr>
            <w:r w:rsidRPr="00A67F24">
              <w:t>Biodiversité – commerce des espèces</w:t>
            </w:r>
          </w:p>
        </w:tc>
        <w:tc>
          <w:tcPr>
            <w:tcW w:w="0" w:type="auto"/>
            <w:hideMark/>
          </w:tcPr>
          <w:p w14:paraId="395BF326" w14:textId="77777777" w:rsidR="008637EF" w:rsidRPr="00A67F24" w:rsidRDefault="008637EF" w:rsidP="005A7661">
            <w:pPr>
              <w:cnfStyle w:val="000000000000" w:firstRow="0" w:lastRow="0" w:firstColumn="0" w:lastColumn="0" w:oddVBand="0" w:evenVBand="0" w:oddHBand="0" w:evenHBand="0" w:firstRowFirstColumn="0" w:firstRowLastColumn="0" w:lastRowFirstColumn="0" w:lastRowLastColumn="0"/>
            </w:pPr>
            <w:r w:rsidRPr="00A67F24">
              <w:t>Pertinente pour prévenir toute atteinte aux espèces protégées éventuellement présentes dans la zone d’étude.</w:t>
            </w:r>
          </w:p>
        </w:tc>
      </w:tr>
      <w:tr w:rsidR="008637EF" w:rsidRPr="00A67F24" w14:paraId="1F678188" w14:textId="77777777" w:rsidTr="00083923">
        <w:tc>
          <w:tcPr>
            <w:cnfStyle w:val="001000000000" w:firstRow="0" w:lastRow="0" w:firstColumn="1" w:lastColumn="0" w:oddVBand="0" w:evenVBand="0" w:oddHBand="0" w:evenHBand="0" w:firstRowFirstColumn="0" w:firstRowLastColumn="0" w:lastRowFirstColumn="0" w:lastRowLastColumn="0"/>
            <w:tcW w:w="0" w:type="auto"/>
            <w:hideMark/>
          </w:tcPr>
          <w:p w14:paraId="696A9DA1" w14:textId="77777777" w:rsidR="008637EF" w:rsidRPr="00A67F24" w:rsidRDefault="008637EF" w:rsidP="005A7661">
            <w:r w:rsidRPr="00A67F24">
              <w:t>Convention de Bonn (espèces migratrices) – ratifiée le 1er mai 1993</w:t>
            </w:r>
          </w:p>
        </w:tc>
        <w:tc>
          <w:tcPr>
            <w:tcW w:w="0" w:type="auto"/>
            <w:hideMark/>
          </w:tcPr>
          <w:p w14:paraId="3A2E1C34" w14:textId="77777777" w:rsidR="008637EF" w:rsidRPr="00A67F24" w:rsidRDefault="008637EF" w:rsidP="005A7661">
            <w:pPr>
              <w:cnfStyle w:val="000000000000" w:firstRow="0" w:lastRow="0" w:firstColumn="0" w:lastColumn="0" w:oddVBand="0" w:evenVBand="0" w:oddHBand="0" w:evenHBand="0" w:firstRowFirstColumn="0" w:firstRowLastColumn="0" w:lastRowFirstColumn="0" w:lastRowLastColumn="0"/>
            </w:pPr>
            <w:r w:rsidRPr="00A67F24">
              <w:t>Biodiversité – faune migratrice</w:t>
            </w:r>
          </w:p>
        </w:tc>
        <w:tc>
          <w:tcPr>
            <w:tcW w:w="0" w:type="auto"/>
            <w:hideMark/>
          </w:tcPr>
          <w:p w14:paraId="15FCD441" w14:textId="0B6529BF" w:rsidR="008637EF" w:rsidRPr="00A67F24" w:rsidRDefault="008637EF" w:rsidP="005A7661">
            <w:pPr>
              <w:cnfStyle w:val="000000000000" w:firstRow="0" w:lastRow="0" w:firstColumn="0" w:lastColumn="0" w:oddVBand="0" w:evenVBand="0" w:oddHBand="0" w:evenHBand="0" w:firstRowFirstColumn="0" w:firstRowLastColumn="0" w:lastRowFirstColumn="0" w:lastRowLastColumn="0"/>
            </w:pPr>
            <w:r w:rsidRPr="00A67F24">
              <w:t xml:space="preserve">Pertinente en lien avec les flux d’avifaune migratrice dans la région </w:t>
            </w:r>
            <w:r w:rsidR="00EA3548">
              <w:t>Marrakech Safi</w:t>
            </w:r>
            <w:r w:rsidRPr="00A67F24">
              <w:t>.</w:t>
            </w:r>
          </w:p>
        </w:tc>
      </w:tr>
      <w:tr w:rsidR="008637EF" w:rsidRPr="00A67F24" w14:paraId="0692CEBB" w14:textId="77777777" w:rsidTr="00083923">
        <w:tc>
          <w:tcPr>
            <w:cnfStyle w:val="001000000000" w:firstRow="0" w:lastRow="0" w:firstColumn="1" w:lastColumn="0" w:oddVBand="0" w:evenVBand="0" w:oddHBand="0" w:evenHBand="0" w:firstRowFirstColumn="0" w:firstRowLastColumn="0" w:lastRowFirstColumn="0" w:lastRowLastColumn="0"/>
            <w:tcW w:w="0" w:type="auto"/>
            <w:hideMark/>
          </w:tcPr>
          <w:p w14:paraId="60E0EF8F" w14:textId="77777777" w:rsidR="008637EF" w:rsidRPr="00A67F24" w:rsidRDefault="008637EF" w:rsidP="005A7661">
            <w:r w:rsidRPr="00A67F24">
              <w:t>Convention de Vienne sur la couche d’ozone – ratifiée le 21 août 1992 + Protocole de Montréal (ratifié le 21 août 1992)</w:t>
            </w:r>
          </w:p>
        </w:tc>
        <w:tc>
          <w:tcPr>
            <w:tcW w:w="0" w:type="auto"/>
            <w:hideMark/>
          </w:tcPr>
          <w:p w14:paraId="305320C9" w14:textId="77777777" w:rsidR="008637EF" w:rsidRPr="00A67F24" w:rsidRDefault="008637EF" w:rsidP="005A7661">
            <w:pPr>
              <w:cnfStyle w:val="000000000000" w:firstRow="0" w:lastRow="0" w:firstColumn="0" w:lastColumn="0" w:oddVBand="0" w:evenVBand="0" w:oddHBand="0" w:evenHBand="0" w:firstRowFirstColumn="0" w:firstRowLastColumn="0" w:lastRowFirstColumn="0" w:lastRowLastColumn="0"/>
            </w:pPr>
            <w:r w:rsidRPr="00A67F24">
              <w:t>Pollution atmosphérique – substances appauvrissant la couche d’ozone</w:t>
            </w:r>
          </w:p>
        </w:tc>
        <w:tc>
          <w:tcPr>
            <w:tcW w:w="0" w:type="auto"/>
            <w:hideMark/>
          </w:tcPr>
          <w:p w14:paraId="001D7EB6" w14:textId="77777777" w:rsidR="008637EF" w:rsidRPr="00A67F24" w:rsidRDefault="008637EF" w:rsidP="005A7661">
            <w:pPr>
              <w:cnfStyle w:val="000000000000" w:firstRow="0" w:lastRow="0" w:firstColumn="0" w:lastColumn="0" w:oddVBand="0" w:evenVBand="0" w:oddHBand="0" w:evenHBand="0" w:firstRowFirstColumn="0" w:firstRowLastColumn="0" w:lastRowFirstColumn="0" w:lastRowLastColumn="0"/>
            </w:pPr>
            <w:r w:rsidRPr="00A67F24">
              <w:t>Applicabilité via la gestion des fluides frigorigènes et systèmes de climatisation de l’aéroport.</w:t>
            </w:r>
          </w:p>
        </w:tc>
      </w:tr>
      <w:tr w:rsidR="008637EF" w:rsidRPr="00A67F24" w14:paraId="63464B6C" w14:textId="77777777" w:rsidTr="00083923">
        <w:tc>
          <w:tcPr>
            <w:cnfStyle w:val="001000000000" w:firstRow="0" w:lastRow="0" w:firstColumn="1" w:lastColumn="0" w:oddVBand="0" w:evenVBand="0" w:oddHBand="0" w:evenHBand="0" w:firstRowFirstColumn="0" w:firstRowLastColumn="0" w:lastRowFirstColumn="0" w:lastRowLastColumn="0"/>
            <w:tcW w:w="0" w:type="auto"/>
            <w:hideMark/>
          </w:tcPr>
          <w:p w14:paraId="4911A1C5" w14:textId="77777777" w:rsidR="008637EF" w:rsidRPr="00A67F24" w:rsidRDefault="008637EF" w:rsidP="005A7661">
            <w:r w:rsidRPr="00A67F24">
              <w:t>Convention de Bâle sur les déchets dangereux – ratifiée le 17 décembre 1995</w:t>
            </w:r>
          </w:p>
        </w:tc>
        <w:tc>
          <w:tcPr>
            <w:tcW w:w="0" w:type="auto"/>
            <w:hideMark/>
          </w:tcPr>
          <w:p w14:paraId="4477CF81" w14:textId="77777777" w:rsidR="008637EF" w:rsidRPr="00A67F24" w:rsidRDefault="008637EF" w:rsidP="005A7661">
            <w:pPr>
              <w:cnfStyle w:val="000000000000" w:firstRow="0" w:lastRow="0" w:firstColumn="0" w:lastColumn="0" w:oddVBand="0" w:evenVBand="0" w:oddHBand="0" w:evenHBand="0" w:firstRowFirstColumn="0" w:firstRowLastColumn="0" w:lastRowFirstColumn="0" w:lastRowLastColumn="0"/>
            </w:pPr>
            <w:r w:rsidRPr="00A67F24">
              <w:t>Déchets dangereux et transferts</w:t>
            </w:r>
          </w:p>
        </w:tc>
        <w:tc>
          <w:tcPr>
            <w:tcW w:w="0" w:type="auto"/>
            <w:hideMark/>
          </w:tcPr>
          <w:p w14:paraId="43605FC1" w14:textId="77777777" w:rsidR="008637EF" w:rsidRPr="00A67F24" w:rsidRDefault="008637EF" w:rsidP="005A7661">
            <w:pPr>
              <w:cnfStyle w:val="000000000000" w:firstRow="0" w:lastRow="0" w:firstColumn="0" w:lastColumn="0" w:oddVBand="0" w:evenVBand="0" w:oddHBand="0" w:evenHBand="0" w:firstRowFirstColumn="0" w:firstRowLastColumn="0" w:lastRowFirstColumn="0" w:lastRowLastColumn="0"/>
            </w:pPr>
            <w:r w:rsidRPr="00A67F24">
              <w:t>Pertinente pour la gestion des huiles usées, solvants, batteries et autres produits dangereux générés par le chantier et l’exploitation.</w:t>
            </w:r>
          </w:p>
        </w:tc>
      </w:tr>
      <w:tr w:rsidR="008637EF" w:rsidRPr="00A67F24" w14:paraId="474BCD14" w14:textId="77777777" w:rsidTr="00083923">
        <w:tc>
          <w:tcPr>
            <w:cnfStyle w:val="001000000000" w:firstRow="0" w:lastRow="0" w:firstColumn="1" w:lastColumn="0" w:oddVBand="0" w:evenVBand="0" w:oddHBand="0" w:evenHBand="0" w:firstRowFirstColumn="0" w:firstRowLastColumn="0" w:lastRowFirstColumn="0" w:lastRowLastColumn="0"/>
            <w:tcW w:w="0" w:type="auto"/>
            <w:hideMark/>
          </w:tcPr>
          <w:p w14:paraId="1AC8660C" w14:textId="77777777" w:rsidR="008637EF" w:rsidRPr="00A67F24" w:rsidRDefault="008637EF" w:rsidP="005A7661">
            <w:r w:rsidRPr="00A67F24">
              <w:t>Convention-cadre des Nations Unies sur les changements climatiques (CCNUCC) – ratifiée le 28 décembre 1995 + Accord de Paris (ratifié le 21 septembre 2016)</w:t>
            </w:r>
          </w:p>
        </w:tc>
        <w:tc>
          <w:tcPr>
            <w:tcW w:w="0" w:type="auto"/>
            <w:hideMark/>
          </w:tcPr>
          <w:p w14:paraId="14FF9ED9" w14:textId="77777777" w:rsidR="008637EF" w:rsidRPr="00A67F24" w:rsidRDefault="008637EF" w:rsidP="005A7661">
            <w:pPr>
              <w:cnfStyle w:val="000000000000" w:firstRow="0" w:lastRow="0" w:firstColumn="0" w:lastColumn="0" w:oddVBand="0" w:evenVBand="0" w:oddHBand="0" w:evenHBand="0" w:firstRowFirstColumn="0" w:firstRowLastColumn="0" w:lastRowFirstColumn="0" w:lastRowLastColumn="0"/>
            </w:pPr>
            <w:r w:rsidRPr="00A67F24">
              <w:t>Climat – atténuation et adaptation</w:t>
            </w:r>
          </w:p>
        </w:tc>
        <w:tc>
          <w:tcPr>
            <w:tcW w:w="0" w:type="auto"/>
            <w:hideMark/>
          </w:tcPr>
          <w:p w14:paraId="2D7D9F0F" w14:textId="77777777" w:rsidR="008637EF" w:rsidRPr="00A67F24" w:rsidRDefault="008637EF" w:rsidP="005A7661">
            <w:pPr>
              <w:cnfStyle w:val="000000000000" w:firstRow="0" w:lastRow="0" w:firstColumn="0" w:lastColumn="0" w:oddVBand="0" w:evenVBand="0" w:oddHBand="0" w:evenHBand="0" w:firstRowFirstColumn="0" w:firstRowLastColumn="0" w:lastRowFirstColumn="0" w:lastRowLastColumn="0"/>
            </w:pPr>
            <w:r w:rsidRPr="00A67F24">
              <w:t>Applicabilité pour l’évaluation et la réduction des émissions de GES du projet, ainsi que l’intégration de mesures d’adaptation climatique.</w:t>
            </w:r>
          </w:p>
        </w:tc>
      </w:tr>
      <w:tr w:rsidR="008637EF" w:rsidRPr="00A67F24" w14:paraId="379A2535" w14:textId="77777777" w:rsidTr="00083923">
        <w:tc>
          <w:tcPr>
            <w:cnfStyle w:val="001000000000" w:firstRow="0" w:lastRow="0" w:firstColumn="1" w:lastColumn="0" w:oddVBand="0" w:evenVBand="0" w:oddHBand="0" w:evenHBand="0" w:firstRowFirstColumn="0" w:firstRowLastColumn="0" w:lastRowFirstColumn="0" w:lastRowLastColumn="0"/>
            <w:tcW w:w="0" w:type="auto"/>
            <w:hideMark/>
          </w:tcPr>
          <w:p w14:paraId="42074ECF" w14:textId="77777777" w:rsidR="008637EF" w:rsidRPr="00A67F24" w:rsidRDefault="008637EF" w:rsidP="005A7661">
            <w:r w:rsidRPr="00A67F24">
              <w:lastRenderedPageBreak/>
              <w:t>Convention sur la diversité biologique (CDB) – ratifiée le 21 janvier 1995</w:t>
            </w:r>
          </w:p>
        </w:tc>
        <w:tc>
          <w:tcPr>
            <w:tcW w:w="0" w:type="auto"/>
            <w:hideMark/>
          </w:tcPr>
          <w:p w14:paraId="2D672D2C" w14:textId="77777777" w:rsidR="008637EF" w:rsidRPr="00A67F24" w:rsidRDefault="008637EF" w:rsidP="005A7661">
            <w:pPr>
              <w:cnfStyle w:val="000000000000" w:firstRow="0" w:lastRow="0" w:firstColumn="0" w:lastColumn="0" w:oddVBand="0" w:evenVBand="0" w:oddHBand="0" w:evenHBand="0" w:firstRowFirstColumn="0" w:firstRowLastColumn="0" w:lastRowFirstColumn="0" w:lastRowLastColumn="0"/>
            </w:pPr>
            <w:r w:rsidRPr="00A67F24">
              <w:t>Biodiversité – conservation des écosystèmes</w:t>
            </w:r>
          </w:p>
        </w:tc>
        <w:tc>
          <w:tcPr>
            <w:tcW w:w="0" w:type="auto"/>
            <w:hideMark/>
          </w:tcPr>
          <w:p w14:paraId="6A3CBFE2" w14:textId="77777777" w:rsidR="008637EF" w:rsidRPr="00A67F24" w:rsidRDefault="008637EF" w:rsidP="005A7661">
            <w:pPr>
              <w:cnfStyle w:val="000000000000" w:firstRow="0" w:lastRow="0" w:firstColumn="0" w:lastColumn="0" w:oddVBand="0" w:evenVBand="0" w:oddHBand="0" w:evenHBand="0" w:firstRowFirstColumn="0" w:firstRowLastColumn="0" w:lastRowFirstColumn="0" w:lastRowLastColumn="0"/>
            </w:pPr>
            <w:r w:rsidRPr="00A67F24">
              <w:t>Pertinente pour limiter la perte d’habitats et protéger les espèces locales.</w:t>
            </w:r>
          </w:p>
        </w:tc>
      </w:tr>
      <w:tr w:rsidR="008637EF" w:rsidRPr="00A67F24" w14:paraId="00AE8602" w14:textId="77777777" w:rsidTr="00083923">
        <w:tc>
          <w:tcPr>
            <w:cnfStyle w:val="001000000000" w:firstRow="0" w:lastRow="0" w:firstColumn="1" w:lastColumn="0" w:oddVBand="0" w:evenVBand="0" w:oddHBand="0" w:evenHBand="0" w:firstRowFirstColumn="0" w:firstRowLastColumn="0" w:lastRowFirstColumn="0" w:lastRowLastColumn="0"/>
            <w:tcW w:w="0" w:type="auto"/>
            <w:hideMark/>
          </w:tcPr>
          <w:p w14:paraId="2F922F82" w14:textId="77777777" w:rsidR="008637EF" w:rsidRPr="00A67F24" w:rsidRDefault="008637EF" w:rsidP="005A7661">
            <w:r w:rsidRPr="00A67F24">
              <w:t>Convention de Berne sur la conservation de la vie sauvage et du milieu naturel – ratifiée le 17 avril 2001</w:t>
            </w:r>
          </w:p>
        </w:tc>
        <w:tc>
          <w:tcPr>
            <w:tcW w:w="0" w:type="auto"/>
            <w:hideMark/>
          </w:tcPr>
          <w:p w14:paraId="16354C1F" w14:textId="77777777" w:rsidR="008637EF" w:rsidRPr="00A67F24" w:rsidRDefault="008637EF" w:rsidP="005A7661">
            <w:pPr>
              <w:cnfStyle w:val="000000000000" w:firstRow="0" w:lastRow="0" w:firstColumn="0" w:lastColumn="0" w:oddVBand="0" w:evenVBand="0" w:oddHBand="0" w:evenHBand="0" w:firstRowFirstColumn="0" w:firstRowLastColumn="0" w:lastRowFirstColumn="0" w:lastRowLastColumn="0"/>
            </w:pPr>
            <w:r w:rsidRPr="00A67F24">
              <w:t>Biodiversité – flore, faune, habitats</w:t>
            </w:r>
          </w:p>
        </w:tc>
        <w:tc>
          <w:tcPr>
            <w:tcW w:w="0" w:type="auto"/>
            <w:hideMark/>
          </w:tcPr>
          <w:p w14:paraId="15B5F617" w14:textId="77777777" w:rsidR="008637EF" w:rsidRPr="00A67F24" w:rsidRDefault="008637EF" w:rsidP="005A7661">
            <w:pPr>
              <w:cnfStyle w:val="000000000000" w:firstRow="0" w:lastRow="0" w:firstColumn="0" w:lastColumn="0" w:oddVBand="0" w:evenVBand="0" w:oddHBand="0" w:evenHBand="0" w:firstRowFirstColumn="0" w:firstRowLastColumn="0" w:lastRowFirstColumn="0" w:lastRowLastColumn="0"/>
            </w:pPr>
            <w:r w:rsidRPr="00A67F24">
              <w:t>Pertinente en raison de la présence d’espèces protégées et d’habitats sensibles dans la région du projet.</w:t>
            </w:r>
          </w:p>
        </w:tc>
      </w:tr>
    </w:tbl>
    <w:p w14:paraId="4257B04D" w14:textId="77777777" w:rsidR="008637EF" w:rsidRDefault="008637EF" w:rsidP="008637EF">
      <w:pPr>
        <w:pStyle w:val="Title3"/>
      </w:pPr>
      <w:bookmarkStart w:id="183" w:name="_Toc215131810"/>
      <w:r>
        <w:t>Conventions sociales</w:t>
      </w:r>
      <w:bookmarkEnd w:id="183"/>
    </w:p>
    <w:p w14:paraId="39134EF1" w14:textId="77777777" w:rsidR="008637EF" w:rsidRDefault="008637EF" w:rsidP="008637EF">
      <w:r w:rsidRPr="00AD5A79">
        <w:t>En matière sociale, le Maroc a ratifié un ensemble de conventions internationales du travail (OIT),</w:t>
      </w:r>
      <w:r>
        <w:t xml:space="preserve"> parmi lesquelles on peut citer :</w:t>
      </w:r>
    </w:p>
    <w:p w14:paraId="34C8581B" w14:textId="4B381C9C" w:rsidR="008637EF" w:rsidRDefault="008637EF" w:rsidP="008637EF">
      <w:pPr>
        <w:pStyle w:val="Lgende"/>
        <w:keepNext/>
      </w:pPr>
      <w:bookmarkStart w:id="184" w:name="_Toc213404341"/>
      <w:r>
        <w:t xml:space="preserve">Tableau </w:t>
      </w:r>
      <w:r>
        <w:fldChar w:fldCharType="begin"/>
      </w:r>
      <w:r>
        <w:instrText xml:space="preserve"> SEQ Tableau \* ARABIC </w:instrText>
      </w:r>
      <w:r>
        <w:fldChar w:fldCharType="separate"/>
      </w:r>
      <w:r w:rsidR="00274E71">
        <w:rPr>
          <w:noProof/>
        </w:rPr>
        <w:t>18</w:t>
      </w:r>
      <w:r>
        <w:fldChar w:fldCharType="end"/>
      </w:r>
      <w:r>
        <w:rPr>
          <w:lang w:val="fr-FR"/>
        </w:rPr>
        <w:t xml:space="preserve"> : Principales c</w:t>
      </w:r>
      <w:r w:rsidRPr="00E52BFC">
        <w:rPr>
          <w:lang w:val="fr-FR"/>
        </w:rPr>
        <w:t>onventions internationales sociales (OIT) ratifiées par le Maroc et leur applicabilité au projet</w:t>
      </w:r>
      <w:bookmarkEnd w:id="184"/>
    </w:p>
    <w:tbl>
      <w:tblPr>
        <w:tblStyle w:val="TableauGrille1Clair-Accentuation111"/>
        <w:tblW w:w="0" w:type="auto"/>
        <w:tblLook w:val="04A0" w:firstRow="1" w:lastRow="0" w:firstColumn="1" w:lastColumn="0" w:noHBand="0" w:noVBand="1"/>
      </w:tblPr>
      <w:tblGrid>
        <w:gridCol w:w="3387"/>
        <w:gridCol w:w="2061"/>
        <w:gridCol w:w="3614"/>
      </w:tblGrid>
      <w:tr w:rsidR="008637EF" w:rsidRPr="00520F32" w14:paraId="4157072E" w14:textId="77777777" w:rsidTr="00083923">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0" w:type="auto"/>
            <w:hideMark/>
          </w:tcPr>
          <w:p w14:paraId="04E8D483" w14:textId="77777777" w:rsidR="008637EF" w:rsidRPr="00083923" w:rsidRDefault="008637EF" w:rsidP="005A7661">
            <w:pPr>
              <w:rPr>
                <w:b w:val="0"/>
                <w:bCs w:val="0"/>
                <w:color w:val="000000" w:themeColor="text1"/>
              </w:rPr>
            </w:pPr>
            <w:r w:rsidRPr="00083923">
              <w:rPr>
                <w:color w:val="000000" w:themeColor="text1"/>
              </w:rPr>
              <w:t>Convention internationale</w:t>
            </w:r>
          </w:p>
        </w:tc>
        <w:tc>
          <w:tcPr>
            <w:tcW w:w="0" w:type="auto"/>
            <w:hideMark/>
          </w:tcPr>
          <w:p w14:paraId="732D4AC0" w14:textId="77777777" w:rsidR="008637EF" w:rsidRPr="00083923" w:rsidRDefault="008637EF" w:rsidP="005A7661">
            <w:pPr>
              <w:cnfStyle w:val="100000000000" w:firstRow="1" w:lastRow="0" w:firstColumn="0" w:lastColumn="0" w:oddVBand="0" w:evenVBand="0" w:oddHBand="0" w:evenHBand="0" w:firstRowFirstColumn="0" w:firstRowLastColumn="0" w:lastRowFirstColumn="0" w:lastRowLastColumn="0"/>
              <w:rPr>
                <w:b w:val="0"/>
                <w:bCs w:val="0"/>
                <w:color w:val="000000" w:themeColor="text1"/>
              </w:rPr>
            </w:pPr>
            <w:r w:rsidRPr="00083923">
              <w:rPr>
                <w:color w:val="000000" w:themeColor="text1"/>
              </w:rPr>
              <w:t>Domaine couvert</w:t>
            </w:r>
          </w:p>
        </w:tc>
        <w:tc>
          <w:tcPr>
            <w:tcW w:w="0" w:type="auto"/>
            <w:hideMark/>
          </w:tcPr>
          <w:p w14:paraId="2B99AB8D" w14:textId="77777777" w:rsidR="008637EF" w:rsidRPr="00083923" w:rsidRDefault="008637EF" w:rsidP="005A7661">
            <w:pPr>
              <w:cnfStyle w:val="100000000000" w:firstRow="1" w:lastRow="0" w:firstColumn="0" w:lastColumn="0" w:oddVBand="0" w:evenVBand="0" w:oddHBand="0" w:evenHBand="0" w:firstRowFirstColumn="0" w:firstRowLastColumn="0" w:lastRowFirstColumn="0" w:lastRowLastColumn="0"/>
              <w:rPr>
                <w:b w:val="0"/>
                <w:bCs w:val="0"/>
                <w:color w:val="000000" w:themeColor="text1"/>
              </w:rPr>
            </w:pPr>
            <w:r w:rsidRPr="00083923">
              <w:rPr>
                <w:color w:val="000000" w:themeColor="text1"/>
              </w:rPr>
              <w:t>Applicabilité au projet</w:t>
            </w:r>
          </w:p>
        </w:tc>
      </w:tr>
      <w:tr w:rsidR="008637EF" w:rsidRPr="00520F32" w14:paraId="479904C6" w14:textId="77777777" w:rsidTr="00083923">
        <w:tc>
          <w:tcPr>
            <w:cnfStyle w:val="001000000000" w:firstRow="0" w:lastRow="0" w:firstColumn="1" w:lastColumn="0" w:oddVBand="0" w:evenVBand="0" w:oddHBand="0" w:evenHBand="0" w:firstRowFirstColumn="0" w:firstRowLastColumn="0" w:lastRowFirstColumn="0" w:lastRowLastColumn="0"/>
            <w:tcW w:w="0" w:type="auto"/>
            <w:hideMark/>
          </w:tcPr>
          <w:p w14:paraId="42BB4A13" w14:textId="77777777" w:rsidR="008637EF" w:rsidRPr="00520F32" w:rsidRDefault="008637EF" w:rsidP="005A7661">
            <w:r w:rsidRPr="00520F32">
              <w:t>C29 – Convention sur le travail forcé, 1930 – ratifiée le 16 décembre 1957</w:t>
            </w:r>
          </w:p>
        </w:tc>
        <w:tc>
          <w:tcPr>
            <w:tcW w:w="0" w:type="auto"/>
            <w:hideMark/>
          </w:tcPr>
          <w:p w14:paraId="261596FE" w14:textId="77777777" w:rsidR="008637EF" w:rsidRPr="00520F32" w:rsidRDefault="008637EF" w:rsidP="005A7661">
            <w:pPr>
              <w:cnfStyle w:val="000000000000" w:firstRow="0" w:lastRow="0" w:firstColumn="0" w:lastColumn="0" w:oddVBand="0" w:evenVBand="0" w:oddHBand="0" w:evenHBand="0" w:firstRowFirstColumn="0" w:firstRowLastColumn="0" w:lastRowFirstColumn="0" w:lastRowLastColumn="0"/>
            </w:pPr>
            <w:r w:rsidRPr="00520F32">
              <w:t>Interdiction du travail forcé</w:t>
            </w:r>
          </w:p>
        </w:tc>
        <w:tc>
          <w:tcPr>
            <w:tcW w:w="0" w:type="auto"/>
            <w:hideMark/>
          </w:tcPr>
          <w:p w14:paraId="254E4AD1" w14:textId="77777777" w:rsidR="008637EF" w:rsidRPr="00520F32" w:rsidRDefault="008637EF" w:rsidP="005A7661">
            <w:pPr>
              <w:cnfStyle w:val="000000000000" w:firstRow="0" w:lastRow="0" w:firstColumn="0" w:lastColumn="0" w:oddVBand="0" w:evenVBand="0" w:oddHBand="0" w:evenHBand="0" w:firstRowFirstColumn="0" w:firstRowLastColumn="0" w:lastRowFirstColumn="0" w:lastRowLastColumn="0"/>
            </w:pPr>
            <w:r w:rsidRPr="00520F32">
              <w:t>Pertinente pour garantir que tous les travailleurs du chantier et de l’exploitation soient employés librement et légalement.</w:t>
            </w:r>
          </w:p>
        </w:tc>
      </w:tr>
      <w:tr w:rsidR="008637EF" w:rsidRPr="00520F32" w14:paraId="07ED7370" w14:textId="77777777" w:rsidTr="00083923">
        <w:tc>
          <w:tcPr>
            <w:cnfStyle w:val="001000000000" w:firstRow="0" w:lastRow="0" w:firstColumn="1" w:lastColumn="0" w:oddVBand="0" w:evenVBand="0" w:oddHBand="0" w:evenHBand="0" w:firstRowFirstColumn="0" w:firstRowLastColumn="0" w:lastRowFirstColumn="0" w:lastRowLastColumn="0"/>
            <w:tcW w:w="0" w:type="auto"/>
            <w:hideMark/>
          </w:tcPr>
          <w:p w14:paraId="5458F965" w14:textId="77777777" w:rsidR="008637EF" w:rsidRPr="00520F32" w:rsidRDefault="008637EF" w:rsidP="005A7661">
            <w:r w:rsidRPr="00520F32">
              <w:t>C87 – Convention sur la liberté syndicale et la protection du droit syndical, 1948 – ratifiée le 20 mai 1957</w:t>
            </w:r>
          </w:p>
        </w:tc>
        <w:tc>
          <w:tcPr>
            <w:tcW w:w="0" w:type="auto"/>
            <w:hideMark/>
          </w:tcPr>
          <w:p w14:paraId="74646CE2" w14:textId="77777777" w:rsidR="008637EF" w:rsidRPr="00520F32" w:rsidRDefault="008637EF" w:rsidP="005A7661">
            <w:pPr>
              <w:cnfStyle w:val="000000000000" w:firstRow="0" w:lastRow="0" w:firstColumn="0" w:lastColumn="0" w:oddVBand="0" w:evenVBand="0" w:oddHBand="0" w:evenHBand="0" w:firstRowFirstColumn="0" w:firstRowLastColumn="0" w:lastRowFirstColumn="0" w:lastRowLastColumn="0"/>
            </w:pPr>
            <w:r w:rsidRPr="00520F32">
              <w:t>Droits syndicaux et liberté d’association</w:t>
            </w:r>
          </w:p>
        </w:tc>
        <w:tc>
          <w:tcPr>
            <w:tcW w:w="0" w:type="auto"/>
            <w:hideMark/>
          </w:tcPr>
          <w:p w14:paraId="4BB20819" w14:textId="77777777" w:rsidR="008637EF" w:rsidRPr="00520F32" w:rsidRDefault="008637EF" w:rsidP="005A7661">
            <w:pPr>
              <w:cnfStyle w:val="000000000000" w:firstRow="0" w:lastRow="0" w:firstColumn="0" w:lastColumn="0" w:oddVBand="0" w:evenVBand="0" w:oddHBand="0" w:evenHBand="0" w:firstRowFirstColumn="0" w:firstRowLastColumn="0" w:lastRowFirstColumn="0" w:lastRowLastColumn="0"/>
            </w:pPr>
            <w:r w:rsidRPr="00520F32">
              <w:t>Applicabilité pour assurer la liberté d’association des travailleurs impliqués dans le projet.</w:t>
            </w:r>
          </w:p>
        </w:tc>
      </w:tr>
      <w:tr w:rsidR="008637EF" w:rsidRPr="00520F32" w14:paraId="328214F4" w14:textId="77777777" w:rsidTr="00083923">
        <w:tc>
          <w:tcPr>
            <w:cnfStyle w:val="001000000000" w:firstRow="0" w:lastRow="0" w:firstColumn="1" w:lastColumn="0" w:oddVBand="0" w:evenVBand="0" w:oddHBand="0" w:evenHBand="0" w:firstRowFirstColumn="0" w:firstRowLastColumn="0" w:lastRowFirstColumn="0" w:lastRowLastColumn="0"/>
            <w:tcW w:w="0" w:type="auto"/>
            <w:hideMark/>
          </w:tcPr>
          <w:p w14:paraId="3B7246AF" w14:textId="77777777" w:rsidR="008637EF" w:rsidRPr="00520F32" w:rsidRDefault="008637EF" w:rsidP="005A7661">
            <w:r w:rsidRPr="00520F32">
              <w:t>C98 – Convention sur le droit d’organisation et de négociation collective, 1949 – ratifiée le 13 mai 1957</w:t>
            </w:r>
          </w:p>
        </w:tc>
        <w:tc>
          <w:tcPr>
            <w:tcW w:w="0" w:type="auto"/>
            <w:hideMark/>
          </w:tcPr>
          <w:p w14:paraId="2A0E8DDA" w14:textId="77777777" w:rsidR="008637EF" w:rsidRPr="00520F32" w:rsidRDefault="008637EF" w:rsidP="005A7661">
            <w:pPr>
              <w:cnfStyle w:val="000000000000" w:firstRow="0" w:lastRow="0" w:firstColumn="0" w:lastColumn="0" w:oddVBand="0" w:evenVBand="0" w:oddHBand="0" w:evenHBand="0" w:firstRowFirstColumn="0" w:firstRowLastColumn="0" w:lastRowFirstColumn="0" w:lastRowLastColumn="0"/>
            </w:pPr>
            <w:r w:rsidRPr="00520F32">
              <w:t>Droit à la négociation collective</w:t>
            </w:r>
          </w:p>
        </w:tc>
        <w:tc>
          <w:tcPr>
            <w:tcW w:w="0" w:type="auto"/>
            <w:hideMark/>
          </w:tcPr>
          <w:p w14:paraId="0B64BBB7" w14:textId="77777777" w:rsidR="008637EF" w:rsidRPr="00520F32" w:rsidRDefault="008637EF" w:rsidP="005A7661">
            <w:pPr>
              <w:cnfStyle w:val="000000000000" w:firstRow="0" w:lastRow="0" w:firstColumn="0" w:lastColumn="0" w:oddVBand="0" w:evenVBand="0" w:oddHBand="0" w:evenHBand="0" w:firstRowFirstColumn="0" w:firstRowLastColumn="0" w:lastRowFirstColumn="0" w:lastRowLastColumn="0"/>
            </w:pPr>
            <w:r w:rsidRPr="00520F32">
              <w:t>Pertinente pour encadrer les relations de travail et prévenir les conflits sociaux.</w:t>
            </w:r>
          </w:p>
        </w:tc>
      </w:tr>
      <w:tr w:rsidR="008637EF" w:rsidRPr="00520F32" w14:paraId="13EA653D" w14:textId="77777777" w:rsidTr="00083923">
        <w:tc>
          <w:tcPr>
            <w:cnfStyle w:val="001000000000" w:firstRow="0" w:lastRow="0" w:firstColumn="1" w:lastColumn="0" w:oddVBand="0" w:evenVBand="0" w:oddHBand="0" w:evenHBand="0" w:firstRowFirstColumn="0" w:firstRowLastColumn="0" w:lastRowFirstColumn="0" w:lastRowLastColumn="0"/>
            <w:tcW w:w="0" w:type="auto"/>
            <w:hideMark/>
          </w:tcPr>
          <w:p w14:paraId="436A9454" w14:textId="77777777" w:rsidR="008637EF" w:rsidRPr="00520F32" w:rsidRDefault="008637EF" w:rsidP="005A7661">
            <w:r w:rsidRPr="00520F32">
              <w:t>C100 – Convention sur l’égalité de rémunération, 1951 – ratifiée le 24 avril 1979</w:t>
            </w:r>
          </w:p>
        </w:tc>
        <w:tc>
          <w:tcPr>
            <w:tcW w:w="0" w:type="auto"/>
            <w:hideMark/>
          </w:tcPr>
          <w:p w14:paraId="6AC9437D" w14:textId="77777777" w:rsidR="008637EF" w:rsidRPr="00520F32" w:rsidRDefault="008637EF" w:rsidP="005A7661">
            <w:pPr>
              <w:cnfStyle w:val="000000000000" w:firstRow="0" w:lastRow="0" w:firstColumn="0" w:lastColumn="0" w:oddVBand="0" w:evenVBand="0" w:oddHBand="0" w:evenHBand="0" w:firstRowFirstColumn="0" w:firstRowLastColumn="0" w:lastRowFirstColumn="0" w:lastRowLastColumn="0"/>
            </w:pPr>
            <w:r w:rsidRPr="00520F32">
              <w:t>Égalité salariale entre hommes et femmes</w:t>
            </w:r>
          </w:p>
        </w:tc>
        <w:tc>
          <w:tcPr>
            <w:tcW w:w="0" w:type="auto"/>
            <w:hideMark/>
          </w:tcPr>
          <w:p w14:paraId="462EFE9B" w14:textId="77777777" w:rsidR="008637EF" w:rsidRPr="00520F32" w:rsidRDefault="008637EF" w:rsidP="005A7661">
            <w:pPr>
              <w:cnfStyle w:val="000000000000" w:firstRow="0" w:lastRow="0" w:firstColumn="0" w:lastColumn="0" w:oddVBand="0" w:evenVBand="0" w:oddHBand="0" w:evenHBand="0" w:firstRowFirstColumn="0" w:firstRowLastColumn="0" w:lastRowFirstColumn="0" w:lastRowLastColumn="0"/>
            </w:pPr>
            <w:r w:rsidRPr="00520F32">
              <w:t>Applicabilité pour éviter toute discrimination salariale lors du recrutement et de l’exploitation.</w:t>
            </w:r>
          </w:p>
        </w:tc>
      </w:tr>
      <w:tr w:rsidR="008637EF" w:rsidRPr="00520F32" w14:paraId="69A9B455" w14:textId="77777777" w:rsidTr="00083923">
        <w:tc>
          <w:tcPr>
            <w:cnfStyle w:val="001000000000" w:firstRow="0" w:lastRow="0" w:firstColumn="1" w:lastColumn="0" w:oddVBand="0" w:evenVBand="0" w:oddHBand="0" w:evenHBand="0" w:firstRowFirstColumn="0" w:firstRowLastColumn="0" w:lastRowFirstColumn="0" w:lastRowLastColumn="0"/>
            <w:tcW w:w="0" w:type="auto"/>
            <w:hideMark/>
          </w:tcPr>
          <w:p w14:paraId="223AA257" w14:textId="77777777" w:rsidR="008637EF" w:rsidRPr="00520F32" w:rsidRDefault="008637EF" w:rsidP="005A7661">
            <w:r w:rsidRPr="00520F32">
              <w:t>C105 – Convention sur l’abolition du travail forcé, 1957 – ratifiée le 17 juin 1966</w:t>
            </w:r>
          </w:p>
        </w:tc>
        <w:tc>
          <w:tcPr>
            <w:tcW w:w="0" w:type="auto"/>
            <w:hideMark/>
          </w:tcPr>
          <w:p w14:paraId="3E729A87" w14:textId="77777777" w:rsidR="008637EF" w:rsidRPr="00520F32" w:rsidRDefault="008637EF" w:rsidP="005A7661">
            <w:pPr>
              <w:cnfStyle w:val="000000000000" w:firstRow="0" w:lastRow="0" w:firstColumn="0" w:lastColumn="0" w:oddVBand="0" w:evenVBand="0" w:oddHBand="0" w:evenHBand="0" w:firstRowFirstColumn="0" w:firstRowLastColumn="0" w:lastRowFirstColumn="0" w:lastRowLastColumn="0"/>
            </w:pPr>
            <w:r w:rsidRPr="00520F32">
              <w:t>Abolition des formes résiduelles de travail forcé</w:t>
            </w:r>
          </w:p>
        </w:tc>
        <w:tc>
          <w:tcPr>
            <w:tcW w:w="0" w:type="auto"/>
            <w:hideMark/>
          </w:tcPr>
          <w:p w14:paraId="4D9F0C5A" w14:textId="77777777" w:rsidR="008637EF" w:rsidRPr="00520F32" w:rsidRDefault="008637EF" w:rsidP="005A7661">
            <w:pPr>
              <w:cnfStyle w:val="000000000000" w:firstRow="0" w:lastRow="0" w:firstColumn="0" w:lastColumn="0" w:oddVBand="0" w:evenVBand="0" w:oddHBand="0" w:evenHBand="0" w:firstRowFirstColumn="0" w:firstRowLastColumn="0" w:lastRowFirstColumn="0" w:lastRowLastColumn="0"/>
            </w:pPr>
            <w:r w:rsidRPr="00520F32">
              <w:t>Applicabilité directe pour le respect des droits fondamentaux du travail.</w:t>
            </w:r>
          </w:p>
        </w:tc>
      </w:tr>
      <w:tr w:rsidR="008637EF" w:rsidRPr="00520F32" w14:paraId="37686067" w14:textId="77777777" w:rsidTr="00083923">
        <w:tc>
          <w:tcPr>
            <w:cnfStyle w:val="001000000000" w:firstRow="0" w:lastRow="0" w:firstColumn="1" w:lastColumn="0" w:oddVBand="0" w:evenVBand="0" w:oddHBand="0" w:evenHBand="0" w:firstRowFirstColumn="0" w:firstRowLastColumn="0" w:lastRowFirstColumn="0" w:lastRowLastColumn="0"/>
            <w:tcW w:w="0" w:type="auto"/>
            <w:hideMark/>
          </w:tcPr>
          <w:p w14:paraId="2E780057" w14:textId="77777777" w:rsidR="008637EF" w:rsidRPr="00520F32" w:rsidRDefault="008637EF" w:rsidP="005A7661">
            <w:r w:rsidRPr="00520F32">
              <w:t>C111 – Convention sur la discrimination (emploi et profession), 1958 – ratifiée le 13 mai 1963</w:t>
            </w:r>
          </w:p>
        </w:tc>
        <w:tc>
          <w:tcPr>
            <w:tcW w:w="0" w:type="auto"/>
            <w:hideMark/>
          </w:tcPr>
          <w:p w14:paraId="4CB1CCD1" w14:textId="77777777" w:rsidR="008637EF" w:rsidRPr="00520F32" w:rsidRDefault="008637EF" w:rsidP="005A7661">
            <w:pPr>
              <w:cnfStyle w:val="000000000000" w:firstRow="0" w:lastRow="0" w:firstColumn="0" w:lastColumn="0" w:oddVBand="0" w:evenVBand="0" w:oddHBand="0" w:evenHBand="0" w:firstRowFirstColumn="0" w:firstRowLastColumn="0" w:lastRowFirstColumn="0" w:lastRowLastColumn="0"/>
            </w:pPr>
            <w:r w:rsidRPr="00520F32">
              <w:t>Lutte contre la discrimination au travail</w:t>
            </w:r>
          </w:p>
        </w:tc>
        <w:tc>
          <w:tcPr>
            <w:tcW w:w="0" w:type="auto"/>
            <w:hideMark/>
          </w:tcPr>
          <w:p w14:paraId="5C0B4524" w14:textId="77777777" w:rsidR="008637EF" w:rsidRPr="00520F32" w:rsidRDefault="008637EF" w:rsidP="005A7661">
            <w:pPr>
              <w:cnfStyle w:val="000000000000" w:firstRow="0" w:lastRow="0" w:firstColumn="0" w:lastColumn="0" w:oddVBand="0" w:evenVBand="0" w:oddHBand="0" w:evenHBand="0" w:firstRowFirstColumn="0" w:firstRowLastColumn="0" w:lastRowFirstColumn="0" w:lastRowLastColumn="0"/>
            </w:pPr>
            <w:r w:rsidRPr="00520F32">
              <w:t>Pertinente pour garantir l’égalité d’accès à l’emploi, notamment pour les femmes et groupes vulnérables.</w:t>
            </w:r>
          </w:p>
        </w:tc>
      </w:tr>
      <w:tr w:rsidR="008637EF" w:rsidRPr="00520F32" w14:paraId="01BE2FBD" w14:textId="77777777" w:rsidTr="00083923">
        <w:tc>
          <w:tcPr>
            <w:cnfStyle w:val="001000000000" w:firstRow="0" w:lastRow="0" w:firstColumn="1" w:lastColumn="0" w:oddVBand="0" w:evenVBand="0" w:oddHBand="0" w:evenHBand="0" w:firstRowFirstColumn="0" w:firstRowLastColumn="0" w:lastRowFirstColumn="0" w:lastRowLastColumn="0"/>
            <w:tcW w:w="0" w:type="auto"/>
            <w:hideMark/>
          </w:tcPr>
          <w:p w14:paraId="3A471F98" w14:textId="77777777" w:rsidR="008637EF" w:rsidRPr="00520F32" w:rsidRDefault="008637EF" w:rsidP="005A7661">
            <w:r w:rsidRPr="00520F32">
              <w:lastRenderedPageBreak/>
              <w:t>C138 – Convention sur l’âge minimum, 1973 – ratifiée le 6 janvier 2000</w:t>
            </w:r>
          </w:p>
        </w:tc>
        <w:tc>
          <w:tcPr>
            <w:tcW w:w="0" w:type="auto"/>
            <w:hideMark/>
          </w:tcPr>
          <w:p w14:paraId="5593CB55" w14:textId="77777777" w:rsidR="008637EF" w:rsidRPr="00520F32" w:rsidRDefault="008637EF" w:rsidP="005A7661">
            <w:pPr>
              <w:cnfStyle w:val="000000000000" w:firstRow="0" w:lastRow="0" w:firstColumn="0" w:lastColumn="0" w:oddVBand="0" w:evenVBand="0" w:oddHBand="0" w:evenHBand="0" w:firstRowFirstColumn="0" w:firstRowLastColumn="0" w:lastRowFirstColumn="0" w:lastRowLastColumn="0"/>
            </w:pPr>
            <w:r w:rsidRPr="00520F32">
              <w:t>Interdiction du travail des enfants</w:t>
            </w:r>
          </w:p>
        </w:tc>
        <w:tc>
          <w:tcPr>
            <w:tcW w:w="0" w:type="auto"/>
            <w:hideMark/>
          </w:tcPr>
          <w:p w14:paraId="21EC4FCD" w14:textId="77777777" w:rsidR="008637EF" w:rsidRPr="00520F32" w:rsidRDefault="008637EF" w:rsidP="005A7661">
            <w:pPr>
              <w:cnfStyle w:val="000000000000" w:firstRow="0" w:lastRow="0" w:firstColumn="0" w:lastColumn="0" w:oddVBand="0" w:evenVBand="0" w:oddHBand="0" w:evenHBand="0" w:firstRowFirstColumn="0" w:firstRowLastColumn="0" w:lastRowFirstColumn="0" w:lastRowLastColumn="0"/>
            </w:pPr>
            <w:r w:rsidRPr="00520F32">
              <w:t>Applicabilité essentielle : interdiction d’employer des mineurs dans le chantier ou l’exploitation.</w:t>
            </w:r>
          </w:p>
        </w:tc>
      </w:tr>
      <w:tr w:rsidR="008637EF" w:rsidRPr="00520F32" w14:paraId="7B0E4309" w14:textId="77777777" w:rsidTr="00083923">
        <w:tc>
          <w:tcPr>
            <w:cnfStyle w:val="001000000000" w:firstRow="0" w:lastRow="0" w:firstColumn="1" w:lastColumn="0" w:oddVBand="0" w:evenVBand="0" w:oddHBand="0" w:evenHBand="0" w:firstRowFirstColumn="0" w:firstRowLastColumn="0" w:lastRowFirstColumn="0" w:lastRowLastColumn="0"/>
            <w:tcW w:w="0" w:type="auto"/>
            <w:hideMark/>
          </w:tcPr>
          <w:p w14:paraId="783A04FA" w14:textId="77777777" w:rsidR="008637EF" w:rsidRPr="00520F32" w:rsidRDefault="008637EF" w:rsidP="005A7661">
            <w:r w:rsidRPr="00520F32">
              <w:t>C182 – Convention sur l’élimination des pires formes de travail des enfants, 1999 – ratifiée le 26 janvier 2001</w:t>
            </w:r>
          </w:p>
        </w:tc>
        <w:tc>
          <w:tcPr>
            <w:tcW w:w="0" w:type="auto"/>
            <w:hideMark/>
          </w:tcPr>
          <w:p w14:paraId="64DDE82D" w14:textId="77777777" w:rsidR="008637EF" w:rsidRPr="00520F32" w:rsidRDefault="008637EF" w:rsidP="005A7661">
            <w:pPr>
              <w:cnfStyle w:val="000000000000" w:firstRow="0" w:lastRow="0" w:firstColumn="0" w:lastColumn="0" w:oddVBand="0" w:evenVBand="0" w:oddHBand="0" w:evenHBand="0" w:firstRowFirstColumn="0" w:firstRowLastColumn="0" w:lastRowFirstColumn="0" w:lastRowLastColumn="0"/>
            </w:pPr>
            <w:r w:rsidRPr="00520F32">
              <w:t>Protection des enfants contre l’exploitation</w:t>
            </w:r>
          </w:p>
        </w:tc>
        <w:tc>
          <w:tcPr>
            <w:tcW w:w="0" w:type="auto"/>
            <w:hideMark/>
          </w:tcPr>
          <w:p w14:paraId="3020F2C5" w14:textId="77777777" w:rsidR="008637EF" w:rsidRPr="00520F32" w:rsidRDefault="008637EF" w:rsidP="005A7661">
            <w:pPr>
              <w:cnfStyle w:val="000000000000" w:firstRow="0" w:lastRow="0" w:firstColumn="0" w:lastColumn="0" w:oddVBand="0" w:evenVBand="0" w:oddHBand="0" w:evenHBand="0" w:firstRowFirstColumn="0" w:firstRowLastColumn="0" w:lastRowFirstColumn="0" w:lastRowLastColumn="0"/>
            </w:pPr>
            <w:r w:rsidRPr="00520F32">
              <w:t>Pertinente pour exclure toute forme d’exploitation infantile dans les activités liées au projet.</w:t>
            </w:r>
          </w:p>
        </w:tc>
      </w:tr>
    </w:tbl>
    <w:p w14:paraId="6D2E9772" w14:textId="77777777" w:rsidR="008637EF" w:rsidRPr="00AD5A79" w:rsidRDefault="008637EF" w:rsidP="008637EF">
      <w:r w:rsidRPr="00AD5A79">
        <w:t>Le Maroc a aussi mis en place un ensemble d’actions dans le cadre de la lutte contre le changement climatique, le Maroc a signé, le vendredi 4 novembre 2016, l’accord de Paris, adopté le 12 décembre 2015 à l’occasion de la COP21 de Paris, et entre officiellement en vigueur à 3 jours de la COP22 de Marrakech.</w:t>
      </w:r>
    </w:p>
    <w:p w14:paraId="2F74CEE6" w14:textId="77777777" w:rsidR="008637EF" w:rsidRPr="00AD5A79" w:rsidRDefault="008637EF" w:rsidP="008637EF">
      <w:r w:rsidRPr="00AD5A79">
        <w:t>L'Accord prévoit, pour l’ensemble des pays de la planète, de contenir le réchauffement climatique bien en dessous de 2 °C par rapport aux niveaux préindustriels, et si possible de viser à poursuivre les efforts pour limiter la hausse des températures à 1,5 °C. </w:t>
      </w:r>
    </w:p>
    <w:p w14:paraId="2F322958" w14:textId="77777777" w:rsidR="008637EF" w:rsidRPr="00AD5A79" w:rsidRDefault="008637EF" w:rsidP="008637EF">
      <w:r w:rsidRPr="00AD5A79">
        <w:t>L'Accord de Paris conclu en décembre 2015 comporte :</w:t>
      </w:r>
    </w:p>
    <w:p w14:paraId="3268DC00" w14:textId="77777777" w:rsidR="008637EF" w:rsidRPr="00AD5A79" w:rsidRDefault="008637EF">
      <w:pPr>
        <w:numPr>
          <w:ilvl w:val="0"/>
          <w:numId w:val="10"/>
        </w:numPr>
        <w:spacing w:before="0" w:after="0"/>
        <w:ind w:left="1097"/>
      </w:pPr>
      <w:r w:rsidRPr="00AD5A79">
        <w:t>Un texte de portée universelle sur le changement climatique et les actions à mener ;</w:t>
      </w:r>
    </w:p>
    <w:p w14:paraId="7BCCCD54" w14:textId="77777777" w:rsidR="008637EF" w:rsidRPr="00AD5A79" w:rsidRDefault="008637EF">
      <w:pPr>
        <w:numPr>
          <w:ilvl w:val="0"/>
          <w:numId w:val="10"/>
        </w:numPr>
        <w:spacing w:before="0" w:after="0"/>
        <w:ind w:left="1097"/>
      </w:pPr>
      <w:r w:rsidRPr="00AD5A79">
        <w:t>La mise au point de l'agenda des solutions, c'est-à-dire d'un recueil de solutions, d'initiatives et d'engagements, déterminé en lien avec tous les acteurs de la société civile (entreprises, collectivités locales et ONG) pour s'inscrire dans une stratégie de limitation du réchauffement climatique à 2° C d'ici la fin du siècle ;</w:t>
      </w:r>
    </w:p>
    <w:p w14:paraId="7AEE0DD7" w14:textId="77777777" w:rsidR="008637EF" w:rsidRPr="00AD5A79" w:rsidRDefault="008637EF">
      <w:pPr>
        <w:numPr>
          <w:ilvl w:val="0"/>
          <w:numId w:val="10"/>
        </w:numPr>
        <w:spacing w:before="0" w:after="0"/>
        <w:ind w:left="1097"/>
      </w:pPr>
      <w:r w:rsidRPr="00AD5A79">
        <w:t>La mise en place du volet financier qui doit permettre le financement de la transition vers des économies nationales plus sobres en carbone : il s'agit de répondre à l'engagement formulé à Copenhague d'une mobilisation par les pays développés de 100 milliards de dollars publics et privés d'ici 2020 (10 milliards ont déjà été capitalisés dans le Fonds vert à l'initiative des pays développés).</w:t>
      </w:r>
    </w:p>
    <w:p w14:paraId="1995FAE7" w14:textId="77777777" w:rsidR="008637EF" w:rsidRDefault="008637EF" w:rsidP="008637EF">
      <w:r w:rsidRPr="00AD5A79">
        <w:t>Le Maroc, en restant fermement attaché à l’Accord de Paris, est déterminé à poursuivre les objectifs d’atténuation et d’adaptation au climat en fonction de ses circonstances nationales et de ses capacités.</w:t>
      </w:r>
    </w:p>
    <w:p w14:paraId="29C724E5" w14:textId="77777777" w:rsidR="008637EF" w:rsidRDefault="008637EF" w:rsidP="008637EF">
      <w:pPr>
        <w:pStyle w:val="Title2"/>
        <w:spacing w:before="120" w:after="120"/>
      </w:pPr>
      <w:bookmarkStart w:id="185" w:name="_Toc215131811"/>
      <w:r w:rsidRPr="00BA2758">
        <w:t>Normes nationales</w:t>
      </w:r>
      <w:r>
        <w:t xml:space="preserve"> </w:t>
      </w:r>
      <w:r w:rsidRPr="00EA0BE8">
        <w:t>environnementales et sociales</w:t>
      </w:r>
      <w:bookmarkEnd w:id="185"/>
    </w:p>
    <w:p w14:paraId="57DF28C7" w14:textId="77777777" w:rsidR="008637EF" w:rsidRDefault="008637EF" w:rsidP="008637EF">
      <w:r w:rsidRPr="00663A78">
        <w:t>La gestion des produits chimiques dangereux sur le chantier et durant l’exploitation du projet doit répondre aux exigences de la réglementation nationale, appuyée par certaines normes marocaines (NM). Ces normes apportent un cadre de bonnes pratiques en matière d’identification, d’étiquetage et de prévention des risques, sans pour autant constituer des indicateurs directs de suivi du PGES.</w:t>
      </w:r>
    </w:p>
    <w:p w14:paraId="19A26B6E" w14:textId="77777777" w:rsidR="00083923" w:rsidRDefault="00083923" w:rsidP="008637EF">
      <w:pPr>
        <w:pStyle w:val="Lgende"/>
        <w:keepNext/>
        <w:rPr>
          <w:lang w:val="fr-FR"/>
        </w:rPr>
      </w:pPr>
    </w:p>
    <w:p w14:paraId="32F0B920" w14:textId="77777777" w:rsidR="00083923" w:rsidRDefault="00083923" w:rsidP="008637EF">
      <w:pPr>
        <w:pStyle w:val="Lgende"/>
        <w:keepNext/>
      </w:pPr>
      <w:r>
        <w:br w:type="page"/>
      </w:r>
    </w:p>
    <w:p w14:paraId="272C2DFD" w14:textId="0B71C3FF" w:rsidR="008637EF" w:rsidRDefault="008637EF" w:rsidP="008637EF">
      <w:pPr>
        <w:pStyle w:val="Lgende"/>
        <w:keepNext/>
      </w:pPr>
      <w:bookmarkStart w:id="186" w:name="_Toc213404342"/>
      <w:r>
        <w:lastRenderedPageBreak/>
        <w:t xml:space="preserve">Tableau </w:t>
      </w:r>
      <w:r>
        <w:fldChar w:fldCharType="begin"/>
      </w:r>
      <w:r>
        <w:instrText xml:space="preserve"> SEQ Tableau \* ARABIC </w:instrText>
      </w:r>
      <w:r>
        <w:fldChar w:fldCharType="separate"/>
      </w:r>
      <w:r w:rsidR="00274E71">
        <w:rPr>
          <w:noProof/>
        </w:rPr>
        <w:t>19</w:t>
      </w:r>
      <w:r>
        <w:fldChar w:fldCharType="end"/>
      </w:r>
      <w:r>
        <w:rPr>
          <w:lang w:val="fr-FR"/>
        </w:rPr>
        <w:t xml:space="preserve"> : A</w:t>
      </w:r>
      <w:r w:rsidRPr="002A411B">
        <w:rPr>
          <w:lang w:val="fr-FR"/>
        </w:rPr>
        <w:t>pplicabilité des normes marocaines (NM) au projet</w:t>
      </w:r>
      <w:bookmarkEnd w:id="186"/>
    </w:p>
    <w:tbl>
      <w:tblPr>
        <w:tblStyle w:val="TableauGrille1Clair-Accentuation111"/>
        <w:tblW w:w="0" w:type="auto"/>
        <w:tblLook w:val="04A0" w:firstRow="1" w:lastRow="0" w:firstColumn="1" w:lastColumn="0" w:noHBand="0" w:noVBand="1"/>
      </w:tblPr>
      <w:tblGrid>
        <w:gridCol w:w="1824"/>
        <w:gridCol w:w="3287"/>
        <w:gridCol w:w="3951"/>
      </w:tblGrid>
      <w:tr w:rsidR="008637EF" w:rsidRPr="009B1235" w14:paraId="0A1F905A" w14:textId="77777777" w:rsidTr="0008392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64ED18A0" w14:textId="77777777" w:rsidR="008637EF" w:rsidRPr="009B1235" w:rsidRDefault="008637EF" w:rsidP="005A7661">
            <w:pPr>
              <w:rPr>
                <w:b w:val="0"/>
                <w:bCs w:val="0"/>
              </w:rPr>
            </w:pPr>
            <w:r w:rsidRPr="009B1235">
              <w:t>Norme</w:t>
            </w:r>
          </w:p>
        </w:tc>
        <w:tc>
          <w:tcPr>
            <w:tcW w:w="0" w:type="auto"/>
            <w:hideMark/>
          </w:tcPr>
          <w:p w14:paraId="76D6AA88" w14:textId="77777777" w:rsidR="008637EF" w:rsidRPr="009B1235" w:rsidRDefault="008637EF" w:rsidP="005A7661">
            <w:pPr>
              <w:cnfStyle w:val="100000000000" w:firstRow="1" w:lastRow="0" w:firstColumn="0" w:lastColumn="0" w:oddVBand="0" w:evenVBand="0" w:oddHBand="0" w:evenHBand="0" w:firstRowFirstColumn="0" w:firstRowLastColumn="0" w:lastRowFirstColumn="0" w:lastRowLastColumn="0"/>
              <w:rPr>
                <w:b w:val="0"/>
                <w:bCs w:val="0"/>
              </w:rPr>
            </w:pPr>
            <w:r w:rsidRPr="009B1235">
              <w:t>Objectif</w:t>
            </w:r>
          </w:p>
        </w:tc>
        <w:tc>
          <w:tcPr>
            <w:tcW w:w="0" w:type="auto"/>
            <w:hideMark/>
          </w:tcPr>
          <w:p w14:paraId="24591FA4" w14:textId="77777777" w:rsidR="008637EF" w:rsidRPr="009B1235" w:rsidRDefault="008637EF" w:rsidP="005A7661">
            <w:pPr>
              <w:cnfStyle w:val="100000000000" w:firstRow="1" w:lastRow="0" w:firstColumn="0" w:lastColumn="0" w:oddVBand="0" w:evenVBand="0" w:oddHBand="0" w:evenHBand="0" w:firstRowFirstColumn="0" w:firstRowLastColumn="0" w:lastRowFirstColumn="0" w:lastRowLastColumn="0"/>
              <w:rPr>
                <w:b w:val="0"/>
                <w:bCs w:val="0"/>
              </w:rPr>
            </w:pPr>
            <w:r w:rsidRPr="009B1235">
              <w:t>Applicabilité au projet</w:t>
            </w:r>
          </w:p>
        </w:tc>
      </w:tr>
      <w:tr w:rsidR="008637EF" w:rsidRPr="009B1235" w14:paraId="5A2930FE" w14:textId="77777777" w:rsidTr="00083923">
        <w:tc>
          <w:tcPr>
            <w:cnfStyle w:val="001000000000" w:firstRow="0" w:lastRow="0" w:firstColumn="1" w:lastColumn="0" w:oddVBand="0" w:evenVBand="0" w:oddHBand="0" w:evenHBand="0" w:firstRowFirstColumn="0" w:firstRowLastColumn="0" w:lastRowFirstColumn="0" w:lastRowLastColumn="0"/>
            <w:tcW w:w="0" w:type="auto"/>
            <w:hideMark/>
          </w:tcPr>
          <w:p w14:paraId="77F181E4" w14:textId="77777777" w:rsidR="008637EF" w:rsidRPr="009B1235" w:rsidRDefault="008637EF" w:rsidP="005A7661">
            <w:r w:rsidRPr="009B1235">
              <w:t>NM 03.02.100-199</w:t>
            </w:r>
          </w:p>
        </w:tc>
        <w:tc>
          <w:tcPr>
            <w:tcW w:w="0" w:type="auto"/>
            <w:hideMark/>
          </w:tcPr>
          <w:p w14:paraId="071106AF" w14:textId="77777777" w:rsidR="008637EF" w:rsidRPr="009B1235" w:rsidRDefault="008637EF" w:rsidP="005A7661">
            <w:pPr>
              <w:cnfStyle w:val="000000000000" w:firstRow="0" w:lastRow="0" w:firstColumn="0" w:lastColumn="0" w:oddVBand="0" w:evenVBand="0" w:oddHBand="0" w:evenHBand="0" w:firstRowFirstColumn="0" w:firstRowLastColumn="0" w:lastRowFirstColumn="0" w:lastRowLastColumn="0"/>
            </w:pPr>
            <w:r w:rsidRPr="009B1235">
              <w:t>Classification, emballage et étiquetage des substances dangereuses</w:t>
            </w:r>
          </w:p>
        </w:tc>
        <w:tc>
          <w:tcPr>
            <w:tcW w:w="0" w:type="auto"/>
            <w:hideMark/>
          </w:tcPr>
          <w:p w14:paraId="333A2EFB" w14:textId="77777777" w:rsidR="008637EF" w:rsidRPr="009B1235" w:rsidRDefault="008637EF" w:rsidP="005A7661">
            <w:pPr>
              <w:cnfStyle w:val="000000000000" w:firstRow="0" w:lastRow="0" w:firstColumn="0" w:lastColumn="0" w:oddVBand="0" w:evenVBand="0" w:oddHBand="0" w:evenHBand="0" w:firstRowFirstColumn="0" w:firstRowLastColumn="0" w:lastRowFirstColumn="0" w:lastRowLastColumn="0"/>
            </w:pPr>
            <w:r w:rsidRPr="009B1235">
              <w:t>Identification et signalisation des produits chimiques (carburants, solvants, peintures) utilisés sur le chantier</w:t>
            </w:r>
          </w:p>
        </w:tc>
      </w:tr>
      <w:tr w:rsidR="008637EF" w:rsidRPr="009B1235" w14:paraId="6021D0E5" w14:textId="77777777" w:rsidTr="00083923">
        <w:tc>
          <w:tcPr>
            <w:cnfStyle w:val="001000000000" w:firstRow="0" w:lastRow="0" w:firstColumn="1" w:lastColumn="0" w:oddVBand="0" w:evenVBand="0" w:oddHBand="0" w:evenHBand="0" w:firstRowFirstColumn="0" w:firstRowLastColumn="0" w:lastRowFirstColumn="0" w:lastRowLastColumn="0"/>
            <w:tcW w:w="0" w:type="auto"/>
            <w:hideMark/>
          </w:tcPr>
          <w:p w14:paraId="794969FE" w14:textId="77777777" w:rsidR="008637EF" w:rsidRPr="009B1235" w:rsidRDefault="008637EF" w:rsidP="005A7661">
            <w:r w:rsidRPr="009B1235">
              <w:t>NM 03.02.101-1997</w:t>
            </w:r>
          </w:p>
        </w:tc>
        <w:tc>
          <w:tcPr>
            <w:tcW w:w="0" w:type="auto"/>
            <w:hideMark/>
          </w:tcPr>
          <w:p w14:paraId="107440CB" w14:textId="77777777" w:rsidR="008637EF" w:rsidRPr="009B1235" w:rsidRDefault="008637EF" w:rsidP="005A7661">
            <w:pPr>
              <w:cnfStyle w:val="000000000000" w:firstRow="0" w:lastRow="0" w:firstColumn="0" w:lastColumn="0" w:oddVBand="0" w:evenVBand="0" w:oddHBand="0" w:evenHBand="0" w:firstRowFirstColumn="0" w:firstRowLastColumn="0" w:lastRowFirstColumn="0" w:lastRowLastColumn="0"/>
            </w:pPr>
            <w:r w:rsidRPr="009B1235">
              <w:t>Préparations chimiques dangereuses – classification, emballage et étiquetage</w:t>
            </w:r>
          </w:p>
        </w:tc>
        <w:tc>
          <w:tcPr>
            <w:tcW w:w="0" w:type="auto"/>
            <w:hideMark/>
          </w:tcPr>
          <w:p w14:paraId="56E6679D" w14:textId="77777777" w:rsidR="008637EF" w:rsidRPr="009B1235" w:rsidRDefault="008637EF" w:rsidP="005A7661">
            <w:pPr>
              <w:cnfStyle w:val="000000000000" w:firstRow="0" w:lastRow="0" w:firstColumn="0" w:lastColumn="0" w:oddVBand="0" w:evenVBand="0" w:oddHBand="0" w:evenHBand="0" w:firstRowFirstColumn="0" w:firstRowLastColumn="0" w:lastRowFirstColumn="0" w:lastRowLastColumn="0"/>
            </w:pPr>
            <w:r w:rsidRPr="009B1235">
              <w:t>Gestion et étiquetage des mélanges (produits de nettoyage, détergents)</w:t>
            </w:r>
          </w:p>
        </w:tc>
      </w:tr>
      <w:tr w:rsidR="008637EF" w:rsidRPr="009B1235" w14:paraId="5D0B3E4B" w14:textId="77777777" w:rsidTr="00083923">
        <w:tc>
          <w:tcPr>
            <w:cnfStyle w:val="001000000000" w:firstRow="0" w:lastRow="0" w:firstColumn="1" w:lastColumn="0" w:oddVBand="0" w:evenVBand="0" w:oddHBand="0" w:evenHBand="0" w:firstRowFirstColumn="0" w:firstRowLastColumn="0" w:lastRowFirstColumn="0" w:lastRowLastColumn="0"/>
            <w:tcW w:w="0" w:type="auto"/>
            <w:hideMark/>
          </w:tcPr>
          <w:p w14:paraId="0C57B963" w14:textId="77777777" w:rsidR="008637EF" w:rsidRPr="009B1235" w:rsidRDefault="008637EF" w:rsidP="005A7661">
            <w:r w:rsidRPr="009B1235">
              <w:t>NM 03.02.102-1997</w:t>
            </w:r>
          </w:p>
        </w:tc>
        <w:tc>
          <w:tcPr>
            <w:tcW w:w="0" w:type="auto"/>
            <w:hideMark/>
          </w:tcPr>
          <w:p w14:paraId="1C6FB66D" w14:textId="77777777" w:rsidR="008637EF" w:rsidRPr="009B1235" w:rsidRDefault="008637EF" w:rsidP="005A7661">
            <w:pPr>
              <w:cnfStyle w:val="000000000000" w:firstRow="0" w:lastRow="0" w:firstColumn="0" w:lastColumn="0" w:oddVBand="0" w:evenVBand="0" w:oddHBand="0" w:evenHBand="0" w:firstRowFirstColumn="0" w:firstRowLastColumn="0" w:lastRowFirstColumn="0" w:lastRowLastColumn="0"/>
            </w:pPr>
            <w:r w:rsidRPr="009B1235">
              <w:t>Détermination du point éclair des préparations liquides inflammables</w:t>
            </w:r>
          </w:p>
        </w:tc>
        <w:tc>
          <w:tcPr>
            <w:tcW w:w="0" w:type="auto"/>
            <w:hideMark/>
          </w:tcPr>
          <w:p w14:paraId="04B63490" w14:textId="77777777" w:rsidR="008637EF" w:rsidRPr="009B1235" w:rsidRDefault="008637EF" w:rsidP="005A7661">
            <w:pPr>
              <w:cnfStyle w:val="000000000000" w:firstRow="0" w:lastRow="0" w:firstColumn="0" w:lastColumn="0" w:oddVBand="0" w:evenVBand="0" w:oddHBand="0" w:evenHBand="0" w:firstRowFirstColumn="0" w:firstRowLastColumn="0" w:lastRowFirstColumn="0" w:lastRowLastColumn="0"/>
            </w:pPr>
            <w:r w:rsidRPr="009B1235">
              <w:t>Prévention incendie liée au stockage et à la manipulation de liquides inflammables</w:t>
            </w:r>
          </w:p>
        </w:tc>
      </w:tr>
      <w:tr w:rsidR="008637EF" w:rsidRPr="009B1235" w14:paraId="488120C1" w14:textId="77777777" w:rsidTr="00083923">
        <w:tc>
          <w:tcPr>
            <w:cnfStyle w:val="001000000000" w:firstRow="0" w:lastRow="0" w:firstColumn="1" w:lastColumn="0" w:oddVBand="0" w:evenVBand="0" w:oddHBand="0" w:evenHBand="0" w:firstRowFirstColumn="0" w:firstRowLastColumn="0" w:lastRowFirstColumn="0" w:lastRowLastColumn="0"/>
            <w:tcW w:w="0" w:type="auto"/>
            <w:hideMark/>
          </w:tcPr>
          <w:p w14:paraId="1361B61D" w14:textId="77777777" w:rsidR="008637EF" w:rsidRPr="009B1235" w:rsidRDefault="008637EF" w:rsidP="005A7661">
            <w:r w:rsidRPr="009B1235">
              <w:t>NM ISO 11014-1-1997</w:t>
            </w:r>
          </w:p>
        </w:tc>
        <w:tc>
          <w:tcPr>
            <w:tcW w:w="0" w:type="auto"/>
            <w:hideMark/>
          </w:tcPr>
          <w:p w14:paraId="26943B79" w14:textId="77777777" w:rsidR="008637EF" w:rsidRPr="009B1235" w:rsidRDefault="008637EF" w:rsidP="005A7661">
            <w:pPr>
              <w:cnfStyle w:val="000000000000" w:firstRow="0" w:lastRow="0" w:firstColumn="0" w:lastColumn="0" w:oddVBand="0" w:evenVBand="0" w:oddHBand="0" w:evenHBand="0" w:firstRowFirstColumn="0" w:firstRowLastColumn="0" w:lastRowFirstColumn="0" w:lastRowLastColumn="0"/>
            </w:pPr>
            <w:r w:rsidRPr="009B1235">
              <w:t>Contenu et plan type des fiches de données de sécurité (FDS)</w:t>
            </w:r>
          </w:p>
        </w:tc>
        <w:tc>
          <w:tcPr>
            <w:tcW w:w="0" w:type="auto"/>
            <w:hideMark/>
          </w:tcPr>
          <w:p w14:paraId="1FBA48A2" w14:textId="77777777" w:rsidR="008637EF" w:rsidRPr="009B1235" w:rsidRDefault="008637EF" w:rsidP="005A7661">
            <w:pPr>
              <w:cnfStyle w:val="000000000000" w:firstRow="0" w:lastRow="0" w:firstColumn="0" w:lastColumn="0" w:oddVBand="0" w:evenVBand="0" w:oddHBand="0" w:evenHBand="0" w:firstRowFirstColumn="0" w:firstRowLastColumn="0" w:lastRowFirstColumn="0" w:lastRowLastColumn="0"/>
            </w:pPr>
            <w:r w:rsidRPr="009B1235">
              <w:t>Exiger des FDS auprès des fournisseurs et informer les travailleurs</w:t>
            </w:r>
          </w:p>
        </w:tc>
      </w:tr>
      <w:tr w:rsidR="008637EF" w:rsidRPr="009B1235" w14:paraId="0FDF7688" w14:textId="77777777" w:rsidTr="00083923">
        <w:tc>
          <w:tcPr>
            <w:cnfStyle w:val="001000000000" w:firstRow="0" w:lastRow="0" w:firstColumn="1" w:lastColumn="0" w:oddVBand="0" w:evenVBand="0" w:oddHBand="0" w:evenHBand="0" w:firstRowFirstColumn="0" w:firstRowLastColumn="0" w:lastRowFirstColumn="0" w:lastRowLastColumn="0"/>
            <w:tcW w:w="0" w:type="auto"/>
            <w:hideMark/>
          </w:tcPr>
          <w:p w14:paraId="1CD264E8" w14:textId="77777777" w:rsidR="008637EF" w:rsidRPr="009B1235" w:rsidRDefault="008637EF" w:rsidP="005A7661">
            <w:r w:rsidRPr="009B1235">
              <w:t>NM 21.9.011-1997</w:t>
            </w:r>
          </w:p>
        </w:tc>
        <w:tc>
          <w:tcPr>
            <w:tcW w:w="0" w:type="auto"/>
            <w:hideMark/>
          </w:tcPr>
          <w:p w14:paraId="4E75D51F" w14:textId="77777777" w:rsidR="008637EF" w:rsidRPr="009B1235" w:rsidRDefault="008637EF" w:rsidP="005A7661">
            <w:pPr>
              <w:cnfStyle w:val="000000000000" w:firstRow="0" w:lastRow="0" w:firstColumn="0" w:lastColumn="0" w:oddVBand="0" w:evenVBand="0" w:oddHBand="0" w:evenHBand="0" w:firstRowFirstColumn="0" w:firstRowLastColumn="0" w:lastRowFirstColumn="0" w:lastRowLastColumn="0"/>
            </w:pPr>
            <w:r w:rsidRPr="009B1235">
              <w:t>Protection contre l’incendie – signaux de sécurité</w:t>
            </w:r>
          </w:p>
        </w:tc>
        <w:tc>
          <w:tcPr>
            <w:tcW w:w="0" w:type="auto"/>
            <w:hideMark/>
          </w:tcPr>
          <w:p w14:paraId="197DF2FC" w14:textId="77777777" w:rsidR="008637EF" w:rsidRPr="009B1235" w:rsidRDefault="008637EF" w:rsidP="005A7661">
            <w:pPr>
              <w:cnfStyle w:val="000000000000" w:firstRow="0" w:lastRow="0" w:firstColumn="0" w:lastColumn="0" w:oddVBand="0" w:evenVBand="0" w:oddHBand="0" w:evenHBand="0" w:firstRowFirstColumn="0" w:firstRowLastColumn="0" w:lastRowFirstColumn="0" w:lastRowLastColumn="0"/>
            </w:pPr>
            <w:r w:rsidRPr="009B1235">
              <w:t>Signalisation normalisée sur le chantier et dans les installations</w:t>
            </w:r>
          </w:p>
        </w:tc>
      </w:tr>
      <w:tr w:rsidR="008637EF" w:rsidRPr="009B1235" w14:paraId="17CD6180" w14:textId="77777777" w:rsidTr="00083923">
        <w:tc>
          <w:tcPr>
            <w:cnfStyle w:val="001000000000" w:firstRow="0" w:lastRow="0" w:firstColumn="1" w:lastColumn="0" w:oddVBand="0" w:evenVBand="0" w:oddHBand="0" w:evenHBand="0" w:firstRowFirstColumn="0" w:firstRowLastColumn="0" w:lastRowFirstColumn="0" w:lastRowLastColumn="0"/>
            <w:tcW w:w="0" w:type="auto"/>
            <w:hideMark/>
          </w:tcPr>
          <w:p w14:paraId="0AD2EFBD" w14:textId="77777777" w:rsidR="008637EF" w:rsidRPr="009B1235" w:rsidRDefault="008637EF" w:rsidP="005A7661">
            <w:r w:rsidRPr="009B1235">
              <w:t>NM 21.9.012-1997</w:t>
            </w:r>
          </w:p>
        </w:tc>
        <w:tc>
          <w:tcPr>
            <w:tcW w:w="0" w:type="auto"/>
            <w:hideMark/>
          </w:tcPr>
          <w:p w14:paraId="5943DF34" w14:textId="77777777" w:rsidR="008637EF" w:rsidRPr="009B1235" w:rsidRDefault="008637EF" w:rsidP="005A7661">
            <w:pPr>
              <w:cnfStyle w:val="000000000000" w:firstRow="0" w:lastRow="0" w:firstColumn="0" w:lastColumn="0" w:oddVBand="0" w:evenVBand="0" w:oddHBand="0" w:evenHBand="0" w:firstRowFirstColumn="0" w:firstRowLastColumn="0" w:lastRowFirstColumn="0" w:lastRowLastColumn="0"/>
            </w:pPr>
            <w:r w:rsidRPr="009B1235">
              <w:t>Symboles graphiques pour plans de protection incendie</w:t>
            </w:r>
          </w:p>
        </w:tc>
        <w:tc>
          <w:tcPr>
            <w:tcW w:w="0" w:type="auto"/>
            <w:hideMark/>
          </w:tcPr>
          <w:p w14:paraId="1BD6BAEA" w14:textId="77777777" w:rsidR="008637EF" w:rsidRPr="009B1235" w:rsidRDefault="008637EF" w:rsidP="005A7661">
            <w:pPr>
              <w:cnfStyle w:val="000000000000" w:firstRow="0" w:lastRow="0" w:firstColumn="0" w:lastColumn="0" w:oddVBand="0" w:evenVBand="0" w:oddHBand="0" w:evenHBand="0" w:firstRowFirstColumn="0" w:firstRowLastColumn="0" w:lastRowFirstColumn="0" w:lastRowLastColumn="0"/>
            </w:pPr>
            <w:r w:rsidRPr="009B1235">
              <w:t>Plans de sécurité incendie conformes aux standards nationaux</w:t>
            </w:r>
          </w:p>
        </w:tc>
      </w:tr>
      <w:tr w:rsidR="008637EF" w:rsidRPr="009B1235" w14:paraId="289F792D" w14:textId="77777777" w:rsidTr="00083923">
        <w:tc>
          <w:tcPr>
            <w:cnfStyle w:val="001000000000" w:firstRow="0" w:lastRow="0" w:firstColumn="1" w:lastColumn="0" w:oddVBand="0" w:evenVBand="0" w:oddHBand="0" w:evenHBand="0" w:firstRowFirstColumn="0" w:firstRowLastColumn="0" w:lastRowFirstColumn="0" w:lastRowLastColumn="0"/>
            <w:tcW w:w="0" w:type="auto"/>
            <w:hideMark/>
          </w:tcPr>
          <w:p w14:paraId="3D2231B5" w14:textId="77777777" w:rsidR="008637EF" w:rsidRPr="009B1235" w:rsidRDefault="008637EF" w:rsidP="005A7661">
            <w:r w:rsidRPr="009B1235">
              <w:t>NM 21.9.013-1997 à NM 21.9.026-1999</w:t>
            </w:r>
          </w:p>
        </w:tc>
        <w:tc>
          <w:tcPr>
            <w:tcW w:w="0" w:type="auto"/>
            <w:hideMark/>
          </w:tcPr>
          <w:p w14:paraId="63D9CE29" w14:textId="77777777" w:rsidR="008637EF" w:rsidRPr="009B1235" w:rsidRDefault="008637EF" w:rsidP="005A7661">
            <w:pPr>
              <w:cnfStyle w:val="000000000000" w:firstRow="0" w:lastRow="0" w:firstColumn="0" w:lastColumn="0" w:oddVBand="0" w:evenVBand="0" w:oddHBand="0" w:evenHBand="0" w:firstRowFirstColumn="0" w:firstRowLastColumn="0" w:lastRowFirstColumn="0" w:lastRowLastColumn="0"/>
            </w:pPr>
            <w:r w:rsidRPr="009B1235">
              <w:t>Règles d’installation pour robinets d’incendie armés (RIA), extincteurs et installations fixes</w:t>
            </w:r>
          </w:p>
        </w:tc>
        <w:tc>
          <w:tcPr>
            <w:tcW w:w="0" w:type="auto"/>
            <w:hideMark/>
          </w:tcPr>
          <w:p w14:paraId="35C6D9D4" w14:textId="77777777" w:rsidR="008637EF" w:rsidRPr="009B1235" w:rsidRDefault="008637EF" w:rsidP="005A7661">
            <w:pPr>
              <w:cnfStyle w:val="000000000000" w:firstRow="0" w:lastRow="0" w:firstColumn="0" w:lastColumn="0" w:oddVBand="0" w:evenVBand="0" w:oddHBand="0" w:evenHBand="0" w:firstRowFirstColumn="0" w:firstRowLastColumn="0" w:lastRowFirstColumn="0" w:lastRowLastColumn="0"/>
            </w:pPr>
            <w:r w:rsidRPr="009B1235">
              <w:t>Dimensionnement et installation des équipements de lutte contre l’incendie</w:t>
            </w:r>
          </w:p>
        </w:tc>
      </w:tr>
      <w:tr w:rsidR="008637EF" w:rsidRPr="009B1235" w14:paraId="399ABCB1" w14:textId="77777777" w:rsidTr="00083923">
        <w:tc>
          <w:tcPr>
            <w:cnfStyle w:val="001000000000" w:firstRow="0" w:lastRow="0" w:firstColumn="1" w:lastColumn="0" w:oddVBand="0" w:evenVBand="0" w:oddHBand="0" w:evenHBand="0" w:firstRowFirstColumn="0" w:firstRowLastColumn="0" w:lastRowFirstColumn="0" w:lastRowLastColumn="0"/>
            <w:tcW w:w="0" w:type="auto"/>
            <w:hideMark/>
          </w:tcPr>
          <w:p w14:paraId="08F8810D" w14:textId="77777777" w:rsidR="008637EF" w:rsidRPr="009B1235" w:rsidRDefault="008637EF" w:rsidP="005A7661">
            <w:r w:rsidRPr="009B1235">
              <w:t>NM 21.9.043-1999</w:t>
            </w:r>
          </w:p>
        </w:tc>
        <w:tc>
          <w:tcPr>
            <w:tcW w:w="0" w:type="auto"/>
            <w:hideMark/>
          </w:tcPr>
          <w:p w14:paraId="407B910F" w14:textId="77777777" w:rsidR="008637EF" w:rsidRPr="009B1235" w:rsidRDefault="008637EF" w:rsidP="005A7661">
            <w:pPr>
              <w:cnfStyle w:val="000000000000" w:firstRow="0" w:lastRow="0" w:firstColumn="0" w:lastColumn="0" w:oddVBand="0" w:evenVBand="0" w:oddHBand="0" w:evenHBand="0" w:firstRowFirstColumn="0" w:firstRowLastColumn="0" w:lastRowFirstColumn="0" w:lastRowLastColumn="0"/>
            </w:pPr>
            <w:r w:rsidRPr="009B1235">
              <w:t>Extincteurs automatiques fixes individuels (feux classe B)</w:t>
            </w:r>
          </w:p>
        </w:tc>
        <w:tc>
          <w:tcPr>
            <w:tcW w:w="0" w:type="auto"/>
            <w:hideMark/>
          </w:tcPr>
          <w:p w14:paraId="5F78D546" w14:textId="77777777" w:rsidR="008637EF" w:rsidRPr="009B1235" w:rsidRDefault="008637EF" w:rsidP="005A7661">
            <w:pPr>
              <w:cnfStyle w:val="000000000000" w:firstRow="0" w:lastRow="0" w:firstColumn="0" w:lastColumn="0" w:oddVBand="0" w:evenVBand="0" w:oddHBand="0" w:evenHBand="0" w:firstRowFirstColumn="0" w:firstRowLastColumn="0" w:lastRowFirstColumn="0" w:lastRowLastColumn="0"/>
            </w:pPr>
            <w:r w:rsidRPr="009B1235">
              <w:t>Protection spécifique contre les feux de liquides inflammables</w:t>
            </w:r>
          </w:p>
        </w:tc>
      </w:tr>
      <w:tr w:rsidR="008637EF" w:rsidRPr="009B1235" w14:paraId="11FA332E" w14:textId="77777777" w:rsidTr="00083923">
        <w:tc>
          <w:tcPr>
            <w:cnfStyle w:val="001000000000" w:firstRow="0" w:lastRow="0" w:firstColumn="1" w:lastColumn="0" w:oddVBand="0" w:evenVBand="0" w:oddHBand="0" w:evenHBand="0" w:firstRowFirstColumn="0" w:firstRowLastColumn="0" w:lastRowFirstColumn="0" w:lastRowLastColumn="0"/>
            <w:tcW w:w="0" w:type="auto"/>
            <w:hideMark/>
          </w:tcPr>
          <w:p w14:paraId="0045991D" w14:textId="77777777" w:rsidR="008637EF" w:rsidRPr="009B1235" w:rsidRDefault="008637EF" w:rsidP="005A7661">
            <w:r w:rsidRPr="009B1235">
              <w:t>NM ISO 11602-1&amp;2-2006</w:t>
            </w:r>
          </w:p>
        </w:tc>
        <w:tc>
          <w:tcPr>
            <w:tcW w:w="0" w:type="auto"/>
            <w:hideMark/>
          </w:tcPr>
          <w:p w14:paraId="090F939A" w14:textId="77777777" w:rsidR="008637EF" w:rsidRPr="009B1235" w:rsidRDefault="008637EF" w:rsidP="005A7661">
            <w:pPr>
              <w:cnfStyle w:val="000000000000" w:firstRow="0" w:lastRow="0" w:firstColumn="0" w:lastColumn="0" w:oddVBand="0" w:evenVBand="0" w:oddHBand="0" w:evenHBand="0" w:firstRowFirstColumn="0" w:firstRowLastColumn="0" w:lastRowFirstColumn="0" w:lastRowLastColumn="0"/>
            </w:pPr>
            <w:r w:rsidRPr="009B1235">
              <w:t>Extincteurs portatifs et sur roues – choix et installation</w:t>
            </w:r>
          </w:p>
        </w:tc>
        <w:tc>
          <w:tcPr>
            <w:tcW w:w="0" w:type="auto"/>
            <w:hideMark/>
          </w:tcPr>
          <w:p w14:paraId="359E38EA" w14:textId="77777777" w:rsidR="008637EF" w:rsidRPr="009B1235" w:rsidRDefault="008637EF" w:rsidP="005A7661">
            <w:pPr>
              <w:cnfStyle w:val="000000000000" w:firstRow="0" w:lastRow="0" w:firstColumn="0" w:lastColumn="0" w:oddVBand="0" w:evenVBand="0" w:oddHBand="0" w:evenHBand="0" w:firstRowFirstColumn="0" w:firstRowLastColumn="0" w:lastRowFirstColumn="0" w:lastRowLastColumn="0"/>
            </w:pPr>
            <w:r w:rsidRPr="009B1235">
              <w:t>Définition des types et emplacements d’extincteurs sur chantier et dans les bâtiments</w:t>
            </w:r>
          </w:p>
        </w:tc>
      </w:tr>
    </w:tbl>
    <w:p w14:paraId="468A2F85" w14:textId="77777777" w:rsidR="008637EF" w:rsidRDefault="008637EF" w:rsidP="008637EF"/>
    <w:p w14:paraId="3E4DE9EB" w14:textId="77777777" w:rsidR="008637EF" w:rsidRDefault="008637EF" w:rsidP="008637EF">
      <w:pPr>
        <w:pStyle w:val="Title2"/>
        <w:spacing w:before="120" w:after="120"/>
      </w:pPr>
      <w:bookmarkStart w:id="187" w:name="_Toc215131812"/>
      <w:r w:rsidRPr="00EA0BE8">
        <w:t>Normes internationales environnementales et sociales</w:t>
      </w:r>
      <w:bookmarkEnd w:id="187"/>
    </w:p>
    <w:p w14:paraId="4E13A5BA" w14:textId="77777777" w:rsidR="008637EF" w:rsidRPr="00030C3B" w:rsidRDefault="008637EF" w:rsidP="008637EF">
      <w:pPr>
        <w:pStyle w:val="Title3"/>
      </w:pPr>
      <w:bookmarkStart w:id="188" w:name="_Toc215131813"/>
      <w:r w:rsidRPr="00030C3B">
        <w:t xml:space="preserve">Normes régissant la </w:t>
      </w:r>
      <w:r>
        <w:t>P</w:t>
      </w:r>
      <w:r w:rsidRPr="00030C3B">
        <w:t xml:space="preserve">ollution </w:t>
      </w:r>
      <w:r>
        <w:t>S</w:t>
      </w:r>
      <w:r w:rsidRPr="00030C3B">
        <w:t>onore</w:t>
      </w:r>
      <w:bookmarkEnd w:id="188"/>
    </w:p>
    <w:p w14:paraId="62C9A3BD" w14:textId="77777777" w:rsidR="008637EF" w:rsidRDefault="008637EF" w:rsidP="008637EF">
      <w:r>
        <w:t>En l’absence de réglementation marocaine régissant la pollution sonore, on s’appuie sur la réglementation internationale fixant les normes de pollution sonore.</w:t>
      </w:r>
    </w:p>
    <w:p w14:paraId="6C9B7B53" w14:textId="77777777" w:rsidR="008637EF" w:rsidRDefault="008637EF" w:rsidP="008637EF">
      <w:r>
        <w:t>La réglementation fixe, pour les installations classées, des niveaux sonores limites admissibles par le voisinage et un niveau maximal d’émergence du bruit des installations par rapport au bruit ambiant.</w:t>
      </w:r>
    </w:p>
    <w:p w14:paraId="23D70E0C" w14:textId="77777777" w:rsidR="008637EF" w:rsidRDefault="008637EF" w:rsidP="008637EF">
      <w:r>
        <w:lastRenderedPageBreak/>
        <w:t>Pour les valeurs admissibles d’émergence, les émissions sonores d’une installation classée ne doivent pas engendrer dans les Zones à Emergence Réglementée (ZER), une émergence supérieure aux valeurs admissibles fixées dans le tableau suivant :</w:t>
      </w:r>
    </w:p>
    <w:p w14:paraId="0C42B59C" w14:textId="68FE1014" w:rsidR="008637EF" w:rsidRPr="0055126B" w:rsidRDefault="008637EF" w:rsidP="008637EF">
      <w:pPr>
        <w:pStyle w:val="Lgende"/>
        <w:keepNext/>
      </w:pPr>
      <w:bookmarkStart w:id="189" w:name="_Toc213404343"/>
      <w:r>
        <w:t xml:space="preserve">Tableau </w:t>
      </w:r>
      <w:r>
        <w:fldChar w:fldCharType="begin"/>
      </w:r>
      <w:r>
        <w:instrText xml:space="preserve"> SEQ Tableau \* ARABIC </w:instrText>
      </w:r>
      <w:r>
        <w:fldChar w:fldCharType="separate"/>
      </w:r>
      <w:r w:rsidR="00274E71">
        <w:rPr>
          <w:noProof/>
        </w:rPr>
        <w:t>20</w:t>
      </w:r>
      <w:r>
        <w:fldChar w:fldCharType="end"/>
      </w:r>
      <w:r>
        <w:rPr>
          <w:noProof/>
          <w:lang w:val="fr-FR"/>
        </w:rPr>
        <w:t>:</w:t>
      </w:r>
      <w:r>
        <w:rPr>
          <w:rFonts w:hint="eastAsia"/>
          <w:lang w:eastAsia="zh-CN"/>
        </w:rPr>
        <w:t xml:space="preserve"> </w:t>
      </w:r>
      <w:r w:rsidRPr="00523C0C">
        <w:rPr>
          <w:lang w:val="fr-FR"/>
        </w:rPr>
        <w:t>Valeurs admissibles du bruit</w:t>
      </w:r>
      <w:bookmarkEnd w:id="189"/>
    </w:p>
    <w:tbl>
      <w:tblPr>
        <w:tblStyle w:val="TableauGrille1Clair-Accentuation111"/>
        <w:tblpPr w:leftFromText="141" w:rightFromText="141" w:vertAnchor="text" w:horzAnchor="margin" w:tblpXSpec="center" w:tblpY="-15"/>
        <w:tblW w:w="5000" w:type="pct"/>
        <w:tblLook w:val="04A0" w:firstRow="1" w:lastRow="0" w:firstColumn="1" w:lastColumn="0" w:noHBand="0" w:noVBand="1"/>
      </w:tblPr>
      <w:tblGrid>
        <w:gridCol w:w="3976"/>
        <w:gridCol w:w="2615"/>
        <w:gridCol w:w="2471"/>
      </w:tblGrid>
      <w:tr w:rsidR="008637EF" w:rsidRPr="00400F1B" w14:paraId="16502ED5" w14:textId="77777777" w:rsidTr="00083923">
        <w:trPr>
          <w:cnfStyle w:val="100000000000" w:firstRow="1" w:lastRow="0" w:firstColumn="0" w:lastColumn="0" w:oddVBand="0" w:evenVBand="0" w:oddHBand="0" w:evenHBand="0" w:firstRowFirstColumn="0" w:firstRowLastColumn="0" w:lastRowFirstColumn="0" w:lastRowLastColumn="0"/>
          <w:trHeight w:val="411"/>
        </w:trPr>
        <w:tc>
          <w:tcPr>
            <w:cnfStyle w:val="001000000000" w:firstRow="0" w:lastRow="0" w:firstColumn="1" w:lastColumn="0" w:oddVBand="0" w:evenVBand="0" w:oddHBand="0" w:evenHBand="0" w:firstRowFirstColumn="0" w:firstRowLastColumn="0" w:lastRowFirstColumn="0" w:lastRowLastColumn="0"/>
            <w:tcW w:w="0" w:type="auto"/>
          </w:tcPr>
          <w:p w14:paraId="763DCD94" w14:textId="77777777" w:rsidR="008637EF" w:rsidRPr="00400F1B" w:rsidRDefault="008637EF" w:rsidP="005A7661">
            <w:pPr>
              <w:keepNext/>
              <w:spacing w:before="0" w:after="0"/>
              <w:jc w:val="center"/>
              <w:rPr>
                <w:b w:val="0"/>
                <w:bCs w:val="0"/>
                <w:szCs w:val="20"/>
              </w:rPr>
            </w:pPr>
            <w:r w:rsidRPr="00400F1B">
              <w:rPr>
                <w:rStyle w:val="lev"/>
                <w:b/>
                <w:bCs/>
                <w:szCs w:val="20"/>
              </w:rPr>
              <w:t>Niveau de bruit ambiant dans les ZER (incluant le bruit de l’établissement)</w:t>
            </w:r>
          </w:p>
        </w:tc>
        <w:tc>
          <w:tcPr>
            <w:tcW w:w="0" w:type="auto"/>
            <w:gridSpan w:val="2"/>
          </w:tcPr>
          <w:p w14:paraId="3C04918A" w14:textId="77777777" w:rsidR="008637EF" w:rsidRPr="00400F1B" w:rsidRDefault="008637EF" w:rsidP="005A7661">
            <w:pPr>
              <w:keepNext/>
              <w:spacing w:before="0" w:after="0"/>
              <w:jc w:val="center"/>
              <w:cnfStyle w:val="100000000000" w:firstRow="1" w:lastRow="0" w:firstColumn="0" w:lastColumn="0" w:oddVBand="0" w:evenVBand="0" w:oddHBand="0" w:evenHBand="0" w:firstRowFirstColumn="0" w:firstRowLastColumn="0" w:lastRowFirstColumn="0" w:lastRowLastColumn="0"/>
              <w:rPr>
                <w:b w:val="0"/>
                <w:bCs w:val="0"/>
                <w:szCs w:val="20"/>
              </w:rPr>
            </w:pPr>
            <w:r w:rsidRPr="00400F1B">
              <w:rPr>
                <w:rStyle w:val="lev"/>
                <w:b/>
                <w:bCs/>
                <w:szCs w:val="20"/>
              </w:rPr>
              <w:t>Emergence admissible E dB(A)</w:t>
            </w:r>
          </w:p>
        </w:tc>
      </w:tr>
      <w:tr w:rsidR="008637EF" w:rsidRPr="00400F1B" w14:paraId="713AC0B9" w14:textId="77777777" w:rsidTr="00083923">
        <w:trPr>
          <w:trHeight w:val="378"/>
        </w:trPr>
        <w:tc>
          <w:tcPr>
            <w:cnfStyle w:val="001000000000" w:firstRow="0" w:lastRow="0" w:firstColumn="1" w:lastColumn="0" w:oddVBand="0" w:evenVBand="0" w:oddHBand="0" w:evenHBand="0" w:firstRowFirstColumn="0" w:firstRowLastColumn="0" w:lastRowFirstColumn="0" w:lastRowLastColumn="0"/>
            <w:tcW w:w="0" w:type="auto"/>
          </w:tcPr>
          <w:p w14:paraId="1D2150BC" w14:textId="77777777" w:rsidR="008637EF" w:rsidRPr="00400F1B" w:rsidRDefault="008637EF" w:rsidP="005A7661">
            <w:pPr>
              <w:keepNext/>
              <w:spacing w:before="0" w:after="0"/>
              <w:rPr>
                <w:szCs w:val="20"/>
              </w:rPr>
            </w:pPr>
          </w:p>
        </w:tc>
        <w:tc>
          <w:tcPr>
            <w:tcW w:w="0" w:type="auto"/>
          </w:tcPr>
          <w:p w14:paraId="22230E58" w14:textId="77777777" w:rsidR="008637EF" w:rsidRPr="00400F1B" w:rsidRDefault="008637EF" w:rsidP="005A7661">
            <w:pPr>
              <w:keepNext/>
              <w:spacing w:before="0" w:after="0"/>
              <w:cnfStyle w:val="000000000000" w:firstRow="0" w:lastRow="0" w:firstColumn="0" w:lastColumn="0" w:oddVBand="0" w:evenVBand="0" w:oddHBand="0" w:evenHBand="0" w:firstRowFirstColumn="0" w:firstRowLastColumn="0" w:lastRowFirstColumn="0" w:lastRowLastColumn="0"/>
              <w:rPr>
                <w:szCs w:val="20"/>
              </w:rPr>
            </w:pPr>
            <w:r w:rsidRPr="00400F1B">
              <w:rPr>
                <w:szCs w:val="20"/>
              </w:rPr>
              <w:t>Période 7h – 22 h sauf dimanches et jours fériés</w:t>
            </w:r>
          </w:p>
        </w:tc>
        <w:tc>
          <w:tcPr>
            <w:tcW w:w="0" w:type="auto"/>
          </w:tcPr>
          <w:p w14:paraId="35EA1BD6" w14:textId="77777777" w:rsidR="008637EF" w:rsidRPr="00400F1B" w:rsidRDefault="008637EF" w:rsidP="005A7661">
            <w:pPr>
              <w:keepNext/>
              <w:spacing w:before="0" w:after="0"/>
              <w:cnfStyle w:val="000000000000" w:firstRow="0" w:lastRow="0" w:firstColumn="0" w:lastColumn="0" w:oddVBand="0" w:evenVBand="0" w:oddHBand="0" w:evenHBand="0" w:firstRowFirstColumn="0" w:firstRowLastColumn="0" w:lastRowFirstColumn="0" w:lastRowLastColumn="0"/>
              <w:rPr>
                <w:szCs w:val="20"/>
              </w:rPr>
            </w:pPr>
            <w:r w:rsidRPr="00400F1B">
              <w:rPr>
                <w:szCs w:val="20"/>
              </w:rPr>
              <w:t>Période 22h – 7h + dimanches et jours fériés</w:t>
            </w:r>
          </w:p>
        </w:tc>
      </w:tr>
      <w:tr w:rsidR="008637EF" w:rsidRPr="00400F1B" w14:paraId="67007178" w14:textId="77777777" w:rsidTr="00083923">
        <w:trPr>
          <w:trHeight w:val="382"/>
        </w:trPr>
        <w:tc>
          <w:tcPr>
            <w:cnfStyle w:val="001000000000" w:firstRow="0" w:lastRow="0" w:firstColumn="1" w:lastColumn="0" w:oddVBand="0" w:evenVBand="0" w:oddHBand="0" w:evenHBand="0" w:firstRowFirstColumn="0" w:firstRowLastColumn="0" w:lastRowFirstColumn="0" w:lastRowLastColumn="0"/>
            <w:tcW w:w="0" w:type="auto"/>
          </w:tcPr>
          <w:p w14:paraId="76006D31" w14:textId="77777777" w:rsidR="008637EF" w:rsidRPr="00400F1B" w:rsidRDefault="008637EF" w:rsidP="005A7661">
            <w:pPr>
              <w:keepNext/>
              <w:spacing w:before="0" w:after="0"/>
              <w:rPr>
                <w:szCs w:val="20"/>
              </w:rPr>
            </w:pPr>
            <w:r w:rsidRPr="00400F1B">
              <w:rPr>
                <w:szCs w:val="20"/>
              </w:rPr>
              <w:t>&gt;35 dB(A) et ≤ 45 dB(A)</w:t>
            </w:r>
          </w:p>
        </w:tc>
        <w:tc>
          <w:tcPr>
            <w:tcW w:w="0" w:type="auto"/>
          </w:tcPr>
          <w:p w14:paraId="0969F7E6" w14:textId="77777777" w:rsidR="008637EF" w:rsidRPr="00400F1B" w:rsidRDefault="008637EF" w:rsidP="005A7661">
            <w:pPr>
              <w:keepNext/>
              <w:spacing w:before="0" w:after="0"/>
              <w:cnfStyle w:val="000000000000" w:firstRow="0" w:lastRow="0" w:firstColumn="0" w:lastColumn="0" w:oddVBand="0" w:evenVBand="0" w:oddHBand="0" w:evenHBand="0" w:firstRowFirstColumn="0" w:firstRowLastColumn="0" w:lastRowFirstColumn="0" w:lastRowLastColumn="0"/>
              <w:rPr>
                <w:szCs w:val="20"/>
              </w:rPr>
            </w:pPr>
            <w:r w:rsidRPr="00400F1B">
              <w:rPr>
                <w:szCs w:val="20"/>
              </w:rPr>
              <w:t>6 dB(A)</w:t>
            </w:r>
          </w:p>
        </w:tc>
        <w:tc>
          <w:tcPr>
            <w:tcW w:w="0" w:type="auto"/>
          </w:tcPr>
          <w:p w14:paraId="4157F936" w14:textId="77777777" w:rsidR="008637EF" w:rsidRPr="00400F1B" w:rsidRDefault="008637EF" w:rsidP="005A7661">
            <w:pPr>
              <w:keepNext/>
              <w:spacing w:before="0" w:after="0"/>
              <w:cnfStyle w:val="000000000000" w:firstRow="0" w:lastRow="0" w:firstColumn="0" w:lastColumn="0" w:oddVBand="0" w:evenVBand="0" w:oddHBand="0" w:evenHBand="0" w:firstRowFirstColumn="0" w:firstRowLastColumn="0" w:lastRowFirstColumn="0" w:lastRowLastColumn="0"/>
              <w:rPr>
                <w:szCs w:val="20"/>
              </w:rPr>
            </w:pPr>
            <w:r w:rsidRPr="00400F1B">
              <w:rPr>
                <w:szCs w:val="20"/>
              </w:rPr>
              <w:t>4 dB(A)</w:t>
            </w:r>
          </w:p>
        </w:tc>
      </w:tr>
      <w:tr w:rsidR="008637EF" w:rsidRPr="00400F1B" w14:paraId="305CB276" w14:textId="77777777" w:rsidTr="00083923">
        <w:trPr>
          <w:trHeight w:val="274"/>
        </w:trPr>
        <w:tc>
          <w:tcPr>
            <w:cnfStyle w:val="001000000000" w:firstRow="0" w:lastRow="0" w:firstColumn="1" w:lastColumn="0" w:oddVBand="0" w:evenVBand="0" w:oddHBand="0" w:evenHBand="0" w:firstRowFirstColumn="0" w:firstRowLastColumn="0" w:lastRowFirstColumn="0" w:lastRowLastColumn="0"/>
            <w:tcW w:w="0" w:type="auto"/>
          </w:tcPr>
          <w:p w14:paraId="170DF52B" w14:textId="77777777" w:rsidR="008637EF" w:rsidRPr="00400F1B" w:rsidRDefault="008637EF" w:rsidP="005A7661">
            <w:pPr>
              <w:keepNext/>
              <w:spacing w:before="0" w:after="0"/>
              <w:rPr>
                <w:szCs w:val="20"/>
              </w:rPr>
            </w:pPr>
            <w:r w:rsidRPr="00400F1B">
              <w:rPr>
                <w:szCs w:val="20"/>
              </w:rPr>
              <w:t>&gt; 45 dB(A)</w:t>
            </w:r>
          </w:p>
        </w:tc>
        <w:tc>
          <w:tcPr>
            <w:tcW w:w="0" w:type="auto"/>
          </w:tcPr>
          <w:p w14:paraId="0D832DAB" w14:textId="77777777" w:rsidR="008637EF" w:rsidRPr="00400F1B" w:rsidRDefault="008637EF" w:rsidP="005A7661">
            <w:pPr>
              <w:keepNext/>
              <w:spacing w:before="0" w:after="0"/>
              <w:cnfStyle w:val="000000000000" w:firstRow="0" w:lastRow="0" w:firstColumn="0" w:lastColumn="0" w:oddVBand="0" w:evenVBand="0" w:oddHBand="0" w:evenHBand="0" w:firstRowFirstColumn="0" w:firstRowLastColumn="0" w:lastRowFirstColumn="0" w:lastRowLastColumn="0"/>
              <w:rPr>
                <w:szCs w:val="20"/>
              </w:rPr>
            </w:pPr>
            <w:r w:rsidRPr="00400F1B">
              <w:rPr>
                <w:szCs w:val="20"/>
              </w:rPr>
              <w:t>5 dB(A)</w:t>
            </w:r>
          </w:p>
        </w:tc>
        <w:tc>
          <w:tcPr>
            <w:tcW w:w="0" w:type="auto"/>
          </w:tcPr>
          <w:p w14:paraId="7C7BB1B0" w14:textId="77777777" w:rsidR="008637EF" w:rsidRPr="00400F1B" w:rsidRDefault="008637EF" w:rsidP="005A7661">
            <w:pPr>
              <w:keepNext/>
              <w:spacing w:before="0" w:after="0"/>
              <w:cnfStyle w:val="000000000000" w:firstRow="0" w:lastRow="0" w:firstColumn="0" w:lastColumn="0" w:oddVBand="0" w:evenVBand="0" w:oddHBand="0" w:evenHBand="0" w:firstRowFirstColumn="0" w:firstRowLastColumn="0" w:lastRowFirstColumn="0" w:lastRowLastColumn="0"/>
              <w:rPr>
                <w:szCs w:val="20"/>
              </w:rPr>
            </w:pPr>
            <w:r w:rsidRPr="00400F1B">
              <w:rPr>
                <w:szCs w:val="20"/>
              </w:rPr>
              <w:t>3 dB(A)</w:t>
            </w:r>
          </w:p>
        </w:tc>
      </w:tr>
    </w:tbl>
    <w:p w14:paraId="6F3726B7" w14:textId="77777777" w:rsidR="008637EF" w:rsidRPr="00DF3974" w:rsidRDefault="008637EF" w:rsidP="008637EF">
      <w:pPr>
        <w:spacing w:before="0"/>
        <w:rPr>
          <w:i/>
          <w:iCs/>
          <w:sz w:val="18"/>
          <w:szCs w:val="18"/>
        </w:rPr>
      </w:pPr>
      <w:r w:rsidRPr="00273BD5">
        <w:rPr>
          <w:i/>
          <w:iCs/>
          <w:sz w:val="18"/>
          <w:szCs w:val="18"/>
        </w:rPr>
        <w:t xml:space="preserve">Source : </w:t>
      </w:r>
      <w:r w:rsidRPr="00DF3974">
        <w:rPr>
          <w:i/>
          <w:iCs/>
          <w:sz w:val="18"/>
          <w:szCs w:val="18"/>
        </w:rPr>
        <w:t>Arrêté du 23 janvier 1997 relatif à la limitation des bruits émis dans l'environnement par les installations classées pour la protection de l'environnement</w:t>
      </w:r>
    </w:p>
    <w:p w14:paraId="31D5301E" w14:textId="77777777" w:rsidR="008637EF" w:rsidRPr="002839F8" w:rsidRDefault="008637EF" w:rsidP="008637EF">
      <w:pPr>
        <w:spacing w:before="240"/>
      </w:pPr>
      <w:r w:rsidRPr="002839F8">
        <w:t xml:space="preserve">Les niveaux admissibles en limites de propriété ne peuvent excéder </w:t>
      </w:r>
      <w:r w:rsidRPr="002839F8">
        <w:rPr>
          <w:b/>
          <w:bCs/>
        </w:rPr>
        <w:t>70 dB(A) pour la période de jour et 60 dB(A) pour la période de nuit</w:t>
      </w:r>
      <w:r w:rsidRPr="002839F8">
        <w:t>, sauf si le bruit résiduel pour la période considérée est supérieur à cette limite.</w:t>
      </w:r>
    </w:p>
    <w:p w14:paraId="5AA3CFA1" w14:textId="77777777" w:rsidR="008637EF" w:rsidRPr="002839F8" w:rsidRDefault="008637EF" w:rsidP="008637EF">
      <w:r w:rsidRPr="002839F8">
        <w:t>Dans le cas des installations situées dans un immeuble d’habitation, si l’installation est située dans un immeuble habité ou occupé par des tiers, les niveaux admissibles de bruit à retenir à l’intérieur des locaux voisins habités ou occupés par des tiers ne doivent pas dépasser les valeurs ci-après :</w:t>
      </w:r>
    </w:p>
    <w:p w14:paraId="5961406F" w14:textId="15A1485B" w:rsidR="008637EF" w:rsidRPr="002A0860" w:rsidRDefault="008637EF" w:rsidP="008637EF">
      <w:pPr>
        <w:pStyle w:val="Lgende"/>
        <w:keepNext/>
        <w:rPr>
          <w:lang w:val="fr-FR"/>
        </w:rPr>
      </w:pPr>
      <w:bookmarkStart w:id="190" w:name="_Toc213404344"/>
      <w:r w:rsidRPr="002A0860">
        <w:rPr>
          <w:lang w:val="fr-FR"/>
        </w:rPr>
        <w:t xml:space="preserve">Tableau </w:t>
      </w:r>
      <w:r>
        <w:fldChar w:fldCharType="begin"/>
      </w:r>
      <w:r w:rsidRPr="002A0860">
        <w:rPr>
          <w:lang w:val="fr-FR"/>
        </w:rPr>
        <w:instrText xml:space="preserve"> SEQ Tableau \* ARABIC </w:instrText>
      </w:r>
      <w:r>
        <w:fldChar w:fldCharType="separate"/>
      </w:r>
      <w:r w:rsidR="00274E71">
        <w:rPr>
          <w:noProof/>
          <w:lang w:val="fr-FR"/>
        </w:rPr>
        <w:t>21</w:t>
      </w:r>
      <w:r>
        <w:fldChar w:fldCharType="end"/>
      </w:r>
      <w:r>
        <w:rPr>
          <w:noProof/>
          <w:lang w:val="fr-FR"/>
        </w:rPr>
        <w:t>:</w:t>
      </w:r>
      <w:r w:rsidRPr="002A0860">
        <w:rPr>
          <w:rFonts w:hint="eastAsia"/>
          <w:lang w:val="fr-FR" w:eastAsia="zh-CN"/>
        </w:rPr>
        <w:t xml:space="preserve"> </w:t>
      </w:r>
      <w:r w:rsidRPr="00523C0C">
        <w:rPr>
          <w:lang w:val="fr-FR"/>
        </w:rPr>
        <w:t>Niveaux admissibles de bruit à retenir à l’intérieur des locaux</w:t>
      </w:r>
      <w:bookmarkEnd w:id="190"/>
    </w:p>
    <w:tbl>
      <w:tblPr>
        <w:tblStyle w:val="TableauGrille4-Accentuation1"/>
        <w:tblW w:w="4836" w:type="pct"/>
        <w:jc w:val="center"/>
        <w:tblLook w:val="04A0" w:firstRow="1" w:lastRow="0" w:firstColumn="1" w:lastColumn="0" w:noHBand="0" w:noVBand="1"/>
      </w:tblPr>
      <w:tblGrid>
        <w:gridCol w:w="3463"/>
        <w:gridCol w:w="1295"/>
        <w:gridCol w:w="2598"/>
        <w:gridCol w:w="1409"/>
      </w:tblGrid>
      <w:tr w:rsidR="008637EF" w:rsidRPr="00400F1B" w14:paraId="3E03B936" w14:textId="77777777" w:rsidTr="005A7661">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975" w:type="pct"/>
            <w:shd w:val="clear" w:color="auto" w:fill="0028A8"/>
          </w:tcPr>
          <w:p w14:paraId="02F1C037" w14:textId="77777777" w:rsidR="008637EF" w:rsidRPr="00400F1B" w:rsidRDefault="008637EF" w:rsidP="005A7661">
            <w:pPr>
              <w:jc w:val="center"/>
              <w:rPr>
                <w:rStyle w:val="lev"/>
                <w:b/>
                <w:bCs/>
                <w:sz w:val="20"/>
                <w:szCs w:val="20"/>
              </w:rPr>
            </w:pPr>
            <w:r w:rsidRPr="00400F1B">
              <w:rPr>
                <w:rStyle w:val="lev"/>
                <w:b/>
                <w:bCs/>
                <w:sz w:val="20"/>
                <w:szCs w:val="20"/>
              </w:rPr>
              <w:t>Type de locaux</w:t>
            </w:r>
          </w:p>
        </w:tc>
        <w:tc>
          <w:tcPr>
            <w:tcW w:w="739" w:type="pct"/>
            <w:shd w:val="clear" w:color="auto" w:fill="0028A8"/>
          </w:tcPr>
          <w:p w14:paraId="0F67A1F3" w14:textId="77777777" w:rsidR="008637EF" w:rsidRPr="00400F1B" w:rsidRDefault="008637EF" w:rsidP="005A7661">
            <w:pPr>
              <w:jc w:val="center"/>
              <w:cnfStyle w:val="100000000000" w:firstRow="1" w:lastRow="0" w:firstColumn="0" w:lastColumn="0" w:oddVBand="0" w:evenVBand="0" w:oddHBand="0" w:evenHBand="0" w:firstRowFirstColumn="0" w:firstRowLastColumn="0" w:lastRowFirstColumn="0" w:lastRowLastColumn="0"/>
              <w:rPr>
                <w:rStyle w:val="lev"/>
                <w:b/>
                <w:bCs/>
                <w:sz w:val="20"/>
                <w:szCs w:val="20"/>
              </w:rPr>
            </w:pPr>
            <w:r w:rsidRPr="00400F1B">
              <w:rPr>
                <w:rStyle w:val="lev"/>
                <w:b/>
                <w:bCs/>
                <w:sz w:val="20"/>
                <w:szCs w:val="20"/>
              </w:rPr>
              <w:t>Jour</w:t>
            </w:r>
          </w:p>
        </w:tc>
        <w:tc>
          <w:tcPr>
            <w:tcW w:w="0" w:type="auto"/>
            <w:shd w:val="clear" w:color="auto" w:fill="0028A8"/>
          </w:tcPr>
          <w:p w14:paraId="15BCA1F4" w14:textId="77777777" w:rsidR="008637EF" w:rsidRPr="00400F1B" w:rsidRDefault="008637EF" w:rsidP="005A7661">
            <w:pPr>
              <w:jc w:val="center"/>
              <w:cnfStyle w:val="100000000000" w:firstRow="1" w:lastRow="0" w:firstColumn="0" w:lastColumn="0" w:oddVBand="0" w:evenVBand="0" w:oddHBand="0" w:evenHBand="0" w:firstRowFirstColumn="0" w:firstRowLastColumn="0" w:lastRowFirstColumn="0" w:lastRowLastColumn="0"/>
              <w:rPr>
                <w:rStyle w:val="lev"/>
                <w:b/>
                <w:bCs/>
                <w:sz w:val="20"/>
                <w:szCs w:val="20"/>
              </w:rPr>
            </w:pPr>
            <w:r w:rsidRPr="00400F1B">
              <w:rPr>
                <w:rStyle w:val="lev"/>
                <w:b/>
                <w:bCs/>
                <w:sz w:val="20"/>
                <w:szCs w:val="20"/>
              </w:rPr>
              <w:t>Période intermédiaire</w:t>
            </w:r>
          </w:p>
        </w:tc>
        <w:tc>
          <w:tcPr>
            <w:tcW w:w="804" w:type="pct"/>
            <w:shd w:val="clear" w:color="auto" w:fill="0028A8"/>
          </w:tcPr>
          <w:p w14:paraId="009DBA61" w14:textId="77777777" w:rsidR="008637EF" w:rsidRPr="00400F1B" w:rsidRDefault="008637EF" w:rsidP="005A7661">
            <w:pPr>
              <w:jc w:val="center"/>
              <w:cnfStyle w:val="100000000000" w:firstRow="1" w:lastRow="0" w:firstColumn="0" w:lastColumn="0" w:oddVBand="0" w:evenVBand="0" w:oddHBand="0" w:evenHBand="0" w:firstRowFirstColumn="0" w:firstRowLastColumn="0" w:lastRowFirstColumn="0" w:lastRowLastColumn="0"/>
              <w:rPr>
                <w:rStyle w:val="lev"/>
                <w:b/>
                <w:bCs/>
                <w:sz w:val="20"/>
                <w:szCs w:val="20"/>
              </w:rPr>
            </w:pPr>
            <w:r w:rsidRPr="00400F1B">
              <w:rPr>
                <w:rStyle w:val="lev"/>
                <w:b/>
                <w:bCs/>
                <w:sz w:val="20"/>
                <w:szCs w:val="20"/>
              </w:rPr>
              <w:t>Nuit</w:t>
            </w:r>
          </w:p>
        </w:tc>
      </w:tr>
      <w:tr w:rsidR="008637EF" w:rsidRPr="00400F1B" w14:paraId="5809BC4D" w14:textId="77777777" w:rsidTr="005A766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975" w:type="pct"/>
            <w:shd w:val="clear" w:color="auto" w:fill="auto"/>
          </w:tcPr>
          <w:p w14:paraId="2FE51945" w14:textId="77777777" w:rsidR="008637EF" w:rsidRPr="00400F1B" w:rsidRDefault="008637EF" w:rsidP="005A7661">
            <w:pPr>
              <w:jc w:val="left"/>
              <w:rPr>
                <w:rStyle w:val="lev"/>
                <w:b/>
                <w:bCs/>
                <w:sz w:val="20"/>
                <w:szCs w:val="20"/>
              </w:rPr>
            </w:pPr>
            <w:r w:rsidRPr="00400F1B">
              <w:rPr>
                <w:rStyle w:val="lev"/>
                <w:b/>
                <w:bCs/>
                <w:sz w:val="20"/>
                <w:szCs w:val="20"/>
              </w:rPr>
              <w:t>Locaux d’habitation, de soins, de repos, d’enseignement</w:t>
            </w:r>
          </w:p>
        </w:tc>
        <w:tc>
          <w:tcPr>
            <w:tcW w:w="739" w:type="pct"/>
            <w:shd w:val="clear" w:color="auto" w:fill="auto"/>
          </w:tcPr>
          <w:p w14:paraId="03074A68" w14:textId="77777777" w:rsidR="008637EF" w:rsidRPr="00400F1B" w:rsidRDefault="008637EF" w:rsidP="005A7661">
            <w:pPr>
              <w:cnfStyle w:val="000000100000" w:firstRow="0" w:lastRow="0" w:firstColumn="0" w:lastColumn="0" w:oddVBand="0" w:evenVBand="0" w:oddHBand="1" w:evenHBand="0" w:firstRowFirstColumn="0" w:firstRowLastColumn="0" w:lastRowFirstColumn="0" w:lastRowLastColumn="0"/>
              <w:rPr>
                <w:rStyle w:val="lev"/>
                <w:b w:val="0"/>
                <w:bCs w:val="0"/>
                <w:sz w:val="20"/>
                <w:szCs w:val="20"/>
              </w:rPr>
            </w:pPr>
            <w:r w:rsidRPr="00400F1B">
              <w:rPr>
                <w:rStyle w:val="lev"/>
                <w:b w:val="0"/>
                <w:bCs w:val="0"/>
                <w:sz w:val="20"/>
                <w:szCs w:val="20"/>
              </w:rPr>
              <w:t>35 dB(A)</w:t>
            </w:r>
          </w:p>
        </w:tc>
        <w:tc>
          <w:tcPr>
            <w:tcW w:w="0" w:type="auto"/>
            <w:shd w:val="clear" w:color="auto" w:fill="auto"/>
          </w:tcPr>
          <w:p w14:paraId="49BE1F31" w14:textId="77777777" w:rsidR="008637EF" w:rsidRPr="00400F1B" w:rsidRDefault="008637EF" w:rsidP="005A7661">
            <w:pPr>
              <w:cnfStyle w:val="000000100000" w:firstRow="0" w:lastRow="0" w:firstColumn="0" w:lastColumn="0" w:oddVBand="0" w:evenVBand="0" w:oddHBand="1" w:evenHBand="0" w:firstRowFirstColumn="0" w:firstRowLastColumn="0" w:lastRowFirstColumn="0" w:lastRowLastColumn="0"/>
              <w:rPr>
                <w:rStyle w:val="lev"/>
                <w:b w:val="0"/>
                <w:bCs w:val="0"/>
                <w:sz w:val="20"/>
                <w:szCs w:val="20"/>
              </w:rPr>
            </w:pPr>
            <w:r w:rsidRPr="00400F1B">
              <w:rPr>
                <w:rStyle w:val="lev"/>
                <w:b w:val="0"/>
                <w:bCs w:val="0"/>
                <w:sz w:val="20"/>
                <w:szCs w:val="20"/>
              </w:rPr>
              <w:t>30 dB(A)</w:t>
            </w:r>
          </w:p>
        </w:tc>
        <w:tc>
          <w:tcPr>
            <w:tcW w:w="804" w:type="pct"/>
            <w:shd w:val="clear" w:color="auto" w:fill="auto"/>
          </w:tcPr>
          <w:p w14:paraId="1DBF897A" w14:textId="77777777" w:rsidR="008637EF" w:rsidRPr="00400F1B" w:rsidRDefault="008637EF" w:rsidP="005A7661">
            <w:pPr>
              <w:cnfStyle w:val="000000100000" w:firstRow="0" w:lastRow="0" w:firstColumn="0" w:lastColumn="0" w:oddVBand="0" w:evenVBand="0" w:oddHBand="1" w:evenHBand="0" w:firstRowFirstColumn="0" w:firstRowLastColumn="0" w:lastRowFirstColumn="0" w:lastRowLastColumn="0"/>
              <w:rPr>
                <w:rStyle w:val="lev"/>
                <w:b w:val="0"/>
                <w:bCs w:val="0"/>
                <w:sz w:val="20"/>
                <w:szCs w:val="20"/>
              </w:rPr>
            </w:pPr>
            <w:r w:rsidRPr="00400F1B">
              <w:rPr>
                <w:rStyle w:val="lev"/>
                <w:b w:val="0"/>
                <w:bCs w:val="0"/>
                <w:sz w:val="20"/>
                <w:szCs w:val="20"/>
              </w:rPr>
              <w:t>30 dB(A)</w:t>
            </w:r>
          </w:p>
        </w:tc>
      </w:tr>
      <w:tr w:rsidR="008637EF" w:rsidRPr="00400F1B" w14:paraId="66A9937A" w14:textId="77777777" w:rsidTr="005A7661">
        <w:trPr>
          <w:jc w:val="center"/>
        </w:trPr>
        <w:tc>
          <w:tcPr>
            <w:cnfStyle w:val="001000000000" w:firstRow="0" w:lastRow="0" w:firstColumn="1" w:lastColumn="0" w:oddVBand="0" w:evenVBand="0" w:oddHBand="0" w:evenHBand="0" w:firstRowFirstColumn="0" w:firstRowLastColumn="0" w:lastRowFirstColumn="0" w:lastRowLastColumn="0"/>
            <w:tcW w:w="1975" w:type="pct"/>
          </w:tcPr>
          <w:p w14:paraId="0889AB8B" w14:textId="77777777" w:rsidR="008637EF" w:rsidRPr="00400F1B" w:rsidRDefault="008637EF" w:rsidP="005A7661">
            <w:pPr>
              <w:jc w:val="left"/>
              <w:rPr>
                <w:rStyle w:val="lev"/>
                <w:b/>
                <w:bCs/>
                <w:sz w:val="20"/>
                <w:szCs w:val="20"/>
              </w:rPr>
            </w:pPr>
            <w:r w:rsidRPr="00400F1B">
              <w:rPr>
                <w:rStyle w:val="lev"/>
                <w:b/>
                <w:bCs/>
                <w:sz w:val="20"/>
                <w:szCs w:val="20"/>
              </w:rPr>
              <w:t>Locaux à activité de type tertiaire</w:t>
            </w:r>
          </w:p>
        </w:tc>
        <w:tc>
          <w:tcPr>
            <w:tcW w:w="739" w:type="pct"/>
          </w:tcPr>
          <w:p w14:paraId="2486B79C" w14:textId="77777777" w:rsidR="008637EF" w:rsidRPr="00400F1B" w:rsidRDefault="008637EF" w:rsidP="005A7661">
            <w:pPr>
              <w:cnfStyle w:val="000000000000" w:firstRow="0" w:lastRow="0" w:firstColumn="0" w:lastColumn="0" w:oddVBand="0" w:evenVBand="0" w:oddHBand="0" w:evenHBand="0" w:firstRowFirstColumn="0" w:firstRowLastColumn="0" w:lastRowFirstColumn="0" w:lastRowLastColumn="0"/>
              <w:rPr>
                <w:rStyle w:val="lev"/>
                <w:b w:val="0"/>
                <w:bCs w:val="0"/>
                <w:sz w:val="20"/>
                <w:szCs w:val="20"/>
              </w:rPr>
            </w:pPr>
            <w:r w:rsidRPr="00400F1B">
              <w:rPr>
                <w:rStyle w:val="lev"/>
                <w:b w:val="0"/>
                <w:bCs w:val="0"/>
                <w:sz w:val="20"/>
                <w:szCs w:val="20"/>
              </w:rPr>
              <w:t>45 dB(A)</w:t>
            </w:r>
          </w:p>
        </w:tc>
        <w:tc>
          <w:tcPr>
            <w:tcW w:w="0" w:type="auto"/>
          </w:tcPr>
          <w:p w14:paraId="5F3E936B" w14:textId="77777777" w:rsidR="008637EF" w:rsidRPr="00400F1B" w:rsidRDefault="008637EF" w:rsidP="005A7661">
            <w:pPr>
              <w:cnfStyle w:val="000000000000" w:firstRow="0" w:lastRow="0" w:firstColumn="0" w:lastColumn="0" w:oddVBand="0" w:evenVBand="0" w:oddHBand="0" w:evenHBand="0" w:firstRowFirstColumn="0" w:firstRowLastColumn="0" w:lastRowFirstColumn="0" w:lastRowLastColumn="0"/>
              <w:rPr>
                <w:rStyle w:val="lev"/>
                <w:b w:val="0"/>
                <w:bCs w:val="0"/>
                <w:sz w:val="20"/>
                <w:szCs w:val="20"/>
              </w:rPr>
            </w:pPr>
            <w:r w:rsidRPr="00400F1B">
              <w:rPr>
                <w:rStyle w:val="lev"/>
                <w:b w:val="0"/>
                <w:bCs w:val="0"/>
                <w:sz w:val="20"/>
                <w:szCs w:val="20"/>
              </w:rPr>
              <w:t>45 dB(A)</w:t>
            </w:r>
          </w:p>
        </w:tc>
        <w:tc>
          <w:tcPr>
            <w:tcW w:w="804" w:type="pct"/>
          </w:tcPr>
          <w:p w14:paraId="7EAA4F1A" w14:textId="77777777" w:rsidR="008637EF" w:rsidRPr="00400F1B" w:rsidRDefault="008637EF" w:rsidP="005A7661">
            <w:pPr>
              <w:cnfStyle w:val="000000000000" w:firstRow="0" w:lastRow="0" w:firstColumn="0" w:lastColumn="0" w:oddVBand="0" w:evenVBand="0" w:oddHBand="0" w:evenHBand="0" w:firstRowFirstColumn="0" w:firstRowLastColumn="0" w:lastRowFirstColumn="0" w:lastRowLastColumn="0"/>
              <w:rPr>
                <w:rStyle w:val="lev"/>
                <w:b w:val="0"/>
                <w:bCs w:val="0"/>
                <w:sz w:val="20"/>
                <w:szCs w:val="20"/>
              </w:rPr>
            </w:pPr>
            <w:r w:rsidRPr="00400F1B">
              <w:rPr>
                <w:rStyle w:val="lev"/>
                <w:b w:val="0"/>
                <w:bCs w:val="0"/>
                <w:sz w:val="20"/>
                <w:szCs w:val="20"/>
              </w:rPr>
              <w:t>45 dB(A)</w:t>
            </w:r>
          </w:p>
        </w:tc>
      </w:tr>
      <w:tr w:rsidR="008637EF" w:rsidRPr="00400F1B" w14:paraId="64FDD4E0" w14:textId="77777777" w:rsidTr="005A766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975" w:type="pct"/>
            <w:shd w:val="clear" w:color="auto" w:fill="auto"/>
          </w:tcPr>
          <w:p w14:paraId="128B930E" w14:textId="77777777" w:rsidR="008637EF" w:rsidRPr="00400F1B" w:rsidRDefault="008637EF" w:rsidP="005A7661">
            <w:pPr>
              <w:jc w:val="left"/>
              <w:rPr>
                <w:rStyle w:val="lev"/>
                <w:b/>
                <w:bCs/>
                <w:sz w:val="20"/>
                <w:szCs w:val="20"/>
              </w:rPr>
            </w:pPr>
            <w:r w:rsidRPr="00400F1B">
              <w:rPr>
                <w:rStyle w:val="lev"/>
                <w:b/>
                <w:bCs/>
                <w:sz w:val="20"/>
                <w:szCs w:val="20"/>
              </w:rPr>
              <w:t>Locaux industriels non bruyants</w:t>
            </w:r>
          </w:p>
        </w:tc>
        <w:tc>
          <w:tcPr>
            <w:tcW w:w="739" w:type="pct"/>
            <w:shd w:val="clear" w:color="auto" w:fill="auto"/>
          </w:tcPr>
          <w:p w14:paraId="0F952A80" w14:textId="77777777" w:rsidR="008637EF" w:rsidRPr="00400F1B" w:rsidRDefault="008637EF" w:rsidP="005A7661">
            <w:pPr>
              <w:cnfStyle w:val="000000100000" w:firstRow="0" w:lastRow="0" w:firstColumn="0" w:lastColumn="0" w:oddVBand="0" w:evenVBand="0" w:oddHBand="1" w:evenHBand="0" w:firstRowFirstColumn="0" w:firstRowLastColumn="0" w:lastRowFirstColumn="0" w:lastRowLastColumn="0"/>
              <w:rPr>
                <w:rStyle w:val="lev"/>
                <w:b w:val="0"/>
                <w:bCs w:val="0"/>
                <w:sz w:val="20"/>
                <w:szCs w:val="20"/>
              </w:rPr>
            </w:pPr>
            <w:r w:rsidRPr="00400F1B">
              <w:rPr>
                <w:rStyle w:val="lev"/>
                <w:b w:val="0"/>
                <w:bCs w:val="0"/>
                <w:sz w:val="20"/>
                <w:szCs w:val="20"/>
              </w:rPr>
              <w:t>55 dB(A)</w:t>
            </w:r>
          </w:p>
        </w:tc>
        <w:tc>
          <w:tcPr>
            <w:tcW w:w="0" w:type="auto"/>
            <w:shd w:val="clear" w:color="auto" w:fill="auto"/>
          </w:tcPr>
          <w:p w14:paraId="688C1CA1" w14:textId="77777777" w:rsidR="008637EF" w:rsidRPr="00400F1B" w:rsidRDefault="008637EF" w:rsidP="005A7661">
            <w:pPr>
              <w:cnfStyle w:val="000000100000" w:firstRow="0" w:lastRow="0" w:firstColumn="0" w:lastColumn="0" w:oddVBand="0" w:evenVBand="0" w:oddHBand="1" w:evenHBand="0" w:firstRowFirstColumn="0" w:firstRowLastColumn="0" w:lastRowFirstColumn="0" w:lastRowLastColumn="0"/>
              <w:rPr>
                <w:rStyle w:val="lev"/>
                <w:b w:val="0"/>
                <w:bCs w:val="0"/>
                <w:sz w:val="20"/>
                <w:szCs w:val="20"/>
              </w:rPr>
            </w:pPr>
            <w:r w:rsidRPr="00400F1B">
              <w:rPr>
                <w:rStyle w:val="lev"/>
                <w:b w:val="0"/>
                <w:bCs w:val="0"/>
                <w:sz w:val="20"/>
                <w:szCs w:val="20"/>
              </w:rPr>
              <w:t>55 dB(A)</w:t>
            </w:r>
          </w:p>
        </w:tc>
        <w:tc>
          <w:tcPr>
            <w:tcW w:w="804" w:type="pct"/>
            <w:shd w:val="clear" w:color="auto" w:fill="auto"/>
          </w:tcPr>
          <w:p w14:paraId="62334C2A" w14:textId="77777777" w:rsidR="008637EF" w:rsidRPr="00400F1B" w:rsidRDefault="008637EF" w:rsidP="005A7661">
            <w:pPr>
              <w:cnfStyle w:val="000000100000" w:firstRow="0" w:lastRow="0" w:firstColumn="0" w:lastColumn="0" w:oddVBand="0" w:evenVBand="0" w:oddHBand="1" w:evenHBand="0" w:firstRowFirstColumn="0" w:firstRowLastColumn="0" w:lastRowFirstColumn="0" w:lastRowLastColumn="0"/>
              <w:rPr>
                <w:rStyle w:val="lev"/>
                <w:b w:val="0"/>
                <w:bCs w:val="0"/>
                <w:sz w:val="20"/>
                <w:szCs w:val="20"/>
              </w:rPr>
            </w:pPr>
            <w:r w:rsidRPr="00400F1B">
              <w:rPr>
                <w:rStyle w:val="lev"/>
                <w:b w:val="0"/>
                <w:bCs w:val="0"/>
                <w:sz w:val="20"/>
                <w:szCs w:val="20"/>
              </w:rPr>
              <w:t>55 dB(A)</w:t>
            </w:r>
          </w:p>
        </w:tc>
      </w:tr>
    </w:tbl>
    <w:p w14:paraId="78DC8B9C" w14:textId="77777777" w:rsidR="008637EF" w:rsidRPr="00DF3974" w:rsidRDefault="008637EF" w:rsidP="008637EF">
      <w:pPr>
        <w:spacing w:before="0"/>
        <w:rPr>
          <w:i/>
          <w:iCs/>
          <w:sz w:val="18"/>
          <w:szCs w:val="18"/>
        </w:rPr>
      </w:pPr>
      <w:r w:rsidRPr="00DF3974">
        <w:rPr>
          <w:i/>
          <w:iCs/>
          <w:sz w:val="18"/>
          <w:szCs w:val="18"/>
        </w:rPr>
        <w:t>Source : Arrêté du 20/08/85 relatif aux bruits aériens émis dans l'environnement par les installations classées pour la protection de l'environnement</w:t>
      </w:r>
    </w:p>
    <w:p w14:paraId="3FE4D1A3" w14:textId="77777777" w:rsidR="008637EF" w:rsidRPr="004616C4" w:rsidRDefault="008637EF" w:rsidP="008637EF">
      <w:r w:rsidRPr="004616C4">
        <w:t>Dans le cas d’une installation située à l’extérieur d’un immeuble habité ou occupé par des tiers, les niveaux limites de bruit sont déterminés en fonction de la nature de l’urbanisation, à partir d’une valeur de base égale à 45 dB(A), à laquelle on ajoutera des corrections pour tenir compte du type de zone (hôpital, résidentielle, urbaine, etc.) et de la période horaire.</w:t>
      </w:r>
    </w:p>
    <w:p w14:paraId="484B3EB2" w14:textId="77777777" w:rsidR="008637EF" w:rsidRDefault="008637EF" w:rsidP="008637EF">
      <w:pPr>
        <w:pStyle w:val="Title3"/>
      </w:pPr>
      <w:bookmarkStart w:id="191" w:name="_Toc215131814"/>
      <w:r>
        <w:t>Normes et Standards relatives à la Qualité de l’Air</w:t>
      </w:r>
      <w:bookmarkEnd w:id="191"/>
    </w:p>
    <w:p w14:paraId="09B0FC66" w14:textId="77777777" w:rsidR="008637EF" w:rsidRDefault="008637EF" w:rsidP="008637EF">
      <w:r>
        <w:t>Les normes de la qualité de l’air telles que définies par le décret n°2-09-286 sont reportées dans le Tableau suivant.</w:t>
      </w:r>
    </w:p>
    <w:p w14:paraId="65CF7E57" w14:textId="77777777" w:rsidR="008637EF" w:rsidRDefault="008637EF" w:rsidP="008637EF">
      <w:r>
        <w:t>La référence internationale de l'Organisation Mondiale de la Santé (OMS) fixe des lignes directrices avec pour objectif de réduire les conséquences des polluants atmosphériques sur la santé.</w:t>
      </w:r>
    </w:p>
    <w:p w14:paraId="18042714" w14:textId="77777777" w:rsidR="00D13E49" w:rsidRDefault="00D13E49" w:rsidP="008637EF">
      <w:pPr>
        <w:pStyle w:val="Lgende"/>
        <w:keepNext/>
        <w:rPr>
          <w:lang w:val="fr-FR"/>
        </w:rPr>
      </w:pPr>
    </w:p>
    <w:p w14:paraId="56947363" w14:textId="77777777" w:rsidR="00D13E49" w:rsidRDefault="00D13E49" w:rsidP="008637EF">
      <w:pPr>
        <w:pStyle w:val="Lgende"/>
        <w:keepNext/>
        <w:rPr>
          <w:lang w:val="fr-FR"/>
        </w:rPr>
      </w:pPr>
      <w:r>
        <w:rPr>
          <w:lang w:val="fr-FR"/>
        </w:rPr>
        <w:br w:type="page"/>
      </w:r>
    </w:p>
    <w:p w14:paraId="642EACAA" w14:textId="7ED10054" w:rsidR="008637EF" w:rsidRPr="002A0860" w:rsidRDefault="008637EF" w:rsidP="008637EF">
      <w:pPr>
        <w:pStyle w:val="Lgende"/>
        <w:keepNext/>
        <w:rPr>
          <w:lang w:val="fr-FR"/>
        </w:rPr>
      </w:pPr>
      <w:bookmarkStart w:id="192" w:name="_Toc213404345"/>
      <w:r w:rsidRPr="002A0860">
        <w:rPr>
          <w:lang w:val="fr-FR"/>
        </w:rPr>
        <w:lastRenderedPageBreak/>
        <w:t xml:space="preserve">Tableau </w:t>
      </w:r>
      <w:r>
        <w:fldChar w:fldCharType="begin"/>
      </w:r>
      <w:r w:rsidRPr="002A0860">
        <w:rPr>
          <w:lang w:val="fr-FR"/>
        </w:rPr>
        <w:instrText xml:space="preserve"> SEQ Tableau \* ARABIC </w:instrText>
      </w:r>
      <w:r>
        <w:fldChar w:fldCharType="separate"/>
      </w:r>
      <w:r w:rsidR="00274E71">
        <w:rPr>
          <w:noProof/>
          <w:lang w:val="fr-FR"/>
        </w:rPr>
        <w:t>22</w:t>
      </w:r>
      <w:r>
        <w:fldChar w:fldCharType="end"/>
      </w:r>
      <w:r>
        <w:rPr>
          <w:lang w:val="fr-FR"/>
        </w:rPr>
        <w:t>:</w:t>
      </w:r>
      <w:r w:rsidRPr="002A0860">
        <w:rPr>
          <w:rFonts w:hint="eastAsia"/>
          <w:lang w:val="fr-FR" w:eastAsia="zh-CN"/>
        </w:rPr>
        <w:t xml:space="preserve"> </w:t>
      </w:r>
      <w:r w:rsidRPr="001F667F">
        <w:rPr>
          <w:lang w:val="fr-FR"/>
        </w:rPr>
        <w:t>Normes marocaines de qualité de l’air</w:t>
      </w:r>
      <w:bookmarkEnd w:id="192"/>
    </w:p>
    <w:tbl>
      <w:tblPr>
        <w:tblStyle w:val="TableauGrille1Clair-Accentuation111"/>
        <w:tblW w:w="8875" w:type="dxa"/>
        <w:tblLook w:val="04A0" w:firstRow="1" w:lastRow="0" w:firstColumn="1" w:lastColumn="0" w:noHBand="0" w:noVBand="1"/>
      </w:tblPr>
      <w:tblGrid>
        <w:gridCol w:w="2271"/>
        <w:gridCol w:w="3873"/>
        <w:gridCol w:w="2731"/>
      </w:tblGrid>
      <w:tr w:rsidR="008637EF" w:rsidRPr="00B15CEB" w14:paraId="64DDAFA2" w14:textId="77777777" w:rsidTr="00D13E49">
        <w:trPr>
          <w:cnfStyle w:val="100000000000" w:firstRow="1" w:lastRow="0" w:firstColumn="0" w:lastColumn="0" w:oddVBand="0" w:evenVBand="0" w:oddHBand="0" w:evenHBand="0" w:firstRowFirstColumn="0" w:firstRowLastColumn="0" w:lastRowFirstColumn="0" w:lastRowLastColumn="0"/>
          <w:trHeight w:val="115"/>
        </w:trPr>
        <w:tc>
          <w:tcPr>
            <w:cnfStyle w:val="001000000000" w:firstRow="0" w:lastRow="0" w:firstColumn="1" w:lastColumn="0" w:oddVBand="0" w:evenVBand="0" w:oddHBand="0" w:evenHBand="0" w:firstRowFirstColumn="0" w:firstRowLastColumn="0" w:lastRowFirstColumn="0" w:lastRowLastColumn="0"/>
            <w:tcW w:w="2271" w:type="dxa"/>
            <w:noWrap/>
          </w:tcPr>
          <w:p w14:paraId="6DA2E686" w14:textId="77777777" w:rsidR="008637EF" w:rsidRPr="00B15CEB" w:rsidRDefault="008637EF" w:rsidP="005A7661">
            <w:pPr>
              <w:widowControl w:val="0"/>
              <w:jc w:val="center"/>
              <w:rPr>
                <w:b w:val="0"/>
                <w:bCs w:val="0"/>
                <w:szCs w:val="20"/>
              </w:rPr>
            </w:pPr>
            <w:r w:rsidRPr="00B15CEB">
              <w:rPr>
                <w:szCs w:val="20"/>
              </w:rPr>
              <w:t>Polluants</w:t>
            </w:r>
          </w:p>
        </w:tc>
        <w:tc>
          <w:tcPr>
            <w:tcW w:w="3873" w:type="dxa"/>
            <w:noWrap/>
          </w:tcPr>
          <w:p w14:paraId="1D728AAF" w14:textId="77777777" w:rsidR="008637EF" w:rsidRPr="00B15CEB" w:rsidRDefault="008637EF" w:rsidP="005A7661">
            <w:pPr>
              <w:widowControl w:val="0"/>
              <w:jc w:val="center"/>
              <w:cnfStyle w:val="100000000000" w:firstRow="1" w:lastRow="0" w:firstColumn="0" w:lastColumn="0" w:oddVBand="0" w:evenVBand="0" w:oddHBand="0" w:evenHBand="0" w:firstRowFirstColumn="0" w:firstRowLastColumn="0" w:lastRowFirstColumn="0" w:lastRowLastColumn="0"/>
              <w:rPr>
                <w:b w:val="0"/>
                <w:bCs w:val="0"/>
                <w:szCs w:val="20"/>
              </w:rPr>
            </w:pPr>
            <w:r w:rsidRPr="00B15CEB">
              <w:rPr>
                <w:szCs w:val="20"/>
              </w:rPr>
              <w:t>Nature de seuil</w:t>
            </w:r>
          </w:p>
        </w:tc>
        <w:tc>
          <w:tcPr>
            <w:tcW w:w="2731" w:type="dxa"/>
            <w:noWrap/>
          </w:tcPr>
          <w:p w14:paraId="4E3F138C" w14:textId="77777777" w:rsidR="008637EF" w:rsidRPr="00B15CEB" w:rsidRDefault="008637EF" w:rsidP="005A7661">
            <w:pPr>
              <w:widowControl w:val="0"/>
              <w:jc w:val="center"/>
              <w:cnfStyle w:val="100000000000" w:firstRow="1" w:lastRow="0" w:firstColumn="0" w:lastColumn="0" w:oddVBand="0" w:evenVBand="0" w:oddHBand="0" w:evenHBand="0" w:firstRowFirstColumn="0" w:firstRowLastColumn="0" w:lastRowFirstColumn="0" w:lastRowLastColumn="0"/>
              <w:rPr>
                <w:b w:val="0"/>
                <w:bCs w:val="0"/>
                <w:szCs w:val="20"/>
              </w:rPr>
            </w:pPr>
            <w:r w:rsidRPr="00B15CEB">
              <w:rPr>
                <w:szCs w:val="20"/>
              </w:rPr>
              <w:t>Valeur limite</w:t>
            </w:r>
          </w:p>
        </w:tc>
      </w:tr>
      <w:tr w:rsidR="008637EF" w:rsidRPr="00B15CEB" w14:paraId="1C981E81" w14:textId="77777777" w:rsidTr="00D13E49">
        <w:trPr>
          <w:trHeight w:val="162"/>
        </w:trPr>
        <w:tc>
          <w:tcPr>
            <w:cnfStyle w:val="001000000000" w:firstRow="0" w:lastRow="0" w:firstColumn="1" w:lastColumn="0" w:oddVBand="0" w:evenVBand="0" w:oddHBand="0" w:evenHBand="0" w:firstRowFirstColumn="0" w:firstRowLastColumn="0" w:lastRowFirstColumn="0" w:lastRowLastColumn="0"/>
            <w:tcW w:w="2271" w:type="dxa"/>
            <w:vMerge w:val="restart"/>
            <w:noWrap/>
          </w:tcPr>
          <w:p w14:paraId="27A7C886" w14:textId="77777777" w:rsidR="008637EF" w:rsidRPr="00B15CEB" w:rsidRDefault="008637EF" w:rsidP="005A7661">
            <w:pPr>
              <w:widowControl w:val="0"/>
              <w:rPr>
                <w:szCs w:val="20"/>
              </w:rPr>
            </w:pPr>
            <w:r w:rsidRPr="00B15CEB">
              <w:rPr>
                <w:szCs w:val="20"/>
              </w:rPr>
              <w:t>Dioxyde de soufre (SO</w:t>
            </w:r>
            <w:r w:rsidRPr="00B15CEB">
              <w:rPr>
                <w:szCs w:val="20"/>
                <w:vertAlign w:val="subscript"/>
              </w:rPr>
              <w:t>2</w:t>
            </w:r>
            <w:r w:rsidRPr="00B15CEB">
              <w:rPr>
                <w:szCs w:val="20"/>
              </w:rPr>
              <w:t>) µg/m</w:t>
            </w:r>
            <w:r w:rsidRPr="00B15CEB">
              <w:rPr>
                <w:szCs w:val="20"/>
                <w:vertAlign w:val="superscript"/>
              </w:rPr>
              <w:t>3</w:t>
            </w:r>
          </w:p>
        </w:tc>
        <w:tc>
          <w:tcPr>
            <w:tcW w:w="3873" w:type="dxa"/>
            <w:noWrap/>
          </w:tcPr>
          <w:p w14:paraId="6AC47B05" w14:textId="77777777" w:rsidR="008637EF" w:rsidRPr="00B15CEB" w:rsidRDefault="008637EF" w:rsidP="005A7661">
            <w:pPr>
              <w:widowControl w:val="0"/>
              <w:cnfStyle w:val="000000000000" w:firstRow="0" w:lastRow="0" w:firstColumn="0" w:lastColumn="0" w:oddVBand="0" w:evenVBand="0" w:oddHBand="0" w:evenHBand="0" w:firstRowFirstColumn="0" w:firstRowLastColumn="0" w:lastRowFirstColumn="0" w:lastRowLastColumn="0"/>
              <w:rPr>
                <w:szCs w:val="20"/>
              </w:rPr>
            </w:pPr>
            <w:r w:rsidRPr="00B15CEB">
              <w:rPr>
                <w:szCs w:val="20"/>
              </w:rPr>
              <w:t>Valeur limite pour la protection de la santé</w:t>
            </w:r>
          </w:p>
        </w:tc>
        <w:tc>
          <w:tcPr>
            <w:tcW w:w="2731" w:type="dxa"/>
          </w:tcPr>
          <w:p w14:paraId="0EB04D74" w14:textId="77777777" w:rsidR="008637EF" w:rsidRPr="00B15CEB" w:rsidRDefault="008637EF" w:rsidP="005A7661">
            <w:pPr>
              <w:widowControl w:val="0"/>
              <w:cnfStyle w:val="000000000000" w:firstRow="0" w:lastRow="0" w:firstColumn="0" w:lastColumn="0" w:oddVBand="0" w:evenVBand="0" w:oddHBand="0" w:evenHBand="0" w:firstRowFirstColumn="0" w:firstRowLastColumn="0" w:lastRowFirstColumn="0" w:lastRowLastColumn="0"/>
              <w:rPr>
                <w:szCs w:val="20"/>
              </w:rPr>
            </w:pPr>
            <w:r w:rsidRPr="00B15CEB">
              <w:rPr>
                <w:szCs w:val="20"/>
              </w:rPr>
              <w:t>125 centile 99,2 des moyennes journalières</w:t>
            </w:r>
          </w:p>
        </w:tc>
      </w:tr>
      <w:tr w:rsidR="008637EF" w:rsidRPr="00B15CEB" w14:paraId="164C29EC" w14:textId="77777777" w:rsidTr="00D13E49">
        <w:trPr>
          <w:trHeight w:val="115"/>
        </w:trPr>
        <w:tc>
          <w:tcPr>
            <w:cnfStyle w:val="001000000000" w:firstRow="0" w:lastRow="0" w:firstColumn="1" w:lastColumn="0" w:oddVBand="0" w:evenVBand="0" w:oddHBand="0" w:evenHBand="0" w:firstRowFirstColumn="0" w:firstRowLastColumn="0" w:lastRowFirstColumn="0" w:lastRowLastColumn="0"/>
            <w:tcW w:w="2271" w:type="dxa"/>
            <w:vMerge/>
          </w:tcPr>
          <w:p w14:paraId="12D6F9A8" w14:textId="77777777" w:rsidR="008637EF" w:rsidRPr="00B15CEB" w:rsidRDefault="008637EF" w:rsidP="005A7661">
            <w:pPr>
              <w:widowControl w:val="0"/>
              <w:rPr>
                <w:szCs w:val="20"/>
              </w:rPr>
            </w:pPr>
          </w:p>
        </w:tc>
        <w:tc>
          <w:tcPr>
            <w:tcW w:w="3873" w:type="dxa"/>
          </w:tcPr>
          <w:p w14:paraId="5C345DBF" w14:textId="77777777" w:rsidR="008637EF" w:rsidRPr="00B15CEB" w:rsidRDefault="008637EF" w:rsidP="005A7661">
            <w:pPr>
              <w:widowControl w:val="0"/>
              <w:cnfStyle w:val="000000000000" w:firstRow="0" w:lastRow="0" w:firstColumn="0" w:lastColumn="0" w:oddVBand="0" w:evenVBand="0" w:oddHBand="0" w:evenHBand="0" w:firstRowFirstColumn="0" w:firstRowLastColumn="0" w:lastRowFirstColumn="0" w:lastRowLastColumn="0"/>
              <w:rPr>
                <w:szCs w:val="20"/>
              </w:rPr>
            </w:pPr>
            <w:r w:rsidRPr="00B15CEB">
              <w:rPr>
                <w:szCs w:val="20"/>
              </w:rPr>
              <w:t>Valeur limite pour la protection des écosystèmes</w:t>
            </w:r>
          </w:p>
        </w:tc>
        <w:tc>
          <w:tcPr>
            <w:tcW w:w="2731" w:type="dxa"/>
          </w:tcPr>
          <w:p w14:paraId="5FFD5FAC" w14:textId="77777777" w:rsidR="008637EF" w:rsidRPr="00B15CEB" w:rsidRDefault="008637EF" w:rsidP="005A7661">
            <w:pPr>
              <w:widowControl w:val="0"/>
              <w:cnfStyle w:val="000000000000" w:firstRow="0" w:lastRow="0" w:firstColumn="0" w:lastColumn="0" w:oddVBand="0" w:evenVBand="0" w:oddHBand="0" w:evenHBand="0" w:firstRowFirstColumn="0" w:firstRowLastColumn="0" w:lastRowFirstColumn="0" w:lastRowLastColumn="0"/>
              <w:rPr>
                <w:szCs w:val="20"/>
              </w:rPr>
            </w:pPr>
            <w:r w:rsidRPr="00B15CEB">
              <w:rPr>
                <w:szCs w:val="20"/>
              </w:rPr>
              <w:t>20 moyennes annuelles</w:t>
            </w:r>
          </w:p>
        </w:tc>
      </w:tr>
      <w:tr w:rsidR="008637EF" w:rsidRPr="00B15CEB" w14:paraId="19DDAA03" w14:textId="77777777" w:rsidTr="00D13E49">
        <w:trPr>
          <w:trHeight w:val="185"/>
        </w:trPr>
        <w:tc>
          <w:tcPr>
            <w:cnfStyle w:val="001000000000" w:firstRow="0" w:lastRow="0" w:firstColumn="1" w:lastColumn="0" w:oddVBand="0" w:evenVBand="0" w:oddHBand="0" w:evenHBand="0" w:firstRowFirstColumn="0" w:firstRowLastColumn="0" w:lastRowFirstColumn="0" w:lastRowLastColumn="0"/>
            <w:tcW w:w="2271" w:type="dxa"/>
            <w:vMerge w:val="restart"/>
            <w:noWrap/>
          </w:tcPr>
          <w:p w14:paraId="02F0ED73" w14:textId="77777777" w:rsidR="008637EF" w:rsidRPr="00B15CEB" w:rsidRDefault="008637EF" w:rsidP="005A7661">
            <w:pPr>
              <w:widowControl w:val="0"/>
              <w:tabs>
                <w:tab w:val="left" w:pos="624"/>
              </w:tabs>
              <w:rPr>
                <w:szCs w:val="20"/>
                <w:lang w:val="pt-PT"/>
              </w:rPr>
            </w:pPr>
            <w:r w:rsidRPr="00B15CEB">
              <w:rPr>
                <w:szCs w:val="20"/>
                <w:lang w:val="pt-PT"/>
              </w:rPr>
              <w:t>Dioxyde d’azote (NO</w:t>
            </w:r>
            <w:r w:rsidRPr="00B15CEB">
              <w:rPr>
                <w:szCs w:val="20"/>
                <w:vertAlign w:val="subscript"/>
                <w:lang w:val="pt-PT"/>
              </w:rPr>
              <w:t>2</w:t>
            </w:r>
            <w:r w:rsidRPr="00B15CEB">
              <w:rPr>
                <w:szCs w:val="20"/>
                <w:lang w:val="pt-PT"/>
              </w:rPr>
              <w:t>) µg/m</w:t>
            </w:r>
            <w:r w:rsidRPr="00B15CEB">
              <w:rPr>
                <w:szCs w:val="20"/>
                <w:vertAlign w:val="superscript"/>
                <w:lang w:val="pt-PT"/>
              </w:rPr>
              <w:t>3</w:t>
            </w:r>
          </w:p>
        </w:tc>
        <w:tc>
          <w:tcPr>
            <w:tcW w:w="3873" w:type="dxa"/>
          </w:tcPr>
          <w:p w14:paraId="6FD1F66B" w14:textId="77777777" w:rsidR="008637EF" w:rsidRPr="00B15CEB" w:rsidRDefault="008637EF" w:rsidP="005A7661">
            <w:pPr>
              <w:widowControl w:val="0"/>
              <w:cnfStyle w:val="000000000000" w:firstRow="0" w:lastRow="0" w:firstColumn="0" w:lastColumn="0" w:oddVBand="0" w:evenVBand="0" w:oddHBand="0" w:evenHBand="0" w:firstRowFirstColumn="0" w:firstRowLastColumn="0" w:lastRowFirstColumn="0" w:lastRowLastColumn="0"/>
              <w:rPr>
                <w:szCs w:val="20"/>
              </w:rPr>
            </w:pPr>
            <w:r w:rsidRPr="00B15CEB">
              <w:rPr>
                <w:szCs w:val="20"/>
              </w:rPr>
              <w:t>Valeurs limites pour la protection de la santé</w:t>
            </w:r>
          </w:p>
        </w:tc>
        <w:tc>
          <w:tcPr>
            <w:tcW w:w="2731" w:type="dxa"/>
          </w:tcPr>
          <w:p w14:paraId="64E75611" w14:textId="77777777" w:rsidR="008637EF" w:rsidRPr="00B15CEB" w:rsidRDefault="008637EF" w:rsidP="005A7661">
            <w:pPr>
              <w:widowControl w:val="0"/>
              <w:cnfStyle w:val="000000000000" w:firstRow="0" w:lastRow="0" w:firstColumn="0" w:lastColumn="0" w:oddVBand="0" w:evenVBand="0" w:oddHBand="0" w:evenHBand="0" w:firstRowFirstColumn="0" w:firstRowLastColumn="0" w:lastRowFirstColumn="0" w:lastRowLastColumn="0"/>
              <w:rPr>
                <w:szCs w:val="20"/>
              </w:rPr>
            </w:pPr>
            <w:r w:rsidRPr="00B15CEB">
              <w:rPr>
                <w:szCs w:val="20"/>
              </w:rPr>
              <w:t>200 centile de 98 des moyennes horaires 50 moyenne annuelle</w:t>
            </w:r>
          </w:p>
        </w:tc>
      </w:tr>
      <w:tr w:rsidR="008637EF" w:rsidRPr="00B15CEB" w14:paraId="60081F7B" w14:textId="77777777" w:rsidTr="00D13E49">
        <w:trPr>
          <w:trHeight w:val="115"/>
        </w:trPr>
        <w:tc>
          <w:tcPr>
            <w:cnfStyle w:val="001000000000" w:firstRow="0" w:lastRow="0" w:firstColumn="1" w:lastColumn="0" w:oddVBand="0" w:evenVBand="0" w:oddHBand="0" w:evenHBand="0" w:firstRowFirstColumn="0" w:firstRowLastColumn="0" w:lastRowFirstColumn="0" w:lastRowLastColumn="0"/>
            <w:tcW w:w="2271" w:type="dxa"/>
            <w:vMerge/>
          </w:tcPr>
          <w:p w14:paraId="67CFF4C7" w14:textId="77777777" w:rsidR="008637EF" w:rsidRPr="00B15CEB" w:rsidRDefault="008637EF" w:rsidP="005A7661">
            <w:pPr>
              <w:widowControl w:val="0"/>
              <w:rPr>
                <w:szCs w:val="20"/>
              </w:rPr>
            </w:pPr>
          </w:p>
        </w:tc>
        <w:tc>
          <w:tcPr>
            <w:tcW w:w="3873" w:type="dxa"/>
          </w:tcPr>
          <w:p w14:paraId="2FEE5F45" w14:textId="77777777" w:rsidR="008637EF" w:rsidRPr="00B15CEB" w:rsidRDefault="008637EF" w:rsidP="005A7661">
            <w:pPr>
              <w:widowControl w:val="0"/>
              <w:cnfStyle w:val="000000000000" w:firstRow="0" w:lastRow="0" w:firstColumn="0" w:lastColumn="0" w:oddVBand="0" w:evenVBand="0" w:oddHBand="0" w:evenHBand="0" w:firstRowFirstColumn="0" w:firstRowLastColumn="0" w:lastRowFirstColumn="0" w:lastRowLastColumn="0"/>
              <w:rPr>
                <w:szCs w:val="20"/>
              </w:rPr>
            </w:pPr>
            <w:r w:rsidRPr="00B15CEB">
              <w:rPr>
                <w:szCs w:val="20"/>
              </w:rPr>
              <w:t>Valeurs limites pour la protection de la végétation</w:t>
            </w:r>
          </w:p>
        </w:tc>
        <w:tc>
          <w:tcPr>
            <w:tcW w:w="2731" w:type="dxa"/>
          </w:tcPr>
          <w:p w14:paraId="66C99FE6" w14:textId="77777777" w:rsidR="008637EF" w:rsidRPr="00B15CEB" w:rsidRDefault="008637EF" w:rsidP="005A7661">
            <w:pPr>
              <w:widowControl w:val="0"/>
              <w:cnfStyle w:val="000000000000" w:firstRow="0" w:lastRow="0" w:firstColumn="0" w:lastColumn="0" w:oddVBand="0" w:evenVBand="0" w:oddHBand="0" w:evenHBand="0" w:firstRowFirstColumn="0" w:firstRowLastColumn="0" w:lastRowFirstColumn="0" w:lastRowLastColumn="0"/>
              <w:rPr>
                <w:szCs w:val="20"/>
              </w:rPr>
            </w:pPr>
            <w:r w:rsidRPr="00B15CEB">
              <w:rPr>
                <w:szCs w:val="20"/>
              </w:rPr>
              <w:t>30 moyennes annuelles</w:t>
            </w:r>
          </w:p>
        </w:tc>
      </w:tr>
      <w:tr w:rsidR="008637EF" w:rsidRPr="00B15CEB" w14:paraId="533E1AC4" w14:textId="77777777" w:rsidTr="00D13E49">
        <w:trPr>
          <w:trHeight w:val="185"/>
        </w:trPr>
        <w:tc>
          <w:tcPr>
            <w:cnfStyle w:val="001000000000" w:firstRow="0" w:lastRow="0" w:firstColumn="1" w:lastColumn="0" w:oddVBand="0" w:evenVBand="0" w:oddHBand="0" w:evenHBand="0" w:firstRowFirstColumn="0" w:firstRowLastColumn="0" w:lastRowFirstColumn="0" w:lastRowLastColumn="0"/>
            <w:tcW w:w="2271" w:type="dxa"/>
            <w:noWrap/>
          </w:tcPr>
          <w:p w14:paraId="32ACA539" w14:textId="77777777" w:rsidR="008637EF" w:rsidRPr="00B15CEB" w:rsidRDefault="008637EF" w:rsidP="005A7661">
            <w:pPr>
              <w:widowControl w:val="0"/>
              <w:rPr>
                <w:szCs w:val="20"/>
              </w:rPr>
            </w:pPr>
            <w:r w:rsidRPr="00B15CEB">
              <w:rPr>
                <w:szCs w:val="20"/>
              </w:rPr>
              <w:t>Monoxyde carbone (CO) mg/m</w:t>
            </w:r>
            <w:r w:rsidRPr="00B15CEB">
              <w:rPr>
                <w:szCs w:val="20"/>
                <w:vertAlign w:val="superscript"/>
              </w:rPr>
              <w:t>3</w:t>
            </w:r>
          </w:p>
        </w:tc>
        <w:tc>
          <w:tcPr>
            <w:tcW w:w="3873" w:type="dxa"/>
          </w:tcPr>
          <w:p w14:paraId="244B58FF" w14:textId="77777777" w:rsidR="008637EF" w:rsidRPr="00B15CEB" w:rsidRDefault="008637EF" w:rsidP="005A7661">
            <w:pPr>
              <w:widowControl w:val="0"/>
              <w:cnfStyle w:val="000000000000" w:firstRow="0" w:lastRow="0" w:firstColumn="0" w:lastColumn="0" w:oddVBand="0" w:evenVBand="0" w:oddHBand="0" w:evenHBand="0" w:firstRowFirstColumn="0" w:firstRowLastColumn="0" w:lastRowFirstColumn="0" w:lastRowLastColumn="0"/>
              <w:rPr>
                <w:szCs w:val="20"/>
              </w:rPr>
            </w:pPr>
            <w:r w:rsidRPr="00B15CEB">
              <w:rPr>
                <w:szCs w:val="20"/>
              </w:rPr>
              <w:t>Valeur limite pour la protection de la santé</w:t>
            </w:r>
          </w:p>
        </w:tc>
        <w:tc>
          <w:tcPr>
            <w:tcW w:w="2731" w:type="dxa"/>
          </w:tcPr>
          <w:p w14:paraId="79A1E794" w14:textId="77777777" w:rsidR="008637EF" w:rsidRPr="00B15CEB" w:rsidRDefault="008637EF" w:rsidP="005A7661">
            <w:pPr>
              <w:widowControl w:val="0"/>
              <w:cnfStyle w:val="000000000000" w:firstRow="0" w:lastRow="0" w:firstColumn="0" w:lastColumn="0" w:oddVBand="0" w:evenVBand="0" w:oddHBand="0" w:evenHBand="0" w:firstRowFirstColumn="0" w:firstRowLastColumn="0" w:lastRowFirstColumn="0" w:lastRowLastColumn="0"/>
              <w:rPr>
                <w:szCs w:val="20"/>
              </w:rPr>
            </w:pPr>
            <w:r w:rsidRPr="00B15CEB">
              <w:rPr>
                <w:szCs w:val="20"/>
              </w:rPr>
              <w:t>10 le maximum journalier de la moyenne glissante sur 8h</w:t>
            </w:r>
          </w:p>
        </w:tc>
      </w:tr>
      <w:tr w:rsidR="008637EF" w:rsidRPr="00B15CEB" w14:paraId="0F72FA3B" w14:textId="77777777" w:rsidTr="00D13E49">
        <w:trPr>
          <w:trHeight w:val="185"/>
        </w:trPr>
        <w:tc>
          <w:tcPr>
            <w:cnfStyle w:val="001000000000" w:firstRow="0" w:lastRow="0" w:firstColumn="1" w:lastColumn="0" w:oddVBand="0" w:evenVBand="0" w:oddHBand="0" w:evenHBand="0" w:firstRowFirstColumn="0" w:firstRowLastColumn="0" w:lastRowFirstColumn="0" w:lastRowLastColumn="0"/>
            <w:tcW w:w="2271" w:type="dxa"/>
            <w:noWrap/>
          </w:tcPr>
          <w:p w14:paraId="1095B0BD" w14:textId="77777777" w:rsidR="008637EF" w:rsidRPr="00B15CEB" w:rsidRDefault="008637EF" w:rsidP="005A7661">
            <w:pPr>
              <w:widowControl w:val="0"/>
              <w:rPr>
                <w:szCs w:val="20"/>
              </w:rPr>
            </w:pPr>
            <w:r w:rsidRPr="00B15CEB">
              <w:rPr>
                <w:szCs w:val="20"/>
              </w:rPr>
              <w:t>Matières en Suspension µg/m</w:t>
            </w:r>
            <w:r w:rsidRPr="00B15CEB">
              <w:rPr>
                <w:szCs w:val="20"/>
                <w:vertAlign w:val="superscript"/>
              </w:rPr>
              <w:t>3</w:t>
            </w:r>
          </w:p>
        </w:tc>
        <w:tc>
          <w:tcPr>
            <w:tcW w:w="3873" w:type="dxa"/>
            <w:noWrap/>
          </w:tcPr>
          <w:p w14:paraId="59AA0CD7" w14:textId="77777777" w:rsidR="008637EF" w:rsidRPr="00B15CEB" w:rsidRDefault="008637EF" w:rsidP="005A7661">
            <w:pPr>
              <w:widowControl w:val="0"/>
              <w:cnfStyle w:val="000000000000" w:firstRow="0" w:lastRow="0" w:firstColumn="0" w:lastColumn="0" w:oddVBand="0" w:evenVBand="0" w:oddHBand="0" w:evenHBand="0" w:firstRowFirstColumn="0" w:firstRowLastColumn="0" w:lastRowFirstColumn="0" w:lastRowLastColumn="0"/>
              <w:rPr>
                <w:szCs w:val="20"/>
              </w:rPr>
            </w:pPr>
            <w:r w:rsidRPr="00B15CEB">
              <w:rPr>
                <w:szCs w:val="20"/>
              </w:rPr>
              <w:t>Valeurs limites pour la protection de la santé</w:t>
            </w:r>
          </w:p>
        </w:tc>
        <w:tc>
          <w:tcPr>
            <w:tcW w:w="2731" w:type="dxa"/>
          </w:tcPr>
          <w:p w14:paraId="6BBB6733" w14:textId="77777777" w:rsidR="008637EF" w:rsidRPr="00B15CEB" w:rsidRDefault="008637EF" w:rsidP="005A7661">
            <w:pPr>
              <w:widowControl w:val="0"/>
              <w:cnfStyle w:val="000000000000" w:firstRow="0" w:lastRow="0" w:firstColumn="0" w:lastColumn="0" w:oddVBand="0" w:evenVBand="0" w:oddHBand="0" w:evenHBand="0" w:firstRowFirstColumn="0" w:firstRowLastColumn="0" w:lastRowFirstColumn="0" w:lastRowLastColumn="0"/>
              <w:rPr>
                <w:szCs w:val="20"/>
              </w:rPr>
            </w:pPr>
            <w:r w:rsidRPr="00B15CEB">
              <w:rPr>
                <w:szCs w:val="20"/>
              </w:rPr>
              <w:t>50 centiles 90,4 des moyennes journalières; MP10</w:t>
            </w:r>
          </w:p>
        </w:tc>
      </w:tr>
      <w:tr w:rsidR="008637EF" w:rsidRPr="00B15CEB" w14:paraId="7726F076" w14:textId="77777777" w:rsidTr="00D13E49">
        <w:trPr>
          <w:trHeight w:val="115"/>
        </w:trPr>
        <w:tc>
          <w:tcPr>
            <w:cnfStyle w:val="001000000000" w:firstRow="0" w:lastRow="0" w:firstColumn="1" w:lastColumn="0" w:oddVBand="0" w:evenVBand="0" w:oddHBand="0" w:evenHBand="0" w:firstRowFirstColumn="0" w:firstRowLastColumn="0" w:lastRowFirstColumn="0" w:lastRowLastColumn="0"/>
            <w:tcW w:w="2271" w:type="dxa"/>
            <w:noWrap/>
          </w:tcPr>
          <w:p w14:paraId="48F64FB9" w14:textId="77777777" w:rsidR="008637EF" w:rsidRPr="00B15CEB" w:rsidRDefault="008637EF" w:rsidP="005A7661">
            <w:pPr>
              <w:widowControl w:val="0"/>
              <w:rPr>
                <w:szCs w:val="20"/>
              </w:rPr>
            </w:pPr>
            <w:r w:rsidRPr="00B15CEB">
              <w:rPr>
                <w:szCs w:val="20"/>
              </w:rPr>
              <w:t>Plomb (Pb) µg/m</w:t>
            </w:r>
            <w:r w:rsidRPr="00B15CEB">
              <w:rPr>
                <w:szCs w:val="20"/>
                <w:vertAlign w:val="superscript"/>
              </w:rPr>
              <w:t>3</w:t>
            </w:r>
          </w:p>
        </w:tc>
        <w:tc>
          <w:tcPr>
            <w:tcW w:w="3873" w:type="dxa"/>
            <w:noWrap/>
          </w:tcPr>
          <w:p w14:paraId="2C5D3F14" w14:textId="77777777" w:rsidR="008637EF" w:rsidRPr="00B15CEB" w:rsidRDefault="008637EF" w:rsidP="005A7661">
            <w:pPr>
              <w:widowControl w:val="0"/>
              <w:cnfStyle w:val="000000000000" w:firstRow="0" w:lastRow="0" w:firstColumn="0" w:lastColumn="0" w:oddVBand="0" w:evenVBand="0" w:oddHBand="0" w:evenHBand="0" w:firstRowFirstColumn="0" w:firstRowLastColumn="0" w:lastRowFirstColumn="0" w:lastRowLastColumn="0"/>
              <w:rPr>
                <w:szCs w:val="20"/>
              </w:rPr>
            </w:pPr>
            <w:r w:rsidRPr="00B15CEB">
              <w:rPr>
                <w:szCs w:val="20"/>
              </w:rPr>
              <w:t>Valeur limite pour la protection de la santé</w:t>
            </w:r>
          </w:p>
        </w:tc>
        <w:tc>
          <w:tcPr>
            <w:tcW w:w="2731" w:type="dxa"/>
          </w:tcPr>
          <w:p w14:paraId="1049B810" w14:textId="77777777" w:rsidR="008637EF" w:rsidRPr="00B15CEB" w:rsidRDefault="008637EF" w:rsidP="005A7661">
            <w:pPr>
              <w:widowControl w:val="0"/>
              <w:cnfStyle w:val="000000000000" w:firstRow="0" w:lastRow="0" w:firstColumn="0" w:lastColumn="0" w:oddVBand="0" w:evenVBand="0" w:oddHBand="0" w:evenHBand="0" w:firstRowFirstColumn="0" w:firstRowLastColumn="0" w:lastRowFirstColumn="0" w:lastRowLastColumn="0"/>
              <w:rPr>
                <w:szCs w:val="20"/>
              </w:rPr>
            </w:pPr>
            <w:r w:rsidRPr="00B15CEB">
              <w:rPr>
                <w:szCs w:val="20"/>
              </w:rPr>
              <w:t>1 moyenne annuelle</w:t>
            </w:r>
          </w:p>
        </w:tc>
      </w:tr>
      <w:tr w:rsidR="008637EF" w:rsidRPr="00B15CEB" w14:paraId="75D13AF1" w14:textId="77777777" w:rsidTr="00D13E49">
        <w:trPr>
          <w:trHeight w:val="115"/>
        </w:trPr>
        <w:tc>
          <w:tcPr>
            <w:cnfStyle w:val="001000000000" w:firstRow="0" w:lastRow="0" w:firstColumn="1" w:lastColumn="0" w:oddVBand="0" w:evenVBand="0" w:oddHBand="0" w:evenHBand="0" w:firstRowFirstColumn="0" w:firstRowLastColumn="0" w:lastRowFirstColumn="0" w:lastRowLastColumn="0"/>
            <w:tcW w:w="2271" w:type="dxa"/>
            <w:noWrap/>
          </w:tcPr>
          <w:p w14:paraId="2BE3D6FB" w14:textId="77777777" w:rsidR="008637EF" w:rsidRPr="00B15CEB" w:rsidRDefault="008637EF" w:rsidP="005A7661">
            <w:pPr>
              <w:widowControl w:val="0"/>
              <w:rPr>
                <w:szCs w:val="20"/>
              </w:rPr>
            </w:pPr>
            <w:r w:rsidRPr="00B15CEB">
              <w:rPr>
                <w:szCs w:val="20"/>
              </w:rPr>
              <w:t>Cadmium (Cd) mg/m</w:t>
            </w:r>
            <w:r w:rsidRPr="00B15CEB">
              <w:rPr>
                <w:szCs w:val="20"/>
                <w:vertAlign w:val="superscript"/>
              </w:rPr>
              <w:t>3</w:t>
            </w:r>
          </w:p>
        </w:tc>
        <w:tc>
          <w:tcPr>
            <w:tcW w:w="3873" w:type="dxa"/>
            <w:noWrap/>
          </w:tcPr>
          <w:p w14:paraId="5EBB1540" w14:textId="77777777" w:rsidR="008637EF" w:rsidRPr="00B15CEB" w:rsidRDefault="008637EF" w:rsidP="005A7661">
            <w:pPr>
              <w:widowControl w:val="0"/>
              <w:cnfStyle w:val="000000000000" w:firstRow="0" w:lastRow="0" w:firstColumn="0" w:lastColumn="0" w:oddVBand="0" w:evenVBand="0" w:oddHBand="0" w:evenHBand="0" w:firstRowFirstColumn="0" w:firstRowLastColumn="0" w:lastRowFirstColumn="0" w:lastRowLastColumn="0"/>
              <w:rPr>
                <w:szCs w:val="20"/>
              </w:rPr>
            </w:pPr>
            <w:r w:rsidRPr="00B15CEB">
              <w:rPr>
                <w:szCs w:val="20"/>
              </w:rPr>
              <w:t> Valeur limite pour la protection de la santé</w:t>
            </w:r>
          </w:p>
        </w:tc>
        <w:tc>
          <w:tcPr>
            <w:tcW w:w="2731" w:type="dxa"/>
          </w:tcPr>
          <w:p w14:paraId="4A2B2FAF" w14:textId="77777777" w:rsidR="008637EF" w:rsidRPr="00B15CEB" w:rsidRDefault="008637EF" w:rsidP="005A7661">
            <w:pPr>
              <w:widowControl w:val="0"/>
              <w:cnfStyle w:val="000000000000" w:firstRow="0" w:lastRow="0" w:firstColumn="0" w:lastColumn="0" w:oddVBand="0" w:evenVBand="0" w:oddHBand="0" w:evenHBand="0" w:firstRowFirstColumn="0" w:firstRowLastColumn="0" w:lastRowFirstColumn="0" w:lastRowLastColumn="0"/>
              <w:rPr>
                <w:szCs w:val="20"/>
              </w:rPr>
            </w:pPr>
            <w:r w:rsidRPr="00B15CEB">
              <w:rPr>
                <w:szCs w:val="20"/>
              </w:rPr>
              <w:t>5 moyennes annuelles</w:t>
            </w:r>
          </w:p>
        </w:tc>
      </w:tr>
      <w:tr w:rsidR="008637EF" w:rsidRPr="00B15CEB" w14:paraId="00F2B438" w14:textId="77777777" w:rsidTr="00D13E49">
        <w:trPr>
          <w:trHeight w:val="115"/>
        </w:trPr>
        <w:tc>
          <w:tcPr>
            <w:cnfStyle w:val="001000000000" w:firstRow="0" w:lastRow="0" w:firstColumn="1" w:lastColumn="0" w:oddVBand="0" w:evenVBand="0" w:oddHBand="0" w:evenHBand="0" w:firstRowFirstColumn="0" w:firstRowLastColumn="0" w:lastRowFirstColumn="0" w:lastRowLastColumn="0"/>
            <w:tcW w:w="2271" w:type="dxa"/>
            <w:vMerge w:val="restart"/>
            <w:noWrap/>
          </w:tcPr>
          <w:p w14:paraId="76CF1EBE" w14:textId="77777777" w:rsidR="008637EF" w:rsidRPr="00B15CEB" w:rsidRDefault="008637EF" w:rsidP="005A7661">
            <w:pPr>
              <w:widowControl w:val="0"/>
              <w:rPr>
                <w:szCs w:val="20"/>
              </w:rPr>
            </w:pPr>
            <w:r w:rsidRPr="00B15CEB">
              <w:rPr>
                <w:szCs w:val="20"/>
              </w:rPr>
              <w:t>L’ozone (O</w:t>
            </w:r>
            <w:r w:rsidRPr="00B15CEB">
              <w:rPr>
                <w:szCs w:val="20"/>
                <w:vertAlign w:val="subscript"/>
              </w:rPr>
              <w:t>3</w:t>
            </w:r>
            <w:r w:rsidRPr="00B15CEB">
              <w:rPr>
                <w:szCs w:val="20"/>
              </w:rPr>
              <w:t>) µg/m</w:t>
            </w:r>
            <w:r w:rsidRPr="00B15CEB">
              <w:rPr>
                <w:szCs w:val="20"/>
                <w:vertAlign w:val="superscript"/>
              </w:rPr>
              <w:t>3</w:t>
            </w:r>
          </w:p>
        </w:tc>
        <w:tc>
          <w:tcPr>
            <w:tcW w:w="3873" w:type="dxa"/>
            <w:noWrap/>
          </w:tcPr>
          <w:p w14:paraId="02DB4E25" w14:textId="77777777" w:rsidR="008637EF" w:rsidRPr="00B15CEB" w:rsidRDefault="008637EF" w:rsidP="005A7661">
            <w:pPr>
              <w:widowControl w:val="0"/>
              <w:cnfStyle w:val="000000000000" w:firstRow="0" w:lastRow="0" w:firstColumn="0" w:lastColumn="0" w:oddVBand="0" w:evenVBand="0" w:oddHBand="0" w:evenHBand="0" w:firstRowFirstColumn="0" w:firstRowLastColumn="0" w:lastRowFirstColumn="0" w:lastRowLastColumn="0"/>
              <w:rPr>
                <w:szCs w:val="20"/>
              </w:rPr>
            </w:pPr>
            <w:r w:rsidRPr="00B15CEB">
              <w:rPr>
                <w:szCs w:val="20"/>
              </w:rPr>
              <w:t>Valeur limite pour la protection de la santé</w:t>
            </w:r>
          </w:p>
        </w:tc>
        <w:tc>
          <w:tcPr>
            <w:tcW w:w="2731" w:type="dxa"/>
          </w:tcPr>
          <w:p w14:paraId="3251A34E" w14:textId="77777777" w:rsidR="008637EF" w:rsidRPr="00B15CEB" w:rsidRDefault="008637EF" w:rsidP="005A7661">
            <w:pPr>
              <w:widowControl w:val="0"/>
              <w:cnfStyle w:val="000000000000" w:firstRow="0" w:lastRow="0" w:firstColumn="0" w:lastColumn="0" w:oddVBand="0" w:evenVBand="0" w:oddHBand="0" w:evenHBand="0" w:firstRowFirstColumn="0" w:firstRowLastColumn="0" w:lastRowFirstColumn="0" w:lastRowLastColumn="0"/>
              <w:rPr>
                <w:szCs w:val="20"/>
              </w:rPr>
            </w:pPr>
            <w:r w:rsidRPr="00B15CEB">
              <w:rPr>
                <w:szCs w:val="20"/>
              </w:rPr>
              <w:t>110 moyennes sur une plage de 8h</w:t>
            </w:r>
          </w:p>
        </w:tc>
      </w:tr>
      <w:tr w:rsidR="008637EF" w:rsidRPr="00B15CEB" w14:paraId="01ED4ECF" w14:textId="77777777" w:rsidTr="00D13E49">
        <w:trPr>
          <w:trHeight w:val="185"/>
        </w:trPr>
        <w:tc>
          <w:tcPr>
            <w:cnfStyle w:val="001000000000" w:firstRow="0" w:lastRow="0" w:firstColumn="1" w:lastColumn="0" w:oddVBand="0" w:evenVBand="0" w:oddHBand="0" w:evenHBand="0" w:firstRowFirstColumn="0" w:firstRowLastColumn="0" w:lastRowFirstColumn="0" w:lastRowLastColumn="0"/>
            <w:tcW w:w="2271" w:type="dxa"/>
            <w:vMerge/>
          </w:tcPr>
          <w:p w14:paraId="79F87A65" w14:textId="77777777" w:rsidR="008637EF" w:rsidRPr="00B15CEB" w:rsidRDefault="008637EF" w:rsidP="005A7661">
            <w:pPr>
              <w:widowControl w:val="0"/>
              <w:rPr>
                <w:szCs w:val="20"/>
              </w:rPr>
            </w:pPr>
          </w:p>
        </w:tc>
        <w:tc>
          <w:tcPr>
            <w:tcW w:w="3873" w:type="dxa"/>
          </w:tcPr>
          <w:p w14:paraId="4C7C5B6B" w14:textId="77777777" w:rsidR="008637EF" w:rsidRPr="00B15CEB" w:rsidRDefault="008637EF" w:rsidP="005A7661">
            <w:pPr>
              <w:widowControl w:val="0"/>
              <w:cnfStyle w:val="000000000000" w:firstRow="0" w:lastRow="0" w:firstColumn="0" w:lastColumn="0" w:oddVBand="0" w:evenVBand="0" w:oddHBand="0" w:evenHBand="0" w:firstRowFirstColumn="0" w:firstRowLastColumn="0" w:lastRowFirstColumn="0" w:lastRowLastColumn="0"/>
              <w:rPr>
                <w:szCs w:val="20"/>
              </w:rPr>
            </w:pPr>
            <w:r w:rsidRPr="00B15CEB">
              <w:rPr>
                <w:szCs w:val="20"/>
              </w:rPr>
              <w:t>Valeurs limites pour la protection de la végétation</w:t>
            </w:r>
          </w:p>
        </w:tc>
        <w:tc>
          <w:tcPr>
            <w:tcW w:w="2731" w:type="dxa"/>
          </w:tcPr>
          <w:p w14:paraId="59CBFE72" w14:textId="77777777" w:rsidR="008637EF" w:rsidRPr="00B15CEB" w:rsidRDefault="008637EF" w:rsidP="005A7661">
            <w:pPr>
              <w:widowControl w:val="0"/>
              <w:cnfStyle w:val="000000000000" w:firstRow="0" w:lastRow="0" w:firstColumn="0" w:lastColumn="0" w:oddVBand="0" w:evenVBand="0" w:oddHBand="0" w:evenHBand="0" w:firstRowFirstColumn="0" w:firstRowLastColumn="0" w:lastRowFirstColumn="0" w:lastRowLastColumn="0"/>
              <w:rPr>
                <w:szCs w:val="20"/>
              </w:rPr>
            </w:pPr>
            <w:r w:rsidRPr="00B15CEB">
              <w:rPr>
                <w:szCs w:val="20"/>
              </w:rPr>
              <w:t>65 moyennes journalières ne devant pas être dépassée plus de 3 jours consécutifs</w:t>
            </w:r>
          </w:p>
        </w:tc>
      </w:tr>
      <w:tr w:rsidR="008637EF" w:rsidRPr="00B15CEB" w14:paraId="5BBAECE0" w14:textId="77777777" w:rsidTr="00D13E49">
        <w:trPr>
          <w:trHeight w:val="115"/>
        </w:trPr>
        <w:tc>
          <w:tcPr>
            <w:cnfStyle w:val="001000000000" w:firstRow="0" w:lastRow="0" w:firstColumn="1" w:lastColumn="0" w:oddVBand="0" w:evenVBand="0" w:oddHBand="0" w:evenHBand="0" w:firstRowFirstColumn="0" w:firstRowLastColumn="0" w:lastRowFirstColumn="0" w:lastRowLastColumn="0"/>
            <w:tcW w:w="2271" w:type="dxa"/>
            <w:noWrap/>
          </w:tcPr>
          <w:p w14:paraId="07F50430" w14:textId="77777777" w:rsidR="008637EF" w:rsidRPr="00B15CEB" w:rsidRDefault="008637EF" w:rsidP="005A7661">
            <w:pPr>
              <w:widowControl w:val="0"/>
              <w:rPr>
                <w:szCs w:val="20"/>
              </w:rPr>
            </w:pPr>
            <w:r w:rsidRPr="00B15CEB">
              <w:rPr>
                <w:szCs w:val="20"/>
              </w:rPr>
              <w:t>Benzène (C</w:t>
            </w:r>
            <w:r w:rsidRPr="00B15CEB">
              <w:rPr>
                <w:szCs w:val="20"/>
                <w:vertAlign w:val="subscript"/>
              </w:rPr>
              <w:t>6</w:t>
            </w:r>
            <w:r w:rsidRPr="00B15CEB">
              <w:rPr>
                <w:szCs w:val="20"/>
              </w:rPr>
              <w:t>H</w:t>
            </w:r>
            <w:r w:rsidRPr="00B15CEB">
              <w:rPr>
                <w:szCs w:val="20"/>
                <w:vertAlign w:val="subscript"/>
              </w:rPr>
              <w:t>6</w:t>
            </w:r>
            <w:r w:rsidRPr="00B15CEB">
              <w:rPr>
                <w:szCs w:val="20"/>
              </w:rPr>
              <w:t>) µg/m</w:t>
            </w:r>
            <w:r w:rsidRPr="00B15CEB">
              <w:rPr>
                <w:szCs w:val="20"/>
                <w:vertAlign w:val="superscript"/>
              </w:rPr>
              <w:t>3</w:t>
            </w:r>
          </w:p>
        </w:tc>
        <w:tc>
          <w:tcPr>
            <w:tcW w:w="3873" w:type="dxa"/>
            <w:noWrap/>
          </w:tcPr>
          <w:p w14:paraId="5DAE66A0" w14:textId="77777777" w:rsidR="008637EF" w:rsidRPr="00B15CEB" w:rsidRDefault="008637EF" w:rsidP="005A7661">
            <w:pPr>
              <w:widowControl w:val="0"/>
              <w:cnfStyle w:val="000000000000" w:firstRow="0" w:lastRow="0" w:firstColumn="0" w:lastColumn="0" w:oddVBand="0" w:evenVBand="0" w:oddHBand="0" w:evenHBand="0" w:firstRowFirstColumn="0" w:firstRowLastColumn="0" w:lastRowFirstColumn="0" w:lastRowLastColumn="0"/>
              <w:rPr>
                <w:szCs w:val="20"/>
              </w:rPr>
            </w:pPr>
            <w:r w:rsidRPr="00B15CEB">
              <w:rPr>
                <w:szCs w:val="20"/>
              </w:rPr>
              <w:t>Valeur limite pour la protection de la santé</w:t>
            </w:r>
          </w:p>
        </w:tc>
        <w:tc>
          <w:tcPr>
            <w:tcW w:w="2731" w:type="dxa"/>
          </w:tcPr>
          <w:p w14:paraId="06A3FA03" w14:textId="77777777" w:rsidR="008637EF" w:rsidRPr="00B15CEB" w:rsidRDefault="008637EF" w:rsidP="005A7661">
            <w:pPr>
              <w:widowControl w:val="0"/>
              <w:cnfStyle w:val="000000000000" w:firstRow="0" w:lastRow="0" w:firstColumn="0" w:lastColumn="0" w:oddVBand="0" w:evenVBand="0" w:oddHBand="0" w:evenHBand="0" w:firstRowFirstColumn="0" w:firstRowLastColumn="0" w:lastRowFirstColumn="0" w:lastRowLastColumn="0"/>
              <w:rPr>
                <w:szCs w:val="20"/>
              </w:rPr>
            </w:pPr>
            <w:r w:rsidRPr="00B15CEB">
              <w:rPr>
                <w:szCs w:val="20"/>
              </w:rPr>
              <w:t>10 moyennes annuelles</w:t>
            </w:r>
          </w:p>
        </w:tc>
      </w:tr>
    </w:tbl>
    <w:p w14:paraId="2D1E3886" w14:textId="6BFBC1FF" w:rsidR="008637EF" w:rsidRPr="002A0860" w:rsidRDefault="008637EF" w:rsidP="008637EF">
      <w:pPr>
        <w:pStyle w:val="Lgende"/>
        <w:keepNext/>
        <w:keepLines/>
        <w:spacing w:before="240" w:after="120"/>
        <w:rPr>
          <w:lang w:val="fr-FR"/>
        </w:rPr>
      </w:pPr>
      <w:bookmarkStart w:id="193" w:name="_Toc213404346"/>
      <w:r w:rsidRPr="002A0860">
        <w:rPr>
          <w:lang w:val="fr-FR"/>
        </w:rPr>
        <w:t xml:space="preserve">Tableau </w:t>
      </w:r>
      <w:r>
        <w:fldChar w:fldCharType="begin"/>
      </w:r>
      <w:r w:rsidRPr="002A0860">
        <w:rPr>
          <w:lang w:val="fr-FR"/>
        </w:rPr>
        <w:instrText xml:space="preserve"> SEQ Tableau \* ARABIC </w:instrText>
      </w:r>
      <w:r>
        <w:fldChar w:fldCharType="separate"/>
      </w:r>
      <w:r w:rsidR="00274E71">
        <w:rPr>
          <w:noProof/>
          <w:lang w:val="fr-FR"/>
        </w:rPr>
        <w:t>23</w:t>
      </w:r>
      <w:r>
        <w:fldChar w:fldCharType="end"/>
      </w:r>
      <w:r>
        <w:rPr>
          <w:lang w:val="fr-FR"/>
        </w:rPr>
        <w:t>:</w:t>
      </w:r>
      <w:r w:rsidRPr="002A0860">
        <w:rPr>
          <w:rFonts w:hint="eastAsia"/>
          <w:lang w:val="fr-FR" w:eastAsia="zh-CN"/>
        </w:rPr>
        <w:t xml:space="preserve"> </w:t>
      </w:r>
      <w:r w:rsidRPr="00DD6097">
        <w:rPr>
          <w:lang w:val="fr-FR"/>
        </w:rPr>
        <w:t>Lignes directrices OMS pour les valeurs limites de polluants atmosphériques</w:t>
      </w:r>
      <w:bookmarkEnd w:id="193"/>
    </w:p>
    <w:tbl>
      <w:tblPr>
        <w:tblStyle w:val="TableauGrille1Clair-Accentuation111"/>
        <w:tblW w:w="5000" w:type="pct"/>
        <w:tblLook w:val="04A0" w:firstRow="1" w:lastRow="0" w:firstColumn="1" w:lastColumn="0" w:noHBand="0" w:noVBand="1"/>
      </w:tblPr>
      <w:tblGrid>
        <w:gridCol w:w="1813"/>
        <w:gridCol w:w="1813"/>
        <w:gridCol w:w="1812"/>
        <w:gridCol w:w="1812"/>
        <w:gridCol w:w="1812"/>
      </w:tblGrid>
      <w:tr w:rsidR="008637EF" w:rsidRPr="00970DFC" w14:paraId="56EDF04C" w14:textId="77777777" w:rsidTr="00D13E4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0" w:type="pct"/>
          </w:tcPr>
          <w:p w14:paraId="7B6B3CC6" w14:textId="77777777" w:rsidR="008637EF" w:rsidRPr="00970DFC" w:rsidRDefault="008637EF" w:rsidP="005A7661">
            <w:pPr>
              <w:keepNext/>
              <w:keepLines/>
              <w:jc w:val="center"/>
              <w:rPr>
                <w:b w:val="0"/>
                <w:bCs w:val="0"/>
                <w:sz w:val="18"/>
                <w:szCs w:val="18"/>
              </w:rPr>
            </w:pPr>
            <w:r w:rsidRPr="00970DFC">
              <w:rPr>
                <w:sz w:val="18"/>
                <w:szCs w:val="18"/>
              </w:rPr>
              <w:t>Polluants</w:t>
            </w:r>
          </w:p>
        </w:tc>
        <w:tc>
          <w:tcPr>
            <w:tcW w:w="1000" w:type="pct"/>
          </w:tcPr>
          <w:p w14:paraId="5C077ECD" w14:textId="77777777" w:rsidR="008637EF" w:rsidRPr="00970DFC" w:rsidRDefault="008637EF" w:rsidP="005A7661">
            <w:pPr>
              <w:keepNext/>
              <w:keepLines/>
              <w:jc w:val="center"/>
              <w:cnfStyle w:val="100000000000" w:firstRow="1" w:lastRow="0" w:firstColumn="0" w:lastColumn="0" w:oddVBand="0" w:evenVBand="0" w:oddHBand="0" w:evenHBand="0" w:firstRowFirstColumn="0" w:firstRowLastColumn="0" w:lastRowFirstColumn="0" w:lastRowLastColumn="0"/>
              <w:rPr>
                <w:b w:val="0"/>
                <w:bCs w:val="0"/>
                <w:sz w:val="18"/>
                <w:szCs w:val="18"/>
              </w:rPr>
            </w:pPr>
            <w:r w:rsidRPr="00970DFC">
              <w:rPr>
                <w:sz w:val="18"/>
                <w:szCs w:val="18"/>
              </w:rPr>
              <w:t>SO</w:t>
            </w:r>
            <w:r w:rsidRPr="00970DFC">
              <w:rPr>
                <w:sz w:val="18"/>
                <w:szCs w:val="18"/>
                <w:vertAlign w:val="subscript"/>
              </w:rPr>
              <w:t>2</w:t>
            </w:r>
            <w:r w:rsidRPr="00970DFC">
              <w:rPr>
                <w:sz w:val="18"/>
                <w:szCs w:val="18"/>
              </w:rPr>
              <w:t xml:space="preserve"> (μg/m</w:t>
            </w:r>
            <w:r w:rsidRPr="00970DFC">
              <w:rPr>
                <w:sz w:val="18"/>
                <w:szCs w:val="18"/>
                <w:vertAlign w:val="superscript"/>
              </w:rPr>
              <w:t>3</w:t>
            </w:r>
            <w:r w:rsidRPr="00970DFC">
              <w:rPr>
                <w:sz w:val="18"/>
                <w:szCs w:val="18"/>
              </w:rPr>
              <w:t>)</w:t>
            </w:r>
          </w:p>
        </w:tc>
        <w:tc>
          <w:tcPr>
            <w:tcW w:w="1000" w:type="pct"/>
          </w:tcPr>
          <w:p w14:paraId="26985684" w14:textId="77777777" w:rsidR="008637EF" w:rsidRPr="00970DFC" w:rsidRDefault="008637EF" w:rsidP="005A7661">
            <w:pPr>
              <w:keepNext/>
              <w:keepLines/>
              <w:jc w:val="center"/>
              <w:cnfStyle w:val="100000000000" w:firstRow="1" w:lastRow="0" w:firstColumn="0" w:lastColumn="0" w:oddVBand="0" w:evenVBand="0" w:oddHBand="0" w:evenHBand="0" w:firstRowFirstColumn="0" w:firstRowLastColumn="0" w:lastRowFirstColumn="0" w:lastRowLastColumn="0"/>
              <w:rPr>
                <w:b w:val="0"/>
                <w:bCs w:val="0"/>
                <w:sz w:val="18"/>
                <w:szCs w:val="18"/>
              </w:rPr>
            </w:pPr>
            <w:r w:rsidRPr="00970DFC">
              <w:rPr>
                <w:sz w:val="18"/>
                <w:szCs w:val="18"/>
              </w:rPr>
              <w:t>NO</w:t>
            </w:r>
            <w:r w:rsidRPr="00970DFC">
              <w:rPr>
                <w:sz w:val="18"/>
                <w:szCs w:val="18"/>
                <w:vertAlign w:val="subscript"/>
              </w:rPr>
              <w:t>2</w:t>
            </w:r>
            <w:r w:rsidRPr="00970DFC">
              <w:rPr>
                <w:sz w:val="18"/>
                <w:szCs w:val="18"/>
              </w:rPr>
              <w:t xml:space="preserve"> (μg/m</w:t>
            </w:r>
            <w:r w:rsidRPr="00970DFC">
              <w:rPr>
                <w:sz w:val="18"/>
                <w:szCs w:val="18"/>
                <w:vertAlign w:val="superscript"/>
              </w:rPr>
              <w:t>3</w:t>
            </w:r>
            <w:r w:rsidRPr="00970DFC">
              <w:rPr>
                <w:sz w:val="18"/>
                <w:szCs w:val="18"/>
              </w:rPr>
              <w:t>)</w:t>
            </w:r>
          </w:p>
        </w:tc>
        <w:tc>
          <w:tcPr>
            <w:tcW w:w="1000" w:type="pct"/>
          </w:tcPr>
          <w:p w14:paraId="3D3BC9D7" w14:textId="77777777" w:rsidR="008637EF" w:rsidRPr="00970DFC" w:rsidRDefault="008637EF" w:rsidP="005A7661">
            <w:pPr>
              <w:keepNext/>
              <w:keepLines/>
              <w:jc w:val="center"/>
              <w:cnfStyle w:val="100000000000" w:firstRow="1" w:lastRow="0" w:firstColumn="0" w:lastColumn="0" w:oddVBand="0" w:evenVBand="0" w:oddHBand="0" w:evenHBand="0" w:firstRowFirstColumn="0" w:firstRowLastColumn="0" w:lastRowFirstColumn="0" w:lastRowLastColumn="0"/>
              <w:rPr>
                <w:b w:val="0"/>
                <w:bCs w:val="0"/>
                <w:sz w:val="18"/>
                <w:szCs w:val="18"/>
              </w:rPr>
            </w:pPr>
            <w:r w:rsidRPr="00970DFC">
              <w:rPr>
                <w:sz w:val="18"/>
                <w:szCs w:val="18"/>
              </w:rPr>
              <w:t>PM</w:t>
            </w:r>
            <w:r w:rsidRPr="00970DFC">
              <w:rPr>
                <w:sz w:val="18"/>
                <w:szCs w:val="18"/>
                <w:vertAlign w:val="subscript"/>
              </w:rPr>
              <w:t>10</w:t>
            </w:r>
            <w:r w:rsidRPr="00970DFC">
              <w:rPr>
                <w:sz w:val="18"/>
                <w:szCs w:val="18"/>
              </w:rPr>
              <w:t xml:space="preserve"> (μg/m</w:t>
            </w:r>
            <w:r w:rsidRPr="00970DFC">
              <w:rPr>
                <w:sz w:val="18"/>
                <w:szCs w:val="18"/>
                <w:vertAlign w:val="superscript"/>
              </w:rPr>
              <w:t>3</w:t>
            </w:r>
            <w:r w:rsidRPr="00970DFC">
              <w:rPr>
                <w:sz w:val="18"/>
                <w:szCs w:val="18"/>
              </w:rPr>
              <w:t>)</w:t>
            </w:r>
          </w:p>
        </w:tc>
        <w:tc>
          <w:tcPr>
            <w:tcW w:w="1000" w:type="pct"/>
          </w:tcPr>
          <w:p w14:paraId="39BB0650" w14:textId="77777777" w:rsidR="008637EF" w:rsidRPr="00970DFC" w:rsidRDefault="008637EF" w:rsidP="005A7661">
            <w:pPr>
              <w:keepNext/>
              <w:keepLines/>
              <w:jc w:val="center"/>
              <w:cnfStyle w:val="100000000000" w:firstRow="1" w:lastRow="0" w:firstColumn="0" w:lastColumn="0" w:oddVBand="0" w:evenVBand="0" w:oddHBand="0" w:evenHBand="0" w:firstRowFirstColumn="0" w:firstRowLastColumn="0" w:lastRowFirstColumn="0" w:lastRowLastColumn="0"/>
              <w:rPr>
                <w:b w:val="0"/>
                <w:bCs w:val="0"/>
                <w:sz w:val="18"/>
                <w:szCs w:val="18"/>
              </w:rPr>
            </w:pPr>
            <w:r w:rsidRPr="00970DFC">
              <w:rPr>
                <w:sz w:val="18"/>
                <w:szCs w:val="18"/>
              </w:rPr>
              <w:t>PM</w:t>
            </w:r>
            <w:r w:rsidRPr="00970DFC">
              <w:rPr>
                <w:sz w:val="18"/>
                <w:szCs w:val="18"/>
                <w:vertAlign w:val="subscript"/>
              </w:rPr>
              <w:t xml:space="preserve">2,5 </w:t>
            </w:r>
            <w:r w:rsidRPr="00970DFC">
              <w:rPr>
                <w:sz w:val="18"/>
                <w:szCs w:val="18"/>
              </w:rPr>
              <w:t>(μg/m</w:t>
            </w:r>
            <w:r w:rsidRPr="00970DFC">
              <w:rPr>
                <w:sz w:val="18"/>
                <w:szCs w:val="18"/>
                <w:vertAlign w:val="superscript"/>
              </w:rPr>
              <w:t>3</w:t>
            </w:r>
            <w:r w:rsidRPr="00970DFC">
              <w:rPr>
                <w:sz w:val="18"/>
                <w:szCs w:val="18"/>
              </w:rPr>
              <w:t>)</w:t>
            </w:r>
          </w:p>
        </w:tc>
      </w:tr>
      <w:tr w:rsidR="008637EF" w:rsidRPr="00970DFC" w14:paraId="0E1AC5F7" w14:textId="77777777" w:rsidTr="00D13E49">
        <w:tc>
          <w:tcPr>
            <w:cnfStyle w:val="001000000000" w:firstRow="0" w:lastRow="0" w:firstColumn="1" w:lastColumn="0" w:oddVBand="0" w:evenVBand="0" w:oddHBand="0" w:evenHBand="0" w:firstRowFirstColumn="0" w:firstRowLastColumn="0" w:lastRowFirstColumn="0" w:lastRowLastColumn="0"/>
            <w:tcW w:w="1000" w:type="pct"/>
            <w:vMerge w:val="restart"/>
          </w:tcPr>
          <w:p w14:paraId="01286729" w14:textId="77777777" w:rsidR="008637EF" w:rsidRPr="00970DFC" w:rsidRDefault="008637EF" w:rsidP="005A7661">
            <w:pPr>
              <w:keepNext/>
              <w:keepLines/>
              <w:rPr>
                <w:b w:val="0"/>
                <w:bCs w:val="0"/>
                <w:sz w:val="18"/>
                <w:szCs w:val="18"/>
              </w:rPr>
            </w:pPr>
            <w:r w:rsidRPr="00970DFC">
              <w:rPr>
                <w:sz w:val="18"/>
                <w:szCs w:val="18"/>
              </w:rPr>
              <w:t>Normes de l’OMS</w:t>
            </w:r>
          </w:p>
        </w:tc>
        <w:tc>
          <w:tcPr>
            <w:tcW w:w="1000" w:type="pct"/>
          </w:tcPr>
          <w:p w14:paraId="060A3151" w14:textId="77777777" w:rsidR="008637EF" w:rsidRPr="00970DFC" w:rsidRDefault="008637EF" w:rsidP="005A7661">
            <w:pPr>
              <w:keepNext/>
              <w:keepLines/>
              <w:cnfStyle w:val="000000000000" w:firstRow="0" w:lastRow="0" w:firstColumn="0" w:lastColumn="0" w:oddVBand="0" w:evenVBand="0" w:oddHBand="0" w:evenHBand="0" w:firstRowFirstColumn="0" w:firstRowLastColumn="0" w:lastRowFirstColumn="0" w:lastRowLastColumn="0"/>
              <w:rPr>
                <w:sz w:val="18"/>
                <w:szCs w:val="18"/>
              </w:rPr>
            </w:pPr>
            <w:r w:rsidRPr="00970DFC">
              <w:rPr>
                <w:sz w:val="18"/>
                <w:szCs w:val="18"/>
              </w:rPr>
              <w:t>20 : moyenne journalière</w:t>
            </w:r>
          </w:p>
        </w:tc>
        <w:tc>
          <w:tcPr>
            <w:tcW w:w="1000" w:type="pct"/>
          </w:tcPr>
          <w:p w14:paraId="5012A45A" w14:textId="77777777" w:rsidR="008637EF" w:rsidRPr="00970DFC" w:rsidRDefault="008637EF" w:rsidP="005A7661">
            <w:pPr>
              <w:keepNext/>
              <w:keepLines/>
              <w:cnfStyle w:val="000000000000" w:firstRow="0" w:lastRow="0" w:firstColumn="0" w:lastColumn="0" w:oddVBand="0" w:evenVBand="0" w:oddHBand="0" w:evenHBand="0" w:firstRowFirstColumn="0" w:firstRowLastColumn="0" w:lastRowFirstColumn="0" w:lastRowLastColumn="0"/>
              <w:rPr>
                <w:sz w:val="18"/>
                <w:szCs w:val="18"/>
              </w:rPr>
            </w:pPr>
            <w:r w:rsidRPr="00970DFC">
              <w:rPr>
                <w:sz w:val="18"/>
                <w:szCs w:val="18"/>
              </w:rPr>
              <w:t>40 : moyenne journalière</w:t>
            </w:r>
          </w:p>
        </w:tc>
        <w:tc>
          <w:tcPr>
            <w:tcW w:w="1000" w:type="pct"/>
          </w:tcPr>
          <w:p w14:paraId="7637F14F" w14:textId="77777777" w:rsidR="008637EF" w:rsidRPr="00970DFC" w:rsidRDefault="008637EF" w:rsidP="005A7661">
            <w:pPr>
              <w:keepNext/>
              <w:keepLines/>
              <w:cnfStyle w:val="000000000000" w:firstRow="0" w:lastRow="0" w:firstColumn="0" w:lastColumn="0" w:oddVBand="0" w:evenVBand="0" w:oddHBand="0" w:evenHBand="0" w:firstRowFirstColumn="0" w:firstRowLastColumn="0" w:lastRowFirstColumn="0" w:lastRowLastColumn="0"/>
              <w:rPr>
                <w:sz w:val="18"/>
                <w:szCs w:val="18"/>
              </w:rPr>
            </w:pPr>
            <w:r w:rsidRPr="00970DFC">
              <w:rPr>
                <w:sz w:val="18"/>
                <w:szCs w:val="18"/>
              </w:rPr>
              <w:t>20 : moyenne annuelle</w:t>
            </w:r>
          </w:p>
        </w:tc>
        <w:tc>
          <w:tcPr>
            <w:tcW w:w="1000" w:type="pct"/>
          </w:tcPr>
          <w:p w14:paraId="5B3151C4" w14:textId="77777777" w:rsidR="008637EF" w:rsidRPr="00970DFC" w:rsidRDefault="008637EF" w:rsidP="005A7661">
            <w:pPr>
              <w:keepNext/>
              <w:keepLines/>
              <w:cnfStyle w:val="000000000000" w:firstRow="0" w:lastRow="0" w:firstColumn="0" w:lastColumn="0" w:oddVBand="0" w:evenVBand="0" w:oddHBand="0" w:evenHBand="0" w:firstRowFirstColumn="0" w:firstRowLastColumn="0" w:lastRowFirstColumn="0" w:lastRowLastColumn="0"/>
              <w:rPr>
                <w:sz w:val="18"/>
                <w:szCs w:val="18"/>
              </w:rPr>
            </w:pPr>
            <w:r w:rsidRPr="00970DFC">
              <w:rPr>
                <w:sz w:val="18"/>
                <w:szCs w:val="18"/>
              </w:rPr>
              <w:t>20 : moyenne annuelle</w:t>
            </w:r>
          </w:p>
        </w:tc>
      </w:tr>
      <w:tr w:rsidR="008637EF" w:rsidRPr="00970DFC" w14:paraId="0B94F11F" w14:textId="77777777" w:rsidTr="00D13E49">
        <w:tc>
          <w:tcPr>
            <w:cnfStyle w:val="001000000000" w:firstRow="0" w:lastRow="0" w:firstColumn="1" w:lastColumn="0" w:oddVBand="0" w:evenVBand="0" w:oddHBand="0" w:evenHBand="0" w:firstRowFirstColumn="0" w:firstRowLastColumn="0" w:lastRowFirstColumn="0" w:lastRowLastColumn="0"/>
            <w:tcW w:w="1000" w:type="pct"/>
            <w:vMerge/>
          </w:tcPr>
          <w:p w14:paraId="34294E93" w14:textId="77777777" w:rsidR="008637EF" w:rsidRPr="00970DFC" w:rsidRDefault="008637EF" w:rsidP="005A7661">
            <w:pPr>
              <w:keepNext/>
              <w:keepLines/>
              <w:rPr>
                <w:sz w:val="18"/>
                <w:szCs w:val="18"/>
              </w:rPr>
            </w:pPr>
          </w:p>
        </w:tc>
        <w:tc>
          <w:tcPr>
            <w:tcW w:w="1000" w:type="pct"/>
          </w:tcPr>
          <w:p w14:paraId="2FB83FEF" w14:textId="77777777" w:rsidR="008637EF" w:rsidRPr="00970DFC" w:rsidRDefault="008637EF" w:rsidP="005A7661">
            <w:pPr>
              <w:keepNext/>
              <w:keepLines/>
              <w:cnfStyle w:val="000000000000" w:firstRow="0" w:lastRow="0" w:firstColumn="0" w:lastColumn="0" w:oddVBand="0" w:evenVBand="0" w:oddHBand="0" w:evenHBand="0" w:firstRowFirstColumn="0" w:firstRowLastColumn="0" w:lastRowFirstColumn="0" w:lastRowLastColumn="0"/>
              <w:rPr>
                <w:sz w:val="18"/>
                <w:szCs w:val="18"/>
              </w:rPr>
            </w:pPr>
            <w:r w:rsidRPr="00970DFC">
              <w:rPr>
                <w:sz w:val="18"/>
                <w:szCs w:val="18"/>
              </w:rPr>
              <w:t>500 : moyenne sur 10 minutes</w:t>
            </w:r>
          </w:p>
        </w:tc>
        <w:tc>
          <w:tcPr>
            <w:tcW w:w="1000" w:type="pct"/>
          </w:tcPr>
          <w:p w14:paraId="4A798831" w14:textId="77777777" w:rsidR="008637EF" w:rsidRPr="00970DFC" w:rsidRDefault="008637EF" w:rsidP="005A7661">
            <w:pPr>
              <w:keepNext/>
              <w:keepLines/>
              <w:cnfStyle w:val="000000000000" w:firstRow="0" w:lastRow="0" w:firstColumn="0" w:lastColumn="0" w:oddVBand="0" w:evenVBand="0" w:oddHBand="0" w:evenHBand="0" w:firstRowFirstColumn="0" w:firstRowLastColumn="0" w:lastRowFirstColumn="0" w:lastRowLastColumn="0"/>
              <w:rPr>
                <w:sz w:val="18"/>
                <w:szCs w:val="18"/>
              </w:rPr>
            </w:pPr>
            <w:r w:rsidRPr="00970DFC">
              <w:rPr>
                <w:sz w:val="18"/>
                <w:szCs w:val="18"/>
              </w:rPr>
              <w:t>200 : moyenne horaire</w:t>
            </w:r>
          </w:p>
        </w:tc>
        <w:tc>
          <w:tcPr>
            <w:tcW w:w="1000" w:type="pct"/>
          </w:tcPr>
          <w:p w14:paraId="336AADDF" w14:textId="77777777" w:rsidR="008637EF" w:rsidRPr="00970DFC" w:rsidRDefault="008637EF" w:rsidP="005A7661">
            <w:pPr>
              <w:keepNext/>
              <w:keepLines/>
              <w:cnfStyle w:val="000000000000" w:firstRow="0" w:lastRow="0" w:firstColumn="0" w:lastColumn="0" w:oddVBand="0" w:evenVBand="0" w:oddHBand="0" w:evenHBand="0" w:firstRowFirstColumn="0" w:firstRowLastColumn="0" w:lastRowFirstColumn="0" w:lastRowLastColumn="0"/>
              <w:rPr>
                <w:sz w:val="18"/>
                <w:szCs w:val="18"/>
              </w:rPr>
            </w:pPr>
            <w:r w:rsidRPr="00970DFC">
              <w:rPr>
                <w:sz w:val="18"/>
                <w:szCs w:val="18"/>
              </w:rPr>
              <w:t>50 : moyenne journalière</w:t>
            </w:r>
          </w:p>
        </w:tc>
        <w:tc>
          <w:tcPr>
            <w:tcW w:w="1000" w:type="pct"/>
          </w:tcPr>
          <w:p w14:paraId="1E9D1756" w14:textId="77777777" w:rsidR="008637EF" w:rsidRPr="00970DFC" w:rsidRDefault="008637EF" w:rsidP="005A7661">
            <w:pPr>
              <w:keepNext/>
              <w:keepLines/>
              <w:cnfStyle w:val="000000000000" w:firstRow="0" w:lastRow="0" w:firstColumn="0" w:lastColumn="0" w:oddVBand="0" w:evenVBand="0" w:oddHBand="0" w:evenHBand="0" w:firstRowFirstColumn="0" w:firstRowLastColumn="0" w:lastRowFirstColumn="0" w:lastRowLastColumn="0"/>
              <w:rPr>
                <w:sz w:val="18"/>
                <w:szCs w:val="18"/>
              </w:rPr>
            </w:pPr>
            <w:r w:rsidRPr="00970DFC">
              <w:rPr>
                <w:sz w:val="18"/>
                <w:szCs w:val="18"/>
              </w:rPr>
              <w:t>25 : moyenne journalière</w:t>
            </w:r>
          </w:p>
        </w:tc>
      </w:tr>
    </w:tbl>
    <w:p w14:paraId="6BF2F28C" w14:textId="77777777" w:rsidR="008637EF" w:rsidRPr="000045CE" w:rsidRDefault="008637EF" w:rsidP="008637EF">
      <w:r w:rsidRPr="000045CE">
        <w:t>La</w:t>
      </w:r>
      <w:r>
        <w:t xml:space="preserve"> </w:t>
      </w:r>
      <w:r w:rsidRPr="000045CE">
        <w:t>moyenne</w:t>
      </w:r>
      <w:r>
        <w:t xml:space="preserve"> </w:t>
      </w:r>
      <w:r w:rsidRPr="000045CE">
        <w:t>annuelle</w:t>
      </w:r>
      <w:r>
        <w:t xml:space="preserve"> </w:t>
      </w:r>
      <w:r w:rsidRPr="000045CE">
        <w:t>pour</w:t>
      </w:r>
      <w:r>
        <w:t xml:space="preserve"> </w:t>
      </w:r>
      <w:r w:rsidRPr="000045CE">
        <w:t>le</w:t>
      </w:r>
      <w:r>
        <w:t xml:space="preserve"> </w:t>
      </w:r>
      <w:r w:rsidRPr="000045CE">
        <w:t>SO</w:t>
      </w:r>
      <w:r w:rsidRPr="00673464">
        <w:rPr>
          <w:vertAlign w:val="subscript"/>
        </w:rPr>
        <w:t>2</w:t>
      </w:r>
      <w:r>
        <w:t xml:space="preserve"> </w:t>
      </w:r>
      <w:r w:rsidRPr="000045CE">
        <w:t>n’a</w:t>
      </w:r>
      <w:r>
        <w:t xml:space="preserve"> </w:t>
      </w:r>
      <w:r w:rsidRPr="000045CE">
        <w:t>pas</w:t>
      </w:r>
      <w:r>
        <w:t xml:space="preserve"> </w:t>
      </w:r>
      <w:r w:rsidRPr="000045CE">
        <w:t>été</w:t>
      </w:r>
      <w:r>
        <w:t xml:space="preserve"> </w:t>
      </w:r>
      <w:r w:rsidRPr="000045CE">
        <w:t>modifiée</w:t>
      </w:r>
      <w:r>
        <w:t xml:space="preserve"> </w:t>
      </w:r>
      <w:r w:rsidRPr="000045CE">
        <w:t>en</w:t>
      </w:r>
      <w:r>
        <w:t xml:space="preserve"> </w:t>
      </w:r>
      <w:r w:rsidRPr="000045CE">
        <w:t>2005.</w:t>
      </w:r>
      <w:r>
        <w:t xml:space="preserve"> </w:t>
      </w:r>
      <w:r w:rsidRPr="000045CE">
        <w:t>Nous</w:t>
      </w:r>
      <w:r>
        <w:t xml:space="preserve"> </w:t>
      </w:r>
      <w:r w:rsidRPr="000045CE">
        <w:t>prenons</w:t>
      </w:r>
      <w:r>
        <w:t xml:space="preserve"> </w:t>
      </w:r>
      <w:r w:rsidRPr="000045CE">
        <w:t>donc</w:t>
      </w:r>
      <w:r>
        <w:t xml:space="preserve"> </w:t>
      </w:r>
      <w:r w:rsidRPr="000045CE">
        <w:t>comme</w:t>
      </w:r>
      <w:r>
        <w:t xml:space="preserve"> </w:t>
      </w:r>
      <w:r w:rsidRPr="000045CE">
        <w:t>valeur</w:t>
      </w:r>
      <w:r>
        <w:t xml:space="preserve"> </w:t>
      </w:r>
      <w:r w:rsidRPr="000045CE">
        <w:t>de</w:t>
      </w:r>
      <w:r>
        <w:t xml:space="preserve"> </w:t>
      </w:r>
      <w:r w:rsidRPr="000045CE">
        <w:t>référence</w:t>
      </w:r>
      <w:r>
        <w:t xml:space="preserve"> </w:t>
      </w:r>
      <w:r w:rsidRPr="000045CE">
        <w:t>la</w:t>
      </w:r>
      <w:r>
        <w:t xml:space="preserve"> </w:t>
      </w:r>
      <w:r w:rsidRPr="000045CE">
        <w:t>valeur</w:t>
      </w:r>
      <w:r>
        <w:t xml:space="preserve"> </w:t>
      </w:r>
      <w:r w:rsidRPr="000045CE">
        <w:t>de</w:t>
      </w:r>
      <w:r>
        <w:t xml:space="preserve"> </w:t>
      </w:r>
      <w:r w:rsidRPr="000045CE">
        <w:t>2000,</w:t>
      </w:r>
      <w:r>
        <w:t xml:space="preserve"> </w:t>
      </w:r>
      <w:r w:rsidRPr="000045CE">
        <w:t>c'est-à-dire</w:t>
      </w:r>
      <w:r>
        <w:t xml:space="preserve"> </w:t>
      </w:r>
      <w:r w:rsidRPr="000045CE">
        <w:t>50</w:t>
      </w:r>
      <w:r>
        <w:t xml:space="preserve"> </w:t>
      </w:r>
      <w:r w:rsidRPr="000045CE">
        <w:t>µg/m</w:t>
      </w:r>
      <w:r w:rsidRPr="000045CE">
        <w:rPr>
          <w:vertAlign w:val="superscript"/>
        </w:rPr>
        <w:t>3</w:t>
      </w:r>
      <w:r w:rsidRPr="000045CE">
        <w:t>.</w:t>
      </w:r>
    </w:p>
    <w:p w14:paraId="624FDF37" w14:textId="77777777" w:rsidR="008637EF" w:rsidRPr="000045CE" w:rsidRDefault="008637EF" w:rsidP="008637EF">
      <w:r w:rsidRPr="000045CE">
        <w:lastRenderedPageBreak/>
        <w:t>La</w:t>
      </w:r>
      <w:r>
        <w:t xml:space="preserve"> </w:t>
      </w:r>
      <w:r w:rsidRPr="000045CE">
        <w:t>Banque</w:t>
      </w:r>
      <w:r>
        <w:t xml:space="preserve"> </w:t>
      </w:r>
      <w:r w:rsidRPr="000045CE">
        <w:t>Mondiale</w:t>
      </w:r>
      <w:r>
        <w:t xml:space="preserve"> </w:t>
      </w:r>
      <w:r w:rsidRPr="000045CE">
        <w:t>applique</w:t>
      </w:r>
      <w:r>
        <w:t xml:space="preserve"> </w:t>
      </w:r>
      <w:r w:rsidRPr="000045CE">
        <w:t>les</w:t>
      </w:r>
      <w:r>
        <w:t xml:space="preserve"> </w:t>
      </w:r>
      <w:r w:rsidRPr="000045CE">
        <w:t>standards</w:t>
      </w:r>
      <w:r>
        <w:t xml:space="preserve"> </w:t>
      </w:r>
      <w:r w:rsidRPr="000045CE">
        <w:t>de</w:t>
      </w:r>
      <w:r>
        <w:t xml:space="preserve"> </w:t>
      </w:r>
      <w:r w:rsidRPr="000045CE">
        <w:t>l’OMS.</w:t>
      </w:r>
      <w:r>
        <w:t xml:space="preserve"> </w:t>
      </w:r>
      <w:r w:rsidRPr="000045CE">
        <w:t>Les</w:t>
      </w:r>
      <w:r>
        <w:t xml:space="preserve"> </w:t>
      </w:r>
      <w:r w:rsidRPr="000045CE">
        <w:t>standards</w:t>
      </w:r>
      <w:r>
        <w:t xml:space="preserve"> </w:t>
      </w:r>
      <w:r w:rsidRPr="000045CE">
        <w:t>OMS</w:t>
      </w:r>
      <w:r>
        <w:t xml:space="preserve"> </w:t>
      </w:r>
      <w:r w:rsidRPr="000045CE">
        <w:t>viennent</w:t>
      </w:r>
      <w:r>
        <w:t xml:space="preserve"> </w:t>
      </w:r>
      <w:r w:rsidRPr="000045CE">
        <w:t>d’être</w:t>
      </w:r>
      <w:r>
        <w:t xml:space="preserve"> </w:t>
      </w:r>
      <w:r w:rsidRPr="000045CE">
        <w:t>revus</w:t>
      </w:r>
      <w:r>
        <w:t xml:space="preserve"> </w:t>
      </w:r>
      <w:r w:rsidRPr="000045CE">
        <w:t>en</w:t>
      </w:r>
      <w:r>
        <w:t xml:space="preserve"> </w:t>
      </w:r>
      <w:r w:rsidRPr="000045CE">
        <w:t>2005,</w:t>
      </w:r>
      <w:r>
        <w:t xml:space="preserve"> </w:t>
      </w:r>
      <w:r w:rsidRPr="000045CE">
        <w:t>ce</w:t>
      </w:r>
      <w:r>
        <w:t xml:space="preserve"> </w:t>
      </w:r>
      <w:r w:rsidRPr="000045CE">
        <w:t>qui</w:t>
      </w:r>
      <w:r>
        <w:t xml:space="preserve"> </w:t>
      </w:r>
      <w:r w:rsidRPr="000045CE">
        <w:t>a</w:t>
      </w:r>
      <w:r>
        <w:t xml:space="preserve"> </w:t>
      </w:r>
      <w:r w:rsidRPr="000045CE">
        <w:t>entraîné</w:t>
      </w:r>
      <w:r>
        <w:t xml:space="preserve"> </w:t>
      </w:r>
      <w:r w:rsidRPr="000045CE">
        <w:t>les</w:t>
      </w:r>
      <w:r>
        <w:t xml:space="preserve"> </w:t>
      </w:r>
      <w:r w:rsidRPr="000045CE">
        <w:t>révisions</w:t>
      </w:r>
      <w:r>
        <w:t xml:space="preserve"> </w:t>
      </w:r>
      <w:r w:rsidRPr="000045CE">
        <w:t>suivantes :</w:t>
      </w:r>
    </w:p>
    <w:p w14:paraId="2D3332A6" w14:textId="77777777" w:rsidR="008637EF" w:rsidRPr="000045CE" w:rsidRDefault="008637EF" w:rsidP="008637EF">
      <w:pPr>
        <w:pStyle w:val="Style1"/>
        <w:spacing w:before="120"/>
      </w:pPr>
      <w:r w:rsidRPr="000045CE">
        <w:t>Une</w:t>
      </w:r>
      <w:r>
        <w:t xml:space="preserve"> </w:t>
      </w:r>
      <w:r w:rsidRPr="000045CE">
        <w:t>baisse</w:t>
      </w:r>
      <w:r>
        <w:t xml:space="preserve"> </w:t>
      </w:r>
      <w:r w:rsidRPr="000045CE">
        <w:t>de</w:t>
      </w:r>
      <w:r>
        <w:t xml:space="preserve"> </w:t>
      </w:r>
      <w:r w:rsidRPr="000045CE">
        <w:t>la</w:t>
      </w:r>
      <w:r>
        <w:t xml:space="preserve"> </w:t>
      </w:r>
      <w:r w:rsidRPr="000045CE">
        <w:t>limite</w:t>
      </w:r>
      <w:r>
        <w:t xml:space="preserve"> </w:t>
      </w:r>
      <w:r w:rsidRPr="000045CE">
        <w:t>pour</w:t>
      </w:r>
      <w:r>
        <w:t xml:space="preserve"> </w:t>
      </w:r>
      <w:r w:rsidRPr="000045CE">
        <w:t>l’exposition</w:t>
      </w:r>
      <w:r>
        <w:t xml:space="preserve"> </w:t>
      </w:r>
      <w:r w:rsidRPr="000045CE">
        <w:t>au</w:t>
      </w:r>
      <w:r>
        <w:t xml:space="preserve"> </w:t>
      </w:r>
      <w:r w:rsidRPr="000045CE">
        <w:t>SO</w:t>
      </w:r>
      <w:r w:rsidRPr="00673464">
        <w:rPr>
          <w:vertAlign w:val="subscript"/>
        </w:rPr>
        <w:t>2</w:t>
      </w:r>
      <w:r>
        <w:t xml:space="preserve"> </w:t>
      </w:r>
      <w:r w:rsidRPr="000045CE">
        <w:t>sur</w:t>
      </w:r>
      <w:r>
        <w:t xml:space="preserve"> </w:t>
      </w:r>
      <w:r w:rsidRPr="000045CE">
        <w:t>24</w:t>
      </w:r>
      <w:r>
        <w:t xml:space="preserve"> </w:t>
      </w:r>
      <w:r w:rsidRPr="000045CE">
        <w:t>heures</w:t>
      </w:r>
      <w:r>
        <w:t xml:space="preserve"> </w:t>
      </w:r>
      <w:r w:rsidRPr="000045CE">
        <w:t>de</w:t>
      </w:r>
      <w:r>
        <w:t xml:space="preserve"> </w:t>
      </w:r>
      <w:r w:rsidRPr="000045CE">
        <w:t>125</w:t>
      </w:r>
      <w:r>
        <w:t xml:space="preserve"> </w:t>
      </w:r>
      <w:r w:rsidRPr="000045CE">
        <w:t>µg/m</w:t>
      </w:r>
      <w:r w:rsidRPr="00673464">
        <w:rPr>
          <w:vertAlign w:val="superscript"/>
        </w:rPr>
        <w:t>3</w:t>
      </w:r>
      <w:r>
        <w:t xml:space="preserve"> </w:t>
      </w:r>
      <w:r w:rsidRPr="000045CE">
        <w:t>à</w:t>
      </w:r>
      <w:r>
        <w:t xml:space="preserve"> </w:t>
      </w:r>
      <w:r w:rsidRPr="000045CE">
        <w:t>20</w:t>
      </w:r>
      <w:r>
        <w:t xml:space="preserve"> </w:t>
      </w:r>
      <w:r w:rsidRPr="000045CE">
        <w:t>µg/m</w:t>
      </w:r>
      <w:r w:rsidRPr="00673464">
        <w:rPr>
          <w:vertAlign w:val="superscript"/>
        </w:rPr>
        <w:t>3</w:t>
      </w:r>
      <w:r w:rsidRPr="000045CE">
        <w:t>,</w:t>
      </w:r>
      <w:r>
        <w:t xml:space="preserve"> </w:t>
      </w:r>
      <w:r w:rsidRPr="000045CE">
        <w:t>se</w:t>
      </w:r>
      <w:r>
        <w:t xml:space="preserve"> </w:t>
      </w:r>
      <w:r w:rsidRPr="000045CE">
        <w:t>fondant</w:t>
      </w:r>
      <w:r>
        <w:t xml:space="preserve"> </w:t>
      </w:r>
      <w:r w:rsidRPr="000045CE">
        <w:t>sur</w:t>
      </w:r>
      <w:r>
        <w:t xml:space="preserve"> </w:t>
      </w:r>
      <w:r w:rsidRPr="000045CE">
        <w:t>les</w:t>
      </w:r>
      <w:r>
        <w:t xml:space="preserve"> </w:t>
      </w:r>
      <w:r w:rsidRPr="000045CE">
        <w:t>effets</w:t>
      </w:r>
      <w:r>
        <w:t xml:space="preserve"> </w:t>
      </w:r>
      <w:r w:rsidRPr="000045CE">
        <w:t>sur</w:t>
      </w:r>
      <w:r>
        <w:t xml:space="preserve"> </w:t>
      </w:r>
      <w:r w:rsidRPr="000045CE">
        <w:t>la</w:t>
      </w:r>
      <w:r>
        <w:t xml:space="preserve"> </w:t>
      </w:r>
      <w:r w:rsidRPr="000045CE">
        <w:t>santé</w:t>
      </w:r>
      <w:r>
        <w:t xml:space="preserve"> </w:t>
      </w:r>
      <w:r w:rsidRPr="000045CE">
        <w:t>du</w:t>
      </w:r>
      <w:r>
        <w:t xml:space="preserve"> </w:t>
      </w:r>
      <w:r w:rsidRPr="000045CE">
        <w:t>SO</w:t>
      </w:r>
      <w:r w:rsidRPr="00673464">
        <w:rPr>
          <w:vertAlign w:val="subscript"/>
        </w:rPr>
        <w:t>2</w:t>
      </w:r>
      <w:r>
        <w:t xml:space="preserve"> </w:t>
      </w:r>
      <w:r w:rsidRPr="000045CE">
        <w:t>même</w:t>
      </w:r>
      <w:r>
        <w:t xml:space="preserve"> </w:t>
      </w:r>
      <w:r w:rsidRPr="000045CE">
        <w:t>à</w:t>
      </w:r>
      <w:r>
        <w:t xml:space="preserve"> </w:t>
      </w:r>
      <w:r w:rsidRPr="000045CE">
        <w:t>faible</w:t>
      </w:r>
      <w:r>
        <w:t xml:space="preserve"> </w:t>
      </w:r>
      <w:r w:rsidRPr="000045CE">
        <w:t>concentration ;</w:t>
      </w:r>
    </w:p>
    <w:p w14:paraId="202AD2D6" w14:textId="77777777" w:rsidR="008637EF" w:rsidRPr="000045CE" w:rsidRDefault="008637EF" w:rsidP="008637EF">
      <w:pPr>
        <w:pStyle w:val="Style1"/>
        <w:spacing w:before="120"/>
      </w:pPr>
      <w:r w:rsidRPr="000045CE">
        <w:t>La</w:t>
      </w:r>
      <w:r>
        <w:t xml:space="preserve"> </w:t>
      </w:r>
      <w:r w:rsidRPr="000045CE">
        <w:t>définition</w:t>
      </w:r>
      <w:r>
        <w:t xml:space="preserve"> </w:t>
      </w:r>
      <w:r w:rsidRPr="000045CE">
        <w:t>de</w:t>
      </w:r>
      <w:r>
        <w:t xml:space="preserve"> </w:t>
      </w:r>
      <w:r w:rsidRPr="000045CE">
        <w:t>valeurs</w:t>
      </w:r>
      <w:r>
        <w:t xml:space="preserve"> </w:t>
      </w:r>
      <w:r w:rsidRPr="000045CE">
        <w:t>guides</w:t>
      </w:r>
      <w:r>
        <w:t xml:space="preserve"> </w:t>
      </w:r>
      <w:r w:rsidRPr="000045CE">
        <w:t>pour</w:t>
      </w:r>
      <w:r>
        <w:t xml:space="preserve"> </w:t>
      </w:r>
      <w:r w:rsidRPr="000045CE">
        <w:t>les</w:t>
      </w:r>
      <w:r>
        <w:t xml:space="preserve"> </w:t>
      </w:r>
      <w:r w:rsidRPr="000045CE">
        <w:t>PM,</w:t>
      </w:r>
      <w:r>
        <w:t xml:space="preserve"> </w:t>
      </w:r>
      <w:r w:rsidRPr="000045CE">
        <w:t>avec</w:t>
      </w:r>
      <w:r>
        <w:t xml:space="preserve"> </w:t>
      </w:r>
      <w:r w:rsidRPr="000045CE">
        <w:t>l’objectif</w:t>
      </w:r>
      <w:r>
        <w:t xml:space="preserve"> </w:t>
      </w:r>
      <w:r w:rsidRPr="000045CE">
        <w:t>d’arriver</w:t>
      </w:r>
      <w:r>
        <w:t xml:space="preserve"> </w:t>
      </w:r>
      <w:r w:rsidRPr="000045CE">
        <w:t>à</w:t>
      </w:r>
      <w:r>
        <w:t xml:space="preserve"> </w:t>
      </w:r>
      <w:r w:rsidRPr="000045CE">
        <w:t>la</w:t>
      </w:r>
      <w:r>
        <w:t xml:space="preserve"> </w:t>
      </w:r>
      <w:r w:rsidRPr="000045CE">
        <w:t>plus</w:t>
      </w:r>
      <w:r>
        <w:t xml:space="preserve"> </w:t>
      </w:r>
      <w:r w:rsidRPr="000045CE">
        <w:t>faible</w:t>
      </w:r>
      <w:r>
        <w:t xml:space="preserve"> </w:t>
      </w:r>
      <w:r w:rsidRPr="000045CE">
        <w:t>concentration</w:t>
      </w:r>
      <w:r>
        <w:t xml:space="preserve"> </w:t>
      </w:r>
      <w:r w:rsidRPr="000045CE">
        <w:t>afin</w:t>
      </w:r>
      <w:r>
        <w:t xml:space="preserve"> </w:t>
      </w:r>
      <w:r w:rsidRPr="000045CE">
        <w:t>de</w:t>
      </w:r>
      <w:r>
        <w:t xml:space="preserve"> </w:t>
      </w:r>
      <w:r w:rsidRPr="000045CE">
        <w:t>réduire</w:t>
      </w:r>
      <w:r>
        <w:t xml:space="preserve"> </w:t>
      </w:r>
      <w:r w:rsidRPr="000045CE">
        <w:t>le</w:t>
      </w:r>
      <w:r>
        <w:t xml:space="preserve"> </w:t>
      </w:r>
      <w:r w:rsidRPr="000045CE">
        <w:t>plus</w:t>
      </w:r>
      <w:r>
        <w:t xml:space="preserve"> </w:t>
      </w:r>
      <w:r w:rsidRPr="000045CE">
        <w:t>possible</w:t>
      </w:r>
      <w:r>
        <w:t xml:space="preserve"> </w:t>
      </w:r>
      <w:r w:rsidRPr="000045CE">
        <w:t>les</w:t>
      </w:r>
      <w:r>
        <w:t xml:space="preserve"> </w:t>
      </w:r>
      <w:r w:rsidRPr="000045CE">
        <w:t>effets</w:t>
      </w:r>
      <w:r>
        <w:t xml:space="preserve"> </w:t>
      </w:r>
      <w:r w:rsidRPr="000045CE">
        <w:t>sanitaires</w:t>
      </w:r>
      <w:r>
        <w:t xml:space="preserve"> </w:t>
      </w:r>
      <w:r w:rsidRPr="000045CE">
        <w:t>en</w:t>
      </w:r>
      <w:r>
        <w:t xml:space="preserve"> </w:t>
      </w:r>
      <w:r w:rsidRPr="000045CE">
        <w:t>fonction</w:t>
      </w:r>
      <w:r>
        <w:t xml:space="preserve"> </w:t>
      </w:r>
      <w:r w:rsidRPr="000045CE">
        <w:t>des</w:t>
      </w:r>
      <w:r>
        <w:t xml:space="preserve"> </w:t>
      </w:r>
      <w:r w:rsidRPr="000045CE">
        <w:t>limitations</w:t>
      </w:r>
      <w:r>
        <w:t xml:space="preserve"> </w:t>
      </w:r>
      <w:r w:rsidRPr="000045CE">
        <w:t>locales,</w:t>
      </w:r>
      <w:r>
        <w:t xml:space="preserve"> </w:t>
      </w:r>
      <w:r w:rsidRPr="000045CE">
        <w:t>des</w:t>
      </w:r>
      <w:r>
        <w:t xml:space="preserve"> </w:t>
      </w:r>
      <w:r w:rsidRPr="000045CE">
        <w:t>moyens</w:t>
      </w:r>
      <w:r>
        <w:t xml:space="preserve"> </w:t>
      </w:r>
      <w:r w:rsidRPr="000045CE">
        <w:t>disponibles</w:t>
      </w:r>
      <w:r>
        <w:t xml:space="preserve"> </w:t>
      </w:r>
      <w:r w:rsidRPr="000045CE">
        <w:t>et</w:t>
      </w:r>
      <w:r>
        <w:t xml:space="preserve"> </w:t>
      </w:r>
      <w:r w:rsidRPr="000045CE">
        <w:t>des</w:t>
      </w:r>
      <w:r>
        <w:t xml:space="preserve"> </w:t>
      </w:r>
      <w:r w:rsidRPr="000045CE">
        <w:t>priorités</w:t>
      </w:r>
      <w:r>
        <w:t xml:space="preserve"> </w:t>
      </w:r>
      <w:r w:rsidRPr="000045CE">
        <w:t>de</w:t>
      </w:r>
      <w:r>
        <w:t xml:space="preserve"> </w:t>
      </w:r>
      <w:r w:rsidRPr="000045CE">
        <w:t>la</w:t>
      </w:r>
      <w:r>
        <w:t xml:space="preserve"> </w:t>
      </w:r>
      <w:r w:rsidRPr="000045CE">
        <w:t>santé</w:t>
      </w:r>
      <w:r>
        <w:t xml:space="preserve"> </w:t>
      </w:r>
      <w:r w:rsidRPr="000045CE">
        <w:t>publique ;</w:t>
      </w:r>
      <w:r>
        <w:t xml:space="preserve"> </w:t>
      </w:r>
      <w:r w:rsidRPr="000045CE">
        <w:t>et</w:t>
      </w:r>
    </w:p>
    <w:p w14:paraId="25E72EFD" w14:textId="77777777" w:rsidR="008637EF" w:rsidRDefault="008637EF" w:rsidP="008637EF">
      <w:pPr>
        <w:pStyle w:val="Style1"/>
        <w:spacing w:before="120"/>
      </w:pPr>
      <w:r w:rsidRPr="000045CE">
        <w:t>La</w:t>
      </w:r>
      <w:r>
        <w:t xml:space="preserve"> </w:t>
      </w:r>
      <w:r w:rsidRPr="000045CE">
        <w:t>valeur</w:t>
      </w:r>
      <w:r>
        <w:t xml:space="preserve"> </w:t>
      </w:r>
      <w:r w:rsidRPr="000045CE">
        <w:t>de</w:t>
      </w:r>
      <w:r>
        <w:t xml:space="preserve"> </w:t>
      </w:r>
      <w:r w:rsidRPr="000045CE">
        <w:t>200</w:t>
      </w:r>
      <w:r>
        <w:t xml:space="preserve"> </w:t>
      </w:r>
      <w:r w:rsidRPr="000045CE">
        <w:t>µg/m</w:t>
      </w:r>
      <w:r w:rsidRPr="009B5760">
        <w:rPr>
          <w:vertAlign w:val="superscript"/>
        </w:rPr>
        <w:t>3</w:t>
      </w:r>
      <w:r>
        <w:t xml:space="preserve"> </w:t>
      </w:r>
      <w:r w:rsidRPr="000045CE">
        <w:t>de</w:t>
      </w:r>
      <w:r>
        <w:t xml:space="preserve"> </w:t>
      </w:r>
      <w:r w:rsidRPr="000045CE">
        <w:t>NO</w:t>
      </w:r>
      <w:r w:rsidRPr="009B5760">
        <w:rPr>
          <w:vertAlign w:val="subscript"/>
        </w:rPr>
        <w:t>2</w:t>
      </w:r>
      <w:r>
        <w:t xml:space="preserve"> </w:t>
      </w:r>
      <w:r w:rsidRPr="000045CE">
        <w:t>pour</w:t>
      </w:r>
      <w:r>
        <w:t xml:space="preserve"> </w:t>
      </w:r>
      <w:r w:rsidRPr="000045CE">
        <w:t>l’exposition</w:t>
      </w:r>
      <w:r>
        <w:t xml:space="preserve"> </w:t>
      </w:r>
      <w:r w:rsidRPr="000045CE">
        <w:t>sur</w:t>
      </w:r>
      <w:r>
        <w:t xml:space="preserve"> </w:t>
      </w:r>
      <w:r w:rsidRPr="000045CE">
        <w:t>de</w:t>
      </w:r>
      <w:r>
        <w:t xml:space="preserve"> </w:t>
      </w:r>
      <w:r w:rsidRPr="000045CE">
        <w:t>courtes</w:t>
      </w:r>
      <w:r>
        <w:t xml:space="preserve"> </w:t>
      </w:r>
      <w:r w:rsidRPr="000045CE">
        <w:t>durées</w:t>
      </w:r>
      <w:r>
        <w:t xml:space="preserve"> </w:t>
      </w:r>
      <w:r w:rsidRPr="000045CE">
        <w:t>se</w:t>
      </w:r>
      <w:r>
        <w:t xml:space="preserve"> </w:t>
      </w:r>
      <w:r w:rsidRPr="000045CE">
        <w:t>réfère</w:t>
      </w:r>
      <w:r>
        <w:t xml:space="preserve"> </w:t>
      </w:r>
      <w:r w:rsidRPr="000045CE">
        <w:t>au</w:t>
      </w:r>
      <w:r>
        <w:t xml:space="preserve"> </w:t>
      </w:r>
      <w:r w:rsidRPr="000045CE">
        <w:t>fait</w:t>
      </w:r>
      <w:r>
        <w:t xml:space="preserve"> </w:t>
      </w:r>
      <w:r w:rsidRPr="000045CE">
        <w:t>que</w:t>
      </w:r>
      <w:r>
        <w:t xml:space="preserve"> </w:t>
      </w:r>
      <w:r w:rsidRPr="000045CE">
        <w:t>le</w:t>
      </w:r>
      <w:r>
        <w:t xml:space="preserve"> </w:t>
      </w:r>
      <w:r w:rsidRPr="000045CE">
        <w:t>NO</w:t>
      </w:r>
      <w:r w:rsidRPr="009B5760">
        <w:rPr>
          <w:vertAlign w:val="subscript"/>
        </w:rPr>
        <w:t>2</w:t>
      </w:r>
      <w:r>
        <w:t xml:space="preserve"> </w:t>
      </w:r>
      <w:r w:rsidRPr="000045CE">
        <w:t>est</w:t>
      </w:r>
      <w:r>
        <w:t xml:space="preserve"> </w:t>
      </w:r>
      <w:r w:rsidRPr="000045CE">
        <w:t>un</w:t>
      </w:r>
      <w:r>
        <w:t xml:space="preserve"> </w:t>
      </w:r>
      <w:r w:rsidRPr="000045CE">
        <w:t>gaz</w:t>
      </w:r>
      <w:r>
        <w:t xml:space="preserve"> </w:t>
      </w:r>
      <w:r w:rsidRPr="000045CE">
        <w:t>toxique</w:t>
      </w:r>
      <w:r>
        <w:t xml:space="preserve"> </w:t>
      </w:r>
      <w:r w:rsidRPr="000045CE">
        <w:t>entraînant</w:t>
      </w:r>
      <w:r>
        <w:t xml:space="preserve"> </w:t>
      </w:r>
      <w:r w:rsidRPr="000045CE">
        <w:t>une</w:t>
      </w:r>
      <w:r>
        <w:t xml:space="preserve"> </w:t>
      </w:r>
      <w:r w:rsidRPr="000045CE">
        <w:t>inflammation</w:t>
      </w:r>
      <w:r>
        <w:t xml:space="preserve"> </w:t>
      </w:r>
      <w:r w:rsidRPr="000045CE">
        <w:t>importante</w:t>
      </w:r>
      <w:r>
        <w:t xml:space="preserve"> </w:t>
      </w:r>
      <w:r w:rsidRPr="000045CE">
        <w:t>des</w:t>
      </w:r>
      <w:r>
        <w:t xml:space="preserve"> </w:t>
      </w:r>
      <w:r w:rsidRPr="000045CE">
        <w:t>voies</w:t>
      </w:r>
      <w:r>
        <w:t xml:space="preserve"> </w:t>
      </w:r>
      <w:r w:rsidRPr="000045CE">
        <w:t>respiratoires</w:t>
      </w:r>
      <w:r>
        <w:t xml:space="preserve"> </w:t>
      </w:r>
      <w:r w:rsidRPr="000045CE">
        <w:t>au-delà</w:t>
      </w:r>
      <w:r>
        <w:t xml:space="preserve"> </w:t>
      </w:r>
      <w:r w:rsidRPr="000045CE">
        <w:t>de</w:t>
      </w:r>
      <w:r>
        <w:t xml:space="preserve"> </w:t>
      </w:r>
      <w:r w:rsidRPr="000045CE">
        <w:t>ce</w:t>
      </w:r>
      <w:r>
        <w:t xml:space="preserve"> </w:t>
      </w:r>
      <w:r w:rsidRPr="000045CE">
        <w:t>seuil.</w:t>
      </w:r>
    </w:p>
    <w:p w14:paraId="3102722F" w14:textId="77777777" w:rsidR="008637EF" w:rsidRDefault="008637EF" w:rsidP="008637EF">
      <w:pPr>
        <w:pStyle w:val="Title3"/>
      </w:pPr>
      <w:bookmarkStart w:id="194" w:name="_Toc215131815"/>
      <w:r>
        <w:t>Normes et Standards relatives à la Qualité de l’Eau</w:t>
      </w:r>
      <w:bookmarkEnd w:id="194"/>
    </w:p>
    <w:p w14:paraId="45E3397C" w14:textId="77777777" w:rsidR="008637EF" w:rsidRDefault="008637EF" w:rsidP="008637EF">
      <w:r>
        <w:t>Les valeurs limites d'émission et les normes de qualité environnementale de l'Union Européenne sont établies dans le cadre de directives spécifiques. La Directive 2008/105/CE établit les normes de qualité environnementale dans le domaine de l'eau.</w:t>
      </w:r>
    </w:p>
    <w:p w14:paraId="39211DAB" w14:textId="77777777" w:rsidR="008637EF" w:rsidRDefault="008637EF" w:rsidP="008637EF">
      <w:r>
        <w:t>Le décret n°2-97-787, relatif aux normes de qualité des eaux et à l'inventaire du degré de pollution des eaux, qui applique la loi 36-15 sur l'eau, définit la fixation des normes de qualité de l'eau et les responsabilités de l'inventaire du degré de pollution des eaux. Les normes de qualité sont fixées par arrêté conjoint du ministre de l’Équipement et du ministre chargé de l'aménagement du territoire, de l'urbanisme, de l'habitat et de l'environnement n°1275-01 du 10 Chaâbane 1423 (17 octobre 2002), définissant la grille de qualité des eaux de surface.</w:t>
      </w:r>
    </w:p>
    <w:p w14:paraId="467BF7DF" w14:textId="77777777" w:rsidR="008637EF" w:rsidRDefault="008637EF" w:rsidP="008637EF">
      <w:r>
        <w:t>Les critères d'appréciation de la qualité des eaux superficielles au niveau national marocain fixent 5 classes de différentes qualités de l’eau. Le Tableau suivant présente la grille simplifiée de qualité des eaux de surface.</w:t>
      </w:r>
    </w:p>
    <w:p w14:paraId="5A9E2B06" w14:textId="77777777" w:rsidR="00D13E49" w:rsidRDefault="00D13E49" w:rsidP="008637EF"/>
    <w:p w14:paraId="1CE0FC2F" w14:textId="0F6B38FB" w:rsidR="008637EF" w:rsidRPr="002A0860" w:rsidRDefault="008637EF" w:rsidP="008637EF">
      <w:pPr>
        <w:pStyle w:val="Lgende"/>
        <w:keepNext/>
        <w:keepLines/>
        <w:rPr>
          <w:lang w:val="fr-FR"/>
        </w:rPr>
      </w:pPr>
      <w:bookmarkStart w:id="195" w:name="_Toc213404347"/>
      <w:r w:rsidRPr="002A0860">
        <w:rPr>
          <w:lang w:val="fr-FR"/>
        </w:rPr>
        <w:lastRenderedPageBreak/>
        <w:t xml:space="preserve">Tableau </w:t>
      </w:r>
      <w:r>
        <w:fldChar w:fldCharType="begin"/>
      </w:r>
      <w:r w:rsidRPr="002A0860">
        <w:rPr>
          <w:lang w:val="fr-FR"/>
        </w:rPr>
        <w:instrText xml:space="preserve"> SEQ Tableau \* ARABIC </w:instrText>
      </w:r>
      <w:r>
        <w:fldChar w:fldCharType="separate"/>
      </w:r>
      <w:r w:rsidR="00274E71">
        <w:rPr>
          <w:noProof/>
          <w:lang w:val="fr-FR"/>
        </w:rPr>
        <w:t>24</w:t>
      </w:r>
      <w:r>
        <w:fldChar w:fldCharType="end"/>
      </w:r>
      <w:r>
        <w:rPr>
          <w:noProof/>
          <w:lang w:val="fr-FR"/>
        </w:rPr>
        <w:t>:</w:t>
      </w:r>
      <w:r w:rsidRPr="002A0860">
        <w:rPr>
          <w:rFonts w:hint="eastAsia"/>
          <w:lang w:val="fr-FR" w:eastAsia="zh-CN"/>
        </w:rPr>
        <w:t xml:space="preserve"> </w:t>
      </w:r>
      <w:r w:rsidRPr="00DD6097">
        <w:rPr>
          <w:lang w:val="fr-FR"/>
        </w:rPr>
        <w:t>Grille simplifiée de qualité des eaux de surface</w:t>
      </w:r>
      <w:bookmarkEnd w:id="195"/>
    </w:p>
    <w:tbl>
      <w:tblPr>
        <w:tblStyle w:val="TableauGrille1Clair-Accentuation111"/>
        <w:tblW w:w="0" w:type="auto"/>
        <w:tblLook w:val="04A0" w:firstRow="1" w:lastRow="0" w:firstColumn="1" w:lastColumn="0" w:noHBand="0" w:noVBand="1"/>
      </w:tblPr>
      <w:tblGrid>
        <w:gridCol w:w="1295"/>
        <w:gridCol w:w="1293"/>
        <w:gridCol w:w="1295"/>
        <w:gridCol w:w="1294"/>
        <w:gridCol w:w="1481"/>
        <w:gridCol w:w="1109"/>
        <w:gridCol w:w="1295"/>
      </w:tblGrid>
      <w:tr w:rsidR="008637EF" w:rsidRPr="003705FE" w14:paraId="4E6CAC98" w14:textId="77777777" w:rsidTr="00D13E49">
        <w:trPr>
          <w:cnfStyle w:val="100000000000" w:firstRow="1" w:lastRow="0" w:firstColumn="0" w:lastColumn="0" w:oddVBand="0" w:evenVBand="0" w:oddHBand="0" w:evenHBand="0" w:firstRowFirstColumn="0" w:firstRowLastColumn="0" w:lastRowFirstColumn="0" w:lastRowLastColumn="0"/>
          <w:trHeight w:val="418"/>
        </w:trPr>
        <w:tc>
          <w:tcPr>
            <w:cnfStyle w:val="001000000000" w:firstRow="0" w:lastRow="0" w:firstColumn="1" w:lastColumn="0" w:oddVBand="0" w:evenVBand="0" w:oddHBand="0" w:evenHBand="0" w:firstRowFirstColumn="0" w:firstRowLastColumn="0" w:lastRowFirstColumn="0" w:lastRowLastColumn="0"/>
            <w:tcW w:w="1295" w:type="dxa"/>
            <w:vMerge w:val="restart"/>
          </w:tcPr>
          <w:p w14:paraId="7E374633" w14:textId="77777777" w:rsidR="008637EF" w:rsidRPr="003705FE" w:rsidRDefault="008637EF" w:rsidP="005A7661">
            <w:pPr>
              <w:keepNext/>
              <w:keepLines/>
              <w:spacing w:before="0" w:line="240" w:lineRule="auto"/>
              <w:jc w:val="center"/>
              <w:rPr>
                <w:rFonts w:asciiTheme="minorHAnsi" w:hAnsiTheme="minorHAnsi" w:cstheme="minorHAnsi"/>
                <w:b w:val="0"/>
                <w:bCs w:val="0"/>
                <w:szCs w:val="20"/>
              </w:rPr>
            </w:pPr>
            <w:r w:rsidRPr="003705FE">
              <w:rPr>
                <w:rFonts w:asciiTheme="minorHAnsi" w:hAnsiTheme="minorHAnsi" w:cstheme="minorHAnsi"/>
                <w:szCs w:val="20"/>
              </w:rPr>
              <w:t>Paramètre</w:t>
            </w:r>
          </w:p>
        </w:tc>
        <w:tc>
          <w:tcPr>
            <w:tcW w:w="1293" w:type="dxa"/>
            <w:vMerge w:val="restart"/>
          </w:tcPr>
          <w:p w14:paraId="298D1C66" w14:textId="77777777" w:rsidR="008637EF" w:rsidRPr="003705FE" w:rsidRDefault="008637EF" w:rsidP="005A7661">
            <w:pPr>
              <w:keepNext/>
              <w:keepLines/>
              <w:spacing w:before="0"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szCs w:val="20"/>
              </w:rPr>
            </w:pPr>
            <w:r w:rsidRPr="003705FE">
              <w:rPr>
                <w:rFonts w:asciiTheme="minorHAnsi" w:hAnsiTheme="minorHAnsi" w:cstheme="minorHAnsi"/>
                <w:szCs w:val="20"/>
              </w:rPr>
              <w:t>Unité</w:t>
            </w:r>
          </w:p>
        </w:tc>
        <w:tc>
          <w:tcPr>
            <w:tcW w:w="6474" w:type="dxa"/>
            <w:gridSpan w:val="5"/>
          </w:tcPr>
          <w:p w14:paraId="258730ED" w14:textId="77777777" w:rsidR="008637EF" w:rsidRPr="003705FE" w:rsidRDefault="008637EF" w:rsidP="005A7661">
            <w:pPr>
              <w:keepNext/>
              <w:keepLines/>
              <w:spacing w:before="0"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szCs w:val="20"/>
              </w:rPr>
            </w:pPr>
            <w:r w:rsidRPr="003705FE">
              <w:rPr>
                <w:rFonts w:asciiTheme="minorHAnsi" w:hAnsiTheme="minorHAnsi" w:cstheme="minorHAnsi"/>
                <w:szCs w:val="20"/>
              </w:rPr>
              <w:t>Qualité</w:t>
            </w:r>
          </w:p>
        </w:tc>
      </w:tr>
      <w:tr w:rsidR="008637EF" w:rsidRPr="003705FE" w14:paraId="5D2F5454" w14:textId="77777777" w:rsidTr="00D13E49">
        <w:tc>
          <w:tcPr>
            <w:cnfStyle w:val="001000000000" w:firstRow="0" w:lastRow="0" w:firstColumn="1" w:lastColumn="0" w:oddVBand="0" w:evenVBand="0" w:oddHBand="0" w:evenHBand="0" w:firstRowFirstColumn="0" w:firstRowLastColumn="0" w:lastRowFirstColumn="0" w:lastRowLastColumn="0"/>
            <w:tcW w:w="1295" w:type="dxa"/>
            <w:vMerge/>
          </w:tcPr>
          <w:p w14:paraId="3A261B69" w14:textId="77777777" w:rsidR="008637EF" w:rsidRPr="003705FE" w:rsidRDefault="008637EF" w:rsidP="005A7661">
            <w:pPr>
              <w:keepNext/>
              <w:keepLines/>
              <w:spacing w:after="0" w:line="240" w:lineRule="auto"/>
              <w:jc w:val="center"/>
              <w:rPr>
                <w:rFonts w:asciiTheme="minorHAnsi" w:hAnsiTheme="minorHAnsi" w:cstheme="minorHAnsi"/>
                <w:b w:val="0"/>
                <w:bCs w:val="0"/>
                <w:szCs w:val="20"/>
              </w:rPr>
            </w:pPr>
          </w:p>
        </w:tc>
        <w:tc>
          <w:tcPr>
            <w:tcW w:w="1293" w:type="dxa"/>
            <w:vMerge/>
          </w:tcPr>
          <w:p w14:paraId="62F65CF7" w14:textId="77777777" w:rsidR="008637EF" w:rsidRPr="003705FE" w:rsidRDefault="008637EF" w:rsidP="005A7661">
            <w:pPr>
              <w:keepNext/>
              <w:keepLine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Cs w:val="20"/>
              </w:rPr>
            </w:pPr>
          </w:p>
        </w:tc>
        <w:tc>
          <w:tcPr>
            <w:tcW w:w="1295" w:type="dxa"/>
          </w:tcPr>
          <w:p w14:paraId="2059570F" w14:textId="77777777" w:rsidR="008637EF" w:rsidRPr="003705FE" w:rsidRDefault="008637EF" w:rsidP="005A7661">
            <w:pPr>
              <w:keepNext/>
              <w:keepLine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Cs w:val="20"/>
              </w:rPr>
            </w:pPr>
            <w:r w:rsidRPr="003705FE">
              <w:rPr>
                <w:rFonts w:asciiTheme="minorHAnsi" w:hAnsiTheme="minorHAnsi" w:cstheme="minorHAnsi"/>
                <w:b/>
                <w:bCs/>
                <w:szCs w:val="20"/>
              </w:rPr>
              <w:t>Excellente</w:t>
            </w:r>
          </w:p>
        </w:tc>
        <w:tc>
          <w:tcPr>
            <w:tcW w:w="1294" w:type="dxa"/>
          </w:tcPr>
          <w:p w14:paraId="1E6DA06F" w14:textId="77777777" w:rsidR="008637EF" w:rsidRPr="003705FE" w:rsidRDefault="008637EF" w:rsidP="005A7661">
            <w:pPr>
              <w:keepNext/>
              <w:keepLines/>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Cs w:val="20"/>
              </w:rPr>
            </w:pPr>
            <w:r w:rsidRPr="003705FE">
              <w:rPr>
                <w:rFonts w:asciiTheme="minorHAnsi" w:hAnsiTheme="minorHAnsi" w:cstheme="minorHAnsi"/>
                <w:b/>
                <w:bCs/>
                <w:szCs w:val="20"/>
              </w:rPr>
              <w:t>Bonne</w:t>
            </w:r>
          </w:p>
        </w:tc>
        <w:tc>
          <w:tcPr>
            <w:tcW w:w="1481" w:type="dxa"/>
          </w:tcPr>
          <w:p w14:paraId="6EB08ED3" w14:textId="77777777" w:rsidR="008637EF" w:rsidRPr="003705FE" w:rsidRDefault="008637EF" w:rsidP="005A7661">
            <w:pPr>
              <w:keepNext/>
              <w:keepLines/>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Cs w:val="20"/>
              </w:rPr>
            </w:pPr>
            <w:r w:rsidRPr="003705FE">
              <w:rPr>
                <w:rFonts w:asciiTheme="minorHAnsi" w:hAnsiTheme="minorHAnsi" w:cstheme="minorHAnsi"/>
                <w:b/>
                <w:bCs/>
                <w:szCs w:val="20"/>
              </w:rPr>
              <w:t>Moyenne</w:t>
            </w:r>
          </w:p>
        </w:tc>
        <w:tc>
          <w:tcPr>
            <w:tcW w:w="1109" w:type="dxa"/>
          </w:tcPr>
          <w:p w14:paraId="06641FF4" w14:textId="77777777" w:rsidR="008637EF" w:rsidRPr="003705FE" w:rsidRDefault="008637EF" w:rsidP="005A7661">
            <w:pPr>
              <w:keepNext/>
              <w:keepLines/>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Cs w:val="20"/>
              </w:rPr>
            </w:pPr>
            <w:r w:rsidRPr="003705FE">
              <w:rPr>
                <w:rFonts w:asciiTheme="minorHAnsi" w:hAnsiTheme="minorHAnsi" w:cstheme="minorHAnsi"/>
                <w:b/>
                <w:bCs/>
                <w:szCs w:val="20"/>
              </w:rPr>
              <w:t>Mauvaise</w:t>
            </w:r>
          </w:p>
        </w:tc>
        <w:tc>
          <w:tcPr>
            <w:tcW w:w="1295" w:type="dxa"/>
          </w:tcPr>
          <w:p w14:paraId="4A2A8B50" w14:textId="77777777" w:rsidR="008637EF" w:rsidRPr="003705FE" w:rsidRDefault="008637EF" w:rsidP="005A7661">
            <w:pPr>
              <w:keepNext/>
              <w:keepLines/>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Cs w:val="20"/>
              </w:rPr>
            </w:pPr>
            <w:r w:rsidRPr="003705FE">
              <w:rPr>
                <w:rFonts w:asciiTheme="minorHAnsi" w:hAnsiTheme="minorHAnsi" w:cstheme="minorHAnsi"/>
                <w:b/>
                <w:bCs/>
                <w:szCs w:val="20"/>
              </w:rPr>
              <w:t>Très mauvaise</w:t>
            </w:r>
          </w:p>
        </w:tc>
      </w:tr>
      <w:tr w:rsidR="008637EF" w:rsidRPr="003705FE" w14:paraId="4BE8D7EA" w14:textId="77777777" w:rsidTr="00D13E49">
        <w:tc>
          <w:tcPr>
            <w:cnfStyle w:val="001000000000" w:firstRow="0" w:lastRow="0" w:firstColumn="1" w:lastColumn="0" w:oddVBand="0" w:evenVBand="0" w:oddHBand="0" w:evenHBand="0" w:firstRowFirstColumn="0" w:firstRowLastColumn="0" w:lastRowFirstColumn="0" w:lastRowLastColumn="0"/>
            <w:tcW w:w="1295" w:type="dxa"/>
          </w:tcPr>
          <w:p w14:paraId="7BC2F34D" w14:textId="77777777" w:rsidR="008637EF" w:rsidRPr="003705FE" w:rsidRDefault="008637EF" w:rsidP="005A7661">
            <w:pPr>
              <w:keepNext/>
              <w:keepLines/>
              <w:spacing w:after="0" w:line="240" w:lineRule="auto"/>
              <w:rPr>
                <w:rFonts w:asciiTheme="minorHAnsi" w:hAnsiTheme="minorHAnsi" w:cstheme="minorHAnsi"/>
                <w:szCs w:val="20"/>
              </w:rPr>
            </w:pPr>
            <w:r w:rsidRPr="003705FE">
              <w:rPr>
                <w:rFonts w:asciiTheme="minorHAnsi" w:hAnsiTheme="minorHAnsi" w:cstheme="minorHAnsi"/>
                <w:szCs w:val="20"/>
              </w:rPr>
              <w:t>O</w:t>
            </w:r>
            <w:r w:rsidRPr="003705FE">
              <w:rPr>
                <w:rFonts w:asciiTheme="minorHAnsi" w:hAnsiTheme="minorHAnsi" w:cstheme="minorHAnsi"/>
                <w:szCs w:val="20"/>
                <w:vertAlign w:val="subscript"/>
              </w:rPr>
              <w:t>2</w:t>
            </w:r>
            <w:r w:rsidRPr="003705FE">
              <w:rPr>
                <w:rFonts w:asciiTheme="minorHAnsi" w:hAnsiTheme="minorHAnsi" w:cstheme="minorHAnsi"/>
                <w:szCs w:val="20"/>
              </w:rPr>
              <w:t xml:space="preserve"> dissous</w:t>
            </w:r>
          </w:p>
        </w:tc>
        <w:tc>
          <w:tcPr>
            <w:tcW w:w="1293" w:type="dxa"/>
          </w:tcPr>
          <w:p w14:paraId="00FCDA8C" w14:textId="77777777" w:rsidR="008637EF" w:rsidRPr="003705FE" w:rsidRDefault="008637EF" w:rsidP="005A7661">
            <w:pPr>
              <w:keepNext/>
              <w:keepLine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3705FE">
              <w:rPr>
                <w:rFonts w:asciiTheme="minorHAnsi" w:hAnsiTheme="minorHAnsi" w:cstheme="minorHAnsi"/>
                <w:szCs w:val="20"/>
              </w:rPr>
              <w:t>mg/l</w:t>
            </w:r>
          </w:p>
        </w:tc>
        <w:tc>
          <w:tcPr>
            <w:tcW w:w="1295" w:type="dxa"/>
          </w:tcPr>
          <w:p w14:paraId="7F58CCDA" w14:textId="77777777" w:rsidR="008637EF" w:rsidRPr="003705FE" w:rsidRDefault="008637EF" w:rsidP="005A7661">
            <w:pPr>
              <w:pStyle w:val="ListePuces1"/>
              <w:keepNext/>
              <w:keepLines/>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3705FE">
              <w:rPr>
                <w:rFonts w:asciiTheme="minorHAnsi" w:hAnsiTheme="minorHAnsi" w:cstheme="minorHAnsi"/>
              </w:rPr>
              <w:t>&gt;7</w:t>
            </w:r>
          </w:p>
        </w:tc>
        <w:tc>
          <w:tcPr>
            <w:tcW w:w="1294" w:type="dxa"/>
          </w:tcPr>
          <w:p w14:paraId="0CB7B68B" w14:textId="77777777" w:rsidR="008637EF" w:rsidRPr="003705FE" w:rsidRDefault="008637EF" w:rsidP="005A7661">
            <w:pPr>
              <w:keepNext/>
              <w:keepLine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3705FE">
              <w:rPr>
                <w:rFonts w:asciiTheme="minorHAnsi" w:hAnsiTheme="minorHAnsi" w:cstheme="minorHAnsi"/>
                <w:szCs w:val="20"/>
              </w:rPr>
              <w:t>7-5</w:t>
            </w:r>
          </w:p>
        </w:tc>
        <w:tc>
          <w:tcPr>
            <w:tcW w:w="1481" w:type="dxa"/>
          </w:tcPr>
          <w:p w14:paraId="7EE2AE5C" w14:textId="77777777" w:rsidR="008637EF" w:rsidRPr="003705FE" w:rsidRDefault="008637EF" w:rsidP="005A7661">
            <w:pPr>
              <w:keepNext/>
              <w:keepLine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3705FE">
              <w:rPr>
                <w:rFonts w:asciiTheme="minorHAnsi" w:hAnsiTheme="minorHAnsi" w:cstheme="minorHAnsi"/>
                <w:szCs w:val="20"/>
              </w:rPr>
              <w:t>5-3</w:t>
            </w:r>
          </w:p>
        </w:tc>
        <w:tc>
          <w:tcPr>
            <w:tcW w:w="1109" w:type="dxa"/>
          </w:tcPr>
          <w:p w14:paraId="594804A5" w14:textId="77777777" w:rsidR="008637EF" w:rsidRPr="003705FE" w:rsidRDefault="008637EF" w:rsidP="005A7661">
            <w:pPr>
              <w:keepNext/>
              <w:keepLine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3705FE">
              <w:rPr>
                <w:rFonts w:asciiTheme="minorHAnsi" w:hAnsiTheme="minorHAnsi" w:cstheme="minorHAnsi"/>
                <w:szCs w:val="20"/>
              </w:rPr>
              <w:t>3-1</w:t>
            </w:r>
          </w:p>
        </w:tc>
        <w:tc>
          <w:tcPr>
            <w:tcW w:w="1295" w:type="dxa"/>
          </w:tcPr>
          <w:p w14:paraId="3AE70648" w14:textId="77777777" w:rsidR="008637EF" w:rsidRPr="003705FE" w:rsidRDefault="008637EF" w:rsidP="005A7661">
            <w:pPr>
              <w:keepNext/>
              <w:keepLine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3705FE">
              <w:rPr>
                <w:rFonts w:asciiTheme="minorHAnsi" w:hAnsiTheme="minorHAnsi" w:cstheme="minorHAnsi"/>
                <w:szCs w:val="20"/>
              </w:rPr>
              <w:t>&lt;1</w:t>
            </w:r>
          </w:p>
        </w:tc>
      </w:tr>
      <w:tr w:rsidR="008637EF" w:rsidRPr="003705FE" w14:paraId="787EF5F1" w14:textId="77777777" w:rsidTr="00D13E49">
        <w:tc>
          <w:tcPr>
            <w:cnfStyle w:val="001000000000" w:firstRow="0" w:lastRow="0" w:firstColumn="1" w:lastColumn="0" w:oddVBand="0" w:evenVBand="0" w:oddHBand="0" w:evenHBand="0" w:firstRowFirstColumn="0" w:firstRowLastColumn="0" w:lastRowFirstColumn="0" w:lastRowLastColumn="0"/>
            <w:tcW w:w="1295" w:type="dxa"/>
          </w:tcPr>
          <w:p w14:paraId="3EB00B18" w14:textId="77777777" w:rsidR="008637EF" w:rsidRPr="003705FE" w:rsidRDefault="008637EF" w:rsidP="005A7661">
            <w:pPr>
              <w:keepNext/>
              <w:keepLines/>
              <w:spacing w:after="0" w:line="240" w:lineRule="auto"/>
              <w:rPr>
                <w:rFonts w:asciiTheme="minorHAnsi" w:hAnsiTheme="minorHAnsi" w:cstheme="minorHAnsi"/>
                <w:szCs w:val="20"/>
              </w:rPr>
            </w:pPr>
            <w:r w:rsidRPr="003705FE">
              <w:rPr>
                <w:rFonts w:asciiTheme="minorHAnsi" w:hAnsiTheme="minorHAnsi" w:cstheme="minorHAnsi"/>
                <w:szCs w:val="20"/>
              </w:rPr>
              <w:t>DBO</w:t>
            </w:r>
            <w:r w:rsidRPr="003705FE">
              <w:rPr>
                <w:rFonts w:asciiTheme="minorHAnsi" w:hAnsiTheme="minorHAnsi" w:cstheme="minorHAnsi"/>
                <w:szCs w:val="20"/>
                <w:vertAlign w:val="subscript"/>
              </w:rPr>
              <w:t>5</w:t>
            </w:r>
          </w:p>
        </w:tc>
        <w:tc>
          <w:tcPr>
            <w:tcW w:w="1293" w:type="dxa"/>
          </w:tcPr>
          <w:p w14:paraId="02A65E75" w14:textId="77777777" w:rsidR="008637EF" w:rsidRPr="003705FE" w:rsidRDefault="008637EF" w:rsidP="005A7661">
            <w:pPr>
              <w:keepNext/>
              <w:keepLine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3705FE">
              <w:rPr>
                <w:rFonts w:asciiTheme="minorHAnsi" w:hAnsiTheme="minorHAnsi" w:cstheme="minorHAnsi"/>
                <w:szCs w:val="20"/>
              </w:rPr>
              <w:t>mg O</w:t>
            </w:r>
            <w:r w:rsidRPr="003705FE">
              <w:rPr>
                <w:rFonts w:asciiTheme="minorHAnsi" w:hAnsiTheme="minorHAnsi" w:cstheme="minorHAnsi"/>
                <w:szCs w:val="20"/>
                <w:vertAlign w:val="subscript"/>
              </w:rPr>
              <w:t>2</w:t>
            </w:r>
            <w:r w:rsidRPr="003705FE">
              <w:rPr>
                <w:rFonts w:asciiTheme="minorHAnsi" w:hAnsiTheme="minorHAnsi" w:cstheme="minorHAnsi"/>
                <w:szCs w:val="20"/>
              </w:rPr>
              <w:t>/l</w:t>
            </w:r>
          </w:p>
        </w:tc>
        <w:tc>
          <w:tcPr>
            <w:tcW w:w="1295" w:type="dxa"/>
          </w:tcPr>
          <w:p w14:paraId="43824D99" w14:textId="77777777" w:rsidR="008637EF" w:rsidRPr="003705FE" w:rsidRDefault="008637EF" w:rsidP="005A7661">
            <w:pPr>
              <w:keepNext/>
              <w:keepLine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3705FE">
              <w:rPr>
                <w:rFonts w:asciiTheme="minorHAnsi" w:hAnsiTheme="minorHAnsi" w:cstheme="minorHAnsi"/>
                <w:szCs w:val="20"/>
              </w:rPr>
              <w:t>&lt; 3</w:t>
            </w:r>
          </w:p>
        </w:tc>
        <w:tc>
          <w:tcPr>
            <w:tcW w:w="1294" w:type="dxa"/>
          </w:tcPr>
          <w:p w14:paraId="78E7CF08" w14:textId="77777777" w:rsidR="008637EF" w:rsidRPr="003705FE" w:rsidRDefault="008637EF" w:rsidP="005A7661">
            <w:pPr>
              <w:keepNext/>
              <w:keepLine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3705FE">
              <w:rPr>
                <w:rFonts w:asciiTheme="minorHAnsi" w:hAnsiTheme="minorHAnsi" w:cstheme="minorHAnsi"/>
                <w:szCs w:val="20"/>
              </w:rPr>
              <w:t>3-5</w:t>
            </w:r>
          </w:p>
        </w:tc>
        <w:tc>
          <w:tcPr>
            <w:tcW w:w="1481" w:type="dxa"/>
          </w:tcPr>
          <w:p w14:paraId="6FFE5EB0" w14:textId="77777777" w:rsidR="008637EF" w:rsidRPr="003705FE" w:rsidRDefault="008637EF" w:rsidP="005A7661">
            <w:pPr>
              <w:keepNext/>
              <w:keepLine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3705FE">
              <w:rPr>
                <w:rFonts w:asciiTheme="minorHAnsi" w:hAnsiTheme="minorHAnsi" w:cstheme="minorHAnsi"/>
                <w:szCs w:val="20"/>
              </w:rPr>
              <w:t>5-10</w:t>
            </w:r>
          </w:p>
        </w:tc>
        <w:tc>
          <w:tcPr>
            <w:tcW w:w="1109" w:type="dxa"/>
          </w:tcPr>
          <w:p w14:paraId="0C837EA7" w14:textId="77777777" w:rsidR="008637EF" w:rsidRPr="003705FE" w:rsidRDefault="008637EF" w:rsidP="005A7661">
            <w:pPr>
              <w:keepNext/>
              <w:keepLine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3705FE">
              <w:rPr>
                <w:rFonts w:asciiTheme="minorHAnsi" w:hAnsiTheme="minorHAnsi" w:cstheme="minorHAnsi"/>
                <w:szCs w:val="20"/>
              </w:rPr>
              <w:t>10-25</w:t>
            </w:r>
          </w:p>
        </w:tc>
        <w:tc>
          <w:tcPr>
            <w:tcW w:w="1295" w:type="dxa"/>
          </w:tcPr>
          <w:p w14:paraId="2B9E71C2" w14:textId="77777777" w:rsidR="008637EF" w:rsidRPr="003705FE" w:rsidRDefault="008637EF" w:rsidP="005A7661">
            <w:pPr>
              <w:keepNext/>
              <w:keepLine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3705FE">
              <w:rPr>
                <w:rFonts w:asciiTheme="minorHAnsi" w:hAnsiTheme="minorHAnsi" w:cstheme="minorHAnsi"/>
                <w:szCs w:val="20"/>
              </w:rPr>
              <w:t>&gt;25</w:t>
            </w:r>
          </w:p>
        </w:tc>
      </w:tr>
      <w:tr w:rsidR="008637EF" w:rsidRPr="003705FE" w14:paraId="072E237E" w14:textId="77777777" w:rsidTr="00D13E49">
        <w:tc>
          <w:tcPr>
            <w:cnfStyle w:val="001000000000" w:firstRow="0" w:lastRow="0" w:firstColumn="1" w:lastColumn="0" w:oddVBand="0" w:evenVBand="0" w:oddHBand="0" w:evenHBand="0" w:firstRowFirstColumn="0" w:firstRowLastColumn="0" w:lastRowFirstColumn="0" w:lastRowLastColumn="0"/>
            <w:tcW w:w="1295" w:type="dxa"/>
          </w:tcPr>
          <w:p w14:paraId="39AE0FEB" w14:textId="77777777" w:rsidR="008637EF" w:rsidRPr="003705FE" w:rsidRDefault="008637EF" w:rsidP="005A7661">
            <w:pPr>
              <w:keepNext/>
              <w:keepLines/>
              <w:spacing w:after="0" w:line="240" w:lineRule="auto"/>
              <w:rPr>
                <w:rFonts w:asciiTheme="minorHAnsi" w:hAnsiTheme="minorHAnsi" w:cstheme="minorHAnsi"/>
                <w:szCs w:val="20"/>
              </w:rPr>
            </w:pPr>
            <w:r w:rsidRPr="003705FE">
              <w:rPr>
                <w:rFonts w:asciiTheme="minorHAnsi" w:hAnsiTheme="minorHAnsi" w:cstheme="minorHAnsi"/>
                <w:szCs w:val="20"/>
              </w:rPr>
              <w:t>DCO</w:t>
            </w:r>
          </w:p>
        </w:tc>
        <w:tc>
          <w:tcPr>
            <w:tcW w:w="1293" w:type="dxa"/>
          </w:tcPr>
          <w:p w14:paraId="65A57D77" w14:textId="77777777" w:rsidR="008637EF" w:rsidRPr="003705FE" w:rsidRDefault="008637EF" w:rsidP="005A7661">
            <w:pPr>
              <w:keepNext/>
              <w:keepLine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3705FE">
              <w:rPr>
                <w:rFonts w:asciiTheme="minorHAnsi" w:hAnsiTheme="minorHAnsi" w:cstheme="minorHAnsi"/>
                <w:szCs w:val="20"/>
              </w:rPr>
              <w:t>mg O</w:t>
            </w:r>
            <w:r w:rsidRPr="003705FE">
              <w:rPr>
                <w:rFonts w:asciiTheme="minorHAnsi" w:hAnsiTheme="minorHAnsi" w:cstheme="minorHAnsi"/>
                <w:szCs w:val="20"/>
                <w:vertAlign w:val="subscript"/>
              </w:rPr>
              <w:t>2</w:t>
            </w:r>
            <w:r w:rsidRPr="003705FE">
              <w:rPr>
                <w:rFonts w:asciiTheme="minorHAnsi" w:hAnsiTheme="minorHAnsi" w:cstheme="minorHAnsi"/>
                <w:szCs w:val="20"/>
              </w:rPr>
              <w:t>/l</w:t>
            </w:r>
          </w:p>
        </w:tc>
        <w:tc>
          <w:tcPr>
            <w:tcW w:w="1295" w:type="dxa"/>
          </w:tcPr>
          <w:p w14:paraId="18CB28EE" w14:textId="77777777" w:rsidR="008637EF" w:rsidRPr="003705FE" w:rsidRDefault="008637EF" w:rsidP="005A7661">
            <w:pPr>
              <w:keepNext/>
              <w:keepLine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3705FE">
              <w:rPr>
                <w:rFonts w:asciiTheme="minorHAnsi" w:hAnsiTheme="minorHAnsi" w:cstheme="minorHAnsi"/>
                <w:szCs w:val="20"/>
              </w:rPr>
              <w:t>&lt; 30</w:t>
            </w:r>
          </w:p>
        </w:tc>
        <w:tc>
          <w:tcPr>
            <w:tcW w:w="1294" w:type="dxa"/>
          </w:tcPr>
          <w:p w14:paraId="44EDFF1D" w14:textId="77777777" w:rsidR="008637EF" w:rsidRPr="003705FE" w:rsidRDefault="008637EF" w:rsidP="005A7661">
            <w:pPr>
              <w:keepNext/>
              <w:keepLine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3705FE">
              <w:rPr>
                <w:rFonts w:asciiTheme="minorHAnsi" w:hAnsiTheme="minorHAnsi" w:cstheme="minorHAnsi"/>
                <w:szCs w:val="20"/>
              </w:rPr>
              <w:t>30-35</w:t>
            </w:r>
          </w:p>
        </w:tc>
        <w:tc>
          <w:tcPr>
            <w:tcW w:w="1481" w:type="dxa"/>
          </w:tcPr>
          <w:p w14:paraId="7960CE67" w14:textId="77777777" w:rsidR="008637EF" w:rsidRPr="003705FE" w:rsidRDefault="008637EF" w:rsidP="005A7661">
            <w:pPr>
              <w:keepNext/>
              <w:keepLine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3705FE">
              <w:rPr>
                <w:rFonts w:asciiTheme="minorHAnsi" w:hAnsiTheme="minorHAnsi" w:cstheme="minorHAnsi"/>
                <w:szCs w:val="20"/>
              </w:rPr>
              <w:t>35-40</w:t>
            </w:r>
          </w:p>
        </w:tc>
        <w:tc>
          <w:tcPr>
            <w:tcW w:w="1109" w:type="dxa"/>
          </w:tcPr>
          <w:p w14:paraId="11DB4194" w14:textId="77777777" w:rsidR="008637EF" w:rsidRPr="003705FE" w:rsidRDefault="008637EF" w:rsidP="005A7661">
            <w:pPr>
              <w:keepNext/>
              <w:keepLine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3705FE">
              <w:rPr>
                <w:rFonts w:asciiTheme="minorHAnsi" w:hAnsiTheme="minorHAnsi" w:cstheme="minorHAnsi"/>
                <w:szCs w:val="20"/>
              </w:rPr>
              <w:t>40-80</w:t>
            </w:r>
          </w:p>
        </w:tc>
        <w:tc>
          <w:tcPr>
            <w:tcW w:w="1295" w:type="dxa"/>
          </w:tcPr>
          <w:p w14:paraId="236F7D7F" w14:textId="77777777" w:rsidR="008637EF" w:rsidRPr="003705FE" w:rsidRDefault="008637EF" w:rsidP="005A7661">
            <w:pPr>
              <w:keepNext/>
              <w:keepLine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3705FE">
              <w:rPr>
                <w:rFonts w:asciiTheme="minorHAnsi" w:hAnsiTheme="minorHAnsi" w:cstheme="minorHAnsi"/>
                <w:szCs w:val="20"/>
              </w:rPr>
              <w:t>&gt;80</w:t>
            </w:r>
          </w:p>
        </w:tc>
      </w:tr>
      <w:tr w:rsidR="008637EF" w:rsidRPr="003705FE" w14:paraId="37B8A391" w14:textId="77777777" w:rsidTr="00D13E49">
        <w:tc>
          <w:tcPr>
            <w:cnfStyle w:val="001000000000" w:firstRow="0" w:lastRow="0" w:firstColumn="1" w:lastColumn="0" w:oddVBand="0" w:evenVBand="0" w:oddHBand="0" w:evenHBand="0" w:firstRowFirstColumn="0" w:firstRowLastColumn="0" w:lastRowFirstColumn="0" w:lastRowLastColumn="0"/>
            <w:tcW w:w="1295" w:type="dxa"/>
          </w:tcPr>
          <w:p w14:paraId="10144EA6" w14:textId="77777777" w:rsidR="008637EF" w:rsidRPr="003705FE" w:rsidRDefault="008637EF" w:rsidP="005A7661">
            <w:pPr>
              <w:keepNext/>
              <w:keepLines/>
              <w:spacing w:after="0" w:line="240" w:lineRule="auto"/>
              <w:rPr>
                <w:rFonts w:asciiTheme="minorHAnsi" w:hAnsiTheme="minorHAnsi" w:cstheme="minorHAnsi"/>
                <w:szCs w:val="20"/>
              </w:rPr>
            </w:pPr>
            <w:r w:rsidRPr="003705FE">
              <w:rPr>
                <w:rFonts w:asciiTheme="minorHAnsi" w:hAnsiTheme="minorHAnsi" w:cstheme="minorHAnsi"/>
                <w:szCs w:val="20"/>
              </w:rPr>
              <w:t>Ammonium (NH</w:t>
            </w:r>
            <w:r w:rsidRPr="003705FE">
              <w:rPr>
                <w:rFonts w:asciiTheme="minorHAnsi" w:hAnsiTheme="minorHAnsi" w:cstheme="minorHAnsi"/>
                <w:szCs w:val="20"/>
                <w:vertAlign w:val="subscript"/>
              </w:rPr>
              <w:t>4</w:t>
            </w:r>
            <w:r w:rsidRPr="003705FE">
              <w:rPr>
                <w:rFonts w:asciiTheme="minorHAnsi" w:hAnsiTheme="minorHAnsi" w:cstheme="minorHAnsi"/>
                <w:szCs w:val="20"/>
              </w:rPr>
              <w:t>)</w:t>
            </w:r>
          </w:p>
        </w:tc>
        <w:tc>
          <w:tcPr>
            <w:tcW w:w="1293" w:type="dxa"/>
          </w:tcPr>
          <w:p w14:paraId="761A00C8" w14:textId="77777777" w:rsidR="008637EF" w:rsidRPr="003705FE" w:rsidRDefault="008637EF" w:rsidP="005A7661">
            <w:pPr>
              <w:keepNext/>
              <w:keepLine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3705FE">
              <w:rPr>
                <w:rFonts w:asciiTheme="minorHAnsi" w:hAnsiTheme="minorHAnsi" w:cstheme="minorHAnsi"/>
                <w:szCs w:val="20"/>
              </w:rPr>
              <w:t>NH</w:t>
            </w:r>
            <w:r w:rsidRPr="003705FE">
              <w:rPr>
                <w:rFonts w:asciiTheme="minorHAnsi" w:hAnsiTheme="minorHAnsi" w:cstheme="minorHAnsi"/>
                <w:szCs w:val="20"/>
                <w:vertAlign w:val="subscript"/>
              </w:rPr>
              <w:t>4</w:t>
            </w:r>
            <w:r w:rsidRPr="003705FE">
              <w:rPr>
                <w:rFonts w:asciiTheme="minorHAnsi" w:hAnsiTheme="minorHAnsi" w:cstheme="minorHAnsi"/>
                <w:szCs w:val="20"/>
              </w:rPr>
              <w:t xml:space="preserve"> mg/l</w:t>
            </w:r>
          </w:p>
        </w:tc>
        <w:tc>
          <w:tcPr>
            <w:tcW w:w="1295" w:type="dxa"/>
          </w:tcPr>
          <w:p w14:paraId="5E9CE7A0" w14:textId="77777777" w:rsidR="008637EF" w:rsidRPr="003705FE" w:rsidRDefault="008637EF" w:rsidP="005A7661">
            <w:pPr>
              <w:pStyle w:val="Default"/>
              <w:keepNext/>
              <w:keepLines/>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323232"/>
                <w:sz w:val="20"/>
                <w:szCs w:val="20"/>
              </w:rPr>
            </w:pPr>
            <w:r w:rsidRPr="003705FE">
              <w:rPr>
                <w:rFonts w:asciiTheme="minorHAnsi" w:hAnsiTheme="minorHAnsi" w:cstheme="minorHAnsi"/>
                <w:color w:val="323232"/>
                <w:sz w:val="20"/>
                <w:szCs w:val="20"/>
              </w:rPr>
              <w:t xml:space="preserve">≤ </w:t>
            </w:r>
            <w:r w:rsidRPr="003705FE">
              <w:rPr>
                <w:rFonts w:asciiTheme="minorHAnsi" w:hAnsiTheme="minorHAnsi" w:cstheme="minorHAnsi"/>
                <w:color w:val="auto"/>
                <w:sz w:val="20"/>
                <w:szCs w:val="20"/>
              </w:rPr>
              <w:t>0,1</w:t>
            </w:r>
          </w:p>
        </w:tc>
        <w:tc>
          <w:tcPr>
            <w:tcW w:w="1294" w:type="dxa"/>
          </w:tcPr>
          <w:p w14:paraId="446EBF6A" w14:textId="77777777" w:rsidR="008637EF" w:rsidRPr="003705FE" w:rsidRDefault="008637EF" w:rsidP="005A7661">
            <w:pPr>
              <w:keepNext/>
              <w:keepLine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3705FE">
              <w:rPr>
                <w:rFonts w:asciiTheme="minorHAnsi" w:hAnsiTheme="minorHAnsi" w:cstheme="minorHAnsi"/>
                <w:szCs w:val="20"/>
              </w:rPr>
              <w:t>0,1-0,5</w:t>
            </w:r>
          </w:p>
        </w:tc>
        <w:tc>
          <w:tcPr>
            <w:tcW w:w="1481" w:type="dxa"/>
          </w:tcPr>
          <w:p w14:paraId="67B21AA0" w14:textId="77777777" w:rsidR="008637EF" w:rsidRPr="003705FE" w:rsidRDefault="008637EF" w:rsidP="005A7661">
            <w:pPr>
              <w:keepNext/>
              <w:keepLine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3705FE">
              <w:rPr>
                <w:rFonts w:asciiTheme="minorHAnsi" w:hAnsiTheme="minorHAnsi" w:cstheme="minorHAnsi"/>
                <w:szCs w:val="20"/>
              </w:rPr>
              <w:t>0,5-2</w:t>
            </w:r>
          </w:p>
        </w:tc>
        <w:tc>
          <w:tcPr>
            <w:tcW w:w="1109" w:type="dxa"/>
          </w:tcPr>
          <w:p w14:paraId="36B45327" w14:textId="77777777" w:rsidR="008637EF" w:rsidRPr="003705FE" w:rsidRDefault="008637EF" w:rsidP="005A7661">
            <w:pPr>
              <w:keepNext/>
              <w:keepLine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3705FE">
              <w:rPr>
                <w:rFonts w:asciiTheme="minorHAnsi" w:hAnsiTheme="minorHAnsi" w:cstheme="minorHAnsi"/>
                <w:szCs w:val="20"/>
              </w:rPr>
              <w:t>2-8</w:t>
            </w:r>
          </w:p>
        </w:tc>
        <w:tc>
          <w:tcPr>
            <w:tcW w:w="1295" w:type="dxa"/>
          </w:tcPr>
          <w:p w14:paraId="3EE6CFA4" w14:textId="77777777" w:rsidR="008637EF" w:rsidRPr="003705FE" w:rsidRDefault="008637EF" w:rsidP="005A7661">
            <w:pPr>
              <w:keepNext/>
              <w:keepLine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3705FE">
              <w:rPr>
                <w:rFonts w:asciiTheme="minorHAnsi" w:hAnsiTheme="minorHAnsi" w:cstheme="minorHAnsi"/>
                <w:szCs w:val="20"/>
              </w:rPr>
              <w:t>&gt;8</w:t>
            </w:r>
          </w:p>
        </w:tc>
      </w:tr>
      <w:tr w:rsidR="008637EF" w:rsidRPr="003705FE" w14:paraId="7D3EF380" w14:textId="77777777" w:rsidTr="00D13E49">
        <w:tc>
          <w:tcPr>
            <w:cnfStyle w:val="001000000000" w:firstRow="0" w:lastRow="0" w:firstColumn="1" w:lastColumn="0" w:oddVBand="0" w:evenVBand="0" w:oddHBand="0" w:evenHBand="0" w:firstRowFirstColumn="0" w:firstRowLastColumn="0" w:lastRowFirstColumn="0" w:lastRowLastColumn="0"/>
            <w:tcW w:w="1295" w:type="dxa"/>
          </w:tcPr>
          <w:p w14:paraId="4167B51D" w14:textId="77777777" w:rsidR="008637EF" w:rsidRPr="003705FE" w:rsidRDefault="008637EF" w:rsidP="005A7661">
            <w:pPr>
              <w:keepNext/>
              <w:keepLines/>
              <w:spacing w:after="0" w:line="240" w:lineRule="auto"/>
              <w:rPr>
                <w:rFonts w:asciiTheme="minorHAnsi" w:hAnsiTheme="minorHAnsi" w:cstheme="minorHAnsi"/>
                <w:szCs w:val="20"/>
              </w:rPr>
            </w:pPr>
            <w:r w:rsidRPr="003705FE">
              <w:rPr>
                <w:rFonts w:asciiTheme="minorHAnsi" w:hAnsiTheme="minorHAnsi" w:cstheme="minorHAnsi"/>
                <w:szCs w:val="20"/>
              </w:rPr>
              <w:t>Phosphore total</w:t>
            </w:r>
          </w:p>
        </w:tc>
        <w:tc>
          <w:tcPr>
            <w:tcW w:w="1293" w:type="dxa"/>
          </w:tcPr>
          <w:p w14:paraId="429BDF4B" w14:textId="77777777" w:rsidR="008637EF" w:rsidRPr="003705FE" w:rsidRDefault="008637EF" w:rsidP="005A7661">
            <w:pPr>
              <w:keepNext/>
              <w:keepLine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3705FE">
              <w:rPr>
                <w:rFonts w:asciiTheme="minorHAnsi" w:hAnsiTheme="minorHAnsi" w:cstheme="minorHAnsi"/>
                <w:szCs w:val="20"/>
              </w:rPr>
              <w:t>Mg P/l</w:t>
            </w:r>
          </w:p>
        </w:tc>
        <w:tc>
          <w:tcPr>
            <w:tcW w:w="1295" w:type="dxa"/>
          </w:tcPr>
          <w:p w14:paraId="70D21E34" w14:textId="77777777" w:rsidR="008637EF" w:rsidRPr="003705FE" w:rsidRDefault="008637EF" w:rsidP="005A7661">
            <w:pPr>
              <w:keepNext/>
              <w:keepLine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3705FE">
              <w:rPr>
                <w:rFonts w:asciiTheme="minorHAnsi" w:hAnsiTheme="minorHAnsi" w:cstheme="minorHAnsi"/>
                <w:color w:val="323232"/>
                <w:szCs w:val="20"/>
              </w:rPr>
              <w:t xml:space="preserve">≤ </w:t>
            </w:r>
            <w:r w:rsidRPr="003705FE">
              <w:rPr>
                <w:rFonts w:asciiTheme="minorHAnsi" w:hAnsiTheme="minorHAnsi" w:cstheme="minorHAnsi"/>
                <w:szCs w:val="20"/>
              </w:rPr>
              <w:t>0,1</w:t>
            </w:r>
          </w:p>
        </w:tc>
        <w:tc>
          <w:tcPr>
            <w:tcW w:w="1294" w:type="dxa"/>
          </w:tcPr>
          <w:p w14:paraId="47DDA88D" w14:textId="77777777" w:rsidR="008637EF" w:rsidRPr="003705FE" w:rsidRDefault="008637EF" w:rsidP="005A7661">
            <w:pPr>
              <w:keepNext/>
              <w:keepLine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3705FE">
              <w:rPr>
                <w:rFonts w:asciiTheme="minorHAnsi" w:hAnsiTheme="minorHAnsi" w:cstheme="minorHAnsi"/>
                <w:szCs w:val="20"/>
              </w:rPr>
              <w:t>0,1-0,3</w:t>
            </w:r>
          </w:p>
        </w:tc>
        <w:tc>
          <w:tcPr>
            <w:tcW w:w="1481" w:type="dxa"/>
          </w:tcPr>
          <w:p w14:paraId="1D980636" w14:textId="77777777" w:rsidR="008637EF" w:rsidRPr="003705FE" w:rsidRDefault="008637EF" w:rsidP="005A7661">
            <w:pPr>
              <w:keepNext/>
              <w:keepLine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3705FE">
              <w:rPr>
                <w:rFonts w:asciiTheme="minorHAnsi" w:hAnsiTheme="minorHAnsi" w:cstheme="minorHAnsi"/>
                <w:szCs w:val="20"/>
              </w:rPr>
              <w:t>0,3-0,5</w:t>
            </w:r>
          </w:p>
        </w:tc>
        <w:tc>
          <w:tcPr>
            <w:tcW w:w="1109" w:type="dxa"/>
          </w:tcPr>
          <w:p w14:paraId="6C33090D" w14:textId="77777777" w:rsidR="008637EF" w:rsidRPr="003705FE" w:rsidRDefault="008637EF" w:rsidP="005A7661">
            <w:pPr>
              <w:keepNext/>
              <w:keepLine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3705FE">
              <w:rPr>
                <w:rFonts w:asciiTheme="minorHAnsi" w:hAnsiTheme="minorHAnsi" w:cstheme="minorHAnsi"/>
                <w:szCs w:val="20"/>
              </w:rPr>
              <w:t>0,5-3</w:t>
            </w:r>
          </w:p>
        </w:tc>
        <w:tc>
          <w:tcPr>
            <w:tcW w:w="1295" w:type="dxa"/>
          </w:tcPr>
          <w:p w14:paraId="7CEF23D7" w14:textId="77777777" w:rsidR="008637EF" w:rsidRPr="003705FE" w:rsidRDefault="008637EF" w:rsidP="005A7661">
            <w:pPr>
              <w:keepNext/>
              <w:keepLine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3705FE">
              <w:rPr>
                <w:rFonts w:asciiTheme="minorHAnsi" w:hAnsiTheme="minorHAnsi" w:cstheme="minorHAnsi"/>
                <w:szCs w:val="20"/>
              </w:rPr>
              <w:t>&gt;3</w:t>
            </w:r>
          </w:p>
        </w:tc>
      </w:tr>
      <w:tr w:rsidR="008637EF" w:rsidRPr="003705FE" w14:paraId="72DDE1C4" w14:textId="77777777" w:rsidTr="00D13E49">
        <w:tc>
          <w:tcPr>
            <w:cnfStyle w:val="001000000000" w:firstRow="0" w:lastRow="0" w:firstColumn="1" w:lastColumn="0" w:oddVBand="0" w:evenVBand="0" w:oddHBand="0" w:evenHBand="0" w:firstRowFirstColumn="0" w:firstRowLastColumn="0" w:lastRowFirstColumn="0" w:lastRowLastColumn="0"/>
            <w:tcW w:w="1295" w:type="dxa"/>
          </w:tcPr>
          <w:p w14:paraId="73107433" w14:textId="77777777" w:rsidR="008637EF" w:rsidRPr="003705FE" w:rsidRDefault="008637EF" w:rsidP="005A7661">
            <w:pPr>
              <w:keepNext/>
              <w:keepLines/>
              <w:spacing w:after="0" w:line="240" w:lineRule="auto"/>
              <w:rPr>
                <w:rFonts w:asciiTheme="minorHAnsi" w:hAnsiTheme="minorHAnsi" w:cstheme="minorHAnsi"/>
                <w:szCs w:val="20"/>
              </w:rPr>
            </w:pPr>
            <w:r w:rsidRPr="003705FE">
              <w:rPr>
                <w:rFonts w:asciiTheme="minorHAnsi" w:hAnsiTheme="minorHAnsi" w:cstheme="minorHAnsi"/>
                <w:szCs w:val="20"/>
              </w:rPr>
              <w:t>Coliformes fécaux</w:t>
            </w:r>
          </w:p>
        </w:tc>
        <w:tc>
          <w:tcPr>
            <w:tcW w:w="1293" w:type="dxa"/>
          </w:tcPr>
          <w:p w14:paraId="5946CEB9" w14:textId="77777777" w:rsidR="008637EF" w:rsidRPr="003705FE" w:rsidRDefault="008637EF" w:rsidP="005A7661">
            <w:pPr>
              <w:keepNext/>
              <w:keepLine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3705FE">
              <w:rPr>
                <w:rFonts w:asciiTheme="minorHAnsi" w:hAnsiTheme="minorHAnsi" w:cstheme="minorHAnsi"/>
                <w:szCs w:val="20"/>
              </w:rPr>
              <w:t>/100 ml</w:t>
            </w:r>
          </w:p>
        </w:tc>
        <w:tc>
          <w:tcPr>
            <w:tcW w:w="1295" w:type="dxa"/>
          </w:tcPr>
          <w:p w14:paraId="0C757556" w14:textId="77777777" w:rsidR="008637EF" w:rsidRPr="003705FE" w:rsidRDefault="008637EF" w:rsidP="005A7661">
            <w:pPr>
              <w:keepNext/>
              <w:keepLine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3705FE">
              <w:rPr>
                <w:rFonts w:asciiTheme="minorHAnsi" w:hAnsiTheme="minorHAnsi" w:cstheme="minorHAnsi"/>
                <w:color w:val="323232"/>
                <w:szCs w:val="20"/>
              </w:rPr>
              <w:t xml:space="preserve">≤ </w:t>
            </w:r>
            <w:r w:rsidRPr="003705FE">
              <w:rPr>
                <w:rFonts w:asciiTheme="minorHAnsi" w:hAnsiTheme="minorHAnsi" w:cstheme="minorHAnsi"/>
                <w:szCs w:val="20"/>
              </w:rPr>
              <w:t>20</w:t>
            </w:r>
          </w:p>
        </w:tc>
        <w:tc>
          <w:tcPr>
            <w:tcW w:w="1294" w:type="dxa"/>
          </w:tcPr>
          <w:p w14:paraId="11232DD3" w14:textId="77777777" w:rsidR="008637EF" w:rsidRPr="003705FE" w:rsidRDefault="008637EF" w:rsidP="005A7661">
            <w:pPr>
              <w:keepNext/>
              <w:keepLine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3705FE">
              <w:rPr>
                <w:rFonts w:asciiTheme="minorHAnsi" w:hAnsiTheme="minorHAnsi" w:cstheme="minorHAnsi"/>
                <w:szCs w:val="20"/>
              </w:rPr>
              <w:t>20-2000</w:t>
            </w:r>
          </w:p>
        </w:tc>
        <w:tc>
          <w:tcPr>
            <w:tcW w:w="1481" w:type="dxa"/>
          </w:tcPr>
          <w:p w14:paraId="0DA1B95E" w14:textId="77777777" w:rsidR="008637EF" w:rsidRPr="003705FE" w:rsidRDefault="008637EF" w:rsidP="005A7661">
            <w:pPr>
              <w:keepNext/>
              <w:keepLine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3705FE">
              <w:rPr>
                <w:rFonts w:asciiTheme="minorHAnsi" w:hAnsiTheme="minorHAnsi" w:cstheme="minorHAnsi"/>
                <w:szCs w:val="20"/>
              </w:rPr>
              <w:t>2000-20 000</w:t>
            </w:r>
          </w:p>
        </w:tc>
        <w:tc>
          <w:tcPr>
            <w:tcW w:w="1109" w:type="dxa"/>
          </w:tcPr>
          <w:p w14:paraId="10510A17" w14:textId="77777777" w:rsidR="008637EF" w:rsidRPr="003705FE" w:rsidRDefault="008637EF" w:rsidP="005A7661">
            <w:pPr>
              <w:keepNext/>
              <w:keepLine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3705FE">
              <w:rPr>
                <w:rFonts w:asciiTheme="minorHAnsi" w:hAnsiTheme="minorHAnsi" w:cstheme="minorHAnsi"/>
                <w:szCs w:val="20"/>
              </w:rPr>
              <w:t>&gt;20 000</w:t>
            </w:r>
          </w:p>
        </w:tc>
        <w:tc>
          <w:tcPr>
            <w:tcW w:w="1295" w:type="dxa"/>
          </w:tcPr>
          <w:p w14:paraId="0FFCDE03" w14:textId="77777777" w:rsidR="008637EF" w:rsidRPr="003705FE" w:rsidRDefault="008637EF" w:rsidP="005A7661">
            <w:pPr>
              <w:keepNext/>
              <w:keepLine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3705FE">
              <w:rPr>
                <w:rFonts w:asciiTheme="minorHAnsi" w:hAnsiTheme="minorHAnsi" w:cstheme="minorHAnsi"/>
                <w:szCs w:val="20"/>
              </w:rPr>
              <w:t>-</w:t>
            </w:r>
          </w:p>
        </w:tc>
      </w:tr>
    </w:tbl>
    <w:p w14:paraId="452B23C0" w14:textId="77777777" w:rsidR="008637EF" w:rsidRDefault="008637EF" w:rsidP="008637EF">
      <w:pPr>
        <w:pStyle w:val="Title3"/>
        <w:spacing w:before="240"/>
      </w:pPr>
      <w:bookmarkStart w:id="196" w:name="_Toc215131816"/>
      <w:r w:rsidRPr="0070030E">
        <w:t xml:space="preserve">Normes </w:t>
      </w:r>
      <w:r>
        <w:t>et Standards relatifs à l’Hygiène et la Sécurité du travail</w:t>
      </w:r>
      <w:bookmarkEnd w:id="196"/>
    </w:p>
    <w:p w14:paraId="230746DB" w14:textId="77777777" w:rsidR="008637EF" w:rsidRDefault="008637EF" w:rsidP="008637EF">
      <w:pPr>
        <w:spacing w:line="240" w:lineRule="auto"/>
      </w:pPr>
      <w:r>
        <w:t>Le décret de l’arrêté du ministre de l’Emploi et de la formation professionnelle n°93-08 du 12 mai 2008 a été adopté sur la base de l’article 292 du code du travail pour fixer les mesures d’application générales et particulières relatives aux principes contenus dans les articles 281 à 291 du code du travail.</w:t>
      </w:r>
    </w:p>
    <w:p w14:paraId="69360BAF" w14:textId="77777777" w:rsidR="008637EF" w:rsidRDefault="008637EF" w:rsidP="008637EF">
      <w:pPr>
        <w:spacing w:line="240" w:lineRule="auto"/>
      </w:pPr>
      <w:r>
        <w:t>Cet arrêté abroge à compter de la date de sa publication au bulletin officiel « toutes les dispositions qui en sont contradictoires notamment l’arrêté du 15 novembre 1952 déterminant les mesures générales de protection et de salubrité applicables à tous les établissements dans lesquels est exercée une profession commerciale, industrielle ou libérale ».</w:t>
      </w:r>
    </w:p>
    <w:p w14:paraId="596B2764" w14:textId="77777777" w:rsidR="008637EF" w:rsidRDefault="008637EF" w:rsidP="008637EF">
      <w:pPr>
        <w:spacing w:line="240" w:lineRule="auto"/>
      </w:pPr>
      <w:r>
        <w:t>La structure de cet arrêté est marquée par l’existence de 41 articles répartis en sept chapitres portant respectivement sur :</w:t>
      </w:r>
    </w:p>
    <w:p w14:paraId="7ED319F7" w14:textId="77777777" w:rsidR="008637EF" w:rsidRDefault="008637EF" w:rsidP="0001633E">
      <w:pPr>
        <w:pStyle w:val="Paragraphedeliste"/>
        <w:numPr>
          <w:ilvl w:val="0"/>
          <w:numId w:val="25"/>
        </w:numPr>
        <w:spacing w:before="0" w:after="0" w:line="240" w:lineRule="auto"/>
      </w:pPr>
      <w:r w:rsidRPr="006641A5">
        <w:rPr>
          <w:b/>
          <w:bCs/>
        </w:rPr>
        <w:t>Chapitre I :</w:t>
      </w:r>
      <w:r>
        <w:t xml:space="preserve"> Aménagement de locaux techniques ;</w:t>
      </w:r>
    </w:p>
    <w:p w14:paraId="0398157D" w14:textId="77777777" w:rsidR="008637EF" w:rsidRDefault="008637EF" w:rsidP="0001633E">
      <w:pPr>
        <w:pStyle w:val="Paragraphedeliste"/>
        <w:numPr>
          <w:ilvl w:val="0"/>
          <w:numId w:val="25"/>
        </w:numPr>
        <w:spacing w:before="0" w:after="0" w:line="240" w:lineRule="auto"/>
      </w:pPr>
      <w:r w:rsidRPr="006641A5">
        <w:rPr>
          <w:b/>
          <w:bCs/>
        </w:rPr>
        <w:t>Chapitre II :</w:t>
      </w:r>
      <w:r>
        <w:t xml:space="preserve"> Préservation de l’hygiène et de la sécurité des salariés dans les locaux du travail ;</w:t>
      </w:r>
    </w:p>
    <w:p w14:paraId="7C7D2084" w14:textId="77777777" w:rsidR="008637EF" w:rsidRDefault="008637EF" w:rsidP="0001633E">
      <w:pPr>
        <w:pStyle w:val="Paragraphedeliste"/>
        <w:numPr>
          <w:ilvl w:val="0"/>
          <w:numId w:val="25"/>
        </w:numPr>
        <w:spacing w:before="0" w:after="0" w:line="240" w:lineRule="auto"/>
      </w:pPr>
      <w:r w:rsidRPr="006641A5">
        <w:rPr>
          <w:b/>
          <w:bCs/>
        </w:rPr>
        <w:t>Chapitre III :</w:t>
      </w:r>
      <w:r>
        <w:t xml:space="preserve"> Ambiance des locaux du travail ; aération, chauffage, éclairage des locaux du travail et la prévention contre les risques dus au bruit ;</w:t>
      </w:r>
    </w:p>
    <w:p w14:paraId="67556C6D" w14:textId="77777777" w:rsidR="008637EF" w:rsidRDefault="008637EF" w:rsidP="0001633E">
      <w:pPr>
        <w:pStyle w:val="Paragraphedeliste"/>
        <w:numPr>
          <w:ilvl w:val="0"/>
          <w:numId w:val="25"/>
        </w:numPr>
        <w:spacing w:before="0" w:after="0" w:line="240" w:lineRule="auto"/>
      </w:pPr>
      <w:r w:rsidRPr="006641A5">
        <w:rPr>
          <w:b/>
          <w:bCs/>
        </w:rPr>
        <w:t>Chapitre IV :</w:t>
      </w:r>
      <w:r>
        <w:t xml:space="preserve"> Les locaux réservés aux repas et les locaux réservés à l’hébergement des salariés ;</w:t>
      </w:r>
    </w:p>
    <w:p w14:paraId="532D70D5" w14:textId="77777777" w:rsidR="008637EF" w:rsidRDefault="008637EF" w:rsidP="0001633E">
      <w:pPr>
        <w:pStyle w:val="Paragraphedeliste"/>
        <w:numPr>
          <w:ilvl w:val="0"/>
          <w:numId w:val="25"/>
        </w:numPr>
        <w:spacing w:before="0" w:after="0" w:line="240" w:lineRule="auto"/>
      </w:pPr>
      <w:r w:rsidRPr="006641A5">
        <w:rPr>
          <w:b/>
          <w:bCs/>
        </w:rPr>
        <w:t>Chapitre V :</w:t>
      </w:r>
      <w:r>
        <w:t xml:space="preserve"> Prévention contre les incendies ;</w:t>
      </w:r>
    </w:p>
    <w:p w14:paraId="114E700D" w14:textId="77777777" w:rsidR="008637EF" w:rsidRDefault="008637EF" w:rsidP="0001633E">
      <w:pPr>
        <w:pStyle w:val="Paragraphedeliste"/>
        <w:numPr>
          <w:ilvl w:val="0"/>
          <w:numId w:val="25"/>
        </w:numPr>
        <w:spacing w:before="0" w:after="0" w:line="240" w:lineRule="auto"/>
      </w:pPr>
      <w:r w:rsidRPr="006641A5">
        <w:rPr>
          <w:b/>
          <w:bCs/>
        </w:rPr>
        <w:t>Chapitre VI :</w:t>
      </w:r>
      <w:r>
        <w:t xml:space="preserve"> Prévention des accidents du travail ;</w:t>
      </w:r>
    </w:p>
    <w:p w14:paraId="092D5FF1" w14:textId="77777777" w:rsidR="008637EF" w:rsidRDefault="008637EF" w:rsidP="0001633E">
      <w:pPr>
        <w:pStyle w:val="Paragraphedeliste"/>
        <w:numPr>
          <w:ilvl w:val="0"/>
          <w:numId w:val="25"/>
        </w:numPr>
        <w:spacing w:before="0" w:after="0" w:line="240" w:lineRule="auto"/>
      </w:pPr>
      <w:r w:rsidRPr="006641A5">
        <w:rPr>
          <w:b/>
          <w:bCs/>
        </w:rPr>
        <w:t>Chapitre VII :</w:t>
      </w:r>
      <w:r>
        <w:t xml:space="preserve"> Disposition diverses.</w:t>
      </w:r>
    </w:p>
    <w:p w14:paraId="2CC66363" w14:textId="77777777" w:rsidR="008637EF" w:rsidRDefault="008637EF" w:rsidP="008637EF">
      <w:pPr>
        <w:pStyle w:val="Title3"/>
      </w:pPr>
      <w:bookmarkStart w:id="197" w:name="_Toc215131817"/>
      <w:r w:rsidRPr="00075F06">
        <w:t xml:space="preserve">Directives Environnementales, Sanitaires et Sécuritaires </w:t>
      </w:r>
      <w:r>
        <w:t xml:space="preserve">(EHS) </w:t>
      </w:r>
      <w:r w:rsidRPr="00075F06">
        <w:t>de la Banque Mondiale</w:t>
      </w:r>
      <w:bookmarkEnd w:id="197"/>
    </w:p>
    <w:p w14:paraId="51DFA7B4" w14:textId="77777777" w:rsidR="008637EF" w:rsidRDefault="008637EF" w:rsidP="008637EF">
      <w:r w:rsidRPr="00E41944">
        <w:t xml:space="preserve">Les Directives environnementales, sanitaires et sécuritaires (Directives EHS) sont des documents de références techniques qui présentent des exemples de bonnes pratiques internationales, de portée générale ou concernant une branche d’activité particulière. Lorsqu’un ou plusieurs États membres participent à un projet du Groupe de la Banque mondiale, les Directives EHS doivent être suivies conformément aux politiques et normes de ces pays. </w:t>
      </w:r>
    </w:p>
    <w:p w14:paraId="0C317CF6" w14:textId="77777777" w:rsidR="008637EF" w:rsidRDefault="008637EF" w:rsidP="008637EF">
      <w:r w:rsidRPr="00DA525D">
        <w:lastRenderedPageBreak/>
        <w:t>Les Directives EHS indiquent les mesures et les niveaux de performances qui sont généralement considérés réalisables dans de nouvelles installations avec les technologies existantes à un coût raisonnable. L’application des Directives EHS dans des installations existantes peut nécessiter la définition d’objectifs spécifiques et l’établissement d'un calendrier adapté pour atteindre ces objectifs.</w:t>
      </w:r>
    </w:p>
    <w:p w14:paraId="25ED8194" w14:textId="77777777" w:rsidR="008637EF" w:rsidRPr="008375F7" w:rsidRDefault="008637EF" w:rsidP="008637EF">
      <w:pPr>
        <w:pStyle w:val="Title1"/>
        <w:rPr>
          <w:lang w:val="fr-MA" w:bidi="ar-SA"/>
        </w:rPr>
      </w:pPr>
      <w:bookmarkStart w:id="198" w:name="_Toc215131818"/>
      <w:r w:rsidRPr="008375F7">
        <w:rPr>
          <w:lang w:val="fr-MA" w:bidi="ar-SA"/>
        </w:rPr>
        <w:t>Analyse des alternatives</w:t>
      </w:r>
      <w:bookmarkEnd w:id="198"/>
    </w:p>
    <w:p w14:paraId="2390D146" w14:textId="781C63E4" w:rsidR="008637EF" w:rsidRDefault="004620BD" w:rsidP="004620BD">
      <w:pPr>
        <w:rPr>
          <w:rFonts w:eastAsia="Calibri"/>
          <w:lang w:val="fr-MA" w:bidi="ar-SA"/>
        </w:rPr>
      </w:pPr>
      <w:r w:rsidRPr="004620BD">
        <w:rPr>
          <w:rFonts w:eastAsia="Calibri"/>
          <w:lang w:val="fr-MA" w:bidi="ar-SA"/>
        </w:rPr>
        <w:t>Conformément aux exigences de la Sauvegarde Opérationnelle n°1 (</w:t>
      </w:r>
      <w:r w:rsidR="006D2CE8">
        <w:rPr>
          <w:rFonts w:eastAsia="Calibri"/>
          <w:lang w:val="fr-MA" w:bidi="ar-SA"/>
        </w:rPr>
        <w:t>SO</w:t>
      </w:r>
      <w:r w:rsidRPr="004620BD">
        <w:rPr>
          <w:rFonts w:eastAsia="Calibri"/>
          <w:lang w:val="fr-MA" w:bidi="ar-SA"/>
        </w:rPr>
        <w:t>1) de la BAD, de la Norme de Performance 1 (PS1) de la SFI, l’analyse des alternatives vise à comparer plusieurs options réalisables permettant de répondre aux besoins du projet, tout en minimisant les impacts environnementaux et sociaux.</w:t>
      </w:r>
    </w:p>
    <w:p w14:paraId="5A542707" w14:textId="77777777" w:rsidR="006D2CE8" w:rsidRPr="006D2CE8" w:rsidRDefault="006D2CE8" w:rsidP="006D2CE8">
      <w:pPr>
        <w:rPr>
          <w:rFonts w:eastAsia="Calibri"/>
          <w:lang w:bidi="ar-SA"/>
        </w:rPr>
      </w:pPr>
      <w:r w:rsidRPr="006D2CE8">
        <w:rPr>
          <w:rFonts w:eastAsia="Calibri"/>
          <w:lang w:bidi="ar-SA"/>
        </w:rPr>
        <w:t>Elle examine :</w:t>
      </w:r>
    </w:p>
    <w:p w14:paraId="696A2E9A" w14:textId="651887E8" w:rsidR="006D2CE8" w:rsidRPr="004A61DF" w:rsidRDefault="004A36BE" w:rsidP="0001633E">
      <w:pPr>
        <w:numPr>
          <w:ilvl w:val="0"/>
          <w:numId w:val="131"/>
        </w:numPr>
        <w:spacing w:before="0" w:after="0"/>
        <w:rPr>
          <w:rFonts w:eastAsia="Calibri"/>
          <w:lang w:bidi="ar-SA"/>
        </w:rPr>
      </w:pPr>
      <w:r w:rsidRPr="004A61DF">
        <w:rPr>
          <w:rFonts w:eastAsia="Calibri"/>
          <w:lang w:bidi="ar-SA"/>
        </w:rPr>
        <w:t>Les</w:t>
      </w:r>
      <w:r w:rsidR="006D2CE8" w:rsidRPr="004A61DF">
        <w:rPr>
          <w:rFonts w:eastAsia="Calibri"/>
          <w:lang w:bidi="ar-SA"/>
        </w:rPr>
        <w:t xml:space="preserve"> </w:t>
      </w:r>
      <w:r w:rsidR="006D2CE8" w:rsidRPr="004637C7">
        <w:rPr>
          <w:rFonts w:eastAsia="Calibri"/>
          <w:lang w:bidi="ar-SA"/>
        </w:rPr>
        <w:t>alternatives d’aménagement</w:t>
      </w:r>
      <w:r w:rsidR="006D2CE8" w:rsidRPr="004A61DF">
        <w:rPr>
          <w:rFonts w:eastAsia="Calibri"/>
          <w:lang w:bidi="ar-SA"/>
        </w:rPr>
        <w:t xml:space="preserve"> (avec ou sans projet) susceptibles d’atteindre les objectifs de développement de l’aéroport ;</w:t>
      </w:r>
    </w:p>
    <w:p w14:paraId="298ABBD7" w14:textId="47171E60" w:rsidR="006D2CE8" w:rsidRPr="004A61DF" w:rsidRDefault="004A36BE" w:rsidP="0001633E">
      <w:pPr>
        <w:numPr>
          <w:ilvl w:val="0"/>
          <w:numId w:val="131"/>
        </w:numPr>
        <w:spacing w:before="0" w:after="0"/>
        <w:rPr>
          <w:rFonts w:eastAsia="Calibri"/>
          <w:lang w:bidi="ar-SA"/>
        </w:rPr>
      </w:pPr>
      <w:r w:rsidRPr="004A61DF">
        <w:rPr>
          <w:rFonts w:eastAsia="Calibri"/>
          <w:lang w:bidi="ar-SA"/>
        </w:rPr>
        <w:t>La</w:t>
      </w:r>
      <w:r w:rsidR="006D2CE8" w:rsidRPr="004A61DF">
        <w:rPr>
          <w:rFonts w:eastAsia="Calibri"/>
          <w:lang w:bidi="ar-SA"/>
        </w:rPr>
        <w:t xml:space="preserve"> </w:t>
      </w:r>
      <w:r w:rsidR="006D2CE8" w:rsidRPr="004637C7">
        <w:rPr>
          <w:rFonts w:eastAsia="Calibri"/>
          <w:lang w:bidi="ar-SA"/>
        </w:rPr>
        <w:t>faisabilité technique, économique et environnementale</w:t>
      </w:r>
      <w:r w:rsidR="006D2CE8" w:rsidRPr="004A61DF">
        <w:rPr>
          <w:rFonts w:eastAsia="Calibri"/>
          <w:lang w:bidi="ar-SA"/>
        </w:rPr>
        <w:t xml:space="preserve"> de chaque option ;</w:t>
      </w:r>
    </w:p>
    <w:p w14:paraId="4A54DE2D" w14:textId="610A674B" w:rsidR="006D2CE8" w:rsidRPr="004A61DF" w:rsidRDefault="004A36BE" w:rsidP="0001633E">
      <w:pPr>
        <w:numPr>
          <w:ilvl w:val="0"/>
          <w:numId w:val="131"/>
        </w:numPr>
        <w:spacing w:before="0" w:after="0"/>
        <w:rPr>
          <w:rFonts w:eastAsia="Calibri"/>
          <w:lang w:bidi="ar-SA"/>
        </w:rPr>
      </w:pPr>
      <w:r w:rsidRPr="004A61DF">
        <w:rPr>
          <w:rFonts w:eastAsia="Calibri"/>
          <w:lang w:bidi="ar-SA"/>
        </w:rPr>
        <w:t>La</w:t>
      </w:r>
      <w:r w:rsidR="006D2CE8" w:rsidRPr="004A61DF">
        <w:rPr>
          <w:rFonts w:eastAsia="Calibri"/>
          <w:lang w:bidi="ar-SA"/>
        </w:rPr>
        <w:t xml:space="preserve"> </w:t>
      </w:r>
      <w:r w:rsidR="006D2CE8" w:rsidRPr="004637C7">
        <w:rPr>
          <w:rFonts w:eastAsia="Calibri"/>
          <w:lang w:bidi="ar-SA"/>
        </w:rPr>
        <w:t>capacité des solutions retenues à atténuer les impacts identifiés</w:t>
      </w:r>
      <w:r>
        <w:rPr>
          <w:rFonts w:eastAsia="Calibri"/>
          <w:lang w:bidi="ar-SA"/>
        </w:rPr>
        <w:t>, et</w:t>
      </w:r>
    </w:p>
    <w:p w14:paraId="34DC5198" w14:textId="2B37F0DE" w:rsidR="006D2CE8" w:rsidRPr="004A61DF" w:rsidRDefault="004A36BE" w:rsidP="0001633E">
      <w:pPr>
        <w:numPr>
          <w:ilvl w:val="0"/>
          <w:numId w:val="131"/>
        </w:numPr>
        <w:spacing w:before="0" w:after="0"/>
        <w:rPr>
          <w:rFonts w:eastAsia="Calibri"/>
          <w:lang w:bidi="ar-SA"/>
        </w:rPr>
      </w:pPr>
      <w:r>
        <w:rPr>
          <w:rFonts w:eastAsia="Calibri"/>
          <w:lang w:bidi="ar-SA"/>
        </w:rPr>
        <w:t>L</w:t>
      </w:r>
      <w:r w:rsidR="006D2CE8" w:rsidRPr="004A61DF">
        <w:rPr>
          <w:rFonts w:eastAsia="Calibri"/>
          <w:lang w:bidi="ar-SA"/>
        </w:rPr>
        <w:t xml:space="preserve">es </w:t>
      </w:r>
      <w:r w:rsidR="006D2CE8" w:rsidRPr="004637C7">
        <w:rPr>
          <w:rFonts w:eastAsia="Calibri"/>
          <w:lang w:bidi="ar-SA"/>
        </w:rPr>
        <w:t>implications sociales, institutionnelles et économiques</w:t>
      </w:r>
      <w:r w:rsidR="006D2CE8" w:rsidRPr="004A61DF">
        <w:rPr>
          <w:rFonts w:eastAsia="Calibri"/>
          <w:lang w:bidi="ar-SA"/>
        </w:rPr>
        <w:t xml:space="preserve"> associées.</w:t>
      </w:r>
    </w:p>
    <w:p w14:paraId="05B9415A" w14:textId="77777777" w:rsidR="008637EF" w:rsidRPr="008375F7" w:rsidRDefault="008637EF" w:rsidP="008637EF">
      <w:pPr>
        <w:pStyle w:val="Title2"/>
        <w:rPr>
          <w:lang w:val="fr-MA" w:bidi="ar-SA"/>
        </w:rPr>
      </w:pPr>
      <w:bookmarkStart w:id="199" w:name="_Toc215131819"/>
      <w:r w:rsidRPr="008375F7">
        <w:rPr>
          <w:lang w:val="fr-MA" w:bidi="ar-SA"/>
        </w:rPr>
        <w:t>Alternative Sans Projet</w:t>
      </w:r>
      <w:bookmarkEnd w:id="199"/>
      <w:r w:rsidRPr="008375F7">
        <w:rPr>
          <w:lang w:val="fr-MA" w:bidi="ar-SA"/>
        </w:rPr>
        <w:t xml:space="preserve"> </w:t>
      </w:r>
    </w:p>
    <w:p w14:paraId="18DE1FE6" w14:textId="025042C7" w:rsidR="00FC4894" w:rsidRPr="00FC4894" w:rsidRDefault="00FC4894" w:rsidP="004637C7">
      <w:pPr>
        <w:rPr>
          <w:rFonts w:eastAsia="Calibri"/>
          <w:lang w:bidi="ar-SA"/>
        </w:rPr>
      </w:pPr>
      <w:r w:rsidRPr="00FC4894">
        <w:rPr>
          <w:rFonts w:eastAsia="Calibri"/>
          <w:lang w:bidi="ar-SA"/>
        </w:rPr>
        <w:t xml:space="preserve">Cette alternative consiste à ne pas entreprendre les travaux </w:t>
      </w:r>
      <w:r w:rsidR="00662B50" w:rsidRPr="00662B50">
        <w:rPr>
          <w:rFonts w:eastAsia="Calibri"/>
          <w:lang w:bidi="ar-SA"/>
        </w:rPr>
        <w:t>de modernisation et d’extension des infrastructures aéroportuaires</w:t>
      </w:r>
      <w:r w:rsidRPr="00FC4894">
        <w:rPr>
          <w:rFonts w:eastAsia="Calibri"/>
          <w:lang w:bidi="ar-SA"/>
        </w:rPr>
        <w:t xml:space="preserve"> prévus pour l’aéroport </w:t>
      </w:r>
      <w:r w:rsidR="004A36BE">
        <w:rPr>
          <w:rFonts w:eastAsia="Calibri"/>
          <w:lang w:bidi="ar-SA"/>
        </w:rPr>
        <w:t>Marrakech Ménara</w:t>
      </w:r>
      <w:r w:rsidRPr="00FC4894">
        <w:rPr>
          <w:rFonts w:eastAsia="Calibri"/>
          <w:lang w:bidi="ar-SA"/>
        </w:rPr>
        <w:t>. L’aéroport continuerait de fonctionner avec ses infrastructures actuelles, incluant :</w:t>
      </w:r>
    </w:p>
    <w:p w14:paraId="3A1663A8" w14:textId="485393BA" w:rsidR="00225838" w:rsidRDefault="004A36BE">
      <w:pPr>
        <w:pStyle w:val="Paragraphedeliste"/>
        <w:numPr>
          <w:ilvl w:val="0"/>
          <w:numId w:val="10"/>
        </w:numPr>
        <w:ind w:left="567"/>
        <w:rPr>
          <w:rFonts w:eastAsia="Calibri"/>
          <w:lang w:bidi="ar-SA"/>
        </w:rPr>
      </w:pPr>
      <w:r w:rsidRPr="00225838">
        <w:rPr>
          <w:rFonts w:eastAsia="Calibri"/>
          <w:lang w:bidi="ar-SA"/>
        </w:rPr>
        <w:t>Le</w:t>
      </w:r>
      <w:r w:rsidR="0081710B">
        <w:rPr>
          <w:rFonts w:eastAsia="Calibri"/>
          <w:lang w:bidi="ar-SA"/>
        </w:rPr>
        <w:t>s</w:t>
      </w:r>
      <w:r w:rsidR="00FC4894" w:rsidRPr="00225838">
        <w:rPr>
          <w:rFonts w:eastAsia="Calibri"/>
          <w:lang w:bidi="ar-SA"/>
        </w:rPr>
        <w:t xml:space="preserve"> </w:t>
      </w:r>
      <w:r w:rsidR="0081710B" w:rsidRPr="00225838">
        <w:rPr>
          <w:rFonts w:eastAsia="Calibri"/>
          <w:lang w:bidi="ar-SA"/>
        </w:rPr>
        <w:t>terminau</w:t>
      </w:r>
      <w:r w:rsidR="0081710B">
        <w:rPr>
          <w:rFonts w:eastAsia="Calibri"/>
          <w:lang w:bidi="ar-SA"/>
        </w:rPr>
        <w:t>x</w:t>
      </w:r>
      <w:r w:rsidR="00FC4894" w:rsidRPr="00225838">
        <w:rPr>
          <w:rFonts w:eastAsia="Calibri"/>
          <w:lang w:bidi="ar-SA"/>
        </w:rPr>
        <w:t xml:space="preserve"> passagers existant</w:t>
      </w:r>
      <w:r w:rsidR="0081710B">
        <w:rPr>
          <w:rFonts w:eastAsia="Calibri"/>
          <w:lang w:bidi="ar-SA"/>
        </w:rPr>
        <w:t xml:space="preserve">s </w:t>
      </w:r>
      <w:r w:rsidR="00FC4894" w:rsidRPr="00225838">
        <w:rPr>
          <w:rFonts w:eastAsia="Calibri"/>
          <w:lang w:bidi="ar-SA"/>
        </w:rPr>
        <w:t>;</w:t>
      </w:r>
    </w:p>
    <w:p w14:paraId="2DECF620" w14:textId="18FF2DF5" w:rsidR="00225838" w:rsidRDefault="004A36BE">
      <w:pPr>
        <w:pStyle w:val="Paragraphedeliste"/>
        <w:numPr>
          <w:ilvl w:val="0"/>
          <w:numId w:val="10"/>
        </w:numPr>
        <w:ind w:left="567"/>
        <w:rPr>
          <w:rFonts w:eastAsia="Calibri"/>
          <w:lang w:bidi="ar-SA"/>
        </w:rPr>
      </w:pPr>
      <w:r w:rsidRPr="00225838">
        <w:rPr>
          <w:rFonts w:eastAsia="Calibri"/>
          <w:lang w:bidi="ar-SA"/>
        </w:rPr>
        <w:t>Les</w:t>
      </w:r>
      <w:r w:rsidR="00FC4894" w:rsidRPr="00225838">
        <w:rPr>
          <w:rFonts w:eastAsia="Calibri"/>
          <w:lang w:bidi="ar-SA"/>
        </w:rPr>
        <w:t xml:space="preserve"> parkings véhicules et avions</w:t>
      </w:r>
      <w:r w:rsidR="0081710B">
        <w:rPr>
          <w:rFonts w:eastAsia="Calibri"/>
          <w:lang w:bidi="ar-SA"/>
        </w:rPr>
        <w:t xml:space="preserve"> </w:t>
      </w:r>
      <w:r w:rsidR="00FC4894" w:rsidRPr="00225838">
        <w:rPr>
          <w:rFonts w:eastAsia="Calibri"/>
          <w:lang w:bidi="ar-SA"/>
        </w:rPr>
        <w:t>;</w:t>
      </w:r>
    </w:p>
    <w:p w14:paraId="3E8C4F78" w14:textId="77777777" w:rsidR="00FC4894" w:rsidRPr="00FC4894" w:rsidRDefault="00FC4894" w:rsidP="004637C7">
      <w:pPr>
        <w:rPr>
          <w:rFonts w:eastAsia="Calibri"/>
          <w:lang w:bidi="ar-SA"/>
        </w:rPr>
      </w:pPr>
      <w:r w:rsidRPr="00FC4894">
        <w:rPr>
          <w:rFonts w:eastAsia="Calibri"/>
          <w:lang w:bidi="ar-SA"/>
        </w:rPr>
        <w:t>Cette option évite les impacts environnementaux directs liés à la phase de construction :</w:t>
      </w:r>
    </w:p>
    <w:p w14:paraId="27D17EC5" w14:textId="67873244" w:rsidR="00FC4894" w:rsidRPr="004637C7" w:rsidRDefault="004A36BE">
      <w:pPr>
        <w:pStyle w:val="Paragraphedeliste"/>
        <w:numPr>
          <w:ilvl w:val="0"/>
          <w:numId w:val="10"/>
        </w:numPr>
        <w:ind w:left="567"/>
        <w:rPr>
          <w:rFonts w:eastAsia="Calibri"/>
          <w:lang w:bidi="ar-SA"/>
        </w:rPr>
      </w:pPr>
      <w:r w:rsidRPr="004637C7">
        <w:rPr>
          <w:rFonts w:eastAsia="Calibri"/>
          <w:lang w:bidi="ar-SA"/>
        </w:rPr>
        <w:t>Absence</w:t>
      </w:r>
      <w:r w:rsidR="00FC4894" w:rsidRPr="004637C7">
        <w:rPr>
          <w:rFonts w:eastAsia="Calibri"/>
          <w:lang w:bidi="ar-SA"/>
        </w:rPr>
        <w:t xml:space="preserve"> de production de poussières, de bruit des engins, de génération de déchets, de consommation de ressources (eau, énergie, matériaux), et de perturbations temporaires du trafic et des écosystèmes locaux.</w:t>
      </w:r>
    </w:p>
    <w:p w14:paraId="2AF90CAE" w14:textId="77777777" w:rsidR="00FC4894" w:rsidRPr="00FC4894" w:rsidRDefault="00FC4894" w:rsidP="004637C7">
      <w:pPr>
        <w:rPr>
          <w:rFonts w:eastAsia="Calibri"/>
          <w:lang w:bidi="ar-SA"/>
        </w:rPr>
      </w:pPr>
      <w:r w:rsidRPr="00FC4894">
        <w:rPr>
          <w:rFonts w:eastAsia="Calibri"/>
          <w:lang w:bidi="ar-SA"/>
        </w:rPr>
        <w:t>Elle évite également toute imperméabilisation supplémentaire des sols.</w:t>
      </w:r>
    </w:p>
    <w:p w14:paraId="097310D7" w14:textId="77777777" w:rsidR="00FC4894" w:rsidRPr="00FC4894" w:rsidRDefault="00FC4894" w:rsidP="004637C7">
      <w:pPr>
        <w:rPr>
          <w:rFonts w:eastAsia="Calibri"/>
          <w:lang w:bidi="ar-SA"/>
        </w:rPr>
      </w:pPr>
      <w:r w:rsidRPr="00FC4894">
        <w:rPr>
          <w:rFonts w:eastAsia="Calibri"/>
          <w:lang w:bidi="ar-SA"/>
        </w:rPr>
        <w:t>Cependant, le maintien du statu quo engendrerait :</w:t>
      </w:r>
    </w:p>
    <w:p w14:paraId="72D47C6E" w14:textId="2BADD878" w:rsidR="00FC4894" w:rsidRPr="00FC4894" w:rsidRDefault="007731F6">
      <w:pPr>
        <w:pStyle w:val="Paragraphedeliste"/>
        <w:numPr>
          <w:ilvl w:val="0"/>
          <w:numId w:val="10"/>
        </w:numPr>
        <w:ind w:left="567"/>
        <w:rPr>
          <w:rFonts w:eastAsia="Calibri"/>
          <w:lang w:bidi="ar-SA"/>
        </w:rPr>
      </w:pPr>
      <w:r w:rsidRPr="00FC4894">
        <w:rPr>
          <w:rFonts w:eastAsia="Calibri"/>
          <w:lang w:bidi="ar-SA"/>
        </w:rPr>
        <w:t>Une</w:t>
      </w:r>
      <w:r w:rsidR="00FC4894" w:rsidRPr="00FC4894">
        <w:rPr>
          <w:rFonts w:eastAsia="Calibri"/>
          <w:lang w:bidi="ar-SA"/>
        </w:rPr>
        <w:t xml:space="preserve"> saturation rapide des installations face à la croissance prévue du trafic aérien</w:t>
      </w:r>
      <w:r w:rsidR="007B42ED">
        <w:rPr>
          <w:rFonts w:eastAsia="Calibri"/>
          <w:lang w:bidi="ar-SA"/>
        </w:rPr>
        <w:t> ;</w:t>
      </w:r>
    </w:p>
    <w:p w14:paraId="5DB2D1B2" w14:textId="509B5E66" w:rsidR="00FC4894" w:rsidRPr="00FC4894" w:rsidRDefault="007B42ED">
      <w:pPr>
        <w:pStyle w:val="Paragraphedeliste"/>
        <w:numPr>
          <w:ilvl w:val="0"/>
          <w:numId w:val="10"/>
        </w:numPr>
        <w:ind w:left="567"/>
        <w:rPr>
          <w:rFonts w:eastAsia="Calibri"/>
          <w:lang w:bidi="ar-SA"/>
        </w:rPr>
      </w:pPr>
      <w:r>
        <w:rPr>
          <w:rFonts w:eastAsia="Calibri"/>
          <w:lang w:bidi="ar-SA"/>
        </w:rPr>
        <w:t>U</w:t>
      </w:r>
      <w:r w:rsidR="00FC4894" w:rsidRPr="00FC4894">
        <w:rPr>
          <w:rFonts w:eastAsia="Calibri"/>
          <w:lang w:bidi="ar-SA"/>
        </w:rPr>
        <w:t>ne dégradation progressive du niveau de service pour les passagers (congestion, files d’attente, retards) ;</w:t>
      </w:r>
    </w:p>
    <w:p w14:paraId="5D71723F" w14:textId="07D4E217" w:rsidR="00FC4894" w:rsidRPr="00FC4894" w:rsidRDefault="007B42ED">
      <w:pPr>
        <w:pStyle w:val="Paragraphedeliste"/>
        <w:numPr>
          <w:ilvl w:val="0"/>
          <w:numId w:val="10"/>
        </w:numPr>
        <w:ind w:left="567"/>
        <w:rPr>
          <w:rFonts w:eastAsia="Calibri"/>
          <w:lang w:bidi="ar-SA"/>
        </w:rPr>
      </w:pPr>
      <w:r w:rsidRPr="00FC4894">
        <w:rPr>
          <w:rFonts w:eastAsia="Calibri"/>
          <w:lang w:bidi="ar-SA"/>
        </w:rPr>
        <w:t>Une</w:t>
      </w:r>
      <w:r w:rsidR="00FC4894" w:rsidRPr="00FC4894">
        <w:rPr>
          <w:rFonts w:eastAsia="Calibri"/>
          <w:lang w:bidi="ar-SA"/>
        </w:rPr>
        <w:t xml:space="preserve"> perte d’attractivité économique et touristique pour la région </w:t>
      </w:r>
      <w:r>
        <w:rPr>
          <w:rFonts w:eastAsia="Calibri"/>
          <w:lang w:bidi="ar-SA"/>
        </w:rPr>
        <w:t>Marrakech – Safi</w:t>
      </w:r>
      <w:r w:rsidR="00FC4894" w:rsidRPr="00FC4894">
        <w:rPr>
          <w:rFonts w:eastAsia="Calibri"/>
          <w:lang w:bidi="ar-SA"/>
        </w:rPr>
        <w:t>, en contradiction avec le Programme de Développement Régional</w:t>
      </w:r>
      <w:r>
        <w:rPr>
          <w:rFonts w:eastAsia="Calibri"/>
          <w:lang w:bidi="ar-SA"/>
        </w:rPr>
        <w:t xml:space="preserve"> </w:t>
      </w:r>
      <w:r w:rsidR="00FC4894" w:rsidRPr="00FC4894">
        <w:rPr>
          <w:rFonts w:eastAsia="Calibri"/>
          <w:lang w:bidi="ar-SA"/>
        </w:rPr>
        <w:t>;</w:t>
      </w:r>
    </w:p>
    <w:p w14:paraId="70545FE7" w14:textId="77777777" w:rsidR="00FC4894" w:rsidRPr="00FC4894" w:rsidRDefault="00FC4894">
      <w:pPr>
        <w:pStyle w:val="Paragraphedeliste"/>
        <w:numPr>
          <w:ilvl w:val="0"/>
          <w:numId w:val="10"/>
        </w:numPr>
        <w:ind w:left="567"/>
        <w:rPr>
          <w:rFonts w:eastAsia="Calibri"/>
          <w:lang w:bidi="ar-SA"/>
        </w:rPr>
      </w:pPr>
      <w:r w:rsidRPr="00FC4894">
        <w:rPr>
          <w:rFonts w:eastAsia="Calibri"/>
          <w:lang w:bidi="ar-SA"/>
        </w:rPr>
        <w:t>et une inefficience environnementale persistante (infrastructures anciennes, gestion des déchets et des eaux usées limitée).</w:t>
      </w:r>
    </w:p>
    <w:p w14:paraId="6FF004DF" w14:textId="77777777" w:rsidR="00FC4894" w:rsidRPr="00FC4894" w:rsidRDefault="00FC4894" w:rsidP="004637C7">
      <w:pPr>
        <w:rPr>
          <w:rFonts w:eastAsia="Calibri"/>
          <w:lang w:bidi="ar-SA"/>
        </w:rPr>
      </w:pPr>
    </w:p>
    <w:p w14:paraId="65F7C4D6" w14:textId="77777777" w:rsidR="00FC4894" w:rsidRPr="00FC4894" w:rsidRDefault="00FC4894" w:rsidP="004637C7">
      <w:pPr>
        <w:rPr>
          <w:rFonts w:eastAsia="Calibri"/>
          <w:lang w:bidi="ar-SA"/>
        </w:rPr>
      </w:pPr>
      <w:r w:rsidRPr="00FC4894">
        <w:rPr>
          <w:rFonts w:eastAsia="Calibri"/>
          <w:lang w:bidi="ar-SA"/>
        </w:rPr>
        <w:lastRenderedPageBreak/>
        <w:t>En l’absence du projet, l’aéroport ne pourrait pas jouer pleinement son rôle de levier de développement régional, ni répondre aux standards internationaux de sûreté et d’efficacité énergétique.</w:t>
      </w:r>
    </w:p>
    <w:p w14:paraId="6D47403F" w14:textId="77777777" w:rsidR="00FC4894" w:rsidRPr="00FC4894" w:rsidRDefault="00FC4894" w:rsidP="004637C7">
      <w:pPr>
        <w:rPr>
          <w:rFonts w:eastAsia="Calibri"/>
          <w:lang w:bidi="ar-SA"/>
        </w:rPr>
      </w:pPr>
      <w:r w:rsidRPr="00FC4894">
        <w:rPr>
          <w:rFonts w:eastAsia="Calibri"/>
          <w:lang w:bidi="ar-SA"/>
        </w:rPr>
        <w:t>Le potentiel de création d’emplois directs et indirects (chantier, maintenance, services) serait également perdu.</w:t>
      </w:r>
    </w:p>
    <w:p w14:paraId="3060410B" w14:textId="05B31AA3" w:rsidR="008637EF" w:rsidRDefault="00FC4894" w:rsidP="004637C7">
      <w:pPr>
        <w:rPr>
          <w:rFonts w:eastAsia="Calibri"/>
          <w:lang w:bidi="ar-SA"/>
        </w:rPr>
      </w:pPr>
      <w:r w:rsidRPr="00FC4894">
        <w:rPr>
          <w:rFonts w:eastAsia="Calibri"/>
          <w:lang w:bidi="ar-SA"/>
        </w:rPr>
        <w:t>Cette alternative est écologiquement favorable à court terme, mais socialement et économiquement non viable à moyen et long terme. Elle ne répond pas aux besoins de modernisation ni aux engagements du Maroc en matière de développement durable du secteur aérien.</w:t>
      </w:r>
    </w:p>
    <w:p w14:paraId="77ABFEA3" w14:textId="35028BE8" w:rsidR="008637EF" w:rsidRPr="008375F7" w:rsidRDefault="008637EF" w:rsidP="008637EF">
      <w:pPr>
        <w:pStyle w:val="Title2"/>
        <w:rPr>
          <w:lang w:val="fr-MA" w:bidi="ar-SA"/>
        </w:rPr>
      </w:pPr>
      <w:bookmarkStart w:id="200" w:name="_Toc215131820"/>
      <w:r w:rsidRPr="008375F7">
        <w:rPr>
          <w:lang w:val="fr-MA" w:bidi="ar-SA"/>
        </w:rPr>
        <w:t>Alternative Avec Projet</w:t>
      </w:r>
      <w:r w:rsidR="00225838">
        <w:rPr>
          <w:lang w:val="fr-MA" w:bidi="ar-SA"/>
        </w:rPr>
        <w:t xml:space="preserve"> (option retenue)</w:t>
      </w:r>
      <w:bookmarkEnd w:id="200"/>
    </w:p>
    <w:p w14:paraId="02DB0CD1" w14:textId="2510952B" w:rsidR="00BB3514" w:rsidRDefault="00BB3514" w:rsidP="00BB3514">
      <w:pPr>
        <w:rPr>
          <w:rFonts w:eastAsia="Calibri"/>
          <w:lang w:bidi="ar-SA"/>
        </w:rPr>
      </w:pPr>
      <w:r w:rsidRPr="00BB3514">
        <w:rPr>
          <w:rFonts w:eastAsia="Calibri"/>
          <w:lang w:bidi="ar-SA"/>
        </w:rPr>
        <w:t>L’alternative avec projet correspond à la mise en œuvre du programme d’extension et de réaménagement de l’aéroport d</w:t>
      </w:r>
      <w:r w:rsidR="008C68CA">
        <w:rPr>
          <w:rFonts w:eastAsia="Calibri"/>
          <w:lang w:bidi="ar-SA"/>
        </w:rPr>
        <w:t>e Marrakech Ménara</w:t>
      </w:r>
      <w:r w:rsidRPr="00BB3514">
        <w:rPr>
          <w:rFonts w:eastAsia="Calibri"/>
          <w:lang w:bidi="ar-SA"/>
        </w:rPr>
        <w:t>, dont certaines composantes</w:t>
      </w:r>
      <w:r>
        <w:rPr>
          <w:rFonts w:eastAsia="Calibri"/>
          <w:lang w:bidi="ar-SA"/>
        </w:rPr>
        <w:t>,</w:t>
      </w:r>
      <w:r w:rsidRPr="00BB3514">
        <w:rPr>
          <w:rFonts w:eastAsia="Calibri"/>
          <w:lang w:bidi="ar-SA"/>
        </w:rPr>
        <w:t xml:space="preserve"> notamment la réalisation du parking avions, des voies de circulation aéronautiques, du balisage lumineux, de l’éclairage des aires de stationnement et des équipements de sûreté et de mobilité interne</w:t>
      </w:r>
      <w:r>
        <w:rPr>
          <w:rFonts w:eastAsia="Calibri"/>
          <w:lang w:bidi="ar-SA"/>
        </w:rPr>
        <w:t>,</w:t>
      </w:r>
      <w:r w:rsidRPr="00BB3514">
        <w:rPr>
          <w:rFonts w:eastAsia="Calibri"/>
          <w:lang w:bidi="ar-SA"/>
        </w:rPr>
        <w:t xml:space="preserve"> sont financées par la Banque Africaine de Développement (BAD).</w:t>
      </w:r>
    </w:p>
    <w:p w14:paraId="0134A6F8" w14:textId="6ADB16C8" w:rsidR="00BB3514" w:rsidRDefault="00BB3514" w:rsidP="00BB3514">
      <w:pPr>
        <w:rPr>
          <w:rFonts w:eastAsia="Calibri"/>
          <w:lang w:bidi="ar-SA"/>
        </w:rPr>
      </w:pPr>
      <w:r w:rsidRPr="00BB3514">
        <w:rPr>
          <w:rFonts w:eastAsia="Calibri"/>
          <w:lang w:bidi="ar-SA"/>
        </w:rPr>
        <w:t>Cette alternative vise à répondre à la croissance rapide du trafic aérien de l’aéroport, à renforcer sa capacité opérationnelle, et à améliorer son niveau de service conformément aux standards internationaux.</w:t>
      </w:r>
    </w:p>
    <w:p w14:paraId="6AAAFD93" w14:textId="6DD066C0" w:rsidR="00BB3514" w:rsidRDefault="00BB3514" w:rsidP="00BB3514">
      <w:pPr>
        <w:rPr>
          <w:rFonts w:eastAsia="Calibri"/>
          <w:lang w:bidi="ar-SA"/>
        </w:rPr>
      </w:pPr>
      <w:r w:rsidRPr="00BB3514">
        <w:rPr>
          <w:rFonts w:eastAsia="Calibri"/>
          <w:lang w:bidi="ar-SA"/>
        </w:rPr>
        <w:t xml:space="preserve">Le projet permettra de porter la capacité d’accueil globale de la plateforme à </w:t>
      </w:r>
      <w:r w:rsidR="00F9303D">
        <w:rPr>
          <w:rFonts w:eastAsia="Calibri"/>
          <w:lang w:bidi="ar-SA"/>
        </w:rPr>
        <w:t>16</w:t>
      </w:r>
      <w:r w:rsidRPr="00BB3514">
        <w:rPr>
          <w:rFonts w:eastAsia="Calibri"/>
          <w:lang w:bidi="ar-SA"/>
        </w:rPr>
        <w:t xml:space="preserve"> millions de passagers par an, tout en garantissant la sécurité, la fluidité et la résilience des opérations au sol. Il s’inscrit dans la stratégie nationale de modernisation des infrastructures aéroportuaires pilotée par l’ONDA</w:t>
      </w:r>
      <w:r w:rsidR="00FE7A15">
        <w:rPr>
          <w:rFonts w:eastAsia="Calibri"/>
          <w:lang w:bidi="ar-SA"/>
        </w:rPr>
        <w:t>.</w:t>
      </w:r>
    </w:p>
    <w:p w14:paraId="445F9EFB" w14:textId="53432374" w:rsidR="00BB3514" w:rsidRDefault="00BB3514" w:rsidP="00BB3514">
      <w:pPr>
        <w:rPr>
          <w:rFonts w:eastAsia="Calibri"/>
          <w:lang w:bidi="ar-SA"/>
        </w:rPr>
      </w:pPr>
      <w:r w:rsidRPr="00BB3514">
        <w:rPr>
          <w:rFonts w:eastAsia="Calibri"/>
          <w:lang w:bidi="ar-SA"/>
        </w:rPr>
        <w:t>Les principales composantes de cette alternative comprennent :</w:t>
      </w:r>
    </w:p>
    <w:p w14:paraId="1A2BCDE2" w14:textId="6F1907C4" w:rsidR="00BB3514" w:rsidRPr="004637C7" w:rsidRDefault="00BB3514" w:rsidP="0001633E">
      <w:pPr>
        <w:pStyle w:val="Paragraphedeliste"/>
        <w:numPr>
          <w:ilvl w:val="0"/>
          <w:numId w:val="132"/>
        </w:numPr>
        <w:rPr>
          <w:rFonts w:eastAsia="Calibri"/>
          <w:lang w:bidi="ar-SA"/>
        </w:rPr>
      </w:pPr>
      <w:r w:rsidRPr="004637C7">
        <w:rPr>
          <w:rFonts w:eastAsia="Calibri"/>
          <w:lang w:bidi="ar-SA"/>
        </w:rPr>
        <w:t>L’extension du parking avions, avec la création de nouvelles voies de circulation dédiées aux aéronefs ;</w:t>
      </w:r>
    </w:p>
    <w:p w14:paraId="3AC39C44" w14:textId="77777777" w:rsidR="00BB3514" w:rsidRPr="004637C7" w:rsidRDefault="00BB3514" w:rsidP="0001633E">
      <w:pPr>
        <w:pStyle w:val="Paragraphedeliste"/>
        <w:numPr>
          <w:ilvl w:val="0"/>
          <w:numId w:val="132"/>
        </w:numPr>
        <w:rPr>
          <w:rFonts w:eastAsia="Calibri"/>
          <w:lang w:bidi="ar-SA"/>
        </w:rPr>
      </w:pPr>
      <w:r w:rsidRPr="004637C7">
        <w:rPr>
          <w:rFonts w:eastAsia="Calibri"/>
          <w:lang w:bidi="ar-SA"/>
        </w:rPr>
        <w:t>La mise en œuvre du balisage lumineux et de l’éclairage à haute efficacité énergétique par mâts de grande hauteur, permettant d’assurer des opérations sécurisées de jour comme de nuit ;</w:t>
      </w:r>
    </w:p>
    <w:p w14:paraId="4DF7989A" w14:textId="77777777" w:rsidR="00BB3514" w:rsidRPr="004637C7" w:rsidRDefault="00BB3514" w:rsidP="0001633E">
      <w:pPr>
        <w:pStyle w:val="Paragraphedeliste"/>
        <w:numPr>
          <w:ilvl w:val="0"/>
          <w:numId w:val="132"/>
        </w:numPr>
        <w:rPr>
          <w:rFonts w:eastAsia="Calibri"/>
          <w:lang w:bidi="ar-SA"/>
        </w:rPr>
      </w:pPr>
      <w:r w:rsidRPr="004637C7">
        <w:rPr>
          <w:rFonts w:eastAsia="Calibri"/>
          <w:lang w:bidi="ar-SA"/>
        </w:rPr>
        <w:t>L’intégration d’équipements de sûreté modernes, incluant les systèmes EDS (Explosive Detection System), les portiques de détection, les machines RX double vues, les ETD et les scanners corporels ;</w:t>
      </w:r>
    </w:p>
    <w:p w14:paraId="36CAE447" w14:textId="77777777" w:rsidR="00BB3514" w:rsidRPr="004637C7" w:rsidRDefault="00BB3514" w:rsidP="0001633E">
      <w:pPr>
        <w:pStyle w:val="Paragraphedeliste"/>
        <w:numPr>
          <w:ilvl w:val="0"/>
          <w:numId w:val="132"/>
        </w:numPr>
        <w:rPr>
          <w:rFonts w:eastAsia="Calibri"/>
          <w:lang w:bidi="ar-SA"/>
        </w:rPr>
      </w:pPr>
      <w:r w:rsidRPr="004637C7">
        <w:rPr>
          <w:rFonts w:eastAsia="Calibri"/>
          <w:lang w:bidi="ar-SA"/>
        </w:rPr>
        <w:t>L’installation d’équipements de mobilité interne, tels que des ascenseurs, escalators, trottoirs roulants et couloirs rapides, destinés à fluidifier la circulation des passagers et à améliorer leur confort ;</w:t>
      </w:r>
    </w:p>
    <w:p w14:paraId="5BA5BC78" w14:textId="77777777" w:rsidR="00BB3514" w:rsidRPr="004637C7" w:rsidRDefault="00BB3514" w:rsidP="0001633E">
      <w:pPr>
        <w:pStyle w:val="Paragraphedeliste"/>
        <w:numPr>
          <w:ilvl w:val="0"/>
          <w:numId w:val="132"/>
        </w:numPr>
        <w:rPr>
          <w:rFonts w:eastAsia="Calibri"/>
          <w:lang w:bidi="ar-SA"/>
        </w:rPr>
      </w:pPr>
      <w:r w:rsidRPr="004637C7">
        <w:rPr>
          <w:rFonts w:eastAsia="Calibri"/>
          <w:lang w:bidi="ar-SA"/>
        </w:rPr>
        <w:t>Enfin, la modernisation du terminal passagers et la restructuration de certaines zones techniques (fret, catering, maintenance, tour de contrôle), prévues dans le programme global de l’ONDA mais hors périmètre de la présente EIES.</w:t>
      </w:r>
    </w:p>
    <w:p w14:paraId="46FD0F0A" w14:textId="3B5813A8" w:rsidR="00BB3514" w:rsidRPr="00BB3514" w:rsidRDefault="00BB3514" w:rsidP="004637C7">
      <w:pPr>
        <w:rPr>
          <w:rFonts w:eastAsia="Calibri"/>
          <w:lang w:bidi="ar-SA"/>
        </w:rPr>
      </w:pPr>
      <w:r>
        <w:rPr>
          <w:rFonts w:eastAsia="Calibri"/>
          <w:lang w:bidi="ar-SA"/>
        </w:rPr>
        <w:t>C</w:t>
      </w:r>
      <w:r w:rsidRPr="00BB3514">
        <w:rPr>
          <w:rFonts w:eastAsia="Calibri"/>
          <w:lang w:bidi="ar-SA"/>
        </w:rPr>
        <w:t xml:space="preserve">ette alternative générera inévitablement des impacts temporaires durant la phase de construction, notamment liés aux émissions de poussières, au bruit des engins, à la production de déchets de </w:t>
      </w:r>
      <w:r w:rsidRPr="00BB3514">
        <w:rPr>
          <w:rFonts w:eastAsia="Calibri"/>
          <w:lang w:bidi="ar-SA"/>
        </w:rPr>
        <w:lastRenderedPageBreak/>
        <w:t>chantier, à la circulation des véhicules lourds et à la consommation ponctuelle de ressources (eau, carburant, électricité).</w:t>
      </w:r>
    </w:p>
    <w:p w14:paraId="7536D10A" w14:textId="77777777" w:rsidR="00BB3514" w:rsidRPr="00BB3514" w:rsidRDefault="00BB3514" w:rsidP="004637C7">
      <w:pPr>
        <w:rPr>
          <w:rFonts w:eastAsia="Calibri"/>
          <w:lang w:bidi="ar-SA"/>
        </w:rPr>
      </w:pPr>
      <w:r w:rsidRPr="00BB3514">
        <w:rPr>
          <w:rFonts w:eastAsia="Calibri"/>
          <w:lang w:bidi="ar-SA"/>
        </w:rPr>
        <w:t>Toutefois, ces effets seront strictement limités dans le temps et dans l’espace, et feront l’objet de mesures d’atténuation spécifiques définies dans le Plan de Gestion Environnemental et Social (PGES), permettant de les réduire à des niveaux acceptables.</w:t>
      </w:r>
    </w:p>
    <w:p w14:paraId="04DEA849" w14:textId="77777777" w:rsidR="00BB3514" w:rsidRPr="00BB3514" w:rsidRDefault="00BB3514" w:rsidP="004637C7">
      <w:pPr>
        <w:rPr>
          <w:rFonts w:eastAsia="Calibri"/>
          <w:lang w:bidi="ar-SA"/>
        </w:rPr>
      </w:pPr>
      <w:r w:rsidRPr="00BB3514">
        <w:rPr>
          <w:rFonts w:eastAsia="Calibri"/>
          <w:lang w:bidi="ar-SA"/>
        </w:rPr>
        <w:t>En phase d’exploitation, l’augmentation du trafic aérien et des opérations au sol entraînera une hausse contrôlée des émissions atmosphériques et sonores, mais celle-ci sera compensée par l’intégration de technologies plus performantes et durables : éclairage LED à faible consommation, optimisation énergétique des bâtiments, gestion rationnelle de l’eau et traitement amélioré des eaux usées.</w:t>
      </w:r>
    </w:p>
    <w:p w14:paraId="16285E99" w14:textId="77777777" w:rsidR="00BB3514" w:rsidRPr="00BB3514" w:rsidRDefault="00BB3514" w:rsidP="004637C7">
      <w:pPr>
        <w:rPr>
          <w:rFonts w:eastAsia="Calibri"/>
          <w:lang w:bidi="ar-SA"/>
        </w:rPr>
      </w:pPr>
      <w:r w:rsidRPr="00BB3514">
        <w:rPr>
          <w:rFonts w:eastAsia="Calibri"/>
          <w:lang w:bidi="ar-SA"/>
        </w:rPr>
        <w:t>Sur le plan socio-économique, cette alternative offre des retombées positives significatives.</w:t>
      </w:r>
    </w:p>
    <w:p w14:paraId="25C1D0BA" w14:textId="6654E31D" w:rsidR="00BB3514" w:rsidRPr="00BB3514" w:rsidRDefault="00BB3514" w:rsidP="004637C7">
      <w:pPr>
        <w:rPr>
          <w:rFonts w:eastAsia="Calibri"/>
          <w:lang w:bidi="ar-SA"/>
        </w:rPr>
      </w:pPr>
      <w:r w:rsidRPr="00BB3514">
        <w:rPr>
          <w:rFonts w:eastAsia="Calibri"/>
          <w:lang w:bidi="ar-SA"/>
        </w:rPr>
        <w:t>Elle soutient le développement du secteur touristique</w:t>
      </w:r>
      <w:r w:rsidR="00B94611">
        <w:rPr>
          <w:rFonts w:eastAsia="Calibri"/>
          <w:lang w:bidi="ar-SA"/>
        </w:rPr>
        <w:t xml:space="preserve">, et des affaires, </w:t>
      </w:r>
      <w:r w:rsidRPr="00BB3514">
        <w:rPr>
          <w:rFonts w:eastAsia="Calibri"/>
          <w:lang w:bidi="ar-SA"/>
        </w:rPr>
        <w:t>tout en renforçant l’attractivité économique d</w:t>
      </w:r>
      <w:r w:rsidR="00B94611">
        <w:rPr>
          <w:rFonts w:eastAsia="Calibri"/>
          <w:lang w:bidi="ar-SA"/>
        </w:rPr>
        <w:t>e Marrakech et de toute la région de Marrakech – Safi</w:t>
      </w:r>
      <w:r w:rsidRPr="00BB3514">
        <w:rPr>
          <w:rFonts w:eastAsia="Calibri"/>
          <w:lang w:bidi="ar-SA"/>
        </w:rPr>
        <w:t>.</w:t>
      </w:r>
    </w:p>
    <w:p w14:paraId="17712B71" w14:textId="4E17C8C2" w:rsidR="00BB3514" w:rsidRPr="00BB3514" w:rsidRDefault="00BB3514" w:rsidP="004637C7">
      <w:pPr>
        <w:rPr>
          <w:rFonts w:eastAsia="Calibri"/>
          <w:lang w:bidi="ar-SA"/>
        </w:rPr>
      </w:pPr>
      <w:r w:rsidRPr="00BB3514">
        <w:rPr>
          <w:rFonts w:eastAsia="Calibri"/>
          <w:lang w:bidi="ar-SA"/>
        </w:rPr>
        <w:t xml:space="preserve">Le projet générera des emplois directs et indirects tout au long de sa mise en œuvre, avec une priorité donnée à l’embauche de la main-d’œuvre locale, contribuant ainsi à la dynamique de développement régional et à la réduction du chômage dans la </w:t>
      </w:r>
      <w:r>
        <w:rPr>
          <w:rFonts w:eastAsia="Calibri"/>
          <w:lang w:bidi="ar-SA"/>
        </w:rPr>
        <w:t>préfecture</w:t>
      </w:r>
      <w:r w:rsidRPr="00BB3514">
        <w:rPr>
          <w:rFonts w:eastAsia="Calibri"/>
          <w:lang w:bidi="ar-SA"/>
        </w:rPr>
        <w:t xml:space="preserve"> </w:t>
      </w:r>
      <w:r w:rsidR="00711A5E">
        <w:rPr>
          <w:rFonts w:eastAsia="Calibri"/>
          <w:lang w:bidi="ar-SA"/>
        </w:rPr>
        <w:t>de Marrakech</w:t>
      </w:r>
      <w:r w:rsidRPr="00BB3514">
        <w:rPr>
          <w:rFonts w:eastAsia="Calibri"/>
          <w:lang w:bidi="ar-SA"/>
        </w:rPr>
        <w:t>.</w:t>
      </w:r>
    </w:p>
    <w:p w14:paraId="654B410C" w14:textId="77777777" w:rsidR="00BB3514" w:rsidRPr="00BB3514" w:rsidRDefault="00BB3514" w:rsidP="004637C7">
      <w:pPr>
        <w:rPr>
          <w:rFonts w:eastAsia="Calibri"/>
          <w:lang w:bidi="ar-SA"/>
        </w:rPr>
      </w:pPr>
      <w:r w:rsidRPr="00BB3514">
        <w:rPr>
          <w:rFonts w:eastAsia="Calibri"/>
          <w:lang w:bidi="ar-SA"/>
        </w:rPr>
        <w:t>En somme, bien que cette alternative présente des impacts environnementaux temporaires, ceux-ci demeurent maîtrisables et atténuables grâce aux mesures prévues.</w:t>
      </w:r>
    </w:p>
    <w:p w14:paraId="130B619F" w14:textId="77777777" w:rsidR="00BB3514" w:rsidRPr="00BB3514" w:rsidRDefault="00BB3514" w:rsidP="004637C7">
      <w:pPr>
        <w:rPr>
          <w:rFonts w:eastAsia="Calibri"/>
          <w:lang w:bidi="ar-SA"/>
        </w:rPr>
      </w:pPr>
      <w:r w:rsidRPr="00BB3514">
        <w:rPr>
          <w:rFonts w:eastAsia="Calibri"/>
          <w:lang w:bidi="ar-SA"/>
        </w:rPr>
        <w:t>Elle permet de répondre efficacement aux besoins de modernisation et d’expansion de la plateforme tout en respectant les principes de durabilité, de conformité réglementaire et d’inclusion sociale.</w:t>
      </w:r>
    </w:p>
    <w:p w14:paraId="435B893E" w14:textId="7A6EC70C" w:rsidR="008637EF" w:rsidRPr="008375F7" w:rsidRDefault="00BB3514" w:rsidP="004637C7">
      <w:pPr>
        <w:rPr>
          <w:rFonts w:eastAsia="Calibri"/>
          <w:lang w:bidi="ar-SA"/>
        </w:rPr>
      </w:pPr>
      <w:r w:rsidRPr="00BB3514">
        <w:rPr>
          <w:rFonts w:eastAsia="Calibri"/>
          <w:lang w:bidi="ar-SA"/>
        </w:rPr>
        <w:t>Le projet financé par la BAD constitue donc l’option la plus cohérente pour assurer la sécurité, la compétitivité et la durabilité à long terme de l’aéroport d</w:t>
      </w:r>
      <w:r w:rsidR="00FC3556">
        <w:rPr>
          <w:rFonts w:eastAsia="Calibri"/>
          <w:lang w:bidi="ar-SA"/>
        </w:rPr>
        <w:t>e Marrakech</w:t>
      </w:r>
      <w:r w:rsidRPr="00BB3514">
        <w:rPr>
          <w:rFonts w:eastAsia="Calibri"/>
          <w:lang w:bidi="ar-SA"/>
        </w:rPr>
        <w:t>.</w:t>
      </w:r>
    </w:p>
    <w:p w14:paraId="2BE72990" w14:textId="58C091B5" w:rsidR="00CE34E0" w:rsidRPr="004637C7" w:rsidRDefault="00CE34E0" w:rsidP="004637C7">
      <w:pPr>
        <w:pStyle w:val="Title2"/>
        <w:rPr>
          <w:lang w:val="fr-MA" w:bidi="ar-SA"/>
        </w:rPr>
      </w:pPr>
      <w:bookmarkStart w:id="201" w:name="_Toc215131821"/>
      <w:r w:rsidRPr="004637C7">
        <w:rPr>
          <w:lang w:val="fr-MA" w:bidi="ar-SA"/>
        </w:rPr>
        <w:t>Alternative de site</w:t>
      </w:r>
      <w:bookmarkEnd w:id="201"/>
    </w:p>
    <w:p w14:paraId="5E3233E8" w14:textId="424CBA7D" w:rsidR="00CE34E0" w:rsidRPr="004637C7" w:rsidRDefault="00CE34E0" w:rsidP="004637C7">
      <w:pPr>
        <w:rPr>
          <w:rFonts w:eastAsia="Calibri"/>
          <w:lang w:bidi="ar-SA"/>
        </w:rPr>
      </w:pPr>
      <w:r w:rsidRPr="004637C7">
        <w:rPr>
          <w:rFonts w:eastAsia="Calibri"/>
          <w:lang w:bidi="ar-SA"/>
        </w:rPr>
        <w:t>Le projet d’extension du parking avions et des voies de circulation de l’aéroport d</w:t>
      </w:r>
      <w:r w:rsidR="00FC3556">
        <w:rPr>
          <w:rFonts w:eastAsia="Calibri"/>
          <w:lang w:bidi="ar-SA"/>
        </w:rPr>
        <w:t xml:space="preserve">e Marrakech Ménara </w:t>
      </w:r>
      <w:r w:rsidRPr="004637C7">
        <w:rPr>
          <w:rFonts w:eastAsia="Calibri"/>
          <w:lang w:bidi="ar-SA"/>
        </w:rPr>
        <w:t>s’inscrit dans l’emprise existante de la plateforme aéroportuaire. L’emplacement retenu permet de tirer avantage de la disponibilité foncière, de la proximité des installations aéronautiques existantes et de la limitation des nouveaux empiétements</w:t>
      </w:r>
      <w:r w:rsidR="00030104">
        <w:rPr>
          <w:rFonts w:eastAsia="Calibri"/>
          <w:lang w:bidi="ar-SA"/>
        </w:rPr>
        <w:t>.</w:t>
      </w:r>
    </w:p>
    <w:p w14:paraId="29ACE3BF" w14:textId="7578E8D9" w:rsidR="008637EF" w:rsidRPr="008375F7" w:rsidRDefault="000B2C30" w:rsidP="00D60FC9">
      <w:pPr>
        <w:pStyle w:val="Title2"/>
        <w:rPr>
          <w:lang w:bidi="ar-SA"/>
        </w:rPr>
      </w:pPr>
      <w:bookmarkStart w:id="202" w:name="_Toc215131822"/>
      <w:r>
        <w:rPr>
          <w:lang w:bidi="ar-SA"/>
        </w:rPr>
        <w:t>Alternative</w:t>
      </w:r>
      <w:r w:rsidR="006B38A3">
        <w:rPr>
          <w:lang w:bidi="ar-SA"/>
        </w:rPr>
        <w:t>s</w:t>
      </w:r>
      <w:r>
        <w:rPr>
          <w:lang w:bidi="ar-SA"/>
        </w:rPr>
        <w:t xml:space="preserve"> </w:t>
      </w:r>
      <w:r w:rsidR="00492BE0">
        <w:rPr>
          <w:lang w:bidi="ar-SA"/>
        </w:rPr>
        <w:t>technologiques</w:t>
      </w:r>
      <w:bookmarkEnd w:id="202"/>
    </w:p>
    <w:p w14:paraId="4553D444" w14:textId="77777777" w:rsidR="00B507D7" w:rsidRDefault="00B507D7" w:rsidP="008637EF">
      <w:pPr>
        <w:sectPr w:rsidR="00B507D7" w:rsidSect="004637C7">
          <w:pgSz w:w="11906" w:h="16838"/>
          <w:pgMar w:top="1701" w:right="1417" w:bottom="1276" w:left="1417" w:header="680" w:footer="680" w:gutter="0"/>
          <w:cols w:space="708"/>
          <w:docGrid w:linePitch="360"/>
        </w:sectPr>
      </w:pPr>
    </w:p>
    <w:p w14:paraId="3533E5E6" w14:textId="114A43AE" w:rsidR="00A6211D" w:rsidRDefault="00A6211D" w:rsidP="00D60FC9">
      <w:pPr>
        <w:pStyle w:val="Lgende"/>
        <w:keepNext/>
      </w:pPr>
      <w:bookmarkStart w:id="203" w:name="_Toc213404348"/>
      <w:r>
        <w:lastRenderedPageBreak/>
        <w:t xml:space="preserve">Tableau </w:t>
      </w:r>
      <w:r>
        <w:fldChar w:fldCharType="begin"/>
      </w:r>
      <w:r>
        <w:instrText xml:space="preserve"> SEQ Tableau \* ARABIC </w:instrText>
      </w:r>
      <w:r>
        <w:fldChar w:fldCharType="separate"/>
      </w:r>
      <w:r w:rsidR="00274E71">
        <w:rPr>
          <w:noProof/>
        </w:rPr>
        <w:t>25</w:t>
      </w:r>
      <w:r>
        <w:fldChar w:fldCharType="end"/>
      </w:r>
      <w:r>
        <w:rPr>
          <w:lang w:val="fr-FR"/>
        </w:rPr>
        <w:t xml:space="preserve"> : Analyse des alternatives </w:t>
      </w:r>
      <w:r w:rsidR="00045E00">
        <w:rPr>
          <w:lang w:val="fr-FR"/>
        </w:rPr>
        <w:t>technologiques</w:t>
      </w:r>
      <w:bookmarkEnd w:id="203"/>
    </w:p>
    <w:tbl>
      <w:tblPr>
        <w:tblStyle w:val="TableauGrille1Clair-Accentuation111"/>
        <w:tblW w:w="14732" w:type="dxa"/>
        <w:tblLook w:val="04A0" w:firstRow="1" w:lastRow="0" w:firstColumn="1" w:lastColumn="0" w:noHBand="0" w:noVBand="1"/>
      </w:tblPr>
      <w:tblGrid>
        <w:gridCol w:w="3043"/>
        <w:gridCol w:w="2889"/>
        <w:gridCol w:w="3497"/>
        <w:gridCol w:w="5303"/>
      </w:tblGrid>
      <w:tr w:rsidR="00A6211D" w:rsidRPr="00A6211D" w14:paraId="6CC83F46" w14:textId="77777777" w:rsidTr="00D60FC9">
        <w:trPr>
          <w:cnfStyle w:val="100000000000" w:firstRow="1" w:lastRow="0" w:firstColumn="0" w:lastColumn="0" w:oddVBand="0" w:evenVBand="0" w:oddHBand="0" w:evenHBand="0" w:firstRowFirstColumn="0" w:firstRowLastColumn="0" w:lastRowFirstColumn="0" w:lastRowLastColumn="0"/>
          <w:trHeight w:val="457"/>
          <w:tblHeader/>
        </w:trPr>
        <w:tc>
          <w:tcPr>
            <w:cnfStyle w:val="001000000000" w:firstRow="0" w:lastRow="0" w:firstColumn="1" w:lastColumn="0" w:oddVBand="0" w:evenVBand="0" w:oddHBand="0" w:evenHBand="0" w:firstRowFirstColumn="0" w:firstRowLastColumn="0" w:lastRowFirstColumn="0" w:lastRowLastColumn="0"/>
            <w:tcW w:w="3043" w:type="dxa"/>
            <w:hideMark/>
          </w:tcPr>
          <w:p w14:paraId="38DD47BD" w14:textId="77777777" w:rsidR="00A6211D" w:rsidRPr="00A6211D" w:rsidRDefault="00A6211D" w:rsidP="00A6211D">
            <w:r w:rsidRPr="00A6211D">
              <w:t>Composantes</w:t>
            </w:r>
          </w:p>
        </w:tc>
        <w:tc>
          <w:tcPr>
            <w:tcW w:w="2889" w:type="dxa"/>
            <w:hideMark/>
          </w:tcPr>
          <w:p w14:paraId="1C15F6D4" w14:textId="77777777" w:rsidR="00A6211D" w:rsidRPr="00A6211D" w:rsidRDefault="00A6211D" w:rsidP="00A6211D">
            <w:pPr>
              <w:cnfStyle w:val="100000000000" w:firstRow="1" w:lastRow="0" w:firstColumn="0" w:lastColumn="0" w:oddVBand="0" w:evenVBand="0" w:oddHBand="0" w:evenHBand="0" w:firstRowFirstColumn="0" w:firstRowLastColumn="0" w:lastRowFirstColumn="0" w:lastRowLastColumn="0"/>
            </w:pPr>
            <w:r w:rsidRPr="00A6211D">
              <w:t>Descriptif des variantes techniques retenues</w:t>
            </w:r>
          </w:p>
        </w:tc>
        <w:tc>
          <w:tcPr>
            <w:tcW w:w="3497" w:type="dxa"/>
            <w:hideMark/>
          </w:tcPr>
          <w:p w14:paraId="11AADC57" w14:textId="77777777" w:rsidR="00A6211D" w:rsidRPr="00A6211D" w:rsidRDefault="00A6211D" w:rsidP="00A6211D">
            <w:pPr>
              <w:cnfStyle w:val="100000000000" w:firstRow="1" w:lastRow="0" w:firstColumn="0" w:lastColumn="0" w:oddVBand="0" w:evenVBand="0" w:oddHBand="0" w:evenHBand="0" w:firstRowFirstColumn="0" w:firstRowLastColumn="0" w:lastRowFirstColumn="0" w:lastRowLastColumn="0"/>
            </w:pPr>
            <w:r w:rsidRPr="00A6211D">
              <w:t>Descriptif des autres variantes non retenues</w:t>
            </w:r>
          </w:p>
        </w:tc>
        <w:tc>
          <w:tcPr>
            <w:tcW w:w="5303" w:type="dxa"/>
            <w:hideMark/>
          </w:tcPr>
          <w:p w14:paraId="62D3A75B" w14:textId="77777777" w:rsidR="00A6211D" w:rsidRPr="00A6211D" w:rsidRDefault="00A6211D" w:rsidP="00A6211D">
            <w:pPr>
              <w:cnfStyle w:val="100000000000" w:firstRow="1" w:lastRow="0" w:firstColumn="0" w:lastColumn="0" w:oddVBand="0" w:evenVBand="0" w:oddHBand="0" w:evenHBand="0" w:firstRowFirstColumn="0" w:firstRowLastColumn="0" w:lastRowFirstColumn="0" w:lastRowLastColumn="0"/>
            </w:pPr>
            <w:r w:rsidRPr="00A6211D">
              <w:t>Motif de rejet</w:t>
            </w:r>
          </w:p>
        </w:tc>
      </w:tr>
      <w:tr w:rsidR="00A6211D" w:rsidRPr="00A6211D" w14:paraId="6F259DEF" w14:textId="77777777" w:rsidTr="00D60FC9">
        <w:trPr>
          <w:trHeight w:val="605"/>
        </w:trPr>
        <w:tc>
          <w:tcPr>
            <w:cnfStyle w:val="001000000000" w:firstRow="0" w:lastRow="0" w:firstColumn="1" w:lastColumn="0" w:oddVBand="0" w:evenVBand="0" w:oddHBand="0" w:evenHBand="0" w:firstRowFirstColumn="0" w:firstRowLastColumn="0" w:lastRowFirstColumn="0" w:lastRowLastColumn="0"/>
            <w:tcW w:w="3043" w:type="dxa"/>
            <w:hideMark/>
          </w:tcPr>
          <w:p w14:paraId="59304BE0" w14:textId="77777777" w:rsidR="00A6211D" w:rsidRPr="00A6211D" w:rsidRDefault="00A6211D" w:rsidP="00A6211D">
            <w:r w:rsidRPr="00A6211D">
              <w:t>Parkings avions</w:t>
            </w:r>
          </w:p>
        </w:tc>
        <w:tc>
          <w:tcPr>
            <w:tcW w:w="2889" w:type="dxa"/>
            <w:hideMark/>
          </w:tcPr>
          <w:p w14:paraId="04DB321A" w14:textId="1C1342D6" w:rsidR="00A6211D" w:rsidRPr="00A6211D" w:rsidRDefault="00A6211D" w:rsidP="00A6211D">
            <w:pPr>
              <w:cnfStyle w:val="000000000000" w:firstRow="0" w:lastRow="0" w:firstColumn="0" w:lastColumn="0" w:oddVBand="0" w:evenVBand="0" w:oddHBand="0" w:evenHBand="0" w:firstRowFirstColumn="0" w:firstRowLastColumn="0" w:lastRowFirstColumn="0" w:lastRowLastColumn="0"/>
            </w:pPr>
            <w:r w:rsidRPr="00A6211D">
              <w:t> </w:t>
            </w:r>
            <w:r w:rsidRPr="00A6211D">
              <w:rPr>
                <w:b/>
                <w:bCs/>
              </w:rPr>
              <w:t>Variante 1 :</w:t>
            </w:r>
            <w:r w:rsidRPr="00A6211D">
              <w:t xml:space="preserve"> Réalisation des parkings avion par des chaussées rigides</w:t>
            </w:r>
          </w:p>
        </w:tc>
        <w:tc>
          <w:tcPr>
            <w:tcW w:w="3497" w:type="dxa"/>
            <w:hideMark/>
          </w:tcPr>
          <w:p w14:paraId="681DBA61" w14:textId="77777777" w:rsidR="00A6211D" w:rsidRPr="00A6211D" w:rsidRDefault="00A6211D" w:rsidP="00A6211D">
            <w:pPr>
              <w:cnfStyle w:val="000000000000" w:firstRow="0" w:lastRow="0" w:firstColumn="0" w:lastColumn="0" w:oddVBand="0" w:evenVBand="0" w:oddHBand="0" w:evenHBand="0" w:firstRowFirstColumn="0" w:firstRowLastColumn="0" w:lastRowFirstColumn="0" w:lastRowLastColumn="0"/>
            </w:pPr>
            <w:r w:rsidRPr="00A6211D">
              <w:t> </w:t>
            </w:r>
            <w:r w:rsidRPr="00A6211D">
              <w:rPr>
                <w:b/>
                <w:bCs/>
              </w:rPr>
              <w:t>Variante 2 :</w:t>
            </w:r>
            <w:r w:rsidRPr="00A6211D">
              <w:t xml:space="preserve"> Réalisation des parkings avion par des chaussées souples</w:t>
            </w:r>
          </w:p>
          <w:p w14:paraId="5783F826" w14:textId="77777777" w:rsidR="00A6211D" w:rsidRPr="00A6211D" w:rsidRDefault="00A6211D" w:rsidP="00A6211D">
            <w:pPr>
              <w:cnfStyle w:val="000000000000" w:firstRow="0" w:lastRow="0" w:firstColumn="0" w:lastColumn="0" w:oddVBand="0" w:evenVBand="0" w:oddHBand="0" w:evenHBand="0" w:firstRowFirstColumn="0" w:firstRowLastColumn="0" w:lastRowFirstColumn="0" w:lastRowLastColumn="0"/>
            </w:pPr>
            <w:r w:rsidRPr="00A6211D">
              <w:rPr>
                <w:b/>
                <w:bCs/>
              </w:rPr>
              <w:t>Cette variante 2</w:t>
            </w:r>
            <w:r w:rsidRPr="00A6211D">
              <w:t xml:space="preserve"> est non retenue.</w:t>
            </w:r>
          </w:p>
        </w:tc>
        <w:tc>
          <w:tcPr>
            <w:tcW w:w="5303" w:type="dxa"/>
            <w:hideMark/>
          </w:tcPr>
          <w:p w14:paraId="7CD3ACA2" w14:textId="77777777" w:rsidR="00A6211D" w:rsidRPr="00A6211D" w:rsidRDefault="00A6211D" w:rsidP="00A6211D">
            <w:pPr>
              <w:cnfStyle w:val="000000000000" w:firstRow="0" w:lastRow="0" w:firstColumn="0" w:lastColumn="0" w:oddVBand="0" w:evenVBand="0" w:oddHBand="0" w:evenHBand="0" w:firstRowFirstColumn="0" w:firstRowLastColumn="0" w:lastRowFirstColumn="0" w:lastRowLastColumn="0"/>
            </w:pPr>
            <w:r w:rsidRPr="00A6211D">
              <w:t xml:space="preserve"> La variante 2 est rejeté pour les motifs suivants : </w:t>
            </w:r>
          </w:p>
          <w:p w14:paraId="5F92B318" w14:textId="77777777" w:rsidR="00A6211D" w:rsidRPr="00A6211D" w:rsidRDefault="00A6211D" w:rsidP="0001633E">
            <w:pPr>
              <w:numPr>
                <w:ilvl w:val="0"/>
                <w:numId w:val="174"/>
              </w:numPr>
              <w:cnfStyle w:val="000000000000" w:firstRow="0" w:lastRow="0" w:firstColumn="0" w:lastColumn="0" w:oddVBand="0" w:evenVBand="0" w:oddHBand="0" w:evenHBand="0" w:firstRowFirstColumn="0" w:firstRowLastColumn="0" w:lastRowFirstColumn="0" w:lastRowLastColumn="0"/>
            </w:pPr>
            <w:r w:rsidRPr="00A6211D">
              <w:t>Durée de vie Plus courte généralement moins de 10 ans par contre la chaussée dure dépasse 20 ans</w:t>
            </w:r>
          </w:p>
          <w:p w14:paraId="19ED7D75" w14:textId="77777777" w:rsidR="00A6211D" w:rsidRPr="00A6211D" w:rsidRDefault="00A6211D" w:rsidP="0001633E">
            <w:pPr>
              <w:numPr>
                <w:ilvl w:val="0"/>
                <w:numId w:val="174"/>
              </w:numPr>
              <w:cnfStyle w:val="000000000000" w:firstRow="0" w:lastRow="0" w:firstColumn="0" w:lastColumn="0" w:oddVBand="0" w:evenVBand="0" w:oddHBand="0" w:evenHBand="0" w:firstRowFirstColumn="0" w:firstRowLastColumn="0" w:lastRowFirstColumn="0" w:lastRowLastColumn="0"/>
            </w:pPr>
            <w:r w:rsidRPr="00A6211D">
              <w:t>Maintenance : Entretien fréquent voir très fréquent (Reprofilage, rebouchage, resurfaçage)</w:t>
            </w:r>
          </w:p>
          <w:p w14:paraId="46F2ADE5" w14:textId="77777777" w:rsidR="00A6211D" w:rsidRPr="00A6211D" w:rsidRDefault="00A6211D" w:rsidP="0001633E">
            <w:pPr>
              <w:numPr>
                <w:ilvl w:val="0"/>
                <w:numId w:val="174"/>
              </w:numPr>
              <w:cnfStyle w:val="000000000000" w:firstRow="0" w:lastRow="0" w:firstColumn="0" w:lastColumn="0" w:oddVBand="0" w:evenVBand="0" w:oddHBand="0" w:evenHBand="0" w:firstRowFirstColumn="0" w:firstRowLastColumn="0" w:lastRowFirstColumn="0" w:lastRowLastColumn="0"/>
            </w:pPr>
            <w:r w:rsidRPr="00A6211D">
              <w:t>Déformations : Sensible aux orniérages et à la température</w:t>
            </w:r>
          </w:p>
          <w:p w14:paraId="67061377" w14:textId="77777777" w:rsidR="00A6211D" w:rsidRPr="00A6211D" w:rsidRDefault="00A6211D" w:rsidP="0001633E">
            <w:pPr>
              <w:numPr>
                <w:ilvl w:val="0"/>
                <w:numId w:val="174"/>
              </w:numPr>
              <w:cnfStyle w:val="000000000000" w:firstRow="0" w:lastRow="0" w:firstColumn="0" w:lastColumn="0" w:oddVBand="0" w:evenVBand="0" w:oddHBand="0" w:evenHBand="0" w:firstRowFirstColumn="0" w:firstRowLastColumn="0" w:lastRowFirstColumn="0" w:lastRowLastColumn="0"/>
            </w:pPr>
            <w:r w:rsidRPr="00A6211D">
              <w:t>Sensibilité au climat : Ramollissement à la chaleur, fissures au froid</w:t>
            </w:r>
          </w:p>
        </w:tc>
      </w:tr>
      <w:tr w:rsidR="00CB287C" w:rsidRPr="00A6211D" w14:paraId="025E14FE" w14:textId="77777777" w:rsidTr="00CB287C">
        <w:trPr>
          <w:trHeight w:val="605"/>
        </w:trPr>
        <w:tc>
          <w:tcPr>
            <w:cnfStyle w:val="001000000000" w:firstRow="0" w:lastRow="0" w:firstColumn="1" w:lastColumn="0" w:oddVBand="0" w:evenVBand="0" w:oddHBand="0" w:evenHBand="0" w:firstRowFirstColumn="0" w:firstRowLastColumn="0" w:lastRowFirstColumn="0" w:lastRowLastColumn="0"/>
            <w:tcW w:w="3043" w:type="dxa"/>
          </w:tcPr>
          <w:p w14:paraId="0808EAA5" w14:textId="589F77AF" w:rsidR="00CB287C" w:rsidRPr="00A6211D" w:rsidRDefault="00CB287C" w:rsidP="00CB287C">
            <w:pPr>
              <w:jc w:val="left"/>
            </w:pPr>
            <w:r w:rsidRPr="00CB287C">
              <w:t>Taxiway et voie de circulation</w:t>
            </w:r>
          </w:p>
        </w:tc>
        <w:tc>
          <w:tcPr>
            <w:tcW w:w="2889" w:type="dxa"/>
            <w:vAlign w:val="center"/>
          </w:tcPr>
          <w:p w14:paraId="78BF4AD0" w14:textId="77777777" w:rsidR="00CB287C" w:rsidRPr="00CB287C" w:rsidRDefault="00CB287C" w:rsidP="00CB287C">
            <w:pPr>
              <w:cnfStyle w:val="000000000000" w:firstRow="0" w:lastRow="0" w:firstColumn="0" w:lastColumn="0" w:oddVBand="0" w:evenVBand="0" w:oddHBand="0" w:evenHBand="0" w:firstRowFirstColumn="0" w:firstRowLastColumn="0" w:lastRowFirstColumn="0" w:lastRowLastColumn="0"/>
            </w:pPr>
            <w:r w:rsidRPr="00CB287C">
              <w:t>Variante 1 : Réalisation des parkings avion par des chaussées souples</w:t>
            </w:r>
          </w:p>
          <w:p w14:paraId="5DA61063" w14:textId="77777777" w:rsidR="00CB287C" w:rsidRPr="00CB287C" w:rsidRDefault="00CB287C" w:rsidP="00CB287C">
            <w:pPr>
              <w:cnfStyle w:val="000000000000" w:firstRow="0" w:lastRow="0" w:firstColumn="0" w:lastColumn="0" w:oddVBand="0" w:evenVBand="0" w:oddHBand="0" w:evenHBand="0" w:firstRowFirstColumn="0" w:firstRowLastColumn="0" w:lastRowFirstColumn="0" w:lastRowLastColumn="0"/>
            </w:pPr>
            <w:r w:rsidRPr="00CB287C">
              <w:t>(Les taxiways sont moins sollicités aux pressions locales étendues, donc il n’y a pas de risque de déformation de la chaussée souple)</w:t>
            </w:r>
          </w:p>
          <w:p w14:paraId="591E7CD4" w14:textId="77777777" w:rsidR="00CB287C" w:rsidRPr="00A6211D" w:rsidRDefault="00CB287C" w:rsidP="00CB287C">
            <w:pPr>
              <w:cnfStyle w:val="000000000000" w:firstRow="0" w:lastRow="0" w:firstColumn="0" w:lastColumn="0" w:oddVBand="0" w:evenVBand="0" w:oddHBand="0" w:evenHBand="0" w:firstRowFirstColumn="0" w:firstRowLastColumn="0" w:lastRowFirstColumn="0" w:lastRowLastColumn="0"/>
            </w:pPr>
          </w:p>
        </w:tc>
        <w:tc>
          <w:tcPr>
            <w:tcW w:w="3497" w:type="dxa"/>
            <w:vAlign w:val="center"/>
          </w:tcPr>
          <w:p w14:paraId="46CF8580" w14:textId="77777777" w:rsidR="00CB287C" w:rsidRPr="00CB287C" w:rsidRDefault="00CB287C" w:rsidP="00CB287C">
            <w:pPr>
              <w:cnfStyle w:val="000000000000" w:firstRow="0" w:lastRow="0" w:firstColumn="0" w:lastColumn="0" w:oddVBand="0" w:evenVBand="0" w:oddHBand="0" w:evenHBand="0" w:firstRowFirstColumn="0" w:firstRowLastColumn="0" w:lastRowFirstColumn="0" w:lastRowLastColumn="0"/>
            </w:pPr>
            <w:r w:rsidRPr="00CB287C">
              <w:t>Variante 2 : Réalisation des parkings avion par des chaussées rigides</w:t>
            </w:r>
          </w:p>
          <w:p w14:paraId="01A7B666" w14:textId="224149AE" w:rsidR="00CB287C" w:rsidRPr="00A6211D" w:rsidRDefault="00CB287C" w:rsidP="00CB287C">
            <w:pPr>
              <w:cnfStyle w:val="000000000000" w:firstRow="0" w:lastRow="0" w:firstColumn="0" w:lastColumn="0" w:oddVBand="0" w:evenVBand="0" w:oddHBand="0" w:evenHBand="0" w:firstRowFirstColumn="0" w:firstRowLastColumn="0" w:lastRowFirstColumn="0" w:lastRowLastColumn="0"/>
            </w:pPr>
            <w:r w:rsidRPr="00CB287C">
              <w:t>Cette variante 2 est non retenue</w:t>
            </w:r>
          </w:p>
        </w:tc>
        <w:tc>
          <w:tcPr>
            <w:tcW w:w="5303" w:type="dxa"/>
            <w:vAlign w:val="center"/>
          </w:tcPr>
          <w:p w14:paraId="3DB46B4F" w14:textId="77777777" w:rsidR="00CB287C" w:rsidRPr="00CB287C" w:rsidRDefault="00CB287C" w:rsidP="00CB287C">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rPr>
            </w:pPr>
            <w:r w:rsidRPr="00CB287C">
              <w:rPr>
                <w:rFonts w:asciiTheme="minorHAnsi" w:hAnsiTheme="minorHAnsi" w:cstheme="minorHAnsi"/>
                <w:szCs w:val="20"/>
                <w:lang w:eastAsia="fr-FR"/>
              </w:rPr>
              <w:t xml:space="preserve">La variante 2 est rejeté pour les motifs suivants : </w:t>
            </w:r>
          </w:p>
          <w:p w14:paraId="4D857A09" w14:textId="77777777" w:rsidR="00CB287C" w:rsidRPr="00CB287C" w:rsidRDefault="00CB287C" w:rsidP="0001633E">
            <w:pPr>
              <w:pStyle w:val="Paragraphedeliste"/>
              <w:numPr>
                <w:ilvl w:val="0"/>
                <w:numId w:val="174"/>
              </w:num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rPr>
            </w:pPr>
            <w:r w:rsidRPr="00CB287C">
              <w:rPr>
                <w:rFonts w:asciiTheme="minorHAnsi" w:hAnsiTheme="minorHAnsi" w:cstheme="minorHAnsi"/>
                <w:szCs w:val="20"/>
                <w:lang w:eastAsia="fr-FR"/>
              </w:rPr>
              <w:t>Coût très élevé</w:t>
            </w:r>
          </w:p>
          <w:p w14:paraId="14A777ED" w14:textId="77777777" w:rsidR="00CB287C" w:rsidRPr="00CB287C" w:rsidRDefault="00CB287C" w:rsidP="0001633E">
            <w:pPr>
              <w:pStyle w:val="Paragraphedeliste"/>
              <w:numPr>
                <w:ilvl w:val="0"/>
                <w:numId w:val="174"/>
              </w:num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rPr>
            </w:pPr>
            <w:r w:rsidRPr="00CB287C">
              <w:rPr>
                <w:rFonts w:asciiTheme="minorHAnsi" w:hAnsiTheme="minorHAnsi" w:cstheme="minorHAnsi"/>
                <w:szCs w:val="20"/>
                <w:lang w:eastAsia="fr-FR"/>
              </w:rPr>
              <w:t>Mise en œuvre : Nécessite une main d'œuvre spécialisée</w:t>
            </w:r>
          </w:p>
          <w:p w14:paraId="77B06B9A" w14:textId="77777777" w:rsidR="00CB287C" w:rsidRPr="00CB287C" w:rsidRDefault="00CB287C" w:rsidP="0001633E">
            <w:pPr>
              <w:pStyle w:val="Paragraphedeliste"/>
              <w:numPr>
                <w:ilvl w:val="0"/>
                <w:numId w:val="174"/>
              </w:num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rPr>
            </w:pPr>
            <w:r w:rsidRPr="00CB287C">
              <w:rPr>
                <w:rFonts w:asciiTheme="minorHAnsi" w:hAnsiTheme="minorHAnsi" w:cstheme="minorHAnsi"/>
                <w:szCs w:val="20"/>
                <w:lang w:eastAsia="fr-FR"/>
              </w:rPr>
              <w:t>Confort de roulement : Moins confortable, plus bruyante. Taxiway et voie de circulation sont destinés principalement au roulement des avions donc on doit choisir la chaussée la plus adéquate pour le roulement qui est la chaussée souple.</w:t>
            </w:r>
          </w:p>
          <w:p w14:paraId="461CEF1A" w14:textId="77777777" w:rsidR="00CB287C" w:rsidRPr="00CB287C" w:rsidRDefault="00CB287C" w:rsidP="0001633E">
            <w:pPr>
              <w:pStyle w:val="Paragraphedeliste"/>
              <w:numPr>
                <w:ilvl w:val="0"/>
                <w:numId w:val="174"/>
              </w:num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rPr>
            </w:pPr>
            <w:r w:rsidRPr="00CB287C">
              <w:rPr>
                <w:rFonts w:asciiTheme="minorHAnsi" w:hAnsiTheme="minorHAnsi" w:cstheme="minorHAnsi"/>
                <w:szCs w:val="20"/>
                <w:lang w:eastAsia="fr-FR"/>
              </w:rPr>
              <w:t>Temps de mise en service : Lent (temps de cure du béton)</w:t>
            </w:r>
          </w:p>
          <w:p w14:paraId="1A0D1151" w14:textId="5F0D9189" w:rsidR="00CB287C" w:rsidRPr="00CB287C" w:rsidRDefault="00CB287C" w:rsidP="00CB287C">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CB287C">
              <w:rPr>
                <w:rFonts w:asciiTheme="minorHAnsi" w:hAnsiTheme="minorHAnsi" w:cstheme="minorHAnsi"/>
                <w:szCs w:val="20"/>
                <w:lang w:eastAsia="fr-FR"/>
              </w:rPr>
              <w:t>Les taxiways sont moins sollicités aux pressions locales étendues, donc il n’y a pas de risque de déformation de la chaussée souple</w:t>
            </w:r>
          </w:p>
        </w:tc>
      </w:tr>
      <w:tr w:rsidR="00A6211D" w:rsidRPr="00A6211D" w14:paraId="3FEC20BE" w14:textId="77777777" w:rsidTr="00D60FC9">
        <w:trPr>
          <w:trHeight w:val="833"/>
        </w:trPr>
        <w:tc>
          <w:tcPr>
            <w:cnfStyle w:val="001000000000" w:firstRow="0" w:lastRow="0" w:firstColumn="1" w:lastColumn="0" w:oddVBand="0" w:evenVBand="0" w:oddHBand="0" w:evenHBand="0" w:firstRowFirstColumn="0" w:firstRowLastColumn="0" w:lastRowFirstColumn="0" w:lastRowLastColumn="0"/>
            <w:tcW w:w="3043" w:type="dxa"/>
            <w:hideMark/>
          </w:tcPr>
          <w:p w14:paraId="1128D4A3" w14:textId="77777777" w:rsidR="00A6211D" w:rsidRPr="00A6211D" w:rsidRDefault="00A6211D" w:rsidP="00A6211D">
            <w:r w:rsidRPr="00A6211D">
              <w:lastRenderedPageBreak/>
              <w:t>Alimentation électrique de l’éclairage des parkings et du balisage lumineux</w:t>
            </w:r>
          </w:p>
        </w:tc>
        <w:tc>
          <w:tcPr>
            <w:tcW w:w="2889" w:type="dxa"/>
            <w:hideMark/>
          </w:tcPr>
          <w:p w14:paraId="424CFF1D" w14:textId="2E76F1E7" w:rsidR="00A6211D" w:rsidRPr="00A6211D" w:rsidRDefault="00A6211D" w:rsidP="00A6211D">
            <w:pPr>
              <w:cnfStyle w:val="000000000000" w:firstRow="0" w:lastRow="0" w:firstColumn="0" w:lastColumn="0" w:oddVBand="0" w:evenVBand="0" w:oddHBand="0" w:evenHBand="0" w:firstRowFirstColumn="0" w:firstRowLastColumn="0" w:lastRowFirstColumn="0" w:lastRowLastColumn="0"/>
            </w:pPr>
            <w:r w:rsidRPr="00A6211D">
              <w:t> </w:t>
            </w:r>
            <w:r w:rsidRPr="00A6211D">
              <w:rPr>
                <w:b/>
                <w:bCs/>
              </w:rPr>
              <w:t>Variante 1 :</w:t>
            </w:r>
            <w:r w:rsidRPr="00A6211D">
              <w:t xml:space="preserve"> Alimentation électrique à partir du réseau électrique de l’aéroport</w:t>
            </w:r>
          </w:p>
        </w:tc>
        <w:tc>
          <w:tcPr>
            <w:tcW w:w="3497" w:type="dxa"/>
            <w:hideMark/>
          </w:tcPr>
          <w:p w14:paraId="1EE3D108" w14:textId="77777777" w:rsidR="00A6211D" w:rsidRPr="00A6211D" w:rsidRDefault="00A6211D" w:rsidP="00A6211D">
            <w:pPr>
              <w:cnfStyle w:val="000000000000" w:firstRow="0" w:lastRow="0" w:firstColumn="0" w:lastColumn="0" w:oddVBand="0" w:evenVBand="0" w:oddHBand="0" w:evenHBand="0" w:firstRowFirstColumn="0" w:firstRowLastColumn="0" w:lastRowFirstColumn="0" w:lastRowLastColumn="0"/>
            </w:pPr>
            <w:r w:rsidRPr="00A6211D">
              <w:rPr>
                <w:b/>
                <w:bCs/>
              </w:rPr>
              <w:t>Variante 2 :</w:t>
            </w:r>
            <w:r w:rsidRPr="00A6211D">
              <w:t xml:space="preserve"> Alimentation électrique à partir de panneaux photovoltaïques (Solaires) </w:t>
            </w:r>
          </w:p>
          <w:p w14:paraId="24D6DD0D" w14:textId="77777777" w:rsidR="00A6211D" w:rsidRPr="00A6211D" w:rsidRDefault="00A6211D" w:rsidP="00A6211D">
            <w:pPr>
              <w:cnfStyle w:val="000000000000" w:firstRow="0" w:lastRow="0" w:firstColumn="0" w:lastColumn="0" w:oddVBand="0" w:evenVBand="0" w:oddHBand="0" w:evenHBand="0" w:firstRowFirstColumn="0" w:firstRowLastColumn="0" w:lastRowFirstColumn="0" w:lastRowLastColumn="0"/>
            </w:pPr>
            <w:r w:rsidRPr="00A6211D">
              <w:rPr>
                <w:b/>
                <w:bCs/>
              </w:rPr>
              <w:t>Cette variante 2</w:t>
            </w:r>
            <w:r w:rsidRPr="00A6211D">
              <w:t xml:space="preserve"> est non retenue. Elle consiste à l’installation un nombre de panneaux photovoltaïques qui nécessitent un espace de pose et nécessite également l’installation d’un nouveau réseau électrique. </w:t>
            </w:r>
          </w:p>
          <w:p w14:paraId="61EAF797" w14:textId="77777777" w:rsidR="00A6211D" w:rsidRPr="00A6211D" w:rsidRDefault="00A6211D" w:rsidP="00A6211D">
            <w:pPr>
              <w:cnfStyle w:val="000000000000" w:firstRow="0" w:lastRow="0" w:firstColumn="0" w:lastColumn="0" w:oddVBand="0" w:evenVBand="0" w:oddHBand="0" w:evenHBand="0" w:firstRowFirstColumn="0" w:firstRowLastColumn="0" w:lastRowFirstColumn="0" w:lastRowLastColumn="0"/>
            </w:pPr>
            <w:r w:rsidRPr="00A6211D">
              <w:t>Aussi, l’éclairage et le balisage lumineux fonctionne uniquement la nuit et les panneaux photovoltaïques ne fonctionnent que le jour, donc on doit installer des accumulateurs d’énergie (des batteries) qui se charge le jour par les panneaux et débitent de l’énergie électrique durant la nuit.</w:t>
            </w:r>
          </w:p>
        </w:tc>
        <w:tc>
          <w:tcPr>
            <w:tcW w:w="5303" w:type="dxa"/>
            <w:hideMark/>
          </w:tcPr>
          <w:p w14:paraId="0E293AB8" w14:textId="77777777" w:rsidR="00A6211D" w:rsidRPr="00A6211D" w:rsidRDefault="00A6211D" w:rsidP="00A6211D">
            <w:pPr>
              <w:cnfStyle w:val="000000000000" w:firstRow="0" w:lastRow="0" w:firstColumn="0" w:lastColumn="0" w:oddVBand="0" w:evenVBand="0" w:oddHBand="0" w:evenHBand="0" w:firstRowFirstColumn="0" w:firstRowLastColumn="0" w:lastRowFirstColumn="0" w:lastRowLastColumn="0"/>
            </w:pPr>
            <w:r w:rsidRPr="00A6211D">
              <w:t xml:space="preserve"> La variante 2 est rejeté pour les motifs suivants : </w:t>
            </w:r>
          </w:p>
          <w:p w14:paraId="5EBE56AB" w14:textId="77777777" w:rsidR="00A6211D" w:rsidRPr="00A6211D" w:rsidRDefault="00A6211D" w:rsidP="0001633E">
            <w:pPr>
              <w:numPr>
                <w:ilvl w:val="0"/>
                <w:numId w:val="175"/>
              </w:numPr>
              <w:cnfStyle w:val="000000000000" w:firstRow="0" w:lastRow="0" w:firstColumn="0" w:lastColumn="0" w:oddVBand="0" w:evenVBand="0" w:oddHBand="0" w:evenHBand="0" w:firstRowFirstColumn="0" w:firstRowLastColumn="0" w:lastRowFirstColumn="0" w:lastRowLastColumn="0"/>
            </w:pPr>
            <w:r w:rsidRPr="00A6211D">
              <w:t>Les panneaux photovoltaïques nécessitent un espace de pose ce qui va engendrer l’obligation d’expropriation des terrains supplémentaires et par suite un impact social important</w:t>
            </w:r>
          </w:p>
          <w:p w14:paraId="470FD64E" w14:textId="77777777" w:rsidR="00A6211D" w:rsidRPr="00A6211D" w:rsidRDefault="00A6211D" w:rsidP="0001633E">
            <w:pPr>
              <w:numPr>
                <w:ilvl w:val="0"/>
                <w:numId w:val="175"/>
              </w:numPr>
              <w:cnfStyle w:val="000000000000" w:firstRow="0" w:lastRow="0" w:firstColumn="0" w:lastColumn="0" w:oddVBand="0" w:evenVBand="0" w:oddHBand="0" w:evenHBand="0" w:firstRowFirstColumn="0" w:firstRowLastColumn="0" w:lastRowFirstColumn="0" w:lastRowLastColumn="0"/>
            </w:pPr>
            <w:r w:rsidRPr="00A6211D">
              <w:t>Un cout supplémentaire important pour l’installation d’un nouveau réseau électrique reliant les panneaux photovoltaïques et le réseau électrique existant</w:t>
            </w:r>
          </w:p>
          <w:p w14:paraId="459D55A9" w14:textId="77777777" w:rsidR="00A6211D" w:rsidRPr="00A6211D" w:rsidRDefault="00A6211D" w:rsidP="0001633E">
            <w:pPr>
              <w:numPr>
                <w:ilvl w:val="0"/>
                <w:numId w:val="175"/>
              </w:numPr>
              <w:cnfStyle w:val="000000000000" w:firstRow="0" w:lastRow="0" w:firstColumn="0" w:lastColumn="0" w:oddVBand="0" w:evenVBand="0" w:oddHBand="0" w:evenHBand="0" w:firstRowFirstColumn="0" w:firstRowLastColumn="0" w:lastRowFirstColumn="0" w:lastRowLastColumn="0"/>
            </w:pPr>
            <w:r w:rsidRPr="00A6211D">
              <w:t>L’installation des accumulateurs d’énergie (les batteries) nécessite une maintenance accrue et un changement périodique desdits batteries. Ces batteries sont fabriquées par des matières nuisibles pour l’environnement. De ce fait, ces batteries ont un impact sur la maintenance, continuité de service et sur l’environnement.</w:t>
            </w:r>
          </w:p>
        </w:tc>
      </w:tr>
    </w:tbl>
    <w:p w14:paraId="3BBC175D" w14:textId="77777777" w:rsidR="00045E00" w:rsidRDefault="00045E00" w:rsidP="008637EF">
      <w:pPr>
        <w:sectPr w:rsidR="00045E00" w:rsidSect="00B507D7">
          <w:pgSz w:w="16838" w:h="11906" w:orient="landscape"/>
          <w:pgMar w:top="1417" w:right="1701" w:bottom="1417" w:left="1276" w:header="680" w:footer="680" w:gutter="0"/>
          <w:cols w:space="708"/>
          <w:docGrid w:linePitch="360"/>
        </w:sectPr>
      </w:pPr>
    </w:p>
    <w:p w14:paraId="05BFF5F5" w14:textId="55ECE7F6" w:rsidR="00B507D7" w:rsidRDefault="00386E92" w:rsidP="00D60FC9">
      <w:pPr>
        <w:pStyle w:val="Title3"/>
      </w:pPr>
      <w:bookmarkStart w:id="204" w:name="_Toc215131823"/>
      <w:r w:rsidRPr="00386E92">
        <w:lastRenderedPageBreak/>
        <w:t>Alternative technologique – Intégration de l’efficacité énergétique</w:t>
      </w:r>
      <w:bookmarkEnd w:id="204"/>
    </w:p>
    <w:p w14:paraId="4F78F39D" w14:textId="77777777" w:rsidR="00386E92" w:rsidRPr="00386E92" w:rsidRDefault="00386E92" w:rsidP="00386E92">
      <w:r w:rsidRPr="00386E92">
        <w:t>L’</w:t>
      </w:r>
      <w:r w:rsidRPr="00D60FC9">
        <w:t>efficacité énergétique</w:t>
      </w:r>
      <w:r w:rsidRPr="00386E92">
        <w:t xml:space="preserve"> constitue un critère essentiel pris en compte lors de la </w:t>
      </w:r>
      <w:r w:rsidRPr="00D60FC9">
        <w:t>sélection et de la conception des équipements</w:t>
      </w:r>
      <w:r w:rsidRPr="00386E92">
        <w:t xml:space="preserve"> du projet. Toutefois, elle n’est pas considérée isolément : la démarche d’acquisition repose sur une </w:t>
      </w:r>
      <w:r w:rsidRPr="00D60FC9">
        <w:t>analyse multicritère</w:t>
      </w:r>
      <w:r w:rsidRPr="00386E92">
        <w:t xml:space="preserve"> intégrant les exigences techniques, économiques, environnementales et réglementaires.</w:t>
      </w:r>
    </w:p>
    <w:p w14:paraId="6E26BDAD" w14:textId="77777777" w:rsidR="00386E92" w:rsidRPr="00386E92" w:rsidRDefault="00386E92" w:rsidP="00386E92">
      <w:r w:rsidRPr="00386E92">
        <w:t xml:space="preserve">La </w:t>
      </w:r>
      <w:r w:rsidRPr="00D60FC9">
        <w:t>sélection des équipements</w:t>
      </w:r>
      <w:r w:rsidRPr="00386E92">
        <w:t xml:space="preserve"> s’appuiera sur les critères suivants :</w:t>
      </w:r>
    </w:p>
    <w:p w14:paraId="5F478869" w14:textId="77777777" w:rsidR="00386E92" w:rsidRPr="00386E92" w:rsidRDefault="00386E92" w:rsidP="0001633E">
      <w:pPr>
        <w:numPr>
          <w:ilvl w:val="0"/>
          <w:numId w:val="176"/>
        </w:numPr>
      </w:pPr>
      <w:r w:rsidRPr="00D60FC9">
        <w:t>Performance énergétique</w:t>
      </w:r>
      <w:r w:rsidRPr="00386E92">
        <w:t>, visant à réduire la consommation d’électricité et les émissions indirectes de gaz à effet de serre ;</w:t>
      </w:r>
    </w:p>
    <w:p w14:paraId="56491A01" w14:textId="77777777" w:rsidR="00386E92" w:rsidRPr="00386E92" w:rsidRDefault="00386E92" w:rsidP="0001633E">
      <w:pPr>
        <w:numPr>
          <w:ilvl w:val="0"/>
          <w:numId w:val="176"/>
        </w:numPr>
      </w:pPr>
      <w:r w:rsidRPr="00D60FC9">
        <w:t>Disponibilité et fiabilité</w:t>
      </w:r>
      <w:r w:rsidRPr="00386E92">
        <w:t xml:space="preserve"> des systèmes, garantissant la continuité du service aéroportuaire ;</w:t>
      </w:r>
    </w:p>
    <w:p w14:paraId="4D778DDA" w14:textId="77777777" w:rsidR="00386E92" w:rsidRPr="00386E92" w:rsidRDefault="00386E92" w:rsidP="0001633E">
      <w:pPr>
        <w:numPr>
          <w:ilvl w:val="0"/>
          <w:numId w:val="176"/>
        </w:numPr>
      </w:pPr>
      <w:r w:rsidRPr="00D60FC9">
        <w:t>Sécurité et conformité réglementaire</w:t>
      </w:r>
      <w:r w:rsidRPr="00386E92">
        <w:t>, en lien avec les normes nationales et internationales applicables aux installations aéroportuaires ;</w:t>
      </w:r>
    </w:p>
    <w:p w14:paraId="7E89B6D6" w14:textId="77777777" w:rsidR="00386E92" w:rsidRPr="00386E92" w:rsidRDefault="00386E92" w:rsidP="0001633E">
      <w:pPr>
        <w:numPr>
          <w:ilvl w:val="0"/>
          <w:numId w:val="176"/>
        </w:numPr>
      </w:pPr>
      <w:r w:rsidRPr="00D60FC9">
        <w:t>Durabilité et maintenance réduite</w:t>
      </w:r>
      <w:r w:rsidRPr="00386E92">
        <w:t>, limitant les coûts de cycle de vie et les interventions techniques ;</w:t>
      </w:r>
    </w:p>
    <w:p w14:paraId="04383D5C" w14:textId="77777777" w:rsidR="00386E92" w:rsidRPr="00386E92" w:rsidRDefault="00386E92" w:rsidP="0001633E">
      <w:pPr>
        <w:numPr>
          <w:ilvl w:val="0"/>
          <w:numId w:val="176"/>
        </w:numPr>
      </w:pPr>
      <w:r w:rsidRPr="00D60FC9">
        <w:t>Performance opérationnelle</w:t>
      </w:r>
      <w:r w:rsidRPr="00386E92">
        <w:t>, assurant une efficacité maximale dans les conditions d’exploitation locales.</w:t>
      </w:r>
    </w:p>
    <w:p w14:paraId="59E192D6" w14:textId="77777777" w:rsidR="00386E92" w:rsidRDefault="00386E92" w:rsidP="00386E92">
      <w:r w:rsidRPr="00386E92">
        <w:t xml:space="preserve">Ainsi, l’efficacité énergétique sera intégrée comme </w:t>
      </w:r>
      <w:r w:rsidRPr="00D60FC9">
        <w:t>élément clé de la performance globale</w:t>
      </w:r>
      <w:r w:rsidRPr="00386E92">
        <w:t xml:space="preserve"> des équipements, en cohérence avec les objectifs de </w:t>
      </w:r>
      <w:r w:rsidRPr="00D60FC9">
        <w:t>durabilité environnementale</w:t>
      </w:r>
      <w:r w:rsidRPr="00386E92">
        <w:t xml:space="preserve"> et les exigences de la </w:t>
      </w:r>
      <w:r w:rsidRPr="00D60FC9">
        <w:t>BAD en matière d’utilisation rationnelle des ressources</w:t>
      </w:r>
      <w:r w:rsidRPr="00386E92">
        <w:t xml:space="preserve"> (</w:t>
      </w:r>
      <w:r>
        <w:t>SO</w:t>
      </w:r>
      <w:r w:rsidRPr="00386E92">
        <w:t xml:space="preserve"> n°3 – Efficacité des ressources et prévention de la pollution).</w:t>
      </w:r>
    </w:p>
    <w:p w14:paraId="7C96B195" w14:textId="155786F8" w:rsidR="00386E92" w:rsidRPr="00386E92" w:rsidRDefault="00386E92" w:rsidP="00386E92">
      <w:r w:rsidRPr="00386E92">
        <w:t xml:space="preserve">Cette approche garantira que le choix des équipements optimise à la fois les </w:t>
      </w:r>
      <w:r w:rsidRPr="00D60FC9">
        <w:t>bénéfices environnementaux</w:t>
      </w:r>
      <w:r w:rsidRPr="00386E92">
        <w:t xml:space="preserve"> et la </w:t>
      </w:r>
      <w:r w:rsidRPr="00D60FC9">
        <w:t>performance opérationnelle</w:t>
      </w:r>
      <w:r w:rsidRPr="00386E92">
        <w:t xml:space="preserve"> de l’aéroport.</w:t>
      </w:r>
    </w:p>
    <w:p w14:paraId="00E865A2" w14:textId="77777777" w:rsidR="00386E92" w:rsidRDefault="00386E92" w:rsidP="00386E92">
      <w:pPr>
        <w:pStyle w:val="Title3"/>
      </w:pPr>
      <w:bookmarkStart w:id="205" w:name="_Toc215131824"/>
      <w:r>
        <w:t>Analyse E&amp;S des alternatives technologiques</w:t>
      </w:r>
      <w:bookmarkEnd w:id="205"/>
    </w:p>
    <w:p w14:paraId="6946D6C0" w14:textId="77777777" w:rsidR="00115653" w:rsidRPr="00115653" w:rsidRDefault="00115653" w:rsidP="00115653">
      <w:r w:rsidRPr="00115653">
        <w:t xml:space="preserve">L’évaluation des variantes techniques ne se limite pas aux aspects d’ingénierie ou de coût ; elle intègre également une analyse des </w:t>
      </w:r>
      <w:r w:rsidRPr="00D60FC9">
        <w:t>implications environnementales et sociales</w:t>
      </w:r>
      <w:r w:rsidRPr="00115653">
        <w:t xml:space="preserve">, conformément aux </w:t>
      </w:r>
      <w:r w:rsidRPr="00D60FC9">
        <w:t>exigences du SSI) de la BAD</w:t>
      </w:r>
      <w:r w:rsidRPr="00115653">
        <w:t>.</w:t>
      </w:r>
    </w:p>
    <w:p w14:paraId="2144E039" w14:textId="67C0C4B2" w:rsidR="00115653" w:rsidRPr="00115653" w:rsidRDefault="00115653" w:rsidP="00D60FC9">
      <w:r w:rsidRPr="00115653">
        <w:t>Cette analyse vise à comparer, pour chaque composante technique, les effets potentiels sur l’environnement et les populations, afin de retenir les options les plus durables, sûres et compatibles avec les objectifs de performance environnementale et sociale du projet.</w:t>
      </w:r>
    </w:p>
    <w:p w14:paraId="69AA73A8" w14:textId="77777777" w:rsidR="00115653" w:rsidRDefault="00115653" w:rsidP="00D60FC9"/>
    <w:p w14:paraId="3454BD65" w14:textId="77777777" w:rsidR="00115653" w:rsidRDefault="00115653" w:rsidP="00D60FC9">
      <w:pPr>
        <w:pStyle w:val="Title1"/>
        <w:numPr>
          <w:ilvl w:val="0"/>
          <w:numId w:val="0"/>
        </w:numPr>
        <w:ind w:left="360" w:hanging="360"/>
        <w:rPr>
          <w:bCs w:val="0"/>
        </w:rPr>
        <w:sectPr w:rsidR="00115653" w:rsidSect="00045E00">
          <w:pgSz w:w="11906" w:h="16838"/>
          <w:pgMar w:top="1701" w:right="1417" w:bottom="1276" w:left="1417" w:header="680" w:footer="680" w:gutter="0"/>
          <w:cols w:space="708"/>
          <w:docGrid w:linePitch="360"/>
        </w:sectPr>
      </w:pPr>
    </w:p>
    <w:p w14:paraId="3354942A" w14:textId="1B20A864" w:rsidR="00386E92" w:rsidRDefault="00115653" w:rsidP="00D60FC9">
      <w:pPr>
        <w:pStyle w:val="Lgende"/>
      </w:pPr>
      <w:bookmarkStart w:id="206" w:name="_Toc213404349"/>
      <w:r>
        <w:lastRenderedPageBreak/>
        <w:t xml:space="preserve">Tableau </w:t>
      </w:r>
      <w:r>
        <w:fldChar w:fldCharType="begin"/>
      </w:r>
      <w:r>
        <w:instrText xml:space="preserve"> SEQ Tableau \* ARABIC </w:instrText>
      </w:r>
      <w:r>
        <w:fldChar w:fldCharType="separate"/>
      </w:r>
      <w:r w:rsidR="00274E71">
        <w:rPr>
          <w:noProof/>
        </w:rPr>
        <w:t>26</w:t>
      </w:r>
      <w:r>
        <w:fldChar w:fldCharType="end"/>
      </w:r>
      <w:r>
        <w:rPr>
          <w:lang w:val="fr-FR"/>
        </w:rPr>
        <w:t xml:space="preserve"> : </w:t>
      </w:r>
      <w:r w:rsidRPr="003C7C9D">
        <w:rPr>
          <w:lang w:val="fr-FR"/>
        </w:rPr>
        <w:t>Analyse environnementale et sociale des variantes tech</w:t>
      </w:r>
      <w:r>
        <w:rPr>
          <w:lang w:val="fr-FR"/>
        </w:rPr>
        <w:t>nologiques</w:t>
      </w:r>
      <w:bookmarkEnd w:id="206"/>
    </w:p>
    <w:tbl>
      <w:tblPr>
        <w:tblStyle w:val="TableauGrille1Clair-Accentuation111"/>
        <w:tblW w:w="0" w:type="auto"/>
        <w:tblLook w:val="04A0" w:firstRow="1" w:lastRow="0" w:firstColumn="1" w:lastColumn="0" w:noHBand="0" w:noVBand="1"/>
      </w:tblPr>
      <w:tblGrid>
        <w:gridCol w:w="2454"/>
        <w:gridCol w:w="2866"/>
        <w:gridCol w:w="999"/>
        <w:gridCol w:w="4328"/>
        <w:gridCol w:w="3204"/>
      </w:tblGrid>
      <w:tr w:rsidR="000249F4" w:rsidRPr="00386E92" w14:paraId="5C963AB1" w14:textId="77777777" w:rsidTr="00D60FC9">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0" w:type="auto"/>
            <w:hideMark/>
          </w:tcPr>
          <w:p w14:paraId="575BE24C" w14:textId="77777777" w:rsidR="000249F4" w:rsidRPr="00386E92" w:rsidRDefault="000249F4" w:rsidP="00386E92">
            <w:r w:rsidRPr="00386E92">
              <w:t>Composante</w:t>
            </w:r>
          </w:p>
        </w:tc>
        <w:tc>
          <w:tcPr>
            <w:tcW w:w="0" w:type="auto"/>
            <w:hideMark/>
          </w:tcPr>
          <w:p w14:paraId="7B0568AE" w14:textId="77777777" w:rsidR="000249F4" w:rsidRPr="00386E92" w:rsidRDefault="000249F4" w:rsidP="00386E92">
            <w:pPr>
              <w:cnfStyle w:val="100000000000" w:firstRow="1" w:lastRow="0" w:firstColumn="0" w:lastColumn="0" w:oddVBand="0" w:evenVBand="0" w:oddHBand="0" w:evenHBand="0" w:firstRowFirstColumn="0" w:firstRowLastColumn="0" w:lastRowFirstColumn="0" w:lastRowLastColumn="0"/>
            </w:pPr>
            <w:r w:rsidRPr="00386E92">
              <w:t>Variante étudiée</w:t>
            </w:r>
          </w:p>
        </w:tc>
        <w:tc>
          <w:tcPr>
            <w:tcW w:w="0" w:type="auto"/>
            <w:hideMark/>
          </w:tcPr>
          <w:p w14:paraId="198DCAB5" w14:textId="77777777" w:rsidR="000249F4" w:rsidRPr="00386E92" w:rsidRDefault="000249F4" w:rsidP="00386E92">
            <w:pPr>
              <w:cnfStyle w:val="100000000000" w:firstRow="1" w:lastRow="0" w:firstColumn="0" w:lastColumn="0" w:oddVBand="0" w:evenVBand="0" w:oddHBand="0" w:evenHBand="0" w:firstRowFirstColumn="0" w:firstRowLastColumn="0" w:lastRowFirstColumn="0" w:lastRowLastColumn="0"/>
            </w:pPr>
            <w:r w:rsidRPr="00386E92">
              <w:t>Statut</w:t>
            </w:r>
          </w:p>
        </w:tc>
        <w:tc>
          <w:tcPr>
            <w:tcW w:w="0" w:type="auto"/>
            <w:hideMark/>
          </w:tcPr>
          <w:p w14:paraId="6FA64004" w14:textId="77777777" w:rsidR="000249F4" w:rsidRPr="00386E92" w:rsidRDefault="000249F4" w:rsidP="00386E92">
            <w:pPr>
              <w:cnfStyle w:val="100000000000" w:firstRow="1" w:lastRow="0" w:firstColumn="0" w:lastColumn="0" w:oddVBand="0" w:evenVBand="0" w:oddHBand="0" w:evenHBand="0" w:firstRowFirstColumn="0" w:firstRowLastColumn="0" w:lastRowFirstColumn="0" w:lastRowLastColumn="0"/>
            </w:pPr>
            <w:r w:rsidRPr="00386E92">
              <w:t>Analyse environnementale</w:t>
            </w:r>
          </w:p>
        </w:tc>
        <w:tc>
          <w:tcPr>
            <w:tcW w:w="0" w:type="auto"/>
            <w:hideMark/>
          </w:tcPr>
          <w:p w14:paraId="57F2D77B" w14:textId="77777777" w:rsidR="000249F4" w:rsidRPr="00386E92" w:rsidRDefault="000249F4" w:rsidP="00386E92">
            <w:pPr>
              <w:cnfStyle w:val="100000000000" w:firstRow="1" w:lastRow="0" w:firstColumn="0" w:lastColumn="0" w:oddVBand="0" w:evenVBand="0" w:oddHBand="0" w:evenHBand="0" w:firstRowFirstColumn="0" w:firstRowLastColumn="0" w:lastRowFirstColumn="0" w:lastRowLastColumn="0"/>
            </w:pPr>
            <w:r w:rsidRPr="00386E92">
              <w:t>Analyse sociale</w:t>
            </w:r>
          </w:p>
        </w:tc>
      </w:tr>
      <w:tr w:rsidR="000249F4" w:rsidRPr="00386E92" w14:paraId="71F9FD83" w14:textId="77777777" w:rsidTr="005A7661">
        <w:tc>
          <w:tcPr>
            <w:cnfStyle w:val="001000000000" w:firstRow="0" w:lastRow="0" w:firstColumn="1" w:lastColumn="0" w:oddVBand="0" w:evenVBand="0" w:oddHBand="0" w:evenHBand="0" w:firstRowFirstColumn="0" w:firstRowLastColumn="0" w:lastRowFirstColumn="0" w:lastRowLastColumn="0"/>
            <w:tcW w:w="0" w:type="auto"/>
            <w:vMerge w:val="restart"/>
            <w:hideMark/>
          </w:tcPr>
          <w:p w14:paraId="0A5679C9" w14:textId="77777777" w:rsidR="000249F4" w:rsidRPr="00386E92" w:rsidRDefault="000249F4" w:rsidP="00386E92">
            <w:r w:rsidRPr="00386E92">
              <w:t>Parkings avions</w:t>
            </w:r>
          </w:p>
        </w:tc>
        <w:tc>
          <w:tcPr>
            <w:tcW w:w="0" w:type="auto"/>
            <w:hideMark/>
          </w:tcPr>
          <w:p w14:paraId="328AD38F" w14:textId="77777777" w:rsidR="000249F4" w:rsidRPr="00386E92" w:rsidRDefault="000249F4" w:rsidP="00386E92">
            <w:pPr>
              <w:cnfStyle w:val="000000000000" w:firstRow="0" w:lastRow="0" w:firstColumn="0" w:lastColumn="0" w:oddVBand="0" w:evenVBand="0" w:oddHBand="0" w:evenHBand="0" w:firstRowFirstColumn="0" w:firstRowLastColumn="0" w:lastRowFirstColumn="0" w:lastRowLastColumn="0"/>
            </w:pPr>
            <w:r w:rsidRPr="00386E92">
              <w:rPr>
                <w:b/>
                <w:bCs/>
              </w:rPr>
              <w:t>Variante 1 : Chaussée rigide (béton)</w:t>
            </w:r>
          </w:p>
        </w:tc>
        <w:tc>
          <w:tcPr>
            <w:tcW w:w="0" w:type="auto"/>
            <w:hideMark/>
          </w:tcPr>
          <w:p w14:paraId="12E2EFFD" w14:textId="77777777" w:rsidR="000249F4" w:rsidRPr="00386E92" w:rsidRDefault="000249F4" w:rsidP="00386E92">
            <w:pPr>
              <w:cnfStyle w:val="000000000000" w:firstRow="0" w:lastRow="0" w:firstColumn="0" w:lastColumn="0" w:oddVBand="0" w:evenVBand="0" w:oddHBand="0" w:evenHBand="0" w:firstRowFirstColumn="0" w:firstRowLastColumn="0" w:lastRowFirstColumn="0" w:lastRowLastColumn="0"/>
            </w:pPr>
            <w:r w:rsidRPr="00386E92">
              <w:t>Retenue</w:t>
            </w:r>
          </w:p>
        </w:tc>
        <w:tc>
          <w:tcPr>
            <w:tcW w:w="0" w:type="auto"/>
            <w:hideMark/>
          </w:tcPr>
          <w:p w14:paraId="225671B7" w14:textId="77777777" w:rsidR="000249F4" w:rsidRDefault="000249F4" w:rsidP="00386E92">
            <w:pPr>
              <w:cnfStyle w:val="000000000000" w:firstRow="0" w:lastRow="0" w:firstColumn="0" w:lastColumn="0" w:oddVBand="0" w:evenVBand="0" w:oddHBand="0" w:evenHBand="0" w:firstRowFirstColumn="0" w:firstRowLastColumn="0" w:lastRowFirstColumn="0" w:lastRowLastColumn="0"/>
            </w:pPr>
            <w:r w:rsidRPr="00386E92">
              <w:t xml:space="preserve">- Durée de vie longue (&gt;20 ans) limitant la fréquence des travaux d’entretien. </w:t>
            </w:r>
          </w:p>
          <w:p w14:paraId="25658AD2" w14:textId="77777777" w:rsidR="000249F4" w:rsidRDefault="000249F4" w:rsidP="00386E92">
            <w:pPr>
              <w:cnfStyle w:val="000000000000" w:firstRow="0" w:lastRow="0" w:firstColumn="0" w:lastColumn="0" w:oddVBand="0" w:evenVBand="0" w:oddHBand="0" w:evenHBand="0" w:firstRowFirstColumn="0" w:firstRowLastColumn="0" w:lastRowFirstColumn="0" w:lastRowLastColumn="0"/>
            </w:pPr>
            <w:r w:rsidRPr="00386E92">
              <w:t xml:space="preserve">- Réduction des émissions atmosphériques et des déchets liés aux opérations de resurfaçage. </w:t>
            </w:r>
          </w:p>
          <w:p w14:paraId="271D8AFD" w14:textId="1C23D315" w:rsidR="000249F4" w:rsidRPr="00386E92" w:rsidRDefault="000249F4" w:rsidP="00386E92">
            <w:pPr>
              <w:cnfStyle w:val="000000000000" w:firstRow="0" w:lastRow="0" w:firstColumn="0" w:lastColumn="0" w:oddVBand="0" w:evenVBand="0" w:oddHBand="0" w:evenHBand="0" w:firstRowFirstColumn="0" w:firstRowLastColumn="0" w:lastRowFirstColumn="0" w:lastRowLastColumn="0"/>
            </w:pPr>
            <w:r w:rsidRPr="00386E92">
              <w:t>- Consommation moindre de bitume et d’hydrocarbures.</w:t>
            </w:r>
          </w:p>
        </w:tc>
        <w:tc>
          <w:tcPr>
            <w:tcW w:w="0" w:type="auto"/>
            <w:hideMark/>
          </w:tcPr>
          <w:p w14:paraId="20B30279" w14:textId="77777777" w:rsidR="000249F4" w:rsidRDefault="000249F4" w:rsidP="00386E92">
            <w:pPr>
              <w:cnfStyle w:val="000000000000" w:firstRow="0" w:lastRow="0" w:firstColumn="0" w:lastColumn="0" w:oddVBand="0" w:evenVBand="0" w:oddHBand="0" w:evenHBand="0" w:firstRowFirstColumn="0" w:firstRowLastColumn="0" w:lastRowFirstColumn="0" w:lastRowLastColumn="0"/>
            </w:pPr>
            <w:r w:rsidRPr="00386E92">
              <w:t xml:space="preserve">- Moins de perturbations pour le trafic aérien et les travailleurs pendant l’exploitation. </w:t>
            </w:r>
          </w:p>
          <w:p w14:paraId="3369C9BA" w14:textId="225136E0" w:rsidR="000249F4" w:rsidRPr="00386E92" w:rsidRDefault="000249F4" w:rsidP="00386E92">
            <w:pPr>
              <w:cnfStyle w:val="000000000000" w:firstRow="0" w:lastRow="0" w:firstColumn="0" w:lastColumn="0" w:oddVBand="0" w:evenVBand="0" w:oddHBand="0" w:evenHBand="0" w:firstRowFirstColumn="0" w:firstRowLastColumn="0" w:lastRowFirstColumn="0" w:lastRowLastColumn="0"/>
            </w:pPr>
            <w:r w:rsidRPr="00386E92">
              <w:t>- Réduction des nuisances sonores et poussières liées aux opérations d’entretien répétées.</w:t>
            </w:r>
          </w:p>
        </w:tc>
      </w:tr>
      <w:tr w:rsidR="000249F4" w:rsidRPr="00386E92" w14:paraId="78DBCCAE" w14:textId="77777777" w:rsidTr="005A7661">
        <w:tc>
          <w:tcPr>
            <w:cnfStyle w:val="001000000000" w:firstRow="0" w:lastRow="0" w:firstColumn="1" w:lastColumn="0" w:oddVBand="0" w:evenVBand="0" w:oddHBand="0" w:evenHBand="0" w:firstRowFirstColumn="0" w:firstRowLastColumn="0" w:lastRowFirstColumn="0" w:lastRowLastColumn="0"/>
            <w:tcW w:w="0" w:type="auto"/>
            <w:vMerge/>
            <w:hideMark/>
          </w:tcPr>
          <w:p w14:paraId="1E7F8C98" w14:textId="77777777" w:rsidR="000249F4" w:rsidRPr="00386E92" w:rsidRDefault="000249F4" w:rsidP="00386E92"/>
        </w:tc>
        <w:tc>
          <w:tcPr>
            <w:tcW w:w="0" w:type="auto"/>
            <w:hideMark/>
          </w:tcPr>
          <w:p w14:paraId="1E415C64" w14:textId="77777777" w:rsidR="000249F4" w:rsidRPr="00386E92" w:rsidRDefault="000249F4" w:rsidP="00386E92">
            <w:pPr>
              <w:cnfStyle w:val="000000000000" w:firstRow="0" w:lastRow="0" w:firstColumn="0" w:lastColumn="0" w:oddVBand="0" w:evenVBand="0" w:oddHBand="0" w:evenHBand="0" w:firstRowFirstColumn="0" w:firstRowLastColumn="0" w:lastRowFirstColumn="0" w:lastRowLastColumn="0"/>
            </w:pPr>
            <w:r w:rsidRPr="00386E92">
              <w:rPr>
                <w:b/>
                <w:bCs/>
              </w:rPr>
              <w:t>Variante 2 : Chaussée souple (bitumineuse)</w:t>
            </w:r>
          </w:p>
        </w:tc>
        <w:tc>
          <w:tcPr>
            <w:tcW w:w="0" w:type="auto"/>
            <w:hideMark/>
          </w:tcPr>
          <w:p w14:paraId="4C823282" w14:textId="77777777" w:rsidR="000249F4" w:rsidRPr="00386E92" w:rsidRDefault="000249F4" w:rsidP="00386E92">
            <w:pPr>
              <w:cnfStyle w:val="000000000000" w:firstRow="0" w:lastRow="0" w:firstColumn="0" w:lastColumn="0" w:oddVBand="0" w:evenVBand="0" w:oddHBand="0" w:evenHBand="0" w:firstRowFirstColumn="0" w:firstRowLastColumn="0" w:lastRowFirstColumn="0" w:lastRowLastColumn="0"/>
            </w:pPr>
            <w:r w:rsidRPr="00386E92">
              <w:t>Non retenue</w:t>
            </w:r>
          </w:p>
        </w:tc>
        <w:tc>
          <w:tcPr>
            <w:tcW w:w="0" w:type="auto"/>
            <w:hideMark/>
          </w:tcPr>
          <w:p w14:paraId="3300F37B" w14:textId="77777777" w:rsidR="000249F4" w:rsidRDefault="000249F4" w:rsidP="00386E92">
            <w:pPr>
              <w:cnfStyle w:val="000000000000" w:firstRow="0" w:lastRow="0" w:firstColumn="0" w:lastColumn="0" w:oddVBand="0" w:evenVBand="0" w:oddHBand="0" w:evenHBand="0" w:firstRowFirstColumn="0" w:firstRowLastColumn="0" w:lastRowFirstColumn="0" w:lastRowLastColumn="0"/>
            </w:pPr>
            <w:r w:rsidRPr="00386E92">
              <w:t>- Durée de vie plus courte (&lt;10 ans) nécessitant un entretien fréquent.</w:t>
            </w:r>
          </w:p>
          <w:p w14:paraId="521A3DF1" w14:textId="77777777" w:rsidR="000249F4" w:rsidRDefault="000249F4" w:rsidP="00386E92">
            <w:pPr>
              <w:cnfStyle w:val="000000000000" w:firstRow="0" w:lastRow="0" w:firstColumn="0" w:lastColumn="0" w:oddVBand="0" w:evenVBand="0" w:oddHBand="0" w:evenHBand="0" w:firstRowFirstColumn="0" w:firstRowLastColumn="0" w:lastRowFirstColumn="0" w:lastRowLastColumn="0"/>
            </w:pPr>
            <w:r w:rsidRPr="00386E92">
              <w:t xml:space="preserve">- Augmentation des émissions de GES et production de déchets de fraisage. </w:t>
            </w:r>
          </w:p>
          <w:p w14:paraId="39D87853" w14:textId="19E3C571" w:rsidR="000249F4" w:rsidRPr="00386E92" w:rsidRDefault="000249F4" w:rsidP="00386E92">
            <w:pPr>
              <w:cnfStyle w:val="000000000000" w:firstRow="0" w:lastRow="0" w:firstColumn="0" w:lastColumn="0" w:oddVBand="0" w:evenVBand="0" w:oddHBand="0" w:evenHBand="0" w:firstRowFirstColumn="0" w:firstRowLastColumn="0" w:lastRowFirstColumn="0" w:lastRowLastColumn="0"/>
            </w:pPr>
            <w:r w:rsidRPr="00386E92">
              <w:t>- Risque de pollution accidentelle lié à l’usage d’hydrocarbures.</w:t>
            </w:r>
          </w:p>
        </w:tc>
        <w:tc>
          <w:tcPr>
            <w:tcW w:w="0" w:type="auto"/>
            <w:hideMark/>
          </w:tcPr>
          <w:p w14:paraId="22315C98" w14:textId="77777777" w:rsidR="000249F4" w:rsidRDefault="000249F4" w:rsidP="00386E92">
            <w:pPr>
              <w:cnfStyle w:val="000000000000" w:firstRow="0" w:lastRow="0" w:firstColumn="0" w:lastColumn="0" w:oddVBand="0" w:evenVBand="0" w:oddHBand="0" w:evenHBand="0" w:firstRowFirstColumn="0" w:firstRowLastColumn="0" w:lastRowFirstColumn="0" w:lastRowLastColumn="0"/>
            </w:pPr>
            <w:r w:rsidRPr="00386E92">
              <w:t xml:space="preserve">- Perturbations récurrentes des activités aéroportuaires lors des entretiens. </w:t>
            </w:r>
          </w:p>
          <w:p w14:paraId="408CCC7D" w14:textId="05622BA7" w:rsidR="000249F4" w:rsidRPr="00386E92" w:rsidRDefault="000249F4" w:rsidP="00386E92">
            <w:pPr>
              <w:cnfStyle w:val="000000000000" w:firstRow="0" w:lastRow="0" w:firstColumn="0" w:lastColumn="0" w:oddVBand="0" w:evenVBand="0" w:oddHBand="0" w:evenHBand="0" w:firstRowFirstColumn="0" w:firstRowLastColumn="0" w:lastRowFirstColumn="0" w:lastRowLastColumn="0"/>
            </w:pPr>
            <w:r w:rsidRPr="00386E92">
              <w:t>- Risques accrus pour la santé et la sécurité des travailleurs.</w:t>
            </w:r>
          </w:p>
        </w:tc>
      </w:tr>
      <w:tr w:rsidR="00E86D62" w:rsidRPr="00386E92" w14:paraId="481EF309" w14:textId="77777777" w:rsidTr="005A7661">
        <w:tc>
          <w:tcPr>
            <w:cnfStyle w:val="001000000000" w:firstRow="0" w:lastRow="0" w:firstColumn="1" w:lastColumn="0" w:oddVBand="0" w:evenVBand="0" w:oddHBand="0" w:evenHBand="0" w:firstRowFirstColumn="0" w:firstRowLastColumn="0" w:lastRowFirstColumn="0" w:lastRowLastColumn="0"/>
            <w:tcW w:w="0" w:type="auto"/>
            <w:vMerge w:val="restart"/>
          </w:tcPr>
          <w:p w14:paraId="34C3E924" w14:textId="3EAA34A5" w:rsidR="00E86D62" w:rsidRPr="00386E92" w:rsidRDefault="00E86D62" w:rsidP="00E86D62">
            <w:r>
              <w:t>Taxiway et voies de circulation</w:t>
            </w:r>
          </w:p>
        </w:tc>
        <w:tc>
          <w:tcPr>
            <w:tcW w:w="0" w:type="auto"/>
          </w:tcPr>
          <w:p w14:paraId="5AD3EBEF" w14:textId="62DD6249" w:rsidR="00E86D62" w:rsidRPr="00386E92" w:rsidRDefault="00E86D62" w:rsidP="00E86D62">
            <w:pPr>
              <w:cnfStyle w:val="000000000000" w:firstRow="0" w:lastRow="0" w:firstColumn="0" w:lastColumn="0" w:oddVBand="0" w:evenVBand="0" w:oddHBand="0" w:evenHBand="0" w:firstRowFirstColumn="0" w:firstRowLastColumn="0" w:lastRowFirstColumn="0" w:lastRowLastColumn="0"/>
              <w:rPr>
                <w:b/>
                <w:bCs/>
              </w:rPr>
            </w:pPr>
            <w:r>
              <w:rPr>
                <w:b/>
                <w:bCs/>
              </w:rPr>
              <w:t>Variante 1 : Chaussée souple</w:t>
            </w:r>
          </w:p>
        </w:tc>
        <w:tc>
          <w:tcPr>
            <w:tcW w:w="0" w:type="auto"/>
          </w:tcPr>
          <w:p w14:paraId="0F0F1235" w14:textId="391C7D86" w:rsidR="00E86D62" w:rsidRPr="00386E92" w:rsidRDefault="00E86D62" w:rsidP="00E86D62">
            <w:pPr>
              <w:cnfStyle w:val="000000000000" w:firstRow="0" w:lastRow="0" w:firstColumn="0" w:lastColumn="0" w:oddVBand="0" w:evenVBand="0" w:oddHBand="0" w:evenHBand="0" w:firstRowFirstColumn="0" w:firstRowLastColumn="0" w:lastRowFirstColumn="0" w:lastRowLastColumn="0"/>
            </w:pPr>
            <w:r>
              <w:t>Retenue</w:t>
            </w:r>
          </w:p>
        </w:tc>
        <w:tc>
          <w:tcPr>
            <w:tcW w:w="0" w:type="auto"/>
          </w:tcPr>
          <w:p w14:paraId="503A41B0" w14:textId="48EE586D" w:rsidR="00E86D62" w:rsidRPr="00386E92" w:rsidRDefault="00E86D62" w:rsidP="00E86D62">
            <w:pPr>
              <w:cnfStyle w:val="000000000000" w:firstRow="0" w:lastRow="0" w:firstColumn="0" w:lastColumn="0" w:oddVBand="0" w:evenVBand="0" w:oddHBand="0" w:evenHBand="0" w:firstRowFirstColumn="0" w:firstRowLastColumn="0" w:lastRowFirstColumn="0" w:lastRowLastColumn="0"/>
            </w:pPr>
            <w:r w:rsidRPr="0034644E">
              <w:t>Les taxiways sont moins sollicités aux pressions locales étendues, donc il n’y a pas de risque de déformation de la chaussée souple</w:t>
            </w:r>
            <w:r>
              <w:t>.</w:t>
            </w:r>
          </w:p>
        </w:tc>
        <w:tc>
          <w:tcPr>
            <w:tcW w:w="0" w:type="auto"/>
          </w:tcPr>
          <w:p w14:paraId="754810C6" w14:textId="77777777" w:rsidR="00E86D62" w:rsidRDefault="00E86D62" w:rsidP="00E86D62">
            <w:pPr>
              <w:cnfStyle w:val="000000000000" w:firstRow="0" w:lastRow="0" w:firstColumn="0" w:lastColumn="0" w:oddVBand="0" w:evenVBand="0" w:oddHBand="0" w:evenHBand="0" w:firstRowFirstColumn="0" w:firstRowLastColumn="0" w:lastRowFirstColumn="0" w:lastRowLastColumn="0"/>
            </w:pPr>
            <w:r w:rsidRPr="00386E92">
              <w:t xml:space="preserve">- Moins de perturbations pour le trafic aérien et les travailleurs pendant l’exploitation. </w:t>
            </w:r>
          </w:p>
          <w:p w14:paraId="65F6CCE2" w14:textId="68B87443" w:rsidR="00E86D62" w:rsidRPr="00386E92" w:rsidRDefault="00E86D62" w:rsidP="00E86D62">
            <w:pPr>
              <w:cnfStyle w:val="000000000000" w:firstRow="0" w:lastRow="0" w:firstColumn="0" w:lastColumn="0" w:oddVBand="0" w:evenVBand="0" w:oddHBand="0" w:evenHBand="0" w:firstRowFirstColumn="0" w:firstRowLastColumn="0" w:lastRowFirstColumn="0" w:lastRowLastColumn="0"/>
            </w:pPr>
            <w:r w:rsidRPr="00386E92">
              <w:t>- Réduction des nuisances sonores et poussières liées aux opérations d’entretien répétées.</w:t>
            </w:r>
          </w:p>
        </w:tc>
      </w:tr>
      <w:tr w:rsidR="00E86D62" w:rsidRPr="00386E92" w14:paraId="3A782B0D" w14:textId="77777777" w:rsidTr="005A7661">
        <w:tc>
          <w:tcPr>
            <w:cnfStyle w:val="001000000000" w:firstRow="0" w:lastRow="0" w:firstColumn="1" w:lastColumn="0" w:oddVBand="0" w:evenVBand="0" w:oddHBand="0" w:evenHBand="0" w:firstRowFirstColumn="0" w:firstRowLastColumn="0" w:lastRowFirstColumn="0" w:lastRowLastColumn="0"/>
            <w:tcW w:w="0" w:type="auto"/>
            <w:vMerge/>
          </w:tcPr>
          <w:p w14:paraId="71E20AE1" w14:textId="77777777" w:rsidR="00E86D62" w:rsidRPr="00386E92" w:rsidRDefault="00E86D62" w:rsidP="00E86D62"/>
        </w:tc>
        <w:tc>
          <w:tcPr>
            <w:tcW w:w="0" w:type="auto"/>
          </w:tcPr>
          <w:p w14:paraId="07C84244" w14:textId="00407765" w:rsidR="00E86D62" w:rsidRPr="00386E92" w:rsidRDefault="00E86D62" w:rsidP="00E86D62">
            <w:pPr>
              <w:cnfStyle w:val="000000000000" w:firstRow="0" w:lastRow="0" w:firstColumn="0" w:lastColumn="0" w:oddVBand="0" w:evenVBand="0" w:oddHBand="0" w:evenHBand="0" w:firstRowFirstColumn="0" w:firstRowLastColumn="0" w:lastRowFirstColumn="0" w:lastRowLastColumn="0"/>
              <w:rPr>
                <w:b/>
                <w:bCs/>
              </w:rPr>
            </w:pPr>
            <w:r>
              <w:rPr>
                <w:b/>
                <w:bCs/>
              </w:rPr>
              <w:t>Variante 2 : Chaussée rigide</w:t>
            </w:r>
          </w:p>
        </w:tc>
        <w:tc>
          <w:tcPr>
            <w:tcW w:w="0" w:type="auto"/>
          </w:tcPr>
          <w:p w14:paraId="28A2ED2B" w14:textId="4B0A6B0B" w:rsidR="00E86D62" w:rsidRPr="00386E92" w:rsidRDefault="00E86D62" w:rsidP="00E86D62">
            <w:pPr>
              <w:cnfStyle w:val="000000000000" w:firstRow="0" w:lastRow="0" w:firstColumn="0" w:lastColumn="0" w:oddVBand="0" w:evenVBand="0" w:oddHBand="0" w:evenHBand="0" w:firstRowFirstColumn="0" w:firstRowLastColumn="0" w:lastRowFirstColumn="0" w:lastRowLastColumn="0"/>
            </w:pPr>
            <w:r>
              <w:t>Non retenue</w:t>
            </w:r>
          </w:p>
        </w:tc>
        <w:tc>
          <w:tcPr>
            <w:tcW w:w="0" w:type="auto"/>
          </w:tcPr>
          <w:p w14:paraId="7E6D7DC8" w14:textId="1ABED0A7" w:rsidR="00E86D62" w:rsidRDefault="00E86D62" w:rsidP="00E86D62">
            <w:pPr>
              <w:cnfStyle w:val="000000000000" w:firstRow="0" w:lastRow="0" w:firstColumn="0" w:lastColumn="0" w:oddVBand="0" w:evenVBand="0" w:oddHBand="0" w:evenHBand="0" w:firstRowFirstColumn="0" w:firstRowLastColumn="0" w:lastRowFirstColumn="0" w:lastRowLastColumn="0"/>
            </w:pPr>
            <w:r>
              <w:t xml:space="preserve">- </w:t>
            </w:r>
            <w:r w:rsidRPr="00386E92">
              <w:t xml:space="preserve">Durée de vie longue (&gt;20 ans) limitant la fréquence des travaux d’entretien. </w:t>
            </w:r>
          </w:p>
          <w:p w14:paraId="497F6D8C" w14:textId="77777777" w:rsidR="00E86D62" w:rsidRDefault="00E86D62" w:rsidP="00E86D62">
            <w:pPr>
              <w:cnfStyle w:val="000000000000" w:firstRow="0" w:lastRow="0" w:firstColumn="0" w:lastColumn="0" w:oddVBand="0" w:evenVBand="0" w:oddHBand="0" w:evenHBand="0" w:firstRowFirstColumn="0" w:firstRowLastColumn="0" w:lastRowFirstColumn="0" w:lastRowLastColumn="0"/>
            </w:pPr>
            <w:r w:rsidRPr="00386E92">
              <w:t xml:space="preserve">- Réduction des émissions atmosphériques et des déchets liés aux opérations de resurfaçage. </w:t>
            </w:r>
          </w:p>
          <w:p w14:paraId="0D714285" w14:textId="389A727F" w:rsidR="00E86D62" w:rsidRPr="00386E92" w:rsidRDefault="00E86D62" w:rsidP="00E86D62">
            <w:pPr>
              <w:cnfStyle w:val="000000000000" w:firstRow="0" w:lastRow="0" w:firstColumn="0" w:lastColumn="0" w:oddVBand="0" w:evenVBand="0" w:oddHBand="0" w:evenHBand="0" w:firstRowFirstColumn="0" w:firstRowLastColumn="0" w:lastRowFirstColumn="0" w:lastRowLastColumn="0"/>
            </w:pPr>
            <w:r w:rsidRPr="00386E92">
              <w:lastRenderedPageBreak/>
              <w:t>- Consommation moindre de bitume et d’hydrocarbures.</w:t>
            </w:r>
          </w:p>
        </w:tc>
        <w:tc>
          <w:tcPr>
            <w:tcW w:w="0" w:type="auto"/>
          </w:tcPr>
          <w:p w14:paraId="075123C2" w14:textId="77777777" w:rsidR="00E86D62" w:rsidRDefault="00E86D62" w:rsidP="00E86D62">
            <w:pPr>
              <w:cnfStyle w:val="000000000000" w:firstRow="0" w:lastRow="0" w:firstColumn="0" w:lastColumn="0" w:oddVBand="0" w:evenVBand="0" w:oddHBand="0" w:evenHBand="0" w:firstRowFirstColumn="0" w:firstRowLastColumn="0" w:lastRowFirstColumn="0" w:lastRowLastColumn="0"/>
            </w:pPr>
            <w:r w:rsidRPr="00386E92">
              <w:lastRenderedPageBreak/>
              <w:t xml:space="preserve">- Perturbations récurrentes des activités aéroportuaires lors des entretiens. </w:t>
            </w:r>
          </w:p>
          <w:p w14:paraId="4D11AF20" w14:textId="4ED56ECA" w:rsidR="00E86D62" w:rsidRPr="00386E92" w:rsidRDefault="00E86D62" w:rsidP="00E86D62">
            <w:pPr>
              <w:cnfStyle w:val="000000000000" w:firstRow="0" w:lastRow="0" w:firstColumn="0" w:lastColumn="0" w:oddVBand="0" w:evenVBand="0" w:oddHBand="0" w:evenHBand="0" w:firstRowFirstColumn="0" w:firstRowLastColumn="0" w:lastRowFirstColumn="0" w:lastRowLastColumn="0"/>
            </w:pPr>
            <w:r w:rsidRPr="00386E92">
              <w:lastRenderedPageBreak/>
              <w:t>- Risques accrus pour la santé et la sécurité des travailleurs.</w:t>
            </w:r>
          </w:p>
        </w:tc>
      </w:tr>
      <w:tr w:rsidR="000249F4" w:rsidRPr="00386E92" w14:paraId="26A70479" w14:textId="77777777" w:rsidTr="005A7661">
        <w:tc>
          <w:tcPr>
            <w:cnfStyle w:val="001000000000" w:firstRow="0" w:lastRow="0" w:firstColumn="1" w:lastColumn="0" w:oddVBand="0" w:evenVBand="0" w:oddHBand="0" w:evenHBand="0" w:firstRowFirstColumn="0" w:firstRowLastColumn="0" w:lastRowFirstColumn="0" w:lastRowLastColumn="0"/>
            <w:tcW w:w="0" w:type="auto"/>
            <w:vMerge w:val="restart"/>
            <w:hideMark/>
          </w:tcPr>
          <w:p w14:paraId="23482B85" w14:textId="77777777" w:rsidR="000249F4" w:rsidRPr="00386E92" w:rsidRDefault="000249F4" w:rsidP="00386E92">
            <w:r w:rsidRPr="00386E92">
              <w:lastRenderedPageBreak/>
              <w:t>Alimentation électrique de l’éclairage et du balisage lumineux</w:t>
            </w:r>
          </w:p>
        </w:tc>
        <w:tc>
          <w:tcPr>
            <w:tcW w:w="0" w:type="auto"/>
            <w:hideMark/>
          </w:tcPr>
          <w:p w14:paraId="22BA4DFB" w14:textId="77777777" w:rsidR="000249F4" w:rsidRPr="00386E92" w:rsidRDefault="000249F4" w:rsidP="00386E92">
            <w:pPr>
              <w:cnfStyle w:val="000000000000" w:firstRow="0" w:lastRow="0" w:firstColumn="0" w:lastColumn="0" w:oddVBand="0" w:evenVBand="0" w:oddHBand="0" w:evenHBand="0" w:firstRowFirstColumn="0" w:firstRowLastColumn="0" w:lastRowFirstColumn="0" w:lastRowLastColumn="0"/>
            </w:pPr>
            <w:r w:rsidRPr="00386E92">
              <w:rPr>
                <w:b/>
                <w:bCs/>
              </w:rPr>
              <w:t>Variante 1 : Raccordement au réseau électrique de l’aéroport</w:t>
            </w:r>
          </w:p>
        </w:tc>
        <w:tc>
          <w:tcPr>
            <w:tcW w:w="0" w:type="auto"/>
            <w:hideMark/>
          </w:tcPr>
          <w:p w14:paraId="604E66A8" w14:textId="77777777" w:rsidR="000249F4" w:rsidRPr="00386E92" w:rsidRDefault="000249F4" w:rsidP="00386E92">
            <w:pPr>
              <w:cnfStyle w:val="000000000000" w:firstRow="0" w:lastRow="0" w:firstColumn="0" w:lastColumn="0" w:oddVBand="0" w:evenVBand="0" w:oddHBand="0" w:evenHBand="0" w:firstRowFirstColumn="0" w:firstRowLastColumn="0" w:lastRowFirstColumn="0" w:lastRowLastColumn="0"/>
            </w:pPr>
            <w:r w:rsidRPr="00386E92">
              <w:t>Retenue</w:t>
            </w:r>
          </w:p>
        </w:tc>
        <w:tc>
          <w:tcPr>
            <w:tcW w:w="0" w:type="auto"/>
            <w:hideMark/>
          </w:tcPr>
          <w:p w14:paraId="44BF96CB" w14:textId="77777777" w:rsidR="000249F4" w:rsidRDefault="000249F4" w:rsidP="00386E92">
            <w:pPr>
              <w:cnfStyle w:val="000000000000" w:firstRow="0" w:lastRow="0" w:firstColumn="0" w:lastColumn="0" w:oddVBand="0" w:evenVBand="0" w:oddHBand="0" w:evenHBand="0" w:firstRowFirstColumn="0" w:firstRowLastColumn="0" w:lastRowFirstColumn="0" w:lastRowLastColumn="0"/>
            </w:pPr>
            <w:r w:rsidRPr="00386E92">
              <w:t xml:space="preserve">- Aucun besoin d’emprise supplémentaire ni de stockage d’équipements polluants. </w:t>
            </w:r>
          </w:p>
          <w:p w14:paraId="6C7AB6E8" w14:textId="77777777" w:rsidR="000249F4" w:rsidRDefault="000249F4" w:rsidP="00386E92">
            <w:pPr>
              <w:cnfStyle w:val="000000000000" w:firstRow="0" w:lastRow="0" w:firstColumn="0" w:lastColumn="0" w:oddVBand="0" w:evenVBand="0" w:oddHBand="0" w:evenHBand="0" w:firstRowFirstColumn="0" w:firstRowLastColumn="0" w:lastRowFirstColumn="0" w:lastRowLastColumn="0"/>
            </w:pPr>
            <w:r w:rsidRPr="00386E92">
              <w:t xml:space="preserve">- Absence de production de déchets dangereux. </w:t>
            </w:r>
          </w:p>
          <w:p w14:paraId="3AC51805" w14:textId="5DC86940" w:rsidR="000249F4" w:rsidRPr="00386E92" w:rsidRDefault="000249F4" w:rsidP="00386E92">
            <w:pPr>
              <w:cnfStyle w:val="000000000000" w:firstRow="0" w:lastRow="0" w:firstColumn="0" w:lastColumn="0" w:oddVBand="0" w:evenVBand="0" w:oddHBand="0" w:evenHBand="0" w:firstRowFirstColumn="0" w:firstRowLastColumn="0" w:lastRowFirstColumn="0" w:lastRowLastColumn="0"/>
            </w:pPr>
            <w:r w:rsidRPr="00386E92">
              <w:t>- Intégration aisée au réseau existant et stabilité énergétique.</w:t>
            </w:r>
          </w:p>
        </w:tc>
        <w:tc>
          <w:tcPr>
            <w:tcW w:w="0" w:type="auto"/>
            <w:hideMark/>
          </w:tcPr>
          <w:p w14:paraId="1119C91D" w14:textId="77777777" w:rsidR="000249F4" w:rsidRDefault="000249F4" w:rsidP="00386E92">
            <w:pPr>
              <w:cnfStyle w:val="000000000000" w:firstRow="0" w:lastRow="0" w:firstColumn="0" w:lastColumn="0" w:oddVBand="0" w:evenVBand="0" w:oddHBand="0" w:evenHBand="0" w:firstRowFirstColumn="0" w:firstRowLastColumn="0" w:lastRowFirstColumn="0" w:lastRowLastColumn="0"/>
            </w:pPr>
            <w:r w:rsidRPr="00386E92">
              <w:t xml:space="preserve">- Pas d’expropriation nécessaire ni de risque de conflit foncier. </w:t>
            </w:r>
          </w:p>
          <w:p w14:paraId="36373B41" w14:textId="1A10C9C8" w:rsidR="000249F4" w:rsidRPr="00386E92" w:rsidRDefault="000249F4" w:rsidP="00386E92">
            <w:pPr>
              <w:cnfStyle w:val="000000000000" w:firstRow="0" w:lastRow="0" w:firstColumn="0" w:lastColumn="0" w:oddVBand="0" w:evenVBand="0" w:oddHBand="0" w:evenHBand="0" w:firstRowFirstColumn="0" w:firstRowLastColumn="0" w:lastRowFirstColumn="0" w:lastRowLastColumn="0"/>
            </w:pPr>
            <w:r w:rsidRPr="00386E92">
              <w:t>- Maintien de la fiabilité du service sans risque d’interruption pour les usagers.</w:t>
            </w:r>
          </w:p>
        </w:tc>
      </w:tr>
      <w:tr w:rsidR="000249F4" w:rsidRPr="00386E92" w14:paraId="498B307A" w14:textId="77777777" w:rsidTr="005A7661">
        <w:tc>
          <w:tcPr>
            <w:cnfStyle w:val="001000000000" w:firstRow="0" w:lastRow="0" w:firstColumn="1" w:lastColumn="0" w:oddVBand="0" w:evenVBand="0" w:oddHBand="0" w:evenHBand="0" w:firstRowFirstColumn="0" w:firstRowLastColumn="0" w:lastRowFirstColumn="0" w:lastRowLastColumn="0"/>
            <w:tcW w:w="0" w:type="auto"/>
            <w:vMerge/>
            <w:hideMark/>
          </w:tcPr>
          <w:p w14:paraId="70636767" w14:textId="77777777" w:rsidR="000249F4" w:rsidRPr="00386E92" w:rsidRDefault="000249F4" w:rsidP="00386E92"/>
        </w:tc>
        <w:tc>
          <w:tcPr>
            <w:tcW w:w="0" w:type="auto"/>
            <w:hideMark/>
          </w:tcPr>
          <w:p w14:paraId="3082C544" w14:textId="77777777" w:rsidR="000249F4" w:rsidRPr="00386E92" w:rsidRDefault="000249F4" w:rsidP="00386E92">
            <w:pPr>
              <w:cnfStyle w:val="000000000000" w:firstRow="0" w:lastRow="0" w:firstColumn="0" w:lastColumn="0" w:oddVBand="0" w:evenVBand="0" w:oddHBand="0" w:evenHBand="0" w:firstRowFirstColumn="0" w:firstRowLastColumn="0" w:lastRowFirstColumn="0" w:lastRowLastColumn="0"/>
            </w:pPr>
            <w:r w:rsidRPr="00386E92">
              <w:rPr>
                <w:b/>
                <w:bCs/>
              </w:rPr>
              <w:t>Variante 2 : Alimentation par panneaux photovoltaïques avec batteries</w:t>
            </w:r>
          </w:p>
        </w:tc>
        <w:tc>
          <w:tcPr>
            <w:tcW w:w="0" w:type="auto"/>
            <w:hideMark/>
          </w:tcPr>
          <w:p w14:paraId="23D69C71" w14:textId="77777777" w:rsidR="000249F4" w:rsidRPr="00386E92" w:rsidRDefault="000249F4" w:rsidP="00386E92">
            <w:pPr>
              <w:cnfStyle w:val="000000000000" w:firstRow="0" w:lastRow="0" w:firstColumn="0" w:lastColumn="0" w:oddVBand="0" w:evenVBand="0" w:oddHBand="0" w:evenHBand="0" w:firstRowFirstColumn="0" w:firstRowLastColumn="0" w:lastRowFirstColumn="0" w:lastRowLastColumn="0"/>
            </w:pPr>
            <w:r w:rsidRPr="00386E92">
              <w:t>Non retenue</w:t>
            </w:r>
          </w:p>
        </w:tc>
        <w:tc>
          <w:tcPr>
            <w:tcW w:w="0" w:type="auto"/>
            <w:hideMark/>
          </w:tcPr>
          <w:p w14:paraId="611D0C8E" w14:textId="77777777" w:rsidR="000249F4" w:rsidRDefault="000249F4" w:rsidP="00386E92">
            <w:pPr>
              <w:cnfStyle w:val="000000000000" w:firstRow="0" w:lastRow="0" w:firstColumn="0" w:lastColumn="0" w:oddVBand="0" w:evenVBand="0" w:oddHBand="0" w:evenHBand="0" w:firstRowFirstColumn="0" w:firstRowLastColumn="0" w:lastRowFirstColumn="0" w:lastRowLastColumn="0"/>
            </w:pPr>
            <w:r w:rsidRPr="00386E92">
              <w:t xml:space="preserve">- Risques environnementaux liés à la fabrication, l’usage et l’élimination des batteries (plomb, lithium). </w:t>
            </w:r>
          </w:p>
          <w:p w14:paraId="5E4F24D3" w14:textId="77777777" w:rsidR="000249F4" w:rsidRDefault="000249F4" w:rsidP="00386E92">
            <w:pPr>
              <w:cnfStyle w:val="000000000000" w:firstRow="0" w:lastRow="0" w:firstColumn="0" w:lastColumn="0" w:oddVBand="0" w:evenVBand="0" w:oddHBand="0" w:evenHBand="0" w:firstRowFirstColumn="0" w:firstRowLastColumn="0" w:lastRowFirstColumn="0" w:lastRowLastColumn="0"/>
            </w:pPr>
            <w:r w:rsidRPr="00386E92">
              <w:t xml:space="preserve">- Production de déchets dangereux. </w:t>
            </w:r>
          </w:p>
          <w:p w14:paraId="7B3C739D" w14:textId="46A5B64B" w:rsidR="000249F4" w:rsidRPr="00386E92" w:rsidRDefault="000249F4" w:rsidP="00386E92">
            <w:pPr>
              <w:cnfStyle w:val="000000000000" w:firstRow="0" w:lastRow="0" w:firstColumn="0" w:lastColumn="0" w:oddVBand="0" w:evenVBand="0" w:oddHBand="0" w:evenHBand="0" w:firstRowFirstColumn="0" w:firstRowLastColumn="0" w:lastRowFirstColumn="0" w:lastRowLastColumn="0"/>
            </w:pPr>
            <w:r w:rsidRPr="00386E92">
              <w:t>- Besoin d’un nouvel espace d’installation avec impacts sur les sols.</w:t>
            </w:r>
          </w:p>
        </w:tc>
        <w:tc>
          <w:tcPr>
            <w:tcW w:w="0" w:type="auto"/>
            <w:hideMark/>
          </w:tcPr>
          <w:p w14:paraId="2BD17EC2" w14:textId="77777777" w:rsidR="000249F4" w:rsidRDefault="000249F4" w:rsidP="00386E92">
            <w:pPr>
              <w:cnfStyle w:val="000000000000" w:firstRow="0" w:lastRow="0" w:firstColumn="0" w:lastColumn="0" w:oddVBand="0" w:evenVBand="0" w:oddHBand="0" w:evenHBand="0" w:firstRowFirstColumn="0" w:firstRowLastColumn="0" w:lastRowFirstColumn="0" w:lastRowLastColumn="0"/>
            </w:pPr>
            <w:r w:rsidRPr="00386E92">
              <w:t xml:space="preserve">- Risques d’expropriation et d’impacts fonciers sur les populations locales. </w:t>
            </w:r>
          </w:p>
          <w:p w14:paraId="592C42B3" w14:textId="16CF5A8D" w:rsidR="000249F4" w:rsidRPr="00386E92" w:rsidRDefault="000249F4" w:rsidP="00386E92">
            <w:pPr>
              <w:cnfStyle w:val="000000000000" w:firstRow="0" w:lastRow="0" w:firstColumn="0" w:lastColumn="0" w:oddVBand="0" w:evenVBand="0" w:oddHBand="0" w:evenHBand="0" w:firstRowFirstColumn="0" w:firstRowLastColumn="0" w:lastRowFirstColumn="0" w:lastRowLastColumn="0"/>
            </w:pPr>
            <w:r w:rsidRPr="00386E92">
              <w:t>- Contraintes de maintenance et de sécurité pour le personnel.</w:t>
            </w:r>
          </w:p>
        </w:tc>
      </w:tr>
    </w:tbl>
    <w:p w14:paraId="0AC35AAF" w14:textId="77777777" w:rsidR="00386E92" w:rsidRDefault="00386E92" w:rsidP="00D60FC9"/>
    <w:p w14:paraId="05E38E0C" w14:textId="77777777" w:rsidR="00386E92" w:rsidRDefault="00386E92" w:rsidP="00D60FC9">
      <w:pPr>
        <w:pStyle w:val="Title1"/>
        <w:numPr>
          <w:ilvl w:val="0"/>
          <w:numId w:val="0"/>
        </w:numPr>
        <w:rPr>
          <w:bCs w:val="0"/>
        </w:rPr>
        <w:sectPr w:rsidR="00386E92" w:rsidSect="00D60FC9">
          <w:pgSz w:w="16838" w:h="11906" w:orient="landscape"/>
          <w:pgMar w:top="1417" w:right="1701" w:bottom="1417" w:left="1276" w:header="680" w:footer="680" w:gutter="0"/>
          <w:cols w:space="708"/>
          <w:docGrid w:linePitch="360"/>
        </w:sectPr>
      </w:pPr>
    </w:p>
    <w:p w14:paraId="52401F19" w14:textId="77777777" w:rsidR="00A251CD" w:rsidRDefault="00A251CD" w:rsidP="00B507D7">
      <w:pPr>
        <w:pStyle w:val="Title1"/>
      </w:pPr>
      <w:bookmarkStart w:id="207" w:name="_Toc212824096"/>
      <w:bookmarkStart w:id="208" w:name="_Toc212824278"/>
      <w:bookmarkStart w:id="209" w:name="_Toc212825853"/>
      <w:bookmarkStart w:id="210" w:name="_Toc213404211"/>
      <w:bookmarkStart w:id="211" w:name="_Toc215131825"/>
      <w:bookmarkEnd w:id="207"/>
      <w:bookmarkEnd w:id="208"/>
      <w:bookmarkEnd w:id="209"/>
      <w:bookmarkEnd w:id="210"/>
      <w:r>
        <w:lastRenderedPageBreak/>
        <w:t xml:space="preserve">Description et </w:t>
      </w:r>
      <w:r w:rsidRPr="002842B2">
        <w:t>Justification</w:t>
      </w:r>
      <w:r>
        <w:t xml:space="preserve"> du Projet</w:t>
      </w:r>
      <w:bookmarkEnd w:id="211"/>
      <w:r>
        <w:t xml:space="preserve"> </w:t>
      </w:r>
    </w:p>
    <w:p w14:paraId="00F5DB1A" w14:textId="77777777" w:rsidR="00A251CD" w:rsidRDefault="00A251CD" w:rsidP="00A251CD">
      <w:pPr>
        <w:pStyle w:val="Title2"/>
        <w:spacing w:before="120" w:after="120"/>
      </w:pPr>
      <w:r>
        <w:t xml:space="preserve"> </w:t>
      </w:r>
      <w:bookmarkStart w:id="212" w:name="_Toc215131826"/>
      <w:r>
        <w:t>Présentation du contexte économique</w:t>
      </w:r>
      <w:bookmarkEnd w:id="212"/>
    </w:p>
    <w:p w14:paraId="446F1315" w14:textId="77777777" w:rsidR="005B7547" w:rsidRDefault="005B7547" w:rsidP="005B7547">
      <w:r>
        <w:t>Le Grand Marrakech, située au Centre-Sud du Royaume, est une ville en croissance rapide, surtout depuis le début des années 2000, pendant lesquelles elle a confirmé son destin métropolitain en prenant appui sur son avantage majeur, le tourisme. En effet, Marrakech est la première destination touristique et la troisième agglomération du Royaume, ce qui lui confère un avantage métropolitain certain, avec des conséquences directes sur le développement d’autres secteurs économiques dont le transport, le BTP, l’artisanat, les services et la stimulation des Investissements Directs Etrangers (IDE). Le développement du tourisme est effectivement l’axe majeur de la promotion de la ville avec 72% du montant global des investissements. L’artisanat est la seconde spécialisation de la ville.</w:t>
      </w:r>
    </w:p>
    <w:p w14:paraId="743BDF80" w14:textId="77777777" w:rsidR="005B7547" w:rsidRDefault="005B7547" w:rsidP="005B7547">
      <w:r>
        <w:t>La Région de Marrakech-Safi manifeste un potentiel de développement socio-économique incontestable. Elle représente 22% de la surface agricole utile nationale et contribue à plus de 28% de la production minière du pays. En outre, sa richesse en ressources humaines diversifiées, soutenue par une offre éducative variée au sein de ses écoles et facultés, constitue un autre atout essentiel. Ces dernières années, Marrakech-Safi a connu un développement économique et social significatif, attirant des investisseurs de premier plan, tant nationaux qu'étrangers.</w:t>
      </w:r>
    </w:p>
    <w:p w14:paraId="37FA1E4C" w14:textId="77777777" w:rsidR="005B7547" w:rsidRDefault="005B7547" w:rsidP="005B7547">
      <w:r>
        <w:t>En tant que métropole régionale mondialisée, la ville de Marrakech est un centre par excellence dotée de multiples avantages, qui a su attirer d'importants chantiers et de grands investissements notamment dans les domaines touristiques et immobiliers renforçant ainsi son rayonnement. La ville bénéficie également d'une connectivité remarquable grâce à son réseau bien structuré d'infrastructures aériennes, routières, autoroutières et ferroviaires. Cette position stratégique est destinée à se renforcer davantage avec la mise en œuvre de projets majeurs tels que la ligne à grande vitesse, le développement de l’aéroport et l'extension du réseau autoroutier, consolidant ainsi son influence majeure sur l'économie nationale.</w:t>
      </w:r>
    </w:p>
    <w:p w14:paraId="11691990" w14:textId="77777777" w:rsidR="005B7547" w:rsidRDefault="005B7547" w:rsidP="005B7547">
      <w:r>
        <w:t>L'aéroport, en tant qu’infrastructure essentielle, joue un rôle central dans l'attraction de flux touristiques et d'investissements internationaux. Le développement de ses infrastructures aéroportuaires contribuera à positionner Marrakech comme une porte d'entrée stratégique notamment pour les touristes mais aussi pour les entreprises étrangères.</w:t>
      </w:r>
    </w:p>
    <w:p w14:paraId="08065586" w14:textId="77777777" w:rsidR="005B7547" w:rsidRPr="0056618C" w:rsidRDefault="005B7547" w:rsidP="005B7547">
      <w:r w:rsidRPr="0056618C">
        <w:t>Selon le Programme de Développement Régional, les atouts dont dispose la Région sont principalement :</w:t>
      </w:r>
    </w:p>
    <w:p w14:paraId="760BAF99" w14:textId="77777777" w:rsidR="005B7547" w:rsidRPr="0056618C" w:rsidRDefault="005B7547" w:rsidP="005B7547">
      <w:pPr>
        <w:pStyle w:val="Style9"/>
        <w:numPr>
          <w:ilvl w:val="0"/>
          <w:numId w:val="10"/>
        </w:numPr>
        <w:ind w:left="360"/>
        <w:contextualSpacing w:val="0"/>
      </w:pPr>
      <w:r w:rsidRPr="0056618C">
        <w:t>Le capital humain et la climatologie de la Région</w:t>
      </w:r>
    </w:p>
    <w:p w14:paraId="395C6A15" w14:textId="77777777" w:rsidR="005B7547" w:rsidRPr="0056618C" w:rsidRDefault="005B7547" w:rsidP="005B7547">
      <w:pPr>
        <w:pStyle w:val="Style9"/>
        <w:numPr>
          <w:ilvl w:val="0"/>
          <w:numId w:val="10"/>
        </w:numPr>
        <w:ind w:left="360"/>
        <w:contextualSpacing w:val="0"/>
      </w:pPr>
      <w:r w:rsidRPr="0056618C">
        <w:t>Une reconnaissance mondiale de la marque "Marrakech" en tant que destination touristique de premier choix</w:t>
      </w:r>
    </w:p>
    <w:p w14:paraId="295E77E1" w14:textId="77777777" w:rsidR="005B7547" w:rsidRPr="0056618C" w:rsidRDefault="005B7547" w:rsidP="005B7547">
      <w:pPr>
        <w:pStyle w:val="Style9"/>
        <w:numPr>
          <w:ilvl w:val="0"/>
          <w:numId w:val="10"/>
        </w:numPr>
        <w:ind w:left="360"/>
        <w:contextualSpacing w:val="0"/>
      </w:pPr>
      <w:r w:rsidRPr="0056618C">
        <w:t>Un potentiel agricole et minier important</w:t>
      </w:r>
    </w:p>
    <w:p w14:paraId="2829BAD2" w14:textId="77777777" w:rsidR="005B7547" w:rsidRPr="0056618C" w:rsidRDefault="005B7547" w:rsidP="005B7547">
      <w:pPr>
        <w:pStyle w:val="Style9"/>
        <w:numPr>
          <w:ilvl w:val="0"/>
          <w:numId w:val="10"/>
        </w:numPr>
        <w:ind w:left="360"/>
        <w:contextualSpacing w:val="0"/>
      </w:pPr>
      <w:r w:rsidRPr="0056618C">
        <w:t>Un pôle de savoir et de formation supérieure de dimension internationale</w:t>
      </w:r>
    </w:p>
    <w:p w14:paraId="63F0DA16" w14:textId="77777777" w:rsidR="005B7547" w:rsidRPr="0056618C" w:rsidRDefault="005B7547" w:rsidP="005B7547">
      <w:pPr>
        <w:pStyle w:val="Style9"/>
        <w:numPr>
          <w:ilvl w:val="0"/>
          <w:numId w:val="10"/>
        </w:numPr>
        <w:ind w:left="360"/>
        <w:contextualSpacing w:val="0"/>
      </w:pPr>
      <w:r w:rsidRPr="0056618C">
        <w:t>Des projets structurants (Écosystème industriel, Pôle Universitaire Benguerir, UM6,</w:t>
      </w:r>
      <w:r>
        <w:t xml:space="preserve"> </w:t>
      </w:r>
      <w:r w:rsidRPr="0056618C">
        <w:t>etc.)</w:t>
      </w:r>
    </w:p>
    <w:p w14:paraId="5B1EF68D" w14:textId="771FE852" w:rsidR="00A251CD" w:rsidRDefault="005B7547" w:rsidP="005B7547">
      <w:pPr>
        <w:pStyle w:val="Style1"/>
        <w:numPr>
          <w:ilvl w:val="0"/>
          <w:numId w:val="0"/>
        </w:numPr>
      </w:pPr>
      <w:r w:rsidRPr="0056618C">
        <w:t>Selon le Schéma Directeur d’Aménagement Urbain (SDAU) du Grand Marrakech à l’horizon 2040, Marrakech qui ambitionne d’occuper une place de choix parmi les grandes métropoles mondiales a par conséquent de nombreux enjeux de développement à maitriser. Elle a besoin de mobiliser tout</w:t>
      </w:r>
      <w:r>
        <w:t xml:space="preserve"> </w:t>
      </w:r>
      <w:r w:rsidRPr="00EC2541">
        <w:lastRenderedPageBreak/>
        <w:t>son potentiel humain, matériel et immatériel pour développer une vision pour un futur meilleur qui tient compte de l’identité locale forgée à travers l’histoire des hommes et de l’espace. Une vision fédératrice des énergies qui sera déclinée dans le cadre d’un projet de développement stratégique, intégré et solidaire</w:t>
      </w:r>
      <w:r w:rsidR="00780939">
        <w:t>.</w:t>
      </w:r>
    </w:p>
    <w:p w14:paraId="4DE55D1B" w14:textId="77777777" w:rsidR="00A251CD" w:rsidRDefault="00A251CD" w:rsidP="00A251CD">
      <w:pPr>
        <w:pStyle w:val="Title2"/>
        <w:spacing w:before="120" w:after="120"/>
      </w:pPr>
      <w:r>
        <w:t xml:space="preserve"> </w:t>
      </w:r>
      <w:bookmarkStart w:id="213" w:name="_Toc215131827"/>
      <w:r>
        <w:t>Justification du projet</w:t>
      </w:r>
      <w:bookmarkEnd w:id="213"/>
    </w:p>
    <w:p w14:paraId="2828ECB9" w14:textId="7DCA107E" w:rsidR="00653CFA" w:rsidRDefault="00653CFA" w:rsidP="00653CFA">
      <w:r>
        <w:t xml:space="preserve">Le projet d’extension du parking avions de l’aéroport </w:t>
      </w:r>
      <w:r w:rsidR="00780939">
        <w:t xml:space="preserve">Marrakech Ménara </w:t>
      </w:r>
      <w:r>
        <w:t xml:space="preserve">s’inscrit dans le cadre du programme national de développement des capacités aéroportuaires conduit par l’Office National des Aéroports (ONDA), visant à porter la capacité d’accueil de la plateforme à </w:t>
      </w:r>
      <w:r w:rsidR="00780939">
        <w:t>16</w:t>
      </w:r>
      <w:r>
        <w:t xml:space="preserve"> millions de passagers par an à l’horizon 2030.</w:t>
      </w:r>
    </w:p>
    <w:p w14:paraId="4B7AD067" w14:textId="2832205F" w:rsidR="00653CFA" w:rsidRDefault="00653CFA" w:rsidP="00653CFA">
      <w:r>
        <w:t xml:space="preserve">Cette initiative répond à la forte croissance du trafic aérien observée à l’aéroport, en lien avec la relance du tourisme et l’ouverture de nouvelles lignes internationales. </w:t>
      </w:r>
    </w:p>
    <w:p w14:paraId="34CFAFA8" w14:textId="61CE5CF8" w:rsidR="00A251CD" w:rsidRDefault="00A83F11" w:rsidP="00653CFA">
      <w:r w:rsidRPr="00A83F11">
        <w:t>En septembre 2024, l’aéroport Marrakech-Ménara a enregistré environ 781 237 passagers, soit une progression de 65 % par rapport à septembre 2023. Ce rebond s’inscrit dans une dynamique plus globale : au 30 septembre 2024, l’aéroport comptabilisait environ 6 724 707 passagers, en hausse de 33,88 % par rapport à la même période en 2023 (5 022 935 passagers) selon les données de Office National des Aéroports (ONDA). Cette croissance s’explique notamment par l’essor du tourisme vers Marrakech, et par l’ouverture ou le renforcement de liaisons aériennes internationales (Europe, Afrique) — ce qui nourrit directement la nécessité et la pertinence du projet d’extension porté par l’ONDA pour doubler la capacité de l’aéroport à terme.</w:t>
      </w:r>
    </w:p>
    <w:p w14:paraId="1E08AC81" w14:textId="77777777" w:rsidR="00653CFA" w:rsidRPr="00653CFA" w:rsidRDefault="00653CFA" w:rsidP="00653CFA">
      <w:r w:rsidRPr="00653CFA">
        <w:t>Dans ce contexte, le projet vise à :</w:t>
      </w:r>
    </w:p>
    <w:p w14:paraId="4DCE91FA" w14:textId="77777777" w:rsidR="00653CFA" w:rsidRPr="00653CFA" w:rsidRDefault="00653CFA" w:rsidP="0001633E">
      <w:pPr>
        <w:numPr>
          <w:ilvl w:val="0"/>
          <w:numId w:val="130"/>
        </w:numPr>
      </w:pPr>
      <w:r w:rsidRPr="004637C7">
        <w:t>Accroître la capacité opérationnelle</w:t>
      </w:r>
      <w:r w:rsidRPr="00653CFA">
        <w:t xml:space="preserve"> de l’aéroport afin d’assurer un accueil fluide des passagers, notamment durant les grands événements internationaux comme la </w:t>
      </w:r>
      <w:r w:rsidRPr="004637C7">
        <w:t>Coupe du Monde 2030</w:t>
      </w:r>
      <w:r w:rsidRPr="00653CFA">
        <w:t xml:space="preserve"> ;</w:t>
      </w:r>
    </w:p>
    <w:p w14:paraId="08C2F7BE" w14:textId="77777777" w:rsidR="00653CFA" w:rsidRPr="00653CFA" w:rsidRDefault="00653CFA" w:rsidP="0001633E">
      <w:pPr>
        <w:numPr>
          <w:ilvl w:val="0"/>
          <w:numId w:val="130"/>
        </w:numPr>
      </w:pPr>
      <w:r w:rsidRPr="004637C7">
        <w:t>Adapter les infrastructures de stationnement avions et de circulation aéronautique</w:t>
      </w:r>
      <w:r w:rsidRPr="00653CFA">
        <w:t xml:space="preserve"> aux nouveaux besoins du trafic ;</w:t>
      </w:r>
    </w:p>
    <w:p w14:paraId="3AA6F849" w14:textId="77777777" w:rsidR="00653CFA" w:rsidRPr="00653CFA" w:rsidRDefault="00653CFA" w:rsidP="0001633E">
      <w:pPr>
        <w:numPr>
          <w:ilvl w:val="0"/>
          <w:numId w:val="130"/>
        </w:numPr>
      </w:pPr>
      <w:r w:rsidRPr="004637C7">
        <w:t>Permettre l’accueil de gros-porteurs</w:t>
      </w:r>
      <w:r w:rsidRPr="00653CFA">
        <w:t xml:space="preserve"> tels que le </w:t>
      </w:r>
      <w:r w:rsidRPr="004637C7">
        <w:t>Boeing 747-400</w:t>
      </w:r>
      <w:r w:rsidRPr="00653CFA">
        <w:t>, dans des conditions de sécurité conformes aux standards internationaux ;</w:t>
      </w:r>
    </w:p>
    <w:p w14:paraId="328FCE34" w14:textId="77777777" w:rsidR="00653CFA" w:rsidRPr="00653CFA" w:rsidRDefault="00653CFA" w:rsidP="0001633E">
      <w:pPr>
        <w:numPr>
          <w:ilvl w:val="0"/>
          <w:numId w:val="130"/>
        </w:numPr>
      </w:pPr>
      <w:r w:rsidRPr="004637C7">
        <w:t>Optimiser les performances énergétiques et opérationnelles</w:t>
      </w:r>
      <w:r w:rsidRPr="00653CFA">
        <w:t xml:space="preserve"> des équipements de sûreté et de mobilité (EDS, RX, portiques, trottoirs roulants, etc.) ;</w:t>
      </w:r>
    </w:p>
    <w:p w14:paraId="51E677E2" w14:textId="6FC67326" w:rsidR="00653CFA" w:rsidRPr="00653CFA" w:rsidRDefault="00653CFA" w:rsidP="0001633E">
      <w:pPr>
        <w:numPr>
          <w:ilvl w:val="0"/>
          <w:numId w:val="130"/>
        </w:numPr>
      </w:pPr>
      <w:r w:rsidRPr="004637C7">
        <w:t>Renforcer l’attractivité touristique et économique</w:t>
      </w:r>
      <w:r w:rsidRPr="00653CFA">
        <w:t xml:space="preserve"> de la région </w:t>
      </w:r>
      <w:r w:rsidR="001F41D2">
        <w:t>Marrakech – Safi</w:t>
      </w:r>
      <w:r w:rsidRPr="00653CFA">
        <w:t>, en améliorant la connectivité internationale</w:t>
      </w:r>
      <w:r w:rsidR="001F41D2">
        <w:t xml:space="preserve"> de Marrakech</w:t>
      </w:r>
      <w:r w:rsidRPr="00653CFA">
        <w:t>.</w:t>
      </w:r>
    </w:p>
    <w:p w14:paraId="2FDF1E94" w14:textId="76CE568D" w:rsidR="00653CFA" w:rsidRDefault="00653CFA" w:rsidP="00653CFA">
      <w:r w:rsidRPr="00653CFA">
        <w:t xml:space="preserve">Le projet s’intègre ainsi dans la </w:t>
      </w:r>
      <w:r w:rsidRPr="004637C7">
        <w:t>dynamique urbaine et économique majeure</w:t>
      </w:r>
      <w:r w:rsidRPr="00653CFA">
        <w:t xml:space="preserve"> portée par le </w:t>
      </w:r>
      <w:r w:rsidRPr="004637C7">
        <w:t xml:space="preserve">Programme de Développement Urbain (PDU) </w:t>
      </w:r>
      <w:r w:rsidR="00180EC0">
        <w:t>de Marrakech</w:t>
      </w:r>
      <w:r w:rsidRPr="004637C7">
        <w:t xml:space="preserve"> 2020-2024</w:t>
      </w:r>
      <w:r w:rsidRPr="00653CFA">
        <w:t>, qui vise à moderniser les infrastructures, dynamiser le secteur touristique et améliorer l’employabilité locale.</w:t>
      </w:r>
    </w:p>
    <w:p w14:paraId="1191EE86" w14:textId="2AD45C21" w:rsidR="00653CFA" w:rsidRPr="00653CFA" w:rsidRDefault="00653CFA" w:rsidP="00653CFA">
      <w:r w:rsidRPr="00653CFA">
        <w:t xml:space="preserve">La </w:t>
      </w:r>
      <w:r w:rsidRPr="004637C7">
        <w:t>population du voisinage bénéficiera directement des retombées économiques</w:t>
      </w:r>
      <w:r w:rsidRPr="00653CFA">
        <w:t xml:space="preserve"> générées par les travaux d’aménagement (emplois temporaires, prestations locales, restauration, transport), contribuant ainsi à l’inclusion sociale et au développement territorial durable.</w:t>
      </w:r>
    </w:p>
    <w:p w14:paraId="1F34195F" w14:textId="77777777" w:rsidR="00653CFA" w:rsidRDefault="00653CFA" w:rsidP="00A251CD"/>
    <w:p w14:paraId="7767E408" w14:textId="75737415" w:rsidR="00A251CD" w:rsidRPr="00B7052B" w:rsidRDefault="00A251CD" w:rsidP="00A251CD"/>
    <w:p w14:paraId="67A40336" w14:textId="74A24ACE" w:rsidR="00A251CD" w:rsidRDefault="00A251CD" w:rsidP="00A251CD">
      <w:pPr>
        <w:pStyle w:val="Title2"/>
        <w:spacing w:before="120" w:after="120"/>
      </w:pPr>
      <w:r>
        <w:t xml:space="preserve"> </w:t>
      </w:r>
      <w:bookmarkStart w:id="214" w:name="_Hlk210303874"/>
      <w:bookmarkStart w:id="215" w:name="_Toc215131828"/>
      <w:r>
        <w:t>Description du projet</w:t>
      </w:r>
      <w:bookmarkEnd w:id="215"/>
      <w:r>
        <w:t xml:space="preserve"> </w:t>
      </w:r>
    </w:p>
    <w:p w14:paraId="5A59B4EE" w14:textId="77777777" w:rsidR="00A251CD" w:rsidRDefault="00A251CD" w:rsidP="00A251CD">
      <w:pPr>
        <w:pStyle w:val="Title3"/>
      </w:pPr>
      <w:bookmarkStart w:id="216" w:name="_Toc215131829"/>
      <w:r>
        <w:t>Présentation de l’aéroport</w:t>
      </w:r>
      <w:bookmarkEnd w:id="216"/>
    </w:p>
    <w:p w14:paraId="626D024C" w14:textId="77777777" w:rsidR="00996FC0" w:rsidRDefault="00996FC0" w:rsidP="00996FC0">
      <w:pPr>
        <w:pStyle w:val="AltTitle"/>
        <w:spacing w:before="0" w:after="200" w:line="240" w:lineRule="auto"/>
      </w:pPr>
      <w:r>
        <w:t xml:space="preserve">Vocation : </w:t>
      </w:r>
      <w:r w:rsidRPr="005D7375">
        <w:rPr>
          <w:rFonts w:ascii="Calibri" w:hAnsi="Calibri"/>
          <w:b w:val="0"/>
          <w:bCs w:val="0"/>
          <w:color w:val="auto"/>
        </w:rPr>
        <w:t>Aéroport mixte (Civil et Militaire) avec un trafic national et international.</w:t>
      </w:r>
    </w:p>
    <w:p w14:paraId="0AFE12E0" w14:textId="77777777" w:rsidR="00996FC0" w:rsidRPr="005D7375" w:rsidRDefault="00996FC0" w:rsidP="00996FC0">
      <w:pPr>
        <w:pStyle w:val="AltTitle"/>
        <w:spacing w:before="0" w:after="200" w:line="240" w:lineRule="auto"/>
      </w:pPr>
      <w:r>
        <w:t>Système de pistes :</w:t>
      </w:r>
      <w:r w:rsidRPr="005D7375">
        <w:rPr>
          <w:rFonts w:ascii="Calibri" w:hAnsi="Calibri"/>
          <w:b w:val="0"/>
          <w:bCs w:val="0"/>
          <w:color w:val="auto"/>
        </w:rPr>
        <w:t xml:space="preserve"> </w:t>
      </w:r>
    </w:p>
    <w:p w14:paraId="5026D91E" w14:textId="77777777" w:rsidR="00996FC0" w:rsidRPr="005D7375" w:rsidRDefault="00996FC0" w:rsidP="00996FC0">
      <w:pPr>
        <w:pStyle w:val="Style1"/>
        <w:spacing w:line="240" w:lineRule="auto"/>
        <w:rPr>
          <w:rFonts w:ascii="Century Gothic" w:hAnsi="Century Gothic"/>
          <w:color w:val="0028A8"/>
        </w:rPr>
      </w:pPr>
      <w:r w:rsidRPr="005D7375">
        <w:t>L’aéroport dispose d’une piste pouvant accueillir tous les types d’avions commerciaux jusqu’au Code E.</w:t>
      </w:r>
    </w:p>
    <w:p w14:paraId="7D642125" w14:textId="77777777" w:rsidR="00996FC0" w:rsidRDefault="00996FC0" w:rsidP="00996FC0">
      <w:pPr>
        <w:pStyle w:val="Style1"/>
        <w:spacing w:line="240" w:lineRule="auto"/>
      </w:pPr>
      <w:r>
        <w:t>L’aéroport dispose d’un système de balisage CAT I, d’un système d’aide à l’atterrissage (ILS) Cat II et des services de lutte contre les incendies d’aéronefs (SLIA) Catégorie 9.</w:t>
      </w:r>
    </w:p>
    <w:p w14:paraId="05589310" w14:textId="77777777" w:rsidR="00996FC0" w:rsidRDefault="00996FC0" w:rsidP="00996FC0">
      <w:pPr>
        <w:pStyle w:val="Style1"/>
        <w:spacing w:line="240" w:lineRule="auto"/>
      </w:pPr>
      <w:r>
        <w:t xml:space="preserve">Longueur : </w:t>
      </w:r>
      <w:r w:rsidRPr="005D7375">
        <w:t>3100 m, largeur 45m.</w:t>
      </w:r>
    </w:p>
    <w:p w14:paraId="320E81CA" w14:textId="77777777" w:rsidR="00996FC0" w:rsidRDefault="00996FC0" w:rsidP="00996FC0">
      <w:pPr>
        <w:pStyle w:val="AltTitle"/>
        <w:spacing w:before="240" w:after="200" w:line="240" w:lineRule="auto"/>
      </w:pPr>
      <w:r>
        <w:t xml:space="preserve">Capacité du parking avions :  </w:t>
      </w:r>
    </w:p>
    <w:p w14:paraId="7195E5F7" w14:textId="77777777" w:rsidR="00996FC0" w:rsidRDefault="00996FC0" w:rsidP="00996FC0">
      <w:pPr>
        <w:pStyle w:val="Style1"/>
        <w:spacing w:line="240" w:lineRule="auto"/>
      </w:pPr>
      <w:r>
        <w:t>6 postes de stationnement avions en contact desservis par des passerelles télescopiques,</w:t>
      </w:r>
    </w:p>
    <w:p w14:paraId="1EA42ECB" w14:textId="77777777" w:rsidR="00996FC0" w:rsidRDefault="00996FC0" w:rsidP="00996FC0">
      <w:pPr>
        <w:pStyle w:val="Style1"/>
        <w:spacing w:line="240" w:lineRule="auto"/>
      </w:pPr>
      <w:r>
        <w:t>30 postes de stationnement d’avions en éloigné avec une gestion dynamique de certains postes pour permettre leur utilisation par l’aviation légère et les hélicoptères, et un poste isolé.</w:t>
      </w:r>
    </w:p>
    <w:p w14:paraId="1BA3D12E" w14:textId="77777777" w:rsidR="00996FC0" w:rsidRPr="00C3201F" w:rsidRDefault="00996FC0" w:rsidP="0001633E">
      <w:pPr>
        <w:pStyle w:val="Paragraphedeliste"/>
        <w:numPr>
          <w:ilvl w:val="0"/>
          <w:numId w:val="192"/>
        </w:numPr>
        <w:spacing w:line="240" w:lineRule="auto"/>
      </w:pPr>
      <w:r w:rsidRPr="00C3201F">
        <w:rPr>
          <w:rStyle w:val="AltTitleCar"/>
        </w:rPr>
        <w:t>Capacité des parkings véhicules :</w:t>
      </w:r>
      <w:r w:rsidRPr="00C3201F">
        <w:t xml:space="preserve"> 1500 places.</w:t>
      </w:r>
    </w:p>
    <w:p w14:paraId="769C845C" w14:textId="77777777" w:rsidR="00996FC0" w:rsidRDefault="00996FC0" w:rsidP="00996FC0">
      <w:pPr>
        <w:pStyle w:val="AltTitle"/>
        <w:spacing w:before="0" w:after="200" w:line="240" w:lineRule="auto"/>
      </w:pPr>
      <w:r>
        <w:t>Historique des principales évolutions des terminaux de l’aéroport :</w:t>
      </w:r>
    </w:p>
    <w:p w14:paraId="6D8EB588" w14:textId="77777777" w:rsidR="00996FC0" w:rsidRDefault="00996FC0" w:rsidP="00996FC0">
      <w:pPr>
        <w:pStyle w:val="Style1"/>
        <w:spacing w:line="240" w:lineRule="auto"/>
      </w:pPr>
      <w:r w:rsidRPr="005D7375">
        <w:rPr>
          <w:b/>
          <w:bCs/>
        </w:rPr>
        <w:t>2005 :</w:t>
      </w:r>
      <w:r>
        <w:t xml:space="preserve"> Mise en service du Terminal 2, d’une superficie de 4600 m²</w:t>
      </w:r>
    </w:p>
    <w:p w14:paraId="16D702D8" w14:textId="77777777" w:rsidR="00996FC0" w:rsidRDefault="00996FC0" w:rsidP="00996FC0">
      <w:pPr>
        <w:pStyle w:val="Style1"/>
        <w:spacing w:line="240" w:lineRule="auto"/>
      </w:pPr>
      <w:r w:rsidRPr="005D7375">
        <w:rPr>
          <w:b/>
          <w:bCs/>
        </w:rPr>
        <w:t>2008 :</w:t>
      </w:r>
      <w:r>
        <w:t xml:space="preserve"> Réaménagement et extension du Terminal 1 pour atteindre une superficie de 30 000 m². </w:t>
      </w:r>
    </w:p>
    <w:p w14:paraId="5194C341" w14:textId="77777777" w:rsidR="00996FC0" w:rsidRDefault="00996FC0" w:rsidP="00996FC0">
      <w:pPr>
        <w:pStyle w:val="Style1"/>
        <w:spacing w:line="240" w:lineRule="auto"/>
      </w:pPr>
      <w:r w:rsidRPr="005D7375">
        <w:rPr>
          <w:b/>
          <w:bCs/>
        </w:rPr>
        <w:t xml:space="preserve">2017 : </w:t>
      </w:r>
      <w:r>
        <w:t xml:space="preserve">Mise en service du Terminal 3 portant la superficie globale à 65 700 m² hors sous-sol. </w:t>
      </w:r>
    </w:p>
    <w:p w14:paraId="53136396" w14:textId="77777777" w:rsidR="00996FC0" w:rsidRPr="005D7375" w:rsidRDefault="00996FC0" w:rsidP="00996FC0">
      <w:pPr>
        <w:pStyle w:val="Style1"/>
        <w:spacing w:line="240" w:lineRule="auto"/>
        <w:rPr>
          <w:b/>
          <w:bCs/>
        </w:rPr>
      </w:pPr>
      <w:r w:rsidRPr="005D7375">
        <w:rPr>
          <w:b/>
          <w:bCs/>
        </w:rPr>
        <w:t xml:space="preserve">2020 : </w:t>
      </w:r>
      <w:r w:rsidRPr="005D7375">
        <w:t>Mise en service d’un nouveau terminal dédié à l'aviation générale.</w:t>
      </w:r>
      <w:r w:rsidRPr="005D7375">
        <w:rPr>
          <w:b/>
          <w:bCs/>
        </w:rPr>
        <w:t xml:space="preserve"> </w:t>
      </w:r>
    </w:p>
    <w:p w14:paraId="1A4683BD" w14:textId="708D9D8C" w:rsidR="00A251CD" w:rsidRPr="00782B10" w:rsidRDefault="00A251CD" w:rsidP="00A251CD">
      <w:r w:rsidRPr="00782B10">
        <w:t>Le Commandant de l’aéroport a autorité sur tous les agents et services chargés sur l’aérodrome de la sécurité, de la circulation aérienne, de l'exploitation technique, de l'exploitation commerciale et de l'entretien courant des installations et locaux. D'une manière générale, il a le contrôle de toutes les activités aériennes s’exerçant sur l’aérodrome et coordonne les activités de tous les autres services qui y sont implantés de façon permanente.</w:t>
      </w:r>
    </w:p>
    <w:p w14:paraId="1E389B1D" w14:textId="77777777" w:rsidR="00A251CD" w:rsidRPr="00782B10" w:rsidRDefault="00A251CD" w:rsidP="00A251CD">
      <w:r w:rsidRPr="00782B10">
        <w:t>En outre, il coordonne les activités administratives des services d'immigration, de douane, de santé et de police, qui restent subordonnés à leur administration respective et exercent leurs fonctions en toute indépendance.</w:t>
      </w:r>
    </w:p>
    <w:p w14:paraId="7CA37CE0" w14:textId="77777777" w:rsidR="00A251CD" w:rsidRPr="00782B10" w:rsidRDefault="00A251CD" w:rsidP="00A251CD">
      <w:r w:rsidRPr="00782B10">
        <w:t>Les principales missions du Commandant de l’aéroport sont les suivantes :</w:t>
      </w:r>
    </w:p>
    <w:p w14:paraId="26FA994F" w14:textId="77777777" w:rsidR="00A251CD" w:rsidRPr="00782B10" w:rsidRDefault="00A251CD" w:rsidP="00A251CD">
      <w:pPr>
        <w:pStyle w:val="Style1"/>
        <w:spacing w:before="120" w:after="120"/>
      </w:pPr>
      <w:r w:rsidRPr="00782B10">
        <w:t>Assurer le management et la coordination de l’ensemble des activités de l’aéroport, et ce en contrôlant le respect de la réglementation spécifique et en garantissant la satisfaction des clients dans le respect de la qualité, la sécurité et la sûreté ;</w:t>
      </w:r>
    </w:p>
    <w:p w14:paraId="76D82FF5" w14:textId="77777777" w:rsidR="00A251CD" w:rsidRPr="00782B10" w:rsidRDefault="00A251CD" w:rsidP="00A251CD">
      <w:pPr>
        <w:pStyle w:val="Style1"/>
        <w:spacing w:before="120" w:after="120"/>
      </w:pPr>
      <w:r w:rsidRPr="00782B10">
        <w:lastRenderedPageBreak/>
        <w:t>Veiller à la bonne application des procédures relatives aux dépenses de l’aéroport sous sa responsabilité ;</w:t>
      </w:r>
    </w:p>
    <w:p w14:paraId="5EB4B60D" w14:textId="77777777" w:rsidR="00A251CD" w:rsidRPr="00782B10" w:rsidRDefault="00A251CD" w:rsidP="00A251CD">
      <w:pPr>
        <w:pStyle w:val="Style1"/>
        <w:spacing w:before="120" w:after="120"/>
      </w:pPr>
      <w:r w:rsidRPr="00782B10">
        <w:t>Participer activement au développement de l’activité aérienne de l’aéroport.</w:t>
      </w:r>
    </w:p>
    <w:p w14:paraId="55B8E7DD" w14:textId="77777777" w:rsidR="00A251CD" w:rsidRDefault="00A251CD" w:rsidP="00A251CD">
      <w:pPr>
        <w:pStyle w:val="Title3"/>
      </w:pPr>
      <w:bookmarkStart w:id="217" w:name="_Toc215131830"/>
      <w:r>
        <w:t>Historique et prévision du Trafic aérien</w:t>
      </w:r>
      <w:bookmarkEnd w:id="217"/>
      <w:r>
        <w:t xml:space="preserve"> </w:t>
      </w:r>
    </w:p>
    <w:p w14:paraId="31A3ECA4" w14:textId="77777777" w:rsidR="00A251CD" w:rsidRPr="00AC439C" w:rsidRDefault="00A251CD" w:rsidP="00A251CD">
      <w:pPr>
        <w:pStyle w:val="Title4"/>
        <w:tabs>
          <w:tab w:val="clear" w:pos="1134"/>
          <w:tab w:val="left" w:pos="851"/>
        </w:tabs>
        <w:spacing w:after="160"/>
      </w:pPr>
      <w:r w:rsidRPr="00AC439C">
        <w:t>Evolution du trafic des passagers et des mouvements depuis l’année 1990 </w:t>
      </w:r>
    </w:p>
    <w:p w14:paraId="78BA23DF" w14:textId="77777777" w:rsidR="00A251CD" w:rsidRPr="00AC439C" w:rsidRDefault="00A251CD" w:rsidP="00A251CD">
      <w:pPr>
        <w:jc w:val="center"/>
        <w:rPr>
          <w:b/>
        </w:rPr>
      </w:pPr>
      <w:r w:rsidRPr="00AC439C">
        <w:rPr>
          <w:b/>
          <w:noProof/>
          <w:lang w:eastAsia="fr-FR" w:bidi="ar-SA"/>
        </w:rPr>
        <w:drawing>
          <wp:inline distT="0" distB="0" distL="0" distR="0" wp14:anchorId="7BC884C6" wp14:editId="270F5744">
            <wp:extent cx="4442114" cy="2154683"/>
            <wp:effectExtent l="19050" t="19050" r="15875" b="17145"/>
            <wp:docPr id="577604890" name="Image 577604890" descr="Une image contenant texte, ligne, Tracé, diagramm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 7" descr="Une image contenant texte, ligne, Tracé, diagramme&#10;&#10;Description générée automatiquement"/>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4474276" cy="2170283"/>
                    </a:xfrm>
                    <a:prstGeom prst="rect">
                      <a:avLst/>
                    </a:prstGeom>
                    <a:noFill/>
                    <a:ln>
                      <a:solidFill>
                        <a:schemeClr val="tx1">
                          <a:lumMod val="50000"/>
                          <a:lumOff val="50000"/>
                        </a:schemeClr>
                      </a:solidFill>
                    </a:ln>
                  </pic:spPr>
                </pic:pic>
              </a:graphicData>
            </a:graphic>
          </wp:inline>
        </w:drawing>
      </w:r>
    </w:p>
    <w:p w14:paraId="17FF091E" w14:textId="77777777" w:rsidR="00A251CD" w:rsidRPr="00AC439C" w:rsidRDefault="00A251CD" w:rsidP="00A251CD">
      <w:pPr>
        <w:pStyle w:val="Title4"/>
        <w:tabs>
          <w:tab w:val="clear" w:pos="1134"/>
          <w:tab w:val="left" w:pos="851"/>
        </w:tabs>
        <w:spacing w:after="160"/>
      </w:pPr>
      <w:r w:rsidRPr="00AC439C">
        <w:t>Evolution du trafic commercial des passagers par nature (National et International) sur la période 2007-2023</w:t>
      </w:r>
    </w:p>
    <w:p w14:paraId="2E0D74FA" w14:textId="77777777" w:rsidR="00A251CD" w:rsidRPr="00AC439C" w:rsidRDefault="00A251CD" w:rsidP="00A251CD">
      <w:pPr>
        <w:spacing w:after="160"/>
        <w:jc w:val="center"/>
        <w:rPr>
          <w:b/>
        </w:rPr>
      </w:pPr>
      <w:r w:rsidRPr="00AC439C">
        <w:rPr>
          <w:b/>
          <w:noProof/>
          <w:lang w:eastAsia="fr-FR" w:bidi="ar-SA"/>
        </w:rPr>
        <w:drawing>
          <wp:inline distT="0" distB="0" distL="0" distR="0" wp14:anchorId="022F6A6F" wp14:editId="64658E42">
            <wp:extent cx="4144241" cy="2466199"/>
            <wp:effectExtent l="19050" t="19050" r="27940" b="10795"/>
            <wp:docPr id="2129661997" name="Image 2129661997" descr="Une image contenant texte, diagramme, Police, Tracé&#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1" descr="Une image contenant texte, diagramme, Police, Tracé&#10;&#10;Description générée automatiquement"/>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4165538" cy="2478873"/>
                    </a:xfrm>
                    <a:prstGeom prst="rect">
                      <a:avLst/>
                    </a:prstGeom>
                    <a:noFill/>
                    <a:ln>
                      <a:solidFill>
                        <a:schemeClr val="tx1">
                          <a:lumMod val="50000"/>
                          <a:lumOff val="50000"/>
                        </a:schemeClr>
                      </a:solidFill>
                    </a:ln>
                  </pic:spPr>
                </pic:pic>
              </a:graphicData>
            </a:graphic>
          </wp:inline>
        </w:drawing>
      </w:r>
    </w:p>
    <w:p w14:paraId="554D73AF" w14:textId="5F04A598" w:rsidR="00A251CD" w:rsidRDefault="006C49DE" w:rsidP="00A251CD">
      <w:pPr>
        <w:pStyle w:val="Title4"/>
        <w:tabs>
          <w:tab w:val="clear" w:pos="1134"/>
          <w:tab w:val="left" w:pos="851"/>
        </w:tabs>
        <w:spacing w:before="240"/>
      </w:pPr>
      <w:r>
        <w:t>Prévisions du trafic aérien de l’aéroport aux horizons 2030, 2035 et 2040</w:t>
      </w:r>
      <w:r w:rsidR="00A251CD">
        <w:t> </w:t>
      </w:r>
    </w:p>
    <w:tbl>
      <w:tblPr>
        <w:tblW w:w="6420" w:type="dxa"/>
        <w:jc w:val="center"/>
        <w:tblCellMar>
          <w:left w:w="70" w:type="dxa"/>
          <w:right w:w="70" w:type="dxa"/>
        </w:tblCellMar>
        <w:tblLook w:val="04A0" w:firstRow="1" w:lastRow="0" w:firstColumn="1" w:lastColumn="0" w:noHBand="0" w:noVBand="1"/>
      </w:tblPr>
      <w:tblGrid>
        <w:gridCol w:w="2360"/>
        <w:gridCol w:w="1340"/>
        <w:gridCol w:w="1240"/>
        <w:gridCol w:w="1480"/>
      </w:tblGrid>
      <w:tr w:rsidR="006C49DE" w:rsidRPr="00AD72B9" w14:paraId="433A3949" w14:textId="77777777" w:rsidTr="006C49DE">
        <w:trPr>
          <w:trHeight w:val="315"/>
          <w:jc w:val="center"/>
        </w:trPr>
        <w:tc>
          <w:tcPr>
            <w:tcW w:w="2360" w:type="dxa"/>
            <w:tcBorders>
              <w:top w:val="single" w:sz="4" w:space="0" w:color="auto"/>
              <w:left w:val="single" w:sz="4" w:space="0" w:color="auto"/>
              <w:bottom w:val="single" w:sz="4" w:space="0" w:color="auto"/>
              <w:right w:val="single" w:sz="4" w:space="0" w:color="auto"/>
            </w:tcBorders>
            <w:shd w:val="clear" w:color="000000" w:fill="222B35"/>
            <w:noWrap/>
            <w:vAlign w:val="center"/>
            <w:hideMark/>
          </w:tcPr>
          <w:p w14:paraId="614BA643" w14:textId="5051AE4E" w:rsidR="006C49DE" w:rsidRPr="00AD72B9" w:rsidRDefault="006C49DE" w:rsidP="006C49DE">
            <w:pPr>
              <w:spacing w:before="0" w:after="0" w:line="240" w:lineRule="auto"/>
              <w:jc w:val="left"/>
              <w:rPr>
                <w:rFonts w:cs="Calibri"/>
                <w:b/>
                <w:bCs/>
                <w:color w:val="FFFFFF"/>
                <w:sz w:val="24"/>
                <w:szCs w:val="24"/>
                <w:lang w:eastAsia="fr-FR" w:bidi="ar-SA"/>
              </w:rPr>
            </w:pPr>
            <w:r w:rsidRPr="00AD72B9">
              <w:rPr>
                <w:rFonts w:cs="Calibri"/>
                <w:b/>
                <w:bCs/>
                <w:color w:val="FFFFFF"/>
                <w:sz w:val="24"/>
                <w:szCs w:val="24"/>
                <w:lang w:eastAsia="fr-FR" w:bidi="ar-SA"/>
              </w:rPr>
              <w:t>Scénarios</w:t>
            </w:r>
          </w:p>
        </w:tc>
        <w:tc>
          <w:tcPr>
            <w:tcW w:w="1340" w:type="dxa"/>
            <w:tcBorders>
              <w:top w:val="single" w:sz="4" w:space="0" w:color="auto"/>
              <w:left w:val="nil"/>
              <w:bottom w:val="single" w:sz="4" w:space="0" w:color="auto"/>
              <w:right w:val="single" w:sz="4" w:space="0" w:color="auto"/>
            </w:tcBorders>
            <w:shd w:val="clear" w:color="000000" w:fill="222B35"/>
            <w:noWrap/>
            <w:vAlign w:val="center"/>
            <w:hideMark/>
          </w:tcPr>
          <w:p w14:paraId="2E363328" w14:textId="77777777" w:rsidR="006C49DE" w:rsidRPr="00AD72B9" w:rsidRDefault="006C49DE" w:rsidP="006C49DE">
            <w:pPr>
              <w:spacing w:before="0" w:after="0" w:line="240" w:lineRule="auto"/>
              <w:jc w:val="right"/>
              <w:rPr>
                <w:rFonts w:cs="Calibri"/>
                <w:b/>
                <w:bCs/>
                <w:color w:val="FFFFFF"/>
                <w:sz w:val="24"/>
                <w:szCs w:val="24"/>
                <w:lang w:eastAsia="fr-FR" w:bidi="ar-SA"/>
              </w:rPr>
            </w:pPr>
            <w:r w:rsidRPr="00AD72B9">
              <w:rPr>
                <w:rFonts w:cs="Calibri"/>
                <w:b/>
                <w:bCs/>
                <w:color w:val="FFFFFF"/>
                <w:sz w:val="24"/>
                <w:szCs w:val="24"/>
                <w:lang w:eastAsia="fr-FR" w:bidi="ar-SA"/>
              </w:rPr>
              <w:t>2030</w:t>
            </w:r>
          </w:p>
        </w:tc>
        <w:tc>
          <w:tcPr>
            <w:tcW w:w="1240" w:type="dxa"/>
            <w:tcBorders>
              <w:top w:val="single" w:sz="4" w:space="0" w:color="auto"/>
              <w:left w:val="nil"/>
              <w:bottom w:val="single" w:sz="4" w:space="0" w:color="auto"/>
              <w:right w:val="single" w:sz="4" w:space="0" w:color="auto"/>
            </w:tcBorders>
            <w:shd w:val="clear" w:color="000000" w:fill="222B35"/>
            <w:noWrap/>
            <w:vAlign w:val="center"/>
            <w:hideMark/>
          </w:tcPr>
          <w:p w14:paraId="70553EB3" w14:textId="77777777" w:rsidR="006C49DE" w:rsidRPr="00AD72B9" w:rsidRDefault="006C49DE" w:rsidP="006C49DE">
            <w:pPr>
              <w:spacing w:before="0" w:after="0" w:line="240" w:lineRule="auto"/>
              <w:jc w:val="right"/>
              <w:rPr>
                <w:rFonts w:cs="Calibri"/>
                <w:b/>
                <w:bCs/>
                <w:color w:val="FFFFFF"/>
                <w:sz w:val="24"/>
                <w:szCs w:val="24"/>
                <w:lang w:eastAsia="fr-FR" w:bidi="ar-SA"/>
              </w:rPr>
            </w:pPr>
            <w:r w:rsidRPr="00AD72B9">
              <w:rPr>
                <w:rFonts w:cs="Calibri"/>
                <w:b/>
                <w:bCs/>
                <w:color w:val="FFFFFF"/>
                <w:sz w:val="24"/>
                <w:szCs w:val="24"/>
                <w:lang w:eastAsia="fr-FR" w:bidi="ar-SA"/>
              </w:rPr>
              <w:t>2035</w:t>
            </w:r>
          </w:p>
        </w:tc>
        <w:tc>
          <w:tcPr>
            <w:tcW w:w="1480" w:type="dxa"/>
            <w:tcBorders>
              <w:top w:val="single" w:sz="4" w:space="0" w:color="auto"/>
              <w:left w:val="nil"/>
              <w:bottom w:val="single" w:sz="4" w:space="0" w:color="auto"/>
              <w:right w:val="single" w:sz="4" w:space="0" w:color="auto"/>
            </w:tcBorders>
            <w:shd w:val="clear" w:color="000000" w:fill="222B35"/>
            <w:noWrap/>
            <w:vAlign w:val="center"/>
            <w:hideMark/>
          </w:tcPr>
          <w:p w14:paraId="11534993" w14:textId="77777777" w:rsidR="006C49DE" w:rsidRPr="00AD72B9" w:rsidRDefault="006C49DE" w:rsidP="006C49DE">
            <w:pPr>
              <w:spacing w:before="0" w:after="0" w:line="240" w:lineRule="auto"/>
              <w:jc w:val="right"/>
              <w:rPr>
                <w:rFonts w:cs="Calibri"/>
                <w:b/>
                <w:bCs/>
                <w:color w:val="FFFFFF"/>
                <w:sz w:val="24"/>
                <w:szCs w:val="24"/>
                <w:lang w:eastAsia="fr-FR" w:bidi="ar-SA"/>
              </w:rPr>
            </w:pPr>
            <w:r w:rsidRPr="00AD72B9">
              <w:rPr>
                <w:rFonts w:cs="Calibri"/>
                <w:b/>
                <w:bCs/>
                <w:color w:val="FFFFFF"/>
                <w:sz w:val="24"/>
                <w:szCs w:val="24"/>
                <w:lang w:eastAsia="fr-FR" w:bidi="ar-SA"/>
              </w:rPr>
              <w:t>2040</w:t>
            </w:r>
          </w:p>
        </w:tc>
      </w:tr>
      <w:tr w:rsidR="006C49DE" w:rsidRPr="00AD72B9" w14:paraId="09F9548B" w14:textId="77777777" w:rsidTr="006C49DE">
        <w:trPr>
          <w:trHeight w:val="315"/>
          <w:jc w:val="center"/>
        </w:trPr>
        <w:tc>
          <w:tcPr>
            <w:tcW w:w="2360" w:type="dxa"/>
            <w:tcBorders>
              <w:top w:val="nil"/>
              <w:left w:val="nil"/>
              <w:bottom w:val="nil"/>
              <w:right w:val="nil"/>
            </w:tcBorders>
            <w:noWrap/>
            <w:vAlign w:val="bottom"/>
            <w:hideMark/>
          </w:tcPr>
          <w:p w14:paraId="2BB477CB" w14:textId="77777777" w:rsidR="006C49DE" w:rsidRPr="00AD72B9" w:rsidRDefault="006C49DE" w:rsidP="006C49DE">
            <w:pPr>
              <w:spacing w:before="0" w:after="0" w:line="240" w:lineRule="auto"/>
              <w:jc w:val="left"/>
              <w:rPr>
                <w:rFonts w:cs="Calibri"/>
                <w:b/>
                <w:bCs/>
                <w:color w:val="000000"/>
                <w:sz w:val="24"/>
                <w:szCs w:val="24"/>
                <w:lang w:eastAsia="fr-FR" w:bidi="ar-SA"/>
              </w:rPr>
            </w:pPr>
            <w:r w:rsidRPr="00AD72B9">
              <w:rPr>
                <w:rFonts w:cs="Calibri"/>
                <w:b/>
                <w:bCs/>
                <w:color w:val="000000"/>
                <w:sz w:val="24"/>
                <w:szCs w:val="24"/>
                <w:lang w:eastAsia="fr-FR" w:bidi="ar-SA"/>
              </w:rPr>
              <w:t>Moyen</w:t>
            </w:r>
          </w:p>
        </w:tc>
        <w:tc>
          <w:tcPr>
            <w:tcW w:w="1340" w:type="dxa"/>
            <w:tcBorders>
              <w:top w:val="nil"/>
              <w:left w:val="nil"/>
              <w:bottom w:val="nil"/>
              <w:right w:val="nil"/>
            </w:tcBorders>
            <w:shd w:val="clear" w:color="000000" w:fill="BFBFBF"/>
            <w:noWrap/>
            <w:vAlign w:val="bottom"/>
            <w:hideMark/>
          </w:tcPr>
          <w:p w14:paraId="45646B28" w14:textId="77777777" w:rsidR="006C49DE" w:rsidRPr="00AD72B9" w:rsidRDefault="006C49DE" w:rsidP="006C49DE">
            <w:pPr>
              <w:spacing w:before="0" w:after="0" w:line="240" w:lineRule="auto"/>
              <w:jc w:val="right"/>
              <w:rPr>
                <w:rFonts w:cs="Calibri"/>
                <w:b/>
                <w:bCs/>
                <w:color w:val="000000"/>
                <w:sz w:val="24"/>
                <w:szCs w:val="24"/>
                <w:lang w:eastAsia="fr-FR" w:bidi="ar-SA"/>
              </w:rPr>
            </w:pPr>
            <w:r w:rsidRPr="00AD72B9">
              <w:rPr>
                <w:rFonts w:cs="Calibri"/>
                <w:b/>
                <w:bCs/>
                <w:color w:val="000000"/>
                <w:sz w:val="24"/>
                <w:szCs w:val="24"/>
                <w:lang w:eastAsia="fr-FR" w:bidi="ar-SA"/>
              </w:rPr>
              <w:t>14,2</w:t>
            </w:r>
          </w:p>
        </w:tc>
        <w:tc>
          <w:tcPr>
            <w:tcW w:w="1240" w:type="dxa"/>
            <w:tcBorders>
              <w:top w:val="nil"/>
              <w:left w:val="nil"/>
              <w:bottom w:val="nil"/>
              <w:right w:val="nil"/>
            </w:tcBorders>
            <w:shd w:val="clear" w:color="000000" w:fill="BFBFBF"/>
            <w:noWrap/>
            <w:vAlign w:val="bottom"/>
            <w:hideMark/>
          </w:tcPr>
          <w:p w14:paraId="386FB127" w14:textId="77777777" w:rsidR="006C49DE" w:rsidRPr="00AD72B9" w:rsidRDefault="006C49DE" w:rsidP="006C49DE">
            <w:pPr>
              <w:spacing w:before="0" w:after="0" w:line="240" w:lineRule="auto"/>
              <w:jc w:val="right"/>
              <w:rPr>
                <w:rFonts w:cs="Calibri"/>
                <w:b/>
                <w:bCs/>
                <w:color w:val="000000"/>
                <w:sz w:val="24"/>
                <w:szCs w:val="24"/>
                <w:lang w:eastAsia="fr-FR" w:bidi="ar-SA"/>
              </w:rPr>
            </w:pPr>
            <w:r w:rsidRPr="00AD72B9">
              <w:rPr>
                <w:rFonts w:cs="Calibri"/>
                <w:b/>
                <w:bCs/>
                <w:color w:val="000000"/>
                <w:sz w:val="24"/>
                <w:szCs w:val="24"/>
                <w:lang w:eastAsia="fr-FR" w:bidi="ar-SA"/>
              </w:rPr>
              <w:t>20,5</w:t>
            </w:r>
          </w:p>
        </w:tc>
        <w:tc>
          <w:tcPr>
            <w:tcW w:w="1480" w:type="dxa"/>
            <w:tcBorders>
              <w:top w:val="nil"/>
              <w:left w:val="nil"/>
              <w:bottom w:val="nil"/>
              <w:right w:val="nil"/>
            </w:tcBorders>
            <w:shd w:val="clear" w:color="000000" w:fill="BFBFBF"/>
            <w:noWrap/>
            <w:vAlign w:val="bottom"/>
            <w:hideMark/>
          </w:tcPr>
          <w:p w14:paraId="2FEBF3EB" w14:textId="77777777" w:rsidR="006C49DE" w:rsidRPr="00AD72B9" w:rsidRDefault="006C49DE" w:rsidP="006C49DE">
            <w:pPr>
              <w:spacing w:before="0" w:after="0" w:line="240" w:lineRule="auto"/>
              <w:jc w:val="right"/>
              <w:rPr>
                <w:rFonts w:cs="Calibri"/>
                <w:b/>
                <w:bCs/>
                <w:color w:val="000000"/>
                <w:sz w:val="24"/>
                <w:szCs w:val="24"/>
                <w:lang w:eastAsia="fr-FR" w:bidi="ar-SA"/>
              </w:rPr>
            </w:pPr>
            <w:r w:rsidRPr="00AD72B9">
              <w:rPr>
                <w:rFonts w:cs="Calibri"/>
                <w:b/>
                <w:bCs/>
                <w:color w:val="000000"/>
                <w:sz w:val="24"/>
                <w:szCs w:val="24"/>
                <w:lang w:eastAsia="fr-FR" w:bidi="ar-SA"/>
              </w:rPr>
              <w:t>28,4</w:t>
            </w:r>
          </w:p>
        </w:tc>
      </w:tr>
      <w:tr w:rsidR="006C49DE" w:rsidRPr="00AD72B9" w14:paraId="051B78BC" w14:textId="77777777" w:rsidTr="006C49DE">
        <w:trPr>
          <w:trHeight w:val="315"/>
          <w:jc w:val="center"/>
        </w:trPr>
        <w:tc>
          <w:tcPr>
            <w:tcW w:w="2360" w:type="dxa"/>
            <w:tcBorders>
              <w:top w:val="nil"/>
              <w:left w:val="nil"/>
              <w:bottom w:val="nil"/>
              <w:right w:val="nil"/>
            </w:tcBorders>
            <w:noWrap/>
            <w:vAlign w:val="bottom"/>
            <w:hideMark/>
          </w:tcPr>
          <w:p w14:paraId="3D2D07A0" w14:textId="77777777" w:rsidR="006C49DE" w:rsidRPr="00AD72B9" w:rsidRDefault="006C49DE" w:rsidP="006C49DE">
            <w:pPr>
              <w:spacing w:before="0" w:after="0" w:line="240" w:lineRule="auto"/>
              <w:jc w:val="left"/>
              <w:rPr>
                <w:rFonts w:cs="Calibri"/>
                <w:b/>
                <w:bCs/>
                <w:color w:val="000000"/>
                <w:sz w:val="24"/>
                <w:szCs w:val="24"/>
                <w:lang w:eastAsia="fr-FR" w:bidi="ar-SA"/>
              </w:rPr>
            </w:pPr>
            <w:r w:rsidRPr="00AD72B9">
              <w:rPr>
                <w:rFonts w:cs="Calibri"/>
                <w:b/>
                <w:bCs/>
                <w:color w:val="000000"/>
                <w:sz w:val="24"/>
                <w:szCs w:val="24"/>
                <w:lang w:eastAsia="fr-FR" w:bidi="ar-SA"/>
              </w:rPr>
              <w:t>Haut</w:t>
            </w:r>
          </w:p>
        </w:tc>
        <w:tc>
          <w:tcPr>
            <w:tcW w:w="1340" w:type="dxa"/>
            <w:tcBorders>
              <w:top w:val="nil"/>
              <w:left w:val="nil"/>
              <w:bottom w:val="nil"/>
              <w:right w:val="nil"/>
            </w:tcBorders>
            <w:shd w:val="clear" w:color="000000" w:fill="BFBFBF"/>
            <w:noWrap/>
            <w:vAlign w:val="bottom"/>
            <w:hideMark/>
          </w:tcPr>
          <w:p w14:paraId="038A68A2" w14:textId="77777777" w:rsidR="006C49DE" w:rsidRPr="00AD72B9" w:rsidRDefault="006C49DE" w:rsidP="006C49DE">
            <w:pPr>
              <w:spacing w:before="0" w:after="0" w:line="240" w:lineRule="auto"/>
              <w:jc w:val="right"/>
              <w:rPr>
                <w:rFonts w:cs="Calibri"/>
                <w:b/>
                <w:bCs/>
                <w:color w:val="000000"/>
                <w:sz w:val="24"/>
                <w:szCs w:val="24"/>
                <w:lang w:eastAsia="fr-FR" w:bidi="ar-SA"/>
              </w:rPr>
            </w:pPr>
            <w:r w:rsidRPr="00AD72B9">
              <w:rPr>
                <w:rFonts w:cs="Calibri"/>
                <w:b/>
                <w:bCs/>
                <w:color w:val="000000"/>
                <w:sz w:val="24"/>
                <w:szCs w:val="24"/>
                <w:lang w:eastAsia="fr-FR" w:bidi="ar-SA"/>
              </w:rPr>
              <w:t>16,9</w:t>
            </w:r>
          </w:p>
        </w:tc>
        <w:tc>
          <w:tcPr>
            <w:tcW w:w="1240" w:type="dxa"/>
            <w:tcBorders>
              <w:top w:val="nil"/>
              <w:left w:val="nil"/>
              <w:bottom w:val="nil"/>
              <w:right w:val="nil"/>
            </w:tcBorders>
            <w:shd w:val="clear" w:color="000000" w:fill="BFBFBF"/>
            <w:noWrap/>
            <w:vAlign w:val="bottom"/>
            <w:hideMark/>
          </w:tcPr>
          <w:p w14:paraId="6FDCCAB7" w14:textId="77777777" w:rsidR="006C49DE" w:rsidRPr="00AD72B9" w:rsidRDefault="006C49DE" w:rsidP="006C49DE">
            <w:pPr>
              <w:spacing w:before="0" w:after="0" w:line="240" w:lineRule="auto"/>
              <w:jc w:val="right"/>
              <w:rPr>
                <w:rFonts w:cs="Calibri"/>
                <w:b/>
                <w:bCs/>
                <w:color w:val="000000"/>
                <w:sz w:val="24"/>
                <w:szCs w:val="24"/>
                <w:lang w:eastAsia="fr-FR" w:bidi="ar-SA"/>
              </w:rPr>
            </w:pPr>
            <w:r w:rsidRPr="00AD72B9">
              <w:rPr>
                <w:rFonts w:cs="Calibri"/>
                <w:b/>
                <w:bCs/>
                <w:color w:val="000000"/>
                <w:sz w:val="24"/>
                <w:szCs w:val="24"/>
                <w:lang w:eastAsia="fr-FR" w:bidi="ar-SA"/>
              </w:rPr>
              <w:t>25,8</w:t>
            </w:r>
          </w:p>
        </w:tc>
        <w:tc>
          <w:tcPr>
            <w:tcW w:w="1480" w:type="dxa"/>
            <w:tcBorders>
              <w:top w:val="nil"/>
              <w:left w:val="nil"/>
              <w:bottom w:val="nil"/>
              <w:right w:val="nil"/>
            </w:tcBorders>
            <w:shd w:val="clear" w:color="000000" w:fill="BFBFBF"/>
            <w:noWrap/>
            <w:vAlign w:val="bottom"/>
            <w:hideMark/>
          </w:tcPr>
          <w:p w14:paraId="0459D3B5" w14:textId="77777777" w:rsidR="006C49DE" w:rsidRPr="00AD72B9" w:rsidRDefault="006C49DE" w:rsidP="006C49DE">
            <w:pPr>
              <w:spacing w:before="0" w:after="0" w:line="240" w:lineRule="auto"/>
              <w:jc w:val="right"/>
              <w:rPr>
                <w:rFonts w:cs="Calibri"/>
                <w:b/>
                <w:bCs/>
                <w:color w:val="000000"/>
                <w:sz w:val="24"/>
                <w:szCs w:val="24"/>
                <w:lang w:eastAsia="fr-FR" w:bidi="ar-SA"/>
              </w:rPr>
            </w:pPr>
            <w:r w:rsidRPr="00AD72B9">
              <w:rPr>
                <w:rFonts w:cs="Calibri"/>
                <w:b/>
                <w:bCs/>
                <w:color w:val="000000"/>
                <w:sz w:val="24"/>
                <w:szCs w:val="24"/>
                <w:lang w:eastAsia="fr-FR" w:bidi="ar-SA"/>
              </w:rPr>
              <w:t>35,7</w:t>
            </w:r>
          </w:p>
        </w:tc>
      </w:tr>
      <w:tr w:rsidR="006C49DE" w:rsidRPr="00AD72B9" w14:paraId="2CAC3780" w14:textId="77777777" w:rsidTr="006C49DE">
        <w:trPr>
          <w:trHeight w:val="315"/>
          <w:jc w:val="center"/>
        </w:trPr>
        <w:tc>
          <w:tcPr>
            <w:tcW w:w="2360" w:type="dxa"/>
            <w:tcBorders>
              <w:top w:val="nil"/>
              <w:left w:val="nil"/>
              <w:bottom w:val="nil"/>
              <w:right w:val="nil"/>
            </w:tcBorders>
            <w:noWrap/>
            <w:vAlign w:val="bottom"/>
            <w:hideMark/>
          </w:tcPr>
          <w:p w14:paraId="09F37DB2" w14:textId="77777777" w:rsidR="006C49DE" w:rsidRPr="00AD72B9" w:rsidRDefault="006C49DE" w:rsidP="006C49DE">
            <w:pPr>
              <w:spacing w:before="0" w:after="0" w:line="240" w:lineRule="auto"/>
              <w:jc w:val="left"/>
              <w:rPr>
                <w:rFonts w:cs="Calibri"/>
                <w:b/>
                <w:bCs/>
                <w:color w:val="000000"/>
                <w:sz w:val="24"/>
                <w:szCs w:val="24"/>
                <w:lang w:eastAsia="fr-FR" w:bidi="ar-SA"/>
              </w:rPr>
            </w:pPr>
            <w:r w:rsidRPr="00AD72B9">
              <w:rPr>
                <w:rFonts w:cs="Calibri"/>
                <w:b/>
                <w:bCs/>
                <w:color w:val="000000"/>
                <w:sz w:val="24"/>
                <w:szCs w:val="24"/>
                <w:lang w:eastAsia="fr-FR" w:bidi="ar-SA"/>
              </w:rPr>
              <w:lastRenderedPageBreak/>
              <w:t>Bas</w:t>
            </w:r>
          </w:p>
        </w:tc>
        <w:tc>
          <w:tcPr>
            <w:tcW w:w="1340" w:type="dxa"/>
            <w:tcBorders>
              <w:top w:val="nil"/>
              <w:left w:val="nil"/>
              <w:bottom w:val="nil"/>
              <w:right w:val="nil"/>
            </w:tcBorders>
            <w:shd w:val="clear" w:color="000000" w:fill="BFBFBF"/>
            <w:noWrap/>
            <w:vAlign w:val="bottom"/>
            <w:hideMark/>
          </w:tcPr>
          <w:p w14:paraId="5D29CE62" w14:textId="77777777" w:rsidR="006C49DE" w:rsidRPr="00AD72B9" w:rsidRDefault="006C49DE" w:rsidP="006C49DE">
            <w:pPr>
              <w:spacing w:before="0" w:after="0" w:line="240" w:lineRule="auto"/>
              <w:jc w:val="right"/>
              <w:rPr>
                <w:rFonts w:cs="Calibri"/>
                <w:b/>
                <w:bCs/>
                <w:color w:val="000000"/>
                <w:sz w:val="24"/>
                <w:szCs w:val="24"/>
                <w:lang w:eastAsia="fr-FR" w:bidi="ar-SA"/>
              </w:rPr>
            </w:pPr>
            <w:r w:rsidRPr="00AD72B9">
              <w:rPr>
                <w:rFonts w:cs="Calibri"/>
                <w:b/>
                <w:bCs/>
                <w:color w:val="000000"/>
                <w:sz w:val="24"/>
                <w:szCs w:val="24"/>
                <w:lang w:eastAsia="fr-FR" w:bidi="ar-SA"/>
              </w:rPr>
              <w:t>11,5</w:t>
            </w:r>
          </w:p>
        </w:tc>
        <w:tc>
          <w:tcPr>
            <w:tcW w:w="1240" w:type="dxa"/>
            <w:tcBorders>
              <w:top w:val="nil"/>
              <w:left w:val="nil"/>
              <w:bottom w:val="nil"/>
              <w:right w:val="nil"/>
            </w:tcBorders>
            <w:shd w:val="clear" w:color="000000" w:fill="BFBFBF"/>
            <w:noWrap/>
            <w:vAlign w:val="bottom"/>
            <w:hideMark/>
          </w:tcPr>
          <w:p w14:paraId="27DF72B3" w14:textId="77777777" w:rsidR="006C49DE" w:rsidRPr="00AD72B9" w:rsidRDefault="006C49DE" w:rsidP="006C49DE">
            <w:pPr>
              <w:spacing w:before="0" w:after="0" w:line="240" w:lineRule="auto"/>
              <w:jc w:val="right"/>
              <w:rPr>
                <w:rFonts w:cs="Calibri"/>
                <w:b/>
                <w:bCs/>
                <w:color w:val="000000"/>
                <w:sz w:val="24"/>
                <w:szCs w:val="24"/>
                <w:lang w:eastAsia="fr-FR" w:bidi="ar-SA"/>
              </w:rPr>
            </w:pPr>
            <w:r w:rsidRPr="00AD72B9">
              <w:rPr>
                <w:rFonts w:cs="Calibri"/>
                <w:b/>
                <w:bCs/>
                <w:color w:val="000000"/>
                <w:sz w:val="24"/>
                <w:szCs w:val="24"/>
                <w:lang w:eastAsia="fr-FR" w:bidi="ar-SA"/>
              </w:rPr>
              <w:t>16,5</w:t>
            </w:r>
          </w:p>
        </w:tc>
        <w:tc>
          <w:tcPr>
            <w:tcW w:w="1480" w:type="dxa"/>
            <w:tcBorders>
              <w:top w:val="nil"/>
              <w:left w:val="nil"/>
              <w:bottom w:val="nil"/>
              <w:right w:val="nil"/>
            </w:tcBorders>
            <w:shd w:val="clear" w:color="000000" w:fill="BFBFBF"/>
            <w:noWrap/>
            <w:vAlign w:val="bottom"/>
            <w:hideMark/>
          </w:tcPr>
          <w:p w14:paraId="4240027C" w14:textId="77777777" w:rsidR="006C49DE" w:rsidRPr="00AD72B9" w:rsidRDefault="006C49DE" w:rsidP="006C49DE">
            <w:pPr>
              <w:spacing w:before="0" w:after="0" w:line="240" w:lineRule="auto"/>
              <w:jc w:val="right"/>
              <w:rPr>
                <w:rFonts w:cs="Calibri"/>
                <w:b/>
                <w:bCs/>
                <w:color w:val="000000"/>
                <w:sz w:val="24"/>
                <w:szCs w:val="24"/>
                <w:lang w:eastAsia="fr-FR" w:bidi="ar-SA"/>
              </w:rPr>
            </w:pPr>
            <w:r w:rsidRPr="00AD72B9">
              <w:rPr>
                <w:rFonts w:cs="Calibri"/>
                <w:b/>
                <w:bCs/>
                <w:color w:val="000000"/>
                <w:sz w:val="24"/>
                <w:szCs w:val="24"/>
                <w:lang w:eastAsia="fr-FR" w:bidi="ar-SA"/>
              </w:rPr>
              <w:t>22,9</w:t>
            </w:r>
          </w:p>
        </w:tc>
      </w:tr>
    </w:tbl>
    <w:p w14:paraId="290E2AE3" w14:textId="77777777" w:rsidR="006C49DE" w:rsidRDefault="006C49DE" w:rsidP="00A251CD">
      <w:pPr>
        <w:spacing w:before="160" w:after="160"/>
        <w:jc w:val="center"/>
        <w:rPr>
          <w:rFonts w:cs="Times New Roman"/>
          <w:lang w:val="fr-MA"/>
        </w:rPr>
      </w:pPr>
    </w:p>
    <w:p w14:paraId="3B92B199" w14:textId="77777777" w:rsidR="006C49DE" w:rsidRPr="00B27741" w:rsidRDefault="006C49DE" w:rsidP="006C49DE">
      <w:pPr>
        <w:rPr>
          <w:rFonts w:cs="Times New Roman"/>
          <w:lang w:val="fr-MA"/>
        </w:rPr>
      </w:pPr>
      <w:r w:rsidRPr="00B02518">
        <w:rPr>
          <w:lang w:val="fr-MA"/>
        </w:rPr>
        <w:t xml:space="preserve">Dans le cadre de l’étude du programme de développement à long terme </w:t>
      </w:r>
      <w:r w:rsidRPr="004637C7">
        <w:rPr>
          <w:lang w:val="fr-MA"/>
        </w:rPr>
        <w:t>des aéroports</w:t>
      </w:r>
      <w:r w:rsidRPr="00B02518">
        <w:rPr>
          <w:lang w:val="fr-MA"/>
        </w:rPr>
        <w:t>, un modèle économétrique a été élaboré</w:t>
      </w:r>
      <w:r>
        <w:rPr>
          <w:lang w:val="fr-MA"/>
        </w:rPr>
        <w:t xml:space="preserve"> </w:t>
      </w:r>
      <w:r w:rsidRPr="00B02518">
        <w:rPr>
          <w:lang w:val="fr-MA"/>
        </w:rPr>
        <w:t>mettant en relation l’évolution du trafic aérien de l’aéroport avec le PIB national et le PIB des principaux marchés émetteurs considérés comme les variables les plus influentes. En application de ce modèle</w:t>
      </w:r>
      <w:r>
        <w:rPr>
          <w:lang w:val="fr-MA"/>
        </w:rPr>
        <w:t xml:space="preserve"> et en considérant également les prévisions de croissance du secteur touristique et du trafic domestique issu </w:t>
      </w:r>
      <w:r w:rsidRPr="007C6FE1">
        <w:t xml:space="preserve">du contrat programme de </w:t>
      </w:r>
      <w:r>
        <w:t xml:space="preserve">la </w:t>
      </w:r>
      <w:r w:rsidRPr="007C6FE1">
        <w:t>RAM et d</w:t>
      </w:r>
      <w:r>
        <w:t>’impact d’introduction</w:t>
      </w:r>
      <w:r w:rsidRPr="007C6FE1">
        <w:t xml:space="preserve"> de Ryanair</w:t>
      </w:r>
      <w:r w:rsidRPr="00B02518">
        <w:rPr>
          <w:lang w:val="fr-MA"/>
        </w:rPr>
        <w:t xml:space="preserve">, il est prévu d’atteindre </w:t>
      </w:r>
      <w:r w:rsidRPr="00B02518">
        <w:rPr>
          <w:rFonts w:cs="Times New Roman"/>
          <w:lang w:val="fr-MA"/>
        </w:rPr>
        <w:t xml:space="preserve">un trafic de </w:t>
      </w:r>
      <w:r>
        <w:rPr>
          <w:rFonts w:cs="Times New Roman"/>
          <w:b/>
          <w:bCs/>
          <w:lang w:val="fr-MA"/>
        </w:rPr>
        <w:t>14,2</w:t>
      </w:r>
      <w:r w:rsidRPr="00B02518">
        <w:rPr>
          <w:rFonts w:cs="Times New Roman"/>
          <w:b/>
          <w:bCs/>
          <w:lang w:val="fr-MA"/>
        </w:rPr>
        <w:t xml:space="preserve"> Millions</w:t>
      </w:r>
      <w:r w:rsidRPr="00B02518">
        <w:rPr>
          <w:rFonts w:cs="Times New Roman"/>
          <w:lang w:val="fr-MA"/>
        </w:rPr>
        <w:t xml:space="preserve"> de passagers en 20</w:t>
      </w:r>
      <w:r>
        <w:rPr>
          <w:rFonts w:cs="Times New Roman"/>
          <w:lang w:val="fr-MA"/>
        </w:rPr>
        <w:t>3</w:t>
      </w:r>
      <w:r w:rsidRPr="00B02518">
        <w:rPr>
          <w:rFonts w:cs="Times New Roman"/>
          <w:lang w:val="fr-MA"/>
        </w:rPr>
        <w:t xml:space="preserve">0 et de </w:t>
      </w:r>
      <w:r>
        <w:rPr>
          <w:rFonts w:cs="Times New Roman"/>
          <w:b/>
          <w:bCs/>
          <w:lang w:val="fr-MA"/>
        </w:rPr>
        <w:t>28,4</w:t>
      </w:r>
      <w:r w:rsidRPr="00B02518">
        <w:rPr>
          <w:rFonts w:cs="Times New Roman"/>
          <w:b/>
          <w:bCs/>
          <w:lang w:val="fr-MA"/>
        </w:rPr>
        <w:t xml:space="preserve"> Millions</w:t>
      </w:r>
      <w:r w:rsidRPr="00B02518">
        <w:rPr>
          <w:rFonts w:cs="Times New Roman"/>
          <w:lang w:val="fr-MA"/>
        </w:rPr>
        <w:t xml:space="preserve"> passagers en 20</w:t>
      </w:r>
      <w:r>
        <w:rPr>
          <w:rFonts w:cs="Times New Roman"/>
          <w:lang w:val="fr-MA"/>
        </w:rPr>
        <w:t>4</w:t>
      </w:r>
      <w:r w:rsidRPr="00B02518">
        <w:rPr>
          <w:rFonts w:cs="Times New Roman"/>
          <w:lang w:val="fr-MA"/>
        </w:rPr>
        <w:t>0</w:t>
      </w:r>
      <w:r>
        <w:rPr>
          <w:rFonts w:cs="Times New Roman"/>
          <w:lang w:val="fr-MA"/>
        </w:rPr>
        <w:t xml:space="preserve"> selon le scénario moyen</w:t>
      </w:r>
      <w:r w:rsidRPr="00B02518">
        <w:rPr>
          <w:rFonts w:cs="Times New Roman"/>
          <w:lang w:val="fr-MA"/>
        </w:rPr>
        <w:t>.</w:t>
      </w:r>
    </w:p>
    <w:p w14:paraId="7231564F" w14:textId="77777777" w:rsidR="00A251CD" w:rsidRDefault="00A251CD" w:rsidP="00A251CD">
      <w:pPr>
        <w:pStyle w:val="Title3"/>
      </w:pPr>
      <w:bookmarkStart w:id="218" w:name="_Toc214025285"/>
      <w:bookmarkStart w:id="219" w:name="_Toc215131831"/>
      <w:bookmarkEnd w:id="218"/>
      <w:r>
        <w:t>Consistance des travaux</w:t>
      </w:r>
      <w:bookmarkEnd w:id="219"/>
    </w:p>
    <w:p w14:paraId="54FCB7A6" w14:textId="429F356E" w:rsidR="00587ED2" w:rsidRDefault="00587ED2" w:rsidP="00587ED2">
      <w:r>
        <w:t xml:space="preserve">Le projet d’extension de l’aéroport </w:t>
      </w:r>
      <w:r w:rsidR="00996FC0">
        <w:t xml:space="preserve">Marrakech Ménara </w:t>
      </w:r>
      <w:r>
        <w:t>s’inscrit dans le cadre du programme national de développement et de modernisation des infrastructures aéroportuaires piloté par l’ONDA.</w:t>
      </w:r>
    </w:p>
    <w:p w14:paraId="136DADE3" w14:textId="476D4C57" w:rsidR="00825B02" w:rsidRDefault="00587ED2" w:rsidP="00825B02">
      <w:r>
        <w:t>L’extension prévoit la construction de nouvelles aires de stationnement avions et des voies de circulation associées, ainsi que le renforcement des équipements techniques et de sûreté</w:t>
      </w:r>
      <w:r w:rsidR="00825B02">
        <w:t xml:space="preserve">. </w:t>
      </w:r>
    </w:p>
    <w:p w14:paraId="5E943283" w14:textId="0EC40D6B" w:rsidR="00825B02" w:rsidRDefault="00825B02" w:rsidP="00D60FC9">
      <w:pPr>
        <w:pStyle w:val="Title3"/>
      </w:pPr>
      <w:bookmarkStart w:id="220" w:name="_Toc215131832"/>
      <w:r w:rsidRPr="00825B02">
        <w:t xml:space="preserve">Évolution de la capacité de l’aéroport </w:t>
      </w:r>
      <w:r w:rsidR="00996FC0">
        <w:t xml:space="preserve">de Marrakech </w:t>
      </w:r>
      <w:r w:rsidRPr="00825B02">
        <w:t>avant et après le projet de développement</w:t>
      </w:r>
      <w:bookmarkEnd w:id="220"/>
    </w:p>
    <w:p w14:paraId="638FB3FC" w14:textId="3DBDCDC1" w:rsidR="00825B02" w:rsidRPr="00D60FC9" w:rsidRDefault="00825B02" w:rsidP="00825B02">
      <w:r w:rsidRPr="00D60FC9">
        <w:t xml:space="preserve">La capacité actuelle de l’aéroport </w:t>
      </w:r>
      <w:r w:rsidR="00180EC0">
        <w:t>Marrakech Ménara</w:t>
      </w:r>
      <w:r w:rsidR="00180EC0" w:rsidRPr="00D60FC9">
        <w:t xml:space="preserve"> </w:t>
      </w:r>
      <w:r w:rsidRPr="00D60FC9">
        <w:t>est estimée à</w:t>
      </w:r>
      <w:r w:rsidR="00996FC0">
        <w:t xml:space="preserve"> </w:t>
      </w:r>
      <w:r w:rsidR="00A20568">
        <w:t>8</w:t>
      </w:r>
      <w:r w:rsidRPr="00D60FC9">
        <w:t xml:space="preserve"> millions de passagers par an. Cependant, dans le cadre du projet de développement prévu, cette capacité sera considérablement augmentée pour atteindre </w:t>
      </w:r>
      <w:r w:rsidR="00A20568">
        <w:t>16</w:t>
      </w:r>
      <w:r w:rsidRPr="00D60FC9">
        <w:t xml:space="preserve"> millions de passagers par an.</w:t>
      </w:r>
    </w:p>
    <w:p w14:paraId="140B8E5F" w14:textId="3526D0EA" w:rsidR="00587ED2" w:rsidRDefault="00825B02" w:rsidP="00D60FC9">
      <w:r w:rsidRPr="00D60FC9">
        <w:t xml:space="preserve">Cette extension vise à accompagner la croissance du trafic aérien national et international liée au dynamisme touristique et économique de la région </w:t>
      </w:r>
      <w:r w:rsidR="00A20568">
        <w:t>Marrakech – Safi</w:t>
      </w:r>
      <w:r w:rsidRPr="00D60FC9">
        <w:t>, tout en améliorant la qualité des services aéroportuaires et la fluidité des opérations au sein de la plateforme.</w:t>
      </w:r>
    </w:p>
    <w:p w14:paraId="70A98ACB" w14:textId="64F4038F" w:rsidR="004F5809" w:rsidRDefault="004F5809" w:rsidP="004F5809">
      <w:pPr>
        <w:pStyle w:val="Title4"/>
        <w:rPr>
          <w:color w:val="auto"/>
        </w:rPr>
      </w:pPr>
      <w:r w:rsidRPr="004F5809">
        <w:rPr>
          <w:color w:val="auto"/>
        </w:rPr>
        <w:t>Réalisation</w:t>
      </w:r>
      <w:r w:rsidRPr="00D60FC9">
        <w:rPr>
          <w:color w:val="auto"/>
        </w:rPr>
        <w:t xml:space="preserve"> d’une </w:t>
      </w:r>
      <w:r w:rsidRPr="004F5809">
        <w:rPr>
          <w:color w:val="auto"/>
        </w:rPr>
        <w:t>chaussée</w:t>
      </w:r>
      <w:r w:rsidRPr="00D60FC9">
        <w:rPr>
          <w:color w:val="auto"/>
        </w:rPr>
        <w:t xml:space="preserve"> </w:t>
      </w:r>
      <w:r w:rsidRPr="004F5809">
        <w:rPr>
          <w:color w:val="auto"/>
        </w:rPr>
        <w:t>aéronautique</w:t>
      </w:r>
      <w:r w:rsidRPr="00D60FC9">
        <w:rPr>
          <w:color w:val="auto"/>
        </w:rPr>
        <w:t xml:space="preserve"> rigide pour les parkings avions</w:t>
      </w:r>
    </w:p>
    <w:p w14:paraId="236E73C5" w14:textId="77777777" w:rsidR="003B108D" w:rsidRPr="003B108D" w:rsidRDefault="003B108D" w:rsidP="003B108D">
      <w:r w:rsidRPr="003B108D">
        <w:t>Le projet consiste à construire une voie en béton pour avions, appelée chaussée rigide, conçue pour supporter de très fortes charges.</w:t>
      </w:r>
    </w:p>
    <w:p w14:paraId="5F5C08E2" w14:textId="77777777" w:rsidR="003B108D" w:rsidRPr="003B108D" w:rsidRDefault="003B108D" w:rsidP="003B108D">
      <w:r w:rsidRPr="003B108D">
        <w:t>Les travaux comprennent :</w:t>
      </w:r>
    </w:p>
    <w:p w14:paraId="68CDA868" w14:textId="77777777" w:rsidR="003B108D" w:rsidRPr="003B108D" w:rsidRDefault="003B108D" w:rsidP="0001633E">
      <w:pPr>
        <w:numPr>
          <w:ilvl w:val="0"/>
          <w:numId w:val="171"/>
        </w:numPr>
      </w:pPr>
      <w:r w:rsidRPr="003B108D">
        <w:t>La préparation du sol (terrassement, nivellement, compactage),</w:t>
      </w:r>
    </w:p>
    <w:p w14:paraId="34C2839C" w14:textId="77777777" w:rsidR="003B108D" w:rsidRPr="003B108D" w:rsidRDefault="003B108D" w:rsidP="0001633E">
      <w:pPr>
        <w:numPr>
          <w:ilvl w:val="0"/>
          <w:numId w:val="171"/>
        </w:numPr>
      </w:pPr>
      <w:r w:rsidRPr="003B108D">
        <w:t>La mise en place de couches de fondation (matériaux granulaires et grave ciment),</w:t>
      </w:r>
    </w:p>
    <w:p w14:paraId="253FCBBE" w14:textId="77777777" w:rsidR="003B108D" w:rsidRPr="003B108D" w:rsidRDefault="003B108D" w:rsidP="0001633E">
      <w:pPr>
        <w:numPr>
          <w:ilvl w:val="0"/>
          <w:numId w:val="171"/>
        </w:numPr>
      </w:pPr>
      <w:r w:rsidRPr="003B108D">
        <w:t>Puis la réalisation d’une dalle en béton armé durable et plane, avec joints de dilatation,</w:t>
      </w:r>
    </w:p>
    <w:p w14:paraId="1B780A39" w14:textId="77777777" w:rsidR="003B108D" w:rsidRPr="003B108D" w:rsidRDefault="003B108D" w:rsidP="0001633E">
      <w:pPr>
        <w:numPr>
          <w:ilvl w:val="0"/>
          <w:numId w:val="171"/>
        </w:numPr>
      </w:pPr>
      <w:r w:rsidRPr="003B108D">
        <w:t>Enfin le marquage au sol pour le guidage des avions.</w:t>
      </w:r>
    </w:p>
    <w:p w14:paraId="672CEA25" w14:textId="77777777" w:rsidR="003B108D" w:rsidRPr="003B108D" w:rsidRDefault="003B108D" w:rsidP="003B108D">
      <w:pPr>
        <w:rPr>
          <w:b/>
          <w:bCs/>
        </w:rPr>
      </w:pPr>
      <w:r w:rsidRPr="003B108D">
        <w:rPr>
          <w:b/>
          <w:bCs/>
        </w:rPr>
        <w:t>Travaux de terrassement :</w:t>
      </w:r>
    </w:p>
    <w:p w14:paraId="411F8B8C" w14:textId="77777777" w:rsidR="003B108D" w:rsidRPr="003B108D" w:rsidRDefault="003B108D" w:rsidP="003B108D">
      <w:r w:rsidRPr="003B108D">
        <w:t xml:space="preserve">Les terrassements généraux consistent à préparer la plate-forme de fondation de la chaussée conformément au profil en long et en travers défini par les plans du projet. </w:t>
      </w:r>
    </w:p>
    <w:p w14:paraId="7239483B" w14:textId="77777777" w:rsidR="003B108D" w:rsidRPr="003B108D" w:rsidRDefault="003B108D" w:rsidP="003B108D">
      <w:r w:rsidRPr="003B108D">
        <w:lastRenderedPageBreak/>
        <w:t>Ils comprennent les travaux préparatoires aux opérations de terrassements, le décapage des terres végétales, les terrassements en déblais et les terrassements en remblais, qui seront nivelés et compactés afin d’obtenir une surface régulière et une portance conforme aux normes en vigueur. Ces travaux comprennent aussi le réglage des formes en déblais ou en remblais avant la mise en place de la structure de chaussée.</w:t>
      </w:r>
    </w:p>
    <w:p w14:paraId="611A2238" w14:textId="77777777" w:rsidR="003B108D" w:rsidRPr="003B108D" w:rsidRDefault="003B108D" w:rsidP="003B108D">
      <w:pPr>
        <w:rPr>
          <w:b/>
          <w:bCs/>
        </w:rPr>
      </w:pPr>
      <w:r w:rsidRPr="003B108D">
        <w:rPr>
          <w:b/>
          <w:bCs/>
        </w:rPr>
        <w:t>Mise en œuvre de la couche de forme</w:t>
      </w:r>
    </w:p>
    <w:p w14:paraId="32FEE361" w14:textId="77777777" w:rsidR="003B108D" w:rsidRDefault="003B108D" w:rsidP="003B108D">
      <w:r w:rsidRPr="003B108D">
        <w:t>La couche de forme assurera la répartition homogène des charges et la protection du sol support.</w:t>
      </w:r>
    </w:p>
    <w:p w14:paraId="429FA6F2" w14:textId="2B9FF821" w:rsidR="003B108D" w:rsidRPr="003B108D" w:rsidRDefault="003B108D" w:rsidP="003B108D">
      <w:r w:rsidRPr="003B108D">
        <w:t>Elle sera réalisée à l’aide de matériaux sélectionnés souvent en GNF, conformes aux spécifications et aux normes en vigueur, étalés en couches d’épaisseurs définies selon le dimensionnement, nivelés et compactés jusqu’à obtention de la portance requise.</w:t>
      </w:r>
    </w:p>
    <w:p w14:paraId="4ABE393D" w14:textId="77777777" w:rsidR="003B108D" w:rsidRPr="003B108D" w:rsidRDefault="003B108D" w:rsidP="003B108D">
      <w:pPr>
        <w:rPr>
          <w:b/>
          <w:bCs/>
        </w:rPr>
      </w:pPr>
      <w:r w:rsidRPr="003B108D">
        <w:rPr>
          <w:b/>
          <w:bCs/>
        </w:rPr>
        <w:t>Mise en œuvre de la couche de base</w:t>
      </w:r>
    </w:p>
    <w:p w14:paraId="7944976B" w14:textId="77777777" w:rsidR="003B108D" w:rsidRDefault="003B108D" w:rsidP="003B108D">
      <w:r w:rsidRPr="003B108D">
        <w:t xml:space="preserve">La couche de base, réalisée en grave ciment sur un support propre et sec, constitue l’élément structurel principal de la chaussée rigide. </w:t>
      </w:r>
    </w:p>
    <w:p w14:paraId="7EA6A476" w14:textId="42D17A10" w:rsidR="003B108D" w:rsidRPr="003B108D" w:rsidRDefault="003B108D" w:rsidP="003B108D">
      <w:r w:rsidRPr="003B108D">
        <w:t>Elle sera réalisée conformément aux spécifications et aux normes en vigueur, en couches d’épaisseur définies selon le dimensionnement, nivelée et compactée jusqu’à obtention de la portance requise.</w:t>
      </w:r>
    </w:p>
    <w:p w14:paraId="57F45175" w14:textId="77777777" w:rsidR="003B108D" w:rsidRPr="003B108D" w:rsidRDefault="003B108D" w:rsidP="003B108D">
      <w:pPr>
        <w:rPr>
          <w:b/>
          <w:bCs/>
        </w:rPr>
      </w:pPr>
      <w:r w:rsidRPr="003B108D">
        <w:rPr>
          <w:b/>
          <w:bCs/>
        </w:rPr>
        <w:t xml:space="preserve">Mise en œuvre de la dalle en béton </w:t>
      </w:r>
    </w:p>
    <w:p w14:paraId="4170B773" w14:textId="77777777" w:rsidR="003B108D" w:rsidRDefault="003B108D" w:rsidP="003B108D">
      <w:r w:rsidRPr="003B108D">
        <w:t xml:space="preserve">La dalle sera réalisée en béton aéronautique de ciment, conforme aux normes aéronautiques et aux spécifications techniques en vigueur. </w:t>
      </w:r>
    </w:p>
    <w:p w14:paraId="1113C75A" w14:textId="77777777" w:rsidR="003B108D" w:rsidRDefault="003B108D" w:rsidP="003B108D">
      <w:r w:rsidRPr="003B108D">
        <w:t>Le béton sera dosé et fabriqué selon la formulation retenue pour garantir résistance mécanique, durabilité et faible retrait.</w:t>
      </w:r>
    </w:p>
    <w:p w14:paraId="3C970E07" w14:textId="77777777" w:rsidR="003B108D" w:rsidRDefault="003B108D" w:rsidP="003B108D">
      <w:r w:rsidRPr="003B108D">
        <w:t>Le béton sera coulé, nivelé, vibré et dressé pour obtenir une surface plane et régulière.</w:t>
      </w:r>
    </w:p>
    <w:p w14:paraId="52E5CF91" w14:textId="46C632C8" w:rsidR="003B108D" w:rsidRPr="003B108D" w:rsidRDefault="003B108D" w:rsidP="003B108D">
      <w:r w:rsidRPr="003B108D">
        <w:t xml:space="preserve">Les joints de dilatation et de retrait seront positionnés conformément aux plans et aux normes, et traités pour assurer l’étanchéité et limiter le risque de fissuration, ainsi que la transmission transversale des charges entre les différentes dalles constituant la chaussée.  </w:t>
      </w:r>
    </w:p>
    <w:p w14:paraId="5558D440" w14:textId="77777777" w:rsidR="003B108D" w:rsidRPr="003B108D" w:rsidRDefault="003B108D" w:rsidP="003B108D">
      <w:pPr>
        <w:rPr>
          <w:b/>
          <w:bCs/>
        </w:rPr>
      </w:pPr>
      <w:r w:rsidRPr="003B108D">
        <w:rPr>
          <w:b/>
          <w:bCs/>
        </w:rPr>
        <w:t>Mise en œuvre du marquage au sol</w:t>
      </w:r>
    </w:p>
    <w:p w14:paraId="48008D16" w14:textId="77777777" w:rsidR="003B108D" w:rsidRDefault="003B108D" w:rsidP="003B108D">
      <w:r w:rsidRPr="003B108D">
        <w:t>Le marquage au sol sera réalisé pour le balisage diurne à l’aide de peinture aéronautique, conformément aux spécifications techniques.</w:t>
      </w:r>
    </w:p>
    <w:p w14:paraId="4BD38EA4" w14:textId="7BA01989" w:rsidR="003B108D" w:rsidRPr="003B108D" w:rsidRDefault="003B108D" w:rsidP="003B108D">
      <w:r w:rsidRPr="003B108D">
        <w:t>Les travaux incluent la préparation du support, le dosage de la peinture et l’application dans des conditions garantissant visibilité, durabilité et conformité aux normes aéronautiques.</w:t>
      </w:r>
    </w:p>
    <w:p w14:paraId="080C7690" w14:textId="1785934B" w:rsidR="00437749" w:rsidRDefault="00437749" w:rsidP="00437749">
      <w:pPr>
        <w:pStyle w:val="Title4"/>
      </w:pPr>
      <w:r>
        <w:t>Réalisation d</w:t>
      </w:r>
      <w:r w:rsidR="003C0A24">
        <w:t xml:space="preserve">’une chaussée aéronautique souple pour les taxiways et les voies de circulation </w:t>
      </w:r>
    </w:p>
    <w:p w14:paraId="721AB283" w14:textId="77777777" w:rsidR="00BA50C6" w:rsidRPr="00BA50C6" w:rsidRDefault="00BA50C6" w:rsidP="00BA50C6">
      <w:r w:rsidRPr="00BA50C6">
        <w:t>Le projet consiste à construire une voie de circulation pour avions (taxiway) avec une chaussée souple, composée de plusieurs couches de matériaux bitumineux et granulaires.</w:t>
      </w:r>
    </w:p>
    <w:p w14:paraId="053F52EA" w14:textId="77777777" w:rsidR="00BA50C6" w:rsidRPr="00BA50C6" w:rsidRDefault="00BA50C6" w:rsidP="00BA50C6">
      <w:r w:rsidRPr="00BA50C6">
        <w:t>Les travaux comprennent :</w:t>
      </w:r>
    </w:p>
    <w:p w14:paraId="695C9048" w14:textId="77777777" w:rsidR="00BA50C6" w:rsidRPr="00BA50C6" w:rsidRDefault="00BA50C6" w:rsidP="0001633E">
      <w:pPr>
        <w:pStyle w:val="Paragraphedeliste"/>
        <w:numPr>
          <w:ilvl w:val="0"/>
          <w:numId w:val="193"/>
        </w:numPr>
      </w:pPr>
      <w:r w:rsidRPr="00BA50C6">
        <w:lastRenderedPageBreak/>
        <w:t>La préparation du sol (terrassement, nivellement, compactage),</w:t>
      </w:r>
    </w:p>
    <w:p w14:paraId="1F17F99E" w14:textId="77777777" w:rsidR="00BA50C6" w:rsidRPr="00BA50C6" w:rsidRDefault="00BA50C6" w:rsidP="0001633E">
      <w:pPr>
        <w:pStyle w:val="Paragraphedeliste"/>
        <w:numPr>
          <w:ilvl w:val="0"/>
          <w:numId w:val="193"/>
        </w:numPr>
      </w:pPr>
      <w:r w:rsidRPr="00BA50C6">
        <w:t>La mise en place progressive des couches (base, liaison, roulement) pour assurer solidité et étanchéité,</w:t>
      </w:r>
    </w:p>
    <w:p w14:paraId="75CFE59B" w14:textId="77777777" w:rsidR="00BA50C6" w:rsidRPr="00BA50C6" w:rsidRDefault="00BA50C6" w:rsidP="0001633E">
      <w:pPr>
        <w:pStyle w:val="Paragraphedeliste"/>
        <w:numPr>
          <w:ilvl w:val="0"/>
          <w:numId w:val="193"/>
        </w:numPr>
      </w:pPr>
      <w:r w:rsidRPr="00BA50C6">
        <w:t>Puis le marquage au sol pour le guidage des avions.</w:t>
      </w:r>
    </w:p>
    <w:p w14:paraId="43A868E3" w14:textId="77777777" w:rsidR="00BA50C6" w:rsidRPr="000445CA" w:rsidRDefault="00BA50C6" w:rsidP="00BA50C6">
      <w:pPr>
        <w:rPr>
          <w:b/>
          <w:bCs/>
        </w:rPr>
      </w:pPr>
      <w:r w:rsidRPr="000445CA">
        <w:rPr>
          <w:b/>
          <w:bCs/>
        </w:rPr>
        <w:t>Travaux de terrassement :</w:t>
      </w:r>
    </w:p>
    <w:p w14:paraId="2ECCB6CA" w14:textId="77777777" w:rsidR="00BA50C6" w:rsidRPr="00BA50C6" w:rsidRDefault="00BA50C6" w:rsidP="00BA50C6">
      <w:r w:rsidRPr="00BA50C6">
        <w:t xml:space="preserve">Les terrassements généraux consistent à préparer la plate-forme de fondation de la chaussée conformément au profil en long et en travers défini par les plans du projet. </w:t>
      </w:r>
    </w:p>
    <w:p w14:paraId="09FFB611" w14:textId="511D866F" w:rsidR="00BA50C6" w:rsidRPr="00BA50C6" w:rsidRDefault="00BA50C6" w:rsidP="000445CA">
      <w:r w:rsidRPr="00BA50C6">
        <w:t>Ils comprennent les travaux préparatoires aux opérations de terrassements, le décapage des terres végétales, les terrassements en déblais et les terrassements en remblais, qui seront nivelés et compactés afin d’obtenir une surface régulière et une portance conforme aux normes en vigueur. Ces travaux comprennent aussi le réglage des formes en déblais ou en remblais avant la mise en place de la structure de chaussée.</w:t>
      </w:r>
    </w:p>
    <w:p w14:paraId="31F857CF" w14:textId="77777777" w:rsidR="00BA50C6" w:rsidRPr="000445CA" w:rsidRDefault="00BA50C6" w:rsidP="00BA50C6">
      <w:pPr>
        <w:rPr>
          <w:b/>
          <w:bCs/>
        </w:rPr>
      </w:pPr>
      <w:r w:rsidRPr="000445CA">
        <w:rPr>
          <w:b/>
          <w:bCs/>
        </w:rPr>
        <w:t>Mise en œuvre de la couche de forme</w:t>
      </w:r>
    </w:p>
    <w:p w14:paraId="781F1C85" w14:textId="36B795BC" w:rsidR="00BA50C6" w:rsidRPr="00BA50C6" w:rsidRDefault="00BA50C6" w:rsidP="00BA50C6">
      <w:r w:rsidRPr="00BA50C6">
        <w:t>La couche de forme assurera la répartition homogène des charges et la protection du sol support.</w:t>
      </w:r>
      <w:r w:rsidRPr="00BA50C6">
        <w:br/>
        <w:t>Elle sera réalisée à l’aide de matériaux sélectionnés, conformes aux spécifications et aux normes en vigueur, étalés en couches d’épaisseurs définies selon le dimensionnement, nivelés et compactés jusqu’à obtention de la portance requise.</w:t>
      </w:r>
    </w:p>
    <w:p w14:paraId="5C96180B" w14:textId="77777777" w:rsidR="00BA50C6" w:rsidRPr="000445CA" w:rsidRDefault="00BA50C6" w:rsidP="00BA50C6">
      <w:pPr>
        <w:rPr>
          <w:b/>
          <w:bCs/>
        </w:rPr>
      </w:pPr>
      <w:r w:rsidRPr="000445CA">
        <w:rPr>
          <w:b/>
          <w:bCs/>
        </w:rPr>
        <w:t>Mise en œuvre de la couche de base</w:t>
      </w:r>
    </w:p>
    <w:p w14:paraId="0470A9A7" w14:textId="02317902" w:rsidR="00BA50C6" w:rsidRPr="000445CA" w:rsidRDefault="00BA50C6" w:rsidP="000445CA">
      <w:r w:rsidRPr="00BA50C6">
        <w:t xml:space="preserve">La couche de base, réalisée en grave non traitée sur un support propre et sec, constitue l’élément structurel principal de la chaussée souple. </w:t>
      </w:r>
      <w:r w:rsidRPr="00BA50C6">
        <w:br/>
        <w:t>Elle sera réalisée conformément aux spécifications et aux normes en vigueur, en couches d’épaisseur définies selon le dimensionnement, nivelée et compactée jusqu’à obtention de la portance requise.</w:t>
      </w:r>
    </w:p>
    <w:p w14:paraId="71292549" w14:textId="77777777" w:rsidR="00BA50C6" w:rsidRPr="000445CA" w:rsidRDefault="00BA50C6" w:rsidP="00BA50C6">
      <w:pPr>
        <w:rPr>
          <w:b/>
          <w:bCs/>
        </w:rPr>
      </w:pPr>
      <w:r w:rsidRPr="000445CA">
        <w:rPr>
          <w:b/>
          <w:bCs/>
        </w:rPr>
        <w:t>Mise en œuvre de la couche d’imprégnation</w:t>
      </w:r>
    </w:p>
    <w:p w14:paraId="53453CF5" w14:textId="49E9569D" w:rsidR="00BA50C6" w:rsidRPr="00BA50C6" w:rsidRDefault="00BA50C6" w:rsidP="00BA50C6">
      <w:r w:rsidRPr="00BA50C6">
        <w:t>Une couche d’imprégnation sera appliquée à la surface de la couche de base non traitée afin d’assurer la cohésion de surface et l’étanchéité avant la mise en œuvre de la couche bitumineuse suivante.</w:t>
      </w:r>
      <w:r w:rsidRPr="00BA50C6">
        <w:br/>
        <w:t>L’imprégnation sera réalisée avec une émulsion bitumineuse, dont le dosage est à définir selon la formulation retenue.</w:t>
      </w:r>
    </w:p>
    <w:p w14:paraId="22406FF4" w14:textId="77777777" w:rsidR="00BA50C6" w:rsidRPr="000445CA" w:rsidRDefault="00BA50C6" w:rsidP="00BA50C6">
      <w:pPr>
        <w:rPr>
          <w:b/>
          <w:bCs/>
        </w:rPr>
      </w:pPr>
      <w:r w:rsidRPr="000445CA">
        <w:rPr>
          <w:b/>
          <w:bCs/>
        </w:rPr>
        <w:t>Mise en œuvre de la couche de liaison</w:t>
      </w:r>
    </w:p>
    <w:p w14:paraId="1D139B2A" w14:textId="77777777" w:rsidR="00BA50C6" w:rsidRPr="00BA50C6" w:rsidRDefault="00BA50C6" w:rsidP="00BA50C6">
      <w:r w:rsidRPr="00BA50C6">
        <w:t>La couche de liaison aura pour fonction d’assurer la transition mécanique entre la base et la couche de roulement.</w:t>
      </w:r>
      <w:r w:rsidRPr="00BA50C6">
        <w:br/>
        <w:t xml:space="preserve">Elle sera constituée d’un Enrobé à Module Élevé de granulométrie à définir selon les spécifications et les normes en vigueur. </w:t>
      </w:r>
    </w:p>
    <w:p w14:paraId="3903AF86" w14:textId="0C33A27F" w:rsidR="00BA50C6" w:rsidRPr="00BA50C6" w:rsidRDefault="00BA50C6" w:rsidP="00BA50C6">
      <w:r w:rsidRPr="00BA50C6">
        <w:t>La couche sera exécutée en épaisseur conforme au dimensionnement et aux spécifications techniques, nivelée et compactée jusqu’à obtention de la portance appropriée.</w:t>
      </w:r>
    </w:p>
    <w:p w14:paraId="5D718A22" w14:textId="77777777" w:rsidR="00BA50C6" w:rsidRPr="000445CA" w:rsidRDefault="00BA50C6" w:rsidP="00BA50C6">
      <w:pPr>
        <w:rPr>
          <w:b/>
          <w:bCs/>
        </w:rPr>
      </w:pPr>
      <w:r w:rsidRPr="000445CA">
        <w:rPr>
          <w:b/>
          <w:bCs/>
        </w:rPr>
        <w:t>Mise en œuvre de la couche d’accrochage</w:t>
      </w:r>
    </w:p>
    <w:p w14:paraId="67CD2E1D" w14:textId="52CFA7A5" w:rsidR="00BA50C6" w:rsidRPr="00BA50C6" w:rsidRDefault="00BA50C6" w:rsidP="00BA50C6">
      <w:r w:rsidRPr="00BA50C6">
        <w:lastRenderedPageBreak/>
        <w:t>Avant la mise en œuvre de la couche bitumineuse supérieure, une couche d’accrochage sera appliquée sur la surface propre, sèche et dépoussiérée de la couche inférieure.</w:t>
      </w:r>
      <w:r w:rsidRPr="00BA50C6">
        <w:br/>
        <w:t>Elle sera réalisée à l’aide d’une émulsion de bitume avec dosage à définir selon la formulation retenue.</w:t>
      </w:r>
      <w:r w:rsidRPr="00BA50C6">
        <w:br/>
        <w:t>Cette opération aura pour but d’assurer une parfaite adhérence entre les couches successives.</w:t>
      </w:r>
    </w:p>
    <w:p w14:paraId="456F00BA" w14:textId="77777777" w:rsidR="00BA50C6" w:rsidRPr="000445CA" w:rsidRDefault="00BA50C6" w:rsidP="00BA50C6">
      <w:pPr>
        <w:rPr>
          <w:b/>
          <w:bCs/>
        </w:rPr>
      </w:pPr>
      <w:r w:rsidRPr="000445CA">
        <w:rPr>
          <w:b/>
          <w:bCs/>
        </w:rPr>
        <w:t>Mise en œuvre de la couche de roulement</w:t>
      </w:r>
    </w:p>
    <w:p w14:paraId="4E7BB284" w14:textId="77777777" w:rsidR="00BA50C6" w:rsidRPr="00BA50C6" w:rsidRDefault="00BA50C6" w:rsidP="00BA50C6">
      <w:r w:rsidRPr="00BA50C6">
        <w:t>La couche de roulement, en Béton Bitumineux à Module Élevé, constitue la surface de roulement destinée à résister à l’usure et aux contraintes de cisaillement des pneumatiques d’aéronefs.</w:t>
      </w:r>
      <w:r w:rsidRPr="00BA50C6">
        <w:br/>
        <w:t>Elle sera réalisée avec une granulométrie à définir selon les spécifications et les normes en vigueur.</w:t>
      </w:r>
    </w:p>
    <w:p w14:paraId="7A7C4EB6" w14:textId="0237FD77" w:rsidR="00BA50C6" w:rsidRPr="00BA50C6" w:rsidRDefault="00BA50C6" w:rsidP="00BA50C6">
      <w:r w:rsidRPr="00BA50C6">
        <w:t xml:space="preserve">Cette couche sera étalée en épaisseur conforme au dimensionnement, nivelée, compactée jusqu’à obtention de la portance, de l’épaisseur et de la macrotexture adéquates.                </w:t>
      </w:r>
    </w:p>
    <w:p w14:paraId="0DE49761" w14:textId="77777777" w:rsidR="00BA50C6" w:rsidRPr="000445CA" w:rsidRDefault="00BA50C6" w:rsidP="00BA50C6">
      <w:pPr>
        <w:rPr>
          <w:b/>
          <w:bCs/>
        </w:rPr>
      </w:pPr>
      <w:r w:rsidRPr="000445CA">
        <w:rPr>
          <w:b/>
          <w:bCs/>
        </w:rPr>
        <w:t>Mise en œuvre du marquage au sol</w:t>
      </w:r>
    </w:p>
    <w:p w14:paraId="42A31FEC" w14:textId="55EC8F62" w:rsidR="00437749" w:rsidRPr="00BA50C6" w:rsidRDefault="00BA50C6" w:rsidP="00BA50C6">
      <w:r w:rsidRPr="00BA50C6">
        <w:t>Le marquage au sol sera réalisé pour le balisage diurne à l’aide de peinture aéronautique, conformément aux spécifications techniques.</w:t>
      </w:r>
      <w:r w:rsidRPr="00BA50C6">
        <w:br/>
        <w:t>Les travaux incluent la préparation du support, le dosage de la peinture et l’application dans des conditions garantissant visibilité, durabilité et conformité aux normes aéronautiques.</w:t>
      </w:r>
    </w:p>
    <w:p w14:paraId="720364DB" w14:textId="05401FB1" w:rsidR="00B17DB4" w:rsidRPr="00B17DB4" w:rsidRDefault="00B17DB4" w:rsidP="00D60FC9">
      <w:pPr>
        <w:pStyle w:val="Title4"/>
      </w:pPr>
      <w:r w:rsidRPr="00B17DB4">
        <w:t>Réalisation d’éclairage des parkings avions</w:t>
      </w:r>
    </w:p>
    <w:p w14:paraId="5B0DC6BB" w14:textId="77777777" w:rsidR="00B17DB4" w:rsidRPr="00B17DB4" w:rsidRDefault="00B17DB4" w:rsidP="00B17DB4">
      <w:r w:rsidRPr="00B17DB4">
        <w:t>Le projet consiste en la mise en place d’un système d’éclairage à grands mâts pour les aires de stationnement des avions, afin d’assurer une visibilité optimale et une sécurité conforme aux normes aéronautiques et aux exigences du maître d’ouvrage.</w:t>
      </w:r>
    </w:p>
    <w:p w14:paraId="3A8DD6D7" w14:textId="77777777" w:rsidR="00B17DB4" w:rsidRPr="00B17DB4" w:rsidRDefault="00B17DB4" w:rsidP="00B17DB4">
      <w:r w:rsidRPr="00B17DB4">
        <w:t>Les prestations comprennent :</w:t>
      </w:r>
    </w:p>
    <w:p w14:paraId="6E77C6F3" w14:textId="77777777" w:rsidR="00B17DB4" w:rsidRPr="00B17DB4" w:rsidRDefault="00B17DB4" w:rsidP="0001633E">
      <w:pPr>
        <w:numPr>
          <w:ilvl w:val="0"/>
          <w:numId w:val="172"/>
        </w:numPr>
      </w:pPr>
      <w:r w:rsidRPr="00B17DB4">
        <w:t>La fourniture et la pose de mâts d’éclairage d’une hauteur comprise entre 20 et 30 mètres, réalisés en acier galvanisé conformément aux normes marocaines ou, à défaut, aux normes internationales ;</w:t>
      </w:r>
    </w:p>
    <w:p w14:paraId="0418581C" w14:textId="77777777" w:rsidR="00B17DB4" w:rsidRPr="00B17DB4" w:rsidRDefault="00B17DB4" w:rsidP="0001633E">
      <w:pPr>
        <w:numPr>
          <w:ilvl w:val="0"/>
          <w:numId w:val="172"/>
        </w:numPr>
      </w:pPr>
      <w:r w:rsidRPr="00B17DB4">
        <w:t>L’équipement de chaque mât en projecteurs haute intensité à LED, garantissant un niveau d’éclairement conforme aux normes OACI (Annexe 14) ;</w:t>
      </w:r>
    </w:p>
    <w:p w14:paraId="34F8D927" w14:textId="77777777" w:rsidR="00B17DB4" w:rsidRPr="00B17DB4" w:rsidRDefault="00B17DB4" w:rsidP="0001633E">
      <w:pPr>
        <w:numPr>
          <w:ilvl w:val="0"/>
          <w:numId w:val="172"/>
        </w:numPr>
      </w:pPr>
      <w:r w:rsidRPr="00B17DB4">
        <w:t>L’installation d’un système de montée et descente motorisé, permettant la maintenance sécurisée des projecteurs ;</w:t>
      </w:r>
    </w:p>
    <w:p w14:paraId="49AF82BC" w14:textId="77777777" w:rsidR="00B17DB4" w:rsidRPr="00B17DB4" w:rsidRDefault="00B17DB4" w:rsidP="0001633E">
      <w:pPr>
        <w:numPr>
          <w:ilvl w:val="0"/>
          <w:numId w:val="172"/>
        </w:numPr>
      </w:pPr>
      <w:r w:rsidRPr="00B17DB4">
        <w:t>Réalisation des fondations, câblages, raccordements et mise à la terre ;</w:t>
      </w:r>
    </w:p>
    <w:p w14:paraId="6D3750C4" w14:textId="77777777" w:rsidR="00B17DB4" w:rsidRPr="00B17DB4" w:rsidRDefault="00B17DB4" w:rsidP="0001633E">
      <w:pPr>
        <w:numPr>
          <w:ilvl w:val="0"/>
          <w:numId w:val="172"/>
        </w:numPr>
      </w:pPr>
      <w:r w:rsidRPr="00B17DB4">
        <w:t>Mise en place des tableaux électriques de commande et de protection ;</w:t>
      </w:r>
    </w:p>
    <w:p w14:paraId="7E2273AC" w14:textId="77777777" w:rsidR="00B17DB4" w:rsidRPr="00B17DB4" w:rsidRDefault="00B17DB4" w:rsidP="0001633E">
      <w:pPr>
        <w:numPr>
          <w:ilvl w:val="0"/>
          <w:numId w:val="172"/>
        </w:numPr>
      </w:pPr>
      <w:r w:rsidRPr="00B17DB4">
        <w:t>Réglages, essais photométriques et mise en service du système.</w:t>
      </w:r>
    </w:p>
    <w:p w14:paraId="7F63615F" w14:textId="762051F0" w:rsidR="00B17DB4" w:rsidRPr="00B17DB4" w:rsidRDefault="00B17DB4" w:rsidP="00D60FC9">
      <w:pPr>
        <w:pStyle w:val="Title4"/>
      </w:pPr>
      <w:r w:rsidRPr="00B17DB4">
        <w:t>Equipement de sureté</w:t>
      </w:r>
    </w:p>
    <w:p w14:paraId="229B6410" w14:textId="77777777" w:rsidR="00B17DB4" w:rsidRPr="00B17DB4" w:rsidRDefault="00B17DB4" w:rsidP="00B17DB4">
      <w:bookmarkStart w:id="221" w:name="_Hlk212656381"/>
      <w:r w:rsidRPr="00B17DB4">
        <w:t>Le projet concerne la fourniture, l’installation et la mise en service d’équipements de sûreté aéroportuaire, conformes aux normes internationales (OACI, CEAC, TSA, UE) et aux réglementations marocaines en matière de sécurité, radioprotection et performance technique.</w:t>
      </w:r>
    </w:p>
    <w:p w14:paraId="3E5A78AE" w14:textId="77777777" w:rsidR="00B17DB4" w:rsidRPr="00B17DB4" w:rsidRDefault="00B17DB4" w:rsidP="00B17DB4">
      <w:r w:rsidRPr="00B17DB4">
        <w:lastRenderedPageBreak/>
        <w:t>Les prestations comprennent :</w:t>
      </w:r>
    </w:p>
    <w:p w14:paraId="2FD46DE6" w14:textId="77777777" w:rsidR="00B17DB4" w:rsidRPr="00B17DB4" w:rsidRDefault="00B17DB4" w:rsidP="0001633E">
      <w:pPr>
        <w:numPr>
          <w:ilvl w:val="0"/>
          <w:numId w:val="172"/>
        </w:numPr>
      </w:pPr>
      <w:r w:rsidRPr="00B17DB4">
        <w:t>Systèmes de détection automatique des explosifs (EDS) haut débit certifiés TSA ou CEAC/Union Européenne, répondant au standard 3.1, assurant une vitesse de traitement de 0,5 m/s.</w:t>
      </w:r>
    </w:p>
    <w:p w14:paraId="0388DD5C" w14:textId="77777777" w:rsidR="00B17DB4" w:rsidRPr="00B17DB4" w:rsidRDefault="00B17DB4" w:rsidP="0001633E">
      <w:pPr>
        <w:numPr>
          <w:ilvl w:val="0"/>
          <w:numId w:val="172"/>
        </w:numPr>
      </w:pPr>
      <w:r w:rsidRPr="00B17DB4">
        <w:t>Equipement à rayon X double vues pour le contrôle de bagages de soute, certifiés TSA ou CEAC/Union Européenne, assurant une vitesse de traitement entre 0,2 m/s et 0,3 m/s.</w:t>
      </w:r>
    </w:p>
    <w:p w14:paraId="34A0CCDE" w14:textId="77777777" w:rsidR="00B17DB4" w:rsidRPr="00B17DB4" w:rsidRDefault="00B17DB4" w:rsidP="0001633E">
      <w:pPr>
        <w:numPr>
          <w:ilvl w:val="0"/>
          <w:numId w:val="172"/>
        </w:numPr>
      </w:pPr>
      <w:r w:rsidRPr="00B17DB4">
        <w:t>Scanners corporels à ondes millimétriques conformes au standard 2.1 du règlement européen (UE 2015/1998) ;</w:t>
      </w:r>
    </w:p>
    <w:p w14:paraId="17E02E34" w14:textId="77777777" w:rsidR="00B17DB4" w:rsidRPr="00B17DB4" w:rsidRDefault="00B17DB4" w:rsidP="0001633E">
      <w:pPr>
        <w:numPr>
          <w:ilvl w:val="0"/>
          <w:numId w:val="172"/>
        </w:numPr>
      </w:pPr>
      <w:r w:rsidRPr="00B17DB4">
        <w:t>Équipements de contrôle passagers et bagages incluant :</w:t>
      </w:r>
    </w:p>
    <w:p w14:paraId="0E59344B" w14:textId="77777777" w:rsidR="00B17DB4" w:rsidRPr="00B17DB4" w:rsidRDefault="00B17DB4" w:rsidP="0001633E">
      <w:pPr>
        <w:numPr>
          <w:ilvl w:val="1"/>
          <w:numId w:val="173"/>
        </w:numPr>
      </w:pPr>
      <w:r w:rsidRPr="00B17DB4">
        <w:t>Portiques de détection des métaux,</w:t>
      </w:r>
    </w:p>
    <w:p w14:paraId="0F37EBF4" w14:textId="77777777" w:rsidR="00B17DB4" w:rsidRPr="00B17DB4" w:rsidRDefault="00B17DB4" w:rsidP="0001633E">
      <w:pPr>
        <w:numPr>
          <w:ilvl w:val="1"/>
          <w:numId w:val="173"/>
        </w:numPr>
      </w:pPr>
      <w:r w:rsidRPr="00B17DB4">
        <w:t>Détecteurs de traces et d’explosifs liquides,</w:t>
      </w:r>
    </w:p>
    <w:p w14:paraId="6F63A6C9" w14:textId="77777777" w:rsidR="00B17DB4" w:rsidRPr="00B17DB4" w:rsidRDefault="00B17DB4" w:rsidP="0001633E">
      <w:pPr>
        <w:numPr>
          <w:ilvl w:val="1"/>
          <w:numId w:val="173"/>
        </w:numPr>
      </w:pPr>
      <w:r w:rsidRPr="00B17DB4">
        <w:t xml:space="preserve">Equipement EDSCB double vues pour bagages cabine certifiés TSA ou CEAC/Union Européenne, répondant au standard C1. </w:t>
      </w:r>
      <w:bookmarkEnd w:id="221"/>
    </w:p>
    <w:p w14:paraId="61A5C317" w14:textId="77777777" w:rsidR="00A251CD" w:rsidRPr="00BD5E5C" w:rsidRDefault="00A251CD" w:rsidP="00A251CD">
      <w:pPr>
        <w:pStyle w:val="Title2"/>
        <w:spacing w:before="240"/>
        <w:rPr>
          <w:lang w:val="fr-MA" w:bidi="ar-SA"/>
        </w:rPr>
      </w:pPr>
      <w:bookmarkStart w:id="222" w:name="_Toc212824106"/>
      <w:bookmarkStart w:id="223" w:name="_Toc212824288"/>
      <w:bookmarkStart w:id="224" w:name="_Toc212825863"/>
      <w:bookmarkStart w:id="225" w:name="_Toc213404220"/>
      <w:bookmarkStart w:id="226" w:name="_Toc215131833"/>
      <w:bookmarkEnd w:id="214"/>
      <w:bookmarkEnd w:id="222"/>
      <w:bookmarkEnd w:id="223"/>
      <w:bookmarkEnd w:id="224"/>
      <w:bookmarkEnd w:id="225"/>
      <w:r w:rsidRPr="00BD5E5C">
        <w:rPr>
          <w:lang w:val="fr-MA" w:bidi="ar-SA"/>
        </w:rPr>
        <w:t>Planning prévisionnel des travaux</w:t>
      </w:r>
      <w:bookmarkEnd w:id="226"/>
      <w:r w:rsidRPr="00BD5E5C">
        <w:rPr>
          <w:lang w:val="fr-MA" w:bidi="ar-SA"/>
        </w:rPr>
        <w:t xml:space="preserve"> </w:t>
      </w:r>
    </w:p>
    <w:p w14:paraId="2F3A3448" w14:textId="03BF5C36" w:rsidR="00A251CD" w:rsidRDefault="00F80631" w:rsidP="00A251CD">
      <w:pPr>
        <w:rPr>
          <w:rFonts w:eastAsia="Calibri"/>
          <w:lang w:val="fr-MA" w:bidi="ar-SA"/>
        </w:rPr>
      </w:pPr>
      <w:r w:rsidRPr="00F80631">
        <w:rPr>
          <w:rFonts w:eastAsia="Calibri"/>
          <w:lang w:val="fr-MA" w:bidi="ar-SA"/>
        </w:rPr>
        <w:t>Le calendrier prévisionnel du projet d’extension du parking avions et des voies de circulation de l’aéroport d</w:t>
      </w:r>
      <w:r w:rsidR="000445CA">
        <w:rPr>
          <w:rFonts w:eastAsia="Calibri"/>
          <w:lang w:val="fr-MA" w:bidi="ar-SA"/>
        </w:rPr>
        <w:t xml:space="preserve">e Marrakech Ménara </w:t>
      </w:r>
      <w:r w:rsidRPr="00F80631">
        <w:rPr>
          <w:rFonts w:eastAsia="Calibri"/>
          <w:lang w:val="fr-MA" w:bidi="ar-SA"/>
        </w:rPr>
        <w:t>a été défini en cohérence avec le programme global de développement de la plateforme porté par l’Office National des Aéroports (ONDA).</w:t>
      </w:r>
    </w:p>
    <w:p w14:paraId="6CD915F9" w14:textId="66E828B8" w:rsidR="00F80631" w:rsidRDefault="00F80631" w:rsidP="00A251CD">
      <w:pPr>
        <w:rPr>
          <w:rFonts w:eastAsia="Calibri"/>
          <w:lang w:val="fr-MA" w:bidi="ar-SA"/>
        </w:rPr>
      </w:pPr>
      <w:r w:rsidRPr="004637C7">
        <w:rPr>
          <w:rFonts w:eastAsia="Calibri"/>
          <w:lang w:val="fr-MA" w:bidi="ar-SA"/>
        </w:rPr>
        <w:t>La durée globale de mise en œuvre du projet est estimée à 12 mois pour l’ensemble des composantes financées par la BAD.</w:t>
      </w:r>
    </w:p>
    <w:p w14:paraId="7EC03F20" w14:textId="4BC20A8D" w:rsidR="00825B02" w:rsidRDefault="00825B02" w:rsidP="00825B02">
      <w:pPr>
        <w:pStyle w:val="Title2"/>
        <w:rPr>
          <w:lang w:val="fr-MA" w:bidi="ar-SA"/>
        </w:rPr>
      </w:pPr>
      <w:bookmarkStart w:id="227" w:name="_Toc215131834"/>
      <w:r>
        <w:rPr>
          <w:lang w:val="fr-MA" w:bidi="ar-SA"/>
        </w:rPr>
        <w:t>Emploi</w:t>
      </w:r>
      <w:bookmarkEnd w:id="227"/>
    </w:p>
    <w:p w14:paraId="070778BF" w14:textId="6BDD9E6C" w:rsidR="00C5038E" w:rsidRDefault="00C5038E" w:rsidP="00825B02">
      <w:pPr>
        <w:rPr>
          <w:rFonts w:eastAsia="Calibri"/>
          <w:lang w:bidi="ar-SA"/>
        </w:rPr>
      </w:pPr>
      <w:r w:rsidRPr="00C5038E">
        <w:rPr>
          <w:rFonts w:eastAsia="Calibri"/>
          <w:lang w:bidi="ar-SA"/>
        </w:rPr>
        <w:t xml:space="preserve">Le projet de développement de l’aéroport </w:t>
      </w:r>
      <w:r w:rsidR="0039759F">
        <w:rPr>
          <w:rFonts w:eastAsia="Calibri"/>
          <w:lang w:bidi="ar-SA"/>
        </w:rPr>
        <w:t>de Marrakech</w:t>
      </w:r>
      <w:r w:rsidRPr="00C5038E">
        <w:rPr>
          <w:rFonts w:eastAsia="Calibri"/>
          <w:lang w:bidi="ar-SA"/>
        </w:rPr>
        <w:t xml:space="preserve"> mobilisera environ </w:t>
      </w:r>
      <w:r w:rsidRPr="00D60FC9">
        <w:rPr>
          <w:rFonts w:eastAsia="Calibri"/>
          <w:lang w:bidi="ar-SA"/>
        </w:rPr>
        <w:t>400 travailleurs durant la phase de construction</w:t>
      </w:r>
      <w:r w:rsidRPr="00C5038E">
        <w:rPr>
          <w:rFonts w:eastAsia="Calibri"/>
          <w:lang w:bidi="ar-SA"/>
        </w:rPr>
        <w:t>, couvrant les activités de terrassement, d’aménagement des infrastructures, d’installation des équipements et de supervision technique.</w:t>
      </w:r>
    </w:p>
    <w:p w14:paraId="6957913A" w14:textId="1FAE3832" w:rsidR="00825B02" w:rsidRPr="004637C7" w:rsidRDefault="00C5038E" w:rsidP="00825B02">
      <w:pPr>
        <w:rPr>
          <w:rFonts w:eastAsia="Calibri"/>
          <w:lang w:val="fr-MA" w:bidi="ar-SA"/>
        </w:rPr>
      </w:pPr>
      <w:r w:rsidRPr="00C5038E">
        <w:rPr>
          <w:rFonts w:eastAsia="Calibri"/>
          <w:lang w:bidi="ar-SA"/>
        </w:rPr>
        <w:t xml:space="preserve">Lors de la </w:t>
      </w:r>
      <w:r w:rsidRPr="00D60FC9">
        <w:rPr>
          <w:rFonts w:eastAsia="Calibri"/>
          <w:lang w:bidi="ar-SA"/>
        </w:rPr>
        <w:t>phase d’exploitation</w:t>
      </w:r>
      <w:r w:rsidRPr="00C5038E">
        <w:rPr>
          <w:rFonts w:eastAsia="Calibri"/>
          <w:lang w:bidi="ar-SA"/>
        </w:rPr>
        <w:t xml:space="preserve">, le nombre d’emplois atteindra près de </w:t>
      </w:r>
      <w:r w:rsidR="0039759F">
        <w:rPr>
          <w:rFonts w:eastAsia="Calibri"/>
          <w:lang w:bidi="ar-SA"/>
        </w:rPr>
        <w:t>7 600</w:t>
      </w:r>
      <w:r w:rsidRPr="00D60FC9">
        <w:rPr>
          <w:rFonts w:eastAsia="Calibri"/>
          <w:lang w:bidi="ar-SA"/>
        </w:rPr>
        <w:t xml:space="preserve"> postes</w:t>
      </w:r>
      <w:r w:rsidRPr="00C5038E">
        <w:rPr>
          <w:rFonts w:eastAsia="Calibri"/>
          <w:lang w:bidi="ar-SA"/>
        </w:rPr>
        <w:t>, incluant le personnel permanent de l’aéroport, les services de maintenance, la sécurité, les activités commerciales, ainsi que les prestataires externes (sous-traitants, sociétés de nettoyage, catering, logistique, etc.).</w:t>
      </w:r>
    </w:p>
    <w:p w14:paraId="7BCD3455" w14:textId="77777777" w:rsidR="00A251CD" w:rsidRPr="00C80215" w:rsidRDefault="00A251CD" w:rsidP="00A251CD">
      <w:pPr>
        <w:pStyle w:val="Title2"/>
        <w:spacing w:before="240"/>
        <w:rPr>
          <w:lang w:bidi="ar-SA"/>
        </w:rPr>
      </w:pPr>
      <w:bookmarkStart w:id="228" w:name="_Toc215131835"/>
      <w:r w:rsidRPr="00C80215">
        <w:rPr>
          <w:lang w:bidi="ar-SA"/>
        </w:rPr>
        <w:t>Montant d’investissement</w:t>
      </w:r>
      <w:bookmarkEnd w:id="228"/>
      <w:r w:rsidRPr="00C80215">
        <w:rPr>
          <w:lang w:bidi="ar-SA"/>
        </w:rPr>
        <w:t xml:space="preserve"> </w:t>
      </w:r>
    </w:p>
    <w:p w14:paraId="0A5DA14F" w14:textId="2D10BD57" w:rsidR="00A251CD" w:rsidRPr="00BD5E5C" w:rsidRDefault="00A251CD" w:rsidP="006C7DD3">
      <w:pPr>
        <w:rPr>
          <w:rFonts w:eastAsia="Calibri"/>
          <w:lang w:bidi="ar-SA"/>
        </w:rPr>
      </w:pPr>
      <w:r w:rsidRPr="00BD5E5C">
        <w:rPr>
          <w:rFonts w:eastAsia="Calibri"/>
          <w:lang w:val="fr-MA" w:bidi="ar-SA"/>
        </w:rPr>
        <w:t xml:space="preserve">Le projet </w:t>
      </w:r>
      <w:r w:rsidRPr="00C80215">
        <w:rPr>
          <w:rFonts w:eastAsia="Calibri"/>
          <w:lang w:val="fr-MA" w:bidi="ar-SA"/>
        </w:rPr>
        <w:t xml:space="preserve">d’extension et de réaménagement des installations terminales de l’aéroport </w:t>
      </w:r>
      <w:r w:rsidR="006C7DD3">
        <w:rPr>
          <w:rFonts w:eastAsia="Calibri"/>
          <w:lang w:val="fr-MA" w:bidi="ar-SA"/>
        </w:rPr>
        <w:t>Marrakech</w:t>
      </w:r>
      <w:r w:rsidR="002168ED">
        <w:rPr>
          <w:rFonts w:eastAsia="Calibri"/>
          <w:lang w:val="fr-MA" w:bidi="ar-SA"/>
        </w:rPr>
        <w:t xml:space="preserve"> Ménara </w:t>
      </w:r>
      <w:r w:rsidRPr="00BD5E5C">
        <w:rPr>
          <w:rFonts w:eastAsia="Calibri"/>
          <w:lang w:val="fr-MA" w:bidi="ar-SA"/>
        </w:rPr>
        <w:t xml:space="preserve">prévoit une enveloppe budgétaire de </w:t>
      </w:r>
      <w:r w:rsidR="006C7DD3">
        <w:rPr>
          <w:rFonts w:eastAsia="Calibri"/>
          <w:lang w:val="fr-MA" w:bidi="ar-SA"/>
        </w:rPr>
        <w:t>3</w:t>
      </w:r>
      <w:r w:rsidR="00FB6E81">
        <w:rPr>
          <w:rFonts w:eastAsia="Calibri"/>
          <w:lang w:val="fr-MA" w:bidi="ar-SA"/>
        </w:rPr>
        <w:t xml:space="preserve"> </w:t>
      </w:r>
      <w:r w:rsidRPr="00BD5E5C">
        <w:rPr>
          <w:rFonts w:eastAsia="Calibri"/>
          <w:b/>
          <w:bCs/>
          <w:lang w:bidi="ar-SA"/>
        </w:rPr>
        <w:t>Milli</w:t>
      </w:r>
      <w:r w:rsidR="006C7DD3">
        <w:rPr>
          <w:rFonts w:eastAsia="Calibri"/>
          <w:b/>
          <w:bCs/>
          <w:lang w:bidi="ar-SA"/>
        </w:rPr>
        <w:t>ard</w:t>
      </w:r>
      <w:r w:rsidRPr="00BD5E5C">
        <w:rPr>
          <w:rFonts w:eastAsia="Calibri"/>
          <w:b/>
          <w:bCs/>
          <w:lang w:bidi="ar-SA"/>
        </w:rPr>
        <w:t>s de Dirhams</w:t>
      </w:r>
      <w:r w:rsidRPr="00BD5E5C">
        <w:rPr>
          <w:rFonts w:eastAsia="Calibri"/>
          <w:lang w:bidi="ar-SA"/>
        </w:rPr>
        <w:t xml:space="preserve">. </w:t>
      </w:r>
    </w:p>
    <w:p w14:paraId="45021410" w14:textId="77777777" w:rsidR="00A251CD" w:rsidRDefault="00A251CD" w:rsidP="00A251CD">
      <w:r>
        <w:br w:type="page"/>
      </w:r>
    </w:p>
    <w:p w14:paraId="462A1BE3" w14:textId="65C75419" w:rsidR="005F7A1F" w:rsidRDefault="000706D7" w:rsidP="001667F3">
      <w:pPr>
        <w:pStyle w:val="Title1"/>
        <w:spacing w:after="0"/>
      </w:pPr>
      <w:bookmarkStart w:id="229" w:name="_Toc181371781"/>
      <w:bookmarkStart w:id="230" w:name="_Toc181618963"/>
      <w:bookmarkStart w:id="231" w:name="_Hlk210945069"/>
      <w:bookmarkStart w:id="232" w:name="_Toc215131836"/>
      <w:bookmarkEnd w:id="11"/>
      <w:bookmarkEnd w:id="229"/>
      <w:bookmarkEnd w:id="230"/>
      <w:r>
        <w:lastRenderedPageBreak/>
        <w:t>Description de l’état de référence des milieux</w:t>
      </w:r>
      <w:bookmarkEnd w:id="232"/>
    </w:p>
    <w:p w14:paraId="625999FE" w14:textId="77777777" w:rsidR="00BA7BE7" w:rsidRDefault="00BA7BE7" w:rsidP="001370D3">
      <w:r>
        <w:t>L’état initial de la zone d’étude représente une situation de référence qui subit ultérieurement l‘impact du projet. Il est caractérisé essentiellement par sa sensibilité qui se définit par rapport à la nature même de ses composantes, mais aussi par rapport à la nature du projet.</w:t>
      </w:r>
    </w:p>
    <w:p w14:paraId="7FC6D692" w14:textId="12383A96" w:rsidR="0002185F" w:rsidRPr="005F7A1F" w:rsidRDefault="00BA7BE7" w:rsidP="001370D3">
      <w:r>
        <w:t>La description de l’état initial du site du projet a pour objectif de fournir une connaissance adéquate des composantes des écosystèmes du site qui risquent d’être dégradées par les activités du projet. La description de l’état initial de l’environnement se fonde, d’une part, sur les données documentaires et bibliographiques, et d’autre part, sur les relevés de terrain pendant les visites du site.</w:t>
      </w:r>
    </w:p>
    <w:p w14:paraId="6615FEE0" w14:textId="77777777" w:rsidR="00C61BAB" w:rsidRDefault="00C61BAB" w:rsidP="004637C7">
      <w:pPr>
        <w:pStyle w:val="Title2"/>
      </w:pPr>
      <w:bookmarkStart w:id="233" w:name="_Toc181619002"/>
      <w:bookmarkStart w:id="234" w:name="_Toc215131837"/>
      <w:r>
        <w:t>Délimitation de la zone d’étude</w:t>
      </w:r>
      <w:bookmarkEnd w:id="234"/>
    </w:p>
    <w:p w14:paraId="6FB4F860" w14:textId="77777777" w:rsidR="001154C9" w:rsidRPr="001154C9" w:rsidRDefault="001154C9" w:rsidP="004637C7">
      <w:r w:rsidRPr="001154C9">
        <w:t>La délimitation de la zone d’étude repose sur une approche graduée intégrant à la fois les effets environnementaux directs, les interactions communautaires locales et les retombées socio-économiques régionales.</w:t>
      </w:r>
    </w:p>
    <w:p w14:paraId="0CA96726" w14:textId="77777777" w:rsidR="001154C9" w:rsidRPr="001154C9" w:rsidRDefault="001154C9" w:rsidP="004637C7">
      <w:r w:rsidRPr="001154C9">
        <w:t>Trois niveaux spatiaux ont été distingués pour assurer une analyse exhaustive et proportionnée des impacts du projet :</w:t>
      </w:r>
    </w:p>
    <w:p w14:paraId="42C19EB6" w14:textId="77777777" w:rsidR="001154C9" w:rsidRDefault="001154C9" w:rsidP="001154C9">
      <w:pPr>
        <w:pStyle w:val="Tirets"/>
        <w:ind w:left="567"/>
      </w:pPr>
      <w:r>
        <w:t>L</w:t>
      </w:r>
      <w:r w:rsidRPr="001154C9">
        <w:t>’emprise directe du projet,</w:t>
      </w:r>
    </w:p>
    <w:p w14:paraId="79B6F8CF" w14:textId="29DBD1BB" w:rsidR="001154C9" w:rsidRDefault="007B260E" w:rsidP="004637C7">
      <w:pPr>
        <w:pStyle w:val="Tirets"/>
        <w:ind w:left="567"/>
      </w:pPr>
      <w:r w:rsidRPr="001154C9">
        <w:t>La</w:t>
      </w:r>
      <w:r w:rsidR="001154C9" w:rsidRPr="001154C9">
        <w:t xml:space="preserve"> zone d’influence immédiate,</w:t>
      </w:r>
    </w:p>
    <w:p w14:paraId="7FE0D53D" w14:textId="1DEAF1A9" w:rsidR="001154C9" w:rsidRDefault="007B260E" w:rsidP="004637C7">
      <w:pPr>
        <w:pStyle w:val="Tirets"/>
        <w:ind w:left="567"/>
      </w:pPr>
      <w:r w:rsidRPr="001154C9">
        <w:t>La</w:t>
      </w:r>
      <w:r w:rsidR="001154C9" w:rsidRPr="001154C9">
        <w:t xml:space="preserve"> zone d’influence élargie (échelle communale, préfectorale et régionale).</w:t>
      </w:r>
    </w:p>
    <w:p w14:paraId="0ECA714A" w14:textId="77777777" w:rsidR="001154C9" w:rsidRPr="001154C9" w:rsidRDefault="001154C9" w:rsidP="0001633E">
      <w:pPr>
        <w:pStyle w:val="AltTitle2"/>
        <w:numPr>
          <w:ilvl w:val="0"/>
          <w:numId w:val="133"/>
        </w:numPr>
      </w:pPr>
      <w:r w:rsidRPr="001154C9">
        <w:t>Emprise directe du projet</w:t>
      </w:r>
    </w:p>
    <w:p w14:paraId="0768D650" w14:textId="14C8FCF8" w:rsidR="001154C9" w:rsidRPr="008D2CF6" w:rsidRDefault="001154C9" w:rsidP="001154C9">
      <w:r w:rsidRPr="001154C9">
        <w:t xml:space="preserve">L’emprise directe correspond à la </w:t>
      </w:r>
      <w:r w:rsidRPr="004637C7">
        <w:t>zone d’intervention effective du projet</w:t>
      </w:r>
      <w:r w:rsidRPr="001154C9">
        <w:t xml:space="preserve">, entièrement située </w:t>
      </w:r>
      <w:r w:rsidRPr="001154C9">
        <w:rPr>
          <w:b/>
          <w:bCs/>
        </w:rPr>
        <w:t xml:space="preserve">à </w:t>
      </w:r>
      <w:r w:rsidRPr="004637C7">
        <w:t>l’intérieur de la clôture aéroportuaire</w:t>
      </w:r>
      <w:r w:rsidRPr="008D2CF6">
        <w:t>.</w:t>
      </w:r>
      <w:r w:rsidR="008D2CF6" w:rsidRPr="008D2CF6">
        <w:t xml:space="preserve"> </w:t>
      </w:r>
      <w:r w:rsidRPr="008D2CF6">
        <w:t>Elle comprend :</w:t>
      </w:r>
    </w:p>
    <w:p w14:paraId="5BF277E7" w14:textId="5D18A5C0" w:rsidR="001154C9" w:rsidRPr="008D2CF6" w:rsidRDefault="007B260E" w:rsidP="0001633E">
      <w:pPr>
        <w:numPr>
          <w:ilvl w:val="0"/>
          <w:numId w:val="134"/>
        </w:numPr>
      </w:pPr>
      <w:r w:rsidRPr="008D2CF6">
        <w:t>Les</w:t>
      </w:r>
      <w:r w:rsidR="001154C9" w:rsidRPr="008D2CF6">
        <w:t xml:space="preserve"> </w:t>
      </w:r>
      <w:r w:rsidR="001154C9" w:rsidRPr="004637C7">
        <w:t>aires de stationnement avions</w:t>
      </w:r>
      <w:r w:rsidR="001154C9" w:rsidRPr="008D2CF6">
        <w:t xml:space="preserve"> à étendre,</w:t>
      </w:r>
    </w:p>
    <w:p w14:paraId="7FEEC5A3" w14:textId="101753B7" w:rsidR="001154C9" w:rsidRPr="008D2CF6" w:rsidRDefault="007B260E" w:rsidP="0001633E">
      <w:pPr>
        <w:numPr>
          <w:ilvl w:val="0"/>
          <w:numId w:val="134"/>
        </w:numPr>
      </w:pPr>
      <w:r w:rsidRPr="008D2CF6">
        <w:t>Les</w:t>
      </w:r>
      <w:r w:rsidR="001154C9" w:rsidRPr="008D2CF6">
        <w:t xml:space="preserve"> </w:t>
      </w:r>
      <w:r w:rsidR="001154C9" w:rsidRPr="004637C7">
        <w:t>voies de circulation</w:t>
      </w:r>
      <w:r w:rsidR="001154C9" w:rsidRPr="008D2CF6">
        <w:t xml:space="preserve"> associées,</w:t>
      </w:r>
      <w:r w:rsidR="008D2CF6" w:rsidRPr="008D2CF6">
        <w:t xml:space="preserve"> et</w:t>
      </w:r>
    </w:p>
    <w:p w14:paraId="0620ED90" w14:textId="358B6FF4" w:rsidR="001154C9" w:rsidRPr="008D2CF6" w:rsidRDefault="007B260E" w:rsidP="0001633E">
      <w:pPr>
        <w:numPr>
          <w:ilvl w:val="0"/>
          <w:numId w:val="134"/>
        </w:numPr>
      </w:pPr>
      <w:r w:rsidRPr="008D2CF6">
        <w:t>Les</w:t>
      </w:r>
      <w:r w:rsidR="001154C9" w:rsidRPr="008D2CF6">
        <w:t xml:space="preserve"> </w:t>
      </w:r>
      <w:r w:rsidR="001154C9" w:rsidRPr="004637C7">
        <w:t>zones techniques</w:t>
      </w:r>
      <w:r w:rsidR="001154C9" w:rsidRPr="008D2CF6">
        <w:t xml:space="preserve"> pour l’éclairage, le balisage lumineux et les équipements de sûreté,</w:t>
      </w:r>
    </w:p>
    <w:p w14:paraId="2EF095D1" w14:textId="77777777" w:rsidR="008D2CF6" w:rsidRDefault="001154C9" w:rsidP="001154C9">
      <w:r w:rsidRPr="001154C9">
        <w:t xml:space="preserve">Cette délimitation s’appuie sur la </w:t>
      </w:r>
      <w:r w:rsidRPr="004637C7">
        <w:t>nature strictement interne</w:t>
      </w:r>
      <w:r w:rsidRPr="001154C9">
        <w:t xml:space="preserve"> du projet, qui n’implique </w:t>
      </w:r>
      <w:r w:rsidRPr="004637C7">
        <w:t>aucune emprise nouvelle</w:t>
      </w:r>
      <w:r w:rsidRPr="001154C9">
        <w:t xml:space="preserve"> sur des terrains extérieurs ni sur des zones naturelles ou agricoles.</w:t>
      </w:r>
    </w:p>
    <w:p w14:paraId="5FF9105B" w14:textId="77777777" w:rsidR="007703F6" w:rsidRDefault="001154C9" w:rsidP="001154C9">
      <w:r w:rsidRPr="001154C9">
        <w:t xml:space="preserve">Elle constitue donc la </w:t>
      </w:r>
      <w:r w:rsidRPr="004637C7">
        <w:t>zone d’analyse des impacts directs</w:t>
      </w:r>
      <w:r w:rsidRPr="001154C9">
        <w:t>, tels que le bruit de chantier, les émissions de poussières, la gestion des déchets et les risques techniques.</w:t>
      </w:r>
    </w:p>
    <w:p w14:paraId="7E88FC39" w14:textId="5AD9C910" w:rsidR="001154C9" w:rsidRPr="001154C9" w:rsidRDefault="001154C9" w:rsidP="001154C9">
      <w:r w:rsidRPr="001154C9">
        <w:t>Cette emprise</w:t>
      </w:r>
      <w:r w:rsidR="007703F6">
        <w:t xml:space="preserve"> </w:t>
      </w:r>
      <w:r w:rsidRPr="001154C9">
        <w:t>est déjà anthropisée, garantissant une maîtrise totale des impacts physiques.</w:t>
      </w:r>
    </w:p>
    <w:p w14:paraId="64E06B3C" w14:textId="79D2378C" w:rsidR="007703F6" w:rsidRDefault="007703F6" w:rsidP="0001633E">
      <w:pPr>
        <w:pStyle w:val="AltTitle2"/>
        <w:numPr>
          <w:ilvl w:val="0"/>
          <w:numId w:val="133"/>
        </w:numPr>
      </w:pPr>
      <w:r>
        <w:t>Zone d’influence immédiate</w:t>
      </w:r>
    </w:p>
    <w:p w14:paraId="68709A0A" w14:textId="60D2983E" w:rsidR="007703F6" w:rsidRDefault="007703F6" w:rsidP="007703F6">
      <w:r>
        <w:t>La zone d’influence immédiate</w:t>
      </w:r>
      <w:r w:rsidR="00354C31">
        <w:t xml:space="preserve"> (en rouge dans la carte)</w:t>
      </w:r>
      <w:r>
        <w:t xml:space="preserve"> correspond à l’espace immédiatement adjacent à la plateforme aéroportuaire où peuvent se manifester les effets indirects et perceptifs du projet : bruit, circulation, poussières, vibrations, perception d’insécurité ou nuisances visuelles.</w:t>
      </w:r>
    </w:p>
    <w:p w14:paraId="42D26373" w14:textId="60429162" w:rsidR="007703F6" w:rsidRDefault="007703F6" w:rsidP="007703F6">
      <w:r>
        <w:t>Elle englobe les zones habitées et les infrastructures situées dans un rayon moyen d’un kilomètre autour du site</w:t>
      </w:r>
      <w:r w:rsidR="004A10B0">
        <w:t>.</w:t>
      </w:r>
    </w:p>
    <w:p w14:paraId="1C3E093F" w14:textId="77777777" w:rsidR="007703F6" w:rsidRDefault="007703F6" w:rsidP="007703F6"/>
    <w:p w14:paraId="5EEE8C85" w14:textId="77777777" w:rsidR="007703F6" w:rsidRDefault="007703F6" w:rsidP="007703F6">
      <w:r>
        <w:lastRenderedPageBreak/>
        <w:t>Cette zone est retenue car elle concentre les récepteurs humains et environnementaux les plus sensibles aux impacts ponctuels du projet (bruit, poussières, sécurité routière).</w:t>
      </w:r>
    </w:p>
    <w:p w14:paraId="0091A1E9" w14:textId="77777777" w:rsidR="007703F6" w:rsidRDefault="007703F6" w:rsidP="007703F6">
      <w:r>
        <w:t>Elle correspond à la zone où la population peut percevoir directement les activités de construction ou d’exploitation, sans pour autant subir d’effet permanent.</w:t>
      </w:r>
    </w:p>
    <w:p w14:paraId="09D62317" w14:textId="6DFD2815" w:rsidR="001154C9" w:rsidRDefault="007703F6" w:rsidP="007703F6">
      <w:r>
        <w:t>Elle représente donc le périmètre d’analyse socio-environnementale principale pour la santé, la sécurité et le bien-être communautaire.</w:t>
      </w:r>
    </w:p>
    <w:p w14:paraId="2E02F851" w14:textId="37AAA06A" w:rsidR="00AF3B64" w:rsidRDefault="00AF3B64" w:rsidP="007703F6">
      <w:r w:rsidRPr="00AF3B64">
        <w:t xml:space="preserve">Cette zone constitue </w:t>
      </w:r>
      <w:r>
        <w:t>aussi</w:t>
      </w:r>
      <w:r w:rsidRPr="00AF3B64">
        <w:t xml:space="preserve"> l’espace d’évaluation des impacts cumulatifs</w:t>
      </w:r>
      <w:r>
        <w:t xml:space="preserve"> du projet.</w:t>
      </w:r>
    </w:p>
    <w:p w14:paraId="0625700E" w14:textId="06B02719" w:rsidR="00AF3B64" w:rsidRPr="00AF3B64" w:rsidRDefault="00AF3B64" w:rsidP="0001633E">
      <w:pPr>
        <w:pStyle w:val="AltTitle2"/>
        <w:numPr>
          <w:ilvl w:val="0"/>
          <w:numId w:val="133"/>
        </w:numPr>
      </w:pPr>
      <w:r w:rsidRPr="00AF3B64">
        <w:t>Zone d’influence élargie</w:t>
      </w:r>
    </w:p>
    <w:p w14:paraId="654880E8" w14:textId="77777777" w:rsidR="00AF3B64" w:rsidRPr="00AF3B64" w:rsidRDefault="00AF3B64" w:rsidP="00AF3B64">
      <w:r w:rsidRPr="00AF3B64">
        <w:t xml:space="preserve">La zone d’influence élargie correspond à l’espace où le projet génère </w:t>
      </w:r>
      <w:r w:rsidRPr="004637C7">
        <w:t>des effets indirects et des retombées socio-économiques à plus large échelle</w:t>
      </w:r>
      <w:r w:rsidRPr="00AF3B64">
        <w:t>, notamment par la création d’emplois, l’amélioration de la connectivité aérienne et la stimulation de l’activité économique régionale.</w:t>
      </w:r>
      <w:r w:rsidRPr="00AF3B64">
        <w:br/>
        <w:t>Elle comprend :</w:t>
      </w:r>
    </w:p>
    <w:p w14:paraId="29862A7C" w14:textId="41DF4FFD" w:rsidR="00AF3B64" w:rsidRPr="00AF3B64" w:rsidRDefault="00AF3B64" w:rsidP="0001633E">
      <w:pPr>
        <w:numPr>
          <w:ilvl w:val="0"/>
          <w:numId w:val="134"/>
        </w:numPr>
      </w:pPr>
      <w:r w:rsidRPr="004637C7">
        <w:t>La commune</w:t>
      </w:r>
      <w:r w:rsidR="00882CA8">
        <w:t xml:space="preserve"> urbaine de Marrakech Ménara</w:t>
      </w:r>
      <w:r w:rsidRPr="00AF3B64">
        <w:t>, territoire d’implantation du projet, bénéficiaire direct des retombées économiques (emplois, consommation locale, circulation commerciale).</w:t>
      </w:r>
    </w:p>
    <w:p w14:paraId="1B18A799" w14:textId="5E1AF653" w:rsidR="00AF3B64" w:rsidRPr="00AF3B64" w:rsidRDefault="00AF3B64" w:rsidP="0001633E">
      <w:pPr>
        <w:numPr>
          <w:ilvl w:val="0"/>
          <w:numId w:val="134"/>
        </w:numPr>
      </w:pPr>
      <w:r w:rsidRPr="004637C7">
        <w:t xml:space="preserve">La préfecture </w:t>
      </w:r>
      <w:r w:rsidR="00882CA8">
        <w:t>de Marrakech</w:t>
      </w:r>
      <w:r w:rsidRPr="00AF3B64">
        <w:t>, dont dépend administrativement l’aéroport et qui concentre les zones logistiques et industrielles connectées.</w:t>
      </w:r>
    </w:p>
    <w:p w14:paraId="1BE2562D" w14:textId="529D8CC3" w:rsidR="00AF3B64" w:rsidRPr="00AF3B64" w:rsidRDefault="00AF3B64" w:rsidP="0001633E">
      <w:pPr>
        <w:numPr>
          <w:ilvl w:val="0"/>
          <w:numId w:val="134"/>
        </w:numPr>
      </w:pPr>
      <w:r w:rsidRPr="004637C7">
        <w:t xml:space="preserve">La région </w:t>
      </w:r>
      <w:r w:rsidR="00882CA8">
        <w:t>Marrakech – Safi</w:t>
      </w:r>
      <w:r w:rsidRPr="00AF3B64">
        <w:t xml:space="preserve">, où les effets positifs s’étendront à travers l’essor du tourisme, des exportations agro-alimentaires et du transport aérien, en cohérence avec le </w:t>
      </w:r>
      <w:r w:rsidRPr="004637C7">
        <w:t>Plan de Développement Régional 2022-2027</w:t>
      </w:r>
      <w:r w:rsidRPr="00AF3B64">
        <w:t xml:space="preserve"> et le </w:t>
      </w:r>
      <w:r w:rsidRPr="004637C7">
        <w:t xml:space="preserve">Programme de Développement Urbain (PDU) </w:t>
      </w:r>
      <w:r w:rsidR="00882CA8">
        <w:t>de Marrakech</w:t>
      </w:r>
      <w:r w:rsidRPr="004637C7">
        <w:t xml:space="preserve"> 2020-2024</w:t>
      </w:r>
      <w:r w:rsidRPr="00AF3B64">
        <w:t>.</w:t>
      </w:r>
    </w:p>
    <w:p w14:paraId="47B3AB7D" w14:textId="77777777" w:rsidR="00AF3B64" w:rsidRPr="00AF3B64" w:rsidRDefault="00AF3B64" w:rsidP="00AF3B64">
      <w:r w:rsidRPr="00AF3B64">
        <w:t xml:space="preserve">Ce périmètre large permet d’intégrer la dimension </w:t>
      </w:r>
      <w:r w:rsidRPr="004637C7">
        <w:t>économique, sociale et institutionnelle</w:t>
      </w:r>
      <w:r w:rsidRPr="00AF3B64">
        <w:t xml:space="preserve"> du projet dans une logique de développement territorial durable.</w:t>
      </w:r>
    </w:p>
    <w:p w14:paraId="7D6EED68" w14:textId="71A33637" w:rsidR="00AF3B64" w:rsidRPr="00AF3B64" w:rsidRDefault="00AF3B64" w:rsidP="00AF3B64">
      <w:r w:rsidRPr="00AF3B64">
        <w:t>L’amélioration de la capacité de l’aéroport (</w:t>
      </w:r>
      <w:r w:rsidR="00882CA8">
        <w:t>16</w:t>
      </w:r>
      <w:r w:rsidRPr="00AF3B64">
        <w:t xml:space="preserve"> millions de passagers/an à terme) renforcera la </w:t>
      </w:r>
      <w:r w:rsidRPr="004637C7">
        <w:t>résilience économique régionale</w:t>
      </w:r>
      <w:r w:rsidRPr="00AF3B64">
        <w:t xml:space="preserve">, la </w:t>
      </w:r>
      <w:r w:rsidRPr="004637C7">
        <w:t>connectivité nationale et internationale</w:t>
      </w:r>
      <w:r w:rsidRPr="00AF3B64">
        <w:t xml:space="preserve">, et le </w:t>
      </w:r>
      <w:r w:rsidRPr="004637C7">
        <w:t>rôle de pôle logistique</w:t>
      </w:r>
      <w:r w:rsidRPr="00AF3B64">
        <w:t xml:space="preserve"> du </w:t>
      </w:r>
      <w:r w:rsidR="008F5FE1">
        <w:t>Marrakech – Safi</w:t>
      </w:r>
      <w:r w:rsidRPr="00AF3B64">
        <w:t>.</w:t>
      </w:r>
    </w:p>
    <w:p w14:paraId="5510BBA9" w14:textId="766713ED" w:rsidR="00AF3B64" w:rsidRPr="00AF3B64" w:rsidRDefault="00AF3B64" w:rsidP="00AF3B64">
      <w:r w:rsidRPr="00AF3B64">
        <w:t>Cette zone constitue donc l’</w:t>
      </w:r>
      <w:r w:rsidRPr="004637C7">
        <w:t>espace d’évaluation des retombées socio-économiques positives</w:t>
      </w:r>
      <w:r w:rsidRPr="00AF3B64">
        <w:t xml:space="preserve"> du projet.</w:t>
      </w:r>
    </w:p>
    <w:p w14:paraId="44D6FEB0" w14:textId="77777777" w:rsidR="00AF3B64" w:rsidRDefault="00AF3B64" w:rsidP="007703F6"/>
    <w:p w14:paraId="707F2259" w14:textId="5CC131EC" w:rsidR="00C61BAB" w:rsidRDefault="00C61BAB" w:rsidP="00C61BAB">
      <w:pPr>
        <w:sectPr w:rsidR="00C61BAB" w:rsidSect="004637C7">
          <w:pgSz w:w="11906" w:h="16838"/>
          <w:pgMar w:top="1701" w:right="1417" w:bottom="1276" w:left="1417" w:header="680" w:footer="680" w:gutter="0"/>
          <w:cols w:space="708"/>
          <w:docGrid w:linePitch="360"/>
        </w:sectPr>
      </w:pPr>
    </w:p>
    <w:p w14:paraId="23494A49" w14:textId="2DFAF485" w:rsidR="00354C31" w:rsidRPr="00354C31" w:rsidRDefault="00A148F1" w:rsidP="00354C31">
      <w:pPr>
        <w:pStyle w:val="NormalWeb"/>
        <w:spacing w:before="0" w:after="0"/>
        <w:jc w:val="center"/>
        <w:rPr>
          <w:noProof/>
          <w:lang w:val="fr-FR"/>
        </w:rPr>
      </w:pPr>
      <w:r>
        <w:rPr>
          <w:noProof/>
          <w:lang w:val="fr-FR" w:eastAsia="fr-FR"/>
        </w:rPr>
        <w:lastRenderedPageBreak/>
        <w:drawing>
          <wp:inline distT="0" distB="0" distL="0" distR="0" wp14:anchorId="0F83548E" wp14:editId="6573C2F1">
            <wp:extent cx="7741340" cy="5476907"/>
            <wp:effectExtent l="19050" t="19050" r="12065" b="9525"/>
            <wp:docPr id="1527583756" name="Image 5" descr="Une image contenant texte, capture d’écran, cart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2859584" name="Image 5" descr="Une image contenant texte, capture d’écran, carte&#10;&#10;Description générée automatiquement"/>
                    <pic:cNvPicPr/>
                  </pic:nvPicPr>
                  <pic:blipFill>
                    <a:blip r:embed="rId33" cstate="print">
                      <a:extLst>
                        <a:ext uri="{28A0092B-C50C-407E-A947-70E740481C1C}">
                          <a14:useLocalDpi xmlns:a14="http://schemas.microsoft.com/office/drawing/2010/main" val="0"/>
                        </a:ext>
                      </a:extLst>
                    </a:blip>
                    <a:stretch>
                      <a:fillRect/>
                    </a:stretch>
                  </pic:blipFill>
                  <pic:spPr>
                    <a:xfrm>
                      <a:off x="0" y="0"/>
                      <a:ext cx="7766271" cy="5494546"/>
                    </a:xfrm>
                    <a:prstGeom prst="rect">
                      <a:avLst/>
                    </a:prstGeom>
                    <a:ln>
                      <a:solidFill>
                        <a:schemeClr val="tx1">
                          <a:lumMod val="50000"/>
                          <a:lumOff val="50000"/>
                        </a:schemeClr>
                      </a:solidFill>
                    </a:ln>
                  </pic:spPr>
                </pic:pic>
              </a:graphicData>
            </a:graphic>
          </wp:inline>
        </w:drawing>
      </w:r>
    </w:p>
    <w:p w14:paraId="59921160" w14:textId="1122C88C" w:rsidR="00C61BAB" w:rsidRPr="002A0860" w:rsidRDefault="00C61BAB" w:rsidP="00C61BAB">
      <w:pPr>
        <w:pStyle w:val="Lgende"/>
        <w:rPr>
          <w:lang w:val="fr-FR"/>
        </w:rPr>
      </w:pPr>
      <w:bookmarkStart w:id="235" w:name="_Toc213404403"/>
      <w:r w:rsidRPr="00354C31">
        <w:rPr>
          <w:lang w:val="fr-FR"/>
        </w:rPr>
        <w:t xml:space="preserve">Figure </w:t>
      </w:r>
      <w:r w:rsidRPr="00354C31">
        <w:fldChar w:fldCharType="begin"/>
      </w:r>
      <w:r w:rsidRPr="00354C31">
        <w:rPr>
          <w:lang w:val="fr-FR"/>
        </w:rPr>
        <w:instrText xml:space="preserve"> SEQ Figure \* ARABIC </w:instrText>
      </w:r>
      <w:r w:rsidRPr="00354C31">
        <w:fldChar w:fldCharType="separate"/>
      </w:r>
      <w:r w:rsidR="00B976BF">
        <w:rPr>
          <w:noProof/>
          <w:lang w:val="fr-FR"/>
        </w:rPr>
        <w:t>1</w:t>
      </w:r>
      <w:r w:rsidRPr="00354C31">
        <w:fldChar w:fldCharType="end"/>
      </w:r>
      <w:r w:rsidRPr="00354C31">
        <w:rPr>
          <w:noProof/>
          <w:lang w:val="fr-MA"/>
        </w:rPr>
        <w:t>:  Délimitation de la zone d’étude</w:t>
      </w:r>
      <w:bookmarkEnd w:id="235"/>
    </w:p>
    <w:p w14:paraId="53B1679D" w14:textId="77777777" w:rsidR="00C61BAB" w:rsidRPr="0015002E" w:rsidRDefault="00C61BAB" w:rsidP="00C61BAB">
      <w:pPr>
        <w:rPr>
          <w:lang w:val="fr-MA"/>
        </w:rPr>
        <w:sectPr w:rsidR="00C61BAB" w:rsidRPr="0015002E" w:rsidSect="00C61BAB">
          <w:headerReference w:type="default" r:id="rId34"/>
          <w:footerReference w:type="default" r:id="rId35"/>
          <w:pgSz w:w="16838" w:h="11906" w:orient="landscape"/>
          <w:pgMar w:top="1418" w:right="1418" w:bottom="1418" w:left="1276" w:header="567" w:footer="510" w:gutter="0"/>
          <w:cols w:space="708"/>
          <w:docGrid w:linePitch="360"/>
        </w:sectPr>
      </w:pPr>
    </w:p>
    <w:p w14:paraId="1435B852" w14:textId="5D196B62" w:rsidR="000861DA" w:rsidRDefault="000861DA" w:rsidP="0054278A">
      <w:pPr>
        <w:pStyle w:val="Title2"/>
        <w:spacing w:before="120" w:after="120"/>
      </w:pPr>
      <w:bookmarkStart w:id="236" w:name="_Toc215131838"/>
      <w:r>
        <w:lastRenderedPageBreak/>
        <w:t>Situation géographique</w:t>
      </w:r>
      <w:bookmarkEnd w:id="233"/>
      <w:bookmarkEnd w:id="236"/>
    </w:p>
    <w:p w14:paraId="449E9FE6" w14:textId="77777777" w:rsidR="00C53C6C" w:rsidRDefault="00C53C6C" w:rsidP="00C53C6C">
      <w:r>
        <w:t xml:space="preserve">Le projet de développement de l’aéroport est situé dans la ville de Marrakech, relevant de la préfecture de Marrakech. Elle se trouve au centre du Maroc au pied des montagnes de l'Atlas. </w:t>
      </w:r>
    </w:p>
    <w:p w14:paraId="3645F17D" w14:textId="146920C3" w:rsidR="00506E3F" w:rsidRPr="00506E3F" w:rsidRDefault="00C53C6C" w:rsidP="00C53C6C">
      <w:r>
        <w:t>Elle est bordée à l'Ouest par les provinces de Chichaoua et Safi, au Nord par la province d'El Kelâa des Sgharna, à l'Est par la province de Rehamna, et au Sud par la province d’Al Haouz</w:t>
      </w:r>
      <w:r w:rsidR="00506E3F" w:rsidRPr="00506E3F">
        <w:t>.</w:t>
      </w:r>
    </w:p>
    <w:p w14:paraId="353CBAA5" w14:textId="77777777" w:rsidR="00506E3F" w:rsidRDefault="00506E3F" w:rsidP="00506E3F">
      <w:pPr>
        <w:rPr>
          <w:rFonts w:ascii="Arial" w:hAnsi="Arial"/>
          <w:color w:val="202122"/>
          <w:shd w:val="clear" w:color="auto" w:fill="FFFFFF"/>
        </w:rPr>
      </w:pPr>
    </w:p>
    <w:p w14:paraId="7449F3D3" w14:textId="77777777" w:rsidR="00506E3F" w:rsidRDefault="00506E3F" w:rsidP="00506E3F">
      <w:pPr>
        <w:rPr>
          <w:rFonts w:ascii="Arial" w:hAnsi="Arial"/>
          <w:color w:val="202122"/>
          <w:shd w:val="clear" w:color="auto" w:fill="FFFFFF"/>
        </w:rPr>
      </w:pPr>
    </w:p>
    <w:p w14:paraId="4BE96457" w14:textId="77777777" w:rsidR="00506E3F" w:rsidRDefault="00506E3F" w:rsidP="00506E3F">
      <w:pPr>
        <w:rPr>
          <w:rFonts w:ascii="Arial" w:hAnsi="Arial"/>
          <w:color w:val="202122"/>
          <w:shd w:val="clear" w:color="auto" w:fill="FFFFFF"/>
        </w:rPr>
      </w:pPr>
    </w:p>
    <w:p w14:paraId="531C61A0" w14:textId="77777777" w:rsidR="00506E3F" w:rsidRDefault="00506E3F" w:rsidP="00506E3F">
      <w:pPr>
        <w:rPr>
          <w:rFonts w:ascii="Arial" w:hAnsi="Arial"/>
          <w:color w:val="202122"/>
          <w:shd w:val="clear" w:color="auto" w:fill="FFFFFF"/>
        </w:rPr>
      </w:pPr>
    </w:p>
    <w:p w14:paraId="02EF03BA" w14:textId="77777777" w:rsidR="00506E3F" w:rsidRDefault="00506E3F" w:rsidP="00506E3F">
      <w:pPr>
        <w:rPr>
          <w:rFonts w:ascii="Arial" w:hAnsi="Arial"/>
          <w:color w:val="202122"/>
          <w:shd w:val="clear" w:color="auto" w:fill="FFFFFF"/>
        </w:rPr>
      </w:pPr>
    </w:p>
    <w:p w14:paraId="7C25B20E" w14:textId="77777777" w:rsidR="00506E3F" w:rsidRDefault="00506E3F" w:rsidP="00506E3F">
      <w:pPr>
        <w:rPr>
          <w:rFonts w:ascii="Arial" w:hAnsi="Arial"/>
          <w:color w:val="202122"/>
          <w:shd w:val="clear" w:color="auto" w:fill="FFFFFF"/>
        </w:rPr>
      </w:pPr>
    </w:p>
    <w:p w14:paraId="49527F5F" w14:textId="77777777" w:rsidR="00506E3F" w:rsidRDefault="00506E3F" w:rsidP="00506E3F">
      <w:pPr>
        <w:rPr>
          <w:rFonts w:ascii="Arial" w:hAnsi="Arial"/>
          <w:color w:val="202122"/>
          <w:shd w:val="clear" w:color="auto" w:fill="FFFFFF"/>
        </w:rPr>
      </w:pPr>
    </w:p>
    <w:p w14:paraId="0779801D" w14:textId="4D2CC370" w:rsidR="00506E3F" w:rsidRDefault="00506E3F" w:rsidP="00506E3F">
      <w:pPr>
        <w:sectPr w:rsidR="00506E3F" w:rsidSect="0061278F">
          <w:headerReference w:type="default" r:id="rId36"/>
          <w:footerReference w:type="default" r:id="rId37"/>
          <w:pgSz w:w="11906" w:h="16838"/>
          <w:pgMar w:top="1417" w:right="1417" w:bottom="1276" w:left="1417" w:header="680" w:footer="680" w:gutter="0"/>
          <w:cols w:space="708"/>
          <w:docGrid w:linePitch="360"/>
        </w:sectPr>
      </w:pPr>
    </w:p>
    <w:p w14:paraId="72BBDAF8" w14:textId="77777777" w:rsidR="002965EA" w:rsidRDefault="002965EA" w:rsidP="002965EA">
      <w:pPr>
        <w:jc w:val="center"/>
        <w:rPr>
          <w:b/>
          <w:bCs/>
          <w:sz w:val="20"/>
          <w:szCs w:val="20"/>
        </w:rPr>
      </w:pPr>
    </w:p>
    <w:p w14:paraId="4F98BA27" w14:textId="1A98458F" w:rsidR="00354C31" w:rsidRPr="00354C31" w:rsidRDefault="00715380" w:rsidP="00354C31">
      <w:pPr>
        <w:keepNext/>
        <w:spacing w:after="0"/>
        <w:jc w:val="center"/>
      </w:pPr>
      <w:r>
        <w:rPr>
          <w:b/>
          <w:bCs/>
          <w:noProof/>
          <w:lang w:eastAsia="fr-FR" w:bidi="ar-SA"/>
        </w:rPr>
        <w:drawing>
          <wp:inline distT="0" distB="0" distL="0" distR="0" wp14:anchorId="5EB14E39" wp14:editId="7F89C061">
            <wp:extent cx="7350471" cy="5200372"/>
            <wp:effectExtent l="19050" t="19050" r="22225" b="19685"/>
            <wp:docPr id="1265975931" name="Image 7" descr="Une image contenant texte, diagramme, capture d’écran, cercl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5975931" name="Image 7" descr="Une image contenant texte, diagramme, capture d’écran, cercle&#10;&#10;Description générée automatiquement"/>
                    <pic:cNvPicPr/>
                  </pic:nvPicPr>
                  <pic:blipFill>
                    <a:blip r:embed="rId38" cstate="print">
                      <a:extLst>
                        <a:ext uri="{28A0092B-C50C-407E-A947-70E740481C1C}">
                          <a14:useLocalDpi xmlns:a14="http://schemas.microsoft.com/office/drawing/2010/main" val="0"/>
                        </a:ext>
                      </a:extLst>
                    </a:blip>
                    <a:stretch>
                      <a:fillRect/>
                    </a:stretch>
                  </pic:blipFill>
                  <pic:spPr>
                    <a:xfrm>
                      <a:off x="0" y="0"/>
                      <a:ext cx="7389930" cy="5228289"/>
                    </a:xfrm>
                    <a:prstGeom prst="rect">
                      <a:avLst/>
                    </a:prstGeom>
                    <a:ln>
                      <a:solidFill>
                        <a:schemeClr val="tx1">
                          <a:lumMod val="50000"/>
                          <a:lumOff val="50000"/>
                        </a:schemeClr>
                      </a:solidFill>
                    </a:ln>
                  </pic:spPr>
                </pic:pic>
              </a:graphicData>
            </a:graphic>
          </wp:inline>
        </w:drawing>
      </w:r>
    </w:p>
    <w:p w14:paraId="1FA55E69" w14:textId="77D82C0D" w:rsidR="00B12101" w:rsidRPr="002A0860" w:rsidRDefault="00B12101" w:rsidP="00B12101">
      <w:pPr>
        <w:pStyle w:val="Lgende"/>
        <w:rPr>
          <w:b w:val="0"/>
          <w:bCs w:val="0"/>
          <w:lang w:val="fr-FR"/>
        </w:rPr>
      </w:pPr>
      <w:bookmarkStart w:id="237" w:name="_Toc213404404"/>
      <w:r w:rsidRPr="00354C31">
        <w:rPr>
          <w:lang w:val="fr-FR"/>
        </w:rPr>
        <w:t xml:space="preserve">Figure </w:t>
      </w:r>
      <w:r w:rsidRPr="00354C31">
        <w:fldChar w:fldCharType="begin"/>
      </w:r>
      <w:r w:rsidRPr="00354C31">
        <w:rPr>
          <w:lang w:val="fr-FR"/>
        </w:rPr>
        <w:instrText xml:space="preserve"> SEQ Figure \* ARABIC </w:instrText>
      </w:r>
      <w:r w:rsidRPr="00354C31">
        <w:fldChar w:fldCharType="separate"/>
      </w:r>
      <w:r w:rsidR="00B976BF">
        <w:rPr>
          <w:noProof/>
          <w:lang w:val="fr-FR"/>
        </w:rPr>
        <w:t>2</w:t>
      </w:r>
      <w:r w:rsidRPr="00354C31">
        <w:fldChar w:fldCharType="end"/>
      </w:r>
      <w:r w:rsidRPr="00354C31">
        <w:rPr>
          <w:noProof/>
          <w:lang w:val="fr-FR"/>
        </w:rPr>
        <w:t>: Carte de plan de situation</w:t>
      </w:r>
      <w:bookmarkEnd w:id="237"/>
    </w:p>
    <w:p w14:paraId="6E3CE321" w14:textId="3F28E9FD" w:rsidR="00B12101" w:rsidRPr="002965EA" w:rsidRDefault="00B12101" w:rsidP="002965EA">
      <w:pPr>
        <w:jc w:val="center"/>
        <w:rPr>
          <w:b/>
          <w:bCs/>
          <w:sz w:val="20"/>
          <w:szCs w:val="20"/>
        </w:rPr>
        <w:sectPr w:rsidR="00B12101" w:rsidRPr="002965EA" w:rsidSect="00450DDC">
          <w:headerReference w:type="default" r:id="rId39"/>
          <w:footerReference w:type="default" r:id="rId40"/>
          <w:pgSz w:w="16838" w:h="11906" w:orient="landscape"/>
          <w:pgMar w:top="1418" w:right="1418" w:bottom="1418" w:left="1276" w:header="567" w:footer="510" w:gutter="0"/>
          <w:cols w:space="708"/>
          <w:docGrid w:linePitch="360"/>
        </w:sectPr>
      </w:pPr>
    </w:p>
    <w:p w14:paraId="4C46DA12" w14:textId="09E7946C" w:rsidR="00C54BD1" w:rsidRPr="00C54BD1" w:rsidRDefault="00C54BD1" w:rsidP="0054278A">
      <w:pPr>
        <w:pStyle w:val="Title2"/>
        <w:spacing w:before="120" w:after="120"/>
      </w:pPr>
      <w:bookmarkStart w:id="238" w:name="_Toc138155193"/>
      <w:bookmarkStart w:id="239" w:name="_Toc145325059"/>
      <w:bookmarkStart w:id="240" w:name="_Toc181619003"/>
      <w:bookmarkStart w:id="241" w:name="_Toc215131839"/>
      <w:r w:rsidRPr="00C54BD1">
        <w:lastRenderedPageBreak/>
        <w:t>Milieu Physique</w:t>
      </w:r>
      <w:bookmarkEnd w:id="238"/>
      <w:bookmarkEnd w:id="239"/>
      <w:bookmarkEnd w:id="240"/>
      <w:bookmarkEnd w:id="241"/>
    </w:p>
    <w:p w14:paraId="5528B3AA" w14:textId="77777777" w:rsidR="00C54BD1" w:rsidRPr="00C54BD1" w:rsidRDefault="00C54BD1" w:rsidP="00C54BD1">
      <w:r w:rsidRPr="00C54BD1">
        <w:t xml:space="preserve">La description du milieu physique concerne la géographie, la topographie, l’hydrographie, la géologie et la climatologie au niveau régional ainsi que dans l’aire d’étude. Ceci permettra une meilleure compréhension des impacts et de leur ampleur. </w:t>
      </w:r>
    </w:p>
    <w:p w14:paraId="5252D203" w14:textId="17C8DA5D" w:rsidR="00AA3DAC" w:rsidRDefault="0035105A" w:rsidP="00C70AB1">
      <w:pPr>
        <w:pStyle w:val="Title3"/>
      </w:pPr>
      <w:bookmarkStart w:id="242" w:name="_Toc181619004"/>
      <w:bookmarkStart w:id="243" w:name="_Hlk210208331"/>
      <w:bookmarkStart w:id="244" w:name="_Toc215131840"/>
      <w:r>
        <w:t>Climat</w:t>
      </w:r>
      <w:bookmarkEnd w:id="242"/>
      <w:bookmarkEnd w:id="244"/>
    </w:p>
    <w:p w14:paraId="7F597A06" w14:textId="22AA3C15" w:rsidR="00C70AB1" w:rsidRDefault="00D21E0B" w:rsidP="0081460F">
      <w:r w:rsidRPr="00DB1D15">
        <w:t xml:space="preserve">À </w:t>
      </w:r>
      <w:r>
        <w:t>l’</w:t>
      </w:r>
      <w:r w:rsidRPr="00DB1D15">
        <w:t xml:space="preserve">Aéroport </w:t>
      </w:r>
      <w:r>
        <w:t xml:space="preserve">de </w:t>
      </w:r>
      <w:r w:rsidRPr="00DB1D15">
        <w:t>Marrakech Ménara, les étés sont courts, caniculaire, aride et dégagé et les hivers sont frais et dégagé dans l'ensemble. Au cours de l'année, la température varie généralement de 6 °C à 38 °C et est rarement inférieure à 3 °C ou supérieure à 43 °C</w:t>
      </w:r>
      <w:r>
        <w:t>.</w:t>
      </w:r>
    </w:p>
    <w:p w14:paraId="5B7CB3E5" w14:textId="79B39058" w:rsidR="002911AD" w:rsidRPr="00627B39" w:rsidRDefault="001202F3" w:rsidP="0037181E">
      <w:pPr>
        <w:pStyle w:val="Title4"/>
        <w:tabs>
          <w:tab w:val="clear" w:pos="1134"/>
          <w:tab w:val="left" w:pos="851"/>
        </w:tabs>
      </w:pPr>
      <w:r w:rsidRPr="00627B39">
        <w:t>Températures et insolation</w:t>
      </w:r>
    </w:p>
    <w:p w14:paraId="6C0638BD" w14:textId="77777777" w:rsidR="0089746D" w:rsidRDefault="0089746D" w:rsidP="0089746D">
      <w:r>
        <w:t>La saison très chaude dure 2,5 mois, du 23 juin au 6 septembre, avec une température quotidienne moyenne maximale supérieure à 34 °C. Le mois le plus chaud de l'année 2024 à Aéroport Marrakech Ménara est juillet, avec une température moyenne maximale de 37 °C et minimale de 21 °C.</w:t>
      </w:r>
    </w:p>
    <w:p w14:paraId="79D3E4DE" w14:textId="45BB8D91" w:rsidR="00257AC3" w:rsidRDefault="0089746D" w:rsidP="0089746D">
      <w:r>
        <w:t>La saison fraîche dure 3,7 mois, du 16 novembre au 7 mars, avec une température quotidienne moyenne maximale inférieure à 22 °C. Le mois le plus froid de l'année 2024 à Aéroport Marrakech Ménara est janvier, avec une température moyenne minimale de 7 °C et maximale de 19 °C.</w:t>
      </w:r>
      <w:r w:rsidR="00371798" w:rsidRPr="00371798">
        <w:t xml:space="preserve"> </w:t>
      </w:r>
    </w:p>
    <w:p w14:paraId="2B5398C9" w14:textId="71FA8563" w:rsidR="00E056CD" w:rsidRDefault="00310EAC" w:rsidP="0010065A">
      <w:pPr>
        <w:ind w:left="-170"/>
        <w:jc w:val="center"/>
      </w:pPr>
      <w:r w:rsidRPr="0036249B">
        <w:rPr>
          <w:noProof/>
          <w:lang w:eastAsia="fr-FR" w:bidi="ar-SA"/>
        </w:rPr>
        <w:drawing>
          <wp:inline distT="0" distB="0" distL="0" distR="0" wp14:anchorId="32DC10EA" wp14:editId="613C35EF">
            <wp:extent cx="5760720" cy="2983230"/>
            <wp:effectExtent l="0" t="0" r="0" b="7620"/>
            <wp:docPr id="1023205302" name="Image 1023205302" descr="Une image contenant texte, Tracé, capture d’écran, lign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 11" descr="Une image contenant texte, Tracé, capture d’écran, ligne&#10;&#10;Description générée automatiquement"/>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760720" cy="2983230"/>
                    </a:xfrm>
                    <a:prstGeom prst="rect">
                      <a:avLst/>
                    </a:prstGeom>
                    <a:noFill/>
                    <a:ln>
                      <a:noFill/>
                    </a:ln>
                  </pic:spPr>
                </pic:pic>
              </a:graphicData>
            </a:graphic>
          </wp:inline>
        </w:drawing>
      </w:r>
    </w:p>
    <w:p w14:paraId="50AB2797" w14:textId="6869C432" w:rsidR="00B12101" w:rsidRPr="00B12101" w:rsidRDefault="00B12101" w:rsidP="00B12101">
      <w:pPr>
        <w:ind w:left="-170"/>
        <w:jc w:val="left"/>
        <w:rPr>
          <w:i/>
          <w:iCs/>
          <w:sz w:val="18"/>
          <w:szCs w:val="18"/>
        </w:rPr>
      </w:pPr>
      <w:r w:rsidRPr="00B12101">
        <w:rPr>
          <w:i/>
          <w:iCs/>
          <w:sz w:val="18"/>
          <w:szCs w:val="18"/>
        </w:rPr>
        <w:t>Source : weatherspark.com</w:t>
      </w:r>
    </w:p>
    <w:p w14:paraId="50614362" w14:textId="315779B5" w:rsidR="003A0995" w:rsidRPr="00EA563A" w:rsidRDefault="00B12101" w:rsidP="004637C7">
      <w:pPr>
        <w:pStyle w:val="Lgende"/>
        <w:rPr>
          <w:lang w:val="fr-FR"/>
        </w:rPr>
      </w:pPr>
      <w:bookmarkStart w:id="245" w:name="_Toc213404405"/>
      <w:r w:rsidRPr="002A0860">
        <w:t xml:space="preserve">Figure </w:t>
      </w:r>
      <w:r>
        <w:rPr>
          <w:b w:val="0"/>
          <w:bCs w:val="0"/>
        </w:rPr>
        <w:fldChar w:fldCharType="begin"/>
      </w:r>
      <w:r w:rsidRPr="002A0860">
        <w:instrText xml:space="preserve"> SEQ Figure \* ARABIC </w:instrText>
      </w:r>
      <w:r>
        <w:rPr>
          <w:b w:val="0"/>
          <w:bCs w:val="0"/>
        </w:rPr>
        <w:fldChar w:fldCharType="separate"/>
      </w:r>
      <w:r w:rsidR="00B976BF">
        <w:rPr>
          <w:noProof/>
        </w:rPr>
        <w:t>3</w:t>
      </w:r>
      <w:r>
        <w:rPr>
          <w:b w:val="0"/>
          <w:bCs w:val="0"/>
        </w:rPr>
        <w:fldChar w:fldCharType="end"/>
      </w:r>
      <w:r>
        <w:rPr>
          <w:noProof/>
        </w:rPr>
        <w:t>:</w:t>
      </w:r>
      <w:r>
        <w:t xml:space="preserve"> </w:t>
      </w:r>
      <w:bookmarkStart w:id="246" w:name="_Toc113465401"/>
      <w:bookmarkStart w:id="247" w:name="_Toc142649497"/>
      <w:r w:rsidRPr="00DD6097">
        <w:t>La température moyenne quotidienne maximale (ligne rouge) et minimale (ligne bleue)</w:t>
      </w:r>
      <w:r w:rsidR="00595883">
        <w:t xml:space="preserve"> pour la période de 2023-2024</w:t>
      </w:r>
      <w:r w:rsidRPr="00DD6097">
        <w:t>. Les fines lignes pointillées sont les températures moyennes perçues correspondantes</w:t>
      </w:r>
      <w:bookmarkEnd w:id="246"/>
      <w:bookmarkEnd w:id="247"/>
      <w:r w:rsidR="00AA6728">
        <w:t>.</w:t>
      </w:r>
      <w:bookmarkEnd w:id="245"/>
    </w:p>
    <w:p w14:paraId="465926EA" w14:textId="77777777" w:rsidR="00656177" w:rsidRDefault="00656177" w:rsidP="00681E6D">
      <w:r w:rsidRPr="0036249B">
        <w:t>La figure ci-dessous montre une caractérisation compacte des températures horaires moyennes pour toute l'année. L'axe horizontal représente le jour de l'année, l'axe vertical l'heure du jour, et la couleur représente la température moyenne pour cette heure et ce jour</w:t>
      </w:r>
      <w:r w:rsidR="007D17A3" w:rsidRPr="00924F3F">
        <w:t>.</w:t>
      </w:r>
    </w:p>
    <w:p w14:paraId="436D616F" w14:textId="77777777" w:rsidR="007363CF" w:rsidRDefault="007363CF" w:rsidP="007363CF">
      <w:pPr>
        <w:keepNext/>
      </w:pPr>
      <w:r w:rsidRPr="0036249B">
        <w:rPr>
          <w:noProof/>
          <w:lang w:eastAsia="fr-FR" w:bidi="ar-SA"/>
        </w:rPr>
        <w:lastRenderedPageBreak/>
        <w:drawing>
          <wp:inline distT="0" distB="0" distL="0" distR="0" wp14:anchorId="7642703D" wp14:editId="6DD8CBF8">
            <wp:extent cx="5571401" cy="3095625"/>
            <wp:effectExtent l="0" t="0" r="0" b="0"/>
            <wp:docPr id="1647065113" name="Image 1647065113" descr="Une image contenant texte, capture d’écran, Caractère coloré&#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 18" descr="Une image contenant texte, capture d’écran, Caractère coloré&#10;&#10;Description générée automatiquement"/>
                    <pic:cNvPicPr>
                      <a:picLocks noChangeAspect="1" noChangeArrowheads="1"/>
                    </pic:cNvPicPr>
                  </pic:nvPicPr>
                  <pic:blipFill rotWithShape="1">
                    <a:blip r:embed="rId42">
                      <a:extLst>
                        <a:ext uri="{28A0092B-C50C-407E-A947-70E740481C1C}">
                          <a14:useLocalDpi xmlns:a14="http://schemas.microsoft.com/office/drawing/2010/main" val="0"/>
                        </a:ext>
                      </a:extLst>
                    </a:blip>
                    <a:srcRect l="4504" r="3003"/>
                    <a:stretch/>
                  </pic:blipFill>
                  <pic:spPr bwMode="auto">
                    <a:xfrm>
                      <a:off x="0" y="0"/>
                      <a:ext cx="5571401" cy="3095625"/>
                    </a:xfrm>
                    <a:prstGeom prst="rect">
                      <a:avLst/>
                    </a:prstGeom>
                    <a:noFill/>
                    <a:ln>
                      <a:noFill/>
                    </a:ln>
                    <a:extLst>
                      <a:ext uri="{53640926-AAD7-44D8-BBD7-CCE9431645EC}">
                        <a14:shadowObscured xmlns:a14="http://schemas.microsoft.com/office/drawing/2010/main"/>
                      </a:ext>
                    </a:extLst>
                  </pic:spPr>
                </pic:pic>
              </a:graphicData>
            </a:graphic>
          </wp:inline>
        </w:drawing>
      </w:r>
    </w:p>
    <w:p w14:paraId="563FBD82" w14:textId="2A9A578A" w:rsidR="007363CF" w:rsidRDefault="007363CF" w:rsidP="007363CF">
      <w:pPr>
        <w:pStyle w:val="Lgende"/>
      </w:pPr>
      <w:bookmarkStart w:id="248" w:name="_Toc213404406"/>
      <w:r>
        <w:t xml:space="preserve">Figure </w:t>
      </w:r>
      <w:r>
        <w:fldChar w:fldCharType="begin"/>
      </w:r>
      <w:r>
        <w:instrText xml:space="preserve"> SEQ Figure \* ARABIC </w:instrText>
      </w:r>
      <w:r>
        <w:fldChar w:fldCharType="separate"/>
      </w:r>
      <w:r w:rsidR="00B976BF">
        <w:rPr>
          <w:noProof/>
        </w:rPr>
        <w:t>4</w:t>
      </w:r>
      <w:r>
        <w:fldChar w:fldCharType="end"/>
      </w:r>
      <w:r>
        <w:rPr>
          <w:noProof/>
        </w:rPr>
        <w:t xml:space="preserve"> </w:t>
      </w:r>
      <w:r>
        <w:rPr>
          <w:noProof/>
          <w:lang w:val="fr-FR"/>
        </w:rPr>
        <w:t>: Température horaire moyenne à l'aéroport Marrakech Ménara</w:t>
      </w:r>
      <w:bookmarkEnd w:id="248"/>
    </w:p>
    <w:p w14:paraId="7A4E2ADE" w14:textId="77777777" w:rsidR="008906E4" w:rsidRDefault="007D17A3" w:rsidP="008906E4">
      <w:pPr>
        <w:pStyle w:val="Citation"/>
        <w:ind w:left="0"/>
      </w:pPr>
      <w:r w:rsidRPr="00924F3F">
        <w:t xml:space="preserve"> </w:t>
      </w:r>
      <w:r w:rsidR="008906E4">
        <w:t xml:space="preserve">La </w:t>
      </w:r>
      <w:r w:rsidR="008906E4" w:rsidRPr="0036249B">
        <w:t>température horaire moyenne, codée par bandes de couleur. Les superpositions ombrées indiquent la nuit et le crépuscule civil.</w:t>
      </w:r>
    </w:p>
    <w:p w14:paraId="23CF6FC6" w14:textId="77777777" w:rsidR="008906E4" w:rsidRPr="00CD5DA5" w:rsidRDefault="008906E4" w:rsidP="008906E4">
      <w:pPr>
        <w:spacing w:before="240"/>
        <w:rPr>
          <w:b/>
          <w:bCs/>
        </w:rPr>
      </w:pPr>
      <w:r w:rsidRPr="00CD5DA5">
        <w:t xml:space="preserve">La longueur du jour à Aéroport Marrakech Ménara varie considérablement au cours de l'année. En 2024, le jour le plus court est le 21 décembre, avec 10 heures et 5 minutes de jour ; le jour le plus long est le 20 juin, avec 14 heures et 13 minutes de jour. </w:t>
      </w:r>
    </w:p>
    <w:p w14:paraId="69A8332F" w14:textId="77777777" w:rsidR="008906E4" w:rsidRDefault="008906E4" w:rsidP="008906E4">
      <w:pPr>
        <w:keepNext/>
        <w:jc w:val="center"/>
      </w:pPr>
      <w:r w:rsidRPr="00CD5DA5">
        <w:rPr>
          <w:noProof/>
          <w:lang w:eastAsia="fr-FR" w:bidi="ar-SA"/>
        </w:rPr>
        <w:drawing>
          <wp:inline distT="0" distB="0" distL="0" distR="0" wp14:anchorId="7EB9194B" wp14:editId="1E0C4F3B">
            <wp:extent cx="5867400" cy="2093822"/>
            <wp:effectExtent l="0" t="0" r="0" b="1905"/>
            <wp:docPr id="1493266963" name="Image 1493266963" descr="Une image contenant texte, capture d’écran, ligne, Tracé&#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Image 62" descr="Une image contenant texte, capture d’écran, ligne, Tracé&#10;&#10;Description générée automatiquement"/>
                    <pic:cNvPicPr/>
                  </pic:nvPicPr>
                  <pic:blipFill>
                    <a:blip r:embed="rId43"/>
                    <a:stretch>
                      <a:fillRect/>
                    </a:stretch>
                  </pic:blipFill>
                  <pic:spPr>
                    <a:xfrm>
                      <a:off x="0" y="0"/>
                      <a:ext cx="5873033" cy="2095832"/>
                    </a:xfrm>
                    <a:prstGeom prst="rect">
                      <a:avLst/>
                    </a:prstGeom>
                  </pic:spPr>
                </pic:pic>
              </a:graphicData>
            </a:graphic>
          </wp:inline>
        </w:drawing>
      </w:r>
    </w:p>
    <w:p w14:paraId="67FFD2C6" w14:textId="33ED35E4" w:rsidR="008906E4" w:rsidRDefault="008906E4" w:rsidP="008906E4">
      <w:pPr>
        <w:pStyle w:val="Lgende"/>
      </w:pPr>
      <w:bookmarkStart w:id="249" w:name="_Toc213404407"/>
      <w:r>
        <w:t xml:space="preserve">Figure </w:t>
      </w:r>
      <w:r>
        <w:fldChar w:fldCharType="begin"/>
      </w:r>
      <w:r>
        <w:instrText xml:space="preserve"> SEQ Figure \* ARABIC </w:instrText>
      </w:r>
      <w:r>
        <w:fldChar w:fldCharType="separate"/>
      </w:r>
      <w:r w:rsidR="00B976BF">
        <w:rPr>
          <w:noProof/>
        </w:rPr>
        <w:t>5</w:t>
      </w:r>
      <w:r>
        <w:fldChar w:fldCharType="end"/>
      </w:r>
      <w:r>
        <w:rPr>
          <w:noProof/>
        </w:rPr>
        <w:t xml:space="preserve"> </w:t>
      </w:r>
      <w:r>
        <w:rPr>
          <w:noProof/>
          <w:lang w:val="fr-FR"/>
        </w:rPr>
        <w:t>: Heures de clarté et crépuscule à l'aéroport Marrakech Ménara</w:t>
      </w:r>
      <w:bookmarkEnd w:id="249"/>
    </w:p>
    <w:p w14:paraId="47E698F9" w14:textId="77777777" w:rsidR="00712C86" w:rsidRPr="0036249B" w:rsidRDefault="00712C86" w:rsidP="00712C86">
      <w:r w:rsidRPr="0036249B">
        <w:t>Le rayonnement solaire incident en ondes courtes quotidien moyen connaît une variation saisonnière considérable au cours de l'année.</w:t>
      </w:r>
    </w:p>
    <w:p w14:paraId="74876DE8" w14:textId="77777777" w:rsidR="00712C86" w:rsidRPr="0036249B" w:rsidRDefault="00712C86" w:rsidP="00712C86">
      <w:r w:rsidRPr="0036249B">
        <w:t>La période la plus lumineuse de l'année dure 3,8 mois, du 22 avril au 16 août, avec un rayonnement solaire incident en ondes courtes par mètre carré supérieur à 7,3 kWh. Le mois de l'année le plus lumineux à Aéroport Marrakech Ménara est juin, avec une moyenne de 8,3 kWh.</w:t>
      </w:r>
    </w:p>
    <w:p w14:paraId="0A905B3D" w14:textId="77777777" w:rsidR="00712C86" w:rsidRPr="00CD5DA5" w:rsidRDefault="00712C86" w:rsidP="00712C86">
      <w:r w:rsidRPr="0036249B">
        <w:lastRenderedPageBreak/>
        <w:t>La période la plus sombre de l'année dure 3,3 mois, du 28 octobre au 7 février, avec un rayonnement solaire incident en ondes courtes par mètre carré inférieur à 4,3 kWh. Le mois de l'année le plus sombre à Aéroport Marrakech Ménara est décembre, avec une moyenne de 3,4 kWh.</w:t>
      </w:r>
    </w:p>
    <w:p w14:paraId="25F4B58F" w14:textId="7B67D800" w:rsidR="00727E03" w:rsidRDefault="0037181E" w:rsidP="0037181E">
      <w:pPr>
        <w:pStyle w:val="Title4"/>
        <w:tabs>
          <w:tab w:val="clear" w:pos="1134"/>
          <w:tab w:val="left" w:pos="851"/>
        </w:tabs>
      </w:pPr>
      <w:r>
        <w:t>Précipitations</w:t>
      </w:r>
    </w:p>
    <w:p w14:paraId="1D276B85" w14:textId="77777777" w:rsidR="00403C3C" w:rsidRDefault="00403C3C" w:rsidP="00403C3C">
      <w:r>
        <w:t>Un jour de précipitation est défini comme un jour où l'accumulation d'eau mesurée atteint au moins 1 millimètre. La probabilité de jours de précipitation à l'aéroport Marrakech Ménara varie au cours de l'année.</w:t>
      </w:r>
    </w:p>
    <w:p w14:paraId="0C547D33" w14:textId="77777777" w:rsidR="00403C3C" w:rsidRDefault="00403C3C" w:rsidP="00403C3C">
      <w:r>
        <w:t>La saison la plus pluvieuse dure 6 mois, du 18 octobre au 19 avril, avec une probabilité de précipitation quotidienne supérieure à 8 %. Le mois avec le plus grand nombre de jours de précipitation à l'aéroport Marrakech Ménara est mars, avec une moyenne de 4,4 jours présentant au moins 1 millimètre de précipitation.</w:t>
      </w:r>
    </w:p>
    <w:p w14:paraId="2053C3A1" w14:textId="77777777" w:rsidR="00403C3C" w:rsidRDefault="00403C3C" w:rsidP="00403C3C">
      <w:r>
        <w:t>La saison la plus sèche s'étend sur 6 mois, du 19 avril au 18 octobre. Le mois le moins pluvieux est juillet, avec une moyenne de seulement 0,1 jour ayant au moins 1 millimètre de précipitation.</w:t>
      </w:r>
    </w:p>
    <w:p w14:paraId="4884B082" w14:textId="77777777" w:rsidR="00403C3C" w:rsidRDefault="00403C3C" w:rsidP="00403C3C">
      <w:r>
        <w:t>Concernant les jours de précipitation, nous distinguons ceux avec uniquement de la pluie, uniquement de la neige ou un mélange des deux. Le mois avec le plus grand nombre de jours de pluie uniquement à l'aéroport Marrakech Ménara est mars, avec une moyenne de 4,4 jours. D'après ce classement, la forme de précipitation la plus courante au cours de l'année est la pluie, avec une probabilité culminant à 16 % le 18 novembre.</w:t>
      </w:r>
    </w:p>
    <w:p w14:paraId="38AA06D2" w14:textId="6867D746" w:rsidR="00B04951" w:rsidRPr="00403C3C" w:rsidRDefault="00C71D6F" w:rsidP="00B04951">
      <w:pPr>
        <w:jc w:val="center"/>
        <w:rPr>
          <w:rFonts w:cs="Calibri"/>
        </w:rPr>
      </w:pPr>
      <w:r w:rsidRPr="0036249B">
        <w:rPr>
          <w:noProof/>
          <w:lang w:eastAsia="fr-FR" w:bidi="ar-SA"/>
        </w:rPr>
        <w:drawing>
          <wp:inline distT="0" distB="0" distL="0" distR="0" wp14:anchorId="72BA842C" wp14:editId="2B299847">
            <wp:extent cx="5760720" cy="2999105"/>
            <wp:effectExtent l="0" t="0" r="0" b="0"/>
            <wp:docPr id="212445952" name="Image 212445952" descr="Une image contenant texte, capture d’écran, nombre, Tracé&#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Image 23" descr="Une image contenant texte, capture d’écran, nombre, Tracé&#10;&#10;Description générée automatiquement"/>
                    <pic:cNvPicPr/>
                  </pic:nvPicPr>
                  <pic:blipFill>
                    <a:blip r:embed="rId44"/>
                    <a:stretch>
                      <a:fillRect/>
                    </a:stretch>
                  </pic:blipFill>
                  <pic:spPr>
                    <a:xfrm>
                      <a:off x="0" y="0"/>
                      <a:ext cx="5760720" cy="2999105"/>
                    </a:xfrm>
                    <a:prstGeom prst="rect">
                      <a:avLst/>
                    </a:prstGeom>
                  </pic:spPr>
                </pic:pic>
              </a:graphicData>
            </a:graphic>
          </wp:inline>
        </w:drawing>
      </w:r>
    </w:p>
    <w:p w14:paraId="61BDCE5B" w14:textId="77777777" w:rsidR="00731FFC" w:rsidRPr="00B12101" w:rsidRDefault="00731FFC" w:rsidP="00731FFC">
      <w:pPr>
        <w:ind w:left="-170"/>
        <w:jc w:val="left"/>
        <w:rPr>
          <w:i/>
          <w:iCs/>
          <w:sz w:val="18"/>
          <w:szCs w:val="18"/>
        </w:rPr>
      </w:pPr>
      <w:bookmarkStart w:id="250" w:name="_Toc113465407"/>
      <w:bookmarkStart w:id="251" w:name="_Toc142649503"/>
      <w:r w:rsidRPr="00B12101">
        <w:rPr>
          <w:i/>
          <w:iCs/>
          <w:sz w:val="18"/>
          <w:szCs w:val="18"/>
        </w:rPr>
        <w:t>Source : weatherspark.com</w:t>
      </w:r>
    </w:p>
    <w:p w14:paraId="12E386E4" w14:textId="4BEF7DBA" w:rsidR="000F47F8" w:rsidRPr="00DD6097" w:rsidRDefault="00731FFC" w:rsidP="00731FFC">
      <w:pPr>
        <w:pStyle w:val="Lgende"/>
        <w:rPr>
          <w:rFonts w:cs="Arial"/>
          <w:sz w:val="22"/>
          <w:lang w:val="fr-FR"/>
        </w:rPr>
      </w:pPr>
      <w:bookmarkStart w:id="252" w:name="_Toc213404408"/>
      <w:r w:rsidRPr="002A0860">
        <w:rPr>
          <w:lang w:val="fr-FR"/>
        </w:rPr>
        <w:t xml:space="preserve">Figure </w:t>
      </w:r>
      <w:r>
        <w:fldChar w:fldCharType="begin"/>
      </w:r>
      <w:r w:rsidRPr="002A0860">
        <w:rPr>
          <w:lang w:val="fr-FR"/>
        </w:rPr>
        <w:instrText xml:space="preserve"> SEQ Figure \* ARABIC </w:instrText>
      </w:r>
      <w:r>
        <w:fldChar w:fldCharType="separate"/>
      </w:r>
      <w:r w:rsidR="00B976BF">
        <w:rPr>
          <w:noProof/>
          <w:lang w:val="fr-FR"/>
        </w:rPr>
        <w:t>6</w:t>
      </w:r>
      <w:r>
        <w:fldChar w:fldCharType="end"/>
      </w:r>
      <w:r>
        <w:rPr>
          <w:noProof/>
          <w:lang w:val="fr-FR"/>
        </w:rPr>
        <w:t xml:space="preserve">: </w:t>
      </w:r>
      <w:r w:rsidR="000F47F8" w:rsidRPr="00DD6097">
        <w:rPr>
          <w:lang w:val="fr-FR"/>
        </w:rPr>
        <w:t>Le pourcentage de jours durant lesquels divers types de précipitation sont observés, excepté les quantités traces : pluie seulement, neige seulement et mélange</w:t>
      </w:r>
      <w:r w:rsidR="00595883">
        <w:rPr>
          <w:lang w:val="fr-FR"/>
        </w:rPr>
        <w:t xml:space="preserve"> pour la période 2023-2024</w:t>
      </w:r>
      <w:r w:rsidR="000F47F8" w:rsidRPr="00DD6097">
        <w:rPr>
          <w:lang w:val="fr-FR"/>
        </w:rPr>
        <w:t xml:space="preserve"> (de la pluie et de la neige sont tombées au cours de la même journée)</w:t>
      </w:r>
      <w:bookmarkEnd w:id="250"/>
      <w:bookmarkEnd w:id="251"/>
      <w:bookmarkEnd w:id="252"/>
    </w:p>
    <w:p w14:paraId="0E75E69B" w14:textId="77777777" w:rsidR="00200DB5" w:rsidRPr="00CD5DA5" w:rsidRDefault="00200DB5" w:rsidP="00200DB5">
      <w:pPr>
        <w:spacing w:after="160"/>
        <w:rPr>
          <w:rFonts w:cs="Calibri"/>
        </w:rPr>
      </w:pPr>
      <w:r w:rsidRPr="00CD5DA5">
        <w:rPr>
          <w:rFonts w:cs="Calibri"/>
        </w:rPr>
        <w:t xml:space="preserve">Pour montrer la variation au cours des mois et pas seulement les totaux mensuels, nous montrons l'accumulation de pluie au cours d'une période glissante de 31 jours centrée sur chaque jour de l'année. </w:t>
      </w:r>
      <w:r w:rsidRPr="00CD5DA5">
        <w:rPr>
          <w:rFonts w:cs="Calibri"/>
        </w:rPr>
        <w:lastRenderedPageBreak/>
        <w:t>Aéroport Marrakech Ménara connaît des variations saisonnières modérées en ce qui concerne les précipitations de pluie mensuelles.</w:t>
      </w:r>
    </w:p>
    <w:p w14:paraId="6C505A34" w14:textId="1BB60846" w:rsidR="00731D9E" w:rsidRDefault="00200DB5" w:rsidP="00200DB5">
      <w:pPr>
        <w:spacing w:after="160"/>
        <w:rPr>
          <w:rFonts w:cs="Calibri"/>
          <w:lang w:val="fr-MA"/>
        </w:rPr>
      </w:pPr>
      <w:r w:rsidRPr="00CD5DA5">
        <w:rPr>
          <w:rFonts w:cs="Calibri"/>
        </w:rPr>
        <w:t>La période pluvieuse de l'année dure 6,9 mois, du 7 octobre au 3 mai, avec une chute de pluie d'au moins 13 millimètres sur une période glissante de 31 jours. Le mois le plus pluvieux à Aéroport Marrakech Ménara est novembre, avec une chute de pluie moyenne de 36 millimètres</w:t>
      </w:r>
      <w:r w:rsidR="00731D9E" w:rsidRPr="00731D9E">
        <w:rPr>
          <w:rFonts w:cs="Calibri"/>
          <w:lang w:val="fr-MA"/>
        </w:rPr>
        <w:t>.</w:t>
      </w:r>
    </w:p>
    <w:p w14:paraId="0C46D1B6" w14:textId="5D7DA84B" w:rsidR="00C22133" w:rsidRPr="00731D9E" w:rsidRDefault="00C22133" w:rsidP="00200DB5">
      <w:pPr>
        <w:spacing w:after="160"/>
        <w:rPr>
          <w:rFonts w:cs="Calibri"/>
          <w:lang w:val="fr-MA"/>
        </w:rPr>
      </w:pPr>
      <w:r w:rsidRPr="00CD5DA5">
        <w:rPr>
          <w:rFonts w:cs="Calibri"/>
        </w:rPr>
        <w:t>La période sèche de l'année dure 5,1 mois, du 3 mai au 7 octobre. Le mois le moins pluvieux à Aéroport Marrakech Ménara est juillet, avec une chute de pluie moyenne de 1 millimètre</w:t>
      </w:r>
      <w:r>
        <w:rPr>
          <w:rFonts w:cs="Calibri"/>
        </w:rPr>
        <w:t>.</w:t>
      </w:r>
    </w:p>
    <w:p w14:paraId="77264EDF" w14:textId="654BA990" w:rsidR="00FF648E" w:rsidRPr="00200DB5" w:rsidRDefault="008A15D7" w:rsidP="00F701DF">
      <w:pPr>
        <w:pStyle w:val="NormalWeb"/>
        <w:spacing w:before="0"/>
        <w:jc w:val="center"/>
      </w:pPr>
      <w:r w:rsidRPr="0036249B">
        <w:rPr>
          <w:noProof/>
          <w:lang w:val="fr-FR" w:eastAsia="fr-FR"/>
        </w:rPr>
        <w:drawing>
          <wp:inline distT="0" distB="0" distL="0" distR="0" wp14:anchorId="22B4D39A" wp14:editId="0E269011">
            <wp:extent cx="5476875" cy="2194261"/>
            <wp:effectExtent l="0" t="0" r="0" b="0"/>
            <wp:docPr id="1534452263" name="Image 1534452263" descr="Une image contenant texte, Tracé, capture d’écran, lign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Image 25" descr="Une image contenant texte, Tracé, capture d’écran, ligne&#10;&#10;Description générée automatiquement"/>
                    <pic:cNvPicPr/>
                  </pic:nvPicPr>
                  <pic:blipFill>
                    <a:blip r:embed="rId45"/>
                    <a:stretch>
                      <a:fillRect/>
                    </a:stretch>
                  </pic:blipFill>
                  <pic:spPr>
                    <a:xfrm>
                      <a:off x="0" y="0"/>
                      <a:ext cx="5486499" cy="2198117"/>
                    </a:xfrm>
                    <a:prstGeom prst="rect">
                      <a:avLst/>
                    </a:prstGeom>
                  </pic:spPr>
                </pic:pic>
              </a:graphicData>
            </a:graphic>
          </wp:inline>
        </w:drawing>
      </w:r>
    </w:p>
    <w:p w14:paraId="11C6FF8E" w14:textId="77777777" w:rsidR="00731FFC" w:rsidRPr="00B12101" w:rsidRDefault="00731FFC" w:rsidP="00731FFC">
      <w:pPr>
        <w:ind w:left="-170"/>
        <w:jc w:val="left"/>
        <w:rPr>
          <w:i/>
          <w:iCs/>
          <w:sz w:val="18"/>
          <w:szCs w:val="18"/>
        </w:rPr>
      </w:pPr>
      <w:bookmarkStart w:id="253" w:name="_Toc113465408"/>
      <w:bookmarkStart w:id="254" w:name="_Toc142649504"/>
      <w:r w:rsidRPr="00B12101">
        <w:rPr>
          <w:i/>
          <w:iCs/>
          <w:sz w:val="18"/>
          <w:szCs w:val="18"/>
        </w:rPr>
        <w:t>Source : weatherspark.com</w:t>
      </w:r>
    </w:p>
    <w:p w14:paraId="1A2B4843" w14:textId="79CC9833" w:rsidR="00785A93" w:rsidRPr="00DD6097" w:rsidRDefault="00731FFC" w:rsidP="00731FFC">
      <w:pPr>
        <w:pStyle w:val="Lgende"/>
        <w:rPr>
          <w:lang w:val="fr-FR"/>
        </w:rPr>
      </w:pPr>
      <w:bookmarkStart w:id="255" w:name="_Toc213404409"/>
      <w:r w:rsidRPr="002A0860">
        <w:rPr>
          <w:lang w:val="fr-FR"/>
        </w:rPr>
        <w:t xml:space="preserve">Figure </w:t>
      </w:r>
      <w:r>
        <w:fldChar w:fldCharType="begin"/>
      </w:r>
      <w:r w:rsidRPr="002A0860">
        <w:rPr>
          <w:lang w:val="fr-FR"/>
        </w:rPr>
        <w:instrText xml:space="preserve"> SEQ Figure \* ARABIC </w:instrText>
      </w:r>
      <w:r>
        <w:fldChar w:fldCharType="separate"/>
      </w:r>
      <w:r w:rsidR="00B976BF">
        <w:rPr>
          <w:noProof/>
          <w:lang w:val="fr-FR"/>
        </w:rPr>
        <w:t>7</w:t>
      </w:r>
      <w:r>
        <w:fldChar w:fldCharType="end"/>
      </w:r>
      <w:r>
        <w:rPr>
          <w:noProof/>
          <w:lang w:val="fr-FR"/>
        </w:rPr>
        <w:t xml:space="preserve">: </w:t>
      </w:r>
      <w:r w:rsidR="00785A93" w:rsidRPr="00DD6097">
        <w:rPr>
          <w:lang w:val="fr-FR"/>
        </w:rPr>
        <w:t>La quantité de pluie moyenne (ligne continue) accumulée au cours d'une période glissante de 31 jours</w:t>
      </w:r>
      <w:r w:rsidR="00595883">
        <w:rPr>
          <w:lang w:val="fr-FR"/>
        </w:rPr>
        <w:t xml:space="preserve"> pour la période 2023-2024</w:t>
      </w:r>
      <w:r w:rsidR="00785A93" w:rsidRPr="00DD6097">
        <w:rPr>
          <w:lang w:val="fr-FR"/>
        </w:rPr>
        <w:t>. La fine ligne pointillée représente la chute de neige</w:t>
      </w:r>
      <w:bookmarkEnd w:id="253"/>
      <w:bookmarkEnd w:id="254"/>
      <w:bookmarkEnd w:id="255"/>
    </w:p>
    <w:p w14:paraId="216BD65E" w14:textId="1D598F37" w:rsidR="00BB783D" w:rsidRDefault="00BB783D" w:rsidP="00407517">
      <w:pPr>
        <w:pStyle w:val="Title4"/>
      </w:pPr>
      <w:r>
        <w:t>Évaporation</w:t>
      </w:r>
    </w:p>
    <w:p w14:paraId="4C0F2075" w14:textId="4EE147C2" w:rsidR="00BB783D" w:rsidRDefault="000D1184" w:rsidP="00BB783D">
      <w:r w:rsidRPr="000D1184">
        <w:t>L’évaporation moyenne annuelle est estimée à environ 2 640 mm pour la plaine du Haouz, dans laquelle s’inscrit la commune de Marrakech-Ménara. Le minimum mensuel est observé en décembre-janvier, avec des valeurs d’environ 88–90 mm mensuellement. Le maximum est enregistré en juillet-août, avec des valeurs mensuelles d’environ 311–326 mm. Ces données soulignent l’importance de la prise en compte de l’évapotranspiration dans le contexte d’aménagement et de gestion hydrique de la zone de l’aéroport dans un climat semi-aride</w:t>
      </w:r>
      <w:r w:rsidR="00BB783D" w:rsidRPr="00BB783D">
        <w:t xml:space="preserve">. </w:t>
      </w:r>
    </w:p>
    <w:p w14:paraId="228DDEF1" w14:textId="3E3564E1" w:rsidR="008D5953" w:rsidRDefault="00407517" w:rsidP="00407517">
      <w:pPr>
        <w:pStyle w:val="Title4"/>
      </w:pPr>
      <w:r>
        <w:t>Humidité et nébulosité</w:t>
      </w:r>
    </w:p>
    <w:p w14:paraId="4BC86839" w14:textId="77777777" w:rsidR="00D95D7F" w:rsidRDefault="00D95D7F" w:rsidP="00D95D7F">
      <w:pPr>
        <w:spacing w:after="160"/>
      </w:pPr>
      <w:r>
        <w:t>Les points de rosée plus bas sont ressentis comme un environnement plus sec et les points de rosée plus haut comme un environnement plus humide. Contrairement à la température, qui varie généralement considérablement entre le jour et la nuit, les points de rosée varient plus lentement. Ainsi, bien que la température puisse chuter la nuit, une journée lourde est généralement suivie d'une nuit lourde.</w:t>
      </w:r>
    </w:p>
    <w:p w14:paraId="6BC48C57" w14:textId="51B071D6" w:rsidR="006F0FBC" w:rsidRDefault="00D95D7F" w:rsidP="00D95D7F">
      <w:pPr>
        <w:spacing w:after="160"/>
        <w:rPr>
          <w:lang w:val="fr-MA"/>
        </w:rPr>
      </w:pPr>
      <w:r>
        <w:t>Le niveau d'humidité perçue à Aéroport Marrakech Ménara, tel que mesuré par le pourcentage de temps durant lequel le niveau d'humidité est lourd, oppressant ou étouffant, ne varie pas beaucoup au cours de l'année, se maintenant à 2 % +/-2 %</w:t>
      </w:r>
      <w:r w:rsidR="006F0FBC" w:rsidRPr="006F0FBC">
        <w:rPr>
          <w:lang w:val="fr-MA"/>
        </w:rPr>
        <w:t>.</w:t>
      </w:r>
    </w:p>
    <w:p w14:paraId="3FED1CD1" w14:textId="3954CAC0" w:rsidR="00EC040E" w:rsidRPr="006F0FBC" w:rsidRDefault="002E18E8" w:rsidP="00EC040E">
      <w:pPr>
        <w:jc w:val="center"/>
        <w:rPr>
          <w:lang w:val="fr-MA"/>
        </w:rPr>
      </w:pPr>
      <w:r w:rsidRPr="0036249B">
        <w:rPr>
          <w:noProof/>
          <w:lang w:eastAsia="fr-FR" w:bidi="ar-SA"/>
        </w:rPr>
        <w:lastRenderedPageBreak/>
        <w:drawing>
          <wp:inline distT="0" distB="0" distL="0" distR="0" wp14:anchorId="04F2E8A4" wp14:editId="7A212044">
            <wp:extent cx="5760720" cy="2363470"/>
            <wp:effectExtent l="0" t="0" r="0" b="0"/>
            <wp:docPr id="77" name="Image 77" descr="Une image contenant texte, Tracé, ligne, capture d’écran&#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Image 77" descr="Une image contenant texte, Tracé, ligne, capture d’écran&#10;&#10;Description générée automatiquement"/>
                    <pic:cNvPicPr/>
                  </pic:nvPicPr>
                  <pic:blipFill>
                    <a:blip r:embed="rId46"/>
                    <a:stretch>
                      <a:fillRect/>
                    </a:stretch>
                  </pic:blipFill>
                  <pic:spPr>
                    <a:xfrm>
                      <a:off x="0" y="0"/>
                      <a:ext cx="5760720" cy="2363470"/>
                    </a:xfrm>
                    <a:prstGeom prst="rect">
                      <a:avLst/>
                    </a:prstGeom>
                  </pic:spPr>
                </pic:pic>
              </a:graphicData>
            </a:graphic>
          </wp:inline>
        </w:drawing>
      </w:r>
    </w:p>
    <w:p w14:paraId="5663017E" w14:textId="6E67C243" w:rsidR="00731FFC" w:rsidRPr="00731FFC" w:rsidRDefault="00731FFC" w:rsidP="00731FFC">
      <w:pPr>
        <w:ind w:left="-170"/>
        <w:jc w:val="left"/>
        <w:rPr>
          <w:i/>
          <w:iCs/>
          <w:sz w:val="18"/>
          <w:szCs w:val="18"/>
        </w:rPr>
      </w:pPr>
      <w:r w:rsidRPr="00B12101">
        <w:rPr>
          <w:i/>
          <w:iCs/>
          <w:sz w:val="18"/>
          <w:szCs w:val="18"/>
        </w:rPr>
        <w:t>Source : weatherspark.com</w:t>
      </w:r>
      <w:bookmarkStart w:id="256" w:name="_Toc113465405"/>
      <w:bookmarkStart w:id="257" w:name="_Toc142649501"/>
    </w:p>
    <w:p w14:paraId="00BB1D3A" w14:textId="0599E989" w:rsidR="005B6BF8" w:rsidRPr="00DD6097" w:rsidRDefault="00731FFC" w:rsidP="00731FFC">
      <w:pPr>
        <w:pStyle w:val="Lgende"/>
        <w:rPr>
          <w:lang w:val="fr-FR"/>
        </w:rPr>
      </w:pPr>
      <w:bookmarkStart w:id="258" w:name="_Toc213404410"/>
      <w:r w:rsidRPr="002A0860">
        <w:rPr>
          <w:lang w:val="fr-FR"/>
        </w:rPr>
        <w:t xml:space="preserve">Figure </w:t>
      </w:r>
      <w:r>
        <w:fldChar w:fldCharType="begin"/>
      </w:r>
      <w:r w:rsidRPr="002A0860">
        <w:rPr>
          <w:lang w:val="fr-FR"/>
        </w:rPr>
        <w:instrText xml:space="preserve"> SEQ Figure \* ARABIC </w:instrText>
      </w:r>
      <w:r>
        <w:fldChar w:fldCharType="separate"/>
      </w:r>
      <w:r w:rsidR="00B976BF">
        <w:rPr>
          <w:noProof/>
          <w:lang w:val="fr-FR"/>
        </w:rPr>
        <w:t>8</w:t>
      </w:r>
      <w:r>
        <w:fldChar w:fldCharType="end"/>
      </w:r>
      <w:r>
        <w:rPr>
          <w:noProof/>
          <w:lang w:val="fr-FR"/>
        </w:rPr>
        <w:t xml:space="preserve">: </w:t>
      </w:r>
      <w:r w:rsidR="005B6BF8" w:rsidRPr="00DD6097">
        <w:rPr>
          <w:lang w:val="fr-FR"/>
        </w:rPr>
        <w:t>Le pourcentage de temps passé dans divers niveaux de confort selon l'humidité, catégorisés par le point de rosée</w:t>
      </w:r>
      <w:bookmarkEnd w:id="256"/>
      <w:bookmarkEnd w:id="257"/>
      <w:r w:rsidR="007B5DC3">
        <w:rPr>
          <w:lang w:val="fr-FR"/>
        </w:rPr>
        <w:t xml:space="preserve"> pour la période 2023-2024</w:t>
      </w:r>
      <w:bookmarkEnd w:id="258"/>
    </w:p>
    <w:p w14:paraId="4C0741D2" w14:textId="549119AB" w:rsidR="00576E85" w:rsidRDefault="00576E85" w:rsidP="00C146E6">
      <w:pPr>
        <w:pStyle w:val="Title4"/>
        <w:tabs>
          <w:tab w:val="clear" w:pos="1134"/>
          <w:tab w:val="left" w:pos="851"/>
        </w:tabs>
      </w:pPr>
      <w:r>
        <w:t>Vents</w:t>
      </w:r>
    </w:p>
    <w:p w14:paraId="211324E1" w14:textId="77777777" w:rsidR="00A059E9" w:rsidRPr="00A059E9" w:rsidRDefault="00A059E9" w:rsidP="00A059E9">
      <w:pPr>
        <w:rPr>
          <w:rFonts w:eastAsiaTheme="minorEastAsia"/>
        </w:rPr>
      </w:pPr>
      <w:r w:rsidRPr="00A059E9">
        <w:rPr>
          <w:rFonts w:eastAsiaTheme="minorEastAsia"/>
        </w:rPr>
        <w:t>Le vent observé à un emplacement donné dépend fortement de la topographie locale et d'autres facteurs, et la vitesse et la direction du vent instantané varient plus que les moyennes horaires.</w:t>
      </w:r>
    </w:p>
    <w:p w14:paraId="767A7E89" w14:textId="77777777" w:rsidR="00A059E9" w:rsidRPr="00A059E9" w:rsidRDefault="00A059E9" w:rsidP="00A059E9">
      <w:pPr>
        <w:rPr>
          <w:rFonts w:eastAsiaTheme="minorEastAsia"/>
        </w:rPr>
      </w:pPr>
      <w:r w:rsidRPr="00A059E9">
        <w:rPr>
          <w:rFonts w:eastAsiaTheme="minorEastAsia"/>
        </w:rPr>
        <w:t>La vitesse horaire moyenne du vent à Aéroport Marrakech Ménara connaît une variation saisonnière modérée au cours de l'année.</w:t>
      </w:r>
    </w:p>
    <w:p w14:paraId="545553D1" w14:textId="77777777" w:rsidR="00A059E9" w:rsidRPr="00A059E9" w:rsidRDefault="00A059E9" w:rsidP="00A059E9">
      <w:pPr>
        <w:rPr>
          <w:rFonts w:eastAsiaTheme="minorEastAsia"/>
        </w:rPr>
      </w:pPr>
      <w:r w:rsidRPr="00A059E9">
        <w:rPr>
          <w:rFonts w:eastAsiaTheme="minorEastAsia"/>
        </w:rPr>
        <w:t>La période la plus venteuse de l'année dure 4,7 mois, du 29 mars au 20 août, avec des vitesses de vent moyennes supérieures à 11,8 kilomètres par heure. Le mois le plus venteux de l'année à Aéroport Marrakech Ménara est juin, avec une vitesse horaire moyenne du vent de 13,0 kilomètres par heure.</w:t>
      </w:r>
    </w:p>
    <w:p w14:paraId="2A9ED87F" w14:textId="687D511D" w:rsidR="00224642" w:rsidRPr="00224642" w:rsidRDefault="00A059E9" w:rsidP="00A059E9">
      <w:pPr>
        <w:rPr>
          <w:rFonts w:eastAsiaTheme="minorEastAsia"/>
          <w:lang w:val="fr-MA"/>
        </w:rPr>
      </w:pPr>
      <w:r w:rsidRPr="00A059E9">
        <w:rPr>
          <w:rFonts w:eastAsiaTheme="minorEastAsia"/>
        </w:rPr>
        <w:t>La période la plus calme de l'année dure 7,3 mois, du 20 août au 29 mars. Le mois le plus calme de l'année à Aéroport Marrakech Ménara est janvier, avec une vitesse horaire moyenne du vent de 10,5 kilomètres par heure</w:t>
      </w:r>
      <w:r w:rsidR="0046023C" w:rsidRPr="0046023C">
        <w:rPr>
          <w:rFonts w:eastAsiaTheme="minorEastAsia"/>
        </w:rPr>
        <w:t>.</w:t>
      </w:r>
    </w:p>
    <w:p w14:paraId="2AFCB62F" w14:textId="1C4B1503" w:rsidR="00361D91" w:rsidRPr="00924F3F" w:rsidRDefault="00694CF5" w:rsidP="000D1106">
      <w:pPr>
        <w:spacing w:before="0" w:after="160"/>
        <w:jc w:val="center"/>
      </w:pPr>
      <w:r w:rsidRPr="0036249B">
        <w:rPr>
          <w:noProof/>
          <w:lang w:eastAsia="fr-FR" w:bidi="ar-SA"/>
        </w:rPr>
        <w:lastRenderedPageBreak/>
        <w:drawing>
          <wp:inline distT="0" distB="0" distL="0" distR="0" wp14:anchorId="0771DD60" wp14:editId="364651B7">
            <wp:extent cx="5726726" cy="2781300"/>
            <wp:effectExtent l="0" t="0" r="7620" b="0"/>
            <wp:docPr id="200033186" name="Image 200033186" descr="Une image contenant texte, capture d’écran, Tracé, diagramm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 26" descr="Une image contenant texte, capture d’écran, Tracé, diagramme&#10;&#10;Description générée automatiquement"/>
                    <pic:cNvPicPr/>
                  </pic:nvPicPr>
                  <pic:blipFill>
                    <a:blip r:embed="rId47">
                      <a:extLst>
                        <a:ext uri="{28A0092B-C50C-407E-A947-70E740481C1C}">
                          <a14:useLocalDpi xmlns:a14="http://schemas.microsoft.com/office/drawing/2010/main" val="0"/>
                        </a:ext>
                      </a:extLst>
                    </a:blip>
                    <a:stretch>
                      <a:fillRect/>
                    </a:stretch>
                  </pic:blipFill>
                  <pic:spPr>
                    <a:xfrm>
                      <a:off x="0" y="0"/>
                      <a:ext cx="5732641" cy="2784173"/>
                    </a:xfrm>
                    <a:prstGeom prst="rect">
                      <a:avLst/>
                    </a:prstGeom>
                  </pic:spPr>
                </pic:pic>
              </a:graphicData>
            </a:graphic>
          </wp:inline>
        </w:drawing>
      </w:r>
    </w:p>
    <w:p w14:paraId="4C0F6BB3" w14:textId="77777777" w:rsidR="001916BB" w:rsidRPr="00731FFC" w:rsidRDefault="001916BB" w:rsidP="001916BB">
      <w:pPr>
        <w:ind w:left="-170"/>
        <w:jc w:val="left"/>
        <w:rPr>
          <w:i/>
          <w:iCs/>
          <w:sz w:val="18"/>
          <w:szCs w:val="18"/>
        </w:rPr>
      </w:pPr>
      <w:bookmarkStart w:id="259" w:name="_Toc113465410"/>
      <w:bookmarkStart w:id="260" w:name="_Toc142649506"/>
      <w:r w:rsidRPr="00B12101">
        <w:rPr>
          <w:i/>
          <w:iCs/>
          <w:sz w:val="18"/>
          <w:szCs w:val="18"/>
        </w:rPr>
        <w:t>Source : weatherspark.com</w:t>
      </w:r>
    </w:p>
    <w:p w14:paraId="20E74BEA" w14:textId="5B8D2F01" w:rsidR="0091578E" w:rsidRPr="00DD6097" w:rsidRDefault="001916BB" w:rsidP="001916BB">
      <w:pPr>
        <w:pStyle w:val="Lgende"/>
        <w:rPr>
          <w:lang w:val="fr-FR"/>
        </w:rPr>
      </w:pPr>
      <w:bookmarkStart w:id="261" w:name="_Toc213404411"/>
      <w:r w:rsidRPr="002A0860">
        <w:rPr>
          <w:lang w:val="fr-FR"/>
        </w:rPr>
        <w:t xml:space="preserve">Figure </w:t>
      </w:r>
      <w:r>
        <w:fldChar w:fldCharType="begin"/>
      </w:r>
      <w:r w:rsidRPr="002A0860">
        <w:rPr>
          <w:lang w:val="fr-FR"/>
        </w:rPr>
        <w:instrText xml:space="preserve"> SEQ Figure \* ARABIC </w:instrText>
      </w:r>
      <w:r>
        <w:fldChar w:fldCharType="separate"/>
      </w:r>
      <w:r w:rsidR="00B976BF">
        <w:rPr>
          <w:noProof/>
          <w:lang w:val="fr-FR"/>
        </w:rPr>
        <w:t>9</w:t>
      </w:r>
      <w:r>
        <w:fldChar w:fldCharType="end"/>
      </w:r>
      <w:r>
        <w:rPr>
          <w:noProof/>
          <w:lang w:val="fr-FR"/>
        </w:rPr>
        <w:t xml:space="preserve">: </w:t>
      </w:r>
      <w:r w:rsidR="0091578E" w:rsidRPr="00DD6097">
        <w:rPr>
          <w:lang w:val="fr-FR"/>
        </w:rPr>
        <w:t>La moyenne des vitesses des vents moyens horaires (ligne gris foncé)</w:t>
      </w:r>
      <w:bookmarkEnd w:id="259"/>
      <w:bookmarkEnd w:id="260"/>
      <w:r w:rsidR="005B7E9B">
        <w:rPr>
          <w:lang w:val="fr-FR"/>
        </w:rPr>
        <w:t xml:space="preserve"> pour la période 2023-2024</w:t>
      </w:r>
      <w:bookmarkEnd w:id="261"/>
    </w:p>
    <w:p w14:paraId="1C79B5CF" w14:textId="4E2C6C18" w:rsidR="00872AD3" w:rsidRDefault="00D22B0F" w:rsidP="000D1106">
      <w:pPr>
        <w:spacing w:after="160"/>
        <w:rPr>
          <w:rFonts w:eastAsiaTheme="minorEastAsia"/>
          <w:lang w:val="fr-MA"/>
        </w:rPr>
      </w:pPr>
      <w:r>
        <w:t>L’analyse de la rose des vents de la zone d’étude montre que les vents dominants proviennent du Nord-Nord-Est (NNE). Ces vents soufflent principalement avec des vitesses comprises entre 10 et 20 km/h</w:t>
      </w:r>
      <w:r w:rsidR="00872AD3">
        <w:rPr>
          <w:rFonts w:eastAsiaTheme="minorEastAsia"/>
          <w:lang w:val="fr-MA"/>
        </w:rPr>
        <w:t>.</w:t>
      </w:r>
    </w:p>
    <w:p w14:paraId="79DB44BF" w14:textId="3525B4A5" w:rsidR="00371798" w:rsidRDefault="002123BF" w:rsidP="00933FE7">
      <w:pPr>
        <w:spacing w:before="0" w:after="160"/>
        <w:ind w:left="-170"/>
        <w:jc w:val="center"/>
        <w:rPr>
          <w:lang w:val="fr-MA"/>
        </w:rPr>
      </w:pPr>
      <w:r>
        <w:rPr>
          <w:noProof/>
          <w:lang w:eastAsia="fr-FR" w:bidi="ar-SA"/>
        </w:rPr>
        <w:drawing>
          <wp:inline distT="0" distB="0" distL="0" distR="0" wp14:anchorId="028FEF64" wp14:editId="34EAE57D">
            <wp:extent cx="3285460" cy="2584538"/>
            <wp:effectExtent l="0" t="0" r="0" b="6350"/>
            <wp:docPr id="11" name="Image 11" descr="Une image contenant diagramme, cercle, ligne, capture d’écran&#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 11" descr="Une image contenant diagramme, cercle, ligne, capture d’écran&#10;&#10;Description générée automatiquement"/>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3290766" cy="2588712"/>
                    </a:xfrm>
                    <a:prstGeom prst="rect">
                      <a:avLst/>
                    </a:prstGeom>
                    <a:noFill/>
                    <a:ln>
                      <a:noFill/>
                    </a:ln>
                  </pic:spPr>
                </pic:pic>
              </a:graphicData>
            </a:graphic>
          </wp:inline>
        </w:drawing>
      </w:r>
    </w:p>
    <w:p w14:paraId="1FDC68B8" w14:textId="77777777" w:rsidR="00C03885" w:rsidRPr="007B5DC3" w:rsidRDefault="00C03885" w:rsidP="00C03885">
      <w:pPr>
        <w:pStyle w:val="Lgende"/>
        <w:jc w:val="left"/>
        <w:rPr>
          <w:b w:val="0"/>
          <w:bCs w:val="0"/>
          <w:i/>
          <w:iCs/>
          <w:sz w:val="18"/>
          <w:szCs w:val="18"/>
          <w:lang w:val="fr-FR"/>
        </w:rPr>
      </w:pPr>
      <w:r w:rsidRPr="007B5DC3">
        <w:rPr>
          <w:b w:val="0"/>
          <w:bCs w:val="0"/>
          <w:i/>
          <w:iCs/>
          <w:sz w:val="18"/>
          <w:szCs w:val="18"/>
          <w:lang w:val="fr-FR"/>
        </w:rPr>
        <w:t xml:space="preserve">Source : </w:t>
      </w:r>
      <w:hyperlink r:id="rId49" w:history="1">
        <w:r w:rsidRPr="007B5DC3">
          <w:rPr>
            <w:rStyle w:val="Lienhypertexte"/>
            <w:b w:val="0"/>
            <w:bCs w:val="0"/>
            <w:i/>
            <w:iCs/>
            <w:sz w:val="18"/>
            <w:szCs w:val="18"/>
            <w:lang w:val="fr-FR"/>
          </w:rPr>
          <w:t>www.Metoeblue.fr</w:t>
        </w:r>
      </w:hyperlink>
    </w:p>
    <w:p w14:paraId="6D0A4D2D" w14:textId="57AEFFB5" w:rsidR="005B7E9B" w:rsidRPr="00C03885" w:rsidRDefault="001916BB" w:rsidP="00C03885">
      <w:pPr>
        <w:pStyle w:val="Lgende"/>
        <w:rPr>
          <w:lang w:val="fr-FR"/>
        </w:rPr>
      </w:pPr>
      <w:bookmarkStart w:id="262" w:name="_Toc213404412"/>
      <w:r w:rsidRPr="002123BF">
        <w:rPr>
          <w:lang w:val="fr-FR"/>
        </w:rPr>
        <w:t xml:space="preserve">Figure </w:t>
      </w:r>
      <w:r>
        <w:fldChar w:fldCharType="begin"/>
      </w:r>
      <w:r w:rsidRPr="002123BF">
        <w:rPr>
          <w:lang w:val="fr-FR"/>
        </w:rPr>
        <w:instrText xml:space="preserve"> SEQ Figure \* ARABIC </w:instrText>
      </w:r>
      <w:r>
        <w:fldChar w:fldCharType="separate"/>
      </w:r>
      <w:r w:rsidR="00B976BF">
        <w:rPr>
          <w:noProof/>
          <w:lang w:val="fr-FR"/>
        </w:rPr>
        <w:t>10</w:t>
      </w:r>
      <w:r>
        <w:fldChar w:fldCharType="end"/>
      </w:r>
      <w:r w:rsidRPr="002123BF">
        <w:rPr>
          <w:lang w:val="fr-FR"/>
        </w:rPr>
        <w:t>:</w:t>
      </w:r>
      <w:r w:rsidRPr="002123BF">
        <w:rPr>
          <w:rFonts w:hint="eastAsia"/>
          <w:lang w:val="fr-FR" w:eastAsia="zh-CN"/>
        </w:rPr>
        <w:t xml:space="preserve"> </w:t>
      </w:r>
      <w:r w:rsidR="002123BF" w:rsidRPr="002123BF">
        <w:rPr>
          <w:lang w:val="fr-FR"/>
        </w:rPr>
        <w:t xml:space="preserve">Rose des vents </w:t>
      </w:r>
      <w:r w:rsidR="002123BF">
        <w:rPr>
          <w:lang w:val="fr-FR"/>
        </w:rPr>
        <w:t>–</w:t>
      </w:r>
      <w:r w:rsidR="002123BF" w:rsidRPr="002123BF">
        <w:rPr>
          <w:lang w:val="fr-FR"/>
        </w:rPr>
        <w:t xml:space="preserve"> Ma</w:t>
      </w:r>
      <w:r w:rsidR="002123BF">
        <w:rPr>
          <w:lang w:val="fr-FR"/>
        </w:rPr>
        <w:t>rrakech Ménara</w:t>
      </w:r>
      <w:bookmarkEnd w:id="262"/>
    </w:p>
    <w:p w14:paraId="73E69F58" w14:textId="684F06FE" w:rsidR="00B27741" w:rsidRDefault="00420D47" w:rsidP="002B0A5A">
      <w:pPr>
        <w:pStyle w:val="Title3"/>
        <w:spacing w:before="160"/>
      </w:pPr>
      <w:bookmarkStart w:id="263" w:name="_Toc181619005"/>
      <w:bookmarkStart w:id="264" w:name="_Hlk210209287"/>
      <w:bookmarkStart w:id="265" w:name="_Toc215131841"/>
      <w:bookmarkEnd w:id="243"/>
      <w:r>
        <w:t>Cadre</w:t>
      </w:r>
      <w:r w:rsidR="00B27741">
        <w:t xml:space="preserve"> topographique</w:t>
      </w:r>
      <w:bookmarkEnd w:id="263"/>
      <w:bookmarkEnd w:id="265"/>
    </w:p>
    <w:p w14:paraId="770DE339" w14:textId="79EF25F0" w:rsidR="002B0A5A" w:rsidRDefault="0097454F" w:rsidP="002B0A5A">
      <w:r w:rsidRPr="0097454F">
        <w:t xml:space="preserve">La plaine s’étend sur la rive gauche de la partie amont de la rivière de Tensift vers le sud et couvre le bassin d’Oum er Rabia à l’Est. La plaine est divisée en trois parties : Haouz oriental qui couvre toute la partie appartenant au bassin Oum er Rabia. Le Haouz central qui se situe autour de Marrakech et la partie occidentale appelée aussi la plaine de Mejjate. Dans la plaine du Haouz, la rivière de Tensift </w:t>
      </w:r>
      <w:r w:rsidRPr="0097454F">
        <w:lastRenderedPageBreak/>
        <w:t>débute à l’altitude d’environ 550 m et descend vers l’ouest avec une pente d’environ 3/1000 jusqu’à la hauteur d’environ 250 m</w:t>
      </w:r>
      <w:r w:rsidR="00AC0687" w:rsidRPr="00AC0687">
        <w:t>.</w:t>
      </w:r>
    </w:p>
    <w:p w14:paraId="256CBBB5" w14:textId="24A39F5F" w:rsidR="00797E5A" w:rsidRDefault="008045F5" w:rsidP="004637C7">
      <w:pPr>
        <w:keepNext/>
        <w:ind w:left="340"/>
        <w:jc w:val="center"/>
      </w:pPr>
      <w:r>
        <w:rPr>
          <w:rFonts w:eastAsiaTheme="minorEastAsia"/>
          <w:noProof/>
          <w:lang w:eastAsia="fr-FR" w:bidi="ar-SA"/>
        </w:rPr>
        <mc:AlternateContent>
          <mc:Choice Requires="wps">
            <w:drawing>
              <wp:anchor distT="0" distB="0" distL="114300" distR="114300" simplePos="0" relativeHeight="251663360" behindDoc="0" locked="0" layoutInCell="1" allowOverlap="1" wp14:anchorId="3816BBD9" wp14:editId="2566763F">
                <wp:simplePos x="0" y="0"/>
                <wp:positionH relativeFrom="column">
                  <wp:posOffset>80010</wp:posOffset>
                </wp:positionH>
                <wp:positionV relativeFrom="paragraph">
                  <wp:posOffset>1259840</wp:posOffset>
                </wp:positionV>
                <wp:extent cx="848563" cy="424282"/>
                <wp:effectExtent l="0" t="0" r="27940" b="13970"/>
                <wp:wrapNone/>
                <wp:docPr id="344977590" name="Zone de texte 4"/>
                <wp:cNvGraphicFramePr/>
                <a:graphic xmlns:a="http://schemas.openxmlformats.org/drawingml/2006/main">
                  <a:graphicData uri="http://schemas.microsoft.com/office/word/2010/wordprocessingShape">
                    <wps:wsp>
                      <wps:cNvSpPr txBox="1"/>
                      <wps:spPr>
                        <a:xfrm>
                          <a:off x="0" y="0"/>
                          <a:ext cx="848563" cy="424282"/>
                        </a:xfrm>
                        <a:prstGeom prst="rect">
                          <a:avLst/>
                        </a:prstGeom>
                        <a:noFill/>
                        <a:ln w="6350">
                          <a:solidFill>
                            <a:srgbClr val="FF0000"/>
                          </a:solidFill>
                        </a:ln>
                      </wps:spPr>
                      <wps:txbx>
                        <w:txbxContent>
                          <w:p w14:paraId="050835C5" w14:textId="460AFDCD" w:rsidR="00241513" w:rsidRPr="008045F5" w:rsidRDefault="00241513" w:rsidP="008045F5">
                            <w:pPr>
                              <w:spacing w:before="0" w:after="0" w:line="240" w:lineRule="auto"/>
                              <w:jc w:val="center"/>
                              <w:rPr>
                                <w:sz w:val="20"/>
                                <w:szCs w:val="20"/>
                              </w:rPr>
                            </w:pPr>
                            <w:r w:rsidRPr="008045F5">
                              <w:rPr>
                                <w:sz w:val="20"/>
                                <w:szCs w:val="20"/>
                              </w:rPr>
                              <w:t>Zone de projet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3816BBD9" id="_x0000_t202" coordsize="21600,21600" o:spt="202" path="m,l,21600r21600,l21600,xe">
                <v:stroke joinstyle="miter"/>
                <v:path gradientshapeok="t" o:connecttype="rect"/>
              </v:shapetype>
              <v:shape id="Zone de texte 4" o:spid="_x0000_s1026" type="#_x0000_t202" style="position:absolute;left:0;text-align:left;margin-left:6.3pt;margin-top:99.2pt;width:66.8pt;height:33.4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" filled="f" strokecolor="red" strokeweight=".5pt">
                <v:textbox>
                  <w:txbxContent>
                    <w:p w14:paraId="050835C5" w14:textId="460AFDCD" w:rsidR="00241513" w:rsidRPr="008045F5" w:rsidRDefault="00241513" w:rsidP="008045F5">
                      <w:pPr>
                        <w:spacing w:before="0" w:after="0" w:line="240" w:lineRule="auto"/>
                        <w:jc w:val="center"/>
                        <w:rPr>
                          <w:sz w:val="20"/>
                          <w:szCs w:val="20"/>
                        </w:rPr>
                      </w:pPr>
                      <w:r w:rsidRPr="008045F5">
                        <w:rPr>
                          <w:sz w:val="20"/>
                          <w:szCs w:val="20"/>
                        </w:rPr>
                        <w:t>Zone de projet</w:t>
                      </w:r>
                    </w:p>
                  </w:txbxContent>
                </v:textbox>
              </v:shape>
            </w:pict>
          </mc:Fallback>
        </mc:AlternateContent>
      </w:r>
      <w:r>
        <w:rPr>
          <w:rFonts w:eastAsiaTheme="minorEastAsia"/>
          <w:noProof/>
          <w:lang w:eastAsia="fr-FR" w:bidi="ar-SA"/>
        </w:rPr>
        <mc:AlternateContent>
          <mc:Choice Requires="wps">
            <w:drawing>
              <wp:anchor distT="0" distB="0" distL="114300" distR="114300" simplePos="0" relativeHeight="251662336" behindDoc="0" locked="0" layoutInCell="1" allowOverlap="1" wp14:anchorId="44AE1CF0" wp14:editId="01F7501F">
                <wp:simplePos x="0" y="0"/>
                <wp:positionH relativeFrom="column">
                  <wp:posOffset>928370</wp:posOffset>
                </wp:positionH>
                <wp:positionV relativeFrom="paragraph">
                  <wp:posOffset>1469720</wp:posOffset>
                </wp:positionV>
                <wp:extent cx="958291" cy="0"/>
                <wp:effectExtent l="0" t="76200" r="13335" b="95250"/>
                <wp:wrapNone/>
                <wp:docPr id="194702875" name="Connecteur droit avec flèche 3"/>
                <wp:cNvGraphicFramePr/>
                <a:graphic xmlns:a="http://schemas.openxmlformats.org/drawingml/2006/main">
                  <a:graphicData uri="http://schemas.microsoft.com/office/word/2010/wordprocessingShape">
                    <wps:wsp>
                      <wps:cNvCnPr/>
                      <wps:spPr>
                        <a:xfrm>
                          <a:off x="0" y="0"/>
                          <a:ext cx="958291" cy="0"/>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a="http://schemas.openxmlformats.org/drawingml/2006/main" xmlns:pic="http://schemas.openxmlformats.org/drawingml/2006/picture" xmlns:a14="http://schemas.microsoft.com/office/drawing/2010/main" xmlns:ask="http://schemas.microsoft.com/office/drawing/2018/sketchyshapes" xmlns:a16="http://schemas.microsoft.com/office/drawing/2014/main" xmlns:c="http://schemas.openxmlformats.org/drawingml/2006/chart">
            <w:pict w14:anchorId="50908B5B">
              <v:shapetype id="_x0000_t32" coordsize="21600,21600" o:oned="t" filled="f" o:spt="32" path="m,l21600,21600e" w14:anchorId="390C43DB">
                <v:path fillok="f" arrowok="t" o:connecttype="none"/>
                <o:lock v:ext="edit" shapetype="t"/>
              </v:shapetype>
              <v:shape id="Connecteur droit avec flèche 3" style="position:absolute;margin-left:73.1pt;margin-top:115.75pt;width:75.45pt;height:0;z-index:251662336;visibility:visible;mso-wrap-style:square;mso-wrap-distance-left:9pt;mso-wrap-distance-top:0;mso-wrap-distance-right:9pt;mso-wrap-distance-bottom:0;mso-position-horizontal:absolute;mso-position-horizontal-relative:text;mso-position-vertical:absolute;mso-position-vertical-relative:text" o:spid="_x0000_s1026" strokecolor="red" strokeweight=".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">
                <v:stroke joinstyle="miter" endarrow="block"/>
              </v:shape>
            </w:pict>
          </mc:Fallback>
        </mc:AlternateContent>
      </w:r>
      <w:r>
        <w:rPr>
          <w:rFonts w:eastAsiaTheme="minorEastAsia"/>
          <w:noProof/>
          <w:lang w:eastAsia="fr-FR" w:bidi="ar-SA"/>
        </w:rPr>
        <mc:AlternateContent>
          <mc:Choice Requires="wps">
            <w:drawing>
              <wp:anchor distT="0" distB="0" distL="114300" distR="114300" simplePos="0" relativeHeight="251661312" behindDoc="0" locked="0" layoutInCell="1" allowOverlap="1" wp14:anchorId="6259E4D3" wp14:editId="6AC9DF5B">
                <wp:simplePos x="0" y="0"/>
                <wp:positionH relativeFrom="column">
                  <wp:posOffset>1887296</wp:posOffset>
                </wp:positionH>
                <wp:positionV relativeFrom="paragraph">
                  <wp:posOffset>827481</wp:posOffset>
                </wp:positionV>
                <wp:extent cx="2231136" cy="1280160"/>
                <wp:effectExtent l="0" t="0" r="17145" b="15240"/>
                <wp:wrapNone/>
                <wp:docPr id="2079795896" name="Rectangle 2"/>
                <wp:cNvGraphicFramePr/>
                <a:graphic xmlns:a="http://schemas.openxmlformats.org/drawingml/2006/main">
                  <a:graphicData uri="http://schemas.microsoft.com/office/word/2010/wordprocessingShape">
                    <wps:wsp>
                      <wps:cNvSpPr/>
                      <wps:spPr>
                        <a:xfrm>
                          <a:off x="0" y="0"/>
                          <a:ext cx="2231136" cy="1280160"/>
                        </a:xfrm>
                        <a:prstGeom prst="rect">
                          <a:avLst/>
                        </a:prstGeom>
                        <a:noFill/>
                        <a:ln>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a="http://schemas.openxmlformats.org/drawingml/2006/main" xmlns:pic="http://schemas.openxmlformats.org/drawingml/2006/picture" xmlns:a14="http://schemas.microsoft.com/office/drawing/2010/main" xmlns:ask="http://schemas.microsoft.com/office/drawing/2018/sketchyshapes" xmlns:a16="http://schemas.microsoft.com/office/drawing/2014/main" xmlns:c="http://schemas.openxmlformats.org/drawingml/2006/chart">
            <w:pict w14:anchorId="73D30473">
              <v:rect id="Rectangle 2" style="position:absolute;margin-left:148.6pt;margin-top:65.15pt;width:175.7pt;height:100.8pt;z-index:251661312;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color="red" strokeweight="1pt" w14:anchorId="231DD3A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"/>
            </w:pict>
          </mc:Fallback>
        </mc:AlternateContent>
      </w:r>
      <w:r w:rsidR="00F21A52" w:rsidRPr="00AB1A9F">
        <w:rPr>
          <w:noProof/>
          <w:lang w:eastAsia="fr-FR" w:bidi="ar-SA"/>
        </w:rPr>
        <w:drawing>
          <wp:inline distT="0" distB="0" distL="0" distR="0" wp14:anchorId="3425CE90" wp14:editId="5B04197A">
            <wp:extent cx="5760720" cy="2793185"/>
            <wp:effectExtent l="0" t="0" r="0" b="7620"/>
            <wp:docPr id="201790004" name="Image 1" descr="Une image contenant texte, capture d’écran, cart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790004" name="Image 1" descr="Une image contenant texte, capture d’écran, carte&#10;&#10;Description générée automatiquement"/>
                    <pic:cNvPicPr/>
                  </pic:nvPicPr>
                  <pic:blipFill>
                    <a:blip r:embed="rId50"/>
                    <a:stretch>
                      <a:fillRect/>
                    </a:stretch>
                  </pic:blipFill>
                  <pic:spPr>
                    <a:xfrm>
                      <a:off x="0" y="0"/>
                      <a:ext cx="5760720" cy="2793185"/>
                    </a:xfrm>
                    <a:prstGeom prst="rect">
                      <a:avLst/>
                    </a:prstGeom>
                  </pic:spPr>
                </pic:pic>
              </a:graphicData>
            </a:graphic>
          </wp:inline>
        </w:drawing>
      </w:r>
    </w:p>
    <w:p w14:paraId="72036770" w14:textId="3E6A08FC" w:rsidR="00EF4B88" w:rsidRDefault="00797E5A" w:rsidP="004637C7">
      <w:pPr>
        <w:pStyle w:val="Lgende"/>
        <w:rPr>
          <w:lang w:eastAsia="zh-CN"/>
        </w:rPr>
      </w:pPr>
      <w:bookmarkStart w:id="266" w:name="_Toc213404413"/>
      <w:r>
        <w:t xml:space="preserve">Figure </w:t>
      </w:r>
      <w:r>
        <w:fldChar w:fldCharType="begin"/>
      </w:r>
      <w:r>
        <w:instrText xml:space="preserve"> SEQ Figure \* ARABIC </w:instrText>
      </w:r>
      <w:r>
        <w:fldChar w:fldCharType="separate"/>
      </w:r>
      <w:r w:rsidR="00B976BF">
        <w:rPr>
          <w:noProof/>
        </w:rPr>
        <w:t>11</w:t>
      </w:r>
      <w:r>
        <w:fldChar w:fldCharType="end"/>
      </w:r>
      <w:r>
        <w:rPr>
          <w:lang w:val="fr-FR"/>
        </w:rPr>
        <w:t xml:space="preserve"> : Carte des pentes au niveau de la zone d’étude</w:t>
      </w:r>
      <w:bookmarkEnd w:id="266"/>
    </w:p>
    <w:p w14:paraId="44107356" w14:textId="5E7FE026" w:rsidR="00420D47" w:rsidRDefault="00420D47" w:rsidP="00420D47">
      <w:pPr>
        <w:pStyle w:val="Title3"/>
        <w:rPr>
          <w:rFonts w:eastAsiaTheme="minorEastAsia"/>
          <w:lang w:eastAsia="zh-CN" w:bidi="ar-SA"/>
        </w:rPr>
      </w:pPr>
      <w:bookmarkStart w:id="267" w:name="_Toc181619006"/>
      <w:bookmarkStart w:id="268" w:name="_Toc215131842"/>
      <w:r>
        <w:rPr>
          <w:rFonts w:eastAsiaTheme="minorEastAsia"/>
          <w:lang w:eastAsia="zh-CN" w:bidi="ar-SA"/>
        </w:rPr>
        <w:t xml:space="preserve">Cadre </w:t>
      </w:r>
      <w:r w:rsidR="00C71F8F">
        <w:rPr>
          <w:rFonts w:eastAsiaTheme="minorEastAsia"/>
          <w:lang w:eastAsia="zh-CN" w:bidi="ar-SA"/>
        </w:rPr>
        <w:t>géologique</w:t>
      </w:r>
      <w:r w:rsidR="0058072F">
        <w:rPr>
          <w:rFonts w:eastAsiaTheme="minorEastAsia"/>
          <w:lang w:eastAsia="zh-CN" w:bidi="ar-SA"/>
        </w:rPr>
        <w:t xml:space="preserve"> général</w:t>
      </w:r>
      <w:bookmarkEnd w:id="267"/>
      <w:bookmarkEnd w:id="268"/>
    </w:p>
    <w:p w14:paraId="76CDB9CF" w14:textId="77777777" w:rsidR="001D547D" w:rsidRPr="00210038" w:rsidRDefault="001D547D" w:rsidP="001D547D">
      <w:r w:rsidRPr="00210038">
        <w:t>Le bassin versant du Tensift (20 450 km²) est situé au centre du Maroc entre les latitudes 32° 10‘ et 30° 50‘ Nord et les longitudes 9° 25‘ et 7° 12‘ Ouest. Les altitudes sont très contrastées varient de 0 à 4167 m (sommet du Toubkal). Le bassin du Tensift peut être subdivisé en trois parties :</w:t>
      </w:r>
    </w:p>
    <w:p w14:paraId="4D5E244C" w14:textId="77777777" w:rsidR="001D547D" w:rsidRPr="00210038" w:rsidRDefault="001D547D" w:rsidP="0001633E">
      <w:pPr>
        <w:numPr>
          <w:ilvl w:val="0"/>
          <w:numId w:val="194"/>
        </w:numPr>
        <w:spacing w:before="0" w:after="200" w:line="240" w:lineRule="auto"/>
      </w:pPr>
      <w:r w:rsidRPr="00210038">
        <w:t>La partie sud ou les montagnes du Haute-Atlas, qui correspond à la zone de production des eaux, caractérisée par des altitudes très élevées, des précipitations importantes et une hydrologie de surface très active (Chaponnière, 2005; Boukhari, 2009). Dans cette zone prenne naissance les principaux affluents du Tensift : N‘Fis, Ourika, Rheraya, Zat et R‘dat.</w:t>
      </w:r>
    </w:p>
    <w:p w14:paraId="2FA3593E" w14:textId="77777777" w:rsidR="001D547D" w:rsidRPr="00210038" w:rsidRDefault="001D547D" w:rsidP="0001633E">
      <w:pPr>
        <w:numPr>
          <w:ilvl w:val="0"/>
          <w:numId w:val="194"/>
        </w:numPr>
        <w:spacing w:before="0" w:after="200" w:line="240" w:lineRule="auto"/>
      </w:pPr>
      <w:r w:rsidRPr="00210038">
        <w:t xml:space="preserve">La zone nord limitée par le massif de Jbilet, caractérisée par des faibles altitudes et par une hydrologie de surface qui contrairement à la partie sud reste inactive durant toute l‘année à l‘exception des événements pluvieux au cours desquels des cours d‘eau temporaires prennent naissance et contribuent épisodiquement à l‘alimentation de l‘oued Tensift. </w:t>
      </w:r>
    </w:p>
    <w:p w14:paraId="28A36D00" w14:textId="77777777" w:rsidR="001D547D" w:rsidRPr="00210038" w:rsidRDefault="001D547D" w:rsidP="0001633E">
      <w:pPr>
        <w:numPr>
          <w:ilvl w:val="0"/>
          <w:numId w:val="194"/>
        </w:numPr>
        <w:spacing w:before="0" w:after="200" w:line="240" w:lineRule="auto"/>
      </w:pPr>
      <w:r w:rsidRPr="00210038">
        <w:t xml:space="preserve">La plaine centrale du Haouz traversée par l‘oued Tensift et dominée par l‘écoulement souterrain. Elle constitue une zone de transit et de consommation de l‘eau issues des affluents du Haut-Atlas. Les prélèvements sont assurés par un réseau traditionnels dense et complexe des seguias et Khettaras et un canal de dérivation achemine l‘eau des barrages Moulay Youssef et Sidi Idriss situés à l‘extérieur du bassin de Tensift à l‘est jusqu‘au le sous-bassin de N‘Fis. </w:t>
      </w:r>
    </w:p>
    <w:p w14:paraId="20996BCC" w14:textId="77777777" w:rsidR="001D547D" w:rsidRPr="00210038" w:rsidRDefault="001D547D" w:rsidP="001D547D">
      <w:r w:rsidRPr="00210038">
        <w:t xml:space="preserve">La plaine du Haouz, contenant la ville de Marrakech, se développe entre les chaînes du Haut Atlas au Sud et le massif des Jbiletes au nord. Elle est formée sur un substratum paléozoïque essentiellement schisteux et imperméable, elle est recouverte d'un dépôt alluvial graveleux datant du quaternaire. Ce dépôt est le fruit de l'érosion des roches de l'Atlas, charriées par un réseau hydrographique au régime torrentiel. </w:t>
      </w:r>
    </w:p>
    <w:p w14:paraId="38C93FEF" w14:textId="77777777" w:rsidR="001D547D" w:rsidRDefault="001D547D" w:rsidP="001D547D">
      <w:r w:rsidRPr="00210038">
        <w:lastRenderedPageBreak/>
        <w:t xml:space="preserve">Ces dépôts détritiques, insérés dans une matrice souvent argileuse sont caractérisés par leur extrême hétérogénéité. Les collines calcaires Jbel Guéliz et Koudiat al Abid sont les seuls reliefs de cette plaine, issus de l'érosion du socle paléozoïque figure 4. (ONEM, 2007). </w:t>
      </w:r>
    </w:p>
    <w:p w14:paraId="4952D23D" w14:textId="53548D75" w:rsidR="005B4EE1" w:rsidRDefault="001D547D" w:rsidP="001D547D">
      <w:r w:rsidRPr="00210038">
        <w:t>Les coupes géologiques synthétiques dans la direction nord-sud montrent la structure géologique de la plaine du Haouz. La partie inférieure de l‘aquifère alluvial est généralement constitué de terraines miocènes. Le permo-triasique (contenant du sel) pourrait se trouver sous les dépôts alluviaux à l'est (section A). L‘Eocène et le Crétacé forment un grand synclinal dans la plaine (coupe C) tandis que leur étendue est limitée sous la plaine dans le Haouz moyen et oriental à cause du soulèvement du socle paléozoïque</w:t>
      </w:r>
      <w:r>
        <w:t>.</w:t>
      </w:r>
    </w:p>
    <w:p w14:paraId="32A0707E" w14:textId="77777777" w:rsidR="00F951CB" w:rsidRDefault="00F951CB" w:rsidP="00F951CB">
      <w:pPr>
        <w:keepNext/>
        <w:jc w:val="center"/>
      </w:pPr>
      <w:r w:rsidRPr="0036249B">
        <w:rPr>
          <w:noProof/>
          <w:lang w:eastAsia="fr-FR" w:bidi="ar-SA"/>
        </w:rPr>
        <w:drawing>
          <wp:inline distT="0" distB="0" distL="0" distR="0" wp14:anchorId="32CAF66F" wp14:editId="2F5CD811">
            <wp:extent cx="5321300" cy="4728741"/>
            <wp:effectExtent l="19050" t="19050" r="12700" b="15240"/>
            <wp:docPr id="2141237600" name="Image 1" descr="Une image contenant texte, diagramme, croquis, dessin&#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1237600" name="Image 1" descr="Une image contenant texte, diagramme, croquis, dessin&#10;&#10;Description générée automatiquement"/>
                    <pic:cNvPicPr/>
                  </pic:nvPicPr>
                  <pic:blipFill>
                    <a:blip r:embed="rId51"/>
                    <a:stretch>
                      <a:fillRect/>
                    </a:stretch>
                  </pic:blipFill>
                  <pic:spPr>
                    <a:xfrm>
                      <a:off x="0" y="0"/>
                      <a:ext cx="5322834" cy="4730104"/>
                    </a:xfrm>
                    <a:prstGeom prst="rect">
                      <a:avLst/>
                    </a:prstGeom>
                    <a:ln>
                      <a:solidFill>
                        <a:schemeClr val="tx1">
                          <a:lumMod val="50000"/>
                          <a:lumOff val="50000"/>
                        </a:schemeClr>
                      </a:solidFill>
                    </a:ln>
                  </pic:spPr>
                </pic:pic>
              </a:graphicData>
            </a:graphic>
          </wp:inline>
        </w:drawing>
      </w:r>
    </w:p>
    <w:p w14:paraId="14B0E640" w14:textId="7CA34056" w:rsidR="00F951CB" w:rsidRDefault="00F951CB" w:rsidP="00F951CB">
      <w:pPr>
        <w:pStyle w:val="Lgende"/>
      </w:pPr>
      <w:bookmarkStart w:id="269" w:name="_Toc213404414"/>
      <w:r>
        <w:t xml:space="preserve">Figure </w:t>
      </w:r>
      <w:r>
        <w:fldChar w:fldCharType="begin"/>
      </w:r>
      <w:r>
        <w:instrText xml:space="preserve"> SEQ Figure \* ARABIC </w:instrText>
      </w:r>
      <w:r>
        <w:fldChar w:fldCharType="separate"/>
      </w:r>
      <w:r w:rsidR="00B976BF">
        <w:rPr>
          <w:noProof/>
        </w:rPr>
        <w:t>12</w:t>
      </w:r>
      <w:r>
        <w:fldChar w:fldCharType="end"/>
      </w:r>
      <w:r>
        <w:rPr>
          <w:noProof/>
        </w:rPr>
        <w:t xml:space="preserve"> </w:t>
      </w:r>
      <w:r>
        <w:rPr>
          <w:noProof/>
          <w:lang w:val="fr-FR"/>
        </w:rPr>
        <w:t>: Coupes litho stratigraphique</w:t>
      </w:r>
      <w:bookmarkEnd w:id="269"/>
    </w:p>
    <w:p w14:paraId="161713E6" w14:textId="77777777" w:rsidR="00902A43" w:rsidRDefault="00902A43" w:rsidP="004A03B2">
      <w:pPr>
        <w:rPr>
          <w:rFonts w:eastAsiaTheme="minorEastAsia"/>
        </w:rPr>
        <w:sectPr w:rsidR="00902A43" w:rsidSect="0061278F">
          <w:headerReference w:type="default" r:id="rId52"/>
          <w:footerReference w:type="default" r:id="rId53"/>
          <w:pgSz w:w="11906" w:h="16838"/>
          <w:pgMar w:top="1417" w:right="1417" w:bottom="1276" w:left="1417" w:header="680" w:footer="680" w:gutter="0"/>
          <w:cols w:space="708"/>
          <w:docGrid w:linePitch="360"/>
        </w:sectPr>
      </w:pPr>
    </w:p>
    <w:p w14:paraId="553260B1" w14:textId="77777777" w:rsidR="00902A43" w:rsidRDefault="00902A43" w:rsidP="00902A43">
      <w:pPr>
        <w:tabs>
          <w:tab w:val="left" w:pos="2280"/>
        </w:tabs>
        <w:jc w:val="center"/>
        <w:rPr>
          <w:rFonts w:eastAsiaTheme="minorEastAsia"/>
          <w:b/>
          <w:bCs/>
        </w:rPr>
      </w:pPr>
    </w:p>
    <w:p w14:paraId="0804801F" w14:textId="2E80B17A" w:rsidR="00902A43" w:rsidRDefault="006A6D22" w:rsidP="00420B58">
      <w:pPr>
        <w:tabs>
          <w:tab w:val="left" w:pos="2280"/>
        </w:tabs>
        <w:spacing w:after="0"/>
        <w:jc w:val="center"/>
        <w:rPr>
          <w:rFonts w:eastAsiaTheme="minorEastAsia"/>
          <w:b/>
          <w:bCs/>
        </w:rPr>
      </w:pPr>
      <w:r>
        <w:rPr>
          <w:noProof/>
          <w:lang w:eastAsia="fr-FR" w:bidi="ar-SA"/>
        </w:rPr>
        <w:drawing>
          <wp:inline distT="0" distB="0" distL="0" distR="0" wp14:anchorId="1A257169" wp14:editId="7E9E9A3F">
            <wp:extent cx="7268989" cy="5140152"/>
            <wp:effectExtent l="19050" t="19050" r="27305" b="22860"/>
            <wp:docPr id="1582813031" name="Image 9" descr="Une image contenant texte, diagramme, capture d’écran, cercl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2813031" name="Image 9" descr="Une image contenant texte, diagramme, capture d’écran, cercle&#10;&#10;Description générée automatiquement"/>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7269968" cy="5140844"/>
                    </a:xfrm>
                    <a:prstGeom prst="rect">
                      <a:avLst/>
                    </a:prstGeom>
                    <a:noFill/>
                    <a:ln>
                      <a:solidFill>
                        <a:schemeClr val="tx1">
                          <a:lumMod val="50000"/>
                          <a:lumOff val="50000"/>
                        </a:schemeClr>
                      </a:solidFill>
                    </a:ln>
                  </pic:spPr>
                </pic:pic>
              </a:graphicData>
            </a:graphic>
          </wp:inline>
        </w:drawing>
      </w:r>
    </w:p>
    <w:p w14:paraId="660B7773" w14:textId="2794CCCD" w:rsidR="001916BB" w:rsidRPr="002A0860" w:rsidRDefault="001916BB" w:rsidP="001916BB">
      <w:pPr>
        <w:pStyle w:val="Lgende"/>
        <w:rPr>
          <w:lang w:val="fr-FR"/>
        </w:rPr>
      </w:pPr>
      <w:bookmarkStart w:id="270" w:name="_Toc213404415"/>
      <w:r w:rsidRPr="00420B58">
        <w:rPr>
          <w:lang w:val="fr-FR"/>
        </w:rPr>
        <w:t xml:space="preserve">Figure </w:t>
      </w:r>
      <w:r w:rsidRPr="00420B58">
        <w:fldChar w:fldCharType="begin"/>
      </w:r>
      <w:r w:rsidRPr="00420B58">
        <w:rPr>
          <w:lang w:val="fr-FR"/>
        </w:rPr>
        <w:instrText xml:space="preserve"> SEQ Figure \* ARABIC </w:instrText>
      </w:r>
      <w:r w:rsidRPr="00420B58">
        <w:fldChar w:fldCharType="separate"/>
      </w:r>
      <w:r w:rsidR="00B976BF">
        <w:rPr>
          <w:noProof/>
          <w:lang w:val="fr-FR"/>
        </w:rPr>
        <w:t>13</w:t>
      </w:r>
      <w:r w:rsidRPr="00420B58">
        <w:fldChar w:fldCharType="end"/>
      </w:r>
      <w:r w:rsidRPr="00420B58">
        <w:rPr>
          <w:lang w:val="fr-FR"/>
        </w:rPr>
        <w:t>: Carte géologique de la zone d’étude</w:t>
      </w:r>
      <w:bookmarkEnd w:id="270"/>
    </w:p>
    <w:p w14:paraId="371DBB4B" w14:textId="46CA9D90" w:rsidR="001916BB" w:rsidRPr="001916BB" w:rsidRDefault="001916BB" w:rsidP="001916BB">
      <w:pPr>
        <w:rPr>
          <w:rFonts w:eastAsiaTheme="minorEastAsia"/>
          <w:lang w:eastAsia="fr-FR" w:bidi="ar-SA"/>
        </w:rPr>
        <w:sectPr w:rsidR="001916BB" w:rsidRPr="001916BB" w:rsidSect="00AE7DDF">
          <w:headerReference w:type="default" r:id="rId55"/>
          <w:footerReference w:type="default" r:id="rId56"/>
          <w:pgSz w:w="16838" w:h="11906" w:orient="landscape"/>
          <w:pgMar w:top="1418" w:right="1418" w:bottom="1418" w:left="1276" w:header="567" w:footer="510" w:gutter="0"/>
          <w:cols w:space="708"/>
          <w:docGrid w:linePitch="360"/>
        </w:sectPr>
      </w:pPr>
    </w:p>
    <w:p w14:paraId="1DE2850D" w14:textId="5196C3FF" w:rsidR="00902A43" w:rsidRDefault="0058072F" w:rsidP="0058072F">
      <w:pPr>
        <w:pStyle w:val="Title3"/>
        <w:rPr>
          <w:rFonts w:eastAsiaTheme="minorEastAsia"/>
        </w:rPr>
      </w:pPr>
      <w:bookmarkStart w:id="271" w:name="_Toc181619007"/>
      <w:bookmarkStart w:id="272" w:name="_Toc215131843"/>
      <w:r>
        <w:rPr>
          <w:rFonts w:eastAsiaTheme="minorEastAsia"/>
        </w:rPr>
        <w:lastRenderedPageBreak/>
        <w:t>Pédologie</w:t>
      </w:r>
      <w:bookmarkEnd w:id="271"/>
      <w:bookmarkEnd w:id="272"/>
    </w:p>
    <w:p w14:paraId="635C7558" w14:textId="77777777" w:rsidR="00004C36" w:rsidRPr="000F158B" w:rsidRDefault="00004C36" w:rsidP="00004C36">
      <w:r w:rsidRPr="000F158B">
        <w:t>Au nord de la plaine d’Al Haouz en bordure du plateau des Phosphates, au sud dans la zone de piedmont de l’Atlas et le long des vallées encaissées des principaux oueds, la topographie a favorisé le jeu de l’érosion. On trouve donc dans ces régions des sols peu évolués, des régosols et des lithosols, suivant la nature du substratum. Parfois, le maintien d’une certaine végétation naturelle (forêt secondaire des Semguett, à pistachiers et lentisques) freine l’érosion et fournit un certain apport de matière organique ; les sols prennent alors un type rendziniforme.</w:t>
      </w:r>
    </w:p>
    <w:p w14:paraId="6D0E8D5A" w14:textId="77777777" w:rsidR="00004C36" w:rsidRPr="000F158B" w:rsidRDefault="00004C36" w:rsidP="00004C36">
      <w:r w:rsidRPr="000F158B">
        <w:t>En général, les sols prédominant dans la zone d’étude sont les suivants :</w:t>
      </w:r>
    </w:p>
    <w:p w14:paraId="6251B479" w14:textId="77777777" w:rsidR="00004C36" w:rsidRPr="000F158B" w:rsidRDefault="00004C36" w:rsidP="00004C36">
      <w:pPr>
        <w:pStyle w:val="Style1"/>
        <w:spacing w:line="240" w:lineRule="auto"/>
      </w:pPr>
      <w:r w:rsidRPr="000F158B">
        <w:rPr>
          <w:b/>
          <w:bCs/>
        </w:rPr>
        <w:t>Sols minéraux bruts d’érosion :</w:t>
      </w:r>
      <w:r w:rsidRPr="000F158B">
        <w:t xml:space="preserve"> Les lithosols correspondent aux affleurements des dalles calcaires très épaisses, peu ou pas démantelées, de l’Éocène et du Crétacé. Ils constituent des zones de pâturage extensif au nord de l’oued Merkoune.</w:t>
      </w:r>
    </w:p>
    <w:p w14:paraId="73856CAE" w14:textId="77777777" w:rsidR="00004C36" w:rsidRPr="000F158B" w:rsidRDefault="00004C36" w:rsidP="00004C36">
      <w:pPr>
        <w:pStyle w:val="Style1"/>
        <w:spacing w:line="240" w:lineRule="auto"/>
      </w:pPr>
      <w:r w:rsidRPr="000F158B">
        <w:rPr>
          <w:b/>
          <w:bCs/>
        </w:rPr>
        <w:t>Sols peu évolués d’apport :</w:t>
      </w:r>
      <w:r w:rsidRPr="000F158B">
        <w:t xml:space="preserve"> Ce sont des sols formés sur les alluvions récentes originaires du Moyen Atlas. Ce sont des sols brun-clair, très calcaires, argilo-sableux, avec parfois quelques lits caillouteux. Le profil est d’aspect continu ; les mottes sont poreuses, se cassant en polyèdres fins à moyens et en éléments particulaires. En outre, on trouve aussi des sols en bas de pente et surtout dans certaines dépressions au pied du Moyen Atlas. Parfois très profonds, ils reposent sur une dalle calcaire conglomératique ou sur un paléosol brun ou faiblement tirsifié. Ces sont prédominant essentiellement dans le tronçon Kalaat Sraghna et Ben</w:t>
      </w:r>
      <w:r>
        <w:t>g</w:t>
      </w:r>
      <w:r w:rsidRPr="000F158B">
        <w:t>uérir.</w:t>
      </w:r>
    </w:p>
    <w:p w14:paraId="60A75089" w14:textId="77777777" w:rsidR="00004C36" w:rsidRPr="000F158B" w:rsidRDefault="00004C36" w:rsidP="00004C36">
      <w:pPr>
        <w:pStyle w:val="Style1"/>
        <w:spacing w:line="240" w:lineRule="auto"/>
      </w:pPr>
      <w:r w:rsidRPr="000F158B">
        <w:rPr>
          <w:b/>
          <w:bCs/>
        </w:rPr>
        <w:t>Sols calco-magnésimorphes :</w:t>
      </w:r>
      <w:r w:rsidRPr="000F158B">
        <w:t xml:space="preserve"> Sols bruns calcaires, souvent érodés reposant sur encroûtement ou croûte calcaire ; affleurements de calcaire lacustre ou de croûte par endroits.</w:t>
      </w:r>
    </w:p>
    <w:p w14:paraId="0DC98565" w14:textId="77777777" w:rsidR="00004C36" w:rsidRPr="000F158B" w:rsidRDefault="00004C36" w:rsidP="00004C36">
      <w:pPr>
        <w:pStyle w:val="Style1"/>
        <w:spacing w:line="240" w:lineRule="auto"/>
      </w:pPr>
      <w:r w:rsidRPr="000F158B">
        <w:rPr>
          <w:b/>
          <w:bCs/>
        </w:rPr>
        <w:t>Sols iso-humiques subtropicaux</w:t>
      </w:r>
      <w:r w:rsidRPr="000F158B">
        <w:t>, à complexe saturé et pédoclimat frais en saison pluvieuse : L’horizon de surface des sols bruns subtropicaux est épais d’environ 50 cm, brun ou brun-rouge, argileux, généralement calcaire, de structure nuciforme à polyédrique fine ou moyenne. On y trouve souvent des granules et nodules ou des débris calcaires, mais plutôt peu nombreux (il s’agit de remaniements de l’horizon d’accumulation). Ces sols sont dominants sur l’ensemble de la zone d’étude.</w:t>
      </w:r>
    </w:p>
    <w:p w14:paraId="070F1D35" w14:textId="77777777" w:rsidR="00004C36" w:rsidRDefault="00004C36" w:rsidP="00004C36">
      <w:pPr>
        <w:pStyle w:val="Style1"/>
        <w:spacing w:line="240" w:lineRule="auto"/>
      </w:pPr>
      <w:r w:rsidRPr="000F158B">
        <w:rPr>
          <w:b/>
          <w:bCs/>
        </w:rPr>
        <w:t>Sols à sesquioxydes</w:t>
      </w:r>
      <w:r w:rsidRPr="000F158B">
        <w:t xml:space="preserve"> : On trouve ces sols en bordure du plateau des Phosphates. Ils sont rougeâtres, non calcaires, argileux, caillouteux, riches en oolithes phosphatés ; la tendance prismatique de leur structure les rapproche des sols châtains iso humiques. Ils présentent souvent un pavage superficiel de cailloux résultant d’un décapage par ruissellement ou érosion éolienne. Localement, cette érosion a totalement dégagé le substratum calcaire.</w:t>
      </w:r>
    </w:p>
    <w:p w14:paraId="7075194D" w14:textId="69E01F7E" w:rsidR="0058072F" w:rsidRDefault="00004C36" w:rsidP="00004C36">
      <w:pPr>
        <w:rPr>
          <w:rFonts w:eastAsiaTheme="minorEastAsia"/>
        </w:rPr>
      </w:pPr>
      <w:r>
        <w:t>Le site du projet est localisé en zone urbaine où les sols naturels ont été largement modifiés par les aménagements et infrastructures existants</w:t>
      </w:r>
      <w:r w:rsidR="003741C0" w:rsidRPr="003741C0">
        <w:rPr>
          <w:rFonts w:eastAsiaTheme="minorEastAsia"/>
        </w:rPr>
        <w:t xml:space="preserve">. </w:t>
      </w:r>
    </w:p>
    <w:p w14:paraId="557F5779" w14:textId="7E955EEE" w:rsidR="00731085" w:rsidRDefault="00D92FE2" w:rsidP="00D92FE2">
      <w:pPr>
        <w:pStyle w:val="Title3"/>
        <w:rPr>
          <w:rFonts w:eastAsiaTheme="minorEastAsia"/>
        </w:rPr>
      </w:pPr>
      <w:bookmarkStart w:id="273" w:name="_Toc181619008"/>
      <w:bookmarkStart w:id="274" w:name="_Hlk210209489"/>
      <w:bookmarkStart w:id="275" w:name="_Toc215131844"/>
      <w:bookmarkEnd w:id="264"/>
      <w:r>
        <w:rPr>
          <w:rFonts w:eastAsiaTheme="minorEastAsia"/>
        </w:rPr>
        <w:t>Sismicité</w:t>
      </w:r>
      <w:bookmarkEnd w:id="273"/>
      <w:bookmarkEnd w:id="275"/>
    </w:p>
    <w:p w14:paraId="0E723720" w14:textId="77777777" w:rsidR="0031433A" w:rsidRPr="0031433A" w:rsidRDefault="0031433A" w:rsidP="0031433A">
      <w:pPr>
        <w:rPr>
          <w:rFonts w:eastAsiaTheme="minorEastAsia"/>
        </w:rPr>
      </w:pPr>
      <w:r w:rsidRPr="0031433A">
        <w:rPr>
          <w:rFonts w:eastAsiaTheme="minorEastAsia"/>
        </w:rPr>
        <w:t xml:space="preserve">Le Maroc est situé dans une zone de collision continentale due aux rapprochements des plaques tectoniques Afrique-Europe dont les contraintes sont principalement absorbées par la chaîne atlasique et le Rif. A l’ouest du Détroit de Gibraltar, le Maroc est soumis à l’influence de l’activité sismique de la zone transformante dextre des Aores-Gibraltar qui sépare l’Atlantique central et l’Atlantique nord. Cette zone correspond à la source du grand tremblement de terre dit de Lisbonne du 1ernovembre 1755, de magnitude 9 sur l’échelle de Richter qui a entraîné plusieurs centaines de morts et d’importantes destructions dans plusieurs villes du Maroc. </w:t>
      </w:r>
    </w:p>
    <w:p w14:paraId="4EB977ED" w14:textId="77777777" w:rsidR="0031433A" w:rsidRPr="0031433A" w:rsidRDefault="0031433A" w:rsidP="0031433A">
      <w:pPr>
        <w:rPr>
          <w:rFonts w:eastAsiaTheme="minorEastAsia"/>
        </w:rPr>
      </w:pPr>
      <w:r w:rsidRPr="0031433A">
        <w:rPr>
          <w:rFonts w:eastAsiaTheme="minorEastAsia"/>
        </w:rPr>
        <w:lastRenderedPageBreak/>
        <w:t>À l’est du Détroit de Gibraltar, le Maroc est soumis à l’influence des failles d’échelle crustale de la mer d’Alboran (source du séisme du 22 septembre 1522 qui a été destructeur dans le nord du rif et à Fès).</w:t>
      </w:r>
    </w:p>
    <w:p w14:paraId="7FBFE6E2" w14:textId="3C3AACDE" w:rsidR="00D92FE2" w:rsidRDefault="0031433A" w:rsidP="0031433A">
      <w:pPr>
        <w:rPr>
          <w:rFonts w:eastAsiaTheme="minorEastAsia"/>
        </w:rPr>
      </w:pPr>
      <w:r w:rsidRPr="0031433A">
        <w:rPr>
          <w:rFonts w:eastAsiaTheme="minorEastAsia"/>
        </w:rPr>
        <w:t>D'après le zonage sismique (RPS 2000), la province d'Al Haouz était classée en zone de séismicité modérée la section nº4. Cependant, le séisme du 8 septembre 2023, qui a gravement impacté cette région, a remis en question la classification sismique du pays. Le tremblement de terre d'Al Haouz a mis en évidence la nécessité de réviser cette carte de zonage pour inclure peut-être une sixième zone de risque plus au sud du Maroc</w:t>
      </w:r>
      <w:r w:rsidR="000124BB" w:rsidRPr="000124BB">
        <w:rPr>
          <w:rFonts w:eastAsiaTheme="minorEastAsia"/>
        </w:rPr>
        <w:t>.</w:t>
      </w:r>
    </w:p>
    <w:p w14:paraId="3422EEA7" w14:textId="77777777" w:rsidR="00843A74" w:rsidRDefault="00843A74" w:rsidP="00843A74">
      <w:pPr>
        <w:keepNext/>
        <w:jc w:val="center"/>
      </w:pPr>
      <w:r w:rsidRPr="0036249B">
        <w:rPr>
          <w:noProof/>
          <w:lang w:eastAsia="fr-FR" w:bidi="ar-SA"/>
        </w:rPr>
        <w:drawing>
          <wp:inline distT="0" distB="0" distL="0" distR="0" wp14:anchorId="506BF228" wp14:editId="6645F43F">
            <wp:extent cx="5760720" cy="5123815"/>
            <wp:effectExtent l="0" t="0" r="0" b="635"/>
            <wp:docPr id="85" name="Image 85" descr="La carte sismique du Maroc va être actualisée après l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a carte sismique du Maroc va être actualisée après le ..."/>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5760720" cy="5123815"/>
                    </a:xfrm>
                    <a:prstGeom prst="rect">
                      <a:avLst/>
                    </a:prstGeom>
                    <a:noFill/>
                    <a:ln>
                      <a:noFill/>
                    </a:ln>
                  </pic:spPr>
                </pic:pic>
              </a:graphicData>
            </a:graphic>
          </wp:inline>
        </w:drawing>
      </w:r>
    </w:p>
    <w:p w14:paraId="2DC88BCE" w14:textId="32D6479B" w:rsidR="0031433A" w:rsidRDefault="00843A74" w:rsidP="00843A74">
      <w:pPr>
        <w:pStyle w:val="Lgende"/>
      </w:pPr>
      <w:bookmarkStart w:id="276" w:name="_Toc213404416"/>
      <w:r>
        <w:t xml:space="preserve">Figure </w:t>
      </w:r>
      <w:r>
        <w:fldChar w:fldCharType="begin"/>
      </w:r>
      <w:r>
        <w:instrText xml:space="preserve"> SEQ Figure \* ARABIC </w:instrText>
      </w:r>
      <w:r>
        <w:fldChar w:fldCharType="separate"/>
      </w:r>
      <w:r w:rsidR="00B976BF">
        <w:rPr>
          <w:noProof/>
        </w:rPr>
        <w:t>14</w:t>
      </w:r>
      <w:r>
        <w:fldChar w:fldCharType="end"/>
      </w:r>
      <w:r>
        <w:rPr>
          <w:noProof/>
        </w:rPr>
        <w:t xml:space="preserve"> </w:t>
      </w:r>
      <w:r>
        <w:rPr>
          <w:noProof/>
          <w:lang w:val="fr-FR"/>
        </w:rPr>
        <w:t>: Cartes des accelerations horizontales maximales du sol pour une probabilité d'apparition de 10% dans 50 ans (selon le RPS 2008)</w:t>
      </w:r>
      <w:bookmarkEnd w:id="276"/>
    </w:p>
    <w:p w14:paraId="4A2B16E4" w14:textId="5A45BD9B" w:rsidR="002F532B" w:rsidRDefault="002F532B" w:rsidP="002F532B">
      <w:pPr>
        <w:pStyle w:val="Title3"/>
        <w:rPr>
          <w:rFonts w:eastAsiaTheme="minorEastAsia"/>
        </w:rPr>
      </w:pPr>
      <w:bookmarkStart w:id="277" w:name="_Toc181619009"/>
      <w:bookmarkStart w:id="278" w:name="_Hlk210209827"/>
      <w:bookmarkStart w:id="279" w:name="_Toc215131845"/>
      <w:bookmarkEnd w:id="274"/>
      <w:r>
        <w:rPr>
          <w:rFonts w:eastAsiaTheme="minorEastAsia"/>
        </w:rPr>
        <w:t>Cadre hydrologique</w:t>
      </w:r>
      <w:bookmarkEnd w:id="277"/>
      <w:bookmarkEnd w:id="279"/>
    </w:p>
    <w:p w14:paraId="17ACBEE8" w14:textId="77777777" w:rsidR="00E15C80" w:rsidRDefault="00E15C80" w:rsidP="00E15C80">
      <w:r>
        <w:t xml:space="preserve">Marrakech est parcourue par un réseau hydrographique organisé autour de l'oued Tensift. C'est un oued au cours orienté Est-Ouest, prenant sa source à Ras-El-Aïn dans la nappe phréatique, et qui se jette dans la mer au Sud de Safi. L'oued Tensift, est alimenté toute l'année par la nappe phréatique, son apport est estimé à environ 80 millions de m3 par an (d'après les études et bilans élaborés par la DRHT). </w:t>
      </w:r>
    </w:p>
    <w:p w14:paraId="59247E94" w14:textId="77777777" w:rsidR="00E15C80" w:rsidRDefault="00E15C80" w:rsidP="00E15C80">
      <w:r>
        <w:lastRenderedPageBreak/>
        <w:t>Les ressources en eau dans le bassin hydraulique du Tensift Al-Haouz sont inégalement réparties. Les oueds les plus importants prennent tous naissance dans le Haut Atlas. Sur ce relief montagneux à structures et natures géologiques hétérogènes, se produisent des ruissellements à caractères torrentiel, collectés par le Tensift qui les évacue à l’Océan. (Sinan. M, 2000).</w:t>
      </w:r>
    </w:p>
    <w:p w14:paraId="6818EBB9" w14:textId="77777777" w:rsidR="00E15C80" w:rsidRDefault="00E15C80" w:rsidP="00E15C80">
      <w:r>
        <w:t xml:space="preserve">Il reçoit en hiver, l'apport de ses affluents prenant leur source dans le versant Nord du Haut Atlas : l'oued N'Fis, l'oued Baja Jdid, (oued Reraya), l'oued Issil, l'oued al Hier (constitué de la confluence des oueds Ghmat, Zat…). Le débit global apporté au Tensift par ces oueds est estimé à environ 20 m3/s, (présentation de la nappe aquifère à Marrakech et du réseau hydrographique). </w:t>
      </w:r>
    </w:p>
    <w:p w14:paraId="1F1810FE" w14:textId="77777777" w:rsidR="00E15C80" w:rsidRDefault="00E15C80" w:rsidP="00E15C80">
      <w:r>
        <w:t xml:space="preserve">L’aire du bassin peut être subdivisée en deux zones : </w:t>
      </w:r>
    </w:p>
    <w:p w14:paraId="7950B29E" w14:textId="77777777" w:rsidR="00E15C80" w:rsidRDefault="00E15C80" w:rsidP="00E15C80">
      <w:pPr>
        <w:pStyle w:val="Style1"/>
        <w:spacing w:line="240" w:lineRule="auto"/>
      </w:pPr>
      <w:r>
        <w:t>La zone du cours amont du Tensift et ses affluents de la rive gauche, s’étendant sur une superficie de 11 900 Km</w:t>
      </w:r>
      <w:r w:rsidRPr="000F158B">
        <w:rPr>
          <w:vertAlign w:val="superscript"/>
        </w:rPr>
        <w:t>2</w:t>
      </w:r>
      <w:r>
        <w:t xml:space="preserve">, constituent la partie hydrologique active du bassin </w:t>
      </w:r>
    </w:p>
    <w:p w14:paraId="27E14924" w14:textId="77777777" w:rsidR="00E15C80" w:rsidRDefault="00E15C80" w:rsidP="00E15C80">
      <w:pPr>
        <w:pStyle w:val="Style1"/>
        <w:spacing w:line="240" w:lineRule="auto"/>
      </w:pPr>
      <w:r>
        <w:t>La zone du bas Tensift qui englobe le cours aval de l'oued Tensift et le bassin de l'Oued Chichaoua. Elle s'étend sur une superficie de 7900 Km</w:t>
      </w:r>
      <w:r w:rsidRPr="000F158B">
        <w:rPr>
          <w:vertAlign w:val="superscript"/>
        </w:rPr>
        <w:t>2</w:t>
      </w:r>
      <w:r>
        <w:t>.</w:t>
      </w:r>
    </w:p>
    <w:p w14:paraId="36F0D89E" w14:textId="13857B5C" w:rsidR="002F532B" w:rsidRDefault="00E15C80" w:rsidP="00E15C80">
      <w:r>
        <w:t>La zone d’étude à 13 Km intercepte Oued Tensift. Vu que la zone est déjà anthropisé et s’insère dans un contexte aéroportuaire, la ZVA ne connait la présence d’aucun cours d’eau.</w:t>
      </w:r>
    </w:p>
    <w:p w14:paraId="57A520D5" w14:textId="3FDA588B" w:rsidR="001076CE" w:rsidRPr="002A0860" w:rsidRDefault="001916BB" w:rsidP="001916BB">
      <w:pPr>
        <w:pStyle w:val="Lgende"/>
        <w:rPr>
          <w:b w:val="0"/>
          <w:bCs w:val="0"/>
          <w:lang w:val="fr-FR"/>
        </w:rPr>
      </w:pPr>
      <w:bookmarkStart w:id="280" w:name="_Toc213404350"/>
      <w:r w:rsidRPr="002A0860">
        <w:rPr>
          <w:lang w:val="fr-FR"/>
        </w:rPr>
        <w:t xml:space="preserve">Tableau </w:t>
      </w:r>
      <w:r>
        <w:fldChar w:fldCharType="begin"/>
      </w:r>
      <w:r w:rsidRPr="002A0860">
        <w:rPr>
          <w:lang w:val="fr-FR"/>
        </w:rPr>
        <w:instrText xml:space="preserve"> SEQ Tableau \* ARABIC </w:instrText>
      </w:r>
      <w:r>
        <w:fldChar w:fldCharType="separate"/>
      </w:r>
      <w:r w:rsidR="00274E71">
        <w:rPr>
          <w:noProof/>
          <w:lang w:val="fr-FR"/>
        </w:rPr>
        <w:t>27</w:t>
      </w:r>
      <w:r>
        <w:fldChar w:fldCharType="end"/>
      </w:r>
      <w:r>
        <w:rPr>
          <w:noProof/>
          <w:lang w:val="fr-FR"/>
        </w:rPr>
        <w:t xml:space="preserve">: </w:t>
      </w:r>
      <w:r w:rsidR="001076CE" w:rsidRPr="002A0860">
        <w:rPr>
          <w:lang w:val="fr-FR"/>
        </w:rPr>
        <w:t>Ressources en eau de surface</w:t>
      </w:r>
      <w:bookmarkEnd w:id="280"/>
    </w:p>
    <w:tbl>
      <w:tblPr>
        <w:tblStyle w:val="TableauGrille1Clair-Accentuation111"/>
        <w:tblW w:w="0" w:type="auto"/>
        <w:tblLook w:val="04A0" w:firstRow="1" w:lastRow="0" w:firstColumn="1" w:lastColumn="0" w:noHBand="0" w:noVBand="1"/>
      </w:tblPr>
      <w:tblGrid>
        <w:gridCol w:w="3020"/>
        <w:gridCol w:w="4205"/>
        <w:gridCol w:w="1417"/>
      </w:tblGrid>
      <w:tr w:rsidR="00365EBD" w:rsidRPr="001916BB" w14:paraId="2648CAC8" w14:textId="77777777" w:rsidTr="000E43FF">
        <w:trPr>
          <w:cnfStyle w:val="100000000000" w:firstRow="1" w:lastRow="0" w:firstColumn="0" w:lastColumn="0" w:oddVBand="0" w:evenVBand="0" w:oddHBand="0" w:evenHBand="0" w:firstRowFirstColumn="0" w:firstRowLastColumn="0" w:lastRowFirstColumn="0" w:lastRowLastColumn="0"/>
          <w:trHeight w:val="441"/>
        </w:trPr>
        <w:tc>
          <w:tcPr>
            <w:cnfStyle w:val="001000000000" w:firstRow="0" w:lastRow="0" w:firstColumn="1" w:lastColumn="0" w:oddVBand="0" w:evenVBand="0" w:oddHBand="0" w:evenHBand="0" w:firstRowFirstColumn="0" w:firstRowLastColumn="0" w:lastRowFirstColumn="0" w:lastRowLastColumn="0"/>
            <w:tcW w:w="3020" w:type="dxa"/>
          </w:tcPr>
          <w:p w14:paraId="582F88D7" w14:textId="6BBB15D1" w:rsidR="00365EBD" w:rsidRPr="001916BB" w:rsidRDefault="00F13428" w:rsidP="001916BB">
            <w:pPr>
              <w:spacing w:before="0" w:after="0"/>
              <w:jc w:val="center"/>
              <w:rPr>
                <w:szCs w:val="20"/>
              </w:rPr>
            </w:pPr>
            <w:r>
              <w:rPr>
                <w:szCs w:val="20"/>
              </w:rPr>
              <w:t>Sous-</w:t>
            </w:r>
            <w:r w:rsidR="00365EBD" w:rsidRPr="001916BB">
              <w:rPr>
                <w:szCs w:val="20"/>
              </w:rPr>
              <w:t>Bassin Versant</w:t>
            </w:r>
          </w:p>
        </w:tc>
        <w:tc>
          <w:tcPr>
            <w:tcW w:w="4205" w:type="dxa"/>
          </w:tcPr>
          <w:p w14:paraId="32A18868" w14:textId="5D554B53" w:rsidR="00365EBD" w:rsidRPr="001916BB" w:rsidRDefault="00365EBD" w:rsidP="001916BB">
            <w:pPr>
              <w:spacing w:before="0" w:after="0"/>
              <w:jc w:val="center"/>
              <w:cnfStyle w:val="100000000000" w:firstRow="1" w:lastRow="0" w:firstColumn="0" w:lastColumn="0" w:oddVBand="0" w:evenVBand="0" w:oddHBand="0" w:evenHBand="0" w:firstRowFirstColumn="0" w:firstRowLastColumn="0" w:lastRowFirstColumn="0" w:lastRowLastColumn="0"/>
              <w:rPr>
                <w:szCs w:val="20"/>
              </w:rPr>
            </w:pPr>
            <w:r w:rsidRPr="001916BB">
              <w:rPr>
                <w:szCs w:val="20"/>
              </w:rPr>
              <w:t>Apports moyens annuels (Mm</w:t>
            </w:r>
            <w:r w:rsidRPr="001916BB">
              <w:rPr>
                <w:szCs w:val="20"/>
                <w:vertAlign w:val="superscript"/>
              </w:rPr>
              <w:t>3</w:t>
            </w:r>
            <w:r w:rsidRPr="001916BB">
              <w:rPr>
                <w:szCs w:val="20"/>
              </w:rPr>
              <w:t>/an)</w:t>
            </w:r>
          </w:p>
        </w:tc>
        <w:tc>
          <w:tcPr>
            <w:tcW w:w="1417" w:type="dxa"/>
          </w:tcPr>
          <w:p w14:paraId="79FAD19F" w14:textId="2C379535" w:rsidR="00365EBD" w:rsidRPr="001916BB" w:rsidRDefault="00365EBD" w:rsidP="001916BB">
            <w:pPr>
              <w:spacing w:before="0" w:after="0"/>
              <w:jc w:val="center"/>
              <w:cnfStyle w:val="100000000000" w:firstRow="1" w:lastRow="0" w:firstColumn="0" w:lastColumn="0" w:oddVBand="0" w:evenVBand="0" w:oddHBand="0" w:evenHBand="0" w:firstRowFirstColumn="0" w:firstRowLastColumn="0" w:lastRowFirstColumn="0" w:lastRowLastColumn="0"/>
              <w:rPr>
                <w:szCs w:val="20"/>
              </w:rPr>
            </w:pPr>
            <w:r w:rsidRPr="001916BB">
              <w:rPr>
                <w:szCs w:val="20"/>
              </w:rPr>
              <w:t>%</w:t>
            </w:r>
          </w:p>
        </w:tc>
      </w:tr>
      <w:tr w:rsidR="00365EBD" w:rsidRPr="001916BB" w14:paraId="54A40F18" w14:textId="77777777" w:rsidTr="000E43FF">
        <w:trPr>
          <w:trHeight w:val="283"/>
        </w:trPr>
        <w:tc>
          <w:tcPr>
            <w:cnfStyle w:val="001000000000" w:firstRow="0" w:lastRow="0" w:firstColumn="1" w:lastColumn="0" w:oddVBand="0" w:evenVBand="0" w:oddHBand="0" w:evenHBand="0" w:firstRowFirstColumn="0" w:firstRowLastColumn="0" w:lastRowFirstColumn="0" w:lastRowLastColumn="0"/>
            <w:tcW w:w="3020" w:type="dxa"/>
          </w:tcPr>
          <w:p w14:paraId="5198249C" w14:textId="63FB519F" w:rsidR="00365EBD" w:rsidRPr="001916BB" w:rsidRDefault="001B3B10" w:rsidP="008F00A5">
            <w:pPr>
              <w:spacing w:before="0" w:after="0"/>
              <w:rPr>
                <w:szCs w:val="20"/>
              </w:rPr>
            </w:pPr>
            <w:r>
              <w:rPr>
                <w:szCs w:val="20"/>
              </w:rPr>
              <w:t>N’fis (Lalla Takerkoust)</w:t>
            </w:r>
          </w:p>
        </w:tc>
        <w:tc>
          <w:tcPr>
            <w:tcW w:w="4205" w:type="dxa"/>
          </w:tcPr>
          <w:p w14:paraId="54C1593A" w14:textId="698143AD" w:rsidR="00365EBD" w:rsidRPr="001916BB" w:rsidRDefault="001B3B10" w:rsidP="008F00A5">
            <w:pPr>
              <w:spacing w:before="0" w:after="0"/>
              <w:cnfStyle w:val="000000000000" w:firstRow="0" w:lastRow="0" w:firstColumn="0" w:lastColumn="0" w:oddVBand="0" w:evenVBand="0" w:oddHBand="0" w:evenHBand="0" w:firstRowFirstColumn="0" w:firstRowLastColumn="0" w:lastRowFirstColumn="0" w:lastRowLastColumn="0"/>
              <w:rPr>
                <w:szCs w:val="20"/>
              </w:rPr>
            </w:pPr>
            <w:r>
              <w:rPr>
                <w:szCs w:val="20"/>
              </w:rPr>
              <w:t>190 – 200</w:t>
            </w:r>
          </w:p>
        </w:tc>
        <w:tc>
          <w:tcPr>
            <w:tcW w:w="1417" w:type="dxa"/>
          </w:tcPr>
          <w:p w14:paraId="1888D6C5" w14:textId="0BF80875" w:rsidR="00365EBD" w:rsidRPr="001916BB" w:rsidRDefault="001B3B10" w:rsidP="008F00A5">
            <w:pPr>
              <w:spacing w:before="0" w:after="0"/>
              <w:cnfStyle w:val="000000000000" w:firstRow="0" w:lastRow="0" w:firstColumn="0" w:lastColumn="0" w:oddVBand="0" w:evenVBand="0" w:oddHBand="0" w:evenHBand="0" w:firstRowFirstColumn="0" w:firstRowLastColumn="0" w:lastRowFirstColumn="0" w:lastRowLastColumn="0"/>
              <w:rPr>
                <w:szCs w:val="20"/>
              </w:rPr>
            </w:pPr>
            <w:r>
              <w:rPr>
                <w:szCs w:val="20"/>
              </w:rPr>
              <w:t>28</w:t>
            </w:r>
          </w:p>
        </w:tc>
      </w:tr>
      <w:tr w:rsidR="00365EBD" w:rsidRPr="001916BB" w14:paraId="71247920" w14:textId="77777777" w:rsidTr="000E43FF">
        <w:trPr>
          <w:trHeight w:val="340"/>
        </w:trPr>
        <w:tc>
          <w:tcPr>
            <w:cnfStyle w:val="001000000000" w:firstRow="0" w:lastRow="0" w:firstColumn="1" w:lastColumn="0" w:oddVBand="0" w:evenVBand="0" w:oddHBand="0" w:evenHBand="0" w:firstRowFirstColumn="0" w:firstRowLastColumn="0" w:lastRowFirstColumn="0" w:lastRowLastColumn="0"/>
            <w:tcW w:w="3020" w:type="dxa"/>
          </w:tcPr>
          <w:p w14:paraId="34E3E928" w14:textId="04AE7E3D" w:rsidR="00365EBD" w:rsidRPr="001916BB" w:rsidRDefault="001B3B10" w:rsidP="008F00A5">
            <w:pPr>
              <w:spacing w:before="0" w:after="0"/>
              <w:rPr>
                <w:szCs w:val="20"/>
              </w:rPr>
            </w:pPr>
            <w:r>
              <w:rPr>
                <w:szCs w:val="20"/>
              </w:rPr>
              <w:t>Ourika</w:t>
            </w:r>
          </w:p>
        </w:tc>
        <w:tc>
          <w:tcPr>
            <w:tcW w:w="4205" w:type="dxa"/>
          </w:tcPr>
          <w:p w14:paraId="26746A6A" w14:textId="0A0FDCC7" w:rsidR="00365EBD" w:rsidRPr="001916BB" w:rsidRDefault="001B3B10" w:rsidP="008F00A5">
            <w:pPr>
              <w:spacing w:before="0" w:after="0"/>
              <w:cnfStyle w:val="000000000000" w:firstRow="0" w:lastRow="0" w:firstColumn="0" w:lastColumn="0" w:oddVBand="0" w:evenVBand="0" w:oddHBand="0" w:evenHBand="0" w:firstRowFirstColumn="0" w:firstRowLastColumn="0" w:lastRowFirstColumn="0" w:lastRowLastColumn="0"/>
              <w:rPr>
                <w:szCs w:val="20"/>
              </w:rPr>
            </w:pPr>
            <w:r>
              <w:rPr>
                <w:szCs w:val="20"/>
              </w:rPr>
              <w:t>95 – 110</w:t>
            </w:r>
          </w:p>
        </w:tc>
        <w:tc>
          <w:tcPr>
            <w:tcW w:w="1417" w:type="dxa"/>
          </w:tcPr>
          <w:p w14:paraId="5B2337E7" w14:textId="4EE3467D" w:rsidR="00365EBD" w:rsidRPr="001916BB" w:rsidRDefault="00CF7C2E" w:rsidP="008F00A5">
            <w:pPr>
              <w:spacing w:before="0" w:after="0"/>
              <w:cnfStyle w:val="000000000000" w:firstRow="0" w:lastRow="0" w:firstColumn="0" w:lastColumn="0" w:oddVBand="0" w:evenVBand="0" w:oddHBand="0" w:evenHBand="0" w:firstRowFirstColumn="0" w:firstRowLastColumn="0" w:lastRowFirstColumn="0" w:lastRowLastColumn="0"/>
              <w:rPr>
                <w:szCs w:val="20"/>
              </w:rPr>
            </w:pPr>
            <w:r>
              <w:rPr>
                <w:szCs w:val="20"/>
              </w:rPr>
              <w:t>15</w:t>
            </w:r>
          </w:p>
        </w:tc>
      </w:tr>
      <w:tr w:rsidR="00365EBD" w:rsidRPr="001916BB" w14:paraId="342FF956" w14:textId="77777777" w:rsidTr="000E43FF">
        <w:trPr>
          <w:trHeight w:val="340"/>
        </w:trPr>
        <w:tc>
          <w:tcPr>
            <w:cnfStyle w:val="001000000000" w:firstRow="0" w:lastRow="0" w:firstColumn="1" w:lastColumn="0" w:oddVBand="0" w:evenVBand="0" w:oddHBand="0" w:evenHBand="0" w:firstRowFirstColumn="0" w:firstRowLastColumn="0" w:lastRowFirstColumn="0" w:lastRowLastColumn="0"/>
            <w:tcW w:w="3020" w:type="dxa"/>
          </w:tcPr>
          <w:p w14:paraId="1F47A328" w14:textId="4876B36C" w:rsidR="00365EBD" w:rsidRPr="001916BB" w:rsidRDefault="00CF7C2E" w:rsidP="008F00A5">
            <w:pPr>
              <w:spacing w:before="0" w:after="0"/>
              <w:rPr>
                <w:szCs w:val="20"/>
              </w:rPr>
            </w:pPr>
            <w:r>
              <w:rPr>
                <w:szCs w:val="20"/>
              </w:rPr>
              <w:t>Zat</w:t>
            </w:r>
          </w:p>
        </w:tc>
        <w:tc>
          <w:tcPr>
            <w:tcW w:w="4205" w:type="dxa"/>
          </w:tcPr>
          <w:p w14:paraId="1A4B09FA" w14:textId="761F3E21" w:rsidR="00365EBD" w:rsidRPr="001916BB" w:rsidRDefault="00580AA2" w:rsidP="008F00A5">
            <w:pPr>
              <w:spacing w:before="0" w:after="0"/>
              <w:cnfStyle w:val="000000000000" w:firstRow="0" w:lastRow="0" w:firstColumn="0" w:lastColumn="0" w:oddVBand="0" w:evenVBand="0" w:oddHBand="0" w:evenHBand="0" w:firstRowFirstColumn="0" w:firstRowLastColumn="0" w:lastRowFirstColumn="0" w:lastRowLastColumn="0"/>
              <w:rPr>
                <w:szCs w:val="20"/>
              </w:rPr>
            </w:pPr>
            <w:r>
              <w:rPr>
                <w:szCs w:val="20"/>
              </w:rPr>
              <w:t>75 – 90</w:t>
            </w:r>
          </w:p>
        </w:tc>
        <w:tc>
          <w:tcPr>
            <w:tcW w:w="1417" w:type="dxa"/>
          </w:tcPr>
          <w:p w14:paraId="4BCA8A7F" w14:textId="5D47DE4B" w:rsidR="00365EBD" w:rsidRPr="001916BB" w:rsidRDefault="001568B2" w:rsidP="008F00A5">
            <w:pPr>
              <w:spacing w:before="0" w:after="0"/>
              <w:cnfStyle w:val="000000000000" w:firstRow="0" w:lastRow="0" w:firstColumn="0" w:lastColumn="0" w:oddVBand="0" w:evenVBand="0" w:oddHBand="0" w:evenHBand="0" w:firstRowFirstColumn="0" w:firstRowLastColumn="0" w:lastRowFirstColumn="0" w:lastRowLastColumn="0"/>
              <w:rPr>
                <w:szCs w:val="20"/>
              </w:rPr>
            </w:pPr>
            <w:r>
              <w:rPr>
                <w:szCs w:val="20"/>
              </w:rPr>
              <w:t>12</w:t>
            </w:r>
          </w:p>
        </w:tc>
      </w:tr>
      <w:tr w:rsidR="00365EBD" w:rsidRPr="001916BB" w14:paraId="4C29AD8D" w14:textId="77777777" w:rsidTr="000E43FF">
        <w:trPr>
          <w:trHeight w:val="340"/>
        </w:trPr>
        <w:tc>
          <w:tcPr>
            <w:cnfStyle w:val="001000000000" w:firstRow="0" w:lastRow="0" w:firstColumn="1" w:lastColumn="0" w:oddVBand="0" w:evenVBand="0" w:oddHBand="0" w:evenHBand="0" w:firstRowFirstColumn="0" w:firstRowLastColumn="0" w:lastRowFirstColumn="0" w:lastRowLastColumn="0"/>
            <w:tcW w:w="3020" w:type="dxa"/>
          </w:tcPr>
          <w:p w14:paraId="2F7D31DC" w14:textId="75E71729" w:rsidR="00365EBD" w:rsidRPr="001916BB" w:rsidRDefault="00CF7C2E" w:rsidP="008F00A5">
            <w:pPr>
              <w:spacing w:before="0" w:after="0"/>
              <w:rPr>
                <w:szCs w:val="20"/>
              </w:rPr>
            </w:pPr>
            <w:r>
              <w:rPr>
                <w:szCs w:val="20"/>
              </w:rPr>
              <w:t>Rherhaya</w:t>
            </w:r>
          </w:p>
        </w:tc>
        <w:tc>
          <w:tcPr>
            <w:tcW w:w="4205" w:type="dxa"/>
          </w:tcPr>
          <w:p w14:paraId="70EE81B0" w14:textId="33DEFD58" w:rsidR="00365EBD" w:rsidRPr="001916BB" w:rsidRDefault="00580AA2" w:rsidP="008F00A5">
            <w:pPr>
              <w:spacing w:before="0" w:after="0"/>
              <w:cnfStyle w:val="000000000000" w:firstRow="0" w:lastRow="0" w:firstColumn="0" w:lastColumn="0" w:oddVBand="0" w:evenVBand="0" w:oddHBand="0" w:evenHBand="0" w:firstRowFirstColumn="0" w:firstRowLastColumn="0" w:lastRowFirstColumn="0" w:lastRowLastColumn="0"/>
              <w:rPr>
                <w:szCs w:val="20"/>
              </w:rPr>
            </w:pPr>
            <w:r>
              <w:rPr>
                <w:szCs w:val="20"/>
              </w:rPr>
              <w:t>70 – 85</w:t>
            </w:r>
          </w:p>
        </w:tc>
        <w:tc>
          <w:tcPr>
            <w:tcW w:w="1417" w:type="dxa"/>
          </w:tcPr>
          <w:p w14:paraId="08F222B2" w14:textId="5613501F" w:rsidR="00365EBD" w:rsidRPr="001916BB" w:rsidRDefault="00580AA2" w:rsidP="008F00A5">
            <w:pPr>
              <w:spacing w:before="0" w:after="0"/>
              <w:cnfStyle w:val="000000000000" w:firstRow="0" w:lastRow="0" w:firstColumn="0" w:lastColumn="0" w:oddVBand="0" w:evenVBand="0" w:oddHBand="0" w:evenHBand="0" w:firstRowFirstColumn="0" w:firstRowLastColumn="0" w:lastRowFirstColumn="0" w:lastRowLastColumn="0"/>
              <w:rPr>
                <w:szCs w:val="20"/>
              </w:rPr>
            </w:pPr>
            <w:r>
              <w:rPr>
                <w:szCs w:val="20"/>
              </w:rPr>
              <w:t>11</w:t>
            </w:r>
          </w:p>
        </w:tc>
      </w:tr>
      <w:tr w:rsidR="00365EBD" w:rsidRPr="001916BB" w14:paraId="753F4BF7" w14:textId="77777777" w:rsidTr="000E43FF">
        <w:trPr>
          <w:trHeight w:val="340"/>
        </w:trPr>
        <w:tc>
          <w:tcPr>
            <w:cnfStyle w:val="001000000000" w:firstRow="0" w:lastRow="0" w:firstColumn="1" w:lastColumn="0" w:oddVBand="0" w:evenVBand="0" w:oddHBand="0" w:evenHBand="0" w:firstRowFirstColumn="0" w:firstRowLastColumn="0" w:lastRowFirstColumn="0" w:lastRowLastColumn="0"/>
            <w:tcW w:w="3020" w:type="dxa"/>
          </w:tcPr>
          <w:p w14:paraId="75F3DE79" w14:textId="7841C878" w:rsidR="00365EBD" w:rsidRPr="001916BB" w:rsidRDefault="00CF7C2E" w:rsidP="008F00A5">
            <w:pPr>
              <w:spacing w:before="0" w:after="0"/>
              <w:rPr>
                <w:szCs w:val="20"/>
              </w:rPr>
            </w:pPr>
            <w:r>
              <w:rPr>
                <w:szCs w:val="20"/>
              </w:rPr>
              <w:t>Ghdat</w:t>
            </w:r>
          </w:p>
        </w:tc>
        <w:tc>
          <w:tcPr>
            <w:tcW w:w="4205" w:type="dxa"/>
          </w:tcPr>
          <w:p w14:paraId="27AAC983" w14:textId="4BF9C85A" w:rsidR="00365EBD" w:rsidRPr="001916BB" w:rsidRDefault="00580AA2" w:rsidP="008F00A5">
            <w:pPr>
              <w:spacing w:before="0" w:after="0"/>
              <w:cnfStyle w:val="000000000000" w:firstRow="0" w:lastRow="0" w:firstColumn="0" w:lastColumn="0" w:oddVBand="0" w:evenVBand="0" w:oddHBand="0" w:evenHBand="0" w:firstRowFirstColumn="0" w:firstRowLastColumn="0" w:lastRowFirstColumn="0" w:lastRowLastColumn="0"/>
              <w:rPr>
                <w:szCs w:val="20"/>
              </w:rPr>
            </w:pPr>
            <w:r>
              <w:rPr>
                <w:szCs w:val="20"/>
              </w:rPr>
              <w:t>55 – 65</w:t>
            </w:r>
          </w:p>
        </w:tc>
        <w:tc>
          <w:tcPr>
            <w:tcW w:w="1417" w:type="dxa"/>
          </w:tcPr>
          <w:p w14:paraId="5E015C50" w14:textId="23342B57" w:rsidR="00365EBD" w:rsidRPr="001916BB" w:rsidRDefault="00580AA2" w:rsidP="008F00A5">
            <w:pPr>
              <w:spacing w:before="0" w:after="0"/>
              <w:cnfStyle w:val="000000000000" w:firstRow="0" w:lastRow="0" w:firstColumn="0" w:lastColumn="0" w:oddVBand="0" w:evenVBand="0" w:oddHBand="0" w:evenHBand="0" w:firstRowFirstColumn="0" w:firstRowLastColumn="0" w:lastRowFirstColumn="0" w:lastRowLastColumn="0"/>
              <w:rPr>
                <w:szCs w:val="20"/>
              </w:rPr>
            </w:pPr>
            <w:r>
              <w:rPr>
                <w:szCs w:val="20"/>
              </w:rPr>
              <w:t>8</w:t>
            </w:r>
          </w:p>
        </w:tc>
      </w:tr>
      <w:tr w:rsidR="00365EBD" w:rsidRPr="001916BB" w14:paraId="559113D3" w14:textId="77777777" w:rsidTr="000E43FF">
        <w:trPr>
          <w:trHeight w:val="340"/>
        </w:trPr>
        <w:tc>
          <w:tcPr>
            <w:cnfStyle w:val="001000000000" w:firstRow="0" w:lastRow="0" w:firstColumn="1" w:lastColumn="0" w:oddVBand="0" w:evenVBand="0" w:oddHBand="0" w:evenHBand="0" w:firstRowFirstColumn="0" w:firstRowLastColumn="0" w:lastRowFirstColumn="0" w:lastRowLastColumn="0"/>
            <w:tcW w:w="3020" w:type="dxa"/>
          </w:tcPr>
          <w:p w14:paraId="185239F2" w14:textId="3061305B" w:rsidR="00365EBD" w:rsidRPr="001916BB" w:rsidRDefault="00CF7C2E" w:rsidP="008F00A5">
            <w:pPr>
              <w:spacing w:before="0" w:after="0"/>
              <w:rPr>
                <w:szCs w:val="20"/>
              </w:rPr>
            </w:pPr>
            <w:r>
              <w:rPr>
                <w:szCs w:val="20"/>
              </w:rPr>
              <w:t>Tensift Aval &amp; Plaine du Haouz</w:t>
            </w:r>
          </w:p>
        </w:tc>
        <w:tc>
          <w:tcPr>
            <w:tcW w:w="4205" w:type="dxa"/>
          </w:tcPr>
          <w:p w14:paraId="2585AC18" w14:textId="48E83E1E" w:rsidR="00365EBD" w:rsidRPr="001916BB" w:rsidRDefault="00580AA2" w:rsidP="008F00A5">
            <w:pPr>
              <w:spacing w:before="0" w:after="0"/>
              <w:cnfStyle w:val="000000000000" w:firstRow="0" w:lastRow="0" w:firstColumn="0" w:lastColumn="0" w:oddVBand="0" w:evenVBand="0" w:oddHBand="0" w:evenHBand="0" w:firstRowFirstColumn="0" w:firstRowLastColumn="0" w:lastRowFirstColumn="0" w:lastRowLastColumn="0"/>
              <w:rPr>
                <w:szCs w:val="20"/>
              </w:rPr>
            </w:pPr>
            <w:r>
              <w:rPr>
                <w:szCs w:val="20"/>
              </w:rPr>
              <w:t>60 – 75</w:t>
            </w:r>
          </w:p>
        </w:tc>
        <w:tc>
          <w:tcPr>
            <w:tcW w:w="1417" w:type="dxa"/>
          </w:tcPr>
          <w:p w14:paraId="1427CA85" w14:textId="7B231921" w:rsidR="00365EBD" w:rsidRPr="001916BB" w:rsidRDefault="00580AA2" w:rsidP="008F00A5">
            <w:pPr>
              <w:spacing w:before="0" w:after="0"/>
              <w:cnfStyle w:val="000000000000" w:firstRow="0" w:lastRow="0" w:firstColumn="0" w:lastColumn="0" w:oddVBand="0" w:evenVBand="0" w:oddHBand="0" w:evenHBand="0" w:firstRowFirstColumn="0" w:firstRowLastColumn="0" w:lastRowFirstColumn="0" w:lastRowLastColumn="0"/>
              <w:rPr>
                <w:szCs w:val="20"/>
              </w:rPr>
            </w:pPr>
            <w:r>
              <w:rPr>
                <w:szCs w:val="20"/>
              </w:rPr>
              <w:t>9</w:t>
            </w:r>
          </w:p>
        </w:tc>
      </w:tr>
      <w:tr w:rsidR="00CF7C2E" w:rsidRPr="001916BB" w14:paraId="7672CA73" w14:textId="77777777" w:rsidTr="000E43FF">
        <w:trPr>
          <w:trHeight w:val="340"/>
        </w:trPr>
        <w:tc>
          <w:tcPr>
            <w:cnfStyle w:val="001000000000" w:firstRow="0" w:lastRow="0" w:firstColumn="1" w:lastColumn="0" w:oddVBand="0" w:evenVBand="0" w:oddHBand="0" w:evenHBand="0" w:firstRowFirstColumn="0" w:firstRowLastColumn="0" w:lastRowFirstColumn="0" w:lastRowLastColumn="0"/>
            <w:tcW w:w="3020" w:type="dxa"/>
          </w:tcPr>
          <w:p w14:paraId="067D37BF" w14:textId="7382A233" w:rsidR="00CF7C2E" w:rsidRDefault="00CF7C2E" w:rsidP="008F00A5">
            <w:pPr>
              <w:spacing w:before="0" w:after="0"/>
              <w:rPr>
                <w:szCs w:val="20"/>
              </w:rPr>
            </w:pPr>
            <w:r>
              <w:rPr>
                <w:szCs w:val="20"/>
              </w:rPr>
              <w:t>Chichaoua – Rehamna</w:t>
            </w:r>
          </w:p>
        </w:tc>
        <w:tc>
          <w:tcPr>
            <w:tcW w:w="4205" w:type="dxa"/>
          </w:tcPr>
          <w:p w14:paraId="0CD046F9" w14:textId="4B9F6BD0" w:rsidR="00CF7C2E" w:rsidRPr="001916BB" w:rsidRDefault="00580AA2" w:rsidP="008F00A5">
            <w:pPr>
              <w:spacing w:before="0" w:after="0"/>
              <w:cnfStyle w:val="000000000000" w:firstRow="0" w:lastRow="0" w:firstColumn="0" w:lastColumn="0" w:oddVBand="0" w:evenVBand="0" w:oddHBand="0" w:evenHBand="0" w:firstRowFirstColumn="0" w:firstRowLastColumn="0" w:lastRowFirstColumn="0" w:lastRowLastColumn="0"/>
              <w:rPr>
                <w:szCs w:val="20"/>
              </w:rPr>
            </w:pPr>
            <w:r>
              <w:rPr>
                <w:szCs w:val="20"/>
              </w:rPr>
              <w:t>60 – 75</w:t>
            </w:r>
          </w:p>
        </w:tc>
        <w:tc>
          <w:tcPr>
            <w:tcW w:w="1417" w:type="dxa"/>
          </w:tcPr>
          <w:p w14:paraId="2D3F74DB" w14:textId="56CB2BE5" w:rsidR="00CF7C2E" w:rsidRPr="001916BB" w:rsidRDefault="00580AA2" w:rsidP="008F00A5">
            <w:pPr>
              <w:spacing w:before="0" w:after="0"/>
              <w:cnfStyle w:val="000000000000" w:firstRow="0" w:lastRow="0" w:firstColumn="0" w:lastColumn="0" w:oddVBand="0" w:evenVBand="0" w:oddHBand="0" w:evenHBand="0" w:firstRowFirstColumn="0" w:firstRowLastColumn="0" w:lastRowFirstColumn="0" w:lastRowLastColumn="0"/>
              <w:rPr>
                <w:szCs w:val="20"/>
              </w:rPr>
            </w:pPr>
            <w:r>
              <w:rPr>
                <w:szCs w:val="20"/>
              </w:rPr>
              <w:t>10</w:t>
            </w:r>
          </w:p>
        </w:tc>
      </w:tr>
    </w:tbl>
    <w:p w14:paraId="5A4B7DB6" w14:textId="60CCF646" w:rsidR="005872A2" w:rsidRPr="00F13428" w:rsidRDefault="00FB7E8E" w:rsidP="00F13428">
      <w:pPr>
        <w:spacing w:before="0" w:after="0"/>
        <w:rPr>
          <w:i/>
          <w:iCs/>
          <w:sz w:val="20"/>
          <w:szCs w:val="20"/>
        </w:rPr>
        <w:sectPr w:rsidR="005872A2" w:rsidRPr="00F13428" w:rsidSect="00AF332D">
          <w:headerReference w:type="default" r:id="rId58"/>
          <w:footerReference w:type="default" r:id="rId59"/>
          <w:pgSz w:w="11906" w:h="16838"/>
          <w:pgMar w:top="1417" w:right="1417" w:bottom="1276" w:left="1417" w:header="680" w:footer="680" w:gutter="0"/>
          <w:cols w:space="708"/>
          <w:docGrid w:linePitch="360"/>
        </w:sectPr>
      </w:pPr>
      <w:r w:rsidRPr="00C300C6">
        <w:rPr>
          <w:i/>
          <w:iCs/>
          <w:sz w:val="20"/>
          <w:szCs w:val="20"/>
        </w:rPr>
        <w:t>Source :</w:t>
      </w:r>
      <w:r w:rsidR="002974D2" w:rsidRPr="00C300C6">
        <w:rPr>
          <w:i/>
          <w:iCs/>
          <w:sz w:val="20"/>
          <w:szCs w:val="20"/>
        </w:rPr>
        <w:t xml:space="preserve"> Agence du bassin hydraulique d</w:t>
      </w:r>
      <w:r w:rsidR="001B3B10">
        <w:rPr>
          <w:i/>
          <w:iCs/>
          <w:sz w:val="20"/>
          <w:szCs w:val="20"/>
        </w:rPr>
        <w:t>e Tensift</w:t>
      </w:r>
    </w:p>
    <w:p w14:paraId="54B4B3BC" w14:textId="77777777" w:rsidR="00C300C6" w:rsidRDefault="00C300C6" w:rsidP="00C300C6">
      <w:pPr>
        <w:jc w:val="center"/>
        <w:rPr>
          <w:b/>
          <w:bCs/>
          <w:sz w:val="20"/>
          <w:szCs w:val="20"/>
        </w:rPr>
      </w:pPr>
    </w:p>
    <w:p w14:paraId="2B2BA6BB" w14:textId="21A3BE60" w:rsidR="00C300C6" w:rsidRDefault="009A6CF1" w:rsidP="000E43FF">
      <w:pPr>
        <w:spacing w:after="0"/>
        <w:jc w:val="center"/>
        <w:rPr>
          <w:b/>
          <w:bCs/>
          <w:sz w:val="20"/>
          <w:szCs w:val="20"/>
        </w:rPr>
      </w:pPr>
      <w:r>
        <w:rPr>
          <w:noProof/>
          <w:lang w:eastAsia="fr-FR" w:bidi="ar-SA"/>
        </w:rPr>
        <w:drawing>
          <wp:inline distT="0" distB="0" distL="0" distR="0" wp14:anchorId="21CB366E" wp14:editId="0BF3CD5E">
            <wp:extent cx="7181150" cy="5081372"/>
            <wp:effectExtent l="19050" t="19050" r="20320" b="24130"/>
            <wp:docPr id="1526306205" name="Image 10" descr="Une image contenant texte, diagramme, cercle, lign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6306205" name="Image 10" descr="Une image contenant texte, diagramme, cercle, ligne&#10;&#10;Description générée automatiquement"/>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7189868" cy="5087541"/>
                    </a:xfrm>
                    <a:prstGeom prst="rect">
                      <a:avLst/>
                    </a:prstGeom>
                    <a:noFill/>
                    <a:ln>
                      <a:solidFill>
                        <a:schemeClr val="tx1">
                          <a:lumMod val="50000"/>
                          <a:lumOff val="50000"/>
                        </a:schemeClr>
                      </a:solidFill>
                    </a:ln>
                  </pic:spPr>
                </pic:pic>
              </a:graphicData>
            </a:graphic>
          </wp:inline>
        </w:drawing>
      </w:r>
    </w:p>
    <w:p w14:paraId="1D2294A6" w14:textId="24E0A95A" w:rsidR="00C300C6" w:rsidRPr="002A0860" w:rsidRDefault="001916BB" w:rsidP="001916BB">
      <w:pPr>
        <w:pStyle w:val="Lgende"/>
        <w:rPr>
          <w:b w:val="0"/>
          <w:bCs w:val="0"/>
          <w:lang w:val="fr-FR"/>
        </w:rPr>
        <w:sectPr w:rsidR="00C300C6" w:rsidRPr="002A0860" w:rsidSect="00C300C6">
          <w:headerReference w:type="default" r:id="rId61"/>
          <w:footerReference w:type="default" r:id="rId62"/>
          <w:pgSz w:w="16838" w:h="11906" w:orient="landscape"/>
          <w:pgMar w:top="1418" w:right="1418" w:bottom="1418" w:left="1276" w:header="567" w:footer="510" w:gutter="0"/>
          <w:cols w:space="708"/>
          <w:docGrid w:linePitch="360"/>
        </w:sectPr>
      </w:pPr>
      <w:bookmarkStart w:id="281" w:name="_Toc213404417"/>
      <w:r w:rsidRPr="000E43FF">
        <w:rPr>
          <w:lang w:val="fr-FR"/>
        </w:rPr>
        <w:t xml:space="preserve">Figure </w:t>
      </w:r>
      <w:r w:rsidRPr="000E43FF">
        <w:fldChar w:fldCharType="begin"/>
      </w:r>
      <w:r w:rsidRPr="000E43FF">
        <w:rPr>
          <w:lang w:val="fr-FR"/>
        </w:rPr>
        <w:instrText xml:space="preserve"> SEQ Figure \* ARABIC </w:instrText>
      </w:r>
      <w:r w:rsidRPr="000E43FF">
        <w:fldChar w:fldCharType="separate"/>
      </w:r>
      <w:r w:rsidR="00B976BF">
        <w:rPr>
          <w:noProof/>
          <w:lang w:val="fr-FR"/>
        </w:rPr>
        <w:t>15</w:t>
      </w:r>
      <w:r w:rsidRPr="000E43FF">
        <w:fldChar w:fldCharType="end"/>
      </w:r>
      <w:r w:rsidRPr="000E43FF">
        <w:rPr>
          <w:noProof/>
          <w:lang w:val="fr-FR"/>
        </w:rPr>
        <w:t xml:space="preserve">: </w:t>
      </w:r>
      <w:r w:rsidR="00C300C6" w:rsidRPr="000E43FF">
        <w:rPr>
          <w:lang w:val="fr-FR"/>
        </w:rPr>
        <w:t>Carte du réseau hydrographique de la zone d’étude</w:t>
      </w:r>
      <w:bookmarkEnd w:id="281"/>
    </w:p>
    <w:p w14:paraId="7B10797F" w14:textId="565A124C" w:rsidR="00365EBD" w:rsidRDefault="009D7CF0" w:rsidP="006123FE">
      <w:pPr>
        <w:pStyle w:val="Title3"/>
      </w:pPr>
      <w:bookmarkStart w:id="282" w:name="_Toc181619010"/>
      <w:bookmarkStart w:id="283" w:name="_Hlk210209992"/>
      <w:bookmarkStart w:id="284" w:name="_Toc215131846"/>
      <w:bookmarkEnd w:id="278"/>
      <w:r>
        <w:lastRenderedPageBreak/>
        <w:t>Cadre hydrogéologique</w:t>
      </w:r>
      <w:bookmarkEnd w:id="282"/>
      <w:bookmarkEnd w:id="284"/>
      <w:r>
        <w:t xml:space="preserve"> </w:t>
      </w:r>
    </w:p>
    <w:p w14:paraId="074E1BA0" w14:textId="77777777" w:rsidR="00F12029" w:rsidRPr="0036249B" w:rsidRDefault="00F12029" w:rsidP="00F12029">
      <w:pPr>
        <w:spacing w:before="240"/>
      </w:pPr>
      <w:r w:rsidRPr="0036249B">
        <w:t>L’inégale répartition géographique de la pluviométrie et des eaux de surface d’une part, et la géologie caractérisée par la présence de structures très diversifiées dans la zone d’action de l’ABHT d’autre part, sont à l’origine de l’inégale répartition géographique des eaux souterraines (Sahili. E, 1996). Les unités hydrogéologiques, d’extension notable, sont comprises dans la couverture sédimentaire qui s’étend sous les zones de plaines et de plateaux. Les principales nappes sont celles du Haouz, du Mejjat, de la Bahira et du bassin d’Essaouira-Kourimate.</w:t>
      </w:r>
    </w:p>
    <w:p w14:paraId="5A866C44" w14:textId="77777777" w:rsidR="00F12029" w:rsidRPr="0036249B" w:rsidRDefault="00F12029" w:rsidP="00F12029">
      <w:pPr>
        <w:spacing w:before="240"/>
      </w:pPr>
      <w:r w:rsidRPr="0036249B">
        <w:t xml:space="preserve">Les réservoirs d’eau souterraine dans lesquels s’accumulent ou transitent les eaux pluviales infiltrées sont d’extension inégale. Les plus importants sont : </w:t>
      </w:r>
    </w:p>
    <w:p w14:paraId="71F44DCF" w14:textId="77777777" w:rsidR="00F12029" w:rsidRPr="0036249B" w:rsidRDefault="00F12029" w:rsidP="00F12029">
      <w:pPr>
        <w:pStyle w:val="Style1"/>
        <w:spacing w:line="240" w:lineRule="auto"/>
      </w:pPr>
      <w:r w:rsidRPr="0036249B">
        <w:t>La nappe du Haouz qui s’étend d’Est en Ouest entre les deux reliefs de l’Atlas au sud et des Jbilet au nord sur une superficie d’environ 4</w:t>
      </w:r>
      <w:r>
        <w:t xml:space="preserve"> </w:t>
      </w:r>
      <w:r w:rsidRPr="0036249B">
        <w:t>500 Km</w:t>
      </w:r>
      <w:r w:rsidRPr="000F158B">
        <w:rPr>
          <w:vertAlign w:val="superscript"/>
        </w:rPr>
        <w:t>2</w:t>
      </w:r>
      <w:r w:rsidRPr="0036249B">
        <w:t xml:space="preserve"> ;</w:t>
      </w:r>
    </w:p>
    <w:p w14:paraId="4459E7A0" w14:textId="77777777" w:rsidR="00F12029" w:rsidRPr="0036249B" w:rsidRDefault="00F12029" w:rsidP="00F12029">
      <w:pPr>
        <w:pStyle w:val="Style1"/>
        <w:spacing w:line="240" w:lineRule="auto"/>
      </w:pPr>
      <w:r w:rsidRPr="0036249B">
        <w:t>La nappe de Mejjate est limitée au Nord par l’oued Tensift et au Sud par le haut Atlas. Elle s’étend sur une superficie de 750 km</w:t>
      </w:r>
      <w:r w:rsidRPr="000F158B">
        <w:rPr>
          <w:vertAlign w:val="superscript"/>
        </w:rPr>
        <w:t>2</w:t>
      </w:r>
      <w:r w:rsidRPr="0036249B">
        <w:t xml:space="preserve"> ; </w:t>
      </w:r>
    </w:p>
    <w:p w14:paraId="4817AE7B" w14:textId="77777777" w:rsidR="00F12029" w:rsidRPr="0036249B" w:rsidRDefault="00F12029" w:rsidP="00F12029">
      <w:pPr>
        <w:pStyle w:val="Style1"/>
        <w:spacing w:line="240" w:lineRule="auto"/>
      </w:pPr>
      <w:r w:rsidRPr="0036249B">
        <w:t>La nappe d’Oulad Bou Sbaâ qui s’étend sur une superficie de 1</w:t>
      </w:r>
      <w:r>
        <w:t xml:space="preserve"> </w:t>
      </w:r>
      <w:r w:rsidRPr="0036249B">
        <w:t>200 Km</w:t>
      </w:r>
      <w:r w:rsidRPr="000F158B">
        <w:rPr>
          <w:vertAlign w:val="superscript"/>
        </w:rPr>
        <w:t>2</w:t>
      </w:r>
      <w:r w:rsidRPr="0036249B">
        <w:t xml:space="preserve"> constitue la continuité hydraulique du bassin de Meskala Kourimate ; </w:t>
      </w:r>
    </w:p>
    <w:p w14:paraId="4C922BC1" w14:textId="77777777" w:rsidR="00C82B27" w:rsidRDefault="00F12029" w:rsidP="00F12029">
      <w:pPr>
        <w:spacing w:after="240"/>
        <w:rPr>
          <w:vertAlign w:val="superscript"/>
        </w:rPr>
      </w:pPr>
      <w:r w:rsidRPr="0036249B">
        <w:t>La nappe de la Bahira qui s’insère entre les massifs des Jbilet au sud et les plateaux des Reh</w:t>
      </w:r>
      <w:r>
        <w:t>a</w:t>
      </w:r>
      <w:r w:rsidRPr="0036249B">
        <w:t>mna et des Gantour au nord et s’étend sur une superficie d’environ 3</w:t>
      </w:r>
      <w:r>
        <w:t xml:space="preserve"> </w:t>
      </w:r>
      <w:r w:rsidRPr="0036249B">
        <w:t>600 Km</w:t>
      </w:r>
      <w:r w:rsidRPr="000F158B">
        <w:rPr>
          <w:vertAlign w:val="superscript"/>
        </w:rPr>
        <w:t>2</w:t>
      </w:r>
    </w:p>
    <w:p w14:paraId="452BC78C" w14:textId="77777777" w:rsidR="00E52B4C" w:rsidRDefault="00E52B4C" w:rsidP="00E52B4C">
      <w:pPr>
        <w:keepNext/>
        <w:spacing w:after="240"/>
        <w:jc w:val="center"/>
      </w:pPr>
      <w:r w:rsidRPr="0036249B">
        <w:rPr>
          <w:noProof/>
          <w:lang w:eastAsia="fr-FR" w:bidi="ar-SA"/>
        </w:rPr>
        <w:drawing>
          <wp:inline distT="0" distB="0" distL="0" distR="0" wp14:anchorId="51A84ADE" wp14:editId="404D0CA0">
            <wp:extent cx="5495925" cy="3806549"/>
            <wp:effectExtent l="19050" t="19050" r="9525" b="22860"/>
            <wp:docPr id="240292422" name="Image 1" descr="Une image contenant texte, carte, diagramme, atlas&#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0292422" name="Image 1" descr="Une image contenant texte, carte, diagramme, atlas&#10;&#10;Description générée automatiquement"/>
                    <pic:cNvPicPr/>
                  </pic:nvPicPr>
                  <pic:blipFill>
                    <a:blip r:embed="rId63"/>
                    <a:stretch>
                      <a:fillRect/>
                    </a:stretch>
                  </pic:blipFill>
                  <pic:spPr>
                    <a:xfrm>
                      <a:off x="0" y="0"/>
                      <a:ext cx="5499671" cy="3809143"/>
                    </a:xfrm>
                    <a:prstGeom prst="rect">
                      <a:avLst/>
                    </a:prstGeom>
                    <a:ln>
                      <a:solidFill>
                        <a:schemeClr val="tx1">
                          <a:lumMod val="50000"/>
                          <a:lumOff val="50000"/>
                        </a:schemeClr>
                      </a:solidFill>
                    </a:ln>
                  </pic:spPr>
                </pic:pic>
              </a:graphicData>
            </a:graphic>
          </wp:inline>
        </w:drawing>
      </w:r>
    </w:p>
    <w:p w14:paraId="7577766D" w14:textId="178E99D5" w:rsidR="00F12029" w:rsidRDefault="00E52B4C" w:rsidP="00E52B4C">
      <w:pPr>
        <w:pStyle w:val="Lgende"/>
        <w:rPr>
          <w:noProof/>
          <w:lang w:val="fr-FR"/>
        </w:rPr>
      </w:pPr>
      <w:bookmarkStart w:id="285" w:name="_Toc213404418"/>
      <w:r>
        <w:t xml:space="preserve">Figure </w:t>
      </w:r>
      <w:r>
        <w:fldChar w:fldCharType="begin"/>
      </w:r>
      <w:r>
        <w:instrText xml:space="preserve"> SEQ Figure \* ARABIC </w:instrText>
      </w:r>
      <w:r>
        <w:fldChar w:fldCharType="separate"/>
      </w:r>
      <w:r w:rsidR="00B976BF">
        <w:rPr>
          <w:noProof/>
        </w:rPr>
        <w:t>16</w:t>
      </w:r>
      <w:r>
        <w:fldChar w:fldCharType="end"/>
      </w:r>
      <w:r>
        <w:rPr>
          <w:noProof/>
        </w:rPr>
        <w:t xml:space="preserve"> </w:t>
      </w:r>
      <w:r>
        <w:rPr>
          <w:noProof/>
          <w:lang w:val="fr-FR"/>
        </w:rPr>
        <w:t>: Carte de principales nappes de la zone d'action de l'ABTH</w:t>
      </w:r>
      <w:bookmarkEnd w:id="285"/>
    </w:p>
    <w:p w14:paraId="4BA08034" w14:textId="77777777" w:rsidR="00052C54" w:rsidRPr="001E1F0C" w:rsidRDefault="00052C54" w:rsidP="0001633E">
      <w:pPr>
        <w:pStyle w:val="Paragraphedeliste"/>
        <w:numPr>
          <w:ilvl w:val="0"/>
          <w:numId w:val="195"/>
        </w:numPr>
        <w:spacing w:line="240" w:lineRule="auto"/>
        <w:ind w:left="360"/>
        <w:rPr>
          <w:rFonts w:asciiTheme="minorHAnsi" w:hAnsiTheme="minorHAnsi" w:cstheme="minorHAnsi"/>
          <w:lang w:eastAsia="fr-FR"/>
        </w:rPr>
      </w:pPr>
      <w:r w:rsidRPr="001E1F0C">
        <w:rPr>
          <w:rFonts w:asciiTheme="minorHAnsi" w:hAnsiTheme="minorHAnsi" w:cstheme="minorHAnsi"/>
          <w:lang w:eastAsia="fr-FR"/>
        </w:rPr>
        <w:t>La zone d’étude est située sur la nappe d’Al Haouz.</w:t>
      </w:r>
    </w:p>
    <w:p w14:paraId="676336EF" w14:textId="77777777" w:rsidR="00052C54" w:rsidRPr="0029055F" w:rsidRDefault="00052C54" w:rsidP="00052C54">
      <w:pPr>
        <w:rPr>
          <w:lang w:eastAsia="fr-FR"/>
        </w:rPr>
      </w:pPr>
      <w:r w:rsidRPr="0029055F">
        <w:rPr>
          <w:b/>
          <w:bCs/>
          <w:lang w:eastAsia="fr-FR"/>
        </w:rPr>
        <w:lastRenderedPageBreak/>
        <w:t>La nappe du Haouz</w:t>
      </w:r>
      <w:r w:rsidRPr="0029055F">
        <w:rPr>
          <w:lang w:eastAsia="fr-FR"/>
        </w:rPr>
        <w:t xml:space="preserve"> s’étendant sur une superficie d’environ 6</w:t>
      </w:r>
      <w:r>
        <w:rPr>
          <w:lang w:eastAsia="fr-FR"/>
        </w:rPr>
        <w:t xml:space="preserve"> </w:t>
      </w:r>
      <w:r w:rsidRPr="0029055F">
        <w:rPr>
          <w:lang w:eastAsia="fr-FR"/>
        </w:rPr>
        <w:t>000 km</w:t>
      </w:r>
      <w:r w:rsidRPr="0029055F">
        <w:rPr>
          <w:vertAlign w:val="superscript"/>
          <w:lang w:eastAsia="fr-FR"/>
        </w:rPr>
        <w:t>2</w:t>
      </w:r>
      <w:r w:rsidRPr="0029055F">
        <w:rPr>
          <w:lang w:eastAsia="fr-FR"/>
        </w:rPr>
        <w:t>, est limitée par la chaîne du Haut Atlas au Sud, les chaînons des Jbilet au Nord, les premiers versants du moyen Atlas à l’Est et La province de Chichaoua à l’Ouest, Elle est allongée en direction Est-Ouest et sa longueur moyenne est de 40 Km.</w:t>
      </w:r>
    </w:p>
    <w:p w14:paraId="643F6C2D" w14:textId="77777777" w:rsidR="00052C54" w:rsidRPr="0029055F" w:rsidRDefault="00052C54" w:rsidP="00052C54">
      <w:pPr>
        <w:rPr>
          <w:lang w:eastAsia="fr-FR"/>
        </w:rPr>
      </w:pPr>
      <w:r w:rsidRPr="0029055F">
        <w:rPr>
          <w:lang w:eastAsia="fr-FR"/>
        </w:rPr>
        <w:t xml:space="preserve">La nappe du Haouz circule dans les alluvions plio-quaternaires et les formations du néogène d’une puissance variable entre 50 et 80 m et pouvant atteindre localement 120 m. L’alimentation de la nappe du Haouz est assurée par l’infiltration des eaux de crues des oueds atlasiques traversant la plaine et par le retour des eaux d’irrigation. L’écoulement général de la nappe se fait du Sud vers le Nord, pour être drainée par l’oued Tensift. (Sahili. E, 1996). </w:t>
      </w:r>
    </w:p>
    <w:p w14:paraId="7025F620" w14:textId="77777777" w:rsidR="00052C54" w:rsidRPr="0029055F" w:rsidRDefault="00052C54" w:rsidP="00052C54">
      <w:pPr>
        <w:rPr>
          <w:lang w:eastAsia="fr-FR"/>
        </w:rPr>
      </w:pPr>
      <w:r w:rsidRPr="0029055F">
        <w:rPr>
          <w:lang w:eastAsia="fr-FR"/>
        </w:rPr>
        <w:t>La percolation directe des eaux de pluie peut, en raison de la faible pluviométrie étudie l'imperméabilité des terrains limoneux, être tenue comme négligeable. L'alimentation de la nappe provident plutôt du sous-écoulement des oueds (1440 l/s) et de l'infiltration des eaux lors des crues le long des lits (6300 l/s). Ainsi La nappe s'écoule du Sud vers le Nord au Sud de Marrakech, puis de l'Est vers l'Ouest au Nord de Marrakech, selon l'axe de l'oued Tensift. Les terrains sont moyennement transmissibles hydrauliquement (T= 6.10-</w:t>
      </w:r>
      <w:r w:rsidRPr="0029055F">
        <w:rPr>
          <w:vertAlign w:val="superscript"/>
          <w:lang w:eastAsia="fr-FR"/>
        </w:rPr>
        <w:t>3</w:t>
      </w:r>
      <w:r w:rsidRPr="0029055F">
        <w:rPr>
          <w:lang w:eastAsia="fr-FR"/>
        </w:rPr>
        <w:t xml:space="preserve"> m</w:t>
      </w:r>
      <w:r w:rsidRPr="0029055F">
        <w:rPr>
          <w:vertAlign w:val="superscript"/>
          <w:lang w:eastAsia="fr-FR"/>
        </w:rPr>
        <w:t>2</w:t>
      </w:r>
      <w:r w:rsidRPr="0029055F">
        <w:rPr>
          <w:lang w:eastAsia="fr-FR"/>
        </w:rPr>
        <w:t>/s).</w:t>
      </w:r>
    </w:p>
    <w:p w14:paraId="7B602C85" w14:textId="77777777" w:rsidR="00052C54" w:rsidRDefault="00052C54" w:rsidP="00052C54">
      <w:pPr>
        <w:rPr>
          <w:lang w:eastAsia="fr-FR"/>
        </w:rPr>
      </w:pPr>
      <w:r w:rsidRPr="0029055F">
        <w:rPr>
          <w:lang w:eastAsia="fr-FR"/>
        </w:rPr>
        <w:t>L’exploitation de la nappe se fait par puits et par forages, provoquant sa surexploitation de la nappe, ceci entraine une baisse croissante pouvant atteindre, en moyenne, près de 2m/an. Les joues les plus déprimées sont celles situées dans le secteur du N’fis, Loudaya et Sid Zouine. L’étude de gestion des principales nappes de la région hydraulique du Tensift effectuées par l’ABHT en 2005 (ABHT, 2005), montre par modèle que la nappe du Haouz connaît un déficit important de l’ordre de 170 Mm</w:t>
      </w:r>
      <w:r w:rsidRPr="0029055F">
        <w:rPr>
          <w:vertAlign w:val="superscript"/>
          <w:lang w:eastAsia="fr-FR"/>
        </w:rPr>
        <w:t>3</w:t>
      </w:r>
      <w:r w:rsidRPr="0029055F">
        <w:rPr>
          <w:lang w:eastAsia="fr-FR"/>
        </w:rPr>
        <w:t>.</w:t>
      </w:r>
    </w:p>
    <w:p w14:paraId="3398F71C" w14:textId="77777777" w:rsidR="00052C54" w:rsidRDefault="00052C54" w:rsidP="00052C54">
      <w:pPr>
        <w:spacing w:after="240"/>
      </w:pPr>
      <w:r>
        <w:t>La figure suivante montre la répartition des nappes aux alentours de la zone d’étude :</w:t>
      </w:r>
    </w:p>
    <w:p w14:paraId="1C956A90" w14:textId="77777777" w:rsidR="00E52B4C" w:rsidRPr="00E52B4C" w:rsidRDefault="00E52B4C" w:rsidP="00E52B4C">
      <w:pPr>
        <w:rPr>
          <w:lang w:eastAsia="fr-FR" w:bidi="ar-SA"/>
        </w:rPr>
      </w:pPr>
    </w:p>
    <w:p w14:paraId="0DFD9224" w14:textId="3D8D0087" w:rsidR="00F12029" w:rsidRDefault="00F12029" w:rsidP="00F12029">
      <w:pPr>
        <w:spacing w:after="240"/>
        <w:sectPr w:rsidR="00F12029" w:rsidSect="00AF332D">
          <w:headerReference w:type="default" r:id="rId64"/>
          <w:footerReference w:type="default" r:id="rId65"/>
          <w:pgSz w:w="11906" w:h="16838"/>
          <w:pgMar w:top="1417" w:right="1417" w:bottom="1276" w:left="1417" w:header="680" w:footer="680" w:gutter="0"/>
          <w:cols w:space="708"/>
          <w:docGrid w:linePitch="360"/>
        </w:sectPr>
      </w:pPr>
    </w:p>
    <w:p w14:paraId="629E4EFE" w14:textId="2DC086FF" w:rsidR="00750710" w:rsidRDefault="00906AD2" w:rsidP="000E43FF">
      <w:pPr>
        <w:jc w:val="center"/>
        <w:rPr>
          <w:b/>
          <w:bCs/>
          <w:sz w:val="20"/>
          <w:szCs w:val="20"/>
        </w:rPr>
      </w:pPr>
      <w:r>
        <w:rPr>
          <w:noProof/>
          <w:lang w:eastAsia="fr-FR" w:bidi="ar-SA"/>
        </w:rPr>
        <w:lastRenderedPageBreak/>
        <w:drawing>
          <wp:inline distT="0" distB="0" distL="0" distR="0" wp14:anchorId="4E07AE37" wp14:editId="17B35C0F">
            <wp:extent cx="7134225" cy="5048169"/>
            <wp:effectExtent l="19050" t="19050" r="9525" b="19685"/>
            <wp:docPr id="1785662168" name="Image 11" descr="Une image contenant texte, diagramme, capture d’écran, cercl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5662168" name="Image 11" descr="Une image contenant texte, diagramme, capture d’écran, cercle&#10;&#10;Description générée automatiquement"/>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7144748" cy="5055615"/>
                    </a:xfrm>
                    <a:prstGeom prst="rect">
                      <a:avLst/>
                    </a:prstGeom>
                    <a:noFill/>
                    <a:ln>
                      <a:solidFill>
                        <a:schemeClr val="tx1">
                          <a:lumMod val="50000"/>
                          <a:lumOff val="50000"/>
                        </a:schemeClr>
                      </a:solidFill>
                    </a:ln>
                  </pic:spPr>
                </pic:pic>
              </a:graphicData>
            </a:graphic>
          </wp:inline>
        </w:drawing>
      </w:r>
    </w:p>
    <w:p w14:paraId="76BAEE20" w14:textId="0D5F491B" w:rsidR="00892BAB" w:rsidRPr="002A0860" w:rsidRDefault="001916BB" w:rsidP="001916BB">
      <w:pPr>
        <w:pStyle w:val="Lgende"/>
        <w:rPr>
          <w:b w:val="0"/>
          <w:bCs w:val="0"/>
          <w:lang w:val="fr-FR"/>
        </w:rPr>
      </w:pPr>
      <w:bookmarkStart w:id="286" w:name="_Toc213404419"/>
      <w:r w:rsidRPr="000E43FF">
        <w:rPr>
          <w:lang w:val="fr-FR"/>
        </w:rPr>
        <w:t xml:space="preserve">Figure </w:t>
      </w:r>
      <w:r w:rsidRPr="000E43FF">
        <w:fldChar w:fldCharType="begin"/>
      </w:r>
      <w:r w:rsidRPr="000E43FF">
        <w:rPr>
          <w:lang w:val="fr-FR"/>
        </w:rPr>
        <w:instrText xml:space="preserve"> SEQ Figure \* ARABIC </w:instrText>
      </w:r>
      <w:r w:rsidRPr="000E43FF">
        <w:fldChar w:fldCharType="separate"/>
      </w:r>
      <w:r w:rsidR="00B976BF">
        <w:rPr>
          <w:noProof/>
          <w:lang w:val="fr-FR"/>
        </w:rPr>
        <w:t>17</w:t>
      </w:r>
      <w:r w:rsidRPr="000E43FF">
        <w:fldChar w:fldCharType="end"/>
      </w:r>
      <w:r w:rsidRPr="000E43FF">
        <w:rPr>
          <w:noProof/>
          <w:lang w:val="fr-FR"/>
        </w:rPr>
        <w:t xml:space="preserve">: </w:t>
      </w:r>
      <w:r w:rsidR="00892BAB" w:rsidRPr="000E43FF">
        <w:rPr>
          <w:lang w:val="fr-FR"/>
        </w:rPr>
        <w:t>Cadre hydrogéologique de la zone d’étude</w:t>
      </w:r>
      <w:bookmarkEnd w:id="286"/>
    </w:p>
    <w:bookmarkEnd w:id="283"/>
    <w:p w14:paraId="793EDE40" w14:textId="77777777" w:rsidR="00C82B27" w:rsidRDefault="00C82B27" w:rsidP="00D57428">
      <w:pPr>
        <w:pStyle w:val="Title3"/>
        <w:sectPr w:rsidR="00C82B27" w:rsidSect="00144390">
          <w:headerReference w:type="default" r:id="rId67"/>
          <w:footerReference w:type="default" r:id="rId68"/>
          <w:pgSz w:w="16838" w:h="11906" w:orient="landscape"/>
          <w:pgMar w:top="1418" w:right="1418" w:bottom="1418" w:left="1276" w:header="567" w:footer="510" w:gutter="0"/>
          <w:cols w:space="708"/>
          <w:docGrid w:linePitch="360"/>
        </w:sectPr>
      </w:pPr>
    </w:p>
    <w:p w14:paraId="00247B74" w14:textId="4B4C781A" w:rsidR="00F3339F" w:rsidRDefault="00D57428" w:rsidP="00D57428">
      <w:pPr>
        <w:pStyle w:val="Title3"/>
      </w:pPr>
      <w:bookmarkStart w:id="287" w:name="_Toc181619011"/>
      <w:bookmarkStart w:id="288" w:name="_Hlk210210113"/>
      <w:bookmarkStart w:id="289" w:name="_Toc215131847"/>
      <w:r>
        <w:lastRenderedPageBreak/>
        <w:t>Ambiance sonore</w:t>
      </w:r>
      <w:bookmarkEnd w:id="287"/>
      <w:bookmarkEnd w:id="289"/>
    </w:p>
    <w:p w14:paraId="5AF74DC5" w14:textId="77777777" w:rsidR="0037648C" w:rsidRDefault="0037648C" w:rsidP="0037648C">
      <w:r w:rsidRPr="0037648C">
        <w:t xml:space="preserve">Au niveau de la zone rapprochée de l’aéroport, le bruit ambiant provient surtout de la phase de décollage des aéronefs qui tournent à plein régime. Cependant, ce bruit n’excède pas les limites autorisées aux alentours directs de l’aéroport. </w:t>
      </w:r>
    </w:p>
    <w:p w14:paraId="42F7133F" w14:textId="77777777" w:rsidR="005D45CF" w:rsidRDefault="0037648C" w:rsidP="0037648C">
      <w:r>
        <w:t>À</w:t>
      </w:r>
      <w:r w:rsidRPr="0037648C">
        <w:t xml:space="preserve"> l’intérieur de l’aéroport, c’est principalement le bruit de la circulation des avions qui est perçu par le personnel d’assistance en escales aux aérodromes. Les sources de bruit d’un avion sont d’abord mécaniques du moteur (de la soufflante, de jet et combustion) et aérodynamiques que crée le mouvement de fluide interagissant entre air et l’appareil</w:t>
      </w:r>
      <w:bookmarkEnd w:id="288"/>
      <w:r w:rsidRPr="0037648C">
        <w:t xml:space="preserve">. </w:t>
      </w:r>
    </w:p>
    <w:p w14:paraId="064F1289" w14:textId="1CB10F68" w:rsidR="00D57428" w:rsidRDefault="00DF714E" w:rsidP="00DF714E">
      <w:pPr>
        <w:pStyle w:val="Title2"/>
      </w:pPr>
      <w:bookmarkStart w:id="290" w:name="_Toc181619012"/>
      <w:bookmarkStart w:id="291" w:name="_Toc215131848"/>
      <w:r>
        <w:t>Milieu biologique</w:t>
      </w:r>
      <w:bookmarkEnd w:id="290"/>
      <w:bookmarkEnd w:id="291"/>
    </w:p>
    <w:p w14:paraId="03498EA4" w14:textId="2F70916E" w:rsidR="00160175" w:rsidRDefault="00FD1ED5" w:rsidP="00160175">
      <w:r w:rsidRPr="00CE52C3">
        <w:t>Le milieu biologique a été analysé dans une Zone d’Étude Restreinte (ZER) de 8 km autour de la plateforme et une Zone d’Étude Élargie (ZEE) de 13 km; la zone a été zonée par types d’habitats (urbain/bâti, espaces verts et jardins avec alignements arborés – palmiers, orangers –, parcelles agricoles irriguées et oliveraies, friches/jachères nitrophiles et talus, milieux hydrauliques artificiels : fossés, mares temporaires, bassins/STEP, ainsi que haies, lisières et zones nues/gazonnées). Sur cette base, un inventaire floristique structuré a été conduit par unités de végétation (relevés phytosociologiques, description des strates et abondance-dominance) afin de caractériser les formations végétales dominantes et repérer les espèces d’intérêt (endémiques, menacées ou protégées, ainsi que les invasives), en mettant l’accent sur les secteurs sensibles à Marrakech (espaces verts irrigués, alignements matures, ripisylves/fossés végétalisés et mosaïques rudérales proches des emprises) qui conditionnent les cortèges faunistiques (ressources trophiques, sites de repos/nidification) et fondent l’évaluation des enjeux présentée ci-après</w:t>
      </w:r>
      <w:r w:rsidR="00160175">
        <w:t>.</w:t>
      </w:r>
    </w:p>
    <w:p w14:paraId="3F23F0CF" w14:textId="77777777" w:rsidR="00D146D1" w:rsidRPr="00D146D1" w:rsidRDefault="00D146D1" w:rsidP="0065212D">
      <w:pPr>
        <w:pStyle w:val="Title3"/>
        <w:rPr>
          <w:rFonts w:eastAsia="Calibri"/>
          <w:lang w:val="fr-MA" w:eastAsia="fr-FR" w:bidi="ar-SA"/>
        </w:rPr>
      </w:pPr>
      <w:bookmarkStart w:id="292" w:name="_Toc87891852"/>
      <w:bookmarkStart w:id="293" w:name="_Toc195007723"/>
      <w:bookmarkStart w:id="294" w:name="_Toc215131849"/>
      <w:r w:rsidRPr="00D146D1">
        <w:rPr>
          <w:rFonts w:eastAsia="Calibri"/>
          <w:lang w:val="fr-MA" w:eastAsia="fr-FR" w:bidi="ar-SA"/>
        </w:rPr>
        <w:t>Méthodologie de l’établissement des inventaires floristiques et faunistiques</w:t>
      </w:r>
      <w:bookmarkEnd w:id="292"/>
      <w:bookmarkEnd w:id="293"/>
      <w:bookmarkEnd w:id="294"/>
      <w:r w:rsidRPr="00D146D1">
        <w:rPr>
          <w:rFonts w:eastAsia="Calibri"/>
          <w:lang w:val="fr-MA" w:eastAsia="fr-FR" w:bidi="ar-SA"/>
        </w:rPr>
        <w:t xml:space="preserve"> </w:t>
      </w:r>
    </w:p>
    <w:p w14:paraId="347A4950" w14:textId="77777777" w:rsidR="000A4870" w:rsidRDefault="000A4870" w:rsidP="000A4870">
      <w:r>
        <w:t>Établir une caractérisation robuste, documentée et reproductible de la flore et de la faune au sein de la Zone d’Étude Restreinte (ZER, 8 km) et de la Zone d’Étude Élargie (ZEE, 13 km) autour de la plateforme, en décrivant :</w:t>
      </w:r>
    </w:p>
    <w:p w14:paraId="525B6258" w14:textId="77777777" w:rsidR="000A4870" w:rsidRPr="006C3F0A" w:rsidRDefault="000A4870" w:rsidP="0001633E">
      <w:pPr>
        <w:pStyle w:val="Paragraphedeliste"/>
        <w:numPr>
          <w:ilvl w:val="0"/>
          <w:numId w:val="196"/>
        </w:numPr>
        <w:spacing w:line="240" w:lineRule="auto"/>
      </w:pPr>
      <w:r w:rsidRPr="006C3F0A">
        <w:t>Les unités de végétation et formations floristiques (composition, structure, espèces d’intérêt);</w:t>
      </w:r>
    </w:p>
    <w:p w14:paraId="0FA03346" w14:textId="7A13AE98" w:rsidR="00D146D1" w:rsidRPr="00D146D1" w:rsidRDefault="000A4870" w:rsidP="000A4870">
      <w:pPr>
        <w:rPr>
          <w:lang w:val="fr-MA" w:eastAsia="fr-FR" w:bidi="ar-SA"/>
        </w:rPr>
      </w:pPr>
      <w:r w:rsidRPr="006C3F0A">
        <w:t>Les cortèges faunistiques (avifaune, herpétofaune, mammifères, chiroptères) et leurs usages fonctionnels (alimentation, repos, reproduction, transit)</w:t>
      </w:r>
      <w:r w:rsidR="00D146D1" w:rsidRPr="00D146D1">
        <w:rPr>
          <w:lang w:val="fr-MA" w:eastAsia="fr-FR" w:bidi="ar-SA"/>
        </w:rPr>
        <w:t>.</w:t>
      </w:r>
    </w:p>
    <w:p w14:paraId="0FDBB8CF" w14:textId="615B78D4" w:rsidR="00D146D1" w:rsidRPr="00D146D1" w:rsidRDefault="006614A3" w:rsidP="006614A3">
      <w:pPr>
        <w:pStyle w:val="Title3"/>
        <w:rPr>
          <w:lang w:val="fr-MA"/>
        </w:rPr>
      </w:pPr>
      <w:bookmarkStart w:id="295" w:name="_Toc215131850"/>
      <w:r>
        <w:rPr>
          <w:lang w:val="fr-MA"/>
        </w:rPr>
        <w:t>Principes généraux</w:t>
      </w:r>
      <w:bookmarkEnd w:id="295"/>
    </w:p>
    <w:p w14:paraId="75065CE9" w14:textId="77777777" w:rsidR="00095BD7" w:rsidRPr="00095BD7" w:rsidRDefault="00095BD7" w:rsidP="00095BD7">
      <w:pPr>
        <w:rPr>
          <w:rFonts w:eastAsia="Calibri"/>
          <w:lang w:val="fr-MA" w:eastAsia="fr-FR" w:bidi="ar-SA"/>
        </w:rPr>
      </w:pPr>
      <w:r w:rsidRPr="00095BD7">
        <w:rPr>
          <w:rFonts w:eastAsia="Calibri"/>
          <w:b/>
          <w:bCs/>
          <w:lang w:val="fr-MA" w:eastAsia="fr-FR" w:bidi="ar-SA"/>
        </w:rPr>
        <w:t>Approche par milieux</w:t>
      </w:r>
      <w:r w:rsidRPr="00095BD7">
        <w:rPr>
          <w:rFonts w:eastAsia="Calibri"/>
          <w:lang w:val="fr-MA" w:eastAsia="fr-FR" w:bidi="ar-SA"/>
        </w:rPr>
        <w:t xml:space="preserve"> : reconnaissance de terrain et stratification écologique (espaces verts/jardins et alignements arborés, parcelles irriguées, friches/jachères, milieux hydrauliques artificiels, haies/lisières, zones nues/gazonnées) afin d’y conduire des inventaires ciblés.</w:t>
      </w:r>
    </w:p>
    <w:p w14:paraId="698330B7" w14:textId="10274072" w:rsidR="00D146D1" w:rsidRPr="00D146D1" w:rsidRDefault="00095BD7" w:rsidP="00095BD7">
      <w:pPr>
        <w:rPr>
          <w:rFonts w:eastAsia="Calibri"/>
          <w:lang w:val="fr-MA" w:eastAsia="fr-FR" w:bidi="ar-SA"/>
        </w:rPr>
      </w:pPr>
      <w:r w:rsidRPr="00095BD7">
        <w:rPr>
          <w:rFonts w:eastAsia="Calibri"/>
          <w:b/>
          <w:bCs/>
          <w:lang w:val="fr-MA" w:eastAsia="fr-FR" w:bidi="ar-SA"/>
        </w:rPr>
        <w:t>Complémentarité des méthodes</w:t>
      </w:r>
      <w:r w:rsidRPr="00095BD7">
        <w:rPr>
          <w:rFonts w:eastAsia="Calibri"/>
          <w:lang w:val="fr-MA" w:eastAsia="fr-FR" w:bidi="ar-SA"/>
        </w:rPr>
        <w:t xml:space="preserve"> : association de protocoles classiques (relevés floristiques, points fixes/IPA, transects/IKA) et d’outils de suivi (bioacoustique, détecteurs ultrason pour chiroptères) pour documenter les espèces de chiroptères</w:t>
      </w:r>
      <w:r w:rsidR="00D146D1" w:rsidRPr="00D146D1">
        <w:rPr>
          <w:rFonts w:eastAsia="Calibri"/>
          <w:lang w:val="fr-MA" w:eastAsia="fr-FR" w:bidi="ar-SA"/>
        </w:rPr>
        <w:t>.</w:t>
      </w:r>
    </w:p>
    <w:p w14:paraId="68F0D5A3" w14:textId="156E3AD3" w:rsidR="00D146D1" w:rsidRPr="00D146D1" w:rsidRDefault="00865EC9" w:rsidP="00D2793C">
      <w:pPr>
        <w:pStyle w:val="Title4"/>
        <w:rPr>
          <w:lang w:val="fr-MA"/>
        </w:rPr>
      </w:pPr>
      <w:r>
        <w:rPr>
          <w:lang w:val="fr-MA"/>
        </w:rPr>
        <w:t xml:space="preserve">Effort </w:t>
      </w:r>
      <w:r w:rsidR="00F952DD">
        <w:rPr>
          <w:lang w:val="fr-MA"/>
        </w:rPr>
        <w:t>de prospection</w:t>
      </w:r>
    </w:p>
    <w:p w14:paraId="6A685ED1" w14:textId="77777777" w:rsidR="00A4551B" w:rsidRPr="00A4551B" w:rsidRDefault="00A4551B" w:rsidP="00A4551B">
      <w:pPr>
        <w:rPr>
          <w:rFonts w:eastAsia="Calibri"/>
          <w:lang w:val="fr-MA" w:eastAsia="fr-FR" w:bidi="ar-SA"/>
        </w:rPr>
      </w:pPr>
      <w:r w:rsidRPr="00A4551B">
        <w:rPr>
          <w:rFonts w:eastAsia="Calibri"/>
          <w:lang w:val="fr-MA" w:eastAsia="fr-FR" w:bidi="ar-SA"/>
        </w:rPr>
        <w:t xml:space="preserve">Les investigations de terrain ont été conduites en deux séquences complémentaires : une première mission en novembre 2024, en fin d’année, puis une campagne au printemps 2025 couvrant les 30 avril, 1er et 2 mai 2025. Ce calage temporel permet de documenter à la fois l’état biologique de fin de saison sèche et le pic </w:t>
      </w:r>
      <w:r w:rsidRPr="00A4551B">
        <w:rPr>
          <w:rFonts w:eastAsia="Calibri"/>
          <w:lang w:val="fr-MA" w:eastAsia="fr-FR" w:bidi="ar-SA"/>
        </w:rPr>
        <w:lastRenderedPageBreak/>
        <w:t>printanier d’activité, particulièrement pertinent pour la détection des cortèges avifauniques et l’évaluation des usages fonctionnels (alimentation, repos, transit).</w:t>
      </w:r>
    </w:p>
    <w:p w14:paraId="410A59C8" w14:textId="37F2D392" w:rsidR="00A4551B" w:rsidRPr="00A4551B" w:rsidRDefault="00A4551B" w:rsidP="00A4551B">
      <w:pPr>
        <w:rPr>
          <w:rFonts w:eastAsia="Calibri"/>
          <w:lang w:val="fr-MA" w:eastAsia="fr-FR" w:bidi="ar-SA"/>
        </w:rPr>
      </w:pPr>
      <w:r w:rsidRPr="00A4551B">
        <w:rPr>
          <w:rFonts w:eastAsia="Calibri"/>
          <w:lang w:val="fr-MA" w:eastAsia="fr-FR" w:bidi="ar-SA"/>
        </w:rPr>
        <w:t>Les relevés ont été réalisés aux périodes de meilleure détectabilité des groupes ciblés. Pour l’avifaune, les observations se sont concentrées sur les créneaux post-auroraux et pré-crépusculaires, sous conditions météorologiques favorables (vents faibles, bonne visibilité), afin d’intercepter les maximas de chant, de quête alimentaire et de déplacements. Les chiroptères ont été échantillonnés au crépuscule et en première partie de nuit, avec enregistrements continus sur sites favorables (milieux arborés et proximité de points d’eau). La herpétofaune et les autres mammifères ont fait l’objet de passages diurnes et crépusculaires/nocturnes modulés en fonction de leur détectabilité (lisières, murets, berges, micro-habitats thermophiles, ouvrages).</w:t>
      </w:r>
    </w:p>
    <w:p w14:paraId="71F6B610" w14:textId="658AA9B4" w:rsidR="00A4551B" w:rsidRPr="00A4551B" w:rsidRDefault="00A4551B" w:rsidP="00A4551B">
      <w:pPr>
        <w:rPr>
          <w:rFonts w:eastAsia="Calibri"/>
          <w:lang w:val="fr-MA" w:eastAsia="fr-FR" w:bidi="ar-SA"/>
        </w:rPr>
      </w:pPr>
      <w:r w:rsidRPr="00A4551B">
        <w:rPr>
          <w:rFonts w:eastAsia="Calibri"/>
          <w:lang w:val="fr-MA" w:eastAsia="fr-FR" w:bidi="ar-SA"/>
        </w:rPr>
        <w:t>L’effort est proportionné aux enjeux attendus dans chaque périmètre. Dans la ZER (rayon 8 km), chaque grand milieu a fait l’objet d’au moins deux passages sur la séquence de visites, dont un ciblant explicitement le pic d’activité du groupe considéré. Dans la ZEE (rayon 13 km), un passage minimum a été assuré et confirmé par un contrôle complémentaire lorsque l’accessibilité ou la variabilité locale des conditions l’exigeait. Pour l’avifaune, 41 points IPA ont été mobilisés au total, avec une densification en ZER (26 points) et une couverture représentative en ZEE (15 points), de manière à renforcer l’analyse dans la zone d’interactions directes tout en documentant les cortèges périphériques.</w:t>
      </w:r>
    </w:p>
    <w:p w14:paraId="5AE548D4" w14:textId="20C01C6B" w:rsidR="000E43FF" w:rsidRPr="00D146D1" w:rsidRDefault="00A4551B" w:rsidP="00A4551B">
      <w:pPr>
        <w:rPr>
          <w:rFonts w:eastAsia="Calibri"/>
          <w:lang w:val="fr-MA" w:eastAsia="fr-FR" w:bidi="ar-SA"/>
        </w:rPr>
      </w:pPr>
      <w:r w:rsidRPr="00A4551B">
        <w:rPr>
          <w:rFonts w:eastAsia="Calibri"/>
          <w:lang w:val="fr-MA" w:eastAsia="fr-FR" w:bidi="ar-SA"/>
        </w:rPr>
        <w:t>La traçabilité et la qualité des données ont été garanties par l’usage de fiches normalisées renseignant la date et l’heure, les conditions météorologiques, l’observateur, le milieu prospecté, le protocole appliqué et les coordonnées du point de relevé. Les déterminations ont fait l’objet d’une double vérification taxonomique</w:t>
      </w:r>
      <w:r w:rsidR="00D146D1" w:rsidRPr="00D146D1">
        <w:rPr>
          <w:rFonts w:eastAsia="Calibri"/>
          <w:lang w:val="fr-MA" w:eastAsia="fr-FR" w:bidi="ar-SA"/>
        </w:rPr>
        <w:t>.</w:t>
      </w:r>
    </w:p>
    <w:p w14:paraId="2195238E" w14:textId="2104B7FC" w:rsidR="00D146D1" w:rsidRPr="00D146D1" w:rsidRDefault="0056247E" w:rsidP="00D2793C">
      <w:pPr>
        <w:pStyle w:val="Title4"/>
        <w:rPr>
          <w:lang w:val="fr-MA"/>
        </w:rPr>
      </w:pPr>
      <w:r>
        <w:rPr>
          <w:lang w:val="fr-MA"/>
        </w:rPr>
        <w:t>Flore</w:t>
      </w:r>
    </w:p>
    <w:p w14:paraId="1E7CC720" w14:textId="77777777" w:rsidR="00BF637E" w:rsidRPr="00BF637E" w:rsidRDefault="00BF637E" w:rsidP="00BF637E">
      <w:pPr>
        <w:rPr>
          <w:rFonts w:eastAsia="Calibri"/>
          <w:lang w:val="fr-MA" w:eastAsia="fr-FR" w:bidi="ar-SA"/>
        </w:rPr>
      </w:pPr>
      <w:r w:rsidRPr="00BF637E">
        <w:rPr>
          <w:rFonts w:eastAsia="Calibri"/>
          <w:lang w:val="fr-MA" w:eastAsia="fr-FR" w:bidi="ar-SA"/>
        </w:rPr>
        <w:t>La flore a été caractérisée par relevés phytosociologiques (quadrats/relevés) réalisés dans chaque grand milieu (espaces verts/jardins et alignements arborés, parcelles irriguées, friches/jachères, milieux hydrauliques artificiels, haies/lisières, zones nues/gazonnées). Pour chaque relevé : inventaire exhaustif, abondance-dominance (échelle de Braun-Blanquet), description des strates (herbacée/arbustive/arborée) et du degré d’anthropisation. Une photothèque de contrôle (clichés géoréférencés) a été constituée pour sécuriser les déterminations.</w:t>
      </w:r>
    </w:p>
    <w:p w14:paraId="7BB87523" w14:textId="33EFDE55" w:rsidR="00D146D1" w:rsidRPr="00D146D1" w:rsidRDefault="00BF637E" w:rsidP="00BF637E">
      <w:pPr>
        <w:rPr>
          <w:lang w:val="fr-MA" w:eastAsia="fr-FR" w:bidi="ar-SA"/>
        </w:rPr>
      </w:pPr>
      <w:r w:rsidRPr="00BF637E">
        <w:rPr>
          <w:rFonts w:eastAsia="Calibri"/>
          <w:lang w:val="fr-MA" w:eastAsia="fr-FR" w:bidi="ar-SA"/>
        </w:rPr>
        <w:t>Un criblage des espèces d’intérêt a été systématisé : espèces endémiques, menacées/protégées et espèces exotiques envahissantes. Les micro-habitats sensibles (alignements matures, ripisylves artificielles de fossés végétalisés, pelouses irriguées) ont fait l’objet d’une attention particulière, compte tenu de leur rôle structurant pour les cortèges faunistiques (ressources trophiques, supports de repos/nidification).</w:t>
      </w:r>
    </w:p>
    <w:p w14:paraId="6E72B8CC" w14:textId="0BCE5D77" w:rsidR="00D146D1" w:rsidRPr="00D146D1" w:rsidRDefault="00BF637E" w:rsidP="00D2793C">
      <w:pPr>
        <w:pStyle w:val="Title4"/>
        <w:rPr>
          <w:lang w:val="fr-MA"/>
        </w:rPr>
      </w:pPr>
      <w:r>
        <w:rPr>
          <w:lang w:val="fr-MA"/>
        </w:rPr>
        <w:t>Avifaune</w:t>
      </w:r>
    </w:p>
    <w:p w14:paraId="6E54DB0C" w14:textId="56CDBF7C" w:rsidR="00D146D1" w:rsidRPr="00D146D1" w:rsidRDefault="007B0568" w:rsidP="007B0568">
      <w:pPr>
        <w:rPr>
          <w:rFonts w:eastAsia="Calibri"/>
          <w:lang w:val="fr-MA" w:eastAsia="fr-FR" w:bidi="ar-SA"/>
        </w:rPr>
      </w:pPr>
      <w:r w:rsidRPr="00F86FDC">
        <w:t>Les inventaires reposent sur les points fixes (IPA) et transects (IKA) : stations de 20 minutes par milieu (codification des contacts : chant/cri/vol/posé) et parcours de 500–1000 m à 1–2 km/h avec arrêts de vérification. Les fenêtres d’activité retenues sont post-aurorales et pré-crépusculaires sous conditions météorologiques favorables. Un total de 41 points IPA a été mobilisé, avec une densification en ZER (26 points) et une couverture représentative en ZEE (15 points). Une bioacoustique ciblée a été utilisée à l’aube et au crépuscule pour améliorer la détection d’espèces discrètes et la comparabilité temporelle des relevés</w:t>
      </w:r>
      <w:r w:rsidR="00D146D1" w:rsidRPr="00D146D1">
        <w:rPr>
          <w:rFonts w:eastAsia="Calibri"/>
          <w:lang w:val="fr-MA" w:eastAsia="fr-FR" w:bidi="ar-SA"/>
        </w:rPr>
        <w:t>.</w:t>
      </w:r>
    </w:p>
    <w:p w14:paraId="48644B74" w14:textId="150255FA" w:rsidR="00D146D1" w:rsidRPr="00D146D1" w:rsidRDefault="007B0568" w:rsidP="00D2793C">
      <w:pPr>
        <w:pStyle w:val="Title4"/>
        <w:rPr>
          <w:i/>
          <w:lang w:val="fr-MA"/>
        </w:rPr>
      </w:pPr>
      <w:r>
        <w:rPr>
          <w:lang w:val="fr-MA"/>
        </w:rPr>
        <w:lastRenderedPageBreak/>
        <w:t>Mammifère</w:t>
      </w:r>
    </w:p>
    <w:p w14:paraId="4786D272" w14:textId="3F1E70A9" w:rsidR="00D146D1" w:rsidRPr="00D146D1" w:rsidRDefault="00072BB2" w:rsidP="00BB3596">
      <w:pPr>
        <w:rPr>
          <w:rFonts w:eastAsia="Calibri"/>
          <w:lang w:val="fr-MA" w:bidi="ar-SA"/>
        </w:rPr>
      </w:pPr>
      <w:r w:rsidRPr="007A6652">
        <w:t>La détection a combiné bibliographie régionale (occurrences plausibles, écologie d’habitat), observations directes opportunistes (diurnes et crépusculaires/nocturnes), itinéraires d’indices (traces, fèces, terriers, coulées) et vérification de bâtis/ouvrages accessibles (cavités, ponts, structures) afin d’identifier des indices de fréquentation. Cette triangulation vise à intégrer les espèces discrètes ou nocturnes souvent sous-détectées par l’observation visuelle seule</w:t>
      </w:r>
      <w:r w:rsidR="00D146D1" w:rsidRPr="00D146D1">
        <w:rPr>
          <w:rFonts w:eastAsia="Calibri"/>
          <w:lang w:val="fr-MA" w:bidi="ar-SA"/>
        </w:rPr>
        <w:t>.</w:t>
      </w:r>
    </w:p>
    <w:p w14:paraId="1A4429D2" w14:textId="226D9950" w:rsidR="00D146D1" w:rsidRDefault="00576E8A" w:rsidP="00D2793C">
      <w:pPr>
        <w:pStyle w:val="Title4"/>
        <w:rPr>
          <w:lang w:val="fr-MA"/>
        </w:rPr>
      </w:pPr>
      <w:r>
        <w:rPr>
          <w:lang w:val="fr-MA"/>
        </w:rPr>
        <w:t>Chiroptères</w:t>
      </w:r>
    </w:p>
    <w:p w14:paraId="3ED165B8" w14:textId="33ACB9EB" w:rsidR="00072BB2" w:rsidRDefault="009D3935" w:rsidP="00287902">
      <w:pPr>
        <w:keepNext/>
        <w:spacing w:after="0" w:line="240" w:lineRule="auto"/>
      </w:pPr>
      <w:r w:rsidRPr="00BA7912">
        <w:t>Un échantillonnage acoustique dédié a été conduit au crépuscule et en première partie de nuit sur alignements arborés, jardins irrigués et abords de points d’eau. Les détecteurs ultrason (large bande) ont produit des enregistrements horodatés analysés en post-traitement ; l’assignation taxonomique est réalisée avec prudence (groupes acoustiques différenciés au minimum lorsque l’identification spécifique n’est pas assurée). Cette démarche réduit les faux négatifs et répond à l’exigence d’une méthode moderne</w:t>
      </w:r>
      <w:r>
        <w:t>.</w:t>
      </w:r>
    </w:p>
    <w:p w14:paraId="4940D631" w14:textId="5D78B693" w:rsidR="00865845" w:rsidRPr="00865845" w:rsidRDefault="00865845" w:rsidP="00D2793C">
      <w:pPr>
        <w:pStyle w:val="Title4"/>
        <w:rPr>
          <w:lang w:val="fr-MA"/>
        </w:rPr>
      </w:pPr>
      <w:r w:rsidRPr="00865845">
        <w:rPr>
          <w:lang w:val="fr-MA"/>
        </w:rPr>
        <w:t>Herpétofaune</w:t>
      </w:r>
    </w:p>
    <w:p w14:paraId="7C737A93" w14:textId="3F4E9820" w:rsidR="00865845" w:rsidRPr="00D146D1" w:rsidRDefault="00287902" w:rsidP="00287902">
      <w:pPr>
        <w:keepNext/>
        <w:spacing w:after="0" w:line="240" w:lineRule="auto"/>
        <w:rPr>
          <w:rFonts w:ascii="Tahoma" w:eastAsia="Calibri" w:hAnsi="Tahoma"/>
          <w:sz w:val="20"/>
          <w:szCs w:val="20"/>
          <w:lang w:val="fr-MA" w:eastAsia="fr-FR" w:bidi="ar-SA"/>
        </w:rPr>
      </w:pPr>
      <w:r w:rsidRPr="00BA7912">
        <w:t>Les reptiles ont été recherchés par prospection visuelle active en périodes diurnes et crépusculaires, avec vérification sous pierres et éléments mobiles lorsqu’elle n’altère pas le micro-habitat (remise en place systématique), en ciblant lisières, murets, talus chauds, amas pierreux. Les amphibiens ont été recherchés en zones humides et points d’eau (mares temporaires, fossés en eau, abords de bassins) par inspection visuelle des berges, détection de pontes et écoute en période favorable</w:t>
      </w:r>
      <w:r>
        <w:t>.</w:t>
      </w:r>
    </w:p>
    <w:p w14:paraId="1380486F" w14:textId="0C3E7C27" w:rsidR="00D146D1" w:rsidRPr="00287902" w:rsidRDefault="00287902" w:rsidP="00287902">
      <w:pPr>
        <w:pStyle w:val="Title3"/>
        <w:rPr>
          <w:rFonts w:eastAsia="Calibri"/>
          <w:lang w:val="fr-MA" w:bidi="ar-SA"/>
        </w:rPr>
      </w:pPr>
      <w:bookmarkStart w:id="296" w:name="_Toc215131851"/>
      <w:r w:rsidRPr="00287902">
        <w:rPr>
          <w:rFonts w:eastAsia="Calibri"/>
          <w:lang w:val="fr-MA" w:bidi="ar-SA"/>
        </w:rPr>
        <w:t>Services écosystémiques</w:t>
      </w:r>
      <w:bookmarkEnd w:id="296"/>
    </w:p>
    <w:p w14:paraId="4DCB69C4" w14:textId="77777777" w:rsidR="00B46CC5" w:rsidRPr="00B46CC5" w:rsidRDefault="00B46CC5" w:rsidP="00B46CC5">
      <w:pPr>
        <w:spacing w:before="100" w:beforeAutospacing="1" w:after="100" w:afterAutospacing="1"/>
        <w:rPr>
          <w:lang w:val="fr-MA" w:eastAsia="fr-FR" w:bidi="ar-SA"/>
        </w:rPr>
      </w:pPr>
      <w:r w:rsidRPr="00B46CC5">
        <w:rPr>
          <w:lang w:val="fr-MA" w:eastAsia="fr-FR" w:bidi="ar-SA"/>
        </w:rPr>
        <w:t>Il est possible de distinguer quatre grands types de services écologiques : les services de support, les services de régulation, les services d’approvisionnement et les services culturels.</w:t>
      </w:r>
    </w:p>
    <w:p w14:paraId="04A05805" w14:textId="77777777" w:rsidR="00B46CC5" w:rsidRDefault="00B46CC5" w:rsidP="00B46CC5">
      <w:pPr>
        <w:spacing w:before="100" w:beforeAutospacing="1" w:after="100" w:afterAutospacing="1"/>
        <w:rPr>
          <w:lang w:val="fr-MA" w:eastAsia="fr-FR" w:bidi="ar-SA"/>
        </w:rPr>
      </w:pPr>
      <w:r w:rsidRPr="00B46CC5">
        <w:rPr>
          <w:lang w:val="fr-MA" w:eastAsia="fr-FR" w:bidi="ar-SA"/>
        </w:rPr>
        <w:t>Par rapport aux fonctions écologiques, les services de support, constituent les fonctions écologiques de base, ceux de régulations correspondent aux services directs des fonctions écologiques, et ceux d’approvisionnement et culturels correspondent aux services indirects des fonctions écologiques</w:t>
      </w:r>
      <w:r>
        <w:rPr>
          <w:lang w:val="fr-MA" w:eastAsia="fr-FR" w:bidi="ar-SA"/>
        </w:rPr>
        <w:t>.</w:t>
      </w:r>
    </w:p>
    <w:p w14:paraId="275EF058" w14:textId="77777777" w:rsidR="00B976BF" w:rsidRDefault="00B976BF" w:rsidP="00B976BF">
      <w:pPr>
        <w:keepNext/>
        <w:spacing w:before="100" w:beforeAutospacing="1" w:after="100" w:afterAutospacing="1"/>
        <w:jc w:val="center"/>
      </w:pPr>
      <w:r w:rsidRPr="00201891">
        <w:rPr>
          <w:noProof/>
          <w:lang w:eastAsia="fr-FR" w:bidi="ar-SA"/>
        </w:rPr>
        <w:drawing>
          <wp:inline distT="0" distB="0" distL="0" distR="0" wp14:anchorId="71D7C0AD" wp14:editId="64D94CD3">
            <wp:extent cx="5760720" cy="1353663"/>
            <wp:effectExtent l="0" t="0" r="0" b="0"/>
            <wp:docPr id="7" name="Image 7" descr="Une image contenant diagramm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 7" descr="Une image contenant diagramme&#10;&#10;Description générée automatiquement"/>
                    <pic:cNvPicPr/>
                  </pic:nvPicPr>
                  <pic:blipFill>
                    <a:blip r:embed="rId69" cstate="email">
                      <a:extLst>
                        <a:ext uri="{28A0092B-C50C-407E-A947-70E740481C1C}">
                          <a14:useLocalDpi xmlns:a14="http://schemas.microsoft.com/office/drawing/2010/main"/>
                        </a:ext>
                      </a:extLst>
                    </a:blip>
                    <a:stretch>
                      <a:fillRect/>
                    </a:stretch>
                  </pic:blipFill>
                  <pic:spPr>
                    <a:xfrm>
                      <a:off x="0" y="0"/>
                      <a:ext cx="5760720" cy="1353663"/>
                    </a:xfrm>
                    <a:prstGeom prst="rect">
                      <a:avLst/>
                    </a:prstGeom>
                  </pic:spPr>
                </pic:pic>
              </a:graphicData>
            </a:graphic>
          </wp:inline>
        </w:drawing>
      </w:r>
    </w:p>
    <w:p w14:paraId="4C9C2BB7" w14:textId="0CE71F0A" w:rsidR="000E43FF" w:rsidRPr="00B976BF" w:rsidRDefault="00B976BF" w:rsidP="00B976BF">
      <w:pPr>
        <w:pStyle w:val="Lgende"/>
      </w:pPr>
      <w:bookmarkStart w:id="297" w:name="_Toc213404420"/>
      <w:r>
        <w:t xml:space="preserve">Figure </w:t>
      </w:r>
      <w:r>
        <w:fldChar w:fldCharType="begin"/>
      </w:r>
      <w:r>
        <w:instrText xml:space="preserve"> SEQ Figure \* ARABIC </w:instrText>
      </w:r>
      <w:r>
        <w:fldChar w:fldCharType="separate"/>
      </w:r>
      <w:r>
        <w:rPr>
          <w:noProof/>
        </w:rPr>
        <w:t>18</w:t>
      </w:r>
      <w:r>
        <w:fldChar w:fldCharType="end"/>
      </w:r>
      <w:r>
        <w:rPr>
          <w:noProof/>
        </w:rPr>
        <w:t xml:space="preserve"> </w:t>
      </w:r>
      <w:r>
        <w:rPr>
          <w:noProof/>
          <w:lang w:val="fr-FR"/>
        </w:rPr>
        <w:t>: Classification des services écologiques</w:t>
      </w:r>
      <w:bookmarkEnd w:id="297"/>
    </w:p>
    <w:p w14:paraId="198AC4C2" w14:textId="62F85B6A" w:rsidR="00D146D1" w:rsidRPr="00D146D1" w:rsidRDefault="00D146D1" w:rsidP="004E045A">
      <w:pPr>
        <w:pStyle w:val="Title4"/>
        <w:rPr>
          <w:lang w:val="fr-MA"/>
        </w:rPr>
      </w:pPr>
      <w:r w:rsidRPr="00D146D1">
        <w:rPr>
          <w:lang w:val="fr-MA"/>
        </w:rPr>
        <w:t>Les services de</w:t>
      </w:r>
      <w:r w:rsidR="00B976BF">
        <w:rPr>
          <w:lang w:val="fr-MA"/>
        </w:rPr>
        <w:t xml:space="preserve"> support</w:t>
      </w:r>
      <w:r w:rsidRPr="00D146D1">
        <w:rPr>
          <w:lang w:val="fr-MA"/>
        </w:rPr>
        <w:t> </w:t>
      </w:r>
    </w:p>
    <w:p w14:paraId="097955ED" w14:textId="77777777" w:rsidR="006F011C" w:rsidRPr="00201891" w:rsidRDefault="006F011C" w:rsidP="006F011C">
      <w:pPr>
        <w:spacing w:before="100" w:beforeAutospacing="1" w:after="100" w:afterAutospacing="1"/>
        <w:rPr>
          <w:lang w:eastAsia="fr-FR"/>
        </w:rPr>
      </w:pPr>
      <w:r w:rsidRPr="00201891">
        <w:rPr>
          <w:lang w:eastAsia="fr-FR"/>
        </w:rPr>
        <w:t>Ces services correspondent aux processus de base nécessaires au fonctionnement de tous les écosystèmes : cycles naturels, formation des sols, photosynthèse, cycle de l’eau…</w:t>
      </w:r>
    </w:p>
    <w:p w14:paraId="0EE22AE6" w14:textId="77777777" w:rsidR="006F011C" w:rsidRPr="00201891" w:rsidRDefault="006F011C" w:rsidP="006F011C">
      <w:pPr>
        <w:spacing w:before="100" w:beforeAutospacing="1" w:after="100" w:afterAutospacing="1"/>
        <w:rPr>
          <w:lang w:eastAsia="fr-FR"/>
        </w:rPr>
      </w:pPr>
      <w:r w:rsidRPr="00201891">
        <w:rPr>
          <w:lang w:eastAsia="fr-FR"/>
        </w:rPr>
        <w:lastRenderedPageBreak/>
        <w:t xml:space="preserve">Ces services ne sont pas directement utilisés, mais des changements internes aux écosystèmes affectent les hommes en impactant les autres types de services. Ils comprennent : </w:t>
      </w:r>
    </w:p>
    <w:p w14:paraId="15946175" w14:textId="77777777" w:rsidR="006F011C" w:rsidRPr="00201891" w:rsidRDefault="006F011C" w:rsidP="0001633E">
      <w:pPr>
        <w:numPr>
          <w:ilvl w:val="0"/>
          <w:numId w:val="197"/>
        </w:numPr>
        <w:spacing w:beforeAutospacing="1" w:afterAutospacing="1" w:line="240" w:lineRule="auto"/>
        <w:contextualSpacing/>
        <w:rPr>
          <w:lang w:eastAsia="fr-FR"/>
        </w:rPr>
      </w:pPr>
      <w:r w:rsidRPr="00201891">
        <w:rPr>
          <w:b/>
          <w:bCs/>
          <w:lang w:eastAsia="fr-FR"/>
        </w:rPr>
        <w:t>L’offre d’habitats :</w:t>
      </w:r>
      <w:r w:rsidRPr="00201891">
        <w:rPr>
          <w:lang w:eastAsia="fr-FR"/>
        </w:rPr>
        <w:t xml:space="preserve"> Les milieux naturels offrent aux espèces de multiples habitats où elles peuvent se reproduire et s’alimenter. </w:t>
      </w:r>
    </w:p>
    <w:p w14:paraId="786B818E" w14:textId="77777777" w:rsidR="006F011C" w:rsidRPr="00201891" w:rsidRDefault="006F011C" w:rsidP="0001633E">
      <w:pPr>
        <w:numPr>
          <w:ilvl w:val="0"/>
          <w:numId w:val="197"/>
        </w:numPr>
        <w:spacing w:beforeAutospacing="1" w:afterAutospacing="1" w:line="240" w:lineRule="auto"/>
        <w:contextualSpacing/>
        <w:rPr>
          <w:lang w:eastAsia="fr-FR"/>
        </w:rPr>
      </w:pPr>
      <w:r w:rsidRPr="00201891">
        <w:rPr>
          <w:b/>
          <w:bCs/>
          <w:lang w:eastAsia="fr-FR"/>
        </w:rPr>
        <w:t>La formation et la rétention des sols :</w:t>
      </w:r>
      <w:r w:rsidRPr="00201891">
        <w:rPr>
          <w:lang w:eastAsia="fr-FR"/>
        </w:rPr>
        <w:t xml:space="preserve"> Les milieux naturels produisent des sols plus ou moins fertiles en érodant les roches, en libérant les minéraux et en accumulant les matières organiques.</w:t>
      </w:r>
    </w:p>
    <w:p w14:paraId="4F56280C" w14:textId="77777777" w:rsidR="006F011C" w:rsidRPr="00201891" w:rsidRDefault="006F011C" w:rsidP="0001633E">
      <w:pPr>
        <w:numPr>
          <w:ilvl w:val="0"/>
          <w:numId w:val="197"/>
        </w:numPr>
        <w:spacing w:beforeAutospacing="1" w:afterAutospacing="1" w:line="240" w:lineRule="auto"/>
        <w:contextualSpacing/>
        <w:rPr>
          <w:lang w:eastAsia="fr-FR"/>
        </w:rPr>
      </w:pPr>
      <w:r w:rsidRPr="00201891">
        <w:rPr>
          <w:b/>
          <w:bCs/>
          <w:lang w:eastAsia="fr-FR"/>
        </w:rPr>
        <w:t>Le cycle des éléments nutritifs :</w:t>
      </w:r>
      <w:r w:rsidRPr="00201891">
        <w:rPr>
          <w:lang w:eastAsia="fr-FR"/>
        </w:rPr>
        <w:t xml:space="preserve"> Ce sont les processus naturels au cours desquels les éléments carbones, azote et phosphore circulent continuellement sous diverses formes entre les différents milieux de l’environnement (par exemple l’air, l’eau, le sol, les organismes). </w:t>
      </w:r>
    </w:p>
    <w:p w14:paraId="374B358B" w14:textId="77777777" w:rsidR="006F011C" w:rsidRPr="00201891" w:rsidRDefault="006F011C" w:rsidP="0001633E">
      <w:pPr>
        <w:numPr>
          <w:ilvl w:val="0"/>
          <w:numId w:val="197"/>
        </w:numPr>
        <w:spacing w:beforeAutospacing="1" w:afterAutospacing="1" w:line="240" w:lineRule="auto"/>
        <w:contextualSpacing/>
        <w:rPr>
          <w:lang w:eastAsia="fr-FR"/>
        </w:rPr>
      </w:pPr>
      <w:r w:rsidRPr="00201891">
        <w:rPr>
          <w:b/>
          <w:bCs/>
          <w:lang w:eastAsia="fr-FR"/>
        </w:rPr>
        <w:t>La photosynthèse :</w:t>
      </w:r>
      <w:r w:rsidRPr="00201891">
        <w:rPr>
          <w:lang w:eastAsia="fr-FR"/>
        </w:rPr>
        <w:t xml:space="preserve"> La photosynthèse intervient dans la synthèse de matière organique par les plantes et, en transformant le CO</w:t>
      </w:r>
      <w:r w:rsidRPr="00201891">
        <w:rPr>
          <w:vertAlign w:val="subscript"/>
          <w:lang w:eastAsia="fr-FR"/>
        </w:rPr>
        <w:t>2</w:t>
      </w:r>
      <w:r w:rsidRPr="00201891">
        <w:rPr>
          <w:lang w:eastAsia="fr-FR"/>
        </w:rPr>
        <w:t xml:space="preserve"> en O</w:t>
      </w:r>
      <w:r w:rsidRPr="00201891">
        <w:rPr>
          <w:vertAlign w:val="subscript"/>
          <w:lang w:eastAsia="fr-FR"/>
        </w:rPr>
        <w:t>2</w:t>
      </w:r>
      <w:r w:rsidRPr="00201891">
        <w:rPr>
          <w:lang w:eastAsia="fr-FR"/>
        </w:rPr>
        <w:t xml:space="preserve">, fournit l’oxygène atmosphérique. </w:t>
      </w:r>
    </w:p>
    <w:p w14:paraId="5B51DF86" w14:textId="77777777" w:rsidR="006F011C" w:rsidRPr="00201891" w:rsidRDefault="006F011C" w:rsidP="0001633E">
      <w:pPr>
        <w:numPr>
          <w:ilvl w:val="0"/>
          <w:numId w:val="197"/>
        </w:numPr>
        <w:spacing w:beforeAutospacing="1" w:afterAutospacing="1" w:line="240" w:lineRule="auto"/>
        <w:contextualSpacing/>
        <w:rPr>
          <w:lang w:eastAsia="fr-FR"/>
        </w:rPr>
      </w:pPr>
      <w:r w:rsidRPr="00201891">
        <w:rPr>
          <w:b/>
          <w:bCs/>
          <w:lang w:eastAsia="fr-FR"/>
        </w:rPr>
        <w:t>La production primaire (de biomasse)</w:t>
      </w:r>
      <w:r w:rsidRPr="00201891">
        <w:rPr>
          <w:lang w:eastAsia="fr-FR"/>
        </w:rPr>
        <w:t xml:space="preserve">, par les processus de photosynthèse et d’assimilation d’éléments nutritifs. Elle joue un rôle clé dans les chaînes alimentaires. Par exemple, le plancton est à la base de la chaîne alimentaire des espèces marines. </w:t>
      </w:r>
    </w:p>
    <w:p w14:paraId="441D6C15" w14:textId="203B48DB" w:rsidR="00D146D1" w:rsidRPr="006F011C" w:rsidRDefault="006F011C" w:rsidP="0001633E">
      <w:pPr>
        <w:numPr>
          <w:ilvl w:val="0"/>
          <w:numId w:val="197"/>
        </w:numPr>
        <w:spacing w:beforeAutospacing="1" w:afterAutospacing="1" w:line="240" w:lineRule="auto"/>
        <w:contextualSpacing/>
        <w:rPr>
          <w:b/>
          <w:bCs/>
          <w:lang w:eastAsia="fr-FR"/>
        </w:rPr>
      </w:pPr>
      <w:r w:rsidRPr="00201891">
        <w:rPr>
          <w:b/>
          <w:bCs/>
          <w:lang w:eastAsia="fr-FR"/>
        </w:rPr>
        <w:t>Le cycle de l’eau :</w:t>
      </w:r>
      <w:r w:rsidRPr="006F011C">
        <w:rPr>
          <w:b/>
          <w:bCs/>
          <w:lang w:eastAsia="fr-FR"/>
        </w:rPr>
        <w:t xml:space="preserve"> </w:t>
      </w:r>
      <w:r w:rsidRPr="006F011C">
        <w:rPr>
          <w:lang w:eastAsia="fr-FR"/>
        </w:rPr>
        <w:t>Il désigne le processus par lequel l’eau voyage successivement de l’air (condensation) à la terre (précipitation) pour s’écouler ou s’infiltrer dans les nappes phréatiques, avant de retourner dans l’atmosphère (évaporation). Les hommes, par l’utilisation de l’eau, peuvent impacter ce cycle, à travers l’irrigation ou la construction de barrages par exemple.</w:t>
      </w:r>
    </w:p>
    <w:p w14:paraId="37C82DAF" w14:textId="626DBC9E" w:rsidR="00D146D1" w:rsidRPr="00D146D1" w:rsidRDefault="00D146D1" w:rsidP="00BB3596">
      <w:pPr>
        <w:pStyle w:val="Title4"/>
        <w:rPr>
          <w:lang w:val="fr-MA"/>
        </w:rPr>
      </w:pPr>
      <w:r w:rsidRPr="00D146D1">
        <w:rPr>
          <w:lang w:val="fr-MA"/>
        </w:rPr>
        <w:t>Les services d</w:t>
      </w:r>
      <w:r w:rsidR="006F011C">
        <w:rPr>
          <w:lang w:val="fr-MA"/>
        </w:rPr>
        <w:t>e régulation</w:t>
      </w:r>
    </w:p>
    <w:p w14:paraId="56F7CFF1" w14:textId="77777777" w:rsidR="00BE1C44" w:rsidRPr="00201891" w:rsidRDefault="00BE1C44" w:rsidP="00BE1C44">
      <w:pPr>
        <w:spacing w:before="100" w:beforeAutospacing="1" w:after="100" w:afterAutospacing="1"/>
        <w:rPr>
          <w:lang w:eastAsia="fr-FR"/>
        </w:rPr>
      </w:pPr>
      <w:r w:rsidRPr="00201891">
        <w:rPr>
          <w:lang w:eastAsia="fr-FR"/>
        </w:rPr>
        <w:t>Les services de régulation comprennent les services suivants :</w:t>
      </w:r>
    </w:p>
    <w:p w14:paraId="7BF14429" w14:textId="77777777" w:rsidR="00BE1C44" w:rsidRPr="00201891" w:rsidRDefault="00BE1C44" w:rsidP="0001633E">
      <w:pPr>
        <w:numPr>
          <w:ilvl w:val="0"/>
          <w:numId w:val="197"/>
        </w:numPr>
        <w:spacing w:beforeAutospacing="1" w:afterAutospacing="1" w:line="240" w:lineRule="auto"/>
        <w:contextualSpacing/>
        <w:rPr>
          <w:lang w:eastAsia="fr-FR"/>
        </w:rPr>
      </w:pPr>
      <w:r w:rsidRPr="00201891">
        <w:rPr>
          <w:b/>
          <w:bCs/>
          <w:lang w:eastAsia="fr-FR"/>
        </w:rPr>
        <w:t>La régulation du climat global :</w:t>
      </w:r>
      <w:r w:rsidRPr="00201891">
        <w:rPr>
          <w:lang w:eastAsia="fr-FR"/>
        </w:rPr>
        <w:t xml:space="preserve"> Certains milieux naturels, comme les forêts et les océans, ont un rôle important dans la régulation du climat global en capturant et stockant certains gaz de l’atmosphère (notamment le dioxyde de carbone). </w:t>
      </w:r>
    </w:p>
    <w:p w14:paraId="71D0E382" w14:textId="77777777" w:rsidR="00BE1C44" w:rsidRPr="00201891" w:rsidRDefault="00BE1C44" w:rsidP="0001633E">
      <w:pPr>
        <w:numPr>
          <w:ilvl w:val="0"/>
          <w:numId w:val="197"/>
        </w:numPr>
        <w:spacing w:beforeAutospacing="1" w:afterAutospacing="1" w:line="240" w:lineRule="auto"/>
        <w:contextualSpacing/>
        <w:rPr>
          <w:lang w:eastAsia="fr-FR"/>
        </w:rPr>
      </w:pPr>
      <w:r w:rsidRPr="00201891">
        <w:rPr>
          <w:b/>
          <w:bCs/>
          <w:lang w:eastAsia="fr-FR"/>
        </w:rPr>
        <w:t>La régulation du climat local :</w:t>
      </w:r>
      <w:r w:rsidRPr="00201891">
        <w:rPr>
          <w:lang w:eastAsia="fr-FR"/>
        </w:rPr>
        <w:t xml:space="preserve"> Les milieux naturels influencent la température locale et régionale, les précipitations, et d’autres facteurs climatiques comme la nébulosité, l’humidité... </w:t>
      </w:r>
    </w:p>
    <w:p w14:paraId="75B4F3ED" w14:textId="77777777" w:rsidR="00BE1C44" w:rsidRPr="00201891" w:rsidRDefault="00BE1C44" w:rsidP="0001633E">
      <w:pPr>
        <w:numPr>
          <w:ilvl w:val="0"/>
          <w:numId w:val="197"/>
        </w:numPr>
        <w:spacing w:beforeAutospacing="1" w:afterAutospacing="1" w:line="240" w:lineRule="auto"/>
        <w:contextualSpacing/>
        <w:rPr>
          <w:lang w:eastAsia="fr-FR"/>
        </w:rPr>
      </w:pPr>
      <w:r w:rsidRPr="00201891">
        <w:rPr>
          <w:b/>
          <w:bCs/>
          <w:lang w:eastAsia="fr-FR"/>
        </w:rPr>
        <w:t>La régulation de la qualité de l’air :</w:t>
      </w:r>
      <w:r w:rsidRPr="00201891">
        <w:rPr>
          <w:lang w:eastAsia="fr-FR"/>
        </w:rPr>
        <w:t xml:space="preserve"> Grâce à leur feuillage piégeant les particules de l’air, certains milieux naturels régulent la composition chimique de l’atmosphère. </w:t>
      </w:r>
    </w:p>
    <w:p w14:paraId="39FEB51F" w14:textId="77777777" w:rsidR="00BE1C44" w:rsidRPr="00201891" w:rsidRDefault="00BE1C44" w:rsidP="0001633E">
      <w:pPr>
        <w:numPr>
          <w:ilvl w:val="0"/>
          <w:numId w:val="197"/>
        </w:numPr>
        <w:spacing w:beforeAutospacing="1" w:afterAutospacing="1" w:line="240" w:lineRule="auto"/>
        <w:contextualSpacing/>
        <w:rPr>
          <w:lang w:eastAsia="fr-FR"/>
        </w:rPr>
      </w:pPr>
      <w:r w:rsidRPr="00201891">
        <w:rPr>
          <w:b/>
          <w:bCs/>
          <w:lang w:eastAsia="fr-FR"/>
        </w:rPr>
        <w:t>La régulation de la qualité de l’eau :</w:t>
      </w:r>
      <w:r w:rsidRPr="00201891">
        <w:rPr>
          <w:lang w:eastAsia="fr-FR"/>
        </w:rPr>
        <w:t xml:space="preserve"> Par les fonctions de filtration et d’autoépuration qu’ils exercent, certains milieux naturels comme les zones humides permettent de disposer d’une eau de bonne qualité.</w:t>
      </w:r>
    </w:p>
    <w:p w14:paraId="7B7740FF" w14:textId="77777777" w:rsidR="00BE1C44" w:rsidRPr="00201891" w:rsidRDefault="00BE1C44" w:rsidP="0001633E">
      <w:pPr>
        <w:numPr>
          <w:ilvl w:val="0"/>
          <w:numId w:val="197"/>
        </w:numPr>
        <w:spacing w:beforeAutospacing="1" w:afterAutospacing="1" w:line="240" w:lineRule="auto"/>
        <w:contextualSpacing/>
        <w:rPr>
          <w:lang w:eastAsia="fr-FR"/>
        </w:rPr>
      </w:pPr>
      <w:r w:rsidRPr="00201891">
        <w:rPr>
          <w:b/>
          <w:bCs/>
          <w:lang w:eastAsia="fr-FR"/>
        </w:rPr>
        <w:t>La régulation des espèces nuisibles, des infections et des maladies :</w:t>
      </w:r>
      <w:r w:rsidRPr="00201891">
        <w:rPr>
          <w:lang w:eastAsia="fr-FR"/>
        </w:rPr>
        <w:t xml:space="preserve"> Par exemple, les milieux naturels abritent des prédateurs naturels de parasites de cultures, comme les chauves-souris qui assurent un service de « régulation des parasites ». </w:t>
      </w:r>
    </w:p>
    <w:p w14:paraId="29057591" w14:textId="77777777" w:rsidR="00BE1C44" w:rsidRPr="00201891" w:rsidRDefault="00BE1C44" w:rsidP="0001633E">
      <w:pPr>
        <w:numPr>
          <w:ilvl w:val="0"/>
          <w:numId w:val="197"/>
        </w:numPr>
        <w:spacing w:beforeAutospacing="1" w:afterAutospacing="1" w:line="240" w:lineRule="auto"/>
        <w:contextualSpacing/>
        <w:rPr>
          <w:lang w:eastAsia="fr-FR"/>
        </w:rPr>
      </w:pPr>
      <w:r w:rsidRPr="00201891">
        <w:rPr>
          <w:b/>
          <w:bCs/>
          <w:lang w:eastAsia="fr-FR"/>
        </w:rPr>
        <w:t>La pollinisation :</w:t>
      </w:r>
      <w:r w:rsidRPr="00201891">
        <w:rPr>
          <w:lang w:eastAsia="fr-FR"/>
        </w:rPr>
        <w:t xml:space="preserve"> Les milieux naturels abritent de multiples espèces de pollinisateurs, tels les insectes, les oiseaux ou les chauves-souris, qui jouent un rôle indispensable pour la reproduction des espèces végétales sauvages et des cultures. Plus de 100.000 espèces animales procurent des services de pollinisation. La production de plus de trois quarts des cultures bénéficie de la pollinisation. Au niveau mondial, la contribution des pollinisateurs à la production alimentaire a été estimée à 153 milliards d’euros, soit 9,5% de la valeur de la production agricole mondiale.</w:t>
      </w:r>
    </w:p>
    <w:p w14:paraId="517C0A20" w14:textId="77777777" w:rsidR="00BE1C44" w:rsidRPr="00201891" w:rsidRDefault="00BE1C44" w:rsidP="0001633E">
      <w:pPr>
        <w:numPr>
          <w:ilvl w:val="0"/>
          <w:numId w:val="197"/>
        </w:numPr>
        <w:spacing w:beforeAutospacing="1" w:afterAutospacing="1" w:line="240" w:lineRule="auto"/>
        <w:contextualSpacing/>
        <w:rPr>
          <w:lang w:eastAsia="fr-FR"/>
        </w:rPr>
      </w:pPr>
      <w:r w:rsidRPr="00201891">
        <w:rPr>
          <w:b/>
          <w:bCs/>
          <w:lang w:eastAsia="fr-FR"/>
        </w:rPr>
        <w:t>La détoxification et la dégradation des déchets :</w:t>
      </w:r>
      <w:r w:rsidRPr="00201891">
        <w:rPr>
          <w:lang w:eastAsia="fr-FR"/>
        </w:rPr>
        <w:t xml:space="preserve"> Les milieux naturels assurent des fonctions de traitement des déchets, d’autoépuration, de contrôle des pollutions et de détoxification en fixant les polluants, en les dégradant, ou en diminuant leur concentration.</w:t>
      </w:r>
    </w:p>
    <w:p w14:paraId="685FA6CB" w14:textId="57A3DD27" w:rsidR="00D146D1" w:rsidRPr="00BE1C44" w:rsidRDefault="00BE1C44" w:rsidP="0001633E">
      <w:pPr>
        <w:pStyle w:val="Paragraphedeliste"/>
        <w:numPr>
          <w:ilvl w:val="0"/>
          <w:numId w:val="197"/>
        </w:numPr>
        <w:spacing w:before="100" w:beforeAutospacing="1" w:after="100" w:afterAutospacing="1"/>
        <w:rPr>
          <w:lang w:val="fr-MA" w:eastAsia="fr-FR" w:bidi="ar-SA"/>
        </w:rPr>
      </w:pPr>
      <w:r w:rsidRPr="00BE1C44">
        <w:rPr>
          <w:b/>
          <w:bCs/>
          <w:lang w:eastAsia="fr-FR"/>
        </w:rPr>
        <w:t>La régulation des risques naturels</w:t>
      </w:r>
      <w:r w:rsidRPr="00201891">
        <w:rPr>
          <w:lang w:eastAsia="fr-FR"/>
        </w:rPr>
        <w:t xml:space="preserve"> (incendies, inondations, ouragans, glissements de terrain…) : Les milieux naturels assurent une protection contre divers phénomènes naturels : par exemple, les zones humides jouent un rôle important dans la régulation des inondations et des crues grâce à leur </w:t>
      </w:r>
      <w:r w:rsidRPr="00201891">
        <w:rPr>
          <w:lang w:eastAsia="fr-FR"/>
        </w:rPr>
        <w:lastRenderedPageBreak/>
        <w:t>capacité de rétention des eaux, les composants végétaux des écosystèmes retiennent les sols, et les forêts côtières ou les mangroves constituent une barrière naturelle physique contre les dégâts causés par les ouragans</w:t>
      </w:r>
      <w:r w:rsidR="00D146D1" w:rsidRPr="00BE1C44">
        <w:rPr>
          <w:lang w:val="fr-MA" w:eastAsia="fr-FR" w:bidi="ar-SA"/>
        </w:rPr>
        <w:t>.</w:t>
      </w:r>
    </w:p>
    <w:p w14:paraId="388E9DED" w14:textId="662E21E3" w:rsidR="00D146D1" w:rsidRPr="00D146D1" w:rsidRDefault="00D146D1" w:rsidP="00BB3596">
      <w:pPr>
        <w:pStyle w:val="Title4"/>
        <w:rPr>
          <w:lang w:val="fr-MA"/>
        </w:rPr>
      </w:pPr>
      <w:r w:rsidRPr="00D146D1">
        <w:rPr>
          <w:lang w:val="fr-MA"/>
        </w:rPr>
        <w:t xml:space="preserve">Les services </w:t>
      </w:r>
      <w:r w:rsidR="00BE1C44">
        <w:rPr>
          <w:lang w:val="fr-MA"/>
        </w:rPr>
        <w:t>d’approvisionnement</w:t>
      </w:r>
      <w:r w:rsidRPr="00D146D1">
        <w:rPr>
          <w:lang w:val="fr-MA"/>
        </w:rPr>
        <w:t> </w:t>
      </w:r>
    </w:p>
    <w:p w14:paraId="238622BA" w14:textId="77777777" w:rsidR="00FC241B" w:rsidRPr="00201891" w:rsidRDefault="00FC241B" w:rsidP="00FC241B">
      <w:pPr>
        <w:spacing w:before="100" w:beforeAutospacing="1" w:after="100" w:afterAutospacing="1"/>
        <w:rPr>
          <w:lang w:eastAsia="fr-FR"/>
        </w:rPr>
      </w:pPr>
      <w:r w:rsidRPr="00201891">
        <w:rPr>
          <w:lang w:eastAsia="fr-FR"/>
        </w:rPr>
        <w:t>Ces services sont à l’origine des « produits finis » que procurent les écosystèmes, comme la production de nourriture, de fibres, d’eau douce ou encore la mise à disposition de ressources génétiques.</w:t>
      </w:r>
    </w:p>
    <w:p w14:paraId="6BEF0F49" w14:textId="77777777" w:rsidR="00FC241B" w:rsidRPr="00201891" w:rsidRDefault="00FC241B" w:rsidP="0001633E">
      <w:pPr>
        <w:numPr>
          <w:ilvl w:val="0"/>
          <w:numId w:val="197"/>
        </w:numPr>
        <w:spacing w:beforeAutospacing="1" w:afterAutospacing="1" w:line="240" w:lineRule="auto"/>
        <w:contextualSpacing/>
        <w:rPr>
          <w:lang w:eastAsia="fr-FR"/>
        </w:rPr>
      </w:pPr>
      <w:r w:rsidRPr="00201891">
        <w:rPr>
          <w:b/>
          <w:bCs/>
          <w:lang w:eastAsia="fr-FR"/>
        </w:rPr>
        <w:t>L’eau douce :</w:t>
      </w:r>
      <w:r w:rsidRPr="00201891">
        <w:rPr>
          <w:lang w:eastAsia="fr-FR"/>
        </w:rPr>
        <w:t xml:space="preserve"> On trouve dans la nature des réservoirs d’eau douce de bonne qualité et potentiellement potable (eaux souterraines, cours d’eau ou milieux humides…) qui servent à la consommation domestique ou à des fins de production agricole, énergétique ou industrielle (par ex. : le refroidissement des machines). </w:t>
      </w:r>
    </w:p>
    <w:p w14:paraId="4D2A5BEE" w14:textId="77777777" w:rsidR="00FC241B" w:rsidRPr="00201891" w:rsidRDefault="00FC241B" w:rsidP="0001633E">
      <w:pPr>
        <w:numPr>
          <w:ilvl w:val="0"/>
          <w:numId w:val="197"/>
        </w:numPr>
        <w:spacing w:beforeAutospacing="1" w:afterAutospacing="1" w:line="240" w:lineRule="auto"/>
        <w:contextualSpacing/>
        <w:rPr>
          <w:lang w:eastAsia="fr-FR"/>
        </w:rPr>
      </w:pPr>
      <w:r w:rsidRPr="00201891">
        <w:rPr>
          <w:b/>
          <w:bCs/>
          <w:lang w:eastAsia="fr-FR"/>
        </w:rPr>
        <w:t>L’air :</w:t>
      </w:r>
      <w:r w:rsidRPr="00201891">
        <w:rPr>
          <w:lang w:eastAsia="fr-FR"/>
        </w:rPr>
        <w:t xml:space="preserve"> Les milieux naturels, comme les forêts, fournissent de l’air de bonne qualité, indispensable à notre santé. </w:t>
      </w:r>
    </w:p>
    <w:p w14:paraId="6D158F67" w14:textId="77777777" w:rsidR="00FC241B" w:rsidRPr="00201891" w:rsidRDefault="00FC241B" w:rsidP="0001633E">
      <w:pPr>
        <w:numPr>
          <w:ilvl w:val="0"/>
          <w:numId w:val="197"/>
        </w:numPr>
        <w:spacing w:beforeAutospacing="1" w:afterAutospacing="1" w:line="240" w:lineRule="auto"/>
        <w:contextualSpacing/>
        <w:rPr>
          <w:lang w:eastAsia="fr-FR"/>
        </w:rPr>
      </w:pPr>
      <w:r w:rsidRPr="00201891">
        <w:rPr>
          <w:b/>
          <w:bCs/>
          <w:lang w:eastAsia="fr-FR"/>
        </w:rPr>
        <w:t>La nourriture :</w:t>
      </w:r>
      <w:r w:rsidRPr="00201891">
        <w:rPr>
          <w:lang w:eastAsia="fr-FR"/>
        </w:rPr>
        <w:t xml:space="preserve"> Les milieux naturels sont des sources de nourriture d’origine végétale ou animale, issues d’espèces sauvages (chassées, pêchées ou cueillies) ou d’espèces utilisées dans des cultures ou des élevages.</w:t>
      </w:r>
    </w:p>
    <w:p w14:paraId="6F2B495E" w14:textId="77777777" w:rsidR="00FC241B" w:rsidRPr="00201891" w:rsidRDefault="00FC241B" w:rsidP="0001633E">
      <w:pPr>
        <w:numPr>
          <w:ilvl w:val="0"/>
          <w:numId w:val="197"/>
        </w:numPr>
        <w:spacing w:beforeAutospacing="1" w:afterAutospacing="1" w:line="240" w:lineRule="auto"/>
        <w:contextualSpacing/>
        <w:rPr>
          <w:lang w:eastAsia="fr-FR"/>
        </w:rPr>
      </w:pPr>
      <w:r w:rsidRPr="00201891">
        <w:rPr>
          <w:b/>
          <w:bCs/>
          <w:lang w:eastAsia="fr-FR"/>
        </w:rPr>
        <w:t>Les matériaux et fibres :</w:t>
      </w:r>
      <w:r w:rsidRPr="00201891">
        <w:rPr>
          <w:lang w:eastAsia="fr-FR"/>
        </w:rPr>
        <w:t xml:space="preserve"> Plusieurs sortes de matériaux ou substances peuvent être récoltées dans les milieux naturels. On trouve par exemple : » Du bois et d’autres produits ligneux, obtenus à partir de la récolte d’arbres dans les forêts naturelles ou les plantations (bois brut, pulpe, papier) ; » Des fibres et résines, comme le coton, le chanvre, le caoutchouc… » Des peaux animales (cuirs)… </w:t>
      </w:r>
    </w:p>
    <w:p w14:paraId="6AAA8B2A" w14:textId="77777777" w:rsidR="00FC241B" w:rsidRPr="00201891" w:rsidRDefault="00FC241B" w:rsidP="0001633E">
      <w:pPr>
        <w:numPr>
          <w:ilvl w:val="0"/>
          <w:numId w:val="197"/>
        </w:numPr>
        <w:spacing w:beforeAutospacing="1" w:afterAutospacing="1" w:line="240" w:lineRule="auto"/>
        <w:contextualSpacing/>
        <w:rPr>
          <w:lang w:eastAsia="fr-FR"/>
        </w:rPr>
      </w:pPr>
      <w:r w:rsidRPr="00201891">
        <w:rPr>
          <w:b/>
          <w:bCs/>
          <w:lang w:eastAsia="fr-FR"/>
        </w:rPr>
        <w:t>Les agrocarburants</w:t>
      </w:r>
      <w:r w:rsidRPr="00201891">
        <w:rPr>
          <w:lang w:eastAsia="fr-FR"/>
        </w:rPr>
        <w:t xml:space="preserve">, matériaux dérivés d’organismes vivants qui servent de source d’énergie (bois, biomasse, céréales pour la production d’éthanol, etc.). </w:t>
      </w:r>
    </w:p>
    <w:p w14:paraId="2BA9B961" w14:textId="77777777" w:rsidR="00FC241B" w:rsidRPr="00201891" w:rsidRDefault="00FC241B" w:rsidP="0001633E">
      <w:pPr>
        <w:numPr>
          <w:ilvl w:val="0"/>
          <w:numId w:val="197"/>
        </w:numPr>
        <w:spacing w:beforeAutospacing="1" w:afterAutospacing="1" w:line="240" w:lineRule="auto"/>
        <w:contextualSpacing/>
        <w:rPr>
          <w:lang w:eastAsia="fr-FR"/>
        </w:rPr>
      </w:pPr>
      <w:r w:rsidRPr="00201891">
        <w:rPr>
          <w:b/>
          <w:bCs/>
          <w:lang w:eastAsia="fr-FR"/>
        </w:rPr>
        <w:t>Les ressources ornementales</w:t>
      </w:r>
      <w:r w:rsidRPr="00201891">
        <w:rPr>
          <w:lang w:eastAsia="fr-FR"/>
        </w:rPr>
        <w:t xml:space="preserve"> pour les valeurs esthétiques (coquilles, fleurs…). </w:t>
      </w:r>
    </w:p>
    <w:p w14:paraId="29398007" w14:textId="77777777" w:rsidR="00FC241B" w:rsidRPr="00201891" w:rsidRDefault="00FC241B" w:rsidP="0001633E">
      <w:pPr>
        <w:numPr>
          <w:ilvl w:val="0"/>
          <w:numId w:val="197"/>
        </w:numPr>
        <w:spacing w:beforeAutospacing="1" w:afterAutospacing="1" w:line="240" w:lineRule="auto"/>
        <w:contextualSpacing/>
        <w:rPr>
          <w:lang w:eastAsia="fr-FR"/>
        </w:rPr>
      </w:pPr>
      <w:r w:rsidRPr="00201891">
        <w:rPr>
          <w:b/>
          <w:bCs/>
          <w:lang w:eastAsia="fr-FR"/>
        </w:rPr>
        <w:t>Les ressources génétiques :</w:t>
      </w:r>
      <w:r w:rsidRPr="00201891">
        <w:rPr>
          <w:lang w:eastAsia="fr-FR"/>
        </w:rPr>
        <w:t xml:space="preserve"> La nature et les espèces vivantes constituent une réserve de ressources génétiques uniques que nous utilisons ou pourrons utiliser à des buts scientifiques, industriels, agricoles ou agroalimentaires. </w:t>
      </w:r>
    </w:p>
    <w:p w14:paraId="0F528527" w14:textId="77777777" w:rsidR="00FC241B" w:rsidRDefault="00FC241B" w:rsidP="0001633E">
      <w:pPr>
        <w:pStyle w:val="Paragraphedeliste"/>
        <w:numPr>
          <w:ilvl w:val="0"/>
          <w:numId w:val="197"/>
        </w:numPr>
        <w:rPr>
          <w:lang w:val="fr-MA" w:eastAsia="fr-FR" w:bidi="ar-SA"/>
        </w:rPr>
      </w:pPr>
      <w:r w:rsidRPr="00FC241B">
        <w:rPr>
          <w:b/>
          <w:bCs/>
          <w:lang w:eastAsia="fr-FR"/>
        </w:rPr>
        <w:t>Les composés médicinaux et pharmaceutiques :</w:t>
      </w:r>
      <w:r w:rsidRPr="00201891">
        <w:rPr>
          <w:lang w:eastAsia="fr-FR"/>
        </w:rPr>
        <w:t xml:space="preserve"> La bio prospection (c’est-à-dire la recherche dans la biodiversité de ressources génétiques et biochimiques a révélé que les milieux naturels regorgent de matières et produits qui peuvent être utilisés à des buts médicinaux ou pharmaceutiques. La plupart des molécules présentes dans les médicaments sont issues des plantes, animaux ou micro-organismes. Les espèces sauvages ont créé des mécanismes chimiques extrêmement élaborés. La santé de 80% de la population mondiale repose sur les produits médicinaux naturels</w:t>
      </w:r>
      <w:r w:rsidR="00D146D1" w:rsidRPr="00FC241B">
        <w:rPr>
          <w:lang w:val="fr-MA" w:eastAsia="fr-FR" w:bidi="ar-SA"/>
        </w:rPr>
        <w:t>.</w:t>
      </w:r>
    </w:p>
    <w:p w14:paraId="3059B7A1" w14:textId="49584DC3" w:rsidR="00FC241B" w:rsidRDefault="00FC241B" w:rsidP="00FC241B">
      <w:pPr>
        <w:pStyle w:val="Title4"/>
        <w:rPr>
          <w:lang w:val="fr-MA"/>
        </w:rPr>
      </w:pPr>
      <w:r>
        <w:rPr>
          <w:lang w:val="fr-MA"/>
        </w:rPr>
        <w:t>Les services culturels</w:t>
      </w:r>
    </w:p>
    <w:p w14:paraId="562A045F" w14:textId="4B3C602B" w:rsidR="000931D1" w:rsidRPr="00201891" w:rsidRDefault="000931D1" w:rsidP="000931D1">
      <w:pPr>
        <w:spacing w:before="100" w:beforeAutospacing="1" w:after="100" w:afterAutospacing="1"/>
        <w:rPr>
          <w:lang w:eastAsia="fr-FR"/>
        </w:rPr>
      </w:pPr>
      <w:r w:rsidRPr="00201891">
        <w:rPr>
          <w:lang w:eastAsia="fr-FR"/>
        </w:rPr>
        <w:t xml:space="preserve">Ils correspondent aux services non matériels obtenus des écosystèmes à travers l’enrichissement spirituel, le développement cognitif, la réflexion, l’inspiration artistique ou les loisirs. Ceux-ci nous permettent de développer et entretenir nos systèmes de savoir, nos relations sociales et nos valeurs esthétiques. </w:t>
      </w:r>
    </w:p>
    <w:p w14:paraId="24F6A22E" w14:textId="77777777" w:rsidR="000931D1" w:rsidRPr="00201891" w:rsidRDefault="000931D1" w:rsidP="0001633E">
      <w:pPr>
        <w:numPr>
          <w:ilvl w:val="0"/>
          <w:numId w:val="197"/>
        </w:numPr>
        <w:spacing w:beforeAutospacing="1" w:afterAutospacing="1" w:line="240" w:lineRule="auto"/>
        <w:contextualSpacing/>
        <w:rPr>
          <w:lang w:eastAsia="fr-FR"/>
        </w:rPr>
      </w:pPr>
      <w:r w:rsidRPr="00201891">
        <w:rPr>
          <w:b/>
          <w:bCs/>
          <w:lang w:eastAsia="fr-FR"/>
        </w:rPr>
        <w:t>Les services à dimension culturelle</w:t>
      </w:r>
      <w:r w:rsidRPr="00201891">
        <w:rPr>
          <w:lang w:eastAsia="fr-FR"/>
        </w:rPr>
        <w:t xml:space="preserve"> (aménités environnementales) : La nature est à l’origine de différentes activités culturelles, à la base des relations sociales, mais également de valeurs spirituelles et religieuses, de systèmes de connaissances, de valeurs d’éducation et d’héritage culturel, d’inspiration, de valeurs esthétiques et donne un sentiment d’appartenance. </w:t>
      </w:r>
    </w:p>
    <w:p w14:paraId="524D6151" w14:textId="5C79E468" w:rsidR="00D146D1" w:rsidRPr="000931D1" w:rsidRDefault="000931D1" w:rsidP="0001633E">
      <w:pPr>
        <w:pStyle w:val="Paragraphedeliste"/>
        <w:numPr>
          <w:ilvl w:val="0"/>
          <w:numId w:val="197"/>
        </w:numPr>
        <w:rPr>
          <w:lang w:val="fr-MA" w:eastAsia="fr-FR" w:bidi="ar-SA"/>
        </w:rPr>
      </w:pPr>
      <w:r w:rsidRPr="000931D1">
        <w:rPr>
          <w:b/>
          <w:bCs/>
          <w:lang w:eastAsia="fr-FR"/>
        </w:rPr>
        <w:lastRenderedPageBreak/>
        <w:t>Les services à dimension de loisirs :</w:t>
      </w:r>
      <w:r w:rsidRPr="00201891">
        <w:rPr>
          <w:lang w:eastAsia="fr-FR"/>
        </w:rPr>
        <w:t xml:space="preserve"> Les milieux naturels offrent diverses opportunités pour le tourisme et des activités de loisirs comme les sports en extérieur, la chasse et la pêche de loisir, etc</w:t>
      </w:r>
      <w:r>
        <w:rPr>
          <w:lang w:eastAsia="fr-FR"/>
        </w:rPr>
        <w:t>.</w:t>
      </w:r>
    </w:p>
    <w:p w14:paraId="0A903F3C" w14:textId="77777777" w:rsidR="00D146D1" w:rsidRPr="00D146D1" w:rsidRDefault="00D146D1" w:rsidP="00CD7FB7">
      <w:pPr>
        <w:pStyle w:val="Title3"/>
        <w:rPr>
          <w:rFonts w:eastAsia="Calibri"/>
          <w:lang w:val="fr-MA" w:bidi="ar-SA"/>
        </w:rPr>
      </w:pPr>
      <w:bookmarkStart w:id="298" w:name="_Toc195007725"/>
      <w:bookmarkStart w:id="299" w:name="_Toc215131852"/>
      <w:r w:rsidRPr="00D146D1">
        <w:rPr>
          <w:rFonts w:eastAsia="Calibri"/>
          <w:lang w:val="fr-MA" w:bidi="ar-SA"/>
        </w:rPr>
        <w:t>Les services écosystémiques de la zone de projet</w:t>
      </w:r>
      <w:bookmarkEnd w:id="298"/>
      <w:bookmarkEnd w:id="299"/>
    </w:p>
    <w:p w14:paraId="5AD68FB3" w14:textId="0F41BF29" w:rsidR="00D146D1" w:rsidRPr="00D146D1" w:rsidRDefault="004944A9" w:rsidP="00B80E32">
      <w:pPr>
        <w:rPr>
          <w:rFonts w:eastAsia="Calibri"/>
          <w:lang w:val="fr-MA" w:bidi="ar-SA"/>
        </w:rPr>
      </w:pPr>
      <w:r>
        <w:t>La zone concernée par l’extension de l’aéroport de Marrakech se situe dans un environnement largement anthropisé et urbanisé, à proximité d’espaces verts aménagés, de jardins publics. On y trouve également, dans la zone d’étude élargie, des oueds saisonniers et des corridors végétalisés qui assurent encore certaines fonctions écologiques. Les écosystèmes présents, bien que fragmentés, continuent d'offrir divers services écosystémiques, essentiels pour le bien-être des populations locales et pour l’équilibre environnemental du territoire</w:t>
      </w:r>
      <w:r w:rsidR="00D146D1" w:rsidRPr="00D146D1">
        <w:rPr>
          <w:rFonts w:eastAsia="Calibri"/>
          <w:lang w:val="fr-MA" w:bidi="ar-SA"/>
        </w:rPr>
        <w:t>.</w:t>
      </w:r>
    </w:p>
    <w:p w14:paraId="7453BAFD" w14:textId="77777777" w:rsidR="00D146D1" w:rsidRPr="00D146D1" w:rsidRDefault="00D146D1" w:rsidP="00B80E32">
      <w:pPr>
        <w:pStyle w:val="Title5"/>
        <w:rPr>
          <w:rFonts w:eastAsia="Calibri"/>
          <w:lang w:val="fr-MA" w:bidi="ar-SA"/>
        </w:rPr>
      </w:pPr>
      <w:r w:rsidRPr="00D146D1">
        <w:rPr>
          <w:rFonts w:eastAsia="Calibri"/>
          <w:lang w:val="fr-MA" w:bidi="ar-SA"/>
        </w:rPr>
        <w:t>Les services de support</w:t>
      </w:r>
    </w:p>
    <w:p w14:paraId="4B396A81" w14:textId="77777777" w:rsidR="00D146D1" w:rsidRPr="00B80E32" w:rsidRDefault="00D146D1" w:rsidP="0001633E">
      <w:pPr>
        <w:pStyle w:val="Paragraphedeliste"/>
        <w:numPr>
          <w:ilvl w:val="0"/>
          <w:numId w:val="30"/>
        </w:numPr>
        <w:rPr>
          <w:rFonts w:eastAsia="Calibri"/>
          <w:lang w:eastAsia="en-GB" w:bidi="ar-SA"/>
        </w:rPr>
      </w:pPr>
      <w:r w:rsidRPr="00B80E32">
        <w:rPr>
          <w:rFonts w:eastAsia="Calibri"/>
          <w:b/>
          <w:bCs/>
          <w:lang w:eastAsia="en-GB" w:bidi="ar-SA"/>
        </w:rPr>
        <w:t>Habitat pour la biodiversité</w:t>
      </w:r>
      <w:r w:rsidRPr="00B80E32">
        <w:rPr>
          <w:rFonts w:eastAsia="Calibri"/>
          <w:lang w:eastAsia="en-GB" w:bidi="ar-SA"/>
        </w:rPr>
        <w:t xml:space="preserve"> : Les espaces verts urbains, les alignements d’arbres, offrent des habitats pour une diversité d’espèces végétales et animales, notamment des oiseaux, des reptiles et des insectes. Ces habitats constituent des refuges et des zones de nidification pour la faune adaptée aux milieux urbains et périurbains.</w:t>
      </w:r>
    </w:p>
    <w:p w14:paraId="74B7B498" w14:textId="77777777" w:rsidR="00D146D1" w:rsidRPr="00B80E32" w:rsidRDefault="00D146D1" w:rsidP="0001633E">
      <w:pPr>
        <w:pStyle w:val="Paragraphedeliste"/>
        <w:numPr>
          <w:ilvl w:val="0"/>
          <w:numId w:val="30"/>
        </w:numPr>
        <w:rPr>
          <w:rFonts w:eastAsia="Calibri"/>
          <w:lang w:eastAsia="en-GB" w:bidi="ar-SA"/>
        </w:rPr>
      </w:pPr>
      <w:r w:rsidRPr="00B80E32">
        <w:rPr>
          <w:rFonts w:eastAsia="Calibri"/>
          <w:b/>
          <w:bCs/>
          <w:lang w:eastAsia="en-GB" w:bidi="ar-SA"/>
        </w:rPr>
        <w:t>Support à la productivité biologique</w:t>
      </w:r>
      <w:r w:rsidRPr="00B80E32">
        <w:rPr>
          <w:rFonts w:eastAsia="Calibri"/>
          <w:lang w:eastAsia="en-GB" w:bidi="ar-SA"/>
        </w:rPr>
        <w:t xml:space="preserve"> : Les jardins, parcs et les zones boisées résiduelles jouent un rôle dans le maintien de la productivité biologique locale. Ils favorisent la pollinisation, assurée par les insectes (abeilles, papillons), et participent à la régénération naturelle de certaines espèces végétales.</w:t>
      </w:r>
    </w:p>
    <w:p w14:paraId="46983456" w14:textId="77777777" w:rsidR="00D146D1" w:rsidRPr="00D146D1" w:rsidRDefault="00D146D1" w:rsidP="00B80E32">
      <w:pPr>
        <w:pStyle w:val="Title5"/>
        <w:rPr>
          <w:rFonts w:eastAsia="Calibri"/>
          <w:lang w:val="fr-MA" w:bidi="ar-SA"/>
        </w:rPr>
      </w:pPr>
      <w:r w:rsidRPr="00D146D1">
        <w:rPr>
          <w:rFonts w:eastAsia="Calibri"/>
          <w:lang w:val="fr-MA" w:bidi="ar-SA"/>
        </w:rPr>
        <w:t>Les services de régulation</w:t>
      </w:r>
    </w:p>
    <w:p w14:paraId="581CB0AA" w14:textId="77777777" w:rsidR="00D146D1" w:rsidRPr="00B80E32" w:rsidRDefault="00D146D1" w:rsidP="0001633E">
      <w:pPr>
        <w:pStyle w:val="Paragraphedeliste"/>
        <w:numPr>
          <w:ilvl w:val="0"/>
          <w:numId w:val="31"/>
        </w:numPr>
        <w:rPr>
          <w:rFonts w:eastAsia="Calibri"/>
          <w:lang w:eastAsia="en-GB" w:bidi="ar-SA"/>
        </w:rPr>
      </w:pPr>
      <w:r w:rsidRPr="00B80E32">
        <w:rPr>
          <w:rFonts w:eastAsia="Calibri"/>
          <w:b/>
          <w:bCs/>
          <w:lang w:eastAsia="en-GB" w:bidi="ar-SA"/>
        </w:rPr>
        <w:t>Régulation hydrique</w:t>
      </w:r>
      <w:r w:rsidRPr="00B80E32">
        <w:rPr>
          <w:rFonts w:eastAsia="Calibri"/>
          <w:lang w:eastAsia="en-GB" w:bidi="ar-SA"/>
        </w:rPr>
        <w:t xml:space="preserve"> : Les oueds saisonniers présents en périphérie de la zone de projet contribuent à la régulation naturelle des eaux pluviales en période de crue, limitant ainsi les risques d’inondation en aval. Les sols végétalisés des espaces verts facilitent également l’infiltration des eaux de pluie, participant à la recharge locale des nappes phréatiques.</w:t>
      </w:r>
    </w:p>
    <w:p w14:paraId="5FB25966" w14:textId="77777777" w:rsidR="00D146D1" w:rsidRPr="00B80E32" w:rsidRDefault="00D146D1" w:rsidP="0001633E">
      <w:pPr>
        <w:pStyle w:val="Paragraphedeliste"/>
        <w:numPr>
          <w:ilvl w:val="0"/>
          <w:numId w:val="31"/>
        </w:numPr>
        <w:rPr>
          <w:rFonts w:eastAsia="Calibri"/>
          <w:lang w:eastAsia="en-GB" w:bidi="ar-SA"/>
        </w:rPr>
      </w:pPr>
      <w:r w:rsidRPr="00B80E32">
        <w:rPr>
          <w:rFonts w:eastAsia="Calibri"/>
          <w:b/>
          <w:bCs/>
          <w:lang w:eastAsia="en-GB" w:bidi="ar-SA"/>
        </w:rPr>
        <w:t>Régulation du climat local</w:t>
      </w:r>
      <w:r w:rsidRPr="00B80E32">
        <w:rPr>
          <w:rFonts w:eastAsia="Calibri"/>
          <w:lang w:eastAsia="en-GB" w:bidi="ar-SA"/>
        </w:rPr>
        <w:t xml:space="preserve"> : La végétation présente dans les espaces verts, les jardins et les alignements d’arbres joue un rôle de régulateur thermique en milieu urbain. Elle contribue à l’atténuation des îlots de chaleur, offre de l’ombre et améliore la qualité de l’air en captant les poussières et en absorbant le CO2.</w:t>
      </w:r>
    </w:p>
    <w:p w14:paraId="581C909E" w14:textId="77777777" w:rsidR="00D146D1" w:rsidRPr="00D146D1" w:rsidRDefault="00D146D1" w:rsidP="00B80E32">
      <w:pPr>
        <w:pStyle w:val="Title5"/>
        <w:rPr>
          <w:rFonts w:eastAsia="Calibri"/>
          <w:lang w:val="fr-MA" w:bidi="ar-SA"/>
        </w:rPr>
      </w:pPr>
      <w:r w:rsidRPr="00D146D1">
        <w:rPr>
          <w:rFonts w:eastAsia="Calibri"/>
          <w:lang w:val="fr-MA" w:bidi="ar-SA"/>
        </w:rPr>
        <w:t>Les services d’approvisionnement</w:t>
      </w:r>
    </w:p>
    <w:p w14:paraId="5AE4F32F" w14:textId="77777777" w:rsidR="00D146D1" w:rsidRPr="00B80E32" w:rsidRDefault="00D146D1" w:rsidP="0001633E">
      <w:pPr>
        <w:pStyle w:val="Paragraphedeliste"/>
        <w:numPr>
          <w:ilvl w:val="0"/>
          <w:numId w:val="32"/>
        </w:numPr>
        <w:rPr>
          <w:rFonts w:eastAsia="Calibri"/>
          <w:lang w:eastAsia="en-GB" w:bidi="ar-SA"/>
        </w:rPr>
      </w:pPr>
      <w:r w:rsidRPr="00B80E32">
        <w:rPr>
          <w:rFonts w:eastAsia="Calibri"/>
          <w:b/>
          <w:bCs/>
          <w:lang w:eastAsia="en-GB" w:bidi="ar-SA"/>
        </w:rPr>
        <w:t>Produits végétaux :</w:t>
      </w:r>
      <w:r w:rsidRPr="00B80E32">
        <w:rPr>
          <w:rFonts w:eastAsia="Calibri"/>
          <w:lang w:eastAsia="en-GB" w:bidi="ar-SA"/>
        </w:rPr>
        <w:t xml:space="preserve"> Les jardins urbains et les parcs peuvent fournir, à petite échelle, des produits alimentaires et contribuer à la diversité florale utilisée à des fins ornementales ou médicinales.</w:t>
      </w:r>
    </w:p>
    <w:p w14:paraId="1C524099" w14:textId="77777777" w:rsidR="00D146D1" w:rsidRPr="00D146D1" w:rsidRDefault="00D146D1" w:rsidP="00B80E32">
      <w:pPr>
        <w:pStyle w:val="Title5"/>
        <w:rPr>
          <w:rFonts w:eastAsia="Calibri"/>
          <w:lang w:val="fr-MA" w:bidi="ar-SA"/>
        </w:rPr>
      </w:pPr>
      <w:r w:rsidRPr="00D146D1">
        <w:rPr>
          <w:rFonts w:eastAsia="Calibri"/>
          <w:lang w:val="fr-MA" w:bidi="ar-SA"/>
        </w:rPr>
        <w:t>Les services culturels</w:t>
      </w:r>
    </w:p>
    <w:p w14:paraId="1A84DDFD" w14:textId="77777777" w:rsidR="00D146D1" w:rsidRPr="00B80E32" w:rsidRDefault="00D146D1" w:rsidP="0001633E">
      <w:pPr>
        <w:pStyle w:val="Paragraphedeliste"/>
        <w:numPr>
          <w:ilvl w:val="0"/>
          <w:numId w:val="33"/>
        </w:numPr>
        <w:rPr>
          <w:rFonts w:eastAsia="Calibri"/>
          <w:lang w:eastAsia="en-GB" w:bidi="ar-SA"/>
        </w:rPr>
      </w:pPr>
      <w:r w:rsidRPr="00B80E32">
        <w:rPr>
          <w:rFonts w:eastAsia="Calibri"/>
          <w:b/>
          <w:bCs/>
          <w:lang w:eastAsia="en-GB" w:bidi="ar-SA"/>
        </w:rPr>
        <w:t>Récréation et bien-être</w:t>
      </w:r>
      <w:r w:rsidRPr="00B80E32">
        <w:rPr>
          <w:rFonts w:eastAsia="Calibri"/>
          <w:lang w:eastAsia="en-GB" w:bidi="ar-SA"/>
        </w:rPr>
        <w:t xml:space="preserve"> : Les parcs, jardins et promenades arborées à proximité de la zone de projet offrent des espaces de détente et de loisirs pour les habitants. Ces espaces permettent des activités comme la marche, la course, le pique-nique ou l’observation de la nature.</w:t>
      </w:r>
    </w:p>
    <w:p w14:paraId="7644F36C" w14:textId="6FE4FDF9" w:rsidR="00D146D1" w:rsidRPr="00B80E32" w:rsidRDefault="00D146D1" w:rsidP="0001633E">
      <w:pPr>
        <w:pStyle w:val="Paragraphedeliste"/>
        <w:numPr>
          <w:ilvl w:val="0"/>
          <w:numId w:val="33"/>
        </w:numPr>
        <w:rPr>
          <w:szCs w:val="20"/>
          <w:lang w:eastAsia="fr-FR" w:bidi="ar-SA"/>
        </w:rPr>
      </w:pPr>
      <w:r w:rsidRPr="00B80E32">
        <w:rPr>
          <w:rFonts w:eastAsia="Calibri"/>
          <w:b/>
          <w:bCs/>
          <w:lang w:eastAsia="en-GB" w:bidi="ar-SA"/>
        </w:rPr>
        <w:t>Valeur esthétique et identitaire :</w:t>
      </w:r>
      <w:r w:rsidRPr="00B80E32">
        <w:rPr>
          <w:rFonts w:eastAsia="Calibri"/>
          <w:lang w:eastAsia="en-GB" w:bidi="ar-SA"/>
        </w:rPr>
        <w:t xml:space="preserve"> Les paysages verdoyants, en particulier ceux des jardins traditionnels et des palmeraies environnantes, contribuent à l’identité culturelle </w:t>
      </w:r>
      <w:r w:rsidR="0032128F">
        <w:rPr>
          <w:rFonts w:eastAsia="Calibri"/>
          <w:lang w:eastAsia="en-GB" w:bidi="ar-SA"/>
        </w:rPr>
        <w:t>de Marrakech</w:t>
      </w:r>
      <w:r w:rsidR="004662BD">
        <w:rPr>
          <w:rFonts w:eastAsia="Calibri"/>
          <w:lang w:eastAsia="en-GB" w:bidi="ar-SA"/>
        </w:rPr>
        <w:t xml:space="preserve"> </w:t>
      </w:r>
      <w:r w:rsidRPr="00B80E32">
        <w:rPr>
          <w:rFonts w:eastAsia="Calibri"/>
          <w:lang w:eastAsia="en-GB" w:bidi="ar-SA"/>
        </w:rPr>
        <w:t>et participent à l’attractivité touristique de la région.</w:t>
      </w:r>
    </w:p>
    <w:p w14:paraId="1C38E8E0" w14:textId="056F02EF" w:rsidR="00DF714E" w:rsidRDefault="009D67D5" w:rsidP="00DA59D3">
      <w:pPr>
        <w:pStyle w:val="Title3"/>
      </w:pPr>
      <w:bookmarkStart w:id="300" w:name="_Toc181619013"/>
      <w:bookmarkStart w:id="301" w:name="_Toc215131853"/>
      <w:r>
        <w:lastRenderedPageBreak/>
        <w:t>F</w:t>
      </w:r>
      <w:r w:rsidR="006E41F9">
        <w:t>aune</w:t>
      </w:r>
      <w:bookmarkEnd w:id="300"/>
      <w:bookmarkEnd w:id="301"/>
    </w:p>
    <w:p w14:paraId="2DB124CE" w14:textId="743F80D4" w:rsidR="006E41F9" w:rsidRDefault="00BF440D" w:rsidP="006E41F9">
      <w:bookmarkStart w:id="302" w:name="_Hlk181872622"/>
      <w:r w:rsidRPr="00DD49D1">
        <w:t>La flore a été caractérisée par grands milieux (espaces verts/jardins et alignements arborés, parcelles irriguées, friches/jachères, milieux hydrauliques artificiels, haies/lisières, zones nues/gazonnées). La liste ci-après reprend les taxons les plus représentatifs et/ou d’intérêt de gestion (espèces structurantes, indicatrices d’humidité ou de perturbation, exotiques/invasives), avec indication de leur présence dans l’emprise aéroportuaire (ZA) et hors emprise (ZER/ZEE)</w:t>
      </w:r>
      <w:r w:rsidR="006E41F9" w:rsidRPr="006E41F9">
        <w:t>.</w:t>
      </w:r>
    </w:p>
    <w:tbl>
      <w:tblPr>
        <w:tblW w:w="5000" w:type="pct"/>
        <w:tblCellMar>
          <w:left w:w="70" w:type="dxa"/>
          <w:right w:w="70" w:type="dxa"/>
        </w:tblCellMar>
        <w:tblLook w:val="04A0" w:firstRow="1" w:lastRow="0" w:firstColumn="1" w:lastColumn="0" w:noHBand="0" w:noVBand="1"/>
      </w:tblPr>
      <w:tblGrid>
        <w:gridCol w:w="1435"/>
        <w:gridCol w:w="1338"/>
        <w:gridCol w:w="1009"/>
        <w:gridCol w:w="1260"/>
        <w:gridCol w:w="1260"/>
        <w:gridCol w:w="874"/>
        <w:gridCol w:w="874"/>
        <w:gridCol w:w="1578"/>
      </w:tblGrid>
      <w:tr w:rsidR="00EF4244" w:rsidRPr="00B12B17" w14:paraId="5FF41DF5" w14:textId="77777777" w:rsidTr="005A7661">
        <w:trPr>
          <w:trHeight w:val="576"/>
          <w:tblHeader/>
        </w:trPr>
        <w:tc>
          <w:tcPr>
            <w:tcW w:w="760" w:type="pct"/>
            <w:tcBorders>
              <w:top w:val="single" w:sz="4" w:space="0" w:color="196B24"/>
              <w:left w:val="single" w:sz="4" w:space="0" w:color="196B24"/>
              <w:bottom w:val="nil"/>
              <w:right w:val="nil"/>
            </w:tcBorders>
            <w:shd w:val="clear" w:color="196B24" w:fill="196B24"/>
            <w:vAlign w:val="center"/>
            <w:hideMark/>
          </w:tcPr>
          <w:p w14:paraId="6B470F54" w14:textId="77777777" w:rsidR="00EF4244" w:rsidRPr="00B12B17" w:rsidRDefault="00EF4244" w:rsidP="005A7661">
            <w:pPr>
              <w:spacing w:after="0"/>
              <w:jc w:val="center"/>
              <w:rPr>
                <w:rFonts w:ascii="Aptos Narrow" w:hAnsi="Aptos Narrow" w:cs="Times New Roman"/>
                <w:b/>
                <w:bCs/>
                <w:color w:val="FFFFFF"/>
                <w:lang w:eastAsia="fr-FR"/>
              </w:rPr>
            </w:pPr>
            <w:r w:rsidRPr="00B12B17">
              <w:rPr>
                <w:rFonts w:ascii="Aptos Narrow" w:hAnsi="Aptos Narrow" w:cs="Times New Roman"/>
                <w:b/>
                <w:bCs/>
                <w:color w:val="FFFFFF"/>
                <w:lang w:eastAsia="fr-FR"/>
              </w:rPr>
              <w:t>Milieu principal</w:t>
            </w:r>
          </w:p>
        </w:tc>
        <w:tc>
          <w:tcPr>
            <w:tcW w:w="679" w:type="pct"/>
            <w:tcBorders>
              <w:top w:val="single" w:sz="4" w:space="0" w:color="196B24"/>
              <w:left w:val="nil"/>
              <w:bottom w:val="nil"/>
              <w:right w:val="nil"/>
            </w:tcBorders>
            <w:shd w:val="clear" w:color="196B24" w:fill="196B24"/>
            <w:vAlign w:val="center"/>
            <w:hideMark/>
          </w:tcPr>
          <w:p w14:paraId="20240393" w14:textId="77777777" w:rsidR="00EF4244" w:rsidRPr="00B12B17" w:rsidRDefault="00EF4244" w:rsidP="005A7661">
            <w:pPr>
              <w:spacing w:after="0"/>
              <w:jc w:val="center"/>
              <w:rPr>
                <w:rFonts w:ascii="Aptos Narrow" w:hAnsi="Aptos Narrow" w:cs="Times New Roman"/>
                <w:b/>
                <w:bCs/>
                <w:color w:val="FFFFFF"/>
                <w:lang w:eastAsia="fr-FR"/>
              </w:rPr>
            </w:pPr>
            <w:r w:rsidRPr="00B12B17">
              <w:rPr>
                <w:rFonts w:ascii="Aptos Narrow" w:hAnsi="Aptos Narrow" w:cs="Times New Roman"/>
                <w:b/>
                <w:bCs/>
                <w:color w:val="FFFFFF"/>
                <w:lang w:eastAsia="fr-FR"/>
              </w:rPr>
              <w:t>Nom scientifique</w:t>
            </w:r>
          </w:p>
        </w:tc>
        <w:tc>
          <w:tcPr>
            <w:tcW w:w="536" w:type="pct"/>
            <w:tcBorders>
              <w:top w:val="single" w:sz="4" w:space="0" w:color="196B24"/>
              <w:left w:val="nil"/>
              <w:bottom w:val="nil"/>
              <w:right w:val="nil"/>
            </w:tcBorders>
            <w:shd w:val="clear" w:color="196B24" w:fill="196B24"/>
            <w:vAlign w:val="center"/>
            <w:hideMark/>
          </w:tcPr>
          <w:p w14:paraId="20A9F433" w14:textId="77777777" w:rsidR="00EF4244" w:rsidRPr="00B12B17" w:rsidRDefault="00EF4244" w:rsidP="005A7661">
            <w:pPr>
              <w:spacing w:after="0"/>
              <w:jc w:val="center"/>
              <w:rPr>
                <w:rFonts w:ascii="Aptos Narrow" w:hAnsi="Aptos Narrow" w:cs="Times New Roman"/>
                <w:b/>
                <w:bCs/>
                <w:color w:val="FFFFFF"/>
                <w:lang w:eastAsia="fr-FR"/>
              </w:rPr>
            </w:pPr>
            <w:r w:rsidRPr="00B12B17">
              <w:rPr>
                <w:rFonts w:ascii="Aptos Narrow" w:hAnsi="Aptos Narrow" w:cs="Times New Roman"/>
                <w:b/>
                <w:bCs/>
                <w:color w:val="FFFFFF"/>
                <w:lang w:eastAsia="fr-FR"/>
              </w:rPr>
              <w:t>Nom commun</w:t>
            </w:r>
          </w:p>
        </w:tc>
        <w:tc>
          <w:tcPr>
            <w:tcW w:w="656" w:type="pct"/>
            <w:tcBorders>
              <w:top w:val="single" w:sz="4" w:space="0" w:color="196B24"/>
              <w:left w:val="nil"/>
              <w:bottom w:val="nil"/>
              <w:right w:val="nil"/>
            </w:tcBorders>
            <w:shd w:val="clear" w:color="196B24" w:fill="196B24"/>
            <w:vAlign w:val="center"/>
            <w:hideMark/>
          </w:tcPr>
          <w:p w14:paraId="3309FB2E" w14:textId="77777777" w:rsidR="00EF4244" w:rsidRPr="00B12B17" w:rsidRDefault="00EF4244" w:rsidP="005A7661">
            <w:pPr>
              <w:spacing w:after="0"/>
              <w:jc w:val="center"/>
              <w:rPr>
                <w:rFonts w:ascii="Aptos Narrow" w:hAnsi="Aptos Narrow" w:cs="Times New Roman"/>
                <w:b/>
                <w:bCs/>
                <w:color w:val="FFFFFF"/>
                <w:lang w:eastAsia="fr-FR"/>
              </w:rPr>
            </w:pPr>
            <w:r w:rsidRPr="00B12B17">
              <w:rPr>
                <w:rFonts w:ascii="Aptos Narrow" w:hAnsi="Aptos Narrow" w:cs="Times New Roman"/>
                <w:b/>
                <w:bCs/>
                <w:color w:val="FFFFFF"/>
                <w:lang w:eastAsia="fr-FR"/>
              </w:rPr>
              <w:t>Origine</w:t>
            </w:r>
          </w:p>
        </w:tc>
        <w:tc>
          <w:tcPr>
            <w:tcW w:w="628" w:type="pct"/>
            <w:tcBorders>
              <w:top w:val="single" w:sz="4" w:space="0" w:color="196B24"/>
              <w:left w:val="nil"/>
              <w:bottom w:val="nil"/>
              <w:right w:val="nil"/>
            </w:tcBorders>
            <w:shd w:val="clear" w:color="196B24" w:fill="196B24"/>
            <w:vAlign w:val="center"/>
            <w:hideMark/>
          </w:tcPr>
          <w:p w14:paraId="20F5E576" w14:textId="77777777" w:rsidR="00EF4244" w:rsidRPr="00B12B17" w:rsidRDefault="00EF4244" w:rsidP="005A7661">
            <w:pPr>
              <w:spacing w:after="0"/>
              <w:jc w:val="center"/>
              <w:rPr>
                <w:rFonts w:ascii="Aptos Narrow" w:hAnsi="Aptos Narrow" w:cs="Times New Roman"/>
                <w:b/>
                <w:bCs/>
                <w:color w:val="FFFFFF"/>
                <w:lang w:eastAsia="fr-FR"/>
              </w:rPr>
            </w:pPr>
            <w:r w:rsidRPr="00B12B17">
              <w:rPr>
                <w:rFonts w:ascii="Aptos Narrow" w:hAnsi="Aptos Narrow" w:cs="Times New Roman"/>
                <w:b/>
                <w:bCs/>
                <w:color w:val="FFFFFF"/>
                <w:lang w:eastAsia="fr-FR"/>
              </w:rPr>
              <w:t>Caractère</w:t>
            </w:r>
          </w:p>
        </w:tc>
        <w:tc>
          <w:tcPr>
            <w:tcW w:w="456" w:type="pct"/>
            <w:tcBorders>
              <w:top w:val="single" w:sz="4" w:space="0" w:color="196B24"/>
              <w:left w:val="nil"/>
              <w:bottom w:val="nil"/>
              <w:right w:val="nil"/>
            </w:tcBorders>
            <w:shd w:val="clear" w:color="196B24" w:fill="196B24"/>
            <w:vAlign w:val="center"/>
            <w:hideMark/>
          </w:tcPr>
          <w:p w14:paraId="147099DD" w14:textId="77777777" w:rsidR="00EF4244" w:rsidRPr="00B12B17" w:rsidRDefault="00EF4244" w:rsidP="005A7661">
            <w:pPr>
              <w:spacing w:after="0"/>
              <w:jc w:val="center"/>
              <w:rPr>
                <w:rFonts w:ascii="Aptos Narrow" w:hAnsi="Aptos Narrow" w:cs="Times New Roman"/>
                <w:b/>
                <w:bCs/>
                <w:color w:val="FFFFFF"/>
                <w:lang w:eastAsia="fr-FR"/>
              </w:rPr>
            </w:pPr>
            <w:r w:rsidRPr="00B12B17">
              <w:rPr>
                <w:rFonts w:ascii="Aptos Narrow" w:hAnsi="Aptos Narrow" w:cs="Times New Roman"/>
                <w:b/>
                <w:bCs/>
                <w:color w:val="FFFFFF"/>
                <w:lang w:eastAsia="fr-FR"/>
              </w:rPr>
              <w:t>ZA</w:t>
            </w:r>
          </w:p>
        </w:tc>
        <w:tc>
          <w:tcPr>
            <w:tcW w:w="456" w:type="pct"/>
            <w:tcBorders>
              <w:top w:val="single" w:sz="4" w:space="0" w:color="196B24"/>
              <w:left w:val="nil"/>
              <w:bottom w:val="nil"/>
              <w:right w:val="nil"/>
            </w:tcBorders>
            <w:shd w:val="clear" w:color="196B24" w:fill="196B24"/>
            <w:vAlign w:val="center"/>
            <w:hideMark/>
          </w:tcPr>
          <w:p w14:paraId="3ECB7D64" w14:textId="77777777" w:rsidR="00EF4244" w:rsidRPr="00B12B17" w:rsidRDefault="00EF4244" w:rsidP="005A7661">
            <w:pPr>
              <w:spacing w:after="0"/>
              <w:jc w:val="center"/>
              <w:rPr>
                <w:rFonts w:ascii="Aptos Narrow" w:hAnsi="Aptos Narrow" w:cs="Times New Roman"/>
                <w:b/>
                <w:bCs/>
                <w:color w:val="FFFFFF"/>
                <w:lang w:eastAsia="fr-FR"/>
              </w:rPr>
            </w:pPr>
            <w:r w:rsidRPr="00B12B17">
              <w:rPr>
                <w:rFonts w:ascii="Aptos Narrow" w:hAnsi="Aptos Narrow" w:cs="Times New Roman"/>
                <w:b/>
                <w:bCs/>
                <w:color w:val="FFFFFF"/>
                <w:lang w:eastAsia="fr-FR"/>
              </w:rPr>
              <w:t>ZER/ZEE</w:t>
            </w:r>
          </w:p>
        </w:tc>
        <w:tc>
          <w:tcPr>
            <w:tcW w:w="829" w:type="pct"/>
            <w:tcBorders>
              <w:top w:val="single" w:sz="4" w:space="0" w:color="196B24"/>
              <w:left w:val="nil"/>
              <w:bottom w:val="nil"/>
              <w:right w:val="single" w:sz="4" w:space="0" w:color="196B24"/>
            </w:tcBorders>
            <w:shd w:val="clear" w:color="196B24" w:fill="196B24"/>
            <w:vAlign w:val="center"/>
            <w:hideMark/>
          </w:tcPr>
          <w:p w14:paraId="1F963175" w14:textId="77777777" w:rsidR="00EF4244" w:rsidRPr="00B12B17" w:rsidRDefault="00EF4244" w:rsidP="005A7661">
            <w:pPr>
              <w:spacing w:after="0"/>
              <w:jc w:val="center"/>
              <w:rPr>
                <w:rFonts w:ascii="Aptos Narrow" w:hAnsi="Aptos Narrow" w:cs="Times New Roman"/>
                <w:b/>
                <w:bCs/>
                <w:color w:val="FFFFFF"/>
                <w:lang w:eastAsia="fr-FR"/>
              </w:rPr>
            </w:pPr>
            <w:r w:rsidRPr="00B12B17">
              <w:rPr>
                <w:rFonts w:ascii="Aptos Narrow" w:hAnsi="Aptos Narrow" w:cs="Times New Roman"/>
                <w:b/>
                <w:bCs/>
                <w:color w:val="FFFFFF"/>
                <w:lang w:eastAsia="fr-FR"/>
              </w:rPr>
              <w:t>Rôle/lecture écologique synthétique</w:t>
            </w:r>
          </w:p>
        </w:tc>
      </w:tr>
      <w:tr w:rsidR="00EF4244" w:rsidRPr="00B12B17" w14:paraId="1652CE3E" w14:textId="77777777" w:rsidTr="005A7661">
        <w:trPr>
          <w:trHeight w:val="1440"/>
        </w:trPr>
        <w:tc>
          <w:tcPr>
            <w:tcW w:w="760" w:type="pct"/>
            <w:tcBorders>
              <w:top w:val="single" w:sz="4" w:space="0" w:color="196B24"/>
              <w:left w:val="single" w:sz="4" w:space="0" w:color="196B24"/>
              <w:bottom w:val="nil"/>
              <w:right w:val="nil"/>
            </w:tcBorders>
            <w:vAlign w:val="center"/>
            <w:hideMark/>
          </w:tcPr>
          <w:p w14:paraId="332E32A5" w14:textId="77777777" w:rsidR="00EF4244" w:rsidRPr="00B12B17" w:rsidRDefault="00EF4244" w:rsidP="005A7661">
            <w:pPr>
              <w:spacing w:after="0"/>
              <w:jc w:val="left"/>
              <w:rPr>
                <w:rFonts w:ascii="Aptos Narrow" w:hAnsi="Aptos Narrow" w:cs="Times New Roman"/>
                <w:color w:val="000000"/>
                <w:lang w:eastAsia="fr-FR"/>
              </w:rPr>
            </w:pPr>
            <w:r w:rsidRPr="00B12B17">
              <w:rPr>
                <w:rFonts w:ascii="Aptos Narrow" w:hAnsi="Aptos Narrow" w:cs="Times New Roman"/>
                <w:color w:val="000000"/>
                <w:lang w:eastAsia="fr-FR"/>
              </w:rPr>
              <w:t>Fossés, mares, bassins (eau libre/faible courant)</w:t>
            </w:r>
          </w:p>
        </w:tc>
        <w:tc>
          <w:tcPr>
            <w:tcW w:w="679" w:type="pct"/>
            <w:tcBorders>
              <w:top w:val="single" w:sz="4" w:space="0" w:color="196B24"/>
              <w:left w:val="nil"/>
              <w:bottom w:val="nil"/>
              <w:right w:val="nil"/>
            </w:tcBorders>
            <w:vAlign w:val="center"/>
            <w:hideMark/>
          </w:tcPr>
          <w:p w14:paraId="0E59BA56" w14:textId="77777777" w:rsidR="00EF4244" w:rsidRPr="00B12B17" w:rsidRDefault="00EF4244" w:rsidP="005A7661">
            <w:pPr>
              <w:spacing w:after="0"/>
              <w:jc w:val="left"/>
              <w:rPr>
                <w:rFonts w:ascii="Aptos Narrow" w:hAnsi="Aptos Narrow" w:cs="Times New Roman"/>
                <w:b/>
                <w:bCs/>
                <w:i/>
                <w:iCs/>
                <w:color w:val="000000"/>
                <w:lang w:eastAsia="fr-FR"/>
              </w:rPr>
            </w:pPr>
            <w:r w:rsidRPr="00B12B17">
              <w:rPr>
                <w:rFonts w:ascii="Aptos Narrow" w:hAnsi="Aptos Narrow" w:cs="Times New Roman"/>
                <w:b/>
                <w:bCs/>
                <w:i/>
                <w:iCs/>
                <w:color w:val="000000"/>
                <w:lang w:eastAsia="fr-FR"/>
              </w:rPr>
              <w:t>Phragmites australis</w:t>
            </w:r>
          </w:p>
        </w:tc>
        <w:tc>
          <w:tcPr>
            <w:tcW w:w="536" w:type="pct"/>
            <w:tcBorders>
              <w:top w:val="single" w:sz="4" w:space="0" w:color="196B24"/>
              <w:left w:val="nil"/>
              <w:bottom w:val="nil"/>
              <w:right w:val="nil"/>
            </w:tcBorders>
            <w:vAlign w:val="center"/>
            <w:hideMark/>
          </w:tcPr>
          <w:p w14:paraId="234E3947" w14:textId="77777777" w:rsidR="00EF4244" w:rsidRPr="00B12B17" w:rsidRDefault="00EF4244" w:rsidP="005A7661">
            <w:pPr>
              <w:spacing w:after="0"/>
              <w:jc w:val="left"/>
              <w:rPr>
                <w:rFonts w:ascii="Aptos Narrow" w:hAnsi="Aptos Narrow" w:cs="Times New Roman"/>
                <w:color w:val="000000"/>
                <w:lang w:eastAsia="fr-FR"/>
              </w:rPr>
            </w:pPr>
            <w:r w:rsidRPr="00B12B17">
              <w:rPr>
                <w:rFonts w:ascii="Aptos Narrow" w:hAnsi="Aptos Narrow" w:cs="Times New Roman"/>
                <w:color w:val="000000"/>
                <w:lang w:eastAsia="fr-FR"/>
              </w:rPr>
              <w:t>Roseau commun</w:t>
            </w:r>
          </w:p>
        </w:tc>
        <w:tc>
          <w:tcPr>
            <w:tcW w:w="656" w:type="pct"/>
            <w:tcBorders>
              <w:top w:val="single" w:sz="4" w:space="0" w:color="196B24"/>
              <w:left w:val="nil"/>
              <w:bottom w:val="nil"/>
              <w:right w:val="nil"/>
            </w:tcBorders>
            <w:vAlign w:val="center"/>
            <w:hideMark/>
          </w:tcPr>
          <w:p w14:paraId="0AF82FF0" w14:textId="77777777" w:rsidR="00EF4244" w:rsidRPr="00B12B17" w:rsidRDefault="00EF4244" w:rsidP="005A7661">
            <w:pPr>
              <w:spacing w:after="0"/>
              <w:jc w:val="left"/>
              <w:rPr>
                <w:rFonts w:ascii="Aptos Narrow" w:hAnsi="Aptos Narrow" w:cs="Times New Roman"/>
                <w:color w:val="000000"/>
                <w:lang w:eastAsia="fr-FR"/>
              </w:rPr>
            </w:pPr>
            <w:r w:rsidRPr="00B12B17">
              <w:rPr>
                <w:rFonts w:ascii="Aptos Narrow" w:hAnsi="Aptos Narrow" w:cs="Times New Roman"/>
                <w:color w:val="000000"/>
                <w:lang w:eastAsia="fr-FR"/>
              </w:rPr>
              <w:t>Autochtone</w:t>
            </w:r>
          </w:p>
        </w:tc>
        <w:tc>
          <w:tcPr>
            <w:tcW w:w="628" w:type="pct"/>
            <w:tcBorders>
              <w:top w:val="single" w:sz="4" w:space="0" w:color="196B24"/>
              <w:left w:val="nil"/>
              <w:bottom w:val="nil"/>
              <w:right w:val="nil"/>
            </w:tcBorders>
            <w:vAlign w:val="center"/>
            <w:hideMark/>
          </w:tcPr>
          <w:p w14:paraId="6E53C72D" w14:textId="77777777" w:rsidR="00EF4244" w:rsidRPr="00B12B17" w:rsidRDefault="00EF4244" w:rsidP="005A7661">
            <w:pPr>
              <w:spacing w:after="0"/>
              <w:jc w:val="left"/>
              <w:rPr>
                <w:rFonts w:ascii="Aptos Narrow" w:hAnsi="Aptos Narrow" w:cs="Times New Roman"/>
                <w:color w:val="000000"/>
                <w:lang w:eastAsia="fr-FR"/>
              </w:rPr>
            </w:pPr>
            <w:r w:rsidRPr="00B12B17">
              <w:rPr>
                <w:rFonts w:ascii="Aptos Narrow" w:hAnsi="Aptos Narrow" w:cs="Times New Roman"/>
                <w:color w:val="000000"/>
                <w:lang w:eastAsia="fr-FR"/>
              </w:rPr>
              <w:t>—</w:t>
            </w:r>
          </w:p>
        </w:tc>
        <w:tc>
          <w:tcPr>
            <w:tcW w:w="456" w:type="pct"/>
            <w:tcBorders>
              <w:top w:val="single" w:sz="4" w:space="0" w:color="196B24"/>
              <w:left w:val="nil"/>
              <w:bottom w:val="nil"/>
              <w:right w:val="nil"/>
            </w:tcBorders>
            <w:vAlign w:val="center"/>
            <w:hideMark/>
          </w:tcPr>
          <w:p w14:paraId="1F0D0402" w14:textId="77777777" w:rsidR="00EF4244" w:rsidRPr="00B12B17" w:rsidRDefault="00EF4244" w:rsidP="005A7661">
            <w:pPr>
              <w:spacing w:after="0"/>
              <w:jc w:val="right"/>
              <w:rPr>
                <w:rFonts w:ascii="Aptos Narrow" w:hAnsi="Aptos Narrow" w:cs="Times New Roman"/>
                <w:color w:val="000000"/>
                <w:lang w:eastAsia="fr-FR"/>
              </w:rPr>
            </w:pPr>
            <w:r w:rsidRPr="00B12B17">
              <w:rPr>
                <w:rFonts w:ascii="Aptos Narrow" w:hAnsi="Aptos Narrow" w:cs="Times New Roman"/>
                <w:color w:val="000000"/>
                <w:lang w:eastAsia="fr-FR"/>
              </w:rPr>
              <w:t>Localisée</w:t>
            </w:r>
          </w:p>
        </w:tc>
        <w:tc>
          <w:tcPr>
            <w:tcW w:w="456" w:type="pct"/>
            <w:tcBorders>
              <w:top w:val="single" w:sz="4" w:space="0" w:color="196B24"/>
              <w:left w:val="nil"/>
              <w:bottom w:val="nil"/>
              <w:right w:val="nil"/>
            </w:tcBorders>
            <w:vAlign w:val="center"/>
            <w:hideMark/>
          </w:tcPr>
          <w:p w14:paraId="515F818A" w14:textId="77777777" w:rsidR="00EF4244" w:rsidRPr="00B12B17" w:rsidRDefault="00EF4244" w:rsidP="005A7661">
            <w:pPr>
              <w:spacing w:after="0"/>
              <w:jc w:val="right"/>
              <w:rPr>
                <w:rFonts w:ascii="Aptos Narrow" w:hAnsi="Aptos Narrow" w:cs="Times New Roman"/>
                <w:color w:val="000000"/>
                <w:lang w:eastAsia="fr-FR"/>
              </w:rPr>
            </w:pPr>
            <w:r w:rsidRPr="00B12B17">
              <w:rPr>
                <w:rFonts w:ascii="Aptos Narrow" w:hAnsi="Aptos Narrow" w:cs="Times New Roman"/>
                <w:color w:val="000000"/>
                <w:lang w:eastAsia="fr-FR"/>
              </w:rPr>
              <w:t>Oui</w:t>
            </w:r>
          </w:p>
        </w:tc>
        <w:tc>
          <w:tcPr>
            <w:tcW w:w="829" w:type="pct"/>
            <w:tcBorders>
              <w:top w:val="single" w:sz="4" w:space="0" w:color="196B24"/>
              <w:left w:val="nil"/>
              <w:bottom w:val="nil"/>
              <w:right w:val="single" w:sz="4" w:space="0" w:color="196B24"/>
            </w:tcBorders>
            <w:vAlign w:val="center"/>
            <w:hideMark/>
          </w:tcPr>
          <w:p w14:paraId="57F9698B" w14:textId="77777777" w:rsidR="00EF4244" w:rsidRPr="00B12B17" w:rsidRDefault="00EF4244" w:rsidP="005A7661">
            <w:pPr>
              <w:spacing w:after="0"/>
              <w:jc w:val="left"/>
              <w:rPr>
                <w:rFonts w:ascii="Aptos Narrow" w:hAnsi="Aptos Narrow" w:cs="Times New Roman"/>
                <w:color w:val="000000"/>
                <w:lang w:eastAsia="fr-FR"/>
              </w:rPr>
            </w:pPr>
            <w:r w:rsidRPr="00B12B17">
              <w:rPr>
                <w:rFonts w:ascii="Aptos Narrow" w:hAnsi="Aptos Narrow" w:cs="Times New Roman"/>
                <w:color w:val="000000"/>
                <w:lang w:eastAsia="fr-FR"/>
              </w:rPr>
              <w:t>Ceintures de roseaux, refuge et ressource en invertébrés</w:t>
            </w:r>
          </w:p>
        </w:tc>
      </w:tr>
      <w:tr w:rsidR="00EF4244" w:rsidRPr="00B12B17" w14:paraId="497C819E" w14:textId="77777777" w:rsidTr="005A7661">
        <w:trPr>
          <w:trHeight w:val="1152"/>
        </w:trPr>
        <w:tc>
          <w:tcPr>
            <w:tcW w:w="760" w:type="pct"/>
            <w:tcBorders>
              <w:top w:val="single" w:sz="4" w:space="0" w:color="196B24"/>
              <w:left w:val="single" w:sz="4" w:space="0" w:color="196B24"/>
              <w:bottom w:val="nil"/>
              <w:right w:val="nil"/>
            </w:tcBorders>
            <w:vAlign w:val="center"/>
            <w:hideMark/>
          </w:tcPr>
          <w:p w14:paraId="01BEE4B6" w14:textId="77777777" w:rsidR="00EF4244" w:rsidRPr="00B12B17" w:rsidRDefault="00EF4244" w:rsidP="005A7661">
            <w:pPr>
              <w:spacing w:after="0"/>
              <w:jc w:val="left"/>
              <w:rPr>
                <w:rFonts w:ascii="Aptos Narrow" w:hAnsi="Aptos Narrow" w:cs="Times New Roman"/>
                <w:color w:val="000000"/>
                <w:lang w:eastAsia="fr-FR"/>
              </w:rPr>
            </w:pPr>
            <w:r w:rsidRPr="00B12B17">
              <w:rPr>
                <w:rFonts w:ascii="Aptos Narrow" w:hAnsi="Aptos Narrow" w:cs="Times New Roman"/>
                <w:color w:val="000000"/>
                <w:lang w:eastAsia="fr-FR"/>
              </w:rPr>
              <w:t>Fossés, mares, zones eutrophes</w:t>
            </w:r>
          </w:p>
        </w:tc>
        <w:tc>
          <w:tcPr>
            <w:tcW w:w="679" w:type="pct"/>
            <w:tcBorders>
              <w:top w:val="single" w:sz="4" w:space="0" w:color="196B24"/>
              <w:left w:val="nil"/>
              <w:bottom w:val="nil"/>
              <w:right w:val="nil"/>
            </w:tcBorders>
            <w:vAlign w:val="center"/>
            <w:hideMark/>
          </w:tcPr>
          <w:p w14:paraId="1358D8D6" w14:textId="77777777" w:rsidR="00EF4244" w:rsidRPr="00B12B17" w:rsidRDefault="00EF4244" w:rsidP="005A7661">
            <w:pPr>
              <w:spacing w:after="0"/>
              <w:jc w:val="left"/>
              <w:rPr>
                <w:rFonts w:ascii="Aptos Narrow" w:hAnsi="Aptos Narrow" w:cs="Times New Roman"/>
                <w:b/>
                <w:bCs/>
                <w:i/>
                <w:iCs/>
                <w:color w:val="000000"/>
                <w:lang w:eastAsia="fr-FR"/>
              </w:rPr>
            </w:pPr>
            <w:r w:rsidRPr="00B12B17">
              <w:rPr>
                <w:rFonts w:ascii="Aptos Narrow" w:hAnsi="Aptos Narrow" w:cs="Times New Roman"/>
                <w:b/>
                <w:bCs/>
                <w:i/>
                <w:iCs/>
                <w:color w:val="000000"/>
                <w:lang w:eastAsia="fr-FR"/>
              </w:rPr>
              <w:t>Typha domingensis</w:t>
            </w:r>
          </w:p>
        </w:tc>
        <w:tc>
          <w:tcPr>
            <w:tcW w:w="536" w:type="pct"/>
            <w:tcBorders>
              <w:top w:val="single" w:sz="4" w:space="0" w:color="196B24"/>
              <w:left w:val="nil"/>
              <w:bottom w:val="nil"/>
              <w:right w:val="nil"/>
            </w:tcBorders>
            <w:vAlign w:val="center"/>
            <w:hideMark/>
          </w:tcPr>
          <w:p w14:paraId="52833E7E" w14:textId="77777777" w:rsidR="00EF4244" w:rsidRPr="00B12B17" w:rsidRDefault="00EF4244" w:rsidP="005A7661">
            <w:pPr>
              <w:spacing w:after="0"/>
              <w:jc w:val="left"/>
              <w:rPr>
                <w:rFonts w:ascii="Aptos Narrow" w:hAnsi="Aptos Narrow" w:cs="Times New Roman"/>
                <w:color w:val="000000"/>
                <w:lang w:eastAsia="fr-FR"/>
              </w:rPr>
            </w:pPr>
            <w:r w:rsidRPr="00B12B17">
              <w:rPr>
                <w:rFonts w:ascii="Aptos Narrow" w:hAnsi="Aptos Narrow" w:cs="Times New Roman"/>
                <w:color w:val="000000"/>
                <w:lang w:eastAsia="fr-FR"/>
              </w:rPr>
              <w:t>Massette</w:t>
            </w:r>
          </w:p>
        </w:tc>
        <w:tc>
          <w:tcPr>
            <w:tcW w:w="656" w:type="pct"/>
            <w:tcBorders>
              <w:top w:val="single" w:sz="4" w:space="0" w:color="196B24"/>
              <w:left w:val="nil"/>
              <w:bottom w:val="nil"/>
              <w:right w:val="nil"/>
            </w:tcBorders>
            <w:vAlign w:val="center"/>
            <w:hideMark/>
          </w:tcPr>
          <w:p w14:paraId="100153D3" w14:textId="77777777" w:rsidR="00EF4244" w:rsidRPr="00B12B17" w:rsidRDefault="00EF4244" w:rsidP="005A7661">
            <w:pPr>
              <w:spacing w:after="0"/>
              <w:jc w:val="left"/>
              <w:rPr>
                <w:rFonts w:ascii="Aptos Narrow" w:hAnsi="Aptos Narrow" w:cs="Times New Roman"/>
                <w:color w:val="000000"/>
                <w:lang w:eastAsia="fr-FR"/>
              </w:rPr>
            </w:pPr>
            <w:r w:rsidRPr="00B12B17">
              <w:rPr>
                <w:rFonts w:ascii="Aptos Narrow" w:hAnsi="Aptos Narrow" w:cs="Times New Roman"/>
                <w:color w:val="000000"/>
                <w:lang w:eastAsia="fr-FR"/>
              </w:rPr>
              <w:t>Autochtone</w:t>
            </w:r>
          </w:p>
        </w:tc>
        <w:tc>
          <w:tcPr>
            <w:tcW w:w="628" w:type="pct"/>
            <w:tcBorders>
              <w:top w:val="single" w:sz="4" w:space="0" w:color="196B24"/>
              <w:left w:val="nil"/>
              <w:bottom w:val="nil"/>
              <w:right w:val="nil"/>
            </w:tcBorders>
            <w:vAlign w:val="center"/>
            <w:hideMark/>
          </w:tcPr>
          <w:p w14:paraId="1DF97649" w14:textId="77777777" w:rsidR="00EF4244" w:rsidRPr="00B12B17" w:rsidRDefault="00EF4244" w:rsidP="005A7661">
            <w:pPr>
              <w:spacing w:after="0"/>
              <w:jc w:val="left"/>
              <w:rPr>
                <w:rFonts w:ascii="Aptos Narrow" w:hAnsi="Aptos Narrow" w:cs="Times New Roman"/>
                <w:color w:val="000000"/>
                <w:lang w:eastAsia="fr-FR"/>
              </w:rPr>
            </w:pPr>
            <w:r w:rsidRPr="00B12B17">
              <w:rPr>
                <w:rFonts w:ascii="Aptos Narrow" w:hAnsi="Aptos Narrow" w:cs="Times New Roman"/>
                <w:color w:val="000000"/>
                <w:lang w:eastAsia="fr-FR"/>
              </w:rPr>
              <w:t>—</w:t>
            </w:r>
          </w:p>
        </w:tc>
        <w:tc>
          <w:tcPr>
            <w:tcW w:w="456" w:type="pct"/>
            <w:tcBorders>
              <w:top w:val="single" w:sz="4" w:space="0" w:color="196B24"/>
              <w:left w:val="nil"/>
              <w:bottom w:val="nil"/>
              <w:right w:val="nil"/>
            </w:tcBorders>
            <w:vAlign w:val="center"/>
            <w:hideMark/>
          </w:tcPr>
          <w:p w14:paraId="063B7D94" w14:textId="77777777" w:rsidR="00EF4244" w:rsidRPr="00B12B17" w:rsidRDefault="00EF4244" w:rsidP="005A7661">
            <w:pPr>
              <w:spacing w:after="0"/>
              <w:jc w:val="right"/>
              <w:rPr>
                <w:rFonts w:ascii="Aptos Narrow" w:hAnsi="Aptos Narrow" w:cs="Times New Roman"/>
                <w:color w:val="000000"/>
                <w:lang w:eastAsia="fr-FR"/>
              </w:rPr>
            </w:pPr>
            <w:r w:rsidRPr="00B12B17">
              <w:rPr>
                <w:rFonts w:ascii="Aptos Narrow" w:hAnsi="Aptos Narrow" w:cs="Times New Roman"/>
                <w:color w:val="000000"/>
                <w:lang w:eastAsia="fr-FR"/>
              </w:rPr>
              <w:t>Localisée</w:t>
            </w:r>
          </w:p>
        </w:tc>
        <w:tc>
          <w:tcPr>
            <w:tcW w:w="456" w:type="pct"/>
            <w:tcBorders>
              <w:top w:val="single" w:sz="4" w:space="0" w:color="196B24"/>
              <w:left w:val="nil"/>
              <w:bottom w:val="nil"/>
              <w:right w:val="nil"/>
            </w:tcBorders>
            <w:vAlign w:val="center"/>
            <w:hideMark/>
          </w:tcPr>
          <w:p w14:paraId="334D4CF1" w14:textId="77777777" w:rsidR="00EF4244" w:rsidRPr="00B12B17" w:rsidRDefault="00EF4244" w:rsidP="005A7661">
            <w:pPr>
              <w:spacing w:after="0"/>
              <w:jc w:val="right"/>
              <w:rPr>
                <w:rFonts w:ascii="Aptos Narrow" w:hAnsi="Aptos Narrow" w:cs="Times New Roman"/>
                <w:color w:val="000000"/>
                <w:lang w:eastAsia="fr-FR"/>
              </w:rPr>
            </w:pPr>
            <w:r w:rsidRPr="00B12B17">
              <w:rPr>
                <w:rFonts w:ascii="Aptos Narrow" w:hAnsi="Aptos Narrow" w:cs="Times New Roman"/>
                <w:color w:val="000000"/>
                <w:lang w:eastAsia="fr-FR"/>
              </w:rPr>
              <w:t>Oui</w:t>
            </w:r>
          </w:p>
        </w:tc>
        <w:tc>
          <w:tcPr>
            <w:tcW w:w="829" w:type="pct"/>
            <w:tcBorders>
              <w:top w:val="single" w:sz="4" w:space="0" w:color="196B24"/>
              <w:left w:val="nil"/>
              <w:bottom w:val="nil"/>
              <w:right w:val="single" w:sz="4" w:space="0" w:color="196B24"/>
            </w:tcBorders>
            <w:vAlign w:val="center"/>
            <w:hideMark/>
          </w:tcPr>
          <w:p w14:paraId="378D798A" w14:textId="77777777" w:rsidR="00EF4244" w:rsidRPr="00B12B17" w:rsidRDefault="00EF4244" w:rsidP="005A7661">
            <w:pPr>
              <w:spacing w:after="0"/>
              <w:jc w:val="left"/>
              <w:rPr>
                <w:rFonts w:ascii="Aptos Narrow" w:hAnsi="Aptos Narrow" w:cs="Times New Roman"/>
                <w:color w:val="000000"/>
                <w:lang w:eastAsia="fr-FR"/>
              </w:rPr>
            </w:pPr>
            <w:r w:rsidRPr="00B12B17">
              <w:rPr>
                <w:rFonts w:ascii="Aptos Narrow" w:hAnsi="Aptos Narrow" w:cs="Times New Roman"/>
                <w:color w:val="000000"/>
                <w:lang w:eastAsia="fr-FR"/>
              </w:rPr>
              <w:t>Végétation hélophyte, abri/faune aquatique, tendance à fermer les petites mares</w:t>
            </w:r>
          </w:p>
        </w:tc>
      </w:tr>
      <w:tr w:rsidR="00EF4244" w:rsidRPr="00B12B17" w14:paraId="2C65A6C2" w14:textId="77777777" w:rsidTr="005A7661">
        <w:trPr>
          <w:trHeight w:val="1152"/>
        </w:trPr>
        <w:tc>
          <w:tcPr>
            <w:tcW w:w="760" w:type="pct"/>
            <w:tcBorders>
              <w:top w:val="single" w:sz="4" w:space="0" w:color="196B24"/>
              <w:left w:val="single" w:sz="4" w:space="0" w:color="196B24"/>
              <w:bottom w:val="nil"/>
              <w:right w:val="nil"/>
            </w:tcBorders>
            <w:vAlign w:val="center"/>
            <w:hideMark/>
          </w:tcPr>
          <w:p w14:paraId="4885661C" w14:textId="77777777" w:rsidR="00EF4244" w:rsidRPr="00B12B17" w:rsidRDefault="00EF4244" w:rsidP="005A7661">
            <w:pPr>
              <w:spacing w:after="0"/>
              <w:jc w:val="left"/>
              <w:rPr>
                <w:rFonts w:ascii="Aptos Narrow" w:hAnsi="Aptos Narrow" w:cs="Times New Roman"/>
                <w:color w:val="000000"/>
                <w:lang w:eastAsia="fr-FR"/>
              </w:rPr>
            </w:pPr>
            <w:r w:rsidRPr="00B12B17">
              <w:rPr>
                <w:rFonts w:ascii="Aptos Narrow" w:hAnsi="Aptos Narrow" w:cs="Times New Roman"/>
                <w:color w:val="000000"/>
                <w:lang w:eastAsia="fr-FR"/>
              </w:rPr>
              <w:t>Berges, fossés entretenus</w:t>
            </w:r>
          </w:p>
        </w:tc>
        <w:tc>
          <w:tcPr>
            <w:tcW w:w="679" w:type="pct"/>
            <w:tcBorders>
              <w:top w:val="single" w:sz="4" w:space="0" w:color="196B24"/>
              <w:left w:val="nil"/>
              <w:bottom w:val="nil"/>
              <w:right w:val="nil"/>
            </w:tcBorders>
            <w:vAlign w:val="center"/>
            <w:hideMark/>
          </w:tcPr>
          <w:p w14:paraId="40AB2699" w14:textId="77777777" w:rsidR="00EF4244" w:rsidRPr="00B12B17" w:rsidRDefault="00EF4244" w:rsidP="005A7661">
            <w:pPr>
              <w:spacing w:after="0"/>
              <w:jc w:val="left"/>
              <w:rPr>
                <w:rFonts w:ascii="Aptos Narrow" w:hAnsi="Aptos Narrow" w:cs="Times New Roman"/>
                <w:b/>
                <w:bCs/>
                <w:i/>
                <w:iCs/>
                <w:color w:val="000000"/>
                <w:lang w:eastAsia="fr-FR"/>
              </w:rPr>
            </w:pPr>
            <w:r w:rsidRPr="00B12B17">
              <w:rPr>
                <w:rFonts w:ascii="Aptos Narrow" w:hAnsi="Aptos Narrow" w:cs="Times New Roman"/>
                <w:b/>
                <w:bCs/>
                <w:i/>
                <w:iCs/>
                <w:color w:val="000000"/>
                <w:lang w:eastAsia="fr-FR"/>
              </w:rPr>
              <w:t>Juncus spp.</w:t>
            </w:r>
          </w:p>
        </w:tc>
        <w:tc>
          <w:tcPr>
            <w:tcW w:w="536" w:type="pct"/>
            <w:tcBorders>
              <w:top w:val="single" w:sz="4" w:space="0" w:color="196B24"/>
              <w:left w:val="nil"/>
              <w:bottom w:val="nil"/>
              <w:right w:val="nil"/>
            </w:tcBorders>
            <w:vAlign w:val="center"/>
            <w:hideMark/>
          </w:tcPr>
          <w:p w14:paraId="00F4A10A" w14:textId="77777777" w:rsidR="00EF4244" w:rsidRPr="00B12B17" w:rsidRDefault="00EF4244" w:rsidP="005A7661">
            <w:pPr>
              <w:spacing w:after="0"/>
              <w:jc w:val="left"/>
              <w:rPr>
                <w:rFonts w:ascii="Aptos Narrow" w:hAnsi="Aptos Narrow" w:cs="Times New Roman"/>
                <w:color w:val="000000"/>
                <w:lang w:eastAsia="fr-FR"/>
              </w:rPr>
            </w:pPr>
            <w:r w:rsidRPr="00B12B17">
              <w:rPr>
                <w:rFonts w:ascii="Aptos Narrow" w:hAnsi="Aptos Narrow" w:cs="Times New Roman"/>
                <w:color w:val="000000"/>
                <w:lang w:eastAsia="fr-FR"/>
              </w:rPr>
              <w:t>Joncs</w:t>
            </w:r>
          </w:p>
        </w:tc>
        <w:tc>
          <w:tcPr>
            <w:tcW w:w="656" w:type="pct"/>
            <w:tcBorders>
              <w:top w:val="single" w:sz="4" w:space="0" w:color="196B24"/>
              <w:left w:val="nil"/>
              <w:bottom w:val="nil"/>
              <w:right w:val="nil"/>
            </w:tcBorders>
            <w:vAlign w:val="center"/>
            <w:hideMark/>
          </w:tcPr>
          <w:p w14:paraId="43D2ADDC" w14:textId="77777777" w:rsidR="00EF4244" w:rsidRPr="00B12B17" w:rsidRDefault="00EF4244" w:rsidP="005A7661">
            <w:pPr>
              <w:spacing w:after="0"/>
              <w:jc w:val="left"/>
              <w:rPr>
                <w:rFonts w:ascii="Aptos Narrow" w:hAnsi="Aptos Narrow" w:cs="Times New Roman"/>
                <w:color w:val="000000"/>
                <w:lang w:eastAsia="fr-FR"/>
              </w:rPr>
            </w:pPr>
            <w:r w:rsidRPr="00B12B17">
              <w:rPr>
                <w:rFonts w:ascii="Aptos Narrow" w:hAnsi="Aptos Narrow" w:cs="Times New Roman"/>
                <w:color w:val="000000"/>
                <w:lang w:eastAsia="fr-FR"/>
              </w:rPr>
              <w:t>Autochtone</w:t>
            </w:r>
          </w:p>
        </w:tc>
        <w:tc>
          <w:tcPr>
            <w:tcW w:w="628" w:type="pct"/>
            <w:tcBorders>
              <w:top w:val="single" w:sz="4" w:space="0" w:color="196B24"/>
              <w:left w:val="nil"/>
              <w:bottom w:val="nil"/>
              <w:right w:val="nil"/>
            </w:tcBorders>
            <w:vAlign w:val="center"/>
            <w:hideMark/>
          </w:tcPr>
          <w:p w14:paraId="0464B7BB" w14:textId="77777777" w:rsidR="00EF4244" w:rsidRPr="00B12B17" w:rsidRDefault="00EF4244" w:rsidP="005A7661">
            <w:pPr>
              <w:spacing w:after="0"/>
              <w:jc w:val="left"/>
              <w:rPr>
                <w:rFonts w:ascii="Aptos Narrow" w:hAnsi="Aptos Narrow" w:cs="Times New Roman"/>
                <w:color w:val="000000"/>
                <w:lang w:eastAsia="fr-FR"/>
              </w:rPr>
            </w:pPr>
            <w:r w:rsidRPr="00B12B17">
              <w:rPr>
                <w:rFonts w:ascii="Aptos Narrow" w:hAnsi="Aptos Narrow" w:cs="Times New Roman"/>
                <w:color w:val="000000"/>
                <w:lang w:eastAsia="fr-FR"/>
              </w:rPr>
              <w:t>—</w:t>
            </w:r>
          </w:p>
        </w:tc>
        <w:tc>
          <w:tcPr>
            <w:tcW w:w="456" w:type="pct"/>
            <w:tcBorders>
              <w:top w:val="single" w:sz="4" w:space="0" w:color="196B24"/>
              <w:left w:val="nil"/>
              <w:bottom w:val="nil"/>
              <w:right w:val="nil"/>
            </w:tcBorders>
            <w:vAlign w:val="center"/>
            <w:hideMark/>
          </w:tcPr>
          <w:p w14:paraId="26E9219B" w14:textId="77777777" w:rsidR="00EF4244" w:rsidRPr="00B12B17" w:rsidRDefault="00EF4244" w:rsidP="005A7661">
            <w:pPr>
              <w:spacing w:after="0"/>
              <w:jc w:val="right"/>
              <w:rPr>
                <w:rFonts w:ascii="Aptos Narrow" w:hAnsi="Aptos Narrow" w:cs="Times New Roman"/>
                <w:color w:val="000000"/>
                <w:lang w:eastAsia="fr-FR"/>
              </w:rPr>
            </w:pPr>
            <w:r w:rsidRPr="00B12B17">
              <w:rPr>
                <w:rFonts w:ascii="Aptos Narrow" w:hAnsi="Aptos Narrow" w:cs="Times New Roman"/>
                <w:color w:val="000000"/>
                <w:lang w:eastAsia="fr-FR"/>
              </w:rPr>
              <w:t>Localisée</w:t>
            </w:r>
          </w:p>
        </w:tc>
        <w:tc>
          <w:tcPr>
            <w:tcW w:w="456" w:type="pct"/>
            <w:tcBorders>
              <w:top w:val="single" w:sz="4" w:space="0" w:color="196B24"/>
              <w:left w:val="nil"/>
              <w:bottom w:val="nil"/>
              <w:right w:val="nil"/>
            </w:tcBorders>
            <w:vAlign w:val="center"/>
            <w:hideMark/>
          </w:tcPr>
          <w:p w14:paraId="58BAF247" w14:textId="77777777" w:rsidR="00EF4244" w:rsidRPr="00B12B17" w:rsidRDefault="00EF4244" w:rsidP="005A7661">
            <w:pPr>
              <w:spacing w:after="0"/>
              <w:jc w:val="right"/>
              <w:rPr>
                <w:rFonts w:ascii="Aptos Narrow" w:hAnsi="Aptos Narrow" w:cs="Times New Roman"/>
                <w:color w:val="000000"/>
                <w:lang w:eastAsia="fr-FR"/>
              </w:rPr>
            </w:pPr>
            <w:r w:rsidRPr="00B12B17">
              <w:rPr>
                <w:rFonts w:ascii="Aptos Narrow" w:hAnsi="Aptos Narrow" w:cs="Times New Roman"/>
                <w:color w:val="000000"/>
                <w:lang w:eastAsia="fr-FR"/>
              </w:rPr>
              <w:t>Oui</w:t>
            </w:r>
          </w:p>
        </w:tc>
        <w:tc>
          <w:tcPr>
            <w:tcW w:w="829" w:type="pct"/>
            <w:tcBorders>
              <w:top w:val="single" w:sz="4" w:space="0" w:color="196B24"/>
              <w:left w:val="nil"/>
              <w:bottom w:val="nil"/>
              <w:right w:val="single" w:sz="4" w:space="0" w:color="196B24"/>
            </w:tcBorders>
            <w:vAlign w:val="center"/>
            <w:hideMark/>
          </w:tcPr>
          <w:p w14:paraId="16ED65C3" w14:textId="77777777" w:rsidR="00EF4244" w:rsidRPr="00B12B17" w:rsidRDefault="00EF4244" w:rsidP="005A7661">
            <w:pPr>
              <w:spacing w:after="0"/>
              <w:jc w:val="left"/>
              <w:rPr>
                <w:rFonts w:ascii="Aptos Narrow" w:hAnsi="Aptos Narrow" w:cs="Times New Roman"/>
                <w:color w:val="000000"/>
                <w:lang w:eastAsia="fr-FR"/>
              </w:rPr>
            </w:pPr>
            <w:r w:rsidRPr="00B12B17">
              <w:rPr>
                <w:rFonts w:ascii="Aptos Narrow" w:hAnsi="Aptos Narrow" w:cs="Times New Roman"/>
                <w:color w:val="000000"/>
                <w:lang w:eastAsia="fr-FR"/>
              </w:rPr>
              <w:t>Indicateur d’humidité, stabilisation de berges</w:t>
            </w:r>
          </w:p>
        </w:tc>
      </w:tr>
      <w:tr w:rsidR="00EF4244" w:rsidRPr="00B12B17" w14:paraId="36F3076C" w14:textId="77777777" w:rsidTr="005A7661">
        <w:trPr>
          <w:trHeight w:val="1152"/>
        </w:trPr>
        <w:tc>
          <w:tcPr>
            <w:tcW w:w="760" w:type="pct"/>
            <w:tcBorders>
              <w:top w:val="single" w:sz="4" w:space="0" w:color="196B24"/>
              <w:left w:val="single" w:sz="4" w:space="0" w:color="196B24"/>
              <w:bottom w:val="nil"/>
              <w:right w:val="nil"/>
            </w:tcBorders>
            <w:vAlign w:val="center"/>
            <w:hideMark/>
          </w:tcPr>
          <w:p w14:paraId="52BB2DCD" w14:textId="77777777" w:rsidR="00EF4244" w:rsidRPr="00B12B17" w:rsidRDefault="00EF4244" w:rsidP="005A7661">
            <w:pPr>
              <w:spacing w:after="0"/>
              <w:jc w:val="left"/>
              <w:rPr>
                <w:rFonts w:ascii="Aptos Narrow" w:hAnsi="Aptos Narrow" w:cs="Times New Roman"/>
                <w:color w:val="000000"/>
                <w:lang w:eastAsia="fr-FR"/>
              </w:rPr>
            </w:pPr>
            <w:r w:rsidRPr="00B12B17">
              <w:rPr>
                <w:rFonts w:ascii="Aptos Narrow" w:hAnsi="Aptos Narrow" w:cs="Times New Roman"/>
                <w:color w:val="000000"/>
                <w:lang w:eastAsia="fr-FR"/>
              </w:rPr>
              <w:t>Berges, fossés, talwegs irrigués</w:t>
            </w:r>
          </w:p>
        </w:tc>
        <w:tc>
          <w:tcPr>
            <w:tcW w:w="679" w:type="pct"/>
            <w:tcBorders>
              <w:top w:val="single" w:sz="4" w:space="0" w:color="196B24"/>
              <w:left w:val="nil"/>
              <w:bottom w:val="nil"/>
              <w:right w:val="nil"/>
            </w:tcBorders>
            <w:vAlign w:val="center"/>
            <w:hideMark/>
          </w:tcPr>
          <w:p w14:paraId="71D8FCB1" w14:textId="77777777" w:rsidR="00EF4244" w:rsidRPr="00B12B17" w:rsidRDefault="00EF4244" w:rsidP="005A7661">
            <w:pPr>
              <w:spacing w:after="0"/>
              <w:jc w:val="left"/>
              <w:rPr>
                <w:rFonts w:ascii="Aptos Narrow" w:hAnsi="Aptos Narrow" w:cs="Times New Roman"/>
                <w:b/>
                <w:bCs/>
                <w:i/>
                <w:iCs/>
                <w:color w:val="000000"/>
                <w:lang w:eastAsia="fr-FR"/>
              </w:rPr>
            </w:pPr>
            <w:r w:rsidRPr="00B12B17">
              <w:rPr>
                <w:rFonts w:ascii="Aptos Narrow" w:hAnsi="Aptos Narrow" w:cs="Times New Roman"/>
                <w:b/>
                <w:bCs/>
                <w:i/>
                <w:iCs/>
                <w:color w:val="000000"/>
                <w:lang w:eastAsia="fr-FR"/>
              </w:rPr>
              <w:t>Arundo donax</w:t>
            </w:r>
          </w:p>
        </w:tc>
        <w:tc>
          <w:tcPr>
            <w:tcW w:w="536" w:type="pct"/>
            <w:tcBorders>
              <w:top w:val="single" w:sz="4" w:space="0" w:color="196B24"/>
              <w:left w:val="nil"/>
              <w:bottom w:val="nil"/>
              <w:right w:val="nil"/>
            </w:tcBorders>
            <w:vAlign w:val="center"/>
            <w:hideMark/>
          </w:tcPr>
          <w:p w14:paraId="2C630FBB" w14:textId="77777777" w:rsidR="00EF4244" w:rsidRPr="00B12B17" w:rsidRDefault="00EF4244" w:rsidP="005A7661">
            <w:pPr>
              <w:spacing w:after="0"/>
              <w:jc w:val="left"/>
              <w:rPr>
                <w:rFonts w:ascii="Aptos Narrow" w:hAnsi="Aptos Narrow" w:cs="Times New Roman"/>
                <w:color w:val="000000"/>
                <w:lang w:eastAsia="fr-FR"/>
              </w:rPr>
            </w:pPr>
            <w:r w:rsidRPr="00B12B17">
              <w:rPr>
                <w:rFonts w:ascii="Aptos Narrow" w:hAnsi="Aptos Narrow" w:cs="Times New Roman"/>
                <w:color w:val="000000"/>
                <w:lang w:eastAsia="fr-FR"/>
              </w:rPr>
              <w:t>Canne de Provence</w:t>
            </w:r>
          </w:p>
        </w:tc>
        <w:tc>
          <w:tcPr>
            <w:tcW w:w="656" w:type="pct"/>
            <w:tcBorders>
              <w:top w:val="single" w:sz="4" w:space="0" w:color="196B24"/>
              <w:left w:val="nil"/>
              <w:bottom w:val="nil"/>
              <w:right w:val="nil"/>
            </w:tcBorders>
            <w:vAlign w:val="center"/>
            <w:hideMark/>
          </w:tcPr>
          <w:p w14:paraId="6F5F5578" w14:textId="77777777" w:rsidR="00EF4244" w:rsidRPr="00B12B17" w:rsidRDefault="00EF4244" w:rsidP="005A7661">
            <w:pPr>
              <w:spacing w:after="0"/>
              <w:jc w:val="left"/>
              <w:rPr>
                <w:rFonts w:ascii="Aptos Narrow" w:hAnsi="Aptos Narrow" w:cs="Times New Roman"/>
                <w:color w:val="000000"/>
                <w:lang w:eastAsia="fr-FR"/>
              </w:rPr>
            </w:pPr>
            <w:r w:rsidRPr="00B12B17">
              <w:rPr>
                <w:rFonts w:ascii="Aptos Narrow" w:hAnsi="Aptos Narrow" w:cs="Times New Roman"/>
                <w:color w:val="000000"/>
                <w:lang w:eastAsia="fr-FR"/>
              </w:rPr>
              <w:t>Méditerranéen naturalisé</w:t>
            </w:r>
          </w:p>
        </w:tc>
        <w:tc>
          <w:tcPr>
            <w:tcW w:w="628" w:type="pct"/>
            <w:tcBorders>
              <w:top w:val="single" w:sz="4" w:space="0" w:color="196B24"/>
              <w:left w:val="nil"/>
              <w:bottom w:val="nil"/>
              <w:right w:val="nil"/>
            </w:tcBorders>
            <w:vAlign w:val="center"/>
            <w:hideMark/>
          </w:tcPr>
          <w:p w14:paraId="375EC2F2" w14:textId="77777777" w:rsidR="00EF4244" w:rsidRPr="00B12B17" w:rsidRDefault="00EF4244" w:rsidP="005A7661">
            <w:pPr>
              <w:spacing w:after="0"/>
              <w:jc w:val="left"/>
              <w:rPr>
                <w:rFonts w:ascii="Aptos Narrow" w:hAnsi="Aptos Narrow" w:cs="Times New Roman"/>
                <w:b/>
                <w:bCs/>
                <w:color w:val="000000"/>
                <w:lang w:eastAsia="fr-FR"/>
              </w:rPr>
            </w:pPr>
            <w:r w:rsidRPr="00B12B17">
              <w:rPr>
                <w:rFonts w:ascii="Aptos Narrow" w:hAnsi="Aptos Narrow" w:cs="Times New Roman"/>
                <w:b/>
                <w:bCs/>
                <w:color w:val="000000"/>
                <w:lang w:eastAsia="fr-FR"/>
              </w:rPr>
              <w:t>Envahissant local</w:t>
            </w:r>
          </w:p>
        </w:tc>
        <w:tc>
          <w:tcPr>
            <w:tcW w:w="456" w:type="pct"/>
            <w:tcBorders>
              <w:top w:val="single" w:sz="4" w:space="0" w:color="196B24"/>
              <w:left w:val="nil"/>
              <w:bottom w:val="nil"/>
              <w:right w:val="nil"/>
            </w:tcBorders>
            <w:vAlign w:val="center"/>
            <w:hideMark/>
          </w:tcPr>
          <w:p w14:paraId="49699C8C" w14:textId="77777777" w:rsidR="00EF4244" w:rsidRPr="00B12B17" w:rsidRDefault="00EF4244" w:rsidP="005A7661">
            <w:pPr>
              <w:spacing w:after="0"/>
              <w:jc w:val="right"/>
              <w:rPr>
                <w:rFonts w:ascii="Aptos Narrow" w:hAnsi="Aptos Narrow" w:cs="Times New Roman"/>
                <w:color w:val="000000"/>
                <w:lang w:eastAsia="fr-FR"/>
              </w:rPr>
            </w:pPr>
            <w:r w:rsidRPr="00B12B17">
              <w:rPr>
                <w:rFonts w:ascii="Aptos Narrow" w:hAnsi="Aptos Narrow" w:cs="Times New Roman"/>
                <w:color w:val="000000"/>
                <w:lang w:eastAsia="fr-FR"/>
              </w:rPr>
              <w:t>Oui</w:t>
            </w:r>
          </w:p>
        </w:tc>
        <w:tc>
          <w:tcPr>
            <w:tcW w:w="456" w:type="pct"/>
            <w:tcBorders>
              <w:top w:val="single" w:sz="4" w:space="0" w:color="196B24"/>
              <w:left w:val="nil"/>
              <w:bottom w:val="nil"/>
              <w:right w:val="nil"/>
            </w:tcBorders>
            <w:vAlign w:val="center"/>
            <w:hideMark/>
          </w:tcPr>
          <w:p w14:paraId="73A79081" w14:textId="77777777" w:rsidR="00EF4244" w:rsidRPr="00B12B17" w:rsidRDefault="00EF4244" w:rsidP="005A7661">
            <w:pPr>
              <w:spacing w:after="0"/>
              <w:jc w:val="right"/>
              <w:rPr>
                <w:rFonts w:ascii="Aptos Narrow" w:hAnsi="Aptos Narrow" w:cs="Times New Roman"/>
                <w:color w:val="000000"/>
                <w:lang w:eastAsia="fr-FR"/>
              </w:rPr>
            </w:pPr>
            <w:r w:rsidRPr="00B12B17">
              <w:rPr>
                <w:rFonts w:ascii="Aptos Narrow" w:hAnsi="Aptos Narrow" w:cs="Times New Roman"/>
                <w:color w:val="000000"/>
                <w:lang w:eastAsia="fr-FR"/>
              </w:rPr>
              <w:t>Oui</w:t>
            </w:r>
          </w:p>
        </w:tc>
        <w:tc>
          <w:tcPr>
            <w:tcW w:w="829" w:type="pct"/>
            <w:tcBorders>
              <w:top w:val="single" w:sz="4" w:space="0" w:color="196B24"/>
              <w:left w:val="nil"/>
              <w:bottom w:val="nil"/>
              <w:right w:val="single" w:sz="4" w:space="0" w:color="196B24"/>
            </w:tcBorders>
            <w:vAlign w:val="center"/>
            <w:hideMark/>
          </w:tcPr>
          <w:p w14:paraId="7E5FA968" w14:textId="77777777" w:rsidR="00EF4244" w:rsidRPr="00B12B17" w:rsidRDefault="00EF4244" w:rsidP="005A7661">
            <w:pPr>
              <w:spacing w:after="0"/>
              <w:jc w:val="left"/>
              <w:rPr>
                <w:rFonts w:ascii="Aptos Narrow" w:hAnsi="Aptos Narrow" w:cs="Times New Roman"/>
                <w:color w:val="000000"/>
                <w:lang w:eastAsia="fr-FR"/>
              </w:rPr>
            </w:pPr>
            <w:r w:rsidRPr="00B12B17">
              <w:rPr>
                <w:rFonts w:ascii="Aptos Narrow" w:hAnsi="Aptos Narrow" w:cs="Times New Roman"/>
                <w:color w:val="000000"/>
                <w:lang w:eastAsia="fr-FR"/>
              </w:rPr>
              <w:t>Forte productivité, concurre les hélophytes, entretient l’attractivité</w:t>
            </w:r>
          </w:p>
        </w:tc>
      </w:tr>
      <w:tr w:rsidR="00EF4244" w:rsidRPr="00B12B17" w14:paraId="4FC1AD2D" w14:textId="77777777" w:rsidTr="005A7661">
        <w:trPr>
          <w:trHeight w:val="1152"/>
        </w:trPr>
        <w:tc>
          <w:tcPr>
            <w:tcW w:w="760" w:type="pct"/>
            <w:tcBorders>
              <w:top w:val="single" w:sz="4" w:space="0" w:color="196B24"/>
              <w:left w:val="single" w:sz="4" w:space="0" w:color="196B24"/>
              <w:bottom w:val="nil"/>
              <w:right w:val="nil"/>
            </w:tcBorders>
            <w:vAlign w:val="center"/>
            <w:hideMark/>
          </w:tcPr>
          <w:p w14:paraId="247091D4" w14:textId="77777777" w:rsidR="00EF4244" w:rsidRPr="00B12B17" w:rsidRDefault="00EF4244" w:rsidP="005A7661">
            <w:pPr>
              <w:spacing w:after="0"/>
              <w:jc w:val="left"/>
              <w:rPr>
                <w:rFonts w:ascii="Aptos Narrow" w:hAnsi="Aptos Narrow" w:cs="Times New Roman"/>
                <w:color w:val="000000"/>
                <w:lang w:eastAsia="fr-FR"/>
              </w:rPr>
            </w:pPr>
            <w:r w:rsidRPr="00B12B17">
              <w:rPr>
                <w:rFonts w:ascii="Aptos Narrow" w:hAnsi="Aptos Narrow" w:cs="Times New Roman"/>
                <w:color w:val="000000"/>
                <w:lang w:eastAsia="fr-FR"/>
              </w:rPr>
              <w:t>Espaces verts/jardins, haies irriguées</w:t>
            </w:r>
          </w:p>
        </w:tc>
        <w:tc>
          <w:tcPr>
            <w:tcW w:w="679" w:type="pct"/>
            <w:tcBorders>
              <w:top w:val="single" w:sz="4" w:space="0" w:color="196B24"/>
              <w:left w:val="nil"/>
              <w:bottom w:val="nil"/>
              <w:right w:val="nil"/>
            </w:tcBorders>
            <w:vAlign w:val="center"/>
            <w:hideMark/>
          </w:tcPr>
          <w:p w14:paraId="0D973275" w14:textId="77777777" w:rsidR="00EF4244" w:rsidRPr="00B12B17" w:rsidRDefault="00EF4244" w:rsidP="005A7661">
            <w:pPr>
              <w:spacing w:after="0"/>
              <w:jc w:val="left"/>
              <w:rPr>
                <w:rFonts w:ascii="Aptos Narrow" w:hAnsi="Aptos Narrow" w:cs="Times New Roman"/>
                <w:b/>
                <w:bCs/>
                <w:i/>
                <w:iCs/>
                <w:color w:val="000000"/>
                <w:lang w:eastAsia="fr-FR"/>
              </w:rPr>
            </w:pPr>
            <w:r w:rsidRPr="00B12B17">
              <w:rPr>
                <w:rFonts w:ascii="Aptos Narrow" w:hAnsi="Aptos Narrow" w:cs="Times New Roman"/>
                <w:b/>
                <w:bCs/>
                <w:i/>
                <w:iCs/>
                <w:color w:val="000000"/>
                <w:lang w:eastAsia="fr-FR"/>
              </w:rPr>
              <w:t>Nerium oleander</w:t>
            </w:r>
          </w:p>
        </w:tc>
        <w:tc>
          <w:tcPr>
            <w:tcW w:w="536" w:type="pct"/>
            <w:tcBorders>
              <w:top w:val="single" w:sz="4" w:space="0" w:color="196B24"/>
              <w:left w:val="nil"/>
              <w:bottom w:val="nil"/>
              <w:right w:val="nil"/>
            </w:tcBorders>
            <w:vAlign w:val="center"/>
            <w:hideMark/>
          </w:tcPr>
          <w:p w14:paraId="7C776E12" w14:textId="77777777" w:rsidR="00EF4244" w:rsidRPr="00B12B17" w:rsidRDefault="00EF4244" w:rsidP="005A7661">
            <w:pPr>
              <w:spacing w:after="0"/>
              <w:jc w:val="left"/>
              <w:rPr>
                <w:rFonts w:ascii="Aptos Narrow" w:hAnsi="Aptos Narrow" w:cs="Times New Roman"/>
                <w:color w:val="000000"/>
                <w:lang w:eastAsia="fr-FR"/>
              </w:rPr>
            </w:pPr>
            <w:r w:rsidRPr="00B12B17">
              <w:rPr>
                <w:rFonts w:ascii="Aptos Narrow" w:hAnsi="Aptos Narrow" w:cs="Times New Roman"/>
                <w:color w:val="000000"/>
                <w:lang w:eastAsia="fr-FR"/>
              </w:rPr>
              <w:t>Laurier-rose</w:t>
            </w:r>
          </w:p>
        </w:tc>
        <w:tc>
          <w:tcPr>
            <w:tcW w:w="656" w:type="pct"/>
            <w:tcBorders>
              <w:top w:val="single" w:sz="4" w:space="0" w:color="196B24"/>
              <w:left w:val="nil"/>
              <w:bottom w:val="nil"/>
              <w:right w:val="nil"/>
            </w:tcBorders>
            <w:vAlign w:val="center"/>
            <w:hideMark/>
          </w:tcPr>
          <w:p w14:paraId="0CC691E4" w14:textId="77777777" w:rsidR="00EF4244" w:rsidRPr="00B12B17" w:rsidRDefault="00EF4244" w:rsidP="005A7661">
            <w:pPr>
              <w:spacing w:after="0"/>
              <w:jc w:val="left"/>
              <w:rPr>
                <w:rFonts w:ascii="Aptos Narrow" w:hAnsi="Aptos Narrow" w:cs="Times New Roman"/>
                <w:color w:val="000000"/>
                <w:lang w:eastAsia="fr-FR"/>
              </w:rPr>
            </w:pPr>
            <w:r w:rsidRPr="00B12B17">
              <w:rPr>
                <w:rFonts w:ascii="Aptos Narrow" w:hAnsi="Aptos Narrow" w:cs="Times New Roman"/>
                <w:color w:val="000000"/>
                <w:lang w:eastAsia="fr-FR"/>
              </w:rPr>
              <w:t>Méditerranéen cultivé</w:t>
            </w:r>
          </w:p>
        </w:tc>
        <w:tc>
          <w:tcPr>
            <w:tcW w:w="628" w:type="pct"/>
            <w:tcBorders>
              <w:top w:val="single" w:sz="4" w:space="0" w:color="196B24"/>
              <w:left w:val="nil"/>
              <w:bottom w:val="nil"/>
              <w:right w:val="nil"/>
            </w:tcBorders>
            <w:vAlign w:val="center"/>
            <w:hideMark/>
          </w:tcPr>
          <w:p w14:paraId="38D79A4A" w14:textId="77777777" w:rsidR="00EF4244" w:rsidRPr="00B12B17" w:rsidRDefault="00EF4244" w:rsidP="005A7661">
            <w:pPr>
              <w:spacing w:after="0"/>
              <w:jc w:val="left"/>
              <w:rPr>
                <w:rFonts w:ascii="Aptos Narrow" w:hAnsi="Aptos Narrow" w:cs="Times New Roman"/>
                <w:color w:val="000000"/>
                <w:lang w:eastAsia="fr-FR"/>
              </w:rPr>
            </w:pPr>
            <w:r w:rsidRPr="00B12B17">
              <w:rPr>
                <w:rFonts w:ascii="Aptos Narrow" w:hAnsi="Aptos Narrow" w:cs="Times New Roman"/>
                <w:color w:val="000000"/>
                <w:lang w:eastAsia="fr-FR"/>
              </w:rPr>
              <w:t>—</w:t>
            </w:r>
          </w:p>
        </w:tc>
        <w:tc>
          <w:tcPr>
            <w:tcW w:w="456" w:type="pct"/>
            <w:tcBorders>
              <w:top w:val="single" w:sz="4" w:space="0" w:color="196B24"/>
              <w:left w:val="nil"/>
              <w:bottom w:val="nil"/>
              <w:right w:val="nil"/>
            </w:tcBorders>
            <w:vAlign w:val="center"/>
            <w:hideMark/>
          </w:tcPr>
          <w:p w14:paraId="4246E725" w14:textId="77777777" w:rsidR="00EF4244" w:rsidRPr="00B12B17" w:rsidRDefault="00EF4244" w:rsidP="005A7661">
            <w:pPr>
              <w:spacing w:after="0"/>
              <w:jc w:val="right"/>
              <w:rPr>
                <w:rFonts w:ascii="Aptos Narrow" w:hAnsi="Aptos Narrow" w:cs="Times New Roman"/>
                <w:color w:val="000000"/>
                <w:lang w:eastAsia="fr-FR"/>
              </w:rPr>
            </w:pPr>
            <w:r w:rsidRPr="00B12B17">
              <w:rPr>
                <w:rFonts w:ascii="Aptos Narrow" w:hAnsi="Aptos Narrow" w:cs="Times New Roman"/>
                <w:color w:val="000000"/>
                <w:lang w:eastAsia="fr-FR"/>
              </w:rPr>
              <w:t>Oui</w:t>
            </w:r>
          </w:p>
        </w:tc>
        <w:tc>
          <w:tcPr>
            <w:tcW w:w="456" w:type="pct"/>
            <w:tcBorders>
              <w:top w:val="single" w:sz="4" w:space="0" w:color="196B24"/>
              <w:left w:val="nil"/>
              <w:bottom w:val="nil"/>
              <w:right w:val="nil"/>
            </w:tcBorders>
            <w:vAlign w:val="center"/>
            <w:hideMark/>
          </w:tcPr>
          <w:p w14:paraId="351E3D40" w14:textId="77777777" w:rsidR="00EF4244" w:rsidRPr="00B12B17" w:rsidRDefault="00EF4244" w:rsidP="005A7661">
            <w:pPr>
              <w:spacing w:after="0"/>
              <w:jc w:val="right"/>
              <w:rPr>
                <w:rFonts w:ascii="Aptos Narrow" w:hAnsi="Aptos Narrow" w:cs="Times New Roman"/>
                <w:color w:val="000000"/>
                <w:lang w:eastAsia="fr-FR"/>
              </w:rPr>
            </w:pPr>
            <w:r w:rsidRPr="00B12B17">
              <w:rPr>
                <w:rFonts w:ascii="Aptos Narrow" w:hAnsi="Aptos Narrow" w:cs="Times New Roman"/>
                <w:color w:val="000000"/>
                <w:lang w:eastAsia="fr-FR"/>
              </w:rPr>
              <w:t>Oui</w:t>
            </w:r>
          </w:p>
        </w:tc>
        <w:tc>
          <w:tcPr>
            <w:tcW w:w="829" w:type="pct"/>
            <w:tcBorders>
              <w:top w:val="single" w:sz="4" w:space="0" w:color="196B24"/>
              <w:left w:val="nil"/>
              <w:bottom w:val="nil"/>
              <w:right w:val="single" w:sz="4" w:space="0" w:color="196B24"/>
            </w:tcBorders>
            <w:vAlign w:val="center"/>
            <w:hideMark/>
          </w:tcPr>
          <w:p w14:paraId="64208CAD" w14:textId="77777777" w:rsidR="00EF4244" w:rsidRPr="00B12B17" w:rsidRDefault="00EF4244" w:rsidP="005A7661">
            <w:pPr>
              <w:spacing w:after="0"/>
              <w:jc w:val="left"/>
              <w:rPr>
                <w:rFonts w:ascii="Aptos Narrow" w:hAnsi="Aptos Narrow" w:cs="Times New Roman"/>
                <w:color w:val="000000"/>
                <w:lang w:eastAsia="fr-FR"/>
              </w:rPr>
            </w:pPr>
            <w:r w:rsidRPr="00B12B17">
              <w:rPr>
                <w:rFonts w:ascii="Aptos Narrow" w:hAnsi="Aptos Narrow" w:cs="Times New Roman"/>
                <w:color w:val="000000"/>
                <w:lang w:eastAsia="fr-FR"/>
              </w:rPr>
              <w:t>Haies irriguées, floraison longue, ressource nectar/pollen</w:t>
            </w:r>
          </w:p>
        </w:tc>
      </w:tr>
      <w:tr w:rsidR="00EF4244" w:rsidRPr="00B12B17" w14:paraId="6C9FB793" w14:textId="77777777" w:rsidTr="005A7661">
        <w:trPr>
          <w:trHeight w:val="864"/>
        </w:trPr>
        <w:tc>
          <w:tcPr>
            <w:tcW w:w="760" w:type="pct"/>
            <w:tcBorders>
              <w:top w:val="single" w:sz="4" w:space="0" w:color="196B24"/>
              <w:left w:val="single" w:sz="4" w:space="0" w:color="196B24"/>
              <w:bottom w:val="nil"/>
              <w:right w:val="nil"/>
            </w:tcBorders>
            <w:vAlign w:val="center"/>
            <w:hideMark/>
          </w:tcPr>
          <w:p w14:paraId="541D7981" w14:textId="77777777" w:rsidR="00EF4244" w:rsidRPr="00B12B17" w:rsidRDefault="00EF4244" w:rsidP="005A7661">
            <w:pPr>
              <w:spacing w:after="0"/>
              <w:jc w:val="left"/>
              <w:rPr>
                <w:rFonts w:ascii="Aptos Narrow" w:hAnsi="Aptos Narrow" w:cs="Times New Roman"/>
                <w:color w:val="000000"/>
                <w:lang w:eastAsia="fr-FR"/>
              </w:rPr>
            </w:pPr>
            <w:r w:rsidRPr="00B12B17">
              <w:rPr>
                <w:rFonts w:ascii="Aptos Narrow" w:hAnsi="Aptos Narrow" w:cs="Times New Roman"/>
                <w:color w:val="000000"/>
                <w:lang w:eastAsia="fr-FR"/>
              </w:rPr>
              <w:t>Alignements, parcs</w:t>
            </w:r>
          </w:p>
        </w:tc>
        <w:tc>
          <w:tcPr>
            <w:tcW w:w="679" w:type="pct"/>
            <w:tcBorders>
              <w:top w:val="single" w:sz="4" w:space="0" w:color="196B24"/>
              <w:left w:val="nil"/>
              <w:bottom w:val="nil"/>
              <w:right w:val="nil"/>
            </w:tcBorders>
            <w:vAlign w:val="center"/>
            <w:hideMark/>
          </w:tcPr>
          <w:p w14:paraId="09CB21C2" w14:textId="77777777" w:rsidR="00EF4244" w:rsidRPr="00B12B17" w:rsidRDefault="00EF4244" w:rsidP="005A7661">
            <w:pPr>
              <w:spacing w:after="0"/>
              <w:jc w:val="left"/>
              <w:rPr>
                <w:rFonts w:ascii="Aptos Narrow" w:hAnsi="Aptos Narrow" w:cs="Times New Roman"/>
                <w:b/>
                <w:bCs/>
                <w:i/>
                <w:iCs/>
                <w:color w:val="000000"/>
                <w:lang w:eastAsia="fr-FR"/>
              </w:rPr>
            </w:pPr>
            <w:r w:rsidRPr="00B12B17">
              <w:rPr>
                <w:rFonts w:ascii="Aptos Narrow" w:hAnsi="Aptos Narrow" w:cs="Times New Roman"/>
                <w:b/>
                <w:bCs/>
                <w:i/>
                <w:iCs/>
                <w:color w:val="000000"/>
                <w:lang w:eastAsia="fr-FR"/>
              </w:rPr>
              <w:t>Phoenix dactylifera</w:t>
            </w:r>
          </w:p>
        </w:tc>
        <w:tc>
          <w:tcPr>
            <w:tcW w:w="536" w:type="pct"/>
            <w:tcBorders>
              <w:top w:val="single" w:sz="4" w:space="0" w:color="196B24"/>
              <w:left w:val="nil"/>
              <w:bottom w:val="nil"/>
              <w:right w:val="nil"/>
            </w:tcBorders>
            <w:vAlign w:val="center"/>
            <w:hideMark/>
          </w:tcPr>
          <w:p w14:paraId="50DAC56D" w14:textId="77777777" w:rsidR="00EF4244" w:rsidRPr="00B12B17" w:rsidRDefault="00EF4244" w:rsidP="005A7661">
            <w:pPr>
              <w:spacing w:after="0"/>
              <w:jc w:val="left"/>
              <w:rPr>
                <w:rFonts w:ascii="Aptos Narrow" w:hAnsi="Aptos Narrow" w:cs="Times New Roman"/>
                <w:color w:val="000000"/>
                <w:lang w:eastAsia="fr-FR"/>
              </w:rPr>
            </w:pPr>
            <w:r w:rsidRPr="00B12B17">
              <w:rPr>
                <w:rFonts w:ascii="Aptos Narrow" w:hAnsi="Aptos Narrow" w:cs="Times New Roman"/>
                <w:color w:val="000000"/>
                <w:lang w:eastAsia="fr-FR"/>
              </w:rPr>
              <w:t>Palmier dattier</w:t>
            </w:r>
          </w:p>
        </w:tc>
        <w:tc>
          <w:tcPr>
            <w:tcW w:w="656" w:type="pct"/>
            <w:tcBorders>
              <w:top w:val="single" w:sz="4" w:space="0" w:color="196B24"/>
              <w:left w:val="nil"/>
              <w:bottom w:val="nil"/>
              <w:right w:val="nil"/>
            </w:tcBorders>
            <w:vAlign w:val="center"/>
            <w:hideMark/>
          </w:tcPr>
          <w:p w14:paraId="73D4B80B" w14:textId="77777777" w:rsidR="00EF4244" w:rsidRPr="00B12B17" w:rsidRDefault="00EF4244" w:rsidP="005A7661">
            <w:pPr>
              <w:spacing w:after="0"/>
              <w:jc w:val="left"/>
              <w:rPr>
                <w:rFonts w:ascii="Aptos Narrow" w:hAnsi="Aptos Narrow" w:cs="Times New Roman"/>
                <w:color w:val="000000"/>
                <w:lang w:eastAsia="fr-FR"/>
              </w:rPr>
            </w:pPr>
            <w:r w:rsidRPr="00B12B17">
              <w:rPr>
                <w:rFonts w:ascii="Aptos Narrow" w:hAnsi="Aptos Narrow" w:cs="Times New Roman"/>
                <w:color w:val="000000"/>
                <w:lang w:eastAsia="fr-FR"/>
              </w:rPr>
              <w:t>Nord-Afrique (cultivé)</w:t>
            </w:r>
          </w:p>
        </w:tc>
        <w:tc>
          <w:tcPr>
            <w:tcW w:w="628" w:type="pct"/>
            <w:tcBorders>
              <w:top w:val="single" w:sz="4" w:space="0" w:color="196B24"/>
              <w:left w:val="nil"/>
              <w:bottom w:val="nil"/>
              <w:right w:val="nil"/>
            </w:tcBorders>
            <w:vAlign w:val="center"/>
            <w:hideMark/>
          </w:tcPr>
          <w:p w14:paraId="42A568D8" w14:textId="77777777" w:rsidR="00EF4244" w:rsidRPr="00B12B17" w:rsidRDefault="00EF4244" w:rsidP="005A7661">
            <w:pPr>
              <w:spacing w:after="0"/>
              <w:jc w:val="left"/>
              <w:rPr>
                <w:rFonts w:ascii="Aptos Narrow" w:hAnsi="Aptos Narrow" w:cs="Times New Roman"/>
                <w:color w:val="000000"/>
                <w:lang w:eastAsia="fr-FR"/>
              </w:rPr>
            </w:pPr>
            <w:r w:rsidRPr="00B12B17">
              <w:rPr>
                <w:rFonts w:ascii="Aptos Narrow" w:hAnsi="Aptos Narrow" w:cs="Times New Roman"/>
                <w:color w:val="000000"/>
                <w:lang w:eastAsia="fr-FR"/>
              </w:rPr>
              <w:t>—</w:t>
            </w:r>
          </w:p>
        </w:tc>
        <w:tc>
          <w:tcPr>
            <w:tcW w:w="456" w:type="pct"/>
            <w:tcBorders>
              <w:top w:val="single" w:sz="4" w:space="0" w:color="196B24"/>
              <w:left w:val="nil"/>
              <w:bottom w:val="nil"/>
              <w:right w:val="nil"/>
            </w:tcBorders>
            <w:vAlign w:val="center"/>
            <w:hideMark/>
          </w:tcPr>
          <w:p w14:paraId="5EB40135" w14:textId="77777777" w:rsidR="00EF4244" w:rsidRPr="00B12B17" w:rsidRDefault="00EF4244" w:rsidP="005A7661">
            <w:pPr>
              <w:spacing w:after="0"/>
              <w:jc w:val="right"/>
              <w:rPr>
                <w:rFonts w:ascii="Aptos Narrow" w:hAnsi="Aptos Narrow" w:cs="Times New Roman"/>
                <w:color w:val="000000"/>
                <w:lang w:eastAsia="fr-FR"/>
              </w:rPr>
            </w:pPr>
            <w:r w:rsidRPr="00B12B17">
              <w:rPr>
                <w:rFonts w:ascii="Aptos Narrow" w:hAnsi="Aptos Narrow" w:cs="Times New Roman"/>
                <w:color w:val="000000"/>
                <w:lang w:eastAsia="fr-FR"/>
              </w:rPr>
              <w:t>Oui</w:t>
            </w:r>
          </w:p>
        </w:tc>
        <w:tc>
          <w:tcPr>
            <w:tcW w:w="456" w:type="pct"/>
            <w:tcBorders>
              <w:top w:val="single" w:sz="4" w:space="0" w:color="196B24"/>
              <w:left w:val="nil"/>
              <w:bottom w:val="nil"/>
              <w:right w:val="nil"/>
            </w:tcBorders>
            <w:vAlign w:val="center"/>
            <w:hideMark/>
          </w:tcPr>
          <w:p w14:paraId="3A9F26D2" w14:textId="77777777" w:rsidR="00EF4244" w:rsidRPr="00B12B17" w:rsidRDefault="00EF4244" w:rsidP="005A7661">
            <w:pPr>
              <w:spacing w:after="0"/>
              <w:jc w:val="right"/>
              <w:rPr>
                <w:rFonts w:ascii="Aptos Narrow" w:hAnsi="Aptos Narrow" w:cs="Times New Roman"/>
                <w:color w:val="000000"/>
                <w:lang w:eastAsia="fr-FR"/>
              </w:rPr>
            </w:pPr>
            <w:r w:rsidRPr="00B12B17">
              <w:rPr>
                <w:rFonts w:ascii="Aptos Narrow" w:hAnsi="Aptos Narrow" w:cs="Times New Roman"/>
                <w:color w:val="000000"/>
                <w:lang w:eastAsia="fr-FR"/>
              </w:rPr>
              <w:t>Oui</w:t>
            </w:r>
          </w:p>
        </w:tc>
        <w:tc>
          <w:tcPr>
            <w:tcW w:w="829" w:type="pct"/>
            <w:tcBorders>
              <w:top w:val="single" w:sz="4" w:space="0" w:color="196B24"/>
              <w:left w:val="nil"/>
              <w:bottom w:val="nil"/>
              <w:right w:val="single" w:sz="4" w:space="0" w:color="196B24"/>
            </w:tcBorders>
            <w:vAlign w:val="center"/>
            <w:hideMark/>
          </w:tcPr>
          <w:p w14:paraId="06A11498" w14:textId="77777777" w:rsidR="00EF4244" w:rsidRPr="00B12B17" w:rsidRDefault="00EF4244" w:rsidP="005A7661">
            <w:pPr>
              <w:spacing w:after="0"/>
              <w:jc w:val="left"/>
              <w:rPr>
                <w:rFonts w:ascii="Aptos Narrow" w:hAnsi="Aptos Narrow" w:cs="Times New Roman"/>
                <w:color w:val="000000"/>
                <w:lang w:eastAsia="fr-FR"/>
              </w:rPr>
            </w:pPr>
            <w:r w:rsidRPr="00B12B17">
              <w:rPr>
                <w:rFonts w:ascii="Aptos Narrow" w:hAnsi="Aptos Narrow" w:cs="Times New Roman"/>
                <w:color w:val="000000"/>
                <w:lang w:eastAsia="fr-FR"/>
              </w:rPr>
              <w:t>Structure arborée, perchoirs, fruits saisonniers</w:t>
            </w:r>
          </w:p>
        </w:tc>
      </w:tr>
      <w:tr w:rsidR="00EF4244" w:rsidRPr="00B12B17" w14:paraId="66FCED59" w14:textId="77777777" w:rsidTr="005A7661">
        <w:trPr>
          <w:trHeight w:val="864"/>
        </w:trPr>
        <w:tc>
          <w:tcPr>
            <w:tcW w:w="760" w:type="pct"/>
            <w:tcBorders>
              <w:top w:val="single" w:sz="4" w:space="0" w:color="196B24"/>
              <w:left w:val="single" w:sz="4" w:space="0" w:color="196B24"/>
              <w:bottom w:val="nil"/>
              <w:right w:val="nil"/>
            </w:tcBorders>
            <w:vAlign w:val="center"/>
            <w:hideMark/>
          </w:tcPr>
          <w:p w14:paraId="4652709F" w14:textId="77777777" w:rsidR="00EF4244" w:rsidRPr="00B12B17" w:rsidRDefault="00EF4244" w:rsidP="005A7661">
            <w:pPr>
              <w:spacing w:after="0"/>
              <w:jc w:val="left"/>
              <w:rPr>
                <w:rFonts w:ascii="Aptos Narrow" w:hAnsi="Aptos Narrow" w:cs="Times New Roman"/>
                <w:color w:val="000000"/>
                <w:lang w:eastAsia="fr-FR"/>
              </w:rPr>
            </w:pPr>
            <w:r w:rsidRPr="00B12B17">
              <w:rPr>
                <w:rFonts w:ascii="Aptos Narrow" w:hAnsi="Aptos Narrow" w:cs="Times New Roman"/>
                <w:color w:val="000000"/>
                <w:lang w:eastAsia="fr-FR"/>
              </w:rPr>
              <w:lastRenderedPageBreak/>
              <w:t>Alignements urbains</w:t>
            </w:r>
          </w:p>
        </w:tc>
        <w:tc>
          <w:tcPr>
            <w:tcW w:w="679" w:type="pct"/>
            <w:tcBorders>
              <w:top w:val="single" w:sz="4" w:space="0" w:color="196B24"/>
              <w:left w:val="nil"/>
              <w:bottom w:val="nil"/>
              <w:right w:val="nil"/>
            </w:tcBorders>
            <w:vAlign w:val="center"/>
            <w:hideMark/>
          </w:tcPr>
          <w:p w14:paraId="63B76517" w14:textId="77777777" w:rsidR="00EF4244" w:rsidRPr="00B12B17" w:rsidRDefault="00EF4244" w:rsidP="005A7661">
            <w:pPr>
              <w:spacing w:after="0"/>
              <w:jc w:val="left"/>
              <w:rPr>
                <w:rFonts w:ascii="Aptos Narrow" w:hAnsi="Aptos Narrow" w:cs="Times New Roman"/>
                <w:b/>
                <w:bCs/>
                <w:i/>
                <w:iCs/>
                <w:color w:val="000000"/>
                <w:lang w:eastAsia="fr-FR"/>
              </w:rPr>
            </w:pPr>
            <w:r w:rsidRPr="00B12B17">
              <w:rPr>
                <w:rFonts w:ascii="Aptos Narrow" w:hAnsi="Aptos Narrow" w:cs="Times New Roman"/>
                <w:b/>
                <w:bCs/>
                <w:i/>
                <w:iCs/>
                <w:color w:val="000000"/>
                <w:lang w:eastAsia="fr-FR"/>
              </w:rPr>
              <w:t>Eucalyptus camaldulensis</w:t>
            </w:r>
          </w:p>
        </w:tc>
        <w:tc>
          <w:tcPr>
            <w:tcW w:w="536" w:type="pct"/>
            <w:tcBorders>
              <w:top w:val="single" w:sz="4" w:space="0" w:color="196B24"/>
              <w:left w:val="nil"/>
              <w:bottom w:val="nil"/>
              <w:right w:val="nil"/>
            </w:tcBorders>
            <w:vAlign w:val="center"/>
            <w:hideMark/>
          </w:tcPr>
          <w:p w14:paraId="0DAE21B0" w14:textId="77777777" w:rsidR="00EF4244" w:rsidRPr="00B12B17" w:rsidRDefault="00EF4244" w:rsidP="005A7661">
            <w:pPr>
              <w:spacing w:after="0"/>
              <w:jc w:val="left"/>
              <w:rPr>
                <w:rFonts w:ascii="Aptos Narrow" w:hAnsi="Aptos Narrow" w:cs="Times New Roman"/>
                <w:color w:val="000000"/>
                <w:lang w:eastAsia="fr-FR"/>
              </w:rPr>
            </w:pPr>
            <w:r w:rsidRPr="00B12B17">
              <w:rPr>
                <w:rFonts w:ascii="Aptos Narrow" w:hAnsi="Aptos Narrow" w:cs="Times New Roman"/>
                <w:color w:val="000000"/>
                <w:lang w:eastAsia="fr-FR"/>
              </w:rPr>
              <w:t>Eucalyptus</w:t>
            </w:r>
          </w:p>
        </w:tc>
        <w:tc>
          <w:tcPr>
            <w:tcW w:w="656" w:type="pct"/>
            <w:tcBorders>
              <w:top w:val="single" w:sz="4" w:space="0" w:color="196B24"/>
              <w:left w:val="nil"/>
              <w:bottom w:val="nil"/>
              <w:right w:val="nil"/>
            </w:tcBorders>
            <w:vAlign w:val="center"/>
            <w:hideMark/>
          </w:tcPr>
          <w:p w14:paraId="6C4F19DA" w14:textId="77777777" w:rsidR="00EF4244" w:rsidRPr="00B12B17" w:rsidRDefault="00EF4244" w:rsidP="005A7661">
            <w:pPr>
              <w:spacing w:after="0"/>
              <w:jc w:val="left"/>
              <w:rPr>
                <w:rFonts w:ascii="Aptos Narrow" w:hAnsi="Aptos Narrow" w:cs="Times New Roman"/>
                <w:color w:val="000000"/>
                <w:lang w:eastAsia="fr-FR"/>
              </w:rPr>
            </w:pPr>
            <w:r w:rsidRPr="00B12B17">
              <w:rPr>
                <w:rFonts w:ascii="Aptos Narrow" w:hAnsi="Aptos Narrow" w:cs="Times New Roman"/>
                <w:color w:val="000000"/>
                <w:lang w:eastAsia="fr-FR"/>
              </w:rPr>
              <w:t>Exotique</w:t>
            </w:r>
          </w:p>
        </w:tc>
        <w:tc>
          <w:tcPr>
            <w:tcW w:w="628" w:type="pct"/>
            <w:tcBorders>
              <w:top w:val="single" w:sz="4" w:space="0" w:color="196B24"/>
              <w:left w:val="nil"/>
              <w:bottom w:val="nil"/>
              <w:right w:val="nil"/>
            </w:tcBorders>
            <w:vAlign w:val="center"/>
            <w:hideMark/>
          </w:tcPr>
          <w:p w14:paraId="319FB3E3" w14:textId="77777777" w:rsidR="00EF4244" w:rsidRPr="00B12B17" w:rsidRDefault="00EF4244" w:rsidP="005A7661">
            <w:pPr>
              <w:spacing w:after="0"/>
              <w:jc w:val="left"/>
              <w:rPr>
                <w:rFonts w:ascii="Aptos Narrow" w:hAnsi="Aptos Narrow" w:cs="Times New Roman"/>
                <w:color w:val="000000"/>
                <w:lang w:eastAsia="fr-FR"/>
              </w:rPr>
            </w:pPr>
            <w:r w:rsidRPr="00B12B17">
              <w:rPr>
                <w:rFonts w:ascii="Aptos Narrow" w:hAnsi="Aptos Narrow" w:cs="Times New Roman"/>
                <w:color w:val="000000"/>
                <w:lang w:eastAsia="fr-FR"/>
              </w:rPr>
              <w:t>Pot. envahissant local</w:t>
            </w:r>
          </w:p>
        </w:tc>
        <w:tc>
          <w:tcPr>
            <w:tcW w:w="456" w:type="pct"/>
            <w:tcBorders>
              <w:top w:val="single" w:sz="4" w:space="0" w:color="196B24"/>
              <w:left w:val="nil"/>
              <w:bottom w:val="nil"/>
              <w:right w:val="nil"/>
            </w:tcBorders>
            <w:vAlign w:val="center"/>
            <w:hideMark/>
          </w:tcPr>
          <w:p w14:paraId="56C4D053" w14:textId="77777777" w:rsidR="00EF4244" w:rsidRPr="00B12B17" w:rsidRDefault="00EF4244" w:rsidP="005A7661">
            <w:pPr>
              <w:spacing w:after="0"/>
              <w:jc w:val="right"/>
              <w:rPr>
                <w:rFonts w:ascii="Aptos Narrow" w:hAnsi="Aptos Narrow" w:cs="Times New Roman"/>
                <w:color w:val="000000"/>
                <w:lang w:eastAsia="fr-FR"/>
              </w:rPr>
            </w:pPr>
            <w:r w:rsidRPr="00B12B17">
              <w:rPr>
                <w:rFonts w:ascii="Aptos Narrow" w:hAnsi="Aptos Narrow" w:cs="Times New Roman"/>
                <w:color w:val="000000"/>
                <w:lang w:eastAsia="fr-FR"/>
              </w:rPr>
              <w:t>Localisée</w:t>
            </w:r>
          </w:p>
        </w:tc>
        <w:tc>
          <w:tcPr>
            <w:tcW w:w="456" w:type="pct"/>
            <w:tcBorders>
              <w:top w:val="single" w:sz="4" w:space="0" w:color="196B24"/>
              <w:left w:val="nil"/>
              <w:bottom w:val="nil"/>
              <w:right w:val="nil"/>
            </w:tcBorders>
            <w:vAlign w:val="center"/>
            <w:hideMark/>
          </w:tcPr>
          <w:p w14:paraId="5778D738" w14:textId="77777777" w:rsidR="00EF4244" w:rsidRPr="00B12B17" w:rsidRDefault="00EF4244" w:rsidP="005A7661">
            <w:pPr>
              <w:spacing w:after="0"/>
              <w:jc w:val="right"/>
              <w:rPr>
                <w:rFonts w:ascii="Aptos Narrow" w:hAnsi="Aptos Narrow" w:cs="Times New Roman"/>
                <w:color w:val="000000"/>
                <w:lang w:eastAsia="fr-FR"/>
              </w:rPr>
            </w:pPr>
            <w:r w:rsidRPr="00B12B17">
              <w:rPr>
                <w:rFonts w:ascii="Aptos Narrow" w:hAnsi="Aptos Narrow" w:cs="Times New Roman"/>
                <w:color w:val="000000"/>
                <w:lang w:eastAsia="fr-FR"/>
              </w:rPr>
              <w:t>Oui</w:t>
            </w:r>
          </w:p>
        </w:tc>
        <w:tc>
          <w:tcPr>
            <w:tcW w:w="829" w:type="pct"/>
            <w:tcBorders>
              <w:top w:val="single" w:sz="4" w:space="0" w:color="196B24"/>
              <w:left w:val="nil"/>
              <w:bottom w:val="nil"/>
              <w:right w:val="single" w:sz="4" w:space="0" w:color="196B24"/>
            </w:tcBorders>
            <w:vAlign w:val="center"/>
            <w:hideMark/>
          </w:tcPr>
          <w:p w14:paraId="51E55BBB" w14:textId="77777777" w:rsidR="00EF4244" w:rsidRPr="00B12B17" w:rsidRDefault="00EF4244" w:rsidP="005A7661">
            <w:pPr>
              <w:spacing w:after="0"/>
              <w:jc w:val="left"/>
              <w:rPr>
                <w:rFonts w:ascii="Aptos Narrow" w:hAnsi="Aptos Narrow" w:cs="Times New Roman"/>
                <w:color w:val="000000"/>
                <w:lang w:eastAsia="fr-FR"/>
              </w:rPr>
            </w:pPr>
            <w:r w:rsidRPr="00B12B17">
              <w:rPr>
                <w:rFonts w:ascii="Aptos Narrow" w:hAnsi="Aptos Narrow" w:cs="Times New Roman"/>
                <w:color w:val="000000"/>
                <w:lang w:eastAsia="fr-FR"/>
              </w:rPr>
              <w:t>Alignements/brise-vent, litière abondante</w:t>
            </w:r>
          </w:p>
        </w:tc>
      </w:tr>
      <w:tr w:rsidR="00EF4244" w:rsidRPr="00B12B17" w14:paraId="69192E31" w14:textId="77777777" w:rsidTr="005A7661">
        <w:trPr>
          <w:trHeight w:val="864"/>
        </w:trPr>
        <w:tc>
          <w:tcPr>
            <w:tcW w:w="760" w:type="pct"/>
            <w:tcBorders>
              <w:top w:val="single" w:sz="4" w:space="0" w:color="196B24"/>
              <w:left w:val="single" w:sz="4" w:space="0" w:color="196B24"/>
              <w:bottom w:val="nil"/>
              <w:right w:val="nil"/>
            </w:tcBorders>
            <w:vAlign w:val="center"/>
            <w:hideMark/>
          </w:tcPr>
          <w:p w14:paraId="102A5610" w14:textId="77777777" w:rsidR="00EF4244" w:rsidRPr="00B12B17" w:rsidRDefault="00EF4244" w:rsidP="005A7661">
            <w:pPr>
              <w:spacing w:after="0"/>
              <w:jc w:val="left"/>
              <w:rPr>
                <w:rFonts w:ascii="Aptos Narrow" w:hAnsi="Aptos Narrow" w:cs="Times New Roman"/>
                <w:color w:val="000000"/>
                <w:lang w:eastAsia="fr-FR"/>
              </w:rPr>
            </w:pPr>
            <w:r w:rsidRPr="00B12B17">
              <w:rPr>
                <w:rFonts w:ascii="Aptos Narrow" w:hAnsi="Aptos Narrow" w:cs="Times New Roman"/>
                <w:color w:val="000000"/>
                <w:lang w:eastAsia="fr-FR"/>
              </w:rPr>
              <w:t>Vergers, lisières</w:t>
            </w:r>
          </w:p>
        </w:tc>
        <w:tc>
          <w:tcPr>
            <w:tcW w:w="679" w:type="pct"/>
            <w:tcBorders>
              <w:top w:val="single" w:sz="4" w:space="0" w:color="196B24"/>
              <w:left w:val="nil"/>
              <w:bottom w:val="nil"/>
              <w:right w:val="nil"/>
            </w:tcBorders>
            <w:vAlign w:val="center"/>
            <w:hideMark/>
          </w:tcPr>
          <w:p w14:paraId="4334586A" w14:textId="77777777" w:rsidR="00EF4244" w:rsidRPr="00B12B17" w:rsidRDefault="00EF4244" w:rsidP="005A7661">
            <w:pPr>
              <w:spacing w:after="0"/>
              <w:jc w:val="left"/>
              <w:rPr>
                <w:rFonts w:ascii="Aptos Narrow" w:hAnsi="Aptos Narrow" w:cs="Times New Roman"/>
                <w:b/>
                <w:bCs/>
                <w:i/>
                <w:iCs/>
                <w:color w:val="000000"/>
                <w:lang w:eastAsia="fr-FR"/>
              </w:rPr>
            </w:pPr>
            <w:r w:rsidRPr="00B12B17">
              <w:rPr>
                <w:rFonts w:ascii="Aptos Narrow" w:hAnsi="Aptos Narrow" w:cs="Times New Roman"/>
                <w:b/>
                <w:bCs/>
                <w:i/>
                <w:iCs/>
                <w:color w:val="000000"/>
                <w:lang w:eastAsia="fr-FR"/>
              </w:rPr>
              <w:t>Olea europaea</w:t>
            </w:r>
          </w:p>
        </w:tc>
        <w:tc>
          <w:tcPr>
            <w:tcW w:w="536" w:type="pct"/>
            <w:tcBorders>
              <w:top w:val="single" w:sz="4" w:space="0" w:color="196B24"/>
              <w:left w:val="nil"/>
              <w:bottom w:val="nil"/>
              <w:right w:val="nil"/>
            </w:tcBorders>
            <w:vAlign w:val="center"/>
            <w:hideMark/>
          </w:tcPr>
          <w:p w14:paraId="4A30A19D" w14:textId="77777777" w:rsidR="00EF4244" w:rsidRPr="00B12B17" w:rsidRDefault="00EF4244" w:rsidP="005A7661">
            <w:pPr>
              <w:spacing w:after="0"/>
              <w:jc w:val="left"/>
              <w:rPr>
                <w:rFonts w:ascii="Aptos Narrow" w:hAnsi="Aptos Narrow" w:cs="Times New Roman"/>
                <w:color w:val="000000"/>
                <w:lang w:eastAsia="fr-FR"/>
              </w:rPr>
            </w:pPr>
            <w:r w:rsidRPr="00B12B17">
              <w:rPr>
                <w:rFonts w:ascii="Aptos Narrow" w:hAnsi="Aptos Narrow" w:cs="Times New Roman"/>
                <w:color w:val="000000"/>
                <w:lang w:eastAsia="fr-FR"/>
              </w:rPr>
              <w:t>Olivier</w:t>
            </w:r>
          </w:p>
        </w:tc>
        <w:tc>
          <w:tcPr>
            <w:tcW w:w="656" w:type="pct"/>
            <w:tcBorders>
              <w:top w:val="single" w:sz="4" w:space="0" w:color="196B24"/>
              <w:left w:val="nil"/>
              <w:bottom w:val="nil"/>
              <w:right w:val="nil"/>
            </w:tcBorders>
            <w:vAlign w:val="center"/>
            <w:hideMark/>
          </w:tcPr>
          <w:p w14:paraId="46B4EC56" w14:textId="77777777" w:rsidR="00EF4244" w:rsidRPr="00B12B17" w:rsidRDefault="00EF4244" w:rsidP="005A7661">
            <w:pPr>
              <w:spacing w:after="0"/>
              <w:jc w:val="left"/>
              <w:rPr>
                <w:rFonts w:ascii="Aptos Narrow" w:hAnsi="Aptos Narrow" w:cs="Times New Roman"/>
                <w:color w:val="000000"/>
                <w:lang w:eastAsia="fr-FR"/>
              </w:rPr>
            </w:pPr>
            <w:r w:rsidRPr="00B12B17">
              <w:rPr>
                <w:rFonts w:ascii="Aptos Narrow" w:hAnsi="Aptos Narrow" w:cs="Times New Roman"/>
                <w:color w:val="000000"/>
                <w:lang w:eastAsia="fr-FR"/>
              </w:rPr>
              <w:t>Cultivé</w:t>
            </w:r>
          </w:p>
        </w:tc>
        <w:tc>
          <w:tcPr>
            <w:tcW w:w="628" w:type="pct"/>
            <w:tcBorders>
              <w:top w:val="single" w:sz="4" w:space="0" w:color="196B24"/>
              <w:left w:val="nil"/>
              <w:bottom w:val="nil"/>
              <w:right w:val="nil"/>
            </w:tcBorders>
            <w:vAlign w:val="center"/>
            <w:hideMark/>
          </w:tcPr>
          <w:p w14:paraId="25DB7317" w14:textId="77777777" w:rsidR="00EF4244" w:rsidRPr="00B12B17" w:rsidRDefault="00EF4244" w:rsidP="005A7661">
            <w:pPr>
              <w:spacing w:after="0"/>
              <w:jc w:val="left"/>
              <w:rPr>
                <w:rFonts w:ascii="Aptos Narrow" w:hAnsi="Aptos Narrow" w:cs="Times New Roman"/>
                <w:color w:val="000000"/>
                <w:lang w:eastAsia="fr-FR"/>
              </w:rPr>
            </w:pPr>
            <w:r w:rsidRPr="00B12B17">
              <w:rPr>
                <w:rFonts w:ascii="Aptos Narrow" w:hAnsi="Aptos Narrow" w:cs="Times New Roman"/>
                <w:color w:val="000000"/>
                <w:lang w:eastAsia="fr-FR"/>
              </w:rPr>
              <w:t>—</w:t>
            </w:r>
          </w:p>
        </w:tc>
        <w:tc>
          <w:tcPr>
            <w:tcW w:w="456" w:type="pct"/>
            <w:tcBorders>
              <w:top w:val="single" w:sz="4" w:space="0" w:color="196B24"/>
              <w:left w:val="nil"/>
              <w:bottom w:val="nil"/>
              <w:right w:val="nil"/>
            </w:tcBorders>
            <w:vAlign w:val="center"/>
            <w:hideMark/>
          </w:tcPr>
          <w:p w14:paraId="6EDAF6A5" w14:textId="77777777" w:rsidR="00EF4244" w:rsidRPr="00B12B17" w:rsidRDefault="00EF4244" w:rsidP="005A7661">
            <w:pPr>
              <w:spacing w:after="0"/>
              <w:jc w:val="right"/>
              <w:rPr>
                <w:rFonts w:ascii="Aptos Narrow" w:hAnsi="Aptos Narrow" w:cs="Times New Roman"/>
                <w:color w:val="000000"/>
                <w:lang w:eastAsia="fr-FR"/>
              </w:rPr>
            </w:pPr>
            <w:r w:rsidRPr="00B12B17">
              <w:rPr>
                <w:rFonts w:ascii="Aptos Narrow" w:hAnsi="Aptos Narrow" w:cs="Times New Roman"/>
                <w:color w:val="000000"/>
                <w:lang w:eastAsia="fr-FR"/>
              </w:rPr>
              <w:t>Localisée</w:t>
            </w:r>
          </w:p>
        </w:tc>
        <w:tc>
          <w:tcPr>
            <w:tcW w:w="456" w:type="pct"/>
            <w:tcBorders>
              <w:top w:val="single" w:sz="4" w:space="0" w:color="196B24"/>
              <w:left w:val="nil"/>
              <w:bottom w:val="nil"/>
              <w:right w:val="nil"/>
            </w:tcBorders>
            <w:vAlign w:val="center"/>
            <w:hideMark/>
          </w:tcPr>
          <w:p w14:paraId="6135081B" w14:textId="77777777" w:rsidR="00EF4244" w:rsidRPr="00B12B17" w:rsidRDefault="00EF4244" w:rsidP="005A7661">
            <w:pPr>
              <w:spacing w:after="0"/>
              <w:jc w:val="right"/>
              <w:rPr>
                <w:rFonts w:ascii="Aptos Narrow" w:hAnsi="Aptos Narrow" w:cs="Times New Roman"/>
                <w:color w:val="000000"/>
                <w:lang w:eastAsia="fr-FR"/>
              </w:rPr>
            </w:pPr>
            <w:r w:rsidRPr="00B12B17">
              <w:rPr>
                <w:rFonts w:ascii="Aptos Narrow" w:hAnsi="Aptos Narrow" w:cs="Times New Roman"/>
                <w:color w:val="000000"/>
                <w:lang w:eastAsia="fr-FR"/>
              </w:rPr>
              <w:t>Oui</w:t>
            </w:r>
          </w:p>
        </w:tc>
        <w:tc>
          <w:tcPr>
            <w:tcW w:w="829" w:type="pct"/>
            <w:tcBorders>
              <w:top w:val="single" w:sz="4" w:space="0" w:color="196B24"/>
              <w:left w:val="nil"/>
              <w:bottom w:val="nil"/>
              <w:right w:val="single" w:sz="4" w:space="0" w:color="196B24"/>
            </w:tcBorders>
            <w:vAlign w:val="center"/>
            <w:hideMark/>
          </w:tcPr>
          <w:p w14:paraId="4A84F0DD" w14:textId="77777777" w:rsidR="00EF4244" w:rsidRPr="00B12B17" w:rsidRDefault="00EF4244" w:rsidP="005A7661">
            <w:pPr>
              <w:spacing w:after="0"/>
              <w:jc w:val="left"/>
              <w:rPr>
                <w:rFonts w:ascii="Aptos Narrow" w:hAnsi="Aptos Narrow" w:cs="Times New Roman"/>
                <w:color w:val="000000"/>
                <w:lang w:eastAsia="fr-FR"/>
              </w:rPr>
            </w:pPr>
            <w:r w:rsidRPr="00B12B17">
              <w:rPr>
                <w:rFonts w:ascii="Aptos Narrow" w:hAnsi="Aptos Narrow" w:cs="Times New Roman"/>
                <w:color w:val="000000"/>
                <w:lang w:eastAsia="fr-FR"/>
              </w:rPr>
              <w:t>Ressource trophique saisonnière (fruits), support d’avifaune</w:t>
            </w:r>
          </w:p>
        </w:tc>
      </w:tr>
      <w:tr w:rsidR="00EF4244" w:rsidRPr="00B12B17" w14:paraId="15B27298" w14:textId="77777777" w:rsidTr="005A7661">
        <w:trPr>
          <w:trHeight w:val="864"/>
        </w:trPr>
        <w:tc>
          <w:tcPr>
            <w:tcW w:w="760" w:type="pct"/>
            <w:tcBorders>
              <w:top w:val="single" w:sz="4" w:space="0" w:color="196B24"/>
              <w:left w:val="single" w:sz="4" w:space="0" w:color="196B24"/>
              <w:bottom w:val="nil"/>
              <w:right w:val="nil"/>
            </w:tcBorders>
            <w:vAlign w:val="center"/>
            <w:hideMark/>
          </w:tcPr>
          <w:p w14:paraId="060DFAD3" w14:textId="77777777" w:rsidR="00EF4244" w:rsidRPr="00B12B17" w:rsidRDefault="00EF4244" w:rsidP="005A7661">
            <w:pPr>
              <w:spacing w:after="0"/>
              <w:jc w:val="left"/>
              <w:rPr>
                <w:rFonts w:ascii="Aptos Narrow" w:hAnsi="Aptos Narrow" w:cs="Times New Roman"/>
                <w:color w:val="000000"/>
                <w:lang w:eastAsia="fr-FR"/>
              </w:rPr>
            </w:pPr>
            <w:r w:rsidRPr="00B12B17">
              <w:rPr>
                <w:rFonts w:ascii="Aptos Narrow" w:hAnsi="Aptos Narrow" w:cs="Times New Roman"/>
                <w:color w:val="000000"/>
                <w:lang w:eastAsia="fr-FR"/>
              </w:rPr>
              <w:t>Friches, jachères, talus</w:t>
            </w:r>
          </w:p>
        </w:tc>
        <w:tc>
          <w:tcPr>
            <w:tcW w:w="679" w:type="pct"/>
            <w:tcBorders>
              <w:top w:val="single" w:sz="4" w:space="0" w:color="196B24"/>
              <w:left w:val="nil"/>
              <w:bottom w:val="nil"/>
              <w:right w:val="nil"/>
            </w:tcBorders>
            <w:vAlign w:val="center"/>
            <w:hideMark/>
          </w:tcPr>
          <w:p w14:paraId="615C2F24" w14:textId="77777777" w:rsidR="00EF4244" w:rsidRPr="00B12B17" w:rsidRDefault="00EF4244" w:rsidP="005A7661">
            <w:pPr>
              <w:spacing w:after="0"/>
              <w:jc w:val="left"/>
              <w:rPr>
                <w:rFonts w:ascii="Aptos Narrow" w:hAnsi="Aptos Narrow" w:cs="Times New Roman"/>
                <w:b/>
                <w:bCs/>
                <w:i/>
                <w:iCs/>
                <w:color w:val="000000"/>
                <w:lang w:eastAsia="fr-FR"/>
              </w:rPr>
            </w:pPr>
            <w:r w:rsidRPr="00B12B17">
              <w:rPr>
                <w:rFonts w:ascii="Aptos Narrow" w:hAnsi="Aptos Narrow" w:cs="Times New Roman"/>
                <w:b/>
                <w:bCs/>
                <w:i/>
                <w:iCs/>
                <w:color w:val="000000"/>
                <w:lang w:eastAsia="fr-FR"/>
              </w:rPr>
              <w:t>Cynodon dactylon</w:t>
            </w:r>
          </w:p>
        </w:tc>
        <w:tc>
          <w:tcPr>
            <w:tcW w:w="536" w:type="pct"/>
            <w:tcBorders>
              <w:top w:val="single" w:sz="4" w:space="0" w:color="196B24"/>
              <w:left w:val="nil"/>
              <w:bottom w:val="nil"/>
              <w:right w:val="nil"/>
            </w:tcBorders>
            <w:vAlign w:val="center"/>
            <w:hideMark/>
          </w:tcPr>
          <w:p w14:paraId="288964A7" w14:textId="77777777" w:rsidR="00EF4244" w:rsidRPr="00B12B17" w:rsidRDefault="00EF4244" w:rsidP="005A7661">
            <w:pPr>
              <w:spacing w:after="0"/>
              <w:jc w:val="left"/>
              <w:rPr>
                <w:rFonts w:ascii="Aptos Narrow" w:hAnsi="Aptos Narrow" w:cs="Times New Roman"/>
                <w:color w:val="000000"/>
                <w:lang w:eastAsia="fr-FR"/>
              </w:rPr>
            </w:pPr>
            <w:r w:rsidRPr="00B12B17">
              <w:rPr>
                <w:rFonts w:ascii="Aptos Narrow" w:hAnsi="Aptos Narrow" w:cs="Times New Roman"/>
                <w:color w:val="000000"/>
                <w:lang w:eastAsia="fr-FR"/>
              </w:rPr>
              <w:t>Chiendent pied-de-poule</w:t>
            </w:r>
          </w:p>
        </w:tc>
        <w:tc>
          <w:tcPr>
            <w:tcW w:w="656" w:type="pct"/>
            <w:tcBorders>
              <w:top w:val="single" w:sz="4" w:space="0" w:color="196B24"/>
              <w:left w:val="nil"/>
              <w:bottom w:val="nil"/>
              <w:right w:val="nil"/>
            </w:tcBorders>
            <w:vAlign w:val="center"/>
            <w:hideMark/>
          </w:tcPr>
          <w:p w14:paraId="39E715B6" w14:textId="77777777" w:rsidR="00EF4244" w:rsidRPr="00B12B17" w:rsidRDefault="00EF4244" w:rsidP="005A7661">
            <w:pPr>
              <w:spacing w:after="0"/>
              <w:jc w:val="left"/>
              <w:rPr>
                <w:rFonts w:ascii="Aptos Narrow" w:hAnsi="Aptos Narrow" w:cs="Times New Roman"/>
                <w:color w:val="000000"/>
                <w:lang w:eastAsia="fr-FR"/>
              </w:rPr>
            </w:pPr>
            <w:r w:rsidRPr="00B12B17">
              <w:rPr>
                <w:rFonts w:ascii="Aptos Narrow" w:hAnsi="Aptos Narrow" w:cs="Times New Roman"/>
                <w:color w:val="000000"/>
                <w:lang w:eastAsia="fr-FR"/>
              </w:rPr>
              <w:t>Largement naturalisé</w:t>
            </w:r>
          </w:p>
        </w:tc>
        <w:tc>
          <w:tcPr>
            <w:tcW w:w="628" w:type="pct"/>
            <w:tcBorders>
              <w:top w:val="single" w:sz="4" w:space="0" w:color="196B24"/>
              <w:left w:val="nil"/>
              <w:bottom w:val="nil"/>
              <w:right w:val="nil"/>
            </w:tcBorders>
            <w:vAlign w:val="center"/>
            <w:hideMark/>
          </w:tcPr>
          <w:p w14:paraId="7138C60C" w14:textId="77777777" w:rsidR="00EF4244" w:rsidRPr="00B12B17" w:rsidRDefault="00EF4244" w:rsidP="005A7661">
            <w:pPr>
              <w:spacing w:after="0"/>
              <w:jc w:val="left"/>
              <w:rPr>
                <w:rFonts w:ascii="Aptos Narrow" w:hAnsi="Aptos Narrow" w:cs="Times New Roman"/>
                <w:color w:val="000000"/>
                <w:lang w:eastAsia="fr-FR"/>
              </w:rPr>
            </w:pPr>
            <w:r w:rsidRPr="00B12B17">
              <w:rPr>
                <w:rFonts w:ascii="Aptos Narrow" w:hAnsi="Aptos Narrow" w:cs="Times New Roman"/>
                <w:color w:val="000000"/>
                <w:lang w:eastAsia="fr-FR"/>
              </w:rPr>
              <w:t>—</w:t>
            </w:r>
          </w:p>
        </w:tc>
        <w:tc>
          <w:tcPr>
            <w:tcW w:w="456" w:type="pct"/>
            <w:tcBorders>
              <w:top w:val="single" w:sz="4" w:space="0" w:color="196B24"/>
              <w:left w:val="nil"/>
              <w:bottom w:val="nil"/>
              <w:right w:val="nil"/>
            </w:tcBorders>
            <w:vAlign w:val="center"/>
            <w:hideMark/>
          </w:tcPr>
          <w:p w14:paraId="2A12BFE2" w14:textId="77777777" w:rsidR="00EF4244" w:rsidRPr="00B12B17" w:rsidRDefault="00EF4244" w:rsidP="005A7661">
            <w:pPr>
              <w:spacing w:after="0"/>
              <w:jc w:val="right"/>
              <w:rPr>
                <w:rFonts w:ascii="Aptos Narrow" w:hAnsi="Aptos Narrow" w:cs="Times New Roman"/>
                <w:color w:val="000000"/>
                <w:lang w:eastAsia="fr-FR"/>
              </w:rPr>
            </w:pPr>
            <w:r w:rsidRPr="00B12B17">
              <w:rPr>
                <w:rFonts w:ascii="Aptos Narrow" w:hAnsi="Aptos Narrow" w:cs="Times New Roman"/>
                <w:color w:val="000000"/>
                <w:lang w:eastAsia="fr-FR"/>
              </w:rPr>
              <w:t>Oui</w:t>
            </w:r>
          </w:p>
        </w:tc>
        <w:tc>
          <w:tcPr>
            <w:tcW w:w="456" w:type="pct"/>
            <w:tcBorders>
              <w:top w:val="single" w:sz="4" w:space="0" w:color="196B24"/>
              <w:left w:val="nil"/>
              <w:bottom w:val="nil"/>
              <w:right w:val="nil"/>
            </w:tcBorders>
            <w:vAlign w:val="center"/>
            <w:hideMark/>
          </w:tcPr>
          <w:p w14:paraId="2C580EF4" w14:textId="77777777" w:rsidR="00EF4244" w:rsidRPr="00B12B17" w:rsidRDefault="00EF4244" w:rsidP="005A7661">
            <w:pPr>
              <w:spacing w:after="0"/>
              <w:jc w:val="right"/>
              <w:rPr>
                <w:rFonts w:ascii="Aptos Narrow" w:hAnsi="Aptos Narrow" w:cs="Times New Roman"/>
                <w:color w:val="000000"/>
                <w:lang w:eastAsia="fr-FR"/>
              </w:rPr>
            </w:pPr>
            <w:r w:rsidRPr="00B12B17">
              <w:rPr>
                <w:rFonts w:ascii="Aptos Narrow" w:hAnsi="Aptos Narrow" w:cs="Times New Roman"/>
                <w:color w:val="000000"/>
                <w:lang w:eastAsia="fr-FR"/>
              </w:rPr>
              <w:t>Oui</w:t>
            </w:r>
          </w:p>
        </w:tc>
        <w:tc>
          <w:tcPr>
            <w:tcW w:w="829" w:type="pct"/>
            <w:tcBorders>
              <w:top w:val="single" w:sz="4" w:space="0" w:color="196B24"/>
              <w:left w:val="nil"/>
              <w:bottom w:val="nil"/>
              <w:right w:val="single" w:sz="4" w:space="0" w:color="196B24"/>
            </w:tcBorders>
            <w:vAlign w:val="center"/>
            <w:hideMark/>
          </w:tcPr>
          <w:p w14:paraId="494275EA" w14:textId="77777777" w:rsidR="00EF4244" w:rsidRPr="00B12B17" w:rsidRDefault="00EF4244" w:rsidP="005A7661">
            <w:pPr>
              <w:spacing w:after="0"/>
              <w:jc w:val="left"/>
              <w:rPr>
                <w:rFonts w:ascii="Aptos Narrow" w:hAnsi="Aptos Narrow" w:cs="Times New Roman"/>
                <w:color w:val="000000"/>
                <w:lang w:eastAsia="fr-FR"/>
              </w:rPr>
            </w:pPr>
            <w:r w:rsidRPr="00B12B17">
              <w:rPr>
                <w:rFonts w:ascii="Aptos Narrow" w:hAnsi="Aptos Narrow" w:cs="Times New Roman"/>
                <w:color w:val="000000"/>
                <w:lang w:eastAsia="fr-FR"/>
              </w:rPr>
              <w:t>Couvre-sol résistant, support d’invertébrés</w:t>
            </w:r>
          </w:p>
        </w:tc>
      </w:tr>
      <w:tr w:rsidR="00EF4244" w:rsidRPr="00B12B17" w14:paraId="22B65872" w14:textId="77777777" w:rsidTr="005A7661">
        <w:trPr>
          <w:trHeight w:val="864"/>
        </w:trPr>
        <w:tc>
          <w:tcPr>
            <w:tcW w:w="760" w:type="pct"/>
            <w:tcBorders>
              <w:top w:val="single" w:sz="4" w:space="0" w:color="196B24"/>
              <w:left w:val="single" w:sz="4" w:space="0" w:color="196B24"/>
              <w:bottom w:val="nil"/>
              <w:right w:val="nil"/>
            </w:tcBorders>
            <w:vAlign w:val="center"/>
            <w:hideMark/>
          </w:tcPr>
          <w:p w14:paraId="79E2E9DD" w14:textId="77777777" w:rsidR="00EF4244" w:rsidRPr="00B12B17" w:rsidRDefault="00EF4244" w:rsidP="005A7661">
            <w:pPr>
              <w:spacing w:after="0"/>
              <w:jc w:val="left"/>
              <w:rPr>
                <w:rFonts w:ascii="Aptos Narrow" w:hAnsi="Aptos Narrow" w:cs="Times New Roman"/>
                <w:color w:val="000000"/>
                <w:lang w:eastAsia="fr-FR"/>
              </w:rPr>
            </w:pPr>
            <w:r w:rsidRPr="00B12B17">
              <w:rPr>
                <w:rFonts w:ascii="Aptos Narrow" w:hAnsi="Aptos Narrow" w:cs="Times New Roman"/>
                <w:color w:val="000000"/>
                <w:lang w:eastAsia="fr-FR"/>
              </w:rPr>
              <w:t>Friches, décombres</w:t>
            </w:r>
          </w:p>
        </w:tc>
        <w:tc>
          <w:tcPr>
            <w:tcW w:w="679" w:type="pct"/>
            <w:tcBorders>
              <w:top w:val="single" w:sz="4" w:space="0" w:color="196B24"/>
              <w:left w:val="nil"/>
              <w:bottom w:val="nil"/>
              <w:right w:val="nil"/>
            </w:tcBorders>
            <w:vAlign w:val="center"/>
            <w:hideMark/>
          </w:tcPr>
          <w:p w14:paraId="1132A96A" w14:textId="77777777" w:rsidR="00EF4244" w:rsidRPr="00B12B17" w:rsidRDefault="00EF4244" w:rsidP="005A7661">
            <w:pPr>
              <w:spacing w:after="0"/>
              <w:jc w:val="left"/>
              <w:rPr>
                <w:rFonts w:ascii="Aptos Narrow" w:hAnsi="Aptos Narrow" w:cs="Times New Roman"/>
                <w:b/>
                <w:bCs/>
                <w:i/>
                <w:iCs/>
                <w:color w:val="000000"/>
                <w:lang w:eastAsia="fr-FR"/>
              </w:rPr>
            </w:pPr>
            <w:r w:rsidRPr="00B12B17">
              <w:rPr>
                <w:rFonts w:ascii="Aptos Narrow" w:hAnsi="Aptos Narrow" w:cs="Times New Roman"/>
                <w:b/>
                <w:bCs/>
                <w:i/>
                <w:iCs/>
                <w:color w:val="000000"/>
                <w:lang w:eastAsia="fr-FR"/>
              </w:rPr>
              <w:t>Conyza bonariensis</w:t>
            </w:r>
          </w:p>
        </w:tc>
        <w:tc>
          <w:tcPr>
            <w:tcW w:w="536" w:type="pct"/>
            <w:tcBorders>
              <w:top w:val="single" w:sz="4" w:space="0" w:color="196B24"/>
              <w:left w:val="nil"/>
              <w:bottom w:val="nil"/>
              <w:right w:val="nil"/>
            </w:tcBorders>
            <w:vAlign w:val="center"/>
            <w:hideMark/>
          </w:tcPr>
          <w:p w14:paraId="5F9A1129" w14:textId="77777777" w:rsidR="00EF4244" w:rsidRPr="00B12B17" w:rsidRDefault="00EF4244" w:rsidP="005A7661">
            <w:pPr>
              <w:spacing w:after="0"/>
              <w:jc w:val="left"/>
              <w:rPr>
                <w:rFonts w:ascii="Aptos Narrow" w:hAnsi="Aptos Narrow" w:cs="Times New Roman"/>
                <w:color w:val="000000"/>
                <w:lang w:eastAsia="fr-FR"/>
              </w:rPr>
            </w:pPr>
            <w:r w:rsidRPr="00B12B17">
              <w:rPr>
                <w:rFonts w:ascii="Aptos Narrow" w:hAnsi="Aptos Narrow" w:cs="Times New Roman"/>
                <w:color w:val="000000"/>
                <w:lang w:eastAsia="fr-FR"/>
              </w:rPr>
              <w:t>Vergerette</w:t>
            </w:r>
          </w:p>
        </w:tc>
        <w:tc>
          <w:tcPr>
            <w:tcW w:w="656" w:type="pct"/>
            <w:tcBorders>
              <w:top w:val="single" w:sz="4" w:space="0" w:color="196B24"/>
              <w:left w:val="nil"/>
              <w:bottom w:val="nil"/>
              <w:right w:val="nil"/>
            </w:tcBorders>
            <w:vAlign w:val="center"/>
            <w:hideMark/>
          </w:tcPr>
          <w:p w14:paraId="349140F0" w14:textId="77777777" w:rsidR="00EF4244" w:rsidRPr="00B12B17" w:rsidRDefault="00EF4244" w:rsidP="005A7661">
            <w:pPr>
              <w:spacing w:after="0"/>
              <w:jc w:val="left"/>
              <w:rPr>
                <w:rFonts w:ascii="Aptos Narrow" w:hAnsi="Aptos Narrow" w:cs="Times New Roman"/>
                <w:color w:val="000000"/>
                <w:lang w:eastAsia="fr-FR"/>
              </w:rPr>
            </w:pPr>
            <w:r w:rsidRPr="00B12B17">
              <w:rPr>
                <w:rFonts w:ascii="Aptos Narrow" w:hAnsi="Aptos Narrow" w:cs="Times New Roman"/>
                <w:color w:val="000000"/>
                <w:lang w:eastAsia="fr-FR"/>
              </w:rPr>
              <w:t>Exotique</w:t>
            </w:r>
          </w:p>
        </w:tc>
        <w:tc>
          <w:tcPr>
            <w:tcW w:w="628" w:type="pct"/>
            <w:tcBorders>
              <w:top w:val="single" w:sz="4" w:space="0" w:color="196B24"/>
              <w:left w:val="nil"/>
              <w:bottom w:val="nil"/>
              <w:right w:val="nil"/>
            </w:tcBorders>
            <w:vAlign w:val="center"/>
            <w:hideMark/>
          </w:tcPr>
          <w:p w14:paraId="4375185F" w14:textId="77777777" w:rsidR="00EF4244" w:rsidRPr="00B12B17" w:rsidRDefault="00EF4244" w:rsidP="005A7661">
            <w:pPr>
              <w:spacing w:after="0"/>
              <w:jc w:val="left"/>
              <w:rPr>
                <w:rFonts w:ascii="Aptos Narrow" w:hAnsi="Aptos Narrow" w:cs="Times New Roman"/>
                <w:b/>
                <w:bCs/>
                <w:color w:val="000000"/>
                <w:lang w:eastAsia="fr-FR"/>
              </w:rPr>
            </w:pPr>
            <w:r w:rsidRPr="00B12B17">
              <w:rPr>
                <w:rFonts w:ascii="Aptos Narrow" w:hAnsi="Aptos Narrow" w:cs="Times New Roman"/>
                <w:b/>
                <w:bCs/>
                <w:color w:val="000000"/>
                <w:lang w:eastAsia="fr-FR"/>
              </w:rPr>
              <w:t>Envahissante</w:t>
            </w:r>
          </w:p>
        </w:tc>
        <w:tc>
          <w:tcPr>
            <w:tcW w:w="456" w:type="pct"/>
            <w:tcBorders>
              <w:top w:val="single" w:sz="4" w:space="0" w:color="196B24"/>
              <w:left w:val="nil"/>
              <w:bottom w:val="nil"/>
              <w:right w:val="nil"/>
            </w:tcBorders>
            <w:vAlign w:val="center"/>
            <w:hideMark/>
          </w:tcPr>
          <w:p w14:paraId="7E34BE8A" w14:textId="77777777" w:rsidR="00EF4244" w:rsidRPr="00B12B17" w:rsidRDefault="00EF4244" w:rsidP="005A7661">
            <w:pPr>
              <w:spacing w:after="0"/>
              <w:jc w:val="right"/>
              <w:rPr>
                <w:rFonts w:ascii="Aptos Narrow" w:hAnsi="Aptos Narrow" w:cs="Times New Roman"/>
                <w:color w:val="000000"/>
                <w:lang w:eastAsia="fr-FR"/>
              </w:rPr>
            </w:pPr>
            <w:r w:rsidRPr="00B12B17">
              <w:rPr>
                <w:rFonts w:ascii="Aptos Narrow" w:hAnsi="Aptos Narrow" w:cs="Times New Roman"/>
                <w:color w:val="000000"/>
                <w:lang w:eastAsia="fr-FR"/>
              </w:rPr>
              <w:t>Oui</w:t>
            </w:r>
          </w:p>
        </w:tc>
        <w:tc>
          <w:tcPr>
            <w:tcW w:w="456" w:type="pct"/>
            <w:tcBorders>
              <w:top w:val="single" w:sz="4" w:space="0" w:color="196B24"/>
              <w:left w:val="nil"/>
              <w:bottom w:val="nil"/>
              <w:right w:val="nil"/>
            </w:tcBorders>
            <w:vAlign w:val="center"/>
            <w:hideMark/>
          </w:tcPr>
          <w:p w14:paraId="487E9FA8" w14:textId="77777777" w:rsidR="00EF4244" w:rsidRPr="00B12B17" w:rsidRDefault="00EF4244" w:rsidP="005A7661">
            <w:pPr>
              <w:spacing w:after="0"/>
              <w:jc w:val="right"/>
              <w:rPr>
                <w:rFonts w:ascii="Aptos Narrow" w:hAnsi="Aptos Narrow" w:cs="Times New Roman"/>
                <w:color w:val="000000"/>
                <w:lang w:eastAsia="fr-FR"/>
              </w:rPr>
            </w:pPr>
            <w:r w:rsidRPr="00B12B17">
              <w:rPr>
                <w:rFonts w:ascii="Aptos Narrow" w:hAnsi="Aptos Narrow" w:cs="Times New Roman"/>
                <w:color w:val="000000"/>
                <w:lang w:eastAsia="fr-FR"/>
              </w:rPr>
              <w:t>Oui</w:t>
            </w:r>
          </w:p>
        </w:tc>
        <w:tc>
          <w:tcPr>
            <w:tcW w:w="829" w:type="pct"/>
            <w:tcBorders>
              <w:top w:val="single" w:sz="4" w:space="0" w:color="196B24"/>
              <w:left w:val="nil"/>
              <w:bottom w:val="nil"/>
              <w:right w:val="single" w:sz="4" w:space="0" w:color="196B24"/>
            </w:tcBorders>
            <w:vAlign w:val="center"/>
            <w:hideMark/>
          </w:tcPr>
          <w:p w14:paraId="3CBFBCAF" w14:textId="77777777" w:rsidR="00EF4244" w:rsidRPr="00B12B17" w:rsidRDefault="00EF4244" w:rsidP="005A7661">
            <w:pPr>
              <w:spacing w:after="0"/>
              <w:jc w:val="left"/>
              <w:rPr>
                <w:rFonts w:ascii="Aptos Narrow" w:hAnsi="Aptos Narrow" w:cs="Times New Roman"/>
                <w:color w:val="000000"/>
                <w:lang w:eastAsia="fr-FR"/>
              </w:rPr>
            </w:pPr>
            <w:r w:rsidRPr="00B12B17">
              <w:rPr>
                <w:rFonts w:ascii="Aptos Narrow" w:hAnsi="Aptos Narrow" w:cs="Times New Roman"/>
                <w:color w:val="000000"/>
                <w:lang w:eastAsia="fr-FR"/>
              </w:rPr>
              <w:t>Pionnière nitrophile des milieux perturbés</w:t>
            </w:r>
          </w:p>
        </w:tc>
      </w:tr>
      <w:tr w:rsidR="00EF4244" w:rsidRPr="00B12B17" w14:paraId="5684FF45" w14:textId="77777777" w:rsidTr="005A7661">
        <w:trPr>
          <w:trHeight w:val="864"/>
        </w:trPr>
        <w:tc>
          <w:tcPr>
            <w:tcW w:w="760" w:type="pct"/>
            <w:tcBorders>
              <w:top w:val="single" w:sz="4" w:space="0" w:color="196B24"/>
              <w:left w:val="single" w:sz="4" w:space="0" w:color="196B24"/>
              <w:bottom w:val="nil"/>
              <w:right w:val="nil"/>
            </w:tcBorders>
            <w:vAlign w:val="center"/>
            <w:hideMark/>
          </w:tcPr>
          <w:p w14:paraId="486BE335" w14:textId="77777777" w:rsidR="00EF4244" w:rsidRPr="00B12B17" w:rsidRDefault="00EF4244" w:rsidP="005A7661">
            <w:pPr>
              <w:spacing w:after="0"/>
              <w:jc w:val="left"/>
              <w:rPr>
                <w:rFonts w:ascii="Aptos Narrow" w:hAnsi="Aptos Narrow" w:cs="Times New Roman"/>
                <w:color w:val="000000"/>
                <w:lang w:eastAsia="fr-FR"/>
              </w:rPr>
            </w:pPr>
            <w:r w:rsidRPr="00B12B17">
              <w:rPr>
                <w:rFonts w:ascii="Aptos Narrow" w:hAnsi="Aptos Narrow" w:cs="Times New Roman"/>
                <w:color w:val="000000"/>
                <w:lang w:eastAsia="fr-FR"/>
              </w:rPr>
              <w:t>Friches, bords de voies</w:t>
            </w:r>
          </w:p>
        </w:tc>
        <w:tc>
          <w:tcPr>
            <w:tcW w:w="679" w:type="pct"/>
            <w:tcBorders>
              <w:top w:val="single" w:sz="4" w:space="0" w:color="196B24"/>
              <w:left w:val="nil"/>
              <w:bottom w:val="nil"/>
              <w:right w:val="nil"/>
            </w:tcBorders>
            <w:vAlign w:val="center"/>
            <w:hideMark/>
          </w:tcPr>
          <w:p w14:paraId="6DF84144" w14:textId="77777777" w:rsidR="00EF4244" w:rsidRPr="00B12B17" w:rsidRDefault="00EF4244" w:rsidP="005A7661">
            <w:pPr>
              <w:spacing w:after="0"/>
              <w:jc w:val="left"/>
              <w:rPr>
                <w:rFonts w:ascii="Aptos Narrow" w:hAnsi="Aptos Narrow" w:cs="Times New Roman"/>
                <w:b/>
                <w:bCs/>
                <w:i/>
                <w:iCs/>
                <w:color w:val="000000"/>
                <w:lang w:eastAsia="fr-FR"/>
              </w:rPr>
            </w:pPr>
            <w:r w:rsidRPr="00B12B17">
              <w:rPr>
                <w:rFonts w:ascii="Aptos Narrow" w:hAnsi="Aptos Narrow" w:cs="Times New Roman"/>
                <w:b/>
                <w:bCs/>
                <w:i/>
                <w:iCs/>
                <w:color w:val="000000"/>
                <w:lang w:eastAsia="fr-FR"/>
              </w:rPr>
              <w:t>Ricinus communis</w:t>
            </w:r>
          </w:p>
        </w:tc>
        <w:tc>
          <w:tcPr>
            <w:tcW w:w="536" w:type="pct"/>
            <w:tcBorders>
              <w:top w:val="single" w:sz="4" w:space="0" w:color="196B24"/>
              <w:left w:val="nil"/>
              <w:bottom w:val="nil"/>
              <w:right w:val="nil"/>
            </w:tcBorders>
            <w:vAlign w:val="center"/>
            <w:hideMark/>
          </w:tcPr>
          <w:p w14:paraId="67ECC5D0" w14:textId="77777777" w:rsidR="00EF4244" w:rsidRPr="00B12B17" w:rsidRDefault="00EF4244" w:rsidP="005A7661">
            <w:pPr>
              <w:spacing w:after="0"/>
              <w:jc w:val="left"/>
              <w:rPr>
                <w:rFonts w:ascii="Aptos Narrow" w:hAnsi="Aptos Narrow" w:cs="Times New Roman"/>
                <w:color w:val="000000"/>
                <w:lang w:eastAsia="fr-FR"/>
              </w:rPr>
            </w:pPr>
            <w:r w:rsidRPr="00B12B17">
              <w:rPr>
                <w:rFonts w:ascii="Aptos Narrow" w:hAnsi="Aptos Narrow" w:cs="Times New Roman"/>
                <w:color w:val="000000"/>
                <w:lang w:eastAsia="fr-FR"/>
              </w:rPr>
              <w:t>Ricin</w:t>
            </w:r>
          </w:p>
        </w:tc>
        <w:tc>
          <w:tcPr>
            <w:tcW w:w="656" w:type="pct"/>
            <w:tcBorders>
              <w:top w:val="single" w:sz="4" w:space="0" w:color="196B24"/>
              <w:left w:val="nil"/>
              <w:bottom w:val="nil"/>
              <w:right w:val="nil"/>
            </w:tcBorders>
            <w:vAlign w:val="center"/>
            <w:hideMark/>
          </w:tcPr>
          <w:p w14:paraId="016D9D00" w14:textId="77777777" w:rsidR="00EF4244" w:rsidRPr="00B12B17" w:rsidRDefault="00EF4244" w:rsidP="005A7661">
            <w:pPr>
              <w:spacing w:after="0"/>
              <w:jc w:val="left"/>
              <w:rPr>
                <w:rFonts w:ascii="Aptos Narrow" w:hAnsi="Aptos Narrow" w:cs="Times New Roman"/>
                <w:color w:val="000000"/>
                <w:lang w:eastAsia="fr-FR"/>
              </w:rPr>
            </w:pPr>
            <w:r w:rsidRPr="00B12B17">
              <w:rPr>
                <w:rFonts w:ascii="Aptos Narrow" w:hAnsi="Aptos Narrow" w:cs="Times New Roman"/>
                <w:color w:val="000000"/>
                <w:lang w:eastAsia="fr-FR"/>
              </w:rPr>
              <w:t>Exotique</w:t>
            </w:r>
          </w:p>
        </w:tc>
        <w:tc>
          <w:tcPr>
            <w:tcW w:w="628" w:type="pct"/>
            <w:tcBorders>
              <w:top w:val="single" w:sz="4" w:space="0" w:color="196B24"/>
              <w:left w:val="nil"/>
              <w:bottom w:val="nil"/>
              <w:right w:val="nil"/>
            </w:tcBorders>
            <w:vAlign w:val="center"/>
            <w:hideMark/>
          </w:tcPr>
          <w:p w14:paraId="652CB3B5" w14:textId="77777777" w:rsidR="00EF4244" w:rsidRPr="00B12B17" w:rsidRDefault="00EF4244" w:rsidP="005A7661">
            <w:pPr>
              <w:spacing w:after="0"/>
              <w:jc w:val="left"/>
              <w:rPr>
                <w:rFonts w:ascii="Aptos Narrow" w:hAnsi="Aptos Narrow" w:cs="Times New Roman"/>
                <w:b/>
                <w:bCs/>
                <w:color w:val="000000"/>
                <w:lang w:eastAsia="fr-FR"/>
              </w:rPr>
            </w:pPr>
            <w:r w:rsidRPr="00B12B17">
              <w:rPr>
                <w:rFonts w:ascii="Aptos Narrow" w:hAnsi="Aptos Narrow" w:cs="Times New Roman"/>
                <w:b/>
                <w:bCs/>
                <w:color w:val="000000"/>
                <w:lang w:eastAsia="fr-FR"/>
              </w:rPr>
              <w:t>Envahissant</w:t>
            </w:r>
            <w:r w:rsidRPr="00B12B17">
              <w:rPr>
                <w:rFonts w:ascii="Aptos Narrow" w:hAnsi="Aptos Narrow" w:cs="Times New Roman"/>
                <w:color w:val="000000"/>
                <w:lang w:eastAsia="fr-FR"/>
              </w:rPr>
              <w:t xml:space="preserve"> local</w:t>
            </w:r>
          </w:p>
        </w:tc>
        <w:tc>
          <w:tcPr>
            <w:tcW w:w="456" w:type="pct"/>
            <w:tcBorders>
              <w:top w:val="single" w:sz="4" w:space="0" w:color="196B24"/>
              <w:left w:val="nil"/>
              <w:bottom w:val="nil"/>
              <w:right w:val="nil"/>
            </w:tcBorders>
            <w:vAlign w:val="center"/>
            <w:hideMark/>
          </w:tcPr>
          <w:p w14:paraId="7EF7151F" w14:textId="77777777" w:rsidR="00EF4244" w:rsidRPr="00B12B17" w:rsidRDefault="00EF4244" w:rsidP="005A7661">
            <w:pPr>
              <w:spacing w:after="0"/>
              <w:jc w:val="right"/>
              <w:rPr>
                <w:rFonts w:ascii="Aptos Narrow" w:hAnsi="Aptos Narrow" w:cs="Times New Roman"/>
                <w:color w:val="000000"/>
                <w:lang w:eastAsia="fr-FR"/>
              </w:rPr>
            </w:pPr>
            <w:r w:rsidRPr="00B12B17">
              <w:rPr>
                <w:rFonts w:ascii="Aptos Narrow" w:hAnsi="Aptos Narrow" w:cs="Times New Roman"/>
                <w:color w:val="000000"/>
                <w:lang w:eastAsia="fr-FR"/>
              </w:rPr>
              <w:t>Oui</w:t>
            </w:r>
          </w:p>
        </w:tc>
        <w:tc>
          <w:tcPr>
            <w:tcW w:w="456" w:type="pct"/>
            <w:tcBorders>
              <w:top w:val="single" w:sz="4" w:space="0" w:color="196B24"/>
              <w:left w:val="nil"/>
              <w:bottom w:val="nil"/>
              <w:right w:val="nil"/>
            </w:tcBorders>
            <w:vAlign w:val="center"/>
            <w:hideMark/>
          </w:tcPr>
          <w:p w14:paraId="67F240EB" w14:textId="77777777" w:rsidR="00EF4244" w:rsidRPr="00B12B17" w:rsidRDefault="00EF4244" w:rsidP="005A7661">
            <w:pPr>
              <w:spacing w:after="0"/>
              <w:jc w:val="right"/>
              <w:rPr>
                <w:rFonts w:ascii="Aptos Narrow" w:hAnsi="Aptos Narrow" w:cs="Times New Roman"/>
                <w:color w:val="000000"/>
                <w:lang w:eastAsia="fr-FR"/>
              </w:rPr>
            </w:pPr>
            <w:r w:rsidRPr="00B12B17">
              <w:rPr>
                <w:rFonts w:ascii="Aptos Narrow" w:hAnsi="Aptos Narrow" w:cs="Times New Roman"/>
                <w:color w:val="000000"/>
                <w:lang w:eastAsia="fr-FR"/>
              </w:rPr>
              <w:t>Oui</w:t>
            </w:r>
          </w:p>
        </w:tc>
        <w:tc>
          <w:tcPr>
            <w:tcW w:w="829" w:type="pct"/>
            <w:tcBorders>
              <w:top w:val="single" w:sz="4" w:space="0" w:color="196B24"/>
              <w:left w:val="nil"/>
              <w:bottom w:val="nil"/>
              <w:right w:val="single" w:sz="4" w:space="0" w:color="196B24"/>
            </w:tcBorders>
            <w:vAlign w:val="center"/>
            <w:hideMark/>
          </w:tcPr>
          <w:p w14:paraId="53B15E8C" w14:textId="77777777" w:rsidR="00EF4244" w:rsidRPr="00B12B17" w:rsidRDefault="00EF4244" w:rsidP="005A7661">
            <w:pPr>
              <w:spacing w:after="0"/>
              <w:jc w:val="left"/>
              <w:rPr>
                <w:rFonts w:ascii="Aptos Narrow" w:hAnsi="Aptos Narrow" w:cs="Times New Roman"/>
                <w:color w:val="000000"/>
                <w:lang w:eastAsia="fr-FR"/>
              </w:rPr>
            </w:pPr>
            <w:r w:rsidRPr="00B12B17">
              <w:rPr>
                <w:rFonts w:ascii="Aptos Narrow" w:hAnsi="Aptos Narrow" w:cs="Times New Roman"/>
                <w:color w:val="000000"/>
                <w:lang w:eastAsia="fr-FR"/>
              </w:rPr>
              <w:t>Espèce de perturbation, banque de graines durable</w:t>
            </w:r>
          </w:p>
        </w:tc>
      </w:tr>
      <w:tr w:rsidR="00EF4244" w:rsidRPr="00B12B17" w14:paraId="1437BF15" w14:textId="77777777" w:rsidTr="005A7661">
        <w:trPr>
          <w:trHeight w:val="864"/>
        </w:trPr>
        <w:tc>
          <w:tcPr>
            <w:tcW w:w="760" w:type="pct"/>
            <w:tcBorders>
              <w:top w:val="single" w:sz="4" w:space="0" w:color="196B24"/>
              <w:left w:val="single" w:sz="4" w:space="0" w:color="196B24"/>
              <w:bottom w:val="nil"/>
              <w:right w:val="nil"/>
            </w:tcBorders>
            <w:vAlign w:val="center"/>
            <w:hideMark/>
          </w:tcPr>
          <w:p w14:paraId="4741CECF" w14:textId="77777777" w:rsidR="00EF4244" w:rsidRPr="00B12B17" w:rsidRDefault="00EF4244" w:rsidP="005A7661">
            <w:pPr>
              <w:spacing w:after="0"/>
              <w:jc w:val="left"/>
              <w:rPr>
                <w:rFonts w:ascii="Aptos Narrow" w:hAnsi="Aptos Narrow" w:cs="Times New Roman"/>
                <w:color w:val="000000"/>
                <w:lang w:eastAsia="fr-FR"/>
              </w:rPr>
            </w:pPr>
            <w:r w:rsidRPr="00B12B17">
              <w:rPr>
                <w:rFonts w:ascii="Aptos Narrow" w:hAnsi="Aptos Narrow" w:cs="Times New Roman"/>
                <w:color w:val="000000"/>
                <w:lang w:eastAsia="fr-FR"/>
              </w:rPr>
              <w:t>Milieux secs/steppiques, talus</w:t>
            </w:r>
          </w:p>
        </w:tc>
        <w:tc>
          <w:tcPr>
            <w:tcW w:w="679" w:type="pct"/>
            <w:tcBorders>
              <w:top w:val="single" w:sz="4" w:space="0" w:color="196B24"/>
              <w:left w:val="nil"/>
              <w:bottom w:val="nil"/>
              <w:right w:val="nil"/>
            </w:tcBorders>
            <w:vAlign w:val="center"/>
            <w:hideMark/>
          </w:tcPr>
          <w:p w14:paraId="42A7C5BF" w14:textId="77777777" w:rsidR="00EF4244" w:rsidRPr="00B12B17" w:rsidRDefault="00EF4244" w:rsidP="005A7661">
            <w:pPr>
              <w:spacing w:after="0"/>
              <w:jc w:val="left"/>
              <w:rPr>
                <w:rFonts w:ascii="Aptos Narrow" w:hAnsi="Aptos Narrow" w:cs="Times New Roman"/>
                <w:b/>
                <w:bCs/>
                <w:i/>
                <w:iCs/>
                <w:color w:val="000000"/>
                <w:lang w:eastAsia="fr-FR"/>
              </w:rPr>
            </w:pPr>
            <w:r w:rsidRPr="00B12B17">
              <w:rPr>
                <w:rFonts w:ascii="Aptos Narrow" w:hAnsi="Aptos Narrow" w:cs="Times New Roman"/>
                <w:b/>
                <w:bCs/>
                <w:i/>
                <w:iCs/>
                <w:color w:val="000000"/>
                <w:lang w:eastAsia="fr-FR"/>
              </w:rPr>
              <w:t>Atriplex halimus</w:t>
            </w:r>
          </w:p>
        </w:tc>
        <w:tc>
          <w:tcPr>
            <w:tcW w:w="536" w:type="pct"/>
            <w:tcBorders>
              <w:top w:val="single" w:sz="4" w:space="0" w:color="196B24"/>
              <w:left w:val="nil"/>
              <w:bottom w:val="nil"/>
              <w:right w:val="nil"/>
            </w:tcBorders>
            <w:vAlign w:val="center"/>
            <w:hideMark/>
          </w:tcPr>
          <w:p w14:paraId="395A1577" w14:textId="77777777" w:rsidR="00EF4244" w:rsidRPr="00B12B17" w:rsidRDefault="00EF4244" w:rsidP="005A7661">
            <w:pPr>
              <w:spacing w:after="0"/>
              <w:jc w:val="left"/>
              <w:rPr>
                <w:rFonts w:ascii="Aptos Narrow" w:hAnsi="Aptos Narrow" w:cs="Times New Roman"/>
                <w:color w:val="000000"/>
                <w:lang w:eastAsia="fr-FR"/>
              </w:rPr>
            </w:pPr>
            <w:r w:rsidRPr="00B12B17">
              <w:rPr>
                <w:rFonts w:ascii="Aptos Narrow" w:hAnsi="Aptos Narrow" w:cs="Times New Roman"/>
                <w:color w:val="000000"/>
                <w:lang w:eastAsia="fr-FR"/>
              </w:rPr>
              <w:t>Arroche marine</w:t>
            </w:r>
          </w:p>
        </w:tc>
        <w:tc>
          <w:tcPr>
            <w:tcW w:w="656" w:type="pct"/>
            <w:tcBorders>
              <w:top w:val="single" w:sz="4" w:space="0" w:color="196B24"/>
              <w:left w:val="nil"/>
              <w:bottom w:val="nil"/>
              <w:right w:val="nil"/>
            </w:tcBorders>
            <w:vAlign w:val="center"/>
            <w:hideMark/>
          </w:tcPr>
          <w:p w14:paraId="4FF65158" w14:textId="77777777" w:rsidR="00EF4244" w:rsidRPr="00B12B17" w:rsidRDefault="00EF4244" w:rsidP="005A7661">
            <w:pPr>
              <w:spacing w:after="0"/>
              <w:jc w:val="left"/>
              <w:rPr>
                <w:rFonts w:ascii="Aptos Narrow" w:hAnsi="Aptos Narrow" w:cs="Times New Roman"/>
                <w:color w:val="000000"/>
                <w:lang w:eastAsia="fr-FR"/>
              </w:rPr>
            </w:pPr>
            <w:r w:rsidRPr="00B12B17">
              <w:rPr>
                <w:rFonts w:ascii="Aptos Narrow" w:hAnsi="Aptos Narrow" w:cs="Times New Roman"/>
                <w:color w:val="000000"/>
                <w:lang w:eastAsia="fr-FR"/>
              </w:rPr>
              <w:t>Autochtone</w:t>
            </w:r>
          </w:p>
        </w:tc>
        <w:tc>
          <w:tcPr>
            <w:tcW w:w="628" w:type="pct"/>
            <w:tcBorders>
              <w:top w:val="single" w:sz="4" w:space="0" w:color="196B24"/>
              <w:left w:val="nil"/>
              <w:bottom w:val="nil"/>
              <w:right w:val="nil"/>
            </w:tcBorders>
            <w:vAlign w:val="center"/>
            <w:hideMark/>
          </w:tcPr>
          <w:p w14:paraId="379B7203" w14:textId="77777777" w:rsidR="00EF4244" w:rsidRPr="00B12B17" w:rsidRDefault="00EF4244" w:rsidP="005A7661">
            <w:pPr>
              <w:spacing w:after="0"/>
              <w:jc w:val="left"/>
              <w:rPr>
                <w:rFonts w:ascii="Aptos Narrow" w:hAnsi="Aptos Narrow" w:cs="Times New Roman"/>
                <w:color w:val="000000"/>
                <w:lang w:eastAsia="fr-FR"/>
              </w:rPr>
            </w:pPr>
            <w:r w:rsidRPr="00B12B17">
              <w:rPr>
                <w:rFonts w:ascii="Aptos Narrow" w:hAnsi="Aptos Narrow" w:cs="Times New Roman"/>
                <w:color w:val="000000"/>
                <w:lang w:eastAsia="fr-FR"/>
              </w:rPr>
              <w:t>—</w:t>
            </w:r>
          </w:p>
        </w:tc>
        <w:tc>
          <w:tcPr>
            <w:tcW w:w="456" w:type="pct"/>
            <w:tcBorders>
              <w:top w:val="single" w:sz="4" w:space="0" w:color="196B24"/>
              <w:left w:val="nil"/>
              <w:bottom w:val="nil"/>
              <w:right w:val="nil"/>
            </w:tcBorders>
            <w:vAlign w:val="center"/>
            <w:hideMark/>
          </w:tcPr>
          <w:p w14:paraId="6171BD25" w14:textId="77777777" w:rsidR="00EF4244" w:rsidRPr="00B12B17" w:rsidRDefault="00EF4244" w:rsidP="005A7661">
            <w:pPr>
              <w:spacing w:after="0"/>
              <w:jc w:val="right"/>
              <w:rPr>
                <w:rFonts w:ascii="Aptos Narrow" w:hAnsi="Aptos Narrow" w:cs="Times New Roman"/>
                <w:color w:val="000000"/>
                <w:lang w:eastAsia="fr-FR"/>
              </w:rPr>
            </w:pPr>
            <w:r w:rsidRPr="00B12B17">
              <w:rPr>
                <w:rFonts w:ascii="Aptos Narrow" w:hAnsi="Aptos Narrow" w:cs="Times New Roman"/>
                <w:color w:val="000000"/>
                <w:lang w:eastAsia="fr-FR"/>
              </w:rPr>
              <w:t>Localisée</w:t>
            </w:r>
          </w:p>
        </w:tc>
        <w:tc>
          <w:tcPr>
            <w:tcW w:w="456" w:type="pct"/>
            <w:tcBorders>
              <w:top w:val="single" w:sz="4" w:space="0" w:color="196B24"/>
              <w:left w:val="nil"/>
              <w:bottom w:val="nil"/>
              <w:right w:val="nil"/>
            </w:tcBorders>
            <w:vAlign w:val="center"/>
            <w:hideMark/>
          </w:tcPr>
          <w:p w14:paraId="63722F66" w14:textId="77777777" w:rsidR="00EF4244" w:rsidRPr="00B12B17" w:rsidRDefault="00EF4244" w:rsidP="005A7661">
            <w:pPr>
              <w:spacing w:after="0"/>
              <w:jc w:val="right"/>
              <w:rPr>
                <w:rFonts w:ascii="Aptos Narrow" w:hAnsi="Aptos Narrow" w:cs="Times New Roman"/>
                <w:color w:val="000000"/>
                <w:lang w:eastAsia="fr-FR"/>
              </w:rPr>
            </w:pPr>
            <w:r w:rsidRPr="00B12B17">
              <w:rPr>
                <w:rFonts w:ascii="Aptos Narrow" w:hAnsi="Aptos Narrow" w:cs="Times New Roman"/>
                <w:color w:val="000000"/>
                <w:lang w:eastAsia="fr-FR"/>
              </w:rPr>
              <w:t>Oui</w:t>
            </w:r>
          </w:p>
        </w:tc>
        <w:tc>
          <w:tcPr>
            <w:tcW w:w="829" w:type="pct"/>
            <w:tcBorders>
              <w:top w:val="single" w:sz="4" w:space="0" w:color="196B24"/>
              <w:left w:val="nil"/>
              <w:bottom w:val="nil"/>
              <w:right w:val="single" w:sz="4" w:space="0" w:color="196B24"/>
            </w:tcBorders>
            <w:vAlign w:val="center"/>
            <w:hideMark/>
          </w:tcPr>
          <w:p w14:paraId="2E9138AB" w14:textId="77777777" w:rsidR="00EF4244" w:rsidRPr="00B12B17" w:rsidRDefault="00EF4244" w:rsidP="005A7661">
            <w:pPr>
              <w:spacing w:after="0"/>
              <w:jc w:val="left"/>
              <w:rPr>
                <w:rFonts w:ascii="Aptos Narrow" w:hAnsi="Aptos Narrow" w:cs="Times New Roman"/>
                <w:color w:val="000000"/>
                <w:lang w:eastAsia="fr-FR"/>
              </w:rPr>
            </w:pPr>
            <w:r w:rsidRPr="00B12B17">
              <w:rPr>
                <w:rFonts w:ascii="Aptos Narrow" w:hAnsi="Aptos Narrow" w:cs="Times New Roman"/>
                <w:color w:val="000000"/>
                <w:lang w:eastAsia="fr-FR"/>
              </w:rPr>
              <w:t>Xérophile, utile sur sols salins/secs</w:t>
            </w:r>
          </w:p>
        </w:tc>
      </w:tr>
      <w:tr w:rsidR="00EF4244" w:rsidRPr="00B12B17" w14:paraId="1807EBC1" w14:textId="77777777" w:rsidTr="005A7661">
        <w:trPr>
          <w:trHeight w:val="864"/>
        </w:trPr>
        <w:tc>
          <w:tcPr>
            <w:tcW w:w="760" w:type="pct"/>
            <w:tcBorders>
              <w:top w:val="single" w:sz="4" w:space="0" w:color="196B24"/>
              <w:left w:val="single" w:sz="4" w:space="0" w:color="196B24"/>
              <w:bottom w:val="nil"/>
              <w:right w:val="nil"/>
            </w:tcBorders>
            <w:vAlign w:val="center"/>
            <w:hideMark/>
          </w:tcPr>
          <w:p w14:paraId="39AA3CA1" w14:textId="77777777" w:rsidR="00EF4244" w:rsidRPr="00B12B17" w:rsidRDefault="00EF4244" w:rsidP="005A7661">
            <w:pPr>
              <w:spacing w:after="0"/>
              <w:jc w:val="left"/>
              <w:rPr>
                <w:rFonts w:ascii="Aptos Narrow" w:hAnsi="Aptos Narrow" w:cs="Times New Roman"/>
                <w:color w:val="000000"/>
                <w:lang w:eastAsia="fr-FR"/>
              </w:rPr>
            </w:pPr>
            <w:r w:rsidRPr="00B12B17">
              <w:rPr>
                <w:rFonts w:ascii="Aptos Narrow" w:hAnsi="Aptos Narrow" w:cs="Times New Roman"/>
                <w:color w:val="000000"/>
                <w:lang w:eastAsia="fr-FR"/>
              </w:rPr>
              <w:t>Haies, lisières ombragées</w:t>
            </w:r>
          </w:p>
        </w:tc>
        <w:tc>
          <w:tcPr>
            <w:tcW w:w="679" w:type="pct"/>
            <w:tcBorders>
              <w:top w:val="single" w:sz="4" w:space="0" w:color="196B24"/>
              <w:left w:val="nil"/>
              <w:bottom w:val="nil"/>
              <w:right w:val="nil"/>
            </w:tcBorders>
            <w:vAlign w:val="center"/>
            <w:hideMark/>
          </w:tcPr>
          <w:p w14:paraId="52E4C893" w14:textId="77777777" w:rsidR="00EF4244" w:rsidRPr="00B12B17" w:rsidRDefault="00EF4244" w:rsidP="005A7661">
            <w:pPr>
              <w:spacing w:after="0"/>
              <w:jc w:val="left"/>
              <w:rPr>
                <w:rFonts w:ascii="Aptos Narrow" w:hAnsi="Aptos Narrow" w:cs="Times New Roman"/>
                <w:b/>
                <w:bCs/>
                <w:i/>
                <w:iCs/>
                <w:color w:val="000000"/>
                <w:lang w:eastAsia="fr-FR"/>
              </w:rPr>
            </w:pPr>
            <w:r w:rsidRPr="00B12B17">
              <w:rPr>
                <w:rFonts w:ascii="Aptos Narrow" w:hAnsi="Aptos Narrow" w:cs="Times New Roman"/>
                <w:b/>
                <w:bCs/>
                <w:i/>
                <w:iCs/>
                <w:color w:val="000000"/>
                <w:lang w:eastAsia="fr-FR"/>
              </w:rPr>
              <w:t>Hedera helix</w:t>
            </w:r>
          </w:p>
        </w:tc>
        <w:tc>
          <w:tcPr>
            <w:tcW w:w="536" w:type="pct"/>
            <w:tcBorders>
              <w:top w:val="single" w:sz="4" w:space="0" w:color="196B24"/>
              <w:left w:val="nil"/>
              <w:bottom w:val="nil"/>
              <w:right w:val="nil"/>
            </w:tcBorders>
            <w:vAlign w:val="center"/>
            <w:hideMark/>
          </w:tcPr>
          <w:p w14:paraId="2DEF924F" w14:textId="77777777" w:rsidR="00EF4244" w:rsidRPr="00B12B17" w:rsidRDefault="00EF4244" w:rsidP="005A7661">
            <w:pPr>
              <w:spacing w:after="0"/>
              <w:jc w:val="left"/>
              <w:rPr>
                <w:rFonts w:ascii="Aptos Narrow" w:hAnsi="Aptos Narrow" w:cs="Times New Roman"/>
                <w:color w:val="000000"/>
                <w:lang w:eastAsia="fr-FR"/>
              </w:rPr>
            </w:pPr>
            <w:r w:rsidRPr="00B12B17">
              <w:rPr>
                <w:rFonts w:ascii="Aptos Narrow" w:hAnsi="Aptos Narrow" w:cs="Times New Roman"/>
                <w:color w:val="000000"/>
                <w:lang w:eastAsia="fr-FR"/>
              </w:rPr>
              <w:t>Lierre</w:t>
            </w:r>
          </w:p>
        </w:tc>
        <w:tc>
          <w:tcPr>
            <w:tcW w:w="656" w:type="pct"/>
            <w:tcBorders>
              <w:top w:val="single" w:sz="4" w:space="0" w:color="196B24"/>
              <w:left w:val="nil"/>
              <w:bottom w:val="nil"/>
              <w:right w:val="nil"/>
            </w:tcBorders>
            <w:vAlign w:val="center"/>
            <w:hideMark/>
          </w:tcPr>
          <w:p w14:paraId="5ACCB18C" w14:textId="77777777" w:rsidR="00EF4244" w:rsidRPr="00B12B17" w:rsidRDefault="00EF4244" w:rsidP="005A7661">
            <w:pPr>
              <w:spacing w:after="0"/>
              <w:jc w:val="left"/>
              <w:rPr>
                <w:rFonts w:ascii="Aptos Narrow" w:hAnsi="Aptos Narrow" w:cs="Times New Roman"/>
                <w:color w:val="000000"/>
                <w:lang w:eastAsia="fr-FR"/>
              </w:rPr>
            </w:pPr>
            <w:r w:rsidRPr="00B12B17">
              <w:rPr>
                <w:rFonts w:ascii="Aptos Narrow" w:hAnsi="Aptos Narrow" w:cs="Times New Roman"/>
                <w:color w:val="000000"/>
                <w:lang w:eastAsia="fr-FR"/>
              </w:rPr>
              <w:t>Autochtone</w:t>
            </w:r>
          </w:p>
        </w:tc>
        <w:tc>
          <w:tcPr>
            <w:tcW w:w="628" w:type="pct"/>
            <w:tcBorders>
              <w:top w:val="single" w:sz="4" w:space="0" w:color="196B24"/>
              <w:left w:val="nil"/>
              <w:bottom w:val="nil"/>
              <w:right w:val="nil"/>
            </w:tcBorders>
            <w:vAlign w:val="center"/>
            <w:hideMark/>
          </w:tcPr>
          <w:p w14:paraId="79C42152" w14:textId="77777777" w:rsidR="00EF4244" w:rsidRPr="00B12B17" w:rsidRDefault="00EF4244" w:rsidP="005A7661">
            <w:pPr>
              <w:spacing w:after="0"/>
              <w:jc w:val="left"/>
              <w:rPr>
                <w:rFonts w:ascii="Aptos Narrow" w:hAnsi="Aptos Narrow" w:cs="Times New Roman"/>
                <w:color w:val="000000"/>
                <w:lang w:eastAsia="fr-FR"/>
              </w:rPr>
            </w:pPr>
            <w:r w:rsidRPr="00B12B17">
              <w:rPr>
                <w:rFonts w:ascii="Aptos Narrow" w:hAnsi="Aptos Narrow" w:cs="Times New Roman"/>
                <w:color w:val="000000"/>
                <w:lang w:eastAsia="fr-FR"/>
              </w:rPr>
              <w:t>—</w:t>
            </w:r>
          </w:p>
        </w:tc>
        <w:tc>
          <w:tcPr>
            <w:tcW w:w="456" w:type="pct"/>
            <w:tcBorders>
              <w:top w:val="single" w:sz="4" w:space="0" w:color="196B24"/>
              <w:left w:val="nil"/>
              <w:bottom w:val="nil"/>
              <w:right w:val="nil"/>
            </w:tcBorders>
            <w:vAlign w:val="center"/>
            <w:hideMark/>
          </w:tcPr>
          <w:p w14:paraId="743F4258" w14:textId="77777777" w:rsidR="00EF4244" w:rsidRPr="00B12B17" w:rsidRDefault="00EF4244" w:rsidP="005A7661">
            <w:pPr>
              <w:spacing w:after="0"/>
              <w:jc w:val="right"/>
              <w:rPr>
                <w:rFonts w:ascii="Aptos Narrow" w:hAnsi="Aptos Narrow" w:cs="Times New Roman"/>
                <w:color w:val="000000"/>
                <w:lang w:eastAsia="fr-FR"/>
              </w:rPr>
            </w:pPr>
            <w:r w:rsidRPr="00B12B17">
              <w:rPr>
                <w:rFonts w:ascii="Aptos Narrow" w:hAnsi="Aptos Narrow" w:cs="Times New Roman"/>
                <w:color w:val="000000"/>
                <w:lang w:eastAsia="fr-FR"/>
              </w:rPr>
              <w:t>Localisée</w:t>
            </w:r>
          </w:p>
        </w:tc>
        <w:tc>
          <w:tcPr>
            <w:tcW w:w="456" w:type="pct"/>
            <w:tcBorders>
              <w:top w:val="single" w:sz="4" w:space="0" w:color="196B24"/>
              <w:left w:val="nil"/>
              <w:bottom w:val="nil"/>
              <w:right w:val="nil"/>
            </w:tcBorders>
            <w:vAlign w:val="center"/>
            <w:hideMark/>
          </w:tcPr>
          <w:p w14:paraId="39E1180A" w14:textId="77777777" w:rsidR="00EF4244" w:rsidRPr="00B12B17" w:rsidRDefault="00EF4244" w:rsidP="005A7661">
            <w:pPr>
              <w:spacing w:after="0"/>
              <w:jc w:val="right"/>
              <w:rPr>
                <w:rFonts w:ascii="Aptos Narrow" w:hAnsi="Aptos Narrow" w:cs="Times New Roman"/>
                <w:color w:val="000000"/>
                <w:lang w:eastAsia="fr-FR"/>
              </w:rPr>
            </w:pPr>
            <w:r w:rsidRPr="00B12B17">
              <w:rPr>
                <w:rFonts w:ascii="Aptos Narrow" w:hAnsi="Aptos Narrow" w:cs="Times New Roman"/>
                <w:color w:val="000000"/>
                <w:lang w:eastAsia="fr-FR"/>
              </w:rPr>
              <w:t>Oui</w:t>
            </w:r>
          </w:p>
        </w:tc>
        <w:tc>
          <w:tcPr>
            <w:tcW w:w="829" w:type="pct"/>
            <w:tcBorders>
              <w:top w:val="single" w:sz="4" w:space="0" w:color="196B24"/>
              <w:left w:val="nil"/>
              <w:bottom w:val="nil"/>
              <w:right w:val="single" w:sz="4" w:space="0" w:color="196B24"/>
            </w:tcBorders>
            <w:vAlign w:val="center"/>
            <w:hideMark/>
          </w:tcPr>
          <w:p w14:paraId="0B640B08" w14:textId="77777777" w:rsidR="00EF4244" w:rsidRPr="00B12B17" w:rsidRDefault="00EF4244" w:rsidP="005A7661">
            <w:pPr>
              <w:spacing w:after="0"/>
              <w:jc w:val="left"/>
              <w:rPr>
                <w:rFonts w:ascii="Aptos Narrow" w:hAnsi="Aptos Narrow" w:cs="Times New Roman"/>
                <w:color w:val="000000"/>
                <w:lang w:eastAsia="fr-FR"/>
              </w:rPr>
            </w:pPr>
            <w:r w:rsidRPr="00B12B17">
              <w:rPr>
                <w:rFonts w:ascii="Aptos Narrow" w:hAnsi="Aptos Narrow" w:cs="Times New Roman"/>
                <w:color w:val="000000"/>
                <w:lang w:eastAsia="fr-FR"/>
              </w:rPr>
              <w:t>Couvert, sites potentiels de nidification pour passereaux</w:t>
            </w:r>
          </w:p>
        </w:tc>
      </w:tr>
      <w:tr w:rsidR="00EF4244" w:rsidRPr="00B12B17" w14:paraId="0B7EA638" w14:textId="77777777" w:rsidTr="005A7661">
        <w:trPr>
          <w:trHeight w:val="864"/>
        </w:trPr>
        <w:tc>
          <w:tcPr>
            <w:tcW w:w="760" w:type="pct"/>
            <w:tcBorders>
              <w:top w:val="single" w:sz="4" w:space="0" w:color="196B24"/>
              <w:left w:val="single" w:sz="4" w:space="0" w:color="196B24"/>
              <w:bottom w:val="nil"/>
              <w:right w:val="nil"/>
            </w:tcBorders>
            <w:vAlign w:val="center"/>
            <w:hideMark/>
          </w:tcPr>
          <w:p w14:paraId="02EC0749" w14:textId="77777777" w:rsidR="00EF4244" w:rsidRPr="00B12B17" w:rsidRDefault="00EF4244" w:rsidP="005A7661">
            <w:pPr>
              <w:spacing w:after="0"/>
              <w:jc w:val="left"/>
              <w:rPr>
                <w:rFonts w:ascii="Aptos Narrow" w:hAnsi="Aptos Narrow" w:cs="Times New Roman"/>
                <w:color w:val="000000"/>
                <w:lang w:eastAsia="fr-FR"/>
              </w:rPr>
            </w:pPr>
            <w:r w:rsidRPr="00B12B17">
              <w:rPr>
                <w:rFonts w:ascii="Aptos Narrow" w:hAnsi="Aptos Narrow" w:cs="Times New Roman"/>
                <w:color w:val="000000"/>
                <w:lang w:eastAsia="fr-FR"/>
              </w:rPr>
              <w:t>Haies ornementales</w:t>
            </w:r>
          </w:p>
        </w:tc>
        <w:tc>
          <w:tcPr>
            <w:tcW w:w="679" w:type="pct"/>
            <w:tcBorders>
              <w:top w:val="single" w:sz="4" w:space="0" w:color="196B24"/>
              <w:left w:val="nil"/>
              <w:bottom w:val="nil"/>
              <w:right w:val="nil"/>
            </w:tcBorders>
            <w:vAlign w:val="center"/>
            <w:hideMark/>
          </w:tcPr>
          <w:p w14:paraId="33E02987" w14:textId="77777777" w:rsidR="00EF4244" w:rsidRPr="00B12B17" w:rsidRDefault="00EF4244" w:rsidP="005A7661">
            <w:pPr>
              <w:spacing w:after="0"/>
              <w:jc w:val="left"/>
              <w:rPr>
                <w:rFonts w:ascii="Aptos Narrow" w:hAnsi="Aptos Narrow" w:cs="Times New Roman"/>
                <w:b/>
                <w:bCs/>
                <w:i/>
                <w:iCs/>
                <w:color w:val="000000"/>
                <w:lang w:eastAsia="fr-FR"/>
              </w:rPr>
            </w:pPr>
            <w:r w:rsidRPr="00B12B17">
              <w:rPr>
                <w:rFonts w:ascii="Aptos Narrow" w:hAnsi="Aptos Narrow" w:cs="Times New Roman"/>
                <w:b/>
                <w:bCs/>
                <w:i/>
                <w:iCs/>
                <w:color w:val="000000"/>
                <w:lang w:eastAsia="fr-FR"/>
              </w:rPr>
              <w:t>Ligustrum lucidum</w:t>
            </w:r>
          </w:p>
        </w:tc>
        <w:tc>
          <w:tcPr>
            <w:tcW w:w="536" w:type="pct"/>
            <w:tcBorders>
              <w:top w:val="single" w:sz="4" w:space="0" w:color="196B24"/>
              <w:left w:val="nil"/>
              <w:bottom w:val="nil"/>
              <w:right w:val="nil"/>
            </w:tcBorders>
            <w:vAlign w:val="center"/>
            <w:hideMark/>
          </w:tcPr>
          <w:p w14:paraId="39A5E7C1" w14:textId="77777777" w:rsidR="00EF4244" w:rsidRPr="00B12B17" w:rsidRDefault="00EF4244" w:rsidP="005A7661">
            <w:pPr>
              <w:spacing w:after="0"/>
              <w:jc w:val="left"/>
              <w:rPr>
                <w:rFonts w:ascii="Aptos Narrow" w:hAnsi="Aptos Narrow" w:cs="Times New Roman"/>
                <w:color w:val="000000"/>
                <w:lang w:eastAsia="fr-FR"/>
              </w:rPr>
            </w:pPr>
            <w:r w:rsidRPr="00B12B17">
              <w:rPr>
                <w:rFonts w:ascii="Aptos Narrow" w:hAnsi="Aptos Narrow" w:cs="Times New Roman"/>
                <w:color w:val="000000"/>
                <w:lang w:eastAsia="fr-FR"/>
              </w:rPr>
              <w:t>Troène</w:t>
            </w:r>
          </w:p>
        </w:tc>
        <w:tc>
          <w:tcPr>
            <w:tcW w:w="656" w:type="pct"/>
            <w:tcBorders>
              <w:top w:val="single" w:sz="4" w:space="0" w:color="196B24"/>
              <w:left w:val="nil"/>
              <w:bottom w:val="nil"/>
              <w:right w:val="nil"/>
            </w:tcBorders>
            <w:vAlign w:val="center"/>
            <w:hideMark/>
          </w:tcPr>
          <w:p w14:paraId="2CB89B13" w14:textId="77777777" w:rsidR="00EF4244" w:rsidRPr="00B12B17" w:rsidRDefault="00EF4244" w:rsidP="005A7661">
            <w:pPr>
              <w:spacing w:after="0"/>
              <w:jc w:val="left"/>
              <w:rPr>
                <w:rFonts w:ascii="Aptos Narrow" w:hAnsi="Aptos Narrow" w:cs="Times New Roman"/>
                <w:color w:val="000000"/>
                <w:lang w:eastAsia="fr-FR"/>
              </w:rPr>
            </w:pPr>
            <w:r w:rsidRPr="00B12B17">
              <w:rPr>
                <w:rFonts w:ascii="Aptos Narrow" w:hAnsi="Aptos Narrow" w:cs="Times New Roman"/>
                <w:color w:val="000000"/>
                <w:lang w:eastAsia="fr-FR"/>
              </w:rPr>
              <w:t>Exotique</w:t>
            </w:r>
          </w:p>
        </w:tc>
        <w:tc>
          <w:tcPr>
            <w:tcW w:w="628" w:type="pct"/>
            <w:tcBorders>
              <w:top w:val="single" w:sz="4" w:space="0" w:color="196B24"/>
              <w:left w:val="nil"/>
              <w:bottom w:val="nil"/>
              <w:right w:val="nil"/>
            </w:tcBorders>
            <w:vAlign w:val="center"/>
            <w:hideMark/>
          </w:tcPr>
          <w:p w14:paraId="4121F813" w14:textId="77777777" w:rsidR="00EF4244" w:rsidRPr="00B12B17" w:rsidRDefault="00EF4244" w:rsidP="005A7661">
            <w:pPr>
              <w:spacing w:after="0"/>
              <w:jc w:val="left"/>
              <w:rPr>
                <w:rFonts w:ascii="Aptos Narrow" w:hAnsi="Aptos Narrow" w:cs="Times New Roman"/>
                <w:color w:val="000000"/>
                <w:lang w:eastAsia="fr-FR"/>
              </w:rPr>
            </w:pPr>
            <w:r w:rsidRPr="00B12B17">
              <w:rPr>
                <w:rFonts w:ascii="Aptos Narrow" w:hAnsi="Aptos Narrow" w:cs="Times New Roman"/>
                <w:color w:val="000000"/>
                <w:lang w:eastAsia="fr-FR"/>
              </w:rPr>
              <w:t>—</w:t>
            </w:r>
          </w:p>
        </w:tc>
        <w:tc>
          <w:tcPr>
            <w:tcW w:w="456" w:type="pct"/>
            <w:tcBorders>
              <w:top w:val="single" w:sz="4" w:space="0" w:color="196B24"/>
              <w:left w:val="nil"/>
              <w:bottom w:val="nil"/>
              <w:right w:val="nil"/>
            </w:tcBorders>
            <w:vAlign w:val="center"/>
            <w:hideMark/>
          </w:tcPr>
          <w:p w14:paraId="4F36D861" w14:textId="77777777" w:rsidR="00EF4244" w:rsidRPr="00B12B17" w:rsidRDefault="00EF4244" w:rsidP="005A7661">
            <w:pPr>
              <w:spacing w:after="0"/>
              <w:jc w:val="right"/>
              <w:rPr>
                <w:rFonts w:ascii="Aptos Narrow" w:hAnsi="Aptos Narrow" w:cs="Times New Roman"/>
                <w:color w:val="000000"/>
                <w:lang w:eastAsia="fr-FR"/>
              </w:rPr>
            </w:pPr>
            <w:r w:rsidRPr="00B12B17">
              <w:rPr>
                <w:rFonts w:ascii="Aptos Narrow" w:hAnsi="Aptos Narrow" w:cs="Times New Roman"/>
                <w:color w:val="000000"/>
                <w:lang w:eastAsia="fr-FR"/>
              </w:rPr>
              <w:t>Oui</w:t>
            </w:r>
          </w:p>
        </w:tc>
        <w:tc>
          <w:tcPr>
            <w:tcW w:w="456" w:type="pct"/>
            <w:tcBorders>
              <w:top w:val="single" w:sz="4" w:space="0" w:color="196B24"/>
              <w:left w:val="nil"/>
              <w:bottom w:val="nil"/>
              <w:right w:val="nil"/>
            </w:tcBorders>
            <w:vAlign w:val="center"/>
            <w:hideMark/>
          </w:tcPr>
          <w:p w14:paraId="0617D529" w14:textId="77777777" w:rsidR="00EF4244" w:rsidRPr="00B12B17" w:rsidRDefault="00EF4244" w:rsidP="005A7661">
            <w:pPr>
              <w:spacing w:after="0"/>
              <w:jc w:val="right"/>
              <w:rPr>
                <w:rFonts w:ascii="Aptos Narrow" w:hAnsi="Aptos Narrow" w:cs="Times New Roman"/>
                <w:color w:val="000000"/>
                <w:lang w:eastAsia="fr-FR"/>
              </w:rPr>
            </w:pPr>
            <w:r w:rsidRPr="00B12B17">
              <w:rPr>
                <w:rFonts w:ascii="Aptos Narrow" w:hAnsi="Aptos Narrow" w:cs="Times New Roman"/>
                <w:color w:val="000000"/>
                <w:lang w:eastAsia="fr-FR"/>
              </w:rPr>
              <w:t>Localisée</w:t>
            </w:r>
          </w:p>
        </w:tc>
        <w:tc>
          <w:tcPr>
            <w:tcW w:w="829" w:type="pct"/>
            <w:tcBorders>
              <w:top w:val="single" w:sz="4" w:space="0" w:color="196B24"/>
              <w:left w:val="nil"/>
              <w:bottom w:val="nil"/>
              <w:right w:val="single" w:sz="4" w:space="0" w:color="196B24"/>
            </w:tcBorders>
            <w:vAlign w:val="center"/>
            <w:hideMark/>
          </w:tcPr>
          <w:p w14:paraId="5B594A27" w14:textId="77777777" w:rsidR="00EF4244" w:rsidRPr="00B12B17" w:rsidRDefault="00EF4244" w:rsidP="005A7661">
            <w:pPr>
              <w:spacing w:after="0"/>
              <w:jc w:val="left"/>
              <w:rPr>
                <w:rFonts w:ascii="Aptos Narrow" w:hAnsi="Aptos Narrow" w:cs="Times New Roman"/>
                <w:color w:val="000000"/>
                <w:lang w:eastAsia="fr-FR"/>
              </w:rPr>
            </w:pPr>
            <w:r w:rsidRPr="00B12B17">
              <w:rPr>
                <w:rFonts w:ascii="Aptos Narrow" w:hAnsi="Aptos Narrow" w:cs="Times New Roman"/>
                <w:color w:val="000000"/>
                <w:lang w:eastAsia="fr-FR"/>
              </w:rPr>
              <w:t>Baies pour passereaux, haies persistantes</w:t>
            </w:r>
          </w:p>
        </w:tc>
      </w:tr>
      <w:tr w:rsidR="00EF4244" w:rsidRPr="00B12B17" w14:paraId="1B05C491" w14:textId="77777777" w:rsidTr="005A7661">
        <w:trPr>
          <w:trHeight w:val="1152"/>
        </w:trPr>
        <w:tc>
          <w:tcPr>
            <w:tcW w:w="760" w:type="pct"/>
            <w:tcBorders>
              <w:top w:val="single" w:sz="4" w:space="0" w:color="196B24"/>
              <w:left w:val="single" w:sz="4" w:space="0" w:color="196B24"/>
              <w:bottom w:val="nil"/>
              <w:right w:val="nil"/>
            </w:tcBorders>
            <w:vAlign w:val="center"/>
            <w:hideMark/>
          </w:tcPr>
          <w:p w14:paraId="14BB62FA" w14:textId="77777777" w:rsidR="00EF4244" w:rsidRPr="00B12B17" w:rsidRDefault="00EF4244" w:rsidP="005A7661">
            <w:pPr>
              <w:spacing w:after="0"/>
              <w:jc w:val="left"/>
              <w:rPr>
                <w:rFonts w:ascii="Aptos Narrow" w:hAnsi="Aptos Narrow" w:cs="Times New Roman"/>
                <w:color w:val="000000"/>
                <w:lang w:eastAsia="fr-FR"/>
              </w:rPr>
            </w:pPr>
            <w:r w:rsidRPr="00B12B17">
              <w:rPr>
                <w:rFonts w:ascii="Aptos Narrow" w:hAnsi="Aptos Narrow" w:cs="Times New Roman"/>
                <w:color w:val="000000"/>
                <w:lang w:eastAsia="fr-FR"/>
              </w:rPr>
              <w:t>Parcs urbains</w:t>
            </w:r>
          </w:p>
        </w:tc>
        <w:tc>
          <w:tcPr>
            <w:tcW w:w="679" w:type="pct"/>
            <w:tcBorders>
              <w:top w:val="single" w:sz="4" w:space="0" w:color="196B24"/>
              <w:left w:val="nil"/>
              <w:bottom w:val="nil"/>
              <w:right w:val="nil"/>
            </w:tcBorders>
            <w:vAlign w:val="center"/>
            <w:hideMark/>
          </w:tcPr>
          <w:p w14:paraId="73D0BFDF" w14:textId="77777777" w:rsidR="00EF4244" w:rsidRPr="00B12B17" w:rsidRDefault="00EF4244" w:rsidP="005A7661">
            <w:pPr>
              <w:spacing w:after="0"/>
              <w:jc w:val="left"/>
              <w:rPr>
                <w:rFonts w:ascii="Aptos Narrow" w:hAnsi="Aptos Narrow" w:cs="Times New Roman"/>
                <w:b/>
                <w:bCs/>
                <w:i/>
                <w:iCs/>
                <w:color w:val="000000"/>
                <w:lang w:eastAsia="fr-FR"/>
              </w:rPr>
            </w:pPr>
            <w:r w:rsidRPr="00B12B17">
              <w:rPr>
                <w:rFonts w:ascii="Aptos Narrow" w:hAnsi="Aptos Narrow" w:cs="Times New Roman"/>
                <w:b/>
                <w:bCs/>
                <w:i/>
                <w:iCs/>
                <w:color w:val="000000"/>
                <w:lang w:eastAsia="fr-FR"/>
              </w:rPr>
              <w:t>Ficus microcarpa</w:t>
            </w:r>
            <w:r w:rsidRPr="00B12B17">
              <w:rPr>
                <w:rFonts w:ascii="Aptos Narrow" w:hAnsi="Aptos Narrow" w:cs="Times New Roman"/>
                <w:i/>
                <w:iCs/>
                <w:color w:val="000000"/>
                <w:lang w:eastAsia="fr-FR"/>
              </w:rPr>
              <w:t xml:space="preserve"> (syn. F. nitida)</w:t>
            </w:r>
          </w:p>
        </w:tc>
        <w:tc>
          <w:tcPr>
            <w:tcW w:w="536" w:type="pct"/>
            <w:tcBorders>
              <w:top w:val="single" w:sz="4" w:space="0" w:color="196B24"/>
              <w:left w:val="nil"/>
              <w:bottom w:val="nil"/>
              <w:right w:val="nil"/>
            </w:tcBorders>
            <w:vAlign w:val="center"/>
            <w:hideMark/>
          </w:tcPr>
          <w:p w14:paraId="2A5DD0EA" w14:textId="77777777" w:rsidR="00EF4244" w:rsidRPr="00B12B17" w:rsidRDefault="00EF4244" w:rsidP="005A7661">
            <w:pPr>
              <w:spacing w:after="0"/>
              <w:jc w:val="left"/>
              <w:rPr>
                <w:rFonts w:ascii="Aptos Narrow" w:hAnsi="Aptos Narrow" w:cs="Times New Roman"/>
                <w:color w:val="000000"/>
                <w:lang w:eastAsia="fr-FR"/>
              </w:rPr>
            </w:pPr>
            <w:r w:rsidRPr="00B12B17">
              <w:rPr>
                <w:rFonts w:ascii="Aptos Narrow" w:hAnsi="Aptos Narrow" w:cs="Times New Roman"/>
                <w:color w:val="000000"/>
                <w:lang w:eastAsia="fr-FR"/>
              </w:rPr>
              <w:t>Ficus ornemental</w:t>
            </w:r>
          </w:p>
        </w:tc>
        <w:tc>
          <w:tcPr>
            <w:tcW w:w="656" w:type="pct"/>
            <w:tcBorders>
              <w:top w:val="single" w:sz="4" w:space="0" w:color="196B24"/>
              <w:left w:val="nil"/>
              <w:bottom w:val="nil"/>
              <w:right w:val="nil"/>
            </w:tcBorders>
            <w:vAlign w:val="center"/>
            <w:hideMark/>
          </w:tcPr>
          <w:p w14:paraId="6C246112" w14:textId="77777777" w:rsidR="00EF4244" w:rsidRPr="00B12B17" w:rsidRDefault="00EF4244" w:rsidP="005A7661">
            <w:pPr>
              <w:spacing w:after="0"/>
              <w:jc w:val="left"/>
              <w:rPr>
                <w:rFonts w:ascii="Aptos Narrow" w:hAnsi="Aptos Narrow" w:cs="Times New Roman"/>
                <w:color w:val="000000"/>
                <w:lang w:eastAsia="fr-FR"/>
              </w:rPr>
            </w:pPr>
            <w:r w:rsidRPr="00B12B17">
              <w:rPr>
                <w:rFonts w:ascii="Aptos Narrow" w:hAnsi="Aptos Narrow" w:cs="Times New Roman"/>
                <w:color w:val="000000"/>
                <w:lang w:eastAsia="fr-FR"/>
              </w:rPr>
              <w:t>Exotique</w:t>
            </w:r>
          </w:p>
        </w:tc>
        <w:tc>
          <w:tcPr>
            <w:tcW w:w="628" w:type="pct"/>
            <w:tcBorders>
              <w:top w:val="single" w:sz="4" w:space="0" w:color="196B24"/>
              <w:left w:val="nil"/>
              <w:bottom w:val="nil"/>
              <w:right w:val="nil"/>
            </w:tcBorders>
            <w:vAlign w:val="center"/>
            <w:hideMark/>
          </w:tcPr>
          <w:p w14:paraId="4AACD4FE" w14:textId="77777777" w:rsidR="00EF4244" w:rsidRPr="00B12B17" w:rsidRDefault="00EF4244" w:rsidP="005A7661">
            <w:pPr>
              <w:spacing w:after="0"/>
              <w:jc w:val="left"/>
              <w:rPr>
                <w:rFonts w:ascii="Aptos Narrow" w:hAnsi="Aptos Narrow" w:cs="Times New Roman"/>
                <w:color w:val="000000"/>
                <w:lang w:eastAsia="fr-FR"/>
              </w:rPr>
            </w:pPr>
            <w:r w:rsidRPr="00B12B17">
              <w:rPr>
                <w:rFonts w:ascii="Aptos Narrow" w:hAnsi="Aptos Narrow" w:cs="Times New Roman"/>
                <w:color w:val="000000"/>
                <w:lang w:eastAsia="fr-FR"/>
              </w:rPr>
              <w:t>—</w:t>
            </w:r>
          </w:p>
        </w:tc>
        <w:tc>
          <w:tcPr>
            <w:tcW w:w="456" w:type="pct"/>
            <w:tcBorders>
              <w:top w:val="single" w:sz="4" w:space="0" w:color="196B24"/>
              <w:left w:val="nil"/>
              <w:bottom w:val="nil"/>
              <w:right w:val="nil"/>
            </w:tcBorders>
            <w:vAlign w:val="center"/>
            <w:hideMark/>
          </w:tcPr>
          <w:p w14:paraId="6373EC03" w14:textId="77777777" w:rsidR="00EF4244" w:rsidRPr="00B12B17" w:rsidRDefault="00EF4244" w:rsidP="005A7661">
            <w:pPr>
              <w:spacing w:after="0"/>
              <w:jc w:val="right"/>
              <w:rPr>
                <w:rFonts w:ascii="Aptos Narrow" w:hAnsi="Aptos Narrow" w:cs="Times New Roman"/>
                <w:color w:val="000000"/>
                <w:lang w:eastAsia="fr-FR"/>
              </w:rPr>
            </w:pPr>
            <w:r w:rsidRPr="00B12B17">
              <w:rPr>
                <w:rFonts w:ascii="Aptos Narrow" w:hAnsi="Aptos Narrow" w:cs="Times New Roman"/>
                <w:color w:val="000000"/>
                <w:lang w:eastAsia="fr-FR"/>
              </w:rPr>
              <w:t>Oui</w:t>
            </w:r>
          </w:p>
        </w:tc>
        <w:tc>
          <w:tcPr>
            <w:tcW w:w="456" w:type="pct"/>
            <w:tcBorders>
              <w:top w:val="single" w:sz="4" w:space="0" w:color="196B24"/>
              <w:left w:val="nil"/>
              <w:bottom w:val="nil"/>
              <w:right w:val="nil"/>
            </w:tcBorders>
            <w:vAlign w:val="center"/>
            <w:hideMark/>
          </w:tcPr>
          <w:p w14:paraId="713223D3" w14:textId="77777777" w:rsidR="00EF4244" w:rsidRPr="00B12B17" w:rsidRDefault="00EF4244" w:rsidP="005A7661">
            <w:pPr>
              <w:spacing w:after="0"/>
              <w:jc w:val="right"/>
              <w:rPr>
                <w:rFonts w:ascii="Aptos Narrow" w:hAnsi="Aptos Narrow" w:cs="Times New Roman"/>
                <w:color w:val="000000"/>
                <w:lang w:eastAsia="fr-FR"/>
              </w:rPr>
            </w:pPr>
            <w:r w:rsidRPr="00B12B17">
              <w:rPr>
                <w:rFonts w:ascii="Aptos Narrow" w:hAnsi="Aptos Narrow" w:cs="Times New Roman"/>
                <w:color w:val="000000"/>
                <w:lang w:eastAsia="fr-FR"/>
              </w:rPr>
              <w:t>Localisée</w:t>
            </w:r>
          </w:p>
        </w:tc>
        <w:tc>
          <w:tcPr>
            <w:tcW w:w="829" w:type="pct"/>
            <w:tcBorders>
              <w:top w:val="single" w:sz="4" w:space="0" w:color="196B24"/>
              <w:left w:val="nil"/>
              <w:bottom w:val="nil"/>
              <w:right w:val="single" w:sz="4" w:space="0" w:color="196B24"/>
            </w:tcBorders>
            <w:vAlign w:val="center"/>
            <w:hideMark/>
          </w:tcPr>
          <w:p w14:paraId="2B9555B5" w14:textId="77777777" w:rsidR="00EF4244" w:rsidRPr="00B12B17" w:rsidRDefault="00EF4244" w:rsidP="005A7661">
            <w:pPr>
              <w:spacing w:after="0"/>
              <w:jc w:val="left"/>
              <w:rPr>
                <w:rFonts w:ascii="Aptos Narrow" w:hAnsi="Aptos Narrow" w:cs="Times New Roman"/>
                <w:color w:val="000000"/>
                <w:lang w:eastAsia="fr-FR"/>
              </w:rPr>
            </w:pPr>
            <w:r w:rsidRPr="00B12B17">
              <w:rPr>
                <w:rFonts w:ascii="Aptos Narrow" w:hAnsi="Aptos Narrow" w:cs="Times New Roman"/>
                <w:color w:val="000000"/>
                <w:lang w:eastAsia="fr-FR"/>
              </w:rPr>
              <w:t xml:space="preserve">Canopée dense, perchoirs pour </w:t>
            </w:r>
            <w:r w:rsidRPr="00B12B17">
              <w:rPr>
                <w:rFonts w:ascii="Aptos Narrow" w:hAnsi="Aptos Narrow" w:cs="Times New Roman"/>
                <w:color w:val="000000"/>
                <w:lang w:eastAsia="fr-FR"/>
              </w:rPr>
              <w:lastRenderedPageBreak/>
              <w:t>espèces urbaines</w:t>
            </w:r>
          </w:p>
        </w:tc>
      </w:tr>
      <w:tr w:rsidR="00EF4244" w:rsidRPr="00B12B17" w14:paraId="6080547E" w14:textId="77777777" w:rsidTr="005A7661">
        <w:trPr>
          <w:trHeight w:val="1152"/>
        </w:trPr>
        <w:tc>
          <w:tcPr>
            <w:tcW w:w="760" w:type="pct"/>
            <w:tcBorders>
              <w:top w:val="single" w:sz="4" w:space="0" w:color="196B24"/>
              <w:left w:val="single" w:sz="4" w:space="0" w:color="196B24"/>
              <w:bottom w:val="single" w:sz="4" w:space="0" w:color="196B24"/>
              <w:right w:val="nil"/>
            </w:tcBorders>
            <w:vAlign w:val="center"/>
            <w:hideMark/>
          </w:tcPr>
          <w:p w14:paraId="4752B0EA" w14:textId="77777777" w:rsidR="00EF4244" w:rsidRPr="00B12B17" w:rsidRDefault="00EF4244" w:rsidP="005A7661">
            <w:pPr>
              <w:spacing w:after="0"/>
              <w:jc w:val="left"/>
              <w:rPr>
                <w:rFonts w:ascii="Aptos Narrow" w:hAnsi="Aptos Narrow" w:cs="Times New Roman"/>
                <w:color w:val="000000"/>
                <w:lang w:eastAsia="fr-FR"/>
              </w:rPr>
            </w:pPr>
            <w:r w:rsidRPr="00B12B17">
              <w:rPr>
                <w:rFonts w:ascii="Aptos Narrow" w:hAnsi="Aptos Narrow" w:cs="Times New Roman"/>
                <w:color w:val="000000"/>
                <w:lang w:eastAsia="fr-FR"/>
              </w:rPr>
              <w:lastRenderedPageBreak/>
              <w:t>Bords rudéraux</w:t>
            </w:r>
          </w:p>
        </w:tc>
        <w:tc>
          <w:tcPr>
            <w:tcW w:w="679" w:type="pct"/>
            <w:tcBorders>
              <w:top w:val="single" w:sz="4" w:space="0" w:color="196B24"/>
              <w:left w:val="nil"/>
              <w:bottom w:val="single" w:sz="4" w:space="0" w:color="196B24"/>
              <w:right w:val="nil"/>
            </w:tcBorders>
            <w:vAlign w:val="center"/>
            <w:hideMark/>
          </w:tcPr>
          <w:p w14:paraId="4A59CA5D" w14:textId="77777777" w:rsidR="00EF4244" w:rsidRPr="00B12B17" w:rsidRDefault="00EF4244" w:rsidP="005A7661">
            <w:pPr>
              <w:spacing w:after="0"/>
              <w:jc w:val="left"/>
              <w:rPr>
                <w:rFonts w:ascii="Aptos Narrow" w:hAnsi="Aptos Narrow" w:cs="Times New Roman"/>
                <w:b/>
                <w:bCs/>
                <w:i/>
                <w:iCs/>
                <w:color w:val="000000"/>
                <w:lang w:eastAsia="fr-FR"/>
              </w:rPr>
            </w:pPr>
            <w:r w:rsidRPr="00B12B17">
              <w:rPr>
                <w:rFonts w:ascii="Aptos Narrow" w:hAnsi="Aptos Narrow" w:cs="Times New Roman"/>
                <w:b/>
                <w:bCs/>
                <w:i/>
                <w:iCs/>
                <w:color w:val="000000"/>
                <w:lang w:eastAsia="fr-FR"/>
              </w:rPr>
              <w:t>Malva neglecta</w:t>
            </w:r>
          </w:p>
        </w:tc>
        <w:tc>
          <w:tcPr>
            <w:tcW w:w="536" w:type="pct"/>
            <w:tcBorders>
              <w:top w:val="single" w:sz="4" w:space="0" w:color="196B24"/>
              <w:left w:val="nil"/>
              <w:bottom w:val="single" w:sz="4" w:space="0" w:color="196B24"/>
              <w:right w:val="nil"/>
            </w:tcBorders>
            <w:vAlign w:val="center"/>
            <w:hideMark/>
          </w:tcPr>
          <w:p w14:paraId="71B524F4" w14:textId="77777777" w:rsidR="00EF4244" w:rsidRPr="00B12B17" w:rsidRDefault="00EF4244" w:rsidP="005A7661">
            <w:pPr>
              <w:spacing w:after="0"/>
              <w:jc w:val="left"/>
              <w:rPr>
                <w:rFonts w:ascii="Aptos Narrow" w:hAnsi="Aptos Narrow" w:cs="Times New Roman"/>
                <w:color w:val="000000"/>
                <w:lang w:eastAsia="fr-FR"/>
              </w:rPr>
            </w:pPr>
            <w:r w:rsidRPr="00B12B17">
              <w:rPr>
                <w:rFonts w:ascii="Aptos Narrow" w:hAnsi="Aptos Narrow" w:cs="Times New Roman"/>
                <w:color w:val="000000"/>
                <w:lang w:eastAsia="fr-FR"/>
              </w:rPr>
              <w:t>Mauve</w:t>
            </w:r>
          </w:p>
        </w:tc>
        <w:tc>
          <w:tcPr>
            <w:tcW w:w="656" w:type="pct"/>
            <w:tcBorders>
              <w:top w:val="single" w:sz="4" w:space="0" w:color="196B24"/>
              <w:left w:val="nil"/>
              <w:bottom w:val="single" w:sz="4" w:space="0" w:color="196B24"/>
              <w:right w:val="nil"/>
            </w:tcBorders>
            <w:vAlign w:val="center"/>
            <w:hideMark/>
          </w:tcPr>
          <w:p w14:paraId="4D57964E" w14:textId="77777777" w:rsidR="00EF4244" w:rsidRPr="00B12B17" w:rsidRDefault="00EF4244" w:rsidP="005A7661">
            <w:pPr>
              <w:spacing w:after="0"/>
              <w:jc w:val="left"/>
              <w:rPr>
                <w:rFonts w:ascii="Aptos Narrow" w:hAnsi="Aptos Narrow" w:cs="Times New Roman"/>
                <w:color w:val="000000"/>
                <w:lang w:eastAsia="fr-FR"/>
              </w:rPr>
            </w:pPr>
            <w:r w:rsidRPr="00B12B17">
              <w:rPr>
                <w:rFonts w:ascii="Aptos Narrow" w:hAnsi="Aptos Narrow" w:cs="Times New Roman"/>
                <w:color w:val="000000"/>
                <w:lang w:eastAsia="fr-FR"/>
              </w:rPr>
              <w:t>Autochtone</w:t>
            </w:r>
          </w:p>
        </w:tc>
        <w:tc>
          <w:tcPr>
            <w:tcW w:w="628" w:type="pct"/>
            <w:tcBorders>
              <w:top w:val="single" w:sz="4" w:space="0" w:color="196B24"/>
              <w:left w:val="nil"/>
              <w:bottom w:val="single" w:sz="4" w:space="0" w:color="196B24"/>
              <w:right w:val="nil"/>
            </w:tcBorders>
            <w:vAlign w:val="center"/>
            <w:hideMark/>
          </w:tcPr>
          <w:p w14:paraId="342E1D4E" w14:textId="77777777" w:rsidR="00EF4244" w:rsidRPr="00B12B17" w:rsidRDefault="00EF4244" w:rsidP="005A7661">
            <w:pPr>
              <w:spacing w:after="0"/>
              <w:jc w:val="left"/>
              <w:rPr>
                <w:rFonts w:ascii="Aptos Narrow" w:hAnsi="Aptos Narrow" w:cs="Times New Roman"/>
                <w:color w:val="000000"/>
                <w:lang w:eastAsia="fr-FR"/>
              </w:rPr>
            </w:pPr>
            <w:r w:rsidRPr="00B12B17">
              <w:rPr>
                <w:rFonts w:ascii="Aptos Narrow" w:hAnsi="Aptos Narrow" w:cs="Times New Roman"/>
                <w:color w:val="000000"/>
                <w:lang w:eastAsia="fr-FR"/>
              </w:rPr>
              <w:t>—</w:t>
            </w:r>
          </w:p>
        </w:tc>
        <w:tc>
          <w:tcPr>
            <w:tcW w:w="456" w:type="pct"/>
            <w:tcBorders>
              <w:top w:val="single" w:sz="4" w:space="0" w:color="196B24"/>
              <w:left w:val="nil"/>
              <w:bottom w:val="single" w:sz="4" w:space="0" w:color="196B24"/>
              <w:right w:val="nil"/>
            </w:tcBorders>
            <w:vAlign w:val="center"/>
            <w:hideMark/>
          </w:tcPr>
          <w:p w14:paraId="6827138C" w14:textId="77777777" w:rsidR="00EF4244" w:rsidRPr="00B12B17" w:rsidRDefault="00EF4244" w:rsidP="005A7661">
            <w:pPr>
              <w:spacing w:after="0"/>
              <w:jc w:val="right"/>
              <w:rPr>
                <w:rFonts w:ascii="Aptos Narrow" w:hAnsi="Aptos Narrow" w:cs="Times New Roman"/>
                <w:color w:val="000000"/>
                <w:lang w:eastAsia="fr-FR"/>
              </w:rPr>
            </w:pPr>
            <w:r w:rsidRPr="00B12B17">
              <w:rPr>
                <w:rFonts w:ascii="Aptos Narrow" w:hAnsi="Aptos Narrow" w:cs="Times New Roman"/>
                <w:color w:val="000000"/>
                <w:lang w:eastAsia="fr-FR"/>
              </w:rPr>
              <w:t>Oui</w:t>
            </w:r>
          </w:p>
        </w:tc>
        <w:tc>
          <w:tcPr>
            <w:tcW w:w="456" w:type="pct"/>
            <w:tcBorders>
              <w:top w:val="single" w:sz="4" w:space="0" w:color="196B24"/>
              <w:left w:val="nil"/>
              <w:bottom w:val="single" w:sz="4" w:space="0" w:color="196B24"/>
              <w:right w:val="nil"/>
            </w:tcBorders>
            <w:vAlign w:val="center"/>
            <w:hideMark/>
          </w:tcPr>
          <w:p w14:paraId="3E25D660" w14:textId="77777777" w:rsidR="00EF4244" w:rsidRPr="00B12B17" w:rsidRDefault="00EF4244" w:rsidP="005A7661">
            <w:pPr>
              <w:spacing w:after="0"/>
              <w:jc w:val="right"/>
              <w:rPr>
                <w:rFonts w:ascii="Aptos Narrow" w:hAnsi="Aptos Narrow" w:cs="Times New Roman"/>
                <w:color w:val="000000"/>
                <w:lang w:eastAsia="fr-FR"/>
              </w:rPr>
            </w:pPr>
            <w:r w:rsidRPr="00B12B17">
              <w:rPr>
                <w:rFonts w:ascii="Aptos Narrow" w:hAnsi="Aptos Narrow" w:cs="Times New Roman"/>
                <w:color w:val="000000"/>
                <w:lang w:eastAsia="fr-FR"/>
              </w:rPr>
              <w:t>Oui</w:t>
            </w:r>
          </w:p>
        </w:tc>
        <w:tc>
          <w:tcPr>
            <w:tcW w:w="829" w:type="pct"/>
            <w:tcBorders>
              <w:top w:val="single" w:sz="4" w:space="0" w:color="196B24"/>
              <w:left w:val="nil"/>
              <w:bottom w:val="single" w:sz="4" w:space="0" w:color="196B24"/>
              <w:right w:val="single" w:sz="4" w:space="0" w:color="196B24"/>
            </w:tcBorders>
            <w:vAlign w:val="center"/>
            <w:hideMark/>
          </w:tcPr>
          <w:p w14:paraId="4C9DE5A9" w14:textId="77777777" w:rsidR="00EF4244" w:rsidRPr="00B12B17" w:rsidRDefault="00EF4244" w:rsidP="005A7661">
            <w:pPr>
              <w:spacing w:after="0"/>
              <w:jc w:val="left"/>
              <w:rPr>
                <w:rFonts w:ascii="Aptos Narrow" w:hAnsi="Aptos Narrow" w:cs="Times New Roman"/>
                <w:color w:val="000000"/>
                <w:lang w:eastAsia="fr-FR"/>
              </w:rPr>
            </w:pPr>
            <w:r w:rsidRPr="00B12B17">
              <w:rPr>
                <w:rFonts w:ascii="Aptos Narrow" w:hAnsi="Aptos Narrow" w:cs="Times New Roman"/>
                <w:color w:val="000000"/>
                <w:lang w:eastAsia="fr-FR"/>
              </w:rPr>
              <w:t>Pionnière, ressource pour pollinisateurs</w:t>
            </w:r>
          </w:p>
        </w:tc>
      </w:tr>
    </w:tbl>
    <w:p w14:paraId="1F1EF4A5" w14:textId="77777777" w:rsidR="00B97BB8" w:rsidRDefault="00B97BB8" w:rsidP="00B97BB8">
      <w:pPr>
        <w:keepNext/>
        <w:spacing w:before="240"/>
      </w:pPr>
      <w:r w:rsidRPr="00214CDC">
        <w:t>Lecture d’ensemble. La disponibilité en eau (fossés, mares, bassins) structure des ceintures hélophytes (Phragmites, Typha) favorisant une forte production d’invertébrés ; les espèces exotiques/invasives (Arundo, Conyza, Ricinus) accentuent l’anthropisation de friches/berges ; les essences ornementales irriguées (Nerium, Phoenix, Ficus) et les alignements (Eucalyptus, Olea) soutiennent des cortèges urbains/anthropophiles et des usages trophiques saisonniers.</w:t>
      </w:r>
    </w:p>
    <w:p w14:paraId="45237BFD" w14:textId="019C2A4C" w:rsidR="00BF440D" w:rsidRDefault="00B97BB8" w:rsidP="00B97BB8">
      <w:r w:rsidRPr="00D850B7">
        <w:rPr>
          <w:b/>
          <w:bCs/>
          <w:u w:val="single"/>
        </w:rPr>
        <w:t>La zone de projet est entièrement anthropisée et s’insère dans un cadre aéroportuaire, et ne présente aucune espèce floristique.</w:t>
      </w:r>
    </w:p>
    <w:p w14:paraId="55EDF913" w14:textId="5C2A0D14" w:rsidR="00B97BB8" w:rsidRDefault="00B97BB8" w:rsidP="00DA59D3">
      <w:pPr>
        <w:pStyle w:val="Title3"/>
      </w:pPr>
      <w:bookmarkStart w:id="303" w:name="_Toc181619014"/>
      <w:bookmarkStart w:id="304" w:name="_Toc215131854"/>
      <w:bookmarkEnd w:id="302"/>
      <w:r>
        <w:t>Avifaune</w:t>
      </w:r>
      <w:bookmarkEnd w:id="304"/>
    </w:p>
    <w:p w14:paraId="274F4CB6" w14:textId="77777777" w:rsidR="006E0486" w:rsidRPr="00991DB5" w:rsidRDefault="006E0486" w:rsidP="006E0486">
      <w:r w:rsidRPr="00991DB5">
        <w:t>Les campagnes de prospection réalisées au printemps 2025</w:t>
      </w:r>
      <w:r>
        <w:t>,</w:t>
      </w:r>
      <w:r w:rsidRPr="00991DB5">
        <w:t xml:space="preserve"> sur et autour de la plateforme aéroportuaire ont permis de dresser un inventaire représentatif de l’avifaune fréquentant la Zone Aéroportuaire (ZA) et la Zone Voisine d’Aérodrome (ZVA). Ce dispositif d’échantillonnage, déployé à différentes périodes clés de la migration printanière, a révélé la diversité et la richesse des communautés aviaires présentes dans le périmètre d’étude. Les milieux inventoriés comprennent des prairies ouvertes, des zones agricoles intensives ou extensives, des alignements arborés, des espaces urbains et périurbains, ainsi que des zones humides périphériques.</w:t>
      </w:r>
    </w:p>
    <w:p w14:paraId="283EB584" w14:textId="77777777" w:rsidR="006E0486" w:rsidRPr="00991DB5" w:rsidRDefault="006E0486" w:rsidP="006E0486">
      <w:r w:rsidRPr="00991DB5">
        <w:t>Les observations ont mis en évidence des cortèges spécifiques à chaque type d’habitat :</w:t>
      </w:r>
    </w:p>
    <w:p w14:paraId="08C642CD" w14:textId="77777777" w:rsidR="006E0486" w:rsidRPr="00991DB5" w:rsidRDefault="006E0486" w:rsidP="0001633E">
      <w:pPr>
        <w:numPr>
          <w:ilvl w:val="0"/>
          <w:numId w:val="198"/>
        </w:numPr>
        <w:spacing w:before="100" w:beforeAutospacing="1" w:after="100" w:afterAutospacing="1" w:line="240" w:lineRule="auto"/>
        <w:jc w:val="left"/>
        <w:rPr>
          <w:rFonts w:cs="Calibri"/>
          <w:lang w:eastAsia="fr-FR"/>
        </w:rPr>
      </w:pPr>
      <w:r w:rsidRPr="00991DB5">
        <w:rPr>
          <w:rFonts w:cs="Calibri"/>
          <w:b/>
          <w:bCs/>
          <w:lang w:eastAsia="fr-FR"/>
        </w:rPr>
        <w:t>Milieux ouverts et agricoles</w:t>
      </w:r>
      <w:r w:rsidRPr="00991DB5">
        <w:rPr>
          <w:rFonts w:cs="Calibri"/>
          <w:lang w:eastAsia="fr-FR"/>
        </w:rPr>
        <w:t xml:space="preserve"> : cortège dominé par le Bruant du Sahara (</w:t>
      </w:r>
      <w:r w:rsidRPr="00991DB5">
        <w:rPr>
          <w:rFonts w:cs="Calibri"/>
          <w:i/>
          <w:iCs/>
          <w:lang w:eastAsia="fr-FR"/>
        </w:rPr>
        <w:t>Emberiza sahari</w:t>
      </w:r>
      <w:r w:rsidRPr="00991DB5">
        <w:rPr>
          <w:rFonts w:cs="Calibri"/>
          <w:lang w:eastAsia="fr-FR"/>
        </w:rPr>
        <w:t>), le Cochevis de Thékla (</w:t>
      </w:r>
      <w:r w:rsidRPr="00991DB5">
        <w:rPr>
          <w:rFonts w:cs="Calibri"/>
          <w:i/>
          <w:iCs/>
          <w:lang w:eastAsia="fr-FR"/>
        </w:rPr>
        <w:t>Galerida theklae</w:t>
      </w:r>
      <w:r w:rsidRPr="00991DB5">
        <w:rPr>
          <w:rFonts w:cs="Calibri"/>
          <w:lang w:eastAsia="fr-FR"/>
        </w:rPr>
        <w:t>) et le Cochevis huppé (</w:t>
      </w:r>
      <w:r w:rsidRPr="00991DB5">
        <w:rPr>
          <w:rFonts w:cs="Calibri"/>
          <w:i/>
          <w:iCs/>
          <w:lang w:eastAsia="fr-FR"/>
        </w:rPr>
        <w:t>Galerida cristata</w:t>
      </w:r>
      <w:r w:rsidRPr="00991DB5">
        <w:rPr>
          <w:rFonts w:cs="Calibri"/>
          <w:lang w:eastAsia="fr-FR"/>
        </w:rPr>
        <w:t>), complété par des espèces migratrices comme le Guêpier d’Europe (</w:t>
      </w:r>
      <w:r w:rsidRPr="00991DB5">
        <w:rPr>
          <w:rFonts w:cs="Calibri"/>
          <w:i/>
          <w:iCs/>
          <w:lang w:eastAsia="fr-FR"/>
        </w:rPr>
        <w:t>Merops apiaster</w:t>
      </w:r>
      <w:r w:rsidRPr="00991DB5">
        <w:rPr>
          <w:rFonts w:cs="Calibri"/>
          <w:lang w:eastAsia="fr-FR"/>
        </w:rPr>
        <w:t>) et des rapaces opportunistes tels que le Milan noir (</w:t>
      </w:r>
      <w:r w:rsidRPr="00991DB5">
        <w:rPr>
          <w:rFonts w:cs="Calibri"/>
          <w:i/>
          <w:iCs/>
          <w:lang w:eastAsia="fr-FR"/>
        </w:rPr>
        <w:t>Milvus migrans</w:t>
      </w:r>
      <w:r w:rsidRPr="00991DB5">
        <w:rPr>
          <w:rFonts w:cs="Calibri"/>
          <w:lang w:eastAsia="fr-FR"/>
        </w:rPr>
        <w:t>) et le Faucon crécerelle (</w:t>
      </w:r>
      <w:r w:rsidRPr="00991DB5">
        <w:rPr>
          <w:rFonts w:cs="Calibri"/>
          <w:i/>
          <w:iCs/>
          <w:lang w:eastAsia="fr-FR"/>
        </w:rPr>
        <w:t>Falco tinnunculus</w:t>
      </w:r>
      <w:r w:rsidRPr="00991DB5">
        <w:rPr>
          <w:rFonts w:cs="Calibri"/>
          <w:lang w:eastAsia="fr-FR"/>
        </w:rPr>
        <w:t>).</w:t>
      </w:r>
    </w:p>
    <w:p w14:paraId="38FD6EA4" w14:textId="77777777" w:rsidR="006E0486" w:rsidRPr="00991DB5" w:rsidRDefault="006E0486" w:rsidP="0001633E">
      <w:pPr>
        <w:numPr>
          <w:ilvl w:val="0"/>
          <w:numId w:val="198"/>
        </w:numPr>
        <w:spacing w:before="100" w:beforeAutospacing="1" w:after="100" w:afterAutospacing="1" w:line="240" w:lineRule="auto"/>
        <w:jc w:val="left"/>
        <w:rPr>
          <w:rFonts w:cs="Calibri"/>
          <w:lang w:eastAsia="fr-FR"/>
        </w:rPr>
      </w:pPr>
      <w:r w:rsidRPr="00991DB5">
        <w:rPr>
          <w:rFonts w:cs="Calibri"/>
          <w:b/>
          <w:bCs/>
          <w:lang w:eastAsia="fr-FR"/>
        </w:rPr>
        <w:t>Milieux arborés et espaces verts</w:t>
      </w:r>
      <w:r w:rsidRPr="00991DB5">
        <w:rPr>
          <w:rFonts w:cs="Calibri"/>
          <w:lang w:eastAsia="fr-FR"/>
        </w:rPr>
        <w:t xml:space="preserve"> : présence de nicheurs sédentaires comme le Bulbul des jardins (</w:t>
      </w:r>
      <w:r w:rsidRPr="00991DB5">
        <w:rPr>
          <w:rFonts w:cs="Calibri"/>
          <w:i/>
          <w:iCs/>
          <w:lang w:eastAsia="fr-FR"/>
        </w:rPr>
        <w:t>Pycnonotus barbatus</w:t>
      </w:r>
      <w:r w:rsidRPr="00991DB5">
        <w:rPr>
          <w:rFonts w:cs="Calibri"/>
          <w:lang w:eastAsia="fr-FR"/>
        </w:rPr>
        <w:t>), la Fauvette mélanocéphale (</w:t>
      </w:r>
      <w:r w:rsidRPr="00991DB5">
        <w:rPr>
          <w:rFonts w:cs="Calibri"/>
          <w:i/>
          <w:iCs/>
          <w:lang w:eastAsia="fr-FR"/>
        </w:rPr>
        <w:t>Curruca melanocephala</w:t>
      </w:r>
      <w:r w:rsidRPr="00991DB5">
        <w:rPr>
          <w:rFonts w:cs="Calibri"/>
          <w:lang w:eastAsia="fr-FR"/>
        </w:rPr>
        <w:t>), le Pinson des arbres (</w:t>
      </w:r>
      <w:r w:rsidRPr="00991DB5">
        <w:rPr>
          <w:rFonts w:cs="Calibri"/>
          <w:i/>
          <w:iCs/>
          <w:lang w:eastAsia="fr-FR"/>
        </w:rPr>
        <w:t>Fringilla coelebs</w:t>
      </w:r>
      <w:r w:rsidRPr="00991DB5">
        <w:rPr>
          <w:rFonts w:cs="Calibri"/>
          <w:lang w:eastAsia="fr-FR"/>
        </w:rPr>
        <w:t>) et le Merle noir (</w:t>
      </w:r>
      <w:r w:rsidRPr="00991DB5">
        <w:rPr>
          <w:rFonts w:cs="Calibri"/>
          <w:i/>
          <w:iCs/>
          <w:lang w:eastAsia="fr-FR"/>
        </w:rPr>
        <w:t>Turdus merula</w:t>
      </w:r>
      <w:r w:rsidRPr="00991DB5">
        <w:rPr>
          <w:rFonts w:cs="Calibri"/>
          <w:lang w:eastAsia="fr-FR"/>
        </w:rPr>
        <w:t>), ainsi que de migrateurs comme la Tourterelle des bois (</w:t>
      </w:r>
      <w:r w:rsidRPr="00991DB5">
        <w:rPr>
          <w:rFonts w:cs="Calibri"/>
          <w:i/>
          <w:iCs/>
          <w:lang w:eastAsia="fr-FR"/>
        </w:rPr>
        <w:t>Streptopelia turtur</w:t>
      </w:r>
      <w:r w:rsidRPr="00991DB5">
        <w:rPr>
          <w:rFonts w:cs="Calibri"/>
          <w:lang w:eastAsia="fr-FR"/>
        </w:rPr>
        <w:t>).</w:t>
      </w:r>
    </w:p>
    <w:p w14:paraId="6D8A5DF2" w14:textId="77777777" w:rsidR="006E0486" w:rsidRPr="00991DB5" w:rsidRDefault="006E0486" w:rsidP="0001633E">
      <w:pPr>
        <w:numPr>
          <w:ilvl w:val="0"/>
          <w:numId w:val="198"/>
        </w:numPr>
        <w:spacing w:before="100" w:beforeAutospacing="1" w:after="100" w:afterAutospacing="1" w:line="240" w:lineRule="auto"/>
        <w:jc w:val="left"/>
        <w:rPr>
          <w:rFonts w:cs="Calibri"/>
          <w:lang w:eastAsia="fr-FR"/>
        </w:rPr>
      </w:pPr>
      <w:r w:rsidRPr="00991DB5">
        <w:rPr>
          <w:rFonts w:cs="Calibri"/>
          <w:b/>
          <w:bCs/>
          <w:lang w:eastAsia="fr-FR"/>
        </w:rPr>
        <w:t>Milieux aquatiques et zones humides</w:t>
      </w:r>
      <w:r w:rsidRPr="00991DB5">
        <w:rPr>
          <w:rFonts w:cs="Calibri"/>
          <w:lang w:eastAsia="fr-FR"/>
        </w:rPr>
        <w:t xml:space="preserve"> : halte migratoire pour l’Avocette élégante (</w:t>
      </w:r>
      <w:r w:rsidRPr="00991DB5">
        <w:rPr>
          <w:rFonts w:cs="Calibri"/>
          <w:i/>
          <w:iCs/>
          <w:lang w:eastAsia="fr-FR"/>
        </w:rPr>
        <w:t>Recurvirostra avosetta</w:t>
      </w:r>
      <w:r w:rsidRPr="00991DB5">
        <w:rPr>
          <w:rFonts w:cs="Calibri"/>
          <w:lang w:eastAsia="fr-FR"/>
        </w:rPr>
        <w:t>), l’Échasse blanche (</w:t>
      </w:r>
      <w:r w:rsidRPr="00991DB5">
        <w:rPr>
          <w:rFonts w:cs="Calibri"/>
          <w:i/>
          <w:iCs/>
          <w:lang w:eastAsia="fr-FR"/>
        </w:rPr>
        <w:t>Himantopus himantopus</w:t>
      </w:r>
      <w:r w:rsidRPr="00991DB5">
        <w:rPr>
          <w:rFonts w:cs="Calibri"/>
          <w:lang w:eastAsia="fr-FR"/>
        </w:rPr>
        <w:t>), le Canard colvert (</w:t>
      </w:r>
      <w:r w:rsidRPr="00991DB5">
        <w:rPr>
          <w:rFonts w:cs="Calibri"/>
          <w:i/>
          <w:iCs/>
          <w:lang w:eastAsia="fr-FR"/>
        </w:rPr>
        <w:t>Anas platyrhynchos</w:t>
      </w:r>
      <w:r w:rsidRPr="00991DB5">
        <w:rPr>
          <w:rFonts w:cs="Calibri"/>
          <w:lang w:eastAsia="fr-FR"/>
        </w:rPr>
        <w:t>), le Héron garde-bœufs (</w:t>
      </w:r>
      <w:r w:rsidRPr="00991DB5">
        <w:rPr>
          <w:rFonts w:cs="Calibri"/>
          <w:i/>
          <w:iCs/>
          <w:lang w:eastAsia="fr-FR"/>
        </w:rPr>
        <w:t>Bubulcus ibis</w:t>
      </w:r>
      <w:r w:rsidRPr="00991DB5">
        <w:rPr>
          <w:rFonts w:cs="Calibri"/>
          <w:lang w:eastAsia="fr-FR"/>
        </w:rPr>
        <w:t>) et la Cigogne blanche (</w:t>
      </w:r>
      <w:r w:rsidRPr="00991DB5">
        <w:rPr>
          <w:rFonts w:cs="Calibri"/>
          <w:i/>
          <w:iCs/>
          <w:lang w:eastAsia="fr-FR"/>
        </w:rPr>
        <w:t>Ciconia ciconia</w:t>
      </w:r>
      <w:r w:rsidRPr="00991DB5">
        <w:rPr>
          <w:rFonts w:cs="Calibri"/>
          <w:lang w:eastAsia="fr-FR"/>
        </w:rPr>
        <w:t>).</w:t>
      </w:r>
    </w:p>
    <w:p w14:paraId="7042FAFB" w14:textId="77777777" w:rsidR="006E0486" w:rsidRPr="00991DB5" w:rsidRDefault="006E0486" w:rsidP="0001633E">
      <w:pPr>
        <w:numPr>
          <w:ilvl w:val="0"/>
          <w:numId w:val="198"/>
        </w:numPr>
        <w:spacing w:before="100" w:beforeAutospacing="1" w:after="100" w:afterAutospacing="1" w:line="240" w:lineRule="auto"/>
        <w:jc w:val="left"/>
        <w:rPr>
          <w:rFonts w:cs="Calibri"/>
          <w:lang w:eastAsia="fr-FR"/>
        </w:rPr>
      </w:pPr>
      <w:r w:rsidRPr="00991DB5">
        <w:rPr>
          <w:rFonts w:cs="Calibri"/>
          <w:b/>
          <w:bCs/>
          <w:lang w:eastAsia="fr-FR"/>
        </w:rPr>
        <w:t>Espaces anthropisés et franges urbaines</w:t>
      </w:r>
      <w:r w:rsidRPr="00991DB5">
        <w:rPr>
          <w:rFonts w:cs="Calibri"/>
          <w:lang w:eastAsia="fr-FR"/>
        </w:rPr>
        <w:t xml:space="preserve"> : forte représentation d’espèces synanthropes comme le Moineau domestique (</w:t>
      </w:r>
      <w:r w:rsidRPr="00991DB5">
        <w:rPr>
          <w:rFonts w:cs="Calibri"/>
          <w:i/>
          <w:iCs/>
          <w:lang w:eastAsia="fr-FR"/>
        </w:rPr>
        <w:t>Passer domesticus</w:t>
      </w:r>
      <w:r w:rsidRPr="00991DB5">
        <w:rPr>
          <w:rFonts w:cs="Calibri"/>
          <w:lang w:eastAsia="fr-FR"/>
        </w:rPr>
        <w:t>), l’Étourneau unicolore (</w:t>
      </w:r>
      <w:r w:rsidRPr="00991DB5">
        <w:rPr>
          <w:rFonts w:cs="Calibri"/>
          <w:i/>
          <w:iCs/>
          <w:lang w:eastAsia="fr-FR"/>
        </w:rPr>
        <w:t>Sturnus unicolor</w:t>
      </w:r>
      <w:r w:rsidRPr="00991DB5">
        <w:rPr>
          <w:rFonts w:cs="Calibri"/>
          <w:lang w:eastAsia="fr-FR"/>
        </w:rPr>
        <w:t>), la Tourterelle turque (</w:t>
      </w:r>
      <w:r w:rsidRPr="00991DB5">
        <w:rPr>
          <w:rFonts w:cs="Calibri"/>
          <w:i/>
          <w:iCs/>
          <w:lang w:eastAsia="fr-FR"/>
        </w:rPr>
        <w:t>Streptopelia decaocto</w:t>
      </w:r>
      <w:r w:rsidRPr="00991DB5">
        <w:rPr>
          <w:rFonts w:cs="Calibri"/>
          <w:lang w:eastAsia="fr-FR"/>
        </w:rPr>
        <w:t>) et le Pigeon biset (</w:t>
      </w:r>
      <w:r w:rsidRPr="00991DB5">
        <w:rPr>
          <w:rFonts w:cs="Calibri"/>
          <w:i/>
          <w:iCs/>
          <w:lang w:eastAsia="fr-FR"/>
        </w:rPr>
        <w:t>Columba livia</w:t>
      </w:r>
      <w:r w:rsidRPr="00991DB5">
        <w:rPr>
          <w:rFonts w:cs="Calibri"/>
          <w:lang w:eastAsia="fr-FR"/>
        </w:rPr>
        <w:t>), avec des espèces généralistes comme la Pie du Maghreb (</w:t>
      </w:r>
      <w:r w:rsidRPr="00991DB5">
        <w:rPr>
          <w:rFonts w:cs="Calibri"/>
          <w:i/>
          <w:iCs/>
          <w:lang w:eastAsia="fr-FR"/>
        </w:rPr>
        <w:t>Pica mauritanica</w:t>
      </w:r>
      <w:r w:rsidRPr="00991DB5">
        <w:rPr>
          <w:rFonts w:cs="Calibri"/>
          <w:lang w:eastAsia="fr-FR"/>
        </w:rPr>
        <w:t>).</w:t>
      </w:r>
    </w:p>
    <w:p w14:paraId="56B4A1AE" w14:textId="77777777" w:rsidR="006E0486" w:rsidRDefault="006E0486" w:rsidP="006E0486">
      <w:pPr>
        <w:rPr>
          <w:b/>
          <w:bCs/>
        </w:rPr>
      </w:pPr>
      <w:r w:rsidRPr="008A2F7E">
        <w:lastRenderedPageBreak/>
        <w:t xml:space="preserve">L’ensemble des espèces recensées, avec leur statut phénologique, leur patrimonialité et leur niveau de protection, est présenté </w:t>
      </w:r>
      <w:r w:rsidRPr="008A2F7E">
        <w:rPr>
          <w:b/>
          <w:bCs/>
        </w:rPr>
        <w:t>ci-dessou</w:t>
      </w:r>
      <w:r w:rsidR="00E36EE1">
        <w:rPr>
          <w:b/>
          <w:bCs/>
        </w:rPr>
        <w:t>.</w:t>
      </w:r>
    </w:p>
    <w:p w14:paraId="4F240E78" w14:textId="354BEFDB" w:rsidR="00E36EE1" w:rsidRDefault="00E36EE1">
      <w:pPr>
        <w:spacing w:before="0" w:after="160" w:line="259" w:lineRule="auto"/>
        <w:jc w:val="left"/>
        <w:rPr>
          <w:b/>
          <w:bCs/>
        </w:rPr>
      </w:pPr>
      <w:r>
        <w:rPr>
          <w:b/>
          <w:bCs/>
        </w:rPr>
        <w:br w:type="page"/>
      </w:r>
    </w:p>
    <w:p w14:paraId="33AB08BB" w14:textId="77777777" w:rsidR="00E36EE1" w:rsidRDefault="00E36EE1" w:rsidP="006E0486">
      <w:pPr>
        <w:rPr>
          <w:b/>
          <w:bCs/>
        </w:rPr>
        <w:sectPr w:rsidR="00E36EE1" w:rsidSect="001C13A1">
          <w:pgSz w:w="11906" w:h="16838" w:code="9"/>
          <w:pgMar w:top="1497" w:right="1134" w:bottom="1276" w:left="1134" w:header="567" w:footer="222" w:gutter="0"/>
          <w:pgNumType w:fmt="lowerRoman"/>
          <w:cols w:space="708"/>
          <w:docGrid w:linePitch="360"/>
        </w:sectPr>
      </w:pPr>
    </w:p>
    <w:p w14:paraId="3D3D6B5E" w14:textId="437AD02A" w:rsidR="00E36EE1" w:rsidRDefault="00E36EE1" w:rsidP="006E0486">
      <w:pPr>
        <w:rPr>
          <w:b/>
          <w:bCs/>
        </w:rPr>
      </w:pPr>
    </w:p>
    <w:tbl>
      <w:tblPr>
        <w:tblW w:w="5000" w:type="pct"/>
        <w:tblCellMar>
          <w:left w:w="70" w:type="dxa"/>
          <w:right w:w="70" w:type="dxa"/>
        </w:tblCellMar>
        <w:tblLook w:val="04A0" w:firstRow="1" w:lastRow="0" w:firstColumn="1" w:lastColumn="0" w:noHBand="0" w:noVBand="1"/>
      </w:tblPr>
      <w:tblGrid>
        <w:gridCol w:w="2350"/>
        <w:gridCol w:w="2742"/>
        <w:gridCol w:w="1452"/>
        <w:gridCol w:w="1453"/>
        <w:gridCol w:w="1220"/>
        <w:gridCol w:w="971"/>
        <w:gridCol w:w="916"/>
        <w:gridCol w:w="739"/>
        <w:gridCol w:w="739"/>
        <w:gridCol w:w="739"/>
        <w:gridCol w:w="734"/>
      </w:tblGrid>
      <w:tr w:rsidR="008B6742" w:rsidRPr="00DC77E0" w14:paraId="6B4ACA67" w14:textId="77777777" w:rsidTr="00C107CD">
        <w:trPr>
          <w:trHeight w:val="288"/>
          <w:tblHeader/>
        </w:trPr>
        <w:tc>
          <w:tcPr>
            <w:tcW w:w="836" w:type="pct"/>
            <w:tcBorders>
              <w:top w:val="single" w:sz="4" w:space="0" w:color="auto"/>
              <w:left w:val="single" w:sz="4" w:space="0" w:color="auto"/>
              <w:bottom w:val="single" w:sz="4" w:space="0" w:color="auto"/>
              <w:right w:val="single" w:sz="4" w:space="0" w:color="auto"/>
            </w:tcBorders>
            <w:shd w:val="clear" w:color="70AD47" w:fill="70AD47"/>
            <w:hideMark/>
          </w:tcPr>
          <w:p w14:paraId="0FF7E36C" w14:textId="77777777" w:rsidR="008B6742" w:rsidRPr="00DC77E0" w:rsidRDefault="008B6742" w:rsidP="005A7661">
            <w:pPr>
              <w:spacing w:after="0"/>
              <w:jc w:val="center"/>
              <w:rPr>
                <w:rFonts w:cs="Calibri"/>
                <w:b/>
                <w:bCs/>
                <w:color w:val="000000"/>
                <w:lang w:eastAsia="fr-FR"/>
              </w:rPr>
            </w:pPr>
            <w:r w:rsidRPr="00DC77E0">
              <w:rPr>
                <w:rFonts w:cs="Calibri"/>
                <w:b/>
                <w:bCs/>
                <w:color w:val="000000"/>
                <w:lang w:eastAsia="fr-FR"/>
              </w:rPr>
              <w:t xml:space="preserve">Espèce (nom commun) </w:t>
            </w:r>
          </w:p>
        </w:tc>
        <w:tc>
          <w:tcPr>
            <w:tcW w:w="975" w:type="pct"/>
            <w:tcBorders>
              <w:top w:val="single" w:sz="4" w:space="0" w:color="auto"/>
              <w:left w:val="nil"/>
              <w:bottom w:val="single" w:sz="4" w:space="0" w:color="auto"/>
              <w:right w:val="single" w:sz="4" w:space="0" w:color="auto"/>
            </w:tcBorders>
            <w:shd w:val="clear" w:color="70AD47" w:fill="70AD47"/>
            <w:hideMark/>
          </w:tcPr>
          <w:p w14:paraId="33DC5690" w14:textId="77777777" w:rsidR="008B6742" w:rsidRPr="00DC77E0" w:rsidRDefault="008B6742" w:rsidP="005A7661">
            <w:pPr>
              <w:spacing w:after="0"/>
              <w:jc w:val="center"/>
              <w:rPr>
                <w:rFonts w:cs="Calibri"/>
                <w:b/>
                <w:bCs/>
                <w:color w:val="000000"/>
                <w:lang w:eastAsia="fr-FR"/>
              </w:rPr>
            </w:pPr>
            <w:r w:rsidRPr="00DC77E0">
              <w:rPr>
                <w:rFonts w:cs="Calibri"/>
                <w:b/>
                <w:bCs/>
                <w:color w:val="000000"/>
                <w:lang w:eastAsia="fr-FR"/>
              </w:rPr>
              <w:t>Espèce (nom scientifique)</w:t>
            </w:r>
          </w:p>
        </w:tc>
        <w:tc>
          <w:tcPr>
            <w:tcW w:w="517" w:type="pct"/>
            <w:tcBorders>
              <w:top w:val="single" w:sz="4" w:space="0" w:color="auto"/>
              <w:left w:val="nil"/>
              <w:bottom w:val="single" w:sz="4" w:space="0" w:color="auto"/>
              <w:right w:val="nil"/>
            </w:tcBorders>
            <w:shd w:val="clear" w:color="70AD47" w:fill="70AD47"/>
          </w:tcPr>
          <w:p w14:paraId="26F1B239" w14:textId="77777777" w:rsidR="008B6742" w:rsidRPr="00DC77E0" w:rsidRDefault="008B6742" w:rsidP="005A7661">
            <w:pPr>
              <w:spacing w:after="0"/>
              <w:jc w:val="center"/>
              <w:rPr>
                <w:rFonts w:cs="Calibri"/>
                <w:b/>
                <w:bCs/>
                <w:color w:val="000000"/>
                <w:lang w:eastAsia="fr-FR"/>
              </w:rPr>
            </w:pPr>
            <w:r w:rsidRPr="00424FDB">
              <w:rPr>
                <w:rFonts w:ascii="Aptos Narrow" w:hAnsi="Aptos Narrow" w:cs="Times New Roman"/>
                <w:b/>
                <w:bCs/>
                <w:color w:val="FFFFFF"/>
                <w:lang w:eastAsia="fr-FR"/>
              </w:rPr>
              <w:t>Zone</w:t>
            </w:r>
          </w:p>
        </w:tc>
        <w:tc>
          <w:tcPr>
            <w:tcW w:w="517" w:type="pct"/>
            <w:tcBorders>
              <w:top w:val="single" w:sz="4" w:space="0" w:color="auto"/>
              <w:left w:val="nil"/>
              <w:bottom w:val="single" w:sz="4" w:space="0" w:color="auto"/>
              <w:right w:val="single" w:sz="4" w:space="0" w:color="auto"/>
            </w:tcBorders>
            <w:shd w:val="clear" w:color="70AD47" w:fill="70AD47"/>
            <w:hideMark/>
          </w:tcPr>
          <w:p w14:paraId="214EFB5E" w14:textId="77777777" w:rsidR="008B6742" w:rsidRPr="00DC77E0" w:rsidRDefault="008B6742" w:rsidP="005A7661">
            <w:pPr>
              <w:spacing w:after="0"/>
              <w:jc w:val="center"/>
              <w:rPr>
                <w:rFonts w:cs="Calibri"/>
                <w:b/>
                <w:bCs/>
                <w:color w:val="000000"/>
                <w:lang w:eastAsia="fr-FR"/>
              </w:rPr>
            </w:pPr>
            <w:r w:rsidRPr="00DC77E0">
              <w:rPr>
                <w:rFonts w:cs="Calibri"/>
                <w:b/>
                <w:bCs/>
                <w:color w:val="000000"/>
                <w:lang w:eastAsia="fr-FR"/>
              </w:rPr>
              <w:t>Statut Phénologique</w:t>
            </w:r>
          </w:p>
        </w:tc>
        <w:tc>
          <w:tcPr>
            <w:tcW w:w="434" w:type="pct"/>
            <w:tcBorders>
              <w:top w:val="single" w:sz="4" w:space="0" w:color="auto"/>
              <w:left w:val="nil"/>
              <w:bottom w:val="single" w:sz="4" w:space="0" w:color="auto"/>
              <w:right w:val="single" w:sz="4" w:space="0" w:color="auto"/>
            </w:tcBorders>
            <w:shd w:val="clear" w:color="70AD47" w:fill="70AD47"/>
            <w:hideMark/>
          </w:tcPr>
          <w:p w14:paraId="6E0E03A3" w14:textId="77777777" w:rsidR="008B6742" w:rsidRPr="00DC77E0" w:rsidRDefault="008B6742" w:rsidP="005A7661">
            <w:pPr>
              <w:spacing w:after="0"/>
              <w:jc w:val="center"/>
              <w:rPr>
                <w:rFonts w:cs="Calibri"/>
                <w:b/>
                <w:bCs/>
                <w:color w:val="000000"/>
                <w:lang w:eastAsia="fr-FR"/>
              </w:rPr>
            </w:pPr>
            <w:r w:rsidRPr="00DC77E0">
              <w:rPr>
                <w:rFonts w:cs="Calibri"/>
                <w:b/>
                <w:bCs/>
                <w:color w:val="000000"/>
                <w:lang w:eastAsia="fr-FR"/>
              </w:rPr>
              <w:t xml:space="preserve">Arrêté </w:t>
            </w:r>
            <w:r>
              <w:rPr>
                <w:rFonts w:cs="Calibri"/>
                <w:b/>
                <w:bCs/>
                <w:color w:val="000000"/>
                <w:lang w:eastAsia="fr-FR"/>
              </w:rPr>
              <w:t>de chasse</w:t>
            </w:r>
          </w:p>
        </w:tc>
        <w:tc>
          <w:tcPr>
            <w:tcW w:w="345" w:type="pct"/>
            <w:tcBorders>
              <w:top w:val="single" w:sz="4" w:space="0" w:color="auto"/>
              <w:left w:val="nil"/>
              <w:bottom w:val="single" w:sz="4" w:space="0" w:color="auto"/>
              <w:right w:val="single" w:sz="4" w:space="0" w:color="auto"/>
            </w:tcBorders>
            <w:shd w:val="clear" w:color="70AD47" w:fill="70AD47"/>
            <w:hideMark/>
          </w:tcPr>
          <w:p w14:paraId="2AAE70CA" w14:textId="77777777" w:rsidR="008B6742" w:rsidRPr="00DC77E0" w:rsidRDefault="008B6742" w:rsidP="005A7661">
            <w:pPr>
              <w:spacing w:after="0"/>
              <w:jc w:val="center"/>
              <w:rPr>
                <w:rFonts w:cs="Calibri"/>
                <w:b/>
                <w:bCs/>
                <w:color w:val="000000"/>
                <w:lang w:eastAsia="fr-FR"/>
              </w:rPr>
            </w:pPr>
            <w:r w:rsidRPr="00DC77E0">
              <w:rPr>
                <w:rFonts w:cs="Calibri"/>
                <w:b/>
                <w:bCs/>
                <w:color w:val="000000"/>
                <w:lang w:eastAsia="fr-FR"/>
              </w:rPr>
              <w:t>Loi 29-05</w:t>
            </w:r>
          </w:p>
        </w:tc>
        <w:tc>
          <w:tcPr>
            <w:tcW w:w="326" w:type="pct"/>
            <w:tcBorders>
              <w:top w:val="single" w:sz="4" w:space="0" w:color="auto"/>
              <w:left w:val="nil"/>
              <w:bottom w:val="single" w:sz="4" w:space="0" w:color="auto"/>
              <w:right w:val="single" w:sz="4" w:space="0" w:color="auto"/>
            </w:tcBorders>
            <w:shd w:val="clear" w:color="70AD47" w:fill="70AD47"/>
            <w:hideMark/>
          </w:tcPr>
          <w:p w14:paraId="0129B081" w14:textId="77777777" w:rsidR="008B6742" w:rsidRPr="00DC77E0" w:rsidRDefault="008B6742" w:rsidP="005A7661">
            <w:pPr>
              <w:spacing w:after="0"/>
              <w:jc w:val="center"/>
              <w:rPr>
                <w:rFonts w:cs="Calibri"/>
                <w:b/>
                <w:bCs/>
                <w:color w:val="000000"/>
                <w:lang w:eastAsia="fr-FR"/>
              </w:rPr>
            </w:pPr>
            <w:r w:rsidRPr="00DC77E0">
              <w:rPr>
                <w:rFonts w:cs="Calibri"/>
                <w:b/>
                <w:bCs/>
                <w:color w:val="000000"/>
                <w:lang w:eastAsia="fr-FR"/>
              </w:rPr>
              <w:t>UICN Monde</w:t>
            </w:r>
          </w:p>
        </w:tc>
        <w:tc>
          <w:tcPr>
            <w:tcW w:w="263" w:type="pct"/>
            <w:tcBorders>
              <w:top w:val="single" w:sz="4" w:space="0" w:color="auto"/>
              <w:left w:val="nil"/>
              <w:bottom w:val="single" w:sz="4" w:space="0" w:color="auto"/>
              <w:right w:val="single" w:sz="4" w:space="0" w:color="auto"/>
            </w:tcBorders>
            <w:shd w:val="clear" w:color="70AD47" w:fill="70AD47"/>
            <w:hideMark/>
          </w:tcPr>
          <w:p w14:paraId="37650467" w14:textId="77777777" w:rsidR="008B6742" w:rsidRPr="00DC77E0" w:rsidRDefault="008B6742" w:rsidP="005A7661">
            <w:pPr>
              <w:spacing w:after="0"/>
              <w:jc w:val="center"/>
              <w:rPr>
                <w:rFonts w:cs="Calibri"/>
                <w:b/>
                <w:bCs/>
                <w:color w:val="000000"/>
                <w:lang w:eastAsia="fr-FR"/>
              </w:rPr>
            </w:pPr>
            <w:r w:rsidRPr="00DC77E0">
              <w:rPr>
                <w:rFonts w:cs="Calibri"/>
                <w:b/>
                <w:bCs/>
                <w:color w:val="000000"/>
                <w:lang w:eastAsia="fr-FR"/>
              </w:rPr>
              <w:t>UICN Med</w:t>
            </w:r>
          </w:p>
        </w:tc>
        <w:tc>
          <w:tcPr>
            <w:tcW w:w="263" w:type="pct"/>
            <w:tcBorders>
              <w:top w:val="single" w:sz="4" w:space="0" w:color="auto"/>
              <w:left w:val="nil"/>
              <w:bottom w:val="single" w:sz="4" w:space="0" w:color="auto"/>
              <w:right w:val="single" w:sz="4" w:space="0" w:color="auto"/>
            </w:tcBorders>
            <w:shd w:val="clear" w:color="70AD47" w:fill="70AD47"/>
            <w:hideMark/>
          </w:tcPr>
          <w:p w14:paraId="3966BE75" w14:textId="77777777" w:rsidR="008B6742" w:rsidRPr="00DC77E0" w:rsidRDefault="008B6742" w:rsidP="005A7661">
            <w:pPr>
              <w:spacing w:after="0"/>
              <w:jc w:val="center"/>
              <w:rPr>
                <w:rFonts w:cs="Calibri"/>
                <w:b/>
                <w:bCs/>
                <w:color w:val="000000"/>
                <w:lang w:eastAsia="fr-FR"/>
              </w:rPr>
            </w:pPr>
            <w:r w:rsidRPr="00DC77E0">
              <w:rPr>
                <w:rFonts w:cs="Calibri"/>
                <w:b/>
                <w:bCs/>
                <w:color w:val="000000"/>
                <w:lang w:eastAsia="fr-FR"/>
              </w:rPr>
              <w:t>CITES</w:t>
            </w:r>
          </w:p>
        </w:tc>
        <w:tc>
          <w:tcPr>
            <w:tcW w:w="263" w:type="pct"/>
            <w:tcBorders>
              <w:top w:val="single" w:sz="4" w:space="0" w:color="auto"/>
              <w:left w:val="nil"/>
              <w:bottom w:val="single" w:sz="4" w:space="0" w:color="auto"/>
              <w:right w:val="single" w:sz="4" w:space="0" w:color="auto"/>
            </w:tcBorders>
            <w:shd w:val="clear" w:color="70AD47" w:fill="70AD47"/>
            <w:hideMark/>
          </w:tcPr>
          <w:p w14:paraId="35A5680B" w14:textId="77777777" w:rsidR="008B6742" w:rsidRPr="00DC77E0" w:rsidRDefault="008B6742" w:rsidP="005A7661">
            <w:pPr>
              <w:spacing w:after="0"/>
              <w:jc w:val="center"/>
              <w:rPr>
                <w:rFonts w:cs="Calibri"/>
                <w:b/>
                <w:bCs/>
                <w:color w:val="000000"/>
                <w:lang w:eastAsia="fr-FR"/>
              </w:rPr>
            </w:pPr>
            <w:r w:rsidRPr="00DC77E0">
              <w:rPr>
                <w:rFonts w:cs="Calibri"/>
                <w:b/>
                <w:bCs/>
                <w:color w:val="000000"/>
                <w:lang w:eastAsia="fr-FR"/>
              </w:rPr>
              <w:t>C. Berne</w:t>
            </w:r>
          </w:p>
        </w:tc>
        <w:tc>
          <w:tcPr>
            <w:tcW w:w="262" w:type="pct"/>
            <w:tcBorders>
              <w:top w:val="single" w:sz="4" w:space="0" w:color="auto"/>
              <w:left w:val="nil"/>
              <w:bottom w:val="single" w:sz="4" w:space="0" w:color="auto"/>
              <w:right w:val="single" w:sz="4" w:space="0" w:color="auto"/>
            </w:tcBorders>
            <w:shd w:val="clear" w:color="70AD47" w:fill="70AD47"/>
            <w:hideMark/>
          </w:tcPr>
          <w:p w14:paraId="25954A29" w14:textId="77777777" w:rsidR="008B6742" w:rsidRPr="00DC77E0" w:rsidRDefault="008B6742" w:rsidP="005A7661">
            <w:pPr>
              <w:spacing w:after="0"/>
              <w:jc w:val="center"/>
              <w:rPr>
                <w:rFonts w:cs="Calibri"/>
                <w:b/>
                <w:bCs/>
                <w:color w:val="000000"/>
                <w:lang w:eastAsia="fr-FR"/>
              </w:rPr>
            </w:pPr>
            <w:r w:rsidRPr="00DC77E0">
              <w:rPr>
                <w:rFonts w:cs="Calibri"/>
                <w:b/>
                <w:bCs/>
                <w:color w:val="000000"/>
                <w:lang w:eastAsia="fr-FR"/>
              </w:rPr>
              <w:t>CMS</w:t>
            </w:r>
          </w:p>
        </w:tc>
      </w:tr>
      <w:tr w:rsidR="00C107CD" w:rsidRPr="00DC77E0" w14:paraId="3ED4A5CF" w14:textId="77777777" w:rsidTr="00C107CD">
        <w:trPr>
          <w:trHeight w:val="288"/>
        </w:trPr>
        <w:tc>
          <w:tcPr>
            <w:tcW w:w="836" w:type="pct"/>
            <w:tcBorders>
              <w:top w:val="single" w:sz="4" w:space="0" w:color="auto"/>
              <w:left w:val="single" w:sz="4" w:space="0" w:color="auto"/>
              <w:bottom w:val="single" w:sz="4" w:space="0" w:color="auto"/>
              <w:right w:val="single" w:sz="4" w:space="0" w:color="auto"/>
            </w:tcBorders>
            <w:noWrap/>
            <w:vAlign w:val="bottom"/>
            <w:hideMark/>
          </w:tcPr>
          <w:p w14:paraId="2F43C482" w14:textId="77777777" w:rsidR="008B6742" w:rsidRPr="00DC77E0" w:rsidRDefault="008B6742" w:rsidP="005A7661">
            <w:pPr>
              <w:spacing w:after="0"/>
              <w:jc w:val="left"/>
              <w:rPr>
                <w:rFonts w:cs="Calibri"/>
                <w:color w:val="000000"/>
                <w:lang w:eastAsia="fr-FR"/>
              </w:rPr>
            </w:pPr>
            <w:r w:rsidRPr="00DC77E0">
              <w:rPr>
                <w:rFonts w:cs="Calibri"/>
                <w:color w:val="000000"/>
                <w:lang w:eastAsia="fr-FR"/>
              </w:rPr>
              <w:t>Aigle de Bonelli</w:t>
            </w:r>
          </w:p>
        </w:tc>
        <w:tc>
          <w:tcPr>
            <w:tcW w:w="975" w:type="pct"/>
            <w:tcBorders>
              <w:top w:val="single" w:sz="4" w:space="0" w:color="auto"/>
              <w:left w:val="single" w:sz="4" w:space="0" w:color="auto"/>
              <w:bottom w:val="single" w:sz="4" w:space="0" w:color="auto"/>
              <w:right w:val="single" w:sz="4" w:space="0" w:color="auto"/>
            </w:tcBorders>
            <w:noWrap/>
            <w:vAlign w:val="bottom"/>
            <w:hideMark/>
          </w:tcPr>
          <w:p w14:paraId="55D68911" w14:textId="77777777" w:rsidR="008B6742" w:rsidRPr="00DC77E0" w:rsidRDefault="008B6742" w:rsidP="005A7661">
            <w:pPr>
              <w:spacing w:after="0"/>
              <w:jc w:val="left"/>
              <w:rPr>
                <w:rFonts w:cs="Calibri"/>
                <w:i/>
                <w:iCs/>
                <w:color w:val="000000"/>
                <w:lang w:eastAsia="fr-FR"/>
              </w:rPr>
            </w:pPr>
            <w:r w:rsidRPr="00DC77E0">
              <w:rPr>
                <w:rFonts w:cs="Calibri"/>
                <w:i/>
                <w:iCs/>
                <w:color w:val="000000"/>
                <w:lang w:eastAsia="fr-FR"/>
              </w:rPr>
              <w:t>Aquila faciata</w:t>
            </w:r>
          </w:p>
        </w:tc>
        <w:tc>
          <w:tcPr>
            <w:tcW w:w="517" w:type="pct"/>
            <w:tcBorders>
              <w:top w:val="single" w:sz="4" w:space="0" w:color="auto"/>
              <w:left w:val="single" w:sz="4" w:space="0" w:color="auto"/>
              <w:bottom w:val="single" w:sz="4" w:space="0" w:color="auto"/>
              <w:right w:val="single" w:sz="4" w:space="0" w:color="auto"/>
            </w:tcBorders>
            <w:vAlign w:val="center"/>
          </w:tcPr>
          <w:p w14:paraId="225522DA" w14:textId="77777777" w:rsidR="008B6742" w:rsidRPr="00DC77E0" w:rsidRDefault="008B6742" w:rsidP="005A7661">
            <w:pPr>
              <w:spacing w:after="0"/>
              <w:jc w:val="center"/>
              <w:rPr>
                <w:rFonts w:ascii="Arial" w:hAnsi="Arial"/>
                <w:color w:val="000000"/>
                <w:sz w:val="18"/>
                <w:szCs w:val="18"/>
                <w:lang w:eastAsia="fr-FR"/>
              </w:rPr>
            </w:pPr>
            <w:r w:rsidRPr="00424FDB">
              <w:rPr>
                <w:rFonts w:ascii="Aptos Narrow" w:hAnsi="Aptos Narrow" w:cs="Times New Roman"/>
                <w:color w:val="000000"/>
                <w:lang w:eastAsia="fr-FR"/>
              </w:rPr>
              <w:t>ZA</w:t>
            </w:r>
          </w:p>
        </w:tc>
        <w:tc>
          <w:tcPr>
            <w:tcW w:w="517" w:type="pct"/>
            <w:tcBorders>
              <w:top w:val="single" w:sz="4" w:space="0" w:color="auto"/>
              <w:left w:val="single" w:sz="4" w:space="0" w:color="auto"/>
              <w:bottom w:val="single" w:sz="4" w:space="0" w:color="auto"/>
              <w:right w:val="single" w:sz="4" w:space="0" w:color="auto"/>
            </w:tcBorders>
            <w:vAlign w:val="center"/>
            <w:hideMark/>
          </w:tcPr>
          <w:p w14:paraId="3726B839" w14:textId="77777777" w:rsidR="008B6742" w:rsidRPr="00DC77E0" w:rsidRDefault="008B6742" w:rsidP="005A7661">
            <w:pPr>
              <w:spacing w:after="0"/>
              <w:jc w:val="center"/>
              <w:rPr>
                <w:rFonts w:ascii="Arial" w:hAnsi="Arial"/>
                <w:color w:val="000000"/>
                <w:sz w:val="18"/>
                <w:szCs w:val="18"/>
                <w:lang w:eastAsia="fr-FR"/>
              </w:rPr>
            </w:pPr>
            <w:r w:rsidRPr="00DC77E0">
              <w:rPr>
                <w:rFonts w:ascii="Arial" w:hAnsi="Arial"/>
                <w:color w:val="000000"/>
                <w:sz w:val="18"/>
                <w:szCs w:val="18"/>
                <w:lang w:eastAsia="fr-FR"/>
              </w:rPr>
              <w:t>NS</w:t>
            </w:r>
          </w:p>
        </w:tc>
        <w:tc>
          <w:tcPr>
            <w:tcW w:w="434" w:type="pct"/>
            <w:tcBorders>
              <w:top w:val="single" w:sz="4" w:space="0" w:color="auto"/>
              <w:left w:val="single" w:sz="4" w:space="0" w:color="auto"/>
              <w:bottom w:val="single" w:sz="4" w:space="0" w:color="auto"/>
              <w:right w:val="single" w:sz="4" w:space="0" w:color="auto"/>
            </w:tcBorders>
            <w:vAlign w:val="center"/>
            <w:hideMark/>
          </w:tcPr>
          <w:p w14:paraId="637630EE" w14:textId="77777777" w:rsidR="008B6742" w:rsidRPr="00DC77E0" w:rsidRDefault="008B6742" w:rsidP="005A7661">
            <w:pPr>
              <w:spacing w:after="0"/>
              <w:jc w:val="center"/>
              <w:rPr>
                <w:rFonts w:ascii="Arial" w:hAnsi="Arial"/>
                <w:color w:val="000000"/>
                <w:sz w:val="18"/>
                <w:szCs w:val="18"/>
                <w:lang w:eastAsia="fr-FR"/>
              </w:rPr>
            </w:pPr>
            <w:r w:rsidRPr="00DC77E0">
              <w:rPr>
                <w:rFonts w:ascii="Arial" w:hAnsi="Arial"/>
                <w:color w:val="000000"/>
                <w:sz w:val="18"/>
                <w:szCs w:val="18"/>
                <w:lang w:eastAsia="fr-FR"/>
              </w:rPr>
              <w:t>Protégée</w:t>
            </w:r>
          </w:p>
        </w:tc>
        <w:tc>
          <w:tcPr>
            <w:tcW w:w="345" w:type="pct"/>
            <w:tcBorders>
              <w:top w:val="single" w:sz="4" w:space="0" w:color="auto"/>
              <w:left w:val="single" w:sz="4" w:space="0" w:color="auto"/>
              <w:bottom w:val="single" w:sz="4" w:space="0" w:color="auto"/>
              <w:right w:val="single" w:sz="4" w:space="0" w:color="auto"/>
            </w:tcBorders>
            <w:vAlign w:val="center"/>
            <w:hideMark/>
          </w:tcPr>
          <w:p w14:paraId="48400C94" w14:textId="77777777" w:rsidR="008B6742" w:rsidRPr="00DC77E0" w:rsidRDefault="008B6742" w:rsidP="005A7661">
            <w:pPr>
              <w:spacing w:after="0"/>
              <w:jc w:val="center"/>
              <w:rPr>
                <w:rFonts w:ascii="Arial" w:hAnsi="Arial"/>
                <w:color w:val="000000"/>
                <w:sz w:val="18"/>
                <w:szCs w:val="18"/>
                <w:lang w:eastAsia="fr-FR"/>
              </w:rPr>
            </w:pPr>
            <w:r w:rsidRPr="00DC77E0">
              <w:rPr>
                <w:rFonts w:ascii="Arial" w:hAnsi="Arial"/>
                <w:color w:val="000000"/>
                <w:sz w:val="18"/>
                <w:szCs w:val="18"/>
                <w:lang w:eastAsia="fr-FR"/>
              </w:rPr>
              <w:t>Catégorie. II</w:t>
            </w:r>
          </w:p>
        </w:tc>
        <w:tc>
          <w:tcPr>
            <w:tcW w:w="326" w:type="pct"/>
            <w:tcBorders>
              <w:top w:val="single" w:sz="4" w:space="0" w:color="auto"/>
              <w:left w:val="single" w:sz="4" w:space="0" w:color="auto"/>
              <w:bottom w:val="single" w:sz="4" w:space="0" w:color="auto"/>
              <w:right w:val="single" w:sz="4" w:space="0" w:color="auto"/>
            </w:tcBorders>
            <w:vAlign w:val="center"/>
            <w:hideMark/>
          </w:tcPr>
          <w:p w14:paraId="5C2F55BE" w14:textId="77777777" w:rsidR="008B6742" w:rsidRPr="00DC77E0" w:rsidRDefault="008B6742" w:rsidP="005A7661">
            <w:pPr>
              <w:spacing w:after="0"/>
              <w:jc w:val="center"/>
              <w:rPr>
                <w:rFonts w:ascii="Arial" w:hAnsi="Arial"/>
                <w:color w:val="000000"/>
                <w:sz w:val="18"/>
                <w:szCs w:val="18"/>
                <w:lang w:eastAsia="fr-FR"/>
              </w:rPr>
            </w:pPr>
            <w:r w:rsidRPr="00DC77E0">
              <w:rPr>
                <w:rFonts w:ascii="Arial" w:hAnsi="Arial"/>
                <w:color w:val="000000"/>
                <w:sz w:val="18"/>
                <w:szCs w:val="18"/>
                <w:lang w:eastAsia="fr-FR"/>
              </w:rPr>
              <w:t>LC</w:t>
            </w:r>
          </w:p>
        </w:tc>
        <w:tc>
          <w:tcPr>
            <w:tcW w:w="263" w:type="pct"/>
            <w:tcBorders>
              <w:top w:val="single" w:sz="4" w:space="0" w:color="auto"/>
              <w:left w:val="single" w:sz="4" w:space="0" w:color="auto"/>
              <w:bottom w:val="single" w:sz="4" w:space="0" w:color="auto"/>
              <w:right w:val="single" w:sz="4" w:space="0" w:color="auto"/>
            </w:tcBorders>
            <w:vAlign w:val="center"/>
            <w:hideMark/>
          </w:tcPr>
          <w:p w14:paraId="1EF93AE8" w14:textId="77777777" w:rsidR="008B6742" w:rsidRPr="00DC77E0" w:rsidRDefault="008B6742" w:rsidP="005A7661">
            <w:pPr>
              <w:spacing w:after="0"/>
              <w:jc w:val="center"/>
              <w:rPr>
                <w:rFonts w:ascii="Arial" w:hAnsi="Arial"/>
                <w:color w:val="000000"/>
                <w:sz w:val="18"/>
                <w:szCs w:val="18"/>
                <w:lang w:eastAsia="fr-FR"/>
              </w:rPr>
            </w:pPr>
            <w:r w:rsidRPr="00DC77E0">
              <w:rPr>
                <w:rFonts w:ascii="Arial" w:hAnsi="Arial"/>
                <w:color w:val="000000"/>
                <w:sz w:val="18"/>
                <w:szCs w:val="18"/>
                <w:lang w:eastAsia="fr-FR"/>
              </w:rPr>
              <w:t>LC</w:t>
            </w:r>
          </w:p>
        </w:tc>
        <w:tc>
          <w:tcPr>
            <w:tcW w:w="263" w:type="pct"/>
            <w:tcBorders>
              <w:top w:val="single" w:sz="4" w:space="0" w:color="auto"/>
              <w:left w:val="single" w:sz="4" w:space="0" w:color="auto"/>
              <w:bottom w:val="single" w:sz="4" w:space="0" w:color="auto"/>
              <w:right w:val="single" w:sz="4" w:space="0" w:color="auto"/>
            </w:tcBorders>
            <w:vAlign w:val="center"/>
            <w:hideMark/>
          </w:tcPr>
          <w:p w14:paraId="5A55AACD" w14:textId="77777777" w:rsidR="008B6742" w:rsidRPr="00DC77E0" w:rsidRDefault="008B6742" w:rsidP="005A7661">
            <w:pPr>
              <w:spacing w:after="0"/>
              <w:jc w:val="center"/>
              <w:rPr>
                <w:rFonts w:ascii="Arial" w:hAnsi="Arial"/>
                <w:color w:val="000000"/>
                <w:sz w:val="18"/>
                <w:szCs w:val="18"/>
                <w:lang w:eastAsia="fr-FR"/>
              </w:rPr>
            </w:pPr>
            <w:r w:rsidRPr="00DC77E0">
              <w:rPr>
                <w:rFonts w:ascii="Arial" w:hAnsi="Arial"/>
                <w:color w:val="000000"/>
                <w:sz w:val="18"/>
                <w:szCs w:val="18"/>
                <w:lang w:eastAsia="fr-FR"/>
              </w:rPr>
              <w:t>An. II</w:t>
            </w:r>
          </w:p>
        </w:tc>
        <w:tc>
          <w:tcPr>
            <w:tcW w:w="263" w:type="pct"/>
            <w:tcBorders>
              <w:top w:val="single" w:sz="4" w:space="0" w:color="auto"/>
              <w:left w:val="single" w:sz="4" w:space="0" w:color="auto"/>
              <w:bottom w:val="single" w:sz="4" w:space="0" w:color="auto"/>
              <w:right w:val="single" w:sz="4" w:space="0" w:color="auto"/>
            </w:tcBorders>
            <w:vAlign w:val="center"/>
            <w:hideMark/>
          </w:tcPr>
          <w:p w14:paraId="2386501E" w14:textId="77777777" w:rsidR="008B6742" w:rsidRPr="00DC77E0" w:rsidRDefault="008B6742" w:rsidP="005A7661">
            <w:pPr>
              <w:spacing w:after="0"/>
              <w:jc w:val="center"/>
              <w:rPr>
                <w:rFonts w:ascii="Arial" w:hAnsi="Arial"/>
                <w:color w:val="000000"/>
                <w:sz w:val="18"/>
                <w:szCs w:val="18"/>
                <w:lang w:eastAsia="fr-FR"/>
              </w:rPr>
            </w:pPr>
            <w:r w:rsidRPr="00DC77E0">
              <w:rPr>
                <w:rFonts w:ascii="Arial" w:hAnsi="Arial"/>
                <w:color w:val="000000"/>
                <w:sz w:val="18"/>
                <w:szCs w:val="18"/>
                <w:lang w:eastAsia="fr-FR"/>
              </w:rPr>
              <w:t>An. III</w:t>
            </w:r>
          </w:p>
        </w:tc>
        <w:tc>
          <w:tcPr>
            <w:tcW w:w="262" w:type="pct"/>
            <w:tcBorders>
              <w:top w:val="single" w:sz="4" w:space="0" w:color="auto"/>
              <w:left w:val="single" w:sz="4" w:space="0" w:color="auto"/>
              <w:bottom w:val="single" w:sz="4" w:space="0" w:color="auto"/>
              <w:right w:val="single" w:sz="4" w:space="0" w:color="auto"/>
            </w:tcBorders>
            <w:vAlign w:val="center"/>
            <w:hideMark/>
          </w:tcPr>
          <w:p w14:paraId="72BC59F9" w14:textId="77777777" w:rsidR="008B6742" w:rsidRPr="00DC77E0" w:rsidRDefault="008B6742" w:rsidP="005A7661">
            <w:pPr>
              <w:spacing w:after="0"/>
              <w:jc w:val="center"/>
              <w:rPr>
                <w:rFonts w:ascii="Arial" w:hAnsi="Arial"/>
                <w:color w:val="000000"/>
                <w:sz w:val="18"/>
                <w:szCs w:val="18"/>
                <w:lang w:eastAsia="fr-FR"/>
              </w:rPr>
            </w:pPr>
            <w:r w:rsidRPr="00DC77E0">
              <w:rPr>
                <w:rFonts w:ascii="Arial" w:hAnsi="Arial"/>
                <w:color w:val="000000"/>
                <w:sz w:val="18"/>
                <w:szCs w:val="18"/>
                <w:lang w:eastAsia="fr-FR"/>
              </w:rPr>
              <w:t>An. II</w:t>
            </w:r>
          </w:p>
        </w:tc>
      </w:tr>
      <w:tr w:rsidR="00C107CD" w:rsidRPr="00DC77E0" w14:paraId="1EF45E64" w14:textId="77777777" w:rsidTr="00C107CD">
        <w:trPr>
          <w:trHeight w:val="288"/>
        </w:trPr>
        <w:tc>
          <w:tcPr>
            <w:tcW w:w="836" w:type="pct"/>
            <w:tcBorders>
              <w:top w:val="single" w:sz="4" w:space="0" w:color="auto"/>
              <w:left w:val="single" w:sz="4" w:space="0" w:color="auto"/>
              <w:bottom w:val="single" w:sz="4" w:space="0" w:color="auto"/>
              <w:right w:val="single" w:sz="4" w:space="0" w:color="auto"/>
            </w:tcBorders>
            <w:noWrap/>
            <w:vAlign w:val="bottom"/>
            <w:hideMark/>
          </w:tcPr>
          <w:p w14:paraId="7EE9D5E1" w14:textId="77777777" w:rsidR="008B6742" w:rsidRPr="00DC77E0" w:rsidRDefault="008B6742" w:rsidP="005A7661">
            <w:pPr>
              <w:spacing w:after="0"/>
              <w:jc w:val="left"/>
              <w:rPr>
                <w:rFonts w:cs="Calibri"/>
                <w:color w:val="000000"/>
                <w:lang w:eastAsia="fr-FR"/>
              </w:rPr>
            </w:pPr>
            <w:r w:rsidRPr="00DC77E0">
              <w:rPr>
                <w:rFonts w:cs="Calibri"/>
                <w:color w:val="000000"/>
                <w:lang w:eastAsia="fr-FR"/>
              </w:rPr>
              <w:t>Avocette élégante</w:t>
            </w:r>
          </w:p>
        </w:tc>
        <w:tc>
          <w:tcPr>
            <w:tcW w:w="975" w:type="pct"/>
            <w:tcBorders>
              <w:top w:val="single" w:sz="4" w:space="0" w:color="auto"/>
              <w:left w:val="single" w:sz="4" w:space="0" w:color="auto"/>
              <w:bottom w:val="single" w:sz="4" w:space="0" w:color="auto"/>
              <w:right w:val="single" w:sz="4" w:space="0" w:color="auto"/>
            </w:tcBorders>
            <w:noWrap/>
            <w:vAlign w:val="bottom"/>
            <w:hideMark/>
          </w:tcPr>
          <w:p w14:paraId="6BBF1737" w14:textId="77777777" w:rsidR="008B6742" w:rsidRPr="00DC77E0" w:rsidRDefault="008B6742" w:rsidP="005A7661">
            <w:pPr>
              <w:spacing w:after="0"/>
              <w:jc w:val="left"/>
              <w:rPr>
                <w:rFonts w:cs="Calibri"/>
                <w:i/>
                <w:iCs/>
                <w:color w:val="000000"/>
                <w:lang w:eastAsia="fr-FR"/>
              </w:rPr>
            </w:pPr>
            <w:r w:rsidRPr="00DC77E0">
              <w:rPr>
                <w:rFonts w:cs="Calibri"/>
                <w:i/>
                <w:iCs/>
                <w:color w:val="000000"/>
                <w:lang w:eastAsia="fr-FR"/>
              </w:rPr>
              <w:t>Recurvirostra avosetta</w:t>
            </w:r>
          </w:p>
        </w:tc>
        <w:tc>
          <w:tcPr>
            <w:tcW w:w="517" w:type="pct"/>
            <w:tcBorders>
              <w:top w:val="single" w:sz="4" w:space="0" w:color="auto"/>
              <w:left w:val="single" w:sz="4" w:space="0" w:color="auto"/>
              <w:bottom w:val="single" w:sz="4" w:space="0" w:color="auto"/>
              <w:right w:val="single" w:sz="4" w:space="0" w:color="auto"/>
            </w:tcBorders>
            <w:vAlign w:val="center"/>
          </w:tcPr>
          <w:p w14:paraId="1CEA8A33" w14:textId="77777777" w:rsidR="008B6742" w:rsidRPr="00DC77E0" w:rsidRDefault="008B6742" w:rsidP="005A7661">
            <w:pPr>
              <w:spacing w:after="0"/>
              <w:jc w:val="center"/>
              <w:rPr>
                <w:rFonts w:ascii="Arial" w:hAnsi="Arial"/>
                <w:color w:val="000000"/>
                <w:sz w:val="18"/>
                <w:szCs w:val="18"/>
                <w:lang w:eastAsia="fr-FR"/>
              </w:rPr>
            </w:pPr>
            <w:r w:rsidRPr="00424FDB">
              <w:rPr>
                <w:rFonts w:ascii="Aptos Narrow" w:hAnsi="Aptos Narrow" w:cs="Times New Roman"/>
                <w:color w:val="000000"/>
                <w:lang w:eastAsia="fr-FR"/>
              </w:rPr>
              <w:t>ZA</w:t>
            </w:r>
          </w:p>
        </w:tc>
        <w:tc>
          <w:tcPr>
            <w:tcW w:w="517" w:type="pct"/>
            <w:tcBorders>
              <w:top w:val="single" w:sz="4" w:space="0" w:color="auto"/>
              <w:left w:val="single" w:sz="4" w:space="0" w:color="auto"/>
              <w:bottom w:val="single" w:sz="4" w:space="0" w:color="auto"/>
              <w:right w:val="single" w:sz="4" w:space="0" w:color="auto"/>
            </w:tcBorders>
            <w:vAlign w:val="center"/>
            <w:hideMark/>
          </w:tcPr>
          <w:p w14:paraId="6CC48BAF" w14:textId="77777777" w:rsidR="008B6742" w:rsidRPr="00DC77E0" w:rsidRDefault="008B6742" w:rsidP="005A7661">
            <w:pPr>
              <w:spacing w:after="0"/>
              <w:jc w:val="center"/>
              <w:rPr>
                <w:rFonts w:ascii="Arial" w:hAnsi="Arial"/>
                <w:color w:val="000000"/>
                <w:sz w:val="18"/>
                <w:szCs w:val="18"/>
                <w:lang w:eastAsia="fr-FR"/>
              </w:rPr>
            </w:pPr>
            <w:r w:rsidRPr="00DC77E0">
              <w:rPr>
                <w:rFonts w:ascii="Arial" w:hAnsi="Arial"/>
                <w:color w:val="000000"/>
                <w:sz w:val="18"/>
                <w:szCs w:val="18"/>
                <w:lang w:eastAsia="fr-FR"/>
              </w:rPr>
              <w:t>MP, NM, H</w:t>
            </w:r>
          </w:p>
        </w:tc>
        <w:tc>
          <w:tcPr>
            <w:tcW w:w="434" w:type="pct"/>
            <w:tcBorders>
              <w:top w:val="single" w:sz="4" w:space="0" w:color="auto"/>
              <w:left w:val="single" w:sz="4" w:space="0" w:color="auto"/>
              <w:bottom w:val="single" w:sz="4" w:space="0" w:color="auto"/>
              <w:right w:val="single" w:sz="4" w:space="0" w:color="auto"/>
            </w:tcBorders>
            <w:vAlign w:val="center"/>
            <w:hideMark/>
          </w:tcPr>
          <w:p w14:paraId="4B2FAB84" w14:textId="77777777" w:rsidR="008B6742" w:rsidRPr="00DC77E0" w:rsidRDefault="008B6742" w:rsidP="005A7661">
            <w:pPr>
              <w:spacing w:after="0"/>
              <w:jc w:val="center"/>
              <w:rPr>
                <w:rFonts w:ascii="Arial" w:hAnsi="Arial"/>
                <w:color w:val="000000"/>
                <w:sz w:val="18"/>
                <w:szCs w:val="18"/>
                <w:lang w:eastAsia="fr-FR"/>
              </w:rPr>
            </w:pPr>
            <w:r w:rsidRPr="00DC77E0">
              <w:rPr>
                <w:rFonts w:ascii="Arial" w:hAnsi="Arial"/>
                <w:color w:val="000000"/>
                <w:sz w:val="18"/>
                <w:szCs w:val="18"/>
                <w:lang w:eastAsia="fr-FR"/>
              </w:rPr>
              <w:t>-</w:t>
            </w:r>
          </w:p>
        </w:tc>
        <w:tc>
          <w:tcPr>
            <w:tcW w:w="345" w:type="pct"/>
            <w:tcBorders>
              <w:top w:val="single" w:sz="4" w:space="0" w:color="auto"/>
              <w:left w:val="single" w:sz="4" w:space="0" w:color="auto"/>
              <w:bottom w:val="single" w:sz="4" w:space="0" w:color="auto"/>
              <w:right w:val="single" w:sz="4" w:space="0" w:color="auto"/>
            </w:tcBorders>
            <w:vAlign w:val="center"/>
            <w:hideMark/>
          </w:tcPr>
          <w:p w14:paraId="7ED3B300" w14:textId="77777777" w:rsidR="008B6742" w:rsidRPr="00DC77E0" w:rsidRDefault="008B6742" w:rsidP="005A7661">
            <w:pPr>
              <w:spacing w:after="0"/>
              <w:jc w:val="center"/>
              <w:rPr>
                <w:rFonts w:ascii="Arial" w:hAnsi="Arial"/>
                <w:color w:val="000000"/>
                <w:sz w:val="18"/>
                <w:szCs w:val="18"/>
                <w:lang w:eastAsia="fr-FR"/>
              </w:rPr>
            </w:pPr>
            <w:r w:rsidRPr="00DC77E0">
              <w:rPr>
                <w:rFonts w:ascii="Arial" w:hAnsi="Arial"/>
                <w:color w:val="000000"/>
                <w:sz w:val="18"/>
                <w:szCs w:val="18"/>
                <w:lang w:eastAsia="fr-FR"/>
              </w:rPr>
              <w:t>-</w:t>
            </w:r>
          </w:p>
        </w:tc>
        <w:tc>
          <w:tcPr>
            <w:tcW w:w="326" w:type="pct"/>
            <w:tcBorders>
              <w:top w:val="single" w:sz="4" w:space="0" w:color="auto"/>
              <w:left w:val="single" w:sz="4" w:space="0" w:color="auto"/>
              <w:bottom w:val="single" w:sz="4" w:space="0" w:color="auto"/>
              <w:right w:val="single" w:sz="4" w:space="0" w:color="auto"/>
            </w:tcBorders>
            <w:vAlign w:val="center"/>
            <w:hideMark/>
          </w:tcPr>
          <w:p w14:paraId="1A871537" w14:textId="77777777" w:rsidR="008B6742" w:rsidRPr="00DC77E0" w:rsidRDefault="008B6742" w:rsidP="005A7661">
            <w:pPr>
              <w:spacing w:after="0"/>
              <w:jc w:val="center"/>
              <w:rPr>
                <w:rFonts w:ascii="Arial" w:hAnsi="Arial"/>
                <w:color w:val="000000"/>
                <w:sz w:val="18"/>
                <w:szCs w:val="18"/>
                <w:lang w:eastAsia="fr-FR"/>
              </w:rPr>
            </w:pPr>
            <w:r w:rsidRPr="00DC77E0">
              <w:rPr>
                <w:rFonts w:ascii="Arial" w:hAnsi="Arial"/>
                <w:color w:val="000000"/>
                <w:sz w:val="18"/>
                <w:szCs w:val="18"/>
                <w:lang w:eastAsia="fr-FR"/>
              </w:rPr>
              <w:t>LC</w:t>
            </w:r>
          </w:p>
        </w:tc>
        <w:tc>
          <w:tcPr>
            <w:tcW w:w="263" w:type="pct"/>
            <w:tcBorders>
              <w:top w:val="single" w:sz="4" w:space="0" w:color="auto"/>
              <w:left w:val="single" w:sz="4" w:space="0" w:color="auto"/>
              <w:bottom w:val="single" w:sz="4" w:space="0" w:color="auto"/>
              <w:right w:val="single" w:sz="4" w:space="0" w:color="auto"/>
            </w:tcBorders>
            <w:vAlign w:val="center"/>
            <w:hideMark/>
          </w:tcPr>
          <w:p w14:paraId="4B45AF87" w14:textId="77777777" w:rsidR="008B6742" w:rsidRPr="00DC77E0" w:rsidRDefault="008B6742" w:rsidP="005A7661">
            <w:pPr>
              <w:spacing w:after="0"/>
              <w:jc w:val="center"/>
              <w:rPr>
                <w:rFonts w:ascii="Arial" w:hAnsi="Arial"/>
                <w:color w:val="000000"/>
                <w:sz w:val="18"/>
                <w:szCs w:val="18"/>
                <w:lang w:eastAsia="fr-FR"/>
              </w:rPr>
            </w:pPr>
            <w:r w:rsidRPr="00DC77E0">
              <w:rPr>
                <w:rFonts w:ascii="Arial" w:hAnsi="Arial"/>
                <w:color w:val="000000"/>
                <w:sz w:val="18"/>
                <w:szCs w:val="18"/>
                <w:lang w:eastAsia="fr-FR"/>
              </w:rPr>
              <w:t>-</w:t>
            </w:r>
          </w:p>
        </w:tc>
        <w:tc>
          <w:tcPr>
            <w:tcW w:w="263" w:type="pct"/>
            <w:tcBorders>
              <w:top w:val="single" w:sz="4" w:space="0" w:color="auto"/>
              <w:left w:val="single" w:sz="4" w:space="0" w:color="auto"/>
              <w:bottom w:val="single" w:sz="4" w:space="0" w:color="auto"/>
              <w:right w:val="single" w:sz="4" w:space="0" w:color="auto"/>
            </w:tcBorders>
            <w:vAlign w:val="center"/>
            <w:hideMark/>
          </w:tcPr>
          <w:p w14:paraId="4B6BB1FF" w14:textId="77777777" w:rsidR="008B6742" w:rsidRPr="00DC77E0" w:rsidRDefault="008B6742" w:rsidP="005A7661">
            <w:pPr>
              <w:spacing w:after="0"/>
              <w:jc w:val="center"/>
              <w:rPr>
                <w:rFonts w:ascii="Arial" w:hAnsi="Arial"/>
                <w:color w:val="000000"/>
                <w:sz w:val="18"/>
                <w:szCs w:val="18"/>
                <w:lang w:eastAsia="fr-FR"/>
              </w:rPr>
            </w:pPr>
            <w:r w:rsidRPr="00DC77E0">
              <w:rPr>
                <w:rFonts w:ascii="Arial" w:hAnsi="Arial"/>
                <w:color w:val="000000"/>
                <w:sz w:val="18"/>
                <w:szCs w:val="18"/>
                <w:lang w:eastAsia="fr-FR"/>
              </w:rPr>
              <w:t>-</w:t>
            </w:r>
          </w:p>
        </w:tc>
        <w:tc>
          <w:tcPr>
            <w:tcW w:w="263" w:type="pct"/>
            <w:tcBorders>
              <w:top w:val="single" w:sz="4" w:space="0" w:color="auto"/>
              <w:left w:val="single" w:sz="4" w:space="0" w:color="auto"/>
              <w:bottom w:val="single" w:sz="4" w:space="0" w:color="auto"/>
              <w:right w:val="single" w:sz="4" w:space="0" w:color="auto"/>
            </w:tcBorders>
            <w:vAlign w:val="center"/>
            <w:hideMark/>
          </w:tcPr>
          <w:p w14:paraId="7D986950" w14:textId="77777777" w:rsidR="008B6742" w:rsidRPr="00DC77E0" w:rsidRDefault="008B6742" w:rsidP="005A7661">
            <w:pPr>
              <w:spacing w:after="0"/>
              <w:jc w:val="center"/>
              <w:rPr>
                <w:rFonts w:ascii="Arial" w:hAnsi="Arial"/>
                <w:color w:val="000000"/>
                <w:sz w:val="18"/>
                <w:szCs w:val="18"/>
                <w:lang w:eastAsia="fr-FR"/>
              </w:rPr>
            </w:pPr>
            <w:r w:rsidRPr="00DC77E0">
              <w:rPr>
                <w:rFonts w:ascii="Arial" w:hAnsi="Arial"/>
                <w:color w:val="000000"/>
                <w:sz w:val="18"/>
                <w:szCs w:val="18"/>
                <w:lang w:eastAsia="fr-FR"/>
              </w:rPr>
              <w:t>An. II</w:t>
            </w:r>
          </w:p>
        </w:tc>
        <w:tc>
          <w:tcPr>
            <w:tcW w:w="262" w:type="pct"/>
            <w:tcBorders>
              <w:top w:val="single" w:sz="4" w:space="0" w:color="auto"/>
              <w:left w:val="single" w:sz="4" w:space="0" w:color="auto"/>
              <w:bottom w:val="single" w:sz="4" w:space="0" w:color="auto"/>
              <w:right w:val="single" w:sz="4" w:space="0" w:color="auto"/>
            </w:tcBorders>
            <w:vAlign w:val="center"/>
            <w:hideMark/>
          </w:tcPr>
          <w:p w14:paraId="5B0D0E8F" w14:textId="77777777" w:rsidR="008B6742" w:rsidRPr="00DC77E0" w:rsidRDefault="008B6742" w:rsidP="005A7661">
            <w:pPr>
              <w:spacing w:after="0"/>
              <w:jc w:val="center"/>
              <w:rPr>
                <w:rFonts w:ascii="Arial" w:hAnsi="Arial"/>
                <w:color w:val="000000"/>
                <w:sz w:val="18"/>
                <w:szCs w:val="18"/>
                <w:lang w:eastAsia="fr-FR"/>
              </w:rPr>
            </w:pPr>
            <w:r w:rsidRPr="00DC77E0">
              <w:rPr>
                <w:rFonts w:ascii="Arial" w:hAnsi="Arial"/>
                <w:color w:val="000000"/>
                <w:sz w:val="18"/>
                <w:szCs w:val="18"/>
                <w:lang w:eastAsia="fr-FR"/>
              </w:rPr>
              <w:t>An. II</w:t>
            </w:r>
          </w:p>
        </w:tc>
      </w:tr>
      <w:tr w:rsidR="00C107CD" w:rsidRPr="00DC77E0" w14:paraId="6CBE7674" w14:textId="77777777" w:rsidTr="00C107CD">
        <w:trPr>
          <w:trHeight w:val="288"/>
        </w:trPr>
        <w:tc>
          <w:tcPr>
            <w:tcW w:w="836" w:type="pct"/>
            <w:tcBorders>
              <w:top w:val="single" w:sz="4" w:space="0" w:color="auto"/>
              <w:left w:val="single" w:sz="4" w:space="0" w:color="auto"/>
              <w:bottom w:val="single" w:sz="4" w:space="0" w:color="auto"/>
              <w:right w:val="single" w:sz="4" w:space="0" w:color="auto"/>
            </w:tcBorders>
            <w:noWrap/>
            <w:vAlign w:val="bottom"/>
            <w:hideMark/>
          </w:tcPr>
          <w:p w14:paraId="1FD5DF06" w14:textId="77777777" w:rsidR="008B6742" w:rsidRPr="00DC77E0" w:rsidRDefault="008B6742" w:rsidP="005A7661">
            <w:pPr>
              <w:spacing w:after="0"/>
              <w:jc w:val="left"/>
              <w:rPr>
                <w:rFonts w:cs="Calibri"/>
                <w:color w:val="000000"/>
                <w:lang w:eastAsia="fr-FR"/>
              </w:rPr>
            </w:pPr>
            <w:r w:rsidRPr="00DC77E0">
              <w:rPr>
                <w:rFonts w:cs="Calibri"/>
                <w:color w:val="000000"/>
                <w:lang w:eastAsia="fr-FR"/>
              </w:rPr>
              <w:t>Bruant du Sahara</w:t>
            </w:r>
          </w:p>
        </w:tc>
        <w:tc>
          <w:tcPr>
            <w:tcW w:w="975" w:type="pct"/>
            <w:tcBorders>
              <w:top w:val="single" w:sz="4" w:space="0" w:color="auto"/>
              <w:left w:val="single" w:sz="4" w:space="0" w:color="auto"/>
              <w:bottom w:val="single" w:sz="4" w:space="0" w:color="auto"/>
              <w:right w:val="single" w:sz="4" w:space="0" w:color="auto"/>
            </w:tcBorders>
            <w:noWrap/>
            <w:vAlign w:val="bottom"/>
            <w:hideMark/>
          </w:tcPr>
          <w:p w14:paraId="6AD9A199" w14:textId="77777777" w:rsidR="008B6742" w:rsidRPr="00DC77E0" w:rsidRDefault="008B6742" w:rsidP="005A7661">
            <w:pPr>
              <w:spacing w:after="0"/>
              <w:jc w:val="left"/>
              <w:rPr>
                <w:rFonts w:cs="Calibri"/>
                <w:i/>
                <w:iCs/>
                <w:color w:val="000000"/>
                <w:lang w:eastAsia="fr-FR"/>
              </w:rPr>
            </w:pPr>
            <w:r w:rsidRPr="00DC77E0">
              <w:rPr>
                <w:rFonts w:cs="Calibri"/>
                <w:i/>
                <w:iCs/>
                <w:color w:val="000000"/>
                <w:lang w:eastAsia="fr-FR"/>
              </w:rPr>
              <w:t>Emberiza sahari</w:t>
            </w:r>
          </w:p>
        </w:tc>
        <w:tc>
          <w:tcPr>
            <w:tcW w:w="517" w:type="pct"/>
            <w:tcBorders>
              <w:top w:val="single" w:sz="4" w:space="0" w:color="auto"/>
              <w:left w:val="single" w:sz="4" w:space="0" w:color="auto"/>
              <w:bottom w:val="single" w:sz="4" w:space="0" w:color="auto"/>
              <w:right w:val="single" w:sz="4" w:space="0" w:color="auto"/>
            </w:tcBorders>
            <w:vAlign w:val="center"/>
          </w:tcPr>
          <w:p w14:paraId="3A19622B" w14:textId="77777777" w:rsidR="008B6742" w:rsidRPr="00DC77E0" w:rsidRDefault="008B6742" w:rsidP="005A7661">
            <w:pPr>
              <w:spacing w:after="0"/>
              <w:jc w:val="center"/>
              <w:rPr>
                <w:rFonts w:ascii="Arial" w:hAnsi="Arial"/>
                <w:color w:val="000000"/>
                <w:sz w:val="18"/>
                <w:szCs w:val="18"/>
                <w:lang w:eastAsia="fr-FR"/>
              </w:rPr>
            </w:pPr>
            <w:r>
              <w:rPr>
                <w:rFonts w:ascii="Aptos Narrow" w:hAnsi="Aptos Narrow" w:cs="Times New Roman"/>
                <w:color w:val="000000"/>
                <w:lang w:eastAsia="fr-FR"/>
              </w:rPr>
              <w:t>ZER/ZEE</w:t>
            </w:r>
          </w:p>
        </w:tc>
        <w:tc>
          <w:tcPr>
            <w:tcW w:w="517" w:type="pct"/>
            <w:tcBorders>
              <w:top w:val="single" w:sz="4" w:space="0" w:color="auto"/>
              <w:left w:val="single" w:sz="4" w:space="0" w:color="auto"/>
              <w:bottom w:val="single" w:sz="4" w:space="0" w:color="auto"/>
              <w:right w:val="single" w:sz="4" w:space="0" w:color="auto"/>
            </w:tcBorders>
            <w:vAlign w:val="center"/>
            <w:hideMark/>
          </w:tcPr>
          <w:p w14:paraId="7AD7E190" w14:textId="77777777" w:rsidR="008B6742" w:rsidRPr="00DC77E0" w:rsidRDefault="008B6742" w:rsidP="005A7661">
            <w:pPr>
              <w:spacing w:after="0"/>
              <w:jc w:val="center"/>
              <w:rPr>
                <w:rFonts w:ascii="Arial" w:hAnsi="Arial"/>
                <w:color w:val="000000"/>
                <w:sz w:val="18"/>
                <w:szCs w:val="18"/>
                <w:lang w:eastAsia="fr-FR"/>
              </w:rPr>
            </w:pPr>
            <w:r w:rsidRPr="00DC77E0">
              <w:rPr>
                <w:rFonts w:ascii="Arial" w:hAnsi="Arial"/>
                <w:color w:val="000000"/>
                <w:sz w:val="18"/>
                <w:szCs w:val="18"/>
                <w:lang w:eastAsia="fr-FR"/>
              </w:rPr>
              <w:t>NS</w:t>
            </w:r>
          </w:p>
        </w:tc>
        <w:tc>
          <w:tcPr>
            <w:tcW w:w="434" w:type="pct"/>
            <w:tcBorders>
              <w:top w:val="single" w:sz="4" w:space="0" w:color="auto"/>
              <w:left w:val="single" w:sz="4" w:space="0" w:color="auto"/>
              <w:bottom w:val="single" w:sz="4" w:space="0" w:color="auto"/>
              <w:right w:val="single" w:sz="4" w:space="0" w:color="auto"/>
            </w:tcBorders>
            <w:vAlign w:val="center"/>
            <w:hideMark/>
          </w:tcPr>
          <w:p w14:paraId="46F53844" w14:textId="77777777" w:rsidR="008B6742" w:rsidRPr="00DC77E0" w:rsidRDefault="008B6742" w:rsidP="005A7661">
            <w:pPr>
              <w:spacing w:after="0"/>
              <w:jc w:val="center"/>
              <w:rPr>
                <w:rFonts w:ascii="Arial" w:hAnsi="Arial"/>
                <w:color w:val="000000"/>
                <w:sz w:val="18"/>
                <w:szCs w:val="18"/>
                <w:lang w:eastAsia="fr-FR"/>
              </w:rPr>
            </w:pPr>
            <w:r w:rsidRPr="00DC77E0">
              <w:rPr>
                <w:rFonts w:ascii="Arial" w:hAnsi="Arial"/>
                <w:color w:val="000000"/>
                <w:sz w:val="18"/>
                <w:szCs w:val="18"/>
                <w:lang w:eastAsia="fr-FR"/>
              </w:rPr>
              <w:t>-</w:t>
            </w:r>
          </w:p>
        </w:tc>
        <w:tc>
          <w:tcPr>
            <w:tcW w:w="345" w:type="pct"/>
            <w:tcBorders>
              <w:top w:val="single" w:sz="4" w:space="0" w:color="auto"/>
              <w:left w:val="single" w:sz="4" w:space="0" w:color="auto"/>
              <w:bottom w:val="single" w:sz="4" w:space="0" w:color="auto"/>
              <w:right w:val="single" w:sz="4" w:space="0" w:color="auto"/>
            </w:tcBorders>
            <w:vAlign w:val="center"/>
            <w:hideMark/>
          </w:tcPr>
          <w:p w14:paraId="487C525C" w14:textId="77777777" w:rsidR="008B6742" w:rsidRPr="00DC77E0" w:rsidRDefault="008B6742" w:rsidP="005A7661">
            <w:pPr>
              <w:spacing w:after="0"/>
              <w:jc w:val="center"/>
              <w:rPr>
                <w:rFonts w:ascii="Arial" w:hAnsi="Arial"/>
                <w:color w:val="000000"/>
                <w:sz w:val="18"/>
                <w:szCs w:val="18"/>
                <w:lang w:eastAsia="fr-FR"/>
              </w:rPr>
            </w:pPr>
            <w:r w:rsidRPr="00DC77E0">
              <w:rPr>
                <w:rFonts w:ascii="Arial" w:hAnsi="Arial"/>
                <w:color w:val="000000"/>
                <w:sz w:val="18"/>
                <w:szCs w:val="18"/>
                <w:lang w:eastAsia="fr-FR"/>
              </w:rPr>
              <w:t>-</w:t>
            </w:r>
          </w:p>
        </w:tc>
        <w:tc>
          <w:tcPr>
            <w:tcW w:w="326" w:type="pct"/>
            <w:tcBorders>
              <w:top w:val="single" w:sz="4" w:space="0" w:color="auto"/>
              <w:left w:val="single" w:sz="4" w:space="0" w:color="auto"/>
              <w:bottom w:val="single" w:sz="4" w:space="0" w:color="auto"/>
              <w:right w:val="single" w:sz="4" w:space="0" w:color="auto"/>
            </w:tcBorders>
            <w:vAlign w:val="center"/>
            <w:hideMark/>
          </w:tcPr>
          <w:p w14:paraId="64705C1A" w14:textId="77777777" w:rsidR="008B6742" w:rsidRPr="00DC77E0" w:rsidRDefault="008B6742" w:rsidP="005A7661">
            <w:pPr>
              <w:spacing w:after="0"/>
              <w:jc w:val="center"/>
              <w:rPr>
                <w:rFonts w:ascii="Arial" w:hAnsi="Arial"/>
                <w:color w:val="000000"/>
                <w:sz w:val="18"/>
                <w:szCs w:val="18"/>
                <w:lang w:eastAsia="fr-FR"/>
              </w:rPr>
            </w:pPr>
            <w:r w:rsidRPr="00DC77E0">
              <w:rPr>
                <w:rFonts w:ascii="Arial" w:hAnsi="Arial"/>
                <w:color w:val="000000"/>
                <w:sz w:val="18"/>
                <w:szCs w:val="18"/>
                <w:lang w:eastAsia="fr-FR"/>
              </w:rPr>
              <w:t>LC</w:t>
            </w:r>
          </w:p>
        </w:tc>
        <w:tc>
          <w:tcPr>
            <w:tcW w:w="263" w:type="pct"/>
            <w:tcBorders>
              <w:top w:val="single" w:sz="4" w:space="0" w:color="auto"/>
              <w:left w:val="single" w:sz="4" w:space="0" w:color="auto"/>
              <w:bottom w:val="single" w:sz="4" w:space="0" w:color="auto"/>
              <w:right w:val="single" w:sz="4" w:space="0" w:color="auto"/>
            </w:tcBorders>
            <w:vAlign w:val="center"/>
            <w:hideMark/>
          </w:tcPr>
          <w:p w14:paraId="458A32A1" w14:textId="77777777" w:rsidR="008B6742" w:rsidRPr="00DC77E0" w:rsidRDefault="008B6742" w:rsidP="005A7661">
            <w:pPr>
              <w:spacing w:after="0"/>
              <w:jc w:val="center"/>
              <w:rPr>
                <w:rFonts w:ascii="Arial" w:hAnsi="Arial"/>
                <w:color w:val="000000"/>
                <w:sz w:val="18"/>
                <w:szCs w:val="18"/>
                <w:lang w:eastAsia="fr-FR"/>
              </w:rPr>
            </w:pPr>
            <w:r w:rsidRPr="00DC77E0">
              <w:rPr>
                <w:rFonts w:ascii="Arial" w:hAnsi="Arial"/>
                <w:color w:val="000000"/>
                <w:sz w:val="18"/>
                <w:szCs w:val="18"/>
                <w:lang w:eastAsia="fr-FR"/>
              </w:rPr>
              <w:t>-</w:t>
            </w:r>
          </w:p>
        </w:tc>
        <w:tc>
          <w:tcPr>
            <w:tcW w:w="263" w:type="pct"/>
            <w:tcBorders>
              <w:top w:val="single" w:sz="4" w:space="0" w:color="auto"/>
              <w:left w:val="single" w:sz="4" w:space="0" w:color="auto"/>
              <w:bottom w:val="single" w:sz="4" w:space="0" w:color="auto"/>
              <w:right w:val="single" w:sz="4" w:space="0" w:color="auto"/>
            </w:tcBorders>
            <w:vAlign w:val="center"/>
            <w:hideMark/>
          </w:tcPr>
          <w:p w14:paraId="61C51484" w14:textId="77777777" w:rsidR="008B6742" w:rsidRPr="00DC77E0" w:rsidRDefault="008B6742" w:rsidP="005A7661">
            <w:pPr>
              <w:spacing w:after="0"/>
              <w:jc w:val="center"/>
              <w:rPr>
                <w:rFonts w:ascii="Arial" w:hAnsi="Arial"/>
                <w:color w:val="000000"/>
                <w:sz w:val="18"/>
                <w:szCs w:val="18"/>
                <w:lang w:eastAsia="fr-FR"/>
              </w:rPr>
            </w:pPr>
            <w:r w:rsidRPr="00DC77E0">
              <w:rPr>
                <w:rFonts w:ascii="Arial" w:hAnsi="Arial"/>
                <w:color w:val="000000"/>
                <w:sz w:val="18"/>
                <w:szCs w:val="18"/>
                <w:lang w:eastAsia="fr-FR"/>
              </w:rPr>
              <w:t>-</w:t>
            </w:r>
          </w:p>
        </w:tc>
        <w:tc>
          <w:tcPr>
            <w:tcW w:w="263" w:type="pct"/>
            <w:tcBorders>
              <w:top w:val="single" w:sz="4" w:space="0" w:color="auto"/>
              <w:left w:val="single" w:sz="4" w:space="0" w:color="auto"/>
              <w:bottom w:val="single" w:sz="4" w:space="0" w:color="auto"/>
              <w:right w:val="single" w:sz="4" w:space="0" w:color="auto"/>
            </w:tcBorders>
            <w:vAlign w:val="center"/>
            <w:hideMark/>
          </w:tcPr>
          <w:p w14:paraId="60B0F779" w14:textId="77777777" w:rsidR="008B6742" w:rsidRPr="00DC77E0" w:rsidRDefault="008B6742" w:rsidP="005A7661">
            <w:pPr>
              <w:spacing w:after="0"/>
              <w:jc w:val="center"/>
              <w:rPr>
                <w:rFonts w:ascii="Arial" w:hAnsi="Arial"/>
                <w:color w:val="000000"/>
                <w:sz w:val="18"/>
                <w:szCs w:val="18"/>
                <w:lang w:eastAsia="fr-FR"/>
              </w:rPr>
            </w:pPr>
            <w:r w:rsidRPr="00DC77E0">
              <w:rPr>
                <w:rFonts w:ascii="Arial" w:hAnsi="Arial"/>
                <w:color w:val="000000"/>
                <w:sz w:val="18"/>
                <w:szCs w:val="18"/>
                <w:lang w:eastAsia="fr-FR"/>
              </w:rPr>
              <w:t>An. III</w:t>
            </w:r>
          </w:p>
        </w:tc>
        <w:tc>
          <w:tcPr>
            <w:tcW w:w="262" w:type="pct"/>
            <w:tcBorders>
              <w:top w:val="single" w:sz="4" w:space="0" w:color="auto"/>
              <w:left w:val="single" w:sz="4" w:space="0" w:color="auto"/>
              <w:bottom w:val="single" w:sz="4" w:space="0" w:color="auto"/>
              <w:right w:val="single" w:sz="4" w:space="0" w:color="auto"/>
            </w:tcBorders>
            <w:vAlign w:val="center"/>
            <w:hideMark/>
          </w:tcPr>
          <w:p w14:paraId="0012CFE7" w14:textId="77777777" w:rsidR="008B6742" w:rsidRPr="00DC77E0" w:rsidRDefault="008B6742" w:rsidP="005A7661">
            <w:pPr>
              <w:spacing w:after="0"/>
              <w:jc w:val="center"/>
              <w:rPr>
                <w:rFonts w:ascii="Arial" w:hAnsi="Arial"/>
                <w:color w:val="000000"/>
                <w:sz w:val="18"/>
                <w:szCs w:val="18"/>
                <w:lang w:eastAsia="fr-FR"/>
              </w:rPr>
            </w:pPr>
            <w:r w:rsidRPr="00DC77E0">
              <w:rPr>
                <w:rFonts w:ascii="Arial" w:hAnsi="Arial"/>
                <w:color w:val="000000"/>
                <w:sz w:val="18"/>
                <w:szCs w:val="18"/>
                <w:lang w:eastAsia="fr-FR"/>
              </w:rPr>
              <w:t>-</w:t>
            </w:r>
          </w:p>
        </w:tc>
      </w:tr>
      <w:tr w:rsidR="00C107CD" w:rsidRPr="00DC77E0" w14:paraId="3F7B63E7" w14:textId="77777777" w:rsidTr="00C107CD">
        <w:trPr>
          <w:trHeight w:val="288"/>
        </w:trPr>
        <w:tc>
          <w:tcPr>
            <w:tcW w:w="836" w:type="pct"/>
            <w:tcBorders>
              <w:top w:val="single" w:sz="4" w:space="0" w:color="auto"/>
              <w:left w:val="single" w:sz="4" w:space="0" w:color="auto"/>
              <w:bottom w:val="single" w:sz="4" w:space="0" w:color="auto"/>
              <w:right w:val="single" w:sz="4" w:space="0" w:color="auto"/>
            </w:tcBorders>
            <w:noWrap/>
            <w:vAlign w:val="bottom"/>
            <w:hideMark/>
          </w:tcPr>
          <w:p w14:paraId="61D3406B" w14:textId="77777777" w:rsidR="008B6742" w:rsidRPr="00DC77E0" w:rsidRDefault="008B6742" w:rsidP="005A7661">
            <w:pPr>
              <w:spacing w:after="0"/>
              <w:jc w:val="left"/>
              <w:rPr>
                <w:rFonts w:cs="Calibri"/>
                <w:color w:val="000000"/>
                <w:lang w:eastAsia="fr-FR"/>
              </w:rPr>
            </w:pPr>
            <w:r w:rsidRPr="00DC77E0">
              <w:rPr>
                <w:rFonts w:cs="Calibri"/>
                <w:color w:val="000000"/>
                <w:lang w:eastAsia="fr-FR"/>
              </w:rPr>
              <w:t>Bulbul des jardin</w:t>
            </w:r>
          </w:p>
        </w:tc>
        <w:tc>
          <w:tcPr>
            <w:tcW w:w="975" w:type="pct"/>
            <w:tcBorders>
              <w:top w:val="single" w:sz="4" w:space="0" w:color="auto"/>
              <w:left w:val="single" w:sz="4" w:space="0" w:color="auto"/>
              <w:bottom w:val="single" w:sz="4" w:space="0" w:color="auto"/>
              <w:right w:val="single" w:sz="4" w:space="0" w:color="auto"/>
            </w:tcBorders>
            <w:noWrap/>
            <w:vAlign w:val="bottom"/>
            <w:hideMark/>
          </w:tcPr>
          <w:p w14:paraId="005B2F4D" w14:textId="77777777" w:rsidR="008B6742" w:rsidRPr="00DC77E0" w:rsidRDefault="008B6742" w:rsidP="005A7661">
            <w:pPr>
              <w:spacing w:after="0"/>
              <w:jc w:val="left"/>
              <w:rPr>
                <w:rFonts w:cs="Calibri"/>
                <w:i/>
                <w:iCs/>
                <w:color w:val="000000"/>
                <w:lang w:eastAsia="fr-FR"/>
              </w:rPr>
            </w:pPr>
            <w:r w:rsidRPr="00DC77E0">
              <w:rPr>
                <w:rFonts w:cs="Calibri"/>
                <w:i/>
                <w:iCs/>
                <w:color w:val="000000"/>
                <w:lang w:eastAsia="fr-FR"/>
              </w:rPr>
              <w:t>Pycnonotus barbatus</w:t>
            </w:r>
          </w:p>
        </w:tc>
        <w:tc>
          <w:tcPr>
            <w:tcW w:w="517" w:type="pct"/>
            <w:tcBorders>
              <w:top w:val="single" w:sz="4" w:space="0" w:color="auto"/>
              <w:left w:val="single" w:sz="4" w:space="0" w:color="auto"/>
              <w:bottom w:val="single" w:sz="4" w:space="0" w:color="auto"/>
              <w:right w:val="single" w:sz="4" w:space="0" w:color="auto"/>
            </w:tcBorders>
            <w:vAlign w:val="center"/>
          </w:tcPr>
          <w:p w14:paraId="45325C10" w14:textId="77777777" w:rsidR="008B6742" w:rsidRPr="00DC77E0" w:rsidRDefault="008B6742" w:rsidP="005A7661">
            <w:pPr>
              <w:spacing w:after="0"/>
              <w:jc w:val="center"/>
              <w:rPr>
                <w:rFonts w:ascii="Arial" w:hAnsi="Arial"/>
                <w:color w:val="000000"/>
                <w:sz w:val="18"/>
                <w:szCs w:val="18"/>
                <w:lang w:eastAsia="fr-FR"/>
              </w:rPr>
            </w:pPr>
            <w:r>
              <w:rPr>
                <w:rFonts w:ascii="Aptos Narrow" w:hAnsi="Aptos Narrow" w:cs="Times New Roman"/>
                <w:color w:val="000000"/>
                <w:lang w:eastAsia="fr-FR"/>
              </w:rPr>
              <w:t>ZER/ZEE</w:t>
            </w:r>
          </w:p>
        </w:tc>
        <w:tc>
          <w:tcPr>
            <w:tcW w:w="517" w:type="pct"/>
            <w:tcBorders>
              <w:top w:val="single" w:sz="4" w:space="0" w:color="auto"/>
              <w:left w:val="single" w:sz="4" w:space="0" w:color="auto"/>
              <w:bottom w:val="single" w:sz="4" w:space="0" w:color="auto"/>
              <w:right w:val="single" w:sz="4" w:space="0" w:color="auto"/>
            </w:tcBorders>
            <w:vAlign w:val="center"/>
            <w:hideMark/>
          </w:tcPr>
          <w:p w14:paraId="3802A968" w14:textId="77777777" w:rsidR="008B6742" w:rsidRPr="00DC77E0" w:rsidRDefault="008B6742" w:rsidP="005A7661">
            <w:pPr>
              <w:spacing w:after="0"/>
              <w:jc w:val="center"/>
              <w:rPr>
                <w:rFonts w:ascii="Arial" w:hAnsi="Arial"/>
                <w:color w:val="000000"/>
                <w:sz w:val="18"/>
                <w:szCs w:val="18"/>
                <w:lang w:eastAsia="fr-FR"/>
              </w:rPr>
            </w:pPr>
            <w:r w:rsidRPr="00DC77E0">
              <w:rPr>
                <w:rFonts w:ascii="Arial" w:hAnsi="Arial"/>
                <w:color w:val="000000"/>
                <w:sz w:val="18"/>
                <w:szCs w:val="18"/>
                <w:lang w:eastAsia="fr-FR"/>
              </w:rPr>
              <w:t>NS</w:t>
            </w:r>
          </w:p>
        </w:tc>
        <w:tc>
          <w:tcPr>
            <w:tcW w:w="434" w:type="pct"/>
            <w:tcBorders>
              <w:top w:val="single" w:sz="4" w:space="0" w:color="auto"/>
              <w:left w:val="single" w:sz="4" w:space="0" w:color="auto"/>
              <w:bottom w:val="single" w:sz="4" w:space="0" w:color="auto"/>
              <w:right w:val="single" w:sz="4" w:space="0" w:color="auto"/>
            </w:tcBorders>
            <w:vAlign w:val="center"/>
            <w:hideMark/>
          </w:tcPr>
          <w:p w14:paraId="5929C99B" w14:textId="77777777" w:rsidR="008B6742" w:rsidRPr="00DC77E0" w:rsidRDefault="008B6742" w:rsidP="005A7661">
            <w:pPr>
              <w:spacing w:after="0"/>
              <w:jc w:val="center"/>
              <w:rPr>
                <w:rFonts w:ascii="Arial" w:hAnsi="Arial"/>
                <w:color w:val="000000"/>
                <w:sz w:val="18"/>
                <w:szCs w:val="18"/>
                <w:lang w:eastAsia="fr-FR"/>
              </w:rPr>
            </w:pPr>
            <w:r w:rsidRPr="00DC77E0">
              <w:rPr>
                <w:rFonts w:ascii="Arial" w:hAnsi="Arial"/>
                <w:color w:val="000000"/>
                <w:sz w:val="18"/>
                <w:szCs w:val="18"/>
                <w:lang w:eastAsia="fr-FR"/>
              </w:rPr>
              <w:t>-</w:t>
            </w:r>
          </w:p>
        </w:tc>
        <w:tc>
          <w:tcPr>
            <w:tcW w:w="345" w:type="pct"/>
            <w:tcBorders>
              <w:top w:val="single" w:sz="4" w:space="0" w:color="auto"/>
              <w:left w:val="single" w:sz="4" w:space="0" w:color="auto"/>
              <w:bottom w:val="single" w:sz="4" w:space="0" w:color="auto"/>
              <w:right w:val="single" w:sz="4" w:space="0" w:color="auto"/>
            </w:tcBorders>
            <w:vAlign w:val="center"/>
            <w:hideMark/>
          </w:tcPr>
          <w:p w14:paraId="33281C72" w14:textId="77777777" w:rsidR="008B6742" w:rsidRPr="00DC77E0" w:rsidRDefault="008B6742" w:rsidP="005A7661">
            <w:pPr>
              <w:spacing w:after="0"/>
              <w:jc w:val="center"/>
              <w:rPr>
                <w:rFonts w:ascii="Arial" w:hAnsi="Arial"/>
                <w:color w:val="000000"/>
                <w:sz w:val="18"/>
                <w:szCs w:val="18"/>
                <w:lang w:eastAsia="fr-FR"/>
              </w:rPr>
            </w:pPr>
            <w:r w:rsidRPr="00DC77E0">
              <w:rPr>
                <w:rFonts w:ascii="Arial" w:hAnsi="Arial"/>
                <w:color w:val="000000"/>
                <w:sz w:val="18"/>
                <w:szCs w:val="18"/>
                <w:lang w:eastAsia="fr-FR"/>
              </w:rPr>
              <w:t>-</w:t>
            </w:r>
          </w:p>
        </w:tc>
        <w:tc>
          <w:tcPr>
            <w:tcW w:w="326" w:type="pct"/>
            <w:tcBorders>
              <w:top w:val="single" w:sz="4" w:space="0" w:color="auto"/>
              <w:left w:val="single" w:sz="4" w:space="0" w:color="auto"/>
              <w:bottom w:val="single" w:sz="4" w:space="0" w:color="auto"/>
              <w:right w:val="single" w:sz="4" w:space="0" w:color="auto"/>
            </w:tcBorders>
            <w:vAlign w:val="center"/>
            <w:hideMark/>
          </w:tcPr>
          <w:p w14:paraId="24D812CA" w14:textId="77777777" w:rsidR="008B6742" w:rsidRPr="00DC77E0" w:rsidRDefault="008B6742" w:rsidP="005A7661">
            <w:pPr>
              <w:spacing w:after="0"/>
              <w:jc w:val="center"/>
              <w:rPr>
                <w:rFonts w:ascii="Arial" w:hAnsi="Arial"/>
                <w:color w:val="000000"/>
                <w:sz w:val="18"/>
                <w:szCs w:val="18"/>
                <w:lang w:eastAsia="fr-FR"/>
              </w:rPr>
            </w:pPr>
            <w:r w:rsidRPr="00DC77E0">
              <w:rPr>
                <w:rFonts w:ascii="Arial" w:hAnsi="Arial"/>
                <w:color w:val="000000"/>
                <w:sz w:val="18"/>
                <w:szCs w:val="18"/>
                <w:lang w:eastAsia="fr-FR"/>
              </w:rPr>
              <w:t>LC</w:t>
            </w:r>
          </w:p>
        </w:tc>
        <w:tc>
          <w:tcPr>
            <w:tcW w:w="263" w:type="pct"/>
            <w:tcBorders>
              <w:top w:val="single" w:sz="4" w:space="0" w:color="auto"/>
              <w:left w:val="single" w:sz="4" w:space="0" w:color="auto"/>
              <w:bottom w:val="single" w:sz="4" w:space="0" w:color="auto"/>
              <w:right w:val="single" w:sz="4" w:space="0" w:color="auto"/>
            </w:tcBorders>
            <w:vAlign w:val="center"/>
            <w:hideMark/>
          </w:tcPr>
          <w:p w14:paraId="10558CE7" w14:textId="77777777" w:rsidR="008B6742" w:rsidRPr="00DC77E0" w:rsidRDefault="008B6742" w:rsidP="005A7661">
            <w:pPr>
              <w:spacing w:after="0"/>
              <w:jc w:val="center"/>
              <w:rPr>
                <w:rFonts w:ascii="Arial" w:hAnsi="Arial"/>
                <w:color w:val="000000"/>
                <w:sz w:val="18"/>
                <w:szCs w:val="18"/>
                <w:lang w:eastAsia="fr-FR"/>
              </w:rPr>
            </w:pPr>
            <w:r w:rsidRPr="00DC77E0">
              <w:rPr>
                <w:rFonts w:ascii="Arial" w:hAnsi="Arial"/>
                <w:color w:val="000000"/>
                <w:sz w:val="18"/>
                <w:szCs w:val="18"/>
                <w:lang w:eastAsia="fr-FR"/>
              </w:rPr>
              <w:t>-</w:t>
            </w:r>
          </w:p>
        </w:tc>
        <w:tc>
          <w:tcPr>
            <w:tcW w:w="263" w:type="pct"/>
            <w:tcBorders>
              <w:top w:val="single" w:sz="4" w:space="0" w:color="auto"/>
              <w:left w:val="single" w:sz="4" w:space="0" w:color="auto"/>
              <w:bottom w:val="single" w:sz="4" w:space="0" w:color="auto"/>
              <w:right w:val="single" w:sz="4" w:space="0" w:color="auto"/>
            </w:tcBorders>
            <w:vAlign w:val="center"/>
            <w:hideMark/>
          </w:tcPr>
          <w:p w14:paraId="3D0B3244" w14:textId="77777777" w:rsidR="008B6742" w:rsidRPr="00DC77E0" w:rsidRDefault="008B6742" w:rsidP="005A7661">
            <w:pPr>
              <w:spacing w:after="0"/>
              <w:jc w:val="center"/>
              <w:rPr>
                <w:rFonts w:ascii="Arial" w:hAnsi="Arial"/>
                <w:color w:val="000000"/>
                <w:sz w:val="18"/>
                <w:szCs w:val="18"/>
                <w:lang w:eastAsia="fr-FR"/>
              </w:rPr>
            </w:pPr>
            <w:r w:rsidRPr="00DC77E0">
              <w:rPr>
                <w:rFonts w:ascii="Arial" w:hAnsi="Arial"/>
                <w:color w:val="000000"/>
                <w:sz w:val="18"/>
                <w:szCs w:val="18"/>
                <w:lang w:eastAsia="fr-FR"/>
              </w:rPr>
              <w:t>-</w:t>
            </w:r>
          </w:p>
        </w:tc>
        <w:tc>
          <w:tcPr>
            <w:tcW w:w="263" w:type="pct"/>
            <w:tcBorders>
              <w:top w:val="single" w:sz="4" w:space="0" w:color="auto"/>
              <w:left w:val="single" w:sz="4" w:space="0" w:color="auto"/>
              <w:bottom w:val="single" w:sz="4" w:space="0" w:color="auto"/>
              <w:right w:val="single" w:sz="4" w:space="0" w:color="auto"/>
            </w:tcBorders>
            <w:vAlign w:val="center"/>
            <w:hideMark/>
          </w:tcPr>
          <w:p w14:paraId="719424F4" w14:textId="77777777" w:rsidR="008B6742" w:rsidRPr="00DC77E0" w:rsidRDefault="008B6742" w:rsidP="005A7661">
            <w:pPr>
              <w:spacing w:after="0"/>
              <w:jc w:val="center"/>
              <w:rPr>
                <w:rFonts w:ascii="Arial" w:hAnsi="Arial"/>
                <w:color w:val="000000"/>
                <w:sz w:val="18"/>
                <w:szCs w:val="18"/>
                <w:lang w:eastAsia="fr-FR"/>
              </w:rPr>
            </w:pPr>
            <w:r w:rsidRPr="00DC77E0">
              <w:rPr>
                <w:rFonts w:ascii="Arial" w:hAnsi="Arial"/>
                <w:color w:val="000000"/>
                <w:sz w:val="18"/>
                <w:szCs w:val="18"/>
                <w:lang w:eastAsia="fr-FR"/>
              </w:rPr>
              <w:t>An. III</w:t>
            </w:r>
          </w:p>
        </w:tc>
        <w:tc>
          <w:tcPr>
            <w:tcW w:w="262" w:type="pct"/>
            <w:tcBorders>
              <w:top w:val="single" w:sz="4" w:space="0" w:color="auto"/>
              <w:left w:val="single" w:sz="4" w:space="0" w:color="auto"/>
              <w:bottom w:val="single" w:sz="4" w:space="0" w:color="auto"/>
              <w:right w:val="single" w:sz="4" w:space="0" w:color="auto"/>
            </w:tcBorders>
            <w:vAlign w:val="center"/>
            <w:hideMark/>
          </w:tcPr>
          <w:p w14:paraId="5B5AA511" w14:textId="77777777" w:rsidR="008B6742" w:rsidRPr="00DC77E0" w:rsidRDefault="008B6742" w:rsidP="005A7661">
            <w:pPr>
              <w:spacing w:after="0"/>
              <w:jc w:val="center"/>
              <w:rPr>
                <w:rFonts w:ascii="Arial" w:hAnsi="Arial"/>
                <w:color w:val="000000"/>
                <w:sz w:val="18"/>
                <w:szCs w:val="18"/>
                <w:lang w:eastAsia="fr-FR"/>
              </w:rPr>
            </w:pPr>
            <w:r w:rsidRPr="00DC77E0">
              <w:rPr>
                <w:rFonts w:ascii="Arial" w:hAnsi="Arial"/>
                <w:color w:val="000000"/>
                <w:sz w:val="18"/>
                <w:szCs w:val="18"/>
                <w:lang w:eastAsia="fr-FR"/>
              </w:rPr>
              <w:t>-</w:t>
            </w:r>
          </w:p>
        </w:tc>
      </w:tr>
      <w:tr w:rsidR="00C107CD" w:rsidRPr="00DC77E0" w14:paraId="7262F16F" w14:textId="77777777" w:rsidTr="00C107CD">
        <w:trPr>
          <w:trHeight w:val="288"/>
        </w:trPr>
        <w:tc>
          <w:tcPr>
            <w:tcW w:w="836" w:type="pct"/>
            <w:tcBorders>
              <w:top w:val="single" w:sz="4" w:space="0" w:color="auto"/>
              <w:left w:val="single" w:sz="4" w:space="0" w:color="auto"/>
              <w:bottom w:val="single" w:sz="4" w:space="0" w:color="auto"/>
              <w:right w:val="single" w:sz="4" w:space="0" w:color="auto"/>
            </w:tcBorders>
            <w:noWrap/>
            <w:vAlign w:val="bottom"/>
            <w:hideMark/>
          </w:tcPr>
          <w:p w14:paraId="7BB46FE1" w14:textId="77777777" w:rsidR="008B6742" w:rsidRPr="00DC77E0" w:rsidRDefault="008B6742" w:rsidP="005A7661">
            <w:pPr>
              <w:spacing w:after="0"/>
              <w:jc w:val="left"/>
              <w:rPr>
                <w:rFonts w:cs="Calibri"/>
                <w:color w:val="000000"/>
                <w:lang w:eastAsia="fr-FR"/>
              </w:rPr>
            </w:pPr>
            <w:r w:rsidRPr="00DC77E0">
              <w:rPr>
                <w:rFonts w:cs="Calibri"/>
                <w:color w:val="000000"/>
                <w:lang w:eastAsia="fr-FR"/>
              </w:rPr>
              <w:t>Canard colvert</w:t>
            </w:r>
          </w:p>
        </w:tc>
        <w:tc>
          <w:tcPr>
            <w:tcW w:w="975" w:type="pct"/>
            <w:tcBorders>
              <w:top w:val="single" w:sz="4" w:space="0" w:color="auto"/>
              <w:left w:val="single" w:sz="4" w:space="0" w:color="auto"/>
              <w:bottom w:val="single" w:sz="4" w:space="0" w:color="auto"/>
              <w:right w:val="single" w:sz="4" w:space="0" w:color="auto"/>
            </w:tcBorders>
            <w:noWrap/>
            <w:vAlign w:val="bottom"/>
            <w:hideMark/>
          </w:tcPr>
          <w:p w14:paraId="5434F835" w14:textId="77777777" w:rsidR="008B6742" w:rsidRPr="00DC77E0" w:rsidRDefault="008B6742" w:rsidP="005A7661">
            <w:pPr>
              <w:spacing w:after="0"/>
              <w:jc w:val="left"/>
              <w:rPr>
                <w:rFonts w:cs="Calibri"/>
                <w:i/>
                <w:iCs/>
                <w:color w:val="000000"/>
                <w:lang w:eastAsia="fr-FR"/>
              </w:rPr>
            </w:pPr>
            <w:r w:rsidRPr="00DC77E0">
              <w:rPr>
                <w:rFonts w:cs="Calibri"/>
                <w:i/>
                <w:iCs/>
                <w:color w:val="000000"/>
                <w:lang w:eastAsia="fr-FR"/>
              </w:rPr>
              <w:t>Anas platyrhynchos</w:t>
            </w:r>
          </w:p>
        </w:tc>
        <w:tc>
          <w:tcPr>
            <w:tcW w:w="517" w:type="pct"/>
            <w:tcBorders>
              <w:top w:val="single" w:sz="4" w:space="0" w:color="auto"/>
              <w:left w:val="single" w:sz="4" w:space="0" w:color="auto"/>
              <w:bottom w:val="single" w:sz="4" w:space="0" w:color="auto"/>
              <w:right w:val="single" w:sz="4" w:space="0" w:color="auto"/>
            </w:tcBorders>
            <w:vAlign w:val="center"/>
          </w:tcPr>
          <w:p w14:paraId="0F22F1A2" w14:textId="77777777" w:rsidR="008B6742" w:rsidRPr="00DC77E0" w:rsidRDefault="008B6742" w:rsidP="005A7661">
            <w:pPr>
              <w:spacing w:after="0"/>
              <w:jc w:val="center"/>
              <w:rPr>
                <w:rFonts w:ascii="Arial" w:hAnsi="Arial"/>
                <w:color w:val="000000"/>
                <w:sz w:val="18"/>
                <w:szCs w:val="18"/>
                <w:lang w:eastAsia="fr-FR"/>
              </w:rPr>
            </w:pPr>
            <w:r w:rsidRPr="00424FDB">
              <w:rPr>
                <w:rFonts w:ascii="Aptos Narrow" w:hAnsi="Aptos Narrow" w:cs="Times New Roman"/>
                <w:color w:val="000000"/>
                <w:lang w:eastAsia="fr-FR"/>
              </w:rPr>
              <w:t xml:space="preserve">ZA / </w:t>
            </w:r>
            <w:r>
              <w:rPr>
                <w:rFonts w:ascii="Aptos Narrow" w:hAnsi="Aptos Narrow" w:cs="Times New Roman"/>
                <w:color w:val="000000"/>
                <w:lang w:eastAsia="fr-FR"/>
              </w:rPr>
              <w:t>ZER/ZEE</w:t>
            </w:r>
          </w:p>
        </w:tc>
        <w:tc>
          <w:tcPr>
            <w:tcW w:w="517" w:type="pct"/>
            <w:tcBorders>
              <w:top w:val="single" w:sz="4" w:space="0" w:color="auto"/>
              <w:left w:val="single" w:sz="4" w:space="0" w:color="auto"/>
              <w:bottom w:val="single" w:sz="4" w:space="0" w:color="auto"/>
              <w:right w:val="single" w:sz="4" w:space="0" w:color="auto"/>
            </w:tcBorders>
            <w:vAlign w:val="center"/>
            <w:hideMark/>
          </w:tcPr>
          <w:p w14:paraId="4A9C884D" w14:textId="77777777" w:rsidR="008B6742" w:rsidRPr="00DC77E0" w:rsidRDefault="008B6742" w:rsidP="005A7661">
            <w:pPr>
              <w:spacing w:after="0"/>
              <w:jc w:val="center"/>
              <w:rPr>
                <w:rFonts w:ascii="Arial" w:hAnsi="Arial"/>
                <w:color w:val="000000"/>
                <w:sz w:val="18"/>
                <w:szCs w:val="18"/>
                <w:lang w:eastAsia="fr-FR"/>
              </w:rPr>
            </w:pPr>
            <w:r w:rsidRPr="00DC77E0">
              <w:rPr>
                <w:rFonts w:ascii="Arial" w:hAnsi="Arial"/>
                <w:color w:val="000000"/>
                <w:sz w:val="18"/>
                <w:szCs w:val="18"/>
                <w:lang w:eastAsia="fr-FR"/>
              </w:rPr>
              <w:t>NS, H</w:t>
            </w:r>
          </w:p>
        </w:tc>
        <w:tc>
          <w:tcPr>
            <w:tcW w:w="434" w:type="pct"/>
            <w:tcBorders>
              <w:top w:val="single" w:sz="4" w:space="0" w:color="auto"/>
              <w:left w:val="single" w:sz="4" w:space="0" w:color="auto"/>
              <w:bottom w:val="single" w:sz="4" w:space="0" w:color="auto"/>
              <w:right w:val="single" w:sz="4" w:space="0" w:color="auto"/>
            </w:tcBorders>
            <w:vAlign w:val="center"/>
            <w:hideMark/>
          </w:tcPr>
          <w:p w14:paraId="7225D181" w14:textId="77777777" w:rsidR="008B6742" w:rsidRPr="00DC77E0" w:rsidRDefault="008B6742" w:rsidP="005A7661">
            <w:pPr>
              <w:spacing w:after="0"/>
              <w:jc w:val="center"/>
              <w:rPr>
                <w:rFonts w:ascii="Arial" w:hAnsi="Arial"/>
                <w:color w:val="000000"/>
                <w:sz w:val="18"/>
                <w:szCs w:val="18"/>
                <w:lang w:eastAsia="fr-FR"/>
              </w:rPr>
            </w:pPr>
            <w:r w:rsidRPr="00DC77E0">
              <w:rPr>
                <w:rFonts w:ascii="Arial" w:hAnsi="Arial"/>
                <w:color w:val="000000"/>
                <w:sz w:val="18"/>
                <w:szCs w:val="18"/>
                <w:lang w:eastAsia="fr-FR"/>
              </w:rPr>
              <w:t>Protégée</w:t>
            </w:r>
          </w:p>
        </w:tc>
        <w:tc>
          <w:tcPr>
            <w:tcW w:w="345" w:type="pct"/>
            <w:tcBorders>
              <w:top w:val="single" w:sz="4" w:space="0" w:color="auto"/>
              <w:left w:val="single" w:sz="4" w:space="0" w:color="auto"/>
              <w:bottom w:val="single" w:sz="4" w:space="0" w:color="auto"/>
              <w:right w:val="single" w:sz="4" w:space="0" w:color="auto"/>
            </w:tcBorders>
            <w:vAlign w:val="center"/>
            <w:hideMark/>
          </w:tcPr>
          <w:p w14:paraId="2FE33268" w14:textId="77777777" w:rsidR="008B6742" w:rsidRPr="00DC77E0" w:rsidRDefault="008B6742" w:rsidP="005A7661">
            <w:pPr>
              <w:spacing w:after="0"/>
              <w:jc w:val="center"/>
              <w:rPr>
                <w:rFonts w:ascii="Arial" w:hAnsi="Arial"/>
                <w:color w:val="000000"/>
                <w:sz w:val="18"/>
                <w:szCs w:val="18"/>
                <w:lang w:eastAsia="fr-FR"/>
              </w:rPr>
            </w:pPr>
            <w:r w:rsidRPr="00DC77E0">
              <w:rPr>
                <w:rFonts w:ascii="Arial" w:hAnsi="Arial"/>
                <w:color w:val="000000"/>
                <w:sz w:val="18"/>
                <w:szCs w:val="18"/>
                <w:lang w:eastAsia="fr-FR"/>
              </w:rPr>
              <w:t>-</w:t>
            </w:r>
          </w:p>
        </w:tc>
        <w:tc>
          <w:tcPr>
            <w:tcW w:w="326" w:type="pct"/>
            <w:tcBorders>
              <w:top w:val="single" w:sz="4" w:space="0" w:color="auto"/>
              <w:left w:val="single" w:sz="4" w:space="0" w:color="auto"/>
              <w:bottom w:val="single" w:sz="4" w:space="0" w:color="auto"/>
              <w:right w:val="single" w:sz="4" w:space="0" w:color="auto"/>
            </w:tcBorders>
            <w:vAlign w:val="center"/>
            <w:hideMark/>
          </w:tcPr>
          <w:p w14:paraId="3A119307" w14:textId="77777777" w:rsidR="008B6742" w:rsidRPr="00DC77E0" w:rsidRDefault="008B6742" w:rsidP="005A7661">
            <w:pPr>
              <w:spacing w:after="0"/>
              <w:jc w:val="center"/>
              <w:rPr>
                <w:rFonts w:ascii="Arial" w:hAnsi="Arial"/>
                <w:color w:val="000000"/>
                <w:sz w:val="18"/>
                <w:szCs w:val="18"/>
                <w:lang w:eastAsia="fr-FR"/>
              </w:rPr>
            </w:pPr>
            <w:r w:rsidRPr="00DC77E0">
              <w:rPr>
                <w:rFonts w:ascii="Arial" w:hAnsi="Arial"/>
                <w:color w:val="000000"/>
                <w:sz w:val="18"/>
                <w:szCs w:val="18"/>
                <w:lang w:eastAsia="fr-FR"/>
              </w:rPr>
              <w:t>LC</w:t>
            </w:r>
          </w:p>
        </w:tc>
        <w:tc>
          <w:tcPr>
            <w:tcW w:w="263" w:type="pct"/>
            <w:tcBorders>
              <w:top w:val="single" w:sz="4" w:space="0" w:color="auto"/>
              <w:left w:val="single" w:sz="4" w:space="0" w:color="auto"/>
              <w:bottom w:val="single" w:sz="4" w:space="0" w:color="auto"/>
              <w:right w:val="single" w:sz="4" w:space="0" w:color="auto"/>
            </w:tcBorders>
            <w:vAlign w:val="center"/>
            <w:hideMark/>
          </w:tcPr>
          <w:p w14:paraId="4F4245D0" w14:textId="77777777" w:rsidR="008B6742" w:rsidRPr="00DC77E0" w:rsidRDefault="008B6742" w:rsidP="005A7661">
            <w:pPr>
              <w:spacing w:after="0"/>
              <w:jc w:val="center"/>
              <w:rPr>
                <w:rFonts w:ascii="Arial" w:hAnsi="Arial"/>
                <w:color w:val="000000"/>
                <w:sz w:val="18"/>
                <w:szCs w:val="18"/>
                <w:lang w:eastAsia="fr-FR"/>
              </w:rPr>
            </w:pPr>
            <w:r w:rsidRPr="00DC77E0">
              <w:rPr>
                <w:rFonts w:ascii="Arial" w:hAnsi="Arial"/>
                <w:color w:val="000000"/>
                <w:sz w:val="18"/>
                <w:szCs w:val="18"/>
                <w:lang w:eastAsia="fr-FR"/>
              </w:rPr>
              <w:t xml:space="preserve">- </w:t>
            </w:r>
          </w:p>
        </w:tc>
        <w:tc>
          <w:tcPr>
            <w:tcW w:w="263" w:type="pct"/>
            <w:tcBorders>
              <w:top w:val="single" w:sz="4" w:space="0" w:color="auto"/>
              <w:left w:val="single" w:sz="4" w:space="0" w:color="auto"/>
              <w:bottom w:val="single" w:sz="4" w:space="0" w:color="auto"/>
              <w:right w:val="single" w:sz="4" w:space="0" w:color="auto"/>
            </w:tcBorders>
            <w:vAlign w:val="center"/>
            <w:hideMark/>
          </w:tcPr>
          <w:p w14:paraId="3C7D2756" w14:textId="77777777" w:rsidR="008B6742" w:rsidRPr="00DC77E0" w:rsidRDefault="008B6742" w:rsidP="005A7661">
            <w:pPr>
              <w:spacing w:after="0"/>
              <w:jc w:val="center"/>
              <w:rPr>
                <w:rFonts w:ascii="Arial" w:hAnsi="Arial"/>
                <w:color w:val="000000"/>
                <w:sz w:val="18"/>
                <w:szCs w:val="18"/>
                <w:lang w:eastAsia="fr-FR"/>
              </w:rPr>
            </w:pPr>
            <w:r w:rsidRPr="00DC77E0">
              <w:rPr>
                <w:rFonts w:ascii="Arial" w:hAnsi="Arial"/>
                <w:color w:val="000000"/>
                <w:sz w:val="18"/>
                <w:szCs w:val="18"/>
                <w:lang w:eastAsia="fr-FR"/>
              </w:rPr>
              <w:t>-</w:t>
            </w:r>
          </w:p>
        </w:tc>
        <w:tc>
          <w:tcPr>
            <w:tcW w:w="263" w:type="pct"/>
            <w:tcBorders>
              <w:top w:val="single" w:sz="4" w:space="0" w:color="auto"/>
              <w:left w:val="single" w:sz="4" w:space="0" w:color="auto"/>
              <w:bottom w:val="single" w:sz="4" w:space="0" w:color="auto"/>
              <w:right w:val="single" w:sz="4" w:space="0" w:color="auto"/>
            </w:tcBorders>
            <w:vAlign w:val="center"/>
            <w:hideMark/>
          </w:tcPr>
          <w:p w14:paraId="285AE1DD" w14:textId="77777777" w:rsidR="008B6742" w:rsidRPr="00DC77E0" w:rsidRDefault="008B6742" w:rsidP="005A7661">
            <w:pPr>
              <w:spacing w:after="0"/>
              <w:jc w:val="center"/>
              <w:rPr>
                <w:rFonts w:ascii="Arial" w:hAnsi="Arial"/>
                <w:color w:val="000000"/>
                <w:sz w:val="18"/>
                <w:szCs w:val="18"/>
                <w:lang w:eastAsia="fr-FR"/>
              </w:rPr>
            </w:pPr>
            <w:r w:rsidRPr="00DC77E0">
              <w:rPr>
                <w:rFonts w:ascii="Arial" w:hAnsi="Arial"/>
                <w:color w:val="000000"/>
                <w:sz w:val="18"/>
                <w:szCs w:val="18"/>
                <w:lang w:eastAsia="fr-FR"/>
              </w:rPr>
              <w:t xml:space="preserve">An. III </w:t>
            </w:r>
          </w:p>
        </w:tc>
        <w:tc>
          <w:tcPr>
            <w:tcW w:w="262" w:type="pct"/>
            <w:tcBorders>
              <w:top w:val="single" w:sz="4" w:space="0" w:color="auto"/>
              <w:left w:val="single" w:sz="4" w:space="0" w:color="auto"/>
              <w:bottom w:val="single" w:sz="4" w:space="0" w:color="auto"/>
              <w:right w:val="single" w:sz="4" w:space="0" w:color="auto"/>
            </w:tcBorders>
            <w:vAlign w:val="center"/>
            <w:hideMark/>
          </w:tcPr>
          <w:p w14:paraId="4197AA09" w14:textId="77777777" w:rsidR="008B6742" w:rsidRPr="00DC77E0" w:rsidRDefault="008B6742" w:rsidP="005A7661">
            <w:pPr>
              <w:spacing w:after="0"/>
              <w:jc w:val="center"/>
              <w:rPr>
                <w:rFonts w:ascii="Arial" w:hAnsi="Arial"/>
                <w:color w:val="000000"/>
                <w:sz w:val="18"/>
                <w:szCs w:val="18"/>
                <w:lang w:eastAsia="fr-FR"/>
              </w:rPr>
            </w:pPr>
            <w:r w:rsidRPr="00DC77E0">
              <w:rPr>
                <w:rFonts w:ascii="Arial" w:hAnsi="Arial"/>
                <w:color w:val="000000"/>
                <w:sz w:val="18"/>
                <w:szCs w:val="18"/>
                <w:lang w:eastAsia="fr-FR"/>
              </w:rPr>
              <w:t xml:space="preserve">An. II </w:t>
            </w:r>
          </w:p>
        </w:tc>
      </w:tr>
      <w:tr w:rsidR="00C107CD" w:rsidRPr="00DC77E0" w14:paraId="48B7B377" w14:textId="77777777" w:rsidTr="00C107CD">
        <w:trPr>
          <w:trHeight w:val="288"/>
        </w:trPr>
        <w:tc>
          <w:tcPr>
            <w:tcW w:w="836" w:type="pct"/>
            <w:tcBorders>
              <w:top w:val="single" w:sz="4" w:space="0" w:color="auto"/>
              <w:left w:val="single" w:sz="4" w:space="0" w:color="auto"/>
              <w:bottom w:val="single" w:sz="4" w:space="0" w:color="auto"/>
              <w:right w:val="single" w:sz="4" w:space="0" w:color="auto"/>
            </w:tcBorders>
            <w:noWrap/>
            <w:vAlign w:val="bottom"/>
            <w:hideMark/>
          </w:tcPr>
          <w:p w14:paraId="58D52B2E" w14:textId="77777777" w:rsidR="008B6742" w:rsidRPr="00DC77E0" w:rsidRDefault="008B6742" w:rsidP="005A7661">
            <w:pPr>
              <w:spacing w:after="0"/>
              <w:jc w:val="left"/>
              <w:rPr>
                <w:rFonts w:cs="Calibri"/>
                <w:color w:val="000000"/>
                <w:lang w:eastAsia="fr-FR"/>
              </w:rPr>
            </w:pPr>
            <w:r w:rsidRPr="00DC77E0">
              <w:rPr>
                <w:rFonts w:cs="Calibri"/>
                <w:color w:val="000000"/>
                <w:lang w:eastAsia="fr-FR"/>
              </w:rPr>
              <w:t>Chevalier cul-blanc</w:t>
            </w:r>
          </w:p>
        </w:tc>
        <w:tc>
          <w:tcPr>
            <w:tcW w:w="975" w:type="pct"/>
            <w:tcBorders>
              <w:top w:val="single" w:sz="4" w:space="0" w:color="auto"/>
              <w:left w:val="single" w:sz="4" w:space="0" w:color="auto"/>
              <w:bottom w:val="single" w:sz="4" w:space="0" w:color="auto"/>
              <w:right w:val="single" w:sz="4" w:space="0" w:color="auto"/>
            </w:tcBorders>
            <w:noWrap/>
            <w:vAlign w:val="bottom"/>
            <w:hideMark/>
          </w:tcPr>
          <w:p w14:paraId="04E6674B" w14:textId="77777777" w:rsidR="008B6742" w:rsidRPr="00DC77E0" w:rsidRDefault="008B6742" w:rsidP="005A7661">
            <w:pPr>
              <w:spacing w:after="0"/>
              <w:jc w:val="left"/>
              <w:rPr>
                <w:rFonts w:cs="Calibri"/>
                <w:i/>
                <w:iCs/>
                <w:color w:val="000000"/>
                <w:lang w:eastAsia="fr-FR"/>
              </w:rPr>
            </w:pPr>
            <w:r w:rsidRPr="00DC77E0">
              <w:rPr>
                <w:rFonts w:cs="Calibri"/>
                <w:i/>
                <w:iCs/>
                <w:color w:val="000000"/>
                <w:lang w:eastAsia="fr-FR"/>
              </w:rPr>
              <w:t>Tringa ochropus</w:t>
            </w:r>
          </w:p>
        </w:tc>
        <w:tc>
          <w:tcPr>
            <w:tcW w:w="517" w:type="pct"/>
            <w:tcBorders>
              <w:top w:val="single" w:sz="4" w:space="0" w:color="auto"/>
              <w:left w:val="single" w:sz="4" w:space="0" w:color="auto"/>
              <w:bottom w:val="single" w:sz="4" w:space="0" w:color="auto"/>
              <w:right w:val="single" w:sz="4" w:space="0" w:color="auto"/>
            </w:tcBorders>
            <w:vAlign w:val="center"/>
          </w:tcPr>
          <w:p w14:paraId="16156B16" w14:textId="77777777" w:rsidR="008B6742" w:rsidRPr="00DC77E0" w:rsidRDefault="008B6742" w:rsidP="005A7661">
            <w:pPr>
              <w:spacing w:after="0"/>
              <w:jc w:val="center"/>
              <w:rPr>
                <w:rFonts w:ascii="Arial" w:hAnsi="Arial"/>
                <w:color w:val="000000"/>
                <w:sz w:val="18"/>
                <w:szCs w:val="18"/>
                <w:lang w:eastAsia="fr-FR"/>
              </w:rPr>
            </w:pPr>
            <w:r w:rsidRPr="00424FDB">
              <w:rPr>
                <w:rFonts w:ascii="Aptos Narrow" w:hAnsi="Aptos Narrow" w:cs="Times New Roman"/>
                <w:color w:val="000000"/>
                <w:lang w:eastAsia="fr-FR"/>
              </w:rPr>
              <w:t xml:space="preserve">ZA / </w:t>
            </w:r>
            <w:r>
              <w:rPr>
                <w:rFonts w:ascii="Aptos Narrow" w:hAnsi="Aptos Narrow" w:cs="Times New Roman"/>
                <w:color w:val="000000"/>
                <w:lang w:eastAsia="fr-FR"/>
              </w:rPr>
              <w:t>ZER/ZEE</w:t>
            </w:r>
          </w:p>
        </w:tc>
        <w:tc>
          <w:tcPr>
            <w:tcW w:w="517" w:type="pct"/>
            <w:tcBorders>
              <w:top w:val="single" w:sz="4" w:space="0" w:color="auto"/>
              <w:left w:val="single" w:sz="4" w:space="0" w:color="auto"/>
              <w:bottom w:val="single" w:sz="4" w:space="0" w:color="auto"/>
              <w:right w:val="single" w:sz="4" w:space="0" w:color="auto"/>
            </w:tcBorders>
            <w:vAlign w:val="center"/>
            <w:hideMark/>
          </w:tcPr>
          <w:p w14:paraId="4EB9DF5E" w14:textId="77777777" w:rsidR="008B6742" w:rsidRPr="00DC77E0" w:rsidRDefault="008B6742" w:rsidP="005A7661">
            <w:pPr>
              <w:spacing w:after="0"/>
              <w:jc w:val="center"/>
              <w:rPr>
                <w:rFonts w:ascii="Arial" w:hAnsi="Arial"/>
                <w:color w:val="000000"/>
                <w:sz w:val="18"/>
                <w:szCs w:val="18"/>
                <w:lang w:eastAsia="fr-FR"/>
              </w:rPr>
            </w:pPr>
            <w:r w:rsidRPr="00DC77E0">
              <w:rPr>
                <w:rFonts w:ascii="Arial" w:hAnsi="Arial"/>
                <w:color w:val="000000"/>
                <w:sz w:val="18"/>
                <w:szCs w:val="18"/>
                <w:lang w:eastAsia="fr-FR"/>
              </w:rPr>
              <w:t>H, MP</w:t>
            </w:r>
          </w:p>
        </w:tc>
        <w:tc>
          <w:tcPr>
            <w:tcW w:w="434" w:type="pct"/>
            <w:tcBorders>
              <w:top w:val="single" w:sz="4" w:space="0" w:color="auto"/>
              <w:left w:val="single" w:sz="4" w:space="0" w:color="auto"/>
              <w:bottom w:val="single" w:sz="4" w:space="0" w:color="auto"/>
              <w:right w:val="single" w:sz="4" w:space="0" w:color="auto"/>
            </w:tcBorders>
            <w:vAlign w:val="center"/>
            <w:hideMark/>
          </w:tcPr>
          <w:p w14:paraId="4BBAF1B7" w14:textId="77777777" w:rsidR="008B6742" w:rsidRPr="00DC77E0" w:rsidRDefault="008B6742" w:rsidP="005A7661">
            <w:pPr>
              <w:spacing w:after="0"/>
              <w:jc w:val="center"/>
              <w:rPr>
                <w:rFonts w:ascii="Arial" w:hAnsi="Arial"/>
                <w:color w:val="000000"/>
                <w:sz w:val="18"/>
                <w:szCs w:val="18"/>
                <w:lang w:eastAsia="fr-FR"/>
              </w:rPr>
            </w:pPr>
            <w:r w:rsidRPr="00DC77E0">
              <w:rPr>
                <w:rFonts w:ascii="Arial" w:hAnsi="Arial"/>
                <w:color w:val="000000"/>
                <w:sz w:val="18"/>
                <w:szCs w:val="18"/>
                <w:lang w:eastAsia="fr-FR"/>
              </w:rPr>
              <w:t>-</w:t>
            </w:r>
          </w:p>
        </w:tc>
        <w:tc>
          <w:tcPr>
            <w:tcW w:w="345" w:type="pct"/>
            <w:tcBorders>
              <w:top w:val="single" w:sz="4" w:space="0" w:color="auto"/>
              <w:left w:val="single" w:sz="4" w:space="0" w:color="auto"/>
              <w:bottom w:val="single" w:sz="4" w:space="0" w:color="auto"/>
              <w:right w:val="single" w:sz="4" w:space="0" w:color="auto"/>
            </w:tcBorders>
            <w:vAlign w:val="center"/>
            <w:hideMark/>
          </w:tcPr>
          <w:p w14:paraId="5DD7C7C7" w14:textId="77777777" w:rsidR="008B6742" w:rsidRPr="00DC77E0" w:rsidRDefault="008B6742" w:rsidP="005A7661">
            <w:pPr>
              <w:spacing w:after="0"/>
              <w:jc w:val="center"/>
              <w:rPr>
                <w:rFonts w:ascii="Arial" w:hAnsi="Arial"/>
                <w:color w:val="000000"/>
                <w:sz w:val="18"/>
                <w:szCs w:val="18"/>
                <w:lang w:eastAsia="fr-FR"/>
              </w:rPr>
            </w:pPr>
            <w:r w:rsidRPr="00DC77E0">
              <w:rPr>
                <w:rFonts w:ascii="Arial" w:hAnsi="Arial"/>
                <w:color w:val="000000"/>
                <w:sz w:val="18"/>
                <w:szCs w:val="18"/>
                <w:lang w:eastAsia="fr-FR"/>
              </w:rPr>
              <w:t>-</w:t>
            </w:r>
          </w:p>
        </w:tc>
        <w:tc>
          <w:tcPr>
            <w:tcW w:w="326" w:type="pct"/>
            <w:tcBorders>
              <w:top w:val="single" w:sz="4" w:space="0" w:color="auto"/>
              <w:left w:val="single" w:sz="4" w:space="0" w:color="auto"/>
              <w:bottom w:val="single" w:sz="4" w:space="0" w:color="auto"/>
              <w:right w:val="single" w:sz="4" w:space="0" w:color="auto"/>
            </w:tcBorders>
            <w:vAlign w:val="center"/>
            <w:hideMark/>
          </w:tcPr>
          <w:p w14:paraId="3A181661" w14:textId="77777777" w:rsidR="008B6742" w:rsidRPr="00DC77E0" w:rsidRDefault="008B6742" w:rsidP="005A7661">
            <w:pPr>
              <w:spacing w:after="0"/>
              <w:jc w:val="center"/>
              <w:rPr>
                <w:rFonts w:ascii="Arial" w:hAnsi="Arial"/>
                <w:color w:val="000000"/>
                <w:sz w:val="18"/>
                <w:szCs w:val="18"/>
                <w:lang w:eastAsia="fr-FR"/>
              </w:rPr>
            </w:pPr>
            <w:r w:rsidRPr="00DC77E0">
              <w:rPr>
                <w:rFonts w:ascii="Arial" w:hAnsi="Arial"/>
                <w:color w:val="000000"/>
                <w:sz w:val="18"/>
                <w:szCs w:val="18"/>
                <w:lang w:eastAsia="fr-FR"/>
              </w:rPr>
              <w:t>LC</w:t>
            </w:r>
          </w:p>
        </w:tc>
        <w:tc>
          <w:tcPr>
            <w:tcW w:w="263" w:type="pct"/>
            <w:tcBorders>
              <w:top w:val="single" w:sz="4" w:space="0" w:color="auto"/>
              <w:left w:val="single" w:sz="4" w:space="0" w:color="auto"/>
              <w:bottom w:val="single" w:sz="4" w:space="0" w:color="auto"/>
              <w:right w:val="single" w:sz="4" w:space="0" w:color="auto"/>
            </w:tcBorders>
            <w:vAlign w:val="center"/>
            <w:hideMark/>
          </w:tcPr>
          <w:p w14:paraId="491F4F18" w14:textId="77777777" w:rsidR="008B6742" w:rsidRPr="00DC77E0" w:rsidRDefault="008B6742" w:rsidP="005A7661">
            <w:pPr>
              <w:spacing w:after="0"/>
              <w:jc w:val="center"/>
              <w:rPr>
                <w:rFonts w:ascii="Arial" w:hAnsi="Arial"/>
                <w:color w:val="000000"/>
                <w:sz w:val="18"/>
                <w:szCs w:val="18"/>
                <w:lang w:eastAsia="fr-FR"/>
              </w:rPr>
            </w:pPr>
            <w:r w:rsidRPr="00DC77E0">
              <w:rPr>
                <w:rFonts w:ascii="Arial" w:hAnsi="Arial"/>
                <w:color w:val="000000"/>
                <w:sz w:val="18"/>
                <w:szCs w:val="18"/>
                <w:lang w:eastAsia="fr-FR"/>
              </w:rPr>
              <w:t xml:space="preserve">- </w:t>
            </w:r>
          </w:p>
        </w:tc>
        <w:tc>
          <w:tcPr>
            <w:tcW w:w="263" w:type="pct"/>
            <w:tcBorders>
              <w:top w:val="single" w:sz="4" w:space="0" w:color="auto"/>
              <w:left w:val="single" w:sz="4" w:space="0" w:color="auto"/>
              <w:bottom w:val="single" w:sz="4" w:space="0" w:color="auto"/>
              <w:right w:val="single" w:sz="4" w:space="0" w:color="auto"/>
            </w:tcBorders>
            <w:vAlign w:val="center"/>
            <w:hideMark/>
          </w:tcPr>
          <w:p w14:paraId="512A2CFA" w14:textId="77777777" w:rsidR="008B6742" w:rsidRPr="00DC77E0" w:rsidRDefault="008B6742" w:rsidP="005A7661">
            <w:pPr>
              <w:spacing w:after="0"/>
              <w:jc w:val="center"/>
              <w:rPr>
                <w:rFonts w:ascii="Arial" w:hAnsi="Arial"/>
                <w:color w:val="000000"/>
                <w:sz w:val="18"/>
                <w:szCs w:val="18"/>
                <w:lang w:eastAsia="fr-FR"/>
              </w:rPr>
            </w:pPr>
            <w:r w:rsidRPr="00DC77E0">
              <w:rPr>
                <w:rFonts w:ascii="Arial" w:hAnsi="Arial"/>
                <w:color w:val="000000"/>
                <w:sz w:val="18"/>
                <w:szCs w:val="18"/>
                <w:lang w:eastAsia="fr-FR"/>
              </w:rPr>
              <w:t>-</w:t>
            </w:r>
          </w:p>
        </w:tc>
        <w:tc>
          <w:tcPr>
            <w:tcW w:w="263" w:type="pct"/>
            <w:tcBorders>
              <w:top w:val="single" w:sz="4" w:space="0" w:color="auto"/>
              <w:left w:val="single" w:sz="4" w:space="0" w:color="auto"/>
              <w:bottom w:val="single" w:sz="4" w:space="0" w:color="auto"/>
              <w:right w:val="single" w:sz="4" w:space="0" w:color="auto"/>
            </w:tcBorders>
            <w:vAlign w:val="center"/>
            <w:hideMark/>
          </w:tcPr>
          <w:p w14:paraId="5A0C43D1" w14:textId="77777777" w:rsidR="008B6742" w:rsidRPr="00DC77E0" w:rsidRDefault="008B6742" w:rsidP="005A7661">
            <w:pPr>
              <w:spacing w:after="0"/>
              <w:jc w:val="center"/>
              <w:rPr>
                <w:rFonts w:ascii="Arial" w:hAnsi="Arial"/>
                <w:color w:val="000000"/>
                <w:sz w:val="18"/>
                <w:szCs w:val="18"/>
                <w:lang w:eastAsia="fr-FR"/>
              </w:rPr>
            </w:pPr>
            <w:r w:rsidRPr="00DC77E0">
              <w:rPr>
                <w:rFonts w:ascii="Arial" w:hAnsi="Arial"/>
                <w:color w:val="000000"/>
                <w:sz w:val="18"/>
                <w:szCs w:val="18"/>
                <w:lang w:eastAsia="fr-FR"/>
              </w:rPr>
              <w:t>An. II</w:t>
            </w:r>
          </w:p>
        </w:tc>
        <w:tc>
          <w:tcPr>
            <w:tcW w:w="262" w:type="pct"/>
            <w:tcBorders>
              <w:top w:val="single" w:sz="4" w:space="0" w:color="auto"/>
              <w:left w:val="single" w:sz="4" w:space="0" w:color="auto"/>
              <w:bottom w:val="single" w:sz="4" w:space="0" w:color="auto"/>
              <w:right w:val="single" w:sz="4" w:space="0" w:color="auto"/>
            </w:tcBorders>
            <w:vAlign w:val="center"/>
            <w:hideMark/>
          </w:tcPr>
          <w:p w14:paraId="23929054" w14:textId="77777777" w:rsidR="008B6742" w:rsidRPr="00DC77E0" w:rsidRDefault="008B6742" w:rsidP="005A7661">
            <w:pPr>
              <w:spacing w:after="0"/>
              <w:jc w:val="center"/>
              <w:rPr>
                <w:rFonts w:ascii="Arial" w:hAnsi="Arial"/>
                <w:color w:val="000000"/>
                <w:sz w:val="18"/>
                <w:szCs w:val="18"/>
                <w:lang w:eastAsia="fr-FR"/>
              </w:rPr>
            </w:pPr>
            <w:r w:rsidRPr="00DC77E0">
              <w:rPr>
                <w:rFonts w:ascii="Arial" w:hAnsi="Arial"/>
                <w:color w:val="000000"/>
                <w:sz w:val="18"/>
                <w:szCs w:val="18"/>
                <w:lang w:eastAsia="fr-FR"/>
              </w:rPr>
              <w:t>An. II</w:t>
            </w:r>
          </w:p>
        </w:tc>
      </w:tr>
      <w:tr w:rsidR="00C107CD" w:rsidRPr="00DC77E0" w14:paraId="01539958" w14:textId="77777777" w:rsidTr="00C107CD">
        <w:trPr>
          <w:trHeight w:val="288"/>
        </w:trPr>
        <w:tc>
          <w:tcPr>
            <w:tcW w:w="836" w:type="pct"/>
            <w:tcBorders>
              <w:top w:val="single" w:sz="4" w:space="0" w:color="auto"/>
              <w:left w:val="single" w:sz="4" w:space="0" w:color="auto"/>
              <w:bottom w:val="single" w:sz="4" w:space="0" w:color="auto"/>
              <w:right w:val="single" w:sz="4" w:space="0" w:color="auto"/>
            </w:tcBorders>
            <w:noWrap/>
            <w:vAlign w:val="bottom"/>
            <w:hideMark/>
          </w:tcPr>
          <w:p w14:paraId="4A6CCAF9" w14:textId="77777777" w:rsidR="008B6742" w:rsidRPr="00DC77E0" w:rsidRDefault="008B6742" w:rsidP="005A7661">
            <w:pPr>
              <w:spacing w:after="0"/>
              <w:jc w:val="left"/>
              <w:rPr>
                <w:rFonts w:cs="Calibri"/>
                <w:color w:val="000000"/>
                <w:lang w:eastAsia="fr-FR"/>
              </w:rPr>
            </w:pPr>
            <w:r w:rsidRPr="00DC77E0">
              <w:rPr>
                <w:rFonts w:cs="Calibri"/>
                <w:color w:val="000000"/>
                <w:lang w:eastAsia="fr-FR"/>
              </w:rPr>
              <w:t>Cigogne blanche</w:t>
            </w:r>
          </w:p>
        </w:tc>
        <w:tc>
          <w:tcPr>
            <w:tcW w:w="975" w:type="pct"/>
            <w:tcBorders>
              <w:top w:val="single" w:sz="4" w:space="0" w:color="auto"/>
              <w:left w:val="single" w:sz="4" w:space="0" w:color="auto"/>
              <w:bottom w:val="single" w:sz="4" w:space="0" w:color="auto"/>
              <w:right w:val="single" w:sz="4" w:space="0" w:color="auto"/>
            </w:tcBorders>
            <w:noWrap/>
            <w:vAlign w:val="bottom"/>
            <w:hideMark/>
          </w:tcPr>
          <w:p w14:paraId="4AB39E21" w14:textId="77777777" w:rsidR="008B6742" w:rsidRPr="00DC77E0" w:rsidRDefault="008B6742" w:rsidP="005A7661">
            <w:pPr>
              <w:spacing w:after="0"/>
              <w:jc w:val="left"/>
              <w:rPr>
                <w:rFonts w:cs="Calibri"/>
                <w:i/>
                <w:iCs/>
                <w:color w:val="000000"/>
                <w:lang w:eastAsia="fr-FR"/>
              </w:rPr>
            </w:pPr>
            <w:r w:rsidRPr="00DC77E0">
              <w:rPr>
                <w:rFonts w:cs="Calibri"/>
                <w:i/>
                <w:iCs/>
                <w:color w:val="000000"/>
                <w:lang w:eastAsia="fr-FR"/>
              </w:rPr>
              <w:t>Ciconia ciconia</w:t>
            </w:r>
          </w:p>
        </w:tc>
        <w:tc>
          <w:tcPr>
            <w:tcW w:w="517" w:type="pct"/>
            <w:tcBorders>
              <w:top w:val="single" w:sz="4" w:space="0" w:color="auto"/>
              <w:left w:val="single" w:sz="4" w:space="0" w:color="auto"/>
              <w:bottom w:val="single" w:sz="4" w:space="0" w:color="auto"/>
              <w:right w:val="single" w:sz="4" w:space="0" w:color="auto"/>
            </w:tcBorders>
            <w:vAlign w:val="center"/>
          </w:tcPr>
          <w:p w14:paraId="67C63280" w14:textId="77777777" w:rsidR="008B6742" w:rsidRPr="00DC77E0" w:rsidRDefault="008B6742" w:rsidP="005A7661">
            <w:pPr>
              <w:spacing w:after="0"/>
              <w:jc w:val="center"/>
              <w:rPr>
                <w:rFonts w:ascii="Arial" w:hAnsi="Arial"/>
                <w:color w:val="000000"/>
                <w:sz w:val="18"/>
                <w:szCs w:val="18"/>
                <w:lang w:eastAsia="fr-FR"/>
              </w:rPr>
            </w:pPr>
            <w:r>
              <w:rPr>
                <w:rFonts w:ascii="Aptos Narrow" w:hAnsi="Aptos Narrow" w:cs="Times New Roman"/>
                <w:color w:val="000000"/>
                <w:lang w:eastAsia="fr-FR"/>
              </w:rPr>
              <w:t>ZER/ZEE</w:t>
            </w:r>
          </w:p>
        </w:tc>
        <w:tc>
          <w:tcPr>
            <w:tcW w:w="517" w:type="pct"/>
            <w:tcBorders>
              <w:top w:val="single" w:sz="4" w:space="0" w:color="auto"/>
              <w:left w:val="single" w:sz="4" w:space="0" w:color="auto"/>
              <w:bottom w:val="single" w:sz="4" w:space="0" w:color="auto"/>
              <w:right w:val="single" w:sz="4" w:space="0" w:color="auto"/>
            </w:tcBorders>
            <w:vAlign w:val="center"/>
            <w:hideMark/>
          </w:tcPr>
          <w:p w14:paraId="398C4286" w14:textId="77777777" w:rsidR="008B6742" w:rsidRPr="00DC77E0" w:rsidRDefault="008B6742" w:rsidP="005A7661">
            <w:pPr>
              <w:spacing w:after="0"/>
              <w:jc w:val="center"/>
              <w:rPr>
                <w:rFonts w:ascii="Arial" w:hAnsi="Arial"/>
                <w:color w:val="000000"/>
                <w:sz w:val="18"/>
                <w:szCs w:val="18"/>
                <w:lang w:eastAsia="fr-FR"/>
              </w:rPr>
            </w:pPr>
            <w:r w:rsidRPr="00DC77E0">
              <w:rPr>
                <w:rFonts w:ascii="Arial" w:hAnsi="Arial"/>
                <w:color w:val="000000"/>
                <w:sz w:val="18"/>
                <w:szCs w:val="18"/>
                <w:lang w:eastAsia="fr-FR"/>
              </w:rPr>
              <w:t>MP, NM, H</w:t>
            </w:r>
          </w:p>
        </w:tc>
        <w:tc>
          <w:tcPr>
            <w:tcW w:w="434" w:type="pct"/>
            <w:tcBorders>
              <w:top w:val="single" w:sz="4" w:space="0" w:color="auto"/>
              <w:left w:val="single" w:sz="4" w:space="0" w:color="auto"/>
              <w:bottom w:val="single" w:sz="4" w:space="0" w:color="auto"/>
              <w:right w:val="single" w:sz="4" w:space="0" w:color="auto"/>
            </w:tcBorders>
            <w:vAlign w:val="center"/>
            <w:hideMark/>
          </w:tcPr>
          <w:p w14:paraId="54E0E958" w14:textId="77777777" w:rsidR="008B6742" w:rsidRPr="00DC77E0" w:rsidRDefault="008B6742" w:rsidP="005A7661">
            <w:pPr>
              <w:spacing w:after="0"/>
              <w:jc w:val="center"/>
              <w:rPr>
                <w:rFonts w:ascii="Arial" w:hAnsi="Arial"/>
                <w:color w:val="000000"/>
                <w:sz w:val="18"/>
                <w:szCs w:val="18"/>
                <w:lang w:eastAsia="fr-FR"/>
              </w:rPr>
            </w:pPr>
            <w:r w:rsidRPr="00DC77E0">
              <w:rPr>
                <w:rFonts w:ascii="Arial" w:hAnsi="Arial"/>
                <w:color w:val="000000"/>
                <w:sz w:val="18"/>
                <w:szCs w:val="18"/>
                <w:lang w:eastAsia="fr-FR"/>
              </w:rPr>
              <w:t>Protégée</w:t>
            </w:r>
          </w:p>
        </w:tc>
        <w:tc>
          <w:tcPr>
            <w:tcW w:w="345" w:type="pct"/>
            <w:tcBorders>
              <w:top w:val="single" w:sz="4" w:space="0" w:color="auto"/>
              <w:left w:val="single" w:sz="4" w:space="0" w:color="auto"/>
              <w:bottom w:val="single" w:sz="4" w:space="0" w:color="auto"/>
              <w:right w:val="single" w:sz="4" w:space="0" w:color="auto"/>
            </w:tcBorders>
            <w:vAlign w:val="center"/>
            <w:hideMark/>
          </w:tcPr>
          <w:p w14:paraId="5364A691" w14:textId="77777777" w:rsidR="008B6742" w:rsidRPr="00DC77E0" w:rsidRDefault="008B6742" w:rsidP="005A7661">
            <w:pPr>
              <w:spacing w:after="0"/>
              <w:jc w:val="center"/>
              <w:rPr>
                <w:rFonts w:ascii="Arial" w:hAnsi="Arial"/>
                <w:color w:val="000000"/>
                <w:sz w:val="18"/>
                <w:szCs w:val="18"/>
                <w:lang w:eastAsia="fr-FR"/>
              </w:rPr>
            </w:pPr>
            <w:r w:rsidRPr="00DC77E0">
              <w:rPr>
                <w:rFonts w:ascii="Arial" w:hAnsi="Arial"/>
                <w:color w:val="000000"/>
                <w:sz w:val="18"/>
                <w:szCs w:val="18"/>
                <w:lang w:eastAsia="fr-FR"/>
              </w:rPr>
              <w:t>Catégorie IV</w:t>
            </w:r>
          </w:p>
        </w:tc>
        <w:tc>
          <w:tcPr>
            <w:tcW w:w="326" w:type="pct"/>
            <w:tcBorders>
              <w:top w:val="single" w:sz="4" w:space="0" w:color="auto"/>
              <w:left w:val="single" w:sz="4" w:space="0" w:color="auto"/>
              <w:bottom w:val="single" w:sz="4" w:space="0" w:color="auto"/>
              <w:right w:val="single" w:sz="4" w:space="0" w:color="auto"/>
            </w:tcBorders>
            <w:vAlign w:val="center"/>
            <w:hideMark/>
          </w:tcPr>
          <w:p w14:paraId="5756DB19" w14:textId="77777777" w:rsidR="008B6742" w:rsidRPr="00DC77E0" w:rsidRDefault="008B6742" w:rsidP="005A7661">
            <w:pPr>
              <w:spacing w:after="0"/>
              <w:jc w:val="center"/>
              <w:rPr>
                <w:rFonts w:ascii="Arial" w:hAnsi="Arial"/>
                <w:color w:val="000000"/>
                <w:sz w:val="18"/>
                <w:szCs w:val="18"/>
                <w:lang w:eastAsia="fr-FR"/>
              </w:rPr>
            </w:pPr>
            <w:r w:rsidRPr="00DC77E0">
              <w:rPr>
                <w:rFonts w:ascii="Arial" w:hAnsi="Arial"/>
                <w:color w:val="000000"/>
                <w:sz w:val="18"/>
                <w:szCs w:val="18"/>
                <w:lang w:eastAsia="fr-FR"/>
              </w:rPr>
              <w:t>LC</w:t>
            </w:r>
          </w:p>
        </w:tc>
        <w:tc>
          <w:tcPr>
            <w:tcW w:w="263" w:type="pct"/>
            <w:tcBorders>
              <w:top w:val="single" w:sz="4" w:space="0" w:color="auto"/>
              <w:left w:val="single" w:sz="4" w:space="0" w:color="auto"/>
              <w:bottom w:val="single" w:sz="4" w:space="0" w:color="auto"/>
              <w:right w:val="single" w:sz="4" w:space="0" w:color="auto"/>
            </w:tcBorders>
            <w:vAlign w:val="center"/>
            <w:hideMark/>
          </w:tcPr>
          <w:p w14:paraId="3A20206E" w14:textId="77777777" w:rsidR="008B6742" w:rsidRPr="00DC77E0" w:rsidRDefault="008B6742" w:rsidP="005A7661">
            <w:pPr>
              <w:spacing w:after="0"/>
              <w:jc w:val="center"/>
              <w:rPr>
                <w:rFonts w:ascii="Arial" w:hAnsi="Arial"/>
                <w:color w:val="000000"/>
                <w:sz w:val="18"/>
                <w:szCs w:val="18"/>
                <w:lang w:eastAsia="fr-FR"/>
              </w:rPr>
            </w:pPr>
            <w:r w:rsidRPr="00DC77E0">
              <w:rPr>
                <w:rFonts w:ascii="Arial" w:hAnsi="Arial"/>
                <w:color w:val="000000"/>
                <w:sz w:val="18"/>
                <w:szCs w:val="18"/>
                <w:lang w:eastAsia="fr-FR"/>
              </w:rPr>
              <w:t>-</w:t>
            </w:r>
          </w:p>
        </w:tc>
        <w:tc>
          <w:tcPr>
            <w:tcW w:w="263" w:type="pct"/>
            <w:tcBorders>
              <w:top w:val="single" w:sz="4" w:space="0" w:color="auto"/>
              <w:left w:val="single" w:sz="4" w:space="0" w:color="auto"/>
              <w:bottom w:val="single" w:sz="4" w:space="0" w:color="auto"/>
              <w:right w:val="single" w:sz="4" w:space="0" w:color="auto"/>
            </w:tcBorders>
            <w:vAlign w:val="center"/>
            <w:hideMark/>
          </w:tcPr>
          <w:p w14:paraId="7D88E756" w14:textId="77777777" w:rsidR="008B6742" w:rsidRPr="00DC77E0" w:rsidRDefault="008B6742" w:rsidP="005A7661">
            <w:pPr>
              <w:spacing w:after="0"/>
              <w:jc w:val="center"/>
              <w:rPr>
                <w:rFonts w:ascii="Arial" w:hAnsi="Arial"/>
                <w:color w:val="000000"/>
                <w:sz w:val="18"/>
                <w:szCs w:val="18"/>
                <w:lang w:eastAsia="fr-FR"/>
              </w:rPr>
            </w:pPr>
            <w:r w:rsidRPr="00DC77E0">
              <w:rPr>
                <w:rFonts w:ascii="Arial" w:hAnsi="Arial"/>
                <w:color w:val="000000"/>
                <w:sz w:val="18"/>
                <w:szCs w:val="18"/>
                <w:lang w:eastAsia="fr-FR"/>
              </w:rPr>
              <w:t>-</w:t>
            </w:r>
          </w:p>
        </w:tc>
        <w:tc>
          <w:tcPr>
            <w:tcW w:w="263" w:type="pct"/>
            <w:tcBorders>
              <w:top w:val="single" w:sz="4" w:space="0" w:color="auto"/>
              <w:left w:val="single" w:sz="4" w:space="0" w:color="auto"/>
              <w:bottom w:val="single" w:sz="4" w:space="0" w:color="auto"/>
              <w:right w:val="single" w:sz="4" w:space="0" w:color="auto"/>
            </w:tcBorders>
            <w:vAlign w:val="center"/>
            <w:hideMark/>
          </w:tcPr>
          <w:p w14:paraId="081FC41C" w14:textId="77777777" w:rsidR="008B6742" w:rsidRPr="00DC77E0" w:rsidRDefault="008B6742" w:rsidP="005A7661">
            <w:pPr>
              <w:spacing w:after="0"/>
              <w:jc w:val="center"/>
              <w:rPr>
                <w:rFonts w:ascii="Arial" w:hAnsi="Arial"/>
                <w:color w:val="000000"/>
                <w:sz w:val="18"/>
                <w:szCs w:val="18"/>
                <w:lang w:eastAsia="fr-FR"/>
              </w:rPr>
            </w:pPr>
            <w:r w:rsidRPr="00DC77E0">
              <w:rPr>
                <w:rFonts w:ascii="Arial" w:hAnsi="Arial"/>
                <w:color w:val="000000"/>
                <w:sz w:val="18"/>
                <w:szCs w:val="18"/>
                <w:lang w:eastAsia="fr-FR"/>
              </w:rPr>
              <w:t>An. II</w:t>
            </w:r>
          </w:p>
        </w:tc>
        <w:tc>
          <w:tcPr>
            <w:tcW w:w="262" w:type="pct"/>
            <w:tcBorders>
              <w:top w:val="single" w:sz="4" w:space="0" w:color="auto"/>
              <w:left w:val="single" w:sz="4" w:space="0" w:color="auto"/>
              <w:bottom w:val="single" w:sz="4" w:space="0" w:color="auto"/>
              <w:right w:val="single" w:sz="4" w:space="0" w:color="auto"/>
            </w:tcBorders>
            <w:vAlign w:val="center"/>
            <w:hideMark/>
          </w:tcPr>
          <w:p w14:paraId="45B30F02" w14:textId="77777777" w:rsidR="008B6742" w:rsidRPr="00DC77E0" w:rsidRDefault="008B6742" w:rsidP="005A7661">
            <w:pPr>
              <w:spacing w:after="0"/>
              <w:jc w:val="center"/>
              <w:rPr>
                <w:rFonts w:ascii="Arial" w:hAnsi="Arial"/>
                <w:color w:val="000000"/>
                <w:sz w:val="18"/>
                <w:szCs w:val="18"/>
                <w:lang w:eastAsia="fr-FR"/>
              </w:rPr>
            </w:pPr>
            <w:r w:rsidRPr="00DC77E0">
              <w:rPr>
                <w:rFonts w:ascii="Arial" w:hAnsi="Arial"/>
                <w:color w:val="000000"/>
                <w:sz w:val="18"/>
                <w:szCs w:val="18"/>
                <w:lang w:eastAsia="fr-FR"/>
              </w:rPr>
              <w:t>An. II</w:t>
            </w:r>
          </w:p>
        </w:tc>
      </w:tr>
      <w:tr w:rsidR="00C107CD" w:rsidRPr="00DC77E0" w14:paraId="115EA1CC" w14:textId="77777777" w:rsidTr="00C107CD">
        <w:trPr>
          <w:trHeight w:val="288"/>
        </w:trPr>
        <w:tc>
          <w:tcPr>
            <w:tcW w:w="836" w:type="pct"/>
            <w:tcBorders>
              <w:top w:val="single" w:sz="4" w:space="0" w:color="auto"/>
              <w:left w:val="single" w:sz="4" w:space="0" w:color="auto"/>
              <w:bottom w:val="single" w:sz="4" w:space="0" w:color="auto"/>
              <w:right w:val="single" w:sz="4" w:space="0" w:color="auto"/>
            </w:tcBorders>
            <w:noWrap/>
            <w:vAlign w:val="bottom"/>
            <w:hideMark/>
          </w:tcPr>
          <w:p w14:paraId="7F2E81BB" w14:textId="77777777" w:rsidR="008B6742" w:rsidRPr="00DC77E0" w:rsidRDefault="008B6742" w:rsidP="005A7661">
            <w:pPr>
              <w:spacing w:after="0"/>
              <w:jc w:val="left"/>
              <w:rPr>
                <w:rFonts w:cs="Calibri"/>
                <w:color w:val="000000"/>
                <w:lang w:eastAsia="fr-FR"/>
              </w:rPr>
            </w:pPr>
            <w:r w:rsidRPr="00DC77E0">
              <w:rPr>
                <w:rFonts w:cs="Calibri"/>
                <w:color w:val="000000"/>
                <w:lang w:eastAsia="fr-FR"/>
              </w:rPr>
              <w:t>Cochevis de Thékla</w:t>
            </w:r>
          </w:p>
        </w:tc>
        <w:tc>
          <w:tcPr>
            <w:tcW w:w="975" w:type="pct"/>
            <w:tcBorders>
              <w:top w:val="single" w:sz="4" w:space="0" w:color="auto"/>
              <w:left w:val="single" w:sz="4" w:space="0" w:color="auto"/>
              <w:bottom w:val="single" w:sz="4" w:space="0" w:color="auto"/>
              <w:right w:val="single" w:sz="4" w:space="0" w:color="auto"/>
            </w:tcBorders>
            <w:noWrap/>
            <w:vAlign w:val="bottom"/>
            <w:hideMark/>
          </w:tcPr>
          <w:p w14:paraId="3633EF0D" w14:textId="77777777" w:rsidR="008B6742" w:rsidRPr="00DC77E0" w:rsidRDefault="008B6742" w:rsidP="005A7661">
            <w:pPr>
              <w:spacing w:after="0"/>
              <w:jc w:val="left"/>
              <w:rPr>
                <w:rFonts w:cs="Calibri"/>
                <w:i/>
                <w:iCs/>
                <w:color w:val="000000"/>
                <w:lang w:eastAsia="fr-FR"/>
              </w:rPr>
            </w:pPr>
            <w:r w:rsidRPr="00DC77E0">
              <w:rPr>
                <w:rFonts w:cs="Calibri"/>
                <w:i/>
                <w:iCs/>
                <w:color w:val="000000"/>
                <w:lang w:eastAsia="fr-FR"/>
              </w:rPr>
              <w:t>Galerida theklae</w:t>
            </w:r>
          </w:p>
        </w:tc>
        <w:tc>
          <w:tcPr>
            <w:tcW w:w="517" w:type="pct"/>
            <w:tcBorders>
              <w:top w:val="single" w:sz="4" w:space="0" w:color="auto"/>
              <w:left w:val="single" w:sz="4" w:space="0" w:color="auto"/>
              <w:bottom w:val="single" w:sz="4" w:space="0" w:color="auto"/>
              <w:right w:val="single" w:sz="4" w:space="0" w:color="auto"/>
            </w:tcBorders>
            <w:vAlign w:val="center"/>
          </w:tcPr>
          <w:p w14:paraId="01669E5E" w14:textId="77777777" w:rsidR="008B6742" w:rsidRPr="00DC77E0" w:rsidRDefault="008B6742" w:rsidP="005A7661">
            <w:pPr>
              <w:spacing w:after="0"/>
              <w:jc w:val="center"/>
              <w:rPr>
                <w:rFonts w:ascii="Arial" w:hAnsi="Arial"/>
                <w:color w:val="000000"/>
                <w:sz w:val="18"/>
                <w:szCs w:val="18"/>
                <w:lang w:eastAsia="fr-FR"/>
              </w:rPr>
            </w:pPr>
            <w:r>
              <w:rPr>
                <w:rFonts w:ascii="Aptos Narrow" w:hAnsi="Aptos Narrow" w:cs="Times New Roman"/>
                <w:color w:val="000000"/>
                <w:lang w:eastAsia="fr-FR"/>
              </w:rPr>
              <w:t>ZER/ZEE</w:t>
            </w:r>
          </w:p>
        </w:tc>
        <w:tc>
          <w:tcPr>
            <w:tcW w:w="517" w:type="pct"/>
            <w:tcBorders>
              <w:top w:val="single" w:sz="4" w:space="0" w:color="auto"/>
              <w:left w:val="single" w:sz="4" w:space="0" w:color="auto"/>
              <w:bottom w:val="single" w:sz="4" w:space="0" w:color="auto"/>
              <w:right w:val="single" w:sz="4" w:space="0" w:color="auto"/>
            </w:tcBorders>
            <w:vAlign w:val="center"/>
            <w:hideMark/>
          </w:tcPr>
          <w:p w14:paraId="58D62B0D" w14:textId="77777777" w:rsidR="008B6742" w:rsidRPr="00DC77E0" w:rsidRDefault="008B6742" w:rsidP="005A7661">
            <w:pPr>
              <w:spacing w:after="0"/>
              <w:jc w:val="center"/>
              <w:rPr>
                <w:rFonts w:ascii="Arial" w:hAnsi="Arial"/>
                <w:color w:val="000000"/>
                <w:sz w:val="18"/>
                <w:szCs w:val="18"/>
                <w:lang w:eastAsia="fr-FR"/>
              </w:rPr>
            </w:pPr>
            <w:r w:rsidRPr="00DC77E0">
              <w:rPr>
                <w:rFonts w:ascii="Arial" w:hAnsi="Arial"/>
                <w:color w:val="000000"/>
                <w:sz w:val="18"/>
                <w:szCs w:val="18"/>
                <w:lang w:eastAsia="fr-FR"/>
              </w:rPr>
              <w:t>NS</w:t>
            </w:r>
          </w:p>
        </w:tc>
        <w:tc>
          <w:tcPr>
            <w:tcW w:w="434" w:type="pct"/>
            <w:tcBorders>
              <w:top w:val="single" w:sz="4" w:space="0" w:color="auto"/>
              <w:left w:val="single" w:sz="4" w:space="0" w:color="auto"/>
              <w:bottom w:val="single" w:sz="4" w:space="0" w:color="auto"/>
              <w:right w:val="single" w:sz="4" w:space="0" w:color="auto"/>
            </w:tcBorders>
            <w:vAlign w:val="center"/>
            <w:hideMark/>
          </w:tcPr>
          <w:p w14:paraId="2B3E86B0" w14:textId="77777777" w:rsidR="008B6742" w:rsidRPr="00DC77E0" w:rsidRDefault="008B6742" w:rsidP="005A7661">
            <w:pPr>
              <w:spacing w:after="0"/>
              <w:jc w:val="center"/>
              <w:rPr>
                <w:rFonts w:ascii="Arial" w:hAnsi="Arial"/>
                <w:color w:val="000000"/>
                <w:sz w:val="18"/>
                <w:szCs w:val="18"/>
                <w:lang w:eastAsia="fr-FR"/>
              </w:rPr>
            </w:pPr>
            <w:r w:rsidRPr="00DC77E0">
              <w:rPr>
                <w:rFonts w:ascii="Arial" w:hAnsi="Arial"/>
                <w:color w:val="000000"/>
                <w:sz w:val="18"/>
                <w:szCs w:val="18"/>
                <w:lang w:eastAsia="fr-FR"/>
              </w:rPr>
              <w:t>-</w:t>
            </w:r>
          </w:p>
        </w:tc>
        <w:tc>
          <w:tcPr>
            <w:tcW w:w="345" w:type="pct"/>
            <w:tcBorders>
              <w:top w:val="single" w:sz="4" w:space="0" w:color="auto"/>
              <w:left w:val="single" w:sz="4" w:space="0" w:color="auto"/>
              <w:bottom w:val="single" w:sz="4" w:space="0" w:color="auto"/>
              <w:right w:val="single" w:sz="4" w:space="0" w:color="auto"/>
            </w:tcBorders>
            <w:vAlign w:val="center"/>
            <w:hideMark/>
          </w:tcPr>
          <w:p w14:paraId="18C1E1A3" w14:textId="77777777" w:rsidR="008B6742" w:rsidRPr="00DC77E0" w:rsidRDefault="008B6742" w:rsidP="005A7661">
            <w:pPr>
              <w:spacing w:after="0"/>
              <w:jc w:val="center"/>
              <w:rPr>
                <w:rFonts w:ascii="Arial" w:hAnsi="Arial"/>
                <w:color w:val="000000"/>
                <w:sz w:val="18"/>
                <w:szCs w:val="18"/>
                <w:lang w:eastAsia="fr-FR"/>
              </w:rPr>
            </w:pPr>
            <w:r w:rsidRPr="00DC77E0">
              <w:rPr>
                <w:rFonts w:ascii="Arial" w:hAnsi="Arial"/>
                <w:color w:val="000000"/>
                <w:sz w:val="18"/>
                <w:szCs w:val="18"/>
                <w:lang w:eastAsia="fr-FR"/>
              </w:rPr>
              <w:t>-</w:t>
            </w:r>
          </w:p>
        </w:tc>
        <w:tc>
          <w:tcPr>
            <w:tcW w:w="326" w:type="pct"/>
            <w:tcBorders>
              <w:top w:val="single" w:sz="4" w:space="0" w:color="auto"/>
              <w:left w:val="single" w:sz="4" w:space="0" w:color="auto"/>
              <w:bottom w:val="single" w:sz="4" w:space="0" w:color="auto"/>
              <w:right w:val="single" w:sz="4" w:space="0" w:color="auto"/>
            </w:tcBorders>
            <w:vAlign w:val="center"/>
            <w:hideMark/>
          </w:tcPr>
          <w:p w14:paraId="60F9D991" w14:textId="77777777" w:rsidR="008B6742" w:rsidRPr="00DC77E0" w:rsidRDefault="008B6742" w:rsidP="005A7661">
            <w:pPr>
              <w:spacing w:after="0"/>
              <w:jc w:val="center"/>
              <w:rPr>
                <w:rFonts w:ascii="Arial" w:hAnsi="Arial"/>
                <w:color w:val="000000"/>
                <w:sz w:val="18"/>
                <w:szCs w:val="18"/>
                <w:lang w:eastAsia="fr-FR"/>
              </w:rPr>
            </w:pPr>
            <w:r w:rsidRPr="00DC77E0">
              <w:rPr>
                <w:rFonts w:ascii="Arial" w:hAnsi="Arial"/>
                <w:color w:val="000000"/>
                <w:sz w:val="18"/>
                <w:szCs w:val="18"/>
                <w:lang w:eastAsia="fr-FR"/>
              </w:rPr>
              <w:t>LC</w:t>
            </w:r>
          </w:p>
        </w:tc>
        <w:tc>
          <w:tcPr>
            <w:tcW w:w="263" w:type="pct"/>
            <w:tcBorders>
              <w:top w:val="single" w:sz="4" w:space="0" w:color="auto"/>
              <w:left w:val="single" w:sz="4" w:space="0" w:color="auto"/>
              <w:bottom w:val="single" w:sz="4" w:space="0" w:color="auto"/>
              <w:right w:val="single" w:sz="4" w:space="0" w:color="auto"/>
            </w:tcBorders>
            <w:vAlign w:val="center"/>
            <w:hideMark/>
          </w:tcPr>
          <w:p w14:paraId="6C1C8815" w14:textId="77777777" w:rsidR="008B6742" w:rsidRPr="00DC77E0" w:rsidRDefault="008B6742" w:rsidP="005A7661">
            <w:pPr>
              <w:spacing w:after="0"/>
              <w:jc w:val="center"/>
              <w:rPr>
                <w:rFonts w:ascii="Arial" w:hAnsi="Arial"/>
                <w:color w:val="000000"/>
                <w:sz w:val="18"/>
                <w:szCs w:val="18"/>
                <w:lang w:eastAsia="fr-FR"/>
              </w:rPr>
            </w:pPr>
            <w:r w:rsidRPr="00DC77E0">
              <w:rPr>
                <w:rFonts w:ascii="Arial" w:hAnsi="Arial"/>
                <w:color w:val="000000"/>
                <w:sz w:val="18"/>
                <w:szCs w:val="18"/>
                <w:lang w:eastAsia="fr-FR"/>
              </w:rPr>
              <w:t>-</w:t>
            </w:r>
          </w:p>
        </w:tc>
        <w:tc>
          <w:tcPr>
            <w:tcW w:w="263" w:type="pct"/>
            <w:tcBorders>
              <w:top w:val="single" w:sz="4" w:space="0" w:color="auto"/>
              <w:left w:val="single" w:sz="4" w:space="0" w:color="auto"/>
              <w:bottom w:val="single" w:sz="4" w:space="0" w:color="auto"/>
              <w:right w:val="single" w:sz="4" w:space="0" w:color="auto"/>
            </w:tcBorders>
            <w:vAlign w:val="center"/>
            <w:hideMark/>
          </w:tcPr>
          <w:p w14:paraId="1D9D89DD" w14:textId="77777777" w:rsidR="008B6742" w:rsidRPr="00DC77E0" w:rsidRDefault="008B6742" w:rsidP="005A7661">
            <w:pPr>
              <w:spacing w:after="0"/>
              <w:jc w:val="center"/>
              <w:rPr>
                <w:rFonts w:ascii="Arial" w:hAnsi="Arial"/>
                <w:color w:val="000000"/>
                <w:sz w:val="18"/>
                <w:szCs w:val="18"/>
                <w:lang w:eastAsia="fr-FR"/>
              </w:rPr>
            </w:pPr>
            <w:r w:rsidRPr="00DC77E0">
              <w:rPr>
                <w:rFonts w:ascii="Arial" w:hAnsi="Arial"/>
                <w:color w:val="000000"/>
                <w:sz w:val="18"/>
                <w:szCs w:val="18"/>
                <w:lang w:eastAsia="fr-FR"/>
              </w:rPr>
              <w:t>-</w:t>
            </w:r>
          </w:p>
        </w:tc>
        <w:tc>
          <w:tcPr>
            <w:tcW w:w="263" w:type="pct"/>
            <w:tcBorders>
              <w:top w:val="single" w:sz="4" w:space="0" w:color="auto"/>
              <w:left w:val="single" w:sz="4" w:space="0" w:color="auto"/>
              <w:bottom w:val="single" w:sz="4" w:space="0" w:color="auto"/>
              <w:right w:val="single" w:sz="4" w:space="0" w:color="auto"/>
            </w:tcBorders>
            <w:vAlign w:val="center"/>
            <w:hideMark/>
          </w:tcPr>
          <w:p w14:paraId="3FBE9D0E" w14:textId="77777777" w:rsidR="008B6742" w:rsidRPr="00DC77E0" w:rsidRDefault="008B6742" w:rsidP="005A7661">
            <w:pPr>
              <w:spacing w:after="0"/>
              <w:jc w:val="center"/>
              <w:rPr>
                <w:rFonts w:ascii="Arial" w:hAnsi="Arial"/>
                <w:color w:val="000000"/>
                <w:sz w:val="18"/>
                <w:szCs w:val="18"/>
                <w:lang w:eastAsia="fr-FR"/>
              </w:rPr>
            </w:pPr>
            <w:r w:rsidRPr="00DC77E0">
              <w:rPr>
                <w:rFonts w:ascii="Arial" w:hAnsi="Arial"/>
                <w:color w:val="000000"/>
                <w:sz w:val="18"/>
                <w:szCs w:val="18"/>
                <w:lang w:eastAsia="fr-FR"/>
              </w:rPr>
              <w:t>An. II</w:t>
            </w:r>
          </w:p>
        </w:tc>
        <w:tc>
          <w:tcPr>
            <w:tcW w:w="262" w:type="pct"/>
            <w:tcBorders>
              <w:top w:val="single" w:sz="4" w:space="0" w:color="auto"/>
              <w:left w:val="single" w:sz="4" w:space="0" w:color="auto"/>
              <w:bottom w:val="single" w:sz="4" w:space="0" w:color="auto"/>
              <w:right w:val="single" w:sz="4" w:space="0" w:color="auto"/>
            </w:tcBorders>
            <w:vAlign w:val="center"/>
            <w:hideMark/>
          </w:tcPr>
          <w:p w14:paraId="0E9BFDA7" w14:textId="77777777" w:rsidR="008B6742" w:rsidRPr="00DC77E0" w:rsidRDefault="008B6742" w:rsidP="005A7661">
            <w:pPr>
              <w:spacing w:after="0"/>
              <w:jc w:val="center"/>
              <w:rPr>
                <w:rFonts w:ascii="Arial" w:hAnsi="Arial"/>
                <w:color w:val="000000"/>
                <w:sz w:val="18"/>
                <w:szCs w:val="18"/>
                <w:lang w:eastAsia="fr-FR"/>
              </w:rPr>
            </w:pPr>
            <w:r w:rsidRPr="00DC77E0">
              <w:rPr>
                <w:rFonts w:ascii="Arial" w:hAnsi="Arial"/>
                <w:color w:val="000000"/>
                <w:sz w:val="18"/>
                <w:szCs w:val="18"/>
                <w:lang w:eastAsia="fr-FR"/>
              </w:rPr>
              <w:t>-</w:t>
            </w:r>
          </w:p>
        </w:tc>
      </w:tr>
      <w:tr w:rsidR="00C107CD" w:rsidRPr="00DC77E0" w14:paraId="37003858" w14:textId="77777777" w:rsidTr="00C107CD">
        <w:trPr>
          <w:trHeight w:val="288"/>
        </w:trPr>
        <w:tc>
          <w:tcPr>
            <w:tcW w:w="836" w:type="pct"/>
            <w:tcBorders>
              <w:top w:val="single" w:sz="4" w:space="0" w:color="auto"/>
              <w:left w:val="single" w:sz="4" w:space="0" w:color="auto"/>
              <w:bottom w:val="single" w:sz="4" w:space="0" w:color="auto"/>
              <w:right w:val="single" w:sz="4" w:space="0" w:color="auto"/>
            </w:tcBorders>
            <w:noWrap/>
            <w:vAlign w:val="bottom"/>
            <w:hideMark/>
          </w:tcPr>
          <w:p w14:paraId="7671D670" w14:textId="77777777" w:rsidR="008B6742" w:rsidRPr="00DC77E0" w:rsidRDefault="008B6742" w:rsidP="005A7661">
            <w:pPr>
              <w:spacing w:after="0"/>
              <w:jc w:val="left"/>
              <w:rPr>
                <w:rFonts w:cs="Calibri"/>
                <w:color w:val="000000"/>
                <w:lang w:eastAsia="fr-FR"/>
              </w:rPr>
            </w:pPr>
            <w:r w:rsidRPr="00DC77E0">
              <w:rPr>
                <w:rFonts w:cs="Calibri"/>
                <w:color w:val="000000"/>
                <w:lang w:eastAsia="fr-FR"/>
              </w:rPr>
              <w:t>Cochevis huppé</w:t>
            </w:r>
          </w:p>
        </w:tc>
        <w:tc>
          <w:tcPr>
            <w:tcW w:w="975" w:type="pct"/>
            <w:tcBorders>
              <w:top w:val="single" w:sz="4" w:space="0" w:color="auto"/>
              <w:left w:val="single" w:sz="4" w:space="0" w:color="auto"/>
              <w:bottom w:val="single" w:sz="4" w:space="0" w:color="auto"/>
              <w:right w:val="single" w:sz="4" w:space="0" w:color="auto"/>
            </w:tcBorders>
            <w:noWrap/>
            <w:vAlign w:val="bottom"/>
            <w:hideMark/>
          </w:tcPr>
          <w:p w14:paraId="083C83E5" w14:textId="77777777" w:rsidR="008B6742" w:rsidRPr="00DC77E0" w:rsidRDefault="008B6742" w:rsidP="005A7661">
            <w:pPr>
              <w:spacing w:after="0"/>
              <w:jc w:val="left"/>
              <w:rPr>
                <w:rFonts w:cs="Calibri"/>
                <w:i/>
                <w:iCs/>
                <w:color w:val="000000"/>
                <w:lang w:eastAsia="fr-FR"/>
              </w:rPr>
            </w:pPr>
            <w:r w:rsidRPr="00DC77E0">
              <w:rPr>
                <w:rFonts w:cs="Calibri"/>
                <w:i/>
                <w:iCs/>
                <w:color w:val="000000"/>
                <w:lang w:eastAsia="fr-FR"/>
              </w:rPr>
              <w:t>Galerida cristata</w:t>
            </w:r>
          </w:p>
        </w:tc>
        <w:tc>
          <w:tcPr>
            <w:tcW w:w="517" w:type="pct"/>
            <w:tcBorders>
              <w:top w:val="single" w:sz="4" w:space="0" w:color="auto"/>
              <w:left w:val="single" w:sz="4" w:space="0" w:color="auto"/>
              <w:bottom w:val="single" w:sz="4" w:space="0" w:color="auto"/>
              <w:right w:val="single" w:sz="4" w:space="0" w:color="auto"/>
            </w:tcBorders>
            <w:vAlign w:val="center"/>
          </w:tcPr>
          <w:p w14:paraId="149CAFC0" w14:textId="77777777" w:rsidR="008B6742" w:rsidRPr="00DC77E0" w:rsidRDefault="008B6742" w:rsidP="005A7661">
            <w:pPr>
              <w:spacing w:after="0"/>
              <w:jc w:val="center"/>
              <w:rPr>
                <w:rFonts w:ascii="Arial" w:hAnsi="Arial"/>
                <w:color w:val="000000"/>
                <w:sz w:val="18"/>
                <w:szCs w:val="18"/>
                <w:lang w:eastAsia="fr-FR"/>
              </w:rPr>
            </w:pPr>
            <w:r w:rsidRPr="00424FDB">
              <w:rPr>
                <w:rFonts w:ascii="Aptos Narrow" w:hAnsi="Aptos Narrow" w:cs="Times New Roman"/>
                <w:color w:val="000000"/>
                <w:lang w:eastAsia="fr-FR"/>
              </w:rPr>
              <w:t>ZA</w:t>
            </w:r>
          </w:p>
        </w:tc>
        <w:tc>
          <w:tcPr>
            <w:tcW w:w="517" w:type="pct"/>
            <w:tcBorders>
              <w:top w:val="single" w:sz="4" w:space="0" w:color="auto"/>
              <w:left w:val="single" w:sz="4" w:space="0" w:color="auto"/>
              <w:bottom w:val="single" w:sz="4" w:space="0" w:color="auto"/>
              <w:right w:val="single" w:sz="4" w:space="0" w:color="auto"/>
            </w:tcBorders>
            <w:vAlign w:val="center"/>
            <w:hideMark/>
          </w:tcPr>
          <w:p w14:paraId="5A0F1E22" w14:textId="77777777" w:rsidR="008B6742" w:rsidRPr="00DC77E0" w:rsidRDefault="008B6742" w:rsidP="005A7661">
            <w:pPr>
              <w:spacing w:after="0"/>
              <w:jc w:val="center"/>
              <w:rPr>
                <w:rFonts w:ascii="Arial" w:hAnsi="Arial"/>
                <w:color w:val="000000"/>
                <w:sz w:val="18"/>
                <w:szCs w:val="18"/>
                <w:lang w:eastAsia="fr-FR"/>
              </w:rPr>
            </w:pPr>
            <w:r w:rsidRPr="00DC77E0">
              <w:rPr>
                <w:rFonts w:ascii="Arial" w:hAnsi="Arial"/>
                <w:color w:val="000000"/>
                <w:sz w:val="18"/>
                <w:szCs w:val="18"/>
                <w:lang w:eastAsia="fr-FR"/>
              </w:rPr>
              <w:t>NS</w:t>
            </w:r>
          </w:p>
        </w:tc>
        <w:tc>
          <w:tcPr>
            <w:tcW w:w="434" w:type="pct"/>
            <w:tcBorders>
              <w:top w:val="single" w:sz="4" w:space="0" w:color="auto"/>
              <w:left w:val="single" w:sz="4" w:space="0" w:color="auto"/>
              <w:bottom w:val="single" w:sz="4" w:space="0" w:color="auto"/>
              <w:right w:val="single" w:sz="4" w:space="0" w:color="auto"/>
            </w:tcBorders>
            <w:vAlign w:val="center"/>
            <w:hideMark/>
          </w:tcPr>
          <w:p w14:paraId="1103DFD6" w14:textId="77777777" w:rsidR="008B6742" w:rsidRPr="00DC77E0" w:rsidRDefault="008B6742" w:rsidP="005A7661">
            <w:pPr>
              <w:spacing w:after="0"/>
              <w:jc w:val="center"/>
              <w:rPr>
                <w:rFonts w:ascii="Arial" w:hAnsi="Arial"/>
                <w:color w:val="000000"/>
                <w:sz w:val="18"/>
                <w:szCs w:val="18"/>
                <w:lang w:eastAsia="fr-FR"/>
              </w:rPr>
            </w:pPr>
            <w:r w:rsidRPr="00DC77E0">
              <w:rPr>
                <w:rFonts w:ascii="Arial" w:hAnsi="Arial"/>
                <w:color w:val="000000"/>
                <w:sz w:val="18"/>
                <w:szCs w:val="18"/>
                <w:lang w:eastAsia="fr-FR"/>
              </w:rPr>
              <w:t>Protégée</w:t>
            </w:r>
          </w:p>
        </w:tc>
        <w:tc>
          <w:tcPr>
            <w:tcW w:w="345" w:type="pct"/>
            <w:tcBorders>
              <w:top w:val="single" w:sz="4" w:space="0" w:color="auto"/>
              <w:left w:val="single" w:sz="4" w:space="0" w:color="auto"/>
              <w:bottom w:val="single" w:sz="4" w:space="0" w:color="auto"/>
              <w:right w:val="single" w:sz="4" w:space="0" w:color="auto"/>
            </w:tcBorders>
            <w:vAlign w:val="center"/>
            <w:hideMark/>
          </w:tcPr>
          <w:p w14:paraId="5CAED448" w14:textId="77777777" w:rsidR="008B6742" w:rsidRPr="00DC77E0" w:rsidRDefault="008B6742" w:rsidP="005A7661">
            <w:pPr>
              <w:spacing w:after="0"/>
              <w:jc w:val="center"/>
              <w:rPr>
                <w:rFonts w:ascii="Arial" w:hAnsi="Arial"/>
                <w:color w:val="000000"/>
                <w:sz w:val="18"/>
                <w:szCs w:val="18"/>
                <w:lang w:eastAsia="fr-FR"/>
              </w:rPr>
            </w:pPr>
            <w:r w:rsidRPr="00DC77E0">
              <w:rPr>
                <w:rFonts w:ascii="Arial" w:hAnsi="Arial"/>
                <w:color w:val="000000"/>
                <w:sz w:val="18"/>
                <w:szCs w:val="18"/>
                <w:lang w:eastAsia="fr-FR"/>
              </w:rPr>
              <w:t>Catégorie. III</w:t>
            </w:r>
          </w:p>
        </w:tc>
        <w:tc>
          <w:tcPr>
            <w:tcW w:w="326" w:type="pct"/>
            <w:tcBorders>
              <w:top w:val="single" w:sz="4" w:space="0" w:color="auto"/>
              <w:left w:val="single" w:sz="4" w:space="0" w:color="auto"/>
              <w:bottom w:val="single" w:sz="4" w:space="0" w:color="auto"/>
              <w:right w:val="single" w:sz="4" w:space="0" w:color="auto"/>
            </w:tcBorders>
            <w:vAlign w:val="center"/>
            <w:hideMark/>
          </w:tcPr>
          <w:p w14:paraId="3A12A932" w14:textId="77777777" w:rsidR="008B6742" w:rsidRPr="00DC77E0" w:rsidRDefault="008B6742" w:rsidP="005A7661">
            <w:pPr>
              <w:spacing w:after="0"/>
              <w:jc w:val="center"/>
              <w:rPr>
                <w:rFonts w:ascii="Arial" w:hAnsi="Arial"/>
                <w:color w:val="000000"/>
                <w:sz w:val="18"/>
                <w:szCs w:val="18"/>
                <w:lang w:eastAsia="fr-FR"/>
              </w:rPr>
            </w:pPr>
            <w:r w:rsidRPr="00DC77E0">
              <w:rPr>
                <w:rFonts w:ascii="Arial" w:hAnsi="Arial"/>
                <w:color w:val="000000"/>
                <w:sz w:val="18"/>
                <w:szCs w:val="18"/>
                <w:lang w:eastAsia="fr-FR"/>
              </w:rPr>
              <w:t>LC</w:t>
            </w:r>
          </w:p>
        </w:tc>
        <w:tc>
          <w:tcPr>
            <w:tcW w:w="263" w:type="pct"/>
            <w:tcBorders>
              <w:top w:val="single" w:sz="4" w:space="0" w:color="auto"/>
              <w:left w:val="single" w:sz="4" w:space="0" w:color="auto"/>
              <w:bottom w:val="single" w:sz="4" w:space="0" w:color="auto"/>
              <w:right w:val="single" w:sz="4" w:space="0" w:color="auto"/>
            </w:tcBorders>
            <w:vAlign w:val="center"/>
            <w:hideMark/>
          </w:tcPr>
          <w:p w14:paraId="78F1B13C" w14:textId="77777777" w:rsidR="008B6742" w:rsidRPr="00DC77E0" w:rsidRDefault="008B6742" w:rsidP="005A7661">
            <w:pPr>
              <w:spacing w:after="0"/>
              <w:jc w:val="center"/>
              <w:rPr>
                <w:rFonts w:ascii="Arial" w:hAnsi="Arial"/>
                <w:color w:val="000000"/>
                <w:sz w:val="18"/>
                <w:szCs w:val="18"/>
                <w:lang w:eastAsia="fr-FR"/>
              </w:rPr>
            </w:pPr>
            <w:r w:rsidRPr="00DC77E0">
              <w:rPr>
                <w:rFonts w:ascii="Arial" w:hAnsi="Arial"/>
                <w:color w:val="000000"/>
                <w:sz w:val="18"/>
                <w:szCs w:val="18"/>
                <w:lang w:eastAsia="fr-FR"/>
              </w:rPr>
              <w:t>-</w:t>
            </w:r>
          </w:p>
        </w:tc>
        <w:tc>
          <w:tcPr>
            <w:tcW w:w="263" w:type="pct"/>
            <w:tcBorders>
              <w:top w:val="single" w:sz="4" w:space="0" w:color="auto"/>
              <w:left w:val="single" w:sz="4" w:space="0" w:color="auto"/>
              <w:bottom w:val="single" w:sz="4" w:space="0" w:color="auto"/>
              <w:right w:val="single" w:sz="4" w:space="0" w:color="auto"/>
            </w:tcBorders>
            <w:vAlign w:val="center"/>
            <w:hideMark/>
          </w:tcPr>
          <w:p w14:paraId="6B295556" w14:textId="77777777" w:rsidR="008B6742" w:rsidRPr="00DC77E0" w:rsidRDefault="008B6742" w:rsidP="005A7661">
            <w:pPr>
              <w:spacing w:after="0"/>
              <w:jc w:val="center"/>
              <w:rPr>
                <w:rFonts w:ascii="Arial" w:hAnsi="Arial"/>
                <w:color w:val="000000"/>
                <w:sz w:val="18"/>
                <w:szCs w:val="18"/>
                <w:lang w:eastAsia="fr-FR"/>
              </w:rPr>
            </w:pPr>
            <w:r w:rsidRPr="00DC77E0">
              <w:rPr>
                <w:rFonts w:ascii="Arial" w:hAnsi="Arial"/>
                <w:color w:val="000000"/>
                <w:sz w:val="18"/>
                <w:szCs w:val="18"/>
                <w:lang w:eastAsia="fr-FR"/>
              </w:rPr>
              <w:t>An. III</w:t>
            </w:r>
          </w:p>
        </w:tc>
        <w:tc>
          <w:tcPr>
            <w:tcW w:w="263" w:type="pct"/>
            <w:tcBorders>
              <w:top w:val="single" w:sz="4" w:space="0" w:color="auto"/>
              <w:left w:val="single" w:sz="4" w:space="0" w:color="auto"/>
              <w:bottom w:val="single" w:sz="4" w:space="0" w:color="auto"/>
              <w:right w:val="single" w:sz="4" w:space="0" w:color="auto"/>
            </w:tcBorders>
            <w:vAlign w:val="center"/>
            <w:hideMark/>
          </w:tcPr>
          <w:p w14:paraId="2BBBBEE7" w14:textId="77777777" w:rsidR="008B6742" w:rsidRPr="00DC77E0" w:rsidRDefault="008B6742" w:rsidP="005A7661">
            <w:pPr>
              <w:spacing w:after="0"/>
              <w:jc w:val="center"/>
              <w:rPr>
                <w:rFonts w:ascii="Arial" w:hAnsi="Arial"/>
                <w:color w:val="000000"/>
                <w:sz w:val="18"/>
                <w:szCs w:val="18"/>
                <w:lang w:eastAsia="fr-FR"/>
              </w:rPr>
            </w:pPr>
            <w:r w:rsidRPr="00DC77E0">
              <w:rPr>
                <w:rFonts w:ascii="Arial" w:hAnsi="Arial"/>
                <w:color w:val="000000"/>
                <w:sz w:val="18"/>
                <w:szCs w:val="18"/>
                <w:lang w:eastAsia="fr-FR"/>
              </w:rPr>
              <w:t>An. III</w:t>
            </w:r>
          </w:p>
        </w:tc>
        <w:tc>
          <w:tcPr>
            <w:tcW w:w="262" w:type="pct"/>
            <w:tcBorders>
              <w:top w:val="single" w:sz="4" w:space="0" w:color="auto"/>
              <w:left w:val="single" w:sz="4" w:space="0" w:color="auto"/>
              <w:bottom w:val="single" w:sz="4" w:space="0" w:color="auto"/>
              <w:right w:val="single" w:sz="4" w:space="0" w:color="auto"/>
            </w:tcBorders>
            <w:vAlign w:val="center"/>
            <w:hideMark/>
          </w:tcPr>
          <w:p w14:paraId="5C9764BB" w14:textId="77777777" w:rsidR="008B6742" w:rsidRPr="00DC77E0" w:rsidRDefault="008B6742" w:rsidP="005A7661">
            <w:pPr>
              <w:spacing w:after="0"/>
              <w:jc w:val="center"/>
              <w:rPr>
                <w:rFonts w:ascii="Arial" w:hAnsi="Arial"/>
                <w:color w:val="000000"/>
                <w:sz w:val="18"/>
                <w:szCs w:val="18"/>
                <w:lang w:eastAsia="fr-FR"/>
              </w:rPr>
            </w:pPr>
            <w:r w:rsidRPr="00DC77E0">
              <w:rPr>
                <w:rFonts w:ascii="Arial" w:hAnsi="Arial"/>
                <w:color w:val="000000"/>
                <w:sz w:val="18"/>
                <w:szCs w:val="18"/>
                <w:lang w:eastAsia="fr-FR"/>
              </w:rPr>
              <w:t>-</w:t>
            </w:r>
          </w:p>
        </w:tc>
      </w:tr>
      <w:tr w:rsidR="00C107CD" w:rsidRPr="00DC77E0" w14:paraId="3DE76996" w14:textId="77777777" w:rsidTr="00C107CD">
        <w:trPr>
          <w:trHeight w:val="288"/>
        </w:trPr>
        <w:tc>
          <w:tcPr>
            <w:tcW w:w="836" w:type="pct"/>
            <w:tcBorders>
              <w:top w:val="single" w:sz="4" w:space="0" w:color="auto"/>
              <w:left w:val="single" w:sz="4" w:space="0" w:color="auto"/>
              <w:bottom w:val="single" w:sz="4" w:space="0" w:color="auto"/>
              <w:right w:val="single" w:sz="4" w:space="0" w:color="auto"/>
            </w:tcBorders>
            <w:noWrap/>
            <w:vAlign w:val="bottom"/>
            <w:hideMark/>
          </w:tcPr>
          <w:p w14:paraId="1E7E5CB7" w14:textId="77777777" w:rsidR="008B6742" w:rsidRPr="00DC77E0" w:rsidRDefault="008B6742" w:rsidP="005A7661">
            <w:pPr>
              <w:spacing w:after="0"/>
              <w:jc w:val="left"/>
              <w:rPr>
                <w:rFonts w:cs="Calibri"/>
                <w:color w:val="000000"/>
                <w:lang w:eastAsia="fr-FR"/>
              </w:rPr>
            </w:pPr>
            <w:r w:rsidRPr="00DC77E0">
              <w:rPr>
                <w:rFonts w:cs="Calibri"/>
                <w:color w:val="000000"/>
                <w:lang w:eastAsia="fr-FR"/>
              </w:rPr>
              <w:t>Echasse blanche</w:t>
            </w:r>
          </w:p>
        </w:tc>
        <w:tc>
          <w:tcPr>
            <w:tcW w:w="975" w:type="pct"/>
            <w:tcBorders>
              <w:top w:val="single" w:sz="4" w:space="0" w:color="auto"/>
              <w:left w:val="single" w:sz="4" w:space="0" w:color="auto"/>
              <w:bottom w:val="single" w:sz="4" w:space="0" w:color="auto"/>
              <w:right w:val="single" w:sz="4" w:space="0" w:color="auto"/>
            </w:tcBorders>
            <w:noWrap/>
            <w:vAlign w:val="bottom"/>
            <w:hideMark/>
          </w:tcPr>
          <w:p w14:paraId="70B79CAA" w14:textId="77777777" w:rsidR="008B6742" w:rsidRPr="00DC77E0" w:rsidRDefault="008B6742" w:rsidP="005A7661">
            <w:pPr>
              <w:spacing w:after="0"/>
              <w:jc w:val="left"/>
              <w:rPr>
                <w:rFonts w:cs="Calibri"/>
                <w:i/>
                <w:iCs/>
                <w:color w:val="000000"/>
                <w:lang w:eastAsia="fr-FR"/>
              </w:rPr>
            </w:pPr>
            <w:r w:rsidRPr="00DC77E0">
              <w:rPr>
                <w:rFonts w:cs="Calibri"/>
                <w:i/>
                <w:iCs/>
                <w:color w:val="000000"/>
                <w:lang w:eastAsia="fr-FR"/>
              </w:rPr>
              <w:t>Himantopus himantopus</w:t>
            </w:r>
          </w:p>
        </w:tc>
        <w:tc>
          <w:tcPr>
            <w:tcW w:w="517" w:type="pct"/>
            <w:tcBorders>
              <w:top w:val="single" w:sz="4" w:space="0" w:color="auto"/>
              <w:left w:val="single" w:sz="4" w:space="0" w:color="auto"/>
              <w:bottom w:val="single" w:sz="4" w:space="0" w:color="auto"/>
              <w:right w:val="single" w:sz="4" w:space="0" w:color="auto"/>
            </w:tcBorders>
            <w:vAlign w:val="center"/>
          </w:tcPr>
          <w:p w14:paraId="4F020AD6" w14:textId="77777777" w:rsidR="008B6742" w:rsidRPr="00DC77E0" w:rsidRDefault="008B6742" w:rsidP="005A7661">
            <w:pPr>
              <w:spacing w:after="0"/>
              <w:jc w:val="center"/>
              <w:rPr>
                <w:rFonts w:ascii="Arial" w:hAnsi="Arial"/>
                <w:color w:val="000000"/>
                <w:sz w:val="18"/>
                <w:szCs w:val="18"/>
                <w:lang w:eastAsia="fr-FR"/>
              </w:rPr>
            </w:pPr>
            <w:r w:rsidRPr="00424FDB">
              <w:rPr>
                <w:rFonts w:ascii="Aptos Narrow" w:hAnsi="Aptos Narrow" w:cs="Times New Roman"/>
                <w:color w:val="000000"/>
                <w:lang w:eastAsia="fr-FR"/>
              </w:rPr>
              <w:t xml:space="preserve">ZA / </w:t>
            </w:r>
            <w:r>
              <w:rPr>
                <w:rFonts w:ascii="Aptos Narrow" w:hAnsi="Aptos Narrow" w:cs="Times New Roman"/>
                <w:color w:val="000000"/>
                <w:lang w:eastAsia="fr-FR"/>
              </w:rPr>
              <w:t>ZER/ZEE</w:t>
            </w:r>
          </w:p>
        </w:tc>
        <w:tc>
          <w:tcPr>
            <w:tcW w:w="517" w:type="pct"/>
            <w:tcBorders>
              <w:top w:val="single" w:sz="4" w:space="0" w:color="auto"/>
              <w:left w:val="single" w:sz="4" w:space="0" w:color="auto"/>
              <w:bottom w:val="single" w:sz="4" w:space="0" w:color="auto"/>
              <w:right w:val="single" w:sz="4" w:space="0" w:color="auto"/>
            </w:tcBorders>
            <w:vAlign w:val="center"/>
            <w:hideMark/>
          </w:tcPr>
          <w:p w14:paraId="1C668EEF" w14:textId="77777777" w:rsidR="008B6742" w:rsidRPr="00DC77E0" w:rsidRDefault="008B6742" w:rsidP="005A7661">
            <w:pPr>
              <w:spacing w:after="0"/>
              <w:jc w:val="center"/>
              <w:rPr>
                <w:rFonts w:ascii="Arial" w:hAnsi="Arial"/>
                <w:color w:val="000000"/>
                <w:sz w:val="18"/>
                <w:szCs w:val="18"/>
                <w:lang w:eastAsia="fr-FR"/>
              </w:rPr>
            </w:pPr>
            <w:r w:rsidRPr="00DC77E0">
              <w:rPr>
                <w:rFonts w:ascii="Arial" w:hAnsi="Arial"/>
                <w:color w:val="000000"/>
                <w:sz w:val="18"/>
                <w:szCs w:val="18"/>
                <w:lang w:eastAsia="fr-FR"/>
              </w:rPr>
              <w:t>NS, MN</w:t>
            </w:r>
          </w:p>
        </w:tc>
        <w:tc>
          <w:tcPr>
            <w:tcW w:w="434" w:type="pct"/>
            <w:tcBorders>
              <w:top w:val="single" w:sz="4" w:space="0" w:color="auto"/>
              <w:left w:val="single" w:sz="4" w:space="0" w:color="auto"/>
              <w:bottom w:val="single" w:sz="4" w:space="0" w:color="auto"/>
              <w:right w:val="single" w:sz="4" w:space="0" w:color="auto"/>
            </w:tcBorders>
            <w:vAlign w:val="center"/>
            <w:hideMark/>
          </w:tcPr>
          <w:p w14:paraId="25861C7A" w14:textId="77777777" w:rsidR="008B6742" w:rsidRPr="00DC77E0" w:rsidRDefault="008B6742" w:rsidP="005A7661">
            <w:pPr>
              <w:spacing w:after="0"/>
              <w:jc w:val="center"/>
              <w:rPr>
                <w:rFonts w:ascii="Arial" w:hAnsi="Arial"/>
                <w:color w:val="000000"/>
                <w:sz w:val="18"/>
                <w:szCs w:val="18"/>
                <w:lang w:eastAsia="fr-FR"/>
              </w:rPr>
            </w:pPr>
            <w:r w:rsidRPr="00DC77E0">
              <w:rPr>
                <w:rFonts w:ascii="Arial" w:hAnsi="Arial"/>
                <w:color w:val="000000"/>
                <w:sz w:val="18"/>
                <w:szCs w:val="18"/>
                <w:lang w:eastAsia="fr-FR"/>
              </w:rPr>
              <w:t>-</w:t>
            </w:r>
          </w:p>
        </w:tc>
        <w:tc>
          <w:tcPr>
            <w:tcW w:w="345" w:type="pct"/>
            <w:tcBorders>
              <w:top w:val="single" w:sz="4" w:space="0" w:color="auto"/>
              <w:left w:val="single" w:sz="4" w:space="0" w:color="auto"/>
              <w:bottom w:val="single" w:sz="4" w:space="0" w:color="auto"/>
              <w:right w:val="single" w:sz="4" w:space="0" w:color="auto"/>
            </w:tcBorders>
            <w:vAlign w:val="center"/>
            <w:hideMark/>
          </w:tcPr>
          <w:p w14:paraId="24FF29E5" w14:textId="77777777" w:rsidR="008B6742" w:rsidRPr="00DC77E0" w:rsidRDefault="008B6742" w:rsidP="005A7661">
            <w:pPr>
              <w:spacing w:after="0"/>
              <w:jc w:val="center"/>
              <w:rPr>
                <w:rFonts w:ascii="Arial" w:hAnsi="Arial"/>
                <w:color w:val="000000"/>
                <w:sz w:val="18"/>
                <w:szCs w:val="18"/>
                <w:lang w:eastAsia="fr-FR"/>
              </w:rPr>
            </w:pPr>
            <w:r w:rsidRPr="00DC77E0">
              <w:rPr>
                <w:rFonts w:ascii="Arial" w:hAnsi="Arial"/>
                <w:color w:val="000000"/>
                <w:sz w:val="18"/>
                <w:szCs w:val="18"/>
                <w:lang w:eastAsia="fr-FR"/>
              </w:rPr>
              <w:t>-</w:t>
            </w:r>
          </w:p>
        </w:tc>
        <w:tc>
          <w:tcPr>
            <w:tcW w:w="326" w:type="pct"/>
            <w:tcBorders>
              <w:top w:val="single" w:sz="4" w:space="0" w:color="auto"/>
              <w:left w:val="single" w:sz="4" w:space="0" w:color="auto"/>
              <w:bottom w:val="single" w:sz="4" w:space="0" w:color="auto"/>
              <w:right w:val="single" w:sz="4" w:space="0" w:color="auto"/>
            </w:tcBorders>
            <w:vAlign w:val="center"/>
            <w:hideMark/>
          </w:tcPr>
          <w:p w14:paraId="6BF70B28" w14:textId="77777777" w:rsidR="008B6742" w:rsidRPr="00DC77E0" w:rsidRDefault="008B6742" w:rsidP="005A7661">
            <w:pPr>
              <w:spacing w:after="0"/>
              <w:jc w:val="center"/>
              <w:rPr>
                <w:rFonts w:ascii="Arial" w:hAnsi="Arial"/>
                <w:color w:val="000000"/>
                <w:sz w:val="18"/>
                <w:szCs w:val="18"/>
                <w:lang w:eastAsia="fr-FR"/>
              </w:rPr>
            </w:pPr>
            <w:r w:rsidRPr="00DC77E0">
              <w:rPr>
                <w:rFonts w:ascii="Arial" w:hAnsi="Arial"/>
                <w:color w:val="000000"/>
                <w:sz w:val="18"/>
                <w:szCs w:val="18"/>
                <w:lang w:eastAsia="fr-FR"/>
              </w:rPr>
              <w:t>LC</w:t>
            </w:r>
          </w:p>
        </w:tc>
        <w:tc>
          <w:tcPr>
            <w:tcW w:w="263" w:type="pct"/>
            <w:tcBorders>
              <w:top w:val="single" w:sz="4" w:space="0" w:color="auto"/>
              <w:left w:val="single" w:sz="4" w:space="0" w:color="auto"/>
              <w:bottom w:val="single" w:sz="4" w:space="0" w:color="auto"/>
              <w:right w:val="single" w:sz="4" w:space="0" w:color="auto"/>
            </w:tcBorders>
            <w:vAlign w:val="center"/>
            <w:hideMark/>
          </w:tcPr>
          <w:p w14:paraId="7F73FCFB" w14:textId="77777777" w:rsidR="008B6742" w:rsidRPr="00DC77E0" w:rsidRDefault="008B6742" w:rsidP="005A7661">
            <w:pPr>
              <w:spacing w:after="0"/>
              <w:jc w:val="center"/>
              <w:rPr>
                <w:rFonts w:ascii="Arial" w:hAnsi="Arial"/>
                <w:color w:val="000000"/>
                <w:sz w:val="18"/>
                <w:szCs w:val="18"/>
                <w:lang w:eastAsia="fr-FR"/>
              </w:rPr>
            </w:pPr>
            <w:r w:rsidRPr="00DC77E0">
              <w:rPr>
                <w:rFonts w:ascii="Arial" w:hAnsi="Arial"/>
                <w:color w:val="000000"/>
                <w:sz w:val="18"/>
                <w:szCs w:val="18"/>
                <w:lang w:eastAsia="fr-FR"/>
              </w:rPr>
              <w:t>-</w:t>
            </w:r>
          </w:p>
        </w:tc>
        <w:tc>
          <w:tcPr>
            <w:tcW w:w="263" w:type="pct"/>
            <w:tcBorders>
              <w:top w:val="single" w:sz="4" w:space="0" w:color="auto"/>
              <w:left w:val="single" w:sz="4" w:space="0" w:color="auto"/>
              <w:bottom w:val="single" w:sz="4" w:space="0" w:color="auto"/>
              <w:right w:val="single" w:sz="4" w:space="0" w:color="auto"/>
            </w:tcBorders>
            <w:vAlign w:val="center"/>
            <w:hideMark/>
          </w:tcPr>
          <w:p w14:paraId="1FBD2857" w14:textId="77777777" w:rsidR="008B6742" w:rsidRPr="00DC77E0" w:rsidRDefault="008B6742" w:rsidP="005A7661">
            <w:pPr>
              <w:spacing w:after="0"/>
              <w:jc w:val="center"/>
              <w:rPr>
                <w:rFonts w:ascii="Arial" w:hAnsi="Arial"/>
                <w:color w:val="000000"/>
                <w:sz w:val="18"/>
                <w:szCs w:val="18"/>
                <w:lang w:eastAsia="fr-FR"/>
              </w:rPr>
            </w:pPr>
            <w:r w:rsidRPr="00DC77E0">
              <w:rPr>
                <w:rFonts w:ascii="Arial" w:hAnsi="Arial"/>
                <w:color w:val="000000"/>
                <w:sz w:val="18"/>
                <w:szCs w:val="18"/>
                <w:lang w:eastAsia="fr-FR"/>
              </w:rPr>
              <w:t>-</w:t>
            </w:r>
          </w:p>
        </w:tc>
        <w:tc>
          <w:tcPr>
            <w:tcW w:w="263" w:type="pct"/>
            <w:tcBorders>
              <w:top w:val="single" w:sz="4" w:space="0" w:color="auto"/>
              <w:left w:val="single" w:sz="4" w:space="0" w:color="auto"/>
              <w:bottom w:val="single" w:sz="4" w:space="0" w:color="auto"/>
              <w:right w:val="single" w:sz="4" w:space="0" w:color="auto"/>
            </w:tcBorders>
            <w:vAlign w:val="center"/>
            <w:hideMark/>
          </w:tcPr>
          <w:p w14:paraId="36C14E86" w14:textId="77777777" w:rsidR="008B6742" w:rsidRPr="00DC77E0" w:rsidRDefault="008B6742" w:rsidP="005A7661">
            <w:pPr>
              <w:spacing w:after="0"/>
              <w:jc w:val="center"/>
              <w:rPr>
                <w:rFonts w:ascii="Arial" w:hAnsi="Arial"/>
                <w:color w:val="000000"/>
                <w:sz w:val="18"/>
                <w:szCs w:val="18"/>
                <w:lang w:eastAsia="fr-FR"/>
              </w:rPr>
            </w:pPr>
            <w:r w:rsidRPr="00DC77E0">
              <w:rPr>
                <w:rFonts w:ascii="Arial" w:hAnsi="Arial"/>
                <w:color w:val="000000"/>
                <w:sz w:val="18"/>
                <w:szCs w:val="18"/>
                <w:lang w:eastAsia="fr-FR"/>
              </w:rPr>
              <w:t>An. II</w:t>
            </w:r>
          </w:p>
        </w:tc>
        <w:tc>
          <w:tcPr>
            <w:tcW w:w="262" w:type="pct"/>
            <w:tcBorders>
              <w:top w:val="single" w:sz="4" w:space="0" w:color="auto"/>
              <w:left w:val="single" w:sz="4" w:space="0" w:color="auto"/>
              <w:bottom w:val="single" w:sz="4" w:space="0" w:color="auto"/>
              <w:right w:val="single" w:sz="4" w:space="0" w:color="auto"/>
            </w:tcBorders>
            <w:vAlign w:val="center"/>
            <w:hideMark/>
          </w:tcPr>
          <w:p w14:paraId="30EE3802" w14:textId="77777777" w:rsidR="008B6742" w:rsidRPr="00DC77E0" w:rsidRDefault="008B6742" w:rsidP="005A7661">
            <w:pPr>
              <w:spacing w:after="0"/>
              <w:jc w:val="center"/>
              <w:rPr>
                <w:rFonts w:ascii="Arial" w:hAnsi="Arial"/>
                <w:color w:val="000000"/>
                <w:sz w:val="18"/>
                <w:szCs w:val="18"/>
                <w:lang w:eastAsia="fr-FR"/>
              </w:rPr>
            </w:pPr>
            <w:r w:rsidRPr="00DC77E0">
              <w:rPr>
                <w:rFonts w:ascii="Arial" w:hAnsi="Arial"/>
                <w:color w:val="000000"/>
                <w:sz w:val="18"/>
                <w:szCs w:val="18"/>
                <w:lang w:eastAsia="fr-FR"/>
              </w:rPr>
              <w:t>An. II</w:t>
            </w:r>
          </w:p>
        </w:tc>
      </w:tr>
      <w:tr w:rsidR="00C107CD" w:rsidRPr="00DC77E0" w14:paraId="69B8BBE8" w14:textId="77777777" w:rsidTr="00C107CD">
        <w:trPr>
          <w:trHeight w:val="288"/>
        </w:trPr>
        <w:tc>
          <w:tcPr>
            <w:tcW w:w="836" w:type="pct"/>
            <w:tcBorders>
              <w:top w:val="single" w:sz="4" w:space="0" w:color="auto"/>
              <w:left w:val="single" w:sz="4" w:space="0" w:color="auto"/>
              <w:bottom w:val="single" w:sz="4" w:space="0" w:color="auto"/>
              <w:right w:val="single" w:sz="4" w:space="0" w:color="auto"/>
            </w:tcBorders>
            <w:noWrap/>
            <w:vAlign w:val="bottom"/>
            <w:hideMark/>
          </w:tcPr>
          <w:p w14:paraId="71CA768E" w14:textId="77777777" w:rsidR="008B6742" w:rsidRPr="00DC77E0" w:rsidRDefault="008B6742" w:rsidP="005A7661">
            <w:pPr>
              <w:spacing w:after="0"/>
              <w:jc w:val="left"/>
              <w:rPr>
                <w:rFonts w:cs="Calibri"/>
                <w:color w:val="000000"/>
                <w:lang w:eastAsia="fr-FR"/>
              </w:rPr>
            </w:pPr>
            <w:r w:rsidRPr="00DC77E0">
              <w:rPr>
                <w:rFonts w:cs="Calibri"/>
                <w:color w:val="000000"/>
                <w:lang w:eastAsia="fr-FR"/>
              </w:rPr>
              <w:t>Etourneau unicolore</w:t>
            </w:r>
          </w:p>
        </w:tc>
        <w:tc>
          <w:tcPr>
            <w:tcW w:w="975" w:type="pct"/>
            <w:tcBorders>
              <w:top w:val="single" w:sz="4" w:space="0" w:color="auto"/>
              <w:left w:val="single" w:sz="4" w:space="0" w:color="auto"/>
              <w:bottom w:val="single" w:sz="4" w:space="0" w:color="auto"/>
              <w:right w:val="single" w:sz="4" w:space="0" w:color="auto"/>
            </w:tcBorders>
            <w:noWrap/>
            <w:vAlign w:val="bottom"/>
            <w:hideMark/>
          </w:tcPr>
          <w:p w14:paraId="7F332855" w14:textId="77777777" w:rsidR="008B6742" w:rsidRPr="00DC77E0" w:rsidRDefault="008B6742" w:rsidP="005A7661">
            <w:pPr>
              <w:spacing w:after="0"/>
              <w:jc w:val="left"/>
              <w:rPr>
                <w:rFonts w:cs="Calibri"/>
                <w:i/>
                <w:iCs/>
                <w:color w:val="000000"/>
                <w:lang w:eastAsia="fr-FR"/>
              </w:rPr>
            </w:pPr>
            <w:r w:rsidRPr="00DC77E0">
              <w:rPr>
                <w:rFonts w:cs="Calibri"/>
                <w:i/>
                <w:iCs/>
                <w:color w:val="000000"/>
                <w:lang w:eastAsia="fr-FR"/>
              </w:rPr>
              <w:t>Sturnus unicolor</w:t>
            </w:r>
          </w:p>
        </w:tc>
        <w:tc>
          <w:tcPr>
            <w:tcW w:w="517" w:type="pct"/>
            <w:tcBorders>
              <w:top w:val="single" w:sz="4" w:space="0" w:color="auto"/>
              <w:left w:val="single" w:sz="4" w:space="0" w:color="auto"/>
              <w:bottom w:val="single" w:sz="4" w:space="0" w:color="auto"/>
              <w:right w:val="single" w:sz="4" w:space="0" w:color="auto"/>
            </w:tcBorders>
            <w:vAlign w:val="center"/>
          </w:tcPr>
          <w:p w14:paraId="689F43BB" w14:textId="77777777" w:rsidR="008B6742" w:rsidRPr="00DC77E0" w:rsidRDefault="008B6742" w:rsidP="005A7661">
            <w:pPr>
              <w:spacing w:after="0"/>
              <w:jc w:val="center"/>
              <w:rPr>
                <w:rFonts w:ascii="Arial" w:hAnsi="Arial"/>
                <w:color w:val="000000"/>
                <w:sz w:val="18"/>
                <w:szCs w:val="18"/>
                <w:lang w:eastAsia="fr-FR"/>
              </w:rPr>
            </w:pPr>
            <w:r w:rsidRPr="00424FDB">
              <w:rPr>
                <w:rFonts w:ascii="Aptos Narrow" w:hAnsi="Aptos Narrow" w:cs="Times New Roman"/>
                <w:color w:val="000000"/>
                <w:lang w:eastAsia="fr-FR"/>
              </w:rPr>
              <w:t xml:space="preserve">ZA / </w:t>
            </w:r>
            <w:r>
              <w:rPr>
                <w:rFonts w:ascii="Aptos Narrow" w:hAnsi="Aptos Narrow" w:cs="Times New Roman"/>
                <w:color w:val="000000"/>
                <w:lang w:eastAsia="fr-FR"/>
              </w:rPr>
              <w:t>ZER/ZEE</w:t>
            </w:r>
          </w:p>
        </w:tc>
        <w:tc>
          <w:tcPr>
            <w:tcW w:w="517" w:type="pct"/>
            <w:tcBorders>
              <w:top w:val="single" w:sz="4" w:space="0" w:color="auto"/>
              <w:left w:val="single" w:sz="4" w:space="0" w:color="auto"/>
              <w:bottom w:val="single" w:sz="4" w:space="0" w:color="auto"/>
              <w:right w:val="single" w:sz="4" w:space="0" w:color="auto"/>
            </w:tcBorders>
            <w:vAlign w:val="center"/>
            <w:hideMark/>
          </w:tcPr>
          <w:p w14:paraId="40F64AB4" w14:textId="77777777" w:rsidR="008B6742" w:rsidRPr="00DC77E0" w:rsidRDefault="008B6742" w:rsidP="005A7661">
            <w:pPr>
              <w:spacing w:after="0"/>
              <w:jc w:val="center"/>
              <w:rPr>
                <w:rFonts w:ascii="Arial" w:hAnsi="Arial"/>
                <w:color w:val="000000"/>
                <w:sz w:val="18"/>
                <w:szCs w:val="18"/>
                <w:lang w:eastAsia="fr-FR"/>
              </w:rPr>
            </w:pPr>
            <w:r w:rsidRPr="00DC77E0">
              <w:rPr>
                <w:rFonts w:ascii="Arial" w:hAnsi="Arial"/>
                <w:color w:val="000000"/>
                <w:sz w:val="18"/>
                <w:szCs w:val="18"/>
                <w:lang w:eastAsia="fr-FR"/>
              </w:rPr>
              <w:t>NS, H</w:t>
            </w:r>
          </w:p>
        </w:tc>
        <w:tc>
          <w:tcPr>
            <w:tcW w:w="434" w:type="pct"/>
            <w:tcBorders>
              <w:top w:val="single" w:sz="4" w:space="0" w:color="auto"/>
              <w:left w:val="single" w:sz="4" w:space="0" w:color="auto"/>
              <w:bottom w:val="single" w:sz="4" w:space="0" w:color="auto"/>
              <w:right w:val="single" w:sz="4" w:space="0" w:color="auto"/>
            </w:tcBorders>
            <w:vAlign w:val="center"/>
            <w:hideMark/>
          </w:tcPr>
          <w:p w14:paraId="439CB933" w14:textId="77777777" w:rsidR="008B6742" w:rsidRPr="00DC77E0" w:rsidRDefault="008B6742" w:rsidP="005A7661">
            <w:pPr>
              <w:spacing w:after="0"/>
              <w:jc w:val="center"/>
              <w:rPr>
                <w:rFonts w:ascii="Arial" w:hAnsi="Arial"/>
                <w:color w:val="000000"/>
                <w:sz w:val="18"/>
                <w:szCs w:val="18"/>
                <w:lang w:eastAsia="fr-FR"/>
              </w:rPr>
            </w:pPr>
            <w:r w:rsidRPr="00DC77E0">
              <w:rPr>
                <w:rFonts w:ascii="Arial" w:hAnsi="Arial"/>
                <w:color w:val="000000"/>
                <w:sz w:val="18"/>
                <w:szCs w:val="18"/>
                <w:lang w:eastAsia="fr-FR"/>
              </w:rPr>
              <w:t>-</w:t>
            </w:r>
          </w:p>
        </w:tc>
        <w:tc>
          <w:tcPr>
            <w:tcW w:w="345" w:type="pct"/>
            <w:tcBorders>
              <w:top w:val="single" w:sz="4" w:space="0" w:color="auto"/>
              <w:left w:val="single" w:sz="4" w:space="0" w:color="auto"/>
              <w:bottom w:val="single" w:sz="4" w:space="0" w:color="auto"/>
              <w:right w:val="single" w:sz="4" w:space="0" w:color="auto"/>
            </w:tcBorders>
            <w:vAlign w:val="center"/>
            <w:hideMark/>
          </w:tcPr>
          <w:p w14:paraId="6E79C340" w14:textId="77777777" w:rsidR="008B6742" w:rsidRPr="00DC77E0" w:rsidRDefault="008B6742" w:rsidP="005A7661">
            <w:pPr>
              <w:spacing w:after="0"/>
              <w:jc w:val="center"/>
              <w:rPr>
                <w:rFonts w:ascii="Arial" w:hAnsi="Arial"/>
                <w:color w:val="000000"/>
                <w:sz w:val="18"/>
                <w:szCs w:val="18"/>
                <w:lang w:eastAsia="fr-FR"/>
              </w:rPr>
            </w:pPr>
            <w:r w:rsidRPr="00DC77E0">
              <w:rPr>
                <w:rFonts w:ascii="Arial" w:hAnsi="Arial"/>
                <w:color w:val="000000"/>
                <w:sz w:val="18"/>
                <w:szCs w:val="18"/>
                <w:lang w:eastAsia="fr-FR"/>
              </w:rPr>
              <w:t>-</w:t>
            </w:r>
          </w:p>
        </w:tc>
        <w:tc>
          <w:tcPr>
            <w:tcW w:w="326" w:type="pct"/>
            <w:tcBorders>
              <w:top w:val="single" w:sz="4" w:space="0" w:color="auto"/>
              <w:left w:val="single" w:sz="4" w:space="0" w:color="auto"/>
              <w:bottom w:val="single" w:sz="4" w:space="0" w:color="auto"/>
              <w:right w:val="single" w:sz="4" w:space="0" w:color="auto"/>
            </w:tcBorders>
            <w:vAlign w:val="center"/>
            <w:hideMark/>
          </w:tcPr>
          <w:p w14:paraId="50445367" w14:textId="77777777" w:rsidR="008B6742" w:rsidRPr="00DC77E0" w:rsidRDefault="008B6742" w:rsidP="005A7661">
            <w:pPr>
              <w:spacing w:after="0"/>
              <w:jc w:val="center"/>
              <w:rPr>
                <w:rFonts w:ascii="Arial" w:hAnsi="Arial"/>
                <w:color w:val="000000"/>
                <w:sz w:val="18"/>
                <w:szCs w:val="18"/>
                <w:lang w:eastAsia="fr-FR"/>
              </w:rPr>
            </w:pPr>
            <w:r w:rsidRPr="00DC77E0">
              <w:rPr>
                <w:rFonts w:ascii="Arial" w:hAnsi="Arial"/>
                <w:color w:val="000000"/>
                <w:sz w:val="18"/>
                <w:szCs w:val="18"/>
                <w:lang w:eastAsia="fr-FR"/>
              </w:rPr>
              <w:t>LC</w:t>
            </w:r>
          </w:p>
        </w:tc>
        <w:tc>
          <w:tcPr>
            <w:tcW w:w="263" w:type="pct"/>
            <w:tcBorders>
              <w:top w:val="single" w:sz="4" w:space="0" w:color="auto"/>
              <w:left w:val="single" w:sz="4" w:space="0" w:color="auto"/>
              <w:bottom w:val="single" w:sz="4" w:space="0" w:color="auto"/>
              <w:right w:val="single" w:sz="4" w:space="0" w:color="auto"/>
            </w:tcBorders>
            <w:vAlign w:val="center"/>
            <w:hideMark/>
          </w:tcPr>
          <w:p w14:paraId="684078A6" w14:textId="77777777" w:rsidR="008B6742" w:rsidRPr="00DC77E0" w:rsidRDefault="008B6742" w:rsidP="005A7661">
            <w:pPr>
              <w:spacing w:after="0"/>
              <w:jc w:val="center"/>
              <w:rPr>
                <w:rFonts w:ascii="Arial" w:hAnsi="Arial"/>
                <w:color w:val="000000"/>
                <w:sz w:val="18"/>
                <w:szCs w:val="18"/>
                <w:lang w:eastAsia="fr-FR"/>
              </w:rPr>
            </w:pPr>
            <w:r w:rsidRPr="00DC77E0">
              <w:rPr>
                <w:rFonts w:ascii="Arial" w:hAnsi="Arial"/>
                <w:color w:val="000000"/>
                <w:sz w:val="18"/>
                <w:szCs w:val="18"/>
                <w:lang w:eastAsia="fr-FR"/>
              </w:rPr>
              <w:t>-</w:t>
            </w:r>
          </w:p>
        </w:tc>
        <w:tc>
          <w:tcPr>
            <w:tcW w:w="263" w:type="pct"/>
            <w:tcBorders>
              <w:top w:val="single" w:sz="4" w:space="0" w:color="auto"/>
              <w:left w:val="single" w:sz="4" w:space="0" w:color="auto"/>
              <w:bottom w:val="single" w:sz="4" w:space="0" w:color="auto"/>
              <w:right w:val="single" w:sz="4" w:space="0" w:color="auto"/>
            </w:tcBorders>
            <w:vAlign w:val="center"/>
            <w:hideMark/>
          </w:tcPr>
          <w:p w14:paraId="0C61572B" w14:textId="77777777" w:rsidR="008B6742" w:rsidRPr="00DC77E0" w:rsidRDefault="008B6742" w:rsidP="005A7661">
            <w:pPr>
              <w:spacing w:after="0"/>
              <w:jc w:val="center"/>
              <w:rPr>
                <w:rFonts w:ascii="Arial" w:hAnsi="Arial"/>
                <w:color w:val="000000"/>
                <w:sz w:val="18"/>
                <w:szCs w:val="18"/>
                <w:lang w:eastAsia="fr-FR"/>
              </w:rPr>
            </w:pPr>
            <w:r w:rsidRPr="00DC77E0">
              <w:rPr>
                <w:rFonts w:ascii="Arial" w:hAnsi="Arial"/>
                <w:color w:val="000000"/>
                <w:sz w:val="18"/>
                <w:szCs w:val="18"/>
                <w:lang w:eastAsia="fr-FR"/>
              </w:rPr>
              <w:t>-</w:t>
            </w:r>
          </w:p>
        </w:tc>
        <w:tc>
          <w:tcPr>
            <w:tcW w:w="263" w:type="pct"/>
            <w:tcBorders>
              <w:top w:val="single" w:sz="4" w:space="0" w:color="auto"/>
              <w:left w:val="single" w:sz="4" w:space="0" w:color="auto"/>
              <w:bottom w:val="single" w:sz="4" w:space="0" w:color="auto"/>
              <w:right w:val="single" w:sz="4" w:space="0" w:color="auto"/>
            </w:tcBorders>
            <w:vAlign w:val="center"/>
            <w:hideMark/>
          </w:tcPr>
          <w:p w14:paraId="0D59BE74" w14:textId="77777777" w:rsidR="008B6742" w:rsidRPr="00DC77E0" w:rsidRDefault="008B6742" w:rsidP="005A7661">
            <w:pPr>
              <w:spacing w:after="0"/>
              <w:jc w:val="center"/>
              <w:rPr>
                <w:rFonts w:ascii="Arial" w:hAnsi="Arial"/>
                <w:color w:val="000000"/>
                <w:sz w:val="18"/>
                <w:szCs w:val="18"/>
                <w:lang w:eastAsia="fr-FR"/>
              </w:rPr>
            </w:pPr>
            <w:r w:rsidRPr="00DC77E0">
              <w:rPr>
                <w:rFonts w:ascii="Arial" w:hAnsi="Arial"/>
                <w:color w:val="000000"/>
                <w:sz w:val="18"/>
                <w:szCs w:val="18"/>
                <w:lang w:eastAsia="fr-FR"/>
              </w:rPr>
              <w:t>An. II</w:t>
            </w:r>
          </w:p>
        </w:tc>
        <w:tc>
          <w:tcPr>
            <w:tcW w:w="262" w:type="pct"/>
            <w:tcBorders>
              <w:top w:val="single" w:sz="4" w:space="0" w:color="auto"/>
              <w:left w:val="single" w:sz="4" w:space="0" w:color="auto"/>
              <w:bottom w:val="single" w:sz="4" w:space="0" w:color="auto"/>
              <w:right w:val="single" w:sz="4" w:space="0" w:color="auto"/>
            </w:tcBorders>
            <w:vAlign w:val="center"/>
            <w:hideMark/>
          </w:tcPr>
          <w:p w14:paraId="46EC1399" w14:textId="77777777" w:rsidR="008B6742" w:rsidRPr="00DC77E0" w:rsidRDefault="008B6742" w:rsidP="005A7661">
            <w:pPr>
              <w:spacing w:after="0"/>
              <w:jc w:val="center"/>
              <w:rPr>
                <w:rFonts w:ascii="Arial" w:hAnsi="Arial"/>
                <w:color w:val="000000"/>
                <w:sz w:val="18"/>
                <w:szCs w:val="18"/>
                <w:lang w:eastAsia="fr-FR"/>
              </w:rPr>
            </w:pPr>
            <w:r w:rsidRPr="00DC77E0">
              <w:rPr>
                <w:rFonts w:ascii="Arial" w:hAnsi="Arial"/>
                <w:color w:val="000000"/>
                <w:sz w:val="18"/>
                <w:szCs w:val="18"/>
                <w:lang w:eastAsia="fr-FR"/>
              </w:rPr>
              <w:t> -</w:t>
            </w:r>
          </w:p>
        </w:tc>
      </w:tr>
      <w:tr w:rsidR="00C107CD" w:rsidRPr="00DC77E0" w14:paraId="04A57D79" w14:textId="77777777" w:rsidTr="00C107CD">
        <w:trPr>
          <w:trHeight w:val="288"/>
        </w:trPr>
        <w:tc>
          <w:tcPr>
            <w:tcW w:w="836" w:type="pct"/>
            <w:tcBorders>
              <w:top w:val="single" w:sz="4" w:space="0" w:color="auto"/>
              <w:left w:val="single" w:sz="4" w:space="0" w:color="auto"/>
              <w:bottom w:val="single" w:sz="4" w:space="0" w:color="auto"/>
              <w:right w:val="single" w:sz="4" w:space="0" w:color="auto"/>
            </w:tcBorders>
            <w:noWrap/>
            <w:vAlign w:val="bottom"/>
            <w:hideMark/>
          </w:tcPr>
          <w:p w14:paraId="6F0D9FA0" w14:textId="77777777" w:rsidR="008B6742" w:rsidRPr="00DC77E0" w:rsidRDefault="008B6742" w:rsidP="005A7661">
            <w:pPr>
              <w:spacing w:after="0"/>
              <w:jc w:val="left"/>
              <w:rPr>
                <w:rFonts w:cs="Calibri"/>
                <w:color w:val="000000"/>
                <w:lang w:eastAsia="fr-FR"/>
              </w:rPr>
            </w:pPr>
            <w:r w:rsidRPr="00DC77E0">
              <w:rPr>
                <w:rFonts w:cs="Calibri"/>
                <w:color w:val="000000"/>
                <w:lang w:eastAsia="fr-FR"/>
              </w:rPr>
              <w:t>Faucon crécerelle</w:t>
            </w:r>
          </w:p>
        </w:tc>
        <w:tc>
          <w:tcPr>
            <w:tcW w:w="975" w:type="pct"/>
            <w:tcBorders>
              <w:top w:val="single" w:sz="4" w:space="0" w:color="auto"/>
              <w:left w:val="single" w:sz="4" w:space="0" w:color="auto"/>
              <w:bottom w:val="single" w:sz="4" w:space="0" w:color="auto"/>
              <w:right w:val="single" w:sz="4" w:space="0" w:color="auto"/>
            </w:tcBorders>
            <w:noWrap/>
            <w:vAlign w:val="bottom"/>
            <w:hideMark/>
          </w:tcPr>
          <w:p w14:paraId="78B1AFFD" w14:textId="77777777" w:rsidR="008B6742" w:rsidRPr="00DC77E0" w:rsidRDefault="008B6742" w:rsidP="005A7661">
            <w:pPr>
              <w:spacing w:after="0"/>
              <w:jc w:val="left"/>
              <w:rPr>
                <w:rFonts w:cs="Calibri"/>
                <w:i/>
                <w:iCs/>
                <w:color w:val="000000"/>
                <w:lang w:eastAsia="fr-FR"/>
              </w:rPr>
            </w:pPr>
            <w:r w:rsidRPr="00DC77E0">
              <w:rPr>
                <w:rFonts w:cs="Calibri"/>
                <w:i/>
                <w:iCs/>
                <w:color w:val="000000"/>
                <w:lang w:eastAsia="fr-FR"/>
              </w:rPr>
              <w:t>Falco tinnunculus</w:t>
            </w:r>
          </w:p>
        </w:tc>
        <w:tc>
          <w:tcPr>
            <w:tcW w:w="517" w:type="pct"/>
            <w:tcBorders>
              <w:top w:val="single" w:sz="4" w:space="0" w:color="auto"/>
              <w:left w:val="single" w:sz="4" w:space="0" w:color="auto"/>
              <w:bottom w:val="single" w:sz="4" w:space="0" w:color="auto"/>
              <w:right w:val="single" w:sz="4" w:space="0" w:color="auto"/>
            </w:tcBorders>
            <w:vAlign w:val="center"/>
          </w:tcPr>
          <w:p w14:paraId="53B96848" w14:textId="77777777" w:rsidR="008B6742" w:rsidRPr="00DC77E0" w:rsidRDefault="008B6742" w:rsidP="005A7661">
            <w:pPr>
              <w:spacing w:after="0"/>
              <w:jc w:val="center"/>
              <w:rPr>
                <w:rFonts w:ascii="Arial" w:hAnsi="Arial"/>
                <w:color w:val="000000"/>
                <w:sz w:val="18"/>
                <w:szCs w:val="18"/>
                <w:lang w:eastAsia="fr-FR"/>
              </w:rPr>
            </w:pPr>
            <w:r w:rsidRPr="00424FDB">
              <w:rPr>
                <w:rFonts w:ascii="Aptos Narrow" w:hAnsi="Aptos Narrow" w:cs="Times New Roman"/>
                <w:color w:val="000000"/>
                <w:lang w:eastAsia="fr-FR"/>
              </w:rPr>
              <w:t xml:space="preserve">ZA / </w:t>
            </w:r>
            <w:r>
              <w:rPr>
                <w:rFonts w:ascii="Aptos Narrow" w:hAnsi="Aptos Narrow" w:cs="Times New Roman"/>
                <w:color w:val="000000"/>
                <w:lang w:eastAsia="fr-FR"/>
              </w:rPr>
              <w:t>ZER/ZEE</w:t>
            </w:r>
          </w:p>
        </w:tc>
        <w:tc>
          <w:tcPr>
            <w:tcW w:w="517" w:type="pct"/>
            <w:tcBorders>
              <w:top w:val="single" w:sz="4" w:space="0" w:color="auto"/>
              <w:left w:val="single" w:sz="4" w:space="0" w:color="auto"/>
              <w:bottom w:val="single" w:sz="4" w:space="0" w:color="auto"/>
              <w:right w:val="single" w:sz="4" w:space="0" w:color="auto"/>
            </w:tcBorders>
            <w:vAlign w:val="center"/>
            <w:hideMark/>
          </w:tcPr>
          <w:p w14:paraId="0AE2773D" w14:textId="77777777" w:rsidR="008B6742" w:rsidRPr="00DC77E0" w:rsidRDefault="008B6742" w:rsidP="005A7661">
            <w:pPr>
              <w:spacing w:after="0"/>
              <w:jc w:val="center"/>
              <w:rPr>
                <w:rFonts w:ascii="Arial" w:hAnsi="Arial"/>
                <w:color w:val="000000"/>
                <w:sz w:val="18"/>
                <w:szCs w:val="18"/>
                <w:lang w:eastAsia="fr-FR"/>
              </w:rPr>
            </w:pPr>
            <w:r w:rsidRPr="00DC77E0">
              <w:rPr>
                <w:rFonts w:ascii="Arial" w:hAnsi="Arial"/>
                <w:color w:val="000000"/>
                <w:sz w:val="18"/>
                <w:szCs w:val="18"/>
                <w:lang w:eastAsia="fr-FR"/>
              </w:rPr>
              <w:t>NS, MP, H</w:t>
            </w:r>
          </w:p>
        </w:tc>
        <w:tc>
          <w:tcPr>
            <w:tcW w:w="434" w:type="pct"/>
            <w:tcBorders>
              <w:top w:val="single" w:sz="4" w:space="0" w:color="auto"/>
              <w:left w:val="single" w:sz="4" w:space="0" w:color="auto"/>
              <w:bottom w:val="single" w:sz="4" w:space="0" w:color="auto"/>
              <w:right w:val="single" w:sz="4" w:space="0" w:color="auto"/>
            </w:tcBorders>
            <w:vAlign w:val="center"/>
            <w:hideMark/>
          </w:tcPr>
          <w:p w14:paraId="2D0513E9" w14:textId="77777777" w:rsidR="008B6742" w:rsidRPr="00DC77E0" w:rsidRDefault="008B6742" w:rsidP="005A7661">
            <w:pPr>
              <w:spacing w:after="0"/>
              <w:jc w:val="center"/>
              <w:rPr>
                <w:rFonts w:ascii="Arial" w:hAnsi="Arial"/>
                <w:color w:val="000000"/>
                <w:sz w:val="18"/>
                <w:szCs w:val="18"/>
                <w:lang w:eastAsia="fr-FR"/>
              </w:rPr>
            </w:pPr>
            <w:r w:rsidRPr="00DC77E0">
              <w:rPr>
                <w:rFonts w:ascii="Arial" w:hAnsi="Arial"/>
                <w:color w:val="000000"/>
                <w:sz w:val="18"/>
                <w:szCs w:val="18"/>
                <w:lang w:eastAsia="fr-FR"/>
              </w:rPr>
              <w:t>Protégée</w:t>
            </w:r>
          </w:p>
        </w:tc>
        <w:tc>
          <w:tcPr>
            <w:tcW w:w="345" w:type="pct"/>
            <w:tcBorders>
              <w:top w:val="single" w:sz="4" w:space="0" w:color="auto"/>
              <w:left w:val="single" w:sz="4" w:space="0" w:color="auto"/>
              <w:bottom w:val="single" w:sz="4" w:space="0" w:color="auto"/>
              <w:right w:val="single" w:sz="4" w:space="0" w:color="auto"/>
            </w:tcBorders>
            <w:vAlign w:val="center"/>
            <w:hideMark/>
          </w:tcPr>
          <w:p w14:paraId="36D9A6B0" w14:textId="77777777" w:rsidR="008B6742" w:rsidRPr="00DC77E0" w:rsidRDefault="008B6742" w:rsidP="005A7661">
            <w:pPr>
              <w:spacing w:after="0"/>
              <w:jc w:val="center"/>
              <w:rPr>
                <w:rFonts w:ascii="Arial" w:hAnsi="Arial"/>
                <w:color w:val="000000"/>
                <w:sz w:val="18"/>
                <w:szCs w:val="18"/>
                <w:lang w:eastAsia="fr-FR"/>
              </w:rPr>
            </w:pPr>
            <w:r w:rsidRPr="00DC77E0">
              <w:rPr>
                <w:rFonts w:ascii="Arial" w:hAnsi="Arial"/>
                <w:color w:val="000000"/>
                <w:sz w:val="18"/>
                <w:szCs w:val="18"/>
                <w:lang w:eastAsia="fr-FR"/>
              </w:rPr>
              <w:t>Catégorie. II</w:t>
            </w:r>
          </w:p>
        </w:tc>
        <w:tc>
          <w:tcPr>
            <w:tcW w:w="326" w:type="pct"/>
            <w:tcBorders>
              <w:top w:val="single" w:sz="4" w:space="0" w:color="auto"/>
              <w:left w:val="single" w:sz="4" w:space="0" w:color="auto"/>
              <w:bottom w:val="single" w:sz="4" w:space="0" w:color="auto"/>
              <w:right w:val="single" w:sz="4" w:space="0" w:color="auto"/>
            </w:tcBorders>
            <w:vAlign w:val="center"/>
            <w:hideMark/>
          </w:tcPr>
          <w:p w14:paraId="56DC8DFF" w14:textId="77777777" w:rsidR="008B6742" w:rsidRPr="00DC77E0" w:rsidRDefault="008B6742" w:rsidP="005A7661">
            <w:pPr>
              <w:spacing w:after="0"/>
              <w:jc w:val="center"/>
              <w:rPr>
                <w:rFonts w:ascii="Arial" w:hAnsi="Arial"/>
                <w:color w:val="000000"/>
                <w:sz w:val="18"/>
                <w:szCs w:val="18"/>
                <w:lang w:eastAsia="fr-FR"/>
              </w:rPr>
            </w:pPr>
            <w:r w:rsidRPr="00DC77E0">
              <w:rPr>
                <w:rFonts w:ascii="Arial" w:hAnsi="Arial"/>
                <w:color w:val="000000"/>
                <w:sz w:val="18"/>
                <w:szCs w:val="18"/>
                <w:lang w:eastAsia="fr-FR"/>
              </w:rPr>
              <w:t>LC</w:t>
            </w:r>
          </w:p>
        </w:tc>
        <w:tc>
          <w:tcPr>
            <w:tcW w:w="263" w:type="pct"/>
            <w:tcBorders>
              <w:top w:val="single" w:sz="4" w:space="0" w:color="auto"/>
              <w:left w:val="single" w:sz="4" w:space="0" w:color="auto"/>
              <w:bottom w:val="single" w:sz="4" w:space="0" w:color="auto"/>
              <w:right w:val="single" w:sz="4" w:space="0" w:color="auto"/>
            </w:tcBorders>
            <w:vAlign w:val="center"/>
            <w:hideMark/>
          </w:tcPr>
          <w:p w14:paraId="6640443B" w14:textId="77777777" w:rsidR="008B6742" w:rsidRPr="00DC77E0" w:rsidRDefault="008B6742" w:rsidP="005A7661">
            <w:pPr>
              <w:spacing w:after="0"/>
              <w:jc w:val="center"/>
              <w:rPr>
                <w:rFonts w:ascii="Arial" w:hAnsi="Arial"/>
                <w:color w:val="000000"/>
                <w:sz w:val="18"/>
                <w:szCs w:val="18"/>
                <w:lang w:eastAsia="fr-FR"/>
              </w:rPr>
            </w:pPr>
            <w:r w:rsidRPr="00DC77E0">
              <w:rPr>
                <w:rFonts w:ascii="Arial" w:hAnsi="Arial"/>
                <w:color w:val="000000"/>
                <w:sz w:val="18"/>
                <w:szCs w:val="18"/>
                <w:lang w:eastAsia="fr-FR"/>
              </w:rPr>
              <w:t>LC</w:t>
            </w:r>
          </w:p>
        </w:tc>
        <w:tc>
          <w:tcPr>
            <w:tcW w:w="263" w:type="pct"/>
            <w:tcBorders>
              <w:top w:val="single" w:sz="4" w:space="0" w:color="auto"/>
              <w:left w:val="single" w:sz="4" w:space="0" w:color="auto"/>
              <w:bottom w:val="single" w:sz="4" w:space="0" w:color="auto"/>
              <w:right w:val="single" w:sz="4" w:space="0" w:color="auto"/>
            </w:tcBorders>
            <w:vAlign w:val="center"/>
            <w:hideMark/>
          </w:tcPr>
          <w:p w14:paraId="4A86680B" w14:textId="77777777" w:rsidR="008B6742" w:rsidRPr="00DC77E0" w:rsidRDefault="008B6742" w:rsidP="005A7661">
            <w:pPr>
              <w:spacing w:after="0"/>
              <w:jc w:val="center"/>
              <w:rPr>
                <w:rFonts w:ascii="Arial" w:hAnsi="Arial"/>
                <w:color w:val="000000"/>
                <w:sz w:val="18"/>
                <w:szCs w:val="18"/>
                <w:lang w:eastAsia="fr-FR"/>
              </w:rPr>
            </w:pPr>
            <w:r w:rsidRPr="00DC77E0">
              <w:rPr>
                <w:rFonts w:ascii="Arial" w:hAnsi="Arial"/>
                <w:color w:val="000000"/>
                <w:sz w:val="18"/>
                <w:szCs w:val="18"/>
                <w:lang w:eastAsia="fr-FR"/>
              </w:rPr>
              <w:t>An. II</w:t>
            </w:r>
          </w:p>
        </w:tc>
        <w:tc>
          <w:tcPr>
            <w:tcW w:w="263" w:type="pct"/>
            <w:tcBorders>
              <w:top w:val="single" w:sz="4" w:space="0" w:color="auto"/>
              <w:left w:val="single" w:sz="4" w:space="0" w:color="auto"/>
              <w:bottom w:val="single" w:sz="4" w:space="0" w:color="auto"/>
              <w:right w:val="single" w:sz="4" w:space="0" w:color="auto"/>
            </w:tcBorders>
            <w:vAlign w:val="center"/>
            <w:hideMark/>
          </w:tcPr>
          <w:p w14:paraId="21525B52" w14:textId="77777777" w:rsidR="008B6742" w:rsidRPr="00DC77E0" w:rsidRDefault="008B6742" w:rsidP="005A7661">
            <w:pPr>
              <w:spacing w:after="0"/>
              <w:jc w:val="center"/>
              <w:rPr>
                <w:rFonts w:ascii="Arial" w:hAnsi="Arial"/>
                <w:color w:val="000000"/>
                <w:sz w:val="18"/>
                <w:szCs w:val="18"/>
                <w:lang w:eastAsia="fr-FR"/>
              </w:rPr>
            </w:pPr>
            <w:r w:rsidRPr="00DC77E0">
              <w:rPr>
                <w:rFonts w:ascii="Arial" w:hAnsi="Arial"/>
                <w:color w:val="000000"/>
                <w:sz w:val="18"/>
                <w:szCs w:val="18"/>
                <w:lang w:eastAsia="fr-FR"/>
              </w:rPr>
              <w:t>An. II</w:t>
            </w:r>
          </w:p>
        </w:tc>
        <w:tc>
          <w:tcPr>
            <w:tcW w:w="262" w:type="pct"/>
            <w:tcBorders>
              <w:top w:val="single" w:sz="4" w:space="0" w:color="auto"/>
              <w:left w:val="single" w:sz="4" w:space="0" w:color="auto"/>
              <w:bottom w:val="single" w:sz="4" w:space="0" w:color="auto"/>
              <w:right w:val="single" w:sz="4" w:space="0" w:color="auto"/>
            </w:tcBorders>
            <w:vAlign w:val="center"/>
            <w:hideMark/>
          </w:tcPr>
          <w:p w14:paraId="6F860CC9" w14:textId="77777777" w:rsidR="008B6742" w:rsidRPr="00DC77E0" w:rsidRDefault="008B6742" w:rsidP="005A7661">
            <w:pPr>
              <w:spacing w:after="0"/>
              <w:jc w:val="center"/>
              <w:rPr>
                <w:rFonts w:ascii="Arial" w:hAnsi="Arial"/>
                <w:color w:val="000000"/>
                <w:sz w:val="18"/>
                <w:szCs w:val="18"/>
                <w:lang w:eastAsia="fr-FR"/>
              </w:rPr>
            </w:pPr>
            <w:r w:rsidRPr="00DC77E0">
              <w:rPr>
                <w:rFonts w:ascii="Arial" w:hAnsi="Arial"/>
                <w:color w:val="000000"/>
                <w:sz w:val="18"/>
                <w:szCs w:val="18"/>
                <w:lang w:eastAsia="fr-FR"/>
              </w:rPr>
              <w:t>An. II</w:t>
            </w:r>
          </w:p>
        </w:tc>
      </w:tr>
      <w:tr w:rsidR="00C107CD" w:rsidRPr="00DC77E0" w14:paraId="0A5B672E" w14:textId="77777777" w:rsidTr="00C107CD">
        <w:trPr>
          <w:trHeight w:val="288"/>
        </w:trPr>
        <w:tc>
          <w:tcPr>
            <w:tcW w:w="836" w:type="pct"/>
            <w:tcBorders>
              <w:top w:val="single" w:sz="4" w:space="0" w:color="auto"/>
              <w:left w:val="single" w:sz="4" w:space="0" w:color="auto"/>
              <w:bottom w:val="single" w:sz="4" w:space="0" w:color="auto"/>
              <w:right w:val="single" w:sz="4" w:space="0" w:color="auto"/>
            </w:tcBorders>
            <w:noWrap/>
            <w:vAlign w:val="bottom"/>
            <w:hideMark/>
          </w:tcPr>
          <w:p w14:paraId="5BCB4793" w14:textId="77777777" w:rsidR="008B6742" w:rsidRPr="00DC77E0" w:rsidRDefault="008B6742" w:rsidP="005A7661">
            <w:pPr>
              <w:spacing w:after="0"/>
              <w:jc w:val="left"/>
              <w:rPr>
                <w:rFonts w:cs="Calibri"/>
                <w:color w:val="000000"/>
                <w:lang w:eastAsia="fr-FR"/>
              </w:rPr>
            </w:pPr>
            <w:r w:rsidRPr="00DC77E0">
              <w:rPr>
                <w:rFonts w:cs="Calibri"/>
                <w:color w:val="000000"/>
                <w:lang w:eastAsia="fr-FR"/>
              </w:rPr>
              <w:t>Fauvette mélanocephale</w:t>
            </w:r>
          </w:p>
        </w:tc>
        <w:tc>
          <w:tcPr>
            <w:tcW w:w="975" w:type="pct"/>
            <w:tcBorders>
              <w:top w:val="single" w:sz="4" w:space="0" w:color="auto"/>
              <w:left w:val="single" w:sz="4" w:space="0" w:color="auto"/>
              <w:bottom w:val="single" w:sz="4" w:space="0" w:color="auto"/>
              <w:right w:val="single" w:sz="4" w:space="0" w:color="auto"/>
            </w:tcBorders>
            <w:noWrap/>
            <w:vAlign w:val="bottom"/>
            <w:hideMark/>
          </w:tcPr>
          <w:p w14:paraId="2085AA38" w14:textId="77777777" w:rsidR="008B6742" w:rsidRPr="00DC77E0" w:rsidRDefault="008B6742" w:rsidP="005A7661">
            <w:pPr>
              <w:spacing w:after="0"/>
              <w:jc w:val="left"/>
              <w:rPr>
                <w:rFonts w:cs="Calibri"/>
                <w:i/>
                <w:iCs/>
                <w:color w:val="000000"/>
                <w:lang w:eastAsia="fr-FR"/>
              </w:rPr>
            </w:pPr>
            <w:r w:rsidRPr="00DC77E0">
              <w:rPr>
                <w:rFonts w:cs="Calibri"/>
                <w:i/>
                <w:iCs/>
                <w:color w:val="000000"/>
                <w:lang w:eastAsia="fr-FR"/>
              </w:rPr>
              <w:t>Curruca melanocephala</w:t>
            </w:r>
          </w:p>
        </w:tc>
        <w:tc>
          <w:tcPr>
            <w:tcW w:w="517" w:type="pct"/>
            <w:tcBorders>
              <w:top w:val="single" w:sz="4" w:space="0" w:color="auto"/>
              <w:left w:val="single" w:sz="4" w:space="0" w:color="auto"/>
              <w:bottom w:val="single" w:sz="4" w:space="0" w:color="auto"/>
              <w:right w:val="single" w:sz="4" w:space="0" w:color="auto"/>
            </w:tcBorders>
            <w:vAlign w:val="center"/>
          </w:tcPr>
          <w:p w14:paraId="42DFFBB0" w14:textId="77777777" w:rsidR="008B6742" w:rsidRPr="00DC77E0" w:rsidRDefault="008B6742" w:rsidP="005A7661">
            <w:pPr>
              <w:spacing w:after="0"/>
              <w:jc w:val="center"/>
              <w:rPr>
                <w:rFonts w:ascii="Arial" w:hAnsi="Arial"/>
                <w:color w:val="000000"/>
                <w:sz w:val="18"/>
                <w:szCs w:val="18"/>
                <w:lang w:eastAsia="fr-FR"/>
              </w:rPr>
            </w:pPr>
            <w:r>
              <w:rPr>
                <w:rFonts w:ascii="Aptos Narrow" w:hAnsi="Aptos Narrow" w:cs="Times New Roman"/>
                <w:color w:val="000000"/>
                <w:lang w:eastAsia="fr-FR"/>
              </w:rPr>
              <w:t>ZER/ZEE</w:t>
            </w:r>
          </w:p>
        </w:tc>
        <w:tc>
          <w:tcPr>
            <w:tcW w:w="517" w:type="pct"/>
            <w:tcBorders>
              <w:top w:val="single" w:sz="4" w:space="0" w:color="auto"/>
              <w:left w:val="single" w:sz="4" w:space="0" w:color="auto"/>
              <w:bottom w:val="single" w:sz="4" w:space="0" w:color="auto"/>
              <w:right w:val="single" w:sz="4" w:space="0" w:color="auto"/>
            </w:tcBorders>
            <w:vAlign w:val="center"/>
            <w:hideMark/>
          </w:tcPr>
          <w:p w14:paraId="25C76482" w14:textId="77777777" w:rsidR="008B6742" w:rsidRPr="00DC77E0" w:rsidRDefault="008B6742" w:rsidP="005A7661">
            <w:pPr>
              <w:spacing w:after="0"/>
              <w:jc w:val="center"/>
              <w:rPr>
                <w:rFonts w:ascii="Arial" w:hAnsi="Arial"/>
                <w:color w:val="000000"/>
                <w:sz w:val="18"/>
                <w:szCs w:val="18"/>
                <w:lang w:eastAsia="fr-FR"/>
              </w:rPr>
            </w:pPr>
            <w:r w:rsidRPr="00DC77E0">
              <w:rPr>
                <w:rFonts w:ascii="Arial" w:hAnsi="Arial"/>
                <w:color w:val="000000"/>
                <w:sz w:val="18"/>
                <w:szCs w:val="18"/>
                <w:lang w:eastAsia="fr-FR"/>
              </w:rPr>
              <w:t>NS, H</w:t>
            </w:r>
          </w:p>
        </w:tc>
        <w:tc>
          <w:tcPr>
            <w:tcW w:w="434" w:type="pct"/>
            <w:tcBorders>
              <w:top w:val="single" w:sz="4" w:space="0" w:color="auto"/>
              <w:left w:val="single" w:sz="4" w:space="0" w:color="auto"/>
              <w:bottom w:val="single" w:sz="4" w:space="0" w:color="auto"/>
              <w:right w:val="single" w:sz="4" w:space="0" w:color="auto"/>
            </w:tcBorders>
            <w:vAlign w:val="center"/>
            <w:hideMark/>
          </w:tcPr>
          <w:p w14:paraId="6D679355" w14:textId="77777777" w:rsidR="008B6742" w:rsidRPr="00DC77E0" w:rsidRDefault="008B6742" w:rsidP="005A7661">
            <w:pPr>
              <w:spacing w:after="0"/>
              <w:jc w:val="center"/>
              <w:rPr>
                <w:rFonts w:ascii="Arial" w:hAnsi="Arial"/>
                <w:color w:val="000000"/>
                <w:sz w:val="18"/>
                <w:szCs w:val="18"/>
                <w:lang w:eastAsia="fr-FR"/>
              </w:rPr>
            </w:pPr>
            <w:r w:rsidRPr="00DC77E0">
              <w:rPr>
                <w:rFonts w:ascii="Arial" w:hAnsi="Arial"/>
                <w:color w:val="000000"/>
                <w:sz w:val="18"/>
                <w:szCs w:val="18"/>
                <w:lang w:eastAsia="fr-FR"/>
              </w:rPr>
              <w:t>-</w:t>
            </w:r>
          </w:p>
        </w:tc>
        <w:tc>
          <w:tcPr>
            <w:tcW w:w="345" w:type="pct"/>
            <w:tcBorders>
              <w:top w:val="single" w:sz="4" w:space="0" w:color="auto"/>
              <w:left w:val="single" w:sz="4" w:space="0" w:color="auto"/>
              <w:bottom w:val="single" w:sz="4" w:space="0" w:color="auto"/>
              <w:right w:val="single" w:sz="4" w:space="0" w:color="auto"/>
            </w:tcBorders>
            <w:vAlign w:val="center"/>
            <w:hideMark/>
          </w:tcPr>
          <w:p w14:paraId="398C285A" w14:textId="77777777" w:rsidR="008B6742" w:rsidRPr="00DC77E0" w:rsidRDefault="008B6742" w:rsidP="005A7661">
            <w:pPr>
              <w:spacing w:after="0"/>
              <w:jc w:val="center"/>
              <w:rPr>
                <w:rFonts w:ascii="Arial" w:hAnsi="Arial"/>
                <w:color w:val="000000"/>
                <w:sz w:val="18"/>
                <w:szCs w:val="18"/>
                <w:lang w:eastAsia="fr-FR"/>
              </w:rPr>
            </w:pPr>
            <w:r w:rsidRPr="00DC77E0">
              <w:rPr>
                <w:rFonts w:ascii="Arial" w:hAnsi="Arial"/>
                <w:color w:val="000000"/>
                <w:sz w:val="18"/>
                <w:szCs w:val="18"/>
                <w:lang w:eastAsia="fr-FR"/>
              </w:rPr>
              <w:t>-</w:t>
            </w:r>
          </w:p>
        </w:tc>
        <w:tc>
          <w:tcPr>
            <w:tcW w:w="326" w:type="pct"/>
            <w:tcBorders>
              <w:top w:val="single" w:sz="4" w:space="0" w:color="auto"/>
              <w:left w:val="single" w:sz="4" w:space="0" w:color="auto"/>
              <w:bottom w:val="single" w:sz="4" w:space="0" w:color="auto"/>
              <w:right w:val="single" w:sz="4" w:space="0" w:color="auto"/>
            </w:tcBorders>
            <w:vAlign w:val="center"/>
            <w:hideMark/>
          </w:tcPr>
          <w:p w14:paraId="50F4E3EE" w14:textId="77777777" w:rsidR="008B6742" w:rsidRPr="00DC77E0" w:rsidRDefault="008B6742" w:rsidP="005A7661">
            <w:pPr>
              <w:spacing w:after="0"/>
              <w:jc w:val="center"/>
              <w:rPr>
                <w:rFonts w:ascii="Arial" w:hAnsi="Arial"/>
                <w:color w:val="000000"/>
                <w:sz w:val="18"/>
                <w:szCs w:val="18"/>
                <w:lang w:eastAsia="fr-FR"/>
              </w:rPr>
            </w:pPr>
            <w:r w:rsidRPr="00DC77E0">
              <w:rPr>
                <w:rFonts w:ascii="Arial" w:hAnsi="Arial"/>
                <w:color w:val="000000"/>
                <w:sz w:val="18"/>
                <w:szCs w:val="18"/>
                <w:lang w:eastAsia="fr-FR"/>
              </w:rPr>
              <w:t>LC</w:t>
            </w:r>
          </w:p>
        </w:tc>
        <w:tc>
          <w:tcPr>
            <w:tcW w:w="263" w:type="pct"/>
            <w:tcBorders>
              <w:top w:val="single" w:sz="4" w:space="0" w:color="auto"/>
              <w:left w:val="single" w:sz="4" w:space="0" w:color="auto"/>
              <w:bottom w:val="single" w:sz="4" w:space="0" w:color="auto"/>
              <w:right w:val="single" w:sz="4" w:space="0" w:color="auto"/>
            </w:tcBorders>
            <w:vAlign w:val="center"/>
            <w:hideMark/>
          </w:tcPr>
          <w:p w14:paraId="5DD8F621" w14:textId="77777777" w:rsidR="008B6742" w:rsidRPr="00DC77E0" w:rsidRDefault="008B6742" w:rsidP="005A7661">
            <w:pPr>
              <w:spacing w:after="0"/>
              <w:jc w:val="center"/>
              <w:rPr>
                <w:rFonts w:ascii="Arial" w:hAnsi="Arial"/>
                <w:color w:val="000000"/>
                <w:sz w:val="18"/>
                <w:szCs w:val="18"/>
                <w:lang w:eastAsia="fr-FR"/>
              </w:rPr>
            </w:pPr>
            <w:r w:rsidRPr="00DC77E0">
              <w:rPr>
                <w:rFonts w:ascii="Arial" w:hAnsi="Arial"/>
                <w:color w:val="000000"/>
                <w:sz w:val="18"/>
                <w:szCs w:val="18"/>
                <w:lang w:eastAsia="fr-FR"/>
              </w:rPr>
              <w:t>-</w:t>
            </w:r>
          </w:p>
        </w:tc>
        <w:tc>
          <w:tcPr>
            <w:tcW w:w="263" w:type="pct"/>
            <w:tcBorders>
              <w:top w:val="single" w:sz="4" w:space="0" w:color="auto"/>
              <w:left w:val="single" w:sz="4" w:space="0" w:color="auto"/>
              <w:bottom w:val="single" w:sz="4" w:space="0" w:color="auto"/>
              <w:right w:val="single" w:sz="4" w:space="0" w:color="auto"/>
            </w:tcBorders>
            <w:vAlign w:val="center"/>
            <w:hideMark/>
          </w:tcPr>
          <w:p w14:paraId="67673391" w14:textId="77777777" w:rsidR="008B6742" w:rsidRPr="00DC77E0" w:rsidRDefault="008B6742" w:rsidP="005A7661">
            <w:pPr>
              <w:spacing w:after="0"/>
              <w:jc w:val="center"/>
              <w:rPr>
                <w:rFonts w:ascii="Arial" w:hAnsi="Arial"/>
                <w:color w:val="000000"/>
                <w:sz w:val="18"/>
                <w:szCs w:val="18"/>
                <w:lang w:eastAsia="fr-FR"/>
              </w:rPr>
            </w:pPr>
            <w:r w:rsidRPr="00DC77E0">
              <w:rPr>
                <w:rFonts w:ascii="Arial" w:hAnsi="Arial"/>
                <w:color w:val="000000"/>
                <w:sz w:val="18"/>
                <w:szCs w:val="18"/>
                <w:lang w:eastAsia="fr-FR"/>
              </w:rPr>
              <w:t>-</w:t>
            </w:r>
          </w:p>
        </w:tc>
        <w:tc>
          <w:tcPr>
            <w:tcW w:w="263" w:type="pct"/>
            <w:tcBorders>
              <w:top w:val="single" w:sz="4" w:space="0" w:color="auto"/>
              <w:left w:val="single" w:sz="4" w:space="0" w:color="auto"/>
              <w:bottom w:val="single" w:sz="4" w:space="0" w:color="auto"/>
              <w:right w:val="single" w:sz="4" w:space="0" w:color="auto"/>
            </w:tcBorders>
            <w:vAlign w:val="center"/>
            <w:hideMark/>
          </w:tcPr>
          <w:p w14:paraId="7D322ADF" w14:textId="77777777" w:rsidR="008B6742" w:rsidRPr="00DC77E0" w:rsidRDefault="008B6742" w:rsidP="005A7661">
            <w:pPr>
              <w:spacing w:after="0"/>
              <w:jc w:val="center"/>
              <w:rPr>
                <w:rFonts w:ascii="Arial" w:hAnsi="Arial"/>
                <w:color w:val="000000"/>
                <w:sz w:val="18"/>
                <w:szCs w:val="18"/>
                <w:lang w:eastAsia="fr-FR"/>
              </w:rPr>
            </w:pPr>
            <w:r w:rsidRPr="00DC77E0">
              <w:rPr>
                <w:rFonts w:ascii="Arial" w:hAnsi="Arial"/>
                <w:color w:val="000000"/>
                <w:sz w:val="18"/>
                <w:szCs w:val="18"/>
                <w:lang w:eastAsia="fr-FR"/>
              </w:rPr>
              <w:t>An. III</w:t>
            </w:r>
          </w:p>
        </w:tc>
        <w:tc>
          <w:tcPr>
            <w:tcW w:w="262" w:type="pct"/>
            <w:tcBorders>
              <w:top w:val="single" w:sz="4" w:space="0" w:color="auto"/>
              <w:left w:val="single" w:sz="4" w:space="0" w:color="auto"/>
              <w:bottom w:val="single" w:sz="4" w:space="0" w:color="auto"/>
              <w:right w:val="single" w:sz="4" w:space="0" w:color="auto"/>
            </w:tcBorders>
            <w:vAlign w:val="center"/>
            <w:hideMark/>
          </w:tcPr>
          <w:p w14:paraId="08A3AE1E" w14:textId="77777777" w:rsidR="008B6742" w:rsidRPr="00DC77E0" w:rsidRDefault="008B6742" w:rsidP="005A7661">
            <w:pPr>
              <w:spacing w:after="0"/>
              <w:jc w:val="center"/>
              <w:rPr>
                <w:rFonts w:ascii="Arial" w:hAnsi="Arial"/>
                <w:color w:val="000000"/>
                <w:sz w:val="18"/>
                <w:szCs w:val="18"/>
                <w:lang w:eastAsia="fr-FR"/>
              </w:rPr>
            </w:pPr>
            <w:r w:rsidRPr="00DC77E0">
              <w:rPr>
                <w:rFonts w:ascii="Arial" w:hAnsi="Arial"/>
                <w:color w:val="000000"/>
                <w:sz w:val="18"/>
                <w:szCs w:val="18"/>
                <w:lang w:eastAsia="fr-FR"/>
              </w:rPr>
              <w:t>An. II</w:t>
            </w:r>
          </w:p>
        </w:tc>
      </w:tr>
      <w:tr w:rsidR="00C107CD" w:rsidRPr="00DC77E0" w14:paraId="36AFDCC8" w14:textId="77777777" w:rsidTr="00C107CD">
        <w:trPr>
          <w:trHeight w:val="288"/>
        </w:trPr>
        <w:tc>
          <w:tcPr>
            <w:tcW w:w="836" w:type="pct"/>
            <w:tcBorders>
              <w:top w:val="single" w:sz="4" w:space="0" w:color="auto"/>
              <w:left w:val="single" w:sz="4" w:space="0" w:color="auto"/>
              <w:bottom w:val="single" w:sz="4" w:space="0" w:color="auto"/>
              <w:right w:val="single" w:sz="4" w:space="0" w:color="auto"/>
            </w:tcBorders>
            <w:noWrap/>
            <w:vAlign w:val="bottom"/>
            <w:hideMark/>
          </w:tcPr>
          <w:p w14:paraId="6F91FE9D" w14:textId="77777777" w:rsidR="008B6742" w:rsidRPr="00DC77E0" w:rsidRDefault="008B6742" w:rsidP="005A7661">
            <w:pPr>
              <w:spacing w:after="0"/>
              <w:jc w:val="left"/>
              <w:rPr>
                <w:rFonts w:cs="Calibri"/>
                <w:color w:val="000000"/>
                <w:lang w:eastAsia="fr-FR"/>
              </w:rPr>
            </w:pPr>
            <w:r w:rsidRPr="00DC77E0">
              <w:rPr>
                <w:rFonts w:cs="Calibri"/>
                <w:color w:val="000000"/>
                <w:lang w:eastAsia="fr-FR"/>
              </w:rPr>
              <w:lastRenderedPageBreak/>
              <w:t>Foulque macroule</w:t>
            </w:r>
          </w:p>
        </w:tc>
        <w:tc>
          <w:tcPr>
            <w:tcW w:w="975" w:type="pct"/>
            <w:tcBorders>
              <w:top w:val="single" w:sz="4" w:space="0" w:color="auto"/>
              <w:left w:val="single" w:sz="4" w:space="0" w:color="auto"/>
              <w:bottom w:val="single" w:sz="4" w:space="0" w:color="auto"/>
              <w:right w:val="single" w:sz="4" w:space="0" w:color="auto"/>
            </w:tcBorders>
            <w:noWrap/>
            <w:vAlign w:val="bottom"/>
            <w:hideMark/>
          </w:tcPr>
          <w:p w14:paraId="4EE1C1FF" w14:textId="77777777" w:rsidR="008B6742" w:rsidRPr="00DC77E0" w:rsidRDefault="008B6742" w:rsidP="005A7661">
            <w:pPr>
              <w:spacing w:after="0"/>
              <w:jc w:val="left"/>
              <w:rPr>
                <w:rFonts w:cs="Calibri"/>
                <w:i/>
                <w:iCs/>
                <w:color w:val="000000"/>
                <w:lang w:eastAsia="fr-FR"/>
              </w:rPr>
            </w:pPr>
            <w:r w:rsidRPr="00DC77E0">
              <w:rPr>
                <w:rFonts w:cs="Calibri"/>
                <w:i/>
                <w:iCs/>
                <w:color w:val="000000"/>
                <w:lang w:eastAsia="fr-FR"/>
              </w:rPr>
              <w:t>Fulica atra</w:t>
            </w:r>
          </w:p>
        </w:tc>
        <w:tc>
          <w:tcPr>
            <w:tcW w:w="517" w:type="pct"/>
            <w:tcBorders>
              <w:top w:val="single" w:sz="4" w:space="0" w:color="auto"/>
              <w:left w:val="single" w:sz="4" w:space="0" w:color="auto"/>
              <w:bottom w:val="single" w:sz="4" w:space="0" w:color="auto"/>
              <w:right w:val="single" w:sz="4" w:space="0" w:color="auto"/>
            </w:tcBorders>
            <w:vAlign w:val="center"/>
          </w:tcPr>
          <w:p w14:paraId="45DC424E" w14:textId="77777777" w:rsidR="008B6742" w:rsidRPr="00DC77E0" w:rsidRDefault="008B6742" w:rsidP="005A7661">
            <w:pPr>
              <w:spacing w:after="0"/>
              <w:jc w:val="center"/>
              <w:rPr>
                <w:rFonts w:ascii="Arial" w:hAnsi="Arial"/>
                <w:color w:val="000000"/>
                <w:sz w:val="18"/>
                <w:szCs w:val="18"/>
                <w:lang w:eastAsia="fr-FR"/>
              </w:rPr>
            </w:pPr>
            <w:r w:rsidRPr="00424FDB">
              <w:rPr>
                <w:rFonts w:ascii="Aptos Narrow" w:hAnsi="Aptos Narrow" w:cs="Times New Roman"/>
                <w:color w:val="000000"/>
                <w:lang w:eastAsia="fr-FR"/>
              </w:rPr>
              <w:t xml:space="preserve">ZA / </w:t>
            </w:r>
            <w:r>
              <w:rPr>
                <w:rFonts w:ascii="Aptos Narrow" w:hAnsi="Aptos Narrow" w:cs="Times New Roman"/>
                <w:color w:val="000000"/>
                <w:lang w:eastAsia="fr-FR"/>
              </w:rPr>
              <w:t>ZER/ZEE</w:t>
            </w:r>
          </w:p>
        </w:tc>
        <w:tc>
          <w:tcPr>
            <w:tcW w:w="517" w:type="pct"/>
            <w:tcBorders>
              <w:top w:val="single" w:sz="4" w:space="0" w:color="auto"/>
              <w:left w:val="single" w:sz="4" w:space="0" w:color="auto"/>
              <w:bottom w:val="single" w:sz="4" w:space="0" w:color="auto"/>
              <w:right w:val="single" w:sz="4" w:space="0" w:color="auto"/>
            </w:tcBorders>
            <w:vAlign w:val="center"/>
            <w:hideMark/>
          </w:tcPr>
          <w:p w14:paraId="2DE88F0A" w14:textId="77777777" w:rsidR="008B6742" w:rsidRPr="00DC77E0" w:rsidRDefault="008B6742" w:rsidP="005A7661">
            <w:pPr>
              <w:spacing w:after="0"/>
              <w:jc w:val="center"/>
              <w:rPr>
                <w:rFonts w:ascii="Arial" w:hAnsi="Arial"/>
                <w:color w:val="000000"/>
                <w:sz w:val="18"/>
                <w:szCs w:val="18"/>
                <w:lang w:eastAsia="fr-FR"/>
              </w:rPr>
            </w:pPr>
            <w:r w:rsidRPr="00DC77E0">
              <w:rPr>
                <w:rFonts w:ascii="Arial" w:hAnsi="Arial"/>
                <w:color w:val="000000"/>
                <w:sz w:val="18"/>
                <w:szCs w:val="18"/>
                <w:lang w:eastAsia="fr-FR"/>
              </w:rPr>
              <w:t>NS, H</w:t>
            </w:r>
          </w:p>
        </w:tc>
        <w:tc>
          <w:tcPr>
            <w:tcW w:w="434" w:type="pct"/>
            <w:tcBorders>
              <w:top w:val="single" w:sz="4" w:space="0" w:color="auto"/>
              <w:left w:val="single" w:sz="4" w:space="0" w:color="auto"/>
              <w:bottom w:val="single" w:sz="4" w:space="0" w:color="auto"/>
              <w:right w:val="single" w:sz="4" w:space="0" w:color="auto"/>
            </w:tcBorders>
            <w:vAlign w:val="center"/>
            <w:hideMark/>
          </w:tcPr>
          <w:p w14:paraId="4DC45144" w14:textId="77777777" w:rsidR="008B6742" w:rsidRPr="00DC77E0" w:rsidRDefault="008B6742" w:rsidP="005A7661">
            <w:pPr>
              <w:spacing w:after="0"/>
              <w:jc w:val="center"/>
              <w:rPr>
                <w:rFonts w:ascii="Arial" w:hAnsi="Arial"/>
                <w:color w:val="000000"/>
                <w:sz w:val="18"/>
                <w:szCs w:val="18"/>
                <w:lang w:eastAsia="fr-FR"/>
              </w:rPr>
            </w:pPr>
            <w:r w:rsidRPr="00DC77E0">
              <w:rPr>
                <w:rFonts w:ascii="Arial" w:hAnsi="Arial"/>
                <w:color w:val="000000"/>
                <w:sz w:val="18"/>
                <w:szCs w:val="18"/>
                <w:lang w:eastAsia="fr-FR"/>
              </w:rPr>
              <w:t xml:space="preserve">- </w:t>
            </w:r>
          </w:p>
        </w:tc>
        <w:tc>
          <w:tcPr>
            <w:tcW w:w="345" w:type="pct"/>
            <w:tcBorders>
              <w:top w:val="single" w:sz="4" w:space="0" w:color="auto"/>
              <w:left w:val="single" w:sz="4" w:space="0" w:color="auto"/>
              <w:bottom w:val="single" w:sz="4" w:space="0" w:color="auto"/>
              <w:right w:val="single" w:sz="4" w:space="0" w:color="auto"/>
            </w:tcBorders>
            <w:vAlign w:val="center"/>
            <w:hideMark/>
          </w:tcPr>
          <w:p w14:paraId="7F6E8759" w14:textId="77777777" w:rsidR="008B6742" w:rsidRPr="00DC77E0" w:rsidRDefault="008B6742" w:rsidP="005A7661">
            <w:pPr>
              <w:spacing w:after="0"/>
              <w:jc w:val="center"/>
              <w:rPr>
                <w:rFonts w:ascii="Arial" w:hAnsi="Arial"/>
                <w:color w:val="000000"/>
                <w:sz w:val="18"/>
                <w:szCs w:val="18"/>
                <w:lang w:eastAsia="fr-FR"/>
              </w:rPr>
            </w:pPr>
            <w:r w:rsidRPr="00DC77E0">
              <w:rPr>
                <w:rFonts w:ascii="Arial" w:hAnsi="Arial"/>
                <w:color w:val="000000"/>
                <w:sz w:val="18"/>
                <w:szCs w:val="18"/>
                <w:lang w:eastAsia="fr-FR"/>
              </w:rPr>
              <w:t xml:space="preserve">- </w:t>
            </w:r>
          </w:p>
        </w:tc>
        <w:tc>
          <w:tcPr>
            <w:tcW w:w="326" w:type="pct"/>
            <w:tcBorders>
              <w:top w:val="single" w:sz="4" w:space="0" w:color="auto"/>
              <w:left w:val="single" w:sz="4" w:space="0" w:color="auto"/>
              <w:bottom w:val="single" w:sz="4" w:space="0" w:color="auto"/>
              <w:right w:val="single" w:sz="4" w:space="0" w:color="auto"/>
            </w:tcBorders>
            <w:vAlign w:val="center"/>
            <w:hideMark/>
          </w:tcPr>
          <w:p w14:paraId="4E4B65E1" w14:textId="77777777" w:rsidR="008B6742" w:rsidRPr="00DC77E0" w:rsidRDefault="008B6742" w:rsidP="005A7661">
            <w:pPr>
              <w:spacing w:after="0"/>
              <w:jc w:val="center"/>
              <w:rPr>
                <w:rFonts w:ascii="Arial" w:hAnsi="Arial"/>
                <w:color w:val="000000"/>
                <w:sz w:val="18"/>
                <w:szCs w:val="18"/>
                <w:lang w:eastAsia="fr-FR"/>
              </w:rPr>
            </w:pPr>
            <w:r w:rsidRPr="00DC77E0">
              <w:rPr>
                <w:rFonts w:ascii="Arial" w:hAnsi="Arial"/>
                <w:color w:val="000000"/>
                <w:sz w:val="18"/>
                <w:szCs w:val="18"/>
                <w:lang w:eastAsia="fr-FR"/>
              </w:rPr>
              <w:t>LC</w:t>
            </w:r>
          </w:p>
        </w:tc>
        <w:tc>
          <w:tcPr>
            <w:tcW w:w="263" w:type="pct"/>
            <w:tcBorders>
              <w:top w:val="single" w:sz="4" w:space="0" w:color="auto"/>
              <w:left w:val="single" w:sz="4" w:space="0" w:color="auto"/>
              <w:bottom w:val="single" w:sz="4" w:space="0" w:color="auto"/>
              <w:right w:val="single" w:sz="4" w:space="0" w:color="auto"/>
            </w:tcBorders>
            <w:vAlign w:val="center"/>
            <w:hideMark/>
          </w:tcPr>
          <w:p w14:paraId="3D904F04" w14:textId="77777777" w:rsidR="008B6742" w:rsidRPr="00DC77E0" w:rsidRDefault="008B6742" w:rsidP="005A7661">
            <w:pPr>
              <w:spacing w:after="0"/>
              <w:jc w:val="center"/>
              <w:rPr>
                <w:rFonts w:ascii="Arial" w:hAnsi="Arial"/>
                <w:color w:val="000000"/>
                <w:sz w:val="18"/>
                <w:szCs w:val="18"/>
                <w:lang w:eastAsia="fr-FR"/>
              </w:rPr>
            </w:pPr>
            <w:r w:rsidRPr="00DC77E0">
              <w:rPr>
                <w:rFonts w:ascii="Arial" w:hAnsi="Arial"/>
                <w:color w:val="000000"/>
                <w:sz w:val="18"/>
                <w:szCs w:val="18"/>
                <w:lang w:eastAsia="fr-FR"/>
              </w:rPr>
              <w:t>-</w:t>
            </w:r>
          </w:p>
        </w:tc>
        <w:tc>
          <w:tcPr>
            <w:tcW w:w="263" w:type="pct"/>
            <w:tcBorders>
              <w:top w:val="single" w:sz="4" w:space="0" w:color="auto"/>
              <w:left w:val="single" w:sz="4" w:space="0" w:color="auto"/>
              <w:bottom w:val="single" w:sz="4" w:space="0" w:color="auto"/>
              <w:right w:val="single" w:sz="4" w:space="0" w:color="auto"/>
            </w:tcBorders>
            <w:vAlign w:val="center"/>
            <w:hideMark/>
          </w:tcPr>
          <w:p w14:paraId="643423F8" w14:textId="77777777" w:rsidR="008B6742" w:rsidRPr="00DC77E0" w:rsidRDefault="008B6742" w:rsidP="005A7661">
            <w:pPr>
              <w:spacing w:after="0"/>
              <w:jc w:val="center"/>
              <w:rPr>
                <w:rFonts w:ascii="Arial" w:hAnsi="Arial"/>
                <w:color w:val="000000"/>
                <w:sz w:val="18"/>
                <w:szCs w:val="18"/>
                <w:lang w:eastAsia="fr-FR"/>
              </w:rPr>
            </w:pPr>
            <w:r w:rsidRPr="00DC77E0">
              <w:rPr>
                <w:rFonts w:ascii="Arial" w:hAnsi="Arial"/>
                <w:color w:val="000000"/>
                <w:sz w:val="18"/>
                <w:szCs w:val="18"/>
                <w:lang w:eastAsia="fr-FR"/>
              </w:rPr>
              <w:t xml:space="preserve">- </w:t>
            </w:r>
          </w:p>
        </w:tc>
        <w:tc>
          <w:tcPr>
            <w:tcW w:w="263" w:type="pct"/>
            <w:tcBorders>
              <w:top w:val="single" w:sz="4" w:space="0" w:color="auto"/>
              <w:left w:val="single" w:sz="4" w:space="0" w:color="auto"/>
              <w:bottom w:val="single" w:sz="4" w:space="0" w:color="auto"/>
              <w:right w:val="single" w:sz="4" w:space="0" w:color="auto"/>
            </w:tcBorders>
            <w:vAlign w:val="center"/>
            <w:hideMark/>
          </w:tcPr>
          <w:p w14:paraId="3F54C0ED" w14:textId="77777777" w:rsidR="008B6742" w:rsidRPr="00DC77E0" w:rsidRDefault="008B6742" w:rsidP="005A7661">
            <w:pPr>
              <w:spacing w:after="0"/>
              <w:jc w:val="center"/>
              <w:rPr>
                <w:rFonts w:ascii="Arial" w:hAnsi="Arial"/>
                <w:color w:val="000000"/>
                <w:sz w:val="18"/>
                <w:szCs w:val="18"/>
                <w:lang w:eastAsia="fr-FR"/>
              </w:rPr>
            </w:pPr>
            <w:r w:rsidRPr="00DC77E0">
              <w:rPr>
                <w:rFonts w:ascii="Arial" w:hAnsi="Arial"/>
                <w:color w:val="000000"/>
                <w:sz w:val="18"/>
                <w:szCs w:val="18"/>
                <w:lang w:eastAsia="fr-FR"/>
              </w:rPr>
              <w:t xml:space="preserve">An. III </w:t>
            </w:r>
          </w:p>
        </w:tc>
        <w:tc>
          <w:tcPr>
            <w:tcW w:w="262" w:type="pct"/>
            <w:tcBorders>
              <w:top w:val="single" w:sz="4" w:space="0" w:color="auto"/>
              <w:left w:val="single" w:sz="4" w:space="0" w:color="auto"/>
              <w:bottom w:val="single" w:sz="4" w:space="0" w:color="auto"/>
              <w:right w:val="single" w:sz="4" w:space="0" w:color="auto"/>
            </w:tcBorders>
            <w:vAlign w:val="center"/>
            <w:hideMark/>
          </w:tcPr>
          <w:p w14:paraId="317A2A27" w14:textId="77777777" w:rsidR="008B6742" w:rsidRPr="00DC77E0" w:rsidRDefault="008B6742" w:rsidP="005A7661">
            <w:pPr>
              <w:spacing w:after="0"/>
              <w:jc w:val="center"/>
              <w:rPr>
                <w:rFonts w:ascii="Arial" w:hAnsi="Arial"/>
                <w:color w:val="000000"/>
                <w:sz w:val="18"/>
                <w:szCs w:val="18"/>
                <w:lang w:eastAsia="fr-FR"/>
              </w:rPr>
            </w:pPr>
            <w:r w:rsidRPr="00DC77E0">
              <w:rPr>
                <w:rFonts w:ascii="Arial" w:hAnsi="Arial"/>
                <w:color w:val="000000"/>
                <w:sz w:val="18"/>
                <w:szCs w:val="18"/>
                <w:lang w:eastAsia="fr-FR"/>
              </w:rPr>
              <w:t xml:space="preserve">An. II </w:t>
            </w:r>
          </w:p>
        </w:tc>
      </w:tr>
      <w:tr w:rsidR="00C107CD" w:rsidRPr="00DC77E0" w14:paraId="2D3248FF" w14:textId="77777777" w:rsidTr="00C107CD">
        <w:trPr>
          <w:trHeight w:val="288"/>
        </w:trPr>
        <w:tc>
          <w:tcPr>
            <w:tcW w:w="836" w:type="pct"/>
            <w:tcBorders>
              <w:top w:val="single" w:sz="4" w:space="0" w:color="auto"/>
              <w:left w:val="single" w:sz="4" w:space="0" w:color="auto"/>
              <w:bottom w:val="single" w:sz="4" w:space="0" w:color="auto"/>
              <w:right w:val="single" w:sz="4" w:space="0" w:color="auto"/>
            </w:tcBorders>
            <w:noWrap/>
            <w:vAlign w:val="bottom"/>
            <w:hideMark/>
          </w:tcPr>
          <w:p w14:paraId="13B5AA7E" w14:textId="77777777" w:rsidR="008B6742" w:rsidRPr="00DC77E0" w:rsidRDefault="008B6742" w:rsidP="005A7661">
            <w:pPr>
              <w:spacing w:after="0"/>
              <w:jc w:val="left"/>
              <w:rPr>
                <w:rFonts w:cs="Calibri"/>
                <w:color w:val="000000"/>
                <w:lang w:eastAsia="fr-FR"/>
              </w:rPr>
            </w:pPr>
            <w:r w:rsidRPr="00DC77E0">
              <w:rPr>
                <w:rFonts w:cs="Calibri"/>
                <w:color w:val="000000"/>
                <w:lang w:eastAsia="fr-FR"/>
              </w:rPr>
              <w:t xml:space="preserve">Guêpier d'Europe </w:t>
            </w:r>
          </w:p>
        </w:tc>
        <w:tc>
          <w:tcPr>
            <w:tcW w:w="975" w:type="pct"/>
            <w:tcBorders>
              <w:top w:val="single" w:sz="4" w:space="0" w:color="auto"/>
              <w:left w:val="single" w:sz="4" w:space="0" w:color="auto"/>
              <w:bottom w:val="single" w:sz="4" w:space="0" w:color="auto"/>
              <w:right w:val="single" w:sz="4" w:space="0" w:color="auto"/>
            </w:tcBorders>
            <w:noWrap/>
            <w:vAlign w:val="bottom"/>
            <w:hideMark/>
          </w:tcPr>
          <w:p w14:paraId="3B5A6257" w14:textId="77777777" w:rsidR="008B6742" w:rsidRPr="00DC77E0" w:rsidRDefault="008B6742" w:rsidP="005A7661">
            <w:pPr>
              <w:spacing w:after="0"/>
              <w:jc w:val="left"/>
              <w:rPr>
                <w:rFonts w:cs="Calibri"/>
                <w:i/>
                <w:iCs/>
                <w:color w:val="000000"/>
                <w:lang w:eastAsia="fr-FR"/>
              </w:rPr>
            </w:pPr>
            <w:r w:rsidRPr="00DC77E0">
              <w:rPr>
                <w:rFonts w:cs="Calibri"/>
                <w:i/>
                <w:iCs/>
                <w:color w:val="000000"/>
                <w:lang w:eastAsia="fr-FR"/>
              </w:rPr>
              <w:t>Merops apiaster</w:t>
            </w:r>
          </w:p>
        </w:tc>
        <w:tc>
          <w:tcPr>
            <w:tcW w:w="517" w:type="pct"/>
            <w:tcBorders>
              <w:top w:val="single" w:sz="4" w:space="0" w:color="auto"/>
              <w:left w:val="single" w:sz="4" w:space="0" w:color="auto"/>
              <w:bottom w:val="single" w:sz="4" w:space="0" w:color="auto"/>
              <w:right w:val="single" w:sz="4" w:space="0" w:color="auto"/>
            </w:tcBorders>
            <w:vAlign w:val="center"/>
          </w:tcPr>
          <w:p w14:paraId="157B70C9" w14:textId="77777777" w:rsidR="008B6742" w:rsidRPr="00DC77E0" w:rsidRDefault="008B6742" w:rsidP="005A7661">
            <w:pPr>
              <w:spacing w:after="0"/>
              <w:jc w:val="center"/>
              <w:rPr>
                <w:rFonts w:ascii="Arial" w:hAnsi="Arial"/>
                <w:color w:val="000000"/>
                <w:sz w:val="18"/>
                <w:szCs w:val="18"/>
                <w:lang w:eastAsia="fr-FR"/>
              </w:rPr>
            </w:pPr>
            <w:r w:rsidRPr="00424FDB">
              <w:rPr>
                <w:rFonts w:ascii="Aptos Narrow" w:hAnsi="Aptos Narrow" w:cs="Times New Roman"/>
                <w:color w:val="000000"/>
                <w:lang w:eastAsia="fr-FR"/>
              </w:rPr>
              <w:t xml:space="preserve">ZA / </w:t>
            </w:r>
            <w:r>
              <w:rPr>
                <w:rFonts w:ascii="Aptos Narrow" w:hAnsi="Aptos Narrow" w:cs="Times New Roman"/>
                <w:color w:val="000000"/>
                <w:lang w:eastAsia="fr-FR"/>
              </w:rPr>
              <w:t>ZER/ZEE</w:t>
            </w:r>
          </w:p>
        </w:tc>
        <w:tc>
          <w:tcPr>
            <w:tcW w:w="517" w:type="pct"/>
            <w:tcBorders>
              <w:top w:val="single" w:sz="4" w:space="0" w:color="auto"/>
              <w:left w:val="single" w:sz="4" w:space="0" w:color="auto"/>
              <w:bottom w:val="single" w:sz="4" w:space="0" w:color="auto"/>
              <w:right w:val="single" w:sz="4" w:space="0" w:color="auto"/>
            </w:tcBorders>
            <w:vAlign w:val="center"/>
            <w:hideMark/>
          </w:tcPr>
          <w:p w14:paraId="3BA285F1" w14:textId="77777777" w:rsidR="008B6742" w:rsidRPr="00DC77E0" w:rsidRDefault="008B6742" w:rsidP="005A7661">
            <w:pPr>
              <w:spacing w:after="0"/>
              <w:jc w:val="center"/>
              <w:rPr>
                <w:rFonts w:ascii="Arial" w:hAnsi="Arial"/>
                <w:color w:val="000000"/>
                <w:sz w:val="18"/>
                <w:szCs w:val="18"/>
                <w:lang w:eastAsia="fr-FR"/>
              </w:rPr>
            </w:pPr>
            <w:r w:rsidRPr="00DC77E0">
              <w:rPr>
                <w:rFonts w:ascii="Arial" w:hAnsi="Arial"/>
                <w:color w:val="000000"/>
                <w:sz w:val="18"/>
                <w:szCs w:val="18"/>
                <w:lang w:eastAsia="fr-FR"/>
              </w:rPr>
              <w:t>MP, NM, HO</w:t>
            </w:r>
          </w:p>
        </w:tc>
        <w:tc>
          <w:tcPr>
            <w:tcW w:w="434" w:type="pct"/>
            <w:tcBorders>
              <w:top w:val="single" w:sz="4" w:space="0" w:color="auto"/>
              <w:left w:val="single" w:sz="4" w:space="0" w:color="auto"/>
              <w:bottom w:val="single" w:sz="4" w:space="0" w:color="auto"/>
              <w:right w:val="single" w:sz="4" w:space="0" w:color="auto"/>
            </w:tcBorders>
            <w:vAlign w:val="center"/>
            <w:hideMark/>
          </w:tcPr>
          <w:p w14:paraId="64F94DDC" w14:textId="77777777" w:rsidR="008B6742" w:rsidRPr="00DC77E0" w:rsidRDefault="008B6742" w:rsidP="005A7661">
            <w:pPr>
              <w:spacing w:after="0"/>
              <w:jc w:val="center"/>
              <w:rPr>
                <w:rFonts w:ascii="Arial" w:hAnsi="Arial"/>
                <w:color w:val="000000"/>
                <w:sz w:val="18"/>
                <w:szCs w:val="18"/>
                <w:lang w:eastAsia="fr-FR"/>
              </w:rPr>
            </w:pPr>
            <w:r w:rsidRPr="00DC77E0">
              <w:rPr>
                <w:rFonts w:ascii="Arial" w:hAnsi="Arial"/>
                <w:color w:val="000000"/>
                <w:sz w:val="18"/>
                <w:szCs w:val="18"/>
                <w:lang w:eastAsia="fr-FR"/>
              </w:rPr>
              <w:t>Protégée</w:t>
            </w:r>
          </w:p>
        </w:tc>
        <w:tc>
          <w:tcPr>
            <w:tcW w:w="345" w:type="pct"/>
            <w:tcBorders>
              <w:top w:val="single" w:sz="4" w:space="0" w:color="auto"/>
              <w:left w:val="single" w:sz="4" w:space="0" w:color="auto"/>
              <w:bottom w:val="single" w:sz="4" w:space="0" w:color="auto"/>
              <w:right w:val="single" w:sz="4" w:space="0" w:color="auto"/>
            </w:tcBorders>
            <w:vAlign w:val="center"/>
            <w:hideMark/>
          </w:tcPr>
          <w:p w14:paraId="4B2CCC8F" w14:textId="77777777" w:rsidR="008B6742" w:rsidRPr="00DC77E0" w:rsidRDefault="008B6742" w:rsidP="005A7661">
            <w:pPr>
              <w:spacing w:after="0"/>
              <w:jc w:val="center"/>
              <w:rPr>
                <w:rFonts w:ascii="Arial" w:hAnsi="Arial"/>
                <w:color w:val="000000"/>
                <w:sz w:val="18"/>
                <w:szCs w:val="18"/>
                <w:lang w:eastAsia="fr-FR"/>
              </w:rPr>
            </w:pPr>
            <w:r w:rsidRPr="00DC77E0">
              <w:rPr>
                <w:rFonts w:ascii="Arial" w:hAnsi="Arial"/>
                <w:color w:val="000000"/>
                <w:sz w:val="18"/>
                <w:szCs w:val="18"/>
                <w:lang w:eastAsia="fr-FR"/>
              </w:rPr>
              <w:t>Catégorie IV</w:t>
            </w:r>
          </w:p>
        </w:tc>
        <w:tc>
          <w:tcPr>
            <w:tcW w:w="326" w:type="pct"/>
            <w:tcBorders>
              <w:top w:val="single" w:sz="4" w:space="0" w:color="auto"/>
              <w:left w:val="single" w:sz="4" w:space="0" w:color="auto"/>
              <w:bottom w:val="single" w:sz="4" w:space="0" w:color="auto"/>
              <w:right w:val="single" w:sz="4" w:space="0" w:color="auto"/>
            </w:tcBorders>
            <w:vAlign w:val="center"/>
            <w:hideMark/>
          </w:tcPr>
          <w:p w14:paraId="10B06969" w14:textId="77777777" w:rsidR="008B6742" w:rsidRPr="00DC77E0" w:rsidRDefault="008B6742" w:rsidP="005A7661">
            <w:pPr>
              <w:spacing w:after="0"/>
              <w:jc w:val="center"/>
              <w:rPr>
                <w:rFonts w:ascii="Arial" w:hAnsi="Arial"/>
                <w:color w:val="000000"/>
                <w:sz w:val="18"/>
                <w:szCs w:val="18"/>
                <w:lang w:eastAsia="fr-FR"/>
              </w:rPr>
            </w:pPr>
            <w:r w:rsidRPr="00DC77E0">
              <w:rPr>
                <w:rFonts w:ascii="Arial" w:hAnsi="Arial"/>
                <w:color w:val="000000"/>
                <w:sz w:val="18"/>
                <w:szCs w:val="18"/>
                <w:lang w:eastAsia="fr-FR"/>
              </w:rPr>
              <w:t>LC</w:t>
            </w:r>
          </w:p>
        </w:tc>
        <w:tc>
          <w:tcPr>
            <w:tcW w:w="263" w:type="pct"/>
            <w:tcBorders>
              <w:top w:val="single" w:sz="4" w:space="0" w:color="auto"/>
              <w:left w:val="single" w:sz="4" w:space="0" w:color="auto"/>
              <w:bottom w:val="single" w:sz="4" w:space="0" w:color="auto"/>
              <w:right w:val="single" w:sz="4" w:space="0" w:color="auto"/>
            </w:tcBorders>
            <w:vAlign w:val="center"/>
            <w:hideMark/>
          </w:tcPr>
          <w:p w14:paraId="5AC8A45B" w14:textId="77777777" w:rsidR="008B6742" w:rsidRPr="00DC77E0" w:rsidRDefault="008B6742" w:rsidP="005A7661">
            <w:pPr>
              <w:spacing w:after="0"/>
              <w:jc w:val="center"/>
              <w:rPr>
                <w:rFonts w:ascii="Arial" w:hAnsi="Arial"/>
                <w:color w:val="000000"/>
                <w:sz w:val="18"/>
                <w:szCs w:val="18"/>
                <w:lang w:eastAsia="fr-FR"/>
              </w:rPr>
            </w:pPr>
            <w:r w:rsidRPr="00DC77E0">
              <w:rPr>
                <w:rFonts w:ascii="Arial" w:hAnsi="Arial"/>
                <w:color w:val="000000"/>
                <w:sz w:val="18"/>
                <w:szCs w:val="18"/>
                <w:lang w:eastAsia="fr-FR"/>
              </w:rPr>
              <w:t>-</w:t>
            </w:r>
          </w:p>
        </w:tc>
        <w:tc>
          <w:tcPr>
            <w:tcW w:w="263" w:type="pct"/>
            <w:tcBorders>
              <w:top w:val="single" w:sz="4" w:space="0" w:color="auto"/>
              <w:left w:val="single" w:sz="4" w:space="0" w:color="auto"/>
              <w:bottom w:val="single" w:sz="4" w:space="0" w:color="auto"/>
              <w:right w:val="single" w:sz="4" w:space="0" w:color="auto"/>
            </w:tcBorders>
            <w:vAlign w:val="center"/>
            <w:hideMark/>
          </w:tcPr>
          <w:p w14:paraId="5E560E46" w14:textId="77777777" w:rsidR="008B6742" w:rsidRPr="00DC77E0" w:rsidRDefault="008B6742" w:rsidP="005A7661">
            <w:pPr>
              <w:spacing w:after="0"/>
              <w:jc w:val="center"/>
              <w:rPr>
                <w:rFonts w:ascii="Arial" w:hAnsi="Arial"/>
                <w:color w:val="000000"/>
                <w:sz w:val="18"/>
                <w:szCs w:val="18"/>
                <w:lang w:eastAsia="fr-FR"/>
              </w:rPr>
            </w:pPr>
            <w:r w:rsidRPr="00DC77E0">
              <w:rPr>
                <w:rFonts w:ascii="Arial" w:hAnsi="Arial"/>
                <w:color w:val="000000"/>
                <w:sz w:val="18"/>
                <w:szCs w:val="18"/>
                <w:lang w:eastAsia="fr-FR"/>
              </w:rPr>
              <w:t>-</w:t>
            </w:r>
          </w:p>
        </w:tc>
        <w:tc>
          <w:tcPr>
            <w:tcW w:w="263" w:type="pct"/>
            <w:tcBorders>
              <w:top w:val="single" w:sz="4" w:space="0" w:color="auto"/>
              <w:left w:val="single" w:sz="4" w:space="0" w:color="auto"/>
              <w:bottom w:val="single" w:sz="4" w:space="0" w:color="auto"/>
              <w:right w:val="single" w:sz="4" w:space="0" w:color="auto"/>
            </w:tcBorders>
            <w:vAlign w:val="center"/>
            <w:hideMark/>
          </w:tcPr>
          <w:p w14:paraId="266E7DC1" w14:textId="77777777" w:rsidR="008B6742" w:rsidRPr="00DC77E0" w:rsidRDefault="008B6742" w:rsidP="005A7661">
            <w:pPr>
              <w:spacing w:after="0"/>
              <w:jc w:val="center"/>
              <w:rPr>
                <w:rFonts w:ascii="Arial" w:hAnsi="Arial"/>
                <w:color w:val="000000"/>
                <w:sz w:val="18"/>
                <w:szCs w:val="18"/>
                <w:lang w:eastAsia="fr-FR"/>
              </w:rPr>
            </w:pPr>
            <w:r w:rsidRPr="00DC77E0">
              <w:rPr>
                <w:rFonts w:ascii="Arial" w:hAnsi="Arial"/>
                <w:color w:val="000000"/>
                <w:sz w:val="18"/>
                <w:szCs w:val="18"/>
                <w:lang w:eastAsia="fr-FR"/>
              </w:rPr>
              <w:t>An. II</w:t>
            </w:r>
          </w:p>
        </w:tc>
        <w:tc>
          <w:tcPr>
            <w:tcW w:w="262" w:type="pct"/>
            <w:tcBorders>
              <w:top w:val="single" w:sz="4" w:space="0" w:color="auto"/>
              <w:left w:val="single" w:sz="4" w:space="0" w:color="auto"/>
              <w:bottom w:val="single" w:sz="4" w:space="0" w:color="auto"/>
              <w:right w:val="single" w:sz="4" w:space="0" w:color="auto"/>
            </w:tcBorders>
            <w:vAlign w:val="center"/>
            <w:hideMark/>
          </w:tcPr>
          <w:p w14:paraId="77DB2549" w14:textId="77777777" w:rsidR="008B6742" w:rsidRPr="00DC77E0" w:rsidRDefault="008B6742" w:rsidP="005A7661">
            <w:pPr>
              <w:spacing w:after="0"/>
              <w:jc w:val="center"/>
              <w:rPr>
                <w:rFonts w:ascii="Arial" w:hAnsi="Arial"/>
                <w:color w:val="000000"/>
                <w:sz w:val="18"/>
                <w:szCs w:val="18"/>
                <w:lang w:eastAsia="fr-FR"/>
              </w:rPr>
            </w:pPr>
            <w:r w:rsidRPr="00DC77E0">
              <w:rPr>
                <w:rFonts w:ascii="Arial" w:hAnsi="Arial"/>
                <w:color w:val="000000"/>
                <w:sz w:val="18"/>
                <w:szCs w:val="18"/>
                <w:lang w:eastAsia="fr-FR"/>
              </w:rPr>
              <w:t>An. II</w:t>
            </w:r>
          </w:p>
        </w:tc>
      </w:tr>
      <w:tr w:rsidR="00C107CD" w:rsidRPr="00DC77E0" w14:paraId="37407E15" w14:textId="77777777" w:rsidTr="00C107CD">
        <w:trPr>
          <w:trHeight w:val="288"/>
        </w:trPr>
        <w:tc>
          <w:tcPr>
            <w:tcW w:w="836" w:type="pct"/>
            <w:tcBorders>
              <w:top w:val="single" w:sz="4" w:space="0" w:color="auto"/>
              <w:left w:val="single" w:sz="4" w:space="0" w:color="auto"/>
              <w:bottom w:val="single" w:sz="4" w:space="0" w:color="auto"/>
              <w:right w:val="single" w:sz="4" w:space="0" w:color="auto"/>
            </w:tcBorders>
            <w:noWrap/>
            <w:vAlign w:val="bottom"/>
            <w:hideMark/>
          </w:tcPr>
          <w:p w14:paraId="7D2732A1" w14:textId="77777777" w:rsidR="008B6742" w:rsidRPr="00DC77E0" w:rsidRDefault="008B6742" w:rsidP="005A7661">
            <w:pPr>
              <w:spacing w:after="0"/>
              <w:jc w:val="left"/>
              <w:rPr>
                <w:rFonts w:cs="Calibri"/>
                <w:color w:val="000000"/>
                <w:lang w:eastAsia="fr-FR"/>
              </w:rPr>
            </w:pPr>
            <w:r w:rsidRPr="00DC77E0">
              <w:rPr>
                <w:rFonts w:cs="Calibri"/>
                <w:color w:val="000000"/>
                <w:lang w:eastAsia="fr-FR"/>
              </w:rPr>
              <w:t>Heron cendré</w:t>
            </w:r>
          </w:p>
        </w:tc>
        <w:tc>
          <w:tcPr>
            <w:tcW w:w="975" w:type="pct"/>
            <w:tcBorders>
              <w:top w:val="single" w:sz="4" w:space="0" w:color="auto"/>
              <w:left w:val="single" w:sz="4" w:space="0" w:color="auto"/>
              <w:bottom w:val="single" w:sz="4" w:space="0" w:color="auto"/>
              <w:right w:val="single" w:sz="4" w:space="0" w:color="auto"/>
            </w:tcBorders>
            <w:noWrap/>
            <w:vAlign w:val="bottom"/>
            <w:hideMark/>
          </w:tcPr>
          <w:p w14:paraId="63CE3C14" w14:textId="77777777" w:rsidR="008B6742" w:rsidRPr="00DC77E0" w:rsidRDefault="008B6742" w:rsidP="005A7661">
            <w:pPr>
              <w:spacing w:after="0"/>
              <w:jc w:val="left"/>
              <w:rPr>
                <w:rFonts w:cs="Calibri"/>
                <w:i/>
                <w:iCs/>
                <w:color w:val="000000"/>
                <w:lang w:eastAsia="fr-FR"/>
              </w:rPr>
            </w:pPr>
            <w:r w:rsidRPr="00DC77E0">
              <w:rPr>
                <w:rFonts w:cs="Calibri"/>
                <w:i/>
                <w:iCs/>
                <w:color w:val="000000"/>
                <w:lang w:eastAsia="fr-FR"/>
              </w:rPr>
              <w:t>Ardea cinerea</w:t>
            </w:r>
          </w:p>
        </w:tc>
        <w:tc>
          <w:tcPr>
            <w:tcW w:w="517" w:type="pct"/>
            <w:tcBorders>
              <w:top w:val="single" w:sz="4" w:space="0" w:color="auto"/>
              <w:left w:val="single" w:sz="4" w:space="0" w:color="auto"/>
              <w:bottom w:val="single" w:sz="4" w:space="0" w:color="auto"/>
              <w:right w:val="single" w:sz="4" w:space="0" w:color="auto"/>
            </w:tcBorders>
            <w:vAlign w:val="center"/>
          </w:tcPr>
          <w:p w14:paraId="79E3B330" w14:textId="77777777" w:rsidR="008B6742" w:rsidRPr="00DC77E0" w:rsidRDefault="008B6742" w:rsidP="005A7661">
            <w:pPr>
              <w:spacing w:after="0"/>
              <w:jc w:val="center"/>
              <w:rPr>
                <w:rFonts w:ascii="Arial" w:hAnsi="Arial"/>
                <w:color w:val="000000"/>
                <w:sz w:val="18"/>
                <w:szCs w:val="18"/>
                <w:lang w:eastAsia="fr-FR"/>
              </w:rPr>
            </w:pPr>
            <w:r>
              <w:rPr>
                <w:rFonts w:ascii="Aptos Narrow" w:hAnsi="Aptos Narrow" w:cs="Times New Roman"/>
                <w:color w:val="000000"/>
                <w:lang w:eastAsia="fr-FR"/>
              </w:rPr>
              <w:t>ZER/ZEE</w:t>
            </w:r>
          </w:p>
        </w:tc>
        <w:tc>
          <w:tcPr>
            <w:tcW w:w="517" w:type="pct"/>
            <w:tcBorders>
              <w:top w:val="single" w:sz="4" w:space="0" w:color="auto"/>
              <w:left w:val="single" w:sz="4" w:space="0" w:color="auto"/>
              <w:bottom w:val="single" w:sz="4" w:space="0" w:color="auto"/>
              <w:right w:val="single" w:sz="4" w:space="0" w:color="auto"/>
            </w:tcBorders>
            <w:vAlign w:val="center"/>
            <w:hideMark/>
          </w:tcPr>
          <w:p w14:paraId="2F5E362B" w14:textId="77777777" w:rsidR="008B6742" w:rsidRPr="00DC77E0" w:rsidRDefault="008B6742" w:rsidP="005A7661">
            <w:pPr>
              <w:spacing w:after="0"/>
              <w:jc w:val="center"/>
              <w:rPr>
                <w:rFonts w:ascii="Arial" w:hAnsi="Arial"/>
                <w:color w:val="000000"/>
                <w:sz w:val="18"/>
                <w:szCs w:val="18"/>
                <w:lang w:eastAsia="fr-FR"/>
              </w:rPr>
            </w:pPr>
            <w:r w:rsidRPr="00DC77E0">
              <w:rPr>
                <w:rFonts w:ascii="Arial" w:hAnsi="Arial"/>
                <w:color w:val="000000"/>
                <w:sz w:val="18"/>
                <w:szCs w:val="18"/>
                <w:lang w:eastAsia="fr-FR"/>
              </w:rPr>
              <w:t>MP, H, NO</w:t>
            </w:r>
          </w:p>
        </w:tc>
        <w:tc>
          <w:tcPr>
            <w:tcW w:w="434" w:type="pct"/>
            <w:tcBorders>
              <w:top w:val="single" w:sz="4" w:space="0" w:color="auto"/>
              <w:left w:val="single" w:sz="4" w:space="0" w:color="auto"/>
              <w:bottom w:val="single" w:sz="4" w:space="0" w:color="auto"/>
              <w:right w:val="single" w:sz="4" w:space="0" w:color="auto"/>
            </w:tcBorders>
            <w:vAlign w:val="center"/>
            <w:hideMark/>
          </w:tcPr>
          <w:p w14:paraId="4C50E1AB" w14:textId="77777777" w:rsidR="008B6742" w:rsidRPr="00DC77E0" w:rsidRDefault="008B6742" w:rsidP="005A7661">
            <w:pPr>
              <w:spacing w:after="0"/>
              <w:jc w:val="center"/>
              <w:rPr>
                <w:rFonts w:ascii="Arial" w:hAnsi="Arial"/>
                <w:color w:val="000000"/>
                <w:sz w:val="18"/>
                <w:szCs w:val="18"/>
                <w:lang w:eastAsia="fr-FR"/>
              </w:rPr>
            </w:pPr>
            <w:r w:rsidRPr="00DC77E0">
              <w:rPr>
                <w:rFonts w:ascii="Arial" w:hAnsi="Arial"/>
                <w:color w:val="000000"/>
                <w:sz w:val="18"/>
                <w:szCs w:val="18"/>
                <w:lang w:eastAsia="fr-FR"/>
              </w:rPr>
              <w:t>-</w:t>
            </w:r>
          </w:p>
        </w:tc>
        <w:tc>
          <w:tcPr>
            <w:tcW w:w="345" w:type="pct"/>
            <w:tcBorders>
              <w:top w:val="single" w:sz="4" w:space="0" w:color="auto"/>
              <w:left w:val="single" w:sz="4" w:space="0" w:color="auto"/>
              <w:bottom w:val="single" w:sz="4" w:space="0" w:color="auto"/>
              <w:right w:val="single" w:sz="4" w:space="0" w:color="auto"/>
            </w:tcBorders>
            <w:vAlign w:val="center"/>
            <w:hideMark/>
          </w:tcPr>
          <w:p w14:paraId="55EE32FD" w14:textId="77777777" w:rsidR="008B6742" w:rsidRPr="00DC77E0" w:rsidRDefault="008B6742" w:rsidP="005A7661">
            <w:pPr>
              <w:spacing w:after="0"/>
              <w:jc w:val="center"/>
              <w:rPr>
                <w:rFonts w:ascii="Arial" w:hAnsi="Arial"/>
                <w:color w:val="000000"/>
                <w:sz w:val="18"/>
                <w:szCs w:val="18"/>
                <w:lang w:eastAsia="fr-FR"/>
              </w:rPr>
            </w:pPr>
            <w:r w:rsidRPr="00DC77E0">
              <w:rPr>
                <w:rFonts w:ascii="Arial" w:hAnsi="Arial"/>
                <w:color w:val="000000"/>
                <w:sz w:val="18"/>
                <w:szCs w:val="18"/>
                <w:lang w:eastAsia="fr-FR"/>
              </w:rPr>
              <w:t>-</w:t>
            </w:r>
          </w:p>
        </w:tc>
        <w:tc>
          <w:tcPr>
            <w:tcW w:w="326" w:type="pct"/>
            <w:tcBorders>
              <w:top w:val="single" w:sz="4" w:space="0" w:color="auto"/>
              <w:left w:val="single" w:sz="4" w:space="0" w:color="auto"/>
              <w:bottom w:val="single" w:sz="4" w:space="0" w:color="auto"/>
              <w:right w:val="single" w:sz="4" w:space="0" w:color="auto"/>
            </w:tcBorders>
            <w:vAlign w:val="center"/>
            <w:hideMark/>
          </w:tcPr>
          <w:p w14:paraId="2E26F3E5" w14:textId="77777777" w:rsidR="008B6742" w:rsidRPr="00DC77E0" w:rsidRDefault="008B6742" w:rsidP="005A7661">
            <w:pPr>
              <w:spacing w:after="0"/>
              <w:jc w:val="center"/>
              <w:rPr>
                <w:rFonts w:ascii="Arial" w:hAnsi="Arial"/>
                <w:color w:val="000000"/>
                <w:sz w:val="18"/>
                <w:szCs w:val="18"/>
                <w:lang w:eastAsia="fr-FR"/>
              </w:rPr>
            </w:pPr>
            <w:r w:rsidRPr="00DC77E0">
              <w:rPr>
                <w:rFonts w:ascii="Arial" w:hAnsi="Arial"/>
                <w:color w:val="000000"/>
                <w:sz w:val="18"/>
                <w:szCs w:val="18"/>
                <w:lang w:eastAsia="fr-FR"/>
              </w:rPr>
              <w:t>LC</w:t>
            </w:r>
          </w:p>
        </w:tc>
        <w:tc>
          <w:tcPr>
            <w:tcW w:w="263" w:type="pct"/>
            <w:tcBorders>
              <w:top w:val="single" w:sz="4" w:space="0" w:color="auto"/>
              <w:left w:val="single" w:sz="4" w:space="0" w:color="auto"/>
              <w:bottom w:val="single" w:sz="4" w:space="0" w:color="auto"/>
              <w:right w:val="single" w:sz="4" w:space="0" w:color="auto"/>
            </w:tcBorders>
            <w:vAlign w:val="center"/>
            <w:hideMark/>
          </w:tcPr>
          <w:p w14:paraId="276765D2" w14:textId="77777777" w:rsidR="008B6742" w:rsidRPr="00DC77E0" w:rsidRDefault="008B6742" w:rsidP="005A7661">
            <w:pPr>
              <w:spacing w:after="0"/>
              <w:jc w:val="center"/>
              <w:rPr>
                <w:rFonts w:ascii="Arial" w:hAnsi="Arial"/>
                <w:color w:val="000000"/>
                <w:sz w:val="18"/>
                <w:szCs w:val="18"/>
                <w:lang w:eastAsia="fr-FR"/>
              </w:rPr>
            </w:pPr>
            <w:r w:rsidRPr="00DC77E0">
              <w:rPr>
                <w:rFonts w:ascii="Arial" w:hAnsi="Arial"/>
                <w:color w:val="000000"/>
                <w:sz w:val="18"/>
                <w:szCs w:val="18"/>
                <w:lang w:eastAsia="fr-FR"/>
              </w:rPr>
              <w:t>-</w:t>
            </w:r>
          </w:p>
        </w:tc>
        <w:tc>
          <w:tcPr>
            <w:tcW w:w="263" w:type="pct"/>
            <w:tcBorders>
              <w:top w:val="single" w:sz="4" w:space="0" w:color="auto"/>
              <w:left w:val="single" w:sz="4" w:space="0" w:color="auto"/>
              <w:bottom w:val="single" w:sz="4" w:space="0" w:color="auto"/>
              <w:right w:val="single" w:sz="4" w:space="0" w:color="auto"/>
            </w:tcBorders>
            <w:vAlign w:val="center"/>
            <w:hideMark/>
          </w:tcPr>
          <w:p w14:paraId="44B9E3A9" w14:textId="77777777" w:rsidR="008B6742" w:rsidRPr="00DC77E0" w:rsidRDefault="008B6742" w:rsidP="005A7661">
            <w:pPr>
              <w:spacing w:after="0"/>
              <w:jc w:val="center"/>
              <w:rPr>
                <w:rFonts w:ascii="Arial" w:hAnsi="Arial"/>
                <w:color w:val="000000"/>
                <w:sz w:val="18"/>
                <w:szCs w:val="18"/>
                <w:lang w:eastAsia="fr-FR"/>
              </w:rPr>
            </w:pPr>
            <w:r w:rsidRPr="00DC77E0">
              <w:rPr>
                <w:rFonts w:ascii="Arial" w:hAnsi="Arial"/>
                <w:color w:val="000000"/>
                <w:sz w:val="18"/>
                <w:szCs w:val="18"/>
                <w:lang w:eastAsia="fr-FR"/>
              </w:rPr>
              <w:t>-</w:t>
            </w:r>
          </w:p>
        </w:tc>
        <w:tc>
          <w:tcPr>
            <w:tcW w:w="263" w:type="pct"/>
            <w:tcBorders>
              <w:top w:val="single" w:sz="4" w:space="0" w:color="auto"/>
              <w:left w:val="single" w:sz="4" w:space="0" w:color="auto"/>
              <w:bottom w:val="single" w:sz="4" w:space="0" w:color="auto"/>
              <w:right w:val="single" w:sz="4" w:space="0" w:color="auto"/>
            </w:tcBorders>
            <w:vAlign w:val="center"/>
            <w:hideMark/>
          </w:tcPr>
          <w:p w14:paraId="2A5F90FB" w14:textId="77777777" w:rsidR="008B6742" w:rsidRPr="00DC77E0" w:rsidRDefault="008B6742" w:rsidP="005A7661">
            <w:pPr>
              <w:spacing w:after="0"/>
              <w:jc w:val="center"/>
              <w:rPr>
                <w:rFonts w:ascii="Arial" w:hAnsi="Arial"/>
                <w:color w:val="000000"/>
                <w:sz w:val="18"/>
                <w:szCs w:val="18"/>
                <w:lang w:eastAsia="fr-FR"/>
              </w:rPr>
            </w:pPr>
            <w:r w:rsidRPr="00DC77E0">
              <w:rPr>
                <w:rFonts w:ascii="Arial" w:hAnsi="Arial"/>
                <w:color w:val="000000"/>
                <w:sz w:val="18"/>
                <w:szCs w:val="18"/>
                <w:lang w:eastAsia="fr-FR"/>
              </w:rPr>
              <w:t>An. III</w:t>
            </w:r>
          </w:p>
        </w:tc>
        <w:tc>
          <w:tcPr>
            <w:tcW w:w="262" w:type="pct"/>
            <w:tcBorders>
              <w:top w:val="single" w:sz="4" w:space="0" w:color="auto"/>
              <w:left w:val="single" w:sz="4" w:space="0" w:color="auto"/>
              <w:bottom w:val="single" w:sz="4" w:space="0" w:color="auto"/>
              <w:right w:val="single" w:sz="4" w:space="0" w:color="auto"/>
            </w:tcBorders>
            <w:vAlign w:val="center"/>
            <w:hideMark/>
          </w:tcPr>
          <w:p w14:paraId="2F49A4B5" w14:textId="77777777" w:rsidR="008B6742" w:rsidRPr="00DC77E0" w:rsidRDefault="008B6742" w:rsidP="005A7661">
            <w:pPr>
              <w:spacing w:after="0"/>
              <w:jc w:val="center"/>
              <w:rPr>
                <w:rFonts w:ascii="Arial" w:hAnsi="Arial"/>
                <w:color w:val="000000"/>
                <w:sz w:val="18"/>
                <w:szCs w:val="18"/>
                <w:lang w:eastAsia="fr-FR"/>
              </w:rPr>
            </w:pPr>
            <w:r w:rsidRPr="00DC77E0">
              <w:rPr>
                <w:rFonts w:ascii="Arial" w:hAnsi="Arial"/>
                <w:color w:val="000000"/>
                <w:sz w:val="18"/>
                <w:szCs w:val="18"/>
                <w:lang w:eastAsia="fr-FR"/>
              </w:rPr>
              <w:t>-</w:t>
            </w:r>
          </w:p>
        </w:tc>
      </w:tr>
      <w:tr w:rsidR="00C107CD" w:rsidRPr="00DC77E0" w14:paraId="6665B392" w14:textId="77777777" w:rsidTr="00C107CD">
        <w:trPr>
          <w:trHeight w:val="288"/>
        </w:trPr>
        <w:tc>
          <w:tcPr>
            <w:tcW w:w="836" w:type="pct"/>
            <w:tcBorders>
              <w:top w:val="single" w:sz="4" w:space="0" w:color="auto"/>
              <w:left w:val="single" w:sz="4" w:space="0" w:color="auto"/>
              <w:bottom w:val="single" w:sz="4" w:space="0" w:color="auto"/>
              <w:right w:val="single" w:sz="4" w:space="0" w:color="auto"/>
            </w:tcBorders>
            <w:noWrap/>
            <w:vAlign w:val="bottom"/>
            <w:hideMark/>
          </w:tcPr>
          <w:p w14:paraId="4031CCA9" w14:textId="77777777" w:rsidR="008B6742" w:rsidRPr="00DC77E0" w:rsidRDefault="008B6742" w:rsidP="005A7661">
            <w:pPr>
              <w:spacing w:after="0"/>
              <w:jc w:val="left"/>
              <w:rPr>
                <w:rFonts w:cs="Calibri"/>
                <w:color w:val="000000"/>
                <w:lang w:eastAsia="fr-FR"/>
              </w:rPr>
            </w:pPr>
            <w:r w:rsidRPr="00DC77E0">
              <w:rPr>
                <w:rFonts w:cs="Calibri"/>
                <w:color w:val="000000"/>
                <w:lang w:eastAsia="fr-FR"/>
              </w:rPr>
              <w:t>Heron garde-bœufs</w:t>
            </w:r>
          </w:p>
        </w:tc>
        <w:tc>
          <w:tcPr>
            <w:tcW w:w="975" w:type="pct"/>
            <w:tcBorders>
              <w:top w:val="single" w:sz="4" w:space="0" w:color="auto"/>
              <w:left w:val="single" w:sz="4" w:space="0" w:color="auto"/>
              <w:bottom w:val="single" w:sz="4" w:space="0" w:color="auto"/>
              <w:right w:val="single" w:sz="4" w:space="0" w:color="auto"/>
            </w:tcBorders>
            <w:noWrap/>
            <w:vAlign w:val="bottom"/>
            <w:hideMark/>
          </w:tcPr>
          <w:p w14:paraId="518551D9" w14:textId="77777777" w:rsidR="008B6742" w:rsidRPr="00DC77E0" w:rsidRDefault="008B6742" w:rsidP="005A7661">
            <w:pPr>
              <w:spacing w:after="0"/>
              <w:jc w:val="left"/>
              <w:rPr>
                <w:rFonts w:cs="Calibri"/>
                <w:i/>
                <w:iCs/>
                <w:color w:val="000000"/>
                <w:lang w:eastAsia="fr-FR"/>
              </w:rPr>
            </w:pPr>
            <w:r w:rsidRPr="00DC77E0">
              <w:rPr>
                <w:rFonts w:cs="Calibri"/>
                <w:i/>
                <w:iCs/>
                <w:color w:val="000000"/>
                <w:lang w:eastAsia="fr-FR"/>
              </w:rPr>
              <w:t>Bubulcus ibis</w:t>
            </w:r>
          </w:p>
        </w:tc>
        <w:tc>
          <w:tcPr>
            <w:tcW w:w="517" w:type="pct"/>
            <w:tcBorders>
              <w:top w:val="single" w:sz="4" w:space="0" w:color="auto"/>
              <w:left w:val="single" w:sz="4" w:space="0" w:color="auto"/>
              <w:bottom w:val="single" w:sz="4" w:space="0" w:color="auto"/>
              <w:right w:val="single" w:sz="4" w:space="0" w:color="auto"/>
            </w:tcBorders>
            <w:vAlign w:val="center"/>
          </w:tcPr>
          <w:p w14:paraId="02A1E59A" w14:textId="77777777" w:rsidR="008B6742" w:rsidRPr="00DC77E0" w:rsidRDefault="008B6742" w:rsidP="005A7661">
            <w:pPr>
              <w:spacing w:after="0"/>
              <w:jc w:val="center"/>
              <w:rPr>
                <w:rFonts w:ascii="Arial" w:hAnsi="Arial"/>
                <w:color w:val="000000"/>
                <w:sz w:val="18"/>
                <w:szCs w:val="18"/>
                <w:lang w:eastAsia="fr-FR"/>
              </w:rPr>
            </w:pPr>
            <w:r>
              <w:rPr>
                <w:rFonts w:ascii="Aptos Narrow" w:hAnsi="Aptos Narrow" w:cs="Times New Roman"/>
                <w:color w:val="000000"/>
                <w:lang w:eastAsia="fr-FR"/>
              </w:rPr>
              <w:t>ZER/ZEE</w:t>
            </w:r>
          </w:p>
        </w:tc>
        <w:tc>
          <w:tcPr>
            <w:tcW w:w="517" w:type="pct"/>
            <w:tcBorders>
              <w:top w:val="single" w:sz="4" w:space="0" w:color="auto"/>
              <w:left w:val="single" w:sz="4" w:space="0" w:color="auto"/>
              <w:bottom w:val="single" w:sz="4" w:space="0" w:color="auto"/>
              <w:right w:val="single" w:sz="4" w:space="0" w:color="auto"/>
            </w:tcBorders>
            <w:vAlign w:val="center"/>
            <w:hideMark/>
          </w:tcPr>
          <w:p w14:paraId="17F1EA6A" w14:textId="77777777" w:rsidR="008B6742" w:rsidRPr="00DC77E0" w:rsidRDefault="008B6742" w:rsidP="005A7661">
            <w:pPr>
              <w:spacing w:after="0"/>
              <w:jc w:val="center"/>
              <w:rPr>
                <w:rFonts w:ascii="Arial" w:hAnsi="Arial"/>
                <w:color w:val="000000"/>
                <w:sz w:val="18"/>
                <w:szCs w:val="18"/>
                <w:lang w:eastAsia="fr-FR"/>
              </w:rPr>
            </w:pPr>
            <w:r w:rsidRPr="00DC77E0">
              <w:rPr>
                <w:rFonts w:ascii="Arial" w:hAnsi="Arial"/>
                <w:color w:val="000000"/>
                <w:sz w:val="18"/>
                <w:szCs w:val="18"/>
                <w:lang w:eastAsia="fr-FR"/>
              </w:rPr>
              <w:t>NS, MP, H</w:t>
            </w:r>
          </w:p>
        </w:tc>
        <w:tc>
          <w:tcPr>
            <w:tcW w:w="434" w:type="pct"/>
            <w:tcBorders>
              <w:top w:val="single" w:sz="4" w:space="0" w:color="auto"/>
              <w:left w:val="single" w:sz="4" w:space="0" w:color="auto"/>
              <w:bottom w:val="single" w:sz="4" w:space="0" w:color="auto"/>
              <w:right w:val="single" w:sz="4" w:space="0" w:color="auto"/>
            </w:tcBorders>
            <w:vAlign w:val="center"/>
            <w:hideMark/>
          </w:tcPr>
          <w:p w14:paraId="36BA9118" w14:textId="77777777" w:rsidR="008B6742" w:rsidRPr="00DC77E0" w:rsidRDefault="008B6742" w:rsidP="005A7661">
            <w:pPr>
              <w:spacing w:after="0"/>
              <w:jc w:val="center"/>
              <w:rPr>
                <w:rFonts w:ascii="Arial" w:hAnsi="Arial"/>
                <w:color w:val="000000"/>
                <w:sz w:val="18"/>
                <w:szCs w:val="18"/>
                <w:lang w:eastAsia="fr-FR"/>
              </w:rPr>
            </w:pPr>
            <w:r w:rsidRPr="00DC77E0">
              <w:rPr>
                <w:rFonts w:ascii="Arial" w:hAnsi="Arial"/>
                <w:color w:val="000000"/>
                <w:sz w:val="18"/>
                <w:szCs w:val="18"/>
                <w:lang w:eastAsia="fr-FR"/>
              </w:rPr>
              <w:t>-</w:t>
            </w:r>
          </w:p>
        </w:tc>
        <w:tc>
          <w:tcPr>
            <w:tcW w:w="345" w:type="pct"/>
            <w:tcBorders>
              <w:top w:val="single" w:sz="4" w:space="0" w:color="auto"/>
              <w:left w:val="single" w:sz="4" w:space="0" w:color="auto"/>
              <w:bottom w:val="single" w:sz="4" w:space="0" w:color="auto"/>
              <w:right w:val="single" w:sz="4" w:space="0" w:color="auto"/>
            </w:tcBorders>
            <w:vAlign w:val="center"/>
            <w:hideMark/>
          </w:tcPr>
          <w:p w14:paraId="2E5D131F" w14:textId="77777777" w:rsidR="008B6742" w:rsidRPr="00DC77E0" w:rsidRDefault="008B6742" w:rsidP="005A7661">
            <w:pPr>
              <w:spacing w:after="0"/>
              <w:jc w:val="center"/>
              <w:rPr>
                <w:rFonts w:ascii="Arial" w:hAnsi="Arial"/>
                <w:color w:val="000000"/>
                <w:sz w:val="18"/>
                <w:szCs w:val="18"/>
                <w:lang w:eastAsia="fr-FR"/>
              </w:rPr>
            </w:pPr>
            <w:r w:rsidRPr="00DC77E0">
              <w:rPr>
                <w:rFonts w:ascii="Arial" w:hAnsi="Arial"/>
                <w:color w:val="000000"/>
                <w:sz w:val="18"/>
                <w:szCs w:val="18"/>
                <w:lang w:eastAsia="fr-FR"/>
              </w:rPr>
              <w:t>-</w:t>
            </w:r>
          </w:p>
        </w:tc>
        <w:tc>
          <w:tcPr>
            <w:tcW w:w="326" w:type="pct"/>
            <w:tcBorders>
              <w:top w:val="single" w:sz="4" w:space="0" w:color="auto"/>
              <w:left w:val="single" w:sz="4" w:space="0" w:color="auto"/>
              <w:bottom w:val="single" w:sz="4" w:space="0" w:color="auto"/>
              <w:right w:val="single" w:sz="4" w:space="0" w:color="auto"/>
            </w:tcBorders>
            <w:vAlign w:val="center"/>
            <w:hideMark/>
          </w:tcPr>
          <w:p w14:paraId="43B35817" w14:textId="77777777" w:rsidR="008B6742" w:rsidRPr="00DC77E0" w:rsidRDefault="008B6742" w:rsidP="005A7661">
            <w:pPr>
              <w:spacing w:after="0"/>
              <w:jc w:val="center"/>
              <w:rPr>
                <w:rFonts w:ascii="Arial" w:hAnsi="Arial"/>
                <w:color w:val="000000"/>
                <w:sz w:val="18"/>
                <w:szCs w:val="18"/>
                <w:lang w:eastAsia="fr-FR"/>
              </w:rPr>
            </w:pPr>
            <w:r w:rsidRPr="00DC77E0">
              <w:rPr>
                <w:rFonts w:ascii="Arial" w:hAnsi="Arial"/>
                <w:color w:val="000000"/>
                <w:sz w:val="18"/>
                <w:szCs w:val="18"/>
                <w:lang w:eastAsia="fr-FR"/>
              </w:rPr>
              <w:t>LC</w:t>
            </w:r>
          </w:p>
        </w:tc>
        <w:tc>
          <w:tcPr>
            <w:tcW w:w="263" w:type="pct"/>
            <w:tcBorders>
              <w:top w:val="single" w:sz="4" w:space="0" w:color="auto"/>
              <w:left w:val="single" w:sz="4" w:space="0" w:color="auto"/>
              <w:bottom w:val="single" w:sz="4" w:space="0" w:color="auto"/>
              <w:right w:val="single" w:sz="4" w:space="0" w:color="auto"/>
            </w:tcBorders>
            <w:vAlign w:val="center"/>
            <w:hideMark/>
          </w:tcPr>
          <w:p w14:paraId="52473D4D" w14:textId="77777777" w:rsidR="008B6742" w:rsidRPr="00DC77E0" w:rsidRDefault="008B6742" w:rsidP="005A7661">
            <w:pPr>
              <w:spacing w:after="0"/>
              <w:jc w:val="center"/>
              <w:rPr>
                <w:rFonts w:ascii="Arial" w:hAnsi="Arial"/>
                <w:color w:val="000000"/>
                <w:sz w:val="18"/>
                <w:szCs w:val="18"/>
                <w:lang w:eastAsia="fr-FR"/>
              </w:rPr>
            </w:pPr>
            <w:r w:rsidRPr="00DC77E0">
              <w:rPr>
                <w:rFonts w:ascii="Arial" w:hAnsi="Arial"/>
                <w:color w:val="000000"/>
                <w:sz w:val="18"/>
                <w:szCs w:val="18"/>
                <w:lang w:eastAsia="fr-FR"/>
              </w:rPr>
              <w:t>-</w:t>
            </w:r>
          </w:p>
        </w:tc>
        <w:tc>
          <w:tcPr>
            <w:tcW w:w="263" w:type="pct"/>
            <w:tcBorders>
              <w:top w:val="single" w:sz="4" w:space="0" w:color="auto"/>
              <w:left w:val="single" w:sz="4" w:space="0" w:color="auto"/>
              <w:bottom w:val="single" w:sz="4" w:space="0" w:color="auto"/>
              <w:right w:val="single" w:sz="4" w:space="0" w:color="auto"/>
            </w:tcBorders>
            <w:vAlign w:val="center"/>
            <w:hideMark/>
          </w:tcPr>
          <w:p w14:paraId="12078FBD" w14:textId="77777777" w:rsidR="008B6742" w:rsidRPr="00DC77E0" w:rsidRDefault="008B6742" w:rsidP="005A7661">
            <w:pPr>
              <w:spacing w:after="0"/>
              <w:jc w:val="center"/>
              <w:rPr>
                <w:rFonts w:ascii="Arial" w:hAnsi="Arial"/>
                <w:color w:val="000000"/>
                <w:sz w:val="18"/>
                <w:szCs w:val="18"/>
                <w:lang w:eastAsia="fr-FR"/>
              </w:rPr>
            </w:pPr>
            <w:r w:rsidRPr="00DC77E0">
              <w:rPr>
                <w:rFonts w:ascii="Arial" w:hAnsi="Arial"/>
                <w:color w:val="000000"/>
                <w:sz w:val="18"/>
                <w:szCs w:val="18"/>
                <w:lang w:eastAsia="fr-FR"/>
              </w:rPr>
              <w:t>-</w:t>
            </w:r>
          </w:p>
        </w:tc>
        <w:tc>
          <w:tcPr>
            <w:tcW w:w="263" w:type="pct"/>
            <w:tcBorders>
              <w:top w:val="single" w:sz="4" w:space="0" w:color="auto"/>
              <w:left w:val="single" w:sz="4" w:space="0" w:color="auto"/>
              <w:bottom w:val="single" w:sz="4" w:space="0" w:color="auto"/>
              <w:right w:val="single" w:sz="4" w:space="0" w:color="auto"/>
            </w:tcBorders>
            <w:vAlign w:val="center"/>
            <w:hideMark/>
          </w:tcPr>
          <w:p w14:paraId="4721F431" w14:textId="77777777" w:rsidR="008B6742" w:rsidRPr="00DC77E0" w:rsidRDefault="008B6742" w:rsidP="005A7661">
            <w:pPr>
              <w:spacing w:after="0"/>
              <w:jc w:val="center"/>
              <w:rPr>
                <w:rFonts w:ascii="Arial" w:hAnsi="Arial"/>
                <w:color w:val="000000"/>
                <w:sz w:val="18"/>
                <w:szCs w:val="18"/>
                <w:lang w:eastAsia="fr-FR"/>
              </w:rPr>
            </w:pPr>
            <w:r w:rsidRPr="00DC77E0">
              <w:rPr>
                <w:rFonts w:ascii="Arial" w:hAnsi="Arial"/>
                <w:color w:val="000000"/>
                <w:sz w:val="18"/>
                <w:szCs w:val="18"/>
                <w:lang w:eastAsia="fr-FR"/>
              </w:rPr>
              <w:t>An. III</w:t>
            </w:r>
          </w:p>
        </w:tc>
        <w:tc>
          <w:tcPr>
            <w:tcW w:w="262" w:type="pct"/>
            <w:tcBorders>
              <w:top w:val="single" w:sz="4" w:space="0" w:color="auto"/>
              <w:left w:val="single" w:sz="4" w:space="0" w:color="auto"/>
              <w:bottom w:val="single" w:sz="4" w:space="0" w:color="auto"/>
              <w:right w:val="single" w:sz="4" w:space="0" w:color="auto"/>
            </w:tcBorders>
            <w:vAlign w:val="center"/>
            <w:hideMark/>
          </w:tcPr>
          <w:p w14:paraId="7CA1CDEB" w14:textId="77777777" w:rsidR="008B6742" w:rsidRPr="00DC77E0" w:rsidRDefault="008B6742" w:rsidP="005A7661">
            <w:pPr>
              <w:spacing w:after="0"/>
              <w:jc w:val="center"/>
              <w:rPr>
                <w:rFonts w:ascii="Arial" w:hAnsi="Arial"/>
                <w:color w:val="000000"/>
                <w:sz w:val="18"/>
                <w:szCs w:val="18"/>
                <w:lang w:eastAsia="fr-FR"/>
              </w:rPr>
            </w:pPr>
            <w:r w:rsidRPr="00DC77E0">
              <w:rPr>
                <w:rFonts w:ascii="Arial" w:hAnsi="Arial"/>
                <w:color w:val="000000"/>
                <w:sz w:val="18"/>
                <w:szCs w:val="18"/>
                <w:lang w:eastAsia="fr-FR"/>
              </w:rPr>
              <w:t>-</w:t>
            </w:r>
          </w:p>
        </w:tc>
      </w:tr>
      <w:tr w:rsidR="00C107CD" w:rsidRPr="00DC77E0" w14:paraId="66886C41" w14:textId="77777777" w:rsidTr="00C107CD">
        <w:trPr>
          <w:trHeight w:val="288"/>
        </w:trPr>
        <w:tc>
          <w:tcPr>
            <w:tcW w:w="836" w:type="pct"/>
            <w:tcBorders>
              <w:top w:val="single" w:sz="4" w:space="0" w:color="auto"/>
              <w:left w:val="single" w:sz="4" w:space="0" w:color="auto"/>
              <w:bottom w:val="single" w:sz="4" w:space="0" w:color="auto"/>
              <w:right w:val="single" w:sz="4" w:space="0" w:color="auto"/>
            </w:tcBorders>
            <w:noWrap/>
            <w:vAlign w:val="bottom"/>
            <w:hideMark/>
          </w:tcPr>
          <w:p w14:paraId="66A6C3F9" w14:textId="77777777" w:rsidR="008B6742" w:rsidRPr="00DC77E0" w:rsidRDefault="008B6742" w:rsidP="005A7661">
            <w:pPr>
              <w:spacing w:after="0"/>
              <w:jc w:val="left"/>
              <w:rPr>
                <w:rFonts w:cs="Calibri"/>
                <w:color w:val="000000"/>
                <w:lang w:eastAsia="fr-FR"/>
              </w:rPr>
            </w:pPr>
            <w:r w:rsidRPr="00DC77E0">
              <w:rPr>
                <w:rFonts w:cs="Calibri"/>
                <w:color w:val="000000"/>
                <w:lang w:eastAsia="fr-FR"/>
              </w:rPr>
              <w:t xml:space="preserve">Hirondelle paludicole </w:t>
            </w:r>
          </w:p>
        </w:tc>
        <w:tc>
          <w:tcPr>
            <w:tcW w:w="975" w:type="pct"/>
            <w:tcBorders>
              <w:top w:val="single" w:sz="4" w:space="0" w:color="auto"/>
              <w:left w:val="single" w:sz="4" w:space="0" w:color="auto"/>
              <w:bottom w:val="single" w:sz="4" w:space="0" w:color="auto"/>
              <w:right w:val="single" w:sz="4" w:space="0" w:color="auto"/>
            </w:tcBorders>
            <w:noWrap/>
            <w:vAlign w:val="bottom"/>
            <w:hideMark/>
          </w:tcPr>
          <w:p w14:paraId="26B922CA" w14:textId="77777777" w:rsidR="008B6742" w:rsidRPr="00DC77E0" w:rsidRDefault="008B6742" w:rsidP="005A7661">
            <w:pPr>
              <w:spacing w:after="0"/>
              <w:jc w:val="left"/>
              <w:rPr>
                <w:rFonts w:cs="Calibri"/>
                <w:i/>
                <w:iCs/>
                <w:color w:val="000000"/>
                <w:lang w:eastAsia="fr-FR"/>
              </w:rPr>
            </w:pPr>
            <w:r w:rsidRPr="00DC77E0">
              <w:rPr>
                <w:rFonts w:cs="Calibri"/>
                <w:i/>
                <w:iCs/>
                <w:color w:val="000000"/>
                <w:lang w:eastAsia="fr-FR"/>
              </w:rPr>
              <w:t>Riparia paludicola</w:t>
            </w:r>
          </w:p>
        </w:tc>
        <w:tc>
          <w:tcPr>
            <w:tcW w:w="517" w:type="pct"/>
            <w:tcBorders>
              <w:top w:val="single" w:sz="4" w:space="0" w:color="auto"/>
              <w:left w:val="single" w:sz="4" w:space="0" w:color="auto"/>
              <w:bottom w:val="single" w:sz="4" w:space="0" w:color="auto"/>
              <w:right w:val="single" w:sz="4" w:space="0" w:color="auto"/>
            </w:tcBorders>
            <w:vAlign w:val="center"/>
          </w:tcPr>
          <w:p w14:paraId="27787879" w14:textId="77777777" w:rsidR="008B6742" w:rsidRPr="00DC77E0" w:rsidRDefault="008B6742" w:rsidP="005A7661">
            <w:pPr>
              <w:spacing w:after="0"/>
              <w:jc w:val="center"/>
              <w:rPr>
                <w:rFonts w:ascii="Arial" w:hAnsi="Arial"/>
                <w:color w:val="000000"/>
                <w:sz w:val="18"/>
                <w:szCs w:val="18"/>
                <w:lang w:eastAsia="fr-FR"/>
              </w:rPr>
            </w:pPr>
            <w:r>
              <w:rPr>
                <w:rFonts w:ascii="Aptos Narrow" w:hAnsi="Aptos Narrow" w:cs="Times New Roman"/>
                <w:color w:val="000000"/>
                <w:lang w:eastAsia="fr-FR"/>
              </w:rPr>
              <w:t>ZER/ZEE</w:t>
            </w:r>
          </w:p>
        </w:tc>
        <w:tc>
          <w:tcPr>
            <w:tcW w:w="517" w:type="pct"/>
            <w:tcBorders>
              <w:top w:val="single" w:sz="4" w:space="0" w:color="auto"/>
              <w:left w:val="single" w:sz="4" w:space="0" w:color="auto"/>
              <w:bottom w:val="single" w:sz="4" w:space="0" w:color="auto"/>
              <w:right w:val="single" w:sz="4" w:space="0" w:color="auto"/>
            </w:tcBorders>
            <w:vAlign w:val="center"/>
            <w:hideMark/>
          </w:tcPr>
          <w:p w14:paraId="53B292AC" w14:textId="77777777" w:rsidR="008B6742" w:rsidRPr="00DC77E0" w:rsidRDefault="008B6742" w:rsidP="005A7661">
            <w:pPr>
              <w:spacing w:after="0"/>
              <w:jc w:val="center"/>
              <w:rPr>
                <w:rFonts w:ascii="Arial" w:hAnsi="Arial"/>
                <w:color w:val="000000"/>
                <w:sz w:val="18"/>
                <w:szCs w:val="18"/>
                <w:lang w:eastAsia="fr-FR"/>
              </w:rPr>
            </w:pPr>
            <w:r w:rsidRPr="00DC77E0">
              <w:rPr>
                <w:rFonts w:ascii="Arial" w:hAnsi="Arial"/>
                <w:color w:val="000000"/>
                <w:sz w:val="18"/>
                <w:szCs w:val="18"/>
                <w:lang w:eastAsia="fr-FR"/>
              </w:rPr>
              <w:t>MP, NM, HO</w:t>
            </w:r>
          </w:p>
        </w:tc>
        <w:tc>
          <w:tcPr>
            <w:tcW w:w="434" w:type="pct"/>
            <w:tcBorders>
              <w:top w:val="single" w:sz="4" w:space="0" w:color="auto"/>
              <w:left w:val="single" w:sz="4" w:space="0" w:color="auto"/>
              <w:bottom w:val="single" w:sz="4" w:space="0" w:color="auto"/>
              <w:right w:val="single" w:sz="4" w:space="0" w:color="auto"/>
            </w:tcBorders>
            <w:vAlign w:val="center"/>
            <w:hideMark/>
          </w:tcPr>
          <w:p w14:paraId="04B1ACBA" w14:textId="77777777" w:rsidR="008B6742" w:rsidRPr="00DC77E0" w:rsidRDefault="008B6742" w:rsidP="005A7661">
            <w:pPr>
              <w:spacing w:after="0"/>
              <w:jc w:val="center"/>
              <w:rPr>
                <w:rFonts w:ascii="Arial" w:hAnsi="Arial"/>
                <w:color w:val="000000"/>
                <w:sz w:val="18"/>
                <w:szCs w:val="18"/>
                <w:lang w:eastAsia="fr-FR"/>
              </w:rPr>
            </w:pPr>
            <w:r w:rsidRPr="00DC77E0">
              <w:rPr>
                <w:rFonts w:ascii="Arial" w:hAnsi="Arial"/>
                <w:color w:val="000000"/>
                <w:sz w:val="18"/>
                <w:szCs w:val="18"/>
                <w:lang w:eastAsia="fr-FR"/>
              </w:rPr>
              <w:t>-</w:t>
            </w:r>
          </w:p>
        </w:tc>
        <w:tc>
          <w:tcPr>
            <w:tcW w:w="345" w:type="pct"/>
            <w:tcBorders>
              <w:top w:val="single" w:sz="4" w:space="0" w:color="auto"/>
              <w:left w:val="single" w:sz="4" w:space="0" w:color="auto"/>
              <w:bottom w:val="single" w:sz="4" w:space="0" w:color="auto"/>
              <w:right w:val="single" w:sz="4" w:space="0" w:color="auto"/>
            </w:tcBorders>
            <w:vAlign w:val="center"/>
            <w:hideMark/>
          </w:tcPr>
          <w:p w14:paraId="2F3BFFB0" w14:textId="77777777" w:rsidR="008B6742" w:rsidRPr="00DC77E0" w:rsidRDefault="008B6742" w:rsidP="005A7661">
            <w:pPr>
              <w:spacing w:after="0"/>
              <w:jc w:val="center"/>
              <w:rPr>
                <w:rFonts w:ascii="Arial" w:hAnsi="Arial"/>
                <w:color w:val="000000"/>
                <w:sz w:val="18"/>
                <w:szCs w:val="18"/>
                <w:lang w:eastAsia="fr-FR"/>
              </w:rPr>
            </w:pPr>
            <w:r w:rsidRPr="00DC77E0">
              <w:rPr>
                <w:rFonts w:ascii="Arial" w:hAnsi="Arial"/>
                <w:color w:val="000000"/>
                <w:sz w:val="18"/>
                <w:szCs w:val="18"/>
                <w:lang w:eastAsia="fr-FR"/>
              </w:rPr>
              <w:t>-</w:t>
            </w:r>
          </w:p>
        </w:tc>
        <w:tc>
          <w:tcPr>
            <w:tcW w:w="326" w:type="pct"/>
            <w:tcBorders>
              <w:top w:val="single" w:sz="4" w:space="0" w:color="auto"/>
              <w:left w:val="single" w:sz="4" w:space="0" w:color="auto"/>
              <w:bottom w:val="single" w:sz="4" w:space="0" w:color="auto"/>
              <w:right w:val="single" w:sz="4" w:space="0" w:color="auto"/>
            </w:tcBorders>
            <w:vAlign w:val="center"/>
            <w:hideMark/>
          </w:tcPr>
          <w:p w14:paraId="2BCCCB8B" w14:textId="77777777" w:rsidR="008B6742" w:rsidRPr="00DC77E0" w:rsidRDefault="008B6742" w:rsidP="005A7661">
            <w:pPr>
              <w:spacing w:after="0"/>
              <w:jc w:val="center"/>
              <w:rPr>
                <w:rFonts w:ascii="Arial" w:hAnsi="Arial"/>
                <w:color w:val="000000"/>
                <w:sz w:val="18"/>
                <w:szCs w:val="18"/>
                <w:lang w:eastAsia="fr-FR"/>
              </w:rPr>
            </w:pPr>
            <w:r w:rsidRPr="00DC77E0">
              <w:rPr>
                <w:rFonts w:ascii="Arial" w:hAnsi="Arial"/>
                <w:color w:val="000000"/>
                <w:sz w:val="18"/>
                <w:szCs w:val="18"/>
                <w:lang w:eastAsia="fr-FR"/>
              </w:rPr>
              <w:t>LC</w:t>
            </w:r>
          </w:p>
        </w:tc>
        <w:tc>
          <w:tcPr>
            <w:tcW w:w="263" w:type="pct"/>
            <w:tcBorders>
              <w:top w:val="single" w:sz="4" w:space="0" w:color="auto"/>
              <w:left w:val="single" w:sz="4" w:space="0" w:color="auto"/>
              <w:bottom w:val="single" w:sz="4" w:space="0" w:color="auto"/>
              <w:right w:val="single" w:sz="4" w:space="0" w:color="auto"/>
            </w:tcBorders>
            <w:vAlign w:val="center"/>
            <w:hideMark/>
          </w:tcPr>
          <w:p w14:paraId="6AA96DB5" w14:textId="77777777" w:rsidR="008B6742" w:rsidRPr="00DC77E0" w:rsidRDefault="008B6742" w:rsidP="005A7661">
            <w:pPr>
              <w:spacing w:after="0"/>
              <w:jc w:val="center"/>
              <w:rPr>
                <w:rFonts w:ascii="Arial" w:hAnsi="Arial"/>
                <w:color w:val="000000"/>
                <w:sz w:val="18"/>
                <w:szCs w:val="18"/>
                <w:lang w:eastAsia="fr-FR"/>
              </w:rPr>
            </w:pPr>
            <w:r w:rsidRPr="00DC77E0">
              <w:rPr>
                <w:rFonts w:ascii="Arial" w:hAnsi="Arial"/>
                <w:color w:val="000000"/>
                <w:sz w:val="18"/>
                <w:szCs w:val="18"/>
                <w:lang w:eastAsia="fr-FR"/>
              </w:rPr>
              <w:t>-</w:t>
            </w:r>
          </w:p>
        </w:tc>
        <w:tc>
          <w:tcPr>
            <w:tcW w:w="263" w:type="pct"/>
            <w:tcBorders>
              <w:top w:val="single" w:sz="4" w:space="0" w:color="auto"/>
              <w:left w:val="single" w:sz="4" w:space="0" w:color="auto"/>
              <w:bottom w:val="single" w:sz="4" w:space="0" w:color="auto"/>
              <w:right w:val="single" w:sz="4" w:space="0" w:color="auto"/>
            </w:tcBorders>
            <w:vAlign w:val="center"/>
            <w:hideMark/>
          </w:tcPr>
          <w:p w14:paraId="00E2AD46" w14:textId="77777777" w:rsidR="008B6742" w:rsidRPr="00DC77E0" w:rsidRDefault="008B6742" w:rsidP="005A7661">
            <w:pPr>
              <w:spacing w:after="0"/>
              <w:jc w:val="center"/>
              <w:rPr>
                <w:rFonts w:ascii="Arial" w:hAnsi="Arial"/>
                <w:color w:val="000000"/>
                <w:sz w:val="18"/>
                <w:szCs w:val="18"/>
                <w:lang w:eastAsia="fr-FR"/>
              </w:rPr>
            </w:pPr>
            <w:r w:rsidRPr="00DC77E0">
              <w:rPr>
                <w:rFonts w:ascii="Arial" w:hAnsi="Arial"/>
                <w:color w:val="000000"/>
                <w:sz w:val="18"/>
                <w:szCs w:val="18"/>
                <w:lang w:eastAsia="fr-FR"/>
              </w:rPr>
              <w:t>-</w:t>
            </w:r>
          </w:p>
        </w:tc>
        <w:tc>
          <w:tcPr>
            <w:tcW w:w="263" w:type="pct"/>
            <w:tcBorders>
              <w:top w:val="single" w:sz="4" w:space="0" w:color="auto"/>
              <w:left w:val="single" w:sz="4" w:space="0" w:color="auto"/>
              <w:bottom w:val="single" w:sz="4" w:space="0" w:color="auto"/>
              <w:right w:val="single" w:sz="4" w:space="0" w:color="auto"/>
            </w:tcBorders>
            <w:vAlign w:val="center"/>
            <w:hideMark/>
          </w:tcPr>
          <w:p w14:paraId="131DF4DB" w14:textId="77777777" w:rsidR="008B6742" w:rsidRPr="00DC77E0" w:rsidRDefault="008B6742" w:rsidP="005A7661">
            <w:pPr>
              <w:spacing w:after="0"/>
              <w:jc w:val="center"/>
              <w:rPr>
                <w:rFonts w:ascii="Arial" w:hAnsi="Arial"/>
                <w:color w:val="000000"/>
                <w:sz w:val="18"/>
                <w:szCs w:val="18"/>
                <w:lang w:eastAsia="fr-FR"/>
              </w:rPr>
            </w:pPr>
            <w:r w:rsidRPr="00DC77E0">
              <w:rPr>
                <w:rFonts w:ascii="Arial" w:hAnsi="Arial"/>
                <w:color w:val="000000"/>
                <w:sz w:val="18"/>
                <w:szCs w:val="18"/>
                <w:lang w:eastAsia="fr-FR"/>
              </w:rPr>
              <w:t>An. II</w:t>
            </w:r>
          </w:p>
        </w:tc>
        <w:tc>
          <w:tcPr>
            <w:tcW w:w="262" w:type="pct"/>
            <w:tcBorders>
              <w:top w:val="single" w:sz="4" w:space="0" w:color="auto"/>
              <w:left w:val="single" w:sz="4" w:space="0" w:color="auto"/>
              <w:bottom w:val="single" w:sz="4" w:space="0" w:color="auto"/>
              <w:right w:val="single" w:sz="4" w:space="0" w:color="auto"/>
            </w:tcBorders>
            <w:vAlign w:val="center"/>
            <w:hideMark/>
          </w:tcPr>
          <w:p w14:paraId="7F471F4B" w14:textId="77777777" w:rsidR="008B6742" w:rsidRPr="00DC77E0" w:rsidRDefault="008B6742" w:rsidP="005A7661">
            <w:pPr>
              <w:spacing w:after="0"/>
              <w:jc w:val="center"/>
              <w:rPr>
                <w:rFonts w:ascii="Arial" w:hAnsi="Arial"/>
                <w:color w:val="000000"/>
                <w:sz w:val="18"/>
                <w:szCs w:val="18"/>
                <w:lang w:eastAsia="fr-FR"/>
              </w:rPr>
            </w:pPr>
            <w:r w:rsidRPr="00DC77E0">
              <w:rPr>
                <w:rFonts w:ascii="Arial" w:hAnsi="Arial"/>
                <w:color w:val="000000"/>
                <w:sz w:val="18"/>
                <w:szCs w:val="18"/>
                <w:lang w:eastAsia="fr-FR"/>
              </w:rPr>
              <w:t>-</w:t>
            </w:r>
          </w:p>
        </w:tc>
      </w:tr>
      <w:tr w:rsidR="00C107CD" w:rsidRPr="00DC77E0" w14:paraId="75E0CB94" w14:textId="77777777" w:rsidTr="00C107CD">
        <w:trPr>
          <w:trHeight w:val="288"/>
        </w:trPr>
        <w:tc>
          <w:tcPr>
            <w:tcW w:w="836" w:type="pct"/>
            <w:tcBorders>
              <w:top w:val="single" w:sz="4" w:space="0" w:color="auto"/>
              <w:left w:val="single" w:sz="4" w:space="0" w:color="auto"/>
              <w:bottom w:val="single" w:sz="4" w:space="0" w:color="auto"/>
              <w:right w:val="single" w:sz="4" w:space="0" w:color="auto"/>
            </w:tcBorders>
            <w:noWrap/>
            <w:vAlign w:val="bottom"/>
            <w:hideMark/>
          </w:tcPr>
          <w:p w14:paraId="1AADE058" w14:textId="77777777" w:rsidR="008B6742" w:rsidRPr="00DC77E0" w:rsidRDefault="008B6742" w:rsidP="005A7661">
            <w:pPr>
              <w:spacing w:after="0"/>
              <w:jc w:val="left"/>
              <w:rPr>
                <w:rFonts w:cs="Calibri"/>
                <w:color w:val="000000"/>
                <w:lang w:eastAsia="fr-FR"/>
              </w:rPr>
            </w:pPr>
            <w:r w:rsidRPr="00DC77E0">
              <w:rPr>
                <w:rFonts w:cs="Calibri"/>
                <w:color w:val="000000"/>
                <w:lang w:eastAsia="fr-FR"/>
              </w:rPr>
              <w:t>Hirondelle rustique</w:t>
            </w:r>
          </w:p>
        </w:tc>
        <w:tc>
          <w:tcPr>
            <w:tcW w:w="975" w:type="pct"/>
            <w:tcBorders>
              <w:top w:val="single" w:sz="4" w:space="0" w:color="auto"/>
              <w:left w:val="single" w:sz="4" w:space="0" w:color="auto"/>
              <w:bottom w:val="single" w:sz="4" w:space="0" w:color="auto"/>
              <w:right w:val="single" w:sz="4" w:space="0" w:color="auto"/>
            </w:tcBorders>
            <w:noWrap/>
            <w:vAlign w:val="bottom"/>
            <w:hideMark/>
          </w:tcPr>
          <w:p w14:paraId="1B844492" w14:textId="77777777" w:rsidR="008B6742" w:rsidRPr="00DC77E0" w:rsidRDefault="008B6742" w:rsidP="005A7661">
            <w:pPr>
              <w:spacing w:after="0"/>
              <w:jc w:val="left"/>
              <w:rPr>
                <w:rFonts w:cs="Calibri"/>
                <w:i/>
                <w:iCs/>
                <w:color w:val="000000"/>
                <w:lang w:eastAsia="fr-FR"/>
              </w:rPr>
            </w:pPr>
            <w:r w:rsidRPr="00DC77E0">
              <w:rPr>
                <w:rFonts w:cs="Calibri"/>
                <w:i/>
                <w:iCs/>
                <w:color w:val="000000"/>
                <w:lang w:eastAsia="fr-FR"/>
              </w:rPr>
              <w:t>Hirundo rustica</w:t>
            </w:r>
          </w:p>
        </w:tc>
        <w:tc>
          <w:tcPr>
            <w:tcW w:w="517" w:type="pct"/>
            <w:tcBorders>
              <w:top w:val="single" w:sz="4" w:space="0" w:color="auto"/>
              <w:left w:val="single" w:sz="4" w:space="0" w:color="auto"/>
              <w:bottom w:val="single" w:sz="4" w:space="0" w:color="auto"/>
              <w:right w:val="single" w:sz="4" w:space="0" w:color="auto"/>
            </w:tcBorders>
            <w:vAlign w:val="center"/>
          </w:tcPr>
          <w:p w14:paraId="3C475C26" w14:textId="77777777" w:rsidR="008B6742" w:rsidRPr="00DC77E0" w:rsidRDefault="008B6742" w:rsidP="005A7661">
            <w:pPr>
              <w:spacing w:after="0"/>
              <w:jc w:val="center"/>
              <w:rPr>
                <w:rFonts w:ascii="Arial" w:hAnsi="Arial"/>
                <w:color w:val="000000"/>
                <w:sz w:val="18"/>
                <w:szCs w:val="18"/>
                <w:lang w:eastAsia="fr-FR"/>
              </w:rPr>
            </w:pPr>
            <w:r>
              <w:rPr>
                <w:rFonts w:ascii="Aptos Narrow" w:hAnsi="Aptos Narrow" w:cs="Times New Roman"/>
                <w:color w:val="000000"/>
                <w:lang w:eastAsia="fr-FR"/>
              </w:rPr>
              <w:t>ZER/ZEE</w:t>
            </w:r>
          </w:p>
        </w:tc>
        <w:tc>
          <w:tcPr>
            <w:tcW w:w="517" w:type="pct"/>
            <w:tcBorders>
              <w:top w:val="single" w:sz="4" w:space="0" w:color="auto"/>
              <w:left w:val="single" w:sz="4" w:space="0" w:color="auto"/>
              <w:bottom w:val="single" w:sz="4" w:space="0" w:color="auto"/>
              <w:right w:val="single" w:sz="4" w:space="0" w:color="auto"/>
            </w:tcBorders>
            <w:vAlign w:val="center"/>
            <w:hideMark/>
          </w:tcPr>
          <w:p w14:paraId="18A6DFBF" w14:textId="77777777" w:rsidR="008B6742" w:rsidRPr="00DC77E0" w:rsidRDefault="008B6742" w:rsidP="005A7661">
            <w:pPr>
              <w:spacing w:after="0"/>
              <w:jc w:val="center"/>
              <w:rPr>
                <w:rFonts w:ascii="Arial" w:hAnsi="Arial"/>
                <w:color w:val="000000"/>
                <w:sz w:val="18"/>
                <w:szCs w:val="18"/>
                <w:lang w:eastAsia="fr-FR"/>
              </w:rPr>
            </w:pPr>
            <w:r w:rsidRPr="00DC77E0">
              <w:rPr>
                <w:rFonts w:ascii="Arial" w:hAnsi="Arial"/>
                <w:color w:val="000000"/>
                <w:sz w:val="18"/>
                <w:szCs w:val="18"/>
                <w:lang w:eastAsia="fr-FR"/>
              </w:rPr>
              <w:t>MP, NM, HO</w:t>
            </w:r>
          </w:p>
        </w:tc>
        <w:tc>
          <w:tcPr>
            <w:tcW w:w="434" w:type="pct"/>
            <w:tcBorders>
              <w:top w:val="single" w:sz="4" w:space="0" w:color="auto"/>
              <w:left w:val="single" w:sz="4" w:space="0" w:color="auto"/>
              <w:bottom w:val="single" w:sz="4" w:space="0" w:color="auto"/>
              <w:right w:val="single" w:sz="4" w:space="0" w:color="auto"/>
            </w:tcBorders>
            <w:vAlign w:val="center"/>
            <w:hideMark/>
          </w:tcPr>
          <w:p w14:paraId="54E24FDE" w14:textId="77777777" w:rsidR="008B6742" w:rsidRPr="00DC77E0" w:rsidRDefault="008B6742" w:rsidP="005A7661">
            <w:pPr>
              <w:spacing w:after="0"/>
              <w:jc w:val="center"/>
              <w:rPr>
                <w:rFonts w:ascii="Arial" w:hAnsi="Arial"/>
                <w:color w:val="000000"/>
                <w:sz w:val="18"/>
                <w:szCs w:val="18"/>
                <w:lang w:eastAsia="fr-FR"/>
              </w:rPr>
            </w:pPr>
            <w:r w:rsidRPr="00DC77E0">
              <w:rPr>
                <w:rFonts w:ascii="Arial" w:hAnsi="Arial"/>
                <w:color w:val="000000"/>
                <w:sz w:val="18"/>
                <w:szCs w:val="18"/>
                <w:lang w:eastAsia="fr-FR"/>
              </w:rPr>
              <w:t>-</w:t>
            </w:r>
          </w:p>
        </w:tc>
        <w:tc>
          <w:tcPr>
            <w:tcW w:w="345" w:type="pct"/>
            <w:tcBorders>
              <w:top w:val="single" w:sz="4" w:space="0" w:color="auto"/>
              <w:left w:val="single" w:sz="4" w:space="0" w:color="auto"/>
              <w:bottom w:val="single" w:sz="4" w:space="0" w:color="auto"/>
              <w:right w:val="single" w:sz="4" w:space="0" w:color="auto"/>
            </w:tcBorders>
            <w:vAlign w:val="center"/>
            <w:hideMark/>
          </w:tcPr>
          <w:p w14:paraId="091EDB4F" w14:textId="77777777" w:rsidR="008B6742" w:rsidRPr="00DC77E0" w:rsidRDefault="008B6742" w:rsidP="005A7661">
            <w:pPr>
              <w:spacing w:after="0"/>
              <w:jc w:val="center"/>
              <w:rPr>
                <w:rFonts w:ascii="Arial" w:hAnsi="Arial"/>
                <w:color w:val="000000"/>
                <w:sz w:val="18"/>
                <w:szCs w:val="18"/>
                <w:lang w:eastAsia="fr-FR"/>
              </w:rPr>
            </w:pPr>
            <w:r w:rsidRPr="00DC77E0">
              <w:rPr>
                <w:rFonts w:ascii="Arial" w:hAnsi="Arial"/>
                <w:color w:val="000000"/>
                <w:sz w:val="18"/>
                <w:szCs w:val="18"/>
                <w:lang w:eastAsia="fr-FR"/>
              </w:rPr>
              <w:t>-</w:t>
            </w:r>
          </w:p>
        </w:tc>
        <w:tc>
          <w:tcPr>
            <w:tcW w:w="326" w:type="pct"/>
            <w:tcBorders>
              <w:top w:val="single" w:sz="4" w:space="0" w:color="auto"/>
              <w:left w:val="single" w:sz="4" w:space="0" w:color="auto"/>
              <w:bottom w:val="single" w:sz="4" w:space="0" w:color="auto"/>
              <w:right w:val="single" w:sz="4" w:space="0" w:color="auto"/>
            </w:tcBorders>
            <w:vAlign w:val="center"/>
            <w:hideMark/>
          </w:tcPr>
          <w:p w14:paraId="7FD00923" w14:textId="77777777" w:rsidR="008B6742" w:rsidRPr="00DC77E0" w:rsidRDefault="008B6742" w:rsidP="005A7661">
            <w:pPr>
              <w:spacing w:after="0"/>
              <w:jc w:val="center"/>
              <w:rPr>
                <w:rFonts w:ascii="Arial" w:hAnsi="Arial"/>
                <w:color w:val="000000"/>
                <w:sz w:val="18"/>
                <w:szCs w:val="18"/>
                <w:lang w:eastAsia="fr-FR"/>
              </w:rPr>
            </w:pPr>
            <w:r w:rsidRPr="00DC77E0">
              <w:rPr>
                <w:rFonts w:ascii="Arial" w:hAnsi="Arial"/>
                <w:color w:val="000000"/>
                <w:sz w:val="18"/>
                <w:szCs w:val="18"/>
                <w:lang w:eastAsia="fr-FR"/>
              </w:rPr>
              <w:t>LC</w:t>
            </w:r>
          </w:p>
        </w:tc>
        <w:tc>
          <w:tcPr>
            <w:tcW w:w="263" w:type="pct"/>
            <w:tcBorders>
              <w:top w:val="single" w:sz="4" w:space="0" w:color="auto"/>
              <w:left w:val="single" w:sz="4" w:space="0" w:color="auto"/>
              <w:bottom w:val="single" w:sz="4" w:space="0" w:color="auto"/>
              <w:right w:val="single" w:sz="4" w:space="0" w:color="auto"/>
            </w:tcBorders>
            <w:vAlign w:val="center"/>
            <w:hideMark/>
          </w:tcPr>
          <w:p w14:paraId="6AFB80B1" w14:textId="77777777" w:rsidR="008B6742" w:rsidRPr="00DC77E0" w:rsidRDefault="008B6742" w:rsidP="005A7661">
            <w:pPr>
              <w:spacing w:after="0"/>
              <w:jc w:val="center"/>
              <w:rPr>
                <w:rFonts w:ascii="Arial" w:hAnsi="Arial"/>
                <w:color w:val="000000"/>
                <w:sz w:val="18"/>
                <w:szCs w:val="18"/>
                <w:lang w:eastAsia="fr-FR"/>
              </w:rPr>
            </w:pPr>
            <w:r w:rsidRPr="00DC77E0">
              <w:rPr>
                <w:rFonts w:ascii="Arial" w:hAnsi="Arial"/>
                <w:color w:val="000000"/>
                <w:sz w:val="18"/>
                <w:szCs w:val="18"/>
                <w:lang w:eastAsia="fr-FR"/>
              </w:rPr>
              <w:t>-</w:t>
            </w:r>
          </w:p>
        </w:tc>
        <w:tc>
          <w:tcPr>
            <w:tcW w:w="263" w:type="pct"/>
            <w:tcBorders>
              <w:top w:val="single" w:sz="4" w:space="0" w:color="auto"/>
              <w:left w:val="single" w:sz="4" w:space="0" w:color="auto"/>
              <w:bottom w:val="single" w:sz="4" w:space="0" w:color="auto"/>
              <w:right w:val="single" w:sz="4" w:space="0" w:color="auto"/>
            </w:tcBorders>
            <w:vAlign w:val="center"/>
            <w:hideMark/>
          </w:tcPr>
          <w:p w14:paraId="4D85059A" w14:textId="77777777" w:rsidR="008B6742" w:rsidRPr="00DC77E0" w:rsidRDefault="008B6742" w:rsidP="005A7661">
            <w:pPr>
              <w:spacing w:after="0"/>
              <w:jc w:val="center"/>
              <w:rPr>
                <w:rFonts w:ascii="Arial" w:hAnsi="Arial"/>
                <w:color w:val="000000"/>
                <w:sz w:val="18"/>
                <w:szCs w:val="18"/>
                <w:lang w:eastAsia="fr-FR"/>
              </w:rPr>
            </w:pPr>
            <w:r w:rsidRPr="00DC77E0">
              <w:rPr>
                <w:rFonts w:ascii="Arial" w:hAnsi="Arial"/>
                <w:color w:val="000000"/>
                <w:sz w:val="18"/>
                <w:szCs w:val="18"/>
                <w:lang w:eastAsia="fr-FR"/>
              </w:rPr>
              <w:t>-</w:t>
            </w:r>
          </w:p>
        </w:tc>
        <w:tc>
          <w:tcPr>
            <w:tcW w:w="263" w:type="pct"/>
            <w:tcBorders>
              <w:top w:val="single" w:sz="4" w:space="0" w:color="auto"/>
              <w:left w:val="single" w:sz="4" w:space="0" w:color="auto"/>
              <w:bottom w:val="single" w:sz="4" w:space="0" w:color="auto"/>
              <w:right w:val="single" w:sz="4" w:space="0" w:color="auto"/>
            </w:tcBorders>
            <w:vAlign w:val="center"/>
            <w:hideMark/>
          </w:tcPr>
          <w:p w14:paraId="0334D62A" w14:textId="77777777" w:rsidR="008B6742" w:rsidRPr="00DC77E0" w:rsidRDefault="008B6742" w:rsidP="005A7661">
            <w:pPr>
              <w:spacing w:after="0"/>
              <w:jc w:val="center"/>
              <w:rPr>
                <w:rFonts w:ascii="Arial" w:hAnsi="Arial"/>
                <w:color w:val="000000"/>
                <w:sz w:val="18"/>
                <w:szCs w:val="18"/>
                <w:lang w:eastAsia="fr-FR"/>
              </w:rPr>
            </w:pPr>
            <w:r w:rsidRPr="00DC77E0">
              <w:rPr>
                <w:rFonts w:ascii="Arial" w:hAnsi="Arial"/>
                <w:color w:val="000000"/>
                <w:sz w:val="18"/>
                <w:szCs w:val="18"/>
                <w:lang w:eastAsia="fr-FR"/>
              </w:rPr>
              <w:t>An. II</w:t>
            </w:r>
          </w:p>
        </w:tc>
        <w:tc>
          <w:tcPr>
            <w:tcW w:w="262" w:type="pct"/>
            <w:tcBorders>
              <w:top w:val="single" w:sz="4" w:space="0" w:color="auto"/>
              <w:left w:val="single" w:sz="4" w:space="0" w:color="auto"/>
              <w:bottom w:val="single" w:sz="4" w:space="0" w:color="auto"/>
              <w:right w:val="single" w:sz="4" w:space="0" w:color="auto"/>
            </w:tcBorders>
            <w:vAlign w:val="center"/>
            <w:hideMark/>
          </w:tcPr>
          <w:p w14:paraId="1D08CE58" w14:textId="77777777" w:rsidR="008B6742" w:rsidRPr="00DC77E0" w:rsidRDefault="008B6742" w:rsidP="005A7661">
            <w:pPr>
              <w:spacing w:after="0"/>
              <w:jc w:val="center"/>
              <w:rPr>
                <w:rFonts w:ascii="Arial" w:hAnsi="Arial"/>
                <w:color w:val="000000"/>
                <w:sz w:val="18"/>
                <w:szCs w:val="18"/>
                <w:lang w:eastAsia="fr-FR"/>
              </w:rPr>
            </w:pPr>
            <w:r w:rsidRPr="00DC77E0">
              <w:rPr>
                <w:rFonts w:ascii="Arial" w:hAnsi="Arial"/>
                <w:color w:val="000000"/>
                <w:sz w:val="18"/>
                <w:szCs w:val="18"/>
                <w:lang w:eastAsia="fr-FR"/>
              </w:rPr>
              <w:t>-</w:t>
            </w:r>
          </w:p>
        </w:tc>
      </w:tr>
      <w:tr w:rsidR="00C107CD" w:rsidRPr="00DC77E0" w14:paraId="554E2644" w14:textId="77777777" w:rsidTr="00C107CD">
        <w:trPr>
          <w:trHeight w:val="288"/>
        </w:trPr>
        <w:tc>
          <w:tcPr>
            <w:tcW w:w="836" w:type="pct"/>
            <w:tcBorders>
              <w:top w:val="single" w:sz="4" w:space="0" w:color="auto"/>
              <w:left w:val="single" w:sz="4" w:space="0" w:color="auto"/>
              <w:bottom w:val="single" w:sz="4" w:space="0" w:color="auto"/>
              <w:right w:val="single" w:sz="4" w:space="0" w:color="auto"/>
            </w:tcBorders>
            <w:noWrap/>
            <w:vAlign w:val="bottom"/>
            <w:hideMark/>
          </w:tcPr>
          <w:p w14:paraId="4BEED3CB" w14:textId="77777777" w:rsidR="008B6742" w:rsidRPr="00DC77E0" w:rsidRDefault="008B6742" w:rsidP="005A7661">
            <w:pPr>
              <w:spacing w:after="0"/>
              <w:jc w:val="left"/>
              <w:rPr>
                <w:rFonts w:cs="Calibri"/>
                <w:color w:val="000000"/>
                <w:lang w:eastAsia="fr-FR"/>
              </w:rPr>
            </w:pPr>
            <w:r w:rsidRPr="00DC77E0">
              <w:rPr>
                <w:rFonts w:cs="Calibri"/>
                <w:color w:val="000000"/>
                <w:lang w:eastAsia="fr-FR"/>
              </w:rPr>
              <w:t>Martinet des maisons</w:t>
            </w:r>
          </w:p>
        </w:tc>
        <w:tc>
          <w:tcPr>
            <w:tcW w:w="975" w:type="pct"/>
            <w:tcBorders>
              <w:top w:val="single" w:sz="4" w:space="0" w:color="auto"/>
              <w:left w:val="single" w:sz="4" w:space="0" w:color="auto"/>
              <w:bottom w:val="single" w:sz="4" w:space="0" w:color="auto"/>
              <w:right w:val="single" w:sz="4" w:space="0" w:color="auto"/>
            </w:tcBorders>
            <w:noWrap/>
            <w:vAlign w:val="bottom"/>
            <w:hideMark/>
          </w:tcPr>
          <w:p w14:paraId="243FE34C" w14:textId="77777777" w:rsidR="008B6742" w:rsidRPr="00DC77E0" w:rsidRDefault="008B6742" w:rsidP="005A7661">
            <w:pPr>
              <w:spacing w:after="0"/>
              <w:jc w:val="left"/>
              <w:rPr>
                <w:rFonts w:cs="Calibri"/>
                <w:i/>
                <w:iCs/>
                <w:color w:val="000000"/>
                <w:lang w:eastAsia="fr-FR"/>
              </w:rPr>
            </w:pPr>
            <w:r w:rsidRPr="00DC77E0">
              <w:rPr>
                <w:rFonts w:cs="Calibri"/>
                <w:i/>
                <w:iCs/>
                <w:color w:val="000000"/>
                <w:lang w:eastAsia="fr-FR"/>
              </w:rPr>
              <w:t>Apus affinis</w:t>
            </w:r>
          </w:p>
        </w:tc>
        <w:tc>
          <w:tcPr>
            <w:tcW w:w="517" w:type="pct"/>
            <w:tcBorders>
              <w:top w:val="single" w:sz="4" w:space="0" w:color="auto"/>
              <w:left w:val="single" w:sz="4" w:space="0" w:color="auto"/>
              <w:bottom w:val="single" w:sz="4" w:space="0" w:color="auto"/>
              <w:right w:val="single" w:sz="4" w:space="0" w:color="auto"/>
            </w:tcBorders>
            <w:vAlign w:val="center"/>
          </w:tcPr>
          <w:p w14:paraId="41FF9833" w14:textId="77777777" w:rsidR="008B6742" w:rsidRPr="00DC77E0" w:rsidRDefault="008B6742" w:rsidP="005A7661">
            <w:pPr>
              <w:spacing w:after="0"/>
              <w:jc w:val="center"/>
              <w:rPr>
                <w:rFonts w:ascii="Arial" w:hAnsi="Arial"/>
                <w:color w:val="000000"/>
                <w:sz w:val="18"/>
                <w:szCs w:val="18"/>
                <w:lang w:eastAsia="fr-FR"/>
              </w:rPr>
            </w:pPr>
            <w:r w:rsidRPr="00424FDB">
              <w:rPr>
                <w:rFonts w:ascii="Aptos Narrow" w:hAnsi="Aptos Narrow" w:cs="Times New Roman"/>
                <w:color w:val="000000"/>
                <w:lang w:eastAsia="fr-FR"/>
              </w:rPr>
              <w:t xml:space="preserve">ZA / </w:t>
            </w:r>
            <w:r>
              <w:rPr>
                <w:rFonts w:ascii="Aptos Narrow" w:hAnsi="Aptos Narrow" w:cs="Times New Roman"/>
                <w:color w:val="000000"/>
                <w:lang w:eastAsia="fr-FR"/>
              </w:rPr>
              <w:t>ZER/ZEE</w:t>
            </w:r>
          </w:p>
        </w:tc>
        <w:tc>
          <w:tcPr>
            <w:tcW w:w="517" w:type="pct"/>
            <w:tcBorders>
              <w:top w:val="single" w:sz="4" w:space="0" w:color="auto"/>
              <w:left w:val="single" w:sz="4" w:space="0" w:color="auto"/>
              <w:bottom w:val="single" w:sz="4" w:space="0" w:color="auto"/>
              <w:right w:val="single" w:sz="4" w:space="0" w:color="auto"/>
            </w:tcBorders>
            <w:vAlign w:val="center"/>
            <w:hideMark/>
          </w:tcPr>
          <w:p w14:paraId="057EC235" w14:textId="77777777" w:rsidR="008B6742" w:rsidRPr="00DC77E0" w:rsidRDefault="008B6742" w:rsidP="005A7661">
            <w:pPr>
              <w:spacing w:after="0"/>
              <w:jc w:val="center"/>
              <w:rPr>
                <w:rFonts w:ascii="Arial" w:hAnsi="Arial"/>
                <w:color w:val="000000"/>
                <w:sz w:val="18"/>
                <w:szCs w:val="18"/>
                <w:lang w:eastAsia="fr-FR"/>
              </w:rPr>
            </w:pPr>
            <w:r w:rsidRPr="00DC77E0">
              <w:rPr>
                <w:rFonts w:ascii="Arial" w:hAnsi="Arial"/>
                <w:color w:val="000000"/>
                <w:sz w:val="18"/>
                <w:szCs w:val="18"/>
                <w:lang w:eastAsia="fr-FR"/>
              </w:rPr>
              <w:t>NS, H</w:t>
            </w:r>
          </w:p>
        </w:tc>
        <w:tc>
          <w:tcPr>
            <w:tcW w:w="434" w:type="pct"/>
            <w:tcBorders>
              <w:top w:val="single" w:sz="4" w:space="0" w:color="auto"/>
              <w:left w:val="single" w:sz="4" w:space="0" w:color="auto"/>
              <w:bottom w:val="single" w:sz="4" w:space="0" w:color="auto"/>
              <w:right w:val="single" w:sz="4" w:space="0" w:color="auto"/>
            </w:tcBorders>
            <w:vAlign w:val="center"/>
            <w:hideMark/>
          </w:tcPr>
          <w:p w14:paraId="6AED3162" w14:textId="77777777" w:rsidR="008B6742" w:rsidRPr="00DC77E0" w:rsidRDefault="008B6742" w:rsidP="005A7661">
            <w:pPr>
              <w:spacing w:after="0"/>
              <w:jc w:val="center"/>
              <w:rPr>
                <w:rFonts w:ascii="Arial" w:hAnsi="Arial"/>
                <w:color w:val="000000"/>
                <w:sz w:val="18"/>
                <w:szCs w:val="18"/>
                <w:lang w:eastAsia="fr-FR"/>
              </w:rPr>
            </w:pPr>
            <w:r w:rsidRPr="00DC77E0">
              <w:rPr>
                <w:rFonts w:ascii="Arial" w:hAnsi="Arial"/>
                <w:color w:val="000000"/>
                <w:sz w:val="18"/>
                <w:szCs w:val="18"/>
                <w:lang w:eastAsia="fr-FR"/>
              </w:rPr>
              <w:t>-</w:t>
            </w:r>
          </w:p>
        </w:tc>
        <w:tc>
          <w:tcPr>
            <w:tcW w:w="345" w:type="pct"/>
            <w:tcBorders>
              <w:top w:val="single" w:sz="4" w:space="0" w:color="auto"/>
              <w:left w:val="single" w:sz="4" w:space="0" w:color="auto"/>
              <w:bottom w:val="single" w:sz="4" w:space="0" w:color="auto"/>
              <w:right w:val="single" w:sz="4" w:space="0" w:color="auto"/>
            </w:tcBorders>
            <w:vAlign w:val="center"/>
            <w:hideMark/>
          </w:tcPr>
          <w:p w14:paraId="288C7D68" w14:textId="77777777" w:rsidR="008B6742" w:rsidRPr="00DC77E0" w:rsidRDefault="008B6742" w:rsidP="005A7661">
            <w:pPr>
              <w:spacing w:after="0"/>
              <w:jc w:val="center"/>
              <w:rPr>
                <w:rFonts w:ascii="Arial" w:hAnsi="Arial"/>
                <w:color w:val="000000"/>
                <w:sz w:val="18"/>
                <w:szCs w:val="18"/>
                <w:lang w:eastAsia="fr-FR"/>
              </w:rPr>
            </w:pPr>
            <w:r w:rsidRPr="00DC77E0">
              <w:rPr>
                <w:rFonts w:ascii="Arial" w:hAnsi="Arial"/>
                <w:color w:val="000000"/>
                <w:sz w:val="18"/>
                <w:szCs w:val="18"/>
                <w:lang w:eastAsia="fr-FR"/>
              </w:rPr>
              <w:t>-</w:t>
            </w:r>
          </w:p>
        </w:tc>
        <w:tc>
          <w:tcPr>
            <w:tcW w:w="326" w:type="pct"/>
            <w:tcBorders>
              <w:top w:val="single" w:sz="4" w:space="0" w:color="auto"/>
              <w:left w:val="single" w:sz="4" w:space="0" w:color="auto"/>
              <w:bottom w:val="single" w:sz="4" w:space="0" w:color="auto"/>
              <w:right w:val="single" w:sz="4" w:space="0" w:color="auto"/>
            </w:tcBorders>
            <w:vAlign w:val="center"/>
            <w:hideMark/>
          </w:tcPr>
          <w:p w14:paraId="30B3BB8D" w14:textId="77777777" w:rsidR="008B6742" w:rsidRPr="00DC77E0" w:rsidRDefault="008B6742" w:rsidP="005A7661">
            <w:pPr>
              <w:spacing w:after="0"/>
              <w:jc w:val="center"/>
              <w:rPr>
                <w:rFonts w:ascii="Arial" w:hAnsi="Arial"/>
                <w:color w:val="000000"/>
                <w:sz w:val="18"/>
                <w:szCs w:val="18"/>
                <w:lang w:eastAsia="fr-FR"/>
              </w:rPr>
            </w:pPr>
            <w:r w:rsidRPr="00DC77E0">
              <w:rPr>
                <w:rFonts w:ascii="Arial" w:hAnsi="Arial"/>
                <w:color w:val="000000"/>
                <w:sz w:val="18"/>
                <w:szCs w:val="18"/>
                <w:lang w:eastAsia="fr-FR"/>
              </w:rPr>
              <w:t>LC</w:t>
            </w:r>
          </w:p>
        </w:tc>
        <w:tc>
          <w:tcPr>
            <w:tcW w:w="263" w:type="pct"/>
            <w:tcBorders>
              <w:top w:val="single" w:sz="4" w:space="0" w:color="auto"/>
              <w:left w:val="single" w:sz="4" w:space="0" w:color="auto"/>
              <w:bottom w:val="single" w:sz="4" w:space="0" w:color="auto"/>
              <w:right w:val="single" w:sz="4" w:space="0" w:color="auto"/>
            </w:tcBorders>
            <w:vAlign w:val="center"/>
            <w:hideMark/>
          </w:tcPr>
          <w:p w14:paraId="7A2ECF9C" w14:textId="77777777" w:rsidR="008B6742" w:rsidRPr="00DC77E0" w:rsidRDefault="008B6742" w:rsidP="005A7661">
            <w:pPr>
              <w:spacing w:after="0"/>
              <w:jc w:val="center"/>
              <w:rPr>
                <w:rFonts w:ascii="Arial" w:hAnsi="Arial"/>
                <w:color w:val="000000"/>
                <w:sz w:val="18"/>
                <w:szCs w:val="18"/>
                <w:lang w:eastAsia="fr-FR"/>
              </w:rPr>
            </w:pPr>
            <w:r w:rsidRPr="00DC77E0">
              <w:rPr>
                <w:rFonts w:ascii="Arial" w:hAnsi="Arial"/>
                <w:color w:val="000000"/>
                <w:sz w:val="18"/>
                <w:szCs w:val="18"/>
                <w:lang w:eastAsia="fr-FR"/>
              </w:rPr>
              <w:t>-</w:t>
            </w:r>
          </w:p>
        </w:tc>
        <w:tc>
          <w:tcPr>
            <w:tcW w:w="263" w:type="pct"/>
            <w:tcBorders>
              <w:top w:val="single" w:sz="4" w:space="0" w:color="auto"/>
              <w:left w:val="single" w:sz="4" w:space="0" w:color="auto"/>
              <w:bottom w:val="single" w:sz="4" w:space="0" w:color="auto"/>
              <w:right w:val="single" w:sz="4" w:space="0" w:color="auto"/>
            </w:tcBorders>
            <w:vAlign w:val="center"/>
            <w:hideMark/>
          </w:tcPr>
          <w:p w14:paraId="70DF8722" w14:textId="77777777" w:rsidR="008B6742" w:rsidRPr="00DC77E0" w:rsidRDefault="008B6742" w:rsidP="005A7661">
            <w:pPr>
              <w:spacing w:after="0"/>
              <w:jc w:val="center"/>
              <w:rPr>
                <w:rFonts w:ascii="Arial" w:hAnsi="Arial"/>
                <w:color w:val="000000"/>
                <w:sz w:val="18"/>
                <w:szCs w:val="18"/>
                <w:lang w:eastAsia="fr-FR"/>
              </w:rPr>
            </w:pPr>
            <w:r w:rsidRPr="00DC77E0">
              <w:rPr>
                <w:rFonts w:ascii="Arial" w:hAnsi="Arial"/>
                <w:color w:val="000000"/>
                <w:sz w:val="18"/>
                <w:szCs w:val="18"/>
                <w:lang w:eastAsia="fr-FR"/>
              </w:rPr>
              <w:t>-</w:t>
            </w:r>
          </w:p>
        </w:tc>
        <w:tc>
          <w:tcPr>
            <w:tcW w:w="263" w:type="pct"/>
            <w:tcBorders>
              <w:top w:val="single" w:sz="4" w:space="0" w:color="auto"/>
              <w:left w:val="single" w:sz="4" w:space="0" w:color="auto"/>
              <w:bottom w:val="single" w:sz="4" w:space="0" w:color="auto"/>
              <w:right w:val="single" w:sz="4" w:space="0" w:color="auto"/>
            </w:tcBorders>
            <w:vAlign w:val="center"/>
            <w:hideMark/>
          </w:tcPr>
          <w:p w14:paraId="4A50201B" w14:textId="77777777" w:rsidR="008B6742" w:rsidRPr="00DC77E0" w:rsidRDefault="008B6742" w:rsidP="005A7661">
            <w:pPr>
              <w:spacing w:after="0"/>
              <w:jc w:val="center"/>
              <w:rPr>
                <w:rFonts w:ascii="Arial" w:hAnsi="Arial"/>
                <w:color w:val="000000"/>
                <w:sz w:val="18"/>
                <w:szCs w:val="18"/>
                <w:lang w:eastAsia="fr-FR"/>
              </w:rPr>
            </w:pPr>
            <w:r w:rsidRPr="00DC77E0">
              <w:rPr>
                <w:rFonts w:ascii="Arial" w:hAnsi="Arial"/>
                <w:color w:val="000000"/>
                <w:sz w:val="18"/>
                <w:szCs w:val="18"/>
                <w:lang w:eastAsia="fr-FR"/>
              </w:rPr>
              <w:t>An. III</w:t>
            </w:r>
          </w:p>
        </w:tc>
        <w:tc>
          <w:tcPr>
            <w:tcW w:w="262" w:type="pct"/>
            <w:tcBorders>
              <w:top w:val="single" w:sz="4" w:space="0" w:color="auto"/>
              <w:left w:val="single" w:sz="4" w:space="0" w:color="auto"/>
              <w:bottom w:val="single" w:sz="4" w:space="0" w:color="auto"/>
              <w:right w:val="single" w:sz="4" w:space="0" w:color="auto"/>
            </w:tcBorders>
            <w:vAlign w:val="center"/>
            <w:hideMark/>
          </w:tcPr>
          <w:p w14:paraId="7EEC9647" w14:textId="77777777" w:rsidR="008B6742" w:rsidRPr="00DC77E0" w:rsidRDefault="008B6742" w:rsidP="005A7661">
            <w:pPr>
              <w:spacing w:after="0"/>
              <w:jc w:val="center"/>
              <w:rPr>
                <w:rFonts w:ascii="Arial" w:hAnsi="Arial"/>
                <w:color w:val="000000"/>
                <w:sz w:val="18"/>
                <w:szCs w:val="18"/>
                <w:lang w:eastAsia="fr-FR"/>
              </w:rPr>
            </w:pPr>
            <w:r w:rsidRPr="00DC77E0">
              <w:rPr>
                <w:rFonts w:ascii="Arial" w:hAnsi="Arial"/>
                <w:color w:val="000000"/>
                <w:sz w:val="18"/>
                <w:szCs w:val="18"/>
                <w:lang w:eastAsia="fr-FR"/>
              </w:rPr>
              <w:t>-</w:t>
            </w:r>
          </w:p>
        </w:tc>
      </w:tr>
      <w:tr w:rsidR="00C107CD" w:rsidRPr="00DC77E0" w14:paraId="69E47B96" w14:textId="77777777" w:rsidTr="00C107CD">
        <w:trPr>
          <w:trHeight w:val="288"/>
        </w:trPr>
        <w:tc>
          <w:tcPr>
            <w:tcW w:w="836" w:type="pct"/>
            <w:tcBorders>
              <w:top w:val="single" w:sz="4" w:space="0" w:color="auto"/>
              <w:left w:val="single" w:sz="4" w:space="0" w:color="auto"/>
              <w:bottom w:val="single" w:sz="4" w:space="0" w:color="auto"/>
              <w:right w:val="single" w:sz="4" w:space="0" w:color="auto"/>
            </w:tcBorders>
            <w:noWrap/>
            <w:vAlign w:val="bottom"/>
            <w:hideMark/>
          </w:tcPr>
          <w:p w14:paraId="321EDDF0" w14:textId="77777777" w:rsidR="008B6742" w:rsidRPr="00DC77E0" w:rsidRDefault="008B6742" w:rsidP="005A7661">
            <w:pPr>
              <w:spacing w:after="0"/>
              <w:jc w:val="left"/>
              <w:rPr>
                <w:rFonts w:cs="Calibri"/>
                <w:color w:val="000000"/>
                <w:lang w:eastAsia="fr-FR"/>
              </w:rPr>
            </w:pPr>
            <w:r w:rsidRPr="00DC77E0">
              <w:rPr>
                <w:rFonts w:cs="Calibri"/>
                <w:color w:val="000000"/>
                <w:lang w:eastAsia="fr-FR"/>
              </w:rPr>
              <w:t>Martinet noir</w:t>
            </w:r>
          </w:p>
        </w:tc>
        <w:tc>
          <w:tcPr>
            <w:tcW w:w="975" w:type="pct"/>
            <w:tcBorders>
              <w:top w:val="single" w:sz="4" w:space="0" w:color="auto"/>
              <w:left w:val="single" w:sz="4" w:space="0" w:color="auto"/>
              <w:bottom w:val="single" w:sz="4" w:space="0" w:color="auto"/>
              <w:right w:val="single" w:sz="4" w:space="0" w:color="auto"/>
            </w:tcBorders>
            <w:noWrap/>
            <w:vAlign w:val="bottom"/>
            <w:hideMark/>
          </w:tcPr>
          <w:p w14:paraId="653514DB" w14:textId="77777777" w:rsidR="008B6742" w:rsidRPr="00DC77E0" w:rsidRDefault="008B6742" w:rsidP="005A7661">
            <w:pPr>
              <w:spacing w:after="0"/>
              <w:jc w:val="left"/>
              <w:rPr>
                <w:rFonts w:cs="Calibri"/>
                <w:i/>
                <w:iCs/>
                <w:color w:val="000000"/>
                <w:lang w:eastAsia="fr-FR"/>
              </w:rPr>
            </w:pPr>
            <w:r w:rsidRPr="00DC77E0">
              <w:rPr>
                <w:rFonts w:cs="Calibri"/>
                <w:i/>
                <w:iCs/>
                <w:color w:val="000000"/>
                <w:lang w:eastAsia="fr-FR"/>
              </w:rPr>
              <w:t>Apus apus</w:t>
            </w:r>
          </w:p>
        </w:tc>
        <w:tc>
          <w:tcPr>
            <w:tcW w:w="517" w:type="pct"/>
            <w:tcBorders>
              <w:top w:val="single" w:sz="4" w:space="0" w:color="auto"/>
              <w:left w:val="single" w:sz="4" w:space="0" w:color="auto"/>
              <w:bottom w:val="single" w:sz="4" w:space="0" w:color="auto"/>
              <w:right w:val="single" w:sz="4" w:space="0" w:color="auto"/>
            </w:tcBorders>
            <w:vAlign w:val="center"/>
          </w:tcPr>
          <w:p w14:paraId="406DF923" w14:textId="77777777" w:rsidR="008B6742" w:rsidRPr="00DC77E0" w:rsidRDefault="008B6742" w:rsidP="005A7661">
            <w:pPr>
              <w:spacing w:after="0"/>
              <w:jc w:val="center"/>
              <w:rPr>
                <w:rFonts w:ascii="Arial" w:hAnsi="Arial"/>
                <w:color w:val="000000"/>
                <w:sz w:val="18"/>
                <w:szCs w:val="18"/>
                <w:lang w:eastAsia="fr-FR"/>
              </w:rPr>
            </w:pPr>
            <w:r>
              <w:rPr>
                <w:rFonts w:ascii="Aptos Narrow" w:hAnsi="Aptos Narrow" w:cs="Times New Roman"/>
                <w:color w:val="000000"/>
                <w:lang w:eastAsia="fr-FR"/>
              </w:rPr>
              <w:t>ZER/ZEE</w:t>
            </w:r>
          </w:p>
        </w:tc>
        <w:tc>
          <w:tcPr>
            <w:tcW w:w="517" w:type="pct"/>
            <w:tcBorders>
              <w:top w:val="single" w:sz="4" w:space="0" w:color="auto"/>
              <w:left w:val="single" w:sz="4" w:space="0" w:color="auto"/>
              <w:bottom w:val="single" w:sz="4" w:space="0" w:color="auto"/>
              <w:right w:val="single" w:sz="4" w:space="0" w:color="auto"/>
            </w:tcBorders>
            <w:vAlign w:val="center"/>
            <w:hideMark/>
          </w:tcPr>
          <w:p w14:paraId="55FB9CEA" w14:textId="77777777" w:rsidR="008B6742" w:rsidRPr="00DC77E0" w:rsidRDefault="008B6742" w:rsidP="005A7661">
            <w:pPr>
              <w:spacing w:after="0"/>
              <w:jc w:val="center"/>
              <w:rPr>
                <w:rFonts w:ascii="Arial" w:hAnsi="Arial"/>
                <w:color w:val="000000"/>
                <w:sz w:val="18"/>
                <w:szCs w:val="18"/>
                <w:lang w:eastAsia="fr-FR"/>
              </w:rPr>
            </w:pPr>
            <w:r w:rsidRPr="00DC77E0">
              <w:rPr>
                <w:rFonts w:ascii="Arial" w:hAnsi="Arial"/>
                <w:color w:val="000000"/>
                <w:sz w:val="18"/>
                <w:szCs w:val="18"/>
                <w:lang w:eastAsia="fr-FR"/>
              </w:rPr>
              <w:t>MP, HO, NM</w:t>
            </w:r>
          </w:p>
        </w:tc>
        <w:tc>
          <w:tcPr>
            <w:tcW w:w="434" w:type="pct"/>
            <w:tcBorders>
              <w:top w:val="single" w:sz="4" w:space="0" w:color="auto"/>
              <w:left w:val="single" w:sz="4" w:space="0" w:color="auto"/>
              <w:bottom w:val="single" w:sz="4" w:space="0" w:color="auto"/>
              <w:right w:val="single" w:sz="4" w:space="0" w:color="auto"/>
            </w:tcBorders>
            <w:vAlign w:val="center"/>
            <w:hideMark/>
          </w:tcPr>
          <w:p w14:paraId="30BF97BF" w14:textId="77777777" w:rsidR="008B6742" w:rsidRPr="00DC77E0" w:rsidRDefault="008B6742" w:rsidP="005A7661">
            <w:pPr>
              <w:spacing w:after="0"/>
              <w:jc w:val="center"/>
              <w:rPr>
                <w:rFonts w:ascii="Arial" w:hAnsi="Arial"/>
                <w:color w:val="000000"/>
                <w:sz w:val="18"/>
                <w:szCs w:val="18"/>
                <w:lang w:eastAsia="fr-FR"/>
              </w:rPr>
            </w:pPr>
            <w:r w:rsidRPr="00DC77E0">
              <w:rPr>
                <w:rFonts w:ascii="Arial" w:hAnsi="Arial"/>
                <w:color w:val="000000"/>
                <w:sz w:val="18"/>
                <w:szCs w:val="18"/>
                <w:lang w:eastAsia="fr-FR"/>
              </w:rPr>
              <w:t>-</w:t>
            </w:r>
          </w:p>
        </w:tc>
        <w:tc>
          <w:tcPr>
            <w:tcW w:w="345" w:type="pct"/>
            <w:tcBorders>
              <w:top w:val="single" w:sz="4" w:space="0" w:color="auto"/>
              <w:left w:val="single" w:sz="4" w:space="0" w:color="auto"/>
              <w:bottom w:val="single" w:sz="4" w:space="0" w:color="auto"/>
              <w:right w:val="single" w:sz="4" w:space="0" w:color="auto"/>
            </w:tcBorders>
            <w:vAlign w:val="center"/>
            <w:hideMark/>
          </w:tcPr>
          <w:p w14:paraId="412D52F4" w14:textId="77777777" w:rsidR="008B6742" w:rsidRPr="00DC77E0" w:rsidRDefault="008B6742" w:rsidP="005A7661">
            <w:pPr>
              <w:spacing w:after="0"/>
              <w:jc w:val="center"/>
              <w:rPr>
                <w:rFonts w:ascii="Arial" w:hAnsi="Arial"/>
                <w:color w:val="000000"/>
                <w:sz w:val="18"/>
                <w:szCs w:val="18"/>
                <w:lang w:eastAsia="fr-FR"/>
              </w:rPr>
            </w:pPr>
            <w:r w:rsidRPr="00DC77E0">
              <w:rPr>
                <w:rFonts w:ascii="Arial" w:hAnsi="Arial"/>
                <w:color w:val="000000"/>
                <w:sz w:val="18"/>
                <w:szCs w:val="18"/>
                <w:lang w:eastAsia="fr-FR"/>
              </w:rPr>
              <w:t>-</w:t>
            </w:r>
          </w:p>
        </w:tc>
        <w:tc>
          <w:tcPr>
            <w:tcW w:w="326" w:type="pct"/>
            <w:tcBorders>
              <w:top w:val="single" w:sz="4" w:space="0" w:color="auto"/>
              <w:left w:val="single" w:sz="4" w:space="0" w:color="auto"/>
              <w:bottom w:val="single" w:sz="4" w:space="0" w:color="auto"/>
              <w:right w:val="single" w:sz="4" w:space="0" w:color="auto"/>
            </w:tcBorders>
            <w:vAlign w:val="center"/>
            <w:hideMark/>
          </w:tcPr>
          <w:p w14:paraId="02D428F2" w14:textId="77777777" w:rsidR="008B6742" w:rsidRPr="00DC77E0" w:rsidRDefault="008B6742" w:rsidP="005A7661">
            <w:pPr>
              <w:spacing w:after="0"/>
              <w:jc w:val="center"/>
              <w:rPr>
                <w:rFonts w:ascii="Arial" w:hAnsi="Arial"/>
                <w:color w:val="000000"/>
                <w:sz w:val="18"/>
                <w:szCs w:val="18"/>
                <w:lang w:eastAsia="fr-FR"/>
              </w:rPr>
            </w:pPr>
            <w:r w:rsidRPr="00DC77E0">
              <w:rPr>
                <w:rFonts w:ascii="Arial" w:hAnsi="Arial"/>
                <w:color w:val="000000"/>
                <w:sz w:val="18"/>
                <w:szCs w:val="18"/>
                <w:lang w:eastAsia="fr-FR"/>
              </w:rPr>
              <w:t>LC</w:t>
            </w:r>
          </w:p>
        </w:tc>
        <w:tc>
          <w:tcPr>
            <w:tcW w:w="263" w:type="pct"/>
            <w:tcBorders>
              <w:top w:val="single" w:sz="4" w:space="0" w:color="auto"/>
              <w:left w:val="single" w:sz="4" w:space="0" w:color="auto"/>
              <w:bottom w:val="single" w:sz="4" w:space="0" w:color="auto"/>
              <w:right w:val="single" w:sz="4" w:space="0" w:color="auto"/>
            </w:tcBorders>
            <w:vAlign w:val="center"/>
            <w:hideMark/>
          </w:tcPr>
          <w:p w14:paraId="20337846" w14:textId="77777777" w:rsidR="008B6742" w:rsidRPr="00DC77E0" w:rsidRDefault="008B6742" w:rsidP="005A7661">
            <w:pPr>
              <w:spacing w:after="0"/>
              <w:jc w:val="center"/>
              <w:rPr>
                <w:rFonts w:ascii="Arial" w:hAnsi="Arial"/>
                <w:color w:val="000000"/>
                <w:sz w:val="18"/>
                <w:szCs w:val="18"/>
                <w:lang w:eastAsia="fr-FR"/>
              </w:rPr>
            </w:pPr>
            <w:r w:rsidRPr="00DC77E0">
              <w:rPr>
                <w:rFonts w:ascii="Arial" w:hAnsi="Arial"/>
                <w:color w:val="000000"/>
                <w:sz w:val="18"/>
                <w:szCs w:val="18"/>
                <w:lang w:eastAsia="fr-FR"/>
              </w:rPr>
              <w:t>-</w:t>
            </w:r>
          </w:p>
        </w:tc>
        <w:tc>
          <w:tcPr>
            <w:tcW w:w="263" w:type="pct"/>
            <w:tcBorders>
              <w:top w:val="single" w:sz="4" w:space="0" w:color="auto"/>
              <w:left w:val="single" w:sz="4" w:space="0" w:color="auto"/>
              <w:bottom w:val="single" w:sz="4" w:space="0" w:color="auto"/>
              <w:right w:val="single" w:sz="4" w:space="0" w:color="auto"/>
            </w:tcBorders>
            <w:vAlign w:val="center"/>
            <w:hideMark/>
          </w:tcPr>
          <w:p w14:paraId="7199DD49" w14:textId="77777777" w:rsidR="008B6742" w:rsidRPr="00DC77E0" w:rsidRDefault="008B6742" w:rsidP="005A7661">
            <w:pPr>
              <w:spacing w:after="0"/>
              <w:jc w:val="center"/>
              <w:rPr>
                <w:rFonts w:ascii="Arial" w:hAnsi="Arial"/>
                <w:color w:val="000000"/>
                <w:sz w:val="18"/>
                <w:szCs w:val="18"/>
                <w:lang w:eastAsia="fr-FR"/>
              </w:rPr>
            </w:pPr>
            <w:r w:rsidRPr="00DC77E0">
              <w:rPr>
                <w:rFonts w:ascii="Arial" w:hAnsi="Arial"/>
                <w:color w:val="000000"/>
                <w:sz w:val="18"/>
                <w:szCs w:val="18"/>
                <w:lang w:eastAsia="fr-FR"/>
              </w:rPr>
              <w:t>-</w:t>
            </w:r>
          </w:p>
        </w:tc>
        <w:tc>
          <w:tcPr>
            <w:tcW w:w="263" w:type="pct"/>
            <w:tcBorders>
              <w:top w:val="single" w:sz="4" w:space="0" w:color="auto"/>
              <w:left w:val="single" w:sz="4" w:space="0" w:color="auto"/>
              <w:bottom w:val="single" w:sz="4" w:space="0" w:color="auto"/>
              <w:right w:val="single" w:sz="4" w:space="0" w:color="auto"/>
            </w:tcBorders>
            <w:vAlign w:val="center"/>
            <w:hideMark/>
          </w:tcPr>
          <w:p w14:paraId="36CB31C8" w14:textId="77777777" w:rsidR="008B6742" w:rsidRPr="00DC77E0" w:rsidRDefault="008B6742" w:rsidP="005A7661">
            <w:pPr>
              <w:spacing w:after="0"/>
              <w:jc w:val="center"/>
              <w:rPr>
                <w:rFonts w:ascii="Arial" w:hAnsi="Arial"/>
                <w:color w:val="000000"/>
                <w:sz w:val="18"/>
                <w:szCs w:val="18"/>
                <w:lang w:eastAsia="fr-FR"/>
              </w:rPr>
            </w:pPr>
            <w:r w:rsidRPr="00DC77E0">
              <w:rPr>
                <w:rFonts w:ascii="Arial" w:hAnsi="Arial"/>
                <w:color w:val="000000"/>
                <w:sz w:val="18"/>
                <w:szCs w:val="18"/>
                <w:lang w:eastAsia="fr-FR"/>
              </w:rPr>
              <w:t>An. III</w:t>
            </w:r>
          </w:p>
        </w:tc>
        <w:tc>
          <w:tcPr>
            <w:tcW w:w="262" w:type="pct"/>
            <w:tcBorders>
              <w:top w:val="single" w:sz="4" w:space="0" w:color="auto"/>
              <w:left w:val="single" w:sz="4" w:space="0" w:color="auto"/>
              <w:bottom w:val="single" w:sz="4" w:space="0" w:color="auto"/>
              <w:right w:val="single" w:sz="4" w:space="0" w:color="auto"/>
            </w:tcBorders>
            <w:vAlign w:val="center"/>
            <w:hideMark/>
          </w:tcPr>
          <w:p w14:paraId="2C418DAA" w14:textId="77777777" w:rsidR="008B6742" w:rsidRPr="00DC77E0" w:rsidRDefault="008B6742" w:rsidP="005A7661">
            <w:pPr>
              <w:spacing w:after="0"/>
              <w:jc w:val="center"/>
              <w:rPr>
                <w:rFonts w:ascii="Arial" w:hAnsi="Arial"/>
                <w:color w:val="000000"/>
                <w:sz w:val="18"/>
                <w:szCs w:val="18"/>
                <w:lang w:eastAsia="fr-FR"/>
              </w:rPr>
            </w:pPr>
            <w:r w:rsidRPr="00DC77E0">
              <w:rPr>
                <w:rFonts w:ascii="Arial" w:hAnsi="Arial"/>
                <w:color w:val="000000"/>
                <w:sz w:val="18"/>
                <w:szCs w:val="18"/>
                <w:lang w:eastAsia="fr-FR"/>
              </w:rPr>
              <w:t>-</w:t>
            </w:r>
          </w:p>
        </w:tc>
      </w:tr>
      <w:tr w:rsidR="00C107CD" w:rsidRPr="00DC77E0" w14:paraId="4DE21CB1" w14:textId="77777777" w:rsidTr="00C107CD">
        <w:trPr>
          <w:trHeight w:val="288"/>
        </w:trPr>
        <w:tc>
          <w:tcPr>
            <w:tcW w:w="836" w:type="pct"/>
            <w:tcBorders>
              <w:top w:val="single" w:sz="4" w:space="0" w:color="auto"/>
              <w:left w:val="single" w:sz="4" w:space="0" w:color="auto"/>
              <w:bottom w:val="single" w:sz="4" w:space="0" w:color="auto"/>
              <w:right w:val="single" w:sz="4" w:space="0" w:color="auto"/>
            </w:tcBorders>
            <w:noWrap/>
            <w:vAlign w:val="bottom"/>
            <w:hideMark/>
          </w:tcPr>
          <w:p w14:paraId="7D66189B" w14:textId="77777777" w:rsidR="008B6742" w:rsidRPr="00DC77E0" w:rsidRDefault="008B6742" w:rsidP="005A7661">
            <w:pPr>
              <w:spacing w:after="0"/>
              <w:jc w:val="left"/>
              <w:rPr>
                <w:rFonts w:cs="Calibri"/>
                <w:color w:val="000000"/>
                <w:lang w:eastAsia="fr-FR"/>
              </w:rPr>
            </w:pPr>
            <w:r w:rsidRPr="00DC77E0">
              <w:rPr>
                <w:rFonts w:cs="Calibri"/>
                <w:color w:val="000000"/>
                <w:lang w:eastAsia="fr-FR"/>
              </w:rPr>
              <w:t>Merle noir</w:t>
            </w:r>
          </w:p>
        </w:tc>
        <w:tc>
          <w:tcPr>
            <w:tcW w:w="975" w:type="pct"/>
            <w:tcBorders>
              <w:top w:val="single" w:sz="4" w:space="0" w:color="auto"/>
              <w:left w:val="single" w:sz="4" w:space="0" w:color="auto"/>
              <w:bottom w:val="single" w:sz="4" w:space="0" w:color="auto"/>
              <w:right w:val="single" w:sz="4" w:space="0" w:color="auto"/>
            </w:tcBorders>
            <w:noWrap/>
            <w:vAlign w:val="bottom"/>
            <w:hideMark/>
          </w:tcPr>
          <w:p w14:paraId="50CB00D2" w14:textId="77777777" w:rsidR="008B6742" w:rsidRPr="00DC77E0" w:rsidRDefault="008B6742" w:rsidP="005A7661">
            <w:pPr>
              <w:spacing w:after="0"/>
              <w:jc w:val="left"/>
              <w:rPr>
                <w:rFonts w:cs="Calibri"/>
                <w:i/>
                <w:iCs/>
                <w:color w:val="000000"/>
                <w:lang w:eastAsia="fr-FR"/>
              </w:rPr>
            </w:pPr>
            <w:r w:rsidRPr="00DC77E0">
              <w:rPr>
                <w:rFonts w:cs="Calibri"/>
                <w:i/>
                <w:iCs/>
                <w:color w:val="000000"/>
                <w:lang w:eastAsia="fr-FR"/>
              </w:rPr>
              <w:t xml:space="preserve">Turdus merula </w:t>
            </w:r>
          </w:p>
        </w:tc>
        <w:tc>
          <w:tcPr>
            <w:tcW w:w="517" w:type="pct"/>
            <w:tcBorders>
              <w:top w:val="single" w:sz="4" w:space="0" w:color="auto"/>
              <w:left w:val="single" w:sz="4" w:space="0" w:color="auto"/>
              <w:bottom w:val="single" w:sz="4" w:space="0" w:color="auto"/>
              <w:right w:val="single" w:sz="4" w:space="0" w:color="auto"/>
            </w:tcBorders>
            <w:vAlign w:val="center"/>
          </w:tcPr>
          <w:p w14:paraId="16EB64B7" w14:textId="77777777" w:rsidR="008B6742" w:rsidRPr="00DC77E0" w:rsidRDefault="008B6742" w:rsidP="005A7661">
            <w:pPr>
              <w:spacing w:after="0"/>
              <w:jc w:val="center"/>
              <w:rPr>
                <w:rFonts w:ascii="Arial" w:hAnsi="Arial"/>
                <w:color w:val="000000"/>
                <w:sz w:val="18"/>
                <w:szCs w:val="18"/>
                <w:lang w:eastAsia="fr-FR"/>
              </w:rPr>
            </w:pPr>
            <w:r w:rsidRPr="00424FDB">
              <w:rPr>
                <w:rFonts w:ascii="Aptos Narrow" w:hAnsi="Aptos Narrow" w:cs="Times New Roman"/>
                <w:color w:val="000000"/>
                <w:lang w:eastAsia="fr-FR"/>
              </w:rPr>
              <w:t xml:space="preserve">ZA / </w:t>
            </w:r>
            <w:r>
              <w:rPr>
                <w:rFonts w:ascii="Aptos Narrow" w:hAnsi="Aptos Narrow" w:cs="Times New Roman"/>
                <w:color w:val="000000"/>
                <w:lang w:eastAsia="fr-FR"/>
              </w:rPr>
              <w:t>ZER/ZEE</w:t>
            </w:r>
          </w:p>
        </w:tc>
        <w:tc>
          <w:tcPr>
            <w:tcW w:w="517" w:type="pct"/>
            <w:tcBorders>
              <w:top w:val="single" w:sz="4" w:space="0" w:color="auto"/>
              <w:left w:val="single" w:sz="4" w:space="0" w:color="auto"/>
              <w:bottom w:val="single" w:sz="4" w:space="0" w:color="auto"/>
              <w:right w:val="single" w:sz="4" w:space="0" w:color="auto"/>
            </w:tcBorders>
            <w:vAlign w:val="center"/>
            <w:hideMark/>
          </w:tcPr>
          <w:p w14:paraId="5F836D96" w14:textId="77777777" w:rsidR="008B6742" w:rsidRPr="00DC77E0" w:rsidRDefault="008B6742" w:rsidP="005A7661">
            <w:pPr>
              <w:spacing w:after="0"/>
              <w:jc w:val="center"/>
              <w:rPr>
                <w:rFonts w:ascii="Arial" w:hAnsi="Arial"/>
                <w:color w:val="000000"/>
                <w:sz w:val="18"/>
                <w:szCs w:val="18"/>
                <w:lang w:eastAsia="fr-FR"/>
              </w:rPr>
            </w:pPr>
            <w:r w:rsidRPr="00DC77E0">
              <w:rPr>
                <w:rFonts w:ascii="Arial" w:hAnsi="Arial"/>
                <w:color w:val="000000"/>
                <w:sz w:val="18"/>
                <w:szCs w:val="18"/>
                <w:lang w:eastAsia="fr-FR"/>
              </w:rPr>
              <w:t xml:space="preserve">NS, H </w:t>
            </w:r>
          </w:p>
        </w:tc>
        <w:tc>
          <w:tcPr>
            <w:tcW w:w="434" w:type="pct"/>
            <w:tcBorders>
              <w:top w:val="single" w:sz="4" w:space="0" w:color="auto"/>
              <w:left w:val="single" w:sz="4" w:space="0" w:color="auto"/>
              <w:bottom w:val="single" w:sz="4" w:space="0" w:color="auto"/>
              <w:right w:val="single" w:sz="4" w:space="0" w:color="auto"/>
            </w:tcBorders>
            <w:vAlign w:val="center"/>
            <w:hideMark/>
          </w:tcPr>
          <w:p w14:paraId="500FFAAB" w14:textId="77777777" w:rsidR="008B6742" w:rsidRPr="00DC77E0" w:rsidRDefault="008B6742" w:rsidP="005A7661">
            <w:pPr>
              <w:spacing w:after="0"/>
              <w:jc w:val="center"/>
              <w:rPr>
                <w:rFonts w:ascii="Arial" w:hAnsi="Arial"/>
                <w:color w:val="000000"/>
                <w:sz w:val="18"/>
                <w:szCs w:val="18"/>
                <w:lang w:eastAsia="fr-FR"/>
              </w:rPr>
            </w:pPr>
            <w:r w:rsidRPr="00DC77E0">
              <w:rPr>
                <w:rFonts w:ascii="Arial" w:hAnsi="Arial"/>
                <w:color w:val="000000"/>
                <w:sz w:val="18"/>
                <w:szCs w:val="18"/>
                <w:lang w:eastAsia="fr-FR"/>
              </w:rPr>
              <w:t>Protégée</w:t>
            </w:r>
          </w:p>
        </w:tc>
        <w:tc>
          <w:tcPr>
            <w:tcW w:w="345" w:type="pct"/>
            <w:tcBorders>
              <w:top w:val="single" w:sz="4" w:space="0" w:color="auto"/>
              <w:left w:val="single" w:sz="4" w:space="0" w:color="auto"/>
              <w:bottom w:val="single" w:sz="4" w:space="0" w:color="auto"/>
              <w:right w:val="single" w:sz="4" w:space="0" w:color="auto"/>
            </w:tcBorders>
            <w:vAlign w:val="center"/>
            <w:hideMark/>
          </w:tcPr>
          <w:p w14:paraId="10105089" w14:textId="77777777" w:rsidR="008B6742" w:rsidRPr="00DC77E0" w:rsidRDefault="008B6742" w:rsidP="005A7661">
            <w:pPr>
              <w:spacing w:after="0"/>
              <w:jc w:val="center"/>
              <w:rPr>
                <w:rFonts w:ascii="Arial" w:hAnsi="Arial"/>
                <w:color w:val="000000"/>
                <w:sz w:val="18"/>
                <w:szCs w:val="18"/>
                <w:lang w:eastAsia="fr-FR"/>
              </w:rPr>
            </w:pPr>
            <w:r w:rsidRPr="00DC77E0">
              <w:rPr>
                <w:rFonts w:ascii="Arial" w:hAnsi="Arial"/>
                <w:color w:val="000000"/>
                <w:sz w:val="18"/>
                <w:szCs w:val="18"/>
                <w:lang w:eastAsia="fr-FR"/>
              </w:rPr>
              <w:t>Catégorie. III</w:t>
            </w:r>
          </w:p>
        </w:tc>
        <w:tc>
          <w:tcPr>
            <w:tcW w:w="326" w:type="pct"/>
            <w:tcBorders>
              <w:top w:val="single" w:sz="4" w:space="0" w:color="auto"/>
              <w:left w:val="single" w:sz="4" w:space="0" w:color="auto"/>
              <w:bottom w:val="single" w:sz="4" w:space="0" w:color="auto"/>
              <w:right w:val="single" w:sz="4" w:space="0" w:color="auto"/>
            </w:tcBorders>
            <w:vAlign w:val="center"/>
            <w:hideMark/>
          </w:tcPr>
          <w:p w14:paraId="5CEE4626" w14:textId="77777777" w:rsidR="008B6742" w:rsidRPr="00DC77E0" w:rsidRDefault="008B6742" w:rsidP="005A7661">
            <w:pPr>
              <w:spacing w:after="0"/>
              <w:jc w:val="center"/>
              <w:rPr>
                <w:rFonts w:ascii="Arial" w:hAnsi="Arial"/>
                <w:color w:val="000000"/>
                <w:sz w:val="18"/>
                <w:szCs w:val="18"/>
                <w:lang w:eastAsia="fr-FR"/>
              </w:rPr>
            </w:pPr>
            <w:r w:rsidRPr="00DC77E0">
              <w:rPr>
                <w:rFonts w:ascii="Arial" w:hAnsi="Arial"/>
                <w:color w:val="000000"/>
                <w:sz w:val="18"/>
                <w:szCs w:val="18"/>
                <w:lang w:eastAsia="fr-FR"/>
              </w:rPr>
              <w:t>LC</w:t>
            </w:r>
          </w:p>
        </w:tc>
        <w:tc>
          <w:tcPr>
            <w:tcW w:w="263" w:type="pct"/>
            <w:tcBorders>
              <w:top w:val="single" w:sz="4" w:space="0" w:color="auto"/>
              <w:left w:val="single" w:sz="4" w:space="0" w:color="auto"/>
              <w:bottom w:val="single" w:sz="4" w:space="0" w:color="auto"/>
              <w:right w:val="single" w:sz="4" w:space="0" w:color="auto"/>
            </w:tcBorders>
            <w:vAlign w:val="center"/>
            <w:hideMark/>
          </w:tcPr>
          <w:p w14:paraId="3C060A5A" w14:textId="77777777" w:rsidR="008B6742" w:rsidRPr="00DC77E0" w:rsidRDefault="008B6742" w:rsidP="005A7661">
            <w:pPr>
              <w:spacing w:after="0"/>
              <w:jc w:val="center"/>
              <w:rPr>
                <w:rFonts w:ascii="Arial" w:hAnsi="Arial"/>
                <w:color w:val="000000"/>
                <w:sz w:val="18"/>
                <w:szCs w:val="18"/>
                <w:lang w:eastAsia="fr-FR"/>
              </w:rPr>
            </w:pPr>
            <w:r w:rsidRPr="00DC77E0">
              <w:rPr>
                <w:rFonts w:ascii="Arial" w:hAnsi="Arial"/>
                <w:color w:val="000000"/>
                <w:sz w:val="18"/>
                <w:szCs w:val="18"/>
                <w:lang w:eastAsia="fr-FR"/>
              </w:rPr>
              <w:t>-</w:t>
            </w:r>
          </w:p>
        </w:tc>
        <w:tc>
          <w:tcPr>
            <w:tcW w:w="263" w:type="pct"/>
            <w:tcBorders>
              <w:top w:val="single" w:sz="4" w:space="0" w:color="auto"/>
              <w:left w:val="single" w:sz="4" w:space="0" w:color="auto"/>
              <w:bottom w:val="single" w:sz="4" w:space="0" w:color="auto"/>
              <w:right w:val="single" w:sz="4" w:space="0" w:color="auto"/>
            </w:tcBorders>
            <w:vAlign w:val="center"/>
            <w:hideMark/>
          </w:tcPr>
          <w:p w14:paraId="4EC803C6" w14:textId="77777777" w:rsidR="008B6742" w:rsidRPr="00DC77E0" w:rsidRDefault="008B6742" w:rsidP="005A7661">
            <w:pPr>
              <w:spacing w:after="0"/>
              <w:jc w:val="center"/>
              <w:rPr>
                <w:rFonts w:ascii="Arial" w:hAnsi="Arial"/>
                <w:color w:val="000000"/>
                <w:sz w:val="18"/>
                <w:szCs w:val="18"/>
                <w:lang w:eastAsia="fr-FR"/>
              </w:rPr>
            </w:pPr>
            <w:r w:rsidRPr="00DC77E0">
              <w:rPr>
                <w:rFonts w:ascii="Arial" w:hAnsi="Arial"/>
                <w:color w:val="000000"/>
                <w:sz w:val="18"/>
                <w:szCs w:val="18"/>
                <w:lang w:eastAsia="fr-FR"/>
              </w:rPr>
              <w:t>An. III</w:t>
            </w:r>
          </w:p>
        </w:tc>
        <w:tc>
          <w:tcPr>
            <w:tcW w:w="263" w:type="pct"/>
            <w:tcBorders>
              <w:top w:val="single" w:sz="4" w:space="0" w:color="auto"/>
              <w:left w:val="single" w:sz="4" w:space="0" w:color="auto"/>
              <w:bottom w:val="single" w:sz="4" w:space="0" w:color="auto"/>
              <w:right w:val="single" w:sz="4" w:space="0" w:color="auto"/>
            </w:tcBorders>
            <w:vAlign w:val="center"/>
            <w:hideMark/>
          </w:tcPr>
          <w:p w14:paraId="6A459E0A" w14:textId="77777777" w:rsidR="008B6742" w:rsidRPr="00DC77E0" w:rsidRDefault="008B6742" w:rsidP="005A7661">
            <w:pPr>
              <w:spacing w:after="0"/>
              <w:jc w:val="center"/>
              <w:rPr>
                <w:rFonts w:ascii="Arial" w:hAnsi="Arial"/>
                <w:color w:val="000000"/>
                <w:sz w:val="18"/>
                <w:szCs w:val="18"/>
                <w:lang w:eastAsia="fr-FR"/>
              </w:rPr>
            </w:pPr>
            <w:r w:rsidRPr="00DC77E0">
              <w:rPr>
                <w:rFonts w:ascii="Arial" w:hAnsi="Arial"/>
                <w:color w:val="000000"/>
                <w:sz w:val="18"/>
                <w:szCs w:val="18"/>
                <w:lang w:eastAsia="fr-FR"/>
              </w:rPr>
              <w:t>An. III</w:t>
            </w:r>
          </w:p>
        </w:tc>
        <w:tc>
          <w:tcPr>
            <w:tcW w:w="262" w:type="pct"/>
            <w:tcBorders>
              <w:top w:val="single" w:sz="4" w:space="0" w:color="auto"/>
              <w:left w:val="single" w:sz="4" w:space="0" w:color="auto"/>
              <w:bottom w:val="single" w:sz="4" w:space="0" w:color="auto"/>
              <w:right w:val="single" w:sz="4" w:space="0" w:color="auto"/>
            </w:tcBorders>
            <w:vAlign w:val="center"/>
            <w:hideMark/>
          </w:tcPr>
          <w:p w14:paraId="0BCCE10B" w14:textId="77777777" w:rsidR="008B6742" w:rsidRPr="00DC77E0" w:rsidRDefault="008B6742" w:rsidP="005A7661">
            <w:pPr>
              <w:spacing w:after="0"/>
              <w:jc w:val="center"/>
              <w:rPr>
                <w:rFonts w:ascii="Arial" w:hAnsi="Arial"/>
                <w:color w:val="000000"/>
                <w:sz w:val="18"/>
                <w:szCs w:val="18"/>
                <w:lang w:eastAsia="fr-FR"/>
              </w:rPr>
            </w:pPr>
            <w:r w:rsidRPr="00DC77E0">
              <w:rPr>
                <w:rFonts w:ascii="Arial" w:hAnsi="Arial"/>
                <w:color w:val="000000"/>
                <w:sz w:val="18"/>
                <w:szCs w:val="18"/>
                <w:lang w:eastAsia="fr-FR"/>
              </w:rPr>
              <w:t>An. II</w:t>
            </w:r>
          </w:p>
        </w:tc>
      </w:tr>
      <w:tr w:rsidR="00C107CD" w:rsidRPr="00DC77E0" w14:paraId="6731EBEA" w14:textId="77777777" w:rsidTr="00C107CD">
        <w:trPr>
          <w:trHeight w:val="288"/>
        </w:trPr>
        <w:tc>
          <w:tcPr>
            <w:tcW w:w="836" w:type="pct"/>
            <w:tcBorders>
              <w:top w:val="single" w:sz="4" w:space="0" w:color="auto"/>
              <w:left w:val="single" w:sz="4" w:space="0" w:color="auto"/>
              <w:bottom w:val="single" w:sz="4" w:space="0" w:color="auto"/>
              <w:right w:val="single" w:sz="4" w:space="0" w:color="auto"/>
            </w:tcBorders>
            <w:noWrap/>
            <w:vAlign w:val="bottom"/>
            <w:hideMark/>
          </w:tcPr>
          <w:p w14:paraId="767386E4" w14:textId="77777777" w:rsidR="008B6742" w:rsidRPr="00DC77E0" w:rsidRDefault="008B6742" w:rsidP="005A7661">
            <w:pPr>
              <w:spacing w:after="0"/>
              <w:jc w:val="left"/>
              <w:rPr>
                <w:rFonts w:cs="Calibri"/>
                <w:color w:val="000000"/>
                <w:lang w:eastAsia="fr-FR"/>
              </w:rPr>
            </w:pPr>
            <w:r w:rsidRPr="00DC77E0">
              <w:rPr>
                <w:rFonts w:cs="Calibri"/>
                <w:color w:val="000000"/>
                <w:lang w:eastAsia="fr-FR"/>
              </w:rPr>
              <w:t>Moineau domestique</w:t>
            </w:r>
          </w:p>
        </w:tc>
        <w:tc>
          <w:tcPr>
            <w:tcW w:w="975" w:type="pct"/>
            <w:tcBorders>
              <w:top w:val="single" w:sz="4" w:space="0" w:color="auto"/>
              <w:left w:val="single" w:sz="4" w:space="0" w:color="auto"/>
              <w:bottom w:val="single" w:sz="4" w:space="0" w:color="auto"/>
              <w:right w:val="single" w:sz="4" w:space="0" w:color="auto"/>
            </w:tcBorders>
            <w:noWrap/>
            <w:vAlign w:val="bottom"/>
            <w:hideMark/>
          </w:tcPr>
          <w:p w14:paraId="490ADBCD" w14:textId="77777777" w:rsidR="008B6742" w:rsidRPr="00DC77E0" w:rsidRDefault="008B6742" w:rsidP="005A7661">
            <w:pPr>
              <w:spacing w:after="0"/>
              <w:jc w:val="left"/>
              <w:rPr>
                <w:rFonts w:cs="Calibri"/>
                <w:i/>
                <w:iCs/>
                <w:color w:val="000000"/>
                <w:lang w:eastAsia="fr-FR"/>
              </w:rPr>
            </w:pPr>
            <w:r w:rsidRPr="00DC77E0">
              <w:rPr>
                <w:rFonts w:cs="Calibri"/>
                <w:i/>
                <w:iCs/>
                <w:color w:val="000000"/>
                <w:lang w:eastAsia="fr-FR"/>
              </w:rPr>
              <w:t>Passer domesticus</w:t>
            </w:r>
          </w:p>
        </w:tc>
        <w:tc>
          <w:tcPr>
            <w:tcW w:w="517" w:type="pct"/>
            <w:tcBorders>
              <w:top w:val="single" w:sz="4" w:space="0" w:color="auto"/>
              <w:left w:val="single" w:sz="4" w:space="0" w:color="auto"/>
              <w:bottom w:val="single" w:sz="4" w:space="0" w:color="auto"/>
              <w:right w:val="single" w:sz="4" w:space="0" w:color="auto"/>
            </w:tcBorders>
            <w:vAlign w:val="center"/>
          </w:tcPr>
          <w:p w14:paraId="409F34CB" w14:textId="77777777" w:rsidR="008B6742" w:rsidRPr="00DC77E0" w:rsidRDefault="008B6742" w:rsidP="005A7661">
            <w:pPr>
              <w:spacing w:after="0"/>
              <w:jc w:val="center"/>
              <w:rPr>
                <w:rFonts w:ascii="Arial" w:hAnsi="Arial"/>
                <w:color w:val="000000"/>
                <w:sz w:val="18"/>
                <w:szCs w:val="18"/>
                <w:lang w:eastAsia="fr-FR"/>
              </w:rPr>
            </w:pPr>
            <w:r>
              <w:rPr>
                <w:rFonts w:ascii="Aptos Narrow" w:hAnsi="Aptos Narrow" w:cs="Times New Roman"/>
                <w:color w:val="000000"/>
                <w:lang w:eastAsia="fr-FR"/>
              </w:rPr>
              <w:t>ZER/ZEE</w:t>
            </w:r>
          </w:p>
        </w:tc>
        <w:tc>
          <w:tcPr>
            <w:tcW w:w="517" w:type="pct"/>
            <w:tcBorders>
              <w:top w:val="single" w:sz="4" w:space="0" w:color="auto"/>
              <w:left w:val="single" w:sz="4" w:space="0" w:color="auto"/>
              <w:bottom w:val="single" w:sz="4" w:space="0" w:color="auto"/>
              <w:right w:val="single" w:sz="4" w:space="0" w:color="auto"/>
            </w:tcBorders>
            <w:vAlign w:val="center"/>
            <w:hideMark/>
          </w:tcPr>
          <w:p w14:paraId="36B92A1C" w14:textId="77777777" w:rsidR="008B6742" w:rsidRPr="00DC77E0" w:rsidRDefault="008B6742" w:rsidP="005A7661">
            <w:pPr>
              <w:spacing w:after="0"/>
              <w:jc w:val="center"/>
              <w:rPr>
                <w:rFonts w:ascii="Arial" w:hAnsi="Arial"/>
                <w:color w:val="000000"/>
                <w:sz w:val="18"/>
                <w:szCs w:val="18"/>
                <w:lang w:eastAsia="fr-FR"/>
              </w:rPr>
            </w:pPr>
            <w:r w:rsidRPr="00DC77E0">
              <w:rPr>
                <w:rFonts w:ascii="Arial" w:hAnsi="Arial"/>
                <w:color w:val="000000"/>
                <w:sz w:val="18"/>
                <w:szCs w:val="18"/>
                <w:lang w:eastAsia="fr-FR"/>
              </w:rPr>
              <w:t>NS, H</w:t>
            </w:r>
          </w:p>
        </w:tc>
        <w:tc>
          <w:tcPr>
            <w:tcW w:w="434" w:type="pct"/>
            <w:tcBorders>
              <w:top w:val="single" w:sz="4" w:space="0" w:color="auto"/>
              <w:left w:val="single" w:sz="4" w:space="0" w:color="auto"/>
              <w:bottom w:val="single" w:sz="4" w:space="0" w:color="auto"/>
              <w:right w:val="single" w:sz="4" w:space="0" w:color="auto"/>
            </w:tcBorders>
            <w:vAlign w:val="center"/>
            <w:hideMark/>
          </w:tcPr>
          <w:p w14:paraId="78915041" w14:textId="77777777" w:rsidR="008B6742" w:rsidRPr="00DC77E0" w:rsidRDefault="008B6742" w:rsidP="005A7661">
            <w:pPr>
              <w:spacing w:after="0"/>
              <w:jc w:val="center"/>
              <w:rPr>
                <w:rFonts w:ascii="Arial" w:hAnsi="Arial"/>
                <w:color w:val="000000"/>
                <w:sz w:val="18"/>
                <w:szCs w:val="18"/>
                <w:lang w:eastAsia="fr-FR"/>
              </w:rPr>
            </w:pPr>
            <w:r w:rsidRPr="00DC77E0">
              <w:rPr>
                <w:rFonts w:ascii="Arial" w:hAnsi="Arial"/>
                <w:color w:val="000000"/>
                <w:sz w:val="18"/>
                <w:szCs w:val="18"/>
                <w:lang w:eastAsia="fr-FR"/>
              </w:rPr>
              <w:t>-</w:t>
            </w:r>
          </w:p>
        </w:tc>
        <w:tc>
          <w:tcPr>
            <w:tcW w:w="345" w:type="pct"/>
            <w:tcBorders>
              <w:top w:val="single" w:sz="4" w:space="0" w:color="auto"/>
              <w:left w:val="single" w:sz="4" w:space="0" w:color="auto"/>
              <w:bottom w:val="single" w:sz="4" w:space="0" w:color="auto"/>
              <w:right w:val="single" w:sz="4" w:space="0" w:color="auto"/>
            </w:tcBorders>
            <w:vAlign w:val="center"/>
            <w:hideMark/>
          </w:tcPr>
          <w:p w14:paraId="79C0D6E1" w14:textId="77777777" w:rsidR="008B6742" w:rsidRPr="00DC77E0" w:rsidRDefault="008B6742" w:rsidP="005A7661">
            <w:pPr>
              <w:spacing w:after="0"/>
              <w:jc w:val="center"/>
              <w:rPr>
                <w:rFonts w:ascii="Arial" w:hAnsi="Arial"/>
                <w:color w:val="000000"/>
                <w:sz w:val="18"/>
                <w:szCs w:val="18"/>
                <w:lang w:eastAsia="fr-FR"/>
              </w:rPr>
            </w:pPr>
            <w:r w:rsidRPr="00DC77E0">
              <w:rPr>
                <w:rFonts w:ascii="Arial" w:hAnsi="Arial"/>
                <w:color w:val="000000"/>
                <w:sz w:val="18"/>
                <w:szCs w:val="18"/>
                <w:lang w:eastAsia="fr-FR"/>
              </w:rPr>
              <w:t>-</w:t>
            </w:r>
          </w:p>
        </w:tc>
        <w:tc>
          <w:tcPr>
            <w:tcW w:w="326" w:type="pct"/>
            <w:tcBorders>
              <w:top w:val="single" w:sz="4" w:space="0" w:color="auto"/>
              <w:left w:val="single" w:sz="4" w:space="0" w:color="auto"/>
              <w:bottom w:val="single" w:sz="4" w:space="0" w:color="auto"/>
              <w:right w:val="single" w:sz="4" w:space="0" w:color="auto"/>
            </w:tcBorders>
            <w:vAlign w:val="center"/>
            <w:hideMark/>
          </w:tcPr>
          <w:p w14:paraId="76006CF2" w14:textId="77777777" w:rsidR="008B6742" w:rsidRPr="00DC77E0" w:rsidRDefault="008B6742" w:rsidP="005A7661">
            <w:pPr>
              <w:spacing w:after="0"/>
              <w:jc w:val="center"/>
              <w:rPr>
                <w:rFonts w:ascii="Arial" w:hAnsi="Arial"/>
                <w:color w:val="000000"/>
                <w:sz w:val="18"/>
                <w:szCs w:val="18"/>
                <w:lang w:eastAsia="fr-FR"/>
              </w:rPr>
            </w:pPr>
            <w:r w:rsidRPr="00DC77E0">
              <w:rPr>
                <w:rFonts w:ascii="Arial" w:hAnsi="Arial"/>
                <w:color w:val="000000"/>
                <w:sz w:val="18"/>
                <w:szCs w:val="18"/>
                <w:lang w:eastAsia="fr-FR"/>
              </w:rPr>
              <w:t>LC</w:t>
            </w:r>
          </w:p>
        </w:tc>
        <w:tc>
          <w:tcPr>
            <w:tcW w:w="263" w:type="pct"/>
            <w:tcBorders>
              <w:top w:val="single" w:sz="4" w:space="0" w:color="auto"/>
              <w:left w:val="single" w:sz="4" w:space="0" w:color="auto"/>
              <w:bottom w:val="single" w:sz="4" w:space="0" w:color="auto"/>
              <w:right w:val="single" w:sz="4" w:space="0" w:color="auto"/>
            </w:tcBorders>
            <w:vAlign w:val="center"/>
            <w:hideMark/>
          </w:tcPr>
          <w:p w14:paraId="09607FD2" w14:textId="77777777" w:rsidR="008B6742" w:rsidRPr="00DC77E0" w:rsidRDefault="008B6742" w:rsidP="005A7661">
            <w:pPr>
              <w:spacing w:after="0"/>
              <w:jc w:val="center"/>
              <w:rPr>
                <w:rFonts w:ascii="Arial" w:hAnsi="Arial"/>
                <w:color w:val="000000"/>
                <w:sz w:val="18"/>
                <w:szCs w:val="18"/>
                <w:lang w:eastAsia="fr-FR"/>
              </w:rPr>
            </w:pPr>
            <w:r w:rsidRPr="00DC77E0">
              <w:rPr>
                <w:rFonts w:ascii="Arial" w:hAnsi="Arial"/>
                <w:color w:val="000000"/>
                <w:sz w:val="18"/>
                <w:szCs w:val="18"/>
                <w:lang w:eastAsia="fr-FR"/>
              </w:rPr>
              <w:t>-</w:t>
            </w:r>
          </w:p>
        </w:tc>
        <w:tc>
          <w:tcPr>
            <w:tcW w:w="263" w:type="pct"/>
            <w:tcBorders>
              <w:top w:val="single" w:sz="4" w:space="0" w:color="auto"/>
              <w:left w:val="single" w:sz="4" w:space="0" w:color="auto"/>
              <w:bottom w:val="single" w:sz="4" w:space="0" w:color="auto"/>
              <w:right w:val="single" w:sz="4" w:space="0" w:color="auto"/>
            </w:tcBorders>
            <w:vAlign w:val="center"/>
            <w:hideMark/>
          </w:tcPr>
          <w:p w14:paraId="56145129" w14:textId="77777777" w:rsidR="008B6742" w:rsidRPr="00DC77E0" w:rsidRDefault="008B6742" w:rsidP="005A7661">
            <w:pPr>
              <w:spacing w:after="0"/>
              <w:jc w:val="center"/>
              <w:rPr>
                <w:rFonts w:ascii="Arial" w:hAnsi="Arial"/>
                <w:color w:val="000000"/>
                <w:sz w:val="18"/>
                <w:szCs w:val="18"/>
                <w:lang w:eastAsia="fr-FR"/>
              </w:rPr>
            </w:pPr>
            <w:r w:rsidRPr="00DC77E0">
              <w:rPr>
                <w:rFonts w:ascii="Arial" w:hAnsi="Arial"/>
                <w:color w:val="000000"/>
                <w:sz w:val="18"/>
                <w:szCs w:val="18"/>
                <w:lang w:eastAsia="fr-FR"/>
              </w:rPr>
              <w:t>-</w:t>
            </w:r>
          </w:p>
        </w:tc>
        <w:tc>
          <w:tcPr>
            <w:tcW w:w="263" w:type="pct"/>
            <w:tcBorders>
              <w:top w:val="single" w:sz="4" w:space="0" w:color="auto"/>
              <w:left w:val="single" w:sz="4" w:space="0" w:color="auto"/>
              <w:bottom w:val="single" w:sz="4" w:space="0" w:color="auto"/>
              <w:right w:val="single" w:sz="4" w:space="0" w:color="auto"/>
            </w:tcBorders>
            <w:vAlign w:val="center"/>
            <w:hideMark/>
          </w:tcPr>
          <w:p w14:paraId="647A82BC" w14:textId="77777777" w:rsidR="008B6742" w:rsidRPr="00DC77E0" w:rsidRDefault="008B6742" w:rsidP="005A7661">
            <w:pPr>
              <w:spacing w:after="0"/>
              <w:jc w:val="center"/>
              <w:rPr>
                <w:rFonts w:ascii="Arial" w:hAnsi="Arial"/>
                <w:color w:val="000000"/>
                <w:sz w:val="18"/>
                <w:szCs w:val="18"/>
                <w:lang w:eastAsia="fr-FR"/>
              </w:rPr>
            </w:pPr>
            <w:r w:rsidRPr="00DC77E0">
              <w:rPr>
                <w:rFonts w:ascii="Arial" w:hAnsi="Arial"/>
                <w:color w:val="000000"/>
                <w:sz w:val="18"/>
                <w:szCs w:val="18"/>
                <w:lang w:eastAsia="fr-FR"/>
              </w:rPr>
              <w:t>-</w:t>
            </w:r>
          </w:p>
        </w:tc>
        <w:tc>
          <w:tcPr>
            <w:tcW w:w="262" w:type="pct"/>
            <w:tcBorders>
              <w:top w:val="single" w:sz="4" w:space="0" w:color="auto"/>
              <w:left w:val="single" w:sz="4" w:space="0" w:color="auto"/>
              <w:bottom w:val="single" w:sz="4" w:space="0" w:color="auto"/>
              <w:right w:val="single" w:sz="4" w:space="0" w:color="auto"/>
            </w:tcBorders>
            <w:vAlign w:val="center"/>
            <w:hideMark/>
          </w:tcPr>
          <w:p w14:paraId="4AF65544" w14:textId="77777777" w:rsidR="008B6742" w:rsidRPr="00DC77E0" w:rsidRDefault="008B6742" w:rsidP="005A7661">
            <w:pPr>
              <w:spacing w:after="0"/>
              <w:jc w:val="center"/>
              <w:rPr>
                <w:rFonts w:ascii="Arial" w:hAnsi="Arial"/>
                <w:color w:val="000000"/>
                <w:sz w:val="18"/>
                <w:szCs w:val="18"/>
                <w:lang w:eastAsia="fr-FR"/>
              </w:rPr>
            </w:pPr>
            <w:r w:rsidRPr="00DC77E0">
              <w:rPr>
                <w:rFonts w:ascii="Arial" w:hAnsi="Arial"/>
                <w:color w:val="000000"/>
                <w:sz w:val="18"/>
                <w:szCs w:val="18"/>
                <w:lang w:eastAsia="fr-FR"/>
              </w:rPr>
              <w:t>-</w:t>
            </w:r>
          </w:p>
        </w:tc>
      </w:tr>
      <w:tr w:rsidR="00C107CD" w:rsidRPr="00DC77E0" w14:paraId="4B6C76BB" w14:textId="77777777" w:rsidTr="00C107CD">
        <w:trPr>
          <w:trHeight w:val="288"/>
        </w:trPr>
        <w:tc>
          <w:tcPr>
            <w:tcW w:w="836" w:type="pct"/>
            <w:tcBorders>
              <w:top w:val="single" w:sz="4" w:space="0" w:color="auto"/>
              <w:left w:val="single" w:sz="4" w:space="0" w:color="auto"/>
              <w:bottom w:val="single" w:sz="4" w:space="0" w:color="auto"/>
              <w:right w:val="single" w:sz="4" w:space="0" w:color="auto"/>
            </w:tcBorders>
            <w:noWrap/>
            <w:vAlign w:val="bottom"/>
            <w:hideMark/>
          </w:tcPr>
          <w:p w14:paraId="01346487" w14:textId="77777777" w:rsidR="008B6742" w:rsidRPr="00DC77E0" w:rsidRDefault="008B6742" w:rsidP="005A7661">
            <w:pPr>
              <w:spacing w:after="0"/>
              <w:jc w:val="left"/>
              <w:rPr>
                <w:rFonts w:cs="Calibri"/>
                <w:color w:val="000000"/>
                <w:lang w:eastAsia="fr-FR"/>
              </w:rPr>
            </w:pPr>
            <w:r w:rsidRPr="00DC77E0">
              <w:rPr>
                <w:rFonts w:cs="Calibri"/>
                <w:color w:val="000000"/>
                <w:lang w:eastAsia="fr-FR"/>
              </w:rPr>
              <w:t>Perdrix gambra</w:t>
            </w:r>
          </w:p>
        </w:tc>
        <w:tc>
          <w:tcPr>
            <w:tcW w:w="975" w:type="pct"/>
            <w:tcBorders>
              <w:top w:val="single" w:sz="4" w:space="0" w:color="auto"/>
              <w:left w:val="single" w:sz="4" w:space="0" w:color="auto"/>
              <w:bottom w:val="single" w:sz="4" w:space="0" w:color="auto"/>
              <w:right w:val="single" w:sz="4" w:space="0" w:color="auto"/>
            </w:tcBorders>
            <w:noWrap/>
            <w:vAlign w:val="bottom"/>
            <w:hideMark/>
          </w:tcPr>
          <w:p w14:paraId="52012D77" w14:textId="77777777" w:rsidR="008B6742" w:rsidRPr="00DC77E0" w:rsidRDefault="008B6742" w:rsidP="005A7661">
            <w:pPr>
              <w:spacing w:after="0"/>
              <w:jc w:val="left"/>
              <w:rPr>
                <w:rFonts w:cs="Calibri"/>
                <w:i/>
                <w:iCs/>
                <w:color w:val="000000"/>
                <w:lang w:eastAsia="fr-FR"/>
              </w:rPr>
            </w:pPr>
            <w:r w:rsidRPr="00DC77E0">
              <w:rPr>
                <w:rFonts w:cs="Calibri"/>
                <w:i/>
                <w:iCs/>
                <w:color w:val="000000"/>
                <w:lang w:eastAsia="fr-FR"/>
              </w:rPr>
              <w:t>Alectoris barbara</w:t>
            </w:r>
          </w:p>
        </w:tc>
        <w:tc>
          <w:tcPr>
            <w:tcW w:w="517" w:type="pct"/>
            <w:tcBorders>
              <w:top w:val="single" w:sz="4" w:space="0" w:color="auto"/>
              <w:left w:val="single" w:sz="4" w:space="0" w:color="auto"/>
              <w:bottom w:val="single" w:sz="4" w:space="0" w:color="auto"/>
              <w:right w:val="single" w:sz="4" w:space="0" w:color="auto"/>
            </w:tcBorders>
            <w:vAlign w:val="center"/>
          </w:tcPr>
          <w:p w14:paraId="1239FE55" w14:textId="77777777" w:rsidR="008B6742" w:rsidRPr="00DC77E0" w:rsidRDefault="008B6742" w:rsidP="005A7661">
            <w:pPr>
              <w:spacing w:after="0"/>
              <w:jc w:val="center"/>
              <w:rPr>
                <w:rFonts w:ascii="Arial" w:hAnsi="Arial"/>
                <w:color w:val="000000"/>
                <w:sz w:val="18"/>
                <w:szCs w:val="18"/>
                <w:lang w:eastAsia="fr-FR"/>
              </w:rPr>
            </w:pPr>
            <w:r>
              <w:rPr>
                <w:rFonts w:ascii="Aptos Narrow" w:hAnsi="Aptos Narrow" w:cs="Times New Roman"/>
                <w:color w:val="000000"/>
                <w:lang w:eastAsia="fr-FR"/>
              </w:rPr>
              <w:t>ZER/ZEE</w:t>
            </w:r>
          </w:p>
        </w:tc>
        <w:tc>
          <w:tcPr>
            <w:tcW w:w="517" w:type="pct"/>
            <w:tcBorders>
              <w:top w:val="single" w:sz="4" w:space="0" w:color="auto"/>
              <w:left w:val="single" w:sz="4" w:space="0" w:color="auto"/>
              <w:bottom w:val="single" w:sz="4" w:space="0" w:color="auto"/>
              <w:right w:val="single" w:sz="4" w:space="0" w:color="auto"/>
            </w:tcBorders>
            <w:vAlign w:val="center"/>
            <w:hideMark/>
          </w:tcPr>
          <w:p w14:paraId="55DEC87C" w14:textId="77777777" w:rsidR="008B6742" w:rsidRPr="00DC77E0" w:rsidRDefault="008B6742" w:rsidP="005A7661">
            <w:pPr>
              <w:spacing w:after="0"/>
              <w:jc w:val="center"/>
              <w:rPr>
                <w:rFonts w:ascii="Arial" w:hAnsi="Arial"/>
                <w:color w:val="000000"/>
                <w:sz w:val="18"/>
                <w:szCs w:val="18"/>
                <w:lang w:eastAsia="fr-FR"/>
              </w:rPr>
            </w:pPr>
            <w:r w:rsidRPr="00DC77E0">
              <w:rPr>
                <w:rFonts w:ascii="Arial" w:hAnsi="Arial"/>
                <w:color w:val="000000"/>
                <w:sz w:val="18"/>
                <w:szCs w:val="18"/>
                <w:lang w:eastAsia="fr-FR"/>
              </w:rPr>
              <w:t>NS</w:t>
            </w:r>
          </w:p>
        </w:tc>
        <w:tc>
          <w:tcPr>
            <w:tcW w:w="434" w:type="pct"/>
            <w:tcBorders>
              <w:top w:val="single" w:sz="4" w:space="0" w:color="auto"/>
              <w:left w:val="single" w:sz="4" w:space="0" w:color="auto"/>
              <w:bottom w:val="single" w:sz="4" w:space="0" w:color="auto"/>
              <w:right w:val="single" w:sz="4" w:space="0" w:color="auto"/>
            </w:tcBorders>
            <w:vAlign w:val="center"/>
            <w:hideMark/>
          </w:tcPr>
          <w:p w14:paraId="5EBE336F" w14:textId="77777777" w:rsidR="008B6742" w:rsidRPr="00DC77E0" w:rsidRDefault="008B6742" w:rsidP="005A7661">
            <w:pPr>
              <w:spacing w:after="0"/>
              <w:jc w:val="center"/>
              <w:rPr>
                <w:rFonts w:ascii="Arial" w:hAnsi="Arial"/>
                <w:color w:val="000000"/>
                <w:sz w:val="18"/>
                <w:szCs w:val="18"/>
                <w:lang w:eastAsia="fr-FR"/>
              </w:rPr>
            </w:pPr>
            <w:r w:rsidRPr="00DC77E0">
              <w:rPr>
                <w:rFonts w:ascii="Arial" w:hAnsi="Arial"/>
                <w:color w:val="000000"/>
                <w:sz w:val="18"/>
                <w:szCs w:val="18"/>
                <w:lang w:eastAsia="fr-FR"/>
              </w:rPr>
              <w:t>-</w:t>
            </w:r>
          </w:p>
        </w:tc>
        <w:tc>
          <w:tcPr>
            <w:tcW w:w="345" w:type="pct"/>
            <w:tcBorders>
              <w:top w:val="single" w:sz="4" w:space="0" w:color="auto"/>
              <w:left w:val="single" w:sz="4" w:space="0" w:color="auto"/>
              <w:bottom w:val="single" w:sz="4" w:space="0" w:color="auto"/>
              <w:right w:val="single" w:sz="4" w:space="0" w:color="auto"/>
            </w:tcBorders>
            <w:vAlign w:val="center"/>
            <w:hideMark/>
          </w:tcPr>
          <w:p w14:paraId="41C802DD" w14:textId="77777777" w:rsidR="008B6742" w:rsidRPr="00DC77E0" w:rsidRDefault="008B6742" w:rsidP="005A7661">
            <w:pPr>
              <w:spacing w:after="0"/>
              <w:jc w:val="center"/>
              <w:rPr>
                <w:rFonts w:ascii="Arial" w:hAnsi="Arial"/>
                <w:color w:val="000000"/>
                <w:sz w:val="18"/>
                <w:szCs w:val="18"/>
                <w:lang w:eastAsia="fr-FR"/>
              </w:rPr>
            </w:pPr>
            <w:r w:rsidRPr="00DC77E0">
              <w:rPr>
                <w:rFonts w:ascii="Arial" w:hAnsi="Arial"/>
                <w:color w:val="000000"/>
                <w:sz w:val="18"/>
                <w:szCs w:val="18"/>
                <w:lang w:eastAsia="fr-FR"/>
              </w:rPr>
              <w:t>-</w:t>
            </w:r>
          </w:p>
        </w:tc>
        <w:tc>
          <w:tcPr>
            <w:tcW w:w="326" w:type="pct"/>
            <w:tcBorders>
              <w:top w:val="single" w:sz="4" w:space="0" w:color="auto"/>
              <w:left w:val="single" w:sz="4" w:space="0" w:color="auto"/>
              <w:bottom w:val="single" w:sz="4" w:space="0" w:color="auto"/>
              <w:right w:val="single" w:sz="4" w:space="0" w:color="auto"/>
            </w:tcBorders>
            <w:vAlign w:val="center"/>
            <w:hideMark/>
          </w:tcPr>
          <w:p w14:paraId="3122B473" w14:textId="77777777" w:rsidR="008B6742" w:rsidRPr="00DC77E0" w:rsidRDefault="008B6742" w:rsidP="005A7661">
            <w:pPr>
              <w:spacing w:after="0"/>
              <w:jc w:val="center"/>
              <w:rPr>
                <w:rFonts w:ascii="Arial" w:hAnsi="Arial"/>
                <w:color w:val="000000"/>
                <w:sz w:val="18"/>
                <w:szCs w:val="18"/>
                <w:lang w:eastAsia="fr-FR"/>
              </w:rPr>
            </w:pPr>
            <w:r w:rsidRPr="00DC77E0">
              <w:rPr>
                <w:rFonts w:ascii="Arial" w:hAnsi="Arial"/>
                <w:color w:val="000000"/>
                <w:sz w:val="18"/>
                <w:szCs w:val="18"/>
                <w:lang w:eastAsia="fr-FR"/>
              </w:rPr>
              <w:t>LC</w:t>
            </w:r>
          </w:p>
        </w:tc>
        <w:tc>
          <w:tcPr>
            <w:tcW w:w="263" w:type="pct"/>
            <w:tcBorders>
              <w:top w:val="single" w:sz="4" w:space="0" w:color="auto"/>
              <w:left w:val="single" w:sz="4" w:space="0" w:color="auto"/>
              <w:bottom w:val="single" w:sz="4" w:space="0" w:color="auto"/>
              <w:right w:val="single" w:sz="4" w:space="0" w:color="auto"/>
            </w:tcBorders>
            <w:vAlign w:val="center"/>
            <w:hideMark/>
          </w:tcPr>
          <w:p w14:paraId="1B71634A" w14:textId="77777777" w:rsidR="008B6742" w:rsidRPr="00DC77E0" w:rsidRDefault="008B6742" w:rsidP="005A7661">
            <w:pPr>
              <w:spacing w:after="0"/>
              <w:jc w:val="center"/>
              <w:rPr>
                <w:rFonts w:ascii="Arial" w:hAnsi="Arial"/>
                <w:color w:val="000000"/>
                <w:sz w:val="18"/>
                <w:szCs w:val="18"/>
                <w:lang w:eastAsia="fr-FR"/>
              </w:rPr>
            </w:pPr>
            <w:r w:rsidRPr="00DC77E0">
              <w:rPr>
                <w:rFonts w:ascii="Arial" w:hAnsi="Arial"/>
                <w:color w:val="000000"/>
                <w:sz w:val="18"/>
                <w:szCs w:val="18"/>
                <w:lang w:eastAsia="fr-FR"/>
              </w:rPr>
              <w:t>-</w:t>
            </w:r>
          </w:p>
        </w:tc>
        <w:tc>
          <w:tcPr>
            <w:tcW w:w="263" w:type="pct"/>
            <w:tcBorders>
              <w:top w:val="single" w:sz="4" w:space="0" w:color="auto"/>
              <w:left w:val="single" w:sz="4" w:space="0" w:color="auto"/>
              <w:bottom w:val="single" w:sz="4" w:space="0" w:color="auto"/>
              <w:right w:val="single" w:sz="4" w:space="0" w:color="auto"/>
            </w:tcBorders>
            <w:vAlign w:val="center"/>
            <w:hideMark/>
          </w:tcPr>
          <w:p w14:paraId="67FADA9B" w14:textId="77777777" w:rsidR="008B6742" w:rsidRPr="00DC77E0" w:rsidRDefault="008B6742" w:rsidP="005A7661">
            <w:pPr>
              <w:spacing w:after="0"/>
              <w:jc w:val="center"/>
              <w:rPr>
                <w:rFonts w:ascii="Arial" w:hAnsi="Arial"/>
                <w:color w:val="000000"/>
                <w:sz w:val="18"/>
                <w:szCs w:val="18"/>
                <w:lang w:eastAsia="fr-FR"/>
              </w:rPr>
            </w:pPr>
            <w:r w:rsidRPr="00DC77E0">
              <w:rPr>
                <w:rFonts w:ascii="Arial" w:hAnsi="Arial"/>
                <w:color w:val="000000"/>
                <w:sz w:val="18"/>
                <w:szCs w:val="18"/>
                <w:lang w:eastAsia="fr-FR"/>
              </w:rPr>
              <w:t>-</w:t>
            </w:r>
          </w:p>
        </w:tc>
        <w:tc>
          <w:tcPr>
            <w:tcW w:w="263" w:type="pct"/>
            <w:tcBorders>
              <w:top w:val="single" w:sz="4" w:space="0" w:color="auto"/>
              <w:left w:val="single" w:sz="4" w:space="0" w:color="auto"/>
              <w:bottom w:val="single" w:sz="4" w:space="0" w:color="auto"/>
              <w:right w:val="single" w:sz="4" w:space="0" w:color="auto"/>
            </w:tcBorders>
            <w:vAlign w:val="center"/>
            <w:hideMark/>
          </w:tcPr>
          <w:p w14:paraId="1DA16C83" w14:textId="77777777" w:rsidR="008B6742" w:rsidRPr="00DC77E0" w:rsidRDefault="008B6742" w:rsidP="005A7661">
            <w:pPr>
              <w:spacing w:after="0"/>
              <w:jc w:val="center"/>
              <w:rPr>
                <w:rFonts w:ascii="Arial" w:hAnsi="Arial"/>
                <w:color w:val="000000"/>
                <w:sz w:val="18"/>
                <w:szCs w:val="18"/>
                <w:lang w:eastAsia="fr-FR"/>
              </w:rPr>
            </w:pPr>
            <w:r w:rsidRPr="00DC77E0">
              <w:rPr>
                <w:rFonts w:ascii="Arial" w:hAnsi="Arial"/>
                <w:color w:val="000000"/>
                <w:sz w:val="18"/>
                <w:szCs w:val="18"/>
                <w:lang w:eastAsia="fr-FR"/>
              </w:rPr>
              <w:t xml:space="preserve">An. III </w:t>
            </w:r>
          </w:p>
        </w:tc>
        <w:tc>
          <w:tcPr>
            <w:tcW w:w="262" w:type="pct"/>
            <w:tcBorders>
              <w:top w:val="single" w:sz="4" w:space="0" w:color="auto"/>
              <w:left w:val="single" w:sz="4" w:space="0" w:color="auto"/>
              <w:bottom w:val="single" w:sz="4" w:space="0" w:color="auto"/>
              <w:right w:val="single" w:sz="4" w:space="0" w:color="auto"/>
            </w:tcBorders>
            <w:vAlign w:val="center"/>
            <w:hideMark/>
          </w:tcPr>
          <w:p w14:paraId="54CCAF43" w14:textId="77777777" w:rsidR="008B6742" w:rsidRPr="00DC77E0" w:rsidRDefault="008B6742" w:rsidP="005A7661">
            <w:pPr>
              <w:spacing w:after="0"/>
              <w:jc w:val="center"/>
              <w:rPr>
                <w:rFonts w:ascii="Arial" w:hAnsi="Arial"/>
                <w:color w:val="000000"/>
                <w:sz w:val="18"/>
                <w:szCs w:val="18"/>
                <w:lang w:eastAsia="fr-FR"/>
              </w:rPr>
            </w:pPr>
            <w:r w:rsidRPr="00DC77E0">
              <w:rPr>
                <w:rFonts w:ascii="Arial" w:hAnsi="Arial"/>
                <w:color w:val="000000"/>
                <w:sz w:val="18"/>
                <w:szCs w:val="18"/>
                <w:lang w:eastAsia="fr-FR"/>
              </w:rPr>
              <w:t>-</w:t>
            </w:r>
          </w:p>
        </w:tc>
      </w:tr>
      <w:tr w:rsidR="00C107CD" w:rsidRPr="00DC77E0" w14:paraId="421396F1" w14:textId="77777777" w:rsidTr="00C107CD">
        <w:trPr>
          <w:trHeight w:val="288"/>
        </w:trPr>
        <w:tc>
          <w:tcPr>
            <w:tcW w:w="836" w:type="pct"/>
            <w:tcBorders>
              <w:top w:val="single" w:sz="4" w:space="0" w:color="auto"/>
              <w:left w:val="single" w:sz="4" w:space="0" w:color="auto"/>
              <w:bottom w:val="single" w:sz="4" w:space="0" w:color="auto"/>
              <w:right w:val="single" w:sz="4" w:space="0" w:color="auto"/>
            </w:tcBorders>
            <w:noWrap/>
            <w:vAlign w:val="bottom"/>
            <w:hideMark/>
          </w:tcPr>
          <w:p w14:paraId="1B13B229" w14:textId="77777777" w:rsidR="008B6742" w:rsidRPr="00DC77E0" w:rsidRDefault="008B6742" w:rsidP="005A7661">
            <w:pPr>
              <w:spacing w:after="0"/>
              <w:jc w:val="left"/>
              <w:rPr>
                <w:rFonts w:cs="Calibri"/>
                <w:color w:val="000000"/>
                <w:lang w:eastAsia="fr-FR"/>
              </w:rPr>
            </w:pPr>
            <w:r w:rsidRPr="00DC77E0">
              <w:rPr>
                <w:rFonts w:cs="Calibri"/>
                <w:color w:val="000000"/>
                <w:lang w:eastAsia="fr-FR"/>
              </w:rPr>
              <w:t>Pie du Maghreb</w:t>
            </w:r>
          </w:p>
        </w:tc>
        <w:tc>
          <w:tcPr>
            <w:tcW w:w="975" w:type="pct"/>
            <w:tcBorders>
              <w:top w:val="single" w:sz="4" w:space="0" w:color="auto"/>
              <w:left w:val="single" w:sz="4" w:space="0" w:color="auto"/>
              <w:bottom w:val="single" w:sz="4" w:space="0" w:color="auto"/>
              <w:right w:val="single" w:sz="4" w:space="0" w:color="auto"/>
            </w:tcBorders>
            <w:noWrap/>
            <w:vAlign w:val="bottom"/>
            <w:hideMark/>
          </w:tcPr>
          <w:p w14:paraId="5DA69AA5" w14:textId="77777777" w:rsidR="008B6742" w:rsidRPr="00DC77E0" w:rsidRDefault="008B6742" w:rsidP="005A7661">
            <w:pPr>
              <w:spacing w:after="0"/>
              <w:jc w:val="left"/>
              <w:rPr>
                <w:rFonts w:cs="Calibri"/>
                <w:i/>
                <w:iCs/>
                <w:color w:val="000000"/>
                <w:lang w:eastAsia="fr-FR"/>
              </w:rPr>
            </w:pPr>
            <w:r w:rsidRPr="00DC77E0">
              <w:rPr>
                <w:rFonts w:cs="Calibri"/>
                <w:i/>
                <w:iCs/>
                <w:color w:val="000000"/>
                <w:lang w:eastAsia="fr-FR"/>
              </w:rPr>
              <w:t>Pica mauritanica</w:t>
            </w:r>
          </w:p>
        </w:tc>
        <w:tc>
          <w:tcPr>
            <w:tcW w:w="517" w:type="pct"/>
            <w:tcBorders>
              <w:top w:val="single" w:sz="4" w:space="0" w:color="auto"/>
              <w:left w:val="single" w:sz="4" w:space="0" w:color="auto"/>
              <w:bottom w:val="single" w:sz="4" w:space="0" w:color="auto"/>
              <w:right w:val="single" w:sz="4" w:space="0" w:color="auto"/>
            </w:tcBorders>
            <w:vAlign w:val="center"/>
          </w:tcPr>
          <w:p w14:paraId="5B879E48" w14:textId="77777777" w:rsidR="008B6742" w:rsidRPr="00DC77E0" w:rsidRDefault="008B6742" w:rsidP="005A7661">
            <w:pPr>
              <w:spacing w:after="0"/>
              <w:jc w:val="center"/>
              <w:rPr>
                <w:rFonts w:ascii="Arial" w:hAnsi="Arial"/>
                <w:color w:val="000000"/>
                <w:sz w:val="18"/>
                <w:szCs w:val="18"/>
                <w:lang w:eastAsia="fr-FR"/>
              </w:rPr>
            </w:pPr>
            <w:r w:rsidRPr="00424FDB">
              <w:rPr>
                <w:rFonts w:ascii="Aptos Narrow" w:hAnsi="Aptos Narrow" w:cs="Times New Roman"/>
                <w:color w:val="000000"/>
                <w:lang w:eastAsia="fr-FR"/>
              </w:rPr>
              <w:t>ZA</w:t>
            </w:r>
          </w:p>
        </w:tc>
        <w:tc>
          <w:tcPr>
            <w:tcW w:w="517" w:type="pct"/>
            <w:tcBorders>
              <w:top w:val="single" w:sz="4" w:space="0" w:color="auto"/>
              <w:left w:val="single" w:sz="4" w:space="0" w:color="auto"/>
              <w:bottom w:val="single" w:sz="4" w:space="0" w:color="auto"/>
              <w:right w:val="single" w:sz="4" w:space="0" w:color="auto"/>
            </w:tcBorders>
            <w:vAlign w:val="center"/>
            <w:hideMark/>
          </w:tcPr>
          <w:p w14:paraId="7CD01109" w14:textId="77777777" w:rsidR="008B6742" w:rsidRPr="00DC77E0" w:rsidRDefault="008B6742" w:rsidP="005A7661">
            <w:pPr>
              <w:spacing w:after="0"/>
              <w:jc w:val="center"/>
              <w:rPr>
                <w:rFonts w:ascii="Arial" w:hAnsi="Arial"/>
                <w:color w:val="000000"/>
                <w:sz w:val="18"/>
                <w:szCs w:val="18"/>
                <w:lang w:eastAsia="fr-FR"/>
              </w:rPr>
            </w:pPr>
            <w:r w:rsidRPr="00DC77E0">
              <w:rPr>
                <w:rFonts w:ascii="Arial" w:hAnsi="Arial"/>
                <w:color w:val="000000"/>
                <w:sz w:val="18"/>
                <w:szCs w:val="18"/>
                <w:lang w:eastAsia="fr-FR"/>
              </w:rPr>
              <w:t>NS</w:t>
            </w:r>
          </w:p>
        </w:tc>
        <w:tc>
          <w:tcPr>
            <w:tcW w:w="434" w:type="pct"/>
            <w:tcBorders>
              <w:top w:val="single" w:sz="4" w:space="0" w:color="auto"/>
              <w:left w:val="single" w:sz="4" w:space="0" w:color="auto"/>
              <w:bottom w:val="single" w:sz="4" w:space="0" w:color="auto"/>
              <w:right w:val="single" w:sz="4" w:space="0" w:color="auto"/>
            </w:tcBorders>
            <w:vAlign w:val="center"/>
            <w:hideMark/>
          </w:tcPr>
          <w:p w14:paraId="552A8127" w14:textId="77777777" w:rsidR="008B6742" w:rsidRPr="00DC77E0" w:rsidRDefault="008B6742" w:rsidP="005A7661">
            <w:pPr>
              <w:spacing w:after="0"/>
              <w:jc w:val="center"/>
              <w:rPr>
                <w:rFonts w:ascii="Arial" w:hAnsi="Arial"/>
                <w:color w:val="000000"/>
                <w:sz w:val="18"/>
                <w:szCs w:val="18"/>
                <w:lang w:eastAsia="fr-FR"/>
              </w:rPr>
            </w:pPr>
            <w:r w:rsidRPr="00DC77E0">
              <w:rPr>
                <w:rFonts w:ascii="Arial" w:hAnsi="Arial"/>
                <w:color w:val="000000"/>
                <w:sz w:val="18"/>
                <w:szCs w:val="18"/>
                <w:lang w:eastAsia="fr-FR"/>
              </w:rPr>
              <w:t>-</w:t>
            </w:r>
          </w:p>
        </w:tc>
        <w:tc>
          <w:tcPr>
            <w:tcW w:w="345" w:type="pct"/>
            <w:tcBorders>
              <w:top w:val="single" w:sz="4" w:space="0" w:color="auto"/>
              <w:left w:val="single" w:sz="4" w:space="0" w:color="auto"/>
              <w:bottom w:val="single" w:sz="4" w:space="0" w:color="auto"/>
              <w:right w:val="single" w:sz="4" w:space="0" w:color="auto"/>
            </w:tcBorders>
            <w:vAlign w:val="center"/>
            <w:hideMark/>
          </w:tcPr>
          <w:p w14:paraId="5AA98ACF" w14:textId="77777777" w:rsidR="008B6742" w:rsidRPr="00DC77E0" w:rsidRDefault="008B6742" w:rsidP="005A7661">
            <w:pPr>
              <w:spacing w:after="0"/>
              <w:jc w:val="center"/>
              <w:rPr>
                <w:rFonts w:ascii="Arial" w:hAnsi="Arial"/>
                <w:color w:val="000000"/>
                <w:sz w:val="18"/>
                <w:szCs w:val="18"/>
                <w:lang w:eastAsia="fr-FR"/>
              </w:rPr>
            </w:pPr>
            <w:r w:rsidRPr="00DC77E0">
              <w:rPr>
                <w:rFonts w:ascii="Arial" w:hAnsi="Arial"/>
                <w:color w:val="000000"/>
                <w:sz w:val="18"/>
                <w:szCs w:val="18"/>
                <w:lang w:eastAsia="fr-FR"/>
              </w:rPr>
              <w:t>-</w:t>
            </w:r>
          </w:p>
        </w:tc>
        <w:tc>
          <w:tcPr>
            <w:tcW w:w="326" w:type="pct"/>
            <w:tcBorders>
              <w:top w:val="single" w:sz="4" w:space="0" w:color="auto"/>
              <w:left w:val="single" w:sz="4" w:space="0" w:color="auto"/>
              <w:bottom w:val="single" w:sz="4" w:space="0" w:color="auto"/>
              <w:right w:val="single" w:sz="4" w:space="0" w:color="auto"/>
            </w:tcBorders>
            <w:vAlign w:val="center"/>
            <w:hideMark/>
          </w:tcPr>
          <w:p w14:paraId="353F18A4" w14:textId="77777777" w:rsidR="008B6742" w:rsidRPr="00DC77E0" w:rsidRDefault="008B6742" w:rsidP="005A7661">
            <w:pPr>
              <w:spacing w:after="0"/>
              <w:jc w:val="center"/>
              <w:rPr>
                <w:rFonts w:ascii="Arial" w:hAnsi="Arial"/>
                <w:color w:val="000000"/>
                <w:sz w:val="18"/>
                <w:szCs w:val="18"/>
                <w:lang w:eastAsia="fr-FR"/>
              </w:rPr>
            </w:pPr>
            <w:r w:rsidRPr="00DC77E0">
              <w:rPr>
                <w:rFonts w:ascii="Arial" w:hAnsi="Arial"/>
                <w:color w:val="000000"/>
                <w:sz w:val="18"/>
                <w:szCs w:val="18"/>
                <w:lang w:eastAsia="fr-FR"/>
              </w:rPr>
              <w:t>LC</w:t>
            </w:r>
          </w:p>
        </w:tc>
        <w:tc>
          <w:tcPr>
            <w:tcW w:w="263" w:type="pct"/>
            <w:tcBorders>
              <w:top w:val="single" w:sz="4" w:space="0" w:color="auto"/>
              <w:left w:val="single" w:sz="4" w:space="0" w:color="auto"/>
              <w:bottom w:val="single" w:sz="4" w:space="0" w:color="auto"/>
              <w:right w:val="single" w:sz="4" w:space="0" w:color="auto"/>
            </w:tcBorders>
            <w:vAlign w:val="center"/>
            <w:hideMark/>
          </w:tcPr>
          <w:p w14:paraId="50A12591" w14:textId="77777777" w:rsidR="008B6742" w:rsidRPr="00DC77E0" w:rsidRDefault="008B6742" w:rsidP="005A7661">
            <w:pPr>
              <w:spacing w:after="0"/>
              <w:jc w:val="center"/>
              <w:rPr>
                <w:rFonts w:ascii="Arial" w:hAnsi="Arial"/>
                <w:color w:val="000000"/>
                <w:sz w:val="18"/>
                <w:szCs w:val="18"/>
                <w:lang w:eastAsia="fr-FR"/>
              </w:rPr>
            </w:pPr>
            <w:r w:rsidRPr="00DC77E0">
              <w:rPr>
                <w:rFonts w:ascii="Arial" w:hAnsi="Arial"/>
                <w:color w:val="000000"/>
                <w:sz w:val="18"/>
                <w:szCs w:val="18"/>
                <w:lang w:eastAsia="fr-FR"/>
              </w:rPr>
              <w:t>-</w:t>
            </w:r>
          </w:p>
        </w:tc>
        <w:tc>
          <w:tcPr>
            <w:tcW w:w="263" w:type="pct"/>
            <w:tcBorders>
              <w:top w:val="single" w:sz="4" w:space="0" w:color="auto"/>
              <w:left w:val="single" w:sz="4" w:space="0" w:color="auto"/>
              <w:bottom w:val="single" w:sz="4" w:space="0" w:color="auto"/>
              <w:right w:val="single" w:sz="4" w:space="0" w:color="auto"/>
            </w:tcBorders>
            <w:vAlign w:val="center"/>
            <w:hideMark/>
          </w:tcPr>
          <w:p w14:paraId="512B0B49" w14:textId="77777777" w:rsidR="008B6742" w:rsidRPr="00DC77E0" w:rsidRDefault="008B6742" w:rsidP="005A7661">
            <w:pPr>
              <w:spacing w:after="0"/>
              <w:jc w:val="center"/>
              <w:rPr>
                <w:rFonts w:ascii="Arial" w:hAnsi="Arial"/>
                <w:color w:val="000000"/>
                <w:sz w:val="18"/>
                <w:szCs w:val="18"/>
                <w:lang w:eastAsia="fr-FR"/>
              </w:rPr>
            </w:pPr>
            <w:r w:rsidRPr="00DC77E0">
              <w:rPr>
                <w:rFonts w:ascii="Arial" w:hAnsi="Arial"/>
                <w:color w:val="000000"/>
                <w:sz w:val="18"/>
                <w:szCs w:val="18"/>
                <w:lang w:eastAsia="fr-FR"/>
              </w:rPr>
              <w:t>-</w:t>
            </w:r>
          </w:p>
        </w:tc>
        <w:tc>
          <w:tcPr>
            <w:tcW w:w="263" w:type="pct"/>
            <w:tcBorders>
              <w:top w:val="single" w:sz="4" w:space="0" w:color="auto"/>
              <w:left w:val="single" w:sz="4" w:space="0" w:color="auto"/>
              <w:bottom w:val="single" w:sz="4" w:space="0" w:color="auto"/>
              <w:right w:val="single" w:sz="4" w:space="0" w:color="auto"/>
            </w:tcBorders>
            <w:vAlign w:val="center"/>
            <w:hideMark/>
          </w:tcPr>
          <w:p w14:paraId="7B5CC0AA" w14:textId="77777777" w:rsidR="008B6742" w:rsidRPr="00DC77E0" w:rsidRDefault="008B6742" w:rsidP="005A7661">
            <w:pPr>
              <w:spacing w:after="0"/>
              <w:jc w:val="center"/>
              <w:rPr>
                <w:rFonts w:ascii="Arial" w:hAnsi="Arial"/>
                <w:color w:val="000000"/>
                <w:sz w:val="18"/>
                <w:szCs w:val="18"/>
                <w:lang w:eastAsia="fr-FR"/>
              </w:rPr>
            </w:pPr>
            <w:r w:rsidRPr="00DC77E0">
              <w:rPr>
                <w:rFonts w:ascii="Arial" w:hAnsi="Arial"/>
                <w:color w:val="000000"/>
                <w:sz w:val="18"/>
                <w:szCs w:val="18"/>
                <w:lang w:eastAsia="fr-FR"/>
              </w:rPr>
              <w:t>-</w:t>
            </w:r>
          </w:p>
        </w:tc>
        <w:tc>
          <w:tcPr>
            <w:tcW w:w="262" w:type="pct"/>
            <w:tcBorders>
              <w:top w:val="single" w:sz="4" w:space="0" w:color="auto"/>
              <w:left w:val="single" w:sz="4" w:space="0" w:color="auto"/>
              <w:bottom w:val="single" w:sz="4" w:space="0" w:color="auto"/>
              <w:right w:val="single" w:sz="4" w:space="0" w:color="auto"/>
            </w:tcBorders>
            <w:vAlign w:val="center"/>
            <w:hideMark/>
          </w:tcPr>
          <w:p w14:paraId="30582F19" w14:textId="77777777" w:rsidR="008B6742" w:rsidRPr="00DC77E0" w:rsidRDefault="008B6742" w:rsidP="005A7661">
            <w:pPr>
              <w:spacing w:after="0"/>
              <w:jc w:val="center"/>
              <w:rPr>
                <w:rFonts w:ascii="Arial" w:hAnsi="Arial"/>
                <w:color w:val="000000"/>
                <w:sz w:val="18"/>
                <w:szCs w:val="18"/>
                <w:lang w:eastAsia="fr-FR"/>
              </w:rPr>
            </w:pPr>
            <w:r w:rsidRPr="00DC77E0">
              <w:rPr>
                <w:rFonts w:ascii="Arial" w:hAnsi="Arial"/>
                <w:color w:val="000000"/>
                <w:sz w:val="18"/>
                <w:szCs w:val="18"/>
                <w:lang w:eastAsia="fr-FR"/>
              </w:rPr>
              <w:t>-</w:t>
            </w:r>
          </w:p>
        </w:tc>
      </w:tr>
      <w:tr w:rsidR="008B6742" w:rsidRPr="00DC77E0" w14:paraId="6FE3C5C2" w14:textId="77777777" w:rsidTr="00C107CD">
        <w:trPr>
          <w:trHeight w:val="288"/>
        </w:trPr>
        <w:tc>
          <w:tcPr>
            <w:tcW w:w="836" w:type="pct"/>
            <w:tcBorders>
              <w:top w:val="single" w:sz="4" w:space="0" w:color="auto"/>
              <w:left w:val="single" w:sz="4" w:space="0" w:color="auto"/>
              <w:bottom w:val="single" w:sz="4" w:space="0" w:color="auto"/>
              <w:right w:val="single" w:sz="4" w:space="0" w:color="auto"/>
            </w:tcBorders>
            <w:noWrap/>
            <w:vAlign w:val="bottom"/>
            <w:hideMark/>
          </w:tcPr>
          <w:p w14:paraId="0492729F" w14:textId="77777777" w:rsidR="008B6742" w:rsidRPr="00DC77E0" w:rsidRDefault="008B6742" w:rsidP="005A7661">
            <w:pPr>
              <w:spacing w:after="0"/>
              <w:jc w:val="left"/>
              <w:rPr>
                <w:rFonts w:cs="Calibri"/>
                <w:color w:val="000000"/>
                <w:lang w:eastAsia="fr-FR"/>
              </w:rPr>
            </w:pPr>
            <w:r w:rsidRPr="00DC77E0">
              <w:rPr>
                <w:rFonts w:cs="Calibri"/>
                <w:color w:val="000000"/>
                <w:lang w:eastAsia="fr-FR"/>
              </w:rPr>
              <w:t xml:space="preserve">Pie-grièche à tête rousse </w:t>
            </w:r>
          </w:p>
        </w:tc>
        <w:tc>
          <w:tcPr>
            <w:tcW w:w="975" w:type="pct"/>
            <w:tcBorders>
              <w:top w:val="single" w:sz="4" w:space="0" w:color="auto"/>
              <w:left w:val="single" w:sz="4" w:space="0" w:color="auto"/>
              <w:bottom w:val="single" w:sz="4" w:space="0" w:color="auto"/>
              <w:right w:val="single" w:sz="4" w:space="0" w:color="auto"/>
            </w:tcBorders>
            <w:noWrap/>
            <w:vAlign w:val="bottom"/>
            <w:hideMark/>
          </w:tcPr>
          <w:p w14:paraId="0143F3CA" w14:textId="77777777" w:rsidR="008B6742" w:rsidRPr="00DC77E0" w:rsidRDefault="008B6742" w:rsidP="005A7661">
            <w:pPr>
              <w:spacing w:after="0"/>
              <w:jc w:val="left"/>
              <w:rPr>
                <w:rFonts w:cs="Calibri"/>
                <w:i/>
                <w:iCs/>
                <w:color w:val="000000"/>
                <w:lang w:eastAsia="fr-FR"/>
              </w:rPr>
            </w:pPr>
            <w:r w:rsidRPr="00DC77E0">
              <w:rPr>
                <w:rFonts w:cs="Calibri"/>
                <w:i/>
                <w:iCs/>
                <w:color w:val="000000"/>
                <w:lang w:eastAsia="fr-FR"/>
              </w:rPr>
              <w:t>Lanius senator</w:t>
            </w:r>
          </w:p>
        </w:tc>
        <w:tc>
          <w:tcPr>
            <w:tcW w:w="517" w:type="pct"/>
            <w:tcBorders>
              <w:top w:val="single" w:sz="4" w:space="0" w:color="auto"/>
              <w:left w:val="single" w:sz="4" w:space="0" w:color="auto"/>
              <w:bottom w:val="single" w:sz="4" w:space="0" w:color="auto"/>
              <w:right w:val="single" w:sz="4" w:space="0" w:color="auto"/>
            </w:tcBorders>
            <w:vAlign w:val="center"/>
          </w:tcPr>
          <w:p w14:paraId="26EC3E70" w14:textId="77777777" w:rsidR="008B6742" w:rsidRPr="00DC77E0" w:rsidRDefault="008B6742" w:rsidP="005A7661">
            <w:pPr>
              <w:spacing w:after="0"/>
              <w:jc w:val="center"/>
              <w:rPr>
                <w:rFonts w:ascii="Arial" w:hAnsi="Arial"/>
                <w:color w:val="000000"/>
                <w:sz w:val="18"/>
                <w:szCs w:val="18"/>
                <w:lang w:eastAsia="fr-FR"/>
              </w:rPr>
            </w:pPr>
            <w:r>
              <w:rPr>
                <w:rFonts w:ascii="Aptos Narrow" w:hAnsi="Aptos Narrow" w:cs="Times New Roman"/>
                <w:color w:val="000000"/>
                <w:lang w:eastAsia="fr-FR"/>
              </w:rPr>
              <w:t>ZER/ZEE</w:t>
            </w:r>
          </w:p>
        </w:tc>
        <w:tc>
          <w:tcPr>
            <w:tcW w:w="517" w:type="pct"/>
            <w:tcBorders>
              <w:top w:val="single" w:sz="4" w:space="0" w:color="auto"/>
              <w:left w:val="single" w:sz="4" w:space="0" w:color="auto"/>
              <w:bottom w:val="single" w:sz="4" w:space="0" w:color="auto"/>
              <w:right w:val="single" w:sz="4" w:space="0" w:color="auto"/>
            </w:tcBorders>
            <w:vAlign w:val="center"/>
            <w:hideMark/>
          </w:tcPr>
          <w:p w14:paraId="50240F0D" w14:textId="77777777" w:rsidR="008B6742" w:rsidRPr="00DC77E0" w:rsidRDefault="008B6742" w:rsidP="005A7661">
            <w:pPr>
              <w:spacing w:after="0"/>
              <w:jc w:val="center"/>
              <w:rPr>
                <w:rFonts w:ascii="Arial" w:hAnsi="Arial"/>
                <w:color w:val="000000"/>
                <w:sz w:val="18"/>
                <w:szCs w:val="18"/>
                <w:lang w:eastAsia="fr-FR"/>
              </w:rPr>
            </w:pPr>
            <w:r w:rsidRPr="00DC77E0">
              <w:rPr>
                <w:rFonts w:ascii="Arial" w:hAnsi="Arial"/>
                <w:color w:val="000000"/>
                <w:sz w:val="18"/>
                <w:szCs w:val="18"/>
                <w:lang w:eastAsia="fr-FR"/>
              </w:rPr>
              <w:t>MN, MP</w:t>
            </w:r>
          </w:p>
        </w:tc>
        <w:tc>
          <w:tcPr>
            <w:tcW w:w="434" w:type="pct"/>
            <w:tcBorders>
              <w:top w:val="single" w:sz="4" w:space="0" w:color="auto"/>
              <w:left w:val="single" w:sz="4" w:space="0" w:color="auto"/>
              <w:bottom w:val="single" w:sz="4" w:space="0" w:color="auto"/>
              <w:right w:val="single" w:sz="4" w:space="0" w:color="auto"/>
            </w:tcBorders>
            <w:vAlign w:val="center"/>
            <w:hideMark/>
          </w:tcPr>
          <w:p w14:paraId="12624C31" w14:textId="77777777" w:rsidR="008B6742" w:rsidRPr="00DC77E0" w:rsidRDefault="008B6742" w:rsidP="005A7661">
            <w:pPr>
              <w:spacing w:after="0"/>
              <w:jc w:val="center"/>
              <w:rPr>
                <w:rFonts w:ascii="Arial" w:hAnsi="Arial"/>
                <w:color w:val="000000"/>
                <w:sz w:val="18"/>
                <w:szCs w:val="18"/>
                <w:lang w:eastAsia="fr-FR"/>
              </w:rPr>
            </w:pPr>
            <w:r w:rsidRPr="00DC77E0">
              <w:rPr>
                <w:rFonts w:ascii="Arial" w:hAnsi="Arial"/>
                <w:color w:val="000000"/>
                <w:sz w:val="18"/>
                <w:szCs w:val="18"/>
                <w:lang w:eastAsia="fr-FR"/>
              </w:rPr>
              <w:t>-</w:t>
            </w:r>
          </w:p>
        </w:tc>
        <w:tc>
          <w:tcPr>
            <w:tcW w:w="345" w:type="pct"/>
            <w:tcBorders>
              <w:top w:val="single" w:sz="4" w:space="0" w:color="auto"/>
              <w:left w:val="single" w:sz="4" w:space="0" w:color="auto"/>
              <w:bottom w:val="single" w:sz="4" w:space="0" w:color="auto"/>
              <w:right w:val="single" w:sz="4" w:space="0" w:color="auto"/>
            </w:tcBorders>
            <w:vAlign w:val="center"/>
            <w:hideMark/>
          </w:tcPr>
          <w:p w14:paraId="6011A327" w14:textId="77777777" w:rsidR="008B6742" w:rsidRPr="00DC77E0" w:rsidRDefault="008B6742" w:rsidP="005A7661">
            <w:pPr>
              <w:spacing w:after="0"/>
              <w:jc w:val="center"/>
              <w:rPr>
                <w:rFonts w:ascii="Arial" w:hAnsi="Arial"/>
                <w:color w:val="000000"/>
                <w:sz w:val="18"/>
                <w:szCs w:val="18"/>
                <w:lang w:eastAsia="fr-FR"/>
              </w:rPr>
            </w:pPr>
            <w:r w:rsidRPr="00DC77E0">
              <w:rPr>
                <w:rFonts w:ascii="Arial" w:hAnsi="Arial"/>
                <w:color w:val="000000"/>
                <w:sz w:val="18"/>
                <w:szCs w:val="18"/>
                <w:lang w:eastAsia="fr-FR"/>
              </w:rPr>
              <w:t>-</w:t>
            </w:r>
          </w:p>
        </w:tc>
        <w:tc>
          <w:tcPr>
            <w:tcW w:w="326" w:type="pct"/>
            <w:tcBorders>
              <w:top w:val="single" w:sz="4" w:space="0" w:color="auto"/>
              <w:left w:val="single" w:sz="4" w:space="0" w:color="auto"/>
              <w:bottom w:val="single" w:sz="4" w:space="0" w:color="auto"/>
              <w:right w:val="single" w:sz="4" w:space="0" w:color="auto"/>
            </w:tcBorders>
            <w:shd w:val="clear" w:color="000000" w:fill="F8CBAD"/>
            <w:vAlign w:val="center"/>
            <w:hideMark/>
          </w:tcPr>
          <w:p w14:paraId="1FAD0794" w14:textId="77777777" w:rsidR="008B6742" w:rsidRPr="00DC77E0" w:rsidRDefault="008B6742" w:rsidP="005A7661">
            <w:pPr>
              <w:spacing w:after="0"/>
              <w:jc w:val="center"/>
              <w:rPr>
                <w:rFonts w:ascii="Arial" w:hAnsi="Arial"/>
                <w:color w:val="000000"/>
                <w:sz w:val="18"/>
                <w:szCs w:val="18"/>
                <w:lang w:eastAsia="fr-FR"/>
              </w:rPr>
            </w:pPr>
            <w:r w:rsidRPr="00DC77E0">
              <w:rPr>
                <w:rFonts w:ascii="Arial" w:hAnsi="Arial"/>
                <w:color w:val="000000"/>
                <w:sz w:val="18"/>
                <w:szCs w:val="18"/>
                <w:lang w:eastAsia="fr-FR"/>
              </w:rPr>
              <w:t>NT</w:t>
            </w:r>
          </w:p>
        </w:tc>
        <w:tc>
          <w:tcPr>
            <w:tcW w:w="263" w:type="pct"/>
            <w:tcBorders>
              <w:top w:val="single" w:sz="4" w:space="0" w:color="auto"/>
              <w:left w:val="single" w:sz="4" w:space="0" w:color="auto"/>
              <w:bottom w:val="single" w:sz="4" w:space="0" w:color="auto"/>
              <w:right w:val="single" w:sz="4" w:space="0" w:color="auto"/>
            </w:tcBorders>
            <w:vAlign w:val="center"/>
            <w:hideMark/>
          </w:tcPr>
          <w:p w14:paraId="4C088EA2" w14:textId="77777777" w:rsidR="008B6742" w:rsidRPr="00DC77E0" w:rsidRDefault="008B6742" w:rsidP="005A7661">
            <w:pPr>
              <w:spacing w:after="0"/>
              <w:jc w:val="center"/>
              <w:rPr>
                <w:rFonts w:ascii="Arial" w:hAnsi="Arial"/>
                <w:color w:val="000000"/>
                <w:sz w:val="18"/>
                <w:szCs w:val="18"/>
                <w:lang w:eastAsia="fr-FR"/>
              </w:rPr>
            </w:pPr>
            <w:r w:rsidRPr="00DC77E0">
              <w:rPr>
                <w:rFonts w:ascii="Arial" w:hAnsi="Arial"/>
                <w:color w:val="000000"/>
                <w:sz w:val="18"/>
                <w:szCs w:val="18"/>
                <w:lang w:eastAsia="fr-FR"/>
              </w:rPr>
              <w:t>-</w:t>
            </w:r>
          </w:p>
        </w:tc>
        <w:tc>
          <w:tcPr>
            <w:tcW w:w="263" w:type="pct"/>
            <w:tcBorders>
              <w:top w:val="single" w:sz="4" w:space="0" w:color="auto"/>
              <w:left w:val="single" w:sz="4" w:space="0" w:color="auto"/>
              <w:bottom w:val="single" w:sz="4" w:space="0" w:color="auto"/>
              <w:right w:val="single" w:sz="4" w:space="0" w:color="auto"/>
            </w:tcBorders>
            <w:vAlign w:val="center"/>
            <w:hideMark/>
          </w:tcPr>
          <w:p w14:paraId="7F54BCD5" w14:textId="77777777" w:rsidR="008B6742" w:rsidRPr="00DC77E0" w:rsidRDefault="008B6742" w:rsidP="005A7661">
            <w:pPr>
              <w:spacing w:after="0"/>
              <w:jc w:val="center"/>
              <w:rPr>
                <w:rFonts w:ascii="Arial" w:hAnsi="Arial"/>
                <w:color w:val="000000"/>
                <w:sz w:val="18"/>
                <w:szCs w:val="18"/>
                <w:lang w:eastAsia="fr-FR"/>
              </w:rPr>
            </w:pPr>
            <w:r w:rsidRPr="00DC77E0">
              <w:rPr>
                <w:rFonts w:ascii="Arial" w:hAnsi="Arial"/>
                <w:color w:val="000000"/>
                <w:sz w:val="18"/>
                <w:szCs w:val="18"/>
                <w:lang w:eastAsia="fr-FR"/>
              </w:rPr>
              <w:t>-</w:t>
            </w:r>
          </w:p>
        </w:tc>
        <w:tc>
          <w:tcPr>
            <w:tcW w:w="263" w:type="pct"/>
            <w:tcBorders>
              <w:top w:val="single" w:sz="4" w:space="0" w:color="auto"/>
              <w:left w:val="single" w:sz="4" w:space="0" w:color="auto"/>
              <w:bottom w:val="single" w:sz="4" w:space="0" w:color="auto"/>
              <w:right w:val="single" w:sz="4" w:space="0" w:color="auto"/>
            </w:tcBorders>
            <w:vAlign w:val="center"/>
            <w:hideMark/>
          </w:tcPr>
          <w:p w14:paraId="70DD2B5E" w14:textId="77777777" w:rsidR="008B6742" w:rsidRPr="00DC77E0" w:rsidRDefault="008B6742" w:rsidP="005A7661">
            <w:pPr>
              <w:spacing w:after="0"/>
              <w:jc w:val="center"/>
              <w:rPr>
                <w:rFonts w:ascii="Arial" w:hAnsi="Arial"/>
                <w:color w:val="000000"/>
                <w:sz w:val="18"/>
                <w:szCs w:val="18"/>
                <w:lang w:eastAsia="fr-FR"/>
              </w:rPr>
            </w:pPr>
            <w:r w:rsidRPr="00DC77E0">
              <w:rPr>
                <w:rFonts w:ascii="Arial" w:hAnsi="Arial"/>
                <w:color w:val="000000"/>
                <w:sz w:val="18"/>
                <w:szCs w:val="18"/>
                <w:lang w:eastAsia="fr-FR"/>
              </w:rPr>
              <w:t>An. II</w:t>
            </w:r>
          </w:p>
        </w:tc>
        <w:tc>
          <w:tcPr>
            <w:tcW w:w="262" w:type="pct"/>
            <w:tcBorders>
              <w:top w:val="single" w:sz="4" w:space="0" w:color="auto"/>
              <w:left w:val="single" w:sz="4" w:space="0" w:color="auto"/>
              <w:bottom w:val="single" w:sz="4" w:space="0" w:color="auto"/>
              <w:right w:val="single" w:sz="4" w:space="0" w:color="auto"/>
            </w:tcBorders>
            <w:vAlign w:val="center"/>
            <w:hideMark/>
          </w:tcPr>
          <w:p w14:paraId="6FD595E1" w14:textId="77777777" w:rsidR="008B6742" w:rsidRPr="00DC77E0" w:rsidRDefault="008B6742" w:rsidP="005A7661">
            <w:pPr>
              <w:spacing w:after="0"/>
              <w:jc w:val="center"/>
              <w:rPr>
                <w:rFonts w:ascii="Arial" w:hAnsi="Arial"/>
                <w:color w:val="000000"/>
                <w:sz w:val="18"/>
                <w:szCs w:val="18"/>
                <w:lang w:eastAsia="fr-FR"/>
              </w:rPr>
            </w:pPr>
            <w:r w:rsidRPr="00DC77E0">
              <w:rPr>
                <w:rFonts w:ascii="Arial" w:hAnsi="Arial"/>
                <w:color w:val="000000"/>
                <w:sz w:val="18"/>
                <w:szCs w:val="18"/>
                <w:lang w:eastAsia="fr-FR"/>
              </w:rPr>
              <w:t>-</w:t>
            </w:r>
          </w:p>
        </w:tc>
      </w:tr>
      <w:tr w:rsidR="008B6742" w:rsidRPr="00DC77E0" w14:paraId="08203F06" w14:textId="77777777" w:rsidTr="00C107CD">
        <w:trPr>
          <w:trHeight w:val="288"/>
        </w:trPr>
        <w:tc>
          <w:tcPr>
            <w:tcW w:w="836" w:type="pct"/>
            <w:tcBorders>
              <w:top w:val="single" w:sz="4" w:space="0" w:color="auto"/>
              <w:left w:val="single" w:sz="4" w:space="0" w:color="auto"/>
              <w:bottom w:val="single" w:sz="4" w:space="0" w:color="auto"/>
              <w:right w:val="single" w:sz="4" w:space="0" w:color="auto"/>
            </w:tcBorders>
            <w:noWrap/>
            <w:vAlign w:val="bottom"/>
            <w:hideMark/>
          </w:tcPr>
          <w:p w14:paraId="10268869" w14:textId="77777777" w:rsidR="008B6742" w:rsidRPr="00DC77E0" w:rsidRDefault="008B6742" w:rsidP="005A7661">
            <w:pPr>
              <w:spacing w:after="0"/>
              <w:jc w:val="left"/>
              <w:rPr>
                <w:rFonts w:cs="Calibri"/>
                <w:color w:val="000000"/>
                <w:lang w:eastAsia="fr-FR"/>
              </w:rPr>
            </w:pPr>
            <w:r w:rsidRPr="00DC77E0">
              <w:rPr>
                <w:rFonts w:cs="Calibri"/>
                <w:color w:val="000000"/>
                <w:lang w:eastAsia="fr-FR"/>
              </w:rPr>
              <w:t>Pie-grièche méridionale</w:t>
            </w:r>
          </w:p>
        </w:tc>
        <w:tc>
          <w:tcPr>
            <w:tcW w:w="975" w:type="pct"/>
            <w:tcBorders>
              <w:top w:val="single" w:sz="4" w:space="0" w:color="auto"/>
              <w:left w:val="single" w:sz="4" w:space="0" w:color="auto"/>
              <w:bottom w:val="single" w:sz="4" w:space="0" w:color="auto"/>
              <w:right w:val="single" w:sz="4" w:space="0" w:color="auto"/>
            </w:tcBorders>
            <w:noWrap/>
            <w:vAlign w:val="bottom"/>
            <w:hideMark/>
          </w:tcPr>
          <w:p w14:paraId="314BCB09" w14:textId="77777777" w:rsidR="008B6742" w:rsidRPr="00DC77E0" w:rsidRDefault="008B6742" w:rsidP="005A7661">
            <w:pPr>
              <w:spacing w:after="0"/>
              <w:jc w:val="left"/>
              <w:rPr>
                <w:rFonts w:cs="Calibri"/>
                <w:i/>
                <w:iCs/>
                <w:color w:val="000000"/>
                <w:lang w:eastAsia="fr-FR"/>
              </w:rPr>
            </w:pPr>
            <w:r w:rsidRPr="00DC77E0">
              <w:rPr>
                <w:rFonts w:cs="Calibri"/>
                <w:i/>
                <w:iCs/>
                <w:color w:val="000000"/>
                <w:lang w:eastAsia="fr-FR"/>
              </w:rPr>
              <w:t>Lanius meridionalis</w:t>
            </w:r>
          </w:p>
        </w:tc>
        <w:tc>
          <w:tcPr>
            <w:tcW w:w="517" w:type="pct"/>
            <w:tcBorders>
              <w:top w:val="single" w:sz="4" w:space="0" w:color="auto"/>
              <w:left w:val="single" w:sz="4" w:space="0" w:color="auto"/>
              <w:bottom w:val="single" w:sz="4" w:space="0" w:color="auto"/>
              <w:right w:val="single" w:sz="4" w:space="0" w:color="auto"/>
            </w:tcBorders>
            <w:vAlign w:val="center"/>
          </w:tcPr>
          <w:p w14:paraId="43B8D629" w14:textId="77777777" w:rsidR="008B6742" w:rsidRPr="00DC77E0" w:rsidRDefault="008B6742" w:rsidP="005A7661">
            <w:pPr>
              <w:spacing w:after="0"/>
              <w:jc w:val="center"/>
              <w:rPr>
                <w:rFonts w:ascii="Arial" w:hAnsi="Arial"/>
                <w:color w:val="000000"/>
                <w:sz w:val="18"/>
                <w:szCs w:val="18"/>
                <w:lang w:eastAsia="fr-FR"/>
              </w:rPr>
            </w:pPr>
            <w:r w:rsidRPr="00424FDB">
              <w:rPr>
                <w:rFonts w:ascii="Aptos Narrow" w:hAnsi="Aptos Narrow" w:cs="Times New Roman"/>
                <w:color w:val="000000"/>
                <w:lang w:eastAsia="fr-FR"/>
              </w:rPr>
              <w:t xml:space="preserve">ZA / </w:t>
            </w:r>
            <w:r>
              <w:rPr>
                <w:rFonts w:ascii="Aptos Narrow" w:hAnsi="Aptos Narrow" w:cs="Times New Roman"/>
                <w:color w:val="000000"/>
                <w:lang w:eastAsia="fr-FR"/>
              </w:rPr>
              <w:t>ZER/ZEE</w:t>
            </w:r>
          </w:p>
        </w:tc>
        <w:tc>
          <w:tcPr>
            <w:tcW w:w="517" w:type="pct"/>
            <w:tcBorders>
              <w:top w:val="single" w:sz="4" w:space="0" w:color="auto"/>
              <w:left w:val="single" w:sz="4" w:space="0" w:color="auto"/>
              <w:bottom w:val="single" w:sz="4" w:space="0" w:color="auto"/>
              <w:right w:val="single" w:sz="4" w:space="0" w:color="auto"/>
            </w:tcBorders>
            <w:vAlign w:val="center"/>
            <w:hideMark/>
          </w:tcPr>
          <w:p w14:paraId="24FCBE16" w14:textId="77777777" w:rsidR="008B6742" w:rsidRPr="00DC77E0" w:rsidRDefault="008B6742" w:rsidP="005A7661">
            <w:pPr>
              <w:spacing w:after="0"/>
              <w:jc w:val="center"/>
              <w:rPr>
                <w:rFonts w:ascii="Arial" w:hAnsi="Arial"/>
                <w:color w:val="000000"/>
                <w:sz w:val="18"/>
                <w:szCs w:val="18"/>
                <w:lang w:eastAsia="fr-FR"/>
              </w:rPr>
            </w:pPr>
            <w:r w:rsidRPr="00DC77E0">
              <w:rPr>
                <w:rFonts w:ascii="Arial" w:hAnsi="Arial"/>
                <w:color w:val="000000"/>
                <w:sz w:val="18"/>
                <w:szCs w:val="18"/>
                <w:lang w:eastAsia="fr-FR"/>
              </w:rPr>
              <w:t>NS</w:t>
            </w:r>
          </w:p>
        </w:tc>
        <w:tc>
          <w:tcPr>
            <w:tcW w:w="434" w:type="pct"/>
            <w:tcBorders>
              <w:top w:val="single" w:sz="4" w:space="0" w:color="auto"/>
              <w:left w:val="single" w:sz="4" w:space="0" w:color="auto"/>
              <w:bottom w:val="single" w:sz="4" w:space="0" w:color="auto"/>
              <w:right w:val="single" w:sz="4" w:space="0" w:color="auto"/>
            </w:tcBorders>
            <w:vAlign w:val="center"/>
            <w:hideMark/>
          </w:tcPr>
          <w:p w14:paraId="0F1507A5" w14:textId="77777777" w:rsidR="008B6742" w:rsidRPr="00DC77E0" w:rsidRDefault="008B6742" w:rsidP="005A7661">
            <w:pPr>
              <w:spacing w:after="0"/>
              <w:jc w:val="center"/>
              <w:rPr>
                <w:rFonts w:ascii="Arial" w:hAnsi="Arial"/>
                <w:color w:val="000000"/>
                <w:sz w:val="18"/>
                <w:szCs w:val="18"/>
                <w:lang w:eastAsia="fr-FR"/>
              </w:rPr>
            </w:pPr>
            <w:r w:rsidRPr="00DC77E0">
              <w:rPr>
                <w:rFonts w:ascii="Arial" w:hAnsi="Arial"/>
                <w:color w:val="000000"/>
                <w:sz w:val="18"/>
                <w:szCs w:val="18"/>
                <w:lang w:eastAsia="fr-FR"/>
              </w:rPr>
              <w:t>-</w:t>
            </w:r>
          </w:p>
        </w:tc>
        <w:tc>
          <w:tcPr>
            <w:tcW w:w="345" w:type="pct"/>
            <w:tcBorders>
              <w:top w:val="single" w:sz="4" w:space="0" w:color="auto"/>
              <w:left w:val="single" w:sz="4" w:space="0" w:color="auto"/>
              <w:bottom w:val="single" w:sz="4" w:space="0" w:color="auto"/>
              <w:right w:val="single" w:sz="4" w:space="0" w:color="auto"/>
            </w:tcBorders>
            <w:vAlign w:val="center"/>
            <w:hideMark/>
          </w:tcPr>
          <w:p w14:paraId="34D2FA84" w14:textId="77777777" w:rsidR="008B6742" w:rsidRPr="00DC77E0" w:rsidRDefault="008B6742" w:rsidP="005A7661">
            <w:pPr>
              <w:spacing w:after="0"/>
              <w:jc w:val="center"/>
              <w:rPr>
                <w:rFonts w:ascii="Arial" w:hAnsi="Arial"/>
                <w:color w:val="000000"/>
                <w:sz w:val="18"/>
                <w:szCs w:val="18"/>
                <w:lang w:eastAsia="fr-FR"/>
              </w:rPr>
            </w:pPr>
            <w:r w:rsidRPr="00DC77E0">
              <w:rPr>
                <w:rFonts w:ascii="Arial" w:hAnsi="Arial"/>
                <w:color w:val="000000"/>
                <w:sz w:val="18"/>
                <w:szCs w:val="18"/>
                <w:lang w:eastAsia="fr-FR"/>
              </w:rPr>
              <w:t>-</w:t>
            </w:r>
          </w:p>
        </w:tc>
        <w:tc>
          <w:tcPr>
            <w:tcW w:w="326" w:type="pct"/>
            <w:tcBorders>
              <w:top w:val="single" w:sz="4" w:space="0" w:color="auto"/>
              <w:left w:val="single" w:sz="4" w:space="0" w:color="auto"/>
              <w:bottom w:val="single" w:sz="4" w:space="0" w:color="auto"/>
              <w:right w:val="single" w:sz="4" w:space="0" w:color="auto"/>
            </w:tcBorders>
            <w:shd w:val="clear" w:color="000000" w:fill="F4B084"/>
            <w:vAlign w:val="center"/>
            <w:hideMark/>
          </w:tcPr>
          <w:p w14:paraId="1CE16EED" w14:textId="77777777" w:rsidR="008B6742" w:rsidRPr="00DC77E0" w:rsidRDefault="008B6742" w:rsidP="005A7661">
            <w:pPr>
              <w:spacing w:after="0"/>
              <w:jc w:val="center"/>
              <w:rPr>
                <w:rFonts w:ascii="Arial" w:hAnsi="Arial"/>
                <w:color w:val="000000"/>
                <w:sz w:val="18"/>
                <w:szCs w:val="18"/>
                <w:lang w:eastAsia="fr-FR"/>
              </w:rPr>
            </w:pPr>
            <w:r w:rsidRPr="00DC77E0">
              <w:rPr>
                <w:rFonts w:ascii="Arial" w:hAnsi="Arial"/>
                <w:color w:val="000000"/>
                <w:sz w:val="18"/>
                <w:szCs w:val="18"/>
                <w:lang w:eastAsia="fr-FR"/>
              </w:rPr>
              <w:t>VU</w:t>
            </w:r>
          </w:p>
        </w:tc>
        <w:tc>
          <w:tcPr>
            <w:tcW w:w="263" w:type="pct"/>
            <w:tcBorders>
              <w:top w:val="single" w:sz="4" w:space="0" w:color="auto"/>
              <w:left w:val="single" w:sz="4" w:space="0" w:color="auto"/>
              <w:bottom w:val="single" w:sz="4" w:space="0" w:color="auto"/>
              <w:right w:val="single" w:sz="4" w:space="0" w:color="auto"/>
            </w:tcBorders>
            <w:vAlign w:val="center"/>
            <w:hideMark/>
          </w:tcPr>
          <w:p w14:paraId="0F692CD4" w14:textId="77777777" w:rsidR="008B6742" w:rsidRPr="00DC77E0" w:rsidRDefault="008B6742" w:rsidP="005A7661">
            <w:pPr>
              <w:spacing w:after="0"/>
              <w:jc w:val="center"/>
              <w:rPr>
                <w:rFonts w:ascii="Arial" w:hAnsi="Arial"/>
                <w:color w:val="000000"/>
                <w:sz w:val="18"/>
                <w:szCs w:val="18"/>
                <w:lang w:eastAsia="fr-FR"/>
              </w:rPr>
            </w:pPr>
            <w:r w:rsidRPr="00DC77E0">
              <w:rPr>
                <w:rFonts w:ascii="Arial" w:hAnsi="Arial"/>
                <w:color w:val="000000"/>
                <w:sz w:val="18"/>
                <w:szCs w:val="18"/>
                <w:lang w:eastAsia="fr-FR"/>
              </w:rPr>
              <w:t>-</w:t>
            </w:r>
          </w:p>
        </w:tc>
        <w:tc>
          <w:tcPr>
            <w:tcW w:w="263" w:type="pct"/>
            <w:tcBorders>
              <w:top w:val="single" w:sz="4" w:space="0" w:color="auto"/>
              <w:left w:val="single" w:sz="4" w:space="0" w:color="auto"/>
              <w:bottom w:val="single" w:sz="4" w:space="0" w:color="auto"/>
              <w:right w:val="single" w:sz="4" w:space="0" w:color="auto"/>
            </w:tcBorders>
            <w:vAlign w:val="center"/>
            <w:hideMark/>
          </w:tcPr>
          <w:p w14:paraId="50E9735E" w14:textId="77777777" w:rsidR="008B6742" w:rsidRPr="00DC77E0" w:rsidRDefault="008B6742" w:rsidP="005A7661">
            <w:pPr>
              <w:spacing w:after="0"/>
              <w:jc w:val="center"/>
              <w:rPr>
                <w:rFonts w:ascii="Arial" w:hAnsi="Arial"/>
                <w:color w:val="000000"/>
                <w:sz w:val="18"/>
                <w:szCs w:val="18"/>
                <w:lang w:eastAsia="fr-FR"/>
              </w:rPr>
            </w:pPr>
            <w:r w:rsidRPr="00DC77E0">
              <w:rPr>
                <w:rFonts w:ascii="Arial" w:hAnsi="Arial"/>
                <w:color w:val="000000"/>
                <w:sz w:val="18"/>
                <w:szCs w:val="18"/>
                <w:lang w:eastAsia="fr-FR"/>
              </w:rPr>
              <w:t>-</w:t>
            </w:r>
          </w:p>
        </w:tc>
        <w:tc>
          <w:tcPr>
            <w:tcW w:w="263" w:type="pct"/>
            <w:tcBorders>
              <w:top w:val="single" w:sz="4" w:space="0" w:color="auto"/>
              <w:left w:val="single" w:sz="4" w:space="0" w:color="auto"/>
              <w:bottom w:val="single" w:sz="4" w:space="0" w:color="auto"/>
              <w:right w:val="single" w:sz="4" w:space="0" w:color="auto"/>
            </w:tcBorders>
            <w:vAlign w:val="center"/>
            <w:hideMark/>
          </w:tcPr>
          <w:p w14:paraId="26FBB963" w14:textId="77777777" w:rsidR="008B6742" w:rsidRPr="00DC77E0" w:rsidRDefault="008B6742" w:rsidP="005A7661">
            <w:pPr>
              <w:spacing w:after="0"/>
              <w:jc w:val="center"/>
              <w:rPr>
                <w:rFonts w:ascii="Arial" w:hAnsi="Arial"/>
                <w:color w:val="000000"/>
                <w:sz w:val="18"/>
                <w:szCs w:val="18"/>
                <w:lang w:eastAsia="fr-FR"/>
              </w:rPr>
            </w:pPr>
            <w:r w:rsidRPr="00DC77E0">
              <w:rPr>
                <w:rFonts w:ascii="Arial" w:hAnsi="Arial"/>
                <w:color w:val="000000"/>
                <w:sz w:val="18"/>
                <w:szCs w:val="18"/>
                <w:lang w:eastAsia="fr-FR"/>
              </w:rPr>
              <w:t>An. II</w:t>
            </w:r>
          </w:p>
        </w:tc>
        <w:tc>
          <w:tcPr>
            <w:tcW w:w="262" w:type="pct"/>
            <w:tcBorders>
              <w:top w:val="single" w:sz="4" w:space="0" w:color="auto"/>
              <w:left w:val="single" w:sz="4" w:space="0" w:color="auto"/>
              <w:bottom w:val="single" w:sz="4" w:space="0" w:color="auto"/>
              <w:right w:val="single" w:sz="4" w:space="0" w:color="auto"/>
            </w:tcBorders>
            <w:vAlign w:val="center"/>
            <w:hideMark/>
          </w:tcPr>
          <w:p w14:paraId="2203D572" w14:textId="77777777" w:rsidR="008B6742" w:rsidRPr="00DC77E0" w:rsidRDefault="008B6742" w:rsidP="005A7661">
            <w:pPr>
              <w:spacing w:after="0"/>
              <w:jc w:val="center"/>
              <w:rPr>
                <w:rFonts w:ascii="Arial" w:hAnsi="Arial"/>
                <w:color w:val="000000"/>
                <w:sz w:val="18"/>
                <w:szCs w:val="18"/>
                <w:lang w:eastAsia="fr-FR"/>
              </w:rPr>
            </w:pPr>
            <w:r w:rsidRPr="00DC77E0">
              <w:rPr>
                <w:rFonts w:ascii="Arial" w:hAnsi="Arial"/>
                <w:color w:val="000000"/>
                <w:sz w:val="18"/>
                <w:szCs w:val="18"/>
                <w:lang w:eastAsia="fr-FR"/>
              </w:rPr>
              <w:t>-</w:t>
            </w:r>
          </w:p>
        </w:tc>
      </w:tr>
      <w:tr w:rsidR="00C107CD" w:rsidRPr="00DC77E0" w14:paraId="4F8C5324" w14:textId="77777777" w:rsidTr="00C107CD">
        <w:trPr>
          <w:trHeight w:val="288"/>
        </w:trPr>
        <w:tc>
          <w:tcPr>
            <w:tcW w:w="836" w:type="pct"/>
            <w:tcBorders>
              <w:top w:val="single" w:sz="4" w:space="0" w:color="auto"/>
              <w:left w:val="single" w:sz="4" w:space="0" w:color="auto"/>
              <w:bottom w:val="single" w:sz="4" w:space="0" w:color="auto"/>
              <w:right w:val="single" w:sz="4" w:space="0" w:color="auto"/>
            </w:tcBorders>
            <w:noWrap/>
            <w:vAlign w:val="bottom"/>
            <w:hideMark/>
          </w:tcPr>
          <w:p w14:paraId="581E7D07" w14:textId="77777777" w:rsidR="008B6742" w:rsidRPr="00DC77E0" w:rsidRDefault="008B6742" w:rsidP="005A7661">
            <w:pPr>
              <w:spacing w:after="0"/>
              <w:jc w:val="left"/>
              <w:rPr>
                <w:rFonts w:cs="Calibri"/>
                <w:color w:val="000000"/>
                <w:lang w:eastAsia="fr-FR"/>
              </w:rPr>
            </w:pPr>
            <w:r w:rsidRPr="00DC77E0">
              <w:rPr>
                <w:rFonts w:cs="Calibri"/>
                <w:color w:val="000000"/>
                <w:lang w:eastAsia="fr-FR"/>
              </w:rPr>
              <w:t>Pigeon biset</w:t>
            </w:r>
          </w:p>
        </w:tc>
        <w:tc>
          <w:tcPr>
            <w:tcW w:w="975" w:type="pct"/>
            <w:tcBorders>
              <w:top w:val="single" w:sz="4" w:space="0" w:color="auto"/>
              <w:left w:val="single" w:sz="4" w:space="0" w:color="auto"/>
              <w:bottom w:val="single" w:sz="4" w:space="0" w:color="auto"/>
              <w:right w:val="single" w:sz="4" w:space="0" w:color="auto"/>
            </w:tcBorders>
            <w:noWrap/>
            <w:vAlign w:val="bottom"/>
            <w:hideMark/>
          </w:tcPr>
          <w:p w14:paraId="24AF6A0F" w14:textId="77777777" w:rsidR="008B6742" w:rsidRPr="00DC77E0" w:rsidRDefault="008B6742" w:rsidP="005A7661">
            <w:pPr>
              <w:spacing w:after="0"/>
              <w:jc w:val="left"/>
              <w:rPr>
                <w:rFonts w:cs="Calibri"/>
                <w:i/>
                <w:iCs/>
                <w:color w:val="000000"/>
                <w:lang w:eastAsia="fr-FR"/>
              </w:rPr>
            </w:pPr>
            <w:r w:rsidRPr="00DC77E0">
              <w:rPr>
                <w:rFonts w:cs="Calibri"/>
                <w:i/>
                <w:iCs/>
                <w:color w:val="000000"/>
                <w:lang w:eastAsia="fr-FR"/>
              </w:rPr>
              <w:t>Streptopelia livia</w:t>
            </w:r>
          </w:p>
        </w:tc>
        <w:tc>
          <w:tcPr>
            <w:tcW w:w="517" w:type="pct"/>
            <w:tcBorders>
              <w:top w:val="single" w:sz="4" w:space="0" w:color="auto"/>
              <w:left w:val="single" w:sz="4" w:space="0" w:color="auto"/>
              <w:bottom w:val="single" w:sz="4" w:space="0" w:color="auto"/>
              <w:right w:val="single" w:sz="4" w:space="0" w:color="auto"/>
            </w:tcBorders>
            <w:vAlign w:val="center"/>
          </w:tcPr>
          <w:p w14:paraId="7884863B" w14:textId="77777777" w:rsidR="008B6742" w:rsidRPr="00DC77E0" w:rsidRDefault="008B6742" w:rsidP="005A7661">
            <w:pPr>
              <w:spacing w:after="0"/>
              <w:jc w:val="center"/>
              <w:rPr>
                <w:rFonts w:ascii="Arial" w:hAnsi="Arial"/>
                <w:color w:val="000000"/>
                <w:sz w:val="18"/>
                <w:szCs w:val="18"/>
                <w:lang w:eastAsia="fr-FR"/>
              </w:rPr>
            </w:pPr>
            <w:r w:rsidRPr="00424FDB">
              <w:rPr>
                <w:rFonts w:ascii="Aptos Narrow" w:hAnsi="Aptos Narrow" w:cs="Times New Roman"/>
                <w:color w:val="000000"/>
                <w:lang w:eastAsia="fr-FR"/>
              </w:rPr>
              <w:t>ZA</w:t>
            </w:r>
          </w:p>
        </w:tc>
        <w:tc>
          <w:tcPr>
            <w:tcW w:w="517" w:type="pct"/>
            <w:tcBorders>
              <w:top w:val="single" w:sz="4" w:space="0" w:color="auto"/>
              <w:left w:val="single" w:sz="4" w:space="0" w:color="auto"/>
              <w:bottom w:val="single" w:sz="4" w:space="0" w:color="auto"/>
              <w:right w:val="single" w:sz="4" w:space="0" w:color="auto"/>
            </w:tcBorders>
            <w:vAlign w:val="center"/>
            <w:hideMark/>
          </w:tcPr>
          <w:p w14:paraId="0F1E7BE6" w14:textId="77777777" w:rsidR="008B6742" w:rsidRPr="00DC77E0" w:rsidRDefault="008B6742" w:rsidP="005A7661">
            <w:pPr>
              <w:spacing w:after="0"/>
              <w:jc w:val="center"/>
              <w:rPr>
                <w:rFonts w:ascii="Arial" w:hAnsi="Arial"/>
                <w:color w:val="000000"/>
                <w:sz w:val="18"/>
                <w:szCs w:val="18"/>
                <w:lang w:eastAsia="fr-FR"/>
              </w:rPr>
            </w:pPr>
            <w:r w:rsidRPr="00DC77E0">
              <w:rPr>
                <w:rFonts w:ascii="Arial" w:hAnsi="Arial"/>
                <w:color w:val="000000"/>
                <w:sz w:val="18"/>
                <w:szCs w:val="18"/>
                <w:lang w:eastAsia="fr-FR"/>
              </w:rPr>
              <w:t>NS</w:t>
            </w:r>
          </w:p>
        </w:tc>
        <w:tc>
          <w:tcPr>
            <w:tcW w:w="434" w:type="pct"/>
            <w:tcBorders>
              <w:top w:val="single" w:sz="4" w:space="0" w:color="auto"/>
              <w:left w:val="single" w:sz="4" w:space="0" w:color="auto"/>
              <w:bottom w:val="single" w:sz="4" w:space="0" w:color="auto"/>
              <w:right w:val="single" w:sz="4" w:space="0" w:color="auto"/>
            </w:tcBorders>
            <w:vAlign w:val="center"/>
            <w:hideMark/>
          </w:tcPr>
          <w:p w14:paraId="1F83E0C7" w14:textId="77777777" w:rsidR="008B6742" w:rsidRPr="00DC77E0" w:rsidRDefault="008B6742" w:rsidP="005A7661">
            <w:pPr>
              <w:spacing w:after="0"/>
              <w:jc w:val="center"/>
              <w:rPr>
                <w:rFonts w:ascii="Arial" w:hAnsi="Arial"/>
                <w:color w:val="000000"/>
                <w:sz w:val="18"/>
                <w:szCs w:val="18"/>
                <w:lang w:eastAsia="fr-FR"/>
              </w:rPr>
            </w:pPr>
            <w:r w:rsidRPr="00DC77E0">
              <w:rPr>
                <w:rFonts w:ascii="Arial" w:hAnsi="Arial"/>
                <w:color w:val="000000"/>
                <w:sz w:val="18"/>
                <w:szCs w:val="18"/>
                <w:lang w:eastAsia="fr-FR"/>
              </w:rPr>
              <w:t>-</w:t>
            </w:r>
          </w:p>
        </w:tc>
        <w:tc>
          <w:tcPr>
            <w:tcW w:w="345" w:type="pct"/>
            <w:tcBorders>
              <w:top w:val="single" w:sz="4" w:space="0" w:color="auto"/>
              <w:left w:val="single" w:sz="4" w:space="0" w:color="auto"/>
              <w:bottom w:val="single" w:sz="4" w:space="0" w:color="auto"/>
              <w:right w:val="single" w:sz="4" w:space="0" w:color="auto"/>
            </w:tcBorders>
            <w:vAlign w:val="center"/>
            <w:hideMark/>
          </w:tcPr>
          <w:p w14:paraId="2152EAF1" w14:textId="77777777" w:rsidR="008B6742" w:rsidRPr="00DC77E0" w:rsidRDefault="008B6742" w:rsidP="005A7661">
            <w:pPr>
              <w:spacing w:after="0"/>
              <w:jc w:val="center"/>
              <w:rPr>
                <w:rFonts w:ascii="Arial" w:hAnsi="Arial"/>
                <w:color w:val="000000"/>
                <w:sz w:val="18"/>
                <w:szCs w:val="18"/>
                <w:lang w:eastAsia="fr-FR"/>
              </w:rPr>
            </w:pPr>
            <w:r w:rsidRPr="00DC77E0">
              <w:rPr>
                <w:rFonts w:ascii="Arial" w:hAnsi="Arial"/>
                <w:color w:val="000000"/>
                <w:sz w:val="18"/>
                <w:szCs w:val="18"/>
                <w:lang w:eastAsia="fr-FR"/>
              </w:rPr>
              <w:t>-</w:t>
            </w:r>
          </w:p>
        </w:tc>
        <w:tc>
          <w:tcPr>
            <w:tcW w:w="326" w:type="pct"/>
            <w:tcBorders>
              <w:top w:val="single" w:sz="4" w:space="0" w:color="auto"/>
              <w:left w:val="single" w:sz="4" w:space="0" w:color="auto"/>
              <w:bottom w:val="single" w:sz="4" w:space="0" w:color="auto"/>
              <w:right w:val="single" w:sz="4" w:space="0" w:color="auto"/>
            </w:tcBorders>
            <w:vAlign w:val="center"/>
            <w:hideMark/>
          </w:tcPr>
          <w:p w14:paraId="050BDF52" w14:textId="77777777" w:rsidR="008B6742" w:rsidRPr="00DC77E0" w:rsidRDefault="008B6742" w:rsidP="005A7661">
            <w:pPr>
              <w:spacing w:after="0"/>
              <w:jc w:val="center"/>
              <w:rPr>
                <w:rFonts w:ascii="Arial" w:hAnsi="Arial"/>
                <w:color w:val="000000"/>
                <w:sz w:val="18"/>
                <w:szCs w:val="18"/>
                <w:lang w:eastAsia="fr-FR"/>
              </w:rPr>
            </w:pPr>
            <w:r w:rsidRPr="00DC77E0">
              <w:rPr>
                <w:rFonts w:ascii="Arial" w:hAnsi="Arial"/>
                <w:color w:val="000000"/>
                <w:sz w:val="18"/>
                <w:szCs w:val="18"/>
                <w:lang w:eastAsia="fr-FR"/>
              </w:rPr>
              <w:t>LC</w:t>
            </w:r>
          </w:p>
        </w:tc>
        <w:tc>
          <w:tcPr>
            <w:tcW w:w="263" w:type="pct"/>
            <w:tcBorders>
              <w:top w:val="single" w:sz="4" w:space="0" w:color="auto"/>
              <w:left w:val="single" w:sz="4" w:space="0" w:color="auto"/>
              <w:bottom w:val="single" w:sz="4" w:space="0" w:color="auto"/>
              <w:right w:val="single" w:sz="4" w:space="0" w:color="auto"/>
            </w:tcBorders>
            <w:vAlign w:val="center"/>
            <w:hideMark/>
          </w:tcPr>
          <w:p w14:paraId="3382F002" w14:textId="77777777" w:rsidR="008B6742" w:rsidRPr="00DC77E0" w:rsidRDefault="008B6742" w:rsidP="005A7661">
            <w:pPr>
              <w:spacing w:after="0"/>
              <w:jc w:val="center"/>
              <w:rPr>
                <w:rFonts w:ascii="Arial" w:hAnsi="Arial"/>
                <w:color w:val="000000"/>
                <w:sz w:val="18"/>
                <w:szCs w:val="18"/>
                <w:lang w:eastAsia="fr-FR"/>
              </w:rPr>
            </w:pPr>
            <w:r w:rsidRPr="00DC77E0">
              <w:rPr>
                <w:rFonts w:ascii="Arial" w:hAnsi="Arial"/>
                <w:color w:val="000000"/>
                <w:sz w:val="18"/>
                <w:szCs w:val="18"/>
                <w:lang w:eastAsia="fr-FR"/>
              </w:rPr>
              <w:t>-</w:t>
            </w:r>
          </w:p>
        </w:tc>
        <w:tc>
          <w:tcPr>
            <w:tcW w:w="263" w:type="pct"/>
            <w:tcBorders>
              <w:top w:val="single" w:sz="4" w:space="0" w:color="auto"/>
              <w:left w:val="single" w:sz="4" w:space="0" w:color="auto"/>
              <w:bottom w:val="single" w:sz="4" w:space="0" w:color="auto"/>
              <w:right w:val="single" w:sz="4" w:space="0" w:color="auto"/>
            </w:tcBorders>
            <w:vAlign w:val="center"/>
            <w:hideMark/>
          </w:tcPr>
          <w:p w14:paraId="413E3E70" w14:textId="77777777" w:rsidR="008B6742" w:rsidRPr="00DC77E0" w:rsidRDefault="008B6742" w:rsidP="005A7661">
            <w:pPr>
              <w:spacing w:after="0"/>
              <w:jc w:val="center"/>
              <w:rPr>
                <w:rFonts w:ascii="Arial" w:hAnsi="Arial"/>
                <w:color w:val="000000"/>
                <w:sz w:val="18"/>
                <w:szCs w:val="18"/>
                <w:lang w:eastAsia="fr-FR"/>
              </w:rPr>
            </w:pPr>
            <w:r w:rsidRPr="00DC77E0">
              <w:rPr>
                <w:rFonts w:ascii="Arial" w:hAnsi="Arial"/>
                <w:color w:val="000000"/>
                <w:sz w:val="18"/>
                <w:szCs w:val="18"/>
                <w:lang w:eastAsia="fr-FR"/>
              </w:rPr>
              <w:t>-</w:t>
            </w:r>
          </w:p>
        </w:tc>
        <w:tc>
          <w:tcPr>
            <w:tcW w:w="263" w:type="pct"/>
            <w:tcBorders>
              <w:top w:val="single" w:sz="4" w:space="0" w:color="auto"/>
              <w:left w:val="single" w:sz="4" w:space="0" w:color="auto"/>
              <w:bottom w:val="single" w:sz="4" w:space="0" w:color="auto"/>
              <w:right w:val="single" w:sz="4" w:space="0" w:color="auto"/>
            </w:tcBorders>
            <w:vAlign w:val="center"/>
            <w:hideMark/>
          </w:tcPr>
          <w:p w14:paraId="0BEE33FE" w14:textId="77777777" w:rsidR="008B6742" w:rsidRPr="00DC77E0" w:rsidRDefault="008B6742" w:rsidP="005A7661">
            <w:pPr>
              <w:spacing w:after="0"/>
              <w:jc w:val="center"/>
              <w:rPr>
                <w:rFonts w:ascii="Arial" w:hAnsi="Arial"/>
                <w:color w:val="000000"/>
                <w:sz w:val="18"/>
                <w:szCs w:val="18"/>
                <w:lang w:eastAsia="fr-FR"/>
              </w:rPr>
            </w:pPr>
            <w:r w:rsidRPr="00DC77E0">
              <w:rPr>
                <w:rFonts w:ascii="Arial" w:hAnsi="Arial"/>
                <w:color w:val="000000"/>
                <w:sz w:val="18"/>
                <w:szCs w:val="18"/>
                <w:lang w:eastAsia="fr-FR"/>
              </w:rPr>
              <w:t>-</w:t>
            </w:r>
          </w:p>
        </w:tc>
        <w:tc>
          <w:tcPr>
            <w:tcW w:w="262" w:type="pct"/>
            <w:tcBorders>
              <w:top w:val="single" w:sz="4" w:space="0" w:color="auto"/>
              <w:left w:val="single" w:sz="4" w:space="0" w:color="auto"/>
              <w:bottom w:val="single" w:sz="4" w:space="0" w:color="auto"/>
              <w:right w:val="single" w:sz="4" w:space="0" w:color="auto"/>
            </w:tcBorders>
            <w:vAlign w:val="center"/>
            <w:hideMark/>
          </w:tcPr>
          <w:p w14:paraId="4C4D60ED" w14:textId="77777777" w:rsidR="008B6742" w:rsidRPr="00DC77E0" w:rsidRDefault="008B6742" w:rsidP="005A7661">
            <w:pPr>
              <w:spacing w:after="0"/>
              <w:jc w:val="center"/>
              <w:rPr>
                <w:rFonts w:ascii="Arial" w:hAnsi="Arial"/>
                <w:color w:val="000000"/>
                <w:sz w:val="18"/>
                <w:szCs w:val="18"/>
                <w:lang w:eastAsia="fr-FR"/>
              </w:rPr>
            </w:pPr>
            <w:r w:rsidRPr="00DC77E0">
              <w:rPr>
                <w:rFonts w:ascii="Arial" w:hAnsi="Arial"/>
                <w:color w:val="000000"/>
                <w:sz w:val="18"/>
                <w:szCs w:val="18"/>
                <w:lang w:eastAsia="fr-FR"/>
              </w:rPr>
              <w:t>-</w:t>
            </w:r>
          </w:p>
        </w:tc>
      </w:tr>
      <w:tr w:rsidR="00C107CD" w:rsidRPr="00DC77E0" w14:paraId="7D88F068" w14:textId="77777777" w:rsidTr="00C107CD">
        <w:trPr>
          <w:trHeight w:val="288"/>
        </w:trPr>
        <w:tc>
          <w:tcPr>
            <w:tcW w:w="836" w:type="pct"/>
            <w:tcBorders>
              <w:top w:val="single" w:sz="4" w:space="0" w:color="auto"/>
              <w:left w:val="single" w:sz="4" w:space="0" w:color="auto"/>
              <w:bottom w:val="single" w:sz="4" w:space="0" w:color="auto"/>
              <w:right w:val="single" w:sz="4" w:space="0" w:color="auto"/>
            </w:tcBorders>
            <w:noWrap/>
            <w:vAlign w:val="bottom"/>
            <w:hideMark/>
          </w:tcPr>
          <w:p w14:paraId="555E6D42" w14:textId="77777777" w:rsidR="008B6742" w:rsidRPr="00DC77E0" w:rsidRDefault="008B6742" w:rsidP="005A7661">
            <w:pPr>
              <w:spacing w:after="0"/>
              <w:jc w:val="left"/>
              <w:rPr>
                <w:rFonts w:cs="Calibri"/>
                <w:color w:val="000000"/>
                <w:lang w:eastAsia="fr-FR"/>
              </w:rPr>
            </w:pPr>
            <w:r w:rsidRPr="00DC77E0">
              <w:rPr>
                <w:rFonts w:cs="Calibri"/>
                <w:color w:val="000000"/>
                <w:lang w:eastAsia="fr-FR"/>
              </w:rPr>
              <w:lastRenderedPageBreak/>
              <w:t>Pigeon ramier</w:t>
            </w:r>
          </w:p>
        </w:tc>
        <w:tc>
          <w:tcPr>
            <w:tcW w:w="975" w:type="pct"/>
            <w:tcBorders>
              <w:top w:val="single" w:sz="4" w:space="0" w:color="auto"/>
              <w:left w:val="single" w:sz="4" w:space="0" w:color="auto"/>
              <w:bottom w:val="single" w:sz="4" w:space="0" w:color="auto"/>
              <w:right w:val="single" w:sz="4" w:space="0" w:color="auto"/>
            </w:tcBorders>
            <w:noWrap/>
            <w:vAlign w:val="bottom"/>
            <w:hideMark/>
          </w:tcPr>
          <w:p w14:paraId="22926D5F" w14:textId="77777777" w:rsidR="008B6742" w:rsidRPr="00DC77E0" w:rsidRDefault="008B6742" w:rsidP="005A7661">
            <w:pPr>
              <w:spacing w:after="0"/>
              <w:jc w:val="left"/>
              <w:rPr>
                <w:rFonts w:cs="Calibri"/>
                <w:i/>
                <w:iCs/>
                <w:color w:val="000000"/>
                <w:lang w:eastAsia="fr-FR"/>
              </w:rPr>
            </w:pPr>
            <w:r w:rsidRPr="00DC77E0">
              <w:rPr>
                <w:rFonts w:cs="Calibri"/>
                <w:i/>
                <w:iCs/>
                <w:color w:val="000000"/>
                <w:lang w:eastAsia="fr-FR"/>
              </w:rPr>
              <w:t>Columba palumbus</w:t>
            </w:r>
          </w:p>
        </w:tc>
        <w:tc>
          <w:tcPr>
            <w:tcW w:w="517" w:type="pct"/>
            <w:tcBorders>
              <w:top w:val="single" w:sz="4" w:space="0" w:color="auto"/>
              <w:left w:val="single" w:sz="4" w:space="0" w:color="auto"/>
              <w:bottom w:val="single" w:sz="4" w:space="0" w:color="auto"/>
              <w:right w:val="single" w:sz="4" w:space="0" w:color="auto"/>
            </w:tcBorders>
            <w:vAlign w:val="center"/>
          </w:tcPr>
          <w:p w14:paraId="667A9AAB" w14:textId="77777777" w:rsidR="008B6742" w:rsidRPr="00DC77E0" w:rsidRDefault="008B6742" w:rsidP="005A7661">
            <w:pPr>
              <w:spacing w:after="0"/>
              <w:jc w:val="center"/>
              <w:rPr>
                <w:rFonts w:ascii="Arial" w:hAnsi="Arial"/>
                <w:color w:val="000000"/>
                <w:sz w:val="18"/>
                <w:szCs w:val="18"/>
                <w:lang w:eastAsia="fr-FR"/>
              </w:rPr>
            </w:pPr>
            <w:r w:rsidRPr="00424FDB">
              <w:rPr>
                <w:rFonts w:ascii="Aptos Narrow" w:hAnsi="Aptos Narrow" w:cs="Times New Roman"/>
                <w:color w:val="000000"/>
                <w:lang w:eastAsia="fr-FR"/>
              </w:rPr>
              <w:t xml:space="preserve">ZA / </w:t>
            </w:r>
            <w:r>
              <w:rPr>
                <w:rFonts w:ascii="Aptos Narrow" w:hAnsi="Aptos Narrow" w:cs="Times New Roman"/>
                <w:color w:val="000000"/>
                <w:lang w:eastAsia="fr-FR"/>
              </w:rPr>
              <w:t>ZER/ZEE</w:t>
            </w:r>
          </w:p>
        </w:tc>
        <w:tc>
          <w:tcPr>
            <w:tcW w:w="517" w:type="pct"/>
            <w:tcBorders>
              <w:top w:val="single" w:sz="4" w:space="0" w:color="auto"/>
              <w:left w:val="single" w:sz="4" w:space="0" w:color="auto"/>
              <w:bottom w:val="single" w:sz="4" w:space="0" w:color="auto"/>
              <w:right w:val="single" w:sz="4" w:space="0" w:color="auto"/>
            </w:tcBorders>
            <w:vAlign w:val="center"/>
            <w:hideMark/>
          </w:tcPr>
          <w:p w14:paraId="088C8511" w14:textId="77777777" w:rsidR="008B6742" w:rsidRPr="00DC77E0" w:rsidRDefault="008B6742" w:rsidP="005A7661">
            <w:pPr>
              <w:spacing w:after="0"/>
              <w:jc w:val="center"/>
              <w:rPr>
                <w:rFonts w:ascii="Arial" w:hAnsi="Arial"/>
                <w:color w:val="000000"/>
                <w:sz w:val="18"/>
                <w:szCs w:val="18"/>
                <w:lang w:eastAsia="fr-FR"/>
              </w:rPr>
            </w:pPr>
            <w:r w:rsidRPr="00DC77E0">
              <w:rPr>
                <w:rFonts w:ascii="Arial" w:hAnsi="Arial"/>
                <w:color w:val="000000"/>
                <w:sz w:val="18"/>
                <w:szCs w:val="18"/>
                <w:lang w:eastAsia="fr-FR"/>
              </w:rPr>
              <w:t>NS, H</w:t>
            </w:r>
          </w:p>
        </w:tc>
        <w:tc>
          <w:tcPr>
            <w:tcW w:w="434" w:type="pct"/>
            <w:tcBorders>
              <w:top w:val="single" w:sz="4" w:space="0" w:color="auto"/>
              <w:left w:val="single" w:sz="4" w:space="0" w:color="auto"/>
              <w:bottom w:val="single" w:sz="4" w:space="0" w:color="auto"/>
              <w:right w:val="single" w:sz="4" w:space="0" w:color="auto"/>
            </w:tcBorders>
            <w:vAlign w:val="center"/>
            <w:hideMark/>
          </w:tcPr>
          <w:p w14:paraId="11D982B8" w14:textId="77777777" w:rsidR="008B6742" w:rsidRPr="00DC77E0" w:rsidRDefault="008B6742" w:rsidP="005A7661">
            <w:pPr>
              <w:spacing w:after="0"/>
              <w:jc w:val="center"/>
              <w:rPr>
                <w:rFonts w:ascii="Arial" w:hAnsi="Arial"/>
                <w:color w:val="000000"/>
                <w:sz w:val="18"/>
                <w:szCs w:val="18"/>
                <w:lang w:eastAsia="fr-FR"/>
              </w:rPr>
            </w:pPr>
            <w:r w:rsidRPr="00DC77E0">
              <w:rPr>
                <w:rFonts w:ascii="Arial" w:hAnsi="Arial"/>
                <w:color w:val="000000"/>
                <w:sz w:val="18"/>
                <w:szCs w:val="18"/>
                <w:lang w:eastAsia="fr-FR"/>
              </w:rPr>
              <w:t>-</w:t>
            </w:r>
          </w:p>
        </w:tc>
        <w:tc>
          <w:tcPr>
            <w:tcW w:w="345" w:type="pct"/>
            <w:tcBorders>
              <w:top w:val="single" w:sz="4" w:space="0" w:color="auto"/>
              <w:left w:val="single" w:sz="4" w:space="0" w:color="auto"/>
              <w:bottom w:val="single" w:sz="4" w:space="0" w:color="auto"/>
              <w:right w:val="single" w:sz="4" w:space="0" w:color="auto"/>
            </w:tcBorders>
            <w:vAlign w:val="center"/>
            <w:hideMark/>
          </w:tcPr>
          <w:p w14:paraId="60788065" w14:textId="77777777" w:rsidR="008B6742" w:rsidRPr="00DC77E0" w:rsidRDefault="008B6742" w:rsidP="005A7661">
            <w:pPr>
              <w:spacing w:after="0"/>
              <w:jc w:val="center"/>
              <w:rPr>
                <w:rFonts w:ascii="Arial" w:hAnsi="Arial"/>
                <w:color w:val="000000"/>
                <w:sz w:val="18"/>
                <w:szCs w:val="18"/>
                <w:lang w:eastAsia="fr-FR"/>
              </w:rPr>
            </w:pPr>
            <w:r w:rsidRPr="00DC77E0">
              <w:rPr>
                <w:rFonts w:ascii="Arial" w:hAnsi="Arial"/>
                <w:color w:val="000000"/>
                <w:sz w:val="18"/>
                <w:szCs w:val="18"/>
                <w:lang w:eastAsia="fr-FR"/>
              </w:rPr>
              <w:t>-</w:t>
            </w:r>
          </w:p>
        </w:tc>
        <w:tc>
          <w:tcPr>
            <w:tcW w:w="326" w:type="pct"/>
            <w:tcBorders>
              <w:top w:val="single" w:sz="4" w:space="0" w:color="auto"/>
              <w:left w:val="single" w:sz="4" w:space="0" w:color="auto"/>
              <w:bottom w:val="single" w:sz="4" w:space="0" w:color="auto"/>
              <w:right w:val="single" w:sz="4" w:space="0" w:color="auto"/>
            </w:tcBorders>
            <w:vAlign w:val="center"/>
            <w:hideMark/>
          </w:tcPr>
          <w:p w14:paraId="09E27B56" w14:textId="77777777" w:rsidR="008B6742" w:rsidRPr="00DC77E0" w:rsidRDefault="008B6742" w:rsidP="005A7661">
            <w:pPr>
              <w:spacing w:after="0"/>
              <w:jc w:val="center"/>
              <w:rPr>
                <w:rFonts w:ascii="Arial" w:hAnsi="Arial"/>
                <w:color w:val="000000"/>
                <w:sz w:val="18"/>
                <w:szCs w:val="18"/>
                <w:lang w:eastAsia="fr-FR"/>
              </w:rPr>
            </w:pPr>
            <w:r w:rsidRPr="00DC77E0">
              <w:rPr>
                <w:rFonts w:ascii="Arial" w:hAnsi="Arial"/>
                <w:color w:val="000000"/>
                <w:sz w:val="18"/>
                <w:szCs w:val="18"/>
                <w:lang w:eastAsia="fr-FR"/>
              </w:rPr>
              <w:t>LC</w:t>
            </w:r>
          </w:p>
        </w:tc>
        <w:tc>
          <w:tcPr>
            <w:tcW w:w="263" w:type="pct"/>
            <w:tcBorders>
              <w:top w:val="single" w:sz="4" w:space="0" w:color="auto"/>
              <w:left w:val="single" w:sz="4" w:space="0" w:color="auto"/>
              <w:bottom w:val="single" w:sz="4" w:space="0" w:color="auto"/>
              <w:right w:val="single" w:sz="4" w:space="0" w:color="auto"/>
            </w:tcBorders>
            <w:vAlign w:val="center"/>
            <w:hideMark/>
          </w:tcPr>
          <w:p w14:paraId="50A24126" w14:textId="77777777" w:rsidR="008B6742" w:rsidRPr="00DC77E0" w:rsidRDefault="008B6742" w:rsidP="005A7661">
            <w:pPr>
              <w:spacing w:after="0"/>
              <w:jc w:val="center"/>
              <w:rPr>
                <w:rFonts w:ascii="Arial" w:hAnsi="Arial"/>
                <w:color w:val="000000"/>
                <w:sz w:val="18"/>
                <w:szCs w:val="18"/>
                <w:lang w:eastAsia="fr-FR"/>
              </w:rPr>
            </w:pPr>
            <w:r w:rsidRPr="00DC77E0">
              <w:rPr>
                <w:rFonts w:ascii="Arial" w:hAnsi="Arial"/>
                <w:color w:val="000000"/>
                <w:sz w:val="18"/>
                <w:szCs w:val="18"/>
                <w:lang w:eastAsia="fr-FR"/>
              </w:rPr>
              <w:t>-</w:t>
            </w:r>
          </w:p>
        </w:tc>
        <w:tc>
          <w:tcPr>
            <w:tcW w:w="263" w:type="pct"/>
            <w:tcBorders>
              <w:top w:val="single" w:sz="4" w:space="0" w:color="auto"/>
              <w:left w:val="single" w:sz="4" w:space="0" w:color="auto"/>
              <w:bottom w:val="single" w:sz="4" w:space="0" w:color="auto"/>
              <w:right w:val="single" w:sz="4" w:space="0" w:color="auto"/>
            </w:tcBorders>
            <w:vAlign w:val="center"/>
            <w:hideMark/>
          </w:tcPr>
          <w:p w14:paraId="7BAA1D67" w14:textId="77777777" w:rsidR="008B6742" w:rsidRPr="00DC77E0" w:rsidRDefault="008B6742" w:rsidP="005A7661">
            <w:pPr>
              <w:spacing w:after="0"/>
              <w:jc w:val="center"/>
              <w:rPr>
                <w:rFonts w:ascii="Arial" w:hAnsi="Arial"/>
                <w:color w:val="000000"/>
                <w:sz w:val="18"/>
                <w:szCs w:val="18"/>
                <w:lang w:eastAsia="fr-FR"/>
              </w:rPr>
            </w:pPr>
            <w:r w:rsidRPr="00DC77E0">
              <w:rPr>
                <w:rFonts w:ascii="Arial" w:hAnsi="Arial"/>
                <w:color w:val="000000"/>
                <w:sz w:val="18"/>
                <w:szCs w:val="18"/>
                <w:lang w:eastAsia="fr-FR"/>
              </w:rPr>
              <w:t>-</w:t>
            </w:r>
          </w:p>
        </w:tc>
        <w:tc>
          <w:tcPr>
            <w:tcW w:w="263" w:type="pct"/>
            <w:tcBorders>
              <w:top w:val="single" w:sz="4" w:space="0" w:color="auto"/>
              <w:left w:val="single" w:sz="4" w:space="0" w:color="auto"/>
              <w:bottom w:val="single" w:sz="4" w:space="0" w:color="auto"/>
              <w:right w:val="single" w:sz="4" w:space="0" w:color="auto"/>
            </w:tcBorders>
            <w:vAlign w:val="center"/>
            <w:hideMark/>
          </w:tcPr>
          <w:p w14:paraId="4836E703" w14:textId="77777777" w:rsidR="008B6742" w:rsidRPr="00DC77E0" w:rsidRDefault="008B6742" w:rsidP="005A7661">
            <w:pPr>
              <w:spacing w:after="0"/>
              <w:jc w:val="center"/>
              <w:rPr>
                <w:rFonts w:ascii="Arial" w:hAnsi="Arial"/>
                <w:color w:val="000000"/>
                <w:sz w:val="18"/>
                <w:szCs w:val="18"/>
                <w:lang w:eastAsia="fr-FR"/>
              </w:rPr>
            </w:pPr>
            <w:r w:rsidRPr="00DC77E0">
              <w:rPr>
                <w:rFonts w:ascii="Arial" w:hAnsi="Arial"/>
                <w:color w:val="000000"/>
                <w:sz w:val="18"/>
                <w:szCs w:val="18"/>
                <w:lang w:eastAsia="fr-FR"/>
              </w:rPr>
              <w:t>-</w:t>
            </w:r>
          </w:p>
        </w:tc>
        <w:tc>
          <w:tcPr>
            <w:tcW w:w="262" w:type="pct"/>
            <w:tcBorders>
              <w:top w:val="single" w:sz="4" w:space="0" w:color="auto"/>
              <w:left w:val="single" w:sz="4" w:space="0" w:color="auto"/>
              <w:bottom w:val="single" w:sz="4" w:space="0" w:color="auto"/>
              <w:right w:val="single" w:sz="4" w:space="0" w:color="auto"/>
            </w:tcBorders>
            <w:vAlign w:val="center"/>
            <w:hideMark/>
          </w:tcPr>
          <w:p w14:paraId="7D493BD2" w14:textId="77777777" w:rsidR="008B6742" w:rsidRPr="00DC77E0" w:rsidRDefault="008B6742" w:rsidP="005A7661">
            <w:pPr>
              <w:spacing w:after="0"/>
              <w:jc w:val="center"/>
              <w:rPr>
                <w:rFonts w:ascii="Arial" w:hAnsi="Arial"/>
                <w:color w:val="000000"/>
                <w:sz w:val="18"/>
                <w:szCs w:val="18"/>
                <w:lang w:eastAsia="fr-FR"/>
              </w:rPr>
            </w:pPr>
            <w:r w:rsidRPr="00DC77E0">
              <w:rPr>
                <w:rFonts w:ascii="Arial" w:hAnsi="Arial"/>
                <w:color w:val="000000"/>
                <w:sz w:val="18"/>
                <w:szCs w:val="18"/>
                <w:lang w:eastAsia="fr-FR"/>
              </w:rPr>
              <w:t>- </w:t>
            </w:r>
          </w:p>
        </w:tc>
      </w:tr>
      <w:tr w:rsidR="00C107CD" w:rsidRPr="00DC77E0" w14:paraId="464B7D9B" w14:textId="77777777" w:rsidTr="00C107CD">
        <w:trPr>
          <w:trHeight w:val="288"/>
        </w:trPr>
        <w:tc>
          <w:tcPr>
            <w:tcW w:w="836" w:type="pct"/>
            <w:tcBorders>
              <w:top w:val="single" w:sz="4" w:space="0" w:color="auto"/>
              <w:left w:val="single" w:sz="4" w:space="0" w:color="auto"/>
              <w:bottom w:val="single" w:sz="4" w:space="0" w:color="auto"/>
              <w:right w:val="single" w:sz="4" w:space="0" w:color="auto"/>
            </w:tcBorders>
            <w:noWrap/>
            <w:vAlign w:val="bottom"/>
            <w:hideMark/>
          </w:tcPr>
          <w:p w14:paraId="097BAF36" w14:textId="77777777" w:rsidR="008B6742" w:rsidRPr="00DC77E0" w:rsidRDefault="008B6742" w:rsidP="005A7661">
            <w:pPr>
              <w:spacing w:after="0"/>
              <w:jc w:val="left"/>
              <w:rPr>
                <w:rFonts w:cs="Calibri"/>
                <w:color w:val="000000"/>
                <w:lang w:eastAsia="fr-FR"/>
              </w:rPr>
            </w:pPr>
            <w:r w:rsidRPr="00DC77E0">
              <w:rPr>
                <w:rFonts w:cs="Calibri"/>
                <w:color w:val="000000"/>
                <w:lang w:eastAsia="fr-FR"/>
              </w:rPr>
              <w:t>Pinson des arbres</w:t>
            </w:r>
          </w:p>
        </w:tc>
        <w:tc>
          <w:tcPr>
            <w:tcW w:w="975" w:type="pct"/>
            <w:tcBorders>
              <w:top w:val="single" w:sz="4" w:space="0" w:color="auto"/>
              <w:left w:val="single" w:sz="4" w:space="0" w:color="auto"/>
              <w:bottom w:val="single" w:sz="4" w:space="0" w:color="auto"/>
              <w:right w:val="single" w:sz="4" w:space="0" w:color="auto"/>
            </w:tcBorders>
            <w:noWrap/>
            <w:vAlign w:val="bottom"/>
            <w:hideMark/>
          </w:tcPr>
          <w:p w14:paraId="68FD4D9B" w14:textId="77777777" w:rsidR="008B6742" w:rsidRPr="00DC77E0" w:rsidRDefault="008B6742" w:rsidP="005A7661">
            <w:pPr>
              <w:spacing w:after="0"/>
              <w:jc w:val="left"/>
              <w:rPr>
                <w:rFonts w:cs="Calibri"/>
                <w:i/>
                <w:iCs/>
                <w:color w:val="000000"/>
                <w:lang w:eastAsia="fr-FR"/>
              </w:rPr>
            </w:pPr>
            <w:r w:rsidRPr="00DC77E0">
              <w:rPr>
                <w:rFonts w:cs="Calibri"/>
                <w:i/>
                <w:iCs/>
                <w:color w:val="000000"/>
                <w:lang w:eastAsia="fr-FR"/>
              </w:rPr>
              <w:t>Fringilla coelebs</w:t>
            </w:r>
          </w:p>
        </w:tc>
        <w:tc>
          <w:tcPr>
            <w:tcW w:w="517" w:type="pct"/>
            <w:tcBorders>
              <w:top w:val="single" w:sz="4" w:space="0" w:color="auto"/>
              <w:left w:val="single" w:sz="4" w:space="0" w:color="auto"/>
              <w:bottom w:val="single" w:sz="4" w:space="0" w:color="auto"/>
              <w:right w:val="single" w:sz="4" w:space="0" w:color="auto"/>
            </w:tcBorders>
            <w:vAlign w:val="center"/>
          </w:tcPr>
          <w:p w14:paraId="58972CD7" w14:textId="77777777" w:rsidR="008B6742" w:rsidRPr="00DC77E0" w:rsidRDefault="008B6742" w:rsidP="005A7661">
            <w:pPr>
              <w:spacing w:after="0"/>
              <w:jc w:val="center"/>
              <w:rPr>
                <w:rFonts w:ascii="Arial" w:hAnsi="Arial"/>
                <w:color w:val="000000"/>
                <w:sz w:val="18"/>
                <w:szCs w:val="18"/>
                <w:lang w:eastAsia="fr-FR"/>
              </w:rPr>
            </w:pPr>
            <w:r>
              <w:rPr>
                <w:rFonts w:ascii="Aptos Narrow" w:hAnsi="Aptos Narrow" w:cs="Times New Roman"/>
                <w:color w:val="000000"/>
                <w:lang w:eastAsia="fr-FR"/>
              </w:rPr>
              <w:t>ZER/ZEE</w:t>
            </w:r>
          </w:p>
        </w:tc>
        <w:tc>
          <w:tcPr>
            <w:tcW w:w="517" w:type="pct"/>
            <w:tcBorders>
              <w:top w:val="single" w:sz="4" w:space="0" w:color="auto"/>
              <w:left w:val="single" w:sz="4" w:space="0" w:color="auto"/>
              <w:bottom w:val="single" w:sz="4" w:space="0" w:color="auto"/>
              <w:right w:val="single" w:sz="4" w:space="0" w:color="auto"/>
            </w:tcBorders>
            <w:vAlign w:val="center"/>
            <w:hideMark/>
          </w:tcPr>
          <w:p w14:paraId="3AA025C6" w14:textId="77777777" w:rsidR="008B6742" w:rsidRPr="00DC77E0" w:rsidRDefault="008B6742" w:rsidP="005A7661">
            <w:pPr>
              <w:spacing w:after="0"/>
              <w:jc w:val="center"/>
              <w:rPr>
                <w:rFonts w:ascii="Arial" w:hAnsi="Arial"/>
                <w:color w:val="000000"/>
                <w:sz w:val="18"/>
                <w:szCs w:val="18"/>
                <w:lang w:eastAsia="fr-FR"/>
              </w:rPr>
            </w:pPr>
            <w:r w:rsidRPr="00DC77E0">
              <w:rPr>
                <w:rFonts w:ascii="Arial" w:hAnsi="Arial"/>
                <w:color w:val="000000"/>
                <w:sz w:val="18"/>
                <w:szCs w:val="18"/>
                <w:lang w:eastAsia="fr-FR"/>
              </w:rPr>
              <w:t>NS, H</w:t>
            </w:r>
          </w:p>
        </w:tc>
        <w:tc>
          <w:tcPr>
            <w:tcW w:w="434" w:type="pct"/>
            <w:tcBorders>
              <w:top w:val="single" w:sz="4" w:space="0" w:color="auto"/>
              <w:left w:val="single" w:sz="4" w:space="0" w:color="auto"/>
              <w:bottom w:val="single" w:sz="4" w:space="0" w:color="auto"/>
              <w:right w:val="single" w:sz="4" w:space="0" w:color="auto"/>
            </w:tcBorders>
            <w:vAlign w:val="center"/>
            <w:hideMark/>
          </w:tcPr>
          <w:p w14:paraId="2CD5E576" w14:textId="77777777" w:rsidR="008B6742" w:rsidRPr="00DC77E0" w:rsidRDefault="008B6742" w:rsidP="005A7661">
            <w:pPr>
              <w:spacing w:after="0"/>
              <w:jc w:val="center"/>
              <w:rPr>
                <w:rFonts w:ascii="Arial" w:hAnsi="Arial"/>
                <w:color w:val="000000"/>
                <w:sz w:val="18"/>
                <w:szCs w:val="18"/>
                <w:lang w:eastAsia="fr-FR"/>
              </w:rPr>
            </w:pPr>
            <w:r w:rsidRPr="00DC77E0">
              <w:rPr>
                <w:rFonts w:ascii="Arial" w:hAnsi="Arial"/>
                <w:color w:val="000000"/>
                <w:sz w:val="18"/>
                <w:szCs w:val="18"/>
                <w:lang w:eastAsia="fr-FR"/>
              </w:rPr>
              <w:t>-</w:t>
            </w:r>
          </w:p>
        </w:tc>
        <w:tc>
          <w:tcPr>
            <w:tcW w:w="345" w:type="pct"/>
            <w:tcBorders>
              <w:top w:val="single" w:sz="4" w:space="0" w:color="auto"/>
              <w:left w:val="single" w:sz="4" w:space="0" w:color="auto"/>
              <w:bottom w:val="single" w:sz="4" w:space="0" w:color="auto"/>
              <w:right w:val="single" w:sz="4" w:space="0" w:color="auto"/>
            </w:tcBorders>
            <w:vAlign w:val="center"/>
            <w:hideMark/>
          </w:tcPr>
          <w:p w14:paraId="24D0B31D" w14:textId="77777777" w:rsidR="008B6742" w:rsidRPr="00DC77E0" w:rsidRDefault="008B6742" w:rsidP="005A7661">
            <w:pPr>
              <w:spacing w:after="0"/>
              <w:jc w:val="center"/>
              <w:rPr>
                <w:rFonts w:ascii="Arial" w:hAnsi="Arial"/>
                <w:color w:val="000000"/>
                <w:sz w:val="18"/>
                <w:szCs w:val="18"/>
                <w:lang w:eastAsia="fr-FR"/>
              </w:rPr>
            </w:pPr>
            <w:r w:rsidRPr="00DC77E0">
              <w:rPr>
                <w:rFonts w:ascii="Arial" w:hAnsi="Arial"/>
                <w:color w:val="000000"/>
                <w:sz w:val="18"/>
                <w:szCs w:val="18"/>
                <w:lang w:eastAsia="fr-FR"/>
              </w:rPr>
              <w:t>-</w:t>
            </w:r>
          </w:p>
        </w:tc>
        <w:tc>
          <w:tcPr>
            <w:tcW w:w="326" w:type="pct"/>
            <w:tcBorders>
              <w:top w:val="single" w:sz="4" w:space="0" w:color="auto"/>
              <w:left w:val="single" w:sz="4" w:space="0" w:color="auto"/>
              <w:bottom w:val="single" w:sz="4" w:space="0" w:color="auto"/>
              <w:right w:val="single" w:sz="4" w:space="0" w:color="auto"/>
            </w:tcBorders>
            <w:vAlign w:val="center"/>
            <w:hideMark/>
          </w:tcPr>
          <w:p w14:paraId="757431CE" w14:textId="77777777" w:rsidR="008B6742" w:rsidRPr="00DC77E0" w:rsidRDefault="008B6742" w:rsidP="005A7661">
            <w:pPr>
              <w:spacing w:after="0"/>
              <w:jc w:val="center"/>
              <w:rPr>
                <w:rFonts w:ascii="Arial" w:hAnsi="Arial"/>
                <w:color w:val="000000"/>
                <w:sz w:val="18"/>
                <w:szCs w:val="18"/>
                <w:lang w:eastAsia="fr-FR"/>
              </w:rPr>
            </w:pPr>
            <w:r w:rsidRPr="00DC77E0">
              <w:rPr>
                <w:rFonts w:ascii="Arial" w:hAnsi="Arial"/>
                <w:color w:val="000000"/>
                <w:sz w:val="18"/>
                <w:szCs w:val="18"/>
                <w:lang w:eastAsia="fr-FR"/>
              </w:rPr>
              <w:t>LC</w:t>
            </w:r>
          </w:p>
        </w:tc>
        <w:tc>
          <w:tcPr>
            <w:tcW w:w="263" w:type="pct"/>
            <w:tcBorders>
              <w:top w:val="single" w:sz="4" w:space="0" w:color="auto"/>
              <w:left w:val="single" w:sz="4" w:space="0" w:color="auto"/>
              <w:bottom w:val="single" w:sz="4" w:space="0" w:color="auto"/>
              <w:right w:val="single" w:sz="4" w:space="0" w:color="auto"/>
            </w:tcBorders>
            <w:vAlign w:val="center"/>
            <w:hideMark/>
          </w:tcPr>
          <w:p w14:paraId="05A7969D" w14:textId="77777777" w:rsidR="008B6742" w:rsidRPr="00DC77E0" w:rsidRDefault="008B6742" w:rsidP="005A7661">
            <w:pPr>
              <w:spacing w:after="0"/>
              <w:jc w:val="center"/>
              <w:rPr>
                <w:rFonts w:ascii="Arial" w:hAnsi="Arial"/>
                <w:color w:val="000000"/>
                <w:sz w:val="18"/>
                <w:szCs w:val="18"/>
                <w:lang w:eastAsia="fr-FR"/>
              </w:rPr>
            </w:pPr>
            <w:r w:rsidRPr="00DC77E0">
              <w:rPr>
                <w:rFonts w:ascii="Arial" w:hAnsi="Arial"/>
                <w:color w:val="000000"/>
                <w:sz w:val="18"/>
                <w:szCs w:val="18"/>
                <w:lang w:eastAsia="fr-FR"/>
              </w:rPr>
              <w:t>-</w:t>
            </w:r>
          </w:p>
        </w:tc>
        <w:tc>
          <w:tcPr>
            <w:tcW w:w="263" w:type="pct"/>
            <w:tcBorders>
              <w:top w:val="single" w:sz="4" w:space="0" w:color="auto"/>
              <w:left w:val="single" w:sz="4" w:space="0" w:color="auto"/>
              <w:bottom w:val="single" w:sz="4" w:space="0" w:color="auto"/>
              <w:right w:val="single" w:sz="4" w:space="0" w:color="auto"/>
            </w:tcBorders>
            <w:vAlign w:val="center"/>
            <w:hideMark/>
          </w:tcPr>
          <w:p w14:paraId="0949B25F" w14:textId="77777777" w:rsidR="008B6742" w:rsidRPr="00DC77E0" w:rsidRDefault="008B6742" w:rsidP="005A7661">
            <w:pPr>
              <w:spacing w:after="0"/>
              <w:jc w:val="center"/>
              <w:rPr>
                <w:rFonts w:ascii="Arial" w:hAnsi="Arial"/>
                <w:color w:val="000000"/>
                <w:sz w:val="18"/>
                <w:szCs w:val="18"/>
                <w:lang w:eastAsia="fr-FR"/>
              </w:rPr>
            </w:pPr>
            <w:r w:rsidRPr="00DC77E0">
              <w:rPr>
                <w:rFonts w:ascii="Arial" w:hAnsi="Arial"/>
                <w:color w:val="000000"/>
                <w:sz w:val="18"/>
                <w:szCs w:val="18"/>
                <w:lang w:eastAsia="fr-FR"/>
              </w:rPr>
              <w:t>-</w:t>
            </w:r>
          </w:p>
        </w:tc>
        <w:tc>
          <w:tcPr>
            <w:tcW w:w="263" w:type="pct"/>
            <w:tcBorders>
              <w:top w:val="single" w:sz="4" w:space="0" w:color="auto"/>
              <w:left w:val="single" w:sz="4" w:space="0" w:color="auto"/>
              <w:bottom w:val="single" w:sz="4" w:space="0" w:color="auto"/>
              <w:right w:val="single" w:sz="4" w:space="0" w:color="auto"/>
            </w:tcBorders>
            <w:vAlign w:val="center"/>
            <w:hideMark/>
          </w:tcPr>
          <w:p w14:paraId="6B4C95DD" w14:textId="77777777" w:rsidR="008B6742" w:rsidRPr="00DC77E0" w:rsidRDefault="008B6742" w:rsidP="005A7661">
            <w:pPr>
              <w:spacing w:after="0"/>
              <w:jc w:val="center"/>
              <w:rPr>
                <w:rFonts w:ascii="Arial" w:hAnsi="Arial"/>
                <w:color w:val="000000"/>
                <w:sz w:val="18"/>
                <w:szCs w:val="18"/>
                <w:lang w:eastAsia="fr-FR"/>
              </w:rPr>
            </w:pPr>
            <w:r w:rsidRPr="00DC77E0">
              <w:rPr>
                <w:rFonts w:ascii="Arial" w:hAnsi="Arial"/>
                <w:color w:val="000000"/>
                <w:sz w:val="18"/>
                <w:szCs w:val="18"/>
                <w:lang w:eastAsia="fr-FR"/>
              </w:rPr>
              <w:t>An. III</w:t>
            </w:r>
          </w:p>
        </w:tc>
        <w:tc>
          <w:tcPr>
            <w:tcW w:w="262" w:type="pct"/>
            <w:tcBorders>
              <w:top w:val="single" w:sz="4" w:space="0" w:color="auto"/>
              <w:left w:val="single" w:sz="4" w:space="0" w:color="auto"/>
              <w:bottom w:val="single" w:sz="4" w:space="0" w:color="auto"/>
              <w:right w:val="single" w:sz="4" w:space="0" w:color="auto"/>
            </w:tcBorders>
            <w:vAlign w:val="center"/>
            <w:hideMark/>
          </w:tcPr>
          <w:p w14:paraId="741E37B1" w14:textId="77777777" w:rsidR="008B6742" w:rsidRPr="00DC77E0" w:rsidRDefault="008B6742" w:rsidP="005A7661">
            <w:pPr>
              <w:spacing w:after="0"/>
              <w:jc w:val="center"/>
              <w:rPr>
                <w:rFonts w:ascii="Arial" w:hAnsi="Arial"/>
                <w:color w:val="000000"/>
                <w:sz w:val="18"/>
                <w:szCs w:val="18"/>
                <w:lang w:eastAsia="fr-FR"/>
              </w:rPr>
            </w:pPr>
            <w:r w:rsidRPr="00DC77E0">
              <w:rPr>
                <w:rFonts w:ascii="Arial" w:hAnsi="Arial"/>
                <w:color w:val="000000"/>
                <w:sz w:val="18"/>
                <w:szCs w:val="18"/>
                <w:lang w:eastAsia="fr-FR"/>
              </w:rPr>
              <w:t>-</w:t>
            </w:r>
          </w:p>
        </w:tc>
      </w:tr>
      <w:tr w:rsidR="008B6742" w:rsidRPr="00DC77E0" w14:paraId="4DE6C97F" w14:textId="77777777" w:rsidTr="00C107CD">
        <w:trPr>
          <w:trHeight w:val="288"/>
        </w:trPr>
        <w:tc>
          <w:tcPr>
            <w:tcW w:w="836" w:type="pct"/>
            <w:tcBorders>
              <w:top w:val="single" w:sz="4" w:space="0" w:color="auto"/>
              <w:left w:val="single" w:sz="4" w:space="0" w:color="auto"/>
              <w:bottom w:val="single" w:sz="4" w:space="0" w:color="auto"/>
              <w:right w:val="single" w:sz="4" w:space="0" w:color="auto"/>
            </w:tcBorders>
            <w:noWrap/>
            <w:vAlign w:val="bottom"/>
            <w:hideMark/>
          </w:tcPr>
          <w:p w14:paraId="591E8A55" w14:textId="77777777" w:rsidR="008B6742" w:rsidRPr="00DC77E0" w:rsidRDefault="008B6742" w:rsidP="005A7661">
            <w:pPr>
              <w:spacing w:after="0"/>
              <w:jc w:val="left"/>
              <w:rPr>
                <w:rFonts w:cs="Calibri"/>
                <w:color w:val="000000"/>
                <w:lang w:eastAsia="fr-FR"/>
              </w:rPr>
            </w:pPr>
            <w:r w:rsidRPr="00DC77E0">
              <w:rPr>
                <w:rFonts w:cs="Calibri"/>
                <w:color w:val="000000"/>
                <w:lang w:eastAsia="fr-FR"/>
              </w:rPr>
              <w:t>Rollier d'Europe</w:t>
            </w:r>
          </w:p>
        </w:tc>
        <w:tc>
          <w:tcPr>
            <w:tcW w:w="975" w:type="pct"/>
            <w:tcBorders>
              <w:top w:val="single" w:sz="4" w:space="0" w:color="auto"/>
              <w:left w:val="single" w:sz="4" w:space="0" w:color="auto"/>
              <w:bottom w:val="single" w:sz="4" w:space="0" w:color="auto"/>
              <w:right w:val="single" w:sz="4" w:space="0" w:color="auto"/>
            </w:tcBorders>
            <w:noWrap/>
            <w:vAlign w:val="bottom"/>
            <w:hideMark/>
          </w:tcPr>
          <w:p w14:paraId="03ADD5B8" w14:textId="77777777" w:rsidR="008B6742" w:rsidRPr="00DC77E0" w:rsidRDefault="008B6742" w:rsidP="005A7661">
            <w:pPr>
              <w:spacing w:after="0"/>
              <w:jc w:val="left"/>
              <w:rPr>
                <w:rFonts w:cs="Calibri"/>
                <w:i/>
                <w:iCs/>
                <w:color w:val="000000"/>
                <w:lang w:eastAsia="fr-FR"/>
              </w:rPr>
            </w:pPr>
            <w:r w:rsidRPr="00DC77E0">
              <w:rPr>
                <w:rFonts w:cs="Calibri"/>
                <w:i/>
                <w:iCs/>
                <w:color w:val="000000"/>
                <w:lang w:eastAsia="fr-FR"/>
              </w:rPr>
              <w:t>Coracias garrulus</w:t>
            </w:r>
          </w:p>
        </w:tc>
        <w:tc>
          <w:tcPr>
            <w:tcW w:w="517" w:type="pct"/>
            <w:tcBorders>
              <w:top w:val="single" w:sz="4" w:space="0" w:color="auto"/>
              <w:left w:val="single" w:sz="4" w:space="0" w:color="auto"/>
              <w:bottom w:val="single" w:sz="4" w:space="0" w:color="auto"/>
              <w:right w:val="single" w:sz="4" w:space="0" w:color="auto"/>
            </w:tcBorders>
            <w:vAlign w:val="center"/>
          </w:tcPr>
          <w:p w14:paraId="3EECAA78" w14:textId="77777777" w:rsidR="008B6742" w:rsidRPr="00DC77E0" w:rsidRDefault="008B6742" w:rsidP="005A7661">
            <w:pPr>
              <w:spacing w:after="0"/>
              <w:jc w:val="center"/>
              <w:rPr>
                <w:rFonts w:ascii="Arial" w:hAnsi="Arial"/>
                <w:color w:val="000000"/>
                <w:sz w:val="18"/>
                <w:szCs w:val="18"/>
                <w:lang w:eastAsia="fr-FR"/>
              </w:rPr>
            </w:pPr>
            <w:r>
              <w:rPr>
                <w:rFonts w:ascii="Aptos Narrow" w:hAnsi="Aptos Narrow" w:cs="Times New Roman"/>
                <w:color w:val="000000"/>
                <w:lang w:eastAsia="fr-FR"/>
              </w:rPr>
              <w:t>ZER/ZEE</w:t>
            </w:r>
          </w:p>
        </w:tc>
        <w:tc>
          <w:tcPr>
            <w:tcW w:w="517" w:type="pct"/>
            <w:tcBorders>
              <w:top w:val="single" w:sz="4" w:space="0" w:color="auto"/>
              <w:left w:val="single" w:sz="4" w:space="0" w:color="auto"/>
              <w:bottom w:val="single" w:sz="4" w:space="0" w:color="auto"/>
              <w:right w:val="single" w:sz="4" w:space="0" w:color="auto"/>
            </w:tcBorders>
            <w:vAlign w:val="center"/>
            <w:hideMark/>
          </w:tcPr>
          <w:p w14:paraId="18548108" w14:textId="77777777" w:rsidR="008B6742" w:rsidRPr="00DC77E0" w:rsidRDefault="008B6742" w:rsidP="005A7661">
            <w:pPr>
              <w:spacing w:after="0"/>
              <w:jc w:val="center"/>
              <w:rPr>
                <w:rFonts w:ascii="Arial" w:hAnsi="Arial"/>
                <w:color w:val="000000"/>
                <w:sz w:val="18"/>
                <w:szCs w:val="18"/>
                <w:lang w:eastAsia="fr-FR"/>
              </w:rPr>
            </w:pPr>
            <w:r w:rsidRPr="00DC77E0">
              <w:rPr>
                <w:rFonts w:ascii="Arial" w:hAnsi="Arial"/>
                <w:color w:val="000000"/>
                <w:sz w:val="18"/>
                <w:szCs w:val="18"/>
                <w:lang w:eastAsia="fr-FR"/>
              </w:rPr>
              <w:t>NM, MP</w:t>
            </w:r>
          </w:p>
        </w:tc>
        <w:tc>
          <w:tcPr>
            <w:tcW w:w="434" w:type="pct"/>
            <w:tcBorders>
              <w:top w:val="single" w:sz="4" w:space="0" w:color="auto"/>
              <w:left w:val="single" w:sz="4" w:space="0" w:color="auto"/>
              <w:bottom w:val="single" w:sz="4" w:space="0" w:color="auto"/>
              <w:right w:val="single" w:sz="4" w:space="0" w:color="auto"/>
            </w:tcBorders>
            <w:vAlign w:val="center"/>
            <w:hideMark/>
          </w:tcPr>
          <w:p w14:paraId="7CE6D5A9" w14:textId="77777777" w:rsidR="008B6742" w:rsidRPr="00DC77E0" w:rsidRDefault="008B6742" w:rsidP="005A7661">
            <w:pPr>
              <w:spacing w:after="0"/>
              <w:jc w:val="center"/>
              <w:rPr>
                <w:rFonts w:ascii="Arial" w:hAnsi="Arial"/>
                <w:color w:val="000000"/>
                <w:sz w:val="18"/>
                <w:szCs w:val="18"/>
                <w:lang w:eastAsia="fr-FR"/>
              </w:rPr>
            </w:pPr>
            <w:r w:rsidRPr="00DC77E0">
              <w:rPr>
                <w:rFonts w:ascii="Arial" w:hAnsi="Arial"/>
                <w:color w:val="000000"/>
                <w:sz w:val="18"/>
                <w:szCs w:val="18"/>
                <w:lang w:eastAsia="fr-FR"/>
              </w:rPr>
              <w:t>Protégée</w:t>
            </w:r>
          </w:p>
        </w:tc>
        <w:tc>
          <w:tcPr>
            <w:tcW w:w="345" w:type="pct"/>
            <w:tcBorders>
              <w:top w:val="single" w:sz="4" w:space="0" w:color="auto"/>
              <w:left w:val="single" w:sz="4" w:space="0" w:color="auto"/>
              <w:bottom w:val="single" w:sz="4" w:space="0" w:color="auto"/>
              <w:right w:val="single" w:sz="4" w:space="0" w:color="auto"/>
            </w:tcBorders>
            <w:vAlign w:val="center"/>
            <w:hideMark/>
          </w:tcPr>
          <w:p w14:paraId="3E9FB8B8" w14:textId="77777777" w:rsidR="008B6742" w:rsidRPr="00DC77E0" w:rsidRDefault="008B6742" w:rsidP="005A7661">
            <w:pPr>
              <w:spacing w:after="0"/>
              <w:jc w:val="center"/>
              <w:rPr>
                <w:rFonts w:ascii="Arial" w:hAnsi="Arial"/>
                <w:color w:val="000000"/>
                <w:sz w:val="18"/>
                <w:szCs w:val="18"/>
                <w:lang w:eastAsia="fr-FR"/>
              </w:rPr>
            </w:pPr>
            <w:r w:rsidRPr="00DC77E0">
              <w:rPr>
                <w:rFonts w:ascii="Arial" w:hAnsi="Arial"/>
                <w:color w:val="000000"/>
                <w:sz w:val="18"/>
                <w:szCs w:val="18"/>
                <w:lang w:eastAsia="fr-FR"/>
              </w:rPr>
              <w:t>Catégorie IV</w:t>
            </w:r>
          </w:p>
        </w:tc>
        <w:tc>
          <w:tcPr>
            <w:tcW w:w="326" w:type="pct"/>
            <w:tcBorders>
              <w:top w:val="single" w:sz="4" w:space="0" w:color="auto"/>
              <w:left w:val="single" w:sz="4" w:space="0" w:color="auto"/>
              <w:bottom w:val="single" w:sz="4" w:space="0" w:color="auto"/>
              <w:right w:val="single" w:sz="4" w:space="0" w:color="auto"/>
            </w:tcBorders>
            <w:vAlign w:val="center"/>
            <w:hideMark/>
          </w:tcPr>
          <w:p w14:paraId="107E3C4B" w14:textId="77777777" w:rsidR="008B6742" w:rsidRPr="00DC77E0" w:rsidRDefault="008B6742" w:rsidP="005A7661">
            <w:pPr>
              <w:spacing w:after="0"/>
              <w:jc w:val="center"/>
              <w:rPr>
                <w:rFonts w:ascii="Arial" w:hAnsi="Arial"/>
                <w:color w:val="000000"/>
                <w:sz w:val="18"/>
                <w:szCs w:val="18"/>
                <w:lang w:eastAsia="fr-FR"/>
              </w:rPr>
            </w:pPr>
            <w:r w:rsidRPr="00DC77E0">
              <w:rPr>
                <w:rFonts w:ascii="Arial" w:hAnsi="Arial"/>
                <w:color w:val="000000"/>
                <w:sz w:val="18"/>
                <w:szCs w:val="18"/>
                <w:lang w:eastAsia="fr-FR"/>
              </w:rPr>
              <w:t>LC</w:t>
            </w:r>
          </w:p>
        </w:tc>
        <w:tc>
          <w:tcPr>
            <w:tcW w:w="263" w:type="pct"/>
            <w:tcBorders>
              <w:top w:val="single" w:sz="4" w:space="0" w:color="auto"/>
              <w:left w:val="single" w:sz="4" w:space="0" w:color="auto"/>
              <w:bottom w:val="single" w:sz="4" w:space="0" w:color="auto"/>
              <w:right w:val="single" w:sz="4" w:space="0" w:color="auto"/>
            </w:tcBorders>
            <w:vAlign w:val="center"/>
            <w:hideMark/>
          </w:tcPr>
          <w:p w14:paraId="55DBCDBB" w14:textId="77777777" w:rsidR="008B6742" w:rsidRPr="00DC77E0" w:rsidRDefault="008B6742" w:rsidP="005A7661">
            <w:pPr>
              <w:spacing w:after="0"/>
              <w:jc w:val="center"/>
              <w:rPr>
                <w:rFonts w:ascii="Arial" w:hAnsi="Arial"/>
                <w:color w:val="000000"/>
                <w:sz w:val="18"/>
                <w:szCs w:val="18"/>
                <w:lang w:eastAsia="fr-FR"/>
              </w:rPr>
            </w:pPr>
            <w:r w:rsidRPr="00DC77E0">
              <w:rPr>
                <w:rFonts w:ascii="Arial" w:hAnsi="Arial"/>
                <w:color w:val="000000"/>
                <w:sz w:val="18"/>
                <w:szCs w:val="18"/>
                <w:lang w:eastAsia="fr-FR"/>
              </w:rPr>
              <w:t>-</w:t>
            </w:r>
          </w:p>
        </w:tc>
        <w:tc>
          <w:tcPr>
            <w:tcW w:w="263" w:type="pct"/>
            <w:tcBorders>
              <w:top w:val="single" w:sz="4" w:space="0" w:color="auto"/>
              <w:left w:val="single" w:sz="4" w:space="0" w:color="auto"/>
              <w:bottom w:val="single" w:sz="4" w:space="0" w:color="auto"/>
              <w:right w:val="single" w:sz="4" w:space="0" w:color="auto"/>
            </w:tcBorders>
            <w:vAlign w:val="center"/>
            <w:hideMark/>
          </w:tcPr>
          <w:p w14:paraId="6C705985" w14:textId="77777777" w:rsidR="008B6742" w:rsidRPr="00DC77E0" w:rsidRDefault="008B6742" w:rsidP="005A7661">
            <w:pPr>
              <w:spacing w:after="0"/>
              <w:jc w:val="center"/>
              <w:rPr>
                <w:rFonts w:ascii="Arial" w:hAnsi="Arial"/>
                <w:color w:val="000000"/>
                <w:sz w:val="18"/>
                <w:szCs w:val="18"/>
                <w:lang w:eastAsia="fr-FR"/>
              </w:rPr>
            </w:pPr>
            <w:r w:rsidRPr="00DC77E0">
              <w:rPr>
                <w:rFonts w:ascii="Arial" w:hAnsi="Arial"/>
                <w:color w:val="000000"/>
                <w:sz w:val="18"/>
                <w:szCs w:val="18"/>
                <w:lang w:eastAsia="fr-FR"/>
              </w:rPr>
              <w:t>-</w:t>
            </w:r>
          </w:p>
        </w:tc>
        <w:tc>
          <w:tcPr>
            <w:tcW w:w="263" w:type="pct"/>
            <w:tcBorders>
              <w:top w:val="single" w:sz="4" w:space="0" w:color="auto"/>
              <w:left w:val="single" w:sz="4" w:space="0" w:color="auto"/>
              <w:bottom w:val="single" w:sz="4" w:space="0" w:color="auto"/>
              <w:right w:val="single" w:sz="4" w:space="0" w:color="auto"/>
            </w:tcBorders>
            <w:vAlign w:val="center"/>
            <w:hideMark/>
          </w:tcPr>
          <w:p w14:paraId="2D27344F" w14:textId="77777777" w:rsidR="008B6742" w:rsidRPr="00DC77E0" w:rsidRDefault="008B6742" w:rsidP="005A7661">
            <w:pPr>
              <w:spacing w:after="0"/>
              <w:jc w:val="center"/>
              <w:rPr>
                <w:rFonts w:ascii="Arial" w:hAnsi="Arial"/>
                <w:color w:val="000000"/>
                <w:sz w:val="18"/>
                <w:szCs w:val="18"/>
                <w:lang w:eastAsia="fr-FR"/>
              </w:rPr>
            </w:pPr>
            <w:r w:rsidRPr="00DC77E0">
              <w:rPr>
                <w:rFonts w:ascii="Arial" w:hAnsi="Arial"/>
                <w:color w:val="000000"/>
                <w:sz w:val="18"/>
                <w:szCs w:val="18"/>
                <w:lang w:eastAsia="fr-FR"/>
              </w:rPr>
              <w:t>An. II</w:t>
            </w:r>
          </w:p>
        </w:tc>
        <w:tc>
          <w:tcPr>
            <w:tcW w:w="262" w:type="pct"/>
            <w:tcBorders>
              <w:top w:val="single" w:sz="4" w:space="0" w:color="auto"/>
              <w:left w:val="single" w:sz="4" w:space="0" w:color="auto"/>
              <w:bottom w:val="single" w:sz="4" w:space="0" w:color="auto"/>
              <w:right w:val="single" w:sz="4" w:space="0" w:color="auto"/>
            </w:tcBorders>
            <w:shd w:val="clear" w:color="000000" w:fill="F4B084"/>
            <w:vAlign w:val="center"/>
            <w:hideMark/>
          </w:tcPr>
          <w:p w14:paraId="540E913E" w14:textId="77777777" w:rsidR="008B6742" w:rsidRPr="00DC77E0" w:rsidRDefault="008B6742" w:rsidP="005A7661">
            <w:pPr>
              <w:spacing w:after="0"/>
              <w:jc w:val="center"/>
              <w:rPr>
                <w:rFonts w:ascii="Arial" w:hAnsi="Arial"/>
                <w:color w:val="000000"/>
                <w:sz w:val="18"/>
                <w:szCs w:val="18"/>
                <w:lang w:eastAsia="fr-FR"/>
              </w:rPr>
            </w:pPr>
            <w:r w:rsidRPr="00DC77E0">
              <w:rPr>
                <w:rFonts w:ascii="Arial" w:hAnsi="Arial"/>
                <w:color w:val="000000"/>
                <w:sz w:val="18"/>
                <w:szCs w:val="18"/>
                <w:lang w:eastAsia="fr-FR"/>
              </w:rPr>
              <w:t>An. I</w:t>
            </w:r>
          </w:p>
        </w:tc>
      </w:tr>
      <w:tr w:rsidR="008B6742" w:rsidRPr="00DC77E0" w14:paraId="2B590352" w14:textId="77777777" w:rsidTr="00C107CD">
        <w:trPr>
          <w:trHeight w:val="288"/>
        </w:trPr>
        <w:tc>
          <w:tcPr>
            <w:tcW w:w="836" w:type="pct"/>
            <w:tcBorders>
              <w:top w:val="single" w:sz="4" w:space="0" w:color="auto"/>
              <w:left w:val="single" w:sz="4" w:space="0" w:color="auto"/>
              <w:bottom w:val="single" w:sz="4" w:space="0" w:color="auto"/>
              <w:right w:val="single" w:sz="4" w:space="0" w:color="auto"/>
            </w:tcBorders>
            <w:noWrap/>
            <w:vAlign w:val="bottom"/>
            <w:hideMark/>
          </w:tcPr>
          <w:p w14:paraId="29CCDC0A" w14:textId="77777777" w:rsidR="008B6742" w:rsidRPr="00DC77E0" w:rsidRDefault="008B6742" w:rsidP="005A7661">
            <w:pPr>
              <w:spacing w:after="0"/>
              <w:jc w:val="left"/>
              <w:rPr>
                <w:rFonts w:cs="Calibri"/>
                <w:color w:val="000000"/>
                <w:lang w:eastAsia="fr-FR"/>
              </w:rPr>
            </w:pPr>
            <w:r w:rsidRPr="00DC77E0">
              <w:rPr>
                <w:rFonts w:cs="Calibri"/>
                <w:color w:val="000000"/>
                <w:lang w:eastAsia="fr-FR"/>
              </w:rPr>
              <w:t>Sarcelle marbrée</w:t>
            </w:r>
          </w:p>
        </w:tc>
        <w:tc>
          <w:tcPr>
            <w:tcW w:w="975" w:type="pct"/>
            <w:tcBorders>
              <w:top w:val="single" w:sz="4" w:space="0" w:color="auto"/>
              <w:left w:val="single" w:sz="4" w:space="0" w:color="auto"/>
              <w:bottom w:val="single" w:sz="4" w:space="0" w:color="auto"/>
              <w:right w:val="single" w:sz="4" w:space="0" w:color="auto"/>
            </w:tcBorders>
            <w:noWrap/>
            <w:vAlign w:val="bottom"/>
            <w:hideMark/>
          </w:tcPr>
          <w:p w14:paraId="33222960" w14:textId="77777777" w:rsidR="008B6742" w:rsidRPr="00DC77E0" w:rsidRDefault="008B6742" w:rsidP="005A7661">
            <w:pPr>
              <w:spacing w:after="0"/>
              <w:jc w:val="left"/>
              <w:rPr>
                <w:rFonts w:cs="Calibri"/>
                <w:i/>
                <w:iCs/>
                <w:color w:val="000000"/>
                <w:lang w:eastAsia="fr-FR"/>
              </w:rPr>
            </w:pPr>
            <w:r w:rsidRPr="00DC77E0">
              <w:rPr>
                <w:rFonts w:cs="Calibri"/>
                <w:i/>
                <w:iCs/>
                <w:color w:val="000000"/>
                <w:lang w:eastAsia="fr-FR"/>
              </w:rPr>
              <w:t>Marmaronetta angustirostris</w:t>
            </w:r>
          </w:p>
        </w:tc>
        <w:tc>
          <w:tcPr>
            <w:tcW w:w="517" w:type="pct"/>
            <w:tcBorders>
              <w:top w:val="single" w:sz="4" w:space="0" w:color="auto"/>
              <w:left w:val="single" w:sz="4" w:space="0" w:color="auto"/>
              <w:bottom w:val="single" w:sz="4" w:space="0" w:color="auto"/>
              <w:right w:val="single" w:sz="4" w:space="0" w:color="auto"/>
            </w:tcBorders>
            <w:vAlign w:val="center"/>
          </w:tcPr>
          <w:p w14:paraId="409A1520" w14:textId="77777777" w:rsidR="008B6742" w:rsidRPr="00DC77E0" w:rsidRDefault="008B6742" w:rsidP="005A7661">
            <w:pPr>
              <w:spacing w:after="0"/>
              <w:jc w:val="center"/>
              <w:rPr>
                <w:rFonts w:ascii="Arial" w:hAnsi="Arial"/>
                <w:color w:val="000000"/>
                <w:sz w:val="18"/>
                <w:szCs w:val="18"/>
                <w:lang w:eastAsia="fr-FR"/>
              </w:rPr>
            </w:pPr>
            <w:r w:rsidRPr="00424FDB">
              <w:rPr>
                <w:rFonts w:ascii="Aptos Narrow" w:hAnsi="Aptos Narrow" w:cs="Times New Roman"/>
                <w:color w:val="000000"/>
                <w:lang w:eastAsia="fr-FR"/>
              </w:rPr>
              <w:t>ZA</w:t>
            </w:r>
          </w:p>
        </w:tc>
        <w:tc>
          <w:tcPr>
            <w:tcW w:w="517" w:type="pct"/>
            <w:tcBorders>
              <w:top w:val="single" w:sz="4" w:space="0" w:color="auto"/>
              <w:left w:val="single" w:sz="4" w:space="0" w:color="auto"/>
              <w:bottom w:val="single" w:sz="4" w:space="0" w:color="auto"/>
              <w:right w:val="single" w:sz="4" w:space="0" w:color="auto"/>
            </w:tcBorders>
            <w:vAlign w:val="center"/>
            <w:hideMark/>
          </w:tcPr>
          <w:p w14:paraId="722950E0" w14:textId="77777777" w:rsidR="008B6742" w:rsidRPr="00DC77E0" w:rsidRDefault="008B6742" w:rsidP="005A7661">
            <w:pPr>
              <w:spacing w:after="0"/>
              <w:jc w:val="center"/>
              <w:rPr>
                <w:rFonts w:ascii="Arial" w:hAnsi="Arial"/>
                <w:color w:val="000000"/>
                <w:sz w:val="18"/>
                <w:szCs w:val="18"/>
                <w:lang w:eastAsia="fr-FR"/>
              </w:rPr>
            </w:pPr>
            <w:r w:rsidRPr="00DC77E0">
              <w:rPr>
                <w:rFonts w:ascii="Arial" w:hAnsi="Arial"/>
                <w:color w:val="000000"/>
                <w:sz w:val="18"/>
                <w:szCs w:val="18"/>
                <w:lang w:eastAsia="fr-FR"/>
              </w:rPr>
              <w:t>NM, MP, HO</w:t>
            </w:r>
          </w:p>
        </w:tc>
        <w:tc>
          <w:tcPr>
            <w:tcW w:w="434" w:type="pct"/>
            <w:tcBorders>
              <w:top w:val="single" w:sz="4" w:space="0" w:color="auto"/>
              <w:left w:val="single" w:sz="4" w:space="0" w:color="auto"/>
              <w:bottom w:val="single" w:sz="4" w:space="0" w:color="auto"/>
              <w:right w:val="single" w:sz="4" w:space="0" w:color="auto"/>
            </w:tcBorders>
            <w:vAlign w:val="center"/>
            <w:hideMark/>
          </w:tcPr>
          <w:p w14:paraId="3610A2ED" w14:textId="77777777" w:rsidR="008B6742" w:rsidRPr="00DC77E0" w:rsidRDefault="008B6742" w:rsidP="005A7661">
            <w:pPr>
              <w:spacing w:after="0"/>
              <w:jc w:val="center"/>
              <w:rPr>
                <w:rFonts w:ascii="Arial" w:hAnsi="Arial"/>
                <w:color w:val="000000"/>
                <w:sz w:val="18"/>
                <w:szCs w:val="18"/>
                <w:lang w:eastAsia="fr-FR"/>
              </w:rPr>
            </w:pPr>
            <w:r w:rsidRPr="00DC77E0">
              <w:rPr>
                <w:rFonts w:ascii="Arial" w:hAnsi="Arial"/>
                <w:color w:val="000000"/>
                <w:sz w:val="18"/>
                <w:szCs w:val="18"/>
                <w:lang w:eastAsia="fr-FR"/>
              </w:rPr>
              <w:t>Protégée</w:t>
            </w:r>
          </w:p>
        </w:tc>
        <w:tc>
          <w:tcPr>
            <w:tcW w:w="345" w:type="pct"/>
            <w:tcBorders>
              <w:top w:val="single" w:sz="4" w:space="0" w:color="auto"/>
              <w:left w:val="single" w:sz="4" w:space="0" w:color="auto"/>
              <w:bottom w:val="single" w:sz="4" w:space="0" w:color="auto"/>
              <w:right w:val="single" w:sz="4" w:space="0" w:color="auto"/>
            </w:tcBorders>
            <w:vAlign w:val="center"/>
            <w:hideMark/>
          </w:tcPr>
          <w:p w14:paraId="37473A2F" w14:textId="77777777" w:rsidR="008B6742" w:rsidRPr="00DC77E0" w:rsidRDefault="008B6742" w:rsidP="005A7661">
            <w:pPr>
              <w:spacing w:after="0"/>
              <w:jc w:val="center"/>
              <w:rPr>
                <w:rFonts w:ascii="Arial" w:hAnsi="Arial"/>
                <w:color w:val="000000"/>
                <w:sz w:val="18"/>
                <w:szCs w:val="18"/>
                <w:lang w:eastAsia="fr-FR"/>
              </w:rPr>
            </w:pPr>
            <w:r w:rsidRPr="00DC77E0">
              <w:rPr>
                <w:rFonts w:ascii="Arial" w:hAnsi="Arial"/>
                <w:color w:val="000000"/>
                <w:sz w:val="18"/>
                <w:szCs w:val="18"/>
                <w:lang w:eastAsia="fr-FR"/>
              </w:rPr>
              <w:t>Catégorie IV</w:t>
            </w:r>
          </w:p>
        </w:tc>
        <w:tc>
          <w:tcPr>
            <w:tcW w:w="326" w:type="pct"/>
            <w:tcBorders>
              <w:top w:val="single" w:sz="4" w:space="0" w:color="auto"/>
              <w:left w:val="single" w:sz="4" w:space="0" w:color="auto"/>
              <w:bottom w:val="single" w:sz="4" w:space="0" w:color="auto"/>
              <w:right w:val="single" w:sz="4" w:space="0" w:color="auto"/>
            </w:tcBorders>
            <w:shd w:val="clear" w:color="000000" w:fill="F8CBAD"/>
            <w:vAlign w:val="center"/>
            <w:hideMark/>
          </w:tcPr>
          <w:p w14:paraId="428FFFFB" w14:textId="77777777" w:rsidR="008B6742" w:rsidRPr="00DC77E0" w:rsidRDefault="008B6742" w:rsidP="005A7661">
            <w:pPr>
              <w:spacing w:after="0"/>
              <w:jc w:val="center"/>
              <w:rPr>
                <w:rFonts w:ascii="Arial" w:hAnsi="Arial"/>
                <w:color w:val="000000"/>
                <w:sz w:val="18"/>
                <w:szCs w:val="18"/>
                <w:lang w:eastAsia="fr-FR"/>
              </w:rPr>
            </w:pPr>
            <w:r w:rsidRPr="00DC77E0">
              <w:rPr>
                <w:rFonts w:ascii="Arial" w:hAnsi="Arial"/>
                <w:color w:val="000000"/>
                <w:sz w:val="18"/>
                <w:szCs w:val="18"/>
                <w:lang w:eastAsia="fr-FR"/>
              </w:rPr>
              <w:t>NT</w:t>
            </w:r>
          </w:p>
        </w:tc>
        <w:tc>
          <w:tcPr>
            <w:tcW w:w="263" w:type="pct"/>
            <w:tcBorders>
              <w:top w:val="single" w:sz="4" w:space="0" w:color="auto"/>
              <w:left w:val="single" w:sz="4" w:space="0" w:color="auto"/>
              <w:bottom w:val="single" w:sz="4" w:space="0" w:color="auto"/>
              <w:right w:val="single" w:sz="4" w:space="0" w:color="auto"/>
            </w:tcBorders>
            <w:vAlign w:val="center"/>
            <w:hideMark/>
          </w:tcPr>
          <w:p w14:paraId="295C1108" w14:textId="77777777" w:rsidR="008B6742" w:rsidRPr="00DC77E0" w:rsidRDefault="008B6742" w:rsidP="005A7661">
            <w:pPr>
              <w:spacing w:after="0"/>
              <w:jc w:val="center"/>
              <w:rPr>
                <w:rFonts w:ascii="Arial" w:hAnsi="Arial"/>
                <w:color w:val="000000"/>
                <w:sz w:val="18"/>
                <w:szCs w:val="18"/>
                <w:lang w:eastAsia="fr-FR"/>
              </w:rPr>
            </w:pPr>
            <w:r w:rsidRPr="00DC77E0">
              <w:rPr>
                <w:rFonts w:ascii="Arial" w:hAnsi="Arial"/>
                <w:color w:val="000000"/>
                <w:sz w:val="18"/>
                <w:szCs w:val="18"/>
                <w:lang w:eastAsia="fr-FR"/>
              </w:rPr>
              <w:t> </w:t>
            </w:r>
          </w:p>
        </w:tc>
        <w:tc>
          <w:tcPr>
            <w:tcW w:w="263" w:type="pct"/>
            <w:tcBorders>
              <w:top w:val="single" w:sz="4" w:space="0" w:color="auto"/>
              <w:left w:val="single" w:sz="4" w:space="0" w:color="auto"/>
              <w:bottom w:val="single" w:sz="4" w:space="0" w:color="auto"/>
              <w:right w:val="single" w:sz="4" w:space="0" w:color="auto"/>
            </w:tcBorders>
            <w:vAlign w:val="center"/>
            <w:hideMark/>
          </w:tcPr>
          <w:p w14:paraId="4C06395F" w14:textId="77777777" w:rsidR="008B6742" w:rsidRPr="00DC77E0" w:rsidRDefault="008B6742" w:rsidP="005A7661">
            <w:pPr>
              <w:spacing w:after="0"/>
              <w:jc w:val="center"/>
              <w:rPr>
                <w:rFonts w:ascii="Arial" w:hAnsi="Arial"/>
                <w:color w:val="000000"/>
                <w:sz w:val="18"/>
                <w:szCs w:val="18"/>
                <w:lang w:eastAsia="fr-FR"/>
              </w:rPr>
            </w:pPr>
            <w:r w:rsidRPr="00DC77E0">
              <w:rPr>
                <w:rFonts w:ascii="Arial" w:hAnsi="Arial"/>
                <w:color w:val="000000"/>
                <w:sz w:val="18"/>
                <w:szCs w:val="18"/>
                <w:lang w:eastAsia="fr-FR"/>
              </w:rPr>
              <w:t>-</w:t>
            </w:r>
          </w:p>
        </w:tc>
        <w:tc>
          <w:tcPr>
            <w:tcW w:w="263" w:type="pct"/>
            <w:tcBorders>
              <w:top w:val="single" w:sz="4" w:space="0" w:color="auto"/>
              <w:left w:val="single" w:sz="4" w:space="0" w:color="auto"/>
              <w:bottom w:val="single" w:sz="4" w:space="0" w:color="auto"/>
              <w:right w:val="single" w:sz="4" w:space="0" w:color="auto"/>
            </w:tcBorders>
            <w:vAlign w:val="center"/>
            <w:hideMark/>
          </w:tcPr>
          <w:p w14:paraId="25D3C6B5" w14:textId="77777777" w:rsidR="008B6742" w:rsidRPr="00DC77E0" w:rsidRDefault="008B6742" w:rsidP="005A7661">
            <w:pPr>
              <w:spacing w:after="0"/>
              <w:jc w:val="center"/>
              <w:rPr>
                <w:rFonts w:ascii="Arial" w:hAnsi="Arial"/>
                <w:color w:val="000000"/>
                <w:sz w:val="18"/>
                <w:szCs w:val="18"/>
                <w:lang w:eastAsia="fr-FR"/>
              </w:rPr>
            </w:pPr>
            <w:r w:rsidRPr="00DC77E0">
              <w:rPr>
                <w:rFonts w:ascii="Arial" w:hAnsi="Arial"/>
                <w:color w:val="000000"/>
                <w:sz w:val="18"/>
                <w:szCs w:val="18"/>
                <w:lang w:eastAsia="fr-FR"/>
              </w:rPr>
              <w:t>An. II</w:t>
            </w:r>
          </w:p>
        </w:tc>
        <w:tc>
          <w:tcPr>
            <w:tcW w:w="262" w:type="pct"/>
            <w:tcBorders>
              <w:top w:val="single" w:sz="4" w:space="0" w:color="auto"/>
              <w:left w:val="single" w:sz="4" w:space="0" w:color="auto"/>
              <w:bottom w:val="single" w:sz="4" w:space="0" w:color="auto"/>
              <w:right w:val="single" w:sz="4" w:space="0" w:color="auto"/>
            </w:tcBorders>
            <w:shd w:val="clear" w:color="000000" w:fill="F4B084"/>
            <w:vAlign w:val="center"/>
            <w:hideMark/>
          </w:tcPr>
          <w:p w14:paraId="487AD563" w14:textId="77777777" w:rsidR="008B6742" w:rsidRPr="00DC77E0" w:rsidRDefault="008B6742" w:rsidP="005A7661">
            <w:pPr>
              <w:spacing w:after="0"/>
              <w:jc w:val="center"/>
              <w:rPr>
                <w:rFonts w:ascii="Arial" w:hAnsi="Arial"/>
                <w:color w:val="000000"/>
                <w:sz w:val="18"/>
                <w:szCs w:val="18"/>
                <w:lang w:eastAsia="fr-FR"/>
              </w:rPr>
            </w:pPr>
            <w:r w:rsidRPr="00DC77E0">
              <w:rPr>
                <w:rFonts w:ascii="Arial" w:hAnsi="Arial"/>
                <w:color w:val="000000"/>
                <w:sz w:val="18"/>
                <w:szCs w:val="18"/>
                <w:lang w:eastAsia="fr-FR"/>
              </w:rPr>
              <w:t>An. I</w:t>
            </w:r>
          </w:p>
        </w:tc>
      </w:tr>
      <w:tr w:rsidR="008B6742" w:rsidRPr="00DC77E0" w14:paraId="62AF34E6" w14:textId="77777777" w:rsidTr="00C107CD">
        <w:trPr>
          <w:trHeight w:val="288"/>
        </w:trPr>
        <w:tc>
          <w:tcPr>
            <w:tcW w:w="836" w:type="pct"/>
            <w:tcBorders>
              <w:top w:val="single" w:sz="4" w:space="0" w:color="auto"/>
              <w:left w:val="single" w:sz="4" w:space="0" w:color="auto"/>
              <w:bottom w:val="single" w:sz="4" w:space="0" w:color="auto"/>
              <w:right w:val="single" w:sz="4" w:space="0" w:color="auto"/>
            </w:tcBorders>
            <w:noWrap/>
            <w:vAlign w:val="bottom"/>
            <w:hideMark/>
          </w:tcPr>
          <w:p w14:paraId="10E117CA" w14:textId="77777777" w:rsidR="008B6742" w:rsidRPr="00DC77E0" w:rsidRDefault="008B6742" w:rsidP="005A7661">
            <w:pPr>
              <w:spacing w:after="0"/>
              <w:jc w:val="left"/>
              <w:rPr>
                <w:rFonts w:cs="Calibri"/>
                <w:color w:val="000000"/>
                <w:lang w:eastAsia="fr-FR"/>
              </w:rPr>
            </w:pPr>
            <w:r w:rsidRPr="00DC77E0">
              <w:rPr>
                <w:rFonts w:cs="Calibri"/>
                <w:color w:val="000000"/>
                <w:lang w:eastAsia="fr-FR"/>
              </w:rPr>
              <w:t>Tourterelle des bois</w:t>
            </w:r>
          </w:p>
        </w:tc>
        <w:tc>
          <w:tcPr>
            <w:tcW w:w="975" w:type="pct"/>
            <w:tcBorders>
              <w:top w:val="single" w:sz="4" w:space="0" w:color="auto"/>
              <w:left w:val="single" w:sz="4" w:space="0" w:color="auto"/>
              <w:bottom w:val="single" w:sz="4" w:space="0" w:color="auto"/>
              <w:right w:val="single" w:sz="4" w:space="0" w:color="auto"/>
            </w:tcBorders>
            <w:noWrap/>
            <w:vAlign w:val="bottom"/>
            <w:hideMark/>
          </w:tcPr>
          <w:p w14:paraId="265A604C" w14:textId="77777777" w:rsidR="008B6742" w:rsidRPr="00DC77E0" w:rsidRDefault="008B6742" w:rsidP="005A7661">
            <w:pPr>
              <w:spacing w:after="0"/>
              <w:jc w:val="left"/>
              <w:rPr>
                <w:rFonts w:cs="Calibri"/>
                <w:i/>
                <w:iCs/>
                <w:color w:val="000000"/>
                <w:lang w:eastAsia="fr-FR"/>
              </w:rPr>
            </w:pPr>
            <w:r w:rsidRPr="00DC77E0">
              <w:rPr>
                <w:rFonts w:cs="Calibri"/>
                <w:i/>
                <w:iCs/>
                <w:color w:val="000000"/>
                <w:lang w:eastAsia="fr-FR"/>
              </w:rPr>
              <w:t>Streptopelia turtur</w:t>
            </w:r>
          </w:p>
        </w:tc>
        <w:tc>
          <w:tcPr>
            <w:tcW w:w="517" w:type="pct"/>
            <w:tcBorders>
              <w:top w:val="single" w:sz="4" w:space="0" w:color="auto"/>
              <w:left w:val="single" w:sz="4" w:space="0" w:color="auto"/>
              <w:bottom w:val="single" w:sz="4" w:space="0" w:color="auto"/>
              <w:right w:val="single" w:sz="4" w:space="0" w:color="auto"/>
            </w:tcBorders>
            <w:vAlign w:val="center"/>
          </w:tcPr>
          <w:p w14:paraId="742D1B1F" w14:textId="77777777" w:rsidR="008B6742" w:rsidRPr="00DC77E0" w:rsidRDefault="008B6742" w:rsidP="005A7661">
            <w:pPr>
              <w:spacing w:after="0"/>
              <w:jc w:val="center"/>
              <w:rPr>
                <w:rFonts w:ascii="Arial" w:hAnsi="Arial"/>
                <w:color w:val="000000"/>
                <w:sz w:val="18"/>
                <w:szCs w:val="18"/>
                <w:lang w:eastAsia="fr-FR"/>
              </w:rPr>
            </w:pPr>
            <w:r w:rsidRPr="00424FDB">
              <w:rPr>
                <w:rFonts w:ascii="Aptos Narrow" w:hAnsi="Aptos Narrow" w:cs="Times New Roman"/>
                <w:color w:val="000000"/>
                <w:lang w:eastAsia="fr-FR"/>
              </w:rPr>
              <w:t>ZA</w:t>
            </w:r>
          </w:p>
        </w:tc>
        <w:tc>
          <w:tcPr>
            <w:tcW w:w="517" w:type="pct"/>
            <w:tcBorders>
              <w:top w:val="single" w:sz="4" w:space="0" w:color="auto"/>
              <w:left w:val="single" w:sz="4" w:space="0" w:color="auto"/>
              <w:bottom w:val="single" w:sz="4" w:space="0" w:color="auto"/>
              <w:right w:val="single" w:sz="4" w:space="0" w:color="auto"/>
            </w:tcBorders>
            <w:vAlign w:val="center"/>
            <w:hideMark/>
          </w:tcPr>
          <w:p w14:paraId="01767A76" w14:textId="77777777" w:rsidR="008B6742" w:rsidRPr="00DC77E0" w:rsidRDefault="008B6742" w:rsidP="005A7661">
            <w:pPr>
              <w:spacing w:after="0"/>
              <w:jc w:val="center"/>
              <w:rPr>
                <w:rFonts w:ascii="Arial" w:hAnsi="Arial"/>
                <w:color w:val="000000"/>
                <w:sz w:val="18"/>
                <w:szCs w:val="18"/>
                <w:lang w:eastAsia="fr-FR"/>
              </w:rPr>
            </w:pPr>
            <w:r w:rsidRPr="00DC77E0">
              <w:rPr>
                <w:rFonts w:ascii="Arial" w:hAnsi="Arial"/>
                <w:color w:val="000000"/>
                <w:sz w:val="18"/>
                <w:szCs w:val="18"/>
                <w:lang w:eastAsia="fr-FR"/>
              </w:rPr>
              <w:t>NM, MP, HO</w:t>
            </w:r>
          </w:p>
        </w:tc>
        <w:tc>
          <w:tcPr>
            <w:tcW w:w="434" w:type="pct"/>
            <w:tcBorders>
              <w:top w:val="single" w:sz="4" w:space="0" w:color="auto"/>
              <w:left w:val="single" w:sz="4" w:space="0" w:color="auto"/>
              <w:bottom w:val="single" w:sz="4" w:space="0" w:color="auto"/>
              <w:right w:val="single" w:sz="4" w:space="0" w:color="auto"/>
            </w:tcBorders>
            <w:vAlign w:val="center"/>
            <w:hideMark/>
          </w:tcPr>
          <w:p w14:paraId="3944C0A2" w14:textId="77777777" w:rsidR="008B6742" w:rsidRPr="00DC77E0" w:rsidRDefault="008B6742" w:rsidP="005A7661">
            <w:pPr>
              <w:spacing w:after="0"/>
              <w:jc w:val="center"/>
              <w:rPr>
                <w:rFonts w:ascii="Arial" w:hAnsi="Arial"/>
                <w:color w:val="000000"/>
                <w:sz w:val="18"/>
                <w:szCs w:val="18"/>
                <w:lang w:eastAsia="fr-FR"/>
              </w:rPr>
            </w:pPr>
            <w:r w:rsidRPr="00DC77E0">
              <w:rPr>
                <w:rFonts w:ascii="Arial" w:hAnsi="Arial"/>
                <w:color w:val="000000"/>
                <w:sz w:val="18"/>
                <w:szCs w:val="18"/>
                <w:lang w:eastAsia="fr-FR"/>
              </w:rPr>
              <w:t>-</w:t>
            </w:r>
          </w:p>
        </w:tc>
        <w:tc>
          <w:tcPr>
            <w:tcW w:w="345" w:type="pct"/>
            <w:tcBorders>
              <w:top w:val="single" w:sz="4" w:space="0" w:color="auto"/>
              <w:left w:val="single" w:sz="4" w:space="0" w:color="auto"/>
              <w:bottom w:val="single" w:sz="4" w:space="0" w:color="auto"/>
              <w:right w:val="single" w:sz="4" w:space="0" w:color="auto"/>
            </w:tcBorders>
            <w:vAlign w:val="center"/>
            <w:hideMark/>
          </w:tcPr>
          <w:p w14:paraId="1D9ED06F" w14:textId="77777777" w:rsidR="008B6742" w:rsidRPr="00DC77E0" w:rsidRDefault="008B6742" w:rsidP="005A7661">
            <w:pPr>
              <w:spacing w:after="0"/>
              <w:jc w:val="center"/>
              <w:rPr>
                <w:rFonts w:ascii="Arial" w:hAnsi="Arial"/>
                <w:color w:val="000000"/>
                <w:sz w:val="18"/>
                <w:szCs w:val="18"/>
                <w:lang w:eastAsia="fr-FR"/>
              </w:rPr>
            </w:pPr>
            <w:r w:rsidRPr="00DC77E0">
              <w:rPr>
                <w:rFonts w:ascii="Arial" w:hAnsi="Arial"/>
                <w:color w:val="000000"/>
                <w:sz w:val="18"/>
                <w:szCs w:val="18"/>
                <w:lang w:eastAsia="fr-FR"/>
              </w:rPr>
              <w:t>-</w:t>
            </w:r>
          </w:p>
        </w:tc>
        <w:tc>
          <w:tcPr>
            <w:tcW w:w="326" w:type="pct"/>
            <w:tcBorders>
              <w:top w:val="single" w:sz="4" w:space="0" w:color="auto"/>
              <w:left w:val="single" w:sz="4" w:space="0" w:color="auto"/>
              <w:bottom w:val="single" w:sz="4" w:space="0" w:color="auto"/>
              <w:right w:val="single" w:sz="4" w:space="0" w:color="auto"/>
            </w:tcBorders>
            <w:shd w:val="clear" w:color="000000" w:fill="F4B084"/>
            <w:vAlign w:val="center"/>
            <w:hideMark/>
          </w:tcPr>
          <w:p w14:paraId="70AEFF7F" w14:textId="77777777" w:rsidR="008B6742" w:rsidRPr="00DC77E0" w:rsidRDefault="008B6742" w:rsidP="005A7661">
            <w:pPr>
              <w:spacing w:after="0"/>
              <w:jc w:val="center"/>
              <w:rPr>
                <w:rFonts w:ascii="Arial" w:hAnsi="Arial"/>
                <w:color w:val="000000"/>
                <w:sz w:val="18"/>
                <w:szCs w:val="18"/>
                <w:lang w:eastAsia="fr-FR"/>
              </w:rPr>
            </w:pPr>
            <w:r w:rsidRPr="00DC77E0">
              <w:rPr>
                <w:rFonts w:ascii="Arial" w:hAnsi="Arial"/>
                <w:color w:val="000000"/>
                <w:sz w:val="18"/>
                <w:szCs w:val="18"/>
                <w:lang w:eastAsia="fr-FR"/>
              </w:rPr>
              <w:t>VU</w:t>
            </w:r>
          </w:p>
        </w:tc>
        <w:tc>
          <w:tcPr>
            <w:tcW w:w="263" w:type="pct"/>
            <w:tcBorders>
              <w:top w:val="single" w:sz="4" w:space="0" w:color="auto"/>
              <w:left w:val="single" w:sz="4" w:space="0" w:color="auto"/>
              <w:bottom w:val="single" w:sz="4" w:space="0" w:color="auto"/>
              <w:right w:val="single" w:sz="4" w:space="0" w:color="auto"/>
            </w:tcBorders>
            <w:vAlign w:val="center"/>
            <w:hideMark/>
          </w:tcPr>
          <w:p w14:paraId="048CAECA" w14:textId="77777777" w:rsidR="008B6742" w:rsidRPr="00DC77E0" w:rsidRDefault="008B6742" w:rsidP="005A7661">
            <w:pPr>
              <w:spacing w:after="0"/>
              <w:jc w:val="center"/>
              <w:rPr>
                <w:rFonts w:ascii="Arial" w:hAnsi="Arial"/>
                <w:color w:val="000000"/>
                <w:sz w:val="18"/>
                <w:szCs w:val="18"/>
                <w:lang w:eastAsia="fr-FR"/>
              </w:rPr>
            </w:pPr>
            <w:r w:rsidRPr="00DC77E0">
              <w:rPr>
                <w:rFonts w:ascii="Arial" w:hAnsi="Arial"/>
                <w:color w:val="000000"/>
                <w:sz w:val="18"/>
                <w:szCs w:val="18"/>
                <w:lang w:eastAsia="fr-FR"/>
              </w:rPr>
              <w:t xml:space="preserve">- </w:t>
            </w:r>
          </w:p>
        </w:tc>
        <w:tc>
          <w:tcPr>
            <w:tcW w:w="263" w:type="pct"/>
            <w:tcBorders>
              <w:top w:val="single" w:sz="4" w:space="0" w:color="auto"/>
              <w:left w:val="single" w:sz="4" w:space="0" w:color="auto"/>
              <w:bottom w:val="single" w:sz="4" w:space="0" w:color="auto"/>
              <w:right w:val="single" w:sz="4" w:space="0" w:color="auto"/>
            </w:tcBorders>
            <w:vAlign w:val="center"/>
            <w:hideMark/>
          </w:tcPr>
          <w:p w14:paraId="241A3468" w14:textId="77777777" w:rsidR="008B6742" w:rsidRPr="00DC77E0" w:rsidRDefault="008B6742" w:rsidP="005A7661">
            <w:pPr>
              <w:spacing w:after="0"/>
              <w:jc w:val="center"/>
              <w:rPr>
                <w:rFonts w:ascii="Arial" w:hAnsi="Arial"/>
                <w:color w:val="000000"/>
                <w:sz w:val="18"/>
                <w:szCs w:val="18"/>
                <w:lang w:eastAsia="fr-FR"/>
              </w:rPr>
            </w:pPr>
            <w:r w:rsidRPr="00DC77E0">
              <w:rPr>
                <w:rFonts w:ascii="Arial" w:hAnsi="Arial"/>
                <w:color w:val="000000"/>
                <w:sz w:val="18"/>
                <w:szCs w:val="18"/>
                <w:lang w:eastAsia="fr-FR"/>
              </w:rPr>
              <w:t>-</w:t>
            </w:r>
          </w:p>
        </w:tc>
        <w:tc>
          <w:tcPr>
            <w:tcW w:w="263" w:type="pct"/>
            <w:tcBorders>
              <w:top w:val="single" w:sz="4" w:space="0" w:color="auto"/>
              <w:left w:val="single" w:sz="4" w:space="0" w:color="auto"/>
              <w:bottom w:val="single" w:sz="4" w:space="0" w:color="auto"/>
              <w:right w:val="single" w:sz="4" w:space="0" w:color="auto"/>
            </w:tcBorders>
            <w:vAlign w:val="center"/>
            <w:hideMark/>
          </w:tcPr>
          <w:p w14:paraId="1C593607" w14:textId="77777777" w:rsidR="008B6742" w:rsidRPr="00DC77E0" w:rsidRDefault="008B6742" w:rsidP="005A7661">
            <w:pPr>
              <w:spacing w:after="0"/>
              <w:jc w:val="center"/>
              <w:rPr>
                <w:rFonts w:ascii="Arial" w:hAnsi="Arial"/>
                <w:color w:val="000000"/>
                <w:sz w:val="18"/>
                <w:szCs w:val="18"/>
                <w:lang w:eastAsia="fr-FR"/>
              </w:rPr>
            </w:pPr>
            <w:r w:rsidRPr="00DC77E0">
              <w:rPr>
                <w:rFonts w:ascii="Arial" w:hAnsi="Arial"/>
                <w:color w:val="000000"/>
                <w:sz w:val="18"/>
                <w:szCs w:val="18"/>
                <w:lang w:eastAsia="fr-FR"/>
              </w:rPr>
              <w:t>An. III</w:t>
            </w:r>
          </w:p>
        </w:tc>
        <w:tc>
          <w:tcPr>
            <w:tcW w:w="262" w:type="pct"/>
            <w:tcBorders>
              <w:top w:val="single" w:sz="4" w:space="0" w:color="auto"/>
              <w:left w:val="single" w:sz="4" w:space="0" w:color="auto"/>
              <w:bottom w:val="single" w:sz="4" w:space="0" w:color="auto"/>
              <w:right w:val="single" w:sz="4" w:space="0" w:color="auto"/>
            </w:tcBorders>
            <w:vAlign w:val="center"/>
            <w:hideMark/>
          </w:tcPr>
          <w:p w14:paraId="257A5F85" w14:textId="77777777" w:rsidR="008B6742" w:rsidRPr="00DC77E0" w:rsidRDefault="008B6742" w:rsidP="005A7661">
            <w:pPr>
              <w:spacing w:after="0"/>
              <w:jc w:val="center"/>
              <w:rPr>
                <w:rFonts w:ascii="Arial" w:hAnsi="Arial"/>
                <w:color w:val="000000"/>
                <w:sz w:val="18"/>
                <w:szCs w:val="18"/>
                <w:lang w:eastAsia="fr-FR"/>
              </w:rPr>
            </w:pPr>
            <w:r w:rsidRPr="00DC77E0">
              <w:rPr>
                <w:rFonts w:ascii="Arial" w:hAnsi="Arial"/>
                <w:color w:val="000000"/>
                <w:sz w:val="18"/>
                <w:szCs w:val="18"/>
                <w:lang w:eastAsia="fr-FR"/>
              </w:rPr>
              <w:t>An. II</w:t>
            </w:r>
          </w:p>
        </w:tc>
      </w:tr>
      <w:tr w:rsidR="00C107CD" w:rsidRPr="00DC77E0" w14:paraId="2A8070DB" w14:textId="77777777" w:rsidTr="00C107CD">
        <w:trPr>
          <w:trHeight w:val="288"/>
        </w:trPr>
        <w:tc>
          <w:tcPr>
            <w:tcW w:w="836" w:type="pct"/>
            <w:tcBorders>
              <w:top w:val="single" w:sz="4" w:space="0" w:color="auto"/>
              <w:left w:val="single" w:sz="4" w:space="0" w:color="auto"/>
              <w:bottom w:val="single" w:sz="4" w:space="0" w:color="auto"/>
              <w:right w:val="single" w:sz="4" w:space="0" w:color="auto"/>
            </w:tcBorders>
            <w:noWrap/>
            <w:vAlign w:val="bottom"/>
            <w:hideMark/>
          </w:tcPr>
          <w:p w14:paraId="768D559C" w14:textId="77777777" w:rsidR="008B6742" w:rsidRPr="00DC77E0" w:rsidRDefault="008B6742" w:rsidP="005A7661">
            <w:pPr>
              <w:spacing w:after="0"/>
              <w:jc w:val="left"/>
              <w:rPr>
                <w:rFonts w:cs="Calibri"/>
                <w:color w:val="000000"/>
                <w:lang w:eastAsia="fr-FR"/>
              </w:rPr>
            </w:pPr>
            <w:r w:rsidRPr="00DC77E0">
              <w:rPr>
                <w:rFonts w:cs="Calibri"/>
                <w:color w:val="000000"/>
                <w:lang w:eastAsia="fr-FR"/>
              </w:rPr>
              <w:t>Tourterelle maillée</w:t>
            </w:r>
          </w:p>
        </w:tc>
        <w:tc>
          <w:tcPr>
            <w:tcW w:w="975" w:type="pct"/>
            <w:tcBorders>
              <w:top w:val="single" w:sz="4" w:space="0" w:color="auto"/>
              <w:left w:val="single" w:sz="4" w:space="0" w:color="auto"/>
              <w:bottom w:val="single" w:sz="4" w:space="0" w:color="auto"/>
              <w:right w:val="single" w:sz="4" w:space="0" w:color="auto"/>
            </w:tcBorders>
            <w:noWrap/>
            <w:vAlign w:val="bottom"/>
            <w:hideMark/>
          </w:tcPr>
          <w:p w14:paraId="271A3DC1" w14:textId="77777777" w:rsidR="008B6742" w:rsidRPr="00DC77E0" w:rsidRDefault="008B6742" w:rsidP="005A7661">
            <w:pPr>
              <w:spacing w:after="0"/>
              <w:jc w:val="left"/>
              <w:rPr>
                <w:rFonts w:cs="Calibri"/>
                <w:i/>
                <w:iCs/>
                <w:color w:val="000000"/>
                <w:lang w:eastAsia="fr-FR"/>
              </w:rPr>
            </w:pPr>
            <w:r w:rsidRPr="00DC77E0">
              <w:rPr>
                <w:rFonts w:cs="Calibri"/>
                <w:i/>
                <w:iCs/>
                <w:color w:val="000000"/>
                <w:lang w:eastAsia="fr-FR"/>
              </w:rPr>
              <w:t>Streptopelia senegalensis</w:t>
            </w:r>
          </w:p>
        </w:tc>
        <w:tc>
          <w:tcPr>
            <w:tcW w:w="517" w:type="pct"/>
            <w:tcBorders>
              <w:top w:val="single" w:sz="4" w:space="0" w:color="auto"/>
              <w:left w:val="single" w:sz="4" w:space="0" w:color="auto"/>
              <w:bottom w:val="single" w:sz="4" w:space="0" w:color="auto"/>
              <w:right w:val="single" w:sz="4" w:space="0" w:color="auto"/>
            </w:tcBorders>
            <w:vAlign w:val="center"/>
          </w:tcPr>
          <w:p w14:paraId="34BFE729" w14:textId="77777777" w:rsidR="008B6742" w:rsidRPr="00DC77E0" w:rsidRDefault="008B6742" w:rsidP="005A7661">
            <w:pPr>
              <w:spacing w:after="0"/>
              <w:jc w:val="center"/>
              <w:rPr>
                <w:rFonts w:ascii="Arial" w:hAnsi="Arial"/>
                <w:color w:val="000000"/>
                <w:sz w:val="18"/>
                <w:szCs w:val="18"/>
                <w:lang w:eastAsia="fr-FR"/>
              </w:rPr>
            </w:pPr>
            <w:r w:rsidRPr="00424FDB">
              <w:rPr>
                <w:rFonts w:ascii="Aptos Narrow" w:hAnsi="Aptos Narrow" w:cs="Times New Roman"/>
                <w:color w:val="000000"/>
                <w:lang w:eastAsia="fr-FR"/>
              </w:rPr>
              <w:t xml:space="preserve">ZA / </w:t>
            </w:r>
            <w:r>
              <w:rPr>
                <w:rFonts w:ascii="Aptos Narrow" w:hAnsi="Aptos Narrow" w:cs="Times New Roman"/>
                <w:color w:val="000000"/>
                <w:lang w:eastAsia="fr-FR"/>
              </w:rPr>
              <w:t>ZER/ZEE</w:t>
            </w:r>
          </w:p>
        </w:tc>
        <w:tc>
          <w:tcPr>
            <w:tcW w:w="517" w:type="pct"/>
            <w:tcBorders>
              <w:top w:val="single" w:sz="4" w:space="0" w:color="auto"/>
              <w:left w:val="single" w:sz="4" w:space="0" w:color="auto"/>
              <w:bottom w:val="single" w:sz="4" w:space="0" w:color="auto"/>
              <w:right w:val="single" w:sz="4" w:space="0" w:color="auto"/>
            </w:tcBorders>
            <w:vAlign w:val="center"/>
            <w:hideMark/>
          </w:tcPr>
          <w:p w14:paraId="4113E5C3" w14:textId="77777777" w:rsidR="008B6742" w:rsidRPr="00DC77E0" w:rsidRDefault="008B6742" w:rsidP="005A7661">
            <w:pPr>
              <w:spacing w:after="0"/>
              <w:jc w:val="center"/>
              <w:rPr>
                <w:rFonts w:ascii="Arial" w:hAnsi="Arial"/>
                <w:color w:val="000000"/>
                <w:sz w:val="18"/>
                <w:szCs w:val="18"/>
                <w:lang w:eastAsia="fr-FR"/>
              </w:rPr>
            </w:pPr>
            <w:r w:rsidRPr="00DC77E0">
              <w:rPr>
                <w:rFonts w:ascii="Arial" w:hAnsi="Arial"/>
                <w:color w:val="000000"/>
                <w:sz w:val="18"/>
                <w:szCs w:val="18"/>
                <w:lang w:eastAsia="fr-FR"/>
              </w:rPr>
              <w:t>NM, MP, HO</w:t>
            </w:r>
          </w:p>
        </w:tc>
        <w:tc>
          <w:tcPr>
            <w:tcW w:w="434" w:type="pct"/>
            <w:tcBorders>
              <w:top w:val="single" w:sz="4" w:space="0" w:color="auto"/>
              <w:left w:val="single" w:sz="4" w:space="0" w:color="auto"/>
              <w:bottom w:val="single" w:sz="4" w:space="0" w:color="auto"/>
              <w:right w:val="single" w:sz="4" w:space="0" w:color="auto"/>
            </w:tcBorders>
            <w:vAlign w:val="center"/>
            <w:hideMark/>
          </w:tcPr>
          <w:p w14:paraId="336249D3" w14:textId="77777777" w:rsidR="008B6742" w:rsidRPr="00DC77E0" w:rsidRDefault="008B6742" w:rsidP="005A7661">
            <w:pPr>
              <w:spacing w:after="0"/>
              <w:jc w:val="center"/>
              <w:rPr>
                <w:rFonts w:ascii="Arial" w:hAnsi="Arial"/>
                <w:color w:val="000000"/>
                <w:sz w:val="18"/>
                <w:szCs w:val="18"/>
                <w:lang w:eastAsia="fr-FR"/>
              </w:rPr>
            </w:pPr>
            <w:r w:rsidRPr="00DC77E0">
              <w:rPr>
                <w:rFonts w:ascii="Arial" w:hAnsi="Arial"/>
                <w:color w:val="000000"/>
                <w:sz w:val="18"/>
                <w:szCs w:val="18"/>
                <w:lang w:eastAsia="fr-FR"/>
              </w:rPr>
              <w:t>-</w:t>
            </w:r>
          </w:p>
        </w:tc>
        <w:tc>
          <w:tcPr>
            <w:tcW w:w="345" w:type="pct"/>
            <w:tcBorders>
              <w:top w:val="single" w:sz="4" w:space="0" w:color="auto"/>
              <w:left w:val="single" w:sz="4" w:space="0" w:color="auto"/>
              <w:bottom w:val="single" w:sz="4" w:space="0" w:color="auto"/>
              <w:right w:val="single" w:sz="4" w:space="0" w:color="auto"/>
            </w:tcBorders>
            <w:vAlign w:val="center"/>
            <w:hideMark/>
          </w:tcPr>
          <w:p w14:paraId="5CB6F147" w14:textId="77777777" w:rsidR="008B6742" w:rsidRPr="00DC77E0" w:rsidRDefault="008B6742" w:rsidP="005A7661">
            <w:pPr>
              <w:spacing w:after="0"/>
              <w:jc w:val="center"/>
              <w:rPr>
                <w:rFonts w:ascii="Arial" w:hAnsi="Arial"/>
                <w:color w:val="000000"/>
                <w:sz w:val="18"/>
                <w:szCs w:val="18"/>
                <w:lang w:eastAsia="fr-FR"/>
              </w:rPr>
            </w:pPr>
            <w:r w:rsidRPr="00DC77E0">
              <w:rPr>
                <w:rFonts w:ascii="Arial" w:hAnsi="Arial"/>
                <w:color w:val="000000"/>
                <w:sz w:val="18"/>
                <w:szCs w:val="18"/>
                <w:lang w:eastAsia="fr-FR"/>
              </w:rPr>
              <w:t>-</w:t>
            </w:r>
          </w:p>
        </w:tc>
        <w:tc>
          <w:tcPr>
            <w:tcW w:w="326" w:type="pct"/>
            <w:tcBorders>
              <w:top w:val="single" w:sz="4" w:space="0" w:color="auto"/>
              <w:left w:val="single" w:sz="4" w:space="0" w:color="auto"/>
              <w:bottom w:val="single" w:sz="4" w:space="0" w:color="auto"/>
              <w:right w:val="single" w:sz="4" w:space="0" w:color="auto"/>
            </w:tcBorders>
            <w:vAlign w:val="center"/>
            <w:hideMark/>
          </w:tcPr>
          <w:p w14:paraId="71531186" w14:textId="77777777" w:rsidR="008B6742" w:rsidRPr="00DC77E0" w:rsidRDefault="008B6742" w:rsidP="005A7661">
            <w:pPr>
              <w:spacing w:after="0"/>
              <w:jc w:val="center"/>
              <w:rPr>
                <w:rFonts w:ascii="Arial" w:hAnsi="Arial"/>
                <w:color w:val="000000"/>
                <w:sz w:val="18"/>
                <w:szCs w:val="18"/>
                <w:lang w:eastAsia="fr-FR"/>
              </w:rPr>
            </w:pPr>
            <w:r w:rsidRPr="00DC77E0">
              <w:rPr>
                <w:rFonts w:ascii="Arial" w:hAnsi="Arial"/>
                <w:color w:val="000000"/>
                <w:sz w:val="18"/>
                <w:szCs w:val="18"/>
                <w:lang w:eastAsia="fr-FR"/>
              </w:rPr>
              <w:t>LC</w:t>
            </w:r>
          </w:p>
        </w:tc>
        <w:tc>
          <w:tcPr>
            <w:tcW w:w="263" w:type="pct"/>
            <w:tcBorders>
              <w:top w:val="single" w:sz="4" w:space="0" w:color="auto"/>
              <w:left w:val="single" w:sz="4" w:space="0" w:color="auto"/>
              <w:bottom w:val="single" w:sz="4" w:space="0" w:color="auto"/>
              <w:right w:val="single" w:sz="4" w:space="0" w:color="auto"/>
            </w:tcBorders>
            <w:vAlign w:val="center"/>
            <w:hideMark/>
          </w:tcPr>
          <w:p w14:paraId="1AD42EA1" w14:textId="77777777" w:rsidR="008B6742" w:rsidRPr="00DC77E0" w:rsidRDefault="008B6742" w:rsidP="005A7661">
            <w:pPr>
              <w:spacing w:after="0"/>
              <w:jc w:val="center"/>
              <w:rPr>
                <w:rFonts w:ascii="Arial" w:hAnsi="Arial"/>
                <w:color w:val="000000"/>
                <w:sz w:val="18"/>
                <w:szCs w:val="18"/>
                <w:lang w:eastAsia="fr-FR"/>
              </w:rPr>
            </w:pPr>
            <w:r w:rsidRPr="00DC77E0">
              <w:rPr>
                <w:rFonts w:ascii="Arial" w:hAnsi="Arial"/>
                <w:color w:val="000000"/>
                <w:sz w:val="18"/>
                <w:szCs w:val="18"/>
                <w:lang w:eastAsia="fr-FR"/>
              </w:rPr>
              <w:t xml:space="preserve">- </w:t>
            </w:r>
          </w:p>
        </w:tc>
        <w:tc>
          <w:tcPr>
            <w:tcW w:w="263" w:type="pct"/>
            <w:tcBorders>
              <w:top w:val="single" w:sz="4" w:space="0" w:color="auto"/>
              <w:left w:val="single" w:sz="4" w:space="0" w:color="auto"/>
              <w:bottom w:val="single" w:sz="4" w:space="0" w:color="auto"/>
              <w:right w:val="single" w:sz="4" w:space="0" w:color="auto"/>
            </w:tcBorders>
            <w:vAlign w:val="center"/>
            <w:hideMark/>
          </w:tcPr>
          <w:p w14:paraId="590D8E29" w14:textId="77777777" w:rsidR="008B6742" w:rsidRPr="00DC77E0" w:rsidRDefault="008B6742" w:rsidP="005A7661">
            <w:pPr>
              <w:spacing w:after="0"/>
              <w:jc w:val="center"/>
              <w:rPr>
                <w:rFonts w:ascii="Arial" w:hAnsi="Arial"/>
                <w:color w:val="000000"/>
                <w:sz w:val="18"/>
                <w:szCs w:val="18"/>
                <w:lang w:eastAsia="fr-FR"/>
              </w:rPr>
            </w:pPr>
            <w:r w:rsidRPr="00DC77E0">
              <w:rPr>
                <w:rFonts w:ascii="Arial" w:hAnsi="Arial"/>
                <w:color w:val="000000"/>
                <w:sz w:val="18"/>
                <w:szCs w:val="18"/>
                <w:lang w:eastAsia="fr-FR"/>
              </w:rPr>
              <w:t>-</w:t>
            </w:r>
          </w:p>
        </w:tc>
        <w:tc>
          <w:tcPr>
            <w:tcW w:w="263" w:type="pct"/>
            <w:tcBorders>
              <w:top w:val="single" w:sz="4" w:space="0" w:color="auto"/>
              <w:left w:val="single" w:sz="4" w:space="0" w:color="auto"/>
              <w:bottom w:val="single" w:sz="4" w:space="0" w:color="auto"/>
              <w:right w:val="single" w:sz="4" w:space="0" w:color="auto"/>
            </w:tcBorders>
            <w:vAlign w:val="center"/>
            <w:hideMark/>
          </w:tcPr>
          <w:p w14:paraId="78139328" w14:textId="77777777" w:rsidR="008B6742" w:rsidRPr="00DC77E0" w:rsidRDefault="008B6742" w:rsidP="005A7661">
            <w:pPr>
              <w:spacing w:after="0"/>
              <w:jc w:val="center"/>
              <w:rPr>
                <w:rFonts w:ascii="Arial" w:hAnsi="Arial"/>
                <w:color w:val="000000"/>
                <w:sz w:val="18"/>
                <w:szCs w:val="18"/>
                <w:lang w:eastAsia="fr-FR"/>
              </w:rPr>
            </w:pPr>
            <w:r w:rsidRPr="00DC77E0">
              <w:rPr>
                <w:rFonts w:ascii="Arial" w:hAnsi="Arial"/>
                <w:color w:val="000000"/>
                <w:sz w:val="18"/>
                <w:szCs w:val="18"/>
                <w:lang w:eastAsia="fr-FR"/>
              </w:rPr>
              <w:t>An. III</w:t>
            </w:r>
          </w:p>
        </w:tc>
        <w:tc>
          <w:tcPr>
            <w:tcW w:w="262" w:type="pct"/>
            <w:tcBorders>
              <w:top w:val="single" w:sz="4" w:space="0" w:color="auto"/>
              <w:left w:val="single" w:sz="4" w:space="0" w:color="auto"/>
              <w:bottom w:val="single" w:sz="4" w:space="0" w:color="auto"/>
              <w:right w:val="single" w:sz="4" w:space="0" w:color="auto"/>
            </w:tcBorders>
            <w:vAlign w:val="center"/>
            <w:hideMark/>
          </w:tcPr>
          <w:p w14:paraId="220164B0" w14:textId="77777777" w:rsidR="008B6742" w:rsidRPr="00DC77E0" w:rsidRDefault="008B6742" w:rsidP="005A7661">
            <w:pPr>
              <w:spacing w:after="0"/>
              <w:jc w:val="center"/>
              <w:rPr>
                <w:rFonts w:ascii="Arial" w:hAnsi="Arial"/>
                <w:color w:val="000000"/>
                <w:sz w:val="18"/>
                <w:szCs w:val="18"/>
                <w:lang w:eastAsia="fr-FR"/>
              </w:rPr>
            </w:pPr>
            <w:r w:rsidRPr="00DC77E0">
              <w:rPr>
                <w:rFonts w:ascii="Arial" w:hAnsi="Arial"/>
                <w:color w:val="000000"/>
                <w:sz w:val="18"/>
                <w:szCs w:val="18"/>
                <w:lang w:eastAsia="fr-FR"/>
              </w:rPr>
              <w:t> </w:t>
            </w:r>
          </w:p>
        </w:tc>
      </w:tr>
      <w:tr w:rsidR="00C107CD" w:rsidRPr="00DC77E0" w14:paraId="2677A5DF" w14:textId="77777777" w:rsidTr="00C107CD">
        <w:trPr>
          <w:trHeight w:val="288"/>
        </w:trPr>
        <w:tc>
          <w:tcPr>
            <w:tcW w:w="836" w:type="pct"/>
            <w:tcBorders>
              <w:top w:val="single" w:sz="4" w:space="0" w:color="auto"/>
              <w:left w:val="single" w:sz="4" w:space="0" w:color="auto"/>
              <w:bottom w:val="single" w:sz="4" w:space="0" w:color="auto"/>
              <w:right w:val="single" w:sz="4" w:space="0" w:color="auto"/>
            </w:tcBorders>
            <w:noWrap/>
            <w:vAlign w:val="bottom"/>
            <w:hideMark/>
          </w:tcPr>
          <w:p w14:paraId="1C764EE3" w14:textId="77777777" w:rsidR="008B6742" w:rsidRPr="00DC77E0" w:rsidRDefault="008B6742" w:rsidP="005A7661">
            <w:pPr>
              <w:spacing w:after="0"/>
              <w:jc w:val="left"/>
              <w:rPr>
                <w:rFonts w:cs="Calibri"/>
                <w:color w:val="000000"/>
                <w:lang w:eastAsia="fr-FR"/>
              </w:rPr>
            </w:pPr>
            <w:r w:rsidRPr="00DC77E0">
              <w:rPr>
                <w:rFonts w:cs="Calibri"/>
                <w:color w:val="000000"/>
                <w:lang w:eastAsia="fr-FR"/>
              </w:rPr>
              <w:t>Tourterelle turque</w:t>
            </w:r>
          </w:p>
        </w:tc>
        <w:tc>
          <w:tcPr>
            <w:tcW w:w="975" w:type="pct"/>
            <w:tcBorders>
              <w:top w:val="single" w:sz="4" w:space="0" w:color="auto"/>
              <w:left w:val="single" w:sz="4" w:space="0" w:color="auto"/>
              <w:bottom w:val="single" w:sz="4" w:space="0" w:color="auto"/>
              <w:right w:val="single" w:sz="4" w:space="0" w:color="auto"/>
            </w:tcBorders>
            <w:noWrap/>
            <w:vAlign w:val="bottom"/>
            <w:hideMark/>
          </w:tcPr>
          <w:p w14:paraId="01BD1F54" w14:textId="77777777" w:rsidR="008B6742" w:rsidRPr="00DC77E0" w:rsidRDefault="008B6742" w:rsidP="005A7661">
            <w:pPr>
              <w:spacing w:after="0"/>
              <w:jc w:val="left"/>
              <w:rPr>
                <w:rFonts w:cs="Calibri"/>
                <w:i/>
                <w:iCs/>
                <w:color w:val="000000"/>
                <w:lang w:eastAsia="fr-FR"/>
              </w:rPr>
            </w:pPr>
            <w:r w:rsidRPr="00DC77E0">
              <w:rPr>
                <w:rFonts w:cs="Calibri"/>
                <w:i/>
                <w:iCs/>
                <w:color w:val="000000"/>
                <w:lang w:eastAsia="fr-FR"/>
              </w:rPr>
              <w:t>Streptopelia decaocto</w:t>
            </w:r>
          </w:p>
        </w:tc>
        <w:tc>
          <w:tcPr>
            <w:tcW w:w="517" w:type="pct"/>
            <w:tcBorders>
              <w:top w:val="single" w:sz="4" w:space="0" w:color="auto"/>
              <w:left w:val="single" w:sz="4" w:space="0" w:color="auto"/>
              <w:bottom w:val="single" w:sz="4" w:space="0" w:color="auto"/>
              <w:right w:val="single" w:sz="4" w:space="0" w:color="auto"/>
            </w:tcBorders>
            <w:vAlign w:val="center"/>
          </w:tcPr>
          <w:p w14:paraId="4F678A38" w14:textId="77777777" w:rsidR="008B6742" w:rsidRPr="00DC77E0" w:rsidRDefault="008B6742" w:rsidP="005A7661">
            <w:pPr>
              <w:spacing w:after="0"/>
              <w:jc w:val="center"/>
              <w:rPr>
                <w:rFonts w:ascii="Arial" w:hAnsi="Arial"/>
                <w:color w:val="000000"/>
                <w:sz w:val="18"/>
                <w:szCs w:val="18"/>
                <w:lang w:eastAsia="fr-FR"/>
              </w:rPr>
            </w:pPr>
            <w:r>
              <w:rPr>
                <w:rFonts w:ascii="Aptos Narrow" w:hAnsi="Aptos Narrow" w:cs="Times New Roman"/>
                <w:color w:val="000000"/>
                <w:lang w:eastAsia="fr-FR"/>
              </w:rPr>
              <w:t>ZER/ZEE</w:t>
            </w:r>
          </w:p>
        </w:tc>
        <w:tc>
          <w:tcPr>
            <w:tcW w:w="517" w:type="pct"/>
            <w:tcBorders>
              <w:top w:val="single" w:sz="4" w:space="0" w:color="auto"/>
              <w:left w:val="single" w:sz="4" w:space="0" w:color="auto"/>
              <w:bottom w:val="single" w:sz="4" w:space="0" w:color="auto"/>
              <w:right w:val="single" w:sz="4" w:space="0" w:color="auto"/>
            </w:tcBorders>
            <w:vAlign w:val="center"/>
            <w:hideMark/>
          </w:tcPr>
          <w:p w14:paraId="522E62BB" w14:textId="77777777" w:rsidR="008B6742" w:rsidRPr="00DC77E0" w:rsidRDefault="008B6742" w:rsidP="005A7661">
            <w:pPr>
              <w:spacing w:after="0"/>
              <w:jc w:val="center"/>
              <w:rPr>
                <w:rFonts w:ascii="Arial" w:hAnsi="Arial"/>
                <w:color w:val="000000"/>
                <w:sz w:val="18"/>
                <w:szCs w:val="18"/>
                <w:lang w:eastAsia="fr-FR"/>
              </w:rPr>
            </w:pPr>
            <w:r w:rsidRPr="00DC77E0">
              <w:rPr>
                <w:rFonts w:ascii="Arial" w:hAnsi="Arial"/>
                <w:color w:val="000000"/>
                <w:sz w:val="18"/>
                <w:szCs w:val="18"/>
                <w:lang w:eastAsia="fr-FR"/>
              </w:rPr>
              <w:t>NS</w:t>
            </w:r>
          </w:p>
        </w:tc>
        <w:tc>
          <w:tcPr>
            <w:tcW w:w="434" w:type="pct"/>
            <w:tcBorders>
              <w:top w:val="single" w:sz="4" w:space="0" w:color="auto"/>
              <w:left w:val="single" w:sz="4" w:space="0" w:color="auto"/>
              <w:bottom w:val="single" w:sz="4" w:space="0" w:color="auto"/>
              <w:right w:val="single" w:sz="4" w:space="0" w:color="auto"/>
            </w:tcBorders>
            <w:vAlign w:val="center"/>
            <w:hideMark/>
          </w:tcPr>
          <w:p w14:paraId="588E8F5A" w14:textId="77777777" w:rsidR="008B6742" w:rsidRPr="00DC77E0" w:rsidRDefault="008B6742" w:rsidP="005A7661">
            <w:pPr>
              <w:spacing w:after="0"/>
              <w:jc w:val="center"/>
              <w:rPr>
                <w:rFonts w:ascii="Arial" w:hAnsi="Arial"/>
                <w:color w:val="000000"/>
                <w:sz w:val="18"/>
                <w:szCs w:val="18"/>
                <w:lang w:eastAsia="fr-FR"/>
              </w:rPr>
            </w:pPr>
            <w:r w:rsidRPr="00DC77E0">
              <w:rPr>
                <w:rFonts w:ascii="Arial" w:hAnsi="Arial"/>
                <w:color w:val="000000"/>
                <w:sz w:val="18"/>
                <w:szCs w:val="18"/>
                <w:lang w:eastAsia="fr-FR"/>
              </w:rPr>
              <w:t>-</w:t>
            </w:r>
          </w:p>
        </w:tc>
        <w:tc>
          <w:tcPr>
            <w:tcW w:w="345" w:type="pct"/>
            <w:tcBorders>
              <w:top w:val="single" w:sz="4" w:space="0" w:color="auto"/>
              <w:left w:val="single" w:sz="4" w:space="0" w:color="auto"/>
              <w:bottom w:val="single" w:sz="4" w:space="0" w:color="auto"/>
              <w:right w:val="single" w:sz="4" w:space="0" w:color="auto"/>
            </w:tcBorders>
            <w:vAlign w:val="center"/>
            <w:hideMark/>
          </w:tcPr>
          <w:p w14:paraId="701E4D5A" w14:textId="77777777" w:rsidR="008B6742" w:rsidRPr="00DC77E0" w:rsidRDefault="008B6742" w:rsidP="005A7661">
            <w:pPr>
              <w:spacing w:after="0"/>
              <w:jc w:val="center"/>
              <w:rPr>
                <w:rFonts w:ascii="Arial" w:hAnsi="Arial"/>
                <w:color w:val="000000"/>
                <w:sz w:val="18"/>
                <w:szCs w:val="18"/>
                <w:lang w:eastAsia="fr-FR"/>
              </w:rPr>
            </w:pPr>
            <w:r w:rsidRPr="00DC77E0">
              <w:rPr>
                <w:rFonts w:ascii="Arial" w:hAnsi="Arial"/>
                <w:color w:val="000000"/>
                <w:sz w:val="18"/>
                <w:szCs w:val="18"/>
                <w:lang w:eastAsia="fr-FR"/>
              </w:rPr>
              <w:t>-</w:t>
            </w:r>
          </w:p>
        </w:tc>
        <w:tc>
          <w:tcPr>
            <w:tcW w:w="326" w:type="pct"/>
            <w:tcBorders>
              <w:top w:val="single" w:sz="4" w:space="0" w:color="auto"/>
              <w:left w:val="single" w:sz="4" w:space="0" w:color="auto"/>
              <w:bottom w:val="single" w:sz="4" w:space="0" w:color="auto"/>
              <w:right w:val="single" w:sz="4" w:space="0" w:color="auto"/>
            </w:tcBorders>
            <w:vAlign w:val="center"/>
            <w:hideMark/>
          </w:tcPr>
          <w:p w14:paraId="558A77D8" w14:textId="77777777" w:rsidR="008B6742" w:rsidRPr="00DC77E0" w:rsidRDefault="008B6742" w:rsidP="005A7661">
            <w:pPr>
              <w:spacing w:after="0"/>
              <w:jc w:val="center"/>
              <w:rPr>
                <w:rFonts w:ascii="Arial" w:hAnsi="Arial"/>
                <w:color w:val="000000"/>
                <w:sz w:val="18"/>
                <w:szCs w:val="18"/>
                <w:lang w:eastAsia="fr-FR"/>
              </w:rPr>
            </w:pPr>
            <w:r w:rsidRPr="00DC77E0">
              <w:rPr>
                <w:rFonts w:ascii="Arial" w:hAnsi="Arial"/>
                <w:color w:val="000000"/>
                <w:sz w:val="18"/>
                <w:szCs w:val="18"/>
                <w:lang w:eastAsia="fr-FR"/>
              </w:rPr>
              <w:t>LC</w:t>
            </w:r>
          </w:p>
        </w:tc>
        <w:tc>
          <w:tcPr>
            <w:tcW w:w="263" w:type="pct"/>
            <w:tcBorders>
              <w:top w:val="single" w:sz="4" w:space="0" w:color="auto"/>
              <w:left w:val="single" w:sz="4" w:space="0" w:color="auto"/>
              <w:bottom w:val="single" w:sz="4" w:space="0" w:color="auto"/>
              <w:right w:val="single" w:sz="4" w:space="0" w:color="auto"/>
            </w:tcBorders>
            <w:vAlign w:val="center"/>
            <w:hideMark/>
          </w:tcPr>
          <w:p w14:paraId="3C2486F1" w14:textId="77777777" w:rsidR="008B6742" w:rsidRPr="00DC77E0" w:rsidRDefault="008B6742" w:rsidP="005A7661">
            <w:pPr>
              <w:spacing w:after="0"/>
              <w:jc w:val="center"/>
              <w:rPr>
                <w:rFonts w:ascii="Arial" w:hAnsi="Arial"/>
                <w:color w:val="000000"/>
                <w:sz w:val="18"/>
                <w:szCs w:val="18"/>
                <w:lang w:eastAsia="fr-FR"/>
              </w:rPr>
            </w:pPr>
            <w:r w:rsidRPr="00DC77E0">
              <w:rPr>
                <w:rFonts w:ascii="Arial" w:hAnsi="Arial"/>
                <w:color w:val="000000"/>
                <w:sz w:val="18"/>
                <w:szCs w:val="18"/>
                <w:lang w:eastAsia="fr-FR"/>
              </w:rPr>
              <w:t>-</w:t>
            </w:r>
          </w:p>
        </w:tc>
        <w:tc>
          <w:tcPr>
            <w:tcW w:w="263" w:type="pct"/>
            <w:tcBorders>
              <w:top w:val="single" w:sz="4" w:space="0" w:color="auto"/>
              <w:left w:val="single" w:sz="4" w:space="0" w:color="auto"/>
              <w:bottom w:val="single" w:sz="4" w:space="0" w:color="auto"/>
              <w:right w:val="single" w:sz="4" w:space="0" w:color="auto"/>
            </w:tcBorders>
            <w:vAlign w:val="center"/>
            <w:hideMark/>
          </w:tcPr>
          <w:p w14:paraId="60598D7C" w14:textId="77777777" w:rsidR="008B6742" w:rsidRPr="00DC77E0" w:rsidRDefault="008B6742" w:rsidP="005A7661">
            <w:pPr>
              <w:spacing w:after="0"/>
              <w:jc w:val="center"/>
              <w:rPr>
                <w:rFonts w:ascii="Arial" w:hAnsi="Arial"/>
                <w:color w:val="000000"/>
                <w:sz w:val="18"/>
                <w:szCs w:val="18"/>
                <w:lang w:eastAsia="fr-FR"/>
              </w:rPr>
            </w:pPr>
            <w:r w:rsidRPr="00DC77E0">
              <w:rPr>
                <w:rFonts w:ascii="Arial" w:hAnsi="Arial"/>
                <w:color w:val="000000"/>
                <w:sz w:val="18"/>
                <w:szCs w:val="18"/>
                <w:lang w:eastAsia="fr-FR"/>
              </w:rPr>
              <w:t>-</w:t>
            </w:r>
          </w:p>
        </w:tc>
        <w:tc>
          <w:tcPr>
            <w:tcW w:w="263" w:type="pct"/>
            <w:tcBorders>
              <w:top w:val="single" w:sz="4" w:space="0" w:color="auto"/>
              <w:left w:val="single" w:sz="4" w:space="0" w:color="auto"/>
              <w:bottom w:val="single" w:sz="4" w:space="0" w:color="auto"/>
              <w:right w:val="single" w:sz="4" w:space="0" w:color="auto"/>
            </w:tcBorders>
            <w:vAlign w:val="center"/>
            <w:hideMark/>
          </w:tcPr>
          <w:p w14:paraId="6695C841" w14:textId="77777777" w:rsidR="008B6742" w:rsidRPr="00DC77E0" w:rsidRDefault="008B6742" w:rsidP="005A7661">
            <w:pPr>
              <w:spacing w:after="0"/>
              <w:jc w:val="center"/>
              <w:rPr>
                <w:rFonts w:ascii="Arial" w:hAnsi="Arial"/>
                <w:color w:val="000000"/>
                <w:sz w:val="18"/>
                <w:szCs w:val="18"/>
                <w:lang w:eastAsia="fr-FR"/>
              </w:rPr>
            </w:pPr>
            <w:r w:rsidRPr="00DC77E0">
              <w:rPr>
                <w:rFonts w:ascii="Arial" w:hAnsi="Arial"/>
                <w:color w:val="000000"/>
                <w:sz w:val="18"/>
                <w:szCs w:val="18"/>
                <w:lang w:eastAsia="fr-FR"/>
              </w:rPr>
              <w:t>An. III</w:t>
            </w:r>
          </w:p>
        </w:tc>
        <w:tc>
          <w:tcPr>
            <w:tcW w:w="262" w:type="pct"/>
            <w:tcBorders>
              <w:top w:val="single" w:sz="4" w:space="0" w:color="auto"/>
              <w:left w:val="single" w:sz="4" w:space="0" w:color="auto"/>
              <w:bottom w:val="single" w:sz="4" w:space="0" w:color="auto"/>
              <w:right w:val="single" w:sz="4" w:space="0" w:color="auto"/>
            </w:tcBorders>
            <w:vAlign w:val="center"/>
            <w:hideMark/>
          </w:tcPr>
          <w:p w14:paraId="1B304945" w14:textId="77777777" w:rsidR="008B6742" w:rsidRPr="00DC77E0" w:rsidRDefault="008B6742" w:rsidP="005A7661">
            <w:pPr>
              <w:spacing w:after="0"/>
              <w:jc w:val="center"/>
              <w:rPr>
                <w:rFonts w:ascii="Arial" w:hAnsi="Arial"/>
                <w:color w:val="000000"/>
                <w:sz w:val="18"/>
                <w:szCs w:val="18"/>
                <w:lang w:eastAsia="fr-FR"/>
              </w:rPr>
            </w:pPr>
            <w:r w:rsidRPr="00DC77E0">
              <w:rPr>
                <w:rFonts w:ascii="Arial" w:hAnsi="Arial"/>
                <w:color w:val="000000"/>
                <w:sz w:val="18"/>
                <w:szCs w:val="18"/>
                <w:lang w:eastAsia="fr-FR"/>
              </w:rPr>
              <w:t>-</w:t>
            </w:r>
          </w:p>
        </w:tc>
      </w:tr>
      <w:tr w:rsidR="00C107CD" w:rsidRPr="00DC77E0" w14:paraId="66498CCF" w14:textId="77777777" w:rsidTr="00C107CD">
        <w:trPr>
          <w:trHeight w:val="288"/>
        </w:trPr>
        <w:tc>
          <w:tcPr>
            <w:tcW w:w="836" w:type="pct"/>
            <w:tcBorders>
              <w:top w:val="single" w:sz="4" w:space="0" w:color="auto"/>
              <w:left w:val="single" w:sz="4" w:space="0" w:color="auto"/>
              <w:bottom w:val="single" w:sz="4" w:space="0" w:color="auto"/>
              <w:right w:val="single" w:sz="4" w:space="0" w:color="auto"/>
            </w:tcBorders>
            <w:noWrap/>
            <w:vAlign w:val="bottom"/>
            <w:hideMark/>
          </w:tcPr>
          <w:p w14:paraId="572332A1" w14:textId="77777777" w:rsidR="008B6742" w:rsidRPr="00DC77E0" w:rsidRDefault="008B6742" w:rsidP="005A7661">
            <w:pPr>
              <w:spacing w:after="0"/>
              <w:jc w:val="left"/>
              <w:rPr>
                <w:rFonts w:cs="Calibri"/>
                <w:color w:val="000000"/>
                <w:lang w:eastAsia="fr-FR"/>
              </w:rPr>
            </w:pPr>
            <w:r w:rsidRPr="00DC77E0">
              <w:rPr>
                <w:rFonts w:cs="Calibri"/>
                <w:color w:val="000000"/>
                <w:lang w:eastAsia="fr-FR"/>
              </w:rPr>
              <w:t xml:space="preserve">Verdier d'Europe </w:t>
            </w:r>
          </w:p>
        </w:tc>
        <w:tc>
          <w:tcPr>
            <w:tcW w:w="975" w:type="pct"/>
            <w:tcBorders>
              <w:top w:val="single" w:sz="4" w:space="0" w:color="auto"/>
              <w:left w:val="single" w:sz="4" w:space="0" w:color="auto"/>
              <w:bottom w:val="single" w:sz="4" w:space="0" w:color="auto"/>
              <w:right w:val="single" w:sz="4" w:space="0" w:color="auto"/>
            </w:tcBorders>
            <w:noWrap/>
            <w:vAlign w:val="bottom"/>
            <w:hideMark/>
          </w:tcPr>
          <w:p w14:paraId="7C5A236D" w14:textId="77777777" w:rsidR="008B6742" w:rsidRPr="00DC77E0" w:rsidRDefault="008B6742" w:rsidP="005A7661">
            <w:pPr>
              <w:spacing w:after="0"/>
              <w:jc w:val="left"/>
              <w:rPr>
                <w:rFonts w:cs="Calibri"/>
                <w:i/>
                <w:iCs/>
                <w:color w:val="000000"/>
                <w:lang w:eastAsia="fr-FR"/>
              </w:rPr>
            </w:pPr>
            <w:r w:rsidRPr="00DC77E0">
              <w:rPr>
                <w:rFonts w:cs="Calibri"/>
                <w:i/>
                <w:iCs/>
                <w:color w:val="000000"/>
                <w:lang w:eastAsia="fr-FR"/>
              </w:rPr>
              <w:t>Chloris chloris</w:t>
            </w:r>
          </w:p>
        </w:tc>
        <w:tc>
          <w:tcPr>
            <w:tcW w:w="517" w:type="pct"/>
            <w:tcBorders>
              <w:top w:val="single" w:sz="4" w:space="0" w:color="auto"/>
              <w:left w:val="single" w:sz="4" w:space="0" w:color="auto"/>
              <w:bottom w:val="single" w:sz="4" w:space="0" w:color="auto"/>
              <w:right w:val="single" w:sz="4" w:space="0" w:color="auto"/>
            </w:tcBorders>
            <w:vAlign w:val="center"/>
          </w:tcPr>
          <w:p w14:paraId="290DFDBE" w14:textId="77777777" w:rsidR="008B6742" w:rsidRPr="00DC77E0" w:rsidRDefault="008B6742" w:rsidP="005A7661">
            <w:pPr>
              <w:spacing w:after="0"/>
              <w:jc w:val="center"/>
              <w:rPr>
                <w:rFonts w:ascii="Arial" w:hAnsi="Arial"/>
                <w:color w:val="000000"/>
                <w:sz w:val="18"/>
                <w:szCs w:val="18"/>
                <w:lang w:eastAsia="fr-FR"/>
              </w:rPr>
            </w:pPr>
            <w:r>
              <w:rPr>
                <w:rFonts w:ascii="Aptos Narrow" w:hAnsi="Aptos Narrow" w:cs="Times New Roman"/>
                <w:color w:val="000000"/>
                <w:lang w:eastAsia="fr-FR"/>
              </w:rPr>
              <w:t>ZER/ZEE</w:t>
            </w:r>
          </w:p>
        </w:tc>
        <w:tc>
          <w:tcPr>
            <w:tcW w:w="517" w:type="pct"/>
            <w:tcBorders>
              <w:top w:val="single" w:sz="4" w:space="0" w:color="auto"/>
              <w:left w:val="single" w:sz="4" w:space="0" w:color="auto"/>
              <w:bottom w:val="single" w:sz="4" w:space="0" w:color="auto"/>
              <w:right w:val="single" w:sz="4" w:space="0" w:color="auto"/>
            </w:tcBorders>
            <w:vAlign w:val="center"/>
            <w:hideMark/>
          </w:tcPr>
          <w:p w14:paraId="18CC204B" w14:textId="77777777" w:rsidR="008B6742" w:rsidRPr="00DC77E0" w:rsidRDefault="008B6742" w:rsidP="005A7661">
            <w:pPr>
              <w:spacing w:after="0"/>
              <w:jc w:val="center"/>
              <w:rPr>
                <w:rFonts w:ascii="Arial" w:hAnsi="Arial"/>
                <w:color w:val="000000"/>
                <w:sz w:val="18"/>
                <w:szCs w:val="18"/>
                <w:lang w:eastAsia="fr-FR"/>
              </w:rPr>
            </w:pPr>
            <w:r w:rsidRPr="00DC77E0">
              <w:rPr>
                <w:rFonts w:ascii="Arial" w:hAnsi="Arial"/>
                <w:color w:val="000000"/>
                <w:sz w:val="18"/>
                <w:szCs w:val="18"/>
                <w:lang w:eastAsia="fr-FR"/>
              </w:rPr>
              <w:t>NS, H</w:t>
            </w:r>
          </w:p>
        </w:tc>
        <w:tc>
          <w:tcPr>
            <w:tcW w:w="434" w:type="pct"/>
            <w:tcBorders>
              <w:top w:val="single" w:sz="4" w:space="0" w:color="auto"/>
              <w:left w:val="single" w:sz="4" w:space="0" w:color="auto"/>
              <w:bottom w:val="single" w:sz="4" w:space="0" w:color="auto"/>
              <w:right w:val="single" w:sz="4" w:space="0" w:color="auto"/>
            </w:tcBorders>
            <w:vAlign w:val="center"/>
            <w:hideMark/>
          </w:tcPr>
          <w:p w14:paraId="69FF8E8C" w14:textId="77777777" w:rsidR="008B6742" w:rsidRPr="00DC77E0" w:rsidRDefault="008B6742" w:rsidP="005A7661">
            <w:pPr>
              <w:spacing w:after="0"/>
              <w:jc w:val="center"/>
              <w:rPr>
                <w:rFonts w:ascii="Arial" w:hAnsi="Arial"/>
                <w:color w:val="000000"/>
                <w:sz w:val="18"/>
                <w:szCs w:val="18"/>
                <w:lang w:eastAsia="fr-FR"/>
              </w:rPr>
            </w:pPr>
            <w:r w:rsidRPr="00DC77E0">
              <w:rPr>
                <w:rFonts w:ascii="Arial" w:hAnsi="Arial"/>
                <w:color w:val="000000"/>
                <w:sz w:val="18"/>
                <w:szCs w:val="18"/>
                <w:lang w:eastAsia="fr-FR"/>
              </w:rPr>
              <w:t>Protégée</w:t>
            </w:r>
          </w:p>
        </w:tc>
        <w:tc>
          <w:tcPr>
            <w:tcW w:w="345" w:type="pct"/>
            <w:tcBorders>
              <w:top w:val="single" w:sz="4" w:space="0" w:color="auto"/>
              <w:left w:val="single" w:sz="4" w:space="0" w:color="auto"/>
              <w:bottom w:val="single" w:sz="4" w:space="0" w:color="auto"/>
              <w:right w:val="single" w:sz="4" w:space="0" w:color="auto"/>
            </w:tcBorders>
            <w:vAlign w:val="center"/>
            <w:hideMark/>
          </w:tcPr>
          <w:p w14:paraId="0C0C7EA2" w14:textId="77777777" w:rsidR="008B6742" w:rsidRPr="00DC77E0" w:rsidRDefault="008B6742" w:rsidP="005A7661">
            <w:pPr>
              <w:spacing w:after="0"/>
              <w:jc w:val="center"/>
              <w:rPr>
                <w:rFonts w:ascii="Arial" w:hAnsi="Arial"/>
                <w:color w:val="000000"/>
                <w:sz w:val="18"/>
                <w:szCs w:val="18"/>
                <w:lang w:eastAsia="fr-FR"/>
              </w:rPr>
            </w:pPr>
            <w:r w:rsidRPr="00DC77E0">
              <w:rPr>
                <w:rFonts w:ascii="Arial" w:hAnsi="Arial"/>
                <w:color w:val="000000"/>
                <w:sz w:val="18"/>
                <w:szCs w:val="18"/>
                <w:lang w:eastAsia="fr-FR"/>
              </w:rPr>
              <w:t>Catégorie IV</w:t>
            </w:r>
          </w:p>
        </w:tc>
        <w:tc>
          <w:tcPr>
            <w:tcW w:w="326" w:type="pct"/>
            <w:tcBorders>
              <w:top w:val="single" w:sz="4" w:space="0" w:color="auto"/>
              <w:left w:val="single" w:sz="4" w:space="0" w:color="auto"/>
              <w:bottom w:val="single" w:sz="4" w:space="0" w:color="auto"/>
              <w:right w:val="single" w:sz="4" w:space="0" w:color="auto"/>
            </w:tcBorders>
            <w:vAlign w:val="center"/>
            <w:hideMark/>
          </w:tcPr>
          <w:p w14:paraId="5662C44C" w14:textId="77777777" w:rsidR="008B6742" w:rsidRPr="00DC77E0" w:rsidRDefault="008B6742" w:rsidP="005A7661">
            <w:pPr>
              <w:spacing w:after="0"/>
              <w:jc w:val="center"/>
              <w:rPr>
                <w:rFonts w:ascii="Arial" w:hAnsi="Arial"/>
                <w:color w:val="000000"/>
                <w:sz w:val="18"/>
                <w:szCs w:val="18"/>
                <w:lang w:eastAsia="fr-FR"/>
              </w:rPr>
            </w:pPr>
            <w:r w:rsidRPr="00DC77E0">
              <w:rPr>
                <w:rFonts w:ascii="Arial" w:hAnsi="Arial"/>
                <w:color w:val="000000"/>
                <w:sz w:val="18"/>
                <w:szCs w:val="18"/>
                <w:lang w:eastAsia="fr-FR"/>
              </w:rPr>
              <w:t>LC</w:t>
            </w:r>
          </w:p>
        </w:tc>
        <w:tc>
          <w:tcPr>
            <w:tcW w:w="263" w:type="pct"/>
            <w:tcBorders>
              <w:top w:val="single" w:sz="4" w:space="0" w:color="auto"/>
              <w:left w:val="single" w:sz="4" w:space="0" w:color="auto"/>
              <w:bottom w:val="single" w:sz="4" w:space="0" w:color="auto"/>
              <w:right w:val="single" w:sz="4" w:space="0" w:color="auto"/>
            </w:tcBorders>
            <w:vAlign w:val="center"/>
            <w:hideMark/>
          </w:tcPr>
          <w:p w14:paraId="26118156" w14:textId="77777777" w:rsidR="008B6742" w:rsidRPr="00DC77E0" w:rsidRDefault="008B6742" w:rsidP="005A7661">
            <w:pPr>
              <w:spacing w:after="0"/>
              <w:jc w:val="center"/>
              <w:rPr>
                <w:rFonts w:ascii="Arial" w:hAnsi="Arial"/>
                <w:color w:val="000000"/>
                <w:sz w:val="18"/>
                <w:szCs w:val="18"/>
                <w:lang w:eastAsia="fr-FR"/>
              </w:rPr>
            </w:pPr>
            <w:r w:rsidRPr="00DC77E0">
              <w:rPr>
                <w:rFonts w:ascii="Arial" w:hAnsi="Arial"/>
                <w:color w:val="000000"/>
                <w:sz w:val="18"/>
                <w:szCs w:val="18"/>
                <w:lang w:eastAsia="fr-FR"/>
              </w:rPr>
              <w:t xml:space="preserve">- </w:t>
            </w:r>
          </w:p>
        </w:tc>
        <w:tc>
          <w:tcPr>
            <w:tcW w:w="263" w:type="pct"/>
            <w:tcBorders>
              <w:top w:val="single" w:sz="4" w:space="0" w:color="auto"/>
              <w:left w:val="single" w:sz="4" w:space="0" w:color="auto"/>
              <w:bottom w:val="single" w:sz="4" w:space="0" w:color="auto"/>
              <w:right w:val="single" w:sz="4" w:space="0" w:color="auto"/>
            </w:tcBorders>
            <w:vAlign w:val="center"/>
            <w:hideMark/>
          </w:tcPr>
          <w:p w14:paraId="089B7F09" w14:textId="77777777" w:rsidR="008B6742" w:rsidRPr="00DC77E0" w:rsidRDefault="008B6742" w:rsidP="005A7661">
            <w:pPr>
              <w:spacing w:after="0"/>
              <w:jc w:val="center"/>
              <w:rPr>
                <w:rFonts w:ascii="Arial" w:hAnsi="Arial"/>
                <w:color w:val="000000"/>
                <w:sz w:val="18"/>
                <w:szCs w:val="18"/>
                <w:lang w:eastAsia="fr-FR"/>
              </w:rPr>
            </w:pPr>
            <w:r w:rsidRPr="00DC77E0">
              <w:rPr>
                <w:rFonts w:ascii="Arial" w:hAnsi="Arial"/>
                <w:color w:val="000000"/>
                <w:sz w:val="18"/>
                <w:szCs w:val="18"/>
                <w:lang w:eastAsia="fr-FR"/>
              </w:rPr>
              <w:t xml:space="preserve">- </w:t>
            </w:r>
          </w:p>
        </w:tc>
        <w:tc>
          <w:tcPr>
            <w:tcW w:w="263" w:type="pct"/>
            <w:tcBorders>
              <w:top w:val="single" w:sz="4" w:space="0" w:color="auto"/>
              <w:left w:val="single" w:sz="4" w:space="0" w:color="auto"/>
              <w:bottom w:val="single" w:sz="4" w:space="0" w:color="auto"/>
              <w:right w:val="single" w:sz="4" w:space="0" w:color="auto"/>
            </w:tcBorders>
            <w:vAlign w:val="center"/>
            <w:hideMark/>
          </w:tcPr>
          <w:p w14:paraId="506537FD" w14:textId="77777777" w:rsidR="008B6742" w:rsidRPr="00DC77E0" w:rsidRDefault="008B6742" w:rsidP="005A7661">
            <w:pPr>
              <w:spacing w:after="0"/>
              <w:jc w:val="center"/>
              <w:rPr>
                <w:rFonts w:ascii="Arial" w:hAnsi="Arial"/>
                <w:color w:val="000000"/>
                <w:sz w:val="18"/>
                <w:szCs w:val="18"/>
                <w:lang w:eastAsia="fr-FR"/>
              </w:rPr>
            </w:pPr>
            <w:r w:rsidRPr="00DC77E0">
              <w:rPr>
                <w:rFonts w:ascii="Arial" w:hAnsi="Arial"/>
                <w:color w:val="000000"/>
                <w:sz w:val="18"/>
                <w:szCs w:val="18"/>
                <w:lang w:eastAsia="fr-FR"/>
              </w:rPr>
              <w:t xml:space="preserve">An. III </w:t>
            </w:r>
          </w:p>
        </w:tc>
        <w:tc>
          <w:tcPr>
            <w:tcW w:w="262" w:type="pct"/>
            <w:tcBorders>
              <w:top w:val="single" w:sz="4" w:space="0" w:color="auto"/>
              <w:left w:val="single" w:sz="4" w:space="0" w:color="auto"/>
              <w:bottom w:val="single" w:sz="4" w:space="0" w:color="auto"/>
              <w:right w:val="single" w:sz="4" w:space="0" w:color="auto"/>
            </w:tcBorders>
            <w:vAlign w:val="center"/>
            <w:hideMark/>
          </w:tcPr>
          <w:p w14:paraId="5621B5D5" w14:textId="77777777" w:rsidR="008B6742" w:rsidRPr="00DC77E0" w:rsidRDefault="008B6742" w:rsidP="005A7661">
            <w:pPr>
              <w:spacing w:after="0"/>
              <w:jc w:val="center"/>
              <w:rPr>
                <w:rFonts w:ascii="Arial" w:hAnsi="Arial"/>
                <w:color w:val="000000"/>
                <w:sz w:val="18"/>
                <w:szCs w:val="18"/>
                <w:lang w:eastAsia="fr-FR"/>
              </w:rPr>
            </w:pPr>
            <w:r w:rsidRPr="00DC77E0">
              <w:rPr>
                <w:rFonts w:ascii="Arial" w:hAnsi="Arial"/>
                <w:color w:val="000000"/>
                <w:sz w:val="18"/>
                <w:szCs w:val="18"/>
                <w:lang w:eastAsia="fr-FR"/>
              </w:rPr>
              <w:t xml:space="preserve">- </w:t>
            </w:r>
          </w:p>
        </w:tc>
      </w:tr>
    </w:tbl>
    <w:p w14:paraId="2040E917" w14:textId="6B354975" w:rsidR="00E36EE1" w:rsidRDefault="00C107CD" w:rsidP="006E0486">
      <w:pPr>
        <w:rPr>
          <w:b/>
          <w:bCs/>
        </w:rPr>
      </w:pPr>
      <w:r>
        <w:t>Afi</w:t>
      </w:r>
      <w:r w:rsidRPr="0097630F">
        <w:t xml:space="preserve">n de faciliter la lecture et l’interprétation du tableau ci-dessous, les abréviations et références réglementaires utilisées sont précisées ci-après. Le </w:t>
      </w:r>
      <w:r w:rsidRPr="0097630F">
        <w:rPr>
          <w:b/>
          <w:bCs/>
        </w:rPr>
        <w:t>statut phénologique</w:t>
      </w:r>
      <w:r w:rsidRPr="0097630F">
        <w:t xml:space="preserve"> indique la période et le type de présence de l’espèce dans la zone : NS (</w:t>
      </w:r>
      <w:r w:rsidRPr="0097630F">
        <w:rPr>
          <w:i/>
          <w:iCs/>
        </w:rPr>
        <w:t>Nicheur sédentaire</w:t>
      </w:r>
      <w:r w:rsidRPr="0097630F">
        <w:t>), ND (</w:t>
      </w:r>
      <w:r w:rsidRPr="0097630F">
        <w:rPr>
          <w:i/>
          <w:iCs/>
        </w:rPr>
        <w:t>Nicheur disparu</w:t>
      </w:r>
      <w:r w:rsidRPr="0097630F">
        <w:t>), NO (</w:t>
      </w:r>
      <w:r w:rsidRPr="0097630F">
        <w:rPr>
          <w:i/>
          <w:iCs/>
        </w:rPr>
        <w:t>Nicheur occasionnel</w:t>
      </w:r>
      <w:r w:rsidRPr="0097630F">
        <w:t>), NM (</w:t>
      </w:r>
      <w:r w:rsidRPr="0097630F">
        <w:rPr>
          <w:i/>
          <w:iCs/>
        </w:rPr>
        <w:t>Nicheur migrateur</w:t>
      </w:r>
      <w:r w:rsidRPr="0097630F">
        <w:t>), MP (</w:t>
      </w:r>
      <w:r w:rsidRPr="0097630F">
        <w:rPr>
          <w:i/>
          <w:iCs/>
        </w:rPr>
        <w:t>Migrateur de passage</w:t>
      </w:r>
      <w:r w:rsidRPr="0097630F">
        <w:t>), HO (</w:t>
      </w:r>
      <w:r w:rsidRPr="0097630F">
        <w:rPr>
          <w:i/>
          <w:iCs/>
        </w:rPr>
        <w:t>Hivernant occasionnel</w:t>
      </w:r>
      <w:r w:rsidRPr="0097630F">
        <w:t>), H (</w:t>
      </w:r>
      <w:r w:rsidRPr="0097630F">
        <w:rPr>
          <w:i/>
          <w:iCs/>
        </w:rPr>
        <w:t>Hivernant</w:t>
      </w:r>
      <w:r w:rsidRPr="0097630F">
        <w:t>), EA (</w:t>
      </w:r>
      <w:r w:rsidRPr="0097630F">
        <w:rPr>
          <w:i/>
          <w:iCs/>
        </w:rPr>
        <w:t>Espèce accidentelle</w:t>
      </w:r>
      <w:r w:rsidRPr="0097630F">
        <w:t>). Les mentions liées à la réglementation nationale comprennent : l’</w:t>
      </w:r>
      <w:r w:rsidRPr="0097630F">
        <w:rPr>
          <w:b/>
          <w:bCs/>
        </w:rPr>
        <w:t>Arrêté de chasse</w:t>
      </w:r>
      <w:r w:rsidRPr="0097630F">
        <w:t xml:space="preserve"> (Arrêté n°1186 du 05 août 2022 portant ouverture, clôture et réglementation de la chasse au Maroc) et la </w:t>
      </w:r>
      <w:r w:rsidRPr="0097630F">
        <w:rPr>
          <w:b/>
          <w:bCs/>
        </w:rPr>
        <w:t>Loi 29-05</w:t>
      </w:r>
      <w:r w:rsidRPr="0097630F">
        <w:t xml:space="preserve"> relative à la protection des espèces de la flore et de la faune sauvages et au contrôle de leur commerce. Les références internationales incluent : la </w:t>
      </w:r>
      <w:r w:rsidRPr="0097630F">
        <w:rPr>
          <w:b/>
          <w:bCs/>
        </w:rPr>
        <w:t>CITES</w:t>
      </w:r>
      <w:r w:rsidRPr="0097630F">
        <w:t xml:space="preserve"> (</w:t>
      </w:r>
      <w:r w:rsidRPr="0097630F">
        <w:rPr>
          <w:i/>
          <w:iCs/>
        </w:rPr>
        <w:t>Convention sur le commerce international des espèces de faune et de flore sauvages menacées d’extinction</w:t>
      </w:r>
      <w:r w:rsidRPr="0097630F">
        <w:t xml:space="preserve">, Washington, 1973), la </w:t>
      </w:r>
      <w:r w:rsidRPr="0097630F">
        <w:rPr>
          <w:b/>
          <w:bCs/>
        </w:rPr>
        <w:t>CMS</w:t>
      </w:r>
      <w:r w:rsidRPr="0097630F">
        <w:t xml:space="preserve"> (</w:t>
      </w:r>
      <w:r w:rsidRPr="0097630F">
        <w:rPr>
          <w:i/>
          <w:iCs/>
        </w:rPr>
        <w:t>Convention sur la conservation des espèces migratrices</w:t>
      </w:r>
      <w:r w:rsidRPr="0097630F">
        <w:t xml:space="preserve"> dite Convention de Bonn, 1983). Le </w:t>
      </w:r>
      <w:r w:rsidRPr="0097630F">
        <w:rPr>
          <w:b/>
          <w:bCs/>
        </w:rPr>
        <w:t>statut UICN</w:t>
      </w:r>
      <w:r w:rsidRPr="0097630F">
        <w:t xml:space="preserve"> (IUCN SSC Bird Red List Authority – BirdLife International) renseigne sur le niveau de menace global : LC (</w:t>
      </w:r>
      <w:r w:rsidRPr="0097630F">
        <w:rPr>
          <w:i/>
          <w:iCs/>
        </w:rPr>
        <w:t>Préoccupation mineure</w:t>
      </w:r>
      <w:r w:rsidRPr="0097630F">
        <w:t>), NT (</w:t>
      </w:r>
      <w:r w:rsidRPr="0097630F">
        <w:rPr>
          <w:i/>
          <w:iCs/>
        </w:rPr>
        <w:t>Quasi menacé</w:t>
      </w:r>
      <w:r w:rsidRPr="0097630F">
        <w:t>), VU (</w:t>
      </w:r>
      <w:r w:rsidRPr="0097630F">
        <w:rPr>
          <w:i/>
          <w:iCs/>
        </w:rPr>
        <w:t>Vulnérable</w:t>
      </w:r>
      <w:r w:rsidRPr="0097630F">
        <w:t>), EN (</w:t>
      </w:r>
      <w:r w:rsidRPr="0097630F">
        <w:rPr>
          <w:i/>
          <w:iCs/>
        </w:rPr>
        <w:t>En danger</w:t>
      </w:r>
      <w:r w:rsidRPr="0097630F">
        <w:t>), CR (</w:t>
      </w:r>
      <w:r w:rsidRPr="0097630F">
        <w:rPr>
          <w:i/>
          <w:iCs/>
        </w:rPr>
        <w:t>En danger critique</w:t>
      </w:r>
      <w:r w:rsidRPr="0097630F">
        <w:t>).</w:t>
      </w:r>
    </w:p>
    <w:p w14:paraId="54A368F1" w14:textId="7D11AD76" w:rsidR="00E36EE1" w:rsidRDefault="00E36EE1" w:rsidP="006E0486">
      <w:pPr>
        <w:sectPr w:rsidR="00E36EE1" w:rsidSect="001C13A1">
          <w:pgSz w:w="16838" w:h="11906" w:orient="landscape" w:code="9"/>
          <w:pgMar w:top="1134" w:right="1497" w:bottom="1134" w:left="1276" w:header="567" w:footer="221" w:gutter="0"/>
          <w:pgNumType w:fmt="lowerRoman"/>
          <w:cols w:space="708"/>
          <w:docGrid w:linePitch="360"/>
        </w:sectPr>
      </w:pPr>
    </w:p>
    <w:p w14:paraId="73E59F6F" w14:textId="77777777" w:rsidR="00BE7A2D" w:rsidRDefault="00BE7A2D" w:rsidP="00BE7A2D">
      <w:pPr>
        <w:spacing w:after="200"/>
      </w:pPr>
      <w:r w:rsidRPr="00AC2556">
        <w:lastRenderedPageBreak/>
        <w:t>Les prospections menées dans le cadre de cette étude ont permis de recenser plusieurs nids de Cigogne blanche, répartis dans et autour des zones d’étude. Le tableau ci-dessous synthétise les sites observés, en précisant leur localisation, le nombre de nids actifs et l’environnement immédiat. Ces données fournissent un aperçu spatial de la reproduction de l’espèce dans la zone et constituent un élément clé pour évaluer le risque de collision avec les aéronefs, en particulier lors des phases de décollage et d’atterrissage.</w:t>
      </w:r>
    </w:p>
    <w:tbl>
      <w:tblPr>
        <w:tblW w:w="5000" w:type="pct"/>
        <w:tblCellMar>
          <w:left w:w="70" w:type="dxa"/>
          <w:right w:w="70" w:type="dxa"/>
        </w:tblCellMar>
        <w:tblLook w:val="04A0" w:firstRow="1" w:lastRow="0" w:firstColumn="1" w:lastColumn="0" w:noHBand="0" w:noVBand="1"/>
      </w:tblPr>
      <w:tblGrid>
        <w:gridCol w:w="300"/>
        <w:gridCol w:w="1885"/>
        <w:gridCol w:w="2041"/>
        <w:gridCol w:w="1675"/>
        <w:gridCol w:w="514"/>
        <w:gridCol w:w="1606"/>
        <w:gridCol w:w="1041"/>
      </w:tblGrid>
      <w:tr w:rsidR="00BE7A2D" w:rsidRPr="00AC2556" w14:paraId="51A0718B" w14:textId="77777777" w:rsidTr="005A7661">
        <w:trPr>
          <w:trHeight w:val="288"/>
          <w:tblHeader/>
        </w:trPr>
        <w:tc>
          <w:tcPr>
            <w:tcW w:w="159" w:type="pct"/>
            <w:tcBorders>
              <w:top w:val="single" w:sz="4" w:space="0" w:color="196B24"/>
              <w:left w:val="single" w:sz="4" w:space="0" w:color="196B24"/>
              <w:bottom w:val="nil"/>
              <w:right w:val="nil"/>
            </w:tcBorders>
            <w:shd w:val="clear" w:color="196B24" w:fill="196B24"/>
            <w:noWrap/>
            <w:vAlign w:val="bottom"/>
            <w:hideMark/>
          </w:tcPr>
          <w:p w14:paraId="4B226A9F" w14:textId="77777777" w:rsidR="00BE7A2D" w:rsidRPr="00AC2556" w:rsidRDefault="00BE7A2D" w:rsidP="005A7661">
            <w:pPr>
              <w:spacing w:after="0"/>
              <w:jc w:val="center"/>
              <w:rPr>
                <w:rFonts w:cs="Calibri"/>
                <w:b/>
                <w:bCs/>
                <w:color w:val="FFFFFF"/>
                <w:lang w:eastAsia="fr-FR"/>
              </w:rPr>
            </w:pPr>
            <w:r w:rsidRPr="00AC2556">
              <w:rPr>
                <w:rFonts w:cs="Calibri"/>
                <w:b/>
                <w:bCs/>
                <w:color w:val="FFFFFF"/>
                <w:lang w:eastAsia="fr-FR"/>
              </w:rPr>
              <w:t>N</w:t>
            </w:r>
          </w:p>
        </w:tc>
        <w:tc>
          <w:tcPr>
            <w:tcW w:w="1062" w:type="pct"/>
            <w:tcBorders>
              <w:top w:val="single" w:sz="4" w:space="0" w:color="196B24"/>
              <w:left w:val="nil"/>
              <w:bottom w:val="nil"/>
              <w:right w:val="nil"/>
            </w:tcBorders>
            <w:shd w:val="clear" w:color="196B24" w:fill="196B24"/>
            <w:noWrap/>
            <w:vAlign w:val="bottom"/>
            <w:hideMark/>
          </w:tcPr>
          <w:p w14:paraId="02613500" w14:textId="77777777" w:rsidR="00BE7A2D" w:rsidRPr="00AC2556" w:rsidRDefault="00BE7A2D" w:rsidP="005A7661">
            <w:pPr>
              <w:spacing w:after="0"/>
              <w:jc w:val="center"/>
              <w:rPr>
                <w:rFonts w:cs="Calibri"/>
                <w:b/>
                <w:bCs/>
                <w:color w:val="FFFFFF"/>
                <w:lang w:eastAsia="fr-FR"/>
              </w:rPr>
            </w:pPr>
            <w:r w:rsidRPr="00AC2556">
              <w:rPr>
                <w:rFonts w:cs="Calibri"/>
                <w:b/>
                <w:bCs/>
                <w:color w:val="FFFFFF"/>
                <w:lang w:eastAsia="fr-FR"/>
              </w:rPr>
              <w:t>Coordonnées (Latitude Nord)</w:t>
            </w:r>
          </w:p>
        </w:tc>
        <w:tc>
          <w:tcPr>
            <w:tcW w:w="1149" w:type="pct"/>
            <w:tcBorders>
              <w:top w:val="single" w:sz="4" w:space="0" w:color="196B24"/>
              <w:left w:val="nil"/>
              <w:bottom w:val="nil"/>
              <w:right w:val="nil"/>
            </w:tcBorders>
            <w:shd w:val="clear" w:color="196B24" w:fill="196B24"/>
            <w:noWrap/>
            <w:vAlign w:val="bottom"/>
            <w:hideMark/>
          </w:tcPr>
          <w:p w14:paraId="663AEF4E" w14:textId="77777777" w:rsidR="00BE7A2D" w:rsidRPr="00AC2556" w:rsidRDefault="00BE7A2D" w:rsidP="005A7661">
            <w:pPr>
              <w:spacing w:after="0"/>
              <w:jc w:val="center"/>
              <w:rPr>
                <w:rFonts w:cs="Calibri"/>
                <w:b/>
                <w:bCs/>
                <w:color w:val="FFFFFF"/>
                <w:lang w:eastAsia="fr-FR"/>
              </w:rPr>
            </w:pPr>
            <w:r w:rsidRPr="00AC2556">
              <w:rPr>
                <w:rFonts w:cs="Calibri"/>
                <w:b/>
                <w:bCs/>
                <w:color w:val="FFFFFF"/>
                <w:lang w:eastAsia="fr-FR"/>
              </w:rPr>
              <w:t>Coordonnées (Longitude Ouest)</w:t>
            </w:r>
          </w:p>
        </w:tc>
        <w:tc>
          <w:tcPr>
            <w:tcW w:w="943" w:type="pct"/>
            <w:tcBorders>
              <w:top w:val="single" w:sz="4" w:space="0" w:color="196B24"/>
              <w:left w:val="nil"/>
              <w:bottom w:val="nil"/>
              <w:right w:val="nil"/>
            </w:tcBorders>
            <w:shd w:val="clear" w:color="196B24" w:fill="196B24"/>
            <w:noWrap/>
            <w:vAlign w:val="bottom"/>
            <w:hideMark/>
          </w:tcPr>
          <w:p w14:paraId="7DFB66EA" w14:textId="77777777" w:rsidR="00BE7A2D" w:rsidRPr="00AC2556" w:rsidRDefault="00BE7A2D" w:rsidP="005A7661">
            <w:pPr>
              <w:spacing w:after="0"/>
              <w:jc w:val="center"/>
              <w:rPr>
                <w:rFonts w:cs="Calibri"/>
                <w:b/>
                <w:bCs/>
                <w:color w:val="FFFFFF"/>
                <w:lang w:eastAsia="fr-FR"/>
              </w:rPr>
            </w:pPr>
            <w:r w:rsidRPr="00AC2556">
              <w:rPr>
                <w:rFonts w:cs="Calibri"/>
                <w:b/>
                <w:bCs/>
                <w:color w:val="FFFFFF"/>
                <w:lang w:eastAsia="fr-FR"/>
              </w:rPr>
              <w:t>Espèce (nom scientifique)</w:t>
            </w:r>
          </w:p>
        </w:tc>
        <w:tc>
          <w:tcPr>
            <w:tcW w:w="288" w:type="pct"/>
            <w:tcBorders>
              <w:top w:val="single" w:sz="4" w:space="0" w:color="196B24"/>
              <w:left w:val="nil"/>
              <w:bottom w:val="nil"/>
              <w:right w:val="nil"/>
            </w:tcBorders>
            <w:shd w:val="clear" w:color="196B24" w:fill="196B24"/>
            <w:noWrap/>
            <w:vAlign w:val="bottom"/>
            <w:hideMark/>
          </w:tcPr>
          <w:p w14:paraId="30A81F36" w14:textId="77777777" w:rsidR="00BE7A2D" w:rsidRPr="00AC2556" w:rsidRDefault="00BE7A2D" w:rsidP="005A7661">
            <w:pPr>
              <w:spacing w:after="0"/>
              <w:jc w:val="center"/>
              <w:rPr>
                <w:rFonts w:cs="Calibri"/>
                <w:b/>
                <w:bCs/>
                <w:color w:val="FFFFFF"/>
                <w:lang w:eastAsia="fr-FR"/>
              </w:rPr>
            </w:pPr>
            <w:r w:rsidRPr="00AC2556">
              <w:rPr>
                <w:rFonts w:cs="Calibri"/>
                <w:b/>
                <w:bCs/>
                <w:color w:val="FFFFFF"/>
                <w:lang w:eastAsia="fr-FR"/>
              </w:rPr>
              <w:t>N. Nid</w:t>
            </w:r>
          </w:p>
        </w:tc>
        <w:tc>
          <w:tcPr>
            <w:tcW w:w="813" w:type="pct"/>
            <w:tcBorders>
              <w:top w:val="single" w:sz="4" w:space="0" w:color="196B24"/>
              <w:left w:val="nil"/>
              <w:bottom w:val="nil"/>
              <w:right w:val="nil"/>
            </w:tcBorders>
            <w:shd w:val="clear" w:color="196B24" w:fill="196B24"/>
            <w:noWrap/>
            <w:vAlign w:val="bottom"/>
            <w:hideMark/>
          </w:tcPr>
          <w:p w14:paraId="3CC22C5D" w14:textId="77777777" w:rsidR="00BE7A2D" w:rsidRPr="00AC2556" w:rsidRDefault="00BE7A2D" w:rsidP="005A7661">
            <w:pPr>
              <w:spacing w:after="0"/>
              <w:jc w:val="center"/>
              <w:rPr>
                <w:rFonts w:cs="Calibri"/>
                <w:b/>
                <w:bCs/>
                <w:color w:val="FFFFFF"/>
                <w:lang w:eastAsia="fr-FR"/>
              </w:rPr>
            </w:pPr>
            <w:r w:rsidRPr="00AC2556">
              <w:rPr>
                <w:rFonts w:cs="Calibri"/>
                <w:b/>
                <w:bCs/>
                <w:color w:val="FFFFFF"/>
                <w:lang w:eastAsia="fr-FR"/>
              </w:rPr>
              <w:t>Support</w:t>
            </w:r>
          </w:p>
        </w:tc>
        <w:tc>
          <w:tcPr>
            <w:tcW w:w="585" w:type="pct"/>
            <w:tcBorders>
              <w:top w:val="single" w:sz="4" w:space="0" w:color="196B24"/>
              <w:left w:val="nil"/>
              <w:bottom w:val="nil"/>
              <w:right w:val="single" w:sz="4" w:space="0" w:color="196B24"/>
            </w:tcBorders>
            <w:shd w:val="clear" w:color="196B24" w:fill="196B24"/>
            <w:noWrap/>
            <w:vAlign w:val="bottom"/>
            <w:hideMark/>
          </w:tcPr>
          <w:p w14:paraId="002CCC26" w14:textId="77777777" w:rsidR="00BE7A2D" w:rsidRPr="00AC2556" w:rsidRDefault="00BE7A2D" w:rsidP="005A7661">
            <w:pPr>
              <w:spacing w:after="0"/>
              <w:jc w:val="center"/>
              <w:rPr>
                <w:rFonts w:cs="Calibri"/>
                <w:b/>
                <w:bCs/>
                <w:color w:val="FFFFFF"/>
                <w:lang w:eastAsia="fr-FR"/>
              </w:rPr>
            </w:pPr>
            <w:r w:rsidRPr="00AC2556">
              <w:rPr>
                <w:rFonts w:cs="Calibri"/>
                <w:b/>
                <w:bCs/>
                <w:color w:val="FFFFFF"/>
                <w:lang w:eastAsia="fr-FR"/>
              </w:rPr>
              <w:t xml:space="preserve">Hauteur du nid </w:t>
            </w:r>
          </w:p>
        </w:tc>
      </w:tr>
      <w:tr w:rsidR="00BE7A2D" w:rsidRPr="00AC2556" w14:paraId="2E746ED2" w14:textId="77777777" w:rsidTr="005A7661">
        <w:trPr>
          <w:trHeight w:val="288"/>
        </w:trPr>
        <w:tc>
          <w:tcPr>
            <w:tcW w:w="159" w:type="pct"/>
            <w:tcBorders>
              <w:top w:val="single" w:sz="4" w:space="0" w:color="196B24"/>
              <w:left w:val="single" w:sz="4" w:space="0" w:color="196B24"/>
              <w:bottom w:val="nil"/>
              <w:right w:val="nil"/>
            </w:tcBorders>
            <w:noWrap/>
            <w:vAlign w:val="bottom"/>
            <w:hideMark/>
          </w:tcPr>
          <w:p w14:paraId="1330D3FE" w14:textId="77777777" w:rsidR="00BE7A2D" w:rsidRPr="00AC2556" w:rsidRDefault="00BE7A2D" w:rsidP="005A7661">
            <w:pPr>
              <w:spacing w:after="0"/>
              <w:jc w:val="center"/>
              <w:rPr>
                <w:rFonts w:ascii="Aptos Narrow" w:hAnsi="Aptos Narrow" w:cs="Times New Roman"/>
                <w:color w:val="000000"/>
                <w:lang w:eastAsia="fr-FR"/>
              </w:rPr>
            </w:pPr>
            <w:r w:rsidRPr="00AC2556">
              <w:rPr>
                <w:rFonts w:ascii="Aptos Narrow" w:hAnsi="Aptos Narrow" w:cs="Times New Roman"/>
                <w:color w:val="000000"/>
                <w:lang w:eastAsia="fr-FR"/>
              </w:rPr>
              <w:t>1</w:t>
            </w:r>
          </w:p>
        </w:tc>
        <w:tc>
          <w:tcPr>
            <w:tcW w:w="1062" w:type="pct"/>
            <w:tcBorders>
              <w:top w:val="single" w:sz="4" w:space="0" w:color="196B24"/>
              <w:left w:val="nil"/>
              <w:bottom w:val="nil"/>
              <w:right w:val="nil"/>
            </w:tcBorders>
            <w:noWrap/>
            <w:vAlign w:val="bottom"/>
            <w:hideMark/>
          </w:tcPr>
          <w:p w14:paraId="534167C0" w14:textId="77777777" w:rsidR="00BE7A2D" w:rsidRPr="00AC2556" w:rsidRDefault="00BE7A2D" w:rsidP="005A7661">
            <w:pPr>
              <w:spacing w:after="0"/>
              <w:jc w:val="center"/>
              <w:rPr>
                <w:rFonts w:ascii="Aptos Narrow" w:hAnsi="Aptos Narrow" w:cs="Times New Roman"/>
                <w:color w:val="000000"/>
                <w:lang w:eastAsia="fr-FR"/>
              </w:rPr>
            </w:pPr>
            <w:r w:rsidRPr="00AC2556">
              <w:rPr>
                <w:rFonts w:ascii="Aptos Narrow" w:hAnsi="Aptos Narrow" w:cs="Times New Roman"/>
                <w:color w:val="000000"/>
                <w:lang w:eastAsia="fr-FR"/>
              </w:rPr>
              <w:t>31° 45' 36.096'' N</w:t>
            </w:r>
          </w:p>
        </w:tc>
        <w:tc>
          <w:tcPr>
            <w:tcW w:w="1149" w:type="pct"/>
            <w:tcBorders>
              <w:top w:val="single" w:sz="4" w:space="0" w:color="196B24"/>
              <w:left w:val="nil"/>
              <w:bottom w:val="nil"/>
              <w:right w:val="nil"/>
            </w:tcBorders>
            <w:noWrap/>
            <w:vAlign w:val="bottom"/>
            <w:hideMark/>
          </w:tcPr>
          <w:p w14:paraId="0F361E99" w14:textId="77777777" w:rsidR="00BE7A2D" w:rsidRPr="00AC2556" w:rsidRDefault="00BE7A2D" w:rsidP="005A7661">
            <w:pPr>
              <w:spacing w:after="0"/>
              <w:jc w:val="center"/>
              <w:rPr>
                <w:rFonts w:ascii="Aptos Narrow" w:hAnsi="Aptos Narrow" w:cs="Times New Roman"/>
                <w:color w:val="000000"/>
                <w:lang w:eastAsia="fr-FR"/>
              </w:rPr>
            </w:pPr>
            <w:r w:rsidRPr="00AC2556">
              <w:rPr>
                <w:rFonts w:ascii="Aptos Narrow" w:hAnsi="Aptos Narrow" w:cs="Times New Roman"/>
                <w:color w:val="000000"/>
                <w:lang w:eastAsia="fr-FR"/>
              </w:rPr>
              <w:t>8° 6' 50.457'' W</w:t>
            </w:r>
          </w:p>
        </w:tc>
        <w:tc>
          <w:tcPr>
            <w:tcW w:w="943" w:type="pct"/>
            <w:tcBorders>
              <w:top w:val="single" w:sz="4" w:space="0" w:color="196B24"/>
              <w:left w:val="nil"/>
              <w:bottom w:val="nil"/>
              <w:right w:val="nil"/>
            </w:tcBorders>
            <w:noWrap/>
            <w:vAlign w:val="bottom"/>
            <w:hideMark/>
          </w:tcPr>
          <w:p w14:paraId="2A409200" w14:textId="77777777" w:rsidR="00BE7A2D" w:rsidRPr="00AC2556" w:rsidRDefault="00BE7A2D" w:rsidP="005A7661">
            <w:pPr>
              <w:spacing w:after="0"/>
              <w:jc w:val="left"/>
              <w:rPr>
                <w:rFonts w:ascii="Aptos Narrow" w:hAnsi="Aptos Narrow" w:cs="Times New Roman"/>
                <w:i/>
                <w:iCs/>
                <w:color w:val="000000"/>
                <w:lang w:eastAsia="fr-FR"/>
              </w:rPr>
            </w:pPr>
            <w:r w:rsidRPr="00AC2556">
              <w:rPr>
                <w:rFonts w:ascii="Aptos Narrow" w:hAnsi="Aptos Narrow" w:cs="Times New Roman"/>
                <w:i/>
                <w:iCs/>
                <w:color w:val="000000"/>
                <w:lang w:eastAsia="fr-FR"/>
              </w:rPr>
              <w:t>Ciconia ciconia</w:t>
            </w:r>
          </w:p>
        </w:tc>
        <w:tc>
          <w:tcPr>
            <w:tcW w:w="288" w:type="pct"/>
            <w:tcBorders>
              <w:top w:val="single" w:sz="4" w:space="0" w:color="196B24"/>
              <w:left w:val="nil"/>
              <w:bottom w:val="nil"/>
              <w:right w:val="nil"/>
            </w:tcBorders>
            <w:noWrap/>
            <w:vAlign w:val="bottom"/>
            <w:hideMark/>
          </w:tcPr>
          <w:p w14:paraId="0A2DC93E" w14:textId="77777777" w:rsidR="00BE7A2D" w:rsidRPr="00AC2556" w:rsidRDefault="00BE7A2D" w:rsidP="005A7661">
            <w:pPr>
              <w:spacing w:after="0"/>
              <w:jc w:val="center"/>
              <w:rPr>
                <w:rFonts w:ascii="Aptos Narrow" w:hAnsi="Aptos Narrow" w:cs="Times New Roman"/>
                <w:color w:val="000000"/>
                <w:lang w:eastAsia="fr-FR"/>
              </w:rPr>
            </w:pPr>
            <w:r w:rsidRPr="00AC2556">
              <w:rPr>
                <w:rFonts w:ascii="Aptos Narrow" w:hAnsi="Aptos Narrow" w:cs="Times New Roman"/>
                <w:color w:val="000000"/>
                <w:lang w:eastAsia="fr-FR"/>
              </w:rPr>
              <w:t>1</w:t>
            </w:r>
          </w:p>
        </w:tc>
        <w:tc>
          <w:tcPr>
            <w:tcW w:w="813" w:type="pct"/>
            <w:tcBorders>
              <w:top w:val="single" w:sz="4" w:space="0" w:color="196B24"/>
              <w:left w:val="nil"/>
              <w:bottom w:val="nil"/>
              <w:right w:val="nil"/>
            </w:tcBorders>
            <w:noWrap/>
            <w:vAlign w:val="bottom"/>
            <w:hideMark/>
          </w:tcPr>
          <w:p w14:paraId="198E0EB1" w14:textId="77777777" w:rsidR="00BE7A2D" w:rsidRPr="00AC2556" w:rsidRDefault="00BE7A2D" w:rsidP="005A7661">
            <w:pPr>
              <w:spacing w:after="0"/>
              <w:jc w:val="left"/>
              <w:rPr>
                <w:rFonts w:ascii="Aptos Narrow" w:hAnsi="Aptos Narrow" w:cs="Times New Roman"/>
                <w:color w:val="000000"/>
                <w:lang w:eastAsia="fr-FR"/>
              </w:rPr>
            </w:pPr>
            <w:r w:rsidRPr="00AC2556">
              <w:rPr>
                <w:rFonts w:ascii="Aptos Narrow" w:hAnsi="Aptos Narrow" w:cs="Times New Roman"/>
                <w:color w:val="000000"/>
                <w:lang w:eastAsia="fr-FR"/>
              </w:rPr>
              <w:t>Pylône réseau télécom</w:t>
            </w:r>
          </w:p>
        </w:tc>
        <w:tc>
          <w:tcPr>
            <w:tcW w:w="585" w:type="pct"/>
            <w:tcBorders>
              <w:top w:val="single" w:sz="4" w:space="0" w:color="196B24"/>
              <w:left w:val="nil"/>
              <w:bottom w:val="nil"/>
              <w:right w:val="single" w:sz="4" w:space="0" w:color="196B24"/>
            </w:tcBorders>
            <w:noWrap/>
            <w:vAlign w:val="bottom"/>
            <w:hideMark/>
          </w:tcPr>
          <w:p w14:paraId="79D6547E" w14:textId="77777777" w:rsidR="00BE7A2D" w:rsidRPr="00AC2556" w:rsidRDefault="00BE7A2D" w:rsidP="005A7661">
            <w:pPr>
              <w:spacing w:after="0"/>
              <w:jc w:val="center"/>
              <w:rPr>
                <w:rFonts w:ascii="Aptos Narrow" w:hAnsi="Aptos Narrow" w:cs="Times New Roman"/>
                <w:color w:val="000000"/>
                <w:lang w:eastAsia="fr-FR"/>
              </w:rPr>
            </w:pPr>
            <w:r w:rsidRPr="00AC2556">
              <w:rPr>
                <w:rFonts w:ascii="Aptos Narrow" w:hAnsi="Aptos Narrow" w:cs="Times New Roman"/>
                <w:color w:val="000000"/>
                <w:lang w:eastAsia="fr-FR"/>
              </w:rPr>
              <w:t>10-30m</w:t>
            </w:r>
          </w:p>
        </w:tc>
      </w:tr>
      <w:tr w:rsidR="00BE7A2D" w:rsidRPr="00AC2556" w14:paraId="1B156FCC" w14:textId="77777777" w:rsidTr="005A7661">
        <w:trPr>
          <w:trHeight w:val="288"/>
        </w:trPr>
        <w:tc>
          <w:tcPr>
            <w:tcW w:w="159" w:type="pct"/>
            <w:tcBorders>
              <w:top w:val="single" w:sz="4" w:space="0" w:color="196B24"/>
              <w:left w:val="single" w:sz="4" w:space="0" w:color="196B24"/>
              <w:bottom w:val="nil"/>
              <w:right w:val="nil"/>
            </w:tcBorders>
            <w:noWrap/>
            <w:vAlign w:val="bottom"/>
            <w:hideMark/>
          </w:tcPr>
          <w:p w14:paraId="43CC2A4F" w14:textId="77777777" w:rsidR="00BE7A2D" w:rsidRPr="00AC2556" w:rsidRDefault="00BE7A2D" w:rsidP="005A7661">
            <w:pPr>
              <w:spacing w:after="0"/>
              <w:jc w:val="center"/>
              <w:rPr>
                <w:rFonts w:ascii="Aptos Narrow" w:hAnsi="Aptos Narrow" w:cs="Times New Roman"/>
                <w:color w:val="000000"/>
                <w:lang w:eastAsia="fr-FR"/>
              </w:rPr>
            </w:pPr>
            <w:r w:rsidRPr="00AC2556">
              <w:rPr>
                <w:rFonts w:ascii="Aptos Narrow" w:hAnsi="Aptos Narrow" w:cs="Times New Roman"/>
                <w:color w:val="000000"/>
                <w:lang w:eastAsia="fr-FR"/>
              </w:rPr>
              <w:t>2</w:t>
            </w:r>
          </w:p>
        </w:tc>
        <w:tc>
          <w:tcPr>
            <w:tcW w:w="1062" w:type="pct"/>
            <w:tcBorders>
              <w:top w:val="single" w:sz="4" w:space="0" w:color="196B24"/>
              <w:left w:val="nil"/>
              <w:bottom w:val="nil"/>
              <w:right w:val="nil"/>
            </w:tcBorders>
            <w:noWrap/>
            <w:vAlign w:val="bottom"/>
            <w:hideMark/>
          </w:tcPr>
          <w:p w14:paraId="0A7FDF23" w14:textId="77777777" w:rsidR="00BE7A2D" w:rsidRPr="00AC2556" w:rsidRDefault="00BE7A2D" w:rsidP="005A7661">
            <w:pPr>
              <w:spacing w:after="0"/>
              <w:jc w:val="center"/>
              <w:rPr>
                <w:rFonts w:ascii="Aptos Narrow" w:hAnsi="Aptos Narrow" w:cs="Times New Roman"/>
                <w:color w:val="000000"/>
                <w:lang w:eastAsia="fr-FR"/>
              </w:rPr>
            </w:pPr>
            <w:r w:rsidRPr="00AC2556">
              <w:rPr>
                <w:rFonts w:ascii="Aptos Narrow" w:hAnsi="Aptos Narrow" w:cs="Times New Roman"/>
                <w:color w:val="000000"/>
                <w:lang w:eastAsia="fr-FR"/>
              </w:rPr>
              <w:t>31° 45' 28.43''</w:t>
            </w:r>
          </w:p>
        </w:tc>
        <w:tc>
          <w:tcPr>
            <w:tcW w:w="1149" w:type="pct"/>
            <w:tcBorders>
              <w:top w:val="single" w:sz="4" w:space="0" w:color="196B24"/>
              <w:left w:val="nil"/>
              <w:bottom w:val="nil"/>
              <w:right w:val="nil"/>
            </w:tcBorders>
            <w:noWrap/>
            <w:vAlign w:val="bottom"/>
            <w:hideMark/>
          </w:tcPr>
          <w:p w14:paraId="669FEB4C" w14:textId="77777777" w:rsidR="00BE7A2D" w:rsidRPr="00AC2556" w:rsidRDefault="00BE7A2D" w:rsidP="005A7661">
            <w:pPr>
              <w:spacing w:after="0"/>
              <w:jc w:val="center"/>
              <w:rPr>
                <w:rFonts w:ascii="Aptos Narrow" w:hAnsi="Aptos Narrow" w:cs="Times New Roman"/>
                <w:color w:val="000000"/>
                <w:lang w:eastAsia="fr-FR"/>
              </w:rPr>
            </w:pPr>
            <w:r w:rsidRPr="00AC2556">
              <w:rPr>
                <w:rFonts w:ascii="Aptos Narrow" w:hAnsi="Aptos Narrow" w:cs="Times New Roman"/>
                <w:color w:val="000000"/>
                <w:lang w:eastAsia="fr-FR"/>
              </w:rPr>
              <w:t>8° 6' 56.225''</w:t>
            </w:r>
          </w:p>
        </w:tc>
        <w:tc>
          <w:tcPr>
            <w:tcW w:w="943" w:type="pct"/>
            <w:tcBorders>
              <w:top w:val="single" w:sz="4" w:space="0" w:color="196B24"/>
              <w:left w:val="nil"/>
              <w:bottom w:val="nil"/>
              <w:right w:val="nil"/>
            </w:tcBorders>
            <w:noWrap/>
            <w:vAlign w:val="bottom"/>
            <w:hideMark/>
          </w:tcPr>
          <w:p w14:paraId="2012BB8C" w14:textId="77777777" w:rsidR="00BE7A2D" w:rsidRPr="00AC2556" w:rsidRDefault="00BE7A2D" w:rsidP="005A7661">
            <w:pPr>
              <w:spacing w:after="0"/>
              <w:jc w:val="left"/>
              <w:rPr>
                <w:rFonts w:ascii="Aptos Narrow" w:hAnsi="Aptos Narrow" w:cs="Times New Roman"/>
                <w:i/>
                <w:iCs/>
                <w:color w:val="000000"/>
                <w:lang w:eastAsia="fr-FR"/>
              </w:rPr>
            </w:pPr>
            <w:r w:rsidRPr="00AC2556">
              <w:rPr>
                <w:rFonts w:ascii="Aptos Narrow" w:hAnsi="Aptos Narrow" w:cs="Times New Roman"/>
                <w:i/>
                <w:iCs/>
                <w:color w:val="000000"/>
                <w:lang w:eastAsia="fr-FR"/>
              </w:rPr>
              <w:t>Ciconia ciconia</w:t>
            </w:r>
          </w:p>
        </w:tc>
        <w:tc>
          <w:tcPr>
            <w:tcW w:w="288" w:type="pct"/>
            <w:tcBorders>
              <w:top w:val="single" w:sz="4" w:space="0" w:color="196B24"/>
              <w:left w:val="nil"/>
              <w:bottom w:val="nil"/>
              <w:right w:val="nil"/>
            </w:tcBorders>
            <w:noWrap/>
            <w:vAlign w:val="bottom"/>
            <w:hideMark/>
          </w:tcPr>
          <w:p w14:paraId="09B1A3C8" w14:textId="77777777" w:rsidR="00BE7A2D" w:rsidRPr="00AC2556" w:rsidRDefault="00BE7A2D" w:rsidP="005A7661">
            <w:pPr>
              <w:spacing w:after="0"/>
              <w:jc w:val="center"/>
              <w:rPr>
                <w:rFonts w:ascii="Aptos Narrow" w:hAnsi="Aptos Narrow" w:cs="Times New Roman"/>
                <w:color w:val="000000"/>
                <w:lang w:eastAsia="fr-FR"/>
              </w:rPr>
            </w:pPr>
            <w:r w:rsidRPr="00AC2556">
              <w:rPr>
                <w:rFonts w:ascii="Aptos Narrow" w:hAnsi="Aptos Narrow" w:cs="Times New Roman"/>
                <w:color w:val="000000"/>
                <w:lang w:eastAsia="fr-FR"/>
              </w:rPr>
              <w:t>1</w:t>
            </w:r>
          </w:p>
        </w:tc>
        <w:tc>
          <w:tcPr>
            <w:tcW w:w="813" w:type="pct"/>
            <w:tcBorders>
              <w:top w:val="single" w:sz="4" w:space="0" w:color="196B24"/>
              <w:left w:val="nil"/>
              <w:bottom w:val="nil"/>
              <w:right w:val="nil"/>
            </w:tcBorders>
            <w:noWrap/>
            <w:vAlign w:val="bottom"/>
            <w:hideMark/>
          </w:tcPr>
          <w:p w14:paraId="7EE4F2CA" w14:textId="77777777" w:rsidR="00BE7A2D" w:rsidRPr="00AC2556" w:rsidRDefault="00BE7A2D" w:rsidP="005A7661">
            <w:pPr>
              <w:spacing w:after="0"/>
              <w:jc w:val="left"/>
              <w:rPr>
                <w:rFonts w:ascii="Aptos Narrow" w:hAnsi="Aptos Narrow" w:cs="Times New Roman"/>
                <w:color w:val="000000"/>
                <w:lang w:eastAsia="fr-FR"/>
              </w:rPr>
            </w:pPr>
            <w:r w:rsidRPr="00AC2556">
              <w:rPr>
                <w:rFonts w:ascii="Aptos Narrow" w:hAnsi="Aptos Narrow" w:cs="Times New Roman"/>
                <w:color w:val="000000"/>
                <w:lang w:eastAsia="fr-FR"/>
              </w:rPr>
              <w:t>Minaret</w:t>
            </w:r>
          </w:p>
        </w:tc>
        <w:tc>
          <w:tcPr>
            <w:tcW w:w="585" w:type="pct"/>
            <w:tcBorders>
              <w:top w:val="single" w:sz="4" w:space="0" w:color="196B24"/>
              <w:left w:val="nil"/>
              <w:bottom w:val="nil"/>
              <w:right w:val="single" w:sz="4" w:space="0" w:color="196B24"/>
            </w:tcBorders>
            <w:noWrap/>
            <w:vAlign w:val="bottom"/>
            <w:hideMark/>
          </w:tcPr>
          <w:p w14:paraId="304325FF" w14:textId="77777777" w:rsidR="00BE7A2D" w:rsidRPr="00AC2556" w:rsidRDefault="00BE7A2D" w:rsidP="005A7661">
            <w:pPr>
              <w:spacing w:after="0"/>
              <w:jc w:val="center"/>
              <w:rPr>
                <w:rFonts w:ascii="Aptos Narrow" w:hAnsi="Aptos Narrow" w:cs="Times New Roman"/>
                <w:color w:val="000000"/>
                <w:lang w:eastAsia="fr-FR"/>
              </w:rPr>
            </w:pPr>
            <w:r w:rsidRPr="00AC2556">
              <w:rPr>
                <w:rFonts w:ascii="Aptos Narrow" w:hAnsi="Aptos Narrow" w:cs="Times New Roman"/>
                <w:color w:val="000000"/>
                <w:lang w:eastAsia="fr-FR"/>
              </w:rPr>
              <w:t>10-30m</w:t>
            </w:r>
          </w:p>
        </w:tc>
      </w:tr>
      <w:tr w:rsidR="00BE7A2D" w:rsidRPr="00AC2556" w14:paraId="6F9929BB" w14:textId="77777777" w:rsidTr="005A7661">
        <w:trPr>
          <w:trHeight w:val="288"/>
        </w:trPr>
        <w:tc>
          <w:tcPr>
            <w:tcW w:w="159" w:type="pct"/>
            <w:tcBorders>
              <w:top w:val="single" w:sz="4" w:space="0" w:color="196B24"/>
              <w:left w:val="single" w:sz="4" w:space="0" w:color="196B24"/>
              <w:bottom w:val="nil"/>
              <w:right w:val="nil"/>
            </w:tcBorders>
            <w:noWrap/>
            <w:vAlign w:val="bottom"/>
            <w:hideMark/>
          </w:tcPr>
          <w:p w14:paraId="206E9584" w14:textId="77777777" w:rsidR="00BE7A2D" w:rsidRPr="00AC2556" w:rsidRDefault="00BE7A2D" w:rsidP="005A7661">
            <w:pPr>
              <w:spacing w:after="0"/>
              <w:jc w:val="center"/>
              <w:rPr>
                <w:rFonts w:ascii="Aptos Narrow" w:hAnsi="Aptos Narrow" w:cs="Times New Roman"/>
                <w:color w:val="000000"/>
                <w:lang w:eastAsia="fr-FR"/>
              </w:rPr>
            </w:pPr>
            <w:r w:rsidRPr="00AC2556">
              <w:rPr>
                <w:rFonts w:ascii="Aptos Narrow" w:hAnsi="Aptos Narrow" w:cs="Times New Roman"/>
                <w:color w:val="000000"/>
                <w:lang w:eastAsia="fr-FR"/>
              </w:rPr>
              <w:t>3</w:t>
            </w:r>
          </w:p>
        </w:tc>
        <w:tc>
          <w:tcPr>
            <w:tcW w:w="1062" w:type="pct"/>
            <w:tcBorders>
              <w:top w:val="single" w:sz="4" w:space="0" w:color="196B24"/>
              <w:left w:val="nil"/>
              <w:bottom w:val="nil"/>
              <w:right w:val="nil"/>
            </w:tcBorders>
            <w:noWrap/>
            <w:vAlign w:val="bottom"/>
            <w:hideMark/>
          </w:tcPr>
          <w:p w14:paraId="4D6AA977" w14:textId="77777777" w:rsidR="00BE7A2D" w:rsidRPr="00AC2556" w:rsidRDefault="00BE7A2D" w:rsidP="005A7661">
            <w:pPr>
              <w:spacing w:after="0"/>
              <w:jc w:val="center"/>
              <w:rPr>
                <w:rFonts w:ascii="Aptos Narrow" w:hAnsi="Aptos Narrow" w:cs="Times New Roman"/>
                <w:color w:val="000000"/>
                <w:lang w:eastAsia="fr-FR"/>
              </w:rPr>
            </w:pPr>
            <w:r w:rsidRPr="00AC2556">
              <w:rPr>
                <w:rFonts w:ascii="Aptos Narrow" w:hAnsi="Aptos Narrow" w:cs="Times New Roman"/>
                <w:color w:val="000000"/>
                <w:lang w:eastAsia="fr-FR"/>
              </w:rPr>
              <w:t>31° 43' 34.889''</w:t>
            </w:r>
          </w:p>
        </w:tc>
        <w:tc>
          <w:tcPr>
            <w:tcW w:w="1149" w:type="pct"/>
            <w:tcBorders>
              <w:top w:val="single" w:sz="4" w:space="0" w:color="196B24"/>
              <w:left w:val="nil"/>
              <w:bottom w:val="nil"/>
              <w:right w:val="nil"/>
            </w:tcBorders>
            <w:noWrap/>
            <w:vAlign w:val="bottom"/>
            <w:hideMark/>
          </w:tcPr>
          <w:p w14:paraId="0FF42322" w14:textId="77777777" w:rsidR="00BE7A2D" w:rsidRPr="00AC2556" w:rsidRDefault="00BE7A2D" w:rsidP="005A7661">
            <w:pPr>
              <w:spacing w:after="0"/>
              <w:jc w:val="center"/>
              <w:rPr>
                <w:rFonts w:ascii="Aptos Narrow" w:hAnsi="Aptos Narrow" w:cs="Times New Roman"/>
                <w:color w:val="000000"/>
                <w:lang w:eastAsia="fr-FR"/>
              </w:rPr>
            </w:pPr>
            <w:r w:rsidRPr="00AC2556">
              <w:rPr>
                <w:rFonts w:ascii="Aptos Narrow" w:hAnsi="Aptos Narrow" w:cs="Times New Roman"/>
                <w:color w:val="000000"/>
                <w:lang w:eastAsia="fr-FR"/>
              </w:rPr>
              <w:t>8° 6' 39.975''</w:t>
            </w:r>
          </w:p>
        </w:tc>
        <w:tc>
          <w:tcPr>
            <w:tcW w:w="943" w:type="pct"/>
            <w:tcBorders>
              <w:top w:val="single" w:sz="4" w:space="0" w:color="196B24"/>
              <w:left w:val="nil"/>
              <w:bottom w:val="nil"/>
              <w:right w:val="nil"/>
            </w:tcBorders>
            <w:noWrap/>
            <w:vAlign w:val="bottom"/>
            <w:hideMark/>
          </w:tcPr>
          <w:p w14:paraId="23F48E38" w14:textId="77777777" w:rsidR="00BE7A2D" w:rsidRPr="00AC2556" w:rsidRDefault="00BE7A2D" w:rsidP="005A7661">
            <w:pPr>
              <w:spacing w:after="0"/>
              <w:jc w:val="left"/>
              <w:rPr>
                <w:rFonts w:ascii="Aptos Narrow" w:hAnsi="Aptos Narrow" w:cs="Times New Roman"/>
                <w:i/>
                <w:iCs/>
                <w:color w:val="000000"/>
                <w:lang w:eastAsia="fr-FR"/>
              </w:rPr>
            </w:pPr>
            <w:r w:rsidRPr="00AC2556">
              <w:rPr>
                <w:rFonts w:ascii="Aptos Narrow" w:hAnsi="Aptos Narrow" w:cs="Times New Roman"/>
                <w:i/>
                <w:iCs/>
                <w:color w:val="000000"/>
                <w:lang w:eastAsia="fr-FR"/>
              </w:rPr>
              <w:t>Ciconia ciconia</w:t>
            </w:r>
          </w:p>
        </w:tc>
        <w:tc>
          <w:tcPr>
            <w:tcW w:w="288" w:type="pct"/>
            <w:tcBorders>
              <w:top w:val="single" w:sz="4" w:space="0" w:color="196B24"/>
              <w:left w:val="nil"/>
              <w:bottom w:val="nil"/>
              <w:right w:val="nil"/>
            </w:tcBorders>
            <w:noWrap/>
            <w:vAlign w:val="bottom"/>
            <w:hideMark/>
          </w:tcPr>
          <w:p w14:paraId="7800BD07" w14:textId="77777777" w:rsidR="00BE7A2D" w:rsidRPr="00AC2556" w:rsidRDefault="00BE7A2D" w:rsidP="005A7661">
            <w:pPr>
              <w:spacing w:after="0"/>
              <w:jc w:val="center"/>
              <w:rPr>
                <w:rFonts w:ascii="Aptos Narrow" w:hAnsi="Aptos Narrow" w:cs="Times New Roman"/>
                <w:color w:val="000000"/>
                <w:lang w:eastAsia="fr-FR"/>
              </w:rPr>
            </w:pPr>
            <w:r w:rsidRPr="00AC2556">
              <w:rPr>
                <w:rFonts w:ascii="Aptos Narrow" w:hAnsi="Aptos Narrow" w:cs="Times New Roman"/>
                <w:color w:val="000000"/>
                <w:lang w:eastAsia="fr-FR"/>
              </w:rPr>
              <w:t>1</w:t>
            </w:r>
          </w:p>
        </w:tc>
        <w:tc>
          <w:tcPr>
            <w:tcW w:w="813" w:type="pct"/>
            <w:tcBorders>
              <w:top w:val="single" w:sz="4" w:space="0" w:color="196B24"/>
              <w:left w:val="nil"/>
              <w:bottom w:val="nil"/>
              <w:right w:val="nil"/>
            </w:tcBorders>
            <w:noWrap/>
            <w:vAlign w:val="bottom"/>
            <w:hideMark/>
          </w:tcPr>
          <w:p w14:paraId="4F60A8B5" w14:textId="77777777" w:rsidR="00BE7A2D" w:rsidRPr="00AC2556" w:rsidRDefault="00BE7A2D" w:rsidP="005A7661">
            <w:pPr>
              <w:spacing w:after="0"/>
              <w:jc w:val="left"/>
              <w:rPr>
                <w:rFonts w:ascii="Aptos Narrow" w:hAnsi="Aptos Narrow" w:cs="Times New Roman"/>
                <w:color w:val="000000"/>
                <w:lang w:eastAsia="fr-FR"/>
              </w:rPr>
            </w:pPr>
            <w:r w:rsidRPr="00AC2556">
              <w:rPr>
                <w:rFonts w:ascii="Aptos Narrow" w:hAnsi="Aptos Narrow" w:cs="Times New Roman"/>
                <w:color w:val="000000"/>
                <w:lang w:eastAsia="fr-FR"/>
              </w:rPr>
              <w:t>Minaret</w:t>
            </w:r>
          </w:p>
        </w:tc>
        <w:tc>
          <w:tcPr>
            <w:tcW w:w="585" w:type="pct"/>
            <w:tcBorders>
              <w:top w:val="single" w:sz="4" w:space="0" w:color="196B24"/>
              <w:left w:val="nil"/>
              <w:bottom w:val="nil"/>
              <w:right w:val="single" w:sz="4" w:space="0" w:color="196B24"/>
            </w:tcBorders>
            <w:noWrap/>
            <w:vAlign w:val="bottom"/>
            <w:hideMark/>
          </w:tcPr>
          <w:p w14:paraId="4A3508A3" w14:textId="77777777" w:rsidR="00BE7A2D" w:rsidRPr="00AC2556" w:rsidRDefault="00BE7A2D" w:rsidP="005A7661">
            <w:pPr>
              <w:spacing w:after="0"/>
              <w:jc w:val="center"/>
              <w:rPr>
                <w:rFonts w:ascii="Aptos Narrow" w:hAnsi="Aptos Narrow" w:cs="Times New Roman"/>
                <w:color w:val="000000"/>
                <w:lang w:eastAsia="fr-FR"/>
              </w:rPr>
            </w:pPr>
            <w:r w:rsidRPr="00AC2556">
              <w:rPr>
                <w:rFonts w:ascii="Aptos Narrow" w:hAnsi="Aptos Narrow" w:cs="Times New Roman"/>
                <w:color w:val="000000"/>
                <w:lang w:eastAsia="fr-FR"/>
              </w:rPr>
              <w:t>10-30m</w:t>
            </w:r>
          </w:p>
        </w:tc>
      </w:tr>
      <w:tr w:rsidR="00BE7A2D" w:rsidRPr="00AC2556" w14:paraId="244430BD" w14:textId="77777777" w:rsidTr="005A7661">
        <w:trPr>
          <w:trHeight w:val="288"/>
        </w:trPr>
        <w:tc>
          <w:tcPr>
            <w:tcW w:w="159" w:type="pct"/>
            <w:tcBorders>
              <w:top w:val="single" w:sz="4" w:space="0" w:color="196B24"/>
              <w:left w:val="single" w:sz="4" w:space="0" w:color="196B24"/>
              <w:bottom w:val="nil"/>
              <w:right w:val="nil"/>
            </w:tcBorders>
            <w:noWrap/>
            <w:vAlign w:val="bottom"/>
            <w:hideMark/>
          </w:tcPr>
          <w:p w14:paraId="61E2E6F0" w14:textId="77777777" w:rsidR="00BE7A2D" w:rsidRPr="00AC2556" w:rsidRDefault="00BE7A2D" w:rsidP="005A7661">
            <w:pPr>
              <w:spacing w:after="0"/>
              <w:jc w:val="center"/>
              <w:rPr>
                <w:rFonts w:ascii="Aptos Narrow" w:hAnsi="Aptos Narrow" w:cs="Times New Roman"/>
                <w:color w:val="000000"/>
                <w:lang w:eastAsia="fr-FR"/>
              </w:rPr>
            </w:pPr>
            <w:r w:rsidRPr="00AC2556">
              <w:rPr>
                <w:rFonts w:ascii="Aptos Narrow" w:hAnsi="Aptos Narrow" w:cs="Times New Roman"/>
                <w:color w:val="000000"/>
                <w:lang w:eastAsia="fr-FR"/>
              </w:rPr>
              <w:t>4</w:t>
            </w:r>
          </w:p>
        </w:tc>
        <w:tc>
          <w:tcPr>
            <w:tcW w:w="1062" w:type="pct"/>
            <w:tcBorders>
              <w:top w:val="single" w:sz="4" w:space="0" w:color="196B24"/>
              <w:left w:val="nil"/>
              <w:bottom w:val="nil"/>
              <w:right w:val="nil"/>
            </w:tcBorders>
            <w:noWrap/>
            <w:vAlign w:val="bottom"/>
            <w:hideMark/>
          </w:tcPr>
          <w:p w14:paraId="58C276B4" w14:textId="77777777" w:rsidR="00BE7A2D" w:rsidRPr="00AC2556" w:rsidRDefault="00BE7A2D" w:rsidP="005A7661">
            <w:pPr>
              <w:spacing w:after="0"/>
              <w:jc w:val="center"/>
              <w:rPr>
                <w:rFonts w:ascii="Aptos Narrow" w:hAnsi="Aptos Narrow" w:cs="Times New Roman"/>
                <w:color w:val="000000"/>
                <w:lang w:eastAsia="fr-FR"/>
              </w:rPr>
            </w:pPr>
            <w:r w:rsidRPr="00AC2556">
              <w:rPr>
                <w:rFonts w:ascii="Aptos Narrow" w:hAnsi="Aptos Narrow" w:cs="Times New Roman"/>
                <w:color w:val="000000"/>
                <w:lang w:eastAsia="fr-FR"/>
              </w:rPr>
              <w:t>31° 40' 35.351''</w:t>
            </w:r>
          </w:p>
        </w:tc>
        <w:tc>
          <w:tcPr>
            <w:tcW w:w="1149" w:type="pct"/>
            <w:tcBorders>
              <w:top w:val="single" w:sz="4" w:space="0" w:color="196B24"/>
              <w:left w:val="nil"/>
              <w:bottom w:val="nil"/>
              <w:right w:val="nil"/>
            </w:tcBorders>
            <w:noWrap/>
            <w:vAlign w:val="bottom"/>
            <w:hideMark/>
          </w:tcPr>
          <w:p w14:paraId="3750B859" w14:textId="77777777" w:rsidR="00BE7A2D" w:rsidRPr="00AC2556" w:rsidRDefault="00BE7A2D" w:rsidP="005A7661">
            <w:pPr>
              <w:spacing w:after="0"/>
              <w:jc w:val="center"/>
              <w:rPr>
                <w:rFonts w:ascii="Aptos Narrow" w:hAnsi="Aptos Narrow" w:cs="Times New Roman"/>
                <w:color w:val="000000"/>
                <w:lang w:eastAsia="fr-FR"/>
              </w:rPr>
            </w:pPr>
            <w:r w:rsidRPr="00AC2556">
              <w:rPr>
                <w:rFonts w:ascii="Aptos Narrow" w:hAnsi="Aptos Narrow" w:cs="Times New Roman"/>
                <w:color w:val="000000"/>
                <w:lang w:eastAsia="fr-FR"/>
              </w:rPr>
              <w:t>8° 0' 3.694''</w:t>
            </w:r>
          </w:p>
        </w:tc>
        <w:tc>
          <w:tcPr>
            <w:tcW w:w="943" w:type="pct"/>
            <w:tcBorders>
              <w:top w:val="single" w:sz="4" w:space="0" w:color="196B24"/>
              <w:left w:val="nil"/>
              <w:bottom w:val="nil"/>
              <w:right w:val="nil"/>
            </w:tcBorders>
            <w:noWrap/>
            <w:vAlign w:val="bottom"/>
            <w:hideMark/>
          </w:tcPr>
          <w:p w14:paraId="2EBD09D2" w14:textId="77777777" w:rsidR="00BE7A2D" w:rsidRPr="00AC2556" w:rsidRDefault="00BE7A2D" w:rsidP="005A7661">
            <w:pPr>
              <w:spacing w:after="0"/>
              <w:jc w:val="left"/>
              <w:rPr>
                <w:rFonts w:ascii="Aptos Narrow" w:hAnsi="Aptos Narrow" w:cs="Times New Roman"/>
                <w:i/>
                <w:iCs/>
                <w:color w:val="000000"/>
                <w:lang w:eastAsia="fr-FR"/>
              </w:rPr>
            </w:pPr>
            <w:r w:rsidRPr="00AC2556">
              <w:rPr>
                <w:rFonts w:ascii="Aptos Narrow" w:hAnsi="Aptos Narrow" w:cs="Times New Roman"/>
                <w:i/>
                <w:iCs/>
                <w:color w:val="000000"/>
                <w:lang w:eastAsia="fr-FR"/>
              </w:rPr>
              <w:t>Ciconia ciconia</w:t>
            </w:r>
          </w:p>
        </w:tc>
        <w:tc>
          <w:tcPr>
            <w:tcW w:w="288" w:type="pct"/>
            <w:tcBorders>
              <w:top w:val="single" w:sz="4" w:space="0" w:color="196B24"/>
              <w:left w:val="nil"/>
              <w:bottom w:val="nil"/>
              <w:right w:val="nil"/>
            </w:tcBorders>
            <w:noWrap/>
            <w:vAlign w:val="bottom"/>
            <w:hideMark/>
          </w:tcPr>
          <w:p w14:paraId="252E8ED0" w14:textId="77777777" w:rsidR="00BE7A2D" w:rsidRPr="00AC2556" w:rsidRDefault="00BE7A2D" w:rsidP="005A7661">
            <w:pPr>
              <w:spacing w:after="0"/>
              <w:jc w:val="center"/>
              <w:rPr>
                <w:rFonts w:ascii="Aptos Narrow" w:hAnsi="Aptos Narrow" w:cs="Times New Roman"/>
                <w:color w:val="000000"/>
                <w:lang w:eastAsia="fr-FR"/>
              </w:rPr>
            </w:pPr>
            <w:r w:rsidRPr="00AC2556">
              <w:rPr>
                <w:rFonts w:ascii="Aptos Narrow" w:hAnsi="Aptos Narrow" w:cs="Times New Roman"/>
                <w:color w:val="000000"/>
                <w:lang w:eastAsia="fr-FR"/>
              </w:rPr>
              <w:t>1</w:t>
            </w:r>
          </w:p>
        </w:tc>
        <w:tc>
          <w:tcPr>
            <w:tcW w:w="813" w:type="pct"/>
            <w:tcBorders>
              <w:top w:val="single" w:sz="4" w:space="0" w:color="196B24"/>
              <w:left w:val="nil"/>
              <w:bottom w:val="nil"/>
              <w:right w:val="nil"/>
            </w:tcBorders>
            <w:noWrap/>
            <w:vAlign w:val="bottom"/>
            <w:hideMark/>
          </w:tcPr>
          <w:p w14:paraId="06298D05" w14:textId="77777777" w:rsidR="00BE7A2D" w:rsidRPr="00AC2556" w:rsidRDefault="00BE7A2D" w:rsidP="005A7661">
            <w:pPr>
              <w:spacing w:after="0"/>
              <w:jc w:val="left"/>
              <w:rPr>
                <w:rFonts w:ascii="Aptos Narrow" w:hAnsi="Aptos Narrow" w:cs="Times New Roman"/>
                <w:color w:val="000000"/>
                <w:lang w:eastAsia="fr-FR"/>
              </w:rPr>
            </w:pPr>
            <w:r w:rsidRPr="00AC2556">
              <w:rPr>
                <w:rFonts w:ascii="Aptos Narrow" w:hAnsi="Aptos Narrow" w:cs="Times New Roman"/>
                <w:color w:val="000000"/>
                <w:lang w:eastAsia="fr-FR"/>
              </w:rPr>
              <w:t>Arbre</w:t>
            </w:r>
          </w:p>
        </w:tc>
        <w:tc>
          <w:tcPr>
            <w:tcW w:w="585" w:type="pct"/>
            <w:tcBorders>
              <w:top w:val="single" w:sz="4" w:space="0" w:color="196B24"/>
              <w:left w:val="nil"/>
              <w:bottom w:val="nil"/>
              <w:right w:val="single" w:sz="4" w:space="0" w:color="196B24"/>
            </w:tcBorders>
            <w:noWrap/>
            <w:vAlign w:val="bottom"/>
            <w:hideMark/>
          </w:tcPr>
          <w:p w14:paraId="0313A8ED" w14:textId="77777777" w:rsidR="00BE7A2D" w:rsidRPr="00AC2556" w:rsidRDefault="00BE7A2D" w:rsidP="005A7661">
            <w:pPr>
              <w:spacing w:after="0"/>
              <w:jc w:val="center"/>
              <w:rPr>
                <w:rFonts w:ascii="Aptos Narrow" w:hAnsi="Aptos Narrow" w:cs="Times New Roman"/>
                <w:color w:val="000000"/>
                <w:lang w:eastAsia="fr-FR"/>
              </w:rPr>
            </w:pPr>
            <w:r w:rsidRPr="00AC2556">
              <w:rPr>
                <w:rFonts w:ascii="Aptos Narrow" w:hAnsi="Aptos Narrow" w:cs="Times New Roman"/>
                <w:color w:val="000000"/>
                <w:lang w:eastAsia="fr-FR"/>
              </w:rPr>
              <w:t>10-30m</w:t>
            </w:r>
          </w:p>
        </w:tc>
      </w:tr>
      <w:tr w:rsidR="00BE7A2D" w:rsidRPr="00AC2556" w14:paraId="7BBE7B52" w14:textId="77777777" w:rsidTr="005A7661">
        <w:trPr>
          <w:trHeight w:val="288"/>
        </w:trPr>
        <w:tc>
          <w:tcPr>
            <w:tcW w:w="159" w:type="pct"/>
            <w:tcBorders>
              <w:top w:val="single" w:sz="4" w:space="0" w:color="196B24"/>
              <w:left w:val="single" w:sz="4" w:space="0" w:color="196B24"/>
              <w:bottom w:val="nil"/>
              <w:right w:val="nil"/>
            </w:tcBorders>
            <w:noWrap/>
            <w:vAlign w:val="bottom"/>
            <w:hideMark/>
          </w:tcPr>
          <w:p w14:paraId="670E95AE" w14:textId="77777777" w:rsidR="00BE7A2D" w:rsidRPr="00AC2556" w:rsidRDefault="00BE7A2D" w:rsidP="005A7661">
            <w:pPr>
              <w:spacing w:after="0"/>
              <w:jc w:val="center"/>
              <w:rPr>
                <w:rFonts w:ascii="Aptos Narrow" w:hAnsi="Aptos Narrow" w:cs="Times New Roman"/>
                <w:color w:val="000000"/>
                <w:lang w:eastAsia="fr-FR"/>
              </w:rPr>
            </w:pPr>
            <w:r w:rsidRPr="00AC2556">
              <w:rPr>
                <w:rFonts w:ascii="Aptos Narrow" w:hAnsi="Aptos Narrow" w:cs="Times New Roman"/>
                <w:color w:val="000000"/>
                <w:lang w:eastAsia="fr-FR"/>
              </w:rPr>
              <w:t>5</w:t>
            </w:r>
          </w:p>
        </w:tc>
        <w:tc>
          <w:tcPr>
            <w:tcW w:w="1062" w:type="pct"/>
            <w:tcBorders>
              <w:top w:val="single" w:sz="4" w:space="0" w:color="196B24"/>
              <w:left w:val="nil"/>
              <w:bottom w:val="nil"/>
              <w:right w:val="nil"/>
            </w:tcBorders>
            <w:noWrap/>
            <w:vAlign w:val="bottom"/>
            <w:hideMark/>
          </w:tcPr>
          <w:p w14:paraId="35912EF2" w14:textId="77777777" w:rsidR="00BE7A2D" w:rsidRPr="00AC2556" w:rsidRDefault="00BE7A2D" w:rsidP="005A7661">
            <w:pPr>
              <w:spacing w:after="0"/>
              <w:jc w:val="center"/>
              <w:rPr>
                <w:rFonts w:ascii="Aptos Narrow" w:hAnsi="Aptos Narrow" w:cs="Times New Roman"/>
                <w:color w:val="000000"/>
                <w:lang w:eastAsia="fr-FR"/>
              </w:rPr>
            </w:pPr>
            <w:r w:rsidRPr="00AC2556">
              <w:rPr>
                <w:rFonts w:ascii="Aptos Narrow" w:hAnsi="Aptos Narrow" w:cs="Times New Roman"/>
                <w:color w:val="000000"/>
                <w:lang w:eastAsia="fr-FR"/>
              </w:rPr>
              <w:t>31° 40' 35.351''</w:t>
            </w:r>
          </w:p>
        </w:tc>
        <w:tc>
          <w:tcPr>
            <w:tcW w:w="1149" w:type="pct"/>
            <w:tcBorders>
              <w:top w:val="single" w:sz="4" w:space="0" w:color="196B24"/>
              <w:left w:val="nil"/>
              <w:bottom w:val="nil"/>
              <w:right w:val="nil"/>
            </w:tcBorders>
            <w:noWrap/>
            <w:vAlign w:val="bottom"/>
            <w:hideMark/>
          </w:tcPr>
          <w:p w14:paraId="1DC2C19F" w14:textId="77777777" w:rsidR="00BE7A2D" w:rsidRPr="00AC2556" w:rsidRDefault="00BE7A2D" w:rsidP="005A7661">
            <w:pPr>
              <w:spacing w:after="0"/>
              <w:jc w:val="center"/>
              <w:rPr>
                <w:rFonts w:ascii="Aptos Narrow" w:hAnsi="Aptos Narrow" w:cs="Times New Roman"/>
                <w:color w:val="000000"/>
                <w:lang w:eastAsia="fr-FR"/>
              </w:rPr>
            </w:pPr>
            <w:r w:rsidRPr="00AC2556">
              <w:rPr>
                <w:rFonts w:ascii="Aptos Narrow" w:hAnsi="Aptos Narrow" w:cs="Times New Roman"/>
                <w:color w:val="000000"/>
                <w:lang w:eastAsia="fr-FR"/>
              </w:rPr>
              <w:t>8° 0' 3.694''</w:t>
            </w:r>
          </w:p>
        </w:tc>
        <w:tc>
          <w:tcPr>
            <w:tcW w:w="943" w:type="pct"/>
            <w:tcBorders>
              <w:top w:val="single" w:sz="4" w:space="0" w:color="196B24"/>
              <w:left w:val="nil"/>
              <w:bottom w:val="nil"/>
              <w:right w:val="nil"/>
            </w:tcBorders>
            <w:noWrap/>
            <w:vAlign w:val="bottom"/>
            <w:hideMark/>
          </w:tcPr>
          <w:p w14:paraId="538AC415" w14:textId="77777777" w:rsidR="00BE7A2D" w:rsidRPr="00AC2556" w:rsidRDefault="00BE7A2D" w:rsidP="005A7661">
            <w:pPr>
              <w:spacing w:after="0"/>
              <w:jc w:val="left"/>
              <w:rPr>
                <w:rFonts w:ascii="Aptos Narrow" w:hAnsi="Aptos Narrow" w:cs="Times New Roman"/>
                <w:i/>
                <w:iCs/>
                <w:color w:val="000000"/>
                <w:lang w:eastAsia="fr-FR"/>
              </w:rPr>
            </w:pPr>
            <w:r w:rsidRPr="00AC2556">
              <w:rPr>
                <w:rFonts w:ascii="Aptos Narrow" w:hAnsi="Aptos Narrow" w:cs="Times New Roman"/>
                <w:i/>
                <w:iCs/>
                <w:color w:val="000000"/>
                <w:lang w:eastAsia="fr-FR"/>
              </w:rPr>
              <w:t>Ciconia ciconia</w:t>
            </w:r>
          </w:p>
        </w:tc>
        <w:tc>
          <w:tcPr>
            <w:tcW w:w="288" w:type="pct"/>
            <w:tcBorders>
              <w:top w:val="single" w:sz="4" w:space="0" w:color="196B24"/>
              <w:left w:val="nil"/>
              <w:bottom w:val="nil"/>
              <w:right w:val="nil"/>
            </w:tcBorders>
            <w:noWrap/>
            <w:vAlign w:val="bottom"/>
            <w:hideMark/>
          </w:tcPr>
          <w:p w14:paraId="0D9132DF" w14:textId="77777777" w:rsidR="00BE7A2D" w:rsidRPr="00AC2556" w:rsidRDefault="00BE7A2D" w:rsidP="005A7661">
            <w:pPr>
              <w:spacing w:after="0"/>
              <w:jc w:val="center"/>
              <w:rPr>
                <w:rFonts w:ascii="Aptos Narrow" w:hAnsi="Aptos Narrow" w:cs="Times New Roman"/>
                <w:color w:val="000000"/>
                <w:lang w:eastAsia="fr-FR"/>
              </w:rPr>
            </w:pPr>
            <w:r w:rsidRPr="00AC2556">
              <w:rPr>
                <w:rFonts w:ascii="Aptos Narrow" w:hAnsi="Aptos Narrow" w:cs="Times New Roman"/>
                <w:color w:val="000000"/>
                <w:lang w:eastAsia="fr-FR"/>
              </w:rPr>
              <w:t>2</w:t>
            </w:r>
          </w:p>
        </w:tc>
        <w:tc>
          <w:tcPr>
            <w:tcW w:w="813" w:type="pct"/>
            <w:tcBorders>
              <w:top w:val="single" w:sz="4" w:space="0" w:color="196B24"/>
              <w:left w:val="nil"/>
              <w:bottom w:val="nil"/>
              <w:right w:val="nil"/>
            </w:tcBorders>
            <w:noWrap/>
            <w:vAlign w:val="bottom"/>
            <w:hideMark/>
          </w:tcPr>
          <w:p w14:paraId="1659554E" w14:textId="77777777" w:rsidR="00BE7A2D" w:rsidRPr="00AC2556" w:rsidRDefault="00BE7A2D" w:rsidP="005A7661">
            <w:pPr>
              <w:spacing w:after="0"/>
              <w:jc w:val="left"/>
              <w:rPr>
                <w:rFonts w:ascii="Aptos Narrow" w:hAnsi="Aptos Narrow" w:cs="Times New Roman"/>
                <w:color w:val="000000"/>
                <w:lang w:eastAsia="fr-FR"/>
              </w:rPr>
            </w:pPr>
            <w:r w:rsidRPr="00AC2556">
              <w:rPr>
                <w:rFonts w:ascii="Aptos Narrow" w:hAnsi="Aptos Narrow" w:cs="Times New Roman"/>
                <w:color w:val="000000"/>
                <w:lang w:eastAsia="fr-FR"/>
              </w:rPr>
              <w:t>Arbre</w:t>
            </w:r>
          </w:p>
        </w:tc>
        <w:tc>
          <w:tcPr>
            <w:tcW w:w="585" w:type="pct"/>
            <w:tcBorders>
              <w:top w:val="single" w:sz="4" w:space="0" w:color="196B24"/>
              <w:left w:val="nil"/>
              <w:bottom w:val="nil"/>
              <w:right w:val="single" w:sz="4" w:space="0" w:color="196B24"/>
            </w:tcBorders>
            <w:noWrap/>
            <w:vAlign w:val="bottom"/>
            <w:hideMark/>
          </w:tcPr>
          <w:p w14:paraId="7C2A3EF7" w14:textId="77777777" w:rsidR="00BE7A2D" w:rsidRPr="00AC2556" w:rsidRDefault="00BE7A2D" w:rsidP="005A7661">
            <w:pPr>
              <w:spacing w:after="0"/>
              <w:jc w:val="center"/>
              <w:rPr>
                <w:rFonts w:ascii="Aptos Narrow" w:hAnsi="Aptos Narrow" w:cs="Times New Roman"/>
                <w:color w:val="000000"/>
                <w:lang w:eastAsia="fr-FR"/>
              </w:rPr>
            </w:pPr>
            <w:r w:rsidRPr="00AC2556">
              <w:rPr>
                <w:rFonts w:ascii="Aptos Narrow" w:hAnsi="Aptos Narrow" w:cs="Times New Roman"/>
                <w:color w:val="000000"/>
                <w:lang w:eastAsia="fr-FR"/>
              </w:rPr>
              <w:t>10-30m</w:t>
            </w:r>
          </w:p>
        </w:tc>
      </w:tr>
      <w:tr w:rsidR="00BE7A2D" w:rsidRPr="00AC2556" w14:paraId="59F63196" w14:textId="77777777" w:rsidTr="005A7661">
        <w:trPr>
          <w:trHeight w:val="288"/>
        </w:trPr>
        <w:tc>
          <w:tcPr>
            <w:tcW w:w="159" w:type="pct"/>
            <w:tcBorders>
              <w:top w:val="single" w:sz="4" w:space="0" w:color="196B24"/>
              <w:left w:val="single" w:sz="4" w:space="0" w:color="196B24"/>
              <w:bottom w:val="nil"/>
              <w:right w:val="nil"/>
            </w:tcBorders>
            <w:noWrap/>
            <w:vAlign w:val="bottom"/>
            <w:hideMark/>
          </w:tcPr>
          <w:p w14:paraId="558DE0B7" w14:textId="77777777" w:rsidR="00BE7A2D" w:rsidRPr="00AC2556" w:rsidRDefault="00BE7A2D" w:rsidP="005A7661">
            <w:pPr>
              <w:spacing w:after="0"/>
              <w:jc w:val="center"/>
              <w:rPr>
                <w:rFonts w:ascii="Aptos Narrow" w:hAnsi="Aptos Narrow" w:cs="Times New Roman"/>
                <w:color w:val="000000"/>
                <w:lang w:eastAsia="fr-FR"/>
              </w:rPr>
            </w:pPr>
            <w:r w:rsidRPr="00AC2556">
              <w:rPr>
                <w:rFonts w:ascii="Aptos Narrow" w:hAnsi="Aptos Narrow" w:cs="Times New Roman"/>
                <w:color w:val="000000"/>
                <w:lang w:eastAsia="fr-FR"/>
              </w:rPr>
              <w:t>6</w:t>
            </w:r>
          </w:p>
        </w:tc>
        <w:tc>
          <w:tcPr>
            <w:tcW w:w="1062" w:type="pct"/>
            <w:tcBorders>
              <w:top w:val="single" w:sz="4" w:space="0" w:color="196B24"/>
              <w:left w:val="nil"/>
              <w:bottom w:val="nil"/>
              <w:right w:val="nil"/>
            </w:tcBorders>
            <w:noWrap/>
            <w:vAlign w:val="bottom"/>
            <w:hideMark/>
          </w:tcPr>
          <w:p w14:paraId="3EF2A3EC" w14:textId="77777777" w:rsidR="00BE7A2D" w:rsidRPr="00AC2556" w:rsidRDefault="00BE7A2D" w:rsidP="005A7661">
            <w:pPr>
              <w:spacing w:after="0"/>
              <w:jc w:val="center"/>
              <w:rPr>
                <w:rFonts w:ascii="Aptos Narrow" w:hAnsi="Aptos Narrow" w:cs="Times New Roman"/>
                <w:color w:val="000000"/>
                <w:lang w:eastAsia="fr-FR"/>
              </w:rPr>
            </w:pPr>
            <w:r w:rsidRPr="00AC2556">
              <w:rPr>
                <w:rFonts w:ascii="Aptos Narrow" w:hAnsi="Aptos Narrow" w:cs="Times New Roman"/>
                <w:color w:val="000000"/>
                <w:lang w:eastAsia="fr-FR"/>
              </w:rPr>
              <w:t>31° 40' 32.206''</w:t>
            </w:r>
          </w:p>
        </w:tc>
        <w:tc>
          <w:tcPr>
            <w:tcW w:w="1149" w:type="pct"/>
            <w:tcBorders>
              <w:top w:val="single" w:sz="4" w:space="0" w:color="196B24"/>
              <w:left w:val="nil"/>
              <w:bottom w:val="nil"/>
              <w:right w:val="nil"/>
            </w:tcBorders>
            <w:noWrap/>
            <w:vAlign w:val="bottom"/>
            <w:hideMark/>
          </w:tcPr>
          <w:p w14:paraId="7D876D99" w14:textId="77777777" w:rsidR="00BE7A2D" w:rsidRPr="00AC2556" w:rsidRDefault="00BE7A2D" w:rsidP="005A7661">
            <w:pPr>
              <w:spacing w:after="0"/>
              <w:jc w:val="center"/>
              <w:rPr>
                <w:rFonts w:ascii="Aptos Narrow" w:hAnsi="Aptos Narrow" w:cs="Times New Roman"/>
                <w:color w:val="000000"/>
                <w:lang w:eastAsia="fr-FR"/>
              </w:rPr>
            </w:pPr>
            <w:r w:rsidRPr="00AC2556">
              <w:rPr>
                <w:rFonts w:ascii="Aptos Narrow" w:hAnsi="Aptos Narrow" w:cs="Times New Roman"/>
                <w:color w:val="000000"/>
                <w:lang w:eastAsia="fr-FR"/>
              </w:rPr>
              <w:t>7° 59' 58.357''</w:t>
            </w:r>
          </w:p>
        </w:tc>
        <w:tc>
          <w:tcPr>
            <w:tcW w:w="943" w:type="pct"/>
            <w:tcBorders>
              <w:top w:val="single" w:sz="4" w:space="0" w:color="196B24"/>
              <w:left w:val="nil"/>
              <w:bottom w:val="nil"/>
              <w:right w:val="nil"/>
            </w:tcBorders>
            <w:noWrap/>
            <w:vAlign w:val="bottom"/>
            <w:hideMark/>
          </w:tcPr>
          <w:p w14:paraId="4F8470C1" w14:textId="77777777" w:rsidR="00BE7A2D" w:rsidRPr="00AC2556" w:rsidRDefault="00BE7A2D" w:rsidP="005A7661">
            <w:pPr>
              <w:spacing w:after="0"/>
              <w:jc w:val="left"/>
              <w:rPr>
                <w:rFonts w:ascii="Aptos Narrow" w:hAnsi="Aptos Narrow" w:cs="Times New Roman"/>
                <w:i/>
                <w:iCs/>
                <w:color w:val="000000"/>
                <w:lang w:eastAsia="fr-FR"/>
              </w:rPr>
            </w:pPr>
            <w:r w:rsidRPr="00AC2556">
              <w:rPr>
                <w:rFonts w:ascii="Aptos Narrow" w:hAnsi="Aptos Narrow" w:cs="Times New Roman"/>
                <w:i/>
                <w:iCs/>
                <w:color w:val="000000"/>
                <w:lang w:eastAsia="fr-FR"/>
              </w:rPr>
              <w:t>Ciconia ciconia</w:t>
            </w:r>
          </w:p>
        </w:tc>
        <w:tc>
          <w:tcPr>
            <w:tcW w:w="288" w:type="pct"/>
            <w:tcBorders>
              <w:top w:val="single" w:sz="4" w:space="0" w:color="196B24"/>
              <w:left w:val="nil"/>
              <w:bottom w:val="nil"/>
              <w:right w:val="nil"/>
            </w:tcBorders>
            <w:noWrap/>
            <w:vAlign w:val="bottom"/>
            <w:hideMark/>
          </w:tcPr>
          <w:p w14:paraId="26E684CA" w14:textId="77777777" w:rsidR="00BE7A2D" w:rsidRPr="00AC2556" w:rsidRDefault="00BE7A2D" w:rsidP="005A7661">
            <w:pPr>
              <w:spacing w:after="0"/>
              <w:jc w:val="center"/>
              <w:rPr>
                <w:rFonts w:ascii="Aptos Narrow" w:hAnsi="Aptos Narrow" w:cs="Times New Roman"/>
                <w:color w:val="000000"/>
                <w:lang w:eastAsia="fr-FR"/>
              </w:rPr>
            </w:pPr>
            <w:r w:rsidRPr="00AC2556">
              <w:rPr>
                <w:rFonts w:ascii="Aptos Narrow" w:hAnsi="Aptos Narrow" w:cs="Times New Roman"/>
                <w:color w:val="000000"/>
                <w:lang w:eastAsia="fr-FR"/>
              </w:rPr>
              <w:t>1</w:t>
            </w:r>
          </w:p>
        </w:tc>
        <w:tc>
          <w:tcPr>
            <w:tcW w:w="813" w:type="pct"/>
            <w:tcBorders>
              <w:top w:val="single" w:sz="4" w:space="0" w:color="196B24"/>
              <w:left w:val="nil"/>
              <w:bottom w:val="nil"/>
              <w:right w:val="nil"/>
            </w:tcBorders>
            <w:noWrap/>
            <w:vAlign w:val="bottom"/>
            <w:hideMark/>
          </w:tcPr>
          <w:p w14:paraId="748109B4" w14:textId="77777777" w:rsidR="00BE7A2D" w:rsidRPr="00AC2556" w:rsidRDefault="00BE7A2D" w:rsidP="005A7661">
            <w:pPr>
              <w:spacing w:after="0"/>
              <w:jc w:val="left"/>
              <w:rPr>
                <w:rFonts w:ascii="Aptos Narrow" w:hAnsi="Aptos Narrow" w:cs="Times New Roman"/>
                <w:color w:val="000000"/>
                <w:lang w:eastAsia="fr-FR"/>
              </w:rPr>
            </w:pPr>
            <w:r w:rsidRPr="00AC2556">
              <w:rPr>
                <w:rFonts w:ascii="Aptos Narrow" w:hAnsi="Aptos Narrow" w:cs="Times New Roman"/>
                <w:color w:val="000000"/>
                <w:lang w:eastAsia="fr-FR"/>
              </w:rPr>
              <w:t>Toit d'édifice</w:t>
            </w:r>
          </w:p>
        </w:tc>
        <w:tc>
          <w:tcPr>
            <w:tcW w:w="585" w:type="pct"/>
            <w:tcBorders>
              <w:top w:val="single" w:sz="4" w:space="0" w:color="196B24"/>
              <w:left w:val="nil"/>
              <w:bottom w:val="nil"/>
              <w:right w:val="single" w:sz="4" w:space="0" w:color="196B24"/>
            </w:tcBorders>
            <w:noWrap/>
            <w:vAlign w:val="bottom"/>
            <w:hideMark/>
          </w:tcPr>
          <w:p w14:paraId="155E33CE" w14:textId="77777777" w:rsidR="00BE7A2D" w:rsidRPr="00AC2556" w:rsidRDefault="00BE7A2D" w:rsidP="005A7661">
            <w:pPr>
              <w:spacing w:after="0"/>
              <w:jc w:val="center"/>
              <w:rPr>
                <w:rFonts w:ascii="Aptos Narrow" w:hAnsi="Aptos Narrow" w:cs="Times New Roman"/>
                <w:color w:val="000000"/>
                <w:lang w:eastAsia="fr-FR"/>
              </w:rPr>
            </w:pPr>
            <w:r w:rsidRPr="00AC2556">
              <w:rPr>
                <w:rFonts w:ascii="Aptos Narrow" w:hAnsi="Aptos Narrow" w:cs="Times New Roman"/>
                <w:color w:val="000000"/>
                <w:lang w:eastAsia="fr-FR"/>
              </w:rPr>
              <w:t>10-30m</w:t>
            </w:r>
          </w:p>
        </w:tc>
      </w:tr>
      <w:tr w:rsidR="00BE7A2D" w:rsidRPr="00AC2556" w14:paraId="798F063B" w14:textId="77777777" w:rsidTr="005A7661">
        <w:trPr>
          <w:trHeight w:val="288"/>
        </w:trPr>
        <w:tc>
          <w:tcPr>
            <w:tcW w:w="159" w:type="pct"/>
            <w:tcBorders>
              <w:top w:val="single" w:sz="4" w:space="0" w:color="196B24"/>
              <w:left w:val="single" w:sz="4" w:space="0" w:color="196B24"/>
              <w:bottom w:val="nil"/>
              <w:right w:val="nil"/>
            </w:tcBorders>
            <w:noWrap/>
            <w:vAlign w:val="bottom"/>
            <w:hideMark/>
          </w:tcPr>
          <w:p w14:paraId="54D939D5" w14:textId="77777777" w:rsidR="00BE7A2D" w:rsidRPr="00AC2556" w:rsidRDefault="00BE7A2D" w:rsidP="005A7661">
            <w:pPr>
              <w:spacing w:after="0"/>
              <w:jc w:val="center"/>
              <w:rPr>
                <w:rFonts w:ascii="Aptos Narrow" w:hAnsi="Aptos Narrow" w:cs="Times New Roman"/>
                <w:color w:val="000000"/>
                <w:lang w:eastAsia="fr-FR"/>
              </w:rPr>
            </w:pPr>
            <w:r w:rsidRPr="00AC2556">
              <w:rPr>
                <w:rFonts w:ascii="Aptos Narrow" w:hAnsi="Aptos Narrow" w:cs="Times New Roman"/>
                <w:color w:val="000000"/>
                <w:lang w:eastAsia="fr-FR"/>
              </w:rPr>
              <w:t>7</w:t>
            </w:r>
          </w:p>
        </w:tc>
        <w:tc>
          <w:tcPr>
            <w:tcW w:w="1062" w:type="pct"/>
            <w:tcBorders>
              <w:top w:val="single" w:sz="4" w:space="0" w:color="196B24"/>
              <w:left w:val="nil"/>
              <w:bottom w:val="nil"/>
              <w:right w:val="nil"/>
            </w:tcBorders>
            <w:noWrap/>
            <w:vAlign w:val="bottom"/>
            <w:hideMark/>
          </w:tcPr>
          <w:p w14:paraId="2C8C8143" w14:textId="77777777" w:rsidR="00BE7A2D" w:rsidRPr="00AC2556" w:rsidRDefault="00BE7A2D" w:rsidP="005A7661">
            <w:pPr>
              <w:spacing w:after="0"/>
              <w:jc w:val="center"/>
              <w:rPr>
                <w:rFonts w:ascii="Aptos Narrow" w:hAnsi="Aptos Narrow" w:cs="Times New Roman"/>
                <w:color w:val="000000"/>
                <w:lang w:eastAsia="fr-FR"/>
              </w:rPr>
            </w:pPr>
            <w:r w:rsidRPr="00AC2556">
              <w:rPr>
                <w:rFonts w:ascii="Aptos Narrow" w:hAnsi="Aptos Narrow" w:cs="Times New Roman"/>
                <w:color w:val="000000"/>
                <w:lang w:eastAsia="fr-FR"/>
              </w:rPr>
              <w:t>31° 40' 32.206''</w:t>
            </w:r>
          </w:p>
        </w:tc>
        <w:tc>
          <w:tcPr>
            <w:tcW w:w="1149" w:type="pct"/>
            <w:tcBorders>
              <w:top w:val="single" w:sz="4" w:space="0" w:color="196B24"/>
              <w:left w:val="nil"/>
              <w:bottom w:val="nil"/>
              <w:right w:val="nil"/>
            </w:tcBorders>
            <w:noWrap/>
            <w:vAlign w:val="bottom"/>
            <w:hideMark/>
          </w:tcPr>
          <w:p w14:paraId="2547BBDC" w14:textId="77777777" w:rsidR="00BE7A2D" w:rsidRPr="00AC2556" w:rsidRDefault="00BE7A2D" w:rsidP="005A7661">
            <w:pPr>
              <w:spacing w:after="0"/>
              <w:jc w:val="center"/>
              <w:rPr>
                <w:rFonts w:ascii="Aptos Narrow" w:hAnsi="Aptos Narrow" w:cs="Times New Roman"/>
                <w:color w:val="000000"/>
                <w:lang w:eastAsia="fr-FR"/>
              </w:rPr>
            </w:pPr>
            <w:r w:rsidRPr="00AC2556">
              <w:rPr>
                <w:rFonts w:ascii="Aptos Narrow" w:hAnsi="Aptos Narrow" w:cs="Times New Roman"/>
                <w:color w:val="000000"/>
                <w:lang w:eastAsia="fr-FR"/>
              </w:rPr>
              <w:t>7° 59' 58.357''</w:t>
            </w:r>
          </w:p>
        </w:tc>
        <w:tc>
          <w:tcPr>
            <w:tcW w:w="943" w:type="pct"/>
            <w:tcBorders>
              <w:top w:val="single" w:sz="4" w:space="0" w:color="196B24"/>
              <w:left w:val="nil"/>
              <w:bottom w:val="nil"/>
              <w:right w:val="nil"/>
            </w:tcBorders>
            <w:noWrap/>
            <w:vAlign w:val="bottom"/>
            <w:hideMark/>
          </w:tcPr>
          <w:p w14:paraId="4BFEBC91" w14:textId="77777777" w:rsidR="00BE7A2D" w:rsidRPr="00AC2556" w:rsidRDefault="00BE7A2D" w:rsidP="005A7661">
            <w:pPr>
              <w:spacing w:after="0"/>
              <w:jc w:val="left"/>
              <w:rPr>
                <w:rFonts w:ascii="Aptos Narrow" w:hAnsi="Aptos Narrow" w:cs="Times New Roman"/>
                <w:i/>
                <w:iCs/>
                <w:color w:val="000000"/>
                <w:lang w:eastAsia="fr-FR"/>
              </w:rPr>
            </w:pPr>
            <w:r w:rsidRPr="00AC2556">
              <w:rPr>
                <w:rFonts w:ascii="Aptos Narrow" w:hAnsi="Aptos Narrow" w:cs="Times New Roman"/>
                <w:i/>
                <w:iCs/>
                <w:color w:val="000000"/>
                <w:lang w:eastAsia="fr-FR"/>
              </w:rPr>
              <w:t>Ciconia ciconia</w:t>
            </w:r>
          </w:p>
        </w:tc>
        <w:tc>
          <w:tcPr>
            <w:tcW w:w="288" w:type="pct"/>
            <w:tcBorders>
              <w:top w:val="single" w:sz="4" w:space="0" w:color="196B24"/>
              <w:left w:val="nil"/>
              <w:bottom w:val="nil"/>
              <w:right w:val="nil"/>
            </w:tcBorders>
            <w:noWrap/>
            <w:vAlign w:val="bottom"/>
            <w:hideMark/>
          </w:tcPr>
          <w:p w14:paraId="0694D1C2" w14:textId="77777777" w:rsidR="00BE7A2D" w:rsidRPr="00AC2556" w:rsidRDefault="00BE7A2D" w:rsidP="005A7661">
            <w:pPr>
              <w:spacing w:after="0"/>
              <w:jc w:val="center"/>
              <w:rPr>
                <w:rFonts w:ascii="Aptos Narrow" w:hAnsi="Aptos Narrow" w:cs="Times New Roman"/>
                <w:color w:val="000000"/>
                <w:lang w:eastAsia="fr-FR"/>
              </w:rPr>
            </w:pPr>
            <w:r w:rsidRPr="00AC2556">
              <w:rPr>
                <w:rFonts w:ascii="Aptos Narrow" w:hAnsi="Aptos Narrow" w:cs="Times New Roman"/>
                <w:color w:val="000000"/>
                <w:lang w:eastAsia="fr-FR"/>
              </w:rPr>
              <w:t>1</w:t>
            </w:r>
          </w:p>
        </w:tc>
        <w:tc>
          <w:tcPr>
            <w:tcW w:w="813" w:type="pct"/>
            <w:tcBorders>
              <w:top w:val="single" w:sz="4" w:space="0" w:color="196B24"/>
              <w:left w:val="nil"/>
              <w:bottom w:val="nil"/>
              <w:right w:val="nil"/>
            </w:tcBorders>
            <w:noWrap/>
            <w:vAlign w:val="bottom"/>
            <w:hideMark/>
          </w:tcPr>
          <w:p w14:paraId="163FB31B" w14:textId="77777777" w:rsidR="00BE7A2D" w:rsidRPr="00AC2556" w:rsidRDefault="00BE7A2D" w:rsidP="005A7661">
            <w:pPr>
              <w:spacing w:after="0"/>
              <w:jc w:val="left"/>
              <w:rPr>
                <w:rFonts w:ascii="Aptos Narrow" w:hAnsi="Aptos Narrow" w:cs="Times New Roman"/>
                <w:color w:val="000000"/>
                <w:lang w:eastAsia="fr-FR"/>
              </w:rPr>
            </w:pPr>
            <w:r w:rsidRPr="00AC2556">
              <w:rPr>
                <w:rFonts w:ascii="Aptos Narrow" w:hAnsi="Aptos Narrow" w:cs="Times New Roman"/>
                <w:color w:val="000000"/>
                <w:lang w:eastAsia="fr-FR"/>
              </w:rPr>
              <w:t>Poteau électrique</w:t>
            </w:r>
          </w:p>
        </w:tc>
        <w:tc>
          <w:tcPr>
            <w:tcW w:w="585" w:type="pct"/>
            <w:tcBorders>
              <w:top w:val="single" w:sz="4" w:space="0" w:color="196B24"/>
              <w:left w:val="nil"/>
              <w:bottom w:val="nil"/>
              <w:right w:val="single" w:sz="4" w:space="0" w:color="196B24"/>
            </w:tcBorders>
            <w:noWrap/>
            <w:vAlign w:val="bottom"/>
            <w:hideMark/>
          </w:tcPr>
          <w:p w14:paraId="24C6CC0E" w14:textId="77777777" w:rsidR="00BE7A2D" w:rsidRPr="00AC2556" w:rsidRDefault="00BE7A2D" w:rsidP="005A7661">
            <w:pPr>
              <w:spacing w:after="0"/>
              <w:jc w:val="center"/>
              <w:rPr>
                <w:rFonts w:ascii="Aptos Narrow" w:hAnsi="Aptos Narrow" w:cs="Times New Roman"/>
                <w:color w:val="000000"/>
                <w:lang w:eastAsia="fr-FR"/>
              </w:rPr>
            </w:pPr>
            <w:r w:rsidRPr="00AC2556">
              <w:rPr>
                <w:rFonts w:ascii="Aptos Narrow" w:hAnsi="Aptos Narrow" w:cs="Times New Roman"/>
                <w:color w:val="000000"/>
                <w:lang w:eastAsia="fr-FR"/>
              </w:rPr>
              <w:t>10-30m</w:t>
            </w:r>
          </w:p>
        </w:tc>
      </w:tr>
      <w:tr w:rsidR="00BE7A2D" w:rsidRPr="00AC2556" w14:paraId="2D77C225" w14:textId="77777777" w:rsidTr="005A7661">
        <w:trPr>
          <w:trHeight w:val="288"/>
        </w:trPr>
        <w:tc>
          <w:tcPr>
            <w:tcW w:w="159" w:type="pct"/>
            <w:tcBorders>
              <w:top w:val="single" w:sz="4" w:space="0" w:color="196B24"/>
              <w:left w:val="single" w:sz="4" w:space="0" w:color="196B24"/>
              <w:bottom w:val="nil"/>
              <w:right w:val="nil"/>
            </w:tcBorders>
            <w:noWrap/>
            <w:vAlign w:val="bottom"/>
            <w:hideMark/>
          </w:tcPr>
          <w:p w14:paraId="7EEEFAC5" w14:textId="77777777" w:rsidR="00BE7A2D" w:rsidRPr="00AC2556" w:rsidRDefault="00BE7A2D" w:rsidP="005A7661">
            <w:pPr>
              <w:spacing w:after="0"/>
              <w:jc w:val="center"/>
              <w:rPr>
                <w:rFonts w:ascii="Aptos Narrow" w:hAnsi="Aptos Narrow" w:cs="Times New Roman"/>
                <w:color w:val="000000"/>
                <w:lang w:eastAsia="fr-FR"/>
              </w:rPr>
            </w:pPr>
            <w:r w:rsidRPr="00AC2556">
              <w:rPr>
                <w:rFonts w:ascii="Aptos Narrow" w:hAnsi="Aptos Narrow" w:cs="Times New Roman"/>
                <w:color w:val="000000"/>
                <w:lang w:eastAsia="fr-FR"/>
              </w:rPr>
              <w:t>8</w:t>
            </w:r>
          </w:p>
        </w:tc>
        <w:tc>
          <w:tcPr>
            <w:tcW w:w="1062" w:type="pct"/>
            <w:tcBorders>
              <w:top w:val="single" w:sz="4" w:space="0" w:color="196B24"/>
              <w:left w:val="nil"/>
              <w:bottom w:val="nil"/>
              <w:right w:val="nil"/>
            </w:tcBorders>
            <w:noWrap/>
            <w:vAlign w:val="bottom"/>
            <w:hideMark/>
          </w:tcPr>
          <w:p w14:paraId="311742CA" w14:textId="77777777" w:rsidR="00BE7A2D" w:rsidRPr="00AC2556" w:rsidRDefault="00BE7A2D" w:rsidP="005A7661">
            <w:pPr>
              <w:spacing w:after="0"/>
              <w:jc w:val="center"/>
              <w:rPr>
                <w:rFonts w:ascii="Aptos Narrow" w:hAnsi="Aptos Narrow" w:cs="Times New Roman"/>
                <w:color w:val="000000"/>
                <w:lang w:eastAsia="fr-FR"/>
              </w:rPr>
            </w:pPr>
            <w:r w:rsidRPr="00AC2556">
              <w:rPr>
                <w:rFonts w:ascii="Aptos Narrow" w:hAnsi="Aptos Narrow" w:cs="Times New Roman"/>
                <w:color w:val="000000"/>
                <w:lang w:eastAsia="fr-FR"/>
              </w:rPr>
              <w:t>31° 40' 32.206''</w:t>
            </w:r>
          </w:p>
        </w:tc>
        <w:tc>
          <w:tcPr>
            <w:tcW w:w="1149" w:type="pct"/>
            <w:tcBorders>
              <w:top w:val="single" w:sz="4" w:space="0" w:color="196B24"/>
              <w:left w:val="nil"/>
              <w:bottom w:val="nil"/>
              <w:right w:val="nil"/>
            </w:tcBorders>
            <w:noWrap/>
            <w:vAlign w:val="bottom"/>
            <w:hideMark/>
          </w:tcPr>
          <w:p w14:paraId="646A1686" w14:textId="77777777" w:rsidR="00BE7A2D" w:rsidRPr="00AC2556" w:rsidRDefault="00BE7A2D" w:rsidP="005A7661">
            <w:pPr>
              <w:spacing w:after="0"/>
              <w:jc w:val="center"/>
              <w:rPr>
                <w:rFonts w:ascii="Aptos Narrow" w:hAnsi="Aptos Narrow" w:cs="Times New Roman"/>
                <w:color w:val="000000"/>
                <w:lang w:eastAsia="fr-FR"/>
              </w:rPr>
            </w:pPr>
            <w:r w:rsidRPr="00AC2556">
              <w:rPr>
                <w:rFonts w:ascii="Aptos Narrow" w:hAnsi="Aptos Narrow" w:cs="Times New Roman"/>
                <w:color w:val="000000"/>
                <w:lang w:eastAsia="fr-FR"/>
              </w:rPr>
              <w:t>7° 59' 58.357''</w:t>
            </w:r>
          </w:p>
        </w:tc>
        <w:tc>
          <w:tcPr>
            <w:tcW w:w="943" w:type="pct"/>
            <w:tcBorders>
              <w:top w:val="single" w:sz="4" w:space="0" w:color="196B24"/>
              <w:left w:val="nil"/>
              <w:bottom w:val="nil"/>
              <w:right w:val="nil"/>
            </w:tcBorders>
            <w:noWrap/>
            <w:vAlign w:val="bottom"/>
            <w:hideMark/>
          </w:tcPr>
          <w:p w14:paraId="54EEF609" w14:textId="77777777" w:rsidR="00BE7A2D" w:rsidRPr="00AC2556" w:rsidRDefault="00BE7A2D" w:rsidP="005A7661">
            <w:pPr>
              <w:spacing w:after="0"/>
              <w:jc w:val="left"/>
              <w:rPr>
                <w:rFonts w:ascii="Aptos Narrow" w:hAnsi="Aptos Narrow" w:cs="Times New Roman"/>
                <w:i/>
                <w:iCs/>
                <w:color w:val="000000"/>
                <w:lang w:eastAsia="fr-FR"/>
              </w:rPr>
            </w:pPr>
            <w:r w:rsidRPr="00AC2556">
              <w:rPr>
                <w:rFonts w:ascii="Aptos Narrow" w:hAnsi="Aptos Narrow" w:cs="Times New Roman"/>
                <w:i/>
                <w:iCs/>
                <w:color w:val="000000"/>
                <w:lang w:eastAsia="fr-FR"/>
              </w:rPr>
              <w:t>Ciconia ciconia</w:t>
            </w:r>
          </w:p>
        </w:tc>
        <w:tc>
          <w:tcPr>
            <w:tcW w:w="288" w:type="pct"/>
            <w:tcBorders>
              <w:top w:val="single" w:sz="4" w:space="0" w:color="196B24"/>
              <w:left w:val="nil"/>
              <w:bottom w:val="nil"/>
              <w:right w:val="nil"/>
            </w:tcBorders>
            <w:noWrap/>
            <w:vAlign w:val="bottom"/>
            <w:hideMark/>
          </w:tcPr>
          <w:p w14:paraId="6E618B90" w14:textId="77777777" w:rsidR="00BE7A2D" w:rsidRPr="00AC2556" w:rsidRDefault="00BE7A2D" w:rsidP="005A7661">
            <w:pPr>
              <w:spacing w:after="0"/>
              <w:jc w:val="center"/>
              <w:rPr>
                <w:rFonts w:ascii="Aptos Narrow" w:hAnsi="Aptos Narrow" w:cs="Times New Roman"/>
                <w:color w:val="000000"/>
                <w:lang w:eastAsia="fr-FR"/>
              </w:rPr>
            </w:pPr>
            <w:r w:rsidRPr="00AC2556">
              <w:rPr>
                <w:rFonts w:ascii="Aptos Narrow" w:hAnsi="Aptos Narrow" w:cs="Times New Roman"/>
                <w:color w:val="000000"/>
                <w:lang w:eastAsia="fr-FR"/>
              </w:rPr>
              <w:t>6</w:t>
            </w:r>
          </w:p>
        </w:tc>
        <w:tc>
          <w:tcPr>
            <w:tcW w:w="813" w:type="pct"/>
            <w:tcBorders>
              <w:top w:val="single" w:sz="4" w:space="0" w:color="196B24"/>
              <w:left w:val="nil"/>
              <w:bottom w:val="nil"/>
              <w:right w:val="nil"/>
            </w:tcBorders>
            <w:noWrap/>
            <w:vAlign w:val="bottom"/>
            <w:hideMark/>
          </w:tcPr>
          <w:p w14:paraId="2F33FA6A" w14:textId="77777777" w:rsidR="00BE7A2D" w:rsidRPr="00AC2556" w:rsidRDefault="00BE7A2D" w:rsidP="005A7661">
            <w:pPr>
              <w:spacing w:after="0"/>
              <w:jc w:val="left"/>
              <w:rPr>
                <w:rFonts w:ascii="Aptos Narrow" w:hAnsi="Aptos Narrow" w:cs="Times New Roman"/>
                <w:color w:val="000000"/>
                <w:lang w:eastAsia="fr-FR"/>
              </w:rPr>
            </w:pPr>
            <w:r w:rsidRPr="00AC2556">
              <w:rPr>
                <w:rFonts w:ascii="Aptos Narrow" w:hAnsi="Aptos Narrow" w:cs="Times New Roman"/>
                <w:color w:val="000000"/>
                <w:lang w:eastAsia="fr-FR"/>
              </w:rPr>
              <w:t>Minaret</w:t>
            </w:r>
          </w:p>
        </w:tc>
        <w:tc>
          <w:tcPr>
            <w:tcW w:w="585" w:type="pct"/>
            <w:tcBorders>
              <w:top w:val="single" w:sz="4" w:space="0" w:color="196B24"/>
              <w:left w:val="nil"/>
              <w:bottom w:val="nil"/>
              <w:right w:val="single" w:sz="4" w:space="0" w:color="196B24"/>
            </w:tcBorders>
            <w:noWrap/>
            <w:vAlign w:val="bottom"/>
            <w:hideMark/>
          </w:tcPr>
          <w:p w14:paraId="781A8BF2" w14:textId="77777777" w:rsidR="00BE7A2D" w:rsidRPr="00AC2556" w:rsidRDefault="00BE7A2D" w:rsidP="005A7661">
            <w:pPr>
              <w:spacing w:after="0"/>
              <w:jc w:val="center"/>
              <w:rPr>
                <w:rFonts w:ascii="Aptos Narrow" w:hAnsi="Aptos Narrow" w:cs="Times New Roman"/>
                <w:color w:val="000000"/>
                <w:lang w:eastAsia="fr-FR"/>
              </w:rPr>
            </w:pPr>
            <w:r w:rsidRPr="00AC2556">
              <w:rPr>
                <w:rFonts w:ascii="Aptos Narrow" w:hAnsi="Aptos Narrow" w:cs="Times New Roman"/>
                <w:color w:val="000000"/>
                <w:lang w:eastAsia="fr-FR"/>
              </w:rPr>
              <w:t>10-30m</w:t>
            </w:r>
          </w:p>
        </w:tc>
      </w:tr>
      <w:tr w:rsidR="00BE7A2D" w:rsidRPr="00AC2556" w14:paraId="63D378C4" w14:textId="77777777" w:rsidTr="005A7661">
        <w:trPr>
          <w:trHeight w:val="288"/>
        </w:trPr>
        <w:tc>
          <w:tcPr>
            <w:tcW w:w="159" w:type="pct"/>
            <w:tcBorders>
              <w:top w:val="single" w:sz="4" w:space="0" w:color="196B24"/>
              <w:left w:val="single" w:sz="4" w:space="0" w:color="196B24"/>
              <w:bottom w:val="nil"/>
              <w:right w:val="nil"/>
            </w:tcBorders>
            <w:noWrap/>
            <w:vAlign w:val="bottom"/>
            <w:hideMark/>
          </w:tcPr>
          <w:p w14:paraId="665FC966" w14:textId="77777777" w:rsidR="00BE7A2D" w:rsidRPr="00AC2556" w:rsidRDefault="00BE7A2D" w:rsidP="005A7661">
            <w:pPr>
              <w:spacing w:after="0"/>
              <w:jc w:val="center"/>
              <w:rPr>
                <w:rFonts w:ascii="Aptos Narrow" w:hAnsi="Aptos Narrow" w:cs="Times New Roman"/>
                <w:color w:val="000000"/>
                <w:lang w:eastAsia="fr-FR"/>
              </w:rPr>
            </w:pPr>
            <w:r w:rsidRPr="00AC2556">
              <w:rPr>
                <w:rFonts w:ascii="Aptos Narrow" w:hAnsi="Aptos Narrow" w:cs="Times New Roman"/>
                <w:color w:val="000000"/>
                <w:lang w:eastAsia="fr-FR"/>
              </w:rPr>
              <w:t>9</w:t>
            </w:r>
          </w:p>
        </w:tc>
        <w:tc>
          <w:tcPr>
            <w:tcW w:w="1062" w:type="pct"/>
            <w:tcBorders>
              <w:top w:val="single" w:sz="4" w:space="0" w:color="196B24"/>
              <w:left w:val="nil"/>
              <w:bottom w:val="nil"/>
              <w:right w:val="nil"/>
            </w:tcBorders>
            <w:noWrap/>
            <w:vAlign w:val="bottom"/>
            <w:hideMark/>
          </w:tcPr>
          <w:p w14:paraId="03BE4498" w14:textId="77777777" w:rsidR="00BE7A2D" w:rsidRPr="00AC2556" w:rsidRDefault="00BE7A2D" w:rsidP="005A7661">
            <w:pPr>
              <w:spacing w:after="0"/>
              <w:jc w:val="center"/>
              <w:rPr>
                <w:rFonts w:ascii="Aptos Narrow" w:hAnsi="Aptos Narrow" w:cs="Times New Roman"/>
                <w:color w:val="000000"/>
                <w:lang w:eastAsia="fr-FR"/>
              </w:rPr>
            </w:pPr>
            <w:r w:rsidRPr="00AC2556">
              <w:rPr>
                <w:rFonts w:ascii="Aptos Narrow" w:hAnsi="Aptos Narrow" w:cs="Times New Roman"/>
                <w:color w:val="000000"/>
                <w:lang w:eastAsia="fr-FR"/>
              </w:rPr>
              <w:t>31° 40' 32.206''</w:t>
            </w:r>
          </w:p>
        </w:tc>
        <w:tc>
          <w:tcPr>
            <w:tcW w:w="1149" w:type="pct"/>
            <w:tcBorders>
              <w:top w:val="single" w:sz="4" w:space="0" w:color="196B24"/>
              <w:left w:val="nil"/>
              <w:bottom w:val="nil"/>
              <w:right w:val="nil"/>
            </w:tcBorders>
            <w:noWrap/>
            <w:vAlign w:val="bottom"/>
            <w:hideMark/>
          </w:tcPr>
          <w:p w14:paraId="355A3C55" w14:textId="77777777" w:rsidR="00BE7A2D" w:rsidRPr="00AC2556" w:rsidRDefault="00BE7A2D" w:rsidP="005A7661">
            <w:pPr>
              <w:spacing w:after="0"/>
              <w:jc w:val="center"/>
              <w:rPr>
                <w:rFonts w:ascii="Aptos Narrow" w:hAnsi="Aptos Narrow" w:cs="Times New Roman"/>
                <w:color w:val="000000"/>
                <w:lang w:eastAsia="fr-FR"/>
              </w:rPr>
            </w:pPr>
            <w:r w:rsidRPr="00AC2556">
              <w:rPr>
                <w:rFonts w:ascii="Aptos Narrow" w:hAnsi="Aptos Narrow" w:cs="Times New Roman"/>
                <w:color w:val="000000"/>
                <w:lang w:eastAsia="fr-FR"/>
              </w:rPr>
              <w:t>7° 59' 58.357''</w:t>
            </w:r>
          </w:p>
        </w:tc>
        <w:tc>
          <w:tcPr>
            <w:tcW w:w="943" w:type="pct"/>
            <w:tcBorders>
              <w:top w:val="single" w:sz="4" w:space="0" w:color="196B24"/>
              <w:left w:val="nil"/>
              <w:bottom w:val="nil"/>
              <w:right w:val="nil"/>
            </w:tcBorders>
            <w:noWrap/>
            <w:vAlign w:val="bottom"/>
            <w:hideMark/>
          </w:tcPr>
          <w:p w14:paraId="61C95CCC" w14:textId="77777777" w:rsidR="00BE7A2D" w:rsidRPr="00AC2556" w:rsidRDefault="00BE7A2D" w:rsidP="005A7661">
            <w:pPr>
              <w:spacing w:after="0"/>
              <w:jc w:val="left"/>
              <w:rPr>
                <w:rFonts w:ascii="Aptos Narrow" w:hAnsi="Aptos Narrow" w:cs="Times New Roman"/>
                <w:i/>
                <w:iCs/>
                <w:color w:val="000000"/>
                <w:lang w:eastAsia="fr-FR"/>
              </w:rPr>
            </w:pPr>
            <w:r w:rsidRPr="00AC2556">
              <w:rPr>
                <w:rFonts w:ascii="Aptos Narrow" w:hAnsi="Aptos Narrow" w:cs="Times New Roman"/>
                <w:i/>
                <w:iCs/>
                <w:color w:val="000000"/>
                <w:lang w:eastAsia="fr-FR"/>
              </w:rPr>
              <w:t>Ciconia ciconia</w:t>
            </w:r>
          </w:p>
        </w:tc>
        <w:tc>
          <w:tcPr>
            <w:tcW w:w="288" w:type="pct"/>
            <w:tcBorders>
              <w:top w:val="single" w:sz="4" w:space="0" w:color="196B24"/>
              <w:left w:val="nil"/>
              <w:bottom w:val="nil"/>
              <w:right w:val="nil"/>
            </w:tcBorders>
            <w:noWrap/>
            <w:vAlign w:val="bottom"/>
            <w:hideMark/>
          </w:tcPr>
          <w:p w14:paraId="04F9E8BC" w14:textId="77777777" w:rsidR="00BE7A2D" w:rsidRPr="00AC2556" w:rsidRDefault="00BE7A2D" w:rsidP="005A7661">
            <w:pPr>
              <w:spacing w:after="0"/>
              <w:jc w:val="center"/>
              <w:rPr>
                <w:rFonts w:ascii="Aptos Narrow" w:hAnsi="Aptos Narrow" w:cs="Times New Roman"/>
                <w:color w:val="000000"/>
                <w:lang w:eastAsia="fr-FR"/>
              </w:rPr>
            </w:pPr>
            <w:r w:rsidRPr="00AC2556">
              <w:rPr>
                <w:rFonts w:ascii="Aptos Narrow" w:hAnsi="Aptos Narrow" w:cs="Times New Roman"/>
                <w:color w:val="000000"/>
                <w:lang w:eastAsia="fr-FR"/>
              </w:rPr>
              <w:t>3</w:t>
            </w:r>
          </w:p>
        </w:tc>
        <w:tc>
          <w:tcPr>
            <w:tcW w:w="813" w:type="pct"/>
            <w:tcBorders>
              <w:top w:val="single" w:sz="4" w:space="0" w:color="196B24"/>
              <w:left w:val="nil"/>
              <w:bottom w:val="nil"/>
              <w:right w:val="nil"/>
            </w:tcBorders>
            <w:noWrap/>
            <w:vAlign w:val="bottom"/>
            <w:hideMark/>
          </w:tcPr>
          <w:p w14:paraId="026239FC" w14:textId="77777777" w:rsidR="00BE7A2D" w:rsidRPr="00AC2556" w:rsidRDefault="00BE7A2D" w:rsidP="005A7661">
            <w:pPr>
              <w:spacing w:after="0"/>
              <w:jc w:val="left"/>
              <w:rPr>
                <w:rFonts w:ascii="Aptos Narrow" w:hAnsi="Aptos Narrow" w:cs="Times New Roman"/>
                <w:color w:val="000000"/>
                <w:lang w:eastAsia="fr-FR"/>
              </w:rPr>
            </w:pPr>
            <w:r w:rsidRPr="00AC2556">
              <w:rPr>
                <w:rFonts w:ascii="Aptos Narrow" w:hAnsi="Aptos Narrow" w:cs="Times New Roman"/>
                <w:color w:val="000000"/>
                <w:lang w:eastAsia="fr-FR"/>
              </w:rPr>
              <w:t>Toit d'édifice</w:t>
            </w:r>
          </w:p>
        </w:tc>
        <w:tc>
          <w:tcPr>
            <w:tcW w:w="585" w:type="pct"/>
            <w:tcBorders>
              <w:top w:val="single" w:sz="4" w:space="0" w:color="196B24"/>
              <w:left w:val="nil"/>
              <w:bottom w:val="nil"/>
              <w:right w:val="single" w:sz="4" w:space="0" w:color="196B24"/>
            </w:tcBorders>
            <w:noWrap/>
            <w:vAlign w:val="bottom"/>
            <w:hideMark/>
          </w:tcPr>
          <w:p w14:paraId="0D57292E" w14:textId="77777777" w:rsidR="00BE7A2D" w:rsidRPr="00AC2556" w:rsidRDefault="00BE7A2D" w:rsidP="005A7661">
            <w:pPr>
              <w:spacing w:after="0"/>
              <w:jc w:val="center"/>
              <w:rPr>
                <w:rFonts w:ascii="Aptos Narrow" w:hAnsi="Aptos Narrow" w:cs="Times New Roman"/>
                <w:color w:val="000000"/>
                <w:lang w:eastAsia="fr-FR"/>
              </w:rPr>
            </w:pPr>
            <w:r w:rsidRPr="00AC2556">
              <w:rPr>
                <w:rFonts w:ascii="Aptos Narrow" w:hAnsi="Aptos Narrow" w:cs="Times New Roman"/>
                <w:color w:val="000000"/>
                <w:lang w:eastAsia="fr-FR"/>
              </w:rPr>
              <w:t>10-30m</w:t>
            </w:r>
          </w:p>
        </w:tc>
      </w:tr>
      <w:tr w:rsidR="00BE7A2D" w:rsidRPr="00AC2556" w14:paraId="7C36AB42" w14:textId="77777777" w:rsidTr="005A7661">
        <w:trPr>
          <w:trHeight w:val="288"/>
        </w:trPr>
        <w:tc>
          <w:tcPr>
            <w:tcW w:w="159" w:type="pct"/>
            <w:tcBorders>
              <w:top w:val="single" w:sz="4" w:space="0" w:color="196B24"/>
              <w:left w:val="single" w:sz="4" w:space="0" w:color="196B24"/>
              <w:bottom w:val="nil"/>
              <w:right w:val="nil"/>
            </w:tcBorders>
            <w:noWrap/>
            <w:vAlign w:val="bottom"/>
            <w:hideMark/>
          </w:tcPr>
          <w:p w14:paraId="42CCEABC" w14:textId="77777777" w:rsidR="00BE7A2D" w:rsidRPr="00AC2556" w:rsidRDefault="00BE7A2D" w:rsidP="005A7661">
            <w:pPr>
              <w:spacing w:after="0"/>
              <w:jc w:val="center"/>
              <w:rPr>
                <w:rFonts w:ascii="Aptos Narrow" w:hAnsi="Aptos Narrow" w:cs="Times New Roman"/>
                <w:color w:val="000000"/>
                <w:lang w:eastAsia="fr-FR"/>
              </w:rPr>
            </w:pPr>
            <w:r w:rsidRPr="00AC2556">
              <w:rPr>
                <w:rFonts w:ascii="Aptos Narrow" w:hAnsi="Aptos Narrow" w:cs="Times New Roman"/>
                <w:color w:val="000000"/>
                <w:lang w:eastAsia="fr-FR"/>
              </w:rPr>
              <w:t>10</w:t>
            </w:r>
          </w:p>
        </w:tc>
        <w:tc>
          <w:tcPr>
            <w:tcW w:w="1062" w:type="pct"/>
            <w:tcBorders>
              <w:top w:val="single" w:sz="4" w:space="0" w:color="196B24"/>
              <w:left w:val="nil"/>
              <w:bottom w:val="nil"/>
              <w:right w:val="nil"/>
            </w:tcBorders>
            <w:noWrap/>
            <w:vAlign w:val="bottom"/>
            <w:hideMark/>
          </w:tcPr>
          <w:p w14:paraId="4A55FC4C" w14:textId="77777777" w:rsidR="00BE7A2D" w:rsidRPr="00AC2556" w:rsidRDefault="00BE7A2D" w:rsidP="005A7661">
            <w:pPr>
              <w:spacing w:after="0"/>
              <w:jc w:val="center"/>
              <w:rPr>
                <w:rFonts w:ascii="Aptos Narrow" w:hAnsi="Aptos Narrow" w:cs="Times New Roman"/>
                <w:color w:val="000000"/>
                <w:lang w:eastAsia="fr-FR"/>
              </w:rPr>
            </w:pPr>
            <w:r w:rsidRPr="00AC2556">
              <w:rPr>
                <w:rFonts w:ascii="Aptos Narrow" w:hAnsi="Aptos Narrow" w:cs="Times New Roman"/>
                <w:color w:val="000000"/>
                <w:lang w:eastAsia="fr-FR"/>
              </w:rPr>
              <w:t>31° 40' 32.206''</w:t>
            </w:r>
          </w:p>
        </w:tc>
        <w:tc>
          <w:tcPr>
            <w:tcW w:w="1149" w:type="pct"/>
            <w:tcBorders>
              <w:top w:val="single" w:sz="4" w:space="0" w:color="196B24"/>
              <w:left w:val="nil"/>
              <w:bottom w:val="nil"/>
              <w:right w:val="nil"/>
            </w:tcBorders>
            <w:noWrap/>
            <w:vAlign w:val="bottom"/>
            <w:hideMark/>
          </w:tcPr>
          <w:p w14:paraId="5FBCCCD2" w14:textId="77777777" w:rsidR="00BE7A2D" w:rsidRPr="00AC2556" w:rsidRDefault="00BE7A2D" w:rsidP="005A7661">
            <w:pPr>
              <w:spacing w:after="0"/>
              <w:jc w:val="center"/>
              <w:rPr>
                <w:rFonts w:ascii="Aptos Narrow" w:hAnsi="Aptos Narrow" w:cs="Times New Roman"/>
                <w:color w:val="000000"/>
                <w:lang w:eastAsia="fr-FR"/>
              </w:rPr>
            </w:pPr>
            <w:r w:rsidRPr="00AC2556">
              <w:rPr>
                <w:rFonts w:ascii="Aptos Narrow" w:hAnsi="Aptos Narrow" w:cs="Times New Roman"/>
                <w:color w:val="000000"/>
                <w:lang w:eastAsia="fr-FR"/>
              </w:rPr>
              <w:t>7° 59' 58.357''</w:t>
            </w:r>
          </w:p>
        </w:tc>
        <w:tc>
          <w:tcPr>
            <w:tcW w:w="943" w:type="pct"/>
            <w:tcBorders>
              <w:top w:val="single" w:sz="4" w:space="0" w:color="196B24"/>
              <w:left w:val="nil"/>
              <w:bottom w:val="nil"/>
              <w:right w:val="nil"/>
            </w:tcBorders>
            <w:noWrap/>
            <w:vAlign w:val="bottom"/>
            <w:hideMark/>
          </w:tcPr>
          <w:p w14:paraId="690A6CA1" w14:textId="77777777" w:rsidR="00BE7A2D" w:rsidRPr="00AC2556" w:rsidRDefault="00BE7A2D" w:rsidP="005A7661">
            <w:pPr>
              <w:spacing w:after="0"/>
              <w:jc w:val="left"/>
              <w:rPr>
                <w:rFonts w:ascii="Aptos Narrow" w:hAnsi="Aptos Narrow" w:cs="Times New Roman"/>
                <w:i/>
                <w:iCs/>
                <w:color w:val="000000"/>
                <w:lang w:eastAsia="fr-FR"/>
              </w:rPr>
            </w:pPr>
            <w:r w:rsidRPr="00AC2556">
              <w:rPr>
                <w:rFonts w:ascii="Aptos Narrow" w:hAnsi="Aptos Narrow" w:cs="Times New Roman"/>
                <w:i/>
                <w:iCs/>
                <w:color w:val="000000"/>
                <w:lang w:eastAsia="fr-FR"/>
              </w:rPr>
              <w:t>Ciconia ciconia</w:t>
            </w:r>
          </w:p>
        </w:tc>
        <w:tc>
          <w:tcPr>
            <w:tcW w:w="288" w:type="pct"/>
            <w:tcBorders>
              <w:top w:val="single" w:sz="4" w:space="0" w:color="196B24"/>
              <w:left w:val="nil"/>
              <w:bottom w:val="nil"/>
              <w:right w:val="nil"/>
            </w:tcBorders>
            <w:noWrap/>
            <w:vAlign w:val="bottom"/>
            <w:hideMark/>
          </w:tcPr>
          <w:p w14:paraId="4FF63C3F" w14:textId="77777777" w:rsidR="00BE7A2D" w:rsidRPr="00AC2556" w:rsidRDefault="00BE7A2D" w:rsidP="005A7661">
            <w:pPr>
              <w:spacing w:after="0"/>
              <w:jc w:val="center"/>
              <w:rPr>
                <w:rFonts w:ascii="Aptos Narrow" w:hAnsi="Aptos Narrow" w:cs="Times New Roman"/>
                <w:color w:val="000000"/>
                <w:lang w:eastAsia="fr-FR"/>
              </w:rPr>
            </w:pPr>
            <w:r w:rsidRPr="00AC2556">
              <w:rPr>
                <w:rFonts w:ascii="Aptos Narrow" w:hAnsi="Aptos Narrow" w:cs="Times New Roman"/>
                <w:color w:val="000000"/>
                <w:lang w:eastAsia="fr-FR"/>
              </w:rPr>
              <w:t>1</w:t>
            </w:r>
          </w:p>
        </w:tc>
        <w:tc>
          <w:tcPr>
            <w:tcW w:w="813" w:type="pct"/>
            <w:tcBorders>
              <w:top w:val="single" w:sz="4" w:space="0" w:color="196B24"/>
              <w:left w:val="nil"/>
              <w:bottom w:val="nil"/>
              <w:right w:val="nil"/>
            </w:tcBorders>
            <w:noWrap/>
            <w:vAlign w:val="bottom"/>
            <w:hideMark/>
          </w:tcPr>
          <w:p w14:paraId="34721BF9" w14:textId="77777777" w:rsidR="00BE7A2D" w:rsidRPr="00AC2556" w:rsidRDefault="00BE7A2D" w:rsidP="005A7661">
            <w:pPr>
              <w:spacing w:after="0"/>
              <w:jc w:val="left"/>
              <w:rPr>
                <w:rFonts w:ascii="Aptos Narrow" w:hAnsi="Aptos Narrow" w:cs="Times New Roman"/>
                <w:color w:val="000000"/>
                <w:lang w:eastAsia="fr-FR"/>
              </w:rPr>
            </w:pPr>
            <w:r w:rsidRPr="00AC2556">
              <w:rPr>
                <w:rFonts w:ascii="Aptos Narrow" w:hAnsi="Aptos Narrow" w:cs="Times New Roman"/>
                <w:color w:val="000000"/>
                <w:lang w:eastAsia="fr-FR"/>
              </w:rPr>
              <w:t>Minaret</w:t>
            </w:r>
          </w:p>
        </w:tc>
        <w:tc>
          <w:tcPr>
            <w:tcW w:w="585" w:type="pct"/>
            <w:tcBorders>
              <w:top w:val="single" w:sz="4" w:space="0" w:color="196B24"/>
              <w:left w:val="nil"/>
              <w:bottom w:val="nil"/>
              <w:right w:val="single" w:sz="4" w:space="0" w:color="196B24"/>
            </w:tcBorders>
            <w:noWrap/>
            <w:vAlign w:val="bottom"/>
            <w:hideMark/>
          </w:tcPr>
          <w:p w14:paraId="18A7E631" w14:textId="77777777" w:rsidR="00BE7A2D" w:rsidRPr="00AC2556" w:rsidRDefault="00BE7A2D" w:rsidP="005A7661">
            <w:pPr>
              <w:spacing w:after="0"/>
              <w:jc w:val="center"/>
              <w:rPr>
                <w:rFonts w:ascii="Aptos Narrow" w:hAnsi="Aptos Narrow" w:cs="Times New Roman"/>
                <w:color w:val="000000"/>
                <w:lang w:eastAsia="fr-FR"/>
              </w:rPr>
            </w:pPr>
            <w:r w:rsidRPr="00AC2556">
              <w:rPr>
                <w:rFonts w:ascii="Aptos Narrow" w:hAnsi="Aptos Narrow" w:cs="Times New Roman"/>
                <w:color w:val="000000"/>
                <w:lang w:eastAsia="fr-FR"/>
              </w:rPr>
              <w:t>10-30m</w:t>
            </w:r>
          </w:p>
        </w:tc>
      </w:tr>
      <w:tr w:rsidR="00BE7A2D" w:rsidRPr="00AC2556" w14:paraId="4DA501DD" w14:textId="77777777" w:rsidTr="005A7661">
        <w:trPr>
          <w:trHeight w:val="288"/>
        </w:trPr>
        <w:tc>
          <w:tcPr>
            <w:tcW w:w="159" w:type="pct"/>
            <w:tcBorders>
              <w:top w:val="single" w:sz="4" w:space="0" w:color="196B24"/>
              <w:left w:val="single" w:sz="4" w:space="0" w:color="196B24"/>
              <w:bottom w:val="nil"/>
              <w:right w:val="nil"/>
            </w:tcBorders>
            <w:noWrap/>
            <w:vAlign w:val="bottom"/>
            <w:hideMark/>
          </w:tcPr>
          <w:p w14:paraId="5854EB6D" w14:textId="77777777" w:rsidR="00BE7A2D" w:rsidRPr="00AC2556" w:rsidRDefault="00BE7A2D" w:rsidP="005A7661">
            <w:pPr>
              <w:spacing w:after="0"/>
              <w:jc w:val="center"/>
              <w:rPr>
                <w:rFonts w:ascii="Aptos Narrow" w:hAnsi="Aptos Narrow" w:cs="Times New Roman"/>
                <w:color w:val="000000"/>
                <w:lang w:eastAsia="fr-FR"/>
              </w:rPr>
            </w:pPr>
            <w:r w:rsidRPr="00AC2556">
              <w:rPr>
                <w:rFonts w:ascii="Aptos Narrow" w:hAnsi="Aptos Narrow" w:cs="Times New Roman"/>
                <w:color w:val="000000"/>
                <w:lang w:eastAsia="fr-FR"/>
              </w:rPr>
              <w:t>11</w:t>
            </w:r>
          </w:p>
        </w:tc>
        <w:tc>
          <w:tcPr>
            <w:tcW w:w="1062" w:type="pct"/>
            <w:tcBorders>
              <w:top w:val="single" w:sz="4" w:space="0" w:color="196B24"/>
              <w:left w:val="nil"/>
              <w:bottom w:val="nil"/>
              <w:right w:val="nil"/>
            </w:tcBorders>
            <w:noWrap/>
            <w:vAlign w:val="bottom"/>
            <w:hideMark/>
          </w:tcPr>
          <w:p w14:paraId="4CD89687" w14:textId="77777777" w:rsidR="00BE7A2D" w:rsidRPr="00AC2556" w:rsidRDefault="00BE7A2D" w:rsidP="005A7661">
            <w:pPr>
              <w:spacing w:after="0"/>
              <w:jc w:val="center"/>
              <w:rPr>
                <w:rFonts w:ascii="Aptos Narrow" w:hAnsi="Aptos Narrow" w:cs="Times New Roman"/>
                <w:color w:val="000000"/>
                <w:lang w:eastAsia="fr-FR"/>
              </w:rPr>
            </w:pPr>
            <w:r w:rsidRPr="00AC2556">
              <w:rPr>
                <w:rFonts w:ascii="Aptos Narrow" w:hAnsi="Aptos Narrow" w:cs="Times New Roman"/>
                <w:color w:val="000000"/>
                <w:lang w:eastAsia="fr-FR"/>
              </w:rPr>
              <w:t>31° 40' 48.524''</w:t>
            </w:r>
          </w:p>
        </w:tc>
        <w:tc>
          <w:tcPr>
            <w:tcW w:w="1149" w:type="pct"/>
            <w:tcBorders>
              <w:top w:val="single" w:sz="4" w:space="0" w:color="196B24"/>
              <w:left w:val="nil"/>
              <w:bottom w:val="nil"/>
              <w:right w:val="nil"/>
            </w:tcBorders>
            <w:noWrap/>
            <w:vAlign w:val="bottom"/>
            <w:hideMark/>
          </w:tcPr>
          <w:p w14:paraId="2C13A265" w14:textId="77777777" w:rsidR="00BE7A2D" w:rsidRPr="00AC2556" w:rsidRDefault="00BE7A2D" w:rsidP="005A7661">
            <w:pPr>
              <w:spacing w:after="0"/>
              <w:jc w:val="center"/>
              <w:rPr>
                <w:rFonts w:ascii="Aptos Narrow" w:hAnsi="Aptos Narrow" w:cs="Times New Roman"/>
                <w:color w:val="000000"/>
                <w:lang w:eastAsia="fr-FR"/>
              </w:rPr>
            </w:pPr>
            <w:r w:rsidRPr="00AC2556">
              <w:rPr>
                <w:rFonts w:ascii="Aptos Narrow" w:hAnsi="Aptos Narrow" w:cs="Times New Roman"/>
                <w:color w:val="000000"/>
                <w:lang w:eastAsia="fr-FR"/>
              </w:rPr>
              <w:t>8° 0' 4.455''</w:t>
            </w:r>
          </w:p>
        </w:tc>
        <w:tc>
          <w:tcPr>
            <w:tcW w:w="943" w:type="pct"/>
            <w:tcBorders>
              <w:top w:val="single" w:sz="4" w:space="0" w:color="196B24"/>
              <w:left w:val="nil"/>
              <w:bottom w:val="nil"/>
              <w:right w:val="nil"/>
            </w:tcBorders>
            <w:noWrap/>
            <w:vAlign w:val="bottom"/>
            <w:hideMark/>
          </w:tcPr>
          <w:p w14:paraId="0849BF02" w14:textId="77777777" w:rsidR="00BE7A2D" w:rsidRPr="00AC2556" w:rsidRDefault="00BE7A2D" w:rsidP="005A7661">
            <w:pPr>
              <w:spacing w:after="0"/>
              <w:jc w:val="left"/>
              <w:rPr>
                <w:rFonts w:ascii="Aptos Narrow" w:hAnsi="Aptos Narrow" w:cs="Times New Roman"/>
                <w:i/>
                <w:iCs/>
                <w:color w:val="000000"/>
                <w:lang w:eastAsia="fr-FR"/>
              </w:rPr>
            </w:pPr>
            <w:r w:rsidRPr="00AC2556">
              <w:rPr>
                <w:rFonts w:ascii="Aptos Narrow" w:hAnsi="Aptos Narrow" w:cs="Times New Roman"/>
                <w:i/>
                <w:iCs/>
                <w:color w:val="000000"/>
                <w:lang w:eastAsia="fr-FR"/>
              </w:rPr>
              <w:t>Ciconia ciconia</w:t>
            </w:r>
          </w:p>
        </w:tc>
        <w:tc>
          <w:tcPr>
            <w:tcW w:w="288" w:type="pct"/>
            <w:tcBorders>
              <w:top w:val="single" w:sz="4" w:space="0" w:color="196B24"/>
              <w:left w:val="nil"/>
              <w:bottom w:val="nil"/>
              <w:right w:val="nil"/>
            </w:tcBorders>
            <w:noWrap/>
            <w:vAlign w:val="bottom"/>
            <w:hideMark/>
          </w:tcPr>
          <w:p w14:paraId="103159B1" w14:textId="77777777" w:rsidR="00BE7A2D" w:rsidRPr="00AC2556" w:rsidRDefault="00BE7A2D" w:rsidP="005A7661">
            <w:pPr>
              <w:spacing w:after="0"/>
              <w:jc w:val="center"/>
              <w:rPr>
                <w:rFonts w:ascii="Aptos Narrow" w:hAnsi="Aptos Narrow" w:cs="Times New Roman"/>
                <w:color w:val="000000"/>
                <w:lang w:eastAsia="fr-FR"/>
              </w:rPr>
            </w:pPr>
            <w:r w:rsidRPr="00AC2556">
              <w:rPr>
                <w:rFonts w:ascii="Aptos Narrow" w:hAnsi="Aptos Narrow" w:cs="Times New Roman"/>
                <w:color w:val="000000"/>
                <w:lang w:eastAsia="fr-FR"/>
              </w:rPr>
              <w:t>1</w:t>
            </w:r>
          </w:p>
        </w:tc>
        <w:tc>
          <w:tcPr>
            <w:tcW w:w="813" w:type="pct"/>
            <w:tcBorders>
              <w:top w:val="single" w:sz="4" w:space="0" w:color="196B24"/>
              <w:left w:val="nil"/>
              <w:bottom w:val="nil"/>
              <w:right w:val="nil"/>
            </w:tcBorders>
            <w:noWrap/>
            <w:vAlign w:val="bottom"/>
            <w:hideMark/>
          </w:tcPr>
          <w:p w14:paraId="504A83FC" w14:textId="77777777" w:rsidR="00BE7A2D" w:rsidRPr="00AC2556" w:rsidRDefault="00BE7A2D" w:rsidP="005A7661">
            <w:pPr>
              <w:spacing w:after="0"/>
              <w:jc w:val="left"/>
              <w:rPr>
                <w:rFonts w:ascii="Aptos Narrow" w:hAnsi="Aptos Narrow" w:cs="Times New Roman"/>
                <w:color w:val="000000"/>
                <w:lang w:eastAsia="fr-FR"/>
              </w:rPr>
            </w:pPr>
            <w:r w:rsidRPr="00AC2556">
              <w:rPr>
                <w:rFonts w:ascii="Aptos Narrow" w:hAnsi="Aptos Narrow" w:cs="Times New Roman"/>
                <w:color w:val="000000"/>
                <w:lang w:eastAsia="fr-FR"/>
              </w:rPr>
              <w:t>Pylône réseau télécom</w:t>
            </w:r>
          </w:p>
        </w:tc>
        <w:tc>
          <w:tcPr>
            <w:tcW w:w="585" w:type="pct"/>
            <w:tcBorders>
              <w:top w:val="single" w:sz="4" w:space="0" w:color="196B24"/>
              <w:left w:val="nil"/>
              <w:bottom w:val="nil"/>
              <w:right w:val="single" w:sz="4" w:space="0" w:color="196B24"/>
            </w:tcBorders>
            <w:noWrap/>
            <w:vAlign w:val="bottom"/>
            <w:hideMark/>
          </w:tcPr>
          <w:p w14:paraId="55B64C96" w14:textId="77777777" w:rsidR="00BE7A2D" w:rsidRPr="00AC2556" w:rsidRDefault="00BE7A2D" w:rsidP="005A7661">
            <w:pPr>
              <w:spacing w:after="0"/>
              <w:jc w:val="center"/>
              <w:rPr>
                <w:rFonts w:ascii="Aptos Narrow" w:hAnsi="Aptos Narrow" w:cs="Times New Roman"/>
                <w:color w:val="000000"/>
                <w:lang w:eastAsia="fr-FR"/>
              </w:rPr>
            </w:pPr>
            <w:r w:rsidRPr="00AC2556">
              <w:rPr>
                <w:rFonts w:ascii="Aptos Narrow" w:hAnsi="Aptos Narrow" w:cs="Times New Roman"/>
                <w:color w:val="000000"/>
                <w:lang w:eastAsia="fr-FR"/>
              </w:rPr>
              <w:t>10-30m</w:t>
            </w:r>
          </w:p>
        </w:tc>
      </w:tr>
      <w:tr w:rsidR="00BE7A2D" w:rsidRPr="00AC2556" w14:paraId="0B078E73" w14:textId="77777777" w:rsidTr="005A7661">
        <w:trPr>
          <w:trHeight w:val="288"/>
        </w:trPr>
        <w:tc>
          <w:tcPr>
            <w:tcW w:w="159" w:type="pct"/>
            <w:tcBorders>
              <w:top w:val="single" w:sz="4" w:space="0" w:color="196B24"/>
              <w:left w:val="single" w:sz="4" w:space="0" w:color="196B24"/>
              <w:bottom w:val="nil"/>
              <w:right w:val="nil"/>
            </w:tcBorders>
            <w:noWrap/>
            <w:vAlign w:val="bottom"/>
            <w:hideMark/>
          </w:tcPr>
          <w:p w14:paraId="4E45604A" w14:textId="77777777" w:rsidR="00BE7A2D" w:rsidRPr="00AC2556" w:rsidRDefault="00BE7A2D" w:rsidP="005A7661">
            <w:pPr>
              <w:spacing w:after="0"/>
              <w:jc w:val="center"/>
              <w:rPr>
                <w:rFonts w:ascii="Aptos Narrow" w:hAnsi="Aptos Narrow" w:cs="Times New Roman"/>
                <w:color w:val="000000"/>
                <w:lang w:eastAsia="fr-FR"/>
              </w:rPr>
            </w:pPr>
            <w:r w:rsidRPr="00AC2556">
              <w:rPr>
                <w:rFonts w:ascii="Aptos Narrow" w:hAnsi="Aptos Narrow" w:cs="Times New Roman"/>
                <w:color w:val="000000"/>
                <w:lang w:eastAsia="fr-FR"/>
              </w:rPr>
              <w:t>12</w:t>
            </w:r>
          </w:p>
        </w:tc>
        <w:tc>
          <w:tcPr>
            <w:tcW w:w="1062" w:type="pct"/>
            <w:tcBorders>
              <w:top w:val="single" w:sz="4" w:space="0" w:color="196B24"/>
              <w:left w:val="nil"/>
              <w:bottom w:val="nil"/>
              <w:right w:val="nil"/>
            </w:tcBorders>
            <w:noWrap/>
            <w:vAlign w:val="bottom"/>
            <w:hideMark/>
          </w:tcPr>
          <w:p w14:paraId="568BCB07" w14:textId="77777777" w:rsidR="00BE7A2D" w:rsidRPr="00AC2556" w:rsidRDefault="00BE7A2D" w:rsidP="005A7661">
            <w:pPr>
              <w:spacing w:after="0"/>
              <w:jc w:val="center"/>
              <w:rPr>
                <w:rFonts w:ascii="Aptos Narrow" w:hAnsi="Aptos Narrow" w:cs="Times New Roman"/>
                <w:color w:val="000000"/>
                <w:lang w:eastAsia="fr-FR"/>
              </w:rPr>
            </w:pPr>
            <w:r w:rsidRPr="00AC2556">
              <w:rPr>
                <w:rFonts w:ascii="Aptos Narrow" w:hAnsi="Aptos Narrow" w:cs="Times New Roman"/>
                <w:color w:val="000000"/>
                <w:lang w:eastAsia="fr-FR"/>
              </w:rPr>
              <w:t>31° 40' 56.906''</w:t>
            </w:r>
          </w:p>
        </w:tc>
        <w:tc>
          <w:tcPr>
            <w:tcW w:w="1149" w:type="pct"/>
            <w:tcBorders>
              <w:top w:val="single" w:sz="4" w:space="0" w:color="196B24"/>
              <w:left w:val="nil"/>
              <w:bottom w:val="nil"/>
              <w:right w:val="nil"/>
            </w:tcBorders>
            <w:noWrap/>
            <w:vAlign w:val="bottom"/>
            <w:hideMark/>
          </w:tcPr>
          <w:p w14:paraId="4BF8A4B5" w14:textId="77777777" w:rsidR="00BE7A2D" w:rsidRPr="00AC2556" w:rsidRDefault="00BE7A2D" w:rsidP="005A7661">
            <w:pPr>
              <w:spacing w:after="0"/>
              <w:jc w:val="center"/>
              <w:rPr>
                <w:rFonts w:ascii="Aptos Narrow" w:hAnsi="Aptos Narrow" w:cs="Times New Roman"/>
                <w:color w:val="000000"/>
                <w:lang w:eastAsia="fr-FR"/>
              </w:rPr>
            </w:pPr>
            <w:r w:rsidRPr="00AC2556">
              <w:rPr>
                <w:rFonts w:ascii="Aptos Narrow" w:hAnsi="Aptos Narrow" w:cs="Times New Roman"/>
                <w:color w:val="000000"/>
                <w:lang w:eastAsia="fr-FR"/>
              </w:rPr>
              <w:t>8° 0' 18.231''</w:t>
            </w:r>
          </w:p>
        </w:tc>
        <w:tc>
          <w:tcPr>
            <w:tcW w:w="943" w:type="pct"/>
            <w:tcBorders>
              <w:top w:val="single" w:sz="4" w:space="0" w:color="196B24"/>
              <w:left w:val="nil"/>
              <w:bottom w:val="nil"/>
              <w:right w:val="nil"/>
            </w:tcBorders>
            <w:noWrap/>
            <w:vAlign w:val="bottom"/>
            <w:hideMark/>
          </w:tcPr>
          <w:p w14:paraId="1CD39371" w14:textId="77777777" w:rsidR="00BE7A2D" w:rsidRPr="00AC2556" w:rsidRDefault="00BE7A2D" w:rsidP="005A7661">
            <w:pPr>
              <w:spacing w:after="0"/>
              <w:jc w:val="left"/>
              <w:rPr>
                <w:rFonts w:ascii="Aptos Narrow" w:hAnsi="Aptos Narrow" w:cs="Times New Roman"/>
                <w:i/>
                <w:iCs/>
                <w:color w:val="000000"/>
                <w:lang w:eastAsia="fr-FR"/>
              </w:rPr>
            </w:pPr>
            <w:r w:rsidRPr="00AC2556">
              <w:rPr>
                <w:rFonts w:ascii="Aptos Narrow" w:hAnsi="Aptos Narrow" w:cs="Times New Roman"/>
                <w:i/>
                <w:iCs/>
                <w:color w:val="000000"/>
                <w:lang w:eastAsia="fr-FR"/>
              </w:rPr>
              <w:t>Ciconia ciconia</w:t>
            </w:r>
          </w:p>
        </w:tc>
        <w:tc>
          <w:tcPr>
            <w:tcW w:w="288" w:type="pct"/>
            <w:tcBorders>
              <w:top w:val="single" w:sz="4" w:space="0" w:color="196B24"/>
              <w:left w:val="nil"/>
              <w:bottom w:val="nil"/>
              <w:right w:val="nil"/>
            </w:tcBorders>
            <w:noWrap/>
            <w:vAlign w:val="bottom"/>
            <w:hideMark/>
          </w:tcPr>
          <w:p w14:paraId="7BCC07CD" w14:textId="77777777" w:rsidR="00BE7A2D" w:rsidRPr="00AC2556" w:rsidRDefault="00BE7A2D" w:rsidP="005A7661">
            <w:pPr>
              <w:spacing w:after="0"/>
              <w:jc w:val="center"/>
              <w:rPr>
                <w:rFonts w:ascii="Aptos Narrow" w:hAnsi="Aptos Narrow" w:cs="Times New Roman"/>
                <w:color w:val="000000"/>
                <w:lang w:eastAsia="fr-FR"/>
              </w:rPr>
            </w:pPr>
            <w:r w:rsidRPr="00AC2556">
              <w:rPr>
                <w:rFonts w:ascii="Aptos Narrow" w:hAnsi="Aptos Narrow" w:cs="Times New Roman"/>
                <w:color w:val="000000"/>
                <w:lang w:eastAsia="fr-FR"/>
              </w:rPr>
              <w:t>1</w:t>
            </w:r>
          </w:p>
        </w:tc>
        <w:tc>
          <w:tcPr>
            <w:tcW w:w="813" w:type="pct"/>
            <w:tcBorders>
              <w:top w:val="single" w:sz="4" w:space="0" w:color="196B24"/>
              <w:left w:val="nil"/>
              <w:bottom w:val="nil"/>
              <w:right w:val="nil"/>
            </w:tcBorders>
            <w:noWrap/>
            <w:vAlign w:val="bottom"/>
            <w:hideMark/>
          </w:tcPr>
          <w:p w14:paraId="5D5434B0" w14:textId="77777777" w:rsidR="00BE7A2D" w:rsidRPr="00AC2556" w:rsidRDefault="00BE7A2D" w:rsidP="005A7661">
            <w:pPr>
              <w:spacing w:after="0"/>
              <w:jc w:val="left"/>
              <w:rPr>
                <w:rFonts w:ascii="Aptos Narrow" w:hAnsi="Aptos Narrow" w:cs="Times New Roman"/>
                <w:color w:val="000000"/>
                <w:lang w:eastAsia="fr-FR"/>
              </w:rPr>
            </w:pPr>
            <w:r w:rsidRPr="00AC2556">
              <w:rPr>
                <w:rFonts w:ascii="Aptos Narrow" w:hAnsi="Aptos Narrow" w:cs="Times New Roman"/>
                <w:color w:val="000000"/>
                <w:lang w:eastAsia="fr-FR"/>
              </w:rPr>
              <w:t>Minaret</w:t>
            </w:r>
          </w:p>
        </w:tc>
        <w:tc>
          <w:tcPr>
            <w:tcW w:w="585" w:type="pct"/>
            <w:tcBorders>
              <w:top w:val="single" w:sz="4" w:space="0" w:color="196B24"/>
              <w:left w:val="nil"/>
              <w:bottom w:val="nil"/>
              <w:right w:val="single" w:sz="4" w:space="0" w:color="196B24"/>
            </w:tcBorders>
            <w:noWrap/>
            <w:vAlign w:val="bottom"/>
            <w:hideMark/>
          </w:tcPr>
          <w:p w14:paraId="02762F77" w14:textId="77777777" w:rsidR="00BE7A2D" w:rsidRPr="00AC2556" w:rsidRDefault="00BE7A2D" w:rsidP="005A7661">
            <w:pPr>
              <w:spacing w:after="0"/>
              <w:jc w:val="center"/>
              <w:rPr>
                <w:rFonts w:ascii="Aptos Narrow" w:hAnsi="Aptos Narrow" w:cs="Times New Roman"/>
                <w:color w:val="000000"/>
                <w:lang w:eastAsia="fr-FR"/>
              </w:rPr>
            </w:pPr>
            <w:r w:rsidRPr="00AC2556">
              <w:rPr>
                <w:rFonts w:ascii="Aptos Narrow" w:hAnsi="Aptos Narrow" w:cs="Times New Roman"/>
                <w:color w:val="000000"/>
                <w:lang w:eastAsia="fr-FR"/>
              </w:rPr>
              <w:t>10-30m</w:t>
            </w:r>
          </w:p>
        </w:tc>
      </w:tr>
      <w:tr w:rsidR="00BE7A2D" w:rsidRPr="00AC2556" w14:paraId="4D400559" w14:textId="77777777" w:rsidTr="005A7661">
        <w:trPr>
          <w:trHeight w:val="288"/>
        </w:trPr>
        <w:tc>
          <w:tcPr>
            <w:tcW w:w="159" w:type="pct"/>
            <w:tcBorders>
              <w:top w:val="single" w:sz="4" w:space="0" w:color="196B24"/>
              <w:left w:val="single" w:sz="4" w:space="0" w:color="196B24"/>
              <w:bottom w:val="nil"/>
              <w:right w:val="nil"/>
            </w:tcBorders>
            <w:noWrap/>
            <w:vAlign w:val="bottom"/>
            <w:hideMark/>
          </w:tcPr>
          <w:p w14:paraId="3BF07752" w14:textId="77777777" w:rsidR="00BE7A2D" w:rsidRPr="00AC2556" w:rsidRDefault="00BE7A2D" w:rsidP="005A7661">
            <w:pPr>
              <w:spacing w:after="0"/>
              <w:jc w:val="center"/>
              <w:rPr>
                <w:rFonts w:ascii="Aptos Narrow" w:hAnsi="Aptos Narrow" w:cs="Times New Roman"/>
                <w:color w:val="000000"/>
                <w:lang w:eastAsia="fr-FR"/>
              </w:rPr>
            </w:pPr>
            <w:r w:rsidRPr="00AC2556">
              <w:rPr>
                <w:rFonts w:ascii="Aptos Narrow" w:hAnsi="Aptos Narrow" w:cs="Times New Roman"/>
                <w:color w:val="000000"/>
                <w:lang w:eastAsia="fr-FR"/>
              </w:rPr>
              <w:t>13</w:t>
            </w:r>
          </w:p>
        </w:tc>
        <w:tc>
          <w:tcPr>
            <w:tcW w:w="1062" w:type="pct"/>
            <w:tcBorders>
              <w:top w:val="single" w:sz="4" w:space="0" w:color="196B24"/>
              <w:left w:val="nil"/>
              <w:bottom w:val="nil"/>
              <w:right w:val="nil"/>
            </w:tcBorders>
            <w:noWrap/>
            <w:vAlign w:val="bottom"/>
            <w:hideMark/>
          </w:tcPr>
          <w:p w14:paraId="131E4F56" w14:textId="77777777" w:rsidR="00BE7A2D" w:rsidRPr="00AC2556" w:rsidRDefault="00BE7A2D" w:rsidP="005A7661">
            <w:pPr>
              <w:spacing w:after="0"/>
              <w:jc w:val="center"/>
              <w:rPr>
                <w:rFonts w:ascii="Aptos Narrow" w:hAnsi="Aptos Narrow" w:cs="Times New Roman"/>
                <w:color w:val="000000"/>
                <w:lang w:eastAsia="fr-FR"/>
              </w:rPr>
            </w:pPr>
            <w:r w:rsidRPr="00AC2556">
              <w:rPr>
                <w:rFonts w:ascii="Aptos Narrow" w:hAnsi="Aptos Narrow" w:cs="Times New Roman"/>
                <w:color w:val="000000"/>
                <w:lang w:eastAsia="fr-FR"/>
              </w:rPr>
              <w:t>31° 40' 48.206''</w:t>
            </w:r>
          </w:p>
        </w:tc>
        <w:tc>
          <w:tcPr>
            <w:tcW w:w="1149" w:type="pct"/>
            <w:tcBorders>
              <w:top w:val="single" w:sz="4" w:space="0" w:color="196B24"/>
              <w:left w:val="nil"/>
              <w:bottom w:val="nil"/>
              <w:right w:val="nil"/>
            </w:tcBorders>
            <w:noWrap/>
            <w:vAlign w:val="bottom"/>
            <w:hideMark/>
          </w:tcPr>
          <w:p w14:paraId="0CD65689" w14:textId="77777777" w:rsidR="00BE7A2D" w:rsidRPr="00AC2556" w:rsidRDefault="00BE7A2D" w:rsidP="005A7661">
            <w:pPr>
              <w:spacing w:after="0"/>
              <w:jc w:val="center"/>
              <w:rPr>
                <w:rFonts w:ascii="Aptos Narrow" w:hAnsi="Aptos Narrow" w:cs="Times New Roman"/>
                <w:color w:val="000000"/>
                <w:lang w:eastAsia="fr-FR"/>
              </w:rPr>
            </w:pPr>
            <w:r w:rsidRPr="00AC2556">
              <w:rPr>
                <w:rFonts w:ascii="Aptos Narrow" w:hAnsi="Aptos Narrow" w:cs="Times New Roman"/>
                <w:color w:val="000000"/>
                <w:lang w:eastAsia="fr-FR"/>
              </w:rPr>
              <w:t>8° 0' 24.891''</w:t>
            </w:r>
          </w:p>
        </w:tc>
        <w:tc>
          <w:tcPr>
            <w:tcW w:w="943" w:type="pct"/>
            <w:tcBorders>
              <w:top w:val="single" w:sz="4" w:space="0" w:color="196B24"/>
              <w:left w:val="nil"/>
              <w:bottom w:val="nil"/>
              <w:right w:val="nil"/>
            </w:tcBorders>
            <w:noWrap/>
            <w:vAlign w:val="bottom"/>
            <w:hideMark/>
          </w:tcPr>
          <w:p w14:paraId="15C27367" w14:textId="77777777" w:rsidR="00BE7A2D" w:rsidRPr="00AC2556" w:rsidRDefault="00BE7A2D" w:rsidP="005A7661">
            <w:pPr>
              <w:spacing w:after="0"/>
              <w:jc w:val="left"/>
              <w:rPr>
                <w:rFonts w:ascii="Aptos Narrow" w:hAnsi="Aptos Narrow" w:cs="Times New Roman"/>
                <w:i/>
                <w:iCs/>
                <w:color w:val="000000"/>
                <w:lang w:eastAsia="fr-FR"/>
              </w:rPr>
            </w:pPr>
            <w:r w:rsidRPr="00AC2556">
              <w:rPr>
                <w:rFonts w:ascii="Aptos Narrow" w:hAnsi="Aptos Narrow" w:cs="Times New Roman"/>
                <w:i/>
                <w:iCs/>
                <w:color w:val="000000"/>
                <w:lang w:eastAsia="fr-FR"/>
              </w:rPr>
              <w:t>Ciconia ciconia</w:t>
            </w:r>
          </w:p>
        </w:tc>
        <w:tc>
          <w:tcPr>
            <w:tcW w:w="288" w:type="pct"/>
            <w:tcBorders>
              <w:top w:val="single" w:sz="4" w:space="0" w:color="196B24"/>
              <w:left w:val="nil"/>
              <w:bottom w:val="nil"/>
              <w:right w:val="nil"/>
            </w:tcBorders>
            <w:noWrap/>
            <w:vAlign w:val="bottom"/>
            <w:hideMark/>
          </w:tcPr>
          <w:p w14:paraId="5FD201A5" w14:textId="77777777" w:rsidR="00BE7A2D" w:rsidRPr="00AC2556" w:rsidRDefault="00BE7A2D" w:rsidP="005A7661">
            <w:pPr>
              <w:spacing w:after="0"/>
              <w:jc w:val="center"/>
              <w:rPr>
                <w:rFonts w:ascii="Aptos Narrow" w:hAnsi="Aptos Narrow" w:cs="Times New Roman"/>
                <w:color w:val="000000"/>
                <w:lang w:eastAsia="fr-FR"/>
              </w:rPr>
            </w:pPr>
            <w:r w:rsidRPr="00AC2556">
              <w:rPr>
                <w:rFonts w:ascii="Aptos Narrow" w:hAnsi="Aptos Narrow" w:cs="Times New Roman"/>
                <w:color w:val="000000"/>
                <w:lang w:eastAsia="fr-FR"/>
              </w:rPr>
              <w:t>1</w:t>
            </w:r>
          </w:p>
        </w:tc>
        <w:tc>
          <w:tcPr>
            <w:tcW w:w="813" w:type="pct"/>
            <w:tcBorders>
              <w:top w:val="single" w:sz="4" w:space="0" w:color="196B24"/>
              <w:left w:val="nil"/>
              <w:bottom w:val="nil"/>
              <w:right w:val="nil"/>
            </w:tcBorders>
            <w:noWrap/>
            <w:vAlign w:val="bottom"/>
            <w:hideMark/>
          </w:tcPr>
          <w:p w14:paraId="1695FEDF" w14:textId="77777777" w:rsidR="00BE7A2D" w:rsidRPr="00AC2556" w:rsidRDefault="00BE7A2D" w:rsidP="005A7661">
            <w:pPr>
              <w:spacing w:after="0"/>
              <w:jc w:val="left"/>
              <w:rPr>
                <w:rFonts w:ascii="Aptos Narrow" w:hAnsi="Aptos Narrow" w:cs="Times New Roman"/>
                <w:color w:val="000000"/>
                <w:lang w:eastAsia="fr-FR"/>
              </w:rPr>
            </w:pPr>
            <w:r w:rsidRPr="00AC2556">
              <w:rPr>
                <w:rFonts w:ascii="Aptos Narrow" w:hAnsi="Aptos Narrow" w:cs="Times New Roman"/>
                <w:color w:val="000000"/>
                <w:lang w:eastAsia="fr-FR"/>
              </w:rPr>
              <w:t>Pylône réseau télécom</w:t>
            </w:r>
          </w:p>
        </w:tc>
        <w:tc>
          <w:tcPr>
            <w:tcW w:w="585" w:type="pct"/>
            <w:tcBorders>
              <w:top w:val="single" w:sz="4" w:space="0" w:color="196B24"/>
              <w:left w:val="nil"/>
              <w:bottom w:val="nil"/>
              <w:right w:val="single" w:sz="4" w:space="0" w:color="196B24"/>
            </w:tcBorders>
            <w:noWrap/>
            <w:vAlign w:val="bottom"/>
            <w:hideMark/>
          </w:tcPr>
          <w:p w14:paraId="135F6205" w14:textId="77777777" w:rsidR="00BE7A2D" w:rsidRPr="00AC2556" w:rsidRDefault="00BE7A2D" w:rsidP="005A7661">
            <w:pPr>
              <w:spacing w:after="0"/>
              <w:jc w:val="center"/>
              <w:rPr>
                <w:rFonts w:ascii="Aptos Narrow" w:hAnsi="Aptos Narrow" w:cs="Times New Roman"/>
                <w:color w:val="000000"/>
                <w:lang w:eastAsia="fr-FR"/>
              </w:rPr>
            </w:pPr>
            <w:r w:rsidRPr="00AC2556">
              <w:rPr>
                <w:rFonts w:ascii="Aptos Narrow" w:hAnsi="Aptos Narrow" w:cs="Times New Roman"/>
                <w:color w:val="000000"/>
                <w:lang w:eastAsia="fr-FR"/>
              </w:rPr>
              <w:t>10-30m</w:t>
            </w:r>
          </w:p>
        </w:tc>
      </w:tr>
      <w:tr w:rsidR="00BE7A2D" w:rsidRPr="00AC2556" w14:paraId="3CB440F7" w14:textId="77777777" w:rsidTr="005A7661">
        <w:trPr>
          <w:trHeight w:val="288"/>
        </w:trPr>
        <w:tc>
          <w:tcPr>
            <w:tcW w:w="159" w:type="pct"/>
            <w:tcBorders>
              <w:top w:val="single" w:sz="4" w:space="0" w:color="196B24"/>
              <w:left w:val="single" w:sz="4" w:space="0" w:color="196B24"/>
              <w:bottom w:val="nil"/>
              <w:right w:val="nil"/>
            </w:tcBorders>
            <w:noWrap/>
            <w:vAlign w:val="bottom"/>
            <w:hideMark/>
          </w:tcPr>
          <w:p w14:paraId="2C1A15A1" w14:textId="77777777" w:rsidR="00BE7A2D" w:rsidRPr="00AC2556" w:rsidRDefault="00BE7A2D" w:rsidP="005A7661">
            <w:pPr>
              <w:spacing w:after="0"/>
              <w:jc w:val="center"/>
              <w:rPr>
                <w:rFonts w:ascii="Aptos Narrow" w:hAnsi="Aptos Narrow" w:cs="Times New Roman"/>
                <w:color w:val="000000"/>
                <w:lang w:eastAsia="fr-FR"/>
              </w:rPr>
            </w:pPr>
            <w:r w:rsidRPr="00AC2556">
              <w:rPr>
                <w:rFonts w:ascii="Aptos Narrow" w:hAnsi="Aptos Narrow" w:cs="Times New Roman"/>
                <w:color w:val="000000"/>
                <w:lang w:eastAsia="fr-FR"/>
              </w:rPr>
              <w:t>14</w:t>
            </w:r>
          </w:p>
        </w:tc>
        <w:tc>
          <w:tcPr>
            <w:tcW w:w="1062" w:type="pct"/>
            <w:tcBorders>
              <w:top w:val="single" w:sz="4" w:space="0" w:color="196B24"/>
              <w:left w:val="nil"/>
              <w:bottom w:val="nil"/>
              <w:right w:val="nil"/>
            </w:tcBorders>
            <w:noWrap/>
            <w:vAlign w:val="bottom"/>
            <w:hideMark/>
          </w:tcPr>
          <w:p w14:paraId="7FBC8359" w14:textId="77777777" w:rsidR="00BE7A2D" w:rsidRPr="00AC2556" w:rsidRDefault="00BE7A2D" w:rsidP="005A7661">
            <w:pPr>
              <w:spacing w:after="0"/>
              <w:jc w:val="center"/>
              <w:rPr>
                <w:rFonts w:ascii="Aptos Narrow" w:hAnsi="Aptos Narrow" w:cs="Times New Roman"/>
                <w:color w:val="000000"/>
                <w:lang w:eastAsia="fr-FR"/>
              </w:rPr>
            </w:pPr>
            <w:r w:rsidRPr="00AC2556">
              <w:rPr>
                <w:rFonts w:ascii="Aptos Narrow" w:hAnsi="Aptos Narrow" w:cs="Times New Roman"/>
                <w:color w:val="000000"/>
                <w:lang w:eastAsia="fr-FR"/>
              </w:rPr>
              <w:t>31° 40' 38.167''</w:t>
            </w:r>
          </w:p>
        </w:tc>
        <w:tc>
          <w:tcPr>
            <w:tcW w:w="1149" w:type="pct"/>
            <w:tcBorders>
              <w:top w:val="single" w:sz="4" w:space="0" w:color="196B24"/>
              <w:left w:val="nil"/>
              <w:bottom w:val="nil"/>
              <w:right w:val="nil"/>
            </w:tcBorders>
            <w:noWrap/>
            <w:vAlign w:val="bottom"/>
            <w:hideMark/>
          </w:tcPr>
          <w:p w14:paraId="7E07E091" w14:textId="77777777" w:rsidR="00BE7A2D" w:rsidRPr="00AC2556" w:rsidRDefault="00BE7A2D" w:rsidP="005A7661">
            <w:pPr>
              <w:spacing w:after="0"/>
              <w:jc w:val="center"/>
              <w:rPr>
                <w:rFonts w:ascii="Aptos Narrow" w:hAnsi="Aptos Narrow" w:cs="Times New Roman"/>
                <w:color w:val="000000"/>
                <w:lang w:eastAsia="fr-FR"/>
              </w:rPr>
            </w:pPr>
            <w:r w:rsidRPr="00AC2556">
              <w:rPr>
                <w:rFonts w:ascii="Aptos Narrow" w:hAnsi="Aptos Narrow" w:cs="Times New Roman"/>
                <w:color w:val="000000"/>
                <w:lang w:eastAsia="fr-FR"/>
              </w:rPr>
              <w:t>8° 0' 11.42''</w:t>
            </w:r>
          </w:p>
        </w:tc>
        <w:tc>
          <w:tcPr>
            <w:tcW w:w="943" w:type="pct"/>
            <w:tcBorders>
              <w:top w:val="single" w:sz="4" w:space="0" w:color="196B24"/>
              <w:left w:val="nil"/>
              <w:bottom w:val="nil"/>
              <w:right w:val="nil"/>
            </w:tcBorders>
            <w:noWrap/>
            <w:vAlign w:val="bottom"/>
            <w:hideMark/>
          </w:tcPr>
          <w:p w14:paraId="0F3F28F8" w14:textId="77777777" w:rsidR="00BE7A2D" w:rsidRPr="00AC2556" w:rsidRDefault="00BE7A2D" w:rsidP="005A7661">
            <w:pPr>
              <w:spacing w:after="0"/>
              <w:jc w:val="left"/>
              <w:rPr>
                <w:rFonts w:ascii="Aptos Narrow" w:hAnsi="Aptos Narrow" w:cs="Times New Roman"/>
                <w:i/>
                <w:iCs/>
                <w:color w:val="000000"/>
                <w:lang w:eastAsia="fr-FR"/>
              </w:rPr>
            </w:pPr>
            <w:r w:rsidRPr="00AC2556">
              <w:rPr>
                <w:rFonts w:ascii="Aptos Narrow" w:hAnsi="Aptos Narrow" w:cs="Times New Roman"/>
                <w:i/>
                <w:iCs/>
                <w:color w:val="000000"/>
                <w:lang w:eastAsia="fr-FR"/>
              </w:rPr>
              <w:t>Ciconia ciconia</w:t>
            </w:r>
          </w:p>
        </w:tc>
        <w:tc>
          <w:tcPr>
            <w:tcW w:w="288" w:type="pct"/>
            <w:tcBorders>
              <w:top w:val="single" w:sz="4" w:space="0" w:color="196B24"/>
              <w:left w:val="nil"/>
              <w:bottom w:val="nil"/>
              <w:right w:val="nil"/>
            </w:tcBorders>
            <w:noWrap/>
            <w:vAlign w:val="bottom"/>
            <w:hideMark/>
          </w:tcPr>
          <w:p w14:paraId="0513632D" w14:textId="77777777" w:rsidR="00BE7A2D" w:rsidRPr="00AC2556" w:rsidRDefault="00BE7A2D" w:rsidP="005A7661">
            <w:pPr>
              <w:spacing w:after="0"/>
              <w:jc w:val="center"/>
              <w:rPr>
                <w:rFonts w:ascii="Aptos Narrow" w:hAnsi="Aptos Narrow" w:cs="Times New Roman"/>
                <w:color w:val="000000"/>
                <w:lang w:eastAsia="fr-FR"/>
              </w:rPr>
            </w:pPr>
            <w:r w:rsidRPr="00AC2556">
              <w:rPr>
                <w:rFonts w:ascii="Aptos Narrow" w:hAnsi="Aptos Narrow" w:cs="Times New Roman"/>
                <w:color w:val="000000"/>
                <w:lang w:eastAsia="fr-FR"/>
              </w:rPr>
              <w:t>2</w:t>
            </w:r>
          </w:p>
        </w:tc>
        <w:tc>
          <w:tcPr>
            <w:tcW w:w="813" w:type="pct"/>
            <w:tcBorders>
              <w:top w:val="single" w:sz="4" w:space="0" w:color="196B24"/>
              <w:left w:val="nil"/>
              <w:bottom w:val="nil"/>
              <w:right w:val="nil"/>
            </w:tcBorders>
            <w:noWrap/>
            <w:vAlign w:val="bottom"/>
            <w:hideMark/>
          </w:tcPr>
          <w:p w14:paraId="53D067D9" w14:textId="77777777" w:rsidR="00BE7A2D" w:rsidRPr="00AC2556" w:rsidRDefault="00BE7A2D" w:rsidP="005A7661">
            <w:pPr>
              <w:spacing w:after="0"/>
              <w:jc w:val="left"/>
              <w:rPr>
                <w:rFonts w:ascii="Aptos Narrow" w:hAnsi="Aptos Narrow" w:cs="Times New Roman"/>
                <w:color w:val="000000"/>
                <w:lang w:eastAsia="fr-FR"/>
              </w:rPr>
            </w:pPr>
            <w:r w:rsidRPr="00AC2556">
              <w:rPr>
                <w:rFonts w:ascii="Aptos Narrow" w:hAnsi="Aptos Narrow" w:cs="Times New Roman"/>
                <w:color w:val="000000"/>
                <w:lang w:eastAsia="fr-FR"/>
              </w:rPr>
              <w:t>Pylône réseau télécom</w:t>
            </w:r>
          </w:p>
        </w:tc>
        <w:tc>
          <w:tcPr>
            <w:tcW w:w="585" w:type="pct"/>
            <w:tcBorders>
              <w:top w:val="single" w:sz="4" w:space="0" w:color="196B24"/>
              <w:left w:val="nil"/>
              <w:bottom w:val="nil"/>
              <w:right w:val="single" w:sz="4" w:space="0" w:color="196B24"/>
            </w:tcBorders>
            <w:noWrap/>
            <w:vAlign w:val="bottom"/>
            <w:hideMark/>
          </w:tcPr>
          <w:p w14:paraId="7D2CDA01" w14:textId="77777777" w:rsidR="00BE7A2D" w:rsidRPr="00AC2556" w:rsidRDefault="00BE7A2D" w:rsidP="005A7661">
            <w:pPr>
              <w:spacing w:after="0"/>
              <w:jc w:val="center"/>
              <w:rPr>
                <w:rFonts w:ascii="Aptos Narrow" w:hAnsi="Aptos Narrow" w:cs="Times New Roman"/>
                <w:color w:val="000000"/>
                <w:lang w:eastAsia="fr-FR"/>
              </w:rPr>
            </w:pPr>
            <w:r w:rsidRPr="00AC2556">
              <w:rPr>
                <w:rFonts w:ascii="Aptos Narrow" w:hAnsi="Aptos Narrow" w:cs="Times New Roman"/>
                <w:color w:val="000000"/>
                <w:lang w:eastAsia="fr-FR"/>
              </w:rPr>
              <w:t>10-30m</w:t>
            </w:r>
          </w:p>
        </w:tc>
      </w:tr>
      <w:tr w:rsidR="00BE7A2D" w:rsidRPr="00AC2556" w14:paraId="2550CD0B" w14:textId="77777777" w:rsidTr="005A7661">
        <w:trPr>
          <w:trHeight w:val="288"/>
        </w:trPr>
        <w:tc>
          <w:tcPr>
            <w:tcW w:w="159" w:type="pct"/>
            <w:tcBorders>
              <w:top w:val="single" w:sz="4" w:space="0" w:color="196B24"/>
              <w:left w:val="single" w:sz="4" w:space="0" w:color="196B24"/>
              <w:bottom w:val="nil"/>
              <w:right w:val="nil"/>
            </w:tcBorders>
            <w:noWrap/>
            <w:vAlign w:val="bottom"/>
            <w:hideMark/>
          </w:tcPr>
          <w:p w14:paraId="6A2D0D15" w14:textId="77777777" w:rsidR="00BE7A2D" w:rsidRPr="00AC2556" w:rsidRDefault="00BE7A2D" w:rsidP="005A7661">
            <w:pPr>
              <w:spacing w:after="0"/>
              <w:jc w:val="center"/>
              <w:rPr>
                <w:rFonts w:ascii="Aptos Narrow" w:hAnsi="Aptos Narrow" w:cs="Times New Roman"/>
                <w:color w:val="000000"/>
                <w:lang w:eastAsia="fr-FR"/>
              </w:rPr>
            </w:pPr>
            <w:r w:rsidRPr="00AC2556">
              <w:rPr>
                <w:rFonts w:ascii="Aptos Narrow" w:hAnsi="Aptos Narrow" w:cs="Times New Roman"/>
                <w:color w:val="000000"/>
                <w:lang w:eastAsia="fr-FR"/>
              </w:rPr>
              <w:t>15</w:t>
            </w:r>
          </w:p>
        </w:tc>
        <w:tc>
          <w:tcPr>
            <w:tcW w:w="1062" w:type="pct"/>
            <w:tcBorders>
              <w:top w:val="single" w:sz="4" w:space="0" w:color="196B24"/>
              <w:left w:val="nil"/>
              <w:bottom w:val="nil"/>
              <w:right w:val="nil"/>
            </w:tcBorders>
            <w:noWrap/>
            <w:vAlign w:val="bottom"/>
            <w:hideMark/>
          </w:tcPr>
          <w:p w14:paraId="5D5BD829" w14:textId="77777777" w:rsidR="00BE7A2D" w:rsidRPr="00AC2556" w:rsidRDefault="00BE7A2D" w:rsidP="005A7661">
            <w:pPr>
              <w:spacing w:after="0"/>
              <w:jc w:val="center"/>
              <w:rPr>
                <w:rFonts w:ascii="Aptos Narrow" w:hAnsi="Aptos Narrow" w:cs="Times New Roman"/>
                <w:color w:val="000000"/>
                <w:lang w:eastAsia="fr-FR"/>
              </w:rPr>
            </w:pPr>
            <w:r w:rsidRPr="00AC2556">
              <w:rPr>
                <w:rFonts w:ascii="Aptos Narrow" w:hAnsi="Aptos Narrow" w:cs="Times New Roman"/>
                <w:color w:val="000000"/>
                <w:lang w:eastAsia="fr-FR"/>
              </w:rPr>
              <w:t>31° 41' 1.34''</w:t>
            </w:r>
          </w:p>
        </w:tc>
        <w:tc>
          <w:tcPr>
            <w:tcW w:w="1149" w:type="pct"/>
            <w:tcBorders>
              <w:top w:val="single" w:sz="4" w:space="0" w:color="196B24"/>
              <w:left w:val="nil"/>
              <w:bottom w:val="nil"/>
              <w:right w:val="nil"/>
            </w:tcBorders>
            <w:noWrap/>
            <w:vAlign w:val="bottom"/>
            <w:hideMark/>
          </w:tcPr>
          <w:p w14:paraId="27808E90" w14:textId="77777777" w:rsidR="00BE7A2D" w:rsidRPr="00AC2556" w:rsidRDefault="00BE7A2D" w:rsidP="005A7661">
            <w:pPr>
              <w:spacing w:after="0"/>
              <w:jc w:val="center"/>
              <w:rPr>
                <w:rFonts w:ascii="Aptos Narrow" w:hAnsi="Aptos Narrow" w:cs="Times New Roman"/>
                <w:color w:val="000000"/>
                <w:lang w:eastAsia="fr-FR"/>
              </w:rPr>
            </w:pPr>
            <w:r w:rsidRPr="00AC2556">
              <w:rPr>
                <w:rFonts w:ascii="Aptos Narrow" w:hAnsi="Aptos Narrow" w:cs="Times New Roman"/>
                <w:color w:val="000000"/>
                <w:lang w:eastAsia="fr-FR"/>
              </w:rPr>
              <w:t>8° 0' 17.031''</w:t>
            </w:r>
          </w:p>
        </w:tc>
        <w:tc>
          <w:tcPr>
            <w:tcW w:w="943" w:type="pct"/>
            <w:tcBorders>
              <w:top w:val="single" w:sz="4" w:space="0" w:color="196B24"/>
              <w:left w:val="nil"/>
              <w:bottom w:val="nil"/>
              <w:right w:val="nil"/>
            </w:tcBorders>
            <w:noWrap/>
            <w:vAlign w:val="bottom"/>
            <w:hideMark/>
          </w:tcPr>
          <w:p w14:paraId="09E9F2D9" w14:textId="77777777" w:rsidR="00BE7A2D" w:rsidRPr="00AC2556" w:rsidRDefault="00BE7A2D" w:rsidP="005A7661">
            <w:pPr>
              <w:spacing w:after="0"/>
              <w:jc w:val="left"/>
              <w:rPr>
                <w:rFonts w:ascii="Aptos Narrow" w:hAnsi="Aptos Narrow" w:cs="Times New Roman"/>
                <w:i/>
                <w:iCs/>
                <w:color w:val="000000"/>
                <w:lang w:eastAsia="fr-FR"/>
              </w:rPr>
            </w:pPr>
            <w:r w:rsidRPr="00AC2556">
              <w:rPr>
                <w:rFonts w:ascii="Aptos Narrow" w:hAnsi="Aptos Narrow" w:cs="Times New Roman"/>
                <w:i/>
                <w:iCs/>
                <w:color w:val="000000"/>
                <w:lang w:eastAsia="fr-FR"/>
              </w:rPr>
              <w:t>Ciconia ciconia</w:t>
            </w:r>
          </w:p>
        </w:tc>
        <w:tc>
          <w:tcPr>
            <w:tcW w:w="288" w:type="pct"/>
            <w:tcBorders>
              <w:top w:val="single" w:sz="4" w:space="0" w:color="196B24"/>
              <w:left w:val="nil"/>
              <w:bottom w:val="nil"/>
              <w:right w:val="nil"/>
            </w:tcBorders>
            <w:noWrap/>
            <w:vAlign w:val="bottom"/>
            <w:hideMark/>
          </w:tcPr>
          <w:p w14:paraId="6F161BB6" w14:textId="77777777" w:rsidR="00BE7A2D" w:rsidRPr="00AC2556" w:rsidRDefault="00BE7A2D" w:rsidP="005A7661">
            <w:pPr>
              <w:spacing w:after="0"/>
              <w:jc w:val="center"/>
              <w:rPr>
                <w:rFonts w:ascii="Aptos Narrow" w:hAnsi="Aptos Narrow" w:cs="Times New Roman"/>
                <w:color w:val="000000"/>
                <w:lang w:eastAsia="fr-FR"/>
              </w:rPr>
            </w:pPr>
            <w:r w:rsidRPr="00AC2556">
              <w:rPr>
                <w:rFonts w:ascii="Aptos Narrow" w:hAnsi="Aptos Narrow" w:cs="Times New Roman"/>
                <w:color w:val="000000"/>
                <w:lang w:eastAsia="fr-FR"/>
              </w:rPr>
              <w:t>1</w:t>
            </w:r>
          </w:p>
        </w:tc>
        <w:tc>
          <w:tcPr>
            <w:tcW w:w="813" w:type="pct"/>
            <w:tcBorders>
              <w:top w:val="single" w:sz="4" w:space="0" w:color="196B24"/>
              <w:left w:val="nil"/>
              <w:bottom w:val="nil"/>
              <w:right w:val="nil"/>
            </w:tcBorders>
            <w:noWrap/>
            <w:vAlign w:val="bottom"/>
            <w:hideMark/>
          </w:tcPr>
          <w:p w14:paraId="3E320DC1" w14:textId="77777777" w:rsidR="00BE7A2D" w:rsidRPr="00AC2556" w:rsidRDefault="00BE7A2D" w:rsidP="005A7661">
            <w:pPr>
              <w:spacing w:after="0"/>
              <w:jc w:val="left"/>
              <w:rPr>
                <w:rFonts w:ascii="Aptos Narrow" w:hAnsi="Aptos Narrow" w:cs="Times New Roman"/>
                <w:color w:val="000000"/>
                <w:lang w:eastAsia="fr-FR"/>
              </w:rPr>
            </w:pPr>
            <w:r w:rsidRPr="00AC2556">
              <w:rPr>
                <w:rFonts w:ascii="Aptos Narrow" w:hAnsi="Aptos Narrow" w:cs="Times New Roman"/>
                <w:color w:val="000000"/>
                <w:lang w:eastAsia="fr-FR"/>
              </w:rPr>
              <w:t>Pylône réseau télécom</w:t>
            </w:r>
          </w:p>
        </w:tc>
        <w:tc>
          <w:tcPr>
            <w:tcW w:w="585" w:type="pct"/>
            <w:tcBorders>
              <w:top w:val="single" w:sz="4" w:space="0" w:color="196B24"/>
              <w:left w:val="nil"/>
              <w:bottom w:val="nil"/>
              <w:right w:val="single" w:sz="4" w:space="0" w:color="196B24"/>
            </w:tcBorders>
            <w:noWrap/>
            <w:vAlign w:val="bottom"/>
            <w:hideMark/>
          </w:tcPr>
          <w:p w14:paraId="214669AD" w14:textId="77777777" w:rsidR="00BE7A2D" w:rsidRPr="00AC2556" w:rsidRDefault="00BE7A2D" w:rsidP="005A7661">
            <w:pPr>
              <w:spacing w:after="0"/>
              <w:jc w:val="center"/>
              <w:rPr>
                <w:rFonts w:ascii="Aptos Narrow" w:hAnsi="Aptos Narrow" w:cs="Times New Roman"/>
                <w:color w:val="000000"/>
                <w:lang w:eastAsia="fr-FR"/>
              </w:rPr>
            </w:pPr>
            <w:r w:rsidRPr="00AC2556">
              <w:rPr>
                <w:rFonts w:ascii="Aptos Narrow" w:hAnsi="Aptos Narrow" w:cs="Times New Roman"/>
                <w:color w:val="000000"/>
                <w:lang w:eastAsia="fr-FR"/>
              </w:rPr>
              <w:t>10-30m</w:t>
            </w:r>
          </w:p>
        </w:tc>
      </w:tr>
      <w:tr w:rsidR="00BE7A2D" w:rsidRPr="00AC2556" w14:paraId="0731322C" w14:textId="77777777" w:rsidTr="005A7661">
        <w:trPr>
          <w:trHeight w:val="288"/>
        </w:trPr>
        <w:tc>
          <w:tcPr>
            <w:tcW w:w="159" w:type="pct"/>
            <w:tcBorders>
              <w:top w:val="single" w:sz="4" w:space="0" w:color="196B24"/>
              <w:left w:val="single" w:sz="4" w:space="0" w:color="196B24"/>
              <w:bottom w:val="nil"/>
              <w:right w:val="nil"/>
            </w:tcBorders>
            <w:noWrap/>
            <w:vAlign w:val="bottom"/>
            <w:hideMark/>
          </w:tcPr>
          <w:p w14:paraId="27D6E581" w14:textId="77777777" w:rsidR="00BE7A2D" w:rsidRPr="00AC2556" w:rsidRDefault="00BE7A2D" w:rsidP="005A7661">
            <w:pPr>
              <w:spacing w:after="0"/>
              <w:jc w:val="center"/>
              <w:rPr>
                <w:rFonts w:ascii="Aptos Narrow" w:hAnsi="Aptos Narrow" w:cs="Times New Roman"/>
                <w:color w:val="000000"/>
                <w:lang w:eastAsia="fr-FR"/>
              </w:rPr>
            </w:pPr>
            <w:r w:rsidRPr="00AC2556">
              <w:rPr>
                <w:rFonts w:ascii="Aptos Narrow" w:hAnsi="Aptos Narrow" w:cs="Times New Roman"/>
                <w:color w:val="000000"/>
                <w:lang w:eastAsia="fr-FR"/>
              </w:rPr>
              <w:t>16</w:t>
            </w:r>
          </w:p>
        </w:tc>
        <w:tc>
          <w:tcPr>
            <w:tcW w:w="1062" w:type="pct"/>
            <w:tcBorders>
              <w:top w:val="single" w:sz="4" w:space="0" w:color="196B24"/>
              <w:left w:val="nil"/>
              <w:bottom w:val="nil"/>
              <w:right w:val="nil"/>
            </w:tcBorders>
            <w:noWrap/>
            <w:vAlign w:val="bottom"/>
            <w:hideMark/>
          </w:tcPr>
          <w:p w14:paraId="7A2F5CC7" w14:textId="77777777" w:rsidR="00BE7A2D" w:rsidRPr="00AC2556" w:rsidRDefault="00BE7A2D" w:rsidP="005A7661">
            <w:pPr>
              <w:spacing w:after="0"/>
              <w:jc w:val="center"/>
              <w:rPr>
                <w:rFonts w:ascii="Aptos Narrow" w:hAnsi="Aptos Narrow" w:cs="Times New Roman"/>
                <w:color w:val="000000"/>
                <w:lang w:eastAsia="fr-FR"/>
              </w:rPr>
            </w:pPr>
            <w:r w:rsidRPr="00AC2556">
              <w:rPr>
                <w:rFonts w:ascii="Aptos Narrow" w:hAnsi="Aptos Narrow" w:cs="Times New Roman"/>
                <w:color w:val="000000"/>
                <w:lang w:eastAsia="fr-FR"/>
              </w:rPr>
              <w:t>31° 40' 39.932'</w:t>
            </w:r>
          </w:p>
        </w:tc>
        <w:tc>
          <w:tcPr>
            <w:tcW w:w="1149" w:type="pct"/>
            <w:tcBorders>
              <w:top w:val="single" w:sz="4" w:space="0" w:color="196B24"/>
              <w:left w:val="nil"/>
              <w:bottom w:val="nil"/>
              <w:right w:val="nil"/>
            </w:tcBorders>
            <w:noWrap/>
            <w:vAlign w:val="bottom"/>
            <w:hideMark/>
          </w:tcPr>
          <w:p w14:paraId="0607331C" w14:textId="77777777" w:rsidR="00BE7A2D" w:rsidRPr="00AC2556" w:rsidRDefault="00BE7A2D" w:rsidP="005A7661">
            <w:pPr>
              <w:spacing w:after="0"/>
              <w:jc w:val="center"/>
              <w:rPr>
                <w:rFonts w:ascii="Aptos Narrow" w:hAnsi="Aptos Narrow" w:cs="Times New Roman"/>
                <w:color w:val="000000"/>
                <w:lang w:eastAsia="fr-FR"/>
              </w:rPr>
            </w:pPr>
            <w:r w:rsidRPr="00AC2556">
              <w:rPr>
                <w:rFonts w:ascii="Aptos Narrow" w:hAnsi="Aptos Narrow" w:cs="Times New Roman"/>
                <w:color w:val="000000"/>
                <w:lang w:eastAsia="fr-FR"/>
              </w:rPr>
              <w:t>8° 2' 12.317''</w:t>
            </w:r>
          </w:p>
        </w:tc>
        <w:tc>
          <w:tcPr>
            <w:tcW w:w="943" w:type="pct"/>
            <w:tcBorders>
              <w:top w:val="single" w:sz="4" w:space="0" w:color="196B24"/>
              <w:left w:val="nil"/>
              <w:bottom w:val="nil"/>
              <w:right w:val="nil"/>
            </w:tcBorders>
            <w:noWrap/>
            <w:vAlign w:val="bottom"/>
            <w:hideMark/>
          </w:tcPr>
          <w:p w14:paraId="5D40738A" w14:textId="77777777" w:rsidR="00BE7A2D" w:rsidRPr="00AC2556" w:rsidRDefault="00BE7A2D" w:rsidP="005A7661">
            <w:pPr>
              <w:spacing w:after="0"/>
              <w:jc w:val="left"/>
              <w:rPr>
                <w:rFonts w:ascii="Aptos Narrow" w:hAnsi="Aptos Narrow" w:cs="Times New Roman"/>
                <w:i/>
                <w:iCs/>
                <w:color w:val="000000"/>
                <w:lang w:eastAsia="fr-FR"/>
              </w:rPr>
            </w:pPr>
            <w:r w:rsidRPr="00AC2556">
              <w:rPr>
                <w:rFonts w:ascii="Aptos Narrow" w:hAnsi="Aptos Narrow" w:cs="Times New Roman"/>
                <w:i/>
                <w:iCs/>
                <w:color w:val="000000"/>
                <w:lang w:eastAsia="fr-FR"/>
              </w:rPr>
              <w:t>Ciconia ciconia</w:t>
            </w:r>
          </w:p>
        </w:tc>
        <w:tc>
          <w:tcPr>
            <w:tcW w:w="288" w:type="pct"/>
            <w:tcBorders>
              <w:top w:val="single" w:sz="4" w:space="0" w:color="196B24"/>
              <w:left w:val="nil"/>
              <w:bottom w:val="nil"/>
              <w:right w:val="nil"/>
            </w:tcBorders>
            <w:noWrap/>
            <w:vAlign w:val="bottom"/>
            <w:hideMark/>
          </w:tcPr>
          <w:p w14:paraId="0C9D6215" w14:textId="77777777" w:rsidR="00BE7A2D" w:rsidRPr="00AC2556" w:rsidRDefault="00BE7A2D" w:rsidP="005A7661">
            <w:pPr>
              <w:spacing w:after="0"/>
              <w:jc w:val="center"/>
              <w:rPr>
                <w:rFonts w:ascii="Aptos Narrow" w:hAnsi="Aptos Narrow" w:cs="Times New Roman"/>
                <w:color w:val="000000"/>
                <w:lang w:eastAsia="fr-FR"/>
              </w:rPr>
            </w:pPr>
            <w:r w:rsidRPr="00AC2556">
              <w:rPr>
                <w:rFonts w:ascii="Aptos Narrow" w:hAnsi="Aptos Narrow" w:cs="Times New Roman"/>
                <w:color w:val="000000"/>
                <w:lang w:eastAsia="fr-FR"/>
              </w:rPr>
              <w:t>1</w:t>
            </w:r>
          </w:p>
        </w:tc>
        <w:tc>
          <w:tcPr>
            <w:tcW w:w="813" w:type="pct"/>
            <w:tcBorders>
              <w:top w:val="single" w:sz="4" w:space="0" w:color="196B24"/>
              <w:left w:val="nil"/>
              <w:bottom w:val="nil"/>
              <w:right w:val="nil"/>
            </w:tcBorders>
            <w:noWrap/>
            <w:vAlign w:val="bottom"/>
            <w:hideMark/>
          </w:tcPr>
          <w:p w14:paraId="0CC87727" w14:textId="77777777" w:rsidR="00BE7A2D" w:rsidRPr="00AC2556" w:rsidRDefault="00BE7A2D" w:rsidP="005A7661">
            <w:pPr>
              <w:spacing w:after="0"/>
              <w:jc w:val="left"/>
              <w:rPr>
                <w:rFonts w:ascii="Aptos Narrow" w:hAnsi="Aptos Narrow" w:cs="Times New Roman"/>
                <w:color w:val="000000"/>
                <w:lang w:eastAsia="fr-FR"/>
              </w:rPr>
            </w:pPr>
            <w:r w:rsidRPr="00AC2556">
              <w:rPr>
                <w:rFonts w:ascii="Aptos Narrow" w:hAnsi="Aptos Narrow" w:cs="Times New Roman"/>
                <w:color w:val="000000"/>
                <w:lang w:eastAsia="fr-FR"/>
              </w:rPr>
              <w:t>Minaret</w:t>
            </w:r>
          </w:p>
        </w:tc>
        <w:tc>
          <w:tcPr>
            <w:tcW w:w="585" w:type="pct"/>
            <w:tcBorders>
              <w:top w:val="single" w:sz="4" w:space="0" w:color="196B24"/>
              <w:left w:val="nil"/>
              <w:bottom w:val="nil"/>
              <w:right w:val="single" w:sz="4" w:space="0" w:color="196B24"/>
            </w:tcBorders>
            <w:noWrap/>
            <w:vAlign w:val="bottom"/>
            <w:hideMark/>
          </w:tcPr>
          <w:p w14:paraId="018FDD80" w14:textId="77777777" w:rsidR="00BE7A2D" w:rsidRPr="00AC2556" w:rsidRDefault="00BE7A2D" w:rsidP="005A7661">
            <w:pPr>
              <w:spacing w:after="0"/>
              <w:jc w:val="center"/>
              <w:rPr>
                <w:rFonts w:ascii="Aptos Narrow" w:hAnsi="Aptos Narrow" w:cs="Times New Roman"/>
                <w:color w:val="000000"/>
                <w:lang w:eastAsia="fr-FR"/>
              </w:rPr>
            </w:pPr>
            <w:r w:rsidRPr="00AC2556">
              <w:rPr>
                <w:rFonts w:ascii="Aptos Narrow" w:hAnsi="Aptos Narrow" w:cs="Times New Roman"/>
                <w:color w:val="000000"/>
                <w:lang w:eastAsia="fr-FR"/>
              </w:rPr>
              <w:t>10-30m</w:t>
            </w:r>
          </w:p>
        </w:tc>
      </w:tr>
      <w:tr w:rsidR="00BE7A2D" w:rsidRPr="00AC2556" w14:paraId="5891480D" w14:textId="77777777" w:rsidTr="005A7661">
        <w:trPr>
          <w:trHeight w:val="288"/>
        </w:trPr>
        <w:tc>
          <w:tcPr>
            <w:tcW w:w="159" w:type="pct"/>
            <w:tcBorders>
              <w:top w:val="single" w:sz="4" w:space="0" w:color="196B24"/>
              <w:left w:val="single" w:sz="4" w:space="0" w:color="196B24"/>
              <w:bottom w:val="nil"/>
              <w:right w:val="nil"/>
            </w:tcBorders>
            <w:noWrap/>
            <w:vAlign w:val="bottom"/>
            <w:hideMark/>
          </w:tcPr>
          <w:p w14:paraId="055E7E15" w14:textId="77777777" w:rsidR="00BE7A2D" w:rsidRPr="00AC2556" w:rsidRDefault="00BE7A2D" w:rsidP="005A7661">
            <w:pPr>
              <w:spacing w:after="0"/>
              <w:jc w:val="center"/>
              <w:rPr>
                <w:rFonts w:ascii="Aptos Narrow" w:hAnsi="Aptos Narrow" w:cs="Times New Roman"/>
                <w:color w:val="000000"/>
                <w:lang w:eastAsia="fr-FR"/>
              </w:rPr>
            </w:pPr>
            <w:r w:rsidRPr="00AC2556">
              <w:rPr>
                <w:rFonts w:ascii="Aptos Narrow" w:hAnsi="Aptos Narrow" w:cs="Times New Roman"/>
                <w:color w:val="000000"/>
                <w:lang w:eastAsia="fr-FR"/>
              </w:rPr>
              <w:t>17</w:t>
            </w:r>
          </w:p>
        </w:tc>
        <w:tc>
          <w:tcPr>
            <w:tcW w:w="1062" w:type="pct"/>
            <w:tcBorders>
              <w:top w:val="single" w:sz="4" w:space="0" w:color="196B24"/>
              <w:left w:val="nil"/>
              <w:bottom w:val="nil"/>
              <w:right w:val="nil"/>
            </w:tcBorders>
            <w:noWrap/>
            <w:vAlign w:val="bottom"/>
            <w:hideMark/>
          </w:tcPr>
          <w:p w14:paraId="15179E2C" w14:textId="77777777" w:rsidR="00BE7A2D" w:rsidRPr="00AC2556" w:rsidRDefault="00BE7A2D" w:rsidP="005A7661">
            <w:pPr>
              <w:spacing w:after="0"/>
              <w:jc w:val="center"/>
              <w:rPr>
                <w:rFonts w:ascii="Aptos Narrow" w:hAnsi="Aptos Narrow" w:cs="Times New Roman"/>
                <w:color w:val="000000"/>
                <w:lang w:eastAsia="fr-FR"/>
              </w:rPr>
            </w:pPr>
            <w:r w:rsidRPr="00AC2556">
              <w:rPr>
                <w:rFonts w:ascii="Aptos Narrow" w:hAnsi="Aptos Narrow" w:cs="Times New Roman"/>
                <w:color w:val="000000"/>
                <w:lang w:eastAsia="fr-FR"/>
              </w:rPr>
              <w:t>31° 41' 13.092''</w:t>
            </w:r>
          </w:p>
        </w:tc>
        <w:tc>
          <w:tcPr>
            <w:tcW w:w="1149" w:type="pct"/>
            <w:tcBorders>
              <w:top w:val="single" w:sz="4" w:space="0" w:color="196B24"/>
              <w:left w:val="nil"/>
              <w:bottom w:val="nil"/>
              <w:right w:val="nil"/>
            </w:tcBorders>
            <w:noWrap/>
            <w:vAlign w:val="bottom"/>
            <w:hideMark/>
          </w:tcPr>
          <w:p w14:paraId="461BB219" w14:textId="77777777" w:rsidR="00BE7A2D" w:rsidRPr="00AC2556" w:rsidRDefault="00BE7A2D" w:rsidP="005A7661">
            <w:pPr>
              <w:spacing w:after="0"/>
              <w:jc w:val="center"/>
              <w:rPr>
                <w:rFonts w:ascii="Aptos Narrow" w:hAnsi="Aptos Narrow" w:cs="Times New Roman"/>
                <w:color w:val="000000"/>
                <w:lang w:eastAsia="fr-FR"/>
              </w:rPr>
            </w:pPr>
            <w:r w:rsidRPr="00AC2556">
              <w:rPr>
                <w:rFonts w:ascii="Aptos Narrow" w:hAnsi="Aptos Narrow" w:cs="Times New Roman"/>
                <w:color w:val="000000"/>
                <w:lang w:eastAsia="fr-FR"/>
              </w:rPr>
              <w:t>8° 2' 0.553''</w:t>
            </w:r>
          </w:p>
        </w:tc>
        <w:tc>
          <w:tcPr>
            <w:tcW w:w="943" w:type="pct"/>
            <w:tcBorders>
              <w:top w:val="single" w:sz="4" w:space="0" w:color="196B24"/>
              <w:left w:val="nil"/>
              <w:bottom w:val="nil"/>
              <w:right w:val="nil"/>
            </w:tcBorders>
            <w:noWrap/>
            <w:vAlign w:val="bottom"/>
            <w:hideMark/>
          </w:tcPr>
          <w:p w14:paraId="2F8C3C71" w14:textId="77777777" w:rsidR="00BE7A2D" w:rsidRPr="00AC2556" w:rsidRDefault="00BE7A2D" w:rsidP="005A7661">
            <w:pPr>
              <w:spacing w:after="0"/>
              <w:jc w:val="left"/>
              <w:rPr>
                <w:rFonts w:ascii="Aptos Narrow" w:hAnsi="Aptos Narrow" w:cs="Times New Roman"/>
                <w:i/>
                <w:iCs/>
                <w:color w:val="000000"/>
                <w:lang w:eastAsia="fr-FR"/>
              </w:rPr>
            </w:pPr>
            <w:r w:rsidRPr="00AC2556">
              <w:rPr>
                <w:rFonts w:ascii="Aptos Narrow" w:hAnsi="Aptos Narrow" w:cs="Times New Roman"/>
                <w:i/>
                <w:iCs/>
                <w:color w:val="000000"/>
                <w:lang w:eastAsia="fr-FR"/>
              </w:rPr>
              <w:t>Ciconia ciconia</w:t>
            </w:r>
          </w:p>
        </w:tc>
        <w:tc>
          <w:tcPr>
            <w:tcW w:w="288" w:type="pct"/>
            <w:tcBorders>
              <w:top w:val="single" w:sz="4" w:space="0" w:color="196B24"/>
              <w:left w:val="nil"/>
              <w:bottom w:val="nil"/>
              <w:right w:val="nil"/>
            </w:tcBorders>
            <w:noWrap/>
            <w:vAlign w:val="bottom"/>
            <w:hideMark/>
          </w:tcPr>
          <w:p w14:paraId="31F784A2" w14:textId="77777777" w:rsidR="00BE7A2D" w:rsidRPr="00AC2556" w:rsidRDefault="00BE7A2D" w:rsidP="005A7661">
            <w:pPr>
              <w:spacing w:after="0"/>
              <w:jc w:val="center"/>
              <w:rPr>
                <w:rFonts w:ascii="Aptos Narrow" w:hAnsi="Aptos Narrow" w:cs="Times New Roman"/>
                <w:color w:val="000000"/>
                <w:lang w:eastAsia="fr-FR"/>
              </w:rPr>
            </w:pPr>
            <w:r w:rsidRPr="00AC2556">
              <w:rPr>
                <w:rFonts w:ascii="Aptos Narrow" w:hAnsi="Aptos Narrow" w:cs="Times New Roman"/>
                <w:color w:val="000000"/>
                <w:lang w:eastAsia="fr-FR"/>
              </w:rPr>
              <w:t>2</w:t>
            </w:r>
          </w:p>
        </w:tc>
        <w:tc>
          <w:tcPr>
            <w:tcW w:w="813" w:type="pct"/>
            <w:tcBorders>
              <w:top w:val="single" w:sz="4" w:space="0" w:color="196B24"/>
              <w:left w:val="nil"/>
              <w:bottom w:val="nil"/>
              <w:right w:val="nil"/>
            </w:tcBorders>
            <w:noWrap/>
            <w:hideMark/>
          </w:tcPr>
          <w:p w14:paraId="7FA7FC8F" w14:textId="77777777" w:rsidR="00BE7A2D" w:rsidRPr="00AC2556" w:rsidRDefault="00BE7A2D" w:rsidP="005A7661">
            <w:pPr>
              <w:spacing w:after="0"/>
              <w:jc w:val="left"/>
              <w:rPr>
                <w:rFonts w:ascii="Aptos Narrow" w:hAnsi="Aptos Narrow" w:cs="Times New Roman"/>
                <w:color w:val="000000"/>
                <w:lang w:eastAsia="fr-FR"/>
              </w:rPr>
            </w:pPr>
            <w:r w:rsidRPr="00921FE2">
              <w:rPr>
                <w:rFonts w:ascii="Aptos Narrow" w:hAnsi="Aptos Narrow" w:cs="Times New Roman"/>
                <w:color w:val="000000"/>
                <w:lang w:eastAsia="fr-FR"/>
              </w:rPr>
              <w:t>Pylône</w:t>
            </w:r>
            <w:r w:rsidRPr="00AC2556">
              <w:rPr>
                <w:rFonts w:ascii="Aptos Narrow" w:hAnsi="Aptos Narrow" w:cs="Times New Roman"/>
                <w:color w:val="000000"/>
                <w:lang w:eastAsia="fr-FR"/>
              </w:rPr>
              <w:t xml:space="preserve"> réseau </w:t>
            </w:r>
            <w:r w:rsidRPr="00921FE2">
              <w:rPr>
                <w:rFonts w:ascii="Aptos Narrow" w:hAnsi="Aptos Narrow" w:cs="Times New Roman"/>
                <w:color w:val="000000"/>
                <w:lang w:eastAsia="fr-FR"/>
              </w:rPr>
              <w:t>télécom</w:t>
            </w:r>
          </w:p>
        </w:tc>
        <w:tc>
          <w:tcPr>
            <w:tcW w:w="585" w:type="pct"/>
            <w:tcBorders>
              <w:top w:val="single" w:sz="4" w:space="0" w:color="196B24"/>
              <w:left w:val="nil"/>
              <w:bottom w:val="nil"/>
              <w:right w:val="single" w:sz="4" w:space="0" w:color="196B24"/>
            </w:tcBorders>
            <w:noWrap/>
            <w:vAlign w:val="bottom"/>
            <w:hideMark/>
          </w:tcPr>
          <w:p w14:paraId="6A91059D" w14:textId="77777777" w:rsidR="00BE7A2D" w:rsidRPr="00AC2556" w:rsidRDefault="00BE7A2D" w:rsidP="005A7661">
            <w:pPr>
              <w:spacing w:after="0"/>
              <w:jc w:val="center"/>
              <w:rPr>
                <w:rFonts w:ascii="Aptos Narrow" w:hAnsi="Aptos Narrow" w:cs="Times New Roman"/>
                <w:color w:val="000000"/>
                <w:lang w:eastAsia="fr-FR"/>
              </w:rPr>
            </w:pPr>
            <w:r w:rsidRPr="00AC2556">
              <w:rPr>
                <w:rFonts w:ascii="Aptos Narrow" w:hAnsi="Aptos Narrow" w:cs="Times New Roman"/>
                <w:color w:val="000000"/>
                <w:lang w:eastAsia="fr-FR"/>
              </w:rPr>
              <w:t>10-30m</w:t>
            </w:r>
          </w:p>
        </w:tc>
      </w:tr>
      <w:tr w:rsidR="00BE7A2D" w:rsidRPr="00AC2556" w14:paraId="490BE667" w14:textId="77777777" w:rsidTr="005A7661">
        <w:trPr>
          <w:trHeight w:val="288"/>
        </w:trPr>
        <w:tc>
          <w:tcPr>
            <w:tcW w:w="159" w:type="pct"/>
            <w:tcBorders>
              <w:top w:val="single" w:sz="4" w:space="0" w:color="196B24"/>
              <w:left w:val="single" w:sz="4" w:space="0" w:color="196B24"/>
              <w:bottom w:val="nil"/>
              <w:right w:val="nil"/>
            </w:tcBorders>
            <w:noWrap/>
            <w:vAlign w:val="bottom"/>
            <w:hideMark/>
          </w:tcPr>
          <w:p w14:paraId="588609C4" w14:textId="77777777" w:rsidR="00BE7A2D" w:rsidRPr="00AC2556" w:rsidRDefault="00BE7A2D" w:rsidP="005A7661">
            <w:pPr>
              <w:spacing w:after="0"/>
              <w:jc w:val="center"/>
              <w:rPr>
                <w:rFonts w:ascii="Aptos Narrow" w:hAnsi="Aptos Narrow" w:cs="Times New Roman"/>
                <w:color w:val="000000"/>
                <w:lang w:eastAsia="fr-FR"/>
              </w:rPr>
            </w:pPr>
            <w:r w:rsidRPr="00AC2556">
              <w:rPr>
                <w:rFonts w:ascii="Aptos Narrow" w:hAnsi="Aptos Narrow" w:cs="Times New Roman"/>
                <w:color w:val="000000"/>
                <w:lang w:eastAsia="fr-FR"/>
              </w:rPr>
              <w:lastRenderedPageBreak/>
              <w:t>18</w:t>
            </w:r>
          </w:p>
        </w:tc>
        <w:tc>
          <w:tcPr>
            <w:tcW w:w="1062" w:type="pct"/>
            <w:tcBorders>
              <w:top w:val="single" w:sz="4" w:space="0" w:color="196B24"/>
              <w:left w:val="nil"/>
              <w:bottom w:val="nil"/>
              <w:right w:val="nil"/>
            </w:tcBorders>
            <w:noWrap/>
            <w:vAlign w:val="bottom"/>
            <w:hideMark/>
          </w:tcPr>
          <w:p w14:paraId="29318563" w14:textId="77777777" w:rsidR="00BE7A2D" w:rsidRPr="00AC2556" w:rsidRDefault="00BE7A2D" w:rsidP="005A7661">
            <w:pPr>
              <w:spacing w:after="0"/>
              <w:jc w:val="center"/>
              <w:rPr>
                <w:rFonts w:ascii="Aptos Narrow" w:hAnsi="Aptos Narrow" w:cs="Times New Roman"/>
                <w:color w:val="000000"/>
                <w:lang w:eastAsia="fr-FR"/>
              </w:rPr>
            </w:pPr>
            <w:r w:rsidRPr="00AC2556">
              <w:rPr>
                <w:rFonts w:ascii="Aptos Narrow" w:hAnsi="Aptos Narrow" w:cs="Times New Roman"/>
                <w:color w:val="000000"/>
                <w:lang w:eastAsia="fr-FR"/>
              </w:rPr>
              <w:t>31° 40' 47.133''</w:t>
            </w:r>
          </w:p>
        </w:tc>
        <w:tc>
          <w:tcPr>
            <w:tcW w:w="1149" w:type="pct"/>
            <w:tcBorders>
              <w:top w:val="single" w:sz="4" w:space="0" w:color="196B24"/>
              <w:left w:val="nil"/>
              <w:bottom w:val="nil"/>
              <w:right w:val="nil"/>
            </w:tcBorders>
            <w:noWrap/>
            <w:vAlign w:val="bottom"/>
            <w:hideMark/>
          </w:tcPr>
          <w:p w14:paraId="6BD6F0FE" w14:textId="77777777" w:rsidR="00BE7A2D" w:rsidRPr="00AC2556" w:rsidRDefault="00BE7A2D" w:rsidP="005A7661">
            <w:pPr>
              <w:spacing w:after="0"/>
              <w:jc w:val="center"/>
              <w:rPr>
                <w:rFonts w:ascii="Aptos Narrow" w:hAnsi="Aptos Narrow" w:cs="Times New Roman"/>
                <w:color w:val="000000"/>
                <w:lang w:eastAsia="fr-FR"/>
              </w:rPr>
            </w:pPr>
            <w:r w:rsidRPr="00AC2556">
              <w:rPr>
                <w:rFonts w:ascii="Aptos Narrow" w:hAnsi="Aptos Narrow" w:cs="Times New Roman"/>
                <w:color w:val="000000"/>
                <w:lang w:eastAsia="fr-FR"/>
              </w:rPr>
              <w:t>8° 2' 31.917''</w:t>
            </w:r>
          </w:p>
        </w:tc>
        <w:tc>
          <w:tcPr>
            <w:tcW w:w="943" w:type="pct"/>
            <w:tcBorders>
              <w:top w:val="single" w:sz="4" w:space="0" w:color="196B24"/>
              <w:left w:val="nil"/>
              <w:bottom w:val="nil"/>
              <w:right w:val="nil"/>
            </w:tcBorders>
            <w:noWrap/>
            <w:vAlign w:val="bottom"/>
            <w:hideMark/>
          </w:tcPr>
          <w:p w14:paraId="2FE82BCC" w14:textId="77777777" w:rsidR="00BE7A2D" w:rsidRPr="00AC2556" w:rsidRDefault="00BE7A2D" w:rsidP="005A7661">
            <w:pPr>
              <w:spacing w:after="0"/>
              <w:jc w:val="left"/>
              <w:rPr>
                <w:rFonts w:ascii="Aptos Narrow" w:hAnsi="Aptos Narrow" w:cs="Times New Roman"/>
                <w:i/>
                <w:iCs/>
                <w:color w:val="000000"/>
                <w:lang w:eastAsia="fr-FR"/>
              </w:rPr>
            </w:pPr>
            <w:r w:rsidRPr="00AC2556">
              <w:rPr>
                <w:rFonts w:ascii="Aptos Narrow" w:hAnsi="Aptos Narrow" w:cs="Times New Roman"/>
                <w:i/>
                <w:iCs/>
                <w:color w:val="000000"/>
                <w:lang w:eastAsia="fr-FR"/>
              </w:rPr>
              <w:t>Ciconia ciconia</w:t>
            </w:r>
          </w:p>
        </w:tc>
        <w:tc>
          <w:tcPr>
            <w:tcW w:w="288" w:type="pct"/>
            <w:tcBorders>
              <w:top w:val="single" w:sz="4" w:space="0" w:color="196B24"/>
              <w:left w:val="nil"/>
              <w:bottom w:val="nil"/>
              <w:right w:val="nil"/>
            </w:tcBorders>
            <w:noWrap/>
            <w:vAlign w:val="bottom"/>
            <w:hideMark/>
          </w:tcPr>
          <w:p w14:paraId="78E4FDC2" w14:textId="77777777" w:rsidR="00BE7A2D" w:rsidRPr="00AC2556" w:rsidRDefault="00BE7A2D" w:rsidP="005A7661">
            <w:pPr>
              <w:spacing w:after="0"/>
              <w:jc w:val="center"/>
              <w:rPr>
                <w:rFonts w:ascii="Aptos Narrow" w:hAnsi="Aptos Narrow" w:cs="Times New Roman"/>
                <w:color w:val="000000"/>
                <w:lang w:eastAsia="fr-FR"/>
              </w:rPr>
            </w:pPr>
            <w:r w:rsidRPr="00AC2556">
              <w:rPr>
                <w:rFonts w:ascii="Aptos Narrow" w:hAnsi="Aptos Narrow" w:cs="Times New Roman"/>
                <w:color w:val="000000"/>
                <w:lang w:eastAsia="fr-FR"/>
              </w:rPr>
              <w:t>1</w:t>
            </w:r>
          </w:p>
        </w:tc>
        <w:tc>
          <w:tcPr>
            <w:tcW w:w="813" w:type="pct"/>
            <w:tcBorders>
              <w:top w:val="single" w:sz="4" w:space="0" w:color="196B24"/>
              <w:left w:val="nil"/>
              <w:bottom w:val="nil"/>
              <w:right w:val="nil"/>
            </w:tcBorders>
            <w:noWrap/>
            <w:hideMark/>
          </w:tcPr>
          <w:p w14:paraId="03E7F4B7" w14:textId="77777777" w:rsidR="00BE7A2D" w:rsidRPr="00AC2556" w:rsidRDefault="00BE7A2D" w:rsidP="005A7661">
            <w:pPr>
              <w:spacing w:after="0"/>
              <w:jc w:val="left"/>
              <w:rPr>
                <w:rFonts w:ascii="Aptos Narrow" w:hAnsi="Aptos Narrow" w:cs="Times New Roman"/>
                <w:color w:val="000000"/>
                <w:lang w:eastAsia="fr-FR"/>
              </w:rPr>
            </w:pPr>
            <w:r w:rsidRPr="00921FE2">
              <w:rPr>
                <w:rFonts w:ascii="Aptos Narrow" w:hAnsi="Aptos Narrow" w:cs="Times New Roman"/>
                <w:color w:val="000000"/>
                <w:lang w:eastAsia="fr-FR"/>
              </w:rPr>
              <w:t>Pylône</w:t>
            </w:r>
            <w:r w:rsidRPr="00AC2556">
              <w:rPr>
                <w:rFonts w:ascii="Aptos Narrow" w:hAnsi="Aptos Narrow" w:cs="Times New Roman"/>
                <w:color w:val="000000"/>
                <w:lang w:eastAsia="fr-FR"/>
              </w:rPr>
              <w:t xml:space="preserve"> réseau </w:t>
            </w:r>
            <w:r w:rsidRPr="00921FE2">
              <w:rPr>
                <w:rFonts w:ascii="Aptos Narrow" w:hAnsi="Aptos Narrow" w:cs="Times New Roman"/>
                <w:color w:val="000000"/>
                <w:lang w:eastAsia="fr-FR"/>
              </w:rPr>
              <w:t>télécom</w:t>
            </w:r>
          </w:p>
        </w:tc>
        <w:tc>
          <w:tcPr>
            <w:tcW w:w="585" w:type="pct"/>
            <w:tcBorders>
              <w:top w:val="single" w:sz="4" w:space="0" w:color="196B24"/>
              <w:left w:val="nil"/>
              <w:bottom w:val="nil"/>
              <w:right w:val="single" w:sz="4" w:space="0" w:color="196B24"/>
            </w:tcBorders>
            <w:noWrap/>
            <w:vAlign w:val="bottom"/>
            <w:hideMark/>
          </w:tcPr>
          <w:p w14:paraId="74A3C00F" w14:textId="77777777" w:rsidR="00BE7A2D" w:rsidRPr="00AC2556" w:rsidRDefault="00BE7A2D" w:rsidP="005A7661">
            <w:pPr>
              <w:spacing w:after="0"/>
              <w:jc w:val="center"/>
              <w:rPr>
                <w:rFonts w:ascii="Aptos Narrow" w:hAnsi="Aptos Narrow" w:cs="Times New Roman"/>
                <w:color w:val="000000"/>
                <w:lang w:eastAsia="fr-FR"/>
              </w:rPr>
            </w:pPr>
            <w:r w:rsidRPr="00AC2556">
              <w:rPr>
                <w:rFonts w:ascii="Aptos Narrow" w:hAnsi="Aptos Narrow" w:cs="Times New Roman"/>
                <w:color w:val="000000"/>
                <w:lang w:eastAsia="fr-FR"/>
              </w:rPr>
              <w:t>10-30m</w:t>
            </w:r>
          </w:p>
        </w:tc>
      </w:tr>
      <w:tr w:rsidR="00BE7A2D" w:rsidRPr="00AC2556" w14:paraId="1C2F4C82" w14:textId="77777777" w:rsidTr="005A7661">
        <w:trPr>
          <w:trHeight w:val="288"/>
        </w:trPr>
        <w:tc>
          <w:tcPr>
            <w:tcW w:w="159" w:type="pct"/>
            <w:tcBorders>
              <w:top w:val="single" w:sz="4" w:space="0" w:color="196B24"/>
              <w:left w:val="single" w:sz="4" w:space="0" w:color="196B24"/>
              <w:bottom w:val="nil"/>
              <w:right w:val="nil"/>
            </w:tcBorders>
            <w:noWrap/>
            <w:vAlign w:val="bottom"/>
            <w:hideMark/>
          </w:tcPr>
          <w:p w14:paraId="6892C712" w14:textId="77777777" w:rsidR="00BE7A2D" w:rsidRPr="00AC2556" w:rsidRDefault="00BE7A2D" w:rsidP="005A7661">
            <w:pPr>
              <w:spacing w:after="0"/>
              <w:jc w:val="center"/>
              <w:rPr>
                <w:rFonts w:ascii="Aptos Narrow" w:hAnsi="Aptos Narrow" w:cs="Times New Roman"/>
                <w:color w:val="000000"/>
                <w:lang w:eastAsia="fr-FR"/>
              </w:rPr>
            </w:pPr>
            <w:r w:rsidRPr="00AC2556">
              <w:rPr>
                <w:rFonts w:ascii="Aptos Narrow" w:hAnsi="Aptos Narrow" w:cs="Times New Roman"/>
                <w:color w:val="000000"/>
                <w:lang w:eastAsia="fr-FR"/>
              </w:rPr>
              <w:t>19</w:t>
            </w:r>
          </w:p>
        </w:tc>
        <w:tc>
          <w:tcPr>
            <w:tcW w:w="1062" w:type="pct"/>
            <w:tcBorders>
              <w:top w:val="single" w:sz="4" w:space="0" w:color="196B24"/>
              <w:left w:val="nil"/>
              <w:bottom w:val="nil"/>
              <w:right w:val="nil"/>
            </w:tcBorders>
            <w:noWrap/>
            <w:vAlign w:val="bottom"/>
            <w:hideMark/>
          </w:tcPr>
          <w:p w14:paraId="61EBEC95" w14:textId="77777777" w:rsidR="00BE7A2D" w:rsidRPr="00AC2556" w:rsidRDefault="00BE7A2D" w:rsidP="005A7661">
            <w:pPr>
              <w:spacing w:after="0"/>
              <w:jc w:val="center"/>
              <w:rPr>
                <w:rFonts w:ascii="Aptos Narrow" w:hAnsi="Aptos Narrow" w:cs="Times New Roman"/>
                <w:color w:val="000000"/>
                <w:lang w:eastAsia="fr-FR"/>
              </w:rPr>
            </w:pPr>
            <w:r w:rsidRPr="00AC2556">
              <w:rPr>
                <w:rFonts w:ascii="Aptos Narrow" w:hAnsi="Aptos Narrow" w:cs="Times New Roman"/>
                <w:color w:val="000000"/>
                <w:lang w:eastAsia="fr-FR"/>
              </w:rPr>
              <w:t>31° 40' 51.861''</w:t>
            </w:r>
          </w:p>
        </w:tc>
        <w:tc>
          <w:tcPr>
            <w:tcW w:w="1149" w:type="pct"/>
            <w:tcBorders>
              <w:top w:val="single" w:sz="4" w:space="0" w:color="196B24"/>
              <w:left w:val="nil"/>
              <w:bottom w:val="nil"/>
              <w:right w:val="nil"/>
            </w:tcBorders>
            <w:noWrap/>
            <w:vAlign w:val="bottom"/>
            <w:hideMark/>
          </w:tcPr>
          <w:p w14:paraId="32DFF150" w14:textId="77777777" w:rsidR="00BE7A2D" w:rsidRPr="00AC2556" w:rsidRDefault="00BE7A2D" w:rsidP="005A7661">
            <w:pPr>
              <w:spacing w:after="0"/>
              <w:jc w:val="center"/>
              <w:rPr>
                <w:rFonts w:ascii="Aptos Narrow" w:hAnsi="Aptos Narrow" w:cs="Times New Roman"/>
                <w:color w:val="000000"/>
                <w:lang w:eastAsia="fr-FR"/>
              </w:rPr>
            </w:pPr>
            <w:r w:rsidRPr="00AC2556">
              <w:rPr>
                <w:rFonts w:ascii="Aptos Narrow" w:hAnsi="Aptos Narrow" w:cs="Times New Roman"/>
                <w:color w:val="000000"/>
                <w:lang w:eastAsia="fr-FR"/>
              </w:rPr>
              <w:t>8° 2' 58.125''</w:t>
            </w:r>
          </w:p>
        </w:tc>
        <w:tc>
          <w:tcPr>
            <w:tcW w:w="943" w:type="pct"/>
            <w:tcBorders>
              <w:top w:val="single" w:sz="4" w:space="0" w:color="196B24"/>
              <w:left w:val="nil"/>
              <w:bottom w:val="nil"/>
              <w:right w:val="nil"/>
            </w:tcBorders>
            <w:noWrap/>
            <w:vAlign w:val="bottom"/>
            <w:hideMark/>
          </w:tcPr>
          <w:p w14:paraId="54395417" w14:textId="77777777" w:rsidR="00BE7A2D" w:rsidRPr="00AC2556" w:rsidRDefault="00BE7A2D" w:rsidP="005A7661">
            <w:pPr>
              <w:spacing w:after="0"/>
              <w:jc w:val="left"/>
              <w:rPr>
                <w:rFonts w:ascii="Aptos Narrow" w:hAnsi="Aptos Narrow" w:cs="Times New Roman"/>
                <w:i/>
                <w:iCs/>
                <w:color w:val="000000"/>
                <w:lang w:eastAsia="fr-FR"/>
              </w:rPr>
            </w:pPr>
            <w:r w:rsidRPr="00AC2556">
              <w:rPr>
                <w:rFonts w:ascii="Aptos Narrow" w:hAnsi="Aptos Narrow" w:cs="Times New Roman"/>
                <w:i/>
                <w:iCs/>
                <w:color w:val="000000"/>
                <w:lang w:eastAsia="fr-FR"/>
              </w:rPr>
              <w:t>Ciconia ciconia</w:t>
            </w:r>
          </w:p>
        </w:tc>
        <w:tc>
          <w:tcPr>
            <w:tcW w:w="288" w:type="pct"/>
            <w:tcBorders>
              <w:top w:val="single" w:sz="4" w:space="0" w:color="196B24"/>
              <w:left w:val="nil"/>
              <w:bottom w:val="nil"/>
              <w:right w:val="nil"/>
            </w:tcBorders>
            <w:noWrap/>
            <w:vAlign w:val="bottom"/>
            <w:hideMark/>
          </w:tcPr>
          <w:p w14:paraId="365BE1E1" w14:textId="77777777" w:rsidR="00BE7A2D" w:rsidRPr="00AC2556" w:rsidRDefault="00BE7A2D" w:rsidP="005A7661">
            <w:pPr>
              <w:spacing w:after="0"/>
              <w:jc w:val="center"/>
              <w:rPr>
                <w:rFonts w:ascii="Aptos Narrow" w:hAnsi="Aptos Narrow" w:cs="Times New Roman"/>
                <w:color w:val="000000"/>
                <w:lang w:eastAsia="fr-FR"/>
              </w:rPr>
            </w:pPr>
            <w:r w:rsidRPr="00AC2556">
              <w:rPr>
                <w:rFonts w:ascii="Aptos Narrow" w:hAnsi="Aptos Narrow" w:cs="Times New Roman"/>
                <w:color w:val="000000"/>
                <w:lang w:eastAsia="fr-FR"/>
              </w:rPr>
              <w:t>2</w:t>
            </w:r>
          </w:p>
        </w:tc>
        <w:tc>
          <w:tcPr>
            <w:tcW w:w="813" w:type="pct"/>
            <w:tcBorders>
              <w:top w:val="single" w:sz="4" w:space="0" w:color="196B24"/>
              <w:left w:val="nil"/>
              <w:bottom w:val="nil"/>
              <w:right w:val="nil"/>
            </w:tcBorders>
            <w:noWrap/>
            <w:hideMark/>
          </w:tcPr>
          <w:p w14:paraId="7DF54150" w14:textId="77777777" w:rsidR="00BE7A2D" w:rsidRPr="00AC2556" w:rsidRDefault="00BE7A2D" w:rsidP="005A7661">
            <w:pPr>
              <w:spacing w:after="0"/>
              <w:jc w:val="left"/>
              <w:rPr>
                <w:rFonts w:ascii="Aptos Narrow" w:hAnsi="Aptos Narrow" w:cs="Times New Roman"/>
                <w:color w:val="000000"/>
                <w:lang w:eastAsia="fr-FR"/>
              </w:rPr>
            </w:pPr>
            <w:r w:rsidRPr="00921FE2">
              <w:rPr>
                <w:rFonts w:ascii="Aptos Narrow" w:hAnsi="Aptos Narrow" w:cs="Times New Roman"/>
                <w:color w:val="000000"/>
                <w:lang w:eastAsia="fr-FR"/>
              </w:rPr>
              <w:t>Pylône</w:t>
            </w:r>
            <w:r w:rsidRPr="00AC2556">
              <w:rPr>
                <w:rFonts w:ascii="Aptos Narrow" w:hAnsi="Aptos Narrow" w:cs="Times New Roman"/>
                <w:color w:val="000000"/>
                <w:lang w:eastAsia="fr-FR"/>
              </w:rPr>
              <w:t xml:space="preserve"> réseau </w:t>
            </w:r>
            <w:r w:rsidRPr="00921FE2">
              <w:rPr>
                <w:rFonts w:ascii="Aptos Narrow" w:hAnsi="Aptos Narrow" w:cs="Times New Roman"/>
                <w:color w:val="000000"/>
                <w:lang w:eastAsia="fr-FR"/>
              </w:rPr>
              <w:t>télécom</w:t>
            </w:r>
          </w:p>
        </w:tc>
        <w:tc>
          <w:tcPr>
            <w:tcW w:w="585" w:type="pct"/>
            <w:tcBorders>
              <w:top w:val="single" w:sz="4" w:space="0" w:color="196B24"/>
              <w:left w:val="nil"/>
              <w:bottom w:val="nil"/>
              <w:right w:val="single" w:sz="4" w:space="0" w:color="196B24"/>
            </w:tcBorders>
            <w:noWrap/>
            <w:vAlign w:val="bottom"/>
            <w:hideMark/>
          </w:tcPr>
          <w:p w14:paraId="44D78C54" w14:textId="77777777" w:rsidR="00BE7A2D" w:rsidRPr="00AC2556" w:rsidRDefault="00BE7A2D" w:rsidP="005A7661">
            <w:pPr>
              <w:spacing w:after="0"/>
              <w:jc w:val="center"/>
              <w:rPr>
                <w:rFonts w:ascii="Aptos Narrow" w:hAnsi="Aptos Narrow" w:cs="Times New Roman"/>
                <w:color w:val="000000"/>
                <w:lang w:eastAsia="fr-FR"/>
              </w:rPr>
            </w:pPr>
            <w:r w:rsidRPr="00AC2556">
              <w:rPr>
                <w:rFonts w:ascii="Aptos Narrow" w:hAnsi="Aptos Narrow" w:cs="Times New Roman"/>
                <w:color w:val="000000"/>
                <w:lang w:eastAsia="fr-FR"/>
              </w:rPr>
              <w:t>10-30m</w:t>
            </w:r>
          </w:p>
        </w:tc>
      </w:tr>
      <w:tr w:rsidR="00BE7A2D" w:rsidRPr="00AC2556" w14:paraId="3B61DFC5" w14:textId="77777777" w:rsidTr="005A7661">
        <w:trPr>
          <w:trHeight w:val="288"/>
        </w:trPr>
        <w:tc>
          <w:tcPr>
            <w:tcW w:w="159" w:type="pct"/>
            <w:tcBorders>
              <w:top w:val="single" w:sz="4" w:space="0" w:color="196B24"/>
              <w:left w:val="single" w:sz="4" w:space="0" w:color="196B24"/>
              <w:bottom w:val="nil"/>
              <w:right w:val="nil"/>
            </w:tcBorders>
            <w:noWrap/>
            <w:vAlign w:val="bottom"/>
            <w:hideMark/>
          </w:tcPr>
          <w:p w14:paraId="5D96D078" w14:textId="77777777" w:rsidR="00BE7A2D" w:rsidRPr="00AC2556" w:rsidRDefault="00BE7A2D" w:rsidP="005A7661">
            <w:pPr>
              <w:spacing w:after="0"/>
              <w:jc w:val="center"/>
              <w:rPr>
                <w:rFonts w:ascii="Aptos Narrow" w:hAnsi="Aptos Narrow" w:cs="Times New Roman"/>
                <w:color w:val="000000"/>
                <w:lang w:eastAsia="fr-FR"/>
              </w:rPr>
            </w:pPr>
            <w:r w:rsidRPr="00AC2556">
              <w:rPr>
                <w:rFonts w:ascii="Aptos Narrow" w:hAnsi="Aptos Narrow" w:cs="Times New Roman"/>
                <w:color w:val="000000"/>
                <w:lang w:eastAsia="fr-FR"/>
              </w:rPr>
              <w:t>20</w:t>
            </w:r>
          </w:p>
        </w:tc>
        <w:tc>
          <w:tcPr>
            <w:tcW w:w="1062" w:type="pct"/>
            <w:tcBorders>
              <w:top w:val="single" w:sz="4" w:space="0" w:color="196B24"/>
              <w:left w:val="nil"/>
              <w:bottom w:val="nil"/>
              <w:right w:val="nil"/>
            </w:tcBorders>
            <w:noWrap/>
            <w:vAlign w:val="bottom"/>
            <w:hideMark/>
          </w:tcPr>
          <w:p w14:paraId="7DC8831A" w14:textId="77777777" w:rsidR="00BE7A2D" w:rsidRPr="00AC2556" w:rsidRDefault="00BE7A2D" w:rsidP="005A7661">
            <w:pPr>
              <w:spacing w:after="0"/>
              <w:jc w:val="center"/>
              <w:rPr>
                <w:rFonts w:ascii="Aptos Narrow" w:hAnsi="Aptos Narrow" w:cs="Times New Roman"/>
                <w:color w:val="000000"/>
                <w:lang w:eastAsia="fr-FR"/>
              </w:rPr>
            </w:pPr>
            <w:r w:rsidRPr="00AC2556">
              <w:rPr>
                <w:rFonts w:ascii="Aptos Narrow" w:hAnsi="Aptos Narrow" w:cs="Times New Roman"/>
                <w:color w:val="000000"/>
                <w:lang w:eastAsia="fr-FR"/>
              </w:rPr>
              <w:t>31° 41' 12.355'</w:t>
            </w:r>
          </w:p>
        </w:tc>
        <w:tc>
          <w:tcPr>
            <w:tcW w:w="1149" w:type="pct"/>
            <w:tcBorders>
              <w:top w:val="single" w:sz="4" w:space="0" w:color="196B24"/>
              <w:left w:val="nil"/>
              <w:bottom w:val="nil"/>
              <w:right w:val="nil"/>
            </w:tcBorders>
            <w:noWrap/>
            <w:vAlign w:val="bottom"/>
            <w:hideMark/>
          </w:tcPr>
          <w:p w14:paraId="105A71C9" w14:textId="77777777" w:rsidR="00BE7A2D" w:rsidRPr="00AC2556" w:rsidRDefault="00BE7A2D" w:rsidP="005A7661">
            <w:pPr>
              <w:spacing w:after="0"/>
              <w:jc w:val="center"/>
              <w:rPr>
                <w:rFonts w:ascii="Aptos Narrow" w:hAnsi="Aptos Narrow" w:cs="Times New Roman"/>
                <w:color w:val="000000"/>
                <w:lang w:eastAsia="fr-FR"/>
              </w:rPr>
            </w:pPr>
            <w:r w:rsidRPr="00AC2556">
              <w:rPr>
                <w:rFonts w:ascii="Aptos Narrow" w:hAnsi="Aptos Narrow" w:cs="Times New Roman"/>
                <w:color w:val="000000"/>
                <w:lang w:eastAsia="fr-FR"/>
              </w:rPr>
              <w:t>8° 3' 9.37''</w:t>
            </w:r>
          </w:p>
        </w:tc>
        <w:tc>
          <w:tcPr>
            <w:tcW w:w="943" w:type="pct"/>
            <w:tcBorders>
              <w:top w:val="single" w:sz="4" w:space="0" w:color="196B24"/>
              <w:left w:val="nil"/>
              <w:bottom w:val="nil"/>
              <w:right w:val="nil"/>
            </w:tcBorders>
            <w:noWrap/>
            <w:vAlign w:val="bottom"/>
            <w:hideMark/>
          </w:tcPr>
          <w:p w14:paraId="78CBF0E0" w14:textId="77777777" w:rsidR="00BE7A2D" w:rsidRPr="00AC2556" w:rsidRDefault="00BE7A2D" w:rsidP="005A7661">
            <w:pPr>
              <w:spacing w:after="0"/>
              <w:jc w:val="left"/>
              <w:rPr>
                <w:rFonts w:ascii="Aptos Narrow" w:hAnsi="Aptos Narrow" w:cs="Times New Roman"/>
                <w:i/>
                <w:iCs/>
                <w:color w:val="000000"/>
                <w:lang w:eastAsia="fr-FR"/>
              </w:rPr>
            </w:pPr>
            <w:r w:rsidRPr="00AC2556">
              <w:rPr>
                <w:rFonts w:ascii="Aptos Narrow" w:hAnsi="Aptos Narrow" w:cs="Times New Roman"/>
                <w:i/>
                <w:iCs/>
                <w:color w:val="000000"/>
                <w:lang w:eastAsia="fr-FR"/>
              </w:rPr>
              <w:t>Ciconia ciconia</w:t>
            </w:r>
          </w:p>
        </w:tc>
        <w:tc>
          <w:tcPr>
            <w:tcW w:w="288" w:type="pct"/>
            <w:tcBorders>
              <w:top w:val="single" w:sz="4" w:space="0" w:color="196B24"/>
              <w:left w:val="nil"/>
              <w:bottom w:val="nil"/>
              <w:right w:val="nil"/>
            </w:tcBorders>
            <w:noWrap/>
            <w:vAlign w:val="bottom"/>
            <w:hideMark/>
          </w:tcPr>
          <w:p w14:paraId="42E4BECE" w14:textId="77777777" w:rsidR="00BE7A2D" w:rsidRPr="00AC2556" w:rsidRDefault="00BE7A2D" w:rsidP="005A7661">
            <w:pPr>
              <w:spacing w:after="0"/>
              <w:jc w:val="center"/>
              <w:rPr>
                <w:rFonts w:ascii="Aptos Narrow" w:hAnsi="Aptos Narrow" w:cs="Times New Roman"/>
                <w:color w:val="000000"/>
                <w:lang w:eastAsia="fr-FR"/>
              </w:rPr>
            </w:pPr>
            <w:r w:rsidRPr="00AC2556">
              <w:rPr>
                <w:rFonts w:ascii="Aptos Narrow" w:hAnsi="Aptos Narrow" w:cs="Times New Roman"/>
                <w:color w:val="000000"/>
                <w:lang w:eastAsia="fr-FR"/>
              </w:rPr>
              <w:t>1</w:t>
            </w:r>
          </w:p>
        </w:tc>
        <w:tc>
          <w:tcPr>
            <w:tcW w:w="813" w:type="pct"/>
            <w:tcBorders>
              <w:top w:val="single" w:sz="4" w:space="0" w:color="196B24"/>
              <w:left w:val="nil"/>
              <w:bottom w:val="nil"/>
              <w:right w:val="nil"/>
            </w:tcBorders>
            <w:noWrap/>
            <w:hideMark/>
          </w:tcPr>
          <w:p w14:paraId="5C78C15F" w14:textId="77777777" w:rsidR="00BE7A2D" w:rsidRPr="00AC2556" w:rsidRDefault="00BE7A2D" w:rsidP="005A7661">
            <w:pPr>
              <w:spacing w:after="0"/>
              <w:jc w:val="left"/>
              <w:rPr>
                <w:rFonts w:ascii="Aptos Narrow" w:hAnsi="Aptos Narrow" w:cs="Times New Roman"/>
                <w:color w:val="000000"/>
                <w:lang w:eastAsia="fr-FR"/>
              </w:rPr>
            </w:pPr>
            <w:r w:rsidRPr="00921FE2">
              <w:rPr>
                <w:rFonts w:ascii="Aptos Narrow" w:hAnsi="Aptos Narrow" w:cs="Times New Roman"/>
                <w:color w:val="000000"/>
                <w:lang w:eastAsia="fr-FR"/>
              </w:rPr>
              <w:t>Pylône</w:t>
            </w:r>
            <w:r w:rsidRPr="00AC2556">
              <w:rPr>
                <w:rFonts w:ascii="Aptos Narrow" w:hAnsi="Aptos Narrow" w:cs="Times New Roman"/>
                <w:color w:val="000000"/>
                <w:lang w:eastAsia="fr-FR"/>
              </w:rPr>
              <w:t xml:space="preserve"> réseau </w:t>
            </w:r>
            <w:r w:rsidRPr="00921FE2">
              <w:rPr>
                <w:rFonts w:ascii="Aptos Narrow" w:hAnsi="Aptos Narrow" w:cs="Times New Roman"/>
                <w:color w:val="000000"/>
                <w:lang w:eastAsia="fr-FR"/>
              </w:rPr>
              <w:t>télécom</w:t>
            </w:r>
          </w:p>
        </w:tc>
        <w:tc>
          <w:tcPr>
            <w:tcW w:w="585" w:type="pct"/>
            <w:tcBorders>
              <w:top w:val="single" w:sz="4" w:space="0" w:color="196B24"/>
              <w:left w:val="nil"/>
              <w:bottom w:val="nil"/>
              <w:right w:val="single" w:sz="4" w:space="0" w:color="196B24"/>
            </w:tcBorders>
            <w:noWrap/>
            <w:vAlign w:val="bottom"/>
            <w:hideMark/>
          </w:tcPr>
          <w:p w14:paraId="1F9F3FDE" w14:textId="77777777" w:rsidR="00BE7A2D" w:rsidRPr="00AC2556" w:rsidRDefault="00BE7A2D" w:rsidP="005A7661">
            <w:pPr>
              <w:spacing w:after="0"/>
              <w:jc w:val="center"/>
              <w:rPr>
                <w:rFonts w:ascii="Aptos Narrow" w:hAnsi="Aptos Narrow" w:cs="Times New Roman"/>
                <w:color w:val="000000"/>
                <w:lang w:eastAsia="fr-FR"/>
              </w:rPr>
            </w:pPr>
            <w:r w:rsidRPr="00AC2556">
              <w:rPr>
                <w:rFonts w:ascii="Aptos Narrow" w:hAnsi="Aptos Narrow" w:cs="Times New Roman"/>
                <w:color w:val="000000"/>
                <w:lang w:eastAsia="fr-FR"/>
              </w:rPr>
              <w:t>10-30m</w:t>
            </w:r>
          </w:p>
        </w:tc>
      </w:tr>
      <w:tr w:rsidR="00BE7A2D" w:rsidRPr="00AC2556" w14:paraId="4C183B04" w14:textId="77777777" w:rsidTr="005A7661">
        <w:trPr>
          <w:trHeight w:val="288"/>
        </w:trPr>
        <w:tc>
          <w:tcPr>
            <w:tcW w:w="159" w:type="pct"/>
            <w:tcBorders>
              <w:top w:val="single" w:sz="4" w:space="0" w:color="196B24"/>
              <w:left w:val="single" w:sz="4" w:space="0" w:color="196B24"/>
              <w:bottom w:val="nil"/>
              <w:right w:val="nil"/>
            </w:tcBorders>
            <w:noWrap/>
            <w:vAlign w:val="bottom"/>
            <w:hideMark/>
          </w:tcPr>
          <w:p w14:paraId="34D26448" w14:textId="77777777" w:rsidR="00BE7A2D" w:rsidRPr="00AC2556" w:rsidRDefault="00BE7A2D" w:rsidP="005A7661">
            <w:pPr>
              <w:spacing w:after="0"/>
              <w:jc w:val="center"/>
              <w:rPr>
                <w:rFonts w:ascii="Aptos Narrow" w:hAnsi="Aptos Narrow" w:cs="Times New Roman"/>
                <w:color w:val="000000"/>
                <w:lang w:eastAsia="fr-FR"/>
              </w:rPr>
            </w:pPr>
            <w:r w:rsidRPr="00AC2556">
              <w:rPr>
                <w:rFonts w:ascii="Aptos Narrow" w:hAnsi="Aptos Narrow" w:cs="Times New Roman"/>
                <w:color w:val="000000"/>
                <w:lang w:eastAsia="fr-FR"/>
              </w:rPr>
              <w:t>21</w:t>
            </w:r>
          </w:p>
        </w:tc>
        <w:tc>
          <w:tcPr>
            <w:tcW w:w="1062" w:type="pct"/>
            <w:tcBorders>
              <w:top w:val="single" w:sz="4" w:space="0" w:color="196B24"/>
              <w:left w:val="nil"/>
              <w:bottom w:val="nil"/>
              <w:right w:val="nil"/>
            </w:tcBorders>
            <w:noWrap/>
            <w:vAlign w:val="bottom"/>
            <w:hideMark/>
          </w:tcPr>
          <w:p w14:paraId="065DDE39" w14:textId="77777777" w:rsidR="00BE7A2D" w:rsidRPr="00AC2556" w:rsidRDefault="00BE7A2D" w:rsidP="005A7661">
            <w:pPr>
              <w:spacing w:after="0"/>
              <w:jc w:val="center"/>
              <w:rPr>
                <w:rFonts w:ascii="Aptos Narrow" w:hAnsi="Aptos Narrow" w:cs="Times New Roman"/>
                <w:color w:val="000000"/>
                <w:lang w:eastAsia="fr-FR"/>
              </w:rPr>
            </w:pPr>
            <w:r w:rsidRPr="00AC2556">
              <w:rPr>
                <w:rFonts w:ascii="Aptos Narrow" w:hAnsi="Aptos Narrow" w:cs="Times New Roman"/>
                <w:color w:val="000000"/>
                <w:lang w:eastAsia="fr-FR"/>
              </w:rPr>
              <w:t>31° 41' 12.355'</w:t>
            </w:r>
          </w:p>
        </w:tc>
        <w:tc>
          <w:tcPr>
            <w:tcW w:w="1149" w:type="pct"/>
            <w:tcBorders>
              <w:top w:val="single" w:sz="4" w:space="0" w:color="196B24"/>
              <w:left w:val="nil"/>
              <w:bottom w:val="nil"/>
              <w:right w:val="nil"/>
            </w:tcBorders>
            <w:noWrap/>
            <w:vAlign w:val="bottom"/>
            <w:hideMark/>
          </w:tcPr>
          <w:p w14:paraId="5A22EFCC" w14:textId="77777777" w:rsidR="00BE7A2D" w:rsidRPr="00AC2556" w:rsidRDefault="00BE7A2D" w:rsidP="005A7661">
            <w:pPr>
              <w:spacing w:after="0"/>
              <w:jc w:val="center"/>
              <w:rPr>
                <w:rFonts w:ascii="Aptos Narrow" w:hAnsi="Aptos Narrow" w:cs="Times New Roman"/>
                <w:color w:val="000000"/>
                <w:lang w:eastAsia="fr-FR"/>
              </w:rPr>
            </w:pPr>
            <w:r w:rsidRPr="00AC2556">
              <w:rPr>
                <w:rFonts w:ascii="Aptos Narrow" w:hAnsi="Aptos Narrow" w:cs="Times New Roman"/>
                <w:color w:val="000000"/>
                <w:lang w:eastAsia="fr-FR"/>
              </w:rPr>
              <w:t>8° 3' 9.37''</w:t>
            </w:r>
          </w:p>
        </w:tc>
        <w:tc>
          <w:tcPr>
            <w:tcW w:w="943" w:type="pct"/>
            <w:tcBorders>
              <w:top w:val="single" w:sz="4" w:space="0" w:color="196B24"/>
              <w:left w:val="nil"/>
              <w:bottom w:val="nil"/>
              <w:right w:val="nil"/>
            </w:tcBorders>
            <w:noWrap/>
            <w:vAlign w:val="bottom"/>
            <w:hideMark/>
          </w:tcPr>
          <w:p w14:paraId="09563CB4" w14:textId="77777777" w:rsidR="00BE7A2D" w:rsidRPr="00AC2556" w:rsidRDefault="00BE7A2D" w:rsidP="005A7661">
            <w:pPr>
              <w:spacing w:after="0"/>
              <w:jc w:val="left"/>
              <w:rPr>
                <w:rFonts w:ascii="Aptos Narrow" w:hAnsi="Aptos Narrow" w:cs="Times New Roman"/>
                <w:i/>
                <w:iCs/>
                <w:color w:val="000000"/>
                <w:lang w:eastAsia="fr-FR"/>
              </w:rPr>
            </w:pPr>
            <w:r w:rsidRPr="00AC2556">
              <w:rPr>
                <w:rFonts w:ascii="Aptos Narrow" w:hAnsi="Aptos Narrow" w:cs="Times New Roman"/>
                <w:i/>
                <w:iCs/>
                <w:color w:val="000000"/>
                <w:lang w:eastAsia="fr-FR"/>
              </w:rPr>
              <w:t>Ciconia ciconia</w:t>
            </w:r>
          </w:p>
        </w:tc>
        <w:tc>
          <w:tcPr>
            <w:tcW w:w="288" w:type="pct"/>
            <w:tcBorders>
              <w:top w:val="single" w:sz="4" w:space="0" w:color="196B24"/>
              <w:left w:val="nil"/>
              <w:bottom w:val="nil"/>
              <w:right w:val="nil"/>
            </w:tcBorders>
            <w:noWrap/>
            <w:vAlign w:val="bottom"/>
            <w:hideMark/>
          </w:tcPr>
          <w:p w14:paraId="4C6385D4" w14:textId="77777777" w:rsidR="00BE7A2D" w:rsidRPr="00AC2556" w:rsidRDefault="00BE7A2D" w:rsidP="005A7661">
            <w:pPr>
              <w:spacing w:after="0"/>
              <w:jc w:val="center"/>
              <w:rPr>
                <w:rFonts w:ascii="Aptos Narrow" w:hAnsi="Aptos Narrow" w:cs="Times New Roman"/>
                <w:color w:val="000000"/>
                <w:lang w:eastAsia="fr-FR"/>
              </w:rPr>
            </w:pPr>
            <w:r w:rsidRPr="00AC2556">
              <w:rPr>
                <w:rFonts w:ascii="Aptos Narrow" w:hAnsi="Aptos Narrow" w:cs="Times New Roman"/>
                <w:color w:val="000000"/>
                <w:lang w:eastAsia="fr-FR"/>
              </w:rPr>
              <w:t>6</w:t>
            </w:r>
          </w:p>
        </w:tc>
        <w:tc>
          <w:tcPr>
            <w:tcW w:w="813" w:type="pct"/>
            <w:tcBorders>
              <w:top w:val="single" w:sz="4" w:space="0" w:color="196B24"/>
              <w:left w:val="nil"/>
              <w:bottom w:val="nil"/>
              <w:right w:val="nil"/>
            </w:tcBorders>
            <w:noWrap/>
            <w:hideMark/>
          </w:tcPr>
          <w:p w14:paraId="2111F7F3" w14:textId="77777777" w:rsidR="00BE7A2D" w:rsidRPr="00AC2556" w:rsidRDefault="00BE7A2D" w:rsidP="005A7661">
            <w:pPr>
              <w:spacing w:after="0"/>
              <w:jc w:val="left"/>
              <w:rPr>
                <w:rFonts w:ascii="Aptos Narrow" w:hAnsi="Aptos Narrow" w:cs="Times New Roman"/>
                <w:color w:val="000000"/>
                <w:lang w:eastAsia="fr-FR"/>
              </w:rPr>
            </w:pPr>
            <w:r w:rsidRPr="00921FE2">
              <w:rPr>
                <w:rFonts w:ascii="Aptos Narrow" w:hAnsi="Aptos Narrow" w:cs="Times New Roman"/>
                <w:color w:val="000000"/>
                <w:lang w:eastAsia="fr-FR"/>
              </w:rPr>
              <w:t>Pylône</w:t>
            </w:r>
            <w:r w:rsidRPr="00AC2556">
              <w:rPr>
                <w:rFonts w:ascii="Aptos Narrow" w:hAnsi="Aptos Narrow" w:cs="Times New Roman"/>
                <w:color w:val="000000"/>
                <w:lang w:eastAsia="fr-FR"/>
              </w:rPr>
              <w:t xml:space="preserve"> réseau </w:t>
            </w:r>
            <w:r w:rsidRPr="00921FE2">
              <w:rPr>
                <w:rFonts w:ascii="Aptos Narrow" w:hAnsi="Aptos Narrow" w:cs="Times New Roman"/>
                <w:color w:val="000000"/>
                <w:lang w:eastAsia="fr-FR"/>
              </w:rPr>
              <w:t>télécom</w:t>
            </w:r>
          </w:p>
        </w:tc>
        <w:tc>
          <w:tcPr>
            <w:tcW w:w="585" w:type="pct"/>
            <w:tcBorders>
              <w:top w:val="single" w:sz="4" w:space="0" w:color="196B24"/>
              <w:left w:val="nil"/>
              <w:bottom w:val="nil"/>
              <w:right w:val="single" w:sz="4" w:space="0" w:color="196B24"/>
            </w:tcBorders>
            <w:noWrap/>
            <w:vAlign w:val="bottom"/>
            <w:hideMark/>
          </w:tcPr>
          <w:p w14:paraId="4961E843" w14:textId="77777777" w:rsidR="00BE7A2D" w:rsidRPr="00AC2556" w:rsidRDefault="00BE7A2D" w:rsidP="005A7661">
            <w:pPr>
              <w:spacing w:after="0"/>
              <w:jc w:val="center"/>
              <w:rPr>
                <w:rFonts w:ascii="Aptos Narrow" w:hAnsi="Aptos Narrow" w:cs="Times New Roman"/>
                <w:color w:val="000000"/>
                <w:lang w:eastAsia="fr-FR"/>
              </w:rPr>
            </w:pPr>
            <w:r w:rsidRPr="00AC2556">
              <w:rPr>
                <w:rFonts w:ascii="Aptos Narrow" w:hAnsi="Aptos Narrow" w:cs="Times New Roman"/>
                <w:color w:val="000000"/>
                <w:lang w:eastAsia="fr-FR"/>
              </w:rPr>
              <w:t>10-30m</w:t>
            </w:r>
          </w:p>
        </w:tc>
      </w:tr>
      <w:tr w:rsidR="00BE7A2D" w:rsidRPr="00AC2556" w14:paraId="745D1952" w14:textId="77777777" w:rsidTr="005A7661">
        <w:trPr>
          <w:trHeight w:val="288"/>
        </w:trPr>
        <w:tc>
          <w:tcPr>
            <w:tcW w:w="159" w:type="pct"/>
            <w:tcBorders>
              <w:top w:val="single" w:sz="4" w:space="0" w:color="196B24"/>
              <w:left w:val="single" w:sz="4" w:space="0" w:color="196B24"/>
              <w:bottom w:val="nil"/>
              <w:right w:val="nil"/>
            </w:tcBorders>
            <w:noWrap/>
            <w:vAlign w:val="bottom"/>
            <w:hideMark/>
          </w:tcPr>
          <w:p w14:paraId="589CD8C6" w14:textId="77777777" w:rsidR="00BE7A2D" w:rsidRPr="00AC2556" w:rsidRDefault="00BE7A2D" w:rsidP="005A7661">
            <w:pPr>
              <w:spacing w:after="0"/>
              <w:jc w:val="center"/>
              <w:rPr>
                <w:rFonts w:ascii="Aptos Narrow" w:hAnsi="Aptos Narrow" w:cs="Times New Roman"/>
                <w:color w:val="000000"/>
                <w:lang w:eastAsia="fr-FR"/>
              </w:rPr>
            </w:pPr>
            <w:r w:rsidRPr="00AC2556">
              <w:rPr>
                <w:rFonts w:ascii="Aptos Narrow" w:hAnsi="Aptos Narrow" w:cs="Times New Roman"/>
                <w:color w:val="000000"/>
                <w:lang w:eastAsia="fr-FR"/>
              </w:rPr>
              <w:t>22</w:t>
            </w:r>
          </w:p>
        </w:tc>
        <w:tc>
          <w:tcPr>
            <w:tcW w:w="1062" w:type="pct"/>
            <w:tcBorders>
              <w:top w:val="single" w:sz="4" w:space="0" w:color="196B24"/>
              <w:left w:val="nil"/>
              <w:bottom w:val="nil"/>
              <w:right w:val="nil"/>
            </w:tcBorders>
            <w:noWrap/>
            <w:vAlign w:val="bottom"/>
            <w:hideMark/>
          </w:tcPr>
          <w:p w14:paraId="14351958" w14:textId="77777777" w:rsidR="00BE7A2D" w:rsidRPr="00AC2556" w:rsidRDefault="00BE7A2D" w:rsidP="005A7661">
            <w:pPr>
              <w:spacing w:after="0"/>
              <w:jc w:val="center"/>
              <w:rPr>
                <w:rFonts w:ascii="Aptos Narrow" w:hAnsi="Aptos Narrow" w:cs="Times New Roman"/>
                <w:color w:val="000000"/>
                <w:lang w:eastAsia="fr-FR"/>
              </w:rPr>
            </w:pPr>
            <w:r w:rsidRPr="00AC2556">
              <w:rPr>
                <w:rFonts w:ascii="Aptos Narrow" w:hAnsi="Aptos Narrow" w:cs="Times New Roman"/>
                <w:color w:val="000000"/>
                <w:lang w:eastAsia="fr-FR"/>
              </w:rPr>
              <w:t>31° 41' 31.066''</w:t>
            </w:r>
          </w:p>
        </w:tc>
        <w:tc>
          <w:tcPr>
            <w:tcW w:w="1149" w:type="pct"/>
            <w:tcBorders>
              <w:top w:val="single" w:sz="4" w:space="0" w:color="196B24"/>
              <w:left w:val="nil"/>
              <w:bottom w:val="nil"/>
              <w:right w:val="nil"/>
            </w:tcBorders>
            <w:noWrap/>
            <w:vAlign w:val="bottom"/>
            <w:hideMark/>
          </w:tcPr>
          <w:p w14:paraId="541A10A5" w14:textId="77777777" w:rsidR="00BE7A2D" w:rsidRPr="00AC2556" w:rsidRDefault="00BE7A2D" w:rsidP="005A7661">
            <w:pPr>
              <w:spacing w:after="0"/>
              <w:jc w:val="center"/>
              <w:rPr>
                <w:rFonts w:ascii="Aptos Narrow" w:hAnsi="Aptos Narrow" w:cs="Times New Roman"/>
                <w:color w:val="000000"/>
                <w:lang w:eastAsia="fr-FR"/>
              </w:rPr>
            </w:pPr>
            <w:r w:rsidRPr="00AC2556">
              <w:rPr>
                <w:rFonts w:ascii="Aptos Narrow" w:hAnsi="Aptos Narrow" w:cs="Times New Roman"/>
                <w:color w:val="000000"/>
                <w:lang w:eastAsia="fr-FR"/>
              </w:rPr>
              <w:t>8° 3' 34.871''</w:t>
            </w:r>
          </w:p>
        </w:tc>
        <w:tc>
          <w:tcPr>
            <w:tcW w:w="943" w:type="pct"/>
            <w:tcBorders>
              <w:top w:val="single" w:sz="4" w:space="0" w:color="196B24"/>
              <w:left w:val="nil"/>
              <w:bottom w:val="nil"/>
              <w:right w:val="nil"/>
            </w:tcBorders>
            <w:noWrap/>
            <w:vAlign w:val="bottom"/>
            <w:hideMark/>
          </w:tcPr>
          <w:p w14:paraId="06FD7551" w14:textId="77777777" w:rsidR="00BE7A2D" w:rsidRPr="00AC2556" w:rsidRDefault="00BE7A2D" w:rsidP="005A7661">
            <w:pPr>
              <w:spacing w:after="0"/>
              <w:jc w:val="left"/>
              <w:rPr>
                <w:rFonts w:ascii="Aptos Narrow" w:hAnsi="Aptos Narrow" w:cs="Times New Roman"/>
                <w:i/>
                <w:iCs/>
                <w:color w:val="000000"/>
                <w:lang w:eastAsia="fr-FR"/>
              </w:rPr>
            </w:pPr>
            <w:r w:rsidRPr="00AC2556">
              <w:rPr>
                <w:rFonts w:ascii="Aptos Narrow" w:hAnsi="Aptos Narrow" w:cs="Times New Roman"/>
                <w:i/>
                <w:iCs/>
                <w:color w:val="000000"/>
                <w:lang w:eastAsia="fr-FR"/>
              </w:rPr>
              <w:t>Ciconia ciconia</w:t>
            </w:r>
          </w:p>
        </w:tc>
        <w:tc>
          <w:tcPr>
            <w:tcW w:w="288" w:type="pct"/>
            <w:tcBorders>
              <w:top w:val="single" w:sz="4" w:space="0" w:color="196B24"/>
              <w:left w:val="nil"/>
              <w:bottom w:val="nil"/>
              <w:right w:val="nil"/>
            </w:tcBorders>
            <w:noWrap/>
            <w:vAlign w:val="bottom"/>
            <w:hideMark/>
          </w:tcPr>
          <w:p w14:paraId="448A6311" w14:textId="77777777" w:rsidR="00BE7A2D" w:rsidRPr="00AC2556" w:rsidRDefault="00BE7A2D" w:rsidP="005A7661">
            <w:pPr>
              <w:spacing w:after="0"/>
              <w:jc w:val="center"/>
              <w:rPr>
                <w:rFonts w:ascii="Aptos Narrow" w:hAnsi="Aptos Narrow" w:cs="Times New Roman"/>
                <w:color w:val="000000"/>
                <w:lang w:eastAsia="fr-FR"/>
              </w:rPr>
            </w:pPr>
            <w:r w:rsidRPr="00AC2556">
              <w:rPr>
                <w:rFonts w:ascii="Aptos Narrow" w:hAnsi="Aptos Narrow" w:cs="Times New Roman"/>
                <w:color w:val="000000"/>
                <w:lang w:eastAsia="fr-FR"/>
              </w:rPr>
              <w:t>4</w:t>
            </w:r>
          </w:p>
        </w:tc>
        <w:tc>
          <w:tcPr>
            <w:tcW w:w="813" w:type="pct"/>
            <w:tcBorders>
              <w:top w:val="single" w:sz="4" w:space="0" w:color="196B24"/>
              <w:left w:val="nil"/>
              <w:bottom w:val="nil"/>
              <w:right w:val="nil"/>
            </w:tcBorders>
            <w:noWrap/>
            <w:hideMark/>
          </w:tcPr>
          <w:p w14:paraId="0C075753" w14:textId="77777777" w:rsidR="00BE7A2D" w:rsidRPr="00AC2556" w:rsidRDefault="00BE7A2D" w:rsidP="005A7661">
            <w:pPr>
              <w:spacing w:after="0"/>
              <w:jc w:val="left"/>
              <w:rPr>
                <w:rFonts w:ascii="Aptos Narrow" w:hAnsi="Aptos Narrow" w:cs="Times New Roman"/>
                <w:color w:val="000000"/>
                <w:lang w:eastAsia="fr-FR"/>
              </w:rPr>
            </w:pPr>
            <w:r w:rsidRPr="00921FE2">
              <w:rPr>
                <w:rFonts w:ascii="Aptos Narrow" w:hAnsi="Aptos Narrow" w:cs="Times New Roman"/>
                <w:color w:val="000000"/>
                <w:lang w:eastAsia="fr-FR"/>
              </w:rPr>
              <w:t>Pylône</w:t>
            </w:r>
            <w:r w:rsidRPr="00AC2556">
              <w:rPr>
                <w:rFonts w:ascii="Aptos Narrow" w:hAnsi="Aptos Narrow" w:cs="Times New Roman"/>
                <w:color w:val="000000"/>
                <w:lang w:eastAsia="fr-FR"/>
              </w:rPr>
              <w:t xml:space="preserve"> réseau </w:t>
            </w:r>
            <w:r w:rsidRPr="00921FE2">
              <w:rPr>
                <w:rFonts w:ascii="Aptos Narrow" w:hAnsi="Aptos Narrow" w:cs="Times New Roman"/>
                <w:color w:val="000000"/>
                <w:lang w:eastAsia="fr-FR"/>
              </w:rPr>
              <w:t>télécom</w:t>
            </w:r>
          </w:p>
        </w:tc>
        <w:tc>
          <w:tcPr>
            <w:tcW w:w="585" w:type="pct"/>
            <w:tcBorders>
              <w:top w:val="single" w:sz="4" w:space="0" w:color="196B24"/>
              <w:left w:val="nil"/>
              <w:bottom w:val="nil"/>
              <w:right w:val="single" w:sz="4" w:space="0" w:color="196B24"/>
            </w:tcBorders>
            <w:noWrap/>
            <w:vAlign w:val="bottom"/>
            <w:hideMark/>
          </w:tcPr>
          <w:p w14:paraId="10ADBDF5" w14:textId="77777777" w:rsidR="00BE7A2D" w:rsidRPr="00AC2556" w:rsidRDefault="00BE7A2D" w:rsidP="005A7661">
            <w:pPr>
              <w:spacing w:after="0"/>
              <w:jc w:val="center"/>
              <w:rPr>
                <w:rFonts w:ascii="Aptos Narrow" w:hAnsi="Aptos Narrow" w:cs="Times New Roman"/>
                <w:color w:val="000000"/>
                <w:lang w:eastAsia="fr-FR"/>
              </w:rPr>
            </w:pPr>
            <w:r w:rsidRPr="00AC2556">
              <w:rPr>
                <w:rFonts w:ascii="Aptos Narrow" w:hAnsi="Aptos Narrow" w:cs="Times New Roman"/>
                <w:color w:val="000000"/>
                <w:lang w:eastAsia="fr-FR"/>
              </w:rPr>
              <w:t>10-30m</w:t>
            </w:r>
          </w:p>
        </w:tc>
      </w:tr>
      <w:tr w:rsidR="00BE7A2D" w:rsidRPr="00AC2556" w14:paraId="49595F9E" w14:textId="77777777" w:rsidTr="005A7661">
        <w:trPr>
          <w:trHeight w:val="288"/>
        </w:trPr>
        <w:tc>
          <w:tcPr>
            <w:tcW w:w="159" w:type="pct"/>
            <w:tcBorders>
              <w:top w:val="single" w:sz="4" w:space="0" w:color="196B24"/>
              <w:left w:val="single" w:sz="4" w:space="0" w:color="196B24"/>
              <w:bottom w:val="nil"/>
              <w:right w:val="nil"/>
            </w:tcBorders>
            <w:noWrap/>
            <w:vAlign w:val="bottom"/>
            <w:hideMark/>
          </w:tcPr>
          <w:p w14:paraId="32A15D45" w14:textId="77777777" w:rsidR="00BE7A2D" w:rsidRPr="00AC2556" w:rsidRDefault="00BE7A2D" w:rsidP="005A7661">
            <w:pPr>
              <w:spacing w:after="0"/>
              <w:jc w:val="center"/>
              <w:rPr>
                <w:rFonts w:ascii="Aptos Narrow" w:hAnsi="Aptos Narrow" w:cs="Times New Roman"/>
                <w:color w:val="000000"/>
                <w:lang w:eastAsia="fr-FR"/>
              </w:rPr>
            </w:pPr>
            <w:r w:rsidRPr="00AC2556">
              <w:rPr>
                <w:rFonts w:ascii="Aptos Narrow" w:hAnsi="Aptos Narrow" w:cs="Times New Roman"/>
                <w:color w:val="000000"/>
                <w:lang w:eastAsia="fr-FR"/>
              </w:rPr>
              <w:t>23</w:t>
            </w:r>
          </w:p>
        </w:tc>
        <w:tc>
          <w:tcPr>
            <w:tcW w:w="1062" w:type="pct"/>
            <w:tcBorders>
              <w:top w:val="single" w:sz="4" w:space="0" w:color="196B24"/>
              <w:left w:val="nil"/>
              <w:bottom w:val="nil"/>
              <w:right w:val="nil"/>
            </w:tcBorders>
            <w:noWrap/>
            <w:vAlign w:val="bottom"/>
            <w:hideMark/>
          </w:tcPr>
          <w:p w14:paraId="7383EAEB" w14:textId="77777777" w:rsidR="00BE7A2D" w:rsidRPr="00AC2556" w:rsidRDefault="00BE7A2D" w:rsidP="005A7661">
            <w:pPr>
              <w:spacing w:after="0"/>
              <w:jc w:val="center"/>
              <w:rPr>
                <w:rFonts w:ascii="Aptos Narrow" w:hAnsi="Aptos Narrow" w:cs="Times New Roman"/>
                <w:color w:val="000000"/>
                <w:lang w:eastAsia="fr-FR"/>
              </w:rPr>
            </w:pPr>
            <w:r w:rsidRPr="00AC2556">
              <w:rPr>
                <w:rFonts w:ascii="Aptos Narrow" w:hAnsi="Aptos Narrow" w:cs="Times New Roman"/>
                <w:color w:val="000000"/>
                <w:lang w:eastAsia="fr-FR"/>
              </w:rPr>
              <w:t>31° 41' 31.066''</w:t>
            </w:r>
          </w:p>
        </w:tc>
        <w:tc>
          <w:tcPr>
            <w:tcW w:w="1149" w:type="pct"/>
            <w:tcBorders>
              <w:top w:val="single" w:sz="4" w:space="0" w:color="196B24"/>
              <w:left w:val="nil"/>
              <w:bottom w:val="nil"/>
              <w:right w:val="nil"/>
            </w:tcBorders>
            <w:noWrap/>
            <w:vAlign w:val="bottom"/>
            <w:hideMark/>
          </w:tcPr>
          <w:p w14:paraId="26D824D2" w14:textId="77777777" w:rsidR="00BE7A2D" w:rsidRPr="00AC2556" w:rsidRDefault="00BE7A2D" w:rsidP="005A7661">
            <w:pPr>
              <w:spacing w:after="0"/>
              <w:jc w:val="center"/>
              <w:rPr>
                <w:rFonts w:ascii="Aptos Narrow" w:hAnsi="Aptos Narrow" w:cs="Times New Roman"/>
                <w:color w:val="000000"/>
                <w:lang w:eastAsia="fr-FR"/>
              </w:rPr>
            </w:pPr>
            <w:r w:rsidRPr="00AC2556">
              <w:rPr>
                <w:rFonts w:ascii="Aptos Narrow" w:hAnsi="Aptos Narrow" w:cs="Times New Roman"/>
                <w:color w:val="000000"/>
                <w:lang w:eastAsia="fr-FR"/>
              </w:rPr>
              <w:t>8° 3' 34.871''</w:t>
            </w:r>
          </w:p>
        </w:tc>
        <w:tc>
          <w:tcPr>
            <w:tcW w:w="943" w:type="pct"/>
            <w:tcBorders>
              <w:top w:val="single" w:sz="4" w:space="0" w:color="196B24"/>
              <w:left w:val="nil"/>
              <w:bottom w:val="nil"/>
              <w:right w:val="nil"/>
            </w:tcBorders>
            <w:noWrap/>
            <w:vAlign w:val="bottom"/>
            <w:hideMark/>
          </w:tcPr>
          <w:p w14:paraId="4D09520C" w14:textId="77777777" w:rsidR="00BE7A2D" w:rsidRPr="00AC2556" w:rsidRDefault="00BE7A2D" w:rsidP="005A7661">
            <w:pPr>
              <w:spacing w:after="0"/>
              <w:jc w:val="left"/>
              <w:rPr>
                <w:rFonts w:ascii="Aptos Narrow" w:hAnsi="Aptos Narrow" w:cs="Times New Roman"/>
                <w:i/>
                <w:iCs/>
                <w:color w:val="000000"/>
                <w:lang w:eastAsia="fr-FR"/>
              </w:rPr>
            </w:pPr>
            <w:r w:rsidRPr="00AC2556">
              <w:rPr>
                <w:rFonts w:ascii="Aptos Narrow" w:hAnsi="Aptos Narrow" w:cs="Times New Roman"/>
                <w:i/>
                <w:iCs/>
                <w:color w:val="000000"/>
                <w:lang w:eastAsia="fr-FR"/>
              </w:rPr>
              <w:t>Ciconia ciconia</w:t>
            </w:r>
          </w:p>
        </w:tc>
        <w:tc>
          <w:tcPr>
            <w:tcW w:w="288" w:type="pct"/>
            <w:tcBorders>
              <w:top w:val="single" w:sz="4" w:space="0" w:color="196B24"/>
              <w:left w:val="nil"/>
              <w:bottom w:val="nil"/>
              <w:right w:val="nil"/>
            </w:tcBorders>
            <w:noWrap/>
            <w:vAlign w:val="bottom"/>
            <w:hideMark/>
          </w:tcPr>
          <w:p w14:paraId="799D7451" w14:textId="77777777" w:rsidR="00BE7A2D" w:rsidRPr="00AC2556" w:rsidRDefault="00BE7A2D" w:rsidP="005A7661">
            <w:pPr>
              <w:spacing w:after="0"/>
              <w:jc w:val="center"/>
              <w:rPr>
                <w:rFonts w:ascii="Aptos Narrow" w:hAnsi="Aptos Narrow" w:cs="Times New Roman"/>
                <w:color w:val="000000"/>
                <w:lang w:eastAsia="fr-FR"/>
              </w:rPr>
            </w:pPr>
            <w:r w:rsidRPr="00AC2556">
              <w:rPr>
                <w:rFonts w:ascii="Aptos Narrow" w:hAnsi="Aptos Narrow" w:cs="Times New Roman"/>
                <w:color w:val="000000"/>
                <w:lang w:eastAsia="fr-FR"/>
              </w:rPr>
              <w:t>1</w:t>
            </w:r>
          </w:p>
        </w:tc>
        <w:tc>
          <w:tcPr>
            <w:tcW w:w="813" w:type="pct"/>
            <w:tcBorders>
              <w:top w:val="single" w:sz="4" w:space="0" w:color="196B24"/>
              <w:left w:val="nil"/>
              <w:bottom w:val="nil"/>
              <w:right w:val="nil"/>
            </w:tcBorders>
            <w:noWrap/>
            <w:hideMark/>
          </w:tcPr>
          <w:p w14:paraId="28843F17" w14:textId="77777777" w:rsidR="00BE7A2D" w:rsidRPr="00AC2556" w:rsidRDefault="00BE7A2D" w:rsidP="005A7661">
            <w:pPr>
              <w:spacing w:after="0"/>
              <w:jc w:val="left"/>
              <w:rPr>
                <w:rFonts w:ascii="Aptos Narrow" w:hAnsi="Aptos Narrow" w:cs="Times New Roman"/>
                <w:color w:val="000000"/>
                <w:lang w:eastAsia="fr-FR"/>
              </w:rPr>
            </w:pPr>
            <w:r w:rsidRPr="00921FE2">
              <w:rPr>
                <w:rFonts w:ascii="Aptos Narrow" w:hAnsi="Aptos Narrow" w:cs="Times New Roman"/>
                <w:color w:val="000000"/>
                <w:lang w:eastAsia="fr-FR"/>
              </w:rPr>
              <w:t>Pylône</w:t>
            </w:r>
            <w:r w:rsidRPr="00AC2556">
              <w:rPr>
                <w:rFonts w:ascii="Aptos Narrow" w:hAnsi="Aptos Narrow" w:cs="Times New Roman"/>
                <w:color w:val="000000"/>
                <w:lang w:eastAsia="fr-FR"/>
              </w:rPr>
              <w:t xml:space="preserve"> réseau </w:t>
            </w:r>
            <w:r w:rsidRPr="00921FE2">
              <w:rPr>
                <w:rFonts w:ascii="Aptos Narrow" w:hAnsi="Aptos Narrow" w:cs="Times New Roman"/>
                <w:color w:val="000000"/>
                <w:lang w:eastAsia="fr-FR"/>
              </w:rPr>
              <w:t>télécom</w:t>
            </w:r>
          </w:p>
        </w:tc>
        <w:tc>
          <w:tcPr>
            <w:tcW w:w="585" w:type="pct"/>
            <w:tcBorders>
              <w:top w:val="single" w:sz="4" w:space="0" w:color="196B24"/>
              <w:left w:val="nil"/>
              <w:bottom w:val="nil"/>
              <w:right w:val="single" w:sz="4" w:space="0" w:color="196B24"/>
            </w:tcBorders>
            <w:noWrap/>
            <w:vAlign w:val="bottom"/>
            <w:hideMark/>
          </w:tcPr>
          <w:p w14:paraId="74750BFA" w14:textId="77777777" w:rsidR="00BE7A2D" w:rsidRPr="00AC2556" w:rsidRDefault="00BE7A2D" w:rsidP="005A7661">
            <w:pPr>
              <w:spacing w:after="0"/>
              <w:jc w:val="center"/>
              <w:rPr>
                <w:rFonts w:ascii="Aptos Narrow" w:hAnsi="Aptos Narrow" w:cs="Times New Roman"/>
                <w:color w:val="000000"/>
                <w:lang w:eastAsia="fr-FR"/>
              </w:rPr>
            </w:pPr>
            <w:r w:rsidRPr="00AC2556">
              <w:rPr>
                <w:rFonts w:ascii="Aptos Narrow" w:hAnsi="Aptos Narrow" w:cs="Times New Roman"/>
                <w:color w:val="000000"/>
                <w:lang w:eastAsia="fr-FR"/>
              </w:rPr>
              <w:t>10-30m</w:t>
            </w:r>
          </w:p>
        </w:tc>
      </w:tr>
      <w:tr w:rsidR="00BE7A2D" w:rsidRPr="00AC2556" w14:paraId="5878A8A5" w14:textId="77777777" w:rsidTr="005A7661">
        <w:trPr>
          <w:trHeight w:val="288"/>
        </w:trPr>
        <w:tc>
          <w:tcPr>
            <w:tcW w:w="159" w:type="pct"/>
            <w:tcBorders>
              <w:top w:val="single" w:sz="4" w:space="0" w:color="196B24"/>
              <w:left w:val="single" w:sz="4" w:space="0" w:color="196B24"/>
              <w:bottom w:val="nil"/>
              <w:right w:val="nil"/>
            </w:tcBorders>
            <w:noWrap/>
            <w:vAlign w:val="bottom"/>
            <w:hideMark/>
          </w:tcPr>
          <w:p w14:paraId="04B61C86" w14:textId="77777777" w:rsidR="00BE7A2D" w:rsidRPr="00AC2556" w:rsidRDefault="00BE7A2D" w:rsidP="005A7661">
            <w:pPr>
              <w:spacing w:after="0"/>
              <w:jc w:val="center"/>
              <w:rPr>
                <w:rFonts w:ascii="Aptos Narrow" w:hAnsi="Aptos Narrow" w:cs="Times New Roman"/>
                <w:color w:val="000000"/>
                <w:lang w:eastAsia="fr-FR"/>
              </w:rPr>
            </w:pPr>
            <w:r w:rsidRPr="00AC2556">
              <w:rPr>
                <w:rFonts w:ascii="Aptos Narrow" w:hAnsi="Aptos Narrow" w:cs="Times New Roman"/>
                <w:color w:val="000000"/>
                <w:lang w:eastAsia="fr-FR"/>
              </w:rPr>
              <w:t>24</w:t>
            </w:r>
          </w:p>
        </w:tc>
        <w:tc>
          <w:tcPr>
            <w:tcW w:w="1062" w:type="pct"/>
            <w:tcBorders>
              <w:top w:val="single" w:sz="4" w:space="0" w:color="196B24"/>
              <w:left w:val="nil"/>
              <w:bottom w:val="nil"/>
              <w:right w:val="nil"/>
            </w:tcBorders>
            <w:noWrap/>
            <w:vAlign w:val="bottom"/>
            <w:hideMark/>
          </w:tcPr>
          <w:p w14:paraId="5970F846" w14:textId="77777777" w:rsidR="00BE7A2D" w:rsidRPr="00AC2556" w:rsidRDefault="00BE7A2D" w:rsidP="005A7661">
            <w:pPr>
              <w:spacing w:after="0"/>
              <w:jc w:val="center"/>
              <w:rPr>
                <w:rFonts w:ascii="Aptos Narrow" w:hAnsi="Aptos Narrow" w:cs="Times New Roman"/>
                <w:color w:val="000000"/>
                <w:lang w:eastAsia="fr-FR"/>
              </w:rPr>
            </w:pPr>
            <w:r w:rsidRPr="00AC2556">
              <w:rPr>
                <w:rFonts w:ascii="Aptos Narrow" w:hAnsi="Aptos Narrow" w:cs="Times New Roman"/>
                <w:color w:val="000000"/>
                <w:lang w:eastAsia="fr-FR"/>
              </w:rPr>
              <w:t>31° 41' 23.254''</w:t>
            </w:r>
          </w:p>
        </w:tc>
        <w:tc>
          <w:tcPr>
            <w:tcW w:w="1149" w:type="pct"/>
            <w:tcBorders>
              <w:top w:val="single" w:sz="4" w:space="0" w:color="196B24"/>
              <w:left w:val="nil"/>
              <w:bottom w:val="nil"/>
              <w:right w:val="nil"/>
            </w:tcBorders>
            <w:noWrap/>
            <w:vAlign w:val="bottom"/>
            <w:hideMark/>
          </w:tcPr>
          <w:p w14:paraId="5DF18D17" w14:textId="77777777" w:rsidR="00BE7A2D" w:rsidRPr="00AC2556" w:rsidRDefault="00BE7A2D" w:rsidP="005A7661">
            <w:pPr>
              <w:spacing w:after="0"/>
              <w:jc w:val="center"/>
              <w:rPr>
                <w:rFonts w:ascii="Aptos Narrow" w:hAnsi="Aptos Narrow" w:cs="Times New Roman"/>
                <w:color w:val="000000"/>
                <w:lang w:eastAsia="fr-FR"/>
              </w:rPr>
            </w:pPr>
            <w:r w:rsidRPr="00AC2556">
              <w:rPr>
                <w:rFonts w:ascii="Aptos Narrow" w:hAnsi="Aptos Narrow" w:cs="Times New Roman"/>
                <w:color w:val="000000"/>
                <w:lang w:eastAsia="fr-FR"/>
              </w:rPr>
              <w:t>8° 3' 33.374''</w:t>
            </w:r>
          </w:p>
        </w:tc>
        <w:tc>
          <w:tcPr>
            <w:tcW w:w="943" w:type="pct"/>
            <w:tcBorders>
              <w:top w:val="single" w:sz="4" w:space="0" w:color="196B24"/>
              <w:left w:val="nil"/>
              <w:bottom w:val="nil"/>
              <w:right w:val="nil"/>
            </w:tcBorders>
            <w:noWrap/>
            <w:vAlign w:val="bottom"/>
            <w:hideMark/>
          </w:tcPr>
          <w:p w14:paraId="16BE8845" w14:textId="77777777" w:rsidR="00BE7A2D" w:rsidRPr="00AC2556" w:rsidRDefault="00BE7A2D" w:rsidP="005A7661">
            <w:pPr>
              <w:spacing w:after="0"/>
              <w:jc w:val="left"/>
              <w:rPr>
                <w:rFonts w:ascii="Aptos Narrow" w:hAnsi="Aptos Narrow" w:cs="Times New Roman"/>
                <w:i/>
                <w:iCs/>
                <w:color w:val="000000"/>
                <w:lang w:eastAsia="fr-FR"/>
              </w:rPr>
            </w:pPr>
            <w:r w:rsidRPr="00AC2556">
              <w:rPr>
                <w:rFonts w:ascii="Aptos Narrow" w:hAnsi="Aptos Narrow" w:cs="Times New Roman"/>
                <w:i/>
                <w:iCs/>
                <w:color w:val="000000"/>
                <w:lang w:eastAsia="fr-FR"/>
              </w:rPr>
              <w:t>Ciconia ciconia</w:t>
            </w:r>
          </w:p>
        </w:tc>
        <w:tc>
          <w:tcPr>
            <w:tcW w:w="288" w:type="pct"/>
            <w:tcBorders>
              <w:top w:val="single" w:sz="4" w:space="0" w:color="196B24"/>
              <w:left w:val="nil"/>
              <w:bottom w:val="nil"/>
              <w:right w:val="nil"/>
            </w:tcBorders>
            <w:noWrap/>
            <w:vAlign w:val="bottom"/>
            <w:hideMark/>
          </w:tcPr>
          <w:p w14:paraId="267E7B89" w14:textId="77777777" w:rsidR="00BE7A2D" w:rsidRPr="00AC2556" w:rsidRDefault="00BE7A2D" w:rsidP="005A7661">
            <w:pPr>
              <w:spacing w:after="0"/>
              <w:jc w:val="center"/>
              <w:rPr>
                <w:rFonts w:ascii="Aptos Narrow" w:hAnsi="Aptos Narrow" w:cs="Times New Roman"/>
                <w:color w:val="000000"/>
                <w:lang w:eastAsia="fr-FR"/>
              </w:rPr>
            </w:pPr>
            <w:r w:rsidRPr="00AC2556">
              <w:rPr>
                <w:rFonts w:ascii="Aptos Narrow" w:hAnsi="Aptos Narrow" w:cs="Times New Roman"/>
                <w:color w:val="000000"/>
                <w:lang w:eastAsia="fr-FR"/>
              </w:rPr>
              <w:t>5</w:t>
            </w:r>
          </w:p>
        </w:tc>
        <w:tc>
          <w:tcPr>
            <w:tcW w:w="813" w:type="pct"/>
            <w:tcBorders>
              <w:top w:val="single" w:sz="4" w:space="0" w:color="196B24"/>
              <w:left w:val="nil"/>
              <w:bottom w:val="nil"/>
              <w:right w:val="nil"/>
            </w:tcBorders>
            <w:noWrap/>
            <w:hideMark/>
          </w:tcPr>
          <w:p w14:paraId="5D5600A6" w14:textId="77777777" w:rsidR="00BE7A2D" w:rsidRPr="00AC2556" w:rsidRDefault="00BE7A2D" w:rsidP="005A7661">
            <w:pPr>
              <w:spacing w:after="0"/>
              <w:jc w:val="left"/>
              <w:rPr>
                <w:rFonts w:ascii="Aptos Narrow" w:hAnsi="Aptos Narrow" w:cs="Times New Roman"/>
                <w:color w:val="000000"/>
                <w:lang w:eastAsia="fr-FR"/>
              </w:rPr>
            </w:pPr>
            <w:r w:rsidRPr="00921FE2">
              <w:rPr>
                <w:rFonts w:ascii="Aptos Narrow" w:hAnsi="Aptos Narrow" w:cs="Times New Roman"/>
                <w:color w:val="000000"/>
                <w:lang w:eastAsia="fr-FR"/>
              </w:rPr>
              <w:t>Pylône</w:t>
            </w:r>
            <w:r w:rsidRPr="00AC2556">
              <w:rPr>
                <w:rFonts w:ascii="Aptos Narrow" w:hAnsi="Aptos Narrow" w:cs="Times New Roman"/>
                <w:color w:val="000000"/>
                <w:lang w:eastAsia="fr-FR"/>
              </w:rPr>
              <w:t xml:space="preserve"> réseau </w:t>
            </w:r>
            <w:r w:rsidRPr="00921FE2">
              <w:rPr>
                <w:rFonts w:ascii="Aptos Narrow" w:hAnsi="Aptos Narrow" w:cs="Times New Roman"/>
                <w:color w:val="000000"/>
                <w:lang w:eastAsia="fr-FR"/>
              </w:rPr>
              <w:t>télécom</w:t>
            </w:r>
          </w:p>
        </w:tc>
        <w:tc>
          <w:tcPr>
            <w:tcW w:w="585" w:type="pct"/>
            <w:tcBorders>
              <w:top w:val="single" w:sz="4" w:space="0" w:color="196B24"/>
              <w:left w:val="nil"/>
              <w:bottom w:val="nil"/>
              <w:right w:val="single" w:sz="4" w:space="0" w:color="196B24"/>
            </w:tcBorders>
            <w:noWrap/>
            <w:vAlign w:val="bottom"/>
            <w:hideMark/>
          </w:tcPr>
          <w:p w14:paraId="4763BDE4" w14:textId="77777777" w:rsidR="00BE7A2D" w:rsidRPr="00AC2556" w:rsidRDefault="00BE7A2D" w:rsidP="005A7661">
            <w:pPr>
              <w:spacing w:after="0"/>
              <w:jc w:val="center"/>
              <w:rPr>
                <w:rFonts w:ascii="Aptos Narrow" w:hAnsi="Aptos Narrow" w:cs="Times New Roman"/>
                <w:color w:val="000000"/>
                <w:lang w:eastAsia="fr-FR"/>
              </w:rPr>
            </w:pPr>
            <w:r w:rsidRPr="00AC2556">
              <w:rPr>
                <w:rFonts w:ascii="Aptos Narrow" w:hAnsi="Aptos Narrow" w:cs="Times New Roman"/>
                <w:color w:val="000000"/>
                <w:lang w:eastAsia="fr-FR"/>
              </w:rPr>
              <w:t>10-30m</w:t>
            </w:r>
          </w:p>
        </w:tc>
      </w:tr>
      <w:tr w:rsidR="00BE7A2D" w:rsidRPr="00AC2556" w14:paraId="203BF7E2" w14:textId="77777777" w:rsidTr="005A7661">
        <w:trPr>
          <w:trHeight w:val="288"/>
        </w:trPr>
        <w:tc>
          <w:tcPr>
            <w:tcW w:w="159" w:type="pct"/>
            <w:tcBorders>
              <w:top w:val="single" w:sz="4" w:space="0" w:color="196B24"/>
              <w:left w:val="single" w:sz="4" w:space="0" w:color="196B24"/>
              <w:bottom w:val="nil"/>
              <w:right w:val="nil"/>
            </w:tcBorders>
            <w:noWrap/>
            <w:vAlign w:val="bottom"/>
            <w:hideMark/>
          </w:tcPr>
          <w:p w14:paraId="27EAB376" w14:textId="77777777" w:rsidR="00BE7A2D" w:rsidRPr="00AC2556" w:rsidRDefault="00BE7A2D" w:rsidP="005A7661">
            <w:pPr>
              <w:spacing w:after="0"/>
              <w:jc w:val="center"/>
              <w:rPr>
                <w:rFonts w:ascii="Aptos Narrow" w:hAnsi="Aptos Narrow" w:cs="Times New Roman"/>
                <w:color w:val="000000"/>
                <w:lang w:eastAsia="fr-FR"/>
              </w:rPr>
            </w:pPr>
            <w:r w:rsidRPr="00AC2556">
              <w:rPr>
                <w:rFonts w:ascii="Aptos Narrow" w:hAnsi="Aptos Narrow" w:cs="Times New Roman"/>
                <w:color w:val="000000"/>
                <w:lang w:eastAsia="fr-FR"/>
              </w:rPr>
              <w:t>25</w:t>
            </w:r>
          </w:p>
        </w:tc>
        <w:tc>
          <w:tcPr>
            <w:tcW w:w="1062" w:type="pct"/>
            <w:tcBorders>
              <w:top w:val="single" w:sz="4" w:space="0" w:color="196B24"/>
              <w:left w:val="nil"/>
              <w:bottom w:val="nil"/>
              <w:right w:val="nil"/>
            </w:tcBorders>
            <w:noWrap/>
            <w:vAlign w:val="bottom"/>
            <w:hideMark/>
          </w:tcPr>
          <w:p w14:paraId="71F37075" w14:textId="77777777" w:rsidR="00BE7A2D" w:rsidRPr="00AC2556" w:rsidRDefault="00BE7A2D" w:rsidP="005A7661">
            <w:pPr>
              <w:spacing w:after="0"/>
              <w:jc w:val="center"/>
              <w:rPr>
                <w:rFonts w:ascii="Aptos Narrow" w:hAnsi="Aptos Narrow" w:cs="Times New Roman"/>
                <w:color w:val="000000"/>
                <w:lang w:eastAsia="fr-FR"/>
              </w:rPr>
            </w:pPr>
            <w:r w:rsidRPr="00AC2556">
              <w:rPr>
                <w:rFonts w:ascii="Aptos Narrow" w:hAnsi="Aptos Narrow" w:cs="Times New Roman"/>
                <w:color w:val="000000"/>
                <w:lang w:eastAsia="fr-FR"/>
              </w:rPr>
              <w:t>31° 41' 23.254''</w:t>
            </w:r>
          </w:p>
        </w:tc>
        <w:tc>
          <w:tcPr>
            <w:tcW w:w="1149" w:type="pct"/>
            <w:tcBorders>
              <w:top w:val="single" w:sz="4" w:space="0" w:color="196B24"/>
              <w:left w:val="nil"/>
              <w:bottom w:val="nil"/>
              <w:right w:val="nil"/>
            </w:tcBorders>
            <w:noWrap/>
            <w:vAlign w:val="bottom"/>
            <w:hideMark/>
          </w:tcPr>
          <w:p w14:paraId="232E3A5B" w14:textId="77777777" w:rsidR="00BE7A2D" w:rsidRPr="00AC2556" w:rsidRDefault="00BE7A2D" w:rsidP="005A7661">
            <w:pPr>
              <w:spacing w:after="0"/>
              <w:jc w:val="center"/>
              <w:rPr>
                <w:rFonts w:ascii="Aptos Narrow" w:hAnsi="Aptos Narrow" w:cs="Times New Roman"/>
                <w:color w:val="000000"/>
                <w:lang w:eastAsia="fr-FR"/>
              </w:rPr>
            </w:pPr>
            <w:r w:rsidRPr="00AC2556">
              <w:rPr>
                <w:rFonts w:ascii="Aptos Narrow" w:hAnsi="Aptos Narrow" w:cs="Times New Roman"/>
                <w:color w:val="000000"/>
                <w:lang w:eastAsia="fr-FR"/>
              </w:rPr>
              <w:t>8° 3' 33.374''</w:t>
            </w:r>
          </w:p>
        </w:tc>
        <w:tc>
          <w:tcPr>
            <w:tcW w:w="943" w:type="pct"/>
            <w:tcBorders>
              <w:top w:val="single" w:sz="4" w:space="0" w:color="196B24"/>
              <w:left w:val="nil"/>
              <w:bottom w:val="nil"/>
              <w:right w:val="nil"/>
            </w:tcBorders>
            <w:noWrap/>
            <w:vAlign w:val="bottom"/>
            <w:hideMark/>
          </w:tcPr>
          <w:p w14:paraId="3F8186A8" w14:textId="77777777" w:rsidR="00BE7A2D" w:rsidRPr="00AC2556" w:rsidRDefault="00BE7A2D" w:rsidP="005A7661">
            <w:pPr>
              <w:spacing w:after="0"/>
              <w:jc w:val="left"/>
              <w:rPr>
                <w:rFonts w:ascii="Aptos Narrow" w:hAnsi="Aptos Narrow" w:cs="Times New Roman"/>
                <w:i/>
                <w:iCs/>
                <w:color w:val="000000"/>
                <w:lang w:eastAsia="fr-FR"/>
              </w:rPr>
            </w:pPr>
            <w:r w:rsidRPr="00AC2556">
              <w:rPr>
                <w:rFonts w:ascii="Aptos Narrow" w:hAnsi="Aptos Narrow" w:cs="Times New Roman"/>
                <w:i/>
                <w:iCs/>
                <w:color w:val="000000"/>
                <w:lang w:eastAsia="fr-FR"/>
              </w:rPr>
              <w:t>Ciconia ciconia</w:t>
            </w:r>
          </w:p>
        </w:tc>
        <w:tc>
          <w:tcPr>
            <w:tcW w:w="288" w:type="pct"/>
            <w:tcBorders>
              <w:top w:val="single" w:sz="4" w:space="0" w:color="196B24"/>
              <w:left w:val="nil"/>
              <w:bottom w:val="nil"/>
              <w:right w:val="nil"/>
            </w:tcBorders>
            <w:noWrap/>
            <w:vAlign w:val="bottom"/>
            <w:hideMark/>
          </w:tcPr>
          <w:p w14:paraId="6717AD73" w14:textId="77777777" w:rsidR="00BE7A2D" w:rsidRPr="00AC2556" w:rsidRDefault="00BE7A2D" w:rsidP="005A7661">
            <w:pPr>
              <w:spacing w:after="0"/>
              <w:jc w:val="center"/>
              <w:rPr>
                <w:rFonts w:ascii="Aptos Narrow" w:hAnsi="Aptos Narrow" w:cs="Times New Roman"/>
                <w:color w:val="000000"/>
                <w:lang w:eastAsia="fr-FR"/>
              </w:rPr>
            </w:pPr>
            <w:r w:rsidRPr="00AC2556">
              <w:rPr>
                <w:rFonts w:ascii="Aptos Narrow" w:hAnsi="Aptos Narrow" w:cs="Times New Roman"/>
                <w:color w:val="000000"/>
                <w:lang w:eastAsia="fr-FR"/>
              </w:rPr>
              <w:t>1</w:t>
            </w:r>
          </w:p>
        </w:tc>
        <w:tc>
          <w:tcPr>
            <w:tcW w:w="813" w:type="pct"/>
            <w:tcBorders>
              <w:top w:val="single" w:sz="4" w:space="0" w:color="196B24"/>
              <w:left w:val="nil"/>
              <w:bottom w:val="nil"/>
              <w:right w:val="nil"/>
            </w:tcBorders>
            <w:noWrap/>
            <w:vAlign w:val="bottom"/>
            <w:hideMark/>
          </w:tcPr>
          <w:p w14:paraId="12660D7D" w14:textId="77777777" w:rsidR="00BE7A2D" w:rsidRPr="00AC2556" w:rsidRDefault="00BE7A2D" w:rsidP="005A7661">
            <w:pPr>
              <w:spacing w:after="0"/>
              <w:jc w:val="left"/>
              <w:rPr>
                <w:rFonts w:ascii="Aptos Narrow" w:hAnsi="Aptos Narrow" w:cs="Times New Roman"/>
                <w:color w:val="000000"/>
                <w:lang w:eastAsia="fr-FR"/>
              </w:rPr>
            </w:pPr>
            <w:r w:rsidRPr="00AC2556">
              <w:rPr>
                <w:rFonts w:ascii="Aptos Narrow" w:hAnsi="Aptos Narrow" w:cs="Times New Roman"/>
                <w:color w:val="000000"/>
                <w:lang w:eastAsia="fr-FR"/>
              </w:rPr>
              <w:t>Pylône réseau télécom</w:t>
            </w:r>
          </w:p>
        </w:tc>
        <w:tc>
          <w:tcPr>
            <w:tcW w:w="585" w:type="pct"/>
            <w:tcBorders>
              <w:top w:val="single" w:sz="4" w:space="0" w:color="196B24"/>
              <w:left w:val="nil"/>
              <w:bottom w:val="nil"/>
              <w:right w:val="single" w:sz="4" w:space="0" w:color="196B24"/>
            </w:tcBorders>
            <w:noWrap/>
            <w:vAlign w:val="bottom"/>
            <w:hideMark/>
          </w:tcPr>
          <w:p w14:paraId="70203FC9" w14:textId="77777777" w:rsidR="00BE7A2D" w:rsidRPr="00AC2556" w:rsidRDefault="00BE7A2D" w:rsidP="005A7661">
            <w:pPr>
              <w:spacing w:after="0"/>
              <w:jc w:val="center"/>
              <w:rPr>
                <w:rFonts w:ascii="Aptos Narrow" w:hAnsi="Aptos Narrow" w:cs="Times New Roman"/>
                <w:color w:val="000000"/>
                <w:lang w:eastAsia="fr-FR"/>
              </w:rPr>
            </w:pPr>
            <w:r w:rsidRPr="00AC2556">
              <w:rPr>
                <w:rFonts w:ascii="Aptos Narrow" w:hAnsi="Aptos Narrow" w:cs="Times New Roman"/>
                <w:color w:val="000000"/>
                <w:lang w:eastAsia="fr-FR"/>
              </w:rPr>
              <w:t>10-30m</w:t>
            </w:r>
          </w:p>
        </w:tc>
      </w:tr>
      <w:tr w:rsidR="00BE7A2D" w:rsidRPr="00AC2556" w14:paraId="138A585F" w14:textId="77777777" w:rsidTr="005A7661">
        <w:trPr>
          <w:trHeight w:val="288"/>
        </w:trPr>
        <w:tc>
          <w:tcPr>
            <w:tcW w:w="159" w:type="pct"/>
            <w:tcBorders>
              <w:top w:val="single" w:sz="4" w:space="0" w:color="196B24"/>
              <w:left w:val="single" w:sz="4" w:space="0" w:color="196B24"/>
              <w:bottom w:val="nil"/>
              <w:right w:val="nil"/>
            </w:tcBorders>
            <w:noWrap/>
            <w:vAlign w:val="bottom"/>
            <w:hideMark/>
          </w:tcPr>
          <w:p w14:paraId="37A1684D" w14:textId="77777777" w:rsidR="00BE7A2D" w:rsidRPr="00AC2556" w:rsidRDefault="00BE7A2D" w:rsidP="005A7661">
            <w:pPr>
              <w:spacing w:after="0"/>
              <w:jc w:val="center"/>
              <w:rPr>
                <w:rFonts w:ascii="Aptos Narrow" w:hAnsi="Aptos Narrow" w:cs="Times New Roman"/>
                <w:color w:val="000000"/>
                <w:lang w:eastAsia="fr-FR"/>
              </w:rPr>
            </w:pPr>
            <w:r w:rsidRPr="00AC2556">
              <w:rPr>
                <w:rFonts w:ascii="Aptos Narrow" w:hAnsi="Aptos Narrow" w:cs="Times New Roman"/>
                <w:color w:val="000000"/>
                <w:lang w:eastAsia="fr-FR"/>
              </w:rPr>
              <w:t>26</w:t>
            </w:r>
          </w:p>
        </w:tc>
        <w:tc>
          <w:tcPr>
            <w:tcW w:w="1062" w:type="pct"/>
            <w:tcBorders>
              <w:top w:val="single" w:sz="4" w:space="0" w:color="196B24"/>
              <w:left w:val="nil"/>
              <w:bottom w:val="nil"/>
              <w:right w:val="nil"/>
            </w:tcBorders>
            <w:noWrap/>
            <w:vAlign w:val="bottom"/>
            <w:hideMark/>
          </w:tcPr>
          <w:p w14:paraId="462B2B96" w14:textId="77777777" w:rsidR="00BE7A2D" w:rsidRPr="00AC2556" w:rsidRDefault="00BE7A2D" w:rsidP="005A7661">
            <w:pPr>
              <w:spacing w:after="0"/>
              <w:jc w:val="center"/>
              <w:rPr>
                <w:rFonts w:ascii="Aptos Narrow" w:hAnsi="Aptos Narrow" w:cs="Times New Roman"/>
                <w:color w:val="000000"/>
                <w:lang w:eastAsia="fr-FR"/>
              </w:rPr>
            </w:pPr>
            <w:r w:rsidRPr="00AC2556">
              <w:rPr>
                <w:rFonts w:ascii="Aptos Narrow" w:hAnsi="Aptos Narrow" w:cs="Times New Roman"/>
                <w:color w:val="000000"/>
                <w:lang w:eastAsia="fr-FR"/>
              </w:rPr>
              <w:t>31° 41' 18.039''</w:t>
            </w:r>
          </w:p>
        </w:tc>
        <w:tc>
          <w:tcPr>
            <w:tcW w:w="1149" w:type="pct"/>
            <w:tcBorders>
              <w:top w:val="single" w:sz="4" w:space="0" w:color="196B24"/>
              <w:left w:val="nil"/>
              <w:bottom w:val="nil"/>
              <w:right w:val="nil"/>
            </w:tcBorders>
            <w:noWrap/>
            <w:vAlign w:val="bottom"/>
            <w:hideMark/>
          </w:tcPr>
          <w:p w14:paraId="0133FCA0" w14:textId="77777777" w:rsidR="00BE7A2D" w:rsidRPr="00AC2556" w:rsidRDefault="00BE7A2D" w:rsidP="005A7661">
            <w:pPr>
              <w:spacing w:after="0"/>
              <w:jc w:val="center"/>
              <w:rPr>
                <w:rFonts w:ascii="Aptos Narrow" w:hAnsi="Aptos Narrow" w:cs="Times New Roman"/>
                <w:color w:val="000000"/>
                <w:lang w:eastAsia="fr-FR"/>
              </w:rPr>
            </w:pPr>
            <w:r w:rsidRPr="00AC2556">
              <w:rPr>
                <w:rFonts w:ascii="Aptos Narrow" w:hAnsi="Aptos Narrow" w:cs="Times New Roman"/>
                <w:color w:val="000000"/>
                <w:lang w:eastAsia="fr-FR"/>
              </w:rPr>
              <w:t>8° 3' 33.353''</w:t>
            </w:r>
          </w:p>
        </w:tc>
        <w:tc>
          <w:tcPr>
            <w:tcW w:w="943" w:type="pct"/>
            <w:tcBorders>
              <w:top w:val="single" w:sz="4" w:space="0" w:color="196B24"/>
              <w:left w:val="nil"/>
              <w:bottom w:val="nil"/>
              <w:right w:val="nil"/>
            </w:tcBorders>
            <w:noWrap/>
            <w:vAlign w:val="bottom"/>
            <w:hideMark/>
          </w:tcPr>
          <w:p w14:paraId="426F4584" w14:textId="77777777" w:rsidR="00BE7A2D" w:rsidRPr="00AC2556" w:rsidRDefault="00BE7A2D" w:rsidP="005A7661">
            <w:pPr>
              <w:spacing w:after="0"/>
              <w:jc w:val="left"/>
              <w:rPr>
                <w:rFonts w:ascii="Aptos Narrow" w:hAnsi="Aptos Narrow" w:cs="Times New Roman"/>
                <w:i/>
                <w:iCs/>
                <w:color w:val="000000"/>
                <w:lang w:eastAsia="fr-FR"/>
              </w:rPr>
            </w:pPr>
            <w:r w:rsidRPr="00AC2556">
              <w:rPr>
                <w:rFonts w:ascii="Aptos Narrow" w:hAnsi="Aptos Narrow" w:cs="Times New Roman"/>
                <w:i/>
                <w:iCs/>
                <w:color w:val="000000"/>
                <w:lang w:eastAsia="fr-FR"/>
              </w:rPr>
              <w:t>Ciconia ciconia</w:t>
            </w:r>
          </w:p>
        </w:tc>
        <w:tc>
          <w:tcPr>
            <w:tcW w:w="288" w:type="pct"/>
            <w:tcBorders>
              <w:top w:val="single" w:sz="4" w:space="0" w:color="196B24"/>
              <w:left w:val="nil"/>
              <w:bottom w:val="nil"/>
              <w:right w:val="nil"/>
            </w:tcBorders>
            <w:noWrap/>
            <w:vAlign w:val="bottom"/>
            <w:hideMark/>
          </w:tcPr>
          <w:p w14:paraId="41CAA60E" w14:textId="77777777" w:rsidR="00BE7A2D" w:rsidRPr="00AC2556" w:rsidRDefault="00BE7A2D" w:rsidP="005A7661">
            <w:pPr>
              <w:spacing w:after="0"/>
              <w:jc w:val="center"/>
              <w:rPr>
                <w:rFonts w:ascii="Aptos Narrow" w:hAnsi="Aptos Narrow" w:cs="Times New Roman"/>
                <w:color w:val="000000"/>
                <w:lang w:eastAsia="fr-FR"/>
              </w:rPr>
            </w:pPr>
            <w:r w:rsidRPr="00AC2556">
              <w:rPr>
                <w:rFonts w:ascii="Aptos Narrow" w:hAnsi="Aptos Narrow" w:cs="Times New Roman"/>
                <w:color w:val="000000"/>
                <w:lang w:eastAsia="fr-FR"/>
              </w:rPr>
              <w:t>1</w:t>
            </w:r>
          </w:p>
        </w:tc>
        <w:tc>
          <w:tcPr>
            <w:tcW w:w="813" w:type="pct"/>
            <w:tcBorders>
              <w:top w:val="single" w:sz="4" w:space="0" w:color="196B24"/>
              <w:left w:val="nil"/>
              <w:bottom w:val="nil"/>
              <w:right w:val="nil"/>
            </w:tcBorders>
            <w:noWrap/>
            <w:vAlign w:val="bottom"/>
            <w:hideMark/>
          </w:tcPr>
          <w:p w14:paraId="165148DF" w14:textId="77777777" w:rsidR="00BE7A2D" w:rsidRPr="00AC2556" w:rsidRDefault="00BE7A2D" w:rsidP="005A7661">
            <w:pPr>
              <w:spacing w:after="0"/>
              <w:jc w:val="left"/>
              <w:rPr>
                <w:rFonts w:ascii="Aptos Narrow" w:hAnsi="Aptos Narrow" w:cs="Times New Roman"/>
                <w:color w:val="000000"/>
                <w:lang w:eastAsia="fr-FR"/>
              </w:rPr>
            </w:pPr>
            <w:r w:rsidRPr="00AC2556">
              <w:rPr>
                <w:rFonts w:ascii="Aptos Narrow" w:hAnsi="Aptos Narrow" w:cs="Times New Roman"/>
                <w:color w:val="000000"/>
                <w:lang w:eastAsia="fr-FR"/>
              </w:rPr>
              <w:t>Minaret</w:t>
            </w:r>
          </w:p>
        </w:tc>
        <w:tc>
          <w:tcPr>
            <w:tcW w:w="585" w:type="pct"/>
            <w:tcBorders>
              <w:top w:val="single" w:sz="4" w:space="0" w:color="196B24"/>
              <w:left w:val="nil"/>
              <w:bottom w:val="nil"/>
              <w:right w:val="single" w:sz="4" w:space="0" w:color="196B24"/>
            </w:tcBorders>
            <w:noWrap/>
            <w:vAlign w:val="bottom"/>
            <w:hideMark/>
          </w:tcPr>
          <w:p w14:paraId="47654810" w14:textId="77777777" w:rsidR="00BE7A2D" w:rsidRPr="00AC2556" w:rsidRDefault="00BE7A2D" w:rsidP="005A7661">
            <w:pPr>
              <w:spacing w:after="0"/>
              <w:jc w:val="center"/>
              <w:rPr>
                <w:rFonts w:ascii="Aptos Narrow" w:hAnsi="Aptos Narrow" w:cs="Times New Roman"/>
                <w:color w:val="000000"/>
                <w:lang w:eastAsia="fr-FR"/>
              </w:rPr>
            </w:pPr>
            <w:r w:rsidRPr="00AC2556">
              <w:rPr>
                <w:rFonts w:ascii="Aptos Narrow" w:hAnsi="Aptos Narrow" w:cs="Times New Roman"/>
                <w:color w:val="000000"/>
                <w:lang w:eastAsia="fr-FR"/>
              </w:rPr>
              <w:t>10-30m</w:t>
            </w:r>
          </w:p>
        </w:tc>
      </w:tr>
      <w:tr w:rsidR="00BE7A2D" w:rsidRPr="00AC2556" w14:paraId="492577CA" w14:textId="77777777" w:rsidTr="005A7661">
        <w:trPr>
          <w:trHeight w:val="288"/>
        </w:trPr>
        <w:tc>
          <w:tcPr>
            <w:tcW w:w="159" w:type="pct"/>
            <w:tcBorders>
              <w:top w:val="single" w:sz="4" w:space="0" w:color="196B24"/>
              <w:left w:val="single" w:sz="4" w:space="0" w:color="196B24"/>
              <w:bottom w:val="nil"/>
              <w:right w:val="nil"/>
            </w:tcBorders>
            <w:noWrap/>
            <w:vAlign w:val="bottom"/>
            <w:hideMark/>
          </w:tcPr>
          <w:p w14:paraId="3D6CDDB9" w14:textId="77777777" w:rsidR="00BE7A2D" w:rsidRPr="00AC2556" w:rsidRDefault="00BE7A2D" w:rsidP="005A7661">
            <w:pPr>
              <w:spacing w:after="0"/>
              <w:jc w:val="center"/>
              <w:rPr>
                <w:rFonts w:ascii="Aptos Narrow" w:hAnsi="Aptos Narrow" w:cs="Times New Roman"/>
                <w:color w:val="000000"/>
                <w:lang w:eastAsia="fr-FR"/>
              </w:rPr>
            </w:pPr>
            <w:r w:rsidRPr="00AC2556">
              <w:rPr>
                <w:rFonts w:ascii="Aptos Narrow" w:hAnsi="Aptos Narrow" w:cs="Times New Roman"/>
                <w:color w:val="000000"/>
                <w:lang w:eastAsia="fr-FR"/>
              </w:rPr>
              <w:t>27</w:t>
            </w:r>
          </w:p>
        </w:tc>
        <w:tc>
          <w:tcPr>
            <w:tcW w:w="1062" w:type="pct"/>
            <w:tcBorders>
              <w:top w:val="single" w:sz="4" w:space="0" w:color="196B24"/>
              <w:left w:val="nil"/>
              <w:bottom w:val="nil"/>
              <w:right w:val="nil"/>
            </w:tcBorders>
            <w:noWrap/>
            <w:vAlign w:val="bottom"/>
            <w:hideMark/>
          </w:tcPr>
          <w:p w14:paraId="1482D84D" w14:textId="77777777" w:rsidR="00BE7A2D" w:rsidRPr="00AC2556" w:rsidRDefault="00BE7A2D" w:rsidP="005A7661">
            <w:pPr>
              <w:spacing w:after="0"/>
              <w:jc w:val="center"/>
              <w:rPr>
                <w:rFonts w:ascii="Aptos Narrow" w:hAnsi="Aptos Narrow" w:cs="Times New Roman"/>
                <w:color w:val="000000"/>
                <w:lang w:eastAsia="fr-FR"/>
              </w:rPr>
            </w:pPr>
            <w:r w:rsidRPr="00AC2556">
              <w:rPr>
                <w:rFonts w:ascii="Aptos Narrow" w:hAnsi="Aptos Narrow" w:cs="Times New Roman"/>
                <w:color w:val="000000"/>
                <w:lang w:eastAsia="fr-FR"/>
              </w:rPr>
              <w:t>31° 41' 18.039''</w:t>
            </w:r>
          </w:p>
        </w:tc>
        <w:tc>
          <w:tcPr>
            <w:tcW w:w="1149" w:type="pct"/>
            <w:tcBorders>
              <w:top w:val="single" w:sz="4" w:space="0" w:color="196B24"/>
              <w:left w:val="nil"/>
              <w:bottom w:val="nil"/>
              <w:right w:val="nil"/>
            </w:tcBorders>
            <w:noWrap/>
            <w:vAlign w:val="bottom"/>
            <w:hideMark/>
          </w:tcPr>
          <w:p w14:paraId="7AB0D07F" w14:textId="77777777" w:rsidR="00BE7A2D" w:rsidRPr="00AC2556" w:rsidRDefault="00BE7A2D" w:rsidP="005A7661">
            <w:pPr>
              <w:spacing w:after="0"/>
              <w:jc w:val="center"/>
              <w:rPr>
                <w:rFonts w:ascii="Aptos Narrow" w:hAnsi="Aptos Narrow" w:cs="Times New Roman"/>
                <w:color w:val="000000"/>
                <w:lang w:eastAsia="fr-FR"/>
              </w:rPr>
            </w:pPr>
            <w:r w:rsidRPr="00AC2556">
              <w:rPr>
                <w:rFonts w:ascii="Aptos Narrow" w:hAnsi="Aptos Narrow" w:cs="Times New Roman"/>
                <w:color w:val="000000"/>
                <w:lang w:eastAsia="fr-FR"/>
              </w:rPr>
              <w:t>8° 3' 33.353''</w:t>
            </w:r>
          </w:p>
        </w:tc>
        <w:tc>
          <w:tcPr>
            <w:tcW w:w="943" w:type="pct"/>
            <w:tcBorders>
              <w:top w:val="single" w:sz="4" w:space="0" w:color="196B24"/>
              <w:left w:val="nil"/>
              <w:bottom w:val="nil"/>
              <w:right w:val="nil"/>
            </w:tcBorders>
            <w:noWrap/>
            <w:vAlign w:val="bottom"/>
            <w:hideMark/>
          </w:tcPr>
          <w:p w14:paraId="6C3B7FC3" w14:textId="77777777" w:rsidR="00BE7A2D" w:rsidRPr="00AC2556" w:rsidRDefault="00BE7A2D" w:rsidP="005A7661">
            <w:pPr>
              <w:spacing w:after="0"/>
              <w:jc w:val="left"/>
              <w:rPr>
                <w:rFonts w:ascii="Aptos Narrow" w:hAnsi="Aptos Narrow" w:cs="Times New Roman"/>
                <w:i/>
                <w:iCs/>
                <w:color w:val="000000"/>
                <w:lang w:eastAsia="fr-FR"/>
              </w:rPr>
            </w:pPr>
            <w:r w:rsidRPr="00AC2556">
              <w:rPr>
                <w:rFonts w:ascii="Aptos Narrow" w:hAnsi="Aptos Narrow" w:cs="Times New Roman"/>
                <w:i/>
                <w:iCs/>
                <w:color w:val="000000"/>
                <w:lang w:eastAsia="fr-FR"/>
              </w:rPr>
              <w:t>Ciconia ciconia</w:t>
            </w:r>
          </w:p>
        </w:tc>
        <w:tc>
          <w:tcPr>
            <w:tcW w:w="288" w:type="pct"/>
            <w:tcBorders>
              <w:top w:val="single" w:sz="4" w:space="0" w:color="196B24"/>
              <w:left w:val="nil"/>
              <w:bottom w:val="nil"/>
              <w:right w:val="nil"/>
            </w:tcBorders>
            <w:noWrap/>
            <w:vAlign w:val="bottom"/>
            <w:hideMark/>
          </w:tcPr>
          <w:p w14:paraId="41A13DC5" w14:textId="77777777" w:rsidR="00BE7A2D" w:rsidRPr="00AC2556" w:rsidRDefault="00BE7A2D" w:rsidP="005A7661">
            <w:pPr>
              <w:spacing w:after="0"/>
              <w:jc w:val="center"/>
              <w:rPr>
                <w:rFonts w:ascii="Aptos Narrow" w:hAnsi="Aptos Narrow" w:cs="Times New Roman"/>
                <w:color w:val="000000"/>
                <w:lang w:eastAsia="fr-FR"/>
              </w:rPr>
            </w:pPr>
            <w:r w:rsidRPr="00AC2556">
              <w:rPr>
                <w:rFonts w:ascii="Aptos Narrow" w:hAnsi="Aptos Narrow" w:cs="Times New Roman"/>
                <w:color w:val="000000"/>
                <w:lang w:eastAsia="fr-FR"/>
              </w:rPr>
              <w:t>2</w:t>
            </w:r>
          </w:p>
        </w:tc>
        <w:tc>
          <w:tcPr>
            <w:tcW w:w="813" w:type="pct"/>
            <w:tcBorders>
              <w:top w:val="single" w:sz="4" w:space="0" w:color="196B24"/>
              <w:left w:val="nil"/>
              <w:bottom w:val="nil"/>
              <w:right w:val="nil"/>
            </w:tcBorders>
            <w:noWrap/>
            <w:vAlign w:val="bottom"/>
            <w:hideMark/>
          </w:tcPr>
          <w:p w14:paraId="61CB97FD" w14:textId="77777777" w:rsidR="00BE7A2D" w:rsidRPr="00AC2556" w:rsidRDefault="00BE7A2D" w:rsidP="005A7661">
            <w:pPr>
              <w:spacing w:after="0"/>
              <w:jc w:val="left"/>
              <w:rPr>
                <w:rFonts w:ascii="Aptos Narrow" w:hAnsi="Aptos Narrow" w:cs="Times New Roman"/>
                <w:color w:val="000000"/>
                <w:lang w:eastAsia="fr-FR"/>
              </w:rPr>
            </w:pPr>
            <w:r w:rsidRPr="00AC2556">
              <w:rPr>
                <w:rFonts w:ascii="Aptos Narrow" w:hAnsi="Aptos Narrow" w:cs="Times New Roman"/>
                <w:color w:val="000000"/>
                <w:lang w:eastAsia="fr-FR"/>
              </w:rPr>
              <w:t>Pylône réseau télécom</w:t>
            </w:r>
          </w:p>
        </w:tc>
        <w:tc>
          <w:tcPr>
            <w:tcW w:w="585" w:type="pct"/>
            <w:tcBorders>
              <w:top w:val="single" w:sz="4" w:space="0" w:color="196B24"/>
              <w:left w:val="nil"/>
              <w:bottom w:val="nil"/>
              <w:right w:val="single" w:sz="4" w:space="0" w:color="196B24"/>
            </w:tcBorders>
            <w:noWrap/>
            <w:vAlign w:val="bottom"/>
            <w:hideMark/>
          </w:tcPr>
          <w:p w14:paraId="5A92B48D" w14:textId="77777777" w:rsidR="00BE7A2D" w:rsidRPr="00AC2556" w:rsidRDefault="00BE7A2D" w:rsidP="005A7661">
            <w:pPr>
              <w:spacing w:after="0"/>
              <w:jc w:val="center"/>
              <w:rPr>
                <w:rFonts w:ascii="Aptos Narrow" w:hAnsi="Aptos Narrow" w:cs="Times New Roman"/>
                <w:color w:val="000000"/>
                <w:lang w:eastAsia="fr-FR"/>
              </w:rPr>
            </w:pPr>
            <w:r w:rsidRPr="00AC2556">
              <w:rPr>
                <w:rFonts w:ascii="Aptos Narrow" w:hAnsi="Aptos Narrow" w:cs="Times New Roman"/>
                <w:color w:val="000000"/>
                <w:lang w:eastAsia="fr-FR"/>
              </w:rPr>
              <w:t>10-30m</w:t>
            </w:r>
          </w:p>
        </w:tc>
      </w:tr>
      <w:tr w:rsidR="00BE7A2D" w:rsidRPr="00AC2556" w14:paraId="5B1146EB" w14:textId="77777777" w:rsidTr="005A7661">
        <w:trPr>
          <w:trHeight w:val="288"/>
        </w:trPr>
        <w:tc>
          <w:tcPr>
            <w:tcW w:w="159" w:type="pct"/>
            <w:tcBorders>
              <w:top w:val="single" w:sz="4" w:space="0" w:color="196B24"/>
              <w:left w:val="single" w:sz="4" w:space="0" w:color="196B24"/>
              <w:bottom w:val="nil"/>
              <w:right w:val="nil"/>
            </w:tcBorders>
            <w:noWrap/>
            <w:vAlign w:val="bottom"/>
            <w:hideMark/>
          </w:tcPr>
          <w:p w14:paraId="3D714FCF" w14:textId="77777777" w:rsidR="00BE7A2D" w:rsidRPr="00AC2556" w:rsidRDefault="00BE7A2D" w:rsidP="005A7661">
            <w:pPr>
              <w:spacing w:after="0"/>
              <w:jc w:val="center"/>
              <w:rPr>
                <w:rFonts w:ascii="Aptos Narrow" w:hAnsi="Aptos Narrow" w:cs="Times New Roman"/>
                <w:color w:val="000000"/>
                <w:lang w:eastAsia="fr-FR"/>
              </w:rPr>
            </w:pPr>
            <w:r w:rsidRPr="00AC2556">
              <w:rPr>
                <w:rFonts w:ascii="Aptos Narrow" w:hAnsi="Aptos Narrow" w:cs="Times New Roman"/>
                <w:color w:val="000000"/>
                <w:lang w:eastAsia="fr-FR"/>
              </w:rPr>
              <w:t>28</w:t>
            </w:r>
          </w:p>
        </w:tc>
        <w:tc>
          <w:tcPr>
            <w:tcW w:w="1062" w:type="pct"/>
            <w:tcBorders>
              <w:top w:val="single" w:sz="4" w:space="0" w:color="196B24"/>
              <w:left w:val="nil"/>
              <w:bottom w:val="nil"/>
              <w:right w:val="nil"/>
            </w:tcBorders>
            <w:noWrap/>
            <w:vAlign w:val="bottom"/>
            <w:hideMark/>
          </w:tcPr>
          <w:p w14:paraId="3F0F805B" w14:textId="77777777" w:rsidR="00BE7A2D" w:rsidRPr="00AC2556" w:rsidRDefault="00BE7A2D" w:rsidP="005A7661">
            <w:pPr>
              <w:spacing w:after="0"/>
              <w:jc w:val="center"/>
              <w:rPr>
                <w:rFonts w:ascii="Aptos Narrow" w:hAnsi="Aptos Narrow" w:cs="Times New Roman"/>
                <w:color w:val="000000"/>
                <w:lang w:eastAsia="fr-FR"/>
              </w:rPr>
            </w:pPr>
            <w:r w:rsidRPr="00AC2556">
              <w:rPr>
                <w:rFonts w:ascii="Aptos Narrow" w:hAnsi="Aptos Narrow" w:cs="Times New Roman"/>
                <w:color w:val="000000"/>
                <w:lang w:eastAsia="fr-FR"/>
              </w:rPr>
              <w:t>31° 41' 16.128''</w:t>
            </w:r>
          </w:p>
        </w:tc>
        <w:tc>
          <w:tcPr>
            <w:tcW w:w="1149" w:type="pct"/>
            <w:tcBorders>
              <w:top w:val="single" w:sz="4" w:space="0" w:color="196B24"/>
              <w:left w:val="nil"/>
              <w:bottom w:val="nil"/>
              <w:right w:val="nil"/>
            </w:tcBorders>
            <w:noWrap/>
            <w:vAlign w:val="bottom"/>
            <w:hideMark/>
          </w:tcPr>
          <w:p w14:paraId="50BBF9D3" w14:textId="77777777" w:rsidR="00BE7A2D" w:rsidRPr="00AC2556" w:rsidRDefault="00BE7A2D" w:rsidP="005A7661">
            <w:pPr>
              <w:spacing w:after="0"/>
              <w:jc w:val="center"/>
              <w:rPr>
                <w:rFonts w:ascii="Aptos Narrow" w:hAnsi="Aptos Narrow" w:cs="Times New Roman"/>
                <w:color w:val="000000"/>
                <w:lang w:eastAsia="fr-FR"/>
              </w:rPr>
            </w:pPr>
            <w:r w:rsidRPr="00AC2556">
              <w:rPr>
                <w:rFonts w:ascii="Aptos Narrow" w:hAnsi="Aptos Narrow" w:cs="Times New Roman"/>
                <w:color w:val="000000"/>
                <w:lang w:eastAsia="fr-FR"/>
              </w:rPr>
              <w:t>8° 3' 39.049''</w:t>
            </w:r>
          </w:p>
        </w:tc>
        <w:tc>
          <w:tcPr>
            <w:tcW w:w="943" w:type="pct"/>
            <w:tcBorders>
              <w:top w:val="single" w:sz="4" w:space="0" w:color="196B24"/>
              <w:left w:val="nil"/>
              <w:bottom w:val="nil"/>
              <w:right w:val="nil"/>
            </w:tcBorders>
            <w:noWrap/>
            <w:vAlign w:val="bottom"/>
            <w:hideMark/>
          </w:tcPr>
          <w:p w14:paraId="566BFA87" w14:textId="77777777" w:rsidR="00BE7A2D" w:rsidRPr="00AC2556" w:rsidRDefault="00BE7A2D" w:rsidP="005A7661">
            <w:pPr>
              <w:spacing w:after="0"/>
              <w:jc w:val="left"/>
              <w:rPr>
                <w:rFonts w:ascii="Aptos Narrow" w:hAnsi="Aptos Narrow" w:cs="Times New Roman"/>
                <w:i/>
                <w:iCs/>
                <w:color w:val="000000"/>
                <w:lang w:eastAsia="fr-FR"/>
              </w:rPr>
            </w:pPr>
            <w:r w:rsidRPr="00AC2556">
              <w:rPr>
                <w:rFonts w:ascii="Aptos Narrow" w:hAnsi="Aptos Narrow" w:cs="Times New Roman"/>
                <w:i/>
                <w:iCs/>
                <w:color w:val="000000"/>
                <w:lang w:eastAsia="fr-FR"/>
              </w:rPr>
              <w:t>Ciconia ciconia</w:t>
            </w:r>
          </w:p>
        </w:tc>
        <w:tc>
          <w:tcPr>
            <w:tcW w:w="288" w:type="pct"/>
            <w:tcBorders>
              <w:top w:val="single" w:sz="4" w:space="0" w:color="196B24"/>
              <w:left w:val="nil"/>
              <w:bottom w:val="nil"/>
              <w:right w:val="nil"/>
            </w:tcBorders>
            <w:noWrap/>
            <w:vAlign w:val="bottom"/>
            <w:hideMark/>
          </w:tcPr>
          <w:p w14:paraId="0776F5F2" w14:textId="77777777" w:rsidR="00BE7A2D" w:rsidRPr="00AC2556" w:rsidRDefault="00BE7A2D" w:rsidP="005A7661">
            <w:pPr>
              <w:spacing w:after="0"/>
              <w:jc w:val="center"/>
              <w:rPr>
                <w:rFonts w:ascii="Aptos Narrow" w:hAnsi="Aptos Narrow" w:cs="Times New Roman"/>
                <w:color w:val="000000"/>
                <w:lang w:eastAsia="fr-FR"/>
              </w:rPr>
            </w:pPr>
            <w:r w:rsidRPr="00AC2556">
              <w:rPr>
                <w:rFonts w:ascii="Aptos Narrow" w:hAnsi="Aptos Narrow" w:cs="Times New Roman"/>
                <w:color w:val="000000"/>
                <w:lang w:eastAsia="fr-FR"/>
              </w:rPr>
              <w:t>1</w:t>
            </w:r>
          </w:p>
        </w:tc>
        <w:tc>
          <w:tcPr>
            <w:tcW w:w="813" w:type="pct"/>
            <w:tcBorders>
              <w:top w:val="single" w:sz="4" w:space="0" w:color="196B24"/>
              <w:left w:val="nil"/>
              <w:bottom w:val="nil"/>
              <w:right w:val="nil"/>
            </w:tcBorders>
            <w:noWrap/>
            <w:vAlign w:val="bottom"/>
            <w:hideMark/>
          </w:tcPr>
          <w:p w14:paraId="79C603C7" w14:textId="77777777" w:rsidR="00BE7A2D" w:rsidRPr="00AC2556" w:rsidRDefault="00BE7A2D" w:rsidP="005A7661">
            <w:pPr>
              <w:spacing w:after="0"/>
              <w:jc w:val="left"/>
              <w:rPr>
                <w:rFonts w:ascii="Aptos Narrow" w:hAnsi="Aptos Narrow" w:cs="Times New Roman"/>
                <w:color w:val="000000"/>
                <w:lang w:eastAsia="fr-FR"/>
              </w:rPr>
            </w:pPr>
            <w:r w:rsidRPr="00AC2556">
              <w:rPr>
                <w:rFonts w:ascii="Aptos Narrow" w:hAnsi="Aptos Narrow" w:cs="Times New Roman"/>
                <w:color w:val="000000"/>
                <w:lang w:eastAsia="fr-FR"/>
              </w:rPr>
              <w:t>Pylône réseau télécom</w:t>
            </w:r>
          </w:p>
        </w:tc>
        <w:tc>
          <w:tcPr>
            <w:tcW w:w="585" w:type="pct"/>
            <w:tcBorders>
              <w:top w:val="single" w:sz="4" w:space="0" w:color="196B24"/>
              <w:left w:val="nil"/>
              <w:bottom w:val="nil"/>
              <w:right w:val="single" w:sz="4" w:space="0" w:color="196B24"/>
            </w:tcBorders>
            <w:noWrap/>
            <w:vAlign w:val="bottom"/>
            <w:hideMark/>
          </w:tcPr>
          <w:p w14:paraId="3C8BD258" w14:textId="77777777" w:rsidR="00BE7A2D" w:rsidRPr="00AC2556" w:rsidRDefault="00BE7A2D" w:rsidP="005A7661">
            <w:pPr>
              <w:spacing w:after="0"/>
              <w:jc w:val="center"/>
              <w:rPr>
                <w:rFonts w:ascii="Aptos Narrow" w:hAnsi="Aptos Narrow" w:cs="Times New Roman"/>
                <w:color w:val="000000"/>
                <w:lang w:eastAsia="fr-FR"/>
              </w:rPr>
            </w:pPr>
            <w:r w:rsidRPr="00AC2556">
              <w:rPr>
                <w:rFonts w:ascii="Aptos Narrow" w:hAnsi="Aptos Narrow" w:cs="Times New Roman"/>
                <w:color w:val="000000"/>
                <w:lang w:eastAsia="fr-FR"/>
              </w:rPr>
              <w:t>10-30m</w:t>
            </w:r>
          </w:p>
        </w:tc>
      </w:tr>
      <w:tr w:rsidR="00BE7A2D" w:rsidRPr="00AC2556" w14:paraId="2833BC62" w14:textId="77777777" w:rsidTr="005A7661">
        <w:trPr>
          <w:trHeight w:val="288"/>
        </w:trPr>
        <w:tc>
          <w:tcPr>
            <w:tcW w:w="159" w:type="pct"/>
            <w:tcBorders>
              <w:top w:val="single" w:sz="4" w:space="0" w:color="196B24"/>
              <w:left w:val="single" w:sz="4" w:space="0" w:color="196B24"/>
              <w:bottom w:val="nil"/>
              <w:right w:val="nil"/>
            </w:tcBorders>
            <w:noWrap/>
            <w:vAlign w:val="bottom"/>
            <w:hideMark/>
          </w:tcPr>
          <w:p w14:paraId="40DA941E" w14:textId="77777777" w:rsidR="00BE7A2D" w:rsidRPr="00AC2556" w:rsidRDefault="00BE7A2D" w:rsidP="005A7661">
            <w:pPr>
              <w:spacing w:after="0"/>
              <w:jc w:val="center"/>
              <w:rPr>
                <w:rFonts w:ascii="Aptos Narrow" w:hAnsi="Aptos Narrow" w:cs="Times New Roman"/>
                <w:color w:val="000000"/>
                <w:lang w:eastAsia="fr-FR"/>
              </w:rPr>
            </w:pPr>
            <w:r w:rsidRPr="00AC2556">
              <w:rPr>
                <w:rFonts w:ascii="Aptos Narrow" w:hAnsi="Aptos Narrow" w:cs="Times New Roman"/>
                <w:color w:val="000000"/>
                <w:lang w:eastAsia="fr-FR"/>
              </w:rPr>
              <w:t>29</w:t>
            </w:r>
          </w:p>
        </w:tc>
        <w:tc>
          <w:tcPr>
            <w:tcW w:w="1062" w:type="pct"/>
            <w:tcBorders>
              <w:top w:val="single" w:sz="4" w:space="0" w:color="196B24"/>
              <w:left w:val="nil"/>
              <w:bottom w:val="nil"/>
              <w:right w:val="nil"/>
            </w:tcBorders>
            <w:noWrap/>
            <w:vAlign w:val="bottom"/>
            <w:hideMark/>
          </w:tcPr>
          <w:p w14:paraId="1C710836" w14:textId="77777777" w:rsidR="00BE7A2D" w:rsidRPr="00AC2556" w:rsidRDefault="00BE7A2D" w:rsidP="005A7661">
            <w:pPr>
              <w:spacing w:after="0"/>
              <w:jc w:val="center"/>
              <w:rPr>
                <w:rFonts w:ascii="Aptos Narrow" w:hAnsi="Aptos Narrow" w:cs="Times New Roman"/>
                <w:color w:val="000000"/>
                <w:lang w:eastAsia="fr-FR"/>
              </w:rPr>
            </w:pPr>
            <w:r w:rsidRPr="00AC2556">
              <w:rPr>
                <w:rFonts w:ascii="Aptos Narrow" w:hAnsi="Aptos Narrow" w:cs="Times New Roman"/>
                <w:color w:val="000000"/>
                <w:lang w:eastAsia="fr-FR"/>
              </w:rPr>
              <w:t>31° 41' 7.005''</w:t>
            </w:r>
          </w:p>
        </w:tc>
        <w:tc>
          <w:tcPr>
            <w:tcW w:w="1149" w:type="pct"/>
            <w:tcBorders>
              <w:top w:val="single" w:sz="4" w:space="0" w:color="196B24"/>
              <w:left w:val="nil"/>
              <w:bottom w:val="nil"/>
              <w:right w:val="nil"/>
            </w:tcBorders>
            <w:noWrap/>
            <w:vAlign w:val="bottom"/>
            <w:hideMark/>
          </w:tcPr>
          <w:p w14:paraId="3754B3C5" w14:textId="77777777" w:rsidR="00BE7A2D" w:rsidRPr="00AC2556" w:rsidRDefault="00BE7A2D" w:rsidP="005A7661">
            <w:pPr>
              <w:spacing w:after="0"/>
              <w:jc w:val="center"/>
              <w:rPr>
                <w:rFonts w:ascii="Aptos Narrow" w:hAnsi="Aptos Narrow" w:cs="Times New Roman"/>
                <w:color w:val="000000"/>
                <w:lang w:eastAsia="fr-FR"/>
              </w:rPr>
            </w:pPr>
            <w:r w:rsidRPr="00AC2556">
              <w:rPr>
                <w:rFonts w:ascii="Aptos Narrow" w:hAnsi="Aptos Narrow" w:cs="Times New Roman"/>
                <w:color w:val="000000"/>
                <w:lang w:eastAsia="fr-FR"/>
              </w:rPr>
              <w:t>8° 3' 42.585''</w:t>
            </w:r>
          </w:p>
        </w:tc>
        <w:tc>
          <w:tcPr>
            <w:tcW w:w="943" w:type="pct"/>
            <w:tcBorders>
              <w:top w:val="single" w:sz="4" w:space="0" w:color="196B24"/>
              <w:left w:val="nil"/>
              <w:bottom w:val="nil"/>
              <w:right w:val="nil"/>
            </w:tcBorders>
            <w:noWrap/>
            <w:vAlign w:val="bottom"/>
            <w:hideMark/>
          </w:tcPr>
          <w:p w14:paraId="4781503A" w14:textId="77777777" w:rsidR="00BE7A2D" w:rsidRPr="00AC2556" w:rsidRDefault="00BE7A2D" w:rsidP="005A7661">
            <w:pPr>
              <w:spacing w:after="0"/>
              <w:jc w:val="left"/>
              <w:rPr>
                <w:rFonts w:ascii="Aptos Narrow" w:hAnsi="Aptos Narrow" w:cs="Times New Roman"/>
                <w:i/>
                <w:iCs/>
                <w:color w:val="000000"/>
                <w:lang w:eastAsia="fr-FR"/>
              </w:rPr>
            </w:pPr>
            <w:r w:rsidRPr="00AC2556">
              <w:rPr>
                <w:rFonts w:ascii="Aptos Narrow" w:hAnsi="Aptos Narrow" w:cs="Times New Roman"/>
                <w:i/>
                <w:iCs/>
                <w:color w:val="000000"/>
                <w:lang w:eastAsia="fr-FR"/>
              </w:rPr>
              <w:t>Ciconia ciconia</w:t>
            </w:r>
          </w:p>
        </w:tc>
        <w:tc>
          <w:tcPr>
            <w:tcW w:w="288" w:type="pct"/>
            <w:tcBorders>
              <w:top w:val="single" w:sz="4" w:space="0" w:color="196B24"/>
              <w:left w:val="nil"/>
              <w:bottom w:val="nil"/>
              <w:right w:val="nil"/>
            </w:tcBorders>
            <w:noWrap/>
            <w:vAlign w:val="bottom"/>
            <w:hideMark/>
          </w:tcPr>
          <w:p w14:paraId="46EF9BBC" w14:textId="77777777" w:rsidR="00BE7A2D" w:rsidRPr="00AC2556" w:rsidRDefault="00BE7A2D" w:rsidP="005A7661">
            <w:pPr>
              <w:spacing w:after="0"/>
              <w:jc w:val="center"/>
              <w:rPr>
                <w:rFonts w:ascii="Aptos Narrow" w:hAnsi="Aptos Narrow" w:cs="Times New Roman"/>
                <w:color w:val="000000"/>
                <w:lang w:eastAsia="fr-FR"/>
              </w:rPr>
            </w:pPr>
            <w:r w:rsidRPr="00AC2556">
              <w:rPr>
                <w:rFonts w:ascii="Aptos Narrow" w:hAnsi="Aptos Narrow" w:cs="Times New Roman"/>
                <w:color w:val="000000"/>
                <w:lang w:eastAsia="fr-FR"/>
              </w:rPr>
              <w:t>1</w:t>
            </w:r>
          </w:p>
        </w:tc>
        <w:tc>
          <w:tcPr>
            <w:tcW w:w="813" w:type="pct"/>
            <w:tcBorders>
              <w:top w:val="single" w:sz="4" w:space="0" w:color="196B24"/>
              <w:left w:val="nil"/>
              <w:bottom w:val="nil"/>
              <w:right w:val="nil"/>
            </w:tcBorders>
            <w:noWrap/>
            <w:vAlign w:val="bottom"/>
            <w:hideMark/>
          </w:tcPr>
          <w:p w14:paraId="71364CE4" w14:textId="77777777" w:rsidR="00BE7A2D" w:rsidRPr="00AC2556" w:rsidRDefault="00BE7A2D" w:rsidP="005A7661">
            <w:pPr>
              <w:spacing w:after="0"/>
              <w:jc w:val="left"/>
              <w:rPr>
                <w:rFonts w:ascii="Aptos Narrow" w:hAnsi="Aptos Narrow" w:cs="Times New Roman"/>
                <w:color w:val="000000"/>
                <w:lang w:eastAsia="fr-FR"/>
              </w:rPr>
            </w:pPr>
            <w:r w:rsidRPr="00AC2556">
              <w:rPr>
                <w:rFonts w:ascii="Aptos Narrow" w:hAnsi="Aptos Narrow" w:cs="Times New Roman"/>
                <w:color w:val="000000"/>
                <w:lang w:eastAsia="fr-FR"/>
              </w:rPr>
              <w:t>Minaret</w:t>
            </w:r>
          </w:p>
        </w:tc>
        <w:tc>
          <w:tcPr>
            <w:tcW w:w="585" w:type="pct"/>
            <w:tcBorders>
              <w:top w:val="single" w:sz="4" w:space="0" w:color="196B24"/>
              <w:left w:val="nil"/>
              <w:bottom w:val="nil"/>
              <w:right w:val="single" w:sz="4" w:space="0" w:color="196B24"/>
            </w:tcBorders>
            <w:noWrap/>
            <w:vAlign w:val="bottom"/>
            <w:hideMark/>
          </w:tcPr>
          <w:p w14:paraId="4B30BF9D" w14:textId="77777777" w:rsidR="00BE7A2D" w:rsidRPr="00AC2556" w:rsidRDefault="00BE7A2D" w:rsidP="005A7661">
            <w:pPr>
              <w:spacing w:after="0"/>
              <w:jc w:val="center"/>
              <w:rPr>
                <w:rFonts w:ascii="Aptos Narrow" w:hAnsi="Aptos Narrow" w:cs="Times New Roman"/>
                <w:color w:val="000000"/>
                <w:lang w:eastAsia="fr-FR"/>
              </w:rPr>
            </w:pPr>
            <w:r w:rsidRPr="00AC2556">
              <w:rPr>
                <w:rFonts w:ascii="Aptos Narrow" w:hAnsi="Aptos Narrow" w:cs="Times New Roman"/>
                <w:color w:val="000000"/>
                <w:lang w:eastAsia="fr-FR"/>
              </w:rPr>
              <w:t>10-30m</w:t>
            </w:r>
          </w:p>
        </w:tc>
      </w:tr>
      <w:tr w:rsidR="00BE7A2D" w:rsidRPr="00AC2556" w14:paraId="18743085" w14:textId="77777777" w:rsidTr="005A7661">
        <w:trPr>
          <w:trHeight w:val="288"/>
        </w:trPr>
        <w:tc>
          <w:tcPr>
            <w:tcW w:w="159" w:type="pct"/>
            <w:tcBorders>
              <w:top w:val="single" w:sz="4" w:space="0" w:color="196B24"/>
              <w:left w:val="single" w:sz="4" w:space="0" w:color="196B24"/>
              <w:bottom w:val="nil"/>
              <w:right w:val="nil"/>
            </w:tcBorders>
            <w:noWrap/>
            <w:vAlign w:val="bottom"/>
            <w:hideMark/>
          </w:tcPr>
          <w:p w14:paraId="63CEC6FA" w14:textId="77777777" w:rsidR="00BE7A2D" w:rsidRPr="00AC2556" w:rsidRDefault="00BE7A2D" w:rsidP="005A7661">
            <w:pPr>
              <w:spacing w:after="0"/>
              <w:jc w:val="center"/>
              <w:rPr>
                <w:rFonts w:ascii="Aptos Narrow" w:hAnsi="Aptos Narrow" w:cs="Times New Roman"/>
                <w:color w:val="000000"/>
                <w:lang w:eastAsia="fr-FR"/>
              </w:rPr>
            </w:pPr>
            <w:r w:rsidRPr="00AC2556">
              <w:rPr>
                <w:rFonts w:ascii="Aptos Narrow" w:hAnsi="Aptos Narrow" w:cs="Times New Roman"/>
                <w:color w:val="000000"/>
                <w:lang w:eastAsia="fr-FR"/>
              </w:rPr>
              <w:t>30</w:t>
            </w:r>
          </w:p>
        </w:tc>
        <w:tc>
          <w:tcPr>
            <w:tcW w:w="1062" w:type="pct"/>
            <w:tcBorders>
              <w:top w:val="single" w:sz="4" w:space="0" w:color="196B24"/>
              <w:left w:val="nil"/>
              <w:bottom w:val="nil"/>
              <w:right w:val="nil"/>
            </w:tcBorders>
            <w:noWrap/>
            <w:vAlign w:val="bottom"/>
            <w:hideMark/>
          </w:tcPr>
          <w:p w14:paraId="0EB45AB0" w14:textId="77777777" w:rsidR="00BE7A2D" w:rsidRPr="00AC2556" w:rsidRDefault="00BE7A2D" w:rsidP="005A7661">
            <w:pPr>
              <w:spacing w:after="0"/>
              <w:jc w:val="center"/>
              <w:rPr>
                <w:rFonts w:ascii="Aptos Narrow" w:hAnsi="Aptos Narrow" w:cs="Times New Roman"/>
                <w:color w:val="000000"/>
                <w:lang w:eastAsia="fr-FR"/>
              </w:rPr>
            </w:pPr>
            <w:r w:rsidRPr="00AC2556">
              <w:rPr>
                <w:rFonts w:ascii="Aptos Narrow" w:hAnsi="Aptos Narrow" w:cs="Times New Roman"/>
                <w:color w:val="000000"/>
                <w:lang w:eastAsia="fr-FR"/>
              </w:rPr>
              <w:t>31° 41' 7.005''</w:t>
            </w:r>
          </w:p>
        </w:tc>
        <w:tc>
          <w:tcPr>
            <w:tcW w:w="1149" w:type="pct"/>
            <w:tcBorders>
              <w:top w:val="single" w:sz="4" w:space="0" w:color="196B24"/>
              <w:left w:val="nil"/>
              <w:bottom w:val="nil"/>
              <w:right w:val="nil"/>
            </w:tcBorders>
            <w:noWrap/>
            <w:vAlign w:val="bottom"/>
            <w:hideMark/>
          </w:tcPr>
          <w:p w14:paraId="3807BAB3" w14:textId="77777777" w:rsidR="00BE7A2D" w:rsidRPr="00AC2556" w:rsidRDefault="00BE7A2D" w:rsidP="005A7661">
            <w:pPr>
              <w:spacing w:after="0"/>
              <w:jc w:val="center"/>
              <w:rPr>
                <w:rFonts w:ascii="Aptos Narrow" w:hAnsi="Aptos Narrow" w:cs="Times New Roman"/>
                <w:color w:val="000000"/>
                <w:lang w:eastAsia="fr-FR"/>
              </w:rPr>
            </w:pPr>
            <w:r w:rsidRPr="00AC2556">
              <w:rPr>
                <w:rFonts w:ascii="Aptos Narrow" w:hAnsi="Aptos Narrow" w:cs="Times New Roman"/>
                <w:color w:val="000000"/>
                <w:lang w:eastAsia="fr-FR"/>
              </w:rPr>
              <w:t>8° 3' 42.585''</w:t>
            </w:r>
          </w:p>
        </w:tc>
        <w:tc>
          <w:tcPr>
            <w:tcW w:w="943" w:type="pct"/>
            <w:tcBorders>
              <w:top w:val="single" w:sz="4" w:space="0" w:color="196B24"/>
              <w:left w:val="nil"/>
              <w:bottom w:val="nil"/>
              <w:right w:val="nil"/>
            </w:tcBorders>
            <w:noWrap/>
            <w:vAlign w:val="bottom"/>
            <w:hideMark/>
          </w:tcPr>
          <w:p w14:paraId="1B9237AD" w14:textId="77777777" w:rsidR="00BE7A2D" w:rsidRPr="00AC2556" w:rsidRDefault="00BE7A2D" w:rsidP="005A7661">
            <w:pPr>
              <w:spacing w:after="0"/>
              <w:jc w:val="left"/>
              <w:rPr>
                <w:rFonts w:ascii="Aptos Narrow" w:hAnsi="Aptos Narrow" w:cs="Times New Roman"/>
                <w:i/>
                <w:iCs/>
                <w:color w:val="000000"/>
                <w:lang w:eastAsia="fr-FR"/>
              </w:rPr>
            </w:pPr>
            <w:r w:rsidRPr="00AC2556">
              <w:rPr>
                <w:rFonts w:ascii="Aptos Narrow" w:hAnsi="Aptos Narrow" w:cs="Times New Roman"/>
                <w:i/>
                <w:iCs/>
                <w:color w:val="000000"/>
                <w:lang w:eastAsia="fr-FR"/>
              </w:rPr>
              <w:t>Ciconia ciconia</w:t>
            </w:r>
          </w:p>
        </w:tc>
        <w:tc>
          <w:tcPr>
            <w:tcW w:w="288" w:type="pct"/>
            <w:tcBorders>
              <w:top w:val="single" w:sz="4" w:space="0" w:color="196B24"/>
              <w:left w:val="nil"/>
              <w:bottom w:val="nil"/>
              <w:right w:val="nil"/>
            </w:tcBorders>
            <w:noWrap/>
            <w:vAlign w:val="bottom"/>
            <w:hideMark/>
          </w:tcPr>
          <w:p w14:paraId="536EA8BC" w14:textId="77777777" w:rsidR="00BE7A2D" w:rsidRPr="00AC2556" w:rsidRDefault="00BE7A2D" w:rsidP="005A7661">
            <w:pPr>
              <w:spacing w:after="0"/>
              <w:jc w:val="center"/>
              <w:rPr>
                <w:rFonts w:ascii="Aptos Narrow" w:hAnsi="Aptos Narrow" w:cs="Times New Roman"/>
                <w:color w:val="000000"/>
                <w:lang w:eastAsia="fr-FR"/>
              </w:rPr>
            </w:pPr>
            <w:r w:rsidRPr="00AC2556">
              <w:rPr>
                <w:rFonts w:ascii="Aptos Narrow" w:hAnsi="Aptos Narrow" w:cs="Times New Roman"/>
                <w:color w:val="000000"/>
                <w:lang w:eastAsia="fr-FR"/>
              </w:rPr>
              <w:t>1</w:t>
            </w:r>
          </w:p>
        </w:tc>
        <w:tc>
          <w:tcPr>
            <w:tcW w:w="813" w:type="pct"/>
            <w:tcBorders>
              <w:top w:val="single" w:sz="4" w:space="0" w:color="196B24"/>
              <w:left w:val="nil"/>
              <w:bottom w:val="nil"/>
              <w:right w:val="nil"/>
            </w:tcBorders>
            <w:noWrap/>
            <w:vAlign w:val="bottom"/>
            <w:hideMark/>
          </w:tcPr>
          <w:p w14:paraId="574C19AC" w14:textId="77777777" w:rsidR="00BE7A2D" w:rsidRPr="00AC2556" w:rsidRDefault="00BE7A2D" w:rsidP="005A7661">
            <w:pPr>
              <w:spacing w:after="0"/>
              <w:jc w:val="left"/>
              <w:rPr>
                <w:rFonts w:ascii="Aptos Narrow" w:hAnsi="Aptos Narrow" w:cs="Times New Roman"/>
                <w:color w:val="000000"/>
                <w:lang w:eastAsia="fr-FR"/>
              </w:rPr>
            </w:pPr>
            <w:r w:rsidRPr="00AC2556">
              <w:rPr>
                <w:rFonts w:ascii="Aptos Narrow" w:hAnsi="Aptos Narrow" w:cs="Times New Roman"/>
                <w:color w:val="000000"/>
                <w:lang w:eastAsia="fr-FR"/>
              </w:rPr>
              <w:t>Pylône réseau télécom</w:t>
            </w:r>
          </w:p>
        </w:tc>
        <w:tc>
          <w:tcPr>
            <w:tcW w:w="585" w:type="pct"/>
            <w:tcBorders>
              <w:top w:val="single" w:sz="4" w:space="0" w:color="196B24"/>
              <w:left w:val="nil"/>
              <w:bottom w:val="nil"/>
              <w:right w:val="single" w:sz="4" w:space="0" w:color="196B24"/>
            </w:tcBorders>
            <w:noWrap/>
            <w:vAlign w:val="bottom"/>
            <w:hideMark/>
          </w:tcPr>
          <w:p w14:paraId="1D81D279" w14:textId="77777777" w:rsidR="00BE7A2D" w:rsidRPr="00AC2556" w:rsidRDefault="00BE7A2D" w:rsidP="005A7661">
            <w:pPr>
              <w:spacing w:after="0"/>
              <w:jc w:val="center"/>
              <w:rPr>
                <w:rFonts w:ascii="Aptos Narrow" w:hAnsi="Aptos Narrow" w:cs="Times New Roman"/>
                <w:color w:val="000000"/>
                <w:lang w:eastAsia="fr-FR"/>
              </w:rPr>
            </w:pPr>
            <w:r w:rsidRPr="00AC2556">
              <w:rPr>
                <w:rFonts w:ascii="Aptos Narrow" w:hAnsi="Aptos Narrow" w:cs="Times New Roman"/>
                <w:color w:val="000000"/>
                <w:lang w:eastAsia="fr-FR"/>
              </w:rPr>
              <w:t>10-30m</w:t>
            </w:r>
          </w:p>
        </w:tc>
      </w:tr>
      <w:tr w:rsidR="00BE7A2D" w:rsidRPr="00AC2556" w14:paraId="5AEBDB23" w14:textId="77777777" w:rsidTr="005A7661">
        <w:trPr>
          <w:trHeight w:val="288"/>
        </w:trPr>
        <w:tc>
          <w:tcPr>
            <w:tcW w:w="159" w:type="pct"/>
            <w:tcBorders>
              <w:top w:val="single" w:sz="4" w:space="0" w:color="196B24"/>
              <w:left w:val="single" w:sz="4" w:space="0" w:color="196B24"/>
              <w:bottom w:val="nil"/>
              <w:right w:val="nil"/>
            </w:tcBorders>
            <w:noWrap/>
            <w:vAlign w:val="bottom"/>
            <w:hideMark/>
          </w:tcPr>
          <w:p w14:paraId="3C761983" w14:textId="77777777" w:rsidR="00BE7A2D" w:rsidRPr="00AC2556" w:rsidRDefault="00BE7A2D" w:rsidP="005A7661">
            <w:pPr>
              <w:spacing w:after="0"/>
              <w:jc w:val="center"/>
              <w:rPr>
                <w:rFonts w:ascii="Aptos Narrow" w:hAnsi="Aptos Narrow" w:cs="Times New Roman"/>
                <w:color w:val="000000"/>
                <w:lang w:eastAsia="fr-FR"/>
              </w:rPr>
            </w:pPr>
            <w:r w:rsidRPr="00AC2556">
              <w:rPr>
                <w:rFonts w:ascii="Aptos Narrow" w:hAnsi="Aptos Narrow" w:cs="Times New Roman"/>
                <w:color w:val="000000"/>
                <w:lang w:eastAsia="fr-FR"/>
              </w:rPr>
              <w:t>31</w:t>
            </w:r>
          </w:p>
        </w:tc>
        <w:tc>
          <w:tcPr>
            <w:tcW w:w="1062" w:type="pct"/>
            <w:tcBorders>
              <w:top w:val="single" w:sz="4" w:space="0" w:color="196B24"/>
              <w:left w:val="nil"/>
              <w:bottom w:val="nil"/>
              <w:right w:val="nil"/>
            </w:tcBorders>
            <w:noWrap/>
            <w:vAlign w:val="bottom"/>
            <w:hideMark/>
          </w:tcPr>
          <w:p w14:paraId="19BD7D1A" w14:textId="77777777" w:rsidR="00BE7A2D" w:rsidRPr="00AC2556" w:rsidRDefault="00BE7A2D" w:rsidP="005A7661">
            <w:pPr>
              <w:spacing w:after="0"/>
              <w:jc w:val="center"/>
              <w:rPr>
                <w:rFonts w:ascii="Aptos Narrow" w:hAnsi="Aptos Narrow" w:cs="Times New Roman"/>
                <w:color w:val="000000"/>
                <w:lang w:eastAsia="fr-FR"/>
              </w:rPr>
            </w:pPr>
            <w:r w:rsidRPr="00AC2556">
              <w:rPr>
                <w:rFonts w:ascii="Aptos Narrow" w:hAnsi="Aptos Narrow" w:cs="Times New Roman"/>
                <w:color w:val="000000"/>
                <w:lang w:eastAsia="fr-FR"/>
              </w:rPr>
              <w:t xml:space="preserve">31° 41' 13.942'' </w:t>
            </w:r>
          </w:p>
        </w:tc>
        <w:tc>
          <w:tcPr>
            <w:tcW w:w="1149" w:type="pct"/>
            <w:tcBorders>
              <w:top w:val="single" w:sz="4" w:space="0" w:color="196B24"/>
              <w:left w:val="nil"/>
              <w:bottom w:val="nil"/>
              <w:right w:val="nil"/>
            </w:tcBorders>
            <w:noWrap/>
            <w:vAlign w:val="bottom"/>
            <w:hideMark/>
          </w:tcPr>
          <w:p w14:paraId="1574FF00" w14:textId="77777777" w:rsidR="00BE7A2D" w:rsidRPr="00AC2556" w:rsidRDefault="00BE7A2D" w:rsidP="005A7661">
            <w:pPr>
              <w:spacing w:after="0"/>
              <w:jc w:val="center"/>
              <w:rPr>
                <w:rFonts w:ascii="Aptos Narrow" w:hAnsi="Aptos Narrow" w:cs="Times New Roman"/>
                <w:color w:val="000000"/>
                <w:lang w:eastAsia="fr-FR"/>
              </w:rPr>
            </w:pPr>
            <w:r w:rsidRPr="00AC2556">
              <w:rPr>
                <w:rFonts w:ascii="Aptos Narrow" w:hAnsi="Aptos Narrow" w:cs="Times New Roman"/>
                <w:color w:val="000000"/>
                <w:lang w:eastAsia="fr-FR"/>
              </w:rPr>
              <w:t>8° 3' 57.974''</w:t>
            </w:r>
          </w:p>
        </w:tc>
        <w:tc>
          <w:tcPr>
            <w:tcW w:w="943" w:type="pct"/>
            <w:tcBorders>
              <w:top w:val="single" w:sz="4" w:space="0" w:color="196B24"/>
              <w:left w:val="nil"/>
              <w:bottom w:val="nil"/>
              <w:right w:val="nil"/>
            </w:tcBorders>
            <w:noWrap/>
            <w:vAlign w:val="bottom"/>
            <w:hideMark/>
          </w:tcPr>
          <w:p w14:paraId="44677173" w14:textId="77777777" w:rsidR="00BE7A2D" w:rsidRPr="00AC2556" w:rsidRDefault="00BE7A2D" w:rsidP="005A7661">
            <w:pPr>
              <w:spacing w:after="0"/>
              <w:jc w:val="left"/>
              <w:rPr>
                <w:rFonts w:ascii="Aptos Narrow" w:hAnsi="Aptos Narrow" w:cs="Times New Roman"/>
                <w:i/>
                <w:iCs/>
                <w:color w:val="000000"/>
                <w:lang w:eastAsia="fr-FR"/>
              </w:rPr>
            </w:pPr>
            <w:r w:rsidRPr="00AC2556">
              <w:rPr>
                <w:rFonts w:ascii="Aptos Narrow" w:hAnsi="Aptos Narrow" w:cs="Times New Roman"/>
                <w:i/>
                <w:iCs/>
                <w:color w:val="000000"/>
                <w:lang w:eastAsia="fr-FR"/>
              </w:rPr>
              <w:t>Ciconia ciconia</w:t>
            </w:r>
          </w:p>
        </w:tc>
        <w:tc>
          <w:tcPr>
            <w:tcW w:w="288" w:type="pct"/>
            <w:tcBorders>
              <w:top w:val="single" w:sz="4" w:space="0" w:color="196B24"/>
              <w:left w:val="nil"/>
              <w:bottom w:val="nil"/>
              <w:right w:val="nil"/>
            </w:tcBorders>
            <w:noWrap/>
            <w:vAlign w:val="bottom"/>
            <w:hideMark/>
          </w:tcPr>
          <w:p w14:paraId="4F78296F" w14:textId="77777777" w:rsidR="00BE7A2D" w:rsidRPr="00AC2556" w:rsidRDefault="00BE7A2D" w:rsidP="005A7661">
            <w:pPr>
              <w:spacing w:after="0"/>
              <w:jc w:val="center"/>
              <w:rPr>
                <w:rFonts w:ascii="Aptos Narrow" w:hAnsi="Aptos Narrow" w:cs="Times New Roman"/>
                <w:color w:val="000000"/>
                <w:lang w:eastAsia="fr-FR"/>
              </w:rPr>
            </w:pPr>
            <w:r w:rsidRPr="00AC2556">
              <w:rPr>
                <w:rFonts w:ascii="Aptos Narrow" w:hAnsi="Aptos Narrow" w:cs="Times New Roman"/>
                <w:color w:val="000000"/>
                <w:lang w:eastAsia="fr-FR"/>
              </w:rPr>
              <w:t>1</w:t>
            </w:r>
          </w:p>
        </w:tc>
        <w:tc>
          <w:tcPr>
            <w:tcW w:w="813" w:type="pct"/>
            <w:tcBorders>
              <w:top w:val="single" w:sz="4" w:space="0" w:color="196B24"/>
              <w:left w:val="nil"/>
              <w:bottom w:val="nil"/>
              <w:right w:val="nil"/>
            </w:tcBorders>
            <w:noWrap/>
            <w:vAlign w:val="bottom"/>
            <w:hideMark/>
          </w:tcPr>
          <w:p w14:paraId="4FDA6D4D" w14:textId="77777777" w:rsidR="00BE7A2D" w:rsidRPr="00AC2556" w:rsidRDefault="00BE7A2D" w:rsidP="005A7661">
            <w:pPr>
              <w:spacing w:after="0"/>
              <w:jc w:val="left"/>
              <w:rPr>
                <w:rFonts w:ascii="Aptos Narrow" w:hAnsi="Aptos Narrow" w:cs="Times New Roman"/>
                <w:color w:val="000000"/>
                <w:lang w:eastAsia="fr-FR"/>
              </w:rPr>
            </w:pPr>
            <w:r w:rsidRPr="00AC2556">
              <w:rPr>
                <w:rFonts w:ascii="Aptos Narrow" w:hAnsi="Aptos Narrow" w:cs="Times New Roman"/>
                <w:color w:val="000000"/>
                <w:lang w:eastAsia="fr-FR"/>
              </w:rPr>
              <w:t>Pylône réseau télécom</w:t>
            </w:r>
          </w:p>
        </w:tc>
        <w:tc>
          <w:tcPr>
            <w:tcW w:w="585" w:type="pct"/>
            <w:tcBorders>
              <w:top w:val="single" w:sz="4" w:space="0" w:color="196B24"/>
              <w:left w:val="nil"/>
              <w:bottom w:val="nil"/>
              <w:right w:val="single" w:sz="4" w:space="0" w:color="196B24"/>
            </w:tcBorders>
            <w:noWrap/>
            <w:vAlign w:val="bottom"/>
            <w:hideMark/>
          </w:tcPr>
          <w:p w14:paraId="09A004FC" w14:textId="77777777" w:rsidR="00BE7A2D" w:rsidRPr="00AC2556" w:rsidRDefault="00BE7A2D" w:rsidP="005A7661">
            <w:pPr>
              <w:spacing w:after="0"/>
              <w:jc w:val="center"/>
              <w:rPr>
                <w:rFonts w:ascii="Aptos Narrow" w:hAnsi="Aptos Narrow" w:cs="Times New Roman"/>
                <w:color w:val="000000"/>
                <w:lang w:eastAsia="fr-FR"/>
              </w:rPr>
            </w:pPr>
            <w:r w:rsidRPr="00AC2556">
              <w:rPr>
                <w:rFonts w:ascii="Aptos Narrow" w:hAnsi="Aptos Narrow" w:cs="Times New Roman"/>
                <w:color w:val="000000"/>
                <w:lang w:eastAsia="fr-FR"/>
              </w:rPr>
              <w:t>10-30m</w:t>
            </w:r>
          </w:p>
        </w:tc>
      </w:tr>
      <w:tr w:rsidR="00BE7A2D" w:rsidRPr="00AC2556" w14:paraId="6CDE560E" w14:textId="77777777" w:rsidTr="005A7661">
        <w:trPr>
          <w:trHeight w:val="288"/>
        </w:trPr>
        <w:tc>
          <w:tcPr>
            <w:tcW w:w="159" w:type="pct"/>
            <w:tcBorders>
              <w:top w:val="single" w:sz="4" w:space="0" w:color="196B24"/>
              <w:left w:val="single" w:sz="4" w:space="0" w:color="196B24"/>
              <w:bottom w:val="nil"/>
              <w:right w:val="nil"/>
            </w:tcBorders>
            <w:noWrap/>
            <w:vAlign w:val="bottom"/>
            <w:hideMark/>
          </w:tcPr>
          <w:p w14:paraId="2542B245" w14:textId="77777777" w:rsidR="00BE7A2D" w:rsidRPr="00AC2556" w:rsidRDefault="00BE7A2D" w:rsidP="005A7661">
            <w:pPr>
              <w:spacing w:after="0"/>
              <w:jc w:val="center"/>
              <w:rPr>
                <w:rFonts w:ascii="Aptos Narrow" w:hAnsi="Aptos Narrow" w:cs="Times New Roman"/>
                <w:color w:val="000000"/>
                <w:lang w:eastAsia="fr-FR"/>
              </w:rPr>
            </w:pPr>
            <w:r w:rsidRPr="00AC2556">
              <w:rPr>
                <w:rFonts w:ascii="Aptos Narrow" w:hAnsi="Aptos Narrow" w:cs="Times New Roman"/>
                <w:color w:val="000000"/>
                <w:lang w:eastAsia="fr-FR"/>
              </w:rPr>
              <w:t>32</w:t>
            </w:r>
          </w:p>
        </w:tc>
        <w:tc>
          <w:tcPr>
            <w:tcW w:w="1062" w:type="pct"/>
            <w:tcBorders>
              <w:top w:val="single" w:sz="4" w:space="0" w:color="196B24"/>
              <w:left w:val="nil"/>
              <w:bottom w:val="nil"/>
              <w:right w:val="nil"/>
            </w:tcBorders>
            <w:noWrap/>
            <w:vAlign w:val="bottom"/>
            <w:hideMark/>
          </w:tcPr>
          <w:p w14:paraId="0ABDD1C5" w14:textId="77777777" w:rsidR="00BE7A2D" w:rsidRPr="00AC2556" w:rsidRDefault="00BE7A2D" w:rsidP="005A7661">
            <w:pPr>
              <w:spacing w:after="0"/>
              <w:jc w:val="center"/>
              <w:rPr>
                <w:rFonts w:ascii="Aptos Narrow" w:hAnsi="Aptos Narrow" w:cs="Times New Roman"/>
                <w:color w:val="000000"/>
                <w:lang w:eastAsia="fr-FR"/>
              </w:rPr>
            </w:pPr>
            <w:r w:rsidRPr="00AC2556">
              <w:rPr>
                <w:rFonts w:ascii="Aptos Narrow" w:hAnsi="Aptos Narrow" w:cs="Times New Roman"/>
                <w:color w:val="000000"/>
                <w:lang w:eastAsia="fr-FR"/>
              </w:rPr>
              <w:t>31° 41' 10.83''</w:t>
            </w:r>
          </w:p>
        </w:tc>
        <w:tc>
          <w:tcPr>
            <w:tcW w:w="1149" w:type="pct"/>
            <w:tcBorders>
              <w:top w:val="single" w:sz="4" w:space="0" w:color="196B24"/>
              <w:left w:val="nil"/>
              <w:bottom w:val="nil"/>
              <w:right w:val="nil"/>
            </w:tcBorders>
            <w:noWrap/>
            <w:vAlign w:val="bottom"/>
            <w:hideMark/>
          </w:tcPr>
          <w:p w14:paraId="2F2517BB" w14:textId="77777777" w:rsidR="00BE7A2D" w:rsidRPr="00AC2556" w:rsidRDefault="00BE7A2D" w:rsidP="005A7661">
            <w:pPr>
              <w:spacing w:after="0"/>
              <w:jc w:val="center"/>
              <w:rPr>
                <w:rFonts w:ascii="Aptos Narrow" w:hAnsi="Aptos Narrow" w:cs="Times New Roman"/>
                <w:color w:val="000000"/>
                <w:lang w:eastAsia="fr-FR"/>
              </w:rPr>
            </w:pPr>
            <w:r w:rsidRPr="00AC2556">
              <w:rPr>
                <w:rFonts w:ascii="Aptos Narrow" w:hAnsi="Aptos Narrow" w:cs="Times New Roman"/>
                <w:color w:val="000000"/>
                <w:lang w:eastAsia="fr-FR"/>
              </w:rPr>
              <w:t>8° 3' 58.789''</w:t>
            </w:r>
          </w:p>
        </w:tc>
        <w:tc>
          <w:tcPr>
            <w:tcW w:w="943" w:type="pct"/>
            <w:tcBorders>
              <w:top w:val="single" w:sz="4" w:space="0" w:color="196B24"/>
              <w:left w:val="nil"/>
              <w:bottom w:val="nil"/>
              <w:right w:val="nil"/>
            </w:tcBorders>
            <w:noWrap/>
            <w:vAlign w:val="bottom"/>
            <w:hideMark/>
          </w:tcPr>
          <w:p w14:paraId="3D0C3E5F" w14:textId="77777777" w:rsidR="00BE7A2D" w:rsidRPr="00AC2556" w:rsidRDefault="00BE7A2D" w:rsidP="005A7661">
            <w:pPr>
              <w:spacing w:after="0"/>
              <w:jc w:val="left"/>
              <w:rPr>
                <w:rFonts w:ascii="Aptos Narrow" w:hAnsi="Aptos Narrow" w:cs="Times New Roman"/>
                <w:i/>
                <w:iCs/>
                <w:color w:val="000000"/>
                <w:lang w:eastAsia="fr-FR"/>
              </w:rPr>
            </w:pPr>
            <w:r w:rsidRPr="00AC2556">
              <w:rPr>
                <w:rFonts w:ascii="Aptos Narrow" w:hAnsi="Aptos Narrow" w:cs="Times New Roman"/>
                <w:i/>
                <w:iCs/>
                <w:color w:val="000000"/>
                <w:lang w:eastAsia="fr-FR"/>
              </w:rPr>
              <w:t>Ciconia ciconia</w:t>
            </w:r>
          </w:p>
        </w:tc>
        <w:tc>
          <w:tcPr>
            <w:tcW w:w="288" w:type="pct"/>
            <w:tcBorders>
              <w:top w:val="single" w:sz="4" w:space="0" w:color="196B24"/>
              <w:left w:val="nil"/>
              <w:bottom w:val="nil"/>
              <w:right w:val="nil"/>
            </w:tcBorders>
            <w:noWrap/>
            <w:vAlign w:val="bottom"/>
            <w:hideMark/>
          </w:tcPr>
          <w:p w14:paraId="19C18966" w14:textId="77777777" w:rsidR="00BE7A2D" w:rsidRPr="00AC2556" w:rsidRDefault="00BE7A2D" w:rsidP="005A7661">
            <w:pPr>
              <w:spacing w:after="0"/>
              <w:jc w:val="center"/>
              <w:rPr>
                <w:rFonts w:ascii="Aptos Narrow" w:hAnsi="Aptos Narrow" w:cs="Times New Roman"/>
                <w:color w:val="000000"/>
                <w:lang w:eastAsia="fr-FR"/>
              </w:rPr>
            </w:pPr>
            <w:r w:rsidRPr="00AC2556">
              <w:rPr>
                <w:rFonts w:ascii="Aptos Narrow" w:hAnsi="Aptos Narrow" w:cs="Times New Roman"/>
                <w:color w:val="000000"/>
                <w:lang w:eastAsia="fr-FR"/>
              </w:rPr>
              <w:t>1</w:t>
            </w:r>
          </w:p>
        </w:tc>
        <w:tc>
          <w:tcPr>
            <w:tcW w:w="813" w:type="pct"/>
            <w:tcBorders>
              <w:top w:val="single" w:sz="4" w:space="0" w:color="196B24"/>
              <w:left w:val="nil"/>
              <w:bottom w:val="nil"/>
              <w:right w:val="nil"/>
            </w:tcBorders>
            <w:noWrap/>
            <w:vAlign w:val="bottom"/>
            <w:hideMark/>
          </w:tcPr>
          <w:p w14:paraId="30C0BB16" w14:textId="77777777" w:rsidR="00BE7A2D" w:rsidRPr="00AC2556" w:rsidRDefault="00BE7A2D" w:rsidP="005A7661">
            <w:pPr>
              <w:spacing w:after="0"/>
              <w:jc w:val="left"/>
              <w:rPr>
                <w:rFonts w:ascii="Aptos Narrow" w:hAnsi="Aptos Narrow" w:cs="Times New Roman"/>
                <w:color w:val="000000"/>
                <w:lang w:eastAsia="fr-FR"/>
              </w:rPr>
            </w:pPr>
            <w:r w:rsidRPr="00AC2556">
              <w:rPr>
                <w:rFonts w:ascii="Aptos Narrow" w:hAnsi="Aptos Narrow" w:cs="Times New Roman"/>
                <w:color w:val="000000"/>
                <w:lang w:eastAsia="fr-FR"/>
              </w:rPr>
              <w:t>Pylône réseau télécom</w:t>
            </w:r>
          </w:p>
        </w:tc>
        <w:tc>
          <w:tcPr>
            <w:tcW w:w="585" w:type="pct"/>
            <w:tcBorders>
              <w:top w:val="single" w:sz="4" w:space="0" w:color="196B24"/>
              <w:left w:val="nil"/>
              <w:bottom w:val="nil"/>
              <w:right w:val="single" w:sz="4" w:space="0" w:color="196B24"/>
            </w:tcBorders>
            <w:noWrap/>
            <w:vAlign w:val="bottom"/>
            <w:hideMark/>
          </w:tcPr>
          <w:p w14:paraId="6CD61B33" w14:textId="77777777" w:rsidR="00BE7A2D" w:rsidRPr="00AC2556" w:rsidRDefault="00BE7A2D" w:rsidP="005A7661">
            <w:pPr>
              <w:spacing w:after="0"/>
              <w:jc w:val="center"/>
              <w:rPr>
                <w:rFonts w:ascii="Aptos Narrow" w:hAnsi="Aptos Narrow" w:cs="Times New Roman"/>
                <w:color w:val="000000"/>
                <w:lang w:eastAsia="fr-FR"/>
              </w:rPr>
            </w:pPr>
            <w:r w:rsidRPr="00AC2556">
              <w:rPr>
                <w:rFonts w:ascii="Aptos Narrow" w:hAnsi="Aptos Narrow" w:cs="Times New Roman"/>
                <w:color w:val="000000"/>
                <w:lang w:eastAsia="fr-FR"/>
              </w:rPr>
              <w:t>10-30m</w:t>
            </w:r>
          </w:p>
        </w:tc>
      </w:tr>
      <w:tr w:rsidR="00BE7A2D" w:rsidRPr="00AC2556" w14:paraId="1C4CF8E8" w14:textId="77777777" w:rsidTr="005A7661">
        <w:trPr>
          <w:trHeight w:val="288"/>
        </w:trPr>
        <w:tc>
          <w:tcPr>
            <w:tcW w:w="159" w:type="pct"/>
            <w:tcBorders>
              <w:top w:val="single" w:sz="4" w:space="0" w:color="196B24"/>
              <w:left w:val="single" w:sz="4" w:space="0" w:color="196B24"/>
              <w:bottom w:val="nil"/>
              <w:right w:val="nil"/>
            </w:tcBorders>
            <w:noWrap/>
            <w:vAlign w:val="bottom"/>
            <w:hideMark/>
          </w:tcPr>
          <w:p w14:paraId="289851E5" w14:textId="77777777" w:rsidR="00BE7A2D" w:rsidRPr="00AC2556" w:rsidRDefault="00BE7A2D" w:rsidP="005A7661">
            <w:pPr>
              <w:spacing w:after="0"/>
              <w:jc w:val="center"/>
              <w:rPr>
                <w:rFonts w:ascii="Aptos Narrow" w:hAnsi="Aptos Narrow" w:cs="Times New Roman"/>
                <w:color w:val="000000"/>
                <w:lang w:eastAsia="fr-FR"/>
              </w:rPr>
            </w:pPr>
            <w:r w:rsidRPr="00AC2556">
              <w:rPr>
                <w:rFonts w:ascii="Aptos Narrow" w:hAnsi="Aptos Narrow" w:cs="Times New Roman"/>
                <w:color w:val="000000"/>
                <w:lang w:eastAsia="fr-FR"/>
              </w:rPr>
              <w:t>33</w:t>
            </w:r>
          </w:p>
        </w:tc>
        <w:tc>
          <w:tcPr>
            <w:tcW w:w="1062" w:type="pct"/>
            <w:tcBorders>
              <w:top w:val="single" w:sz="4" w:space="0" w:color="196B24"/>
              <w:left w:val="nil"/>
              <w:bottom w:val="nil"/>
              <w:right w:val="nil"/>
            </w:tcBorders>
            <w:noWrap/>
            <w:vAlign w:val="bottom"/>
            <w:hideMark/>
          </w:tcPr>
          <w:p w14:paraId="768A8CF0" w14:textId="77777777" w:rsidR="00BE7A2D" w:rsidRPr="00AC2556" w:rsidRDefault="00BE7A2D" w:rsidP="005A7661">
            <w:pPr>
              <w:spacing w:after="0"/>
              <w:jc w:val="center"/>
              <w:rPr>
                <w:rFonts w:ascii="Aptos Narrow" w:hAnsi="Aptos Narrow" w:cs="Times New Roman"/>
                <w:color w:val="000000"/>
                <w:lang w:eastAsia="fr-FR"/>
              </w:rPr>
            </w:pPr>
            <w:r w:rsidRPr="00AC2556">
              <w:rPr>
                <w:rFonts w:ascii="Aptos Narrow" w:hAnsi="Aptos Narrow" w:cs="Times New Roman"/>
                <w:color w:val="000000"/>
                <w:lang w:eastAsia="fr-FR"/>
              </w:rPr>
              <w:t>31° 41' 20.23''</w:t>
            </w:r>
          </w:p>
        </w:tc>
        <w:tc>
          <w:tcPr>
            <w:tcW w:w="1149" w:type="pct"/>
            <w:tcBorders>
              <w:top w:val="single" w:sz="4" w:space="0" w:color="196B24"/>
              <w:left w:val="nil"/>
              <w:bottom w:val="nil"/>
              <w:right w:val="nil"/>
            </w:tcBorders>
            <w:noWrap/>
            <w:vAlign w:val="bottom"/>
            <w:hideMark/>
          </w:tcPr>
          <w:p w14:paraId="3C4DCFB8" w14:textId="77777777" w:rsidR="00BE7A2D" w:rsidRPr="00AC2556" w:rsidRDefault="00BE7A2D" w:rsidP="005A7661">
            <w:pPr>
              <w:spacing w:after="0"/>
              <w:jc w:val="center"/>
              <w:rPr>
                <w:rFonts w:ascii="Aptos Narrow" w:hAnsi="Aptos Narrow" w:cs="Times New Roman"/>
                <w:color w:val="000000"/>
                <w:lang w:eastAsia="fr-FR"/>
              </w:rPr>
            </w:pPr>
            <w:r w:rsidRPr="00AC2556">
              <w:rPr>
                <w:rFonts w:ascii="Aptos Narrow" w:hAnsi="Aptos Narrow" w:cs="Times New Roman"/>
                <w:color w:val="000000"/>
                <w:lang w:eastAsia="fr-FR"/>
              </w:rPr>
              <w:t>8° 3' 48.403''</w:t>
            </w:r>
          </w:p>
        </w:tc>
        <w:tc>
          <w:tcPr>
            <w:tcW w:w="943" w:type="pct"/>
            <w:tcBorders>
              <w:top w:val="single" w:sz="4" w:space="0" w:color="196B24"/>
              <w:left w:val="nil"/>
              <w:bottom w:val="nil"/>
              <w:right w:val="nil"/>
            </w:tcBorders>
            <w:noWrap/>
            <w:vAlign w:val="bottom"/>
            <w:hideMark/>
          </w:tcPr>
          <w:p w14:paraId="10269B7D" w14:textId="77777777" w:rsidR="00BE7A2D" w:rsidRPr="00AC2556" w:rsidRDefault="00BE7A2D" w:rsidP="005A7661">
            <w:pPr>
              <w:spacing w:after="0"/>
              <w:jc w:val="left"/>
              <w:rPr>
                <w:rFonts w:ascii="Aptos Narrow" w:hAnsi="Aptos Narrow" w:cs="Times New Roman"/>
                <w:i/>
                <w:iCs/>
                <w:color w:val="000000"/>
                <w:lang w:eastAsia="fr-FR"/>
              </w:rPr>
            </w:pPr>
            <w:r w:rsidRPr="00AC2556">
              <w:rPr>
                <w:rFonts w:ascii="Aptos Narrow" w:hAnsi="Aptos Narrow" w:cs="Times New Roman"/>
                <w:i/>
                <w:iCs/>
                <w:color w:val="000000"/>
                <w:lang w:eastAsia="fr-FR"/>
              </w:rPr>
              <w:t>Ciconia ciconia</w:t>
            </w:r>
          </w:p>
        </w:tc>
        <w:tc>
          <w:tcPr>
            <w:tcW w:w="288" w:type="pct"/>
            <w:tcBorders>
              <w:top w:val="single" w:sz="4" w:space="0" w:color="196B24"/>
              <w:left w:val="nil"/>
              <w:bottom w:val="nil"/>
              <w:right w:val="nil"/>
            </w:tcBorders>
            <w:noWrap/>
            <w:vAlign w:val="bottom"/>
            <w:hideMark/>
          </w:tcPr>
          <w:p w14:paraId="3427D57D" w14:textId="77777777" w:rsidR="00BE7A2D" w:rsidRPr="00AC2556" w:rsidRDefault="00BE7A2D" w:rsidP="005A7661">
            <w:pPr>
              <w:spacing w:after="0"/>
              <w:jc w:val="center"/>
              <w:rPr>
                <w:rFonts w:ascii="Aptos Narrow" w:hAnsi="Aptos Narrow" w:cs="Times New Roman"/>
                <w:color w:val="000000"/>
                <w:lang w:eastAsia="fr-FR"/>
              </w:rPr>
            </w:pPr>
            <w:r w:rsidRPr="00AC2556">
              <w:rPr>
                <w:rFonts w:ascii="Aptos Narrow" w:hAnsi="Aptos Narrow" w:cs="Times New Roman"/>
                <w:color w:val="000000"/>
                <w:lang w:eastAsia="fr-FR"/>
              </w:rPr>
              <w:t>1</w:t>
            </w:r>
          </w:p>
        </w:tc>
        <w:tc>
          <w:tcPr>
            <w:tcW w:w="813" w:type="pct"/>
            <w:tcBorders>
              <w:top w:val="single" w:sz="4" w:space="0" w:color="196B24"/>
              <w:left w:val="nil"/>
              <w:bottom w:val="nil"/>
              <w:right w:val="nil"/>
            </w:tcBorders>
            <w:noWrap/>
            <w:vAlign w:val="bottom"/>
            <w:hideMark/>
          </w:tcPr>
          <w:p w14:paraId="7735F665" w14:textId="77777777" w:rsidR="00BE7A2D" w:rsidRPr="00AC2556" w:rsidRDefault="00BE7A2D" w:rsidP="005A7661">
            <w:pPr>
              <w:spacing w:after="0"/>
              <w:jc w:val="left"/>
              <w:rPr>
                <w:rFonts w:ascii="Aptos Narrow" w:hAnsi="Aptos Narrow" w:cs="Times New Roman"/>
                <w:color w:val="000000"/>
                <w:lang w:eastAsia="fr-FR"/>
              </w:rPr>
            </w:pPr>
            <w:r w:rsidRPr="00AC2556">
              <w:rPr>
                <w:rFonts w:ascii="Aptos Narrow" w:hAnsi="Aptos Narrow" w:cs="Times New Roman"/>
                <w:color w:val="000000"/>
                <w:lang w:eastAsia="fr-FR"/>
              </w:rPr>
              <w:t>Pylône réseau télécom</w:t>
            </w:r>
          </w:p>
        </w:tc>
        <w:tc>
          <w:tcPr>
            <w:tcW w:w="585" w:type="pct"/>
            <w:tcBorders>
              <w:top w:val="single" w:sz="4" w:space="0" w:color="196B24"/>
              <w:left w:val="nil"/>
              <w:bottom w:val="nil"/>
              <w:right w:val="single" w:sz="4" w:space="0" w:color="196B24"/>
            </w:tcBorders>
            <w:noWrap/>
            <w:vAlign w:val="bottom"/>
            <w:hideMark/>
          </w:tcPr>
          <w:p w14:paraId="6C3A86A9" w14:textId="77777777" w:rsidR="00BE7A2D" w:rsidRPr="00AC2556" w:rsidRDefault="00BE7A2D" w:rsidP="005A7661">
            <w:pPr>
              <w:spacing w:after="0"/>
              <w:jc w:val="center"/>
              <w:rPr>
                <w:rFonts w:ascii="Aptos Narrow" w:hAnsi="Aptos Narrow" w:cs="Times New Roman"/>
                <w:color w:val="000000"/>
                <w:lang w:eastAsia="fr-FR"/>
              </w:rPr>
            </w:pPr>
            <w:r w:rsidRPr="00AC2556">
              <w:rPr>
                <w:rFonts w:ascii="Aptos Narrow" w:hAnsi="Aptos Narrow" w:cs="Times New Roman"/>
                <w:color w:val="000000"/>
                <w:lang w:eastAsia="fr-FR"/>
              </w:rPr>
              <w:t>10-30m</w:t>
            </w:r>
          </w:p>
        </w:tc>
      </w:tr>
      <w:tr w:rsidR="00BE7A2D" w:rsidRPr="00AC2556" w14:paraId="09FA6A07" w14:textId="77777777" w:rsidTr="005A7661">
        <w:trPr>
          <w:trHeight w:val="288"/>
        </w:trPr>
        <w:tc>
          <w:tcPr>
            <w:tcW w:w="159" w:type="pct"/>
            <w:tcBorders>
              <w:top w:val="single" w:sz="4" w:space="0" w:color="196B24"/>
              <w:left w:val="single" w:sz="4" w:space="0" w:color="196B24"/>
              <w:bottom w:val="nil"/>
              <w:right w:val="nil"/>
            </w:tcBorders>
            <w:noWrap/>
            <w:vAlign w:val="bottom"/>
            <w:hideMark/>
          </w:tcPr>
          <w:p w14:paraId="4FF5AB54" w14:textId="77777777" w:rsidR="00BE7A2D" w:rsidRPr="00AC2556" w:rsidRDefault="00BE7A2D" w:rsidP="005A7661">
            <w:pPr>
              <w:spacing w:after="0"/>
              <w:jc w:val="center"/>
              <w:rPr>
                <w:rFonts w:ascii="Aptos Narrow" w:hAnsi="Aptos Narrow" w:cs="Times New Roman"/>
                <w:color w:val="000000"/>
                <w:lang w:eastAsia="fr-FR"/>
              </w:rPr>
            </w:pPr>
            <w:r w:rsidRPr="00AC2556">
              <w:rPr>
                <w:rFonts w:ascii="Aptos Narrow" w:hAnsi="Aptos Narrow" w:cs="Times New Roman"/>
                <w:color w:val="000000"/>
                <w:lang w:eastAsia="fr-FR"/>
              </w:rPr>
              <w:t>34</w:t>
            </w:r>
          </w:p>
        </w:tc>
        <w:tc>
          <w:tcPr>
            <w:tcW w:w="1062" w:type="pct"/>
            <w:tcBorders>
              <w:top w:val="single" w:sz="4" w:space="0" w:color="196B24"/>
              <w:left w:val="nil"/>
              <w:bottom w:val="nil"/>
              <w:right w:val="nil"/>
            </w:tcBorders>
            <w:noWrap/>
            <w:vAlign w:val="bottom"/>
            <w:hideMark/>
          </w:tcPr>
          <w:p w14:paraId="1EBAA78F" w14:textId="77777777" w:rsidR="00BE7A2D" w:rsidRPr="00AC2556" w:rsidRDefault="00BE7A2D" w:rsidP="005A7661">
            <w:pPr>
              <w:spacing w:after="0"/>
              <w:jc w:val="center"/>
              <w:rPr>
                <w:rFonts w:ascii="Aptos Narrow" w:hAnsi="Aptos Narrow" w:cs="Times New Roman"/>
                <w:color w:val="000000"/>
                <w:lang w:eastAsia="fr-FR"/>
              </w:rPr>
            </w:pPr>
            <w:r w:rsidRPr="00AC2556">
              <w:rPr>
                <w:rFonts w:ascii="Aptos Narrow" w:hAnsi="Aptos Narrow" w:cs="Times New Roman"/>
                <w:color w:val="000000"/>
                <w:lang w:eastAsia="fr-FR"/>
              </w:rPr>
              <w:t>31° 41' 22.21''</w:t>
            </w:r>
          </w:p>
        </w:tc>
        <w:tc>
          <w:tcPr>
            <w:tcW w:w="1149" w:type="pct"/>
            <w:tcBorders>
              <w:top w:val="single" w:sz="4" w:space="0" w:color="196B24"/>
              <w:left w:val="nil"/>
              <w:bottom w:val="nil"/>
              <w:right w:val="nil"/>
            </w:tcBorders>
            <w:noWrap/>
            <w:vAlign w:val="bottom"/>
            <w:hideMark/>
          </w:tcPr>
          <w:p w14:paraId="79BADDF4" w14:textId="77777777" w:rsidR="00BE7A2D" w:rsidRPr="00AC2556" w:rsidRDefault="00BE7A2D" w:rsidP="005A7661">
            <w:pPr>
              <w:spacing w:after="0"/>
              <w:jc w:val="center"/>
              <w:rPr>
                <w:rFonts w:ascii="Aptos Narrow" w:hAnsi="Aptos Narrow" w:cs="Times New Roman"/>
                <w:color w:val="000000"/>
                <w:lang w:eastAsia="fr-FR"/>
              </w:rPr>
            </w:pPr>
            <w:r w:rsidRPr="00AC2556">
              <w:rPr>
                <w:rFonts w:ascii="Aptos Narrow" w:hAnsi="Aptos Narrow" w:cs="Times New Roman"/>
                <w:color w:val="000000"/>
                <w:lang w:eastAsia="fr-FR"/>
              </w:rPr>
              <w:t>8° 4' 8.326''</w:t>
            </w:r>
          </w:p>
        </w:tc>
        <w:tc>
          <w:tcPr>
            <w:tcW w:w="943" w:type="pct"/>
            <w:tcBorders>
              <w:top w:val="single" w:sz="4" w:space="0" w:color="196B24"/>
              <w:left w:val="nil"/>
              <w:bottom w:val="nil"/>
              <w:right w:val="nil"/>
            </w:tcBorders>
            <w:noWrap/>
            <w:vAlign w:val="bottom"/>
            <w:hideMark/>
          </w:tcPr>
          <w:p w14:paraId="10E1E503" w14:textId="77777777" w:rsidR="00BE7A2D" w:rsidRPr="00AC2556" w:rsidRDefault="00BE7A2D" w:rsidP="005A7661">
            <w:pPr>
              <w:spacing w:after="0"/>
              <w:jc w:val="left"/>
              <w:rPr>
                <w:rFonts w:ascii="Aptos Narrow" w:hAnsi="Aptos Narrow" w:cs="Times New Roman"/>
                <w:i/>
                <w:iCs/>
                <w:color w:val="000000"/>
                <w:lang w:eastAsia="fr-FR"/>
              </w:rPr>
            </w:pPr>
            <w:r w:rsidRPr="00AC2556">
              <w:rPr>
                <w:rFonts w:ascii="Aptos Narrow" w:hAnsi="Aptos Narrow" w:cs="Times New Roman"/>
                <w:i/>
                <w:iCs/>
                <w:color w:val="000000"/>
                <w:lang w:eastAsia="fr-FR"/>
              </w:rPr>
              <w:t>Ciconia ciconia</w:t>
            </w:r>
          </w:p>
        </w:tc>
        <w:tc>
          <w:tcPr>
            <w:tcW w:w="288" w:type="pct"/>
            <w:tcBorders>
              <w:top w:val="single" w:sz="4" w:space="0" w:color="196B24"/>
              <w:left w:val="nil"/>
              <w:bottom w:val="nil"/>
              <w:right w:val="nil"/>
            </w:tcBorders>
            <w:noWrap/>
            <w:vAlign w:val="bottom"/>
            <w:hideMark/>
          </w:tcPr>
          <w:p w14:paraId="451B51DF" w14:textId="77777777" w:rsidR="00BE7A2D" w:rsidRPr="00AC2556" w:rsidRDefault="00BE7A2D" w:rsidP="005A7661">
            <w:pPr>
              <w:spacing w:after="0"/>
              <w:jc w:val="center"/>
              <w:rPr>
                <w:rFonts w:ascii="Aptos Narrow" w:hAnsi="Aptos Narrow" w:cs="Times New Roman"/>
                <w:color w:val="000000"/>
                <w:lang w:eastAsia="fr-FR"/>
              </w:rPr>
            </w:pPr>
            <w:r w:rsidRPr="00AC2556">
              <w:rPr>
                <w:rFonts w:ascii="Aptos Narrow" w:hAnsi="Aptos Narrow" w:cs="Times New Roman"/>
                <w:color w:val="000000"/>
                <w:lang w:eastAsia="fr-FR"/>
              </w:rPr>
              <w:t>1</w:t>
            </w:r>
          </w:p>
        </w:tc>
        <w:tc>
          <w:tcPr>
            <w:tcW w:w="813" w:type="pct"/>
            <w:tcBorders>
              <w:top w:val="single" w:sz="4" w:space="0" w:color="196B24"/>
              <w:left w:val="nil"/>
              <w:bottom w:val="nil"/>
              <w:right w:val="nil"/>
            </w:tcBorders>
            <w:noWrap/>
            <w:vAlign w:val="bottom"/>
            <w:hideMark/>
          </w:tcPr>
          <w:p w14:paraId="4420B12D" w14:textId="77777777" w:rsidR="00BE7A2D" w:rsidRPr="00AC2556" w:rsidRDefault="00BE7A2D" w:rsidP="005A7661">
            <w:pPr>
              <w:spacing w:after="0"/>
              <w:jc w:val="left"/>
              <w:rPr>
                <w:rFonts w:ascii="Aptos Narrow" w:hAnsi="Aptos Narrow" w:cs="Times New Roman"/>
                <w:color w:val="000000"/>
                <w:lang w:eastAsia="fr-FR"/>
              </w:rPr>
            </w:pPr>
            <w:r w:rsidRPr="00AC2556">
              <w:rPr>
                <w:rFonts w:ascii="Aptos Narrow" w:hAnsi="Aptos Narrow" w:cs="Times New Roman"/>
                <w:color w:val="000000"/>
                <w:lang w:eastAsia="fr-FR"/>
              </w:rPr>
              <w:t>Poteau électrique</w:t>
            </w:r>
          </w:p>
        </w:tc>
        <w:tc>
          <w:tcPr>
            <w:tcW w:w="585" w:type="pct"/>
            <w:tcBorders>
              <w:top w:val="single" w:sz="4" w:space="0" w:color="196B24"/>
              <w:left w:val="nil"/>
              <w:bottom w:val="nil"/>
              <w:right w:val="single" w:sz="4" w:space="0" w:color="196B24"/>
            </w:tcBorders>
            <w:noWrap/>
            <w:vAlign w:val="bottom"/>
            <w:hideMark/>
          </w:tcPr>
          <w:p w14:paraId="3539EB08" w14:textId="77777777" w:rsidR="00BE7A2D" w:rsidRPr="00AC2556" w:rsidRDefault="00BE7A2D" w:rsidP="005A7661">
            <w:pPr>
              <w:spacing w:after="0"/>
              <w:jc w:val="center"/>
              <w:rPr>
                <w:rFonts w:ascii="Aptos Narrow" w:hAnsi="Aptos Narrow" w:cs="Times New Roman"/>
                <w:color w:val="000000"/>
                <w:lang w:eastAsia="fr-FR"/>
              </w:rPr>
            </w:pPr>
            <w:r w:rsidRPr="00AC2556">
              <w:rPr>
                <w:rFonts w:ascii="Aptos Narrow" w:hAnsi="Aptos Narrow" w:cs="Times New Roman"/>
                <w:color w:val="000000"/>
                <w:lang w:eastAsia="fr-FR"/>
              </w:rPr>
              <w:t>10-30m</w:t>
            </w:r>
          </w:p>
        </w:tc>
      </w:tr>
      <w:tr w:rsidR="00BE7A2D" w:rsidRPr="00AC2556" w14:paraId="65800A31" w14:textId="77777777" w:rsidTr="005A7661">
        <w:trPr>
          <w:trHeight w:val="288"/>
        </w:trPr>
        <w:tc>
          <w:tcPr>
            <w:tcW w:w="159" w:type="pct"/>
            <w:tcBorders>
              <w:top w:val="single" w:sz="4" w:space="0" w:color="196B24"/>
              <w:left w:val="single" w:sz="4" w:space="0" w:color="196B24"/>
              <w:bottom w:val="nil"/>
              <w:right w:val="nil"/>
            </w:tcBorders>
            <w:noWrap/>
            <w:vAlign w:val="bottom"/>
            <w:hideMark/>
          </w:tcPr>
          <w:p w14:paraId="66C23308" w14:textId="77777777" w:rsidR="00BE7A2D" w:rsidRPr="00AC2556" w:rsidRDefault="00BE7A2D" w:rsidP="005A7661">
            <w:pPr>
              <w:spacing w:after="0"/>
              <w:jc w:val="center"/>
              <w:rPr>
                <w:rFonts w:ascii="Aptos Narrow" w:hAnsi="Aptos Narrow" w:cs="Times New Roman"/>
                <w:color w:val="000000"/>
                <w:lang w:eastAsia="fr-FR"/>
              </w:rPr>
            </w:pPr>
            <w:r w:rsidRPr="00AC2556">
              <w:rPr>
                <w:rFonts w:ascii="Aptos Narrow" w:hAnsi="Aptos Narrow" w:cs="Times New Roman"/>
                <w:color w:val="000000"/>
                <w:lang w:eastAsia="fr-FR"/>
              </w:rPr>
              <w:lastRenderedPageBreak/>
              <w:t>35</w:t>
            </w:r>
          </w:p>
        </w:tc>
        <w:tc>
          <w:tcPr>
            <w:tcW w:w="1062" w:type="pct"/>
            <w:tcBorders>
              <w:top w:val="single" w:sz="4" w:space="0" w:color="196B24"/>
              <w:left w:val="nil"/>
              <w:bottom w:val="nil"/>
              <w:right w:val="nil"/>
            </w:tcBorders>
            <w:noWrap/>
            <w:vAlign w:val="bottom"/>
            <w:hideMark/>
          </w:tcPr>
          <w:p w14:paraId="432CA55B" w14:textId="77777777" w:rsidR="00BE7A2D" w:rsidRPr="00AC2556" w:rsidRDefault="00BE7A2D" w:rsidP="005A7661">
            <w:pPr>
              <w:spacing w:after="0"/>
              <w:jc w:val="center"/>
              <w:rPr>
                <w:rFonts w:ascii="Aptos Narrow" w:hAnsi="Aptos Narrow" w:cs="Times New Roman"/>
                <w:color w:val="000000"/>
                <w:lang w:eastAsia="fr-FR"/>
              </w:rPr>
            </w:pPr>
            <w:r w:rsidRPr="00AC2556">
              <w:rPr>
                <w:rFonts w:ascii="Aptos Narrow" w:hAnsi="Aptos Narrow" w:cs="Times New Roman"/>
                <w:color w:val="000000"/>
                <w:lang w:eastAsia="fr-FR"/>
              </w:rPr>
              <w:t>31° 41' 11.56''</w:t>
            </w:r>
          </w:p>
        </w:tc>
        <w:tc>
          <w:tcPr>
            <w:tcW w:w="1149" w:type="pct"/>
            <w:tcBorders>
              <w:top w:val="single" w:sz="4" w:space="0" w:color="196B24"/>
              <w:left w:val="nil"/>
              <w:bottom w:val="nil"/>
              <w:right w:val="nil"/>
            </w:tcBorders>
            <w:noWrap/>
            <w:vAlign w:val="bottom"/>
            <w:hideMark/>
          </w:tcPr>
          <w:p w14:paraId="22D059AB" w14:textId="77777777" w:rsidR="00BE7A2D" w:rsidRPr="00AC2556" w:rsidRDefault="00BE7A2D" w:rsidP="005A7661">
            <w:pPr>
              <w:spacing w:after="0"/>
              <w:jc w:val="center"/>
              <w:rPr>
                <w:rFonts w:ascii="Aptos Narrow" w:hAnsi="Aptos Narrow" w:cs="Times New Roman"/>
                <w:color w:val="000000"/>
                <w:lang w:eastAsia="fr-FR"/>
              </w:rPr>
            </w:pPr>
            <w:r w:rsidRPr="00AC2556">
              <w:rPr>
                <w:rFonts w:ascii="Aptos Narrow" w:hAnsi="Aptos Narrow" w:cs="Times New Roman"/>
                <w:color w:val="000000"/>
                <w:lang w:eastAsia="fr-FR"/>
              </w:rPr>
              <w:t>8° 4' 8.702''</w:t>
            </w:r>
          </w:p>
        </w:tc>
        <w:tc>
          <w:tcPr>
            <w:tcW w:w="943" w:type="pct"/>
            <w:tcBorders>
              <w:top w:val="single" w:sz="4" w:space="0" w:color="196B24"/>
              <w:left w:val="nil"/>
              <w:bottom w:val="nil"/>
              <w:right w:val="nil"/>
            </w:tcBorders>
            <w:noWrap/>
            <w:vAlign w:val="bottom"/>
            <w:hideMark/>
          </w:tcPr>
          <w:p w14:paraId="2E0CC525" w14:textId="77777777" w:rsidR="00BE7A2D" w:rsidRPr="00AC2556" w:rsidRDefault="00BE7A2D" w:rsidP="005A7661">
            <w:pPr>
              <w:spacing w:after="0"/>
              <w:jc w:val="left"/>
              <w:rPr>
                <w:rFonts w:ascii="Aptos Narrow" w:hAnsi="Aptos Narrow" w:cs="Times New Roman"/>
                <w:i/>
                <w:iCs/>
                <w:color w:val="000000"/>
                <w:lang w:eastAsia="fr-FR"/>
              </w:rPr>
            </w:pPr>
            <w:r w:rsidRPr="00AC2556">
              <w:rPr>
                <w:rFonts w:ascii="Aptos Narrow" w:hAnsi="Aptos Narrow" w:cs="Times New Roman"/>
                <w:i/>
                <w:iCs/>
                <w:color w:val="000000"/>
                <w:lang w:eastAsia="fr-FR"/>
              </w:rPr>
              <w:t>Ciconia ciconia</w:t>
            </w:r>
          </w:p>
        </w:tc>
        <w:tc>
          <w:tcPr>
            <w:tcW w:w="288" w:type="pct"/>
            <w:tcBorders>
              <w:top w:val="single" w:sz="4" w:space="0" w:color="196B24"/>
              <w:left w:val="nil"/>
              <w:bottom w:val="nil"/>
              <w:right w:val="nil"/>
            </w:tcBorders>
            <w:noWrap/>
            <w:vAlign w:val="bottom"/>
            <w:hideMark/>
          </w:tcPr>
          <w:p w14:paraId="3AF3F5FB" w14:textId="77777777" w:rsidR="00BE7A2D" w:rsidRPr="00AC2556" w:rsidRDefault="00BE7A2D" w:rsidP="005A7661">
            <w:pPr>
              <w:spacing w:after="0"/>
              <w:jc w:val="center"/>
              <w:rPr>
                <w:rFonts w:ascii="Aptos Narrow" w:hAnsi="Aptos Narrow" w:cs="Times New Roman"/>
                <w:color w:val="000000"/>
                <w:lang w:eastAsia="fr-FR"/>
              </w:rPr>
            </w:pPr>
            <w:r w:rsidRPr="00AC2556">
              <w:rPr>
                <w:rFonts w:ascii="Aptos Narrow" w:hAnsi="Aptos Narrow" w:cs="Times New Roman"/>
                <w:color w:val="000000"/>
                <w:lang w:eastAsia="fr-FR"/>
              </w:rPr>
              <w:t>1</w:t>
            </w:r>
          </w:p>
        </w:tc>
        <w:tc>
          <w:tcPr>
            <w:tcW w:w="813" w:type="pct"/>
            <w:tcBorders>
              <w:top w:val="single" w:sz="4" w:space="0" w:color="196B24"/>
              <w:left w:val="nil"/>
              <w:bottom w:val="nil"/>
              <w:right w:val="nil"/>
            </w:tcBorders>
            <w:noWrap/>
            <w:vAlign w:val="bottom"/>
            <w:hideMark/>
          </w:tcPr>
          <w:p w14:paraId="3C307A59" w14:textId="77777777" w:rsidR="00BE7A2D" w:rsidRPr="00AC2556" w:rsidRDefault="00BE7A2D" w:rsidP="005A7661">
            <w:pPr>
              <w:spacing w:after="0"/>
              <w:jc w:val="left"/>
              <w:rPr>
                <w:rFonts w:ascii="Aptos Narrow" w:hAnsi="Aptos Narrow" w:cs="Times New Roman"/>
                <w:color w:val="000000"/>
                <w:lang w:eastAsia="fr-FR"/>
              </w:rPr>
            </w:pPr>
            <w:r w:rsidRPr="00AC2556">
              <w:rPr>
                <w:rFonts w:ascii="Aptos Narrow" w:hAnsi="Aptos Narrow" w:cs="Times New Roman"/>
                <w:color w:val="000000"/>
                <w:lang w:eastAsia="fr-FR"/>
              </w:rPr>
              <w:t>Poteau électrique</w:t>
            </w:r>
          </w:p>
        </w:tc>
        <w:tc>
          <w:tcPr>
            <w:tcW w:w="585" w:type="pct"/>
            <w:tcBorders>
              <w:top w:val="single" w:sz="4" w:space="0" w:color="196B24"/>
              <w:left w:val="nil"/>
              <w:bottom w:val="nil"/>
              <w:right w:val="single" w:sz="4" w:space="0" w:color="196B24"/>
            </w:tcBorders>
            <w:noWrap/>
            <w:vAlign w:val="bottom"/>
            <w:hideMark/>
          </w:tcPr>
          <w:p w14:paraId="2AD26BD8" w14:textId="77777777" w:rsidR="00BE7A2D" w:rsidRPr="00AC2556" w:rsidRDefault="00BE7A2D" w:rsidP="005A7661">
            <w:pPr>
              <w:spacing w:after="0"/>
              <w:jc w:val="center"/>
              <w:rPr>
                <w:rFonts w:ascii="Aptos Narrow" w:hAnsi="Aptos Narrow" w:cs="Times New Roman"/>
                <w:color w:val="000000"/>
                <w:lang w:eastAsia="fr-FR"/>
              </w:rPr>
            </w:pPr>
            <w:r w:rsidRPr="00AC2556">
              <w:rPr>
                <w:rFonts w:ascii="Aptos Narrow" w:hAnsi="Aptos Narrow" w:cs="Times New Roman"/>
                <w:color w:val="000000"/>
                <w:lang w:eastAsia="fr-FR"/>
              </w:rPr>
              <w:t>10-30m</w:t>
            </w:r>
          </w:p>
        </w:tc>
      </w:tr>
      <w:tr w:rsidR="00BE7A2D" w:rsidRPr="00AC2556" w14:paraId="5A4CEE31" w14:textId="77777777" w:rsidTr="005A7661">
        <w:trPr>
          <w:trHeight w:val="288"/>
        </w:trPr>
        <w:tc>
          <w:tcPr>
            <w:tcW w:w="159" w:type="pct"/>
            <w:tcBorders>
              <w:top w:val="single" w:sz="4" w:space="0" w:color="196B24"/>
              <w:left w:val="single" w:sz="4" w:space="0" w:color="196B24"/>
              <w:bottom w:val="nil"/>
              <w:right w:val="nil"/>
            </w:tcBorders>
            <w:noWrap/>
            <w:vAlign w:val="bottom"/>
            <w:hideMark/>
          </w:tcPr>
          <w:p w14:paraId="7C13FA00" w14:textId="77777777" w:rsidR="00BE7A2D" w:rsidRPr="00AC2556" w:rsidRDefault="00BE7A2D" w:rsidP="005A7661">
            <w:pPr>
              <w:spacing w:after="0"/>
              <w:jc w:val="center"/>
              <w:rPr>
                <w:rFonts w:ascii="Aptos Narrow" w:hAnsi="Aptos Narrow" w:cs="Times New Roman"/>
                <w:color w:val="000000"/>
                <w:lang w:eastAsia="fr-FR"/>
              </w:rPr>
            </w:pPr>
            <w:r w:rsidRPr="00AC2556">
              <w:rPr>
                <w:rFonts w:ascii="Aptos Narrow" w:hAnsi="Aptos Narrow" w:cs="Times New Roman"/>
                <w:color w:val="000000"/>
                <w:lang w:eastAsia="fr-FR"/>
              </w:rPr>
              <w:t>36</w:t>
            </w:r>
          </w:p>
        </w:tc>
        <w:tc>
          <w:tcPr>
            <w:tcW w:w="1062" w:type="pct"/>
            <w:tcBorders>
              <w:top w:val="single" w:sz="4" w:space="0" w:color="196B24"/>
              <w:left w:val="nil"/>
              <w:bottom w:val="nil"/>
              <w:right w:val="nil"/>
            </w:tcBorders>
            <w:noWrap/>
            <w:vAlign w:val="bottom"/>
            <w:hideMark/>
          </w:tcPr>
          <w:p w14:paraId="256ACA09" w14:textId="77777777" w:rsidR="00BE7A2D" w:rsidRPr="00AC2556" w:rsidRDefault="00BE7A2D" w:rsidP="005A7661">
            <w:pPr>
              <w:spacing w:after="0"/>
              <w:jc w:val="center"/>
              <w:rPr>
                <w:rFonts w:ascii="Aptos Narrow" w:hAnsi="Aptos Narrow" w:cs="Times New Roman"/>
                <w:color w:val="000000"/>
                <w:lang w:eastAsia="fr-FR"/>
              </w:rPr>
            </w:pPr>
            <w:r w:rsidRPr="00AC2556">
              <w:rPr>
                <w:rFonts w:ascii="Aptos Narrow" w:hAnsi="Aptos Narrow" w:cs="Times New Roman"/>
                <w:color w:val="000000"/>
                <w:lang w:eastAsia="fr-FR"/>
              </w:rPr>
              <w:t>31° 41' 20.611''</w:t>
            </w:r>
          </w:p>
        </w:tc>
        <w:tc>
          <w:tcPr>
            <w:tcW w:w="1149" w:type="pct"/>
            <w:tcBorders>
              <w:top w:val="single" w:sz="4" w:space="0" w:color="196B24"/>
              <w:left w:val="nil"/>
              <w:bottom w:val="nil"/>
              <w:right w:val="nil"/>
            </w:tcBorders>
            <w:noWrap/>
            <w:vAlign w:val="bottom"/>
            <w:hideMark/>
          </w:tcPr>
          <w:p w14:paraId="0CD594D0" w14:textId="77777777" w:rsidR="00BE7A2D" w:rsidRPr="00AC2556" w:rsidRDefault="00BE7A2D" w:rsidP="005A7661">
            <w:pPr>
              <w:spacing w:after="0"/>
              <w:jc w:val="center"/>
              <w:rPr>
                <w:rFonts w:ascii="Aptos Narrow" w:hAnsi="Aptos Narrow" w:cs="Times New Roman"/>
                <w:color w:val="000000"/>
                <w:lang w:eastAsia="fr-FR"/>
              </w:rPr>
            </w:pPr>
            <w:r w:rsidRPr="00AC2556">
              <w:rPr>
                <w:rFonts w:ascii="Aptos Narrow" w:hAnsi="Aptos Narrow" w:cs="Times New Roman"/>
                <w:color w:val="000000"/>
                <w:lang w:eastAsia="fr-FR"/>
              </w:rPr>
              <w:t>8° 4' 22.083''</w:t>
            </w:r>
          </w:p>
        </w:tc>
        <w:tc>
          <w:tcPr>
            <w:tcW w:w="943" w:type="pct"/>
            <w:tcBorders>
              <w:top w:val="single" w:sz="4" w:space="0" w:color="196B24"/>
              <w:left w:val="nil"/>
              <w:bottom w:val="nil"/>
              <w:right w:val="nil"/>
            </w:tcBorders>
            <w:noWrap/>
            <w:vAlign w:val="bottom"/>
            <w:hideMark/>
          </w:tcPr>
          <w:p w14:paraId="78BAA55C" w14:textId="77777777" w:rsidR="00BE7A2D" w:rsidRPr="00AC2556" w:rsidRDefault="00BE7A2D" w:rsidP="005A7661">
            <w:pPr>
              <w:spacing w:after="0"/>
              <w:jc w:val="left"/>
              <w:rPr>
                <w:rFonts w:ascii="Aptos Narrow" w:hAnsi="Aptos Narrow" w:cs="Times New Roman"/>
                <w:i/>
                <w:iCs/>
                <w:color w:val="000000"/>
                <w:lang w:eastAsia="fr-FR"/>
              </w:rPr>
            </w:pPr>
            <w:r w:rsidRPr="00AC2556">
              <w:rPr>
                <w:rFonts w:ascii="Aptos Narrow" w:hAnsi="Aptos Narrow" w:cs="Times New Roman"/>
                <w:i/>
                <w:iCs/>
                <w:color w:val="000000"/>
                <w:lang w:eastAsia="fr-FR"/>
              </w:rPr>
              <w:t>Ciconia ciconia</w:t>
            </w:r>
          </w:p>
        </w:tc>
        <w:tc>
          <w:tcPr>
            <w:tcW w:w="288" w:type="pct"/>
            <w:tcBorders>
              <w:top w:val="single" w:sz="4" w:space="0" w:color="196B24"/>
              <w:left w:val="nil"/>
              <w:bottom w:val="nil"/>
              <w:right w:val="nil"/>
            </w:tcBorders>
            <w:noWrap/>
            <w:vAlign w:val="bottom"/>
            <w:hideMark/>
          </w:tcPr>
          <w:p w14:paraId="2B66A44C" w14:textId="77777777" w:rsidR="00BE7A2D" w:rsidRPr="00AC2556" w:rsidRDefault="00BE7A2D" w:rsidP="005A7661">
            <w:pPr>
              <w:spacing w:after="0"/>
              <w:jc w:val="center"/>
              <w:rPr>
                <w:rFonts w:ascii="Aptos Narrow" w:hAnsi="Aptos Narrow" w:cs="Times New Roman"/>
                <w:color w:val="000000"/>
                <w:lang w:eastAsia="fr-FR"/>
              </w:rPr>
            </w:pPr>
            <w:r w:rsidRPr="00AC2556">
              <w:rPr>
                <w:rFonts w:ascii="Aptos Narrow" w:hAnsi="Aptos Narrow" w:cs="Times New Roman"/>
                <w:color w:val="000000"/>
                <w:lang w:eastAsia="fr-FR"/>
              </w:rPr>
              <w:t>2</w:t>
            </w:r>
          </w:p>
        </w:tc>
        <w:tc>
          <w:tcPr>
            <w:tcW w:w="813" w:type="pct"/>
            <w:tcBorders>
              <w:top w:val="single" w:sz="4" w:space="0" w:color="196B24"/>
              <w:left w:val="nil"/>
              <w:bottom w:val="nil"/>
              <w:right w:val="nil"/>
            </w:tcBorders>
            <w:noWrap/>
            <w:vAlign w:val="bottom"/>
            <w:hideMark/>
          </w:tcPr>
          <w:p w14:paraId="1BB9C46A" w14:textId="77777777" w:rsidR="00BE7A2D" w:rsidRPr="00AC2556" w:rsidRDefault="00BE7A2D" w:rsidP="005A7661">
            <w:pPr>
              <w:spacing w:after="0"/>
              <w:jc w:val="left"/>
              <w:rPr>
                <w:rFonts w:ascii="Aptos Narrow" w:hAnsi="Aptos Narrow" w:cs="Times New Roman"/>
                <w:color w:val="000000"/>
                <w:lang w:eastAsia="fr-FR"/>
              </w:rPr>
            </w:pPr>
            <w:r w:rsidRPr="00AC2556">
              <w:rPr>
                <w:rFonts w:ascii="Aptos Narrow" w:hAnsi="Aptos Narrow" w:cs="Times New Roman"/>
                <w:color w:val="000000"/>
                <w:lang w:eastAsia="fr-FR"/>
              </w:rPr>
              <w:t>Pylône réseau télécom</w:t>
            </w:r>
          </w:p>
        </w:tc>
        <w:tc>
          <w:tcPr>
            <w:tcW w:w="585" w:type="pct"/>
            <w:tcBorders>
              <w:top w:val="single" w:sz="4" w:space="0" w:color="196B24"/>
              <w:left w:val="nil"/>
              <w:bottom w:val="nil"/>
              <w:right w:val="single" w:sz="4" w:space="0" w:color="196B24"/>
            </w:tcBorders>
            <w:noWrap/>
            <w:vAlign w:val="bottom"/>
            <w:hideMark/>
          </w:tcPr>
          <w:p w14:paraId="40B0D0F4" w14:textId="77777777" w:rsidR="00BE7A2D" w:rsidRPr="00AC2556" w:rsidRDefault="00BE7A2D" w:rsidP="005A7661">
            <w:pPr>
              <w:spacing w:after="0"/>
              <w:jc w:val="center"/>
              <w:rPr>
                <w:rFonts w:ascii="Aptos Narrow" w:hAnsi="Aptos Narrow" w:cs="Times New Roman"/>
                <w:color w:val="000000"/>
                <w:lang w:eastAsia="fr-FR"/>
              </w:rPr>
            </w:pPr>
            <w:r w:rsidRPr="00AC2556">
              <w:rPr>
                <w:rFonts w:ascii="Aptos Narrow" w:hAnsi="Aptos Narrow" w:cs="Times New Roman"/>
                <w:color w:val="000000"/>
                <w:lang w:eastAsia="fr-FR"/>
              </w:rPr>
              <w:t>10-30m</w:t>
            </w:r>
          </w:p>
        </w:tc>
      </w:tr>
      <w:tr w:rsidR="00BE7A2D" w:rsidRPr="00AC2556" w14:paraId="0A0BDCF1" w14:textId="77777777" w:rsidTr="005A7661">
        <w:trPr>
          <w:trHeight w:val="288"/>
        </w:trPr>
        <w:tc>
          <w:tcPr>
            <w:tcW w:w="159" w:type="pct"/>
            <w:tcBorders>
              <w:top w:val="single" w:sz="4" w:space="0" w:color="196B24"/>
              <w:left w:val="single" w:sz="4" w:space="0" w:color="196B24"/>
              <w:bottom w:val="nil"/>
              <w:right w:val="nil"/>
            </w:tcBorders>
            <w:noWrap/>
            <w:vAlign w:val="bottom"/>
            <w:hideMark/>
          </w:tcPr>
          <w:p w14:paraId="545AA790" w14:textId="77777777" w:rsidR="00BE7A2D" w:rsidRPr="00AC2556" w:rsidRDefault="00BE7A2D" w:rsidP="005A7661">
            <w:pPr>
              <w:spacing w:after="0"/>
              <w:jc w:val="center"/>
              <w:rPr>
                <w:rFonts w:ascii="Aptos Narrow" w:hAnsi="Aptos Narrow" w:cs="Times New Roman"/>
                <w:color w:val="000000"/>
                <w:lang w:eastAsia="fr-FR"/>
              </w:rPr>
            </w:pPr>
            <w:r w:rsidRPr="00AC2556">
              <w:rPr>
                <w:rFonts w:ascii="Aptos Narrow" w:hAnsi="Aptos Narrow" w:cs="Times New Roman"/>
                <w:color w:val="000000"/>
                <w:lang w:eastAsia="fr-FR"/>
              </w:rPr>
              <w:t>37</w:t>
            </w:r>
          </w:p>
        </w:tc>
        <w:tc>
          <w:tcPr>
            <w:tcW w:w="1062" w:type="pct"/>
            <w:tcBorders>
              <w:top w:val="single" w:sz="4" w:space="0" w:color="196B24"/>
              <w:left w:val="nil"/>
              <w:bottom w:val="nil"/>
              <w:right w:val="nil"/>
            </w:tcBorders>
            <w:noWrap/>
            <w:vAlign w:val="bottom"/>
            <w:hideMark/>
          </w:tcPr>
          <w:p w14:paraId="34DB3061" w14:textId="77777777" w:rsidR="00BE7A2D" w:rsidRPr="00AC2556" w:rsidRDefault="00BE7A2D" w:rsidP="005A7661">
            <w:pPr>
              <w:spacing w:after="0"/>
              <w:jc w:val="center"/>
              <w:rPr>
                <w:rFonts w:ascii="Aptos Narrow" w:hAnsi="Aptos Narrow" w:cs="Times New Roman"/>
                <w:color w:val="000000"/>
                <w:lang w:eastAsia="fr-FR"/>
              </w:rPr>
            </w:pPr>
            <w:r w:rsidRPr="00AC2556">
              <w:rPr>
                <w:rFonts w:ascii="Aptos Narrow" w:hAnsi="Aptos Narrow" w:cs="Times New Roman"/>
                <w:color w:val="000000"/>
                <w:lang w:eastAsia="fr-FR"/>
              </w:rPr>
              <w:t>31° 41' 11.629''</w:t>
            </w:r>
          </w:p>
        </w:tc>
        <w:tc>
          <w:tcPr>
            <w:tcW w:w="1149" w:type="pct"/>
            <w:tcBorders>
              <w:top w:val="single" w:sz="4" w:space="0" w:color="196B24"/>
              <w:left w:val="nil"/>
              <w:bottom w:val="nil"/>
              <w:right w:val="nil"/>
            </w:tcBorders>
            <w:noWrap/>
            <w:vAlign w:val="bottom"/>
            <w:hideMark/>
          </w:tcPr>
          <w:p w14:paraId="57DBD6BF" w14:textId="77777777" w:rsidR="00BE7A2D" w:rsidRPr="00AC2556" w:rsidRDefault="00BE7A2D" w:rsidP="005A7661">
            <w:pPr>
              <w:spacing w:after="0"/>
              <w:jc w:val="center"/>
              <w:rPr>
                <w:rFonts w:ascii="Aptos Narrow" w:hAnsi="Aptos Narrow" w:cs="Times New Roman"/>
                <w:color w:val="000000"/>
                <w:lang w:eastAsia="fr-FR"/>
              </w:rPr>
            </w:pPr>
            <w:r w:rsidRPr="00AC2556">
              <w:rPr>
                <w:rFonts w:ascii="Aptos Narrow" w:hAnsi="Aptos Narrow" w:cs="Times New Roman"/>
                <w:color w:val="000000"/>
                <w:lang w:eastAsia="fr-FR"/>
              </w:rPr>
              <w:t>8° 4' 28.81''</w:t>
            </w:r>
          </w:p>
        </w:tc>
        <w:tc>
          <w:tcPr>
            <w:tcW w:w="943" w:type="pct"/>
            <w:tcBorders>
              <w:top w:val="single" w:sz="4" w:space="0" w:color="196B24"/>
              <w:left w:val="nil"/>
              <w:bottom w:val="nil"/>
              <w:right w:val="nil"/>
            </w:tcBorders>
            <w:noWrap/>
            <w:vAlign w:val="bottom"/>
            <w:hideMark/>
          </w:tcPr>
          <w:p w14:paraId="27CA519A" w14:textId="77777777" w:rsidR="00BE7A2D" w:rsidRPr="00AC2556" w:rsidRDefault="00BE7A2D" w:rsidP="005A7661">
            <w:pPr>
              <w:spacing w:after="0"/>
              <w:jc w:val="left"/>
              <w:rPr>
                <w:rFonts w:ascii="Aptos Narrow" w:hAnsi="Aptos Narrow" w:cs="Times New Roman"/>
                <w:i/>
                <w:iCs/>
                <w:color w:val="000000"/>
                <w:lang w:eastAsia="fr-FR"/>
              </w:rPr>
            </w:pPr>
            <w:r w:rsidRPr="00AC2556">
              <w:rPr>
                <w:rFonts w:ascii="Aptos Narrow" w:hAnsi="Aptos Narrow" w:cs="Times New Roman"/>
                <w:i/>
                <w:iCs/>
                <w:color w:val="000000"/>
                <w:lang w:eastAsia="fr-FR"/>
              </w:rPr>
              <w:t>Ciconia ciconia</w:t>
            </w:r>
          </w:p>
        </w:tc>
        <w:tc>
          <w:tcPr>
            <w:tcW w:w="288" w:type="pct"/>
            <w:tcBorders>
              <w:top w:val="single" w:sz="4" w:space="0" w:color="196B24"/>
              <w:left w:val="nil"/>
              <w:bottom w:val="nil"/>
              <w:right w:val="nil"/>
            </w:tcBorders>
            <w:noWrap/>
            <w:vAlign w:val="bottom"/>
            <w:hideMark/>
          </w:tcPr>
          <w:p w14:paraId="17A95039" w14:textId="77777777" w:rsidR="00BE7A2D" w:rsidRPr="00AC2556" w:rsidRDefault="00BE7A2D" w:rsidP="005A7661">
            <w:pPr>
              <w:spacing w:after="0"/>
              <w:jc w:val="center"/>
              <w:rPr>
                <w:rFonts w:ascii="Aptos Narrow" w:hAnsi="Aptos Narrow" w:cs="Times New Roman"/>
                <w:color w:val="000000"/>
                <w:lang w:eastAsia="fr-FR"/>
              </w:rPr>
            </w:pPr>
            <w:r w:rsidRPr="00AC2556">
              <w:rPr>
                <w:rFonts w:ascii="Aptos Narrow" w:hAnsi="Aptos Narrow" w:cs="Times New Roman"/>
                <w:color w:val="000000"/>
                <w:lang w:eastAsia="fr-FR"/>
              </w:rPr>
              <w:t>2</w:t>
            </w:r>
          </w:p>
        </w:tc>
        <w:tc>
          <w:tcPr>
            <w:tcW w:w="813" w:type="pct"/>
            <w:tcBorders>
              <w:top w:val="single" w:sz="4" w:space="0" w:color="196B24"/>
              <w:left w:val="nil"/>
              <w:bottom w:val="nil"/>
              <w:right w:val="nil"/>
            </w:tcBorders>
            <w:noWrap/>
            <w:vAlign w:val="bottom"/>
            <w:hideMark/>
          </w:tcPr>
          <w:p w14:paraId="557754ED" w14:textId="77777777" w:rsidR="00BE7A2D" w:rsidRPr="00AC2556" w:rsidRDefault="00BE7A2D" w:rsidP="005A7661">
            <w:pPr>
              <w:spacing w:after="0"/>
              <w:jc w:val="left"/>
              <w:rPr>
                <w:rFonts w:ascii="Aptos Narrow" w:hAnsi="Aptos Narrow" w:cs="Times New Roman"/>
                <w:color w:val="000000"/>
                <w:lang w:eastAsia="fr-FR"/>
              </w:rPr>
            </w:pPr>
            <w:r w:rsidRPr="00AC2556">
              <w:rPr>
                <w:rFonts w:ascii="Aptos Narrow" w:hAnsi="Aptos Narrow" w:cs="Times New Roman"/>
                <w:color w:val="000000"/>
                <w:lang w:eastAsia="fr-FR"/>
              </w:rPr>
              <w:t>Pylône réseau télécom</w:t>
            </w:r>
          </w:p>
        </w:tc>
        <w:tc>
          <w:tcPr>
            <w:tcW w:w="585" w:type="pct"/>
            <w:tcBorders>
              <w:top w:val="single" w:sz="4" w:space="0" w:color="196B24"/>
              <w:left w:val="nil"/>
              <w:bottom w:val="nil"/>
              <w:right w:val="single" w:sz="4" w:space="0" w:color="196B24"/>
            </w:tcBorders>
            <w:noWrap/>
            <w:vAlign w:val="bottom"/>
            <w:hideMark/>
          </w:tcPr>
          <w:p w14:paraId="5E01E71B" w14:textId="77777777" w:rsidR="00BE7A2D" w:rsidRPr="00AC2556" w:rsidRDefault="00BE7A2D" w:rsidP="005A7661">
            <w:pPr>
              <w:spacing w:after="0"/>
              <w:jc w:val="center"/>
              <w:rPr>
                <w:rFonts w:ascii="Aptos Narrow" w:hAnsi="Aptos Narrow" w:cs="Times New Roman"/>
                <w:color w:val="000000"/>
                <w:lang w:eastAsia="fr-FR"/>
              </w:rPr>
            </w:pPr>
            <w:r w:rsidRPr="00AC2556">
              <w:rPr>
                <w:rFonts w:ascii="Aptos Narrow" w:hAnsi="Aptos Narrow" w:cs="Times New Roman"/>
                <w:color w:val="000000"/>
                <w:lang w:eastAsia="fr-FR"/>
              </w:rPr>
              <w:t>10-30m</w:t>
            </w:r>
          </w:p>
        </w:tc>
      </w:tr>
      <w:tr w:rsidR="00BE7A2D" w:rsidRPr="00AC2556" w14:paraId="79DD25D8" w14:textId="77777777" w:rsidTr="005A7661">
        <w:trPr>
          <w:trHeight w:val="288"/>
        </w:trPr>
        <w:tc>
          <w:tcPr>
            <w:tcW w:w="159" w:type="pct"/>
            <w:tcBorders>
              <w:top w:val="single" w:sz="4" w:space="0" w:color="196B24"/>
              <w:left w:val="single" w:sz="4" w:space="0" w:color="196B24"/>
              <w:bottom w:val="nil"/>
              <w:right w:val="nil"/>
            </w:tcBorders>
            <w:noWrap/>
            <w:vAlign w:val="bottom"/>
            <w:hideMark/>
          </w:tcPr>
          <w:p w14:paraId="0427ACC5" w14:textId="77777777" w:rsidR="00BE7A2D" w:rsidRPr="00AC2556" w:rsidRDefault="00BE7A2D" w:rsidP="005A7661">
            <w:pPr>
              <w:spacing w:after="0"/>
              <w:jc w:val="center"/>
              <w:rPr>
                <w:rFonts w:ascii="Aptos Narrow" w:hAnsi="Aptos Narrow" w:cs="Times New Roman"/>
                <w:color w:val="000000"/>
                <w:lang w:eastAsia="fr-FR"/>
              </w:rPr>
            </w:pPr>
            <w:r w:rsidRPr="00AC2556">
              <w:rPr>
                <w:rFonts w:ascii="Aptos Narrow" w:hAnsi="Aptos Narrow" w:cs="Times New Roman"/>
                <w:color w:val="000000"/>
                <w:lang w:eastAsia="fr-FR"/>
              </w:rPr>
              <w:t>38</w:t>
            </w:r>
          </w:p>
        </w:tc>
        <w:tc>
          <w:tcPr>
            <w:tcW w:w="1062" w:type="pct"/>
            <w:tcBorders>
              <w:top w:val="single" w:sz="4" w:space="0" w:color="196B24"/>
              <w:left w:val="nil"/>
              <w:bottom w:val="nil"/>
              <w:right w:val="nil"/>
            </w:tcBorders>
            <w:noWrap/>
            <w:vAlign w:val="bottom"/>
            <w:hideMark/>
          </w:tcPr>
          <w:p w14:paraId="011BC348" w14:textId="77777777" w:rsidR="00BE7A2D" w:rsidRPr="00AC2556" w:rsidRDefault="00BE7A2D" w:rsidP="005A7661">
            <w:pPr>
              <w:spacing w:after="0"/>
              <w:jc w:val="center"/>
              <w:rPr>
                <w:rFonts w:ascii="Aptos Narrow" w:hAnsi="Aptos Narrow" w:cs="Times New Roman"/>
                <w:color w:val="000000"/>
                <w:lang w:eastAsia="fr-FR"/>
              </w:rPr>
            </w:pPr>
            <w:r w:rsidRPr="00AC2556">
              <w:rPr>
                <w:rFonts w:ascii="Aptos Narrow" w:hAnsi="Aptos Narrow" w:cs="Times New Roman"/>
                <w:color w:val="000000"/>
                <w:lang w:eastAsia="fr-FR"/>
              </w:rPr>
              <w:t>31° 38' 7.378''</w:t>
            </w:r>
          </w:p>
        </w:tc>
        <w:tc>
          <w:tcPr>
            <w:tcW w:w="1149" w:type="pct"/>
            <w:tcBorders>
              <w:top w:val="single" w:sz="4" w:space="0" w:color="196B24"/>
              <w:left w:val="nil"/>
              <w:bottom w:val="nil"/>
              <w:right w:val="nil"/>
            </w:tcBorders>
            <w:noWrap/>
            <w:vAlign w:val="bottom"/>
            <w:hideMark/>
          </w:tcPr>
          <w:p w14:paraId="211F6019" w14:textId="77777777" w:rsidR="00BE7A2D" w:rsidRPr="00AC2556" w:rsidRDefault="00BE7A2D" w:rsidP="005A7661">
            <w:pPr>
              <w:spacing w:after="0"/>
              <w:jc w:val="center"/>
              <w:rPr>
                <w:rFonts w:ascii="Aptos Narrow" w:hAnsi="Aptos Narrow" w:cs="Times New Roman"/>
                <w:color w:val="000000"/>
                <w:lang w:eastAsia="fr-FR"/>
              </w:rPr>
            </w:pPr>
            <w:r w:rsidRPr="00AC2556">
              <w:rPr>
                <w:rFonts w:ascii="Aptos Narrow" w:hAnsi="Aptos Narrow" w:cs="Times New Roman"/>
                <w:color w:val="000000"/>
                <w:lang w:eastAsia="fr-FR"/>
              </w:rPr>
              <w:t>8° 5' 41.224''</w:t>
            </w:r>
          </w:p>
        </w:tc>
        <w:tc>
          <w:tcPr>
            <w:tcW w:w="943" w:type="pct"/>
            <w:tcBorders>
              <w:top w:val="single" w:sz="4" w:space="0" w:color="196B24"/>
              <w:left w:val="nil"/>
              <w:bottom w:val="nil"/>
              <w:right w:val="nil"/>
            </w:tcBorders>
            <w:noWrap/>
            <w:vAlign w:val="bottom"/>
            <w:hideMark/>
          </w:tcPr>
          <w:p w14:paraId="4BB668BD" w14:textId="77777777" w:rsidR="00BE7A2D" w:rsidRPr="00AC2556" w:rsidRDefault="00BE7A2D" w:rsidP="005A7661">
            <w:pPr>
              <w:spacing w:after="0"/>
              <w:jc w:val="left"/>
              <w:rPr>
                <w:rFonts w:ascii="Aptos Narrow" w:hAnsi="Aptos Narrow" w:cs="Times New Roman"/>
                <w:i/>
                <w:iCs/>
                <w:color w:val="000000"/>
                <w:lang w:eastAsia="fr-FR"/>
              </w:rPr>
            </w:pPr>
            <w:r w:rsidRPr="00AC2556">
              <w:rPr>
                <w:rFonts w:ascii="Aptos Narrow" w:hAnsi="Aptos Narrow" w:cs="Times New Roman"/>
                <w:i/>
                <w:iCs/>
                <w:color w:val="000000"/>
                <w:lang w:eastAsia="fr-FR"/>
              </w:rPr>
              <w:t>Ciconia ciconia</w:t>
            </w:r>
          </w:p>
        </w:tc>
        <w:tc>
          <w:tcPr>
            <w:tcW w:w="288" w:type="pct"/>
            <w:tcBorders>
              <w:top w:val="single" w:sz="4" w:space="0" w:color="196B24"/>
              <w:left w:val="nil"/>
              <w:bottom w:val="nil"/>
              <w:right w:val="nil"/>
            </w:tcBorders>
            <w:noWrap/>
            <w:vAlign w:val="bottom"/>
            <w:hideMark/>
          </w:tcPr>
          <w:p w14:paraId="2FDCEED8" w14:textId="77777777" w:rsidR="00BE7A2D" w:rsidRPr="00AC2556" w:rsidRDefault="00BE7A2D" w:rsidP="005A7661">
            <w:pPr>
              <w:spacing w:after="0"/>
              <w:jc w:val="center"/>
              <w:rPr>
                <w:rFonts w:ascii="Aptos Narrow" w:hAnsi="Aptos Narrow" w:cs="Times New Roman"/>
                <w:color w:val="000000"/>
                <w:lang w:eastAsia="fr-FR"/>
              </w:rPr>
            </w:pPr>
            <w:r w:rsidRPr="00AC2556">
              <w:rPr>
                <w:rFonts w:ascii="Aptos Narrow" w:hAnsi="Aptos Narrow" w:cs="Times New Roman"/>
                <w:color w:val="000000"/>
                <w:lang w:eastAsia="fr-FR"/>
              </w:rPr>
              <w:t>1</w:t>
            </w:r>
          </w:p>
        </w:tc>
        <w:tc>
          <w:tcPr>
            <w:tcW w:w="813" w:type="pct"/>
            <w:tcBorders>
              <w:top w:val="single" w:sz="4" w:space="0" w:color="196B24"/>
              <w:left w:val="nil"/>
              <w:bottom w:val="nil"/>
              <w:right w:val="nil"/>
            </w:tcBorders>
            <w:noWrap/>
            <w:vAlign w:val="bottom"/>
            <w:hideMark/>
          </w:tcPr>
          <w:p w14:paraId="49C39DE6" w14:textId="77777777" w:rsidR="00BE7A2D" w:rsidRPr="00AC2556" w:rsidRDefault="00BE7A2D" w:rsidP="005A7661">
            <w:pPr>
              <w:spacing w:after="0"/>
              <w:jc w:val="left"/>
              <w:rPr>
                <w:rFonts w:ascii="Aptos Narrow" w:hAnsi="Aptos Narrow" w:cs="Times New Roman"/>
                <w:color w:val="000000"/>
                <w:lang w:eastAsia="fr-FR"/>
              </w:rPr>
            </w:pPr>
            <w:r w:rsidRPr="00AC2556">
              <w:rPr>
                <w:rFonts w:ascii="Aptos Narrow" w:hAnsi="Aptos Narrow" w:cs="Times New Roman"/>
                <w:color w:val="000000"/>
                <w:lang w:eastAsia="fr-FR"/>
              </w:rPr>
              <w:t>Minaret</w:t>
            </w:r>
          </w:p>
        </w:tc>
        <w:tc>
          <w:tcPr>
            <w:tcW w:w="585" w:type="pct"/>
            <w:tcBorders>
              <w:top w:val="single" w:sz="4" w:space="0" w:color="196B24"/>
              <w:left w:val="nil"/>
              <w:bottom w:val="nil"/>
              <w:right w:val="single" w:sz="4" w:space="0" w:color="196B24"/>
            </w:tcBorders>
            <w:noWrap/>
            <w:vAlign w:val="bottom"/>
            <w:hideMark/>
          </w:tcPr>
          <w:p w14:paraId="708D5AB1" w14:textId="77777777" w:rsidR="00BE7A2D" w:rsidRPr="00AC2556" w:rsidRDefault="00BE7A2D" w:rsidP="005A7661">
            <w:pPr>
              <w:spacing w:after="0"/>
              <w:jc w:val="center"/>
              <w:rPr>
                <w:rFonts w:ascii="Aptos Narrow" w:hAnsi="Aptos Narrow" w:cs="Times New Roman"/>
                <w:color w:val="000000"/>
                <w:lang w:eastAsia="fr-FR"/>
              </w:rPr>
            </w:pPr>
            <w:r w:rsidRPr="00AC2556">
              <w:rPr>
                <w:rFonts w:ascii="Aptos Narrow" w:hAnsi="Aptos Narrow" w:cs="Times New Roman"/>
                <w:color w:val="000000"/>
                <w:lang w:eastAsia="fr-FR"/>
              </w:rPr>
              <w:t>10-30m</w:t>
            </w:r>
          </w:p>
        </w:tc>
      </w:tr>
      <w:tr w:rsidR="00BE7A2D" w:rsidRPr="00AC2556" w14:paraId="5C8C9BC4" w14:textId="77777777" w:rsidTr="005A7661">
        <w:trPr>
          <w:trHeight w:val="288"/>
        </w:trPr>
        <w:tc>
          <w:tcPr>
            <w:tcW w:w="159" w:type="pct"/>
            <w:tcBorders>
              <w:top w:val="single" w:sz="4" w:space="0" w:color="196B24"/>
              <w:left w:val="single" w:sz="4" w:space="0" w:color="196B24"/>
              <w:bottom w:val="nil"/>
              <w:right w:val="nil"/>
            </w:tcBorders>
            <w:noWrap/>
            <w:vAlign w:val="bottom"/>
            <w:hideMark/>
          </w:tcPr>
          <w:p w14:paraId="3401BEE3" w14:textId="77777777" w:rsidR="00BE7A2D" w:rsidRPr="00AC2556" w:rsidRDefault="00BE7A2D" w:rsidP="005A7661">
            <w:pPr>
              <w:spacing w:after="0"/>
              <w:jc w:val="center"/>
              <w:rPr>
                <w:rFonts w:ascii="Aptos Narrow" w:hAnsi="Aptos Narrow" w:cs="Times New Roman"/>
                <w:color w:val="000000"/>
                <w:lang w:eastAsia="fr-FR"/>
              </w:rPr>
            </w:pPr>
            <w:r w:rsidRPr="00AC2556">
              <w:rPr>
                <w:rFonts w:ascii="Aptos Narrow" w:hAnsi="Aptos Narrow" w:cs="Times New Roman"/>
                <w:color w:val="000000"/>
                <w:lang w:eastAsia="fr-FR"/>
              </w:rPr>
              <w:t>39</w:t>
            </w:r>
          </w:p>
        </w:tc>
        <w:tc>
          <w:tcPr>
            <w:tcW w:w="1062" w:type="pct"/>
            <w:tcBorders>
              <w:top w:val="single" w:sz="4" w:space="0" w:color="196B24"/>
              <w:left w:val="nil"/>
              <w:bottom w:val="nil"/>
              <w:right w:val="nil"/>
            </w:tcBorders>
            <w:noWrap/>
            <w:vAlign w:val="bottom"/>
            <w:hideMark/>
          </w:tcPr>
          <w:p w14:paraId="4204E833" w14:textId="77777777" w:rsidR="00BE7A2D" w:rsidRPr="00AC2556" w:rsidRDefault="00BE7A2D" w:rsidP="005A7661">
            <w:pPr>
              <w:spacing w:after="0"/>
              <w:jc w:val="center"/>
              <w:rPr>
                <w:rFonts w:ascii="Aptos Narrow" w:hAnsi="Aptos Narrow" w:cs="Times New Roman"/>
                <w:color w:val="000000"/>
                <w:lang w:eastAsia="fr-FR"/>
              </w:rPr>
            </w:pPr>
            <w:r w:rsidRPr="00AC2556">
              <w:rPr>
                <w:rFonts w:ascii="Aptos Narrow" w:hAnsi="Aptos Narrow" w:cs="Times New Roman"/>
                <w:color w:val="000000"/>
                <w:lang w:eastAsia="fr-FR"/>
              </w:rPr>
              <w:t>31° 38' 19.98'</w:t>
            </w:r>
          </w:p>
        </w:tc>
        <w:tc>
          <w:tcPr>
            <w:tcW w:w="1149" w:type="pct"/>
            <w:tcBorders>
              <w:top w:val="single" w:sz="4" w:space="0" w:color="196B24"/>
              <w:left w:val="nil"/>
              <w:bottom w:val="nil"/>
              <w:right w:val="nil"/>
            </w:tcBorders>
            <w:noWrap/>
            <w:vAlign w:val="bottom"/>
            <w:hideMark/>
          </w:tcPr>
          <w:p w14:paraId="514CCF48" w14:textId="77777777" w:rsidR="00BE7A2D" w:rsidRPr="00AC2556" w:rsidRDefault="00BE7A2D" w:rsidP="005A7661">
            <w:pPr>
              <w:spacing w:after="0"/>
              <w:jc w:val="center"/>
              <w:rPr>
                <w:rFonts w:ascii="Aptos Narrow" w:hAnsi="Aptos Narrow" w:cs="Times New Roman"/>
                <w:color w:val="000000"/>
                <w:lang w:eastAsia="fr-FR"/>
              </w:rPr>
            </w:pPr>
            <w:r w:rsidRPr="00AC2556">
              <w:rPr>
                <w:rFonts w:ascii="Aptos Narrow" w:hAnsi="Aptos Narrow" w:cs="Times New Roman"/>
                <w:color w:val="000000"/>
                <w:lang w:eastAsia="fr-FR"/>
              </w:rPr>
              <w:t>8° 6' 26.71''</w:t>
            </w:r>
          </w:p>
        </w:tc>
        <w:tc>
          <w:tcPr>
            <w:tcW w:w="943" w:type="pct"/>
            <w:tcBorders>
              <w:top w:val="single" w:sz="4" w:space="0" w:color="196B24"/>
              <w:left w:val="nil"/>
              <w:bottom w:val="nil"/>
              <w:right w:val="nil"/>
            </w:tcBorders>
            <w:noWrap/>
            <w:vAlign w:val="bottom"/>
            <w:hideMark/>
          </w:tcPr>
          <w:p w14:paraId="0AB8E66F" w14:textId="77777777" w:rsidR="00BE7A2D" w:rsidRPr="00AC2556" w:rsidRDefault="00BE7A2D" w:rsidP="005A7661">
            <w:pPr>
              <w:spacing w:after="0"/>
              <w:jc w:val="left"/>
              <w:rPr>
                <w:rFonts w:ascii="Aptos Narrow" w:hAnsi="Aptos Narrow" w:cs="Times New Roman"/>
                <w:i/>
                <w:iCs/>
                <w:color w:val="000000"/>
                <w:lang w:eastAsia="fr-FR"/>
              </w:rPr>
            </w:pPr>
            <w:r w:rsidRPr="00AC2556">
              <w:rPr>
                <w:rFonts w:ascii="Aptos Narrow" w:hAnsi="Aptos Narrow" w:cs="Times New Roman"/>
                <w:i/>
                <w:iCs/>
                <w:color w:val="000000"/>
                <w:lang w:eastAsia="fr-FR"/>
              </w:rPr>
              <w:t>Ciconia ciconia</w:t>
            </w:r>
          </w:p>
        </w:tc>
        <w:tc>
          <w:tcPr>
            <w:tcW w:w="288" w:type="pct"/>
            <w:tcBorders>
              <w:top w:val="single" w:sz="4" w:space="0" w:color="196B24"/>
              <w:left w:val="nil"/>
              <w:bottom w:val="nil"/>
              <w:right w:val="nil"/>
            </w:tcBorders>
            <w:noWrap/>
            <w:vAlign w:val="bottom"/>
            <w:hideMark/>
          </w:tcPr>
          <w:p w14:paraId="726CEBAA" w14:textId="77777777" w:rsidR="00BE7A2D" w:rsidRPr="00AC2556" w:rsidRDefault="00BE7A2D" w:rsidP="005A7661">
            <w:pPr>
              <w:spacing w:after="0"/>
              <w:jc w:val="center"/>
              <w:rPr>
                <w:rFonts w:ascii="Aptos Narrow" w:hAnsi="Aptos Narrow" w:cs="Times New Roman"/>
                <w:color w:val="000000"/>
                <w:lang w:eastAsia="fr-FR"/>
              </w:rPr>
            </w:pPr>
            <w:r w:rsidRPr="00AC2556">
              <w:rPr>
                <w:rFonts w:ascii="Aptos Narrow" w:hAnsi="Aptos Narrow" w:cs="Times New Roman"/>
                <w:color w:val="000000"/>
                <w:lang w:eastAsia="fr-FR"/>
              </w:rPr>
              <w:t>1</w:t>
            </w:r>
          </w:p>
        </w:tc>
        <w:tc>
          <w:tcPr>
            <w:tcW w:w="813" w:type="pct"/>
            <w:tcBorders>
              <w:top w:val="single" w:sz="4" w:space="0" w:color="196B24"/>
              <w:left w:val="nil"/>
              <w:bottom w:val="nil"/>
              <w:right w:val="nil"/>
            </w:tcBorders>
            <w:noWrap/>
            <w:vAlign w:val="bottom"/>
            <w:hideMark/>
          </w:tcPr>
          <w:p w14:paraId="5799D390" w14:textId="77777777" w:rsidR="00BE7A2D" w:rsidRPr="00AC2556" w:rsidRDefault="00BE7A2D" w:rsidP="005A7661">
            <w:pPr>
              <w:spacing w:after="0"/>
              <w:jc w:val="left"/>
              <w:rPr>
                <w:rFonts w:ascii="Aptos Narrow" w:hAnsi="Aptos Narrow" w:cs="Times New Roman"/>
                <w:color w:val="000000"/>
                <w:lang w:eastAsia="fr-FR"/>
              </w:rPr>
            </w:pPr>
            <w:r w:rsidRPr="00AC2556">
              <w:rPr>
                <w:rFonts w:ascii="Aptos Narrow" w:hAnsi="Aptos Narrow" w:cs="Times New Roman"/>
                <w:color w:val="000000"/>
                <w:lang w:eastAsia="fr-FR"/>
              </w:rPr>
              <w:t>Pylône réseau télécom</w:t>
            </w:r>
          </w:p>
        </w:tc>
        <w:tc>
          <w:tcPr>
            <w:tcW w:w="585" w:type="pct"/>
            <w:tcBorders>
              <w:top w:val="single" w:sz="4" w:space="0" w:color="196B24"/>
              <w:left w:val="nil"/>
              <w:bottom w:val="nil"/>
              <w:right w:val="single" w:sz="4" w:space="0" w:color="196B24"/>
            </w:tcBorders>
            <w:noWrap/>
            <w:vAlign w:val="bottom"/>
            <w:hideMark/>
          </w:tcPr>
          <w:p w14:paraId="4356306D" w14:textId="77777777" w:rsidR="00BE7A2D" w:rsidRPr="00AC2556" w:rsidRDefault="00BE7A2D" w:rsidP="005A7661">
            <w:pPr>
              <w:spacing w:after="0"/>
              <w:jc w:val="center"/>
              <w:rPr>
                <w:rFonts w:ascii="Aptos Narrow" w:hAnsi="Aptos Narrow" w:cs="Times New Roman"/>
                <w:color w:val="000000"/>
                <w:lang w:eastAsia="fr-FR"/>
              </w:rPr>
            </w:pPr>
            <w:r w:rsidRPr="00AC2556">
              <w:rPr>
                <w:rFonts w:ascii="Aptos Narrow" w:hAnsi="Aptos Narrow" w:cs="Times New Roman"/>
                <w:color w:val="000000"/>
                <w:lang w:eastAsia="fr-FR"/>
              </w:rPr>
              <w:t>10-30m</w:t>
            </w:r>
          </w:p>
        </w:tc>
      </w:tr>
      <w:tr w:rsidR="00BE7A2D" w:rsidRPr="00AC2556" w14:paraId="1D298DD8" w14:textId="77777777" w:rsidTr="005A7661">
        <w:trPr>
          <w:trHeight w:val="288"/>
        </w:trPr>
        <w:tc>
          <w:tcPr>
            <w:tcW w:w="159" w:type="pct"/>
            <w:tcBorders>
              <w:top w:val="single" w:sz="4" w:space="0" w:color="196B24"/>
              <w:left w:val="single" w:sz="4" w:space="0" w:color="196B24"/>
              <w:bottom w:val="nil"/>
              <w:right w:val="nil"/>
            </w:tcBorders>
            <w:noWrap/>
            <w:vAlign w:val="bottom"/>
            <w:hideMark/>
          </w:tcPr>
          <w:p w14:paraId="194083B3" w14:textId="77777777" w:rsidR="00BE7A2D" w:rsidRPr="00AC2556" w:rsidRDefault="00BE7A2D" w:rsidP="005A7661">
            <w:pPr>
              <w:spacing w:after="0"/>
              <w:jc w:val="center"/>
              <w:rPr>
                <w:rFonts w:ascii="Aptos Narrow" w:hAnsi="Aptos Narrow" w:cs="Times New Roman"/>
                <w:color w:val="000000"/>
                <w:lang w:eastAsia="fr-FR"/>
              </w:rPr>
            </w:pPr>
            <w:r w:rsidRPr="00AC2556">
              <w:rPr>
                <w:rFonts w:ascii="Aptos Narrow" w:hAnsi="Aptos Narrow" w:cs="Times New Roman"/>
                <w:color w:val="000000"/>
                <w:lang w:eastAsia="fr-FR"/>
              </w:rPr>
              <w:t>40</w:t>
            </w:r>
          </w:p>
        </w:tc>
        <w:tc>
          <w:tcPr>
            <w:tcW w:w="1062" w:type="pct"/>
            <w:tcBorders>
              <w:top w:val="single" w:sz="4" w:space="0" w:color="196B24"/>
              <w:left w:val="nil"/>
              <w:bottom w:val="nil"/>
              <w:right w:val="nil"/>
            </w:tcBorders>
            <w:noWrap/>
            <w:vAlign w:val="bottom"/>
            <w:hideMark/>
          </w:tcPr>
          <w:p w14:paraId="5B09272B" w14:textId="77777777" w:rsidR="00BE7A2D" w:rsidRPr="00AC2556" w:rsidRDefault="00BE7A2D" w:rsidP="005A7661">
            <w:pPr>
              <w:spacing w:after="0"/>
              <w:jc w:val="center"/>
              <w:rPr>
                <w:rFonts w:ascii="Aptos Narrow" w:hAnsi="Aptos Narrow" w:cs="Times New Roman"/>
                <w:color w:val="000000"/>
                <w:lang w:eastAsia="fr-FR"/>
              </w:rPr>
            </w:pPr>
            <w:r w:rsidRPr="00AC2556">
              <w:rPr>
                <w:rFonts w:ascii="Aptos Narrow" w:hAnsi="Aptos Narrow" w:cs="Times New Roman"/>
                <w:color w:val="000000"/>
                <w:lang w:eastAsia="fr-FR"/>
              </w:rPr>
              <w:t>31° 38' 46.629''</w:t>
            </w:r>
          </w:p>
        </w:tc>
        <w:tc>
          <w:tcPr>
            <w:tcW w:w="1149" w:type="pct"/>
            <w:tcBorders>
              <w:top w:val="single" w:sz="4" w:space="0" w:color="196B24"/>
              <w:left w:val="nil"/>
              <w:bottom w:val="nil"/>
              <w:right w:val="nil"/>
            </w:tcBorders>
            <w:noWrap/>
            <w:vAlign w:val="bottom"/>
            <w:hideMark/>
          </w:tcPr>
          <w:p w14:paraId="09307EDB" w14:textId="77777777" w:rsidR="00BE7A2D" w:rsidRPr="00AC2556" w:rsidRDefault="00BE7A2D" w:rsidP="005A7661">
            <w:pPr>
              <w:spacing w:after="0"/>
              <w:jc w:val="center"/>
              <w:rPr>
                <w:rFonts w:ascii="Aptos Narrow" w:hAnsi="Aptos Narrow" w:cs="Times New Roman"/>
                <w:color w:val="000000"/>
                <w:lang w:eastAsia="fr-FR"/>
              </w:rPr>
            </w:pPr>
            <w:r w:rsidRPr="00AC2556">
              <w:rPr>
                <w:rFonts w:ascii="Aptos Narrow" w:hAnsi="Aptos Narrow" w:cs="Times New Roman"/>
                <w:color w:val="000000"/>
                <w:lang w:eastAsia="fr-FR"/>
              </w:rPr>
              <w:t>8° 9' 17.765''</w:t>
            </w:r>
          </w:p>
        </w:tc>
        <w:tc>
          <w:tcPr>
            <w:tcW w:w="943" w:type="pct"/>
            <w:tcBorders>
              <w:top w:val="single" w:sz="4" w:space="0" w:color="196B24"/>
              <w:left w:val="nil"/>
              <w:bottom w:val="nil"/>
              <w:right w:val="nil"/>
            </w:tcBorders>
            <w:noWrap/>
            <w:vAlign w:val="bottom"/>
            <w:hideMark/>
          </w:tcPr>
          <w:p w14:paraId="247F500E" w14:textId="77777777" w:rsidR="00BE7A2D" w:rsidRPr="00AC2556" w:rsidRDefault="00BE7A2D" w:rsidP="005A7661">
            <w:pPr>
              <w:spacing w:after="0"/>
              <w:jc w:val="left"/>
              <w:rPr>
                <w:rFonts w:ascii="Aptos Narrow" w:hAnsi="Aptos Narrow" w:cs="Times New Roman"/>
                <w:i/>
                <w:iCs/>
                <w:color w:val="000000"/>
                <w:lang w:eastAsia="fr-FR"/>
              </w:rPr>
            </w:pPr>
            <w:r w:rsidRPr="00AC2556">
              <w:rPr>
                <w:rFonts w:ascii="Aptos Narrow" w:hAnsi="Aptos Narrow" w:cs="Times New Roman"/>
                <w:i/>
                <w:iCs/>
                <w:color w:val="000000"/>
                <w:lang w:eastAsia="fr-FR"/>
              </w:rPr>
              <w:t>Ciconia ciconia</w:t>
            </w:r>
          </w:p>
        </w:tc>
        <w:tc>
          <w:tcPr>
            <w:tcW w:w="288" w:type="pct"/>
            <w:tcBorders>
              <w:top w:val="single" w:sz="4" w:space="0" w:color="196B24"/>
              <w:left w:val="nil"/>
              <w:bottom w:val="nil"/>
              <w:right w:val="nil"/>
            </w:tcBorders>
            <w:noWrap/>
            <w:vAlign w:val="bottom"/>
            <w:hideMark/>
          </w:tcPr>
          <w:p w14:paraId="432F0147" w14:textId="77777777" w:rsidR="00BE7A2D" w:rsidRPr="00AC2556" w:rsidRDefault="00BE7A2D" w:rsidP="005A7661">
            <w:pPr>
              <w:spacing w:after="0"/>
              <w:jc w:val="center"/>
              <w:rPr>
                <w:rFonts w:ascii="Aptos Narrow" w:hAnsi="Aptos Narrow" w:cs="Times New Roman"/>
                <w:color w:val="000000"/>
                <w:lang w:eastAsia="fr-FR"/>
              </w:rPr>
            </w:pPr>
            <w:r w:rsidRPr="00AC2556">
              <w:rPr>
                <w:rFonts w:ascii="Aptos Narrow" w:hAnsi="Aptos Narrow" w:cs="Times New Roman"/>
                <w:color w:val="000000"/>
                <w:lang w:eastAsia="fr-FR"/>
              </w:rPr>
              <w:t>1</w:t>
            </w:r>
          </w:p>
        </w:tc>
        <w:tc>
          <w:tcPr>
            <w:tcW w:w="813" w:type="pct"/>
            <w:tcBorders>
              <w:top w:val="single" w:sz="4" w:space="0" w:color="196B24"/>
              <w:left w:val="nil"/>
              <w:bottom w:val="nil"/>
              <w:right w:val="nil"/>
            </w:tcBorders>
            <w:noWrap/>
            <w:vAlign w:val="bottom"/>
            <w:hideMark/>
          </w:tcPr>
          <w:p w14:paraId="7D50D29C" w14:textId="77777777" w:rsidR="00BE7A2D" w:rsidRPr="00AC2556" w:rsidRDefault="00BE7A2D" w:rsidP="005A7661">
            <w:pPr>
              <w:spacing w:after="0"/>
              <w:jc w:val="left"/>
              <w:rPr>
                <w:rFonts w:ascii="Aptos Narrow" w:hAnsi="Aptos Narrow" w:cs="Times New Roman"/>
                <w:color w:val="000000"/>
                <w:lang w:eastAsia="fr-FR"/>
              </w:rPr>
            </w:pPr>
            <w:r w:rsidRPr="00AC2556">
              <w:rPr>
                <w:rFonts w:ascii="Aptos Narrow" w:hAnsi="Aptos Narrow" w:cs="Times New Roman"/>
                <w:color w:val="000000"/>
                <w:lang w:eastAsia="fr-FR"/>
              </w:rPr>
              <w:t>Minaret (Mosquée)</w:t>
            </w:r>
          </w:p>
        </w:tc>
        <w:tc>
          <w:tcPr>
            <w:tcW w:w="585" w:type="pct"/>
            <w:tcBorders>
              <w:top w:val="single" w:sz="4" w:space="0" w:color="196B24"/>
              <w:left w:val="nil"/>
              <w:bottom w:val="nil"/>
              <w:right w:val="single" w:sz="4" w:space="0" w:color="196B24"/>
            </w:tcBorders>
            <w:noWrap/>
            <w:vAlign w:val="bottom"/>
            <w:hideMark/>
          </w:tcPr>
          <w:p w14:paraId="20ACB85D" w14:textId="77777777" w:rsidR="00BE7A2D" w:rsidRPr="00AC2556" w:rsidRDefault="00BE7A2D" w:rsidP="005A7661">
            <w:pPr>
              <w:spacing w:after="0"/>
              <w:jc w:val="center"/>
              <w:rPr>
                <w:rFonts w:ascii="Aptos Narrow" w:hAnsi="Aptos Narrow" w:cs="Times New Roman"/>
                <w:color w:val="000000"/>
                <w:lang w:eastAsia="fr-FR"/>
              </w:rPr>
            </w:pPr>
            <w:r w:rsidRPr="00AC2556">
              <w:rPr>
                <w:rFonts w:ascii="Aptos Narrow" w:hAnsi="Aptos Narrow" w:cs="Times New Roman"/>
                <w:color w:val="000000"/>
                <w:lang w:eastAsia="fr-FR"/>
              </w:rPr>
              <w:t>10-30m</w:t>
            </w:r>
          </w:p>
        </w:tc>
      </w:tr>
      <w:tr w:rsidR="00BE7A2D" w:rsidRPr="00AC2556" w14:paraId="566B6F6C" w14:textId="77777777" w:rsidTr="005A7661">
        <w:trPr>
          <w:trHeight w:val="288"/>
        </w:trPr>
        <w:tc>
          <w:tcPr>
            <w:tcW w:w="159" w:type="pct"/>
            <w:tcBorders>
              <w:top w:val="single" w:sz="4" w:space="0" w:color="196B24"/>
              <w:left w:val="single" w:sz="4" w:space="0" w:color="196B24"/>
              <w:bottom w:val="nil"/>
              <w:right w:val="nil"/>
            </w:tcBorders>
            <w:noWrap/>
            <w:vAlign w:val="bottom"/>
            <w:hideMark/>
          </w:tcPr>
          <w:p w14:paraId="5E336AF0" w14:textId="77777777" w:rsidR="00BE7A2D" w:rsidRPr="00AC2556" w:rsidRDefault="00BE7A2D" w:rsidP="005A7661">
            <w:pPr>
              <w:spacing w:after="0"/>
              <w:jc w:val="center"/>
              <w:rPr>
                <w:rFonts w:ascii="Aptos Narrow" w:hAnsi="Aptos Narrow" w:cs="Times New Roman"/>
                <w:color w:val="000000"/>
                <w:lang w:eastAsia="fr-FR"/>
              </w:rPr>
            </w:pPr>
            <w:r w:rsidRPr="00AC2556">
              <w:rPr>
                <w:rFonts w:ascii="Aptos Narrow" w:hAnsi="Aptos Narrow" w:cs="Times New Roman"/>
                <w:color w:val="000000"/>
                <w:lang w:eastAsia="fr-FR"/>
              </w:rPr>
              <w:t>41</w:t>
            </w:r>
          </w:p>
        </w:tc>
        <w:tc>
          <w:tcPr>
            <w:tcW w:w="1062" w:type="pct"/>
            <w:tcBorders>
              <w:top w:val="single" w:sz="4" w:space="0" w:color="196B24"/>
              <w:left w:val="nil"/>
              <w:bottom w:val="nil"/>
              <w:right w:val="nil"/>
            </w:tcBorders>
            <w:noWrap/>
            <w:vAlign w:val="bottom"/>
            <w:hideMark/>
          </w:tcPr>
          <w:p w14:paraId="759A605C" w14:textId="77777777" w:rsidR="00BE7A2D" w:rsidRPr="00AC2556" w:rsidRDefault="00BE7A2D" w:rsidP="005A7661">
            <w:pPr>
              <w:spacing w:after="0"/>
              <w:jc w:val="center"/>
              <w:rPr>
                <w:rFonts w:ascii="Aptos Narrow" w:hAnsi="Aptos Narrow" w:cs="Times New Roman"/>
                <w:color w:val="000000"/>
                <w:lang w:eastAsia="fr-FR"/>
              </w:rPr>
            </w:pPr>
            <w:r w:rsidRPr="00AC2556">
              <w:rPr>
                <w:rFonts w:ascii="Aptos Narrow" w:hAnsi="Aptos Narrow" w:cs="Times New Roman"/>
                <w:color w:val="000000"/>
                <w:lang w:eastAsia="fr-FR"/>
              </w:rPr>
              <w:t>31° 38' 40.317''</w:t>
            </w:r>
          </w:p>
        </w:tc>
        <w:tc>
          <w:tcPr>
            <w:tcW w:w="1149" w:type="pct"/>
            <w:tcBorders>
              <w:top w:val="single" w:sz="4" w:space="0" w:color="196B24"/>
              <w:left w:val="nil"/>
              <w:bottom w:val="nil"/>
              <w:right w:val="nil"/>
            </w:tcBorders>
            <w:noWrap/>
            <w:vAlign w:val="bottom"/>
            <w:hideMark/>
          </w:tcPr>
          <w:p w14:paraId="3E6FAE32" w14:textId="77777777" w:rsidR="00BE7A2D" w:rsidRPr="00AC2556" w:rsidRDefault="00BE7A2D" w:rsidP="005A7661">
            <w:pPr>
              <w:spacing w:after="0"/>
              <w:jc w:val="center"/>
              <w:rPr>
                <w:rFonts w:ascii="Aptos Narrow" w:hAnsi="Aptos Narrow" w:cs="Times New Roman"/>
                <w:color w:val="000000"/>
                <w:lang w:eastAsia="fr-FR"/>
              </w:rPr>
            </w:pPr>
            <w:r w:rsidRPr="00AC2556">
              <w:rPr>
                <w:rFonts w:ascii="Aptos Narrow" w:hAnsi="Aptos Narrow" w:cs="Times New Roman"/>
                <w:color w:val="000000"/>
                <w:lang w:eastAsia="fr-FR"/>
              </w:rPr>
              <w:t>8° 9' 4.991''</w:t>
            </w:r>
          </w:p>
        </w:tc>
        <w:tc>
          <w:tcPr>
            <w:tcW w:w="943" w:type="pct"/>
            <w:tcBorders>
              <w:top w:val="single" w:sz="4" w:space="0" w:color="196B24"/>
              <w:left w:val="nil"/>
              <w:bottom w:val="nil"/>
              <w:right w:val="nil"/>
            </w:tcBorders>
            <w:noWrap/>
            <w:vAlign w:val="bottom"/>
            <w:hideMark/>
          </w:tcPr>
          <w:p w14:paraId="5D7A88E8" w14:textId="77777777" w:rsidR="00BE7A2D" w:rsidRPr="00AC2556" w:rsidRDefault="00BE7A2D" w:rsidP="005A7661">
            <w:pPr>
              <w:spacing w:after="0"/>
              <w:jc w:val="left"/>
              <w:rPr>
                <w:rFonts w:ascii="Aptos Narrow" w:hAnsi="Aptos Narrow" w:cs="Times New Roman"/>
                <w:i/>
                <w:iCs/>
                <w:color w:val="000000"/>
                <w:lang w:eastAsia="fr-FR"/>
              </w:rPr>
            </w:pPr>
            <w:r w:rsidRPr="00AC2556">
              <w:rPr>
                <w:rFonts w:ascii="Aptos Narrow" w:hAnsi="Aptos Narrow" w:cs="Times New Roman"/>
                <w:i/>
                <w:iCs/>
                <w:color w:val="000000"/>
                <w:lang w:eastAsia="fr-FR"/>
              </w:rPr>
              <w:t>Ciconia ciconia</w:t>
            </w:r>
          </w:p>
        </w:tc>
        <w:tc>
          <w:tcPr>
            <w:tcW w:w="288" w:type="pct"/>
            <w:tcBorders>
              <w:top w:val="single" w:sz="4" w:space="0" w:color="196B24"/>
              <w:left w:val="nil"/>
              <w:bottom w:val="nil"/>
              <w:right w:val="nil"/>
            </w:tcBorders>
            <w:noWrap/>
            <w:vAlign w:val="bottom"/>
            <w:hideMark/>
          </w:tcPr>
          <w:p w14:paraId="40E316D4" w14:textId="77777777" w:rsidR="00BE7A2D" w:rsidRPr="00AC2556" w:rsidRDefault="00BE7A2D" w:rsidP="005A7661">
            <w:pPr>
              <w:spacing w:after="0"/>
              <w:jc w:val="center"/>
              <w:rPr>
                <w:rFonts w:ascii="Aptos Narrow" w:hAnsi="Aptos Narrow" w:cs="Times New Roman"/>
                <w:color w:val="000000"/>
                <w:lang w:eastAsia="fr-FR"/>
              </w:rPr>
            </w:pPr>
            <w:r w:rsidRPr="00AC2556">
              <w:rPr>
                <w:rFonts w:ascii="Aptos Narrow" w:hAnsi="Aptos Narrow" w:cs="Times New Roman"/>
                <w:color w:val="000000"/>
                <w:lang w:eastAsia="fr-FR"/>
              </w:rPr>
              <w:t>1</w:t>
            </w:r>
          </w:p>
        </w:tc>
        <w:tc>
          <w:tcPr>
            <w:tcW w:w="813" w:type="pct"/>
            <w:tcBorders>
              <w:top w:val="single" w:sz="4" w:space="0" w:color="196B24"/>
              <w:left w:val="nil"/>
              <w:bottom w:val="nil"/>
              <w:right w:val="nil"/>
            </w:tcBorders>
            <w:noWrap/>
            <w:vAlign w:val="bottom"/>
            <w:hideMark/>
          </w:tcPr>
          <w:p w14:paraId="62EFA818" w14:textId="77777777" w:rsidR="00BE7A2D" w:rsidRPr="00AC2556" w:rsidRDefault="00BE7A2D" w:rsidP="005A7661">
            <w:pPr>
              <w:spacing w:after="0"/>
              <w:jc w:val="left"/>
              <w:rPr>
                <w:rFonts w:ascii="Aptos Narrow" w:hAnsi="Aptos Narrow" w:cs="Times New Roman"/>
                <w:color w:val="000000"/>
                <w:lang w:eastAsia="fr-FR"/>
              </w:rPr>
            </w:pPr>
            <w:r w:rsidRPr="00AC2556">
              <w:rPr>
                <w:rFonts w:ascii="Aptos Narrow" w:hAnsi="Aptos Narrow" w:cs="Times New Roman"/>
                <w:color w:val="000000"/>
                <w:lang w:eastAsia="fr-FR"/>
              </w:rPr>
              <w:t>Pylône réseau télécom</w:t>
            </w:r>
          </w:p>
        </w:tc>
        <w:tc>
          <w:tcPr>
            <w:tcW w:w="585" w:type="pct"/>
            <w:tcBorders>
              <w:top w:val="single" w:sz="4" w:space="0" w:color="196B24"/>
              <w:left w:val="nil"/>
              <w:bottom w:val="nil"/>
              <w:right w:val="single" w:sz="4" w:space="0" w:color="196B24"/>
            </w:tcBorders>
            <w:noWrap/>
            <w:vAlign w:val="bottom"/>
            <w:hideMark/>
          </w:tcPr>
          <w:p w14:paraId="1F107BD5" w14:textId="77777777" w:rsidR="00BE7A2D" w:rsidRPr="00AC2556" w:rsidRDefault="00BE7A2D" w:rsidP="005A7661">
            <w:pPr>
              <w:spacing w:after="0"/>
              <w:jc w:val="center"/>
              <w:rPr>
                <w:rFonts w:ascii="Aptos Narrow" w:hAnsi="Aptos Narrow" w:cs="Times New Roman"/>
                <w:color w:val="000000"/>
                <w:lang w:eastAsia="fr-FR"/>
              </w:rPr>
            </w:pPr>
            <w:r w:rsidRPr="00AC2556">
              <w:rPr>
                <w:rFonts w:ascii="Aptos Narrow" w:hAnsi="Aptos Narrow" w:cs="Times New Roman"/>
                <w:color w:val="000000"/>
                <w:lang w:eastAsia="fr-FR"/>
              </w:rPr>
              <w:t>10-30m</w:t>
            </w:r>
          </w:p>
        </w:tc>
      </w:tr>
      <w:tr w:rsidR="00BE7A2D" w:rsidRPr="00AC2556" w14:paraId="5252EB7D" w14:textId="77777777" w:rsidTr="005A7661">
        <w:trPr>
          <w:trHeight w:val="288"/>
        </w:trPr>
        <w:tc>
          <w:tcPr>
            <w:tcW w:w="159" w:type="pct"/>
            <w:tcBorders>
              <w:top w:val="single" w:sz="4" w:space="0" w:color="196B24"/>
              <w:left w:val="single" w:sz="4" w:space="0" w:color="196B24"/>
              <w:bottom w:val="nil"/>
              <w:right w:val="nil"/>
            </w:tcBorders>
            <w:noWrap/>
            <w:vAlign w:val="bottom"/>
            <w:hideMark/>
          </w:tcPr>
          <w:p w14:paraId="729E624A" w14:textId="77777777" w:rsidR="00BE7A2D" w:rsidRPr="00AC2556" w:rsidRDefault="00BE7A2D" w:rsidP="005A7661">
            <w:pPr>
              <w:spacing w:after="0"/>
              <w:jc w:val="center"/>
              <w:rPr>
                <w:rFonts w:ascii="Aptos Narrow" w:hAnsi="Aptos Narrow" w:cs="Times New Roman"/>
                <w:color w:val="000000"/>
                <w:lang w:eastAsia="fr-FR"/>
              </w:rPr>
            </w:pPr>
            <w:r w:rsidRPr="00AC2556">
              <w:rPr>
                <w:rFonts w:ascii="Aptos Narrow" w:hAnsi="Aptos Narrow" w:cs="Times New Roman"/>
                <w:color w:val="000000"/>
                <w:lang w:eastAsia="fr-FR"/>
              </w:rPr>
              <w:t>42</w:t>
            </w:r>
          </w:p>
        </w:tc>
        <w:tc>
          <w:tcPr>
            <w:tcW w:w="1062" w:type="pct"/>
            <w:tcBorders>
              <w:top w:val="single" w:sz="4" w:space="0" w:color="196B24"/>
              <w:left w:val="nil"/>
              <w:bottom w:val="nil"/>
              <w:right w:val="nil"/>
            </w:tcBorders>
            <w:noWrap/>
            <w:vAlign w:val="bottom"/>
            <w:hideMark/>
          </w:tcPr>
          <w:p w14:paraId="412DABD7" w14:textId="77777777" w:rsidR="00BE7A2D" w:rsidRPr="00AC2556" w:rsidRDefault="00BE7A2D" w:rsidP="005A7661">
            <w:pPr>
              <w:spacing w:after="0"/>
              <w:jc w:val="center"/>
              <w:rPr>
                <w:rFonts w:ascii="Aptos Narrow" w:hAnsi="Aptos Narrow" w:cs="Times New Roman"/>
                <w:color w:val="000000"/>
                <w:lang w:eastAsia="fr-FR"/>
              </w:rPr>
            </w:pPr>
            <w:r w:rsidRPr="00AC2556">
              <w:rPr>
                <w:rFonts w:ascii="Aptos Narrow" w:hAnsi="Aptos Narrow" w:cs="Times New Roman"/>
                <w:color w:val="000000"/>
                <w:lang w:eastAsia="fr-FR"/>
              </w:rPr>
              <w:t xml:space="preserve">31°35'38,5''  </w:t>
            </w:r>
          </w:p>
        </w:tc>
        <w:tc>
          <w:tcPr>
            <w:tcW w:w="1149" w:type="pct"/>
            <w:tcBorders>
              <w:top w:val="single" w:sz="4" w:space="0" w:color="196B24"/>
              <w:left w:val="nil"/>
              <w:bottom w:val="nil"/>
              <w:right w:val="nil"/>
            </w:tcBorders>
            <w:noWrap/>
            <w:vAlign w:val="bottom"/>
            <w:hideMark/>
          </w:tcPr>
          <w:p w14:paraId="102633CC" w14:textId="77777777" w:rsidR="00BE7A2D" w:rsidRPr="00AC2556" w:rsidRDefault="00BE7A2D" w:rsidP="005A7661">
            <w:pPr>
              <w:spacing w:after="0"/>
              <w:jc w:val="center"/>
              <w:rPr>
                <w:rFonts w:ascii="Aptos Narrow" w:hAnsi="Aptos Narrow" w:cs="Times New Roman"/>
                <w:color w:val="000000"/>
                <w:lang w:eastAsia="fr-FR"/>
              </w:rPr>
            </w:pPr>
            <w:r w:rsidRPr="00AC2556">
              <w:rPr>
                <w:rFonts w:ascii="Aptos Narrow" w:hAnsi="Aptos Narrow" w:cs="Times New Roman"/>
                <w:color w:val="000000"/>
                <w:lang w:eastAsia="fr-FR"/>
              </w:rPr>
              <w:t xml:space="preserve"> 7°57'46,8'' </w:t>
            </w:r>
          </w:p>
        </w:tc>
        <w:tc>
          <w:tcPr>
            <w:tcW w:w="943" w:type="pct"/>
            <w:tcBorders>
              <w:top w:val="single" w:sz="4" w:space="0" w:color="196B24"/>
              <w:left w:val="nil"/>
              <w:bottom w:val="nil"/>
              <w:right w:val="nil"/>
            </w:tcBorders>
            <w:noWrap/>
            <w:vAlign w:val="bottom"/>
            <w:hideMark/>
          </w:tcPr>
          <w:p w14:paraId="249DC0AC" w14:textId="77777777" w:rsidR="00BE7A2D" w:rsidRPr="00AC2556" w:rsidRDefault="00BE7A2D" w:rsidP="005A7661">
            <w:pPr>
              <w:spacing w:after="0"/>
              <w:jc w:val="left"/>
              <w:rPr>
                <w:rFonts w:ascii="Aptos Narrow" w:hAnsi="Aptos Narrow" w:cs="Times New Roman"/>
                <w:i/>
                <w:iCs/>
                <w:color w:val="000000"/>
                <w:lang w:eastAsia="fr-FR"/>
              </w:rPr>
            </w:pPr>
            <w:r w:rsidRPr="00AC2556">
              <w:rPr>
                <w:rFonts w:ascii="Aptos Narrow" w:hAnsi="Aptos Narrow" w:cs="Times New Roman"/>
                <w:i/>
                <w:iCs/>
                <w:color w:val="000000"/>
                <w:lang w:eastAsia="fr-FR"/>
              </w:rPr>
              <w:t>Ciconia ciconia</w:t>
            </w:r>
          </w:p>
        </w:tc>
        <w:tc>
          <w:tcPr>
            <w:tcW w:w="288" w:type="pct"/>
            <w:tcBorders>
              <w:top w:val="single" w:sz="4" w:space="0" w:color="196B24"/>
              <w:left w:val="nil"/>
              <w:bottom w:val="nil"/>
              <w:right w:val="nil"/>
            </w:tcBorders>
            <w:noWrap/>
            <w:vAlign w:val="bottom"/>
            <w:hideMark/>
          </w:tcPr>
          <w:p w14:paraId="52F55CBA" w14:textId="77777777" w:rsidR="00BE7A2D" w:rsidRPr="00AC2556" w:rsidRDefault="00BE7A2D" w:rsidP="005A7661">
            <w:pPr>
              <w:spacing w:after="0"/>
              <w:jc w:val="center"/>
              <w:rPr>
                <w:rFonts w:ascii="Aptos Narrow" w:hAnsi="Aptos Narrow" w:cs="Times New Roman"/>
                <w:color w:val="000000"/>
                <w:lang w:eastAsia="fr-FR"/>
              </w:rPr>
            </w:pPr>
            <w:r w:rsidRPr="00AC2556">
              <w:rPr>
                <w:rFonts w:ascii="Aptos Narrow" w:hAnsi="Aptos Narrow" w:cs="Times New Roman"/>
                <w:color w:val="000000"/>
                <w:lang w:eastAsia="fr-FR"/>
              </w:rPr>
              <w:t>2</w:t>
            </w:r>
          </w:p>
        </w:tc>
        <w:tc>
          <w:tcPr>
            <w:tcW w:w="813" w:type="pct"/>
            <w:tcBorders>
              <w:top w:val="single" w:sz="4" w:space="0" w:color="196B24"/>
              <w:left w:val="nil"/>
              <w:bottom w:val="nil"/>
              <w:right w:val="nil"/>
            </w:tcBorders>
            <w:noWrap/>
            <w:vAlign w:val="bottom"/>
            <w:hideMark/>
          </w:tcPr>
          <w:p w14:paraId="29F32809" w14:textId="77777777" w:rsidR="00BE7A2D" w:rsidRPr="00AC2556" w:rsidRDefault="00BE7A2D" w:rsidP="005A7661">
            <w:pPr>
              <w:spacing w:after="0"/>
              <w:jc w:val="center"/>
              <w:rPr>
                <w:rFonts w:ascii="Aptos Narrow" w:hAnsi="Aptos Narrow" w:cs="Times New Roman"/>
                <w:color w:val="000000"/>
                <w:lang w:eastAsia="fr-FR"/>
              </w:rPr>
            </w:pPr>
            <w:r w:rsidRPr="00AC2556">
              <w:rPr>
                <w:rFonts w:ascii="Aptos Narrow" w:hAnsi="Aptos Narrow" w:cs="Times New Roman"/>
                <w:color w:val="000000"/>
                <w:lang w:eastAsia="fr-FR"/>
              </w:rPr>
              <w:t>Minaret</w:t>
            </w:r>
          </w:p>
        </w:tc>
        <w:tc>
          <w:tcPr>
            <w:tcW w:w="585" w:type="pct"/>
            <w:tcBorders>
              <w:top w:val="single" w:sz="4" w:space="0" w:color="196B24"/>
              <w:left w:val="nil"/>
              <w:bottom w:val="nil"/>
              <w:right w:val="single" w:sz="4" w:space="0" w:color="196B24"/>
            </w:tcBorders>
            <w:noWrap/>
            <w:vAlign w:val="bottom"/>
            <w:hideMark/>
          </w:tcPr>
          <w:p w14:paraId="70539A4A" w14:textId="77777777" w:rsidR="00BE7A2D" w:rsidRPr="00AC2556" w:rsidRDefault="00BE7A2D" w:rsidP="005A7661">
            <w:pPr>
              <w:spacing w:after="0"/>
              <w:jc w:val="center"/>
              <w:rPr>
                <w:rFonts w:ascii="Aptos Narrow" w:hAnsi="Aptos Narrow" w:cs="Times New Roman"/>
                <w:color w:val="000000"/>
                <w:lang w:eastAsia="fr-FR"/>
              </w:rPr>
            </w:pPr>
            <w:r w:rsidRPr="00AC2556">
              <w:rPr>
                <w:rFonts w:ascii="Aptos Narrow" w:hAnsi="Aptos Narrow" w:cs="Times New Roman"/>
                <w:color w:val="000000"/>
                <w:lang w:eastAsia="fr-FR"/>
              </w:rPr>
              <w:t>10-30m</w:t>
            </w:r>
          </w:p>
        </w:tc>
      </w:tr>
      <w:tr w:rsidR="00BE7A2D" w:rsidRPr="00AC2556" w14:paraId="7F3D791D" w14:textId="77777777" w:rsidTr="005A7661">
        <w:trPr>
          <w:trHeight w:val="288"/>
        </w:trPr>
        <w:tc>
          <w:tcPr>
            <w:tcW w:w="159" w:type="pct"/>
            <w:tcBorders>
              <w:top w:val="single" w:sz="4" w:space="0" w:color="196B24"/>
              <w:left w:val="single" w:sz="4" w:space="0" w:color="196B24"/>
              <w:bottom w:val="nil"/>
              <w:right w:val="nil"/>
            </w:tcBorders>
            <w:noWrap/>
            <w:vAlign w:val="bottom"/>
            <w:hideMark/>
          </w:tcPr>
          <w:p w14:paraId="5220F5BF" w14:textId="77777777" w:rsidR="00BE7A2D" w:rsidRPr="00AC2556" w:rsidRDefault="00BE7A2D" w:rsidP="005A7661">
            <w:pPr>
              <w:spacing w:after="0"/>
              <w:jc w:val="center"/>
              <w:rPr>
                <w:rFonts w:ascii="Aptos Narrow" w:hAnsi="Aptos Narrow" w:cs="Times New Roman"/>
                <w:color w:val="000000"/>
                <w:lang w:eastAsia="fr-FR"/>
              </w:rPr>
            </w:pPr>
            <w:r w:rsidRPr="00AC2556">
              <w:rPr>
                <w:rFonts w:ascii="Aptos Narrow" w:hAnsi="Aptos Narrow" w:cs="Times New Roman"/>
                <w:color w:val="000000"/>
                <w:lang w:eastAsia="fr-FR"/>
              </w:rPr>
              <w:t>43</w:t>
            </w:r>
          </w:p>
        </w:tc>
        <w:tc>
          <w:tcPr>
            <w:tcW w:w="1062" w:type="pct"/>
            <w:tcBorders>
              <w:top w:val="single" w:sz="4" w:space="0" w:color="196B24"/>
              <w:left w:val="nil"/>
              <w:bottom w:val="nil"/>
              <w:right w:val="nil"/>
            </w:tcBorders>
            <w:noWrap/>
            <w:vAlign w:val="bottom"/>
            <w:hideMark/>
          </w:tcPr>
          <w:p w14:paraId="55808A56" w14:textId="77777777" w:rsidR="00BE7A2D" w:rsidRPr="00AC2556" w:rsidRDefault="00BE7A2D" w:rsidP="005A7661">
            <w:pPr>
              <w:spacing w:after="0"/>
              <w:jc w:val="center"/>
              <w:rPr>
                <w:rFonts w:ascii="Aptos Narrow" w:hAnsi="Aptos Narrow" w:cs="Times New Roman"/>
                <w:color w:val="000000"/>
                <w:lang w:eastAsia="fr-FR"/>
              </w:rPr>
            </w:pPr>
            <w:r w:rsidRPr="00AC2556">
              <w:rPr>
                <w:rFonts w:ascii="Aptos Narrow" w:hAnsi="Aptos Narrow" w:cs="Times New Roman"/>
                <w:color w:val="000000"/>
                <w:lang w:eastAsia="fr-FR"/>
              </w:rPr>
              <w:t xml:space="preserve">31°35'45,3''  </w:t>
            </w:r>
          </w:p>
        </w:tc>
        <w:tc>
          <w:tcPr>
            <w:tcW w:w="1149" w:type="pct"/>
            <w:tcBorders>
              <w:top w:val="single" w:sz="4" w:space="0" w:color="196B24"/>
              <w:left w:val="nil"/>
              <w:bottom w:val="nil"/>
              <w:right w:val="nil"/>
            </w:tcBorders>
            <w:noWrap/>
            <w:vAlign w:val="bottom"/>
            <w:hideMark/>
          </w:tcPr>
          <w:p w14:paraId="3F47D8F0" w14:textId="77777777" w:rsidR="00BE7A2D" w:rsidRPr="00AC2556" w:rsidRDefault="00BE7A2D" w:rsidP="005A7661">
            <w:pPr>
              <w:spacing w:after="0"/>
              <w:jc w:val="center"/>
              <w:rPr>
                <w:rFonts w:ascii="Calibri (Corps)" w:hAnsi="Calibri (Corps)" w:cs="Times New Roman"/>
                <w:color w:val="000000"/>
                <w:lang w:eastAsia="fr-FR"/>
              </w:rPr>
            </w:pPr>
            <w:r w:rsidRPr="00AC2556">
              <w:rPr>
                <w:rFonts w:ascii="Calibri (Corps)" w:hAnsi="Calibri (Corps)" w:cs="Times New Roman"/>
                <w:color w:val="000000"/>
                <w:lang w:eastAsia="fr-FR"/>
              </w:rPr>
              <w:t xml:space="preserve"> 7°57'45,4'' </w:t>
            </w:r>
          </w:p>
        </w:tc>
        <w:tc>
          <w:tcPr>
            <w:tcW w:w="943" w:type="pct"/>
            <w:tcBorders>
              <w:top w:val="single" w:sz="4" w:space="0" w:color="196B24"/>
              <w:left w:val="nil"/>
              <w:bottom w:val="nil"/>
              <w:right w:val="nil"/>
            </w:tcBorders>
            <w:noWrap/>
            <w:vAlign w:val="bottom"/>
            <w:hideMark/>
          </w:tcPr>
          <w:p w14:paraId="425A44E8" w14:textId="77777777" w:rsidR="00BE7A2D" w:rsidRPr="00AC2556" w:rsidRDefault="00BE7A2D" w:rsidP="005A7661">
            <w:pPr>
              <w:spacing w:after="0"/>
              <w:jc w:val="left"/>
              <w:rPr>
                <w:rFonts w:ascii="Aptos Narrow" w:hAnsi="Aptos Narrow" w:cs="Times New Roman"/>
                <w:i/>
                <w:iCs/>
                <w:color w:val="000000"/>
                <w:lang w:eastAsia="fr-FR"/>
              </w:rPr>
            </w:pPr>
            <w:r w:rsidRPr="00AC2556">
              <w:rPr>
                <w:rFonts w:ascii="Aptos Narrow" w:hAnsi="Aptos Narrow" w:cs="Times New Roman"/>
                <w:i/>
                <w:iCs/>
                <w:color w:val="000000"/>
                <w:lang w:eastAsia="fr-FR"/>
              </w:rPr>
              <w:t>Ciconia ciconia</w:t>
            </w:r>
          </w:p>
        </w:tc>
        <w:tc>
          <w:tcPr>
            <w:tcW w:w="288" w:type="pct"/>
            <w:tcBorders>
              <w:top w:val="single" w:sz="4" w:space="0" w:color="196B24"/>
              <w:left w:val="nil"/>
              <w:bottom w:val="nil"/>
              <w:right w:val="nil"/>
            </w:tcBorders>
            <w:noWrap/>
            <w:vAlign w:val="bottom"/>
            <w:hideMark/>
          </w:tcPr>
          <w:p w14:paraId="1C124A55" w14:textId="77777777" w:rsidR="00BE7A2D" w:rsidRPr="00AC2556" w:rsidRDefault="00BE7A2D" w:rsidP="005A7661">
            <w:pPr>
              <w:spacing w:after="0"/>
              <w:jc w:val="center"/>
              <w:rPr>
                <w:rFonts w:ascii="Aptos Narrow" w:hAnsi="Aptos Narrow" w:cs="Times New Roman"/>
                <w:color w:val="000000"/>
                <w:lang w:eastAsia="fr-FR"/>
              </w:rPr>
            </w:pPr>
            <w:r w:rsidRPr="00AC2556">
              <w:rPr>
                <w:rFonts w:ascii="Aptos Narrow" w:hAnsi="Aptos Narrow" w:cs="Times New Roman"/>
                <w:color w:val="000000"/>
                <w:lang w:eastAsia="fr-FR"/>
              </w:rPr>
              <w:t>1</w:t>
            </w:r>
          </w:p>
        </w:tc>
        <w:tc>
          <w:tcPr>
            <w:tcW w:w="813" w:type="pct"/>
            <w:tcBorders>
              <w:top w:val="single" w:sz="4" w:space="0" w:color="196B24"/>
              <w:left w:val="nil"/>
              <w:bottom w:val="nil"/>
              <w:right w:val="nil"/>
            </w:tcBorders>
            <w:noWrap/>
            <w:vAlign w:val="bottom"/>
            <w:hideMark/>
          </w:tcPr>
          <w:p w14:paraId="04BA4E63" w14:textId="77777777" w:rsidR="00BE7A2D" w:rsidRPr="00AC2556" w:rsidRDefault="00BE7A2D" w:rsidP="005A7661">
            <w:pPr>
              <w:spacing w:after="0"/>
              <w:jc w:val="center"/>
              <w:rPr>
                <w:rFonts w:ascii="Aptos Narrow" w:hAnsi="Aptos Narrow" w:cs="Times New Roman"/>
                <w:color w:val="000000"/>
                <w:lang w:eastAsia="fr-FR"/>
              </w:rPr>
            </w:pPr>
            <w:r w:rsidRPr="00AC2556">
              <w:rPr>
                <w:rFonts w:ascii="Aptos Narrow" w:hAnsi="Aptos Narrow" w:cs="Times New Roman"/>
                <w:color w:val="000000"/>
                <w:lang w:eastAsia="fr-FR"/>
              </w:rPr>
              <w:t>Minaret</w:t>
            </w:r>
          </w:p>
        </w:tc>
        <w:tc>
          <w:tcPr>
            <w:tcW w:w="585" w:type="pct"/>
            <w:tcBorders>
              <w:top w:val="single" w:sz="4" w:space="0" w:color="196B24"/>
              <w:left w:val="nil"/>
              <w:bottom w:val="nil"/>
              <w:right w:val="single" w:sz="4" w:space="0" w:color="196B24"/>
            </w:tcBorders>
            <w:noWrap/>
            <w:vAlign w:val="bottom"/>
            <w:hideMark/>
          </w:tcPr>
          <w:p w14:paraId="7A5DE595" w14:textId="77777777" w:rsidR="00BE7A2D" w:rsidRPr="00AC2556" w:rsidRDefault="00BE7A2D" w:rsidP="005A7661">
            <w:pPr>
              <w:spacing w:after="0"/>
              <w:jc w:val="center"/>
              <w:rPr>
                <w:rFonts w:ascii="Aptos Narrow" w:hAnsi="Aptos Narrow" w:cs="Times New Roman"/>
                <w:color w:val="000000"/>
                <w:lang w:eastAsia="fr-FR"/>
              </w:rPr>
            </w:pPr>
            <w:r w:rsidRPr="00AC2556">
              <w:rPr>
                <w:rFonts w:ascii="Aptos Narrow" w:hAnsi="Aptos Narrow" w:cs="Times New Roman"/>
                <w:color w:val="000000"/>
                <w:lang w:eastAsia="fr-FR"/>
              </w:rPr>
              <w:t>10-30m</w:t>
            </w:r>
          </w:p>
        </w:tc>
      </w:tr>
      <w:tr w:rsidR="00BE7A2D" w:rsidRPr="00AC2556" w14:paraId="421D08E5" w14:textId="77777777" w:rsidTr="005A7661">
        <w:trPr>
          <w:trHeight w:val="288"/>
        </w:trPr>
        <w:tc>
          <w:tcPr>
            <w:tcW w:w="159" w:type="pct"/>
            <w:tcBorders>
              <w:top w:val="single" w:sz="4" w:space="0" w:color="196B24"/>
              <w:left w:val="single" w:sz="4" w:space="0" w:color="196B24"/>
              <w:bottom w:val="nil"/>
              <w:right w:val="nil"/>
            </w:tcBorders>
            <w:noWrap/>
            <w:vAlign w:val="bottom"/>
            <w:hideMark/>
          </w:tcPr>
          <w:p w14:paraId="745C54A1" w14:textId="77777777" w:rsidR="00BE7A2D" w:rsidRPr="00AC2556" w:rsidRDefault="00BE7A2D" w:rsidP="005A7661">
            <w:pPr>
              <w:spacing w:after="0"/>
              <w:jc w:val="center"/>
              <w:rPr>
                <w:rFonts w:ascii="Aptos Narrow" w:hAnsi="Aptos Narrow" w:cs="Times New Roman"/>
                <w:color w:val="000000"/>
                <w:lang w:eastAsia="fr-FR"/>
              </w:rPr>
            </w:pPr>
            <w:r w:rsidRPr="00AC2556">
              <w:rPr>
                <w:rFonts w:ascii="Aptos Narrow" w:hAnsi="Aptos Narrow" w:cs="Times New Roman"/>
                <w:color w:val="000000"/>
                <w:lang w:eastAsia="fr-FR"/>
              </w:rPr>
              <w:t>44</w:t>
            </w:r>
          </w:p>
        </w:tc>
        <w:tc>
          <w:tcPr>
            <w:tcW w:w="1062" w:type="pct"/>
            <w:tcBorders>
              <w:top w:val="single" w:sz="4" w:space="0" w:color="196B24"/>
              <w:left w:val="nil"/>
              <w:bottom w:val="nil"/>
              <w:right w:val="nil"/>
            </w:tcBorders>
            <w:noWrap/>
            <w:vAlign w:val="bottom"/>
            <w:hideMark/>
          </w:tcPr>
          <w:p w14:paraId="15279183" w14:textId="77777777" w:rsidR="00BE7A2D" w:rsidRPr="00AC2556" w:rsidRDefault="00BE7A2D" w:rsidP="005A7661">
            <w:pPr>
              <w:spacing w:after="0"/>
              <w:jc w:val="center"/>
              <w:rPr>
                <w:rFonts w:ascii="Aptos Narrow" w:hAnsi="Aptos Narrow" w:cs="Times New Roman"/>
                <w:color w:val="000000"/>
                <w:lang w:eastAsia="fr-FR"/>
              </w:rPr>
            </w:pPr>
            <w:r w:rsidRPr="00AC2556">
              <w:rPr>
                <w:rFonts w:ascii="Aptos Narrow" w:hAnsi="Aptos Narrow" w:cs="Times New Roman"/>
                <w:color w:val="000000"/>
                <w:lang w:eastAsia="fr-FR"/>
              </w:rPr>
              <w:t>31° 39' 6.511''</w:t>
            </w:r>
          </w:p>
        </w:tc>
        <w:tc>
          <w:tcPr>
            <w:tcW w:w="1149" w:type="pct"/>
            <w:tcBorders>
              <w:top w:val="single" w:sz="4" w:space="0" w:color="196B24"/>
              <w:left w:val="nil"/>
              <w:bottom w:val="nil"/>
              <w:right w:val="nil"/>
            </w:tcBorders>
            <w:noWrap/>
            <w:vAlign w:val="bottom"/>
            <w:hideMark/>
          </w:tcPr>
          <w:p w14:paraId="2A060D28" w14:textId="77777777" w:rsidR="00BE7A2D" w:rsidRPr="00AC2556" w:rsidRDefault="00BE7A2D" w:rsidP="005A7661">
            <w:pPr>
              <w:spacing w:after="0"/>
              <w:jc w:val="center"/>
              <w:rPr>
                <w:rFonts w:ascii="Aptos Narrow" w:hAnsi="Aptos Narrow" w:cs="Times New Roman"/>
                <w:color w:val="000000"/>
                <w:lang w:eastAsia="fr-FR"/>
              </w:rPr>
            </w:pPr>
            <w:r w:rsidRPr="00AC2556">
              <w:rPr>
                <w:rFonts w:ascii="Aptos Narrow" w:hAnsi="Aptos Narrow" w:cs="Times New Roman"/>
                <w:color w:val="000000"/>
                <w:lang w:eastAsia="fr-FR"/>
              </w:rPr>
              <w:t>8° 10' 58.081''</w:t>
            </w:r>
          </w:p>
        </w:tc>
        <w:tc>
          <w:tcPr>
            <w:tcW w:w="943" w:type="pct"/>
            <w:tcBorders>
              <w:top w:val="single" w:sz="4" w:space="0" w:color="196B24"/>
              <w:left w:val="nil"/>
              <w:bottom w:val="nil"/>
              <w:right w:val="nil"/>
            </w:tcBorders>
            <w:noWrap/>
            <w:vAlign w:val="bottom"/>
            <w:hideMark/>
          </w:tcPr>
          <w:p w14:paraId="453384B5" w14:textId="77777777" w:rsidR="00BE7A2D" w:rsidRPr="00AC2556" w:rsidRDefault="00BE7A2D" w:rsidP="005A7661">
            <w:pPr>
              <w:spacing w:after="0"/>
              <w:jc w:val="left"/>
              <w:rPr>
                <w:rFonts w:ascii="Aptos Narrow" w:hAnsi="Aptos Narrow" w:cs="Times New Roman"/>
                <w:i/>
                <w:iCs/>
                <w:color w:val="000000"/>
                <w:lang w:eastAsia="fr-FR"/>
              </w:rPr>
            </w:pPr>
            <w:r w:rsidRPr="00AC2556">
              <w:rPr>
                <w:rFonts w:ascii="Aptos Narrow" w:hAnsi="Aptos Narrow" w:cs="Times New Roman"/>
                <w:i/>
                <w:iCs/>
                <w:color w:val="000000"/>
                <w:lang w:eastAsia="fr-FR"/>
              </w:rPr>
              <w:t>Ciconia ciconia</w:t>
            </w:r>
          </w:p>
        </w:tc>
        <w:tc>
          <w:tcPr>
            <w:tcW w:w="288" w:type="pct"/>
            <w:tcBorders>
              <w:top w:val="single" w:sz="4" w:space="0" w:color="196B24"/>
              <w:left w:val="nil"/>
              <w:bottom w:val="nil"/>
              <w:right w:val="nil"/>
            </w:tcBorders>
            <w:noWrap/>
            <w:vAlign w:val="bottom"/>
            <w:hideMark/>
          </w:tcPr>
          <w:p w14:paraId="6476F10A" w14:textId="77777777" w:rsidR="00BE7A2D" w:rsidRPr="00AC2556" w:rsidRDefault="00BE7A2D" w:rsidP="005A7661">
            <w:pPr>
              <w:spacing w:after="0"/>
              <w:jc w:val="center"/>
              <w:rPr>
                <w:rFonts w:ascii="Aptos Narrow" w:hAnsi="Aptos Narrow" w:cs="Times New Roman"/>
                <w:color w:val="000000"/>
                <w:lang w:eastAsia="fr-FR"/>
              </w:rPr>
            </w:pPr>
            <w:r w:rsidRPr="00AC2556">
              <w:rPr>
                <w:rFonts w:ascii="Aptos Narrow" w:hAnsi="Aptos Narrow" w:cs="Times New Roman"/>
                <w:color w:val="000000"/>
                <w:lang w:eastAsia="fr-FR"/>
              </w:rPr>
              <w:t>2</w:t>
            </w:r>
          </w:p>
        </w:tc>
        <w:tc>
          <w:tcPr>
            <w:tcW w:w="813" w:type="pct"/>
            <w:tcBorders>
              <w:top w:val="single" w:sz="4" w:space="0" w:color="196B24"/>
              <w:left w:val="nil"/>
              <w:bottom w:val="nil"/>
              <w:right w:val="nil"/>
            </w:tcBorders>
            <w:noWrap/>
            <w:vAlign w:val="bottom"/>
            <w:hideMark/>
          </w:tcPr>
          <w:p w14:paraId="4209EBF1" w14:textId="77777777" w:rsidR="00BE7A2D" w:rsidRPr="00AC2556" w:rsidRDefault="00BE7A2D" w:rsidP="005A7661">
            <w:pPr>
              <w:spacing w:after="0"/>
              <w:jc w:val="left"/>
              <w:rPr>
                <w:rFonts w:ascii="Aptos Narrow" w:hAnsi="Aptos Narrow" w:cs="Times New Roman"/>
                <w:color w:val="000000"/>
                <w:lang w:eastAsia="fr-FR"/>
              </w:rPr>
            </w:pPr>
            <w:r w:rsidRPr="00AC2556">
              <w:rPr>
                <w:rFonts w:ascii="Aptos Narrow" w:hAnsi="Aptos Narrow" w:cs="Times New Roman"/>
                <w:color w:val="000000"/>
                <w:lang w:eastAsia="fr-FR"/>
              </w:rPr>
              <w:t>Minaret</w:t>
            </w:r>
          </w:p>
        </w:tc>
        <w:tc>
          <w:tcPr>
            <w:tcW w:w="585" w:type="pct"/>
            <w:tcBorders>
              <w:top w:val="single" w:sz="4" w:space="0" w:color="196B24"/>
              <w:left w:val="nil"/>
              <w:bottom w:val="nil"/>
              <w:right w:val="single" w:sz="4" w:space="0" w:color="196B24"/>
            </w:tcBorders>
            <w:noWrap/>
            <w:vAlign w:val="bottom"/>
            <w:hideMark/>
          </w:tcPr>
          <w:p w14:paraId="11AD5831" w14:textId="77777777" w:rsidR="00BE7A2D" w:rsidRPr="00AC2556" w:rsidRDefault="00BE7A2D" w:rsidP="005A7661">
            <w:pPr>
              <w:spacing w:after="0"/>
              <w:jc w:val="center"/>
              <w:rPr>
                <w:rFonts w:ascii="Aptos Narrow" w:hAnsi="Aptos Narrow" w:cs="Times New Roman"/>
                <w:color w:val="000000"/>
                <w:lang w:eastAsia="fr-FR"/>
              </w:rPr>
            </w:pPr>
            <w:r w:rsidRPr="00AC2556">
              <w:rPr>
                <w:rFonts w:ascii="Aptos Narrow" w:hAnsi="Aptos Narrow" w:cs="Times New Roman"/>
                <w:color w:val="000000"/>
                <w:lang w:eastAsia="fr-FR"/>
              </w:rPr>
              <w:t>10-30m</w:t>
            </w:r>
          </w:p>
        </w:tc>
      </w:tr>
      <w:tr w:rsidR="00BE7A2D" w:rsidRPr="00AC2556" w14:paraId="4B3A78CE" w14:textId="77777777" w:rsidTr="005A7661">
        <w:trPr>
          <w:trHeight w:val="288"/>
        </w:trPr>
        <w:tc>
          <w:tcPr>
            <w:tcW w:w="159" w:type="pct"/>
            <w:tcBorders>
              <w:top w:val="single" w:sz="4" w:space="0" w:color="196B24"/>
              <w:left w:val="single" w:sz="4" w:space="0" w:color="196B24"/>
              <w:bottom w:val="nil"/>
              <w:right w:val="nil"/>
            </w:tcBorders>
            <w:noWrap/>
            <w:vAlign w:val="bottom"/>
            <w:hideMark/>
          </w:tcPr>
          <w:p w14:paraId="6EEB22C3" w14:textId="77777777" w:rsidR="00BE7A2D" w:rsidRPr="00AC2556" w:rsidRDefault="00BE7A2D" w:rsidP="005A7661">
            <w:pPr>
              <w:spacing w:after="0"/>
              <w:jc w:val="center"/>
              <w:rPr>
                <w:rFonts w:ascii="Aptos Narrow" w:hAnsi="Aptos Narrow" w:cs="Times New Roman"/>
                <w:color w:val="000000"/>
                <w:lang w:eastAsia="fr-FR"/>
              </w:rPr>
            </w:pPr>
            <w:r w:rsidRPr="00AC2556">
              <w:rPr>
                <w:rFonts w:ascii="Aptos Narrow" w:hAnsi="Aptos Narrow" w:cs="Times New Roman"/>
                <w:color w:val="000000"/>
                <w:lang w:eastAsia="fr-FR"/>
              </w:rPr>
              <w:t>45</w:t>
            </w:r>
          </w:p>
        </w:tc>
        <w:tc>
          <w:tcPr>
            <w:tcW w:w="1062" w:type="pct"/>
            <w:tcBorders>
              <w:top w:val="single" w:sz="4" w:space="0" w:color="196B24"/>
              <w:left w:val="nil"/>
              <w:bottom w:val="nil"/>
              <w:right w:val="nil"/>
            </w:tcBorders>
            <w:noWrap/>
            <w:vAlign w:val="bottom"/>
            <w:hideMark/>
          </w:tcPr>
          <w:p w14:paraId="4DA1906B" w14:textId="77777777" w:rsidR="00BE7A2D" w:rsidRPr="00AC2556" w:rsidRDefault="00BE7A2D" w:rsidP="005A7661">
            <w:pPr>
              <w:spacing w:after="0"/>
              <w:jc w:val="center"/>
              <w:rPr>
                <w:rFonts w:ascii="Aptos Narrow" w:hAnsi="Aptos Narrow" w:cs="Times New Roman"/>
                <w:color w:val="000000"/>
                <w:lang w:eastAsia="fr-FR"/>
              </w:rPr>
            </w:pPr>
            <w:r w:rsidRPr="00AC2556">
              <w:rPr>
                <w:rFonts w:ascii="Aptos Narrow" w:hAnsi="Aptos Narrow" w:cs="Times New Roman"/>
                <w:color w:val="000000"/>
                <w:lang w:eastAsia="fr-FR"/>
              </w:rPr>
              <w:t>31° 38' 3.209''</w:t>
            </w:r>
          </w:p>
        </w:tc>
        <w:tc>
          <w:tcPr>
            <w:tcW w:w="1149" w:type="pct"/>
            <w:tcBorders>
              <w:top w:val="single" w:sz="4" w:space="0" w:color="196B24"/>
              <w:left w:val="nil"/>
              <w:bottom w:val="nil"/>
              <w:right w:val="nil"/>
            </w:tcBorders>
            <w:noWrap/>
            <w:vAlign w:val="bottom"/>
            <w:hideMark/>
          </w:tcPr>
          <w:p w14:paraId="4A2E4332" w14:textId="77777777" w:rsidR="00BE7A2D" w:rsidRPr="00AC2556" w:rsidRDefault="00BE7A2D" w:rsidP="005A7661">
            <w:pPr>
              <w:spacing w:after="0"/>
              <w:jc w:val="center"/>
              <w:rPr>
                <w:rFonts w:ascii="Aptos Narrow" w:hAnsi="Aptos Narrow" w:cs="Times New Roman"/>
                <w:color w:val="000000"/>
                <w:lang w:eastAsia="fr-FR"/>
              </w:rPr>
            </w:pPr>
            <w:r w:rsidRPr="00AC2556">
              <w:rPr>
                <w:rFonts w:ascii="Aptos Narrow" w:hAnsi="Aptos Narrow" w:cs="Times New Roman"/>
                <w:color w:val="000000"/>
                <w:lang w:eastAsia="fr-FR"/>
              </w:rPr>
              <w:t>8° 14' 54.773''</w:t>
            </w:r>
          </w:p>
        </w:tc>
        <w:tc>
          <w:tcPr>
            <w:tcW w:w="943" w:type="pct"/>
            <w:tcBorders>
              <w:top w:val="single" w:sz="4" w:space="0" w:color="196B24"/>
              <w:left w:val="nil"/>
              <w:bottom w:val="nil"/>
              <w:right w:val="nil"/>
            </w:tcBorders>
            <w:noWrap/>
            <w:vAlign w:val="bottom"/>
            <w:hideMark/>
          </w:tcPr>
          <w:p w14:paraId="6BD4A556" w14:textId="77777777" w:rsidR="00BE7A2D" w:rsidRPr="00AC2556" w:rsidRDefault="00BE7A2D" w:rsidP="005A7661">
            <w:pPr>
              <w:spacing w:after="0"/>
              <w:jc w:val="left"/>
              <w:rPr>
                <w:rFonts w:ascii="Aptos Narrow" w:hAnsi="Aptos Narrow" w:cs="Times New Roman"/>
                <w:i/>
                <w:iCs/>
                <w:color w:val="000000"/>
                <w:lang w:eastAsia="fr-FR"/>
              </w:rPr>
            </w:pPr>
            <w:r w:rsidRPr="00AC2556">
              <w:rPr>
                <w:rFonts w:ascii="Aptos Narrow" w:hAnsi="Aptos Narrow" w:cs="Times New Roman"/>
                <w:i/>
                <w:iCs/>
                <w:color w:val="000000"/>
                <w:lang w:eastAsia="fr-FR"/>
              </w:rPr>
              <w:t>Ciconia ciconia</w:t>
            </w:r>
          </w:p>
        </w:tc>
        <w:tc>
          <w:tcPr>
            <w:tcW w:w="288" w:type="pct"/>
            <w:tcBorders>
              <w:top w:val="single" w:sz="4" w:space="0" w:color="196B24"/>
              <w:left w:val="nil"/>
              <w:bottom w:val="nil"/>
              <w:right w:val="nil"/>
            </w:tcBorders>
            <w:noWrap/>
            <w:vAlign w:val="bottom"/>
            <w:hideMark/>
          </w:tcPr>
          <w:p w14:paraId="57D7BBB8" w14:textId="77777777" w:rsidR="00BE7A2D" w:rsidRPr="00AC2556" w:rsidRDefault="00BE7A2D" w:rsidP="005A7661">
            <w:pPr>
              <w:spacing w:after="0"/>
              <w:jc w:val="center"/>
              <w:rPr>
                <w:rFonts w:ascii="Aptos Narrow" w:hAnsi="Aptos Narrow" w:cs="Times New Roman"/>
                <w:color w:val="000000"/>
                <w:lang w:eastAsia="fr-FR"/>
              </w:rPr>
            </w:pPr>
            <w:r w:rsidRPr="00AC2556">
              <w:rPr>
                <w:rFonts w:ascii="Aptos Narrow" w:hAnsi="Aptos Narrow" w:cs="Times New Roman"/>
                <w:color w:val="000000"/>
                <w:lang w:eastAsia="fr-FR"/>
              </w:rPr>
              <w:t>1</w:t>
            </w:r>
          </w:p>
        </w:tc>
        <w:tc>
          <w:tcPr>
            <w:tcW w:w="813" w:type="pct"/>
            <w:tcBorders>
              <w:top w:val="single" w:sz="4" w:space="0" w:color="196B24"/>
              <w:left w:val="nil"/>
              <w:bottom w:val="nil"/>
              <w:right w:val="nil"/>
            </w:tcBorders>
            <w:noWrap/>
            <w:vAlign w:val="bottom"/>
            <w:hideMark/>
          </w:tcPr>
          <w:p w14:paraId="0A4955D8" w14:textId="77777777" w:rsidR="00BE7A2D" w:rsidRPr="00AC2556" w:rsidRDefault="00BE7A2D" w:rsidP="005A7661">
            <w:pPr>
              <w:spacing w:after="0"/>
              <w:jc w:val="left"/>
              <w:rPr>
                <w:rFonts w:ascii="Aptos Narrow" w:hAnsi="Aptos Narrow" w:cs="Times New Roman"/>
                <w:color w:val="000000"/>
                <w:lang w:eastAsia="fr-FR"/>
              </w:rPr>
            </w:pPr>
            <w:r w:rsidRPr="00AC2556">
              <w:rPr>
                <w:rFonts w:ascii="Aptos Narrow" w:hAnsi="Aptos Narrow" w:cs="Times New Roman"/>
                <w:color w:val="000000"/>
                <w:lang w:eastAsia="fr-FR"/>
              </w:rPr>
              <w:t>Minaret</w:t>
            </w:r>
          </w:p>
        </w:tc>
        <w:tc>
          <w:tcPr>
            <w:tcW w:w="585" w:type="pct"/>
            <w:tcBorders>
              <w:top w:val="single" w:sz="4" w:space="0" w:color="196B24"/>
              <w:left w:val="nil"/>
              <w:bottom w:val="nil"/>
              <w:right w:val="single" w:sz="4" w:space="0" w:color="196B24"/>
            </w:tcBorders>
            <w:noWrap/>
            <w:vAlign w:val="bottom"/>
            <w:hideMark/>
          </w:tcPr>
          <w:p w14:paraId="3A6EE456" w14:textId="77777777" w:rsidR="00BE7A2D" w:rsidRPr="00AC2556" w:rsidRDefault="00BE7A2D" w:rsidP="005A7661">
            <w:pPr>
              <w:spacing w:after="0"/>
              <w:jc w:val="center"/>
              <w:rPr>
                <w:rFonts w:ascii="Aptos Narrow" w:hAnsi="Aptos Narrow" w:cs="Times New Roman"/>
                <w:color w:val="000000"/>
                <w:lang w:eastAsia="fr-FR"/>
              </w:rPr>
            </w:pPr>
            <w:r w:rsidRPr="00AC2556">
              <w:rPr>
                <w:rFonts w:ascii="Aptos Narrow" w:hAnsi="Aptos Narrow" w:cs="Times New Roman"/>
                <w:color w:val="000000"/>
                <w:lang w:eastAsia="fr-FR"/>
              </w:rPr>
              <w:t>10-30m</w:t>
            </w:r>
          </w:p>
        </w:tc>
      </w:tr>
      <w:tr w:rsidR="00BE7A2D" w:rsidRPr="00AC2556" w14:paraId="51503469" w14:textId="77777777" w:rsidTr="005A7661">
        <w:trPr>
          <w:trHeight w:val="288"/>
        </w:trPr>
        <w:tc>
          <w:tcPr>
            <w:tcW w:w="159" w:type="pct"/>
            <w:tcBorders>
              <w:top w:val="single" w:sz="4" w:space="0" w:color="196B24"/>
              <w:left w:val="single" w:sz="4" w:space="0" w:color="196B24"/>
              <w:bottom w:val="nil"/>
              <w:right w:val="nil"/>
            </w:tcBorders>
            <w:noWrap/>
            <w:vAlign w:val="bottom"/>
            <w:hideMark/>
          </w:tcPr>
          <w:p w14:paraId="1D394E34" w14:textId="77777777" w:rsidR="00BE7A2D" w:rsidRPr="00AC2556" w:rsidRDefault="00BE7A2D" w:rsidP="005A7661">
            <w:pPr>
              <w:spacing w:after="0"/>
              <w:jc w:val="center"/>
              <w:rPr>
                <w:rFonts w:ascii="Aptos Narrow" w:hAnsi="Aptos Narrow" w:cs="Times New Roman"/>
                <w:color w:val="000000"/>
                <w:lang w:eastAsia="fr-FR"/>
              </w:rPr>
            </w:pPr>
            <w:r w:rsidRPr="00AC2556">
              <w:rPr>
                <w:rFonts w:ascii="Aptos Narrow" w:hAnsi="Aptos Narrow" w:cs="Times New Roman"/>
                <w:color w:val="000000"/>
                <w:lang w:eastAsia="fr-FR"/>
              </w:rPr>
              <w:t>46</w:t>
            </w:r>
          </w:p>
        </w:tc>
        <w:tc>
          <w:tcPr>
            <w:tcW w:w="1062" w:type="pct"/>
            <w:tcBorders>
              <w:top w:val="single" w:sz="4" w:space="0" w:color="196B24"/>
              <w:left w:val="nil"/>
              <w:bottom w:val="nil"/>
              <w:right w:val="nil"/>
            </w:tcBorders>
            <w:noWrap/>
            <w:vAlign w:val="bottom"/>
            <w:hideMark/>
          </w:tcPr>
          <w:p w14:paraId="3A79F2CA" w14:textId="77777777" w:rsidR="00BE7A2D" w:rsidRPr="00AC2556" w:rsidRDefault="00BE7A2D" w:rsidP="005A7661">
            <w:pPr>
              <w:spacing w:after="0"/>
              <w:jc w:val="center"/>
              <w:rPr>
                <w:rFonts w:ascii="Aptos Narrow" w:hAnsi="Aptos Narrow" w:cs="Times New Roman"/>
                <w:color w:val="000000"/>
                <w:lang w:eastAsia="fr-FR"/>
              </w:rPr>
            </w:pPr>
            <w:r w:rsidRPr="00AC2556">
              <w:rPr>
                <w:rFonts w:ascii="Aptos Narrow" w:hAnsi="Aptos Narrow" w:cs="Times New Roman"/>
                <w:color w:val="000000"/>
                <w:lang w:eastAsia="fr-FR"/>
              </w:rPr>
              <w:t>31° 38' 3.181''</w:t>
            </w:r>
          </w:p>
        </w:tc>
        <w:tc>
          <w:tcPr>
            <w:tcW w:w="1149" w:type="pct"/>
            <w:tcBorders>
              <w:top w:val="single" w:sz="4" w:space="0" w:color="196B24"/>
              <w:left w:val="nil"/>
              <w:bottom w:val="nil"/>
              <w:right w:val="nil"/>
            </w:tcBorders>
            <w:noWrap/>
            <w:vAlign w:val="bottom"/>
            <w:hideMark/>
          </w:tcPr>
          <w:p w14:paraId="7363F750" w14:textId="77777777" w:rsidR="00BE7A2D" w:rsidRPr="00AC2556" w:rsidRDefault="00BE7A2D" w:rsidP="005A7661">
            <w:pPr>
              <w:spacing w:after="0"/>
              <w:jc w:val="center"/>
              <w:rPr>
                <w:rFonts w:ascii="Aptos Narrow" w:hAnsi="Aptos Narrow" w:cs="Times New Roman"/>
                <w:color w:val="000000"/>
                <w:lang w:eastAsia="fr-FR"/>
              </w:rPr>
            </w:pPr>
            <w:r w:rsidRPr="00AC2556">
              <w:rPr>
                <w:rFonts w:ascii="Aptos Narrow" w:hAnsi="Aptos Narrow" w:cs="Times New Roman"/>
                <w:color w:val="000000"/>
                <w:lang w:eastAsia="fr-FR"/>
              </w:rPr>
              <w:t>8° 15' 7.725''</w:t>
            </w:r>
          </w:p>
        </w:tc>
        <w:tc>
          <w:tcPr>
            <w:tcW w:w="943" w:type="pct"/>
            <w:tcBorders>
              <w:top w:val="single" w:sz="4" w:space="0" w:color="196B24"/>
              <w:left w:val="nil"/>
              <w:bottom w:val="nil"/>
              <w:right w:val="nil"/>
            </w:tcBorders>
            <w:noWrap/>
            <w:vAlign w:val="bottom"/>
            <w:hideMark/>
          </w:tcPr>
          <w:p w14:paraId="5D13A049" w14:textId="77777777" w:rsidR="00BE7A2D" w:rsidRPr="00AC2556" w:rsidRDefault="00BE7A2D" w:rsidP="005A7661">
            <w:pPr>
              <w:spacing w:after="0"/>
              <w:jc w:val="left"/>
              <w:rPr>
                <w:rFonts w:ascii="Aptos Narrow" w:hAnsi="Aptos Narrow" w:cs="Times New Roman"/>
                <w:i/>
                <w:iCs/>
                <w:color w:val="000000"/>
                <w:lang w:eastAsia="fr-FR"/>
              </w:rPr>
            </w:pPr>
            <w:r w:rsidRPr="00AC2556">
              <w:rPr>
                <w:rFonts w:ascii="Aptos Narrow" w:hAnsi="Aptos Narrow" w:cs="Times New Roman"/>
                <w:i/>
                <w:iCs/>
                <w:color w:val="000000"/>
                <w:lang w:eastAsia="fr-FR"/>
              </w:rPr>
              <w:t>Ciconia ciconia</w:t>
            </w:r>
          </w:p>
        </w:tc>
        <w:tc>
          <w:tcPr>
            <w:tcW w:w="288" w:type="pct"/>
            <w:tcBorders>
              <w:top w:val="single" w:sz="4" w:space="0" w:color="196B24"/>
              <w:left w:val="nil"/>
              <w:bottom w:val="nil"/>
              <w:right w:val="nil"/>
            </w:tcBorders>
            <w:noWrap/>
            <w:vAlign w:val="bottom"/>
            <w:hideMark/>
          </w:tcPr>
          <w:p w14:paraId="54F903D5" w14:textId="77777777" w:rsidR="00BE7A2D" w:rsidRPr="00AC2556" w:rsidRDefault="00BE7A2D" w:rsidP="005A7661">
            <w:pPr>
              <w:spacing w:after="0"/>
              <w:jc w:val="center"/>
              <w:rPr>
                <w:rFonts w:ascii="Aptos Narrow" w:hAnsi="Aptos Narrow" w:cs="Times New Roman"/>
                <w:color w:val="000000"/>
                <w:lang w:eastAsia="fr-FR"/>
              </w:rPr>
            </w:pPr>
            <w:r w:rsidRPr="00AC2556">
              <w:rPr>
                <w:rFonts w:ascii="Aptos Narrow" w:hAnsi="Aptos Narrow" w:cs="Times New Roman"/>
                <w:color w:val="000000"/>
                <w:lang w:eastAsia="fr-FR"/>
              </w:rPr>
              <w:t>1</w:t>
            </w:r>
          </w:p>
        </w:tc>
        <w:tc>
          <w:tcPr>
            <w:tcW w:w="813" w:type="pct"/>
            <w:tcBorders>
              <w:top w:val="single" w:sz="4" w:space="0" w:color="196B24"/>
              <w:left w:val="nil"/>
              <w:bottom w:val="nil"/>
              <w:right w:val="nil"/>
            </w:tcBorders>
            <w:noWrap/>
            <w:vAlign w:val="bottom"/>
            <w:hideMark/>
          </w:tcPr>
          <w:p w14:paraId="7014F11F" w14:textId="77777777" w:rsidR="00BE7A2D" w:rsidRPr="00AC2556" w:rsidRDefault="00BE7A2D" w:rsidP="005A7661">
            <w:pPr>
              <w:spacing w:after="0"/>
              <w:jc w:val="left"/>
              <w:rPr>
                <w:rFonts w:ascii="Aptos Narrow" w:hAnsi="Aptos Narrow" w:cs="Times New Roman"/>
                <w:color w:val="000000"/>
                <w:lang w:eastAsia="fr-FR"/>
              </w:rPr>
            </w:pPr>
            <w:r w:rsidRPr="00AC2556">
              <w:rPr>
                <w:rFonts w:ascii="Aptos Narrow" w:hAnsi="Aptos Narrow" w:cs="Times New Roman"/>
                <w:color w:val="000000"/>
                <w:lang w:eastAsia="fr-FR"/>
              </w:rPr>
              <w:t>Pylône réseau télécom</w:t>
            </w:r>
          </w:p>
        </w:tc>
        <w:tc>
          <w:tcPr>
            <w:tcW w:w="585" w:type="pct"/>
            <w:tcBorders>
              <w:top w:val="single" w:sz="4" w:space="0" w:color="196B24"/>
              <w:left w:val="nil"/>
              <w:bottom w:val="nil"/>
              <w:right w:val="single" w:sz="4" w:space="0" w:color="196B24"/>
            </w:tcBorders>
            <w:noWrap/>
            <w:vAlign w:val="bottom"/>
            <w:hideMark/>
          </w:tcPr>
          <w:p w14:paraId="6E731DEE" w14:textId="77777777" w:rsidR="00BE7A2D" w:rsidRPr="00AC2556" w:rsidRDefault="00BE7A2D" w:rsidP="005A7661">
            <w:pPr>
              <w:spacing w:after="0"/>
              <w:jc w:val="center"/>
              <w:rPr>
                <w:rFonts w:ascii="Aptos Narrow" w:hAnsi="Aptos Narrow" w:cs="Times New Roman"/>
                <w:color w:val="000000"/>
                <w:lang w:eastAsia="fr-FR"/>
              </w:rPr>
            </w:pPr>
            <w:r w:rsidRPr="00AC2556">
              <w:rPr>
                <w:rFonts w:ascii="Aptos Narrow" w:hAnsi="Aptos Narrow" w:cs="Times New Roman"/>
                <w:color w:val="000000"/>
                <w:lang w:eastAsia="fr-FR"/>
              </w:rPr>
              <w:t>10-30m</w:t>
            </w:r>
          </w:p>
        </w:tc>
      </w:tr>
      <w:tr w:rsidR="00BE7A2D" w:rsidRPr="00AC2556" w14:paraId="07DD593E" w14:textId="77777777" w:rsidTr="005A7661">
        <w:trPr>
          <w:trHeight w:val="288"/>
        </w:trPr>
        <w:tc>
          <w:tcPr>
            <w:tcW w:w="159" w:type="pct"/>
            <w:tcBorders>
              <w:top w:val="single" w:sz="4" w:space="0" w:color="196B24"/>
              <w:left w:val="single" w:sz="4" w:space="0" w:color="196B24"/>
              <w:bottom w:val="nil"/>
              <w:right w:val="nil"/>
            </w:tcBorders>
            <w:noWrap/>
            <w:vAlign w:val="bottom"/>
            <w:hideMark/>
          </w:tcPr>
          <w:p w14:paraId="0CF79137" w14:textId="77777777" w:rsidR="00BE7A2D" w:rsidRPr="00AC2556" w:rsidRDefault="00BE7A2D" w:rsidP="005A7661">
            <w:pPr>
              <w:spacing w:after="0"/>
              <w:jc w:val="center"/>
              <w:rPr>
                <w:rFonts w:ascii="Aptos Narrow" w:hAnsi="Aptos Narrow" w:cs="Times New Roman"/>
                <w:color w:val="000000"/>
                <w:lang w:eastAsia="fr-FR"/>
              </w:rPr>
            </w:pPr>
            <w:r w:rsidRPr="00AC2556">
              <w:rPr>
                <w:rFonts w:ascii="Aptos Narrow" w:hAnsi="Aptos Narrow" w:cs="Times New Roman"/>
                <w:color w:val="000000"/>
                <w:lang w:eastAsia="fr-FR"/>
              </w:rPr>
              <w:t>47</w:t>
            </w:r>
          </w:p>
        </w:tc>
        <w:tc>
          <w:tcPr>
            <w:tcW w:w="1062" w:type="pct"/>
            <w:tcBorders>
              <w:top w:val="single" w:sz="4" w:space="0" w:color="196B24"/>
              <w:left w:val="nil"/>
              <w:bottom w:val="nil"/>
              <w:right w:val="nil"/>
            </w:tcBorders>
            <w:noWrap/>
            <w:vAlign w:val="bottom"/>
            <w:hideMark/>
          </w:tcPr>
          <w:p w14:paraId="108AA222" w14:textId="77777777" w:rsidR="00BE7A2D" w:rsidRPr="00AC2556" w:rsidRDefault="00BE7A2D" w:rsidP="005A7661">
            <w:pPr>
              <w:spacing w:after="0"/>
              <w:jc w:val="center"/>
              <w:rPr>
                <w:rFonts w:ascii="Aptos Narrow" w:hAnsi="Aptos Narrow" w:cs="Times New Roman"/>
                <w:color w:val="000000"/>
                <w:lang w:eastAsia="fr-FR"/>
              </w:rPr>
            </w:pPr>
            <w:r w:rsidRPr="00AC2556">
              <w:rPr>
                <w:rFonts w:ascii="Aptos Narrow" w:hAnsi="Aptos Narrow" w:cs="Times New Roman"/>
                <w:color w:val="000000"/>
                <w:lang w:eastAsia="fr-FR"/>
              </w:rPr>
              <w:t>31° 38' 7.418''</w:t>
            </w:r>
          </w:p>
        </w:tc>
        <w:tc>
          <w:tcPr>
            <w:tcW w:w="1149" w:type="pct"/>
            <w:tcBorders>
              <w:top w:val="single" w:sz="4" w:space="0" w:color="196B24"/>
              <w:left w:val="nil"/>
              <w:bottom w:val="nil"/>
              <w:right w:val="nil"/>
            </w:tcBorders>
            <w:noWrap/>
            <w:vAlign w:val="bottom"/>
            <w:hideMark/>
          </w:tcPr>
          <w:p w14:paraId="317A99D7" w14:textId="77777777" w:rsidR="00BE7A2D" w:rsidRPr="00AC2556" w:rsidRDefault="00BE7A2D" w:rsidP="005A7661">
            <w:pPr>
              <w:spacing w:after="0"/>
              <w:jc w:val="center"/>
              <w:rPr>
                <w:rFonts w:ascii="Aptos Narrow" w:hAnsi="Aptos Narrow" w:cs="Times New Roman"/>
                <w:color w:val="000000"/>
                <w:lang w:eastAsia="fr-FR"/>
              </w:rPr>
            </w:pPr>
            <w:r w:rsidRPr="00AC2556">
              <w:rPr>
                <w:rFonts w:ascii="Aptos Narrow" w:hAnsi="Aptos Narrow" w:cs="Times New Roman"/>
                <w:color w:val="000000"/>
                <w:lang w:eastAsia="fr-FR"/>
              </w:rPr>
              <w:t>8° 15' 1.308''</w:t>
            </w:r>
          </w:p>
        </w:tc>
        <w:tc>
          <w:tcPr>
            <w:tcW w:w="943" w:type="pct"/>
            <w:tcBorders>
              <w:top w:val="single" w:sz="4" w:space="0" w:color="196B24"/>
              <w:left w:val="nil"/>
              <w:bottom w:val="nil"/>
              <w:right w:val="nil"/>
            </w:tcBorders>
            <w:noWrap/>
            <w:vAlign w:val="bottom"/>
            <w:hideMark/>
          </w:tcPr>
          <w:p w14:paraId="476C9C61" w14:textId="77777777" w:rsidR="00BE7A2D" w:rsidRPr="00AC2556" w:rsidRDefault="00BE7A2D" w:rsidP="005A7661">
            <w:pPr>
              <w:spacing w:after="0"/>
              <w:jc w:val="left"/>
              <w:rPr>
                <w:rFonts w:ascii="Aptos Narrow" w:hAnsi="Aptos Narrow" w:cs="Times New Roman"/>
                <w:i/>
                <w:iCs/>
                <w:color w:val="000000"/>
                <w:lang w:eastAsia="fr-FR"/>
              </w:rPr>
            </w:pPr>
            <w:r w:rsidRPr="00AC2556">
              <w:rPr>
                <w:rFonts w:ascii="Aptos Narrow" w:hAnsi="Aptos Narrow" w:cs="Times New Roman"/>
                <w:i/>
                <w:iCs/>
                <w:color w:val="000000"/>
                <w:lang w:eastAsia="fr-FR"/>
              </w:rPr>
              <w:t>Ciconia ciconia</w:t>
            </w:r>
          </w:p>
        </w:tc>
        <w:tc>
          <w:tcPr>
            <w:tcW w:w="288" w:type="pct"/>
            <w:tcBorders>
              <w:top w:val="single" w:sz="4" w:space="0" w:color="196B24"/>
              <w:left w:val="nil"/>
              <w:bottom w:val="nil"/>
              <w:right w:val="nil"/>
            </w:tcBorders>
            <w:noWrap/>
            <w:vAlign w:val="bottom"/>
            <w:hideMark/>
          </w:tcPr>
          <w:p w14:paraId="2CB815D3" w14:textId="77777777" w:rsidR="00BE7A2D" w:rsidRPr="00AC2556" w:rsidRDefault="00BE7A2D" w:rsidP="005A7661">
            <w:pPr>
              <w:spacing w:after="0"/>
              <w:jc w:val="center"/>
              <w:rPr>
                <w:rFonts w:ascii="Aptos Narrow" w:hAnsi="Aptos Narrow" w:cs="Times New Roman"/>
                <w:color w:val="000000"/>
                <w:lang w:eastAsia="fr-FR"/>
              </w:rPr>
            </w:pPr>
            <w:r w:rsidRPr="00AC2556">
              <w:rPr>
                <w:rFonts w:ascii="Aptos Narrow" w:hAnsi="Aptos Narrow" w:cs="Times New Roman"/>
                <w:color w:val="000000"/>
                <w:lang w:eastAsia="fr-FR"/>
              </w:rPr>
              <w:t>1</w:t>
            </w:r>
          </w:p>
        </w:tc>
        <w:tc>
          <w:tcPr>
            <w:tcW w:w="813" w:type="pct"/>
            <w:tcBorders>
              <w:top w:val="single" w:sz="4" w:space="0" w:color="196B24"/>
              <w:left w:val="nil"/>
              <w:bottom w:val="nil"/>
              <w:right w:val="nil"/>
            </w:tcBorders>
            <w:noWrap/>
            <w:vAlign w:val="bottom"/>
            <w:hideMark/>
          </w:tcPr>
          <w:p w14:paraId="2D29F84D" w14:textId="77777777" w:rsidR="00BE7A2D" w:rsidRPr="00AC2556" w:rsidRDefault="00BE7A2D" w:rsidP="005A7661">
            <w:pPr>
              <w:spacing w:after="0"/>
              <w:jc w:val="left"/>
              <w:rPr>
                <w:rFonts w:ascii="Aptos Narrow" w:hAnsi="Aptos Narrow" w:cs="Times New Roman"/>
                <w:color w:val="000000"/>
                <w:lang w:eastAsia="fr-FR"/>
              </w:rPr>
            </w:pPr>
            <w:r w:rsidRPr="00AC2556">
              <w:rPr>
                <w:rFonts w:ascii="Aptos Narrow" w:hAnsi="Aptos Narrow" w:cs="Times New Roman"/>
                <w:color w:val="000000"/>
                <w:lang w:eastAsia="fr-FR"/>
              </w:rPr>
              <w:t>Pylône réseau télécom</w:t>
            </w:r>
          </w:p>
        </w:tc>
        <w:tc>
          <w:tcPr>
            <w:tcW w:w="585" w:type="pct"/>
            <w:tcBorders>
              <w:top w:val="single" w:sz="4" w:space="0" w:color="196B24"/>
              <w:left w:val="nil"/>
              <w:bottom w:val="nil"/>
              <w:right w:val="single" w:sz="4" w:space="0" w:color="196B24"/>
            </w:tcBorders>
            <w:noWrap/>
            <w:vAlign w:val="bottom"/>
            <w:hideMark/>
          </w:tcPr>
          <w:p w14:paraId="3E2761BD" w14:textId="77777777" w:rsidR="00BE7A2D" w:rsidRPr="00AC2556" w:rsidRDefault="00BE7A2D" w:rsidP="005A7661">
            <w:pPr>
              <w:spacing w:after="0"/>
              <w:jc w:val="center"/>
              <w:rPr>
                <w:rFonts w:ascii="Aptos Narrow" w:hAnsi="Aptos Narrow" w:cs="Times New Roman"/>
                <w:color w:val="000000"/>
                <w:lang w:eastAsia="fr-FR"/>
              </w:rPr>
            </w:pPr>
            <w:r w:rsidRPr="00AC2556">
              <w:rPr>
                <w:rFonts w:ascii="Aptos Narrow" w:hAnsi="Aptos Narrow" w:cs="Times New Roman"/>
                <w:color w:val="000000"/>
                <w:lang w:eastAsia="fr-FR"/>
              </w:rPr>
              <w:t>10-30m</w:t>
            </w:r>
          </w:p>
        </w:tc>
      </w:tr>
      <w:tr w:rsidR="00BE7A2D" w:rsidRPr="00AC2556" w14:paraId="2655BDB0" w14:textId="77777777" w:rsidTr="005A7661">
        <w:trPr>
          <w:trHeight w:val="288"/>
        </w:trPr>
        <w:tc>
          <w:tcPr>
            <w:tcW w:w="159" w:type="pct"/>
            <w:tcBorders>
              <w:top w:val="single" w:sz="4" w:space="0" w:color="196B24"/>
              <w:left w:val="single" w:sz="4" w:space="0" w:color="196B24"/>
              <w:bottom w:val="nil"/>
              <w:right w:val="nil"/>
            </w:tcBorders>
            <w:noWrap/>
            <w:vAlign w:val="bottom"/>
            <w:hideMark/>
          </w:tcPr>
          <w:p w14:paraId="51B5613C" w14:textId="77777777" w:rsidR="00BE7A2D" w:rsidRPr="00AC2556" w:rsidRDefault="00BE7A2D" w:rsidP="005A7661">
            <w:pPr>
              <w:spacing w:after="0"/>
              <w:jc w:val="center"/>
              <w:rPr>
                <w:rFonts w:ascii="Aptos Narrow" w:hAnsi="Aptos Narrow" w:cs="Times New Roman"/>
                <w:color w:val="000000"/>
                <w:lang w:eastAsia="fr-FR"/>
              </w:rPr>
            </w:pPr>
            <w:r w:rsidRPr="00AC2556">
              <w:rPr>
                <w:rFonts w:ascii="Aptos Narrow" w:hAnsi="Aptos Narrow" w:cs="Times New Roman"/>
                <w:color w:val="000000"/>
                <w:lang w:eastAsia="fr-FR"/>
              </w:rPr>
              <w:t>48</w:t>
            </w:r>
          </w:p>
        </w:tc>
        <w:tc>
          <w:tcPr>
            <w:tcW w:w="1062" w:type="pct"/>
            <w:tcBorders>
              <w:top w:val="single" w:sz="4" w:space="0" w:color="196B24"/>
              <w:left w:val="nil"/>
              <w:bottom w:val="nil"/>
              <w:right w:val="nil"/>
            </w:tcBorders>
            <w:noWrap/>
            <w:vAlign w:val="bottom"/>
            <w:hideMark/>
          </w:tcPr>
          <w:p w14:paraId="3660201A" w14:textId="77777777" w:rsidR="00BE7A2D" w:rsidRPr="00AC2556" w:rsidRDefault="00BE7A2D" w:rsidP="005A7661">
            <w:pPr>
              <w:spacing w:after="0"/>
              <w:jc w:val="center"/>
              <w:rPr>
                <w:rFonts w:ascii="Aptos Narrow" w:hAnsi="Aptos Narrow" w:cs="Times New Roman"/>
                <w:color w:val="000000"/>
                <w:lang w:eastAsia="fr-FR"/>
              </w:rPr>
            </w:pPr>
            <w:r w:rsidRPr="00AC2556">
              <w:rPr>
                <w:rFonts w:ascii="Aptos Narrow" w:hAnsi="Aptos Narrow" w:cs="Times New Roman"/>
                <w:color w:val="000000"/>
                <w:lang w:eastAsia="fr-FR"/>
              </w:rPr>
              <w:t>31° 38' 40.974''</w:t>
            </w:r>
          </w:p>
        </w:tc>
        <w:tc>
          <w:tcPr>
            <w:tcW w:w="1149" w:type="pct"/>
            <w:tcBorders>
              <w:top w:val="single" w:sz="4" w:space="0" w:color="196B24"/>
              <w:left w:val="nil"/>
              <w:bottom w:val="nil"/>
              <w:right w:val="nil"/>
            </w:tcBorders>
            <w:noWrap/>
            <w:vAlign w:val="bottom"/>
            <w:hideMark/>
          </w:tcPr>
          <w:p w14:paraId="20BC4F1A" w14:textId="77777777" w:rsidR="00BE7A2D" w:rsidRPr="00AC2556" w:rsidRDefault="00BE7A2D" w:rsidP="005A7661">
            <w:pPr>
              <w:spacing w:after="0"/>
              <w:jc w:val="center"/>
              <w:rPr>
                <w:rFonts w:ascii="Aptos Narrow" w:hAnsi="Aptos Narrow" w:cs="Times New Roman"/>
                <w:color w:val="000000"/>
                <w:lang w:eastAsia="fr-FR"/>
              </w:rPr>
            </w:pPr>
            <w:r w:rsidRPr="00AC2556">
              <w:rPr>
                <w:rFonts w:ascii="Aptos Narrow" w:hAnsi="Aptos Narrow" w:cs="Times New Roman"/>
                <w:color w:val="000000"/>
                <w:lang w:eastAsia="fr-FR"/>
              </w:rPr>
              <w:t>8° 15' 9.302''</w:t>
            </w:r>
          </w:p>
        </w:tc>
        <w:tc>
          <w:tcPr>
            <w:tcW w:w="943" w:type="pct"/>
            <w:tcBorders>
              <w:top w:val="single" w:sz="4" w:space="0" w:color="196B24"/>
              <w:left w:val="nil"/>
              <w:bottom w:val="nil"/>
              <w:right w:val="nil"/>
            </w:tcBorders>
            <w:noWrap/>
            <w:vAlign w:val="bottom"/>
            <w:hideMark/>
          </w:tcPr>
          <w:p w14:paraId="7333611F" w14:textId="77777777" w:rsidR="00BE7A2D" w:rsidRPr="00AC2556" w:rsidRDefault="00BE7A2D" w:rsidP="005A7661">
            <w:pPr>
              <w:spacing w:after="0"/>
              <w:jc w:val="left"/>
              <w:rPr>
                <w:rFonts w:ascii="Aptos Narrow" w:hAnsi="Aptos Narrow" w:cs="Times New Roman"/>
                <w:i/>
                <w:iCs/>
                <w:color w:val="000000"/>
                <w:lang w:eastAsia="fr-FR"/>
              </w:rPr>
            </w:pPr>
            <w:r w:rsidRPr="00AC2556">
              <w:rPr>
                <w:rFonts w:ascii="Aptos Narrow" w:hAnsi="Aptos Narrow" w:cs="Times New Roman"/>
                <w:i/>
                <w:iCs/>
                <w:color w:val="000000"/>
                <w:lang w:eastAsia="fr-FR"/>
              </w:rPr>
              <w:t>Ciconia ciconia</w:t>
            </w:r>
          </w:p>
        </w:tc>
        <w:tc>
          <w:tcPr>
            <w:tcW w:w="288" w:type="pct"/>
            <w:tcBorders>
              <w:top w:val="single" w:sz="4" w:space="0" w:color="196B24"/>
              <w:left w:val="nil"/>
              <w:bottom w:val="nil"/>
              <w:right w:val="nil"/>
            </w:tcBorders>
            <w:noWrap/>
            <w:vAlign w:val="bottom"/>
            <w:hideMark/>
          </w:tcPr>
          <w:p w14:paraId="1521E9CF" w14:textId="77777777" w:rsidR="00BE7A2D" w:rsidRPr="00AC2556" w:rsidRDefault="00BE7A2D" w:rsidP="005A7661">
            <w:pPr>
              <w:spacing w:after="0"/>
              <w:jc w:val="center"/>
              <w:rPr>
                <w:rFonts w:ascii="Aptos Narrow" w:hAnsi="Aptos Narrow" w:cs="Times New Roman"/>
                <w:color w:val="000000"/>
                <w:lang w:eastAsia="fr-FR"/>
              </w:rPr>
            </w:pPr>
            <w:r w:rsidRPr="00AC2556">
              <w:rPr>
                <w:rFonts w:ascii="Aptos Narrow" w:hAnsi="Aptos Narrow" w:cs="Times New Roman"/>
                <w:color w:val="000000"/>
                <w:lang w:eastAsia="fr-FR"/>
              </w:rPr>
              <w:t>2</w:t>
            </w:r>
          </w:p>
        </w:tc>
        <w:tc>
          <w:tcPr>
            <w:tcW w:w="813" w:type="pct"/>
            <w:tcBorders>
              <w:top w:val="single" w:sz="4" w:space="0" w:color="196B24"/>
              <w:left w:val="nil"/>
              <w:bottom w:val="nil"/>
              <w:right w:val="nil"/>
            </w:tcBorders>
            <w:noWrap/>
            <w:vAlign w:val="bottom"/>
            <w:hideMark/>
          </w:tcPr>
          <w:p w14:paraId="5113744D" w14:textId="77777777" w:rsidR="00BE7A2D" w:rsidRPr="00AC2556" w:rsidRDefault="00BE7A2D" w:rsidP="005A7661">
            <w:pPr>
              <w:spacing w:after="0"/>
              <w:jc w:val="left"/>
              <w:rPr>
                <w:rFonts w:ascii="Aptos Narrow" w:hAnsi="Aptos Narrow" w:cs="Times New Roman"/>
                <w:color w:val="000000"/>
                <w:lang w:eastAsia="fr-FR"/>
              </w:rPr>
            </w:pPr>
            <w:r w:rsidRPr="00AC2556">
              <w:rPr>
                <w:rFonts w:ascii="Aptos Narrow" w:hAnsi="Aptos Narrow" w:cs="Times New Roman"/>
                <w:color w:val="000000"/>
                <w:lang w:eastAsia="fr-FR"/>
              </w:rPr>
              <w:t>Minaret</w:t>
            </w:r>
          </w:p>
        </w:tc>
        <w:tc>
          <w:tcPr>
            <w:tcW w:w="585" w:type="pct"/>
            <w:tcBorders>
              <w:top w:val="single" w:sz="4" w:space="0" w:color="196B24"/>
              <w:left w:val="nil"/>
              <w:bottom w:val="nil"/>
              <w:right w:val="single" w:sz="4" w:space="0" w:color="196B24"/>
            </w:tcBorders>
            <w:noWrap/>
            <w:vAlign w:val="bottom"/>
            <w:hideMark/>
          </w:tcPr>
          <w:p w14:paraId="7261A076" w14:textId="77777777" w:rsidR="00BE7A2D" w:rsidRPr="00AC2556" w:rsidRDefault="00BE7A2D" w:rsidP="005A7661">
            <w:pPr>
              <w:spacing w:after="0"/>
              <w:jc w:val="center"/>
              <w:rPr>
                <w:rFonts w:ascii="Aptos Narrow" w:hAnsi="Aptos Narrow" w:cs="Times New Roman"/>
                <w:color w:val="000000"/>
                <w:lang w:eastAsia="fr-FR"/>
              </w:rPr>
            </w:pPr>
            <w:r w:rsidRPr="00AC2556">
              <w:rPr>
                <w:rFonts w:ascii="Aptos Narrow" w:hAnsi="Aptos Narrow" w:cs="Times New Roman"/>
                <w:color w:val="000000"/>
                <w:lang w:eastAsia="fr-FR"/>
              </w:rPr>
              <w:t>10-30m</w:t>
            </w:r>
          </w:p>
        </w:tc>
      </w:tr>
      <w:tr w:rsidR="00BE7A2D" w:rsidRPr="00AC2556" w14:paraId="52DA9A92" w14:textId="77777777" w:rsidTr="005A7661">
        <w:trPr>
          <w:trHeight w:val="288"/>
        </w:trPr>
        <w:tc>
          <w:tcPr>
            <w:tcW w:w="159" w:type="pct"/>
            <w:tcBorders>
              <w:top w:val="single" w:sz="4" w:space="0" w:color="196B24"/>
              <w:left w:val="single" w:sz="4" w:space="0" w:color="196B24"/>
              <w:bottom w:val="single" w:sz="4" w:space="0" w:color="196B24"/>
              <w:right w:val="nil"/>
            </w:tcBorders>
            <w:noWrap/>
            <w:vAlign w:val="bottom"/>
            <w:hideMark/>
          </w:tcPr>
          <w:p w14:paraId="425AD54A" w14:textId="77777777" w:rsidR="00BE7A2D" w:rsidRPr="00AC2556" w:rsidRDefault="00BE7A2D" w:rsidP="005A7661">
            <w:pPr>
              <w:spacing w:after="0"/>
              <w:jc w:val="center"/>
              <w:rPr>
                <w:rFonts w:ascii="Aptos Narrow" w:hAnsi="Aptos Narrow" w:cs="Times New Roman"/>
                <w:color w:val="000000"/>
                <w:lang w:eastAsia="fr-FR"/>
              </w:rPr>
            </w:pPr>
            <w:r w:rsidRPr="00AC2556">
              <w:rPr>
                <w:rFonts w:ascii="Aptos Narrow" w:hAnsi="Aptos Narrow" w:cs="Times New Roman"/>
                <w:color w:val="000000"/>
                <w:lang w:eastAsia="fr-FR"/>
              </w:rPr>
              <w:t>49</w:t>
            </w:r>
          </w:p>
        </w:tc>
        <w:tc>
          <w:tcPr>
            <w:tcW w:w="1062" w:type="pct"/>
            <w:tcBorders>
              <w:top w:val="single" w:sz="4" w:space="0" w:color="196B24"/>
              <w:left w:val="nil"/>
              <w:bottom w:val="single" w:sz="4" w:space="0" w:color="196B24"/>
              <w:right w:val="nil"/>
            </w:tcBorders>
            <w:noWrap/>
            <w:vAlign w:val="bottom"/>
            <w:hideMark/>
          </w:tcPr>
          <w:p w14:paraId="31B5553F" w14:textId="77777777" w:rsidR="00BE7A2D" w:rsidRPr="00AC2556" w:rsidRDefault="00BE7A2D" w:rsidP="005A7661">
            <w:pPr>
              <w:spacing w:after="0"/>
              <w:jc w:val="center"/>
              <w:rPr>
                <w:rFonts w:ascii="Aptos Narrow" w:hAnsi="Aptos Narrow" w:cs="Times New Roman"/>
                <w:color w:val="000000"/>
                <w:lang w:eastAsia="fr-FR"/>
              </w:rPr>
            </w:pPr>
            <w:r w:rsidRPr="00AC2556">
              <w:rPr>
                <w:rFonts w:ascii="Aptos Narrow" w:hAnsi="Aptos Narrow" w:cs="Times New Roman"/>
                <w:color w:val="000000"/>
                <w:lang w:eastAsia="fr-FR"/>
              </w:rPr>
              <w:t xml:space="preserve">31°41'06,8''  </w:t>
            </w:r>
          </w:p>
        </w:tc>
        <w:tc>
          <w:tcPr>
            <w:tcW w:w="1149" w:type="pct"/>
            <w:tcBorders>
              <w:top w:val="single" w:sz="4" w:space="0" w:color="196B24"/>
              <w:left w:val="nil"/>
              <w:bottom w:val="single" w:sz="4" w:space="0" w:color="196B24"/>
              <w:right w:val="nil"/>
            </w:tcBorders>
            <w:noWrap/>
            <w:vAlign w:val="bottom"/>
            <w:hideMark/>
          </w:tcPr>
          <w:p w14:paraId="149411CE" w14:textId="77777777" w:rsidR="00BE7A2D" w:rsidRPr="00AC2556" w:rsidRDefault="00BE7A2D" w:rsidP="005A7661">
            <w:pPr>
              <w:spacing w:after="0"/>
              <w:jc w:val="center"/>
              <w:rPr>
                <w:rFonts w:ascii="Aptos Narrow" w:hAnsi="Aptos Narrow" w:cs="Times New Roman"/>
                <w:color w:val="000000"/>
                <w:lang w:eastAsia="fr-FR"/>
              </w:rPr>
            </w:pPr>
            <w:r w:rsidRPr="00AC2556">
              <w:rPr>
                <w:rFonts w:ascii="Aptos Narrow" w:hAnsi="Aptos Narrow" w:cs="Times New Roman"/>
                <w:color w:val="000000"/>
                <w:lang w:eastAsia="fr-FR"/>
              </w:rPr>
              <w:t>7°58'07,00''</w:t>
            </w:r>
          </w:p>
        </w:tc>
        <w:tc>
          <w:tcPr>
            <w:tcW w:w="943" w:type="pct"/>
            <w:tcBorders>
              <w:top w:val="single" w:sz="4" w:space="0" w:color="196B24"/>
              <w:left w:val="nil"/>
              <w:bottom w:val="single" w:sz="4" w:space="0" w:color="196B24"/>
              <w:right w:val="nil"/>
            </w:tcBorders>
            <w:noWrap/>
            <w:vAlign w:val="bottom"/>
            <w:hideMark/>
          </w:tcPr>
          <w:p w14:paraId="0F7BBCFE" w14:textId="77777777" w:rsidR="00BE7A2D" w:rsidRPr="00AC2556" w:rsidRDefault="00BE7A2D" w:rsidP="005A7661">
            <w:pPr>
              <w:spacing w:after="0"/>
              <w:jc w:val="left"/>
              <w:rPr>
                <w:rFonts w:ascii="Aptos Narrow" w:hAnsi="Aptos Narrow" w:cs="Times New Roman"/>
                <w:i/>
                <w:iCs/>
                <w:color w:val="000000"/>
                <w:lang w:eastAsia="fr-FR"/>
              </w:rPr>
            </w:pPr>
            <w:r w:rsidRPr="00AC2556">
              <w:rPr>
                <w:rFonts w:ascii="Aptos Narrow" w:hAnsi="Aptos Narrow" w:cs="Times New Roman"/>
                <w:i/>
                <w:iCs/>
                <w:color w:val="000000"/>
                <w:lang w:eastAsia="fr-FR"/>
              </w:rPr>
              <w:t>Ciconia ciconia</w:t>
            </w:r>
          </w:p>
        </w:tc>
        <w:tc>
          <w:tcPr>
            <w:tcW w:w="288" w:type="pct"/>
            <w:tcBorders>
              <w:top w:val="single" w:sz="4" w:space="0" w:color="196B24"/>
              <w:left w:val="nil"/>
              <w:bottom w:val="single" w:sz="4" w:space="0" w:color="196B24"/>
              <w:right w:val="nil"/>
            </w:tcBorders>
            <w:noWrap/>
            <w:vAlign w:val="bottom"/>
            <w:hideMark/>
          </w:tcPr>
          <w:p w14:paraId="190E15BF" w14:textId="77777777" w:rsidR="00BE7A2D" w:rsidRPr="00AC2556" w:rsidRDefault="00BE7A2D" w:rsidP="005A7661">
            <w:pPr>
              <w:spacing w:after="0"/>
              <w:jc w:val="center"/>
              <w:rPr>
                <w:rFonts w:ascii="Aptos Narrow" w:hAnsi="Aptos Narrow" w:cs="Times New Roman"/>
                <w:color w:val="000000"/>
                <w:lang w:eastAsia="fr-FR"/>
              </w:rPr>
            </w:pPr>
            <w:r w:rsidRPr="00AC2556">
              <w:rPr>
                <w:rFonts w:ascii="Aptos Narrow" w:hAnsi="Aptos Narrow" w:cs="Times New Roman"/>
                <w:color w:val="000000"/>
                <w:lang w:eastAsia="fr-FR"/>
              </w:rPr>
              <w:t>3</w:t>
            </w:r>
          </w:p>
        </w:tc>
        <w:tc>
          <w:tcPr>
            <w:tcW w:w="813" w:type="pct"/>
            <w:tcBorders>
              <w:top w:val="single" w:sz="4" w:space="0" w:color="196B24"/>
              <w:left w:val="nil"/>
              <w:bottom w:val="single" w:sz="4" w:space="0" w:color="196B24"/>
              <w:right w:val="nil"/>
            </w:tcBorders>
            <w:noWrap/>
            <w:vAlign w:val="bottom"/>
            <w:hideMark/>
          </w:tcPr>
          <w:p w14:paraId="4C650013" w14:textId="77777777" w:rsidR="00BE7A2D" w:rsidRPr="00AC2556" w:rsidRDefault="00BE7A2D" w:rsidP="005A7661">
            <w:pPr>
              <w:spacing w:after="0"/>
              <w:jc w:val="left"/>
              <w:rPr>
                <w:rFonts w:ascii="Aptos Narrow" w:hAnsi="Aptos Narrow" w:cs="Times New Roman"/>
                <w:color w:val="000000"/>
                <w:lang w:eastAsia="fr-FR"/>
              </w:rPr>
            </w:pPr>
            <w:r w:rsidRPr="00AC2556">
              <w:rPr>
                <w:rFonts w:ascii="Aptos Narrow" w:hAnsi="Aptos Narrow" w:cs="Times New Roman"/>
                <w:color w:val="000000"/>
                <w:lang w:eastAsia="fr-FR"/>
              </w:rPr>
              <w:t>Pylône réseau télécom</w:t>
            </w:r>
          </w:p>
        </w:tc>
        <w:tc>
          <w:tcPr>
            <w:tcW w:w="585" w:type="pct"/>
            <w:tcBorders>
              <w:top w:val="single" w:sz="4" w:space="0" w:color="196B24"/>
              <w:left w:val="nil"/>
              <w:bottom w:val="single" w:sz="4" w:space="0" w:color="196B24"/>
              <w:right w:val="single" w:sz="4" w:space="0" w:color="196B24"/>
            </w:tcBorders>
            <w:noWrap/>
            <w:vAlign w:val="bottom"/>
            <w:hideMark/>
          </w:tcPr>
          <w:p w14:paraId="59C0C1E0" w14:textId="77777777" w:rsidR="00BE7A2D" w:rsidRPr="00AC2556" w:rsidRDefault="00BE7A2D" w:rsidP="005A7661">
            <w:pPr>
              <w:spacing w:after="0"/>
              <w:jc w:val="center"/>
              <w:rPr>
                <w:rFonts w:ascii="Aptos Narrow" w:hAnsi="Aptos Narrow" w:cs="Times New Roman"/>
                <w:color w:val="000000"/>
                <w:lang w:eastAsia="fr-FR"/>
              </w:rPr>
            </w:pPr>
            <w:r w:rsidRPr="00AC2556">
              <w:rPr>
                <w:rFonts w:ascii="Aptos Narrow" w:hAnsi="Aptos Narrow" w:cs="Times New Roman"/>
                <w:color w:val="000000"/>
                <w:lang w:eastAsia="fr-FR"/>
              </w:rPr>
              <w:t>10-30m</w:t>
            </w:r>
          </w:p>
        </w:tc>
      </w:tr>
    </w:tbl>
    <w:p w14:paraId="2768B7F8" w14:textId="77777777" w:rsidR="00BE7A2D" w:rsidRPr="00785AAD" w:rsidRDefault="00BE7A2D" w:rsidP="00BE7A2D">
      <w:r w:rsidRPr="00785AAD">
        <w:t>L’analyse croisée des données issues des</w:t>
      </w:r>
      <w:r>
        <w:t xml:space="preserve"> visites du terrains 2024 et</w:t>
      </w:r>
      <w:r w:rsidRPr="00785AAD">
        <w:t xml:space="preserve"> prospections printanières 2025 et des statuts de conservation a permis d’identifier plusieurs espèces présentant un intérêt patrimonial marqué, soit par leur inscription dans des dispositifs de protection nationaux, soit par leur appartenance à des listes ou conventions internationales, soit encore par leur statut de menace à l’échelle mondiale ou régionale.</w:t>
      </w:r>
    </w:p>
    <w:p w14:paraId="77667244" w14:textId="77777777" w:rsidR="00BE7A2D" w:rsidRPr="00785AAD" w:rsidRDefault="00BE7A2D" w:rsidP="00BE7A2D">
      <w:r w:rsidRPr="00785AAD">
        <w:lastRenderedPageBreak/>
        <w:t>Parmi ces espèces, l’</w:t>
      </w:r>
      <w:r w:rsidRPr="00785AAD">
        <w:rPr>
          <w:b/>
          <w:bCs/>
        </w:rPr>
        <w:t>Aigle de Bonelli</w:t>
      </w:r>
      <w:r w:rsidRPr="00785AAD">
        <w:t xml:space="preserve"> (</w:t>
      </w:r>
      <w:r w:rsidRPr="00785AAD">
        <w:rPr>
          <w:i/>
          <w:iCs/>
        </w:rPr>
        <w:t>Aquila fasciata</w:t>
      </w:r>
      <w:r w:rsidRPr="00785AAD">
        <w:t xml:space="preserve">) occupe une place singulière. Bien que classé </w:t>
      </w:r>
      <w:r w:rsidRPr="00785AAD">
        <w:rPr>
          <w:i/>
          <w:iCs/>
        </w:rPr>
        <w:t>LC</w:t>
      </w:r>
      <w:r w:rsidRPr="00785AAD">
        <w:t xml:space="preserve"> (Préoccupation mineure) au niveau mondial selon l’UICN, il est inscrit comme espèce protégée par l’</w:t>
      </w:r>
      <w:r w:rsidRPr="00785AAD">
        <w:rPr>
          <w:b/>
          <w:bCs/>
        </w:rPr>
        <w:t>Arrêté 582-62</w:t>
      </w:r>
      <w:r w:rsidRPr="00785AAD">
        <w:t>, figure à l’</w:t>
      </w:r>
      <w:r w:rsidRPr="00785AAD">
        <w:rPr>
          <w:b/>
          <w:bCs/>
        </w:rPr>
        <w:t>Annexe II de la CITES</w:t>
      </w:r>
      <w:r w:rsidRPr="00785AAD">
        <w:t>, à l’</w:t>
      </w:r>
      <w:r w:rsidRPr="00785AAD">
        <w:rPr>
          <w:b/>
          <w:bCs/>
        </w:rPr>
        <w:t>Annexe III de la Convention de Berne</w:t>
      </w:r>
      <w:r w:rsidRPr="00785AAD">
        <w:t xml:space="preserve"> et à l’</w:t>
      </w:r>
      <w:r w:rsidRPr="00785AAD">
        <w:rPr>
          <w:b/>
          <w:bCs/>
        </w:rPr>
        <w:t>Annexe II de la CMS</w:t>
      </w:r>
      <w:r w:rsidRPr="00785AAD">
        <w:t>, reflétant son importance et la nécessité de mesures de conservation ciblées, notamment dans les zones sensibles comme les emprises aéroportuaires.</w:t>
      </w:r>
    </w:p>
    <w:p w14:paraId="303A9E5A" w14:textId="77777777" w:rsidR="00BE7A2D" w:rsidRPr="00785AAD" w:rsidRDefault="00BE7A2D" w:rsidP="00BE7A2D">
      <w:r w:rsidRPr="00785AAD">
        <w:t>L’</w:t>
      </w:r>
      <w:r w:rsidRPr="00785AAD">
        <w:rPr>
          <w:b/>
          <w:bCs/>
        </w:rPr>
        <w:t>Avocette élégante</w:t>
      </w:r>
      <w:r w:rsidRPr="00785AAD">
        <w:t xml:space="preserve"> (</w:t>
      </w:r>
      <w:r w:rsidRPr="00785AAD">
        <w:rPr>
          <w:i/>
          <w:iCs/>
        </w:rPr>
        <w:t>Recurvirostra avosetta</w:t>
      </w:r>
      <w:r w:rsidRPr="00785AAD">
        <w:t xml:space="preserve">) et le </w:t>
      </w:r>
      <w:r w:rsidRPr="00785AAD">
        <w:rPr>
          <w:b/>
          <w:bCs/>
        </w:rPr>
        <w:t>Canard colvert</w:t>
      </w:r>
      <w:r w:rsidRPr="00785AAD">
        <w:t xml:space="preserve"> (</w:t>
      </w:r>
      <w:r w:rsidRPr="00785AAD">
        <w:rPr>
          <w:i/>
          <w:iCs/>
        </w:rPr>
        <w:t>Anas platyrhynchos</w:t>
      </w:r>
      <w:r w:rsidRPr="00785AAD">
        <w:t>) bénéficient également d’un haut niveau de reconnaissance réglementaire, étant tous deux mentionnés dans les annexes de la Convention de Berne et de la CMS, et pour le colvert, protégés par l’Arrêté 582-62. Ces espèces utilisent les zones humides et points d’eau périphériques comme habitats de halte ou de reproduction, ce qui souligne l’importance de la préservation de ces milieux au sein et aux abords de la ZA et ZVA.</w:t>
      </w:r>
    </w:p>
    <w:p w14:paraId="665DDF34" w14:textId="53D9C214" w:rsidR="00B97BB8" w:rsidRDefault="00BE7A2D" w:rsidP="00BE7A2D">
      <w:r w:rsidRPr="00785AAD">
        <w:t xml:space="preserve">Le </w:t>
      </w:r>
      <w:r w:rsidRPr="00785AAD">
        <w:rPr>
          <w:b/>
          <w:bCs/>
        </w:rPr>
        <w:t>Bruant du Sahara</w:t>
      </w:r>
      <w:r w:rsidRPr="00785AAD">
        <w:t xml:space="preserve"> (</w:t>
      </w:r>
      <w:r w:rsidRPr="00785AAD">
        <w:rPr>
          <w:i/>
          <w:iCs/>
        </w:rPr>
        <w:t>Emberiza sahari</w:t>
      </w:r>
      <w:r w:rsidRPr="00785AAD">
        <w:t xml:space="preserve">) et le </w:t>
      </w:r>
      <w:r w:rsidRPr="00785AAD">
        <w:rPr>
          <w:b/>
          <w:bCs/>
        </w:rPr>
        <w:t>Bulbul des jardins</w:t>
      </w:r>
      <w:r w:rsidRPr="00785AAD">
        <w:t xml:space="preserve"> (</w:t>
      </w:r>
      <w:r w:rsidRPr="00785AAD">
        <w:rPr>
          <w:i/>
          <w:iCs/>
        </w:rPr>
        <w:t>Pycnonotus barbatus</w:t>
      </w:r>
      <w:r w:rsidRPr="00785AAD">
        <w:t xml:space="preserve">), bien que classés </w:t>
      </w:r>
      <w:r w:rsidRPr="00785AAD">
        <w:rPr>
          <w:i/>
          <w:iCs/>
        </w:rPr>
        <w:t>LC</w:t>
      </w:r>
      <w:r w:rsidRPr="00785AAD">
        <w:t xml:space="preserve"> par l’UICN, sont inscrits aux annexes de la Convention de Berne, confirmant leur rôle dans le patrimoine naturel régional. Leur présence atteste de la diversité spécifique et de la complémentarité des habitats ouverts et arborés autour de la plateforme.</w:t>
      </w: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2E1ECD" w14:paraId="43484B17" w14:textId="77777777" w:rsidTr="005A7661">
        <w:tc>
          <w:tcPr>
            <w:tcW w:w="4531" w:type="dxa"/>
            <w:vAlign w:val="center"/>
          </w:tcPr>
          <w:p w14:paraId="44423798" w14:textId="77777777" w:rsidR="002E1ECD" w:rsidRDefault="002E1ECD" w:rsidP="005A7661">
            <w:pPr>
              <w:spacing w:before="240"/>
              <w:jc w:val="center"/>
            </w:pPr>
            <w:r>
              <w:rPr>
                <w:noProof/>
                <w:lang w:eastAsia="fr-FR" w:bidi="ar-SA"/>
              </w:rPr>
              <w:drawing>
                <wp:inline distT="0" distB="0" distL="0" distR="0" wp14:anchorId="5931C018" wp14:editId="64A330E8">
                  <wp:extent cx="2706846" cy="1613546"/>
                  <wp:effectExtent l="0" t="0" r="0" b="5715"/>
                  <wp:docPr id="970417949" name="Image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0417949" name="Image 126"/>
                          <pic:cNvPicPr>
                            <a:picLocks noChangeAspect="1" noChangeArrowheads="1"/>
                          </pic:cNvPicPr>
                        </pic:nvPicPr>
                        <pic:blipFill>
                          <a:blip r:embed="rId70" cstate="print">
                            <a:extLst>
                              <a:ext uri="{28A0092B-C50C-407E-A947-70E740481C1C}">
                                <a14:useLocalDpi xmlns:a14="http://schemas.microsoft.com/office/drawing/2010/main" val="0"/>
                              </a:ext>
                            </a:extLst>
                          </a:blip>
                          <a:stretch>
                            <a:fillRect/>
                          </a:stretch>
                        </pic:blipFill>
                        <pic:spPr bwMode="auto">
                          <a:xfrm>
                            <a:off x="0" y="0"/>
                            <a:ext cx="2706846" cy="1613546"/>
                          </a:xfrm>
                          <a:prstGeom prst="rect">
                            <a:avLst/>
                          </a:prstGeom>
                          <a:noFill/>
                          <a:ln>
                            <a:noFill/>
                          </a:ln>
                        </pic:spPr>
                      </pic:pic>
                    </a:graphicData>
                  </a:graphic>
                </wp:inline>
              </w:drawing>
            </w:r>
          </w:p>
        </w:tc>
        <w:tc>
          <w:tcPr>
            <w:tcW w:w="4531" w:type="dxa"/>
            <w:vAlign w:val="center"/>
          </w:tcPr>
          <w:p w14:paraId="3B5B93F7" w14:textId="77777777" w:rsidR="002E1ECD" w:rsidRDefault="002E1ECD" w:rsidP="005A7661">
            <w:pPr>
              <w:spacing w:before="240"/>
              <w:jc w:val="center"/>
            </w:pPr>
            <w:r>
              <w:rPr>
                <w:noProof/>
                <w:lang w:eastAsia="fr-FR" w:bidi="ar-SA"/>
              </w:rPr>
              <w:drawing>
                <wp:inline distT="0" distB="0" distL="0" distR="0" wp14:anchorId="63982C77" wp14:editId="5FEEB88E">
                  <wp:extent cx="2420319" cy="1613546"/>
                  <wp:effectExtent l="0" t="0" r="0" b="5715"/>
                  <wp:docPr id="976061888" name="Image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6061888" name="Image 126"/>
                          <pic:cNvPicPr>
                            <a:picLocks noChangeAspect="1" noChangeArrowheads="1"/>
                          </pic:cNvPicPr>
                        </pic:nvPicPr>
                        <pic:blipFill>
                          <a:blip r:embed="rId71" cstate="print">
                            <a:extLst>
                              <a:ext uri="{28A0092B-C50C-407E-A947-70E740481C1C}">
                                <a14:useLocalDpi xmlns:a14="http://schemas.microsoft.com/office/drawing/2010/main" val="0"/>
                              </a:ext>
                            </a:extLst>
                          </a:blip>
                          <a:stretch>
                            <a:fillRect/>
                          </a:stretch>
                        </pic:blipFill>
                        <pic:spPr bwMode="auto">
                          <a:xfrm>
                            <a:off x="0" y="0"/>
                            <a:ext cx="2420319" cy="1613546"/>
                          </a:xfrm>
                          <a:prstGeom prst="rect">
                            <a:avLst/>
                          </a:prstGeom>
                          <a:noFill/>
                          <a:ln>
                            <a:noFill/>
                          </a:ln>
                        </pic:spPr>
                      </pic:pic>
                    </a:graphicData>
                  </a:graphic>
                </wp:inline>
              </w:drawing>
            </w:r>
          </w:p>
        </w:tc>
      </w:tr>
      <w:tr w:rsidR="002E1ECD" w14:paraId="176DE418" w14:textId="77777777" w:rsidTr="005A7661">
        <w:tc>
          <w:tcPr>
            <w:tcW w:w="4531" w:type="dxa"/>
            <w:vAlign w:val="center"/>
          </w:tcPr>
          <w:p w14:paraId="47757B76" w14:textId="77777777" w:rsidR="002E1ECD" w:rsidRDefault="002E1ECD" w:rsidP="005A7661">
            <w:pPr>
              <w:spacing w:before="240"/>
              <w:jc w:val="center"/>
            </w:pPr>
            <w:r>
              <w:t>Aigle botté</w:t>
            </w:r>
          </w:p>
        </w:tc>
        <w:tc>
          <w:tcPr>
            <w:tcW w:w="4531" w:type="dxa"/>
            <w:vAlign w:val="center"/>
          </w:tcPr>
          <w:p w14:paraId="010E2A00" w14:textId="77777777" w:rsidR="002E1ECD" w:rsidRDefault="002E1ECD" w:rsidP="005A7661">
            <w:pPr>
              <w:spacing w:before="240"/>
              <w:jc w:val="center"/>
            </w:pPr>
            <w:r w:rsidRPr="00E34740">
              <w:t>Faucon crécerelle-femelle</w:t>
            </w:r>
          </w:p>
        </w:tc>
      </w:tr>
      <w:tr w:rsidR="002E1ECD" w14:paraId="4338E434" w14:textId="77777777" w:rsidTr="005A7661">
        <w:tc>
          <w:tcPr>
            <w:tcW w:w="4531" w:type="dxa"/>
            <w:vAlign w:val="center"/>
          </w:tcPr>
          <w:p w14:paraId="6DD438FF" w14:textId="77777777" w:rsidR="002E1ECD" w:rsidRDefault="002E1ECD" w:rsidP="005A7661">
            <w:pPr>
              <w:spacing w:before="240"/>
              <w:jc w:val="center"/>
            </w:pPr>
            <w:r>
              <w:rPr>
                <w:noProof/>
                <w:lang w:eastAsia="fr-FR" w:bidi="ar-SA"/>
              </w:rPr>
              <w:drawing>
                <wp:inline distT="0" distB="0" distL="0" distR="0" wp14:anchorId="642B0BEE" wp14:editId="62759C53">
                  <wp:extent cx="2420319" cy="1613546"/>
                  <wp:effectExtent l="0" t="0" r="0" b="5715"/>
                  <wp:docPr id="2067314328" name="Image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7314328" name="Image 126"/>
                          <pic:cNvPicPr>
                            <a:picLocks noChangeAspect="1" noChangeArrowheads="1"/>
                          </pic:cNvPicPr>
                        </pic:nvPicPr>
                        <pic:blipFill>
                          <a:blip r:embed="rId72" cstate="print">
                            <a:extLst>
                              <a:ext uri="{28A0092B-C50C-407E-A947-70E740481C1C}">
                                <a14:useLocalDpi xmlns:a14="http://schemas.microsoft.com/office/drawing/2010/main" val="0"/>
                              </a:ext>
                            </a:extLst>
                          </a:blip>
                          <a:stretch>
                            <a:fillRect/>
                          </a:stretch>
                        </pic:blipFill>
                        <pic:spPr bwMode="auto">
                          <a:xfrm>
                            <a:off x="0" y="0"/>
                            <a:ext cx="2420319" cy="1613546"/>
                          </a:xfrm>
                          <a:prstGeom prst="rect">
                            <a:avLst/>
                          </a:prstGeom>
                          <a:noFill/>
                          <a:ln>
                            <a:noFill/>
                          </a:ln>
                        </pic:spPr>
                      </pic:pic>
                    </a:graphicData>
                  </a:graphic>
                </wp:inline>
              </w:drawing>
            </w:r>
          </w:p>
        </w:tc>
        <w:tc>
          <w:tcPr>
            <w:tcW w:w="4531" w:type="dxa"/>
            <w:vAlign w:val="center"/>
          </w:tcPr>
          <w:p w14:paraId="019B7089" w14:textId="77777777" w:rsidR="002E1ECD" w:rsidRDefault="002E1ECD" w:rsidP="005A7661">
            <w:pPr>
              <w:spacing w:before="240"/>
              <w:jc w:val="center"/>
            </w:pPr>
            <w:r>
              <w:rPr>
                <w:noProof/>
                <w:lang w:eastAsia="fr-FR" w:bidi="ar-SA"/>
              </w:rPr>
              <w:drawing>
                <wp:inline distT="0" distB="0" distL="0" distR="0" wp14:anchorId="54FB0773" wp14:editId="2D1583CE">
                  <wp:extent cx="2420319" cy="1613546"/>
                  <wp:effectExtent l="0" t="0" r="0" b="5715"/>
                  <wp:docPr id="684968356" name="Image 126" descr="Une image contenant oiseau, oscines, plein air, bec&#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4968356" name="Image 126" descr="Une image contenant oiseau, oscines, plein air, bec&#10;&#10;Le contenu généré par l’IA peut être incorrect."/>
                          <pic:cNvPicPr>
                            <a:picLocks noChangeAspect="1" noChangeArrowheads="1"/>
                          </pic:cNvPicPr>
                        </pic:nvPicPr>
                        <pic:blipFill>
                          <a:blip r:embed="rId73" cstate="print">
                            <a:extLst>
                              <a:ext uri="{28A0092B-C50C-407E-A947-70E740481C1C}">
                                <a14:useLocalDpi xmlns:a14="http://schemas.microsoft.com/office/drawing/2010/main" val="0"/>
                              </a:ext>
                            </a:extLst>
                          </a:blip>
                          <a:stretch>
                            <a:fillRect/>
                          </a:stretch>
                        </pic:blipFill>
                        <pic:spPr bwMode="auto">
                          <a:xfrm>
                            <a:off x="0" y="0"/>
                            <a:ext cx="2420319" cy="1613546"/>
                          </a:xfrm>
                          <a:prstGeom prst="rect">
                            <a:avLst/>
                          </a:prstGeom>
                          <a:noFill/>
                          <a:ln>
                            <a:noFill/>
                          </a:ln>
                        </pic:spPr>
                      </pic:pic>
                    </a:graphicData>
                  </a:graphic>
                </wp:inline>
              </w:drawing>
            </w:r>
          </w:p>
        </w:tc>
      </w:tr>
      <w:tr w:rsidR="002E1ECD" w14:paraId="42B264FC" w14:textId="77777777" w:rsidTr="005A7661">
        <w:tc>
          <w:tcPr>
            <w:tcW w:w="4531" w:type="dxa"/>
            <w:vAlign w:val="center"/>
          </w:tcPr>
          <w:p w14:paraId="78976DB7" w14:textId="77777777" w:rsidR="002E1ECD" w:rsidRDefault="002E1ECD" w:rsidP="005A7661">
            <w:pPr>
              <w:spacing w:before="240"/>
              <w:jc w:val="center"/>
            </w:pPr>
            <w:r w:rsidRPr="00E34740">
              <w:t>Œdicnème criard</w:t>
            </w:r>
          </w:p>
        </w:tc>
        <w:tc>
          <w:tcPr>
            <w:tcW w:w="4531" w:type="dxa"/>
            <w:vAlign w:val="center"/>
          </w:tcPr>
          <w:p w14:paraId="6458EE14" w14:textId="77777777" w:rsidR="002E1ECD" w:rsidRDefault="002E1ECD" w:rsidP="005A7661">
            <w:pPr>
              <w:spacing w:before="240"/>
              <w:jc w:val="center"/>
            </w:pPr>
            <w:r w:rsidRPr="00E34740">
              <w:t>Pie-grièche du désert</w:t>
            </w:r>
          </w:p>
        </w:tc>
      </w:tr>
      <w:tr w:rsidR="002E1ECD" w14:paraId="2BC25A56" w14:textId="77777777" w:rsidTr="005A7661">
        <w:tc>
          <w:tcPr>
            <w:tcW w:w="4531" w:type="dxa"/>
            <w:vAlign w:val="center"/>
          </w:tcPr>
          <w:p w14:paraId="50D8EAB7" w14:textId="77777777" w:rsidR="002E1ECD" w:rsidRDefault="002E1ECD" w:rsidP="005A7661">
            <w:pPr>
              <w:spacing w:before="240"/>
              <w:jc w:val="center"/>
            </w:pPr>
            <w:r>
              <w:rPr>
                <w:noProof/>
                <w:lang w:eastAsia="fr-FR" w:bidi="ar-SA"/>
              </w:rPr>
              <w:lastRenderedPageBreak/>
              <w:drawing>
                <wp:inline distT="0" distB="0" distL="0" distR="0" wp14:anchorId="331497D4" wp14:editId="2D6E43B0">
                  <wp:extent cx="2151394" cy="1613546"/>
                  <wp:effectExtent l="0" t="0" r="1270" b="5715"/>
                  <wp:docPr id="1902622156" name="Image 126" descr="Une image contenant oiseau, plein air, bec, plum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2622156" name="Image 126" descr="Une image contenant oiseau, plein air, bec, plume&#10;&#10;Le contenu généré par l’IA peut être incorrect."/>
                          <pic:cNvPicPr>
                            <a:picLocks noChangeAspect="1" noChangeArrowheads="1"/>
                          </pic:cNvPicPr>
                        </pic:nvPicPr>
                        <pic:blipFill>
                          <a:blip r:embed="rId74" cstate="print">
                            <a:extLst>
                              <a:ext uri="{28A0092B-C50C-407E-A947-70E740481C1C}">
                                <a14:useLocalDpi xmlns:a14="http://schemas.microsoft.com/office/drawing/2010/main" val="0"/>
                              </a:ext>
                            </a:extLst>
                          </a:blip>
                          <a:stretch>
                            <a:fillRect/>
                          </a:stretch>
                        </pic:blipFill>
                        <pic:spPr bwMode="auto">
                          <a:xfrm>
                            <a:off x="0" y="0"/>
                            <a:ext cx="2151394" cy="1613546"/>
                          </a:xfrm>
                          <a:prstGeom prst="rect">
                            <a:avLst/>
                          </a:prstGeom>
                          <a:noFill/>
                          <a:ln>
                            <a:noFill/>
                          </a:ln>
                        </pic:spPr>
                      </pic:pic>
                    </a:graphicData>
                  </a:graphic>
                </wp:inline>
              </w:drawing>
            </w:r>
          </w:p>
        </w:tc>
        <w:tc>
          <w:tcPr>
            <w:tcW w:w="4531" w:type="dxa"/>
            <w:vAlign w:val="center"/>
          </w:tcPr>
          <w:p w14:paraId="2CB16026" w14:textId="77777777" w:rsidR="002E1ECD" w:rsidRDefault="002E1ECD" w:rsidP="005A7661">
            <w:pPr>
              <w:spacing w:before="240"/>
              <w:jc w:val="center"/>
            </w:pPr>
            <w:r>
              <w:rPr>
                <w:noProof/>
                <w:lang w:eastAsia="fr-FR" w:bidi="ar-SA"/>
              </w:rPr>
              <w:drawing>
                <wp:inline distT="0" distB="0" distL="0" distR="0" wp14:anchorId="11545A0B" wp14:editId="7A278635">
                  <wp:extent cx="2151394" cy="1613546"/>
                  <wp:effectExtent l="0" t="0" r="1270" b="5715"/>
                  <wp:docPr id="1755702538" name="Image 126" descr="Une image contenant arbre, oiseau, plein air, bec&#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5702538" name="Image 126" descr="Une image contenant arbre, oiseau, plein air, bec&#10;&#10;Le contenu généré par l’IA peut être incorrect."/>
                          <pic:cNvPicPr>
                            <a:picLocks noChangeAspect="1" noChangeArrowheads="1"/>
                          </pic:cNvPicPr>
                        </pic:nvPicPr>
                        <pic:blipFill>
                          <a:blip r:embed="rId75" cstate="print">
                            <a:extLst>
                              <a:ext uri="{28A0092B-C50C-407E-A947-70E740481C1C}">
                                <a14:useLocalDpi xmlns:a14="http://schemas.microsoft.com/office/drawing/2010/main" val="0"/>
                              </a:ext>
                            </a:extLst>
                          </a:blip>
                          <a:stretch>
                            <a:fillRect/>
                          </a:stretch>
                        </pic:blipFill>
                        <pic:spPr bwMode="auto">
                          <a:xfrm>
                            <a:off x="0" y="0"/>
                            <a:ext cx="2151394" cy="1613546"/>
                          </a:xfrm>
                          <a:prstGeom prst="rect">
                            <a:avLst/>
                          </a:prstGeom>
                          <a:noFill/>
                          <a:ln>
                            <a:noFill/>
                          </a:ln>
                        </pic:spPr>
                      </pic:pic>
                    </a:graphicData>
                  </a:graphic>
                </wp:inline>
              </w:drawing>
            </w:r>
          </w:p>
        </w:tc>
      </w:tr>
      <w:tr w:rsidR="002E1ECD" w14:paraId="1034DEFD" w14:textId="77777777" w:rsidTr="005A7661">
        <w:tc>
          <w:tcPr>
            <w:tcW w:w="4531" w:type="dxa"/>
            <w:vAlign w:val="center"/>
          </w:tcPr>
          <w:p w14:paraId="5A10687C" w14:textId="77777777" w:rsidR="002E1ECD" w:rsidRDefault="002E1ECD" w:rsidP="005A7661">
            <w:pPr>
              <w:spacing w:before="240"/>
              <w:jc w:val="center"/>
            </w:pPr>
            <w:r>
              <w:t>Tourterelle du bois</w:t>
            </w:r>
          </w:p>
        </w:tc>
        <w:tc>
          <w:tcPr>
            <w:tcW w:w="4531" w:type="dxa"/>
            <w:vAlign w:val="center"/>
          </w:tcPr>
          <w:p w14:paraId="428555AE" w14:textId="77777777" w:rsidR="002E1ECD" w:rsidRDefault="002E1ECD" w:rsidP="005A7661">
            <w:pPr>
              <w:spacing w:before="240"/>
              <w:jc w:val="center"/>
            </w:pPr>
            <w:r w:rsidRPr="00E34740">
              <w:t>Bulbul des jardin</w:t>
            </w:r>
            <w:r>
              <w:t>s</w:t>
            </w:r>
          </w:p>
        </w:tc>
      </w:tr>
      <w:tr w:rsidR="002E1ECD" w:rsidRPr="00E34740" w14:paraId="424537AE" w14:textId="77777777" w:rsidTr="005A7661">
        <w:tc>
          <w:tcPr>
            <w:tcW w:w="4531" w:type="dxa"/>
            <w:vAlign w:val="center"/>
          </w:tcPr>
          <w:p w14:paraId="575B3D2A" w14:textId="77777777" w:rsidR="002E1ECD" w:rsidRDefault="002E1ECD" w:rsidP="005A7661">
            <w:pPr>
              <w:spacing w:before="240"/>
              <w:jc w:val="center"/>
            </w:pPr>
            <w:r>
              <w:rPr>
                <w:noProof/>
                <w:lang w:eastAsia="fr-FR" w:bidi="ar-SA"/>
              </w:rPr>
              <w:drawing>
                <wp:inline distT="0" distB="0" distL="0" distR="0" wp14:anchorId="1B0C520B" wp14:editId="5954A633">
                  <wp:extent cx="2151394" cy="1613545"/>
                  <wp:effectExtent l="0" t="0" r="1270" b="5715"/>
                  <wp:docPr id="1514899187" name="Image 126" descr="Une image contenant herbe, plein air, ciel, eau&#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4899187" name="Image 126" descr="Une image contenant herbe, plein air, ciel, eau&#10;&#10;Le contenu généré par l’IA peut être incorrect."/>
                          <pic:cNvPicPr>
                            <a:picLocks noChangeAspect="1" noChangeArrowheads="1"/>
                          </pic:cNvPicPr>
                        </pic:nvPicPr>
                        <pic:blipFill>
                          <a:blip r:embed="rId76" cstate="print">
                            <a:extLst>
                              <a:ext uri="{28A0092B-C50C-407E-A947-70E740481C1C}">
                                <a14:useLocalDpi xmlns:a14="http://schemas.microsoft.com/office/drawing/2010/main" val="0"/>
                              </a:ext>
                            </a:extLst>
                          </a:blip>
                          <a:stretch>
                            <a:fillRect/>
                          </a:stretch>
                        </pic:blipFill>
                        <pic:spPr bwMode="auto">
                          <a:xfrm>
                            <a:off x="0" y="0"/>
                            <a:ext cx="2151394" cy="1613545"/>
                          </a:xfrm>
                          <a:prstGeom prst="rect">
                            <a:avLst/>
                          </a:prstGeom>
                          <a:noFill/>
                          <a:ln>
                            <a:noFill/>
                          </a:ln>
                        </pic:spPr>
                      </pic:pic>
                    </a:graphicData>
                  </a:graphic>
                </wp:inline>
              </w:drawing>
            </w:r>
          </w:p>
        </w:tc>
        <w:tc>
          <w:tcPr>
            <w:tcW w:w="4531" w:type="dxa"/>
            <w:vAlign w:val="center"/>
          </w:tcPr>
          <w:p w14:paraId="6246695E" w14:textId="77777777" w:rsidR="002E1ECD" w:rsidRPr="00E34740" w:rsidRDefault="002E1ECD" w:rsidP="005A7661">
            <w:pPr>
              <w:spacing w:before="240"/>
              <w:jc w:val="center"/>
            </w:pPr>
            <w:r>
              <w:rPr>
                <w:noProof/>
                <w:lang w:eastAsia="fr-FR" w:bidi="ar-SA"/>
              </w:rPr>
              <w:drawing>
                <wp:inline distT="0" distB="0" distL="0" distR="0" wp14:anchorId="134EAFCE" wp14:editId="1F78D19D">
                  <wp:extent cx="2151394" cy="1613545"/>
                  <wp:effectExtent l="0" t="0" r="1270" b="5715"/>
                  <wp:docPr id="1611203883" name="Image 126" descr="Une image contenant oiseau, plein air, pigeon, ciel&#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1203883" name="Image 126" descr="Une image contenant oiseau, plein air, pigeon, ciel&#10;&#10;Le contenu généré par l’IA peut être incorrect."/>
                          <pic:cNvPicPr>
                            <a:picLocks noChangeAspect="1" noChangeArrowheads="1"/>
                          </pic:cNvPicPr>
                        </pic:nvPicPr>
                        <pic:blipFill>
                          <a:blip r:embed="rId77" cstate="print">
                            <a:extLst>
                              <a:ext uri="{28A0092B-C50C-407E-A947-70E740481C1C}">
                                <a14:useLocalDpi xmlns:a14="http://schemas.microsoft.com/office/drawing/2010/main" val="0"/>
                              </a:ext>
                            </a:extLst>
                          </a:blip>
                          <a:stretch>
                            <a:fillRect/>
                          </a:stretch>
                        </pic:blipFill>
                        <pic:spPr bwMode="auto">
                          <a:xfrm>
                            <a:off x="0" y="0"/>
                            <a:ext cx="2151394" cy="1613545"/>
                          </a:xfrm>
                          <a:prstGeom prst="rect">
                            <a:avLst/>
                          </a:prstGeom>
                          <a:noFill/>
                          <a:ln>
                            <a:noFill/>
                          </a:ln>
                        </pic:spPr>
                      </pic:pic>
                    </a:graphicData>
                  </a:graphic>
                </wp:inline>
              </w:drawing>
            </w:r>
          </w:p>
        </w:tc>
      </w:tr>
      <w:tr w:rsidR="002E1ECD" w:rsidRPr="00E34740" w14:paraId="39785A6C" w14:textId="77777777" w:rsidTr="005A7661">
        <w:tc>
          <w:tcPr>
            <w:tcW w:w="4531" w:type="dxa"/>
            <w:vAlign w:val="center"/>
          </w:tcPr>
          <w:p w14:paraId="7475E3B4" w14:textId="77777777" w:rsidR="002E1ECD" w:rsidRDefault="002E1ECD" w:rsidP="005A7661">
            <w:pPr>
              <w:spacing w:before="240"/>
              <w:jc w:val="center"/>
            </w:pPr>
            <w:r>
              <w:t>Héron cendré</w:t>
            </w:r>
          </w:p>
        </w:tc>
        <w:tc>
          <w:tcPr>
            <w:tcW w:w="4531" w:type="dxa"/>
            <w:vAlign w:val="center"/>
          </w:tcPr>
          <w:p w14:paraId="69AD53E5" w14:textId="77777777" w:rsidR="002E1ECD" w:rsidRPr="00E34740" w:rsidRDefault="002E1ECD" w:rsidP="005A7661">
            <w:pPr>
              <w:spacing w:before="240"/>
              <w:jc w:val="center"/>
            </w:pPr>
            <w:r>
              <w:t>P</w:t>
            </w:r>
            <w:r w:rsidRPr="005C4289">
              <w:t>igeon ramier</w:t>
            </w:r>
          </w:p>
        </w:tc>
      </w:tr>
    </w:tbl>
    <w:p w14:paraId="46EABD24" w14:textId="4E4BE1F6" w:rsidR="002E1ECD" w:rsidRDefault="002E1ECD" w:rsidP="00DA59D3">
      <w:pPr>
        <w:pStyle w:val="Title3"/>
      </w:pPr>
      <w:bookmarkStart w:id="305" w:name="_Toc215131855"/>
      <w:r>
        <w:t>Mammifères</w:t>
      </w:r>
      <w:bookmarkEnd w:id="305"/>
    </w:p>
    <w:p w14:paraId="3BCAFDBF" w14:textId="5063C65E" w:rsidR="002E1ECD" w:rsidRDefault="00047FE5" w:rsidP="00047FE5">
      <w:r w:rsidRPr="00047FE5">
        <w:t>Dans la zone étendue (13 km), le cortège de mammifères est dominé par des espèces ubiquistes adaptées aux milieux urbains et agro-périurbains. Les rongeurs commensaux (rat noir, souris algérienne) et le chat domestique sont associés aux zones bâties, emprises techniques et gisements alimentaires. L’écureuil de Barbarie, observé sur site, exploite les talus, friches et bordures arborées. À l’échelle de la ZEE, les mésoprédateurs de plaine (renard roux, mangouste d’Égypte, genette) sont attendus sur les lisières, haies, friches et abords de points d’eau, où la ressource trophique est plus régulière. Les micromammifères des agrosystèmes (gerbilles, jirds) occupent les parcelles ouvertes et bords de pistes, constituant une ressource alimentaire importante pour les carnivores opportunistes. Les lagomorphes (lièvre) sont probables en mosaïque ouverte ; le sanglier n’est pas rapporté dans l’emprise et demeure occasionnel en périphérie plus lointaine</w:t>
      </w:r>
      <w:r>
        <w:t>.</w:t>
      </w:r>
    </w:p>
    <w:tbl>
      <w:tblPr>
        <w:tblStyle w:val="Grilledutableau11"/>
        <w:tblW w:w="0" w:type="auto"/>
        <w:tblLook w:val="04A0" w:firstRow="1" w:lastRow="0" w:firstColumn="1" w:lastColumn="0" w:noHBand="0" w:noVBand="1"/>
      </w:tblPr>
      <w:tblGrid>
        <w:gridCol w:w="1167"/>
        <w:gridCol w:w="1210"/>
        <w:gridCol w:w="1117"/>
        <w:gridCol w:w="931"/>
        <w:gridCol w:w="1128"/>
        <w:gridCol w:w="887"/>
        <w:gridCol w:w="673"/>
        <w:gridCol w:w="1314"/>
        <w:gridCol w:w="635"/>
      </w:tblGrid>
      <w:tr w:rsidR="00852D7C" w:rsidRPr="008D07FB" w14:paraId="59665A91" w14:textId="77777777" w:rsidTr="00AC2854">
        <w:tc>
          <w:tcPr>
            <w:tcW w:w="0" w:type="auto"/>
            <w:hideMark/>
          </w:tcPr>
          <w:p w14:paraId="35F781B6" w14:textId="77777777" w:rsidR="00852D7C" w:rsidRPr="008D07FB" w:rsidRDefault="00852D7C" w:rsidP="005A7661">
            <w:pPr>
              <w:rPr>
                <w:b/>
                <w:bCs/>
              </w:rPr>
            </w:pPr>
            <w:r w:rsidRPr="008D07FB">
              <w:rPr>
                <w:b/>
                <w:bCs/>
              </w:rPr>
              <w:t>Groupe</w:t>
            </w:r>
          </w:p>
        </w:tc>
        <w:tc>
          <w:tcPr>
            <w:tcW w:w="0" w:type="auto"/>
            <w:hideMark/>
          </w:tcPr>
          <w:p w14:paraId="7337F4C9" w14:textId="77777777" w:rsidR="00852D7C" w:rsidRPr="008D07FB" w:rsidRDefault="00852D7C" w:rsidP="005A7661">
            <w:pPr>
              <w:rPr>
                <w:b/>
                <w:bCs/>
              </w:rPr>
            </w:pPr>
            <w:r w:rsidRPr="008D07FB">
              <w:rPr>
                <w:b/>
                <w:bCs/>
              </w:rPr>
              <w:t>Espèce (nom scientifique)</w:t>
            </w:r>
          </w:p>
        </w:tc>
        <w:tc>
          <w:tcPr>
            <w:tcW w:w="0" w:type="auto"/>
            <w:hideMark/>
          </w:tcPr>
          <w:p w14:paraId="44B6C2C6" w14:textId="77777777" w:rsidR="00852D7C" w:rsidRPr="008D07FB" w:rsidRDefault="00852D7C" w:rsidP="005A7661">
            <w:pPr>
              <w:rPr>
                <w:b/>
                <w:bCs/>
              </w:rPr>
            </w:pPr>
            <w:r w:rsidRPr="008D07FB">
              <w:rPr>
                <w:b/>
                <w:bCs/>
              </w:rPr>
              <w:t>Nom commun</w:t>
            </w:r>
          </w:p>
        </w:tc>
        <w:tc>
          <w:tcPr>
            <w:tcW w:w="0" w:type="auto"/>
            <w:hideMark/>
          </w:tcPr>
          <w:p w14:paraId="325AF43B" w14:textId="77777777" w:rsidR="00852D7C" w:rsidRPr="008D07FB" w:rsidRDefault="00852D7C" w:rsidP="005A7661">
            <w:pPr>
              <w:rPr>
                <w:b/>
                <w:bCs/>
              </w:rPr>
            </w:pPr>
            <w:r w:rsidRPr="008D07FB">
              <w:rPr>
                <w:b/>
                <w:bCs/>
              </w:rPr>
              <w:t>Présence ZA</w:t>
            </w:r>
          </w:p>
        </w:tc>
        <w:tc>
          <w:tcPr>
            <w:tcW w:w="0" w:type="auto"/>
            <w:hideMark/>
          </w:tcPr>
          <w:p w14:paraId="66584E27" w14:textId="77777777" w:rsidR="00852D7C" w:rsidRPr="008D07FB" w:rsidRDefault="00852D7C" w:rsidP="005A7661">
            <w:pPr>
              <w:rPr>
                <w:b/>
                <w:bCs/>
              </w:rPr>
            </w:pPr>
            <w:r w:rsidRPr="008D07FB">
              <w:rPr>
                <w:b/>
                <w:bCs/>
              </w:rPr>
              <w:t>Présence ZEE (13 km)</w:t>
            </w:r>
          </w:p>
        </w:tc>
        <w:tc>
          <w:tcPr>
            <w:tcW w:w="0" w:type="auto"/>
            <w:hideMark/>
          </w:tcPr>
          <w:p w14:paraId="64BB1C63" w14:textId="77777777" w:rsidR="00852D7C" w:rsidRPr="008D07FB" w:rsidRDefault="00852D7C" w:rsidP="005A7661">
            <w:pPr>
              <w:rPr>
                <w:b/>
                <w:bCs/>
              </w:rPr>
            </w:pPr>
            <w:r w:rsidRPr="008D07FB">
              <w:rPr>
                <w:b/>
                <w:bCs/>
              </w:rPr>
              <w:t>UICN (Monde)</w:t>
            </w:r>
          </w:p>
        </w:tc>
        <w:tc>
          <w:tcPr>
            <w:tcW w:w="0" w:type="auto"/>
            <w:hideMark/>
          </w:tcPr>
          <w:p w14:paraId="793CE338" w14:textId="77777777" w:rsidR="00852D7C" w:rsidRPr="008D07FB" w:rsidRDefault="00852D7C" w:rsidP="005A7661">
            <w:pPr>
              <w:rPr>
                <w:b/>
                <w:bCs/>
              </w:rPr>
            </w:pPr>
            <w:r w:rsidRPr="008D07FB">
              <w:rPr>
                <w:b/>
                <w:bCs/>
              </w:rPr>
              <w:t>Berne</w:t>
            </w:r>
          </w:p>
        </w:tc>
        <w:tc>
          <w:tcPr>
            <w:tcW w:w="0" w:type="auto"/>
            <w:hideMark/>
          </w:tcPr>
          <w:p w14:paraId="2FE5D2B5" w14:textId="77777777" w:rsidR="00852D7C" w:rsidRPr="008D07FB" w:rsidRDefault="00852D7C" w:rsidP="005A7661">
            <w:pPr>
              <w:rPr>
                <w:b/>
                <w:bCs/>
              </w:rPr>
            </w:pPr>
            <w:r w:rsidRPr="008D07FB">
              <w:rPr>
                <w:b/>
                <w:bCs/>
              </w:rPr>
              <w:t>Loi 29-05 (Maroc)</w:t>
            </w:r>
          </w:p>
        </w:tc>
        <w:tc>
          <w:tcPr>
            <w:tcW w:w="0" w:type="auto"/>
            <w:hideMark/>
          </w:tcPr>
          <w:p w14:paraId="1ED12ADE" w14:textId="77777777" w:rsidR="00852D7C" w:rsidRPr="008D07FB" w:rsidRDefault="00852D7C" w:rsidP="005A7661">
            <w:pPr>
              <w:rPr>
                <w:b/>
                <w:bCs/>
              </w:rPr>
            </w:pPr>
            <w:r w:rsidRPr="008D07FB">
              <w:rPr>
                <w:b/>
                <w:bCs/>
              </w:rPr>
              <w:t>CITES</w:t>
            </w:r>
          </w:p>
        </w:tc>
      </w:tr>
      <w:tr w:rsidR="00852D7C" w:rsidRPr="008D07FB" w14:paraId="5C9F8CCE" w14:textId="77777777" w:rsidTr="00AC2854">
        <w:tc>
          <w:tcPr>
            <w:tcW w:w="0" w:type="auto"/>
            <w:hideMark/>
          </w:tcPr>
          <w:p w14:paraId="46AD574C" w14:textId="77777777" w:rsidR="00852D7C" w:rsidRPr="008D07FB" w:rsidRDefault="00852D7C" w:rsidP="005A7661">
            <w:r w:rsidRPr="008D07FB">
              <w:t>Rongeur</w:t>
            </w:r>
          </w:p>
        </w:tc>
        <w:tc>
          <w:tcPr>
            <w:tcW w:w="0" w:type="auto"/>
            <w:hideMark/>
          </w:tcPr>
          <w:p w14:paraId="02FAEAA9" w14:textId="77777777" w:rsidR="00852D7C" w:rsidRPr="006C3F0A" w:rsidRDefault="00852D7C" w:rsidP="005A7661">
            <w:pPr>
              <w:rPr>
                <w:i/>
                <w:iCs/>
              </w:rPr>
            </w:pPr>
            <w:r w:rsidRPr="006C3F0A">
              <w:rPr>
                <w:b/>
                <w:bCs/>
                <w:i/>
                <w:iCs/>
              </w:rPr>
              <w:t>Atlantoxerus getulus</w:t>
            </w:r>
          </w:p>
        </w:tc>
        <w:tc>
          <w:tcPr>
            <w:tcW w:w="0" w:type="auto"/>
            <w:hideMark/>
          </w:tcPr>
          <w:p w14:paraId="6F090605" w14:textId="77777777" w:rsidR="00852D7C" w:rsidRPr="008D07FB" w:rsidRDefault="00852D7C" w:rsidP="005A7661">
            <w:r w:rsidRPr="008D07FB">
              <w:t>Écureuil de Barbarie</w:t>
            </w:r>
          </w:p>
        </w:tc>
        <w:tc>
          <w:tcPr>
            <w:tcW w:w="0" w:type="auto"/>
            <w:hideMark/>
          </w:tcPr>
          <w:p w14:paraId="4838E99A" w14:textId="77777777" w:rsidR="00852D7C" w:rsidRPr="008D07FB" w:rsidRDefault="00852D7C" w:rsidP="005A7661">
            <w:r w:rsidRPr="008D07FB">
              <w:t>Oui (observé)</w:t>
            </w:r>
          </w:p>
        </w:tc>
        <w:tc>
          <w:tcPr>
            <w:tcW w:w="0" w:type="auto"/>
            <w:hideMark/>
          </w:tcPr>
          <w:p w14:paraId="4A668632" w14:textId="77777777" w:rsidR="00852D7C" w:rsidRPr="008D07FB" w:rsidRDefault="00852D7C" w:rsidP="005A7661">
            <w:r w:rsidRPr="008D07FB">
              <w:t>Oui</w:t>
            </w:r>
          </w:p>
        </w:tc>
        <w:tc>
          <w:tcPr>
            <w:tcW w:w="0" w:type="auto"/>
            <w:hideMark/>
          </w:tcPr>
          <w:p w14:paraId="5A37106B" w14:textId="77777777" w:rsidR="00852D7C" w:rsidRPr="008D07FB" w:rsidRDefault="00852D7C" w:rsidP="005A7661">
            <w:r w:rsidRPr="008D07FB">
              <w:t>LC</w:t>
            </w:r>
          </w:p>
        </w:tc>
        <w:tc>
          <w:tcPr>
            <w:tcW w:w="0" w:type="auto"/>
            <w:hideMark/>
          </w:tcPr>
          <w:p w14:paraId="0D7DB410" w14:textId="77777777" w:rsidR="00852D7C" w:rsidRPr="008D07FB" w:rsidRDefault="00852D7C" w:rsidP="005A7661">
            <w:r w:rsidRPr="008D07FB">
              <w:t>–</w:t>
            </w:r>
          </w:p>
        </w:tc>
        <w:tc>
          <w:tcPr>
            <w:tcW w:w="0" w:type="auto"/>
            <w:hideMark/>
          </w:tcPr>
          <w:p w14:paraId="2A717F76" w14:textId="77777777" w:rsidR="00852D7C" w:rsidRPr="008D07FB" w:rsidRDefault="00852D7C" w:rsidP="005A7661">
            <w:r w:rsidRPr="008D07FB">
              <w:t>—</w:t>
            </w:r>
          </w:p>
        </w:tc>
        <w:tc>
          <w:tcPr>
            <w:tcW w:w="0" w:type="auto"/>
            <w:hideMark/>
          </w:tcPr>
          <w:p w14:paraId="5F33ADCD" w14:textId="77777777" w:rsidR="00852D7C" w:rsidRPr="008D07FB" w:rsidRDefault="00852D7C" w:rsidP="005A7661">
            <w:r w:rsidRPr="008D07FB">
              <w:t>–</w:t>
            </w:r>
          </w:p>
        </w:tc>
      </w:tr>
      <w:tr w:rsidR="00852D7C" w:rsidRPr="008D07FB" w14:paraId="0220688E" w14:textId="77777777" w:rsidTr="00AC2854">
        <w:tc>
          <w:tcPr>
            <w:tcW w:w="0" w:type="auto"/>
            <w:hideMark/>
          </w:tcPr>
          <w:p w14:paraId="6FE993EC" w14:textId="77777777" w:rsidR="00852D7C" w:rsidRPr="008D07FB" w:rsidRDefault="00852D7C" w:rsidP="005A7661">
            <w:r w:rsidRPr="008D07FB">
              <w:lastRenderedPageBreak/>
              <w:t>Carnivore (dom.)</w:t>
            </w:r>
          </w:p>
        </w:tc>
        <w:tc>
          <w:tcPr>
            <w:tcW w:w="0" w:type="auto"/>
            <w:hideMark/>
          </w:tcPr>
          <w:p w14:paraId="6EDCC3CF" w14:textId="77777777" w:rsidR="00852D7C" w:rsidRPr="006C3F0A" w:rsidRDefault="00852D7C" w:rsidP="005A7661">
            <w:pPr>
              <w:rPr>
                <w:i/>
                <w:iCs/>
              </w:rPr>
            </w:pPr>
            <w:r w:rsidRPr="006C3F0A">
              <w:rPr>
                <w:b/>
                <w:bCs/>
                <w:i/>
                <w:iCs/>
              </w:rPr>
              <w:t>Felis catus</w:t>
            </w:r>
          </w:p>
        </w:tc>
        <w:tc>
          <w:tcPr>
            <w:tcW w:w="0" w:type="auto"/>
            <w:hideMark/>
          </w:tcPr>
          <w:p w14:paraId="2650DECD" w14:textId="77777777" w:rsidR="00852D7C" w:rsidRPr="008D07FB" w:rsidRDefault="00852D7C" w:rsidP="005A7661">
            <w:r w:rsidRPr="008D07FB">
              <w:t>Chat domestique</w:t>
            </w:r>
          </w:p>
        </w:tc>
        <w:tc>
          <w:tcPr>
            <w:tcW w:w="0" w:type="auto"/>
            <w:hideMark/>
          </w:tcPr>
          <w:p w14:paraId="07802908" w14:textId="77777777" w:rsidR="00852D7C" w:rsidRPr="008D07FB" w:rsidRDefault="00852D7C" w:rsidP="005A7661">
            <w:r w:rsidRPr="008D07FB">
              <w:t>Oui (observé)</w:t>
            </w:r>
          </w:p>
        </w:tc>
        <w:tc>
          <w:tcPr>
            <w:tcW w:w="0" w:type="auto"/>
            <w:hideMark/>
          </w:tcPr>
          <w:p w14:paraId="5AB2C11E" w14:textId="77777777" w:rsidR="00852D7C" w:rsidRPr="008D07FB" w:rsidRDefault="00852D7C" w:rsidP="005A7661">
            <w:r w:rsidRPr="008D07FB">
              <w:t>Oui</w:t>
            </w:r>
          </w:p>
        </w:tc>
        <w:tc>
          <w:tcPr>
            <w:tcW w:w="0" w:type="auto"/>
            <w:hideMark/>
          </w:tcPr>
          <w:p w14:paraId="16A771FE" w14:textId="77777777" w:rsidR="00852D7C" w:rsidRPr="008D07FB" w:rsidRDefault="00852D7C" w:rsidP="005A7661">
            <w:r w:rsidRPr="008D07FB">
              <w:t>–</w:t>
            </w:r>
          </w:p>
        </w:tc>
        <w:tc>
          <w:tcPr>
            <w:tcW w:w="0" w:type="auto"/>
            <w:hideMark/>
          </w:tcPr>
          <w:p w14:paraId="30CCEBCD" w14:textId="77777777" w:rsidR="00852D7C" w:rsidRPr="008D07FB" w:rsidRDefault="00852D7C" w:rsidP="005A7661">
            <w:r w:rsidRPr="008D07FB">
              <w:t>–</w:t>
            </w:r>
          </w:p>
        </w:tc>
        <w:tc>
          <w:tcPr>
            <w:tcW w:w="0" w:type="auto"/>
            <w:hideMark/>
          </w:tcPr>
          <w:p w14:paraId="407ED8BC" w14:textId="77777777" w:rsidR="00852D7C" w:rsidRPr="008D07FB" w:rsidRDefault="00852D7C" w:rsidP="005A7661">
            <w:r w:rsidRPr="008D07FB">
              <w:t>—</w:t>
            </w:r>
          </w:p>
        </w:tc>
        <w:tc>
          <w:tcPr>
            <w:tcW w:w="0" w:type="auto"/>
            <w:hideMark/>
          </w:tcPr>
          <w:p w14:paraId="5D4D8627" w14:textId="77777777" w:rsidR="00852D7C" w:rsidRPr="008D07FB" w:rsidRDefault="00852D7C" w:rsidP="005A7661">
            <w:r w:rsidRPr="008D07FB">
              <w:t>–</w:t>
            </w:r>
          </w:p>
        </w:tc>
      </w:tr>
      <w:tr w:rsidR="00852D7C" w:rsidRPr="008D07FB" w14:paraId="4D2CFDA4" w14:textId="77777777" w:rsidTr="00AC2854">
        <w:tc>
          <w:tcPr>
            <w:tcW w:w="0" w:type="auto"/>
            <w:hideMark/>
          </w:tcPr>
          <w:p w14:paraId="3057AFA8" w14:textId="77777777" w:rsidR="00852D7C" w:rsidRPr="008D07FB" w:rsidRDefault="00852D7C" w:rsidP="005A7661">
            <w:r w:rsidRPr="008D07FB">
              <w:t>Insectivore</w:t>
            </w:r>
          </w:p>
        </w:tc>
        <w:tc>
          <w:tcPr>
            <w:tcW w:w="0" w:type="auto"/>
            <w:hideMark/>
          </w:tcPr>
          <w:p w14:paraId="2EFA8FFC" w14:textId="77777777" w:rsidR="00852D7C" w:rsidRPr="006C3F0A" w:rsidRDefault="00852D7C" w:rsidP="005A7661">
            <w:pPr>
              <w:rPr>
                <w:i/>
                <w:iCs/>
              </w:rPr>
            </w:pPr>
            <w:r w:rsidRPr="006C3F0A">
              <w:rPr>
                <w:b/>
                <w:bCs/>
                <w:i/>
                <w:iCs/>
              </w:rPr>
              <w:t>Atelerix algirus</w:t>
            </w:r>
          </w:p>
        </w:tc>
        <w:tc>
          <w:tcPr>
            <w:tcW w:w="0" w:type="auto"/>
            <w:hideMark/>
          </w:tcPr>
          <w:p w14:paraId="5D7279C2" w14:textId="77777777" w:rsidR="00852D7C" w:rsidRPr="008D07FB" w:rsidRDefault="00852D7C" w:rsidP="005A7661">
            <w:r w:rsidRPr="008D07FB">
              <w:t>Hérisson d’Algérie</w:t>
            </w:r>
          </w:p>
        </w:tc>
        <w:tc>
          <w:tcPr>
            <w:tcW w:w="0" w:type="auto"/>
            <w:hideMark/>
          </w:tcPr>
          <w:p w14:paraId="0BB5DEB2" w14:textId="77777777" w:rsidR="00852D7C" w:rsidRPr="008D07FB" w:rsidRDefault="00852D7C" w:rsidP="005A7661">
            <w:r w:rsidRPr="008D07FB">
              <w:t>Localisé</w:t>
            </w:r>
          </w:p>
        </w:tc>
        <w:tc>
          <w:tcPr>
            <w:tcW w:w="0" w:type="auto"/>
            <w:hideMark/>
          </w:tcPr>
          <w:p w14:paraId="5B2D169F" w14:textId="77777777" w:rsidR="00852D7C" w:rsidRPr="008D07FB" w:rsidRDefault="00852D7C" w:rsidP="005A7661">
            <w:r w:rsidRPr="008D07FB">
              <w:t>Oui</w:t>
            </w:r>
          </w:p>
        </w:tc>
        <w:tc>
          <w:tcPr>
            <w:tcW w:w="0" w:type="auto"/>
            <w:hideMark/>
          </w:tcPr>
          <w:p w14:paraId="6BC9C84C" w14:textId="77777777" w:rsidR="00852D7C" w:rsidRPr="008D07FB" w:rsidRDefault="00852D7C" w:rsidP="005A7661">
            <w:r w:rsidRPr="008D07FB">
              <w:t>LC</w:t>
            </w:r>
          </w:p>
        </w:tc>
        <w:tc>
          <w:tcPr>
            <w:tcW w:w="0" w:type="auto"/>
            <w:hideMark/>
          </w:tcPr>
          <w:p w14:paraId="3715F316" w14:textId="77777777" w:rsidR="00852D7C" w:rsidRPr="008D07FB" w:rsidRDefault="00852D7C" w:rsidP="005A7661">
            <w:r w:rsidRPr="008D07FB">
              <w:t>–</w:t>
            </w:r>
          </w:p>
        </w:tc>
        <w:tc>
          <w:tcPr>
            <w:tcW w:w="0" w:type="auto"/>
            <w:hideMark/>
          </w:tcPr>
          <w:p w14:paraId="601B66FC" w14:textId="77777777" w:rsidR="00852D7C" w:rsidRPr="008D07FB" w:rsidRDefault="00852D7C" w:rsidP="005A7661">
            <w:r w:rsidRPr="008D07FB">
              <w:rPr>
                <w:b/>
                <w:bCs/>
              </w:rPr>
              <w:t>Cat. IV</w:t>
            </w:r>
          </w:p>
        </w:tc>
        <w:tc>
          <w:tcPr>
            <w:tcW w:w="0" w:type="auto"/>
            <w:hideMark/>
          </w:tcPr>
          <w:p w14:paraId="164AC324" w14:textId="77777777" w:rsidR="00852D7C" w:rsidRPr="008D07FB" w:rsidRDefault="00852D7C" w:rsidP="005A7661">
            <w:r w:rsidRPr="008D07FB">
              <w:t>–</w:t>
            </w:r>
          </w:p>
        </w:tc>
      </w:tr>
      <w:tr w:rsidR="00852D7C" w:rsidRPr="008D07FB" w14:paraId="7BE0F623" w14:textId="77777777" w:rsidTr="00AC2854">
        <w:tc>
          <w:tcPr>
            <w:tcW w:w="0" w:type="auto"/>
            <w:hideMark/>
          </w:tcPr>
          <w:p w14:paraId="520B53F2" w14:textId="77777777" w:rsidR="00852D7C" w:rsidRPr="008D07FB" w:rsidRDefault="00852D7C" w:rsidP="005A7661">
            <w:r w:rsidRPr="008D07FB">
              <w:t>Carnivore</w:t>
            </w:r>
          </w:p>
        </w:tc>
        <w:tc>
          <w:tcPr>
            <w:tcW w:w="0" w:type="auto"/>
            <w:hideMark/>
          </w:tcPr>
          <w:p w14:paraId="17A03CD0" w14:textId="77777777" w:rsidR="00852D7C" w:rsidRPr="006C3F0A" w:rsidRDefault="00852D7C" w:rsidP="005A7661">
            <w:pPr>
              <w:rPr>
                <w:i/>
                <w:iCs/>
              </w:rPr>
            </w:pPr>
            <w:r w:rsidRPr="006C3F0A">
              <w:rPr>
                <w:b/>
                <w:bCs/>
                <w:i/>
                <w:iCs/>
              </w:rPr>
              <w:t>Vulpes vulpes</w:t>
            </w:r>
          </w:p>
        </w:tc>
        <w:tc>
          <w:tcPr>
            <w:tcW w:w="0" w:type="auto"/>
            <w:hideMark/>
          </w:tcPr>
          <w:p w14:paraId="7949BF7E" w14:textId="77777777" w:rsidR="00852D7C" w:rsidRPr="008D07FB" w:rsidRDefault="00852D7C" w:rsidP="005A7661">
            <w:r w:rsidRPr="008D07FB">
              <w:t>Renard roux</w:t>
            </w:r>
          </w:p>
        </w:tc>
        <w:tc>
          <w:tcPr>
            <w:tcW w:w="0" w:type="auto"/>
            <w:hideMark/>
          </w:tcPr>
          <w:p w14:paraId="1D442D00" w14:textId="77777777" w:rsidR="00852D7C" w:rsidRPr="008D07FB" w:rsidRDefault="00852D7C" w:rsidP="005A7661">
            <w:r w:rsidRPr="008D07FB">
              <w:t>Non signalé</w:t>
            </w:r>
          </w:p>
        </w:tc>
        <w:tc>
          <w:tcPr>
            <w:tcW w:w="0" w:type="auto"/>
            <w:hideMark/>
          </w:tcPr>
          <w:p w14:paraId="5B7F25F3" w14:textId="77777777" w:rsidR="00852D7C" w:rsidRPr="008D07FB" w:rsidRDefault="00852D7C" w:rsidP="005A7661">
            <w:r w:rsidRPr="008D07FB">
              <w:t>Oui</w:t>
            </w:r>
          </w:p>
        </w:tc>
        <w:tc>
          <w:tcPr>
            <w:tcW w:w="0" w:type="auto"/>
            <w:hideMark/>
          </w:tcPr>
          <w:p w14:paraId="37DFCA06" w14:textId="77777777" w:rsidR="00852D7C" w:rsidRPr="008D07FB" w:rsidRDefault="00852D7C" w:rsidP="005A7661">
            <w:r w:rsidRPr="008D07FB">
              <w:t>LC</w:t>
            </w:r>
          </w:p>
        </w:tc>
        <w:tc>
          <w:tcPr>
            <w:tcW w:w="0" w:type="auto"/>
            <w:hideMark/>
          </w:tcPr>
          <w:p w14:paraId="1F560D7E" w14:textId="77777777" w:rsidR="00852D7C" w:rsidRPr="008D07FB" w:rsidRDefault="00852D7C" w:rsidP="005A7661">
            <w:r w:rsidRPr="008D07FB">
              <w:t>–</w:t>
            </w:r>
          </w:p>
        </w:tc>
        <w:tc>
          <w:tcPr>
            <w:tcW w:w="0" w:type="auto"/>
            <w:hideMark/>
          </w:tcPr>
          <w:p w14:paraId="43504EEC" w14:textId="77777777" w:rsidR="00852D7C" w:rsidRPr="008D07FB" w:rsidRDefault="00852D7C" w:rsidP="005A7661">
            <w:r w:rsidRPr="008D07FB">
              <w:t>—</w:t>
            </w:r>
          </w:p>
        </w:tc>
        <w:tc>
          <w:tcPr>
            <w:tcW w:w="0" w:type="auto"/>
            <w:hideMark/>
          </w:tcPr>
          <w:p w14:paraId="7AF09DC1" w14:textId="77777777" w:rsidR="00852D7C" w:rsidRPr="008D07FB" w:rsidRDefault="00852D7C" w:rsidP="005A7661">
            <w:r w:rsidRPr="008D07FB">
              <w:t>–</w:t>
            </w:r>
          </w:p>
        </w:tc>
      </w:tr>
      <w:tr w:rsidR="00852D7C" w:rsidRPr="008D07FB" w14:paraId="273644A5" w14:textId="77777777" w:rsidTr="00AC2854">
        <w:tc>
          <w:tcPr>
            <w:tcW w:w="0" w:type="auto"/>
            <w:hideMark/>
          </w:tcPr>
          <w:p w14:paraId="004F94D4" w14:textId="77777777" w:rsidR="00852D7C" w:rsidRPr="008D07FB" w:rsidRDefault="00852D7C" w:rsidP="005A7661">
            <w:r w:rsidRPr="008D07FB">
              <w:t>Carnivore</w:t>
            </w:r>
          </w:p>
        </w:tc>
        <w:tc>
          <w:tcPr>
            <w:tcW w:w="0" w:type="auto"/>
            <w:hideMark/>
          </w:tcPr>
          <w:p w14:paraId="080D4317" w14:textId="77777777" w:rsidR="00852D7C" w:rsidRPr="006C3F0A" w:rsidRDefault="00852D7C" w:rsidP="005A7661">
            <w:pPr>
              <w:rPr>
                <w:i/>
                <w:iCs/>
              </w:rPr>
            </w:pPr>
            <w:r w:rsidRPr="006C3F0A">
              <w:rPr>
                <w:b/>
                <w:bCs/>
                <w:i/>
                <w:iCs/>
              </w:rPr>
              <w:t>Herpestes ichneumon</w:t>
            </w:r>
          </w:p>
        </w:tc>
        <w:tc>
          <w:tcPr>
            <w:tcW w:w="0" w:type="auto"/>
            <w:hideMark/>
          </w:tcPr>
          <w:p w14:paraId="7FD37410" w14:textId="77777777" w:rsidR="00852D7C" w:rsidRPr="008D07FB" w:rsidRDefault="00852D7C" w:rsidP="005A7661">
            <w:r w:rsidRPr="008D07FB">
              <w:t>Mangouste d’Égypte</w:t>
            </w:r>
          </w:p>
        </w:tc>
        <w:tc>
          <w:tcPr>
            <w:tcW w:w="0" w:type="auto"/>
            <w:hideMark/>
          </w:tcPr>
          <w:p w14:paraId="6E18868E" w14:textId="77777777" w:rsidR="00852D7C" w:rsidRPr="008D07FB" w:rsidRDefault="00852D7C" w:rsidP="005A7661">
            <w:r w:rsidRPr="008D07FB">
              <w:t>Non signalé</w:t>
            </w:r>
          </w:p>
        </w:tc>
        <w:tc>
          <w:tcPr>
            <w:tcW w:w="0" w:type="auto"/>
            <w:hideMark/>
          </w:tcPr>
          <w:p w14:paraId="3DEEF723" w14:textId="77777777" w:rsidR="00852D7C" w:rsidRPr="008D07FB" w:rsidRDefault="00852D7C" w:rsidP="005A7661">
            <w:r w:rsidRPr="008D07FB">
              <w:t>Oui</w:t>
            </w:r>
          </w:p>
        </w:tc>
        <w:tc>
          <w:tcPr>
            <w:tcW w:w="0" w:type="auto"/>
            <w:hideMark/>
          </w:tcPr>
          <w:p w14:paraId="138BD5CE" w14:textId="77777777" w:rsidR="00852D7C" w:rsidRPr="008D07FB" w:rsidRDefault="00852D7C" w:rsidP="005A7661">
            <w:r w:rsidRPr="008D07FB">
              <w:t>LC</w:t>
            </w:r>
          </w:p>
        </w:tc>
        <w:tc>
          <w:tcPr>
            <w:tcW w:w="0" w:type="auto"/>
            <w:hideMark/>
          </w:tcPr>
          <w:p w14:paraId="7695FC60" w14:textId="77777777" w:rsidR="00852D7C" w:rsidRPr="008D07FB" w:rsidRDefault="00852D7C" w:rsidP="005A7661">
            <w:r w:rsidRPr="008D07FB">
              <w:rPr>
                <w:b/>
                <w:bCs/>
              </w:rPr>
              <w:t>Ann. III</w:t>
            </w:r>
          </w:p>
        </w:tc>
        <w:tc>
          <w:tcPr>
            <w:tcW w:w="0" w:type="auto"/>
            <w:hideMark/>
          </w:tcPr>
          <w:p w14:paraId="72FFE615" w14:textId="77777777" w:rsidR="00852D7C" w:rsidRPr="008D07FB" w:rsidRDefault="00852D7C" w:rsidP="005A7661">
            <w:r w:rsidRPr="008D07FB">
              <w:rPr>
                <w:b/>
                <w:bCs/>
              </w:rPr>
              <w:t>Cat. IV</w:t>
            </w:r>
          </w:p>
        </w:tc>
        <w:tc>
          <w:tcPr>
            <w:tcW w:w="0" w:type="auto"/>
            <w:hideMark/>
          </w:tcPr>
          <w:p w14:paraId="5E2AB388" w14:textId="77777777" w:rsidR="00852D7C" w:rsidRPr="008D07FB" w:rsidRDefault="00852D7C" w:rsidP="005A7661">
            <w:r w:rsidRPr="008D07FB">
              <w:t>–</w:t>
            </w:r>
          </w:p>
        </w:tc>
      </w:tr>
      <w:tr w:rsidR="00852D7C" w:rsidRPr="008D07FB" w14:paraId="7FFFA6C7" w14:textId="77777777" w:rsidTr="00AC2854">
        <w:tc>
          <w:tcPr>
            <w:tcW w:w="0" w:type="auto"/>
            <w:hideMark/>
          </w:tcPr>
          <w:p w14:paraId="67F4386B" w14:textId="77777777" w:rsidR="00852D7C" w:rsidRPr="008D07FB" w:rsidRDefault="00852D7C" w:rsidP="005A7661">
            <w:r w:rsidRPr="008D07FB">
              <w:t>Carnivore</w:t>
            </w:r>
          </w:p>
        </w:tc>
        <w:tc>
          <w:tcPr>
            <w:tcW w:w="0" w:type="auto"/>
            <w:hideMark/>
          </w:tcPr>
          <w:p w14:paraId="1F254FD8" w14:textId="77777777" w:rsidR="00852D7C" w:rsidRPr="006C3F0A" w:rsidRDefault="00852D7C" w:rsidP="005A7661">
            <w:pPr>
              <w:rPr>
                <w:i/>
                <w:iCs/>
              </w:rPr>
            </w:pPr>
            <w:r w:rsidRPr="006C3F0A">
              <w:rPr>
                <w:b/>
                <w:bCs/>
                <w:i/>
                <w:iCs/>
              </w:rPr>
              <w:t>Genetta genetta</w:t>
            </w:r>
          </w:p>
        </w:tc>
        <w:tc>
          <w:tcPr>
            <w:tcW w:w="0" w:type="auto"/>
            <w:hideMark/>
          </w:tcPr>
          <w:p w14:paraId="7574C551" w14:textId="77777777" w:rsidR="00852D7C" w:rsidRPr="008D07FB" w:rsidRDefault="00852D7C" w:rsidP="005A7661">
            <w:r w:rsidRPr="008D07FB">
              <w:t>Genette commune</w:t>
            </w:r>
          </w:p>
        </w:tc>
        <w:tc>
          <w:tcPr>
            <w:tcW w:w="0" w:type="auto"/>
            <w:hideMark/>
          </w:tcPr>
          <w:p w14:paraId="1BC2A8F1" w14:textId="77777777" w:rsidR="00852D7C" w:rsidRPr="008D07FB" w:rsidRDefault="00852D7C" w:rsidP="005A7661">
            <w:r w:rsidRPr="008D07FB">
              <w:t>Non signalé</w:t>
            </w:r>
          </w:p>
        </w:tc>
        <w:tc>
          <w:tcPr>
            <w:tcW w:w="0" w:type="auto"/>
            <w:hideMark/>
          </w:tcPr>
          <w:p w14:paraId="15D7EA6A" w14:textId="77777777" w:rsidR="00852D7C" w:rsidRPr="008D07FB" w:rsidRDefault="00852D7C" w:rsidP="005A7661">
            <w:r w:rsidRPr="008D07FB">
              <w:t>Oui</w:t>
            </w:r>
          </w:p>
        </w:tc>
        <w:tc>
          <w:tcPr>
            <w:tcW w:w="0" w:type="auto"/>
            <w:hideMark/>
          </w:tcPr>
          <w:p w14:paraId="17489537" w14:textId="77777777" w:rsidR="00852D7C" w:rsidRPr="008D07FB" w:rsidRDefault="00852D7C" w:rsidP="005A7661">
            <w:r w:rsidRPr="008D07FB">
              <w:t>LC</w:t>
            </w:r>
          </w:p>
        </w:tc>
        <w:tc>
          <w:tcPr>
            <w:tcW w:w="0" w:type="auto"/>
            <w:hideMark/>
          </w:tcPr>
          <w:p w14:paraId="56911501" w14:textId="77777777" w:rsidR="00852D7C" w:rsidRPr="008D07FB" w:rsidRDefault="00852D7C" w:rsidP="005A7661">
            <w:r w:rsidRPr="008D07FB">
              <w:rPr>
                <w:b/>
                <w:bCs/>
              </w:rPr>
              <w:t>Ann. III</w:t>
            </w:r>
          </w:p>
        </w:tc>
        <w:tc>
          <w:tcPr>
            <w:tcW w:w="0" w:type="auto"/>
            <w:hideMark/>
          </w:tcPr>
          <w:p w14:paraId="16DF9FC8" w14:textId="77777777" w:rsidR="00852D7C" w:rsidRPr="008D07FB" w:rsidRDefault="00852D7C" w:rsidP="005A7661">
            <w:r w:rsidRPr="008D07FB">
              <w:rPr>
                <w:b/>
                <w:bCs/>
              </w:rPr>
              <w:t>Cat. IV</w:t>
            </w:r>
          </w:p>
        </w:tc>
        <w:tc>
          <w:tcPr>
            <w:tcW w:w="0" w:type="auto"/>
            <w:hideMark/>
          </w:tcPr>
          <w:p w14:paraId="1C017C06" w14:textId="77777777" w:rsidR="00852D7C" w:rsidRPr="008D07FB" w:rsidRDefault="00852D7C" w:rsidP="005A7661">
            <w:r w:rsidRPr="008D07FB">
              <w:t>–</w:t>
            </w:r>
          </w:p>
        </w:tc>
      </w:tr>
      <w:tr w:rsidR="00852D7C" w:rsidRPr="008D07FB" w14:paraId="5EDBD1C8" w14:textId="77777777" w:rsidTr="00AC2854">
        <w:tc>
          <w:tcPr>
            <w:tcW w:w="0" w:type="auto"/>
            <w:hideMark/>
          </w:tcPr>
          <w:p w14:paraId="0DAE0DC4" w14:textId="77777777" w:rsidR="00852D7C" w:rsidRPr="008D07FB" w:rsidRDefault="00852D7C" w:rsidP="005A7661">
            <w:r w:rsidRPr="008D07FB">
              <w:t>Rongeur</w:t>
            </w:r>
          </w:p>
        </w:tc>
        <w:tc>
          <w:tcPr>
            <w:tcW w:w="0" w:type="auto"/>
            <w:hideMark/>
          </w:tcPr>
          <w:p w14:paraId="6952DA36" w14:textId="77777777" w:rsidR="00852D7C" w:rsidRPr="006C3F0A" w:rsidRDefault="00852D7C" w:rsidP="005A7661">
            <w:pPr>
              <w:rPr>
                <w:i/>
                <w:iCs/>
              </w:rPr>
            </w:pPr>
            <w:r w:rsidRPr="006C3F0A">
              <w:rPr>
                <w:b/>
                <w:bCs/>
                <w:i/>
                <w:iCs/>
              </w:rPr>
              <w:t>Rattus rattus</w:t>
            </w:r>
          </w:p>
        </w:tc>
        <w:tc>
          <w:tcPr>
            <w:tcW w:w="0" w:type="auto"/>
            <w:hideMark/>
          </w:tcPr>
          <w:p w14:paraId="2A8A4ACC" w14:textId="77777777" w:rsidR="00852D7C" w:rsidRPr="008D07FB" w:rsidRDefault="00852D7C" w:rsidP="005A7661">
            <w:r w:rsidRPr="008D07FB">
              <w:t>Rat noir</w:t>
            </w:r>
          </w:p>
        </w:tc>
        <w:tc>
          <w:tcPr>
            <w:tcW w:w="0" w:type="auto"/>
            <w:hideMark/>
          </w:tcPr>
          <w:p w14:paraId="16642D48" w14:textId="77777777" w:rsidR="00852D7C" w:rsidRPr="008D07FB" w:rsidRDefault="00852D7C" w:rsidP="005A7661">
            <w:r w:rsidRPr="008D07FB">
              <w:t>Oui</w:t>
            </w:r>
          </w:p>
        </w:tc>
        <w:tc>
          <w:tcPr>
            <w:tcW w:w="0" w:type="auto"/>
            <w:hideMark/>
          </w:tcPr>
          <w:p w14:paraId="1C29ED56" w14:textId="77777777" w:rsidR="00852D7C" w:rsidRPr="008D07FB" w:rsidRDefault="00852D7C" w:rsidP="005A7661">
            <w:r w:rsidRPr="008D07FB">
              <w:t>Oui</w:t>
            </w:r>
          </w:p>
        </w:tc>
        <w:tc>
          <w:tcPr>
            <w:tcW w:w="0" w:type="auto"/>
            <w:hideMark/>
          </w:tcPr>
          <w:p w14:paraId="0F82CF57" w14:textId="77777777" w:rsidR="00852D7C" w:rsidRPr="008D07FB" w:rsidRDefault="00852D7C" w:rsidP="005A7661">
            <w:r w:rsidRPr="008D07FB">
              <w:t>LC</w:t>
            </w:r>
          </w:p>
        </w:tc>
        <w:tc>
          <w:tcPr>
            <w:tcW w:w="0" w:type="auto"/>
            <w:hideMark/>
          </w:tcPr>
          <w:p w14:paraId="285900F1" w14:textId="77777777" w:rsidR="00852D7C" w:rsidRPr="008D07FB" w:rsidRDefault="00852D7C" w:rsidP="005A7661">
            <w:r w:rsidRPr="008D07FB">
              <w:t>–</w:t>
            </w:r>
          </w:p>
        </w:tc>
        <w:tc>
          <w:tcPr>
            <w:tcW w:w="0" w:type="auto"/>
            <w:hideMark/>
          </w:tcPr>
          <w:p w14:paraId="7985EA33" w14:textId="77777777" w:rsidR="00852D7C" w:rsidRPr="008D07FB" w:rsidRDefault="00852D7C" w:rsidP="005A7661">
            <w:r w:rsidRPr="008D07FB">
              <w:t>—</w:t>
            </w:r>
          </w:p>
        </w:tc>
        <w:tc>
          <w:tcPr>
            <w:tcW w:w="0" w:type="auto"/>
            <w:hideMark/>
          </w:tcPr>
          <w:p w14:paraId="21769FC3" w14:textId="77777777" w:rsidR="00852D7C" w:rsidRPr="008D07FB" w:rsidRDefault="00852D7C" w:rsidP="005A7661">
            <w:r w:rsidRPr="008D07FB">
              <w:t>–</w:t>
            </w:r>
          </w:p>
        </w:tc>
      </w:tr>
      <w:tr w:rsidR="00852D7C" w:rsidRPr="008D07FB" w14:paraId="3B86E4D5" w14:textId="77777777" w:rsidTr="00AC2854">
        <w:tc>
          <w:tcPr>
            <w:tcW w:w="0" w:type="auto"/>
            <w:hideMark/>
          </w:tcPr>
          <w:p w14:paraId="320BCC9C" w14:textId="77777777" w:rsidR="00852D7C" w:rsidRPr="008D07FB" w:rsidRDefault="00852D7C" w:rsidP="005A7661">
            <w:r w:rsidRPr="008D07FB">
              <w:t>Rongeur</w:t>
            </w:r>
          </w:p>
        </w:tc>
        <w:tc>
          <w:tcPr>
            <w:tcW w:w="0" w:type="auto"/>
            <w:hideMark/>
          </w:tcPr>
          <w:p w14:paraId="09B5462E" w14:textId="77777777" w:rsidR="00852D7C" w:rsidRPr="006C3F0A" w:rsidRDefault="00852D7C" w:rsidP="005A7661">
            <w:pPr>
              <w:rPr>
                <w:i/>
                <w:iCs/>
              </w:rPr>
            </w:pPr>
            <w:r w:rsidRPr="006C3F0A">
              <w:rPr>
                <w:b/>
                <w:bCs/>
                <w:i/>
                <w:iCs/>
              </w:rPr>
              <w:t>Mus spretus</w:t>
            </w:r>
          </w:p>
        </w:tc>
        <w:tc>
          <w:tcPr>
            <w:tcW w:w="0" w:type="auto"/>
            <w:hideMark/>
          </w:tcPr>
          <w:p w14:paraId="0A520D75" w14:textId="77777777" w:rsidR="00852D7C" w:rsidRPr="008D07FB" w:rsidRDefault="00852D7C" w:rsidP="005A7661">
            <w:r w:rsidRPr="008D07FB">
              <w:t>Souris algérienne</w:t>
            </w:r>
          </w:p>
        </w:tc>
        <w:tc>
          <w:tcPr>
            <w:tcW w:w="0" w:type="auto"/>
            <w:hideMark/>
          </w:tcPr>
          <w:p w14:paraId="08DB0492" w14:textId="77777777" w:rsidR="00852D7C" w:rsidRPr="008D07FB" w:rsidRDefault="00852D7C" w:rsidP="005A7661">
            <w:r w:rsidRPr="008D07FB">
              <w:t>Oui</w:t>
            </w:r>
          </w:p>
        </w:tc>
        <w:tc>
          <w:tcPr>
            <w:tcW w:w="0" w:type="auto"/>
            <w:hideMark/>
          </w:tcPr>
          <w:p w14:paraId="554AF7F4" w14:textId="77777777" w:rsidR="00852D7C" w:rsidRPr="008D07FB" w:rsidRDefault="00852D7C" w:rsidP="005A7661">
            <w:r w:rsidRPr="008D07FB">
              <w:t>Oui</w:t>
            </w:r>
          </w:p>
        </w:tc>
        <w:tc>
          <w:tcPr>
            <w:tcW w:w="0" w:type="auto"/>
            <w:hideMark/>
          </w:tcPr>
          <w:p w14:paraId="38173E35" w14:textId="77777777" w:rsidR="00852D7C" w:rsidRPr="008D07FB" w:rsidRDefault="00852D7C" w:rsidP="005A7661">
            <w:r w:rsidRPr="008D07FB">
              <w:t>LC</w:t>
            </w:r>
          </w:p>
        </w:tc>
        <w:tc>
          <w:tcPr>
            <w:tcW w:w="0" w:type="auto"/>
            <w:hideMark/>
          </w:tcPr>
          <w:p w14:paraId="6EBA46AD" w14:textId="77777777" w:rsidR="00852D7C" w:rsidRPr="008D07FB" w:rsidRDefault="00852D7C" w:rsidP="005A7661">
            <w:r w:rsidRPr="008D07FB">
              <w:t>–</w:t>
            </w:r>
          </w:p>
        </w:tc>
        <w:tc>
          <w:tcPr>
            <w:tcW w:w="0" w:type="auto"/>
            <w:hideMark/>
          </w:tcPr>
          <w:p w14:paraId="7B36495D" w14:textId="77777777" w:rsidR="00852D7C" w:rsidRPr="008D07FB" w:rsidRDefault="00852D7C" w:rsidP="005A7661">
            <w:r w:rsidRPr="008D07FB">
              <w:t>—</w:t>
            </w:r>
          </w:p>
        </w:tc>
        <w:tc>
          <w:tcPr>
            <w:tcW w:w="0" w:type="auto"/>
            <w:hideMark/>
          </w:tcPr>
          <w:p w14:paraId="6CA971FD" w14:textId="77777777" w:rsidR="00852D7C" w:rsidRPr="008D07FB" w:rsidRDefault="00852D7C" w:rsidP="005A7661">
            <w:r w:rsidRPr="008D07FB">
              <w:t>–</w:t>
            </w:r>
          </w:p>
        </w:tc>
      </w:tr>
      <w:tr w:rsidR="00852D7C" w:rsidRPr="008D07FB" w14:paraId="254AC41E" w14:textId="77777777" w:rsidTr="00AC2854">
        <w:tc>
          <w:tcPr>
            <w:tcW w:w="0" w:type="auto"/>
            <w:hideMark/>
          </w:tcPr>
          <w:p w14:paraId="410584D6" w14:textId="77777777" w:rsidR="00852D7C" w:rsidRPr="008D07FB" w:rsidRDefault="00852D7C" w:rsidP="005A7661">
            <w:r w:rsidRPr="008D07FB">
              <w:t>Rongeur</w:t>
            </w:r>
          </w:p>
        </w:tc>
        <w:tc>
          <w:tcPr>
            <w:tcW w:w="0" w:type="auto"/>
            <w:hideMark/>
          </w:tcPr>
          <w:p w14:paraId="0BC5EE32" w14:textId="77777777" w:rsidR="00852D7C" w:rsidRPr="006C3F0A" w:rsidRDefault="00852D7C" w:rsidP="005A7661">
            <w:pPr>
              <w:rPr>
                <w:i/>
                <w:iCs/>
              </w:rPr>
            </w:pPr>
            <w:r w:rsidRPr="006C3F0A">
              <w:rPr>
                <w:b/>
                <w:bCs/>
                <w:i/>
                <w:iCs/>
              </w:rPr>
              <w:t>Gerbillus campestris</w:t>
            </w:r>
          </w:p>
        </w:tc>
        <w:tc>
          <w:tcPr>
            <w:tcW w:w="0" w:type="auto"/>
            <w:hideMark/>
          </w:tcPr>
          <w:p w14:paraId="434FAF95" w14:textId="77777777" w:rsidR="00852D7C" w:rsidRPr="008D07FB" w:rsidRDefault="00852D7C" w:rsidP="005A7661">
            <w:r w:rsidRPr="008D07FB">
              <w:t>Gerbille nord-africaine</w:t>
            </w:r>
          </w:p>
        </w:tc>
        <w:tc>
          <w:tcPr>
            <w:tcW w:w="0" w:type="auto"/>
            <w:hideMark/>
          </w:tcPr>
          <w:p w14:paraId="630FC28A" w14:textId="77777777" w:rsidR="00852D7C" w:rsidRPr="008D07FB" w:rsidRDefault="00852D7C" w:rsidP="005A7661">
            <w:r w:rsidRPr="008D07FB">
              <w:t>Non signalée</w:t>
            </w:r>
          </w:p>
        </w:tc>
        <w:tc>
          <w:tcPr>
            <w:tcW w:w="0" w:type="auto"/>
            <w:hideMark/>
          </w:tcPr>
          <w:p w14:paraId="6EA7190C" w14:textId="77777777" w:rsidR="00852D7C" w:rsidRPr="008D07FB" w:rsidRDefault="00852D7C" w:rsidP="005A7661">
            <w:r w:rsidRPr="008D07FB">
              <w:t>Probable</w:t>
            </w:r>
          </w:p>
        </w:tc>
        <w:tc>
          <w:tcPr>
            <w:tcW w:w="0" w:type="auto"/>
            <w:hideMark/>
          </w:tcPr>
          <w:p w14:paraId="1B78D74D" w14:textId="77777777" w:rsidR="00852D7C" w:rsidRPr="008D07FB" w:rsidRDefault="00852D7C" w:rsidP="005A7661">
            <w:r w:rsidRPr="008D07FB">
              <w:t>LC</w:t>
            </w:r>
          </w:p>
        </w:tc>
        <w:tc>
          <w:tcPr>
            <w:tcW w:w="0" w:type="auto"/>
            <w:hideMark/>
          </w:tcPr>
          <w:p w14:paraId="05E854DB" w14:textId="77777777" w:rsidR="00852D7C" w:rsidRPr="008D07FB" w:rsidRDefault="00852D7C" w:rsidP="005A7661">
            <w:r w:rsidRPr="008D07FB">
              <w:t>–</w:t>
            </w:r>
          </w:p>
        </w:tc>
        <w:tc>
          <w:tcPr>
            <w:tcW w:w="0" w:type="auto"/>
            <w:hideMark/>
          </w:tcPr>
          <w:p w14:paraId="3D0C0BA8" w14:textId="77777777" w:rsidR="00852D7C" w:rsidRPr="008D07FB" w:rsidRDefault="00852D7C" w:rsidP="005A7661">
            <w:r w:rsidRPr="008D07FB">
              <w:rPr>
                <w:b/>
                <w:bCs/>
              </w:rPr>
              <w:t>Cat. IV</w:t>
            </w:r>
          </w:p>
        </w:tc>
        <w:tc>
          <w:tcPr>
            <w:tcW w:w="0" w:type="auto"/>
            <w:hideMark/>
          </w:tcPr>
          <w:p w14:paraId="12280B6B" w14:textId="77777777" w:rsidR="00852D7C" w:rsidRPr="008D07FB" w:rsidRDefault="00852D7C" w:rsidP="005A7661">
            <w:r w:rsidRPr="008D07FB">
              <w:t>–</w:t>
            </w:r>
          </w:p>
        </w:tc>
      </w:tr>
      <w:tr w:rsidR="00852D7C" w:rsidRPr="008D07FB" w14:paraId="5E6F4B22" w14:textId="77777777" w:rsidTr="00AC2854">
        <w:tc>
          <w:tcPr>
            <w:tcW w:w="0" w:type="auto"/>
            <w:hideMark/>
          </w:tcPr>
          <w:p w14:paraId="405267E0" w14:textId="77777777" w:rsidR="00852D7C" w:rsidRPr="008D07FB" w:rsidRDefault="00852D7C" w:rsidP="005A7661">
            <w:r w:rsidRPr="008D07FB">
              <w:t>Rongeur</w:t>
            </w:r>
          </w:p>
        </w:tc>
        <w:tc>
          <w:tcPr>
            <w:tcW w:w="0" w:type="auto"/>
            <w:hideMark/>
          </w:tcPr>
          <w:p w14:paraId="3467BFF6" w14:textId="77777777" w:rsidR="00852D7C" w:rsidRPr="006C3F0A" w:rsidRDefault="00852D7C" w:rsidP="005A7661">
            <w:pPr>
              <w:rPr>
                <w:i/>
                <w:iCs/>
              </w:rPr>
            </w:pPr>
            <w:r w:rsidRPr="006C3F0A">
              <w:rPr>
                <w:b/>
                <w:bCs/>
                <w:i/>
                <w:iCs/>
              </w:rPr>
              <w:t>Meriones shawi / grandis</w:t>
            </w:r>
          </w:p>
        </w:tc>
        <w:tc>
          <w:tcPr>
            <w:tcW w:w="0" w:type="auto"/>
            <w:hideMark/>
          </w:tcPr>
          <w:p w14:paraId="0B3C1411" w14:textId="77777777" w:rsidR="00852D7C" w:rsidRPr="008D07FB" w:rsidRDefault="00852D7C" w:rsidP="005A7661">
            <w:r w:rsidRPr="008D07FB">
              <w:t>Jird (Shaw / marocain)</w:t>
            </w:r>
          </w:p>
        </w:tc>
        <w:tc>
          <w:tcPr>
            <w:tcW w:w="0" w:type="auto"/>
            <w:hideMark/>
          </w:tcPr>
          <w:p w14:paraId="1ADA7F88" w14:textId="77777777" w:rsidR="00852D7C" w:rsidRPr="008D07FB" w:rsidRDefault="00852D7C" w:rsidP="005A7661">
            <w:r w:rsidRPr="008D07FB">
              <w:t>Non signalé</w:t>
            </w:r>
          </w:p>
        </w:tc>
        <w:tc>
          <w:tcPr>
            <w:tcW w:w="0" w:type="auto"/>
            <w:hideMark/>
          </w:tcPr>
          <w:p w14:paraId="4B5B5674" w14:textId="77777777" w:rsidR="00852D7C" w:rsidRPr="008D07FB" w:rsidRDefault="00852D7C" w:rsidP="005A7661">
            <w:r w:rsidRPr="008D07FB">
              <w:t>Probable</w:t>
            </w:r>
          </w:p>
        </w:tc>
        <w:tc>
          <w:tcPr>
            <w:tcW w:w="0" w:type="auto"/>
            <w:hideMark/>
          </w:tcPr>
          <w:p w14:paraId="0A107603" w14:textId="77777777" w:rsidR="00852D7C" w:rsidRPr="008D07FB" w:rsidRDefault="00852D7C" w:rsidP="005A7661">
            <w:r w:rsidRPr="008D07FB">
              <w:t>LC</w:t>
            </w:r>
          </w:p>
        </w:tc>
        <w:tc>
          <w:tcPr>
            <w:tcW w:w="0" w:type="auto"/>
            <w:hideMark/>
          </w:tcPr>
          <w:p w14:paraId="348C0AB6" w14:textId="77777777" w:rsidR="00852D7C" w:rsidRPr="008D07FB" w:rsidRDefault="00852D7C" w:rsidP="005A7661">
            <w:r w:rsidRPr="008D07FB">
              <w:t>–</w:t>
            </w:r>
          </w:p>
        </w:tc>
        <w:tc>
          <w:tcPr>
            <w:tcW w:w="0" w:type="auto"/>
            <w:hideMark/>
          </w:tcPr>
          <w:p w14:paraId="7B83B5BD" w14:textId="77777777" w:rsidR="00852D7C" w:rsidRPr="008D07FB" w:rsidRDefault="00852D7C" w:rsidP="005A7661">
            <w:r w:rsidRPr="008D07FB">
              <w:rPr>
                <w:b/>
                <w:bCs/>
              </w:rPr>
              <w:t>Cat. IV</w:t>
            </w:r>
          </w:p>
        </w:tc>
        <w:tc>
          <w:tcPr>
            <w:tcW w:w="0" w:type="auto"/>
            <w:hideMark/>
          </w:tcPr>
          <w:p w14:paraId="06E01AC2" w14:textId="77777777" w:rsidR="00852D7C" w:rsidRPr="008D07FB" w:rsidRDefault="00852D7C" w:rsidP="005A7661">
            <w:r w:rsidRPr="008D07FB">
              <w:t>–</w:t>
            </w:r>
          </w:p>
        </w:tc>
      </w:tr>
      <w:tr w:rsidR="00852D7C" w:rsidRPr="008D07FB" w14:paraId="54475FC7" w14:textId="77777777" w:rsidTr="00AC2854">
        <w:tc>
          <w:tcPr>
            <w:tcW w:w="0" w:type="auto"/>
            <w:hideMark/>
          </w:tcPr>
          <w:p w14:paraId="6EA23C34" w14:textId="77777777" w:rsidR="00852D7C" w:rsidRPr="008D07FB" w:rsidRDefault="00852D7C" w:rsidP="005A7661">
            <w:r w:rsidRPr="008D07FB">
              <w:t>Lagomorphe</w:t>
            </w:r>
          </w:p>
        </w:tc>
        <w:tc>
          <w:tcPr>
            <w:tcW w:w="0" w:type="auto"/>
            <w:hideMark/>
          </w:tcPr>
          <w:p w14:paraId="60EC8376" w14:textId="77777777" w:rsidR="00852D7C" w:rsidRPr="006C3F0A" w:rsidRDefault="00852D7C" w:rsidP="005A7661">
            <w:pPr>
              <w:rPr>
                <w:i/>
                <w:iCs/>
                <w:lang w:val="en-US"/>
              </w:rPr>
            </w:pPr>
            <w:r w:rsidRPr="006C3F0A">
              <w:rPr>
                <w:b/>
                <w:bCs/>
                <w:i/>
                <w:iCs/>
                <w:lang w:val="en-US"/>
              </w:rPr>
              <w:t>Lepus sp.</w:t>
            </w:r>
            <w:r w:rsidRPr="006C3F0A">
              <w:rPr>
                <w:i/>
                <w:iCs/>
                <w:lang w:val="en-US"/>
              </w:rPr>
              <w:t xml:space="preserve"> (cf. capensis s.l.)</w:t>
            </w:r>
          </w:p>
        </w:tc>
        <w:tc>
          <w:tcPr>
            <w:tcW w:w="0" w:type="auto"/>
            <w:hideMark/>
          </w:tcPr>
          <w:p w14:paraId="6C7C2759" w14:textId="77777777" w:rsidR="00852D7C" w:rsidRPr="008D07FB" w:rsidRDefault="00852D7C" w:rsidP="005A7661">
            <w:r w:rsidRPr="008D07FB">
              <w:t>Lièvre</w:t>
            </w:r>
          </w:p>
        </w:tc>
        <w:tc>
          <w:tcPr>
            <w:tcW w:w="0" w:type="auto"/>
            <w:hideMark/>
          </w:tcPr>
          <w:p w14:paraId="71FE673B" w14:textId="77777777" w:rsidR="00852D7C" w:rsidRPr="008D07FB" w:rsidRDefault="00852D7C" w:rsidP="005A7661">
            <w:r w:rsidRPr="008D07FB">
              <w:t>Non signalé</w:t>
            </w:r>
          </w:p>
        </w:tc>
        <w:tc>
          <w:tcPr>
            <w:tcW w:w="0" w:type="auto"/>
            <w:hideMark/>
          </w:tcPr>
          <w:p w14:paraId="47CB43D6" w14:textId="77777777" w:rsidR="00852D7C" w:rsidRPr="008D07FB" w:rsidRDefault="00852D7C" w:rsidP="005A7661">
            <w:r w:rsidRPr="008D07FB">
              <w:t>Probable</w:t>
            </w:r>
          </w:p>
        </w:tc>
        <w:tc>
          <w:tcPr>
            <w:tcW w:w="0" w:type="auto"/>
            <w:hideMark/>
          </w:tcPr>
          <w:p w14:paraId="5BF636E4" w14:textId="77777777" w:rsidR="00852D7C" w:rsidRPr="008D07FB" w:rsidRDefault="00852D7C" w:rsidP="005A7661">
            <w:r w:rsidRPr="008D07FB">
              <w:t>LC / NE*</w:t>
            </w:r>
          </w:p>
        </w:tc>
        <w:tc>
          <w:tcPr>
            <w:tcW w:w="0" w:type="auto"/>
            <w:hideMark/>
          </w:tcPr>
          <w:p w14:paraId="0FA4B3FB" w14:textId="77777777" w:rsidR="00852D7C" w:rsidRPr="008D07FB" w:rsidRDefault="00852D7C" w:rsidP="005A7661">
            <w:r w:rsidRPr="008D07FB">
              <w:t>–</w:t>
            </w:r>
          </w:p>
        </w:tc>
        <w:tc>
          <w:tcPr>
            <w:tcW w:w="0" w:type="auto"/>
            <w:hideMark/>
          </w:tcPr>
          <w:p w14:paraId="3C994DEB" w14:textId="77777777" w:rsidR="00852D7C" w:rsidRPr="008D07FB" w:rsidRDefault="00852D7C" w:rsidP="005A7661">
            <w:r w:rsidRPr="008D07FB">
              <w:rPr>
                <w:b/>
                <w:bCs/>
              </w:rPr>
              <w:t>Espèce gibier (réglementée)</w:t>
            </w:r>
          </w:p>
        </w:tc>
        <w:tc>
          <w:tcPr>
            <w:tcW w:w="0" w:type="auto"/>
            <w:hideMark/>
          </w:tcPr>
          <w:p w14:paraId="604F10E1" w14:textId="77777777" w:rsidR="00852D7C" w:rsidRPr="008D07FB" w:rsidRDefault="00852D7C" w:rsidP="005A7661">
            <w:r w:rsidRPr="008D07FB">
              <w:t>–</w:t>
            </w:r>
          </w:p>
        </w:tc>
      </w:tr>
      <w:tr w:rsidR="00852D7C" w:rsidRPr="008D07FB" w14:paraId="302C2E7D" w14:textId="77777777" w:rsidTr="00AC2854">
        <w:tc>
          <w:tcPr>
            <w:tcW w:w="0" w:type="auto"/>
            <w:hideMark/>
          </w:tcPr>
          <w:p w14:paraId="51323F8A" w14:textId="77777777" w:rsidR="00852D7C" w:rsidRPr="008D07FB" w:rsidRDefault="00852D7C" w:rsidP="005A7661">
            <w:r w:rsidRPr="008D07FB">
              <w:t>Suidé</w:t>
            </w:r>
          </w:p>
        </w:tc>
        <w:tc>
          <w:tcPr>
            <w:tcW w:w="0" w:type="auto"/>
            <w:hideMark/>
          </w:tcPr>
          <w:p w14:paraId="0FBC80B4" w14:textId="77777777" w:rsidR="00852D7C" w:rsidRPr="006C3F0A" w:rsidRDefault="00852D7C" w:rsidP="005A7661">
            <w:pPr>
              <w:rPr>
                <w:i/>
                <w:iCs/>
              </w:rPr>
            </w:pPr>
            <w:r w:rsidRPr="006C3F0A">
              <w:rPr>
                <w:b/>
                <w:bCs/>
                <w:i/>
                <w:iCs/>
              </w:rPr>
              <w:t>Sus scrofa</w:t>
            </w:r>
          </w:p>
        </w:tc>
        <w:tc>
          <w:tcPr>
            <w:tcW w:w="0" w:type="auto"/>
            <w:hideMark/>
          </w:tcPr>
          <w:p w14:paraId="4DA23EA0" w14:textId="77777777" w:rsidR="00852D7C" w:rsidRPr="008D07FB" w:rsidRDefault="00852D7C" w:rsidP="005A7661">
            <w:r w:rsidRPr="008D07FB">
              <w:t>Sanglier</w:t>
            </w:r>
          </w:p>
        </w:tc>
        <w:tc>
          <w:tcPr>
            <w:tcW w:w="0" w:type="auto"/>
            <w:hideMark/>
          </w:tcPr>
          <w:p w14:paraId="644953AB" w14:textId="77777777" w:rsidR="00852D7C" w:rsidRPr="008D07FB" w:rsidRDefault="00852D7C" w:rsidP="005A7661">
            <w:r w:rsidRPr="008D07FB">
              <w:t>Non</w:t>
            </w:r>
          </w:p>
        </w:tc>
        <w:tc>
          <w:tcPr>
            <w:tcW w:w="0" w:type="auto"/>
            <w:hideMark/>
          </w:tcPr>
          <w:p w14:paraId="6C1BB543" w14:textId="77777777" w:rsidR="00852D7C" w:rsidRPr="008D07FB" w:rsidRDefault="00852D7C" w:rsidP="005A7661">
            <w:r w:rsidRPr="008D07FB">
              <w:t>Occasionnel (périph.)</w:t>
            </w:r>
          </w:p>
        </w:tc>
        <w:tc>
          <w:tcPr>
            <w:tcW w:w="0" w:type="auto"/>
            <w:hideMark/>
          </w:tcPr>
          <w:p w14:paraId="7E05CBFD" w14:textId="77777777" w:rsidR="00852D7C" w:rsidRPr="008D07FB" w:rsidRDefault="00852D7C" w:rsidP="005A7661">
            <w:r w:rsidRPr="008D07FB">
              <w:t>LC</w:t>
            </w:r>
          </w:p>
        </w:tc>
        <w:tc>
          <w:tcPr>
            <w:tcW w:w="0" w:type="auto"/>
            <w:hideMark/>
          </w:tcPr>
          <w:p w14:paraId="3F6FA478" w14:textId="77777777" w:rsidR="00852D7C" w:rsidRPr="008D07FB" w:rsidRDefault="00852D7C" w:rsidP="005A7661">
            <w:r w:rsidRPr="008D07FB">
              <w:t>–</w:t>
            </w:r>
          </w:p>
        </w:tc>
        <w:tc>
          <w:tcPr>
            <w:tcW w:w="0" w:type="auto"/>
            <w:hideMark/>
          </w:tcPr>
          <w:p w14:paraId="3905574D" w14:textId="77777777" w:rsidR="00852D7C" w:rsidRPr="008D07FB" w:rsidRDefault="00852D7C" w:rsidP="005A7661">
            <w:r w:rsidRPr="008D07FB">
              <w:rPr>
                <w:b/>
                <w:bCs/>
              </w:rPr>
              <w:t>Espèce gibier (réglementée)</w:t>
            </w:r>
          </w:p>
        </w:tc>
        <w:tc>
          <w:tcPr>
            <w:tcW w:w="0" w:type="auto"/>
            <w:hideMark/>
          </w:tcPr>
          <w:p w14:paraId="1CF2F84C" w14:textId="77777777" w:rsidR="00852D7C" w:rsidRPr="008D07FB" w:rsidRDefault="00852D7C" w:rsidP="005A7661">
            <w:r w:rsidRPr="008D07FB">
              <w:t>–</w:t>
            </w:r>
          </w:p>
        </w:tc>
      </w:tr>
    </w:tbl>
    <w:p w14:paraId="6C0CEEB4" w14:textId="77777777" w:rsidR="00776550" w:rsidRDefault="00776550" w:rsidP="00776550">
      <w:r w:rsidRPr="006B24D4">
        <w:rPr>
          <w:b/>
          <w:bCs/>
        </w:rPr>
        <w:t>Légende</w:t>
      </w:r>
      <w:r w:rsidRPr="006B24D4">
        <w:t xml:space="preserve"> : LC = Préoccupation mineure ; Berne Ann. III = espèce protégée (gestion durable) ; </w:t>
      </w:r>
      <w:r w:rsidRPr="006B24D4">
        <w:rPr>
          <w:b/>
          <w:bCs/>
        </w:rPr>
        <w:t>Cat. IV</w:t>
      </w:r>
      <w:r w:rsidRPr="006B24D4">
        <w:t xml:space="preserve"> (Loi 29-05) = espèce de faune sauvage protégée au Maroc ; “–” = non inscrit.</w:t>
      </w:r>
      <w:r w:rsidRPr="006B24D4">
        <w:br/>
        <w:t xml:space="preserve">* Lièvre : statut UICN variable selon le taxon retenu ; à traiter comme </w:t>
      </w:r>
      <w:r w:rsidRPr="006B24D4">
        <w:rPr>
          <w:b/>
          <w:bCs/>
        </w:rPr>
        <w:t>LC</w:t>
      </w:r>
      <w:r w:rsidRPr="006B24D4">
        <w:t xml:space="preserve"> au Maroc dans un cadre opérationnel courant.</w:t>
      </w:r>
    </w:p>
    <w:p w14:paraId="472E6D6B" w14:textId="77777777" w:rsidR="00776550" w:rsidRPr="006C3F0A" w:rsidRDefault="00776550" w:rsidP="00776550">
      <w:pPr>
        <w:rPr>
          <w:b/>
          <w:bCs/>
        </w:rPr>
      </w:pPr>
      <w:r w:rsidRPr="006C3F0A">
        <w:rPr>
          <w:b/>
          <w:bCs/>
        </w:rPr>
        <w:t>Évaluation de la patrimonialité</w:t>
      </w:r>
      <w:r>
        <w:rPr>
          <w:b/>
          <w:bCs/>
        </w:rPr>
        <w:t> :</w:t>
      </w:r>
    </w:p>
    <w:p w14:paraId="5B288FCA" w14:textId="77777777" w:rsidR="00776550" w:rsidRDefault="00776550" w:rsidP="00776550">
      <w:r>
        <w:t xml:space="preserve">Le cortège de mammifères de la ZEE (13 km) autour de l’aéroport est dominé par des espèces ubiquistes à valeur patrimoniale faible à moyenne au regard des référentiels de conservation (majoritairement UICN LC). Les carnivores de petite taille (mangouste d’Égypte, genette commune) et certains rongeurs autochtones (gerbille, jird) présentent une patrimonialité relative liée à leur </w:t>
      </w:r>
      <w:r>
        <w:lastRenderedPageBreak/>
        <w:t>appartenance à la faune sauvage protégée (Loi 29-05 – Catégorie IV) et à leur rôle fonctionnel dans les mosaïques agro-périurbaines (régulation trophique, dispersion). Leur présence renforce l’enjeu écologique local des lisières, friches et abords humides, sans pour autant constituer un enjeu “élevé” au sens patrimonial, compte tenu de leur statut global favorable.</w:t>
      </w:r>
    </w:p>
    <w:p w14:paraId="3E212421" w14:textId="77777777" w:rsidR="00776550" w:rsidRDefault="00776550" w:rsidP="00776550">
      <w:r>
        <w:t xml:space="preserve">Les taxons commensaux (rat noir, souris algérienne, chat domestique) et ubiquistes (écureuil de Barbarie, renard roux) relèvent d’un enjeu patrimonial faible mais d’un enjeu de gestion significatif : ils réagissent aux attractifs trophiques (déchets, points d’eau, abris) et aux micro-habitats rudéraux. Les espèces gibier (lièvre, sanglier), non protégées mais réglementées au titre de la chasse, n’expriment pas d’enjeu patrimonial notable à proximité immédiate de la plateforme </w:t>
      </w:r>
    </w:p>
    <w:p w14:paraId="76A09191" w14:textId="5475DB88" w:rsidR="00047FE5" w:rsidRDefault="00776550" w:rsidP="00776550">
      <w:r>
        <w:t>En synthèse, la patrimonialité des mammifères sur 13 km est globalement faible à modérée : quelques espèces de faune protégée (Cat. IV) et de Berne Ann. III confèrent un intérêt de conservation local, tandis que la majorité des taxons relèvent d’une valeur patrimoniale faible mais d’une sensibilité de gestion (hygiène, déchets, points d’eau, entretien des friches). Cette lecture oriente des mesures proportionnées : maîtrise des attractifs trophiques, entretien raisonné des milieux ouverts, limitation des dérangements en périodes sensibles, et maintien de bonnes pratiques d’hygiène et de clôture sur la plateforme.</w:t>
      </w:r>
    </w:p>
    <w:p w14:paraId="3A9C6EE6" w14:textId="0D25BAF6" w:rsidR="001E7A74" w:rsidRDefault="00405B51" w:rsidP="00DA59D3">
      <w:pPr>
        <w:pStyle w:val="Title3"/>
      </w:pPr>
      <w:bookmarkStart w:id="306" w:name="_Toc215131856"/>
      <w:bookmarkEnd w:id="303"/>
      <w:r>
        <w:t>Chiroptères</w:t>
      </w:r>
      <w:bookmarkEnd w:id="306"/>
    </w:p>
    <w:p w14:paraId="2F1ACA18" w14:textId="15C05D6F" w:rsidR="009D67D5" w:rsidRDefault="00DA3A73" w:rsidP="00B4479D">
      <w:r w:rsidRPr="00103D29">
        <w:t>Un criblage des chiroptères a été conduit dans un rayon de 13 km autour de la plateforme, avec une vérification acoustique ciblée au crépuscule et en première partie de nuit sur les secteurs favorables (alignements arborés, espaces verts irrigués, abords de points d’eau). L’objectif est de dresser la liste des espèces présentes ou très probables, de préciser leurs statuts de conservation/protection, et de documenter les contacts réellement enregistrés</w:t>
      </w:r>
      <w:r w:rsidR="00B4479D" w:rsidRPr="00B4479D">
        <w:t>.</w:t>
      </w:r>
    </w:p>
    <w:tbl>
      <w:tblPr>
        <w:tblW w:w="5000" w:type="pct"/>
        <w:tblCellMar>
          <w:left w:w="70" w:type="dxa"/>
          <w:right w:w="70" w:type="dxa"/>
        </w:tblCellMar>
        <w:tblLook w:val="04A0" w:firstRow="1" w:lastRow="0" w:firstColumn="1" w:lastColumn="0" w:noHBand="0" w:noVBand="1"/>
      </w:tblPr>
      <w:tblGrid>
        <w:gridCol w:w="1754"/>
        <w:gridCol w:w="1503"/>
        <w:gridCol w:w="1192"/>
        <w:gridCol w:w="1251"/>
        <w:gridCol w:w="1480"/>
        <w:gridCol w:w="856"/>
        <w:gridCol w:w="1026"/>
      </w:tblGrid>
      <w:tr w:rsidR="00A554CF" w:rsidRPr="008C6310" w14:paraId="78CDD9DF" w14:textId="77777777" w:rsidTr="00212CA0">
        <w:trPr>
          <w:trHeight w:val="864"/>
        </w:trPr>
        <w:tc>
          <w:tcPr>
            <w:tcW w:w="863" w:type="pct"/>
            <w:tcBorders>
              <w:top w:val="single" w:sz="4" w:space="0" w:color="196B24"/>
              <w:left w:val="single" w:sz="4" w:space="0" w:color="196B24"/>
              <w:bottom w:val="nil"/>
              <w:right w:val="nil"/>
            </w:tcBorders>
            <w:shd w:val="clear" w:color="196B24" w:fill="196B24"/>
            <w:vAlign w:val="center"/>
            <w:hideMark/>
          </w:tcPr>
          <w:p w14:paraId="53D9BCD1" w14:textId="77777777" w:rsidR="00A554CF" w:rsidRPr="008C6310" w:rsidRDefault="00A554CF" w:rsidP="005A7661">
            <w:pPr>
              <w:spacing w:after="0"/>
              <w:jc w:val="center"/>
              <w:rPr>
                <w:rFonts w:ascii="Aptos Narrow" w:hAnsi="Aptos Narrow" w:cs="Times New Roman"/>
                <w:b/>
                <w:bCs/>
                <w:color w:val="FFFFFF"/>
                <w:lang w:eastAsia="fr-FR"/>
              </w:rPr>
            </w:pPr>
            <w:r w:rsidRPr="008C6310">
              <w:rPr>
                <w:rFonts w:ascii="Aptos Narrow" w:hAnsi="Aptos Narrow" w:cs="Times New Roman"/>
                <w:b/>
                <w:bCs/>
                <w:color w:val="FFFFFF"/>
                <w:lang w:eastAsia="fr-FR"/>
              </w:rPr>
              <w:t>Espèce (nom scientifique)</w:t>
            </w:r>
          </w:p>
        </w:tc>
        <w:tc>
          <w:tcPr>
            <w:tcW w:w="863" w:type="pct"/>
            <w:tcBorders>
              <w:top w:val="single" w:sz="4" w:space="0" w:color="196B24"/>
              <w:left w:val="nil"/>
              <w:bottom w:val="nil"/>
              <w:right w:val="nil"/>
            </w:tcBorders>
            <w:shd w:val="clear" w:color="196B24" w:fill="196B24"/>
            <w:vAlign w:val="center"/>
            <w:hideMark/>
          </w:tcPr>
          <w:p w14:paraId="632D91C3" w14:textId="77777777" w:rsidR="00A554CF" w:rsidRPr="008C6310" w:rsidRDefault="00A554CF" w:rsidP="005A7661">
            <w:pPr>
              <w:spacing w:after="0"/>
              <w:jc w:val="center"/>
              <w:rPr>
                <w:rFonts w:ascii="Aptos Narrow" w:hAnsi="Aptos Narrow" w:cs="Times New Roman"/>
                <w:b/>
                <w:bCs/>
                <w:color w:val="FFFFFF"/>
                <w:lang w:eastAsia="fr-FR"/>
              </w:rPr>
            </w:pPr>
            <w:r w:rsidRPr="008C6310">
              <w:rPr>
                <w:rFonts w:ascii="Aptos Narrow" w:hAnsi="Aptos Narrow" w:cs="Times New Roman"/>
                <w:b/>
                <w:bCs/>
                <w:color w:val="FFFFFF"/>
                <w:lang w:eastAsia="fr-FR"/>
              </w:rPr>
              <w:t>Nom commun</w:t>
            </w:r>
          </w:p>
        </w:tc>
        <w:tc>
          <w:tcPr>
            <w:tcW w:w="594" w:type="pct"/>
            <w:tcBorders>
              <w:top w:val="single" w:sz="4" w:space="0" w:color="196B24"/>
              <w:left w:val="nil"/>
              <w:bottom w:val="nil"/>
              <w:right w:val="nil"/>
            </w:tcBorders>
            <w:shd w:val="clear" w:color="196B24" w:fill="196B24"/>
            <w:vAlign w:val="center"/>
            <w:hideMark/>
          </w:tcPr>
          <w:p w14:paraId="663DDEFF" w14:textId="77777777" w:rsidR="00A554CF" w:rsidRPr="008C6310" w:rsidRDefault="00A554CF" w:rsidP="005A7661">
            <w:pPr>
              <w:spacing w:after="0"/>
              <w:jc w:val="right"/>
              <w:rPr>
                <w:rFonts w:ascii="Aptos Narrow" w:hAnsi="Aptos Narrow" w:cs="Times New Roman"/>
                <w:b/>
                <w:bCs/>
                <w:color w:val="FFFFFF"/>
                <w:lang w:eastAsia="fr-FR"/>
              </w:rPr>
            </w:pPr>
            <w:r w:rsidRPr="008C6310">
              <w:rPr>
                <w:rFonts w:ascii="Aptos Narrow" w:hAnsi="Aptos Narrow" w:cs="Times New Roman"/>
                <w:b/>
                <w:bCs/>
                <w:color w:val="FFFFFF"/>
                <w:lang w:eastAsia="fr-FR"/>
              </w:rPr>
              <w:t>Présence ZA</w:t>
            </w:r>
          </w:p>
        </w:tc>
        <w:tc>
          <w:tcPr>
            <w:tcW w:w="724" w:type="pct"/>
            <w:tcBorders>
              <w:top w:val="single" w:sz="4" w:space="0" w:color="196B24"/>
              <w:left w:val="nil"/>
              <w:bottom w:val="nil"/>
              <w:right w:val="nil"/>
            </w:tcBorders>
            <w:shd w:val="clear" w:color="196B24" w:fill="196B24"/>
            <w:vAlign w:val="center"/>
            <w:hideMark/>
          </w:tcPr>
          <w:p w14:paraId="6EA0D1D2" w14:textId="77777777" w:rsidR="00A554CF" w:rsidRPr="008C6310" w:rsidRDefault="00A554CF" w:rsidP="005A7661">
            <w:pPr>
              <w:spacing w:after="0"/>
              <w:jc w:val="right"/>
              <w:rPr>
                <w:rFonts w:ascii="Aptos Narrow" w:hAnsi="Aptos Narrow" w:cs="Times New Roman"/>
                <w:b/>
                <w:bCs/>
                <w:color w:val="FFFFFF"/>
                <w:lang w:eastAsia="fr-FR"/>
              </w:rPr>
            </w:pPr>
            <w:r w:rsidRPr="008C6310">
              <w:rPr>
                <w:rFonts w:ascii="Aptos Narrow" w:hAnsi="Aptos Narrow" w:cs="Times New Roman"/>
                <w:b/>
                <w:bCs/>
                <w:color w:val="FFFFFF"/>
                <w:lang w:eastAsia="fr-FR"/>
              </w:rPr>
              <w:t>Présence ZEE (13 km)</w:t>
            </w:r>
          </w:p>
        </w:tc>
        <w:tc>
          <w:tcPr>
            <w:tcW w:w="850" w:type="pct"/>
            <w:tcBorders>
              <w:top w:val="single" w:sz="4" w:space="0" w:color="196B24"/>
              <w:left w:val="nil"/>
              <w:bottom w:val="nil"/>
              <w:right w:val="nil"/>
            </w:tcBorders>
            <w:shd w:val="clear" w:color="196B24" w:fill="196B24"/>
            <w:vAlign w:val="center"/>
            <w:hideMark/>
          </w:tcPr>
          <w:p w14:paraId="2A9E68CA" w14:textId="77777777" w:rsidR="00A554CF" w:rsidRPr="008C6310" w:rsidRDefault="00A554CF" w:rsidP="005A7661">
            <w:pPr>
              <w:spacing w:after="0"/>
              <w:jc w:val="center"/>
              <w:rPr>
                <w:rFonts w:ascii="Aptos Narrow" w:hAnsi="Aptos Narrow" w:cs="Times New Roman"/>
                <w:b/>
                <w:bCs/>
                <w:color w:val="FFFFFF"/>
                <w:lang w:eastAsia="fr-FR"/>
              </w:rPr>
            </w:pPr>
            <w:r w:rsidRPr="008C6310">
              <w:rPr>
                <w:rFonts w:ascii="Aptos Narrow" w:hAnsi="Aptos Narrow" w:cs="Times New Roman"/>
                <w:b/>
                <w:bCs/>
                <w:color w:val="FFFFFF"/>
                <w:lang w:eastAsia="fr-FR"/>
              </w:rPr>
              <w:t>UICN (Monde)</w:t>
            </w:r>
          </w:p>
        </w:tc>
        <w:tc>
          <w:tcPr>
            <w:tcW w:w="506" w:type="pct"/>
            <w:tcBorders>
              <w:top w:val="single" w:sz="4" w:space="0" w:color="196B24"/>
              <w:left w:val="nil"/>
              <w:bottom w:val="nil"/>
              <w:right w:val="nil"/>
            </w:tcBorders>
            <w:shd w:val="clear" w:color="196B24" w:fill="196B24"/>
            <w:vAlign w:val="center"/>
            <w:hideMark/>
          </w:tcPr>
          <w:p w14:paraId="1A26DED5" w14:textId="77777777" w:rsidR="00A554CF" w:rsidRPr="008C6310" w:rsidRDefault="00A554CF" w:rsidP="005A7661">
            <w:pPr>
              <w:spacing w:after="0"/>
              <w:jc w:val="center"/>
              <w:rPr>
                <w:rFonts w:ascii="Aptos Narrow" w:hAnsi="Aptos Narrow" w:cs="Times New Roman"/>
                <w:b/>
                <w:bCs/>
                <w:color w:val="FFFFFF"/>
                <w:lang w:eastAsia="fr-FR"/>
              </w:rPr>
            </w:pPr>
            <w:r w:rsidRPr="008C6310">
              <w:rPr>
                <w:rFonts w:ascii="Aptos Narrow" w:hAnsi="Aptos Narrow" w:cs="Times New Roman"/>
                <w:b/>
                <w:bCs/>
                <w:color w:val="FFFFFF"/>
                <w:lang w:eastAsia="fr-FR"/>
              </w:rPr>
              <w:t>Berne</w:t>
            </w:r>
          </w:p>
        </w:tc>
        <w:tc>
          <w:tcPr>
            <w:tcW w:w="599" w:type="pct"/>
            <w:tcBorders>
              <w:top w:val="single" w:sz="4" w:space="0" w:color="196B24"/>
              <w:left w:val="nil"/>
              <w:bottom w:val="nil"/>
              <w:right w:val="single" w:sz="4" w:space="0" w:color="196B24"/>
            </w:tcBorders>
            <w:shd w:val="clear" w:color="196B24" w:fill="196B24"/>
            <w:vAlign w:val="center"/>
            <w:hideMark/>
          </w:tcPr>
          <w:p w14:paraId="603F55DD" w14:textId="77777777" w:rsidR="00A554CF" w:rsidRPr="008C6310" w:rsidRDefault="00A554CF" w:rsidP="005A7661">
            <w:pPr>
              <w:spacing w:after="0"/>
              <w:jc w:val="center"/>
              <w:rPr>
                <w:rFonts w:ascii="Aptos Narrow" w:hAnsi="Aptos Narrow" w:cs="Times New Roman"/>
                <w:b/>
                <w:bCs/>
                <w:color w:val="FFFFFF"/>
                <w:lang w:eastAsia="fr-FR"/>
              </w:rPr>
            </w:pPr>
            <w:r w:rsidRPr="008C6310">
              <w:rPr>
                <w:rFonts w:ascii="Aptos Narrow" w:hAnsi="Aptos Narrow" w:cs="Times New Roman"/>
                <w:b/>
                <w:bCs/>
                <w:color w:val="FFFFFF"/>
                <w:lang w:eastAsia="fr-FR"/>
              </w:rPr>
              <w:t>Loi 29-05 (Maroc)</w:t>
            </w:r>
          </w:p>
        </w:tc>
      </w:tr>
      <w:tr w:rsidR="00A554CF" w:rsidRPr="008C6310" w14:paraId="66744B87" w14:textId="77777777" w:rsidTr="00212CA0">
        <w:trPr>
          <w:trHeight w:val="288"/>
        </w:trPr>
        <w:tc>
          <w:tcPr>
            <w:tcW w:w="863" w:type="pct"/>
            <w:tcBorders>
              <w:top w:val="single" w:sz="4" w:space="0" w:color="196B24"/>
              <w:left w:val="single" w:sz="4" w:space="0" w:color="196B24"/>
              <w:bottom w:val="nil"/>
              <w:right w:val="nil"/>
            </w:tcBorders>
            <w:vAlign w:val="center"/>
            <w:hideMark/>
          </w:tcPr>
          <w:p w14:paraId="0C2C3102" w14:textId="77777777" w:rsidR="00A554CF" w:rsidRPr="008C6310" w:rsidRDefault="00A554CF" w:rsidP="005A7661">
            <w:pPr>
              <w:spacing w:after="0"/>
              <w:jc w:val="left"/>
              <w:rPr>
                <w:rFonts w:ascii="Aptos Narrow" w:hAnsi="Aptos Narrow" w:cs="Times New Roman"/>
                <w:b/>
                <w:bCs/>
                <w:i/>
                <w:iCs/>
                <w:color w:val="000000"/>
                <w:lang w:eastAsia="fr-FR"/>
              </w:rPr>
            </w:pPr>
            <w:r w:rsidRPr="008C6310">
              <w:rPr>
                <w:rFonts w:ascii="Aptos Narrow" w:hAnsi="Aptos Narrow" w:cs="Times New Roman"/>
                <w:b/>
                <w:bCs/>
                <w:i/>
                <w:iCs/>
                <w:color w:val="000000"/>
                <w:lang w:eastAsia="fr-FR"/>
              </w:rPr>
              <w:t>Pipistrellus kuhlii</w:t>
            </w:r>
          </w:p>
        </w:tc>
        <w:tc>
          <w:tcPr>
            <w:tcW w:w="863" w:type="pct"/>
            <w:tcBorders>
              <w:top w:val="single" w:sz="4" w:space="0" w:color="196B24"/>
              <w:left w:val="nil"/>
              <w:bottom w:val="nil"/>
              <w:right w:val="nil"/>
            </w:tcBorders>
            <w:vAlign w:val="center"/>
            <w:hideMark/>
          </w:tcPr>
          <w:p w14:paraId="1660C9E9" w14:textId="77777777" w:rsidR="00A554CF" w:rsidRPr="008C6310" w:rsidRDefault="00A554CF" w:rsidP="005A7661">
            <w:pPr>
              <w:spacing w:after="0"/>
              <w:jc w:val="left"/>
              <w:rPr>
                <w:rFonts w:ascii="Aptos Narrow" w:hAnsi="Aptos Narrow" w:cs="Times New Roman"/>
                <w:color w:val="000000"/>
                <w:lang w:eastAsia="fr-FR"/>
              </w:rPr>
            </w:pPr>
            <w:r w:rsidRPr="008C6310">
              <w:rPr>
                <w:rFonts w:ascii="Aptos Narrow" w:hAnsi="Aptos Narrow" w:cs="Times New Roman"/>
                <w:color w:val="000000"/>
                <w:lang w:eastAsia="fr-FR"/>
              </w:rPr>
              <w:t>Pipistrelle de Kuhl</w:t>
            </w:r>
          </w:p>
        </w:tc>
        <w:tc>
          <w:tcPr>
            <w:tcW w:w="594" w:type="pct"/>
            <w:tcBorders>
              <w:top w:val="single" w:sz="4" w:space="0" w:color="196B24"/>
              <w:left w:val="nil"/>
              <w:bottom w:val="nil"/>
              <w:right w:val="nil"/>
            </w:tcBorders>
            <w:vAlign w:val="center"/>
            <w:hideMark/>
          </w:tcPr>
          <w:p w14:paraId="1A2E9B41" w14:textId="77777777" w:rsidR="00A554CF" w:rsidRPr="008C6310" w:rsidRDefault="00A554CF" w:rsidP="005A7661">
            <w:pPr>
              <w:spacing w:after="0"/>
              <w:jc w:val="right"/>
              <w:rPr>
                <w:rFonts w:ascii="Aptos Narrow" w:hAnsi="Aptos Narrow" w:cs="Times New Roman"/>
                <w:color w:val="000000"/>
                <w:lang w:eastAsia="fr-FR"/>
              </w:rPr>
            </w:pPr>
            <w:r w:rsidRPr="008C6310">
              <w:rPr>
                <w:rFonts w:ascii="Aptos Narrow" w:hAnsi="Aptos Narrow" w:cs="Times New Roman"/>
                <w:color w:val="000000"/>
                <w:lang w:eastAsia="fr-FR"/>
              </w:rPr>
              <w:t>Oui (observée)</w:t>
            </w:r>
          </w:p>
        </w:tc>
        <w:tc>
          <w:tcPr>
            <w:tcW w:w="724" w:type="pct"/>
            <w:tcBorders>
              <w:top w:val="single" w:sz="4" w:space="0" w:color="196B24"/>
              <w:left w:val="nil"/>
              <w:bottom w:val="nil"/>
              <w:right w:val="nil"/>
            </w:tcBorders>
            <w:vAlign w:val="center"/>
            <w:hideMark/>
          </w:tcPr>
          <w:p w14:paraId="0906DB84" w14:textId="77777777" w:rsidR="00A554CF" w:rsidRPr="008C6310" w:rsidRDefault="00A554CF" w:rsidP="005A7661">
            <w:pPr>
              <w:spacing w:after="0"/>
              <w:jc w:val="right"/>
              <w:rPr>
                <w:rFonts w:ascii="Aptos Narrow" w:hAnsi="Aptos Narrow" w:cs="Times New Roman"/>
                <w:color w:val="000000"/>
                <w:lang w:eastAsia="fr-FR"/>
              </w:rPr>
            </w:pPr>
            <w:r w:rsidRPr="008C6310">
              <w:rPr>
                <w:rFonts w:ascii="Aptos Narrow" w:hAnsi="Aptos Narrow" w:cs="Times New Roman"/>
                <w:color w:val="000000"/>
                <w:lang w:eastAsia="fr-FR"/>
              </w:rPr>
              <w:t>Oui</w:t>
            </w:r>
          </w:p>
        </w:tc>
        <w:tc>
          <w:tcPr>
            <w:tcW w:w="850" w:type="pct"/>
            <w:tcBorders>
              <w:top w:val="single" w:sz="4" w:space="0" w:color="196B24"/>
              <w:left w:val="nil"/>
              <w:bottom w:val="nil"/>
              <w:right w:val="nil"/>
            </w:tcBorders>
            <w:vAlign w:val="center"/>
            <w:hideMark/>
          </w:tcPr>
          <w:p w14:paraId="672014B1" w14:textId="77777777" w:rsidR="00A554CF" w:rsidRPr="008C6310" w:rsidRDefault="00A554CF" w:rsidP="005A7661">
            <w:pPr>
              <w:spacing w:after="0"/>
              <w:jc w:val="left"/>
              <w:rPr>
                <w:rFonts w:ascii="Aptos Narrow" w:hAnsi="Aptos Narrow" w:cs="Times New Roman"/>
                <w:color w:val="000000"/>
                <w:lang w:eastAsia="fr-FR"/>
              </w:rPr>
            </w:pPr>
            <w:r w:rsidRPr="008C6310">
              <w:rPr>
                <w:rFonts w:ascii="Aptos Narrow" w:hAnsi="Aptos Narrow" w:cs="Times New Roman"/>
                <w:color w:val="000000"/>
                <w:lang w:eastAsia="fr-FR"/>
              </w:rPr>
              <w:t>LC</w:t>
            </w:r>
          </w:p>
        </w:tc>
        <w:tc>
          <w:tcPr>
            <w:tcW w:w="506" w:type="pct"/>
            <w:tcBorders>
              <w:top w:val="single" w:sz="4" w:space="0" w:color="196B24"/>
              <w:left w:val="nil"/>
              <w:bottom w:val="nil"/>
              <w:right w:val="nil"/>
            </w:tcBorders>
            <w:vAlign w:val="center"/>
            <w:hideMark/>
          </w:tcPr>
          <w:p w14:paraId="54C6BDEA" w14:textId="77777777" w:rsidR="00A554CF" w:rsidRPr="008C6310" w:rsidRDefault="00A554CF" w:rsidP="005A7661">
            <w:pPr>
              <w:spacing w:after="0"/>
              <w:jc w:val="left"/>
              <w:rPr>
                <w:rFonts w:ascii="Aptos Narrow" w:hAnsi="Aptos Narrow" w:cs="Times New Roman"/>
                <w:b/>
                <w:bCs/>
                <w:color w:val="000000"/>
                <w:lang w:eastAsia="fr-FR"/>
              </w:rPr>
            </w:pPr>
            <w:r w:rsidRPr="008C6310">
              <w:rPr>
                <w:rFonts w:ascii="Aptos Narrow" w:hAnsi="Aptos Narrow" w:cs="Times New Roman"/>
                <w:b/>
                <w:bCs/>
                <w:color w:val="000000"/>
                <w:lang w:eastAsia="fr-FR"/>
              </w:rPr>
              <w:t>Ann. II</w:t>
            </w:r>
          </w:p>
        </w:tc>
        <w:tc>
          <w:tcPr>
            <w:tcW w:w="599" w:type="pct"/>
            <w:tcBorders>
              <w:top w:val="single" w:sz="4" w:space="0" w:color="196B24"/>
              <w:left w:val="nil"/>
              <w:bottom w:val="nil"/>
              <w:right w:val="single" w:sz="4" w:space="0" w:color="196B24"/>
            </w:tcBorders>
            <w:vAlign w:val="center"/>
            <w:hideMark/>
          </w:tcPr>
          <w:p w14:paraId="67709E43" w14:textId="77777777" w:rsidR="00A554CF" w:rsidRPr="008C6310" w:rsidRDefault="00A554CF" w:rsidP="005A7661">
            <w:pPr>
              <w:spacing w:after="0"/>
              <w:jc w:val="left"/>
              <w:rPr>
                <w:rFonts w:ascii="Aptos Narrow" w:hAnsi="Aptos Narrow" w:cs="Times New Roman"/>
                <w:b/>
                <w:bCs/>
                <w:color w:val="000000"/>
                <w:lang w:eastAsia="fr-FR"/>
              </w:rPr>
            </w:pPr>
            <w:r w:rsidRPr="008C6310">
              <w:rPr>
                <w:rFonts w:ascii="Aptos Narrow" w:hAnsi="Aptos Narrow" w:cs="Times New Roman"/>
                <w:b/>
                <w:bCs/>
                <w:color w:val="000000"/>
                <w:lang w:eastAsia="fr-FR"/>
              </w:rPr>
              <w:t>Cat. IV</w:t>
            </w:r>
          </w:p>
        </w:tc>
      </w:tr>
      <w:tr w:rsidR="00A554CF" w:rsidRPr="008C6310" w14:paraId="0E4A63B8" w14:textId="77777777" w:rsidTr="00212CA0">
        <w:trPr>
          <w:trHeight w:val="576"/>
        </w:trPr>
        <w:tc>
          <w:tcPr>
            <w:tcW w:w="863" w:type="pct"/>
            <w:tcBorders>
              <w:top w:val="single" w:sz="4" w:space="0" w:color="196B24"/>
              <w:left w:val="single" w:sz="4" w:space="0" w:color="196B24"/>
              <w:bottom w:val="nil"/>
              <w:right w:val="nil"/>
            </w:tcBorders>
            <w:vAlign w:val="center"/>
            <w:hideMark/>
          </w:tcPr>
          <w:p w14:paraId="1682560F" w14:textId="77777777" w:rsidR="00A554CF" w:rsidRPr="008C6310" w:rsidRDefault="00A554CF" w:rsidP="005A7661">
            <w:pPr>
              <w:spacing w:after="0"/>
              <w:jc w:val="left"/>
              <w:rPr>
                <w:rFonts w:ascii="Aptos Narrow" w:hAnsi="Aptos Narrow" w:cs="Times New Roman"/>
                <w:b/>
                <w:bCs/>
                <w:i/>
                <w:iCs/>
                <w:color w:val="000000"/>
                <w:lang w:eastAsia="fr-FR"/>
              </w:rPr>
            </w:pPr>
            <w:r w:rsidRPr="008C6310">
              <w:rPr>
                <w:rFonts w:ascii="Aptos Narrow" w:hAnsi="Aptos Narrow" w:cs="Times New Roman"/>
                <w:b/>
                <w:bCs/>
                <w:i/>
                <w:iCs/>
                <w:color w:val="000000"/>
                <w:lang w:eastAsia="fr-FR"/>
              </w:rPr>
              <w:t>Hypsugo savii</w:t>
            </w:r>
          </w:p>
        </w:tc>
        <w:tc>
          <w:tcPr>
            <w:tcW w:w="863" w:type="pct"/>
            <w:tcBorders>
              <w:top w:val="single" w:sz="4" w:space="0" w:color="196B24"/>
              <w:left w:val="nil"/>
              <w:bottom w:val="nil"/>
              <w:right w:val="nil"/>
            </w:tcBorders>
            <w:vAlign w:val="center"/>
            <w:hideMark/>
          </w:tcPr>
          <w:p w14:paraId="212C3306" w14:textId="77777777" w:rsidR="00A554CF" w:rsidRPr="008C6310" w:rsidRDefault="00A554CF" w:rsidP="005A7661">
            <w:pPr>
              <w:spacing w:after="0"/>
              <w:jc w:val="left"/>
              <w:rPr>
                <w:rFonts w:ascii="Aptos Narrow" w:hAnsi="Aptos Narrow" w:cs="Times New Roman"/>
                <w:color w:val="000000"/>
                <w:lang w:eastAsia="fr-FR"/>
              </w:rPr>
            </w:pPr>
            <w:r w:rsidRPr="008C6310">
              <w:rPr>
                <w:rFonts w:ascii="Aptos Narrow" w:hAnsi="Aptos Narrow" w:cs="Times New Roman"/>
                <w:color w:val="000000"/>
                <w:lang w:eastAsia="fr-FR"/>
              </w:rPr>
              <w:t>Pipistrelle de Savi</w:t>
            </w:r>
          </w:p>
        </w:tc>
        <w:tc>
          <w:tcPr>
            <w:tcW w:w="594" w:type="pct"/>
            <w:tcBorders>
              <w:top w:val="single" w:sz="4" w:space="0" w:color="196B24"/>
              <w:left w:val="nil"/>
              <w:bottom w:val="nil"/>
              <w:right w:val="nil"/>
            </w:tcBorders>
            <w:vAlign w:val="center"/>
            <w:hideMark/>
          </w:tcPr>
          <w:p w14:paraId="37AE4226" w14:textId="77777777" w:rsidR="00A554CF" w:rsidRPr="008C6310" w:rsidRDefault="00A554CF" w:rsidP="005A7661">
            <w:pPr>
              <w:spacing w:after="0"/>
              <w:jc w:val="right"/>
              <w:rPr>
                <w:rFonts w:ascii="Aptos Narrow" w:hAnsi="Aptos Narrow" w:cs="Times New Roman"/>
                <w:color w:val="000000"/>
                <w:lang w:eastAsia="fr-FR"/>
              </w:rPr>
            </w:pPr>
            <w:r w:rsidRPr="008C6310">
              <w:rPr>
                <w:rFonts w:ascii="Aptos Narrow" w:hAnsi="Aptos Narrow" w:cs="Times New Roman"/>
                <w:color w:val="000000"/>
                <w:lang w:eastAsia="fr-FR"/>
              </w:rPr>
              <w:t>Localisée (observée)</w:t>
            </w:r>
          </w:p>
        </w:tc>
        <w:tc>
          <w:tcPr>
            <w:tcW w:w="724" w:type="pct"/>
            <w:tcBorders>
              <w:top w:val="single" w:sz="4" w:space="0" w:color="196B24"/>
              <w:left w:val="nil"/>
              <w:bottom w:val="nil"/>
              <w:right w:val="nil"/>
            </w:tcBorders>
            <w:vAlign w:val="center"/>
            <w:hideMark/>
          </w:tcPr>
          <w:p w14:paraId="332C84E5" w14:textId="77777777" w:rsidR="00A554CF" w:rsidRPr="008C6310" w:rsidRDefault="00A554CF" w:rsidP="005A7661">
            <w:pPr>
              <w:spacing w:after="0"/>
              <w:jc w:val="right"/>
              <w:rPr>
                <w:rFonts w:ascii="Aptos Narrow" w:hAnsi="Aptos Narrow" w:cs="Times New Roman"/>
                <w:color w:val="000000"/>
                <w:lang w:eastAsia="fr-FR"/>
              </w:rPr>
            </w:pPr>
            <w:r w:rsidRPr="008C6310">
              <w:rPr>
                <w:rFonts w:ascii="Aptos Narrow" w:hAnsi="Aptos Narrow" w:cs="Times New Roman"/>
                <w:color w:val="000000"/>
                <w:lang w:eastAsia="fr-FR"/>
              </w:rPr>
              <w:t>Oui</w:t>
            </w:r>
          </w:p>
        </w:tc>
        <w:tc>
          <w:tcPr>
            <w:tcW w:w="850" w:type="pct"/>
            <w:tcBorders>
              <w:top w:val="single" w:sz="4" w:space="0" w:color="196B24"/>
              <w:left w:val="nil"/>
              <w:bottom w:val="nil"/>
              <w:right w:val="nil"/>
            </w:tcBorders>
            <w:vAlign w:val="center"/>
            <w:hideMark/>
          </w:tcPr>
          <w:p w14:paraId="4DF31DE8" w14:textId="77777777" w:rsidR="00A554CF" w:rsidRPr="008C6310" w:rsidRDefault="00A554CF" w:rsidP="005A7661">
            <w:pPr>
              <w:spacing w:after="0"/>
              <w:jc w:val="left"/>
              <w:rPr>
                <w:rFonts w:ascii="Aptos Narrow" w:hAnsi="Aptos Narrow" w:cs="Times New Roman"/>
                <w:color w:val="000000"/>
                <w:lang w:eastAsia="fr-FR"/>
              </w:rPr>
            </w:pPr>
            <w:r w:rsidRPr="008C6310">
              <w:rPr>
                <w:rFonts w:ascii="Aptos Narrow" w:hAnsi="Aptos Narrow" w:cs="Times New Roman"/>
                <w:color w:val="000000"/>
                <w:lang w:eastAsia="fr-FR"/>
              </w:rPr>
              <w:t>LC</w:t>
            </w:r>
          </w:p>
        </w:tc>
        <w:tc>
          <w:tcPr>
            <w:tcW w:w="506" w:type="pct"/>
            <w:tcBorders>
              <w:top w:val="single" w:sz="4" w:space="0" w:color="196B24"/>
              <w:left w:val="nil"/>
              <w:bottom w:val="nil"/>
              <w:right w:val="nil"/>
            </w:tcBorders>
            <w:vAlign w:val="center"/>
            <w:hideMark/>
          </w:tcPr>
          <w:p w14:paraId="02CF2986" w14:textId="77777777" w:rsidR="00A554CF" w:rsidRPr="008C6310" w:rsidRDefault="00A554CF" w:rsidP="005A7661">
            <w:pPr>
              <w:spacing w:after="0"/>
              <w:jc w:val="left"/>
              <w:rPr>
                <w:rFonts w:ascii="Aptos Narrow" w:hAnsi="Aptos Narrow" w:cs="Times New Roman"/>
                <w:b/>
                <w:bCs/>
                <w:color w:val="000000"/>
                <w:lang w:eastAsia="fr-FR"/>
              </w:rPr>
            </w:pPr>
            <w:r w:rsidRPr="008C6310">
              <w:rPr>
                <w:rFonts w:ascii="Aptos Narrow" w:hAnsi="Aptos Narrow" w:cs="Times New Roman"/>
                <w:b/>
                <w:bCs/>
                <w:color w:val="000000"/>
                <w:lang w:eastAsia="fr-FR"/>
              </w:rPr>
              <w:t>Ann. II</w:t>
            </w:r>
          </w:p>
        </w:tc>
        <w:tc>
          <w:tcPr>
            <w:tcW w:w="599" w:type="pct"/>
            <w:tcBorders>
              <w:top w:val="single" w:sz="4" w:space="0" w:color="196B24"/>
              <w:left w:val="nil"/>
              <w:bottom w:val="nil"/>
              <w:right w:val="single" w:sz="4" w:space="0" w:color="196B24"/>
            </w:tcBorders>
            <w:vAlign w:val="center"/>
            <w:hideMark/>
          </w:tcPr>
          <w:p w14:paraId="60789DCB" w14:textId="77777777" w:rsidR="00A554CF" w:rsidRPr="008C6310" w:rsidRDefault="00A554CF" w:rsidP="005A7661">
            <w:pPr>
              <w:spacing w:after="0"/>
              <w:jc w:val="left"/>
              <w:rPr>
                <w:rFonts w:ascii="Aptos Narrow" w:hAnsi="Aptos Narrow" w:cs="Times New Roman"/>
                <w:b/>
                <w:bCs/>
                <w:color w:val="000000"/>
                <w:lang w:eastAsia="fr-FR"/>
              </w:rPr>
            </w:pPr>
            <w:r w:rsidRPr="008C6310">
              <w:rPr>
                <w:rFonts w:ascii="Aptos Narrow" w:hAnsi="Aptos Narrow" w:cs="Times New Roman"/>
                <w:b/>
                <w:bCs/>
                <w:color w:val="000000"/>
                <w:lang w:eastAsia="fr-FR"/>
              </w:rPr>
              <w:t>Cat. IV</w:t>
            </w:r>
          </w:p>
        </w:tc>
      </w:tr>
      <w:tr w:rsidR="00A554CF" w:rsidRPr="008C6310" w14:paraId="79FD1A82" w14:textId="77777777" w:rsidTr="00212CA0">
        <w:trPr>
          <w:trHeight w:val="576"/>
        </w:trPr>
        <w:tc>
          <w:tcPr>
            <w:tcW w:w="863" w:type="pct"/>
            <w:tcBorders>
              <w:top w:val="single" w:sz="4" w:space="0" w:color="196B24"/>
              <w:left w:val="single" w:sz="4" w:space="0" w:color="196B24"/>
              <w:bottom w:val="nil"/>
              <w:right w:val="nil"/>
            </w:tcBorders>
            <w:vAlign w:val="center"/>
            <w:hideMark/>
          </w:tcPr>
          <w:p w14:paraId="56E054B2" w14:textId="77777777" w:rsidR="00A554CF" w:rsidRPr="008C6310" w:rsidRDefault="00A554CF" w:rsidP="005A7661">
            <w:pPr>
              <w:spacing w:after="0"/>
              <w:jc w:val="left"/>
              <w:rPr>
                <w:rFonts w:ascii="Aptos Narrow" w:hAnsi="Aptos Narrow" w:cs="Times New Roman"/>
                <w:b/>
                <w:bCs/>
                <w:i/>
                <w:iCs/>
                <w:color w:val="000000"/>
                <w:lang w:eastAsia="fr-FR"/>
              </w:rPr>
            </w:pPr>
            <w:r w:rsidRPr="008C6310">
              <w:rPr>
                <w:rFonts w:ascii="Aptos Narrow" w:hAnsi="Aptos Narrow" w:cs="Times New Roman"/>
                <w:b/>
                <w:bCs/>
                <w:i/>
                <w:iCs/>
                <w:color w:val="000000"/>
                <w:lang w:eastAsia="fr-FR"/>
              </w:rPr>
              <w:t>Tadarida teniotis</w:t>
            </w:r>
          </w:p>
        </w:tc>
        <w:tc>
          <w:tcPr>
            <w:tcW w:w="863" w:type="pct"/>
            <w:tcBorders>
              <w:top w:val="single" w:sz="4" w:space="0" w:color="196B24"/>
              <w:left w:val="nil"/>
              <w:bottom w:val="nil"/>
              <w:right w:val="nil"/>
            </w:tcBorders>
            <w:vAlign w:val="center"/>
            <w:hideMark/>
          </w:tcPr>
          <w:p w14:paraId="771E1C1C" w14:textId="77777777" w:rsidR="00A554CF" w:rsidRPr="008C6310" w:rsidRDefault="00A554CF" w:rsidP="005A7661">
            <w:pPr>
              <w:spacing w:after="0"/>
              <w:jc w:val="left"/>
              <w:rPr>
                <w:rFonts w:ascii="Aptos Narrow" w:hAnsi="Aptos Narrow" w:cs="Times New Roman"/>
                <w:color w:val="000000"/>
                <w:lang w:eastAsia="fr-FR"/>
              </w:rPr>
            </w:pPr>
            <w:r w:rsidRPr="008C6310">
              <w:rPr>
                <w:rFonts w:ascii="Aptos Narrow" w:hAnsi="Aptos Narrow" w:cs="Times New Roman"/>
                <w:color w:val="000000"/>
                <w:lang w:eastAsia="fr-FR"/>
              </w:rPr>
              <w:t>Molosse de Cestoni</w:t>
            </w:r>
          </w:p>
        </w:tc>
        <w:tc>
          <w:tcPr>
            <w:tcW w:w="594" w:type="pct"/>
            <w:tcBorders>
              <w:top w:val="single" w:sz="4" w:space="0" w:color="196B24"/>
              <w:left w:val="nil"/>
              <w:bottom w:val="nil"/>
              <w:right w:val="nil"/>
            </w:tcBorders>
            <w:vAlign w:val="center"/>
            <w:hideMark/>
          </w:tcPr>
          <w:p w14:paraId="59294A24" w14:textId="77777777" w:rsidR="00A554CF" w:rsidRPr="008C6310" w:rsidRDefault="00A554CF" w:rsidP="005A7661">
            <w:pPr>
              <w:spacing w:after="0"/>
              <w:jc w:val="right"/>
              <w:rPr>
                <w:rFonts w:ascii="Aptos Narrow" w:hAnsi="Aptos Narrow" w:cs="Times New Roman"/>
                <w:color w:val="000000"/>
                <w:lang w:eastAsia="fr-FR"/>
              </w:rPr>
            </w:pPr>
            <w:r w:rsidRPr="008C6310">
              <w:rPr>
                <w:rFonts w:ascii="Aptos Narrow" w:hAnsi="Aptos Narrow" w:cs="Times New Roman"/>
                <w:color w:val="000000"/>
                <w:lang w:eastAsia="fr-FR"/>
              </w:rPr>
              <w:t>Localisée (observée)</w:t>
            </w:r>
          </w:p>
        </w:tc>
        <w:tc>
          <w:tcPr>
            <w:tcW w:w="724" w:type="pct"/>
            <w:tcBorders>
              <w:top w:val="single" w:sz="4" w:space="0" w:color="196B24"/>
              <w:left w:val="nil"/>
              <w:bottom w:val="nil"/>
              <w:right w:val="nil"/>
            </w:tcBorders>
            <w:vAlign w:val="center"/>
            <w:hideMark/>
          </w:tcPr>
          <w:p w14:paraId="200E3D8B" w14:textId="77777777" w:rsidR="00A554CF" w:rsidRPr="008C6310" w:rsidRDefault="00A554CF" w:rsidP="005A7661">
            <w:pPr>
              <w:spacing w:after="0"/>
              <w:jc w:val="right"/>
              <w:rPr>
                <w:rFonts w:ascii="Aptos Narrow" w:hAnsi="Aptos Narrow" w:cs="Times New Roman"/>
                <w:color w:val="000000"/>
                <w:lang w:eastAsia="fr-FR"/>
              </w:rPr>
            </w:pPr>
            <w:r w:rsidRPr="008C6310">
              <w:rPr>
                <w:rFonts w:ascii="Aptos Narrow" w:hAnsi="Aptos Narrow" w:cs="Times New Roman"/>
                <w:color w:val="000000"/>
                <w:lang w:eastAsia="fr-FR"/>
              </w:rPr>
              <w:t>Oui</w:t>
            </w:r>
          </w:p>
        </w:tc>
        <w:tc>
          <w:tcPr>
            <w:tcW w:w="850" w:type="pct"/>
            <w:tcBorders>
              <w:top w:val="single" w:sz="4" w:space="0" w:color="196B24"/>
              <w:left w:val="nil"/>
              <w:bottom w:val="nil"/>
              <w:right w:val="nil"/>
            </w:tcBorders>
            <w:vAlign w:val="center"/>
            <w:hideMark/>
          </w:tcPr>
          <w:p w14:paraId="5D5BB7A4" w14:textId="77777777" w:rsidR="00A554CF" w:rsidRPr="008C6310" w:rsidRDefault="00A554CF" w:rsidP="005A7661">
            <w:pPr>
              <w:spacing w:after="0"/>
              <w:jc w:val="left"/>
              <w:rPr>
                <w:rFonts w:ascii="Aptos Narrow" w:hAnsi="Aptos Narrow" w:cs="Times New Roman"/>
                <w:color w:val="000000"/>
                <w:lang w:eastAsia="fr-FR"/>
              </w:rPr>
            </w:pPr>
            <w:r w:rsidRPr="008C6310">
              <w:rPr>
                <w:rFonts w:ascii="Aptos Narrow" w:hAnsi="Aptos Narrow" w:cs="Times New Roman"/>
                <w:color w:val="000000"/>
                <w:lang w:eastAsia="fr-FR"/>
              </w:rPr>
              <w:t>LC</w:t>
            </w:r>
          </w:p>
        </w:tc>
        <w:tc>
          <w:tcPr>
            <w:tcW w:w="506" w:type="pct"/>
            <w:tcBorders>
              <w:top w:val="single" w:sz="4" w:space="0" w:color="196B24"/>
              <w:left w:val="nil"/>
              <w:bottom w:val="nil"/>
              <w:right w:val="nil"/>
            </w:tcBorders>
            <w:vAlign w:val="center"/>
            <w:hideMark/>
          </w:tcPr>
          <w:p w14:paraId="22A0E69F" w14:textId="77777777" w:rsidR="00A554CF" w:rsidRPr="008C6310" w:rsidRDefault="00A554CF" w:rsidP="005A7661">
            <w:pPr>
              <w:spacing w:after="0"/>
              <w:jc w:val="left"/>
              <w:rPr>
                <w:rFonts w:ascii="Aptos Narrow" w:hAnsi="Aptos Narrow" w:cs="Times New Roman"/>
                <w:b/>
                <w:bCs/>
                <w:color w:val="000000"/>
                <w:lang w:eastAsia="fr-FR"/>
              </w:rPr>
            </w:pPr>
            <w:r w:rsidRPr="008C6310">
              <w:rPr>
                <w:rFonts w:ascii="Aptos Narrow" w:hAnsi="Aptos Narrow" w:cs="Times New Roman"/>
                <w:b/>
                <w:bCs/>
                <w:color w:val="000000"/>
                <w:lang w:eastAsia="fr-FR"/>
              </w:rPr>
              <w:t>Ann. II</w:t>
            </w:r>
          </w:p>
        </w:tc>
        <w:tc>
          <w:tcPr>
            <w:tcW w:w="599" w:type="pct"/>
            <w:tcBorders>
              <w:top w:val="single" w:sz="4" w:space="0" w:color="196B24"/>
              <w:left w:val="nil"/>
              <w:bottom w:val="nil"/>
              <w:right w:val="single" w:sz="4" w:space="0" w:color="196B24"/>
            </w:tcBorders>
            <w:vAlign w:val="center"/>
            <w:hideMark/>
          </w:tcPr>
          <w:p w14:paraId="11BC25A6" w14:textId="77777777" w:rsidR="00A554CF" w:rsidRPr="008C6310" w:rsidRDefault="00A554CF" w:rsidP="005A7661">
            <w:pPr>
              <w:spacing w:after="0"/>
              <w:jc w:val="left"/>
              <w:rPr>
                <w:rFonts w:ascii="Aptos Narrow" w:hAnsi="Aptos Narrow" w:cs="Times New Roman"/>
                <w:b/>
                <w:bCs/>
                <w:color w:val="000000"/>
                <w:lang w:eastAsia="fr-FR"/>
              </w:rPr>
            </w:pPr>
            <w:r w:rsidRPr="008C6310">
              <w:rPr>
                <w:rFonts w:ascii="Aptos Narrow" w:hAnsi="Aptos Narrow" w:cs="Times New Roman"/>
                <w:b/>
                <w:bCs/>
                <w:color w:val="000000"/>
                <w:lang w:eastAsia="fr-FR"/>
              </w:rPr>
              <w:t>Cat. IV</w:t>
            </w:r>
          </w:p>
        </w:tc>
      </w:tr>
      <w:tr w:rsidR="00A554CF" w:rsidRPr="008C6310" w14:paraId="6BF6BAF6" w14:textId="77777777" w:rsidTr="00212CA0">
        <w:trPr>
          <w:trHeight w:val="288"/>
        </w:trPr>
        <w:tc>
          <w:tcPr>
            <w:tcW w:w="863" w:type="pct"/>
            <w:tcBorders>
              <w:top w:val="single" w:sz="4" w:space="0" w:color="196B24"/>
              <w:left w:val="single" w:sz="4" w:space="0" w:color="196B24"/>
              <w:bottom w:val="nil"/>
              <w:right w:val="nil"/>
            </w:tcBorders>
            <w:vAlign w:val="center"/>
            <w:hideMark/>
          </w:tcPr>
          <w:p w14:paraId="7DEED8D2" w14:textId="77777777" w:rsidR="00A554CF" w:rsidRPr="008C6310" w:rsidRDefault="00A554CF" w:rsidP="005A7661">
            <w:pPr>
              <w:spacing w:after="0"/>
              <w:jc w:val="left"/>
              <w:rPr>
                <w:rFonts w:ascii="Aptos Narrow" w:hAnsi="Aptos Narrow" w:cs="Times New Roman"/>
                <w:b/>
                <w:bCs/>
                <w:i/>
                <w:iCs/>
                <w:color w:val="000000"/>
                <w:lang w:eastAsia="fr-FR"/>
              </w:rPr>
            </w:pPr>
            <w:r w:rsidRPr="008C6310">
              <w:rPr>
                <w:rFonts w:ascii="Aptos Narrow" w:hAnsi="Aptos Narrow" w:cs="Times New Roman"/>
                <w:b/>
                <w:bCs/>
                <w:i/>
                <w:iCs/>
                <w:color w:val="000000"/>
                <w:lang w:eastAsia="fr-FR"/>
              </w:rPr>
              <w:t>Eptesicus isabellinus</w:t>
            </w:r>
          </w:p>
        </w:tc>
        <w:tc>
          <w:tcPr>
            <w:tcW w:w="863" w:type="pct"/>
            <w:tcBorders>
              <w:top w:val="single" w:sz="4" w:space="0" w:color="196B24"/>
              <w:left w:val="nil"/>
              <w:bottom w:val="nil"/>
              <w:right w:val="nil"/>
            </w:tcBorders>
            <w:vAlign w:val="center"/>
            <w:hideMark/>
          </w:tcPr>
          <w:p w14:paraId="4F00EA32" w14:textId="77777777" w:rsidR="00A554CF" w:rsidRPr="008C6310" w:rsidRDefault="00A554CF" w:rsidP="005A7661">
            <w:pPr>
              <w:spacing w:after="0"/>
              <w:jc w:val="left"/>
              <w:rPr>
                <w:rFonts w:ascii="Aptos Narrow" w:hAnsi="Aptos Narrow" w:cs="Times New Roman"/>
                <w:color w:val="000000"/>
                <w:lang w:eastAsia="fr-FR"/>
              </w:rPr>
            </w:pPr>
            <w:r w:rsidRPr="008C6310">
              <w:rPr>
                <w:rFonts w:ascii="Aptos Narrow" w:hAnsi="Aptos Narrow" w:cs="Times New Roman"/>
                <w:color w:val="000000"/>
                <w:lang w:eastAsia="fr-FR"/>
              </w:rPr>
              <w:t>Sérotine isabelle</w:t>
            </w:r>
          </w:p>
        </w:tc>
        <w:tc>
          <w:tcPr>
            <w:tcW w:w="594" w:type="pct"/>
            <w:tcBorders>
              <w:top w:val="single" w:sz="4" w:space="0" w:color="196B24"/>
              <w:left w:val="nil"/>
              <w:bottom w:val="nil"/>
              <w:right w:val="nil"/>
            </w:tcBorders>
            <w:vAlign w:val="center"/>
            <w:hideMark/>
          </w:tcPr>
          <w:p w14:paraId="71256E62" w14:textId="77777777" w:rsidR="00A554CF" w:rsidRPr="008C6310" w:rsidRDefault="00A554CF" w:rsidP="005A7661">
            <w:pPr>
              <w:spacing w:after="0"/>
              <w:jc w:val="right"/>
              <w:rPr>
                <w:rFonts w:ascii="Aptos Narrow" w:hAnsi="Aptos Narrow" w:cs="Times New Roman"/>
                <w:color w:val="000000"/>
                <w:lang w:eastAsia="fr-FR"/>
              </w:rPr>
            </w:pPr>
            <w:r w:rsidRPr="008C6310">
              <w:rPr>
                <w:rFonts w:ascii="Aptos Narrow" w:hAnsi="Aptos Narrow" w:cs="Times New Roman"/>
                <w:color w:val="000000"/>
                <w:lang w:eastAsia="fr-FR"/>
              </w:rPr>
              <w:t>Non signalée</w:t>
            </w:r>
          </w:p>
        </w:tc>
        <w:tc>
          <w:tcPr>
            <w:tcW w:w="724" w:type="pct"/>
            <w:tcBorders>
              <w:top w:val="single" w:sz="4" w:space="0" w:color="196B24"/>
              <w:left w:val="nil"/>
              <w:bottom w:val="nil"/>
              <w:right w:val="nil"/>
            </w:tcBorders>
            <w:vAlign w:val="center"/>
            <w:hideMark/>
          </w:tcPr>
          <w:p w14:paraId="440886DC" w14:textId="77777777" w:rsidR="00A554CF" w:rsidRPr="008C6310" w:rsidRDefault="00A554CF" w:rsidP="005A7661">
            <w:pPr>
              <w:spacing w:after="0"/>
              <w:jc w:val="right"/>
              <w:rPr>
                <w:rFonts w:ascii="Aptos Narrow" w:hAnsi="Aptos Narrow" w:cs="Times New Roman"/>
                <w:color w:val="000000"/>
                <w:lang w:eastAsia="fr-FR"/>
              </w:rPr>
            </w:pPr>
            <w:r w:rsidRPr="008C6310">
              <w:rPr>
                <w:rFonts w:ascii="Aptos Narrow" w:hAnsi="Aptos Narrow" w:cs="Times New Roman"/>
                <w:color w:val="000000"/>
                <w:lang w:eastAsia="fr-FR"/>
              </w:rPr>
              <w:t>Probable</w:t>
            </w:r>
          </w:p>
        </w:tc>
        <w:tc>
          <w:tcPr>
            <w:tcW w:w="850" w:type="pct"/>
            <w:tcBorders>
              <w:top w:val="single" w:sz="4" w:space="0" w:color="196B24"/>
              <w:left w:val="nil"/>
              <w:bottom w:val="nil"/>
              <w:right w:val="nil"/>
            </w:tcBorders>
            <w:vAlign w:val="center"/>
            <w:hideMark/>
          </w:tcPr>
          <w:p w14:paraId="162A7712" w14:textId="77777777" w:rsidR="00A554CF" w:rsidRPr="008C6310" w:rsidRDefault="00A554CF" w:rsidP="005A7661">
            <w:pPr>
              <w:spacing w:after="0"/>
              <w:jc w:val="left"/>
              <w:rPr>
                <w:rFonts w:ascii="Aptos Narrow" w:hAnsi="Aptos Narrow" w:cs="Times New Roman"/>
                <w:color w:val="000000"/>
                <w:lang w:eastAsia="fr-FR"/>
              </w:rPr>
            </w:pPr>
            <w:r w:rsidRPr="008C6310">
              <w:rPr>
                <w:rFonts w:ascii="Aptos Narrow" w:hAnsi="Aptos Narrow" w:cs="Times New Roman"/>
                <w:color w:val="000000"/>
                <w:lang w:eastAsia="fr-FR"/>
              </w:rPr>
              <w:t>LC</w:t>
            </w:r>
          </w:p>
        </w:tc>
        <w:tc>
          <w:tcPr>
            <w:tcW w:w="506" w:type="pct"/>
            <w:tcBorders>
              <w:top w:val="single" w:sz="4" w:space="0" w:color="196B24"/>
              <w:left w:val="nil"/>
              <w:bottom w:val="nil"/>
              <w:right w:val="nil"/>
            </w:tcBorders>
            <w:vAlign w:val="center"/>
            <w:hideMark/>
          </w:tcPr>
          <w:p w14:paraId="7626BC83" w14:textId="77777777" w:rsidR="00A554CF" w:rsidRPr="008C6310" w:rsidRDefault="00A554CF" w:rsidP="005A7661">
            <w:pPr>
              <w:spacing w:after="0"/>
              <w:jc w:val="left"/>
              <w:rPr>
                <w:rFonts w:ascii="Aptos Narrow" w:hAnsi="Aptos Narrow" w:cs="Times New Roman"/>
                <w:b/>
                <w:bCs/>
                <w:color w:val="000000"/>
                <w:lang w:eastAsia="fr-FR"/>
              </w:rPr>
            </w:pPr>
            <w:r w:rsidRPr="008C6310">
              <w:rPr>
                <w:rFonts w:ascii="Aptos Narrow" w:hAnsi="Aptos Narrow" w:cs="Times New Roman"/>
                <w:b/>
                <w:bCs/>
                <w:color w:val="000000"/>
                <w:lang w:eastAsia="fr-FR"/>
              </w:rPr>
              <w:t>Ann. II</w:t>
            </w:r>
          </w:p>
        </w:tc>
        <w:tc>
          <w:tcPr>
            <w:tcW w:w="599" w:type="pct"/>
            <w:tcBorders>
              <w:top w:val="single" w:sz="4" w:space="0" w:color="196B24"/>
              <w:left w:val="nil"/>
              <w:bottom w:val="nil"/>
              <w:right w:val="single" w:sz="4" w:space="0" w:color="196B24"/>
            </w:tcBorders>
            <w:vAlign w:val="center"/>
            <w:hideMark/>
          </w:tcPr>
          <w:p w14:paraId="471AD8AA" w14:textId="77777777" w:rsidR="00A554CF" w:rsidRPr="008C6310" w:rsidRDefault="00A554CF" w:rsidP="005A7661">
            <w:pPr>
              <w:spacing w:after="0"/>
              <w:jc w:val="left"/>
              <w:rPr>
                <w:rFonts w:ascii="Aptos Narrow" w:hAnsi="Aptos Narrow" w:cs="Times New Roman"/>
                <w:b/>
                <w:bCs/>
                <w:color w:val="000000"/>
                <w:lang w:eastAsia="fr-FR"/>
              </w:rPr>
            </w:pPr>
            <w:r w:rsidRPr="008C6310">
              <w:rPr>
                <w:rFonts w:ascii="Aptos Narrow" w:hAnsi="Aptos Narrow" w:cs="Times New Roman"/>
                <w:b/>
                <w:bCs/>
                <w:color w:val="000000"/>
                <w:lang w:eastAsia="fr-FR"/>
              </w:rPr>
              <w:t>Cat. IV</w:t>
            </w:r>
          </w:p>
        </w:tc>
      </w:tr>
      <w:tr w:rsidR="00A554CF" w:rsidRPr="008C6310" w14:paraId="0711E370" w14:textId="77777777" w:rsidTr="00212CA0">
        <w:trPr>
          <w:trHeight w:val="288"/>
        </w:trPr>
        <w:tc>
          <w:tcPr>
            <w:tcW w:w="863" w:type="pct"/>
            <w:tcBorders>
              <w:top w:val="single" w:sz="4" w:space="0" w:color="196B24"/>
              <w:left w:val="single" w:sz="4" w:space="0" w:color="196B24"/>
              <w:bottom w:val="nil"/>
              <w:right w:val="nil"/>
            </w:tcBorders>
            <w:vAlign w:val="center"/>
            <w:hideMark/>
          </w:tcPr>
          <w:p w14:paraId="736F5AF6" w14:textId="77777777" w:rsidR="00A554CF" w:rsidRPr="008C6310" w:rsidRDefault="00A554CF" w:rsidP="005A7661">
            <w:pPr>
              <w:spacing w:after="0"/>
              <w:jc w:val="left"/>
              <w:rPr>
                <w:rFonts w:ascii="Aptos Narrow" w:hAnsi="Aptos Narrow" w:cs="Times New Roman"/>
                <w:b/>
                <w:bCs/>
                <w:i/>
                <w:iCs/>
                <w:color w:val="000000"/>
                <w:lang w:eastAsia="fr-FR"/>
              </w:rPr>
            </w:pPr>
            <w:r w:rsidRPr="008C6310">
              <w:rPr>
                <w:rFonts w:ascii="Aptos Narrow" w:hAnsi="Aptos Narrow" w:cs="Times New Roman"/>
                <w:b/>
                <w:bCs/>
                <w:i/>
                <w:iCs/>
                <w:color w:val="000000"/>
                <w:lang w:eastAsia="fr-FR"/>
              </w:rPr>
              <w:t>Plecotus gaisleri</w:t>
            </w:r>
          </w:p>
        </w:tc>
        <w:tc>
          <w:tcPr>
            <w:tcW w:w="863" w:type="pct"/>
            <w:tcBorders>
              <w:top w:val="single" w:sz="4" w:space="0" w:color="196B24"/>
              <w:left w:val="nil"/>
              <w:bottom w:val="nil"/>
              <w:right w:val="nil"/>
            </w:tcBorders>
            <w:vAlign w:val="center"/>
            <w:hideMark/>
          </w:tcPr>
          <w:p w14:paraId="12018947" w14:textId="77777777" w:rsidR="00A554CF" w:rsidRPr="008C6310" w:rsidRDefault="00A554CF" w:rsidP="005A7661">
            <w:pPr>
              <w:spacing w:after="0"/>
              <w:jc w:val="left"/>
              <w:rPr>
                <w:rFonts w:ascii="Aptos Narrow" w:hAnsi="Aptos Narrow" w:cs="Times New Roman"/>
                <w:color w:val="000000"/>
                <w:lang w:eastAsia="fr-FR"/>
              </w:rPr>
            </w:pPr>
            <w:r w:rsidRPr="008C6310">
              <w:rPr>
                <w:rFonts w:ascii="Aptos Narrow" w:hAnsi="Aptos Narrow" w:cs="Times New Roman"/>
                <w:color w:val="000000"/>
                <w:lang w:eastAsia="fr-FR"/>
              </w:rPr>
              <w:t>Oreillard du Maghreb</w:t>
            </w:r>
          </w:p>
        </w:tc>
        <w:tc>
          <w:tcPr>
            <w:tcW w:w="594" w:type="pct"/>
            <w:tcBorders>
              <w:top w:val="single" w:sz="4" w:space="0" w:color="196B24"/>
              <w:left w:val="nil"/>
              <w:bottom w:val="nil"/>
              <w:right w:val="nil"/>
            </w:tcBorders>
            <w:vAlign w:val="center"/>
            <w:hideMark/>
          </w:tcPr>
          <w:p w14:paraId="5FFC30A6" w14:textId="77777777" w:rsidR="00A554CF" w:rsidRPr="008C6310" w:rsidRDefault="00A554CF" w:rsidP="005A7661">
            <w:pPr>
              <w:spacing w:after="0"/>
              <w:jc w:val="right"/>
              <w:rPr>
                <w:rFonts w:ascii="Aptos Narrow" w:hAnsi="Aptos Narrow" w:cs="Times New Roman"/>
                <w:color w:val="000000"/>
                <w:lang w:eastAsia="fr-FR"/>
              </w:rPr>
            </w:pPr>
            <w:r w:rsidRPr="008C6310">
              <w:rPr>
                <w:rFonts w:ascii="Aptos Narrow" w:hAnsi="Aptos Narrow" w:cs="Times New Roman"/>
                <w:color w:val="000000"/>
                <w:lang w:eastAsia="fr-FR"/>
              </w:rPr>
              <w:t>Non signalé</w:t>
            </w:r>
          </w:p>
        </w:tc>
        <w:tc>
          <w:tcPr>
            <w:tcW w:w="724" w:type="pct"/>
            <w:tcBorders>
              <w:top w:val="single" w:sz="4" w:space="0" w:color="196B24"/>
              <w:left w:val="nil"/>
              <w:bottom w:val="nil"/>
              <w:right w:val="nil"/>
            </w:tcBorders>
            <w:vAlign w:val="center"/>
            <w:hideMark/>
          </w:tcPr>
          <w:p w14:paraId="68E3318F" w14:textId="77777777" w:rsidR="00A554CF" w:rsidRPr="008C6310" w:rsidRDefault="00A554CF" w:rsidP="005A7661">
            <w:pPr>
              <w:spacing w:after="0"/>
              <w:jc w:val="right"/>
              <w:rPr>
                <w:rFonts w:ascii="Aptos Narrow" w:hAnsi="Aptos Narrow" w:cs="Times New Roman"/>
                <w:color w:val="000000"/>
                <w:lang w:eastAsia="fr-FR"/>
              </w:rPr>
            </w:pPr>
            <w:r w:rsidRPr="008C6310">
              <w:rPr>
                <w:rFonts w:ascii="Aptos Narrow" w:hAnsi="Aptos Narrow" w:cs="Times New Roman"/>
                <w:color w:val="000000"/>
                <w:lang w:eastAsia="fr-FR"/>
              </w:rPr>
              <w:t>Probable</w:t>
            </w:r>
          </w:p>
        </w:tc>
        <w:tc>
          <w:tcPr>
            <w:tcW w:w="850" w:type="pct"/>
            <w:tcBorders>
              <w:top w:val="single" w:sz="4" w:space="0" w:color="196B24"/>
              <w:left w:val="nil"/>
              <w:bottom w:val="nil"/>
              <w:right w:val="nil"/>
            </w:tcBorders>
            <w:vAlign w:val="center"/>
            <w:hideMark/>
          </w:tcPr>
          <w:p w14:paraId="6EF1324F" w14:textId="77777777" w:rsidR="00A554CF" w:rsidRPr="008C6310" w:rsidRDefault="00A554CF" w:rsidP="005A7661">
            <w:pPr>
              <w:spacing w:after="0"/>
              <w:jc w:val="left"/>
              <w:rPr>
                <w:rFonts w:ascii="Aptos Narrow" w:hAnsi="Aptos Narrow" w:cs="Times New Roman"/>
                <w:color w:val="000000"/>
                <w:lang w:eastAsia="fr-FR"/>
              </w:rPr>
            </w:pPr>
            <w:r w:rsidRPr="008C6310">
              <w:rPr>
                <w:rFonts w:ascii="Aptos Narrow" w:hAnsi="Aptos Narrow" w:cs="Times New Roman"/>
                <w:color w:val="000000"/>
                <w:lang w:eastAsia="fr-FR"/>
              </w:rPr>
              <w:t>LC</w:t>
            </w:r>
          </w:p>
        </w:tc>
        <w:tc>
          <w:tcPr>
            <w:tcW w:w="506" w:type="pct"/>
            <w:tcBorders>
              <w:top w:val="single" w:sz="4" w:space="0" w:color="196B24"/>
              <w:left w:val="nil"/>
              <w:bottom w:val="nil"/>
              <w:right w:val="nil"/>
            </w:tcBorders>
            <w:vAlign w:val="center"/>
            <w:hideMark/>
          </w:tcPr>
          <w:p w14:paraId="3623E81A" w14:textId="77777777" w:rsidR="00A554CF" w:rsidRPr="008C6310" w:rsidRDefault="00A554CF" w:rsidP="005A7661">
            <w:pPr>
              <w:spacing w:after="0"/>
              <w:jc w:val="left"/>
              <w:rPr>
                <w:rFonts w:ascii="Aptos Narrow" w:hAnsi="Aptos Narrow" w:cs="Times New Roman"/>
                <w:b/>
                <w:bCs/>
                <w:color w:val="000000"/>
                <w:lang w:eastAsia="fr-FR"/>
              </w:rPr>
            </w:pPr>
            <w:r w:rsidRPr="008C6310">
              <w:rPr>
                <w:rFonts w:ascii="Aptos Narrow" w:hAnsi="Aptos Narrow" w:cs="Times New Roman"/>
                <w:b/>
                <w:bCs/>
                <w:color w:val="000000"/>
                <w:lang w:eastAsia="fr-FR"/>
              </w:rPr>
              <w:t>Ann. II</w:t>
            </w:r>
          </w:p>
        </w:tc>
        <w:tc>
          <w:tcPr>
            <w:tcW w:w="599" w:type="pct"/>
            <w:tcBorders>
              <w:top w:val="single" w:sz="4" w:space="0" w:color="196B24"/>
              <w:left w:val="nil"/>
              <w:bottom w:val="nil"/>
              <w:right w:val="single" w:sz="4" w:space="0" w:color="196B24"/>
            </w:tcBorders>
            <w:vAlign w:val="center"/>
            <w:hideMark/>
          </w:tcPr>
          <w:p w14:paraId="1A8BFA66" w14:textId="77777777" w:rsidR="00A554CF" w:rsidRPr="008C6310" w:rsidRDefault="00A554CF" w:rsidP="005A7661">
            <w:pPr>
              <w:spacing w:after="0"/>
              <w:jc w:val="left"/>
              <w:rPr>
                <w:rFonts w:ascii="Aptos Narrow" w:hAnsi="Aptos Narrow" w:cs="Times New Roman"/>
                <w:b/>
                <w:bCs/>
                <w:color w:val="000000"/>
                <w:lang w:eastAsia="fr-FR"/>
              </w:rPr>
            </w:pPr>
            <w:r w:rsidRPr="008C6310">
              <w:rPr>
                <w:rFonts w:ascii="Aptos Narrow" w:hAnsi="Aptos Narrow" w:cs="Times New Roman"/>
                <w:b/>
                <w:bCs/>
                <w:color w:val="000000"/>
                <w:lang w:eastAsia="fr-FR"/>
              </w:rPr>
              <w:t>Cat. IV</w:t>
            </w:r>
          </w:p>
        </w:tc>
      </w:tr>
      <w:tr w:rsidR="00A554CF" w:rsidRPr="008C6310" w14:paraId="3FA7B0EB" w14:textId="77777777" w:rsidTr="00212CA0">
        <w:trPr>
          <w:trHeight w:val="288"/>
        </w:trPr>
        <w:tc>
          <w:tcPr>
            <w:tcW w:w="863" w:type="pct"/>
            <w:tcBorders>
              <w:top w:val="single" w:sz="4" w:space="0" w:color="196B24"/>
              <w:left w:val="single" w:sz="4" w:space="0" w:color="196B24"/>
              <w:bottom w:val="nil"/>
              <w:right w:val="nil"/>
            </w:tcBorders>
            <w:vAlign w:val="center"/>
            <w:hideMark/>
          </w:tcPr>
          <w:p w14:paraId="544F04FF" w14:textId="77777777" w:rsidR="00A554CF" w:rsidRPr="008C6310" w:rsidRDefault="00A554CF" w:rsidP="005A7661">
            <w:pPr>
              <w:spacing w:after="0"/>
              <w:jc w:val="left"/>
              <w:rPr>
                <w:rFonts w:ascii="Aptos Narrow" w:hAnsi="Aptos Narrow" w:cs="Times New Roman"/>
                <w:b/>
                <w:bCs/>
                <w:i/>
                <w:iCs/>
                <w:color w:val="000000"/>
                <w:lang w:eastAsia="fr-FR"/>
              </w:rPr>
            </w:pPr>
            <w:r w:rsidRPr="008C6310">
              <w:rPr>
                <w:rFonts w:ascii="Aptos Narrow" w:hAnsi="Aptos Narrow" w:cs="Times New Roman"/>
                <w:b/>
                <w:bCs/>
                <w:i/>
                <w:iCs/>
                <w:color w:val="000000"/>
                <w:lang w:eastAsia="fr-FR"/>
              </w:rPr>
              <w:t>Rhinolophus ferrumequinum</w:t>
            </w:r>
          </w:p>
        </w:tc>
        <w:tc>
          <w:tcPr>
            <w:tcW w:w="863" w:type="pct"/>
            <w:tcBorders>
              <w:top w:val="single" w:sz="4" w:space="0" w:color="196B24"/>
              <w:left w:val="nil"/>
              <w:bottom w:val="nil"/>
              <w:right w:val="nil"/>
            </w:tcBorders>
            <w:vAlign w:val="center"/>
            <w:hideMark/>
          </w:tcPr>
          <w:p w14:paraId="767F8526" w14:textId="77777777" w:rsidR="00A554CF" w:rsidRPr="008C6310" w:rsidRDefault="00A554CF" w:rsidP="005A7661">
            <w:pPr>
              <w:spacing w:after="0"/>
              <w:jc w:val="left"/>
              <w:rPr>
                <w:rFonts w:ascii="Aptos Narrow" w:hAnsi="Aptos Narrow" w:cs="Times New Roman"/>
                <w:color w:val="000000"/>
                <w:lang w:eastAsia="fr-FR"/>
              </w:rPr>
            </w:pPr>
            <w:r w:rsidRPr="008C6310">
              <w:rPr>
                <w:rFonts w:ascii="Aptos Narrow" w:hAnsi="Aptos Narrow" w:cs="Times New Roman"/>
                <w:color w:val="000000"/>
                <w:lang w:eastAsia="fr-FR"/>
              </w:rPr>
              <w:t>Gd rhinolophe fer à cheval</w:t>
            </w:r>
          </w:p>
        </w:tc>
        <w:tc>
          <w:tcPr>
            <w:tcW w:w="594" w:type="pct"/>
            <w:tcBorders>
              <w:top w:val="single" w:sz="4" w:space="0" w:color="196B24"/>
              <w:left w:val="nil"/>
              <w:bottom w:val="nil"/>
              <w:right w:val="nil"/>
            </w:tcBorders>
            <w:vAlign w:val="center"/>
            <w:hideMark/>
          </w:tcPr>
          <w:p w14:paraId="1523ECD5" w14:textId="77777777" w:rsidR="00A554CF" w:rsidRPr="008C6310" w:rsidRDefault="00A554CF" w:rsidP="005A7661">
            <w:pPr>
              <w:spacing w:after="0"/>
              <w:jc w:val="right"/>
              <w:rPr>
                <w:rFonts w:ascii="Aptos Narrow" w:hAnsi="Aptos Narrow" w:cs="Times New Roman"/>
                <w:color w:val="000000"/>
                <w:lang w:eastAsia="fr-FR"/>
              </w:rPr>
            </w:pPr>
            <w:r w:rsidRPr="008C6310">
              <w:rPr>
                <w:rFonts w:ascii="Aptos Narrow" w:hAnsi="Aptos Narrow" w:cs="Times New Roman"/>
                <w:color w:val="000000"/>
                <w:lang w:eastAsia="fr-FR"/>
              </w:rPr>
              <w:t>Non signalé</w:t>
            </w:r>
          </w:p>
        </w:tc>
        <w:tc>
          <w:tcPr>
            <w:tcW w:w="724" w:type="pct"/>
            <w:tcBorders>
              <w:top w:val="single" w:sz="4" w:space="0" w:color="196B24"/>
              <w:left w:val="nil"/>
              <w:bottom w:val="nil"/>
              <w:right w:val="nil"/>
            </w:tcBorders>
            <w:vAlign w:val="center"/>
            <w:hideMark/>
          </w:tcPr>
          <w:p w14:paraId="1E415BC2" w14:textId="77777777" w:rsidR="00A554CF" w:rsidRPr="008C6310" w:rsidRDefault="00A554CF" w:rsidP="005A7661">
            <w:pPr>
              <w:spacing w:after="0"/>
              <w:jc w:val="right"/>
              <w:rPr>
                <w:rFonts w:ascii="Aptos Narrow" w:hAnsi="Aptos Narrow" w:cs="Times New Roman"/>
                <w:color w:val="000000"/>
                <w:lang w:eastAsia="fr-FR"/>
              </w:rPr>
            </w:pPr>
            <w:r w:rsidRPr="008C6310">
              <w:rPr>
                <w:rFonts w:ascii="Aptos Narrow" w:hAnsi="Aptos Narrow" w:cs="Times New Roman"/>
                <w:color w:val="000000"/>
                <w:lang w:eastAsia="fr-FR"/>
              </w:rPr>
              <w:t>Potentielle</w:t>
            </w:r>
          </w:p>
        </w:tc>
        <w:tc>
          <w:tcPr>
            <w:tcW w:w="850" w:type="pct"/>
            <w:tcBorders>
              <w:top w:val="single" w:sz="4" w:space="0" w:color="196B24"/>
              <w:left w:val="nil"/>
              <w:bottom w:val="nil"/>
              <w:right w:val="nil"/>
            </w:tcBorders>
            <w:vAlign w:val="center"/>
            <w:hideMark/>
          </w:tcPr>
          <w:p w14:paraId="4C69D3AE" w14:textId="77777777" w:rsidR="00A554CF" w:rsidRPr="008C6310" w:rsidRDefault="00A554CF" w:rsidP="005A7661">
            <w:pPr>
              <w:spacing w:after="0"/>
              <w:jc w:val="left"/>
              <w:rPr>
                <w:rFonts w:ascii="Aptos Narrow" w:hAnsi="Aptos Narrow" w:cs="Times New Roman"/>
                <w:color w:val="000000"/>
                <w:lang w:eastAsia="fr-FR"/>
              </w:rPr>
            </w:pPr>
            <w:r w:rsidRPr="008C6310">
              <w:rPr>
                <w:rFonts w:ascii="Aptos Narrow" w:hAnsi="Aptos Narrow" w:cs="Times New Roman"/>
                <w:color w:val="000000"/>
                <w:lang w:eastAsia="fr-FR"/>
              </w:rPr>
              <w:t>LC</w:t>
            </w:r>
          </w:p>
        </w:tc>
        <w:tc>
          <w:tcPr>
            <w:tcW w:w="506" w:type="pct"/>
            <w:tcBorders>
              <w:top w:val="single" w:sz="4" w:space="0" w:color="196B24"/>
              <w:left w:val="nil"/>
              <w:bottom w:val="nil"/>
              <w:right w:val="nil"/>
            </w:tcBorders>
            <w:vAlign w:val="center"/>
            <w:hideMark/>
          </w:tcPr>
          <w:p w14:paraId="12EA8884" w14:textId="77777777" w:rsidR="00A554CF" w:rsidRPr="008C6310" w:rsidRDefault="00A554CF" w:rsidP="005A7661">
            <w:pPr>
              <w:spacing w:after="0"/>
              <w:jc w:val="left"/>
              <w:rPr>
                <w:rFonts w:ascii="Aptos Narrow" w:hAnsi="Aptos Narrow" w:cs="Times New Roman"/>
                <w:b/>
                <w:bCs/>
                <w:color w:val="000000"/>
                <w:lang w:eastAsia="fr-FR"/>
              </w:rPr>
            </w:pPr>
            <w:r w:rsidRPr="008C6310">
              <w:rPr>
                <w:rFonts w:ascii="Aptos Narrow" w:hAnsi="Aptos Narrow" w:cs="Times New Roman"/>
                <w:b/>
                <w:bCs/>
                <w:color w:val="000000"/>
                <w:lang w:eastAsia="fr-FR"/>
              </w:rPr>
              <w:t>Ann. II</w:t>
            </w:r>
          </w:p>
        </w:tc>
        <w:tc>
          <w:tcPr>
            <w:tcW w:w="599" w:type="pct"/>
            <w:tcBorders>
              <w:top w:val="single" w:sz="4" w:space="0" w:color="196B24"/>
              <w:left w:val="nil"/>
              <w:bottom w:val="nil"/>
              <w:right w:val="single" w:sz="4" w:space="0" w:color="196B24"/>
            </w:tcBorders>
            <w:vAlign w:val="center"/>
            <w:hideMark/>
          </w:tcPr>
          <w:p w14:paraId="4A83DC4F" w14:textId="77777777" w:rsidR="00A554CF" w:rsidRPr="008C6310" w:rsidRDefault="00A554CF" w:rsidP="005A7661">
            <w:pPr>
              <w:spacing w:after="0"/>
              <w:jc w:val="left"/>
              <w:rPr>
                <w:rFonts w:ascii="Aptos Narrow" w:hAnsi="Aptos Narrow" w:cs="Times New Roman"/>
                <w:b/>
                <w:bCs/>
                <w:color w:val="000000"/>
                <w:lang w:eastAsia="fr-FR"/>
              </w:rPr>
            </w:pPr>
            <w:r w:rsidRPr="008C6310">
              <w:rPr>
                <w:rFonts w:ascii="Aptos Narrow" w:hAnsi="Aptos Narrow" w:cs="Times New Roman"/>
                <w:b/>
                <w:bCs/>
                <w:color w:val="000000"/>
                <w:lang w:eastAsia="fr-FR"/>
              </w:rPr>
              <w:t>Cat. IV</w:t>
            </w:r>
          </w:p>
        </w:tc>
      </w:tr>
      <w:tr w:rsidR="00A554CF" w:rsidRPr="008C6310" w14:paraId="6736D038" w14:textId="77777777" w:rsidTr="00212CA0">
        <w:trPr>
          <w:trHeight w:val="288"/>
        </w:trPr>
        <w:tc>
          <w:tcPr>
            <w:tcW w:w="863" w:type="pct"/>
            <w:tcBorders>
              <w:top w:val="single" w:sz="4" w:space="0" w:color="196B24"/>
              <w:left w:val="single" w:sz="4" w:space="0" w:color="196B24"/>
              <w:bottom w:val="nil"/>
              <w:right w:val="nil"/>
            </w:tcBorders>
            <w:vAlign w:val="center"/>
            <w:hideMark/>
          </w:tcPr>
          <w:p w14:paraId="1F3B08A1" w14:textId="77777777" w:rsidR="00A554CF" w:rsidRPr="008C6310" w:rsidRDefault="00A554CF" w:rsidP="005A7661">
            <w:pPr>
              <w:spacing w:after="0"/>
              <w:jc w:val="left"/>
              <w:rPr>
                <w:rFonts w:ascii="Aptos Narrow" w:hAnsi="Aptos Narrow" w:cs="Times New Roman"/>
                <w:b/>
                <w:bCs/>
                <w:i/>
                <w:iCs/>
                <w:color w:val="000000"/>
                <w:lang w:eastAsia="fr-FR"/>
              </w:rPr>
            </w:pPr>
            <w:r w:rsidRPr="008C6310">
              <w:rPr>
                <w:rFonts w:ascii="Aptos Narrow" w:hAnsi="Aptos Narrow" w:cs="Times New Roman"/>
                <w:b/>
                <w:bCs/>
                <w:i/>
                <w:iCs/>
                <w:color w:val="000000"/>
                <w:lang w:eastAsia="fr-FR"/>
              </w:rPr>
              <w:lastRenderedPageBreak/>
              <w:t>Rhinolophus hipposideros</w:t>
            </w:r>
          </w:p>
        </w:tc>
        <w:tc>
          <w:tcPr>
            <w:tcW w:w="863" w:type="pct"/>
            <w:tcBorders>
              <w:top w:val="single" w:sz="4" w:space="0" w:color="196B24"/>
              <w:left w:val="nil"/>
              <w:bottom w:val="nil"/>
              <w:right w:val="nil"/>
            </w:tcBorders>
            <w:vAlign w:val="center"/>
            <w:hideMark/>
          </w:tcPr>
          <w:p w14:paraId="36C6D97D" w14:textId="77777777" w:rsidR="00A554CF" w:rsidRPr="008C6310" w:rsidRDefault="00A554CF" w:rsidP="005A7661">
            <w:pPr>
              <w:spacing w:after="0"/>
              <w:jc w:val="left"/>
              <w:rPr>
                <w:rFonts w:ascii="Aptos Narrow" w:hAnsi="Aptos Narrow" w:cs="Times New Roman"/>
                <w:color w:val="000000"/>
                <w:lang w:eastAsia="fr-FR"/>
              </w:rPr>
            </w:pPr>
            <w:r w:rsidRPr="008C6310">
              <w:rPr>
                <w:rFonts w:ascii="Aptos Narrow" w:hAnsi="Aptos Narrow" w:cs="Times New Roman"/>
                <w:color w:val="000000"/>
                <w:lang w:eastAsia="fr-FR"/>
              </w:rPr>
              <w:t>Pt rhinolophe fer à cheval</w:t>
            </w:r>
          </w:p>
        </w:tc>
        <w:tc>
          <w:tcPr>
            <w:tcW w:w="594" w:type="pct"/>
            <w:tcBorders>
              <w:top w:val="single" w:sz="4" w:space="0" w:color="196B24"/>
              <w:left w:val="nil"/>
              <w:bottom w:val="nil"/>
              <w:right w:val="nil"/>
            </w:tcBorders>
            <w:vAlign w:val="center"/>
            <w:hideMark/>
          </w:tcPr>
          <w:p w14:paraId="05925174" w14:textId="77777777" w:rsidR="00A554CF" w:rsidRPr="008C6310" w:rsidRDefault="00A554CF" w:rsidP="005A7661">
            <w:pPr>
              <w:spacing w:after="0"/>
              <w:jc w:val="right"/>
              <w:rPr>
                <w:rFonts w:ascii="Aptos Narrow" w:hAnsi="Aptos Narrow" w:cs="Times New Roman"/>
                <w:color w:val="000000"/>
                <w:lang w:eastAsia="fr-FR"/>
              </w:rPr>
            </w:pPr>
            <w:r w:rsidRPr="008C6310">
              <w:rPr>
                <w:rFonts w:ascii="Aptos Narrow" w:hAnsi="Aptos Narrow" w:cs="Times New Roman"/>
                <w:color w:val="000000"/>
                <w:lang w:eastAsia="fr-FR"/>
              </w:rPr>
              <w:t>Non signalé</w:t>
            </w:r>
          </w:p>
        </w:tc>
        <w:tc>
          <w:tcPr>
            <w:tcW w:w="724" w:type="pct"/>
            <w:tcBorders>
              <w:top w:val="single" w:sz="4" w:space="0" w:color="196B24"/>
              <w:left w:val="nil"/>
              <w:bottom w:val="nil"/>
              <w:right w:val="nil"/>
            </w:tcBorders>
            <w:vAlign w:val="center"/>
            <w:hideMark/>
          </w:tcPr>
          <w:p w14:paraId="594B75BA" w14:textId="77777777" w:rsidR="00A554CF" w:rsidRPr="008C6310" w:rsidRDefault="00A554CF" w:rsidP="005A7661">
            <w:pPr>
              <w:spacing w:after="0"/>
              <w:jc w:val="right"/>
              <w:rPr>
                <w:rFonts w:ascii="Aptos Narrow" w:hAnsi="Aptos Narrow" w:cs="Times New Roman"/>
                <w:color w:val="000000"/>
                <w:lang w:eastAsia="fr-FR"/>
              </w:rPr>
            </w:pPr>
            <w:r w:rsidRPr="008C6310">
              <w:rPr>
                <w:rFonts w:ascii="Aptos Narrow" w:hAnsi="Aptos Narrow" w:cs="Times New Roman"/>
                <w:color w:val="000000"/>
                <w:lang w:eastAsia="fr-FR"/>
              </w:rPr>
              <w:t>Potentielle</w:t>
            </w:r>
          </w:p>
        </w:tc>
        <w:tc>
          <w:tcPr>
            <w:tcW w:w="850" w:type="pct"/>
            <w:tcBorders>
              <w:top w:val="single" w:sz="4" w:space="0" w:color="196B24"/>
              <w:left w:val="nil"/>
              <w:bottom w:val="nil"/>
              <w:right w:val="nil"/>
            </w:tcBorders>
            <w:vAlign w:val="center"/>
            <w:hideMark/>
          </w:tcPr>
          <w:p w14:paraId="3EF04F51" w14:textId="77777777" w:rsidR="00A554CF" w:rsidRPr="008C6310" w:rsidRDefault="00A554CF" w:rsidP="005A7661">
            <w:pPr>
              <w:spacing w:after="0"/>
              <w:jc w:val="left"/>
              <w:rPr>
                <w:rFonts w:ascii="Aptos Narrow" w:hAnsi="Aptos Narrow" w:cs="Times New Roman"/>
                <w:color w:val="000000"/>
                <w:lang w:eastAsia="fr-FR"/>
              </w:rPr>
            </w:pPr>
            <w:r w:rsidRPr="008C6310">
              <w:rPr>
                <w:rFonts w:ascii="Aptos Narrow" w:hAnsi="Aptos Narrow" w:cs="Times New Roman"/>
                <w:color w:val="000000"/>
                <w:lang w:eastAsia="fr-FR"/>
              </w:rPr>
              <w:t>LC</w:t>
            </w:r>
          </w:p>
        </w:tc>
        <w:tc>
          <w:tcPr>
            <w:tcW w:w="506" w:type="pct"/>
            <w:tcBorders>
              <w:top w:val="single" w:sz="4" w:space="0" w:color="196B24"/>
              <w:left w:val="nil"/>
              <w:bottom w:val="nil"/>
              <w:right w:val="nil"/>
            </w:tcBorders>
            <w:vAlign w:val="center"/>
            <w:hideMark/>
          </w:tcPr>
          <w:p w14:paraId="241F9BBD" w14:textId="77777777" w:rsidR="00A554CF" w:rsidRPr="008C6310" w:rsidRDefault="00A554CF" w:rsidP="005A7661">
            <w:pPr>
              <w:spacing w:after="0"/>
              <w:jc w:val="left"/>
              <w:rPr>
                <w:rFonts w:ascii="Aptos Narrow" w:hAnsi="Aptos Narrow" w:cs="Times New Roman"/>
                <w:b/>
                <w:bCs/>
                <w:color w:val="000000"/>
                <w:lang w:eastAsia="fr-FR"/>
              </w:rPr>
            </w:pPr>
            <w:r w:rsidRPr="008C6310">
              <w:rPr>
                <w:rFonts w:ascii="Aptos Narrow" w:hAnsi="Aptos Narrow" w:cs="Times New Roman"/>
                <w:b/>
                <w:bCs/>
                <w:color w:val="000000"/>
                <w:lang w:eastAsia="fr-FR"/>
              </w:rPr>
              <w:t>Ann. II</w:t>
            </w:r>
          </w:p>
        </w:tc>
        <w:tc>
          <w:tcPr>
            <w:tcW w:w="599" w:type="pct"/>
            <w:tcBorders>
              <w:top w:val="single" w:sz="4" w:space="0" w:color="196B24"/>
              <w:left w:val="nil"/>
              <w:bottom w:val="nil"/>
              <w:right w:val="single" w:sz="4" w:space="0" w:color="196B24"/>
            </w:tcBorders>
            <w:vAlign w:val="center"/>
            <w:hideMark/>
          </w:tcPr>
          <w:p w14:paraId="6BA655CF" w14:textId="77777777" w:rsidR="00A554CF" w:rsidRPr="008C6310" w:rsidRDefault="00A554CF" w:rsidP="005A7661">
            <w:pPr>
              <w:spacing w:after="0"/>
              <w:jc w:val="left"/>
              <w:rPr>
                <w:rFonts w:ascii="Aptos Narrow" w:hAnsi="Aptos Narrow" w:cs="Times New Roman"/>
                <w:b/>
                <w:bCs/>
                <w:color w:val="000000"/>
                <w:lang w:eastAsia="fr-FR"/>
              </w:rPr>
            </w:pPr>
            <w:r w:rsidRPr="008C6310">
              <w:rPr>
                <w:rFonts w:ascii="Aptos Narrow" w:hAnsi="Aptos Narrow" w:cs="Times New Roman"/>
                <w:b/>
                <w:bCs/>
                <w:color w:val="000000"/>
                <w:lang w:eastAsia="fr-FR"/>
              </w:rPr>
              <w:t>Cat. IV</w:t>
            </w:r>
          </w:p>
        </w:tc>
      </w:tr>
      <w:tr w:rsidR="00A554CF" w:rsidRPr="008C6310" w14:paraId="4AB3F5DC" w14:textId="77777777" w:rsidTr="00212CA0">
        <w:trPr>
          <w:trHeight w:val="288"/>
        </w:trPr>
        <w:tc>
          <w:tcPr>
            <w:tcW w:w="863" w:type="pct"/>
            <w:tcBorders>
              <w:top w:val="single" w:sz="4" w:space="0" w:color="196B24"/>
              <w:left w:val="single" w:sz="4" w:space="0" w:color="196B24"/>
              <w:bottom w:val="nil"/>
              <w:right w:val="nil"/>
            </w:tcBorders>
            <w:vAlign w:val="center"/>
            <w:hideMark/>
          </w:tcPr>
          <w:p w14:paraId="3CDEF572" w14:textId="77777777" w:rsidR="00A554CF" w:rsidRPr="008C6310" w:rsidRDefault="00A554CF" w:rsidP="005A7661">
            <w:pPr>
              <w:spacing w:after="0"/>
              <w:jc w:val="left"/>
              <w:rPr>
                <w:rFonts w:ascii="Aptos Narrow" w:hAnsi="Aptos Narrow" w:cs="Times New Roman"/>
                <w:b/>
                <w:bCs/>
                <w:i/>
                <w:iCs/>
                <w:color w:val="000000"/>
                <w:lang w:eastAsia="fr-FR"/>
              </w:rPr>
            </w:pPr>
            <w:r w:rsidRPr="008C6310">
              <w:rPr>
                <w:rFonts w:ascii="Aptos Narrow" w:hAnsi="Aptos Narrow" w:cs="Times New Roman"/>
                <w:b/>
                <w:bCs/>
                <w:i/>
                <w:iCs/>
                <w:color w:val="000000"/>
                <w:lang w:eastAsia="fr-FR"/>
              </w:rPr>
              <w:t>Rhinolophus euryale</w:t>
            </w:r>
          </w:p>
        </w:tc>
        <w:tc>
          <w:tcPr>
            <w:tcW w:w="863" w:type="pct"/>
            <w:tcBorders>
              <w:top w:val="single" w:sz="4" w:space="0" w:color="196B24"/>
              <w:left w:val="nil"/>
              <w:bottom w:val="nil"/>
              <w:right w:val="nil"/>
            </w:tcBorders>
            <w:vAlign w:val="center"/>
            <w:hideMark/>
          </w:tcPr>
          <w:p w14:paraId="507AEEFB" w14:textId="77777777" w:rsidR="00A554CF" w:rsidRPr="008C6310" w:rsidRDefault="00A554CF" w:rsidP="005A7661">
            <w:pPr>
              <w:spacing w:after="0"/>
              <w:jc w:val="left"/>
              <w:rPr>
                <w:rFonts w:ascii="Aptos Narrow" w:hAnsi="Aptos Narrow" w:cs="Times New Roman"/>
                <w:color w:val="000000"/>
                <w:lang w:eastAsia="fr-FR"/>
              </w:rPr>
            </w:pPr>
            <w:r w:rsidRPr="008C6310">
              <w:rPr>
                <w:rFonts w:ascii="Aptos Narrow" w:hAnsi="Aptos Narrow" w:cs="Times New Roman"/>
                <w:color w:val="000000"/>
                <w:lang w:eastAsia="fr-FR"/>
              </w:rPr>
              <w:t>Rhinolophe euryale</w:t>
            </w:r>
          </w:p>
        </w:tc>
        <w:tc>
          <w:tcPr>
            <w:tcW w:w="594" w:type="pct"/>
            <w:tcBorders>
              <w:top w:val="single" w:sz="4" w:space="0" w:color="196B24"/>
              <w:left w:val="nil"/>
              <w:bottom w:val="nil"/>
              <w:right w:val="nil"/>
            </w:tcBorders>
            <w:vAlign w:val="center"/>
            <w:hideMark/>
          </w:tcPr>
          <w:p w14:paraId="172EE17D" w14:textId="77777777" w:rsidR="00A554CF" w:rsidRPr="008C6310" w:rsidRDefault="00A554CF" w:rsidP="005A7661">
            <w:pPr>
              <w:spacing w:after="0"/>
              <w:jc w:val="right"/>
              <w:rPr>
                <w:rFonts w:ascii="Aptos Narrow" w:hAnsi="Aptos Narrow" w:cs="Times New Roman"/>
                <w:color w:val="000000"/>
                <w:lang w:eastAsia="fr-FR"/>
              </w:rPr>
            </w:pPr>
            <w:r w:rsidRPr="008C6310">
              <w:rPr>
                <w:rFonts w:ascii="Aptos Narrow" w:hAnsi="Aptos Narrow" w:cs="Times New Roman"/>
                <w:color w:val="000000"/>
                <w:lang w:eastAsia="fr-FR"/>
              </w:rPr>
              <w:t>Non signalé</w:t>
            </w:r>
          </w:p>
        </w:tc>
        <w:tc>
          <w:tcPr>
            <w:tcW w:w="724" w:type="pct"/>
            <w:tcBorders>
              <w:top w:val="single" w:sz="4" w:space="0" w:color="196B24"/>
              <w:left w:val="nil"/>
              <w:bottom w:val="nil"/>
              <w:right w:val="nil"/>
            </w:tcBorders>
            <w:vAlign w:val="center"/>
            <w:hideMark/>
          </w:tcPr>
          <w:p w14:paraId="7C8D24C4" w14:textId="77777777" w:rsidR="00A554CF" w:rsidRPr="008C6310" w:rsidRDefault="00A554CF" w:rsidP="005A7661">
            <w:pPr>
              <w:spacing w:after="0"/>
              <w:jc w:val="right"/>
              <w:rPr>
                <w:rFonts w:ascii="Aptos Narrow" w:hAnsi="Aptos Narrow" w:cs="Times New Roman"/>
                <w:color w:val="000000"/>
                <w:lang w:eastAsia="fr-FR"/>
              </w:rPr>
            </w:pPr>
            <w:r w:rsidRPr="008C6310">
              <w:rPr>
                <w:rFonts w:ascii="Aptos Narrow" w:hAnsi="Aptos Narrow" w:cs="Times New Roman"/>
                <w:color w:val="000000"/>
                <w:lang w:eastAsia="fr-FR"/>
              </w:rPr>
              <w:t>Potentielle</w:t>
            </w:r>
          </w:p>
        </w:tc>
        <w:tc>
          <w:tcPr>
            <w:tcW w:w="850" w:type="pct"/>
            <w:tcBorders>
              <w:top w:val="single" w:sz="4" w:space="0" w:color="196B24"/>
              <w:left w:val="nil"/>
              <w:bottom w:val="nil"/>
              <w:right w:val="nil"/>
            </w:tcBorders>
            <w:vAlign w:val="center"/>
            <w:hideMark/>
          </w:tcPr>
          <w:p w14:paraId="4DC8616C" w14:textId="77777777" w:rsidR="00A554CF" w:rsidRPr="008C6310" w:rsidRDefault="00A554CF" w:rsidP="005A7661">
            <w:pPr>
              <w:spacing w:after="0"/>
              <w:jc w:val="left"/>
              <w:rPr>
                <w:rFonts w:ascii="Aptos Narrow" w:hAnsi="Aptos Narrow" w:cs="Times New Roman"/>
                <w:b/>
                <w:bCs/>
                <w:color w:val="000000"/>
                <w:lang w:eastAsia="fr-FR"/>
              </w:rPr>
            </w:pPr>
            <w:r w:rsidRPr="008C6310">
              <w:rPr>
                <w:rFonts w:ascii="Aptos Narrow" w:hAnsi="Aptos Narrow" w:cs="Times New Roman"/>
                <w:b/>
                <w:bCs/>
                <w:color w:val="000000"/>
                <w:lang w:eastAsia="fr-FR"/>
              </w:rPr>
              <w:t>NT</w:t>
            </w:r>
          </w:p>
        </w:tc>
        <w:tc>
          <w:tcPr>
            <w:tcW w:w="506" w:type="pct"/>
            <w:tcBorders>
              <w:top w:val="single" w:sz="4" w:space="0" w:color="196B24"/>
              <w:left w:val="nil"/>
              <w:bottom w:val="nil"/>
              <w:right w:val="nil"/>
            </w:tcBorders>
            <w:vAlign w:val="center"/>
            <w:hideMark/>
          </w:tcPr>
          <w:p w14:paraId="1B4E4D92" w14:textId="77777777" w:rsidR="00A554CF" w:rsidRPr="008C6310" w:rsidRDefault="00A554CF" w:rsidP="005A7661">
            <w:pPr>
              <w:spacing w:after="0"/>
              <w:jc w:val="left"/>
              <w:rPr>
                <w:rFonts w:ascii="Aptos Narrow" w:hAnsi="Aptos Narrow" w:cs="Times New Roman"/>
                <w:b/>
                <w:bCs/>
                <w:color w:val="000000"/>
                <w:lang w:eastAsia="fr-FR"/>
              </w:rPr>
            </w:pPr>
            <w:r w:rsidRPr="008C6310">
              <w:rPr>
                <w:rFonts w:ascii="Aptos Narrow" w:hAnsi="Aptos Narrow" w:cs="Times New Roman"/>
                <w:b/>
                <w:bCs/>
                <w:color w:val="000000"/>
                <w:lang w:eastAsia="fr-FR"/>
              </w:rPr>
              <w:t>Ann. II</w:t>
            </w:r>
          </w:p>
        </w:tc>
        <w:tc>
          <w:tcPr>
            <w:tcW w:w="599" w:type="pct"/>
            <w:tcBorders>
              <w:top w:val="single" w:sz="4" w:space="0" w:color="196B24"/>
              <w:left w:val="nil"/>
              <w:bottom w:val="nil"/>
              <w:right w:val="single" w:sz="4" w:space="0" w:color="196B24"/>
            </w:tcBorders>
            <w:vAlign w:val="center"/>
            <w:hideMark/>
          </w:tcPr>
          <w:p w14:paraId="26028BA5" w14:textId="77777777" w:rsidR="00A554CF" w:rsidRPr="008C6310" w:rsidRDefault="00A554CF" w:rsidP="005A7661">
            <w:pPr>
              <w:spacing w:after="0"/>
              <w:jc w:val="left"/>
              <w:rPr>
                <w:rFonts w:ascii="Aptos Narrow" w:hAnsi="Aptos Narrow" w:cs="Times New Roman"/>
                <w:b/>
                <w:bCs/>
                <w:color w:val="000000"/>
                <w:lang w:eastAsia="fr-FR"/>
              </w:rPr>
            </w:pPr>
            <w:r w:rsidRPr="008C6310">
              <w:rPr>
                <w:rFonts w:ascii="Aptos Narrow" w:hAnsi="Aptos Narrow" w:cs="Times New Roman"/>
                <w:b/>
                <w:bCs/>
                <w:color w:val="000000"/>
                <w:lang w:eastAsia="fr-FR"/>
              </w:rPr>
              <w:t>Cat. IV</w:t>
            </w:r>
          </w:p>
        </w:tc>
      </w:tr>
      <w:tr w:rsidR="00A554CF" w:rsidRPr="008C6310" w14:paraId="24FF1927" w14:textId="77777777" w:rsidTr="00212CA0">
        <w:trPr>
          <w:trHeight w:val="288"/>
        </w:trPr>
        <w:tc>
          <w:tcPr>
            <w:tcW w:w="863" w:type="pct"/>
            <w:tcBorders>
              <w:top w:val="single" w:sz="4" w:space="0" w:color="196B24"/>
              <w:left w:val="single" w:sz="4" w:space="0" w:color="196B24"/>
              <w:bottom w:val="single" w:sz="4" w:space="0" w:color="196B24"/>
              <w:right w:val="nil"/>
            </w:tcBorders>
            <w:vAlign w:val="center"/>
            <w:hideMark/>
          </w:tcPr>
          <w:p w14:paraId="74EBC63F" w14:textId="77777777" w:rsidR="00A554CF" w:rsidRPr="008C6310" w:rsidRDefault="00A554CF" w:rsidP="005A7661">
            <w:pPr>
              <w:spacing w:after="0"/>
              <w:jc w:val="left"/>
              <w:rPr>
                <w:rFonts w:ascii="Aptos Narrow" w:hAnsi="Aptos Narrow" w:cs="Times New Roman"/>
                <w:b/>
                <w:bCs/>
                <w:i/>
                <w:iCs/>
                <w:color w:val="000000"/>
                <w:lang w:eastAsia="fr-FR"/>
              </w:rPr>
            </w:pPr>
            <w:r w:rsidRPr="008C6310">
              <w:rPr>
                <w:rFonts w:ascii="Aptos Narrow" w:hAnsi="Aptos Narrow" w:cs="Times New Roman"/>
                <w:b/>
                <w:bCs/>
                <w:i/>
                <w:iCs/>
                <w:color w:val="000000"/>
                <w:lang w:eastAsia="fr-FR"/>
              </w:rPr>
              <w:t>Miniopterus schreibersii</w:t>
            </w:r>
          </w:p>
        </w:tc>
        <w:tc>
          <w:tcPr>
            <w:tcW w:w="863" w:type="pct"/>
            <w:tcBorders>
              <w:top w:val="single" w:sz="4" w:space="0" w:color="196B24"/>
              <w:left w:val="nil"/>
              <w:bottom w:val="single" w:sz="4" w:space="0" w:color="196B24"/>
              <w:right w:val="nil"/>
            </w:tcBorders>
            <w:vAlign w:val="center"/>
            <w:hideMark/>
          </w:tcPr>
          <w:p w14:paraId="14214A1D" w14:textId="77777777" w:rsidR="00A554CF" w:rsidRPr="008C6310" w:rsidRDefault="00A554CF" w:rsidP="005A7661">
            <w:pPr>
              <w:spacing w:after="0"/>
              <w:jc w:val="left"/>
              <w:rPr>
                <w:rFonts w:ascii="Aptos Narrow" w:hAnsi="Aptos Narrow" w:cs="Times New Roman"/>
                <w:color w:val="000000"/>
                <w:lang w:eastAsia="fr-FR"/>
              </w:rPr>
            </w:pPr>
            <w:r w:rsidRPr="008C6310">
              <w:rPr>
                <w:rFonts w:ascii="Aptos Narrow" w:hAnsi="Aptos Narrow" w:cs="Times New Roman"/>
                <w:color w:val="000000"/>
                <w:lang w:eastAsia="fr-FR"/>
              </w:rPr>
              <w:t>Minioptère de Schreibers</w:t>
            </w:r>
          </w:p>
        </w:tc>
        <w:tc>
          <w:tcPr>
            <w:tcW w:w="594" w:type="pct"/>
            <w:tcBorders>
              <w:top w:val="single" w:sz="4" w:space="0" w:color="196B24"/>
              <w:left w:val="nil"/>
              <w:bottom w:val="single" w:sz="4" w:space="0" w:color="196B24"/>
              <w:right w:val="nil"/>
            </w:tcBorders>
            <w:vAlign w:val="center"/>
            <w:hideMark/>
          </w:tcPr>
          <w:p w14:paraId="5C24EB50" w14:textId="77777777" w:rsidR="00A554CF" w:rsidRPr="008C6310" w:rsidRDefault="00A554CF" w:rsidP="005A7661">
            <w:pPr>
              <w:spacing w:after="0"/>
              <w:jc w:val="right"/>
              <w:rPr>
                <w:rFonts w:ascii="Aptos Narrow" w:hAnsi="Aptos Narrow" w:cs="Times New Roman"/>
                <w:color w:val="000000"/>
                <w:lang w:eastAsia="fr-FR"/>
              </w:rPr>
            </w:pPr>
            <w:r w:rsidRPr="008C6310">
              <w:rPr>
                <w:rFonts w:ascii="Aptos Narrow" w:hAnsi="Aptos Narrow" w:cs="Times New Roman"/>
                <w:color w:val="000000"/>
                <w:lang w:eastAsia="fr-FR"/>
              </w:rPr>
              <w:t>Non signalé</w:t>
            </w:r>
          </w:p>
        </w:tc>
        <w:tc>
          <w:tcPr>
            <w:tcW w:w="724" w:type="pct"/>
            <w:tcBorders>
              <w:top w:val="single" w:sz="4" w:space="0" w:color="196B24"/>
              <w:left w:val="nil"/>
              <w:bottom w:val="single" w:sz="4" w:space="0" w:color="196B24"/>
              <w:right w:val="nil"/>
            </w:tcBorders>
            <w:vAlign w:val="center"/>
            <w:hideMark/>
          </w:tcPr>
          <w:p w14:paraId="0F643F6C" w14:textId="77777777" w:rsidR="00A554CF" w:rsidRPr="008C6310" w:rsidRDefault="00A554CF" w:rsidP="005A7661">
            <w:pPr>
              <w:spacing w:after="0"/>
              <w:jc w:val="right"/>
              <w:rPr>
                <w:rFonts w:ascii="Aptos Narrow" w:hAnsi="Aptos Narrow" w:cs="Times New Roman"/>
                <w:color w:val="000000"/>
                <w:lang w:eastAsia="fr-FR"/>
              </w:rPr>
            </w:pPr>
            <w:r w:rsidRPr="008C6310">
              <w:rPr>
                <w:rFonts w:ascii="Aptos Narrow" w:hAnsi="Aptos Narrow" w:cs="Times New Roman"/>
                <w:color w:val="000000"/>
                <w:lang w:eastAsia="fr-FR"/>
              </w:rPr>
              <w:t>Potentielle</w:t>
            </w:r>
          </w:p>
        </w:tc>
        <w:tc>
          <w:tcPr>
            <w:tcW w:w="850" w:type="pct"/>
            <w:tcBorders>
              <w:top w:val="single" w:sz="4" w:space="0" w:color="196B24"/>
              <w:left w:val="nil"/>
              <w:bottom w:val="single" w:sz="4" w:space="0" w:color="196B24"/>
              <w:right w:val="nil"/>
            </w:tcBorders>
            <w:vAlign w:val="center"/>
            <w:hideMark/>
          </w:tcPr>
          <w:p w14:paraId="13E1C02B" w14:textId="77777777" w:rsidR="00A554CF" w:rsidRPr="008C6310" w:rsidRDefault="00A554CF" w:rsidP="005A7661">
            <w:pPr>
              <w:spacing w:after="0"/>
              <w:jc w:val="left"/>
              <w:rPr>
                <w:rFonts w:ascii="Aptos Narrow" w:hAnsi="Aptos Narrow" w:cs="Times New Roman"/>
                <w:b/>
                <w:bCs/>
                <w:color w:val="000000"/>
                <w:lang w:eastAsia="fr-FR"/>
              </w:rPr>
            </w:pPr>
            <w:r w:rsidRPr="008C6310">
              <w:rPr>
                <w:rFonts w:ascii="Aptos Narrow" w:hAnsi="Aptos Narrow" w:cs="Times New Roman"/>
                <w:b/>
                <w:bCs/>
                <w:color w:val="000000"/>
                <w:lang w:eastAsia="fr-FR"/>
              </w:rPr>
              <w:t>NT</w:t>
            </w:r>
          </w:p>
        </w:tc>
        <w:tc>
          <w:tcPr>
            <w:tcW w:w="506" w:type="pct"/>
            <w:tcBorders>
              <w:top w:val="single" w:sz="4" w:space="0" w:color="196B24"/>
              <w:left w:val="nil"/>
              <w:bottom w:val="single" w:sz="4" w:space="0" w:color="196B24"/>
              <w:right w:val="nil"/>
            </w:tcBorders>
            <w:vAlign w:val="center"/>
            <w:hideMark/>
          </w:tcPr>
          <w:p w14:paraId="5695F25C" w14:textId="77777777" w:rsidR="00A554CF" w:rsidRPr="008C6310" w:rsidRDefault="00A554CF" w:rsidP="005A7661">
            <w:pPr>
              <w:spacing w:after="0"/>
              <w:jc w:val="left"/>
              <w:rPr>
                <w:rFonts w:ascii="Aptos Narrow" w:hAnsi="Aptos Narrow" w:cs="Times New Roman"/>
                <w:b/>
                <w:bCs/>
                <w:color w:val="000000"/>
                <w:lang w:eastAsia="fr-FR"/>
              </w:rPr>
            </w:pPr>
            <w:r w:rsidRPr="008C6310">
              <w:rPr>
                <w:rFonts w:ascii="Aptos Narrow" w:hAnsi="Aptos Narrow" w:cs="Times New Roman"/>
                <w:b/>
                <w:bCs/>
                <w:color w:val="000000"/>
                <w:lang w:eastAsia="fr-FR"/>
              </w:rPr>
              <w:t>Ann. II</w:t>
            </w:r>
          </w:p>
        </w:tc>
        <w:tc>
          <w:tcPr>
            <w:tcW w:w="599" w:type="pct"/>
            <w:tcBorders>
              <w:top w:val="single" w:sz="4" w:space="0" w:color="196B24"/>
              <w:left w:val="nil"/>
              <w:bottom w:val="single" w:sz="4" w:space="0" w:color="196B24"/>
              <w:right w:val="single" w:sz="4" w:space="0" w:color="196B24"/>
            </w:tcBorders>
            <w:vAlign w:val="center"/>
            <w:hideMark/>
          </w:tcPr>
          <w:p w14:paraId="517F8ADD" w14:textId="77777777" w:rsidR="00A554CF" w:rsidRPr="008C6310" w:rsidRDefault="00A554CF" w:rsidP="005A7661">
            <w:pPr>
              <w:spacing w:after="0"/>
              <w:jc w:val="left"/>
              <w:rPr>
                <w:rFonts w:ascii="Aptos Narrow" w:hAnsi="Aptos Narrow" w:cs="Times New Roman"/>
                <w:b/>
                <w:bCs/>
                <w:color w:val="000000"/>
                <w:lang w:eastAsia="fr-FR"/>
              </w:rPr>
            </w:pPr>
            <w:r w:rsidRPr="008C6310">
              <w:rPr>
                <w:rFonts w:ascii="Aptos Narrow" w:hAnsi="Aptos Narrow" w:cs="Times New Roman"/>
                <w:b/>
                <w:bCs/>
                <w:color w:val="000000"/>
                <w:lang w:eastAsia="fr-FR"/>
              </w:rPr>
              <w:t>Cat. IV</w:t>
            </w:r>
          </w:p>
        </w:tc>
      </w:tr>
    </w:tbl>
    <w:p w14:paraId="787C25AE" w14:textId="67A184BE" w:rsidR="00DA3A73" w:rsidRDefault="00212CA0" w:rsidP="00B4479D">
      <w:r w:rsidRPr="00652743">
        <w:t>Les pipistrelles communes (P. kuhlii, H. savii) et le molosse (T. teniotis) sont observés à proximité des secteurs arborés et des points d’eau artificiels ; l’aire élargie peut ponctuellement accueillir des rhinolophes et minioptères dans des gîtes adaptés (bâtis anciens, cavités, ouvrages), sans que cela n’ait été constaté sur la plateforme</w:t>
      </w:r>
      <w:r>
        <w:t>.</w:t>
      </w:r>
    </w:p>
    <w:p w14:paraId="7AA8076F" w14:textId="77777777" w:rsidR="005852A0" w:rsidRDefault="005852A0" w:rsidP="005852A0">
      <w:pPr>
        <w:rPr>
          <w:b/>
          <w:bCs/>
        </w:rPr>
      </w:pPr>
      <w:r w:rsidRPr="006C3F0A">
        <w:rPr>
          <w:b/>
          <w:bCs/>
        </w:rPr>
        <w:t>Contacts enregistrés</w:t>
      </w:r>
      <w:r>
        <w:rPr>
          <w:b/>
          <w:bCs/>
        </w:rPr>
        <w:t xml:space="preserve"> </w:t>
      </w:r>
    </w:p>
    <w:p w14:paraId="1B322F8D" w14:textId="77777777" w:rsidR="005852A0" w:rsidRPr="006C3F0A" w:rsidRDefault="005852A0" w:rsidP="005852A0">
      <w:r w:rsidRPr="006C3F0A">
        <w:t>Les sessions crépusculaires ont mis en évidence une activité faible à modérée, dominée par des espèces très communes et sans enjeu particulier dans ce contexte aéroportuaire :</w:t>
      </w:r>
    </w:p>
    <w:p w14:paraId="6F57025F" w14:textId="77777777" w:rsidR="005852A0" w:rsidRPr="006C3F0A" w:rsidRDefault="005852A0" w:rsidP="0001633E">
      <w:pPr>
        <w:pStyle w:val="Paragraphedeliste"/>
        <w:numPr>
          <w:ilvl w:val="0"/>
          <w:numId w:val="199"/>
        </w:numPr>
        <w:spacing w:line="240" w:lineRule="auto"/>
      </w:pPr>
      <w:r w:rsidRPr="006C3F0A">
        <w:t xml:space="preserve">Pipistrellus </w:t>
      </w:r>
      <w:r w:rsidRPr="006C3F0A">
        <w:rPr>
          <w:rFonts w:ascii="Tahoma" w:hAnsi="Tahoma"/>
          <w:szCs w:val="24"/>
          <w:lang w:eastAsia="en-GB"/>
        </w:rPr>
        <w:t>kuhlii:</w:t>
      </w:r>
      <w:r w:rsidRPr="006C3F0A">
        <w:rPr>
          <w:rFonts w:ascii="Tahoma" w:hAnsi="Tahoma"/>
          <w:b/>
          <w:bCs/>
          <w:szCs w:val="24"/>
          <w:lang w:eastAsia="en-GB"/>
        </w:rPr>
        <w:t xml:space="preserve"> </w:t>
      </w:r>
      <w:r w:rsidRPr="006C3F0A">
        <w:t>contacts répétés (chant de chasse rapide, séquences de 40–50 kHz typiques) le long des alignements arborés et à proximité de l’eau.</w:t>
      </w:r>
    </w:p>
    <w:p w14:paraId="7802E1A8" w14:textId="77777777" w:rsidR="005852A0" w:rsidRPr="006C3F0A" w:rsidRDefault="005852A0" w:rsidP="0001633E">
      <w:pPr>
        <w:pStyle w:val="Paragraphedeliste"/>
        <w:numPr>
          <w:ilvl w:val="0"/>
          <w:numId w:val="199"/>
        </w:numPr>
        <w:spacing w:line="240" w:lineRule="auto"/>
      </w:pPr>
      <w:r w:rsidRPr="006C3F0A">
        <w:t xml:space="preserve">Hypsugo </w:t>
      </w:r>
      <w:r w:rsidRPr="006C3F0A">
        <w:rPr>
          <w:rFonts w:ascii="Tahoma" w:hAnsi="Tahoma"/>
          <w:szCs w:val="24"/>
          <w:lang w:eastAsia="en-GB"/>
        </w:rPr>
        <w:t>savii:</w:t>
      </w:r>
      <w:r w:rsidRPr="006C3F0A">
        <w:rPr>
          <w:rFonts w:ascii="Tahoma" w:hAnsi="Tahoma"/>
          <w:b/>
          <w:bCs/>
          <w:szCs w:val="24"/>
          <w:lang w:eastAsia="en-GB"/>
        </w:rPr>
        <w:t xml:space="preserve"> </w:t>
      </w:r>
      <w:r w:rsidRPr="006C3F0A">
        <w:t>contacts ponctuels (bandes plus hautes et irrégulières) sur les mêmes secteurs.</w:t>
      </w:r>
    </w:p>
    <w:p w14:paraId="2197E0A5" w14:textId="77777777" w:rsidR="005852A0" w:rsidRPr="006C3F0A" w:rsidRDefault="005852A0" w:rsidP="0001633E">
      <w:pPr>
        <w:pStyle w:val="Paragraphedeliste"/>
        <w:numPr>
          <w:ilvl w:val="0"/>
          <w:numId w:val="199"/>
        </w:numPr>
        <w:spacing w:line="240" w:lineRule="auto"/>
      </w:pPr>
      <w:r w:rsidRPr="006C3F0A">
        <w:t xml:space="preserve">Tadarida </w:t>
      </w:r>
      <w:r w:rsidRPr="006C3F0A">
        <w:rPr>
          <w:rFonts w:ascii="Tahoma" w:hAnsi="Tahoma"/>
          <w:szCs w:val="24"/>
          <w:lang w:eastAsia="en-GB"/>
        </w:rPr>
        <w:t>teniotis:</w:t>
      </w:r>
      <w:r w:rsidRPr="006C3F0A">
        <w:rPr>
          <w:rFonts w:ascii="Tahoma" w:hAnsi="Tahoma"/>
          <w:b/>
          <w:bCs/>
          <w:szCs w:val="24"/>
          <w:lang w:eastAsia="en-GB"/>
        </w:rPr>
        <w:t xml:space="preserve"> </w:t>
      </w:r>
      <w:r w:rsidRPr="006C3F0A">
        <w:t>survols à grande hauteur (contacts larges bande, vitesse élevée), essentiellement en transit au-dessus des emprises et voies éclairées.</w:t>
      </w:r>
    </w:p>
    <w:p w14:paraId="5A91E219" w14:textId="77777777" w:rsidR="005852A0" w:rsidRPr="006C3F0A" w:rsidRDefault="005852A0" w:rsidP="005852A0">
      <w:r w:rsidRPr="006C3F0A">
        <w:t>Aucun signalement direct de rhinolophes ou de minioptères n’a été confirmé lors des enregistrements réalisés, ce qui reste cohérent avec l’urbanisation du proche environnement immédiat et l’absence de gîtes favorables à l’intérieur de l’emprise. Leur présence régionale demeure possible dans la ZEE, notamment en périphérie (bâtis anciens/cavités), sans incidence notable sur les composantes du projet.</w:t>
      </w:r>
    </w:p>
    <w:p w14:paraId="299BAFDA" w14:textId="77777777" w:rsidR="005852A0" w:rsidRPr="004A4703" w:rsidRDefault="005852A0" w:rsidP="005852A0">
      <w:pPr>
        <w:rPr>
          <w:b/>
          <w:bCs/>
        </w:rPr>
      </w:pPr>
      <w:r w:rsidRPr="004A4703">
        <w:rPr>
          <w:b/>
          <w:bCs/>
        </w:rPr>
        <w:t>Évaluation de la patrimonialité</w:t>
      </w:r>
      <w:r>
        <w:rPr>
          <w:b/>
          <w:bCs/>
        </w:rPr>
        <w:t> :</w:t>
      </w:r>
    </w:p>
    <w:p w14:paraId="3924BE75" w14:textId="6B534BD5" w:rsidR="00212CA0" w:rsidRDefault="005852A0" w:rsidP="005852A0">
      <w:r w:rsidRPr="005745F4">
        <w:t>La patrimonialité des chiroptères recensés/attendus à 13 km est globalement modérée : la majorité des espèces observées sont LC et très communes en contexte urbain-aride (pipistrelles, molosse). Des espèces plus sensibles au niveau régional (NT : R. euryale, M. schreibersii) restent possibles en périphérie sans présence confirmée sur la plateforme. Toutes les espèces de chauves-souris sont strictement protégées (Berne Ann. II, Loi 29-05 Cat. IV)</w:t>
      </w:r>
      <w:r>
        <w:t>.</w:t>
      </w:r>
    </w:p>
    <w:p w14:paraId="2F020FC5" w14:textId="2FC1EA8F" w:rsidR="00DA59D3" w:rsidRDefault="005852A0" w:rsidP="00DA59D3">
      <w:pPr>
        <w:pStyle w:val="Title3"/>
      </w:pPr>
      <w:bookmarkStart w:id="307" w:name="_Toc215131857"/>
      <w:r>
        <w:t>Herpétofaune</w:t>
      </w:r>
      <w:bookmarkEnd w:id="307"/>
    </w:p>
    <w:p w14:paraId="7ACFE4F4" w14:textId="536DCB46" w:rsidR="007A4251" w:rsidRDefault="00E41CCF" w:rsidP="007A4251">
      <w:r w:rsidRPr="005954D8">
        <w:t>Un criblage à 13 km autour de la plateforme a été réalisé afin d’identifier les espèces présentes ou très probables en contexte urbain–agro-périurbain irrigué. Les constats reposent sur des observations directes (reptiles visibles sur murets/talus), des vérifications sous pierres (avec remise en place systématique) et des recherches en zones humides/points d’eau (amphibiens)</w:t>
      </w:r>
      <w:r>
        <w:t>.</w:t>
      </w:r>
    </w:p>
    <w:tbl>
      <w:tblPr>
        <w:tblW w:w="5000" w:type="pct"/>
        <w:tblCellMar>
          <w:left w:w="70" w:type="dxa"/>
          <w:right w:w="70" w:type="dxa"/>
        </w:tblCellMar>
        <w:tblLook w:val="04A0" w:firstRow="1" w:lastRow="0" w:firstColumn="1" w:lastColumn="0" w:noHBand="0" w:noVBand="1"/>
      </w:tblPr>
      <w:tblGrid>
        <w:gridCol w:w="990"/>
        <w:gridCol w:w="1609"/>
        <w:gridCol w:w="1069"/>
        <w:gridCol w:w="959"/>
        <w:gridCol w:w="1748"/>
        <w:gridCol w:w="579"/>
        <w:gridCol w:w="650"/>
        <w:gridCol w:w="789"/>
        <w:gridCol w:w="669"/>
      </w:tblGrid>
      <w:tr w:rsidR="005E7B5F" w:rsidRPr="00AD2980" w14:paraId="3FDCB487" w14:textId="77777777" w:rsidTr="005A7661">
        <w:trPr>
          <w:trHeight w:val="288"/>
          <w:tblHeader/>
        </w:trPr>
        <w:tc>
          <w:tcPr>
            <w:tcW w:w="562" w:type="pct"/>
            <w:tcBorders>
              <w:top w:val="single" w:sz="4" w:space="0" w:color="196B24"/>
              <w:left w:val="single" w:sz="4" w:space="0" w:color="196B24"/>
              <w:bottom w:val="nil"/>
              <w:right w:val="nil"/>
            </w:tcBorders>
            <w:shd w:val="clear" w:color="196B24" w:fill="196B24"/>
            <w:vAlign w:val="center"/>
            <w:hideMark/>
          </w:tcPr>
          <w:p w14:paraId="3CDF465D" w14:textId="77777777" w:rsidR="005E7B5F" w:rsidRPr="00AD2980" w:rsidRDefault="005E7B5F" w:rsidP="005A7661">
            <w:pPr>
              <w:spacing w:after="0"/>
              <w:jc w:val="center"/>
              <w:rPr>
                <w:rFonts w:ascii="Aptos Narrow" w:hAnsi="Aptos Narrow" w:cs="Times New Roman"/>
                <w:b/>
                <w:bCs/>
                <w:color w:val="FFFFFF"/>
                <w:lang w:eastAsia="fr-FR"/>
              </w:rPr>
            </w:pPr>
            <w:r w:rsidRPr="00AD2980">
              <w:rPr>
                <w:rFonts w:ascii="Aptos Narrow" w:hAnsi="Aptos Narrow" w:cs="Times New Roman"/>
                <w:b/>
                <w:bCs/>
                <w:color w:val="FFFFFF"/>
                <w:lang w:eastAsia="fr-FR"/>
              </w:rPr>
              <w:lastRenderedPageBreak/>
              <w:t>Groupe</w:t>
            </w:r>
          </w:p>
        </w:tc>
        <w:tc>
          <w:tcPr>
            <w:tcW w:w="870" w:type="pct"/>
            <w:tcBorders>
              <w:top w:val="single" w:sz="4" w:space="0" w:color="196B24"/>
              <w:left w:val="nil"/>
              <w:bottom w:val="nil"/>
              <w:right w:val="nil"/>
            </w:tcBorders>
            <w:shd w:val="clear" w:color="196B24" w:fill="196B24"/>
            <w:vAlign w:val="center"/>
            <w:hideMark/>
          </w:tcPr>
          <w:p w14:paraId="5C9B4050" w14:textId="77777777" w:rsidR="005E7B5F" w:rsidRPr="00AD2980" w:rsidRDefault="005E7B5F" w:rsidP="005A7661">
            <w:pPr>
              <w:spacing w:after="0"/>
              <w:jc w:val="center"/>
              <w:rPr>
                <w:rFonts w:ascii="Aptos Narrow" w:hAnsi="Aptos Narrow" w:cs="Times New Roman"/>
                <w:b/>
                <w:bCs/>
                <w:color w:val="FFFFFF"/>
                <w:lang w:eastAsia="fr-FR"/>
              </w:rPr>
            </w:pPr>
            <w:r w:rsidRPr="00AD2980">
              <w:rPr>
                <w:rFonts w:ascii="Aptos Narrow" w:hAnsi="Aptos Narrow" w:cs="Times New Roman"/>
                <w:b/>
                <w:bCs/>
                <w:color w:val="FFFFFF"/>
                <w:lang w:eastAsia="fr-FR"/>
              </w:rPr>
              <w:t>Espèce (nom scientifique)</w:t>
            </w:r>
          </w:p>
        </w:tc>
        <w:tc>
          <w:tcPr>
            <w:tcW w:w="616" w:type="pct"/>
            <w:tcBorders>
              <w:top w:val="single" w:sz="4" w:space="0" w:color="196B24"/>
              <w:left w:val="nil"/>
              <w:bottom w:val="nil"/>
              <w:right w:val="nil"/>
            </w:tcBorders>
            <w:shd w:val="clear" w:color="196B24" w:fill="196B24"/>
            <w:vAlign w:val="center"/>
            <w:hideMark/>
          </w:tcPr>
          <w:p w14:paraId="4AFF37CB" w14:textId="77777777" w:rsidR="005E7B5F" w:rsidRPr="00AD2980" w:rsidRDefault="005E7B5F" w:rsidP="005A7661">
            <w:pPr>
              <w:spacing w:after="0"/>
              <w:jc w:val="center"/>
              <w:rPr>
                <w:rFonts w:ascii="Aptos Narrow" w:hAnsi="Aptos Narrow" w:cs="Times New Roman"/>
                <w:b/>
                <w:bCs/>
                <w:color w:val="FFFFFF"/>
                <w:lang w:eastAsia="fr-FR"/>
              </w:rPr>
            </w:pPr>
            <w:r w:rsidRPr="00AD2980">
              <w:rPr>
                <w:rFonts w:ascii="Aptos Narrow" w:hAnsi="Aptos Narrow" w:cs="Times New Roman"/>
                <w:b/>
                <w:bCs/>
                <w:color w:val="FFFFFF"/>
                <w:lang w:eastAsia="fr-FR"/>
              </w:rPr>
              <w:t>Nom commun</w:t>
            </w:r>
          </w:p>
        </w:tc>
        <w:tc>
          <w:tcPr>
            <w:tcW w:w="525" w:type="pct"/>
            <w:tcBorders>
              <w:top w:val="single" w:sz="4" w:space="0" w:color="196B24"/>
              <w:left w:val="nil"/>
              <w:bottom w:val="nil"/>
              <w:right w:val="nil"/>
            </w:tcBorders>
            <w:shd w:val="clear" w:color="196B24" w:fill="196B24"/>
            <w:vAlign w:val="center"/>
            <w:hideMark/>
          </w:tcPr>
          <w:p w14:paraId="3C0C54D1" w14:textId="77777777" w:rsidR="005E7B5F" w:rsidRPr="00AD2980" w:rsidRDefault="005E7B5F" w:rsidP="005A7661">
            <w:pPr>
              <w:spacing w:after="0"/>
              <w:jc w:val="right"/>
              <w:rPr>
                <w:rFonts w:ascii="Aptos Narrow" w:hAnsi="Aptos Narrow" w:cs="Times New Roman"/>
                <w:b/>
                <w:bCs/>
                <w:color w:val="FFFFFF"/>
                <w:lang w:eastAsia="fr-FR"/>
              </w:rPr>
            </w:pPr>
            <w:r w:rsidRPr="00AD2980">
              <w:rPr>
                <w:rFonts w:ascii="Aptos Narrow" w:hAnsi="Aptos Narrow" w:cs="Times New Roman"/>
                <w:b/>
                <w:bCs/>
                <w:color w:val="FFFFFF"/>
                <w:lang w:eastAsia="fr-FR"/>
              </w:rPr>
              <w:t>Dans ZA</w:t>
            </w:r>
          </w:p>
        </w:tc>
        <w:tc>
          <w:tcPr>
            <w:tcW w:w="965" w:type="pct"/>
            <w:tcBorders>
              <w:top w:val="single" w:sz="4" w:space="0" w:color="196B24"/>
              <w:left w:val="nil"/>
              <w:bottom w:val="nil"/>
              <w:right w:val="nil"/>
            </w:tcBorders>
            <w:shd w:val="clear" w:color="196B24" w:fill="196B24"/>
            <w:vAlign w:val="center"/>
            <w:hideMark/>
          </w:tcPr>
          <w:p w14:paraId="401EA93F" w14:textId="77777777" w:rsidR="005E7B5F" w:rsidRPr="00AD2980" w:rsidRDefault="005E7B5F" w:rsidP="005A7661">
            <w:pPr>
              <w:spacing w:after="0"/>
              <w:jc w:val="right"/>
              <w:rPr>
                <w:rFonts w:ascii="Aptos Narrow" w:hAnsi="Aptos Narrow" w:cs="Times New Roman"/>
                <w:b/>
                <w:bCs/>
                <w:color w:val="FFFFFF"/>
                <w:lang w:eastAsia="fr-FR"/>
              </w:rPr>
            </w:pPr>
            <w:r w:rsidRPr="00AD2980">
              <w:rPr>
                <w:rFonts w:ascii="Aptos Narrow" w:hAnsi="Aptos Narrow" w:cs="Times New Roman"/>
                <w:b/>
                <w:bCs/>
                <w:color w:val="FFFFFF"/>
                <w:lang w:eastAsia="fr-FR"/>
              </w:rPr>
              <w:t>ZEE 13 km</w:t>
            </w:r>
          </w:p>
        </w:tc>
        <w:tc>
          <w:tcPr>
            <w:tcW w:w="323" w:type="pct"/>
            <w:tcBorders>
              <w:top w:val="single" w:sz="4" w:space="0" w:color="196B24"/>
              <w:left w:val="nil"/>
              <w:bottom w:val="nil"/>
              <w:right w:val="nil"/>
            </w:tcBorders>
            <w:shd w:val="clear" w:color="196B24" w:fill="196B24"/>
            <w:vAlign w:val="center"/>
            <w:hideMark/>
          </w:tcPr>
          <w:p w14:paraId="734FAF20" w14:textId="77777777" w:rsidR="005E7B5F" w:rsidRPr="00AD2980" w:rsidRDefault="005E7B5F" w:rsidP="005A7661">
            <w:pPr>
              <w:spacing w:after="0"/>
              <w:jc w:val="center"/>
              <w:rPr>
                <w:rFonts w:ascii="Aptos Narrow" w:hAnsi="Aptos Narrow" w:cs="Times New Roman"/>
                <w:b/>
                <w:bCs/>
                <w:color w:val="FFFFFF"/>
                <w:lang w:eastAsia="fr-FR"/>
              </w:rPr>
            </w:pPr>
            <w:r w:rsidRPr="00AD2980">
              <w:rPr>
                <w:rFonts w:ascii="Aptos Narrow" w:hAnsi="Aptos Narrow" w:cs="Times New Roman"/>
                <w:b/>
                <w:bCs/>
                <w:color w:val="FFFFFF"/>
                <w:lang w:eastAsia="fr-FR"/>
              </w:rPr>
              <w:t>UICN</w:t>
            </w:r>
          </w:p>
        </w:tc>
        <w:tc>
          <w:tcPr>
            <w:tcW w:w="352" w:type="pct"/>
            <w:tcBorders>
              <w:top w:val="single" w:sz="4" w:space="0" w:color="196B24"/>
              <w:left w:val="nil"/>
              <w:bottom w:val="nil"/>
              <w:right w:val="nil"/>
            </w:tcBorders>
            <w:shd w:val="clear" w:color="196B24" w:fill="196B24"/>
            <w:vAlign w:val="center"/>
            <w:hideMark/>
          </w:tcPr>
          <w:p w14:paraId="52FE4547" w14:textId="77777777" w:rsidR="005E7B5F" w:rsidRPr="00AD2980" w:rsidRDefault="005E7B5F" w:rsidP="005A7661">
            <w:pPr>
              <w:spacing w:after="0"/>
              <w:jc w:val="center"/>
              <w:rPr>
                <w:rFonts w:ascii="Aptos Narrow" w:hAnsi="Aptos Narrow" w:cs="Times New Roman"/>
                <w:b/>
                <w:bCs/>
                <w:color w:val="FFFFFF"/>
                <w:lang w:eastAsia="fr-FR"/>
              </w:rPr>
            </w:pPr>
            <w:r w:rsidRPr="00AD2980">
              <w:rPr>
                <w:rFonts w:ascii="Aptos Narrow" w:hAnsi="Aptos Narrow" w:cs="Times New Roman"/>
                <w:b/>
                <w:bCs/>
                <w:color w:val="FFFFFF"/>
                <w:lang w:eastAsia="fr-FR"/>
              </w:rPr>
              <w:t>Berne</w:t>
            </w:r>
          </w:p>
        </w:tc>
        <w:tc>
          <w:tcPr>
            <w:tcW w:w="439" w:type="pct"/>
            <w:tcBorders>
              <w:top w:val="single" w:sz="4" w:space="0" w:color="196B24"/>
              <w:left w:val="nil"/>
              <w:bottom w:val="nil"/>
              <w:right w:val="nil"/>
            </w:tcBorders>
            <w:shd w:val="clear" w:color="196B24" w:fill="196B24"/>
            <w:vAlign w:val="center"/>
            <w:hideMark/>
          </w:tcPr>
          <w:p w14:paraId="7FB488EF" w14:textId="77777777" w:rsidR="005E7B5F" w:rsidRPr="00AD2980" w:rsidRDefault="005E7B5F" w:rsidP="005A7661">
            <w:pPr>
              <w:spacing w:after="0"/>
              <w:jc w:val="center"/>
              <w:rPr>
                <w:rFonts w:ascii="Aptos Narrow" w:hAnsi="Aptos Narrow" w:cs="Times New Roman"/>
                <w:b/>
                <w:bCs/>
                <w:color w:val="FFFFFF"/>
                <w:lang w:eastAsia="fr-FR"/>
              </w:rPr>
            </w:pPr>
            <w:r w:rsidRPr="00AD2980">
              <w:rPr>
                <w:rFonts w:ascii="Aptos Narrow" w:hAnsi="Aptos Narrow" w:cs="Times New Roman"/>
                <w:b/>
                <w:bCs/>
                <w:color w:val="FFFFFF"/>
                <w:lang w:eastAsia="fr-FR"/>
              </w:rPr>
              <w:t>Loi 29-05 (Maroc)</w:t>
            </w:r>
          </w:p>
        </w:tc>
        <w:tc>
          <w:tcPr>
            <w:tcW w:w="349" w:type="pct"/>
            <w:tcBorders>
              <w:top w:val="single" w:sz="4" w:space="0" w:color="196B24"/>
              <w:left w:val="nil"/>
              <w:bottom w:val="nil"/>
              <w:right w:val="single" w:sz="4" w:space="0" w:color="196B24"/>
            </w:tcBorders>
            <w:shd w:val="clear" w:color="196B24" w:fill="196B24"/>
            <w:vAlign w:val="center"/>
            <w:hideMark/>
          </w:tcPr>
          <w:p w14:paraId="4BF6385A" w14:textId="77777777" w:rsidR="005E7B5F" w:rsidRPr="00AD2980" w:rsidRDefault="005E7B5F" w:rsidP="005A7661">
            <w:pPr>
              <w:spacing w:after="0"/>
              <w:jc w:val="center"/>
              <w:rPr>
                <w:rFonts w:ascii="Aptos Narrow" w:hAnsi="Aptos Narrow" w:cs="Times New Roman"/>
                <w:b/>
                <w:bCs/>
                <w:color w:val="FFFFFF"/>
                <w:lang w:eastAsia="fr-FR"/>
              </w:rPr>
            </w:pPr>
            <w:r w:rsidRPr="00AD2980">
              <w:rPr>
                <w:rFonts w:ascii="Aptos Narrow" w:hAnsi="Aptos Narrow" w:cs="Times New Roman"/>
                <w:b/>
                <w:bCs/>
                <w:color w:val="FFFFFF"/>
                <w:lang w:eastAsia="fr-FR"/>
              </w:rPr>
              <w:t>CITES</w:t>
            </w:r>
          </w:p>
        </w:tc>
      </w:tr>
      <w:tr w:rsidR="005E7B5F" w:rsidRPr="00AD2980" w14:paraId="5836BC85" w14:textId="77777777" w:rsidTr="005A7661">
        <w:trPr>
          <w:trHeight w:val="576"/>
        </w:trPr>
        <w:tc>
          <w:tcPr>
            <w:tcW w:w="562" w:type="pct"/>
            <w:tcBorders>
              <w:top w:val="single" w:sz="4" w:space="0" w:color="196B24"/>
              <w:left w:val="single" w:sz="4" w:space="0" w:color="196B24"/>
              <w:bottom w:val="nil"/>
              <w:right w:val="nil"/>
            </w:tcBorders>
            <w:vAlign w:val="center"/>
            <w:hideMark/>
          </w:tcPr>
          <w:p w14:paraId="11068519" w14:textId="77777777" w:rsidR="005E7B5F" w:rsidRPr="00AD2980" w:rsidRDefault="005E7B5F" w:rsidP="005A7661">
            <w:pPr>
              <w:spacing w:after="0"/>
              <w:jc w:val="left"/>
              <w:rPr>
                <w:rFonts w:ascii="Aptos Narrow" w:hAnsi="Aptos Narrow" w:cs="Times New Roman"/>
                <w:color w:val="000000"/>
                <w:lang w:eastAsia="fr-FR"/>
              </w:rPr>
            </w:pPr>
            <w:r w:rsidRPr="00AD2980">
              <w:rPr>
                <w:rFonts w:ascii="Aptos Narrow" w:hAnsi="Aptos Narrow" w:cs="Times New Roman"/>
                <w:color w:val="000000"/>
                <w:lang w:eastAsia="fr-FR"/>
              </w:rPr>
              <w:t>Reptile</w:t>
            </w:r>
          </w:p>
        </w:tc>
        <w:tc>
          <w:tcPr>
            <w:tcW w:w="870" w:type="pct"/>
            <w:tcBorders>
              <w:top w:val="single" w:sz="4" w:space="0" w:color="196B24"/>
              <w:left w:val="nil"/>
              <w:bottom w:val="nil"/>
              <w:right w:val="nil"/>
            </w:tcBorders>
            <w:vAlign w:val="center"/>
            <w:hideMark/>
          </w:tcPr>
          <w:p w14:paraId="422CD2B2" w14:textId="77777777" w:rsidR="005E7B5F" w:rsidRPr="00AD2980" w:rsidRDefault="005E7B5F" w:rsidP="005A7661">
            <w:pPr>
              <w:spacing w:after="0"/>
              <w:jc w:val="left"/>
              <w:rPr>
                <w:rFonts w:ascii="Aptos Narrow" w:hAnsi="Aptos Narrow" w:cs="Times New Roman"/>
                <w:b/>
                <w:bCs/>
                <w:i/>
                <w:iCs/>
                <w:color w:val="000000"/>
                <w:lang w:eastAsia="fr-FR"/>
              </w:rPr>
            </w:pPr>
            <w:r w:rsidRPr="00AD2980">
              <w:rPr>
                <w:rFonts w:ascii="Aptos Narrow" w:hAnsi="Aptos Narrow" w:cs="Times New Roman"/>
                <w:b/>
                <w:bCs/>
                <w:i/>
                <w:iCs/>
                <w:color w:val="000000"/>
                <w:lang w:eastAsia="fr-FR"/>
              </w:rPr>
              <w:t>Tarentola mauritanica</w:t>
            </w:r>
          </w:p>
        </w:tc>
        <w:tc>
          <w:tcPr>
            <w:tcW w:w="616" w:type="pct"/>
            <w:tcBorders>
              <w:top w:val="single" w:sz="4" w:space="0" w:color="196B24"/>
              <w:left w:val="nil"/>
              <w:bottom w:val="nil"/>
              <w:right w:val="nil"/>
            </w:tcBorders>
            <w:vAlign w:val="center"/>
            <w:hideMark/>
          </w:tcPr>
          <w:p w14:paraId="4C9BBC7F" w14:textId="77777777" w:rsidR="005E7B5F" w:rsidRPr="00AD2980" w:rsidRDefault="005E7B5F" w:rsidP="005A7661">
            <w:pPr>
              <w:spacing w:after="0"/>
              <w:jc w:val="left"/>
              <w:rPr>
                <w:rFonts w:ascii="Aptos Narrow" w:hAnsi="Aptos Narrow" w:cs="Times New Roman"/>
                <w:color w:val="000000"/>
                <w:lang w:eastAsia="fr-FR"/>
              </w:rPr>
            </w:pPr>
            <w:r w:rsidRPr="00AD2980">
              <w:rPr>
                <w:rFonts w:ascii="Aptos Narrow" w:hAnsi="Aptos Narrow" w:cs="Times New Roman"/>
                <w:color w:val="000000"/>
                <w:lang w:eastAsia="fr-FR"/>
              </w:rPr>
              <w:t>Tarente de Mauritanie</w:t>
            </w:r>
          </w:p>
        </w:tc>
        <w:tc>
          <w:tcPr>
            <w:tcW w:w="525" w:type="pct"/>
            <w:tcBorders>
              <w:top w:val="single" w:sz="4" w:space="0" w:color="196B24"/>
              <w:left w:val="nil"/>
              <w:bottom w:val="nil"/>
              <w:right w:val="nil"/>
            </w:tcBorders>
            <w:vAlign w:val="center"/>
            <w:hideMark/>
          </w:tcPr>
          <w:p w14:paraId="0D9B3912" w14:textId="77777777" w:rsidR="005E7B5F" w:rsidRPr="00AD2980" w:rsidRDefault="005E7B5F" w:rsidP="005A7661">
            <w:pPr>
              <w:spacing w:after="0"/>
              <w:jc w:val="right"/>
              <w:rPr>
                <w:rFonts w:ascii="Aptos Narrow" w:hAnsi="Aptos Narrow" w:cs="Times New Roman"/>
                <w:b/>
                <w:bCs/>
                <w:color w:val="000000"/>
                <w:lang w:eastAsia="fr-FR"/>
              </w:rPr>
            </w:pPr>
            <w:r w:rsidRPr="00AD2980">
              <w:rPr>
                <w:rFonts w:ascii="Aptos Narrow" w:hAnsi="Aptos Narrow" w:cs="Times New Roman"/>
                <w:b/>
                <w:bCs/>
                <w:color w:val="000000"/>
                <w:lang w:eastAsia="fr-FR"/>
              </w:rPr>
              <w:t>Localisée</w:t>
            </w:r>
            <w:r w:rsidRPr="00AD2980">
              <w:rPr>
                <w:rFonts w:ascii="Aptos Narrow" w:hAnsi="Aptos Narrow" w:cs="Times New Roman"/>
                <w:color w:val="000000"/>
                <w:lang w:eastAsia="fr-FR"/>
              </w:rPr>
              <w:t xml:space="preserve"> (bâtis)</w:t>
            </w:r>
          </w:p>
        </w:tc>
        <w:tc>
          <w:tcPr>
            <w:tcW w:w="965" w:type="pct"/>
            <w:tcBorders>
              <w:top w:val="single" w:sz="4" w:space="0" w:color="196B24"/>
              <w:left w:val="nil"/>
              <w:bottom w:val="nil"/>
              <w:right w:val="nil"/>
            </w:tcBorders>
            <w:vAlign w:val="center"/>
            <w:hideMark/>
          </w:tcPr>
          <w:p w14:paraId="16E90E5B" w14:textId="77777777" w:rsidR="005E7B5F" w:rsidRPr="00AD2980" w:rsidRDefault="005E7B5F" w:rsidP="005A7661">
            <w:pPr>
              <w:spacing w:after="0"/>
              <w:jc w:val="right"/>
              <w:rPr>
                <w:rFonts w:ascii="Aptos Narrow" w:hAnsi="Aptos Narrow" w:cs="Times New Roman"/>
                <w:color w:val="000000"/>
                <w:lang w:eastAsia="fr-FR"/>
              </w:rPr>
            </w:pPr>
            <w:r w:rsidRPr="00AD2980">
              <w:rPr>
                <w:rFonts w:ascii="Aptos Narrow" w:hAnsi="Aptos Narrow" w:cs="Times New Roman"/>
                <w:color w:val="000000"/>
                <w:lang w:eastAsia="fr-FR"/>
              </w:rPr>
              <w:t>Oui</w:t>
            </w:r>
          </w:p>
        </w:tc>
        <w:tc>
          <w:tcPr>
            <w:tcW w:w="323" w:type="pct"/>
            <w:tcBorders>
              <w:top w:val="single" w:sz="4" w:space="0" w:color="196B24"/>
              <w:left w:val="nil"/>
              <w:bottom w:val="nil"/>
              <w:right w:val="nil"/>
            </w:tcBorders>
            <w:vAlign w:val="center"/>
            <w:hideMark/>
          </w:tcPr>
          <w:p w14:paraId="05D86FFC" w14:textId="77777777" w:rsidR="005E7B5F" w:rsidRPr="00AD2980" w:rsidRDefault="005E7B5F" w:rsidP="005A7661">
            <w:pPr>
              <w:spacing w:after="0"/>
              <w:jc w:val="left"/>
              <w:rPr>
                <w:rFonts w:ascii="Aptos Narrow" w:hAnsi="Aptos Narrow" w:cs="Times New Roman"/>
                <w:color w:val="000000"/>
                <w:lang w:eastAsia="fr-FR"/>
              </w:rPr>
            </w:pPr>
            <w:r w:rsidRPr="00AD2980">
              <w:rPr>
                <w:rFonts w:ascii="Aptos Narrow" w:hAnsi="Aptos Narrow" w:cs="Times New Roman"/>
                <w:color w:val="000000"/>
                <w:lang w:eastAsia="fr-FR"/>
              </w:rPr>
              <w:t>LC</w:t>
            </w:r>
          </w:p>
        </w:tc>
        <w:tc>
          <w:tcPr>
            <w:tcW w:w="352" w:type="pct"/>
            <w:tcBorders>
              <w:top w:val="single" w:sz="4" w:space="0" w:color="196B24"/>
              <w:left w:val="nil"/>
              <w:bottom w:val="nil"/>
              <w:right w:val="nil"/>
            </w:tcBorders>
            <w:vAlign w:val="center"/>
            <w:hideMark/>
          </w:tcPr>
          <w:p w14:paraId="5B4CCF7E" w14:textId="77777777" w:rsidR="005E7B5F" w:rsidRPr="00AD2980" w:rsidRDefault="005E7B5F" w:rsidP="005A7661">
            <w:pPr>
              <w:spacing w:after="0"/>
              <w:jc w:val="left"/>
              <w:rPr>
                <w:rFonts w:ascii="Aptos Narrow" w:hAnsi="Aptos Narrow" w:cs="Times New Roman"/>
                <w:color w:val="000000"/>
                <w:lang w:eastAsia="fr-FR"/>
              </w:rPr>
            </w:pPr>
            <w:r w:rsidRPr="00AD2980">
              <w:rPr>
                <w:rFonts w:ascii="Aptos Narrow" w:hAnsi="Aptos Narrow" w:cs="Times New Roman"/>
                <w:color w:val="000000"/>
                <w:lang w:eastAsia="fr-FR"/>
              </w:rPr>
              <w:t>–</w:t>
            </w:r>
          </w:p>
        </w:tc>
        <w:tc>
          <w:tcPr>
            <w:tcW w:w="439" w:type="pct"/>
            <w:tcBorders>
              <w:top w:val="single" w:sz="4" w:space="0" w:color="196B24"/>
              <w:left w:val="nil"/>
              <w:bottom w:val="nil"/>
              <w:right w:val="nil"/>
            </w:tcBorders>
            <w:vAlign w:val="center"/>
            <w:hideMark/>
          </w:tcPr>
          <w:p w14:paraId="2CC0F06A" w14:textId="77777777" w:rsidR="005E7B5F" w:rsidRPr="00AD2980" w:rsidRDefault="005E7B5F" w:rsidP="005A7661">
            <w:pPr>
              <w:spacing w:after="0"/>
              <w:jc w:val="left"/>
              <w:rPr>
                <w:rFonts w:ascii="Aptos Narrow" w:hAnsi="Aptos Narrow" w:cs="Times New Roman"/>
                <w:b/>
                <w:bCs/>
                <w:color w:val="000000"/>
                <w:lang w:eastAsia="fr-FR"/>
              </w:rPr>
            </w:pPr>
            <w:r w:rsidRPr="00AD2980">
              <w:rPr>
                <w:rFonts w:ascii="Aptos Narrow" w:hAnsi="Aptos Narrow" w:cs="Times New Roman"/>
                <w:b/>
                <w:bCs/>
                <w:color w:val="000000"/>
                <w:lang w:eastAsia="fr-FR"/>
              </w:rPr>
              <w:t>Cat. IV</w:t>
            </w:r>
          </w:p>
        </w:tc>
        <w:tc>
          <w:tcPr>
            <w:tcW w:w="349" w:type="pct"/>
            <w:tcBorders>
              <w:top w:val="single" w:sz="4" w:space="0" w:color="196B24"/>
              <w:left w:val="nil"/>
              <w:bottom w:val="nil"/>
              <w:right w:val="single" w:sz="4" w:space="0" w:color="196B24"/>
            </w:tcBorders>
            <w:vAlign w:val="center"/>
            <w:hideMark/>
          </w:tcPr>
          <w:p w14:paraId="00D3CB9B" w14:textId="77777777" w:rsidR="005E7B5F" w:rsidRPr="00AD2980" w:rsidRDefault="005E7B5F" w:rsidP="005A7661">
            <w:pPr>
              <w:spacing w:after="0"/>
              <w:jc w:val="left"/>
              <w:rPr>
                <w:rFonts w:ascii="Aptos Narrow" w:hAnsi="Aptos Narrow" w:cs="Times New Roman"/>
                <w:color w:val="000000"/>
                <w:lang w:eastAsia="fr-FR"/>
              </w:rPr>
            </w:pPr>
            <w:r w:rsidRPr="00AD2980">
              <w:rPr>
                <w:rFonts w:ascii="Aptos Narrow" w:hAnsi="Aptos Narrow" w:cs="Times New Roman"/>
                <w:color w:val="000000"/>
                <w:lang w:eastAsia="fr-FR"/>
              </w:rPr>
              <w:t>–</w:t>
            </w:r>
          </w:p>
        </w:tc>
      </w:tr>
      <w:tr w:rsidR="005E7B5F" w:rsidRPr="00AD2980" w14:paraId="6F0F4EB5" w14:textId="77777777" w:rsidTr="005A7661">
        <w:trPr>
          <w:trHeight w:val="288"/>
        </w:trPr>
        <w:tc>
          <w:tcPr>
            <w:tcW w:w="562" w:type="pct"/>
            <w:tcBorders>
              <w:top w:val="single" w:sz="4" w:space="0" w:color="196B24"/>
              <w:left w:val="single" w:sz="4" w:space="0" w:color="196B24"/>
              <w:bottom w:val="nil"/>
              <w:right w:val="nil"/>
            </w:tcBorders>
            <w:vAlign w:val="center"/>
            <w:hideMark/>
          </w:tcPr>
          <w:p w14:paraId="46EB1189" w14:textId="77777777" w:rsidR="005E7B5F" w:rsidRPr="00AD2980" w:rsidRDefault="005E7B5F" w:rsidP="005A7661">
            <w:pPr>
              <w:spacing w:after="0"/>
              <w:jc w:val="left"/>
              <w:rPr>
                <w:rFonts w:ascii="Aptos Narrow" w:hAnsi="Aptos Narrow" w:cs="Times New Roman"/>
                <w:color w:val="000000"/>
                <w:lang w:eastAsia="fr-FR"/>
              </w:rPr>
            </w:pPr>
            <w:r w:rsidRPr="00AD2980">
              <w:rPr>
                <w:rFonts w:ascii="Aptos Narrow" w:hAnsi="Aptos Narrow" w:cs="Times New Roman"/>
                <w:color w:val="000000"/>
                <w:lang w:eastAsia="fr-FR"/>
              </w:rPr>
              <w:t>Reptile</w:t>
            </w:r>
          </w:p>
        </w:tc>
        <w:tc>
          <w:tcPr>
            <w:tcW w:w="870" w:type="pct"/>
            <w:tcBorders>
              <w:top w:val="single" w:sz="4" w:space="0" w:color="196B24"/>
              <w:left w:val="nil"/>
              <w:bottom w:val="nil"/>
              <w:right w:val="nil"/>
            </w:tcBorders>
            <w:vAlign w:val="center"/>
            <w:hideMark/>
          </w:tcPr>
          <w:p w14:paraId="430C8432" w14:textId="77777777" w:rsidR="005E7B5F" w:rsidRPr="00AD2980" w:rsidRDefault="005E7B5F" w:rsidP="005A7661">
            <w:pPr>
              <w:spacing w:after="0"/>
              <w:jc w:val="left"/>
              <w:rPr>
                <w:rFonts w:ascii="Aptos Narrow" w:hAnsi="Aptos Narrow" w:cs="Times New Roman"/>
                <w:b/>
                <w:bCs/>
                <w:i/>
                <w:iCs/>
                <w:color w:val="000000"/>
                <w:lang w:eastAsia="fr-FR"/>
              </w:rPr>
            </w:pPr>
            <w:r w:rsidRPr="00AD2980">
              <w:rPr>
                <w:rFonts w:ascii="Aptos Narrow" w:hAnsi="Aptos Narrow" w:cs="Times New Roman"/>
                <w:b/>
                <w:bCs/>
                <w:i/>
                <w:iCs/>
                <w:color w:val="000000"/>
                <w:lang w:eastAsia="fr-FR"/>
              </w:rPr>
              <w:t>Hemidactylus turcicus</w:t>
            </w:r>
          </w:p>
        </w:tc>
        <w:tc>
          <w:tcPr>
            <w:tcW w:w="616" w:type="pct"/>
            <w:tcBorders>
              <w:top w:val="single" w:sz="4" w:space="0" w:color="196B24"/>
              <w:left w:val="nil"/>
              <w:bottom w:val="nil"/>
              <w:right w:val="nil"/>
            </w:tcBorders>
            <w:vAlign w:val="center"/>
            <w:hideMark/>
          </w:tcPr>
          <w:p w14:paraId="52383A52" w14:textId="77777777" w:rsidR="005E7B5F" w:rsidRPr="00AD2980" w:rsidRDefault="005E7B5F" w:rsidP="005A7661">
            <w:pPr>
              <w:spacing w:after="0"/>
              <w:jc w:val="left"/>
              <w:rPr>
                <w:rFonts w:ascii="Aptos Narrow" w:hAnsi="Aptos Narrow" w:cs="Times New Roman"/>
                <w:color w:val="000000"/>
                <w:lang w:eastAsia="fr-FR"/>
              </w:rPr>
            </w:pPr>
            <w:r w:rsidRPr="00AD2980">
              <w:rPr>
                <w:rFonts w:ascii="Aptos Narrow" w:hAnsi="Aptos Narrow" w:cs="Times New Roman"/>
                <w:color w:val="000000"/>
                <w:lang w:eastAsia="fr-FR"/>
              </w:rPr>
              <w:t>Gecko turc</w:t>
            </w:r>
          </w:p>
        </w:tc>
        <w:tc>
          <w:tcPr>
            <w:tcW w:w="525" w:type="pct"/>
            <w:tcBorders>
              <w:top w:val="single" w:sz="4" w:space="0" w:color="196B24"/>
              <w:left w:val="nil"/>
              <w:bottom w:val="nil"/>
              <w:right w:val="nil"/>
            </w:tcBorders>
            <w:vAlign w:val="center"/>
            <w:hideMark/>
          </w:tcPr>
          <w:p w14:paraId="5222328E" w14:textId="77777777" w:rsidR="005E7B5F" w:rsidRPr="00AD2980" w:rsidRDefault="005E7B5F" w:rsidP="005A7661">
            <w:pPr>
              <w:spacing w:after="0"/>
              <w:jc w:val="right"/>
              <w:rPr>
                <w:rFonts w:ascii="Aptos Narrow" w:hAnsi="Aptos Narrow" w:cs="Times New Roman"/>
                <w:color w:val="000000"/>
                <w:lang w:eastAsia="fr-FR"/>
              </w:rPr>
            </w:pPr>
            <w:r w:rsidRPr="00AD2980">
              <w:rPr>
                <w:rFonts w:ascii="Aptos Narrow" w:hAnsi="Aptos Narrow" w:cs="Times New Roman"/>
                <w:color w:val="000000"/>
                <w:lang w:eastAsia="fr-FR"/>
              </w:rPr>
              <w:t>Localisée</w:t>
            </w:r>
          </w:p>
        </w:tc>
        <w:tc>
          <w:tcPr>
            <w:tcW w:w="965" w:type="pct"/>
            <w:tcBorders>
              <w:top w:val="single" w:sz="4" w:space="0" w:color="196B24"/>
              <w:left w:val="nil"/>
              <w:bottom w:val="nil"/>
              <w:right w:val="nil"/>
            </w:tcBorders>
            <w:vAlign w:val="center"/>
            <w:hideMark/>
          </w:tcPr>
          <w:p w14:paraId="04FA5877" w14:textId="77777777" w:rsidR="005E7B5F" w:rsidRPr="00AD2980" w:rsidRDefault="005E7B5F" w:rsidP="005A7661">
            <w:pPr>
              <w:spacing w:after="0"/>
              <w:jc w:val="right"/>
              <w:rPr>
                <w:rFonts w:ascii="Aptos Narrow" w:hAnsi="Aptos Narrow" w:cs="Times New Roman"/>
                <w:color w:val="000000"/>
                <w:lang w:eastAsia="fr-FR"/>
              </w:rPr>
            </w:pPr>
            <w:r w:rsidRPr="00AD2980">
              <w:rPr>
                <w:rFonts w:ascii="Aptos Narrow" w:hAnsi="Aptos Narrow" w:cs="Times New Roman"/>
                <w:color w:val="000000"/>
                <w:lang w:eastAsia="fr-FR"/>
              </w:rPr>
              <w:t>Oui</w:t>
            </w:r>
          </w:p>
        </w:tc>
        <w:tc>
          <w:tcPr>
            <w:tcW w:w="323" w:type="pct"/>
            <w:tcBorders>
              <w:top w:val="single" w:sz="4" w:space="0" w:color="196B24"/>
              <w:left w:val="nil"/>
              <w:bottom w:val="nil"/>
              <w:right w:val="nil"/>
            </w:tcBorders>
            <w:vAlign w:val="center"/>
            <w:hideMark/>
          </w:tcPr>
          <w:p w14:paraId="13208FC5" w14:textId="77777777" w:rsidR="005E7B5F" w:rsidRPr="00AD2980" w:rsidRDefault="005E7B5F" w:rsidP="005A7661">
            <w:pPr>
              <w:spacing w:after="0"/>
              <w:jc w:val="left"/>
              <w:rPr>
                <w:rFonts w:ascii="Aptos Narrow" w:hAnsi="Aptos Narrow" w:cs="Times New Roman"/>
                <w:color w:val="000000"/>
                <w:lang w:eastAsia="fr-FR"/>
              </w:rPr>
            </w:pPr>
            <w:r w:rsidRPr="00AD2980">
              <w:rPr>
                <w:rFonts w:ascii="Aptos Narrow" w:hAnsi="Aptos Narrow" w:cs="Times New Roman"/>
                <w:color w:val="000000"/>
                <w:lang w:eastAsia="fr-FR"/>
              </w:rPr>
              <w:t>LC</w:t>
            </w:r>
          </w:p>
        </w:tc>
        <w:tc>
          <w:tcPr>
            <w:tcW w:w="352" w:type="pct"/>
            <w:tcBorders>
              <w:top w:val="single" w:sz="4" w:space="0" w:color="196B24"/>
              <w:left w:val="nil"/>
              <w:bottom w:val="nil"/>
              <w:right w:val="nil"/>
            </w:tcBorders>
            <w:vAlign w:val="center"/>
            <w:hideMark/>
          </w:tcPr>
          <w:p w14:paraId="6338376E" w14:textId="77777777" w:rsidR="005E7B5F" w:rsidRPr="00AD2980" w:rsidRDefault="005E7B5F" w:rsidP="005A7661">
            <w:pPr>
              <w:spacing w:after="0"/>
              <w:jc w:val="left"/>
              <w:rPr>
                <w:rFonts w:ascii="Aptos Narrow" w:hAnsi="Aptos Narrow" w:cs="Times New Roman"/>
                <w:color w:val="000000"/>
                <w:lang w:eastAsia="fr-FR"/>
              </w:rPr>
            </w:pPr>
            <w:r w:rsidRPr="00AD2980">
              <w:rPr>
                <w:rFonts w:ascii="Aptos Narrow" w:hAnsi="Aptos Narrow" w:cs="Times New Roman"/>
                <w:color w:val="000000"/>
                <w:lang w:eastAsia="fr-FR"/>
              </w:rPr>
              <w:t>–</w:t>
            </w:r>
          </w:p>
        </w:tc>
        <w:tc>
          <w:tcPr>
            <w:tcW w:w="439" w:type="pct"/>
            <w:tcBorders>
              <w:top w:val="single" w:sz="4" w:space="0" w:color="196B24"/>
              <w:left w:val="nil"/>
              <w:bottom w:val="nil"/>
              <w:right w:val="nil"/>
            </w:tcBorders>
            <w:vAlign w:val="center"/>
            <w:hideMark/>
          </w:tcPr>
          <w:p w14:paraId="7EB36002" w14:textId="77777777" w:rsidR="005E7B5F" w:rsidRPr="00AD2980" w:rsidRDefault="005E7B5F" w:rsidP="005A7661">
            <w:pPr>
              <w:spacing w:after="0"/>
              <w:jc w:val="left"/>
              <w:rPr>
                <w:rFonts w:ascii="Aptos Narrow" w:hAnsi="Aptos Narrow" w:cs="Times New Roman"/>
                <w:b/>
                <w:bCs/>
                <w:color w:val="000000"/>
                <w:lang w:eastAsia="fr-FR"/>
              </w:rPr>
            </w:pPr>
            <w:r w:rsidRPr="00AD2980">
              <w:rPr>
                <w:rFonts w:ascii="Aptos Narrow" w:hAnsi="Aptos Narrow" w:cs="Times New Roman"/>
                <w:b/>
                <w:bCs/>
                <w:color w:val="000000"/>
                <w:lang w:eastAsia="fr-FR"/>
              </w:rPr>
              <w:t>Cat. IV</w:t>
            </w:r>
          </w:p>
        </w:tc>
        <w:tc>
          <w:tcPr>
            <w:tcW w:w="349" w:type="pct"/>
            <w:tcBorders>
              <w:top w:val="single" w:sz="4" w:space="0" w:color="196B24"/>
              <w:left w:val="nil"/>
              <w:bottom w:val="nil"/>
              <w:right w:val="single" w:sz="4" w:space="0" w:color="196B24"/>
            </w:tcBorders>
            <w:vAlign w:val="center"/>
            <w:hideMark/>
          </w:tcPr>
          <w:p w14:paraId="42771FE4" w14:textId="77777777" w:rsidR="005E7B5F" w:rsidRPr="00AD2980" w:rsidRDefault="005E7B5F" w:rsidP="005A7661">
            <w:pPr>
              <w:spacing w:after="0"/>
              <w:jc w:val="left"/>
              <w:rPr>
                <w:rFonts w:ascii="Aptos Narrow" w:hAnsi="Aptos Narrow" w:cs="Times New Roman"/>
                <w:color w:val="000000"/>
                <w:lang w:eastAsia="fr-FR"/>
              </w:rPr>
            </w:pPr>
            <w:r w:rsidRPr="00AD2980">
              <w:rPr>
                <w:rFonts w:ascii="Aptos Narrow" w:hAnsi="Aptos Narrow" w:cs="Times New Roman"/>
                <w:color w:val="000000"/>
                <w:lang w:eastAsia="fr-FR"/>
              </w:rPr>
              <w:t>–</w:t>
            </w:r>
          </w:p>
        </w:tc>
      </w:tr>
      <w:tr w:rsidR="005E7B5F" w:rsidRPr="00AD2980" w14:paraId="1A548F6D" w14:textId="77777777" w:rsidTr="005A7661">
        <w:trPr>
          <w:trHeight w:val="576"/>
        </w:trPr>
        <w:tc>
          <w:tcPr>
            <w:tcW w:w="562" w:type="pct"/>
            <w:tcBorders>
              <w:top w:val="single" w:sz="4" w:space="0" w:color="196B24"/>
              <w:left w:val="single" w:sz="4" w:space="0" w:color="196B24"/>
              <w:bottom w:val="nil"/>
              <w:right w:val="nil"/>
            </w:tcBorders>
            <w:vAlign w:val="center"/>
            <w:hideMark/>
          </w:tcPr>
          <w:p w14:paraId="394B70A3" w14:textId="77777777" w:rsidR="005E7B5F" w:rsidRPr="00AD2980" w:rsidRDefault="005E7B5F" w:rsidP="005A7661">
            <w:pPr>
              <w:spacing w:after="0"/>
              <w:jc w:val="left"/>
              <w:rPr>
                <w:rFonts w:ascii="Aptos Narrow" w:hAnsi="Aptos Narrow" w:cs="Times New Roman"/>
                <w:color w:val="000000"/>
                <w:lang w:eastAsia="fr-FR"/>
              </w:rPr>
            </w:pPr>
            <w:r w:rsidRPr="00AD2980">
              <w:rPr>
                <w:rFonts w:ascii="Aptos Narrow" w:hAnsi="Aptos Narrow" w:cs="Times New Roman"/>
                <w:color w:val="000000"/>
                <w:lang w:eastAsia="fr-FR"/>
              </w:rPr>
              <w:t>Reptile</w:t>
            </w:r>
          </w:p>
        </w:tc>
        <w:tc>
          <w:tcPr>
            <w:tcW w:w="870" w:type="pct"/>
            <w:tcBorders>
              <w:top w:val="single" w:sz="4" w:space="0" w:color="196B24"/>
              <w:left w:val="nil"/>
              <w:bottom w:val="nil"/>
              <w:right w:val="nil"/>
            </w:tcBorders>
            <w:vAlign w:val="center"/>
            <w:hideMark/>
          </w:tcPr>
          <w:p w14:paraId="1E2CF2DC" w14:textId="77777777" w:rsidR="005E7B5F" w:rsidRPr="00AD2980" w:rsidRDefault="005E7B5F" w:rsidP="005A7661">
            <w:pPr>
              <w:spacing w:after="0"/>
              <w:jc w:val="left"/>
              <w:rPr>
                <w:rFonts w:ascii="Aptos Narrow" w:hAnsi="Aptos Narrow" w:cs="Times New Roman"/>
                <w:b/>
                <w:bCs/>
                <w:i/>
                <w:iCs/>
                <w:color w:val="000000"/>
                <w:lang w:eastAsia="fr-FR"/>
              </w:rPr>
            </w:pPr>
            <w:r w:rsidRPr="00AD2980">
              <w:rPr>
                <w:rFonts w:ascii="Aptos Narrow" w:hAnsi="Aptos Narrow" w:cs="Times New Roman"/>
                <w:b/>
                <w:bCs/>
                <w:i/>
                <w:iCs/>
                <w:color w:val="000000"/>
                <w:lang w:eastAsia="fr-FR"/>
              </w:rPr>
              <w:t>Acanthodactylus boskianus</w:t>
            </w:r>
          </w:p>
        </w:tc>
        <w:tc>
          <w:tcPr>
            <w:tcW w:w="616" w:type="pct"/>
            <w:tcBorders>
              <w:top w:val="single" w:sz="4" w:space="0" w:color="196B24"/>
              <w:left w:val="nil"/>
              <w:bottom w:val="nil"/>
              <w:right w:val="nil"/>
            </w:tcBorders>
            <w:vAlign w:val="center"/>
            <w:hideMark/>
          </w:tcPr>
          <w:p w14:paraId="3D6DAD00" w14:textId="77777777" w:rsidR="005E7B5F" w:rsidRPr="00AD2980" w:rsidRDefault="005E7B5F" w:rsidP="005A7661">
            <w:pPr>
              <w:spacing w:after="0"/>
              <w:jc w:val="left"/>
              <w:rPr>
                <w:rFonts w:ascii="Aptos Narrow" w:hAnsi="Aptos Narrow" w:cs="Times New Roman"/>
                <w:color w:val="000000"/>
                <w:lang w:eastAsia="fr-FR"/>
              </w:rPr>
            </w:pPr>
            <w:r w:rsidRPr="00AD2980">
              <w:rPr>
                <w:rFonts w:ascii="Aptos Narrow" w:hAnsi="Aptos Narrow" w:cs="Times New Roman"/>
                <w:color w:val="000000"/>
                <w:lang w:eastAsia="fr-FR"/>
              </w:rPr>
              <w:t>Lézard à queue frangée</w:t>
            </w:r>
          </w:p>
        </w:tc>
        <w:tc>
          <w:tcPr>
            <w:tcW w:w="525" w:type="pct"/>
            <w:tcBorders>
              <w:top w:val="single" w:sz="4" w:space="0" w:color="196B24"/>
              <w:left w:val="nil"/>
              <w:bottom w:val="nil"/>
              <w:right w:val="nil"/>
            </w:tcBorders>
            <w:vAlign w:val="center"/>
            <w:hideMark/>
          </w:tcPr>
          <w:p w14:paraId="3392B2FD" w14:textId="77777777" w:rsidR="005E7B5F" w:rsidRPr="00AD2980" w:rsidRDefault="005E7B5F" w:rsidP="005A7661">
            <w:pPr>
              <w:spacing w:after="0"/>
              <w:jc w:val="right"/>
              <w:rPr>
                <w:rFonts w:ascii="Aptos Narrow" w:hAnsi="Aptos Narrow" w:cs="Times New Roman"/>
                <w:color w:val="000000"/>
                <w:lang w:eastAsia="fr-FR"/>
              </w:rPr>
            </w:pPr>
            <w:r w:rsidRPr="00AD2980">
              <w:rPr>
                <w:rFonts w:ascii="Aptos Narrow" w:hAnsi="Aptos Narrow" w:cs="Times New Roman"/>
                <w:color w:val="000000"/>
                <w:lang w:eastAsia="fr-FR"/>
              </w:rPr>
              <w:t>Localisée (talus secs)</w:t>
            </w:r>
          </w:p>
        </w:tc>
        <w:tc>
          <w:tcPr>
            <w:tcW w:w="965" w:type="pct"/>
            <w:tcBorders>
              <w:top w:val="single" w:sz="4" w:space="0" w:color="196B24"/>
              <w:left w:val="nil"/>
              <w:bottom w:val="nil"/>
              <w:right w:val="nil"/>
            </w:tcBorders>
            <w:vAlign w:val="center"/>
            <w:hideMark/>
          </w:tcPr>
          <w:p w14:paraId="1DE97385" w14:textId="77777777" w:rsidR="005E7B5F" w:rsidRPr="00AD2980" w:rsidRDefault="005E7B5F" w:rsidP="005A7661">
            <w:pPr>
              <w:spacing w:after="0"/>
              <w:jc w:val="right"/>
              <w:rPr>
                <w:rFonts w:ascii="Aptos Narrow" w:hAnsi="Aptos Narrow" w:cs="Times New Roman"/>
                <w:color w:val="000000"/>
                <w:lang w:eastAsia="fr-FR"/>
              </w:rPr>
            </w:pPr>
            <w:r w:rsidRPr="00AD2980">
              <w:rPr>
                <w:rFonts w:ascii="Aptos Narrow" w:hAnsi="Aptos Narrow" w:cs="Times New Roman"/>
                <w:color w:val="000000"/>
                <w:lang w:eastAsia="fr-FR"/>
              </w:rPr>
              <w:t>Oui</w:t>
            </w:r>
          </w:p>
        </w:tc>
        <w:tc>
          <w:tcPr>
            <w:tcW w:w="323" w:type="pct"/>
            <w:tcBorders>
              <w:top w:val="single" w:sz="4" w:space="0" w:color="196B24"/>
              <w:left w:val="nil"/>
              <w:bottom w:val="nil"/>
              <w:right w:val="nil"/>
            </w:tcBorders>
            <w:vAlign w:val="center"/>
            <w:hideMark/>
          </w:tcPr>
          <w:p w14:paraId="20018677" w14:textId="77777777" w:rsidR="005E7B5F" w:rsidRPr="00AD2980" w:rsidRDefault="005E7B5F" w:rsidP="005A7661">
            <w:pPr>
              <w:spacing w:after="0"/>
              <w:jc w:val="left"/>
              <w:rPr>
                <w:rFonts w:ascii="Aptos Narrow" w:hAnsi="Aptos Narrow" w:cs="Times New Roman"/>
                <w:color w:val="000000"/>
                <w:lang w:eastAsia="fr-FR"/>
              </w:rPr>
            </w:pPr>
            <w:r w:rsidRPr="00AD2980">
              <w:rPr>
                <w:rFonts w:ascii="Aptos Narrow" w:hAnsi="Aptos Narrow" w:cs="Times New Roman"/>
                <w:color w:val="000000"/>
                <w:lang w:eastAsia="fr-FR"/>
              </w:rPr>
              <w:t>LC</w:t>
            </w:r>
          </w:p>
        </w:tc>
        <w:tc>
          <w:tcPr>
            <w:tcW w:w="352" w:type="pct"/>
            <w:tcBorders>
              <w:top w:val="single" w:sz="4" w:space="0" w:color="196B24"/>
              <w:left w:val="nil"/>
              <w:bottom w:val="nil"/>
              <w:right w:val="nil"/>
            </w:tcBorders>
            <w:vAlign w:val="center"/>
            <w:hideMark/>
          </w:tcPr>
          <w:p w14:paraId="75905234" w14:textId="77777777" w:rsidR="005E7B5F" w:rsidRPr="00AD2980" w:rsidRDefault="005E7B5F" w:rsidP="005A7661">
            <w:pPr>
              <w:spacing w:after="0"/>
              <w:jc w:val="left"/>
              <w:rPr>
                <w:rFonts w:ascii="Aptos Narrow" w:hAnsi="Aptos Narrow" w:cs="Times New Roman"/>
                <w:color w:val="000000"/>
                <w:lang w:eastAsia="fr-FR"/>
              </w:rPr>
            </w:pPr>
            <w:r w:rsidRPr="00AD2980">
              <w:rPr>
                <w:rFonts w:ascii="Aptos Narrow" w:hAnsi="Aptos Narrow" w:cs="Times New Roman"/>
                <w:color w:val="000000"/>
                <w:lang w:eastAsia="fr-FR"/>
              </w:rPr>
              <w:t>–</w:t>
            </w:r>
          </w:p>
        </w:tc>
        <w:tc>
          <w:tcPr>
            <w:tcW w:w="439" w:type="pct"/>
            <w:tcBorders>
              <w:top w:val="single" w:sz="4" w:space="0" w:color="196B24"/>
              <w:left w:val="nil"/>
              <w:bottom w:val="nil"/>
              <w:right w:val="nil"/>
            </w:tcBorders>
            <w:vAlign w:val="center"/>
            <w:hideMark/>
          </w:tcPr>
          <w:p w14:paraId="3CAE7FF7" w14:textId="77777777" w:rsidR="005E7B5F" w:rsidRPr="00AD2980" w:rsidRDefault="005E7B5F" w:rsidP="005A7661">
            <w:pPr>
              <w:spacing w:after="0"/>
              <w:jc w:val="left"/>
              <w:rPr>
                <w:rFonts w:ascii="Aptos Narrow" w:hAnsi="Aptos Narrow" w:cs="Times New Roman"/>
                <w:b/>
                <w:bCs/>
                <w:color w:val="000000"/>
                <w:lang w:eastAsia="fr-FR"/>
              </w:rPr>
            </w:pPr>
            <w:r w:rsidRPr="00AD2980">
              <w:rPr>
                <w:rFonts w:ascii="Aptos Narrow" w:hAnsi="Aptos Narrow" w:cs="Times New Roman"/>
                <w:b/>
                <w:bCs/>
                <w:color w:val="000000"/>
                <w:lang w:eastAsia="fr-FR"/>
              </w:rPr>
              <w:t>Cat. IV</w:t>
            </w:r>
          </w:p>
        </w:tc>
        <w:tc>
          <w:tcPr>
            <w:tcW w:w="349" w:type="pct"/>
            <w:tcBorders>
              <w:top w:val="single" w:sz="4" w:space="0" w:color="196B24"/>
              <w:left w:val="nil"/>
              <w:bottom w:val="nil"/>
              <w:right w:val="single" w:sz="4" w:space="0" w:color="196B24"/>
            </w:tcBorders>
            <w:vAlign w:val="center"/>
            <w:hideMark/>
          </w:tcPr>
          <w:p w14:paraId="0D6FEFF0" w14:textId="77777777" w:rsidR="005E7B5F" w:rsidRPr="00AD2980" w:rsidRDefault="005E7B5F" w:rsidP="005A7661">
            <w:pPr>
              <w:spacing w:after="0"/>
              <w:jc w:val="left"/>
              <w:rPr>
                <w:rFonts w:ascii="Aptos Narrow" w:hAnsi="Aptos Narrow" w:cs="Times New Roman"/>
                <w:color w:val="000000"/>
                <w:lang w:eastAsia="fr-FR"/>
              </w:rPr>
            </w:pPr>
            <w:r w:rsidRPr="00AD2980">
              <w:rPr>
                <w:rFonts w:ascii="Aptos Narrow" w:hAnsi="Aptos Narrow" w:cs="Times New Roman"/>
                <w:color w:val="000000"/>
                <w:lang w:eastAsia="fr-FR"/>
              </w:rPr>
              <w:t>–</w:t>
            </w:r>
          </w:p>
        </w:tc>
      </w:tr>
      <w:tr w:rsidR="005E7B5F" w:rsidRPr="00AD2980" w14:paraId="4A0C9A05" w14:textId="77777777" w:rsidTr="005A7661">
        <w:trPr>
          <w:trHeight w:val="576"/>
        </w:trPr>
        <w:tc>
          <w:tcPr>
            <w:tcW w:w="562" w:type="pct"/>
            <w:tcBorders>
              <w:top w:val="single" w:sz="4" w:space="0" w:color="196B24"/>
              <w:left w:val="single" w:sz="4" w:space="0" w:color="196B24"/>
              <w:bottom w:val="nil"/>
              <w:right w:val="nil"/>
            </w:tcBorders>
            <w:vAlign w:val="center"/>
            <w:hideMark/>
          </w:tcPr>
          <w:p w14:paraId="390EF5C8" w14:textId="77777777" w:rsidR="005E7B5F" w:rsidRPr="00AD2980" w:rsidRDefault="005E7B5F" w:rsidP="005A7661">
            <w:pPr>
              <w:spacing w:after="0"/>
              <w:jc w:val="left"/>
              <w:rPr>
                <w:rFonts w:ascii="Aptos Narrow" w:hAnsi="Aptos Narrow" w:cs="Times New Roman"/>
                <w:color w:val="000000"/>
                <w:lang w:eastAsia="fr-FR"/>
              </w:rPr>
            </w:pPr>
            <w:r w:rsidRPr="00AD2980">
              <w:rPr>
                <w:rFonts w:ascii="Aptos Narrow" w:hAnsi="Aptos Narrow" w:cs="Times New Roman"/>
                <w:color w:val="000000"/>
                <w:lang w:eastAsia="fr-FR"/>
              </w:rPr>
              <w:t>Reptile</w:t>
            </w:r>
          </w:p>
        </w:tc>
        <w:tc>
          <w:tcPr>
            <w:tcW w:w="870" w:type="pct"/>
            <w:tcBorders>
              <w:top w:val="single" w:sz="4" w:space="0" w:color="196B24"/>
              <w:left w:val="nil"/>
              <w:bottom w:val="nil"/>
              <w:right w:val="nil"/>
            </w:tcBorders>
            <w:vAlign w:val="center"/>
            <w:hideMark/>
          </w:tcPr>
          <w:p w14:paraId="0DF7C171" w14:textId="77777777" w:rsidR="005E7B5F" w:rsidRPr="00AD2980" w:rsidRDefault="005E7B5F" w:rsidP="005A7661">
            <w:pPr>
              <w:spacing w:after="0"/>
              <w:jc w:val="left"/>
              <w:rPr>
                <w:rFonts w:ascii="Aptos Narrow" w:hAnsi="Aptos Narrow" w:cs="Times New Roman"/>
                <w:b/>
                <w:bCs/>
                <w:i/>
                <w:iCs/>
                <w:color w:val="000000"/>
                <w:lang w:eastAsia="fr-FR"/>
              </w:rPr>
            </w:pPr>
            <w:r w:rsidRPr="00AD2980">
              <w:rPr>
                <w:rFonts w:ascii="Aptos Narrow" w:hAnsi="Aptos Narrow" w:cs="Times New Roman"/>
                <w:b/>
                <w:bCs/>
                <w:i/>
                <w:iCs/>
                <w:color w:val="000000"/>
                <w:lang w:eastAsia="fr-FR"/>
              </w:rPr>
              <w:t>Psammodromus algirus</w:t>
            </w:r>
          </w:p>
        </w:tc>
        <w:tc>
          <w:tcPr>
            <w:tcW w:w="616" w:type="pct"/>
            <w:tcBorders>
              <w:top w:val="single" w:sz="4" w:space="0" w:color="196B24"/>
              <w:left w:val="nil"/>
              <w:bottom w:val="nil"/>
              <w:right w:val="nil"/>
            </w:tcBorders>
            <w:vAlign w:val="center"/>
            <w:hideMark/>
          </w:tcPr>
          <w:p w14:paraId="74C4BFF9" w14:textId="77777777" w:rsidR="005E7B5F" w:rsidRPr="00AD2980" w:rsidRDefault="005E7B5F" w:rsidP="005A7661">
            <w:pPr>
              <w:spacing w:after="0"/>
              <w:jc w:val="left"/>
              <w:rPr>
                <w:rFonts w:ascii="Aptos Narrow" w:hAnsi="Aptos Narrow" w:cs="Times New Roman"/>
                <w:color w:val="000000"/>
                <w:lang w:eastAsia="fr-FR"/>
              </w:rPr>
            </w:pPr>
            <w:r w:rsidRPr="00AD2980">
              <w:rPr>
                <w:rFonts w:ascii="Aptos Narrow" w:hAnsi="Aptos Narrow" w:cs="Times New Roman"/>
                <w:color w:val="000000"/>
                <w:lang w:eastAsia="fr-FR"/>
              </w:rPr>
              <w:t>Lézard ocellé ibéro-maghrébin</w:t>
            </w:r>
          </w:p>
        </w:tc>
        <w:tc>
          <w:tcPr>
            <w:tcW w:w="525" w:type="pct"/>
            <w:tcBorders>
              <w:top w:val="single" w:sz="4" w:space="0" w:color="196B24"/>
              <w:left w:val="nil"/>
              <w:bottom w:val="nil"/>
              <w:right w:val="nil"/>
            </w:tcBorders>
            <w:vAlign w:val="center"/>
            <w:hideMark/>
          </w:tcPr>
          <w:p w14:paraId="3B05AEF1" w14:textId="77777777" w:rsidR="005E7B5F" w:rsidRPr="00AD2980" w:rsidRDefault="005E7B5F" w:rsidP="005A7661">
            <w:pPr>
              <w:spacing w:after="0"/>
              <w:jc w:val="right"/>
              <w:rPr>
                <w:rFonts w:ascii="Aptos Narrow" w:hAnsi="Aptos Narrow" w:cs="Times New Roman"/>
                <w:color w:val="000000"/>
                <w:lang w:eastAsia="fr-FR"/>
              </w:rPr>
            </w:pPr>
            <w:r w:rsidRPr="00AD2980">
              <w:rPr>
                <w:rFonts w:ascii="Aptos Narrow" w:hAnsi="Aptos Narrow" w:cs="Times New Roman"/>
                <w:color w:val="000000"/>
                <w:lang w:eastAsia="fr-FR"/>
              </w:rPr>
              <w:t>Non signalé</w:t>
            </w:r>
          </w:p>
        </w:tc>
        <w:tc>
          <w:tcPr>
            <w:tcW w:w="965" w:type="pct"/>
            <w:tcBorders>
              <w:top w:val="single" w:sz="4" w:space="0" w:color="196B24"/>
              <w:left w:val="nil"/>
              <w:bottom w:val="nil"/>
              <w:right w:val="nil"/>
            </w:tcBorders>
            <w:vAlign w:val="center"/>
            <w:hideMark/>
          </w:tcPr>
          <w:p w14:paraId="64151436" w14:textId="77777777" w:rsidR="005E7B5F" w:rsidRPr="00AD2980" w:rsidRDefault="005E7B5F" w:rsidP="005A7661">
            <w:pPr>
              <w:spacing w:after="0"/>
              <w:jc w:val="right"/>
              <w:rPr>
                <w:rFonts w:ascii="Aptos Narrow" w:hAnsi="Aptos Narrow" w:cs="Times New Roman"/>
                <w:color w:val="000000"/>
                <w:lang w:eastAsia="fr-FR"/>
              </w:rPr>
            </w:pPr>
            <w:r w:rsidRPr="00AD2980">
              <w:rPr>
                <w:rFonts w:ascii="Aptos Narrow" w:hAnsi="Aptos Narrow" w:cs="Times New Roman"/>
                <w:color w:val="000000"/>
                <w:lang w:eastAsia="fr-FR"/>
              </w:rPr>
              <w:t>Oui</w:t>
            </w:r>
          </w:p>
        </w:tc>
        <w:tc>
          <w:tcPr>
            <w:tcW w:w="323" w:type="pct"/>
            <w:tcBorders>
              <w:top w:val="single" w:sz="4" w:space="0" w:color="196B24"/>
              <w:left w:val="nil"/>
              <w:bottom w:val="nil"/>
              <w:right w:val="nil"/>
            </w:tcBorders>
            <w:vAlign w:val="center"/>
            <w:hideMark/>
          </w:tcPr>
          <w:p w14:paraId="17B55275" w14:textId="77777777" w:rsidR="005E7B5F" w:rsidRPr="00AD2980" w:rsidRDefault="005E7B5F" w:rsidP="005A7661">
            <w:pPr>
              <w:spacing w:after="0"/>
              <w:jc w:val="left"/>
              <w:rPr>
                <w:rFonts w:ascii="Aptos Narrow" w:hAnsi="Aptos Narrow" w:cs="Times New Roman"/>
                <w:color w:val="000000"/>
                <w:lang w:eastAsia="fr-FR"/>
              </w:rPr>
            </w:pPr>
            <w:r w:rsidRPr="00AD2980">
              <w:rPr>
                <w:rFonts w:ascii="Aptos Narrow" w:hAnsi="Aptos Narrow" w:cs="Times New Roman"/>
                <w:color w:val="000000"/>
                <w:lang w:eastAsia="fr-FR"/>
              </w:rPr>
              <w:t>LC</w:t>
            </w:r>
          </w:p>
        </w:tc>
        <w:tc>
          <w:tcPr>
            <w:tcW w:w="352" w:type="pct"/>
            <w:tcBorders>
              <w:top w:val="single" w:sz="4" w:space="0" w:color="196B24"/>
              <w:left w:val="nil"/>
              <w:bottom w:val="nil"/>
              <w:right w:val="nil"/>
            </w:tcBorders>
            <w:vAlign w:val="center"/>
            <w:hideMark/>
          </w:tcPr>
          <w:p w14:paraId="22290921" w14:textId="77777777" w:rsidR="005E7B5F" w:rsidRPr="00AD2980" w:rsidRDefault="005E7B5F" w:rsidP="005A7661">
            <w:pPr>
              <w:spacing w:after="0"/>
              <w:jc w:val="left"/>
              <w:rPr>
                <w:rFonts w:ascii="Aptos Narrow" w:hAnsi="Aptos Narrow" w:cs="Times New Roman"/>
                <w:color w:val="000000"/>
                <w:lang w:eastAsia="fr-FR"/>
              </w:rPr>
            </w:pPr>
            <w:r w:rsidRPr="00AD2980">
              <w:rPr>
                <w:rFonts w:ascii="Aptos Narrow" w:hAnsi="Aptos Narrow" w:cs="Times New Roman"/>
                <w:color w:val="000000"/>
                <w:lang w:eastAsia="fr-FR"/>
              </w:rPr>
              <w:t>–</w:t>
            </w:r>
          </w:p>
        </w:tc>
        <w:tc>
          <w:tcPr>
            <w:tcW w:w="439" w:type="pct"/>
            <w:tcBorders>
              <w:top w:val="single" w:sz="4" w:space="0" w:color="196B24"/>
              <w:left w:val="nil"/>
              <w:bottom w:val="nil"/>
              <w:right w:val="nil"/>
            </w:tcBorders>
            <w:vAlign w:val="center"/>
            <w:hideMark/>
          </w:tcPr>
          <w:p w14:paraId="1B4FFA6D" w14:textId="77777777" w:rsidR="005E7B5F" w:rsidRPr="00AD2980" w:rsidRDefault="005E7B5F" w:rsidP="005A7661">
            <w:pPr>
              <w:spacing w:after="0"/>
              <w:jc w:val="left"/>
              <w:rPr>
                <w:rFonts w:ascii="Aptos Narrow" w:hAnsi="Aptos Narrow" w:cs="Times New Roman"/>
                <w:b/>
                <w:bCs/>
                <w:color w:val="000000"/>
                <w:lang w:eastAsia="fr-FR"/>
              </w:rPr>
            </w:pPr>
            <w:r w:rsidRPr="00AD2980">
              <w:rPr>
                <w:rFonts w:ascii="Aptos Narrow" w:hAnsi="Aptos Narrow" w:cs="Times New Roman"/>
                <w:b/>
                <w:bCs/>
                <w:color w:val="000000"/>
                <w:lang w:eastAsia="fr-FR"/>
              </w:rPr>
              <w:t>Cat. IV</w:t>
            </w:r>
          </w:p>
        </w:tc>
        <w:tc>
          <w:tcPr>
            <w:tcW w:w="349" w:type="pct"/>
            <w:tcBorders>
              <w:top w:val="single" w:sz="4" w:space="0" w:color="196B24"/>
              <w:left w:val="nil"/>
              <w:bottom w:val="nil"/>
              <w:right w:val="single" w:sz="4" w:space="0" w:color="196B24"/>
            </w:tcBorders>
            <w:vAlign w:val="center"/>
            <w:hideMark/>
          </w:tcPr>
          <w:p w14:paraId="6646ED5B" w14:textId="77777777" w:rsidR="005E7B5F" w:rsidRPr="00AD2980" w:rsidRDefault="005E7B5F" w:rsidP="005A7661">
            <w:pPr>
              <w:spacing w:after="0"/>
              <w:jc w:val="left"/>
              <w:rPr>
                <w:rFonts w:ascii="Aptos Narrow" w:hAnsi="Aptos Narrow" w:cs="Times New Roman"/>
                <w:color w:val="000000"/>
                <w:lang w:eastAsia="fr-FR"/>
              </w:rPr>
            </w:pPr>
            <w:r w:rsidRPr="00AD2980">
              <w:rPr>
                <w:rFonts w:ascii="Aptos Narrow" w:hAnsi="Aptos Narrow" w:cs="Times New Roman"/>
                <w:color w:val="000000"/>
                <w:lang w:eastAsia="fr-FR"/>
              </w:rPr>
              <w:t>–</w:t>
            </w:r>
          </w:p>
        </w:tc>
      </w:tr>
      <w:tr w:rsidR="005E7B5F" w:rsidRPr="00AD2980" w14:paraId="04AE3784" w14:textId="77777777" w:rsidTr="005A7661">
        <w:trPr>
          <w:trHeight w:val="288"/>
        </w:trPr>
        <w:tc>
          <w:tcPr>
            <w:tcW w:w="562" w:type="pct"/>
            <w:tcBorders>
              <w:top w:val="single" w:sz="4" w:space="0" w:color="196B24"/>
              <w:left w:val="single" w:sz="4" w:space="0" w:color="196B24"/>
              <w:bottom w:val="nil"/>
              <w:right w:val="nil"/>
            </w:tcBorders>
            <w:vAlign w:val="center"/>
            <w:hideMark/>
          </w:tcPr>
          <w:p w14:paraId="607D831D" w14:textId="77777777" w:rsidR="005E7B5F" w:rsidRPr="00AD2980" w:rsidRDefault="005E7B5F" w:rsidP="005A7661">
            <w:pPr>
              <w:spacing w:after="0"/>
              <w:jc w:val="left"/>
              <w:rPr>
                <w:rFonts w:ascii="Aptos Narrow" w:hAnsi="Aptos Narrow" w:cs="Times New Roman"/>
                <w:color w:val="000000"/>
                <w:lang w:eastAsia="fr-FR"/>
              </w:rPr>
            </w:pPr>
            <w:r w:rsidRPr="00AD2980">
              <w:rPr>
                <w:rFonts w:ascii="Aptos Narrow" w:hAnsi="Aptos Narrow" w:cs="Times New Roman"/>
                <w:color w:val="000000"/>
                <w:lang w:eastAsia="fr-FR"/>
              </w:rPr>
              <w:t>Reptile</w:t>
            </w:r>
          </w:p>
        </w:tc>
        <w:tc>
          <w:tcPr>
            <w:tcW w:w="870" w:type="pct"/>
            <w:tcBorders>
              <w:top w:val="single" w:sz="4" w:space="0" w:color="196B24"/>
              <w:left w:val="nil"/>
              <w:bottom w:val="nil"/>
              <w:right w:val="nil"/>
            </w:tcBorders>
            <w:vAlign w:val="center"/>
            <w:hideMark/>
          </w:tcPr>
          <w:p w14:paraId="4A1BCC72" w14:textId="77777777" w:rsidR="005E7B5F" w:rsidRPr="00AD2980" w:rsidRDefault="005E7B5F" w:rsidP="005A7661">
            <w:pPr>
              <w:spacing w:after="0"/>
              <w:jc w:val="left"/>
              <w:rPr>
                <w:rFonts w:ascii="Aptos Narrow" w:hAnsi="Aptos Narrow" w:cs="Times New Roman"/>
                <w:b/>
                <w:bCs/>
                <w:i/>
                <w:iCs/>
                <w:color w:val="000000"/>
                <w:lang w:eastAsia="fr-FR"/>
              </w:rPr>
            </w:pPr>
            <w:r w:rsidRPr="00AD2980">
              <w:rPr>
                <w:rFonts w:ascii="Aptos Narrow" w:hAnsi="Aptos Narrow" w:cs="Times New Roman"/>
                <w:b/>
                <w:bCs/>
                <w:i/>
                <w:iCs/>
                <w:color w:val="000000"/>
                <w:lang w:eastAsia="fr-FR"/>
              </w:rPr>
              <w:t>Chalcides ocellatus</w:t>
            </w:r>
          </w:p>
        </w:tc>
        <w:tc>
          <w:tcPr>
            <w:tcW w:w="616" w:type="pct"/>
            <w:tcBorders>
              <w:top w:val="single" w:sz="4" w:space="0" w:color="196B24"/>
              <w:left w:val="nil"/>
              <w:bottom w:val="nil"/>
              <w:right w:val="nil"/>
            </w:tcBorders>
            <w:vAlign w:val="center"/>
            <w:hideMark/>
          </w:tcPr>
          <w:p w14:paraId="277F143F" w14:textId="77777777" w:rsidR="005E7B5F" w:rsidRPr="00AD2980" w:rsidRDefault="005E7B5F" w:rsidP="005A7661">
            <w:pPr>
              <w:spacing w:after="0"/>
              <w:jc w:val="left"/>
              <w:rPr>
                <w:rFonts w:ascii="Aptos Narrow" w:hAnsi="Aptos Narrow" w:cs="Times New Roman"/>
                <w:color w:val="000000"/>
                <w:lang w:eastAsia="fr-FR"/>
              </w:rPr>
            </w:pPr>
            <w:r w:rsidRPr="00AD2980">
              <w:rPr>
                <w:rFonts w:ascii="Aptos Narrow" w:hAnsi="Aptos Narrow" w:cs="Times New Roman"/>
                <w:color w:val="000000"/>
                <w:lang w:eastAsia="fr-FR"/>
              </w:rPr>
              <w:t>Scinque ocellé</w:t>
            </w:r>
          </w:p>
        </w:tc>
        <w:tc>
          <w:tcPr>
            <w:tcW w:w="525" w:type="pct"/>
            <w:tcBorders>
              <w:top w:val="single" w:sz="4" w:space="0" w:color="196B24"/>
              <w:left w:val="nil"/>
              <w:bottom w:val="nil"/>
              <w:right w:val="nil"/>
            </w:tcBorders>
            <w:vAlign w:val="center"/>
            <w:hideMark/>
          </w:tcPr>
          <w:p w14:paraId="51387EC4" w14:textId="77777777" w:rsidR="005E7B5F" w:rsidRPr="00AD2980" w:rsidRDefault="005E7B5F" w:rsidP="005A7661">
            <w:pPr>
              <w:spacing w:after="0"/>
              <w:jc w:val="right"/>
              <w:rPr>
                <w:rFonts w:ascii="Aptos Narrow" w:hAnsi="Aptos Narrow" w:cs="Times New Roman"/>
                <w:color w:val="000000"/>
                <w:lang w:eastAsia="fr-FR"/>
              </w:rPr>
            </w:pPr>
            <w:r w:rsidRPr="00AD2980">
              <w:rPr>
                <w:rFonts w:ascii="Aptos Narrow" w:hAnsi="Aptos Narrow" w:cs="Times New Roman"/>
                <w:color w:val="000000"/>
                <w:lang w:eastAsia="fr-FR"/>
              </w:rPr>
              <w:t>Non signalé</w:t>
            </w:r>
          </w:p>
        </w:tc>
        <w:tc>
          <w:tcPr>
            <w:tcW w:w="965" w:type="pct"/>
            <w:tcBorders>
              <w:top w:val="single" w:sz="4" w:space="0" w:color="196B24"/>
              <w:left w:val="nil"/>
              <w:bottom w:val="nil"/>
              <w:right w:val="nil"/>
            </w:tcBorders>
            <w:vAlign w:val="center"/>
            <w:hideMark/>
          </w:tcPr>
          <w:p w14:paraId="7F6402C9" w14:textId="77777777" w:rsidR="005E7B5F" w:rsidRPr="00AD2980" w:rsidRDefault="005E7B5F" w:rsidP="005A7661">
            <w:pPr>
              <w:spacing w:after="0"/>
              <w:jc w:val="right"/>
              <w:rPr>
                <w:rFonts w:ascii="Aptos Narrow" w:hAnsi="Aptos Narrow" w:cs="Times New Roman"/>
                <w:color w:val="000000"/>
                <w:lang w:eastAsia="fr-FR"/>
              </w:rPr>
            </w:pPr>
            <w:r w:rsidRPr="00AD2980">
              <w:rPr>
                <w:rFonts w:ascii="Aptos Narrow" w:hAnsi="Aptos Narrow" w:cs="Times New Roman"/>
                <w:color w:val="000000"/>
                <w:lang w:eastAsia="fr-FR"/>
              </w:rPr>
              <w:t>Oui</w:t>
            </w:r>
          </w:p>
        </w:tc>
        <w:tc>
          <w:tcPr>
            <w:tcW w:w="323" w:type="pct"/>
            <w:tcBorders>
              <w:top w:val="single" w:sz="4" w:space="0" w:color="196B24"/>
              <w:left w:val="nil"/>
              <w:bottom w:val="nil"/>
              <w:right w:val="nil"/>
            </w:tcBorders>
            <w:vAlign w:val="center"/>
            <w:hideMark/>
          </w:tcPr>
          <w:p w14:paraId="3ACBD434" w14:textId="77777777" w:rsidR="005E7B5F" w:rsidRPr="00AD2980" w:rsidRDefault="005E7B5F" w:rsidP="005A7661">
            <w:pPr>
              <w:spacing w:after="0"/>
              <w:jc w:val="left"/>
              <w:rPr>
                <w:rFonts w:ascii="Aptos Narrow" w:hAnsi="Aptos Narrow" w:cs="Times New Roman"/>
                <w:color w:val="000000"/>
                <w:lang w:eastAsia="fr-FR"/>
              </w:rPr>
            </w:pPr>
            <w:r w:rsidRPr="00AD2980">
              <w:rPr>
                <w:rFonts w:ascii="Aptos Narrow" w:hAnsi="Aptos Narrow" w:cs="Times New Roman"/>
                <w:color w:val="000000"/>
                <w:lang w:eastAsia="fr-FR"/>
              </w:rPr>
              <w:t>LC</w:t>
            </w:r>
          </w:p>
        </w:tc>
        <w:tc>
          <w:tcPr>
            <w:tcW w:w="352" w:type="pct"/>
            <w:tcBorders>
              <w:top w:val="single" w:sz="4" w:space="0" w:color="196B24"/>
              <w:left w:val="nil"/>
              <w:bottom w:val="nil"/>
              <w:right w:val="nil"/>
            </w:tcBorders>
            <w:vAlign w:val="center"/>
            <w:hideMark/>
          </w:tcPr>
          <w:p w14:paraId="38989A0B" w14:textId="77777777" w:rsidR="005E7B5F" w:rsidRPr="00AD2980" w:rsidRDefault="005E7B5F" w:rsidP="005A7661">
            <w:pPr>
              <w:spacing w:after="0"/>
              <w:jc w:val="left"/>
              <w:rPr>
                <w:rFonts w:ascii="Aptos Narrow" w:hAnsi="Aptos Narrow" w:cs="Times New Roman"/>
                <w:color w:val="000000"/>
                <w:lang w:eastAsia="fr-FR"/>
              </w:rPr>
            </w:pPr>
            <w:r w:rsidRPr="00AD2980">
              <w:rPr>
                <w:rFonts w:ascii="Aptos Narrow" w:hAnsi="Aptos Narrow" w:cs="Times New Roman"/>
                <w:color w:val="000000"/>
                <w:lang w:eastAsia="fr-FR"/>
              </w:rPr>
              <w:t>–</w:t>
            </w:r>
          </w:p>
        </w:tc>
        <w:tc>
          <w:tcPr>
            <w:tcW w:w="439" w:type="pct"/>
            <w:tcBorders>
              <w:top w:val="single" w:sz="4" w:space="0" w:color="196B24"/>
              <w:left w:val="nil"/>
              <w:bottom w:val="nil"/>
              <w:right w:val="nil"/>
            </w:tcBorders>
            <w:vAlign w:val="center"/>
            <w:hideMark/>
          </w:tcPr>
          <w:p w14:paraId="515A78F4" w14:textId="77777777" w:rsidR="005E7B5F" w:rsidRPr="00AD2980" w:rsidRDefault="005E7B5F" w:rsidP="005A7661">
            <w:pPr>
              <w:spacing w:after="0"/>
              <w:jc w:val="left"/>
              <w:rPr>
                <w:rFonts w:ascii="Aptos Narrow" w:hAnsi="Aptos Narrow" w:cs="Times New Roman"/>
                <w:b/>
                <w:bCs/>
                <w:color w:val="000000"/>
                <w:lang w:eastAsia="fr-FR"/>
              </w:rPr>
            </w:pPr>
            <w:r w:rsidRPr="00AD2980">
              <w:rPr>
                <w:rFonts w:ascii="Aptos Narrow" w:hAnsi="Aptos Narrow" w:cs="Times New Roman"/>
                <w:b/>
                <w:bCs/>
                <w:color w:val="000000"/>
                <w:lang w:eastAsia="fr-FR"/>
              </w:rPr>
              <w:t>Cat. IV</w:t>
            </w:r>
          </w:p>
        </w:tc>
        <w:tc>
          <w:tcPr>
            <w:tcW w:w="349" w:type="pct"/>
            <w:tcBorders>
              <w:top w:val="single" w:sz="4" w:space="0" w:color="196B24"/>
              <w:left w:val="nil"/>
              <w:bottom w:val="nil"/>
              <w:right w:val="single" w:sz="4" w:space="0" w:color="196B24"/>
            </w:tcBorders>
            <w:vAlign w:val="center"/>
            <w:hideMark/>
          </w:tcPr>
          <w:p w14:paraId="16DF0422" w14:textId="77777777" w:rsidR="005E7B5F" w:rsidRPr="00AD2980" w:rsidRDefault="005E7B5F" w:rsidP="005A7661">
            <w:pPr>
              <w:spacing w:after="0"/>
              <w:jc w:val="left"/>
              <w:rPr>
                <w:rFonts w:ascii="Aptos Narrow" w:hAnsi="Aptos Narrow" w:cs="Times New Roman"/>
                <w:color w:val="000000"/>
                <w:lang w:eastAsia="fr-FR"/>
              </w:rPr>
            </w:pPr>
            <w:r w:rsidRPr="00AD2980">
              <w:rPr>
                <w:rFonts w:ascii="Aptos Narrow" w:hAnsi="Aptos Narrow" w:cs="Times New Roman"/>
                <w:color w:val="000000"/>
                <w:lang w:eastAsia="fr-FR"/>
              </w:rPr>
              <w:t>–</w:t>
            </w:r>
          </w:p>
        </w:tc>
      </w:tr>
      <w:tr w:rsidR="005E7B5F" w:rsidRPr="00AD2980" w14:paraId="1981AE93" w14:textId="77777777" w:rsidTr="005A7661">
        <w:trPr>
          <w:trHeight w:val="576"/>
        </w:trPr>
        <w:tc>
          <w:tcPr>
            <w:tcW w:w="562" w:type="pct"/>
            <w:tcBorders>
              <w:top w:val="single" w:sz="4" w:space="0" w:color="196B24"/>
              <w:left w:val="single" w:sz="4" w:space="0" w:color="196B24"/>
              <w:bottom w:val="nil"/>
              <w:right w:val="nil"/>
            </w:tcBorders>
            <w:vAlign w:val="center"/>
            <w:hideMark/>
          </w:tcPr>
          <w:p w14:paraId="2A94680B" w14:textId="77777777" w:rsidR="005E7B5F" w:rsidRPr="00AD2980" w:rsidRDefault="005E7B5F" w:rsidP="005A7661">
            <w:pPr>
              <w:spacing w:after="0"/>
              <w:jc w:val="left"/>
              <w:rPr>
                <w:rFonts w:ascii="Aptos Narrow" w:hAnsi="Aptos Narrow" w:cs="Times New Roman"/>
                <w:color w:val="000000"/>
                <w:lang w:eastAsia="fr-FR"/>
              </w:rPr>
            </w:pPr>
            <w:r w:rsidRPr="00AD2980">
              <w:rPr>
                <w:rFonts w:ascii="Aptos Narrow" w:hAnsi="Aptos Narrow" w:cs="Times New Roman"/>
                <w:color w:val="000000"/>
                <w:lang w:eastAsia="fr-FR"/>
              </w:rPr>
              <w:t>Reptile</w:t>
            </w:r>
          </w:p>
        </w:tc>
        <w:tc>
          <w:tcPr>
            <w:tcW w:w="870" w:type="pct"/>
            <w:tcBorders>
              <w:top w:val="single" w:sz="4" w:space="0" w:color="196B24"/>
              <w:left w:val="nil"/>
              <w:bottom w:val="nil"/>
              <w:right w:val="nil"/>
            </w:tcBorders>
            <w:vAlign w:val="center"/>
            <w:hideMark/>
          </w:tcPr>
          <w:p w14:paraId="1A684477" w14:textId="77777777" w:rsidR="005E7B5F" w:rsidRPr="00AD2980" w:rsidRDefault="005E7B5F" w:rsidP="005A7661">
            <w:pPr>
              <w:spacing w:after="0"/>
              <w:jc w:val="left"/>
              <w:rPr>
                <w:rFonts w:ascii="Aptos Narrow" w:hAnsi="Aptos Narrow" w:cs="Times New Roman"/>
                <w:b/>
                <w:bCs/>
                <w:i/>
                <w:iCs/>
                <w:color w:val="000000"/>
                <w:lang w:eastAsia="fr-FR"/>
              </w:rPr>
            </w:pPr>
            <w:r w:rsidRPr="00AD2980">
              <w:rPr>
                <w:rFonts w:ascii="Aptos Narrow" w:hAnsi="Aptos Narrow" w:cs="Times New Roman"/>
                <w:b/>
                <w:bCs/>
                <w:i/>
                <w:iCs/>
                <w:color w:val="000000"/>
                <w:lang w:eastAsia="fr-FR"/>
              </w:rPr>
              <w:t>Agama impalearis</w:t>
            </w:r>
          </w:p>
        </w:tc>
        <w:tc>
          <w:tcPr>
            <w:tcW w:w="616" w:type="pct"/>
            <w:tcBorders>
              <w:top w:val="single" w:sz="4" w:space="0" w:color="196B24"/>
              <w:left w:val="nil"/>
              <w:bottom w:val="nil"/>
              <w:right w:val="nil"/>
            </w:tcBorders>
            <w:vAlign w:val="center"/>
            <w:hideMark/>
          </w:tcPr>
          <w:p w14:paraId="2D17543C" w14:textId="77777777" w:rsidR="005E7B5F" w:rsidRPr="00AD2980" w:rsidRDefault="005E7B5F" w:rsidP="005A7661">
            <w:pPr>
              <w:spacing w:after="0"/>
              <w:jc w:val="left"/>
              <w:rPr>
                <w:rFonts w:ascii="Aptos Narrow" w:hAnsi="Aptos Narrow" w:cs="Times New Roman"/>
                <w:color w:val="000000"/>
                <w:lang w:eastAsia="fr-FR"/>
              </w:rPr>
            </w:pPr>
            <w:r w:rsidRPr="00AD2980">
              <w:rPr>
                <w:rFonts w:ascii="Aptos Narrow" w:hAnsi="Aptos Narrow" w:cs="Times New Roman"/>
                <w:color w:val="000000"/>
                <w:lang w:eastAsia="fr-FR"/>
              </w:rPr>
              <w:t>Agame du Maghreb</w:t>
            </w:r>
          </w:p>
        </w:tc>
        <w:tc>
          <w:tcPr>
            <w:tcW w:w="525" w:type="pct"/>
            <w:tcBorders>
              <w:top w:val="single" w:sz="4" w:space="0" w:color="196B24"/>
              <w:left w:val="nil"/>
              <w:bottom w:val="nil"/>
              <w:right w:val="nil"/>
            </w:tcBorders>
            <w:vAlign w:val="center"/>
            <w:hideMark/>
          </w:tcPr>
          <w:p w14:paraId="730754D1" w14:textId="77777777" w:rsidR="005E7B5F" w:rsidRPr="00AD2980" w:rsidRDefault="005E7B5F" w:rsidP="005A7661">
            <w:pPr>
              <w:spacing w:after="0"/>
              <w:jc w:val="right"/>
              <w:rPr>
                <w:rFonts w:ascii="Aptos Narrow" w:hAnsi="Aptos Narrow" w:cs="Times New Roman"/>
                <w:color w:val="000000"/>
                <w:lang w:eastAsia="fr-FR"/>
              </w:rPr>
            </w:pPr>
            <w:r w:rsidRPr="00AD2980">
              <w:rPr>
                <w:rFonts w:ascii="Aptos Narrow" w:hAnsi="Aptos Narrow" w:cs="Times New Roman"/>
                <w:color w:val="000000"/>
                <w:lang w:eastAsia="fr-FR"/>
              </w:rPr>
              <w:t>Non signalé</w:t>
            </w:r>
          </w:p>
        </w:tc>
        <w:tc>
          <w:tcPr>
            <w:tcW w:w="965" w:type="pct"/>
            <w:tcBorders>
              <w:top w:val="single" w:sz="4" w:space="0" w:color="196B24"/>
              <w:left w:val="nil"/>
              <w:bottom w:val="nil"/>
              <w:right w:val="nil"/>
            </w:tcBorders>
            <w:vAlign w:val="center"/>
            <w:hideMark/>
          </w:tcPr>
          <w:p w14:paraId="7B4DB9A7" w14:textId="77777777" w:rsidR="005E7B5F" w:rsidRPr="00AD2980" w:rsidRDefault="005E7B5F" w:rsidP="005A7661">
            <w:pPr>
              <w:spacing w:after="0"/>
              <w:jc w:val="right"/>
              <w:rPr>
                <w:rFonts w:ascii="Aptos Narrow" w:hAnsi="Aptos Narrow" w:cs="Times New Roman"/>
                <w:color w:val="000000"/>
                <w:lang w:eastAsia="fr-FR"/>
              </w:rPr>
            </w:pPr>
            <w:r w:rsidRPr="00AD2980">
              <w:rPr>
                <w:rFonts w:ascii="Aptos Narrow" w:hAnsi="Aptos Narrow" w:cs="Times New Roman"/>
                <w:color w:val="000000"/>
                <w:lang w:eastAsia="fr-FR"/>
              </w:rPr>
              <w:t>Oui</w:t>
            </w:r>
          </w:p>
        </w:tc>
        <w:tc>
          <w:tcPr>
            <w:tcW w:w="323" w:type="pct"/>
            <w:tcBorders>
              <w:top w:val="single" w:sz="4" w:space="0" w:color="196B24"/>
              <w:left w:val="nil"/>
              <w:bottom w:val="nil"/>
              <w:right w:val="nil"/>
            </w:tcBorders>
            <w:vAlign w:val="center"/>
            <w:hideMark/>
          </w:tcPr>
          <w:p w14:paraId="6FD832E0" w14:textId="77777777" w:rsidR="005E7B5F" w:rsidRPr="00AD2980" w:rsidRDefault="005E7B5F" w:rsidP="005A7661">
            <w:pPr>
              <w:spacing w:after="0"/>
              <w:jc w:val="left"/>
              <w:rPr>
                <w:rFonts w:ascii="Aptos Narrow" w:hAnsi="Aptos Narrow" w:cs="Times New Roman"/>
                <w:color w:val="000000"/>
                <w:lang w:eastAsia="fr-FR"/>
              </w:rPr>
            </w:pPr>
            <w:r w:rsidRPr="00AD2980">
              <w:rPr>
                <w:rFonts w:ascii="Aptos Narrow" w:hAnsi="Aptos Narrow" w:cs="Times New Roman"/>
                <w:color w:val="000000"/>
                <w:lang w:eastAsia="fr-FR"/>
              </w:rPr>
              <w:t>LC</w:t>
            </w:r>
          </w:p>
        </w:tc>
        <w:tc>
          <w:tcPr>
            <w:tcW w:w="352" w:type="pct"/>
            <w:tcBorders>
              <w:top w:val="single" w:sz="4" w:space="0" w:color="196B24"/>
              <w:left w:val="nil"/>
              <w:bottom w:val="nil"/>
              <w:right w:val="nil"/>
            </w:tcBorders>
            <w:vAlign w:val="center"/>
            <w:hideMark/>
          </w:tcPr>
          <w:p w14:paraId="5424BB47" w14:textId="77777777" w:rsidR="005E7B5F" w:rsidRPr="00AD2980" w:rsidRDefault="005E7B5F" w:rsidP="005A7661">
            <w:pPr>
              <w:spacing w:after="0"/>
              <w:jc w:val="left"/>
              <w:rPr>
                <w:rFonts w:ascii="Aptos Narrow" w:hAnsi="Aptos Narrow" w:cs="Times New Roman"/>
                <w:color w:val="000000"/>
                <w:lang w:eastAsia="fr-FR"/>
              </w:rPr>
            </w:pPr>
            <w:r w:rsidRPr="00AD2980">
              <w:rPr>
                <w:rFonts w:ascii="Aptos Narrow" w:hAnsi="Aptos Narrow" w:cs="Times New Roman"/>
                <w:color w:val="000000"/>
                <w:lang w:eastAsia="fr-FR"/>
              </w:rPr>
              <w:t>–</w:t>
            </w:r>
          </w:p>
        </w:tc>
        <w:tc>
          <w:tcPr>
            <w:tcW w:w="439" w:type="pct"/>
            <w:tcBorders>
              <w:top w:val="single" w:sz="4" w:space="0" w:color="196B24"/>
              <w:left w:val="nil"/>
              <w:bottom w:val="nil"/>
              <w:right w:val="nil"/>
            </w:tcBorders>
            <w:vAlign w:val="center"/>
            <w:hideMark/>
          </w:tcPr>
          <w:p w14:paraId="20316F08" w14:textId="77777777" w:rsidR="005E7B5F" w:rsidRPr="00AD2980" w:rsidRDefault="005E7B5F" w:rsidP="005A7661">
            <w:pPr>
              <w:spacing w:after="0"/>
              <w:jc w:val="left"/>
              <w:rPr>
                <w:rFonts w:ascii="Aptos Narrow" w:hAnsi="Aptos Narrow" w:cs="Times New Roman"/>
                <w:b/>
                <w:bCs/>
                <w:color w:val="000000"/>
                <w:lang w:eastAsia="fr-FR"/>
              </w:rPr>
            </w:pPr>
            <w:r w:rsidRPr="00AD2980">
              <w:rPr>
                <w:rFonts w:ascii="Aptos Narrow" w:hAnsi="Aptos Narrow" w:cs="Times New Roman"/>
                <w:b/>
                <w:bCs/>
                <w:color w:val="000000"/>
                <w:lang w:eastAsia="fr-FR"/>
              </w:rPr>
              <w:t>Cat. IV</w:t>
            </w:r>
          </w:p>
        </w:tc>
        <w:tc>
          <w:tcPr>
            <w:tcW w:w="349" w:type="pct"/>
            <w:tcBorders>
              <w:top w:val="single" w:sz="4" w:space="0" w:color="196B24"/>
              <w:left w:val="nil"/>
              <w:bottom w:val="nil"/>
              <w:right w:val="single" w:sz="4" w:space="0" w:color="196B24"/>
            </w:tcBorders>
            <w:vAlign w:val="center"/>
            <w:hideMark/>
          </w:tcPr>
          <w:p w14:paraId="237D5063" w14:textId="77777777" w:rsidR="005E7B5F" w:rsidRPr="00AD2980" w:rsidRDefault="005E7B5F" w:rsidP="005A7661">
            <w:pPr>
              <w:spacing w:after="0"/>
              <w:jc w:val="left"/>
              <w:rPr>
                <w:rFonts w:ascii="Aptos Narrow" w:hAnsi="Aptos Narrow" w:cs="Times New Roman"/>
                <w:color w:val="000000"/>
                <w:lang w:eastAsia="fr-FR"/>
              </w:rPr>
            </w:pPr>
            <w:r w:rsidRPr="00AD2980">
              <w:rPr>
                <w:rFonts w:ascii="Aptos Narrow" w:hAnsi="Aptos Narrow" w:cs="Times New Roman"/>
                <w:color w:val="000000"/>
                <w:lang w:eastAsia="fr-FR"/>
              </w:rPr>
              <w:t>–</w:t>
            </w:r>
          </w:p>
        </w:tc>
      </w:tr>
      <w:tr w:rsidR="005E7B5F" w:rsidRPr="00AD2980" w14:paraId="307FCBD3" w14:textId="77777777" w:rsidTr="005A7661">
        <w:trPr>
          <w:trHeight w:val="864"/>
        </w:trPr>
        <w:tc>
          <w:tcPr>
            <w:tcW w:w="562" w:type="pct"/>
            <w:tcBorders>
              <w:top w:val="single" w:sz="4" w:space="0" w:color="196B24"/>
              <w:left w:val="single" w:sz="4" w:space="0" w:color="196B24"/>
              <w:bottom w:val="nil"/>
              <w:right w:val="nil"/>
            </w:tcBorders>
            <w:vAlign w:val="center"/>
            <w:hideMark/>
          </w:tcPr>
          <w:p w14:paraId="1F12F141" w14:textId="77777777" w:rsidR="005E7B5F" w:rsidRPr="00AD2980" w:rsidRDefault="005E7B5F" w:rsidP="005A7661">
            <w:pPr>
              <w:spacing w:after="0"/>
              <w:jc w:val="left"/>
              <w:rPr>
                <w:rFonts w:ascii="Aptos Narrow" w:hAnsi="Aptos Narrow" w:cs="Times New Roman"/>
                <w:color w:val="000000"/>
                <w:lang w:eastAsia="fr-FR"/>
              </w:rPr>
            </w:pPr>
            <w:r w:rsidRPr="00AD2980">
              <w:rPr>
                <w:rFonts w:ascii="Aptos Narrow" w:hAnsi="Aptos Narrow" w:cs="Times New Roman"/>
                <w:color w:val="000000"/>
                <w:lang w:eastAsia="fr-FR"/>
              </w:rPr>
              <w:t>Reptile</w:t>
            </w:r>
          </w:p>
        </w:tc>
        <w:tc>
          <w:tcPr>
            <w:tcW w:w="870" w:type="pct"/>
            <w:tcBorders>
              <w:top w:val="single" w:sz="4" w:space="0" w:color="196B24"/>
              <w:left w:val="nil"/>
              <w:bottom w:val="nil"/>
              <w:right w:val="nil"/>
            </w:tcBorders>
            <w:vAlign w:val="center"/>
            <w:hideMark/>
          </w:tcPr>
          <w:p w14:paraId="34BE18C4" w14:textId="77777777" w:rsidR="005E7B5F" w:rsidRPr="00AD2980" w:rsidRDefault="005E7B5F" w:rsidP="005A7661">
            <w:pPr>
              <w:spacing w:after="0"/>
              <w:jc w:val="left"/>
              <w:rPr>
                <w:rFonts w:ascii="Aptos Narrow" w:hAnsi="Aptos Narrow" w:cs="Times New Roman"/>
                <w:b/>
                <w:bCs/>
                <w:i/>
                <w:iCs/>
                <w:color w:val="000000"/>
                <w:lang w:eastAsia="fr-FR"/>
              </w:rPr>
            </w:pPr>
            <w:r w:rsidRPr="00AD2980">
              <w:rPr>
                <w:rFonts w:ascii="Aptos Narrow" w:hAnsi="Aptos Narrow" w:cs="Times New Roman"/>
                <w:b/>
                <w:bCs/>
                <w:i/>
                <w:iCs/>
                <w:color w:val="000000"/>
                <w:lang w:eastAsia="fr-FR"/>
              </w:rPr>
              <w:t>Hemorrhois hippocrepis</w:t>
            </w:r>
          </w:p>
        </w:tc>
        <w:tc>
          <w:tcPr>
            <w:tcW w:w="616" w:type="pct"/>
            <w:tcBorders>
              <w:top w:val="single" w:sz="4" w:space="0" w:color="196B24"/>
              <w:left w:val="nil"/>
              <w:bottom w:val="nil"/>
              <w:right w:val="nil"/>
            </w:tcBorders>
            <w:vAlign w:val="center"/>
            <w:hideMark/>
          </w:tcPr>
          <w:p w14:paraId="7BC8DBFC" w14:textId="77777777" w:rsidR="005E7B5F" w:rsidRPr="00AD2980" w:rsidRDefault="005E7B5F" w:rsidP="005A7661">
            <w:pPr>
              <w:spacing w:after="0"/>
              <w:jc w:val="left"/>
              <w:rPr>
                <w:rFonts w:ascii="Aptos Narrow" w:hAnsi="Aptos Narrow" w:cs="Times New Roman"/>
                <w:color w:val="000000"/>
                <w:lang w:eastAsia="fr-FR"/>
              </w:rPr>
            </w:pPr>
            <w:r w:rsidRPr="00AD2980">
              <w:rPr>
                <w:rFonts w:ascii="Aptos Narrow" w:hAnsi="Aptos Narrow" w:cs="Times New Roman"/>
                <w:color w:val="000000"/>
                <w:lang w:eastAsia="fr-FR"/>
              </w:rPr>
              <w:t>Couleuvre de Montpellier à fer-à-cheval</w:t>
            </w:r>
          </w:p>
        </w:tc>
        <w:tc>
          <w:tcPr>
            <w:tcW w:w="525" w:type="pct"/>
            <w:tcBorders>
              <w:top w:val="single" w:sz="4" w:space="0" w:color="196B24"/>
              <w:left w:val="nil"/>
              <w:bottom w:val="nil"/>
              <w:right w:val="nil"/>
            </w:tcBorders>
            <w:vAlign w:val="center"/>
            <w:hideMark/>
          </w:tcPr>
          <w:p w14:paraId="63AC4902" w14:textId="77777777" w:rsidR="005E7B5F" w:rsidRPr="00AD2980" w:rsidRDefault="005E7B5F" w:rsidP="005A7661">
            <w:pPr>
              <w:spacing w:after="0"/>
              <w:jc w:val="right"/>
              <w:rPr>
                <w:rFonts w:ascii="Aptos Narrow" w:hAnsi="Aptos Narrow" w:cs="Times New Roman"/>
                <w:color w:val="000000"/>
                <w:lang w:eastAsia="fr-FR"/>
              </w:rPr>
            </w:pPr>
            <w:r w:rsidRPr="00AD2980">
              <w:rPr>
                <w:rFonts w:ascii="Aptos Narrow" w:hAnsi="Aptos Narrow" w:cs="Times New Roman"/>
                <w:color w:val="000000"/>
                <w:lang w:eastAsia="fr-FR"/>
              </w:rPr>
              <w:t>Non signalée</w:t>
            </w:r>
          </w:p>
        </w:tc>
        <w:tc>
          <w:tcPr>
            <w:tcW w:w="965" w:type="pct"/>
            <w:tcBorders>
              <w:top w:val="single" w:sz="4" w:space="0" w:color="196B24"/>
              <w:left w:val="nil"/>
              <w:bottom w:val="nil"/>
              <w:right w:val="nil"/>
            </w:tcBorders>
            <w:vAlign w:val="center"/>
            <w:hideMark/>
          </w:tcPr>
          <w:p w14:paraId="6379B24F" w14:textId="77777777" w:rsidR="005E7B5F" w:rsidRPr="00AD2980" w:rsidRDefault="005E7B5F" w:rsidP="005A7661">
            <w:pPr>
              <w:spacing w:after="0"/>
              <w:jc w:val="right"/>
              <w:rPr>
                <w:rFonts w:ascii="Aptos Narrow" w:hAnsi="Aptos Narrow" w:cs="Times New Roman"/>
                <w:color w:val="000000"/>
                <w:lang w:eastAsia="fr-FR"/>
              </w:rPr>
            </w:pPr>
            <w:r w:rsidRPr="00AD2980">
              <w:rPr>
                <w:rFonts w:ascii="Aptos Narrow" w:hAnsi="Aptos Narrow" w:cs="Times New Roman"/>
                <w:color w:val="000000"/>
                <w:lang w:eastAsia="fr-FR"/>
              </w:rPr>
              <w:t>Oui</w:t>
            </w:r>
          </w:p>
        </w:tc>
        <w:tc>
          <w:tcPr>
            <w:tcW w:w="323" w:type="pct"/>
            <w:tcBorders>
              <w:top w:val="single" w:sz="4" w:space="0" w:color="196B24"/>
              <w:left w:val="nil"/>
              <w:bottom w:val="nil"/>
              <w:right w:val="nil"/>
            </w:tcBorders>
            <w:vAlign w:val="center"/>
            <w:hideMark/>
          </w:tcPr>
          <w:p w14:paraId="4EBA5FB5" w14:textId="77777777" w:rsidR="005E7B5F" w:rsidRPr="00AD2980" w:rsidRDefault="005E7B5F" w:rsidP="005A7661">
            <w:pPr>
              <w:spacing w:after="0"/>
              <w:jc w:val="left"/>
              <w:rPr>
                <w:rFonts w:ascii="Aptos Narrow" w:hAnsi="Aptos Narrow" w:cs="Times New Roman"/>
                <w:color w:val="000000"/>
                <w:lang w:eastAsia="fr-FR"/>
              </w:rPr>
            </w:pPr>
            <w:r w:rsidRPr="00AD2980">
              <w:rPr>
                <w:rFonts w:ascii="Aptos Narrow" w:hAnsi="Aptos Narrow" w:cs="Times New Roman"/>
                <w:color w:val="000000"/>
                <w:lang w:eastAsia="fr-FR"/>
              </w:rPr>
              <w:t>LC</w:t>
            </w:r>
          </w:p>
        </w:tc>
        <w:tc>
          <w:tcPr>
            <w:tcW w:w="352" w:type="pct"/>
            <w:tcBorders>
              <w:top w:val="single" w:sz="4" w:space="0" w:color="196B24"/>
              <w:left w:val="nil"/>
              <w:bottom w:val="nil"/>
              <w:right w:val="nil"/>
            </w:tcBorders>
            <w:vAlign w:val="center"/>
            <w:hideMark/>
          </w:tcPr>
          <w:p w14:paraId="5EF688E1" w14:textId="77777777" w:rsidR="005E7B5F" w:rsidRPr="00AD2980" w:rsidRDefault="005E7B5F" w:rsidP="005A7661">
            <w:pPr>
              <w:spacing w:after="0"/>
              <w:jc w:val="left"/>
              <w:rPr>
                <w:rFonts w:ascii="Aptos Narrow" w:hAnsi="Aptos Narrow" w:cs="Times New Roman"/>
                <w:color w:val="000000"/>
                <w:lang w:eastAsia="fr-FR"/>
              </w:rPr>
            </w:pPr>
            <w:r w:rsidRPr="00AD2980">
              <w:rPr>
                <w:rFonts w:ascii="Aptos Narrow" w:hAnsi="Aptos Narrow" w:cs="Times New Roman"/>
                <w:color w:val="000000"/>
                <w:lang w:eastAsia="fr-FR"/>
              </w:rPr>
              <w:t>–</w:t>
            </w:r>
          </w:p>
        </w:tc>
        <w:tc>
          <w:tcPr>
            <w:tcW w:w="439" w:type="pct"/>
            <w:tcBorders>
              <w:top w:val="single" w:sz="4" w:space="0" w:color="196B24"/>
              <w:left w:val="nil"/>
              <w:bottom w:val="nil"/>
              <w:right w:val="nil"/>
            </w:tcBorders>
            <w:vAlign w:val="center"/>
            <w:hideMark/>
          </w:tcPr>
          <w:p w14:paraId="32EE0FAF" w14:textId="77777777" w:rsidR="005E7B5F" w:rsidRPr="00AD2980" w:rsidRDefault="005E7B5F" w:rsidP="005A7661">
            <w:pPr>
              <w:spacing w:after="0"/>
              <w:jc w:val="left"/>
              <w:rPr>
                <w:rFonts w:ascii="Aptos Narrow" w:hAnsi="Aptos Narrow" w:cs="Times New Roman"/>
                <w:b/>
                <w:bCs/>
                <w:color w:val="000000"/>
                <w:lang w:eastAsia="fr-FR"/>
              </w:rPr>
            </w:pPr>
            <w:r w:rsidRPr="00AD2980">
              <w:rPr>
                <w:rFonts w:ascii="Aptos Narrow" w:hAnsi="Aptos Narrow" w:cs="Times New Roman"/>
                <w:b/>
                <w:bCs/>
                <w:color w:val="000000"/>
                <w:lang w:eastAsia="fr-FR"/>
              </w:rPr>
              <w:t>Cat. IV</w:t>
            </w:r>
          </w:p>
        </w:tc>
        <w:tc>
          <w:tcPr>
            <w:tcW w:w="349" w:type="pct"/>
            <w:tcBorders>
              <w:top w:val="single" w:sz="4" w:space="0" w:color="196B24"/>
              <w:left w:val="nil"/>
              <w:bottom w:val="nil"/>
              <w:right w:val="single" w:sz="4" w:space="0" w:color="196B24"/>
            </w:tcBorders>
            <w:vAlign w:val="center"/>
            <w:hideMark/>
          </w:tcPr>
          <w:p w14:paraId="71DC6E49" w14:textId="77777777" w:rsidR="005E7B5F" w:rsidRPr="00AD2980" w:rsidRDefault="005E7B5F" w:rsidP="005A7661">
            <w:pPr>
              <w:spacing w:after="0"/>
              <w:jc w:val="left"/>
              <w:rPr>
                <w:rFonts w:ascii="Aptos Narrow" w:hAnsi="Aptos Narrow" w:cs="Times New Roman"/>
                <w:color w:val="000000"/>
                <w:lang w:eastAsia="fr-FR"/>
              </w:rPr>
            </w:pPr>
            <w:r w:rsidRPr="00AD2980">
              <w:rPr>
                <w:rFonts w:ascii="Aptos Narrow" w:hAnsi="Aptos Narrow" w:cs="Times New Roman"/>
                <w:color w:val="000000"/>
                <w:lang w:eastAsia="fr-FR"/>
              </w:rPr>
              <w:t>–</w:t>
            </w:r>
          </w:p>
        </w:tc>
      </w:tr>
      <w:tr w:rsidR="005E7B5F" w:rsidRPr="00AD2980" w14:paraId="28A22AE8" w14:textId="77777777" w:rsidTr="005A7661">
        <w:trPr>
          <w:trHeight w:val="576"/>
        </w:trPr>
        <w:tc>
          <w:tcPr>
            <w:tcW w:w="562" w:type="pct"/>
            <w:tcBorders>
              <w:top w:val="single" w:sz="4" w:space="0" w:color="196B24"/>
              <w:left w:val="single" w:sz="4" w:space="0" w:color="196B24"/>
              <w:bottom w:val="nil"/>
              <w:right w:val="nil"/>
            </w:tcBorders>
            <w:vAlign w:val="center"/>
            <w:hideMark/>
          </w:tcPr>
          <w:p w14:paraId="31BB274F" w14:textId="77777777" w:rsidR="005E7B5F" w:rsidRPr="00AD2980" w:rsidRDefault="005E7B5F" w:rsidP="005A7661">
            <w:pPr>
              <w:spacing w:after="0"/>
              <w:jc w:val="left"/>
              <w:rPr>
                <w:rFonts w:ascii="Aptos Narrow" w:hAnsi="Aptos Narrow" w:cs="Times New Roman"/>
                <w:color w:val="000000"/>
                <w:lang w:eastAsia="fr-FR"/>
              </w:rPr>
            </w:pPr>
            <w:r w:rsidRPr="00AD2980">
              <w:rPr>
                <w:rFonts w:ascii="Aptos Narrow" w:hAnsi="Aptos Narrow" w:cs="Times New Roman"/>
                <w:color w:val="000000"/>
                <w:lang w:eastAsia="fr-FR"/>
              </w:rPr>
              <w:t>Reptile</w:t>
            </w:r>
          </w:p>
        </w:tc>
        <w:tc>
          <w:tcPr>
            <w:tcW w:w="870" w:type="pct"/>
            <w:tcBorders>
              <w:top w:val="single" w:sz="4" w:space="0" w:color="196B24"/>
              <w:left w:val="nil"/>
              <w:bottom w:val="nil"/>
              <w:right w:val="nil"/>
            </w:tcBorders>
            <w:vAlign w:val="center"/>
            <w:hideMark/>
          </w:tcPr>
          <w:p w14:paraId="73DFCA60" w14:textId="77777777" w:rsidR="005E7B5F" w:rsidRPr="00AD2980" w:rsidRDefault="005E7B5F" w:rsidP="005A7661">
            <w:pPr>
              <w:spacing w:after="0"/>
              <w:jc w:val="left"/>
              <w:rPr>
                <w:rFonts w:ascii="Aptos Narrow" w:hAnsi="Aptos Narrow" w:cs="Times New Roman"/>
                <w:b/>
                <w:bCs/>
                <w:i/>
                <w:iCs/>
                <w:color w:val="000000"/>
                <w:lang w:eastAsia="fr-FR"/>
              </w:rPr>
            </w:pPr>
            <w:r w:rsidRPr="00AD2980">
              <w:rPr>
                <w:rFonts w:ascii="Aptos Narrow" w:hAnsi="Aptos Narrow" w:cs="Times New Roman"/>
                <w:b/>
                <w:bCs/>
                <w:i/>
                <w:iCs/>
                <w:color w:val="000000"/>
                <w:lang w:eastAsia="fr-FR"/>
              </w:rPr>
              <w:t>Malpolon monspessulanus</w:t>
            </w:r>
          </w:p>
        </w:tc>
        <w:tc>
          <w:tcPr>
            <w:tcW w:w="616" w:type="pct"/>
            <w:tcBorders>
              <w:top w:val="single" w:sz="4" w:space="0" w:color="196B24"/>
              <w:left w:val="nil"/>
              <w:bottom w:val="nil"/>
              <w:right w:val="nil"/>
            </w:tcBorders>
            <w:vAlign w:val="center"/>
            <w:hideMark/>
          </w:tcPr>
          <w:p w14:paraId="6B63CC6B" w14:textId="77777777" w:rsidR="005E7B5F" w:rsidRPr="00AD2980" w:rsidRDefault="005E7B5F" w:rsidP="005A7661">
            <w:pPr>
              <w:spacing w:after="0"/>
              <w:jc w:val="left"/>
              <w:rPr>
                <w:rFonts w:ascii="Aptos Narrow" w:hAnsi="Aptos Narrow" w:cs="Times New Roman"/>
                <w:color w:val="000000"/>
                <w:lang w:eastAsia="fr-FR"/>
              </w:rPr>
            </w:pPr>
            <w:r w:rsidRPr="00AD2980">
              <w:rPr>
                <w:rFonts w:ascii="Aptos Narrow" w:hAnsi="Aptos Narrow" w:cs="Times New Roman"/>
                <w:color w:val="000000"/>
                <w:lang w:eastAsia="fr-FR"/>
              </w:rPr>
              <w:t>Couleuvre de Montpellier</w:t>
            </w:r>
          </w:p>
        </w:tc>
        <w:tc>
          <w:tcPr>
            <w:tcW w:w="525" w:type="pct"/>
            <w:tcBorders>
              <w:top w:val="single" w:sz="4" w:space="0" w:color="196B24"/>
              <w:left w:val="nil"/>
              <w:bottom w:val="nil"/>
              <w:right w:val="nil"/>
            </w:tcBorders>
            <w:vAlign w:val="center"/>
            <w:hideMark/>
          </w:tcPr>
          <w:p w14:paraId="6EA61556" w14:textId="77777777" w:rsidR="005E7B5F" w:rsidRPr="00AD2980" w:rsidRDefault="005E7B5F" w:rsidP="005A7661">
            <w:pPr>
              <w:spacing w:after="0"/>
              <w:jc w:val="right"/>
              <w:rPr>
                <w:rFonts w:ascii="Aptos Narrow" w:hAnsi="Aptos Narrow" w:cs="Times New Roman"/>
                <w:color w:val="000000"/>
                <w:lang w:eastAsia="fr-FR"/>
              </w:rPr>
            </w:pPr>
            <w:r w:rsidRPr="00AD2980">
              <w:rPr>
                <w:rFonts w:ascii="Aptos Narrow" w:hAnsi="Aptos Narrow" w:cs="Times New Roman"/>
                <w:color w:val="000000"/>
                <w:lang w:eastAsia="fr-FR"/>
              </w:rPr>
              <w:t>Non signalée</w:t>
            </w:r>
          </w:p>
        </w:tc>
        <w:tc>
          <w:tcPr>
            <w:tcW w:w="965" w:type="pct"/>
            <w:tcBorders>
              <w:top w:val="single" w:sz="4" w:space="0" w:color="196B24"/>
              <w:left w:val="nil"/>
              <w:bottom w:val="nil"/>
              <w:right w:val="nil"/>
            </w:tcBorders>
            <w:vAlign w:val="center"/>
            <w:hideMark/>
          </w:tcPr>
          <w:p w14:paraId="748D76CE" w14:textId="77777777" w:rsidR="005E7B5F" w:rsidRPr="00AD2980" w:rsidRDefault="005E7B5F" w:rsidP="005A7661">
            <w:pPr>
              <w:spacing w:after="0"/>
              <w:jc w:val="right"/>
              <w:rPr>
                <w:rFonts w:ascii="Aptos Narrow" w:hAnsi="Aptos Narrow" w:cs="Times New Roman"/>
                <w:color w:val="000000"/>
                <w:lang w:eastAsia="fr-FR"/>
              </w:rPr>
            </w:pPr>
            <w:r w:rsidRPr="00AD2980">
              <w:rPr>
                <w:rFonts w:ascii="Aptos Narrow" w:hAnsi="Aptos Narrow" w:cs="Times New Roman"/>
                <w:color w:val="000000"/>
                <w:lang w:eastAsia="fr-FR"/>
              </w:rPr>
              <w:t>Oui</w:t>
            </w:r>
          </w:p>
        </w:tc>
        <w:tc>
          <w:tcPr>
            <w:tcW w:w="323" w:type="pct"/>
            <w:tcBorders>
              <w:top w:val="single" w:sz="4" w:space="0" w:color="196B24"/>
              <w:left w:val="nil"/>
              <w:bottom w:val="nil"/>
              <w:right w:val="nil"/>
            </w:tcBorders>
            <w:vAlign w:val="center"/>
            <w:hideMark/>
          </w:tcPr>
          <w:p w14:paraId="7213B2B2" w14:textId="77777777" w:rsidR="005E7B5F" w:rsidRPr="00AD2980" w:rsidRDefault="005E7B5F" w:rsidP="005A7661">
            <w:pPr>
              <w:spacing w:after="0"/>
              <w:jc w:val="left"/>
              <w:rPr>
                <w:rFonts w:ascii="Aptos Narrow" w:hAnsi="Aptos Narrow" w:cs="Times New Roman"/>
                <w:color w:val="000000"/>
                <w:lang w:eastAsia="fr-FR"/>
              </w:rPr>
            </w:pPr>
            <w:r w:rsidRPr="00AD2980">
              <w:rPr>
                <w:rFonts w:ascii="Aptos Narrow" w:hAnsi="Aptos Narrow" w:cs="Times New Roman"/>
                <w:color w:val="000000"/>
                <w:lang w:eastAsia="fr-FR"/>
              </w:rPr>
              <w:t>LC</w:t>
            </w:r>
          </w:p>
        </w:tc>
        <w:tc>
          <w:tcPr>
            <w:tcW w:w="352" w:type="pct"/>
            <w:tcBorders>
              <w:top w:val="single" w:sz="4" w:space="0" w:color="196B24"/>
              <w:left w:val="nil"/>
              <w:bottom w:val="nil"/>
              <w:right w:val="nil"/>
            </w:tcBorders>
            <w:vAlign w:val="center"/>
            <w:hideMark/>
          </w:tcPr>
          <w:p w14:paraId="78BB4C39" w14:textId="77777777" w:rsidR="005E7B5F" w:rsidRPr="00AD2980" w:rsidRDefault="005E7B5F" w:rsidP="005A7661">
            <w:pPr>
              <w:spacing w:after="0"/>
              <w:jc w:val="left"/>
              <w:rPr>
                <w:rFonts w:ascii="Aptos Narrow" w:hAnsi="Aptos Narrow" w:cs="Times New Roman"/>
                <w:color w:val="000000"/>
                <w:lang w:eastAsia="fr-FR"/>
              </w:rPr>
            </w:pPr>
            <w:r w:rsidRPr="00AD2980">
              <w:rPr>
                <w:rFonts w:ascii="Aptos Narrow" w:hAnsi="Aptos Narrow" w:cs="Times New Roman"/>
                <w:color w:val="000000"/>
                <w:lang w:eastAsia="fr-FR"/>
              </w:rPr>
              <w:t>–</w:t>
            </w:r>
          </w:p>
        </w:tc>
        <w:tc>
          <w:tcPr>
            <w:tcW w:w="439" w:type="pct"/>
            <w:tcBorders>
              <w:top w:val="single" w:sz="4" w:space="0" w:color="196B24"/>
              <w:left w:val="nil"/>
              <w:bottom w:val="nil"/>
              <w:right w:val="nil"/>
            </w:tcBorders>
            <w:vAlign w:val="center"/>
            <w:hideMark/>
          </w:tcPr>
          <w:p w14:paraId="446826C2" w14:textId="77777777" w:rsidR="005E7B5F" w:rsidRPr="00AD2980" w:rsidRDefault="005E7B5F" w:rsidP="005A7661">
            <w:pPr>
              <w:spacing w:after="0"/>
              <w:jc w:val="left"/>
              <w:rPr>
                <w:rFonts w:ascii="Aptos Narrow" w:hAnsi="Aptos Narrow" w:cs="Times New Roman"/>
                <w:b/>
                <w:bCs/>
                <w:color w:val="000000"/>
                <w:lang w:eastAsia="fr-FR"/>
              </w:rPr>
            </w:pPr>
            <w:r w:rsidRPr="00AD2980">
              <w:rPr>
                <w:rFonts w:ascii="Aptos Narrow" w:hAnsi="Aptos Narrow" w:cs="Times New Roman"/>
                <w:b/>
                <w:bCs/>
                <w:color w:val="000000"/>
                <w:lang w:eastAsia="fr-FR"/>
              </w:rPr>
              <w:t>Cat. IV</w:t>
            </w:r>
          </w:p>
        </w:tc>
        <w:tc>
          <w:tcPr>
            <w:tcW w:w="349" w:type="pct"/>
            <w:tcBorders>
              <w:top w:val="single" w:sz="4" w:space="0" w:color="196B24"/>
              <w:left w:val="nil"/>
              <w:bottom w:val="nil"/>
              <w:right w:val="single" w:sz="4" w:space="0" w:color="196B24"/>
            </w:tcBorders>
            <w:vAlign w:val="center"/>
            <w:hideMark/>
          </w:tcPr>
          <w:p w14:paraId="6AA3CAA6" w14:textId="77777777" w:rsidR="005E7B5F" w:rsidRPr="00AD2980" w:rsidRDefault="005E7B5F" w:rsidP="005A7661">
            <w:pPr>
              <w:spacing w:after="0"/>
              <w:jc w:val="left"/>
              <w:rPr>
                <w:rFonts w:ascii="Aptos Narrow" w:hAnsi="Aptos Narrow" w:cs="Times New Roman"/>
                <w:color w:val="000000"/>
                <w:lang w:eastAsia="fr-FR"/>
              </w:rPr>
            </w:pPr>
            <w:r w:rsidRPr="00AD2980">
              <w:rPr>
                <w:rFonts w:ascii="Aptos Narrow" w:hAnsi="Aptos Narrow" w:cs="Times New Roman"/>
                <w:color w:val="000000"/>
                <w:lang w:eastAsia="fr-FR"/>
              </w:rPr>
              <w:t>–</w:t>
            </w:r>
          </w:p>
        </w:tc>
      </w:tr>
      <w:tr w:rsidR="005E7B5F" w:rsidRPr="00AD2980" w14:paraId="1693A9A1" w14:textId="77777777" w:rsidTr="005A7661">
        <w:trPr>
          <w:trHeight w:val="576"/>
        </w:trPr>
        <w:tc>
          <w:tcPr>
            <w:tcW w:w="562" w:type="pct"/>
            <w:tcBorders>
              <w:top w:val="single" w:sz="4" w:space="0" w:color="196B24"/>
              <w:left w:val="single" w:sz="4" w:space="0" w:color="196B24"/>
              <w:bottom w:val="nil"/>
              <w:right w:val="nil"/>
            </w:tcBorders>
            <w:vAlign w:val="center"/>
            <w:hideMark/>
          </w:tcPr>
          <w:p w14:paraId="7054CFA2" w14:textId="77777777" w:rsidR="005E7B5F" w:rsidRPr="00AD2980" w:rsidRDefault="005E7B5F" w:rsidP="005A7661">
            <w:pPr>
              <w:spacing w:after="0"/>
              <w:jc w:val="left"/>
              <w:rPr>
                <w:rFonts w:ascii="Aptos Narrow" w:hAnsi="Aptos Narrow" w:cs="Times New Roman"/>
                <w:color w:val="000000"/>
                <w:lang w:eastAsia="fr-FR"/>
              </w:rPr>
            </w:pPr>
            <w:r w:rsidRPr="00AD2980">
              <w:rPr>
                <w:rFonts w:ascii="Aptos Narrow" w:hAnsi="Aptos Narrow" w:cs="Times New Roman"/>
                <w:color w:val="000000"/>
                <w:lang w:eastAsia="fr-FR"/>
              </w:rPr>
              <w:t>Reptile</w:t>
            </w:r>
          </w:p>
        </w:tc>
        <w:tc>
          <w:tcPr>
            <w:tcW w:w="870" w:type="pct"/>
            <w:tcBorders>
              <w:top w:val="single" w:sz="4" w:space="0" w:color="196B24"/>
              <w:left w:val="nil"/>
              <w:bottom w:val="nil"/>
              <w:right w:val="nil"/>
            </w:tcBorders>
            <w:vAlign w:val="center"/>
            <w:hideMark/>
          </w:tcPr>
          <w:p w14:paraId="00AE7364" w14:textId="77777777" w:rsidR="005E7B5F" w:rsidRPr="00AD2980" w:rsidRDefault="005E7B5F" w:rsidP="005A7661">
            <w:pPr>
              <w:spacing w:after="0"/>
              <w:jc w:val="left"/>
              <w:rPr>
                <w:rFonts w:ascii="Aptos Narrow" w:hAnsi="Aptos Narrow" w:cs="Times New Roman"/>
                <w:b/>
                <w:bCs/>
                <w:i/>
                <w:iCs/>
                <w:color w:val="000000"/>
                <w:lang w:eastAsia="fr-FR"/>
              </w:rPr>
            </w:pPr>
            <w:r w:rsidRPr="00AD2980">
              <w:rPr>
                <w:rFonts w:ascii="Aptos Narrow" w:hAnsi="Aptos Narrow" w:cs="Times New Roman"/>
                <w:b/>
                <w:bCs/>
                <w:i/>
                <w:iCs/>
                <w:color w:val="000000"/>
                <w:lang w:eastAsia="fr-FR"/>
              </w:rPr>
              <w:t>Natrix maura</w:t>
            </w:r>
          </w:p>
        </w:tc>
        <w:tc>
          <w:tcPr>
            <w:tcW w:w="616" w:type="pct"/>
            <w:tcBorders>
              <w:top w:val="single" w:sz="4" w:space="0" w:color="196B24"/>
              <w:left w:val="nil"/>
              <w:bottom w:val="nil"/>
              <w:right w:val="nil"/>
            </w:tcBorders>
            <w:vAlign w:val="center"/>
            <w:hideMark/>
          </w:tcPr>
          <w:p w14:paraId="3F8D686B" w14:textId="77777777" w:rsidR="005E7B5F" w:rsidRPr="00AD2980" w:rsidRDefault="005E7B5F" w:rsidP="005A7661">
            <w:pPr>
              <w:spacing w:after="0"/>
              <w:jc w:val="left"/>
              <w:rPr>
                <w:rFonts w:ascii="Aptos Narrow" w:hAnsi="Aptos Narrow" w:cs="Times New Roman"/>
                <w:color w:val="000000"/>
                <w:lang w:eastAsia="fr-FR"/>
              </w:rPr>
            </w:pPr>
            <w:r w:rsidRPr="00AD2980">
              <w:rPr>
                <w:rFonts w:ascii="Aptos Narrow" w:hAnsi="Aptos Narrow" w:cs="Times New Roman"/>
                <w:color w:val="000000"/>
                <w:lang w:eastAsia="fr-FR"/>
              </w:rPr>
              <w:t>Couleuvre vipérine</w:t>
            </w:r>
          </w:p>
        </w:tc>
        <w:tc>
          <w:tcPr>
            <w:tcW w:w="525" w:type="pct"/>
            <w:tcBorders>
              <w:top w:val="single" w:sz="4" w:space="0" w:color="196B24"/>
              <w:left w:val="nil"/>
              <w:bottom w:val="nil"/>
              <w:right w:val="nil"/>
            </w:tcBorders>
            <w:vAlign w:val="center"/>
            <w:hideMark/>
          </w:tcPr>
          <w:p w14:paraId="2EEBA757" w14:textId="77777777" w:rsidR="005E7B5F" w:rsidRPr="00AD2980" w:rsidRDefault="005E7B5F" w:rsidP="005A7661">
            <w:pPr>
              <w:spacing w:after="0"/>
              <w:jc w:val="right"/>
              <w:rPr>
                <w:rFonts w:ascii="Aptos Narrow" w:hAnsi="Aptos Narrow" w:cs="Times New Roman"/>
                <w:color w:val="000000"/>
                <w:lang w:eastAsia="fr-FR"/>
              </w:rPr>
            </w:pPr>
            <w:r w:rsidRPr="00AD2980">
              <w:rPr>
                <w:rFonts w:ascii="Aptos Narrow" w:hAnsi="Aptos Narrow" w:cs="Times New Roman"/>
                <w:color w:val="000000"/>
                <w:lang w:eastAsia="fr-FR"/>
              </w:rPr>
              <w:t>Non signalée</w:t>
            </w:r>
          </w:p>
        </w:tc>
        <w:tc>
          <w:tcPr>
            <w:tcW w:w="965" w:type="pct"/>
            <w:tcBorders>
              <w:top w:val="single" w:sz="4" w:space="0" w:color="196B24"/>
              <w:left w:val="nil"/>
              <w:bottom w:val="nil"/>
              <w:right w:val="nil"/>
            </w:tcBorders>
            <w:vAlign w:val="center"/>
            <w:hideMark/>
          </w:tcPr>
          <w:p w14:paraId="217F8B13" w14:textId="77777777" w:rsidR="005E7B5F" w:rsidRPr="00AD2980" w:rsidRDefault="005E7B5F" w:rsidP="005A7661">
            <w:pPr>
              <w:spacing w:after="0"/>
              <w:jc w:val="right"/>
              <w:rPr>
                <w:rFonts w:ascii="Aptos Narrow" w:hAnsi="Aptos Narrow" w:cs="Times New Roman"/>
                <w:b/>
                <w:bCs/>
                <w:color w:val="000000"/>
                <w:lang w:eastAsia="fr-FR"/>
              </w:rPr>
            </w:pPr>
            <w:r w:rsidRPr="00AD2980">
              <w:rPr>
                <w:rFonts w:ascii="Aptos Narrow" w:hAnsi="Aptos Narrow" w:cs="Times New Roman"/>
                <w:b/>
                <w:bCs/>
                <w:color w:val="000000"/>
                <w:lang w:eastAsia="fr-FR"/>
              </w:rPr>
              <w:t>Localisée</w:t>
            </w:r>
            <w:r w:rsidRPr="00AD2980">
              <w:rPr>
                <w:rFonts w:ascii="Aptos Narrow" w:hAnsi="Aptos Narrow" w:cs="Times New Roman"/>
                <w:color w:val="000000"/>
                <w:lang w:eastAsia="fr-FR"/>
              </w:rPr>
              <w:t xml:space="preserve"> (points d’eau)</w:t>
            </w:r>
          </w:p>
        </w:tc>
        <w:tc>
          <w:tcPr>
            <w:tcW w:w="323" w:type="pct"/>
            <w:tcBorders>
              <w:top w:val="single" w:sz="4" w:space="0" w:color="196B24"/>
              <w:left w:val="nil"/>
              <w:bottom w:val="nil"/>
              <w:right w:val="nil"/>
            </w:tcBorders>
            <w:vAlign w:val="center"/>
            <w:hideMark/>
          </w:tcPr>
          <w:p w14:paraId="350722E8" w14:textId="77777777" w:rsidR="005E7B5F" w:rsidRPr="00AD2980" w:rsidRDefault="005E7B5F" w:rsidP="005A7661">
            <w:pPr>
              <w:spacing w:after="0"/>
              <w:jc w:val="left"/>
              <w:rPr>
                <w:rFonts w:ascii="Aptos Narrow" w:hAnsi="Aptos Narrow" w:cs="Times New Roman"/>
                <w:color w:val="000000"/>
                <w:lang w:eastAsia="fr-FR"/>
              </w:rPr>
            </w:pPr>
            <w:r w:rsidRPr="00AD2980">
              <w:rPr>
                <w:rFonts w:ascii="Aptos Narrow" w:hAnsi="Aptos Narrow" w:cs="Times New Roman"/>
                <w:color w:val="000000"/>
                <w:lang w:eastAsia="fr-FR"/>
              </w:rPr>
              <w:t>LC</w:t>
            </w:r>
          </w:p>
        </w:tc>
        <w:tc>
          <w:tcPr>
            <w:tcW w:w="352" w:type="pct"/>
            <w:tcBorders>
              <w:top w:val="single" w:sz="4" w:space="0" w:color="196B24"/>
              <w:left w:val="nil"/>
              <w:bottom w:val="nil"/>
              <w:right w:val="nil"/>
            </w:tcBorders>
            <w:vAlign w:val="center"/>
            <w:hideMark/>
          </w:tcPr>
          <w:p w14:paraId="6DD2F14D" w14:textId="77777777" w:rsidR="005E7B5F" w:rsidRPr="00AD2980" w:rsidRDefault="005E7B5F" w:rsidP="005A7661">
            <w:pPr>
              <w:spacing w:after="0"/>
              <w:jc w:val="left"/>
              <w:rPr>
                <w:rFonts w:ascii="Aptos Narrow" w:hAnsi="Aptos Narrow" w:cs="Times New Roman"/>
                <w:color w:val="000000"/>
                <w:lang w:eastAsia="fr-FR"/>
              </w:rPr>
            </w:pPr>
            <w:r w:rsidRPr="00AD2980">
              <w:rPr>
                <w:rFonts w:ascii="Aptos Narrow" w:hAnsi="Aptos Narrow" w:cs="Times New Roman"/>
                <w:color w:val="000000"/>
                <w:lang w:eastAsia="fr-FR"/>
              </w:rPr>
              <w:t>–</w:t>
            </w:r>
          </w:p>
        </w:tc>
        <w:tc>
          <w:tcPr>
            <w:tcW w:w="439" w:type="pct"/>
            <w:tcBorders>
              <w:top w:val="single" w:sz="4" w:space="0" w:color="196B24"/>
              <w:left w:val="nil"/>
              <w:bottom w:val="nil"/>
              <w:right w:val="nil"/>
            </w:tcBorders>
            <w:vAlign w:val="center"/>
            <w:hideMark/>
          </w:tcPr>
          <w:p w14:paraId="507FFAB4" w14:textId="77777777" w:rsidR="005E7B5F" w:rsidRPr="00AD2980" w:rsidRDefault="005E7B5F" w:rsidP="005A7661">
            <w:pPr>
              <w:spacing w:after="0"/>
              <w:jc w:val="left"/>
              <w:rPr>
                <w:rFonts w:ascii="Aptos Narrow" w:hAnsi="Aptos Narrow" w:cs="Times New Roman"/>
                <w:b/>
                <w:bCs/>
                <w:color w:val="000000"/>
                <w:lang w:eastAsia="fr-FR"/>
              </w:rPr>
            </w:pPr>
            <w:r w:rsidRPr="00AD2980">
              <w:rPr>
                <w:rFonts w:ascii="Aptos Narrow" w:hAnsi="Aptos Narrow" w:cs="Times New Roman"/>
                <w:b/>
                <w:bCs/>
                <w:color w:val="000000"/>
                <w:lang w:eastAsia="fr-FR"/>
              </w:rPr>
              <w:t>Cat. IV</w:t>
            </w:r>
          </w:p>
        </w:tc>
        <w:tc>
          <w:tcPr>
            <w:tcW w:w="349" w:type="pct"/>
            <w:tcBorders>
              <w:top w:val="single" w:sz="4" w:space="0" w:color="196B24"/>
              <w:left w:val="nil"/>
              <w:bottom w:val="nil"/>
              <w:right w:val="single" w:sz="4" w:space="0" w:color="196B24"/>
            </w:tcBorders>
            <w:vAlign w:val="center"/>
            <w:hideMark/>
          </w:tcPr>
          <w:p w14:paraId="58C19C3D" w14:textId="77777777" w:rsidR="005E7B5F" w:rsidRPr="00AD2980" w:rsidRDefault="005E7B5F" w:rsidP="005A7661">
            <w:pPr>
              <w:spacing w:after="0"/>
              <w:jc w:val="left"/>
              <w:rPr>
                <w:rFonts w:ascii="Aptos Narrow" w:hAnsi="Aptos Narrow" w:cs="Times New Roman"/>
                <w:color w:val="000000"/>
                <w:lang w:eastAsia="fr-FR"/>
              </w:rPr>
            </w:pPr>
            <w:r w:rsidRPr="00AD2980">
              <w:rPr>
                <w:rFonts w:ascii="Aptos Narrow" w:hAnsi="Aptos Narrow" w:cs="Times New Roman"/>
                <w:color w:val="000000"/>
                <w:lang w:eastAsia="fr-FR"/>
              </w:rPr>
              <w:t>–</w:t>
            </w:r>
          </w:p>
        </w:tc>
      </w:tr>
      <w:tr w:rsidR="005E7B5F" w:rsidRPr="00AD2980" w14:paraId="759147CE" w14:textId="77777777" w:rsidTr="005A7661">
        <w:trPr>
          <w:trHeight w:val="288"/>
        </w:trPr>
        <w:tc>
          <w:tcPr>
            <w:tcW w:w="562" w:type="pct"/>
            <w:tcBorders>
              <w:top w:val="single" w:sz="4" w:space="0" w:color="196B24"/>
              <w:left w:val="single" w:sz="4" w:space="0" w:color="196B24"/>
              <w:bottom w:val="nil"/>
              <w:right w:val="nil"/>
            </w:tcBorders>
            <w:vAlign w:val="center"/>
            <w:hideMark/>
          </w:tcPr>
          <w:p w14:paraId="39DF3452" w14:textId="77777777" w:rsidR="005E7B5F" w:rsidRPr="00AD2980" w:rsidRDefault="005E7B5F" w:rsidP="005A7661">
            <w:pPr>
              <w:spacing w:after="0"/>
              <w:jc w:val="left"/>
              <w:rPr>
                <w:rFonts w:ascii="Aptos Narrow" w:hAnsi="Aptos Narrow" w:cs="Times New Roman"/>
                <w:color w:val="000000"/>
                <w:lang w:eastAsia="fr-FR"/>
              </w:rPr>
            </w:pPr>
            <w:r w:rsidRPr="00AD2980">
              <w:rPr>
                <w:rFonts w:ascii="Aptos Narrow" w:hAnsi="Aptos Narrow" w:cs="Times New Roman"/>
                <w:color w:val="000000"/>
                <w:lang w:eastAsia="fr-FR"/>
              </w:rPr>
              <w:t>Reptile</w:t>
            </w:r>
          </w:p>
        </w:tc>
        <w:tc>
          <w:tcPr>
            <w:tcW w:w="870" w:type="pct"/>
            <w:tcBorders>
              <w:top w:val="single" w:sz="4" w:space="0" w:color="196B24"/>
              <w:left w:val="nil"/>
              <w:bottom w:val="nil"/>
              <w:right w:val="nil"/>
            </w:tcBorders>
            <w:vAlign w:val="center"/>
            <w:hideMark/>
          </w:tcPr>
          <w:p w14:paraId="42E6F56C" w14:textId="77777777" w:rsidR="005E7B5F" w:rsidRPr="00AD2980" w:rsidRDefault="005E7B5F" w:rsidP="005A7661">
            <w:pPr>
              <w:spacing w:after="0"/>
              <w:jc w:val="left"/>
              <w:rPr>
                <w:rFonts w:ascii="Aptos Narrow" w:hAnsi="Aptos Narrow" w:cs="Times New Roman"/>
                <w:b/>
                <w:bCs/>
                <w:i/>
                <w:iCs/>
                <w:color w:val="000000"/>
                <w:lang w:eastAsia="fr-FR"/>
              </w:rPr>
            </w:pPr>
            <w:r w:rsidRPr="00AD2980">
              <w:rPr>
                <w:rFonts w:ascii="Aptos Narrow" w:hAnsi="Aptos Narrow" w:cs="Times New Roman"/>
                <w:b/>
                <w:bCs/>
                <w:i/>
                <w:iCs/>
                <w:color w:val="000000"/>
                <w:lang w:eastAsia="fr-FR"/>
              </w:rPr>
              <w:t>Testudo graeca</w:t>
            </w:r>
          </w:p>
        </w:tc>
        <w:tc>
          <w:tcPr>
            <w:tcW w:w="616" w:type="pct"/>
            <w:tcBorders>
              <w:top w:val="single" w:sz="4" w:space="0" w:color="196B24"/>
              <w:left w:val="nil"/>
              <w:bottom w:val="nil"/>
              <w:right w:val="nil"/>
            </w:tcBorders>
            <w:vAlign w:val="center"/>
            <w:hideMark/>
          </w:tcPr>
          <w:p w14:paraId="3161FC96" w14:textId="77777777" w:rsidR="005E7B5F" w:rsidRPr="00AD2980" w:rsidRDefault="005E7B5F" w:rsidP="005A7661">
            <w:pPr>
              <w:spacing w:after="0"/>
              <w:jc w:val="left"/>
              <w:rPr>
                <w:rFonts w:ascii="Aptos Narrow" w:hAnsi="Aptos Narrow" w:cs="Times New Roman"/>
                <w:color w:val="000000"/>
                <w:lang w:eastAsia="fr-FR"/>
              </w:rPr>
            </w:pPr>
            <w:r w:rsidRPr="00AD2980">
              <w:rPr>
                <w:rFonts w:ascii="Aptos Narrow" w:hAnsi="Aptos Narrow" w:cs="Times New Roman"/>
                <w:color w:val="000000"/>
                <w:lang w:eastAsia="fr-FR"/>
              </w:rPr>
              <w:t>Tortue grecque</w:t>
            </w:r>
          </w:p>
        </w:tc>
        <w:tc>
          <w:tcPr>
            <w:tcW w:w="525" w:type="pct"/>
            <w:tcBorders>
              <w:top w:val="single" w:sz="4" w:space="0" w:color="196B24"/>
              <w:left w:val="nil"/>
              <w:bottom w:val="nil"/>
              <w:right w:val="nil"/>
            </w:tcBorders>
            <w:vAlign w:val="center"/>
            <w:hideMark/>
          </w:tcPr>
          <w:p w14:paraId="1723E3DB" w14:textId="77777777" w:rsidR="005E7B5F" w:rsidRPr="00AD2980" w:rsidRDefault="005E7B5F" w:rsidP="005A7661">
            <w:pPr>
              <w:spacing w:after="0"/>
              <w:jc w:val="right"/>
              <w:rPr>
                <w:rFonts w:ascii="Aptos Narrow" w:hAnsi="Aptos Narrow" w:cs="Times New Roman"/>
                <w:color w:val="000000"/>
                <w:lang w:eastAsia="fr-FR"/>
              </w:rPr>
            </w:pPr>
            <w:r w:rsidRPr="00AD2980">
              <w:rPr>
                <w:rFonts w:ascii="Aptos Narrow" w:hAnsi="Aptos Narrow" w:cs="Times New Roman"/>
                <w:color w:val="000000"/>
                <w:lang w:eastAsia="fr-FR"/>
              </w:rPr>
              <w:t>Non</w:t>
            </w:r>
          </w:p>
        </w:tc>
        <w:tc>
          <w:tcPr>
            <w:tcW w:w="965" w:type="pct"/>
            <w:tcBorders>
              <w:top w:val="single" w:sz="4" w:space="0" w:color="196B24"/>
              <w:left w:val="nil"/>
              <w:bottom w:val="nil"/>
              <w:right w:val="nil"/>
            </w:tcBorders>
            <w:vAlign w:val="center"/>
            <w:hideMark/>
          </w:tcPr>
          <w:p w14:paraId="56E90879" w14:textId="77777777" w:rsidR="005E7B5F" w:rsidRPr="00AD2980" w:rsidRDefault="005E7B5F" w:rsidP="005A7661">
            <w:pPr>
              <w:spacing w:after="0"/>
              <w:jc w:val="right"/>
              <w:rPr>
                <w:rFonts w:ascii="Aptos Narrow" w:hAnsi="Aptos Narrow" w:cs="Times New Roman"/>
                <w:b/>
                <w:bCs/>
                <w:color w:val="000000"/>
                <w:lang w:eastAsia="fr-FR"/>
              </w:rPr>
            </w:pPr>
            <w:r w:rsidRPr="00AD2980">
              <w:rPr>
                <w:rFonts w:ascii="Aptos Narrow" w:hAnsi="Aptos Narrow" w:cs="Times New Roman"/>
                <w:b/>
                <w:bCs/>
                <w:color w:val="000000"/>
                <w:lang w:eastAsia="fr-FR"/>
              </w:rPr>
              <w:t>Possible</w:t>
            </w:r>
            <w:r w:rsidRPr="00AD2980">
              <w:rPr>
                <w:rFonts w:ascii="Aptos Narrow" w:hAnsi="Aptos Narrow" w:cs="Times New Roman"/>
                <w:color w:val="000000"/>
                <w:lang w:eastAsia="fr-FR"/>
              </w:rPr>
              <w:t xml:space="preserve"> (périphérie)</w:t>
            </w:r>
          </w:p>
        </w:tc>
        <w:tc>
          <w:tcPr>
            <w:tcW w:w="323" w:type="pct"/>
            <w:tcBorders>
              <w:top w:val="single" w:sz="4" w:space="0" w:color="196B24"/>
              <w:left w:val="nil"/>
              <w:bottom w:val="nil"/>
              <w:right w:val="nil"/>
            </w:tcBorders>
            <w:vAlign w:val="center"/>
            <w:hideMark/>
          </w:tcPr>
          <w:p w14:paraId="44F6E179" w14:textId="77777777" w:rsidR="005E7B5F" w:rsidRPr="00AD2980" w:rsidRDefault="005E7B5F" w:rsidP="005A7661">
            <w:pPr>
              <w:spacing w:after="0"/>
              <w:jc w:val="left"/>
              <w:rPr>
                <w:rFonts w:ascii="Aptos Narrow" w:hAnsi="Aptos Narrow" w:cs="Times New Roman"/>
                <w:b/>
                <w:bCs/>
                <w:color w:val="000000"/>
                <w:lang w:eastAsia="fr-FR"/>
              </w:rPr>
            </w:pPr>
            <w:r w:rsidRPr="00AD2980">
              <w:rPr>
                <w:rFonts w:ascii="Aptos Narrow" w:hAnsi="Aptos Narrow" w:cs="Times New Roman"/>
                <w:b/>
                <w:bCs/>
                <w:color w:val="000000"/>
                <w:lang w:eastAsia="fr-FR"/>
              </w:rPr>
              <w:t>VU</w:t>
            </w:r>
          </w:p>
        </w:tc>
        <w:tc>
          <w:tcPr>
            <w:tcW w:w="352" w:type="pct"/>
            <w:tcBorders>
              <w:top w:val="single" w:sz="4" w:space="0" w:color="196B24"/>
              <w:left w:val="nil"/>
              <w:bottom w:val="nil"/>
              <w:right w:val="nil"/>
            </w:tcBorders>
            <w:vAlign w:val="center"/>
            <w:hideMark/>
          </w:tcPr>
          <w:p w14:paraId="4E34BECA" w14:textId="77777777" w:rsidR="005E7B5F" w:rsidRPr="00AD2980" w:rsidRDefault="005E7B5F" w:rsidP="005A7661">
            <w:pPr>
              <w:spacing w:after="0"/>
              <w:jc w:val="left"/>
              <w:rPr>
                <w:rFonts w:ascii="Aptos Narrow" w:hAnsi="Aptos Narrow" w:cs="Times New Roman"/>
                <w:b/>
                <w:bCs/>
                <w:color w:val="000000"/>
                <w:lang w:eastAsia="fr-FR"/>
              </w:rPr>
            </w:pPr>
            <w:r w:rsidRPr="00AD2980">
              <w:rPr>
                <w:rFonts w:ascii="Aptos Narrow" w:hAnsi="Aptos Narrow" w:cs="Times New Roman"/>
                <w:b/>
                <w:bCs/>
                <w:color w:val="000000"/>
                <w:lang w:eastAsia="fr-FR"/>
              </w:rPr>
              <w:t>Ann. II</w:t>
            </w:r>
          </w:p>
        </w:tc>
        <w:tc>
          <w:tcPr>
            <w:tcW w:w="439" w:type="pct"/>
            <w:tcBorders>
              <w:top w:val="single" w:sz="4" w:space="0" w:color="196B24"/>
              <w:left w:val="nil"/>
              <w:bottom w:val="nil"/>
              <w:right w:val="nil"/>
            </w:tcBorders>
            <w:vAlign w:val="center"/>
            <w:hideMark/>
          </w:tcPr>
          <w:p w14:paraId="5888316F" w14:textId="77777777" w:rsidR="005E7B5F" w:rsidRPr="00AD2980" w:rsidRDefault="005E7B5F" w:rsidP="005A7661">
            <w:pPr>
              <w:spacing w:after="0"/>
              <w:jc w:val="left"/>
              <w:rPr>
                <w:rFonts w:ascii="Aptos Narrow" w:hAnsi="Aptos Narrow" w:cs="Times New Roman"/>
                <w:b/>
                <w:bCs/>
                <w:color w:val="000000"/>
                <w:lang w:eastAsia="fr-FR"/>
              </w:rPr>
            </w:pPr>
            <w:r w:rsidRPr="00AD2980">
              <w:rPr>
                <w:rFonts w:ascii="Aptos Narrow" w:hAnsi="Aptos Narrow" w:cs="Times New Roman"/>
                <w:b/>
                <w:bCs/>
                <w:color w:val="000000"/>
                <w:lang w:eastAsia="fr-FR"/>
              </w:rPr>
              <w:t>Cat. IV</w:t>
            </w:r>
          </w:p>
        </w:tc>
        <w:tc>
          <w:tcPr>
            <w:tcW w:w="349" w:type="pct"/>
            <w:tcBorders>
              <w:top w:val="single" w:sz="4" w:space="0" w:color="196B24"/>
              <w:left w:val="nil"/>
              <w:bottom w:val="nil"/>
              <w:right w:val="single" w:sz="4" w:space="0" w:color="196B24"/>
            </w:tcBorders>
            <w:vAlign w:val="center"/>
            <w:hideMark/>
          </w:tcPr>
          <w:p w14:paraId="7BDD584C" w14:textId="77777777" w:rsidR="005E7B5F" w:rsidRPr="00AD2980" w:rsidRDefault="005E7B5F" w:rsidP="005A7661">
            <w:pPr>
              <w:spacing w:after="0"/>
              <w:jc w:val="left"/>
              <w:rPr>
                <w:rFonts w:ascii="Aptos Narrow" w:hAnsi="Aptos Narrow" w:cs="Times New Roman"/>
                <w:b/>
                <w:bCs/>
                <w:color w:val="000000"/>
                <w:lang w:eastAsia="fr-FR"/>
              </w:rPr>
            </w:pPr>
            <w:r w:rsidRPr="00AD2980">
              <w:rPr>
                <w:rFonts w:ascii="Aptos Narrow" w:hAnsi="Aptos Narrow" w:cs="Times New Roman"/>
                <w:b/>
                <w:bCs/>
                <w:color w:val="000000"/>
                <w:lang w:eastAsia="fr-FR"/>
              </w:rPr>
              <w:t>App. II</w:t>
            </w:r>
          </w:p>
        </w:tc>
      </w:tr>
      <w:tr w:rsidR="005E7B5F" w:rsidRPr="00AD2980" w14:paraId="51FA87F4" w14:textId="77777777" w:rsidTr="005A7661">
        <w:trPr>
          <w:trHeight w:val="576"/>
        </w:trPr>
        <w:tc>
          <w:tcPr>
            <w:tcW w:w="562" w:type="pct"/>
            <w:tcBorders>
              <w:top w:val="single" w:sz="4" w:space="0" w:color="196B24"/>
              <w:left w:val="single" w:sz="4" w:space="0" w:color="196B24"/>
              <w:bottom w:val="nil"/>
              <w:right w:val="nil"/>
            </w:tcBorders>
            <w:vAlign w:val="center"/>
            <w:hideMark/>
          </w:tcPr>
          <w:p w14:paraId="617C8EC3" w14:textId="77777777" w:rsidR="005E7B5F" w:rsidRPr="00AD2980" w:rsidRDefault="005E7B5F" w:rsidP="005A7661">
            <w:pPr>
              <w:spacing w:after="0"/>
              <w:jc w:val="left"/>
              <w:rPr>
                <w:rFonts w:ascii="Aptos Narrow" w:hAnsi="Aptos Narrow" w:cs="Times New Roman"/>
                <w:color w:val="000000"/>
                <w:lang w:eastAsia="fr-FR"/>
              </w:rPr>
            </w:pPr>
            <w:r w:rsidRPr="00AD2980">
              <w:rPr>
                <w:rFonts w:ascii="Aptos Narrow" w:hAnsi="Aptos Narrow" w:cs="Times New Roman"/>
                <w:color w:val="000000"/>
                <w:lang w:eastAsia="fr-FR"/>
              </w:rPr>
              <w:t>Reptile</w:t>
            </w:r>
          </w:p>
        </w:tc>
        <w:tc>
          <w:tcPr>
            <w:tcW w:w="870" w:type="pct"/>
            <w:tcBorders>
              <w:top w:val="single" w:sz="4" w:space="0" w:color="196B24"/>
              <w:left w:val="nil"/>
              <w:bottom w:val="nil"/>
              <w:right w:val="nil"/>
            </w:tcBorders>
            <w:vAlign w:val="center"/>
            <w:hideMark/>
          </w:tcPr>
          <w:p w14:paraId="027DC275" w14:textId="77777777" w:rsidR="005E7B5F" w:rsidRPr="00AD2980" w:rsidRDefault="005E7B5F" w:rsidP="005A7661">
            <w:pPr>
              <w:spacing w:after="0"/>
              <w:jc w:val="left"/>
              <w:rPr>
                <w:rFonts w:ascii="Aptos Narrow" w:hAnsi="Aptos Narrow" w:cs="Times New Roman"/>
                <w:b/>
                <w:bCs/>
                <w:i/>
                <w:iCs/>
                <w:color w:val="000000"/>
                <w:lang w:eastAsia="fr-FR"/>
              </w:rPr>
            </w:pPr>
            <w:r w:rsidRPr="00AD2980">
              <w:rPr>
                <w:rFonts w:ascii="Aptos Narrow" w:hAnsi="Aptos Narrow" w:cs="Times New Roman"/>
                <w:b/>
                <w:bCs/>
                <w:i/>
                <w:iCs/>
                <w:color w:val="000000"/>
                <w:lang w:eastAsia="fr-FR"/>
              </w:rPr>
              <w:t>Chamaeleo chamaeleon</w:t>
            </w:r>
          </w:p>
        </w:tc>
        <w:tc>
          <w:tcPr>
            <w:tcW w:w="616" w:type="pct"/>
            <w:tcBorders>
              <w:top w:val="single" w:sz="4" w:space="0" w:color="196B24"/>
              <w:left w:val="nil"/>
              <w:bottom w:val="nil"/>
              <w:right w:val="nil"/>
            </w:tcBorders>
            <w:vAlign w:val="center"/>
            <w:hideMark/>
          </w:tcPr>
          <w:p w14:paraId="2D99C065" w14:textId="77777777" w:rsidR="005E7B5F" w:rsidRPr="00AD2980" w:rsidRDefault="005E7B5F" w:rsidP="005A7661">
            <w:pPr>
              <w:spacing w:after="0"/>
              <w:jc w:val="left"/>
              <w:rPr>
                <w:rFonts w:ascii="Aptos Narrow" w:hAnsi="Aptos Narrow" w:cs="Times New Roman"/>
                <w:color w:val="000000"/>
                <w:lang w:eastAsia="fr-FR"/>
              </w:rPr>
            </w:pPr>
            <w:r w:rsidRPr="00AD2980">
              <w:rPr>
                <w:rFonts w:ascii="Aptos Narrow" w:hAnsi="Aptos Narrow" w:cs="Times New Roman"/>
                <w:color w:val="000000"/>
                <w:lang w:eastAsia="fr-FR"/>
              </w:rPr>
              <w:t>Caméléon commun</w:t>
            </w:r>
          </w:p>
        </w:tc>
        <w:tc>
          <w:tcPr>
            <w:tcW w:w="525" w:type="pct"/>
            <w:tcBorders>
              <w:top w:val="single" w:sz="4" w:space="0" w:color="196B24"/>
              <w:left w:val="nil"/>
              <w:bottom w:val="nil"/>
              <w:right w:val="nil"/>
            </w:tcBorders>
            <w:vAlign w:val="center"/>
            <w:hideMark/>
          </w:tcPr>
          <w:p w14:paraId="7E76BDE1" w14:textId="77777777" w:rsidR="005E7B5F" w:rsidRPr="00AD2980" w:rsidRDefault="005E7B5F" w:rsidP="005A7661">
            <w:pPr>
              <w:spacing w:after="0"/>
              <w:jc w:val="right"/>
              <w:rPr>
                <w:rFonts w:ascii="Aptos Narrow" w:hAnsi="Aptos Narrow" w:cs="Times New Roman"/>
                <w:color w:val="000000"/>
                <w:lang w:eastAsia="fr-FR"/>
              </w:rPr>
            </w:pPr>
            <w:r w:rsidRPr="00AD2980">
              <w:rPr>
                <w:rFonts w:ascii="Aptos Narrow" w:hAnsi="Aptos Narrow" w:cs="Times New Roman"/>
                <w:color w:val="000000"/>
                <w:lang w:eastAsia="fr-FR"/>
              </w:rPr>
              <w:t>Non signalé</w:t>
            </w:r>
          </w:p>
        </w:tc>
        <w:tc>
          <w:tcPr>
            <w:tcW w:w="965" w:type="pct"/>
            <w:tcBorders>
              <w:top w:val="single" w:sz="4" w:space="0" w:color="196B24"/>
              <w:left w:val="nil"/>
              <w:bottom w:val="nil"/>
              <w:right w:val="nil"/>
            </w:tcBorders>
            <w:vAlign w:val="center"/>
            <w:hideMark/>
          </w:tcPr>
          <w:p w14:paraId="2C5F53C1" w14:textId="77777777" w:rsidR="005E7B5F" w:rsidRPr="00AD2980" w:rsidRDefault="005E7B5F" w:rsidP="005A7661">
            <w:pPr>
              <w:spacing w:after="0"/>
              <w:jc w:val="right"/>
              <w:rPr>
                <w:rFonts w:ascii="Aptos Narrow" w:hAnsi="Aptos Narrow" w:cs="Times New Roman"/>
                <w:b/>
                <w:bCs/>
                <w:color w:val="000000"/>
                <w:lang w:eastAsia="fr-FR"/>
              </w:rPr>
            </w:pPr>
            <w:r w:rsidRPr="00AD2980">
              <w:rPr>
                <w:rFonts w:ascii="Aptos Narrow" w:hAnsi="Aptos Narrow" w:cs="Times New Roman"/>
                <w:b/>
                <w:bCs/>
                <w:color w:val="000000"/>
                <w:lang w:eastAsia="fr-FR"/>
              </w:rPr>
              <w:t>Localisée</w:t>
            </w:r>
          </w:p>
        </w:tc>
        <w:tc>
          <w:tcPr>
            <w:tcW w:w="323" w:type="pct"/>
            <w:tcBorders>
              <w:top w:val="single" w:sz="4" w:space="0" w:color="196B24"/>
              <w:left w:val="nil"/>
              <w:bottom w:val="nil"/>
              <w:right w:val="nil"/>
            </w:tcBorders>
            <w:vAlign w:val="center"/>
            <w:hideMark/>
          </w:tcPr>
          <w:p w14:paraId="601CE60F" w14:textId="77777777" w:rsidR="005E7B5F" w:rsidRPr="00AD2980" w:rsidRDefault="005E7B5F" w:rsidP="005A7661">
            <w:pPr>
              <w:spacing w:after="0"/>
              <w:jc w:val="left"/>
              <w:rPr>
                <w:rFonts w:ascii="Aptos Narrow" w:hAnsi="Aptos Narrow" w:cs="Times New Roman"/>
                <w:color w:val="000000"/>
                <w:lang w:eastAsia="fr-FR"/>
              </w:rPr>
            </w:pPr>
            <w:r w:rsidRPr="00AD2980">
              <w:rPr>
                <w:rFonts w:ascii="Aptos Narrow" w:hAnsi="Aptos Narrow" w:cs="Times New Roman"/>
                <w:color w:val="000000"/>
                <w:lang w:eastAsia="fr-FR"/>
              </w:rPr>
              <w:t>LC</w:t>
            </w:r>
          </w:p>
        </w:tc>
        <w:tc>
          <w:tcPr>
            <w:tcW w:w="352" w:type="pct"/>
            <w:tcBorders>
              <w:top w:val="single" w:sz="4" w:space="0" w:color="196B24"/>
              <w:left w:val="nil"/>
              <w:bottom w:val="nil"/>
              <w:right w:val="nil"/>
            </w:tcBorders>
            <w:vAlign w:val="center"/>
            <w:hideMark/>
          </w:tcPr>
          <w:p w14:paraId="4FB2AA36" w14:textId="77777777" w:rsidR="005E7B5F" w:rsidRPr="00AD2980" w:rsidRDefault="005E7B5F" w:rsidP="005A7661">
            <w:pPr>
              <w:spacing w:after="0"/>
              <w:jc w:val="left"/>
              <w:rPr>
                <w:rFonts w:ascii="Aptos Narrow" w:hAnsi="Aptos Narrow" w:cs="Times New Roman"/>
                <w:b/>
                <w:bCs/>
                <w:color w:val="000000"/>
                <w:lang w:eastAsia="fr-FR"/>
              </w:rPr>
            </w:pPr>
            <w:r w:rsidRPr="00AD2980">
              <w:rPr>
                <w:rFonts w:ascii="Aptos Narrow" w:hAnsi="Aptos Narrow" w:cs="Times New Roman"/>
                <w:b/>
                <w:bCs/>
                <w:color w:val="000000"/>
                <w:lang w:eastAsia="fr-FR"/>
              </w:rPr>
              <w:t>Ann. II</w:t>
            </w:r>
          </w:p>
        </w:tc>
        <w:tc>
          <w:tcPr>
            <w:tcW w:w="439" w:type="pct"/>
            <w:tcBorders>
              <w:top w:val="single" w:sz="4" w:space="0" w:color="196B24"/>
              <w:left w:val="nil"/>
              <w:bottom w:val="nil"/>
              <w:right w:val="nil"/>
            </w:tcBorders>
            <w:vAlign w:val="center"/>
            <w:hideMark/>
          </w:tcPr>
          <w:p w14:paraId="1438AE84" w14:textId="77777777" w:rsidR="005E7B5F" w:rsidRPr="00AD2980" w:rsidRDefault="005E7B5F" w:rsidP="005A7661">
            <w:pPr>
              <w:spacing w:after="0"/>
              <w:jc w:val="left"/>
              <w:rPr>
                <w:rFonts w:ascii="Aptos Narrow" w:hAnsi="Aptos Narrow" w:cs="Times New Roman"/>
                <w:b/>
                <w:bCs/>
                <w:color w:val="000000"/>
                <w:lang w:eastAsia="fr-FR"/>
              </w:rPr>
            </w:pPr>
            <w:r w:rsidRPr="00AD2980">
              <w:rPr>
                <w:rFonts w:ascii="Aptos Narrow" w:hAnsi="Aptos Narrow" w:cs="Times New Roman"/>
                <w:b/>
                <w:bCs/>
                <w:color w:val="000000"/>
                <w:lang w:eastAsia="fr-FR"/>
              </w:rPr>
              <w:t>Cat. IV</w:t>
            </w:r>
          </w:p>
        </w:tc>
        <w:tc>
          <w:tcPr>
            <w:tcW w:w="349" w:type="pct"/>
            <w:tcBorders>
              <w:top w:val="single" w:sz="4" w:space="0" w:color="196B24"/>
              <w:left w:val="nil"/>
              <w:bottom w:val="nil"/>
              <w:right w:val="single" w:sz="4" w:space="0" w:color="196B24"/>
            </w:tcBorders>
            <w:vAlign w:val="center"/>
            <w:hideMark/>
          </w:tcPr>
          <w:p w14:paraId="5D8BA9B6" w14:textId="77777777" w:rsidR="005E7B5F" w:rsidRPr="00AD2980" w:rsidRDefault="005E7B5F" w:rsidP="005A7661">
            <w:pPr>
              <w:spacing w:after="0"/>
              <w:jc w:val="left"/>
              <w:rPr>
                <w:rFonts w:ascii="Aptos Narrow" w:hAnsi="Aptos Narrow" w:cs="Times New Roman"/>
                <w:b/>
                <w:bCs/>
                <w:color w:val="000000"/>
                <w:lang w:eastAsia="fr-FR"/>
              </w:rPr>
            </w:pPr>
            <w:r w:rsidRPr="00AD2980">
              <w:rPr>
                <w:rFonts w:ascii="Aptos Narrow" w:hAnsi="Aptos Narrow" w:cs="Times New Roman"/>
                <w:b/>
                <w:bCs/>
                <w:color w:val="000000"/>
                <w:lang w:eastAsia="fr-FR"/>
              </w:rPr>
              <w:t>App. II</w:t>
            </w:r>
          </w:p>
        </w:tc>
      </w:tr>
      <w:tr w:rsidR="005E7B5F" w:rsidRPr="00AD2980" w14:paraId="0A57F950" w14:textId="77777777" w:rsidTr="005A7661">
        <w:trPr>
          <w:trHeight w:val="576"/>
        </w:trPr>
        <w:tc>
          <w:tcPr>
            <w:tcW w:w="562" w:type="pct"/>
            <w:tcBorders>
              <w:top w:val="single" w:sz="4" w:space="0" w:color="196B24"/>
              <w:left w:val="single" w:sz="4" w:space="0" w:color="196B24"/>
              <w:bottom w:val="nil"/>
              <w:right w:val="nil"/>
            </w:tcBorders>
            <w:vAlign w:val="center"/>
            <w:hideMark/>
          </w:tcPr>
          <w:p w14:paraId="133E7781" w14:textId="77777777" w:rsidR="005E7B5F" w:rsidRPr="00AD2980" w:rsidRDefault="005E7B5F" w:rsidP="005A7661">
            <w:pPr>
              <w:spacing w:after="0"/>
              <w:jc w:val="left"/>
              <w:rPr>
                <w:rFonts w:ascii="Aptos Narrow" w:hAnsi="Aptos Narrow" w:cs="Times New Roman"/>
                <w:color w:val="000000"/>
                <w:lang w:eastAsia="fr-FR"/>
              </w:rPr>
            </w:pPr>
            <w:r w:rsidRPr="00AD2980">
              <w:rPr>
                <w:rFonts w:ascii="Aptos Narrow" w:hAnsi="Aptos Narrow" w:cs="Times New Roman"/>
                <w:color w:val="000000"/>
                <w:lang w:eastAsia="fr-FR"/>
              </w:rPr>
              <w:lastRenderedPageBreak/>
              <w:t>Amphibien</w:t>
            </w:r>
          </w:p>
        </w:tc>
        <w:tc>
          <w:tcPr>
            <w:tcW w:w="870" w:type="pct"/>
            <w:tcBorders>
              <w:top w:val="single" w:sz="4" w:space="0" w:color="196B24"/>
              <w:left w:val="nil"/>
              <w:bottom w:val="nil"/>
              <w:right w:val="nil"/>
            </w:tcBorders>
            <w:vAlign w:val="center"/>
            <w:hideMark/>
          </w:tcPr>
          <w:p w14:paraId="5E7B5DDD" w14:textId="77777777" w:rsidR="005E7B5F" w:rsidRPr="00AD2980" w:rsidRDefault="005E7B5F" w:rsidP="005A7661">
            <w:pPr>
              <w:spacing w:after="0"/>
              <w:jc w:val="left"/>
              <w:rPr>
                <w:rFonts w:ascii="Aptos Narrow" w:hAnsi="Aptos Narrow" w:cs="Times New Roman"/>
                <w:b/>
                <w:bCs/>
                <w:i/>
                <w:iCs/>
                <w:color w:val="000000"/>
                <w:lang w:eastAsia="fr-FR"/>
              </w:rPr>
            </w:pPr>
            <w:r w:rsidRPr="00AD2980">
              <w:rPr>
                <w:rFonts w:ascii="Aptos Narrow" w:hAnsi="Aptos Narrow" w:cs="Times New Roman"/>
                <w:b/>
                <w:bCs/>
                <w:i/>
                <w:iCs/>
                <w:color w:val="000000"/>
                <w:lang w:eastAsia="fr-FR"/>
              </w:rPr>
              <w:t>Pelophylax saharicus</w:t>
            </w:r>
          </w:p>
        </w:tc>
        <w:tc>
          <w:tcPr>
            <w:tcW w:w="616" w:type="pct"/>
            <w:tcBorders>
              <w:top w:val="single" w:sz="4" w:space="0" w:color="196B24"/>
              <w:left w:val="nil"/>
              <w:bottom w:val="nil"/>
              <w:right w:val="nil"/>
            </w:tcBorders>
            <w:vAlign w:val="center"/>
            <w:hideMark/>
          </w:tcPr>
          <w:p w14:paraId="3DCCC47F" w14:textId="77777777" w:rsidR="005E7B5F" w:rsidRPr="00AD2980" w:rsidRDefault="005E7B5F" w:rsidP="005A7661">
            <w:pPr>
              <w:spacing w:after="0"/>
              <w:jc w:val="left"/>
              <w:rPr>
                <w:rFonts w:ascii="Aptos Narrow" w:hAnsi="Aptos Narrow" w:cs="Times New Roman"/>
                <w:color w:val="000000"/>
                <w:lang w:eastAsia="fr-FR"/>
              </w:rPr>
            </w:pPr>
            <w:r w:rsidRPr="00AD2980">
              <w:rPr>
                <w:rFonts w:ascii="Aptos Narrow" w:hAnsi="Aptos Narrow" w:cs="Times New Roman"/>
                <w:color w:val="000000"/>
                <w:lang w:eastAsia="fr-FR"/>
              </w:rPr>
              <w:t>Grenouille verte nord-africaine</w:t>
            </w:r>
          </w:p>
        </w:tc>
        <w:tc>
          <w:tcPr>
            <w:tcW w:w="525" w:type="pct"/>
            <w:tcBorders>
              <w:top w:val="single" w:sz="4" w:space="0" w:color="196B24"/>
              <w:left w:val="nil"/>
              <w:bottom w:val="nil"/>
              <w:right w:val="nil"/>
            </w:tcBorders>
            <w:vAlign w:val="center"/>
            <w:hideMark/>
          </w:tcPr>
          <w:p w14:paraId="739B1479" w14:textId="77777777" w:rsidR="005E7B5F" w:rsidRPr="00AD2980" w:rsidRDefault="005E7B5F" w:rsidP="005A7661">
            <w:pPr>
              <w:spacing w:after="0"/>
              <w:jc w:val="right"/>
              <w:rPr>
                <w:rFonts w:ascii="Aptos Narrow" w:hAnsi="Aptos Narrow" w:cs="Times New Roman"/>
                <w:color w:val="000000"/>
                <w:lang w:eastAsia="fr-FR"/>
              </w:rPr>
            </w:pPr>
            <w:r w:rsidRPr="00AD2980">
              <w:rPr>
                <w:rFonts w:ascii="Aptos Narrow" w:hAnsi="Aptos Narrow" w:cs="Times New Roman"/>
                <w:color w:val="000000"/>
                <w:lang w:eastAsia="fr-FR"/>
              </w:rPr>
              <w:t>Non signalée</w:t>
            </w:r>
          </w:p>
        </w:tc>
        <w:tc>
          <w:tcPr>
            <w:tcW w:w="965" w:type="pct"/>
            <w:tcBorders>
              <w:top w:val="single" w:sz="4" w:space="0" w:color="196B24"/>
              <w:left w:val="nil"/>
              <w:bottom w:val="nil"/>
              <w:right w:val="nil"/>
            </w:tcBorders>
            <w:vAlign w:val="center"/>
            <w:hideMark/>
          </w:tcPr>
          <w:p w14:paraId="1F6D6C15" w14:textId="77777777" w:rsidR="005E7B5F" w:rsidRPr="00AD2980" w:rsidRDefault="005E7B5F" w:rsidP="005A7661">
            <w:pPr>
              <w:spacing w:after="0"/>
              <w:jc w:val="right"/>
              <w:rPr>
                <w:rFonts w:ascii="Aptos Narrow" w:hAnsi="Aptos Narrow" w:cs="Times New Roman"/>
                <w:color w:val="000000"/>
                <w:lang w:eastAsia="fr-FR"/>
              </w:rPr>
            </w:pPr>
            <w:r w:rsidRPr="00AD2980">
              <w:rPr>
                <w:rFonts w:ascii="Aptos Narrow" w:hAnsi="Aptos Narrow" w:cs="Times New Roman"/>
                <w:color w:val="000000"/>
                <w:lang w:eastAsia="fr-FR"/>
              </w:rPr>
              <w:t>Oui (zones irriguées)</w:t>
            </w:r>
          </w:p>
        </w:tc>
        <w:tc>
          <w:tcPr>
            <w:tcW w:w="323" w:type="pct"/>
            <w:tcBorders>
              <w:top w:val="single" w:sz="4" w:space="0" w:color="196B24"/>
              <w:left w:val="nil"/>
              <w:bottom w:val="nil"/>
              <w:right w:val="nil"/>
            </w:tcBorders>
            <w:vAlign w:val="center"/>
            <w:hideMark/>
          </w:tcPr>
          <w:p w14:paraId="43D81A80" w14:textId="77777777" w:rsidR="005E7B5F" w:rsidRPr="00AD2980" w:rsidRDefault="005E7B5F" w:rsidP="005A7661">
            <w:pPr>
              <w:spacing w:after="0"/>
              <w:jc w:val="left"/>
              <w:rPr>
                <w:rFonts w:ascii="Aptos Narrow" w:hAnsi="Aptos Narrow" w:cs="Times New Roman"/>
                <w:color w:val="000000"/>
                <w:lang w:eastAsia="fr-FR"/>
              </w:rPr>
            </w:pPr>
            <w:r w:rsidRPr="00AD2980">
              <w:rPr>
                <w:rFonts w:ascii="Aptos Narrow" w:hAnsi="Aptos Narrow" w:cs="Times New Roman"/>
                <w:color w:val="000000"/>
                <w:lang w:eastAsia="fr-FR"/>
              </w:rPr>
              <w:t>LC</w:t>
            </w:r>
          </w:p>
        </w:tc>
        <w:tc>
          <w:tcPr>
            <w:tcW w:w="352" w:type="pct"/>
            <w:tcBorders>
              <w:top w:val="single" w:sz="4" w:space="0" w:color="196B24"/>
              <w:left w:val="nil"/>
              <w:bottom w:val="nil"/>
              <w:right w:val="nil"/>
            </w:tcBorders>
            <w:vAlign w:val="center"/>
            <w:hideMark/>
          </w:tcPr>
          <w:p w14:paraId="547D752B" w14:textId="77777777" w:rsidR="005E7B5F" w:rsidRPr="00AD2980" w:rsidRDefault="005E7B5F" w:rsidP="005A7661">
            <w:pPr>
              <w:spacing w:after="0"/>
              <w:jc w:val="left"/>
              <w:rPr>
                <w:rFonts w:ascii="Aptos Narrow" w:hAnsi="Aptos Narrow" w:cs="Times New Roman"/>
                <w:color w:val="000000"/>
                <w:lang w:eastAsia="fr-FR"/>
              </w:rPr>
            </w:pPr>
            <w:r w:rsidRPr="00AD2980">
              <w:rPr>
                <w:rFonts w:ascii="Aptos Narrow" w:hAnsi="Aptos Narrow" w:cs="Times New Roman"/>
                <w:color w:val="000000"/>
                <w:lang w:eastAsia="fr-FR"/>
              </w:rPr>
              <w:t>–</w:t>
            </w:r>
          </w:p>
        </w:tc>
        <w:tc>
          <w:tcPr>
            <w:tcW w:w="439" w:type="pct"/>
            <w:tcBorders>
              <w:top w:val="single" w:sz="4" w:space="0" w:color="196B24"/>
              <w:left w:val="nil"/>
              <w:bottom w:val="nil"/>
              <w:right w:val="nil"/>
            </w:tcBorders>
            <w:vAlign w:val="center"/>
            <w:hideMark/>
          </w:tcPr>
          <w:p w14:paraId="6C04D633" w14:textId="77777777" w:rsidR="005E7B5F" w:rsidRPr="00AD2980" w:rsidRDefault="005E7B5F" w:rsidP="005A7661">
            <w:pPr>
              <w:spacing w:after="0"/>
              <w:jc w:val="left"/>
              <w:rPr>
                <w:rFonts w:ascii="Aptos Narrow" w:hAnsi="Aptos Narrow" w:cs="Times New Roman"/>
                <w:b/>
                <w:bCs/>
                <w:color w:val="000000"/>
                <w:lang w:eastAsia="fr-FR"/>
              </w:rPr>
            </w:pPr>
            <w:r w:rsidRPr="00AD2980">
              <w:rPr>
                <w:rFonts w:ascii="Aptos Narrow" w:hAnsi="Aptos Narrow" w:cs="Times New Roman"/>
                <w:b/>
                <w:bCs/>
                <w:color w:val="000000"/>
                <w:lang w:eastAsia="fr-FR"/>
              </w:rPr>
              <w:t>Cat. IV</w:t>
            </w:r>
          </w:p>
        </w:tc>
        <w:tc>
          <w:tcPr>
            <w:tcW w:w="349" w:type="pct"/>
            <w:tcBorders>
              <w:top w:val="single" w:sz="4" w:space="0" w:color="196B24"/>
              <w:left w:val="nil"/>
              <w:bottom w:val="nil"/>
              <w:right w:val="single" w:sz="4" w:space="0" w:color="196B24"/>
            </w:tcBorders>
            <w:vAlign w:val="center"/>
            <w:hideMark/>
          </w:tcPr>
          <w:p w14:paraId="109A4BBB" w14:textId="77777777" w:rsidR="005E7B5F" w:rsidRPr="00AD2980" w:rsidRDefault="005E7B5F" w:rsidP="005A7661">
            <w:pPr>
              <w:spacing w:after="0"/>
              <w:jc w:val="left"/>
              <w:rPr>
                <w:rFonts w:ascii="Aptos Narrow" w:hAnsi="Aptos Narrow" w:cs="Times New Roman"/>
                <w:color w:val="000000"/>
                <w:lang w:eastAsia="fr-FR"/>
              </w:rPr>
            </w:pPr>
            <w:r w:rsidRPr="00AD2980">
              <w:rPr>
                <w:rFonts w:ascii="Aptos Narrow" w:hAnsi="Aptos Narrow" w:cs="Times New Roman"/>
                <w:color w:val="000000"/>
                <w:lang w:eastAsia="fr-FR"/>
              </w:rPr>
              <w:t>–</w:t>
            </w:r>
          </w:p>
        </w:tc>
      </w:tr>
      <w:tr w:rsidR="005E7B5F" w:rsidRPr="00AD2980" w14:paraId="456B51ED" w14:textId="77777777" w:rsidTr="005A7661">
        <w:trPr>
          <w:trHeight w:val="576"/>
        </w:trPr>
        <w:tc>
          <w:tcPr>
            <w:tcW w:w="562" w:type="pct"/>
            <w:tcBorders>
              <w:top w:val="single" w:sz="4" w:space="0" w:color="196B24"/>
              <w:left w:val="single" w:sz="4" w:space="0" w:color="196B24"/>
              <w:bottom w:val="nil"/>
              <w:right w:val="nil"/>
            </w:tcBorders>
            <w:vAlign w:val="center"/>
            <w:hideMark/>
          </w:tcPr>
          <w:p w14:paraId="6C042443" w14:textId="77777777" w:rsidR="005E7B5F" w:rsidRPr="00AD2980" w:rsidRDefault="005E7B5F" w:rsidP="005A7661">
            <w:pPr>
              <w:spacing w:after="0"/>
              <w:jc w:val="left"/>
              <w:rPr>
                <w:rFonts w:ascii="Aptos Narrow" w:hAnsi="Aptos Narrow" w:cs="Times New Roman"/>
                <w:color w:val="000000"/>
                <w:lang w:eastAsia="fr-FR"/>
              </w:rPr>
            </w:pPr>
            <w:r w:rsidRPr="00AD2980">
              <w:rPr>
                <w:rFonts w:ascii="Aptos Narrow" w:hAnsi="Aptos Narrow" w:cs="Times New Roman"/>
                <w:color w:val="000000"/>
                <w:lang w:eastAsia="fr-FR"/>
              </w:rPr>
              <w:t>Amphibien</w:t>
            </w:r>
          </w:p>
        </w:tc>
        <w:tc>
          <w:tcPr>
            <w:tcW w:w="870" w:type="pct"/>
            <w:tcBorders>
              <w:top w:val="single" w:sz="4" w:space="0" w:color="196B24"/>
              <w:left w:val="nil"/>
              <w:bottom w:val="nil"/>
              <w:right w:val="nil"/>
            </w:tcBorders>
            <w:vAlign w:val="center"/>
            <w:hideMark/>
          </w:tcPr>
          <w:p w14:paraId="75F01300" w14:textId="77777777" w:rsidR="005E7B5F" w:rsidRPr="00AD2980" w:rsidRDefault="005E7B5F" w:rsidP="005A7661">
            <w:pPr>
              <w:spacing w:after="0"/>
              <w:jc w:val="left"/>
              <w:rPr>
                <w:rFonts w:ascii="Aptos Narrow" w:hAnsi="Aptos Narrow" w:cs="Times New Roman"/>
                <w:b/>
                <w:bCs/>
                <w:i/>
                <w:iCs/>
                <w:color w:val="000000"/>
                <w:lang w:eastAsia="fr-FR"/>
              </w:rPr>
            </w:pPr>
            <w:r w:rsidRPr="00AD2980">
              <w:rPr>
                <w:rFonts w:ascii="Aptos Narrow" w:hAnsi="Aptos Narrow" w:cs="Times New Roman"/>
                <w:b/>
                <w:bCs/>
                <w:i/>
                <w:iCs/>
                <w:color w:val="000000"/>
                <w:lang w:eastAsia="fr-FR"/>
              </w:rPr>
              <w:t>Bufotes boulengeri</w:t>
            </w:r>
          </w:p>
        </w:tc>
        <w:tc>
          <w:tcPr>
            <w:tcW w:w="616" w:type="pct"/>
            <w:tcBorders>
              <w:top w:val="single" w:sz="4" w:space="0" w:color="196B24"/>
              <w:left w:val="nil"/>
              <w:bottom w:val="nil"/>
              <w:right w:val="nil"/>
            </w:tcBorders>
            <w:vAlign w:val="center"/>
            <w:hideMark/>
          </w:tcPr>
          <w:p w14:paraId="1615E029" w14:textId="77777777" w:rsidR="005E7B5F" w:rsidRPr="00AD2980" w:rsidRDefault="005E7B5F" w:rsidP="005A7661">
            <w:pPr>
              <w:spacing w:after="0"/>
              <w:jc w:val="left"/>
              <w:rPr>
                <w:rFonts w:ascii="Aptos Narrow" w:hAnsi="Aptos Narrow" w:cs="Times New Roman"/>
                <w:color w:val="000000"/>
                <w:lang w:eastAsia="fr-FR"/>
              </w:rPr>
            </w:pPr>
            <w:r w:rsidRPr="00AD2980">
              <w:rPr>
                <w:rFonts w:ascii="Aptos Narrow" w:hAnsi="Aptos Narrow" w:cs="Times New Roman"/>
                <w:color w:val="000000"/>
                <w:lang w:eastAsia="fr-FR"/>
              </w:rPr>
              <w:t>Crapaud de Boulenger</w:t>
            </w:r>
          </w:p>
        </w:tc>
        <w:tc>
          <w:tcPr>
            <w:tcW w:w="525" w:type="pct"/>
            <w:tcBorders>
              <w:top w:val="single" w:sz="4" w:space="0" w:color="196B24"/>
              <w:left w:val="nil"/>
              <w:bottom w:val="nil"/>
              <w:right w:val="nil"/>
            </w:tcBorders>
            <w:vAlign w:val="center"/>
            <w:hideMark/>
          </w:tcPr>
          <w:p w14:paraId="604553CB" w14:textId="77777777" w:rsidR="005E7B5F" w:rsidRPr="00AD2980" w:rsidRDefault="005E7B5F" w:rsidP="005A7661">
            <w:pPr>
              <w:spacing w:after="0"/>
              <w:jc w:val="right"/>
              <w:rPr>
                <w:rFonts w:ascii="Aptos Narrow" w:hAnsi="Aptos Narrow" w:cs="Times New Roman"/>
                <w:color w:val="000000"/>
                <w:lang w:eastAsia="fr-FR"/>
              </w:rPr>
            </w:pPr>
            <w:r w:rsidRPr="00AD2980">
              <w:rPr>
                <w:rFonts w:ascii="Aptos Narrow" w:hAnsi="Aptos Narrow" w:cs="Times New Roman"/>
                <w:color w:val="000000"/>
                <w:lang w:eastAsia="fr-FR"/>
              </w:rPr>
              <w:t>Non signalé</w:t>
            </w:r>
          </w:p>
        </w:tc>
        <w:tc>
          <w:tcPr>
            <w:tcW w:w="965" w:type="pct"/>
            <w:tcBorders>
              <w:top w:val="single" w:sz="4" w:space="0" w:color="196B24"/>
              <w:left w:val="nil"/>
              <w:bottom w:val="nil"/>
              <w:right w:val="nil"/>
            </w:tcBorders>
            <w:vAlign w:val="center"/>
            <w:hideMark/>
          </w:tcPr>
          <w:p w14:paraId="5EAC76D9" w14:textId="77777777" w:rsidR="005E7B5F" w:rsidRPr="00AD2980" w:rsidRDefault="005E7B5F" w:rsidP="005A7661">
            <w:pPr>
              <w:spacing w:after="0"/>
              <w:jc w:val="right"/>
              <w:rPr>
                <w:rFonts w:ascii="Aptos Narrow" w:hAnsi="Aptos Narrow" w:cs="Times New Roman"/>
                <w:color w:val="000000"/>
                <w:lang w:eastAsia="fr-FR"/>
              </w:rPr>
            </w:pPr>
            <w:r w:rsidRPr="00AD2980">
              <w:rPr>
                <w:rFonts w:ascii="Aptos Narrow" w:hAnsi="Aptos Narrow" w:cs="Times New Roman"/>
                <w:color w:val="000000"/>
                <w:lang w:eastAsia="fr-FR"/>
              </w:rPr>
              <w:t>Oui</w:t>
            </w:r>
          </w:p>
        </w:tc>
        <w:tc>
          <w:tcPr>
            <w:tcW w:w="323" w:type="pct"/>
            <w:tcBorders>
              <w:top w:val="single" w:sz="4" w:space="0" w:color="196B24"/>
              <w:left w:val="nil"/>
              <w:bottom w:val="nil"/>
              <w:right w:val="nil"/>
            </w:tcBorders>
            <w:vAlign w:val="center"/>
            <w:hideMark/>
          </w:tcPr>
          <w:p w14:paraId="19585673" w14:textId="77777777" w:rsidR="005E7B5F" w:rsidRPr="00AD2980" w:rsidRDefault="005E7B5F" w:rsidP="005A7661">
            <w:pPr>
              <w:spacing w:after="0"/>
              <w:jc w:val="left"/>
              <w:rPr>
                <w:rFonts w:ascii="Aptos Narrow" w:hAnsi="Aptos Narrow" w:cs="Times New Roman"/>
                <w:color w:val="000000"/>
                <w:lang w:eastAsia="fr-FR"/>
              </w:rPr>
            </w:pPr>
            <w:r w:rsidRPr="00AD2980">
              <w:rPr>
                <w:rFonts w:ascii="Aptos Narrow" w:hAnsi="Aptos Narrow" w:cs="Times New Roman"/>
                <w:color w:val="000000"/>
                <w:lang w:eastAsia="fr-FR"/>
              </w:rPr>
              <w:t>LC</w:t>
            </w:r>
          </w:p>
        </w:tc>
        <w:tc>
          <w:tcPr>
            <w:tcW w:w="352" w:type="pct"/>
            <w:tcBorders>
              <w:top w:val="single" w:sz="4" w:space="0" w:color="196B24"/>
              <w:left w:val="nil"/>
              <w:bottom w:val="nil"/>
              <w:right w:val="nil"/>
            </w:tcBorders>
            <w:vAlign w:val="center"/>
            <w:hideMark/>
          </w:tcPr>
          <w:p w14:paraId="6CF937AA" w14:textId="77777777" w:rsidR="005E7B5F" w:rsidRPr="00AD2980" w:rsidRDefault="005E7B5F" w:rsidP="005A7661">
            <w:pPr>
              <w:spacing w:after="0"/>
              <w:jc w:val="left"/>
              <w:rPr>
                <w:rFonts w:ascii="Aptos Narrow" w:hAnsi="Aptos Narrow" w:cs="Times New Roman"/>
                <w:color w:val="000000"/>
                <w:lang w:eastAsia="fr-FR"/>
              </w:rPr>
            </w:pPr>
            <w:r w:rsidRPr="00AD2980">
              <w:rPr>
                <w:rFonts w:ascii="Aptos Narrow" w:hAnsi="Aptos Narrow" w:cs="Times New Roman"/>
                <w:color w:val="000000"/>
                <w:lang w:eastAsia="fr-FR"/>
              </w:rPr>
              <w:t>–</w:t>
            </w:r>
          </w:p>
        </w:tc>
        <w:tc>
          <w:tcPr>
            <w:tcW w:w="439" w:type="pct"/>
            <w:tcBorders>
              <w:top w:val="single" w:sz="4" w:space="0" w:color="196B24"/>
              <w:left w:val="nil"/>
              <w:bottom w:val="nil"/>
              <w:right w:val="nil"/>
            </w:tcBorders>
            <w:vAlign w:val="center"/>
            <w:hideMark/>
          </w:tcPr>
          <w:p w14:paraId="2FD9764F" w14:textId="77777777" w:rsidR="005E7B5F" w:rsidRPr="00AD2980" w:rsidRDefault="005E7B5F" w:rsidP="005A7661">
            <w:pPr>
              <w:spacing w:after="0"/>
              <w:jc w:val="left"/>
              <w:rPr>
                <w:rFonts w:ascii="Aptos Narrow" w:hAnsi="Aptos Narrow" w:cs="Times New Roman"/>
                <w:b/>
                <w:bCs/>
                <w:color w:val="000000"/>
                <w:lang w:eastAsia="fr-FR"/>
              </w:rPr>
            </w:pPr>
            <w:r w:rsidRPr="00AD2980">
              <w:rPr>
                <w:rFonts w:ascii="Aptos Narrow" w:hAnsi="Aptos Narrow" w:cs="Times New Roman"/>
                <w:b/>
                <w:bCs/>
                <w:color w:val="000000"/>
                <w:lang w:eastAsia="fr-FR"/>
              </w:rPr>
              <w:t>Cat. IV</w:t>
            </w:r>
          </w:p>
        </w:tc>
        <w:tc>
          <w:tcPr>
            <w:tcW w:w="349" w:type="pct"/>
            <w:tcBorders>
              <w:top w:val="single" w:sz="4" w:space="0" w:color="196B24"/>
              <w:left w:val="nil"/>
              <w:bottom w:val="nil"/>
              <w:right w:val="single" w:sz="4" w:space="0" w:color="196B24"/>
            </w:tcBorders>
            <w:vAlign w:val="center"/>
            <w:hideMark/>
          </w:tcPr>
          <w:p w14:paraId="449C90C9" w14:textId="77777777" w:rsidR="005E7B5F" w:rsidRPr="00AD2980" w:rsidRDefault="005E7B5F" w:rsidP="005A7661">
            <w:pPr>
              <w:spacing w:after="0"/>
              <w:jc w:val="left"/>
              <w:rPr>
                <w:rFonts w:ascii="Aptos Narrow" w:hAnsi="Aptos Narrow" w:cs="Times New Roman"/>
                <w:color w:val="000000"/>
                <w:lang w:eastAsia="fr-FR"/>
              </w:rPr>
            </w:pPr>
            <w:r w:rsidRPr="00AD2980">
              <w:rPr>
                <w:rFonts w:ascii="Aptos Narrow" w:hAnsi="Aptos Narrow" w:cs="Times New Roman"/>
                <w:color w:val="000000"/>
                <w:lang w:eastAsia="fr-FR"/>
              </w:rPr>
              <w:t>–</w:t>
            </w:r>
          </w:p>
        </w:tc>
      </w:tr>
      <w:tr w:rsidR="005E7B5F" w:rsidRPr="00AD2980" w14:paraId="27F87CB5" w14:textId="77777777" w:rsidTr="005A7661">
        <w:trPr>
          <w:trHeight w:val="576"/>
        </w:trPr>
        <w:tc>
          <w:tcPr>
            <w:tcW w:w="562" w:type="pct"/>
            <w:tcBorders>
              <w:top w:val="single" w:sz="4" w:space="0" w:color="196B24"/>
              <w:left w:val="single" w:sz="4" w:space="0" w:color="196B24"/>
              <w:bottom w:val="nil"/>
              <w:right w:val="nil"/>
            </w:tcBorders>
            <w:vAlign w:val="center"/>
            <w:hideMark/>
          </w:tcPr>
          <w:p w14:paraId="4132C1F2" w14:textId="77777777" w:rsidR="005E7B5F" w:rsidRPr="00AD2980" w:rsidRDefault="005E7B5F" w:rsidP="005A7661">
            <w:pPr>
              <w:spacing w:after="0"/>
              <w:jc w:val="left"/>
              <w:rPr>
                <w:rFonts w:ascii="Aptos Narrow" w:hAnsi="Aptos Narrow" w:cs="Times New Roman"/>
                <w:color w:val="000000"/>
                <w:lang w:eastAsia="fr-FR"/>
              </w:rPr>
            </w:pPr>
            <w:r w:rsidRPr="00AD2980">
              <w:rPr>
                <w:rFonts w:ascii="Aptos Narrow" w:hAnsi="Aptos Narrow" w:cs="Times New Roman"/>
                <w:color w:val="000000"/>
                <w:lang w:eastAsia="fr-FR"/>
              </w:rPr>
              <w:t>Amphibien</w:t>
            </w:r>
          </w:p>
        </w:tc>
        <w:tc>
          <w:tcPr>
            <w:tcW w:w="870" w:type="pct"/>
            <w:tcBorders>
              <w:top w:val="single" w:sz="4" w:space="0" w:color="196B24"/>
              <w:left w:val="nil"/>
              <w:bottom w:val="nil"/>
              <w:right w:val="nil"/>
            </w:tcBorders>
            <w:vAlign w:val="center"/>
            <w:hideMark/>
          </w:tcPr>
          <w:p w14:paraId="53473A61" w14:textId="77777777" w:rsidR="005E7B5F" w:rsidRPr="00AD2980" w:rsidRDefault="005E7B5F" w:rsidP="005A7661">
            <w:pPr>
              <w:spacing w:after="0"/>
              <w:jc w:val="left"/>
              <w:rPr>
                <w:rFonts w:ascii="Aptos Narrow" w:hAnsi="Aptos Narrow" w:cs="Times New Roman"/>
                <w:b/>
                <w:bCs/>
                <w:i/>
                <w:iCs/>
                <w:color w:val="000000"/>
                <w:lang w:eastAsia="fr-FR"/>
              </w:rPr>
            </w:pPr>
            <w:r w:rsidRPr="00AD2980">
              <w:rPr>
                <w:rFonts w:ascii="Aptos Narrow" w:hAnsi="Aptos Narrow" w:cs="Times New Roman"/>
                <w:b/>
                <w:bCs/>
                <w:i/>
                <w:iCs/>
                <w:color w:val="000000"/>
                <w:lang w:eastAsia="fr-FR"/>
              </w:rPr>
              <w:t>Discoglossus scovazzi</w:t>
            </w:r>
          </w:p>
        </w:tc>
        <w:tc>
          <w:tcPr>
            <w:tcW w:w="616" w:type="pct"/>
            <w:tcBorders>
              <w:top w:val="single" w:sz="4" w:space="0" w:color="196B24"/>
              <w:left w:val="nil"/>
              <w:bottom w:val="nil"/>
              <w:right w:val="nil"/>
            </w:tcBorders>
            <w:vAlign w:val="center"/>
            <w:hideMark/>
          </w:tcPr>
          <w:p w14:paraId="6E97706E" w14:textId="77777777" w:rsidR="005E7B5F" w:rsidRPr="00AD2980" w:rsidRDefault="005E7B5F" w:rsidP="005A7661">
            <w:pPr>
              <w:spacing w:after="0"/>
              <w:jc w:val="left"/>
              <w:rPr>
                <w:rFonts w:ascii="Aptos Narrow" w:hAnsi="Aptos Narrow" w:cs="Times New Roman"/>
                <w:color w:val="000000"/>
                <w:lang w:eastAsia="fr-FR"/>
              </w:rPr>
            </w:pPr>
            <w:r w:rsidRPr="00AD2980">
              <w:rPr>
                <w:rFonts w:ascii="Aptos Narrow" w:hAnsi="Aptos Narrow" w:cs="Times New Roman"/>
                <w:color w:val="000000"/>
                <w:lang w:eastAsia="fr-FR"/>
              </w:rPr>
              <w:t>Peintade du Maroc</w:t>
            </w:r>
          </w:p>
        </w:tc>
        <w:tc>
          <w:tcPr>
            <w:tcW w:w="525" w:type="pct"/>
            <w:tcBorders>
              <w:top w:val="single" w:sz="4" w:space="0" w:color="196B24"/>
              <w:left w:val="nil"/>
              <w:bottom w:val="nil"/>
              <w:right w:val="nil"/>
            </w:tcBorders>
            <w:vAlign w:val="center"/>
            <w:hideMark/>
          </w:tcPr>
          <w:p w14:paraId="42C119F5" w14:textId="77777777" w:rsidR="005E7B5F" w:rsidRPr="00AD2980" w:rsidRDefault="005E7B5F" w:rsidP="005A7661">
            <w:pPr>
              <w:spacing w:after="0"/>
              <w:jc w:val="right"/>
              <w:rPr>
                <w:rFonts w:ascii="Aptos Narrow" w:hAnsi="Aptos Narrow" w:cs="Times New Roman"/>
                <w:color w:val="000000"/>
                <w:lang w:eastAsia="fr-FR"/>
              </w:rPr>
            </w:pPr>
            <w:r w:rsidRPr="00AD2980">
              <w:rPr>
                <w:rFonts w:ascii="Aptos Narrow" w:hAnsi="Aptos Narrow" w:cs="Times New Roman"/>
                <w:color w:val="000000"/>
                <w:lang w:eastAsia="fr-FR"/>
              </w:rPr>
              <w:t>Non signalée</w:t>
            </w:r>
          </w:p>
        </w:tc>
        <w:tc>
          <w:tcPr>
            <w:tcW w:w="965" w:type="pct"/>
            <w:tcBorders>
              <w:top w:val="single" w:sz="4" w:space="0" w:color="196B24"/>
              <w:left w:val="nil"/>
              <w:bottom w:val="nil"/>
              <w:right w:val="nil"/>
            </w:tcBorders>
            <w:vAlign w:val="center"/>
            <w:hideMark/>
          </w:tcPr>
          <w:p w14:paraId="050D985C" w14:textId="77777777" w:rsidR="005E7B5F" w:rsidRPr="00AD2980" w:rsidRDefault="005E7B5F" w:rsidP="005A7661">
            <w:pPr>
              <w:spacing w:after="0"/>
              <w:jc w:val="right"/>
              <w:rPr>
                <w:rFonts w:ascii="Aptos Narrow" w:hAnsi="Aptos Narrow" w:cs="Times New Roman"/>
                <w:color w:val="000000"/>
                <w:lang w:eastAsia="fr-FR"/>
              </w:rPr>
            </w:pPr>
            <w:r w:rsidRPr="00AD2980">
              <w:rPr>
                <w:rFonts w:ascii="Aptos Narrow" w:hAnsi="Aptos Narrow" w:cs="Times New Roman"/>
                <w:color w:val="000000"/>
                <w:lang w:eastAsia="fr-FR"/>
              </w:rPr>
              <w:t>Oui</w:t>
            </w:r>
          </w:p>
        </w:tc>
        <w:tc>
          <w:tcPr>
            <w:tcW w:w="323" w:type="pct"/>
            <w:tcBorders>
              <w:top w:val="single" w:sz="4" w:space="0" w:color="196B24"/>
              <w:left w:val="nil"/>
              <w:bottom w:val="nil"/>
              <w:right w:val="nil"/>
            </w:tcBorders>
            <w:vAlign w:val="center"/>
            <w:hideMark/>
          </w:tcPr>
          <w:p w14:paraId="759AB86B" w14:textId="77777777" w:rsidR="005E7B5F" w:rsidRPr="00AD2980" w:rsidRDefault="005E7B5F" w:rsidP="005A7661">
            <w:pPr>
              <w:spacing w:after="0"/>
              <w:jc w:val="left"/>
              <w:rPr>
                <w:rFonts w:ascii="Aptos Narrow" w:hAnsi="Aptos Narrow" w:cs="Times New Roman"/>
                <w:color w:val="000000"/>
                <w:lang w:eastAsia="fr-FR"/>
              </w:rPr>
            </w:pPr>
            <w:r w:rsidRPr="00AD2980">
              <w:rPr>
                <w:rFonts w:ascii="Aptos Narrow" w:hAnsi="Aptos Narrow" w:cs="Times New Roman"/>
                <w:color w:val="000000"/>
                <w:lang w:eastAsia="fr-FR"/>
              </w:rPr>
              <w:t>LC</w:t>
            </w:r>
          </w:p>
        </w:tc>
        <w:tc>
          <w:tcPr>
            <w:tcW w:w="352" w:type="pct"/>
            <w:tcBorders>
              <w:top w:val="single" w:sz="4" w:space="0" w:color="196B24"/>
              <w:left w:val="nil"/>
              <w:bottom w:val="nil"/>
              <w:right w:val="nil"/>
            </w:tcBorders>
            <w:vAlign w:val="center"/>
            <w:hideMark/>
          </w:tcPr>
          <w:p w14:paraId="4BA1C726" w14:textId="77777777" w:rsidR="005E7B5F" w:rsidRPr="00AD2980" w:rsidRDefault="005E7B5F" w:rsidP="005A7661">
            <w:pPr>
              <w:spacing w:after="0"/>
              <w:jc w:val="left"/>
              <w:rPr>
                <w:rFonts w:ascii="Aptos Narrow" w:hAnsi="Aptos Narrow" w:cs="Times New Roman"/>
                <w:color w:val="000000"/>
                <w:lang w:eastAsia="fr-FR"/>
              </w:rPr>
            </w:pPr>
            <w:r w:rsidRPr="00AD2980">
              <w:rPr>
                <w:rFonts w:ascii="Aptos Narrow" w:hAnsi="Aptos Narrow" w:cs="Times New Roman"/>
                <w:color w:val="000000"/>
                <w:lang w:eastAsia="fr-FR"/>
              </w:rPr>
              <w:t>–</w:t>
            </w:r>
          </w:p>
        </w:tc>
        <w:tc>
          <w:tcPr>
            <w:tcW w:w="439" w:type="pct"/>
            <w:tcBorders>
              <w:top w:val="single" w:sz="4" w:space="0" w:color="196B24"/>
              <w:left w:val="nil"/>
              <w:bottom w:val="nil"/>
              <w:right w:val="nil"/>
            </w:tcBorders>
            <w:vAlign w:val="center"/>
            <w:hideMark/>
          </w:tcPr>
          <w:p w14:paraId="1861D466" w14:textId="77777777" w:rsidR="005E7B5F" w:rsidRPr="00AD2980" w:rsidRDefault="005E7B5F" w:rsidP="005A7661">
            <w:pPr>
              <w:spacing w:after="0"/>
              <w:jc w:val="left"/>
              <w:rPr>
                <w:rFonts w:ascii="Aptos Narrow" w:hAnsi="Aptos Narrow" w:cs="Times New Roman"/>
                <w:b/>
                <w:bCs/>
                <w:color w:val="000000"/>
                <w:lang w:eastAsia="fr-FR"/>
              </w:rPr>
            </w:pPr>
            <w:r w:rsidRPr="00AD2980">
              <w:rPr>
                <w:rFonts w:ascii="Aptos Narrow" w:hAnsi="Aptos Narrow" w:cs="Times New Roman"/>
                <w:b/>
                <w:bCs/>
                <w:color w:val="000000"/>
                <w:lang w:eastAsia="fr-FR"/>
              </w:rPr>
              <w:t>Cat. IV</w:t>
            </w:r>
          </w:p>
        </w:tc>
        <w:tc>
          <w:tcPr>
            <w:tcW w:w="349" w:type="pct"/>
            <w:tcBorders>
              <w:top w:val="single" w:sz="4" w:space="0" w:color="196B24"/>
              <w:left w:val="nil"/>
              <w:bottom w:val="nil"/>
              <w:right w:val="single" w:sz="4" w:space="0" w:color="196B24"/>
            </w:tcBorders>
            <w:vAlign w:val="center"/>
            <w:hideMark/>
          </w:tcPr>
          <w:p w14:paraId="7C1E0D7D" w14:textId="77777777" w:rsidR="005E7B5F" w:rsidRPr="00AD2980" w:rsidRDefault="005E7B5F" w:rsidP="005A7661">
            <w:pPr>
              <w:spacing w:after="0"/>
              <w:jc w:val="left"/>
              <w:rPr>
                <w:rFonts w:ascii="Aptos Narrow" w:hAnsi="Aptos Narrow" w:cs="Times New Roman"/>
                <w:color w:val="000000"/>
                <w:lang w:eastAsia="fr-FR"/>
              </w:rPr>
            </w:pPr>
            <w:r w:rsidRPr="00AD2980">
              <w:rPr>
                <w:rFonts w:ascii="Aptos Narrow" w:hAnsi="Aptos Narrow" w:cs="Times New Roman"/>
                <w:color w:val="000000"/>
                <w:lang w:eastAsia="fr-FR"/>
              </w:rPr>
              <w:t>–</w:t>
            </w:r>
          </w:p>
        </w:tc>
      </w:tr>
      <w:tr w:rsidR="005E7B5F" w:rsidRPr="00AD2980" w14:paraId="57DBEEC9" w14:textId="77777777" w:rsidTr="005A7661">
        <w:trPr>
          <w:trHeight w:val="576"/>
        </w:trPr>
        <w:tc>
          <w:tcPr>
            <w:tcW w:w="562" w:type="pct"/>
            <w:tcBorders>
              <w:top w:val="single" w:sz="4" w:space="0" w:color="196B24"/>
              <w:left w:val="single" w:sz="4" w:space="0" w:color="196B24"/>
              <w:bottom w:val="single" w:sz="4" w:space="0" w:color="196B24"/>
              <w:right w:val="nil"/>
            </w:tcBorders>
            <w:vAlign w:val="center"/>
            <w:hideMark/>
          </w:tcPr>
          <w:p w14:paraId="02D4EED2" w14:textId="77777777" w:rsidR="005E7B5F" w:rsidRPr="00AD2980" w:rsidRDefault="005E7B5F" w:rsidP="005A7661">
            <w:pPr>
              <w:spacing w:after="0"/>
              <w:jc w:val="left"/>
              <w:rPr>
                <w:rFonts w:ascii="Aptos Narrow" w:hAnsi="Aptos Narrow" w:cs="Times New Roman"/>
                <w:color w:val="000000"/>
                <w:lang w:eastAsia="fr-FR"/>
              </w:rPr>
            </w:pPr>
            <w:r w:rsidRPr="00AD2980">
              <w:rPr>
                <w:rFonts w:ascii="Aptos Narrow" w:hAnsi="Aptos Narrow" w:cs="Times New Roman"/>
                <w:color w:val="000000"/>
                <w:lang w:eastAsia="fr-FR"/>
              </w:rPr>
              <w:t>Amphibien</w:t>
            </w:r>
          </w:p>
        </w:tc>
        <w:tc>
          <w:tcPr>
            <w:tcW w:w="870" w:type="pct"/>
            <w:tcBorders>
              <w:top w:val="single" w:sz="4" w:space="0" w:color="196B24"/>
              <w:left w:val="nil"/>
              <w:bottom w:val="single" w:sz="4" w:space="0" w:color="196B24"/>
              <w:right w:val="nil"/>
            </w:tcBorders>
            <w:vAlign w:val="center"/>
            <w:hideMark/>
          </w:tcPr>
          <w:p w14:paraId="3DDA9135" w14:textId="77777777" w:rsidR="005E7B5F" w:rsidRPr="00AD2980" w:rsidRDefault="005E7B5F" w:rsidP="005A7661">
            <w:pPr>
              <w:spacing w:after="0"/>
              <w:jc w:val="left"/>
              <w:rPr>
                <w:rFonts w:ascii="Aptos Narrow" w:hAnsi="Aptos Narrow" w:cs="Times New Roman"/>
                <w:b/>
                <w:bCs/>
                <w:i/>
                <w:iCs/>
                <w:color w:val="000000"/>
                <w:lang w:eastAsia="fr-FR"/>
              </w:rPr>
            </w:pPr>
            <w:r w:rsidRPr="00AD2980">
              <w:rPr>
                <w:rFonts w:ascii="Aptos Narrow" w:hAnsi="Aptos Narrow" w:cs="Times New Roman"/>
                <w:b/>
                <w:bCs/>
                <w:i/>
                <w:iCs/>
                <w:color w:val="000000"/>
                <w:lang w:eastAsia="fr-FR"/>
              </w:rPr>
              <w:t>Hyla meridionalis</w:t>
            </w:r>
          </w:p>
        </w:tc>
        <w:tc>
          <w:tcPr>
            <w:tcW w:w="616" w:type="pct"/>
            <w:tcBorders>
              <w:top w:val="single" w:sz="4" w:space="0" w:color="196B24"/>
              <w:left w:val="nil"/>
              <w:bottom w:val="single" w:sz="4" w:space="0" w:color="196B24"/>
              <w:right w:val="nil"/>
            </w:tcBorders>
            <w:vAlign w:val="center"/>
            <w:hideMark/>
          </w:tcPr>
          <w:p w14:paraId="05016A76" w14:textId="77777777" w:rsidR="005E7B5F" w:rsidRPr="00AD2980" w:rsidRDefault="005E7B5F" w:rsidP="005A7661">
            <w:pPr>
              <w:spacing w:after="0"/>
              <w:jc w:val="left"/>
              <w:rPr>
                <w:rFonts w:ascii="Aptos Narrow" w:hAnsi="Aptos Narrow" w:cs="Times New Roman"/>
                <w:color w:val="000000"/>
                <w:lang w:eastAsia="fr-FR"/>
              </w:rPr>
            </w:pPr>
            <w:r w:rsidRPr="00AD2980">
              <w:rPr>
                <w:rFonts w:ascii="Aptos Narrow" w:hAnsi="Aptos Narrow" w:cs="Times New Roman"/>
                <w:color w:val="000000"/>
                <w:lang w:eastAsia="fr-FR"/>
              </w:rPr>
              <w:t>Rainette méridionale</w:t>
            </w:r>
          </w:p>
        </w:tc>
        <w:tc>
          <w:tcPr>
            <w:tcW w:w="525" w:type="pct"/>
            <w:tcBorders>
              <w:top w:val="single" w:sz="4" w:space="0" w:color="196B24"/>
              <w:left w:val="nil"/>
              <w:bottom w:val="single" w:sz="4" w:space="0" w:color="196B24"/>
              <w:right w:val="nil"/>
            </w:tcBorders>
            <w:vAlign w:val="center"/>
            <w:hideMark/>
          </w:tcPr>
          <w:p w14:paraId="225DF0EF" w14:textId="77777777" w:rsidR="005E7B5F" w:rsidRPr="00AD2980" w:rsidRDefault="005E7B5F" w:rsidP="005A7661">
            <w:pPr>
              <w:spacing w:after="0"/>
              <w:jc w:val="right"/>
              <w:rPr>
                <w:rFonts w:ascii="Aptos Narrow" w:hAnsi="Aptos Narrow" w:cs="Times New Roman"/>
                <w:color w:val="000000"/>
                <w:lang w:eastAsia="fr-FR"/>
              </w:rPr>
            </w:pPr>
            <w:r w:rsidRPr="00AD2980">
              <w:rPr>
                <w:rFonts w:ascii="Aptos Narrow" w:hAnsi="Aptos Narrow" w:cs="Times New Roman"/>
                <w:color w:val="000000"/>
                <w:lang w:eastAsia="fr-FR"/>
              </w:rPr>
              <w:t>Non signalée</w:t>
            </w:r>
          </w:p>
        </w:tc>
        <w:tc>
          <w:tcPr>
            <w:tcW w:w="965" w:type="pct"/>
            <w:tcBorders>
              <w:top w:val="single" w:sz="4" w:space="0" w:color="196B24"/>
              <w:left w:val="nil"/>
              <w:bottom w:val="single" w:sz="4" w:space="0" w:color="196B24"/>
              <w:right w:val="nil"/>
            </w:tcBorders>
            <w:vAlign w:val="center"/>
            <w:hideMark/>
          </w:tcPr>
          <w:p w14:paraId="08F0BFEB" w14:textId="77777777" w:rsidR="005E7B5F" w:rsidRPr="00AD2980" w:rsidRDefault="005E7B5F" w:rsidP="005A7661">
            <w:pPr>
              <w:spacing w:after="0"/>
              <w:jc w:val="right"/>
              <w:rPr>
                <w:rFonts w:ascii="Aptos Narrow" w:hAnsi="Aptos Narrow" w:cs="Times New Roman"/>
                <w:b/>
                <w:bCs/>
                <w:color w:val="000000"/>
                <w:lang w:eastAsia="fr-FR"/>
              </w:rPr>
            </w:pPr>
            <w:r w:rsidRPr="00AD2980">
              <w:rPr>
                <w:rFonts w:ascii="Aptos Narrow" w:hAnsi="Aptos Narrow" w:cs="Times New Roman"/>
                <w:b/>
                <w:bCs/>
                <w:color w:val="000000"/>
                <w:lang w:eastAsia="fr-FR"/>
              </w:rPr>
              <w:t>Possible/Localisée</w:t>
            </w:r>
          </w:p>
        </w:tc>
        <w:tc>
          <w:tcPr>
            <w:tcW w:w="323" w:type="pct"/>
            <w:tcBorders>
              <w:top w:val="single" w:sz="4" w:space="0" w:color="196B24"/>
              <w:left w:val="nil"/>
              <w:bottom w:val="single" w:sz="4" w:space="0" w:color="196B24"/>
              <w:right w:val="nil"/>
            </w:tcBorders>
            <w:vAlign w:val="center"/>
            <w:hideMark/>
          </w:tcPr>
          <w:p w14:paraId="16FF4B9A" w14:textId="77777777" w:rsidR="005E7B5F" w:rsidRPr="00AD2980" w:rsidRDefault="005E7B5F" w:rsidP="005A7661">
            <w:pPr>
              <w:spacing w:after="0"/>
              <w:jc w:val="left"/>
              <w:rPr>
                <w:rFonts w:ascii="Aptos Narrow" w:hAnsi="Aptos Narrow" w:cs="Times New Roman"/>
                <w:color w:val="000000"/>
                <w:lang w:eastAsia="fr-FR"/>
              </w:rPr>
            </w:pPr>
            <w:r w:rsidRPr="00AD2980">
              <w:rPr>
                <w:rFonts w:ascii="Aptos Narrow" w:hAnsi="Aptos Narrow" w:cs="Times New Roman"/>
                <w:color w:val="000000"/>
                <w:lang w:eastAsia="fr-FR"/>
              </w:rPr>
              <w:t>LC</w:t>
            </w:r>
          </w:p>
        </w:tc>
        <w:tc>
          <w:tcPr>
            <w:tcW w:w="352" w:type="pct"/>
            <w:tcBorders>
              <w:top w:val="single" w:sz="4" w:space="0" w:color="196B24"/>
              <w:left w:val="nil"/>
              <w:bottom w:val="single" w:sz="4" w:space="0" w:color="196B24"/>
              <w:right w:val="nil"/>
            </w:tcBorders>
            <w:vAlign w:val="center"/>
            <w:hideMark/>
          </w:tcPr>
          <w:p w14:paraId="5B041362" w14:textId="77777777" w:rsidR="005E7B5F" w:rsidRPr="00AD2980" w:rsidRDefault="005E7B5F" w:rsidP="005A7661">
            <w:pPr>
              <w:spacing w:after="0"/>
              <w:jc w:val="left"/>
              <w:rPr>
                <w:rFonts w:ascii="Aptos Narrow" w:hAnsi="Aptos Narrow" w:cs="Times New Roman"/>
                <w:color w:val="000000"/>
                <w:lang w:eastAsia="fr-FR"/>
              </w:rPr>
            </w:pPr>
            <w:r w:rsidRPr="00AD2980">
              <w:rPr>
                <w:rFonts w:ascii="Aptos Narrow" w:hAnsi="Aptos Narrow" w:cs="Times New Roman"/>
                <w:color w:val="000000"/>
                <w:lang w:eastAsia="fr-FR"/>
              </w:rPr>
              <w:t>–</w:t>
            </w:r>
          </w:p>
        </w:tc>
        <w:tc>
          <w:tcPr>
            <w:tcW w:w="439" w:type="pct"/>
            <w:tcBorders>
              <w:top w:val="single" w:sz="4" w:space="0" w:color="196B24"/>
              <w:left w:val="nil"/>
              <w:bottom w:val="single" w:sz="4" w:space="0" w:color="196B24"/>
              <w:right w:val="nil"/>
            </w:tcBorders>
            <w:vAlign w:val="center"/>
            <w:hideMark/>
          </w:tcPr>
          <w:p w14:paraId="46687888" w14:textId="77777777" w:rsidR="005E7B5F" w:rsidRPr="00AD2980" w:rsidRDefault="005E7B5F" w:rsidP="005A7661">
            <w:pPr>
              <w:spacing w:after="0"/>
              <w:jc w:val="left"/>
              <w:rPr>
                <w:rFonts w:ascii="Aptos Narrow" w:hAnsi="Aptos Narrow" w:cs="Times New Roman"/>
                <w:b/>
                <w:bCs/>
                <w:color w:val="000000"/>
                <w:lang w:eastAsia="fr-FR"/>
              </w:rPr>
            </w:pPr>
            <w:r w:rsidRPr="00AD2980">
              <w:rPr>
                <w:rFonts w:ascii="Aptos Narrow" w:hAnsi="Aptos Narrow" w:cs="Times New Roman"/>
                <w:b/>
                <w:bCs/>
                <w:color w:val="000000"/>
                <w:lang w:eastAsia="fr-FR"/>
              </w:rPr>
              <w:t>Cat. IV</w:t>
            </w:r>
          </w:p>
        </w:tc>
        <w:tc>
          <w:tcPr>
            <w:tcW w:w="349" w:type="pct"/>
            <w:tcBorders>
              <w:top w:val="single" w:sz="4" w:space="0" w:color="196B24"/>
              <w:left w:val="nil"/>
              <w:bottom w:val="single" w:sz="4" w:space="0" w:color="196B24"/>
              <w:right w:val="single" w:sz="4" w:space="0" w:color="196B24"/>
            </w:tcBorders>
            <w:vAlign w:val="center"/>
            <w:hideMark/>
          </w:tcPr>
          <w:p w14:paraId="30E4E2C2" w14:textId="77777777" w:rsidR="005E7B5F" w:rsidRPr="00AD2980" w:rsidRDefault="005E7B5F" w:rsidP="005A7661">
            <w:pPr>
              <w:spacing w:after="0"/>
              <w:jc w:val="left"/>
              <w:rPr>
                <w:rFonts w:ascii="Aptos Narrow" w:hAnsi="Aptos Narrow" w:cs="Times New Roman"/>
                <w:color w:val="000000"/>
                <w:lang w:eastAsia="fr-FR"/>
              </w:rPr>
            </w:pPr>
            <w:r w:rsidRPr="00AD2980">
              <w:rPr>
                <w:rFonts w:ascii="Aptos Narrow" w:hAnsi="Aptos Narrow" w:cs="Times New Roman"/>
                <w:color w:val="000000"/>
                <w:lang w:eastAsia="fr-FR"/>
              </w:rPr>
              <w:t>–</w:t>
            </w:r>
          </w:p>
        </w:tc>
      </w:tr>
    </w:tbl>
    <w:p w14:paraId="58819CEA" w14:textId="77777777" w:rsidR="00FB5B32" w:rsidRDefault="00FB5B32" w:rsidP="00FB5B32">
      <w:r w:rsidRPr="001317F3">
        <w:t>Les geckos synanthropes (</w:t>
      </w:r>
      <w:r w:rsidRPr="006C3F0A">
        <w:rPr>
          <w:i/>
          <w:iCs/>
        </w:rPr>
        <w:t>Tarentola, Hemidactylus</w:t>
      </w:r>
      <w:r w:rsidRPr="001317F3">
        <w:t>) sont localisés dans l’emprise (bâtis/ouvrages). Les lézards de milieux secs (</w:t>
      </w:r>
      <w:r w:rsidRPr="006C3F0A">
        <w:rPr>
          <w:i/>
          <w:iCs/>
        </w:rPr>
        <w:t>Acanthodactylus, Agama, Psammodromus</w:t>
      </w:r>
      <w:r w:rsidRPr="001317F3">
        <w:t>, Chalcides) dominent les mosaïques de friches/talus en périphérie. Les couleuvres sont attendues en ZEE, avec Natrix maura près des points d’eau. La tortue grecque (</w:t>
      </w:r>
      <w:r w:rsidRPr="006C3F0A">
        <w:rPr>
          <w:i/>
          <w:iCs/>
        </w:rPr>
        <w:t>Testudo graeca</w:t>
      </w:r>
      <w:r w:rsidRPr="001317F3">
        <w:t>) est possible en périphérie et porte des statuts élevés (UICN VU, Berne II, CITES II). Les amphibiens (grenouille verte, crapaud de Boulenger, peintade du Maroc, rainette) occupent les fossés, mares et bassins des secteurs irrigués.</w:t>
      </w:r>
    </w:p>
    <w:p w14:paraId="6DAEF0D3" w14:textId="7F6DAD06" w:rsidR="00E41CCF" w:rsidRPr="007A4251" w:rsidRDefault="00FB5B32" w:rsidP="00FB5B32">
      <w:pPr>
        <w:rPr>
          <w:shd w:val="clear" w:color="auto" w:fill="FFFFFF"/>
          <w:lang w:val="fr-MA"/>
        </w:rPr>
      </w:pPr>
      <w:r w:rsidRPr="004D5FBA">
        <w:t xml:space="preserve">Dans l’emprise, la faune herpétologique est marquée par des espèces communes et tolérantes aux milieux anthropisés (geckos, quelques lézards de talus), avec une présence d’amphibiens surtout à l’extérieur sur les secteurs en eau. Cette composition indique un enjeu patrimonial globalement </w:t>
      </w:r>
      <w:r w:rsidRPr="006C3F0A">
        <w:rPr>
          <w:rFonts w:asciiTheme="minorHAnsi" w:hAnsiTheme="minorHAnsi" w:cstheme="minorBidi"/>
          <w:b/>
          <w:bCs/>
        </w:rPr>
        <w:t>faible à modéré</w:t>
      </w:r>
      <w:r w:rsidRPr="004D5FBA">
        <w:t xml:space="preserve">, à l’exception de taxons réglementairement sensibles en périphérie (p. ex. </w:t>
      </w:r>
      <w:r w:rsidRPr="006C3F0A">
        <w:rPr>
          <w:rFonts w:asciiTheme="minorHAnsi" w:hAnsiTheme="minorHAnsi" w:cstheme="minorBidi"/>
          <w:i/>
          <w:iCs/>
        </w:rPr>
        <w:t>Testudo graeca, Chamaeleo chamaeleon</w:t>
      </w:r>
      <w:r w:rsidRPr="004D5FBA">
        <w:t>).</w:t>
      </w:r>
    </w:p>
    <w:p w14:paraId="0063A665" w14:textId="646731D6" w:rsidR="00FB5B32" w:rsidRPr="002F7643" w:rsidRDefault="002F7643" w:rsidP="002F7643">
      <w:pPr>
        <w:pStyle w:val="Title3"/>
      </w:pPr>
      <w:bookmarkStart w:id="308" w:name="_Toc215131858"/>
      <w:r>
        <w:t>Espaces protégés et SIBEs</w:t>
      </w:r>
      <w:bookmarkEnd w:id="308"/>
    </w:p>
    <w:p w14:paraId="6424DB52" w14:textId="77777777" w:rsidR="00CC174A" w:rsidRPr="00823075" w:rsidRDefault="00CC174A" w:rsidP="00CC174A">
      <w:r w:rsidRPr="00823075">
        <w:t>Le Maroc a créé un réseau national d’aires protégées dont la fonction est d’assurer la préservation du patrimoine naturel et de la biodiversité au moyen du Plan directeur des aires protégées dont l’application s’effectue de façon graduelle. Ce réseau est formé des parcs nationaux, parcs naturels, réserves biologiques et sites d’intérêt biologique et écologique (SIBE) et atteint une superficie de plus de 2,5 millions d’hectares.</w:t>
      </w:r>
    </w:p>
    <w:p w14:paraId="74FED338" w14:textId="77777777" w:rsidR="00CC174A" w:rsidRPr="00823075" w:rsidRDefault="00CC174A" w:rsidP="00CC174A">
      <w:r w:rsidRPr="00823075">
        <w:t>Les SIBEs les plus proches de la zone s’étude sont :</w:t>
      </w:r>
    </w:p>
    <w:p w14:paraId="6EFA03E7" w14:textId="77777777" w:rsidR="00CC174A" w:rsidRPr="00823075" w:rsidRDefault="00CC174A" w:rsidP="0001633E">
      <w:pPr>
        <w:numPr>
          <w:ilvl w:val="0"/>
          <w:numId w:val="200"/>
        </w:numPr>
        <w:spacing w:before="0" w:after="200" w:line="240" w:lineRule="auto"/>
      </w:pPr>
      <w:r w:rsidRPr="00823075">
        <w:rPr>
          <w:b/>
          <w:bCs/>
        </w:rPr>
        <w:t>Marais de la Palmeraie de Marrakech</w:t>
      </w:r>
      <w:r w:rsidRPr="00823075">
        <w:t xml:space="preserve">, se trouve au niveau de la zone d’étude à environ 9 km de la zone du projet. C’est la plaine du Haouz avec marais au sein de la palmeraie sur l'oued Tensift. En effet, c’est un milieu unique et particulièrement "sauvage" sur une surface très réduite marqué par une végétation de marais originale au sein de la palmeraie et cortège faunistique très remarquable (unique pour la région). La faune est composée essentiellement </w:t>
      </w:r>
      <w:r w:rsidRPr="00823075">
        <w:lastRenderedPageBreak/>
        <w:t>de 14 espèces de mammifères rencontrées dans les limites du site considéré et 5 dans ses environs immédiats, 3 espèces intéressantes, endémiques ou rares ou menacées, 49 espèces d'oiseaux nichent dans les limites strictes du site considéré et 15 ont été rencontrées dans ses environs immédiats soit un total de 64 espèces connues pour l'ensemble de la région.</w:t>
      </w:r>
    </w:p>
    <w:p w14:paraId="087498CD" w14:textId="77777777" w:rsidR="00CC174A" w:rsidRPr="00823075" w:rsidRDefault="00CC174A" w:rsidP="0001633E">
      <w:pPr>
        <w:numPr>
          <w:ilvl w:val="0"/>
          <w:numId w:val="200"/>
        </w:numPr>
        <w:spacing w:before="0" w:after="200" w:line="240" w:lineRule="auto"/>
      </w:pPr>
      <w:r w:rsidRPr="00823075">
        <w:rPr>
          <w:b/>
          <w:bCs/>
        </w:rPr>
        <w:t>Msabih Talaa,</w:t>
      </w:r>
      <w:r w:rsidRPr="00823075">
        <w:t xml:space="preserve"> à 34 km de la zone d’étude</w:t>
      </w:r>
      <w:r>
        <w:t xml:space="preserve"> à 13 Km</w:t>
      </w:r>
      <w:r w:rsidRPr="00823075">
        <w:t>. C’est une plaine de Haouz, sédiments quaternaires reposant sur des schistes primaires qui affleurent par endroits. La Flore est composée d’un écosystème à Acacia gummifera ayant totalement disparu, représenté par quelques vestiges maraboutiques en dehors du SIBE ou très localement à l'intérieur. Le milieu est artificialisé mais avec un peuplement faunistique intéressant. dont notamment 13 espèces de mammifères rencontrées dans les limites du site considéré et 2 dans ses environs immédiats, 56 espèces d'oiseaux nichent  dans les limites strictes du site considéré et 3 ont été rencontrées dans ses environs immédiats et 11 espèces intéressantes, endémiques ou rares ou menacées.</w:t>
      </w:r>
    </w:p>
    <w:p w14:paraId="7C16A8E4" w14:textId="77777777" w:rsidR="00CC174A" w:rsidRPr="00823075" w:rsidRDefault="00CC174A" w:rsidP="0001633E">
      <w:pPr>
        <w:numPr>
          <w:ilvl w:val="0"/>
          <w:numId w:val="200"/>
        </w:numPr>
        <w:spacing w:before="0" w:after="200" w:line="240" w:lineRule="auto"/>
      </w:pPr>
      <w:r w:rsidRPr="00823075">
        <w:rPr>
          <w:b/>
          <w:bCs/>
        </w:rPr>
        <w:t>Parc National de Toubkal</w:t>
      </w:r>
      <w:r w:rsidRPr="00823075">
        <w:t>, à 22 Km de la zone d’étude</w:t>
      </w:r>
      <w:r>
        <w:t xml:space="preserve"> à 13 Km</w:t>
      </w:r>
      <w:r w:rsidRPr="00823075">
        <w:t>. La zone centrale du PNTb a été délimitée dans le cadre du Dahir de la création du PNTb. Elle est matérialisée sur le terrain par des bornes (kerkours). Bien que dans l’arrêté viziriel du 19 janvier 1942 de création du PNTb il soit question de 38 470 ha, la surface calculée par le SIG de la zone centrale est de 39 351 ha. La zone centrale englobe les hautes montagnes de l’Atlas et est de ce fait très peu peuplée. Les surfaces boisées y sont faibles et il y a très peu de vallées cultivables et irrigables.  La zone centrale du Parc, identifiée comme une zone de gestion des ressources naturelles, abrite la plus ancienne réserve zoologique, la réserve du Takherkhort, créée en 1967 pour la conservation du Mouflon à manchettes. Elle couvre aujourd’hui 615,20 ha dont 364 ha sur la zone centrale du PNTb.</w:t>
      </w:r>
    </w:p>
    <w:p w14:paraId="6F00E8E5" w14:textId="551E69EA" w:rsidR="008016BE" w:rsidRDefault="00CC174A" w:rsidP="00790050">
      <w:r w:rsidRPr="00823075">
        <w:t>Ci-après la carte des SIBEs de la zone d’étude</w:t>
      </w:r>
      <w:r>
        <w:t> :</w:t>
      </w:r>
    </w:p>
    <w:p w14:paraId="6831CD9B" w14:textId="2A648085" w:rsidR="00265705" w:rsidRPr="00222AF3" w:rsidRDefault="00265705" w:rsidP="00265705">
      <w:pPr>
        <w:pStyle w:val="Tirets"/>
        <w:numPr>
          <w:ilvl w:val="0"/>
          <w:numId w:val="0"/>
        </w:numPr>
        <w:sectPr w:rsidR="00265705" w:rsidRPr="00222AF3" w:rsidSect="00AF332D">
          <w:headerReference w:type="default" r:id="rId78"/>
          <w:footerReference w:type="default" r:id="rId79"/>
          <w:pgSz w:w="11906" w:h="16838"/>
          <w:pgMar w:top="1417" w:right="1417" w:bottom="1276" w:left="1417" w:header="680" w:footer="680" w:gutter="0"/>
          <w:cols w:space="708"/>
          <w:docGrid w:linePitch="360"/>
        </w:sectPr>
      </w:pPr>
    </w:p>
    <w:p w14:paraId="6D7933BC" w14:textId="5B299353" w:rsidR="00AA1AD7" w:rsidRPr="00721A15" w:rsidRDefault="00F72596" w:rsidP="00721A15">
      <w:pPr>
        <w:ind w:firstLine="708"/>
        <w:jc w:val="center"/>
        <w:rPr>
          <w:b/>
          <w:bCs/>
          <w:sz w:val="20"/>
          <w:szCs w:val="20"/>
        </w:rPr>
      </w:pPr>
      <w:r>
        <w:rPr>
          <w:noProof/>
          <w:lang w:eastAsia="fr-FR" w:bidi="ar-SA"/>
        </w:rPr>
        <w:lastRenderedPageBreak/>
        <w:drawing>
          <wp:inline distT="0" distB="0" distL="0" distR="0" wp14:anchorId="6505AEF7" wp14:editId="38C9A749">
            <wp:extent cx="7404791" cy="5236352"/>
            <wp:effectExtent l="19050" t="19050" r="24765" b="21590"/>
            <wp:docPr id="1857402476" name="Image 12" descr="Une image contenant texte, diagramme, capture d’écran, lign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7402476" name="Image 12" descr="Une image contenant texte, diagramme, capture d’écran, ligne&#10;&#10;Description générée automatiquement"/>
                    <pic:cNvPicPr>
                      <a:picLocks noChangeAspect="1" noChangeArrowheads="1"/>
                    </pic:cNvPicPr>
                  </pic:nvPicPr>
                  <pic:blipFill>
                    <a:blip r:embed="rId80" cstate="print">
                      <a:extLst>
                        <a:ext uri="{28A0092B-C50C-407E-A947-70E740481C1C}">
                          <a14:useLocalDpi xmlns:a14="http://schemas.microsoft.com/office/drawing/2010/main" val="0"/>
                        </a:ext>
                      </a:extLst>
                    </a:blip>
                    <a:srcRect/>
                    <a:stretch>
                      <a:fillRect/>
                    </a:stretch>
                  </pic:blipFill>
                  <pic:spPr bwMode="auto">
                    <a:xfrm>
                      <a:off x="0" y="0"/>
                      <a:ext cx="7456422" cy="5272863"/>
                    </a:xfrm>
                    <a:prstGeom prst="rect">
                      <a:avLst/>
                    </a:prstGeom>
                    <a:noFill/>
                    <a:ln>
                      <a:solidFill>
                        <a:schemeClr val="tx1">
                          <a:lumMod val="50000"/>
                          <a:lumOff val="50000"/>
                        </a:schemeClr>
                      </a:solidFill>
                    </a:ln>
                  </pic:spPr>
                </pic:pic>
              </a:graphicData>
            </a:graphic>
          </wp:inline>
        </w:drawing>
      </w:r>
    </w:p>
    <w:p w14:paraId="59A998D6" w14:textId="10E4FC4A" w:rsidR="00AA1AD7" w:rsidRPr="00AA1AD7" w:rsidRDefault="001916BB" w:rsidP="001916BB">
      <w:pPr>
        <w:pStyle w:val="Lgende"/>
        <w:rPr>
          <w:b w:val="0"/>
          <w:bCs w:val="0"/>
          <w:lang w:val="fr-MA"/>
        </w:rPr>
        <w:sectPr w:rsidR="00AA1AD7" w:rsidRPr="00AA1AD7" w:rsidSect="00AA1AD7">
          <w:headerReference w:type="default" r:id="rId81"/>
          <w:footerReference w:type="default" r:id="rId82"/>
          <w:pgSz w:w="16838" w:h="11906" w:orient="landscape"/>
          <w:pgMar w:top="1418" w:right="1418" w:bottom="1418" w:left="1276" w:header="567" w:footer="510" w:gutter="0"/>
          <w:cols w:space="708"/>
          <w:docGrid w:linePitch="360"/>
        </w:sectPr>
      </w:pPr>
      <w:bookmarkStart w:id="309" w:name="_Toc213404421"/>
      <w:r w:rsidRPr="00721A15">
        <w:t xml:space="preserve">Figure </w:t>
      </w:r>
      <w:r w:rsidRPr="00721A15">
        <w:fldChar w:fldCharType="begin"/>
      </w:r>
      <w:r w:rsidRPr="00721A15">
        <w:instrText xml:space="preserve"> SEQ Figure \* ARABIC </w:instrText>
      </w:r>
      <w:r w:rsidRPr="00721A15">
        <w:fldChar w:fldCharType="separate"/>
      </w:r>
      <w:r w:rsidR="00B976BF">
        <w:rPr>
          <w:noProof/>
        </w:rPr>
        <w:t>21</w:t>
      </w:r>
      <w:r w:rsidRPr="00721A15">
        <w:fldChar w:fldCharType="end"/>
      </w:r>
      <w:r w:rsidRPr="00721A15">
        <w:rPr>
          <w:noProof/>
          <w:lang w:val="fr-MA"/>
        </w:rPr>
        <w:t>:</w:t>
      </w:r>
      <w:r w:rsidR="00AA1AD7" w:rsidRPr="00721A15">
        <w:rPr>
          <w:lang w:val="fr-MA"/>
        </w:rPr>
        <w:t>Carte des SIBE</w:t>
      </w:r>
      <w:bookmarkEnd w:id="309"/>
    </w:p>
    <w:p w14:paraId="2BE00D83" w14:textId="719E5577" w:rsidR="00AA1AD7" w:rsidRDefault="007D5DEC" w:rsidP="007D5DEC">
      <w:pPr>
        <w:pStyle w:val="Title2"/>
        <w:rPr>
          <w:lang w:val="fr-MA"/>
        </w:rPr>
      </w:pPr>
      <w:bookmarkStart w:id="310" w:name="_Toc181619016"/>
      <w:bookmarkStart w:id="311" w:name="_Hlk211900565"/>
      <w:bookmarkStart w:id="312" w:name="_Toc215131859"/>
      <w:r>
        <w:rPr>
          <w:lang w:val="fr-MA"/>
        </w:rPr>
        <w:lastRenderedPageBreak/>
        <w:t>Milieu humain</w:t>
      </w:r>
      <w:bookmarkEnd w:id="310"/>
      <w:bookmarkEnd w:id="312"/>
    </w:p>
    <w:p w14:paraId="49C48CAF" w14:textId="2043F718" w:rsidR="00986821" w:rsidRDefault="00986821" w:rsidP="00986821">
      <w:pPr>
        <w:pStyle w:val="Title3"/>
        <w:rPr>
          <w:lang w:val="fr-MA"/>
        </w:rPr>
      </w:pPr>
      <w:bookmarkStart w:id="313" w:name="_Toc181619017"/>
      <w:bookmarkStart w:id="314" w:name="_Toc215131860"/>
      <w:r>
        <w:rPr>
          <w:lang w:val="fr-MA"/>
        </w:rPr>
        <w:t>Découpage administratif</w:t>
      </w:r>
      <w:bookmarkEnd w:id="313"/>
      <w:bookmarkEnd w:id="314"/>
    </w:p>
    <w:p w14:paraId="623AD898" w14:textId="77777777" w:rsidR="00C0769B" w:rsidRDefault="00C0769B" w:rsidP="00C0769B">
      <w:bookmarkStart w:id="315" w:name="_Hlk181873012"/>
      <w:r>
        <w:t xml:space="preserve">Le terrain projet relève du territoire de la région économique Marrakech-Safi. Cette dernière s’étend sur une superficie de 39 167 km², soit 5,5% de la superficie totale du Royaume. Elle est limitée au Nord par la région du Grand Casablanca-Settat, à l’Est par la région de Beni Mellal-Khénifra, au Sud-Est par la région de Drâa-Tafilalet, au Sud par la région de Souss-Massa et à l’Ouest par l’Océan Atlantique. </w:t>
      </w:r>
    </w:p>
    <w:p w14:paraId="1EE99AE3" w14:textId="2D6CCDBB" w:rsidR="00C0769B" w:rsidRPr="00933FE7" w:rsidRDefault="00C0769B" w:rsidP="006C3F91">
      <w:r>
        <w:t xml:space="preserve">La zone d’étude relève de la commune de Marrakech au niveau de la préfecture de Marrakech. </w:t>
      </w:r>
    </w:p>
    <w:tbl>
      <w:tblPr>
        <w:tblStyle w:val="TableauGrille1Clair-Accentuation111"/>
        <w:tblW w:w="9068" w:type="dxa"/>
        <w:tblLook w:val="04A0" w:firstRow="1" w:lastRow="0" w:firstColumn="1" w:lastColumn="0" w:noHBand="0" w:noVBand="1"/>
      </w:tblPr>
      <w:tblGrid>
        <w:gridCol w:w="3085"/>
        <w:gridCol w:w="2044"/>
        <w:gridCol w:w="1958"/>
        <w:gridCol w:w="1981"/>
      </w:tblGrid>
      <w:tr w:rsidR="006C3F91" w:rsidRPr="001916BB" w14:paraId="39961C25" w14:textId="77777777" w:rsidTr="006C3F91">
        <w:trPr>
          <w:gridAfter w:val="2"/>
          <w:cnfStyle w:val="100000000000" w:firstRow="1" w:lastRow="0" w:firstColumn="0" w:lastColumn="0" w:oddVBand="0" w:evenVBand="0" w:oddHBand="0" w:evenHBand="0" w:firstRowFirstColumn="0" w:firstRowLastColumn="0" w:lastRowFirstColumn="0" w:lastRowLastColumn="0"/>
          <w:wAfter w:w="3939" w:type="dxa"/>
          <w:trHeight w:val="401"/>
        </w:trPr>
        <w:tc>
          <w:tcPr>
            <w:cnfStyle w:val="001000000000" w:firstRow="0" w:lastRow="0" w:firstColumn="1" w:lastColumn="0" w:oddVBand="0" w:evenVBand="0" w:oddHBand="0" w:evenHBand="0" w:firstRowFirstColumn="0" w:firstRowLastColumn="0" w:lastRowFirstColumn="0" w:lastRowLastColumn="0"/>
            <w:tcW w:w="3085" w:type="dxa"/>
            <w:vMerge w:val="restart"/>
          </w:tcPr>
          <w:bookmarkEnd w:id="315"/>
          <w:p w14:paraId="61788715" w14:textId="127841F3" w:rsidR="006C3F91" w:rsidRPr="001916BB" w:rsidRDefault="006C3F91" w:rsidP="00860B4B">
            <w:pPr>
              <w:jc w:val="center"/>
              <w:rPr>
                <w:rFonts w:asciiTheme="minorHAnsi" w:hAnsiTheme="minorHAnsi" w:cstheme="minorHAnsi"/>
                <w:szCs w:val="20"/>
              </w:rPr>
            </w:pPr>
            <w:r w:rsidRPr="001916BB">
              <w:rPr>
                <w:rFonts w:asciiTheme="minorHAnsi" w:hAnsiTheme="minorHAnsi" w:cstheme="minorHAnsi"/>
                <w:szCs w:val="20"/>
              </w:rPr>
              <w:t>Provinces et Préfectures</w:t>
            </w:r>
          </w:p>
        </w:tc>
        <w:tc>
          <w:tcPr>
            <w:tcW w:w="2044" w:type="dxa"/>
            <w:vMerge w:val="restart"/>
          </w:tcPr>
          <w:p w14:paraId="67E32990" w14:textId="3D007A06" w:rsidR="006C3F91" w:rsidRPr="001916BB" w:rsidRDefault="006C3F91" w:rsidP="00860B4B">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1916BB">
              <w:rPr>
                <w:rFonts w:asciiTheme="minorHAnsi" w:hAnsiTheme="minorHAnsi" w:cstheme="minorHAnsi"/>
                <w:szCs w:val="20"/>
              </w:rPr>
              <w:t>Unité administrative</w:t>
            </w:r>
          </w:p>
        </w:tc>
      </w:tr>
      <w:tr w:rsidR="006C3F91" w:rsidRPr="001916BB" w14:paraId="4BE00412" w14:textId="77777777" w:rsidTr="006C3F91">
        <w:trPr>
          <w:trHeight w:val="136"/>
        </w:trPr>
        <w:tc>
          <w:tcPr>
            <w:cnfStyle w:val="001000000000" w:firstRow="0" w:lastRow="0" w:firstColumn="1" w:lastColumn="0" w:oddVBand="0" w:evenVBand="0" w:oddHBand="0" w:evenHBand="0" w:firstRowFirstColumn="0" w:firstRowLastColumn="0" w:lastRowFirstColumn="0" w:lastRowLastColumn="0"/>
            <w:tcW w:w="3085" w:type="dxa"/>
            <w:vMerge/>
          </w:tcPr>
          <w:p w14:paraId="4EC277F4" w14:textId="77777777" w:rsidR="006C3F91" w:rsidRPr="001916BB" w:rsidRDefault="006C3F91" w:rsidP="00860B4B">
            <w:pPr>
              <w:jc w:val="center"/>
              <w:rPr>
                <w:rFonts w:asciiTheme="minorHAnsi" w:hAnsiTheme="minorHAnsi" w:cstheme="minorHAnsi"/>
                <w:b w:val="0"/>
                <w:bCs w:val="0"/>
                <w:szCs w:val="20"/>
              </w:rPr>
            </w:pPr>
          </w:p>
        </w:tc>
        <w:tc>
          <w:tcPr>
            <w:tcW w:w="2044" w:type="dxa"/>
            <w:vMerge/>
          </w:tcPr>
          <w:p w14:paraId="1580B48B" w14:textId="77777777" w:rsidR="006C3F91" w:rsidRPr="001916BB" w:rsidRDefault="006C3F91" w:rsidP="00860B4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Cs w:val="20"/>
              </w:rPr>
            </w:pPr>
          </w:p>
        </w:tc>
        <w:tc>
          <w:tcPr>
            <w:tcW w:w="1958" w:type="dxa"/>
          </w:tcPr>
          <w:p w14:paraId="059AF75D" w14:textId="6D2FC790" w:rsidR="006C3F91" w:rsidRPr="001916BB" w:rsidRDefault="006C3F91" w:rsidP="00860B4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Cs w:val="20"/>
              </w:rPr>
            </w:pPr>
            <w:r w:rsidRPr="001916BB">
              <w:rPr>
                <w:rFonts w:asciiTheme="minorHAnsi" w:hAnsiTheme="minorHAnsi" w:cstheme="minorHAnsi"/>
                <w:b/>
                <w:bCs/>
                <w:szCs w:val="20"/>
              </w:rPr>
              <w:t>Nombre de Cercles</w:t>
            </w:r>
          </w:p>
        </w:tc>
        <w:tc>
          <w:tcPr>
            <w:tcW w:w="1981" w:type="dxa"/>
          </w:tcPr>
          <w:p w14:paraId="25106D79" w14:textId="214BB1A3" w:rsidR="006C3F91" w:rsidRPr="001916BB" w:rsidRDefault="006C3F91" w:rsidP="00860B4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Cs w:val="20"/>
              </w:rPr>
            </w:pPr>
            <w:r>
              <w:rPr>
                <w:rFonts w:asciiTheme="minorHAnsi" w:hAnsiTheme="minorHAnsi" w:cstheme="minorHAnsi"/>
                <w:b/>
                <w:bCs/>
                <w:szCs w:val="20"/>
              </w:rPr>
              <w:t>Commune</w:t>
            </w:r>
          </w:p>
        </w:tc>
      </w:tr>
      <w:tr w:rsidR="006C3F91" w:rsidRPr="001916BB" w14:paraId="263590FC" w14:textId="77777777" w:rsidTr="006C3F91">
        <w:trPr>
          <w:trHeight w:val="375"/>
        </w:trPr>
        <w:tc>
          <w:tcPr>
            <w:cnfStyle w:val="001000000000" w:firstRow="0" w:lastRow="0" w:firstColumn="1" w:lastColumn="0" w:oddVBand="0" w:evenVBand="0" w:oddHBand="0" w:evenHBand="0" w:firstRowFirstColumn="0" w:firstRowLastColumn="0" w:lastRowFirstColumn="0" w:lastRowLastColumn="0"/>
            <w:tcW w:w="3085" w:type="dxa"/>
          </w:tcPr>
          <w:p w14:paraId="6C09174E" w14:textId="2EA92D3C" w:rsidR="006C3F91" w:rsidRPr="001916BB" w:rsidRDefault="006C3F91" w:rsidP="00C81C29">
            <w:pPr>
              <w:spacing w:before="0" w:after="0"/>
              <w:rPr>
                <w:rFonts w:asciiTheme="minorHAnsi" w:hAnsiTheme="minorHAnsi" w:cstheme="minorHAnsi"/>
                <w:szCs w:val="20"/>
              </w:rPr>
            </w:pPr>
            <w:r>
              <w:rPr>
                <w:rFonts w:asciiTheme="minorHAnsi" w:hAnsiTheme="minorHAnsi" w:cstheme="minorHAnsi"/>
                <w:szCs w:val="20"/>
              </w:rPr>
              <w:t>Al Haouz</w:t>
            </w:r>
          </w:p>
        </w:tc>
        <w:tc>
          <w:tcPr>
            <w:tcW w:w="2044" w:type="dxa"/>
          </w:tcPr>
          <w:p w14:paraId="33CFF356" w14:textId="1D0436F6" w:rsidR="006C3F91" w:rsidRPr="001916BB" w:rsidRDefault="006C3F91" w:rsidP="00C81C29">
            <w:pPr>
              <w:spacing w:before="0" w:after="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Pr>
                <w:rFonts w:asciiTheme="minorHAnsi" w:hAnsiTheme="minorHAnsi" w:cstheme="minorHAnsi"/>
                <w:szCs w:val="20"/>
              </w:rPr>
              <w:t>Province</w:t>
            </w:r>
            <w:r w:rsidRPr="001916BB">
              <w:rPr>
                <w:rFonts w:asciiTheme="minorHAnsi" w:hAnsiTheme="minorHAnsi" w:cstheme="minorHAnsi"/>
                <w:szCs w:val="20"/>
              </w:rPr>
              <w:t xml:space="preserve"> </w:t>
            </w:r>
          </w:p>
        </w:tc>
        <w:tc>
          <w:tcPr>
            <w:tcW w:w="1958" w:type="dxa"/>
          </w:tcPr>
          <w:p w14:paraId="4BB70894" w14:textId="19343E95" w:rsidR="006C3F91" w:rsidRPr="001916BB" w:rsidRDefault="006C3F91" w:rsidP="009B6E16">
            <w:pPr>
              <w:spacing w:before="0" w:after="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Pr>
                <w:rFonts w:asciiTheme="minorHAnsi" w:hAnsiTheme="minorHAnsi" w:cstheme="minorHAnsi"/>
                <w:szCs w:val="20"/>
              </w:rPr>
              <w:t>5</w:t>
            </w:r>
          </w:p>
        </w:tc>
        <w:tc>
          <w:tcPr>
            <w:tcW w:w="1981" w:type="dxa"/>
          </w:tcPr>
          <w:p w14:paraId="47D0E38B" w14:textId="5D70BE07" w:rsidR="006C3F91" w:rsidRPr="001916BB" w:rsidRDefault="006C3F91" w:rsidP="009B6E16">
            <w:pPr>
              <w:spacing w:before="0" w:after="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Pr>
                <w:rFonts w:asciiTheme="minorHAnsi" w:hAnsiTheme="minorHAnsi" w:cstheme="minorHAnsi"/>
                <w:szCs w:val="20"/>
              </w:rPr>
              <w:t>40</w:t>
            </w:r>
          </w:p>
        </w:tc>
      </w:tr>
      <w:tr w:rsidR="006C3F91" w:rsidRPr="001916BB" w14:paraId="086BE169" w14:textId="77777777" w:rsidTr="006C3F91">
        <w:trPr>
          <w:trHeight w:val="375"/>
        </w:trPr>
        <w:tc>
          <w:tcPr>
            <w:cnfStyle w:val="001000000000" w:firstRow="0" w:lastRow="0" w:firstColumn="1" w:lastColumn="0" w:oddVBand="0" w:evenVBand="0" w:oddHBand="0" w:evenHBand="0" w:firstRowFirstColumn="0" w:firstRowLastColumn="0" w:lastRowFirstColumn="0" w:lastRowLastColumn="0"/>
            <w:tcW w:w="3085" w:type="dxa"/>
          </w:tcPr>
          <w:p w14:paraId="7007D6E8" w14:textId="5EEE195F" w:rsidR="006C3F91" w:rsidRPr="001916BB" w:rsidRDefault="006C3F91" w:rsidP="003C5E4E">
            <w:pPr>
              <w:spacing w:before="0" w:after="0"/>
              <w:rPr>
                <w:rFonts w:asciiTheme="minorHAnsi" w:hAnsiTheme="minorHAnsi" w:cstheme="minorHAnsi"/>
                <w:szCs w:val="20"/>
                <w:u w:val="single"/>
              </w:rPr>
            </w:pPr>
            <w:r>
              <w:rPr>
                <w:rFonts w:asciiTheme="minorHAnsi" w:hAnsiTheme="minorHAnsi" w:cstheme="minorHAnsi"/>
                <w:szCs w:val="20"/>
                <w:u w:val="single"/>
              </w:rPr>
              <w:t>Chichaoua</w:t>
            </w:r>
          </w:p>
        </w:tc>
        <w:tc>
          <w:tcPr>
            <w:tcW w:w="2044" w:type="dxa"/>
          </w:tcPr>
          <w:p w14:paraId="77CC676E" w14:textId="56CAEDAE" w:rsidR="006C3F91" w:rsidRPr="001916BB" w:rsidRDefault="006C3F91" w:rsidP="003C5E4E">
            <w:pPr>
              <w:spacing w:before="0" w:after="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Cs w:val="20"/>
                <w:u w:val="single"/>
              </w:rPr>
            </w:pPr>
            <w:r w:rsidRPr="00D879F5">
              <w:rPr>
                <w:rFonts w:asciiTheme="minorHAnsi" w:hAnsiTheme="minorHAnsi" w:cstheme="minorHAnsi"/>
                <w:szCs w:val="20"/>
              </w:rPr>
              <w:t xml:space="preserve">Province </w:t>
            </w:r>
          </w:p>
        </w:tc>
        <w:tc>
          <w:tcPr>
            <w:tcW w:w="1958" w:type="dxa"/>
          </w:tcPr>
          <w:p w14:paraId="77A8EF8D" w14:textId="0451A729" w:rsidR="006C3F91" w:rsidRPr="006C3F91" w:rsidRDefault="006C3F91" w:rsidP="003C5E4E">
            <w:pPr>
              <w:spacing w:before="0" w:after="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6C3F91">
              <w:rPr>
                <w:rFonts w:asciiTheme="minorHAnsi" w:hAnsiTheme="minorHAnsi" w:cstheme="minorHAnsi"/>
                <w:szCs w:val="20"/>
              </w:rPr>
              <w:t>4</w:t>
            </w:r>
          </w:p>
        </w:tc>
        <w:tc>
          <w:tcPr>
            <w:tcW w:w="1981" w:type="dxa"/>
          </w:tcPr>
          <w:p w14:paraId="26FAF986" w14:textId="462C7EBB" w:rsidR="006C3F91" w:rsidRPr="006C3F91" w:rsidRDefault="006C3F91" w:rsidP="003C5E4E">
            <w:pPr>
              <w:spacing w:before="0" w:after="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6C3F91">
              <w:rPr>
                <w:rFonts w:asciiTheme="minorHAnsi" w:hAnsiTheme="minorHAnsi" w:cstheme="minorHAnsi"/>
                <w:szCs w:val="20"/>
              </w:rPr>
              <w:t>35</w:t>
            </w:r>
          </w:p>
        </w:tc>
      </w:tr>
      <w:tr w:rsidR="006C3F91" w:rsidRPr="001916BB" w14:paraId="6EEC1C21" w14:textId="77777777" w:rsidTr="006C3F91">
        <w:trPr>
          <w:trHeight w:val="375"/>
        </w:trPr>
        <w:tc>
          <w:tcPr>
            <w:cnfStyle w:val="001000000000" w:firstRow="0" w:lastRow="0" w:firstColumn="1" w:lastColumn="0" w:oddVBand="0" w:evenVBand="0" w:oddHBand="0" w:evenHBand="0" w:firstRowFirstColumn="0" w:firstRowLastColumn="0" w:lastRowFirstColumn="0" w:lastRowLastColumn="0"/>
            <w:tcW w:w="3085" w:type="dxa"/>
          </w:tcPr>
          <w:p w14:paraId="2DB33BFC" w14:textId="59AF0329" w:rsidR="006C3F91" w:rsidRPr="004637C7" w:rsidRDefault="006C3F91" w:rsidP="003C5E4E">
            <w:pPr>
              <w:spacing w:before="0" w:after="0"/>
              <w:rPr>
                <w:rFonts w:asciiTheme="minorHAnsi" w:hAnsiTheme="minorHAnsi" w:cstheme="minorHAnsi"/>
                <w:szCs w:val="20"/>
              </w:rPr>
            </w:pPr>
            <w:r>
              <w:rPr>
                <w:rFonts w:asciiTheme="minorHAnsi" w:hAnsiTheme="minorHAnsi" w:cstheme="minorHAnsi"/>
                <w:szCs w:val="20"/>
              </w:rPr>
              <w:t>Kelaa des Sraghnas</w:t>
            </w:r>
          </w:p>
        </w:tc>
        <w:tc>
          <w:tcPr>
            <w:tcW w:w="2044" w:type="dxa"/>
          </w:tcPr>
          <w:p w14:paraId="5010F54C" w14:textId="0ABEDA9A" w:rsidR="006C3F91" w:rsidRPr="004637C7" w:rsidRDefault="006C3F91" w:rsidP="003C5E4E">
            <w:pPr>
              <w:spacing w:before="0" w:after="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D879F5">
              <w:rPr>
                <w:rFonts w:asciiTheme="minorHAnsi" w:hAnsiTheme="minorHAnsi" w:cstheme="minorHAnsi"/>
                <w:szCs w:val="20"/>
              </w:rPr>
              <w:t xml:space="preserve">Province </w:t>
            </w:r>
          </w:p>
        </w:tc>
        <w:tc>
          <w:tcPr>
            <w:tcW w:w="1958" w:type="dxa"/>
          </w:tcPr>
          <w:p w14:paraId="359F4F7F" w14:textId="00D8374B" w:rsidR="006C3F91" w:rsidRPr="004637C7" w:rsidRDefault="006C3F91" w:rsidP="003C5E4E">
            <w:pPr>
              <w:spacing w:before="0" w:after="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Pr>
                <w:rFonts w:asciiTheme="minorHAnsi" w:hAnsiTheme="minorHAnsi" w:cstheme="minorHAnsi"/>
                <w:szCs w:val="20"/>
              </w:rPr>
              <w:t>5</w:t>
            </w:r>
          </w:p>
        </w:tc>
        <w:tc>
          <w:tcPr>
            <w:tcW w:w="1981" w:type="dxa"/>
          </w:tcPr>
          <w:p w14:paraId="3BB98611" w14:textId="49C22DD5" w:rsidR="006C3F91" w:rsidRPr="004637C7" w:rsidRDefault="006C3F91" w:rsidP="003C5E4E">
            <w:pPr>
              <w:spacing w:before="0" w:after="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Pr>
                <w:rFonts w:asciiTheme="minorHAnsi" w:hAnsiTheme="minorHAnsi" w:cstheme="minorHAnsi"/>
                <w:szCs w:val="20"/>
              </w:rPr>
              <w:t>43</w:t>
            </w:r>
          </w:p>
        </w:tc>
      </w:tr>
      <w:tr w:rsidR="006C3F91" w:rsidRPr="001916BB" w14:paraId="3C515A86" w14:textId="77777777" w:rsidTr="006C3F91">
        <w:trPr>
          <w:trHeight w:val="375"/>
        </w:trPr>
        <w:tc>
          <w:tcPr>
            <w:cnfStyle w:val="001000000000" w:firstRow="0" w:lastRow="0" w:firstColumn="1" w:lastColumn="0" w:oddVBand="0" w:evenVBand="0" w:oddHBand="0" w:evenHBand="0" w:firstRowFirstColumn="0" w:firstRowLastColumn="0" w:lastRowFirstColumn="0" w:lastRowLastColumn="0"/>
            <w:tcW w:w="3085" w:type="dxa"/>
          </w:tcPr>
          <w:p w14:paraId="73001A5E" w14:textId="4EB41BD1" w:rsidR="006C3F91" w:rsidRPr="001916BB" w:rsidRDefault="006C3F91" w:rsidP="003C5E4E">
            <w:pPr>
              <w:spacing w:before="0" w:after="0"/>
              <w:rPr>
                <w:rFonts w:asciiTheme="minorHAnsi" w:hAnsiTheme="minorHAnsi" w:cstheme="minorHAnsi"/>
                <w:szCs w:val="20"/>
              </w:rPr>
            </w:pPr>
            <w:r>
              <w:rPr>
                <w:rFonts w:asciiTheme="minorHAnsi" w:hAnsiTheme="minorHAnsi" w:cstheme="minorHAnsi"/>
                <w:szCs w:val="20"/>
              </w:rPr>
              <w:t>Essaouira</w:t>
            </w:r>
          </w:p>
        </w:tc>
        <w:tc>
          <w:tcPr>
            <w:tcW w:w="2044" w:type="dxa"/>
          </w:tcPr>
          <w:p w14:paraId="66007611" w14:textId="44B9272A" w:rsidR="006C3F91" w:rsidRPr="001916BB" w:rsidRDefault="006C3F91" w:rsidP="003C5E4E">
            <w:pPr>
              <w:spacing w:before="0" w:after="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D879F5">
              <w:rPr>
                <w:rFonts w:asciiTheme="minorHAnsi" w:hAnsiTheme="minorHAnsi" w:cstheme="minorHAnsi"/>
                <w:szCs w:val="20"/>
              </w:rPr>
              <w:t xml:space="preserve">Province </w:t>
            </w:r>
          </w:p>
        </w:tc>
        <w:tc>
          <w:tcPr>
            <w:tcW w:w="1958" w:type="dxa"/>
          </w:tcPr>
          <w:p w14:paraId="3ABE5600" w14:textId="54012812" w:rsidR="006C3F91" w:rsidRPr="001916BB" w:rsidRDefault="006C3F91" w:rsidP="003C5E4E">
            <w:pPr>
              <w:spacing w:before="0" w:after="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Pr>
                <w:rFonts w:asciiTheme="minorHAnsi" w:hAnsiTheme="minorHAnsi" w:cstheme="minorHAnsi"/>
                <w:szCs w:val="20"/>
              </w:rPr>
              <w:t>4</w:t>
            </w:r>
          </w:p>
        </w:tc>
        <w:tc>
          <w:tcPr>
            <w:tcW w:w="1981" w:type="dxa"/>
          </w:tcPr>
          <w:p w14:paraId="32F60016" w14:textId="23C2282F" w:rsidR="006C3F91" w:rsidRPr="001916BB" w:rsidRDefault="006C3F91" w:rsidP="003C5E4E">
            <w:pPr>
              <w:spacing w:before="0" w:after="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Pr>
                <w:rFonts w:asciiTheme="minorHAnsi" w:hAnsiTheme="minorHAnsi" w:cstheme="minorHAnsi"/>
                <w:szCs w:val="20"/>
              </w:rPr>
              <w:t>57</w:t>
            </w:r>
          </w:p>
        </w:tc>
      </w:tr>
      <w:tr w:rsidR="006C3F91" w:rsidRPr="001916BB" w14:paraId="255BB03B" w14:textId="77777777" w:rsidTr="006C3F91">
        <w:trPr>
          <w:trHeight w:val="375"/>
        </w:trPr>
        <w:tc>
          <w:tcPr>
            <w:cnfStyle w:val="001000000000" w:firstRow="0" w:lastRow="0" w:firstColumn="1" w:lastColumn="0" w:oddVBand="0" w:evenVBand="0" w:oddHBand="0" w:evenHBand="0" w:firstRowFirstColumn="0" w:firstRowLastColumn="0" w:lastRowFirstColumn="0" w:lastRowLastColumn="0"/>
            <w:tcW w:w="3085" w:type="dxa"/>
          </w:tcPr>
          <w:p w14:paraId="180A9655" w14:textId="4A69E229" w:rsidR="006C3F91" w:rsidRPr="001916BB" w:rsidRDefault="006C3F91" w:rsidP="00C81C29">
            <w:pPr>
              <w:spacing w:before="0" w:after="0"/>
              <w:rPr>
                <w:rFonts w:asciiTheme="minorHAnsi" w:hAnsiTheme="minorHAnsi" w:cstheme="minorHAnsi"/>
                <w:szCs w:val="20"/>
              </w:rPr>
            </w:pPr>
            <w:r>
              <w:rPr>
                <w:rFonts w:asciiTheme="minorHAnsi" w:hAnsiTheme="minorHAnsi" w:cstheme="minorHAnsi"/>
                <w:szCs w:val="20"/>
              </w:rPr>
              <w:t>Marrakech</w:t>
            </w:r>
          </w:p>
        </w:tc>
        <w:tc>
          <w:tcPr>
            <w:tcW w:w="2044" w:type="dxa"/>
          </w:tcPr>
          <w:p w14:paraId="6935F193" w14:textId="5B2FE813" w:rsidR="006C3F91" w:rsidRPr="001916BB" w:rsidRDefault="006C3F91" w:rsidP="00C81C29">
            <w:pPr>
              <w:spacing w:before="0" w:after="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Pr>
                <w:rFonts w:asciiTheme="minorHAnsi" w:hAnsiTheme="minorHAnsi" w:cstheme="minorHAnsi"/>
                <w:szCs w:val="20"/>
              </w:rPr>
              <w:t>Préfecture</w:t>
            </w:r>
          </w:p>
        </w:tc>
        <w:tc>
          <w:tcPr>
            <w:tcW w:w="1958" w:type="dxa"/>
          </w:tcPr>
          <w:p w14:paraId="5581852B" w14:textId="64BBE63C" w:rsidR="006C3F91" w:rsidRPr="001916BB" w:rsidRDefault="006C3F91" w:rsidP="009B6E16">
            <w:pPr>
              <w:spacing w:before="0" w:after="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Pr>
                <w:rFonts w:asciiTheme="minorHAnsi" w:hAnsiTheme="minorHAnsi" w:cstheme="minorHAnsi"/>
                <w:szCs w:val="20"/>
              </w:rPr>
              <w:t>4</w:t>
            </w:r>
          </w:p>
        </w:tc>
        <w:tc>
          <w:tcPr>
            <w:tcW w:w="1981" w:type="dxa"/>
          </w:tcPr>
          <w:p w14:paraId="64DEAA9F" w14:textId="71C49627" w:rsidR="006C3F91" w:rsidRPr="001916BB" w:rsidRDefault="006C3F91" w:rsidP="009B6E16">
            <w:pPr>
              <w:spacing w:before="0" w:after="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Pr>
                <w:rFonts w:asciiTheme="minorHAnsi" w:hAnsiTheme="minorHAnsi" w:cstheme="minorHAnsi"/>
                <w:szCs w:val="20"/>
              </w:rPr>
              <w:t>15</w:t>
            </w:r>
          </w:p>
        </w:tc>
      </w:tr>
      <w:tr w:rsidR="006C3F91" w:rsidRPr="001916BB" w14:paraId="4206CFCD" w14:textId="77777777" w:rsidTr="006C3F91">
        <w:trPr>
          <w:trHeight w:val="375"/>
        </w:trPr>
        <w:tc>
          <w:tcPr>
            <w:cnfStyle w:val="001000000000" w:firstRow="0" w:lastRow="0" w:firstColumn="1" w:lastColumn="0" w:oddVBand="0" w:evenVBand="0" w:oddHBand="0" w:evenHBand="0" w:firstRowFirstColumn="0" w:firstRowLastColumn="0" w:lastRowFirstColumn="0" w:lastRowLastColumn="0"/>
            <w:tcW w:w="3085" w:type="dxa"/>
          </w:tcPr>
          <w:p w14:paraId="498485C6" w14:textId="38FD0F92" w:rsidR="006C3F91" w:rsidRPr="001916BB" w:rsidRDefault="006C3F91" w:rsidP="003C5E4E">
            <w:pPr>
              <w:spacing w:before="0" w:after="0"/>
              <w:rPr>
                <w:rFonts w:asciiTheme="minorHAnsi" w:hAnsiTheme="minorHAnsi" w:cstheme="minorHAnsi"/>
                <w:szCs w:val="20"/>
              </w:rPr>
            </w:pPr>
            <w:r>
              <w:rPr>
                <w:rFonts w:asciiTheme="minorHAnsi" w:hAnsiTheme="minorHAnsi" w:cstheme="minorHAnsi"/>
                <w:szCs w:val="20"/>
              </w:rPr>
              <w:t>Rehamna</w:t>
            </w:r>
          </w:p>
        </w:tc>
        <w:tc>
          <w:tcPr>
            <w:tcW w:w="2044" w:type="dxa"/>
          </w:tcPr>
          <w:p w14:paraId="7C0CDB90" w14:textId="01BC75CB" w:rsidR="006C3F91" w:rsidRPr="001916BB" w:rsidRDefault="006C3F91" w:rsidP="003C5E4E">
            <w:pPr>
              <w:spacing w:before="0" w:after="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3A0575">
              <w:rPr>
                <w:rFonts w:asciiTheme="minorHAnsi" w:hAnsiTheme="minorHAnsi" w:cstheme="minorHAnsi"/>
                <w:szCs w:val="20"/>
              </w:rPr>
              <w:t xml:space="preserve">Province </w:t>
            </w:r>
          </w:p>
        </w:tc>
        <w:tc>
          <w:tcPr>
            <w:tcW w:w="1958" w:type="dxa"/>
          </w:tcPr>
          <w:p w14:paraId="14500CF7" w14:textId="1B65039A" w:rsidR="006C3F91" w:rsidRPr="001916BB" w:rsidRDefault="006C3F91" w:rsidP="003C5E4E">
            <w:pPr>
              <w:spacing w:before="0" w:after="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Pr>
                <w:rFonts w:asciiTheme="minorHAnsi" w:hAnsiTheme="minorHAnsi" w:cstheme="minorHAnsi"/>
                <w:szCs w:val="20"/>
              </w:rPr>
              <w:t>2</w:t>
            </w:r>
          </w:p>
        </w:tc>
        <w:tc>
          <w:tcPr>
            <w:tcW w:w="1981" w:type="dxa"/>
          </w:tcPr>
          <w:p w14:paraId="5E0E17B3" w14:textId="4DBAC537" w:rsidR="006C3F91" w:rsidRPr="001916BB" w:rsidRDefault="006C3F91" w:rsidP="003C5E4E">
            <w:pPr>
              <w:spacing w:before="0" w:after="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Pr>
                <w:rFonts w:asciiTheme="minorHAnsi" w:hAnsiTheme="minorHAnsi" w:cstheme="minorHAnsi"/>
                <w:szCs w:val="20"/>
              </w:rPr>
              <w:t>25</w:t>
            </w:r>
          </w:p>
        </w:tc>
      </w:tr>
      <w:tr w:rsidR="006C3F91" w:rsidRPr="001916BB" w14:paraId="472556F1" w14:textId="77777777" w:rsidTr="006C3F91">
        <w:trPr>
          <w:trHeight w:val="375"/>
        </w:trPr>
        <w:tc>
          <w:tcPr>
            <w:cnfStyle w:val="001000000000" w:firstRow="0" w:lastRow="0" w:firstColumn="1" w:lastColumn="0" w:oddVBand="0" w:evenVBand="0" w:oddHBand="0" w:evenHBand="0" w:firstRowFirstColumn="0" w:firstRowLastColumn="0" w:lastRowFirstColumn="0" w:lastRowLastColumn="0"/>
            <w:tcW w:w="3085" w:type="dxa"/>
          </w:tcPr>
          <w:p w14:paraId="1A5ECA1C" w14:textId="728F369F" w:rsidR="006C3F91" w:rsidRPr="001916BB" w:rsidRDefault="006C3F91" w:rsidP="003C5E4E">
            <w:pPr>
              <w:spacing w:before="0" w:after="0"/>
              <w:rPr>
                <w:rFonts w:asciiTheme="minorHAnsi" w:hAnsiTheme="minorHAnsi" w:cstheme="minorHAnsi"/>
                <w:szCs w:val="20"/>
              </w:rPr>
            </w:pPr>
            <w:r>
              <w:rPr>
                <w:rFonts w:asciiTheme="minorHAnsi" w:hAnsiTheme="minorHAnsi" w:cstheme="minorHAnsi"/>
                <w:szCs w:val="20"/>
              </w:rPr>
              <w:t>Safi</w:t>
            </w:r>
          </w:p>
        </w:tc>
        <w:tc>
          <w:tcPr>
            <w:tcW w:w="2044" w:type="dxa"/>
          </w:tcPr>
          <w:p w14:paraId="417C5775" w14:textId="28317939" w:rsidR="006C3F91" w:rsidRPr="001916BB" w:rsidRDefault="006C3F91" w:rsidP="003C5E4E">
            <w:pPr>
              <w:spacing w:before="0" w:after="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Cs w:val="20"/>
              </w:rPr>
            </w:pPr>
            <w:r w:rsidRPr="003A0575">
              <w:rPr>
                <w:rFonts w:asciiTheme="minorHAnsi" w:hAnsiTheme="minorHAnsi" w:cstheme="minorHAnsi"/>
                <w:szCs w:val="20"/>
              </w:rPr>
              <w:t xml:space="preserve">Province </w:t>
            </w:r>
          </w:p>
        </w:tc>
        <w:tc>
          <w:tcPr>
            <w:tcW w:w="1958" w:type="dxa"/>
          </w:tcPr>
          <w:p w14:paraId="5A3401B0" w14:textId="1D57C9D4" w:rsidR="006C3F91" w:rsidRPr="001916BB" w:rsidRDefault="006C3F91" w:rsidP="003C5E4E">
            <w:pPr>
              <w:spacing w:before="0" w:after="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Pr>
                <w:rFonts w:asciiTheme="minorHAnsi" w:hAnsiTheme="minorHAnsi" w:cstheme="minorHAnsi"/>
                <w:szCs w:val="20"/>
              </w:rPr>
              <w:t>3</w:t>
            </w:r>
          </w:p>
        </w:tc>
        <w:tc>
          <w:tcPr>
            <w:tcW w:w="1981" w:type="dxa"/>
          </w:tcPr>
          <w:p w14:paraId="1831A324" w14:textId="78A319FA" w:rsidR="006C3F91" w:rsidRPr="001916BB" w:rsidRDefault="006C3F91" w:rsidP="003C5E4E">
            <w:pPr>
              <w:spacing w:before="0" w:after="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1916BB">
              <w:rPr>
                <w:rFonts w:asciiTheme="minorHAnsi" w:hAnsiTheme="minorHAnsi" w:cstheme="minorHAnsi"/>
                <w:szCs w:val="20"/>
              </w:rPr>
              <w:t>2</w:t>
            </w:r>
            <w:r>
              <w:rPr>
                <w:rFonts w:asciiTheme="minorHAnsi" w:hAnsiTheme="minorHAnsi" w:cstheme="minorHAnsi"/>
                <w:szCs w:val="20"/>
              </w:rPr>
              <w:t>5</w:t>
            </w:r>
          </w:p>
        </w:tc>
      </w:tr>
      <w:tr w:rsidR="006C3F91" w:rsidRPr="001916BB" w14:paraId="5AF96796" w14:textId="77777777" w:rsidTr="006C3F91">
        <w:trPr>
          <w:trHeight w:val="375"/>
        </w:trPr>
        <w:tc>
          <w:tcPr>
            <w:cnfStyle w:val="001000000000" w:firstRow="0" w:lastRow="0" w:firstColumn="1" w:lastColumn="0" w:oddVBand="0" w:evenVBand="0" w:oddHBand="0" w:evenHBand="0" w:firstRowFirstColumn="0" w:firstRowLastColumn="0" w:lastRowFirstColumn="0" w:lastRowLastColumn="0"/>
            <w:tcW w:w="3085" w:type="dxa"/>
          </w:tcPr>
          <w:p w14:paraId="0DD3B7CA" w14:textId="54982899" w:rsidR="006C3F91" w:rsidRDefault="006C3F91" w:rsidP="00C81C29">
            <w:pPr>
              <w:spacing w:before="0" w:after="0"/>
              <w:rPr>
                <w:rFonts w:asciiTheme="minorHAnsi" w:hAnsiTheme="minorHAnsi" w:cstheme="minorHAnsi"/>
                <w:szCs w:val="20"/>
              </w:rPr>
            </w:pPr>
            <w:r>
              <w:rPr>
                <w:rFonts w:asciiTheme="minorHAnsi" w:hAnsiTheme="minorHAnsi" w:cstheme="minorHAnsi"/>
                <w:szCs w:val="20"/>
              </w:rPr>
              <w:t>Yousoufia</w:t>
            </w:r>
          </w:p>
        </w:tc>
        <w:tc>
          <w:tcPr>
            <w:tcW w:w="2044" w:type="dxa"/>
          </w:tcPr>
          <w:p w14:paraId="0E3E7656" w14:textId="475EF15A" w:rsidR="006C3F91" w:rsidRPr="001916BB" w:rsidRDefault="006C3F91" w:rsidP="00C81C29">
            <w:pPr>
              <w:spacing w:before="0" w:after="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Cs w:val="20"/>
              </w:rPr>
            </w:pPr>
            <w:r>
              <w:rPr>
                <w:rFonts w:asciiTheme="minorHAnsi" w:hAnsiTheme="minorHAnsi" w:cstheme="minorHAnsi"/>
                <w:szCs w:val="20"/>
              </w:rPr>
              <w:t>Province</w:t>
            </w:r>
          </w:p>
        </w:tc>
        <w:tc>
          <w:tcPr>
            <w:tcW w:w="1958" w:type="dxa"/>
          </w:tcPr>
          <w:p w14:paraId="0D4E6C54" w14:textId="4BE69505" w:rsidR="006C3F91" w:rsidRPr="001916BB" w:rsidRDefault="006C3F91" w:rsidP="009B6E16">
            <w:pPr>
              <w:spacing w:before="0" w:after="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Pr>
                <w:rFonts w:asciiTheme="minorHAnsi" w:hAnsiTheme="minorHAnsi" w:cstheme="minorHAnsi"/>
                <w:szCs w:val="20"/>
              </w:rPr>
              <w:t>2</w:t>
            </w:r>
          </w:p>
        </w:tc>
        <w:tc>
          <w:tcPr>
            <w:tcW w:w="1981" w:type="dxa"/>
          </w:tcPr>
          <w:p w14:paraId="149E9701" w14:textId="408B2B35" w:rsidR="006C3F91" w:rsidRPr="001916BB" w:rsidRDefault="006C3F91" w:rsidP="009B6E16">
            <w:pPr>
              <w:spacing w:before="0" w:after="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Pr>
                <w:rFonts w:asciiTheme="minorHAnsi" w:hAnsiTheme="minorHAnsi" w:cstheme="minorHAnsi"/>
                <w:szCs w:val="20"/>
              </w:rPr>
              <w:t>11</w:t>
            </w:r>
          </w:p>
        </w:tc>
      </w:tr>
    </w:tbl>
    <w:p w14:paraId="6604B591" w14:textId="0CC25113" w:rsidR="003D6B3F" w:rsidRPr="001916BB" w:rsidRDefault="005C098D" w:rsidP="00E852F0">
      <w:pPr>
        <w:spacing w:before="0"/>
        <w:rPr>
          <w:i/>
          <w:iCs/>
          <w:sz w:val="20"/>
          <w:szCs w:val="20"/>
        </w:rPr>
      </w:pPr>
      <w:r w:rsidRPr="001916BB">
        <w:rPr>
          <w:i/>
          <w:iCs/>
          <w:sz w:val="18"/>
          <w:szCs w:val="18"/>
        </w:rPr>
        <w:t>Source</w:t>
      </w:r>
      <w:r w:rsidR="00E852F0" w:rsidRPr="001916BB">
        <w:rPr>
          <w:i/>
          <w:iCs/>
          <w:sz w:val="18"/>
          <w:szCs w:val="18"/>
        </w:rPr>
        <w:t xml:space="preserve"> : Annuaire statistique régionale </w:t>
      </w:r>
      <w:r w:rsidR="006C3F91">
        <w:rPr>
          <w:i/>
          <w:iCs/>
          <w:sz w:val="18"/>
          <w:szCs w:val="18"/>
        </w:rPr>
        <w:t>Marrakech Safi - 2022</w:t>
      </w:r>
    </w:p>
    <w:p w14:paraId="7ED23D5C" w14:textId="4A27701C" w:rsidR="000B07F6" w:rsidRDefault="000B07F6" w:rsidP="00DA73D0">
      <w:r>
        <w:t>La carte suivante présente le découpage administratif de la zone d’étude :</w:t>
      </w:r>
    </w:p>
    <w:p w14:paraId="7192ADC0" w14:textId="77777777" w:rsidR="005F56CF" w:rsidRDefault="005F56CF" w:rsidP="005F56CF">
      <w:pPr>
        <w:spacing w:before="0" w:after="0"/>
        <w:rPr>
          <w:sz w:val="18"/>
          <w:szCs w:val="18"/>
          <w:u w:val="single"/>
        </w:rPr>
      </w:pPr>
    </w:p>
    <w:p w14:paraId="3117FB16" w14:textId="77777777" w:rsidR="005F56CF" w:rsidRDefault="005F56CF" w:rsidP="005F56CF">
      <w:pPr>
        <w:spacing w:before="0" w:after="0"/>
        <w:rPr>
          <w:sz w:val="18"/>
          <w:szCs w:val="18"/>
          <w:u w:val="single"/>
        </w:rPr>
      </w:pPr>
    </w:p>
    <w:p w14:paraId="02DB396A" w14:textId="23208195" w:rsidR="005F56CF" w:rsidRPr="005F56CF" w:rsidRDefault="005F56CF" w:rsidP="005F56CF">
      <w:pPr>
        <w:spacing w:before="0" w:after="0"/>
        <w:rPr>
          <w:sz w:val="18"/>
          <w:szCs w:val="18"/>
          <w:u w:val="single"/>
        </w:rPr>
        <w:sectPr w:rsidR="005F56CF" w:rsidRPr="005F56CF" w:rsidSect="00AF332D">
          <w:headerReference w:type="default" r:id="rId83"/>
          <w:footerReference w:type="default" r:id="rId84"/>
          <w:pgSz w:w="11906" w:h="16838"/>
          <w:pgMar w:top="1417" w:right="1417" w:bottom="1276" w:left="1417" w:header="680" w:footer="680" w:gutter="0"/>
          <w:cols w:space="708"/>
          <w:docGrid w:linePitch="360"/>
        </w:sectPr>
      </w:pPr>
    </w:p>
    <w:p w14:paraId="16AD1F71" w14:textId="26E26C8E" w:rsidR="008F1F09" w:rsidRPr="00AF7EA6" w:rsidRDefault="00D276D2" w:rsidP="00721A15">
      <w:pPr>
        <w:jc w:val="center"/>
      </w:pPr>
      <w:r>
        <w:rPr>
          <w:noProof/>
          <w:lang w:eastAsia="fr-FR" w:bidi="ar-SA"/>
        </w:rPr>
        <w:lastRenderedPageBreak/>
        <w:drawing>
          <wp:inline distT="0" distB="0" distL="0" distR="0" wp14:anchorId="576B49F1" wp14:editId="0AE55154">
            <wp:extent cx="7241829" cy="5123881"/>
            <wp:effectExtent l="19050" t="19050" r="16510" b="19685"/>
            <wp:docPr id="1269520730" name="Image 13" descr="Une image contenant texte, diagramme, cercle, Plan&#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9520730" name="Image 13" descr="Une image contenant texte, diagramme, cercle, Plan&#10;&#10;Description générée automatiquement"/>
                    <pic:cNvPicPr>
                      <a:picLocks noChangeAspect="1" noChangeArrowheads="1"/>
                    </pic:cNvPicPr>
                  </pic:nvPicPr>
                  <pic:blipFill>
                    <a:blip r:embed="rId85" cstate="print">
                      <a:extLst>
                        <a:ext uri="{28A0092B-C50C-407E-A947-70E740481C1C}">
                          <a14:useLocalDpi xmlns:a14="http://schemas.microsoft.com/office/drawing/2010/main" val="0"/>
                        </a:ext>
                      </a:extLst>
                    </a:blip>
                    <a:srcRect/>
                    <a:stretch>
                      <a:fillRect/>
                    </a:stretch>
                  </pic:blipFill>
                  <pic:spPr bwMode="auto">
                    <a:xfrm>
                      <a:off x="0" y="0"/>
                      <a:ext cx="7243930" cy="5125368"/>
                    </a:xfrm>
                    <a:prstGeom prst="rect">
                      <a:avLst/>
                    </a:prstGeom>
                    <a:noFill/>
                    <a:ln>
                      <a:solidFill>
                        <a:schemeClr val="tx1">
                          <a:lumMod val="50000"/>
                          <a:lumOff val="50000"/>
                        </a:schemeClr>
                      </a:solidFill>
                    </a:ln>
                  </pic:spPr>
                </pic:pic>
              </a:graphicData>
            </a:graphic>
          </wp:inline>
        </w:drawing>
      </w:r>
    </w:p>
    <w:p w14:paraId="2B2D2ABA" w14:textId="3D917E83" w:rsidR="00986821" w:rsidRPr="002A0860" w:rsidRDefault="007650E1" w:rsidP="007650E1">
      <w:pPr>
        <w:pStyle w:val="Lgende"/>
        <w:rPr>
          <w:b w:val="0"/>
          <w:bCs w:val="0"/>
          <w:lang w:val="fr-FR"/>
        </w:rPr>
      </w:pPr>
      <w:bookmarkStart w:id="316" w:name="_Toc213404422"/>
      <w:r w:rsidRPr="00721A15">
        <w:rPr>
          <w:lang w:val="fr-FR"/>
        </w:rPr>
        <w:t xml:space="preserve">Figure </w:t>
      </w:r>
      <w:r w:rsidRPr="00721A15">
        <w:fldChar w:fldCharType="begin"/>
      </w:r>
      <w:r w:rsidRPr="00721A15">
        <w:rPr>
          <w:lang w:val="fr-FR"/>
        </w:rPr>
        <w:instrText xml:space="preserve"> SEQ Figure \* ARABIC </w:instrText>
      </w:r>
      <w:r w:rsidRPr="00721A15">
        <w:fldChar w:fldCharType="separate"/>
      </w:r>
      <w:r w:rsidR="00B976BF">
        <w:rPr>
          <w:noProof/>
          <w:lang w:val="fr-FR"/>
        </w:rPr>
        <w:t>22</w:t>
      </w:r>
      <w:r w:rsidRPr="00721A15">
        <w:fldChar w:fldCharType="end"/>
      </w:r>
      <w:r w:rsidRPr="00721A15">
        <w:rPr>
          <w:noProof/>
          <w:lang w:val="fr-MA"/>
        </w:rPr>
        <w:t xml:space="preserve">: </w:t>
      </w:r>
      <w:r w:rsidR="00F415B3" w:rsidRPr="00721A15">
        <w:rPr>
          <w:lang w:val="fr-FR"/>
        </w:rPr>
        <w:t>Cadre administratif de la zone d’études</w:t>
      </w:r>
      <w:bookmarkEnd w:id="316"/>
    </w:p>
    <w:p w14:paraId="7C5F84A7" w14:textId="77777777" w:rsidR="0011766C" w:rsidRDefault="0011766C" w:rsidP="001C2255">
      <w:pPr>
        <w:sectPr w:rsidR="0011766C" w:rsidSect="003C66BB">
          <w:headerReference w:type="default" r:id="rId86"/>
          <w:footerReference w:type="default" r:id="rId87"/>
          <w:pgSz w:w="16838" w:h="11906" w:orient="landscape"/>
          <w:pgMar w:top="1418" w:right="1418" w:bottom="1418" w:left="1276" w:header="567" w:footer="510" w:gutter="0"/>
          <w:cols w:space="708"/>
          <w:docGrid w:linePitch="360"/>
        </w:sectPr>
      </w:pPr>
    </w:p>
    <w:p w14:paraId="5C6F2ABE" w14:textId="3D6B7E74" w:rsidR="00E852F0" w:rsidRDefault="00F50674" w:rsidP="00A8365A">
      <w:pPr>
        <w:pStyle w:val="Title3"/>
      </w:pPr>
      <w:bookmarkStart w:id="317" w:name="_Toc181619018"/>
      <w:bookmarkStart w:id="318" w:name="_Toc215131861"/>
      <w:r>
        <w:lastRenderedPageBreak/>
        <w:t>Caractéri</w:t>
      </w:r>
      <w:r w:rsidR="007A6CA9">
        <w:t>s</w:t>
      </w:r>
      <w:r w:rsidR="00D55EE9">
        <w:t>ation s</w:t>
      </w:r>
      <w:r w:rsidR="00300609">
        <w:t>ocio-démographiques</w:t>
      </w:r>
      <w:bookmarkEnd w:id="317"/>
      <w:bookmarkEnd w:id="318"/>
    </w:p>
    <w:p w14:paraId="02FC1F0E" w14:textId="01EABDFF" w:rsidR="00F35E72" w:rsidRDefault="009510A2" w:rsidP="004637C7">
      <w:pPr>
        <w:pStyle w:val="Title4"/>
      </w:pPr>
      <w:r w:rsidRPr="009510A2">
        <w:t>Contexte territorial et structure démographique</w:t>
      </w:r>
    </w:p>
    <w:p w14:paraId="5DAD9EE0" w14:textId="1DC5E4A0" w:rsidR="00F35E72" w:rsidRDefault="009510A2" w:rsidP="00B8186F">
      <w:r w:rsidRPr="009510A2">
        <w:t xml:space="preserve">La commune de </w:t>
      </w:r>
      <w:r w:rsidR="00D276D2">
        <w:t xml:space="preserve">Marrakech Ménara </w:t>
      </w:r>
      <w:r w:rsidRPr="009510A2">
        <w:t xml:space="preserve">appartient à la </w:t>
      </w:r>
      <w:r w:rsidR="00D276D2">
        <w:t>préfecture</w:t>
      </w:r>
      <w:r w:rsidRPr="009510A2">
        <w:t xml:space="preserve"> d</w:t>
      </w:r>
      <w:r w:rsidR="00D276D2">
        <w:t>e Marrakech</w:t>
      </w:r>
      <w:r w:rsidRPr="009510A2">
        <w:t xml:space="preserve"> (région </w:t>
      </w:r>
      <w:r w:rsidR="00D276D2">
        <w:t>Marrakech Safi</w:t>
      </w:r>
      <w:r w:rsidRPr="009510A2">
        <w:t>).</w:t>
      </w:r>
      <w:r w:rsidRPr="009510A2">
        <w:br/>
      </w:r>
      <w:r w:rsidR="00B8186F" w:rsidRPr="00437EB6">
        <w:t>À l'instar de beaucoup d'autres pays, la croissance accélérée de l'urbanisation au Maroc a provoqué la formation de grandes aires métropolitaines, où une densité de population élevée génère la production de grands volumes de résidus urbains dans des espaces relativement petits. Ci-après un tableau résumant les principales informations démographiques relatives à la zone d’étude</w:t>
      </w:r>
      <w:r>
        <w:t>.</w:t>
      </w:r>
    </w:p>
    <w:p w14:paraId="30B6639A" w14:textId="5D3323EC" w:rsidR="008A570C" w:rsidRDefault="008A570C" w:rsidP="004637C7">
      <w:pPr>
        <w:pStyle w:val="Lgende"/>
        <w:keepNext/>
        <w:rPr>
          <w:lang w:val="fr-FR"/>
        </w:rPr>
      </w:pPr>
      <w:bookmarkStart w:id="319" w:name="_Toc213404351"/>
      <w:r>
        <w:t xml:space="preserve">Tableau </w:t>
      </w:r>
      <w:r>
        <w:fldChar w:fldCharType="begin"/>
      </w:r>
      <w:r>
        <w:instrText xml:space="preserve"> SEQ Tableau \* ARABIC </w:instrText>
      </w:r>
      <w:r>
        <w:fldChar w:fldCharType="separate"/>
      </w:r>
      <w:r w:rsidR="00274E71">
        <w:rPr>
          <w:noProof/>
        </w:rPr>
        <w:t>28</w:t>
      </w:r>
      <w:r>
        <w:fldChar w:fldCharType="end"/>
      </w:r>
      <w:r>
        <w:rPr>
          <w:lang w:val="fr-FR"/>
        </w:rPr>
        <w:t xml:space="preserve"> : </w:t>
      </w:r>
      <w:r w:rsidRPr="00041FC2">
        <w:rPr>
          <w:lang w:val="fr-FR"/>
        </w:rPr>
        <w:t>Structure démographique et répartition par sexe (RGPH 2024)</w:t>
      </w:r>
      <w:bookmarkEnd w:id="319"/>
    </w:p>
    <w:tbl>
      <w:tblPr>
        <w:tblStyle w:val="TableauGrille4-Accentuation1"/>
        <w:tblW w:w="5000" w:type="pct"/>
        <w:tblLook w:val="04A0" w:firstRow="1" w:lastRow="0" w:firstColumn="1" w:lastColumn="0" w:noHBand="0" w:noVBand="1"/>
      </w:tblPr>
      <w:tblGrid>
        <w:gridCol w:w="2759"/>
        <w:gridCol w:w="2142"/>
        <w:gridCol w:w="2084"/>
        <w:gridCol w:w="2077"/>
      </w:tblGrid>
      <w:tr w:rsidR="00785ED1" w:rsidRPr="00437EB6" w14:paraId="5E50A729" w14:textId="77777777" w:rsidTr="005A7661">
        <w:trPr>
          <w:cnfStyle w:val="100000000000" w:firstRow="1" w:lastRow="0" w:firstColumn="0" w:lastColumn="0" w:oddVBand="0" w:evenVBand="0" w:oddHBand="0" w:evenHBand="0" w:firstRowFirstColumn="0" w:firstRowLastColumn="0" w:lastRowFirstColumn="0" w:lastRowLastColumn="0"/>
          <w:trHeight w:val="417"/>
        </w:trPr>
        <w:tc>
          <w:tcPr>
            <w:cnfStyle w:val="001000000000" w:firstRow="0" w:lastRow="0" w:firstColumn="1" w:lastColumn="0" w:oddVBand="0" w:evenVBand="0" w:oddHBand="0" w:evenHBand="0" w:firstRowFirstColumn="0" w:firstRowLastColumn="0" w:lastRowFirstColumn="0" w:lastRowLastColumn="0"/>
            <w:tcW w:w="1522" w:type="pct"/>
            <w:shd w:val="clear" w:color="auto" w:fill="0028A8"/>
            <w:vAlign w:val="center"/>
            <w:hideMark/>
          </w:tcPr>
          <w:p w14:paraId="46458869" w14:textId="77777777" w:rsidR="00785ED1" w:rsidRPr="00437EB6" w:rsidRDefault="00785ED1" w:rsidP="005A7661">
            <w:pPr>
              <w:spacing w:after="0"/>
              <w:jc w:val="center"/>
              <w:rPr>
                <w:rFonts w:eastAsia="Calibri"/>
                <w:b w:val="0"/>
                <w:sz w:val="18"/>
                <w:szCs w:val="18"/>
              </w:rPr>
            </w:pPr>
            <w:r w:rsidRPr="00437EB6">
              <w:rPr>
                <w:rFonts w:eastAsia="Calibri"/>
                <w:sz w:val="18"/>
                <w:szCs w:val="18"/>
              </w:rPr>
              <w:t>Préfecture/ commune</w:t>
            </w:r>
          </w:p>
        </w:tc>
        <w:tc>
          <w:tcPr>
            <w:tcW w:w="1182" w:type="pct"/>
            <w:shd w:val="clear" w:color="auto" w:fill="0028A8"/>
            <w:vAlign w:val="center"/>
            <w:hideMark/>
          </w:tcPr>
          <w:p w14:paraId="748F0613" w14:textId="77777777" w:rsidR="00785ED1" w:rsidRPr="00437EB6" w:rsidRDefault="00785ED1" w:rsidP="005A7661">
            <w:pPr>
              <w:spacing w:after="0"/>
              <w:jc w:val="center"/>
              <w:cnfStyle w:val="100000000000" w:firstRow="1" w:lastRow="0" w:firstColumn="0" w:lastColumn="0" w:oddVBand="0" w:evenVBand="0" w:oddHBand="0" w:evenHBand="0" w:firstRowFirstColumn="0" w:firstRowLastColumn="0" w:lastRowFirstColumn="0" w:lastRowLastColumn="0"/>
              <w:rPr>
                <w:rFonts w:eastAsia="Calibri"/>
                <w:b w:val="0"/>
                <w:sz w:val="18"/>
                <w:szCs w:val="18"/>
              </w:rPr>
            </w:pPr>
            <w:r w:rsidRPr="00437EB6">
              <w:rPr>
                <w:rFonts w:eastAsia="Calibri"/>
                <w:sz w:val="18"/>
                <w:szCs w:val="18"/>
              </w:rPr>
              <w:t>Population</w:t>
            </w:r>
          </w:p>
        </w:tc>
        <w:tc>
          <w:tcPr>
            <w:tcW w:w="1150" w:type="pct"/>
            <w:shd w:val="clear" w:color="auto" w:fill="0028A8"/>
            <w:vAlign w:val="center"/>
            <w:hideMark/>
          </w:tcPr>
          <w:p w14:paraId="2DE8F041" w14:textId="77777777" w:rsidR="00785ED1" w:rsidRPr="00437EB6" w:rsidRDefault="00785ED1" w:rsidP="005A7661">
            <w:pPr>
              <w:spacing w:after="0"/>
              <w:jc w:val="center"/>
              <w:cnfStyle w:val="100000000000" w:firstRow="1" w:lastRow="0" w:firstColumn="0" w:lastColumn="0" w:oddVBand="0" w:evenVBand="0" w:oddHBand="0" w:evenHBand="0" w:firstRowFirstColumn="0" w:firstRowLastColumn="0" w:lastRowFirstColumn="0" w:lastRowLastColumn="0"/>
              <w:rPr>
                <w:rFonts w:eastAsia="Calibri"/>
                <w:b w:val="0"/>
                <w:sz w:val="18"/>
                <w:szCs w:val="18"/>
              </w:rPr>
            </w:pPr>
            <w:r w:rsidRPr="00437EB6">
              <w:rPr>
                <w:rFonts w:eastAsia="Calibri"/>
                <w:sz w:val="18"/>
                <w:szCs w:val="18"/>
              </w:rPr>
              <w:t>Ménages</w:t>
            </w:r>
          </w:p>
        </w:tc>
        <w:tc>
          <w:tcPr>
            <w:tcW w:w="1146" w:type="pct"/>
            <w:shd w:val="clear" w:color="auto" w:fill="0028A8"/>
            <w:vAlign w:val="center"/>
            <w:hideMark/>
          </w:tcPr>
          <w:p w14:paraId="5C55B013" w14:textId="77777777" w:rsidR="00785ED1" w:rsidRPr="00437EB6" w:rsidRDefault="00785ED1" w:rsidP="005A7661">
            <w:pPr>
              <w:spacing w:after="0"/>
              <w:jc w:val="center"/>
              <w:cnfStyle w:val="100000000000" w:firstRow="1" w:lastRow="0" w:firstColumn="0" w:lastColumn="0" w:oddVBand="0" w:evenVBand="0" w:oddHBand="0" w:evenHBand="0" w:firstRowFirstColumn="0" w:firstRowLastColumn="0" w:lastRowFirstColumn="0" w:lastRowLastColumn="0"/>
              <w:rPr>
                <w:rFonts w:eastAsia="Calibri"/>
                <w:b w:val="0"/>
                <w:sz w:val="18"/>
                <w:szCs w:val="18"/>
              </w:rPr>
            </w:pPr>
            <w:r w:rsidRPr="00437EB6">
              <w:rPr>
                <w:rFonts w:eastAsia="Calibri"/>
                <w:sz w:val="18"/>
                <w:szCs w:val="18"/>
              </w:rPr>
              <w:t>Taille ménages</w:t>
            </w:r>
          </w:p>
        </w:tc>
      </w:tr>
      <w:tr w:rsidR="00785ED1" w:rsidRPr="00437EB6" w14:paraId="703E7253" w14:textId="77777777" w:rsidTr="005A7661">
        <w:trPr>
          <w:cnfStyle w:val="000000100000" w:firstRow="0" w:lastRow="0" w:firstColumn="0" w:lastColumn="0" w:oddVBand="0" w:evenVBand="0" w:oddHBand="1" w:evenHBand="0" w:firstRowFirstColumn="0" w:firstRowLastColumn="0" w:lastRowFirstColumn="0" w:lastRowLastColumn="0"/>
          <w:trHeight w:val="196"/>
        </w:trPr>
        <w:tc>
          <w:tcPr>
            <w:cnfStyle w:val="001000000000" w:firstRow="0" w:lastRow="0" w:firstColumn="1" w:lastColumn="0" w:oddVBand="0" w:evenVBand="0" w:oddHBand="0" w:evenHBand="0" w:firstRowFirstColumn="0" w:firstRowLastColumn="0" w:lastRowFirstColumn="0" w:lastRowLastColumn="0"/>
            <w:tcW w:w="1522" w:type="pct"/>
            <w:hideMark/>
          </w:tcPr>
          <w:p w14:paraId="5729BD10" w14:textId="77777777" w:rsidR="00785ED1" w:rsidRPr="00437EB6" w:rsidRDefault="00785ED1" w:rsidP="005A7661">
            <w:pPr>
              <w:spacing w:after="0"/>
              <w:jc w:val="left"/>
              <w:rPr>
                <w:rFonts w:eastAsia="Calibri"/>
                <w:sz w:val="18"/>
                <w:szCs w:val="18"/>
              </w:rPr>
            </w:pPr>
            <w:r w:rsidRPr="00437EB6">
              <w:rPr>
                <w:rFonts w:eastAsia="Calibri"/>
                <w:sz w:val="18"/>
                <w:szCs w:val="18"/>
              </w:rPr>
              <w:t>Marrakech</w:t>
            </w:r>
          </w:p>
        </w:tc>
        <w:tc>
          <w:tcPr>
            <w:tcW w:w="1182" w:type="pct"/>
          </w:tcPr>
          <w:p w14:paraId="77470199" w14:textId="77777777" w:rsidR="00785ED1" w:rsidRPr="00437EB6" w:rsidRDefault="00785ED1" w:rsidP="005A7661">
            <w:pPr>
              <w:spacing w:after="0"/>
              <w:jc w:val="center"/>
              <w:cnfStyle w:val="000000100000" w:firstRow="0" w:lastRow="0" w:firstColumn="0" w:lastColumn="0" w:oddVBand="0" w:evenVBand="0" w:oddHBand="1" w:evenHBand="0" w:firstRowFirstColumn="0" w:firstRowLastColumn="0" w:lastRowFirstColumn="0" w:lastRowLastColumn="0"/>
              <w:rPr>
                <w:rFonts w:eastAsia="Calibri"/>
                <w:sz w:val="18"/>
                <w:szCs w:val="18"/>
              </w:rPr>
            </w:pPr>
            <w:r>
              <w:rPr>
                <w:rFonts w:eastAsia="Calibri"/>
                <w:sz w:val="18"/>
                <w:szCs w:val="18"/>
              </w:rPr>
              <w:t>1 560 103</w:t>
            </w:r>
          </w:p>
        </w:tc>
        <w:tc>
          <w:tcPr>
            <w:tcW w:w="1150" w:type="pct"/>
          </w:tcPr>
          <w:p w14:paraId="7A155545" w14:textId="77777777" w:rsidR="00785ED1" w:rsidRPr="00437EB6" w:rsidRDefault="00785ED1" w:rsidP="005A7661">
            <w:pPr>
              <w:spacing w:after="0"/>
              <w:jc w:val="center"/>
              <w:cnfStyle w:val="000000100000" w:firstRow="0" w:lastRow="0" w:firstColumn="0" w:lastColumn="0" w:oddVBand="0" w:evenVBand="0" w:oddHBand="1" w:evenHBand="0" w:firstRowFirstColumn="0" w:firstRowLastColumn="0" w:lastRowFirstColumn="0" w:lastRowLastColumn="0"/>
              <w:rPr>
                <w:rFonts w:eastAsia="Calibri"/>
                <w:sz w:val="18"/>
                <w:szCs w:val="18"/>
              </w:rPr>
            </w:pPr>
            <w:r>
              <w:rPr>
                <w:rFonts w:eastAsia="Calibri"/>
                <w:sz w:val="18"/>
                <w:szCs w:val="18"/>
              </w:rPr>
              <w:t>402 389</w:t>
            </w:r>
          </w:p>
        </w:tc>
        <w:tc>
          <w:tcPr>
            <w:tcW w:w="1146" w:type="pct"/>
          </w:tcPr>
          <w:p w14:paraId="1F7540AA" w14:textId="77777777" w:rsidR="00785ED1" w:rsidRPr="00437EB6" w:rsidRDefault="00785ED1" w:rsidP="005A7661">
            <w:pPr>
              <w:keepNext/>
              <w:spacing w:after="0"/>
              <w:jc w:val="center"/>
              <w:cnfStyle w:val="000000100000" w:firstRow="0" w:lastRow="0" w:firstColumn="0" w:lastColumn="0" w:oddVBand="0" w:evenVBand="0" w:oddHBand="1" w:evenHBand="0" w:firstRowFirstColumn="0" w:firstRowLastColumn="0" w:lastRowFirstColumn="0" w:lastRowLastColumn="0"/>
              <w:rPr>
                <w:rFonts w:eastAsia="Calibri"/>
                <w:sz w:val="18"/>
                <w:szCs w:val="18"/>
              </w:rPr>
            </w:pPr>
            <w:r>
              <w:rPr>
                <w:rFonts w:eastAsia="Calibri"/>
                <w:sz w:val="18"/>
                <w:szCs w:val="18"/>
              </w:rPr>
              <w:t>3,9</w:t>
            </w:r>
          </w:p>
        </w:tc>
      </w:tr>
      <w:tr w:rsidR="00785ED1" w:rsidRPr="00437EB6" w14:paraId="5BE98B98" w14:textId="77777777" w:rsidTr="005A7661">
        <w:trPr>
          <w:trHeight w:val="70"/>
        </w:trPr>
        <w:tc>
          <w:tcPr>
            <w:cnfStyle w:val="001000000000" w:firstRow="0" w:lastRow="0" w:firstColumn="1" w:lastColumn="0" w:oddVBand="0" w:evenVBand="0" w:oddHBand="0" w:evenHBand="0" w:firstRowFirstColumn="0" w:firstRowLastColumn="0" w:lastRowFirstColumn="0" w:lastRowLastColumn="0"/>
            <w:tcW w:w="1522" w:type="pct"/>
          </w:tcPr>
          <w:p w14:paraId="26B4DFAD" w14:textId="77777777" w:rsidR="00785ED1" w:rsidRPr="00437EB6" w:rsidRDefault="00785ED1" w:rsidP="005A7661">
            <w:pPr>
              <w:spacing w:after="0"/>
              <w:jc w:val="left"/>
              <w:rPr>
                <w:sz w:val="18"/>
                <w:szCs w:val="18"/>
              </w:rPr>
            </w:pPr>
            <w:r w:rsidRPr="00437EB6">
              <w:rPr>
                <w:sz w:val="18"/>
                <w:szCs w:val="18"/>
              </w:rPr>
              <w:t>Marrakech-</w:t>
            </w:r>
            <w:r>
              <w:rPr>
                <w:sz w:val="18"/>
                <w:szCs w:val="18"/>
              </w:rPr>
              <w:t>Ménara</w:t>
            </w:r>
          </w:p>
        </w:tc>
        <w:tc>
          <w:tcPr>
            <w:tcW w:w="1182" w:type="pct"/>
          </w:tcPr>
          <w:p w14:paraId="03F5BDB4" w14:textId="77777777" w:rsidR="00785ED1" w:rsidRPr="00437EB6" w:rsidRDefault="00785ED1" w:rsidP="005A7661">
            <w:pPr>
              <w:spacing w:after="0"/>
              <w:jc w:val="center"/>
              <w:cnfStyle w:val="000000000000" w:firstRow="0" w:lastRow="0" w:firstColumn="0" w:lastColumn="0" w:oddVBand="0" w:evenVBand="0" w:oddHBand="0" w:evenHBand="0" w:firstRowFirstColumn="0" w:firstRowLastColumn="0" w:lastRowFirstColumn="0" w:lastRowLastColumn="0"/>
              <w:rPr>
                <w:rFonts w:eastAsia="Calibri"/>
                <w:sz w:val="18"/>
                <w:szCs w:val="18"/>
              </w:rPr>
            </w:pPr>
            <w:r>
              <w:rPr>
                <w:rFonts w:eastAsia="Calibri"/>
                <w:sz w:val="18"/>
                <w:szCs w:val="18"/>
              </w:rPr>
              <w:t>519 433</w:t>
            </w:r>
          </w:p>
        </w:tc>
        <w:tc>
          <w:tcPr>
            <w:tcW w:w="1150" w:type="pct"/>
          </w:tcPr>
          <w:p w14:paraId="057B4B4E" w14:textId="77777777" w:rsidR="00785ED1" w:rsidRPr="00437EB6" w:rsidRDefault="00785ED1" w:rsidP="005A7661">
            <w:pPr>
              <w:spacing w:after="0"/>
              <w:jc w:val="center"/>
              <w:cnfStyle w:val="000000000000" w:firstRow="0" w:lastRow="0" w:firstColumn="0" w:lastColumn="0" w:oddVBand="0" w:evenVBand="0" w:oddHBand="0" w:evenHBand="0" w:firstRowFirstColumn="0" w:firstRowLastColumn="0" w:lastRowFirstColumn="0" w:lastRowLastColumn="0"/>
              <w:rPr>
                <w:rFonts w:eastAsia="Calibri"/>
                <w:sz w:val="18"/>
                <w:szCs w:val="18"/>
              </w:rPr>
            </w:pPr>
            <w:r>
              <w:rPr>
                <w:rFonts w:eastAsia="Calibri"/>
                <w:sz w:val="18"/>
                <w:szCs w:val="18"/>
              </w:rPr>
              <w:t>135 189</w:t>
            </w:r>
          </w:p>
        </w:tc>
        <w:tc>
          <w:tcPr>
            <w:tcW w:w="1146" w:type="pct"/>
          </w:tcPr>
          <w:p w14:paraId="6604A98E" w14:textId="77777777" w:rsidR="00785ED1" w:rsidRPr="00437EB6" w:rsidRDefault="00785ED1" w:rsidP="005A7661">
            <w:pPr>
              <w:keepNext/>
              <w:spacing w:after="0"/>
              <w:jc w:val="center"/>
              <w:cnfStyle w:val="000000000000" w:firstRow="0" w:lastRow="0" w:firstColumn="0" w:lastColumn="0" w:oddVBand="0" w:evenVBand="0" w:oddHBand="0" w:evenHBand="0" w:firstRowFirstColumn="0" w:firstRowLastColumn="0" w:lastRowFirstColumn="0" w:lastRowLastColumn="0"/>
              <w:rPr>
                <w:rFonts w:eastAsia="Calibri"/>
                <w:sz w:val="18"/>
                <w:szCs w:val="18"/>
              </w:rPr>
            </w:pPr>
            <w:r>
              <w:rPr>
                <w:rFonts w:eastAsia="Calibri"/>
                <w:sz w:val="18"/>
                <w:szCs w:val="18"/>
              </w:rPr>
              <w:t>3,8</w:t>
            </w:r>
          </w:p>
        </w:tc>
      </w:tr>
    </w:tbl>
    <w:p w14:paraId="310BEADB" w14:textId="551610D3" w:rsidR="00B8186F" w:rsidRDefault="00D345C0" w:rsidP="00B8186F">
      <w:r w:rsidRPr="00437EB6">
        <w:t>Le tableau ci-dessous présente quelques indicateurs reflétant la situation sociodémographique à l’échelle des communes concernées</w:t>
      </w:r>
      <w:r w:rsidR="00D22F64">
        <w:t> :</w:t>
      </w:r>
    </w:p>
    <w:p w14:paraId="1CA71689" w14:textId="511835A6" w:rsidR="00D22F64" w:rsidRDefault="00D22F64">
      <w:pPr>
        <w:spacing w:before="0" w:after="160" w:line="259" w:lineRule="auto"/>
        <w:jc w:val="left"/>
      </w:pPr>
      <w:r>
        <w:br w:type="page"/>
      </w:r>
    </w:p>
    <w:p w14:paraId="7520B90C" w14:textId="77777777" w:rsidR="004D75AC" w:rsidRDefault="004D75AC">
      <w:pPr>
        <w:spacing w:before="0" w:after="160" w:line="259" w:lineRule="auto"/>
        <w:jc w:val="left"/>
        <w:rPr>
          <w:lang w:eastAsia="fr-FR" w:bidi="ar-SA"/>
        </w:rPr>
        <w:sectPr w:rsidR="004D75AC" w:rsidSect="00AF332D">
          <w:headerReference w:type="default" r:id="rId88"/>
          <w:footerReference w:type="default" r:id="rId89"/>
          <w:pgSz w:w="11906" w:h="16838"/>
          <w:pgMar w:top="1417" w:right="1417" w:bottom="1276" w:left="1417" w:header="680" w:footer="680" w:gutter="0"/>
          <w:cols w:space="708"/>
          <w:docGrid w:linePitch="360"/>
        </w:sectPr>
      </w:pPr>
    </w:p>
    <w:p w14:paraId="3767D161" w14:textId="77777777" w:rsidR="004D75AC" w:rsidRDefault="004D75AC">
      <w:pPr>
        <w:spacing w:before="0" w:after="160" w:line="259" w:lineRule="auto"/>
        <w:jc w:val="left"/>
        <w:rPr>
          <w:lang w:eastAsia="fr-FR" w:bidi="ar-SA"/>
        </w:rPr>
      </w:pPr>
    </w:p>
    <w:p w14:paraId="17431AEF" w14:textId="77777777" w:rsidR="003A2C3E" w:rsidRDefault="003A2C3E">
      <w:pPr>
        <w:spacing w:before="0" w:after="160" w:line="259" w:lineRule="auto"/>
        <w:jc w:val="left"/>
        <w:rPr>
          <w:lang w:eastAsia="fr-FR" w:bidi="ar-SA"/>
        </w:rPr>
      </w:pPr>
    </w:p>
    <w:p w14:paraId="7602403D" w14:textId="5859F474" w:rsidR="003A2C3E" w:rsidRDefault="003A2C3E" w:rsidP="003A2C3E">
      <w:pPr>
        <w:pStyle w:val="Lgende"/>
        <w:keepNext/>
      </w:pPr>
      <w:bookmarkStart w:id="320" w:name="_Toc213404352"/>
      <w:r>
        <w:t xml:space="preserve">Tableau </w:t>
      </w:r>
      <w:r>
        <w:fldChar w:fldCharType="begin"/>
      </w:r>
      <w:r>
        <w:instrText xml:space="preserve"> SEQ Tableau \* ARABIC </w:instrText>
      </w:r>
      <w:r>
        <w:fldChar w:fldCharType="separate"/>
      </w:r>
      <w:r w:rsidR="00274E71">
        <w:rPr>
          <w:noProof/>
        </w:rPr>
        <w:t>29</w:t>
      </w:r>
      <w:r>
        <w:fldChar w:fldCharType="end"/>
      </w:r>
      <w:r>
        <w:rPr>
          <w:noProof/>
        </w:rPr>
        <w:t xml:space="preserve"> </w:t>
      </w:r>
      <w:r>
        <w:rPr>
          <w:noProof/>
          <w:lang w:val="fr-FR"/>
        </w:rPr>
        <w:t>: Données démographiques de la zone d'étude</w:t>
      </w:r>
      <w:bookmarkEnd w:id="320"/>
    </w:p>
    <w:tbl>
      <w:tblPr>
        <w:tblpPr w:leftFromText="141" w:rightFromText="141" w:vertAnchor="text" w:tblpXSpec="center" w:tblpY="1"/>
        <w:tblOverlap w:val="never"/>
        <w:tblW w:w="5251" w:type="pct"/>
        <w:tblCellMar>
          <w:left w:w="70" w:type="dxa"/>
          <w:right w:w="70" w:type="dxa"/>
        </w:tblCellMar>
        <w:tblLook w:val="04A0" w:firstRow="1" w:lastRow="0" w:firstColumn="1" w:lastColumn="0" w:noHBand="0" w:noVBand="1"/>
      </w:tblPr>
      <w:tblGrid>
        <w:gridCol w:w="2250"/>
        <w:gridCol w:w="872"/>
        <w:gridCol w:w="869"/>
        <w:gridCol w:w="919"/>
        <w:gridCol w:w="646"/>
        <w:gridCol w:w="646"/>
        <w:gridCol w:w="646"/>
        <w:gridCol w:w="646"/>
        <w:gridCol w:w="646"/>
        <w:gridCol w:w="940"/>
        <w:gridCol w:w="783"/>
        <w:gridCol w:w="814"/>
        <w:gridCol w:w="888"/>
        <w:gridCol w:w="784"/>
        <w:gridCol w:w="864"/>
        <w:gridCol w:w="695"/>
        <w:gridCol w:w="941"/>
      </w:tblGrid>
      <w:tr w:rsidR="003A2C3E" w:rsidRPr="00B77FC1" w14:paraId="59275CEC" w14:textId="77777777" w:rsidTr="005A7661">
        <w:trPr>
          <w:trHeight w:val="481"/>
        </w:trPr>
        <w:tc>
          <w:tcPr>
            <w:tcW w:w="763" w:type="pct"/>
            <w:tcBorders>
              <w:top w:val="nil"/>
              <w:left w:val="nil"/>
              <w:bottom w:val="nil"/>
              <w:right w:val="nil"/>
            </w:tcBorders>
            <w:noWrap/>
            <w:vAlign w:val="bottom"/>
            <w:hideMark/>
          </w:tcPr>
          <w:p w14:paraId="046D0C8F" w14:textId="77777777" w:rsidR="003A2C3E" w:rsidRPr="00B77FC1" w:rsidRDefault="003A2C3E" w:rsidP="005A7661">
            <w:pPr>
              <w:rPr>
                <w:rFonts w:eastAsia="Calibri" w:cstheme="minorHAnsi"/>
                <w:color w:val="000000"/>
                <w:sz w:val="18"/>
                <w:szCs w:val="18"/>
              </w:rPr>
            </w:pPr>
          </w:p>
        </w:tc>
        <w:tc>
          <w:tcPr>
            <w:tcW w:w="299" w:type="pct"/>
            <w:vMerge w:val="restart"/>
            <w:tcBorders>
              <w:top w:val="single" w:sz="4" w:space="0" w:color="auto"/>
              <w:left w:val="single" w:sz="4" w:space="0" w:color="auto"/>
              <w:bottom w:val="single" w:sz="4" w:space="0" w:color="auto"/>
              <w:right w:val="single" w:sz="4" w:space="0" w:color="auto"/>
            </w:tcBorders>
            <w:shd w:val="clear" w:color="auto" w:fill="0028A8"/>
            <w:textDirection w:val="btLr"/>
            <w:vAlign w:val="center"/>
            <w:hideMark/>
          </w:tcPr>
          <w:p w14:paraId="6687733C" w14:textId="77777777" w:rsidR="003A2C3E" w:rsidRPr="00B77FC1" w:rsidRDefault="003A2C3E" w:rsidP="005A7661">
            <w:pPr>
              <w:ind w:left="113" w:right="113"/>
              <w:jc w:val="center"/>
              <w:rPr>
                <w:rFonts w:eastAsia="Calibri" w:cstheme="minorHAnsi"/>
                <w:sz w:val="18"/>
                <w:szCs w:val="18"/>
              </w:rPr>
            </w:pPr>
            <w:r w:rsidRPr="00B77FC1">
              <w:rPr>
                <w:rFonts w:eastAsia="Calibri" w:cstheme="minorHAnsi"/>
                <w:sz w:val="18"/>
                <w:szCs w:val="18"/>
              </w:rPr>
              <w:t>Population Municipale</w:t>
            </w:r>
          </w:p>
        </w:tc>
        <w:tc>
          <w:tcPr>
            <w:tcW w:w="818" w:type="pct"/>
            <w:gridSpan w:val="3"/>
            <w:tcBorders>
              <w:top w:val="single" w:sz="4" w:space="0" w:color="auto"/>
              <w:left w:val="single" w:sz="4" w:space="0" w:color="auto"/>
              <w:bottom w:val="single" w:sz="4" w:space="0" w:color="auto"/>
              <w:right w:val="single" w:sz="4" w:space="0" w:color="auto"/>
            </w:tcBorders>
            <w:shd w:val="clear" w:color="auto" w:fill="0028A8"/>
            <w:vAlign w:val="center"/>
            <w:hideMark/>
          </w:tcPr>
          <w:p w14:paraId="755CA1DB" w14:textId="77777777" w:rsidR="003A2C3E" w:rsidRPr="00B77FC1" w:rsidRDefault="003A2C3E" w:rsidP="005A7661">
            <w:pPr>
              <w:jc w:val="center"/>
              <w:rPr>
                <w:rFonts w:eastAsia="Calibri" w:cstheme="minorHAnsi"/>
                <w:sz w:val="18"/>
                <w:szCs w:val="18"/>
              </w:rPr>
            </w:pPr>
            <w:r w:rsidRPr="00B77FC1">
              <w:rPr>
                <w:rFonts w:eastAsia="Calibri" w:cstheme="minorHAnsi"/>
                <w:sz w:val="18"/>
                <w:szCs w:val="18"/>
              </w:rPr>
              <w:t>Répartition selon les grands groupes d'âges</w:t>
            </w:r>
          </w:p>
        </w:tc>
        <w:tc>
          <w:tcPr>
            <w:tcW w:w="205" w:type="pct"/>
            <w:vMerge w:val="restart"/>
            <w:tcBorders>
              <w:top w:val="single" w:sz="4" w:space="0" w:color="auto"/>
              <w:left w:val="single" w:sz="4" w:space="0" w:color="auto"/>
              <w:bottom w:val="single" w:sz="4" w:space="0" w:color="auto"/>
              <w:right w:val="single" w:sz="4" w:space="0" w:color="auto"/>
            </w:tcBorders>
            <w:shd w:val="clear" w:color="auto" w:fill="0028A8"/>
            <w:textDirection w:val="btLr"/>
            <w:vAlign w:val="center"/>
            <w:hideMark/>
          </w:tcPr>
          <w:p w14:paraId="7DBA3F52" w14:textId="77777777" w:rsidR="003A2C3E" w:rsidRPr="00B77FC1" w:rsidRDefault="003A2C3E" w:rsidP="005A7661">
            <w:pPr>
              <w:jc w:val="center"/>
              <w:rPr>
                <w:rFonts w:eastAsia="Calibri" w:cstheme="minorHAnsi"/>
                <w:sz w:val="18"/>
                <w:szCs w:val="18"/>
              </w:rPr>
            </w:pPr>
            <w:r w:rsidRPr="00B77FC1">
              <w:rPr>
                <w:rFonts w:eastAsia="Calibri" w:cstheme="minorHAnsi"/>
                <w:sz w:val="18"/>
                <w:szCs w:val="18"/>
              </w:rPr>
              <w:t>Taux d'analphabétisme</w:t>
            </w:r>
            <w:r>
              <w:rPr>
                <w:rFonts w:eastAsia="Calibri" w:cstheme="minorHAnsi"/>
                <w:sz w:val="18"/>
                <w:szCs w:val="18"/>
              </w:rPr>
              <w:t xml:space="preserve"> des 10 ans et plus</w:t>
            </w:r>
          </w:p>
        </w:tc>
        <w:tc>
          <w:tcPr>
            <w:tcW w:w="614" w:type="pct"/>
            <w:gridSpan w:val="3"/>
            <w:tcBorders>
              <w:top w:val="single" w:sz="4" w:space="0" w:color="auto"/>
              <w:left w:val="single" w:sz="4" w:space="0" w:color="auto"/>
              <w:bottom w:val="single" w:sz="4" w:space="0" w:color="000000"/>
              <w:right w:val="single" w:sz="4" w:space="0" w:color="000000"/>
            </w:tcBorders>
            <w:shd w:val="clear" w:color="auto" w:fill="0028A8"/>
            <w:vAlign w:val="center"/>
            <w:hideMark/>
          </w:tcPr>
          <w:p w14:paraId="6D1C3B3A" w14:textId="77777777" w:rsidR="003A2C3E" w:rsidRPr="00B77FC1" w:rsidRDefault="003A2C3E" w:rsidP="005A7661">
            <w:pPr>
              <w:jc w:val="center"/>
              <w:rPr>
                <w:rFonts w:eastAsia="Calibri" w:cstheme="minorHAnsi"/>
                <w:sz w:val="18"/>
                <w:szCs w:val="18"/>
              </w:rPr>
            </w:pPr>
            <w:r w:rsidRPr="00B77FC1">
              <w:rPr>
                <w:rFonts w:eastAsia="Calibri" w:cstheme="minorHAnsi"/>
                <w:sz w:val="18"/>
                <w:szCs w:val="18"/>
              </w:rPr>
              <w:t>Niveaux d’étude</w:t>
            </w:r>
          </w:p>
        </w:tc>
        <w:tc>
          <w:tcPr>
            <w:tcW w:w="591" w:type="pct"/>
            <w:gridSpan w:val="2"/>
            <w:tcBorders>
              <w:top w:val="single" w:sz="4" w:space="0" w:color="auto"/>
              <w:left w:val="single" w:sz="4" w:space="0" w:color="auto"/>
              <w:bottom w:val="single" w:sz="4" w:space="0" w:color="auto"/>
              <w:right w:val="single" w:sz="4" w:space="0" w:color="auto"/>
            </w:tcBorders>
            <w:shd w:val="clear" w:color="auto" w:fill="0028A8"/>
            <w:vAlign w:val="center"/>
            <w:hideMark/>
          </w:tcPr>
          <w:p w14:paraId="6F190572" w14:textId="77777777" w:rsidR="003A2C3E" w:rsidRPr="00B77FC1" w:rsidRDefault="003A2C3E" w:rsidP="005A7661">
            <w:pPr>
              <w:jc w:val="center"/>
              <w:rPr>
                <w:rFonts w:eastAsia="Calibri" w:cstheme="minorHAnsi"/>
                <w:sz w:val="18"/>
                <w:szCs w:val="18"/>
              </w:rPr>
            </w:pPr>
            <w:r>
              <w:rPr>
                <w:rFonts w:eastAsia="Calibri" w:cstheme="minorHAnsi"/>
                <w:sz w:val="18"/>
                <w:szCs w:val="18"/>
              </w:rPr>
              <w:t>Activité économique</w:t>
            </w:r>
          </w:p>
        </w:tc>
        <w:tc>
          <w:tcPr>
            <w:tcW w:w="1709" w:type="pct"/>
            <w:gridSpan w:val="6"/>
            <w:tcBorders>
              <w:top w:val="single" w:sz="4" w:space="0" w:color="auto"/>
              <w:left w:val="single" w:sz="4" w:space="0" w:color="auto"/>
              <w:bottom w:val="single" w:sz="4" w:space="0" w:color="auto"/>
              <w:right w:val="single" w:sz="4" w:space="0" w:color="auto"/>
            </w:tcBorders>
            <w:shd w:val="clear" w:color="auto" w:fill="0028A8"/>
            <w:vAlign w:val="center"/>
            <w:hideMark/>
          </w:tcPr>
          <w:p w14:paraId="2DF2DD7A" w14:textId="77777777" w:rsidR="003A2C3E" w:rsidRPr="00B77FC1" w:rsidRDefault="003A2C3E" w:rsidP="005A7661">
            <w:pPr>
              <w:jc w:val="center"/>
              <w:rPr>
                <w:rFonts w:eastAsia="Calibri" w:cstheme="minorHAnsi"/>
                <w:sz w:val="18"/>
                <w:szCs w:val="18"/>
              </w:rPr>
            </w:pPr>
            <w:r w:rsidRPr="00B77FC1">
              <w:rPr>
                <w:rFonts w:eastAsia="Calibri" w:cstheme="minorHAnsi"/>
                <w:sz w:val="18"/>
                <w:szCs w:val="18"/>
              </w:rPr>
              <w:t>Situation dans la profession des actifs occupés et des chômeurs ayant déjà travaillé</w:t>
            </w:r>
          </w:p>
        </w:tc>
      </w:tr>
      <w:tr w:rsidR="003A2C3E" w:rsidRPr="00B77FC1" w14:paraId="766BC75D" w14:textId="77777777" w:rsidTr="005A7661">
        <w:trPr>
          <w:cantSplit/>
          <w:trHeight w:val="2846"/>
        </w:trPr>
        <w:tc>
          <w:tcPr>
            <w:tcW w:w="763" w:type="pct"/>
            <w:tcBorders>
              <w:top w:val="nil"/>
              <w:left w:val="nil"/>
              <w:bottom w:val="nil"/>
              <w:right w:val="nil"/>
            </w:tcBorders>
            <w:noWrap/>
            <w:vAlign w:val="bottom"/>
            <w:hideMark/>
          </w:tcPr>
          <w:p w14:paraId="5624AE23" w14:textId="77777777" w:rsidR="003A2C3E" w:rsidRPr="00B77FC1" w:rsidRDefault="003A2C3E" w:rsidP="005A7661">
            <w:pPr>
              <w:rPr>
                <w:rFonts w:eastAsia="Calibri" w:cstheme="minorHAnsi"/>
                <w:color w:val="000000"/>
                <w:sz w:val="18"/>
                <w:szCs w:val="18"/>
              </w:rPr>
            </w:pPr>
          </w:p>
        </w:tc>
        <w:tc>
          <w:tcPr>
            <w:tcW w:w="299" w:type="pct"/>
            <w:vMerge/>
            <w:tcBorders>
              <w:top w:val="single" w:sz="4" w:space="0" w:color="auto"/>
              <w:left w:val="single" w:sz="4" w:space="0" w:color="auto"/>
              <w:bottom w:val="single" w:sz="4" w:space="0" w:color="auto"/>
              <w:right w:val="single" w:sz="4" w:space="0" w:color="auto"/>
            </w:tcBorders>
            <w:shd w:val="clear" w:color="auto" w:fill="0028A8"/>
            <w:vAlign w:val="center"/>
            <w:hideMark/>
          </w:tcPr>
          <w:p w14:paraId="58395DD7" w14:textId="77777777" w:rsidR="003A2C3E" w:rsidRPr="00B77FC1" w:rsidRDefault="003A2C3E" w:rsidP="005A7661">
            <w:pPr>
              <w:jc w:val="center"/>
              <w:rPr>
                <w:rFonts w:eastAsia="Calibri" w:cstheme="minorHAnsi"/>
                <w:sz w:val="18"/>
                <w:szCs w:val="18"/>
              </w:rPr>
            </w:pPr>
          </w:p>
        </w:tc>
        <w:tc>
          <w:tcPr>
            <w:tcW w:w="298" w:type="pct"/>
            <w:tcBorders>
              <w:top w:val="nil"/>
              <w:left w:val="nil"/>
              <w:bottom w:val="nil"/>
              <w:right w:val="single" w:sz="4" w:space="0" w:color="auto"/>
            </w:tcBorders>
            <w:noWrap/>
            <w:textDirection w:val="btLr"/>
            <w:vAlign w:val="center"/>
            <w:hideMark/>
          </w:tcPr>
          <w:p w14:paraId="2BD1D4E0" w14:textId="77777777" w:rsidR="003A2C3E" w:rsidRPr="00B77FC1" w:rsidRDefault="003A2C3E" w:rsidP="005A7661">
            <w:pPr>
              <w:jc w:val="center"/>
              <w:rPr>
                <w:rFonts w:eastAsia="Calibri" w:cstheme="minorHAnsi"/>
                <w:sz w:val="18"/>
                <w:szCs w:val="18"/>
              </w:rPr>
            </w:pPr>
            <w:r w:rsidRPr="00B77FC1">
              <w:rPr>
                <w:rFonts w:eastAsia="Calibri" w:cstheme="minorHAnsi"/>
                <w:sz w:val="18"/>
                <w:szCs w:val="18"/>
              </w:rPr>
              <w:t xml:space="preserve">Moins de </w:t>
            </w:r>
            <w:r>
              <w:rPr>
                <w:rFonts w:eastAsia="Calibri" w:cstheme="minorHAnsi"/>
                <w:sz w:val="18"/>
                <w:szCs w:val="18"/>
              </w:rPr>
              <w:t>15</w:t>
            </w:r>
            <w:r w:rsidRPr="00B77FC1">
              <w:rPr>
                <w:rFonts w:eastAsia="Calibri" w:cstheme="minorHAnsi"/>
                <w:sz w:val="18"/>
                <w:szCs w:val="18"/>
              </w:rPr>
              <w:t xml:space="preserve"> ans</w:t>
            </w:r>
          </w:p>
        </w:tc>
        <w:tc>
          <w:tcPr>
            <w:tcW w:w="315" w:type="pct"/>
            <w:tcBorders>
              <w:top w:val="nil"/>
              <w:left w:val="nil"/>
              <w:bottom w:val="nil"/>
              <w:right w:val="single" w:sz="4" w:space="0" w:color="auto"/>
            </w:tcBorders>
            <w:noWrap/>
            <w:textDirection w:val="btLr"/>
            <w:vAlign w:val="center"/>
            <w:hideMark/>
          </w:tcPr>
          <w:p w14:paraId="2BE07210" w14:textId="77777777" w:rsidR="003A2C3E" w:rsidRPr="00B77FC1" w:rsidRDefault="003A2C3E" w:rsidP="005A7661">
            <w:pPr>
              <w:jc w:val="center"/>
              <w:rPr>
                <w:rFonts w:eastAsia="Calibri" w:cstheme="minorHAnsi"/>
                <w:sz w:val="18"/>
                <w:szCs w:val="18"/>
              </w:rPr>
            </w:pPr>
            <w:r w:rsidRPr="00B77FC1">
              <w:rPr>
                <w:rFonts w:eastAsia="Calibri" w:cstheme="minorHAnsi"/>
                <w:sz w:val="18"/>
                <w:szCs w:val="18"/>
              </w:rPr>
              <w:t>De 15à 59 ans</w:t>
            </w:r>
          </w:p>
        </w:tc>
        <w:tc>
          <w:tcPr>
            <w:tcW w:w="205" w:type="pct"/>
            <w:tcBorders>
              <w:top w:val="nil"/>
              <w:left w:val="nil"/>
              <w:bottom w:val="nil"/>
              <w:right w:val="single" w:sz="4" w:space="0" w:color="auto"/>
            </w:tcBorders>
            <w:noWrap/>
            <w:textDirection w:val="btLr"/>
            <w:vAlign w:val="center"/>
            <w:hideMark/>
          </w:tcPr>
          <w:p w14:paraId="5C849DBD" w14:textId="77777777" w:rsidR="003A2C3E" w:rsidRPr="00B77FC1" w:rsidRDefault="003A2C3E" w:rsidP="005A7661">
            <w:pPr>
              <w:jc w:val="center"/>
              <w:rPr>
                <w:rFonts w:eastAsia="Calibri" w:cstheme="minorHAnsi"/>
                <w:sz w:val="18"/>
                <w:szCs w:val="18"/>
              </w:rPr>
            </w:pPr>
            <w:r w:rsidRPr="00B77FC1">
              <w:rPr>
                <w:rFonts w:eastAsia="Calibri" w:cstheme="minorHAnsi"/>
                <w:sz w:val="18"/>
                <w:szCs w:val="18"/>
              </w:rPr>
              <w:t>60 ans et plus</w:t>
            </w:r>
          </w:p>
        </w:tc>
        <w:tc>
          <w:tcPr>
            <w:tcW w:w="205" w:type="pct"/>
            <w:vMerge/>
            <w:tcBorders>
              <w:top w:val="single" w:sz="4" w:space="0" w:color="auto"/>
              <w:left w:val="single" w:sz="4" w:space="0" w:color="auto"/>
              <w:bottom w:val="single" w:sz="4" w:space="0" w:color="auto"/>
              <w:right w:val="single" w:sz="4" w:space="0" w:color="auto"/>
            </w:tcBorders>
            <w:vAlign w:val="center"/>
            <w:hideMark/>
          </w:tcPr>
          <w:p w14:paraId="66A431E7" w14:textId="77777777" w:rsidR="003A2C3E" w:rsidRPr="00B77FC1" w:rsidRDefault="003A2C3E" w:rsidP="005A7661">
            <w:pPr>
              <w:jc w:val="center"/>
              <w:rPr>
                <w:rFonts w:eastAsia="Calibri" w:cstheme="minorHAnsi"/>
                <w:sz w:val="18"/>
                <w:szCs w:val="18"/>
              </w:rPr>
            </w:pPr>
          </w:p>
        </w:tc>
        <w:tc>
          <w:tcPr>
            <w:tcW w:w="205" w:type="pct"/>
            <w:tcBorders>
              <w:top w:val="nil"/>
              <w:left w:val="nil"/>
              <w:bottom w:val="nil"/>
              <w:right w:val="single" w:sz="4" w:space="0" w:color="auto"/>
            </w:tcBorders>
            <w:noWrap/>
            <w:textDirection w:val="btLr"/>
            <w:vAlign w:val="center"/>
            <w:hideMark/>
          </w:tcPr>
          <w:p w14:paraId="441B4761" w14:textId="77777777" w:rsidR="003A2C3E" w:rsidRPr="00B77FC1" w:rsidRDefault="003A2C3E" w:rsidP="005A7661">
            <w:pPr>
              <w:ind w:left="113" w:right="113"/>
              <w:jc w:val="center"/>
              <w:rPr>
                <w:rFonts w:eastAsia="Calibri" w:cstheme="minorHAnsi"/>
                <w:sz w:val="18"/>
                <w:szCs w:val="18"/>
              </w:rPr>
            </w:pPr>
            <w:r w:rsidRPr="00B77FC1">
              <w:rPr>
                <w:rFonts w:eastAsia="Calibri" w:cstheme="minorHAnsi"/>
                <w:sz w:val="18"/>
                <w:szCs w:val="18"/>
              </w:rPr>
              <w:t>Préscolaire</w:t>
            </w:r>
          </w:p>
        </w:tc>
        <w:tc>
          <w:tcPr>
            <w:tcW w:w="205" w:type="pct"/>
            <w:tcBorders>
              <w:top w:val="nil"/>
              <w:left w:val="nil"/>
              <w:bottom w:val="nil"/>
              <w:right w:val="single" w:sz="4" w:space="0" w:color="auto"/>
            </w:tcBorders>
            <w:noWrap/>
            <w:textDirection w:val="btLr"/>
            <w:vAlign w:val="center"/>
            <w:hideMark/>
          </w:tcPr>
          <w:p w14:paraId="658E339F" w14:textId="77777777" w:rsidR="003A2C3E" w:rsidRPr="00B77FC1" w:rsidRDefault="003A2C3E" w:rsidP="005A7661">
            <w:pPr>
              <w:jc w:val="center"/>
              <w:rPr>
                <w:rFonts w:eastAsia="Calibri" w:cstheme="minorHAnsi"/>
                <w:sz w:val="18"/>
                <w:szCs w:val="18"/>
              </w:rPr>
            </w:pPr>
            <w:r w:rsidRPr="00B77FC1">
              <w:rPr>
                <w:rFonts w:eastAsia="Calibri" w:cstheme="minorHAnsi"/>
                <w:sz w:val="18"/>
                <w:szCs w:val="18"/>
              </w:rPr>
              <w:t>Primaire, collégial et secondaire</w:t>
            </w:r>
          </w:p>
        </w:tc>
        <w:tc>
          <w:tcPr>
            <w:tcW w:w="205" w:type="pct"/>
            <w:tcBorders>
              <w:top w:val="nil"/>
              <w:left w:val="nil"/>
              <w:bottom w:val="nil"/>
              <w:right w:val="single" w:sz="4" w:space="0" w:color="auto"/>
            </w:tcBorders>
            <w:noWrap/>
            <w:textDirection w:val="btLr"/>
            <w:vAlign w:val="center"/>
            <w:hideMark/>
          </w:tcPr>
          <w:p w14:paraId="1B5F3D5F" w14:textId="77777777" w:rsidR="003A2C3E" w:rsidRPr="00B77FC1" w:rsidRDefault="003A2C3E" w:rsidP="005A7661">
            <w:pPr>
              <w:jc w:val="center"/>
              <w:rPr>
                <w:rFonts w:eastAsia="Calibri" w:cstheme="minorHAnsi"/>
                <w:sz w:val="18"/>
                <w:szCs w:val="18"/>
              </w:rPr>
            </w:pPr>
            <w:r w:rsidRPr="00B77FC1">
              <w:rPr>
                <w:rFonts w:eastAsia="Calibri" w:cstheme="minorHAnsi"/>
                <w:sz w:val="18"/>
                <w:szCs w:val="18"/>
              </w:rPr>
              <w:t>Supérieur</w:t>
            </w:r>
          </w:p>
        </w:tc>
        <w:tc>
          <w:tcPr>
            <w:tcW w:w="322" w:type="pct"/>
            <w:tcBorders>
              <w:top w:val="nil"/>
              <w:left w:val="nil"/>
              <w:bottom w:val="nil"/>
              <w:right w:val="single" w:sz="4" w:space="0" w:color="auto"/>
            </w:tcBorders>
            <w:noWrap/>
            <w:textDirection w:val="btLr"/>
            <w:vAlign w:val="center"/>
            <w:hideMark/>
          </w:tcPr>
          <w:p w14:paraId="2FC21A7D" w14:textId="77777777" w:rsidR="003A2C3E" w:rsidRPr="00B77FC1" w:rsidRDefault="003A2C3E" w:rsidP="005A7661">
            <w:pPr>
              <w:jc w:val="center"/>
              <w:rPr>
                <w:rFonts w:eastAsia="Calibri" w:cstheme="minorHAnsi"/>
                <w:sz w:val="18"/>
                <w:szCs w:val="18"/>
              </w:rPr>
            </w:pPr>
            <w:r w:rsidRPr="00E24C22">
              <w:rPr>
                <w:rFonts w:eastAsia="Calibri" w:cstheme="minorHAnsi"/>
                <w:sz w:val="18"/>
                <w:szCs w:val="18"/>
              </w:rPr>
              <w:t>Taux d'activité des 15 ans et plus</w:t>
            </w:r>
          </w:p>
        </w:tc>
        <w:tc>
          <w:tcPr>
            <w:tcW w:w="269" w:type="pct"/>
            <w:tcBorders>
              <w:top w:val="nil"/>
              <w:left w:val="nil"/>
              <w:bottom w:val="nil"/>
              <w:right w:val="single" w:sz="4" w:space="0" w:color="auto"/>
            </w:tcBorders>
            <w:noWrap/>
            <w:textDirection w:val="btLr"/>
            <w:vAlign w:val="center"/>
            <w:hideMark/>
          </w:tcPr>
          <w:p w14:paraId="447EF0FF" w14:textId="77777777" w:rsidR="003A2C3E" w:rsidRPr="00B77FC1" w:rsidRDefault="003A2C3E" w:rsidP="005A7661">
            <w:pPr>
              <w:ind w:left="113" w:right="113"/>
              <w:jc w:val="center"/>
              <w:rPr>
                <w:rFonts w:eastAsia="Calibri" w:cstheme="minorHAnsi"/>
                <w:sz w:val="18"/>
                <w:szCs w:val="18"/>
              </w:rPr>
            </w:pPr>
            <w:r w:rsidRPr="00D839FE">
              <w:rPr>
                <w:rFonts w:eastAsia="Calibri" w:cstheme="minorHAnsi"/>
                <w:sz w:val="18"/>
                <w:szCs w:val="18"/>
              </w:rPr>
              <w:t>Taux de chômage</w:t>
            </w:r>
          </w:p>
        </w:tc>
        <w:tc>
          <w:tcPr>
            <w:tcW w:w="279" w:type="pct"/>
            <w:tcBorders>
              <w:top w:val="nil"/>
              <w:left w:val="nil"/>
              <w:bottom w:val="nil"/>
              <w:right w:val="single" w:sz="4" w:space="0" w:color="auto"/>
            </w:tcBorders>
            <w:noWrap/>
            <w:textDirection w:val="btLr"/>
            <w:vAlign w:val="center"/>
            <w:hideMark/>
          </w:tcPr>
          <w:p w14:paraId="54F03A55" w14:textId="77777777" w:rsidR="003A2C3E" w:rsidRPr="00B77FC1" w:rsidRDefault="003A2C3E" w:rsidP="005A7661">
            <w:pPr>
              <w:ind w:left="113" w:right="113"/>
              <w:jc w:val="center"/>
              <w:rPr>
                <w:rFonts w:eastAsia="Calibri" w:cstheme="minorHAnsi"/>
                <w:sz w:val="18"/>
                <w:szCs w:val="18"/>
              </w:rPr>
            </w:pPr>
            <w:r w:rsidRPr="00B77FC1">
              <w:rPr>
                <w:rFonts w:eastAsia="Calibri" w:cstheme="minorHAnsi"/>
                <w:sz w:val="18"/>
                <w:szCs w:val="18"/>
              </w:rPr>
              <w:t>Employeur</w:t>
            </w:r>
          </w:p>
        </w:tc>
        <w:tc>
          <w:tcPr>
            <w:tcW w:w="304" w:type="pct"/>
            <w:tcBorders>
              <w:top w:val="nil"/>
              <w:left w:val="nil"/>
              <w:bottom w:val="nil"/>
              <w:right w:val="single" w:sz="4" w:space="0" w:color="auto"/>
            </w:tcBorders>
            <w:noWrap/>
            <w:textDirection w:val="btLr"/>
            <w:vAlign w:val="center"/>
            <w:hideMark/>
          </w:tcPr>
          <w:p w14:paraId="1EFAA499" w14:textId="77777777" w:rsidR="003A2C3E" w:rsidRPr="00B77FC1" w:rsidRDefault="003A2C3E" w:rsidP="005A7661">
            <w:pPr>
              <w:jc w:val="center"/>
              <w:rPr>
                <w:rFonts w:eastAsia="Calibri" w:cstheme="minorHAnsi"/>
                <w:sz w:val="18"/>
                <w:szCs w:val="18"/>
              </w:rPr>
            </w:pPr>
            <w:r w:rsidRPr="00B77FC1">
              <w:rPr>
                <w:rFonts w:eastAsia="Calibri" w:cstheme="minorHAnsi"/>
                <w:sz w:val="18"/>
                <w:szCs w:val="18"/>
              </w:rPr>
              <w:t>Indépendant</w:t>
            </w:r>
          </w:p>
        </w:tc>
        <w:tc>
          <w:tcPr>
            <w:tcW w:w="269" w:type="pct"/>
            <w:tcBorders>
              <w:top w:val="nil"/>
              <w:left w:val="nil"/>
              <w:bottom w:val="nil"/>
              <w:right w:val="single" w:sz="4" w:space="0" w:color="auto"/>
            </w:tcBorders>
            <w:noWrap/>
            <w:textDirection w:val="btLr"/>
            <w:vAlign w:val="center"/>
            <w:hideMark/>
          </w:tcPr>
          <w:p w14:paraId="108953A2" w14:textId="77777777" w:rsidR="003A2C3E" w:rsidRPr="00B77FC1" w:rsidRDefault="003A2C3E" w:rsidP="005A7661">
            <w:pPr>
              <w:jc w:val="center"/>
              <w:rPr>
                <w:rFonts w:eastAsia="Calibri" w:cstheme="minorHAnsi"/>
                <w:sz w:val="18"/>
                <w:szCs w:val="18"/>
              </w:rPr>
            </w:pPr>
            <w:r w:rsidRPr="00B77FC1">
              <w:rPr>
                <w:rFonts w:eastAsia="Calibri" w:cstheme="minorHAnsi"/>
                <w:sz w:val="18"/>
                <w:szCs w:val="18"/>
              </w:rPr>
              <w:t xml:space="preserve">Salarié </w:t>
            </w:r>
          </w:p>
        </w:tc>
        <w:tc>
          <w:tcPr>
            <w:tcW w:w="296" w:type="pct"/>
            <w:tcBorders>
              <w:top w:val="nil"/>
              <w:left w:val="nil"/>
              <w:bottom w:val="nil"/>
              <w:right w:val="single" w:sz="4" w:space="0" w:color="auto"/>
            </w:tcBorders>
            <w:noWrap/>
            <w:textDirection w:val="btLr"/>
            <w:vAlign w:val="center"/>
            <w:hideMark/>
          </w:tcPr>
          <w:p w14:paraId="7F5A1D5A" w14:textId="77777777" w:rsidR="003A2C3E" w:rsidRPr="00B77FC1" w:rsidRDefault="003A2C3E" w:rsidP="005A7661">
            <w:pPr>
              <w:jc w:val="center"/>
              <w:rPr>
                <w:rFonts w:eastAsia="Calibri" w:cstheme="minorHAnsi"/>
                <w:sz w:val="18"/>
                <w:szCs w:val="18"/>
              </w:rPr>
            </w:pPr>
            <w:r w:rsidRPr="00B77FC1">
              <w:rPr>
                <w:rFonts w:eastAsia="Calibri" w:cstheme="minorHAnsi"/>
                <w:sz w:val="18"/>
                <w:szCs w:val="18"/>
              </w:rPr>
              <w:t>Aide familiale</w:t>
            </w:r>
          </w:p>
        </w:tc>
        <w:tc>
          <w:tcPr>
            <w:tcW w:w="239" w:type="pct"/>
            <w:tcBorders>
              <w:top w:val="nil"/>
              <w:left w:val="nil"/>
              <w:bottom w:val="nil"/>
              <w:right w:val="single" w:sz="4" w:space="0" w:color="auto"/>
            </w:tcBorders>
            <w:noWrap/>
            <w:textDirection w:val="btLr"/>
            <w:vAlign w:val="center"/>
            <w:hideMark/>
          </w:tcPr>
          <w:p w14:paraId="3F250C0B" w14:textId="77777777" w:rsidR="003A2C3E" w:rsidRPr="00B77FC1" w:rsidRDefault="003A2C3E" w:rsidP="005A7661">
            <w:pPr>
              <w:ind w:left="113" w:right="113"/>
              <w:jc w:val="center"/>
              <w:rPr>
                <w:rFonts w:eastAsia="Calibri" w:cstheme="minorHAnsi"/>
                <w:sz w:val="18"/>
                <w:szCs w:val="18"/>
              </w:rPr>
            </w:pPr>
            <w:r w:rsidRPr="00B77FC1">
              <w:rPr>
                <w:rFonts w:eastAsia="Calibri" w:cstheme="minorHAnsi"/>
                <w:sz w:val="18"/>
                <w:szCs w:val="18"/>
              </w:rPr>
              <w:t>Apprenti</w:t>
            </w:r>
          </w:p>
        </w:tc>
        <w:tc>
          <w:tcPr>
            <w:tcW w:w="322" w:type="pct"/>
            <w:tcBorders>
              <w:top w:val="nil"/>
              <w:left w:val="nil"/>
              <w:bottom w:val="nil"/>
              <w:right w:val="single" w:sz="4" w:space="0" w:color="auto"/>
            </w:tcBorders>
            <w:noWrap/>
            <w:textDirection w:val="btLr"/>
            <w:vAlign w:val="center"/>
            <w:hideMark/>
          </w:tcPr>
          <w:p w14:paraId="0B4BCFB3" w14:textId="77777777" w:rsidR="003A2C3E" w:rsidRPr="00B77FC1" w:rsidRDefault="003A2C3E" w:rsidP="005A7661">
            <w:pPr>
              <w:jc w:val="center"/>
              <w:rPr>
                <w:rFonts w:eastAsia="Calibri" w:cstheme="minorHAnsi"/>
                <w:sz w:val="18"/>
                <w:szCs w:val="18"/>
              </w:rPr>
            </w:pPr>
            <w:r w:rsidRPr="00B77FC1">
              <w:rPr>
                <w:rFonts w:eastAsia="Calibri" w:cstheme="minorHAnsi"/>
                <w:sz w:val="18"/>
                <w:szCs w:val="18"/>
              </w:rPr>
              <w:t>Associé ou partenaire</w:t>
            </w:r>
          </w:p>
        </w:tc>
      </w:tr>
      <w:tr w:rsidR="003A2C3E" w:rsidRPr="00B77FC1" w14:paraId="1287F911" w14:textId="77777777" w:rsidTr="005A7661">
        <w:trPr>
          <w:trHeight w:val="385"/>
        </w:trPr>
        <w:tc>
          <w:tcPr>
            <w:tcW w:w="763" w:type="pct"/>
            <w:tcBorders>
              <w:top w:val="single" w:sz="4" w:space="0" w:color="auto"/>
              <w:left w:val="single" w:sz="4" w:space="0" w:color="auto"/>
              <w:bottom w:val="single" w:sz="4" w:space="0" w:color="auto"/>
              <w:right w:val="single" w:sz="4" w:space="0" w:color="auto"/>
            </w:tcBorders>
            <w:shd w:val="clear" w:color="auto" w:fill="0028A8"/>
            <w:vAlign w:val="center"/>
            <w:hideMark/>
          </w:tcPr>
          <w:p w14:paraId="1FCC239D" w14:textId="77777777" w:rsidR="003A2C3E" w:rsidRPr="00B77FC1" w:rsidRDefault="003A2C3E" w:rsidP="005A7661">
            <w:pPr>
              <w:rPr>
                <w:rFonts w:eastAsia="Calibri" w:cstheme="minorHAnsi"/>
                <w:b/>
                <w:bCs/>
                <w:color w:val="FFFFFF" w:themeColor="background1"/>
                <w:sz w:val="18"/>
                <w:szCs w:val="18"/>
              </w:rPr>
            </w:pPr>
            <w:r w:rsidRPr="00B77FC1">
              <w:rPr>
                <w:rFonts w:eastAsia="Calibri" w:cstheme="minorHAnsi"/>
                <w:b/>
                <w:bCs/>
                <w:color w:val="FFFFFF" w:themeColor="background1"/>
                <w:sz w:val="18"/>
                <w:szCs w:val="18"/>
              </w:rPr>
              <w:t>Province : Marrakech</w:t>
            </w:r>
          </w:p>
        </w:tc>
        <w:tc>
          <w:tcPr>
            <w:tcW w:w="299" w:type="pct"/>
            <w:tcBorders>
              <w:top w:val="single" w:sz="4" w:space="0" w:color="auto"/>
              <w:left w:val="nil"/>
              <w:bottom w:val="single" w:sz="4" w:space="0" w:color="auto"/>
              <w:right w:val="single" w:sz="4" w:space="0" w:color="auto"/>
            </w:tcBorders>
            <w:noWrap/>
            <w:vAlign w:val="center"/>
          </w:tcPr>
          <w:p w14:paraId="757EF601" w14:textId="77777777" w:rsidR="003A2C3E" w:rsidRPr="00B77FC1" w:rsidRDefault="003A2C3E" w:rsidP="005A7661">
            <w:pPr>
              <w:jc w:val="center"/>
              <w:rPr>
                <w:rFonts w:eastAsia="Calibri" w:cstheme="minorHAnsi"/>
                <w:sz w:val="18"/>
                <w:szCs w:val="18"/>
              </w:rPr>
            </w:pPr>
            <w:r>
              <w:rPr>
                <w:rFonts w:eastAsia="Calibri" w:cstheme="minorHAnsi"/>
                <w:sz w:val="18"/>
                <w:szCs w:val="18"/>
              </w:rPr>
              <w:t>1 560 103</w:t>
            </w:r>
          </w:p>
        </w:tc>
        <w:tc>
          <w:tcPr>
            <w:tcW w:w="298" w:type="pct"/>
            <w:tcBorders>
              <w:top w:val="single" w:sz="4" w:space="0" w:color="auto"/>
              <w:left w:val="nil"/>
              <w:bottom w:val="single" w:sz="4" w:space="0" w:color="auto"/>
              <w:right w:val="single" w:sz="4" w:space="0" w:color="auto"/>
            </w:tcBorders>
            <w:noWrap/>
            <w:vAlign w:val="center"/>
          </w:tcPr>
          <w:p w14:paraId="22B07881" w14:textId="77777777" w:rsidR="003A2C3E" w:rsidRPr="00B77FC1" w:rsidRDefault="003A2C3E" w:rsidP="005A7661">
            <w:pPr>
              <w:jc w:val="center"/>
              <w:rPr>
                <w:rFonts w:eastAsia="Calibri" w:cstheme="minorHAnsi"/>
                <w:sz w:val="18"/>
                <w:szCs w:val="18"/>
              </w:rPr>
            </w:pPr>
            <w:r>
              <w:rPr>
                <w:rFonts w:eastAsia="Calibri" w:cstheme="minorHAnsi"/>
                <w:sz w:val="18"/>
                <w:szCs w:val="18"/>
              </w:rPr>
              <w:t>25,7</w:t>
            </w:r>
          </w:p>
        </w:tc>
        <w:tc>
          <w:tcPr>
            <w:tcW w:w="315" w:type="pct"/>
            <w:tcBorders>
              <w:top w:val="single" w:sz="4" w:space="0" w:color="auto"/>
              <w:left w:val="nil"/>
              <w:bottom w:val="single" w:sz="4" w:space="0" w:color="auto"/>
              <w:right w:val="single" w:sz="4" w:space="0" w:color="auto"/>
            </w:tcBorders>
            <w:noWrap/>
            <w:vAlign w:val="center"/>
          </w:tcPr>
          <w:p w14:paraId="670BB551" w14:textId="77777777" w:rsidR="003A2C3E" w:rsidRPr="00B77FC1" w:rsidRDefault="003A2C3E" w:rsidP="005A7661">
            <w:pPr>
              <w:jc w:val="center"/>
              <w:rPr>
                <w:rFonts w:eastAsia="Calibri" w:cstheme="minorHAnsi"/>
                <w:sz w:val="18"/>
                <w:szCs w:val="18"/>
              </w:rPr>
            </w:pPr>
            <w:r>
              <w:rPr>
                <w:rFonts w:eastAsia="Calibri" w:cstheme="minorHAnsi"/>
                <w:sz w:val="18"/>
                <w:szCs w:val="18"/>
              </w:rPr>
              <w:t>61</w:t>
            </w:r>
          </w:p>
        </w:tc>
        <w:tc>
          <w:tcPr>
            <w:tcW w:w="205" w:type="pct"/>
            <w:tcBorders>
              <w:top w:val="single" w:sz="4" w:space="0" w:color="auto"/>
              <w:left w:val="nil"/>
              <w:bottom w:val="single" w:sz="4" w:space="0" w:color="auto"/>
              <w:right w:val="single" w:sz="4" w:space="0" w:color="auto"/>
            </w:tcBorders>
            <w:noWrap/>
            <w:vAlign w:val="center"/>
          </w:tcPr>
          <w:p w14:paraId="4737D711" w14:textId="77777777" w:rsidR="003A2C3E" w:rsidRPr="00B77FC1" w:rsidRDefault="003A2C3E" w:rsidP="005A7661">
            <w:pPr>
              <w:jc w:val="center"/>
              <w:rPr>
                <w:rFonts w:eastAsia="Calibri" w:cstheme="minorHAnsi"/>
                <w:sz w:val="18"/>
                <w:szCs w:val="18"/>
              </w:rPr>
            </w:pPr>
            <w:r>
              <w:rPr>
                <w:rFonts w:eastAsia="Calibri" w:cstheme="minorHAnsi"/>
                <w:sz w:val="18"/>
                <w:szCs w:val="18"/>
              </w:rPr>
              <w:t>13,2</w:t>
            </w:r>
          </w:p>
        </w:tc>
        <w:tc>
          <w:tcPr>
            <w:tcW w:w="205" w:type="pct"/>
            <w:tcBorders>
              <w:top w:val="single" w:sz="4" w:space="0" w:color="auto"/>
              <w:left w:val="nil"/>
              <w:bottom w:val="single" w:sz="4" w:space="0" w:color="auto"/>
              <w:right w:val="single" w:sz="4" w:space="0" w:color="auto"/>
            </w:tcBorders>
            <w:noWrap/>
            <w:vAlign w:val="center"/>
          </w:tcPr>
          <w:p w14:paraId="44427D91" w14:textId="77777777" w:rsidR="003A2C3E" w:rsidRPr="00B77FC1" w:rsidRDefault="003A2C3E" w:rsidP="005A7661">
            <w:pPr>
              <w:jc w:val="center"/>
              <w:rPr>
                <w:rFonts w:eastAsia="Calibri" w:cstheme="minorHAnsi"/>
                <w:sz w:val="18"/>
                <w:szCs w:val="18"/>
              </w:rPr>
            </w:pPr>
            <w:r>
              <w:rPr>
                <w:rFonts w:eastAsia="Calibri" w:cstheme="minorHAnsi"/>
                <w:sz w:val="18"/>
                <w:szCs w:val="18"/>
              </w:rPr>
              <w:t>17,8</w:t>
            </w:r>
          </w:p>
        </w:tc>
        <w:tc>
          <w:tcPr>
            <w:tcW w:w="205" w:type="pct"/>
            <w:tcBorders>
              <w:top w:val="single" w:sz="4" w:space="0" w:color="auto"/>
              <w:left w:val="nil"/>
              <w:bottom w:val="single" w:sz="4" w:space="0" w:color="auto"/>
              <w:right w:val="single" w:sz="4" w:space="0" w:color="auto"/>
            </w:tcBorders>
            <w:noWrap/>
            <w:vAlign w:val="center"/>
          </w:tcPr>
          <w:p w14:paraId="45D80E13" w14:textId="77777777" w:rsidR="003A2C3E" w:rsidRPr="00B77FC1" w:rsidRDefault="003A2C3E" w:rsidP="005A7661">
            <w:pPr>
              <w:jc w:val="center"/>
              <w:rPr>
                <w:rFonts w:eastAsia="Calibri" w:cstheme="minorHAnsi"/>
                <w:sz w:val="18"/>
                <w:szCs w:val="18"/>
              </w:rPr>
            </w:pPr>
            <w:r>
              <w:rPr>
                <w:rFonts w:eastAsia="Calibri" w:cstheme="minorHAnsi"/>
                <w:sz w:val="18"/>
                <w:szCs w:val="18"/>
              </w:rPr>
              <w:t>2,3</w:t>
            </w:r>
          </w:p>
        </w:tc>
        <w:tc>
          <w:tcPr>
            <w:tcW w:w="205" w:type="pct"/>
            <w:tcBorders>
              <w:top w:val="single" w:sz="4" w:space="0" w:color="auto"/>
              <w:left w:val="nil"/>
              <w:bottom w:val="single" w:sz="4" w:space="0" w:color="auto"/>
              <w:right w:val="single" w:sz="4" w:space="0" w:color="auto"/>
            </w:tcBorders>
            <w:noWrap/>
            <w:vAlign w:val="center"/>
          </w:tcPr>
          <w:p w14:paraId="0CA0C60C" w14:textId="77777777" w:rsidR="003A2C3E" w:rsidRPr="00B77FC1" w:rsidRDefault="003A2C3E" w:rsidP="005A7661">
            <w:pPr>
              <w:jc w:val="center"/>
              <w:rPr>
                <w:rFonts w:eastAsia="Calibri" w:cstheme="minorHAnsi"/>
                <w:sz w:val="18"/>
                <w:szCs w:val="18"/>
              </w:rPr>
            </w:pPr>
            <w:r>
              <w:rPr>
                <w:rFonts w:eastAsia="Calibri" w:cstheme="minorHAnsi"/>
                <w:sz w:val="18"/>
                <w:szCs w:val="18"/>
              </w:rPr>
              <w:t>60,1</w:t>
            </w:r>
          </w:p>
        </w:tc>
        <w:tc>
          <w:tcPr>
            <w:tcW w:w="205" w:type="pct"/>
            <w:tcBorders>
              <w:top w:val="single" w:sz="4" w:space="0" w:color="auto"/>
              <w:left w:val="nil"/>
              <w:bottom w:val="single" w:sz="4" w:space="0" w:color="auto"/>
              <w:right w:val="single" w:sz="4" w:space="0" w:color="auto"/>
            </w:tcBorders>
            <w:noWrap/>
            <w:vAlign w:val="center"/>
          </w:tcPr>
          <w:p w14:paraId="0EDA775B" w14:textId="77777777" w:rsidR="003A2C3E" w:rsidRPr="00B77FC1" w:rsidRDefault="003A2C3E" w:rsidP="005A7661">
            <w:pPr>
              <w:jc w:val="center"/>
              <w:rPr>
                <w:rFonts w:eastAsia="Calibri" w:cstheme="minorHAnsi"/>
                <w:sz w:val="18"/>
                <w:szCs w:val="18"/>
              </w:rPr>
            </w:pPr>
            <w:r>
              <w:rPr>
                <w:rFonts w:eastAsia="Calibri" w:cstheme="minorHAnsi"/>
                <w:sz w:val="18"/>
                <w:szCs w:val="18"/>
              </w:rPr>
              <w:t>13,1</w:t>
            </w:r>
          </w:p>
        </w:tc>
        <w:tc>
          <w:tcPr>
            <w:tcW w:w="322" w:type="pct"/>
            <w:tcBorders>
              <w:top w:val="single" w:sz="4" w:space="0" w:color="auto"/>
              <w:left w:val="nil"/>
              <w:bottom w:val="single" w:sz="4" w:space="0" w:color="auto"/>
              <w:right w:val="single" w:sz="4" w:space="0" w:color="auto"/>
            </w:tcBorders>
            <w:noWrap/>
            <w:vAlign w:val="center"/>
          </w:tcPr>
          <w:p w14:paraId="6E218BFD" w14:textId="77777777" w:rsidR="003A2C3E" w:rsidRPr="00B77FC1" w:rsidRDefault="003A2C3E" w:rsidP="005A7661">
            <w:pPr>
              <w:jc w:val="center"/>
              <w:rPr>
                <w:rFonts w:eastAsia="Calibri" w:cstheme="minorHAnsi"/>
                <w:sz w:val="18"/>
                <w:szCs w:val="18"/>
              </w:rPr>
            </w:pPr>
            <w:r>
              <w:rPr>
                <w:rFonts w:eastAsia="Calibri" w:cstheme="minorHAnsi"/>
                <w:sz w:val="18"/>
                <w:szCs w:val="18"/>
              </w:rPr>
              <w:t>44,2</w:t>
            </w:r>
          </w:p>
        </w:tc>
        <w:tc>
          <w:tcPr>
            <w:tcW w:w="269" w:type="pct"/>
            <w:tcBorders>
              <w:top w:val="single" w:sz="4" w:space="0" w:color="auto"/>
              <w:left w:val="nil"/>
              <w:bottom w:val="single" w:sz="4" w:space="0" w:color="auto"/>
              <w:right w:val="single" w:sz="4" w:space="0" w:color="auto"/>
            </w:tcBorders>
            <w:noWrap/>
            <w:vAlign w:val="center"/>
          </w:tcPr>
          <w:p w14:paraId="18045004" w14:textId="77777777" w:rsidR="003A2C3E" w:rsidRPr="00B77FC1" w:rsidRDefault="003A2C3E" w:rsidP="005A7661">
            <w:pPr>
              <w:jc w:val="center"/>
              <w:rPr>
                <w:rFonts w:eastAsia="Calibri" w:cstheme="minorHAnsi"/>
                <w:sz w:val="18"/>
                <w:szCs w:val="18"/>
              </w:rPr>
            </w:pPr>
            <w:r>
              <w:rPr>
                <w:rFonts w:eastAsia="Calibri" w:cstheme="minorHAnsi"/>
                <w:sz w:val="18"/>
                <w:szCs w:val="18"/>
              </w:rPr>
              <w:t>19,4</w:t>
            </w:r>
          </w:p>
        </w:tc>
        <w:tc>
          <w:tcPr>
            <w:tcW w:w="279" w:type="pct"/>
            <w:tcBorders>
              <w:top w:val="single" w:sz="4" w:space="0" w:color="auto"/>
              <w:left w:val="nil"/>
              <w:bottom w:val="single" w:sz="4" w:space="0" w:color="auto"/>
              <w:right w:val="single" w:sz="4" w:space="0" w:color="auto"/>
            </w:tcBorders>
            <w:noWrap/>
            <w:vAlign w:val="center"/>
          </w:tcPr>
          <w:p w14:paraId="787E5A87" w14:textId="77777777" w:rsidR="003A2C3E" w:rsidRPr="00B77FC1" w:rsidRDefault="003A2C3E" w:rsidP="005A7661">
            <w:pPr>
              <w:jc w:val="center"/>
              <w:rPr>
                <w:rFonts w:eastAsia="Calibri" w:cstheme="minorHAnsi"/>
                <w:sz w:val="18"/>
                <w:szCs w:val="18"/>
              </w:rPr>
            </w:pPr>
            <w:r>
              <w:rPr>
                <w:rFonts w:eastAsia="Calibri" w:cstheme="minorHAnsi"/>
                <w:sz w:val="18"/>
                <w:szCs w:val="18"/>
              </w:rPr>
              <w:t>3,3</w:t>
            </w:r>
          </w:p>
        </w:tc>
        <w:tc>
          <w:tcPr>
            <w:tcW w:w="304" w:type="pct"/>
            <w:tcBorders>
              <w:top w:val="single" w:sz="4" w:space="0" w:color="auto"/>
              <w:left w:val="nil"/>
              <w:bottom w:val="single" w:sz="4" w:space="0" w:color="auto"/>
              <w:right w:val="single" w:sz="4" w:space="0" w:color="auto"/>
            </w:tcBorders>
            <w:noWrap/>
            <w:vAlign w:val="center"/>
          </w:tcPr>
          <w:p w14:paraId="2263EC46" w14:textId="77777777" w:rsidR="003A2C3E" w:rsidRPr="00B77FC1" w:rsidRDefault="003A2C3E" w:rsidP="005A7661">
            <w:pPr>
              <w:jc w:val="center"/>
              <w:rPr>
                <w:rFonts w:eastAsia="Calibri" w:cstheme="minorHAnsi"/>
                <w:sz w:val="18"/>
                <w:szCs w:val="18"/>
              </w:rPr>
            </w:pPr>
            <w:r>
              <w:rPr>
                <w:rFonts w:eastAsia="Calibri" w:cstheme="minorHAnsi"/>
                <w:sz w:val="18"/>
                <w:szCs w:val="18"/>
              </w:rPr>
              <w:t>24,5</w:t>
            </w:r>
          </w:p>
        </w:tc>
        <w:tc>
          <w:tcPr>
            <w:tcW w:w="269" w:type="pct"/>
            <w:tcBorders>
              <w:top w:val="single" w:sz="4" w:space="0" w:color="auto"/>
              <w:left w:val="nil"/>
              <w:bottom w:val="single" w:sz="4" w:space="0" w:color="auto"/>
              <w:right w:val="single" w:sz="4" w:space="0" w:color="auto"/>
            </w:tcBorders>
            <w:noWrap/>
            <w:vAlign w:val="center"/>
          </w:tcPr>
          <w:p w14:paraId="6E6BFD63" w14:textId="77777777" w:rsidR="003A2C3E" w:rsidRPr="00B77FC1" w:rsidRDefault="003A2C3E" w:rsidP="005A7661">
            <w:pPr>
              <w:jc w:val="center"/>
              <w:rPr>
                <w:rFonts w:eastAsia="Calibri" w:cstheme="minorHAnsi"/>
                <w:sz w:val="18"/>
                <w:szCs w:val="18"/>
              </w:rPr>
            </w:pPr>
            <w:r>
              <w:rPr>
                <w:rFonts w:eastAsia="Calibri" w:cstheme="minorHAnsi"/>
                <w:sz w:val="18"/>
                <w:szCs w:val="18"/>
              </w:rPr>
              <w:t>64,8</w:t>
            </w:r>
          </w:p>
        </w:tc>
        <w:tc>
          <w:tcPr>
            <w:tcW w:w="296" w:type="pct"/>
            <w:tcBorders>
              <w:top w:val="single" w:sz="4" w:space="0" w:color="auto"/>
              <w:left w:val="nil"/>
              <w:bottom w:val="single" w:sz="4" w:space="0" w:color="auto"/>
              <w:right w:val="single" w:sz="4" w:space="0" w:color="auto"/>
            </w:tcBorders>
            <w:noWrap/>
            <w:vAlign w:val="center"/>
          </w:tcPr>
          <w:p w14:paraId="3FE4B580" w14:textId="77777777" w:rsidR="003A2C3E" w:rsidRPr="00B77FC1" w:rsidRDefault="003A2C3E" w:rsidP="005A7661">
            <w:pPr>
              <w:jc w:val="center"/>
              <w:rPr>
                <w:rFonts w:eastAsia="Calibri" w:cstheme="minorHAnsi"/>
                <w:sz w:val="18"/>
                <w:szCs w:val="18"/>
              </w:rPr>
            </w:pPr>
            <w:r>
              <w:rPr>
                <w:rFonts w:eastAsia="Calibri" w:cstheme="minorHAnsi"/>
                <w:sz w:val="18"/>
                <w:szCs w:val="18"/>
              </w:rPr>
              <w:t>0,7</w:t>
            </w:r>
          </w:p>
        </w:tc>
        <w:tc>
          <w:tcPr>
            <w:tcW w:w="239" w:type="pct"/>
            <w:tcBorders>
              <w:top w:val="single" w:sz="4" w:space="0" w:color="auto"/>
              <w:left w:val="nil"/>
              <w:bottom w:val="single" w:sz="4" w:space="0" w:color="auto"/>
              <w:right w:val="single" w:sz="4" w:space="0" w:color="auto"/>
            </w:tcBorders>
            <w:noWrap/>
            <w:vAlign w:val="center"/>
          </w:tcPr>
          <w:p w14:paraId="4413D720" w14:textId="77777777" w:rsidR="003A2C3E" w:rsidRPr="00B77FC1" w:rsidRDefault="003A2C3E" w:rsidP="005A7661">
            <w:pPr>
              <w:jc w:val="center"/>
              <w:rPr>
                <w:rFonts w:eastAsia="Calibri" w:cstheme="minorHAnsi"/>
                <w:sz w:val="18"/>
                <w:szCs w:val="18"/>
              </w:rPr>
            </w:pPr>
            <w:r>
              <w:rPr>
                <w:rFonts w:eastAsia="Calibri" w:cstheme="minorHAnsi"/>
                <w:sz w:val="18"/>
                <w:szCs w:val="18"/>
              </w:rPr>
              <w:t>1,3</w:t>
            </w:r>
          </w:p>
        </w:tc>
        <w:tc>
          <w:tcPr>
            <w:tcW w:w="322" w:type="pct"/>
            <w:tcBorders>
              <w:top w:val="single" w:sz="4" w:space="0" w:color="auto"/>
              <w:left w:val="nil"/>
              <w:bottom w:val="single" w:sz="4" w:space="0" w:color="auto"/>
              <w:right w:val="single" w:sz="4" w:space="0" w:color="auto"/>
            </w:tcBorders>
            <w:noWrap/>
            <w:vAlign w:val="center"/>
          </w:tcPr>
          <w:p w14:paraId="4830C87B" w14:textId="77777777" w:rsidR="003A2C3E" w:rsidRPr="00B77FC1" w:rsidRDefault="003A2C3E" w:rsidP="005A7661">
            <w:pPr>
              <w:jc w:val="center"/>
              <w:rPr>
                <w:rFonts w:eastAsia="Calibri" w:cstheme="minorHAnsi"/>
                <w:sz w:val="18"/>
                <w:szCs w:val="18"/>
              </w:rPr>
            </w:pPr>
            <w:r>
              <w:rPr>
                <w:rFonts w:eastAsia="Calibri" w:cstheme="minorHAnsi"/>
                <w:sz w:val="18"/>
                <w:szCs w:val="18"/>
              </w:rPr>
              <w:t>2,2</w:t>
            </w:r>
          </w:p>
        </w:tc>
      </w:tr>
      <w:tr w:rsidR="003A2C3E" w:rsidRPr="00B77FC1" w14:paraId="7808539D" w14:textId="77777777" w:rsidTr="005A7661">
        <w:trPr>
          <w:trHeight w:val="228"/>
        </w:trPr>
        <w:tc>
          <w:tcPr>
            <w:tcW w:w="763" w:type="pct"/>
            <w:tcBorders>
              <w:top w:val="single" w:sz="4" w:space="0" w:color="auto"/>
              <w:left w:val="single" w:sz="4" w:space="0" w:color="auto"/>
              <w:bottom w:val="single" w:sz="4" w:space="0" w:color="auto"/>
              <w:right w:val="single" w:sz="4" w:space="0" w:color="auto"/>
            </w:tcBorders>
            <w:shd w:val="clear" w:color="auto" w:fill="0028A8"/>
          </w:tcPr>
          <w:p w14:paraId="056AC79D" w14:textId="77777777" w:rsidR="003A2C3E" w:rsidRPr="00B77FC1" w:rsidRDefault="003A2C3E" w:rsidP="005A7661">
            <w:pPr>
              <w:rPr>
                <w:rFonts w:eastAsia="Calibri" w:cstheme="minorHAnsi"/>
                <w:color w:val="000000"/>
                <w:sz w:val="18"/>
                <w:szCs w:val="18"/>
                <w:highlight w:val="yellow"/>
              </w:rPr>
            </w:pPr>
            <w:r w:rsidRPr="00B77FC1">
              <w:rPr>
                <w:rFonts w:cstheme="minorHAnsi"/>
                <w:sz w:val="18"/>
                <w:szCs w:val="18"/>
              </w:rPr>
              <w:t>Marrakech-</w:t>
            </w:r>
            <w:r>
              <w:rPr>
                <w:rFonts w:cstheme="minorHAnsi"/>
                <w:sz w:val="18"/>
                <w:szCs w:val="18"/>
              </w:rPr>
              <w:t>Ménara</w:t>
            </w:r>
            <w:r w:rsidRPr="00B77FC1">
              <w:rPr>
                <w:rFonts w:cstheme="minorHAnsi"/>
                <w:sz w:val="18"/>
                <w:szCs w:val="18"/>
              </w:rPr>
              <w:t xml:space="preserve"> </w:t>
            </w:r>
          </w:p>
        </w:tc>
        <w:tc>
          <w:tcPr>
            <w:tcW w:w="299" w:type="pct"/>
            <w:tcBorders>
              <w:top w:val="single" w:sz="4" w:space="0" w:color="auto"/>
              <w:left w:val="nil"/>
              <w:bottom w:val="single" w:sz="4" w:space="0" w:color="auto"/>
              <w:right w:val="single" w:sz="4" w:space="0" w:color="auto"/>
            </w:tcBorders>
            <w:noWrap/>
            <w:vAlign w:val="center"/>
          </w:tcPr>
          <w:p w14:paraId="6C787B9E" w14:textId="77777777" w:rsidR="003A2C3E" w:rsidRPr="00B77FC1" w:rsidRDefault="003A2C3E" w:rsidP="005A7661">
            <w:pPr>
              <w:jc w:val="center"/>
              <w:rPr>
                <w:rFonts w:cstheme="minorHAnsi"/>
                <w:sz w:val="18"/>
                <w:szCs w:val="18"/>
              </w:rPr>
            </w:pPr>
            <w:r>
              <w:rPr>
                <w:rFonts w:cstheme="minorHAnsi"/>
                <w:sz w:val="18"/>
                <w:szCs w:val="18"/>
              </w:rPr>
              <w:t>519 433</w:t>
            </w:r>
          </w:p>
        </w:tc>
        <w:tc>
          <w:tcPr>
            <w:tcW w:w="298" w:type="pct"/>
            <w:tcBorders>
              <w:top w:val="single" w:sz="4" w:space="0" w:color="auto"/>
              <w:left w:val="nil"/>
              <w:bottom w:val="single" w:sz="4" w:space="0" w:color="auto"/>
              <w:right w:val="single" w:sz="4" w:space="0" w:color="auto"/>
            </w:tcBorders>
            <w:noWrap/>
            <w:vAlign w:val="center"/>
          </w:tcPr>
          <w:p w14:paraId="652B5555" w14:textId="77777777" w:rsidR="003A2C3E" w:rsidRPr="00B77FC1" w:rsidRDefault="003A2C3E" w:rsidP="005A7661">
            <w:pPr>
              <w:jc w:val="center"/>
              <w:rPr>
                <w:rFonts w:cstheme="minorHAnsi"/>
                <w:sz w:val="18"/>
                <w:szCs w:val="18"/>
              </w:rPr>
            </w:pPr>
            <w:r>
              <w:rPr>
                <w:rFonts w:cstheme="minorHAnsi"/>
                <w:sz w:val="18"/>
                <w:szCs w:val="18"/>
              </w:rPr>
              <w:t>24,9</w:t>
            </w:r>
          </w:p>
        </w:tc>
        <w:tc>
          <w:tcPr>
            <w:tcW w:w="315" w:type="pct"/>
            <w:tcBorders>
              <w:top w:val="single" w:sz="4" w:space="0" w:color="auto"/>
              <w:left w:val="nil"/>
              <w:bottom w:val="single" w:sz="4" w:space="0" w:color="auto"/>
              <w:right w:val="single" w:sz="4" w:space="0" w:color="auto"/>
            </w:tcBorders>
            <w:noWrap/>
            <w:vAlign w:val="center"/>
          </w:tcPr>
          <w:p w14:paraId="4A757E50" w14:textId="77777777" w:rsidR="003A2C3E" w:rsidRPr="00B77FC1" w:rsidRDefault="003A2C3E" w:rsidP="005A7661">
            <w:pPr>
              <w:jc w:val="center"/>
              <w:rPr>
                <w:rFonts w:cstheme="minorHAnsi"/>
                <w:sz w:val="18"/>
                <w:szCs w:val="18"/>
              </w:rPr>
            </w:pPr>
            <w:r>
              <w:rPr>
                <w:rFonts w:cstheme="minorHAnsi"/>
                <w:sz w:val="18"/>
                <w:szCs w:val="18"/>
              </w:rPr>
              <w:t>61,9</w:t>
            </w:r>
          </w:p>
        </w:tc>
        <w:tc>
          <w:tcPr>
            <w:tcW w:w="205" w:type="pct"/>
            <w:tcBorders>
              <w:top w:val="single" w:sz="4" w:space="0" w:color="auto"/>
              <w:left w:val="nil"/>
              <w:bottom w:val="single" w:sz="4" w:space="0" w:color="auto"/>
              <w:right w:val="single" w:sz="4" w:space="0" w:color="auto"/>
            </w:tcBorders>
            <w:noWrap/>
            <w:vAlign w:val="center"/>
          </w:tcPr>
          <w:p w14:paraId="187B9423" w14:textId="77777777" w:rsidR="003A2C3E" w:rsidRPr="00B77FC1" w:rsidRDefault="003A2C3E" w:rsidP="005A7661">
            <w:pPr>
              <w:jc w:val="center"/>
              <w:rPr>
                <w:rFonts w:cstheme="minorHAnsi"/>
                <w:sz w:val="18"/>
                <w:szCs w:val="18"/>
              </w:rPr>
            </w:pPr>
            <w:r>
              <w:rPr>
                <w:rFonts w:cstheme="minorHAnsi"/>
                <w:sz w:val="18"/>
                <w:szCs w:val="18"/>
              </w:rPr>
              <w:t>13,2</w:t>
            </w:r>
          </w:p>
        </w:tc>
        <w:tc>
          <w:tcPr>
            <w:tcW w:w="205" w:type="pct"/>
            <w:tcBorders>
              <w:top w:val="single" w:sz="4" w:space="0" w:color="auto"/>
              <w:left w:val="nil"/>
              <w:bottom w:val="single" w:sz="4" w:space="0" w:color="auto"/>
              <w:right w:val="single" w:sz="4" w:space="0" w:color="auto"/>
            </w:tcBorders>
            <w:noWrap/>
            <w:vAlign w:val="center"/>
          </w:tcPr>
          <w:p w14:paraId="57EECAB8" w14:textId="77777777" w:rsidR="003A2C3E" w:rsidRPr="00B77FC1" w:rsidRDefault="003A2C3E" w:rsidP="005A7661">
            <w:pPr>
              <w:jc w:val="center"/>
              <w:rPr>
                <w:rFonts w:cstheme="minorHAnsi"/>
                <w:sz w:val="18"/>
                <w:szCs w:val="18"/>
              </w:rPr>
            </w:pPr>
            <w:r>
              <w:rPr>
                <w:rFonts w:cstheme="minorHAnsi"/>
                <w:sz w:val="18"/>
                <w:szCs w:val="18"/>
              </w:rPr>
              <w:t>11,9</w:t>
            </w:r>
          </w:p>
        </w:tc>
        <w:tc>
          <w:tcPr>
            <w:tcW w:w="205" w:type="pct"/>
            <w:tcBorders>
              <w:top w:val="single" w:sz="4" w:space="0" w:color="auto"/>
              <w:left w:val="nil"/>
              <w:bottom w:val="single" w:sz="4" w:space="0" w:color="auto"/>
              <w:right w:val="single" w:sz="4" w:space="0" w:color="auto"/>
            </w:tcBorders>
            <w:noWrap/>
            <w:vAlign w:val="center"/>
          </w:tcPr>
          <w:p w14:paraId="7EE3E409" w14:textId="77777777" w:rsidR="003A2C3E" w:rsidRPr="00B77FC1" w:rsidRDefault="003A2C3E" w:rsidP="005A7661">
            <w:pPr>
              <w:jc w:val="center"/>
              <w:rPr>
                <w:rFonts w:cstheme="minorHAnsi"/>
                <w:sz w:val="18"/>
                <w:szCs w:val="18"/>
              </w:rPr>
            </w:pPr>
            <w:r>
              <w:rPr>
                <w:rFonts w:cstheme="minorHAnsi"/>
                <w:sz w:val="18"/>
                <w:szCs w:val="18"/>
              </w:rPr>
              <w:t>2,4</w:t>
            </w:r>
          </w:p>
        </w:tc>
        <w:tc>
          <w:tcPr>
            <w:tcW w:w="205" w:type="pct"/>
            <w:tcBorders>
              <w:top w:val="single" w:sz="4" w:space="0" w:color="auto"/>
              <w:left w:val="nil"/>
              <w:bottom w:val="single" w:sz="4" w:space="0" w:color="auto"/>
              <w:right w:val="single" w:sz="4" w:space="0" w:color="auto"/>
            </w:tcBorders>
            <w:noWrap/>
            <w:vAlign w:val="center"/>
          </w:tcPr>
          <w:p w14:paraId="07B01C64" w14:textId="77777777" w:rsidR="003A2C3E" w:rsidRPr="00B77FC1" w:rsidRDefault="003A2C3E" w:rsidP="005A7661">
            <w:pPr>
              <w:jc w:val="center"/>
              <w:rPr>
                <w:rFonts w:cstheme="minorHAnsi"/>
                <w:sz w:val="18"/>
                <w:szCs w:val="18"/>
              </w:rPr>
            </w:pPr>
            <w:r>
              <w:rPr>
                <w:rFonts w:cstheme="minorHAnsi"/>
                <w:sz w:val="18"/>
                <w:szCs w:val="18"/>
              </w:rPr>
              <w:t>61,6</w:t>
            </w:r>
          </w:p>
        </w:tc>
        <w:tc>
          <w:tcPr>
            <w:tcW w:w="205" w:type="pct"/>
            <w:tcBorders>
              <w:top w:val="single" w:sz="4" w:space="0" w:color="auto"/>
              <w:left w:val="nil"/>
              <w:bottom w:val="single" w:sz="4" w:space="0" w:color="auto"/>
              <w:right w:val="single" w:sz="4" w:space="0" w:color="auto"/>
            </w:tcBorders>
            <w:noWrap/>
            <w:vAlign w:val="center"/>
          </w:tcPr>
          <w:p w14:paraId="0A3DEA32" w14:textId="77777777" w:rsidR="003A2C3E" w:rsidRPr="00B77FC1" w:rsidRDefault="003A2C3E" w:rsidP="005A7661">
            <w:pPr>
              <w:jc w:val="center"/>
              <w:rPr>
                <w:rFonts w:cstheme="minorHAnsi"/>
                <w:sz w:val="18"/>
                <w:szCs w:val="18"/>
              </w:rPr>
            </w:pPr>
            <w:r>
              <w:rPr>
                <w:rFonts w:cstheme="minorHAnsi"/>
                <w:sz w:val="18"/>
                <w:szCs w:val="18"/>
              </w:rPr>
              <w:t>16,5</w:t>
            </w:r>
          </w:p>
        </w:tc>
        <w:tc>
          <w:tcPr>
            <w:tcW w:w="322" w:type="pct"/>
            <w:tcBorders>
              <w:top w:val="single" w:sz="4" w:space="0" w:color="auto"/>
              <w:left w:val="nil"/>
              <w:bottom w:val="single" w:sz="4" w:space="0" w:color="auto"/>
              <w:right w:val="single" w:sz="4" w:space="0" w:color="auto"/>
            </w:tcBorders>
            <w:noWrap/>
            <w:vAlign w:val="center"/>
          </w:tcPr>
          <w:p w14:paraId="044E26AE" w14:textId="77777777" w:rsidR="003A2C3E" w:rsidRPr="00B77FC1" w:rsidRDefault="003A2C3E" w:rsidP="005A7661">
            <w:pPr>
              <w:jc w:val="center"/>
              <w:rPr>
                <w:rFonts w:cstheme="minorHAnsi"/>
                <w:sz w:val="18"/>
                <w:szCs w:val="18"/>
              </w:rPr>
            </w:pPr>
            <w:r>
              <w:rPr>
                <w:rFonts w:cstheme="minorHAnsi"/>
                <w:sz w:val="18"/>
                <w:szCs w:val="18"/>
              </w:rPr>
              <w:t>44,4</w:t>
            </w:r>
          </w:p>
        </w:tc>
        <w:tc>
          <w:tcPr>
            <w:tcW w:w="269" w:type="pct"/>
            <w:tcBorders>
              <w:top w:val="single" w:sz="4" w:space="0" w:color="auto"/>
              <w:left w:val="nil"/>
              <w:bottom w:val="single" w:sz="4" w:space="0" w:color="auto"/>
              <w:right w:val="single" w:sz="4" w:space="0" w:color="auto"/>
            </w:tcBorders>
            <w:noWrap/>
            <w:vAlign w:val="center"/>
          </w:tcPr>
          <w:p w14:paraId="452EA2A0" w14:textId="77777777" w:rsidR="003A2C3E" w:rsidRPr="00B77FC1" w:rsidRDefault="003A2C3E" w:rsidP="005A7661">
            <w:pPr>
              <w:jc w:val="center"/>
              <w:rPr>
                <w:rFonts w:cstheme="minorHAnsi"/>
                <w:sz w:val="18"/>
                <w:szCs w:val="18"/>
              </w:rPr>
            </w:pPr>
            <w:r>
              <w:rPr>
                <w:rFonts w:cstheme="minorHAnsi"/>
                <w:sz w:val="18"/>
                <w:szCs w:val="18"/>
              </w:rPr>
              <w:t>18,3</w:t>
            </w:r>
          </w:p>
        </w:tc>
        <w:tc>
          <w:tcPr>
            <w:tcW w:w="279" w:type="pct"/>
            <w:tcBorders>
              <w:top w:val="single" w:sz="4" w:space="0" w:color="auto"/>
              <w:left w:val="nil"/>
              <w:bottom w:val="single" w:sz="4" w:space="0" w:color="auto"/>
              <w:right w:val="single" w:sz="4" w:space="0" w:color="auto"/>
            </w:tcBorders>
            <w:noWrap/>
            <w:vAlign w:val="center"/>
          </w:tcPr>
          <w:p w14:paraId="29219D8E" w14:textId="77777777" w:rsidR="003A2C3E" w:rsidRPr="00B77FC1" w:rsidRDefault="003A2C3E" w:rsidP="005A7661">
            <w:pPr>
              <w:jc w:val="center"/>
              <w:rPr>
                <w:rFonts w:cstheme="minorHAnsi"/>
                <w:sz w:val="18"/>
                <w:szCs w:val="18"/>
              </w:rPr>
            </w:pPr>
            <w:r>
              <w:rPr>
                <w:rFonts w:cstheme="minorHAnsi"/>
                <w:sz w:val="18"/>
                <w:szCs w:val="18"/>
              </w:rPr>
              <w:t>3,7</w:t>
            </w:r>
          </w:p>
        </w:tc>
        <w:tc>
          <w:tcPr>
            <w:tcW w:w="304" w:type="pct"/>
            <w:tcBorders>
              <w:top w:val="single" w:sz="4" w:space="0" w:color="auto"/>
              <w:left w:val="nil"/>
              <w:bottom w:val="single" w:sz="4" w:space="0" w:color="auto"/>
              <w:right w:val="single" w:sz="4" w:space="0" w:color="auto"/>
            </w:tcBorders>
            <w:noWrap/>
            <w:vAlign w:val="center"/>
          </w:tcPr>
          <w:p w14:paraId="09A62ABA" w14:textId="77777777" w:rsidR="003A2C3E" w:rsidRPr="00B77FC1" w:rsidRDefault="003A2C3E" w:rsidP="005A7661">
            <w:pPr>
              <w:jc w:val="center"/>
              <w:rPr>
                <w:rFonts w:cstheme="minorHAnsi"/>
                <w:sz w:val="18"/>
                <w:szCs w:val="18"/>
              </w:rPr>
            </w:pPr>
            <w:r>
              <w:rPr>
                <w:rFonts w:cstheme="minorHAnsi"/>
                <w:sz w:val="18"/>
                <w:szCs w:val="18"/>
              </w:rPr>
              <w:t>21</w:t>
            </w:r>
          </w:p>
        </w:tc>
        <w:tc>
          <w:tcPr>
            <w:tcW w:w="269" w:type="pct"/>
            <w:tcBorders>
              <w:top w:val="single" w:sz="4" w:space="0" w:color="auto"/>
              <w:left w:val="nil"/>
              <w:bottom w:val="single" w:sz="4" w:space="0" w:color="auto"/>
              <w:right w:val="single" w:sz="4" w:space="0" w:color="auto"/>
            </w:tcBorders>
            <w:noWrap/>
            <w:vAlign w:val="center"/>
          </w:tcPr>
          <w:p w14:paraId="46C1E8C1" w14:textId="77777777" w:rsidR="003A2C3E" w:rsidRPr="00B77FC1" w:rsidRDefault="003A2C3E" w:rsidP="005A7661">
            <w:pPr>
              <w:jc w:val="center"/>
              <w:rPr>
                <w:rFonts w:cstheme="minorHAnsi"/>
                <w:sz w:val="18"/>
                <w:szCs w:val="18"/>
              </w:rPr>
            </w:pPr>
            <w:r>
              <w:rPr>
                <w:rFonts w:cstheme="minorHAnsi"/>
                <w:sz w:val="18"/>
                <w:szCs w:val="18"/>
              </w:rPr>
              <w:t>68,7</w:t>
            </w:r>
          </w:p>
        </w:tc>
        <w:tc>
          <w:tcPr>
            <w:tcW w:w="296" w:type="pct"/>
            <w:tcBorders>
              <w:top w:val="single" w:sz="4" w:space="0" w:color="auto"/>
              <w:left w:val="nil"/>
              <w:bottom w:val="single" w:sz="4" w:space="0" w:color="auto"/>
              <w:right w:val="single" w:sz="4" w:space="0" w:color="auto"/>
            </w:tcBorders>
            <w:noWrap/>
            <w:vAlign w:val="center"/>
          </w:tcPr>
          <w:p w14:paraId="180AFD05" w14:textId="77777777" w:rsidR="003A2C3E" w:rsidRPr="00B77FC1" w:rsidRDefault="003A2C3E" w:rsidP="005A7661">
            <w:pPr>
              <w:jc w:val="center"/>
              <w:rPr>
                <w:rFonts w:cstheme="minorHAnsi"/>
                <w:sz w:val="18"/>
                <w:szCs w:val="18"/>
              </w:rPr>
            </w:pPr>
            <w:r>
              <w:rPr>
                <w:rFonts w:cstheme="minorHAnsi"/>
                <w:sz w:val="18"/>
                <w:szCs w:val="18"/>
              </w:rPr>
              <w:t>0,7</w:t>
            </w:r>
          </w:p>
        </w:tc>
        <w:tc>
          <w:tcPr>
            <w:tcW w:w="239" w:type="pct"/>
            <w:tcBorders>
              <w:top w:val="single" w:sz="4" w:space="0" w:color="auto"/>
              <w:left w:val="nil"/>
              <w:bottom w:val="single" w:sz="4" w:space="0" w:color="auto"/>
              <w:right w:val="single" w:sz="4" w:space="0" w:color="auto"/>
            </w:tcBorders>
            <w:noWrap/>
            <w:vAlign w:val="center"/>
          </w:tcPr>
          <w:p w14:paraId="78997889" w14:textId="77777777" w:rsidR="003A2C3E" w:rsidRPr="00B77FC1" w:rsidRDefault="003A2C3E" w:rsidP="005A7661">
            <w:pPr>
              <w:jc w:val="center"/>
              <w:rPr>
                <w:rFonts w:cstheme="minorHAnsi"/>
                <w:sz w:val="18"/>
                <w:szCs w:val="18"/>
              </w:rPr>
            </w:pPr>
            <w:r>
              <w:rPr>
                <w:rFonts w:cstheme="minorHAnsi"/>
                <w:sz w:val="18"/>
                <w:szCs w:val="18"/>
              </w:rPr>
              <w:t>1</w:t>
            </w:r>
          </w:p>
        </w:tc>
        <w:tc>
          <w:tcPr>
            <w:tcW w:w="322" w:type="pct"/>
            <w:tcBorders>
              <w:top w:val="single" w:sz="4" w:space="0" w:color="auto"/>
              <w:left w:val="nil"/>
              <w:bottom w:val="single" w:sz="4" w:space="0" w:color="auto"/>
              <w:right w:val="single" w:sz="4" w:space="0" w:color="auto"/>
            </w:tcBorders>
            <w:noWrap/>
            <w:vAlign w:val="center"/>
          </w:tcPr>
          <w:p w14:paraId="32B22A2A" w14:textId="77777777" w:rsidR="003A2C3E" w:rsidRPr="00B77FC1" w:rsidRDefault="003A2C3E" w:rsidP="005A7661">
            <w:pPr>
              <w:jc w:val="center"/>
              <w:rPr>
                <w:rFonts w:cstheme="minorHAnsi"/>
                <w:sz w:val="18"/>
                <w:szCs w:val="18"/>
              </w:rPr>
            </w:pPr>
            <w:r>
              <w:rPr>
                <w:rFonts w:cstheme="minorHAnsi"/>
                <w:sz w:val="18"/>
                <w:szCs w:val="18"/>
              </w:rPr>
              <w:t>2,4</w:t>
            </w:r>
          </w:p>
        </w:tc>
      </w:tr>
    </w:tbl>
    <w:p w14:paraId="0368016A" w14:textId="75A4FFDB" w:rsidR="003A2C3E" w:rsidRDefault="003A2C3E">
      <w:pPr>
        <w:spacing w:before="0" w:after="160" w:line="259" w:lineRule="auto"/>
        <w:jc w:val="left"/>
        <w:rPr>
          <w:lang w:eastAsia="fr-FR" w:bidi="ar-SA"/>
        </w:rPr>
        <w:sectPr w:rsidR="003A2C3E" w:rsidSect="004D75AC">
          <w:pgSz w:w="16838" w:h="11906" w:orient="landscape"/>
          <w:pgMar w:top="1418" w:right="1418" w:bottom="1418" w:left="1276" w:header="680" w:footer="680" w:gutter="0"/>
          <w:cols w:space="708"/>
          <w:docGrid w:linePitch="360"/>
        </w:sectPr>
      </w:pPr>
    </w:p>
    <w:p w14:paraId="4EF3D37B" w14:textId="63A16B46" w:rsidR="009510A2" w:rsidRDefault="008A570C" w:rsidP="003A2C3E">
      <w:pPr>
        <w:pStyle w:val="Title4"/>
      </w:pPr>
      <w:r w:rsidRPr="008A570C">
        <w:lastRenderedPageBreak/>
        <w:t>Situation matrimoniale et fécondité</w:t>
      </w:r>
    </w:p>
    <w:p w14:paraId="5AADFF93" w14:textId="3776233C" w:rsidR="003944A4" w:rsidRDefault="003944A4" w:rsidP="003944A4">
      <w:r>
        <w:t xml:space="preserve">La répartition des statuts matrimoniaux est similaire entre la </w:t>
      </w:r>
      <w:r w:rsidR="00361364">
        <w:t>préfecture</w:t>
      </w:r>
      <w:r>
        <w:t xml:space="preserve"> et la commune</w:t>
      </w:r>
      <w:r w:rsidR="00361364">
        <w:t xml:space="preserve"> urbaine</w:t>
      </w:r>
      <w:r>
        <w:t>.</w:t>
      </w:r>
    </w:p>
    <w:p w14:paraId="542244F8" w14:textId="3CC44687" w:rsidR="009510A2" w:rsidRDefault="00495C8B" w:rsidP="003944A4">
      <w:r w:rsidRPr="00495C8B">
        <w:t xml:space="preserve">La fécondité stabilisée à </w:t>
      </w:r>
      <w:r w:rsidR="00361364">
        <w:t>1,77</w:t>
      </w:r>
      <w:r w:rsidRPr="00495C8B">
        <w:t xml:space="preserve"> enfants par femme traduit un équilibre démographique propre aux zones urbaines</w:t>
      </w:r>
      <w:r w:rsidR="003944A4">
        <w:t>.</w:t>
      </w:r>
      <w:r>
        <w:t xml:space="preserve"> </w:t>
      </w:r>
      <w:r w:rsidR="003944A4">
        <w:t>Ces données confirment la tendance générale à la réduction de la taille des ménages et la consolidation du modèle de famille nucléaire.</w:t>
      </w:r>
    </w:p>
    <w:p w14:paraId="4AD168F3" w14:textId="77777777" w:rsidR="00721A15" w:rsidRDefault="00721A15" w:rsidP="004637C7">
      <w:pPr>
        <w:pStyle w:val="Lgende"/>
        <w:keepNext/>
      </w:pPr>
      <w:r>
        <w:br w:type="page"/>
      </w:r>
    </w:p>
    <w:p w14:paraId="477C26DD" w14:textId="4EF8E82A" w:rsidR="003944A4" w:rsidRDefault="003944A4" w:rsidP="004637C7">
      <w:pPr>
        <w:pStyle w:val="Lgende"/>
        <w:keepNext/>
      </w:pPr>
      <w:bookmarkStart w:id="321" w:name="_Toc213404353"/>
      <w:r>
        <w:lastRenderedPageBreak/>
        <w:t xml:space="preserve">Tableau </w:t>
      </w:r>
      <w:r>
        <w:fldChar w:fldCharType="begin"/>
      </w:r>
      <w:r>
        <w:instrText xml:space="preserve"> SEQ Tableau \* ARABIC </w:instrText>
      </w:r>
      <w:r>
        <w:fldChar w:fldCharType="separate"/>
      </w:r>
      <w:r w:rsidR="00274E71">
        <w:rPr>
          <w:noProof/>
        </w:rPr>
        <w:t>30</w:t>
      </w:r>
      <w:r>
        <w:fldChar w:fldCharType="end"/>
      </w:r>
      <w:r>
        <w:rPr>
          <w:lang w:val="fr-FR"/>
        </w:rPr>
        <w:t xml:space="preserve"> : </w:t>
      </w:r>
      <w:r w:rsidRPr="000A2C83">
        <w:rPr>
          <w:lang w:val="fr-FR"/>
        </w:rPr>
        <w:t>Statut matrimonial de la population adulte (RGPH 2024)</w:t>
      </w:r>
      <w:bookmarkEnd w:id="321"/>
    </w:p>
    <w:tbl>
      <w:tblPr>
        <w:tblStyle w:val="TableauGrille1Clair-Accentuation111"/>
        <w:tblW w:w="0" w:type="auto"/>
        <w:jc w:val="center"/>
        <w:tblLook w:val="04A0" w:firstRow="1" w:lastRow="0" w:firstColumn="1" w:lastColumn="0" w:noHBand="0" w:noVBand="1"/>
      </w:tblPr>
      <w:tblGrid>
        <w:gridCol w:w="2844"/>
        <w:gridCol w:w="1884"/>
      </w:tblGrid>
      <w:tr w:rsidR="00F07038" w:rsidRPr="003944A4" w14:paraId="2C640199" w14:textId="77777777" w:rsidTr="00721A15">
        <w:trPr>
          <w:cnfStyle w:val="100000000000" w:firstRow="1" w:lastRow="0" w:firstColumn="0" w:lastColumn="0" w:oddVBand="0" w:evenVBand="0" w:oddHBand="0" w:evenHBand="0" w:firstRowFirstColumn="0" w:firstRowLastColumn="0" w:lastRowFirstColumn="0" w:lastRowLastColumn="0"/>
          <w:tblHeader/>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5858CBEB" w14:textId="77777777" w:rsidR="00F07038" w:rsidRPr="003944A4" w:rsidRDefault="00F07038" w:rsidP="003944A4">
            <w:r w:rsidRPr="003944A4">
              <w:t>Statut matrimonial</w:t>
            </w:r>
          </w:p>
        </w:tc>
        <w:tc>
          <w:tcPr>
            <w:tcW w:w="0" w:type="auto"/>
            <w:hideMark/>
          </w:tcPr>
          <w:p w14:paraId="6193D202" w14:textId="1995E88C" w:rsidR="00F07038" w:rsidRPr="003944A4" w:rsidRDefault="00B9609D" w:rsidP="003944A4">
            <w:pPr>
              <w:cnfStyle w:val="100000000000" w:firstRow="1" w:lastRow="0" w:firstColumn="0" w:lastColumn="0" w:oddVBand="0" w:evenVBand="0" w:oddHBand="0" w:evenHBand="0" w:firstRowFirstColumn="0" w:firstRowLastColumn="0" w:lastRowFirstColumn="0" w:lastRowLastColumn="0"/>
            </w:pPr>
            <w:r>
              <w:t>Marrakech Ménara</w:t>
            </w:r>
          </w:p>
        </w:tc>
      </w:tr>
      <w:tr w:rsidR="00F07038" w:rsidRPr="003944A4" w14:paraId="01901472" w14:textId="77777777" w:rsidTr="00721A15">
        <w:trPr>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139E1583" w14:textId="77777777" w:rsidR="00F07038" w:rsidRPr="003944A4" w:rsidRDefault="00F07038" w:rsidP="003944A4">
            <w:r w:rsidRPr="003944A4">
              <w:t>Célibataires</w:t>
            </w:r>
          </w:p>
        </w:tc>
        <w:tc>
          <w:tcPr>
            <w:tcW w:w="0" w:type="auto"/>
            <w:hideMark/>
          </w:tcPr>
          <w:p w14:paraId="32AC0EA5" w14:textId="0D7EA940" w:rsidR="00F07038" w:rsidRPr="003944A4" w:rsidRDefault="006B62E6" w:rsidP="003944A4">
            <w:pPr>
              <w:cnfStyle w:val="000000000000" w:firstRow="0" w:lastRow="0" w:firstColumn="0" w:lastColumn="0" w:oddVBand="0" w:evenVBand="0" w:oddHBand="0" w:evenHBand="0" w:firstRowFirstColumn="0" w:firstRowLastColumn="0" w:lastRowFirstColumn="0" w:lastRowLastColumn="0"/>
            </w:pPr>
            <w:r>
              <w:t>34,2</w:t>
            </w:r>
            <w:r w:rsidR="00F07038" w:rsidRPr="003944A4">
              <w:t xml:space="preserve"> %</w:t>
            </w:r>
          </w:p>
        </w:tc>
      </w:tr>
      <w:tr w:rsidR="00F07038" w:rsidRPr="003944A4" w14:paraId="54F838F4" w14:textId="77777777" w:rsidTr="00721A15">
        <w:trPr>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0F6CFA9C" w14:textId="77777777" w:rsidR="00F07038" w:rsidRPr="003944A4" w:rsidRDefault="00F07038" w:rsidP="003944A4">
            <w:r w:rsidRPr="003944A4">
              <w:t>Mariés</w:t>
            </w:r>
          </w:p>
        </w:tc>
        <w:tc>
          <w:tcPr>
            <w:tcW w:w="0" w:type="auto"/>
            <w:hideMark/>
          </w:tcPr>
          <w:p w14:paraId="62D6F80E" w14:textId="54ABDD45" w:rsidR="00F07038" w:rsidRPr="003944A4" w:rsidRDefault="006B62E6" w:rsidP="003944A4">
            <w:pPr>
              <w:cnfStyle w:val="000000000000" w:firstRow="0" w:lastRow="0" w:firstColumn="0" w:lastColumn="0" w:oddVBand="0" w:evenVBand="0" w:oddHBand="0" w:evenHBand="0" w:firstRowFirstColumn="0" w:firstRowLastColumn="0" w:lastRowFirstColumn="0" w:lastRowLastColumn="0"/>
            </w:pPr>
            <w:r>
              <w:t>57,3</w:t>
            </w:r>
            <w:r w:rsidR="00F07038" w:rsidRPr="003944A4">
              <w:t xml:space="preserve"> %</w:t>
            </w:r>
          </w:p>
        </w:tc>
      </w:tr>
      <w:tr w:rsidR="00F07038" w:rsidRPr="003944A4" w14:paraId="3946DA07" w14:textId="77777777" w:rsidTr="00721A15">
        <w:trPr>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51ADDAFC" w14:textId="77777777" w:rsidR="00F07038" w:rsidRPr="003944A4" w:rsidRDefault="00F07038" w:rsidP="003944A4">
            <w:r w:rsidRPr="003944A4">
              <w:t>Veufs/veuves</w:t>
            </w:r>
          </w:p>
        </w:tc>
        <w:tc>
          <w:tcPr>
            <w:tcW w:w="0" w:type="auto"/>
            <w:hideMark/>
          </w:tcPr>
          <w:p w14:paraId="15B6C712" w14:textId="447C6ED8" w:rsidR="00F07038" w:rsidRPr="003944A4" w:rsidRDefault="00F07038" w:rsidP="003944A4">
            <w:pPr>
              <w:cnfStyle w:val="000000000000" w:firstRow="0" w:lastRow="0" w:firstColumn="0" w:lastColumn="0" w:oddVBand="0" w:evenVBand="0" w:oddHBand="0" w:evenHBand="0" w:firstRowFirstColumn="0" w:firstRowLastColumn="0" w:lastRowFirstColumn="0" w:lastRowLastColumn="0"/>
            </w:pPr>
            <w:r w:rsidRPr="003944A4">
              <w:t xml:space="preserve"> </w:t>
            </w:r>
            <w:r w:rsidR="006B62E6">
              <w:t xml:space="preserve">4,6 </w:t>
            </w:r>
            <w:r w:rsidRPr="003944A4">
              <w:t>%</w:t>
            </w:r>
          </w:p>
        </w:tc>
      </w:tr>
      <w:tr w:rsidR="00F07038" w:rsidRPr="003944A4" w14:paraId="496B5FE3" w14:textId="77777777" w:rsidTr="00721A15">
        <w:trPr>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6E271190" w14:textId="77777777" w:rsidR="00F07038" w:rsidRPr="003944A4" w:rsidRDefault="00F07038" w:rsidP="003944A4">
            <w:r w:rsidRPr="003944A4">
              <w:t>Divorcés</w:t>
            </w:r>
          </w:p>
        </w:tc>
        <w:tc>
          <w:tcPr>
            <w:tcW w:w="0" w:type="auto"/>
            <w:hideMark/>
          </w:tcPr>
          <w:p w14:paraId="6BD9A50A" w14:textId="08C57B1F" w:rsidR="00F07038" w:rsidRPr="003944A4" w:rsidRDefault="006B62E6" w:rsidP="003944A4">
            <w:pPr>
              <w:cnfStyle w:val="000000000000" w:firstRow="0" w:lastRow="0" w:firstColumn="0" w:lastColumn="0" w:oddVBand="0" w:evenVBand="0" w:oddHBand="0" w:evenHBand="0" w:firstRowFirstColumn="0" w:firstRowLastColumn="0" w:lastRowFirstColumn="0" w:lastRowLastColumn="0"/>
            </w:pPr>
            <w:r>
              <w:t>3,8</w:t>
            </w:r>
            <w:r w:rsidR="00F07038" w:rsidRPr="003944A4">
              <w:t xml:space="preserve"> %</w:t>
            </w:r>
          </w:p>
        </w:tc>
      </w:tr>
      <w:tr w:rsidR="00F07038" w:rsidRPr="003944A4" w14:paraId="5C682A7E" w14:textId="77777777" w:rsidTr="00721A15">
        <w:trPr>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374A7157" w14:textId="77777777" w:rsidR="00F07038" w:rsidRPr="003944A4" w:rsidRDefault="00F07038" w:rsidP="003944A4">
            <w:r w:rsidRPr="003944A4">
              <w:t>Indice synthétique de fécondité</w:t>
            </w:r>
          </w:p>
        </w:tc>
        <w:tc>
          <w:tcPr>
            <w:tcW w:w="0" w:type="auto"/>
            <w:hideMark/>
          </w:tcPr>
          <w:p w14:paraId="3DEAE355" w14:textId="7822FBB8" w:rsidR="00F07038" w:rsidRPr="003944A4" w:rsidRDefault="00361364" w:rsidP="003944A4">
            <w:pPr>
              <w:cnfStyle w:val="000000000000" w:firstRow="0" w:lastRow="0" w:firstColumn="0" w:lastColumn="0" w:oddVBand="0" w:evenVBand="0" w:oddHBand="0" w:evenHBand="0" w:firstRowFirstColumn="0" w:firstRowLastColumn="0" w:lastRowFirstColumn="0" w:lastRowLastColumn="0"/>
            </w:pPr>
            <w:r>
              <w:t>1,77</w:t>
            </w:r>
            <w:r w:rsidR="00F07038" w:rsidRPr="003944A4">
              <w:t xml:space="preserve"> enfants/femme</w:t>
            </w:r>
          </w:p>
        </w:tc>
      </w:tr>
    </w:tbl>
    <w:p w14:paraId="4A98DB03" w14:textId="6437937A" w:rsidR="00495C8B" w:rsidRDefault="00495C8B" w:rsidP="004637C7">
      <w:pPr>
        <w:pStyle w:val="Title4"/>
      </w:pPr>
      <w:r>
        <w:t>Santé et handicap</w:t>
      </w:r>
    </w:p>
    <w:p w14:paraId="40F63BF5" w14:textId="0B6B5749" w:rsidR="00495C8B" w:rsidRDefault="00495C8B" w:rsidP="00495C8B">
      <w:r w:rsidRPr="00495C8B">
        <w:t xml:space="preserve">Le taux de handicap atteint </w:t>
      </w:r>
      <w:r w:rsidR="00DA2161">
        <w:t>3,5</w:t>
      </w:r>
      <w:r w:rsidRPr="00495C8B">
        <w:t xml:space="preserve"> % à </w:t>
      </w:r>
      <w:r w:rsidR="00DA2161">
        <w:t xml:space="preserve">Ménara. </w:t>
      </w:r>
      <w:r w:rsidRPr="00495C8B">
        <w:t>Les handicaps moteurs et visuels prédominent.</w:t>
      </w:r>
    </w:p>
    <w:p w14:paraId="7B6A0B91" w14:textId="21488B3B" w:rsidR="00495C8B" w:rsidRPr="00495C8B" w:rsidRDefault="00495C8B" w:rsidP="004637C7">
      <w:pPr>
        <w:pStyle w:val="Lgende"/>
      </w:pPr>
      <w:bookmarkStart w:id="322" w:name="_Toc213404354"/>
      <w:r>
        <w:t xml:space="preserve">Tableau </w:t>
      </w:r>
      <w:r>
        <w:fldChar w:fldCharType="begin"/>
      </w:r>
      <w:r>
        <w:instrText xml:space="preserve"> SEQ Tableau \* ARABIC </w:instrText>
      </w:r>
      <w:r>
        <w:fldChar w:fldCharType="separate"/>
      </w:r>
      <w:r w:rsidR="00274E71">
        <w:rPr>
          <w:noProof/>
        </w:rPr>
        <w:t>31</w:t>
      </w:r>
      <w:r>
        <w:fldChar w:fldCharType="end"/>
      </w:r>
      <w:r>
        <w:rPr>
          <w:lang w:val="fr-FR"/>
        </w:rPr>
        <w:t xml:space="preserve"> : </w:t>
      </w:r>
      <w:r w:rsidRPr="00BB625A">
        <w:rPr>
          <w:lang w:val="fr-FR"/>
        </w:rPr>
        <w:t>Indicateurs sanitaires et handicap (RGPH 2024)</w:t>
      </w:r>
      <w:bookmarkEnd w:id="322"/>
    </w:p>
    <w:tbl>
      <w:tblPr>
        <w:tblStyle w:val="TableauGrille1Clair-Accentuation111"/>
        <w:tblW w:w="0" w:type="auto"/>
        <w:jc w:val="center"/>
        <w:tblLook w:val="04A0" w:firstRow="1" w:lastRow="0" w:firstColumn="1" w:lastColumn="0" w:noHBand="0" w:noVBand="1"/>
      </w:tblPr>
      <w:tblGrid>
        <w:gridCol w:w="3171"/>
        <w:gridCol w:w="868"/>
      </w:tblGrid>
      <w:tr w:rsidR="00E02F8E" w:rsidRPr="00495C8B" w14:paraId="01CF3862" w14:textId="77777777" w:rsidTr="00FA5FEC">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410EAFCF" w14:textId="77777777" w:rsidR="00E02F8E" w:rsidRPr="00495C8B" w:rsidRDefault="00E02F8E" w:rsidP="00495C8B">
            <w:r w:rsidRPr="00495C8B">
              <w:t>Indicateur</w:t>
            </w:r>
          </w:p>
        </w:tc>
        <w:tc>
          <w:tcPr>
            <w:tcW w:w="0" w:type="auto"/>
            <w:hideMark/>
          </w:tcPr>
          <w:p w14:paraId="6B7B7303" w14:textId="65A5D18E" w:rsidR="00E02F8E" w:rsidRPr="00495C8B" w:rsidRDefault="003072D7" w:rsidP="00495C8B">
            <w:pPr>
              <w:cnfStyle w:val="100000000000" w:firstRow="1" w:lastRow="0" w:firstColumn="0" w:lastColumn="0" w:oddVBand="0" w:evenVBand="0" w:oddHBand="0" w:evenHBand="0" w:firstRowFirstColumn="0" w:firstRowLastColumn="0" w:lastRowFirstColumn="0" w:lastRowLastColumn="0"/>
            </w:pPr>
            <w:r>
              <w:t>Ménara</w:t>
            </w:r>
          </w:p>
        </w:tc>
      </w:tr>
      <w:tr w:rsidR="00E02F8E" w:rsidRPr="00495C8B" w14:paraId="3B3B2671" w14:textId="77777777" w:rsidTr="00FA5FEC">
        <w:trPr>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05B2A86D" w14:textId="77777777" w:rsidR="00E02F8E" w:rsidRPr="00495C8B" w:rsidRDefault="00E02F8E" w:rsidP="00495C8B">
            <w:r w:rsidRPr="00495C8B">
              <w:t>Personnes en situation de handicap</w:t>
            </w:r>
          </w:p>
        </w:tc>
        <w:tc>
          <w:tcPr>
            <w:tcW w:w="0" w:type="auto"/>
            <w:hideMark/>
          </w:tcPr>
          <w:p w14:paraId="31F40025" w14:textId="199B98EF" w:rsidR="00E02F8E" w:rsidRPr="00495C8B" w:rsidRDefault="00FA5FEC" w:rsidP="00495C8B">
            <w:pPr>
              <w:cnfStyle w:val="000000000000" w:firstRow="0" w:lastRow="0" w:firstColumn="0" w:lastColumn="0" w:oddVBand="0" w:evenVBand="0" w:oddHBand="0" w:evenHBand="0" w:firstRowFirstColumn="0" w:firstRowLastColumn="0" w:lastRowFirstColumn="0" w:lastRowLastColumn="0"/>
            </w:pPr>
            <w:r>
              <w:t>3,5</w:t>
            </w:r>
            <w:r w:rsidR="00E02F8E" w:rsidRPr="00495C8B">
              <w:t xml:space="preserve"> %</w:t>
            </w:r>
          </w:p>
        </w:tc>
      </w:tr>
    </w:tbl>
    <w:p w14:paraId="2ECFBB1C" w14:textId="3F61DDB8" w:rsidR="00495C8B" w:rsidRDefault="00495C8B" w:rsidP="004637C7">
      <w:pPr>
        <w:pStyle w:val="Title4"/>
      </w:pPr>
      <w:r w:rsidRPr="00495C8B">
        <w:t>Éducation, alphabétisation et langues</w:t>
      </w:r>
    </w:p>
    <w:p w14:paraId="3BF44803" w14:textId="7851C38E" w:rsidR="00495C8B" w:rsidRDefault="00495C8B" w:rsidP="009510A2">
      <w:r w:rsidRPr="00495C8B">
        <w:t xml:space="preserve">Le taux d’analphabétisme reste plus élevé à </w:t>
      </w:r>
      <w:r w:rsidR="00FA5FEC">
        <w:t>Ménara</w:t>
      </w:r>
      <w:r w:rsidRPr="00495C8B">
        <w:t xml:space="preserve"> (</w:t>
      </w:r>
      <w:r w:rsidR="00FA5FEC">
        <w:t>11,9</w:t>
      </w:r>
      <w:r w:rsidRPr="00495C8B">
        <w:t xml:space="preserve"> %)</w:t>
      </w:r>
      <w:r w:rsidR="00FA5FEC">
        <w:t>.</w:t>
      </w:r>
    </w:p>
    <w:p w14:paraId="2FF6B15F" w14:textId="4F63404D" w:rsidR="00495C8B" w:rsidRDefault="00495C8B" w:rsidP="009510A2">
      <w:r w:rsidRPr="00495C8B">
        <w:t xml:space="preserve">La disparité entre les sexes demeure nette : </w:t>
      </w:r>
      <w:r w:rsidR="00FA5FEC">
        <w:t>16,6</w:t>
      </w:r>
      <w:r w:rsidRPr="00495C8B">
        <w:t xml:space="preserve"> % des femmes sont analphabètes contre </w:t>
      </w:r>
      <w:r w:rsidR="00FA5FEC">
        <w:t>6</w:t>
      </w:r>
      <w:r w:rsidRPr="00495C8B">
        <w:t>,</w:t>
      </w:r>
      <w:r w:rsidR="00FA5FEC">
        <w:t>8</w:t>
      </w:r>
      <w:r w:rsidRPr="00495C8B">
        <w:t xml:space="preserve"> % des hommes.</w:t>
      </w:r>
    </w:p>
    <w:p w14:paraId="512414D8" w14:textId="07A24196" w:rsidR="00721A15" w:rsidRDefault="00571749" w:rsidP="009510A2">
      <w:r>
        <w:t>Le pourcentage de la population ayant accès au primaire est de</w:t>
      </w:r>
      <w:r w:rsidR="00495C8B" w:rsidRPr="00495C8B">
        <w:t xml:space="preserve"> </w:t>
      </w:r>
      <w:r w:rsidR="003072D7">
        <w:t>22,8</w:t>
      </w:r>
      <w:r w:rsidR="00495C8B" w:rsidRPr="00495C8B">
        <w:t>%</w:t>
      </w:r>
      <w:r w:rsidR="003072D7">
        <w:t>.</w:t>
      </w:r>
    </w:p>
    <w:p w14:paraId="63A20C7F" w14:textId="77777777" w:rsidR="00495C8B" w:rsidRDefault="00495C8B" w:rsidP="009510A2"/>
    <w:p w14:paraId="184F6BF6" w14:textId="281B11CC" w:rsidR="00495C8B" w:rsidRDefault="00495C8B" w:rsidP="004637C7">
      <w:pPr>
        <w:pStyle w:val="Lgende"/>
        <w:keepNext/>
      </w:pPr>
      <w:bookmarkStart w:id="323" w:name="_Toc213404355"/>
      <w:r>
        <w:t xml:space="preserve">Tableau </w:t>
      </w:r>
      <w:r>
        <w:fldChar w:fldCharType="begin"/>
      </w:r>
      <w:r>
        <w:instrText xml:space="preserve"> SEQ Tableau \* ARABIC </w:instrText>
      </w:r>
      <w:r>
        <w:fldChar w:fldCharType="separate"/>
      </w:r>
      <w:r w:rsidR="00274E71">
        <w:rPr>
          <w:noProof/>
        </w:rPr>
        <w:t>32</w:t>
      </w:r>
      <w:r>
        <w:fldChar w:fldCharType="end"/>
      </w:r>
      <w:r>
        <w:rPr>
          <w:lang w:val="fr-FR"/>
        </w:rPr>
        <w:t xml:space="preserve"> : </w:t>
      </w:r>
      <w:r w:rsidRPr="00B00260">
        <w:rPr>
          <w:lang w:val="fr-FR"/>
        </w:rPr>
        <w:t>Niveaux d’instruction et alphabétisation (RGPH 2024)</w:t>
      </w:r>
      <w:bookmarkEnd w:id="323"/>
    </w:p>
    <w:tbl>
      <w:tblPr>
        <w:tblStyle w:val="TableauGrille1Clair-Accentuation111"/>
        <w:tblW w:w="4297" w:type="pct"/>
        <w:tblLook w:val="04A0" w:firstRow="1" w:lastRow="0" w:firstColumn="1" w:lastColumn="0" w:noHBand="0" w:noVBand="1"/>
      </w:tblPr>
      <w:tblGrid>
        <w:gridCol w:w="4671"/>
        <w:gridCol w:w="3117"/>
      </w:tblGrid>
      <w:tr w:rsidR="003072D7" w:rsidRPr="00495C8B" w14:paraId="496E3FA9" w14:textId="77777777" w:rsidTr="003072D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99" w:type="pct"/>
            <w:hideMark/>
          </w:tcPr>
          <w:p w14:paraId="241F0FA0" w14:textId="77777777" w:rsidR="003072D7" w:rsidRPr="00495C8B" w:rsidRDefault="003072D7" w:rsidP="00495C8B">
            <w:r w:rsidRPr="00495C8B">
              <w:t>Indicateur</w:t>
            </w:r>
          </w:p>
        </w:tc>
        <w:tc>
          <w:tcPr>
            <w:tcW w:w="2001" w:type="pct"/>
            <w:hideMark/>
          </w:tcPr>
          <w:p w14:paraId="56A72CD0" w14:textId="7F5DC738" w:rsidR="003072D7" w:rsidRPr="00495C8B" w:rsidRDefault="003072D7" w:rsidP="00495C8B">
            <w:pPr>
              <w:cnfStyle w:val="100000000000" w:firstRow="1" w:lastRow="0" w:firstColumn="0" w:lastColumn="0" w:oddVBand="0" w:evenVBand="0" w:oddHBand="0" w:evenHBand="0" w:firstRowFirstColumn="0" w:firstRowLastColumn="0" w:lastRowFirstColumn="0" w:lastRowLastColumn="0"/>
            </w:pPr>
            <w:r>
              <w:t>Ménara</w:t>
            </w:r>
          </w:p>
        </w:tc>
      </w:tr>
      <w:tr w:rsidR="003072D7" w:rsidRPr="00495C8B" w14:paraId="6F588665" w14:textId="77777777" w:rsidTr="003072D7">
        <w:tc>
          <w:tcPr>
            <w:cnfStyle w:val="001000000000" w:firstRow="0" w:lastRow="0" w:firstColumn="1" w:lastColumn="0" w:oddVBand="0" w:evenVBand="0" w:oddHBand="0" w:evenHBand="0" w:firstRowFirstColumn="0" w:firstRowLastColumn="0" w:lastRowFirstColumn="0" w:lastRowLastColumn="0"/>
            <w:tcW w:w="2999" w:type="pct"/>
            <w:hideMark/>
          </w:tcPr>
          <w:p w14:paraId="258D0393" w14:textId="77777777" w:rsidR="003072D7" w:rsidRPr="00495C8B" w:rsidRDefault="003072D7" w:rsidP="00495C8B">
            <w:r w:rsidRPr="00495C8B">
              <w:t>Analphabétisme (≥ 10 ans)</w:t>
            </w:r>
          </w:p>
        </w:tc>
        <w:tc>
          <w:tcPr>
            <w:tcW w:w="2001" w:type="pct"/>
            <w:hideMark/>
          </w:tcPr>
          <w:p w14:paraId="2DCED554" w14:textId="548A9CC3" w:rsidR="003072D7" w:rsidRPr="00495C8B" w:rsidRDefault="003072D7" w:rsidP="00495C8B">
            <w:pPr>
              <w:cnfStyle w:val="000000000000" w:firstRow="0" w:lastRow="0" w:firstColumn="0" w:lastColumn="0" w:oddVBand="0" w:evenVBand="0" w:oddHBand="0" w:evenHBand="0" w:firstRowFirstColumn="0" w:firstRowLastColumn="0" w:lastRowFirstColumn="0" w:lastRowLastColumn="0"/>
            </w:pPr>
            <w:r w:rsidRPr="00495C8B">
              <w:t>1</w:t>
            </w:r>
            <w:r>
              <w:t>1,</w:t>
            </w:r>
            <w:r w:rsidRPr="00495C8B">
              <w:t>9 %</w:t>
            </w:r>
          </w:p>
        </w:tc>
      </w:tr>
      <w:tr w:rsidR="003072D7" w:rsidRPr="00495C8B" w14:paraId="241BC8F1" w14:textId="77777777" w:rsidTr="003072D7">
        <w:tc>
          <w:tcPr>
            <w:cnfStyle w:val="001000000000" w:firstRow="0" w:lastRow="0" w:firstColumn="1" w:lastColumn="0" w:oddVBand="0" w:evenVBand="0" w:oddHBand="0" w:evenHBand="0" w:firstRowFirstColumn="0" w:firstRowLastColumn="0" w:lastRowFirstColumn="0" w:lastRowLastColumn="0"/>
            <w:tcW w:w="2999" w:type="pct"/>
            <w:hideMark/>
          </w:tcPr>
          <w:p w14:paraId="3228C13C" w14:textId="77777777" w:rsidR="003072D7" w:rsidRPr="00495C8B" w:rsidRDefault="003072D7" w:rsidP="00495C8B">
            <w:r w:rsidRPr="00495C8B">
              <w:t>Hommes analphabètes</w:t>
            </w:r>
          </w:p>
        </w:tc>
        <w:tc>
          <w:tcPr>
            <w:tcW w:w="2001" w:type="pct"/>
            <w:hideMark/>
          </w:tcPr>
          <w:p w14:paraId="6089EE0A" w14:textId="694521D6" w:rsidR="003072D7" w:rsidRPr="00495C8B" w:rsidRDefault="003072D7" w:rsidP="00495C8B">
            <w:pPr>
              <w:cnfStyle w:val="000000000000" w:firstRow="0" w:lastRow="0" w:firstColumn="0" w:lastColumn="0" w:oddVBand="0" w:evenVBand="0" w:oddHBand="0" w:evenHBand="0" w:firstRowFirstColumn="0" w:firstRowLastColumn="0" w:lastRowFirstColumn="0" w:lastRowLastColumn="0"/>
            </w:pPr>
            <w:r>
              <w:t>6,8</w:t>
            </w:r>
            <w:r w:rsidRPr="00495C8B">
              <w:t xml:space="preserve"> %</w:t>
            </w:r>
          </w:p>
        </w:tc>
      </w:tr>
      <w:tr w:rsidR="003072D7" w:rsidRPr="00495C8B" w14:paraId="74F328B9" w14:textId="77777777" w:rsidTr="003072D7">
        <w:tc>
          <w:tcPr>
            <w:cnfStyle w:val="001000000000" w:firstRow="0" w:lastRow="0" w:firstColumn="1" w:lastColumn="0" w:oddVBand="0" w:evenVBand="0" w:oddHBand="0" w:evenHBand="0" w:firstRowFirstColumn="0" w:firstRowLastColumn="0" w:lastRowFirstColumn="0" w:lastRowLastColumn="0"/>
            <w:tcW w:w="2999" w:type="pct"/>
            <w:hideMark/>
          </w:tcPr>
          <w:p w14:paraId="58F8944D" w14:textId="77777777" w:rsidR="003072D7" w:rsidRPr="00495C8B" w:rsidRDefault="003072D7" w:rsidP="00495C8B">
            <w:r w:rsidRPr="00495C8B">
              <w:t>Femmes analphabètes</w:t>
            </w:r>
          </w:p>
        </w:tc>
        <w:tc>
          <w:tcPr>
            <w:tcW w:w="2001" w:type="pct"/>
            <w:hideMark/>
          </w:tcPr>
          <w:p w14:paraId="535E2424" w14:textId="38E0A367" w:rsidR="003072D7" w:rsidRPr="00495C8B" w:rsidRDefault="003072D7" w:rsidP="00495C8B">
            <w:pPr>
              <w:cnfStyle w:val="000000000000" w:firstRow="0" w:lastRow="0" w:firstColumn="0" w:lastColumn="0" w:oddVBand="0" w:evenVBand="0" w:oddHBand="0" w:evenHBand="0" w:firstRowFirstColumn="0" w:firstRowLastColumn="0" w:lastRowFirstColumn="0" w:lastRowLastColumn="0"/>
            </w:pPr>
            <w:r>
              <w:t>16,6</w:t>
            </w:r>
            <w:r w:rsidRPr="00495C8B">
              <w:t xml:space="preserve"> %</w:t>
            </w:r>
          </w:p>
        </w:tc>
      </w:tr>
      <w:tr w:rsidR="003072D7" w:rsidRPr="00495C8B" w14:paraId="354E79B7" w14:textId="77777777" w:rsidTr="003072D7">
        <w:tc>
          <w:tcPr>
            <w:cnfStyle w:val="001000000000" w:firstRow="0" w:lastRow="0" w:firstColumn="1" w:lastColumn="0" w:oddVBand="0" w:evenVBand="0" w:oddHBand="0" w:evenHBand="0" w:firstRowFirstColumn="0" w:firstRowLastColumn="0" w:lastRowFirstColumn="0" w:lastRowLastColumn="0"/>
            <w:tcW w:w="2999" w:type="pct"/>
            <w:hideMark/>
          </w:tcPr>
          <w:p w14:paraId="2F6E4681" w14:textId="77777777" w:rsidR="003072D7" w:rsidRPr="00495C8B" w:rsidRDefault="003072D7" w:rsidP="00495C8B">
            <w:r w:rsidRPr="00495C8B">
              <w:t>Scolarisation primaire (6-11 ans)</w:t>
            </w:r>
          </w:p>
        </w:tc>
        <w:tc>
          <w:tcPr>
            <w:tcW w:w="2001" w:type="pct"/>
            <w:hideMark/>
          </w:tcPr>
          <w:p w14:paraId="3493A219" w14:textId="6BCF4470" w:rsidR="003072D7" w:rsidRPr="00495C8B" w:rsidRDefault="003072D7" w:rsidP="00495C8B">
            <w:pPr>
              <w:cnfStyle w:val="000000000000" w:firstRow="0" w:lastRow="0" w:firstColumn="0" w:lastColumn="0" w:oddVBand="0" w:evenVBand="0" w:oddHBand="0" w:evenHBand="0" w:firstRowFirstColumn="0" w:firstRowLastColumn="0" w:lastRowFirstColumn="0" w:lastRowLastColumn="0"/>
            </w:pPr>
            <w:r>
              <w:t>22,8</w:t>
            </w:r>
            <w:r w:rsidRPr="00495C8B">
              <w:t xml:space="preserve"> %</w:t>
            </w:r>
          </w:p>
        </w:tc>
      </w:tr>
      <w:tr w:rsidR="003072D7" w:rsidRPr="00495C8B" w14:paraId="2BCCD313" w14:textId="77777777" w:rsidTr="003072D7">
        <w:tc>
          <w:tcPr>
            <w:cnfStyle w:val="001000000000" w:firstRow="0" w:lastRow="0" w:firstColumn="1" w:lastColumn="0" w:oddVBand="0" w:evenVBand="0" w:oddHBand="0" w:evenHBand="0" w:firstRowFirstColumn="0" w:firstRowLastColumn="0" w:lastRowFirstColumn="0" w:lastRowLastColumn="0"/>
            <w:tcW w:w="2999" w:type="pct"/>
            <w:hideMark/>
          </w:tcPr>
          <w:p w14:paraId="1EA03C39" w14:textId="77777777" w:rsidR="003072D7" w:rsidRPr="00495C8B" w:rsidRDefault="003072D7" w:rsidP="00495C8B">
            <w:r w:rsidRPr="00495C8B">
              <w:t>Langue lue : arabe seul</w:t>
            </w:r>
          </w:p>
        </w:tc>
        <w:tc>
          <w:tcPr>
            <w:tcW w:w="2001" w:type="pct"/>
            <w:hideMark/>
          </w:tcPr>
          <w:p w14:paraId="043308EA" w14:textId="2B416846" w:rsidR="003072D7" w:rsidRPr="00495C8B" w:rsidRDefault="000B6DB1" w:rsidP="00495C8B">
            <w:pPr>
              <w:cnfStyle w:val="000000000000" w:firstRow="0" w:lastRow="0" w:firstColumn="0" w:lastColumn="0" w:oddVBand="0" w:evenVBand="0" w:oddHBand="0" w:evenHBand="0" w:firstRowFirstColumn="0" w:firstRowLastColumn="0" w:lastRowFirstColumn="0" w:lastRowLastColumn="0"/>
            </w:pPr>
            <w:r>
              <w:t>24,8</w:t>
            </w:r>
            <w:r w:rsidR="003072D7" w:rsidRPr="00495C8B">
              <w:t xml:space="preserve"> %</w:t>
            </w:r>
          </w:p>
        </w:tc>
      </w:tr>
      <w:tr w:rsidR="003072D7" w:rsidRPr="00495C8B" w14:paraId="346BBFAC" w14:textId="77777777" w:rsidTr="003072D7">
        <w:tc>
          <w:tcPr>
            <w:cnfStyle w:val="001000000000" w:firstRow="0" w:lastRow="0" w:firstColumn="1" w:lastColumn="0" w:oddVBand="0" w:evenVBand="0" w:oddHBand="0" w:evenHBand="0" w:firstRowFirstColumn="0" w:firstRowLastColumn="0" w:lastRowFirstColumn="0" w:lastRowLastColumn="0"/>
            <w:tcW w:w="2999" w:type="pct"/>
            <w:hideMark/>
          </w:tcPr>
          <w:p w14:paraId="6BCA3ACC" w14:textId="77777777" w:rsidR="003072D7" w:rsidRPr="00495C8B" w:rsidRDefault="003072D7" w:rsidP="00495C8B">
            <w:r w:rsidRPr="00495C8B">
              <w:t>Langues arabe + français</w:t>
            </w:r>
          </w:p>
        </w:tc>
        <w:tc>
          <w:tcPr>
            <w:tcW w:w="2001" w:type="pct"/>
            <w:hideMark/>
          </w:tcPr>
          <w:p w14:paraId="483E8C1C" w14:textId="08471F43" w:rsidR="003072D7" w:rsidRPr="00495C8B" w:rsidRDefault="000B6DB1" w:rsidP="00495C8B">
            <w:pPr>
              <w:cnfStyle w:val="000000000000" w:firstRow="0" w:lastRow="0" w:firstColumn="0" w:lastColumn="0" w:oddVBand="0" w:evenVBand="0" w:oddHBand="0" w:evenHBand="0" w:firstRowFirstColumn="0" w:firstRowLastColumn="0" w:lastRowFirstColumn="0" w:lastRowLastColumn="0"/>
            </w:pPr>
            <w:r>
              <w:t>38,1</w:t>
            </w:r>
            <w:r w:rsidR="003072D7" w:rsidRPr="00495C8B">
              <w:t xml:space="preserve"> %</w:t>
            </w:r>
          </w:p>
        </w:tc>
      </w:tr>
    </w:tbl>
    <w:p w14:paraId="7ADF70F1" w14:textId="0645283C" w:rsidR="00495C8B" w:rsidRDefault="00A85ADA" w:rsidP="00721A15">
      <w:pPr>
        <w:pStyle w:val="Title4"/>
      </w:pPr>
      <w:r w:rsidRPr="00A85ADA">
        <w:lastRenderedPageBreak/>
        <w:t>Activité économique et emploi</w:t>
      </w:r>
    </w:p>
    <w:p w14:paraId="5D8DEACB" w14:textId="37985B3D" w:rsidR="00B01B7F" w:rsidRDefault="00A85ADA" w:rsidP="001B4CAC">
      <w:r w:rsidRPr="00A85ADA">
        <w:t>Le taux net d’activité s’élève à 4</w:t>
      </w:r>
      <w:r w:rsidR="000B6DB1">
        <w:t>4,4</w:t>
      </w:r>
      <w:r w:rsidRPr="00A85ADA">
        <w:t xml:space="preserve"> % à </w:t>
      </w:r>
      <w:r w:rsidR="000B6DB1">
        <w:t>Ménara</w:t>
      </w:r>
      <w:r w:rsidRPr="00A85ADA">
        <w:t xml:space="preserve">, </w:t>
      </w:r>
      <w:r w:rsidR="009775C8">
        <w:t>en cohérence avec la moyenne provinciale</w:t>
      </w:r>
      <w:r w:rsidRPr="00A85ADA">
        <w:t>.</w:t>
      </w:r>
    </w:p>
    <w:p w14:paraId="53A91F9E" w14:textId="48C9A092" w:rsidR="00B01B7F" w:rsidRDefault="00A85ADA" w:rsidP="001B4CAC">
      <w:r w:rsidRPr="00A85ADA">
        <w:t>La participation féminine au marché du travail demeure limitée (</w:t>
      </w:r>
      <w:r w:rsidR="009775C8">
        <w:t>24,4</w:t>
      </w:r>
      <w:r w:rsidRPr="00A85ADA">
        <w:t xml:space="preserve"> %), ce qui reflète la persistance d’un écart de genre observable au niveau national (source : HCP, </w:t>
      </w:r>
      <w:r w:rsidR="009775C8">
        <w:t>2024)</w:t>
      </w:r>
    </w:p>
    <w:p w14:paraId="63B65D9C" w14:textId="375E4789" w:rsidR="00A85ADA" w:rsidRDefault="00A85ADA" w:rsidP="001B4CAC">
      <w:r w:rsidRPr="00A85ADA">
        <w:t>Le secteur privé concentre la majorité des emplois (</w:t>
      </w:r>
      <w:r w:rsidR="006506A6">
        <w:t>68,7</w:t>
      </w:r>
      <w:r w:rsidRPr="00A85ADA">
        <w:t xml:space="preserve"> %)</w:t>
      </w:r>
      <w:r w:rsidR="000D4410">
        <w:t>.</w:t>
      </w:r>
    </w:p>
    <w:p w14:paraId="1C3650FF" w14:textId="363BB595" w:rsidR="00B01B7F" w:rsidRDefault="00B01B7F" w:rsidP="004637C7">
      <w:pPr>
        <w:pStyle w:val="Lgende"/>
        <w:keepNext/>
      </w:pPr>
      <w:bookmarkStart w:id="324" w:name="_Toc213404356"/>
      <w:r>
        <w:t xml:space="preserve">Tableau </w:t>
      </w:r>
      <w:r>
        <w:fldChar w:fldCharType="begin"/>
      </w:r>
      <w:r>
        <w:instrText xml:space="preserve"> SEQ Tableau \* ARABIC </w:instrText>
      </w:r>
      <w:r>
        <w:fldChar w:fldCharType="separate"/>
      </w:r>
      <w:r w:rsidR="00274E71">
        <w:rPr>
          <w:noProof/>
        </w:rPr>
        <w:t>33</w:t>
      </w:r>
      <w:r>
        <w:fldChar w:fldCharType="end"/>
      </w:r>
      <w:r>
        <w:rPr>
          <w:lang w:val="fr-FR"/>
        </w:rPr>
        <w:t xml:space="preserve"> : </w:t>
      </w:r>
      <w:r w:rsidRPr="000064DA">
        <w:rPr>
          <w:lang w:val="fr-FR"/>
        </w:rPr>
        <w:t>Indicateurs d’activité économique (RGPH 2024)</w:t>
      </w:r>
      <w:bookmarkEnd w:id="324"/>
    </w:p>
    <w:tbl>
      <w:tblPr>
        <w:tblStyle w:val="TableauGrille1Clair-Accentuation111"/>
        <w:tblW w:w="3880" w:type="pct"/>
        <w:tblLook w:val="04A0" w:firstRow="1" w:lastRow="0" w:firstColumn="1" w:lastColumn="0" w:noHBand="0" w:noVBand="1"/>
      </w:tblPr>
      <w:tblGrid>
        <w:gridCol w:w="3771"/>
        <w:gridCol w:w="3261"/>
      </w:tblGrid>
      <w:tr w:rsidR="000D4410" w:rsidRPr="00B01B7F" w14:paraId="2D55D558" w14:textId="77777777" w:rsidTr="000D441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81" w:type="pct"/>
            <w:hideMark/>
          </w:tcPr>
          <w:p w14:paraId="1FF25E19" w14:textId="77777777" w:rsidR="000D4410" w:rsidRPr="00B01B7F" w:rsidRDefault="000D4410" w:rsidP="00B01B7F">
            <w:r w:rsidRPr="00B01B7F">
              <w:t>Indicateur</w:t>
            </w:r>
          </w:p>
        </w:tc>
        <w:tc>
          <w:tcPr>
            <w:tcW w:w="2319" w:type="pct"/>
            <w:hideMark/>
          </w:tcPr>
          <w:p w14:paraId="3010ACDD" w14:textId="38BF410D" w:rsidR="000D4410" w:rsidRPr="00B01B7F" w:rsidRDefault="000D4410" w:rsidP="00B01B7F">
            <w:pPr>
              <w:cnfStyle w:val="100000000000" w:firstRow="1" w:lastRow="0" w:firstColumn="0" w:lastColumn="0" w:oddVBand="0" w:evenVBand="0" w:oddHBand="0" w:evenHBand="0" w:firstRowFirstColumn="0" w:firstRowLastColumn="0" w:lastRowFirstColumn="0" w:lastRowLastColumn="0"/>
            </w:pPr>
            <w:r>
              <w:t>Ménara</w:t>
            </w:r>
          </w:p>
        </w:tc>
      </w:tr>
      <w:tr w:rsidR="000D4410" w:rsidRPr="00B01B7F" w14:paraId="44DD8C79" w14:textId="77777777" w:rsidTr="000D4410">
        <w:tc>
          <w:tcPr>
            <w:cnfStyle w:val="001000000000" w:firstRow="0" w:lastRow="0" w:firstColumn="1" w:lastColumn="0" w:oddVBand="0" w:evenVBand="0" w:oddHBand="0" w:evenHBand="0" w:firstRowFirstColumn="0" w:firstRowLastColumn="0" w:lastRowFirstColumn="0" w:lastRowLastColumn="0"/>
            <w:tcW w:w="2681" w:type="pct"/>
            <w:hideMark/>
          </w:tcPr>
          <w:p w14:paraId="46E02F56" w14:textId="77777777" w:rsidR="000D4410" w:rsidRPr="00B01B7F" w:rsidRDefault="000D4410" w:rsidP="00B01B7F">
            <w:r w:rsidRPr="00B01B7F">
              <w:t>Taux net d’activité</w:t>
            </w:r>
          </w:p>
        </w:tc>
        <w:tc>
          <w:tcPr>
            <w:tcW w:w="2319" w:type="pct"/>
            <w:hideMark/>
          </w:tcPr>
          <w:p w14:paraId="2184D328" w14:textId="4ADEE95A" w:rsidR="000D4410" w:rsidRPr="00B01B7F" w:rsidRDefault="00AF4F38" w:rsidP="00B01B7F">
            <w:pPr>
              <w:cnfStyle w:val="000000000000" w:firstRow="0" w:lastRow="0" w:firstColumn="0" w:lastColumn="0" w:oddVBand="0" w:evenVBand="0" w:oddHBand="0" w:evenHBand="0" w:firstRowFirstColumn="0" w:firstRowLastColumn="0" w:lastRowFirstColumn="0" w:lastRowLastColumn="0"/>
            </w:pPr>
            <w:r>
              <w:t>44,4</w:t>
            </w:r>
            <w:r w:rsidR="000D4410" w:rsidRPr="00B01B7F">
              <w:t xml:space="preserve"> %</w:t>
            </w:r>
          </w:p>
        </w:tc>
      </w:tr>
      <w:tr w:rsidR="000D4410" w:rsidRPr="00B01B7F" w14:paraId="6F902599" w14:textId="77777777" w:rsidTr="000D4410">
        <w:tc>
          <w:tcPr>
            <w:cnfStyle w:val="001000000000" w:firstRow="0" w:lastRow="0" w:firstColumn="1" w:lastColumn="0" w:oddVBand="0" w:evenVBand="0" w:oddHBand="0" w:evenHBand="0" w:firstRowFirstColumn="0" w:firstRowLastColumn="0" w:lastRowFirstColumn="0" w:lastRowLastColumn="0"/>
            <w:tcW w:w="2681" w:type="pct"/>
            <w:hideMark/>
          </w:tcPr>
          <w:p w14:paraId="0262E0B7" w14:textId="77777777" w:rsidR="000D4410" w:rsidRPr="00B01B7F" w:rsidRDefault="000D4410" w:rsidP="00B01B7F">
            <w:r w:rsidRPr="00B01B7F">
              <w:t>Taux de chômage</w:t>
            </w:r>
          </w:p>
        </w:tc>
        <w:tc>
          <w:tcPr>
            <w:tcW w:w="2319" w:type="pct"/>
            <w:hideMark/>
          </w:tcPr>
          <w:p w14:paraId="26538F65" w14:textId="3320791B" w:rsidR="000D4410" w:rsidRPr="00B01B7F" w:rsidRDefault="00AF4F38" w:rsidP="00B01B7F">
            <w:pPr>
              <w:cnfStyle w:val="000000000000" w:firstRow="0" w:lastRow="0" w:firstColumn="0" w:lastColumn="0" w:oddVBand="0" w:evenVBand="0" w:oddHBand="0" w:evenHBand="0" w:firstRowFirstColumn="0" w:firstRowLastColumn="0" w:lastRowFirstColumn="0" w:lastRowLastColumn="0"/>
            </w:pPr>
            <w:r>
              <w:t>18,3</w:t>
            </w:r>
            <w:r w:rsidR="000D4410" w:rsidRPr="00B01B7F">
              <w:t xml:space="preserve"> %</w:t>
            </w:r>
          </w:p>
        </w:tc>
      </w:tr>
      <w:tr w:rsidR="000D4410" w:rsidRPr="00B01B7F" w14:paraId="6FC0354F" w14:textId="77777777" w:rsidTr="000D4410">
        <w:tc>
          <w:tcPr>
            <w:cnfStyle w:val="001000000000" w:firstRow="0" w:lastRow="0" w:firstColumn="1" w:lastColumn="0" w:oddVBand="0" w:evenVBand="0" w:oddHBand="0" w:evenHBand="0" w:firstRowFirstColumn="0" w:firstRowLastColumn="0" w:lastRowFirstColumn="0" w:lastRowLastColumn="0"/>
            <w:tcW w:w="2681" w:type="pct"/>
            <w:hideMark/>
          </w:tcPr>
          <w:p w14:paraId="07FF62E9" w14:textId="77777777" w:rsidR="000D4410" w:rsidRPr="00B01B7F" w:rsidRDefault="000D4410" w:rsidP="00B01B7F">
            <w:r w:rsidRPr="00B01B7F">
              <w:t>Taux d’activité masculin</w:t>
            </w:r>
          </w:p>
        </w:tc>
        <w:tc>
          <w:tcPr>
            <w:tcW w:w="2319" w:type="pct"/>
            <w:hideMark/>
          </w:tcPr>
          <w:p w14:paraId="6B822FBA" w14:textId="0264D57F" w:rsidR="000D4410" w:rsidRPr="00B01B7F" w:rsidRDefault="00AF4F38" w:rsidP="00B01B7F">
            <w:pPr>
              <w:cnfStyle w:val="000000000000" w:firstRow="0" w:lastRow="0" w:firstColumn="0" w:lastColumn="0" w:oddVBand="0" w:evenVBand="0" w:oddHBand="0" w:evenHBand="0" w:firstRowFirstColumn="0" w:firstRowLastColumn="0" w:lastRowFirstColumn="0" w:lastRowLastColumn="0"/>
            </w:pPr>
            <w:r>
              <w:t>66,2</w:t>
            </w:r>
            <w:r w:rsidR="000D4410" w:rsidRPr="00B01B7F">
              <w:t xml:space="preserve"> %</w:t>
            </w:r>
          </w:p>
        </w:tc>
      </w:tr>
      <w:tr w:rsidR="000D4410" w:rsidRPr="00B01B7F" w14:paraId="4A95122F" w14:textId="77777777" w:rsidTr="000D4410">
        <w:tc>
          <w:tcPr>
            <w:cnfStyle w:val="001000000000" w:firstRow="0" w:lastRow="0" w:firstColumn="1" w:lastColumn="0" w:oddVBand="0" w:evenVBand="0" w:oddHBand="0" w:evenHBand="0" w:firstRowFirstColumn="0" w:firstRowLastColumn="0" w:lastRowFirstColumn="0" w:lastRowLastColumn="0"/>
            <w:tcW w:w="2681" w:type="pct"/>
            <w:hideMark/>
          </w:tcPr>
          <w:p w14:paraId="3BCA1355" w14:textId="77777777" w:rsidR="000D4410" w:rsidRPr="00B01B7F" w:rsidRDefault="000D4410" w:rsidP="00B01B7F">
            <w:r w:rsidRPr="00B01B7F">
              <w:t>Taux d’activité féminin</w:t>
            </w:r>
          </w:p>
        </w:tc>
        <w:tc>
          <w:tcPr>
            <w:tcW w:w="2319" w:type="pct"/>
            <w:hideMark/>
          </w:tcPr>
          <w:p w14:paraId="525472A1" w14:textId="32CD0E05" w:rsidR="000D4410" w:rsidRPr="00B01B7F" w:rsidRDefault="00AF4F38" w:rsidP="00B01B7F">
            <w:pPr>
              <w:cnfStyle w:val="000000000000" w:firstRow="0" w:lastRow="0" w:firstColumn="0" w:lastColumn="0" w:oddVBand="0" w:evenVBand="0" w:oddHBand="0" w:evenHBand="0" w:firstRowFirstColumn="0" w:firstRowLastColumn="0" w:lastRowFirstColumn="0" w:lastRowLastColumn="0"/>
            </w:pPr>
            <w:r>
              <w:t>24,4</w:t>
            </w:r>
            <w:r w:rsidR="000D4410" w:rsidRPr="00B01B7F">
              <w:t xml:space="preserve"> %</w:t>
            </w:r>
          </w:p>
        </w:tc>
      </w:tr>
      <w:tr w:rsidR="000D4410" w:rsidRPr="00B01B7F" w14:paraId="66871AEF" w14:textId="77777777" w:rsidTr="000D4410">
        <w:tc>
          <w:tcPr>
            <w:cnfStyle w:val="001000000000" w:firstRow="0" w:lastRow="0" w:firstColumn="1" w:lastColumn="0" w:oddVBand="0" w:evenVBand="0" w:oddHBand="0" w:evenHBand="0" w:firstRowFirstColumn="0" w:firstRowLastColumn="0" w:lastRowFirstColumn="0" w:lastRowLastColumn="0"/>
            <w:tcW w:w="2681" w:type="pct"/>
            <w:hideMark/>
          </w:tcPr>
          <w:p w14:paraId="53E7774E" w14:textId="77777777" w:rsidR="000D4410" w:rsidRPr="00B01B7F" w:rsidRDefault="000D4410" w:rsidP="00B01B7F">
            <w:r w:rsidRPr="00B01B7F">
              <w:t>Salariés du secteur privé</w:t>
            </w:r>
          </w:p>
        </w:tc>
        <w:tc>
          <w:tcPr>
            <w:tcW w:w="2319" w:type="pct"/>
            <w:hideMark/>
          </w:tcPr>
          <w:p w14:paraId="71D8CA31" w14:textId="014AFC13" w:rsidR="000D4410" w:rsidRPr="00B01B7F" w:rsidRDefault="00AF4F38" w:rsidP="00B01B7F">
            <w:pPr>
              <w:cnfStyle w:val="000000000000" w:firstRow="0" w:lastRow="0" w:firstColumn="0" w:lastColumn="0" w:oddVBand="0" w:evenVBand="0" w:oddHBand="0" w:evenHBand="0" w:firstRowFirstColumn="0" w:firstRowLastColumn="0" w:lastRowFirstColumn="0" w:lastRowLastColumn="0"/>
            </w:pPr>
            <w:r>
              <w:t>68,7</w:t>
            </w:r>
            <w:r w:rsidR="000D4410" w:rsidRPr="00B01B7F">
              <w:t xml:space="preserve"> %</w:t>
            </w:r>
          </w:p>
        </w:tc>
      </w:tr>
      <w:tr w:rsidR="000D4410" w:rsidRPr="00B01B7F" w14:paraId="48C6A255" w14:textId="77777777" w:rsidTr="000D4410">
        <w:tc>
          <w:tcPr>
            <w:cnfStyle w:val="001000000000" w:firstRow="0" w:lastRow="0" w:firstColumn="1" w:lastColumn="0" w:oddVBand="0" w:evenVBand="0" w:oddHBand="0" w:evenHBand="0" w:firstRowFirstColumn="0" w:firstRowLastColumn="0" w:lastRowFirstColumn="0" w:lastRowLastColumn="0"/>
            <w:tcW w:w="2681" w:type="pct"/>
            <w:hideMark/>
          </w:tcPr>
          <w:p w14:paraId="68212B0C" w14:textId="77777777" w:rsidR="000D4410" w:rsidRPr="00B01B7F" w:rsidRDefault="000D4410" w:rsidP="00B01B7F">
            <w:r w:rsidRPr="00B01B7F">
              <w:t>Indépendants</w:t>
            </w:r>
          </w:p>
        </w:tc>
        <w:tc>
          <w:tcPr>
            <w:tcW w:w="2319" w:type="pct"/>
            <w:hideMark/>
          </w:tcPr>
          <w:p w14:paraId="5B7D5E99" w14:textId="34D7C8D8" w:rsidR="000D4410" w:rsidRPr="00B01B7F" w:rsidRDefault="000D501B" w:rsidP="00B01B7F">
            <w:pPr>
              <w:cnfStyle w:val="000000000000" w:firstRow="0" w:lastRow="0" w:firstColumn="0" w:lastColumn="0" w:oddVBand="0" w:evenVBand="0" w:oddHBand="0" w:evenHBand="0" w:firstRowFirstColumn="0" w:firstRowLastColumn="0" w:lastRowFirstColumn="0" w:lastRowLastColumn="0"/>
            </w:pPr>
            <w:r>
              <w:t>21</w:t>
            </w:r>
            <w:r w:rsidR="000D4410" w:rsidRPr="00B01B7F">
              <w:t xml:space="preserve"> %</w:t>
            </w:r>
          </w:p>
        </w:tc>
      </w:tr>
      <w:tr w:rsidR="000D4410" w:rsidRPr="00B01B7F" w14:paraId="28F59F0A" w14:textId="77777777" w:rsidTr="000D4410">
        <w:tc>
          <w:tcPr>
            <w:cnfStyle w:val="001000000000" w:firstRow="0" w:lastRow="0" w:firstColumn="1" w:lastColumn="0" w:oddVBand="0" w:evenVBand="0" w:oddHBand="0" w:evenHBand="0" w:firstRowFirstColumn="0" w:firstRowLastColumn="0" w:lastRowFirstColumn="0" w:lastRowLastColumn="0"/>
            <w:tcW w:w="2681" w:type="pct"/>
            <w:hideMark/>
          </w:tcPr>
          <w:p w14:paraId="074E846E" w14:textId="08A2B961" w:rsidR="000D4410" w:rsidRPr="00B01B7F" w:rsidRDefault="000D501B" w:rsidP="00B01B7F">
            <w:r>
              <w:t>Associé ou partenaire</w:t>
            </w:r>
          </w:p>
        </w:tc>
        <w:tc>
          <w:tcPr>
            <w:tcW w:w="2319" w:type="pct"/>
            <w:hideMark/>
          </w:tcPr>
          <w:p w14:paraId="6A3B1280" w14:textId="0BD831F3" w:rsidR="000D4410" w:rsidRPr="00B01B7F" w:rsidRDefault="000D501B" w:rsidP="00B01B7F">
            <w:pPr>
              <w:cnfStyle w:val="000000000000" w:firstRow="0" w:lastRow="0" w:firstColumn="0" w:lastColumn="0" w:oddVBand="0" w:evenVBand="0" w:oddHBand="0" w:evenHBand="0" w:firstRowFirstColumn="0" w:firstRowLastColumn="0" w:lastRowFirstColumn="0" w:lastRowLastColumn="0"/>
            </w:pPr>
            <w:r>
              <w:t>2,4 %</w:t>
            </w:r>
          </w:p>
        </w:tc>
      </w:tr>
    </w:tbl>
    <w:p w14:paraId="30C2D534" w14:textId="61092947" w:rsidR="00A85ADA" w:rsidRDefault="005A6399" w:rsidP="004637C7">
      <w:pPr>
        <w:pStyle w:val="Title4"/>
      </w:pPr>
      <w:r w:rsidRPr="005A6399">
        <w:t>Éducation, alphabétisation et langues</w:t>
      </w:r>
    </w:p>
    <w:p w14:paraId="74C9C0CC" w14:textId="15F2E0D1" w:rsidR="005A6399" w:rsidRDefault="005A6399" w:rsidP="001B4CAC">
      <w:r w:rsidRPr="005A6399">
        <w:t xml:space="preserve">Le taux d’analphabétisme </w:t>
      </w:r>
      <w:r w:rsidR="000D501B">
        <w:t xml:space="preserve">à Ménara </w:t>
      </w:r>
      <w:r w:rsidR="00007E02">
        <w:t>est de</w:t>
      </w:r>
      <w:r w:rsidRPr="005A6399">
        <w:t xml:space="preserve"> (</w:t>
      </w:r>
      <w:r w:rsidR="00007E02">
        <w:t>11,9</w:t>
      </w:r>
      <w:r w:rsidRPr="005A6399">
        <w:t xml:space="preserve"> %) qu’à l’échelle provinciale (1</w:t>
      </w:r>
      <w:r w:rsidR="00007E02">
        <w:t>7,8</w:t>
      </w:r>
      <w:r w:rsidRPr="005A6399">
        <w:t xml:space="preserve"> %).</w:t>
      </w:r>
    </w:p>
    <w:p w14:paraId="2E2CB8A9" w14:textId="5559E6F4" w:rsidR="005A6399" w:rsidRDefault="005A6399" w:rsidP="00404CE3">
      <w:r w:rsidRPr="005A6399">
        <w:t xml:space="preserve">La disparité entre les sexes demeure nette : </w:t>
      </w:r>
      <w:r w:rsidR="00404CE3">
        <w:t>16,6</w:t>
      </w:r>
      <w:r w:rsidRPr="005A6399">
        <w:t xml:space="preserve"> % des femmes sont analphabètes contre </w:t>
      </w:r>
      <w:r w:rsidR="00404CE3">
        <w:t>6,8</w:t>
      </w:r>
      <w:r w:rsidRPr="005A6399">
        <w:t xml:space="preserve"> % des hommes.</w:t>
      </w:r>
    </w:p>
    <w:p w14:paraId="56B826C3" w14:textId="23988C7E" w:rsidR="005A6399" w:rsidRDefault="005A6399" w:rsidP="004637C7">
      <w:pPr>
        <w:pStyle w:val="Lgende"/>
        <w:keepNext/>
      </w:pPr>
      <w:bookmarkStart w:id="325" w:name="_Toc213404357"/>
      <w:r>
        <w:t xml:space="preserve">Tableau </w:t>
      </w:r>
      <w:r>
        <w:fldChar w:fldCharType="begin"/>
      </w:r>
      <w:r>
        <w:instrText xml:space="preserve"> SEQ Tableau \* ARABIC </w:instrText>
      </w:r>
      <w:r>
        <w:fldChar w:fldCharType="separate"/>
      </w:r>
      <w:r w:rsidR="00274E71">
        <w:rPr>
          <w:noProof/>
        </w:rPr>
        <w:t>34</w:t>
      </w:r>
      <w:r>
        <w:fldChar w:fldCharType="end"/>
      </w:r>
      <w:r>
        <w:rPr>
          <w:lang w:val="fr-FR"/>
        </w:rPr>
        <w:t xml:space="preserve"> : </w:t>
      </w:r>
      <w:r w:rsidRPr="00D135C0">
        <w:rPr>
          <w:lang w:val="fr-FR"/>
        </w:rPr>
        <w:t>Niveaux d’instruction et alphabétisation (RGPH 2024)</w:t>
      </w:r>
      <w:bookmarkEnd w:id="325"/>
    </w:p>
    <w:tbl>
      <w:tblPr>
        <w:tblStyle w:val="TableauGrille1Clair-Accentuation111"/>
        <w:tblW w:w="0" w:type="auto"/>
        <w:jc w:val="center"/>
        <w:tblLook w:val="04A0" w:firstRow="1" w:lastRow="0" w:firstColumn="1" w:lastColumn="0" w:noHBand="0" w:noVBand="1"/>
      </w:tblPr>
      <w:tblGrid>
        <w:gridCol w:w="2903"/>
        <w:gridCol w:w="868"/>
      </w:tblGrid>
      <w:tr w:rsidR="00404CE3" w:rsidRPr="005A6399" w14:paraId="61E1FCD3" w14:textId="77777777" w:rsidTr="004637C7">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48D25B75" w14:textId="77777777" w:rsidR="00404CE3" w:rsidRPr="005A6399" w:rsidRDefault="00404CE3" w:rsidP="005A6399">
            <w:r w:rsidRPr="005A6399">
              <w:t>Indicateur</w:t>
            </w:r>
          </w:p>
        </w:tc>
        <w:tc>
          <w:tcPr>
            <w:tcW w:w="0" w:type="auto"/>
            <w:hideMark/>
          </w:tcPr>
          <w:p w14:paraId="490B6966" w14:textId="6A47327C" w:rsidR="00404CE3" w:rsidRPr="005A6399" w:rsidRDefault="00404CE3" w:rsidP="005A6399">
            <w:pPr>
              <w:cnfStyle w:val="100000000000" w:firstRow="1" w:lastRow="0" w:firstColumn="0" w:lastColumn="0" w:oddVBand="0" w:evenVBand="0" w:oddHBand="0" w:evenHBand="0" w:firstRowFirstColumn="0" w:firstRowLastColumn="0" w:lastRowFirstColumn="0" w:lastRowLastColumn="0"/>
            </w:pPr>
            <w:r>
              <w:t>Ménara</w:t>
            </w:r>
          </w:p>
        </w:tc>
      </w:tr>
      <w:tr w:rsidR="00404CE3" w:rsidRPr="005A6399" w14:paraId="7F002632" w14:textId="77777777" w:rsidTr="004637C7">
        <w:trPr>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35AD126E" w14:textId="77777777" w:rsidR="00404CE3" w:rsidRPr="005A6399" w:rsidRDefault="00404CE3" w:rsidP="005A6399">
            <w:r w:rsidRPr="005A6399">
              <w:t>Analphabétisme (≥ 10 ans)</w:t>
            </w:r>
          </w:p>
        </w:tc>
        <w:tc>
          <w:tcPr>
            <w:tcW w:w="0" w:type="auto"/>
            <w:hideMark/>
          </w:tcPr>
          <w:p w14:paraId="4BA8CF64" w14:textId="3F16CC7A" w:rsidR="00404CE3" w:rsidRPr="005A6399" w:rsidRDefault="00404CE3" w:rsidP="005A6399">
            <w:pPr>
              <w:cnfStyle w:val="000000000000" w:firstRow="0" w:lastRow="0" w:firstColumn="0" w:lastColumn="0" w:oddVBand="0" w:evenVBand="0" w:oddHBand="0" w:evenHBand="0" w:firstRowFirstColumn="0" w:firstRowLastColumn="0" w:lastRowFirstColumn="0" w:lastRowLastColumn="0"/>
            </w:pPr>
            <w:r>
              <w:t>11,9</w:t>
            </w:r>
            <w:r w:rsidRPr="005A6399">
              <w:t xml:space="preserve"> %</w:t>
            </w:r>
          </w:p>
        </w:tc>
      </w:tr>
      <w:tr w:rsidR="00404CE3" w:rsidRPr="005A6399" w14:paraId="49E0E6A0" w14:textId="77777777" w:rsidTr="004637C7">
        <w:trPr>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43C64240" w14:textId="77777777" w:rsidR="00404CE3" w:rsidRPr="005A6399" w:rsidRDefault="00404CE3" w:rsidP="005A6399">
            <w:r w:rsidRPr="005A6399">
              <w:t>Hommes analphabètes</w:t>
            </w:r>
          </w:p>
        </w:tc>
        <w:tc>
          <w:tcPr>
            <w:tcW w:w="0" w:type="auto"/>
            <w:hideMark/>
          </w:tcPr>
          <w:p w14:paraId="27E87548" w14:textId="4BA471F8" w:rsidR="00404CE3" w:rsidRPr="005A6399" w:rsidRDefault="00DF7E21" w:rsidP="005A6399">
            <w:pPr>
              <w:cnfStyle w:val="000000000000" w:firstRow="0" w:lastRow="0" w:firstColumn="0" w:lastColumn="0" w:oddVBand="0" w:evenVBand="0" w:oddHBand="0" w:evenHBand="0" w:firstRowFirstColumn="0" w:firstRowLastColumn="0" w:lastRowFirstColumn="0" w:lastRowLastColumn="0"/>
            </w:pPr>
            <w:r>
              <w:t>6,8</w:t>
            </w:r>
            <w:r w:rsidR="00404CE3" w:rsidRPr="005A6399">
              <w:t xml:space="preserve"> %</w:t>
            </w:r>
          </w:p>
        </w:tc>
      </w:tr>
      <w:tr w:rsidR="00404CE3" w:rsidRPr="005A6399" w14:paraId="16EA9A66" w14:textId="77777777" w:rsidTr="004637C7">
        <w:trPr>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53FC67A8" w14:textId="77777777" w:rsidR="00404CE3" w:rsidRPr="005A6399" w:rsidRDefault="00404CE3" w:rsidP="005A6399">
            <w:r w:rsidRPr="005A6399">
              <w:t>Femmes analphabètes</w:t>
            </w:r>
          </w:p>
        </w:tc>
        <w:tc>
          <w:tcPr>
            <w:tcW w:w="0" w:type="auto"/>
            <w:hideMark/>
          </w:tcPr>
          <w:p w14:paraId="15218894" w14:textId="657561E4" w:rsidR="00404CE3" w:rsidRPr="005A6399" w:rsidRDefault="00DF7E21" w:rsidP="005A6399">
            <w:pPr>
              <w:cnfStyle w:val="000000000000" w:firstRow="0" w:lastRow="0" w:firstColumn="0" w:lastColumn="0" w:oddVBand="0" w:evenVBand="0" w:oddHBand="0" w:evenHBand="0" w:firstRowFirstColumn="0" w:firstRowLastColumn="0" w:lastRowFirstColumn="0" w:lastRowLastColumn="0"/>
            </w:pPr>
            <w:r>
              <w:t>16,6</w:t>
            </w:r>
            <w:r w:rsidR="00404CE3" w:rsidRPr="005A6399">
              <w:t xml:space="preserve"> %</w:t>
            </w:r>
          </w:p>
        </w:tc>
      </w:tr>
      <w:tr w:rsidR="00404CE3" w:rsidRPr="005A6399" w14:paraId="64435DC8" w14:textId="77777777" w:rsidTr="004637C7">
        <w:trPr>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4131E7A3" w14:textId="77777777" w:rsidR="00404CE3" w:rsidRPr="005A6399" w:rsidRDefault="00404CE3" w:rsidP="005A6399">
            <w:r w:rsidRPr="005A6399">
              <w:t>Scolarisation primaire (6-11 ans)</w:t>
            </w:r>
          </w:p>
        </w:tc>
        <w:tc>
          <w:tcPr>
            <w:tcW w:w="0" w:type="auto"/>
            <w:hideMark/>
          </w:tcPr>
          <w:p w14:paraId="329034FA" w14:textId="7F8E99D5" w:rsidR="00404CE3" w:rsidRPr="005A6399" w:rsidRDefault="00DF7E21" w:rsidP="005A6399">
            <w:pPr>
              <w:cnfStyle w:val="000000000000" w:firstRow="0" w:lastRow="0" w:firstColumn="0" w:lastColumn="0" w:oddVBand="0" w:evenVBand="0" w:oddHBand="0" w:evenHBand="0" w:firstRowFirstColumn="0" w:firstRowLastColumn="0" w:lastRowFirstColumn="0" w:lastRowLastColumn="0"/>
            </w:pPr>
            <w:r>
              <w:t>22,8</w:t>
            </w:r>
            <w:r w:rsidR="00404CE3" w:rsidRPr="005A6399">
              <w:t xml:space="preserve"> %</w:t>
            </w:r>
          </w:p>
        </w:tc>
      </w:tr>
      <w:tr w:rsidR="00404CE3" w:rsidRPr="005A6399" w14:paraId="33FB1158" w14:textId="77777777" w:rsidTr="004637C7">
        <w:trPr>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07719D86" w14:textId="77777777" w:rsidR="00404CE3" w:rsidRPr="005A6399" w:rsidRDefault="00404CE3" w:rsidP="005A6399">
            <w:r w:rsidRPr="005A6399">
              <w:t>Langue lue : arabe seul</w:t>
            </w:r>
          </w:p>
        </w:tc>
        <w:tc>
          <w:tcPr>
            <w:tcW w:w="0" w:type="auto"/>
            <w:hideMark/>
          </w:tcPr>
          <w:p w14:paraId="2CB4C551" w14:textId="18B6337D" w:rsidR="00404CE3" w:rsidRPr="005A6399" w:rsidRDefault="001D2379" w:rsidP="005A6399">
            <w:pPr>
              <w:cnfStyle w:val="000000000000" w:firstRow="0" w:lastRow="0" w:firstColumn="0" w:lastColumn="0" w:oddVBand="0" w:evenVBand="0" w:oddHBand="0" w:evenHBand="0" w:firstRowFirstColumn="0" w:firstRowLastColumn="0" w:lastRowFirstColumn="0" w:lastRowLastColumn="0"/>
            </w:pPr>
            <w:r>
              <w:t>24,8</w:t>
            </w:r>
            <w:r w:rsidR="00404CE3" w:rsidRPr="005A6399">
              <w:t xml:space="preserve"> %</w:t>
            </w:r>
          </w:p>
        </w:tc>
      </w:tr>
      <w:tr w:rsidR="00404CE3" w:rsidRPr="005A6399" w14:paraId="21CE3A87" w14:textId="77777777" w:rsidTr="004637C7">
        <w:trPr>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41D53C0E" w14:textId="77777777" w:rsidR="00404CE3" w:rsidRPr="005A6399" w:rsidRDefault="00404CE3" w:rsidP="005A6399">
            <w:r w:rsidRPr="005A6399">
              <w:t>Langues arabe + français</w:t>
            </w:r>
          </w:p>
        </w:tc>
        <w:tc>
          <w:tcPr>
            <w:tcW w:w="0" w:type="auto"/>
            <w:hideMark/>
          </w:tcPr>
          <w:p w14:paraId="2C6DABD2" w14:textId="77777777" w:rsidR="00404CE3" w:rsidRPr="005A6399" w:rsidRDefault="00404CE3" w:rsidP="005A6399">
            <w:pPr>
              <w:cnfStyle w:val="000000000000" w:firstRow="0" w:lastRow="0" w:firstColumn="0" w:lastColumn="0" w:oddVBand="0" w:evenVBand="0" w:oddHBand="0" w:evenHBand="0" w:firstRowFirstColumn="0" w:firstRowLastColumn="0" w:lastRowFirstColumn="0" w:lastRowLastColumn="0"/>
            </w:pPr>
            <w:r w:rsidRPr="005A6399">
              <w:t>38,1 %</w:t>
            </w:r>
          </w:p>
        </w:tc>
      </w:tr>
    </w:tbl>
    <w:p w14:paraId="1E5C46F2" w14:textId="6A47F378" w:rsidR="005A6399" w:rsidRDefault="005A6399" w:rsidP="004637C7">
      <w:pPr>
        <w:pStyle w:val="Title4"/>
      </w:pPr>
      <w:r w:rsidRPr="005A6399">
        <w:lastRenderedPageBreak/>
        <w:t>Activité économique et emploi</w:t>
      </w:r>
    </w:p>
    <w:p w14:paraId="1074A21E" w14:textId="39B216B7" w:rsidR="005A6399" w:rsidRDefault="005A6399" w:rsidP="004637C7">
      <w:r w:rsidRPr="005A6399">
        <w:t xml:space="preserve">Le taux net d’activité s’élève à </w:t>
      </w:r>
      <w:r w:rsidR="001D2379">
        <w:t>44,4</w:t>
      </w:r>
      <w:r w:rsidRPr="005A6399">
        <w:t xml:space="preserve"> % à </w:t>
      </w:r>
      <w:r w:rsidR="001D2379">
        <w:t>Ménara</w:t>
      </w:r>
      <w:r w:rsidRPr="005A6399">
        <w:t xml:space="preserve">, </w:t>
      </w:r>
      <w:r w:rsidR="001D2379">
        <w:t>en cohérence avec</w:t>
      </w:r>
      <w:r w:rsidRPr="005A6399">
        <w:t xml:space="preserve"> la moyenne provinciale.</w:t>
      </w:r>
      <w:r w:rsidRPr="005A6399">
        <w:br/>
        <w:t>La participation féminine au marché du travail demeure limitée (</w:t>
      </w:r>
      <w:r w:rsidR="0055732A">
        <w:t>24,4</w:t>
      </w:r>
      <w:r w:rsidRPr="005A6399">
        <w:t xml:space="preserve"> %), ce qui reflète la persistance d’un écart de genre observable au niveau national (source : HCP, </w:t>
      </w:r>
      <w:r w:rsidR="0055732A">
        <w:t>2024</w:t>
      </w:r>
      <w:r w:rsidRPr="005A6399">
        <w:t>).</w:t>
      </w:r>
      <w:r w:rsidRPr="005A6399">
        <w:br/>
        <w:t>Le secteur privé concentre la majorité des emplois (</w:t>
      </w:r>
      <w:r w:rsidR="0055732A">
        <w:t>68,7</w:t>
      </w:r>
      <w:r w:rsidRPr="005A6399">
        <w:t xml:space="preserve"> %)</w:t>
      </w:r>
      <w:r w:rsidR="0055732A">
        <w:t>.</w:t>
      </w:r>
    </w:p>
    <w:p w14:paraId="265C43D2" w14:textId="42E1D607" w:rsidR="005A6399" w:rsidRDefault="005A6399" w:rsidP="004637C7">
      <w:pPr>
        <w:pStyle w:val="Lgende"/>
        <w:keepNext/>
      </w:pPr>
      <w:bookmarkStart w:id="326" w:name="_Toc213404358"/>
      <w:r>
        <w:t xml:space="preserve">Tableau </w:t>
      </w:r>
      <w:r>
        <w:fldChar w:fldCharType="begin"/>
      </w:r>
      <w:r>
        <w:instrText xml:space="preserve"> SEQ Tableau \* ARABIC </w:instrText>
      </w:r>
      <w:r>
        <w:fldChar w:fldCharType="separate"/>
      </w:r>
      <w:r w:rsidR="00274E71">
        <w:rPr>
          <w:noProof/>
        </w:rPr>
        <w:t>35</w:t>
      </w:r>
      <w:r>
        <w:fldChar w:fldCharType="end"/>
      </w:r>
      <w:r>
        <w:rPr>
          <w:lang w:val="fr-FR"/>
        </w:rPr>
        <w:t xml:space="preserve"> : </w:t>
      </w:r>
      <w:r w:rsidRPr="00473E90">
        <w:rPr>
          <w:lang w:val="fr-FR"/>
        </w:rPr>
        <w:t>Indicateurs d’activité économique (RGPH 2024)</w:t>
      </w:r>
      <w:bookmarkEnd w:id="326"/>
    </w:p>
    <w:tbl>
      <w:tblPr>
        <w:tblStyle w:val="TableauGrille1Clair-Accentuation111"/>
        <w:tblW w:w="0" w:type="auto"/>
        <w:jc w:val="center"/>
        <w:tblLook w:val="04A0" w:firstRow="1" w:lastRow="0" w:firstColumn="1" w:lastColumn="0" w:noHBand="0" w:noVBand="1"/>
      </w:tblPr>
      <w:tblGrid>
        <w:gridCol w:w="2244"/>
        <w:gridCol w:w="868"/>
      </w:tblGrid>
      <w:tr w:rsidR="0055732A" w:rsidRPr="005A6399" w14:paraId="6A268510" w14:textId="77777777" w:rsidTr="00721A15">
        <w:trPr>
          <w:cnfStyle w:val="100000000000" w:firstRow="1" w:lastRow="0" w:firstColumn="0" w:lastColumn="0" w:oddVBand="0" w:evenVBand="0" w:oddHBand="0" w:evenHBand="0" w:firstRowFirstColumn="0" w:firstRowLastColumn="0" w:lastRowFirstColumn="0" w:lastRowLastColumn="0"/>
          <w:tblHeader/>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7AE85A7C" w14:textId="77777777" w:rsidR="0055732A" w:rsidRPr="005A6399" w:rsidRDefault="0055732A" w:rsidP="005A6399">
            <w:r w:rsidRPr="005A6399">
              <w:t>Indicateur</w:t>
            </w:r>
          </w:p>
        </w:tc>
        <w:tc>
          <w:tcPr>
            <w:tcW w:w="0" w:type="auto"/>
            <w:hideMark/>
          </w:tcPr>
          <w:p w14:paraId="3EE43771" w14:textId="0097C356" w:rsidR="0055732A" w:rsidRPr="005A6399" w:rsidRDefault="0055732A" w:rsidP="005A6399">
            <w:pPr>
              <w:cnfStyle w:val="100000000000" w:firstRow="1" w:lastRow="0" w:firstColumn="0" w:lastColumn="0" w:oddVBand="0" w:evenVBand="0" w:oddHBand="0" w:evenHBand="0" w:firstRowFirstColumn="0" w:firstRowLastColumn="0" w:lastRowFirstColumn="0" w:lastRowLastColumn="0"/>
            </w:pPr>
            <w:r>
              <w:t>Ménara</w:t>
            </w:r>
          </w:p>
        </w:tc>
      </w:tr>
      <w:tr w:rsidR="0055732A" w:rsidRPr="005A6399" w14:paraId="0848DE1C" w14:textId="77777777" w:rsidTr="004637C7">
        <w:trPr>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1F79969E" w14:textId="77777777" w:rsidR="0055732A" w:rsidRPr="005A6399" w:rsidRDefault="0055732A" w:rsidP="005A6399">
            <w:r w:rsidRPr="005A6399">
              <w:t>Taux net d’activité</w:t>
            </w:r>
          </w:p>
        </w:tc>
        <w:tc>
          <w:tcPr>
            <w:tcW w:w="0" w:type="auto"/>
            <w:hideMark/>
          </w:tcPr>
          <w:p w14:paraId="1693E7CB" w14:textId="1115F9FA" w:rsidR="0055732A" w:rsidRPr="005A6399" w:rsidRDefault="00C526E7" w:rsidP="005A6399">
            <w:pPr>
              <w:cnfStyle w:val="000000000000" w:firstRow="0" w:lastRow="0" w:firstColumn="0" w:lastColumn="0" w:oddVBand="0" w:evenVBand="0" w:oddHBand="0" w:evenHBand="0" w:firstRowFirstColumn="0" w:firstRowLastColumn="0" w:lastRowFirstColumn="0" w:lastRowLastColumn="0"/>
            </w:pPr>
            <w:r>
              <w:t xml:space="preserve">44,4 </w:t>
            </w:r>
            <w:r w:rsidR="0055732A" w:rsidRPr="005A6399">
              <w:t xml:space="preserve"> %</w:t>
            </w:r>
          </w:p>
        </w:tc>
      </w:tr>
      <w:tr w:rsidR="0055732A" w:rsidRPr="005A6399" w14:paraId="426C2B22" w14:textId="77777777" w:rsidTr="004637C7">
        <w:trPr>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6E7D807B" w14:textId="77777777" w:rsidR="0055732A" w:rsidRPr="005A6399" w:rsidRDefault="0055732A" w:rsidP="005A6399">
            <w:r w:rsidRPr="005A6399">
              <w:t>Taux de chômage</w:t>
            </w:r>
          </w:p>
        </w:tc>
        <w:tc>
          <w:tcPr>
            <w:tcW w:w="0" w:type="auto"/>
            <w:hideMark/>
          </w:tcPr>
          <w:p w14:paraId="5FB6E43F" w14:textId="3911A336" w:rsidR="0055732A" w:rsidRPr="005A6399" w:rsidRDefault="00C526E7" w:rsidP="005A6399">
            <w:pPr>
              <w:cnfStyle w:val="000000000000" w:firstRow="0" w:lastRow="0" w:firstColumn="0" w:lastColumn="0" w:oddVBand="0" w:evenVBand="0" w:oddHBand="0" w:evenHBand="0" w:firstRowFirstColumn="0" w:firstRowLastColumn="0" w:lastRowFirstColumn="0" w:lastRowLastColumn="0"/>
            </w:pPr>
            <w:r>
              <w:t>18,3</w:t>
            </w:r>
            <w:r w:rsidR="0055732A" w:rsidRPr="005A6399">
              <w:t xml:space="preserve"> %</w:t>
            </w:r>
          </w:p>
        </w:tc>
      </w:tr>
      <w:tr w:rsidR="0055732A" w:rsidRPr="005A6399" w14:paraId="4B19BED1" w14:textId="77777777" w:rsidTr="004637C7">
        <w:trPr>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4ABF84D4" w14:textId="77777777" w:rsidR="0055732A" w:rsidRPr="005A6399" w:rsidRDefault="0055732A" w:rsidP="005A6399">
            <w:r w:rsidRPr="005A6399">
              <w:t>Taux d’activité masculin</w:t>
            </w:r>
          </w:p>
        </w:tc>
        <w:tc>
          <w:tcPr>
            <w:tcW w:w="0" w:type="auto"/>
            <w:hideMark/>
          </w:tcPr>
          <w:p w14:paraId="30578BD0" w14:textId="705016D4" w:rsidR="0055732A" w:rsidRPr="005A6399" w:rsidRDefault="00C526E7" w:rsidP="005A6399">
            <w:pPr>
              <w:cnfStyle w:val="000000000000" w:firstRow="0" w:lastRow="0" w:firstColumn="0" w:lastColumn="0" w:oddVBand="0" w:evenVBand="0" w:oddHBand="0" w:evenHBand="0" w:firstRowFirstColumn="0" w:firstRowLastColumn="0" w:lastRowFirstColumn="0" w:lastRowLastColumn="0"/>
            </w:pPr>
            <w:r>
              <w:t>66,2</w:t>
            </w:r>
            <w:r w:rsidR="0055732A" w:rsidRPr="005A6399">
              <w:t xml:space="preserve"> %</w:t>
            </w:r>
          </w:p>
        </w:tc>
      </w:tr>
      <w:tr w:rsidR="0055732A" w:rsidRPr="005A6399" w14:paraId="5A0D8728" w14:textId="77777777" w:rsidTr="004637C7">
        <w:trPr>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35BA3BCE" w14:textId="77777777" w:rsidR="0055732A" w:rsidRPr="005A6399" w:rsidRDefault="0055732A" w:rsidP="005A6399">
            <w:r w:rsidRPr="005A6399">
              <w:t>Taux d’activité féminin</w:t>
            </w:r>
          </w:p>
        </w:tc>
        <w:tc>
          <w:tcPr>
            <w:tcW w:w="0" w:type="auto"/>
            <w:hideMark/>
          </w:tcPr>
          <w:p w14:paraId="44952C8C" w14:textId="3DB84EBD" w:rsidR="0055732A" w:rsidRPr="005A6399" w:rsidRDefault="0055732A" w:rsidP="005A6399">
            <w:pPr>
              <w:cnfStyle w:val="000000000000" w:firstRow="0" w:lastRow="0" w:firstColumn="0" w:lastColumn="0" w:oddVBand="0" w:evenVBand="0" w:oddHBand="0" w:evenHBand="0" w:firstRowFirstColumn="0" w:firstRowLastColumn="0" w:lastRowFirstColumn="0" w:lastRowLastColumn="0"/>
            </w:pPr>
            <w:r w:rsidRPr="005A6399">
              <w:t>2</w:t>
            </w:r>
            <w:r w:rsidR="00C526E7">
              <w:t>4,</w:t>
            </w:r>
            <w:r w:rsidR="005E6086">
              <w:t>4</w:t>
            </w:r>
            <w:r w:rsidRPr="005A6399">
              <w:t xml:space="preserve"> %</w:t>
            </w:r>
          </w:p>
        </w:tc>
      </w:tr>
      <w:tr w:rsidR="0055732A" w:rsidRPr="005A6399" w14:paraId="570E0915" w14:textId="77777777" w:rsidTr="004637C7">
        <w:trPr>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5406FCEB" w14:textId="77777777" w:rsidR="0055732A" w:rsidRPr="005A6399" w:rsidRDefault="0055732A" w:rsidP="005A6399">
            <w:r w:rsidRPr="005A6399">
              <w:t>Salariés du secteur privé</w:t>
            </w:r>
          </w:p>
        </w:tc>
        <w:tc>
          <w:tcPr>
            <w:tcW w:w="0" w:type="auto"/>
            <w:hideMark/>
          </w:tcPr>
          <w:p w14:paraId="2B21B916" w14:textId="2245A8ED" w:rsidR="0055732A" w:rsidRPr="005A6399" w:rsidRDefault="005E6086" w:rsidP="005A6399">
            <w:pPr>
              <w:cnfStyle w:val="000000000000" w:firstRow="0" w:lastRow="0" w:firstColumn="0" w:lastColumn="0" w:oddVBand="0" w:evenVBand="0" w:oddHBand="0" w:evenHBand="0" w:firstRowFirstColumn="0" w:firstRowLastColumn="0" w:lastRowFirstColumn="0" w:lastRowLastColumn="0"/>
            </w:pPr>
            <w:r>
              <w:t>68,7</w:t>
            </w:r>
            <w:r w:rsidR="0055732A" w:rsidRPr="005A6399">
              <w:t xml:space="preserve"> %</w:t>
            </w:r>
          </w:p>
        </w:tc>
      </w:tr>
      <w:tr w:rsidR="0055732A" w:rsidRPr="005A6399" w14:paraId="0398202E" w14:textId="77777777" w:rsidTr="004637C7">
        <w:trPr>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507F570D" w14:textId="77777777" w:rsidR="0055732A" w:rsidRPr="005A6399" w:rsidRDefault="0055732A" w:rsidP="005A6399">
            <w:r w:rsidRPr="005A6399">
              <w:t>Indépendants</w:t>
            </w:r>
          </w:p>
        </w:tc>
        <w:tc>
          <w:tcPr>
            <w:tcW w:w="0" w:type="auto"/>
            <w:hideMark/>
          </w:tcPr>
          <w:p w14:paraId="403B6131" w14:textId="4CDA71EA" w:rsidR="0055732A" w:rsidRPr="005A6399" w:rsidRDefault="0055732A" w:rsidP="005A6399">
            <w:pPr>
              <w:cnfStyle w:val="000000000000" w:firstRow="0" w:lastRow="0" w:firstColumn="0" w:lastColumn="0" w:oddVBand="0" w:evenVBand="0" w:oddHBand="0" w:evenHBand="0" w:firstRowFirstColumn="0" w:firstRowLastColumn="0" w:lastRowFirstColumn="0" w:lastRowLastColumn="0"/>
            </w:pPr>
            <w:r w:rsidRPr="005A6399">
              <w:t>2</w:t>
            </w:r>
            <w:r w:rsidR="005E6086">
              <w:t>1</w:t>
            </w:r>
            <w:r w:rsidRPr="005A6399">
              <w:t xml:space="preserve"> %</w:t>
            </w:r>
          </w:p>
        </w:tc>
      </w:tr>
      <w:tr w:rsidR="0055732A" w:rsidRPr="005A6399" w14:paraId="3B468310" w14:textId="77777777" w:rsidTr="004637C7">
        <w:trPr>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7E1748E4" w14:textId="04B7AAA4" w:rsidR="0055732A" w:rsidRPr="005A6399" w:rsidRDefault="00FC0C21" w:rsidP="005A6399">
            <w:r>
              <w:t xml:space="preserve">Associé ou </w:t>
            </w:r>
            <w:r w:rsidR="00EB3FA8">
              <w:t>Partenaire</w:t>
            </w:r>
          </w:p>
        </w:tc>
        <w:tc>
          <w:tcPr>
            <w:tcW w:w="0" w:type="auto"/>
            <w:hideMark/>
          </w:tcPr>
          <w:p w14:paraId="5E545E45" w14:textId="685C1C69" w:rsidR="0055732A" w:rsidRPr="005A6399" w:rsidRDefault="00EB3FA8" w:rsidP="005A6399">
            <w:pPr>
              <w:cnfStyle w:val="000000000000" w:firstRow="0" w:lastRow="0" w:firstColumn="0" w:lastColumn="0" w:oddVBand="0" w:evenVBand="0" w:oddHBand="0" w:evenHBand="0" w:firstRowFirstColumn="0" w:firstRowLastColumn="0" w:lastRowFirstColumn="0" w:lastRowLastColumn="0"/>
            </w:pPr>
            <w:r>
              <w:t>2,4</w:t>
            </w:r>
            <w:r w:rsidR="0055732A" w:rsidRPr="005A6399">
              <w:t xml:space="preserve"> %</w:t>
            </w:r>
          </w:p>
        </w:tc>
      </w:tr>
    </w:tbl>
    <w:p w14:paraId="6D74925C" w14:textId="54E4D0A8" w:rsidR="005A6399" w:rsidRDefault="002566F0" w:rsidP="004637C7">
      <w:pPr>
        <w:pStyle w:val="Title4"/>
      </w:pPr>
      <w:r w:rsidRPr="002566F0">
        <w:t>Conditions de vie et infrastructures</w:t>
      </w:r>
    </w:p>
    <w:p w14:paraId="3554A1F5" w14:textId="62E494E8" w:rsidR="000219E2" w:rsidRDefault="000219E2" w:rsidP="000219E2">
      <w:r>
        <w:t xml:space="preserve">Les indicateurs du RGPH 2024 montrent que les ménages de </w:t>
      </w:r>
      <w:r w:rsidR="00A35C9A">
        <w:t>Ménara</w:t>
      </w:r>
      <w:r>
        <w:t xml:space="preserve"> bénéficient d’un accès généralisé aux services essentiels, avec des taux de raccordement supérieurs à 90 %.</w:t>
      </w:r>
    </w:p>
    <w:p w14:paraId="2860FC4F" w14:textId="16927CAD" w:rsidR="0045402D" w:rsidRDefault="000219E2" w:rsidP="00FD6472">
      <w:r>
        <w:t>L’assainissement collectif atteigne</w:t>
      </w:r>
      <w:r w:rsidR="00FD6472">
        <w:t xml:space="preserve"> 98,1%.</w:t>
      </w:r>
    </w:p>
    <w:p w14:paraId="27763944" w14:textId="098BEBE0" w:rsidR="0045402D" w:rsidRDefault="0045402D" w:rsidP="0045402D">
      <w:pPr>
        <w:pStyle w:val="Lgende"/>
        <w:keepNext/>
        <w:rPr>
          <w:lang w:val="fr-FR"/>
        </w:rPr>
      </w:pPr>
      <w:bookmarkStart w:id="327" w:name="_Toc213404359"/>
      <w:r>
        <w:t xml:space="preserve">Tableau </w:t>
      </w:r>
      <w:r>
        <w:fldChar w:fldCharType="begin"/>
      </w:r>
      <w:r>
        <w:instrText xml:space="preserve"> SEQ Tableau \* ARABIC </w:instrText>
      </w:r>
      <w:r>
        <w:fldChar w:fldCharType="separate"/>
      </w:r>
      <w:r w:rsidR="00274E71">
        <w:rPr>
          <w:noProof/>
        </w:rPr>
        <w:t>36</w:t>
      </w:r>
      <w:r>
        <w:fldChar w:fldCharType="end"/>
      </w:r>
      <w:r>
        <w:rPr>
          <w:lang w:val="fr-FR"/>
        </w:rPr>
        <w:t xml:space="preserve"> : L</w:t>
      </w:r>
      <w:r w:rsidRPr="001F2279">
        <w:rPr>
          <w:lang w:val="fr-FR"/>
        </w:rPr>
        <w:t>ogement et accès aux services de base (RGPH 2024)</w:t>
      </w:r>
      <w:bookmarkEnd w:id="327"/>
    </w:p>
    <w:tbl>
      <w:tblPr>
        <w:tblStyle w:val="TableauGrille1Clair-Accentuation111"/>
        <w:tblW w:w="0" w:type="auto"/>
        <w:jc w:val="center"/>
        <w:tblLook w:val="04A0" w:firstRow="1" w:lastRow="0" w:firstColumn="1" w:lastColumn="0" w:noHBand="0" w:noVBand="1"/>
      </w:tblPr>
      <w:tblGrid>
        <w:gridCol w:w="2611"/>
        <w:gridCol w:w="917"/>
      </w:tblGrid>
      <w:tr w:rsidR="00FD6472" w:rsidRPr="002566F0" w14:paraId="17491352" w14:textId="77777777" w:rsidTr="004637C7">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0D24040C" w14:textId="77777777" w:rsidR="00FD6472" w:rsidRPr="002566F0" w:rsidRDefault="00FD6472" w:rsidP="002566F0">
            <w:pPr>
              <w:rPr>
                <w:lang w:eastAsia="fr-FR" w:bidi="ar-SA"/>
              </w:rPr>
            </w:pPr>
            <w:r w:rsidRPr="002566F0">
              <w:rPr>
                <w:lang w:eastAsia="fr-FR" w:bidi="ar-SA"/>
              </w:rPr>
              <w:t>Indicateur</w:t>
            </w:r>
          </w:p>
        </w:tc>
        <w:tc>
          <w:tcPr>
            <w:tcW w:w="0" w:type="auto"/>
            <w:hideMark/>
          </w:tcPr>
          <w:p w14:paraId="39BBF57C" w14:textId="01928316" w:rsidR="00FD6472" w:rsidRPr="002566F0" w:rsidRDefault="00FD6472" w:rsidP="002566F0">
            <w:pPr>
              <w:cnfStyle w:val="100000000000" w:firstRow="1" w:lastRow="0" w:firstColumn="0" w:lastColumn="0" w:oddVBand="0" w:evenVBand="0" w:oddHBand="0" w:evenHBand="0" w:firstRowFirstColumn="0" w:firstRowLastColumn="0" w:lastRowFirstColumn="0" w:lastRowLastColumn="0"/>
              <w:rPr>
                <w:lang w:eastAsia="fr-FR" w:bidi="ar-SA"/>
              </w:rPr>
            </w:pPr>
            <w:r>
              <w:rPr>
                <w:lang w:eastAsia="fr-FR" w:bidi="ar-SA"/>
              </w:rPr>
              <w:t>Ménara</w:t>
            </w:r>
          </w:p>
        </w:tc>
      </w:tr>
      <w:tr w:rsidR="00FD6472" w:rsidRPr="002566F0" w14:paraId="4F06D568" w14:textId="77777777" w:rsidTr="004637C7">
        <w:trPr>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7B380D10" w14:textId="77777777" w:rsidR="00FD6472" w:rsidRPr="002566F0" w:rsidRDefault="00FD6472" w:rsidP="002566F0">
            <w:pPr>
              <w:rPr>
                <w:lang w:eastAsia="fr-FR" w:bidi="ar-SA"/>
              </w:rPr>
            </w:pPr>
            <w:r w:rsidRPr="002566F0">
              <w:rPr>
                <w:lang w:eastAsia="fr-FR" w:bidi="ar-SA"/>
              </w:rPr>
              <w:t>Propriétaires</w:t>
            </w:r>
          </w:p>
        </w:tc>
        <w:tc>
          <w:tcPr>
            <w:tcW w:w="0" w:type="auto"/>
            <w:hideMark/>
          </w:tcPr>
          <w:p w14:paraId="305A0CCF" w14:textId="6BA09480" w:rsidR="00FD6472" w:rsidRPr="002566F0" w:rsidRDefault="009B4360" w:rsidP="002566F0">
            <w:pPr>
              <w:cnfStyle w:val="000000000000" w:firstRow="0" w:lastRow="0" w:firstColumn="0" w:lastColumn="0" w:oddVBand="0" w:evenVBand="0" w:oddHBand="0" w:evenHBand="0" w:firstRowFirstColumn="0" w:firstRowLastColumn="0" w:lastRowFirstColumn="0" w:lastRowLastColumn="0"/>
              <w:rPr>
                <w:lang w:eastAsia="fr-FR" w:bidi="ar-SA"/>
              </w:rPr>
            </w:pPr>
            <w:r>
              <w:rPr>
                <w:lang w:eastAsia="fr-FR" w:bidi="ar-SA"/>
              </w:rPr>
              <w:t>62</w:t>
            </w:r>
            <w:r w:rsidR="00FD6472" w:rsidRPr="002566F0">
              <w:rPr>
                <w:lang w:eastAsia="fr-FR" w:bidi="ar-SA"/>
              </w:rPr>
              <w:t xml:space="preserve"> %</w:t>
            </w:r>
          </w:p>
        </w:tc>
      </w:tr>
      <w:tr w:rsidR="00FD6472" w:rsidRPr="002566F0" w14:paraId="05198512" w14:textId="77777777" w:rsidTr="004637C7">
        <w:trPr>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5435CE4C" w14:textId="77777777" w:rsidR="00FD6472" w:rsidRPr="002566F0" w:rsidRDefault="00FD6472" w:rsidP="002566F0">
            <w:pPr>
              <w:rPr>
                <w:lang w:eastAsia="fr-FR" w:bidi="ar-SA"/>
              </w:rPr>
            </w:pPr>
            <w:r w:rsidRPr="002566F0">
              <w:rPr>
                <w:lang w:eastAsia="fr-FR" w:bidi="ar-SA"/>
              </w:rPr>
              <w:t>Électricité</w:t>
            </w:r>
          </w:p>
        </w:tc>
        <w:tc>
          <w:tcPr>
            <w:tcW w:w="0" w:type="auto"/>
            <w:hideMark/>
          </w:tcPr>
          <w:p w14:paraId="2F381972" w14:textId="5F1D8601" w:rsidR="00FD6472" w:rsidRPr="002566F0" w:rsidRDefault="00FD6472" w:rsidP="002566F0">
            <w:pPr>
              <w:cnfStyle w:val="000000000000" w:firstRow="0" w:lastRow="0" w:firstColumn="0" w:lastColumn="0" w:oddVBand="0" w:evenVBand="0" w:oddHBand="0" w:evenHBand="0" w:firstRowFirstColumn="0" w:firstRowLastColumn="0" w:lastRowFirstColumn="0" w:lastRowLastColumn="0"/>
              <w:rPr>
                <w:lang w:eastAsia="fr-FR" w:bidi="ar-SA"/>
              </w:rPr>
            </w:pPr>
            <w:r w:rsidRPr="002566F0">
              <w:rPr>
                <w:lang w:eastAsia="fr-FR" w:bidi="ar-SA"/>
              </w:rPr>
              <w:t>9</w:t>
            </w:r>
            <w:r w:rsidR="009B4360">
              <w:rPr>
                <w:lang w:eastAsia="fr-FR" w:bidi="ar-SA"/>
              </w:rPr>
              <w:t>8,9</w:t>
            </w:r>
            <w:r w:rsidRPr="002566F0">
              <w:rPr>
                <w:lang w:eastAsia="fr-FR" w:bidi="ar-SA"/>
              </w:rPr>
              <w:t xml:space="preserve"> %</w:t>
            </w:r>
          </w:p>
        </w:tc>
      </w:tr>
      <w:tr w:rsidR="00FD6472" w:rsidRPr="002566F0" w14:paraId="3DBAD793" w14:textId="77777777" w:rsidTr="004637C7">
        <w:trPr>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3F12C21B" w14:textId="77777777" w:rsidR="00FD6472" w:rsidRPr="002566F0" w:rsidRDefault="00FD6472" w:rsidP="002566F0">
            <w:pPr>
              <w:rPr>
                <w:lang w:eastAsia="fr-FR" w:bidi="ar-SA"/>
              </w:rPr>
            </w:pPr>
            <w:r w:rsidRPr="002566F0">
              <w:rPr>
                <w:lang w:eastAsia="fr-FR" w:bidi="ar-SA"/>
              </w:rPr>
              <w:t>Eau potable</w:t>
            </w:r>
          </w:p>
        </w:tc>
        <w:tc>
          <w:tcPr>
            <w:tcW w:w="0" w:type="auto"/>
            <w:hideMark/>
          </w:tcPr>
          <w:p w14:paraId="4DAD52FC" w14:textId="4C9224C8" w:rsidR="00FD6472" w:rsidRPr="002566F0" w:rsidRDefault="00884497" w:rsidP="002566F0">
            <w:pPr>
              <w:cnfStyle w:val="000000000000" w:firstRow="0" w:lastRow="0" w:firstColumn="0" w:lastColumn="0" w:oddVBand="0" w:evenVBand="0" w:oddHBand="0" w:evenHBand="0" w:firstRowFirstColumn="0" w:firstRowLastColumn="0" w:lastRowFirstColumn="0" w:lastRowLastColumn="0"/>
              <w:rPr>
                <w:lang w:eastAsia="fr-FR" w:bidi="ar-SA"/>
              </w:rPr>
            </w:pPr>
            <w:r>
              <w:rPr>
                <w:lang w:eastAsia="fr-FR" w:bidi="ar-SA"/>
              </w:rPr>
              <w:t>98,4</w:t>
            </w:r>
            <w:r w:rsidR="00FD6472" w:rsidRPr="002566F0">
              <w:rPr>
                <w:lang w:eastAsia="fr-FR" w:bidi="ar-SA"/>
              </w:rPr>
              <w:t xml:space="preserve"> %</w:t>
            </w:r>
          </w:p>
        </w:tc>
      </w:tr>
      <w:tr w:rsidR="00FD6472" w:rsidRPr="002566F0" w14:paraId="562A47FD" w14:textId="77777777" w:rsidTr="004637C7">
        <w:trPr>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43ED01DC" w14:textId="77777777" w:rsidR="00FD6472" w:rsidRPr="002566F0" w:rsidRDefault="00FD6472" w:rsidP="002566F0">
            <w:pPr>
              <w:rPr>
                <w:lang w:eastAsia="fr-FR" w:bidi="ar-SA"/>
              </w:rPr>
            </w:pPr>
            <w:r w:rsidRPr="002566F0">
              <w:rPr>
                <w:lang w:eastAsia="fr-FR" w:bidi="ar-SA"/>
              </w:rPr>
              <w:t>Assainissement collectif</w:t>
            </w:r>
          </w:p>
        </w:tc>
        <w:tc>
          <w:tcPr>
            <w:tcW w:w="0" w:type="auto"/>
            <w:hideMark/>
          </w:tcPr>
          <w:p w14:paraId="766D3E7E" w14:textId="3E1DB636" w:rsidR="00FD6472" w:rsidRPr="002566F0" w:rsidRDefault="00884497" w:rsidP="002566F0">
            <w:pPr>
              <w:cnfStyle w:val="000000000000" w:firstRow="0" w:lastRow="0" w:firstColumn="0" w:lastColumn="0" w:oddVBand="0" w:evenVBand="0" w:oddHBand="0" w:evenHBand="0" w:firstRowFirstColumn="0" w:firstRowLastColumn="0" w:lastRowFirstColumn="0" w:lastRowLastColumn="0"/>
              <w:rPr>
                <w:lang w:eastAsia="fr-FR" w:bidi="ar-SA"/>
              </w:rPr>
            </w:pPr>
            <w:r>
              <w:rPr>
                <w:lang w:eastAsia="fr-FR" w:bidi="ar-SA"/>
              </w:rPr>
              <w:t>98,1</w:t>
            </w:r>
            <w:r w:rsidR="00FD6472" w:rsidRPr="002566F0">
              <w:rPr>
                <w:lang w:eastAsia="fr-FR" w:bidi="ar-SA"/>
              </w:rPr>
              <w:t xml:space="preserve"> %</w:t>
            </w:r>
          </w:p>
        </w:tc>
      </w:tr>
      <w:tr w:rsidR="00FD6472" w:rsidRPr="002566F0" w14:paraId="39023E52" w14:textId="77777777" w:rsidTr="004637C7">
        <w:trPr>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3F20ADCD" w14:textId="77777777" w:rsidR="00FD6472" w:rsidRPr="002566F0" w:rsidRDefault="00FD6472" w:rsidP="002566F0">
            <w:pPr>
              <w:rPr>
                <w:lang w:eastAsia="fr-FR" w:bidi="ar-SA"/>
              </w:rPr>
            </w:pPr>
            <w:r w:rsidRPr="002566F0">
              <w:rPr>
                <w:lang w:eastAsia="fr-FR" w:bidi="ar-SA"/>
              </w:rPr>
              <w:t>Taille moyenne des ménages</w:t>
            </w:r>
          </w:p>
        </w:tc>
        <w:tc>
          <w:tcPr>
            <w:tcW w:w="0" w:type="auto"/>
            <w:hideMark/>
          </w:tcPr>
          <w:p w14:paraId="63B874FA" w14:textId="190D126B" w:rsidR="00FD6472" w:rsidRPr="002566F0" w:rsidRDefault="00FD6472" w:rsidP="002566F0">
            <w:pPr>
              <w:cnfStyle w:val="000000000000" w:firstRow="0" w:lastRow="0" w:firstColumn="0" w:lastColumn="0" w:oddVBand="0" w:evenVBand="0" w:oddHBand="0" w:evenHBand="0" w:firstRowFirstColumn="0" w:firstRowLastColumn="0" w:lastRowFirstColumn="0" w:lastRowLastColumn="0"/>
              <w:rPr>
                <w:lang w:eastAsia="fr-FR" w:bidi="ar-SA"/>
              </w:rPr>
            </w:pPr>
            <w:r w:rsidRPr="002566F0">
              <w:rPr>
                <w:lang w:eastAsia="fr-FR" w:bidi="ar-SA"/>
              </w:rPr>
              <w:t>3,</w:t>
            </w:r>
            <w:r w:rsidR="00884497">
              <w:rPr>
                <w:lang w:eastAsia="fr-FR" w:bidi="ar-SA"/>
              </w:rPr>
              <w:t>8</w:t>
            </w:r>
            <w:r w:rsidRPr="002566F0">
              <w:rPr>
                <w:lang w:eastAsia="fr-FR" w:bidi="ar-SA"/>
              </w:rPr>
              <w:t xml:space="preserve"> pers.</w:t>
            </w:r>
          </w:p>
        </w:tc>
      </w:tr>
    </w:tbl>
    <w:p w14:paraId="081A9446" w14:textId="1565D84C" w:rsidR="002566F0" w:rsidRPr="00024EFE" w:rsidRDefault="002566F0" w:rsidP="004637C7">
      <w:pPr>
        <w:pStyle w:val="Title4"/>
        <w:tabs>
          <w:tab w:val="left" w:pos="851"/>
        </w:tabs>
      </w:pPr>
      <w:r w:rsidRPr="002566F0">
        <w:lastRenderedPageBreak/>
        <w:t>Groupes à vulnérabilité relative (selon le RGPH 2024)</w:t>
      </w:r>
    </w:p>
    <w:p w14:paraId="25D1E550" w14:textId="77777777" w:rsidR="00024EFE" w:rsidRDefault="00024EFE" w:rsidP="00024EFE">
      <w:r>
        <w:t>Dans le cadre du RGPH 2024 et des cadres d’évaluation sociale adoptés par la Banque africaine de développement (BAD) et la SFI/IFC, la vulnérabilité désigne les caractéristiques démographiques ou socio-économiques susceptibles de limiter la capacité d’un individu ou d’un ménage à faire face aux changements ou aux impacts d’un projet.</w:t>
      </w:r>
    </w:p>
    <w:p w14:paraId="09659E2F" w14:textId="0056F5D9" w:rsidR="002F5812" w:rsidRDefault="00024EFE" w:rsidP="00024EFE">
      <w:r>
        <w:t>Ces critères s’appuient exclusivement sur des indicateurs mesurés dans le recensement national, à savoir :</w:t>
      </w:r>
    </w:p>
    <w:p w14:paraId="03FC3DB6" w14:textId="77777777" w:rsidR="00721A15" w:rsidRDefault="00721A15" w:rsidP="00024EFE"/>
    <w:tbl>
      <w:tblPr>
        <w:tblStyle w:val="TableauGrille1Clair-Accentuation111"/>
        <w:tblW w:w="5000" w:type="pct"/>
        <w:tblLook w:val="04A0" w:firstRow="1" w:lastRow="0" w:firstColumn="1" w:lastColumn="0" w:noHBand="0" w:noVBand="1"/>
      </w:tblPr>
      <w:tblGrid>
        <w:gridCol w:w="3074"/>
        <w:gridCol w:w="5988"/>
      </w:tblGrid>
      <w:tr w:rsidR="00024EFE" w:rsidRPr="00024EFE" w14:paraId="1A86BFC4" w14:textId="77777777" w:rsidTr="004637C7">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696" w:type="pct"/>
            <w:hideMark/>
          </w:tcPr>
          <w:p w14:paraId="469B56B8" w14:textId="77777777" w:rsidR="00024EFE" w:rsidRPr="00024EFE" w:rsidRDefault="00024EFE" w:rsidP="00024EFE">
            <w:r w:rsidRPr="00024EFE">
              <w:t>Critère de vulnérabilité</w:t>
            </w:r>
          </w:p>
        </w:tc>
        <w:tc>
          <w:tcPr>
            <w:tcW w:w="3304" w:type="pct"/>
            <w:hideMark/>
          </w:tcPr>
          <w:p w14:paraId="505AB133" w14:textId="77777777" w:rsidR="00024EFE" w:rsidRPr="00024EFE" w:rsidRDefault="00024EFE" w:rsidP="00024EFE">
            <w:pPr>
              <w:cnfStyle w:val="100000000000" w:firstRow="1" w:lastRow="0" w:firstColumn="0" w:lastColumn="0" w:oddVBand="0" w:evenVBand="0" w:oddHBand="0" w:evenHBand="0" w:firstRowFirstColumn="0" w:firstRowLastColumn="0" w:lastRowFirstColumn="0" w:lastRowLastColumn="0"/>
            </w:pPr>
            <w:r w:rsidRPr="00024EFE">
              <w:t>Description selon les indicateurs RGPH 2024</w:t>
            </w:r>
          </w:p>
        </w:tc>
      </w:tr>
      <w:tr w:rsidR="00024EFE" w:rsidRPr="00024EFE" w14:paraId="245430C6" w14:textId="77777777" w:rsidTr="004637C7">
        <w:tc>
          <w:tcPr>
            <w:cnfStyle w:val="001000000000" w:firstRow="0" w:lastRow="0" w:firstColumn="1" w:lastColumn="0" w:oddVBand="0" w:evenVBand="0" w:oddHBand="0" w:evenHBand="0" w:firstRowFirstColumn="0" w:firstRowLastColumn="0" w:lastRowFirstColumn="0" w:lastRowLastColumn="0"/>
            <w:tcW w:w="1696" w:type="pct"/>
            <w:hideMark/>
          </w:tcPr>
          <w:p w14:paraId="3E778AA9" w14:textId="77777777" w:rsidR="00024EFE" w:rsidRPr="00024EFE" w:rsidRDefault="00024EFE" w:rsidP="00024EFE">
            <w:r w:rsidRPr="00024EFE">
              <w:t>Âge</w:t>
            </w:r>
          </w:p>
        </w:tc>
        <w:tc>
          <w:tcPr>
            <w:tcW w:w="3304" w:type="pct"/>
            <w:hideMark/>
          </w:tcPr>
          <w:p w14:paraId="0B0F41AD" w14:textId="77777777" w:rsidR="00024EFE" w:rsidRPr="00024EFE" w:rsidRDefault="00024EFE" w:rsidP="00024EFE">
            <w:pPr>
              <w:cnfStyle w:val="000000000000" w:firstRow="0" w:lastRow="0" w:firstColumn="0" w:lastColumn="0" w:oddVBand="0" w:evenVBand="0" w:oddHBand="0" w:evenHBand="0" w:firstRowFirstColumn="0" w:firstRowLastColumn="0" w:lastRowFirstColumn="0" w:lastRowLastColumn="0"/>
            </w:pPr>
            <w:r w:rsidRPr="00024EFE">
              <w:t>Personnes âgées (≥ 60 ans) dont la mobilité et les revenus sont restreints</w:t>
            </w:r>
          </w:p>
        </w:tc>
      </w:tr>
      <w:tr w:rsidR="00024EFE" w:rsidRPr="00024EFE" w14:paraId="2532A926" w14:textId="77777777" w:rsidTr="004637C7">
        <w:tc>
          <w:tcPr>
            <w:cnfStyle w:val="001000000000" w:firstRow="0" w:lastRow="0" w:firstColumn="1" w:lastColumn="0" w:oddVBand="0" w:evenVBand="0" w:oddHBand="0" w:evenHBand="0" w:firstRowFirstColumn="0" w:firstRowLastColumn="0" w:lastRowFirstColumn="0" w:lastRowLastColumn="0"/>
            <w:tcW w:w="1696" w:type="pct"/>
            <w:hideMark/>
          </w:tcPr>
          <w:p w14:paraId="4CDFF312" w14:textId="77777777" w:rsidR="00024EFE" w:rsidRPr="00024EFE" w:rsidRDefault="00024EFE" w:rsidP="00024EFE">
            <w:r w:rsidRPr="00024EFE">
              <w:t>Sexe du chef de ménage</w:t>
            </w:r>
          </w:p>
        </w:tc>
        <w:tc>
          <w:tcPr>
            <w:tcW w:w="3304" w:type="pct"/>
            <w:hideMark/>
          </w:tcPr>
          <w:p w14:paraId="467CDCE5" w14:textId="77777777" w:rsidR="00024EFE" w:rsidRPr="00024EFE" w:rsidRDefault="00024EFE" w:rsidP="00024EFE">
            <w:pPr>
              <w:cnfStyle w:val="000000000000" w:firstRow="0" w:lastRow="0" w:firstColumn="0" w:lastColumn="0" w:oddVBand="0" w:evenVBand="0" w:oddHBand="0" w:evenHBand="0" w:firstRowFirstColumn="0" w:firstRowLastColumn="0" w:lastRowFirstColumn="0" w:lastRowLastColumn="0"/>
            </w:pPr>
            <w:r w:rsidRPr="00024EFE">
              <w:t>Ménages dirigés par des femmes, exposés à des revenus uniques et à une charge domestique accrue</w:t>
            </w:r>
          </w:p>
        </w:tc>
      </w:tr>
      <w:tr w:rsidR="00024EFE" w:rsidRPr="00024EFE" w14:paraId="2672D056" w14:textId="77777777" w:rsidTr="004637C7">
        <w:tc>
          <w:tcPr>
            <w:cnfStyle w:val="001000000000" w:firstRow="0" w:lastRow="0" w:firstColumn="1" w:lastColumn="0" w:oddVBand="0" w:evenVBand="0" w:oddHBand="0" w:evenHBand="0" w:firstRowFirstColumn="0" w:firstRowLastColumn="0" w:lastRowFirstColumn="0" w:lastRowLastColumn="0"/>
            <w:tcW w:w="1696" w:type="pct"/>
            <w:hideMark/>
          </w:tcPr>
          <w:p w14:paraId="238FEE40" w14:textId="77777777" w:rsidR="00024EFE" w:rsidRPr="00024EFE" w:rsidRDefault="00024EFE" w:rsidP="00024EFE">
            <w:r w:rsidRPr="00024EFE">
              <w:t>Situation de handicap</w:t>
            </w:r>
          </w:p>
        </w:tc>
        <w:tc>
          <w:tcPr>
            <w:tcW w:w="3304" w:type="pct"/>
            <w:hideMark/>
          </w:tcPr>
          <w:p w14:paraId="63B3BFC0" w14:textId="77777777" w:rsidR="00024EFE" w:rsidRPr="00024EFE" w:rsidRDefault="00024EFE" w:rsidP="00024EFE">
            <w:pPr>
              <w:cnfStyle w:val="000000000000" w:firstRow="0" w:lastRow="0" w:firstColumn="0" w:lastColumn="0" w:oddVBand="0" w:evenVBand="0" w:oddHBand="0" w:evenHBand="0" w:firstRowFirstColumn="0" w:firstRowLastColumn="0" w:lastRowFirstColumn="0" w:lastRowLastColumn="0"/>
            </w:pPr>
            <w:r w:rsidRPr="00024EFE">
              <w:t>Personnes déclarant une limitation physique, visuelle, auditive ou mentale</w:t>
            </w:r>
          </w:p>
        </w:tc>
      </w:tr>
      <w:tr w:rsidR="00024EFE" w:rsidRPr="00024EFE" w14:paraId="4BFD34D6" w14:textId="77777777" w:rsidTr="004637C7">
        <w:tc>
          <w:tcPr>
            <w:cnfStyle w:val="001000000000" w:firstRow="0" w:lastRow="0" w:firstColumn="1" w:lastColumn="0" w:oddVBand="0" w:evenVBand="0" w:oddHBand="0" w:evenHBand="0" w:firstRowFirstColumn="0" w:firstRowLastColumn="0" w:lastRowFirstColumn="0" w:lastRowLastColumn="0"/>
            <w:tcW w:w="1696" w:type="pct"/>
            <w:hideMark/>
          </w:tcPr>
          <w:p w14:paraId="1DAF3C9A" w14:textId="77777777" w:rsidR="00024EFE" w:rsidRPr="00024EFE" w:rsidRDefault="00024EFE" w:rsidP="00024EFE">
            <w:r w:rsidRPr="00024EFE">
              <w:t>Statut matrimonial</w:t>
            </w:r>
          </w:p>
        </w:tc>
        <w:tc>
          <w:tcPr>
            <w:tcW w:w="3304" w:type="pct"/>
            <w:hideMark/>
          </w:tcPr>
          <w:p w14:paraId="66B4A3C1" w14:textId="77777777" w:rsidR="00024EFE" w:rsidRPr="00024EFE" w:rsidRDefault="00024EFE" w:rsidP="00024EFE">
            <w:pPr>
              <w:cnfStyle w:val="000000000000" w:firstRow="0" w:lastRow="0" w:firstColumn="0" w:lastColumn="0" w:oddVBand="0" w:evenVBand="0" w:oddHBand="0" w:evenHBand="0" w:firstRowFirstColumn="0" w:firstRowLastColumn="0" w:lastRowFirstColumn="0" w:lastRowLastColumn="0"/>
            </w:pPr>
            <w:r w:rsidRPr="00024EFE">
              <w:t>Veufs et divorcés, souvent isolés économiquement</w:t>
            </w:r>
          </w:p>
        </w:tc>
      </w:tr>
      <w:tr w:rsidR="00024EFE" w:rsidRPr="00024EFE" w14:paraId="6204CF76" w14:textId="77777777" w:rsidTr="004637C7">
        <w:tc>
          <w:tcPr>
            <w:cnfStyle w:val="001000000000" w:firstRow="0" w:lastRow="0" w:firstColumn="1" w:lastColumn="0" w:oddVBand="0" w:evenVBand="0" w:oddHBand="0" w:evenHBand="0" w:firstRowFirstColumn="0" w:firstRowLastColumn="0" w:lastRowFirstColumn="0" w:lastRowLastColumn="0"/>
            <w:tcW w:w="1696" w:type="pct"/>
            <w:hideMark/>
          </w:tcPr>
          <w:p w14:paraId="4BE0C8EA" w14:textId="77777777" w:rsidR="00024EFE" w:rsidRPr="00024EFE" w:rsidRDefault="00024EFE" w:rsidP="00024EFE">
            <w:r w:rsidRPr="00024EFE">
              <w:t>Niveau d’instruction</w:t>
            </w:r>
          </w:p>
        </w:tc>
        <w:tc>
          <w:tcPr>
            <w:tcW w:w="3304" w:type="pct"/>
            <w:hideMark/>
          </w:tcPr>
          <w:p w14:paraId="09888450" w14:textId="77777777" w:rsidR="00024EFE" w:rsidRPr="00024EFE" w:rsidRDefault="00024EFE" w:rsidP="00024EFE">
            <w:pPr>
              <w:cnfStyle w:val="000000000000" w:firstRow="0" w:lastRow="0" w:firstColumn="0" w:lastColumn="0" w:oddVBand="0" w:evenVBand="0" w:oddHBand="0" w:evenHBand="0" w:firstRowFirstColumn="0" w:firstRowLastColumn="0" w:lastRowFirstColumn="0" w:lastRowLastColumn="0"/>
            </w:pPr>
            <w:r w:rsidRPr="00024EFE">
              <w:t>Taux d’analphabétisme ou faible scolarisation</w:t>
            </w:r>
          </w:p>
        </w:tc>
      </w:tr>
      <w:tr w:rsidR="00024EFE" w:rsidRPr="00024EFE" w14:paraId="027FF16C" w14:textId="77777777" w:rsidTr="004637C7">
        <w:tc>
          <w:tcPr>
            <w:cnfStyle w:val="001000000000" w:firstRow="0" w:lastRow="0" w:firstColumn="1" w:lastColumn="0" w:oddVBand="0" w:evenVBand="0" w:oddHBand="0" w:evenHBand="0" w:firstRowFirstColumn="0" w:firstRowLastColumn="0" w:lastRowFirstColumn="0" w:lastRowLastColumn="0"/>
            <w:tcW w:w="1696" w:type="pct"/>
            <w:hideMark/>
          </w:tcPr>
          <w:p w14:paraId="6D97DA80" w14:textId="77777777" w:rsidR="00024EFE" w:rsidRPr="00024EFE" w:rsidRDefault="00024EFE" w:rsidP="00024EFE">
            <w:r w:rsidRPr="00024EFE">
              <w:t>Emploi et activité</w:t>
            </w:r>
          </w:p>
        </w:tc>
        <w:tc>
          <w:tcPr>
            <w:tcW w:w="3304" w:type="pct"/>
            <w:hideMark/>
          </w:tcPr>
          <w:p w14:paraId="75A64B45" w14:textId="77777777" w:rsidR="00024EFE" w:rsidRPr="00024EFE" w:rsidRDefault="00024EFE" w:rsidP="00024EFE">
            <w:pPr>
              <w:cnfStyle w:val="000000000000" w:firstRow="0" w:lastRow="0" w:firstColumn="0" w:lastColumn="0" w:oddVBand="0" w:evenVBand="0" w:oddHBand="0" w:evenHBand="0" w:firstRowFirstColumn="0" w:firstRowLastColumn="0" w:lastRowFirstColumn="0" w:lastRowLastColumn="0"/>
            </w:pPr>
            <w:r w:rsidRPr="00024EFE">
              <w:t>Personnes sans emploi ou à activité informelle</w:t>
            </w:r>
          </w:p>
        </w:tc>
      </w:tr>
      <w:tr w:rsidR="00024EFE" w:rsidRPr="00024EFE" w14:paraId="567366C0" w14:textId="77777777" w:rsidTr="004637C7">
        <w:tc>
          <w:tcPr>
            <w:cnfStyle w:val="001000000000" w:firstRow="0" w:lastRow="0" w:firstColumn="1" w:lastColumn="0" w:oddVBand="0" w:evenVBand="0" w:oddHBand="0" w:evenHBand="0" w:firstRowFirstColumn="0" w:firstRowLastColumn="0" w:lastRowFirstColumn="0" w:lastRowLastColumn="0"/>
            <w:tcW w:w="1696" w:type="pct"/>
            <w:hideMark/>
          </w:tcPr>
          <w:p w14:paraId="015D6EE4" w14:textId="77777777" w:rsidR="00024EFE" w:rsidRPr="00024EFE" w:rsidRDefault="00024EFE" w:rsidP="00024EFE">
            <w:r w:rsidRPr="00024EFE">
              <w:t>Jeunes (15–34 ans)</w:t>
            </w:r>
          </w:p>
        </w:tc>
        <w:tc>
          <w:tcPr>
            <w:tcW w:w="3304" w:type="pct"/>
            <w:hideMark/>
          </w:tcPr>
          <w:p w14:paraId="7873CC36" w14:textId="77777777" w:rsidR="00024EFE" w:rsidRPr="00024EFE" w:rsidRDefault="00024EFE" w:rsidP="00024EFE">
            <w:pPr>
              <w:cnfStyle w:val="000000000000" w:firstRow="0" w:lastRow="0" w:firstColumn="0" w:lastColumn="0" w:oddVBand="0" w:evenVBand="0" w:oddHBand="0" w:evenHBand="0" w:firstRowFirstColumn="0" w:firstRowLastColumn="0" w:lastRowFirstColumn="0" w:lastRowLastColumn="0"/>
            </w:pPr>
            <w:r w:rsidRPr="00024EFE">
              <w:t>Groupe présentant un besoin élevé d’insertion socio-professionnelle</w:t>
            </w:r>
          </w:p>
        </w:tc>
      </w:tr>
    </w:tbl>
    <w:p w14:paraId="6E90A707" w14:textId="6217C8EB" w:rsidR="00024EFE" w:rsidRDefault="00024EFE" w:rsidP="00024EFE">
      <w:r w:rsidRPr="00024EFE">
        <w:t xml:space="preserve">Ces catégories permettent d’identifier les </w:t>
      </w:r>
      <w:r w:rsidRPr="004637C7">
        <w:t>groupes à vulnérabilité relative</w:t>
      </w:r>
      <w:r w:rsidRPr="00024EFE">
        <w:t xml:space="preserve"> dans la commune de </w:t>
      </w:r>
      <w:r w:rsidR="00884497">
        <w:t>Ménara</w:t>
      </w:r>
      <w:r w:rsidRPr="00024EFE">
        <w:t xml:space="preserve"> et la </w:t>
      </w:r>
      <w:r w:rsidR="00884497">
        <w:t>préfecture de Marrakech</w:t>
      </w:r>
      <w:r w:rsidRPr="00024EFE">
        <w:t xml:space="preserve"> sur la base des résultats du </w:t>
      </w:r>
      <w:r w:rsidRPr="004637C7">
        <w:t>Recensement général de la population et de l’habitat 2024</w:t>
      </w:r>
      <w:r w:rsidRPr="00024EFE">
        <w:t>.</w:t>
      </w:r>
    </w:p>
    <w:p w14:paraId="5C95B29B" w14:textId="77777777" w:rsidR="00024EFE" w:rsidRPr="00024EFE" w:rsidRDefault="00024EFE" w:rsidP="00024EFE">
      <w:r w:rsidRPr="00024EFE">
        <w:t>Les caractéristiques issues du RGPH 2024 indiquent que :</w:t>
      </w:r>
    </w:p>
    <w:p w14:paraId="75F1C629" w14:textId="54CC932B" w:rsidR="00024EFE" w:rsidRPr="00643372" w:rsidRDefault="00024EFE" w:rsidP="0001633E">
      <w:pPr>
        <w:numPr>
          <w:ilvl w:val="0"/>
          <w:numId w:val="120"/>
        </w:numPr>
      </w:pPr>
      <w:r w:rsidRPr="00024EFE">
        <w:t xml:space="preserve">La commune de </w:t>
      </w:r>
      <w:r w:rsidR="00884497">
        <w:t>Ménara</w:t>
      </w:r>
      <w:r w:rsidRPr="00024EFE">
        <w:t xml:space="preserve"> dispose d’une </w:t>
      </w:r>
      <w:r w:rsidRPr="004637C7">
        <w:t>infrastructure urbaine consolidée</w:t>
      </w:r>
      <w:r w:rsidRPr="00643372">
        <w:t>, proche de la moyenne provinciale ;</w:t>
      </w:r>
    </w:p>
    <w:p w14:paraId="574C1BA3" w14:textId="77777777" w:rsidR="00024EFE" w:rsidRPr="00643372" w:rsidRDefault="00024EFE" w:rsidP="0001633E">
      <w:pPr>
        <w:numPr>
          <w:ilvl w:val="0"/>
          <w:numId w:val="120"/>
        </w:numPr>
      </w:pPr>
      <w:r w:rsidRPr="00643372">
        <w:t xml:space="preserve">Les </w:t>
      </w:r>
      <w:r w:rsidRPr="004637C7">
        <w:t>groupes à besoins spécifiques</w:t>
      </w:r>
      <w:r w:rsidRPr="00643372">
        <w:t xml:space="preserve"> (personnes handicapées, ménages féminins) représentent des catégories à intégrer dans la gestion sociale du projet ;</w:t>
      </w:r>
    </w:p>
    <w:p w14:paraId="1DCD2917" w14:textId="77777777" w:rsidR="00024EFE" w:rsidRPr="00024EFE" w:rsidRDefault="00024EFE" w:rsidP="0001633E">
      <w:pPr>
        <w:numPr>
          <w:ilvl w:val="0"/>
          <w:numId w:val="120"/>
        </w:numPr>
      </w:pPr>
      <w:r w:rsidRPr="00643372">
        <w:t xml:space="preserve">Les </w:t>
      </w:r>
      <w:r w:rsidRPr="004637C7">
        <w:t>indicateurs de base (eau, électricité, habitat)</w:t>
      </w:r>
      <w:r w:rsidRPr="00024EFE">
        <w:t xml:space="preserve"> confirment un environnement favorable à la mise en œuvre du projet d’extension.</w:t>
      </w:r>
    </w:p>
    <w:p w14:paraId="2358E4CF" w14:textId="4BD633A7" w:rsidR="00024EFE" w:rsidRDefault="00024EFE" w:rsidP="004637C7">
      <w:pPr>
        <w:pStyle w:val="Lgende"/>
        <w:keepNext/>
      </w:pPr>
      <w:bookmarkStart w:id="328" w:name="_Toc213404360"/>
      <w:r>
        <w:t xml:space="preserve">Tableau </w:t>
      </w:r>
      <w:r>
        <w:fldChar w:fldCharType="begin"/>
      </w:r>
      <w:r>
        <w:instrText xml:space="preserve"> SEQ Tableau \* ARABIC </w:instrText>
      </w:r>
      <w:r>
        <w:fldChar w:fldCharType="separate"/>
      </w:r>
      <w:r w:rsidR="00274E71">
        <w:rPr>
          <w:noProof/>
        </w:rPr>
        <w:t>37</w:t>
      </w:r>
      <w:r>
        <w:fldChar w:fldCharType="end"/>
      </w:r>
      <w:r>
        <w:rPr>
          <w:lang w:val="fr-FR"/>
        </w:rPr>
        <w:t xml:space="preserve"> : </w:t>
      </w:r>
      <w:r w:rsidRPr="00E31686">
        <w:rPr>
          <w:lang w:val="fr-FR"/>
        </w:rPr>
        <w:t>Groupes spécifiques identifiés</w:t>
      </w:r>
      <w:bookmarkEnd w:id="328"/>
    </w:p>
    <w:tbl>
      <w:tblPr>
        <w:tblStyle w:val="TableauGrille1Clair-Accentuation111"/>
        <w:tblW w:w="0" w:type="auto"/>
        <w:tblLook w:val="04A0" w:firstRow="1" w:lastRow="0" w:firstColumn="1" w:lastColumn="0" w:noHBand="0" w:noVBand="1"/>
      </w:tblPr>
      <w:tblGrid>
        <w:gridCol w:w="3171"/>
        <w:gridCol w:w="5612"/>
      </w:tblGrid>
      <w:tr w:rsidR="00684357" w:rsidRPr="00024EFE" w14:paraId="54E0913D" w14:textId="77777777" w:rsidTr="00024EF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50B3327A" w14:textId="77777777" w:rsidR="00684357" w:rsidRPr="00024EFE" w:rsidRDefault="00684357" w:rsidP="00024EFE">
            <w:r w:rsidRPr="00024EFE">
              <w:t>Groupe</w:t>
            </w:r>
          </w:p>
        </w:tc>
        <w:tc>
          <w:tcPr>
            <w:tcW w:w="0" w:type="auto"/>
            <w:hideMark/>
          </w:tcPr>
          <w:p w14:paraId="05A45395" w14:textId="77777777" w:rsidR="00684357" w:rsidRPr="00024EFE" w:rsidRDefault="00684357" w:rsidP="00024EFE">
            <w:pPr>
              <w:cnfStyle w:val="100000000000" w:firstRow="1" w:lastRow="0" w:firstColumn="0" w:lastColumn="0" w:oddVBand="0" w:evenVBand="0" w:oddHBand="0" w:evenHBand="0" w:firstRowFirstColumn="0" w:firstRowLastColumn="0" w:lastRowFirstColumn="0" w:lastRowLastColumn="0"/>
            </w:pPr>
            <w:r w:rsidRPr="00024EFE">
              <w:t>Indicateur RGPH 2024</w:t>
            </w:r>
          </w:p>
        </w:tc>
      </w:tr>
      <w:tr w:rsidR="00684357" w:rsidRPr="00024EFE" w14:paraId="0D13178B" w14:textId="77777777" w:rsidTr="00024EFE">
        <w:tc>
          <w:tcPr>
            <w:cnfStyle w:val="001000000000" w:firstRow="0" w:lastRow="0" w:firstColumn="1" w:lastColumn="0" w:oddVBand="0" w:evenVBand="0" w:oddHBand="0" w:evenHBand="0" w:firstRowFirstColumn="0" w:firstRowLastColumn="0" w:lastRowFirstColumn="0" w:lastRowLastColumn="0"/>
            <w:tcW w:w="0" w:type="auto"/>
            <w:hideMark/>
          </w:tcPr>
          <w:p w14:paraId="4630C47A" w14:textId="77777777" w:rsidR="00684357" w:rsidRPr="00024EFE" w:rsidRDefault="00684357" w:rsidP="00024EFE">
            <w:r w:rsidRPr="00024EFE">
              <w:t>Personnes âgées (≥ 60 ans)</w:t>
            </w:r>
          </w:p>
        </w:tc>
        <w:tc>
          <w:tcPr>
            <w:tcW w:w="0" w:type="auto"/>
            <w:hideMark/>
          </w:tcPr>
          <w:p w14:paraId="57EE44B3" w14:textId="77777777" w:rsidR="00684357" w:rsidRPr="00024EFE" w:rsidRDefault="00684357" w:rsidP="00024EFE">
            <w:pPr>
              <w:cnfStyle w:val="000000000000" w:firstRow="0" w:lastRow="0" w:firstColumn="0" w:lastColumn="0" w:oddVBand="0" w:evenVBand="0" w:oddHBand="0" w:evenHBand="0" w:firstRowFirstColumn="0" w:firstRowLastColumn="0" w:lastRowFirstColumn="0" w:lastRowLastColumn="0"/>
            </w:pPr>
            <w:r w:rsidRPr="00024EFE">
              <w:t>Proportion modérée dans la population</w:t>
            </w:r>
          </w:p>
        </w:tc>
      </w:tr>
      <w:tr w:rsidR="00684357" w:rsidRPr="00024EFE" w14:paraId="5184DE56" w14:textId="77777777" w:rsidTr="00024EFE">
        <w:tc>
          <w:tcPr>
            <w:cnfStyle w:val="001000000000" w:firstRow="0" w:lastRow="0" w:firstColumn="1" w:lastColumn="0" w:oddVBand="0" w:evenVBand="0" w:oddHBand="0" w:evenHBand="0" w:firstRowFirstColumn="0" w:firstRowLastColumn="0" w:lastRowFirstColumn="0" w:lastRowLastColumn="0"/>
            <w:tcW w:w="0" w:type="auto"/>
            <w:hideMark/>
          </w:tcPr>
          <w:p w14:paraId="307AF328" w14:textId="77777777" w:rsidR="00684357" w:rsidRPr="00024EFE" w:rsidRDefault="00684357" w:rsidP="00024EFE">
            <w:r w:rsidRPr="00024EFE">
              <w:lastRenderedPageBreak/>
              <w:t>Personnes en situation de handicap</w:t>
            </w:r>
          </w:p>
        </w:tc>
        <w:tc>
          <w:tcPr>
            <w:tcW w:w="0" w:type="auto"/>
            <w:hideMark/>
          </w:tcPr>
          <w:p w14:paraId="77CF2031" w14:textId="518EF769" w:rsidR="00684357" w:rsidRPr="00024EFE" w:rsidRDefault="00FB7AC9" w:rsidP="00024EFE">
            <w:pPr>
              <w:cnfStyle w:val="000000000000" w:firstRow="0" w:lastRow="0" w:firstColumn="0" w:lastColumn="0" w:oddVBand="0" w:evenVBand="0" w:oddHBand="0" w:evenHBand="0" w:firstRowFirstColumn="0" w:firstRowLastColumn="0" w:lastRowFirstColumn="0" w:lastRowLastColumn="0"/>
            </w:pPr>
            <w:r>
              <w:t>3,5</w:t>
            </w:r>
            <w:r w:rsidR="00684357" w:rsidRPr="00024EFE">
              <w:t xml:space="preserve"> % à </w:t>
            </w:r>
            <w:r>
              <w:t>Ménara</w:t>
            </w:r>
            <w:r w:rsidR="00684357" w:rsidRPr="00024EFE">
              <w:t xml:space="preserve"> </w:t>
            </w:r>
          </w:p>
        </w:tc>
      </w:tr>
      <w:tr w:rsidR="00684357" w:rsidRPr="00024EFE" w14:paraId="796D4176" w14:textId="77777777" w:rsidTr="00024EFE">
        <w:tc>
          <w:tcPr>
            <w:cnfStyle w:val="001000000000" w:firstRow="0" w:lastRow="0" w:firstColumn="1" w:lastColumn="0" w:oddVBand="0" w:evenVBand="0" w:oddHBand="0" w:evenHBand="0" w:firstRowFirstColumn="0" w:firstRowLastColumn="0" w:lastRowFirstColumn="0" w:lastRowLastColumn="0"/>
            <w:tcW w:w="0" w:type="auto"/>
            <w:hideMark/>
          </w:tcPr>
          <w:p w14:paraId="7152628E" w14:textId="77777777" w:rsidR="00684357" w:rsidRPr="00024EFE" w:rsidRDefault="00684357" w:rsidP="00024EFE">
            <w:r w:rsidRPr="00024EFE">
              <w:t>Ménages dirigés par des femmes</w:t>
            </w:r>
          </w:p>
        </w:tc>
        <w:tc>
          <w:tcPr>
            <w:tcW w:w="0" w:type="auto"/>
            <w:hideMark/>
          </w:tcPr>
          <w:p w14:paraId="009BCF36" w14:textId="49D09490" w:rsidR="00684357" w:rsidRPr="00024EFE" w:rsidRDefault="00684357" w:rsidP="00024EFE">
            <w:pPr>
              <w:cnfStyle w:val="000000000000" w:firstRow="0" w:lastRow="0" w:firstColumn="0" w:lastColumn="0" w:oddVBand="0" w:evenVBand="0" w:oddHBand="0" w:evenHBand="0" w:firstRowFirstColumn="0" w:firstRowLastColumn="0" w:lastRowFirstColumn="0" w:lastRowLastColumn="0"/>
            </w:pPr>
            <w:r w:rsidRPr="00024EFE">
              <w:t xml:space="preserve">≈ </w:t>
            </w:r>
            <w:r w:rsidR="005644AC">
              <w:t>21,6</w:t>
            </w:r>
            <w:r w:rsidRPr="00024EFE">
              <w:t xml:space="preserve"> % (estimation issue des tableaux de structure des ménages)</w:t>
            </w:r>
          </w:p>
        </w:tc>
      </w:tr>
    </w:tbl>
    <w:p w14:paraId="2EBE22B6" w14:textId="1FF4EC83" w:rsidR="005F04FE" w:rsidRDefault="00D143FF" w:rsidP="00D143FF">
      <w:pPr>
        <w:pStyle w:val="Title3"/>
      </w:pPr>
      <w:bookmarkStart w:id="329" w:name="_Toc181619019"/>
      <w:bookmarkStart w:id="330" w:name="_Toc215131862"/>
      <w:r>
        <w:t>Caractéristiques socio-économiques</w:t>
      </w:r>
      <w:bookmarkEnd w:id="329"/>
      <w:bookmarkEnd w:id="330"/>
    </w:p>
    <w:p w14:paraId="7444E0A3" w14:textId="61A96F40" w:rsidR="00626D8F" w:rsidRDefault="00FD4F69" w:rsidP="00FD4F69">
      <w:pPr>
        <w:spacing w:before="0" w:after="0"/>
      </w:pPr>
      <w:r w:rsidRPr="00FD4F69">
        <w:t>L’économie de la région de Marrakech-Safi repose essentiellement sur l’agriculture (notamment arboriculture, plantes aromatiques, olivier, élevage), le tourisme, l’industrie agro-alimentaire et l’artisanat. Les activités industrielles incluent la transformation des produits agricoles et terroir, ainsi que le conditionnement des huiles (dont l’huile d’argan) et la valorisation des plantes aromatiques et médicinales. L’exportation des produits agricoles et de terroir, ainsi que certains produits issus de la pêche et de l’agro-industrie, constitue une part importante de la création de richesse régionale. Toutefois, la répartition de ces activités sur le territoire régional traduit encore de fortes disparités entre les zones urbaines (comme la préfecture de Marrakech) et les zones rurales ou montagneuses du reste de la région</w:t>
      </w:r>
      <w:r w:rsidR="001C25D4" w:rsidRPr="001C25D4">
        <w:t xml:space="preserve">. </w:t>
      </w:r>
    </w:p>
    <w:p w14:paraId="5327E483" w14:textId="40DAAD4C" w:rsidR="001C25D4" w:rsidRDefault="001C25D4" w:rsidP="00F920D4">
      <w:pPr>
        <w:pStyle w:val="Title4"/>
        <w:tabs>
          <w:tab w:val="left" w:pos="851"/>
        </w:tabs>
      </w:pPr>
      <w:r>
        <w:t>Agriculture</w:t>
      </w:r>
    </w:p>
    <w:p w14:paraId="004D4E3D" w14:textId="77777777" w:rsidR="00BD471C" w:rsidRDefault="00BD471C" w:rsidP="00BD471C">
      <w:r>
        <w:t>Si le secteur agricole constitue le principal moteur de l’économie nationale, ce constat est aussi valable pour notre région. En effet, ce secteur absorbe presque 53% de la population active de la région. Le poids de la région au niveau national est important puisqu’elle détient 22% de la surface agricole utile du pays), ce qui la place en première position selon l’importance de cette surface. La région possède une superficie agricole utile (SAU) d’environ 2 055 977 ha , soulignat son importance en tant que moteur agro-économique national. Parmi ces terres, 353 000 ha bénéficient d’irrigation, soit environ 17% de la SAU régionale.</w:t>
      </w:r>
    </w:p>
    <w:p w14:paraId="30BF36EE" w14:textId="77777777" w:rsidR="00BD471C" w:rsidRDefault="00BD471C" w:rsidP="00BD471C">
      <w:r>
        <w:t xml:space="preserve">La caractéristique de la vocation agricole de la région est à dominante agro-sylvo-pastorale. Du point de vue occupation des sols, les cultures céréalières prédominent avec près de 78% de la SAU. Viennent ensuite, loin derrière, les plantations fruitières, les fourragères et maraîchères, avec respectivement 9,5%, 1,8% et 1,2% de la SAU. La part des terres en jachère est relativement importante 8,8% de la SAU. </w:t>
      </w:r>
    </w:p>
    <w:p w14:paraId="32AB07DA" w14:textId="77777777" w:rsidR="00BD471C" w:rsidRDefault="00BD471C" w:rsidP="00BD471C">
      <w:r>
        <w:t>La contribution de la région à la production céréalière nationale demeure importante, elle était de l’ordre de 14% lors de la campagne 2011-2012.</w:t>
      </w:r>
    </w:p>
    <w:p w14:paraId="2259EB47" w14:textId="7718A8AB" w:rsidR="00E75344" w:rsidRPr="004637C7" w:rsidRDefault="00BD471C" w:rsidP="00176A39">
      <w:r>
        <w:t>Cependant, les performances des productions agricoles sont très dépendantes des aléas climatiques ; les fluctuations pluviométriques se traduisent par des variantes énormes des rendements ce qui rend, de manière générale, les projections dans ce domaine peu fiables</w:t>
      </w:r>
      <w:r w:rsidR="00E75344" w:rsidRPr="00E75344">
        <w:t>.</w:t>
      </w:r>
    </w:p>
    <w:p w14:paraId="6B27BBE1" w14:textId="4B30EEB8" w:rsidR="00E078E9" w:rsidRDefault="00732B11" w:rsidP="00E7103D">
      <w:pPr>
        <w:pStyle w:val="Title4"/>
        <w:tabs>
          <w:tab w:val="clear" w:pos="1134"/>
          <w:tab w:val="left" w:pos="851"/>
        </w:tabs>
      </w:pPr>
      <w:r>
        <w:t>Elevage</w:t>
      </w:r>
    </w:p>
    <w:p w14:paraId="632469FA" w14:textId="77777777" w:rsidR="00D23D0B" w:rsidRDefault="00D23D0B" w:rsidP="00D23D0B">
      <w:r>
        <w:t>L’élevage consitute une composante essentielle de l’économie rurale dans la région de Marrakech – Safi. Il est principalement concentré dans les provinces de Kelaa des Sraghnas (19,2%), Essaouira (17,9%), Chichaoua (17,1%), Safi (16%) et Marrakech (15,2%), le reste étant réparti entre les autres provinces et préfectures de la région.</w:t>
      </w:r>
    </w:p>
    <w:p w14:paraId="070288D9" w14:textId="77777777" w:rsidR="00D23D0B" w:rsidRDefault="00D23D0B" w:rsidP="00D23D0B">
      <w:r>
        <w:lastRenderedPageBreak/>
        <w:t>Ce secteur contribue de manière significative à l’approvisionnement du marché national en produits d’origine animale. Il assure notamment :</w:t>
      </w:r>
    </w:p>
    <w:p w14:paraId="0748906D" w14:textId="77777777" w:rsidR="00D23D0B" w:rsidRPr="006C3F0A" w:rsidRDefault="00D23D0B" w:rsidP="0001633E">
      <w:pPr>
        <w:pStyle w:val="Paragraphedeliste"/>
        <w:numPr>
          <w:ilvl w:val="0"/>
          <w:numId w:val="201"/>
        </w:numPr>
        <w:spacing w:line="240" w:lineRule="auto"/>
        <w:rPr>
          <w:rFonts w:asciiTheme="minorHAnsi" w:hAnsiTheme="minorHAnsi" w:cstheme="minorHAnsi"/>
        </w:rPr>
      </w:pPr>
      <w:r w:rsidRPr="006C3F0A">
        <w:rPr>
          <w:rFonts w:asciiTheme="minorHAnsi" w:hAnsiTheme="minorHAnsi" w:cstheme="minorHAnsi"/>
        </w:rPr>
        <w:t>15% de la production nationale de lait,</w:t>
      </w:r>
    </w:p>
    <w:p w14:paraId="05D963CB" w14:textId="77777777" w:rsidR="00D23D0B" w:rsidRPr="006C3F0A" w:rsidRDefault="00D23D0B" w:rsidP="0001633E">
      <w:pPr>
        <w:pStyle w:val="Paragraphedeliste"/>
        <w:numPr>
          <w:ilvl w:val="0"/>
          <w:numId w:val="201"/>
        </w:numPr>
        <w:spacing w:line="240" w:lineRule="auto"/>
        <w:rPr>
          <w:rFonts w:asciiTheme="minorHAnsi" w:hAnsiTheme="minorHAnsi" w:cstheme="minorHAnsi"/>
        </w:rPr>
      </w:pPr>
      <w:r w:rsidRPr="006C3F0A">
        <w:rPr>
          <w:rFonts w:asciiTheme="minorHAnsi" w:hAnsiTheme="minorHAnsi" w:cstheme="minorHAnsi"/>
        </w:rPr>
        <w:t>18% des viands blanches, et</w:t>
      </w:r>
    </w:p>
    <w:p w14:paraId="7FD60D14" w14:textId="77777777" w:rsidR="00D23D0B" w:rsidRDefault="00D23D0B" w:rsidP="0001633E">
      <w:pPr>
        <w:pStyle w:val="Paragraphedeliste"/>
        <w:numPr>
          <w:ilvl w:val="0"/>
          <w:numId w:val="201"/>
        </w:numPr>
        <w:spacing w:line="240" w:lineRule="auto"/>
        <w:rPr>
          <w:rFonts w:asciiTheme="minorHAnsi" w:hAnsiTheme="minorHAnsi" w:cstheme="minorHAnsi"/>
        </w:rPr>
      </w:pPr>
      <w:r w:rsidRPr="006C3F0A">
        <w:rPr>
          <w:rFonts w:asciiTheme="minorHAnsi" w:hAnsiTheme="minorHAnsi" w:cstheme="minorHAnsi"/>
        </w:rPr>
        <w:t>11% des viands rouges.</w:t>
      </w:r>
    </w:p>
    <w:p w14:paraId="51C0AA28" w14:textId="77777777" w:rsidR="00D23D0B" w:rsidRDefault="00D23D0B" w:rsidP="00D23D0B">
      <w:pPr>
        <w:rPr>
          <w:rFonts w:cstheme="minorHAnsi"/>
        </w:rPr>
      </w:pPr>
      <w:r w:rsidRPr="00517247">
        <w:rPr>
          <w:rFonts w:cstheme="minorHAnsi"/>
        </w:rPr>
        <w:t>La filière laitière régionale repose sur un cheptel de près de 283 000 vaches laitières, permettant une production annuelle supérieure à 366 000 tonnes de lait. Environ 100 000 producteurs laitiers sont actifs dans ce secteur, organisés autour de plus de 390 centres de collecte, dont 160 sont des coopératives. Cette organisation contribue à structurer la filière et à améliorer la commercialisation du lait au niveau régional et national.</w:t>
      </w:r>
    </w:p>
    <w:p w14:paraId="75E2B3B0" w14:textId="27CE68A9" w:rsidR="00A51DC4" w:rsidRPr="00307583" w:rsidRDefault="00D23D0B" w:rsidP="00D23D0B">
      <w:r w:rsidRPr="00517247">
        <w:rPr>
          <w:rFonts w:cstheme="minorHAnsi"/>
        </w:rPr>
        <w:t>La production de viande rouge représente une autre filière majeure dans la région. Elle génère annuellement plus de 68 000 tonnes de viande rouge, s’appuyant sur un cheptel diversifié composé de bovins, ovins et caprins, totalisant plus de 5,1 millions de têtes. Cette diversité permet de répondre à une demande croissante en protéines animales, tout en valorisant les ressources pastorales et les systèmes d’élevage extensifs</w:t>
      </w:r>
      <w:r w:rsidR="007F5942" w:rsidRPr="00307583">
        <w:t>.</w:t>
      </w:r>
    </w:p>
    <w:p w14:paraId="49F3DA55" w14:textId="63E74826" w:rsidR="00843F70" w:rsidRDefault="00843F70" w:rsidP="00843F70">
      <w:pPr>
        <w:pStyle w:val="Title4"/>
        <w:tabs>
          <w:tab w:val="clear" w:pos="1134"/>
          <w:tab w:val="left" w:pos="851"/>
        </w:tabs>
      </w:pPr>
      <w:r>
        <w:t>Tourisme</w:t>
      </w:r>
    </w:p>
    <w:p w14:paraId="50C387A9" w14:textId="77777777" w:rsidR="00310A42" w:rsidRDefault="00310A42" w:rsidP="00310A42">
      <w:r>
        <w:t>La région de Marrakech-Safi se distingue comme le premier pôle touristique du Maroc et la première destination touristique en Afrique, grâce à une offre variée et un positionnement consolidé sur le marché international. Elle regroupe trois grandes destinations : Marrakech, reconnue mondialement, Essaouira et Safi, qui offrent une diversité de produits touristiques : tourisme culturel, tourisme balnéaire, tourisme de montagne, tourisme de loisirs, tourisme sportif et tourisme d’affaires et de congrès.</w:t>
      </w:r>
    </w:p>
    <w:p w14:paraId="47CF61B7" w14:textId="78384498" w:rsidR="00A84BBD" w:rsidRDefault="00310A42" w:rsidP="00310A42">
      <w:r>
        <w:t>La région dispose d’une offre hôtelière en expansion, comptant 2 358 établissements classés toutes catégories confondues, pour une capacité d’accueil de 91 252 lits et 40 657 chambres. La ville de Marrakech concentre à elle seule 84 % de l’offre régionale, avec 1 834 établissements, 73 853 lits et 281 agences de voyages. Les autres provinces disposent également d’un réseau hôtelier, bien que plus limité</w:t>
      </w:r>
      <w:r w:rsidR="00A84BBD">
        <w:t>.</w:t>
      </w:r>
    </w:p>
    <w:p w14:paraId="10726B72" w14:textId="37D13B89" w:rsidR="00274E71" w:rsidRDefault="00274E71" w:rsidP="00274E71">
      <w:pPr>
        <w:pStyle w:val="Lgende"/>
        <w:keepNext/>
      </w:pPr>
      <w:bookmarkStart w:id="331" w:name="_Toc213404361"/>
      <w:r>
        <w:t xml:space="preserve">Tableau </w:t>
      </w:r>
      <w:r>
        <w:fldChar w:fldCharType="begin"/>
      </w:r>
      <w:r>
        <w:instrText xml:space="preserve"> SEQ Tableau \* ARABIC </w:instrText>
      </w:r>
      <w:r>
        <w:fldChar w:fldCharType="separate"/>
      </w:r>
      <w:r>
        <w:rPr>
          <w:noProof/>
        </w:rPr>
        <w:t>38</w:t>
      </w:r>
      <w:r>
        <w:fldChar w:fldCharType="end"/>
      </w:r>
      <w:r>
        <w:rPr>
          <w:noProof/>
        </w:rPr>
        <w:t xml:space="preserve"> </w:t>
      </w:r>
      <w:r>
        <w:rPr>
          <w:noProof/>
          <w:lang w:val="fr-FR"/>
        </w:rPr>
        <w:t>: Réseau hôtelier des provinces de la région</w:t>
      </w:r>
      <w:bookmarkEnd w:id="331"/>
    </w:p>
    <w:tbl>
      <w:tblPr>
        <w:tblStyle w:val="Grilledutableau"/>
        <w:tblW w:w="0" w:type="auto"/>
        <w:tblLook w:val="04A0" w:firstRow="1" w:lastRow="0" w:firstColumn="1" w:lastColumn="0" w:noHBand="0" w:noVBand="1"/>
      </w:tblPr>
      <w:tblGrid>
        <w:gridCol w:w="2265"/>
        <w:gridCol w:w="2265"/>
        <w:gridCol w:w="2266"/>
        <w:gridCol w:w="2266"/>
      </w:tblGrid>
      <w:tr w:rsidR="00274E71" w14:paraId="7546CD23" w14:textId="77777777" w:rsidTr="005A7661">
        <w:tc>
          <w:tcPr>
            <w:tcW w:w="2265" w:type="dxa"/>
            <w:vAlign w:val="center"/>
          </w:tcPr>
          <w:p w14:paraId="234A61CE" w14:textId="77777777" w:rsidR="00274E71" w:rsidRPr="006C3F0A" w:rsidRDefault="00274E71" w:rsidP="005A7661">
            <w:pPr>
              <w:jc w:val="center"/>
              <w:rPr>
                <w:b/>
                <w:bCs/>
              </w:rPr>
            </w:pPr>
            <w:r w:rsidRPr="006C3F0A">
              <w:rPr>
                <w:b/>
                <w:bCs/>
              </w:rPr>
              <w:t>Destination</w:t>
            </w:r>
          </w:p>
        </w:tc>
        <w:tc>
          <w:tcPr>
            <w:tcW w:w="2265" w:type="dxa"/>
            <w:vAlign w:val="center"/>
          </w:tcPr>
          <w:p w14:paraId="7796DCF2" w14:textId="77777777" w:rsidR="00274E71" w:rsidRPr="006C3F0A" w:rsidRDefault="00274E71" w:rsidP="005A7661">
            <w:pPr>
              <w:jc w:val="center"/>
              <w:rPr>
                <w:b/>
                <w:bCs/>
              </w:rPr>
            </w:pPr>
            <w:r w:rsidRPr="006C3F0A">
              <w:rPr>
                <w:b/>
                <w:bCs/>
              </w:rPr>
              <w:t>Etablissements classés</w:t>
            </w:r>
          </w:p>
        </w:tc>
        <w:tc>
          <w:tcPr>
            <w:tcW w:w="2266" w:type="dxa"/>
            <w:vAlign w:val="center"/>
          </w:tcPr>
          <w:p w14:paraId="71A72A32" w14:textId="77777777" w:rsidR="00274E71" w:rsidRPr="006C3F0A" w:rsidRDefault="00274E71" w:rsidP="005A7661">
            <w:pPr>
              <w:jc w:val="center"/>
              <w:rPr>
                <w:b/>
                <w:bCs/>
              </w:rPr>
            </w:pPr>
            <w:r w:rsidRPr="006C3F0A">
              <w:rPr>
                <w:b/>
                <w:bCs/>
              </w:rPr>
              <w:t>Capacité litière</w:t>
            </w:r>
          </w:p>
        </w:tc>
        <w:tc>
          <w:tcPr>
            <w:tcW w:w="2266" w:type="dxa"/>
            <w:vAlign w:val="center"/>
          </w:tcPr>
          <w:p w14:paraId="350AAACA" w14:textId="77777777" w:rsidR="00274E71" w:rsidRPr="006C3F0A" w:rsidRDefault="00274E71" w:rsidP="005A7661">
            <w:pPr>
              <w:jc w:val="center"/>
              <w:rPr>
                <w:b/>
                <w:bCs/>
              </w:rPr>
            </w:pPr>
            <w:r w:rsidRPr="006C3F0A">
              <w:rPr>
                <w:b/>
                <w:bCs/>
              </w:rPr>
              <w:t>Agences de voyage</w:t>
            </w:r>
          </w:p>
        </w:tc>
      </w:tr>
      <w:tr w:rsidR="00274E71" w14:paraId="46AEA7FF" w14:textId="77777777" w:rsidTr="005A7661">
        <w:tc>
          <w:tcPr>
            <w:tcW w:w="2265" w:type="dxa"/>
            <w:vAlign w:val="center"/>
          </w:tcPr>
          <w:p w14:paraId="3838BC0A" w14:textId="77777777" w:rsidR="00274E71" w:rsidRPr="006C3F0A" w:rsidRDefault="00274E71" w:rsidP="005A7661">
            <w:pPr>
              <w:jc w:val="center"/>
              <w:rPr>
                <w:b/>
                <w:bCs/>
              </w:rPr>
            </w:pPr>
            <w:r w:rsidRPr="006C3F0A">
              <w:rPr>
                <w:b/>
                <w:bCs/>
              </w:rPr>
              <w:t>Marrakech</w:t>
            </w:r>
          </w:p>
        </w:tc>
        <w:tc>
          <w:tcPr>
            <w:tcW w:w="2265" w:type="dxa"/>
            <w:vAlign w:val="center"/>
          </w:tcPr>
          <w:p w14:paraId="73929D14" w14:textId="77777777" w:rsidR="00274E71" w:rsidRDefault="00274E71" w:rsidP="005A7661">
            <w:pPr>
              <w:jc w:val="center"/>
            </w:pPr>
            <w:r>
              <w:t>1 834</w:t>
            </w:r>
          </w:p>
        </w:tc>
        <w:tc>
          <w:tcPr>
            <w:tcW w:w="2266" w:type="dxa"/>
            <w:vAlign w:val="center"/>
          </w:tcPr>
          <w:p w14:paraId="5AA0F31D" w14:textId="77777777" w:rsidR="00274E71" w:rsidRDefault="00274E71" w:rsidP="005A7661">
            <w:pPr>
              <w:jc w:val="center"/>
            </w:pPr>
            <w:r>
              <w:t>73 853</w:t>
            </w:r>
          </w:p>
        </w:tc>
        <w:tc>
          <w:tcPr>
            <w:tcW w:w="2266" w:type="dxa"/>
            <w:vAlign w:val="center"/>
          </w:tcPr>
          <w:p w14:paraId="6B9B7A45" w14:textId="77777777" w:rsidR="00274E71" w:rsidRDefault="00274E71" w:rsidP="005A7661">
            <w:pPr>
              <w:jc w:val="center"/>
            </w:pPr>
            <w:r>
              <w:t>281</w:t>
            </w:r>
          </w:p>
        </w:tc>
      </w:tr>
      <w:tr w:rsidR="00274E71" w14:paraId="61BA9336" w14:textId="77777777" w:rsidTr="005A7661">
        <w:tc>
          <w:tcPr>
            <w:tcW w:w="2265" w:type="dxa"/>
            <w:vAlign w:val="center"/>
          </w:tcPr>
          <w:p w14:paraId="356FB016" w14:textId="77777777" w:rsidR="00274E71" w:rsidRPr="006C3F0A" w:rsidRDefault="00274E71" w:rsidP="005A7661">
            <w:pPr>
              <w:jc w:val="center"/>
              <w:rPr>
                <w:b/>
                <w:bCs/>
              </w:rPr>
            </w:pPr>
            <w:r w:rsidRPr="006C3F0A">
              <w:rPr>
                <w:b/>
                <w:bCs/>
              </w:rPr>
              <w:t>Essaouira</w:t>
            </w:r>
          </w:p>
        </w:tc>
        <w:tc>
          <w:tcPr>
            <w:tcW w:w="2265" w:type="dxa"/>
            <w:vAlign w:val="center"/>
          </w:tcPr>
          <w:p w14:paraId="18C31CA7" w14:textId="77777777" w:rsidR="00274E71" w:rsidRDefault="00274E71" w:rsidP="005A7661">
            <w:pPr>
              <w:jc w:val="center"/>
            </w:pPr>
            <w:r>
              <w:t>360</w:t>
            </w:r>
          </w:p>
        </w:tc>
        <w:tc>
          <w:tcPr>
            <w:tcW w:w="2266" w:type="dxa"/>
            <w:vAlign w:val="center"/>
          </w:tcPr>
          <w:p w14:paraId="102EF249" w14:textId="77777777" w:rsidR="00274E71" w:rsidRDefault="00274E71" w:rsidP="005A7661">
            <w:pPr>
              <w:jc w:val="center"/>
            </w:pPr>
            <w:r>
              <w:t>9 759</w:t>
            </w:r>
          </w:p>
        </w:tc>
        <w:tc>
          <w:tcPr>
            <w:tcW w:w="2266" w:type="dxa"/>
            <w:vAlign w:val="center"/>
          </w:tcPr>
          <w:p w14:paraId="74119629" w14:textId="77777777" w:rsidR="00274E71" w:rsidRDefault="00274E71" w:rsidP="005A7661">
            <w:pPr>
              <w:jc w:val="center"/>
            </w:pPr>
            <w:r>
              <w:t>3</w:t>
            </w:r>
          </w:p>
        </w:tc>
      </w:tr>
      <w:tr w:rsidR="00274E71" w14:paraId="2CDABE5B" w14:textId="77777777" w:rsidTr="005A7661">
        <w:tc>
          <w:tcPr>
            <w:tcW w:w="2265" w:type="dxa"/>
            <w:vAlign w:val="center"/>
          </w:tcPr>
          <w:p w14:paraId="4DAE633F" w14:textId="77777777" w:rsidR="00274E71" w:rsidRPr="006C3F0A" w:rsidRDefault="00274E71" w:rsidP="005A7661">
            <w:pPr>
              <w:jc w:val="center"/>
              <w:rPr>
                <w:b/>
                <w:bCs/>
              </w:rPr>
            </w:pPr>
            <w:r w:rsidRPr="006C3F0A">
              <w:rPr>
                <w:b/>
                <w:bCs/>
              </w:rPr>
              <w:t>Safi</w:t>
            </w:r>
          </w:p>
        </w:tc>
        <w:tc>
          <w:tcPr>
            <w:tcW w:w="2265" w:type="dxa"/>
            <w:vAlign w:val="center"/>
          </w:tcPr>
          <w:p w14:paraId="36223F8E" w14:textId="77777777" w:rsidR="00274E71" w:rsidRDefault="00274E71" w:rsidP="005A7661">
            <w:pPr>
              <w:jc w:val="center"/>
            </w:pPr>
            <w:r>
              <w:t>16</w:t>
            </w:r>
          </w:p>
        </w:tc>
        <w:tc>
          <w:tcPr>
            <w:tcW w:w="2266" w:type="dxa"/>
            <w:vAlign w:val="center"/>
          </w:tcPr>
          <w:p w14:paraId="5AECF1FE" w14:textId="77777777" w:rsidR="00274E71" w:rsidRDefault="00274E71" w:rsidP="005A7661">
            <w:pPr>
              <w:jc w:val="center"/>
            </w:pPr>
            <w:r>
              <w:t>1 080</w:t>
            </w:r>
          </w:p>
        </w:tc>
        <w:tc>
          <w:tcPr>
            <w:tcW w:w="2266" w:type="dxa"/>
            <w:vAlign w:val="center"/>
          </w:tcPr>
          <w:p w14:paraId="4F0C7B15" w14:textId="77777777" w:rsidR="00274E71" w:rsidRDefault="00274E71" w:rsidP="005A7661">
            <w:pPr>
              <w:jc w:val="center"/>
            </w:pPr>
            <w:r>
              <w:t>9</w:t>
            </w:r>
          </w:p>
        </w:tc>
      </w:tr>
      <w:tr w:rsidR="00274E71" w14:paraId="7E2F0243" w14:textId="77777777" w:rsidTr="005A7661">
        <w:tc>
          <w:tcPr>
            <w:tcW w:w="2265" w:type="dxa"/>
            <w:vAlign w:val="center"/>
          </w:tcPr>
          <w:p w14:paraId="5EC567D9" w14:textId="77777777" w:rsidR="00274E71" w:rsidRPr="006C3F0A" w:rsidRDefault="00274E71" w:rsidP="005A7661">
            <w:pPr>
              <w:jc w:val="center"/>
              <w:rPr>
                <w:b/>
                <w:bCs/>
              </w:rPr>
            </w:pPr>
            <w:r w:rsidRPr="006C3F0A">
              <w:rPr>
                <w:b/>
                <w:bCs/>
              </w:rPr>
              <w:t>Al Haouz</w:t>
            </w:r>
          </w:p>
        </w:tc>
        <w:tc>
          <w:tcPr>
            <w:tcW w:w="2265" w:type="dxa"/>
            <w:vAlign w:val="center"/>
          </w:tcPr>
          <w:p w14:paraId="562DD1EA" w14:textId="77777777" w:rsidR="00274E71" w:rsidRDefault="00274E71" w:rsidP="005A7661">
            <w:pPr>
              <w:jc w:val="center"/>
            </w:pPr>
            <w:r>
              <w:t>162</w:t>
            </w:r>
          </w:p>
        </w:tc>
        <w:tc>
          <w:tcPr>
            <w:tcW w:w="2266" w:type="dxa"/>
            <w:vAlign w:val="center"/>
          </w:tcPr>
          <w:p w14:paraId="36DACEEE" w14:textId="77777777" w:rsidR="00274E71" w:rsidRDefault="00274E71" w:rsidP="005A7661">
            <w:pPr>
              <w:jc w:val="center"/>
            </w:pPr>
            <w:r>
              <w:t>615</w:t>
            </w:r>
          </w:p>
        </w:tc>
        <w:tc>
          <w:tcPr>
            <w:tcW w:w="2266" w:type="dxa"/>
            <w:vAlign w:val="center"/>
          </w:tcPr>
          <w:p w14:paraId="034160E6" w14:textId="77777777" w:rsidR="00274E71" w:rsidRDefault="00274E71" w:rsidP="005A7661">
            <w:pPr>
              <w:jc w:val="center"/>
            </w:pPr>
            <w:r>
              <w:t>3</w:t>
            </w:r>
          </w:p>
        </w:tc>
      </w:tr>
      <w:tr w:rsidR="00274E71" w14:paraId="0E810F80" w14:textId="77777777" w:rsidTr="005A7661">
        <w:tc>
          <w:tcPr>
            <w:tcW w:w="2265" w:type="dxa"/>
            <w:vAlign w:val="center"/>
          </w:tcPr>
          <w:p w14:paraId="6C76B2B6" w14:textId="77777777" w:rsidR="00274E71" w:rsidRPr="006C3F0A" w:rsidRDefault="00274E71" w:rsidP="005A7661">
            <w:pPr>
              <w:jc w:val="center"/>
              <w:rPr>
                <w:b/>
                <w:bCs/>
              </w:rPr>
            </w:pPr>
            <w:r w:rsidRPr="006C3F0A">
              <w:rPr>
                <w:b/>
                <w:bCs/>
              </w:rPr>
              <w:t>Chichaoua</w:t>
            </w:r>
          </w:p>
        </w:tc>
        <w:tc>
          <w:tcPr>
            <w:tcW w:w="2265" w:type="dxa"/>
            <w:vAlign w:val="center"/>
          </w:tcPr>
          <w:p w14:paraId="20B2CFF4" w14:textId="77777777" w:rsidR="00274E71" w:rsidRDefault="00274E71" w:rsidP="005A7661">
            <w:pPr>
              <w:jc w:val="center"/>
            </w:pPr>
            <w:r>
              <w:t>7</w:t>
            </w:r>
          </w:p>
        </w:tc>
        <w:tc>
          <w:tcPr>
            <w:tcW w:w="2266" w:type="dxa"/>
            <w:vAlign w:val="center"/>
          </w:tcPr>
          <w:p w14:paraId="06E08369" w14:textId="77777777" w:rsidR="00274E71" w:rsidRDefault="00274E71" w:rsidP="005A7661">
            <w:pPr>
              <w:jc w:val="center"/>
            </w:pPr>
            <w:r>
              <w:t>90</w:t>
            </w:r>
          </w:p>
        </w:tc>
        <w:tc>
          <w:tcPr>
            <w:tcW w:w="2266" w:type="dxa"/>
            <w:vAlign w:val="center"/>
          </w:tcPr>
          <w:p w14:paraId="6E1DF65C" w14:textId="77777777" w:rsidR="00274E71" w:rsidRDefault="00274E71" w:rsidP="005A7661">
            <w:pPr>
              <w:keepNext/>
              <w:jc w:val="center"/>
            </w:pPr>
            <w:r>
              <w:t>1</w:t>
            </w:r>
          </w:p>
        </w:tc>
      </w:tr>
    </w:tbl>
    <w:p w14:paraId="1AB52A10" w14:textId="75A6B7BF" w:rsidR="00274E71" w:rsidRPr="00EF3DFE" w:rsidRDefault="00EF3DFE" w:rsidP="00310A42">
      <w:pPr>
        <w:rPr>
          <w:i/>
          <w:iCs/>
          <w:sz w:val="18"/>
          <w:szCs w:val="18"/>
        </w:rPr>
      </w:pPr>
      <w:r w:rsidRPr="00EF3DFE">
        <w:rPr>
          <w:i/>
          <w:iCs/>
          <w:sz w:val="18"/>
          <w:szCs w:val="18"/>
        </w:rPr>
        <w:lastRenderedPageBreak/>
        <w:t>Source : Chambre de commerce, d’industrie et de services – Marrakech Safi / 2023</w:t>
      </w:r>
    </w:p>
    <w:p w14:paraId="11F39741" w14:textId="77777777" w:rsidR="00EC1F2C" w:rsidRDefault="00EC1F2C" w:rsidP="00EC1F2C">
      <w:r w:rsidRPr="00023613">
        <w:t>La région Marrakech-Safi représente 33 % de la capacité litière nationale et 48 % de la capacité d’hébergement touristique du pays, témoignant de son poids économique stratégique.</w:t>
      </w:r>
    </w:p>
    <w:p w14:paraId="48FE6172" w14:textId="77777777" w:rsidR="00EC1F2C" w:rsidRDefault="00EC1F2C" w:rsidP="00EC1F2C">
      <w:r w:rsidRPr="00023613">
        <w:t>En 2022, les établissements d’hébergement classés de la région ont enregistré 7 042 048 nuitées, en hausse de +167 % par rapport à 2021. Cette progression significative illustre la reprise post-Covid et l’attractivité persistante de la destination. La répartition des nuitées met en évidence une nette dominance du tourisme international (73 %) par rapport au tourisme national (27 %), ce qui rend le secteur sensible aux dynamiques internationales. Le nombre d’arrivées s’élève à 2 241 334 en 2022, en augmentation de +142 % par rapport à l’année précédente. Le taux d’occupation moyen régional a atteint 52 % en 2022 contre 27 % en 2021, et la durée moyenne de séjour est passée de 2,83 jours en 2019 à 3,06 jours en 2022, signe d’un regain d’intérêt touristique prolongé.</w:t>
      </w:r>
    </w:p>
    <w:p w14:paraId="3B255C15" w14:textId="07F9E648" w:rsidR="00274E71" w:rsidRDefault="00EC1F2C" w:rsidP="00EC1F2C">
      <w:r w:rsidRPr="00023613">
        <w:t>La dynamique de développement touristique dans la région est soutenue par l’adoption de 330 nouveaux projets touristiques, représentant une capacité prévisionnelle de 38 757 lits, 20,2 milliards de dirhams d’investissements et la création anticipée de 16 572 emplois directs. Ces projets devraient renforcer davantage la position de la région comme locomotive touristique du Royaume</w:t>
      </w:r>
      <w:r>
        <w:t>.</w:t>
      </w:r>
    </w:p>
    <w:p w14:paraId="79BBD82D" w14:textId="3B69DA32" w:rsidR="00A84BBD" w:rsidRDefault="00DE2E85" w:rsidP="00DE2E85">
      <w:pPr>
        <w:pStyle w:val="Title4"/>
        <w:tabs>
          <w:tab w:val="clear" w:pos="1134"/>
          <w:tab w:val="left" w:pos="851"/>
        </w:tabs>
      </w:pPr>
      <w:r>
        <w:t>Mines</w:t>
      </w:r>
    </w:p>
    <w:p w14:paraId="6F43AB74" w14:textId="77777777" w:rsidR="004B513B" w:rsidRDefault="004B513B" w:rsidP="004B513B">
      <w:bookmarkStart w:id="332" w:name="_Hlk181873319"/>
      <w:r>
        <w:t>La région de Marrakech-Safi est une région à vocation minière eu égard aux ressources importantes et diversifiées que recèle son sous-sol et qui sont localisées dans différentes métallifères (Zinc, Plomb, Cuivre, Au, Ag …) aussi que d’autre substances utiles telles que le Phosphate, Barytine, Pegmatites, sel en plus des roches industrielles et ornementales dont les marbres, granites et Argiles.</w:t>
      </w:r>
    </w:p>
    <w:p w14:paraId="12156CD1" w14:textId="77777777" w:rsidR="004B513B" w:rsidRDefault="004B513B" w:rsidP="004B513B">
      <w:r>
        <w:t>En matière de production, la région fournit environ 360 000 tonnes en dehors de phosphates, contribuant ainsi à plus de 28% à la production nationale. La production phosphatière de la région, première richesse nationale, représente près de deux tiers de la production nationale, avec une production près de 11 millions de tonnes. Les réserves de la région en phosphates, s’élèvent à 18 milliards de m3, soit environ 21% des réserves nationales dont 2 Mds de m3 à Benguérir et 16 Mds à Meskala.</w:t>
      </w:r>
    </w:p>
    <w:p w14:paraId="5AFC4226" w14:textId="77777777" w:rsidR="004B513B" w:rsidRDefault="004B513B" w:rsidP="004B513B">
      <w:r>
        <w:t>Les activités de ce secteur dans la région, sont globalement limitées à une industrie de transformation à prédominance agro-industrielles et à l’artisanat.</w:t>
      </w:r>
    </w:p>
    <w:p w14:paraId="1A829CCD" w14:textId="77777777" w:rsidR="004B513B" w:rsidRDefault="004B513B" w:rsidP="004B513B">
      <w:r>
        <w:t xml:space="preserve">Le phosphate étant le minerai phare de la ville de Youssoufia, il est classé deuxième en importance au Maroc après celui de Khouribga, le Royaume étant le premier exportateur et troisième producteur mondial de Phosphate. </w:t>
      </w:r>
    </w:p>
    <w:p w14:paraId="1FC614A7" w14:textId="77777777" w:rsidR="004B513B" w:rsidRDefault="004B513B" w:rsidP="004B513B">
      <w:r>
        <w:t xml:space="preserve">Le gisement de phosphate de Youssoufia est constitué de deux types de minerais. Un phosphate « clair » contenant peu de matières organiques. Mis en valeur à la fin des années 60, le phosphate « noir » est, quant à lui, riche en matières organiques. Le potentiel d’extraction avoisine les 1,2 million de tonnes de phosphate par an. L’exploitation en souterrain est mécanisée à 100 %. </w:t>
      </w:r>
    </w:p>
    <w:p w14:paraId="0D131CA5" w14:textId="77777777" w:rsidR="004B513B" w:rsidRDefault="004B513B" w:rsidP="004B513B">
      <w:r>
        <w:t xml:space="preserve">Depuis 1998, le Groupe OCP exploite également la mine de Bouchane, située à 40 km du site de Youssoufia. L’extraction du phosphate en découverte est réalisée au moyen de Bulls. La production est ensuite traitée entièrement à Youssoufia. Depuis mai 2005 la totalité du phosphate est extrait en découverte. Le centre de Youssoufia dispose de 3 types d’usines pour le traitement du phosphate, à </w:t>
      </w:r>
      <w:r>
        <w:lastRenderedPageBreak/>
        <w:t>savoir l’usine de séchage, l’usine de calcination et l’usine de lavage-flottation. Le phosphate traité à Youssoufia est acheminé par train à Safi, soit en vue de son exportation, soit en vue de son utilisation dans les usines de fabrication d'engrais et d'acide phosphorique.</w:t>
      </w:r>
    </w:p>
    <w:p w14:paraId="624EA1C6" w14:textId="332CE3E7" w:rsidR="00DE2E85" w:rsidRDefault="004B513B" w:rsidP="004B513B">
      <w:r>
        <w:t>Le centre Minier de Youssoufia constitue un ensemble intégré doté de toute l'infrastructure technique et sociale nécessaire en vue d'assurer la mise en valeur du gisement, la continuité de son exploitation et le développement économique de la région. Le potentiel d’extraction est actuellement de 1,4 million de tonnes de minerai sec et marchand et le potentiel de traitement final est actuellement de 7,3 millions de tonnes sec et marchand par an. La ville est connue également pour la qualité de son équipe de gymnastique qui a gagné plusieurs championnats du Maroc. Après les grèves des phosphatiers du 1986 à Youssoufia, l'état a procédé à une politique de marginalisation totale de la ville.</w:t>
      </w:r>
    </w:p>
    <w:bookmarkEnd w:id="332"/>
    <w:p w14:paraId="181F5999" w14:textId="27869BA5" w:rsidR="00C34F5F" w:rsidRDefault="00C34F5F" w:rsidP="00C34F5F">
      <w:pPr>
        <w:pStyle w:val="Title4"/>
        <w:tabs>
          <w:tab w:val="clear" w:pos="1134"/>
          <w:tab w:val="left" w:pos="851"/>
        </w:tabs>
      </w:pPr>
      <w:r>
        <w:t>Artisanat</w:t>
      </w:r>
    </w:p>
    <w:p w14:paraId="3A4B8251" w14:textId="77777777" w:rsidR="000C7177" w:rsidRDefault="000C7177" w:rsidP="000C7177">
      <w:r>
        <w:t>L’artisanat dans la région de Marrakech-Safi, compte une multitude d’artisans qui excellent dans les métiers d’art notamment le Cuir, le Textile, la Ferronnerie et la Menuiserie artisanale. Il contribue au développement économique et social via la diversité et l’importance du nombre de création d’emploi.</w:t>
      </w:r>
    </w:p>
    <w:p w14:paraId="7DD32FEB" w14:textId="77777777" w:rsidR="000C7177" w:rsidRDefault="000C7177" w:rsidP="000C7177">
      <w:r>
        <w:t>Ce secteur est considéré parmi les principales activités économiques de la région. Il se distingue surtout par sa qualité et sa diversité avec la dominance de la poterie qui constitue un patrimoine culturel et touristique incontestable pour la ville. La production est destinée aux marchés locaux ou nationaux, ainsi qu'une grande partie de la production est acheminée vers l'exportation.</w:t>
      </w:r>
    </w:p>
    <w:p w14:paraId="29E24A0D" w14:textId="77777777" w:rsidR="000C7177" w:rsidRDefault="000C7177" w:rsidP="000C7177">
      <w:pPr>
        <w:pStyle w:val="Style1"/>
        <w:spacing w:line="240" w:lineRule="auto"/>
      </w:pPr>
      <w:r w:rsidRPr="00B77FC1">
        <w:rPr>
          <w:b/>
          <w:bCs/>
        </w:rPr>
        <w:t>La colline des potiers :</w:t>
      </w:r>
      <w:r>
        <w:t xml:space="preserve"> elle est liée historiquement avec l'art de la céramique ; c'est l'un des plus anciens quartiers de la ville. Plus de 800 artisans travaillent dans 37 ateliers équipés de 70 fours traditionnels.</w:t>
      </w:r>
    </w:p>
    <w:p w14:paraId="693F9BFA" w14:textId="77777777" w:rsidR="000C7177" w:rsidRDefault="000C7177" w:rsidP="000C7177">
      <w:pPr>
        <w:pStyle w:val="Style1"/>
        <w:spacing w:line="240" w:lineRule="auto"/>
      </w:pPr>
      <w:r w:rsidRPr="00B77FC1">
        <w:rPr>
          <w:b/>
          <w:bCs/>
        </w:rPr>
        <w:t>La chaâba :</w:t>
      </w:r>
      <w:r>
        <w:t xml:space="preserve"> cette zone a été créée pour abriter les potiers dont le nombre augmente d'une façon croissante au fil des années. Environ 1000 potiers exercent dans 79 ateliers équipés de 130 fours traditionnels.</w:t>
      </w:r>
    </w:p>
    <w:p w14:paraId="63ED6860" w14:textId="035706EF" w:rsidR="008377EC" w:rsidRDefault="000C7177" w:rsidP="000C7177">
      <w:pPr>
        <w:pStyle w:val="Style1"/>
      </w:pPr>
      <w:r w:rsidRPr="00B77FC1">
        <w:rPr>
          <w:b/>
          <w:bCs/>
        </w:rPr>
        <w:t>Village de Sidi Abderrahmane :</w:t>
      </w:r>
      <w:r>
        <w:t xml:space="preserve"> 200 potiers opèrent d'une façon individuelle dans une trentaine d'ateliers dispersés dans les environs du village. La matière première est essentiellement constituée d'argile, d'eau, de substances chimiques, et de bois. Ce dernier provient surtout du genêt qui se trouve en abondance dans la province.</w:t>
      </w:r>
    </w:p>
    <w:p w14:paraId="2A541D80" w14:textId="58B0CFE5" w:rsidR="007218B4" w:rsidRDefault="00EC5BF3" w:rsidP="00EC5BF3">
      <w:pPr>
        <w:pStyle w:val="Title4"/>
        <w:tabs>
          <w:tab w:val="clear" w:pos="1134"/>
          <w:tab w:val="left" w:pos="851"/>
        </w:tabs>
      </w:pPr>
      <w:r>
        <w:t>Réseau routier</w:t>
      </w:r>
    </w:p>
    <w:p w14:paraId="089A023F" w14:textId="77777777" w:rsidR="000C168D" w:rsidRDefault="000C168D" w:rsidP="000C168D">
      <w:r>
        <w:t>Grâce à sa position stratégique entre le nord et le sud du Royaume, la région dispose d’un réseau routier structurant de 6 359 km, dont :</w:t>
      </w:r>
    </w:p>
    <w:p w14:paraId="1754DDEA" w14:textId="77777777" w:rsidR="000C168D" w:rsidRPr="006C3F0A" w:rsidRDefault="000C168D" w:rsidP="0001633E">
      <w:pPr>
        <w:pStyle w:val="Paragraphedeliste"/>
        <w:numPr>
          <w:ilvl w:val="0"/>
          <w:numId w:val="202"/>
        </w:numPr>
        <w:spacing w:line="240" w:lineRule="auto"/>
        <w:rPr>
          <w:rFonts w:cstheme="minorHAnsi"/>
        </w:rPr>
      </w:pPr>
      <w:r w:rsidRPr="006C3F0A">
        <w:rPr>
          <w:rFonts w:asciiTheme="minorHAnsi" w:hAnsiTheme="minorHAnsi" w:cstheme="minorHAnsi"/>
          <w:szCs w:val="24"/>
          <w:lang w:eastAsia="en-GB"/>
        </w:rPr>
        <w:t>5956 km de routes revêtues (environ 85 %)</w:t>
      </w:r>
      <w:r w:rsidRPr="006C3F0A">
        <w:rPr>
          <w:rFonts w:asciiTheme="minorHAnsi" w:hAnsiTheme="minorHAnsi" w:cstheme="minorHAnsi"/>
        </w:rPr>
        <w:t xml:space="preserve"> ;</w:t>
      </w:r>
    </w:p>
    <w:p w14:paraId="2DD2283C" w14:textId="77777777" w:rsidR="000C168D" w:rsidRPr="006C3F0A" w:rsidRDefault="000C168D" w:rsidP="0001633E">
      <w:pPr>
        <w:pStyle w:val="Paragraphedeliste"/>
        <w:numPr>
          <w:ilvl w:val="0"/>
          <w:numId w:val="202"/>
        </w:numPr>
        <w:spacing w:line="240" w:lineRule="auto"/>
        <w:rPr>
          <w:rFonts w:cstheme="minorHAnsi"/>
        </w:rPr>
      </w:pPr>
      <w:r w:rsidRPr="006C3F0A">
        <w:rPr>
          <w:rFonts w:asciiTheme="minorHAnsi" w:hAnsiTheme="minorHAnsi" w:cstheme="minorHAnsi"/>
          <w:szCs w:val="24"/>
          <w:lang w:eastAsia="en-GB"/>
        </w:rPr>
        <w:t>456 km de routes aménagées (7 %)</w:t>
      </w:r>
      <w:r w:rsidRPr="006C3F0A">
        <w:rPr>
          <w:rFonts w:asciiTheme="minorHAnsi" w:hAnsiTheme="minorHAnsi" w:cstheme="minorHAnsi"/>
        </w:rPr>
        <w:t xml:space="preserve"> ;</w:t>
      </w:r>
    </w:p>
    <w:p w14:paraId="725E518C" w14:textId="77777777" w:rsidR="000C168D" w:rsidRPr="006C3F0A" w:rsidRDefault="000C168D" w:rsidP="0001633E">
      <w:pPr>
        <w:pStyle w:val="Paragraphedeliste"/>
        <w:numPr>
          <w:ilvl w:val="0"/>
          <w:numId w:val="202"/>
        </w:numPr>
        <w:spacing w:line="240" w:lineRule="auto"/>
        <w:rPr>
          <w:rFonts w:cstheme="minorHAnsi"/>
        </w:rPr>
      </w:pPr>
      <w:r w:rsidRPr="006C3F0A">
        <w:rPr>
          <w:rFonts w:asciiTheme="minorHAnsi" w:hAnsiTheme="minorHAnsi" w:cstheme="minorHAnsi"/>
          <w:szCs w:val="24"/>
          <w:lang w:eastAsia="en-GB"/>
        </w:rPr>
        <w:t>557 km de routes classées en état de piste (8 %)</w:t>
      </w:r>
      <w:r w:rsidRPr="006C3F0A">
        <w:rPr>
          <w:rFonts w:asciiTheme="minorHAnsi" w:hAnsiTheme="minorHAnsi" w:cstheme="minorHAnsi"/>
        </w:rPr>
        <w:t>.</w:t>
      </w:r>
    </w:p>
    <w:p w14:paraId="276B5A34" w14:textId="77777777" w:rsidR="000C168D" w:rsidRDefault="000C168D" w:rsidP="000C168D">
      <w:r>
        <w:t>Ce réseau se répartit comme suit :</w:t>
      </w:r>
    </w:p>
    <w:p w14:paraId="5C70378F" w14:textId="77777777" w:rsidR="000C168D" w:rsidRPr="0087779D" w:rsidRDefault="000C168D" w:rsidP="0001633E">
      <w:pPr>
        <w:pStyle w:val="Paragraphedeliste"/>
        <w:numPr>
          <w:ilvl w:val="0"/>
          <w:numId w:val="202"/>
        </w:numPr>
        <w:spacing w:line="240" w:lineRule="auto"/>
        <w:rPr>
          <w:rFonts w:cstheme="minorHAnsi"/>
        </w:rPr>
      </w:pPr>
      <w:r w:rsidRPr="006C3F0A">
        <w:rPr>
          <w:rFonts w:asciiTheme="minorHAnsi" w:hAnsiTheme="minorHAnsi" w:cstheme="minorHAnsi"/>
          <w:szCs w:val="24"/>
          <w:lang w:val="en-GB" w:eastAsia="en-GB"/>
        </w:rPr>
        <w:t>1353 km de routes nationales</w:t>
      </w:r>
      <w:r>
        <w:rPr>
          <w:rFonts w:asciiTheme="minorHAnsi" w:hAnsiTheme="minorHAnsi" w:cstheme="minorHAnsi"/>
        </w:rPr>
        <w:t xml:space="preserve"> ;</w:t>
      </w:r>
    </w:p>
    <w:p w14:paraId="58104B67" w14:textId="77777777" w:rsidR="000C168D" w:rsidRPr="006C3F0A" w:rsidRDefault="000C168D" w:rsidP="0001633E">
      <w:pPr>
        <w:pStyle w:val="Paragraphedeliste"/>
        <w:numPr>
          <w:ilvl w:val="0"/>
          <w:numId w:val="202"/>
        </w:numPr>
        <w:spacing w:line="240" w:lineRule="auto"/>
        <w:rPr>
          <w:rFonts w:cstheme="minorHAnsi"/>
        </w:rPr>
      </w:pPr>
      <w:r w:rsidRPr="006C3F0A">
        <w:rPr>
          <w:rFonts w:asciiTheme="minorHAnsi" w:hAnsiTheme="minorHAnsi" w:cstheme="minorHAnsi"/>
          <w:szCs w:val="24"/>
          <w:lang w:eastAsia="en-GB"/>
        </w:rPr>
        <w:t>1096 km de routes régionales (dont 1074 km revêtues)</w:t>
      </w:r>
      <w:r w:rsidRPr="006C3F0A">
        <w:rPr>
          <w:rFonts w:asciiTheme="minorHAnsi" w:hAnsiTheme="minorHAnsi" w:cstheme="minorHAnsi"/>
        </w:rPr>
        <w:t xml:space="preserve"> ;</w:t>
      </w:r>
    </w:p>
    <w:p w14:paraId="0429A230" w14:textId="77777777" w:rsidR="000C168D" w:rsidRPr="006C3F0A" w:rsidRDefault="000C168D" w:rsidP="0001633E">
      <w:pPr>
        <w:pStyle w:val="Paragraphedeliste"/>
        <w:numPr>
          <w:ilvl w:val="0"/>
          <w:numId w:val="202"/>
        </w:numPr>
        <w:spacing w:line="240" w:lineRule="auto"/>
        <w:rPr>
          <w:rFonts w:cstheme="minorHAnsi"/>
        </w:rPr>
      </w:pPr>
      <w:r w:rsidRPr="006C3F0A">
        <w:rPr>
          <w:rFonts w:asciiTheme="minorHAnsi" w:hAnsiTheme="minorHAnsi" w:cstheme="minorHAnsi"/>
          <w:szCs w:val="24"/>
          <w:lang w:eastAsia="en-GB"/>
        </w:rPr>
        <w:t>3910 km de routes provinciales (dont 2919 km revêtues)</w:t>
      </w:r>
      <w:r w:rsidRPr="006C3F0A">
        <w:rPr>
          <w:rFonts w:asciiTheme="minorHAnsi" w:hAnsiTheme="minorHAnsi" w:cstheme="minorHAnsi"/>
        </w:rPr>
        <w:t xml:space="preserve"> ;</w:t>
      </w:r>
    </w:p>
    <w:p w14:paraId="4C3FB0E7" w14:textId="77777777" w:rsidR="000C168D" w:rsidRPr="006C3F0A" w:rsidRDefault="000C168D" w:rsidP="0001633E">
      <w:pPr>
        <w:pStyle w:val="Paragraphedeliste"/>
        <w:numPr>
          <w:ilvl w:val="0"/>
          <w:numId w:val="202"/>
        </w:numPr>
        <w:spacing w:line="240" w:lineRule="auto"/>
        <w:rPr>
          <w:rFonts w:cstheme="minorHAnsi"/>
        </w:rPr>
      </w:pPr>
      <w:r w:rsidRPr="006C3F0A">
        <w:rPr>
          <w:rFonts w:asciiTheme="minorHAnsi" w:hAnsiTheme="minorHAnsi" w:cstheme="minorHAnsi"/>
          <w:szCs w:val="24"/>
          <w:lang w:eastAsia="en-GB"/>
        </w:rPr>
        <w:t>315 km d’autoroutes (incluant l’A7 Casablanca–Agadir et l’A5 El Jadida–Safi)</w:t>
      </w:r>
      <w:r w:rsidRPr="006C3F0A">
        <w:rPr>
          <w:rFonts w:asciiTheme="minorHAnsi" w:hAnsiTheme="minorHAnsi" w:cstheme="minorHAnsi"/>
        </w:rPr>
        <w:t xml:space="preserve"> ;</w:t>
      </w:r>
    </w:p>
    <w:p w14:paraId="427260DD" w14:textId="77777777" w:rsidR="000C168D" w:rsidRPr="0087779D" w:rsidRDefault="000C168D" w:rsidP="0001633E">
      <w:pPr>
        <w:pStyle w:val="Paragraphedeliste"/>
        <w:numPr>
          <w:ilvl w:val="0"/>
          <w:numId w:val="202"/>
        </w:numPr>
        <w:spacing w:line="240" w:lineRule="auto"/>
        <w:rPr>
          <w:rFonts w:cstheme="minorHAnsi"/>
        </w:rPr>
      </w:pPr>
      <w:r w:rsidRPr="006C3F0A">
        <w:rPr>
          <w:rFonts w:asciiTheme="minorHAnsi" w:hAnsiTheme="minorHAnsi" w:cstheme="minorHAnsi"/>
          <w:szCs w:val="24"/>
          <w:lang w:val="en-GB" w:eastAsia="en-GB"/>
        </w:rPr>
        <w:lastRenderedPageBreak/>
        <w:t>113 km de voies express</w:t>
      </w:r>
      <w:r>
        <w:rPr>
          <w:rFonts w:asciiTheme="minorHAnsi" w:hAnsiTheme="minorHAnsi" w:cstheme="minorHAnsi"/>
        </w:rPr>
        <w:t>.</w:t>
      </w:r>
    </w:p>
    <w:p w14:paraId="38FADB0C" w14:textId="77777777" w:rsidR="000C168D" w:rsidRDefault="000C168D" w:rsidP="000C168D">
      <w:r>
        <w:t>La région dispose également de 5 gares routières et 304 km de chemin de fer, facilitant la mobilité des personnes et le transport des marchandises.</w:t>
      </w:r>
    </w:p>
    <w:p w14:paraId="6CD589BF" w14:textId="0AB23042" w:rsidR="00C73A74" w:rsidRDefault="000C168D" w:rsidP="000C168D">
      <w:r>
        <w:t>Le site du projet est accessible via les routes nationales RN8, et RN7 ainsi que la route régionale RR212</w:t>
      </w:r>
      <w:r w:rsidR="00C73A74">
        <w:t>.</w:t>
      </w:r>
    </w:p>
    <w:p w14:paraId="6C558A41" w14:textId="36F714D0" w:rsidR="007D0390" w:rsidRDefault="007D0390" w:rsidP="007D0390">
      <w:pPr>
        <w:pStyle w:val="Title4"/>
        <w:tabs>
          <w:tab w:val="clear" w:pos="1134"/>
          <w:tab w:val="left" w:pos="851"/>
        </w:tabs>
      </w:pPr>
      <w:r>
        <w:t>Transport aérien</w:t>
      </w:r>
    </w:p>
    <w:p w14:paraId="1C95D6ED" w14:textId="77777777" w:rsidR="00652026" w:rsidRDefault="00652026" w:rsidP="00652026">
      <w:r w:rsidRPr="00071A14">
        <w:t xml:space="preserve">Deux aéroports desservent la région : </w:t>
      </w:r>
    </w:p>
    <w:p w14:paraId="3B630CCD" w14:textId="77777777" w:rsidR="00652026" w:rsidRPr="006C3F0A" w:rsidRDefault="00652026" w:rsidP="0001633E">
      <w:pPr>
        <w:pStyle w:val="Paragraphedeliste"/>
        <w:numPr>
          <w:ilvl w:val="0"/>
          <w:numId w:val="202"/>
        </w:numPr>
        <w:spacing w:line="240" w:lineRule="auto"/>
        <w:rPr>
          <w:rFonts w:cstheme="minorHAnsi"/>
        </w:rPr>
      </w:pPr>
      <w:r w:rsidRPr="006C3F0A">
        <w:rPr>
          <w:rFonts w:asciiTheme="minorHAnsi" w:hAnsiTheme="minorHAnsi" w:cstheme="minorHAnsi"/>
          <w:szCs w:val="24"/>
          <w:lang w:eastAsia="en-GB"/>
        </w:rPr>
        <w:t xml:space="preserve">Aéroport Marrakech-Ménara : un aéroport international moderne, situé à 6 km au sud de la ville de Marrakech. </w:t>
      </w:r>
    </w:p>
    <w:p w14:paraId="3A47E01B" w14:textId="61EEF1FB" w:rsidR="00037CD1" w:rsidRPr="00652026" w:rsidRDefault="00652026" w:rsidP="0001633E">
      <w:pPr>
        <w:pStyle w:val="Paragraphedeliste"/>
        <w:numPr>
          <w:ilvl w:val="0"/>
          <w:numId w:val="202"/>
        </w:numPr>
        <w:spacing w:line="240" w:lineRule="auto"/>
        <w:rPr>
          <w:rFonts w:asciiTheme="minorHAnsi" w:hAnsiTheme="minorHAnsi" w:cstheme="minorHAnsi"/>
          <w:szCs w:val="24"/>
          <w:lang w:eastAsia="en-GB"/>
        </w:rPr>
      </w:pPr>
      <w:r w:rsidRPr="006C3F0A">
        <w:rPr>
          <w:rFonts w:asciiTheme="minorHAnsi" w:hAnsiTheme="minorHAnsi" w:cstheme="minorHAnsi"/>
          <w:szCs w:val="24"/>
          <w:lang w:eastAsia="en-GB"/>
        </w:rPr>
        <w:t>Aéroport Essaouira-Mogador : situé à 15 km au sud d’Essaouira, il accueille principalement des vols nationaux et européens</w:t>
      </w:r>
      <w:r w:rsidR="00037CD1" w:rsidRPr="00652026">
        <w:rPr>
          <w:rFonts w:asciiTheme="minorHAnsi" w:hAnsiTheme="minorHAnsi" w:cstheme="minorHAnsi"/>
          <w:szCs w:val="24"/>
          <w:lang w:eastAsia="en-GB"/>
        </w:rPr>
        <w:t>.</w:t>
      </w:r>
    </w:p>
    <w:p w14:paraId="1CCA15F2" w14:textId="55834D02" w:rsidR="00EC5BF3" w:rsidRDefault="00241E1D" w:rsidP="0043003F">
      <w:pPr>
        <w:pStyle w:val="Title4"/>
        <w:tabs>
          <w:tab w:val="clear" w:pos="1134"/>
          <w:tab w:val="left" w:pos="993"/>
        </w:tabs>
      </w:pPr>
      <w:r>
        <w:t>Transport maritime</w:t>
      </w:r>
    </w:p>
    <w:p w14:paraId="371C7214" w14:textId="77777777" w:rsidR="006D3096" w:rsidRDefault="006D3096" w:rsidP="006D3096">
      <w:r>
        <w:t>L</w:t>
      </w:r>
      <w:r w:rsidRPr="00725323">
        <w:t xml:space="preserve">a région possède trois ports, ouverts sur l’océan Atlantique : </w:t>
      </w:r>
    </w:p>
    <w:p w14:paraId="59514640" w14:textId="77777777" w:rsidR="006D3096" w:rsidRPr="006C3F0A" w:rsidRDefault="006D3096" w:rsidP="0001633E">
      <w:pPr>
        <w:pStyle w:val="Paragraphedeliste"/>
        <w:numPr>
          <w:ilvl w:val="0"/>
          <w:numId w:val="202"/>
        </w:numPr>
        <w:spacing w:line="240" w:lineRule="auto"/>
        <w:rPr>
          <w:rFonts w:cstheme="minorHAnsi"/>
        </w:rPr>
      </w:pPr>
      <w:r w:rsidRPr="006C3F0A">
        <w:rPr>
          <w:rFonts w:asciiTheme="minorHAnsi" w:hAnsiTheme="minorHAnsi" w:cstheme="minorHAnsi"/>
          <w:szCs w:val="24"/>
          <w:lang w:eastAsia="en-GB"/>
        </w:rPr>
        <w:t>Port de Safi : l’un des plus anciens ports du Royaume, jouant un rôle commercial important (entre 4</w:t>
      </w:r>
      <w:r w:rsidRPr="006C3F0A">
        <w:rPr>
          <w:rFonts w:asciiTheme="minorHAnsi" w:hAnsiTheme="minorHAnsi" w:cstheme="minorHAnsi"/>
          <w:szCs w:val="24"/>
          <w:lang w:val="en-GB" w:eastAsia="en-GB"/>
        </w:rPr>
        <w:t>ᵉ</w:t>
      </w:r>
      <w:r w:rsidRPr="006C3F0A">
        <w:rPr>
          <w:rFonts w:asciiTheme="minorHAnsi" w:hAnsiTheme="minorHAnsi" w:cstheme="minorHAnsi"/>
          <w:szCs w:val="24"/>
          <w:lang w:eastAsia="en-GB"/>
        </w:rPr>
        <w:t xml:space="preserve"> et 5</w:t>
      </w:r>
      <w:r w:rsidRPr="006C3F0A">
        <w:rPr>
          <w:rFonts w:asciiTheme="minorHAnsi" w:hAnsiTheme="minorHAnsi" w:cstheme="minorHAnsi"/>
          <w:szCs w:val="24"/>
          <w:lang w:val="en-GB" w:eastAsia="en-GB"/>
        </w:rPr>
        <w:t>ᵉ</w:t>
      </w:r>
      <w:r w:rsidRPr="006C3F0A">
        <w:rPr>
          <w:rFonts w:asciiTheme="minorHAnsi" w:hAnsiTheme="minorHAnsi" w:cstheme="minorHAnsi"/>
          <w:szCs w:val="24"/>
          <w:lang w:eastAsia="en-GB"/>
        </w:rPr>
        <w:t xml:space="preserve"> port du pays). </w:t>
      </w:r>
    </w:p>
    <w:p w14:paraId="68897A57" w14:textId="1E00EF0D" w:rsidR="00241E1D" w:rsidRPr="006D3096" w:rsidRDefault="006D3096" w:rsidP="0001633E">
      <w:pPr>
        <w:pStyle w:val="Paragraphedeliste"/>
        <w:numPr>
          <w:ilvl w:val="0"/>
          <w:numId w:val="202"/>
        </w:numPr>
        <w:spacing w:line="240" w:lineRule="auto"/>
        <w:rPr>
          <w:rFonts w:asciiTheme="minorHAnsi" w:hAnsiTheme="minorHAnsi" w:cstheme="minorHAnsi"/>
          <w:szCs w:val="24"/>
          <w:lang w:eastAsia="en-GB"/>
        </w:rPr>
      </w:pPr>
      <w:r w:rsidRPr="006C3F0A">
        <w:rPr>
          <w:rFonts w:asciiTheme="minorHAnsi" w:hAnsiTheme="minorHAnsi" w:cstheme="minorHAnsi"/>
          <w:szCs w:val="24"/>
          <w:lang w:eastAsia="en-GB"/>
        </w:rPr>
        <w:t>Port d’Essaouira : un port de pêche traditionnel encore très actif, également doté d’une activité de réparation navale</w:t>
      </w:r>
      <w:r w:rsidR="00241E1D" w:rsidRPr="006D3096">
        <w:rPr>
          <w:rFonts w:asciiTheme="minorHAnsi" w:hAnsiTheme="minorHAnsi" w:cstheme="minorHAnsi"/>
          <w:szCs w:val="24"/>
          <w:lang w:eastAsia="en-GB"/>
        </w:rPr>
        <w:t xml:space="preserve">. </w:t>
      </w:r>
    </w:p>
    <w:p w14:paraId="6F2469F6" w14:textId="0CB53509" w:rsidR="004D646F" w:rsidRDefault="004D646F" w:rsidP="004D646F">
      <w:pPr>
        <w:pStyle w:val="Title4"/>
        <w:tabs>
          <w:tab w:val="clear" w:pos="1134"/>
          <w:tab w:val="left" w:pos="993"/>
        </w:tabs>
      </w:pPr>
      <w:r>
        <w:t>Eau Potable</w:t>
      </w:r>
    </w:p>
    <w:p w14:paraId="3B93928B" w14:textId="60C6ACC3" w:rsidR="003E5EE3" w:rsidRDefault="003E5EE3" w:rsidP="003E5EE3">
      <w:r w:rsidRPr="00165052">
        <w:t xml:space="preserve">D’après le recensement </w:t>
      </w:r>
      <w:r w:rsidR="00DB0B61">
        <w:t xml:space="preserve">de 2024 </w:t>
      </w:r>
      <w:r w:rsidRPr="00165052">
        <w:t xml:space="preserve">: </w:t>
      </w:r>
    </w:p>
    <w:p w14:paraId="2769A023" w14:textId="77777777" w:rsidR="003E5EE3" w:rsidRPr="006C3F0A" w:rsidRDefault="003E5EE3" w:rsidP="0001633E">
      <w:pPr>
        <w:pStyle w:val="Paragraphedeliste"/>
        <w:numPr>
          <w:ilvl w:val="0"/>
          <w:numId w:val="202"/>
        </w:numPr>
        <w:spacing w:line="240" w:lineRule="auto"/>
        <w:rPr>
          <w:rFonts w:cstheme="minorHAnsi"/>
        </w:rPr>
      </w:pPr>
      <w:r w:rsidRPr="006C3F0A">
        <w:rPr>
          <w:rFonts w:asciiTheme="minorHAnsi" w:hAnsiTheme="minorHAnsi" w:cstheme="minorHAnsi"/>
          <w:szCs w:val="24"/>
          <w:lang w:eastAsia="en-GB"/>
        </w:rPr>
        <w:t xml:space="preserve">83,4% de la population régionale a accès à l’eau courante </w:t>
      </w:r>
    </w:p>
    <w:p w14:paraId="53A41C59" w14:textId="36039E84" w:rsidR="004D646F" w:rsidRPr="00DB0B61" w:rsidRDefault="003E5EE3" w:rsidP="0001633E">
      <w:pPr>
        <w:pStyle w:val="Paragraphedeliste"/>
        <w:numPr>
          <w:ilvl w:val="0"/>
          <w:numId w:val="202"/>
        </w:numPr>
        <w:spacing w:line="240" w:lineRule="auto"/>
        <w:rPr>
          <w:rFonts w:asciiTheme="minorHAnsi" w:hAnsiTheme="minorHAnsi" w:cstheme="minorHAnsi"/>
          <w:szCs w:val="24"/>
          <w:lang w:eastAsia="en-GB"/>
        </w:rPr>
      </w:pPr>
      <w:r w:rsidRPr="006C3F0A">
        <w:rPr>
          <w:rFonts w:asciiTheme="minorHAnsi" w:hAnsiTheme="minorHAnsi" w:cstheme="minorHAnsi"/>
          <w:szCs w:val="24"/>
          <w:lang w:eastAsia="en-GB"/>
        </w:rPr>
        <w:t>À Marrakech-Ménara, cette proportion atteint 98,4%.</w:t>
      </w:r>
    </w:p>
    <w:p w14:paraId="38C55498" w14:textId="3755A574" w:rsidR="00771086" w:rsidRDefault="005039E6" w:rsidP="005039E6">
      <w:pPr>
        <w:pStyle w:val="Title4"/>
        <w:tabs>
          <w:tab w:val="clear" w:pos="1134"/>
          <w:tab w:val="left" w:pos="993"/>
        </w:tabs>
      </w:pPr>
      <w:r>
        <w:t>Santé</w:t>
      </w:r>
    </w:p>
    <w:p w14:paraId="031CC36C" w14:textId="77777777" w:rsidR="00F334B2" w:rsidRDefault="00F334B2" w:rsidP="00F334B2">
      <w:r w:rsidRPr="00AA52E8">
        <w:t xml:space="preserve">L’offre de soins dans la région repose sur : </w:t>
      </w:r>
    </w:p>
    <w:p w14:paraId="0181AA47" w14:textId="77777777" w:rsidR="00F334B2" w:rsidRPr="006C3F0A" w:rsidRDefault="00F334B2" w:rsidP="0001633E">
      <w:pPr>
        <w:pStyle w:val="Paragraphedeliste"/>
        <w:numPr>
          <w:ilvl w:val="0"/>
          <w:numId w:val="202"/>
        </w:numPr>
        <w:spacing w:line="240" w:lineRule="auto"/>
        <w:rPr>
          <w:rFonts w:cstheme="minorHAnsi"/>
        </w:rPr>
      </w:pPr>
      <w:r w:rsidRPr="006C3F0A">
        <w:rPr>
          <w:rFonts w:asciiTheme="minorHAnsi" w:hAnsiTheme="minorHAnsi" w:cstheme="minorHAnsi"/>
          <w:szCs w:val="24"/>
          <w:lang w:eastAsia="en-GB"/>
        </w:rPr>
        <w:t xml:space="preserve">18 hôpitaux, avec une capacité totale de 3 740 lits, dont 2 143 à Marrakech ; </w:t>
      </w:r>
    </w:p>
    <w:p w14:paraId="666E276E" w14:textId="77777777" w:rsidR="00F334B2" w:rsidRPr="006C3F0A" w:rsidRDefault="00F334B2" w:rsidP="0001633E">
      <w:pPr>
        <w:pStyle w:val="Paragraphedeliste"/>
        <w:numPr>
          <w:ilvl w:val="0"/>
          <w:numId w:val="202"/>
        </w:numPr>
        <w:spacing w:line="240" w:lineRule="auto"/>
        <w:rPr>
          <w:rFonts w:cstheme="minorHAnsi"/>
        </w:rPr>
      </w:pPr>
      <w:r w:rsidRPr="006C3F0A">
        <w:rPr>
          <w:rFonts w:asciiTheme="minorHAnsi" w:hAnsiTheme="minorHAnsi" w:cstheme="minorHAnsi"/>
          <w:szCs w:val="24"/>
          <w:lang w:eastAsia="en-GB"/>
        </w:rPr>
        <w:t xml:space="preserve">454 centres de santé de base, répartis comme suit : </w:t>
      </w:r>
    </w:p>
    <w:p w14:paraId="2AEB9C4B" w14:textId="77777777" w:rsidR="00F334B2" w:rsidRPr="0087779D" w:rsidRDefault="00F334B2" w:rsidP="0001633E">
      <w:pPr>
        <w:pStyle w:val="Paragraphedeliste"/>
        <w:numPr>
          <w:ilvl w:val="1"/>
          <w:numId w:val="202"/>
        </w:numPr>
        <w:spacing w:line="240" w:lineRule="auto"/>
        <w:rPr>
          <w:rFonts w:cstheme="minorHAnsi"/>
        </w:rPr>
      </w:pPr>
      <w:r w:rsidRPr="006C3F0A">
        <w:rPr>
          <w:rFonts w:asciiTheme="minorHAnsi" w:hAnsiTheme="minorHAnsi" w:cstheme="minorHAnsi"/>
          <w:szCs w:val="24"/>
          <w:lang w:val="en-GB" w:eastAsia="en-GB"/>
        </w:rPr>
        <w:t xml:space="preserve">230 centres de santé ruraux </w:t>
      </w:r>
    </w:p>
    <w:p w14:paraId="2BD7C137" w14:textId="77777777" w:rsidR="00F334B2" w:rsidRPr="0087779D" w:rsidRDefault="00F334B2" w:rsidP="0001633E">
      <w:pPr>
        <w:pStyle w:val="Paragraphedeliste"/>
        <w:numPr>
          <w:ilvl w:val="1"/>
          <w:numId w:val="202"/>
        </w:numPr>
        <w:spacing w:line="240" w:lineRule="auto"/>
        <w:rPr>
          <w:rFonts w:cstheme="minorHAnsi"/>
        </w:rPr>
      </w:pPr>
      <w:r w:rsidRPr="006C3F0A">
        <w:rPr>
          <w:rFonts w:asciiTheme="minorHAnsi" w:hAnsiTheme="minorHAnsi" w:cstheme="minorHAnsi"/>
          <w:szCs w:val="24"/>
          <w:lang w:val="en-GB" w:eastAsia="en-GB"/>
        </w:rPr>
        <w:t xml:space="preserve">121 dispensaires ruraux </w:t>
      </w:r>
    </w:p>
    <w:p w14:paraId="0F1C17E7" w14:textId="77777777" w:rsidR="00F334B2" w:rsidRPr="0087779D" w:rsidRDefault="00F334B2" w:rsidP="0001633E">
      <w:pPr>
        <w:pStyle w:val="Paragraphedeliste"/>
        <w:numPr>
          <w:ilvl w:val="1"/>
          <w:numId w:val="202"/>
        </w:numPr>
        <w:spacing w:line="240" w:lineRule="auto"/>
        <w:rPr>
          <w:rFonts w:cstheme="minorHAnsi"/>
        </w:rPr>
      </w:pPr>
      <w:r w:rsidRPr="006C3F0A">
        <w:rPr>
          <w:rFonts w:asciiTheme="minorHAnsi" w:hAnsiTheme="minorHAnsi" w:cstheme="minorHAnsi"/>
          <w:szCs w:val="24"/>
          <w:lang w:val="en-GB" w:eastAsia="en-GB"/>
        </w:rPr>
        <w:t xml:space="preserve">103 centres de santé urbains. </w:t>
      </w:r>
    </w:p>
    <w:p w14:paraId="51B65527" w14:textId="43CD9FE1" w:rsidR="005F4DBF" w:rsidRDefault="00F334B2" w:rsidP="00F334B2">
      <w:r w:rsidRPr="00AA52E8">
        <w:t>Cette infrastructure permet une certaine couverture des besoins en santé, bien que des disparités territoriales subsistent</w:t>
      </w:r>
      <w:r w:rsidR="005F4DBF">
        <w:t>.</w:t>
      </w:r>
    </w:p>
    <w:p w14:paraId="73448475" w14:textId="5732C4D7" w:rsidR="005039E6" w:rsidRDefault="005F4DBF" w:rsidP="005039E6">
      <w:r>
        <w:t xml:space="preserve"> </w:t>
      </w:r>
    </w:p>
    <w:p w14:paraId="2B390BE5" w14:textId="77777777" w:rsidR="00771086" w:rsidRDefault="00771086" w:rsidP="00D52E8E"/>
    <w:p w14:paraId="3BAC7B66" w14:textId="77777777" w:rsidR="00771086" w:rsidRDefault="00771086" w:rsidP="00D52E8E"/>
    <w:p w14:paraId="186A2DB2" w14:textId="77777777" w:rsidR="009C5007" w:rsidRDefault="009C5007" w:rsidP="00D52E8E">
      <w:pPr>
        <w:sectPr w:rsidR="009C5007" w:rsidSect="00AF332D">
          <w:pgSz w:w="11906" w:h="16838"/>
          <w:pgMar w:top="1417" w:right="1417" w:bottom="1276" w:left="1417" w:header="680" w:footer="680" w:gutter="0"/>
          <w:cols w:space="708"/>
          <w:docGrid w:linePitch="360"/>
        </w:sectPr>
      </w:pPr>
    </w:p>
    <w:p w14:paraId="2530021F" w14:textId="77777777" w:rsidR="009C5007" w:rsidRDefault="009C5007" w:rsidP="009C5007">
      <w:pPr>
        <w:jc w:val="center"/>
        <w:rPr>
          <w:b/>
          <w:bCs/>
          <w:sz w:val="20"/>
          <w:szCs w:val="20"/>
        </w:rPr>
      </w:pPr>
    </w:p>
    <w:p w14:paraId="26A8E336" w14:textId="1FE0F148" w:rsidR="009C5007" w:rsidRDefault="00F839AE" w:rsidP="003E62FC">
      <w:pPr>
        <w:jc w:val="center"/>
        <w:rPr>
          <w:b/>
          <w:bCs/>
          <w:sz w:val="20"/>
          <w:szCs w:val="20"/>
        </w:rPr>
      </w:pPr>
      <w:r>
        <w:rPr>
          <w:noProof/>
          <w:lang w:eastAsia="fr-FR" w:bidi="ar-SA"/>
        </w:rPr>
        <w:drawing>
          <wp:inline distT="0" distB="0" distL="0" distR="0" wp14:anchorId="13950889" wp14:editId="705721AA">
            <wp:extent cx="7214669" cy="5100716"/>
            <wp:effectExtent l="19050" t="19050" r="24765" b="24130"/>
            <wp:docPr id="201789952" name="Image 14" descr="Une image contenant carte, texte, capture d’écran, cercl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5187735" name="Image 14" descr="Une image contenant carte, texte, capture d’écran, cercle&#10;&#10;Description générée automatiquement"/>
                    <pic:cNvPicPr>
                      <a:picLocks noChangeAspect="1" noChangeArrowheads="1"/>
                    </pic:cNvPicPr>
                  </pic:nvPicPr>
                  <pic:blipFill>
                    <a:blip r:embed="rId90" cstate="print">
                      <a:extLst>
                        <a:ext uri="{28A0092B-C50C-407E-A947-70E740481C1C}">
                          <a14:useLocalDpi xmlns:a14="http://schemas.microsoft.com/office/drawing/2010/main" val="0"/>
                        </a:ext>
                      </a:extLst>
                    </a:blip>
                    <a:srcRect/>
                    <a:stretch>
                      <a:fillRect/>
                    </a:stretch>
                  </pic:blipFill>
                  <pic:spPr bwMode="auto">
                    <a:xfrm>
                      <a:off x="0" y="0"/>
                      <a:ext cx="7293946" cy="5156764"/>
                    </a:xfrm>
                    <a:prstGeom prst="rect">
                      <a:avLst/>
                    </a:prstGeom>
                    <a:noFill/>
                    <a:ln>
                      <a:solidFill>
                        <a:schemeClr val="tx1">
                          <a:lumMod val="50000"/>
                          <a:lumOff val="50000"/>
                        </a:schemeClr>
                      </a:solidFill>
                    </a:ln>
                  </pic:spPr>
                </pic:pic>
              </a:graphicData>
            </a:graphic>
          </wp:inline>
        </w:drawing>
      </w:r>
    </w:p>
    <w:p w14:paraId="61F22B41" w14:textId="3F57F396" w:rsidR="00FE647C" w:rsidRDefault="00154145" w:rsidP="00154145">
      <w:pPr>
        <w:pStyle w:val="Lgende"/>
        <w:rPr>
          <w:b w:val="0"/>
          <w:bCs w:val="0"/>
        </w:rPr>
      </w:pPr>
      <w:bookmarkStart w:id="333" w:name="_Toc213404423"/>
      <w:r w:rsidRPr="003E62FC">
        <w:t xml:space="preserve">Figure </w:t>
      </w:r>
      <w:r w:rsidRPr="003E62FC">
        <w:fldChar w:fldCharType="begin"/>
      </w:r>
      <w:r w:rsidRPr="003E62FC">
        <w:instrText xml:space="preserve"> SEQ Figure \* ARABIC </w:instrText>
      </w:r>
      <w:r w:rsidRPr="003E62FC">
        <w:fldChar w:fldCharType="separate"/>
      </w:r>
      <w:r w:rsidR="00B976BF">
        <w:rPr>
          <w:noProof/>
        </w:rPr>
        <w:t>24</w:t>
      </w:r>
      <w:r w:rsidRPr="003E62FC">
        <w:fldChar w:fldCharType="end"/>
      </w:r>
      <w:r w:rsidRPr="003E62FC">
        <w:rPr>
          <w:noProof/>
          <w:lang w:val="fr-FR"/>
        </w:rPr>
        <w:t xml:space="preserve">: </w:t>
      </w:r>
      <w:r w:rsidR="009C5007" w:rsidRPr="003E62FC">
        <w:t xml:space="preserve">Carte d’occupation </w:t>
      </w:r>
      <w:r w:rsidR="00951DC5" w:rsidRPr="003E62FC">
        <w:t>des sols</w:t>
      </w:r>
      <w:bookmarkEnd w:id="333"/>
    </w:p>
    <w:p w14:paraId="2E697C39" w14:textId="77777777" w:rsidR="000E5F37" w:rsidRDefault="000E5F37" w:rsidP="00345F2B">
      <w:pPr>
        <w:pStyle w:val="Title1"/>
        <w:sectPr w:rsidR="000E5F37" w:rsidSect="000E5F37">
          <w:headerReference w:type="default" r:id="rId91"/>
          <w:footerReference w:type="default" r:id="rId92"/>
          <w:pgSz w:w="16838" w:h="11906" w:orient="landscape"/>
          <w:pgMar w:top="1418" w:right="1418" w:bottom="1418" w:left="1418" w:header="567" w:footer="510" w:gutter="0"/>
          <w:cols w:space="708"/>
          <w:docGrid w:linePitch="360"/>
        </w:sectPr>
      </w:pPr>
    </w:p>
    <w:p w14:paraId="4C2F20A5" w14:textId="6043C609" w:rsidR="00F415B3" w:rsidRDefault="004924D3" w:rsidP="00345F2B">
      <w:pPr>
        <w:pStyle w:val="Title1"/>
      </w:pPr>
      <w:bookmarkStart w:id="334" w:name="_Toc181619020"/>
      <w:bookmarkStart w:id="335" w:name="_Toc215131863"/>
      <w:bookmarkEnd w:id="231"/>
      <w:bookmarkEnd w:id="311"/>
      <w:r>
        <w:lastRenderedPageBreak/>
        <w:t>I</w:t>
      </w:r>
      <w:r w:rsidR="00D82E20">
        <w:t xml:space="preserve">mpacts </w:t>
      </w:r>
      <w:r w:rsidR="00D82E20" w:rsidRPr="0065457D">
        <w:rPr>
          <w:rStyle w:val="Titre3Car"/>
          <w:rFonts w:eastAsiaTheme="majorEastAsia"/>
          <w:b/>
          <w:bCs/>
        </w:rPr>
        <w:t>environnementaux</w:t>
      </w:r>
      <w:r w:rsidR="00D82E20">
        <w:t xml:space="preserve"> et sociaux</w:t>
      </w:r>
      <w:bookmarkEnd w:id="334"/>
      <w:bookmarkEnd w:id="335"/>
    </w:p>
    <w:p w14:paraId="73A511C6" w14:textId="77777777" w:rsidR="00EF179A" w:rsidRPr="00EF179A" w:rsidRDefault="00EF179A" w:rsidP="00EF179A">
      <w:pPr>
        <w:pStyle w:val="Title2"/>
      </w:pPr>
      <w:bookmarkStart w:id="336" w:name="_Toc11832497"/>
      <w:bookmarkStart w:id="337" w:name="_Toc12023720"/>
      <w:bookmarkStart w:id="338" w:name="_Toc509303423"/>
      <w:bookmarkStart w:id="339" w:name="_Toc20231424"/>
      <w:bookmarkStart w:id="340" w:name="_Toc35870214"/>
      <w:bookmarkStart w:id="341" w:name="_Toc48653488"/>
      <w:bookmarkStart w:id="342" w:name="_Toc57124381"/>
      <w:bookmarkStart w:id="343" w:name="_Toc138155222"/>
      <w:bookmarkStart w:id="344" w:name="_Toc145325063"/>
      <w:bookmarkStart w:id="345" w:name="_Toc181619021"/>
      <w:bookmarkStart w:id="346" w:name="_Hlk212069630"/>
      <w:bookmarkStart w:id="347" w:name="_Hlk210217934"/>
      <w:bookmarkStart w:id="348" w:name="_Toc215131864"/>
      <w:r w:rsidRPr="00EF179A">
        <w:t>Approche</w:t>
      </w:r>
      <w:bookmarkEnd w:id="336"/>
      <w:bookmarkEnd w:id="337"/>
      <w:r w:rsidRPr="00EF179A">
        <w:t xml:space="preserve"> </w:t>
      </w:r>
      <w:bookmarkStart w:id="349" w:name="_Toc511994468"/>
      <w:bookmarkStart w:id="350" w:name="_Toc11832498"/>
      <w:bookmarkStart w:id="351" w:name="_Toc12023721"/>
      <w:r w:rsidRPr="00EF179A">
        <w:t>méthodologique</w:t>
      </w:r>
      <w:bookmarkEnd w:id="338"/>
      <w:bookmarkEnd w:id="339"/>
      <w:bookmarkEnd w:id="340"/>
      <w:bookmarkEnd w:id="341"/>
      <w:bookmarkEnd w:id="342"/>
      <w:bookmarkEnd w:id="343"/>
      <w:bookmarkEnd w:id="344"/>
      <w:bookmarkEnd w:id="345"/>
      <w:bookmarkEnd w:id="348"/>
      <w:bookmarkEnd w:id="349"/>
      <w:bookmarkEnd w:id="350"/>
      <w:bookmarkEnd w:id="351"/>
    </w:p>
    <w:p w14:paraId="1EA7E0C7" w14:textId="77777777" w:rsidR="00EF179A" w:rsidRPr="00EF179A" w:rsidRDefault="00EF179A" w:rsidP="00EF179A">
      <w:pPr>
        <w:pStyle w:val="Title3"/>
      </w:pPr>
      <w:bookmarkStart w:id="352" w:name="_Toc35870215"/>
      <w:bookmarkStart w:id="353" w:name="_Toc48653489"/>
      <w:bookmarkStart w:id="354" w:name="_Toc57124382"/>
      <w:bookmarkStart w:id="355" w:name="_Toc181619022"/>
      <w:bookmarkStart w:id="356" w:name="_Toc215131865"/>
      <w:r w:rsidRPr="00EF179A">
        <w:t>Préambule</w:t>
      </w:r>
      <w:bookmarkEnd w:id="352"/>
      <w:bookmarkEnd w:id="353"/>
      <w:bookmarkEnd w:id="354"/>
      <w:bookmarkEnd w:id="355"/>
      <w:bookmarkEnd w:id="356"/>
    </w:p>
    <w:p w14:paraId="2966F1E9" w14:textId="77777777" w:rsidR="00EF179A" w:rsidRPr="00EF179A" w:rsidRDefault="00EF179A" w:rsidP="00EF179A">
      <w:r w:rsidRPr="00EF179A">
        <w:t xml:space="preserve">L’objectif de l’étude d’impact environnemental et social (EIES) est d’identifier et évaluer la sévérité des impacts potentiels sur les récepteurs et ressources identifiés ; élaborer et décrire les mesures d’atténuation qui seront prises pour prévenir ou minimiser tout effet négatif potentiel et optimiser les éventuels bénéfices ; et communiquer la sévérité des impacts résiduels qui subsisteront une fois les mesures d’atténuation appliquées. </w:t>
      </w:r>
    </w:p>
    <w:p w14:paraId="6D5B3349" w14:textId="77777777" w:rsidR="00EF179A" w:rsidRPr="00EF179A" w:rsidRDefault="00EF179A" w:rsidP="00EF179A">
      <w:r w:rsidRPr="00EF179A">
        <w:t xml:space="preserve">La phase d’évaluation des impacts consiste en une analyse des sources potentielles d’impact associées au projet, et de la sensibilité des milieux récepteurs naturels et humains. Elle repose sur les données issues : </w:t>
      </w:r>
    </w:p>
    <w:p w14:paraId="5ECB67D6" w14:textId="0D1DBC99" w:rsidR="00EF179A" w:rsidRPr="00EF179A" w:rsidRDefault="00EF179A" w:rsidP="0001633E">
      <w:pPr>
        <w:pStyle w:val="Paragraphedeliste"/>
        <w:numPr>
          <w:ilvl w:val="0"/>
          <w:numId w:val="22"/>
        </w:numPr>
      </w:pPr>
      <w:r w:rsidRPr="00EF179A">
        <w:t>Des études de l’environnement et du co</w:t>
      </w:r>
      <w:r w:rsidR="007D2085">
        <w:t xml:space="preserve">ntexte social à l’état initial </w:t>
      </w:r>
      <w:r w:rsidRPr="00EF179A">
        <w:t xml:space="preserve">pour déterminer la </w:t>
      </w:r>
      <w:r w:rsidR="007D2085">
        <w:t>sensibilité du milieu récepteur</w:t>
      </w:r>
      <w:r w:rsidRPr="00EF179A">
        <w:t>, et ;</w:t>
      </w:r>
    </w:p>
    <w:p w14:paraId="3C5B615F" w14:textId="42135B83" w:rsidR="00EF179A" w:rsidRPr="00EF179A" w:rsidRDefault="00EF179A" w:rsidP="0001633E">
      <w:pPr>
        <w:pStyle w:val="Paragraphedeliste"/>
        <w:numPr>
          <w:ilvl w:val="0"/>
          <w:numId w:val="22"/>
        </w:numPr>
      </w:pPr>
      <w:r w:rsidRPr="00EF179A">
        <w:t>Des interactions avec l’équipe du Projet, pour mettre au point la description du Projet, analyser la manière dont le Projet peut générer des sources d’impac</w:t>
      </w:r>
      <w:r w:rsidR="007D2085">
        <w:t>ts environnementaux et sociaux E&amp;S, et le cas échéant</w:t>
      </w:r>
      <w:r w:rsidRPr="00EF179A">
        <w:t xml:space="preserve"> identifier les variantes envisageables au Projet. </w:t>
      </w:r>
    </w:p>
    <w:p w14:paraId="248158B1" w14:textId="77777777" w:rsidR="00601649" w:rsidRPr="00601649" w:rsidRDefault="00601649" w:rsidP="00601649">
      <w:r w:rsidRPr="004637C7">
        <w:t>Il convient toutefois de distinguer l’évaluation des impacts de l’analyse des risques.</w:t>
      </w:r>
    </w:p>
    <w:p w14:paraId="11344E1A" w14:textId="77777777" w:rsidR="00601649" w:rsidRPr="00601649" w:rsidRDefault="00601649" w:rsidP="0001633E">
      <w:pPr>
        <w:numPr>
          <w:ilvl w:val="0"/>
          <w:numId w:val="105"/>
        </w:numPr>
      </w:pPr>
      <w:r w:rsidRPr="00601649">
        <w:t>Les impacts correspondent aux effets certains ou prévisibles du projet sur l’environnement et les communautés, et sont évalués selon leur intensité, leur durée, leur étendue, leur fréquence, leur réversibilité et la sensibilité du milieu.</w:t>
      </w:r>
    </w:p>
    <w:p w14:paraId="1EA50015" w14:textId="77777777" w:rsidR="00601649" w:rsidRPr="00601649" w:rsidRDefault="00601649" w:rsidP="0001633E">
      <w:pPr>
        <w:numPr>
          <w:ilvl w:val="0"/>
          <w:numId w:val="105"/>
        </w:numPr>
      </w:pPr>
      <w:r w:rsidRPr="00601649">
        <w:t>Les risques renvoient quant à eux à des événements incertains ou accidentels (technologiques, climatiques, sanitaires ou sociaux), et font l’objet d’une analyse spécifique basée sur une matrice probabilité × gravité, intégrant les mesures de prévention et de maîtrise</w:t>
      </w:r>
    </w:p>
    <w:p w14:paraId="18B3512E" w14:textId="1D3F66E4" w:rsidR="00EF179A" w:rsidRPr="00EF179A" w:rsidRDefault="00EF179A" w:rsidP="00EF179A">
      <w:r w:rsidRPr="00EF179A">
        <w:t>Une fois les impacts analysés</w:t>
      </w:r>
      <w:r w:rsidR="00601649">
        <w:t>, les risques identifiés</w:t>
      </w:r>
      <w:r w:rsidRPr="00EF179A">
        <w:t xml:space="preserve"> et les mesures d’atténuation </w:t>
      </w:r>
      <w:r w:rsidR="00601649">
        <w:t>et de prévention définies</w:t>
      </w:r>
      <w:r w:rsidRPr="00EF179A">
        <w:t xml:space="preserve">, </w:t>
      </w:r>
      <w:r w:rsidR="00601649">
        <w:t>l’ensemble est</w:t>
      </w:r>
      <w:r w:rsidRPr="00EF179A">
        <w:t xml:space="preserve"> compilé dans un plan de gestion qui pourra être utilisé comme un cadre</w:t>
      </w:r>
      <w:r w:rsidR="00601649">
        <w:t xml:space="preserve"> de suivi et de</w:t>
      </w:r>
      <w:r w:rsidRPr="00EF179A">
        <w:t xml:space="preserve"> gestion E&amp;S, tout au long du Projet. </w:t>
      </w:r>
    </w:p>
    <w:p w14:paraId="323E191E" w14:textId="77777777" w:rsidR="00EF179A" w:rsidRPr="00EF179A" w:rsidRDefault="00EF179A" w:rsidP="00A65052">
      <w:pPr>
        <w:pStyle w:val="Title3"/>
      </w:pPr>
      <w:bookmarkStart w:id="357" w:name="_Toc35870216"/>
      <w:bookmarkStart w:id="358" w:name="_Toc48653490"/>
      <w:bookmarkStart w:id="359" w:name="_Toc57124383"/>
      <w:bookmarkStart w:id="360" w:name="_Toc181619023"/>
      <w:bookmarkStart w:id="361" w:name="_Hlk210302575"/>
      <w:bookmarkStart w:id="362" w:name="_Toc215131866"/>
      <w:r w:rsidRPr="00EF179A">
        <w:t>Prédiction de l’intensité des impacts</w:t>
      </w:r>
      <w:bookmarkEnd w:id="357"/>
      <w:bookmarkEnd w:id="358"/>
      <w:bookmarkEnd w:id="359"/>
      <w:bookmarkEnd w:id="360"/>
      <w:bookmarkEnd w:id="362"/>
    </w:p>
    <w:p w14:paraId="135671B6" w14:textId="77777777" w:rsidR="00EF179A" w:rsidRPr="00EF179A" w:rsidRDefault="00EF179A" w:rsidP="00EF179A">
      <w:r w:rsidRPr="00EF179A">
        <w:t>Le terme ‘intensité’ couvre toutes les dimensions de l’impact prédit sur les milieux naturel et social, à savoir :</w:t>
      </w:r>
    </w:p>
    <w:p w14:paraId="7655167A" w14:textId="77777777" w:rsidR="00EF179A" w:rsidRPr="00EF179A" w:rsidRDefault="00EF179A" w:rsidP="00A65052">
      <w:pPr>
        <w:pStyle w:val="Style1"/>
      </w:pPr>
      <w:r w:rsidRPr="00EF179A">
        <w:t>La nature du changement (quelle ressource ou quel récepteur est affecté et de quelle manière) ;</w:t>
      </w:r>
    </w:p>
    <w:p w14:paraId="394C2B79" w14:textId="77777777" w:rsidR="00EF179A" w:rsidRPr="00EF179A" w:rsidRDefault="00EF179A" w:rsidP="00A65052">
      <w:pPr>
        <w:pStyle w:val="Style1"/>
      </w:pPr>
      <w:r w:rsidRPr="00EF179A">
        <w:t xml:space="preserve">L’étendue spatiale de la zone affectée ou la part de la population ou communauté touchée ; </w:t>
      </w:r>
    </w:p>
    <w:p w14:paraId="3A2CA330" w14:textId="77777777" w:rsidR="00EF179A" w:rsidRPr="00EF179A" w:rsidRDefault="00EF179A" w:rsidP="00A65052">
      <w:pPr>
        <w:pStyle w:val="Style1"/>
      </w:pPr>
      <w:r w:rsidRPr="00EF179A">
        <w:t>Son étendue temporelle (durée, fréquence, réversibilité) ; et</w:t>
      </w:r>
    </w:p>
    <w:p w14:paraId="5D7D474C" w14:textId="77777777" w:rsidR="00EF179A" w:rsidRPr="00EF179A" w:rsidRDefault="00EF179A" w:rsidP="00A65052">
      <w:pPr>
        <w:pStyle w:val="Style1"/>
      </w:pPr>
      <w:r w:rsidRPr="00EF179A">
        <w:t>Le cas échéant, la probabilité d’occurrence d’un impact suite à un phénomène accidentel ou imprévu.</w:t>
      </w:r>
    </w:p>
    <w:p w14:paraId="2A2506CD" w14:textId="77777777" w:rsidR="00EF179A" w:rsidRPr="00EF179A" w:rsidRDefault="00EF179A" w:rsidP="00EF179A">
      <w:r w:rsidRPr="00EF179A">
        <w:t>Le tableau ci-après présente les définitions associées à la caractérisation des impacts utilisée dans le cadre de cette étude.</w:t>
      </w:r>
    </w:p>
    <w:p w14:paraId="50155022" w14:textId="6849C80C" w:rsidR="0065457D" w:rsidRPr="002A0860" w:rsidRDefault="00154145" w:rsidP="00154145">
      <w:pPr>
        <w:pStyle w:val="Lgende"/>
        <w:rPr>
          <w:b w:val="0"/>
          <w:bCs w:val="0"/>
          <w:lang w:val="fr-FR"/>
        </w:rPr>
      </w:pPr>
      <w:bookmarkStart w:id="363" w:name="_Toc213404362"/>
      <w:r w:rsidRPr="002A0860">
        <w:rPr>
          <w:lang w:val="fr-FR"/>
        </w:rPr>
        <w:lastRenderedPageBreak/>
        <w:t xml:space="preserve">Tableau </w:t>
      </w:r>
      <w:r>
        <w:fldChar w:fldCharType="begin"/>
      </w:r>
      <w:r w:rsidRPr="002A0860">
        <w:rPr>
          <w:lang w:val="fr-FR"/>
        </w:rPr>
        <w:instrText xml:space="preserve"> SEQ Tableau \* ARABIC </w:instrText>
      </w:r>
      <w:r>
        <w:fldChar w:fldCharType="separate"/>
      </w:r>
      <w:r w:rsidR="00274E71">
        <w:rPr>
          <w:noProof/>
          <w:lang w:val="fr-FR"/>
        </w:rPr>
        <w:t>40</w:t>
      </w:r>
      <w:r>
        <w:fldChar w:fldCharType="end"/>
      </w:r>
      <w:r>
        <w:rPr>
          <w:noProof/>
          <w:lang w:val="fr-FR"/>
        </w:rPr>
        <w:t xml:space="preserve">: </w:t>
      </w:r>
      <w:r w:rsidR="0065457D" w:rsidRPr="002A0860">
        <w:rPr>
          <w:lang w:val="fr-FR"/>
        </w:rPr>
        <w:t>Terminologie des caractéristiques des impacts</w:t>
      </w:r>
      <w:bookmarkEnd w:id="363"/>
    </w:p>
    <w:tbl>
      <w:tblPr>
        <w:tblStyle w:val="TableauGrille1Clair-Accentuation111"/>
        <w:tblW w:w="0" w:type="auto"/>
        <w:tblLook w:val="04A0" w:firstRow="1" w:lastRow="0" w:firstColumn="1" w:lastColumn="0" w:noHBand="0" w:noVBand="1"/>
      </w:tblPr>
      <w:tblGrid>
        <w:gridCol w:w="1087"/>
        <w:gridCol w:w="7975"/>
      </w:tblGrid>
      <w:tr w:rsidR="0065457D" w:rsidRPr="00154145" w14:paraId="671BB5E7" w14:textId="77777777" w:rsidTr="003E62FC">
        <w:trPr>
          <w:cnfStyle w:val="100000000000" w:firstRow="1" w:lastRow="0" w:firstColumn="0" w:lastColumn="0" w:oddVBand="0" w:evenVBand="0" w:oddHBand="0" w:evenHBand="0" w:firstRowFirstColumn="0" w:firstRowLastColumn="0" w:lastRowFirstColumn="0" w:lastRowLastColumn="0"/>
          <w:trHeight w:val="240"/>
        </w:trPr>
        <w:tc>
          <w:tcPr>
            <w:cnfStyle w:val="001000000000" w:firstRow="0" w:lastRow="0" w:firstColumn="1" w:lastColumn="0" w:oddVBand="0" w:evenVBand="0" w:oddHBand="0" w:evenHBand="0" w:firstRowFirstColumn="0" w:firstRowLastColumn="0" w:lastRowFirstColumn="0" w:lastRowLastColumn="0"/>
            <w:tcW w:w="0" w:type="auto"/>
            <w:gridSpan w:val="2"/>
          </w:tcPr>
          <w:p w14:paraId="5CB000CE" w14:textId="77777777" w:rsidR="0065457D" w:rsidRPr="00154145" w:rsidRDefault="0065457D" w:rsidP="00154145">
            <w:pPr>
              <w:keepNext/>
              <w:keepLines/>
              <w:jc w:val="center"/>
              <w:rPr>
                <w:rFonts w:asciiTheme="minorHAnsi" w:hAnsiTheme="minorHAnsi" w:cstheme="minorHAnsi"/>
                <w:color w:val="FFFFFF" w:themeColor="background1"/>
                <w:szCs w:val="20"/>
              </w:rPr>
            </w:pPr>
            <w:r w:rsidRPr="003E62FC">
              <w:rPr>
                <w:rFonts w:asciiTheme="minorHAnsi" w:hAnsiTheme="minorHAnsi" w:cstheme="minorHAnsi"/>
                <w:color w:val="000000" w:themeColor="text1"/>
                <w:szCs w:val="20"/>
              </w:rPr>
              <w:t>Intensité des Impacts</w:t>
            </w:r>
          </w:p>
        </w:tc>
      </w:tr>
      <w:tr w:rsidR="0065457D" w:rsidRPr="00154145" w14:paraId="29762D80" w14:textId="77777777" w:rsidTr="003E62FC">
        <w:trPr>
          <w:trHeight w:val="240"/>
        </w:trPr>
        <w:tc>
          <w:tcPr>
            <w:cnfStyle w:val="001000000000" w:firstRow="0" w:lastRow="0" w:firstColumn="1" w:lastColumn="0" w:oddVBand="0" w:evenVBand="0" w:oddHBand="0" w:evenHBand="0" w:firstRowFirstColumn="0" w:firstRowLastColumn="0" w:lastRowFirstColumn="0" w:lastRowLastColumn="0"/>
            <w:tcW w:w="0" w:type="auto"/>
          </w:tcPr>
          <w:p w14:paraId="2D1E3B4E" w14:textId="77777777" w:rsidR="0065457D" w:rsidRPr="00154145" w:rsidRDefault="0065457D" w:rsidP="000F0F76">
            <w:pPr>
              <w:keepNext/>
              <w:keepLines/>
              <w:rPr>
                <w:rFonts w:asciiTheme="minorHAnsi" w:hAnsiTheme="minorHAnsi" w:cstheme="minorHAnsi"/>
                <w:b w:val="0"/>
                <w:szCs w:val="20"/>
              </w:rPr>
            </w:pPr>
            <w:r w:rsidRPr="00154145">
              <w:rPr>
                <w:rFonts w:asciiTheme="minorHAnsi" w:hAnsiTheme="minorHAnsi" w:cstheme="minorHAnsi"/>
                <w:szCs w:val="20"/>
              </w:rPr>
              <w:t xml:space="preserve">Type </w:t>
            </w:r>
          </w:p>
        </w:tc>
        <w:tc>
          <w:tcPr>
            <w:tcW w:w="0" w:type="auto"/>
          </w:tcPr>
          <w:p w14:paraId="7BD5F7BF" w14:textId="77777777" w:rsidR="0065457D" w:rsidRPr="00154145" w:rsidRDefault="0065457D" w:rsidP="000F0F76">
            <w:pPr>
              <w:keepNext/>
              <w:keepLines/>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154145">
              <w:rPr>
                <w:rFonts w:asciiTheme="minorHAnsi" w:hAnsiTheme="minorHAnsi" w:cstheme="minorHAnsi"/>
                <w:b/>
                <w:szCs w:val="20"/>
              </w:rPr>
              <w:t xml:space="preserve">Direct – </w:t>
            </w:r>
            <w:r w:rsidRPr="00154145">
              <w:rPr>
                <w:rFonts w:asciiTheme="minorHAnsi" w:hAnsiTheme="minorHAnsi" w:cstheme="minorHAnsi"/>
                <w:szCs w:val="20"/>
              </w:rPr>
              <w:t>résultant d’une interaction directe entre le Projet et une ressource/un récepteur.</w:t>
            </w:r>
          </w:p>
          <w:p w14:paraId="5A8E677A" w14:textId="77777777" w:rsidR="0065457D" w:rsidRPr="00154145" w:rsidRDefault="0065457D" w:rsidP="000F0F76">
            <w:pPr>
              <w:keepNext/>
              <w:keepLines/>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154145">
              <w:rPr>
                <w:rFonts w:asciiTheme="minorHAnsi" w:hAnsiTheme="minorHAnsi" w:cstheme="minorHAnsi"/>
                <w:b/>
                <w:szCs w:val="20"/>
              </w:rPr>
              <w:t xml:space="preserve">Indirect </w:t>
            </w:r>
            <w:r w:rsidRPr="00154145">
              <w:rPr>
                <w:rFonts w:asciiTheme="minorHAnsi" w:hAnsiTheme="minorHAnsi" w:cstheme="minorHAnsi"/>
                <w:szCs w:val="20"/>
              </w:rPr>
              <w:t>–résultant d’interactions directes entre le Projet et son environnement, du fait d’interactions survenant par la suite.</w:t>
            </w:r>
          </w:p>
          <w:p w14:paraId="24248E5C" w14:textId="77777777" w:rsidR="0065457D" w:rsidRPr="00154145" w:rsidRDefault="0065457D" w:rsidP="000F0F76">
            <w:pPr>
              <w:keepNext/>
              <w:keepLines/>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154145">
              <w:rPr>
                <w:rFonts w:asciiTheme="minorHAnsi" w:hAnsiTheme="minorHAnsi" w:cstheme="minorHAnsi"/>
                <w:b/>
                <w:szCs w:val="20"/>
              </w:rPr>
              <w:t>Induit</w:t>
            </w:r>
            <w:r w:rsidRPr="00154145">
              <w:rPr>
                <w:rFonts w:asciiTheme="minorHAnsi" w:hAnsiTheme="minorHAnsi" w:cstheme="minorHAnsi"/>
                <w:szCs w:val="20"/>
              </w:rPr>
              <w:t xml:space="preserve"> – impacts issus d’autres activités consécutives au Projet.</w:t>
            </w:r>
          </w:p>
        </w:tc>
      </w:tr>
      <w:tr w:rsidR="0065457D" w:rsidRPr="00154145" w14:paraId="19AF23B9" w14:textId="77777777" w:rsidTr="003E62FC">
        <w:trPr>
          <w:trHeight w:val="240"/>
        </w:trPr>
        <w:tc>
          <w:tcPr>
            <w:cnfStyle w:val="001000000000" w:firstRow="0" w:lastRow="0" w:firstColumn="1" w:lastColumn="0" w:oddVBand="0" w:evenVBand="0" w:oddHBand="0" w:evenHBand="0" w:firstRowFirstColumn="0" w:firstRowLastColumn="0" w:lastRowFirstColumn="0" w:lastRowLastColumn="0"/>
            <w:tcW w:w="0" w:type="auto"/>
          </w:tcPr>
          <w:p w14:paraId="35BC4551" w14:textId="77777777" w:rsidR="0065457D" w:rsidRPr="00154145" w:rsidRDefault="0065457D" w:rsidP="000F0F76">
            <w:pPr>
              <w:rPr>
                <w:rFonts w:asciiTheme="minorHAnsi" w:hAnsiTheme="minorHAnsi" w:cstheme="minorHAnsi"/>
                <w:b w:val="0"/>
                <w:szCs w:val="20"/>
              </w:rPr>
            </w:pPr>
            <w:r w:rsidRPr="00154145">
              <w:rPr>
                <w:rFonts w:asciiTheme="minorHAnsi" w:hAnsiTheme="minorHAnsi" w:cstheme="minorHAnsi"/>
                <w:szCs w:val="20"/>
              </w:rPr>
              <w:t>Étendue</w:t>
            </w:r>
          </w:p>
        </w:tc>
        <w:tc>
          <w:tcPr>
            <w:tcW w:w="0" w:type="auto"/>
          </w:tcPr>
          <w:p w14:paraId="12BC08A6" w14:textId="77777777" w:rsidR="0065457D" w:rsidRPr="00154145" w:rsidRDefault="0065457D" w:rsidP="000F0F7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154145">
              <w:rPr>
                <w:rFonts w:asciiTheme="minorHAnsi" w:hAnsiTheme="minorHAnsi" w:cstheme="minorHAnsi"/>
                <w:b/>
                <w:szCs w:val="20"/>
              </w:rPr>
              <w:t>Locale</w:t>
            </w:r>
            <w:r w:rsidRPr="00154145">
              <w:rPr>
                <w:rFonts w:asciiTheme="minorHAnsi" w:hAnsiTheme="minorHAnsi" w:cstheme="minorHAnsi"/>
                <w:szCs w:val="20"/>
              </w:rPr>
              <w:t xml:space="preserve"> – impacts limités à la zone du Projet et ses environs. </w:t>
            </w:r>
          </w:p>
          <w:p w14:paraId="52A48213" w14:textId="77777777" w:rsidR="0065457D" w:rsidRPr="00154145" w:rsidRDefault="0065457D" w:rsidP="000F0F7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154145">
              <w:rPr>
                <w:rFonts w:asciiTheme="minorHAnsi" w:hAnsiTheme="minorHAnsi" w:cstheme="minorHAnsi"/>
                <w:b/>
                <w:szCs w:val="20"/>
              </w:rPr>
              <w:t>Régionale</w:t>
            </w:r>
            <w:r w:rsidRPr="00154145">
              <w:rPr>
                <w:rFonts w:asciiTheme="minorHAnsi" w:hAnsiTheme="minorHAnsi" w:cstheme="minorHAnsi"/>
                <w:szCs w:val="20"/>
              </w:rPr>
              <w:t xml:space="preserve"> – impacts ressentis au-delà des zones locales, jusque dans la région étendue.</w:t>
            </w:r>
          </w:p>
          <w:p w14:paraId="0C1EEE78" w14:textId="77777777" w:rsidR="0065457D" w:rsidRPr="00154145" w:rsidRDefault="0065457D" w:rsidP="000F0F7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154145">
              <w:rPr>
                <w:rFonts w:asciiTheme="minorHAnsi" w:hAnsiTheme="minorHAnsi" w:cstheme="minorHAnsi"/>
                <w:b/>
                <w:szCs w:val="20"/>
              </w:rPr>
              <w:t>Internationale</w:t>
            </w:r>
            <w:r w:rsidRPr="00154145">
              <w:rPr>
                <w:rFonts w:asciiTheme="minorHAnsi" w:hAnsiTheme="minorHAnsi" w:cstheme="minorHAnsi"/>
                <w:szCs w:val="20"/>
              </w:rPr>
              <w:t xml:space="preserve"> – impacts ressentis à l’échelle internationale, affectant donc un autre pays.</w:t>
            </w:r>
          </w:p>
        </w:tc>
      </w:tr>
      <w:tr w:rsidR="0065457D" w:rsidRPr="00154145" w14:paraId="2C485482" w14:textId="77777777" w:rsidTr="003E62FC">
        <w:trPr>
          <w:trHeight w:val="240"/>
        </w:trPr>
        <w:tc>
          <w:tcPr>
            <w:cnfStyle w:val="001000000000" w:firstRow="0" w:lastRow="0" w:firstColumn="1" w:lastColumn="0" w:oddVBand="0" w:evenVBand="0" w:oddHBand="0" w:evenHBand="0" w:firstRowFirstColumn="0" w:firstRowLastColumn="0" w:lastRowFirstColumn="0" w:lastRowLastColumn="0"/>
            <w:tcW w:w="0" w:type="auto"/>
          </w:tcPr>
          <w:p w14:paraId="6EFA3789" w14:textId="77777777" w:rsidR="0065457D" w:rsidRPr="00154145" w:rsidRDefault="0065457D" w:rsidP="000F0F76">
            <w:pPr>
              <w:rPr>
                <w:rFonts w:asciiTheme="minorHAnsi" w:hAnsiTheme="minorHAnsi" w:cstheme="minorHAnsi"/>
                <w:b w:val="0"/>
                <w:szCs w:val="20"/>
              </w:rPr>
            </w:pPr>
            <w:r w:rsidRPr="00154145">
              <w:rPr>
                <w:rFonts w:asciiTheme="minorHAnsi" w:hAnsiTheme="minorHAnsi" w:cstheme="minorHAnsi"/>
                <w:szCs w:val="20"/>
              </w:rPr>
              <w:t>Durée</w:t>
            </w:r>
          </w:p>
        </w:tc>
        <w:tc>
          <w:tcPr>
            <w:tcW w:w="0" w:type="auto"/>
          </w:tcPr>
          <w:p w14:paraId="10317FFA" w14:textId="77777777" w:rsidR="0065457D" w:rsidRPr="00154145" w:rsidRDefault="0065457D" w:rsidP="000F0F7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154145">
              <w:rPr>
                <w:rFonts w:asciiTheme="minorHAnsi" w:hAnsiTheme="minorHAnsi" w:cstheme="minorHAnsi"/>
                <w:b/>
                <w:szCs w:val="20"/>
              </w:rPr>
              <w:t>Temporaire</w:t>
            </w:r>
            <w:r w:rsidRPr="00154145">
              <w:rPr>
                <w:rFonts w:asciiTheme="minorHAnsi" w:hAnsiTheme="minorHAnsi" w:cstheme="minorHAnsi"/>
                <w:szCs w:val="20"/>
              </w:rPr>
              <w:t xml:space="preserve">– impacts de courte durée, de l’ordre de quelques heures à plusieurs semaines. </w:t>
            </w:r>
          </w:p>
          <w:p w14:paraId="56076160" w14:textId="51DA1EF8" w:rsidR="0065457D" w:rsidRPr="00154145" w:rsidRDefault="0065457D" w:rsidP="000F0F7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154145">
              <w:rPr>
                <w:rFonts w:asciiTheme="minorHAnsi" w:hAnsiTheme="minorHAnsi" w:cstheme="minorHAnsi"/>
                <w:b/>
                <w:szCs w:val="20"/>
              </w:rPr>
              <w:t xml:space="preserve">A court terme </w:t>
            </w:r>
            <w:r w:rsidRPr="00154145">
              <w:rPr>
                <w:rFonts w:asciiTheme="minorHAnsi" w:hAnsiTheme="minorHAnsi" w:cstheme="minorHAnsi"/>
                <w:szCs w:val="20"/>
              </w:rPr>
              <w:t xml:space="preserve">– impacts prévus pour durer uniquement </w:t>
            </w:r>
            <w:r w:rsidR="00A84AF0">
              <w:rPr>
                <w:rFonts w:asciiTheme="minorHAnsi" w:hAnsiTheme="minorHAnsi" w:cstheme="minorHAnsi"/>
                <w:szCs w:val="20"/>
              </w:rPr>
              <w:t>durant la phase de construction</w:t>
            </w:r>
            <w:r w:rsidRPr="00154145">
              <w:rPr>
                <w:rFonts w:asciiTheme="minorHAnsi" w:hAnsiTheme="minorHAnsi" w:cstheme="minorHAnsi"/>
                <w:szCs w:val="20"/>
              </w:rPr>
              <w:t xml:space="preserve">. </w:t>
            </w:r>
          </w:p>
          <w:p w14:paraId="742F8B9E" w14:textId="1865F9CA" w:rsidR="0065457D" w:rsidRPr="00154145" w:rsidRDefault="0065457D" w:rsidP="000F0F7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154145">
              <w:rPr>
                <w:rFonts w:asciiTheme="minorHAnsi" w:hAnsiTheme="minorHAnsi" w:cstheme="minorHAnsi"/>
                <w:b/>
                <w:szCs w:val="20"/>
              </w:rPr>
              <w:t xml:space="preserve">A moyen terme </w:t>
            </w:r>
            <w:r w:rsidRPr="00154145">
              <w:rPr>
                <w:rFonts w:asciiTheme="minorHAnsi" w:hAnsiTheme="minorHAnsi" w:cstheme="minorHAnsi"/>
                <w:szCs w:val="20"/>
              </w:rPr>
              <w:t xml:space="preserve">– impacts prévus pour durer </w:t>
            </w:r>
            <w:r w:rsidR="00A84AF0">
              <w:rPr>
                <w:rFonts w:asciiTheme="minorHAnsi" w:hAnsiTheme="minorHAnsi" w:cstheme="minorHAnsi"/>
                <w:szCs w:val="20"/>
              </w:rPr>
              <w:t>à partir du début d’exploitation jusqu’à</w:t>
            </w:r>
            <w:r w:rsidRPr="00154145">
              <w:rPr>
                <w:rFonts w:asciiTheme="minorHAnsi" w:hAnsiTheme="minorHAnsi" w:cstheme="minorHAnsi"/>
                <w:szCs w:val="20"/>
              </w:rPr>
              <w:t xml:space="preserve"> la fin du Projet.</w:t>
            </w:r>
          </w:p>
          <w:p w14:paraId="5F0C343E" w14:textId="77777777" w:rsidR="0065457D" w:rsidRPr="00154145" w:rsidRDefault="0065457D" w:rsidP="000F0F7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154145">
              <w:rPr>
                <w:rFonts w:asciiTheme="minorHAnsi" w:hAnsiTheme="minorHAnsi" w:cstheme="minorHAnsi"/>
                <w:b/>
                <w:szCs w:val="20"/>
              </w:rPr>
              <w:t xml:space="preserve">A long terme </w:t>
            </w:r>
            <w:r w:rsidRPr="00154145">
              <w:rPr>
                <w:rFonts w:asciiTheme="minorHAnsi" w:hAnsiTheme="minorHAnsi" w:cstheme="minorHAnsi"/>
                <w:szCs w:val="20"/>
              </w:rPr>
              <w:t>– impacts prévus d’une durée supérieure à celle du Projet mais qui cesseront dans le temps.</w:t>
            </w:r>
          </w:p>
          <w:p w14:paraId="723D1480" w14:textId="77777777" w:rsidR="0065457D" w:rsidRPr="00154145" w:rsidRDefault="0065457D" w:rsidP="000F0F7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154145">
              <w:rPr>
                <w:rFonts w:asciiTheme="minorHAnsi" w:hAnsiTheme="minorHAnsi" w:cstheme="minorHAnsi"/>
                <w:b/>
                <w:szCs w:val="20"/>
              </w:rPr>
              <w:t xml:space="preserve">Permanent </w:t>
            </w:r>
            <w:r w:rsidRPr="00154145">
              <w:rPr>
                <w:rFonts w:asciiTheme="minorHAnsi" w:hAnsiTheme="minorHAnsi" w:cstheme="minorHAnsi"/>
                <w:szCs w:val="20"/>
              </w:rPr>
              <w:t>– impacts causant un changement permanent sur le récepteur ou la ressource affecté(e) et se prolongeant bien au-delà de la durée de vie du Projet.</w:t>
            </w:r>
          </w:p>
        </w:tc>
      </w:tr>
      <w:tr w:rsidR="0065457D" w:rsidRPr="00154145" w14:paraId="0EF315B1" w14:textId="77777777" w:rsidTr="003E62FC">
        <w:trPr>
          <w:trHeight w:val="240"/>
        </w:trPr>
        <w:tc>
          <w:tcPr>
            <w:cnfStyle w:val="001000000000" w:firstRow="0" w:lastRow="0" w:firstColumn="1" w:lastColumn="0" w:oddVBand="0" w:evenVBand="0" w:oddHBand="0" w:evenHBand="0" w:firstRowFirstColumn="0" w:firstRowLastColumn="0" w:lastRowFirstColumn="0" w:lastRowLastColumn="0"/>
            <w:tcW w:w="0" w:type="auto"/>
          </w:tcPr>
          <w:p w14:paraId="6DDEC92E" w14:textId="77777777" w:rsidR="0065457D" w:rsidRPr="00154145" w:rsidRDefault="0065457D" w:rsidP="000F0F76">
            <w:pPr>
              <w:rPr>
                <w:rFonts w:asciiTheme="minorHAnsi" w:hAnsiTheme="minorHAnsi" w:cstheme="minorHAnsi"/>
                <w:b w:val="0"/>
                <w:szCs w:val="20"/>
              </w:rPr>
            </w:pPr>
            <w:r w:rsidRPr="00154145">
              <w:rPr>
                <w:rFonts w:asciiTheme="minorHAnsi" w:hAnsiTheme="minorHAnsi" w:cstheme="minorHAnsi"/>
                <w:szCs w:val="20"/>
              </w:rPr>
              <w:t>Fréquence</w:t>
            </w:r>
          </w:p>
        </w:tc>
        <w:tc>
          <w:tcPr>
            <w:tcW w:w="0" w:type="auto"/>
          </w:tcPr>
          <w:p w14:paraId="16D8CE44" w14:textId="77777777" w:rsidR="0065457D" w:rsidRPr="00154145" w:rsidRDefault="0065457D" w:rsidP="000F0F7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154145">
              <w:rPr>
                <w:rFonts w:asciiTheme="minorHAnsi" w:hAnsiTheme="minorHAnsi" w:cstheme="minorHAnsi"/>
                <w:b/>
                <w:szCs w:val="20"/>
              </w:rPr>
              <w:t xml:space="preserve">Continue </w:t>
            </w:r>
            <w:r w:rsidRPr="00154145">
              <w:rPr>
                <w:rFonts w:asciiTheme="minorHAnsi" w:hAnsiTheme="minorHAnsi" w:cstheme="minorHAnsi"/>
                <w:szCs w:val="20"/>
              </w:rPr>
              <w:t xml:space="preserve">– impacts se produisant fréquemment ou de manière continue. </w:t>
            </w:r>
          </w:p>
          <w:p w14:paraId="166DD78E" w14:textId="77777777" w:rsidR="0065457D" w:rsidRPr="00154145" w:rsidRDefault="0065457D" w:rsidP="000F0F7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154145">
              <w:rPr>
                <w:rFonts w:asciiTheme="minorHAnsi" w:hAnsiTheme="minorHAnsi" w:cstheme="minorHAnsi"/>
                <w:b/>
                <w:szCs w:val="20"/>
              </w:rPr>
              <w:t>Intermittente</w:t>
            </w:r>
            <w:r w:rsidRPr="00154145">
              <w:rPr>
                <w:rFonts w:asciiTheme="minorHAnsi" w:hAnsiTheme="minorHAnsi" w:cstheme="minorHAnsi"/>
                <w:szCs w:val="20"/>
              </w:rPr>
              <w:t>– impacts occasionnels ou apparaissant uniquement dans des circonstances spécifiques.</w:t>
            </w:r>
          </w:p>
        </w:tc>
      </w:tr>
    </w:tbl>
    <w:p w14:paraId="0F40028F" w14:textId="77777777" w:rsidR="00EF179A" w:rsidRDefault="00EF179A" w:rsidP="00EF179A">
      <w:r w:rsidRPr="00EF179A">
        <w:t xml:space="preserve">L’intensité évalue le changement prédit sur la ressource ou le récepteur. Une évaluation de l’intensité générale d’un impact prend donc en compte toutes les dimensions de l’impact pour déterminer si celui-ci est d’une intensité </w:t>
      </w:r>
      <w:r w:rsidRPr="00EF179A">
        <w:rPr>
          <w:b/>
        </w:rPr>
        <w:t>négligeable</w:t>
      </w:r>
      <w:r w:rsidRPr="00EF179A">
        <w:t xml:space="preserve">, </w:t>
      </w:r>
      <w:r w:rsidRPr="00EF179A">
        <w:rPr>
          <w:b/>
        </w:rPr>
        <w:t xml:space="preserve">faible, moyenne </w:t>
      </w:r>
      <w:r w:rsidRPr="00EF179A">
        <w:t xml:space="preserve">ou </w:t>
      </w:r>
      <w:r w:rsidRPr="00EF179A">
        <w:rPr>
          <w:b/>
        </w:rPr>
        <w:t>forte</w:t>
      </w:r>
      <w:r w:rsidRPr="00EF179A">
        <w:t xml:space="preserve">. Compte tenu du large éventail d’impacts environnementaux et sociaux abordés dans l’EIES, les termes caractérisant l’intensité d’un impact devront être définis en fonction des différentes problématiques abordées. </w:t>
      </w:r>
    </w:p>
    <w:p w14:paraId="0D268BC9" w14:textId="746A5A59" w:rsidR="009F7694" w:rsidRPr="00F045C1" w:rsidRDefault="009F7694" w:rsidP="004637C7">
      <w:pPr>
        <w:pStyle w:val="AltTitle2"/>
      </w:pPr>
      <w:r w:rsidRPr="00F045C1">
        <w:t>Intensité d'impact (degré de la perturbation subie par le récepteur) :</w:t>
      </w:r>
    </w:p>
    <w:p w14:paraId="1ACD6115" w14:textId="77777777" w:rsidR="009F7694" w:rsidRPr="0011121D" w:rsidRDefault="009F7694" w:rsidP="009F7694">
      <w:pPr>
        <w:pStyle w:val="Listadevietas"/>
        <w:spacing w:before="100" w:beforeAutospacing="1" w:after="100" w:afterAutospacing="1"/>
      </w:pPr>
      <w:r w:rsidRPr="0011121D">
        <w:rPr>
          <w:i/>
        </w:rPr>
        <w:t xml:space="preserve">Négligeable </w:t>
      </w:r>
      <w:r w:rsidRPr="0011121D">
        <w:t xml:space="preserve">– aucun changement perceptible </w:t>
      </w:r>
    </w:p>
    <w:p w14:paraId="54122BE8" w14:textId="77777777" w:rsidR="009F7694" w:rsidRPr="007E353F" w:rsidRDefault="009F7694" w:rsidP="009F7694">
      <w:pPr>
        <w:pStyle w:val="Listadevietas"/>
        <w:spacing w:before="100" w:beforeAutospacing="1" w:after="100" w:afterAutospacing="1"/>
      </w:pPr>
      <w:r w:rsidRPr="007E353F">
        <w:rPr>
          <w:i/>
        </w:rPr>
        <w:t xml:space="preserve">Faible </w:t>
      </w:r>
      <w:r w:rsidRPr="007E353F">
        <w:t xml:space="preserve">– changement perceptible mais aucune modification de l’environnement ou des activités humaines </w:t>
      </w:r>
    </w:p>
    <w:p w14:paraId="582B55D8" w14:textId="77777777" w:rsidR="009F7694" w:rsidRPr="007E353F" w:rsidRDefault="009F7694" w:rsidP="009F7694">
      <w:pPr>
        <w:pStyle w:val="Listadevietas"/>
        <w:spacing w:before="100" w:beforeAutospacing="1" w:after="100" w:afterAutospacing="1"/>
      </w:pPr>
      <w:r w:rsidRPr="007E353F">
        <w:rPr>
          <w:i/>
        </w:rPr>
        <w:t xml:space="preserve">Modéré </w:t>
      </w:r>
      <w:r w:rsidRPr="007E353F">
        <w:t xml:space="preserve">– modification perceptible mais l’environnement ou les activités humaines n’en pâtiront pas à long terme </w:t>
      </w:r>
    </w:p>
    <w:p w14:paraId="11893542" w14:textId="77777777" w:rsidR="009F7694" w:rsidRPr="007E353F" w:rsidRDefault="009F7694" w:rsidP="009F7694">
      <w:pPr>
        <w:pStyle w:val="Listadevietas"/>
        <w:spacing w:before="100" w:beforeAutospacing="1" w:after="100" w:afterAutospacing="1"/>
      </w:pPr>
      <w:r w:rsidRPr="007E353F">
        <w:rPr>
          <w:i/>
        </w:rPr>
        <w:t>Forte</w:t>
      </w:r>
      <w:r w:rsidRPr="007E353F">
        <w:t xml:space="preserve"> - l’environnement ou l’activité humaine est touchée à moyen ou long terme</w:t>
      </w:r>
    </w:p>
    <w:p w14:paraId="57CCED22" w14:textId="77777777" w:rsidR="009F7694" w:rsidRPr="00D37254" w:rsidRDefault="009F7694" w:rsidP="009F7694">
      <w:pPr>
        <w:rPr>
          <w:rFonts w:eastAsia="SimSun"/>
        </w:rPr>
      </w:pPr>
      <w:r w:rsidRPr="00D37254">
        <w:rPr>
          <w:rFonts w:eastAsia="SimSun"/>
        </w:rPr>
        <w:lastRenderedPageBreak/>
        <w:t>Les critères spécifiques utilisés pour évaluer la sévérité de chaque type d’impact seront clairement définis dans le cadre de l’évaluation des impacts.</w:t>
      </w:r>
    </w:p>
    <w:p w14:paraId="25AEDCED" w14:textId="77777777" w:rsidR="00EF179A" w:rsidRPr="00EF179A" w:rsidRDefault="00EF179A" w:rsidP="00F00C4C">
      <w:pPr>
        <w:pStyle w:val="Title3"/>
      </w:pPr>
      <w:bookmarkStart w:id="364" w:name="_Toc422997976"/>
      <w:bookmarkStart w:id="365" w:name="_Toc35870217"/>
      <w:bookmarkStart w:id="366" w:name="_Toc48653491"/>
      <w:bookmarkStart w:id="367" w:name="_Toc57124384"/>
      <w:bookmarkStart w:id="368" w:name="_Toc181619024"/>
      <w:bookmarkStart w:id="369" w:name="_Toc215131867"/>
      <w:r w:rsidRPr="00EF179A">
        <w:t>Sensibilité/Vulnérabilité/Importance des ressources et récepteurs</w:t>
      </w:r>
      <w:bookmarkEnd w:id="364"/>
      <w:bookmarkEnd w:id="365"/>
      <w:bookmarkEnd w:id="366"/>
      <w:bookmarkEnd w:id="367"/>
      <w:bookmarkEnd w:id="368"/>
      <w:bookmarkEnd w:id="369"/>
    </w:p>
    <w:p w14:paraId="405E33AF" w14:textId="77777777" w:rsidR="00EF179A" w:rsidRPr="00EF179A" w:rsidRDefault="00EF179A" w:rsidP="00EF179A">
      <w:r w:rsidRPr="00EF179A">
        <w:t xml:space="preserve">La </w:t>
      </w:r>
      <w:r w:rsidRPr="00EF179A">
        <w:rPr>
          <w:b/>
        </w:rPr>
        <w:t>sévérité</w:t>
      </w:r>
      <w:r w:rsidRPr="00EF179A">
        <w:t xml:space="preserve"> des impacts résultant d’un impact d’une </w:t>
      </w:r>
      <w:r w:rsidRPr="00EF179A">
        <w:rPr>
          <w:b/>
        </w:rPr>
        <w:t xml:space="preserve">intensité </w:t>
      </w:r>
      <w:r w:rsidRPr="00EF179A">
        <w:t xml:space="preserve">donnée, dépendra des caractéristiques des ressources et récepteurs en fonction de leur </w:t>
      </w:r>
      <w:r w:rsidRPr="00EF179A">
        <w:rPr>
          <w:b/>
        </w:rPr>
        <w:t>sensibilité</w:t>
      </w:r>
      <w:r w:rsidRPr="00EF179A">
        <w:t xml:space="preserve">, </w:t>
      </w:r>
      <w:r w:rsidRPr="00EF179A">
        <w:rPr>
          <w:b/>
        </w:rPr>
        <w:t xml:space="preserve">vulnérabilité </w:t>
      </w:r>
      <w:r w:rsidRPr="00EF179A">
        <w:t xml:space="preserve">et </w:t>
      </w:r>
      <w:r w:rsidRPr="00EF179A">
        <w:rPr>
          <w:b/>
        </w:rPr>
        <w:t>importance</w:t>
      </w:r>
      <w:r w:rsidRPr="00EF179A">
        <w:t xml:space="preserve">. </w:t>
      </w:r>
    </w:p>
    <w:p w14:paraId="78F19444" w14:textId="77777777" w:rsidR="00EF179A" w:rsidRPr="00EF179A" w:rsidRDefault="00EF179A" w:rsidP="00EF179A">
      <w:r w:rsidRPr="00EF179A">
        <w:t xml:space="preserve">La </w:t>
      </w:r>
      <w:r w:rsidRPr="00EF179A">
        <w:rPr>
          <w:b/>
        </w:rPr>
        <w:t>qualité</w:t>
      </w:r>
      <w:r w:rsidRPr="00EF179A">
        <w:t xml:space="preserve"> ou l’</w:t>
      </w:r>
      <w:r w:rsidRPr="00EF179A">
        <w:rPr>
          <w:b/>
        </w:rPr>
        <w:t xml:space="preserve">importance </w:t>
      </w:r>
      <w:r w:rsidRPr="00EF179A">
        <w:t xml:space="preserve">d’une ressource sera déterminée en tenant compte par exemple de sa désignation nationale ou internationale, son importance pour la communauté locale ou plus étendue, ses services écosystémiques et sa valeur économique. L’évaluation de la </w:t>
      </w:r>
      <w:r w:rsidRPr="00EF179A">
        <w:rPr>
          <w:b/>
        </w:rPr>
        <w:t xml:space="preserve">sensibilité </w:t>
      </w:r>
      <w:r w:rsidRPr="00EF179A">
        <w:t>des récepteurs humains, tiendra compte de leurs réactions probables au changement et leur capacité à s’adapter et à gérer les effets de l’impact.</w:t>
      </w:r>
    </w:p>
    <w:p w14:paraId="66D1F0C8" w14:textId="77777777" w:rsidR="00EF179A" w:rsidRDefault="00EF179A" w:rsidP="00EF179A">
      <w:r w:rsidRPr="00EF179A">
        <w:t>La sensibilité, la vulnérabilité et l’importance des ressources et récepteurs sont évaluées sur la base des données relatives à l’environnement à l’état initial.</w:t>
      </w:r>
    </w:p>
    <w:p w14:paraId="07BC863F" w14:textId="77777777" w:rsidR="009F7694" w:rsidRPr="00F045C1" w:rsidRDefault="009F7694" w:rsidP="004637C7">
      <w:pPr>
        <w:pStyle w:val="AltTitle2"/>
      </w:pPr>
      <w:r w:rsidRPr="00F045C1">
        <w:t>Sensibilité du récepteur</w:t>
      </w:r>
    </w:p>
    <w:p w14:paraId="6676C566" w14:textId="77777777" w:rsidR="009F7694" w:rsidRPr="0011121D" w:rsidRDefault="009F7694" w:rsidP="009F7694">
      <w:pPr>
        <w:pStyle w:val="Listadevietas"/>
        <w:spacing w:before="100" w:beforeAutospacing="1" w:after="100" w:afterAutospacing="1"/>
      </w:pPr>
      <w:r w:rsidRPr="0011121D">
        <w:rPr>
          <w:i/>
        </w:rPr>
        <w:t>Négligeable</w:t>
      </w:r>
      <w:r w:rsidRPr="0011121D">
        <w:t xml:space="preserve"> - imperceptible ou très localisé</w:t>
      </w:r>
    </w:p>
    <w:p w14:paraId="757FC1D4" w14:textId="77777777" w:rsidR="009F7694" w:rsidRPr="0011121D" w:rsidRDefault="009F7694" w:rsidP="009F7694">
      <w:pPr>
        <w:pStyle w:val="Listadevietas"/>
        <w:spacing w:before="100" w:beforeAutospacing="1" w:after="100" w:afterAutospacing="1"/>
      </w:pPr>
      <w:r w:rsidRPr="0011121D">
        <w:rPr>
          <w:i/>
        </w:rPr>
        <w:t xml:space="preserve">Faible </w:t>
      </w:r>
      <w:r w:rsidRPr="0011121D">
        <w:t xml:space="preserve">– perceptible mais localisé </w:t>
      </w:r>
    </w:p>
    <w:p w14:paraId="413BD1CF" w14:textId="6803BF59" w:rsidR="009F7694" w:rsidRPr="007E353F" w:rsidRDefault="001E434A" w:rsidP="009F7694">
      <w:pPr>
        <w:pStyle w:val="Listadevietas"/>
        <w:spacing w:before="100" w:beforeAutospacing="1" w:after="100" w:afterAutospacing="1"/>
      </w:pPr>
      <w:r>
        <w:rPr>
          <w:i/>
        </w:rPr>
        <w:t>Moyenne</w:t>
      </w:r>
      <w:r w:rsidR="009F7694" w:rsidRPr="007E353F">
        <w:rPr>
          <w:i/>
        </w:rPr>
        <w:t xml:space="preserve"> </w:t>
      </w:r>
      <w:r w:rsidR="009F7694" w:rsidRPr="007E353F">
        <w:t xml:space="preserve">– changement permanent perceptible et relativement étendu ou changement récurrent très perceptible, réversible à moyen ou long terme </w:t>
      </w:r>
    </w:p>
    <w:p w14:paraId="2EECCC57" w14:textId="77777777" w:rsidR="009F7694" w:rsidRPr="007E353F" w:rsidRDefault="009F7694" w:rsidP="009F7694">
      <w:pPr>
        <w:pStyle w:val="Listadevietas"/>
        <w:spacing w:before="100" w:beforeAutospacing="1" w:after="100" w:afterAutospacing="1"/>
      </w:pPr>
      <w:r w:rsidRPr="007E353F">
        <w:rPr>
          <w:i/>
        </w:rPr>
        <w:t xml:space="preserve">Forte </w:t>
      </w:r>
      <w:r w:rsidRPr="007E353F">
        <w:t>- changement étendu évident et irréversible ou changement récurrent très perceptible, uniquement réversible à long terme</w:t>
      </w:r>
      <w:r>
        <w:t>.</w:t>
      </w:r>
    </w:p>
    <w:p w14:paraId="1F0F2111" w14:textId="77777777" w:rsidR="00EF179A" w:rsidRPr="00EF179A" w:rsidRDefault="00EF179A" w:rsidP="006C483E">
      <w:pPr>
        <w:pStyle w:val="Title3"/>
      </w:pPr>
      <w:bookmarkStart w:id="370" w:name="_Toc422997977"/>
      <w:bookmarkStart w:id="371" w:name="_Toc35870218"/>
      <w:bookmarkStart w:id="372" w:name="_Toc48653492"/>
      <w:bookmarkStart w:id="373" w:name="_Toc57124385"/>
      <w:bookmarkStart w:id="374" w:name="_Toc181619025"/>
      <w:bookmarkStart w:id="375" w:name="_Toc215131868"/>
      <w:r w:rsidRPr="00EF179A">
        <w:t>Évaluation de la sévérité des impacts</w:t>
      </w:r>
      <w:bookmarkEnd w:id="370"/>
      <w:bookmarkEnd w:id="371"/>
      <w:bookmarkEnd w:id="372"/>
      <w:bookmarkEnd w:id="373"/>
      <w:bookmarkEnd w:id="374"/>
      <w:bookmarkEnd w:id="375"/>
    </w:p>
    <w:p w14:paraId="22745F0C" w14:textId="77777777" w:rsidR="00EF179A" w:rsidRPr="00EF179A" w:rsidRDefault="00EF179A" w:rsidP="00EF179A">
      <w:r w:rsidRPr="00EF179A">
        <w:t xml:space="preserve">Toute activité humaine impose un certain changement sur les milieux naturel et social, du fait des interactions physiques avec les systèmes naturels ou avec d’autres activités humaines. Afin de fournir des informations aux décideurs et autres parties prenantes quant à l’importance des différents impacts du projet, l’équipe procède à une évaluation de la </w:t>
      </w:r>
      <w:r w:rsidRPr="00EF179A">
        <w:rPr>
          <w:b/>
        </w:rPr>
        <w:t>sévérité</w:t>
      </w:r>
      <w:r w:rsidRPr="00EF179A">
        <w:t xml:space="preserve"> de chaque changement.</w:t>
      </w:r>
    </w:p>
    <w:p w14:paraId="656F08FA" w14:textId="77777777" w:rsidR="00EF179A" w:rsidRPr="00EF179A" w:rsidRDefault="00EF179A" w:rsidP="00EF179A">
      <w:r w:rsidRPr="00EF179A">
        <w:t xml:space="preserve">Il n’existe aucune définition réglementaire de la </w:t>
      </w:r>
      <w:r w:rsidRPr="00EF179A">
        <w:rPr>
          <w:b/>
        </w:rPr>
        <w:t xml:space="preserve">sévérité </w:t>
      </w:r>
      <w:r w:rsidRPr="00EF179A">
        <w:t xml:space="preserve">d’un impact. Ainsi, dans le cadre de l’EIES, l’évaluation de la sévérité des impacts s’appuie sur les jugements professionnels de l’équipe en charge de l’EIES à l’aide de critères objectifs quand ceux-ci sont disponibles, et normes légales, politiques gouvernementales nationales et régionales, bonnes pratiques sectorielles reconnues et opinions des parties prenantes concernées. Quand aucune norme spécifique n’est disponible ou que celles-ci n’apportent pas suffisamment d’informations pour déterminer la sévérité des impacts, l’évaluation prendra en compte l’intensité de l’impact ainsi que la qualité, l’importance ou la sensibilité de la ressource ou du récepteur affecté(e). </w:t>
      </w:r>
    </w:p>
    <w:p w14:paraId="6FB852CF" w14:textId="63F9899C" w:rsidR="00154145" w:rsidRPr="00FA5DF9" w:rsidRDefault="00EF179A" w:rsidP="00154145">
      <w:pPr>
        <w:rPr>
          <w:rFonts w:cs="Times New Roman"/>
          <w:b/>
          <w:bCs/>
          <w:sz w:val="20"/>
        </w:rPr>
      </w:pPr>
      <w:r w:rsidRPr="00EF179A">
        <w:rPr>
          <w:b/>
        </w:rPr>
        <w:t xml:space="preserve">L’intensité </w:t>
      </w:r>
      <w:r w:rsidRPr="00EF179A">
        <w:t>de l’impact</w:t>
      </w:r>
      <w:r w:rsidRPr="00EF179A">
        <w:rPr>
          <w:b/>
        </w:rPr>
        <w:t xml:space="preserve"> </w:t>
      </w:r>
      <w:r w:rsidRPr="00EF179A">
        <w:t xml:space="preserve">et la </w:t>
      </w:r>
      <w:r w:rsidRPr="00EF179A">
        <w:rPr>
          <w:b/>
        </w:rPr>
        <w:t xml:space="preserve">qualité/l’importance/la sensibilité </w:t>
      </w:r>
      <w:r w:rsidRPr="00EF179A">
        <w:t xml:space="preserve">du récepteur sont évaluées conjointement pour déterminer si un impact est sévère ou non et dans l’affirmative, son degré de </w:t>
      </w:r>
      <w:r w:rsidRPr="00EF179A">
        <w:rPr>
          <w:b/>
        </w:rPr>
        <w:t>sévérité</w:t>
      </w:r>
      <w:r w:rsidRPr="00EF179A">
        <w:t xml:space="preserve"> (défini comme </w:t>
      </w:r>
      <w:r w:rsidRPr="00EF179A">
        <w:rPr>
          <w:i/>
        </w:rPr>
        <w:t xml:space="preserve">Mineur, Modéré ou Majeur). </w:t>
      </w:r>
      <w:r w:rsidRPr="00EF179A">
        <w:t xml:space="preserve">Les impacts jugés </w:t>
      </w:r>
      <w:r w:rsidRPr="00EF179A">
        <w:rPr>
          <w:i/>
        </w:rPr>
        <w:t xml:space="preserve">Négligeables </w:t>
      </w:r>
      <w:r w:rsidRPr="00EF179A">
        <w:t xml:space="preserve">incluent ceux qui sont légers ou transitoires, et ceux de l’ordre des changements environnementaux et sociaux naturels. Ce principe est illustré </w:t>
      </w:r>
      <w:bookmarkStart w:id="376" w:name="_Toc142649572"/>
    </w:p>
    <w:p w14:paraId="2C77CE68" w14:textId="7056F088" w:rsidR="00EB3D3C" w:rsidRPr="002A0860" w:rsidRDefault="00154145" w:rsidP="00154145">
      <w:pPr>
        <w:pStyle w:val="Lgende"/>
        <w:rPr>
          <w:b w:val="0"/>
          <w:bCs w:val="0"/>
          <w:lang w:val="fr-FR"/>
        </w:rPr>
      </w:pPr>
      <w:bookmarkStart w:id="377" w:name="_Toc213404363"/>
      <w:r w:rsidRPr="002A0860">
        <w:rPr>
          <w:lang w:val="fr-FR"/>
        </w:rPr>
        <w:lastRenderedPageBreak/>
        <w:t xml:space="preserve">Tableau </w:t>
      </w:r>
      <w:r>
        <w:fldChar w:fldCharType="begin"/>
      </w:r>
      <w:r w:rsidRPr="002A0860">
        <w:rPr>
          <w:lang w:val="fr-FR"/>
        </w:rPr>
        <w:instrText xml:space="preserve"> SEQ Tableau \* ARABIC </w:instrText>
      </w:r>
      <w:r>
        <w:fldChar w:fldCharType="separate"/>
      </w:r>
      <w:r w:rsidR="00274E71">
        <w:rPr>
          <w:noProof/>
          <w:lang w:val="fr-FR"/>
        </w:rPr>
        <w:t>41</w:t>
      </w:r>
      <w:r>
        <w:fldChar w:fldCharType="end"/>
      </w:r>
      <w:r>
        <w:rPr>
          <w:noProof/>
          <w:lang w:val="fr-FR"/>
        </w:rPr>
        <w:t xml:space="preserve">: </w:t>
      </w:r>
      <w:r w:rsidR="00EB3D3C" w:rsidRPr="002A0860">
        <w:rPr>
          <w:lang w:val="fr-FR"/>
        </w:rPr>
        <w:t>Matrice d’évaluation de la sévérité des impacts</w:t>
      </w:r>
      <w:bookmarkEnd w:id="376"/>
      <w:bookmarkEnd w:id="377"/>
    </w:p>
    <w:tbl>
      <w:tblPr>
        <w:tblStyle w:val="ERMTablestyle1"/>
        <w:tblW w:w="4977" w:type="pct"/>
        <w:tblLook w:val="04A0" w:firstRow="1" w:lastRow="0" w:firstColumn="1" w:lastColumn="0" w:noHBand="0" w:noVBand="1"/>
      </w:tblPr>
      <w:tblGrid>
        <w:gridCol w:w="726"/>
        <w:gridCol w:w="1106"/>
        <w:gridCol w:w="1799"/>
        <w:gridCol w:w="1799"/>
        <w:gridCol w:w="1799"/>
        <w:gridCol w:w="1801"/>
      </w:tblGrid>
      <w:tr w:rsidR="00EB3D3C" w:rsidRPr="00405C83" w14:paraId="4A2C2FEE" w14:textId="77777777" w:rsidTr="00F43EE5">
        <w:trPr>
          <w:cnfStyle w:val="100000000000" w:firstRow="1" w:lastRow="0" w:firstColumn="0" w:lastColumn="0" w:oddVBand="0" w:evenVBand="0" w:oddHBand="0" w:evenHBand="0" w:firstRowFirstColumn="0" w:firstRowLastColumn="0" w:lastRowFirstColumn="0" w:lastRowLastColumn="0"/>
          <w:trHeight w:val="127"/>
        </w:trPr>
        <w:tc>
          <w:tcPr>
            <w:tcW w:w="947" w:type="pct"/>
            <w:gridSpan w:val="2"/>
            <w:vMerge w:val="restart"/>
            <w:tcBorders>
              <w:top w:val="single" w:sz="4" w:space="0" w:color="0028A8"/>
            </w:tcBorders>
            <w:vAlign w:val="center"/>
          </w:tcPr>
          <w:p w14:paraId="0B362495" w14:textId="77777777" w:rsidR="00EB3D3C" w:rsidRPr="00405C83" w:rsidRDefault="00EB3D3C" w:rsidP="000F0F76">
            <w:pPr>
              <w:keepNext/>
              <w:spacing w:before="0" w:after="0" w:line="240" w:lineRule="auto"/>
              <w:rPr>
                <w:b/>
              </w:rPr>
            </w:pPr>
          </w:p>
        </w:tc>
        <w:tc>
          <w:tcPr>
            <w:tcW w:w="4053" w:type="pct"/>
            <w:gridSpan w:val="4"/>
            <w:tcBorders>
              <w:top w:val="single" w:sz="4" w:space="0" w:color="0028A8"/>
              <w:bottom w:val="single" w:sz="4" w:space="0" w:color="0028A8"/>
            </w:tcBorders>
            <w:vAlign w:val="center"/>
          </w:tcPr>
          <w:p w14:paraId="37260F78" w14:textId="77777777" w:rsidR="00EB3D3C" w:rsidRPr="00F43EE5" w:rsidRDefault="00EB3D3C" w:rsidP="000F0F76">
            <w:pPr>
              <w:keepNext/>
              <w:spacing w:before="0" w:after="0" w:line="240" w:lineRule="auto"/>
              <w:rPr>
                <w:b/>
                <w:color w:val="0028A8"/>
              </w:rPr>
            </w:pPr>
            <w:r w:rsidRPr="00F43EE5">
              <w:rPr>
                <w:b/>
                <w:color w:val="0028A8"/>
              </w:rPr>
              <w:t>Sensibilité/Vulnérabilité/Importance de la Ressource/du récepteur</w:t>
            </w:r>
          </w:p>
        </w:tc>
      </w:tr>
      <w:tr w:rsidR="00EB3D3C" w:rsidRPr="00405C83" w14:paraId="4329D894" w14:textId="77777777" w:rsidTr="00F43EE5">
        <w:trPr>
          <w:trHeight w:val="150"/>
        </w:trPr>
        <w:tc>
          <w:tcPr>
            <w:tcW w:w="947" w:type="pct"/>
            <w:gridSpan w:val="2"/>
            <w:vMerge/>
            <w:vAlign w:val="center"/>
          </w:tcPr>
          <w:p w14:paraId="1C37A64A" w14:textId="77777777" w:rsidR="00EB3D3C" w:rsidRPr="00405C83" w:rsidRDefault="00EB3D3C" w:rsidP="000F0F76">
            <w:pPr>
              <w:keepNext/>
              <w:spacing w:before="0" w:after="0" w:line="240" w:lineRule="auto"/>
              <w:rPr>
                <w:color w:val="007A5F"/>
              </w:rPr>
            </w:pPr>
          </w:p>
        </w:tc>
        <w:tc>
          <w:tcPr>
            <w:tcW w:w="1013" w:type="pct"/>
            <w:tcBorders>
              <w:top w:val="single" w:sz="4" w:space="0" w:color="0028A8"/>
            </w:tcBorders>
            <w:vAlign w:val="center"/>
          </w:tcPr>
          <w:p w14:paraId="1DF31CC8" w14:textId="77777777" w:rsidR="00EB3D3C" w:rsidRPr="00F43EE5" w:rsidRDefault="00EB3D3C" w:rsidP="000F0F76">
            <w:pPr>
              <w:keepNext/>
              <w:spacing w:before="0" w:after="0" w:line="240" w:lineRule="auto"/>
              <w:rPr>
                <w:b/>
                <w:color w:val="0028A8"/>
              </w:rPr>
            </w:pPr>
            <w:r w:rsidRPr="00F43EE5">
              <w:rPr>
                <w:b/>
                <w:color w:val="0028A8"/>
              </w:rPr>
              <w:t>Insignifiante</w:t>
            </w:r>
          </w:p>
        </w:tc>
        <w:tc>
          <w:tcPr>
            <w:tcW w:w="1013" w:type="pct"/>
            <w:tcBorders>
              <w:top w:val="single" w:sz="4" w:space="0" w:color="0028A8"/>
            </w:tcBorders>
            <w:vAlign w:val="center"/>
          </w:tcPr>
          <w:p w14:paraId="12A3EB77" w14:textId="77777777" w:rsidR="00EB3D3C" w:rsidRPr="00F43EE5" w:rsidRDefault="00EB3D3C" w:rsidP="000F0F76">
            <w:pPr>
              <w:keepNext/>
              <w:spacing w:before="0" w:after="0" w:line="240" w:lineRule="auto"/>
              <w:rPr>
                <w:b/>
                <w:color w:val="0028A8"/>
              </w:rPr>
            </w:pPr>
            <w:r w:rsidRPr="00F43EE5">
              <w:rPr>
                <w:b/>
                <w:color w:val="0028A8"/>
              </w:rPr>
              <w:t>Faible</w:t>
            </w:r>
          </w:p>
        </w:tc>
        <w:tc>
          <w:tcPr>
            <w:tcW w:w="1013" w:type="pct"/>
            <w:tcBorders>
              <w:top w:val="single" w:sz="4" w:space="0" w:color="0028A8"/>
            </w:tcBorders>
            <w:vAlign w:val="center"/>
          </w:tcPr>
          <w:p w14:paraId="358D00A9" w14:textId="77777777" w:rsidR="00EB3D3C" w:rsidRPr="00F43EE5" w:rsidRDefault="00EB3D3C" w:rsidP="000F0F76">
            <w:pPr>
              <w:keepNext/>
              <w:spacing w:before="0" w:after="0" w:line="240" w:lineRule="auto"/>
              <w:rPr>
                <w:b/>
                <w:color w:val="0028A8"/>
              </w:rPr>
            </w:pPr>
            <w:r w:rsidRPr="00F43EE5">
              <w:rPr>
                <w:b/>
                <w:color w:val="0028A8"/>
              </w:rPr>
              <w:t>Moyenne</w:t>
            </w:r>
          </w:p>
        </w:tc>
        <w:tc>
          <w:tcPr>
            <w:tcW w:w="1015" w:type="pct"/>
            <w:tcBorders>
              <w:top w:val="single" w:sz="4" w:space="0" w:color="0028A8"/>
            </w:tcBorders>
            <w:vAlign w:val="center"/>
          </w:tcPr>
          <w:p w14:paraId="7D5F115B" w14:textId="77777777" w:rsidR="00EB3D3C" w:rsidRPr="00F43EE5" w:rsidRDefault="00EB3D3C" w:rsidP="000F0F76">
            <w:pPr>
              <w:keepNext/>
              <w:spacing w:before="0" w:after="0" w:line="240" w:lineRule="auto"/>
              <w:rPr>
                <w:b/>
                <w:color w:val="0028A8"/>
              </w:rPr>
            </w:pPr>
            <w:r w:rsidRPr="00F43EE5">
              <w:rPr>
                <w:b/>
                <w:color w:val="0028A8"/>
              </w:rPr>
              <w:t>Forte</w:t>
            </w:r>
          </w:p>
        </w:tc>
      </w:tr>
      <w:tr w:rsidR="00EB3D3C" w:rsidRPr="00405C83" w14:paraId="2564BAE1" w14:textId="77777777" w:rsidTr="000F0F76">
        <w:trPr>
          <w:trHeight w:val="257"/>
        </w:trPr>
        <w:tc>
          <w:tcPr>
            <w:tcW w:w="419" w:type="pct"/>
            <w:vMerge w:val="restart"/>
            <w:textDirection w:val="btLr"/>
            <w:vAlign w:val="center"/>
          </w:tcPr>
          <w:p w14:paraId="37667DCF" w14:textId="77777777" w:rsidR="00EB3D3C" w:rsidRPr="00F43EE5" w:rsidRDefault="00EB3D3C" w:rsidP="000F0F76">
            <w:pPr>
              <w:keepNext/>
              <w:spacing w:before="0" w:after="0" w:line="240" w:lineRule="auto"/>
              <w:ind w:left="113" w:right="113"/>
              <w:rPr>
                <w:b/>
                <w:color w:val="0028A8"/>
              </w:rPr>
            </w:pPr>
            <w:r w:rsidRPr="00F43EE5">
              <w:rPr>
                <w:b/>
                <w:color w:val="0028A8"/>
              </w:rPr>
              <w:t>Intensité de l'impact</w:t>
            </w:r>
          </w:p>
        </w:tc>
        <w:tc>
          <w:tcPr>
            <w:tcW w:w="528" w:type="pct"/>
            <w:vAlign w:val="center"/>
          </w:tcPr>
          <w:p w14:paraId="71F53215" w14:textId="77777777" w:rsidR="00EB3D3C" w:rsidRPr="00405C83" w:rsidRDefault="00EB3D3C" w:rsidP="000F0F76">
            <w:pPr>
              <w:keepNext/>
              <w:spacing w:before="0" w:after="0" w:line="240" w:lineRule="auto"/>
              <w:rPr>
                <w:b/>
                <w:color w:val="007A5F"/>
              </w:rPr>
            </w:pPr>
            <w:r w:rsidRPr="00405C83">
              <w:rPr>
                <w:b/>
              </w:rPr>
              <w:t>Négligeable</w:t>
            </w:r>
          </w:p>
        </w:tc>
        <w:tc>
          <w:tcPr>
            <w:tcW w:w="1013" w:type="pct"/>
            <w:vAlign w:val="center"/>
          </w:tcPr>
          <w:p w14:paraId="668F3F32" w14:textId="77777777" w:rsidR="00EB3D3C" w:rsidRPr="00405C83" w:rsidRDefault="00EB3D3C" w:rsidP="000F0F76">
            <w:pPr>
              <w:keepNext/>
              <w:spacing w:before="0" w:after="0" w:line="240" w:lineRule="auto"/>
            </w:pPr>
            <w:r w:rsidRPr="00405C83">
              <w:t>Insignifiante</w:t>
            </w:r>
          </w:p>
        </w:tc>
        <w:tc>
          <w:tcPr>
            <w:tcW w:w="1013" w:type="pct"/>
            <w:vAlign w:val="center"/>
          </w:tcPr>
          <w:p w14:paraId="20784CD7" w14:textId="77777777" w:rsidR="00EB3D3C" w:rsidRPr="00405C83" w:rsidRDefault="00EB3D3C" w:rsidP="000F0F76">
            <w:pPr>
              <w:keepNext/>
              <w:spacing w:before="0" w:after="0" w:line="240" w:lineRule="auto"/>
            </w:pPr>
            <w:r w:rsidRPr="00405C83">
              <w:t>Négligeable</w:t>
            </w:r>
          </w:p>
        </w:tc>
        <w:tc>
          <w:tcPr>
            <w:tcW w:w="1013" w:type="pct"/>
            <w:vAlign w:val="center"/>
          </w:tcPr>
          <w:p w14:paraId="42288841" w14:textId="77777777" w:rsidR="00EB3D3C" w:rsidRPr="00405C83" w:rsidRDefault="00EB3D3C" w:rsidP="000F0F76">
            <w:pPr>
              <w:keepNext/>
              <w:spacing w:before="0" w:after="0" w:line="240" w:lineRule="auto"/>
            </w:pPr>
            <w:r w:rsidRPr="00405C83">
              <w:t>Négligeable</w:t>
            </w:r>
          </w:p>
        </w:tc>
        <w:tc>
          <w:tcPr>
            <w:tcW w:w="1015" w:type="pct"/>
            <w:vAlign w:val="center"/>
          </w:tcPr>
          <w:p w14:paraId="28000FA3" w14:textId="77777777" w:rsidR="00EB3D3C" w:rsidRPr="00405C83" w:rsidRDefault="00EB3D3C" w:rsidP="000F0F76">
            <w:pPr>
              <w:keepNext/>
              <w:spacing w:before="0" w:after="0" w:line="240" w:lineRule="auto"/>
            </w:pPr>
            <w:r w:rsidRPr="00405C83">
              <w:t>Négligeable</w:t>
            </w:r>
          </w:p>
        </w:tc>
      </w:tr>
      <w:tr w:rsidR="00EB3D3C" w:rsidRPr="00405C83" w14:paraId="7F4A30B4" w14:textId="77777777" w:rsidTr="000F0F76">
        <w:trPr>
          <w:trHeight w:val="257"/>
        </w:trPr>
        <w:tc>
          <w:tcPr>
            <w:tcW w:w="419" w:type="pct"/>
            <w:vMerge/>
            <w:textDirection w:val="btLr"/>
            <w:vAlign w:val="center"/>
          </w:tcPr>
          <w:p w14:paraId="24621B56" w14:textId="77777777" w:rsidR="00EB3D3C" w:rsidRPr="00405C83" w:rsidRDefault="00EB3D3C" w:rsidP="000F0F76">
            <w:pPr>
              <w:spacing w:before="0" w:after="0" w:line="240" w:lineRule="auto"/>
              <w:ind w:left="113" w:right="113"/>
              <w:rPr>
                <w:b/>
              </w:rPr>
            </w:pPr>
          </w:p>
        </w:tc>
        <w:tc>
          <w:tcPr>
            <w:tcW w:w="528" w:type="pct"/>
            <w:vAlign w:val="center"/>
          </w:tcPr>
          <w:p w14:paraId="62BF84A9" w14:textId="77777777" w:rsidR="00EB3D3C" w:rsidRPr="00405C83" w:rsidRDefault="00EB3D3C" w:rsidP="000F0F76">
            <w:pPr>
              <w:spacing w:before="0" w:after="0" w:line="240" w:lineRule="auto"/>
              <w:rPr>
                <w:b/>
              </w:rPr>
            </w:pPr>
            <w:r w:rsidRPr="00405C83">
              <w:rPr>
                <w:b/>
              </w:rPr>
              <w:t xml:space="preserve">Faible </w:t>
            </w:r>
          </w:p>
        </w:tc>
        <w:tc>
          <w:tcPr>
            <w:tcW w:w="1013" w:type="pct"/>
            <w:vAlign w:val="center"/>
          </w:tcPr>
          <w:p w14:paraId="6851401A" w14:textId="77777777" w:rsidR="00EB3D3C" w:rsidRPr="00405C83" w:rsidRDefault="00EB3D3C" w:rsidP="000F0F76">
            <w:pPr>
              <w:spacing w:before="0" w:after="0" w:line="240" w:lineRule="auto"/>
            </w:pPr>
            <w:r w:rsidRPr="00405C83">
              <w:t>Insignifiante</w:t>
            </w:r>
          </w:p>
        </w:tc>
        <w:tc>
          <w:tcPr>
            <w:tcW w:w="1013" w:type="pct"/>
            <w:vAlign w:val="center"/>
          </w:tcPr>
          <w:p w14:paraId="10151731" w14:textId="77777777" w:rsidR="00EB3D3C" w:rsidRPr="00F43EE5" w:rsidRDefault="00EB3D3C" w:rsidP="000F0F76">
            <w:pPr>
              <w:spacing w:before="0" w:after="0" w:line="240" w:lineRule="auto"/>
              <w:rPr>
                <w:color w:val="0028A8"/>
              </w:rPr>
            </w:pPr>
            <w:r w:rsidRPr="00405C83">
              <w:t>Négligeable</w:t>
            </w:r>
          </w:p>
        </w:tc>
        <w:tc>
          <w:tcPr>
            <w:tcW w:w="1013" w:type="pct"/>
            <w:shd w:val="clear" w:color="auto" w:fill="FFFF00"/>
            <w:vAlign w:val="center"/>
          </w:tcPr>
          <w:p w14:paraId="14275BF0" w14:textId="77777777" w:rsidR="00EB3D3C" w:rsidRPr="00405C83" w:rsidRDefault="00EB3D3C" w:rsidP="000F0F76">
            <w:pPr>
              <w:spacing w:before="0" w:after="0" w:line="240" w:lineRule="auto"/>
            </w:pPr>
            <w:r w:rsidRPr="00405C83">
              <w:t>Mineure</w:t>
            </w:r>
          </w:p>
        </w:tc>
        <w:tc>
          <w:tcPr>
            <w:tcW w:w="1015" w:type="pct"/>
            <w:shd w:val="clear" w:color="auto" w:fill="FFC000"/>
            <w:vAlign w:val="center"/>
          </w:tcPr>
          <w:p w14:paraId="44FED550" w14:textId="77777777" w:rsidR="00EB3D3C" w:rsidRPr="00405C83" w:rsidRDefault="00EB3D3C" w:rsidP="000F0F76">
            <w:pPr>
              <w:spacing w:before="0" w:after="0" w:line="240" w:lineRule="auto"/>
            </w:pPr>
            <w:r w:rsidRPr="00405C83">
              <w:t>Modérée</w:t>
            </w:r>
          </w:p>
        </w:tc>
      </w:tr>
      <w:tr w:rsidR="00EB3D3C" w:rsidRPr="00405C83" w14:paraId="0491C3DA" w14:textId="77777777" w:rsidTr="000F0F76">
        <w:trPr>
          <w:trHeight w:val="257"/>
        </w:trPr>
        <w:tc>
          <w:tcPr>
            <w:tcW w:w="419" w:type="pct"/>
            <w:vMerge/>
            <w:vAlign w:val="center"/>
          </w:tcPr>
          <w:p w14:paraId="5C3B7701" w14:textId="77777777" w:rsidR="00EB3D3C" w:rsidRPr="00405C83" w:rsidRDefault="00EB3D3C" w:rsidP="000F0F76">
            <w:pPr>
              <w:spacing w:before="0" w:after="0" w:line="240" w:lineRule="auto"/>
              <w:rPr>
                <w:b/>
              </w:rPr>
            </w:pPr>
          </w:p>
        </w:tc>
        <w:tc>
          <w:tcPr>
            <w:tcW w:w="528" w:type="pct"/>
            <w:vAlign w:val="center"/>
          </w:tcPr>
          <w:p w14:paraId="705146E3" w14:textId="77777777" w:rsidR="00EB3D3C" w:rsidRPr="00405C83" w:rsidRDefault="00EB3D3C" w:rsidP="000F0F76">
            <w:pPr>
              <w:spacing w:before="0" w:after="0" w:line="240" w:lineRule="auto"/>
              <w:rPr>
                <w:b/>
              </w:rPr>
            </w:pPr>
            <w:r w:rsidRPr="00405C83">
              <w:rPr>
                <w:b/>
              </w:rPr>
              <w:t>Moyenne</w:t>
            </w:r>
          </w:p>
        </w:tc>
        <w:tc>
          <w:tcPr>
            <w:tcW w:w="1013" w:type="pct"/>
            <w:vAlign w:val="center"/>
          </w:tcPr>
          <w:p w14:paraId="79197762" w14:textId="77777777" w:rsidR="00EB3D3C" w:rsidRPr="00405C83" w:rsidRDefault="00EB3D3C" w:rsidP="000F0F76">
            <w:pPr>
              <w:spacing w:before="0" w:after="0" w:line="240" w:lineRule="auto"/>
            </w:pPr>
            <w:r w:rsidRPr="00405C83">
              <w:t>Insignifiante</w:t>
            </w:r>
          </w:p>
        </w:tc>
        <w:tc>
          <w:tcPr>
            <w:tcW w:w="1013" w:type="pct"/>
            <w:shd w:val="clear" w:color="auto" w:fill="FFFF00"/>
            <w:vAlign w:val="center"/>
          </w:tcPr>
          <w:p w14:paraId="6105F3CB" w14:textId="77777777" w:rsidR="00EB3D3C" w:rsidRPr="00405C83" w:rsidRDefault="00EB3D3C" w:rsidP="000F0F76">
            <w:pPr>
              <w:spacing w:before="0" w:after="0" w:line="240" w:lineRule="auto"/>
            </w:pPr>
            <w:r w:rsidRPr="00405C83">
              <w:t>Mineure</w:t>
            </w:r>
          </w:p>
        </w:tc>
        <w:tc>
          <w:tcPr>
            <w:tcW w:w="1013" w:type="pct"/>
            <w:shd w:val="clear" w:color="auto" w:fill="FFC000"/>
            <w:vAlign w:val="center"/>
          </w:tcPr>
          <w:p w14:paraId="3C66A310" w14:textId="77777777" w:rsidR="00EB3D3C" w:rsidRPr="00405C83" w:rsidRDefault="00EB3D3C" w:rsidP="000F0F76">
            <w:pPr>
              <w:spacing w:before="0" w:after="0" w:line="240" w:lineRule="auto"/>
            </w:pPr>
            <w:r w:rsidRPr="00405C83">
              <w:t>Modérée</w:t>
            </w:r>
          </w:p>
        </w:tc>
        <w:tc>
          <w:tcPr>
            <w:tcW w:w="1015" w:type="pct"/>
            <w:shd w:val="clear" w:color="auto" w:fill="FF0000"/>
            <w:vAlign w:val="center"/>
          </w:tcPr>
          <w:p w14:paraId="488A815E" w14:textId="77777777" w:rsidR="00EB3D3C" w:rsidRPr="00405C83" w:rsidRDefault="00EB3D3C" w:rsidP="000F0F76">
            <w:pPr>
              <w:spacing w:before="0" w:after="0" w:line="240" w:lineRule="auto"/>
            </w:pPr>
            <w:r w:rsidRPr="00405C83">
              <w:t>Majeure</w:t>
            </w:r>
          </w:p>
        </w:tc>
      </w:tr>
      <w:tr w:rsidR="00EB3D3C" w:rsidRPr="00405C83" w14:paraId="762FA88A" w14:textId="77777777" w:rsidTr="000F0F76">
        <w:trPr>
          <w:trHeight w:val="257"/>
        </w:trPr>
        <w:tc>
          <w:tcPr>
            <w:tcW w:w="419" w:type="pct"/>
            <w:vMerge/>
            <w:vAlign w:val="center"/>
          </w:tcPr>
          <w:p w14:paraId="6713275C" w14:textId="77777777" w:rsidR="00EB3D3C" w:rsidRPr="00405C83" w:rsidRDefault="00EB3D3C" w:rsidP="000F0F76">
            <w:pPr>
              <w:spacing w:before="0" w:after="0" w:line="240" w:lineRule="auto"/>
              <w:rPr>
                <w:b/>
              </w:rPr>
            </w:pPr>
          </w:p>
        </w:tc>
        <w:tc>
          <w:tcPr>
            <w:tcW w:w="528" w:type="pct"/>
            <w:vAlign w:val="center"/>
          </w:tcPr>
          <w:p w14:paraId="64D9D1DB" w14:textId="77777777" w:rsidR="00EB3D3C" w:rsidRPr="00405C83" w:rsidRDefault="00EB3D3C" w:rsidP="000F0F76">
            <w:pPr>
              <w:spacing w:before="0" w:after="0" w:line="240" w:lineRule="auto"/>
              <w:rPr>
                <w:b/>
              </w:rPr>
            </w:pPr>
            <w:r w:rsidRPr="00405C83">
              <w:rPr>
                <w:b/>
              </w:rPr>
              <w:t xml:space="preserve">Forte </w:t>
            </w:r>
          </w:p>
        </w:tc>
        <w:tc>
          <w:tcPr>
            <w:tcW w:w="1013" w:type="pct"/>
            <w:vAlign w:val="center"/>
          </w:tcPr>
          <w:p w14:paraId="1354ABCF" w14:textId="77777777" w:rsidR="00EB3D3C" w:rsidRPr="00405C83" w:rsidRDefault="00EB3D3C" w:rsidP="000F0F76">
            <w:pPr>
              <w:spacing w:before="0" w:after="0" w:line="240" w:lineRule="auto"/>
            </w:pPr>
            <w:r w:rsidRPr="00405C83">
              <w:t>Insignifiante</w:t>
            </w:r>
          </w:p>
        </w:tc>
        <w:tc>
          <w:tcPr>
            <w:tcW w:w="1013" w:type="pct"/>
            <w:shd w:val="clear" w:color="auto" w:fill="FFC000"/>
            <w:vAlign w:val="center"/>
          </w:tcPr>
          <w:p w14:paraId="324FD13B" w14:textId="77777777" w:rsidR="00EB3D3C" w:rsidRPr="00405C83" w:rsidRDefault="00EB3D3C" w:rsidP="000F0F76">
            <w:pPr>
              <w:spacing w:before="0" w:after="0" w:line="240" w:lineRule="auto"/>
            </w:pPr>
            <w:r w:rsidRPr="00405C83">
              <w:t>Modérée</w:t>
            </w:r>
          </w:p>
        </w:tc>
        <w:tc>
          <w:tcPr>
            <w:tcW w:w="1013" w:type="pct"/>
            <w:shd w:val="clear" w:color="auto" w:fill="FF0000"/>
            <w:vAlign w:val="center"/>
          </w:tcPr>
          <w:p w14:paraId="3B1AA4A4" w14:textId="77777777" w:rsidR="00EB3D3C" w:rsidRPr="00405C83" w:rsidRDefault="00EB3D3C" w:rsidP="000F0F76">
            <w:pPr>
              <w:spacing w:before="0" w:after="0" w:line="240" w:lineRule="auto"/>
            </w:pPr>
            <w:r w:rsidRPr="00405C83">
              <w:t>Majeure</w:t>
            </w:r>
          </w:p>
        </w:tc>
        <w:tc>
          <w:tcPr>
            <w:tcW w:w="1015" w:type="pct"/>
            <w:shd w:val="clear" w:color="auto" w:fill="FF0000"/>
            <w:vAlign w:val="center"/>
          </w:tcPr>
          <w:p w14:paraId="082B0A1D" w14:textId="77777777" w:rsidR="00EB3D3C" w:rsidRPr="00405C83" w:rsidRDefault="00EB3D3C" w:rsidP="000F0F76">
            <w:pPr>
              <w:spacing w:before="0" w:after="0" w:line="240" w:lineRule="auto"/>
            </w:pPr>
            <w:r w:rsidRPr="00405C83">
              <w:t>Majeure</w:t>
            </w:r>
          </w:p>
        </w:tc>
      </w:tr>
    </w:tbl>
    <w:p w14:paraId="259FB4E2" w14:textId="77777777" w:rsidR="00EF179A" w:rsidRPr="00EF179A" w:rsidRDefault="00EF179A" w:rsidP="004637C7">
      <w:pPr>
        <w:pStyle w:val="AltTitle2"/>
        <w:spacing w:before="240"/>
      </w:pPr>
      <w:r w:rsidRPr="00EF179A">
        <w:t>Classification de la sévérité des impacts</w:t>
      </w:r>
    </w:p>
    <w:p w14:paraId="7AEB12A5" w14:textId="77777777" w:rsidR="00EF179A" w:rsidRPr="00EF179A" w:rsidRDefault="00EF179A" w:rsidP="00EF179A">
      <w:r w:rsidRPr="00EF179A">
        <w:t xml:space="preserve">Un impact est </w:t>
      </w:r>
      <w:r w:rsidRPr="00EF179A">
        <w:rPr>
          <w:b/>
        </w:rPr>
        <w:t xml:space="preserve">négligeable </w:t>
      </w:r>
      <w:r w:rsidRPr="00EF179A">
        <w:t>quand une ressource/un récepteur (y compris des personnes) n’est affecté(e) d’aucune manière par une activité particulière ou quand l’effet prévu est jugé ‘imperceptible’ ou impossible à distinguer du bruit de fond naturel ;</w:t>
      </w:r>
    </w:p>
    <w:p w14:paraId="27374E43" w14:textId="77777777" w:rsidR="00EF179A" w:rsidRPr="00EF179A" w:rsidRDefault="00EF179A" w:rsidP="00EF179A">
      <w:r w:rsidRPr="00EF179A">
        <w:t xml:space="preserve">Un impact est </w:t>
      </w:r>
      <w:r w:rsidRPr="00EF179A">
        <w:rPr>
          <w:b/>
        </w:rPr>
        <w:t xml:space="preserve">mineur </w:t>
      </w:r>
      <w:r w:rsidRPr="00EF179A">
        <w:t>quand une ressource/un récepteur est affecté(e), mais que l’intensité de l’impact est suffisamment faible pour rester dans les limites des normes applicables (à savoir réglementations et directives applicables) ou en l’absence de normes applicables, quand la sensibilité/vulnérabilité/importance de la ressource/du récepteur est faible ;</w:t>
      </w:r>
    </w:p>
    <w:p w14:paraId="0FC21FCF" w14:textId="77777777" w:rsidR="00EF179A" w:rsidRPr="00EF179A" w:rsidRDefault="00EF179A" w:rsidP="00EF179A">
      <w:r w:rsidRPr="00EF179A">
        <w:t xml:space="preserve">Un impact est </w:t>
      </w:r>
      <w:r w:rsidRPr="00EF179A">
        <w:rPr>
          <w:b/>
          <w:bCs/>
        </w:rPr>
        <w:t>modéré</w:t>
      </w:r>
      <w:r w:rsidRPr="00EF179A">
        <w:t xml:space="preserve"> quand son intensité reste dans les limites des normes en vigueur, mais se situe entre un seuil sous lequel l’impact est mineur et un niveau susceptible d’être à la limite d’une infraction légale. Pour les impacts modérés, il convient de réduire les impacts à un niveau aussi bas que raisonnablement possible (ALARP pour as low as reasonably practicable en anglais). Ceci ne signifie pas nécessairement que des impacts dits ‘modérés’ doivent être réduits en impacts mineurs, mais qu’ils soient gérés de manière efficace et effective ;</w:t>
      </w:r>
    </w:p>
    <w:p w14:paraId="254AF5E8" w14:textId="77777777" w:rsidR="00EF179A" w:rsidRPr="00EF179A" w:rsidRDefault="00EF179A" w:rsidP="00EF179A">
      <w:r w:rsidRPr="00EF179A">
        <w:t xml:space="preserve">Un impact est </w:t>
      </w:r>
      <w:r w:rsidRPr="00EF179A">
        <w:rPr>
          <w:b/>
        </w:rPr>
        <w:t xml:space="preserve">majeur </w:t>
      </w:r>
      <w:r w:rsidRPr="00EF179A">
        <w:t>quand les limites acceptables ou normes admissibles sont susceptibles d’être dépassées ou des impacts de forte intensité peuvent affecter des ressources/récepteurs de qualité/importance/sensibilité importante. L’un des objectifs de l’EIES est d’arriver à une configuration où le Projet n’est associé à aucun impact résiduel majeur, ou à aucun impact qui subsisterait sur le long terme ou sur une étendue importante. Toutefois, pour certains aspects, il peut exister des impacts résiduels majeurs, une fois toutes les possibilités d’atténuation épuisées (un niveau aussi bas que raisonnablement possible est alors appliqué). Il peut s’agir par exemple de l’impact visuel d’une installation. Les régulateurs et parties prenantes doivent alors pondérer ces facteurs négatifs par rapport aux aspects positifs comme l’emploi, dans le cadre du processus de décision du Projet.</w:t>
      </w:r>
    </w:p>
    <w:p w14:paraId="47C8977A" w14:textId="77777777" w:rsidR="00EF179A" w:rsidRPr="00EF179A" w:rsidRDefault="00EF179A" w:rsidP="00BC5547">
      <w:pPr>
        <w:pStyle w:val="Title3"/>
      </w:pPr>
      <w:bookmarkStart w:id="378" w:name="_Toc181619026"/>
      <w:bookmarkStart w:id="379" w:name="_Toc215131869"/>
      <w:bookmarkEnd w:id="361"/>
      <w:r w:rsidRPr="00EF179A">
        <w:t>Mesures d’atténuation</w:t>
      </w:r>
      <w:bookmarkEnd w:id="378"/>
      <w:bookmarkEnd w:id="379"/>
    </w:p>
    <w:p w14:paraId="7568071F" w14:textId="77777777" w:rsidR="00EF179A" w:rsidRPr="00EF179A" w:rsidRDefault="00EF179A" w:rsidP="00EF179A">
      <w:r w:rsidRPr="00EF179A">
        <w:t>L’évaluation des impacts a pour but de s’assurer que les décisions relatives au Projet prennent en compte ses impacts probables sur l’environnement et la société, mais également d’identifier les mesures susceptibles d’être prises pour garantir que les impacts soient aussi faibles que possible d’un point de vue technique et financier.</w:t>
      </w:r>
    </w:p>
    <w:p w14:paraId="32E62E5E" w14:textId="77777777" w:rsidR="00EF179A" w:rsidRDefault="00EF179A" w:rsidP="00EF179A">
      <w:r w:rsidRPr="00EF179A">
        <w:t xml:space="preserve">Pour les impacts initialement évalués comme étant de sévérité Majeure, une modification de l’avant-projet est généralement nécessaire pour les éviter, les réduire ou les atténuer, et leur sévérité devra ensuite être de nouveau évaluée. Pour les impacts jugés de sévérité Modérée, en fonction des besoins, les mesures d’atténuation envisagées, celles retenues et le motif de leur sélection (ex : en termes de </w:t>
      </w:r>
      <w:r w:rsidRPr="00EF179A">
        <w:lastRenderedPageBreak/>
        <w:t>faisabilité technique et de bilan coûts/avantages) sont exposés. Les impacts jugés de sévérité Mineure sont habituellement maîtrisés par le biais de bonnes pratiques sectorielles, plans et procédures d’exploitation.</w:t>
      </w:r>
    </w:p>
    <w:p w14:paraId="7D293541" w14:textId="77777777" w:rsidR="005D4DBF" w:rsidRDefault="005D4DBF" w:rsidP="00F045C1">
      <w:pPr>
        <w:pStyle w:val="AltTitle2"/>
      </w:pPr>
      <w:r w:rsidRPr="00553894">
        <w:t>Hiérarchie des mesures d’atténuation</w:t>
      </w:r>
      <w:r>
        <w:t> :</w:t>
      </w:r>
    </w:p>
    <w:p w14:paraId="30ECEEB5" w14:textId="72D0A0F5" w:rsidR="005D4DBF" w:rsidRPr="00553894" w:rsidRDefault="00D25A3E" w:rsidP="005D4DBF">
      <w:pPr>
        <w:keepNext/>
        <w:pBdr>
          <w:top w:val="single" w:sz="12" w:space="1" w:color="auto"/>
          <w:bottom w:val="single" w:sz="12" w:space="1" w:color="auto"/>
        </w:pBdr>
        <w:shd w:val="clear" w:color="auto" w:fill="FFFFFF"/>
        <w:spacing w:before="0" w:after="0"/>
        <w:rPr>
          <w:rFonts w:asciiTheme="minorHAnsi" w:hAnsiTheme="minorHAnsi" w:cstheme="minorHAnsi"/>
          <w:b/>
        </w:rPr>
      </w:pPr>
      <w:r>
        <w:rPr>
          <w:rFonts w:asciiTheme="minorHAnsi" w:hAnsiTheme="minorHAnsi" w:cstheme="minorHAnsi"/>
          <w:b/>
        </w:rPr>
        <w:t>Eviter </w:t>
      </w:r>
    </w:p>
    <w:p w14:paraId="0C8E6568" w14:textId="48BBB8DC" w:rsidR="005D4DBF" w:rsidRPr="00553894" w:rsidRDefault="00D25A3E" w:rsidP="005D4DBF">
      <w:pPr>
        <w:keepNext/>
        <w:pBdr>
          <w:top w:val="single" w:sz="12" w:space="1" w:color="auto"/>
          <w:bottom w:val="single" w:sz="12" w:space="1" w:color="auto"/>
        </w:pBdr>
        <w:shd w:val="clear" w:color="auto" w:fill="FFFFFF"/>
        <w:spacing w:before="0" w:after="0"/>
        <w:rPr>
          <w:rFonts w:asciiTheme="minorHAnsi" w:hAnsiTheme="minorHAnsi" w:cstheme="minorHAnsi"/>
        </w:rPr>
      </w:pPr>
      <w:r w:rsidRPr="00D25A3E">
        <w:rPr>
          <w:rFonts w:asciiTheme="minorHAnsi" w:hAnsiTheme="minorHAnsi" w:cstheme="minorHAnsi"/>
        </w:rPr>
        <w:t>Privilégier l’anticipation et l’évitement des risques ainsi que des impacts négatifs.</w:t>
      </w:r>
    </w:p>
    <w:p w14:paraId="4DD4FD7A" w14:textId="64AFB273" w:rsidR="005D4DBF" w:rsidRPr="00553894" w:rsidRDefault="00B529E1" w:rsidP="00E345D5">
      <w:pPr>
        <w:pBdr>
          <w:top w:val="single" w:sz="12" w:space="1" w:color="auto"/>
          <w:bottom w:val="single" w:sz="12" w:space="1" w:color="auto"/>
        </w:pBdr>
        <w:shd w:val="clear" w:color="auto" w:fill="D9E2F3" w:themeFill="accent1" w:themeFillTint="33"/>
        <w:spacing w:before="0" w:after="0"/>
        <w:rPr>
          <w:rFonts w:asciiTheme="minorHAnsi" w:hAnsiTheme="minorHAnsi" w:cstheme="minorHAnsi"/>
          <w:b/>
        </w:rPr>
      </w:pPr>
      <w:r>
        <w:rPr>
          <w:rFonts w:asciiTheme="minorHAnsi" w:hAnsiTheme="minorHAnsi" w:cstheme="minorHAnsi"/>
          <w:b/>
        </w:rPr>
        <w:t>Réduire</w:t>
      </w:r>
    </w:p>
    <w:p w14:paraId="7F0D2215" w14:textId="435DE083" w:rsidR="005D4DBF" w:rsidRPr="00553894" w:rsidRDefault="00B529E1" w:rsidP="00E345D5">
      <w:pPr>
        <w:pBdr>
          <w:top w:val="single" w:sz="12" w:space="1" w:color="auto"/>
          <w:bottom w:val="single" w:sz="12" w:space="1" w:color="auto"/>
        </w:pBdr>
        <w:shd w:val="clear" w:color="auto" w:fill="D9E2F3" w:themeFill="accent1" w:themeFillTint="33"/>
        <w:spacing w:before="0" w:after="0"/>
        <w:rPr>
          <w:rFonts w:asciiTheme="minorHAnsi" w:hAnsiTheme="minorHAnsi" w:cstheme="minorHAnsi"/>
        </w:rPr>
      </w:pPr>
      <w:r w:rsidRPr="00B529E1">
        <w:rPr>
          <w:rFonts w:asciiTheme="minorHAnsi" w:hAnsiTheme="minorHAnsi" w:cstheme="minorHAnsi"/>
        </w:rPr>
        <w:t xml:space="preserve">Lorsque l’évitement n’est pas possible, veiller à limiter les risques et impacts à un </w:t>
      </w:r>
      <w:r>
        <w:rPr>
          <w:rFonts w:asciiTheme="minorHAnsi" w:hAnsiTheme="minorHAnsi" w:cstheme="minorHAnsi"/>
        </w:rPr>
        <w:t>niveau</w:t>
      </w:r>
      <w:r w:rsidRPr="00B529E1">
        <w:rPr>
          <w:rFonts w:asciiTheme="minorHAnsi" w:hAnsiTheme="minorHAnsi" w:cstheme="minorHAnsi"/>
        </w:rPr>
        <w:t xml:space="preserve"> jugé acceptable.</w:t>
      </w:r>
    </w:p>
    <w:p w14:paraId="35E18DFE" w14:textId="037AC94D" w:rsidR="005D4DBF" w:rsidRPr="00553894" w:rsidRDefault="00B529E1" w:rsidP="00E345D5">
      <w:pPr>
        <w:pBdr>
          <w:top w:val="single" w:sz="12" w:space="1" w:color="auto"/>
          <w:bottom w:val="single" w:sz="12" w:space="1" w:color="auto"/>
        </w:pBdr>
        <w:shd w:val="clear" w:color="auto" w:fill="B4C6E7" w:themeFill="accent1" w:themeFillTint="66"/>
        <w:spacing w:before="0" w:after="0"/>
        <w:rPr>
          <w:rFonts w:asciiTheme="minorHAnsi" w:hAnsiTheme="minorHAnsi" w:cstheme="minorHAnsi"/>
          <w:b/>
        </w:rPr>
      </w:pPr>
      <w:r>
        <w:rPr>
          <w:rFonts w:asciiTheme="minorHAnsi" w:hAnsiTheme="minorHAnsi" w:cstheme="minorHAnsi"/>
          <w:b/>
        </w:rPr>
        <w:t>Atténuer</w:t>
      </w:r>
    </w:p>
    <w:p w14:paraId="2911279C" w14:textId="18893BEF" w:rsidR="005D4DBF" w:rsidRPr="00553894" w:rsidRDefault="00B529E1" w:rsidP="00E345D5">
      <w:pPr>
        <w:pBdr>
          <w:top w:val="single" w:sz="12" w:space="1" w:color="auto"/>
          <w:bottom w:val="single" w:sz="12" w:space="1" w:color="auto"/>
        </w:pBdr>
        <w:shd w:val="clear" w:color="auto" w:fill="B4C6E7" w:themeFill="accent1" w:themeFillTint="66"/>
        <w:spacing w:before="0" w:after="0"/>
        <w:rPr>
          <w:rFonts w:asciiTheme="minorHAnsi" w:hAnsiTheme="minorHAnsi" w:cstheme="minorHAnsi"/>
        </w:rPr>
      </w:pPr>
      <w:r w:rsidRPr="00B529E1">
        <w:rPr>
          <w:rFonts w:asciiTheme="minorHAnsi" w:hAnsiTheme="minorHAnsi" w:cstheme="minorHAnsi"/>
        </w:rPr>
        <w:t>Après réduction, mettre en œuvre des mesures d’atténuation appropriées pour en limiter les effets.</w:t>
      </w:r>
    </w:p>
    <w:p w14:paraId="12295973" w14:textId="63CCF2B3" w:rsidR="005D4DBF" w:rsidRPr="00553894" w:rsidRDefault="00B529E1" w:rsidP="00E345D5">
      <w:pPr>
        <w:pBdr>
          <w:top w:val="single" w:sz="12" w:space="1" w:color="auto"/>
          <w:bottom w:val="single" w:sz="12" w:space="1" w:color="auto"/>
        </w:pBdr>
        <w:shd w:val="clear" w:color="auto" w:fill="2F5496" w:themeFill="accent1" w:themeFillShade="BF"/>
        <w:spacing w:before="0" w:after="0"/>
        <w:rPr>
          <w:rFonts w:asciiTheme="minorHAnsi" w:hAnsiTheme="minorHAnsi" w:cstheme="minorHAnsi"/>
          <w:b/>
          <w:color w:val="FFFFFF" w:themeColor="background1"/>
        </w:rPr>
      </w:pPr>
      <w:r>
        <w:rPr>
          <w:rFonts w:asciiTheme="minorHAnsi" w:hAnsiTheme="minorHAnsi" w:cstheme="minorHAnsi"/>
          <w:b/>
          <w:color w:val="FFFFFF" w:themeColor="background1"/>
        </w:rPr>
        <w:t>Compenser</w:t>
      </w:r>
    </w:p>
    <w:p w14:paraId="57595915" w14:textId="4887A3AE" w:rsidR="005D4DBF" w:rsidRPr="00553894" w:rsidRDefault="00B529E1" w:rsidP="00E345D5">
      <w:pPr>
        <w:pBdr>
          <w:top w:val="single" w:sz="12" w:space="1" w:color="auto"/>
          <w:bottom w:val="single" w:sz="12" w:space="1" w:color="auto"/>
        </w:pBdr>
        <w:shd w:val="clear" w:color="auto" w:fill="2F5496" w:themeFill="accent1" w:themeFillShade="BF"/>
        <w:spacing w:before="0" w:after="0"/>
        <w:rPr>
          <w:rFonts w:asciiTheme="minorHAnsi" w:hAnsiTheme="minorHAnsi" w:cstheme="minorHAnsi"/>
          <w:color w:val="FFFFFF" w:themeColor="background1"/>
        </w:rPr>
      </w:pPr>
      <w:r>
        <w:rPr>
          <w:rFonts w:asciiTheme="minorHAnsi" w:hAnsiTheme="minorHAnsi" w:cstheme="minorHAnsi"/>
          <w:color w:val="FFFFFF" w:themeColor="background1"/>
        </w:rPr>
        <w:t>S</w:t>
      </w:r>
      <w:r w:rsidRPr="00B529E1">
        <w:rPr>
          <w:rFonts w:asciiTheme="minorHAnsi" w:hAnsiTheme="minorHAnsi" w:cstheme="minorHAnsi"/>
          <w:color w:val="FFFFFF" w:themeColor="background1"/>
        </w:rPr>
        <w:t>i des impacts résiduels significatifs demeurent, prévoir des actions de compensation ; et, lorsqu’il s’agit de pertes en biodiversité ou d’habitats, appliquer des mesures compensatoires adaptées, dans la mesure où elles sont techniquement et financièrement réalisables.</w:t>
      </w:r>
      <w:r w:rsidR="005D4DBF" w:rsidRPr="00553894">
        <w:rPr>
          <w:rFonts w:asciiTheme="minorHAnsi" w:hAnsiTheme="minorHAnsi" w:cstheme="minorHAnsi"/>
          <w:color w:val="FFFFFF" w:themeColor="background1"/>
        </w:rPr>
        <w:t xml:space="preserve"> </w:t>
      </w:r>
    </w:p>
    <w:p w14:paraId="5EB99002" w14:textId="77777777" w:rsidR="00144842" w:rsidRPr="00046D4C" w:rsidRDefault="00144842" w:rsidP="00144842">
      <w:pPr>
        <w:pStyle w:val="Title3"/>
      </w:pPr>
      <w:bookmarkStart w:id="380" w:name="_Toc422997979"/>
      <w:bookmarkStart w:id="381" w:name="_Toc35870220"/>
      <w:bookmarkStart w:id="382" w:name="_Toc48653494"/>
      <w:bookmarkStart w:id="383" w:name="_Toc57124387"/>
      <w:bookmarkStart w:id="384" w:name="_Toc181619027"/>
      <w:bookmarkStart w:id="385" w:name="_Toc215131870"/>
      <w:r w:rsidRPr="003850BA">
        <w:t>Sévérité</w:t>
      </w:r>
      <w:r w:rsidRPr="00046D4C">
        <w:t xml:space="preserve"> des impacts résiduels</w:t>
      </w:r>
      <w:bookmarkEnd w:id="380"/>
      <w:bookmarkEnd w:id="381"/>
      <w:bookmarkEnd w:id="382"/>
      <w:bookmarkEnd w:id="383"/>
      <w:bookmarkEnd w:id="384"/>
      <w:bookmarkEnd w:id="385"/>
    </w:p>
    <w:p w14:paraId="0FD6869A" w14:textId="77777777" w:rsidR="00144842" w:rsidRDefault="00144842" w:rsidP="00144842">
      <w:r w:rsidRPr="00046D4C">
        <w:t>Le degré de sévérité attribué aux impacts résiduels indique le niveau d’importance qui doit être associé à chaque impact, dans le cadre du processus de décision du Projet.</w:t>
      </w:r>
    </w:p>
    <w:p w14:paraId="33F68EAC" w14:textId="77777777" w:rsidR="00144842" w:rsidRPr="003850BA" w:rsidRDefault="00144842" w:rsidP="004637C7">
      <w:pPr>
        <w:pStyle w:val="AltTitle2"/>
      </w:pPr>
      <w:r w:rsidRPr="003850BA">
        <w:t>Poids des impacts résiduels dans le processus de décision :</w:t>
      </w:r>
    </w:p>
    <w:p w14:paraId="14CC3654" w14:textId="77777777" w:rsidR="00144842" w:rsidRPr="00046D4C" w:rsidRDefault="00144842">
      <w:pPr>
        <w:pStyle w:val="Listadevietas"/>
        <w:spacing w:before="100" w:beforeAutospacing="1" w:after="100" w:afterAutospacing="1" w:line="276" w:lineRule="auto"/>
      </w:pPr>
      <w:r w:rsidRPr="00046D4C">
        <w:t xml:space="preserve">Les impacts résiduels de sévérité </w:t>
      </w:r>
      <w:r w:rsidRPr="00046D4C">
        <w:rPr>
          <w:b/>
          <w:i/>
        </w:rPr>
        <w:t>Majeure</w:t>
      </w:r>
      <w:r w:rsidRPr="00046D4C">
        <w:t>, qu’ils soient positifs ou négatifs, sont jugés comme ayant un poids substantiel, par rapport à d’autres coûts et avantages environnementaux, sociaux et économiques ; des conditions devront être imposées pour maîtriser et, le cas échéant, surveiller les impacts négatifs et fournir des bénéfices.</w:t>
      </w:r>
    </w:p>
    <w:p w14:paraId="794CDFD2" w14:textId="77777777" w:rsidR="00144842" w:rsidRPr="00046D4C" w:rsidRDefault="00144842">
      <w:pPr>
        <w:pStyle w:val="Listadevietas"/>
        <w:spacing w:before="100" w:beforeAutospacing="1" w:after="100" w:afterAutospacing="1" w:line="276" w:lineRule="auto"/>
      </w:pPr>
      <w:r w:rsidRPr="00046D4C">
        <w:t xml:space="preserve">Les impacts résiduels de sévérité </w:t>
      </w:r>
      <w:r w:rsidRPr="00046D4C">
        <w:rPr>
          <w:b/>
          <w:i/>
        </w:rPr>
        <w:t xml:space="preserve">Modérée </w:t>
      </w:r>
      <w:r w:rsidRPr="00046D4C">
        <w:t>sont considérés comme ayant une importance réduite dans le processus de décision, mais demandant une attention particulière concernant l’atténuation et le suivi, afin de s’assurer que des mesures d’atténuation adaptées (d’un point de vue technique et financier) sont mises en œuvre et des bénéfices sont obtenus.</w:t>
      </w:r>
    </w:p>
    <w:p w14:paraId="15337B0B" w14:textId="77777777" w:rsidR="00144842" w:rsidRPr="00046D4C" w:rsidRDefault="00144842">
      <w:pPr>
        <w:pStyle w:val="Listadevietas"/>
        <w:spacing w:before="100" w:beforeAutospacing="1" w:after="100" w:afterAutospacing="1" w:line="276" w:lineRule="auto"/>
      </w:pPr>
      <w:r w:rsidRPr="00046D4C">
        <w:t xml:space="preserve">Les impacts résiduels de sévérité </w:t>
      </w:r>
      <w:r w:rsidRPr="00046D4C">
        <w:rPr>
          <w:b/>
          <w:i/>
        </w:rPr>
        <w:t>Mineure</w:t>
      </w:r>
      <w:r w:rsidRPr="00046D4C">
        <w:t xml:space="preserve"> sont portés à l’attention des décideurs, mais identifiés comme ayant peu, voire aucun poids dans le processus de décision ; ils seront atténués à l’aide de bonnes pratiques, et un suivi pourra être requis pour confirmer que les impacts sont tels que prédits.</w:t>
      </w:r>
    </w:p>
    <w:p w14:paraId="7304234B" w14:textId="77777777" w:rsidR="00144842" w:rsidRDefault="00144842">
      <w:pPr>
        <w:pStyle w:val="Listadevietas"/>
        <w:spacing w:before="100" w:beforeAutospacing="1" w:after="100" w:afterAutospacing="1" w:line="276" w:lineRule="auto"/>
      </w:pPr>
      <w:r w:rsidRPr="00046D4C">
        <w:t xml:space="preserve">Les impacts résiduels de sévérité </w:t>
      </w:r>
      <w:r w:rsidRPr="00046D4C">
        <w:rPr>
          <w:b/>
          <w:i/>
        </w:rPr>
        <w:t>Négligeable</w:t>
      </w:r>
      <w:r w:rsidRPr="00046D4C">
        <w:t xml:space="preserve"> n’ont aucun impact dans le processus de décision et ne demandent pas d’attention particulière concernant l’atténuation et le suivi. </w:t>
      </w:r>
    </w:p>
    <w:p w14:paraId="69D9CB55" w14:textId="77777777" w:rsidR="00B635F4" w:rsidRDefault="00B635F4" w:rsidP="00B635F4">
      <w:pPr>
        <w:pStyle w:val="Listadevietas"/>
        <w:numPr>
          <w:ilvl w:val="0"/>
          <w:numId w:val="0"/>
        </w:numPr>
        <w:spacing w:before="100" w:beforeAutospacing="1" w:after="100" w:afterAutospacing="1" w:line="276" w:lineRule="auto"/>
        <w:ind w:left="1212" w:hanging="360"/>
      </w:pPr>
    </w:p>
    <w:p w14:paraId="04030E4A" w14:textId="77777777" w:rsidR="00B635F4" w:rsidRDefault="00B635F4" w:rsidP="00B635F4">
      <w:pPr>
        <w:pStyle w:val="Listadevietas"/>
        <w:numPr>
          <w:ilvl w:val="0"/>
          <w:numId w:val="0"/>
        </w:numPr>
        <w:spacing w:before="100" w:beforeAutospacing="1" w:after="100" w:afterAutospacing="1" w:line="276" w:lineRule="auto"/>
        <w:ind w:left="1212" w:hanging="360"/>
      </w:pPr>
    </w:p>
    <w:p w14:paraId="576C104A" w14:textId="77777777" w:rsidR="00B635F4" w:rsidRDefault="00B635F4" w:rsidP="00B635F4">
      <w:pPr>
        <w:pStyle w:val="Listadevietas"/>
        <w:numPr>
          <w:ilvl w:val="0"/>
          <w:numId w:val="0"/>
        </w:numPr>
        <w:spacing w:before="100" w:beforeAutospacing="1" w:after="100" w:afterAutospacing="1" w:line="276" w:lineRule="auto"/>
        <w:ind w:left="1212" w:hanging="360"/>
      </w:pPr>
    </w:p>
    <w:p w14:paraId="13139533" w14:textId="44EBE61A" w:rsidR="009F7694" w:rsidRDefault="009F7694" w:rsidP="00086FE1">
      <w:pPr>
        <w:pStyle w:val="Title3"/>
      </w:pPr>
      <w:bookmarkStart w:id="386" w:name="_Toc215131871"/>
      <w:r>
        <w:lastRenderedPageBreak/>
        <w:t>Analyse des risques</w:t>
      </w:r>
      <w:bookmarkEnd w:id="386"/>
    </w:p>
    <w:p w14:paraId="459DC002" w14:textId="75402025" w:rsidR="009F7694" w:rsidRDefault="009F7694" w:rsidP="009F7694">
      <w:r w:rsidRPr="009F7694">
        <w:t>En complément de l’évaluation des impacts certains, une analyse des risques est réalisée.</w:t>
      </w:r>
      <w:r>
        <w:t xml:space="preserve"> </w:t>
      </w:r>
      <w:r w:rsidRPr="009F7694">
        <w:t xml:space="preserve">Contrairement aux impacts, qui correspondent à des effets certains et prévisibles du projet, les </w:t>
      </w:r>
      <w:r w:rsidRPr="004637C7">
        <w:t>risques</w:t>
      </w:r>
      <w:r w:rsidRPr="009F7694">
        <w:t xml:space="preserve"> se réfèrent à des événements </w:t>
      </w:r>
      <w:r w:rsidRPr="004637C7">
        <w:t>incertains, accidentels ou imprévus</w:t>
      </w:r>
      <w:r w:rsidRPr="009F7694">
        <w:t xml:space="preserve"> pouvant avoir des conséquences négatives sur l’environnement, la santé, la sécurité ou les communautés. Leur analyse vise à anticiper ces scénarios, à en mesurer la gravité potentielle et à mettre en place des mesures de prévention et de gestion adaptées.</w:t>
      </w:r>
    </w:p>
    <w:p w14:paraId="35DE1220" w14:textId="77777777" w:rsidR="009F7694" w:rsidRPr="009F7694" w:rsidRDefault="009F7694" w:rsidP="004637C7">
      <w:pPr>
        <w:pStyle w:val="AltTitle2"/>
      </w:pPr>
      <w:r w:rsidRPr="009F7694">
        <w:t>Critères d’évaluation des risques</w:t>
      </w:r>
    </w:p>
    <w:p w14:paraId="16444F9D" w14:textId="77777777" w:rsidR="009F7694" w:rsidRPr="004637C7" w:rsidRDefault="009F7694" w:rsidP="004637C7">
      <w:pPr>
        <w:pStyle w:val="Puce4"/>
        <w:rPr>
          <w:szCs w:val="28"/>
          <w:u w:val="single"/>
        </w:rPr>
      </w:pPr>
      <w:r w:rsidRPr="004637C7">
        <w:rPr>
          <w:sz w:val="22"/>
          <w:szCs w:val="28"/>
          <w:u w:val="single"/>
        </w:rPr>
        <w:t>Probabilité d’occurrence</w:t>
      </w:r>
    </w:p>
    <w:p w14:paraId="236A177D" w14:textId="50B04B44" w:rsidR="009F7694" w:rsidRPr="009F7694" w:rsidRDefault="009F7694" w:rsidP="004637C7">
      <w:r w:rsidRPr="009F7694">
        <w:t>Elle traduit la vraisemblance qu’un risque survienne au cours du cycle de vie du projet.</w:t>
      </w:r>
    </w:p>
    <w:p w14:paraId="3813E34A" w14:textId="77777777" w:rsidR="009F7694" w:rsidRPr="009F7694" w:rsidRDefault="009F7694" w:rsidP="004637C7">
      <w:pPr>
        <w:pStyle w:val="Listadevietas"/>
        <w:spacing w:before="100" w:beforeAutospacing="1" w:after="100" w:afterAutospacing="1" w:line="276" w:lineRule="auto"/>
      </w:pPr>
      <w:r w:rsidRPr="009F7694">
        <w:rPr>
          <w:b/>
          <w:bCs/>
        </w:rPr>
        <w:t>Rare</w:t>
      </w:r>
      <w:r w:rsidRPr="004637C7">
        <w:rPr>
          <w:b/>
          <w:bCs/>
        </w:rPr>
        <w:t xml:space="preserve"> :</w:t>
      </w:r>
      <w:r w:rsidRPr="009F7694">
        <w:t xml:space="preserve"> situation très improbable, ne se produisant qu’exceptionnellement.</w:t>
      </w:r>
    </w:p>
    <w:p w14:paraId="6E034F4B" w14:textId="77777777" w:rsidR="009F7694" w:rsidRPr="009F7694" w:rsidRDefault="009F7694" w:rsidP="004637C7">
      <w:pPr>
        <w:pStyle w:val="Listadevietas"/>
        <w:spacing w:before="100" w:beforeAutospacing="1" w:after="100" w:afterAutospacing="1" w:line="276" w:lineRule="auto"/>
      </w:pPr>
      <w:r w:rsidRPr="009F7694">
        <w:rPr>
          <w:b/>
          <w:bCs/>
        </w:rPr>
        <w:t>Occasionnelle</w:t>
      </w:r>
      <w:r w:rsidRPr="004637C7">
        <w:rPr>
          <w:b/>
          <w:bCs/>
        </w:rPr>
        <w:t xml:space="preserve"> : </w:t>
      </w:r>
      <w:r w:rsidRPr="009F7694">
        <w:t>peut se produire dans certaines conditions particulières.</w:t>
      </w:r>
    </w:p>
    <w:p w14:paraId="1005E00B" w14:textId="77777777" w:rsidR="009F7694" w:rsidRPr="009F7694" w:rsidRDefault="009F7694" w:rsidP="004637C7">
      <w:pPr>
        <w:pStyle w:val="Listadevietas"/>
        <w:spacing w:before="100" w:beforeAutospacing="1" w:after="100" w:afterAutospacing="1" w:line="276" w:lineRule="auto"/>
      </w:pPr>
      <w:r w:rsidRPr="009F7694">
        <w:rPr>
          <w:b/>
          <w:bCs/>
        </w:rPr>
        <w:t>Probable</w:t>
      </w:r>
      <w:r w:rsidRPr="004637C7">
        <w:rPr>
          <w:b/>
          <w:bCs/>
        </w:rPr>
        <w:t xml:space="preserve"> :</w:t>
      </w:r>
      <w:r w:rsidRPr="009F7694">
        <w:t xml:space="preserve"> susceptible de se produire plusieurs fois pendant le projet.</w:t>
      </w:r>
    </w:p>
    <w:p w14:paraId="4C70B9C5" w14:textId="77777777" w:rsidR="009F7694" w:rsidRPr="009F7694" w:rsidRDefault="009F7694" w:rsidP="004637C7">
      <w:pPr>
        <w:pStyle w:val="Listadevietas"/>
        <w:spacing w:before="100" w:beforeAutospacing="1" w:after="100" w:afterAutospacing="1" w:line="276" w:lineRule="auto"/>
      </w:pPr>
      <w:r w:rsidRPr="009F7694">
        <w:rPr>
          <w:b/>
          <w:bCs/>
        </w:rPr>
        <w:t>Très probable</w:t>
      </w:r>
      <w:r w:rsidRPr="004637C7">
        <w:rPr>
          <w:b/>
          <w:bCs/>
        </w:rPr>
        <w:t xml:space="preserve"> :</w:t>
      </w:r>
      <w:r w:rsidRPr="009F7694">
        <w:t xml:space="preserve"> risque quasi certain ou récurrent dans le contexte du projet.</w:t>
      </w:r>
    </w:p>
    <w:p w14:paraId="69D3C371" w14:textId="77777777" w:rsidR="009F7694" w:rsidRPr="004637C7" w:rsidRDefault="009F7694" w:rsidP="004637C7">
      <w:pPr>
        <w:pStyle w:val="Puce4"/>
        <w:rPr>
          <w:szCs w:val="28"/>
          <w:u w:val="single"/>
        </w:rPr>
      </w:pPr>
      <w:r w:rsidRPr="004637C7">
        <w:rPr>
          <w:sz w:val="22"/>
          <w:szCs w:val="28"/>
          <w:u w:val="single"/>
        </w:rPr>
        <w:t>Gravité des conséquences</w:t>
      </w:r>
    </w:p>
    <w:p w14:paraId="1B93A81D" w14:textId="406E7D90" w:rsidR="009F7694" w:rsidRPr="009F7694" w:rsidRDefault="009F7694" w:rsidP="004637C7">
      <w:r w:rsidRPr="009F7694">
        <w:t>Elle reflète l’ampleur des dommages potentiels si le risque se matérialise.</w:t>
      </w:r>
    </w:p>
    <w:p w14:paraId="0AA52972" w14:textId="24BBA1DF" w:rsidR="009F7694" w:rsidRPr="009F7694" w:rsidRDefault="009F7694" w:rsidP="004637C7">
      <w:pPr>
        <w:pStyle w:val="Listadevietas"/>
        <w:spacing w:before="100" w:beforeAutospacing="1" w:after="100" w:afterAutospacing="1" w:line="276" w:lineRule="auto"/>
      </w:pPr>
      <w:r w:rsidRPr="009F7694">
        <w:rPr>
          <w:b/>
          <w:bCs/>
          <w:lang w:bidi="en-US"/>
        </w:rPr>
        <w:t>Mineure</w:t>
      </w:r>
      <w:r w:rsidRPr="009F7694">
        <w:rPr>
          <w:lang w:bidi="en-US"/>
        </w:rPr>
        <w:t xml:space="preserve"> : </w:t>
      </w:r>
      <w:r>
        <w:rPr>
          <w:lang w:bidi="en-US"/>
        </w:rPr>
        <w:t>risque</w:t>
      </w:r>
      <w:r w:rsidRPr="009F7694">
        <w:rPr>
          <w:lang w:bidi="en-US"/>
        </w:rPr>
        <w:t xml:space="preserve"> limité, facilement maîtrisable, sans conséquence durable.</w:t>
      </w:r>
    </w:p>
    <w:p w14:paraId="7D33A3C5" w14:textId="2CC01BAD" w:rsidR="009F7694" w:rsidRPr="009F7694" w:rsidRDefault="009F7694" w:rsidP="004637C7">
      <w:pPr>
        <w:pStyle w:val="Listadevietas"/>
        <w:spacing w:before="100" w:beforeAutospacing="1" w:after="100" w:afterAutospacing="1" w:line="276" w:lineRule="auto"/>
      </w:pPr>
      <w:r w:rsidRPr="009F7694">
        <w:rPr>
          <w:b/>
          <w:bCs/>
          <w:lang w:bidi="en-US"/>
        </w:rPr>
        <w:t>Modérée</w:t>
      </w:r>
      <w:r w:rsidRPr="009F7694">
        <w:rPr>
          <w:lang w:bidi="en-US"/>
        </w:rPr>
        <w:t xml:space="preserve"> : </w:t>
      </w:r>
      <w:r>
        <w:rPr>
          <w:lang w:bidi="en-US"/>
        </w:rPr>
        <w:t>risque</w:t>
      </w:r>
      <w:r w:rsidRPr="009F7694">
        <w:rPr>
          <w:lang w:bidi="en-US"/>
        </w:rPr>
        <w:t xml:space="preserve"> gérable, nécessitant des mesures correctives mais sans atteinte majeure aux récepteurs.</w:t>
      </w:r>
    </w:p>
    <w:p w14:paraId="411EC6F6" w14:textId="77777777" w:rsidR="009F7694" w:rsidRPr="009F7694" w:rsidRDefault="009F7694" w:rsidP="004637C7">
      <w:pPr>
        <w:pStyle w:val="Listadevietas"/>
        <w:spacing w:before="100" w:beforeAutospacing="1" w:after="100" w:afterAutospacing="1" w:line="276" w:lineRule="auto"/>
      </w:pPr>
      <w:r w:rsidRPr="009F7694">
        <w:rPr>
          <w:b/>
          <w:bCs/>
          <w:lang w:bidi="en-US"/>
        </w:rPr>
        <w:t>Majeure</w:t>
      </w:r>
      <w:r w:rsidRPr="009F7694">
        <w:rPr>
          <w:lang w:bidi="en-US"/>
        </w:rPr>
        <w:t xml:space="preserve"> : dommages importants pour l’environnement, la santé ou la sécurité, nécessitant des actions lourdes.</w:t>
      </w:r>
    </w:p>
    <w:p w14:paraId="54C391B9" w14:textId="77777777" w:rsidR="009F7694" w:rsidRPr="009F7694" w:rsidRDefault="009F7694" w:rsidP="004637C7">
      <w:pPr>
        <w:pStyle w:val="Listadevietas"/>
        <w:spacing w:before="100" w:beforeAutospacing="1" w:after="100" w:afterAutospacing="1" w:line="276" w:lineRule="auto"/>
      </w:pPr>
      <w:r w:rsidRPr="009F7694">
        <w:rPr>
          <w:b/>
          <w:bCs/>
          <w:lang w:bidi="en-US"/>
        </w:rPr>
        <w:t>Catastrophique</w:t>
      </w:r>
      <w:r w:rsidRPr="009F7694">
        <w:rPr>
          <w:lang w:bidi="en-US"/>
        </w:rPr>
        <w:t xml:space="preserve"> : effets très graves, irréversibles ou mettant en danger des vies humaines ou des écosystèmes entiers.</w:t>
      </w:r>
    </w:p>
    <w:p w14:paraId="05128982" w14:textId="1758C7E4" w:rsidR="009F7694" w:rsidRDefault="00F045C1" w:rsidP="004637C7">
      <w:pPr>
        <w:pStyle w:val="AltTitle2"/>
      </w:pPr>
      <w:r w:rsidRPr="00F045C1">
        <w:t>Matrice de criticité des risques</w:t>
      </w:r>
    </w:p>
    <w:tbl>
      <w:tblPr>
        <w:tblStyle w:val="TableauGrille1Clair-Accentuation111"/>
        <w:tblW w:w="0" w:type="auto"/>
        <w:tblLook w:val="04A0" w:firstRow="1" w:lastRow="0" w:firstColumn="1" w:lastColumn="0" w:noHBand="0" w:noVBand="1"/>
      </w:tblPr>
      <w:tblGrid>
        <w:gridCol w:w="2372"/>
        <w:gridCol w:w="867"/>
        <w:gridCol w:w="1369"/>
        <w:gridCol w:w="965"/>
        <w:gridCol w:w="1361"/>
      </w:tblGrid>
      <w:tr w:rsidR="00110372" w:rsidRPr="00F045C1" w14:paraId="7FE4AE3B" w14:textId="77777777" w:rsidTr="003E62F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3EBE7B4F" w14:textId="77777777" w:rsidR="00F045C1" w:rsidRPr="00F045C1" w:rsidRDefault="00F045C1" w:rsidP="00F045C1">
            <w:pPr>
              <w:rPr>
                <w:b w:val="0"/>
                <w:bCs w:val="0"/>
              </w:rPr>
            </w:pPr>
            <w:r w:rsidRPr="00F045C1">
              <w:t>Gravité ↓ / Probabilité →</w:t>
            </w:r>
          </w:p>
        </w:tc>
        <w:tc>
          <w:tcPr>
            <w:tcW w:w="0" w:type="auto"/>
            <w:hideMark/>
          </w:tcPr>
          <w:p w14:paraId="2C8D67A2" w14:textId="77777777" w:rsidR="00F045C1" w:rsidRPr="00F045C1" w:rsidRDefault="00F045C1" w:rsidP="00F045C1">
            <w:pPr>
              <w:cnfStyle w:val="100000000000" w:firstRow="1" w:lastRow="0" w:firstColumn="0" w:lastColumn="0" w:oddVBand="0" w:evenVBand="0" w:oddHBand="0" w:evenHBand="0" w:firstRowFirstColumn="0" w:firstRowLastColumn="0" w:lastRowFirstColumn="0" w:lastRowLastColumn="0"/>
              <w:rPr>
                <w:b w:val="0"/>
                <w:bCs w:val="0"/>
              </w:rPr>
            </w:pPr>
            <w:r w:rsidRPr="00F045C1">
              <w:t>Rare</w:t>
            </w:r>
          </w:p>
        </w:tc>
        <w:tc>
          <w:tcPr>
            <w:tcW w:w="0" w:type="auto"/>
            <w:hideMark/>
          </w:tcPr>
          <w:p w14:paraId="47CD74D6" w14:textId="77777777" w:rsidR="00F045C1" w:rsidRPr="00F045C1" w:rsidRDefault="00F045C1" w:rsidP="00F045C1">
            <w:pPr>
              <w:cnfStyle w:val="100000000000" w:firstRow="1" w:lastRow="0" w:firstColumn="0" w:lastColumn="0" w:oddVBand="0" w:evenVBand="0" w:oddHBand="0" w:evenHBand="0" w:firstRowFirstColumn="0" w:firstRowLastColumn="0" w:lastRowFirstColumn="0" w:lastRowLastColumn="0"/>
              <w:rPr>
                <w:b w:val="0"/>
                <w:bCs w:val="0"/>
              </w:rPr>
            </w:pPr>
            <w:r w:rsidRPr="00F045C1">
              <w:t>Occasionnelle</w:t>
            </w:r>
          </w:p>
        </w:tc>
        <w:tc>
          <w:tcPr>
            <w:tcW w:w="0" w:type="auto"/>
            <w:hideMark/>
          </w:tcPr>
          <w:p w14:paraId="30081E6B" w14:textId="77777777" w:rsidR="00F045C1" w:rsidRPr="00F045C1" w:rsidRDefault="00F045C1" w:rsidP="00F045C1">
            <w:pPr>
              <w:cnfStyle w:val="100000000000" w:firstRow="1" w:lastRow="0" w:firstColumn="0" w:lastColumn="0" w:oddVBand="0" w:evenVBand="0" w:oddHBand="0" w:evenHBand="0" w:firstRowFirstColumn="0" w:firstRowLastColumn="0" w:lastRowFirstColumn="0" w:lastRowLastColumn="0"/>
              <w:rPr>
                <w:b w:val="0"/>
                <w:bCs w:val="0"/>
              </w:rPr>
            </w:pPr>
            <w:r w:rsidRPr="00F045C1">
              <w:t>Probable</w:t>
            </w:r>
          </w:p>
        </w:tc>
        <w:tc>
          <w:tcPr>
            <w:tcW w:w="0" w:type="auto"/>
            <w:hideMark/>
          </w:tcPr>
          <w:p w14:paraId="4283BF32" w14:textId="77777777" w:rsidR="00F045C1" w:rsidRPr="00F045C1" w:rsidRDefault="00F045C1" w:rsidP="00F045C1">
            <w:pPr>
              <w:cnfStyle w:val="100000000000" w:firstRow="1" w:lastRow="0" w:firstColumn="0" w:lastColumn="0" w:oddVBand="0" w:evenVBand="0" w:oddHBand="0" w:evenHBand="0" w:firstRowFirstColumn="0" w:firstRowLastColumn="0" w:lastRowFirstColumn="0" w:lastRowLastColumn="0"/>
              <w:rPr>
                <w:b w:val="0"/>
                <w:bCs w:val="0"/>
              </w:rPr>
            </w:pPr>
            <w:r w:rsidRPr="00F045C1">
              <w:t>Très probable</w:t>
            </w:r>
          </w:p>
        </w:tc>
      </w:tr>
      <w:tr w:rsidR="00110372" w:rsidRPr="00F045C1" w14:paraId="015A1CF2" w14:textId="77777777" w:rsidTr="003E62FC">
        <w:tc>
          <w:tcPr>
            <w:cnfStyle w:val="001000000000" w:firstRow="0" w:lastRow="0" w:firstColumn="1" w:lastColumn="0" w:oddVBand="0" w:evenVBand="0" w:oddHBand="0" w:evenHBand="0" w:firstRowFirstColumn="0" w:firstRowLastColumn="0" w:lastRowFirstColumn="0" w:lastRowLastColumn="0"/>
            <w:tcW w:w="0" w:type="auto"/>
            <w:shd w:val="clear" w:color="auto" w:fill="D9E2F3" w:themeFill="accent1" w:themeFillTint="33"/>
            <w:hideMark/>
          </w:tcPr>
          <w:p w14:paraId="7356F9A8" w14:textId="77777777" w:rsidR="00F045C1" w:rsidRPr="00F045C1" w:rsidRDefault="00F045C1" w:rsidP="00F045C1">
            <w:r w:rsidRPr="00F045C1">
              <w:t>Mineure</w:t>
            </w:r>
          </w:p>
        </w:tc>
        <w:tc>
          <w:tcPr>
            <w:tcW w:w="0" w:type="auto"/>
            <w:hideMark/>
          </w:tcPr>
          <w:p w14:paraId="6AB48D67" w14:textId="77777777" w:rsidR="00F045C1" w:rsidRPr="00F045C1" w:rsidRDefault="00F045C1" w:rsidP="00F045C1">
            <w:pPr>
              <w:cnfStyle w:val="000000000000" w:firstRow="0" w:lastRow="0" w:firstColumn="0" w:lastColumn="0" w:oddVBand="0" w:evenVBand="0" w:oddHBand="0" w:evenHBand="0" w:firstRowFirstColumn="0" w:firstRowLastColumn="0" w:lastRowFirstColumn="0" w:lastRowLastColumn="0"/>
            </w:pPr>
            <w:r w:rsidRPr="00F045C1">
              <w:t>Faible</w:t>
            </w:r>
          </w:p>
        </w:tc>
        <w:tc>
          <w:tcPr>
            <w:tcW w:w="0" w:type="auto"/>
            <w:hideMark/>
          </w:tcPr>
          <w:p w14:paraId="2BA18D7F" w14:textId="77777777" w:rsidR="00F045C1" w:rsidRPr="00F045C1" w:rsidRDefault="00F045C1" w:rsidP="00F045C1">
            <w:pPr>
              <w:cnfStyle w:val="000000000000" w:firstRow="0" w:lastRow="0" w:firstColumn="0" w:lastColumn="0" w:oddVBand="0" w:evenVBand="0" w:oddHBand="0" w:evenHBand="0" w:firstRowFirstColumn="0" w:firstRowLastColumn="0" w:lastRowFirstColumn="0" w:lastRowLastColumn="0"/>
            </w:pPr>
            <w:r w:rsidRPr="00F045C1">
              <w:t>Faible</w:t>
            </w:r>
          </w:p>
        </w:tc>
        <w:tc>
          <w:tcPr>
            <w:tcW w:w="0" w:type="auto"/>
            <w:hideMark/>
          </w:tcPr>
          <w:p w14:paraId="6FBE1C3F" w14:textId="77777777" w:rsidR="00F045C1" w:rsidRPr="00F045C1" w:rsidRDefault="00F045C1" w:rsidP="00F045C1">
            <w:pPr>
              <w:cnfStyle w:val="000000000000" w:firstRow="0" w:lastRow="0" w:firstColumn="0" w:lastColumn="0" w:oddVBand="0" w:evenVBand="0" w:oddHBand="0" w:evenHBand="0" w:firstRowFirstColumn="0" w:firstRowLastColumn="0" w:lastRowFirstColumn="0" w:lastRowLastColumn="0"/>
            </w:pPr>
            <w:r w:rsidRPr="00F045C1">
              <w:t>Modéré</w:t>
            </w:r>
          </w:p>
        </w:tc>
        <w:tc>
          <w:tcPr>
            <w:tcW w:w="0" w:type="auto"/>
            <w:hideMark/>
          </w:tcPr>
          <w:p w14:paraId="6B4E984B" w14:textId="77777777" w:rsidR="00F045C1" w:rsidRPr="00F045C1" w:rsidRDefault="00F045C1" w:rsidP="00F045C1">
            <w:pPr>
              <w:cnfStyle w:val="000000000000" w:firstRow="0" w:lastRow="0" w:firstColumn="0" w:lastColumn="0" w:oddVBand="0" w:evenVBand="0" w:oddHBand="0" w:evenHBand="0" w:firstRowFirstColumn="0" w:firstRowLastColumn="0" w:lastRowFirstColumn="0" w:lastRowLastColumn="0"/>
            </w:pPr>
            <w:r w:rsidRPr="00F045C1">
              <w:t>Modéré</w:t>
            </w:r>
          </w:p>
        </w:tc>
      </w:tr>
      <w:tr w:rsidR="00110372" w:rsidRPr="00F045C1" w14:paraId="51B272F8" w14:textId="77777777" w:rsidTr="003E62FC">
        <w:tc>
          <w:tcPr>
            <w:cnfStyle w:val="001000000000" w:firstRow="0" w:lastRow="0" w:firstColumn="1" w:lastColumn="0" w:oddVBand="0" w:evenVBand="0" w:oddHBand="0" w:evenHBand="0" w:firstRowFirstColumn="0" w:firstRowLastColumn="0" w:lastRowFirstColumn="0" w:lastRowLastColumn="0"/>
            <w:tcW w:w="0" w:type="auto"/>
            <w:shd w:val="clear" w:color="auto" w:fill="D9E2F3" w:themeFill="accent1" w:themeFillTint="33"/>
            <w:hideMark/>
          </w:tcPr>
          <w:p w14:paraId="361945E0" w14:textId="77777777" w:rsidR="00F045C1" w:rsidRPr="00F045C1" w:rsidRDefault="00F045C1" w:rsidP="00F045C1">
            <w:r w:rsidRPr="00F045C1">
              <w:t>Modérée</w:t>
            </w:r>
          </w:p>
        </w:tc>
        <w:tc>
          <w:tcPr>
            <w:tcW w:w="0" w:type="auto"/>
            <w:hideMark/>
          </w:tcPr>
          <w:p w14:paraId="029A81D6" w14:textId="77777777" w:rsidR="00F045C1" w:rsidRPr="00F045C1" w:rsidRDefault="00F045C1" w:rsidP="00F045C1">
            <w:pPr>
              <w:cnfStyle w:val="000000000000" w:firstRow="0" w:lastRow="0" w:firstColumn="0" w:lastColumn="0" w:oddVBand="0" w:evenVBand="0" w:oddHBand="0" w:evenHBand="0" w:firstRowFirstColumn="0" w:firstRowLastColumn="0" w:lastRowFirstColumn="0" w:lastRowLastColumn="0"/>
            </w:pPr>
            <w:r w:rsidRPr="00F045C1">
              <w:t>Faible</w:t>
            </w:r>
          </w:p>
        </w:tc>
        <w:tc>
          <w:tcPr>
            <w:tcW w:w="0" w:type="auto"/>
            <w:hideMark/>
          </w:tcPr>
          <w:p w14:paraId="7C73B1F3" w14:textId="77777777" w:rsidR="00F045C1" w:rsidRPr="00F045C1" w:rsidRDefault="00F045C1" w:rsidP="00F045C1">
            <w:pPr>
              <w:cnfStyle w:val="000000000000" w:firstRow="0" w:lastRow="0" w:firstColumn="0" w:lastColumn="0" w:oddVBand="0" w:evenVBand="0" w:oddHBand="0" w:evenHBand="0" w:firstRowFirstColumn="0" w:firstRowLastColumn="0" w:lastRowFirstColumn="0" w:lastRowLastColumn="0"/>
            </w:pPr>
            <w:r w:rsidRPr="00F045C1">
              <w:t>Modéré</w:t>
            </w:r>
          </w:p>
        </w:tc>
        <w:tc>
          <w:tcPr>
            <w:tcW w:w="0" w:type="auto"/>
            <w:hideMark/>
          </w:tcPr>
          <w:p w14:paraId="7D7EB4DB" w14:textId="77777777" w:rsidR="00F045C1" w:rsidRPr="00F045C1" w:rsidRDefault="00F045C1" w:rsidP="00F045C1">
            <w:pPr>
              <w:cnfStyle w:val="000000000000" w:firstRow="0" w:lastRow="0" w:firstColumn="0" w:lastColumn="0" w:oddVBand="0" w:evenVBand="0" w:oddHBand="0" w:evenHBand="0" w:firstRowFirstColumn="0" w:firstRowLastColumn="0" w:lastRowFirstColumn="0" w:lastRowLastColumn="0"/>
            </w:pPr>
            <w:r w:rsidRPr="00F045C1">
              <w:t>Élevé</w:t>
            </w:r>
          </w:p>
        </w:tc>
        <w:tc>
          <w:tcPr>
            <w:tcW w:w="0" w:type="auto"/>
            <w:hideMark/>
          </w:tcPr>
          <w:p w14:paraId="00ED36F7" w14:textId="77777777" w:rsidR="00F045C1" w:rsidRPr="00F045C1" w:rsidRDefault="00F045C1" w:rsidP="00F045C1">
            <w:pPr>
              <w:cnfStyle w:val="000000000000" w:firstRow="0" w:lastRow="0" w:firstColumn="0" w:lastColumn="0" w:oddVBand="0" w:evenVBand="0" w:oddHBand="0" w:evenHBand="0" w:firstRowFirstColumn="0" w:firstRowLastColumn="0" w:lastRowFirstColumn="0" w:lastRowLastColumn="0"/>
            </w:pPr>
            <w:r w:rsidRPr="00F045C1">
              <w:t>Élevé</w:t>
            </w:r>
          </w:p>
        </w:tc>
      </w:tr>
      <w:tr w:rsidR="00110372" w:rsidRPr="00F045C1" w14:paraId="107E4B21" w14:textId="77777777" w:rsidTr="003E62FC">
        <w:tc>
          <w:tcPr>
            <w:cnfStyle w:val="001000000000" w:firstRow="0" w:lastRow="0" w:firstColumn="1" w:lastColumn="0" w:oddVBand="0" w:evenVBand="0" w:oddHBand="0" w:evenHBand="0" w:firstRowFirstColumn="0" w:firstRowLastColumn="0" w:lastRowFirstColumn="0" w:lastRowLastColumn="0"/>
            <w:tcW w:w="0" w:type="auto"/>
            <w:shd w:val="clear" w:color="auto" w:fill="D9E2F3" w:themeFill="accent1" w:themeFillTint="33"/>
            <w:hideMark/>
          </w:tcPr>
          <w:p w14:paraId="00AB381B" w14:textId="77777777" w:rsidR="00F045C1" w:rsidRPr="00F045C1" w:rsidRDefault="00F045C1" w:rsidP="00F045C1">
            <w:r w:rsidRPr="00F045C1">
              <w:t>Majeure</w:t>
            </w:r>
          </w:p>
        </w:tc>
        <w:tc>
          <w:tcPr>
            <w:tcW w:w="0" w:type="auto"/>
            <w:hideMark/>
          </w:tcPr>
          <w:p w14:paraId="4394190C" w14:textId="77777777" w:rsidR="00F045C1" w:rsidRPr="00F045C1" w:rsidRDefault="00F045C1" w:rsidP="00F045C1">
            <w:pPr>
              <w:cnfStyle w:val="000000000000" w:firstRow="0" w:lastRow="0" w:firstColumn="0" w:lastColumn="0" w:oddVBand="0" w:evenVBand="0" w:oddHBand="0" w:evenHBand="0" w:firstRowFirstColumn="0" w:firstRowLastColumn="0" w:lastRowFirstColumn="0" w:lastRowLastColumn="0"/>
            </w:pPr>
            <w:r w:rsidRPr="00F045C1">
              <w:t>Modéré</w:t>
            </w:r>
          </w:p>
        </w:tc>
        <w:tc>
          <w:tcPr>
            <w:tcW w:w="0" w:type="auto"/>
            <w:hideMark/>
          </w:tcPr>
          <w:p w14:paraId="2391AA28" w14:textId="2EEA8E40" w:rsidR="00F045C1" w:rsidRPr="00F045C1" w:rsidRDefault="00F045C1" w:rsidP="00F045C1">
            <w:pPr>
              <w:cnfStyle w:val="000000000000" w:firstRow="0" w:lastRow="0" w:firstColumn="0" w:lastColumn="0" w:oddVBand="0" w:evenVBand="0" w:oddHBand="0" w:evenHBand="0" w:firstRowFirstColumn="0" w:firstRowLastColumn="0" w:lastRowFirstColumn="0" w:lastRowLastColumn="0"/>
            </w:pPr>
            <w:r>
              <w:t>Elevé</w:t>
            </w:r>
          </w:p>
        </w:tc>
        <w:tc>
          <w:tcPr>
            <w:tcW w:w="0" w:type="auto"/>
            <w:hideMark/>
          </w:tcPr>
          <w:p w14:paraId="26397E20" w14:textId="77777777" w:rsidR="00F045C1" w:rsidRPr="00F045C1" w:rsidRDefault="00F045C1" w:rsidP="00F045C1">
            <w:pPr>
              <w:cnfStyle w:val="000000000000" w:firstRow="0" w:lastRow="0" w:firstColumn="0" w:lastColumn="0" w:oddVBand="0" w:evenVBand="0" w:oddHBand="0" w:evenHBand="0" w:firstRowFirstColumn="0" w:firstRowLastColumn="0" w:lastRowFirstColumn="0" w:lastRowLastColumn="0"/>
            </w:pPr>
            <w:r w:rsidRPr="00F045C1">
              <w:t>Critique</w:t>
            </w:r>
          </w:p>
        </w:tc>
        <w:tc>
          <w:tcPr>
            <w:tcW w:w="0" w:type="auto"/>
            <w:hideMark/>
          </w:tcPr>
          <w:p w14:paraId="06A850F1" w14:textId="77777777" w:rsidR="00F045C1" w:rsidRPr="00F045C1" w:rsidRDefault="00F045C1" w:rsidP="00F045C1">
            <w:pPr>
              <w:cnfStyle w:val="000000000000" w:firstRow="0" w:lastRow="0" w:firstColumn="0" w:lastColumn="0" w:oddVBand="0" w:evenVBand="0" w:oddHBand="0" w:evenHBand="0" w:firstRowFirstColumn="0" w:firstRowLastColumn="0" w:lastRowFirstColumn="0" w:lastRowLastColumn="0"/>
            </w:pPr>
            <w:r w:rsidRPr="00F045C1">
              <w:t>Critique</w:t>
            </w:r>
          </w:p>
        </w:tc>
      </w:tr>
      <w:tr w:rsidR="00110372" w:rsidRPr="00F045C1" w14:paraId="2123D53F" w14:textId="77777777" w:rsidTr="003E62FC">
        <w:tc>
          <w:tcPr>
            <w:cnfStyle w:val="001000000000" w:firstRow="0" w:lastRow="0" w:firstColumn="1" w:lastColumn="0" w:oddVBand="0" w:evenVBand="0" w:oddHBand="0" w:evenHBand="0" w:firstRowFirstColumn="0" w:firstRowLastColumn="0" w:lastRowFirstColumn="0" w:lastRowLastColumn="0"/>
            <w:tcW w:w="0" w:type="auto"/>
            <w:shd w:val="clear" w:color="auto" w:fill="D9E2F3" w:themeFill="accent1" w:themeFillTint="33"/>
            <w:hideMark/>
          </w:tcPr>
          <w:p w14:paraId="6AD25B03" w14:textId="77777777" w:rsidR="00F045C1" w:rsidRPr="00F045C1" w:rsidRDefault="00F045C1" w:rsidP="00F045C1">
            <w:r w:rsidRPr="00F045C1">
              <w:t>Catastrophique</w:t>
            </w:r>
          </w:p>
        </w:tc>
        <w:tc>
          <w:tcPr>
            <w:tcW w:w="0" w:type="auto"/>
            <w:hideMark/>
          </w:tcPr>
          <w:p w14:paraId="22FA6526" w14:textId="6D9B957D" w:rsidR="00F045C1" w:rsidRPr="00F045C1" w:rsidRDefault="00F045C1" w:rsidP="00F045C1">
            <w:pPr>
              <w:cnfStyle w:val="000000000000" w:firstRow="0" w:lastRow="0" w:firstColumn="0" w:lastColumn="0" w:oddVBand="0" w:evenVBand="0" w:oddHBand="0" w:evenHBand="0" w:firstRowFirstColumn="0" w:firstRowLastColumn="0" w:lastRowFirstColumn="0" w:lastRowLastColumn="0"/>
            </w:pPr>
            <w:r>
              <w:t>Elevé</w:t>
            </w:r>
          </w:p>
        </w:tc>
        <w:tc>
          <w:tcPr>
            <w:tcW w:w="0" w:type="auto"/>
            <w:hideMark/>
          </w:tcPr>
          <w:p w14:paraId="7B07324D" w14:textId="77777777" w:rsidR="00F045C1" w:rsidRPr="00F045C1" w:rsidRDefault="00F045C1" w:rsidP="00F045C1">
            <w:pPr>
              <w:cnfStyle w:val="000000000000" w:firstRow="0" w:lastRow="0" w:firstColumn="0" w:lastColumn="0" w:oddVBand="0" w:evenVBand="0" w:oddHBand="0" w:evenHBand="0" w:firstRowFirstColumn="0" w:firstRowLastColumn="0" w:lastRowFirstColumn="0" w:lastRowLastColumn="0"/>
            </w:pPr>
            <w:r w:rsidRPr="00F045C1">
              <w:t>Critique</w:t>
            </w:r>
          </w:p>
        </w:tc>
        <w:tc>
          <w:tcPr>
            <w:tcW w:w="0" w:type="auto"/>
            <w:hideMark/>
          </w:tcPr>
          <w:p w14:paraId="5E21A975" w14:textId="77777777" w:rsidR="00F045C1" w:rsidRPr="00F045C1" w:rsidRDefault="00F045C1" w:rsidP="00F045C1">
            <w:pPr>
              <w:cnfStyle w:val="000000000000" w:firstRow="0" w:lastRow="0" w:firstColumn="0" w:lastColumn="0" w:oddVBand="0" w:evenVBand="0" w:oddHBand="0" w:evenHBand="0" w:firstRowFirstColumn="0" w:firstRowLastColumn="0" w:lastRowFirstColumn="0" w:lastRowLastColumn="0"/>
            </w:pPr>
            <w:r w:rsidRPr="00F045C1">
              <w:t>Critique</w:t>
            </w:r>
          </w:p>
        </w:tc>
        <w:tc>
          <w:tcPr>
            <w:tcW w:w="0" w:type="auto"/>
            <w:hideMark/>
          </w:tcPr>
          <w:p w14:paraId="4C6EE683" w14:textId="77777777" w:rsidR="00F045C1" w:rsidRPr="00F045C1" w:rsidRDefault="00F045C1" w:rsidP="00F045C1">
            <w:pPr>
              <w:cnfStyle w:val="000000000000" w:firstRow="0" w:lastRow="0" w:firstColumn="0" w:lastColumn="0" w:oddVBand="0" w:evenVBand="0" w:oddHBand="0" w:evenHBand="0" w:firstRowFirstColumn="0" w:firstRowLastColumn="0" w:lastRowFirstColumn="0" w:lastRowLastColumn="0"/>
            </w:pPr>
            <w:r w:rsidRPr="00F045C1">
              <w:t>Critique</w:t>
            </w:r>
          </w:p>
        </w:tc>
      </w:tr>
    </w:tbl>
    <w:p w14:paraId="059B4C70" w14:textId="77777777" w:rsidR="00B635F4" w:rsidRDefault="00B635F4" w:rsidP="00F045C1">
      <w:pPr>
        <w:pStyle w:val="AltTitle2"/>
        <w:spacing w:before="240"/>
      </w:pPr>
    </w:p>
    <w:p w14:paraId="3288EEAA" w14:textId="77777777" w:rsidR="00B635F4" w:rsidRDefault="00B635F4" w:rsidP="00F045C1">
      <w:pPr>
        <w:pStyle w:val="AltTitle2"/>
        <w:spacing w:before="240"/>
      </w:pPr>
    </w:p>
    <w:p w14:paraId="488104EA" w14:textId="77777777" w:rsidR="00B635F4" w:rsidRDefault="00B635F4" w:rsidP="00F045C1">
      <w:pPr>
        <w:pStyle w:val="AltTitle2"/>
        <w:spacing w:before="240"/>
      </w:pPr>
    </w:p>
    <w:p w14:paraId="3F3693F7" w14:textId="15787083" w:rsidR="00F045C1" w:rsidRDefault="00F045C1" w:rsidP="00F045C1">
      <w:pPr>
        <w:pStyle w:val="AltTitle2"/>
        <w:spacing w:before="240"/>
      </w:pPr>
      <w:r w:rsidRPr="00F045C1">
        <w:lastRenderedPageBreak/>
        <w:t>Classement et gestion des risques</w:t>
      </w:r>
    </w:p>
    <w:tbl>
      <w:tblPr>
        <w:tblStyle w:val="Grilledetableauclaire"/>
        <w:tblW w:w="0" w:type="auto"/>
        <w:tblLook w:val="04A0" w:firstRow="1" w:lastRow="0" w:firstColumn="1" w:lastColumn="0" w:noHBand="0" w:noVBand="1"/>
      </w:tblPr>
      <w:tblGrid>
        <w:gridCol w:w="9062"/>
      </w:tblGrid>
      <w:tr w:rsidR="00F045C1" w14:paraId="22F41361" w14:textId="77777777" w:rsidTr="004637C7">
        <w:tc>
          <w:tcPr>
            <w:tcW w:w="9062" w:type="dxa"/>
          </w:tcPr>
          <w:p w14:paraId="5DD6C6EB" w14:textId="77777777" w:rsidR="00F045C1" w:rsidRDefault="00F045C1" w:rsidP="004637C7">
            <w:pPr>
              <w:spacing w:after="0"/>
            </w:pPr>
            <w:r w:rsidRPr="00F045C1">
              <w:rPr>
                <w:b/>
                <w:bCs/>
              </w:rPr>
              <w:t>Risque Faible :</w:t>
            </w:r>
            <w:r>
              <w:t xml:space="preserve"> Le risque est négligeable, ses conséquences sont mineures et peu probables.</w:t>
            </w:r>
          </w:p>
          <w:p w14:paraId="56DA3661" w14:textId="77777777" w:rsidR="00F045C1" w:rsidRDefault="00F045C1" w:rsidP="00F045C1">
            <w:pPr>
              <w:pStyle w:val="Tirets"/>
              <w:ind w:left="313" w:hanging="142"/>
            </w:pPr>
            <w:r w:rsidRPr="004637C7">
              <w:rPr>
                <w:u w:val="single"/>
              </w:rPr>
              <w:t>Gestion :</w:t>
            </w:r>
            <w:r>
              <w:t xml:space="preserve"> Les mesures de base (procédures standards, EHS courants, bonnes pratiques de chantier) suffisent.</w:t>
            </w:r>
          </w:p>
          <w:p w14:paraId="1DE2DAE4" w14:textId="5418CF6C" w:rsidR="00F045C1" w:rsidRDefault="00F045C1" w:rsidP="004637C7">
            <w:pPr>
              <w:pStyle w:val="Tirets"/>
              <w:numPr>
                <w:ilvl w:val="0"/>
                <w:numId w:val="0"/>
              </w:numPr>
              <w:ind w:left="313"/>
            </w:pPr>
            <w:r>
              <w:t>Pas besoin de ressources supplémentaires.</w:t>
            </w:r>
          </w:p>
        </w:tc>
      </w:tr>
      <w:tr w:rsidR="00F045C1" w14:paraId="50F7E5A2" w14:textId="77777777" w:rsidTr="004637C7">
        <w:tc>
          <w:tcPr>
            <w:tcW w:w="9062" w:type="dxa"/>
          </w:tcPr>
          <w:p w14:paraId="2F47CF7E" w14:textId="7B2BA2D3" w:rsidR="00F045C1" w:rsidRPr="002A654A" w:rsidRDefault="00F045C1" w:rsidP="004637C7">
            <w:pPr>
              <w:spacing w:after="0"/>
            </w:pPr>
            <w:r>
              <w:rPr>
                <w:b/>
                <w:bCs/>
              </w:rPr>
              <w:t xml:space="preserve">Risque </w:t>
            </w:r>
            <w:r w:rsidRPr="004637C7">
              <w:rPr>
                <w:b/>
                <w:bCs/>
              </w:rPr>
              <w:t>Modéré</w:t>
            </w:r>
            <w:r>
              <w:rPr>
                <w:b/>
                <w:bCs/>
              </w:rPr>
              <w:t xml:space="preserve"> : </w:t>
            </w:r>
            <w:r w:rsidRPr="002A654A">
              <w:t>Le risque est acceptable, mais ses conséquences peuvent être significatives s’il n’est pas maîtrisé.</w:t>
            </w:r>
          </w:p>
          <w:p w14:paraId="29991206" w14:textId="77777777" w:rsidR="00F045C1" w:rsidRPr="004637C7" w:rsidRDefault="00F045C1" w:rsidP="00F045C1">
            <w:pPr>
              <w:pStyle w:val="Tirets"/>
              <w:ind w:left="313" w:hanging="142"/>
            </w:pPr>
            <w:r w:rsidRPr="004637C7">
              <w:rPr>
                <w:u w:val="single"/>
              </w:rPr>
              <w:t>Gestion :</w:t>
            </w:r>
            <w:r w:rsidRPr="004637C7">
              <w:t xml:space="preserve"> Nécessite des mesures préventives spécifiques (procédures, équipements, contrôle supplémentaire).</w:t>
            </w:r>
          </w:p>
          <w:p w14:paraId="08982CB6" w14:textId="1433FDB7" w:rsidR="00F045C1" w:rsidRDefault="00F045C1" w:rsidP="004637C7">
            <w:pPr>
              <w:pStyle w:val="Tirets"/>
              <w:numPr>
                <w:ilvl w:val="0"/>
                <w:numId w:val="0"/>
              </w:numPr>
              <w:ind w:left="313"/>
            </w:pPr>
            <w:r w:rsidRPr="002A654A">
              <w:t>Mise en place d’un suivi régulier pour s’assurer que le risque reste sous contrôle.</w:t>
            </w:r>
          </w:p>
        </w:tc>
      </w:tr>
      <w:tr w:rsidR="00F045C1" w14:paraId="6CA77E81" w14:textId="77777777" w:rsidTr="004637C7">
        <w:tc>
          <w:tcPr>
            <w:tcW w:w="9062" w:type="dxa"/>
          </w:tcPr>
          <w:p w14:paraId="443491F7" w14:textId="77777777" w:rsidR="00F045C1" w:rsidRDefault="00F045C1" w:rsidP="00F045C1">
            <w:pPr>
              <w:spacing w:after="0"/>
            </w:pPr>
            <w:r w:rsidRPr="004637C7">
              <w:rPr>
                <w:b/>
                <w:bCs/>
              </w:rPr>
              <w:t>Risque Elevé :</w:t>
            </w:r>
            <w:r>
              <w:t xml:space="preserve"> </w:t>
            </w:r>
            <w:r w:rsidR="009F2467" w:rsidRPr="009F2467">
              <w:t>Le risque est significatif, avec une forte probabilité ou des conséquences majeures.</w:t>
            </w:r>
          </w:p>
          <w:p w14:paraId="63D5CAC4" w14:textId="77777777" w:rsidR="009F2467" w:rsidRPr="009F2467" w:rsidRDefault="009F2467" w:rsidP="009F2467">
            <w:pPr>
              <w:pStyle w:val="Tirets"/>
              <w:ind w:left="313" w:hanging="142"/>
            </w:pPr>
            <w:r>
              <w:t xml:space="preserve">Gestion : </w:t>
            </w:r>
            <w:r w:rsidRPr="009F2467">
              <w:t xml:space="preserve">Doit faire l’objet d’un </w:t>
            </w:r>
            <w:r w:rsidRPr="004637C7">
              <w:t>plan de prévention renforcé</w:t>
            </w:r>
            <w:r w:rsidRPr="009F2467">
              <w:t xml:space="preserve"> et de ressources dédiées.</w:t>
            </w:r>
          </w:p>
          <w:p w14:paraId="25B3915D" w14:textId="77777777" w:rsidR="009F2467" w:rsidRPr="009F2467" w:rsidRDefault="009F2467" w:rsidP="009F2467">
            <w:pPr>
              <w:pStyle w:val="Tirets"/>
              <w:numPr>
                <w:ilvl w:val="0"/>
                <w:numId w:val="0"/>
              </w:numPr>
              <w:ind w:left="313"/>
            </w:pPr>
            <w:r w:rsidRPr="009F2467">
              <w:t xml:space="preserve">Exige un </w:t>
            </w:r>
            <w:r w:rsidRPr="004637C7">
              <w:t>suivi rigoureux et fréquent</w:t>
            </w:r>
            <w:r w:rsidRPr="009F2467">
              <w:t xml:space="preserve"> (indicateurs, reporting périodique).</w:t>
            </w:r>
          </w:p>
          <w:p w14:paraId="51315570" w14:textId="1EB5BE25" w:rsidR="009F2467" w:rsidRDefault="009F2467" w:rsidP="004637C7">
            <w:pPr>
              <w:pStyle w:val="Tirets"/>
              <w:numPr>
                <w:ilvl w:val="0"/>
                <w:numId w:val="0"/>
              </w:numPr>
              <w:ind w:left="313"/>
            </w:pPr>
            <w:r w:rsidRPr="009F2467">
              <w:t xml:space="preserve">Peut nécessiter une </w:t>
            </w:r>
            <w:r w:rsidRPr="002A654A">
              <w:t>concertation spécifique avec les parties prenantes</w:t>
            </w:r>
            <w:r w:rsidRPr="009F2467">
              <w:t xml:space="preserve"> (autorités, communautés).</w:t>
            </w:r>
          </w:p>
        </w:tc>
      </w:tr>
      <w:tr w:rsidR="00F045C1" w14:paraId="39C0C645" w14:textId="77777777" w:rsidTr="004637C7">
        <w:tc>
          <w:tcPr>
            <w:tcW w:w="9062" w:type="dxa"/>
          </w:tcPr>
          <w:p w14:paraId="0D95537B" w14:textId="77777777" w:rsidR="00F045C1" w:rsidRDefault="009F2467" w:rsidP="00F045C1">
            <w:pPr>
              <w:pStyle w:val="AltTitle2"/>
              <w:spacing w:before="240"/>
              <w:rPr>
                <w:rFonts w:ascii="Calibri" w:hAnsi="Calibri"/>
                <w:b w:val="0"/>
                <w:color w:val="auto"/>
                <w:sz w:val="22"/>
                <w:u w:val="none"/>
              </w:rPr>
            </w:pPr>
            <w:r w:rsidRPr="004637C7">
              <w:rPr>
                <w:rFonts w:ascii="Calibri" w:hAnsi="Calibri"/>
                <w:bCs/>
                <w:color w:val="auto"/>
                <w:sz w:val="22"/>
                <w:u w:val="none"/>
              </w:rPr>
              <w:t xml:space="preserve">Risque critique : </w:t>
            </w:r>
            <w:r w:rsidRPr="004637C7">
              <w:rPr>
                <w:rFonts w:ascii="Calibri" w:hAnsi="Calibri"/>
                <w:b w:val="0"/>
                <w:color w:val="auto"/>
                <w:sz w:val="22"/>
                <w:u w:val="none"/>
              </w:rPr>
              <w:t>Le risque est inacceptable : il peut causer des dommages graves, irréversibles ou mettre en danger des vies humaines.</w:t>
            </w:r>
          </w:p>
          <w:p w14:paraId="7C4C9ABA" w14:textId="286C95DE" w:rsidR="009F2467" w:rsidRPr="004637C7" w:rsidRDefault="009F2467">
            <w:pPr>
              <w:pStyle w:val="Tirets"/>
              <w:ind w:left="313" w:hanging="142"/>
              <w:rPr>
                <w:lang w:val="fr-MA"/>
              </w:rPr>
            </w:pPr>
            <w:r>
              <w:t xml:space="preserve">Gestion : </w:t>
            </w:r>
            <w:r w:rsidRPr="009F2467">
              <w:rPr>
                <w:lang w:val="fr-MA"/>
              </w:rPr>
              <w:t xml:space="preserve">Nécessite des </w:t>
            </w:r>
            <w:r w:rsidRPr="004637C7">
              <w:rPr>
                <w:lang w:val="fr-MA"/>
              </w:rPr>
              <w:t>mesures immédiates d’évitement ou de maîtrise renforcée</w:t>
            </w:r>
            <w:r w:rsidRPr="009F2467">
              <w:rPr>
                <w:lang w:val="fr-MA"/>
              </w:rPr>
              <w:t>.</w:t>
            </w:r>
          </w:p>
          <w:p w14:paraId="59DE8C9C" w14:textId="5C09BAB5" w:rsidR="009F2467" w:rsidRPr="009F2467" w:rsidRDefault="009F2467" w:rsidP="004637C7">
            <w:pPr>
              <w:pStyle w:val="Tirets"/>
              <w:numPr>
                <w:ilvl w:val="0"/>
                <w:numId w:val="0"/>
              </w:numPr>
              <w:ind w:left="313"/>
            </w:pPr>
            <w:r w:rsidRPr="009F2467">
              <w:t xml:space="preserve">Si le risque ne peut pas être maîtrisé à un niveau acceptable, il faut </w:t>
            </w:r>
            <w:r w:rsidRPr="004637C7">
              <w:t>réviser la conception du projet</w:t>
            </w:r>
            <w:r w:rsidRPr="009F2467">
              <w:t xml:space="preserve"> (choix techniques alternatifs, changement d’implantation, etc.).</w:t>
            </w:r>
          </w:p>
          <w:p w14:paraId="70AD0C61" w14:textId="28D100B8" w:rsidR="009F2467" w:rsidRDefault="009F2467" w:rsidP="004637C7">
            <w:pPr>
              <w:pStyle w:val="Tirets"/>
              <w:numPr>
                <w:ilvl w:val="0"/>
                <w:numId w:val="0"/>
              </w:numPr>
              <w:ind w:left="313"/>
            </w:pPr>
            <w:r w:rsidRPr="009F2467">
              <w:t xml:space="preserve">Implique souvent un </w:t>
            </w:r>
            <w:r w:rsidRPr="002A654A">
              <w:t>plan d’urgence spécifique</w:t>
            </w:r>
            <w:r w:rsidRPr="009F2467">
              <w:t xml:space="preserve"> validé par les autorités.</w:t>
            </w:r>
          </w:p>
        </w:tc>
      </w:tr>
    </w:tbl>
    <w:p w14:paraId="673A5F5A" w14:textId="77777777" w:rsidR="00373217" w:rsidRPr="0088758D" w:rsidRDefault="00373217" w:rsidP="00373217">
      <w:pPr>
        <w:pStyle w:val="Title2"/>
      </w:pPr>
      <w:bookmarkStart w:id="387" w:name="_Toc138155223"/>
      <w:bookmarkStart w:id="388" w:name="_Toc145325064"/>
      <w:bookmarkStart w:id="389" w:name="_Toc181619028"/>
      <w:bookmarkStart w:id="390" w:name="_Toc215131872"/>
      <w:bookmarkEnd w:id="346"/>
      <w:bookmarkEnd w:id="347"/>
      <w:r w:rsidRPr="0088758D">
        <w:t>Inventaire des sources d’impacts potentiels</w:t>
      </w:r>
      <w:bookmarkEnd w:id="387"/>
      <w:bookmarkEnd w:id="388"/>
      <w:bookmarkEnd w:id="389"/>
      <w:bookmarkEnd w:id="390"/>
    </w:p>
    <w:p w14:paraId="4568E705" w14:textId="77777777" w:rsidR="00373217" w:rsidRPr="0088758D" w:rsidRDefault="00373217" w:rsidP="00373217">
      <w:r w:rsidRPr="0088758D">
        <w:t>Toutes les actions du projet ayant une incidence environnementale potentielle sont scindées en groupes selon le milieu concerné, et classées suivant la période d'altération. Ainsi, certaines actions du projet sont propres à la phase de pré-construction ou construction et d'autres seront observées au cours de la phase d'exploitation.</w:t>
      </w:r>
    </w:p>
    <w:p w14:paraId="64739729" w14:textId="77777777" w:rsidR="00373217" w:rsidRPr="0088758D" w:rsidRDefault="00373217" w:rsidP="00373217">
      <w:r w:rsidRPr="0088758D">
        <w:t>La méthodologie adoptée pour l’évaluation des impacts potentiels est basée sur la sensibilité environnementale des éléments du milieu. L’analyse de cette sensibilité permet de définir le niveau de résistance que l’élément présente par rapport au projet.</w:t>
      </w:r>
    </w:p>
    <w:p w14:paraId="417AF2C3" w14:textId="77777777" w:rsidR="00373217" w:rsidRPr="0088758D" w:rsidRDefault="00373217" w:rsidP="0001633E">
      <w:pPr>
        <w:numPr>
          <w:ilvl w:val="0"/>
          <w:numId w:val="18"/>
        </w:numPr>
      </w:pPr>
      <w:r w:rsidRPr="0088758D">
        <w:rPr>
          <w:b/>
          <w:bCs/>
        </w:rPr>
        <w:t>Phase de pré-construction :</w:t>
      </w:r>
      <w:r w:rsidRPr="0088758D">
        <w:t xml:space="preserve"> phase pendant laquelle, on procédera à la réalisation des études (reconnaissances topographiques, géotechniques, etc.), ainsi que les travaux de préparation des aires nécessaires pour le chantier (préparation de l’emprise et des chemins d’accès, mise en place des équipements, balisage, etc…) ; </w:t>
      </w:r>
    </w:p>
    <w:p w14:paraId="24BFE7C7" w14:textId="77777777" w:rsidR="00373217" w:rsidRPr="0088758D" w:rsidRDefault="00373217" w:rsidP="0001633E">
      <w:pPr>
        <w:numPr>
          <w:ilvl w:val="0"/>
          <w:numId w:val="18"/>
        </w:numPr>
      </w:pPr>
      <w:r w:rsidRPr="0088758D">
        <w:rPr>
          <w:b/>
          <w:bCs/>
        </w:rPr>
        <w:t>Phase de construction :</w:t>
      </w:r>
      <w:r w:rsidRPr="0088758D">
        <w:t xml:space="preserve"> phase correspondant aux travaux de chantier pour la réalisation du projet. Elle se termine par une étape de remise en état du site ;</w:t>
      </w:r>
    </w:p>
    <w:p w14:paraId="712B74F6" w14:textId="77777777" w:rsidR="00373217" w:rsidRPr="0088758D" w:rsidRDefault="00373217" w:rsidP="0001633E">
      <w:pPr>
        <w:numPr>
          <w:ilvl w:val="0"/>
          <w:numId w:val="18"/>
        </w:numPr>
      </w:pPr>
      <w:r w:rsidRPr="0088758D">
        <w:rPr>
          <w:b/>
          <w:bCs/>
        </w:rPr>
        <w:t xml:space="preserve">Phase d’exploitation et de maintenance </w:t>
      </w:r>
      <w:r w:rsidRPr="0088758D">
        <w:t>: phase correspondant à l’opérationnalisation et à l’utilisation de l’infrastructure réalisée, ainsi qu’à la maintenance et la réparation si nécessaire des différentes composantes de génie civil et techniques de cette infrastructure.</w:t>
      </w:r>
    </w:p>
    <w:p w14:paraId="2B32FFFF" w14:textId="77777777" w:rsidR="00373217" w:rsidRPr="0088758D" w:rsidRDefault="00373217" w:rsidP="0001633E">
      <w:pPr>
        <w:numPr>
          <w:ilvl w:val="0"/>
          <w:numId w:val="18"/>
        </w:numPr>
      </w:pPr>
      <w:r w:rsidRPr="0088758D">
        <w:rPr>
          <w:b/>
          <w:bCs/>
        </w:rPr>
        <w:lastRenderedPageBreak/>
        <w:t>Phase de démantèlement</w:t>
      </w:r>
      <w:r w:rsidRPr="0088758D">
        <w:t> : Le site choisi pour l’implantation du démantèlement : cette phase est régie par l’article 13 de la loi 58-15. Il sera du ressort de l’Etat de déterminer si l’installation est à démanteler.</w:t>
      </w:r>
    </w:p>
    <w:p w14:paraId="33D70A26" w14:textId="77777777" w:rsidR="00A764FE" w:rsidRDefault="00A764FE" w:rsidP="00A764FE">
      <w:r w:rsidRPr="0088758D">
        <w:t>La matrice d’interrelation ci-dessous illustrée, montre les différentes interrelations entre les éléments du milieu susceptibles d’être impactés par la réalisation du projet, et les éléments et phases du projet sources d’impact.</w:t>
      </w:r>
    </w:p>
    <w:p w14:paraId="40D01672" w14:textId="77777777" w:rsidR="00A764FE" w:rsidRDefault="00A764FE" w:rsidP="00A764FE"/>
    <w:p w14:paraId="442B81F4" w14:textId="142093BB" w:rsidR="00CE4A5B" w:rsidRDefault="00CE4A5B" w:rsidP="00A764FE">
      <w:pPr>
        <w:sectPr w:rsidR="00CE4A5B" w:rsidSect="000E5F37">
          <w:headerReference w:type="default" r:id="rId93"/>
          <w:footerReference w:type="default" r:id="rId94"/>
          <w:pgSz w:w="11906" w:h="16838"/>
          <w:pgMar w:top="1417" w:right="1417" w:bottom="1417" w:left="1417" w:header="680" w:footer="680" w:gutter="0"/>
          <w:cols w:space="708"/>
          <w:docGrid w:linePitch="360"/>
        </w:sectPr>
      </w:pPr>
    </w:p>
    <w:p w14:paraId="169C67E9" w14:textId="2E3D0C6F" w:rsidR="00AA4F92" w:rsidRPr="002A0860" w:rsidRDefault="00154145" w:rsidP="00154145">
      <w:pPr>
        <w:pStyle w:val="Lgende"/>
        <w:rPr>
          <w:b w:val="0"/>
          <w:bCs w:val="0"/>
          <w:lang w:val="fr-FR"/>
        </w:rPr>
      </w:pPr>
      <w:bookmarkStart w:id="391" w:name="_Toc142649573"/>
      <w:bookmarkStart w:id="392" w:name="_Toc213404364"/>
      <w:r w:rsidRPr="002A0860">
        <w:rPr>
          <w:lang w:val="fr-FR"/>
        </w:rPr>
        <w:lastRenderedPageBreak/>
        <w:t xml:space="preserve">Tableau </w:t>
      </w:r>
      <w:r>
        <w:fldChar w:fldCharType="begin"/>
      </w:r>
      <w:r w:rsidRPr="002A0860">
        <w:rPr>
          <w:lang w:val="fr-FR"/>
        </w:rPr>
        <w:instrText xml:space="preserve"> SEQ Tableau \* ARABIC </w:instrText>
      </w:r>
      <w:r>
        <w:fldChar w:fldCharType="separate"/>
      </w:r>
      <w:r w:rsidR="00274E71">
        <w:rPr>
          <w:noProof/>
          <w:lang w:val="fr-FR"/>
        </w:rPr>
        <w:t>42</w:t>
      </w:r>
      <w:r>
        <w:fldChar w:fldCharType="end"/>
      </w:r>
      <w:r>
        <w:rPr>
          <w:noProof/>
          <w:lang w:val="fr-FR"/>
        </w:rPr>
        <w:t>:</w:t>
      </w:r>
      <w:r w:rsidR="00AA4F92" w:rsidRPr="002A0860">
        <w:rPr>
          <w:lang w:val="fr-FR"/>
        </w:rPr>
        <w:t>Identification des impacts potentiels du Projet</w:t>
      </w:r>
      <w:bookmarkEnd w:id="391"/>
      <w:bookmarkEnd w:id="392"/>
    </w:p>
    <w:tbl>
      <w:tblPr>
        <w:tblStyle w:val="ERMTablestyle"/>
        <w:tblW w:w="472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89"/>
        <w:gridCol w:w="881"/>
        <w:gridCol w:w="881"/>
        <w:gridCol w:w="881"/>
        <w:gridCol w:w="881"/>
        <w:gridCol w:w="881"/>
        <w:gridCol w:w="881"/>
        <w:gridCol w:w="881"/>
        <w:gridCol w:w="881"/>
        <w:gridCol w:w="881"/>
        <w:gridCol w:w="881"/>
        <w:gridCol w:w="881"/>
        <w:gridCol w:w="881"/>
        <w:gridCol w:w="881"/>
      </w:tblGrid>
      <w:tr w:rsidR="00ED3180" w:rsidRPr="00154145" w14:paraId="6752A951" w14:textId="21DA2B89" w:rsidTr="00AC2854">
        <w:trPr>
          <w:cnfStyle w:val="100000000000" w:firstRow="1" w:lastRow="0" w:firstColumn="0" w:lastColumn="0" w:oddVBand="0" w:evenVBand="0" w:oddHBand="0" w:evenHBand="0" w:firstRowFirstColumn="0" w:firstRowLastColumn="0" w:lastRowFirstColumn="0" w:lastRowLastColumn="0"/>
          <w:trHeight w:hRule="exact" w:val="2609"/>
          <w:tblHeader/>
          <w:jc w:val="center"/>
        </w:trPr>
        <w:tc>
          <w:tcPr>
            <w:tcW w:w="0" w:type="pct"/>
            <w:tcBorders>
              <w:top w:val="none" w:sz="0" w:space="0" w:color="auto"/>
              <w:bottom w:val="none" w:sz="0" w:space="0" w:color="auto"/>
            </w:tcBorders>
            <w:vAlign w:val="center"/>
          </w:tcPr>
          <w:p w14:paraId="094B1C9B" w14:textId="77777777" w:rsidR="00ED3180" w:rsidRPr="00154145" w:rsidRDefault="00ED3180" w:rsidP="00ED3180">
            <w:pPr>
              <w:spacing w:before="0" w:after="0" w:line="240" w:lineRule="auto"/>
              <w:contextualSpacing/>
              <w:rPr>
                <w:rFonts w:asciiTheme="minorHAnsi" w:eastAsia="Calibri" w:hAnsiTheme="minorHAnsi" w:cstheme="minorHAnsi"/>
                <w:sz w:val="20"/>
                <w:szCs w:val="20"/>
              </w:rPr>
            </w:pPr>
          </w:p>
        </w:tc>
        <w:tc>
          <w:tcPr>
            <w:tcW w:w="0" w:type="pct"/>
            <w:tcBorders>
              <w:top w:val="none" w:sz="0" w:space="0" w:color="auto"/>
              <w:bottom w:val="none" w:sz="0" w:space="0" w:color="auto"/>
            </w:tcBorders>
            <w:textDirection w:val="btLr"/>
            <w:vAlign w:val="center"/>
          </w:tcPr>
          <w:p w14:paraId="21951A50" w14:textId="77777777" w:rsidR="00ED3180" w:rsidRPr="00154145" w:rsidRDefault="00ED3180" w:rsidP="00ED3180">
            <w:pPr>
              <w:pStyle w:val="Tableheadingcentered"/>
              <w:spacing w:line="240" w:lineRule="auto"/>
              <w:contextualSpacing/>
              <w:jc w:val="left"/>
              <w:rPr>
                <w:rFonts w:eastAsia="Book Antiqua" w:cstheme="minorHAnsi"/>
                <w:color w:val="323E4F" w:themeColor="text2" w:themeShade="BF"/>
              </w:rPr>
            </w:pPr>
            <w:r w:rsidRPr="00154145">
              <w:rPr>
                <w:rFonts w:cstheme="minorHAnsi"/>
                <w:color w:val="323E4F" w:themeColor="text2" w:themeShade="BF"/>
                <w:lang w:val="fr-MA"/>
              </w:rPr>
              <w:t>Qualité de l’air et climat</w:t>
            </w:r>
          </w:p>
        </w:tc>
        <w:tc>
          <w:tcPr>
            <w:tcW w:w="0" w:type="pct"/>
            <w:tcBorders>
              <w:top w:val="none" w:sz="0" w:space="0" w:color="auto"/>
              <w:bottom w:val="none" w:sz="0" w:space="0" w:color="auto"/>
            </w:tcBorders>
            <w:textDirection w:val="btLr"/>
            <w:vAlign w:val="center"/>
          </w:tcPr>
          <w:p w14:paraId="701F24C9" w14:textId="77777777" w:rsidR="00ED3180" w:rsidRPr="00154145" w:rsidRDefault="00ED3180" w:rsidP="00ED3180">
            <w:pPr>
              <w:pStyle w:val="Tableheadingcentered"/>
              <w:spacing w:line="240" w:lineRule="auto"/>
              <w:contextualSpacing/>
              <w:jc w:val="left"/>
              <w:rPr>
                <w:rFonts w:eastAsia="Book Antiqua" w:cstheme="minorHAnsi"/>
                <w:color w:val="323E4F" w:themeColor="text2" w:themeShade="BF"/>
              </w:rPr>
            </w:pPr>
            <w:r w:rsidRPr="00154145">
              <w:rPr>
                <w:rFonts w:cstheme="minorHAnsi"/>
                <w:color w:val="323E4F" w:themeColor="text2" w:themeShade="BF"/>
              </w:rPr>
              <w:t>Bruit et vibration</w:t>
            </w:r>
          </w:p>
        </w:tc>
        <w:tc>
          <w:tcPr>
            <w:tcW w:w="0" w:type="pct"/>
            <w:tcBorders>
              <w:top w:val="none" w:sz="0" w:space="0" w:color="auto"/>
              <w:bottom w:val="none" w:sz="0" w:space="0" w:color="auto"/>
            </w:tcBorders>
            <w:textDirection w:val="btLr"/>
            <w:vAlign w:val="center"/>
          </w:tcPr>
          <w:p w14:paraId="75D315EC" w14:textId="68C60774" w:rsidR="00ED3180" w:rsidRPr="00154145" w:rsidRDefault="00877CAE" w:rsidP="00ED3180">
            <w:pPr>
              <w:pStyle w:val="Tableheadingcentered"/>
              <w:spacing w:line="240" w:lineRule="auto"/>
              <w:contextualSpacing/>
              <w:jc w:val="left"/>
              <w:rPr>
                <w:rFonts w:cstheme="minorHAnsi"/>
                <w:color w:val="323E4F" w:themeColor="text2" w:themeShade="BF"/>
              </w:rPr>
            </w:pPr>
            <w:r w:rsidRPr="00154145">
              <w:rPr>
                <w:rFonts w:cstheme="minorHAnsi"/>
                <w:color w:val="323E4F" w:themeColor="text2" w:themeShade="BF"/>
              </w:rPr>
              <w:t>Utilisation et acc</w:t>
            </w:r>
            <w:r w:rsidR="008B61D9" w:rsidRPr="00154145">
              <w:rPr>
                <w:rFonts w:cstheme="minorHAnsi"/>
                <w:color w:val="323E4F" w:themeColor="text2" w:themeShade="BF"/>
              </w:rPr>
              <w:t>ès des ressources</w:t>
            </w:r>
          </w:p>
        </w:tc>
        <w:tc>
          <w:tcPr>
            <w:tcW w:w="0" w:type="pct"/>
            <w:tcBorders>
              <w:top w:val="none" w:sz="0" w:space="0" w:color="auto"/>
              <w:bottom w:val="none" w:sz="0" w:space="0" w:color="auto"/>
            </w:tcBorders>
            <w:textDirection w:val="btLr"/>
            <w:vAlign w:val="center"/>
          </w:tcPr>
          <w:p w14:paraId="3DFCF5F2" w14:textId="77777777" w:rsidR="00ED3180" w:rsidRPr="00154145" w:rsidRDefault="00ED3180" w:rsidP="00ED3180">
            <w:pPr>
              <w:pStyle w:val="Tableheadingcentered"/>
              <w:spacing w:line="240" w:lineRule="auto"/>
              <w:contextualSpacing/>
              <w:jc w:val="left"/>
              <w:rPr>
                <w:rFonts w:eastAsia="Book Antiqua" w:cstheme="minorHAnsi"/>
                <w:color w:val="323E4F" w:themeColor="text2" w:themeShade="BF"/>
              </w:rPr>
            </w:pPr>
            <w:r w:rsidRPr="00154145">
              <w:rPr>
                <w:rFonts w:cstheme="minorHAnsi"/>
                <w:color w:val="323E4F" w:themeColor="text2" w:themeShade="BF"/>
              </w:rPr>
              <w:t>Sols</w:t>
            </w:r>
          </w:p>
        </w:tc>
        <w:tc>
          <w:tcPr>
            <w:tcW w:w="0" w:type="pct"/>
            <w:tcBorders>
              <w:top w:val="none" w:sz="0" w:space="0" w:color="auto"/>
              <w:bottom w:val="none" w:sz="0" w:space="0" w:color="auto"/>
            </w:tcBorders>
            <w:textDirection w:val="btLr"/>
            <w:vAlign w:val="center"/>
          </w:tcPr>
          <w:p w14:paraId="2C741E74" w14:textId="6CFB13DB" w:rsidR="00ED3180" w:rsidRPr="00154145" w:rsidRDefault="00ED3180" w:rsidP="00ED3180">
            <w:pPr>
              <w:pStyle w:val="Tableheadingcentered"/>
              <w:spacing w:line="240" w:lineRule="auto"/>
              <w:contextualSpacing/>
              <w:jc w:val="left"/>
              <w:rPr>
                <w:rFonts w:eastAsia="Book Antiqua" w:cstheme="minorHAnsi"/>
                <w:color w:val="323E4F" w:themeColor="text2" w:themeShade="BF"/>
              </w:rPr>
            </w:pPr>
            <w:r w:rsidRPr="00154145">
              <w:rPr>
                <w:rFonts w:cstheme="minorHAnsi"/>
                <w:color w:val="323E4F" w:themeColor="text2" w:themeShade="BF"/>
              </w:rPr>
              <w:t xml:space="preserve">Biodiversité </w:t>
            </w:r>
            <w:r w:rsidRPr="00154145">
              <w:rPr>
                <w:rFonts w:cstheme="minorHAnsi"/>
                <w:color w:val="323E4F" w:themeColor="text2" w:themeShade="BF"/>
                <w:w w:val="95"/>
              </w:rPr>
              <w:t>(</w:t>
            </w:r>
            <w:r w:rsidRPr="00154145">
              <w:rPr>
                <w:rFonts w:cstheme="minorHAnsi"/>
                <w:color w:val="323E4F" w:themeColor="text2" w:themeShade="BF"/>
              </w:rPr>
              <w:t>faune et flore)</w:t>
            </w:r>
          </w:p>
        </w:tc>
        <w:tc>
          <w:tcPr>
            <w:tcW w:w="0" w:type="pct"/>
            <w:tcBorders>
              <w:top w:val="none" w:sz="0" w:space="0" w:color="auto"/>
              <w:bottom w:val="none" w:sz="0" w:space="0" w:color="auto"/>
            </w:tcBorders>
            <w:textDirection w:val="btLr"/>
            <w:vAlign w:val="center"/>
          </w:tcPr>
          <w:p w14:paraId="7DC1244D" w14:textId="6E027521" w:rsidR="00ED3180" w:rsidRPr="00154145" w:rsidRDefault="00ED3180" w:rsidP="00ED3180">
            <w:pPr>
              <w:pStyle w:val="Tableheadingcentered"/>
              <w:spacing w:line="240" w:lineRule="auto"/>
              <w:contextualSpacing/>
              <w:jc w:val="left"/>
              <w:rPr>
                <w:rFonts w:eastAsia="Book Antiqua" w:cstheme="minorHAnsi"/>
                <w:color w:val="323E4F" w:themeColor="text2" w:themeShade="BF"/>
              </w:rPr>
            </w:pPr>
            <w:r w:rsidRPr="00154145">
              <w:rPr>
                <w:rFonts w:eastAsia="Book Antiqua" w:cstheme="minorHAnsi"/>
                <w:color w:val="323E4F" w:themeColor="text2" w:themeShade="BF"/>
              </w:rPr>
              <w:t>Paysage</w:t>
            </w:r>
          </w:p>
        </w:tc>
        <w:tc>
          <w:tcPr>
            <w:tcW w:w="0" w:type="pct"/>
            <w:tcBorders>
              <w:top w:val="none" w:sz="0" w:space="0" w:color="auto"/>
              <w:bottom w:val="none" w:sz="0" w:space="0" w:color="auto"/>
            </w:tcBorders>
            <w:textDirection w:val="btLr"/>
            <w:vAlign w:val="center"/>
          </w:tcPr>
          <w:p w14:paraId="759A87D8" w14:textId="77777777" w:rsidR="00ED3180" w:rsidRPr="00154145" w:rsidRDefault="00ED3180" w:rsidP="00ED3180">
            <w:pPr>
              <w:pStyle w:val="Tableheadingcentered"/>
              <w:spacing w:line="240" w:lineRule="auto"/>
              <w:contextualSpacing/>
              <w:jc w:val="left"/>
              <w:rPr>
                <w:rFonts w:eastAsia="Book Antiqua" w:cstheme="minorHAnsi"/>
                <w:color w:val="323E4F" w:themeColor="text2" w:themeShade="BF"/>
              </w:rPr>
            </w:pPr>
            <w:r w:rsidRPr="00154145">
              <w:rPr>
                <w:rFonts w:cstheme="minorHAnsi"/>
                <w:color w:val="323E4F" w:themeColor="text2" w:themeShade="BF"/>
              </w:rPr>
              <w:t>Usages fonciers</w:t>
            </w:r>
          </w:p>
        </w:tc>
        <w:tc>
          <w:tcPr>
            <w:tcW w:w="0" w:type="pct"/>
            <w:tcBorders>
              <w:top w:val="none" w:sz="0" w:space="0" w:color="auto"/>
              <w:bottom w:val="none" w:sz="0" w:space="0" w:color="auto"/>
            </w:tcBorders>
            <w:textDirection w:val="btLr"/>
            <w:vAlign w:val="center"/>
          </w:tcPr>
          <w:p w14:paraId="445A5CA2" w14:textId="77777777" w:rsidR="00ED3180" w:rsidRPr="00154145" w:rsidRDefault="00ED3180" w:rsidP="00ED3180">
            <w:pPr>
              <w:pStyle w:val="Tableheadingcentered"/>
              <w:spacing w:line="240" w:lineRule="auto"/>
              <w:contextualSpacing/>
              <w:jc w:val="left"/>
              <w:rPr>
                <w:rFonts w:eastAsia="Book Antiqua" w:cstheme="minorHAnsi"/>
                <w:color w:val="323E4F" w:themeColor="text2" w:themeShade="BF"/>
              </w:rPr>
            </w:pPr>
            <w:r w:rsidRPr="00154145">
              <w:rPr>
                <w:rFonts w:cstheme="minorHAnsi"/>
                <w:color w:val="323E4F" w:themeColor="text2" w:themeShade="BF"/>
              </w:rPr>
              <w:t>Activités Socio-économiques</w:t>
            </w:r>
          </w:p>
        </w:tc>
        <w:tc>
          <w:tcPr>
            <w:tcW w:w="0" w:type="pct"/>
            <w:tcBorders>
              <w:top w:val="none" w:sz="0" w:space="0" w:color="auto"/>
              <w:bottom w:val="none" w:sz="0" w:space="0" w:color="auto"/>
            </w:tcBorders>
            <w:textDirection w:val="btLr"/>
            <w:vAlign w:val="center"/>
          </w:tcPr>
          <w:p w14:paraId="59A093BC" w14:textId="53C7BE23" w:rsidR="00ED3180" w:rsidRPr="00154145" w:rsidRDefault="00ED3180" w:rsidP="00ED3180">
            <w:pPr>
              <w:pStyle w:val="Tableheadingcentered"/>
              <w:spacing w:line="240" w:lineRule="auto"/>
              <w:contextualSpacing/>
              <w:jc w:val="left"/>
              <w:rPr>
                <w:rFonts w:eastAsia="Book Antiqua" w:cstheme="minorHAnsi"/>
                <w:color w:val="323E4F" w:themeColor="text2" w:themeShade="BF"/>
              </w:rPr>
            </w:pPr>
            <w:r w:rsidRPr="00154145">
              <w:rPr>
                <w:rFonts w:cstheme="minorHAnsi"/>
                <w:color w:val="323E4F" w:themeColor="text2" w:themeShade="BF"/>
                <w:lang w:val="fr-MA"/>
              </w:rPr>
              <w:t>Santé et sécurité des travailleurs</w:t>
            </w:r>
          </w:p>
        </w:tc>
        <w:tc>
          <w:tcPr>
            <w:tcW w:w="0" w:type="pct"/>
            <w:tcBorders>
              <w:top w:val="none" w:sz="0" w:space="0" w:color="auto"/>
              <w:bottom w:val="none" w:sz="0" w:space="0" w:color="auto"/>
            </w:tcBorders>
            <w:textDirection w:val="btLr"/>
            <w:vAlign w:val="center"/>
          </w:tcPr>
          <w:p w14:paraId="005067D2" w14:textId="30D632A3" w:rsidR="00ED3180" w:rsidRPr="00154145" w:rsidRDefault="00ED3180" w:rsidP="00ED3180">
            <w:pPr>
              <w:pStyle w:val="Tableheadingcentered"/>
              <w:spacing w:line="240" w:lineRule="auto"/>
              <w:contextualSpacing/>
              <w:jc w:val="left"/>
              <w:rPr>
                <w:rFonts w:eastAsia="Book Antiqua" w:cstheme="minorHAnsi"/>
                <w:color w:val="323E4F" w:themeColor="text2" w:themeShade="BF"/>
              </w:rPr>
            </w:pPr>
            <w:r w:rsidRPr="00154145">
              <w:rPr>
                <w:rFonts w:cstheme="minorHAnsi"/>
                <w:color w:val="323E4F" w:themeColor="text2" w:themeShade="BF"/>
              </w:rPr>
              <w:t>Santé et sécurité communautaire</w:t>
            </w:r>
          </w:p>
        </w:tc>
        <w:tc>
          <w:tcPr>
            <w:tcW w:w="0" w:type="pct"/>
            <w:tcBorders>
              <w:top w:val="none" w:sz="0" w:space="0" w:color="auto"/>
              <w:bottom w:val="none" w:sz="0" w:space="0" w:color="auto"/>
            </w:tcBorders>
            <w:textDirection w:val="btLr"/>
            <w:vAlign w:val="center"/>
          </w:tcPr>
          <w:p w14:paraId="27AB9292" w14:textId="24615C9A" w:rsidR="00ED3180" w:rsidRPr="00154145" w:rsidRDefault="00ED3180" w:rsidP="00ED3180">
            <w:pPr>
              <w:pStyle w:val="Tableheadingcentered"/>
              <w:spacing w:line="240" w:lineRule="auto"/>
              <w:contextualSpacing/>
              <w:jc w:val="left"/>
              <w:rPr>
                <w:rFonts w:cstheme="minorHAnsi"/>
                <w:color w:val="323E4F" w:themeColor="text2" w:themeShade="BF"/>
              </w:rPr>
            </w:pPr>
            <w:r w:rsidRPr="00154145">
              <w:rPr>
                <w:rFonts w:cstheme="minorHAnsi"/>
                <w:color w:val="323E4F" w:themeColor="text2" w:themeShade="BF"/>
              </w:rPr>
              <w:t>Patrimoine culturel et archéologique</w:t>
            </w:r>
          </w:p>
        </w:tc>
        <w:tc>
          <w:tcPr>
            <w:tcW w:w="0" w:type="pct"/>
            <w:tcBorders>
              <w:top w:val="none" w:sz="0" w:space="0" w:color="auto"/>
              <w:bottom w:val="none" w:sz="0" w:space="0" w:color="auto"/>
            </w:tcBorders>
            <w:textDirection w:val="btLr"/>
            <w:vAlign w:val="center"/>
          </w:tcPr>
          <w:p w14:paraId="7C22B61E" w14:textId="462A3B10" w:rsidR="00ED3180" w:rsidRPr="00154145" w:rsidRDefault="00ED3180" w:rsidP="00ED3180">
            <w:pPr>
              <w:pStyle w:val="Tableheadingcentered"/>
              <w:spacing w:line="240" w:lineRule="auto"/>
              <w:contextualSpacing/>
              <w:jc w:val="left"/>
              <w:rPr>
                <w:rFonts w:eastAsia="Book Antiqua" w:cstheme="minorHAnsi"/>
                <w:color w:val="323E4F" w:themeColor="text2" w:themeShade="BF"/>
              </w:rPr>
            </w:pPr>
            <w:r w:rsidRPr="00154145">
              <w:rPr>
                <w:rFonts w:eastAsia="Book Antiqua" w:cstheme="minorHAnsi"/>
                <w:color w:val="323E4F" w:themeColor="text2" w:themeShade="BF"/>
              </w:rPr>
              <w:t>Déchets</w:t>
            </w:r>
          </w:p>
        </w:tc>
        <w:tc>
          <w:tcPr>
            <w:tcW w:w="0" w:type="pct"/>
            <w:tcBorders>
              <w:top w:val="none" w:sz="0" w:space="0" w:color="auto"/>
              <w:bottom w:val="none" w:sz="0" w:space="0" w:color="auto"/>
            </w:tcBorders>
            <w:textDirection w:val="btLr"/>
          </w:tcPr>
          <w:p w14:paraId="5AB18546" w14:textId="5D28BAB7" w:rsidR="00ED3180" w:rsidRPr="00154145" w:rsidRDefault="00ED3180" w:rsidP="00ED3180">
            <w:pPr>
              <w:pStyle w:val="Tableheadingcentered"/>
              <w:spacing w:line="240" w:lineRule="auto"/>
              <w:contextualSpacing/>
              <w:jc w:val="left"/>
              <w:rPr>
                <w:rFonts w:eastAsia="Book Antiqua" w:cstheme="minorHAnsi"/>
                <w:color w:val="323E4F" w:themeColor="text2" w:themeShade="BF"/>
              </w:rPr>
            </w:pPr>
            <w:r w:rsidRPr="00154145">
              <w:rPr>
                <w:rFonts w:eastAsia="Book Antiqua" w:cstheme="minorHAnsi"/>
                <w:color w:val="323E4F" w:themeColor="text2" w:themeShade="BF"/>
              </w:rPr>
              <w:t>Conditions de circulation</w:t>
            </w:r>
          </w:p>
        </w:tc>
      </w:tr>
      <w:tr w:rsidR="004D660E" w:rsidRPr="00154145" w14:paraId="094BCFCA" w14:textId="042BDF6D" w:rsidTr="00AC2854">
        <w:trPr>
          <w:trHeight w:hRule="exact" w:val="349"/>
          <w:jc w:val="center"/>
        </w:trPr>
        <w:tc>
          <w:tcPr>
            <w:tcW w:w="0" w:type="pct"/>
            <w:gridSpan w:val="14"/>
            <w:shd w:val="clear" w:color="auto" w:fill="D9E2F3" w:themeFill="accent1" w:themeFillTint="33"/>
            <w:vAlign w:val="center"/>
          </w:tcPr>
          <w:p w14:paraId="684A6684" w14:textId="1E090C24" w:rsidR="004D660E" w:rsidRPr="003E62FC" w:rsidRDefault="004D660E" w:rsidP="00B72215">
            <w:pPr>
              <w:pStyle w:val="Tableheadingleft"/>
              <w:spacing w:line="240" w:lineRule="auto"/>
              <w:contextualSpacing/>
              <w:jc w:val="center"/>
              <w:rPr>
                <w:rFonts w:eastAsia="Book Antiqua" w:cstheme="minorHAnsi"/>
                <w:color w:val="000000" w:themeColor="text1"/>
              </w:rPr>
            </w:pPr>
            <w:r w:rsidRPr="003E62FC">
              <w:rPr>
                <w:rFonts w:eastAsia="Book Antiqua" w:cstheme="minorHAnsi"/>
                <w:color w:val="000000" w:themeColor="text1"/>
              </w:rPr>
              <w:t xml:space="preserve">Phase </w:t>
            </w:r>
            <w:r w:rsidR="00356934" w:rsidRPr="003E62FC">
              <w:rPr>
                <w:rFonts w:eastAsia="Book Antiqua" w:cstheme="minorHAnsi"/>
                <w:color w:val="000000" w:themeColor="text1"/>
              </w:rPr>
              <w:t>de construction</w:t>
            </w:r>
          </w:p>
        </w:tc>
      </w:tr>
      <w:tr w:rsidR="00B051F2" w:rsidRPr="00154145" w14:paraId="7880103E" w14:textId="54DB580B" w:rsidTr="00AC2854">
        <w:trPr>
          <w:trHeight w:val="20"/>
          <w:jc w:val="center"/>
        </w:trPr>
        <w:tc>
          <w:tcPr>
            <w:tcW w:w="0" w:type="pct"/>
            <w:vAlign w:val="center"/>
          </w:tcPr>
          <w:p w14:paraId="3C6F3932" w14:textId="6A9FBF57" w:rsidR="00B051F2" w:rsidRPr="00154145" w:rsidRDefault="00B051F2" w:rsidP="00B051F2">
            <w:pPr>
              <w:pStyle w:val="Tabletextleft"/>
              <w:spacing w:line="240" w:lineRule="auto"/>
              <w:contextualSpacing/>
              <w:jc w:val="both"/>
              <w:rPr>
                <w:rFonts w:eastAsia="Book Antiqua" w:cstheme="minorHAnsi"/>
                <w:b/>
                <w:bCs/>
              </w:rPr>
            </w:pPr>
            <w:r w:rsidRPr="00154145">
              <w:rPr>
                <w:rFonts w:eastAsia="Book Antiqua" w:cstheme="minorHAnsi"/>
                <w:b/>
                <w:bCs/>
              </w:rPr>
              <w:t>Prospections préliminaires</w:t>
            </w:r>
          </w:p>
        </w:tc>
        <w:tc>
          <w:tcPr>
            <w:tcW w:w="0" w:type="pct"/>
            <w:vAlign w:val="center"/>
          </w:tcPr>
          <w:p w14:paraId="11F21194" w14:textId="657B974C" w:rsidR="00B051F2" w:rsidRPr="00154145" w:rsidRDefault="00B051F2" w:rsidP="00B051F2">
            <w:pPr>
              <w:spacing w:before="0" w:after="0" w:line="240" w:lineRule="auto"/>
              <w:contextualSpacing/>
              <w:jc w:val="center"/>
              <w:rPr>
                <w:rFonts w:asciiTheme="minorHAnsi" w:hAnsiTheme="minorHAnsi" w:cstheme="minorHAnsi"/>
                <w:sz w:val="20"/>
                <w:szCs w:val="20"/>
              </w:rPr>
            </w:pPr>
            <w:r w:rsidRPr="00154145">
              <w:rPr>
                <w:rFonts w:asciiTheme="minorHAnsi" w:hAnsiTheme="minorHAnsi" w:cstheme="minorHAnsi"/>
                <w:sz w:val="20"/>
                <w:szCs w:val="20"/>
              </w:rPr>
              <w:t>0</w:t>
            </w:r>
          </w:p>
        </w:tc>
        <w:tc>
          <w:tcPr>
            <w:tcW w:w="0" w:type="pct"/>
            <w:vAlign w:val="center"/>
          </w:tcPr>
          <w:p w14:paraId="0E990926" w14:textId="51682436" w:rsidR="00B051F2" w:rsidRPr="00154145" w:rsidRDefault="00B051F2" w:rsidP="00B051F2">
            <w:pPr>
              <w:pStyle w:val="Tabletextcentered"/>
              <w:spacing w:line="240" w:lineRule="auto"/>
              <w:contextualSpacing/>
              <w:rPr>
                <w:rFonts w:eastAsia="Book Antiqua" w:cstheme="minorHAnsi"/>
              </w:rPr>
            </w:pPr>
            <w:r w:rsidRPr="00154145">
              <w:rPr>
                <w:rFonts w:eastAsia="Book Antiqua" w:cstheme="minorHAnsi"/>
              </w:rPr>
              <w:t>0</w:t>
            </w:r>
          </w:p>
        </w:tc>
        <w:tc>
          <w:tcPr>
            <w:tcW w:w="0" w:type="pct"/>
            <w:vAlign w:val="center"/>
          </w:tcPr>
          <w:p w14:paraId="2000BAFE" w14:textId="2EE210FE" w:rsidR="00B051F2" w:rsidRPr="00154145" w:rsidRDefault="00B051F2" w:rsidP="00B051F2">
            <w:pPr>
              <w:pStyle w:val="Tabletextcentered"/>
              <w:spacing w:line="240" w:lineRule="auto"/>
              <w:contextualSpacing/>
              <w:rPr>
                <w:rFonts w:eastAsia="Book Antiqua" w:cstheme="minorHAnsi"/>
              </w:rPr>
            </w:pPr>
            <w:r w:rsidRPr="00154145">
              <w:rPr>
                <w:rFonts w:eastAsia="Book Antiqua" w:cstheme="minorHAnsi"/>
              </w:rPr>
              <w:t>0</w:t>
            </w:r>
          </w:p>
        </w:tc>
        <w:tc>
          <w:tcPr>
            <w:tcW w:w="0" w:type="pct"/>
            <w:vAlign w:val="center"/>
          </w:tcPr>
          <w:p w14:paraId="571260FD" w14:textId="2F222D26" w:rsidR="00B051F2" w:rsidRPr="00154145" w:rsidRDefault="00B051F2" w:rsidP="00B051F2">
            <w:pPr>
              <w:pStyle w:val="Tabletextcentered"/>
              <w:spacing w:line="240" w:lineRule="auto"/>
              <w:contextualSpacing/>
              <w:rPr>
                <w:rFonts w:eastAsia="Book Antiqua" w:cstheme="minorHAnsi"/>
              </w:rPr>
            </w:pPr>
            <w:r w:rsidRPr="00154145">
              <w:rPr>
                <w:rFonts w:eastAsia="Book Antiqua" w:cstheme="minorHAnsi"/>
              </w:rPr>
              <w:t>-</w:t>
            </w:r>
          </w:p>
        </w:tc>
        <w:tc>
          <w:tcPr>
            <w:tcW w:w="0" w:type="pct"/>
            <w:vAlign w:val="center"/>
          </w:tcPr>
          <w:p w14:paraId="771FA505" w14:textId="50E5BDAE" w:rsidR="00B051F2" w:rsidRPr="00154145" w:rsidRDefault="00B051F2" w:rsidP="00B051F2">
            <w:pPr>
              <w:pStyle w:val="Tabletextcentered"/>
              <w:spacing w:line="240" w:lineRule="auto"/>
              <w:contextualSpacing/>
              <w:rPr>
                <w:rFonts w:cstheme="minorHAnsi"/>
              </w:rPr>
            </w:pPr>
            <w:r w:rsidRPr="00154145">
              <w:rPr>
                <w:rFonts w:cstheme="minorHAnsi"/>
              </w:rPr>
              <w:t>0</w:t>
            </w:r>
          </w:p>
        </w:tc>
        <w:tc>
          <w:tcPr>
            <w:tcW w:w="0" w:type="pct"/>
            <w:vAlign w:val="center"/>
          </w:tcPr>
          <w:p w14:paraId="140AAC3A" w14:textId="5E7489C1" w:rsidR="00B051F2" w:rsidRPr="00154145" w:rsidRDefault="00B051F2" w:rsidP="00B051F2">
            <w:pPr>
              <w:pStyle w:val="Tabletextcentered"/>
              <w:spacing w:line="240" w:lineRule="auto"/>
              <w:contextualSpacing/>
              <w:rPr>
                <w:rFonts w:eastAsia="Book Antiqua" w:cstheme="minorHAnsi"/>
              </w:rPr>
            </w:pPr>
            <w:r w:rsidRPr="00154145">
              <w:rPr>
                <w:rFonts w:eastAsia="Book Antiqua" w:cstheme="minorHAnsi"/>
              </w:rPr>
              <w:t>0</w:t>
            </w:r>
          </w:p>
        </w:tc>
        <w:tc>
          <w:tcPr>
            <w:tcW w:w="0" w:type="pct"/>
            <w:vAlign w:val="center"/>
          </w:tcPr>
          <w:p w14:paraId="787DE6D6" w14:textId="37D592BF" w:rsidR="00B051F2" w:rsidRPr="00154145" w:rsidRDefault="00B051F2" w:rsidP="00B051F2">
            <w:pPr>
              <w:pStyle w:val="Tabletextcentered"/>
              <w:spacing w:line="240" w:lineRule="auto"/>
              <w:contextualSpacing/>
              <w:rPr>
                <w:rFonts w:cstheme="minorHAnsi"/>
              </w:rPr>
            </w:pPr>
            <w:r w:rsidRPr="00154145">
              <w:rPr>
                <w:rFonts w:cstheme="minorHAnsi"/>
              </w:rPr>
              <w:t>0</w:t>
            </w:r>
          </w:p>
        </w:tc>
        <w:tc>
          <w:tcPr>
            <w:tcW w:w="0" w:type="pct"/>
            <w:vAlign w:val="center"/>
          </w:tcPr>
          <w:p w14:paraId="110DA1AC" w14:textId="176B76DE" w:rsidR="00B051F2" w:rsidRPr="00154145" w:rsidRDefault="00B051F2" w:rsidP="00B051F2">
            <w:pPr>
              <w:pStyle w:val="Tabletextcentered"/>
              <w:spacing w:line="240" w:lineRule="auto"/>
              <w:contextualSpacing/>
              <w:rPr>
                <w:rFonts w:cstheme="minorHAnsi"/>
              </w:rPr>
            </w:pPr>
            <w:r w:rsidRPr="00154145">
              <w:rPr>
                <w:rFonts w:eastAsia="Book Antiqua" w:cstheme="minorHAnsi"/>
              </w:rPr>
              <w:t>0</w:t>
            </w:r>
          </w:p>
        </w:tc>
        <w:tc>
          <w:tcPr>
            <w:tcW w:w="0" w:type="pct"/>
            <w:vAlign w:val="center"/>
          </w:tcPr>
          <w:p w14:paraId="52FFF5C3" w14:textId="10BBCF16" w:rsidR="00B051F2" w:rsidRPr="00154145" w:rsidRDefault="00B051F2" w:rsidP="00B051F2">
            <w:pPr>
              <w:pStyle w:val="Tabletextcentered"/>
              <w:spacing w:line="240" w:lineRule="auto"/>
              <w:contextualSpacing/>
              <w:rPr>
                <w:rFonts w:eastAsia="Book Antiqua" w:cstheme="minorHAnsi"/>
              </w:rPr>
            </w:pPr>
            <w:r w:rsidRPr="00154145">
              <w:rPr>
                <w:rFonts w:cstheme="minorHAnsi"/>
              </w:rPr>
              <w:t>0</w:t>
            </w:r>
          </w:p>
        </w:tc>
        <w:tc>
          <w:tcPr>
            <w:tcW w:w="0" w:type="pct"/>
            <w:vAlign w:val="center"/>
          </w:tcPr>
          <w:p w14:paraId="40840F1C" w14:textId="10042775" w:rsidR="00B051F2" w:rsidRPr="00154145" w:rsidRDefault="00B051F2" w:rsidP="00B051F2">
            <w:pPr>
              <w:pStyle w:val="Tabletextcentered"/>
              <w:spacing w:line="240" w:lineRule="auto"/>
              <w:contextualSpacing/>
              <w:rPr>
                <w:rFonts w:eastAsia="Book Antiqua" w:cstheme="minorHAnsi"/>
              </w:rPr>
            </w:pPr>
            <w:r w:rsidRPr="00154145">
              <w:rPr>
                <w:rFonts w:eastAsia="Book Antiqua" w:cstheme="minorHAnsi"/>
              </w:rPr>
              <w:t>0</w:t>
            </w:r>
          </w:p>
        </w:tc>
        <w:tc>
          <w:tcPr>
            <w:tcW w:w="0" w:type="pct"/>
            <w:vAlign w:val="center"/>
          </w:tcPr>
          <w:p w14:paraId="254473C6" w14:textId="0A6A6A48" w:rsidR="00B051F2" w:rsidRPr="00154145" w:rsidRDefault="00B051F2" w:rsidP="00B051F2">
            <w:pPr>
              <w:pStyle w:val="Tabletextcentered"/>
              <w:spacing w:line="240" w:lineRule="auto"/>
              <w:contextualSpacing/>
              <w:rPr>
                <w:rFonts w:cstheme="minorHAnsi"/>
                <w:w w:val="99"/>
              </w:rPr>
            </w:pPr>
            <w:r w:rsidRPr="00154145">
              <w:rPr>
                <w:rFonts w:cstheme="minorHAnsi"/>
              </w:rPr>
              <w:t>0</w:t>
            </w:r>
          </w:p>
        </w:tc>
        <w:tc>
          <w:tcPr>
            <w:tcW w:w="0" w:type="pct"/>
            <w:vAlign w:val="center"/>
          </w:tcPr>
          <w:p w14:paraId="4E1A3B29" w14:textId="2F7BF72B" w:rsidR="00B051F2" w:rsidRPr="00154145" w:rsidRDefault="00B051F2" w:rsidP="00B051F2">
            <w:pPr>
              <w:pStyle w:val="Tabletextcentered"/>
              <w:spacing w:line="240" w:lineRule="auto"/>
              <w:contextualSpacing/>
              <w:rPr>
                <w:rFonts w:eastAsia="Book Antiqua" w:cstheme="minorHAnsi"/>
              </w:rPr>
            </w:pPr>
            <w:r w:rsidRPr="00154145">
              <w:rPr>
                <w:rFonts w:eastAsia="Book Antiqua" w:cstheme="minorHAnsi"/>
              </w:rPr>
              <w:t>0</w:t>
            </w:r>
          </w:p>
        </w:tc>
        <w:tc>
          <w:tcPr>
            <w:tcW w:w="0" w:type="pct"/>
            <w:vAlign w:val="center"/>
          </w:tcPr>
          <w:p w14:paraId="5F5C71A1" w14:textId="41C5EA23" w:rsidR="00B051F2" w:rsidRPr="00154145" w:rsidRDefault="00B051F2" w:rsidP="00B051F2">
            <w:pPr>
              <w:pStyle w:val="Tabletextcentered"/>
              <w:spacing w:line="240" w:lineRule="auto"/>
              <w:contextualSpacing/>
              <w:rPr>
                <w:rFonts w:eastAsia="Book Antiqua" w:cstheme="minorHAnsi"/>
              </w:rPr>
            </w:pPr>
            <w:r w:rsidRPr="00154145">
              <w:rPr>
                <w:rFonts w:cstheme="minorHAnsi"/>
              </w:rPr>
              <w:t>0</w:t>
            </w:r>
          </w:p>
        </w:tc>
      </w:tr>
      <w:tr w:rsidR="00B051F2" w:rsidRPr="00154145" w14:paraId="720B0A1B" w14:textId="2F24530A" w:rsidTr="00AC2854">
        <w:trPr>
          <w:trHeight w:val="20"/>
          <w:jc w:val="center"/>
        </w:trPr>
        <w:tc>
          <w:tcPr>
            <w:tcW w:w="0" w:type="pct"/>
            <w:vAlign w:val="center"/>
          </w:tcPr>
          <w:p w14:paraId="63FC03CC" w14:textId="77777777" w:rsidR="00B051F2" w:rsidRPr="00154145" w:rsidRDefault="00B051F2" w:rsidP="00B051F2">
            <w:pPr>
              <w:pStyle w:val="Tabletextleft"/>
              <w:spacing w:line="240" w:lineRule="auto"/>
              <w:contextualSpacing/>
              <w:jc w:val="both"/>
              <w:rPr>
                <w:rFonts w:eastAsia="Book Antiqua" w:cstheme="minorHAnsi"/>
                <w:b/>
                <w:bCs/>
              </w:rPr>
            </w:pPr>
            <w:r w:rsidRPr="00154145">
              <w:rPr>
                <w:rFonts w:eastAsia="Book Antiqua" w:cstheme="minorHAnsi"/>
                <w:b/>
                <w:bCs/>
              </w:rPr>
              <w:t>Signalisation</w:t>
            </w:r>
          </w:p>
        </w:tc>
        <w:tc>
          <w:tcPr>
            <w:tcW w:w="0" w:type="pct"/>
            <w:vAlign w:val="center"/>
          </w:tcPr>
          <w:p w14:paraId="562A8AE4" w14:textId="2362AE57" w:rsidR="00B051F2" w:rsidRPr="00154145" w:rsidRDefault="00B051F2" w:rsidP="00B051F2">
            <w:pPr>
              <w:spacing w:before="0" w:after="0" w:line="240" w:lineRule="auto"/>
              <w:contextualSpacing/>
              <w:jc w:val="center"/>
              <w:rPr>
                <w:rFonts w:asciiTheme="minorHAnsi" w:hAnsiTheme="minorHAnsi" w:cstheme="minorHAnsi"/>
                <w:sz w:val="20"/>
                <w:szCs w:val="20"/>
              </w:rPr>
            </w:pPr>
            <w:r w:rsidRPr="00154145">
              <w:rPr>
                <w:rFonts w:eastAsia="Book Antiqua" w:cstheme="minorHAnsi"/>
                <w:sz w:val="20"/>
                <w:szCs w:val="20"/>
              </w:rPr>
              <w:t>0</w:t>
            </w:r>
          </w:p>
        </w:tc>
        <w:tc>
          <w:tcPr>
            <w:tcW w:w="0" w:type="pct"/>
            <w:vAlign w:val="center"/>
          </w:tcPr>
          <w:p w14:paraId="391F283E" w14:textId="1BC6FAA7" w:rsidR="00B051F2" w:rsidRPr="00154145" w:rsidRDefault="00B051F2" w:rsidP="00B051F2">
            <w:pPr>
              <w:pStyle w:val="Tabletextcentered"/>
              <w:spacing w:line="240" w:lineRule="auto"/>
              <w:contextualSpacing/>
              <w:rPr>
                <w:rFonts w:eastAsia="Book Antiqua" w:cstheme="minorHAnsi"/>
              </w:rPr>
            </w:pPr>
            <w:r w:rsidRPr="00154145">
              <w:rPr>
                <w:rFonts w:cstheme="minorHAnsi"/>
              </w:rPr>
              <w:t>0</w:t>
            </w:r>
          </w:p>
        </w:tc>
        <w:tc>
          <w:tcPr>
            <w:tcW w:w="0" w:type="pct"/>
            <w:vAlign w:val="center"/>
          </w:tcPr>
          <w:p w14:paraId="7B579D13" w14:textId="3B8A913D" w:rsidR="00B051F2" w:rsidRPr="00154145" w:rsidRDefault="00B051F2" w:rsidP="00B051F2">
            <w:pPr>
              <w:pStyle w:val="Tabletextcentered"/>
              <w:spacing w:line="240" w:lineRule="auto"/>
              <w:contextualSpacing/>
              <w:rPr>
                <w:rFonts w:eastAsia="Book Antiqua" w:cstheme="minorHAnsi"/>
              </w:rPr>
            </w:pPr>
            <w:r w:rsidRPr="00154145">
              <w:rPr>
                <w:rFonts w:eastAsia="Book Antiqua" w:cstheme="minorHAnsi"/>
              </w:rPr>
              <w:t>0</w:t>
            </w:r>
          </w:p>
        </w:tc>
        <w:tc>
          <w:tcPr>
            <w:tcW w:w="0" w:type="pct"/>
            <w:vAlign w:val="center"/>
          </w:tcPr>
          <w:p w14:paraId="6B31D7D6" w14:textId="4D2AE6F7" w:rsidR="00B051F2" w:rsidRPr="00154145" w:rsidRDefault="00B051F2" w:rsidP="00B051F2">
            <w:pPr>
              <w:pStyle w:val="Tabletextcentered"/>
              <w:spacing w:line="240" w:lineRule="auto"/>
              <w:contextualSpacing/>
              <w:rPr>
                <w:rFonts w:eastAsia="Book Antiqua" w:cstheme="minorHAnsi"/>
              </w:rPr>
            </w:pPr>
            <w:r w:rsidRPr="00154145">
              <w:rPr>
                <w:rFonts w:eastAsia="Book Antiqua" w:cstheme="minorHAnsi"/>
              </w:rPr>
              <w:t>-</w:t>
            </w:r>
          </w:p>
        </w:tc>
        <w:tc>
          <w:tcPr>
            <w:tcW w:w="0" w:type="pct"/>
            <w:vAlign w:val="center"/>
          </w:tcPr>
          <w:p w14:paraId="72322958" w14:textId="62F5603A" w:rsidR="00B051F2" w:rsidRPr="00154145" w:rsidRDefault="00B051F2" w:rsidP="00B051F2">
            <w:pPr>
              <w:pStyle w:val="Tabletextcentered"/>
              <w:spacing w:line="240" w:lineRule="auto"/>
              <w:contextualSpacing/>
              <w:rPr>
                <w:rFonts w:cstheme="minorHAnsi"/>
              </w:rPr>
            </w:pPr>
            <w:r w:rsidRPr="00154145">
              <w:rPr>
                <w:rFonts w:eastAsia="Book Antiqua" w:cstheme="minorHAnsi"/>
              </w:rPr>
              <w:t>0</w:t>
            </w:r>
          </w:p>
        </w:tc>
        <w:tc>
          <w:tcPr>
            <w:tcW w:w="0" w:type="pct"/>
            <w:vAlign w:val="center"/>
          </w:tcPr>
          <w:p w14:paraId="096917DF" w14:textId="7A798D73" w:rsidR="00B051F2" w:rsidRPr="00154145" w:rsidRDefault="00B051F2" w:rsidP="00B051F2">
            <w:pPr>
              <w:pStyle w:val="Tabletextcentered"/>
              <w:spacing w:line="240" w:lineRule="auto"/>
              <w:contextualSpacing/>
              <w:rPr>
                <w:rFonts w:eastAsia="Book Antiqua" w:cstheme="minorHAnsi"/>
              </w:rPr>
            </w:pPr>
            <w:r w:rsidRPr="00154145">
              <w:rPr>
                <w:rFonts w:cstheme="minorHAnsi"/>
              </w:rPr>
              <w:t>0</w:t>
            </w:r>
          </w:p>
        </w:tc>
        <w:tc>
          <w:tcPr>
            <w:tcW w:w="0" w:type="pct"/>
            <w:vAlign w:val="center"/>
          </w:tcPr>
          <w:p w14:paraId="1FC58614" w14:textId="243462B3" w:rsidR="00B051F2" w:rsidRPr="00154145" w:rsidRDefault="00B051F2" w:rsidP="00B051F2">
            <w:pPr>
              <w:pStyle w:val="Tabletextcentered"/>
              <w:spacing w:line="240" w:lineRule="auto"/>
              <w:contextualSpacing/>
              <w:rPr>
                <w:rFonts w:cstheme="minorHAnsi"/>
              </w:rPr>
            </w:pPr>
            <w:r w:rsidRPr="00154145">
              <w:rPr>
                <w:rFonts w:eastAsia="Book Antiqua" w:cstheme="minorHAnsi"/>
              </w:rPr>
              <w:t>0</w:t>
            </w:r>
          </w:p>
        </w:tc>
        <w:tc>
          <w:tcPr>
            <w:tcW w:w="0" w:type="pct"/>
            <w:vAlign w:val="center"/>
          </w:tcPr>
          <w:p w14:paraId="77B56C5A" w14:textId="08BB327D" w:rsidR="00B051F2" w:rsidRPr="00154145" w:rsidRDefault="00B051F2" w:rsidP="00B051F2">
            <w:pPr>
              <w:pStyle w:val="Tabletextcentered"/>
              <w:spacing w:line="240" w:lineRule="auto"/>
              <w:contextualSpacing/>
              <w:rPr>
                <w:rFonts w:cstheme="minorHAnsi"/>
              </w:rPr>
            </w:pPr>
            <w:r w:rsidRPr="00154145">
              <w:rPr>
                <w:rFonts w:cstheme="minorHAnsi"/>
              </w:rPr>
              <w:t>0</w:t>
            </w:r>
          </w:p>
        </w:tc>
        <w:tc>
          <w:tcPr>
            <w:tcW w:w="0" w:type="pct"/>
            <w:vAlign w:val="center"/>
          </w:tcPr>
          <w:p w14:paraId="060AB6A7" w14:textId="108CA780" w:rsidR="00B051F2" w:rsidRPr="00154145" w:rsidRDefault="00B051F2" w:rsidP="00B051F2">
            <w:pPr>
              <w:pStyle w:val="Tabletextcentered"/>
              <w:spacing w:line="240" w:lineRule="auto"/>
              <w:contextualSpacing/>
              <w:rPr>
                <w:rFonts w:eastAsia="Book Antiqua" w:cstheme="minorHAnsi"/>
              </w:rPr>
            </w:pPr>
            <w:r w:rsidRPr="00154145">
              <w:rPr>
                <w:rFonts w:eastAsia="Book Antiqua" w:cstheme="minorHAnsi"/>
              </w:rPr>
              <w:t>0</w:t>
            </w:r>
          </w:p>
        </w:tc>
        <w:tc>
          <w:tcPr>
            <w:tcW w:w="0" w:type="pct"/>
            <w:vAlign w:val="center"/>
          </w:tcPr>
          <w:p w14:paraId="640DE52E" w14:textId="7F0294EA" w:rsidR="00B051F2" w:rsidRPr="00154145" w:rsidRDefault="00B051F2" w:rsidP="00B051F2">
            <w:pPr>
              <w:pStyle w:val="Tabletextcentered"/>
              <w:spacing w:line="240" w:lineRule="auto"/>
              <w:contextualSpacing/>
              <w:rPr>
                <w:rFonts w:eastAsia="Book Antiqua" w:cstheme="minorHAnsi"/>
              </w:rPr>
            </w:pPr>
            <w:r w:rsidRPr="00154145">
              <w:rPr>
                <w:rFonts w:cstheme="minorHAnsi"/>
              </w:rPr>
              <w:t>0</w:t>
            </w:r>
          </w:p>
        </w:tc>
        <w:tc>
          <w:tcPr>
            <w:tcW w:w="0" w:type="pct"/>
            <w:vAlign w:val="center"/>
          </w:tcPr>
          <w:p w14:paraId="041DFE9D" w14:textId="2117D6C9" w:rsidR="00B051F2" w:rsidRPr="00154145" w:rsidRDefault="00B051F2" w:rsidP="00B051F2">
            <w:pPr>
              <w:pStyle w:val="Tabletextcentered"/>
              <w:spacing w:line="240" w:lineRule="auto"/>
              <w:contextualSpacing/>
              <w:rPr>
                <w:rFonts w:cstheme="minorHAnsi"/>
                <w:w w:val="99"/>
              </w:rPr>
            </w:pPr>
            <w:r w:rsidRPr="00154145">
              <w:rPr>
                <w:rFonts w:eastAsia="Book Antiqua" w:cstheme="minorHAnsi"/>
              </w:rPr>
              <w:t>0</w:t>
            </w:r>
          </w:p>
        </w:tc>
        <w:tc>
          <w:tcPr>
            <w:tcW w:w="0" w:type="pct"/>
            <w:vAlign w:val="center"/>
          </w:tcPr>
          <w:p w14:paraId="0DBD8BE7" w14:textId="2A97A793" w:rsidR="00B051F2" w:rsidRPr="00154145" w:rsidRDefault="00B051F2" w:rsidP="00B051F2">
            <w:pPr>
              <w:pStyle w:val="Tabletextcentered"/>
              <w:spacing w:line="240" w:lineRule="auto"/>
              <w:contextualSpacing/>
              <w:rPr>
                <w:rFonts w:eastAsia="Book Antiqua" w:cstheme="minorHAnsi"/>
              </w:rPr>
            </w:pPr>
            <w:r w:rsidRPr="00154145">
              <w:rPr>
                <w:rFonts w:cstheme="minorHAnsi"/>
              </w:rPr>
              <w:t>0</w:t>
            </w:r>
          </w:p>
        </w:tc>
        <w:tc>
          <w:tcPr>
            <w:tcW w:w="0" w:type="pct"/>
            <w:vAlign w:val="center"/>
          </w:tcPr>
          <w:p w14:paraId="3BACDF9B" w14:textId="170481FB" w:rsidR="00B051F2" w:rsidRPr="00154145" w:rsidRDefault="00B051F2" w:rsidP="00B051F2">
            <w:pPr>
              <w:pStyle w:val="Tabletextcentered"/>
              <w:spacing w:line="240" w:lineRule="auto"/>
              <w:contextualSpacing/>
              <w:rPr>
                <w:rFonts w:eastAsia="Book Antiqua" w:cstheme="minorHAnsi"/>
              </w:rPr>
            </w:pPr>
            <w:r w:rsidRPr="00154145">
              <w:rPr>
                <w:rFonts w:eastAsia="Book Antiqua" w:cstheme="minorHAnsi"/>
              </w:rPr>
              <w:t>0</w:t>
            </w:r>
          </w:p>
        </w:tc>
      </w:tr>
      <w:tr w:rsidR="00720DC2" w:rsidRPr="00154145" w14:paraId="300CC73F" w14:textId="0D58CFAA" w:rsidTr="00AC2854">
        <w:trPr>
          <w:trHeight w:val="20"/>
          <w:jc w:val="center"/>
        </w:trPr>
        <w:tc>
          <w:tcPr>
            <w:tcW w:w="0" w:type="pct"/>
            <w:vAlign w:val="center"/>
          </w:tcPr>
          <w:p w14:paraId="2C8FB4FB" w14:textId="74E629C1" w:rsidR="00720DC2" w:rsidRPr="00154145" w:rsidRDefault="00720DC2" w:rsidP="00720DC2">
            <w:pPr>
              <w:pStyle w:val="Tabletextleft"/>
              <w:spacing w:line="240" w:lineRule="auto"/>
              <w:contextualSpacing/>
              <w:jc w:val="both"/>
              <w:rPr>
                <w:rFonts w:eastAsia="Book Antiqua" w:cstheme="minorHAnsi"/>
                <w:b/>
                <w:bCs/>
                <w:color w:val="FFFFFF" w:themeColor="background1"/>
              </w:rPr>
            </w:pPr>
            <w:r w:rsidRPr="00154145">
              <w:rPr>
                <w:rFonts w:eastAsia="Book Antiqua" w:cstheme="minorHAnsi"/>
                <w:b/>
                <w:bCs/>
              </w:rPr>
              <w:t>Coupes et déboisement</w:t>
            </w:r>
          </w:p>
        </w:tc>
        <w:tc>
          <w:tcPr>
            <w:tcW w:w="0" w:type="pct"/>
            <w:vAlign w:val="center"/>
          </w:tcPr>
          <w:p w14:paraId="201ECEBD" w14:textId="2F1C03BB" w:rsidR="00720DC2" w:rsidRPr="00154145" w:rsidRDefault="00720DC2" w:rsidP="00720DC2">
            <w:pPr>
              <w:spacing w:before="0" w:after="0" w:line="240" w:lineRule="auto"/>
              <w:contextualSpacing/>
              <w:jc w:val="center"/>
              <w:rPr>
                <w:rFonts w:asciiTheme="minorHAnsi" w:hAnsiTheme="minorHAnsi" w:cstheme="minorHAnsi"/>
                <w:sz w:val="20"/>
                <w:szCs w:val="20"/>
              </w:rPr>
            </w:pPr>
            <w:r w:rsidRPr="00154145">
              <w:rPr>
                <w:rFonts w:eastAsia="Book Antiqua" w:cstheme="minorHAnsi"/>
                <w:sz w:val="20"/>
                <w:szCs w:val="20"/>
              </w:rPr>
              <w:t>0</w:t>
            </w:r>
          </w:p>
        </w:tc>
        <w:tc>
          <w:tcPr>
            <w:tcW w:w="0" w:type="pct"/>
            <w:vAlign w:val="center"/>
          </w:tcPr>
          <w:p w14:paraId="58EDDC0F" w14:textId="2E968B14" w:rsidR="00720DC2" w:rsidRPr="00154145" w:rsidRDefault="00720DC2" w:rsidP="00720DC2">
            <w:pPr>
              <w:pStyle w:val="Tabletextcentered"/>
              <w:spacing w:line="240" w:lineRule="auto"/>
              <w:contextualSpacing/>
              <w:rPr>
                <w:rFonts w:eastAsia="Book Antiqua" w:cstheme="minorHAnsi"/>
              </w:rPr>
            </w:pPr>
            <w:r w:rsidRPr="00154145">
              <w:rPr>
                <w:rFonts w:eastAsia="Book Antiqua" w:cstheme="minorHAnsi"/>
              </w:rPr>
              <w:t>0</w:t>
            </w:r>
          </w:p>
        </w:tc>
        <w:tc>
          <w:tcPr>
            <w:tcW w:w="0" w:type="pct"/>
            <w:vAlign w:val="center"/>
          </w:tcPr>
          <w:p w14:paraId="38201C84" w14:textId="60625CC0" w:rsidR="00720DC2" w:rsidRPr="00154145" w:rsidRDefault="00720DC2" w:rsidP="00720DC2">
            <w:pPr>
              <w:pStyle w:val="Tabletextcentered"/>
              <w:spacing w:line="240" w:lineRule="auto"/>
              <w:contextualSpacing/>
              <w:rPr>
                <w:rFonts w:eastAsia="Book Antiqua" w:cstheme="minorHAnsi"/>
              </w:rPr>
            </w:pPr>
            <w:r w:rsidRPr="00154145">
              <w:rPr>
                <w:rFonts w:cstheme="minorHAnsi"/>
              </w:rPr>
              <w:t>0</w:t>
            </w:r>
          </w:p>
        </w:tc>
        <w:tc>
          <w:tcPr>
            <w:tcW w:w="0" w:type="pct"/>
            <w:vAlign w:val="center"/>
          </w:tcPr>
          <w:p w14:paraId="42F2D177" w14:textId="2709B1A3" w:rsidR="00720DC2" w:rsidRPr="00154145" w:rsidRDefault="00720DC2" w:rsidP="00720DC2">
            <w:pPr>
              <w:pStyle w:val="Tabletextcentered"/>
              <w:spacing w:line="240" w:lineRule="auto"/>
              <w:contextualSpacing/>
              <w:rPr>
                <w:rFonts w:eastAsia="Book Antiqua" w:cstheme="minorHAnsi"/>
              </w:rPr>
            </w:pPr>
            <w:r w:rsidRPr="00154145">
              <w:rPr>
                <w:rFonts w:eastAsia="Book Antiqua" w:cstheme="minorHAnsi"/>
              </w:rPr>
              <w:t>-</w:t>
            </w:r>
          </w:p>
        </w:tc>
        <w:tc>
          <w:tcPr>
            <w:tcW w:w="0" w:type="pct"/>
            <w:vAlign w:val="center"/>
          </w:tcPr>
          <w:p w14:paraId="785A9014" w14:textId="39F07017" w:rsidR="00720DC2" w:rsidRPr="00154145" w:rsidRDefault="00720DC2" w:rsidP="00720DC2">
            <w:pPr>
              <w:pStyle w:val="Tabletextcentered"/>
              <w:spacing w:line="240" w:lineRule="auto"/>
              <w:contextualSpacing/>
              <w:rPr>
                <w:rFonts w:cstheme="minorHAnsi"/>
              </w:rPr>
            </w:pPr>
            <w:r w:rsidRPr="00154145">
              <w:rPr>
                <w:rFonts w:cstheme="minorHAnsi"/>
              </w:rPr>
              <w:t>-</w:t>
            </w:r>
          </w:p>
        </w:tc>
        <w:tc>
          <w:tcPr>
            <w:tcW w:w="0" w:type="pct"/>
            <w:vAlign w:val="center"/>
          </w:tcPr>
          <w:p w14:paraId="455644E7" w14:textId="5808ECD5" w:rsidR="00720DC2" w:rsidRPr="00154145" w:rsidRDefault="00720DC2" w:rsidP="00720DC2">
            <w:pPr>
              <w:pStyle w:val="Tabletextcentered"/>
              <w:spacing w:line="240" w:lineRule="auto"/>
              <w:contextualSpacing/>
              <w:rPr>
                <w:rFonts w:cstheme="minorHAnsi"/>
              </w:rPr>
            </w:pPr>
            <w:r w:rsidRPr="00154145">
              <w:rPr>
                <w:rFonts w:cstheme="minorHAnsi"/>
              </w:rPr>
              <w:t>-</w:t>
            </w:r>
          </w:p>
        </w:tc>
        <w:tc>
          <w:tcPr>
            <w:tcW w:w="0" w:type="pct"/>
            <w:vAlign w:val="center"/>
          </w:tcPr>
          <w:p w14:paraId="199E32A7" w14:textId="18FD7359" w:rsidR="00720DC2" w:rsidRPr="00154145" w:rsidRDefault="00720DC2" w:rsidP="00720DC2">
            <w:pPr>
              <w:pStyle w:val="Tabletextcentered"/>
              <w:spacing w:line="240" w:lineRule="auto"/>
              <w:contextualSpacing/>
              <w:rPr>
                <w:rFonts w:cstheme="minorHAnsi"/>
              </w:rPr>
            </w:pPr>
            <w:r w:rsidRPr="00154145">
              <w:rPr>
                <w:rFonts w:eastAsia="Book Antiqua" w:cstheme="minorHAnsi"/>
              </w:rPr>
              <w:t>0</w:t>
            </w:r>
          </w:p>
        </w:tc>
        <w:tc>
          <w:tcPr>
            <w:tcW w:w="0" w:type="pct"/>
            <w:vAlign w:val="center"/>
          </w:tcPr>
          <w:p w14:paraId="6509F740" w14:textId="4E3ED35B" w:rsidR="00720DC2" w:rsidRPr="00154145" w:rsidRDefault="00720DC2" w:rsidP="00720DC2">
            <w:pPr>
              <w:pStyle w:val="Tabletextcentered"/>
              <w:spacing w:line="240" w:lineRule="auto"/>
              <w:contextualSpacing/>
              <w:rPr>
                <w:rFonts w:cstheme="minorHAnsi"/>
              </w:rPr>
            </w:pPr>
            <w:r w:rsidRPr="00154145">
              <w:rPr>
                <w:rFonts w:cstheme="minorHAnsi"/>
              </w:rPr>
              <w:t>0</w:t>
            </w:r>
          </w:p>
        </w:tc>
        <w:tc>
          <w:tcPr>
            <w:tcW w:w="0" w:type="pct"/>
            <w:vAlign w:val="center"/>
          </w:tcPr>
          <w:p w14:paraId="4A5F3023" w14:textId="5B3F2279" w:rsidR="00720DC2" w:rsidRPr="00154145" w:rsidRDefault="00720DC2" w:rsidP="00720DC2">
            <w:pPr>
              <w:pStyle w:val="Tabletextcentered"/>
              <w:spacing w:line="240" w:lineRule="auto"/>
              <w:contextualSpacing/>
              <w:rPr>
                <w:rFonts w:eastAsia="Book Antiqua" w:cstheme="minorHAnsi"/>
              </w:rPr>
            </w:pPr>
            <w:r w:rsidRPr="00154145">
              <w:rPr>
                <w:rFonts w:eastAsia="Book Antiqua" w:cstheme="minorHAnsi"/>
              </w:rPr>
              <w:t>0</w:t>
            </w:r>
          </w:p>
        </w:tc>
        <w:tc>
          <w:tcPr>
            <w:tcW w:w="0" w:type="pct"/>
            <w:vAlign w:val="center"/>
          </w:tcPr>
          <w:p w14:paraId="40C6790B" w14:textId="5A159929" w:rsidR="00720DC2" w:rsidRPr="00154145" w:rsidRDefault="00720DC2" w:rsidP="00720DC2">
            <w:pPr>
              <w:pStyle w:val="Tabletextcentered"/>
              <w:spacing w:line="240" w:lineRule="auto"/>
              <w:contextualSpacing/>
              <w:rPr>
                <w:rFonts w:eastAsia="Book Antiqua" w:cstheme="minorHAnsi"/>
              </w:rPr>
            </w:pPr>
            <w:r w:rsidRPr="00154145">
              <w:rPr>
                <w:rFonts w:cstheme="minorHAnsi"/>
              </w:rPr>
              <w:t>-</w:t>
            </w:r>
          </w:p>
        </w:tc>
        <w:tc>
          <w:tcPr>
            <w:tcW w:w="0" w:type="pct"/>
            <w:vAlign w:val="center"/>
          </w:tcPr>
          <w:p w14:paraId="191E7C08" w14:textId="2F48AE8A" w:rsidR="00720DC2" w:rsidRPr="00154145" w:rsidRDefault="00720DC2" w:rsidP="00720DC2">
            <w:pPr>
              <w:pStyle w:val="Tabletextcentered"/>
              <w:spacing w:line="240" w:lineRule="auto"/>
              <w:contextualSpacing/>
              <w:rPr>
                <w:rFonts w:cstheme="minorHAnsi"/>
                <w:w w:val="99"/>
              </w:rPr>
            </w:pPr>
            <w:r w:rsidRPr="00154145">
              <w:rPr>
                <w:rFonts w:eastAsia="Book Antiqua" w:cstheme="minorHAnsi"/>
              </w:rPr>
              <w:t>0</w:t>
            </w:r>
          </w:p>
        </w:tc>
        <w:tc>
          <w:tcPr>
            <w:tcW w:w="0" w:type="pct"/>
            <w:vAlign w:val="center"/>
          </w:tcPr>
          <w:p w14:paraId="4188FB00" w14:textId="125CAB3E" w:rsidR="00720DC2" w:rsidRPr="00154145" w:rsidRDefault="00720DC2" w:rsidP="00720DC2">
            <w:pPr>
              <w:pStyle w:val="Tabletextcentered"/>
              <w:spacing w:line="240" w:lineRule="auto"/>
              <w:contextualSpacing/>
              <w:rPr>
                <w:rFonts w:eastAsia="Book Antiqua" w:cstheme="minorHAnsi"/>
              </w:rPr>
            </w:pPr>
            <w:r w:rsidRPr="00154145">
              <w:rPr>
                <w:rFonts w:cstheme="minorHAnsi"/>
              </w:rPr>
              <w:t>0</w:t>
            </w:r>
          </w:p>
        </w:tc>
        <w:tc>
          <w:tcPr>
            <w:tcW w:w="0" w:type="pct"/>
            <w:vAlign w:val="center"/>
          </w:tcPr>
          <w:p w14:paraId="3F11FC67" w14:textId="08222B77" w:rsidR="00720DC2" w:rsidRPr="00154145" w:rsidRDefault="00720DC2" w:rsidP="00720DC2">
            <w:pPr>
              <w:pStyle w:val="Tabletextcentered"/>
              <w:spacing w:line="240" w:lineRule="auto"/>
              <w:contextualSpacing/>
              <w:rPr>
                <w:rFonts w:cstheme="minorHAnsi"/>
              </w:rPr>
            </w:pPr>
            <w:r w:rsidRPr="00154145">
              <w:rPr>
                <w:rFonts w:eastAsia="Book Antiqua" w:cstheme="minorHAnsi"/>
              </w:rPr>
              <w:t>0</w:t>
            </w:r>
          </w:p>
        </w:tc>
      </w:tr>
      <w:tr w:rsidR="00CC75B4" w:rsidRPr="00154145" w14:paraId="6958FAFF" w14:textId="035DC0CB" w:rsidTr="00AC2854">
        <w:trPr>
          <w:trHeight w:val="20"/>
          <w:jc w:val="center"/>
        </w:trPr>
        <w:tc>
          <w:tcPr>
            <w:tcW w:w="0" w:type="pct"/>
            <w:vAlign w:val="center"/>
          </w:tcPr>
          <w:p w14:paraId="75448ED4" w14:textId="5600ABDD" w:rsidR="00CC75B4" w:rsidRPr="00154145" w:rsidRDefault="00CC75B4" w:rsidP="00CC75B4">
            <w:pPr>
              <w:pStyle w:val="Tabletextleft"/>
              <w:spacing w:line="240" w:lineRule="auto"/>
              <w:contextualSpacing/>
              <w:jc w:val="both"/>
              <w:rPr>
                <w:rFonts w:eastAsia="Book Antiqua" w:cstheme="minorHAnsi"/>
                <w:b/>
                <w:bCs/>
              </w:rPr>
            </w:pPr>
            <w:r w:rsidRPr="00154145">
              <w:rPr>
                <w:rFonts w:cstheme="minorHAnsi"/>
                <w:b/>
                <w:bCs/>
              </w:rPr>
              <w:t>Installation du chantier</w:t>
            </w:r>
          </w:p>
        </w:tc>
        <w:tc>
          <w:tcPr>
            <w:tcW w:w="0" w:type="pct"/>
            <w:vAlign w:val="center"/>
          </w:tcPr>
          <w:p w14:paraId="62285E23" w14:textId="6C4DB2F9" w:rsidR="00CC75B4" w:rsidRPr="00154145" w:rsidRDefault="00DB79DC" w:rsidP="00CC75B4">
            <w:pPr>
              <w:spacing w:before="0" w:after="0" w:line="240" w:lineRule="auto"/>
              <w:contextualSpacing/>
              <w:jc w:val="center"/>
              <w:rPr>
                <w:rFonts w:asciiTheme="minorHAnsi" w:hAnsiTheme="minorHAnsi" w:cstheme="minorHAnsi"/>
                <w:sz w:val="20"/>
                <w:szCs w:val="20"/>
              </w:rPr>
            </w:pPr>
            <w:r w:rsidRPr="00154145">
              <w:rPr>
                <w:rFonts w:asciiTheme="minorHAnsi" w:hAnsiTheme="minorHAnsi" w:cstheme="minorHAnsi"/>
                <w:sz w:val="20"/>
                <w:szCs w:val="20"/>
              </w:rPr>
              <w:t>-</w:t>
            </w:r>
          </w:p>
        </w:tc>
        <w:tc>
          <w:tcPr>
            <w:tcW w:w="0" w:type="pct"/>
            <w:vAlign w:val="center"/>
          </w:tcPr>
          <w:p w14:paraId="41B0601F" w14:textId="7452F34E" w:rsidR="00CC75B4" w:rsidRPr="00154145" w:rsidRDefault="00CC75B4" w:rsidP="00CC75B4">
            <w:pPr>
              <w:pStyle w:val="Tabletextcentered"/>
              <w:spacing w:line="240" w:lineRule="auto"/>
              <w:contextualSpacing/>
              <w:rPr>
                <w:rFonts w:eastAsia="Book Antiqua" w:cstheme="minorHAnsi"/>
              </w:rPr>
            </w:pPr>
            <w:r w:rsidRPr="00154145">
              <w:rPr>
                <w:rFonts w:eastAsia="Book Antiqua" w:cstheme="minorHAnsi"/>
              </w:rPr>
              <w:t>-</w:t>
            </w:r>
          </w:p>
        </w:tc>
        <w:tc>
          <w:tcPr>
            <w:tcW w:w="0" w:type="pct"/>
            <w:vAlign w:val="center"/>
          </w:tcPr>
          <w:p w14:paraId="26646552" w14:textId="2D4CF7EA" w:rsidR="00CC75B4" w:rsidRPr="00154145" w:rsidRDefault="00CC75B4" w:rsidP="00CC75B4">
            <w:pPr>
              <w:pStyle w:val="Tabletextcentered"/>
              <w:spacing w:line="240" w:lineRule="auto"/>
              <w:contextualSpacing/>
              <w:rPr>
                <w:rFonts w:eastAsia="Book Antiqua" w:cstheme="minorHAnsi"/>
              </w:rPr>
            </w:pPr>
            <w:r w:rsidRPr="00154145">
              <w:rPr>
                <w:rFonts w:eastAsia="Book Antiqua" w:cstheme="minorHAnsi"/>
              </w:rPr>
              <w:t>-</w:t>
            </w:r>
          </w:p>
        </w:tc>
        <w:tc>
          <w:tcPr>
            <w:tcW w:w="0" w:type="pct"/>
            <w:vAlign w:val="center"/>
          </w:tcPr>
          <w:p w14:paraId="748FCF61" w14:textId="7CCF9A28" w:rsidR="00CC75B4" w:rsidRPr="00154145" w:rsidRDefault="00CC75B4" w:rsidP="00CC75B4">
            <w:pPr>
              <w:pStyle w:val="Tabletextcentered"/>
              <w:spacing w:line="240" w:lineRule="auto"/>
              <w:contextualSpacing/>
              <w:rPr>
                <w:rFonts w:eastAsia="Book Antiqua" w:cstheme="minorHAnsi"/>
              </w:rPr>
            </w:pPr>
            <w:r w:rsidRPr="00154145">
              <w:rPr>
                <w:rFonts w:eastAsia="Book Antiqua" w:cstheme="minorHAnsi"/>
              </w:rPr>
              <w:t>-</w:t>
            </w:r>
          </w:p>
        </w:tc>
        <w:tc>
          <w:tcPr>
            <w:tcW w:w="0" w:type="pct"/>
            <w:vAlign w:val="center"/>
          </w:tcPr>
          <w:p w14:paraId="4C13BF36" w14:textId="4359DBAE" w:rsidR="00CC75B4" w:rsidRPr="00154145" w:rsidRDefault="00CC75B4" w:rsidP="00CC75B4">
            <w:pPr>
              <w:pStyle w:val="Tabletextcentered"/>
              <w:spacing w:line="240" w:lineRule="auto"/>
              <w:contextualSpacing/>
              <w:rPr>
                <w:rFonts w:cstheme="minorHAnsi"/>
              </w:rPr>
            </w:pPr>
            <w:r w:rsidRPr="00154145">
              <w:rPr>
                <w:rFonts w:cstheme="minorHAnsi"/>
              </w:rPr>
              <w:t>-</w:t>
            </w:r>
          </w:p>
        </w:tc>
        <w:tc>
          <w:tcPr>
            <w:tcW w:w="0" w:type="pct"/>
            <w:vAlign w:val="center"/>
          </w:tcPr>
          <w:p w14:paraId="2C9B67F0" w14:textId="694D7275" w:rsidR="00CC75B4" w:rsidRPr="00154145" w:rsidRDefault="00CC75B4" w:rsidP="00CC75B4">
            <w:pPr>
              <w:pStyle w:val="Tabletextcentered"/>
              <w:spacing w:line="240" w:lineRule="auto"/>
              <w:contextualSpacing/>
              <w:rPr>
                <w:rFonts w:cstheme="minorHAnsi"/>
              </w:rPr>
            </w:pPr>
            <w:r w:rsidRPr="00154145">
              <w:rPr>
                <w:rFonts w:cstheme="minorHAnsi"/>
              </w:rPr>
              <w:t>-</w:t>
            </w:r>
          </w:p>
        </w:tc>
        <w:tc>
          <w:tcPr>
            <w:tcW w:w="0" w:type="pct"/>
            <w:vAlign w:val="center"/>
          </w:tcPr>
          <w:p w14:paraId="60EF3C8D" w14:textId="5B2CE0F2" w:rsidR="00CC75B4" w:rsidRPr="00154145" w:rsidRDefault="00CC75B4" w:rsidP="00CC75B4">
            <w:pPr>
              <w:pStyle w:val="Tabletextcentered"/>
              <w:spacing w:line="240" w:lineRule="auto"/>
              <w:contextualSpacing/>
              <w:rPr>
                <w:rFonts w:cstheme="minorHAnsi"/>
              </w:rPr>
            </w:pPr>
            <w:r w:rsidRPr="00154145">
              <w:rPr>
                <w:rFonts w:cstheme="minorHAnsi"/>
              </w:rPr>
              <w:t>-</w:t>
            </w:r>
          </w:p>
        </w:tc>
        <w:tc>
          <w:tcPr>
            <w:tcW w:w="0" w:type="pct"/>
            <w:vAlign w:val="center"/>
          </w:tcPr>
          <w:p w14:paraId="54F2C94F" w14:textId="7339E240" w:rsidR="00CC75B4" w:rsidRPr="00154145" w:rsidRDefault="00CC75B4" w:rsidP="00CC75B4">
            <w:pPr>
              <w:pStyle w:val="Tabletextcentered"/>
              <w:spacing w:line="240" w:lineRule="auto"/>
              <w:contextualSpacing/>
              <w:rPr>
                <w:rFonts w:cstheme="minorHAnsi"/>
              </w:rPr>
            </w:pPr>
            <w:r w:rsidRPr="00154145">
              <w:rPr>
                <w:rFonts w:cstheme="minorHAnsi"/>
              </w:rPr>
              <w:t>+</w:t>
            </w:r>
          </w:p>
        </w:tc>
        <w:tc>
          <w:tcPr>
            <w:tcW w:w="0" w:type="pct"/>
            <w:vAlign w:val="center"/>
          </w:tcPr>
          <w:p w14:paraId="0121BE9C" w14:textId="2D8FA1BF" w:rsidR="00CC75B4" w:rsidRPr="00154145" w:rsidRDefault="00CC75B4" w:rsidP="00CC75B4">
            <w:pPr>
              <w:pStyle w:val="Tabletextcentered"/>
              <w:spacing w:line="240" w:lineRule="auto"/>
              <w:contextualSpacing/>
              <w:rPr>
                <w:rFonts w:eastAsia="Book Antiqua" w:cstheme="minorHAnsi"/>
              </w:rPr>
            </w:pPr>
            <w:r w:rsidRPr="00154145">
              <w:rPr>
                <w:rFonts w:eastAsia="Book Antiqua" w:cstheme="minorHAnsi"/>
              </w:rPr>
              <w:t>0</w:t>
            </w:r>
          </w:p>
        </w:tc>
        <w:tc>
          <w:tcPr>
            <w:tcW w:w="0" w:type="pct"/>
            <w:vAlign w:val="center"/>
          </w:tcPr>
          <w:p w14:paraId="069A1129" w14:textId="35342115" w:rsidR="00CC75B4" w:rsidRPr="00154145" w:rsidRDefault="00CC75B4" w:rsidP="00CC75B4">
            <w:pPr>
              <w:pStyle w:val="Tabletextcentered"/>
              <w:spacing w:line="240" w:lineRule="auto"/>
              <w:contextualSpacing/>
              <w:rPr>
                <w:rFonts w:eastAsia="Book Antiqua" w:cstheme="minorHAnsi"/>
              </w:rPr>
            </w:pPr>
            <w:r w:rsidRPr="00154145">
              <w:rPr>
                <w:rFonts w:eastAsia="Book Antiqua" w:cstheme="minorHAnsi"/>
              </w:rPr>
              <w:t>-</w:t>
            </w:r>
          </w:p>
        </w:tc>
        <w:tc>
          <w:tcPr>
            <w:tcW w:w="0" w:type="pct"/>
            <w:vAlign w:val="center"/>
          </w:tcPr>
          <w:p w14:paraId="5F9104FF" w14:textId="3523BF3F" w:rsidR="00CC75B4" w:rsidRPr="00154145" w:rsidRDefault="00CC75B4" w:rsidP="00CC75B4">
            <w:pPr>
              <w:pStyle w:val="Tabletextcentered"/>
              <w:spacing w:line="240" w:lineRule="auto"/>
              <w:contextualSpacing/>
              <w:rPr>
                <w:rFonts w:cstheme="minorHAnsi"/>
                <w:w w:val="99"/>
              </w:rPr>
            </w:pPr>
            <w:r w:rsidRPr="00154145">
              <w:rPr>
                <w:rFonts w:cstheme="minorHAnsi"/>
                <w:w w:val="99"/>
              </w:rPr>
              <w:t>0</w:t>
            </w:r>
          </w:p>
        </w:tc>
        <w:tc>
          <w:tcPr>
            <w:tcW w:w="0" w:type="pct"/>
            <w:vAlign w:val="center"/>
          </w:tcPr>
          <w:p w14:paraId="59798B53" w14:textId="18AD0DF4" w:rsidR="00CC75B4" w:rsidRPr="00154145" w:rsidRDefault="00CC75B4" w:rsidP="00CC75B4">
            <w:pPr>
              <w:pStyle w:val="Tabletextcentered"/>
              <w:spacing w:line="240" w:lineRule="auto"/>
              <w:contextualSpacing/>
              <w:rPr>
                <w:rFonts w:eastAsia="Book Antiqua" w:cstheme="minorHAnsi"/>
              </w:rPr>
            </w:pPr>
            <w:r w:rsidRPr="00154145">
              <w:rPr>
                <w:rFonts w:eastAsia="Book Antiqua" w:cstheme="minorHAnsi"/>
              </w:rPr>
              <w:t>-</w:t>
            </w:r>
          </w:p>
        </w:tc>
        <w:tc>
          <w:tcPr>
            <w:tcW w:w="0" w:type="pct"/>
            <w:vAlign w:val="center"/>
          </w:tcPr>
          <w:p w14:paraId="26E2E431" w14:textId="09A1A113" w:rsidR="00CC75B4" w:rsidRPr="00154145" w:rsidRDefault="00CC75B4" w:rsidP="00CC75B4">
            <w:pPr>
              <w:pStyle w:val="Tabletextcentered"/>
              <w:spacing w:line="240" w:lineRule="auto"/>
              <w:contextualSpacing/>
              <w:rPr>
                <w:rFonts w:cstheme="minorHAnsi"/>
              </w:rPr>
            </w:pPr>
            <w:r w:rsidRPr="00154145">
              <w:rPr>
                <w:rFonts w:cstheme="minorHAnsi"/>
              </w:rPr>
              <w:t>-</w:t>
            </w:r>
          </w:p>
        </w:tc>
      </w:tr>
      <w:tr w:rsidR="00CC75B4" w:rsidRPr="00154145" w14:paraId="1BF19BF8" w14:textId="6A165F03" w:rsidTr="00AC2854">
        <w:trPr>
          <w:trHeight w:val="20"/>
          <w:jc w:val="center"/>
        </w:trPr>
        <w:tc>
          <w:tcPr>
            <w:tcW w:w="0" w:type="pct"/>
            <w:vAlign w:val="center"/>
          </w:tcPr>
          <w:p w14:paraId="15A2089E" w14:textId="217F0B4B" w:rsidR="00CC75B4" w:rsidRPr="00154145" w:rsidRDefault="00120DFE" w:rsidP="00CC75B4">
            <w:pPr>
              <w:pStyle w:val="Tabletextleft"/>
              <w:spacing w:line="240" w:lineRule="auto"/>
              <w:contextualSpacing/>
              <w:jc w:val="both"/>
              <w:rPr>
                <w:rFonts w:eastAsia="Book Antiqua" w:cstheme="minorHAnsi"/>
                <w:b/>
                <w:bCs/>
                <w:color w:val="FFFFFF" w:themeColor="background1"/>
              </w:rPr>
            </w:pPr>
            <w:r w:rsidRPr="00154145">
              <w:rPr>
                <w:rFonts w:eastAsia="Book Antiqua" w:cstheme="minorHAnsi"/>
                <w:b/>
                <w:bCs/>
              </w:rPr>
              <w:t xml:space="preserve">Libération de l’emprise et </w:t>
            </w:r>
            <w:r w:rsidRPr="00154145">
              <w:rPr>
                <w:rFonts w:cstheme="minorHAnsi"/>
                <w:b/>
                <w:bCs/>
              </w:rPr>
              <w:t>ouverture des accès</w:t>
            </w:r>
          </w:p>
        </w:tc>
        <w:tc>
          <w:tcPr>
            <w:tcW w:w="0" w:type="pct"/>
            <w:vAlign w:val="center"/>
          </w:tcPr>
          <w:p w14:paraId="0431522B" w14:textId="7BD7E5C0" w:rsidR="00CC75B4" w:rsidRPr="00154145" w:rsidRDefault="00DB79DC" w:rsidP="00CC75B4">
            <w:pPr>
              <w:spacing w:before="0" w:after="0" w:line="240" w:lineRule="auto"/>
              <w:contextualSpacing/>
              <w:jc w:val="center"/>
              <w:rPr>
                <w:rFonts w:asciiTheme="minorHAnsi" w:hAnsiTheme="minorHAnsi" w:cstheme="minorHAnsi"/>
                <w:sz w:val="20"/>
                <w:szCs w:val="20"/>
              </w:rPr>
            </w:pPr>
            <w:r w:rsidRPr="00154145">
              <w:rPr>
                <w:rFonts w:asciiTheme="minorHAnsi" w:hAnsiTheme="minorHAnsi" w:cstheme="minorHAnsi"/>
                <w:sz w:val="20"/>
                <w:szCs w:val="20"/>
              </w:rPr>
              <w:t>-</w:t>
            </w:r>
          </w:p>
        </w:tc>
        <w:tc>
          <w:tcPr>
            <w:tcW w:w="0" w:type="pct"/>
            <w:vAlign w:val="center"/>
          </w:tcPr>
          <w:p w14:paraId="7329FB02" w14:textId="7DA20FE5" w:rsidR="00CC75B4" w:rsidRPr="00154145" w:rsidRDefault="00373C3A" w:rsidP="00CC75B4">
            <w:pPr>
              <w:pStyle w:val="Tabletextcentered"/>
              <w:spacing w:line="240" w:lineRule="auto"/>
              <w:contextualSpacing/>
              <w:rPr>
                <w:rFonts w:eastAsia="Book Antiqua" w:cstheme="minorHAnsi"/>
              </w:rPr>
            </w:pPr>
            <w:r w:rsidRPr="00154145">
              <w:rPr>
                <w:rFonts w:eastAsia="Book Antiqua" w:cstheme="minorHAnsi"/>
              </w:rPr>
              <w:t>-</w:t>
            </w:r>
          </w:p>
        </w:tc>
        <w:tc>
          <w:tcPr>
            <w:tcW w:w="0" w:type="pct"/>
            <w:vAlign w:val="center"/>
          </w:tcPr>
          <w:p w14:paraId="2C8F6F31" w14:textId="2495FB26" w:rsidR="00CC75B4" w:rsidRPr="00154145" w:rsidRDefault="00DB79DC" w:rsidP="00CC75B4">
            <w:pPr>
              <w:pStyle w:val="Tabletextcentered"/>
              <w:spacing w:line="240" w:lineRule="auto"/>
              <w:contextualSpacing/>
              <w:rPr>
                <w:rFonts w:eastAsia="Book Antiqua" w:cstheme="minorHAnsi"/>
              </w:rPr>
            </w:pPr>
            <w:r w:rsidRPr="00154145">
              <w:rPr>
                <w:rFonts w:eastAsia="Book Antiqua" w:cstheme="minorHAnsi"/>
              </w:rPr>
              <w:t>0</w:t>
            </w:r>
          </w:p>
        </w:tc>
        <w:tc>
          <w:tcPr>
            <w:tcW w:w="0" w:type="pct"/>
            <w:vAlign w:val="center"/>
          </w:tcPr>
          <w:p w14:paraId="15A98132" w14:textId="581DA39C" w:rsidR="00CC75B4" w:rsidRPr="00154145" w:rsidRDefault="00DB79DC" w:rsidP="00CC75B4">
            <w:pPr>
              <w:pStyle w:val="Tabletextcentered"/>
              <w:spacing w:line="240" w:lineRule="auto"/>
              <w:contextualSpacing/>
              <w:rPr>
                <w:rFonts w:eastAsia="Book Antiqua" w:cstheme="minorHAnsi"/>
              </w:rPr>
            </w:pPr>
            <w:r w:rsidRPr="00154145">
              <w:rPr>
                <w:rFonts w:eastAsia="Book Antiqua" w:cstheme="minorHAnsi"/>
              </w:rPr>
              <w:t>-</w:t>
            </w:r>
          </w:p>
        </w:tc>
        <w:tc>
          <w:tcPr>
            <w:tcW w:w="0" w:type="pct"/>
            <w:vAlign w:val="center"/>
          </w:tcPr>
          <w:p w14:paraId="22CE1F33" w14:textId="041A84C5" w:rsidR="00CC75B4" w:rsidRPr="00154145" w:rsidRDefault="00DB79DC" w:rsidP="00CC75B4">
            <w:pPr>
              <w:pStyle w:val="Tabletextcentered"/>
              <w:spacing w:line="240" w:lineRule="auto"/>
              <w:contextualSpacing/>
              <w:rPr>
                <w:rFonts w:cstheme="minorHAnsi"/>
              </w:rPr>
            </w:pPr>
            <w:r w:rsidRPr="00154145">
              <w:rPr>
                <w:rFonts w:cstheme="minorHAnsi"/>
              </w:rPr>
              <w:t>-</w:t>
            </w:r>
          </w:p>
        </w:tc>
        <w:tc>
          <w:tcPr>
            <w:tcW w:w="0" w:type="pct"/>
            <w:vAlign w:val="center"/>
          </w:tcPr>
          <w:p w14:paraId="588FBEAB" w14:textId="08643F07" w:rsidR="00CC75B4" w:rsidRPr="00154145" w:rsidRDefault="00DB79DC" w:rsidP="00CC75B4">
            <w:pPr>
              <w:pStyle w:val="Tabletextcentered"/>
              <w:spacing w:line="240" w:lineRule="auto"/>
              <w:contextualSpacing/>
              <w:rPr>
                <w:rFonts w:cstheme="minorHAnsi"/>
              </w:rPr>
            </w:pPr>
            <w:r w:rsidRPr="00154145">
              <w:rPr>
                <w:rFonts w:cstheme="minorHAnsi"/>
              </w:rPr>
              <w:t>0</w:t>
            </w:r>
          </w:p>
        </w:tc>
        <w:tc>
          <w:tcPr>
            <w:tcW w:w="0" w:type="pct"/>
            <w:vAlign w:val="center"/>
          </w:tcPr>
          <w:p w14:paraId="1D92897A" w14:textId="08D2B1A2" w:rsidR="00CC75B4" w:rsidRPr="00154145" w:rsidRDefault="00DB79DC" w:rsidP="00CC75B4">
            <w:pPr>
              <w:pStyle w:val="Tabletextcentered"/>
              <w:spacing w:line="240" w:lineRule="auto"/>
              <w:contextualSpacing/>
              <w:rPr>
                <w:rFonts w:cstheme="minorHAnsi"/>
              </w:rPr>
            </w:pPr>
            <w:r w:rsidRPr="00154145">
              <w:rPr>
                <w:rFonts w:cstheme="minorHAnsi"/>
              </w:rPr>
              <w:t>-</w:t>
            </w:r>
          </w:p>
        </w:tc>
        <w:tc>
          <w:tcPr>
            <w:tcW w:w="0" w:type="pct"/>
            <w:vAlign w:val="center"/>
          </w:tcPr>
          <w:p w14:paraId="19B0E19E" w14:textId="15F54F46" w:rsidR="00CC75B4" w:rsidRPr="00154145" w:rsidRDefault="00DB79DC" w:rsidP="00CC75B4">
            <w:pPr>
              <w:pStyle w:val="Tabletextcentered"/>
              <w:spacing w:line="240" w:lineRule="auto"/>
              <w:contextualSpacing/>
              <w:rPr>
                <w:rFonts w:cstheme="minorHAnsi"/>
              </w:rPr>
            </w:pPr>
            <w:r w:rsidRPr="00154145">
              <w:rPr>
                <w:rFonts w:cstheme="minorHAnsi"/>
              </w:rPr>
              <w:t>0</w:t>
            </w:r>
          </w:p>
        </w:tc>
        <w:tc>
          <w:tcPr>
            <w:tcW w:w="0" w:type="pct"/>
            <w:vAlign w:val="center"/>
          </w:tcPr>
          <w:p w14:paraId="31CC2B23" w14:textId="7EEEE57A" w:rsidR="00CC75B4" w:rsidRPr="00154145" w:rsidRDefault="00DB79DC" w:rsidP="00CC75B4">
            <w:pPr>
              <w:pStyle w:val="Tabletextcentered"/>
              <w:spacing w:line="240" w:lineRule="auto"/>
              <w:contextualSpacing/>
              <w:rPr>
                <w:rFonts w:eastAsia="Book Antiqua" w:cstheme="minorHAnsi"/>
              </w:rPr>
            </w:pPr>
            <w:r w:rsidRPr="00154145">
              <w:rPr>
                <w:rFonts w:eastAsia="Book Antiqua" w:cstheme="minorHAnsi"/>
              </w:rPr>
              <w:t>0</w:t>
            </w:r>
          </w:p>
        </w:tc>
        <w:tc>
          <w:tcPr>
            <w:tcW w:w="0" w:type="pct"/>
            <w:vAlign w:val="center"/>
          </w:tcPr>
          <w:p w14:paraId="009FB529" w14:textId="2DE66A3D" w:rsidR="00CC75B4" w:rsidRPr="00154145" w:rsidRDefault="00DB79DC" w:rsidP="00CC75B4">
            <w:pPr>
              <w:pStyle w:val="Tabletextcentered"/>
              <w:spacing w:line="240" w:lineRule="auto"/>
              <w:contextualSpacing/>
              <w:rPr>
                <w:rFonts w:eastAsia="Book Antiqua" w:cstheme="minorHAnsi"/>
              </w:rPr>
            </w:pPr>
            <w:r w:rsidRPr="00154145">
              <w:rPr>
                <w:rFonts w:eastAsia="Book Antiqua" w:cstheme="minorHAnsi"/>
              </w:rPr>
              <w:t>0</w:t>
            </w:r>
          </w:p>
        </w:tc>
        <w:tc>
          <w:tcPr>
            <w:tcW w:w="0" w:type="pct"/>
            <w:vAlign w:val="center"/>
          </w:tcPr>
          <w:p w14:paraId="09F59866" w14:textId="7B8675CE" w:rsidR="00CC75B4" w:rsidRPr="00154145" w:rsidRDefault="00DB79DC" w:rsidP="00CC75B4">
            <w:pPr>
              <w:pStyle w:val="Tabletextcentered"/>
              <w:spacing w:line="240" w:lineRule="auto"/>
              <w:contextualSpacing/>
              <w:rPr>
                <w:rFonts w:cstheme="minorHAnsi"/>
                <w:w w:val="99"/>
              </w:rPr>
            </w:pPr>
            <w:r w:rsidRPr="00154145">
              <w:rPr>
                <w:rFonts w:cstheme="minorHAnsi"/>
                <w:w w:val="99"/>
              </w:rPr>
              <w:t>0</w:t>
            </w:r>
          </w:p>
        </w:tc>
        <w:tc>
          <w:tcPr>
            <w:tcW w:w="0" w:type="pct"/>
            <w:vAlign w:val="center"/>
          </w:tcPr>
          <w:p w14:paraId="2DE444DE" w14:textId="70626342" w:rsidR="00CC75B4" w:rsidRPr="00154145" w:rsidRDefault="00DB79DC" w:rsidP="00CC75B4">
            <w:pPr>
              <w:pStyle w:val="Tabletextcentered"/>
              <w:spacing w:line="240" w:lineRule="auto"/>
              <w:contextualSpacing/>
              <w:rPr>
                <w:rFonts w:eastAsia="Book Antiqua" w:cstheme="minorHAnsi"/>
              </w:rPr>
            </w:pPr>
            <w:r w:rsidRPr="00154145">
              <w:rPr>
                <w:rFonts w:eastAsia="Book Antiqua" w:cstheme="minorHAnsi"/>
              </w:rPr>
              <w:t>-</w:t>
            </w:r>
          </w:p>
        </w:tc>
        <w:tc>
          <w:tcPr>
            <w:tcW w:w="0" w:type="pct"/>
            <w:vAlign w:val="center"/>
          </w:tcPr>
          <w:p w14:paraId="2932C663" w14:textId="0986CBE6" w:rsidR="00CC75B4" w:rsidRPr="00154145" w:rsidRDefault="00DB79DC" w:rsidP="00CC75B4">
            <w:pPr>
              <w:pStyle w:val="Tabletextcentered"/>
              <w:spacing w:line="240" w:lineRule="auto"/>
              <w:contextualSpacing/>
              <w:rPr>
                <w:rFonts w:cstheme="minorHAnsi"/>
              </w:rPr>
            </w:pPr>
            <w:r w:rsidRPr="00154145">
              <w:rPr>
                <w:rFonts w:cstheme="minorHAnsi"/>
              </w:rPr>
              <w:t>0</w:t>
            </w:r>
          </w:p>
        </w:tc>
      </w:tr>
      <w:tr w:rsidR="00CC75B4" w:rsidRPr="00154145" w14:paraId="0F9E5513" w14:textId="46A3D17B" w:rsidTr="00AC2854">
        <w:trPr>
          <w:trHeight w:val="20"/>
          <w:jc w:val="center"/>
        </w:trPr>
        <w:tc>
          <w:tcPr>
            <w:tcW w:w="0" w:type="pct"/>
            <w:vAlign w:val="center"/>
          </w:tcPr>
          <w:p w14:paraId="1EF94CAE" w14:textId="3E8C5241" w:rsidR="00CC75B4" w:rsidRPr="00154145" w:rsidRDefault="00120DFE" w:rsidP="00CC75B4">
            <w:pPr>
              <w:spacing w:before="0" w:after="0" w:line="240" w:lineRule="auto"/>
              <w:contextualSpacing/>
              <w:rPr>
                <w:rFonts w:asciiTheme="minorHAnsi" w:hAnsiTheme="minorHAnsi" w:cstheme="minorHAnsi"/>
                <w:b/>
                <w:bCs/>
                <w:sz w:val="20"/>
                <w:szCs w:val="20"/>
              </w:rPr>
            </w:pPr>
            <w:r w:rsidRPr="00154145">
              <w:rPr>
                <w:rFonts w:asciiTheme="minorHAnsi" w:eastAsiaTheme="minorEastAsia" w:hAnsiTheme="minorHAnsi" w:cstheme="minorHAnsi"/>
                <w:b/>
                <w:bCs/>
                <w:sz w:val="20"/>
                <w:szCs w:val="20"/>
              </w:rPr>
              <w:t>Transport et circulation</w:t>
            </w:r>
          </w:p>
        </w:tc>
        <w:tc>
          <w:tcPr>
            <w:tcW w:w="0" w:type="pct"/>
            <w:vAlign w:val="center"/>
          </w:tcPr>
          <w:p w14:paraId="5CFF674B" w14:textId="28408691" w:rsidR="00CC75B4" w:rsidRPr="00154145" w:rsidRDefault="00D17201" w:rsidP="00CC75B4">
            <w:pPr>
              <w:spacing w:before="0" w:after="0" w:line="240" w:lineRule="auto"/>
              <w:contextualSpacing/>
              <w:jc w:val="center"/>
              <w:rPr>
                <w:rFonts w:asciiTheme="minorHAnsi" w:hAnsiTheme="minorHAnsi" w:cstheme="minorHAnsi"/>
                <w:sz w:val="20"/>
                <w:szCs w:val="20"/>
              </w:rPr>
            </w:pPr>
            <w:r w:rsidRPr="00154145">
              <w:rPr>
                <w:rFonts w:asciiTheme="minorHAnsi" w:hAnsiTheme="minorHAnsi" w:cstheme="minorHAnsi"/>
                <w:sz w:val="20"/>
                <w:szCs w:val="20"/>
              </w:rPr>
              <w:t>-</w:t>
            </w:r>
          </w:p>
        </w:tc>
        <w:tc>
          <w:tcPr>
            <w:tcW w:w="0" w:type="pct"/>
            <w:vAlign w:val="center"/>
          </w:tcPr>
          <w:p w14:paraId="4D2A93A8" w14:textId="4E772ECF" w:rsidR="00CC75B4" w:rsidRPr="00154145" w:rsidRDefault="00D17201" w:rsidP="00CC75B4">
            <w:pPr>
              <w:pStyle w:val="Tabletextcentered"/>
              <w:spacing w:line="240" w:lineRule="auto"/>
              <w:contextualSpacing/>
              <w:rPr>
                <w:rFonts w:eastAsia="Book Antiqua" w:cstheme="minorHAnsi"/>
              </w:rPr>
            </w:pPr>
            <w:r w:rsidRPr="00154145">
              <w:rPr>
                <w:rFonts w:eastAsia="Book Antiqua" w:cstheme="minorHAnsi"/>
              </w:rPr>
              <w:t>-</w:t>
            </w:r>
          </w:p>
        </w:tc>
        <w:tc>
          <w:tcPr>
            <w:tcW w:w="0" w:type="pct"/>
            <w:vAlign w:val="center"/>
          </w:tcPr>
          <w:p w14:paraId="756F694C" w14:textId="4D4B95A3" w:rsidR="00CC75B4" w:rsidRPr="00154145" w:rsidRDefault="00D17201" w:rsidP="00CC75B4">
            <w:pPr>
              <w:pStyle w:val="Tabletextcentered"/>
              <w:spacing w:line="240" w:lineRule="auto"/>
              <w:contextualSpacing/>
              <w:rPr>
                <w:rFonts w:eastAsia="Book Antiqua" w:cstheme="minorHAnsi"/>
              </w:rPr>
            </w:pPr>
            <w:r w:rsidRPr="00154145">
              <w:rPr>
                <w:rFonts w:eastAsia="Book Antiqua" w:cstheme="minorHAnsi"/>
              </w:rPr>
              <w:t>-</w:t>
            </w:r>
          </w:p>
        </w:tc>
        <w:tc>
          <w:tcPr>
            <w:tcW w:w="0" w:type="pct"/>
            <w:vAlign w:val="center"/>
          </w:tcPr>
          <w:p w14:paraId="4E277D92" w14:textId="6024B79B" w:rsidR="00CC75B4" w:rsidRPr="00154145" w:rsidRDefault="00D17201" w:rsidP="00CC75B4">
            <w:pPr>
              <w:pStyle w:val="Tabletextcentered"/>
              <w:spacing w:line="240" w:lineRule="auto"/>
              <w:contextualSpacing/>
              <w:rPr>
                <w:rFonts w:eastAsia="Book Antiqua" w:cstheme="minorHAnsi"/>
              </w:rPr>
            </w:pPr>
            <w:r w:rsidRPr="00154145">
              <w:rPr>
                <w:rFonts w:eastAsia="Book Antiqua" w:cstheme="minorHAnsi"/>
              </w:rPr>
              <w:t>-</w:t>
            </w:r>
          </w:p>
        </w:tc>
        <w:tc>
          <w:tcPr>
            <w:tcW w:w="0" w:type="pct"/>
            <w:vAlign w:val="center"/>
          </w:tcPr>
          <w:p w14:paraId="5C0938B5" w14:textId="5AE90ED7" w:rsidR="00CC75B4" w:rsidRPr="00154145" w:rsidRDefault="00D17201" w:rsidP="00D17201">
            <w:pPr>
              <w:pStyle w:val="Tabletextcentered"/>
              <w:spacing w:line="240" w:lineRule="auto"/>
              <w:contextualSpacing/>
              <w:rPr>
                <w:rFonts w:cstheme="minorHAnsi"/>
              </w:rPr>
            </w:pPr>
            <w:r w:rsidRPr="00154145">
              <w:rPr>
                <w:rFonts w:cstheme="minorHAnsi"/>
              </w:rPr>
              <w:t>-</w:t>
            </w:r>
          </w:p>
        </w:tc>
        <w:tc>
          <w:tcPr>
            <w:tcW w:w="0" w:type="pct"/>
            <w:vAlign w:val="center"/>
          </w:tcPr>
          <w:p w14:paraId="68D15C75" w14:textId="2301F02C" w:rsidR="00CC75B4" w:rsidRPr="00154145" w:rsidRDefault="00FC19DB" w:rsidP="00CC75B4">
            <w:pPr>
              <w:pStyle w:val="Tabletextcentered"/>
              <w:spacing w:line="240" w:lineRule="auto"/>
              <w:contextualSpacing/>
              <w:rPr>
                <w:rFonts w:cstheme="minorHAnsi"/>
              </w:rPr>
            </w:pPr>
            <w:r w:rsidRPr="00154145">
              <w:rPr>
                <w:rFonts w:cstheme="minorHAnsi"/>
              </w:rPr>
              <w:t>-</w:t>
            </w:r>
          </w:p>
        </w:tc>
        <w:tc>
          <w:tcPr>
            <w:tcW w:w="0" w:type="pct"/>
            <w:vAlign w:val="center"/>
          </w:tcPr>
          <w:p w14:paraId="42D4D323" w14:textId="1C6795B0" w:rsidR="00CC75B4" w:rsidRPr="00154145" w:rsidRDefault="00FC19DB" w:rsidP="00CC75B4">
            <w:pPr>
              <w:pStyle w:val="Tabletextcentered"/>
              <w:spacing w:line="240" w:lineRule="auto"/>
              <w:contextualSpacing/>
              <w:rPr>
                <w:rFonts w:cstheme="minorHAnsi"/>
              </w:rPr>
            </w:pPr>
            <w:r w:rsidRPr="00154145">
              <w:rPr>
                <w:rFonts w:cstheme="minorHAnsi"/>
              </w:rPr>
              <w:t>0</w:t>
            </w:r>
          </w:p>
        </w:tc>
        <w:tc>
          <w:tcPr>
            <w:tcW w:w="0" w:type="pct"/>
            <w:vAlign w:val="center"/>
          </w:tcPr>
          <w:p w14:paraId="79B4CF5C" w14:textId="093E7BE0" w:rsidR="00CC75B4" w:rsidRPr="00154145" w:rsidRDefault="00FC19DB" w:rsidP="00CC75B4">
            <w:pPr>
              <w:pStyle w:val="Tabletextcentered"/>
              <w:spacing w:line="240" w:lineRule="auto"/>
              <w:contextualSpacing/>
              <w:rPr>
                <w:rFonts w:cstheme="minorHAnsi"/>
              </w:rPr>
            </w:pPr>
            <w:r w:rsidRPr="00154145">
              <w:rPr>
                <w:rFonts w:cstheme="minorHAnsi"/>
              </w:rPr>
              <w:t>+</w:t>
            </w:r>
          </w:p>
        </w:tc>
        <w:tc>
          <w:tcPr>
            <w:tcW w:w="0" w:type="pct"/>
            <w:vAlign w:val="center"/>
          </w:tcPr>
          <w:p w14:paraId="288400F9" w14:textId="4EB7766B" w:rsidR="00CC75B4" w:rsidRPr="00154145" w:rsidRDefault="00D17201" w:rsidP="00CC75B4">
            <w:pPr>
              <w:pStyle w:val="Tabletextcentered"/>
              <w:spacing w:line="240" w:lineRule="auto"/>
              <w:contextualSpacing/>
              <w:rPr>
                <w:rFonts w:eastAsia="Book Antiqua" w:cstheme="minorHAnsi"/>
              </w:rPr>
            </w:pPr>
            <w:r w:rsidRPr="00154145">
              <w:rPr>
                <w:rFonts w:eastAsia="Book Antiqua" w:cstheme="minorHAnsi"/>
              </w:rPr>
              <w:t>0</w:t>
            </w:r>
          </w:p>
        </w:tc>
        <w:tc>
          <w:tcPr>
            <w:tcW w:w="0" w:type="pct"/>
            <w:vAlign w:val="center"/>
          </w:tcPr>
          <w:p w14:paraId="6B26105E" w14:textId="34CFF040" w:rsidR="00CC75B4" w:rsidRPr="00154145" w:rsidRDefault="00D17201" w:rsidP="00CC75B4">
            <w:pPr>
              <w:pStyle w:val="Tabletextcentered"/>
              <w:spacing w:line="240" w:lineRule="auto"/>
              <w:contextualSpacing/>
              <w:rPr>
                <w:rFonts w:eastAsia="Book Antiqua" w:cstheme="minorHAnsi"/>
              </w:rPr>
            </w:pPr>
            <w:r w:rsidRPr="00154145">
              <w:rPr>
                <w:rFonts w:eastAsia="Book Antiqua" w:cstheme="minorHAnsi"/>
              </w:rPr>
              <w:t>-</w:t>
            </w:r>
          </w:p>
        </w:tc>
        <w:tc>
          <w:tcPr>
            <w:tcW w:w="0" w:type="pct"/>
            <w:vAlign w:val="center"/>
          </w:tcPr>
          <w:p w14:paraId="2E4EE408" w14:textId="46D1B93A" w:rsidR="00CC75B4" w:rsidRPr="00154145" w:rsidRDefault="00DB79DC" w:rsidP="00CC75B4">
            <w:pPr>
              <w:pStyle w:val="Tabletextcentered"/>
              <w:spacing w:line="240" w:lineRule="auto"/>
              <w:contextualSpacing/>
              <w:rPr>
                <w:rFonts w:cstheme="minorHAnsi"/>
                <w:w w:val="99"/>
              </w:rPr>
            </w:pPr>
            <w:r w:rsidRPr="00154145">
              <w:rPr>
                <w:rFonts w:cstheme="minorHAnsi"/>
                <w:w w:val="99"/>
              </w:rPr>
              <w:t>0</w:t>
            </w:r>
          </w:p>
        </w:tc>
        <w:tc>
          <w:tcPr>
            <w:tcW w:w="0" w:type="pct"/>
            <w:vAlign w:val="center"/>
          </w:tcPr>
          <w:p w14:paraId="238EC061" w14:textId="64BD2217" w:rsidR="00CC75B4" w:rsidRPr="00154145" w:rsidRDefault="00DB79DC" w:rsidP="00CC75B4">
            <w:pPr>
              <w:pStyle w:val="Tabletextcentered"/>
              <w:spacing w:line="240" w:lineRule="auto"/>
              <w:contextualSpacing/>
              <w:rPr>
                <w:rFonts w:eastAsia="Book Antiqua" w:cstheme="minorHAnsi"/>
              </w:rPr>
            </w:pPr>
            <w:r w:rsidRPr="00154145">
              <w:rPr>
                <w:rFonts w:eastAsia="Book Antiqua" w:cstheme="minorHAnsi"/>
              </w:rPr>
              <w:t>0</w:t>
            </w:r>
          </w:p>
        </w:tc>
        <w:tc>
          <w:tcPr>
            <w:tcW w:w="0" w:type="pct"/>
            <w:vAlign w:val="center"/>
          </w:tcPr>
          <w:p w14:paraId="367708EE" w14:textId="50CD081D" w:rsidR="00CC75B4" w:rsidRPr="00154145" w:rsidRDefault="00DB79DC" w:rsidP="00CC75B4">
            <w:pPr>
              <w:pStyle w:val="Tabletextcentered"/>
              <w:spacing w:line="240" w:lineRule="auto"/>
              <w:contextualSpacing/>
              <w:rPr>
                <w:rFonts w:cstheme="minorHAnsi"/>
              </w:rPr>
            </w:pPr>
            <w:r w:rsidRPr="00154145">
              <w:rPr>
                <w:rFonts w:cstheme="minorHAnsi"/>
              </w:rPr>
              <w:t>-</w:t>
            </w:r>
          </w:p>
        </w:tc>
      </w:tr>
      <w:tr w:rsidR="006D02B9" w:rsidRPr="00154145" w14:paraId="2A184A55" w14:textId="77777777" w:rsidTr="00AC2854">
        <w:trPr>
          <w:trHeight w:val="20"/>
          <w:jc w:val="center"/>
        </w:trPr>
        <w:tc>
          <w:tcPr>
            <w:tcW w:w="0" w:type="pct"/>
            <w:vAlign w:val="center"/>
          </w:tcPr>
          <w:p w14:paraId="21896876" w14:textId="3932D08D" w:rsidR="006D02B9" w:rsidRPr="00154145" w:rsidRDefault="004D660E" w:rsidP="00CC75B4">
            <w:pPr>
              <w:spacing w:before="0" w:after="0" w:line="240" w:lineRule="auto"/>
              <w:contextualSpacing/>
              <w:rPr>
                <w:rFonts w:asciiTheme="minorHAnsi" w:eastAsiaTheme="minorEastAsia" w:hAnsiTheme="minorHAnsi" w:cstheme="minorHAnsi"/>
                <w:b/>
                <w:bCs/>
                <w:sz w:val="20"/>
                <w:szCs w:val="20"/>
              </w:rPr>
            </w:pPr>
            <w:r w:rsidRPr="00154145">
              <w:rPr>
                <w:rFonts w:asciiTheme="minorHAnsi" w:eastAsiaTheme="minorEastAsia" w:hAnsiTheme="minorHAnsi" w:cstheme="minorHAnsi"/>
                <w:b/>
                <w:bCs/>
                <w:sz w:val="20"/>
                <w:szCs w:val="20"/>
              </w:rPr>
              <w:t>Excavation</w:t>
            </w:r>
          </w:p>
        </w:tc>
        <w:tc>
          <w:tcPr>
            <w:tcW w:w="0" w:type="pct"/>
            <w:vAlign w:val="center"/>
          </w:tcPr>
          <w:p w14:paraId="2F7944DE" w14:textId="3D23072F" w:rsidR="006D02B9" w:rsidRPr="00154145" w:rsidRDefault="00FC19DB" w:rsidP="00CC75B4">
            <w:pPr>
              <w:spacing w:before="0" w:after="0" w:line="240" w:lineRule="auto"/>
              <w:contextualSpacing/>
              <w:jc w:val="center"/>
              <w:rPr>
                <w:rFonts w:asciiTheme="minorHAnsi" w:hAnsiTheme="minorHAnsi" w:cstheme="minorHAnsi"/>
                <w:sz w:val="20"/>
                <w:szCs w:val="20"/>
              </w:rPr>
            </w:pPr>
            <w:r w:rsidRPr="00154145">
              <w:rPr>
                <w:rFonts w:asciiTheme="minorHAnsi" w:hAnsiTheme="minorHAnsi" w:cstheme="minorHAnsi"/>
                <w:sz w:val="20"/>
                <w:szCs w:val="20"/>
              </w:rPr>
              <w:t>-</w:t>
            </w:r>
          </w:p>
        </w:tc>
        <w:tc>
          <w:tcPr>
            <w:tcW w:w="0" w:type="pct"/>
            <w:vAlign w:val="center"/>
          </w:tcPr>
          <w:p w14:paraId="5A53D5DC" w14:textId="03D76281" w:rsidR="006D02B9" w:rsidRPr="00154145" w:rsidRDefault="00FC19DB" w:rsidP="00CC75B4">
            <w:pPr>
              <w:pStyle w:val="Tabletextcentered"/>
              <w:spacing w:line="240" w:lineRule="auto"/>
              <w:contextualSpacing/>
              <w:rPr>
                <w:rFonts w:eastAsia="Book Antiqua" w:cstheme="minorHAnsi"/>
              </w:rPr>
            </w:pPr>
            <w:r w:rsidRPr="00154145">
              <w:rPr>
                <w:rFonts w:eastAsia="Book Antiqua" w:cstheme="minorHAnsi"/>
              </w:rPr>
              <w:t>-</w:t>
            </w:r>
          </w:p>
        </w:tc>
        <w:tc>
          <w:tcPr>
            <w:tcW w:w="0" w:type="pct"/>
            <w:vAlign w:val="center"/>
          </w:tcPr>
          <w:p w14:paraId="5D403143" w14:textId="78EAACD3" w:rsidR="006D02B9" w:rsidRPr="00154145" w:rsidRDefault="00FC19DB" w:rsidP="00CC75B4">
            <w:pPr>
              <w:pStyle w:val="Tabletextcentered"/>
              <w:spacing w:line="240" w:lineRule="auto"/>
              <w:contextualSpacing/>
              <w:rPr>
                <w:rFonts w:eastAsia="Book Antiqua" w:cstheme="minorHAnsi"/>
              </w:rPr>
            </w:pPr>
            <w:r w:rsidRPr="00154145">
              <w:rPr>
                <w:rFonts w:eastAsia="Book Antiqua" w:cstheme="minorHAnsi"/>
              </w:rPr>
              <w:t>-</w:t>
            </w:r>
          </w:p>
        </w:tc>
        <w:tc>
          <w:tcPr>
            <w:tcW w:w="0" w:type="pct"/>
            <w:vAlign w:val="center"/>
          </w:tcPr>
          <w:p w14:paraId="02AEB71A" w14:textId="11BA2B21" w:rsidR="006D02B9" w:rsidRPr="00154145" w:rsidRDefault="00BE45CB" w:rsidP="00CC75B4">
            <w:pPr>
              <w:pStyle w:val="Tabletextcentered"/>
              <w:spacing w:line="240" w:lineRule="auto"/>
              <w:contextualSpacing/>
              <w:rPr>
                <w:rFonts w:eastAsia="Book Antiqua" w:cstheme="minorHAnsi"/>
              </w:rPr>
            </w:pPr>
            <w:r w:rsidRPr="00154145">
              <w:rPr>
                <w:rFonts w:eastAsia="Book Antiqua" w:cstheme="minorHAnsi"/>
              </w:rPr>
              <w:t>-</w:t>
            </w:r>
          </w:p>
        </w:tc>
        <w:tc>
          <w:tcPr>
            <w:tcW w:w="0" w:type="pct"/>
            <w:vAlign w:val="center"/>
          </w:tcPr>
          <w:p w14:paraId="03B3192C" w14:textId="7D6473C4" w:rsidR="006D02B9" w:rsidRPr="00154145" w:rsidRDefault="00BE45CB" w:rsidP="00CC75B4">
            <w:pPr>
              <w:pStyle w:val="Tabletextcentered"/>
              <w:spacing w:line="240" w:lineRule="auto"/>
              <w:contextualSpacing/>
              <w:rPr>
                <w:rFonts w:cstheme="minorHAnsi"/>
              </w:rPr>
            </w:pPr>
            <w:r w:rsidRPr="00154145">
              <w:rPr>
                <w:rFonts w:cstheme="minorHAnsi"/>
              </w:rPr>
              <w:t>-</w:t>
            </w:r>
          </w:p>
        </w:tc>
        <w:tc>
          <w:tcPr>
            <w:tcW w:w="0" w:type="pct"/>
            <w:vAlign w:val="center"/>
          </w:tcPr>
          <w:p w14:paraId="08D94D5C" w14:textId="7EE6B514" w:rsidR="006D02B9" w:rsidRPr="00154145" w:rsidRDefault="00BE45CB" w:rsidP="00CC75B4">
            <w:pPr>
              <w:pStyle w:val="Tabletextcentered"/>
              <w:spacing w:line="240" w:lineRule="auto"/>
              <w:contextualSpacing/>
              <w:rPr>
                <w:rFonts w:cstheme="minorHAnsi"/>
              </w:rPr>
            </w:pPr>
            <w:r w:rsidRPr="00154145">
              <w:rPr>
                <w:rFonts w:cstheme="minorHAnsi"/>
              </w:rPr>
              <w:t>-</w:t>
            </w:r>
          </w:p>
        </w:tc>
        <w:tc>
          <w:tcPr>
            <w:tcW w:w="0" w:type="pct"/>
            <w:vAlign w:val="center"/>
          </w:tcPr>
          <w:p w14:paraId="13797884" w14:textId="5AD029F6" w:rsidR="006D02B9" w:rsidRPr="00154145" w:rsidRDefault="00BE45CB" w:rsidP="00CC75B4">
            <w:pPr>
              <w:pStyle w:val="Tabletextcentered"/>
              <w:spacing w:line="240" w:lineRule="auto"/>
              <w:contextualSpacing/>
              <w:rPr>
                <w:rFonts w:cstheme="minorHAnsi"/>
              </w:rPr>
            </w:pPr>
            <w:r w:rsidRPr="00154145">
              <w:rPr>
                <w:rFonts w:cstheme="minorHAnsi"/>
              </w:rPr>
              <w:t>-</w:t>
            </w:r>
          </w:p>
        </w:tc>
        <w:tc>
          <w:tcPr>
            <w:tcW w:w="0" w:type="pct"/>
            <w:vAlign w:val="center"/>
          </w:tcPr>
          <w:p w14:paraId="361109B8" w14:textId="2D957C59" w:rsidR="006D02B9" w:rsidRPr="00154145" w:rsidRDefault="00BE45CB" w:rsidP="00CC75B4">
            <w:pPr>
              <w:pStyle w:val="Tabletextcentered"/>
              <w:spacing w:line="240" w:lineRule="auto"/>
              <w:contextualSpacing/>
              <w:rPr>
                <w:rFonts w:cstheme="minorHAnsi"/>
              </w:rPr>
            </w:pPr>
            <w:r w:rsidRPr="00154145">
              <w:rPr>
                <w:rFonts w:cstheme="minorHAnsi"/>
              </w:rPr>
              <w:t>+</w:t>
            </w:r>
          </w:p>
        </w:tc>
        <w:tc>
          <w:tcPr>
            <w:tcW w:w="0" w:type="pct"/>
            <w:vAlign w:val="center"/>
          </w:tcPr>
          <w:p w14:paraId="46AE9968" w14:textId="5664044F" w:rsidR="006D02B9" w:rsidRPr="00154145" w:rsidRDefault="00BE45CB" w:rsidP="00CC75B4">
            <w:pPr>
              <w:pStyle w:val="Tabletextcentered"/>
              <w:spacing w:line="240" w:lineRule="auto"/>
              <w:contextualSpacing/>
              <w:rPr>
                <w:rFonts w:eastAsia="Book Antiqua" w:cstheme="minorHAnsi"/>
              </w:rPr>
            </w:pPr>
            <w:r w:rsidRPr="00154145">
              <w:rPr>
                <w:rFonts w:eastAsia="Book Antiqua" w:cstheme="minorHAnsi"/>
              </w:rPr>
              <w:t>-</w:t>
            </w:r>
          </w:p>
        </w:tc>
        <w:tc>
          <w:tcPr>
            <w:tcW w:w="0" w:type="pct"/>
            <w:vAlign w:val="center"/>
          </w:tcPr>
          <w:p w14:paraId="33400226" w14:textId="42BFE293" w:rsidR="006D02B9" w:rsidRPr="00154145" w:rsidRDefault="00BE45CB" w:rsidP="00CC75B4">
            <w:pPr>
              <w:pStyle w:val="Tabletextcentered"/>
              <w:spacing w:line="240" w:lineRule="auto"/>
              <w:contextualSpacing/>
              <w:rPr>
                <w:rFonts w:eastAsia="Book Antiqua" w:cstheme="minorHAnsi"/>
              </w:rPr>
            </w:pPr>
            <w:r w:rsidRPr="00154145">
              <w:rPr>
                <w:rFonts w:eastAsia="Book Antiqua" w:cstheme="minorHAnsi"/>
              </w:rPr>
              <w:t>-</w:t>
            </w:r>
          </w:p>
        </w:tc>
        <w:tc>
          <w:tcPr>
            <w:tcW w:w="0" w:type="pct"/>
            <w:vAlign w:val="center"/>
          </w:tcPr>
          <w:p w14:paraId="399F3DB4" w14:textId="2A735ADB" w:rsidR="006D02B9" w:rsidRPr="00154145" w:rsidRDefault="00FC19DB" w:rsidP="00CC75B4">
            <w:pPr>
              <w:pStyle w:val="Tabletextcentered"/>
              <w:spacing w:line="240" w:lineRule="auto"/>
              <w:contextualSpacing/>
              <w:rPr>
                <w:rFonts w:cstheme="minorHAnsi"/>
                <w:w w:val="99"/>
              </w:rPr>
            </w:pPr>
            <w:r w:rsidRPr="00154145">
              <w:rPr>
                <w:rFonts w:cstheme="minorHAnsi"/>
                <w:w w:val="99"/>
              </w:rPr>
              <w:t>0</w:t>
            </w:r>
          </w:p>
        </w:tc>
        <w:tc>
          <w:tcPr>
            <w:tcW w:w="0" w:type="pct"/>
            <w:vAlign w:val="center"/>
          </w:tcPr>
          <w:p w14:paraId="2D0EEA53" w14:textId="20532707" w:rsidR="006D02B9" w:rsidRPr="00154145" w:rsidRDefault="00FC19DB" w:rsidP="00CC75B4">
            <w:pPr>
              <w:pStyle w:val="Tabletextcentered"/>
              <w:spacing w:line="240" w:lineRule="auto"/>
              <w:contextualSpacing/>
              <w:rPr>
                <w:rFonts w:eastAsia="Book Antiqua" w:cstheme="minorHAnsi"/>
              </w:rPr>
            </w:pPr>
            <w:r w:rsidRPr="00154145">
              <w:rPr>
                <w:rFonts w:eastAsia="Book Antiqua" w:cstheme="minorHAnsi"/>
              </w:rPr>
              <w:t>-</w:t>
            </w:r>
          </w:p>
        </w:tc>
        <w:tc>
          <w:tcPr>
            <w:tcW w:w="0" w:type="pct"/>
            <w:vAlign w:val="center"/>
          </w:tcPr>
          <w:p w14:paraId="30403404" w14:textId="5DF5232C" w:rsidR="006D02B9" w:rsidRPr="00154145" w:rsidRDefault="00FC19DB" w:rsidP="00CC75B4">
            <w:pPr>
              <w:pStyle w:val="Tabletextcentered"/>
              <w:spacing w:line="240" w:lineRule="auto"/>
              <w:contextualSpacing/>
              <w:rPr>
                <w:rFonts w:cstheme="minorHAnsi"/>
              </w:rPr>
            </w:pPr>
            <w:r w:rsidRPr="00154145">
              <w:rPr>
                <w:rFonts w:cstheme="minorHAnsi"/>
              </w:rPr>
              <w:t>0</w:t>
            </w:r>
          </w:p>
        </w:tc>
      </w:tr>
      <w:tr w:rsidR="00CC75B4" w:rsidRPr="00154145" w14:paraId="2D265E32" w14:textId="67A4553A" w:rsidTr="00AC2854">
        <w:trPr>
          <w:trHeight w:val="20"/>
          <w:jc w:val="center"/>
        </w:trPr>
        <w:tc>
          <w:tcPr>
            <w:tcW w:w="0" w:type="pct"/>
            <w:vAlign w:val="center"/>
          </w:tcPr>
          <w:p w14:paraId="48327FBC" w14:textId="77777777" w:rsidR="00CC75B4" w:rsidRPr="00154145" w:rsidRDefault="00CC75B4" w:rsidP="00CC75B4">
            <w:pPr>
              <w:spacing w:before="0" w:after="0" w:line="240" w:lineRule="auto"/>
              <w:contextualSpacing/>
              <w:rPr>
                <w:rFonts w:asciiTheme="minorHAnsi" w:hAnsiTheme="minorHAnsi" w:cstheme="minorHAnsi"/>
                <w:b/>
                <w:bCs/>
                <w:sz w:val="20"/>
                <w:szCs w:val="20"/>
              </w:rPr>
            </w:pPr>
            <w:r w:rsidRPr="00154145">
              <w:rPr>
                <w:rFonts w:asciiTheme="minorHAnsi" w:hAnsiTheme="minorHAnsi" w:cstheme="minorHAnsi"/>
                <w:b/>
                <w:bCs/>
                <w:sz w:val="20"/>
                <w:szCs w:val="20"/>
              </w:rPr>
              <w:t>Présence de la Base Vie</w:t>
            </w:r>
          </w:p>
        </w:tc>
        <w:tc>
          <w:tcPr>
            <w:tcW w:w="0" w:type="pct"/>
            <w:vAlign w:val="center"/>
          </w:tcPr>
          <w:p w14:paraId="545B3439" w14:textId="2E154D75" w:rsidR="00CC75B4" w:rsidRPr="00154145" w:rsidRDefault="00BE45CB" w:rsidP="00CC75B4">
            <w:pPr>
              <w:spacing w:before="0" w:after="0" w:line="240" w:lineRule="auto"/>
              <w:contextualSpacing/>
              <w:jc w:val="center"/>
              <w:rPr>
                <w:rFonts w:asciiTheme="minorHAnsi" w:hAnsiTheme="minorHAnsi" w:cstheme="minorHAnsi"/>
                <w:sz w:val="20"/>
                <w:szCs w:val="20"/>
              </w:rPr>
            </w:pPr>
            <w:r w:rsidRPr="00154145">
              <w:rPr>
                <w:rFonts w:asciiTheme="minorHAnsi" w:hAnsiTheme="minorHAnsi" w:cstheme="minorHAnsi"/>
                <w:sz w:val="20"/>
                <w:szCs w:val="20"/>
              </w:rPr>
              <w:t>0</w:t>
            </w:r>
          </w:p>
        </w:tc>
        <w:tc>
          <w:tcPr>
            <w:tcW w:w="0" w:type="pct"/>
            <w:vAlign w:val="center"/>
          </w:tcPr>
          <w:p w14:paraId="49EF623F" w14:textId="02494B63" w:rsidR="00CC75B4" w:rsidRPr="00154145" w:rsidRDefault="00BE45CB" w:rsidP="00CC75B4">
            <w:pPr>
              <w:pStyle w:val="Tabletextcentered"/>
              <w:spacing w:line="240" w:lineRule="auto"/>
              <w:contextualSpacing/>
              <w:rPr>
                <w:rFonts w:eastAsia="Book Antiqua" w:cstheme="minorHAnsi"/>
              </w:rPr>
            </w:pPr>
            <w:r w:rsidRPr="00154145">
              <w:rPr>
                <w:rFonts w:eastAsia="Book Antiqua" w:cstheme="minorHAnsi"/>
              </w:rPr>
              <w:t>-</w:t>
            </w:r>
          </w:p>
        </w:tc>
        <w:tc>
          <w:tcPr>
            <w:tcW w:w="0" w:type="pct"/>
            <w:vAlign w:val="center"/>
          </w:tcPr>
          <w:p w14:paraId="7F98E82B" w14:textId="50DDCC30" w:rsidR="00CC75B4" w:rsidRPr="00154145" w:rsidRDefault="00BE45CB" w:rsidP="00CC75B4">
            <w:pPr>
              <w:pStyle w:val="Tabletextcentered"/>
              <w:spacing w:line="240" w:lineRule="auto"/>
              <w:contextualSpacing/>
              <w:rPr>
                <w:rFonts w:eastAsia="Book Antiqua" w:cstheme="minorHAnsi"/>
              </w:rPr>
            </w:pPr>
            <w:r w:rsidRPr="00154145">
              <w:rPr>
                <w:rFonts w:eastAsia="Book Antiqua" w:cstheme="minorHAnsi"/>
              </w:rPr>
              <w:t>-</w:t>
            </w:r>
          </w:p>
        </w:tc>
        <w:tc>
          <w:tcPr>
            <w:tcW w:w="0" w:type="pct"/>
            <w:vAlign w:val="center"/>
          </w:tcPr>
          <w:p w14:paraId="280FBF4C" w14:textId="67EF2242" w:rsidR="00CC75B4" w:rsidRPr="00154145" w:rsidRDefault="00BE45CB" w:rsidP="00CC75B4">
            <w:pPr>
              <w:pStyle w:val="Tabletextcentered"/>
              <w:spacing w:line="240" w:lineRule="auto"/>
              <w:contextualSpacing/>
              <w:rPr>
                <w:rFonts w:eastAsia="Book Antiqua" w:cstheme="minorHAnsi"/>
              </w:rPr>
            </w:pPr>
            <w:r w:rsidRPr="00154145">
              <w:rPr>
                <w:rFonts w:eastAsia="Book Antiqua" w:cstheme="minorHAnsi"/>
              </w:rPr>
              <w:t>0</w:t>
            </w:r>
          </w:p>
        </w:tc>
        <w:tc>
          <w:tcPr>
            <w:tcW w:w="0" w:type="pct"/>
            <w:vAlign w:val="center"/>
          </w:tcPr>
          <w:p w14:paraId="7F2A7BE1" w14:textId="5C022022" w:rsidR="00CC75B4" w:rsidRPr="00154145" w:rsidRDefault="00BE45CB" w:rsidP="00CC75B4">
            <w:pPr>
              <w:pStyle w:val="Tabletextcentered"/>
              <w:spacing w:line="240" w:lineRule="auto"/>
              <w:contextualSpacing/>
              <w:rPr>
                <w:rFonts w:cstheme="minorHAnsi"/>
              </w:rPr>
            </w:pPr>
            <w:r w:rsidRPr="00154145">
              <w:rPr>
                <w:rFonts w:cstheme="minorHAnsi"/>
              </w:rPr>
              <w:t>0</w:t>
            </w:r>
          </w:p>
        </w:tc>
        <w:tc>
          <w:tcPr>
            <w:tcW w:w="0" w:type="pct"/>
            <w:vAlign w:val="center"/>
          </w:tcPr>
          <w:p w14:paraId="1BDF6C90" w14:textId="5897903E" w:rsidR="00CC75B4" w:rsidRPr="00154145" w:rsidRDefault="00BE45CB" w:rsidP="00CC75B4">
            <w:pPr>
              <w:pStyle w:val="Tabletextcentered"/>
              <w:spacing w:line="240" w:lineRule="auto"/>
              <w:contextualSpacing/>
              <w:rPr>
                <w:rFonts w:cstheme="minorHAnsi"/>
              </w:rPr>
            </w:pPr>
            <w:r w:rsidRPr="00154145">
              <w:rPr>
                <w:rFonts w:cstheme="minorHAnsi"/>
              </w:rPr>
              <w:t>-</w:t>
            </w:r>
          </w:p>
        </w:tc>
        <w:tc>
          <w:tcPr>
            <w:tcW w:w="0" w:type="pct"/>
            <w:vAlign w:val="center"/>
          </w:tcPr>
          <w:p w14:paraId="655493AC" w14:textId="498576D6" w:rsidR="00CC75B4" w:rsidRPr="00154145" w:rsidRDefault="00BE45CB" w:rsidP="00CC75B4">
            <w:pPr>
              <w:pStyle w:val="Tabletextcentered"/>
              <w:spacing w:line="240" w:lineRule="auto"/>
              <w:contextualSpacing/>
              <w:rPr>
                <w:rFonts w:cstheme="minorHAnsi"/>
              </w:rPr>
            </w:pPr>
            <w:r w:rsidRPr="00154145">
              <w:rPr>
                <w:rFonts w:cstheme="minorHAnsi"/>
              </w:rPr>
              <w:t>0</w:t>
            </w:r>
          </w:p>
        </w:tc>
        <w:tc>
          <w:tcPr>
            <w:tcW w:w="0" w:type="pct"/>
            <w:vAlign w:val="center"/>
          </w:tcPr>
          <w:p w14:paraId="78B212A2" w14:textId="3A2E801C" w:rsidR="00CC75B4" w:rsidRPr="00154145" w:rsidRDefault="00BE45CB" w:rsidP="00CC75B4">
            <w:pPr>
              <w:pStyle w:val="Tabletextcentered"/>
              <w:spacing w:line="240" w:lineRule="auto"/>
              <w:contextualSpacing/>
              <w:rPr>
                <w:rFonts w:cstheme="minorHAnsi"/>
              </w:rPr>
            </w:pPr>
            <w:r w:rsidRPr="00154145">
              <w:rPr>
                <w:rFonts w:cstheme="minorHAnsi"/>
              </w:rPr>
              <w:t>+</w:t>
            </w:r>
          </w:p>
        </w:tc>
        <w:tc>
          <w:tcPr>
            <w:tcW w:w="0" w:type="pct"/>
            <w:vAlign w:val="center"/>
          </w:tcPr>
          <w:p w14:paraId="6281D94B" w14:textId="24F57CE1" w:rsidR="00CC75B4" w:rsidRPr="00154145" w:rsidRDefault="00BE45CB" w:rsidP="00CC75B4">
            <w:pPr>
              <w:pStyle w:val="Tabletextcentered"/>
              <w:spacing w:line="240" w:lineRule="auto"/>
              <w:contextualSpacing/>
              <w:rPr>
                <w:rFonts w:eastAsia="Book Antiqua" w:cstheme="minorHAnsi"/>
              </w:rPr>
            </w:pPr>
            <w:r w:rsidRPr="00154145">
              <w:rPr>
                <w:rFonts w:eastAsia="Book Antiqua" w:cstheme="minorHAnsi"/>
              </w:rPr>
              <w:t>0</w:t>
            </w:r>
          </w:p>
        </w:tc>
        <w:tc>
          <w:tcPr>
            <w:tcW w:w="0" w:type="pct"/>
            <w:vAlign w:val="center"/>
          </w:tcPr>
          <w:p w14:paraId="2A7A099C" w14:textId="78C47AE2" w:rsidR="00CC75B4" w:rsidRPr="00154145" w:rsidRDefault="00BE45CB" w:rsidP="00CC75B4">
            <w:pPr>
              <w:pStyle w:val="Tabletextcentered"/>
              <w:spacing w:line="240" w:lineRule="auto"/>
              <w:contextualSpacing/>
              <w:rPr>
                <w:rFonts w:eastAsia="Book Antiqua" w:cstheme="minorHAnsi"/>
              </w:rPr>
            </w:pPr>
            <w:r w:rsidRPr="00154145">
              <w:rPr>
                <w:rFonts w:eastAsia="Book Antiqua" w:cstheme="minorHAnsi"/>
              </w:rPr>
              <w:t>0</w:t>
            </w:r>
          </w:p>
        </w:tc>
        <w:tc>
          <w:tcPr>
            <w:tcW w:w="0" w:type="pct"/>
            <w:vAlign w:val="center"/>
          </w:tcPr>
          <w:p w14:paraId="26CF66B6" w14:textId="2719C17C" w:rsidR="00CC75B4" w:rsidRPr="00154145" w:rsidRDefault="00BE45CB" w:rsidP="00CC75B4">
            <w:pPr>
              <w:pStyle w:val="Tabletextcentered"/>
              <w:spacing w:line="240" w:lineRule="auto"/>
              <w:contextualSpacing/>
              <w:rPr>
                <w:rFonts w:cstheme="minorHAnsi"/>
                <w:w w:val="99"/>
              </w:rPr>
            </w:pPr>
            <w:r w:rsidRPr="00154145">
              <w:rPr>
                <w:rFonts w:cstheme="minorHAnsi"/>
                <w:w w:val="99"/>
              </w:rPr>
              <w:t>0</w:t>
            </w:r>
          </w:p>
        </w:tc>
        <w:tc>
          <w:tcPr>
            <w:tcW w:w="0" w:type="pct"/>
            <w:vAlign w:val="center"/>
          </w:tcPr>
          <w:p w14:paraId="7DA42111" w14:textId="22206693" w:rsidR="00CC75B4" w:rsidRPr="00154145" w:rsidRDefault="00BE45CB" w:rsidP="00CC75B4">
            <w:pPr>
              <w:pStyle w:val="Tabletextcentered"/>
              <w:spacing w:line="240" w:lineRule="auto"/>
              <w:contextualSpacing/>
              <w:rPr>
                <w:rFonts w:eastAsia="Book Antiqua" w:cstheme="minorHAnsi"/>
              </w:rPr>
            </w:pPr>
            <w:r w:rsidRPr="00154145">
              <w:rPr>
                <w:rFonts w:eastAsia="Book Antiqua" w:cstheme="minorHAnsi"/>
              </w:rPr>
              <w:t>0</w:t>
            </w:r>
          </w:p>
        </w:tc>
        <w:tc>
          <w:tcPr>
            <w:tcW w:w="0" w:type="pct"/>
            <w:vAlign w:val="center"/>
          </w:tcPr>
          <w:p w14:paraId="1C9577EC" w14:textId="500BD58A" w:rsidR="00CC75B4" w:rsidRPr="00154145" w:rsidRDefault="00BE45CB" w:rsidP="00CC75B4">
            <w:pPr>
              <w:pStyle w:val="Tabletextcentered"/>
              <w:spacing w:line="240" w:lineRule="auto"/>
              <w:contextualSpacing/>
              <w:rPr>
                <w:rFonts w:cstheme="minorHAnsi"/>
              </w:rPr>
            </w:pPr>
            <w:r w:rsidRPr="00154145">
              <w:rPr>
                <w:rFonts w:cstheme="minorHAnsi"/>
              </w:rPr>
              <w:t>0</w:t>
            </w:r>
          </w:p>
        </w:tc>
      </w:tr>
      <w:tr w:rsidR="00CC75B4" w:rsidRPr="00154145" w14:paraId="323AB019" w14:textId="069847B1" w:rsidTr="00AC2854">
        <w:trPr>
          <w:trHeight w:val="20"/>
          <w:jc w:val="center"/>
        </w:trPr>
        <w:tc>
          <w:tcPr>
            <w:tcW w:w="0" w:type="pct"/>
            <w:vAlign w:val="center"/>
          </w:tcPr>
          <w:p w14:paraId="33F86640" w14:textId="5AE1B784" w:rsidR="00CC75B4" w:rsidRPr="00154145" w:rsidRDefault="00830E9B" w:rsidP="00CC75B4">
            <w:pPr>
              <w:spacing w:before="0" w:after="0" w:line="240" w:lineRule="auto"/>
              <w:contextualSpacing/>
              <w:rPr>
                <w:rFonts w:asciiTheme="minorHAnsi" w:hAnsiTheme="minorHAnsi" w:cstheme="minorHAnsi"/>
                <w:b/>
                <w:bCs/>
                <w:sz w:val="20"/>
                <w:szCs w:val="20"/>
              </w:rPr>
            </w:pPr>
            <w:r w:rsidRPr="00154145">
              <w:rPr>
                <w:rFonts w:asciiTheme="minorHAnsi" w:eastAsia="Book Antiqua" w:hAnsiTheme="minorHAnsi" w:cstheme="minorHAnsi"/>
                <w:b/>
                <w:bCs/>
                <w:sz w:val="20"/>
                <w:szCs w:val="20"/>
              </w:rPr>
              <w:t xml:space="preserve">Bâtiments et </w:t>
            </w:r>
            <w:r w:rsidR="00306BA8" w:rsidRPr="00154145">
              <w:rPr>
                <w:rFonts w:asciiTheme="minorHAnsi" w:eastAsia="Book Antiqua" w:hAnsiTheme="minorHAnsi" w:cstheme="minorHAnsi"/>
                <w:b/>
                <w:bCs/>
                <w:sz w:val="20"/>
                <w:szCs w:val="20"/>
              </w:rPr>
              <w:t>Équipements</w:t>
            </w:r>
            <w:r w:rsidR="006D02B9" w:rsidRPr="00154145">
              <w:rPr>
                <w:rFonts w:asciiTheme="minorHAnsi" w:eastAsia="Book Antiqua" w:hAnsiTheme="minorHAnsi" w:cstheme="minorHAnsi"/>
                <w:b/>
                <w:bCs/>
                <w:sz w:val="20"/>
                <w:szCs w:val="20"/>
              </w:rPr>
              <w:t xml:space="preserve"> de chantier</w:t>
            </w:r>
          </w:p>
        </w:tc>
        <w:tc>
          <w:tcPr>
            <w:tcW w:w="0" w:type="pct"/>
            <w:vAlign w:val="center"/>
          </w:tcPr>
          <w:p w14:paraId="5B778708" w14:textId="204A32E6" w:rsidR="00CC75B4" w:rsidRPr="00154145" w:rsidRDefault="00830E9B" w:rsidP="00CC75B4">
            <w:pPr>
              <w:spacing w:before="0" w:after="0" w:line="240" w:lineRule="auto"/>
              <w:contextualSpacing/>
              <w:jc w:val="center"/>
              <w:rPr>
                <w:rFonts w:asciiTheme="minorHAnsi" w:hAnsiTheme="minorHAnsi" w:cstheme="minorHAnsi"/>
                <w:sz w:val="20"/>
                <w:szCs w:val="20"/>
              </w:rPr>
            </w:pPr>
            <w:r w:rsidRPr="00154145">
              <w:rPr>
                <w:rFonts w:asciiTheme="minorHAnsi" w:hAnsiTheme="minorHAnsi" w:cstheme="minorHAnsi"/>
                <w:sz w:val="20"/>
                <w:szCs w:val="20"/>
              </w:rPr>
              <w:t>0</w:t>
            </w:r>
          </w:p>
        </w:tc>
        <w:tc>
          <w:tcPr>
            <w:tcW w:w="0" w:type="pct"/>
            <w:vAlign w:val="center"/>
          </w:tcPr>
          <w:p w14:paraId="13841952" w14:textId="598F6344" w:rsidR="00CC75B4" w:rsidRPr="00154145" w:rsidRDefault="00830E9B" w:rsidP="00CC75B4">
            <w:pPr>
              <w:pStyle w:val="Tabletextcentered"/>
              <w:spacing w:line="240" w:lineRule="auto"/>
              <w:contextualSpacing/>
              <w:rPr>
                <w:rFonts w:eastAsia="Book Antiqua" w:cstheme="minorHAnsi"/>
              </w:rPr>
            </w:pPr>
            <w:r w:rsidRPr="00154145">
              <w:rPr>
                <w:rFonts w:eastAsia="Book Antiqua" w:cstheme="minorHAnsi"/>
              </w:rPr>
              <w:t>-</w:t>
            </w:r>
          </w:p>
        </w:tc>
        <w:tc>
          <w:tcPr>
            <w:tcW w:w="0" w:type="pct"/>
            <w:vAlign w:val="center"/>
          </w:tcPr>
          <w:p w14:paraId="4DCC2958" w14:textId="6CE00D01" w:rsidR="00CC75B4" w:rsidRPr="00154145" w:rsidRDefault="00830E9B" w:rsidP="00CC75B4">
            <w:pPr>
              <w:pStyle w:val="Tabletextcentered"/>
              <w:spacing w:line="240" w:lineRule="auto"/>
              <w:contextualSpacing/>
              <w:rPr>
                <w:rFonts w:eastAsia="Book Antiqua" w:cstheme="minorHAnsi"/>
              </w:rPr>
            </w:pPr>
            <w:r w:rsidRPr="00154145">
              <w:rPr>
                <w:rFonts w:eastAsia="Book Antiqua" w:cstheme="minorHAnsi"/>
              </w:rPr>
              <w:t>-</w:t>
            </w:r>
          </w:p>
        </w:tc>
        <w:tc>
          <w:tcPr>
            <w:tcW w:w="0" w:type="pct"/>
            <w:vAlign w:val="center"/>
          </w:tcPr>
          <w:p w14:paraId="2C5AE48B" w14:textId="6A5FCF61" w:rsidR="00CC75B4" w:rsidRPr="00154145" w:rsidRDefault="00830E9B" w:rsidP="00CC75B4">
            <w:pPr>
              <w:pStyle w:val="Tabletextcentered"/>
              <w:spacing w:line="240" w:lineRule="auto"/>
              <w:contextualSpacing/>
              <w:rPr>
                <w:rFonts w:eastAsia="Book Antiqua" w:cstheme="minorHAnsi"/>
              </w:rPr>
            </w:pPr>
            <w:r w:rsidRPr="00154145">
              <w:rPr>
                <w:rFonts w:eastAsia="Book Antiqua" w:cstheme="minorHAnsi"/>
              </w:rPr>
              <w:t>0</w:t>
            </w:r>
          </w:p>
        </w:tc>
        <w:tc>
          <w:tcPr>
            <w:tcW w:w="0" w:type="pct"/>
            <w:vAlign w:val="center"/>
          </w:tcPr>
          <w:p w14:paraId="35FE7E97" w14:textId="78A3AB5B" w:rsidR="00CC75B4" w:rsidRPr="00154145" w:rsidRDefault="00830E9B" w:rsidP="00CC75B4">
            <w:pPr>
              <w:pStyle w:val="Tabletextcentered"/>
              <w:spacing w:line="240" w:lineRule="auto"/>
              <w:contextualSpacing/>
              <w:rPr>
                <w:rFonts w:cstheme="minorHAnsi"/>
              </w:rPr>
            </w:pPr>
            <w:r w:rsidRPr="00154145">
              <w:rPr>
                <w:rFonts w:cstheme="minorHAnsi"/>
              </w:rPr>
              <w:t>-</w:t>
            </w:r>
          </w:p>
        </w:tc>
        <w:tc>
          <w:tcPr>
            <w:tcW w:w="0" w:type="pct"/>
            <w:vAlign w:val="center"/>
          </w:tcPr>
          <w:p w14:paraId="7F4B3560" w14:textId="39F1AA36" w:rsidR="00CC75B4" w:rsidRPr="00154145" w:rsidRDefault="00830E9B" w:rsidP="00CC75B4">
            <w:pPr>
              <w:pStyle w:val="Tabletextcentered"/>
              <w:spacing w:line="240" w:lineRule="auto"/>
              <w:contextualSpacing/>
              <w:rPr>
                <w:rFonts w:cstheme="minorHAnsi"/>
              </w:rPr>
            </w:pPr>
            <w:r w:rsidRPr="00154145">
              <w:rPr>
                <w:rFonts w:cstheme="minorHAnsi"/>
              </w:rPr>
              <w:t>-</w:t>
            </w:r>
          </w:p>
        </w:tc>
        <w:tc>
          <w:tcPr>
            <w:tcW w:w="0" w:type="pct"/>
            <w:vAlign w:val="center"/>
          </w:tcPr>
          <w:p w14:paraId="034BB1DE" w14:textId="071B9FAE" w:rsidR="00CC75B4" w:rsidRPr="00154145" w:rsidRDefault="00830E9B" w:rsidP="00CC75B4">
            <w:pPr>
              <w:pStyle w:val="Tabletextcentered"/>
              <w:spacing w:line="240" w:lineRule="auto"/>
              <w:contextualSpacing/>
              <w:rPr>
                <w:rFonts w:cstheme="minorHAnsi"/>
              </w:rPr>
            </w:pPr>
            <w:r w:rsidRPr="00154145">
              <w:rPr>
                <w:rFonts w:cstheme="minorHAnsi"/>
              </w:rPr>
              <w:t>-</w:t>
            </w:r>
          </w:p>
        </w:tc>
        <w:tc>
          <w:tcPr>
            <w:tcW w:w="0" w:type="pct"/>
            <w:vAlign w:val="center"/>
          </w:tcPr>
          <w:p w14:paraId="09F34D38" w14:textId="49C98351" w:rsidR="00CC75B4" w:rsidRPr="00154145" w:rsidRDefault="00830E9B" w:rsidP="00CC75B4">
            <w:pPr>
              <w:pStyle w:val="Tabletextcentered"/>
              <w:spacing w:line="240" w:lineRule="auto"/>
              <w:contextualSpacing/>
              <w:rPr>
                <w:rFonts w:cstheme="minorHAnsi"/>
              </w:rPr>
            </w:pPr>
            <w:r w:rsidRPr="00154145">
              <w:rPr>
                <w:rFonts w:cstheme="minorHAnsi"/>
              </w:rPr>
              <w:t>0</w:t>
            </w:r>
          </w:p>
        </w:tc>
        <w:tc>
          <w:tcPr>
            <w:tcW w:w="0" w:type="pct"/>
            <w:vAlign w:val="center"/>
          </w:tcPr>
          <w:p w14:paraId="55E62055" w14:textId="52BFA19A" w:rsidR="00CC75B4" w:rsidRPr="00154145" w:rsidRDefault="00830E9B" w:rsidP="00CC75B4">
            <w:pPr>
              <w:pStyle w:val="Tabletextcentered"/>
              <w:spacing w:line="240" w:lineRule="auto"/>
              <w:contextualSpacing/>
              <w:rPr>
                <w:rFonts w:eastAsia="Book Antiqua" w:cstheme="minorHAnsi"/>
              </w:rPr>
            </w:pPr>
            <w:r w:rsidRPr="00154145">
              <w:rPr>
                <w:rFonts w:eastAsia="Book Antiqua" w:cstheme="minorHAnsi"/>
              </w:rPr>
              <w:t>0</w:t>
            </w:r>
          </w:p>
        </w:tc>
        <w:tc>
          <w:tcPr>
            <w:tcW w:w="0" w:type="pct"/>
            <w:vAlign w:val="center"/>
          </w:tcPr>
          <w:p w14:paraId="7873362E" w14:textId="1CA76F5C" w:rsidR="00CC75B4" w:rsidRPr="00154145" w:rsidRDefault="00830E9B" w:rsidP="00CC75B4">
            <w:pPr>
              <w:pStyle w:val="Tabletextcentered"/>
              <w:spacing w:line="240" w:lineRule="auto"/>
              <w:contextualSpacing/>
              <w:rPr>
                <w:rFonts w:eastAsia="Book Antiqua" w:cstheme="minorHAnsi"/>
              </w:rPr>
            </w:pPr>
            <w:r w:rsidRPr="00154145">
              <w:rPr>
                <w:rFonts w:eastAsia="Book Antiqua" w:cstheme="minorHAnsi"/>
              </w:rPr>
              <w:t>0</w:t>
            </w:r>
          </w:p>
        </w:tc>
        <w:tc>
          <w:tcPr>
            <w:tcW w:w="0" w:type="pct"/>
            <w:vAlign w:val="center"/>
          </w:tcPr>
          <w:p w14:paraId="76F28768" w14:textId="5E67CACD" w:rsidR="00CC75B4" w:rsidRPr="00154145" w:rsidRDefault="00830E9B" w:rsidP="00CC75B4">
            <w:pPr>
              <w:pStyle w:val="Tabletextcentered"/>
              <w:spacing w:line="240" w:lineRule="auto"/>
              <w:contextualSpacing/>
              <w:rPr>
                <w:rFonts w:cstheme="minorHAnsi"/>
                <w:w w:val="99"/>
              </w:rPr>
            </w:pPr>
            <w:r w:rsidRPr="00154145">
              <w:rPr>
                <w:rFonts w:cstheme="minorHAnsi"/>
                <w:w w:val="99"/>
              </w:rPr>
              <w:t>0</w:t>
            </w:r>
          </w:p>
        </w:tc>
        <w:tc>
          <w:tcPr>
            <w:tcW w:w="0" w:type="pct"/>
            <w:vAlign w:val="center"/>
          </w:tcPr>
          <w:p w14:paraId="514194FF" w14:textId="4EDC0505" w:rsidR="00CC75B4" w:rsidRPr="00154145" w:rsidRDefault="00830E9B" w:rsidP="00CC75B4">
            <w:pPr>
              <w:pStyle w:val="Tabletextcentered"/>
              <w:spacing w:line="240" w:lineRule="auto"/>
              <w:contextualSpacing/>
              <w:rPr>
                <w:rFonts w:eastAsia="Book Antiqua" w:cstheme="minorHAnsi"/>
              </w:rPr>
            </w:pPr>
            <w:r w:rsidRPr="00154145">
              <w:rPr>
                <w:rFonts w:eastAsia="Book Antiqua" w:cstheme="minorHAnsi"/>
              </w:rPr>
              <w:t>-</w:t>
            </w:r>
          </w:p>
        </w:tc>
        <w:tc>
          <w:tcPr>
            <w:tcW w:w="0" w:type="pct"/>
            <w:vAlign w:val="center"/>
          </w:tcPr>
          <w:p w14:paraId="5BFDC9FC" w14:textId="69B975E4" w:rsidR="00CC75B4" w:rsidRPr="00154145" w:rsidRDefault="00830E9B" w:rsidP="00CC75B4">
            <w:pPr>
              <w:pStyle w:val="Tabletextcentered"/>
              <w:spacing w:line="240" w:lineRule="auto"/>
              <w:contextualSpacing/>
              <w:rPr>
                <w:rFonts w:cstheme="minorHAnsi"/>
              </w:rPr>
            </w:pPr>
            <w:r w:rsidRPr="00154145">
              <w:rPr>
                <w:rFonts w:cstheme="minorHAnsi"/>
              </w:rPr>
              <w:t>0</w:t>
            </w:r>
          </w:p>
        </w:tc>
      </w:tr>
      <w:tr w:rsidR="00CC75B4" w:rsidRPr="00154145" w14:paraId="535C37A6" w14:textId="6CC4B183" w:rsidTr="00AC2854">
        <w:trPr>
          <w:trHeight w:val="20"/>
          <w:jc w:val="center"/>
        </w:trPr>
        <w:tc>
          <w:tcPr>
            <w:tcW w:w="0" w:type="pct"/>
            <w:vAlign w:val="center"/>
          </w:tcPr>
          <w:p w14:paraId="274729C7" w14:textId="77777777" w:rsidR="00CC75B4" w:rsidRPr="00154145" w:rsidRDefault="00CC75B4" w:rsidP="00CC75B4">
            <w:pPr>
              <w:spacing w:before="0" w:after="0" w:line="240" w:lineRule="auto"/>
              <w:contextualSpacing/>
              <w:rPr>
                <w:rFonts w:asciiTheme="minorHAnsi" w:hAnsiTheme="minorHAnsi" w:cstheme="minorHAnsi"/>
                <w:b/>
                <w:bCs/>
                <w:sz w:val="20"/>
                <w:szCs w:val="20"/>
              </w:rPr>
            </w:pPr>
            <w:r w:rsidRPr="00154145">
              <w:rPr>
                <w:rFonts w:asciiTheme="minorHAnsi" w:hAnsiTheme="minorHAnsi" w:cstheme="minorHAnsi"/>
                <w:b/>
                <w:bCs/>
                <w:sz w:val="20"/>
                <w:szCs w:val="20"/>
              </w:rPr>
              <w:lastRenderedPageBreak/>
              <w:t>Rejets liquides et solides</w:t>
            </w:r>
          </w:p>
        </w:tc>
        <w:tc>
          <w:tcPr>
            <w:tcW w:w="0" w:type="pct"/>
            <w:vAlign w:val="center"/>
          </w:tcPr>
          <w:p w14:paraId="701A83F1" w14:textId="384EF35F" w:rsidR="00CC75B4" w:rsidRPr="00154145" w:rsidRDefault="00AF2C89" w:rsidP="00CC75B4">
            <w:pPr>
              <w:spacing w:before="0" w:after="0" w:line="240" w:lineRule="auto"/>
              <w:contextualSpacing/>
              <w:jc w:val="center"/>
              <w:rPr>
                <w:rFonts w:asciiTheme="minorHAnsi" w:hAnsiTheme="minorHAnsi" w:cstheme="minorHAnsi"/>
                <w:sz w:val="20"/>
                <w:szCs w:val="20"/>
              </w:rPr>
            </w:pPr>
            <w:r w:rsidRPr="00154145">
              <w:rPr>
                <w:rFonts w:asciiTheme="minorHAnsi" w:hAnsiTheme="minorHAnsi" w:cstheme="minorHAnsi"/>
                <w:sz w:val="20"/>
                <w:szCs w:val="20"/>
              </w:rPr>
              <w:t>-</w:t>
            </w:r>
          </w:p>
        </w:tc>
        <w:tc>
          <w:tcPr>
            <w:tcW w:w="0" w:type="pct"/>
            <w:vAlign w:val="center"/>
          </w:tcPr>
          <w:p w14:paraId="4444ADC9" w14:textId="47DB5422" w:rsidR="00CC75B4" w:rsidRPr="00154145" w:rsidRDefault="00AF2C89" w:rsidP="00CC75B4">
            <w:pPr>
              <w:pStyle w:val="Tabletextcentered"/>
              <w:spacing w:line="240" w:lineRule="auto"/>
              <w:contextualSpacing/>
              <w:rPr>
                <w:rFonts w:eastAsia="Book Antiqua" w:cstheme="minorHAnsi"/>
              </w:rPr>
            </w:pPr>
            <w:r w:rsidRPr="00154145">
              <w:rPr>
                <w:rFonts w:eastAsia="Book Antiqua" w:cstheme="minorHAnsi"/>
              </w:rPr>
              <w:t>0</w:t>
            </w:r>
          </w:p>
        </w:tc>
        <w:tc>
          <w:tcPr>
            <w:tcW w:w="0" w:type="pct"/>
            <w:vAlign w:val="center"/>
          </w:tcPr>
          <w:p w14:paraId="19CBCDF7" w14:textId="44378746" w:rsidR="00CC75B4" w:rsidRPr="00154145" w:rsidRDefault="00AF2C89" w:rsidP="00CC75B4">
            <w:pPr>
              <w:pStyle w:val="Tabletextcentered"/>
              <w:spacing w:line="240" w:lineRule="auto"/>
              <w:contextualSpacing/>
              <w:rPr>
                <w:rFonts w:eastAsia="Book Antiqua" w:cstheme="minorHAnsi"/>
              </w:rPr>
            </w:pPr>
            <w:r w:rsidRPr="00154145">
              <w:rPr>
                <w:rFonts w:eastAsia="Book Antiqua" w:cstheme="minorHAnsi"/>
              </w:rPr>
              <w:t>-</w:t>
            </w:r>
          </w:p>
        </w:tc>
        <w:tc>
          <w:tcPr>
            <w:tcW w:w="0" w:type="pct"/>
            <w:vAlign w:val="center"/>
          </w:tcPr>
          <w:p w14:paraId="3AA93D52" w14:textId="214D69FD" w:rsidR="00CC75B4" w:rsidRPr="00154145" w:rsidRDefault="00AF2C89" w:rsidP="00CC75B4">
            <w:pPr>
              <w:pStyle w:val="Tabletextcentered"/>
              <w:spacing w:line="240" w:lineRule="auto"/>
              <w:contextualSpacing/>
              <w:rPr>
                <w:rFonts w:eastAsia="Book Antiqua" w:cstheme="minorHAnsi"/>
              </w:rPr>
            </w:pPr>
            <w:r w:rsidRPr="00154145">
              <w:rPr>
                <w:rFonts w:eastAsia="Book Antiqua" w:cstheme="minorHAnsi"/>
              </w:rPr>
              <w:t>-</w:t>
            </w:r>
          </w:p>
        </w:tc>
        <w:tc>
          <w:tcPr>
            <w:tcW w:w="0" w:type="pct"/>
            <w:vAlign w:val="center"/>
          </w:tcPr>
          <w:p w14:paraId="09A23C4C" w14:textId="31E7D56B" w:rsidR="00CC75B4" w:rsidRPr="00154145" w:rsidRDefault="00AF2C89" w:rsidP="00CC75B4">
            <w:pPr>
              <w:pStyle w:val="Tabletextcentered"/>
              <w:spacing w:line="240" w:lineRule="auto"/>
              <w:contextualSpacing/>
              <w:rPr>
                <w:rFonts w:cstheme="minorHAnsi"/>
              </w:rPr>
            </w:pPr>
            <w:r w:rsidRPr="00154145">
              <w:rPr>
                <w:rFonts w:cstheme="minorHAnsi"/>
              </w:rPr>
              <w:t>-</w:t>
            </w:r>
          </w:p>
        </w:tc>
        <w:tc>
          <w:tcPr>
            <w:tcW w:w="0" w:type="pct"/>
            <w:vAlign w:val="center"/>
          </w:tcPr>
          <w:p w14:paraId="2FEFEA5B" w14:textId="25F340CA" w:rsidR="00CC75B4" w:rsidRPr="00154145" w:rsidRDefault="00AF2C89" w:rsidP="00CC75B4">
            <w:pPr>
              <w:pStyle w:val="Tabletextcentered"/>
              <w:spacing w:line="240" w:lineRule="auto"/>
              <w:contextualSpacing/>
              <w:rPr>
                <w:rFonts w:cstheme="minorHAnsi"/>
              </w:rPr>
            </w:pPr>
            <w:r w:rsidRPr="00154145">
              <w:rPr>
                <w:rFonts w:cstheme="minorHAnsi"/>
              </w:rPr>
              <w:t>-</w:t>
            </w:r>
          </w:p>
        </w:tc>
        <w:tc>
          <w:tcPr>
            <w:tcW w:w="0" w:type="pct"/>
            <w:vAlign w:val="center"/>
          </w:tcPr>
          <w:p w14:paraId="21FE681F" w14:textId="5B76F018" w:rsidR="00CC75B4" w:rsidRPr="00154145" w:rsidRDefault="00AF2C89" w:rsidP="00CC75B4">
            <w:pPr>
              <w:pStyle w:val="Tabletextcentered"/>
              <w:spacing w:line="240" w:lineRule="auto"/>
              <w:contextualSpacing/>
              <w:rPr>
                <w:rFonts w:cstheme="minorHAnsi"/>
              </w:rPr>
            </w:pPr>
            <w:r w:rsidRPr="00154145">
              <w:rPr>
                <w:rFonts w:cstheme="minorHAnsi"/>
              </w:rPr>
              <w:t>0</w:t>
            </w:r>
          </w:p>
        </w:tc>
        <w:tc>
          <w:tcPr>
            <w:tcW w:w="0" w:type="pct"/>
            <w:vAlign w:val="center"/>
          </w:tcPr>
          <w:p w14:paraId="37ED368B" w14:textId="000953D6" w:rsidR="00CC75B4" w:rsidRPr="00154145" w:rsidRDefault="00AF2C89" w:rsidP="00CC75B4">
            <w:pPr>
              <w:pStyle w:val="Tabletextcentered"/>
              <w:spacing w:line="240" w:lineRule="auto"/>
              <w:contextualSpacing/>
              <w:rPr>
                <w:rFonts w:cstheme="minorHAnsi"/>
              </w:rPr>
            </w:pPr>
            <w:r w:rsidRPr="00154145">
              <w:rPr>
                <w:rFonts w:cstheme="minorHAnsi"/>
              </w:rPr>
              <w:t>0</w:t>
            </w:r>
          </w:p>
        </w:tc>
        <w:tc>
          <w:tcPr>
            <w:tcW w:w="0" w:type="pct"/>
            <w:vAlign w:val="center"/>
          </w:tcPr>
          <w:p w14:paraId="22523EB3" w14:textId="49DB37C5" w:rsidR="00CC75B4" w:rsidRPr="00154145" w:rsidRDefault="00AF2C89" w:rsidP="00CC75B4">
            <w:pPr>
              <w:pStyle w:val="Tabletextcentered"/>
              <w:spacing w:line="240" w:lineRule="auto"/>
              <w:contextualSpacing/>
              <w:rPr>
                <w:rFonts w:eastAsia="Book Antiqua" w:cstheme="minorHAnsi"/>
              </w:rPr>
            </w:pPr>
            <w:r w:rsidRPr="00154145">
              <w:rPr>
                <w:rFonts w:eastAsia="Book Antiqua" w:cstheme="minorHAnsi"/>
              </w:rPr>
              <w:t>-</w:t>
            </w:r>
          </w:p>
        </w:tc>
        <w:tc>
          <w:tcPr>
            <w:tcW w:w="0" w:type="pct"/>
            <w:vAlign w:val="center"/>
          </w:tcPr>
          <w:p w14:paraId="483C2873" w14:textId="79F76245" w:rsidR="00CC75B4" w:rsidRPr="00154145" w:rsidRDefault="00AF2C89" w:rsidP="00CC75B4">
            <w:pPr>
              <w:pStyle w:val="Tabletextcentered"/>
              <w:spacing w:line="240" w:lineRule="auto"/>
              <w:contextualSpacing/>
              <w:rPr>
                <w:rFonts w:eastAsia="Book Antiqua" w:cstheme="minorHAnsi"/>
              </w:rPr>
            </w:pPr>
            <w:r w:rsidRPr="00154145">
              <w:rPr>
                <w:rFonts w:eastAsia="Book Antiqua" w:cstheme="minorHAnsi"/>
              </w:rPr>
              <w:t>-</w:t>
            </w:r>
          </w:p>
        </w:tc>
        <w:tc>
          <w:tcPr>
            <w:tcW w:w="0" w:type="pct"/>
            <w:vAlign w:val="center"/>
          </w:tcPr>
          <w:p w14:paraId="46E8B24C" w14:textId="2281EBE0" w:rsidR="00CC75B4" w:rsidRPr="00154145" w:rsidRDefault="00AF2C89" w:rsidP="00CC75B4">
            <w:pPr>
              <w:pStyle w:val="Tabletextcentered"/>
              <w:spacing w:line="240" w:lineRule="auto"/>
              <w:contextualSpacing/>
              <w:rPr>
                <w:rFonts w:cstheme="minorHAnsi"/>
                <w:w w:val="99"/>
              </w:rPr>
            </w:pPr>
            <w:r w:rsidRPr="00154145">
              <w:rPr>
                <w:rFonts w:cstheme="minorHAnsi"/>
                <w:w w:val="99"/>
              </w:rPr>
              <w:t>0</w:t>
            </w:r>
          </w:p>
        </w:tc>
        <w:tc>
          <w:tcPr>
            <w:tcW w:w="0" w:type="pct"/>
            <w:vAlign w:val="center"/>
          </w:tcPr>
          <w:p w14:paraId="680CE460" w14:textId="6D42BF1F" w:rsidR="00CC75B4" w:rsidRPr="00154145" w:rsidRDefault="00AF2C89" w:rsidP="00CC75B4">
            <w:pPr>
              <w:pStyle w:val="Tabletextcentered"/>
              <w:spacing w:line="240" w:lineRule="auto"/>
              <w:contextualSpacing/>
              <w:rPr>
                <w:rFonts w:eastAsia="Book Antiqua" w:cstheme="minorHAnsi"/>
              </w:rPr>
            </w:pPr>
            <w:r w:rsidRPr="00154145">
              <w:rPr>
                <w:rFonts w:eastAsia="Book Antiqua" w:cstheme="minorHAnsi"/>
              </w:rPr>
              <w:t>-</w:t>
            </w:r>
          </w:p>
        </w:tc>
        <w:tc>
          <w:tcPr>
            <w:tcW w:w="0" w:type="pct"/>
            <w:vAlign w:val="center"/>
          </w:tcPr>
          <w:p w14:paraId="51A21DC0" w14:textId="34AB04CB" w:rsidR="00CC75B4" w:rsidRPr="00154145" w:rsidRDefault="00AF2C89" w:rsidP="00CC75B4">
            <w:pPr>
              <w:pStyle w:val="Tabletextcentered"/>
              <w:spacing w:line="240" w:lineRule="auto"/>
              <w:contextualSpacing/>
              <w:rPr>
                <w:rFonts w:cstheme="minorHAnsi"/>
              </w:rPr>
            </w:pPr>
            <w:r w:rsidRPr="00154145">
              <w:rPr>
                <w:rFonts w:cstheme="minorHAnsi"/>
              </w:rPr>
              <w:t>0</w:t>
            </w:r>
          </w:p>
        </w:tc>
      </w:tr>
      <w:tr w:rsidR="00CC75B4" w:rsidRPr="00154145" w14:paraId="478404E2" w14:textId="445B1538" w:rsidTr="00AC2854">
        <w:trPr>
          <w:trHeight w:val="20"/>
          <w:jc w:val="center"/>
        </w:trPr>
        <w:tc>
          <w:tcPr>
            <w:tcW w:w="0" w:type="pct"/>
            <w:vAlign w:val="center"/>
          </w:tcPr>
          <w:p w14:paraId="13CFC089" w14:textId="77777777" w:rsidR="00CC75B4" w:rsidRPr="00154145" w:rsidRDefault="00CC75B4" w:rsidP="00CC75B4">
            <w:pPr>
              <w:pStyle w:val="Tabletextleft"/>
              <w:spacing w:line="240" w:lineRule="auto"/>
              <w:contextualSpacing/>
              <w:jc w:val="both"/>
              <w:rPr>
                <w:rFonts w:eastAsia="Book Antiqua" w:cstheme="minorHAnsi"/>
                <w:b/>
                <w:bCs/>
                <w:color w:val="FFFFFF" w:themeColor="background1"/>
              </w:rPr>
            </w:pPr>
            <w:r w:rsidRPr="00154145">
              <w:rPr>
                <w:rFonts w:eastAsia="Book Antiqua" w:cstheme="minorHAnsi"/>
                <w:b/>
                <w:bCs/>
              </w:rPr>
              <w:t>Démobilisation</w:t>
            </w:r>
          </w:p>
        </w:tc>
        <w:tc>
          <w:tcPr>
            <w:tcW w:w="0" w:type="pct"/>
            <w:vAlign w:val="center"/>
          </w:tcPr>
          <w:p w14:paraId="241A0A75" w14:textId="05E43C88" w:rsidR="00CC75B4" w:rsidRPr="00154145" w:rsidRDefault="00693ED1" w:rsidP="00CC75B4">
            <w:pPr>
              <w:spacing w:before="0" w:after="0" w:line="240" w:lineRule="auto"/>
              <w:contextualSpacing/>
              <w:jc w:val="center"/>
              <w:rPr>
                <w:rFonts w:asciiTheme="minorHAnsi" w:hAnsiTheme="minorHAnsi" w:cstheme="minorHAnsi"/>
                <w:sz w:val="20"/>
                <w:szCs w:val="20"/>
              </w:rPr>
            </w:pPr>
            <w:r w:rsidRPr="00154145">
              <w:rPr>
                <w:rFonts w:asciiTheme="minorHAnsi" w:hAnsiTheme="minorHAnsi" w:cstheme="minorHAnsi"/>
                <w:sz w:val="20"/>
                <w:szCs w:val="20"/>
              </w:rPr>
              <w:t>-</w:t>
            </w:r>
          </w:p>
        </w:tc>
        <w:tc>
          <w:tcPr>
            <w:tcW w:w="0" w:type="pct"/>
            <w:vAlign w:val="center"/>
          </w:tcPr>
          <w:p w14:paraId="160FF74F" w14:textId="1FF2EF7F" w:rsidR="00CC75B4" w:rsidRPr="00154145" w:rsidRDefault="00693ED1" w:rsidP="00CC75B4">
            <w:pPr>
              <w:pStyle w:val="Tabletextcentered"/>
              <w:spacing w:line="240" w:lineRule="auto"/>
              <w:contextualSpacing/>
              <w:rPr>
                <w:rFonts w:eastAsia="Book Antiqua" w:cstheme="minorHAnsi"/>
              </w:rPr>
            </w:pPr>
            <w:r w:rsidRPr="00154145">
              <w:rPr>
                <w:rFonts w:eastAsia="Book Antiqua" w:cstheme="minorHAnsi"/>
              </w:rPr>
              <w:t>-</w:t>
            </w:r>
          </w:p>
        </w:tc>
        <w:tc>
          <w:tcPr>
            <w:tcW w:w="0" w:type="pct"/>
            <w:vAlign w:val="center"/>
          </w:tcPr>
          <w:p w14:paraId="7D8F4C24" w14:textId="45DA968E" w:rsidR="00CC75B4" w:rsidRPr="00154145" w:rsidRDefault="00693ED1" w:rsidP="00CC75B4">
            <w:pPr>
              <w:pStyle w:val="Tabletextcentered"/>
              <w:spacing w:line="240" w:lineRule="auto"/>
              <w:contextualSpacing/>
              <w:rPr>
                <w:rFonts w:eastAsia="Book Antiqua" w:cstheme="minorHAnsi"/>
              </w:rPr>
            </w:pPr>
            <w:r w:rsidRPr="00154145">
              <w:rPr>
                <w:rFonts w:eastAsia="Book Antiqua" w:cstheme="minorHAnsi"/>
              </w:rPr>
              <w:t>-</w:t>
            </w:r>
          </w:p>
        </w:tc>
        <w:tc>
          <w:tcPr>
            <w:tcW w:w="0" w:type="pct"/>
            <w:vAlign w:val="center"/>
          </w:tcPr>
          <w:p w14:paraId="7D68F4FD" w14:textId="6DCEA0FF" w:rsidR="00CC75B4" w:rsidRPr="00154145" w:rsidRDefault="00693ED1" w:rsidP="00CC75B4">
            <w:pPr>
              <w:pStyle w:val="Tabletextcentered"/>
              <w:spacing w:line="240" w:lineRule="auto"/>
              <w:contextualSpacing/>
              <w:rPr>
                <w:rFonts w:eastAsia="Book Antiqua" w:cstheme="minorHAnsi"/>
              </w:rPr>
            </w:pPr>
            <w:r w:rsidRPr="00154145">
              <w:rPr>
                <w:rFonts w:eastAsia="Book Antiqua" w:cstheme="minorHAnsi"/>
              </w:rPr>
              <w:t>0</w:t>
            </w:r>
          </w:p>
        </w:tc>
        <w:tc>
          <w:tcPr>
            <w:tcW w:w="0" w:type="pct"/>
            <w:vAlign w:val="center"/>
          </w:tcPr>
          <w:p w14:paraId="3E8B8E1D" w14:textId="2B03478E" w:rsidR="00CC75B4" w:rsidRPr="00154145" w:rsidRDefault="00693ED1" w:rsidP="00CC75B4">
            <w:pPr>
              <w:pStyle w:val="Tabletextcentered"/>
              <w:spacing w:line="240" w:lineRule="auto"/>
              <w:contextualSpacing/>
              <w:rPr>
                <w:rFonts w:cstheme="minorHAnsi"/>
              </w:rPr>
            </w:pPr>
            <w:r w:rsidRPr="00154145">
              <w:rPr>
                <w:rFonts w:cstheme="minorHAnsi"/>
              </w:rPr>
              <w:t>0</w:t>
            </w:r>
          </w:p>
        </w:tc>
        <w:tc>
          <w:tcPr>
            <w:tcW w:w="0" w:type="pct"/>
            <w:vAlign w:val="center"/>
          </w:tcPr>
          <w:p w14:paraId="0AD7C049" w14:textId="37DCE23C" w:rsidR="00CC75B4" w:rsidRPr="00154145" w:rsidRDefault="00693ED1" w:rsidP="00CC75B4">
            <w:pPr>
              <w:pStyle w:val="Tabletextcentered"/>
              <w:spacing w:line="240" w:lineRule="auto"/>
              <w:contextualSpacing/>
              <w:rPr>
                <w:rFonts w:cstheme="minorHAnsi"/>
              </w:rPr>
            </w:pPr>
            <w:r w:rsidRPr="00154145">
              <w:rPr>
                <w:rFonts w:cstheme="minorHAnsi"/>
              </w:rPr>
              <w:t>-</w:t>
            </w:r>
          </w:p>
        </w:tc>
        <w:tc>
          <w:tcPr>
            <w:tcW w:w="0" w:type="pct"/>
            <w:vAlign w:val="center"/>
          </w:tcPr>
          <w:p w14:paraId="11F86A84" w14:textId="2FDFF4DC" w:rsidR="00CC75B4" w:rsidRPr="00154145" w:rsidRDefault="00693ED1" w:rsidP="00CC75B4">
            <w:pPr>
              <w:pStyle w:val="Tabletextcentered"/>
              <w:spacing w:line="240" w:lineRule="auto"/>
              <w:contextualSpacing/>
              <w:rPr>
                <w:rFonts w:cstheme="minorHAnsi"/>
              </w:rPr>
            </w:pPr>
            <w:r w:rsidRPr="00154145">
              <w:rPr>
                <w:rFonts w:cstheme="minorHAnsi"/>
              </w:rPr>
              <w:t>0</w:t>
            </w:r>
          </w:p>
        </w:tc>
        <w:tc>
          <w:tcPr>
            <w:tcW w:w="0" w:type="pct"/>
            <w:vAlign w:val="center"/>
          </w:tcPr>
          <w:p w14:paraId="021B1410" w14:textId="3DC16653" w:rsidR="00CC75B4" w:rsidRPr="00154145" w:rsidRDefault="00693ED1" w:rsidP="00CC75B4">
            <w:pPr>
              <w:pStyle w:val="Tabletextcentered"/>
              <w:spacing w:line="240" w:lineRule="auto"/>
              <w:contextualSpacing/>
              <w:rPr>
                <w:rFonts w:cstheme="minorHAnsi"/>
              </w:rPr>
            </w:pPr>
            <w:r w:rsidRPr="00154145">
              <w:rPr>
                <w:rFonts w:cstheme="minorHAnsi"/>
              </w:rPr>
              <w:t>0</w:t>
            </w:r>
          </w:p>
        </w:tc>
        <w:tc>
          <w:tcPr>
            <w:tcW w:w="0" w:type="pct"/>
            <w:vAlign w:val="center"/>
          </w:tcPr>
          <w:p w14:paraId="63DD4F93" w14:textId="3F7F6627" w:rsidR="00CC75B4" w:rsidRPr="00154145" w:rsidRDefault="00693ED1" w:rsidP="00CC75B4">
            <w:pPr>
              <w:pStyle w:val="Tabletextcentered"/>
              <w:spacing w:line="240" w:lineRule="auto"/>
              <w:contextualSpacing/>
              <w:rPr>
                <w:rFonts w:eastAsia="Book Antiqua" w:cstheme="minorHAnsi"/>
              </w:rPr>
            </w:pPr>
            <w:r w:rsidRPr="00154145">
              <w:rPr>
                <w:rFonts w:eastAsia="Book Antiqua" w:cstheme="minorHAnsi"/>
              </w:rPr>
              <w:t>0</w:t>
            </w:r>
          </w:p>
        </w:tc>
        <w:tc>
          <w:tcPr>
            <w:tcW w:w="0" w:type="pct"/>
            <w:vAlign w:val="center"/>
          </w:tcPr>
          <w:p w14:paraId="3C42A939" w14:textId="157EC481" w:rsidR="00CC75B4" w:rsidRPr="00154145" w:rsidRDefault="00693ED1" w:rsidP="00CC75B4">
            <w:pPr>
              <w:pStyle w:val="Tabletextcentered"/>
              <w:spacing w:line="240" w:lineRule="auto"/>
              <w:contextualSpacing/>
              <w:rPr>
                <w:rFonts w:eastAsia="Book Antiqua" w:cstheme="minorHAnsi"/>
              </w:rPr>
            </w:pPr>
            <w:r w:rsidRPr="00154145">
              <w:rPr>
                <w:rFonts w:eastAsia="Book Antiqua" w:cstheme="minorHAnsi"/>
              </w:rPr>
              <w:t>0</w:t>
            </w:r>
          </w:p>
        </w:tc>
        <w:tc>
          <w:tcPr>
            <w:tcW w:w="0" w:type="pct"/>
            <w:vAlign w:val="center"/>
          </w:tcPr>
          <w:p w14:paraId="6462D2FC" w14:textId="3B4556A4" w:rsidR="00CC75B4" w:rsidRPr="00154145" w:rsidRDefault="00693ED1" w:rsidP="00CC75B4">
            <w:pPr>
              <w:pStyle w:val="Tabletextcentered"/>
              <w:spacing w:line="240" w:lineRule="auto"/>
              <w:contextualSpacing/>
              <w:rPr>
                <w:rFonts w:cstheme="minorHAnsi"/>
                <w:w w:val="99"/>
              </w:rPr>
            </w:pPr>
            <w:r w:rsidRPr="00154145">
              <w:rPr>
                <w:rFonts w:cstheme="minorHAnsi"/>
                <w:w w:val="99"/>
              </w:rPr>
              <w:t>0</w:t>
            </w:r>
          </w:p>
        </w:tc>
        <w:tc>
          <w:tcPr>
            <w:tcW w:w="0" w:type="pct"/>
            <w:vAlign w:val="center"/>
          </w:tcPr>
          <w:p w14:paraId="3E45013D" w14:textId="6E1999E2" w:rsidR="00CC75B4" w:rsidRPr="00154145" w:rsidRDefault="00693ED1" w:rsidP="00CC75B4">
            <w:pPr>
              <w:pStyle w:val="Tabletextcentered"/>
              <w:spacing w:line="240" w:lineRule="auto"/>
              <w:contextualSpacing/>
              <w:rPr>
                <w:rFonts w:eastAsia="Book Antiqua" w:cstheme="minorHAnsi"/>
              </w:rPr>
            </w:pPr>
            <w:r w:rsidRPr="00154145">
              <w:rPr>
                <w:rFonts w:eastAsia="Book Antiqua" w:cstheme="minorHAnsi"/>
              </w:rPr>
              <w:t>0</w:t>
            </w:r>
          </w:p>
        </w:tc>
        <w:tc>
          <w:tcPr>
            <w:tcW w:w="0" w:type="pct"/>
            <w:vAlign w:val="center"/>
          </w:tcPr>
          <w:p w14:paraId="784D4604" w14:textId="673157CE" w:rsidR="00CC75B4" w:rsidRPr="00154145" w:rsidRDefault="00693ED1" w:rsidP="00CC75B4">
            <w:pPr>
              <w:pStyle w:val="Tabletextcentered"/>
              <w:spacing w:line="240" w:lineRule="auto"/>
              <w:contextualSpacing/>
              <w:rPr>
                <w:rFonts w:cstheme="minorHAnsi"/>
              </w:rPr>
            </w:pPr>
            <w:r w:rsidRPr="00154145">
              <w:rPr>
                <w:rFonts w:cstheme="minorHAnsi"/>
              </w:rPr>
              <w:t>0</w:t>
            </w:r>
          </w:p>
        </w:tc>
      </w:tr>
      <w:tr w:rsidR="00CC75B4" w:rsidRPr="00154145" w14:paraId="1AD1D30D" w14:textId="5A9EF5D2" w:rsidTr="00AC2854">
        <w:trPr>
          <w:trHeight w:val="20"/>
          <w:jc w:val="center"/>
        </w:trPr>
        <w:tc>
          <w:tcPr>
            <w:tcW w:w="0" w:type="pct"/>
            <w:vAlign w:val="center"/>
          </w:tcPr>
          <w:p w14:paraId="2EBC2EA4" w14:textId="77777777" w:rsidR="00CC75B4" w:rsidRPr="00154145" w:rsidRDefault="00CC75B4" w:rsidP="00CC75B4">
            <w:pPr>
              <w:spacing w:before="0" w:after="0" w:line="240" w:lineRule="auto"/>
              <w:contextualSpacing/>
              <w:rPr>
                <w:rFonts w:asciiTheme="minorHAnsi" w:hAnsiTheme="minorHAnsi" w:cstheme="minorHAnsi"/>
                <w:b/>
                <w:bCs/>
                <w:sz w:val="20"/>
                <w:szCs w:val="20"/>
              </w:rPr>
            </w:pPr>
            <w:r w:rsidRPr="00154145">
              <w:rPr>
                <w:rFonts w:asciiTheme="minorHAnsi" w:hAnsiTheme="minorHAnsi" w:cstheme="minorHAnsi"/>
                <w:b/>
                <w:bCs/>
                <w:sz w:val="20"/>
                <w:szCs w:val="20"/>
              </w:rPr>
              <w:t>Remise en état</w:t>
            </w:r>
          </w:p>
        </w:tc>
        <w:tc>
          <w:tcPr>
            <w:tcW w:w="0" w:type="pct"/>
            <w:vAlign w:val="center"/>
          </w:tcPr>
          <w:p w14:paraId="04560992" w14:textId="6B025878" w:rsidR="00CC75B4" w:rsidRPr="00154145" w:rsidRDefault="00693ED1" w:rsidP="00CC75B4">
            <w:pPr>
              <w:spacing w:before="0" w:after="0" w:line="240" w:lineRule="auto"/>
              <w:contextualSpacing/>
              <w:jc w:val="center"/>
              <w:rPr>
                <w:rFonts w:asciiTheme="minorHAnsi" w:hAnsiTheme="minorHAnsi" w:cstheme="minorHAnsi"/>
                <w:sz w:val="20"/>
                <w:szCs w:val="20"/>
              </w:rPr>
            </w:pPr>
            <w:r w:rsidRPr="00154145">
              <w:rPr>
                <w:rFonts w:asciiTheme="minorHAnsi" w:hAnsiTheme="minorHAnsi" w:cstheme="minorHAnsi"/>
                <w:sz w:val="20"/>
                <w:szCs w:val="20"/>
              </w:rPr>
              <w:t>-</w:t>
            </w:r>
          </w:p>
        </w:tc>
        <w:tc>
          <w:tcPr>
            <w:tcW w:w="0" w:type="pct"/>
            <w:vAlign w:val="center"/>
          </w:tcPr>
          <w:p w14:paraId="73B9DE28" w14:textId="5408DD3E" w:rsidR="00CC75B4" w:rsidRPr="00154145" w:rsidRDefault="00693ED1" w:rsidP="00CC75B4">
            <w:pPr>
              <w:pStyle w:val="Tabletextcentered"/>
              <w:spacing w:line="240" w:lineRule="auto"/>
              <w:contextualSpacing/>
              <w:rPr>
                <w:rFonts w:eastAsia="Book Antiqua" w:cstheme="minorHAnsi"/>
              </w:rPr>
            </w:pPr>
            <w:r w:rsidRPr="00154145">
              <w:rPr>
                <w:rFonts w:eastAsia="Book Antiqua" w:cstheme="minorHAnsi"/>
              </w:rPr>
              <w:t>-</w:t>
            </w:r>
          </w:p>
        </w:tc>
        <w:tc>
          <w:tcPr>
            <w:tcW w:w="0" w:type="pct"/>
            <w:vAlign w:val="center"/>
          </w:tcPr>
          <w:p w14:paraId="3C8CA69B" w14:textId="731C71DB" w:rsidR="00CC75B4" w:rsidRPr="00154145" w:rsidRDefault="00693ED1" w:rsidP="00CC75B4">
            <w:pPr>
              <w:pStyle w:val="Tabletextcentered"/>
              <w:spacing w:line="240" w:lineRule="auto"/>
              <w:contextualSpacing/>
              <w:rPr>
                <w:rFonts w:eastAsia="Book Antiqua" w:cstheme="minorHAnsi"/>
              </w:rPr>
            </w:pPr>
            <w:r w:rsidRPr="00154145">
              <w:rPr>
                <w:rFonts w:eastAsia="Book Antiqua" w:cstheme="minorHAnsi"/>
              </w:rPr>
              <w:t>0</w:t>
            </w:r>
          </w:p>
        </w:tc>
        <w:tc>
          <w:tcPr>
            <w:tcW w:w="0" w:type="pct"/>
            <w:vAlign w:val="center"/>
          </w:tcPr>
          <w:p w14:paraId="7AE06EBB" w14:textId="10BB9254" w:rsidR="00CC75B4" w:rsidRPr="00154145" w:rsidRDefault="00693ED1" w:rsidP="00CC75B4">
            <w:pPr>
              <w:pStyle w:val="Tabletextcentered"/>
              <w:spacing w:line="240" w:lineRule="auto"/>
              <w:contextualSpacing/>
              <w:rPr>
                <w:rFonts w:eastAsia="Book Antiqua" w:cstheme="minorHAnsi"/>
              </w:rPr>
            </w:pPr>
            <w:r w:rsidRPr="00154145">
              <w:rPr>
                <w:rFonts w:eastAsia="Book Antiqua" w:cstheme="minorHAnsi"/>
              </w:rPr>
              <w:t>0</w:t>
            </w:r>
          </w:p>
        </w:tc>
        <w:tc>
          <w:tcPr>
            <w:tcW w:w="0" w:type="pct"/>
            <w:vAlign w:val="center"/>
          </w:tcPr>
          <w:p w14:paraId="0F0507C1" w14:textId="06E950B3" w:rsidR="00CC75B4" w:rsidRPr="00154145" w:rsidRDefault="00693ED1" w:rsidP="00CC75B4">
            <w:pPr>
              <w:pStyle w:val="Tabletextcentered"/>
              <w:spacing w:line="240" w:lineRule="auto"/>
              <w:contextualSpacing/>
              <w:rPr>
                <w:rFonts w:cstheme="minorHAnsi"/>
              </w:rPr>
            </w:pPr>
            <w:r w:rsidRPr="00154145">
              <w:rPr>
                <w:rFonts w:cstheme="minorHAnsi"/>
              </w:rPr>
              <w:t>-</w:t>
            </w:r>
          </w:p>
        </w:tc>
        <w:tc>
          <w:tcPr>
            <w:tcW w:w="0" w:type="pct"/>
            <w:vAlign w:val="center"/>
          </w:tcPr>
          <w:p w14:paraId="4F07287E" w14:textId="3FC98EA3" w:rsidR="00CC75B4" w:rsidRPr="00154145" w:rsidRDefault="00693ED1" w:rsidP="00CC75B4">
            <w:pPr>
              <w:pStyle w:val="Tabletextcentered"/>
              <w:spacing w:line="240" w:lineRule="auto"/>
              <w:contextualSpacing/>
              <w:rPr>
                <w:rFonts w:cstheme="minorHAnsi"/>
              </w:rPr>
            </w:pPr>
            <w:r w:rsidRPr="00154145">
              <w:rPr>
                <w:rFonts w:cstheme="minorHAnsi"/>
              </w:rPr>
              <w:t>+</w:t>
            </w:r>
          </w:p>
        </w:tc>
        <w:tc>
          <w:tcPr>
            <w:tcW w:w="0" w:type="pct"/>
            <w:vAlign w:val="center"/>
          </w:tcPr>
          <w:p w14:paraId="60A93826" w14:textId="3271D21E" w:rsidR="00CC75B4" w:rsidRPr="00154145" w:rsidRDefault="00693ED1" w:rsidP="00CC75B4">
            <w:pPr>
              <w:pStyle w:val="Tabletextcentered"/>
              <w:spacing w:line="240" w:lineRule="auto"/>
              <w:contextualSpacing/>
              <w:rPr>
                <w:rFonts w:cstheme="minorHAnsi"/>
              </w:rPr>
            </w:pPr>
            <w:r w:rsidRPr="00154145">
              <w:rPr>
                <w:rFonts w:cstheme="minorHAnsi"/>
              </w:rPr>
              <w:t>-</w:t>
            </w:r>
          </w:p>
        </w:tc>
        <w:tc>
          <w:tcPr>
            <w:tcW w:w="0" w:type="pct"/>
            <w:vAlign w:val="center"/>
          </w:tcPr>
          <w:p w14:paraId="56DBE37E" w14:textId="539686A3" w:rsidR="00CC75B4" w:rsidRPr="00154145" w:rsidRDefault="00693ED1" w:rsidP="00CC75B4">
            <w:pPr>
              <w:pStyle w:val="Tabletextcentered"/>
              <w:spacing w:line="240" w:lineRule="auto"/>
              <w:contextualSpacing/>
              <w:rPr>
                <w:rFonts w:cstheme="minorHAnsi"/>
              </w:rPr>
            </w:pPr>
            <w:r w:rsidRPr="00154145">
              <w:rPr>
                <w:rFonts w:cstheme="minorHAnsi"/>
              </w:rPr>
              <w:t>0</w:t>
            </w:r>
          </w:p>
        </w:tc>
        <w:tc>
          <w:tcPr>
            <w:tcW w:w="0" w:type="pct"/>
            <w:vAlign w:val="center"/>
          </w:tcPr>
          <w:p w14:paraId="4CB342DF" w14:textId="50B80ED4" w:rsidR="00CC75B4" w:rsidRPr="00154145" w:rsidRDefault="00693ED1" w:rsidP="00CC75B4">
            <w:pPr>
              <w:pStyle w:val="Tabletextcentered"/>
              <w:spacing w:line="240" w:lineRule="auto"/>
              <w:contextualSpacing/>
              <w:rPr>
                <w:rFonts w:eastAsia="Book Antiqua" w:cstheme="minorHAnsi"/>
              </w:rPr>
            </w:pPr>
            <w:r w:rsidRPr="00154145">
              <w:rPr>
                <w:rFonts w:eastAsia="Book Antiqua" w:cstheme="minorHAnsi"/>
              </w:rPr>
              <w:t>0</w:t>
            </w:r>
          </w:p>
        </w:tc>
        <w:tc>
          <w:tcPr>
            <w:tcW w:w="0" w:type="pct"/>
            <w:vAlign w:val="center"/>
          </w:tcPr>
          <w:p w14:paraId="141946A5" w14:textId="401DBF45" w:rsidR="00CC75B4" w:rsidRPr="00154145" w:rsidRDefault="00693ED1" w:rsidP="00CC75B4">
            <w:pPr>
              <w:pStyle w:val="Tabletextcentered"/>
              <w:spacing w:line="240" w:lineRule="auto"/>
              <w:contextualSpacing/>
              <w:rPr>
                <w:rFonts w:eastAsia="Book Antiqua" w:cstheme="minorHAnsi"/>
              </w:rPr>
            </w:pPr>
            <w:r w:rsidRPr="00154145">
              <w:rPr>
                <w:rFonts w:eastAsia="Book Antiqua" w:cstheme="minorHAnsi"/>
              </w:rPr>
              <w:t>0</w:t>
            </w:r>
          </w:p>
        </w:tc>
        <w:tc>
          <w:tcPr>
            <w:tcW w:w="0" w:type="pct"/>
            <w:vAlign w:val="center"/>
          </w:tcPr>
          <w:p w14:paraId="28B7F56B" w14:textId="610D8BE5" w:rsidR="00CC75B4" w:rsidRPr="00154145" w:rsidRDefault="00693ED1" w:rsidP="00CC75B4">
            <w:pPr>
              <w:pStyle w:val="Tabletextcentered"/>
              <w:spacing w:line="240" w:lineRule="auto"/>
              <w:contextualSpacing/>
              <w:rPr>
                <w:rFonts w:cstheme="minorHAnsi"/>
                <w:w w:val="99"/>
              </w:rPr>
            </w:pPr>
            <w:r w:rsidRPr="00154145">
              <w:rPr>
                <w:rFonts w:cstheme="minorHAnsi"/>
                <w:w w:val="99"/>
              </w:rPr>
              <w:t>0</w:t>
            </w:r>
          </w:p>
        </w:tc>
        <w:tc>
          <w:tcPr>
            <w:tcW w:w="0" w:type="pct"/>
            <w:vAlign w:val="center"/>
          </w:tcPr>
          <w:p w14:paraId="344EDCAB" w14:textId="5FBCB6D7" w:rsidR="00CC75B4" w:rsidRPr="00154145" w:rsidRDefault="00693ED1" w:rsidP="00CC75B4">
            <w:pPr>
              <w:pStyle w:val="Tabletextcentered"/>
              <w:spacing w:line="240" w:lineRule="auto"/>
              <w:contextualSpacing/>
              <w:rPr>
                <w:rFonts w:eastAsia="Book Antiqua" w:cstheme="minorHAnsi"/>
              </w:rPr>
            </w:pPr>
            <w:r w:rsidRPr="00154145">
              <w:rPr>
                <w:rFonts w:eastAsia="Book Antiqua" w:cstheme="minorHAnsi"/>
              </w:rPr>
              <w:t>0</w:t>
            </w:r>
          </w:p>
        </w:tc>
        <w:tc>
          <w:tcPr>
            <w:tcW w:w="0" w:type="pct"/>
            <w:vAlign w:val="center"/>
          </w:tcPr>
          <w:p w14:paraId="50745AF2" w14:textId="65BF5076" w:rsidR="00CC75B4" w:rsidRPr="00154145" w:rsidRDefault="00693ED1" w:rsidP="00CC75B4">
            <w:pPr>
              <w:pStyle w:val="Tabletextcentered"/>
              <w:spacing w:line="240" w:lineRule="auto"/>
              <w:contextualSpacing/>
              <w:rPr>
                <w:rFonts w:cstheme="minorHAnsi"/>
              </w:rPr>
            </w:pPr>
            <w:r w:rsidRPr="00154145">
              <w:rPr>
                <w:rFonts w:cstheme="minorHAnsi"/>
              </w:rPr>
              <w:t>0</w:t>
            </w:r>
          </w:p>
        </w:tc>
      </w:tr>
      <w:tr w:rsidR="00FD7323" w:rsidRPr="00154145" w14:paraId="1FC5DB5E" w14:textId="1037C6EF" w:rsidTr="00AC2854">
        <w:trPr>
          <w:trHeight w:hRule="exact" w:val="337"/>
          <w:jc w:val="center"/>
        </w:trPr>
        <w:tc>
          <w:tcPr>
            <w:tcW w:w="0" w:type="pct"/>
            <w:gridSpan w:val="14"/>
            <w:shd w:val="clear" w:color="auto" w:fill="D9E2F3" w:themeFill="accent1" w:themeFillTint="33"/>
            <w:vAlign w:val="center"/>
          </w:tcPr>
          <w:p w14:paraId="050B5B9A" w14:textId="77777777" w:rsidR="00FD7323" w:rsidRPr="003E62FC" w:rsidRDefault="00FD7323" w:rsidP="00B72215">
            <w:pPr>
              <w:pStyle w:val="Tableheadingleft"/>
              <w:spacing w:line="240" w:lineRule="auto"/>
              <w:contextualSpacing/>
              <w:jc w:val="center"/>
              <w:rPr>
                <w:rFonts w:eastAsia="Book Antiqua" w:cstheme="minorHAnsi"/>
                <w:bCs/>
                <w:color w:val="000000" w:themeColor="text1"/>
              </w:rPr>
            </w:pPr>
            <w:r w:rsidRPr="003E62FC">
              <w:rPr>
                <w:rFonts w:cstheme="minorHAnsi"/>
                <w:bCs/>
                <w:color w:val="000000" w:themeColor="text1"/>
              </w:rPr>
              <w:t>Phase d’exploitation</w:t>
            </w:r>
          </w:p>
        </w:tc>
      </w:tr>
      <w:tr w:rsidR="00CC75B4" w:rsidRPr="00154145" w14:paraId="4FF14CF0" w14:textId="7FE21093" w:rsidTr="00AC2854">
        <w:trPr>
          <w:trHeight w:val="20"/>
          <w:jc w:val="center"/>
        </w:trPr>
        <w:tc>
          <w:tcPr>
            <w:tcW w:w="0" w:type="pct"/>
            <w:vAlign w:val="center"/>
          </w:tcPr>
          <w:p w14:paraId="047D7660" w14:textId="77777777" w:rsidR="00CC75B4" w:rsidRPr="00154145" w:rsidRDefault="00CC75B4" w:rsidP="00CC75B4">
            <w:pPr>
              <w:spacing w:before="0" w:after="0" w:line="240" w:lineRule="auto"/>
              <w:contextualSpacing/>
              <w:rPr>
                <w:rFonts w:asciiTheme="minorHAnsi" w:hAnsiTheme="minorHAnsi" w:cstheme="minorHAnsi"/>
                <w:b/>
                <w:bCs/>
                <w:sz w:val="20"/>
                <w:szCs w:val="20"/>
              </w:rPr>
            </w:pPr>
            <w:r w:rsidRPr="00154145">
              <w:rPr>
                <w:rFonts w:asciiTheme="minorHAnsi" w:hAnsiTheme="minorHAnsi" w:cstheme="minorHAnsi"/>
                <w:b/>
                <w:bCs/>
                <w:sz w:val="20"/>
                <w:szCs w:val="20"/>
              </w:rPr>
              <w:t xml:space="preserve">Mise en œuvre du projet </w:t>
            </w:r>
          </w:p>
        </w:tc>
        <w:tc>
          <w:tcPr>
            <w:tcW w:w="0" w:type="pct"/>
            <w:vAlign w:val="center"/>
          </w:tcPr>
          <w:p w14:paraId="5C32F074" w14:textId="777EB075" w:rsidR="00CC75B4" w:rsidRPr="00154145" w:rsidRDefault="00693ED1" w:rsidP="00CC75B4">
            <w:pPr>
              <w:pStyle w:val="Tabletextcentered"/>
              <w:spacing w:line="240" w:lineRule="auto"/>
              <w:contextualSpacing/>
              <w:rPr>
                <w:rFonts w:eastAsia="SimSun" w:cstheme="minorHAnsi"/>
                <w:lang w:bidi="en-US"/>
              </w:rPr>
            </w:pPr>
            <w:r w:rsidRPr="00154145">
              <w:rPr>
                <w:rFonts w:eastAsia="SimSun" w:cstheme="minorHAnsi"/>
                <w:lang w:bidi="en-US"/>
              </w:rPr>
              <w:t>-</w:t>
            </w:r>
          </w:p>
        </w:tc>
        <w:tc>
          <w:tcPr>
            <w:tcW w:w="0" w:type="pct"/>
            <w:vAlign w:val="center"/>
          </w:tcPr>
          <w:p w14:paraId="293F7918" w14:textId="5244606E" w:rsidR="00CC75B4" w:rsidRPr="00154145" w:rsidRDefault="00693ED1" w:rsidP="00CC75B4">
            <w:pPr>
              <w:pStyle w:val="Tabletextcentered"/>
              <w:spacing w:line="240" w:lineRule="auto"/>
              <w:contextualSpacing/>
              <w:rPr>
                <w:rFonts w:eastAsia="SimSun" w:cstheme="minorHAnsi"/>
                <w:lang w:bidi="en-US"/>
              </w:rPr>
            </w:pPr>
            <w:r w:rsidRPr="00154145">
              <w:rPr>
                <w:rFonts w:eastAsia="SimSun" w:cstheme="minorHAnsi"/>
                <w:lang w:bidi="en-US"/>
              </w:rPr>
              <w:t>-</w:t>
            </w:r>
          </w:p>
        </w:tc>
        <w:tc>
          <w:tcPr>
            <w:tcW w:w="0" w:type="pct"/>
            <w:vAlign w:val="center"/>
          </w:tcPr>
          <w:p w14:paraId="0315573A" w14:textId="24343367" w:rsidR="00CC75B4" w:rsidRPr="00154145" w:rsidRDefault="00693ED1" w:rsidP="00CC75B4">
            <w:pPr>
              <w:pStyle w:val="Tabletextcentered"/>
              <w:spacing w:line="240" w:lineRule="auto"/>
              <w:contextualSpacing/>
              <w:rPr>
                <w:rFonts w:eastAsia="SimSun" w:cstheme="minorHAnsi"/>
                <w:lang w:bidi="en-US"/>
              </w:rPr>
            </w:pPr>
            <w:r w:rsidRPr="00154145">
              <w:rPr>
                <w:rFonts w:eastAsia="SimSun" w:cstheme="minorHAnsi"/>
                <w:lang w:bidi="en-US"/>
              </w:rPr>
              <w:t>0</w:t>
            </w:r>
          </w:p>
        </w:tc>
        <w:tc>
          <w:tcPr>
            <w:tcW w:w="0" w:type="pct"/>
            <w:vAlign w:val="center"/>
          </w:tcPr>
          <w:p w14:paraId="64C006D0" w14:textId="01A4CF49" w:rsidR="00CC75B4" w:rsidRPr="00154145" w:rsidRDefault="00693ED1" w:rsidP="00CC75B4">
            <w:pPr>
              <w:pStyle w:val="Tabletextcentered"/>
              <w:spacing w:line="240" w:lineRule="auto"/>
              <w:contextualSpacing/>
              <w:rPr>
                <w:rFonts w:eastAsia="SimSun" w:cstheme="minorHAnsi"/>
                <w:lang w:bidi="en-US"/>
              </w:rPr>
            </w:pPr>
            <w:r w:rsidRPr="00154145">
              <w:rPr>
                <w:rFonts w:eastAsia="SimSun" w:cstheme="minorHAnsi"/>
                <w:lang w:bidi="en-US"/>
              </w:rPr>
              <w:t>0</w:t>
            </w:r>
          </w:p>
        </w:tc>
        <w:tc>
          <w:tcPr>
            <w:tcW w:w="0" w:type="pct"/>
            <w:vAlign w:val="center"/>
          </w:tcPr>
          <w:p w14:paraId="35D242FD" w14:textId="2AB0E755" w:rsidR="00CC75B4" w:rsidRPr="00154145" w:rsidRDefault="00693ED1" w:rsidP="00CC75B4">
            <w:pPr>
              <w:pStyle w:val="Tabletextcentered"/>
              <w:spacing w:line="240" w:lineRule="auto"/>
              <w:contextualSpacing/>
              <w:rPr>
                <w:rFonts w:eastAsia="SimSun" w:cstheme="minorHAnsi"/>
                <w:lang w:bidi="en-US"/>
              </w:rPr>
            </w:pPr>
            <w:r w:rsidRPr="00154145">
              <w:rPr>
                <w:rFonts w:eastAsia="SimSun" w:cstheme="minorHAnsi"/>
                <w:lang w:bidi="en-US"/>
              </w:rPr>
              <w:t>0</w:t>
            </w:r>
          </w:p>
        </w:tc>
        <w:tc>
          <w:tcPr>
            <w:tcW w:w="0" w:type="pct"/>
            <w:vAlign w:val="center"/>
          </w:tcPr>
          <w:p w14:paraId="5E60C431" w14:textId="5FA76A1D" w:rsidR="00CC75B4" w:rsidRPr="00154145" w:rsidRDefault="00693ED1" w:rsidP="00CC75B4">
            <w:pPr>
              <w:pStyle w:val="Tabletextcentered"/>
              <w:spacing w:line="240" w:lineRule="auto"/>
              <w:contextualSpacing/>
              <w:rPr>
                <w:rFonts w:eastAsia="SimSun" w:cstheme="minorHAnsi"/>
                <w:lang w:bidi="en-US"/>
              </w:rPr>
            </w:pPr>
            <w:r w:rsidRPr="00154145">
              <w:rPr>
                <w:rFonts w:eastAsia="SimSun" w:cstheme="minorHAnsi"/>
                <w:lang w:bidi="en-US"/>
              </w:rPr>
              <w:t>-</w:t>
            </w:r>
          </w:p>
        </w:tc>
        <w:tc>
          <w:tcPr>
            <w:tcW w:w="0" w:type="pct"/>
            <w:vAlign w:val="center"/>
          </w:tcPr>
          <w:p w14:paraId="4153754D" w14:textId="349ED5C1" w:rsidR="00CC75B4" w:rsidRPr="00154145" w:rsidRDefault="00693ED1" w:rsidP="00CC75B4">
            <w:pPr>
              <w:pStyle w:val="Tabletextcentered"/>
              <w:spacing w:line="240" w:lineRule="auto"/>
              <w:contextualSpacing/>
              <w:rPr>
                <w:rFonts w:eastAsia="SimSun" w:cstheme="minorHAnsi"/>
                <w:lang w:bidi="en-US"/>
              </w:rPr>
            </w:pPr>
            <w:r w:rsidRPr="00154145">
              <w:rPr>
                <w:rFonts w:eastAsia="SimSun" w:cstheme="minorHAnsi"/>
                <w:lang w:bidi="en-US"/>
              </w:rPr>
              <w:t>-</w:t>
            </w:r>
          </w:p>
        </w:tc>
        <w:tc>
          <w:tcPr>
            <w:tcW w:w="0" w:type="pct"/>
            <w:vAlign w:val="center"/>
          </w:tcPr>
          <w:p w14:paraId="39C7DB39" w14:textId="4C7B2EF8" w:rsidR="00CC75B4" w:rsidRPr="00154145" w:rsidRDefault="00693ED1" w:rsidP="00CC75B4">
            <w:pPr>
              <w:pStyle w:val="Tabletextcentered"/>
              <w:spacing w:line="240" w:lineRule="auto"/>
              <w:contextualSpacing/>
              <w:rPr>
                <w:rFonts w:eastAsia="SimSun" w:cstheme="minorHAnsi"/>
                <w:lang w:bidi="en-US"/>
              </w:rPr>
            </w:pPr>
            <w:r w:rsidRPr="00154145">
              <w:rPr>
                <w:rFonts w:eastAsia="SimSun" w:cstheme="minorHAnsi"/>
                <w:lang w:bidi="en-US"/>
              </w:rPr>
              <w:t>+</w:t>
            </w:r>
          </w:p>
        </w:tc>
        <w:tc>
          <w:tcPr>
            <w:tcW w:w="0" w:type="pct"/>
            <w:vAlign w:val="center"/>
          </w:tcPr>
          <w:p w14:paraId="4331E1CA" w14:textId="2CC5C27A" w:rsidR="00CC75B4" w:rsidRPr="00154145" w:rsidRDefault="00693ED1" w:rsidP="00CC75B4">
            <w:pPr>
              <w:pStyle w:val="Tabletextcentered"/>
              <w:spacing w:line="240" w:lineRule="auto"/>
              <w:contextualSpacing/>
              <w:rPr>
                <w:rFonts w:eastAsia="SimSun" w:cstheme="minorHAnsi"/>
                <w:lang w:bidi="en-US"/>
              </w:rPr>
            </w:pPr>
            <w:r w:rsidRPr="00154145">
              <w:rPr>
                <w:rFonts w:eastAsia="SimSun" w:cstheme="minorHAnsi"/>
                <w:lang w:bidi="en-US"/>
              </w:rPr>
              <w:t>0</w:t>
            </w:r>
          </w:p>
        </w:tc>
        <w:tc>
          <w:tcPr>
            <w:tcW w:w="0" w:type="pct"/>
            <w:vAlign w:val="center"/>
          </w:tcPr>
          <w:p w14:paraId="6BAFD22E" w14:textId="39C288C1" w:rsidR="00CC75B4" w:rsidRPr="00154145" w:rsidRDefault="00693ED1" w:rsidP="00CC75B4">
            <w:pPr>
              <w:pStyle w:val="Tabletextcentered"/>
              <w:spacing w:line="240" w:lineRule="auto"/>
              <w:contextualSpacing/>
              <w:rPr>
                <w:rFonts w:eastAsia="SimSun" w:cstheme="minorHAnsi"/>
                <w:lang w:bidi="en-US"/>
              </w:rPr>
            </w:pPr>
            <w:r w:rsidRPr="00154145">
              <w:rPr>
                <w:rFonts w:eastAsia="SimSun" w:cstheme="minorHAnsi"/>
                <w:lang w:bidi="en-US"/>
              </w:rPr>
              <w:t>0</w:t>
            </w:r>
          </w:p>
        </w:tc>
        <w:tc>
          <w:tcPr>
            <w:tcW w:w="0" w:type="pct"/>
            <w:vAlign w:val="center"/>
          </w:tcPr>
          <w:p w14:paraId="531F19B5" w14:textId="7705240F" w:rsidR="00CC75B4" w:rsidRPr="00154145" w:rsidRDefault="00693ED1" w:rsidP="00CC75B4">
            <w:pPr>
              <w:pStyle w:val="Tabletextcentered"/>
              <w:spacing w:line="240" w:lineRule="auto"/>
              <w:contextualSpacing/>
              <w:rPr>
                <w:rFonts w:eastAsia="SimSun" w:cstheme="minorHAnsi"/>
                <w:lang w:bidi="en-US"/>
              </w:rPr>
            </w:pPr>
            <w:r w:rsidRPr="00154145">
              <w:rPr>
                <w:rFonts w:eastAsia="SimSun" w:cstheme="minorHAnsi"/>
                <w:lang w:bidi="en-US"/>
              </w:rPr>
              <w:t>0</w:t>
            </w:r>
          </w:p>
        </w:tc>
        <w:tc>
          <w:tcPr>
            <w:tcW w:w="0" w:type="pct"/>
            <w:vAlign w:val="center"/>
          </w:tcPr>
          <w:p w14:paraId="6B2A1D47" w14:textId="1B454C63" w:rsidR="00CC75B4" w:rsidRPr="00154145" w:rsidRDefault="00693ED1" w:rsidP="00CC75B4">
            <w:pPr>
              <w:pStyle w:val="Tabletextcentered"/>
              <w:spacing w:line="240" w:lineRule="auto"/>
              <w:contextualSpacing/>
              <w:rPr>
                <w:rFonts w:eastAsia="SimSun" w:cstheme="minorHAnsi"/>
                <w:lang w:bidi="en-US"/>
              </w:rPr>
            </w:pPr>
            <w:r w:rsidRPr="00154145">
              <w:rPr>
                <w:rFonts w:eastAsia="SimSun" w:cstheme="minorHAnsi"/>
                <w:lang w:bidi="en-US"/>
              </w:rPr>
              <w:t>-</w:t>
            </w:r>
          </w:p>
        </w:tc>
        <w:tc>
          <w:tcPr>
            <w:tcW w:w="0" w:type="pct"/>
            <w:vAlign w:val="center"/>
          </w:tcPr>
          <w:p w14:paraId="49B2158B" w14:textId="4C902C09" w:rsidR="00CC75B4" w:rsidRPr="00154145" w:rsidRDefault="00693ED1" w:rsidP="00CC75B4">
            <w:pPr>
              <w:pStyle w:val="Tabletextcentered"/>
              <w:spacing w:line="240" w:lineRule="auto"/>
              <w:contextualSpacing/>
              <w:rPr>
                <w:rFonts w:eastAsia="SimSun" w:cstheme="minorHAnsi"/>
                <w:lang w:bidi="en-US"/>
              </w:rPr>
            </w:pPr>
            <w:r w:rsidRPr="00154145">
              <w:rPr>
                <w:rFonts w:eastAsia="SimSun" w:cstheme="minorHAnsi"/>
                <w:lang w:bidi="en-US"/>
              </w:rPr>
              <w:t>-</w:t>
            </w:r>
          </w:p>
        </w:tc>
      </w:tr>
      <w:tr w:rsidR="00CC75B4" w:rsidRPr="00154145" w14:paraId="19666934" w14:textId="1A998BDA" w:rsidTr="00AC2854">
        <w:trPr>
          <w:trHeight w:val="20"/>
          <w:jc w:val="center"/>
        </w:trPr>
        <w:tc>
          <w:tcPr>
            <w:tcW w:w="0" w:type="pct"/>
            <w:vAlign w:val="center"/>
          </w:tcPr>
          <w:p w14:paraId="77216C0D" w14:textId="2BA63C1B" w:rsidR="00CC75B4" w:rsidRPr="00154145" w:rsidRDefault="00356934" w:rsidP="00CC75B4">
            <w:pPr>
              <w:spacing w:before="0" w:after="0" w:line="240" w:lineRule="auto"/>
              <w:contextualSpacing/>
              <w:rPr>
                <w:rFonts w:asciiTheme="minorHAnsi" w:hAnsiTheme="minorHAnsi" w:cstheme="minorHAnsi"/>
                <w:b/>
                <w:bCs/>
                <w:sz w:val="20"/>
                <w:szCs w:val="20"/>
              </w:rPr>
            </w:pPr>
            <w:r w:rsidRPr="00154145">
              <w:rPr>
                <w:rFonts w:asciiTheme="minorHAnsi" w:hAnsiTheme="minorHAnsi" w:cstheme="minorHAnsi"/>
                <w:b/>
                <w:bCs/>
                <w:sz w:val="20"/>
                <w:szCs w:val="20"/>
              </w:rPr>
              <w:t>Sécurité des installations</w:t>
            </w:r>
          </w:p>
        </w:tc>
        <w:tc>
          <w:tcPr>
            <w:tcW w:w="0" w:type="pct"/>
            <w:vAlign w:val="center"/>
          </w:tcPr>
          <w:p w14:paraId="583B18E5" w14:textId="1333B50B" w:rsidR="00CC75B4" w:rsidRPr="00154145" w:rsidRDefault="001838C8" w:rsidP="00CC75B4">
            <w:pPr>
              <w:pStyle w:val="Tabletextcentered"/>
              <w:spacing w:line="240" w:lineRule="auto"/>
              <w:contextualSpacing/>
              <w:rPr>
                <w:rFonts w:cstheme="minorHAnsi"/>
              </w:rPr>
            </w:pPr>
            <w:r w:rsidRPr="00154145">
              <w:rPr>
                <w:rFonts w:cstheme="minorHAnsi"/>
              </w:rPr>
              <w:t>-</w:t>
            </w:r>
          </w:p>
        </w:tc>
        <w:tc>
          <w:tcPr>
            <w:tcW w:w="0" w:type="pct"/>
            <w:vAlign w:val="center"/>
          </w:tcPr>
          <w:p w14:paraId="6E36F1DD" w14:textId="4A03C90C" w:rsidR="00CC75B4" w:rsidRPr="00154145" w:rsidRDefault="001838C8" w:rsidP="00CC75B4">
            <w:pPr>
              <w:pStyle w:val="Tabletextcentered"/>
              <w:spacing w:line="240" w:lineRule="auto"/>
              <w:contextualSpacing/>
              <w:rPr>
                <w:rFonts w:cstheme="minorHAnsi"/>
              </w:rPr>
            </w:pPr>
            <w:r w:rsidRPr="00154145">
              <w:rPr>
                <w:rFonts w:cstheme="minorHAnsi"/>
              </w:rPr>
              <w:t>0</w:t>
            </w:r>
          </w:p>
        </w:tc>
        <w:tc>
          <w:tcPr>
            <w:tcW w:w="0" w:type="pct"/>
            <w:vAlign w:val="center"/>
          </w:tcPr>
          <w:p w14:paraId="4CE9A1F9" w14:textId="0E44AE20" w:rsidR="00CC75B4" w:rsidRPr="00154145" w:rsidRDefault="001838C8" w:rsidP="00CC75B4">
            <w:pPr>
              <w:pStyle w:val="Tabletextcentered"/>
              <w:spacing w:line="240" w:lineRule="auto"/>
              <w:contextualSpacing/>
              <w:rPr>
                <w:rFonts w:cstheme="minorHAnsi"/>
              </w:rPr>
            </w:pPr>
            <w:r w:rsidRPr="00154145">
              <w:rPr>
                <w:rFonts w:cstheme="minorHAnsi"/>
              </w:rPr>
              <w:t>0</w:t>
            </w:r>
          </w:p>
        </w:tc>
        <w:tc>
          <w:tcPr>
            <w:tcW w:w="0" w:type="pct"/>
            <w:vAlign w:val="center"/>
          </w:tcPr>
          <w:p w14:paraId="39F79C82" w14:textId="7BD8B027" w:rsidR="00CC75B4" w:rsidRPr="00154145" w:rsidRDefault="001838C8" w:rsidP="00CC75B4">
            <w:pPr>
              <w:pStyle w:val="Tabletextcentered"/>
              <w:spacing w:line="240" w:lineRule="auto"/>
              <w:contextualSpacing/>
              <w:rPr>
                <w:rFonts w:cstheme="minorHAnsi"/>
              </w:rPr>
            </w:pPr>
            <w:r w:rsidRPr="00154145">
              <w:rPr>
                <w:rFonts w:cstheme="minorHAnsi"/>
              </w:rPr>
              <w:t>-</w:t>
            </w:r>
          </w:p>
        </w:tc>
        <w:tc>
          <w:tcPr>
            <w:tcW w:w="0" w:type="pct"/>
            <w:vAlign w:val="center"/>
          </w:tcPr>
          <w:p w14:paraId="6B3BF2E7" w14:textId="42EAC0A7" w:rsidR="00CC75B4" w:rsidRPr="00154145" w:rsidRDefault="001838C8" w:rsidP="00CC75B4">
            <w:pPr>
              <w:pStyle w:val="Tabletextcentered"/>
              <w:spacing w:line="240" w:lineRule="auto"/>
              <w:contextualSpacing/>
              <w:rPr>
                <w:rFonts w:cstheme="minorHAnsi"/>
              </w:rPr>
            </w:pPr>
            <w:r w:rsidRPr="00154145">
              <w:rPr>
                <w:rFonts w:cstheme="minorHAnsi"/>
              </w:rPr>
              <w:t>0</w:t>
            </w:r>
          </w:p>
        </w:tc>
        <w:tc>
          <w:tcPr>
            <w:tcW w:w="0" w:type="pct"/>
            <w:vAlign w:val="center"/>
          </w:tcPr>
          <w:p w14:paraId="75E2734A" w14:textId="42EDA381" w:rsidR="00CC75B4" w:rsidRPr="00154145" w:rsidRDefault="001838C8" w:rsidP="00CC75B4">
            <w:pPr>
              <w:pStyle w:val="Tabletextcentered"/>
              <w:spacing w:line="240" w:lineRule="auto"/>
              <w:contextualSpacing/>
              <w:rPr>
                <w:rFonts w:cstheme="minorHAnsi"/>
              </w:rPr>
            </w:pPr>
            <w:r w:rsidRPr="00154145">
              <w:rPr>
                <w:rFonts w:cstheme="minorHAnsi"/>
              </w:rPr>
              <w:t>0</w:t>
            </w:r>
          </w:p>
        </w:tc>
        <w:tc>
          <w:tcPr>
            <w:tcW w:w="0" w:type="pct"/>
            <w:vAlign w:val="center"/>
          </w:tcPr>
          <w:p w14:paraId="0B6DC2F7" w14:textId="31A667BA" w:rsidR="00CC75B4" w:rsidRPr="00154145" w:rsidRDefault="001838C8" w:rsidP="00CC75B4">
            <w:pPr>
              <w:pStyle w:val="Tabletextcentered"/>
              <w:spacing w:line="240" w:lineRule="auto"/>
              <w:contextualSpacing/>
              <w:rPr>
                <w:rFonts w:eastAsia="Book Antiqua" w:cstheme="minorHAnsi"/>
              </w:rPr>
            </w:pPr>
            <w:r w:rsidRPr="00154145">
              <w:rPr>
                <w:rFonts w:eastAsia="Book Antiqua" w:cstheme="minorHAnsi"/>
              </w:rPr>
              <w:t>0</w:t>
            </w:r>
          </w:p>
        </w:tc>
        <w:tc>
          <w:tcPr>
            <w:tcW w:w="0" w:type="pct"/>
            <w:vAlign w:val="center"/>
          </w:tcPr>
          <w:p w14:paraId="0CDD328F" w14:textId="57E61892" w:rsidR="00CC75B4" w:rsidRPr="00154145" w:rsidRDefault="001838C8" w:rsidP="00CC75B4">
            <w:pPr>
              <w:pStyle w:val="Tabletextcentered"/>
              <w:spacing w:line="240" w:lineRule="auto"/>
              <w:contextualSpacing/>
              <w:rPr>
                <w:rFonts w:eastAsia="Book Antiqua" w:cstheme="minorHAnsi"/>
              </w:rPr>
            </w:pPr>
            <w:r w:rsidRPr="00154145">
              <w:rPr>
                <w:rFonts w:eastAsia="Book Antiqua" w:cstheme="minorHAnsi"/>
              </w:rPr>
              <w:t>0</w:t>
            </w:r>
          </w:p>
        </w:tc>
        <w:tc>
          <w:tcPr>
            <w:tcW w:w="0" w:type="pct"/>
            <w:vAlign w:val="center"/>
          </w:tcPr>
          <w:p w14:paraId="1CE94D9A" w14:textId="31497640" w:rsidR="00CC75B4" w:rsidRPr="00154145" w:rsidRDefault="001838C8" w:rsidP="00CC75B4">
            <w:pPr>
              <w:pStyle w:val="Tabletextcentered"/>
              <w:spacing w:line="240" w:lineRule="auto"/>
              <w:contextualSpacing/>
              <w:rPr>
                <w:rFonts w:eastAsia="Book Antiqua" w:cstheme="minorHAnsi"/>
              </w:rPr>
            </w:pPr>
            <w:r w:rsidRPr="00154145">
              <w:rPr>
                <w:rFonts w:eastAsia="Book Antiqua" w:cstheme="minorHAnsi"/>
              </w:rPr>
              <w:t>-</w:t>
            </w:r>
          </w:p>
        </w:tc>
        <w:tc>
          <w:tcPr>
            <w:tcW w:w="0" w:type="pct"/>
            <w:vAlign w:val="center"/>
          </w:tcPr>
          <w:p w14:paraId="3D52C285" w14:textId="6A4A4D97" w:rsidR="00CC75B4" w:rsidRPr="00154145" w:rsidRDefault="001838C8" w:rsidP="00CC75B4">
            <w:pPr>
              <w:pStyle w:val="Tabletextcentered"/>
              <w:spacing w:line="240" w:lineRule="auto"/>
              <w:contextualSpacing/>
              <w:rPr>
                <w:rFonts w:eastAsia="Book Antiqua" w:cstheme="minorHAnsi"/>
              </w:rPr>
            </w:pPr>
            <w:r w:rsidRPr="00154145">
              <w:rPr>
                <w:rFonts w:eastAsia="Book Antiqua" w:cstheme="minorHAnsi"/>
              </w:rPr>
              <w:t>-</w:t>
            </w:r>
          </w:p>
        </w:tc>
        <w:tc>
          <w:tcPr>
            <w:tcW w:w="0" w:type="pct"/>
            <w:vAlign w:val="center"/>
          </w:tcPr>
          <w:p w14:paraId="2AFD3D49" w14:textId="79697AFE" w:rsidR="00CC75B4" w:rsidRPr="00154145" w:rsidRDefault="001838C8" w:rsidP="00CC75B4">
            <w:pPr>
              <w:pStyle w:val="Tabletextcentered"/>
              <w:spacing w:line="240" w:lineRule="auto"/>
              <w:contextualSpacing/>
              <w:rPr>
                <w:rFonts w:cstheme="minorHAnsi"/>
              </w:rPr>
            </w:pPr>
            <w:r w:rsidRPr="00154145">
              <w:rPr>
                <w:rFonts w:cstheme="minorHAnsi"/>
              </w:rPr>
              <w:t>0</w:t>
            </w:r>
          </w:p>
        </w:tc>
        <w:tc>
          <w:tcPr>
            <w:tcW w:w="0" w:type="pct"/>
            <w:vAlign w:val="center"/>
          </w:tcPr>
          <w:p w14:paraId="5024F29C" w14:textId="66FD5F6C" w:rsidR="00CC75B4" w:rsidRPr="00154145" w:rsidRDefault="00693ED1" w:rsidP="00CC75B4">
            <w:pPr>
              <w:pStyle w:val="Tabletextcentered"/>
              <w:spacing w:line="240" w:lineRule="auto"/>
              <w:contextualSpacing/>
              <w:rPr>
                <w:rFonts w:cstheme="minorHAnsi"/>
              </w:rPr>
            </w:pPr>
            <w:r w:rsidRPr="00154145">
              <w:rPr>
                <w:rFonts w:cstheme="minorHAnsi"/>
              </w:rPr>
              <w:t>0</w:t>
            </w:r>
          </w:p>
        </w:tc>
        <w:tc>
          <w:tcPr>
            <w:tcW w:w="0" w:type="pct"/>
            <w:vAlign w:val="center"/>
          </w:tcPr>
          <w:p w14:paraId="347C2363" w14:textId="51F62657" w:rsidR="00CC75B4" w:rsidRPr="00154145" w:rsidRDefault="00693ED1" w:rsidP="00CC75B4">
            <w:pPr>
              <w:pStyle w:val="Tabletextcentered"/>
              <w:spacing w:line="240" w:lineRule="auto"/>
              <w:contextualSpacing/>
              <w:rPr>
                <w:rFonts w:cstheme="minorHAnsi"/>
              </w:rPr>
            </w:pPr>
            <w:r w:rsidRPr="00154145">
              <w:rPr>
                <w:rFonts w:cstheme="minorHAnsi"/>
              </w:rPr>
              <w:t>0</w:t>
            </w:r>
          </w:p>
        </w:tc>
      </w:tr>
      <w:tr w:rsidR="00CC75B4" w:rsidRPr="00154145" w14:paraId="5FB23AAE" w14:textId="68C2810C" w:rsidTr="00AC2854">
        <w:trPr>
          <w:trHeight w:val="20"/>
          <w:jc w:val="center"/>
        </w:trPr>
        <w:tc>
          <w:tcPr>
            <w:tcW w:w="0" w:type="pct"/>
            <w:vAlign w:val="center"/>
          </w:tcPr>
          <w:p w14:paraId="08DEBA5F" w14:textId="1E38B0FC" w:rsidR="00CC75B4" w:rsidRPr="00154145" w:rsidRDefault="00356934" w:rsidP="00CC75B4">
            <w:pPr>
              <w:spacing w:before="0" w:after="0" w:line="240" w:lineRule="auto"/>
              <w:contextualSpacing/>
              <w:rPr>
                <w:rFonts w:asciiTheme="minorHAnsi" w:hAnsiTheme="minorHAnsi" w:cstheme="minorHAnsi"/>
                <w:b/>
                <w:bCs/>
                <w:sz w:val="20"/>
                <w:szCs w:val="20"/>
              </w:rPr>
            </w:pPr>
            <w:r w:rsidRPr="00154145">
              <w:rPr>
                <w:rFonts w:asciiTheme="minorHAnsi" w:hAnsiTheme="minorHAnsi" w:cstheme="minorHAnsi"/>
                <w:b/>
                <w:bCs/>
                <w:sz w:val="20"/>
                <w:szCs w:val="20"/>
              </w:rPr>
              <w:t>Tra</w:t>
            </w:r>
            <w:r w:rsidR="00FD7323" w:rsidRPr="00154145">
              <w:rPr>
                <w:rFonts w:asciiTheme="minorHAnsi" w:hAnsiTheme="minorHAnsi" w:cstheme="minorHAnsi"/>
                <w:b/>
                <w:bCs/>
                <w:sz w:val="20"/>
                <w:szCs w:val="20"/>
              </w:rPr>
              <w:t>n</w:t>
            </w:r>
            <w:r w:rsidRPr="00154145">
              <w:rPr>
                <w:rFonts w:asciiTheme="minorHAnsi" w:hAnsiTheme="minorHAnsi" w:cstheme="minorHAnsi"/>
                <w:b/>
                <w:bCs/>
                <w:sz w:val="20"/>
                <w:szCs w:val="20"/>
              </w:rPr>
              <w:t>sport et circulation</w:t>
            </w:r>
          </w:p>
        </w:tc>
        <w:tc>
          <w:tcPr>
            <w:tcW w:w="0" w:type="pct"/>
            <w:vAlign w:val="center"/>
          </w:tcPr>
          <w:p w14:paraId="63A0971E" w14:textId="5EA04E18" w:rsidR="00CC75B4" w:rsidRPr="00154145" w:rsidRDefault="001838C8" w:rsidP="00CC75B4">
            <w:pPr>
              <w:pStyle w:val="Tabletextcentered"/>
              <w:spacing w:line="240" w:lineRule="auto"/>
              <w:contextualSpacing/>
              <w:rPr>
                <w:rFonts w:cstheme="minorHAnsi"/>
              </w:rPr>
            </w:pPr>
            <w:r w:rsidRPr="00154145">
              <w:rPr>
                <w:rFonts w:cstheme="minorHAnsi"/>
              </w:rPr>
              <w:t>-</w:t>
            </w:r>
          </w:p>
        </w:tc>
        <w:tc>
          <w:tcPr>
            <w:tcW w:w="0" w:type="pct"/>
            <w:vAlign w:val="center"/>
          </w:tcPr>
          <w:p w14:paraId="22D2341D" w14:textId="46E0D73E" w:rsidR="00CC75B4" w:rsidRPr="00154145" w:rsidRDefault="001838C8" w:rsidP="00CC75B4">
            <w:pPr>
              <w:pStyle w:val="Tabletextcentered"/>
              <w:spacing w:line="240" w:lineRule="auto"/>
              <w:contextualSpacing/>
              <w:rPr>
                <w:rFonts w:cstheme="minorHAnsi"/>
              </w:rPr>
            </w:pPr>
            <w:r w:rsidRPr="00154145">
              <w:rPr>
                <w:rFonts w:cstheme="minorHAnsi"/>
              </w:rPr>
              <w:t>-</w:t>
            </w:r>
          </w:p>
        </w:tc>
        <w:tc>
          <w:tcPr>
            <w:tcW w:w="0" w:type="pct"/>
            <w:vAlign w:val="center"/>
          </w:tcPr>
          <w:p w14:paraId="75260AAF" w14:textId="3AAE4E46" w:rsidR="00CC75B4" w:rsidRPr="00154145" w:rsidRDefault="001838C8" w:rsidP="00CC75B4">
            <w:pPr>
              <w:pStyle w:val="Tabletextcentered"/>
              <w:spacing w:line="240" w:lineRule="auto"/>
              <w:contextualSpacing/>
              <w:rPr>
                <w:rFonts w:cstheme="minorHAnsi"/>
              </w:rPr>
            </w:pPr>
            <w:r w:rsidRPr="00154145">
              <w:rPr>
                <w:rFonts w:cstheme="minorHAnsi"/>
              </w:rPr>
              <w:t>-</w:t>
            </w:r>
          </w:p>
        </w:tc>
        <w:tc>
          <w:tcPr>
            <w:tcW w:w="0" w:type="pct"/>
            <w:vAlign w:val="center"/>
          </w:tcPr>
          <w:p w14:paraId="4F74C6B9" w14:textId="4BFDAAB9" w:rsidR="00CC75B4" w:rsidRPr="00154145" w:rsidRDefault="001838C8" w:rsidP="00CC75B4">
            <w:pPr>
              <w:pStyle w:val="Tabletextcentered"/>
              <w:spacing w:line="240" w:lineRule="auto"/>
              <w:contextualSpacing/>
              <w:rPr>
                <w:rFonts w:cstheme="minorHAnsi"/>
              </w:rPr>
            </w:pPr>
            <w:r w:rsidRPr="00154145">
              <w:rPr>
                <w:rFonts w:cstheme="minorHAnsi"/>
              </w:rPr>
              <w:t>0</w:t>
            </w:r>
          </w:p>
        </w:tc>
        <w:tc>
          <w:tcPr>
            <w:tcW w:w="0" w:type="pct"/>
            <w:vAlign w:val="center"/>
          </w:tcPr>
          <w:p w14:paraId="4DF87774" w14:textId="5D8B4622" w:rsidR="00CC75B4" w:rsidRPr="00154145" w:rsidRDefault="001838C8" w:rsidP="00CC75B4">
            <w:pPr>
              <w:pStyle w:val="Tabletextcentered"/>
              <w:spacing w:line="240" w:lineRule="auto"/>
              <w:contextualSpacing/>
              <w:rPr>
                <w:rFonts w:cstheme="minorHAnsi"/>
              </w:rPr>
            </w:pPr>
            <w:r w:rsidRPr="00154145">
              <w:rPr>
                <w:rFonts w:cstheme="minorHAnsi"/>
              </w:rPr>
              <w:t>0</w:t>
            </w:r>
          </w:p>
        </w:tc>
        <w:tc>
          <w:tcPr>
            <w:tcW w:w="0" w:type="pct"/>
            <w:vAlign w:val="center"/>
          </w:tcPr>
          <w:p w14:paraId="500B8B96" w14:textId="430E78C4" w:rsidR="00CC75B4" w:rsidRPr="00154145" w:rsidRDefault="001838C8" w:rsidP="00CC75B4">
            <w:pPr>
              <w:pStyle w:val="Tabletextcentered"/>
              <w:spacing w:line="240" w:lineRule="auto"/>
              <w:contextualSpacing/>
              <w:rPr>
                <w:rFonts w:cstheme="minorHAnsi"/>
              </w:rPr>
            </w:pPr>
            <w:r w:rsidRPr="00154145">
              <w:rPr>
                <w:rFonts w:cstheme="minorHAnsi"/>
              </w:rPr>
              <w:t>0</w:t>
            </w:r>
          </w:p>
        </w:tc>
        <w:tc>
          <w:tcPr>
            <w:tcW w:w="0" w:type="pct"/>
            <w:vAlign w:val="center"/>
          </w:tcPr>
          <w:p w14:paraId="65F6C94A" w14:textId="1D3BDF0E" w:rsidR="00CC75B4" w:rsidRPr="00154145" w:rsidRDefault="001838C8" w:rsidP="00CC75B4">
            <w:pPr>
              <w:pStyle w:val="Tabletextcentered"/>
              <w:spacing w:line="240" w:lineRule="auto"/>
              <w:contextualSpacing/>
              <w:rPr>
                <w:rFonts w:eastAsia="Book Antiqua" w:cstheme="minorHAnsi"/>
              </w:rPr>
            </w:pPr>
            <w:r w:rsidRPr="00154145">
              <w:rPr>
                <w:rFonts w:eastAsia="Book Antiqua" w:cstheme="minorHAnsi"/>
              </w:rPr>
              <w:t>0</w:t>
            </w:r>
          </w:p>
        </w:tc>
        <w:tc>
          <w:tcPr>
            <w:tcW w:w="0" w:type="pct"/>
            <w:vAlign w:val="center"/>
          </w:tcPr>
          <w:p w14:paraId="479506E1" w14:textId="755C41C4" w:rsidR="00CC75B4" w:rsidRPr="00154145" w:rsidRDefault="00CA4A70" w:rsidP="00CC75B4">
            <w:pPr>
              <w:pStyle w:val="Tabletextcentered"/>
              <w:spacing w:line="240" w:lineRule="auto"/>
              <w:contextualSpacing/>
              <w:rPr>
                <w:rFonts w:eastAsia="Book Antiqua" w:cstheme="minorHAnsi"/>
              </w:rPr>
            </w:pPr>
            <w:r w:rsidRPr="00154145">
              <w:rPr>
                <w:rFonts w:eastAsia="Book Antiqua" w:cstheme="minorHAnsi"/>
              </w:rPr>
              <w:t>+</w:t>
            </w:r>
          </w:p>
        </w:tc>
        <w:tc>
          <w:tcPr>
            <w:tcW w:w="0" w:type="pct"/>
            <w:vAlign w:val="center"/>
          </w:tcPr>
          <w:p w14:paraId="3B35CE44" w14:textId="2EC52711" w:rsidR="00CC75B4" w:rsidRPr="00154145" w:rsidRDefault="001838C8" w:rsidP="00CC75B4">
            <w:pPr>
              <w:pStyle w:val="Tabletextcentered"/>
              <w:spacing w:line="240" w:lineRule="auto"/>
              <w:contextualSpacing/>
              <w:rPr>
                <w:rFonts w:eastAsia="Book Antiqua" w:cstheme="minorHAnsi"/>
              </w:rPr>
            </w:pPr>
            <w:r w:rsidRPr="00154145">
              <w:rPr>
                <w:rFonts w:eastAsia="Book Antiqua" w:cstheme="minorHAnsi"/>
              </w:rPr>
              <w:t>-</w:t>
            </w:r>
          </w:p>
        </w:tc>
        <w:tc>
          <w:tcPr>
            <w:tcW w:w="0" w:type="pct"/>
            <w:vAlign w:val="center"/>
          </w:tcPr>
          <w:p w14:paraId="1A36C918" w14:textId="00639D6F" w:rsidR="00CC75B4" w:rsidRPr="00154145" w:rsidRDefault="00CA4A70" w:rsidP="00CC75B4">
            <w:pPr>
              <w:pStyle w:val="Tabletextcentered"/>
              <w:spacing w:line="240" w:lineRule="auto"/>
              <w:contextualSpacing/>
              <w:rPr>
                <w:rFonts w:eastAsia="Book Antiqua" w:cstheme="minorHAnsi"/>
              </w:rPr>
            </w:pPr>
            <w:r w:rsidRPr="00154145">
              <w:rPr>
                <w:rFonts w:eastAsia="Book Antiqua" w:cstheme="minorHAnsi"/>
              </w:rPr>
              <w:t>-</w:t>
            </w:r>
          </w:p>
        </w:tc>
        <w:tc>
          <w:tcPr>
            <w:tcW w:w="0" w:type="pct"/>
            <w:vAlign w:val="center"/>
          </w:tcPr>
          <w:p w14:paraId="42CD4EA6" w14:textId="089B5DE8" w:rsidR="00CC75B4" w:rsidRPr="00154145" w:rsidRDefault="00CA4A70" w:rsidP="00CC75B4">
            <w:pPr>
              <w:pStyle w:val="Tabletextcentered"/>
              <w:spacing w:line="240" w:lineRule="auto"/>
              <w:contextualSpacing/>
              <w:rPr>
                <w:rFonts w:cstheme="minorHAnsi"/>
              </w:rPr>
            </w:pPr>
            <w:r w:rsidRPr="00154145">
              <w:rPr>
                <w:rFonts w:cstheme="minorHAnsi"/>
              </w:rPr>
              <w:t>0</w:t>
            </w:r>
          </w:p>
        </w:tc>
        <w:tc>
          <w:tcPr>
            <w:tcW w:w="0" w:type="pct"/>
            <w:vAlign w:val="center"/>
          </w:tcPr>
          <w:p w14:paraId="594F013B" w14:textId="4B6E31B3" w:rsidR="00CC75B4" w:rsidRPr="00154145" w:rsidRDefault="00CA4A70" w:rsidP="00CC75B4">
            <w:pPr>
              <w:pStyle w:val="Tabletextcentered"/>
              <w:spacing w:line="240" w:lineRule="auto"/>
              <w:contextualSpacing/>
              <w:rPr>
                <w:rFonts w:cstheme="minorHAnsi"/>
              </w:rPr>
            </w:pPr>
            <w:r w:rsidRPr="00154145">
              <w:rPr>
                <w:rFonts w:cstheme="minorHAnsi"/>
              </w:rPr>
              <w:t>0</w:t>
            </w:r>
          </w:p>
        </w:tc>
        <w:tc>
          <w:tcPr>
            <w:tcW w:w="0" w:type="pct"/>
            <w:vAlign w:val="center"/>
          </w:tcPr>
          <w:p w14:paraId="46EF26D9" w14:textId="5D756C85" w:rsidR="00CC75B4" w:rsidRPr="00154145" w:rsidRDefault="00CA4A70" w:rsidP="00CC75B4">
            <w:pPr>
              <w:pStyle w:val="Tabletextcentered"/>
              <w:spacing w:line="240" w:lineRule="auto"/>
              <w:contextualSpacing/>
              <w:rPr>
                <w:rFonts w:cstheme="minorHAnsi"/>
              </w:rPr>
            </w:pPr>
            <w:r w:rsidRPr="00154145">
              <w:rPr>
                <w:rFonts w:cstheme="minorHAnsi"/>
              </w:rPr>
              <w:t>-</w:t>
            </w:r>
          </w:p>
        </w:tc>
      </w:tr>
      <w:tr w:rsidR="00CC75B4" w:rsidRPr="00154145" w14:paraId="72425F0C" w14:textId="33AC9509" w:rsidTr="00AC2854">
        <w:trPr>
          <w:trHeight w:val="20"/>
          <w:jc w:val="center"/>
        </w:trPr>
        <w:tc>
          <w:tcPr>
            <w:tcW w:w="0" w:type="pct"/>
            <w:vAlign w:val="center"/>
          </w:tcPr>
          <w:p w14:paraId="53821BF9" w14:textId="76C62BC8" w:rsidR="00CC75B4" w:rsidRPr="00154145" w:rsidRDefault="00BE6A5B" w:rsidP="00CC75B4">
            <w:pPr>
              <w:spacing w:before="0" w:after="0" w:line="240" w:lineRule="auto"/>
              <w:contextualSpacing/>
              <w:rPr>
                <w:rFonts w:asciiTheme="minorHAnsi" w:hAnsiTheme="minorHAnsi" w:cstheme="minorHAnsi"/>
                <w:b/>
                <w:bCs/>
                <w:sz w:val="20"/>
                <w:szCs w:val="20"/>
              </w:rPr>
            </w:pPr>
            <w:r w:rsidRPr="00154145">
              <w:rPr>
                <w:rFonts w:asciiTheme="minorHAnsi" w:hAnsiTheme="minorHAnsi" w:cstheme="minorHAnsi"/>
                <w:b/>
                <w:bCs/>
                <w:sz w:val="20"/>
                <w:szCs w:val="20"/>
              </w:rPr>
              <w:t>Présence des installations</w:t>
            </w:r>
          </w:p>
        </w:tc>
        <w:tc>
          <w:tcPr>
            <w:tcW w:w="0" w:type="pct"/>
            <w:vAlign w:val="center"/>
          </w:tcPr>
          <w:p w14:paraId="4177F57A" w14:textId="7CD10653" w:rsidR="00CC75B4" w:rsidRPr="00154145" w:rsidRDefault="00CA4A70" w:rsidP="00CC75B4">
            <w:pPr>
              <w:pStyle w:val="Tabletextcentered"/>
              <w:spacing w:line="240" w:lineRule="auto"/>
              <w:contextualSpacing/>
              <w:rPr>
                <w:rFonts w:cstheme="minorHAnsi"/>
              </w:rPr>
            </w:pPr>
            <w:r w:rsidRPr="00154145">
              <w:rPr>
                <w:rFonts w:cstheme="minorHAnsi"/>
              </w:rPr>
              <w:t>-</w:t>
            </w:r>
          </w:p>
        </w:tc>
        <w:tc>
          <w:tcPr>
            <w:tcW w:w="0" w:type="pct"/>
            <w:vAlign w:val="center"/>
          </w:tcPr>
          <w:p w14:paraId="321110E1" w14:textId="79ECA073" w:rsidR="00CC75B4" w:rsidRPr="00154145" w:rsidRDefault="00CA4A70" w:rsidP="00CC75B4">
            <w:pPr>
              <w:pStyle w:val="Tabletextcentered"/>
              <w:spacing w:line="240" w:lineRule="auto"/>
              <w:contextualSpacing/>
              <w:rPr>
                <w:rFonts w:cstheme="minorHAnsi"/>
              </w:rPr>
            </w:pPr>
            <w:r w:rsidRPr="00154145">
              <w:rPr>
                <w:rFonts w:cstheme="minorHAnsi"/>
              </w:rPr>
              <w:t>0</w:t>
            </w:r>
          </w:p>
        </w:tc>
        <w:tc>
          <w:tcPr>
            <w:tcW w:w="0" w:type="pct"/>
            <w:vAlign w:val="center"/>
          </w:tcPr>
          <w:p w14:paraId="53C14D1F" w14:textId="27267AD1" w:rsidR="00CC75B4" w:rsidRPr="00154145" w:rsidRDefault="00CA4A70" w:rsidP="00CC75B4">
            <w:pPr>
              <w:pStyle w:val="Tabletextcentered"/>
              <w:spacing w:line="240" w:lineRule="auto"/>
              <w:contextualSpacing/>
              <w:rPr>
                <w:rFonts w:cstheme="minorHAnsi"/>
              </w:rPr>
            </w:pPr>
            <w:r w:rsidRPr="00154145">
              <w:rPr>
                <w:rFonts w:cstheme="minorHAnsi"/>
              </w:rPr>
              <w:t>-</w:t>
            </w:r>
          </w:p>
        </w:tc>
        <w:tc>
          <w:tcPr>
            <w:tcW w:w="0" w:type="pct"/>
            <w:vAlign w:val="center"/>
          </w:tcPr>
          <w:p w14:paraId="39B87FBE" w14:textId="0A427C6B" w:rsidR="00CC75B4" w:rsidRPr="00154145" w:rsidRDefault="00CA4A70" w:rsidP="00CC75B4">
            <w:pPr>
              <w:pStyle w:val="Tabletextcentered"/>
              <w:spacing w:line="240" w:lineRule="auto"/>
              <w:contextualSpacing/>
              <w:rPr>
                <w:rFonts w:cstheme="minorHAnsi"/>
              </w:rPr>
            </w:pPr>
            <w:r w:rsidRPr="00154145">
              <w:rPr>
                <w:rFonts w:cstheme="minorHAnsi"/>
              </w:rPr>
              <w:t>0</w:t>
            </w:r>
          </w:p>
        </w:tc>
        <w:tc>
          <w:tcPr>
            <w:tcW w:w="0" w:type="pct"/>
            <w:vAlign w:val="center"/>
          </w:tcPr>
          <w:p w14:paraId="760981EC" w14:textId="33ABDC34" w:rsidR="00CC75B4" w:rsidRPr="00154145" w:rsidRDefault="00CA4A70" w:rsidP="00CC75B4">
            <w:pPr>
              <w:pStyle w:val="Tabletextcentered"/>
              <w:spacing w:line="240" w:lineRule="auto"/>
              <w:contextualSpacing/>
              <w:rPr>
                <w:rFonts w:cstheme="minorHAnsi"/>
              </w:rPr>
            </w:pPr>
            <w:r w:rsidRPr="00154145">
              <w:rPr>
                <w:rFonts w:cstheme="minorHAnsi"/>
              </w:rPr>
              <w:t>0</w:t>
            </w:r>
          </w:p>
        </w:tc>
        <w:tc>
          <w:tcPr>
            <w:tcW w:w="0" w:type="pct"/>
            <w:vAlign w:val="center"/>
          </w:tcPr>
          <w:p w14:paraId="65CA3C22" w14:textId="632B8DBB" w:rsidR="00CC75B4" w:rsidRPr="00154145" w:rsidRDefault="00CA4A70" w:rsidP="00CC75B4">
            <w:pPr>
              <w:pStyle w:val="Tabletextcentered"/>
              <w:spacing w:line="240" w:lineRule="auto"/>
              <w:contextualSpacing/>
              <w:rPr>
                <w:rFonts w:cstheme="minorHAnsi"/>
              </w:rPr>
            </w:pPr>
            <w:r w:rsidRPr="00154145">
              <w:rPr>
                <w:rFonts w:cstheme="minorHAnsi"/>
              </w:rPr>
              <w:t>-</w:t>
            </w:r>
          </w:p>
        </w:tc>
        <w:tc>
          <w:tcPr>
            <w:tcW w:w="0" w:type="pct"/>
            <w:vAlign w:val="center"/>
          </w:tcPr>
          <w:p w14:paraId="1A71D8DE" w14:textId="18E92CC8" w:rsidR="00CC75B4" w:rsidRPr="00154145" w:rsidRDefault="00CA4A70" w:rsidP="00CC75B4">
            <w:pPr>
              <w:pStyle w:val="Tabletextcentered"/>
              <w:spacing w:line="240" w:lineRule="auto"/>
              <w:contextualSpacing/>
              <w:rPr>
                <w:rFonts w:eastAsia="Book Antiqua" w:cstheme="minorHAnsi"/>
              </w:rPr>
            </w:pPr>
            <w:r w:rsidRPr="00154145">
              <w:rPr>
                <w:rFonts w:eastAsia="Book Antiqua" w:cstheme="minorHAnsi"/>
              </w:rPr>
              <w:t>-</w:t>
            </w:r>
          </w:p>
        </w:tc>
        <w:tc>
          <w:tcPr>
            <w:tcW w:w="0" w:type="pct"/>
            <w:vAlign w:val="center"/>
          </w:tcPr>
          <w:p w14:paraId="1C99816F" w14:textId="48C2D738" w:rsidR="00CC75B4" w:rsidRPr="00154145" w:rsidRDefault="0019681C" w:rsidP="00CC75B4">
            <w:pPr>
              <w:pStyle w:val="Tabletextcentered"/>
              <w:spacing w:line="240" w:lineRule="auto"/>
              <w:contextualSpacing/>
              <w:rPr>
                <w:rFonts w:eastAsia="Book Antiqua" w:cstheme="minorHAnsi"/>
              </w:rPr>
            </w:pPr>
            <w:r w:rsidRPr="00154145">
              <w:rPr>
                <w:rFonts w:eastAsia="Book Antiqua" w:cstheme="minorHAnsi"/>
              </w:rPr>
              <w:t>0</w:t>
            </w:r>
          </w:p>
        </w:tc>
        <w:tc>
          <w:tcPr>
            <w:tcW w:w="0" w:type="pct"/>
            <w:vAlign w:val="center"/>
          </w:tcPr>
          <w:p w14:paraId="48074F6C" w14:textId="75C75B0E" w:rsidR="00CC75B4" w:rsidRPr="00154145" w:rsidRDefault="0019681C" w:rsidP="00CC75B4">
            <w:pPr>
              <w:pStyle w:val="Tabletextcentered"/>
              <w:spacing w:line="240" w:lineRule="auto"/>
              <w:contextualSpacing/>
              <w:rPr>
                <w:rFonts w:eastAsia="Book Antiqua" w:cstheme="minorHAnsi"/>
              </w:rPr>
            </w:pPr>
            <w:r w:rsidRPr="00154145">
              <w:rPr>
                <w:rFonts w:eastAsia="Book Antiqua" w:cstheme="minorHAnsi"/>
              </w:rPr>
              <w:t>0</w:t>
            </w:r>
          </w:p>
        </w:tc>
        <w:tc>
          <w:tcPr>
            <w:tcW w:w="0" w:type="pct"/>
            <w:vAlign w:val="center"/>
          </w:tcPr>
          <w:p w14:paraId="5B7EC2BE" w14:textId="68F26688" w:rsidR="00CC75B4" w:rsidRPr="00154145" w:rsidRDefault="0019681C" w:rsidP="00CC75B4">
            <w:pPr>
              <w:pStyle w:val="Tabletextcentered"/>
              <w:spacing w:line="240" w:lineRule="auto"/>
              <w:contextualSpacing/>
              <w:rPr>
                <w:rFonts w:eastAsia="Book Antiqua" w:cstheme="minorHAnsi"/>
              </w:rPr>
            </w:pPr>
            <w:r w:rsidRPr="00154145">
              <w:rPr>
                <w:rFonts w:eastAsia="Book Antiqua" w:cstheme="minorHAnsi"/>
              </w:rPr>
              <w:t>0</w:t>
            </w:r>
          </w:p>
        </w:tc>
        <w:tc>
          <w:tcPr>
            <w:tcW w:w="0" w:type="pct"/>
            <w:vAlign w:val="center"/>
          </w:tcPr>
          <w:p w14:paraId="2901CB11" w14:textId="3654590E" w:rsidR="00CC75B4" w:rsidRPr="00154145" w:rsidRDefault="0019681C" w:rsidP="00CC75B4">
            <w:pPr>
              <w:pStyle w:val="Tabletextcentered"/>
              <w:spacing w:line="240" w:lineRule="auto"/>
              <w:contextualSpacing/>
              <w:rPr>
                <w:rFonts w:cstheme="minorHAnsi"/>
              </w:rPr>
            </w:pPr>
            <w:r w:rsidRPr="00154145">
              <w:rPr>
                <w:rFonts w:cstheme="minorHAnsi"/>
              </w:rPr>
              <w:t>0</w:t>
            </w:r>
          </w:p>
        </w:tc>
        <w:tc>
          <w:tcPr>
            <w:tcW w:w="0" w:type="pct"/>
            <w:vAlign w:val="center"/>
          </w:tcPr>
          <w:p w14:paraId="44D80F10" w14:textId="5CE94C45" w:rsidR="00CC75B4" w:rsidRPr="00154145" w:rsidRDefault="0019681C" w:rsidP="00CC75B4">
            <w:pPr>
              <w:pStyle w:val="Tabletextcentered"/>
              <w:spacing w:line="240" w:lineRule="auto"/>
              <w:contextualSpacing/>
              <w:rPr>
                <w:rFonts w:cstheme="minorHAnsi"/>
              </w:rPr>
            </w:pPr>
            <w:r w:rsidRPr="00154145">
              <w:rPr>
                <w:rFonts w:cstheme="minorHAnsi"/>
              </w:rPr>
              <w:t>0</w:t>
            </w:r>
          </w:p>
        </w:tc>
        <w:tc>
          <w:tcPr>
            <w:tcW w:w="0" w:type="pct"/>
            <w:vAlign w:val="center"/>
          </w:tcPr>
          <w:p w14:paraId="2FC6A205" w14:textId="7D1FD944" w:rsidR="00CC75B4" w:rsidRPr="00154145" w:rsidRDefault="0019681C" w:rsidP="00CC75B4">
            <w:pPr>
              <w:pStyle w:val="Tabletextcentered"/>
              <w:spacing w:line="240" w:lineRule="auto"/>
              <w:contextualSpacing/>
              <w:rPr>
                <w:rFonts w:cstheme="minorHAnsi"/>
              </w:rPr>
            </w:pPr>
            <w:r w:rsidRPr="00154145">
              <w:rPr>
                <w:rFonts w:cstheme="minorHAnsi"/>
              </w:rPr>
              <w:t>0</w:t>
            </w:r>
          </w:p>
        </w:tc>
      </w:tr>
      <w:tr w:rsidR="00CC75B4" w:rsidRPr="00154145" w14:paraId="0B18D54A" w14:textId="6B5CC4F9" w:rsidTr="00AC2854">
        <w:trPr>
          <w:trHeight w:val="20"/>
          <w:jc w:val="center"/>
        </w:trPr>
        <w:tc>
          <w:tcPr>
            <w:tcW w:w="0" w:type="pct"/>
            <w:vAlign w:val="center"/>
          </w:tcPr>
          <w:p w14:paraId="77454944" w14:textId="443E2161" w:rsidR="00CC75B4" w:rsidRPr="00154145" w:rsidRDefault="006A1AB3" w:rsidP="00CC75B4">
            <w:pPr>
              <w:spacing w:before="0" w:after="0" w:line="240" w:lineRule="auto"/>
              <w:contextualSpacing/>
              <w:rPr>
                <w:rFonts w:asciiTheme="minorHAnsi" w:hAnsiTheme="minorHAnsi" w:cstheme="minorHAnsi"/>
                <w:b/>
                <w:bCs/>
                <w:sz w:val="20"/>
                <w:szCs w:val="20"/>
              </w:rPr>
            </w:pPr>
            <w:r w:rsidRPr="00154145">
              <w:rPr>
                <w:rFonts w:asciiTheme="minorHAnsi" w:hAnsiTheme="minorHAnsi" w:cstheme="minorHAnsi"/>
                <w:b/>
                <w:bCs/>
                <w:sz w:val="20"/>
                <w:szCs w:val="20"/>
              </w:rPr>
              <w:t xml:space="preserve">Gestion des </w:t>
            </w:r>
            <w:r w:rsidR="005E51CE" w:rsidRPr="00154145">
              <w:rPr>
                <w:rFonts w:asciiTheme="minorHAnsi" w:hAnsiTheme="minorHAnsi" w:cstheme="minorHAnsi"/>
                <w:b/>
                <w:bCs/>
                <w:sz w:val="20"/>
                <w:szCs w:val="20"/>
              </w:rPr>
              <w:t xml:space="preserve">déchets solides, eaux usées et entretien </w:t>
            </w:r>
            <w:r w:rsidR="00CC75B4" w:rsidRPr="00154145">
              <w:rPr>
                <w:rFonts w:asciiTheme="minorHAnsi" w:hAnsiTheme="minorHAnsi" w:cstheme="minorHAnsi"/>
                <w:b/>
                <w:bCs/>
                <w:sz w:val="20"/>
                <w:szCs w:val="20"/>
              </w:rPr>
              <w:t xml:space="preserve"> </w:t>
            </w:r>
          </w:p>
        </w:tc>
        <w:tc>
          <w:tcPr>
            <w:tcW w:w="0" w:type="pct"/>
            <w:vAlign w:val="center"/>
          </w:tcPr>
          <w:p w14:paraId="3818A3EC" w14:textId="49DEFC9D" w:rsidR="00CC75B4" w:rsidRPr="00154145" w:rsidRDefault="0019681C" w:rsidP="00CC75B4">
            <w:pPr>
              <w:pStyle w:val="Tabletextcentered"/>
              <w:spacing w:line="240" w:lineRule="auto"/>
              <w:contextualSpacing/>
              <w:rPr>
                <w:rFonts w:cstheme="minorHAnsi"/>
              </w:rPr>
            </w:pPr>
            <w:r w:rsidRPr="00154145">
              <w:rPr>
                <w:rFonts w:cstheme="minorHAnsi"/>
              </w:rPr>
              <w:t>-</w:t>
            </w:r>
          </w:p>
        </w:tc>
        <w:tc>
          <w:tcPr>
            <w:tcW w:w="0" w:type="pct"/>
            <w:vAlign w:val="center"/>
          </w:tcPr>
          <w:p w14:paraId="24557611" w14:textId="0A8DF711" w:rsidR="00CC75B4" w:rsidRPr="00154145" w:rsidRDefault="0019681C" w:rsidP="00CC75B4">
            <w:pPr>
              <w:pStyle w:val="Tabletextcentered"/>
              <w:spacing w:line="240" w:lineRule="auto"/>
              <w:contextualSpacing/>
              <w:rPr>
                <w:rFonts w:cstheme="minorHAnsi"/>
              </w:rPr>
            </w:pPr>
            <w:r w:rsidRPr="00154145">
              <w:rPr>
                <w:rFonts w:cstheme="minorHAnsi"/>
              </w:rPr>
              <w:t>0</w:t>
            </w:r>
          </w:p>
        </w:tc>
        <w:tc>
          <w:tcPr>
            <w:tcW w:w="0" w:type="pct"/>
            <w:vAlign w:val="center"/>
          </w:tcPr>
          <w:p w14:paraId="7D9F4223" w14:textId="034C0D76" w:rsidR="00CC75B4" w:rsidRPr="00154145" w:rsidRDefault="0019681C" w:rsidP="00CC75B4">
            <w:pPr>
              <w:pStyle w:val="Tabletextcentered"/>
              <w:spacing w:line="240" w:lineRule="auto"/>
              <w:contextualSpacing/>
              <w:rPr>
                <w:rFonts w:cstheme="minorHAnsi"/>
              </w:rPr>
            </w:pPr>
            <w:r w:rsidRPr="00154145">
              <w:rPr>
                <w:rFonts w:cstheme="minorHAnsi"/>
              </w:rPr>
              <w:t>-</w:t>
            </w:r>
          </w:p>
        </w:tc>
        <w:tc>
          <w:tcPr>
            <w:tcW w:w="0" w:type="pct"/>
            <w:vAlign w:val="center"/>
          </w:tcPr>
          <w:p w14:paraId="61B9425B" w14:textId="17AD29E2" w:rsidR="00CC75B4" w:rsidRPr="00154145" w:rsidRDefault="0019681C" w:rsidP="00CC75B4">
            <w:pPr>
              <w:pStyle w:val="Tabletextcentered"/>
              <w:spacing w:line="240" w:lineRule="auto"/>
              <w:contextualSpacing/>
              <w:rPr>
                <w:rFonts w:cstheme="minorHAnsi"/>
              </w:rPr>
            </w:pPr>
            <w:r w:rsidRPr="00154145">
              <w:rPr>
                <w:rFonts w:cstheme="minorHAnsi"/>
              </w:rPr>
              <w:t>-</w:t>
            </w:r>
          </w:p>
        </w:tc>
        <w:tc>
          <w:tcPr>
            <w:tcW w:w="0" w:type="pct"/>
            <w:vAlign w:val="center"/>
          </w:tcPr>
          <w:p w14:paraId="1B3390D3" w14:textId="692C778D" w:rsidR="00CC75B4" w:rsidRPr="00154145" w:rsidRDefault="0019681C" w:rsidP="00CC75B4">
            <w:pPr>
              <w:pStyle w:val="Tabletextcentered"/>
              <w:spacing w:line="240" w:lineRule="auto"/>
              <w:contextualSpacing/>
              <w:rPr>
                <w:rFonts w:cstheme="minorHAnsi"/>
              </w:rPr>
            </w:pPr>
            <w:r w:rsidRPr="00154145">
              <w:rPr>
                <w:rFonts w:cstheme="minorHAnsi"/>
              </w:rPr>
              <w:t>-</w:t>
            </w:r>
          </w:p>
        </w:tc>
        <w:tc>
          <w:tcPr>
            <w:tcW w:w="0" w:type="pct"/>
            <w:vAlign w:val="center"/>
          </w:tcPr>
          <w:p w14:paraId="2447BA7B" w14:textId="69F352C2" w:rsidR="00CC75B4" w:rsidRPr="00154145" w:rsidRDefault="0019681C" w:rsidP="00CC75B4">
            <w:pPr>
              <w:pStyle w:val="Tabletextcentered"/>
              <w:spacing w:line="240" w:lineRule="auto"/>
              <w:contextualSpacing/>
              <w:rPr>
                <w:rFonts w:cstheme="minorHAnsi"/>
              </w:rPr>
            </w:pPr>
            <w:r w:rsidRPr="00154145">
              <w:rPr>
                <w:rFonts w:cstheme="minorHAnsi"/>
              </w:rPr>
              <w:t>-</w:t>
            </w:r>
          </w:p>
        </w:tc>
        <w:tc>
          <w:tcPr>
            <w:tcW w:w="0" w:type="pct"/>
            <w:vAlign w:val="center"/>
          </w:tcPr>
          <w:p w14:paraId="6EC9D3A0" w14:textId="36BAC3F4" w:rsidR="00CC75B4" w:rsidRPr="00154145" w:rsidRDefault="0019681C" w:rsidP="00CC75B4">
            <w:pPr>
              <w:pStyle w:val="Tabletextcentered"/>
              <w:spacing w:line="240" w:lineRule="auto"/>
              <w:contextualSpacing/>
              <w:rPr>
                <w:rFonts w:eastAsia="Book Antiqua" w:cstheme="minorHAnsi"/>
              </w:rPr>
            </w:pPr>
            <w:r w:rsidRPr="00154145">
              <w:rPr>
                <w:rFonts w:eastAsia="Book Antiqua" w:cstheme="minorHAnsi"/>
              </w:rPr>
              <w:t>0</w:t>
            </w:r>
          </w:p>
        </w:tc>
        <w:tc>
          <w:tcPr>
            <w:tcW w:w="0" w:type="pct"/>
            <w:vAlign w:val="center"/>
          </w:tcPr>
          <w:p w14:paraId="4FC8A440" w14:textId="2F461816" w:rsidR="00CC75B4" w:rsidRPr="00154145" w:rsidRDefault="0019681C" w:rsidP="00CC75B4">
            <w:pPr>
              <w:pStyle w:val="Tabletextcentered"/>
              <w:spacing w:line="240" w:lineRule="auto"/>
              <w:contextualSpacing/>
              <w:rPr>
                <w:rFonts w:eastAsia="Book Antiqua" w:cstheme="minorHAnsi"/>
              </w:rPr>
            </w:pPr>
            <w:r w:rsidRPr="00154145">
              <w:rPr>
                <w:rFonts w:eastAsia="Book Antiqua" w:cstheme="minorHAnsi"/>
              </w:rPr>
              <w:t>0</w:t>
            </w:r>
          </w:p>
        </w:tc>
        <w:tc>
          <w:tcPr>
            <w:tcW w:w="0" w:type="pct"/>
            <w:vAlign w:val="center"/>
          </w:tcPr>
          <w:p w14:paraId="5F52004B" w14:textId="2F16DAFC" w:rsidR="00CC75B4" w:rsidRPr="00154145" w:rsidRDefault="0019681C" w:rsidP="00CC75B4">
            <w:pPr>
              <w:pStyle w:val="Tabletextcentered"/>
              <w:spacing w:line="240" w:lineRule="auto"/>
              <w:contextualSpacing/>
              <w:rPr>
                <w:rFonts w:eastAsia="Book Antiqua" w:cstheme="minorHAnsi"/>
              </w:rPr>
            </w:pPr>
            <w:r w:rsidRPr="00154145">
              <w:rPr>
                <w:rFonts w:eastAsia="Book Antiqua" w:cstheme="minorHAnsi"/>
              </w:rPr>
              <w:t>-</w:t>
            </w:r>
          </w:p>
        </w:tc>
        <w:tc>
          <w:tcPr>
            <w:tcW w:w="0" w:type="pct"/>
            <w:vAlign w:val="center"/>
          </w:tcPr>
          <w:p w14:paraId="67E21D4D" w14:textId="1ADBCAF8" w:rsidR="00CC75B4" w:rsidRPr="00154145" w:rsidRDefault="0019681C" w:rsidP="00CC75B4">
            <w:pPr>
              <w:pStyle w:val="Tabletextcentered"/>
              <w:spacing w:line="240" w:lineRule="auto"/>
              <w:contextualSpacing/>
              <w:rPr>
                <w:rFonts w:eastAsia="Book Antiqua" w:cstheme="minorHAnsi"/>
              </w:rPr>
            </w:pPr>
            <w:r w:rsidRPr="00154145">
              <w:rPr>
                <w:rFonts w:eastAsia="Book Antiqua" w:cstheme="minorHAnsi"/>
              </w:rPr>
              <w:t>-</w:t>
            </w:r>
          </w:p>
        </w:tc>
        <w:tc>
          <w:tcPr>
            <w:tcW w:w="0" w:type="pct"/>
            <w:vAlign w:val="center"/>
          </w:tcPr>
          <w:p w14:paraId="688B0DEE" w14:textId="7D064243" w:rsidR="00CC75B4" w:rsidRPr="00154145" w:rsidRDefault="0019681C" w:rsidP="00CC75B4">
            <w:pPr>
              <w:pStyle w:val="Tabletextcentered"/>
              <w:spacing w:line="240" w:lineRule="auto"/>
              <w:contextualSpacing/>
              <w:rPr>
                <w:rFonts w:cstheme="minorHAnsi"/>
              </w:rPr>
            </w:pPr>
            <w:r w:rsidRPr="00154145">
              <w:rPr>
                <w:rFonts w:cstheme="minorHAnsi"/>
              </w:rPr>
              <w:t>0</w:t>
            </w:r>
          </w:p>
        </w:tc>
        <w:tc>
          <w:tcPr>
            <w:tcW w:w="0" w:type="pct"/>
            <w:vAlign w:val="center"/>
          </w:tcPr>
          <w:p w14:paraId="39A24013" w14:textId="5D0D9091" w:rsidR="00CC75B4" w:rsidRPr="00154145" w:rsidRDefault="0019681C" w:rsidP="00CC75B4">
            <w:pPr>
              <w:pStyle w:val="Tabletextcentered"/>
              <w:spacing w:line="240" w:lineRule="auto"/>
              <w:contextualSpacing/>
              <w:rPr>
                <w:rFonts w:cstheme="minorHAnsi"/>
              </w:rPr>
            </w:pPr>
            <w:r w:rsidRPr="00154145">
              <w:rPr>
                <w:rFonts w:cstheme="minorHAnsi"/>
              </w:rPr>
              <w:t>0</w:t>
            </w:r>
          </w:p>
        </w:tc>
        <w:tc>
          <w:tcPr>
            <w:tcW w:w="0" w:type="pct"/>
            <w:vAlign w:val="center"/>
          </w:tcPr>
          <w:p w14:paraId="2080DFDD" w14:textId="6C6FEFD4" w:rsidR="00CC75B4" w:rsidRPr="00154145" w:rsidRDefault="0019681C" w:rsidP="00CC75B4">
            <w:pPr>
              <w:pStyle w:val="Tabletextcentered"/>
              <w:spacing w:line="240" w:lineRule="auto"/>
              <w:contextualSpacing/>
              <w:rPr>
                <w:rFonts w:cstheme="minorHAnsi"/>
              </w:rPr>
            </w:pPr>
            <w:r w:rsidRPr="00154145">
              <w:rPr>
                <w:rFonts w:cstheme="minorHAnsi"/>
              </w:rPr>
              <w:t>0</w:t>
            </w:r>
          </w:p>
        </w:tc>
      </w:tr>
      <w:tr w:rsidR="00CC75B4" w:rsidRPr="00154145" w14:paraId="4AEF6B71" w14:textId="3E84BAA6" w:rsidTr="00AC2854">
        <w:trPr>
          <w:trHeight w:val="20"/>
          <w:jc w:val="center"/>
        </w:trPr>
        <w:tc>
          <w:tcPr>
            <w:tcW w:w="0" w:type="pct"/>
            <w:gridSpan w:val="14"/>
            <w:shd w:val="clear" w:color="auto" w:fill="D9E2F3" w:themeFill="accent1" w:themeFillTint="33"/>
            <w:vAlign w:val="center"/>
          </w:tcPr>
          <w:p w14:paraId="63C65673" w14:textId="01460135" w:rsidR="00CC75B4" w:rsidRPr="003E62FC" w:rsidRDefault="000768E4" w:rsidP="00CC75B4">
            <w:pPr>
              <w:pStyle w:val="Tableheadingleft"/>
              <w:spacing w:line="240" w:lineRule="auto"/>
              <w:contextualSpacing/>
              <w:jc w:val="center"/>
              <w:rPr>
                <w:rFonts w:cstheme="minorHAnsi"/>
                <w:color w:val="000000" w:themeColor="text1"/>
              </w:rPr>
            </w:pPr>
            <w:r w:rsidRPr="003E62FC">
              <w:rPr>
                <w:rFonts w:cstheme="minorHAnsi"/>
                <w:color w:val="000000" w:themeColor="text1"/>
              </w:rPr>
              <w:t>Phase de démantèlement</w:t>
            </w:r>
          </w:p>
        </w:tc>
      </w:tr>
      <w:tr w:rsidR="001D44F1" w:rsidRPr="00154145" w14:paraId="5EC1D2AA" w14:textId="117826C7" w:rsidTr="00AC2854">
        <w:trPr>
          <w:trHeight w:val="20"/>
          <w:jc w:val="center"/>
        </w:trPr>
        <w:tc>
          <w:tcPr>
            <w:tcW w:w="0" w:type="pct"/>
            <w:vAlign w:val="center"/>
          </w:tcPr>
          <w:p w14:paraId="5DF9BCF1" w14:textId="77777777" w:rsidR="001D44F1" w:rsidRPr="00154145" w:rsidRDefault="001D44F1" w:rsidP="001D44F1">
            <w:pPr>
              <w:spacing w:before="0" w:after="0" w:line="240" w:lineRule="auto"/>
              <w:contextualSpacing/>
              <w:rPr>
                <w:rFonts w:asciiTheme="minorHAnsi" w:hAnsiTheme="minorHAnsi" w:cstheme="minorHAnsi"/>
                <w:b/>
                <w:bCs/>
                <w:sz w:val="20"/>
                <w:szCs w:val="20"/>
              </w:rPr>
            </w:pPr>
            <w:r w:rsidRPr="00154145">
              <w:rPr>
                <w:rFonts w:eastAsia="Book Antiqua" w:cstheme="minorHAnsi"/>
                <w:b/>
                <w:bCs/>
                <w:sz w:val="20"/>
                <w:szCs w:val="20"/>
              </w:rPr>
              <w:t>Signalisation</w:t>
            </w:r>
          </w:p>
        </w:tc>
        <w:tc>
          <w:tcPr>
            <w:tcW w:w="0" w:type="pct"/>
            <w:vAlign w:val="center"/>
          </w:tcPr>
          <w:p w14:paraId="50D26329" w14:textId="0D4F2864" w:rsidR="001D44F1" w:rsidRPr="00154145" w:rsidRDefault="001D44F1" w:rsidP="001D44F1">
            <w:pPr>
              <w:pStyle w:val="Tabletextcentered"/>
              <w:spacing w:line="240" w:lineRule="auto"/>
              <w:contextualSpacing/>
              <w:rPr>
                <w:rFonts w:cstheme="minorHAnsi"/>
              </w:rPr>
            </w:pPr>
            <w:r w:rsidRPr="00154145">
              <w:rPr>
                <w:rFonts w:cstheme="minorHAnsi"/>
              </w:rPr>
              <w:t>0</w:t>
            </w:r>
          </w:p>
        </w:tc>
        <w:tc>
          <w:tcPr>
            <w:tcW w:w="0" w:type="pct"/>
            <w:vAlign w:val="center"/>
          </w:tcPr>
          <w:p w14:paraId="3232EE2B" w14:textId="30CD34F5" w:rsidR="001D44F1" w:rsidRPr="00154145" w:rsidRDefault="001D44F1" w:rsidP="001D44F1">
            <w:pPr>
              <w:pStyle w:val="Tabletextcentered"/>
              <w:spacing w:line="240" w:lineRule="auto"/>
              <w:contextualSpacing/>
              <w:rPr>
                <w:rFonts w:cstheme="minorHAnsi"/>
              </w:rPr>
            </w:pPr>
            <w:r w:rsidRPr="00154145">
              <w:rPr>
                <w:rFonts w:cstheme="minorHAnsi"/>
              </w:rPr>
              <w:t>0</w:t>
            </w:r>
          </w:p>
        </w:tc>
        <w:tc>
          <w:tcPr>
            <w:tcW w:w="0" w:type="pct"/>
            <w:vAlign w:val="center"/>
          </w:tcPr>
          <w:p w14:paraId="66E7AC07" w14:textId="4B75706C" w:rsidR="001D44F1" w:rsidRPr="00154145" w:rsidRDefault="001D44F1" w:rsidP="001D44F1">
            <w:pPr>
              <w:pStyle w:val="Tabletextcentered"/>
              <w:spacing w:line="240" w:lineRule="auto"/>
              <w:contextualSpacing/>
              <w:rPr>
                <w:rFonts w:cstheme="minorHAnsi"/>
              </w:rPr>
            </w:pPr>
            <w:r w:rsidRPr="00154145">
              <w:rPr>
                <w:rFonts w:cstheme="minorHAnsi"/>
              </w:rPr>
              <w:t>0</w:t>
            </w:r>
          </w:p>
        </w:tc>
        <w:tc>
          <w:tcPr>
            <w:tcW w:w="0" w:type="pct"/>
            <w:vAlign w:val="center"/>
          </w:tcPr>
          <w:p w14:paraId="60BF8286" w14:textId="7366BBC5" w:rsidR="001D44F1" w:rsidRPr="00154145" w:rsidRDefault="001D44F1" w:rsidP="001D44F1">
            <w:pPr>
              <w:pStyle w:val="Tabletextcentered"/>
              <w:spacing w:line="240" w:lineRule="auto"/>
              <w:contextualSpacing/>
              <w:rPr>
                <w:rFonts w:cstheme="minorHAnsi"/>
              </w:rPr>
            </w:pPr>
            <w:r w:rsidRPr="00154145">
              <w:rPr>
                <w:rFonts w:cstheme="minorHAnsi"/>
              </w:rPr>
              <w:t>-</w:t>
            </w:r>
          </w:p>
        </w:tc>
        <w:tc>
          <w:tcPr>
            <w:tcW w:w="0" w:type="pct"/>
            <w:vAlign w:val="center"/>
          </w:tcPr>
          <w:p w14:paraId="2DFF43CB" w14:textId="473E5AEB" w:rsidR="001D44F1" w:rsidRPr="00154145" w:rsidRDefault="001D44F1" w:rsidP="001D44F1">
            <w:pPr>
              <w:pStyle w:val="Tabletextcentered"/>
              <w:spacing w:line="240" w:lineRule="auto"/>
              <w:contextualSpacing/>
              <w:rPr>
                <w:rFonts w:cstheme="minorHAnsi"/>
              </w:rPr>
            </w:pPr>
            <w:r w:rsidRPr="00154145">
              <w:rPr>
                <w:rFonts w:cstheme="minorHAnsi"/>
              </w:rPr>
              <w:t>0</w:t>
            </w:r>
          </w:p>
        </w:tc>
        <w:tc>
          <w:tcPr>
            <w:tcW w:w="0" w:type="pct"/>
            <w:vAlign w:val="center"/>
          </w:tcPr>
          <w:p w14:paraId="34D898EA" w14:textId="3E32C802" w:rsidR="001D44F1" w:rsidRPr="00154145" w:rsidRDefault="001D44F1" w:rsidP="001D44F1">
            <w:pPr>
              <w:pStyle w:val="Tabletextcentered"/>
              <w:spacing w:line="240" w:lineRule="auto"/>
              <w:contextualSpacing/>
              <w:rPr>
                <w:rFonts w:cstheme="minorHAnsi"/>
              </w:rPr>
            </w:pPr>
            <w:r w:rsidRPr="00154145">
              <w:rPr>
                <w:rFonts w:cstheme="minorHAnsi"/>
              </w:rPr>
              <w:t>0</w:t>
            </w:r>
          </w:p>
        </w:tc>
        <w:tc>
          <w:tcPr>
            <w:tcW w:w="0" w:type="pct"/>
            <w:vAlign w:val="center"/>
          </w:tcPr>
          <w:p w14:paraId="746F1E80" w14:textId="3D2FB803" w:rsidR="001D44F1" w:rsidRPr="00154145" w:rsidRDefault="001D44F1" w:rsidP="001D44F1">
            <w:pPr>
              <w:pStyle w:val="Tabletextcentered"/>
              <w:spacing w:line="240" w:lineRule="auto"/>
              <w:contextualSpacing/>
              <w:rPr>
                <w:rFonts w:eastAsia="Book Antiqua" w:cstheme="minorHAnsi"/>
              </w:rPr>
            </w:pPr>
            <w:r w:rsidRPr="00154145">
              <w:rPr>
                <w:rFonts w:eastAsia="Book Antiqua" w:cstheme="minorHAnsi"/>
              </w:rPr>
              <w:t>0</w:t>
            </w:r>
          </w:p>
        </w:tc>
        <w:tc>
          <w:tcPr>
            <w:tcW w:w="0" w:type="pct"/>
            <w:vAlign w:val="center"/>
          </w:tcPr>
          <w:p w14:paraId="65F1F801" w14:textId="3B579933" w:rsidR="001D44F1" w:rsidRPr="00154145" w:rsidRDefault="001D44F1" w:rsidP="001D44F1">
            <w:pPr>
              <w:pStyle w:val="Tabletextcentered"/>
              <w:spacing w:line="240" w:lineRule="auto"/>
              <w:contextualSpacing/>
              <w:rPr>
                <w:rFonts w:eastAsia="Book Antiqua" w:cstheme="minorHAnsi"/>
              </w:rPr>
            </w:pPr>
            <w:r w:rsidRPr="00154145">
              <w:rPr>
                <w:rFonts w:cstheme="minorHAnsi"/>
              </w:rPr>
              <w:t>0</w:t>
            </w:r>
          </w:p>
        </w:tc>
        <w:tc>
          <w:tcPr>
            <w:tcW w:w="0" w:type="pct"/>
            <w:vAlign w:val="center"/>
          </w:tcPr>
          <w:p w14:paraId="0EC42099" w14:textId="2A9D18EA" w:rsidR="001D44F1" w:rsidRPr="00154145" w:rsidRDefault="001D44F1" w:rsidP="001D44F1">
            <w:pPr>
              <w:pStyle w:val="Tabletextcentered"/>
              <w:spacing w:line="240" w:lineRule="auto"/>
              <w:contextualSpacing/>
              <w:rPr>
                <w:rFonts w:eastAsia="Book Antiqua" w:cstheme="minorHAnsi"/>
              </w:rPr>
            </w:pPr>
            <w:r w:rsidRPr="00154145">
              <w:rPr>
                <w:rFonts w:cstheme="minorHAnsi"/>
              </w:rPr>
              <w:t>0</w:t>
            </w:r>
          </w:p>
        </w:tc>
        <w:tc>
          <w:tcPr>
            <w:tcW w:w="0" w:type="pct"/>
            <w:vAlign w:val="center"/>
          </w:tcPr>
          <w:p w14:paraId="15234615" w14:textId="67D18540" w:rsidR="001D44F1" w:rsidRPr="00154145" w:rsidRDefault="001D44F1" w:rsidP="001D44F1">
            <w:pPr>
              <w:pStyle w:val="Tabletextcentered"/>
              <w:spacing w:line="240" w:lineRule="auto"/>
              <w:contextualSpacing/>
              <w:rPr>
                <w:rFonts w:eastAsia="Book Antiqua" w:cstheme="minorHAnsi"/>
              </w:rPr>
            </w:pPr>
            <w:r w:rsidRPr="00154145">
              <w:rPr>
                <w:rFonts w:cstheme="minorHAnsi"/>
              </w:rPr>
              <w:t>0</w:t>
            </w:r>
          </w:p>
        </w:tc>
        <w:tc>
          <w:tcPr>
            <w:tcW w:w="0" w:type="pct"/>
            <w:vAlign w:val="center"/>
          </w:tcPr>
          <w:p w14:paraId="05444576" w14:textId="6BF1C396" w:rsidR="001D44F1" w:rsidRPr="00154145" w:rsidRDefault="001D44F1" w:rsidP="001D44F1">
            <w:pPr>
              <w:pStyle w:val="Tabletextcentered"/>
              <w:spacing w:line="240" w:lineRule="auto"/>
              <w:contextualSpacing/>
              <w:rPr>
                <w:rFonts w:cstheme="minorHAnsi"/>
              </w:rPr>
            </w:pPr>
            <w:r w:rsidRPr="00154145">
              <w:rPr>
                <w:rFonts w:cstheme="minorHAnsi"/>
              </w:rPr>
              <w:t>0</w:t>
            </w:r>
          </w:p>
        </w:tc>
        <w:tc>
          <w:tcPr>
            <w:tcW w:w="0" w:type="pct"/>
            <w:vAlign w:val="center"/>
          </w:tcPr>
          <w:p w14:paraId="27296B54" w14:textId="34E93B71" w:rsidR="001D44F1" w:rsidRPr="00154145" w:rsidRDefault="001D44F1" w:rsidP="001D44F1">
            <w:pPr>
              <w:pStyle w:val="Tabletextcentered"/>
              <w:spacing w:line="240" w:lineRule="auto"/>
              <w:contextualSpacing/>
              <w:rPr>
                <w:rFonts w:cstheme="minorHAnsi"/>
              </w:rPr>
            </w:pPr>
            <w:r w:rsidRPr="00154145">
              <w:rPr>
                <w:rFonts w:cstheme="minorHAnsi"/>
              </w:rPr>
              <w:t>0</w:t>
            </w:r>
          </w:p>
        </w:tc>
        <w:tc>
          <w:tcPr>
            <w:tcW w:w="0" w:type="pct"/>
            <w:vAlign w:val="center"/>
          </w:tcPr>
          <w:p w14:paraId="7B07367A" w14:textId="729A31E5" w:rsidR="001D44F1" w:rsidRPr="00154145" w:rsidRDefault="001D44F1" w:rsidP="001D44F1">
            <w:pPr>
              <w:pStyle w:val="Tabletextcentered"/>
              <w:spacing w:line="240" w:lineRule="auto"/>
              <w:contextualSpacing/>
              <w:rPr>
                <w:rFonts w:cstheme="minorHAnsi"/>
              </w:rPr>
            </w:pPr>
            <w:r w:rsidRPr="00154145">
              <w:rPr>
                <w:rFonts w:cstheme="minorHAnsi"/>
              </w:rPr>
              <w:t>0</w:t>
            </w:r>
          </w:p>
        </w:tc>
      </w:tr>
      <w:tr w:rsidR="00AB7F9D" w:rsidRPr="00154145" w14:paraId="3C7C55F3" w14:textId="3EABBB21" w:rsidTr="00AC2854">
        <w:trPr>
          <w:trHeight w:val="20"/>
          <w:jc w:val="center"/>
        </w:trPr>
        <w:tc>
          <w:tcPr>
            <w:tcW w:w="0" w:type="pct"/>
            <w:vAlign w:val="center"/>
          </w:tcPr>
          <w:p w14:paraId="4CBBB6C6" w14:textId="14568C01" w:rsidR="00AB7F9D" w:rsidRPr="00154145" w:rsidRDefault="00AB7F9D" w:rsidP="00AB7F9D">
            <w:pPr>
              <w:spacing w:before="0" w:after="0" w:line="240" w:lineRule="auto"/>
              <w:contextualSpacing/>
              <w:rPr>
                <w:rFonts w:asciiTheme="minorHAnsi" w:hAnsiTheme="minorHAnsi" w:cstheme="minorHAnsi"/>
                <w:b/>
                <w:bCs/>
                <w:sz w:val="20"/>
                <w:szCs w:val="20"/>
              </w:rPr>
            </w:pPr>
            <w:r w:rsidRPr="00154145">
              <w:rPr>
                <w:rFonts w:cstheme="minorHAnsi"/>
                <w:b/>
                <w:bCs/>
                <w:sz w:val="20"/>
                <w:szCs w:val="20"/>
              </w:rPr>
              <w:t>Installation du chantier</w:t>
            </w:r>
          </w:p>
        </w:tc>
        <w:tc>
          <w:tcPr>
            <w:tcW w:w="0" w:type="pct"/>
            <w:vAlign w:val="center"/>
          </w:tcPr>
          <w:p w14:paraId="585F9CCD" w14:textId="17AE81B7" w:rsidR="00AB7F9D" w:rsidRPr="00154145" w:rsidRDefault="00AB7F9D" w:rsidP="00AB7F9D">
            <w:pPr>
              <w:pStyle w:val="Tabletextcentered"/>
              <w:spacing w:line="240" w:lineRule="auto"/>
              <w:contextualSpacing/>
              <w:rPr>
                <w:rFonts w:cstheme="minorHAnsi"/>
              </w:rPr>
            </w:pPr>
            <w:r w:rsidRPr="00154145">
              <w:rPr>
                <w:rFonts w:cstheme="minorHAnsi"/>
              </w:rPr>
              <w:t>-</w:t>
            </w:r>
          </w:p>
        </w:tc>
        <w:tc>
          <w:tcPr>
            <w:tcW w:w="0" w:type="pct"/>
            <w:vAlign w:val="center"/>
          </w:tcPr>
          <w:p w14:paraId="670F3A43" w14:textId="527F3D21" w:rsidR="00AB7F9D" w:rsidRPr="00154145" w:rsidRDefault="00AB7F9D" w:rsidP="00AB7F9D">
            <w:pPr>
              <w:pStyle w:val="Tabletextcentered"/>
              <w:spacing w:line="240" w:lineRule="auto"/>
              <w:contextualSpacing/>
              <w:rPr>
                <w:rFonts w:cstheme="minorHAnsi"/>
              </w:rPr>
            </w:pPr>
            <w:r w:rsidRPr="00154145">
              <w:rPr>
                <w:rFonts w:cstheme="minorHAnsi"/>
              </w:rPr>
              <w:t>-</w:t>
            </w:r>
          </w:p>
        </w:tc>
        <w:tc>
          <w:tcPr>
            <w:tcW w:w="0" w:type="pct"/>
            <w:vAlign w:val="center"/>
          </w:tcPr>
          <w:p w14:paraId="4E3B1BB8" w14:textId="76590C0D" w:rsidR="00AB7F9D" w:rsidRPr="00154145" w:rsidRDefault="00AB7F9D" w:rsidP="00AB7F9D">
            <w:pPr>
              <w:pStyle w:val="Tabletextcentered"/>
              <w:spacing w:line="240" w:lineRule="auto"/>
              <w:contextualSpacing/>
              <w:rPr>
                <w:rFonts w:cstheme="minorHAnsi"/>
              </w:rPr>
            </w:pPr>
            <w:r w:rsidRPr="00154145">
              <w:rPr>
                <w:rFonts w:cstheme="minorHAnsi"/>
              </w:rPr>
              <w:t>-</w:t>
            </w:r>
          </w:p>
        </w:tc>
        <w:tc>
          <w:tcPr>
            <w:tcW w:w="0" w:type="pct"/>
            <w:vAlign w:val="center"/>
          </w:tcPr>
          <w:p w14:paraId="4CA33397" w14:textId="51305299" w:rsidR="00AB7F9D" w:rsidRPr="00154145" w:rsidRDefault="00AB7F9D" w:rsidP="00AB7F9D">
            <w:pPr>
              <w:pStyle w:val="Tabletextcentered"/>
              <w:spacing w:line="240" w:lineRule="auto"/>
              <w:contextualSpacing/>
              <w:rPr>
                <w:rFonts w:cstheme="minorHAnsi"/>
              </w:rPr>
            </w:pPr>
            <w:r w:rsidRPr="00154145">
              <w:rPr>
                <w:rFonts w:cstheme="minorHAnsi"/>
              </w:rPr>
              <w:t>-</w:t>
            </w:r>
          </w:p>
        </w:tc>
        <w:tc>
          <w:tcPr>
            <w:tcW w:w="0" w:type="pct"/>
            <w:vAlign w:val="center"/>
          </w:tcPr>
          <w:p w14:paraId="2BFF0837" w14:textId="45DD856F" w:rsidR="00AB7F9D" w:rsidRPr="00154145" w:rsidRDefault="00AB7F9D" w:rsidP="00AB7F9D">
            <w:pPr>
              <w:pStyle w:val="Tabletextcentered"/>
              <w:spacing w:line="240" w:lineRule="auto"/>
              <w:contextualSpacing/>
              <w:rPr>
                <w:rFonts w:cstheme="minorHAnsi"/>
              </w:rPr>
            </w:pPr>
            <w:r w:rsidRPr="00154145">
              <w:rPr>
                <w:rFonts w:cstheme="minorHAnsi"/>
              </w:rPr>
              <w:t>-</w:t>
            </w:r>
          </w:p>
        </w:tc>
        <w:tc>
          <w:tcPr>
            <w:tcW w:w="0" w:type="pct"/>
            <w:vAlign w:val="center"/>
          </w:tcPr>
          <w:p w14:paraId="71EAF015" w14:textId="5E54C299" w:rsidR="00AB7F9D" w:rsidRPr="00154145" w:rsidRDefault="00AB7F9D" w:rsidP="00AB7F9D">
            <w:pPr>
              <w:pStyle w:val="Tabletextcentered"/>
              <w:spacing w:line="240" w:lineRule="auto"/>
              <w:contextualSpacing/>
              <w:rPr>
                <w:rFonts w:cstheme="minorHAnsi"/>
              </w:rPr>
            </w:pPr>
            <w:r w:rsidRPr="00154145">
              <w:rPr>
                <w:rFonts w:cstheme="minorHAnsi"/>
              </w:rPr>
              <w:t>-</w:t>
            </w:r>
          </w:p>
        </w:tc>
        <w:tc>
          <w:tcPr>
            <w:tcW w:w="0" w:type="pct"/>
            <w:vAlign w:val="center"/>
          </w:tcPr>
          <w:p w14:paraId="5D09481E" w14:textId="74BA4829" w:rsidR="00AB7F9D" w:rsidRPr="00154145" w:rsidRDefault="00AB7F9D" w:rsidP="00AB7F9D">
            <w:pPr>
              <w:pStyle w:val="Tabletextcentered"/>
              <w:spacing w:line="240" w:lineRule="auto"/>
              <w:contextualSpacing/>
              <w:rPr>
                <w:rFonts w:eastAsia="Book Antiqua" w:cstheme="minorHAnsi"/>
              </w:rPr>
            </w:pPr>
            <w:r w:rsidRPr="00154145">
              <w:rPr>
                <w:rFonts w:cstheme="minorHAnsi"/>
              </w:rPr>
              <w:t>-</w:t>
            </w:r>
          </w:p>
        </w:tc>
        <w:tc>
          <w:tcPr>
            <w:tcW w:w="0" w:type="pct"/>
            <w:vAlign w:val="center"/>
          </w:tcPr>
          <w:p w14:paraId="482095B8" w14:textId="45C0FCC9" w:rsidR="00AB7F9D" w:rsidRPr="00154145" w:rsidRDefault="00AB7F9D" w:rsidP="00AB7F9D">
            <w:pPr>
              <w:pStyle w:val="Tabletextcentered"/>
              <w:spacing w:line="240" w:lineRule="auto"/>
              <w:contextualSpacing/>
              <w:rPr>
                <w:rFonts w:eastAsia="Book Antiqua" w:cstheme="minorHAnsi"/>
              </w:rPr>
            </w:pPr>
            <w:r w:rsidRPr="00154145">
              <w:rPr>
                <w:rFonts w:eastAsia="Book Antiqua" w:cstheme="minorHAnsi"/>
              </w:rPr>
              <w:t>+</w:t>
            </w:r>
          </w:p>
        </w:tc>
        <w:tc>
          <w:tcPr>
            <w:tcW w:w="0" w:type="pct"/>
            <w:vAlign w:val="center"/>
          </w:tcPr>
          <w:p w14:paraId="251C801F" w14:textId="1CE566C4" w:rsidR="00AB7F9D" w:rsidRPr="00154145" w:rsidRDefault="00AB7F9D" w:rsidP="00AB7F9D">
            <w:pPr>
              <w:pStyle w:val="Tabletextcentered"/>
              <w:spacing w:line="240" w:lineRule="auto"/>
              <w:contextualSpacing/>
              <w:rPr>
                <w:rFonts w:eastAsia="Book Antiqua" w:cstheme="minorHAnsi"/>
              </w:rPr>
            </w:pPr>
            <w:r w:rsidRPr="00154145">
              <w:rPr>
                <w:rFonts w:cstheme="minorHAnsi"/>
              </w:rPr>
              <w:t>0</w:t>
            </w:r>
          </w:p>
        </w:tc>
        <w:tc>
          <w:tcPr>
            <w:tcW w:w="0" w:type="pct"/>
            <w:vAlign w:val="center"/>
          </w:tcPr>
          <w:p w14:paraId="516BFBA7" w14:textId="0BB51A65" w:rsidR="00AB7F9D" w:rsidRPr="00154145" w:rsidRDefault="00AB7F9D" w:rsidP="00AB7F9D">
            <w:pPr>
              <w:pStyle w:val="Tabletextcentered"/>
              <w:spacing w:line="240" w:lineRule="auto"/>
              <w:contextualSpacing/>
              <w:rPr>
                <w:rFonts w:eastAsia="Book Antiqua" w:cstheme="minorHAnsi"/>
              </w:rPr>
            </w:pPr>
            <w:r w:rsidRPr="00154145">
              <w:rPr>
                <w:rFonts w:cstheme="minorHAnsi"/>
              </w:rPr>
              <w:t>-</w:t>
            </w:r>
          </w:p>
        </w:tc>
        <w:tc>
          <w:tcPr>
            <w:tcW w:w="0" w:type="pct"/>
            <w:vAlign w:val="center"/>
          </w:tcPr>
          <w:p w14:paraId="36A22011" w14:textId="40F38229" w:rsidR="00AB7F9D" w:rsidRPr="00154145" w:rsidRDefault="00AB7F9D" w:rsidP="00AB7F9D">
            <w:pPr>
              <w:pStyle w:val="Tabletextcentered"/>
              <w:spacing w:line="240" w:lineRule="auto"/>
              <w:contextualSpacing/>
              <w:rPr>
                <w:rFonts w:cstheme="minorHAnsi"/>
              </w:rPr>
            </w:pPr>
            <w:r w:rsidRPr="00154145">
              <w:rPr>
                <w:rFonts w:cstheme="minorHAnsi"/>
              </w:rPr>
              <w:t>0</w:t>
            </w:r>
          </w:p>
        </w:tc>
        <w:tc>
          <w:tcPr>
            <w:tcW w:w="0" w:type="pct"/>
            <w:vAlign w:val="center"/>
          </w:tcPr>
          <w:p w14:paraId="04B50352" w14:textId="1373E5BA" w:rsidR="00AB7F9D" w:rsidRPr="00154145" w:rsidRDefault="00AB7F9D" w:rsidP="00AB7F9D">
            <w:pPr>
              <w:pStyle w:val="Tabletextcentered"/>
              <w:spacing w:line="240" w:lineRule="auto"/>
              <w:contextualSpacing/>
              <w:rPr>
                <w:rFonts w:cstheme="minorHAnsi"/>
              </w:rPr>
            </w:pPr>
            <w:r w:rsidRPr="00154145">
              <w:rPr>
                <w:rFonts w:cstheme="minorHAnsi"/>
              </w:rPr>
              <w:t>-</w:t>
            </w:r>
          </w:p>
        </w:tc>
        <w:tc>
          <w:tcPr>
            <w:tcW w:w="0" w:type="pct"/>
            <w:vAlign w:val="center"/>
          </w:tcPr>
          <w:p w14:paraId="2F4D1DC8" w14:textId="6040D594" w:rsidR="00AB7F9D" w:rsidRPr="00154145" w:rsidRDefault="00AB7F9D" w:rsidP="00AB7F9D">
            <w:pPr>
              <w:pStyle w:val="Tabletextcentered"/>
              <w:spacing w:line="240" w:lineRule="auto"/>
              <w:contextualSpacing/>
              <w:rPr>
                <w:rFonts w:cstheme="minorHAnsi"/>
              </w:rPr>
            </w:pPr>
            <w:r w:rsidRPr="00154145">
              <w:rPr>
                <w:rFonts w:cstheme="minorHAnsi"/>
              </w:rPr>
              <w:t>-</w:t>
            </w:r>
          </w:p>
        </w:tc>
      </w:tr>
      <w:tr w:rsidR="000768E4" w:rsidRPr="00154145" w14:paraId="3953C82F" w14:textId="1E13BDBA" w:rsidTr="00AC2854">
        <w:trPr>
          <w:trHeight w:val="20"/>
          <w:jc w:val="center"/>
        </w:trPr>
        <w:tc>
          <w:tcPr>
            <w:tcW w:w="0" w:type="pct"/>
            <w:vAlign w:val="center"/>
          </w:tcPr>
          <w:p w14:paraId="08FA3262" w14:textId="35218B0F" w:rsidR="000768E4" w:rsidRPr="00154145" w:rsidRDefault="000768E4" w:rsidP="000768E4">
            <w:pPr>
              <w:spacing w:before="0" w:after="0" w:line="240" w:lineRule="auto"/>
              <w:contextualSpacing/>
              <w:rPr>
                <w:rFonts w:asciiTheme="minorHAnsi" w:hAnsiTheme="minorHAnsi" w:cstheme="minorHAnsi"/>
                <w:b/>
                <w:bCs/>
                <w:sz w:val="20"/>
                <w:szCs w:val="20"/>
              </w:rPr>
            </w:pPr>
            <w:r w:rsidRPr="00154145">
              <w:rPr>
                <w:rFonts w:asciiTheme="minorHAnsi" w:hAnsiTheme="minorHAnsi" w:cstheme="minorHAnsi"/>
                <w:b/>
                <w:bCs/>
                <w:sz w:val="20"/>
                <w:szCs w:val="20"/>
              </w:rPr>
              <w:lastRenderedPageBreak/>
              <w:t>Transport et circulation</w:t>
            </w:r>
          </w:p>
        </w:tc>
        <w:tc>
          <w:tcPr>
            <w:tcW w:w="0" w:type="pct"/>
            <w:vAlign w:val="center"/>
          </w:tcPr>
          <w:p w14:paraId="016B8AAF" w14:textId="5D696BDE" w:rsidR="000768E4" w:rsidRPr="00154145" w:rsidRDefault="00AB7F9D" w:rsidP="000768E4">
            <w:pPr>
              <w:pStyle w:val="Tabletextcentered"/>
              <w:spacing w:line="240" w:lineRule="auto"/>
              <w:contextualSpacing/>
              <w:rPr>
                <w:rFonts w:cstheme="minorHAnsi"/>
              </w:rPr>
            </w:pPr>
            <w:r w:rsidRPr="00154145">
              <w:rPr>
                <w:rFonts w:cstheme="minorHAnsi"/>
              </w:rPr>
              <w:t>-</w:t>
            </w:r>
          </w:p>
        </w:tc>
        <w:tc>
          <w:tcPr>
            <w:tcW w:w="0" w:type="pct"/>
            <w:vAlign w:val="center"/>
          </w:tcPr>
          <w:p w14:paraId="15B40E14" w14:textId="305BFA7E" w:rsidR="000768E4" w:rsidRPr="00154145" w:rsidRDefault="00AB7F9D" w:rsidP="000768E4">
            <w:pPr>
              <w:pStyle w:val="Tabletextcentered"/>
              <w:spacing w:line="240" w:lineRule="auto"/>
              <w:contextualSpacing/>
              <w:rPr>
                <w:rFonts w:cstheme="minorHAnsi"/>
              </w:rPr>
            </w:pPr>
            <w:r w:rsidRPr="00154145">
              <w:rPr>
                <w:rFonts w:cstheme="minorHAnsi"/>
              </w:rPr>
              <w:t>-</w:t>
            </w:r>
          </w:p>
        </w:tc>
        <w:tc>
          <w:tcPr>
            <w:tcW w:w="0" w:type="pct"/>
            <w:vAlign w:val="center"/>
          </w:tcPr>
          <w:p w14:paraId="378CD914" w14:textId="53A57B41" w:rsidR="000768E4" w:rsidRPr="00154145" w:rsidRDefault="00AB7F9D" w:rsidP="000768E4">
            <w:pPr>
              <w:pStyle w:val="Tabletextcentered"/>
              <w:spacing w:line="240" w:lineRule="auto"/>
              <w:contextualSpacing/>
              <w:rPr>
                <w:rFonts w:cstheme="minorHAnsi"/>
              </w:rPr>
            </w:pPr>
            <w:r w:rsidRPr="00154145">
              <w:rPr>
                <w:rFonts w:cstheme="minorHAnsi"/>
              </w:rPr>
              <w:t>-</w:t>
            </w:r>
          </w:p>
        </w:tc>
        <w:tc>
          <w:tcPr>
            <w:tcW w:w="0" w:type="pct"/>
            <w:vAlign w:val="center"/>
          </w:tcPr>
          <w:p w14:paraId="3170A201" w14:textId="0E765165" w:rsidR="000768E4" w:rsidRPr="00154145" w:rsidRDefault="00AB7F9D" w:rsidP="000768E4">
            <w:pPr>
              <w:pStyle w:val="Tabletextcentered"/>
              <w:spacing w:line="240" w:lineRule="auto"/>
              <w:contextualSpacing/>
              <w:rPr>
                <w:rFonts w:cstheme="minorHAnsi"/>
              </w:rPr>
            </w:pPr>
            <w:r w:rsidRPr="00154145">
              <w:rPr>
                <w:rFonts w:cstheme="minorHAnsi"/>
              </w:rPr>
              <w:t>-</w:t>
            </w:r>
          </w:p>
        </w:tc>
        <w:tc>
          <w:tcPr>
            <w:tcW w:w="0" w:type="pct"/>
            <w:vAlign w:val="center"/>
          </w:tcPr>
          <w:p w14:paraId="4903D854" w14:textId="6C1D4EEE" w:rsidR="000768E4" w:rsidRPr="00154145" w:rsidRDefault="00AB7F9D" w:rsidP="000768E4">
            <w:pPr>
              <w:pStyle w:val="Tabletextcentered"/>
              <w:spacing w:line="240" w:lineRule="auto"/>
              <w:contextualSpacing/>
              <w:rPr>
                <w:rFonts w:cstheme="minorHAnsi"/>
              </w:rPr>
            </w:pPr>
            <w:r w:rsidRPr="00154145">
              <w:rPr>
                <w:rFonts w:cstheme="minorHAnsi"/>
              </w:rPr>
              <w:t>-</w:t>
            </w:r>
          </w:p>
        </w:tc>
        <w:tc>
          <w:tcPr>
            <w:tcW w:w="0" w:type="pct"/>
            <w:vAlign w:val="center"/>
          </w:tcPr>
          <w:p w14:paraId="338EF1CC" w14:textId="4A3307FB" w:rsidR="000768E4" w:rsidRPr="00154145" w:rsidRDefault="00B72215" w:rsidP="000768E4">
            <w:pPr>
              <w:pStyle w:val="Tabletextcentered"/>
              <w:spacing w:line="240" w:lineRule="auto"/>
              <w:contextualSpacing/>
              <w:rPr>
                <w:rFonts w:cstheme="minorHAnsi"/>
              </w:rPr>
            </w:pPr>
            <w:r w:rsidRPr="00154145">
              <w:rPr>
                <w:rFonts w:cstheme="minorHAnsi"/>
              </w:rPr>
              <w:t>-</w:t>
            </w:r>
          </w:p>
        </w:tc>
        <w:tc>
          <w:tcPr>
            <w:tcW w:w="0" w:type="pct"/>
            <w:vAlign w:val="center"/>
          </w:tcPr>
          <w:p w14:paraId="0DDEEC70" w14:textId="357A3325" w:rsidR="000768E4" w:rsidRPr="00154145" w:rsidRDefault="00AB7F9D" w:rsidP="000768E4">
            <w:pPr>
              <w:pStyle w:val="Tabletextcentered"/>
              <w:spacing w:line="240" w:lineRule="auto"/>
              <w:contextualSpacing/>
              <w:rPr>
                <w:rFonts w:eastAsia="Book Antiqua" w:cstheme="minorHAnsi"/>
              </w:rPr>
            </w:pPr>
            <w:r w:rsidRPr="00154145">
              <w:rPr>
                <w:rFonts w:eastAsia="Book Antiqua" w:cstheme="minorHAnsi"/>
              </w:rPr>
              <w:t>0</w:t>
            </w:r>
          </w:p>
        </w:tc>
        <w:tc>
          <w:tcPr>
            <w:tcW w:w="0" w:type="pct"/>
            <w:vAlign w:val="center"/>
          </w:tcPr>
          <w:p w14:paraId="3C21498C" w14:textId="2C08F0A1" w:rsidR="000768E4" w:rsidRPr="00154145" w:rsidRDefault="00AB7F9D" w:rsidP="000768E4">
            <w:pPr>
              <w:pStyle w:val="Tabletextcentered"/>
              <w:spacing w:line="240" w:lineRule="auto"/>
              <w:contextualSpacing/>
              <w:rPr>
                <w:rFonts w:eastAsia="Book Antiqua" w:cstheme="minorHAnsi"/>
              </w:rPr>
            </w:pPr>
            <w:r w:rsidRPr="00154145">
              <w:rPr>
                <w:rFonts w:eastAsia="Book Antiqua" w:cstheme="minorHAnsi"/>
              </w:rPr>
              <w:t>+</w:t>
            </w:r>
          </w:p>
        </w:tc>
        <w:tc>
          <w:tcPr>
            <w:tcW w:w="0" w:type="pct"/>
            <w:vAlign w:val="center"/>
          </w:tcPr>
          <w:p w14:paraId="640F56ED" w14:textId="22C5F37D" w:rsidR="000768E4" w:rsidRPr="00154145" w:rsidRDefault="00B72215" w:rsidP="000768E4">
            <w:pPr>
              <w:pStyle w:val="Tabletextcentered"/>
              <w:spacing w:line="240" w:lineRule="auto"/>
              <w:contextualSpacing/>
              <w:rPr>
                <w:rFonts w:eastAsia="Book Antiqua" w:cstheme="minorHAnsi"/>
              </w:rPr>
            </w:pPr>
            <w:r w:rsidRPr="00154145">
              <w:rPr>
                <w:rFonts w:eastAsia="Book Antiqua" w:cstheme="minorHAnsi"/>
              </w:rPr>
              <w:t>0</w:t>
            </w:r>
          </w:p>
        </w:tc>
        <w:tc>
          <w:tcPr>
            <w:tcW w:w="0" w:type="pct"/>
            <w:vAlign w:val="center"/>
          </w:tcPr>
          <w:p w14:paraId="3B869E7C" w14:textId="1F1ACAF1" w:rsidR="000768E4" w:rsidRPr="00154145" w:rsidRDefault="00B72215" w:rsidP="000768E4">
            <w:pPr>
              <w:pStyle w:val="Tabletextcentered"/>
              <w:spacing w:line="240" w:lineRule="auto"/>
              <w:contextualSpacing/>
              <w:rPr>
                <w:rFonts w:eastAsia="Book Antiqua" w:cstheme="minorHAnsi"/>
              </w:rPr>
            </w:pPr>
            <w:r w:rsidRPr="00154145">
              <w:rPr>
                <w:rFonts w:eastAsia="Book Antiqua" w:cstheme="minorHAnsi"/>
              </w:rPr>
              <w:t>-</w:t>
            </w:r>
          </w:p>
        </w:tc>
        <w:tc>
          <w:tcPr>
            <w:tcW w:w="0" w:type="pct"/>
            <w:vAlign w:val="center"/>
          </w:tcPr>
          <w:p w14:paraId="367AD377" w14:textId="5F741A2B" w:rsidR="000768E4" w:rsidRPr="00154145" w:rsidRDefault="00AB7F9D" w:rsidP="000768E4">
            <w:pPr>
              <w:pStyle w:val="Tabletextcentered"/>
              <w:spacing w:line="240" w:lineRule="auto"/>
              <w:contextualSpacing/>
              <w:rPr>
                <w:rFonts w:cstheme="minorHAnsi"/>
              </w:rPr>
            </w:pPr>
            <w:r w:rsidRPr="00154145">
              <w:rPr>
                <w:rFonts w:cstheme="minorHAnsi"/>
              </w:rPr>
              <w:t>0</w:t>
            </w:r>
          </w:p>
        </w:tc>
        <w:tc>
          <w:tcPr>
            <w:tcW w:w="0" w:type="pct"/>
            <w:vAlign w:val="center"/>
          </w:tcPr>
          <w:p w14:paraId="210F3C99" w14:textId="041CBC1E" w:rsidR="000768E4" w:rsidRPr="00154145" w:rsidRDefault="00AB7F9D" w:rsidP="000768E4">
            <w:pPr>
              <w:pStyle w:val="Tabletextcentered"/>
              <w:spacing w:line="240" w:lineRule="auto"/>
              <w:contextualSpacing/>
              <w:rPr>
                <w:rFonts w:cstheme="minorHAnsi"/>
              </w:rPr>
            </w:pPr>
            <w:r w:rsidRPr="00154145">
              <w:rPr>
                <w:rFonts w:cstheme="minorHAnsi"/>
              </w:rPr>
              <w:t>0</w:t>
            </w:r>
          </w:p>
        </w:tc>
        <w:tc>
          <w:tcPr>
            <w:tcW w:w="0" w:type="pct"/>
            <w:vAlign w:val="center"/>
          </w:tcPr>
          <w:p w14:paraId="60946E2E" w14:textId="5F15B957" w:rsidR="000768E4" w:rsidRPr="00154145" w:rsidRDefault="00AB7F9D" w:rsidP="000768E4">
            <w:pPr>
              <w:pStyle w:val="Tabletextcentered"/>
              <w:spacing w:line="240" w:lineRule="auto"/>
              <w:contextualSpacing/>
              <w:rPr>
                <w:rFonts w:cstheme="minorHAnsi"/>
              </w:rPr>
            </w:pPr>
            <w:r w:rsidRPr="00154145">
              <w:rPr>
                <w:rFonts w:cstheme="minorHAnsi"/>
              </w:rPr>
              <w:t>-</w:t>
            </w:r>
          </w:p>
        </w:tc>
      </w:tr>
      <w:tr w:rsidR="000768E4" w:rsidRPr="00154145" w14:paraId="76F651CF" w14:textId="37882430" w:rsidTr="00AC2854">
        <w:trPr>
          <w:trHeight w:val="20"/>
          <w:jc w:val="center"/>
        </w:trPr>
        <w:tc>
          <w:tcPr>
            <w:tcW w:w="0" w:type="pct"/>
            <w:vAlign w:val="center"/>
          </w:tcPr>
          <w:p w14:paraId="5E337502" w14:textId="19FF163A" w:rsidR="000768E4" w:rsidRPr="00154145" w:rsidRDefault="000768E4" w:rsidP="000768E4">
            <w:pPr>
              <w:spacing w:before="0" w:after="0" w:line="240" w:lineRule="auto"/>
              <w:contextualSpacing/>
              <w:rPr>
                <w:rFonts w:asciiTheme="minorHAnsi" w:hAnsiTheme="minorHAnsi" w:cstheme="minorHAnsi"/>
                <w:b/>
                <w:bCs/>
                <w:sz w:val="20"/>
                <w:szCs w:val="20"/>
              </w:rPr>
            </w:pPr>
            <w:r w:rsidRPr="00154145">
              <w:rPr>
                <w:rFonts w:asciiTheme="minorHAnsi" w:hAnsiTheme="minorHAnsi" w:cstheme="minorHAnsi"/>
                <w:b/>
                <w:bCs/>
                <w:sz w:val="20"/>
                <w:szCs w:val="20"/>
              </w:rPr>
              <w:t>Rejets liquides et solides</w:t>
            </w:r>
          </w:p>
        </w:tc>
        <w:tc>
          <w:tcPr>
            <w:tcW w:w="0" w:type="pct"/>
            <w:vAlign w:val="center"/>
          </w:tcPr>
          <w:p w14:paraId="771CC7EE" w14:textId="7CA92A02" w:rsidR="000768E4" w:rsidRPr="00154145" w:rsidRDefault="00B72215" w:rsidP="000768E4">
            <w:pPr>
              <w:pStyle w:val="Tabletextcentered"/>
              <w:spacing w:line="240" w:lineRule="auto"/>
              <w:contextualSpacing/>
              <w:rPr>
                <w:rFonts w:cstheme="minorHAnsi"/>
              </w:rPr>
            </w:pPr>
            <w:r w:rsidRPr="00154145">
              <w:rPr>
                <w:rFonts w:cstheme="minorHAnsi"/>
              </w:rPr>
              <w:t>-</w:t>
            </w:r>
          </w:p>
        </w:tc>
        <w:tc>
          <w:tcPr>
            <w:tcW w:w="0" w:type="pct"/>
            <w:vAlign w:val="center"/>
          </w:tcPr>
          <w:p w14:paraId="262EFF7B" w14:textId="00BD88B7" w:rsidR="000768E4" w:rsidRPr="00154145" w:rsidRDefault="00B72215" w:rsidP="000768E4">
            <w:pPr>
              <w:pStyle w:val="Tabletextcentered"/>
              <w:spacing w:line="240" w:lineRule="auto"/>
              <w:contextualSpacing/>
              <w:rPr>
                <w:rFonts w:cstheme="minorHAnsi"/>
              </w:rPr>
            </w:pPr>
            <w:r w:rsidRPr="00154145">
              <w:rPr>
                <w:rFonts w:cstheme="minorHAnsi"/>
              </w:rPr>
              <w:t>0</w:t>
            </w:r>
          </w:p>
        </w:tc>
        <w:tc>
          <w:tcPr>
            <w:tcW w:w="0" w:type="pct"/>
            <w:vAlign w:val="center"/>
          </w:tcPr>
          <w:p w14:paraId="740BDBA3" w14:textId="02327CDF" w:rsidR="000768E4" w:rsidRPr="00154145" w:rsidRDefault="00B72215" w:rsidP="000768E4">
            <w:pPr>
              <w:pStyle w:val="Tabletextcentered"/>
              <w:spacing w:line="240" w:lineRule="auto"/>
              <w:contextualSpacing/>
              <w:rPr>
                <w:rFonts w:cstheme="minorHAnsi"/>
              </w:rPr>
            </w:pPr>
            <w:r w:rsidRPr="00154145">
              <w:rPr>
                <w:rFonts w:cstheme="minorHAnsi"/>
              </w:rPr>
              <w:t>-</w:t>
            </w:r>
          </w:p>
        </w:tc>
        <w:tc>
          <w:tcPr>
            <w:tcW w:w="0" w:type="pct"/>
            <w:vAlign w:val="center"/>
          </w:tcPr>
          <w:p w14:paraId="05F5E0C6" w14:textId="65ED26D1" w:rsidR="000768E4" w:rsidRPr="00154145" w:rsidRDefault="00B72215" w:rsidP="000768E4">
            <w:pPr>
              <w:pStyle w:val="Tabletextcentered"/>
              <w:spacing w:line="240" w:lineRule="auto"/>
              <w:contextualSpacing/>
              <w:rPr>
                <w:rFonts w:cstheme="minorHAnsi"/>
              </w:rPr>
            </w:pPr>
            <w:r w:rsidRPr="00154145">
              <w:rPr>
                <w:rFonts w:cstheme="minorHAnsi"/>
              </w:rPr>
              <w:t>-</w:t>
            </w:r>
          </w:p>
        </w:tc>
        <w:tc>
          <w:tcPr>
            <w:tcW w:w="0" w:type="pct"/>
            <w:vAlign w:val="center"/>
          </w:tcPr>
          <w:p w14:paraId="44BCB66A" w14:textId="55F700EB" w:rsidR="000768E4" w:rsidRPr="00154145" w:rsidRDefault="00B72215" w:rsidP="000768E4">
            <w:pPr>
              <w:pStyle w:val="Tabletextcentered"/>
              <w:spacing w:line="240" w:lineRule="auto"/>
              <w:contextualSpacing/>
              <w:rPr>
                <w:rFonts w:cstheme="minorHAnsi"/>
              </w:rPr>
            </w:pPr>
            <w:r w:rsidRPr="00154145">
              <w:rPr>
                <w:rFonts w:cstheme="minorHAnsi"/>
              </w:rPr>
              <w:t>-</w:t>
            </w:r>
          </w:p>
        </w:tc>
        <w:tc>
          <w:tcPr>
            <w:tcW w:w="0" w:type="pct"/>
            <w:vAlign w:val="center"/>
          </w:tcPr>
          <w:p w14:paraId="16AED9FA" w14:textId="7FEB128E" w:rsidR="000768E4" w:rsidRPr="00154145" w:rsidRDefault="00B72215" w:rsidP="000768E4">
            <w:pPr>
              <w:pStyle w:val="Tabletextcentered"/>
              <w:spacing w:line="240" w:lineRule="auto"/>
              <w:contextualSpacing/>
              <w:rPr>
                <w:rFonts w:cstheme="minorHAnsi"/>
              </w:rPr>
            </w:pPr>
            <w:r w:rsidRPr="00154145">
              <w:rPr>
                <w:rFonts w:cstheme="minorHAnsi"/>
              </w:rPr>
              <w:t>-</w:t>
            </w:r>
          </w:p>
        </w:tc>
        <w:tc>
          <w:tcPr>
            <w:tcW w:w="0" w:type="pct"/>
            <w:vAlign w:val="center"/>
          </w:tcPr>
          <w:p w14:paraId="4CECFAA6" w14:textId="7833D3F5" w:rsidR="000768E4" w:rsidRPr="00154145" w:rsidRDefault="00B72215" w:rsidP="000768E4">
            <w:pPr>
              <w:pStyle w:val="Tabletextcentered"/>
              <w:spacing w:line="240" w:lineRule="auto"/>
              <w:contextualSpacing/>
              <w:rPr>
                <w:rFonts w:eastAsia="Book Antiqua" w:cstheme="minorHAnsi"/>
              </w:rPr>
            </w:pPr>
            <w:r w:rsidRPr="00154145">
              <w:rPr>
                <w:rFonts w:eastAsia="Book Antiqua" w:cstheme="minorHAnsi"/>
              </w:rPr>
              <w:t>0</w:t>
            </w:r>
          </w:p>
        </w:tc>
        <w:tc>
          <w:tcPr>
            <w:tcW w:w="0" w:type="pct"/>
            <w:vAlign w:val="center"/>
          </w:tcPr>
          <w:p w14:paraId="3A58A04D" w14:textId="7757604D" w:rsidR="000768E4" w:rsidRPr="00154145" w:rsidRDefault="00B72215" w:rsidP="000768E4">
            <w:pPr>
              <w:pStyle w:val="Tabletextcentered"/>
              <w:spacing w:line="240" w:lineRule="auto"/>
              <w:contextualSpacing/>
              <w:rPr>
                <w:rFonts w:eastAsia="Book Antiqua" w:cstheme="minorHAnsi"/>
              </w:rPr>
            </w:pPr>
            <w:r w:rsidRPr="00154145">
              <w:rPr>
                <w:rFonts w:eastAsia="Book Antiqua" w:cstheme="minorHAnsi"/>
              </w:rPr>
              <w:t>0</w:t>
            </w:r>
          </w:p>
        </w:tc>
        <w:tc>
          <w:tcPr>
            <w:tcW w:w="0" w:type="pct"/>
            <w:vAlign w:val="center"/>
          </w:tcPr>
          <w:p w14:paraId="750A7652" w14:textId="6E166561" w:rsidR="000768E4" w:rsidRPr="00154145" w:rsidRDefault="00B72215" w:rsidP="000768E4">
            <w:pPr>
              <w:pStyle w:val="Tabletextcentered"/>
              <w:spacing w:line="240" w:lineRule="auto"/>
              <w:contextualSpacing/>
              <w:rPr>
                <w:rFonts w:eastAsia="Book Antiqua" w:cstheme="minorHAnsi"/>
              </w:rPr>
            </w:pPr>
            <w:r w:rsidRPr="00154145">
              <w:rPr>
                <w:rFonts w:eastAsia="Book Antiqua" w:cstheme="minorHAnsi"/>
              </w:rPr>
              <w:t>-</w:t>
            </w:r>
          </w:p>
        </w:tc>
        <w:tc>
          <w:tcPr>
            <w:tcW w:w="0" w:type="pct"/>
            <w:vAlign w:val="center"/>
          </w:tcPr>
          <w:p w14:paraId="2D6A2B84" w14:textId="6C3C1A5E" w:rsidR="000768E4" w:rsidRPr="00154145" w:rsidRDefault="00B72215" w:rsidP="000768E4">
            <w:pPr>
              <w:pStyle w:val="Tabletextcentered"/>
              <w:spacing w:line="240" w:lineRule="auto"/>
              <w:contextualSpacing/>
              <w:rPr>
                <w:rFonts w:eastAsia="Book Antiqua" w:cstheme="minorHAnsi"/>
              </w:rPr>
            </w:pPr>
            <w:r w:rsidRPr="00154145">
              <w:rPr>
                <w:rFonts w:eastAsia="Book Antiqua" w:cstheme="minorHAnsi"/>
              </w:rPr>
              <w:t>-</w:t>
            </w:r>
          </w:p>
        </w:tc>
        <w:tc>
          <w:tcPr>
            <w:tcW w:w="0" w:type="pct"/>
            <w:vAlign w:val="center"/>
          </w:tcPr>
          <w:p w14:paraId="5D142704" w14:textId="58CC8A26" w:rsidR="000768E4" w:rsidRPr="00154145" w:rsidRDefault="00B72215" w:rsidP="000768E4">
            <w:pPr>
              <w:pStyle w:val="Tabletextcentered"/>
              <w:spacing w:line="240" w:lineRule="auto"/>
              <w:contextualSpacing/>
              <w:rPr>
                <w:rFonts w:cstheme="minorHAnsi"/>
              </w:rPr>
            </w:pPr>
            <w:r w:rsidRPr="00154145">
              <w:rPr>
                <w:rFonts w:cstheme="minorHAnsi"/>
              </w:rPr>
              <w:t>0</w:t>
            </w:r>
          </w:p>
        </w:tc>
        <w:tc>
          <w:tcPr>
            <w:tcW w:w="0" w:type="pct"/>
            <w:vAlign w:val="center"/>
          </w:tcPr>
          <w:p w14:paraId="6929A9E7" w14:textId="39DCB357" w:rsidR="000768E4" w:rsidRPr="00154145" w:rsidRDefault="00B72215" w:rsidP="000768E4">
            <w:pPr>
              <w:pStyle w:val="Tabletextcentered"/>
              <w:spacing w:line="240" w:lineRule="auto"/>
              <w:contextualSpacing/>
              <w:rPr>
                <w:rFonts w:cstheme="minorHAnsi"/>
              </w:rPr>
            </w:pPr>
            <w:r w:rsidRPr="00154145">
              <w:rPr>
                <w:rFonts w:cstheme="minorHAnsi"/>
              </w:rPr>
              <w:t>-</w:t>
            </w:r>
          </w:p>
        </w:tc>
        <w:tc>
          <w:tcPr>
            <w:tcW w:w="0" w:type="pct"/>
            <w:vAlign w:val="center"/>
          </w:tcPr>
          <w:p w14:paraId="7E6800DE" w14:textId="61E852CB" w:rsidR="000768E4" w:rsidRPr="00154145" w:rsidRDefault="00B72215" w:rsidP="000768E4">
            <w:pPr>
              <w:pStyle w:val="Tabletextcentered"/>
              <w:spacing w:line="240" w:lineRule="auto"/>
              <w:contextualSpacing/>
              <w:rPr>
                <w:rFonts w:cstheme="minorHAnsi"/>
              </w:rPr>
            </w:pPr>
            <w:r w:rsidRPr="00154145">
              <w:rPr>
                <w:rFonts w:cstheme="minorHAnsi"/>
              </w:rPr>
              <w:t>0</w:t>
            </w:r>
          </w:p>
        </w:tc>
      </w:tr>
      <w:tr w:rsidR="000768E4" w:rsidRPr="00154145" w14:paraId="3975DA29" w14:textId="0B6CA5C7" w:rsidTr="00AC2854">
        <w:trPr>
          <w:trHeight w:val="20"/>
          <w:jc w:val="center"/>
        </w:trPr>
        <w:tc>
          <w:tcPr>
            <w:tcW w:w="0" w:type="pct"/>
            <w:vAlign w:val="center"/>
          </w:tcPr>
          <w:p w14:paraId="62AD7A7E" w14:textId="374B097D" w:rsidR="000768E4" w:rsidRPr="00154145" w:rsidRDefault="000768E4" w:rsidP="000768E4">
            <w:pPr>
              <w:spacing w:before="0" w:after="0" w:line="240" w:lineRule="auto"/>
              <w:contextualSpacing/>
              <w:rPr>
                <w:rFonts w:asciiTheme="minorHAnsi" w:hAnsiTheme="minorHAnsi" w:cstheme="minorHAnsi"/>
                <w:b/>
                <w:bCs/>
                <w:sz w:val="20"/>
                <w:szCs w:val="20"/>
              </w:rPr>
            </w:pPr>
            <w:r w:rsidRPr="00154145">
              <w:rPr>
                <w:rFonts w:asciiTheme="minorHAnsi" w:hAnsiTheme="minorHAnsi" w:cstheme="minorHAnsi"/>
                <w:b/>
                <w:bCs/>
                <w:sz w:val="20"/>
                <w:szCs w:val="20"/>
              </w:rPr>
              <w:t>Démolition</w:t>
            </w:r>
          </w:p>
        </w:tc>
        <w:tc>
          <w:tcPr>
            <w:tcW w:w="0" w:type="pct"/>
            <w:vAlign w:val="center"/>
          </w:tcPr>
          <w:p w14:paraId="34411D33" w14:textId="62D8DAC8" w:rsidR="000768E4" w:rsidRPr="00154145" w:rsidRDefault="00B72215" w:rsidP="000768E4">
            <w:pPr>
              <w:pStyle w:val="Tabletextcentered"/>
              <w:spacing w:line="240" w:lineRule="auto"/>
              <w:contextualSpacing/>
              <w:rPr>
                <w:rFonts w:cstheme="minorHAnsi"/>
              </w:rPr>
            </w:pPr>
            <w:r w:rsidRPr="00154145">
              <w:rPr>
                <w:rFonts w:cstheme="minorHAnsi"/>
              </w:rPr>
              <w:t>-</w:t>
            </w:r>
          </w:p>
        </w:tc>
        <w:tc>
          <w:tcPr>
            <w:tcW w:w="0" w:type="pct"/>
            <w:vAlign w:val="center"/>
          </w:tcPr>
          <w:p w14:paraId="4109F6CF" w14:textId="344E241E" w:rsidR="000768E4" w:rsidRPr="00154145" w:rsidRDefault="00B72215" w:rsidP="000768E4">
            <w:pPr>
              <w:pStyle w:val="Tabletextcentered"/>
              <w:spacing w:line="240" w:lineRule="auto"/>
              <w:contextualSpacing/>
              <w:rPr>
                <w:rFonts w:eastAsia="Book Antiqua" w:cstheme="minorHAnsi"/>
              </w:rPr>
            </w:pPr>
            <w:r w:rsidRPr="00154145">
              <w:rPr>
                <w:rFonts w:eastAsia="Book Antiqua" w:cstheme="minorHAnsi"/>
              </w:rPr>
              <w:t>-</w:t>
            </w:r>
          </w:p>
        </w:tc>
        <w:tc>
          <w:tcPr>
            <w:tcW w:w="0" w:type="pct"/>
            <w:vAlign w:val="center"/>
          </w:tcPr>
          <w:p w14:paraId="364E2F67" w14:textId="34CC573C" w:rsidR="000768E4" w:rsidRPr="00154145" w:rsidRDefault="00B72215" w:rsidP="000768E4">
            <w:pPr>
              <w:pStyle w:val="Tabletextcentered"/>
              <w:spacing w:line="240" w:lineRule="auto"/>
              <w:contextualSpacing/>
              <w:rPr>
                <w:rFonts w:eastAsia="Book Antiqua" w:cstheme="minorHAnsi"/>
              </w:rPr>
            </w:pPr>
            <w:r w:rsidRPr="00154145">
              <w:rPr>
                <w:rFonts w:eastAsia="Book Antiqua" w:cstheme="minorHAnsi"/>
              </w:rPr>
              <w:t>-</w:t>
            </w:r>
          </w:p>
        </w:tc>
        <w:tc>
          <w:tcPr>
            <w:tcW w:w="0" w:type="pct"/>
            <w:vAlign w:val="center"/>
          </w:tcPr>
          <w:p w14:paraId="707D51D7" w14:textId="1E3B6573" w:rsidR="000768E4" w:rsidRPr="00154145" w:rsidRDefault="00B72215" w:rsidP="000768E4">
            <w:pPr>
              <w:pStyle w:val="Tabletextcentered"/>
              <w:spacing w:line="240" w:lineRule="auto"/>
              <w:contextualSpacing/>
              <w:rPr>
                <w:rFonts w:eastAsia="Book Antiqua" w:cstheme="minorHAnsi"/>
              </w:rPr>
            </w:pPr>
            <w:r w:rsidRPr="00154145">
              <w:rPr>
                <w:rFonts w:eastAsia="Book Antiqua" w:cstheme="minorHAnsi"/>
              </w:rPr>
              <w:t>0</w:t>
            </w:r>
          </w:p>
        </w:tc>
        <w:tc>
          <w:tcPr>
            <w:tcW w:w="0" w:type="pct"/>
            <w:vAlign w:val="center"/>
          </w:tcPr>
          <w:p w14:paraId="12B993A1" w14:textId="67AFBFA5" w:rsidR="000768E4" w:rsidRPr="00154145" w:rsidRDefault="00B72215" w:rsidP="000768E4">
            <w:pPr>
              <w:pStyle w:val="Tabletextcentered"/>
              <w:spacing w:line="240" w:lineRule="auto"/>
              <w:contextualSpacing/>
              <w:rPr>
                <w:rFonts w:cstheme="minorHAnsi"/>
              </w:rPr>
            </w:pPr>
            <w:r w:rsidRPr="00154145">
              <w:rPr>
                <w:rFonts w:cstheme="minorHAnsi"/>
              </w:rPr>
              <w:t>0</w:t>
            </w:r>
          </w:p>
        </w:tc>
        <w:tc>
          <w:tcPr>
            <w:tcW w:w="0" w:type="pct"/>
            <w:vAlign w:val="center"/>
          </w:tcPr>
          <w:p w14:paraId="746137F7" w14:textId="5C581919" w:rsidR="000768E4" w:rsidRPr="00154145" w:rsidRDefault="00B72215" w:rsidP="000768E4">
            <w:pPr>
              <w:pStyle w:val="Tabletextcentered"/>
              <w:spacing w:line="240" w:lineRule="auto"/>
              <w:contextualSpacing/>
              <w:rPr>
                <w:rFonts w:cstheme="minorHAnsi"/>
              </w:rPr>
            </w:pPr>
            <w:r w:rsidRPr="00154145">
              <w:rPr>
                <w:rFonts w:cstheme="minorHAnsi"/>
              </w:rPr>
              <w:t>-</w:t>
            </w:r>
          </w:p>
        </w:tc>
        <w:tc>
          <w:tcPr>
            <w:tcW w:w="0" w:type="pct"/>
            <w:vAlign w:val="center"/>
          </w:tcPr>
          <w:p w14:paraId="50ACEC93" w14:textId="3AC7AD19" w:rsidR="000768E4" w:rsidRPr="00154145" w:rsidRDefault="00B72215" w:rsidP="000768E4">
            <w:pPr>
              <w:pStyle w:val="Tabletextcentered"/>
              <w:spacing w:line="240" w:lineRule="auto"/>
              <w:contextualSpacing/>
              <w:rPr>
                <w:rFonts w:cstheme="minorHAnsi"/>
              </w:rPr>
            </w:pPr>
            <w:r w:rsidRPr="00154145">
              <w:rPr>
                <w:rFonts w:cstheme="minorHAnsi"/>
              </w:rPr>
              <w:t>0</w:t>
            </w:r>
          </w:p>
        </w:tc>
        <w:tc>
          <w:tcPr>
            <w:tcW w:w="0" w:type="pct"/>
            <w:vAlign w:val="center"/>
          </w:tcPr>
          <w:p w14:paraId="14FCA855" w14:textId="194869D5" w:rsidR="000768E4" w:rsidRPr="00154145" w:rsidRDefault="00B72215" w:rsidP="000768E4">
            <w:pPr>
              <w:pStyle w:val="Tabletextcentered"/>
              <w:spacing w:line="240" w:lineRule="auto"/>
              <w:contextualSpacing/>
              <w:rPr>
                <w:rFonts w:cstheme="minorHAnsi"/>
              </w:rPr>
            </w:pPr>
            <w:r w:rsidRPr="00154145">
              <w:rPr>
                <w:rFonts w:cstheme="minorHAnsi"/>
              </w:rPr>
              <w:t>0</w:t>
            </w:r>
          </w:p>
        </w:tc>
        <w:tc>
          <w:tcPr>
            <w:tcW w:w="0" w:type="pct"/>
            <w:vAlign w:val="center"/>
          </w:tcPr>
          <w:p w14:paraId="3BD2920E" w14:textId="0A10CA61" w:rsidR="000768E4" w:rsidRPr="00154145" w:rsidRDefault="00B72215" w:rsidP="000768E4">
            <w:pPr>
              <w:pStyle w:val="Tabletextcentered"/>
              <w:spacing w:line="240" w:lineRule="auto"/>
              <w:contextualSpacing/>
              <w:rPr>
                <w:rFonts w:eastAsia="Book Antiqua" w:cstheme="minorHAnsi"/>
              </w:rPr>
            </w:pPr>
            <w:r w:rsidRPr="00154145">
              <w:rPr>
                <w:rFonts w:eastAsia="Book Antiqua" w:cstheme="minorHAnsi"/>
              </w:rPr>
              <w:t>0</w:t>
            </w:r>
          </w:p>
        </w:tc>
        <w:tc>
          <w:tcPr>
            <w:tcW w:w="0" w:type="pct"/>
            <w:vAlign w:val="center"/>
          </w:tcPr>
          <w:p w14:paraId="183A0060" w14:textId="41308EFB" w:rsidR="000768E4" w:rsidRPr="00154145" w:rsidRDefault="00B72215" w:rsidP="000768E4">
            <w:pPr>
              <w:pStyle w:val="Tabletextcentered"/>
              <w:spacing w:line="240" w:lineRule="auto"/>
              <w:contextualSpacing/>
              <w:rPr>
                <w:rFonts w:eastAsia="Book Antiqua" w:cstheme="minorHAnsi"/>
              </w:rPr>
            </w:pPr>
            <w:r w:rsidRPr="00154145">
              <w:rPr>
                <w:rFonts w:eastAsia="Book Antiqua" w:cstheme="minorHAnsi"/>
              </w:rPr>
              <w:t>0</w:t>
            </w:r>
          </w:p>
        </w:tc>
        <w:tc>
          <w:tcPr>
            <w:tcW w:w="0" w:type="pct"/>
            <w:vAlign w:val="center"/>
          </w:tcPr>
          <w:p w14:paraId="042D1BD3" w14:textId="7EE9FF4F" w:rsidR="000768E4" w:rsidRPr="00154145" w:rsidRDefault="00B72215" w:rsidP="000768E4">
            <w:pPr>
              <w:pStyle w:val="Tabletextcentered"/>
              <w:spacing w:line="240" w:lineRule="auto"/>
              <w:contextualSpacing/>
              <w:rPr>
                <w:rFonts w:cstheme="minorHAnsi"/>
                <w:w w:val="99"/>
              </w:rPr>
            </w:pPr>
            <w:r w:rsidRPr="00154145">
              <w:rPr>
                <w:rFonts w:cstheme="minorHAnsi"/>
                <w:w w:val="99"/>
              </w:rPr>
              <w:t>0</w:t>
            </w:r>
          </w:p>
        </w:tc>
        <w:tc>
          <w:tcPr>
            <w:tcW w:w="0" w:type="pct"/>
            <w:vAlign w:val="center"/>
          </w:tcPr>
          <w:p w14:paraId="519122ED" w14:textId="71F46884" w:rsidR="000768E4" w:rsidRPr="00154145" w:rsidRDefault="00B72215" w:rsidP="000768E4">
            <w:pPr>
              <w:pStyle w:val="Tabletextcentered"/>
              <w:spacing w:line="240" w:lineRule="auto"/>
              <w:contextualSpacing/>
              <w:rPr>
                <w:rFonts w:eastAsia="Book Antiqua" w:cstheme="minorHAnsi"/>
              </w:rPr>
            </w:pPr>
            <w:r w:rsidRPr="00154145">
              <w:rPr>
                <w:rFonts w:eastAsia="Book Antiqua" w:cstheme="minorHAnsi"/>
              </w:rPr>
              <w:t>0</w:t>
            </w:r>
          </w:p>
        </w:tc>
        <w:tc>
          <w:tcPr>
            <w:tcW w:w="0" w:type="pct"/>
            <w:vAlign w:val="center"/>
          </w:tcPr>
          <w:p w14:paraId="47F5BD8E" w14:textId="28BD2E62" w:rsidR="000768E4" w:rsidRPr="00154145" w:rsidRDefault="00B72215" w:rsidP="000768E4">
            <w:pPr>
              <w:pStyle w:val="Tabletextcentered"/>
              <w:spacing w:line="240" w:lineRule="auto"/>
              <w:contextualSpacing/>
              <w:rPr>
                <w:rFonts w:cstheme="minorHAnsi"/>
              </w:rPr>
            </w:pPr>
            <w:r w:rsidRPr="00154145">
              <w:rPr>
                <w:rFonts w:cstheme="minorHAnsi"/>
              </w:rPr>
              <w:t>-</w:t>
            </w:r>
          </w:p>
        </w:tc>
      </w:tr>
    </w:tbl>
    <w:p w14:paraId="793F2E1C" w14:textId="77777777" w:rsidR="00AA4F92" w:rsidRPr="00046D4C" w:rsidRDefault="00AA4F92" w:rsidP="007324AD">
      <w:pPr>
        <w:pStyle w:val="Corpsdetexte"/>
        <w:spacing w:after="0" w:line="240" w:lineRule="auto"/>
      </w:pPr>
      <w:r w:rsidRPr="00B72215">
        <w:rPr>
          <w:b/>
          <w:bCs/>
        </w:rPr>
        <w:t>+</w:t>
      </w:r>
      <w:r w:rsidRPr="00046D4C">
        <w:tab/>
        <w:t>: Impact positif</w:t>
      </w:r>
    </w:p>
    <w:p w14:paraId="07D8D280" w14:textId="77777777" w:rsidR="00AA4F92" w:rsidRPr="00046D4C" w:rsidRDefault="00AA4F92" w:rsidP="007324AD">
      <w:pPr>
        <w:pStyle w:val="Corpsdetexte"/>
        <w:spacing w:after="0" w:line="240" w:lineRule="auto"/>
      </w:pPr>
      <w:r w:rsidRPr="00B72215">
        <w:rPr>
          <w:b/>
          <w:bCs/>
          <w:sz w:val="24"/>
        </w:rPr>
        <w:t>-</w:t>
      </w:r>
      <w:r w:rsidRPr="00046D4C">
        <w:tab/>
        <w:t>: Impact Négatif</w:t>
      </w:r>
    </w:p>
    <w:p w14:paraId="5293F22E" w14:textId="77777777" w:rsidR="00CB657B" w:rsidRDefault="00AA4F92" w:rsidP="007324AD">
      <w:pPr>
        <w:pStyle w:val="Corpsdetexte"/>
        <w:spacing w:after="0" w:line="240" w:lineRule="auto"/>
        <w:rPr>
          <w:lang w:val="fr-FR"/>
        </w:rPr>
      </w:pPr>
      <w:r w:rsidRPr="00B72215">
        <w:rPr>
          <w:b/>
          <w:bCs/>
        </w:rPr>
        <w:t>0</w:t>
      </w:r>
      <w:r w:rsidRPr="00046D4C">
        <w:tab/>
        <w:t>: pas d’impac</w:t>
      </w:r>
      <w:r w:rsidR="00CB657B">
        <w:rPr>
          <w:lang w:val="fr-FR"/>
        </w:rPr>
        <w:t>t</w:t>
      </w:r>
    </w:p>
    <w:p w14:paraId="42D826B5" w14:textId="77777777" w:rsidR="00CB657B" w:rsidRDefault="00CB657B" w:rsidP="00CB657B">
      <w:pPr>
        <w:pStyle w:val="Corpsdetexte"/>
        <w:spacing w:after="0" w:line="240" w:lineRule="auto"/>
        <w:rPr>
          <w:lang w:val="fr-FR"/>
        </w:rPr>
        <w:sectPr w:rsidR="00CB657B" w:rsidSect="00FA5BC9">
          <w:headerReference w:type="default" r:id="rId95"/>
          <w:footerReference w:type="default" r:id="rId96"/>
          <w:pgSz w:w="16838" w:h="11906" w:orient="landscape"/>
          <w:pgMar w:top="1418" w:right="1418" w:bottom="1418" w:left="1276" w:header="567" w:footer="510" w:gutter="0"/>
          <w:cols w:space="708"/>
          <w:docGrid w:linePitch="360"/>
        </w:sectPr>
      </w:pPr>
    </w:p>
    <w:p w14:paraId="46269879" w14:textId="5412C0D6" w:rsidR="00CB657B" w:rsidRDefault="00854043" w:rsidP="00854043">
      <w:pPr>
        <w:pStyle w:val="Title2"/>
      </w:pPr>
      <w:bookmarkStart w:id="393" w:name="_Toc181619030"/>
      <w:bookmarkStart w:id="394" w:name="_Toc215131873"/>
      <w:r>
        <w:lastRenderedPageBreak/>
        <w:t>Evaluation des impacts</w:t>
      </w:r>
      <w:r w:rsidR="00A00CD4">
        <w:t xml:space="preserve"> environnementaux et sociaux</w:t>
      </w:r>
      <w:bookmarkEnd w:id="393"/>
      <w:bookmarkEnd w:id="394"/>
    </w:p>
    <w:p w14:paraId="36506E7A" w14:textId="5C034317" w:rsidR="00854043" w:rsidRDefault="002A654A" w:rsidP="00854043">
      <w:pPr>
        <w:pStyle w:val="Title3"/>
      </w:pPr>
      <w:bookmarkStart w:id="395" w:name="_Hlk210302477"/>
      <w:bookmarkStart w:id="396" w:name="_Toc215131874"/>
      <w:r>
        <w:t>Qualité de l’air</w:t>
      </w:r>
      <w:bookmarkEnd w:id="396"/>
    </w:p>
    <w:p w14:paraId="4D8A96E1" w14:textId="005747ED" w:rsidR="002D65D6" w:rsidRDefault="002D65D6" w:rsidP="002D65D6">
      <w:pPr>
        <w:pStyle w:val="Title4"/>
      </w:pPr>
      <w:r>
        <w:t xml:space="preserve">Rappel du contexte locale et conditions de dispersion </w:t>
      </w:r>
    </w:p>
    <w:p w14:paraId="04282AF1" w14:textId="1404035F" w:rsidR="00B3688B" w:rsidRPr="00BA3146" w:rsidRDefault="00B3688B" w:rsidP="00B3688B">
      <w:r w:rsidRPr="00B3688B">
        <w:t xml:space="preserve">La qualité de l’air dans l’agglomération de Marrakech-Ménara est régulièrement marquée par des épisodes de poussières désertiques. Par exemple, les mesures disponibles montrent que les concentrations de particules PM₁₀ peuvent varier sensiblement : les moyennes urbaines observées à Marrakech tournent autour de </w:t>
      </w:r>
      <w:r w:rsidRPr="00BA3146">
        <w:t>50 µg/m³ voire davantage dans les périodes affectées par des apports massifs de poussière saharienne.</w:t>
      </w:r>
    </w:p>
    <w:p w14:paraId="6D28689B" w14:textId="2A41C10D" w:rsidR="002D65D6" w:rsidRDefault="00BA3146" w:rsidP="00BA3146">
      <w:r w:rsidRPr="00BA3146">
        <w:t>En conditions « normales », les valeurs relevées pour la zone sont bien inférieures aux pics de poussière : par exemple, les données en temps réel à Marrakech indiquent des valeurs de PM₁₀ d’environ 24</w:t>
      </w:r>
      <w:r w:rsidRPr="00BA3146">
        <w:rPr>
          <w:b/>
          <w:bCs/>
        </w:rPr>
        <w:t xml:space="preserve"> </w:t>
      </w:r>
      <w:r w:rsidRPr="00BA3146">
        <w:t>µg/m³ et de PM₂.₅ d’environ 5 µg/m³.</w:t>
      </w:r>
    </w:p>
    <w:p w14:paraId="5A1608EA" w14:textId="449E5731" w:rsidR="00BA3146" w:rsidRDefault="00816503" w:rsidP="00816503">
      <w:r w:rsidRPr="00816503">
        <w:t>Les gaz polluants tels que le dioxyde d’azote (NO₂) ou le dioxyde de soufre (SO₂) restent généralement faibles dans ce secteur, ce qui reflète la faiblesse relative des sources industrielles majeures dans la commune. Par exemple, NO₂ est relevé à environ 10 ppb et SO₂ à 1 ppb dans les relevés urbains.</w:t>
      </w:r>
    </w:p>
    <w:p w14:paraId="2051047F" w14:textId="689F50BC" w:rsidR="00EA4495" w:rsidRPr="00EA4495" w:rsidRDefault="00EA4495" w:rsidP="00EA4495">
      <w:r w:rsidRPr="00EA4495">
        <w:t>L’ozone (O₃) présente un niveau modéré mais il peut devenir actif lors des journées bien ensoleillées, ce qui n’est pas rare dans cette région à fort rayonnement solaire.</w:t>
      </w:r>
    </w:p>
    <w:p w14:paraId="5B58B987" w14:textId="7BC09473" w:rsidR="00EA4495" w:rsidRPr="00EA4495" w:rsidRDefault="00EA4495" w:rsidP="00EA4495">
      <w:r w:rsidRPr="00EA4495">
        <w:t>La dispersion des particules et polluants est fortement conditionnée par le vent. Dans la zone de Marrakech-Ménara, les vents dominants soufflent du nord et du nord-ouest, ce qui oriente la dispersion vers le sud et le sud-est de l’aéroport (et des zones urbaines périphériques). Ces conditions de vent, couplées aux apports de poussière désertique, peuvent conduire à des pics de concentration plus élevés dans les hameaux ou zones d’habitat sensibles situées en exposition ouest/sud-est vis-à-vis de l’aéroport.</w:t>
      </w:r>
    </w:p>
    <w:p w14:paraId="04569E5F" w14:textId="75D255B8" w:rsidR="00816503" w:rsidRPr="002D65D6" w:rsidRDefault="00EA4495" w:rsidP="00EA4495">
      <w:r w:rsidRPr="00EA4495">
        <w:t>En conséquence, bien que la qualité de l’air reste en général satisfaisante en période « normale », un suivi renforcé est souhaitable pour détecter les épisodes de poussière ou de concentration de particules et prendre des mesures préventives en faveur des populations les plus vulnérables.</w:t>
      </w:r>
    </w:p>
    <w:p w14:paraId="489454CA" w14:textId="77E0BDC4" w:rsidR="009352C6" w:rsidRDefault="009352C6" w:rsidP="009352C6">
      <w:pPr>
        <w:pStyle w:val="Title4"/>
        <w:tabs>
          <w:tab w:val="clear" w:pos="1134"/>
          <w:tab w:val="left" w:pos="851"/>
        </w:tabs>
      </w:pPr>
      <w:bookmarkStart w:id="397" w:name="_Hlk212060799"/>
      <w:r>
        <w:t xml:space="preserve">Phase de construction </w:t>
      </w:r>
    </w:p>
    <w:p w14:paraId="3B36E159" w14:textId="533CAD52" w:rsidR="002D65D6" w:rsidRDefault="002D65D6" w:rsidP="004637C7">
      <w:pPr>
        <w:pStyle w:val="Title5"/>
      </w:pPr>
      <w:r>
        <w:t xml:space="preserve">Identification et évaluation des impacts </w:t>
      </w:r>
      <w:r w:rsidR="00321D92">
        <w:t>et risques</w:t>
      </w:r>
    </w:p>
    <w:p w14:paraId="78C2C4BD" w14:textId="133ED0EC" w:rsidR="002D65D6" w:rsidRPr="00335F54" w:rsidRDefault="002D65D6" w:rsidP="004637C7">
      <w:r w:rsidRPr="002D65D6">
        <w:t xml:space="preserve">Les activités prévues dans le cadre de l’extension </w:t>
      </w:r>
      <w:r w:rsidR="0009632F">
        <w:t>du parking avions et équipements annexes de l’aéroport d</w:t>
      </w:r>
      <w:r w:rsidR="00EA4495">
        <w:t xml:space="preserve">e Marrakech Ménara </w:t>
      </w:r>
      <w:r w:rsidRPr="002D65D6">
        <w:t>sont susceptibles de générer plusieurs types d’émissions atmosphériques au cours de la phase de construction</w:t>
      </w:r>
      <w:r>
        <w:t xml:space="preserve"> et démantèlement</w:t>
      </w:r>
      <w:r w:rsidRPr="002D65D6">
        <w:t>. Les principales sources concernent la démolition des bâtiments existants, les travaux de terrassement et de stockage, la circulation des engins et camions, l’utilisation d’équipements mécaniques ainsi que le stockage de produits pétroliers et solvants.</w:t>
      </w:r>
    </w:p>
    <w:p w14:paraId="7958113D" w14:textId="69E3BB7A" w:rsidR="002D65D6" w:rsidRDefault="003B307E" w:rsidP="0001633E">
      <w:pPr>
        <w:pStyle w:val="AltTitle2"/>
        <w:numPr>
          <w:ilvl w:val="0"/>
          <w:numId w:val="106"/>
        </w:numPr>
      </w:pPr>
      <w:r w:rsidRPr="003B307E">
        <w:t>Émission &amp; envol de poussières (PM</w:t>
      </w:r>
      <w:r w:rsidRPr="003B307E">
        <w:rPr>
          <w:rFonts w:ascii="Cambria Math" w:hAnsi="Cambria Math" w:cs="Cambria Math"/>
        </w:rPr>
        <w:t>₁₀</w:t>
      </w:r>
      <w:r w:rsidRPr="003B307E">
        <w:t>, PM</w:t>
      </w:r>
      <w:r w:rsidRPr="003B307E">
        <w:rPr>
          <w:rFonts w:ascii="Cambria Math" w:hAnsi="Cambria Math" w:cs="Cambria Math"/>
        </w:rPr>
        <w:t>₂</w:t>
      </w:r>
      <w:r w:rsidRPr="003B307E">
        <w:t>.</w:t>
      </w:r>
      <w:r w:rsidRPr="003B307E">
        <w:rPr>
          <w:rFonts w:ascii="Cambria Math" w:hAnsi="Cambria Math" w:cs="Cambria Math"/>
        </w:rPr>
        <w:t>₅</w:t>
      </w:r>
      <w:r w:rsidRPr="003B307E">
        <w:t>)</w:t>
      </w:r>
    </w:p>
    <w:p w14:paraId="1E1E224A" w14:textId="77777777" w:rsidR="00A441DE" w:rsidRDefault="00A441DE" w:rsidP="002D65D6">
      <w:r w:rsidRPr="00A441DE">
        <w:t>Les poussières proviennent principalement des démolitions/déconstructions, des terrassements–excavations et du trafic d’engins sur pistes non revêtues, auxquelles s’ajoutent celles liées au chargement/déchargement</w:t>
      </w:r>
      <w:r>
        <w:t xml:space="preserve"> et</w:t>
      </w:r>
      <w:r w:rsidRPr="00A441DE">
        <w:t xml:space="preserve"> aux stockages. </w:t>
      </w:r>
    </w:p>
    <w:p w14:paraId="4D9013A6" w14:textId="77777777" w:rsidR="00EA4495" w:rsidRDefault="00EA4495" w:rsidP="002D65D6"/>
    <w:p w14:paraId="037A4F41" w14:textId="77777777" w:rsidR="00EA4495" w:rsidRDefault="00EA4495" w:rsidP="002D65D6"/>
    <w:p w14:paraId="5B3281D6" w14:textId="2B4EA770" w:rsidR="00311E49" w:rsidRDefault="00A441DE" w:rsidP="002D65D6">
      <w:r w:rsidRPr="00A441DE">
        <w:t xml:space="preserve">Dans le contexte </w:t>
      </w:r>
      <w:r w:rsidR="00510364">
        <w:t>local</w:t>
      </w:r>
      <w:r w:rsidRPr="00A441DE">
        <w:t xml:space="preserve">, la zone </w:t>
      </w:r>
      <w:r w:rsidR="00311E49">
        <w:t xml:space="preserve">d’étude </w:t>
      </w:r>
      <w:r w:rsidRPr="00A441DE">
        <w:t xml:space="preserve">connaît des épisodes naturels de poussières désertiques : les niveaux de PM₁₀ peuvent alors devenir élevés, ce qui constitue un bruit de fond défavorable. </w:t>
      </w:r>
    </w:p>
    <w:p w14:paraId="4FFE3EEB" w14:textId="09AE2598" w:rsidR="00311E49" w:rsidRDefault="00A441DE" w:rsidP="002D65D6">
      <w:r w:rsidRPr="00A441DE">
        <w:t xml:space="preserve">La dispersion des émissions du chantier est fortement influencée par les vents dominants de secteur nord à nord-ouest qui orientent les poussières vers le </w:t>
      </w:r>
      <w:r w:rsidR="009B4AD2">
        <w:t>nord et nord-ouest</w:t>
      </w:r>
      <w:r w:rsidRPr="00A441DE">
        <w:t xml:space="preserve"> de l’aéroport. Dans des conditions calmes, l’effet reste local, mais en période venteuse et sèche, la zone d’influence peut s’étendre ponctuellement sous le vent, exposant surtout </w:t>
      </w:r>
      <w:r w:rsidR="00EA4495">
        <w:t>la zone habitée de Bouakkaz.</w:t>
      </w:r>
    </w:p>
    <w:p w14:paraId="5A472BE1" w14:textId="2944D077" w:rsidR="00A441DE" w:rsidRDefault="00A441DE" w:rsidP="002D65D6">
      <w:r w:rsidRPr="00A441DE">
        <w:t xml:space="preserve">L’impact est de nature négative et directe, temporaire (phase travaux), régulier tant que les activités se poursuivent et réversible à l’arrêt des sources. </w:t>
      </w:r>
    </w:p>
    <w:p w14:paraId="14150AB7" w14:textId="2C946D3F" w:rsidR="00121761" w:rsidRDefault="00A441DE" w:rsidP="002D65D6">
      <w:r w:rsidRPr="00A441DE">
        <w:t>Au regard de ces critères, l’intensité</w:t>
      </w:r>
      <w:r>
        <w:t xml:space="preserve"> de l’impact</w:t>
      </w:r>
      <w:r w:rsidRPr="00A441DE">
        <w:t xml:space="preserve"> est</w:t>
      </w:r>
      <w:r>
        <w:t xml:space="preserve"> jugée</w:t>
      </w:r>
      <w:r w:rsidRPr="00A441DE">
        <w:t xml:space="preserve"> moyenne</w:t>
      </w:r>
      <w:r>
        <w:t>.</w:t>
      </w:r>
    </w:p>
    <w:tbl>
      <w:tblPr>
        <w:tblStyle w:val="TableauGrille1Clair-Accentuation111"/>
        <w:tblW w:w="5000" w:type="pct"/>
        <w:tblLook w:val="04A0" w:firstRow="1" w:lastRow="0" w:firstColumn="1" w:lastColumn="0" w:noHBand="0" w:noVBand="1"/>
      </w:tblPr>
      <w:tblGrid>
        <w:gridCol w:w="792"/>
        <w:gridCol w:w="3362"/>
        <w:gridCol w:w="1786"/>
        <w:gridCol w:w="1350"/>
        <w:gridCol w:w="1770"/>
      </w:tblGrid>
      <w:tr w:rsidR="0009632F" w:rsidRPr="00CB0B09" w14:paraId="25B1B4FA" w14:textId="77777777" w:rsidTr="004637C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0" w:type="pct"/>
          </w:tcPr>
          <w:p w14:paraId="21129401" w14:textId="77777777" w:rsidR="00827D44" w:rsidRPr="00AA22F2" w:rsidRDefault="00827D44" w:rsidP="000A3EA4">
            <w:pPr>
              <w:rPr>
                <w:szCs w:val="20"/>
              </w:rPr>
            </w:pPr>
            <w:r w:rsidRPr="00AA22F2">
              <w:rPr>
                <w:szCs w:val="20"/>
              </w:rPr>
              <w:t>Impact</w:t>
            </w:r>
          </w:p>
        </w:tc>
        <w:tc>
          <w:tcPr>
            <w:tcW w:w="0" w:type="pct"/>
          </w:tcPr>
          <w:p w14:paraId="60C4A27C" w14:textId="77777777" w:rsidR="00827D44" w:rsidRPr="00AA22F2" w:rsidRDefault="00827D44" w:rsidP="000A3EA4">
            <w:pPr>
              <w:cnfStyle w:val="100000000000" w:firstRow="1" w:lastRow="0" w:firstColumn="0" w:lastColumn="0" w:oddVBand="0" w:evenVBand="0" w:oddHBand="0" w:evenHBand="0" w:firstRowFirstColumn="0" w:firstRowLastColumn="0" w:lastRowFirstColumn="0" w:lastRowLastColumn="0"/>
              <w:rPr>
                <w:szCs w:val="20"/>
              </w:rPr>
            </w:pPr>
            <w:r w:rsidRPr="00AA22F2">
              <w:rPr>
                <w:szCs w:val="20"/>
              </w:rPr>
              <w:t>Activités génératrices</w:t>
            </w:r>
          </w:p>
        </w:tc>
        <w:tc>
          <w:tcPr>
            <w:tcW w:w="914" w:type="pct"/>
            <w:vAlign w:val="center"/>
            <w:hideMark/>
          </w:tcPr>
          <w:p w14:paraId="729A4AC2" w14:textId="77777777" w:rsidR="00827D44" w:rsidRPr="00AA22F2" w:rsidRDefault="00827D44" w:rsidP="000A3EA4">
            <w:pPr>
              <w:jc w:val="left"/>
              <w:cnfStyle w:val="100000000000" w:firstRow="1" w:lastRow="0" w:firstColumn="0" w:lastColumn="0" w:oddVBand="0" w:evenVBand="0" w:oddHBand="0" w:evenHBand="0" w:firstRowFirstColumn="0" w:firstRowLastColumn="0" w:lastRowFirstColumn="0" w:lastRowLastColumn="0"/>
              <w:rPr>
                <w:szCs w:val="20"/>
              </w:rPr>
            </w:pPr>
            <w:r w:rsidRPr="00AA22F2">
              <w:rPr>
                <w:szCs w:val="20"/>
              </w:rPr>
              <w:t>Critère</w:t>
            </w:r>
          </w:p>
        </w:tc>
        <w:tc>
          <w:tcPr>
            <w:tcW w:w="0" w:type="pct"/>
            <w:hideMark/>
          </w:tcPr>
          <w:p w14:paraId="2432DAE8" w14:textId="77777777" w:rsidR="00827D44" w:rsidRPr="00AA22F2" w:rsidRDefault="00827D44" w:rsidP="000A3EA4">
            <w:pPr>
              <w:cnfStyle w:val="100000000000" w:firstRow="1" w:lastRow="0" w:firstColumn="0" w:lastColumn="0" w:oddVBand="0" w:evenVBand="0" w:oddHBand="0" w:evenHBand="0" w:firstRowFirstColumn="0" w:firstRowLastColumn="0" w:lastRowFirstColumn="0" w:lastRowLastColumn="0"/>
              <w:rPr>
                <w:szCs w:val="20"/>
              </w:rPr>
            </w:pPr>
            <w:r w:rsidRPr="00AA22F2">
              <w:rPr>
                <w:szCs w:val="20"/>
              </w:rPr>
              <w:t>Justification</w:t>
            </w:r>
          </w:p>
        </w:tc>
        <w:tc>
          <w:tcPr>
            <w:tcW w:w="820" w:type="pct"/>
            <w:hideMark/>
          </w:tcPr>
          <w:p w14:paraId="4E04B572" w14:textId="77777777" w:rsidR="00827D44" w:rsidRPr="00AA22F2" w:rsidRDefault="00827D44" w:rsidP="000A3EA4">
            <w:pPr>
              <w:cnfStyle w:val="100000000000" w:firstRow="1" w:lastRow="0" w:firstColumn="0" w:lastColumn="0" w:oddVBand="0" w:evenVBand="0" w:oddHBand="0" w:evenHBand="0" w:firstRowFirstColumn="0" w:firstRowLastColumn="0" w:lastRowFirstColumn="0" w:lastRowLastColumn="0"/>
              <w:rPr>
                <w:szCs w:val="20"/>
              </w:rPr>
            </w:pPr>
            <w:r w:rsidRPr="00AA22F2">
              <w:rPr>
                <w:szCs w:val="20"/>
              </w:rPr>
              <w:t>Niveau</w:t>
            </w:r>
          </w:p>
        </w:tc>
      </w:tr>
      <w:tr w:rsidR="0009632F" w:rsidRPr="00CB0B09" w14:paraId="54F2D2BB" w14:textId="77777777" w:rsidTr="004637C7">
        <w:tc>
          <w:tcPr>
            <w:cnfStyle w:val="001000000000" w:firstRow="0" w:lastRow="0" w:firstColumn="1" w:lastColumn="0" w:oddVBand="0" w:evenVBand="0" w:oddHBand="0" w:evenHBand="0" w:firstRowFirstColumn="0" w:firstRowLastColumn="0" w:lastRowFirstColumn="0" w:lastRowLastColumn="0"/>
            <w:tcW w:w="0" w:type="pct"/>
            <w:vMerge w:val="restart"/>
            <w:textDirection w:val="btLr"/>
            <w:vAlign w:val="center"/>
          </w:tcPr>
          <w:p w14:paraId="2D789724" w14:textId="77777777" w:rsidR="0009632F" w:rsidRPr="00AA22F2" w:rsidRDefault="0009632F" w:rsidP="004637C7">
            <w:pPr>
              <w:spacing w:before="0" w:after="0"/>
              <w:ind w:left="113" w:right="113"/>
              <w:jc w:val="center"/>
              <w:rPr>
                <w:b w:val="0"/>
                <w:bCs w:val="0"/>
                <w:szCs w:val="20"/>
              </w:rPr>
            </w:pPr>
            <w:r w:rsidRPr="00AA22F2">
              <w:rPr>
                <w:szCs w:val="20"/>
              </w:rPr>
              <w:t>Émission &amp; envol de poussières (PM₁₀, PM₂.₅)</w:t>
            </w:r>
          </w:p>
        </w:tc>
        <w:tc>
          <w:tcPr>
            <w:tcW w:w="0" w:type="pct"/>
            <w:vMerge w:val="restart"/>
            <w:vAlign w:val="center"/>
          </w:tcPr>
          <w:p w14:paraId="05B331A6" w14:textId="77777777" w:rsidR="0009632F" w:rsidRPr="00AA22F2" w:rsidRDefault="0009632F" w:rsidP="004637C7">
            <w:pPr>
              <w:spacing w:before="0" w:after="0"/>
              <w:cnfStyle w:val="000000000000" w:firstRow="0" w:lastRow="0" w:firstColumn="0" w:lastColumn="0" w:oddVBand="0" w:evenVBand="0" w:oddHBand="0" w:evenHBand="0" w:firstRowFirstColumn="0" w:firstRowLastColumn="0" w:lastRowFirstColumn="0" w:lastRowLastColumn="0"/>
              <w:rPr>
                <w:szCs w:val="20"/>
              </w:rPr>
            </w:pPr>
            <w:r w:rsidRPr="00AA22F2">
              <w:rPr>
                <w:szCs w:val="20"/>
              </w:rPr>
              <w:t xml:space="preserve">Terrassements/décapage/nivellement, </w:t>
            </w:r>
          </w:p>
          <w:p w14:paraId="46845B03" w14:textId="551A128D" w:rsidR="0009632F" w:rsidRPr="00AA22F2" w:rsidRDefault="0009632F" w:rsidP="004637C7">
            <w:pPr>
              <w:spacing w:before="0" w:after="0"/>
              <w:cnfStyle w:val="000000000000" w:firstRow="0" w:lastRow="0" w:firstColumn="0" w:lastColumn="0" w:oddVBand="0" w:evenVBand="0" w:oddHBand="0" w:evenHBand="0" w:firstRowFirstColumn="0" w:firstRowLastColumn="0" w:lastRowFirstColumn="0" w:lastRowLastColumn="0"/>
              <w:rPr>
                <w:szCs w:val="20"/>
              </w:rPr>
            </w:pPr>
            <w:r w:rsidRPr="00AA22F2">
              <w:rPr>
                <w:szCs w:val="20"/>
              </w:rPr>
              <w:t xml:space="preserve">Déblai–remblai/compactage, </w:t>
            </w:r>
          </w:p>
          <w:p w14:paraId="5EA45449" w14:textId="77777777" w:rsidR="0009632F" w:rsidRPr="00AA22F2" w:rsidRDefault="0009632F" w:rsidP="004637C7">
            <w:pPr>
              <w:spacing w:before="0" w:after="0"/>
              <w:cnfStyle w:val="000000000000" w:firstRow="0" w:lastRow="0" w:firstColumn="0" w:lastColumn="0" w:oddVBand="0" w:evenVBand="0" w:oddHBand="0" w:evenHBand="0" w:firstRowFirstColumn="0" w:firstRowLastColumn="0" w:lastRowFirstColumn="0" w:lastRowLastColumn="0"/>
              <w:rPr>
                <w:szCs w:val="20"/>
              </w:rPr>
            </w:pPr>
            <w:r w:rsidRPr="00AA22F2">
              <w:rPr>
                <w:szCs w:val="20"/>
              </w:rPr>
              <w:t xml:space="preserve">Circulation d’engins et camions sur pistes non revêtues, </w:t>
            </w:r>
          </w:p>
          <w:p w14:paraId="61425853" w14:textId="77777777" w:rsidR="0009632F" w:rsidRPr="00AA22F2" w:rsidRDefault="0009632F" w:rsidP="004637C7">
            <w:pPr>
              <w:spacing w:before="0" w:after="0"/>
              <w:cnfStyle w:val="000000000000" w:firstRow="0" w:lastRow="0" w:firstColumn="0" w:lastColumn="0" w:oddVBand="0" w:evenVBand="0" w:oddHBand="0" w:evenHBand="0" w:firstRowFirstColumn="0" w:firstRowLastColumn="0" w:lastRowFirstColumn="0" w:lastRowLastColumn="0"/>
              <w:rPr>
                <w:szCs w:val="20"/>
              </w:rPr>
            </w:pPr>
            <w:r w:rsidRPr="00AA22F2">
              <w:rPr>
                <w:szCs w:val="20"/>
              </w:rPr>
              <w:t xml:space="preserve">Chargement/déchargement de matériaux pulvérulents, </w:t>
            </w:r>
          </w:p>
          <w:p w14:paraId="49433FE5" w14:textId="77777777" w:rsidR="0009632F" w:rsidRPr="00AA22F2" w:rsidRDefault="0009632F" w:rsidP="004637C7">
            <w:pPr>
              <w:spacing w:before="0" w:after="0"/>
              <w:cnfStyle w:val="000000000000" w:firstRow="0" w:lastRow="0" w:firstColumn="0" w:lastColumn="0" w:oddVBand="0" w:evenVBand="0" w:oddHBand="0" w:evenHBand="0" w:firstRowFirstColumn="0" w:firstRowLastColumn="0" w:lastRowFirstColumn="0" w:lastRowLastColumn="0"/>
              <w:rPr>
                <w:szCs w:val="20"/>
              </w:rPr>
            </w:pPr>
            <w:r w:rsidRPr="00AA22F2">
              <w:rPr>
                <w:szCs w:val="20"/>
              </w:rPr>
              <w:t xml:space="preserve">Stockages non bâchés/non humidifiés, </w:t>
            </w:r>
          </w:p>
          <w:p w14:paraId="33F70291" w14:textId="77777777" w:rsidR="0009632F" w:rsidRPr="00AA22F2" w:rsidRDefault="0009632F" w:rsidP="004637C7">
            <w:pPr>
              <w:spacing w:before="0" w:after="0"/>
              <w:cnfStyle w:val="000000000000" w:firstRow="0" w:lastRow="0" w:firstColumn="0" w:lastColumn="0" w:oddVBand="0" w:evenVBand="0" w:oddHBand="0" w:evenHBand="0" w:firstRowFirstColumn="0" w:firstRowLastColumn="0" w:lastRowFirstColumn="0" w:lastRowLastColumn="0"/>
              <w:rPr>
                <w:b/>
                <w:bCs/>
                <w:szCs w:val="20"/>
              </w:rPr>
            </w:pPr>
            <w:r w:rsidRPr="00AA22F2">
              <w:rPr>
                <w:szCs w:val="20"/>
              </w:rPr>
              <w:t>Centrale à béton (ciment/filler, malaxage).</w:t>
            </w:r>
          </w:p>
        </w:tc>
        <w:tc>
          <w:tcPr>
            <w:tcW w:w="0" w:type="pct"/>
            <w:vAlign w:val="center"/>
            <w:hideMark/>
          </w:tcPr>
          <w:p w14:paraId="262A4E5E" w14:textId="77777777" w:rsidR="0009632F" w:rsidRPr="00AA22F2" w:rsidRDefault="0009632F" w:rsidP="004637C7">
            <w:pPr>
              <w:spacing w:before="0" w:after="0"/>
              <w:jc w:val="left"/>
              <w:cnfStyle w:val="000000000000" w:firstRow="0" w:lastRow="0" w:firstColumn="0" w:lastColumn="0" w:oddVBand="0" w:evenVBand="0" w:oddHBand="0" w:evenHBand="0" w:firstRowFirstColumn="0" w:firstRowLastColumn="0" w:lastRowFirstColumn="0" w:lastRowLastColumn="0"/>
              <w:rPr>
                <w:szCs w:val="20"/>
              </w:rPr>
            </w:pPr>
            <w:r w:rsidRPr="00AA22F2">
              <w:rPr>
                <w:b/>
                <w:bCs/>
                <w:szCs w:val="20"/>
              </w:rPr>
              <w:t>Nature</w:t>
            </w:r>
          </w:p>
        </w:tc>
        <w:tc>
          <w:tcPr>
            <w:tcW w:w="0" w:type="pct"/>
            <w:gridSpan w:val="2"/>
          </w:tcPr>
          <w:p w14:paraId="400D2FE2" w14:textId="77777777" w:rsidR="0009632F" w:rsidRPr="00AA22F2" w:rsidRDefault="0009632F" w:rsidP="004637C7">
            <w:pPr>
              <w:spacing w:before="0" w:after="0"/>
              <w:cnfStyle w:val="000000000000" w:firstRow="0" w:lastRow="0" w:firstColumn="0" w:lastColumn="0" w:oddVBand="0" w:evenVBand="0" w:oddHBand="0" w:evenHBand="0" w:firstRowFirstColumn="0" w:firstRowLastColumn="0" w:lastRowFirstColumn="0" w:lastRowLastColumn="0"/>
              <w:rPr>
                <w:szCs w:val="20"/>
              </w:rPr>
            </w:pPr>
            <w:r w:rsidRPr="00AA22F2">
              <w:rPr>
                <w:szCs w:val="20"/>
              </w:rPr>
              <w:t>Négatif direct</w:t>
            </w:r>
          </w:p>
        </w:tc>
      </w:tr>
      <w:tr w:rsidR="0009632F" w:rsidRPr="00CB0B09" w14:paraId="7680B646" w14:textId="77777777" w:rsidTr="004637C7">
        <w:tc>
          <w:tcPr>
            <w:cnfStyle w:val="001000000000" w:firstRow="0" w:lastRow="0" w:firstColumn="1" w:lastColumn="0" w:oddVBand="0" w:evenVBand="0" w:oddHBand="0" w:evenHBand="0" w:firstRowFirstColumn="0" w:firstRowLastColumn="0" w:lastRowFirstColumn="0" w:lastRowLastColumn="0"/>
            <w:tcW w:w="0" w:type="pct"/>
            <w:vMerge/>
            <w:vAlign w:val="center"/>
          </w:tcPr>
          <w:p w14:paraId="028B43C7" w14:textId="77777777" w:rsidR="0009632F" w:rsidRPr="00AA22F2" w:rsidRDefault="0009632F" w:rsidP="000A3EA4">
            <w:pPr>
              <w:jc w:val="left"/>
              <w:rPr>
                <w:b w:val="0"/>
                <w:bCs w:val="0"/>
                <w:szCs w:val="20"/>
              </w:rPr>
            </w:pPr>
          </w:p>
        </w:tc>
        <w:tc>
          <w:tcPr>
            <w:tcW w:w="0" w:type="pct"/>
            <w:vMerge/>
            <w:vAlign w:val="center"/>
          </w:tcPr>
          <w:p w14:paraId="33B3D5BA" w14:textId="77777777" w:rsidR="0009632F" w:rsidRPr="00AA22F2" w:rsidRDefault="0009632F" w:rsidP="000A3EA4">
            <w:pPr>
              <w:jc w:val="left"/>
              <w:cnfStyle w:val="000000000000" w:firstRow="0" w:lastRow="0" w:firstColumn="0" w:lastColumn="0" w:oddVBand="0" w:evenVBand="0" w:oddHBand="0" w:evenHBand="0" w:firstRowFirstColumn="0" w:firstRowLastColumn="0" w:lastRowFirstColumn="0" w:lastRowLastColumn="0"/>
              <w:rPr>
                <w:b/>
                <w:bCs/>
                <w:szCs w:val="20"/>
              </w:rPr>
            </w:pPr>
          </w:p>
        </w:tc>
        <w:tc>
          <w:tcPr>
            <w:tcW w:w="0" w:type="pct"/>
            <w:vAlign w:val="center"/>
            <w:hideMark/>
          </w:tcPr>
          <w:p w14:paraId="151B0F66" w14:textId="77777777" w:rsidR="0009632F" w:rsidRPr="00AA22F2" w:rsidRDefault="0009632F" w:rsidP="000A3EA4">
            <w:pPr>
              <w:jc w:val="left"/>
              <w:cnfStyle w:val="000000000000" w:firstRow="0" w:lastRow="0" w:firstColumn="0" w:lastColumn="0" w:oddVBand="0" w:evenVBand="0" w:oddHBand="0" w:evenHBand="0" w:firstRowFirstColumn="0" w:firstRowLastColumn="0" w:lastRowFirstColumn="0" w:lastRowLastColumn="0"/>
              <w:rPr>
                <w:szCs w:val="20"/>
              </w:rPr>
            </w:pPr>
            <w:r w:rsidRPr="00AA22F2">
              <w:rPr>
                <w:b/>
                <w:bCs/>
                <w:szCs w:val="20"/>
              </w:rPr>
              <w:t>Étendue</w:t>
            </w:r>
          </w:p>
        </w:tc>
        <w:tc>
          <w:tcPr>
            <w:tcW w:w="0" w:type="pct"/>
            <w:hideMark/>
          </w:tcPr>
          <w:p w14:paraId="4A2A89D4" w14:textId="0FCD21F5" w:rsidR="0009632F" w:rsidRPr="00AA22F2" w:rsidRDefault="0009632F" w:rsidP="000A3EA4">
            <w:pPr>
              <w:cnfStyle w:val="000000000000" w:firstRow="0" w:lastRow="0" w:firstColumn="0" w:lastColumn="0" w:oddVBand="0" w:evenVBand="0" w:oddHBand="0" w:evenHBand="0" w:firstRowFirstColumn="0" w:firstRowLastColumn="0" w:lastRowFirstColumn="0" w:lastRowLastColumn="0"/>
              <w:rPr>
                <w:szCs w:val="20"/>
              </w:rPr>
            </w:pPr>
            <w:r w:rsidRPr="00AA22F2">
              <w:rPr>
                <w:szCs w:val="20"/>
              </w:rPr>
              <w:t xml:space="preserve">Effets concentrés sur l’emprise aéroportuaire ; dispersion ponctuelle selon vents </w:t>
            </w:r>
          </w:p>
        </w:tc>
        <w:tc>
          <w:tcPr>
            <w:tcW w:w="0" w:type="pct"/>
            <w:hideMark/>
          </w:tcPr>
          <w:p w14:paraId="5CF678AF" w14:textId="77777777" w:rsidR="0009632F" w:rsidRPr="00AA22F2" w:rsidRDefault="0009632F" w:rsidP="000A3EA4">
            <w:pPr>
              <w:cnfStyle w:val="000000000000" w:firstRow="0" w:lastRow="0" w:firstColumn="0" w:lastColumn="0" w:oddVBand="0" w:evenVBand="0" w:oddHBand="0" w:evenHBand="0" w:firstRowFirstColumn="0" w:firstRowLastColumn="0" w:lastRowFirstColumn="0" w:lastRowLastColumn="0"/>
              <w:rPr>
                <w:szCs w:val="20"/>
              </w:rPr>
            </w:pPr>
            <w:r w:rsidRPr="00AA22F2">
              <w:rPr>
                <w:szCs w:val="20"/>
              </w:rPr>
              <w:t>Locale</w:t>
            </w:r>
          </w:p>
        </w:tc>
      </w:tr>
      <w:tr w:rsidR="0009632F" w:rsidRPr="00CB0B09" w14:paraId="0D1D935E" w14:textId="77777777" w:rsidTr="004637C7">
        <w:tc>
          <w:tcPr>
            <w:cnfStyle w:val="001000000000" w:firstRow="0" w:lastRow="0" w:firstColumn="1" w:lastColumn="0" w:oddVBand="0" w:evenVBand="0" w:oddHBand="0" w:evenHBand="0" w:firstRowFirstColumn="0" w:firstRowLastColumn="0" w:lastRowFirstColumn="0" w:lastRowLastColumn="0"/>
            <w:tcW w:w="0" w:type="pct"/>
            <w:vMerge/>
            <w:vAlign w:val="center"/>
          </w:tcPr>
          <w:p w14:paraId="42DDA06D" w14:textId="77777777" w:rsidR="0009632F" w:rsidRPr="00AA22F2" w:rsidRDefault="0009632F" w:rsidP="000A3EA4">
            <w:pPr>
              <w:jc w:val="left"/>
              <w:rPr>
                <w:b w:val="0"/>
                <w:bCs w:val="0"/>
                <w:szCs w:val="20"/>
              </w:rPr>
            </w:pPr>
          </w:p>
        </w:tc>
        <w:tc>
          <w:tcPr>
            <w:tcW w:w="0" w:type="pct"/>
            <w:vMerge/>
            <w:vAlign w:val="center"/>
          </w:tcPr>
          <w:p w14:paraId="4B605F52" w14:textId="77777777" w:rsidR="0009632F" w:rsidRPr="00AA22F2" w:rsidRDefault="0009632F" w:rsidP="000A3EA4">
            <w:pPr>
              <w:jc w:val="left"/>
              <w:cnfStyle w:val="000000000000" w:firstRow="0" w:lastRow="0" w:firstColumn="0" w:lastColumn="0" w:oddVBand="0" w:evenVBand="0" w:oddHBand="0" w:evenHBand="0" w:firstRowFirstColumn="0" w:firstRowLastColumn="0" w:lastRowFirstColumn="0" w:lastRowLastColumn="0"/>
              <w:rPr>
                <w:b/>
                <w:bCs/>
                <w:szCs w:val="20"/>
              </w:rPr>
            </w:pPr>
          </w:p>
        </w:tc>
        <w:tc>
          <w:tcPr>
            <w:tcW w:w="0" w:type="pct"/>
            <w:vAlign w:val="center"/>
            <w:hideMark/>
          </w:tcPr>
          <w:p w14:paraId="4B35B1F1" w14:textId="77777777" w:rsidR="0009632F" w:rsidRPr="00AA22F2" w:rsidRDefault="0009632F" w:rsidP="000A3EA4">
            <w:pPr>
              <w:jc w:val="left"/>
              <w:cnfStyle w:val="000000000000" w:firstRow="0" w:lastRow="0" w:firstColumn="0" w:lastColumn="0" w:oddVBand="0" w:evenVBand="0" w:oddHBand="0" w:evenHBand="0" w:firstRowFirstColumn="0" w:firstRowLastColumn="0" w:lastRowFirstColumn="0" w:lastRowLastColumn="0"/>
              <w:rPr>
                <w:szCs w:val="20"/>
              </w:rPr>
            </w:pPr>
            <w:r w:rsidRPr="00AA22F2">
              <w:rPr>
                <w:b/>
                <w:bCs/>
                <w:szCs w:val="20"/>
              </w:rPr>
              <w:t>Durée</w:t>
            </w:r>
          </w:p>
        </w:tc>
        <w:tc>
          <w:tcPr>
            <w:tcW w:w="0" w:type="pct"/>
            <w:hideMark/>
          </w:tcPr>
          <w:p w14:paraId="65F84CA1" w14:textId="7DDA415B" w:rsidR="0009632F" w:rsidRPr="00AA22F2" w:rsidRDefault="005D6B18" w:rsidP="000A3EA4">
            <w:pPr>
              <w:cnfStyle w:val="000000000000" w:firstRow="0" w:lastRow="0" w:firstColumn="0" w:lastColumn="0" w:oddVBand="0" w:evenVBand="0" w:oddHBand="0" w:evenHBand="0" w:firstRowFirstColumn="0" w:firstRowLastColumn="0" w:lastRowFirstColumn="0" w:lastRowLastColumn="0"/>
              <w:rPr>
                <w:szCs w:val="20"/>
              </w:rPr>
            </w:pPr>
            <w:r>
              <w:rPr>
                <w:szCs w:val="20"/>
              </w:rPr>
              <w:t xml:space="preserve">Limité à la phase de </w:t>
            </w:r>
            <w:r w:rsidR="00FB1BD3">
              <w:rPr>
                <w:szCs w:val="20"/>
              </w:rPr>
              <w:t>construction</w:t>
            </w:r>
            <w:r w:rsidR="0009632F" w:rsidRPr="00AA22F2">
              <w:rPr>
                <w:szCs w:val="20"/>
              </w:rPr>
              <w:t>.</w:t>
            </w:r>
          </w:p>
        </w:tc>
        <w:tc>
          <w:tcPr>
            <w:tcW w:w="0" w:type="pct"/>
            <w:hideMark/>
          </w:tcPr>
          <w:p w14:paraId="01A0B3C7" w14:textId="77777777" w:rsidR="0009632F" w:rsidRPr="00AA22F2" w:rsidRDefault="0009632F" w:rsidP="000A3EA4">
            <w:pPr>
              <w:cnfStyle w:val="000000000000" w:firstRow="0" w:lastRow="0" w:firstColumn="0" w:lastColumn="0" w:oddVBand="0" w:evenVBand="0" w:oddHBand="0" w:evenHBand="0" w:firstRowFirstColumn="0" w:firstRowLastColumn="0" w:lastRowFirstColumn="0" w:lastRowLastColumn="0"/>
              <w:rPr>
                <w:szCs w:val="20"/>
              </w:rPr>
            </w:pPr>
            <w:r w:rsidRPr="00AA22F2">
              <w:rPr>
                <w:szCs w:val="20"/>
              </w:rPr>
              <w:t>À court terme</w:t>
            </w:r>
          </w:p>
        </w:tc>
      </w:tr>
      <w:tr w:rsidR="0009632F" w:rsidRPr="00CB0B09" w14:paraId="1EA83052" w14:textId="77777777" w:rsidTr="004637C7">
        <w:tc>
          <w:tcPr>
            <w:cnfStyle w:val="001000000000" w:firstRow="0" w:lastRow="0" w:firstColumn="1" w:lastColumn="0" w:oddVBand="0" w:evenVBand="0" w:oddHBand="0" w:evenHBand="0" w:firstRowFirstColumn="0" w:firstRowLastColumn="0" w:lastRowFirstColumn="0" w:lastRowLastColumn="0"/>
            <w:tcW w:w="0" w:type="pct"/>
            <w:vMerge/>
            <w:vAlign w:val="center"/>
          </w:tcPr>
          <w:p w14:paraId="42AB27DC" w14:textId="77777777" w:rsidR="0009632F" w:rsidRPr="00AA22F2" w:rsidRDefault="0009632F" w:rsidP="000A3EA4">
            <w:pPr>
              <w:jc w:val="left"/>
              <w:rPr>
                <w:b w:val="0"/>
                <w:bCs w:val="0"/>
                <w:szCs w:val="20"/>
              </w:rPr>
            </w:pPr>
          </w:p>
        </w:tc>
        <w:tc>
          <w:tcPr>
            <w:tcW w:w="0" w:type="pct"/>
            <w:vMerge/>
            <w:vAlign w:val="center"/>
          </w:tcPr>
          <w:p w14:paraId="3B24F66E" w14:textId="77777777" w:rsidR="0009632F" w:rsidRPr="00AA22F2" w:rsidRDefault="0009632F" w:rsidP="000A3EA4">
            <w:pPr>
              <w:jc w:val="left"/>
              <w:cnfStyle w:val="000000000000" w:firstRow="0" w:lastRow="0" w:firstColumn="0" w:lastColumn="0" w:oddVBand="0" w:evenVBand="0" w:oddHBand="0" w:evenHBand="0" w:firstRowFirstColumn="0" w:firstRowLastColumn="0" w:lastRowFirstColumn="0" w:lastRowLastColumn="0"/>
              <w:rPr>
                <w:b/>
                <w:bCs/>
                <w:szCs w:val="20"/>
              </w:rPr>
            </w:pPr>
          </w:p>
        </w:tc>
        <w:tc>
          <w:tcPr>
            <w:tcW w:w="0" w:type="pct"/>
            <w:vAlign w:val="center"/>
            <w:hideMark/>
          </w:tcPr>
          <w:p w14:paraId="140EB17B" w14:textId="77777777" w:rsidR="0009632F" w:rsidRPr="00AA22F2" w:rsidRDefault="0009632F" w:rsidP="000A3EA4">
            <w:pPr>
              <w:jc w:val="left"/>
              <w:cnfStyle w:val="000000000000" w:firstRow="0" w:lastRow="0" w:firstColumn="0" w:lastColumn="0" w:oddVBand="0" w:evenVBand="0" w:oddHBand="0" w:evenHBand="0" w:firstRowFirstColumn="0" w:firstRowLastColumn="0" w:lastRowFirstColumn="0" w:lastRowLastColumn="0"/>
              <w:rPr>
                <w:szCs w:val="20"/>
              </w:rPr>
            </w:pPr>
            <w:r w:rsidRPr="00AA22F2">
              <w:rPr>
                <w:b/>
                <w:bCs/>
                <w:szCs w:val="20"/>
              </w:rPr>
              <w:t>Fréquence</w:t>
            </w:r>
          </w:p>
        </w:tc>
        <w:tc>
          <w:tcPr>
            <w:tcW w:w="0" w:type="pct"/>
            <w:hideMark/>
          </w:tcPr>
          <w:p w14:paraId="12BB7528" w14:textId="77777777" w:rsidR="0009632F" w:rsidRPr="00AA22F2" w:rsidRDefault="0009632F" w:rsidP="000A3EA4">
            <w:pPr>
              <w:cnfStyle w:val="000000000000" w:firstRow="0" w:lastRow="0" w:firstColumn="0" w:lastColumn="0" w:oddVBand="0" w:evenVBand="0" w:oddHBand="0" w:evenHBand="0" w:firstRowFirstColumn="0" w:firstRowLastColumn="0" w:lastRowFirstColumn="0" w:lastRowLastColumn="0"/>
              <w:rPr>
                <w:szCs w:val="20"/>
              </w:rPr>
            </w:pPr>
            <w:r w:rsidRPr="00AA22F2">
              <w:rPr>
                <w:szCs w:val="20"/>
              </w:rPr>
              <w:t>Émissions présentes chaque jour ouvré durant les opérations.</w:t>
            </w:r>
          </w:p>
        </w:tc>
        <w:tc>
          <w:tcPr>
            <w:tcW w:w="0" w:type="pct"/>
            <w:hideMark/>
          </w:tcPr>
          <w:p w14:paraId="3C8A3F39" w14:textId="77777777" w:rsidR="0009632F" w:rsidRPr="00AA22F2" w:rsidRDefault="0009632F" w:rsidP="000A3EA4">
            <w:pPr>
              <w:cnfStyle w:val="000000000000" w:firstRow="0" w:lastRow="0" w:firstColumn="0" w:lastColumn="0" w:oddVBand="0" w:evenVBand="0" w:oddHBand="0" w:evenHBand="0" w:firstRowFirstColumn="0" w:firstRowLastColumn="0" w:lastRowFirstColumn="0" w:lastRowLastColumn="0"/>
              <w:rPr>
                <w:szCs w:val="20"/>
              </w:rPr>
            </w:pPr>
            <w:r w:rsidRPr="00AA22F2">
              <w:rPr>
                <w:szCs w:val="20"/>
              </w:rPr>
              <w:t>Continue</w:t>
            </w:r>
          </w:p>
        </w:tc>
      </w:tr>
      <w:tr w:rsidR="0009632F" w:rsidRPr="00CB0B09" w14:paraId="74549130" w14:textId="77777777" w:rsidTr="004637C7">
        <w:tc>
          <w:tcPr>
            <w:cnfStyle w:val="001000000000" w:firstRow="0" w:lastRow="0" w:firstColumn="1" w:lastColumn="0" w:oddVBand="0" w:evenVBand="0" w:oddHBand="0" w:evenHBand="0" w:firstRowFirstColumn="0" w:firstRowLastColumn="0" w:lastRowFirstColumn="0" w:lastRowLastColumn="0"/>
            <w:tcW w:w="0" w:type="pct"/>
            <w:vMerge/>
            <w:vAlign w:val="center"/>
          </w:tcPr>
          <w:p w14:paraId="7CF88E2D" w14:textId="77777777" w:rsidR="0009632F" w:rsidRPr="0009632F" w:rsidRDefault="0009632F" w:rsidP="0009632F">
            <w:pPr>
              <w:jc w:val="left"/>
              <w:rPr>
                <w:b w:val="0"/>
                <w:bCs w:val="0"/>
                <w:szCs w:val="20"/>
              </w:rPr>
            </w:pPr>
          </w:p>
        </w:tc>
        <w:tc>
          <w:tcPr>
            <w:tcW w:w="0" w:type="pct"/>
            <w:vMerge/>
            <w:vAlign w:val="center"/>
          </w:tcPr>
          <w:p w14:paraId="66734DE1" w14:textId="77777777" w:rsidR="0009632F" w:rsidRPr="0009632F" w:rsidRDefault="0009632F" w:rsidP="0009632F">
            <w:pPr>
              <w:jc w:val="left"/>
              <w:cnfStyle w:val="000000000000" w:firstRow="0" w:lastRow="0" w:firstColumn="0" w:lastColumn="0" w:oddVBand="0" w:evenVBand="0" w:oddHBand="0" w:evenHBand="0" w:firstRowFirstColumn="0" w:firstRowLastColumn="0" w:lastRowFirstColumn="0" w:lastRowLastColumn="0"/>
              <w:rPr>
                <w:b/>
                <w:bCs/>
                <w:szCs w:val="20"/>
              </w:rPr>
            </w:pPr>
          </w:p>
        </w:tc>
        <w:tc>
          <w:tcPr>
            <w:tcW w:w="0" w:type="pct"/>
            <w:shd w:val="clear" w:color="auto" w:fill="D9E2F3" w:themeFill="accent1" w:themeFillTint="33"/>
            <w:vAlign w:val="center"/>
          </w:tcPr>
          <w:p w14:paraId="707FA28D" w14:textId="5AD911C9" w:rsidR="0009632F" w:rsidRPr="0009632F" w:rsidRDefault="0009632F" w:rsidP="0009632F">
            <w:pPr>
              <w:jc w:val="left"/>
              <w:cnfStyle w:val="000000000000" w:firstRow="0" w:lastRow="0" w:firstColumn="0" w:lastColumn="0" w:oddVBand="0" w:evenVBand="0" w:oddHBand="0" w:evenHBand="0" w:firstRowFirstColumn="0" w:firstRowLastColumn="0" w:lastRowFirstColumn="0" w:lastRowLastColumn="0"/>
              <w:rPr>
                <w:b/>
                <w:bCs/>
                <w:szCs w:val="20"/>
              </w:rPr>
            </w:pPr>
            <w:r w:rsidRPr="004637C7">
              <w:rPr>
                <w:b/>
                <w:bCs/>
                <w:szCs w:val="20"/>
              </w:rPr>
              <w:t xml:space="preserve">Intensité de l’impact </w:t>
            </w:r>
          </w:p>
        </w:tc>
        <w:tc>
          <w:tcPr>
            <w:tcW w:w="0" w:type="pct"/>
            <w:shd w:val="clear" w:color="auto" w:fill="D9E2F3" w:themeFill="accent1" w:themeFillTint="33"/>
          </w:tcPr>
          <w:p w14:paraId="6B8BF80D" w14:textId="548C2E1A" w:rsidR="0009632F" w:rsidRPr="0009632F" w:rsidRDefault="0009632F" w:rsidP="0009632F">
            <w:pPr>
              <w:cnfStyle w:val="000000000000" w:firstRow="0" w:lastRow="0" w:firstColumn="0" w:lastColumn="0" w:oddVBand="0" w:evenVBand="0" w:oddHBand="0" w:evenHBand="0" w:firstRowFirstColumn="0" w:firstRowLastColumn="0" w:lastRowFirstColumn="0" w:lastRowLastColumn="0"/>
              <w:rPr>
                <w:szCs w:val="20"/>
              </w:rPr>
            </w:pPr>
            <w:r w:rsidRPr="00BC1745">
              <w:rPr>
                <w:szCs w:val="20"/>
              </w:rPr>
              <w:t>Effets négatifs, localisés, de durée courte et à émission journalière ; réversibles en fin de phase.</w:t>
            </w:r>
          </w:p>
        </w:tc>
        <w:tc>
          <w:tcPr>
            <w:tcW w:w="0" w:type="pct"/>
            <w:shd w:val="clear" w:color="auto" w:fill="D9E2F3" w:themeFill="accent1" w:themeFillTint="33"/>
          </w:tcPr>
          <w:p w14:paraId="73B7FC3C" w14:textId="20D16C5F" w:rsidR="0009632F" w:rsidRPr="0009632F" w:rsidRDefault="0009632F" w:rsidP="0009632F">
            <w:pPr>
              <w:cnfStyle w:val="000000000000" w:firstRow="0" w:lastRow="0" w:firstColumn="0" w:lastColumn="0" w:oddVBand="0" w:evenVBand="0" w:oddHBand="0" w:evenHBand="0" w:firstRowFirstColumn="0" w:firstRowLastColumn="0" w:lastRowFirstColumn="0" w:lastRowLastColumn="0"/>
              <w:rPr>
                <w:szCs w:val="20"/>
              </w:rPr>
            </w:pPr>
            <w:r w:rsidRPr="00BC1745">
              <w:rPr>
                <w:szCs w:val="20"/>
              </w:rPr>
              <w:t>Moyenne</w:t>
            </w:r>
          </w:p>
        </w:tc>
      </w:tr>
      <w:tr w:rsidR="0009632F" w:rsidRPr="00CB0B09" w14:paraId="6C2B2CD1" w14:textId="77777777" w:rsidTr="004637C7">
        <w:tc>
          <w:tcPr>
            <w:cnfStyle w:val="001000000000" w:firstRow="0" w:lastRow="0" w:firstColumn="1" w:lastColumn="0" w:oddVBand="0" w:evenVBand="0" w:oddHBand="0" w:evenHBand="0" w:firstRowFirstColumn="0" w:firstRowLastColumn="0" w:lastRowFirstColumn="0" w:lastRowLastColumn="0"/>
            <w:tcW w:w="0" w:type="pct"/>
            <w:vMerge/>
            <w:vAlign w:val="center"/>
          </w:tcPr>
          <w:p w14:paraId="1A100AB4" w14:textId="77777777" w:rsidR="0009632F" w:rsidRPr="0009632F" w:rsidRDefault="0009632F" w:rsidP="0009632F">
            <w:pPr>
              <w:jc w:val="left"/>
              <w:rPr>
                <w:b w:val="0"/>
                <w:bCs w:val="0"/>
                <w:szCs w:val="20"/>
              </w:rPr>
            </w:pPr>
          </w:p>
        </w:tc>
        <w:tc>
          <w:tcPr>
            <w:tcW w:w="0" w:type="pct"/>
            <w:gridSpan w:val="4"/>
            <w:vAlign w:val="center"/>
          </w:tcPr>
          <w:p w14:paraId="0794A283" w14:textId="77777777" w:rsidR="0009632F" w:rsidRPr="0009632F" w:rsidRDefault="0009632F" w:rsidP="004637C7">
            <w:pPr>
              <w:spacing w:before="0" w:after="0"/>
              <w:cnfStyle w:val="000000000000" w:firstRow="0" w:lastRow="0" w:firstColumn="0" w:lastColumn="0" w:oddVBand="0" w:evenVBand="0" w:oddHBand="0" w:evenHBand="0" w:firstRowFirstColumn="0" w:firstRowLastColumn="0" w:lastRowFirstColumn="0" w:lastRowLastColumn="0"/>
              <w:rPr>
                <w:szCs w:val="20"/>
              </w:rPr>
            </w:pPr>
          </w:p>
        </w:tc>
      </w:tr>
      <w:tr w:rsidR="0009632F" w:rsidRPr="00CB0B09" w14:paraId="65AEEC45" w14:textId="77777777" w:rsidTr="004637C7">
        <w:tc>
          <w:tcPr>
            <w:cnfStyle w:val="001000000000" w:firstRow="0" w:lastRow="0" w:firstColumn="1" w:lastColumn="0" w:oddVBand="0" w:evenVBand="0" w:oddHBand="0" w:evenHBand="0" w:firstRowFirstColumn="0" w:firstRowLastColumn="0" w:lastRowFirstColumn="0" w:lastRowLastColumn="0"/>
            <w:tcW w:w="0" w:type="pct"/>
            <w:vMerge/>
            <w:vAlign w:val="center"/>
          </w:tcPr>
          <w:p w14:paraId="4F6334BA" w14:textId="77777777" w:rsidR="0009632F" w:rsidRPr="0009632F" w:rsidRDefault="0009632F" w:rsidP="0009632F">
            <w:pPr>
              <w:jc w:val="left"/>
              <w:rPr>
                <w:b w:val="0"/>
                <w:bCs w:val="0"/>
                <w:szCs w:val="20"/>
              </w:rPr>
            </w:pPr>
          </w:p>
        </w:tc>
        <w:tc>
          <w:tcPr>
            <w:tcW w:w="0" w:type="pct"/>
            <w:shd w:val="clear" w:color="auto" w:fill="8EAADB" w:themeFill="accent1" w:themeFillTint="99"/>
            <w:vAlign w:val="center"/>
          </w:tcPr>
          <w:p w14:paraId="2BEAA581" w14:textId="6FB339C1" w:rsidR="0009632F" w:rsidRPr="0009632F" w:rsidRDefault="0009632F" w:rsidP="0009632F">
            <w:pPr>
              <w:jc w:val="left"/>
              <w:cnfStyle w:val="000000000000" w:firstRow="0" w:lastRow="0" w:firstColumn="0" w:lastColumn="0" w:oddVBand="0" w:evenVBand="0" w:oddHBand="0" w:evenHBand="0" w:firstRowFirstColumn="0" w:firstRowLastColumn="0" w:lastRowFirstColumn="0" w:lastRowLastColumn="0"/>
              <w:rPr>
                <w:b/>
                <w:bCs/>
                <w:szCs w:val="20"/>
              </w:rPr>
            </w:pPr>
            <w:r w:rsidRPr="004637C7">
              <w:rPr>
                <w:b/>
                <w:bCs/>
                <w:szCs w:val="20"/>
              </w:rPr>
              <w:t>Intensité de l’impact</w:t>
            </w:r>
          </w:p>
        </w:tc>
        <w:tc>
          <w:tcPr>
            <w:tcW w:w="0" w:type="pct"/>
            <w:shd w:val="clear" w:color="auto" w:fill="8EAADB" w:themeFill="accent1" w:themeFillTint="99"/>
            <w:vAlign w:val="center"/>
          </w:tcPr>
          <w:p w14:paraId="63DC08D9" w14:textId="49BB8C8F" w:rsidR="0009632F" w:rsidRPr="0009632F" w:rsidRDefault="0009632F" w:rsidP="0009632F">
            <w:pPr>
              <w:jc w:val="left"/>
              <w:cnfStyle w:val="000000000000" w:firstRow="0" w:lastRow="0" w:firstColumn="0" w:lastColumn="0" w:oddVBand="0" w:evenVBand="0" w:oddHBand="0" w:evenHBand="0" w:firstRowFirstColumn="0" w:firstRowLastColumn="0" w:lastRowFirstColumn="0" w:lastRowLastColumn="0"/>
              <w:rPr>
                <w:b/>
                <w:bCs/>
                <w:szCs w:val="20"/>
              </w:rPr>
            </w:pPr>
            <w:r w:rsidRPr="004637C7">
              <w:rPr>
                <w:b/>
                <w:bCs/>
                <w:szCs w:val="20"/>
              </w:rPr>
              <w:t>Récepteurs</w:t>
            </w:r>
          </w:p>
        </w:tc>
        <w:tc>
          <w:tcPr>
            <w:tcW w:w="0" w:type="pct"/>
            <w:shd w:val="clear" w:color="auto" w:fill="8EAADB" w:themeFill="accent1" w:themeFillTint="99"/>
            <w:vAlign w:val="center"/>
          </w:tcPr>
          <w:p w14:paraId="0B4C5583" w14:textId="3B0C3612" w:rsidR="0009632F" w:rsidRPr="004637C7" w:rsidRDefault="0009632F" w:rsidP="0009632F">
            <w:pPr>
              <w:cnfStyle w:val="000000000000" w:firstRow="0" w:lastRow="0" w:firstColumn="0" w:lastColumn="0" w:oddVBand="0" w:evenVBand="0" w:oddHBand="0" w:evenHBand="0" w:firstRowFirstColumn="0" w:firstRowLastColumn="0" w:lastRowFirstColumn="0" w:lastRowLastColumn="0"/>
              <w:rPr>
                <w:b/>
                <w:bCs/>
                <w:szCs w:val="20"/>
              </w:rPr>
            </w:pPr>
            <w:r w:rsidRPr="004637C7">
              <w:rPr>
                <w:b/>
                <w:bCs/>
                <w:szCs w:val="20"/>
              </w:rPr>
              <w:t>Sensibilité</w:t>
            </w:r>
          </w:p>
        </w:tc>
        <w:tc>
          <w:tcPr>
            <w:tcW w:w="0" w:type="pct"/>
            <w:shd w:val="clear" w:color="auto" w:fill="8EAADB" w:themeFill="accent1" w:themeFillTint="99"/>
            <w:vAlign w:val="center"/>
          </w:tcPr>
          <w:p w14:paraId="0A792C8E" w14:textId="5E832E7F" w:rsidR="0009632F" w:rsidRPr="004637C7" w:rsidRDefault="0009632F" w:rsidP="0009632F">
            <w:pPr>
              <w:cnfStyle w:val="000000000000" w:firstRow="0" w:lastRow="0" w:firstColumn="0" w:lastColumn="0" w:oddVBand="0" w:evenVBand="0" w:oddHBand="0" w:evenHBand="0" w:firstRowFirstColumn="0" w:firstRowLastColumn="0" w:lastRowFirstColumn="0" w:lastRowLastColumn="0"/>
              <w:rPr>
                <w:b/>
                <w:bCs/>
                <w:szCs w:val="20"/>
              </w:rPr>
            </w:pPr>
            <w:r w:rsidRPr="004637C7">
              <w:rPr>
                <w:b/>
                <w:bCs/>
                <w:szCs w:val="20"/>
              </w:rPr>
              <w:t>Importance de l’impact</w:t>
            </w:r>
          </w:p>
        </w:tc>
      </w:tr>
      <w:tr w:rsidR="0009632F" w:rsidRPr="00CB0B09" w14:paraId="4F0178E4" w14:textId="77777777" w:rsidTr="004637C7">
        <w:tc>
          <w:tcPr>
            <w:cnfStyle w:val="001000000000" w:firstRow="0" w:lastRow="0" w:firstColumn="1" w:lastColumn="0" w:oddVBand="0" w:evenVBand="0" w:oddHBand="0" w:evenHBand="0" w:firstRowFirstColumn="0" w:firstRowLastColumn="0" w:lastRowFirstColumn="0" w:lastRowLastColumn="0"/>
            <w:tcW w:w="0" w:type="pct"/>
            <w:vMerge/>
            <w:vAlign w:val="center"/>
          </w:tcPr>
          <w:p w14:paraId="02AB051D" w14:textId="77777777" w:rsidR="0009632F" w:rsidRPr="0009632F" w:rsidRDefault="0009632F" w:rsidP="0009632F">
            <w:pPr>
              <w:jc w:val="left"/>
              <w:rPr>
                <w:b w:val="0"/>
                <w:bCs w:val="0"/>
                <w:szCs w:val="20"/>
              </w:rPr>
            </w:pPr>
          </w:p>
        </w:tc>
        <w:tc>
          <w:tcPr>
            <w:tcW w:w="0" w:type="pct"/>
            <w:vMerge w:val="restart"/>
            <w:vAlign w:val="center"/>
          </w:tcPr>
          <w:p w14:paraId="75EFC82E" w14:textId="7E5B6982" w:rsidR="0009632F" w:rsidRPr="0009632F" w:rsidRDefault="0009632F" w:rsidP="0009632F">
            <w:pPr>
              <w:jc w:val="left"/>
              <w:cnfStyle w:val="000000000000" w:firstRow="0" w:lastRow="0" w:firstColumn="0" w:lastColumn="0" w:oddVBand="0" w:evenVBand="0" w:oddHBand="0" w:evenHBand="0" w:firstRowFirstColumn="0" w:firstRowLastColumn="0" w:lastRowFirstColumn="0" w:lastRowLastColumn="0"/>
              <w:rPr>
                <w:b/>
                <w:bCs/>
                <w:szCs w:val="20"/>
              </w:rPr>
            </w:pPr>
            <w:r>
              <w:rPr>
                <w:b/>
                <w:bCs/>
                <w:szCs w:val="20"/>
              </w:rPr>
              <w:t>Moyenne</w:t>
            </w:r>
          </w:p>
        </w:tc>
        <w:tc>
          <w:tcPr>
            <w:tcW w:w="0" w:type="pct"/>
            <w:vAlign w:val="center"/>
          </w:tcPr>
          <w:p w14:paraId="0ADF71B8" w14:textId="0B9FB231" w:rsidR="0009632F" w:rsidRPr="0009632F" w:rsidRDefault="0009632F" w:rsidP="0009632F">
            <w:pPr>
              <w:jc w:val="left"/>
              <w:cnfStyle w:val="000000000000" w:firstRow="0" w:lastRow="0" w:firstColumn="0" w:lastColumn="0" w:oddVBand="0" w:evenVBand="0" w:oddHBand="0" w:evenHBand="0" w:firstRowFirstColumn="0" w:firstRowLastColumn="0" w:lastRowFirstColumn="0" w:lastRowLastColumn="0"/>
              <w:rPr>
                <w:b/>
                <w:bCs/>
                <w:szCs w:val="20"/>
              </w:rPr>
            </w:pPr>
            <w:r w:rsidRPr="00CB0B09">
              <w:rPr>
                <w:rFonts w:asciiTheme="minorHAnsi" w:hAnsiTheme="minorHAnsi" w:cstheme="minorHAnsi"/>
                <w:szCs w:val="20"/>
                <w:lang w:val="fr-MA" w:eastAsia="fr-MA" w:bidi="ar-SA"/>
              </w:rPr>
              <w:t>Personnel de chantier</w:t>
            </w:r>
          </w:p>
        </w:tc>
        <w:tc>
          <w:tcPr>
            <w:tcW w:w="0" w:type="pct"/>
            <w:vAlign w:val="center"/>
          </w:tcPr>
          <w:p w14:paraId="391A64B4" w14:textId="0883C145" w:rsidR="0009632F" w:rsidRPr="0009632F" w:rsidRDefault="0009632F" w:rsidP="0009632F">
            <w:pPr>
              <w:cnfStyle w:val="000000000000" w:firstRow="0" w:lastRow="0" w:firstColumn="0" w:lastColumn="0" w:oddVBand="0" w:evenVBand="0" w:oddHBand="0" w:evenHBand="0" w:firstRowFirstColumn="0" w:firstRowLastColumn="0" w:lastRowFirstColumn="0" w:lastRowLastColumn="0"/>
              <w:rPr>
                <w:szCs w:val="20"/>
              </w:rPr>
            </w:pPr>
            <w:r w:rsidRPr="00CB0B09">
              <w:rPr>
                <w:rFonts w:asciiTheme="minorHAnsi" w:hAnsiTheme="minorHAnsi" w:cstheme="minorHAnsi"/>
                <w:szCs w:val="20"/>
                <w:lang w:val="fr-MA" w:eastAsia="fr-MA" w:bidi="ar-SA"/>
              </w:rPr>
              <w:t>Forte</w:t>
            </w:r>
          </w:p>
        </w:tc>
        <w:tc>
          <w:tcPr>
            <w:tcW w:w="0" w:type="pct"/>
            <w:vAlign w:val="center"/>
          </w:tcPr>
          <w:p w14:paraId="44962475" w14:textId="419A21C6" w:rsidR="0009632F" w:rsidRPr="0009632F" w:rsidRDefault="0009632F" w:rsidP="0009632F">
            <w:pPr>
              <w:cnfStyle w:val="000000000000" w:firstRow="0" w:lastRow="0" w:firstColumn="0" w:lastColumn="0" w:oddVBand="0" w:evenVBand="0" w:oddHBand="0" w:evenHBand="0" w:firstRowFirstColumn="0" w:firstRowLastColumn="0" w:lastRowFirstColumn="0" w:lastRowLastColumn="0"/>
              <w:rPr>
                <w:szCs w:val="20"/>
              </w:rPr>
            </w:pPr>
            <w:r w:rsidRPr="00CB0B09">
              <w:rPr>
                <w:rFonts w:asciiTheme="minorHAnsi" w:hAnsiTheme="minorHAnsi" w:cstheme="minorHAnsi"/>
                <w:szCs w:val="20"/>
                <w:lang w:val="fr-MA" w:eastAsia="fr-MA" w:bidi="ar-SA"/>
              </w:rPr>
              <w:t>Majeure</w:t>
            </w:r>
          </w:p>
        </w:tc>
      </w:tr>
      <w:tr w:rsidR="0009632F" w:rsidRPr="00CB0B09" w14:paraId="6D512DD0" w14:textId="77777777" w:rsidTr="004637C7">
        <w:tc>
          <w:tcPr>
            <w:cnfStyle w:val="001000000000" w:firstRow="0" w:lastRow="0" w:firstColumn="1" w:lastColumn="0" w:oddVBand="0" w:evenVBand="0" w:oddHBand="0" w:evenHBand="0" w:firstRowFirstColumn="0" w:firstRowLastColumn="0" w:lastRowFirstColumn="0" w:lastRowLastColumn="0"/>
            <w:tcW w:w="0" w:type="pct"/>
            <w:vMerge/>
            <w:vAlign w:val="center"/>
          </w:tcPr>
          <w:p w14:paraId="7C6063A5" w14:textId="77777777" w:rsidR="0009632F" w:rsidRPr="0009632F" w:rsidRDefault="0009632F" w:rsidP="0009632F">
            <w:pPr>
              <w:jc w:val="left"/>
              <w:rPr>
                <w:b w:val="0"/>
                <w:bCs w:val="0"/>
                <w:szCs w:val="20"/>
              </w:rPr>
            </w:pPr>
          </w:p>
        </w:tc>
        <w:tc>
          <w:tcPr>
            <w:tcW w:w="0" w:type="pct"/>
            <w:vMerge/>
            <w:vAlign w:val="center"/>
          </w:tcPr>
          <w:p w14:paraId="18DBBB09" w14:textId="77777777" w:rsidR="0009632F" w:rsidRPr="0009632F" w:rsidRDefault="0009632F" w:rsidP="0009632F">
            <w:pPr>
              <w:jc w:val="left"/>
              <w:cnfStyle w:val="000000000000" w:firstRow="0" w:lastRow="0" w:firstColumn="0" w:lastColumn="0" w:oddVBand="0" w:evenVBand="0" w:oddHBand="0" w:evenHBand="0" w:firstRowFirstColumn="0" w:firstRowLastColumn="0" w:lastRowFirstColumn="0" w:lastRowLastColumn="0"/>
              <w:rPr>
                <w:b/>
                <w:bCs/>
                <w:szCs w:val="20"/>
              </w:rPr>
            </w:pPr>
          </w:p>
        </w:tc>
        <w:tc>
          <w:tcPr>
            <w:tcW w:w="0" w:type="pct"/>
            <w:vAlign w:val="center"/>
          </w:tcPr>
          <w:p w14:paraId="40A3191E" w14:textId="510E7B20" w:rsidR="0009632F" w:rsidRPr="0009632F" w:rsidRDefault="0009632F" w:rsidP="0009632F">
            <w:pPr>
              <w:jc w:val="left"/>
              <w:cnfStyle w:val="000000000000" w:firstRow="0" w:lastRow="0" w:firstColumn="0" w:lastColumn="0" w:oddVBand="0" w:evenVBand="0" w:oddHBand="0" w:evenHBand="0" w:firstRowFirstColumn="0" w:firstRowLastColumn="0" w:lastRowFirstColumn="0" w:lastRowLastColumn="0"/>
              <w:rPr>
                <w:b/>
                <w:bCs/>
                <w:szCs w:val="20"/>
              </w:rPr>
            </w:pPr>
            <w:r w:rsidRPr="00CB0B09">
              <w:rPr>
                <w:rFonts w:asciiTheme="minorHAnsi" w:hAnsiTheme="minorHAnsi" w:cstheme="minorHAnsi"/>
                <w:szCs w:val="20"/>
                <w:lang w:val="fr-MA" w:eastAsia="fr-MA" w:bidi="ar-SA"/>
              </w:rPr>
              <w:t>Usagers/aéroport</w:t>
            </w:r>
          </w:p>
        </w:tc>
        <w:tc>
          <w:tcPr>
            <w:tcW w:w="0" w:type="pct"/>
            <w:vAlign w:val="center"/>
          </w:tcPr>
          <w:p w14:paraId="4C076D5D" w14:textId="33965E6E" w:rsidR="0009632F" w:rsidRPr="0009632F" w:rsidRDefault="0009632F" w:rsidP="0009632F">
            <w:pPr>
              <w:cnfStyle w:val="000000000000" w:firstRow="0" w:lastRow="0" w:firstColumn="0" w:lastColumn="0" w:oddVBand="0" w:evenVBand="0" w:oddHBand="0" w:evenHBand="0" w:firstRowFirstColumn="0" w:firstRowLastColumn="0" w:lastRowFirstColumn="0" w:lastRowLastColumn="0"/>
              <w:rPr>
                <w:szCs w:val="20"/>
              </w:rPr>
            </w:pPr>
            <w:r w:rsidRPr="00CB0B09">
              <w:rPr>
                <w:rFonts w:asciiTheme="minorHAnsi" w:hAnsiTheme="minorHAnsi" w:cstheme="minorHAnsi"/>
                <w:szCs w:val="20"/>
                <w:lang w:val="fr-MA" w:eastAsia="fr-MA" w:bidi="ar-SA"/>
              </w:rPr>
              <w:t>Faible</w:t>
            </w:r>
          </w:p>
        </w:tc>
        <w:tc>
          <w:tcPr>
            <w:tcW w:w="0" w:type="pct"/>
            <w:vAlign w:val="center"/>
          </w:tcPr>
          <w:p w14:paraId="53FB5DFA" w14:textId="2AB179B4" w:rsidR="0009632F" w:rsidRPr="0009632F" w:rsidRDefault="0009632F" w:rsidP="0009632F">
            <w:pPr>
              <w:cnfStyle w:val="000000000000" w:firstRow="0" w:lastRow="0" w:firstColumn="0" w:lastColumn="0" w:oddVBand="0" w:evenVBand="0" w:oddHBand="0" w:evenHBand="0" w:firstRowFirstColumn="0" w:firstRowLastColumn="0" w:lastRowFirstColumn="0" w:lastRowLastColumn="0"/>
              <w:rPr>
                <w:szCs w:val="20"/>
              </w:rPr>
            </w:pPr>
            <w:r w:rsidRPr="00CB0B09">
              <w:rPr>
                <w:rFonts w:asciiTheme="minorHAnsi" w:hAnsiTheme="minorHAnsi" w:cstheme="minorHAnsi"/>
                <w:szCs w:val="20"/>
                <w:lang w:val="fr-MA" w:eastAsia="fr-MA" w:bidi="ar-SA"/>
              </w:rPr>
              <w:t>Mineure</w:t>
            </w:r>
          </w:p>
        </w:tc>
      </w:tr>
      <w:tr w:rsidR="0009632F" w:rsidRPr="00CB0B09" w14:paraId="07989C18" w14:textId="77777777" w:rsidTr="004637C7">
        <w:tc>
          <w:tcPr>
            <w:cnfStyle w:val="001000000000" w:firstRow="0" w:lastRow="0" w:firstColumn="1" w:lastColumn="0" w:oddVBand="0" w:evenVBand="0" w:oddHBand="0" w:evenHBand="0" w:firstRowFirstColumn="0" w:firstRowLastColumn="0" w:lastRowFirstColumn="0" w:lastRowLastColumn="0"/>
            <w:tcW w:w="0" w:type="pct"/>
            <w:vMerge/>
            <w:vAlign w:val="center"/>
          </w:tcPr>
          <w:p w14:paraId="06879B3F" w14:textId="77777777" w:rsidR="0009632F" w:rsidRPr="0009632F" w:rsidRDefault="0009632F" w:rsidP="0009632F">
            <w:pPr>
              <w:jc w:val="left"/>
              <w:rPr>
                <w:b w:val="0"/>
                <w:bCs w:val="0"/>
                <w:szCs w:val="20"/>
              </w:rPr>
            </w:pPr>
          </w:p>
        </w:tc>
        <w:tc>
          <w:tcPr>
            <w:tcW w:w="0" w:type="pct"/>
            <w:vMerge/>
            <w:vAlign w:val="center"/>
          </w:tcPr>
          <w:p w14:paraId="1B5B8041" w14:textId="77777777" w:rsidR="0009632F" w:rsidRPr="0009632F" w:rsidRDefault="0009632F" w:rsidP="0009632F">
            <w:pPr>
              <w:jc w:val="left"/>
              <w:cnfStyle w:val="000000000000" w:firstRow="0" w:lastRow="0" w:firstColumn="0" w:lastColumn="0" w:oddVBand="0" w:evenVBand="0" w:oddHBand="0" w:evenHBand="0" w:firstRowFirstColumn="0" w:firstRowLastColumn="0" w:lastRowFirstColumn="0" w:lastRowLastColumn="0"/>
              <w:rPr>
                <w:b/>
                <w:bCs/>
                <w:szCs w:val="20"/>
              </w:rPr>
            </w:pPr>
          </w:p>
        </w:tc>
        <w:tc>
          <w:tcPr>
            <w:tcW w:w="0" w:type="pct"/>
            <w:vAlign w:val="center"/>
          </w:tcPr>
          <w:p w14:paraId="2053F237" w14:textId="50EB1544" w:rsidR="0009632F" w:rsidRPr="0009632F" w:rsidRDefault="0009632F" w:rsidP="0009632F">
            <w:pPr>
              <w:jc w:val="left"/>
              <w:cnfStyle w:val="000000000000" w:firstRow="0" w:lastRow="0" w:firstColumn="0" w:lastColumn="0" w:oddVBand="0" w:evenVBand="0" w:oddHBand="0" w:evenHBand="0" w:firstRowFirstColumn="0" w:firstRowLastColumn="0" w:lastRowFirstColumn="0" w:lastRowLastColumn="0"/>
              <w:rPr>
                <w:b/>
                <w:bCs/>
                <w:szCs w:val="20"/>
              </w:rPr>
            </w:pPr>
            <w:r w:rsidRPr="00CB0B09">
              <w:rPr>
                <w:rFonts w:asciiTheme="minorHAnsi" w:hAnsiTheme="minorHAnsi" w:cstheme="minorHAnsi"/>
                <w:szCs w:val="20"/>
                <w:lang w:val="fr-MA" w:eastAsia="fr-MA" w:bidi="ar-SA"/>
              </w:rPr>
              <w:t xml:space="preserve">Habitations (notamment </w:t>
            </w:r>
            <w:r w:rsidR="00F30701">
              <w:rPr>
                <w:rFonts w:asciiTheme="minorHAnsi" w:hAnsiTheme="minorHAnsi" w:cstheme="minorHAnsi"/>
                <w:szCs w:val="20"/>
                <w:lang w:val="fr-MA" w:eastAsia="fr-MA" w:bidi="ar-SA"/>
              </w:rPr>
              <w:t>Bouakkaz</w:t>
            </w:r>
            <w:r w:rsidRPr="00CB0B09">
              <w:rPr>
                <w:rFonts w:asciiTheme="minorHAnsi" w:hAnsiTheme="minorHAnsi" w:cstheme="minorHAnsi"/>
                <w:szCs w:val="20"/>
                <w:lang w:val="fr-MA" w:eastAsia="fr-MA" w:bidi="ar-SA"/>
              </w:rPr>
              <w:t>)</w:t>
            </w:r>
          </w:p>
        </w:tc>
        <w:tc>
          <w:tcPr>
            <w:tcW w:w="0" w:type="pct"/>
            <w:vAlign w:val="center"/>
          </w:tcPr>
          <w:p w14:paraId="4F7FEF16" w14:textId="32D484E5" w:rsidR="0009632F" w:rsidRPr="0009632F" w:rsidRDefault="0009632F" w:rsidP="0009632F">
            <w:pPr>
              <w:cnfStyle w:val="000000000000" w:firstRow="0" w:lastRow="0" w:firstColumn="0" w:lastColumn="0" w:oddVBand="0" w:evenVBand="0" w:oddHBand="0" w:evenHBand="0" w:firstRowFirstColumn="0" w:firstRowLastColumn="0" w:lastRowFirstColumn="0" w:lastRowLastColumn="0"/>
              <w:rPr>
                <w:szCs w:val="20"/>
              </w:rPr>
            </w:pPr>
            <w:r w:rsidRPr="00CB0B09">
              <w:rPr>
                <w:rFonts w:asciiTheme="minorHAnsi" w:hAnsiTheme="minorHAnsi" w:cstheme="minorHAnsi"/>
                <w:szCs w:val="20"/>
                <w:lang w:val="fr-MA" w:eastAsia="fr-MA" w:bidi="ar-SA"/>
              </w:rPr>
              <w:t>Faible</w:t>
            </w:r>
          </w:p>
        </w:tc>
        <w:tc>
          <w:tcPr>
            <w:tcW w:w="0" w:type="pct"/>
            <w:vAlign w:val="center"/>
          </w:tcPr>
          <w:p w14:paraId="7A04074A" w14:textId="1DFB0901" w:rsidR="0009632F" w:rsidRPr="0009632F" w:rsidRDefault="0009632F" w:rsidP="0009632F">
            <w:pPr>
              <w:cnfStyle w:val="000000000000" w:firstRow="0" w:lastRow="0" w:firstColumn="0" w:lastColumn="0" w:oddVBand="0" w:evenVBand="0" w:oddHBand="0" w:evenHBand="0" w:firstRowFirstColumn="0" w:firstRowLastColumn="0" w:lastRowFirstColumn="0" w:lastRowLastColumn="0"/>
              <w:rPr>
                <w:szCs w:val="20"/>
              </w:rPr>
            </w:pPr>
            <w:r w:rsidRPr="00CB0B09">
              <w:rPr>
                <w:rFonts w:asciiTheme="minorHAnsi" w:hAnsiTheme="minorHAnsi" w:cstheme="minorHAnsi"/>
                <w:szCs w:val="20"/>
                <w:lang w:val="fr-MA" w:eastAsia="fr-MA" w:bidi="ar-SA"/>
              </w:rPr>
              <w:t>Mineure</w:t>
            </w:r>
          </w:p>
        </w:tc>
      </w:tr>
    </w:tbl>
    <w:p w14:paraId="015AAF70" w14:textId="1BDA8D01" w:rsidR="00121761" w:rsidRDefault="00A441DE" w:rsidP="0001633E">
      <w:pPr>
        <w:pStyle w:val="AltTitle2"/>
        <w:numPr>
          <w:ilvl w:val="0"/>
          <w:numId w:val="106"/>
        </w:numPr>
      </w:pPr>
      <w:r w:rsidRPr="00A441DE">
        <w:t>Émission de gaz d’échappement (NOx, CO, SO</w:t>
      </w:r>
      <w:r w:rsidRPr="00A441DE">
        <w:rPr>
          <w:rFonts w:ascii="Cambria Math" w:hAnsi="Cambria Math" w:cs="Cambria Math"/>
        </w:rPr>
        <w:t>₂</w:t>
      </w:r>
      <w:r w:rsidRPr="00A441DE">
        <w:t>) et particules de combustion</w:t>
      </w:r>
    </w:p>
    <w:p w14:paraId="31DD58E2" w14:textId="77777777" w:rsidR="00A441DE" w:rsidRDefault="00A441DE" w:rsidP="00121761">
      <w:r w:rsidRPr="00A441DE">
        <w:t xml:space="preserve">Les émissions gazeuses et particulaires de combustion proviennent des moteurs diesel des engins de chantier, des camions de transport et des groupes électrogènes. </w:t>
      </w:r>
    </w:p>
    <w:p w14:paraId="1F1887DC" w14:textId="77777777" w:rsidR="00A441DE" w:rsidRDefault="00A441DE" w:rsidP="00121761">
      <w:r w:rsidRPr="00A441DE">
        <w:t xml:space="preserve">Le contexte de fond en gaz réglementés autour du site est plutôt bas (NO₂, SO₂), de sorte que la contribution du chantier se traduit surtout par une dégradation locale dans l’emprise aéroportuaire et ses abords immédiats. </w:t>
      </w:r>
    </w:p>
    <w:p w14:paraId="0A173836" w14:textId="7F2FBC26" w:rsidR="00A441DE" w:rsidRDefault="00A441DE" w:rsidP="00121761">
      <w:r w:rsidRPr="00A441DE">
        <w:t xml:space="preserve">Les vents dominants favorisent la dilution des gaz, mais peuvent aussi véhiculer les panaches vers le </w:t>
      </w:r>
      <w:r w:rsidR="003307A7">
        <w:t>nord et nord-ouest</w:t>
      </w:r>
      <w:r w:rsidRPr="00A441DE">
        <w:t xml:space="preserve"> ; inversement, des conditions stables (soirée/nuit, faible vent) peuvent créer des accumulations ponctuelles près des zones actives, affectant d’abord les travailleurs. </w:t>
      </w:r>
    </w:p>
    <w:p w14:paraId="52C9C44E" w14:textId="480A7B3A" w:rsidR="00121761" w:rsidRDefault="00A441DE" w:rsidP="00121761">
      <w:r w:rsidRPr="00A441DE">
        <w:t xml:space="preserve">L’impact est négatif, local, temporaire, de fréquence quotidienne et réversible ; l’intensité </w:t>
      </w:r>
      <w:r w:rsidR="00D3024F">
        <w:t>de l’</w:t>
      </w:r>
      <w:r w:rsidR="00311E49">
        <w:t>impact</w:t>
      </w:r>
      <w:r w:rsidR="00D3024F">
        <w:t xml:space="preserve"> </w:t>
      </w:r>
      <w:r w:rsidRPr="00A441DE">
        <w:t>est classée moyenne</w:t>
      </w:r>
      <w:r w:rsidR="00816470">
        <w:t>.</w:t>
      </w:r>
    </w:p>
    <w:tbl>
      <w:tblPr>
        <w:tblStyle w:val="TableauGrille1Clair-Accentuation111"/>
        <w:tblW w:w="5000" w:type="pct"/>
        <w:tblLook w:val="04A0" w:firstRow="1" w:lastRow="0" w:firstColumn="1" w:lastColumn="0" w:noHBand="0" w:noVBand="1"/>
      </w:tblPr>
      <w:tblGrid>
        <w:gridCol w:w="1623"/>
        <w:gridCol w:w="1917"/>
        <w:gridCol w:w="1655"/>
        <w:gridCol w:w="2685"/>
        <w:gridCol w:w="1180"/>
      </w:tblGrid>
      <w:tr w:rsidR="00827D44" w:rsidRPr="005D6B18" w14:paraId="5CC8A3CB" w14:textId="77777777" w:rsidTr="009505A2">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896" w:type="pct"/>
          </w:tcPr>
          <w:p w14:paraId="5F7A3400" w14:textId="6A668359" w:rsidR="00827D44" w:rsidRPr="00AA22F2" w:rsidRDefault="00827D44" w:rsidP="00827D44">
            <w:pPr>
              <w:rPr>
                <w:szCs w:val="20"/>
              </w:rPr>
            </w:pPr>
            <w:r w:rsidRPr="00AA22F2">
              <w:rPr>
                <w:szCs w:val="20"/>
              </w:rPr>
              <w:t>Impact</w:t>
            </w:r>
          </w:p>
        </w:tc>
        <w:tc>
          <w:tcPr>
            <w:tcW w:w="1058" w:type="pct"/>
          </w:tcPr>
          <w:p w14:paraId="6E29BD2A" w14:textId="79C9DFBF" w:rsidR="00827D44" w:rsidRPr="00AA22F2" w:rsidRDefault="00827D44" w:rsidP="00827D44">
            <w:pPr>
              <w:cnfStyle w:val="100000000000" w:firstRow="1" w:lastRow="0" w:firstColumn="0" w:lastColumn="0" w:oddVBand="0" w:evenVBand="0" w:oddHBand="0" w:evenHBand="0" w:firstRowFirstColumn="0" w:firstRowLastColumn="0" w:lastRowFirstColumn="0" w:lastRowLastColumn="0"/>
              <w:rPr>
                <w:szCs w:val="20"/>
              </w:rPr>
            </w:pPr>
            <w:r w:rsidRPr="00AA22F2">
              <w:rPr>
                <w:szCs w:val="20"/>
              </w:rPr>
              <w:t>Activités génératrices</w:t>
            </w:r>
          </w:p>
        </w:tc>
        <w:tc>
          <w:tcPr>
            <w:tcW w:w="913" w:type="pct"/>
            <w:vAlign w:val="center"/>
          </w:tcPr>
          <w:p w14:paraId="524AD3F1" w14:textId="50998A3D" w:rsidR="00827D44" w:rsidRPr="00AA22F2" w:rsidRDefault="00827D44" w:rsidP="00827D44">
            <w:pPr>
              <w:jc w:val="left"/>
              <w:cnfStyle w:val="100000000000" w:firstRow="1" w:lastRow="0" w:firstColumn="0" w:lastColumn="0" w:oddVBand="0" w:evenVBand="0" w:oddHBand="0" w:evenHBand="0" w:firstRowFirstColumn="0" w:firstRowLastColumn="0" w:lastRowFirstColumn="0" w:lastRowLastColumn="0"/>
              <w:rPr>
                <w:szCs w:val="20"/>
              </w:rPr>
            </w:pPr>
            <w:r w:rsidRPr="00AA22F2">
              <w:rPr>
                <w:szCs w:val="20"/>
              </w:rPr>
              <w:t>Critère</w:t>
            </w:r>
          </w:p>
        </w:tc>
        <w:tc>
          <w:tcPr>
            <w:tcW w:w="1482" w:type="pct"/>
          </w:tcPr>
          <w:p w14:paraId="1BB19CBE" w14:textId="2D5916B6" w:rsidR="00827D44" w:rsidRPr="00AA22F2" w:rsidRDefault="00827D44" w:rsidP="00827D44">
            <w:pPr>
              <w:cnfStyle w:val="100000000000" w:firstRow="1" w:lastRow="0" w:firstColumn="0" w:lastColumn="0" w:oddVBand="0" w:evenVBand="0" w:oddHBand="0" w:evenHBand="0" w:firstRowFirstColumn="0" w:firstRowLastColumn="0" w:lastRowFirstColumn="0" w:lastRowLastColumn="0"/>
              <w:rPr>
                <w:szCs w:val="20"/>
              </w:rPr>
            </w:pPr>
            <w:r w:rsidRPr="00AA22F2">
              <w:rPr>
                <w:szCs w:val="20"/>
              </w:rPr>
              <w:t>Justification</w:t>
            </w:r>
          </w:p>
        </w:tc>
        <w:tc>
          <w:tcPr>
            <w:tcW w:w="650" w:type="pct"/>
          </w:tcPr>
          <w:p w14:paraId="07D6F6D9" w14:textId="4DC901B5" w:rsidR="00827D44" w:rsidRPr="00AA22F2" w:rsidRDefault="00827D44" w:rsidP="00827D44">
            <w:pPr>
              <w:cnfStyle w:val="100000000000" w:firstRow="1" w:lastRow="0" w:firstColumn="0" w:lastColumn="0" w:oddVBand="0" w:evenVBand="0" w:oddHBand="0" w:evenHBand="0" w:firstRowFirstColumn="0" w:firstRowLastColumn="0" w:lastRowFirstColumn="0" w:lastRowLastColumn="0"/>
              <w:rPr>
                <w:szCs w:val="20"/>
              </w:rPr>
            </w:pPr>
            <w:r w:rsidRPr="00AA22F2">
              <w:rPr>
                <w:szCs w:val="20"/>
              </w:rPr>
              <w:t>Niveau</w:t>
            </w:r>
          </w:p>
        </w:tc>
      </w:tr>
      <w:tr w:rsidR="00CB0B09" w:rsidRPr="005D6B18" w14:paraId="7ACC87B7" w14:textId="77777777" w:rsidTr="009505A2">
        <w:tc>
          <w:tcPr>
            <w:cnfStyle w:val="001000000000" w:firstRow="0" w:lastRow="0" w:firstColumn="1" w:lastColumn="0" w:oddVBand="0" w:evenVBand="0" w:oddHBand="0" w:evenHBand="0" w:firstRowFirstColumn="0" w:firstRowLastColumn="0" w:lastRowFirstColumn="0" w:lastRowLastColumn="0"/>
            <w:tcW w:w="896" w:type="pct"/>
            <w:vMerge w:val="restart"/>
            <w:textDirection w:val="btLr"/>
            <w:vAlign w:val="center"/>
          </w:tcPr>
          <w:p w14:paraId="18408F18" w14:textId="77777777" w:rsidR="00CB0B09" w:rsidRPr="00AA22F2" w:rsidRDefault="00CB0B09" w:rsidP="004637C7">
            <w:pPr>
              <w:spacing w:before="0" w:after="0"/>
              <w:ind w:left="113" w:right="113"/>
              <w:jc w:val="center"/>
              <w:rPr>
                <w:b w:val="0"/>
                <w:bCs w:val="0"/>
                <w:szCs w:val="20"/>
              </w:rPr>
            </w:pPr>
            <w:r w:rsidRPr="00AA22F2">
              <w:rPr>
                <w:szCs w:val="20"/>
              </w:rPr>
              <w:t>Génération et émission des gaz d’échappement (NOx, CO, PM).</w:t>
            </w:r>
          </w:p>
        </w:tc>
        <w:tc>
          <w:tcPr>
            <w:tcW w:w="1058" w:type="pct"/>
            <w:vMerge w:val="restart"/>
            <w:vAlign w:val="center"/>
          </w:tcPr>
          <w:p w14:paraId="7FBE5838" w14:textId="77777777" w:rsidR="00CB0B09" w:rsidRPr="00AA22F2" w:rsidRDefault="00CB0B09" w:rsidP="004637C7">
            <w:pPr>
              <w:spacing w:before="0" w:after="0"/>
              <w:cnfStyle w:val="000000000000" w:firstRow="0" w:lastRow="0" w:firstColumn="0" w:lastColumn="0" w:oddVBand="0" w:evenVBand="0" w:oddHBand="0" w:evenHBand="0" w:firstRowFirstColumn="0" w:firstRowLastColumn="0" w:lastRowFirstColumn="0" w:lastRowLastColumn="0"/>
              <w:rPr>
                <w:szCs w:val="20"/>
              </w:rPr>
            </w:pPr>
            <w:r w:rsidRPr="00AA22F2">
              <w:rPr>
                <w:szCs w:val="20"/>
              </w:rPr>
              <w:t xml:space="preserve">Engins et véhicules diesel (bulldozers, pelles, compacteurs, camions) ; </w:t>
            </w:r>
          </w:p>
          <w:p w14:paraId="444B47A4" w14:textId="77777777" w:rsidR="00CB0B09" w:rsidRPr="00AA22F2" w:rsidRDefault="00CB0B09" w:rsidP="004637C7">
            <w:pPr>
              <w:spacing w:before="0" w:after="0"/>
              <w:cnfStyle w:val="000000000000" w:firstRow="0" w:lastRow="0" w:firstColumn="0" w:lastColumn="0" w:oddVBand="0" w:evenVBand="0" w:oddHBand="0" w:evenHBand="0" w:firstRowFirstColumn="0" w:firstRowLastColumn="0" w:lastRowFirstColumn="0" w:lastRowLastColumn="0"/>
              <w:rPr>
                <w:szCs w:val="20"/>
              </w:rPr>
            </w:pPr>
            <w:r w:rsidRPr="00AA22F2">
              <w:rPr>
                <w:szCs w:val="20"/>
              </w:rPr>
              <w:t xml:space="preserve">Groupes électrogènes ; </w:t>
            </w:r>
          </w:p>
          <w:p w14:paraId="320A2B4D" w14:textId="0F17CEAE" w:rsidR="00CB0B09" w:rsidRPr="00AA22F2" w:rsidRDefault="00CB0B09" w:rsidP="004637C7">
            <w:pPr>
              <w:spacing w:before="0" w:after="0"/>
              <w:cnfStyle w:val="000000000000" w:firstRow="0" w:lastRow="0" w:firstColumn="0" w:lastColumn="0" w:oddVBand="0" w:evenVBand="0" w:oddHBand="0" w:evenHBand="0" w:firstRowFirstColumn="0" w:firstRowLastColumn="0" w:lastRowFirstColumn="0" w:lastRowLastColumn="0"/>
              <w:rPr>
                <w:szCs w:val="20"/>
              </w:rPr>
            </w:pPr>
            <w:r w:rsidRPr="00AA22F2">
              <w:rPr>
                <w:szCs w:val="20"/>
              </w:rPr>
              <w:t>Trafic routier d’accès</w:t>
            </w:r>
            <w:r w:rsidR="002B020D">
              <w:rPr>
                <w:szCs w:val="20"/>
              </w:rPr>
              <w:t>.</w:t>
            </w:r>
          </w:p>
        </w:tc>
        <w:tc>
          <w:tcPr>
            <w:tcW w:w="913" w:type="pct"/>
            <w:tcBorders>
              <w:right w:val="single" w:sz="4" w:space="0" w:color="BFBFBF" w:themeColor="background1" w:themeShade="BF"/>
            </w:tcBorders>
            <w:vAlign w:val="center"/>
          </w:tcPr>
          <w:p w14:paraId="4B2C01C3" w14:textId="77777777" w:rsidR="00CB0B09" w:rsidRPr="00AA22F2" w:rsidRDefault="00CB0B09" w:rsidP="004637C7">
            <w:pPr>
              <w:spacing w:before="0" w:after="0"/>
              <w:jc w:val="left"/>
              <w:cnfStyle w:val="000000000000" w:firstRow="0" w:lastRow="0" w:firstColumn="0" w:lastColumn="0" w:oddVBand="0" w:evenVBand="0" w:oddHBand="0" w:evenHBand="0" w:firstRowFirstColumn="0" w:firstRowLastColumn="0" w:lastRowFirstColumn="0" w:lastRowLastColumn="0"/>
              <w:rPr>
                <w:b/>
                <w:bCs/>
                <w:szCs w:val="20"/>
              </w:rPr>
            </w:pPr>
            <w:r w:rsidRPr="00AA22F2">
              <w:rPr>
                <w:b/>
                <w:bCs/>
                <w:szCs w:val="20"/>
              </w:rPr>
              <w:t>Nature</w:t>
            </w:r>
          </w:p>
        </w:tc>
        <w:tc>
          <w:tcPr>
            <w:tcW w:w="2132" w:type="pct"/>
            <w:gridSpan w:val="2"/>
            <w:tcBorders>
              <w:left w:val="single" w:sz="4" w:space="0" w:color="BFBFBF" w:themeColor="background1" w:themeShade="BF"/>
            </w:tcBorders>
          </w:tcPr>
          <w:p w14:paraId="724C790B" w14:textId="77777777" w:rsidR="00CB0B09" w:rsidRPr="00AA22F2" w:rsidRDefault="00CB0B09" w:rsidP="004637C7">
            <w:pPr>
              <w:spacing w:before="0" w:after="0"/>
              <w:cnfStyle w:val="000000000000" w:firstRow="0" w:lastRow="0" w:firstColumn="0" w:lastColumn="0" w:oddVBand="0" w:evenVBand="0" w:oddHBand="0" w:evenHBand="0" w:firstRowFirstColumn="0" w:firstRowLastColumn="0" w:lastRowFirstColumn="0" w:lastRowLastColumn="0"/>
              <w:rPr>
                <w:szCs w:val="20"/>
              </w:rPr>
            </w:pPr>
            <w:r w:rsidRPr="00AA22F2">
              <w:rPr>
                <w:szCs w:val="20"/>
              </w:rPr>
              <w:t>Négatif direct</w:t>
            </w:r>
          </w:p>
        </w:tc>
      </w:tr>
      <w:tr w:rsidR="00CB0B09" w:rsidRPr="005D6B18" w14:paraId="7B5D7236" w14:textId="77777777" w:rsidTr="009505A2">
        <w:tc>
          <w:tcPr>
            <w:cnfStyle w:val="001000000000" w:firstRow="0" w:lastRow="0" w:firstColumn="1" w:lastColumn="0" w:oddVBand="0" w:evenVBand="0" w:oddHBand="0" w:evenHBand="0" w:firstRowFirstColumn="0" w:firstRowLastColumn="0" w:lastRowFirstColumn="0" w:lastRowLastColumn="0"/>
            <w:tcW w:w="896" w:type="pct"/>
            <w:vMerge/>
            <w:vAlign w:val="center"/>
          </w:tcPr>
          <w:p w14:paraId="137F66E7" w14:textId="77777777" w:rsidR="00CB0B09" w:rsidRPr="00AA22F2" w:rsidRDefault="00CB0B09" w:rsidP="000A3EA4">
            <w:pPr>
              <w:jc w:val="left"/>
              <w:rPr>
                <w:b w:val="0"/>
                <w:bCs w:val="0"/>
                <w:szCs w:val="20"/>
              </w:rPr>
            </w:pPr>
          </w:p>
        </w:tc>
        <w:tc>
          <w:tcPr>
            <w:tcW w:w="1058" w:type="pct"/>
            <w:vMerge/>
            <w:vAlign w:val="center"/>
          </w:tcPr>
          <w:p w14:paraId="199B634B" w14:textId="77777777" w:rsidR="00CB0B09" w:rsidRPr="00AA22F2" w:rsidRDefault="00CB0B09" w:rsidP="000A3EA4">
            <w:pPr>
              <w:jc w:val="left"/>
              <w:cnfStyle w:val="000000000000" w:firstRow="0" w:lastRow="0" w:firstColumn="0" w:lastColumn="0" w:oddVBand="0" w:evenVBand="0" w:oddHBand="0" w:evenHBand="0" w:firstRowFirstColumn="0" w:firstRowLastColumn="0" w:lastRowFirstColumn="0" w:lastRowLastColumn="0"/>
              <w:rPr>
                <w:b/>
                <w:bCs/>
                <w:szCs w:val="20"/>
              </w:rPr>
            </w:pPr>
          </w:p>
        </w:tc>
        <w:tc>
          <w:tcPr>
            <w:tcW w:w="913" w:type="pct"/>
            <w:tcBorders>
              <w:right w:val="single" w:sz="4" w:space="0" w:color="BFBFBF" w:themeColor="background1" w:themeShade="BF"/>
            </w:tcBorders>
            <w:vAlign w:val="center"/>
          </w:tcPr>
          <w:p w14:paraId="793CF0A3" w14:textId="77777777" w:rsidR="00CB0B09" w:rsidRPr="00AA22F2" w:rsidRDefault="00CB0B09" w:rsidP="000A3EA4">
            <w:pPr>
              <w:jc w:val="left"/>
              <w:cnfStyle w:val="000000000000" w:firstRow="0" w:lastRow="0" w:firstColumn="0" w:lastColumn="0" w:oddVBand="0" w:evenVBand="0" w:oddHBand="0" w:evenHBand="0" w:firstRowFirstColumn="0" w:firstRowLastColumn="0" w:lastRowFirstColumn="0" w:lastRowLastColumn="0"/>
              <w:rPr>
                <w:b/>
                <w:bCs/>
                <w:szCs w:val="20"/>
              </w:rPr>
            </w:pPr>
            <w:r w:rsidRPr="00AA22F2">
              <w:rPr>
                <w:b/>
                <w:bCs/>
                <w:szCs w:val="20"/>
              </w:rPr>
              <w:t>Étendue</w:t>
            </w:r>
          </w:p>
        </w:tc>
        <w:tc>
          <w:tcPr>
            <w:tcW w:w="1482" w:type="pct"/>
            <w:tcBorders>
              <w:left w:val="single" w:sz="4" w:space="0" w:color="BFBFBF" w:themeColor="background1" w:themeShade="BF"/>
            </w:tcBorders>
          </w:tcPr>
          <w:p w14:paraId="31E8867E" w14:textId="7BD90FAE" w:rsidR="00CB0B09" w:rsidRPr="00AA22F2" w:rsidRDefault="00CB0B09" w:rsidP="000A3EA4">
            <w:pPr>
              <w:cnfStyle w:val="000000000000" w:firstRow="0" w:lastRow="0" w:firstColumn="0" w:lastColumn="0" w:oddVBand="0" w:evenVBand="0" w:oddHBand="0" w:evenHBand="0" w:firstRowFirstColumn="0" w:firstRowLastColumn="0" w:lastRowFirstColumn="0" w:lastRowLastColumn="0"/>
              <w:rPr>
                <w:szCs w:val="20"/>
              </w:rPr>
            </w:pPr>
            <w:r w:rsidRPr="00AA22F2">
              <w:rPr>
                <w:szCs w:val="20"/>
              </w:rPr>
              <w:t xml:space="preserve">Emprise aéroportuaire et abords immédiats ; Dispersion ponctuelle sous le vent vers </w:t>
            </w:r>
            <w:r w:rsidR="0050084E">
              <w:rPr>
                <w:szCs w:val="20"/>
              </w:rPr>
              <w:t>NNO</w:t>
            </w:r>
            <w:r w:rsidRPr="00AA22F2">
              <w:rPr>
                <w:szCs w:val="20"/>
              </w:rPr>
              <w:t xml:space="preserve"> ; perception très ponctuelle possible vers</w:t>
            </w:r>
            <w:r w:rsidR="0050084E">
              <w:rPr>
                <w:szCs w:val="20"/>
              </w:rPr>
              <w:t xml:space="preserve"> Bouakkaz</w:t>
            </w:r>
          </w:p>
        </w:tc>
        <w:tc>
          <w:tcPr>
            <w:tcW w:w="650" w:type="pct"/>
          </w:tcPr>
          <w:p w14:paraId="407C4B31" w14:textId="77777777" w:rsidR="00CB0B09" w:rsidRPr="00AA22F2" w:rsidRDefault="00CB0B09" w:rsidP="000A3EA4">
            <w:pPr>
              <w:cnfStyle w:val="000000000000" w:firstRow="0" w:lastRow="0" w:firstColumn="0" w:lastColumn="0" w:oddVBand="0" w:evenVBand="0" w:oddHBand="0" w:evenHBand="0" w:firstRowFirstColumn="0" w:firstRowLastColumn="0" w:lastRowFirstColumn="0" w:lastRowLastColumn="0"/>
              <w:rPr>
                <w:szCs w:val="20"/>
              </w:rPr>
            </w:pPr>
            <w:r w:rsidRPr="00AA22F2">
              <w:rPr>
                <w:szCs w:val="20"/>
              </w:rPr>
              <w:t>Locale</w:t>
            </w:r>
          </w:p>
        </w:tc>
      </w:tr>
      <w:tr w:rsidR="00CB0B09" w:rsidRPr="005D6B18" w14:paraId="548DB6A7" w14:textId="77777777" w:rsidTr="009505A2">
        <w:tc>
          <w:tcPr>
            <w:cnfStyle w:val="001000000000" w:firstRow="0" w:lastRow="0" w:firstColumn="1" w:lastColumn="0" w:oddVBand="0" w:evenVBand="0" w:oddHBand="0" w:evenHBand="0" w:firstRowFirstColumn="0" w:firstRowLastColumn="0" w:lastRowFirstColumn="0" w:lastRowLastColumn="0"/>
            <w:tcW w:w="896" w:type="pct"/>
            <w:vMerge/>
            <w:vAlign w:val="center"/>
          </w:tcPr>
          <w:p w14:paraId="4AF37289" w14:textId="77777777" w:rsidR="00CB0B09" w:rsidRPr="00AA22F2" w:rsidRDefault="00CB0B09" w:rsidP="000A3EA4">
            <w:pPr>
              <w:jc w:val="left"/>
              <w:rPr>
                <w:b w:val="0"/>
                <w:bCs w:val="0"/>
                <w:szCs w:val="20"/>
              </w:rPr>
            </w:pPr>
          </w:p>
        </w:tc>
        <w:tc>
          <w:tcPr>
            <w:tcW w:w="1058" w:type="pct"/>
            <w:vMerge/>
            <w:vAlign w:val="center"/>
          </w:tcPr>
          <w:p w14:paraId="787DC16A" w14:textId="77777777" w:rsidR="00CB0B09" w:rsidRPr="00AA22F2" w:rsidRDefault="00CB0B09" w:rsidP="000A3EA4">
            <w:pPr>
              <w:jc w:val="left"/>
              <w:cnfStyle w:val="000000000000" w:firstRow="0" w:lastRow="0" w:firstColumn="0" w:lastColumn="0" w:oddVBand="0" w:evenVBand="0" w:oddHBand="0" w:evenHBand="0" w:firstRowFirstColumn="0" w:firstRowLastColumn="0" w:lastRowFirstColumn="0" w:lastRowLastColumn="0"/>
              <w:rPr>
                <w:b/>
                <w:bCs/>
                <w:szCs w:val="20"/>
              </w:rPr>
            </w:pPr>
          </w:p>
        </w:tc>
        <w:tc>
          <w:tcPr>
            <w:tcW w:w="913" w:type="pct"/>
            <w:tcBorders>
              <w:right w:val="single" w:sz="4" w:space="0" w:color="BFBFBF" w:themeColor="background1" w:themeShade="BF"/>
            </w:tcBorders>
            <w:vAlign w:val="center"/>
          </w:tcPr>
          <w:p w14:paraId="0B7202F0" w14:textId="77777777" w:rsidR="00CB0B09" w:rsidRPr="00AA22F2" w:rsidRDefault="00CB0B09" w:rsidP="000A3EA4">
            <w:pPr>
              <w:jc w:val="left"/>
              <w:cnfStyle w:val="000000000000" w:firstRow="0" w:lastRow="0" w:firstColumn="0" w:lastColumn="0" w:oddVBand="0" w:evenVBand="0" w:oddHBand="0" w:evenHBand="0" w:firstRowFirstColumn="0" w:firstRowLastColumn="0" w:lastRowFirstColumn="0" w:lastRowLastColumn="0"/>
              <w:rPr>
                <w:b/>
                <w:bCs/>
                <w:szCs w:val="20"/>
              </w:rPr>
            </w:pPr>
            <w:r w:rsidRPr="00AA22F2">
              <w:rPr>
                <w:b/>
                <w:bCs/>
                <w:szCs w:val="20"/>
              </w:rPr>
              <w:t>Durée</w:t>
            </w:r>
          </w:p>
        </w:tc>
        <w:tc>
          <w:tcPr>
            <w:tcW w:w="1482" w:type="pct"/>
            <w:tcBorders>
              <w:left w:val="single" w:sz="4" w:space="0" w:color="BFBFBF" w:themeColor="background1" w:themeShade="BF"/>
            </w:tcBorders>
          </w:tcPr>
          <w:p w14:paraId="2FE75561" w14:textId="77777777" w:rsidR="00CB0B09" w:rsidRPr="00AA22F2" w:rsidRDefault="00CB0B09" w:rsidP="000A3EA4">
            <w:pPr>
              <w:cnfStyle w:val="000000000000" w:firstRow="0" w:lastRow="0" w:firstColumn="0" w:lastColumn="0" w:oddVBand="0" w:evenVBand="0" w:oddHBand="0" w:evenHBand="0" w:firstRowFirstColumn="0" w:firstRowLastColumn="0" w:lastRowFirstColumn="0" w:lastRowLastColumn="0"/>
              <w:rPr>
                <w:szCs w:val="20"/>
              </w:rPr>
            </w:pPr>
            <w:r w:rsidRPr="00AA22F2">
              <w:rPr>
                <w:szCs w:val="20"/>
              </w:rPr>
              <w:t>Limitée à la durée des travaux et aux séquences actives</w:t>
            </w:r>
          </w:p>
        </w:tc>
        <w:tc>
          <w:tcPr>
            <w:tcW w:w="650" w:type="pct"/>
          </w:tcPr>
          <w:p w14:paraId="58C339D0" w14:textId="77777777" w:rsidR="00CB0B09" w:rsidRPr="00AA22F2" w:rsidRDefault="00CB0B09" w:rsidP="000A3EA4">
            <w:pPr>
              <w:cnfStyle w:val="000000000000" w:firstRow="0" w:lastRow="0" w:firstColumn="0" w:lastColumn="0" w:oddVBand="0" w:evenVBand="0" w:oddHBand="0" w:evenHBand="0" w:firstRowFirstColumn="0" w:firstRowLastColumn="0" w:lastRowFirstColumn="0" w:lastRowLastColumn="0"/>
              <w:rPr>
                <w:b/>
                <w:bCs/>
                <w:szCs w:val="20"/>
              </w:rPr>
            </w:pPr>
            <w:r w:rsidRPr="00AA22F2">
              <w:rPr>
                <w:szCs w:val="20"/>
              </w:rPr>
              <w:t>À court terme</w:t>
            </w:r>
          </w:p>
        </w:tc>
      </w:tr>
      <w:tr w:rsidR="00CB0B09" w:rsidRPr="005D6B18" w14:paraId="76936494" w14:textId="77777777" w:rsidTr="009505A2">
        <w:tc>
          <w:tcPr>
            <w:cnfStyle w:val="001000000000" w:firstRow="0" w:lastRow="0" w:firstColumn="1" w:lastColumn="0" w:oddVBand="0" w:evenVBand="0" w:oddHBand="0" w:evenHBand="0" w:firstRowFirstColumn="0" w:firstRowLastColumn="0" w:lastRowFirstColumn="0" w:lastRowLastColumn="0"/>
            <w:tcW w:w="896" w:type="pct"/>
            <w:vMerge/>
            <w:vAlign w:val="center"/>
          </w:tcPr>
          <w:p w14:paraId="5BA5198E" w14:textId="77777777" w:rsidR="00CB0B09" w:rsidRPr="00AA22F2" w:rsidRDefault="00CB0B09" w:rsidP="000A3EA4">
            <w:pPr>
              <w:jc w:val="left"/>
              <w:rPr>
                <w:b w:val="0"/>
                <w:bCs w:val="0"/>
                <w:szCs w:val="20"/>
              </w:rPr>
            </w:pPr>
          </w:p>
        </w:tc>
        <w:tc>
          <w:tcPr>
            <w:tcW w:w="1058" w:type="pct"/>
            <w:vMerge/>
            <w:vAlign w:val="center"/>
          </w:tcPr>
          <w:p w14:paraId="67D24436" w14:textId="77777777" w:rsidR="00CB0B09" w:rsidRPr="00AA22F2" w:rsidRDefault="00CB0B09" w:rsidP="000A3EA4">
            <w:pPr>
              <w:jc w:val="left"/>
              <w:cnfStyle w:val="000000000000" w:firstRow="0" w:lastRow="0" w:firstColumn="0" w:lastColumn="0" w:oddVBand="0" w:evenVBand="0" w:oddHBand="0" w:evenHBand="0" w:firstRowFirstColumn="0" w:firstRowLastColumn="0" w:lastRowFirstColumn="0" w:lastRowLastColumn="0"/>
              <w:rPr>
                <w:b/>
                <w:bCs/>
                <w:szCs w:val="20"/>
              </w:rPr>
            </w:pPr>
          </w:p>
        </w:tc>
        <w:tc>
          <w:tcPr>
            <w:tcW w:w="913" w:type="pct"/>
            <w:tcBorders>
              <w:right w:val="single" w:sz="4" w:space="0" w:color="BFBFBF" w:themeColor="background1" w:themeShade="BF"/>
            </w:tcBorders>
            <w:vAlign w:val="center"/>
          </w:tcPr>
          <w:p w14:paraId="088FAD7A" w14:textId="77777777" w:rsidR="00CB0B09" w:rsidRPr="00AA22F2" w:rsidRDefault="00CB0B09" w:rsidP="000A3EA4">
            <w:pPr>
              <w:jc w:val="left"/>
              <w:cnfStyle w:val="000000000000" w:firstRow="0" w:lastRow="0" w:firstColumn="0" w:lastColumn="0" w:oddVBand="0" w:evenVBand="0" w:oddHBand="0" w:evenHBand="0" w:firstRowFirstColumn="0" w:firstRowLastColumn="0" w:lastRowFirstColumn="0" w:lastRowLastColumn="0"/>
              <w:rPr>
                <w:b/>
                <w:bCs/>
                <w:szCs w:val="20"/>
              </w:rPr>
            </w:pPr>
            <w:r w:rsidRPr="00AA22F2">
              <w:rPr>
                <w:b/>
                <w:bCs/>
                <w:szCs w:val="20"/>
              </w:rPr>
              <w:t>Fréquence</w:t>
            </w:r>
          </w:p>
        </w:tc>
        <w:tc>
          <w:tcPr>
            <w:tcW w:w="1482" w:type="pct"/>
            <w:tcBorders>
              <w:left w:val="single" w:sz="4" w:space="0" w:color="BFBFBF" w:themeColor="background1" w:themeShade="BF"/>
            </w:tcBorders>
          </w:tcPr>
          <w:p w14:paraId="0AFEDD57" w14:textId="77777777" w:rsidR="00CB0B09" w:rsidRPr="00AA22F2" w:rsidRDefault="00CB0B09" w:rsidP="000A3EA4">
            <w:pPr>
              <w:cnfStyle w:val="000000000000" w:firstRow="0" w:lastRow="0" w:firstColumn="0" w:lastColumn="0" w:oddVBand="0" w:evenVBand="0" w:oddHBand="0" w:evenHBand="0" w:firstRowFirstColumn="0" w:firstRowLastColumn="0" w:lastRowFirstColumn="0" w:lastRowLastColumn="0"/>
              <w:rPr>
                <w:szCs w:val="20"/>
              </w:rPr>
            </w:pPr>
            <w:r w:rsidRPr="00AA22F2">
              <w:rPr>
                <w:szCs w:val="20"/>
              </w:rPr>
              <w:t>Continue/quotidienne pendant les opérations (fonctionnement des engins, logistique).</w:t>
            </w:r>
          </w:p>
        </w:tc>
        <w:tc>
          <w:tcPr>
            <w:tcW w:w="650" w:type="pct"/>
          </w:tcPr>
          <w:p w14:paraId="6E7E1909" w14:textId="77777777" w:rsidR="00CB0B09" w:rsidRPr="00AA22F2" w:rsidRDefault="00CB0B09" w:rsidP="000A3EA4">
            <w:pPr>
              <w:cnfStyle w:val="000000000000" w:firstRow="0" w:lastRow="0" w:firstColumn="0" w:lastColumn="0" w:oddVBand="0" w:evenVBand="0" w:oddHBand="0" w:evenHBand="0" w:firstRowFirstColumn="0" w:firstRowLastColumn="0" w:lastRowFirstColumn="0" w:lastRowLastColumn="0"/>
              <w:rPr>
                <w:b/>
                <w:bCs/>
                <w:szCs w:val="20"/>
              </w:rPr>
            </w:pPr>
            <w:r w:rsidRPr="00AA22F2">
              <w:rPr>
                <w:szCs w:val="20"/>
              </w:rPr>
              <w:t>Continue</w:t>
            </w:r>
          </w:p>
        </w:tc>
      </w:tr>
      <w:tr w:rsidR="00CB0B09" w:rsidRPr="005D6B18" w14:paraId="332C27F3" w14:textId="77777777" w:rsidTr="009505A2">
        <w:tc>
          <w:tcPr>
            <w:cnfStyle w:val="001000000000" w:firstRow="0" w:lastRow="0" w:firstColumn="1" w:lastColumn="0" w:oddVBand="0" w:evenVBand="0" w:oddHBand="0" w:evenHBand="0" w:firstRowFirstColumn="0" w:firstRowLastColumn="0" w:lastRowFirstColumn="0" w:lastRowLastColumn="0"/>
            <w:tcW w:w="896" w:type="pct"/>
            <w:vMerge/>
            <w:vAlign w:val="center"/>
          </w:tcPr>
          <w:p w14:paraId="0F867AC7" w14:textId="77777777" w:rsidR="00CB0B09" w:rsidRPr="00AA22F2" w:rsidRDefault="00CB0B09" w:rsidP="000A3EA4">
            <w:pPr>
              <w:jc w:val="left"/>
              <w:rPr>
                <w:b w:val="0"/>
                <w:bCs w:val="0"/>
                <w:szCs w:val="20"/>
              </w:rPr>
            </w:pPr>
          </w:p>
        </w:tc>
        <w:tc>
          <w:tcPr>
            <w:tcW w:w="1058" w:type="pct"/>
            <w:vMerge/>
            <w:vAlign w:val="center"/>
          </w:tcPr>
          <w:p w14:paraId="3520E542" w14:textId="77777777" w:rsidR="00CB0B09" w:rsidRPr="00AA22F2" w:rsidRDefault="00CB0B09" w:rsidP="000A3EA4">
            <w:pPr>
              <w:jc w:val="left"/>
              <w:cnfStyle w:val="000000000000" w:firstRow="0" w:lastRow="0" w:firstColumn="0" w:lastColumn="0" w:oddVBand="0" w:evenVBand="0" w:oddHBand="0" w:evenHBand="0" w:firstRowFirstColumn="0" w:firstRowLastColumn="0" w:lastRowFirstColumn="0" w:lastRowLastColumn="0"/>
              <w:rPr>
                <w:b/>
                <w:bCs/>
                <w:szCs w:val="20"/>
              </w:rPr>
            </w:pPr>
          </w:p>
        </w:tc>
        <w:tc>
          <w:tcPr>
            <w:tcW w:w="913" w:type="pct"/>
            <w:tcBorders>
              <w:right w:val="single" w:sz="4" w:space="0" w:color="BFBFBF" w:themeColor="background1" w:themeShade="BF"/>
            </w:tcBorders>
            <w:shd w:val="clear" w:color="auto" w:fill="D9E2F3" w:themeFill="accent1" w:themeFillTint="33"/>
            <w:vAlign w:val="center"/>
          </w:tcPr>
          <w:p w14:paraId="4A07DAF6" w14:textId="77777777" w:rsidR="00CB0B09" w:rsidRPr="00AA22F2" w:rsidRDefault="00CB0B09" w:rsidP="000A3EA4">
            <w:pPr>
              <w:jc w:val="left"/>
              <w:cnfStyle w:val="000000000000" w:firstRow="0" w:lastRow="0" w:firstColumn="0" w:lastColumn="0" w:oddVBand="0" w:evenVBand="0" w:oddHBand="0" w:evenHBand="0" w:firstRowFirstColumn="0" w:firstRowLastColumn="0" w:lastRowFirstColumn="0" w:lastRowLastColumn="0"/>
              <w:rPr>
                <w:b/>
                <w:bCs/>
                <w:szCs w:val="20"/>
              </w:rPr>
            </w:pPr>
            <w:r w:rsidRPr="00AA22F2">
              <w:rPr>
                <w:b/>
                <w:bCs/>
                <w:szCs w:val="20"/>
              </w:rPr>
              <w:t xml:space="preserve">Intensité de l’impact </w:t>
            </w:r>
          </w:p>
        </w:tc>
        <w:tc>
          <w:tcPr>
            <w:tcW w:w="1482" w:type="pct"/>
            <w:tcBorders>
              <w:left w:val="single" w:sz="4" w:space="0" w:color="BFBFBF" w:themeColor="background1" w:themeShade="BF"/>
            </w:tcBorders>
            <w:shd w:val="clear" w:color="auto" w:fill="D9E2F3" w:themeFill="accent1" w:themeFillTint="33"/>
          </w:tcPr>
          <w:p w14:paraId="2A67DBDF" w14:textId="77777777" w:rsidR="00CB0B09" w:rsidRPr="00AA22F2" w:rsidRDefault="00CB0B09" w:rsidP="000A3EA4">
            <w:pPr>
              <w:cnfStyle w:val="000000000000" w:firstRow="0" w:lastRow="0" w:firstColumn="0" w:lastColumn="0" w:oddVBand="0" w:evenVBand="0" w:oddHBand="0" w:evenHBand="0" w:firstRowFirstColumn="0" w:firstRowLastColumn="0" w:lastRowFirstColumn="0" w:lastRowLastColumn="0"/>
              <w:rPr>
                <w:szCs w:val="20"/>
              </w:rPr>
            </w:pPr>
            <w:r w:rsidRPr="00AA22F2">
              <w:rPr>
                <w:szCs w:val="20"/>
              </w:rPr>
              <w:t xml:space="preserve">Émissions perceptibles mais maîtrisables par maintenance des moteurs, limitation des temps de marche à vide, plan de circulation et renouvellement </w:t>
            </w:r>
            <w:r w:rsidRPr="00AA22F2">
              <w:rPr>
                <w:szCs w:val="20"/>
              </w:rPr>
              <w:lastRenderedPageBreak/>
              <w:t>progressif/Filtre DPF si disponible.</w:t>
            </w:r>
          </w:p>
        </w:tc>
        <w:tc>
          <w:tcPr>
            <w:tcW w:w="650" w:type="pct"/>
            <w:shd w:val="clear" w:color="auto" w:fill="D9E2F3" w:themeFill="accent1" w:themeFillTint="33"/>
          </w:tcPr>
          <w:p w14:paraId="6D6ABEF1" w14:textId="77777777" w:rsidR="00CB0B09" w:rsidRPr="00AA22F2" w:rsidRDefault="00CB0B09" w:rsidP="000A3EA4">
            <w:pPr>
              <w:cnfStyle w:val="000000000000" w:firstRow="0" w:lastRow="0" w:firstColumn="0" w:lastColumn="0" w:oddVBand="0" w:evenVBand="0" w:oddHBand="0" w:evenHBand="0" w:firstRowFirstColumn="0" w:firstRowLastColumn="0" w:lastRowFirstColumn="0" w:lastRowLastColumn="0"/>
              <w:rPr>
                <w:b/>
                <w:bCs/>
                <w:szCs w:val="20"/>
              </w:rPr>
            </w:pPr>
            <w:r w:rsidRPr="00AA22F2">
              <w:rPr>
                <w:b/>
                <w:bCs/>
                <w:szCs w:val="20"/>
              </w:rPr>
              <w:lastRenderedPageBreak/>
              <w:t>Moyenne</w:t>
            </w:r>
          </w:p>
        </w:tc>
      </w:tr>
      <w:tr w:rsidR="00CB0B09" w:rsidRPr="005D6B18" w14:paraId="34BED25B" w14:textId="77777777" w:rsidTr="009505A2">
        <w:tc>
          <w:tcPr>
            <w:cnfStyle w:val="001000000000" w:firstRow="0" w:lastRow="0" w:firstColumn="1" w:lastColumn="0" w:oddVBand="0" w:evenVBand="0" w:oddHBand="0" w:evenHBand="0" w:firstRowFirstColumn="0" w:firstRowLastColumn="0" w:lastRowFirstColumn="0" w:lastRowLastColumn="0"/>
            <w:tcW w:w="896" w:type="pct"/>
            <w:vMerge/>
            <w:vAlign w:val="center"/>
          </w:tcPr>
          <w:p w14:paraId="7768E63C" w14:textId="77777777" w:rsidR="00CB0B09" w:rsidRPr="00AA22F2" w:rsidRDefault="00CB0B09" w:rsidP="004637C7">
            <w:pPr>
              <w:spacing w:before="0" w:after="0"/>
              <w:jc w:val="left"/>
              <w:rPr>
                <w:b w:val="0"/>
                <w:bCs w:val="0"/>
                <w:szCs w:val="20"/>
              </w:rPr>
            </w:pPr>
          </w:p>
        </w:tc>
        <w:tc>
          <w:tcPr>
            <w:tcW w:w="4104" w:type="pct"/>
            <w:gridSpan w:val="4"/>
            <w:vAlign w:val="center"/>
          </w:tcPr>
          <w:p w14:paraId="51408F1B" w14:textId="77777777" w:rsidR="00CB0B09" w:rsidRPr="00AA22F2" w:rsidRDefault="00CB0B09" w:rsidP="004637C7">
            <w:pPr>
              <w:spacing w:before="0" w:after="0"/>
              <w:cnfStyle w:val="000000000000" w:firstRow="0" w:lastRow="0" w:firstColumn="0" w:lastColumn="0" w:oddVBand="0" w:evenVBand="0" w:oddHBand="0" w:evenHBand="0" w:firstRowFirstColumn="0" w:firstRowLastColumn="0" w:lastRowFirstColumn="0" w:lastRowLastColumn="0"/>
              <w:rPr>
                <w:b/>
                <w:bCs/>
                <w:szCs w:val="20"/>
              </w:rPr>
            </w:pPr>
          </w:p>
        </w:tc>
      </w:tr>
      <w:tr w:rsidR="00024224" w:rsidRPr="005D6B18" w14:paraId="4A01ED24" w14:textId="77777777" w:rsidTr="009505A2">
        <w:tc>
          <w:tcPr>
            <w:cnfStyle w:val="001000000000" w:firstRow="0" w:lastRow="0" w:firstColumn="1" w:lastColumn="0" w:oddVBand="0" w:evenVBand="0" w:oddHBand="0" w:evenHBand="0" w:firstRowFirstColumn="0" w:firstRowLastColumn="0" w:lastRowFirstColumn="0" w:lastRowLastColumn="0"/>
            <w:tcW w:w="896" w:type="pct"/>
            <w:vMerge/>
            <w:vAlign w:val="center"/>
          </w:tcPr>
          <w:p w14:paraId="2F58FB51" w14:textId="77777777" w:rsidR="00CB0B09" w:rsidRPr="00AA22F2" w:rsidRDefault="00CB0B09" w:rsidP="00CB0B09">
            <w:pPr>
              <w:jc w:val="left"/>
              <w:rPr>
                <w:b w:val="0"/>
                <w:bCs w:val="0"/>
                <w:szCs w:val="20"/>
              </w:rPr>
            </w:pPr>
          </w:p>
        </w:tc>
        <w:tc>
          <w:tcPr>
            <w:tcW w:w="1058" w:type="pct"/>
            <w:shd w:val="clear" w:color="auto" w:fill="B4C6E7" w:themeFill="accent1" w:themeFillTint="66"/>
            <w:vAlign w:val="center"/>
          </w:tcPr>
          <w:p w14:paraId="03AE0DFF" w14:textId="6D96A856" w:rsidR="00CB0B09" w:rsidRPr="00AA22F2" w:rsidRDefault="00CB0B09" w:rsidP="00CB0B09">
            <w:pPr>
              <w:jc w:val="left"/>
              <w:cnfStyle w:val="000000000000" w:firstRow="0" w:lastRow="0" w:firstColumn="0" w:lastColumn="0" w:oddVBand="0" w:evenVBand="0" w:oddHBand="0" w:evenHBand="0" w:firstRowFirstColumn="0" w:firstRowLastColumn="0" w:lastRowFirstColumn="0" w:lastRowLastColumn="0"/>
              <w:rPr>
                <w:b/>
                <w:bCs/>
                <w:szCs w:val="20"/>
              </w:rPr>
            </w:pPr>
            <w:r w:rsidRPr="005D6B18">
              <w:rPr>
                <w:b/>
                <w:bCs/>
                <w:szCs w:val="20"/>
              </w:rPr>
              <w:t>Intensité de l’impact</w:t>
            </w:r>
          </w:p>
        </w:tc>
        <w:tc>
          <w:tcPr>
            <w:tcW w:w="913" w:type="pct"/>
            <w:tcBorders>
              <w:right w:val="single" w:sz="4" w:space="0" w:color="BFBFBF" w:themeColor="background1" w:themeShade="BF"/>
            </w:tcBorders>
            <w:shd w:val="clear" w:color="auto" w:fill="B4C6E7" w:themeFill="accent1" w:themeFillTint="66"/>
            <w:vAlign w:val="center"/>
          </w:tcPr>
          <w:p w14:paraId="475BB29F" w14:textId="47C4D617" w:rsidR="00CB0B09" w:rsidRPr="00AA22F2" w:rsidRDefault="00CB0B09" w:rsidP="00CB0B09">
            <w:pPr>
              <w:jc w:val="left"/>
              <w:cnfStyle w:val="000000000000" w:firstRow="0" w:lastRow="0" w:firstColumn="0" w:lastColumn="0" w:oddVBand="0" w:evenVBand="0" w:oddHBand="0" w:evenHBand="0" w:firstRowFirstColumn="0" w:firstRowLastColumn="0" w:lastRowFirstColumn="0" w:lastRowLastColumn="0"/>
              <w:rPr>
                <w:b/>
                <w:bCs/>
                <w:szCs w:val="20"/>
              </w:rPr>
            </w:pPr>
            <w:r w:rsidRPr="005D6B18">
              <w:rPr>
                <w:b/>
                <w:bCs/>
                <w:szCs w:val="20"/>
              </w:rPr>
              <w:t>Récepteurs</w:t>
            </w:r>
          </w:p>
        </w:tc>
        <w:tc>
          <w:tcPr>
            <w:tcW w:w="1482" w:type="pct"/>
            <w:tcBorders>
              <w:left w:val="single" w:sz="4" w:space="0" w:color="BFBFBF" w:themeColor="background1" w:themeShade="BF"/>
            </w:tcBorders>
            <w:shd w:val="clear" w:color="auto" w:fill="B4C6E7" w:themeFill="accent1" w:themeFillTint="66"/>
            <w:vAlign w:val="center"/>
          </w:tcPr>
          <w:p w14:paraId="23E06670" w14:textId="65560B17" w:rsidR="00CB0B09" w:rsidRPr="00AA22F2" w:rsidRDefault="00CB0B09" w:rsidP="00CB0B09">
            <w:pPr>
              <w:cnfStyle w:val="000000000000" w:firstRow="0" w:lastRow="0" w:firstColumn="0" w:lastColumn="0" w:oddVBand="0" w:evenVBand="0" w:oddHBand="0" w:evenHBand="0" w:firstRowFirstColumn="0" w:firstRowLastColumn="0" w:lastRowFirstColumn="0" w:lastRowLastColumn="0"/>
              <w:rPr>
                <w:szCs w:val="20"/>
              </w:rPr>
            </w:pPr>
            <w:r w:rsidRPr="005D6B18">
              <w:rPr>
                <w:b/>
                <w:bCs/>
                <w:szCs w:val="20"/>
              </w:rPr>
              <w:t>Sensibilité</w:t>
            </w:r>
          </w:p>
        </w:tc>
        <w:tc>
          <w:tcPr>
            <w:tcW w:w="650" w:type="pct"/>
            <w:shd w:val="clear" w:color="auto" w:fill="B4C6E7" w:themeFill="accent1" w:themeFillTint="66"/>
            <w:vAlign w:val="center"/>
          </w:tcPr>
          <w:p w14:paraId="72C6A702" w14:textId="30F47049" w:rsidR="00CB0B09" w:rsidRPr="00AA22F2" w:rsidRDefault="00CB0B09" w:rsidP="00CB0B09">
            <w:pPr>
              <w:cnfStyle w:val="000000000000" w:firstRow="0" w:lastRow="0" w:firstColumn="0" w:lastColumn="0" w:oddVBand="0" w:evenVBand="0" w:oddHBand="0" w:evenHBand="0" w:firstRowFirstColumn="0" w:firstRowLastColumn="0" w:lastRowFirstColumn="0" w:lastRowLastColumn="0"/>
              <w:rPr>
                <w:b/>
                <w:bCs/>
                <w:szCs w:val="20"/>
              </w:rPr>
            </w:pPr>
            <w:r w:rsidRPr="005D6B18">
              <w:rPr>
                <w:b/>
                <w:bCs/>
                <w:szCs w:val="20"/>
              </w:rPr>
              <w:t>Importance de l’impact</w:t>
            </w:r>
          </w:p>
        </w:tc>
      </w:tr>
      <w:tr w:rsidR="00CB0B09" w:rsidRPr="005D6B18" w14:paraId="7865A98B" w14:textId="77777777" w:rsidTr="009505A2">
        <w:tc>
          <w:tcPr>
            <w:cnfStyle w:val="001000000000" w:firstRow="0" w:lastRow="0" w:firstColumn="1" w:lastColumn="0" w:oddVBand="0" w:evenVBand="0" w:oddHBand="0" w:evenHBand="0" w:firstRowFirstColumn="0" w:firstRowLastColumn="0" w:lastRowFirstColumn="0" w:lastRowLastColumn="0"/>
            <w:tcW w:w="896" w:type="pct"/>
            <w:vMerge/>
            <w:vAlign w:val="center"/>
          </w:tcPr>
          <w:p w14:paraId="1413E637" w14:textId="77777777" w:rsidR="00CB0B09" w:rsidRPr="00AA22F2" w:rsidRDefault="00CB0B09" w:rsidP="00CB0B09">
            <w:pPr>
              <w:jc w:val="left"/>
              <w:rPr>
                <w:b w:val="0"/>
                <w:bCs w:val="0"/>
                <w:szCs w:val="20"/>
              </w:rPr>
            </w:pPr>
          </w:p>
        </w:tc>
        <w:tc>
          <w:tcPr>
            <w:tcW w:w="1058" w:type="pct"/>
            <w:vMerge w:val="restart"/>
            <w:vAlign w:val="center"/>
          </w:tcPr>
          <w:p w14:paraId="5A7387D9" w14:textId="0A082F9D" w:rsidR="00CB0B09" w:rsidRPr="00AA22F2" w:rsidRDefault="00CB0B09" w:rsidP="00CB0B09">
            <w:pPr>
              <w:jc w:val="left"/>
              <w:cnfStyle w:val="000000000000" w:firstRow="0" w:lastRow="0" w:firstColumn="0" w:lastColumn="0" w:oddVBand="0" w:evenVBand="0" w:oddHBand="0" w:evenHBand="0" w:firstRowFirstColumn="0" w:firstRowLastColumn="0" w:lastRowFirstColumn="0" w:lastRowLastColumn="0"/>
              <w:rPr>
                <w:b/>
                <w:bCs/>
                <w:szCs w:val="20"/>
              </w:rPr>
            </w:pPr>
            <w:r w:rsidRPr="00AA22F2">
              <w:rPr>
                <w:b/>
                <w:bCs/>
                <w:szCs w:val="20"/>
              </w:rPr>
              <w:t>Moyenne</w:t>
            </w:r>
          </w:p>
        </w:tc>
        <w:tc>
          <w:tcPr>
            <w:tcW w:w="913" w:type="pct"/>
            <w:tcBorders>
              <w:right w:val="single" w:sz="4" w:space="0" w:color="BFBFBF" w:themeColor="background1" w:themeShade="BF"/>
            </w:tcBorders>
            <w:vAlign w:val="center"/>
          </w:tcPr>
          <w:p w14:paraId="1D2F6EB2" w14:textId="4B770983" w:rsidR="00CB0B09" w:rsidRPr="00AA22F2" w:rsidRDefault="00CB0B09" w:rsidP="00CB0B09">
            <w:pPr>
              <w:jc w:val="left"/>
              <w:cnfStyle w:val="000000000000" w:firstRow="0" w:lastRow="0" w:firstColumn="0" w:lastColumn="0" w:oddVBand="0" w:evenVBand="0" w:oddHBand="0" w:evenHBand="0" w:firstRowFirstColumn="0" w:firstRowLastColumn="0" w:lastRowFirstColumn="0" w:lastRowLastColumn="0"/>
              <w:rPr>
                <w:b/>
                <w:bCs/>
                <w:szCs w:val="20"/>
              </w:rPr>
            </w:pPr>
            <w:r w:rsidRPr="005D6B18">
              <w:rPr>
                <w:rFonts w:asciiTheme="minorHAnsi" w:hAnsiTheme="minorHAnsi" w:cstheme="minorHAnsi"/>
                <w:szCs w:val="20"/>
                <w:lang w:val="fr-MA" w:eastAsia="fr-MA" w:bidi="ar-SA"/>
              </w:rPr>
              <w:t>Personnel de chantier</w:t>
            </w:r>
          </w:p>
        </w:tc>
        <w:tc>
          <w:tcPr>
            <w:tcW w:w="1482" w:type="pct"/>
            <w:tcBorders>
              <w:left w:val="single" w:sz="4" w:space="0" w:color="BFBFBF" w:themeColor="background1" w:themeShade="BF"/>
            </w:tcBorders>
            <w:vAlign w:val="center"/>
          </w:tcPr>
          <w:p w14:paraId="3FB6547E" w14:textId="30B4D483" w:rsidR="00CB0B09" w:rsidRPr="00AA22F2" w:rsidRDefault="00CB0B09" w:rsidP="00CB0B09">
            <w:pPr>
              <w:cnfStyle w:val="000000000000" w:firstRow="0" w:lastRow="0" w:firstColumn="0" w:lastColumn="0" w:oddVBand="0" w:evenVBand="0" w:oddHBand="0" w:evenHBand="0" w:firstRowFirstColumn="0" w:firstRowLastColumn="0" w:lastRowFirstColumn="0" w:lastRowLastColumn="0"/>
              <w:rPr>
                <w:szCs w:val="20"/>
              </w:rPr>
            </w:pPr>
            <w:r w:rsidRPr="005D6B18">
              <w:rPr>
                <w:rFonts w:asciiTheme="minorHAnsi" w:hAnsiTheme="minorHAnsi" w:cstheme="minorHAnsi"/>
                <w:szCs w:val="20"/>
                <w:lang w:val="fr-MA" w:eastAsia="fr-MA" w:bidi="ar-SA"/>
              </w:rPr>
              <w:t>Forte</w:t>
            </w:r>
          </w:p>
        </w:tc>
        <w:tc>
          <w:tcPr>
            <w:tcW w:w="650" w:type="pct"/>
            <w:vAlign w:val="center"/>
          </w:tcPr>
          <w:p w14:paraId="50D43798" w14:textId="24496AFA" w:rsidR="00CB0B09" w:rsidRPr="00AA22F2" w:rsidRDefault="00CB0B09" w:rsidP="00CB0B09">
            <w:pPr>
              <w:cnfStyle w:val="000000000000" w:firstRow="0" w:lastRow="0" w:firstColumn="0" w:lastColumn="0" w:oddVBand="0" w:evenVBand="0" w:oddHBand="0" w:evenHBand="0" w:firstRowFirstColumn="0" w:firstRowLastColumn="0" w:lastRowFirstColumn="0" w:lastRowLastColumn="0"/>
              <w:rPr>
                <w:b/>
                <w:bCs/>
                <w:szCs w:val="20"/>
              </w:rPr>
            </w:pPr>
            <w:r w:rsidRPr="005D6B18">
              <w:rPr>
                <w:rFonts w:asciiTheme="minorHAnsi" w:hAnsiTheme="minorHAnsi" w:cstheme="minorHAnsi"/>
                <w:szCs w:val="20"/>
                <w:lang w:val="fr-MA" w:eastAsia="fr-MA" w:bidi="ar-SA"/>
              </w:rPr>
              <w:t>Majeure</w:t>
            </w:r>
          </w:p>
        </w:tc>
      </w:tr>
      <w:tr w:rsidR="00CB0B09" w:rsidRPr="005D6B18" w14:paraId="4935FC3A" w14:textId="77777777" w:rsidTr="009505A2">
        <w:tc>
          <w:tcPr>
            <w:cnfStyle w:val="001000000000" w:firstRow="0" w:lastRow="0" w:firstColumn="1" w:lastColumn="0" w:oddVBand="0" w:evenVBand="0" w:oddHBand="0" w:evenHBand="0" w:firstRowFirstColumn="0" w:firstRowLastColumn="0" w:lastRowFirstColumn="0" w:lastRowLastColumn="0"/>
            <w:tcW w:w="896" w:type="pct"/>
            <w:vMerge/>
            <w:vAlign w:val="center"/>
          </w:tcPr>
          <w:p w14:paraId="377BED94" w14:textId="77777777" w:rsidR="00CB0B09" w:rsidRPr="00AA22F2" w:rsidRDefault="00CB0B09" w:rsidP="00CB0B09">
            <w:pPr>
              <w:jc w:val="left"/>
              <w:rPr>
                <w:b w:val="0"/>
                <w:bCs w:val="0"/>
                <w:szCs w:val="20"/>
              </w:rPr>
            </w:pPr>
          </w:p>
        </w:tc>
        <w:tc>
          <w:tcPr>
            <w:tcW w:w="1058" w:type="pct"/>
            <w:vMerge/>
            <w:vAlign w:val="center"/>
          </w:tcPr>
          <w:p w14:paraId="2856112C" w14:textId="77777777" w:rsidR="00CB0B09" w:rsidRPr="00AA22F2" w:rsidRDefault="00CB0B09" w:rsidP="00CB0B09">
            <w:pPr>
              <w:jc w:val="left"/>
              <w:cnfStyle w:val="000000000000" w:firstRow="0" w:lastRow="0" w:firstColumn="0" w:lastColumn="0" w:oddVBand="0" w:evenVBand="0" w:oddHBand="0" w:evenHBand="0" w:firstRowFirstColumn="0" w:firstRowLastColumn="0" w:lastRowFirstColumn="0" w:lastRowLastColumn="0"/>
              <w:rPr>
                <w:b/>
                <w:bCs/>
                <w:szCs w:val="20"/>
              </w:rPr>
            </w:pPr>
          </w:p>
        </w:tc>
        <w:tc>
          <w:tcPr>
            <w:tcW w:w="913" w:type="pct"/>
            <w:tcBorders>
              <w:right w:val="single" w:sz="4" w:space="0" w:color="BFBFBF" w:themeColor="background1" w:themeShade="BF"/>
            </w:tcBorders>
            <w:vAlign w:val="center"/>
          </w:tcPr>
          <w:p w14:paraId="08DD86A0" w14:textId="2F99B3F1" w:rsidR="00CB0B09" w:rsidRPr="00AA22F2" w:rsidRDefault="00CB0B09" w:rsidP="00CB0B09">
            <w:pPr>
              <w:jc w:val="left"/>
              <w:cnfStyle w:val="000000000000" w:firstRow="0" w:lastRow="0" w:firstColumn="0" w:lastColumn="0" w:oddVBand="0" w:evenVBand="0" w:oddHBand="0" w:evenHBand="0" w:firstRowFirstColumn="0" w:firstRowLastColumn="0" w:lastRowFirstColumn="0" w:lastRowLastColumn="0"/>
              <w:rPr>
                <w:b/>
                <w:bCs/>
                <w:szCs w:val="20"/>
              </w:rPr>
            </w:pPr>
            <w:r w:rsidRPr="005D6B18">
              <w:rPr>
                <w:rFonts w:asciiTheme="minorHAnsi" w:hAnsiTheme="minorHAnsi" w:cstheme="minorHAnsi"/>
                <w:szCs w:val="20"/>
                <w:lang w:val="fr-MA" w:eastAsia="fr-MA" w:bidi="ar-SA"/>
              </w:rPr>
              <w:t>Usagers/aéroport</w:t>
            </w:r>
          </w:p>
        </w:tc>
        <w:tc>
          <w:tcPr>
            <w:tcW w:w="1482" w:type="pct"/>
            <w:tcBorders>
              <w:left w:val="single" w:sz="4" w:space="0" w:color="BFBFBF" w:themeColor="background1" w:themeShade="BF"/>
            </w:tcBorders>
            <w:vAlign w:val="center"/>
          </w:tcPr>
          <w:p w14:paraId="35826019" w14:textId="3698E417" w:rsidR="00CB0B09" w:rsidRPr="00AA22F2" w:rsidRDefault="00CB0B09" w:rsidP="00CB0B09">
            <w:pPr>
              <w:cnfStyle w:val="000000000000" w:firstRow="0" w:lastRow="0" w:firstColumn="0" w:lastColumn="0" w:oddVBand="0" w:evenVBand="0" w:oddHBand="0" w:evenHBand="0" w:firstRowFirstColumn="0" w:firstRowLastColumn="0" w:lastRowFirstColumn="0" w:lastRowLastColumn="0"/>
              <w:rPr>
                <w:szCs w:val="20"/>
              </w:rPr>
            </w:pPr>
            <w:r w:rsidRPr="005D6B18">
              <w:rPr>
                <w:rFonts w:asciiTheme="minorHAnsi" w:hAnsiTheme="minorHAnsi" w:cstheme="minorHAnsi"/>
                <w:szCs w:val="20"/>
                <w:lang w:val="fr-MA" w:eastAsia="fr-MA" w:bidi="ar-SA"/>
              </w:rPr>
              <w:t>Faible</w:t>
            </w:r>
          </w:p>
        </w:tc>
        <w:tc>
          <w:tcPr>
            <w:tcW w:w="650" w:type="pct"/>
            <w:vAlign w:val="center"/>
          </w:tcPr>
          <w:p w14:paraId="65AD6CDB" w14:textId="22732165" w:rsidR="00CB0B09" w:rsidRPr="00AA22F2" w:rsidRDefault="00CB0B09" w:rsidP="00CB0B09">
            <w:pPr>
              <w:cnfStyle w:val="000000000000" w:firstRow="0" w:lastRow="0" w:firstColumn="0" w:lastColumn="0" w:oddVBand="0" w:evenVBand="0" w:oddHBand="0" w:evenHBand="0" w:firstRowFirstColumn="0" w:firstRowLastColumn="0" w:lastRowFirstColumn="0" w:lastRowLastColumn="0"/>
              <w:rPr>
                <w:b/>
                <w:bCs/>
                <w:szCs w:val="20"/>
              </w:rPr>
            </w:pPr>
            <w:r w:rsidRPr="005D6B18">
              <w:rPr>
                <w:rFonts w:asciiTheme="minorHAnsi" w:hAnsiTheme="minorHAnsi" w:cstheme="minorHAnsi"/>
                <w:szCs w:val="20"/>
                <w:lang w:val="fr-MA" w:eastAsia="fr-MA" w:bidi="ar-SA"/>
              </w:rPr>
              <w:t>Mineure</w:t>
            </w:r>
          </w:p>
        </w:tc>
      </w:tr>
      <w:tr w:rsidR="00CB0B09" w:rsidRPr="005D6B18" w14:paraId="5D72FC77" w14:textId="77777777" w:rsidTr="009505A2">
        <w:tc>
          <w:tcPr>
            <w:cnfStyle w:val="001000000000" w:firstRow="0" w:lastRow="0" w:firstColumn="1" w:lastColumn="0" w:oddVBand="0" w:evenVBand="0" w:oddHBand="0" w:evenHBand="0" w:firstRowFirstColumn="0" w:firstRowLastColumn="0" w:lastRowFirstColumn="0" w:lastRowLastColumn="0"/>
            <w:tcW w:w="896" w:type="pct"/>
            <w:vMerge/>
            <w:vAlign w:val="center"/>
          </w:tcPr>
          <w:p w14:paraId="688E6074" w14:textId="77777777" w:rsidR="00CB0B09" w:rsidRPr="00AA22F2" w:rsidRDefault="00CB0B09" w:rsidP="00CB0B09">
            <w:pPr>
              <w:jc w:val="left"/>
              <w:rPr>
                <w:b w:val="0"/>
                <w:bCs w:val="0"/>
                <w:szCs w:val="20"/>
              </w:rPr>
            </w:pPr>
          </w:p>
        </w:tc>
        <w:tc>
          <w:tcPr>
            <w:tcW w:w="1058" w:type="pct"/>
            <w:vMerge/>
            <w:vAlign w:val="center"/>
          </w:tcPr>
          <w:p w14:paraId="39173861" w14:textId="77777777" w:rsidR="00CB0B09" w:rsidRPr="00AA22F2" w:rsidRDefault="00CB0B09" w:rsidP="00CB0B09">
            <w:pPr>
              <w:jc w:val="left"/>
              <w:cnfStyle w:val="000000000000" w:firstRow="0" w:lastRow="0" w:firstColumn="0" w:lastColumn="0" w:oddVBand="0" w:evenVBand="0" w:oddHBand="0" w:evenHBand="0" w:firstRowFirstColumn="0" w:firstRowLastColumn="0" w:lastRowFirstColumn="0" w:lastRowLastColumn="0"/>
              <w:rPr>
                <w:b/>
                <w:bCs/>
                <w:szCs w:val="20"/>
              </w:rPr>
            </w:pPr>
          </w:p>
        </w:tc>
        <w:tc>
          <w:tcPr>
            <w:tcW w:w="913" w:type="pct"/>
            <w:tcBorders>
              <w:right w:val="single" w:sz="4" w:space="0" w:color="BFBFBF" w:themeColor="background1" w:themeShade="BF"/>
            </w:tcBorders>
            <w:vAlign w:val="center"/>
          </w:tcPr>
          <w:p w14:paraId="4ADAACD7" w14:textId="0E3CF938" w:rsidR="00CB0B09" w:rsidRPr="00AA22F2" w:rsidRDefault="00CB0B09" w:rsidP="00CB0B09">
            <w:pPr>
              <w:jc w:val="left"/>
              <w:cnfStyle w:val="000000000000" w:firstRow="0" w:lastRow="0" w:firstColumn="0" w:lastColumn="0" w:oddVBand="0" w:evenVBand="0" w:oddHBand="0" w:evenHBand="0" w:firstRowFirstColumn="0" w:firstRowLastColumn="0" w:lastRowFirstColumn="0" w:lastRowLastColumn="0"/>
              <w:rPr>
                <w:b/>
                <w:bCs/>
                <w:szCs w:val="20"/>
              </w:rPr>
            </w:pPr>
            <w:r w:rsidRPr="005D6B18">
              <w:rPr>
                <w:rFonts w:asciiTheme="minorHAnsi" w:hAnsiTheme="minorHAnsi" w:cstheme="minorHAnsi"/>
                <w:szCs w:val="20"/>
                <w:lang w:val="fr-MA" w:eastAsia="fr-MA" w:bidi="ar-SA"/>
              </w:rPr>
              <w:t xml:space="preserve">Habitations (notamment </w:t>
            </w:r>
            <w:r w:rsidR="005A7989">
              <w:rPr>
                <w:rFonts w:asciiTheme="minorHAnsi" w:hAnsiTheme="minorHAnsi" w:cstheme="minorHAnsi"/>
                <w:szCs w:val="20"/>
                <w:lang w:val="fr-MA" w:eastAsia="fr-MA" w:bidi="ar-SA"/>
              </w:rPr>
              <w:t>Bouakkaz</w:t>
            </w:r>
            <w:r w:rsidRPr="005D6B18">
              <w:rPr>
                <w:rFonts w:asciiTheme="minorHAnsi" w:hAnsiTheme="minorHAnsi" w:cstheme="minorHAnsi"/>
                <w:szCs w:val="20"/>
                <w:lang w:val="fr-MA" w:eastAsia="fr-MA" w:bidi="ar-SA"/>
              </w:rPr>
              <w:t>)</w:t>
            </w:r>
          </w:p>
        </w:tc>
        <w:tc>
          <w:tcPr>
            <w:tcW w:w="1482" w:type="pct"/>
            <w:tcBorders>
              <w:left w:val="single" w:sz="4" w:space="0" w:color="BFBFBF" w:themeColor="background1" w:themeShade="BF"/>
            </w:tcBorders>
            <w:vAlign w:val="center"/>
          </w:tcPr>
          <w:p w14:paraId="42259882" w14:textId="44B25C62" w:rsidR="00CB0B09" w:rsidRPr="00AA22F2" w:rsidRDefault="00CB0B09" w:rsidP="00CB0B09">
            <w:pPr>
              <w:cnfStyle w:val="000000000000" w:firstRow="0" w:lastRow="0" w:firstColumn="0" w:lastColumn="0" w:oddVBand="0" w:evenVBand="0" w:oddHBand="0" w:evenHBand="0" w:firstRowFirstColumn="0" w:firstRowLastColumn="0" w:lastRowFirstColumn="0" w:lastRowLastColumn="0"/>
              <w:rPr>
                <w:szCs w:val="20"/>
              </w:rPr>
            </w:pPr>
            <w:r w:rsidRPr="005D6B18">
              <w:rPr>
                <w:rFonts w:asciiTheme="minorHAnsi" w:hAnsiTheme="minorHAnsi" w:cstheme="minorHAnsi"/>
                <w:szCs w:val="20"/>
                <w:lang w:val="fr-MA" w:eastAsia="fr-MA" w:bidi="ar-SA"/>
              </w:rPr>
              <w:t>Faible</w:t>
            </w:r>
          </w:p>
        </w:tc>
        <w:tc>
          <w:tcPr>
            <w:tcW w:w="650" w:type="pct"/>
            <w:vAlign w:val="center"/>
          </w:tcPr>
          <w:p w14:paraId="37589C5A" w14:textId="098EEFD3" w:rsidR="00CB0B09" w:rsidRPr="00AA22F2" w:rsidRDefault="00CB0B09" w:rsidP="00CB0B09">
            <w:pPr>
              <w:cnfStyle w:val="000000000000" w:firstRow="0" w:lastRow="0" w:firstColumn="0" w:lastColumn="0" w:oddVBand="0" w:evenVBand="0" w:oddHBand="0" w:evenHBand="0" w:firstRowFirstColumn="0" w:firstRowLastColumn="0" w:lastRowFirstColumn="0" w:lastRowLastColumn="0"/>
              <w:rPr>
                <w:b/>
                <w:bCs/>
                <w:szCs w:val="20"/>
              </w:rPr>
            </w:pPr>
            <w:r w:rsidRPr="005D6B18">
              <w:rPr>
                <w:rFonts w:asciiTheme="minorHAnsi" w:hAnsiTheme="minorHAnsi" w:cstheme="minorHAnsi"/>
                <w:szCs w:val="20"/>
                <w:lang w:val="fr-MA" w:eastAsia="fr-MA" w:bidi="ar-SA"/>
              </w:rPr>
              <w:t>Mineure</w:t>
            </w:r>
          </w:p>
        </w:tc>
      </w:tr>
    </w:tbl>
    <w:p w14:paraId="01A5F4A0" w14:textId="59D8F5B2" w:rsidR="00121761" w:rsidRPr="00121761" w:rsidRDefault="00A441DE" w:rsidP="0001633E">
      <w:pPr>
        <w:pStyle w:val="AltTitle2"/>
        <w:numPr>
          <w:ilvl w:val="0"/>
          <w:numId w:val="106"/>
        </w:numPr>
      </w:pPr>
      <w:r w:rsidRPr="00A441DE">
        <w:t>Émission d’odeurs / COV</w:t>
      </w:r>
    </w:p>
    <w:p w14:paraId="24EC67F0" w14:textId="7C2273C0" w:rsidR="00A441DE" w:rsidRDefault="00A441DE" w:rsidP="00A441DE">
      <w:r w:rsidRPr="00A441DE">
        <w:t xml:space="preserve">Les odeurs et COV sont associés au stockage/transvasement de carburants, solvants et peintures, et aux travaux d’enrobés/bitume. </w:t>
      </w:r>
    </w:p>
    <w:p w14:paraId="246E4C1A" w14:textId="77777777" w:rsidR="00A441DE" w:rsidRDefault="00A441DE" w:rsidP="00A441DE">
      <w:r w:rsidRPr="00A441DE">
        <w:t xml:space="preserve">Les émissions sont très localisées aux zones de manipulation et se manifestent surtout sous le vent immédiat ; elles sont brèves et intermittentes, avec une dissipation rapide en extérieur. </w:t>
      </w:r>
    </w:p>
    <w:p w14:paraId="2DF900B9" w14:textId="17868910" w:rsidR="00A441DE" w:rsidRPr="00A441DE" w:rsidRDefault="00A441DE" w:rsidP="004637C7">
      <w:r w:rsidRPr="00A441DE">
        <w:t xml:space="preserve">Les travailleurs et usagers de proximité sont les premiers récepteurs ; les habitations sont rarement concernées, sauf conditions défavorables (vents portant directement vers un récepteur très proche). L’impact est négatif, ponctuel, réversible ; l’intensité </w:t>
      </w:r>
      <w:r>
        <w:t xml:space="preserve">de l’impact est jugée </w:t>
      </w:r>
      <w:r w:rsidRPr="00A441DE">
        <w:t>faible</w:t>
      </w:r>
      <w:r>
        <w:t>.</w:t>
      </w:r>
    </w:p>
    <w:tbl>
      <w:tblPr>
        <w:tblStyle w:val="TableauGrille1Clair-Accentuation111"/>
        <w:tblW w:w="5000" w:type="pct"/>
        <w:tblLook w:val="04A0" w:firstRow="1" w:lastRow="0" w:firstColumn="1" w:lastColumn="0" w:noHBand="0" w:noVBand="1"/>
      </w:tblPr>
      <w:tblGrid>
        <w:gridCol w:w="1331"/>
        <w:gridCol w:w="2069"/>
        <w:gridCol w:w="1655"/>
        <w:gridCol w:w="2684"/>
        <w:gridCol w:w="1321"/>
      </w:tblGrid>
      <w:tr w:rsidR="00827D44" w:rsidRPr="002B020D" w14:paraId="0CFE28C1" w14:textId="77777777" w:rsidTr="009505A2">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735" w:type="pct"/>
          </w:tcPr>
          <w:p w14:paraId="6C6E37C2" w14:textId="68958069" w:rsidR="00827D44" w:rsidRPr="004637C7" w:rsidRDefault="00827D44" w:rsidP="00827D44">
            <w:pPr>
              <w:rPr>
                <w:szCs w:val="20"/>
              </w:rPr>
            </w:pPr>
            <w:bookmarkStart w:id="398" w:name="_Hlk210402101"/>
            <w:r w:rsidRPr="00AA22F2">
              <w:rPr>
                <w:szCs w:val="20"/>
              </w:rPr>
              <w:t>Impact</w:t>
            </w:r>
          </w:p>
        </w:tc>
        <w:tc>
          <w:tcPr>
            <w:tcW w:w="1142" w:type="pct"/>
          </w:tcPr>
          <w:p w14:paraId="5E1F963C" w14:textId="4A6C30CF" w:rsidR="00827D44" w:rsidRPr="004637C7" w:rsidRDefault="00827D44" w:rsidP="00827D44">
            <w:pPr>
              <w:cnfStyle w:val="100000000000" w:firstRow="1" w:lastRow="0" w:firstColumn="0" w:lastColumn="0" w:oddVBand="0" w:evenVBand="0" w:oddHBand="0" w:evenHBand="0" w:firstRowFirstColumn="0" w:firstRowLastColumn="0" w:lastRowFirstColumn="0" w:lastRowLastColumn="0"/>
              <w:rPr>
                <w:szCs w:val="20"/>
              </w:rPr>
            </w:pPr>
            <w:r w:rsidRPr="00AA22F2">
              <w:rPr>
                <w:szCs w:val="20"/>
              </w:rPr>
              <w:t>Activités génératrices</w:t>
            </w:r>
          </w:p>
        </w:tc>
        <w:tc>
          <w:tcPr>
            <w:tcW w:w="913" w:type="pct"/>
            <w:vAlign w:val="center"/>
          </w:tcPr>
          <w:p w14:paraId="2A0BCA1D" w14:textId="339947EC" w:rsidR="00827D44" w:rsidRPr="00AA22F2" w:rsidRDefault="00827D44" w:rsidP="004637C7">
            <w:pPr>
              <w:jc w:val="left"/>
              <w:cnfStyle w:val="100000000000" w:firstRow="1" w:lastRow="0" w:firstColumn="0" w:lastColumn="0" w:oddVBand="0" w:evenVBand="0" w:oddHBand="0" w:evenHBand="0" w:firstRowFirstColumn="0" w:firstRowLastColumn="0" w:lastRowFirstColumn="0" w:lastRowLastColumn="0"/>
              <w:rPr>
                <w:szCs w:val="20"/>
              </w:rPr>
            </w:pPr>
            <w:r w:rsidRPr="00AA22F2">
              <w:rPr>
                <w:szCs w:val="20"/>
              </w:rPr>
              <w:t>Critère</w:t>
            </w:r>
          </w:p>
        </w:tc>
        <w:tc>
          <w:tcPr>
            <w:tcW w:w="1481" w:type="pct"/>
          </w:tcPr>
          <w:p w14:paraId="215596C6" w14:textId="1A68F098" w:rsidR="00827D44" w:rsidRPr="00AA22F2" w:rsidRDefault="00827D44" w:rsidP="00827D44">
            <w:pPr>
              <w:cnfStyle w:val="100000000000" w:firstRow="1" w:lastRow="0" w:firstColumn="0" w:lastColumn="0" w:oddVBand="0" w:evenVBand="0" w:oddHBand="0" w:evenHBand="0" w:firstRowFirstColumn="0" w:firstRowLastColumn="0" w:lastRowFirstColumn="0" w:lastRowLastColumn="0"/>
              <w:rPr>
                <w:szCs w:val="20"/>
              </w:rPr>
            </w:pPr>
            <w:r w:rsidRPr="00AA22F2">
              <w:rPr>
                <w:szCs w:val="20"/>
              </w:rPr>
              <w:t>Justification</w:t>
            </w:r>
          </w:p>
        </w:tc>
        <w:tc>
          <w:tcPr>
            <w:tcW w:w="729" w:type="pct"/>
          </w:tcPr>
          <w:p w14:paraId="6B85F468" w14:textId="46E2B21D" w:rsidR="00827D44" w:rsidRPr="00AA22F2" w:rsidRDefault="00827D44" w:rsidP="00827D44">
            <w:pPr>
              <w:cnfStyle w:val="100000000000" w:firstRow="1" w:lastRow="0" w:firstColumn="0" w:lastColumn="0" w:oddVBand="0" w:evenVBand="0" w:oddHBand="0" w:evenHBand="0" w:firstRowFirstColumn="0" w:firstRowLastColumn="0" w:lastRowFirstColumn="0" w:lastRowLastColumn="0"/>
              <w:rPr>
                <w:szCs w:val="20"/>
              </w:rPr>
            </w:pPr>
            <w:r w:rsidRPr="00AA22F2">
              <w:rPr>
                <w:szCs w:val="20"/>
              </w:rPr>
              <w:t>Niveau</w:t>
            </w:r>
          </w:p>
        </w:tc>
      </w:tr>
      <w:tr w:rsidR="00B3062D" w:rsidRPr="00B3062D" w14:paraId="5377448B" w14:textId="77777777" w:rsidTr="009505A2">
        <w:tc>
          <w:tcPr>
            <w:cnfStyle w:val="001000000000" w:firstRow="0" w:lastRow="0" w:firstColumn="1" w:lastColumn="0" w:oddVBand="0" w:evenVBand="0" w:oddHBand="0" w:evenHBand="0" w:firstRowFirstColumn="0" w:firstRowLastColumn="0" w:lastRowFirstColumn="0" w:lastRowLastColumn="0"/>
            <w:tcW w:w="735" w:type="pct"/>
            <w:vMerge w:val="restart"/>
            <w:textDirection w:val="btLr"/>
            <w:vAlign w:val="center"/>
          </w:tcPr>
          <w:p w14:paraId="4EB440C8" w14:textId="2481033A" w:rsidR="00B3062D" w:rsidRPr="00AA22F2" w:rsidRDefault="00B3062D" w:rsidP="004637C7">
            <w:pPr>
              <w:ind w:left="113" w:right="113"/>
              <w:jc w:val="center"/>
              <w:rPr>
                <w:b w:val="0"/>
                <w:bCs w:val="0"/>
                <w:szCs w:val="20"/>
              </w:rPr>
            </w:pPr>
            <w:r w:rsidRPr="00AA22F2">
              <w:rPr>
                <w:szCs w:val="20"/>
              </w:rPr>
              <w:t>Émission d’odeurs / COV</w:t>
            </w:r>
          </w:p>
        </w:tc>
        <w:tc>
          <w:tcPr>
            <w:tcW w:w="1142" w:type="pct"/>
            <w:vMerge w:val="restart"/>
            <w:vAlign w:val="center"/>
          </w:tcPr>
          <w:p w14:paraId="04659FD1" w14:textId="77777777" w:rsidR="00B3062D" w:rsidRPr="00AA22F2" w:rsidRDefault="00B3062D" w:rsidP="002B020D">
            <w:pPr>
              <w:spacing w:before="0" w:after="0"/>
              <w:cnfStyle w:val="000000000000" w:firstRow="0" w:lastRow="0" w:firstColumn="0" w:lastColumn="0" w:oddVBand="0" w:evenVBand="0" w:oddHBand="0" w:evenHBand="0" w:firstRowFirstColumn="0" w:firstRowLastColumn="0" w:lastRowFirstColumn="0" w:lastRowLastColumn="0"/>
              <w:rPr>
                <w:szCs w:val="20"/>
              </w:rPr>
            </w:pPr>
            <w:r w:rsidRPr="00AA22F2">
              <w:rPr>
                <w:szCs w:val="20"/>
              </w:rPr>
              <w:t xml:space="preserve">Stockage, transvasement et utilisation de carburants, solvants, peintures ; </w:t>
            </w:r>
          </w:p>
          <w:p w14:paraId="49B0BCF0" w14:textId="290712D7" w:rsidR="00B3062D" w:rsidRPr="00AA22F2" w:rsidRDefault="00B3062D" w:rsidP="002B020D">
            <w:pPr>
              <w:spacing w:before="0" w:after="0"/>
              <w:cnfStyle w:val="000000000000" w:firstRow="0" w:lastRow="0" w:firstColumn="0" w:lastColumn="0" w:oddVBand="0" w:evenVBand="0" w:oddHBand="0" w:evenHBand="0" w:firstRowFirstColumn="0" w:firstRowLastColumn="0" w:lastRowFirstColumn="0" w:lastRowLastColumn="0"/>
              <w:rPr>
                <w:szCs w:val="20"/>
              </w:rPr>
            </w:pPr>
            <w:r w:rsidRPr="00AA22F2">
              <w:rPr>
                <w:szCs w:val="20"/>
              </w:rPr>
              <w:t xml:space="preserve">Opérations d’avitaillement (véhicules) ; dégazage ponctuel ; </w:t>
            </w:r>
          </w:p>
          <w:p w14:paraId="742608D4" w14:textId="51DC7A8B" w:rsidR="00B3062D" w:rsidRPr="004637C7" w:rsidRDefault="00B3062D" w:rsidP="004637C7">
            <w:pPr>
              <w:spacing w:before="0" w:after="0"/>
              <w:cnfStyle w:val="000000000000" w:firstRow="0" w:lastRow="0" w:firstColumn="0" w:lastColumn="0" w:oddVBand="0" w:evenVBand="0" w:oddHBand="0" w:evenHBand="0" w:firstRowFirstColumn="0" w:firstRowLastColumn="0" w:lastRowFirstColumn="0" w:lastRowLastColumn="0"/>
            </w:pPr>
            <w:r w:rsidRPr="00AA22F2">
              <w:rPr>
                <w:szCs w:val="20"/>
              </w:rPr>
              <w:t>Travaux d’enrobés/bitume.</w:t>
            </w:r>
          </w:p>
        </w:tc>
        <w:tc>
          <w:tcPr>
            <w:tcW w:w="913" w:type="pct"/>
            <w:tcBorders>
              <w:right w:val="single" w:sz="4" w:space="0" w:color="BFBFBF" w:themeColor="background1" w:themeShade="BF"/>
            </w:tcBorders>
            <w:vAlign w:val="center"/>
          </w:tcPr>
          <w:p w14:paraId="722D947D" w14:textId="2672C5DE" w:rsidR="00B3062D" w:rsidRPr="00AA22F2" w:rsidRDefault="00B3062D" w:rsidP="004637C7">
            <w:pPr>
              <w:jc w:val="left"/>
              <w:cnfStyle w:val="000000000000" w:firstRow="0" w:lastRow="0" w:firstColumn="0" w:lastColumn="0" w:oddVBand="0" w:evenVBand="0" w:oddHBand="0" w:evenHBand="0" w:firstRowFirstColumn="0" w:firstRowLastColumn="0" w:lastRowFirstColumn="0" w:lastRowLastColumn="0"/>
              <w:rPr>
                <w:b/>
                <w:bCs/>
                <w:szCs w:val="20"/>
              </w:rPr>
            </w:pPr>
            <w:r w:rsidRPr="00AA22F2">
              <w:rPr>
                <w:b/>
                <w:bCs/>
                <w:szCs w:val="20"/>
              </w:rPr>
              <w:t>Nature</w:t>
            </w:r>
          </w:p>
        </w:tc>
        <w:tc>
          <w:tcPr>
            <w:tcW w:w="2210" w:type="pct"/>
            <w:gridSpan w:val="2"/>
            <w:tcBorders>
              <w:left w:val="single" w:sz="4" w:space="0" w:color="BFBFBF" w:themeColor="background1" w:themeShade="BF"/>
            </w:tcBorders>
          </w:tcPr>
          <w:p w14:paraId="629A45DE" w14:textId="2F347203" w:rsidR="00B3062D" w:rsidRPr="004637C7" w:rsidRDefault="00B3062D" w:rsidP="005135E9">
            <w:pPr>
              <w:cnfStyle w:val="000000000000" w:firstRow="0" w:lastRow="0" w:firstColumn="0" w:lastColumn="0" w:oddVBand="0" w:evenVBand="0" w:oddHBand="0" w:evenHBand="0" w:firstRowFirstColumn="0" w:firstRowLastColumn="0" w:lastRowFirstColumn="0" w:lastRowLastColumn="0"/>
              <w:rPr>
                <w:szCs w:val="20"/>
              </w:rPr>
            </w:pPr>
            <w:r w:rsidRPr="004637C7">
              <w:rPr>
                <w:szCs w:val="20"/>
              </w:rPr>
              <w:t>Négatif direct</w:t>
            </w:r>
          </w:p>
        </w:tc>
      </w:tr>
      <w:tr w:rsidR="00B3062D" w:rsidRPr="00B3062D" w14:paraId="74281481" w14:textId="77777777" w:rsidTr="009505A2">
        <w:tc>
          <w:tcPr>
            <w:cnfStyle w:val="001000000000" w:firstRow="0" w:lastRow="0" w:firstColumn="1" w:lastColumn="0" w:oddVBand="0" w:evenVBand="0" w:oddHBand="0" w:evenHBand="0" w:firstRowFirstColumn="0" w:firstRowLastColumn="0" w:lastRowFirstColumn="0" w:lastRowLastColumn="0"/>
            <w:tcW w:w="735" w:type="pct"/>
            <w:vMerge/>
            <w:textDirection w:val="btLr"/>
          </w:tcPr>
          <w:p w14:paraId="218D5BBE" w14:textId="77777777" w:rsidR="00B3062D" w:rsidRPr="00AA22F2" w:rsidRDefault="00B3062D" w:rsidP="004637C7">
            <w:pPr>
              <w:ind w:left="113" w:right="113"/>
              <w:rPr>
                <w:b w:val="0"/>
                <w:bCs w:val="0"/>
                <w:szCs w:val="20"/>
              </w:rPr>
            </w:pPr>
          </w:p>
        </w:tc>
        <w:tc>
          <w:tcPr>
            <w:tcW w:w="1142" w:type="pct"/>
            <w:vMerge/>
          </w:tcPr>
          <w:p w14:paraId="47055A4B" w14:textId="77777777" w:rsidR="00B3062D" w:rsidRPr="00AA22F2" w:rsidRDefault="00B3062D" w:rsidP="005135E9">
            <w:pPr>
              <w:cnfStyle w:val="000000000000" w:firstRow="0" w:lastRow="0" w:firstColumn="0" w:lastColumn="0" w:oddVBand="0" w:evenVBand="0" w:oddHBand="0" w:evenHBand="0" w:firstRowFirstColumn="0" w:firstRowLastColumn="0" w:lastRowFirstColumn="0" w:lastRowLastColumn="0"/>
              <w:rPr>
                <w:b/>
                <w:bCs/>
                <w:szCs w:val="20"/>
              </w:rPr>
            </w:pPr>
          </w:p>
        </w:tc>
        <w:tc>
          <w:tcPr>
            <w:tcW w:w="913" w:type="pct"/>
            <w:tcBorders>
              <w:right w:val="single" w:sz="4" w:space="0" w:color="BFBFBF" w:themeColor="background1" w:themeShade="BF"/>
            </w:tcBorders>
            <w:vAlign w:val="center"/>
          </w:tcPr>
          <w:p w14:paraId="3365DA05" w14:textId="1C1DADFE" w:rsidR="00B3062D" w:rsidRPr="00AA22F2" w:rsidRDefault="00B3062D" w:rsidP="004637C7">
            <w:pPr>
              <w:jc w:val="left"/>
              <w:cnfStyle w:val="000000000000" w:firstRow="0" w:lastRow="0" w:firstColumn="0" w:lastColumn="0" w:oddVBand="0" w:evenVBand="0" w:oddHBand="0" w:evenHBand="0" w:firstRowFirstColumn="0" w:firstRowLastColumn="0" w:lastRowFirstColumn="0" w:lastRowLastColumn="0"/>
              <w:rPr>
                <w:b/>
                <w:bCs/>
                <w:szCs w:val="20"/>
              </w:rPr>
            </w:pPr>
            <w:r w:rsidRPr="00AA22F2">
              <w:rPr>
                <w:b/>
                <w:bCs/>
                <w:szCs w:val="20"/>
              </w:rPr>
              <w:t>Étendue</w:t>
            </w:r>
          </w:p>
        </w:tc>
        <w:tc>
          <w:tcPr>
            <w:tcW w:w="1481" w:type="pct"/>
            <w:tcBorders>
              <w:left w:val="single" w:sz="4" w:space="0" w:color="BFBFBF" w:themeColor="background1" w:themeShade="BF"/>
            </w:tcBorders>
          </w:tcPr>
          <w:p w14:paraId="6569C56F" w14:textId="750A434F" w:rsidR="00B3062D" w:rsidRPr="00AA22F2" w:rsidRDefault="00B3062D" w:rsidP="005135E9">
            <w:pPr>
              <w:cnfStyle w:val="000000000000" w:firstRow="0" w:lastRow="0" w:firstColumn="0" w:lastColumn="0" w:oddVBand="0" w:evenVBand="0" w:oddHBand="0" w:evenHBand="0" w:firstRowFirstColumn="0" w:firstRowLastColumn="0" w:lastRowFirstColumn="0" w:lastRowLastColumn="0"/>
              <w:rPr>
                <w:szCs w:val="20"/>
              </w:rPr>
            </w:pPr>
            <w:r w:rsidRPr="00AA22F2">
              <w:rPr>
                <w:szCs w:val="20"/>
              </w:rPr>
              <w:t xml:space="preserve">Zones de stockage, aires d’avitaillement, poste d’enrobés </w:t>
            </w:r>
          </w:p>
        </w:tc>
        <w:tc>
          <w:tcPr>
            <w:tcW w:w="729" w:type="pct"/>
          </w:tcPr>
          <w:p w14:paraId="25C82870" w14:textId="19680EA9" w:rsidR="00B3062D" w:rsidRPr="004637C7" w:rsidRDefault="00B3062D" w:rsidP="005135E9">
            <w:pPr>
              <w:cnfStyle w:val="000000000000" w:firstRow="0" w:lastRow="0" w:firstColumn="0" w:lastColumn="0" w:oddVBand="0" w:evenVBand="0" w:oddHBand="0" w:evenHBand="0" w:firstRowFirstColumn="0" w:firstRowLastColumn="0" w:lastRowFirstColumn="0" w:lastRowLastColumn="0"/>
              <w:rPr>
                <w:szCs w:val="20"/>
              </w:rPr>
            </w:pPr>
            <w:r w:rsidRPr="004637C7">
              <w:rPr>
                <w:szCs w:val="20"/>
              </w:rPr>
              <w:t>Locale</w:t>
            </w:r>
          </w:p>
        </w:tc>
      </w:tr>
      <w:tr w:rsidR="00B3062D" w:rsidRPr="00B3062D" w14:paraId="1E01BA7E" w14:textId="77777777" w:rsidTr="009505A2">
        <w:tc>
          <w:tcPr>
            <w:cnfStyle w:val="001000000000" w:firstRow="0" w:lastRow="0" w:firstColumn="1" w:lastColumn="0" w:oddVBand="0" w:evenVBand="0" w:oddHBand="0" w:evenHBand="0" w:firstRowFirstColumn="0" w:firstRowLastColumn="0" w:lastRowFirstColumn="0" w:lastRowLastColumn="0"/>
            <w:tcW w:w="735" w:type="pct"/>
            <w:vMerge/>
            <w:textDirection w:val="btLr"/>
          </w:tcPr>
          <w:p w14:paraId="5B048B69" w14:textId="77777777" w:rsidR="00B3062D" w:rsidRPr="00AA22F2" w:rsidRDefault="00B3062D" w:rsidP="004637C7">
            <w:pPr>
              <w:ind w:left="113" w:right="113"/>
              <w:rPr>
                <w:b w:val="0"/>
                <w:bCs w:val="0"/>
                <w:szCs w:val="20"/>
              </w:rPr>
            </w:pPr>
          </w:p>
        </w:tc>
        <w:tc>
          <w:tcPr>
            <w:tcW w:w="1142" w:type="pct"/>
            <w:vMerge/>
          </w:tcPr>
          <w:p w14:paraId="5865162E" w14:textId="77777777" w:rsidR="00B3062D" w:rsidRPr="00AA22F2" w:rsidRDefault="00B3062D" w:rsidP="005135E9">
            <w:pPr>
              <w:cnfStyle w:val="000000000000" w:firstRow="0" w:lastRow="0" w:firstColumn="0" w:lastColumn="0" w:oddVBand="0" w:evenVBand="0" w:oddHBand="0" w:evenHBand="0" w:firstRowFirstColumn="0" w:firstRowLastColumn="0" w:lastRowFirstColumn="0" w:lastRowLastColumn="0"/>
              <w:rPr>
                <w:b/>
                <w:bCs/>
                <w:szCs w:val="20"/>
              </w:rPr>
            </w:pPr>
          </w:p>
        </w:tc>
        <w:tc>
          <w:tcPr>
            <w:tcW w:w="913" w:type="pct"/>
            <w:tcBorders>
              <w:right w:val="single" w:sz="4" w:space="0" w:color="BFBFBF" w:themeColor="background1" w:themeShade="BF"/>
            </w:tcBorders>
            <w:vAlign w:val="center"/>
          </w:tcPr>
          <w:p w14:paraId="3910D726" w14:textId="39A8A2AB" w:rsidR="00B3062D" w:rsidRPr="00AA22F2" w:rsidRDefault="00B3062D" w:rsidP="004637C7">
            <w:pPr>
              <w:jc w:val="left"/>
              <w:cnfStyle w:val="000000000000" w:firstRow="0" w:lastRow="0" w:firstColumn="0" w:lastColumn="0" w:oddVBand="0" w:evenVBand="0" w:oddHBand="0" w:evenHBand="0" w:firstRowFirstColumn="0" w:firstRowLastColumn="0" w:lastRowFirstColumn="0" w:lastRowLastColumn="0"/>
              <w:rPr>
                <w:b/>
                <w:bCs/>
                <w:szCs w:val="20"/>
              </w:rPr>
            </w:pPr>
            <w:r w:rsidRPr="00AA22F2">
              <w:rPr>
                <w:b/>
                <w:bCs/>
                <w:szCs w:val="20"/>
              </w:rPr>
              <w:t>Durée</w:t>
            </w:r>
          </w:p>
        </w:tc>
        <w:tc>
          <w:tcPr>
            <w:tcW w:w="1481" w:type="pct"/>
            <w:tcBorders>
              <w:left w:val="single" w:sz="4" w:space="0" w:color="BFBFBF" w:themeColor="background1" w:themeShade="BF"/>
            </w:tcBorders>
          </w:tcPr>
          <w:p w14:paraId="561AB0FC" w14:textId="576CA8A3" w:rsidR="00B3062D" w:rsidRPr="00AA22F2" w:rsidRDefault="00B3062D" w:rsidP="005135E9">
            <w:pPr>
              <w:cnfStyle w:val="000000000000" w:firstRow="0" w:lastRow="0" w:firstColumn="0" w:lastColumn="0" w:oddVBand="0" w:evenVBand="0" w:oddHBand="0" w:evenHBand="0" w:firstRowFirstColumn="0" w:firstRowLastColumn="0" w:lastRowFirstColumn="0" w:lastRowLastColumn="0"/>
              <w:rPr>
                <w:szCs w:val="20"/>
              </w:rPr>
            </w:pPr>
            <w:r w:rsidRPr="00AA22F2">
              <w:rPr>
                <w:szCs w:val="20"/>
              </w:rPr>
              <w:t xml:space="preserve">Limitée aux séquences de transfert/manutention, au stockage court terme et aux </w:t>
            </w:r>
            <w:r w:rsidRPr="004637C7">
              <w:rPr>
                <w:szCs w:val="20"/>
              </w:rPr>
              <w:t>campagnes d’enrobés</w:t>
            </w:r>
            <w:r w:rsidRPr="00AA22F2">
              <w:rPr>
                <w:szCs w:val="20"/>
              </w:rPr>
              <w:t>.</w:t>
            </w:r>
          </w:p>
        </w:tc>
        <w:tc>
          <w:tcPr>
            <w:tcW w:w="729" w:type="pct"/>
          </w:tcPr>
          <w:p w14:paraId="590487C4" w14:textId="747B4391" w:rsidR="00B3062D" w:rsidRPr="004637C7" w:rsidRDefault="00B3062D" w:rsidP="005135E9">
            <w:pPr>
              <w:cnfStyle w:val="000000000000" w:firstRow="0" w:lastRow="0" w:firstColumn="0" w:lastColumn="0" w:oddVBand="0" w:evenVBand="0" w:oddHBand="0" w:evenHBand="0" w:firstRowFirstColumn="0" w:firstRowLastColumn="0" w:lastRowFirstColumn="0" w:lastRowLastColumn="0"/>
              <w:rPr>
                <w:szCs w:val="20"/>
              </w:rPr>
            </w:pPr>
            <w:r w:rsidRPr="004637C7">
              <w:rPr>
                <w:szCs w:val="20"/>
              </w:rPr>
              <w:t>Temporaire</w:t>
            </w:r>
          </w:p>
        </w:tc>
      </w:tr>
      <w:tr w:rsidR="00B3062D" w:rsidRPr="00B3062D" w14:paraId="24FD6493" w14:textId="77777777" w:rsidTr="009505A2">
        <w:tc>
          <w:tcPr>
            <w:cnfStyle w:val="001000000000" w:firstRow="0" w:lastRow="0" w:firstColumn="1" w:lastColumn="0" w:oddVBand="0" w:evenVBand="0" w:oddHBand="0" w:evenHBand="0" w:firstRowFirstColumn="0" w:firstRowLastColumn="0" w:lastRowFirstColumn="0" w:lastRowLastColumn="0"/>
            <w:tcW w:w="735" w:type="pct"/>
            <w:vMerge/>
            <w:textDirection w:val="btLr"/>
          </w:tcPr>
          <w:p w14:paraId="2213750E" w14:textId="77777777" w:rsidR="00B3062D" w:rsidRPr="00AA22F2" w:rsidRDefault="00B3062D" w:rsidP="004637C7">
            <w:pPr>
              <w:ind w:left="113" w:right="113"/>
              <w:rPr>
                <w:b w:val="0"/>
                <w:bCs w:val="0"/>
                <w:szCs w:val="20"/>
              </w:rPr>
            </w:pPr>
          </w:p>
        </w:tc>
        <w:tc>
          <w:tcPr>
            <w:tcW w:w="1142" w:type="pct"/>
            <w:vMerge/>
          </w:tcPr>
          <w:p w14:paraId="5F7E573A" w14:textId="77777777" w:rsidR="00B3062D" w:rsidRPr="00AA22F2" w:rsidRDefault="00B3062D" w:rsidP="005135E9">
            <w:pPr>
              <w:cnfStyle w:val="000000000000" w:firstRow="0" w:lastRow="0" w:firstColumn="0" w:lastColumn="0" w:oddVBand="0" w:evenVBand="0" w:oddHBand="0" w:evenHBand="0" w:firstRowFirstColumn="0" w:firstRowLastColumn="0" w:lastRowFirstColumn="0" w:lastRowLastColumn="0"/>
              <w:rPr>
                <w:b/>
                <w:bCs/>
                <w:szCs w:val="20"/>
              </w:rPr>
            </w:pPr>
          </w:p>
        </w:tc>
        <w:tc>
          <w:tcPr>
            <w:tcW w:w="913" w:type="pct"/>
            <w:tcBorders>
              <w:right w:val="single" w:sz="4" w:space="0" w:color="BFBFBF" w:themeColor="background1" w:themeShade="BF"/>
            </w:tcBorders>
            <w:vAlign w:val="center"/>
          </w:tcPr>
          <w:p w14:paraId="0CE52E4E" w14:textId="15755935" w:rsidR="00B3062D" w:rsidRPr="00AA22F2" w:rsidRDefault="00B3062D" w:rsidP="004637C7">
            <w:pPr>
              <w:jc w:val="left"/>
              <w:cnfStyle w:val="000000000000" w:firstRow="0" w:lastRow="0" w:firstColumn="0" w:lastColumn="0" w:oddVBand="0" w:evenVBand="0" w:oddHBand="0" w:evenHBand="0" w:firstRowFirstColumn="0" w:firstRowLastColumn="0" w:lastRowFirstColumn="0" w:lastRowLastColumn="0"/>
              <w:rPr>
                <w:b/>
                <w:bCs/>
                <w:szCs w:val="20"/>
              </w:rPr>
            </w:pPr>
            <w:r w:rsidRPr="00AA22F2">
              <w:rPr>
                <w:b/>
                <w:bCs/>
                <w:szCs w:val="20"/>
              </w:rPr>
              <w:t>Fréquence</w:t>
            </w:r>
          </w:p>
        </w:tc>
        <w:tc>
          <w:tcPr>
            <w:tcW w:w="1481" w:type="pct"/>
            <w:tcBorders>
              <w:left w:val="single" w:sz="4" w:space="0" w:color="BFBFBF" w:themeColor="background1" w:themeShade="BF"/>
            </w:tcBorders>
          </w:tcPr>
          <w:p w14:paraId="4F2E1ED5" w14:textId="5810E07D" w:rsidR="00B3062D" w:rsidRPr="00AA22F2" w:rsidRDefault="00B3062D" w:rsidP="005135E9">
            <w:pPr>
              <w:cnfStyle w:val="000000000000" w:firstRow="0" w:lastRow="0" w:firstColumn="0" w:lastColumn="0" w:oddVBand="0" w:evenVBand="0" w:oddHBand="0" w:evenHBand="0" w:firstRowFirstColumn="0" w:firstRowLastColumn="0" w:lastRowFirstColumn="0" w:lastRowLastColumn="0"/>
              <w:rPr>
                <w:szCs w:val="20"/>
              </w:rPr>
            </w:pPr>
            <w:r w:rsidRPr="00AA22F2">
              <w:rPr>
                <w:szCs w:val="20"/>
              </w:rPr>
              <w:t>Opérations non continues avec pics courts lors des transvasements/épandages.</w:t>
            </w:r>
          </w:p>
        </w:tc>
        <w:tc>
          <w:tcPr>
            <w:tcW w:w="729" w:type="pct"/>
          </w:tcPr>
          <w:p w14:paraId="3761A992" w14:textId="2BE4A081" w:rsidR="00B3062D" w:rsidRPr="004637C7" w:rsidRDefault="00B3062D" w:rsidP="005135E9">
            <w:pPr>
              <w:cnfStyle w:val="000000000000" w:firstRow="0" w:lastRow="0" w:firstColumn="0" w:lastColumn="0" w:oddVBand="0" w:evenVBand="0" w:oddHBand="0" w:evenHBand="0" w:firstRowFirstColumn="0" w:firstRowLastColumn="0" w:lastRowFirstColumn="0" w:lastRowLastColumn="0"/>
              <w:rPr>
                <w:szCs w:val="20"/>
              </w:rPr>
            </w:pPr>
            <w:r w:rsidRPr="004637C7">
              <w:rPr>
                <w:szCs w:val="20"/>
              </w:rPr>
              <w:t>Intermittente</w:t>
            </w:r>
          </w:p>
        </w:tc>
      </w:tr>
      <w:tr w:rsidR="00B3062D" w:rsidRPr="00B3062D" w14:paraId="2970A4B1" w14:textId="77777777" w:rsidTr="009505A2">
        <w:tc>
          <w:tcPr>
            <w:cnfStyle w:val="001000000000" w:firstRow="0" w:lastRow="0" w:firstColumn="1" w:lastColumn="0" w:oddVBand="0" w:evenVBand="0" w:oddHBand="0" w:evenHBand="0" w:firstRowFirstColumn="0" w:firstRowLastColumn="0" w:lastRowFirstColumn="0" w:lastRowLastColumn="0"/>
            <w:tcW w:w="735" w:type="pct"/>
            <w:vMerge/>
            <w:textDirection w:val="btLr"/>
          </w:tcPr>
          <w:p w14:paraId="49A73A3F" w14:textId="77777777" w:rsidR="00B3062D" w:rsidRPr="00AA22F2" w:rsidRDefault="00B3062D" w:rsidP="004637C7">
            <w:pPr>
              <w:ind w:left="113" w:right="113"/>
              <w:rPr>
                <w:b w:val="0"/>
                <w:bCs w:val="0"/>
                <w:szCs w:val="20"/>
              </w:rPr>
            </w:pPr>
          </w:p>
        </w:tc>
        <w:tc>
          <w:tcPr>
            <w:tcW w:w="1142" w:type="pct"/>
            <w:vMerge/>
          </w:tcPr>
          <w:p w14:paraId="2F726F3C" w14:textId="77777777" w:rsidR="00B3062D" w:rsidRPr="00AA22F2" w:rsidRDefault="00B3062D" w:rsidP="005135E9">
            <w:pPr>
              <w:cnfStyle w:val="000000000000" w:firstRow="0" w:lastRow="0" w:firstColumn="0" w:lastColumn="0" w:oddVBand="0" w:evenVBand="0" w:oddHBand="0" w:evenHBand="0" w:firstRowFirstColumn="0" w:firstRowLastColumn="0" w:lastRowFirstColumn="0" w:lastRowLastColumn="0"/>
              <w:rPr>
                <w:b/>
                <w:bCs/>
                <w:szCs w:val="20"/>
              </w:rPr>
            </w:pPr>
          </w:p>
        </w:tc>
        <w:tc>
          <w:tcPr>
            <w:tcW w:w="913" w:type="pct"/>
            <w:tcBorders>
              <w:right w:val="single" w:sz="4" w:space="0" w:color="BFBFBF" w:themeColor="background1" w:themeShade="BF"/>
            </w:tcBorders>
            <w:shd w:val="clear" w:color="auto" w:fill="DEEAF6" w:themeFill="accent5" w:themeFillTint="33"/>
            <w:vAlign w:val="center"/>
          </w:tcPr>
          <w:p w14:paraId="54221D4C" w14:textId="51EC0CFC" w:rsidR="00B3062D" w:rsidRPr="00AA22F2" w:rsidRDefault="00B3062D" w:rsidP="004637C7">
            <w:pPr>
              <w:jc w:val="left"/>
              <w:cnfStyle w:val="000000000000" w:firstRow="0" w:lastRow="0" w:firstColumn="0" w:lastColumn="0" w:oddVBand="0" w:evenVBand="0" w:oddHBand="0" w:evenHBand="0" w:firstRowFirstColumn="0" w:firstRowLastColumn="0" w:lastRowFirstColumn="0" w:lastRowLastColumn="0"/>
              <w:rPr>
                <w:b/>
                <w:bCs/>
                <w:szCs w:val="20"/>
              </w:rPr>
            </w:pPr>
            <w:r w:rsidRPr="00AA22F2">
              <w:rPr>
                <w:b/>
                <w:bCs/>
                <w:szCs w:val="20"/>
              </w:rPr>
              <w:t>Intensité de l’impact</w:t>
            </w:r>
          </w:p>
        </w:tc>
        <w:tc>
          <w:tcPr>
            <w:tcW w:w="1481" w:type="pct"/>
            <w:tcBorders>
              <w:left w:val="single" w:sz="4" w:space="0" w:color="BFBFBF" w:themeColor="background1" w:themeShade="BF"/>
            </w:tcBorders>
            <w:shd w:val="clear" w:color="auto" w:fill="DEEAF6" w:themeFill="accent5" w:themeFillTint="33"/>
          </w:tcPr>
          <w:p w14:paraId="3BCAD7E8" w14:textId="3F7EF58C" w:rsidR="00B3062D" w:rsidRPr="00AA22F2" w:rsidRDefault="00B3062D" w:rsidP="005135E9">
            <w:pPr>
              <w:cnfStyle w:val="000000000000" w:firstRow="0" w:lastRow="0" w:firstColumn="0" w:lastColumn="0" w:oddVBand="0" w:evenVBand="0" w:oddHBand="0" w:evenHBand="0" w:firstRowFirstColumn="0" w:firstRowLastColumn="0" w:lastRowFirstColumn="0" w:lastRowLastColumn="0"/>
              <w:rPr>
                <w:szCs w:val="20"/>
              </w:rPr>
            </w:pPr>
            <w:r w:rsidRPr="00AA22F2">
              <w:rPr>
                <w:szCs w:val="20"/>
              </w:rPr>
              <w:t>Volumes</w:t>
            </w:r>
            <w:r w:rsidRPr="004637C7">
              <w:rPr>
                <w:szCs w:val="20"/>
              </w:rPr>
              <w:t xml:space="preserve"> émis limités, dissipation rapide en plein air, </w:t>
            </w:r>
            <w:r w:rsidRPr="004637C7">
              <w:rPr>
                <w:szCs w:val="20"/>
              </w:rPr>
              <w:lastRenderedPageBreak/>
              <w:t>nuisance olfactive surtout à courte distance</w:t>
            </w:r>
          </w:p>
        </w:tc>
        <w:tc>
          <w:tcPr>
            <w:tcW w:w="729" w:type="pct"/>
            <w:shd w:val="clear" w:color="auto" w:fill="DEEAF6" w:themeFill="accent5" w:themeFillTint="33"/>
          </w:tcPr>
          <w:p w14:paraId="6FC9BD50" w14:textId="70022090" w:rsidR="00B3062D" w:rsidRPr="00AA22F2" w:rsidRDefault="00B3062D" w:rsidP="005135E9">
            <w:pPr>
              <w:cnfStyle w:val="000000000000" w:firstRow="0" w:lastRow="0" w:firstColumn="0" w:lastColumn="0" w:oddVBand="0" w:evenVBand="0" w:oddHBand="0" w:evenHBand="0" w:firstRowFirstColumn="0" w:firstRowLastColumn="0" w:lastRowFirstColumn="0" w:lastRowLastColumn="0"/>
              <w:rPr>
                <w:b/>
                <w:bCs/>
                <w:szCs w:val="20"/>
              </w:rPr>
            </w:pPr>
            <w:r w:rsidRPr="00AA22F2">
              <w:rPr>
                <w:b/>
                <w:bCs/>
                <w:szCs w:val="20"/>
              </w:rPr>
              <w:lastRenderedPageBreak/>
              <w:t>Faible</w:t>
            </w:r>
          </w:p>
        </w:tc>
      </w:tr>
      <w:tr w:rsidR="00B3062D" w:rsidRPr="00B3062D" w14:paraId="49E6C083" w14:textId="77777777" w:rsidTr="00B3062D">
        <w:tc>
          <w:tcPr>
            <w:cnfStyle w:val="001000000000" w:firstRow="0" w:lastRow="0" w:firstColumn="1" w:lastColumn="0" w:oddVBand="0" w:evenVBand="0" w:oddHBand="0" w:evenHBand="0" w:firstRowFirstColumn="0" w:firstRowLastColumn="0" w:lastRowFirstColumn="0" w:lastRowLastColumn="0"/>
            <w:tcW w:w="735" w:type="pct"/>
            <w:vMerge/>
            <w:textDirection w:val="btLr"/>
          </w:tcPr>
          <w:p w14:paraId="0156BF96" w14:textId="77777777" w:rsidR="00B3062D" w:rsidRPr="00AA22F2" w:rsidRDefault="00B3062D" w:rsidP="004637C7">
            <w:pPr>
              <w:ind w:left="113" w:right="113"/>
              <w:rPr>
                <w:b w:val="0"/>
                <w:bCs w:val="0"/>
                <w:szCs w:val="20"/>
              </w:rPr>
            </w:pPr>
          </w:p>
        </w:tc>
        <w:tc>
          <w:tcPr>
            <w:tcW w:w="4265" w:type="pct"/>
            <w:gridSpan w:val="4"/>
          </w:tcPr>
          <w:p w14:paraId="17198A99" w14:textId="77777777" w:rsidR="00B3062D" w:rsidRPr="00AA22F2" w:rsidRDefault="00B3062D" w:rsidP="004637C7">
            <w:pPr>
              <w:spacing w:before="0" w:after="0"/>
              <w:cnfStyle w:val="000000000000" w:firstRow="0" w:lastRow="0" w:firstColumn="0" w:lastColumn="0" w:oddVBand="0" w:evenVBand="0" w:oddHBand="0" w:evenHBand="0" w:firstRowFirstColumn="0" w:firstRowLastColumn="0" w:lastRowFirstColumn="0" w:lastRowLastColumn="0"/>
              <w:rPr>
                <w:b/>
                <w:bCs/>
                <w:szCs w:val="20"/>
              </w:rPr>
            </w:pPr>
          </w:p>
        </w:tc>
      </w:tr>
      <w:tr w:rsidR="00B3062D" w:rsidRPr="002B020D" w14:paraId="0A3D1078" w14:textId="77777777" w:rsidTr="009505A2">
        <w:tc>
          <w:tcPr>
            <w:cnfStyle w:val="001000000000" w:firstRow="0" w:lastRow="0" w:firstColumn="1" w:lastColumn="0" w:oddVBand="0" w:evenVBand="0" w:oddHBand="0" w:evenHBand="0" w:firstRowFirstColumn="0" w:firstRowLastColumn="0" w:lastRowFirstColumn="0" w:lastRowLastColumn="0"/>
            <w:tcW w:w="735" w:type="pct"/>
            <w:vMerge/>
            <w:textDirection w:val="btLr"/>
          </w:tcPr>
          <w:p w14:paraId="19FCC7EC" w14:textId="77777777" w:rsidR="00B3062D" w:rsidRPr="00AA22F2" w:rsidRDefault="00B3062D" w:rsidP="004637C7">
            <w:pPr>
              <w:ind w:left="113" w:right="113"/>
              <w:rPr>
                <w:b w:val="0"/>
                <w:bCs w:val="0"/>
                <w:szCs w:val="20"/>
              </w:rPr>
            </w:pPr>
          </w:p>
        </w:tc>
        <w:tc>
          <w:tcPr>
            <w:tcW w:w="1142" w:type="pct"/>
            <w:shd w:val="clear" w:color="auto" w:fill="B4C6E7" w:themeFill="accent1" w:themeFillTint="66"/>
            <w:vAlign w:val="center"/>
          </w:tcPr>
          <w:p w14:paraId="118E698D" w14:textId="53A3C166" w:rsidR="00B3062D" w:rsidRPr="00AA22F2" w:rsidRDefault="00B3062D" w:rsidP="00CB0B09">
            <w:pPr>
              <w:cnfStyle w:val="000000000000" w:firstRow="0" w:lastRow="0" w:firstColumn="0" w:lastColumn="0" w:oddVBand="0" w:evenVBand="0" w:oddHBand="0" w:evenHBand="0" w:firstRowFirstColumn="0" w:firstRowLastColumn="0" w:lastRowFirstColumn="0" w:lastRowLastColumn="0"/>
              <w:rPr>
                <w:b/>
                <w:bCs/>
                <w:szCs w:val="20"/>
              </w:rPr>
            </w:pPr>
            <w:r w:rsidRPr="002B020D">
              <w:rPr>
                <w:b/>
                <w:bCs/>
                <w:szCs w:val="20"/>
              </w:rPr>
              <w:t>Intensité de l’impact</w:t>
            </w:r>
          </w:p>
        </w:tc>
        <w:tc>
          <w:tcPr>
            <w:tcW w:w="913" w:type="pct"/>
            <w:tcBorders>
              <w:right w:val="single" w:sz="4" w:space="0" w:color="BFBFBF" w:themeColor="background1" w:themeShade="BF"/>
            </w:tcBorders>
            <w:shd w:val="clear" w:color="auto" w:fill="B4C6E7" w:themeFill="accent1" w:themeFillTint="66"/>
            <w:vAlign w:val="center"/>
          </w:tcPr>
          <w:p w14:paraId="1F73FE45" w14:textId="4C3F4D01" w:rsidR="00B3062D" w:rsidRPr="00AA22F2" w:rsidRDefault="00B3062D" w:rsidP="00CB0B09">
            <w:pPr>
              <w:jc w:val="left"/>
              <w:cnfStyle w:val="000000000000" w:firstRow="0" w:lastRow="0" w:firstColumn="0" w:lastColumn="0" w:oddVBand="0" w:evenVBand="0" w:oddHBand="0" w:evenHBand="0" w:firstRowFirstColumn="0" w:firstRowLastColumn="0" w:lastRowFirstColumn="0" w:lastRowLastColumn="0"/>
              <w:rPr>
                <w:b/>
                <w:bCs/>
                <w:szCs w:val="20"/>
              </w:rPr>
            </w:pPr>
            <w:r w:rsidRPr="002B020D">
              <w:rPr>
                <w:b/>
                <w:bCs/>
                <w:szCs w:val="20"/>
              </w:rPr>
              <w:t>Récepteurs</w:t>
            </w:r>
          </w:p>
        </w:tc>
        <w:tc>
          <w:tcPr>
            <w:tcW w:w="1481" w:type="pct"/>
            <w:tcBorders>
              <w:left w:val="single" w:sz="4" w:space="0" w:color="BFBFBF" w:themeColor="background1" w:themeShade="BF"/>
            </w:tcBorders>
            <w:shd w:val="clear" w:color="auto" w:fill="B4C6E7" w:themeFill="accent1" w:themeFillTint="66"/>
            <w:vAlign w:val="center"/>
          </w:tcPr>
          <w:p w14:paraId="3FEE71D0" w14:textId="337A0F3B" w:rsidR="00B3062D" w:rsidRPr="00AA22F2" w:rsidRDefault="00B3062D" w:rsidP="00CB0B09">
            <w:pPr>
              <w:cnfStyle w:val="000000000000" w:firstRow="0" w:lastRow="0" w:firstColumn="0" w:lastColumn="0" w:oddVBand="0" w:evenVBand="0" w:oddHBand="0" w:evenHBand="0" w:firstRowFirstColumn="0" w:firstRowLastColumn="0" w:lastRowFirstColumn="0" w:lastRowLastColumn="0"/>
              <w:rPr>
                <w:szCs w:val="20"/>
              </w:rPr>
            </w:pPr>
            <w:r w:rsidRPr="002B020D">
              <w:rPr>
                <w:b/>
                <w:bCs/>
                <w:szCs w:val="20"/>
              </w:rPr>
              <w:t>Sensibilité</w:t>
            </w:r>
          </w:p>
        </w:tc>
        <w:tc>
          <w:tcPr>
            <w:tcW w:w="729" w:type="pct"/>
            <w:shd w:val="clear" w:color="auto" w:fill="B4C6E7" w:themeFill="accent1" w:themeFillTint="66"/>
            <w:vAlign w:val="center"/>
          </w:tcPr>
          <w:p w14:paraId="3990FCBF" w14:textId="6CA72B8A" w:rsidR="00B3062D" w:rsidRPr="00AA22F2" w:rsidRDefault="00B3062D" w:rsidP="00CB0B09">
            <w:pPr>
              <w:cnfStyle w:val="000000000000" w:firstRow="0" w:lastRow="0" w:firstColumn="0" w:lastColumn="0" w:oddVBand="0" w:evenVBand="0" w:oddHBand="0" w:evenHBand="0" w:firstRowFirstColumn="0" w:firstRowLastColumn="0" w:lastRowFirstColumn="0" w:lastRowLastColumn="0"/>
              <w:rPr>
                <w:b/>
                <w:bCs/>
                <w:szCs w:val="20"/>
              </w:rPr>
            </w:pPr>
            <w:r w:rsidRPr="002B020D">
              <w:rPr>
                <w:b/>
                <w:bCs/>
                <w:szCs w:val="20"/>
              </w:rPr>
              <w:t>Importance de l’impact</w:t>
            </w:r>
          </w:p>
        </w:tc>
      </w:tr>
      <w:tr w:rsidR="00B3062D" w:rsidRPr="002B020D" w14:paraId="53E1BF75" w14:textId="77777777" w:rsidTr="009505A2">
        <w:tc>
          <w:tcPr>
            <w:cnfStyle w:val="001000000000" w:firstRow="0" w:lastRow="0" w:firstColumn="1" w:lastColumn="0" w:oddVBand="0" w:evenVBand="0" w:oddHBand="0" w:evenHBand="0" w:firstRowFirstColumn="0" w:firstRowLastColumn="0" w:lastRowFirstColumn="0" w:lastRowLastColumn="0"/>
            <w:tcW w:w="735" w:type="pct"/>
            <w:vMerge/>
            <w:textDirection w:val="btLr"/>
          </w:tcPr>
          <w:p w14:paraId="34742C85" w14:textId="77777777" w:rsidR="00B3062D" w:rsidRPr="00AA22F2" w:rsidRDefault="00B3062D" w:rsidP="004637C7">
            <w:pPr>
              <w:ind w:left="113" w:right="113"/>
              <w:rPr>
                <w:b w:val="0"/>
                <w:bCs w:val="0"/>
                <w:szCs w:val="20"/>
              </w:rPr>
            </w:pPr>
          </w:p>
        </w:tc>
        <w:tc>
          <w:tcPr>
            <w:tcW w:w="1142" w:type="pct"/>
            <w:vMerge w:val="restart"/>
            <w:shd w:val="clear" w:color="auto" w:fill="auto"/>
            <w:vAlign w:val="center"/>
          </w:tcPr>
          <w:p w14:paraId="67DCB65E" w14:textId="77CB1F99" w:rsidR="00B3062D" w:rsidRPr="00AA22F2" w:rsidRDefault="00B3062D" w:rsidP="004637C7">
            <w:pPr>
              <w:jc w:val="left"/>
              <w:cnfStyle w:val="000000000000" w:firstRow="0" w:lastRow="0" w:firstColumn="0" w:lastColumn="0" w:oddVBand="0" w:evenVBand="0" w:oddHBand="0" w:evenHBand="0" w:firstRowFirstColumn="0" w:firstRowLastColumn="0" w:lastRowFirstColumn="0" w:lastRowLastColumn="0"/>
              <w:rPr>
                <w:b/>
                <w:bCs/>
                <w:szCs w:val="20"/>
              </w:rPr>
            </w:pPr>
            <w:r w:rsidRPr="00AA22F2">
              <w:rPr>
                <w:b/>
                <w:bCs/>
                <w:szCs w:val="20"/>
              </w:rPr>
              <w:t>Faible</w:t>
            </w:r>
          </w:p>
        </w:tc>
        <w:tc>
          <w:tcPr>
            <w:tcW w:w="913" w:type="pct"/>
            <w:tcBorders>
              <w:right w:val="single" w:sz="4" w:space="0" w:color="BFBFBF" w:themeColor="background1" w:themeShade="BF"/>
            </w:tcBorders>
            <w:shd w:val="clear" w:color="auto" w:fill="auto"/>
            <w:vAlign w:val="center"/>
          </w:tcPr>
          <w:p w14:paraId="194D1C00" w14:textId="41583998" w:rsidR="00B3062D" w:rsidRPr="00AA22F2" w:rsidRDefault="00B3062D" w:rsidP="00CB0B09">
            <w:pPr>
              <w:jc w:val="left"/>
              <w:cnfStyle w:val="000000000000" w:firstRow="0" w:lastRow="0" w:firstColumn="0" w:lastColumn="0" w:oddVBand="0" w:evenVBand="0" w:oddHBand="0" w:evenHBand="0" w:firstRowFirstColumn="0" w:firstRowLastColumn="0" w:lastRowFirstColumn="0" w:lastRowLastColumn="0"/>
              <w:rPr>
                <w:b/>
                <w:bCs/>
                <w:szCs w:val="20"/>
              </w:rPr>
            </w:pPr>
            <w:r w:rsidRPr="002B020D">
              <w:rPr>
                <w:rFonts w:asciiTheme="minorHAnsi" w:hAnsiTheme="minorHAnsi" w:cstheme="minorHAnsi"/>
                <w:szCs w:val="20"/>
                <w:lang w:val="fr-MA" w:eastAsia="fr-MA" w:bidi="ar-SA"/>
              </w:rPr>
              <w:t>Personnel de chantier</w:t>
            </w:r>
          </w:p>
        </w:tc>
        <w:tc>
          <w:tcPr>
            <w:tcW w:w="1481" w:type="pct"/>
            <w:tcBorders>
              <w:left w:val="single" w:sz="4" w:space="0" w:color="BFBFBF" w:themeColor="background1" w:themeShade="BF"/>
            </w:tcBorders>
            <w:shd w:val="clear" w:color="auto" w:fill="auto"/>
            <w:vAlign w:val="center"/>
          </w:tcPr>
          <w:p w14:paraId="3E37FC66" w14:textId="70A653CF" w:rsidR="00B3062D" w:rsidRPr="00AA22F2" w:rsidRDefault="00B3062D" w:rsidP="00CB0B09">
            <w:pPr>
              <w:cnfStyle w:val="000000000000" w:firstRow="0" w:lastRow="0" w:firstColumn="0" w:lastColumn="0" w:oddVBand="0" w:evenVBand="0" w:oddHBand="0" w:evenHBand="0" w:firstRowFirstColumn="0" w:firstRowLastColumn="0" w:lastRowFirstColumn="0" w:lastRowLastColumn="0"/>
              <w:rPr>
                <w:szCs w:val="20"/>
              </w:rPr>
            </w:pPr>
            <w:r w:rsidRPr="002B020D">
              <w:rPr>
                <w:rFonts w:asciiTheme="minorHAnsi" w:hAnsiTheme="minorHAnsi" w:cstheme="minorHAnsi"/>
                <w:szCs w:val="20"/>
                <w:lang w:val="fr-MA" w:eastAsia="fr-MA" w:bidi="ar-SA"/>
              </w:rPr>
              <w:t>Forte</w:t>
            </w:r>
          </w:p>
        </w:tc>
        <w:tc>
          <w:tcPr>
            <w:tcW w:w="729" w:type="pct"/>
            <w:shd w:val="clear" w:color="auto" w:fill="auto"/>
            <w:vAlign w:val="center"/>
          </w:tcPr>
          <w:p w14:paraId="04DAAB14" w14:textId="37EA1300" w:rsidR="00B3062D" w:rsidRPr="00AA22F2" w:rsidRDefault="00B3062D" w:rsidP="00CB0B09">
            <w:pPr>
              <w:cnfStyle w:val="000000000000" w:firstRow="0" w:lastRow="0" w:firstColumn="0" w:lastColumn="0" w:oddVBand="0" w:evenVBand="0" w:oddHBand="0" w:evenHBand="0" w:firstRowFirstColumn="0" w:firstRowLastColumn="0" w:lastRowFirstColumn="0" w:lastRowLastColumn="0"/>
              <w:rPr>
                <w:b/>
                <w:bCs/>
                <w:szCs w:val="20"/>
              </w:rPr>
            </w:pPr>
            <w:r w:rsidRPr="002B020D">
              <w:rPr>
                <w:rFonts w:asciiTheme="minorHAnsi" w:hAnsiTheme="minorHAnsi" w:cstheme="minorHAnsi"/>
                <w:szCs w:val="20"/>
                <w:lang w:val="fr-MA" w:eastAsia="fr-MA" w:bidi="ar-SA"/>
              </w:rPr>
              <w:t>Modérée</w:t>
            </w:r>
          </w:p>
        </w:tc>
      </w:tr>
      <w:tr w:rsidR="00B3062D" w:rsidRPr="002B020D" w14:paraId="68F2FA42" w14:textId="77777777" w:rsidTr="009505A2">
        <w:tc>
          <w:tcPr>
            <w:cnfStyle w:val="001000000000" w:firstRow="0" w:lastRow="0" w:firstColumn="1" w:lastColumn="0" w:oddVBand="0" w:evenVBand="0" w:oddHBand="0" w:evenHBand="0" w:firstRowFirstColumn="0" w:firstRowLastColumn="0" w:lastRowFirstColumn="0" w:lastRowLastColumn="0"/>
            <w:tcW w:w="735" w:type="pct"/>
            <w:vMerge/>
            <w:textDirection w:val="btLr"/>
          </w:tcPr>
          <w:p w14:paraId="167AD741" w14:textId="77777777" w:rsidR="00B3062D" w:rsidRPr="00AA22F2" w:rsidRDefault="00B3062D" w:rsidP="004637C7">
            <w:pPr>
              <w:ind w:left="113" w:right="113"/>
              <w:rPr>
                <w:b w:val="0"/>
                <w:bCs w:val="0"/>
                <w:szCs w:val="20"/>
              </w:rPr>
            </w:pPr>
          </w:p>
        </w:tc>
        <w:tc>
          <w:tcPr>
            <w:tcW w:w="1142" w:type="pct"/>
            <w:vMerge/>
            <w:shd w:val="clear" w:color="auto" w:fill="auto"/>
          </w:tcPr>
          <w:p w14:paraId="01A093BC" w14:textId="77777777" w:rsidR="00B3062D" w:rsidRPr="00AA22F2" w:rsidRDefault="00B3062D" w:rsidP="00CB0B09">
            <w:pPr>
              <w:cnfStyle w:val="000000000000" w:firstRow="0" w:lastRow="0" w:firstColumn="0" w:lastColumn="0" w:oddVBand="0" w:evenVBand="0" w:oddHBand="0" w:evenHBand="0" w:firstRowFirstColumn="0" w:firstRowLastColumn="0" w:lastRowFirstColumn="0" w:lastRowLastColumn="0"/>
              <w:rPr>
                <w:b/>
                <w:bCs/>
                <w:szCs w:val="20"/>
              </w:rPr>
            </w:pPr>
          </w:p>
        </w:tc>
        <w:tc>
          <w:tcPr>
            <w:tcW w:w="913" w:type="pct"/>
            <w:tcBorders>
              <w:right w:val="single" w:sz="4" w:space="0" w:color="BFBFBF" w:themeColor="background1" w:themeShade="BF"/>
            </w:tcBorders>
            <w:shd w:val="clear" w:color="auto" w:fill="auto"/>
            <w:vAlign w:val="center"/>
          </w:tcPr>
          <w:p w14:paraId="085052D7" w14:textId="29E7C8EF" w:rsidR="00B3062D" w:rsidRPr="00AA22F2" w:rsidRDefault="00B3062D" w:rsidP="00CB0B09">
            <w:pPr>
              <w:jc w:val="left"/>
              <w:cnfStyle w:val="000000000000" w:firstRow="0" w:lastRow="0" w:firstColumn="0" w:lastColumn="0" w:oddVBand="0" w:evenVBand="0" w:oddHBand="0" w:evenHBand="0" w:firstRowFirstColumn="0" w:firstRowLastColumn="0" w:lastRowFirstColumn="0" w:lastRowLastColumn="0"/>
              <w:rPr>
                <w:b/>
                <w:bCs/>
                <w:szCs w:val="20"/>
              </w:rPr>
            </w:pPr>
            <w:r w:rsidRPr="002B020D">
              <w:rPr>
                <w:rFonts w:asciiTheme="minorHAnsi" w:hAnsiTheme="minorHAnsi" w:cstheme="minorHAnsi"/>
                <w:szCs w:val="20"/>
                <w:lang w:val="fr-MA" w:eastAsia="fr-MA" w:bidi="ar-SA"/>
              </w:rPr>
              <w:t>Usagers/aéroport</w:t>
            </w:r>
          </w:p>
        </w:tc>
        <w:tc>
          <w:tcPr>
            <w:tcW w:w="1481" w:type="pct"/>
            <w:tcBorders>
              <w:left w:val="single" w:sz="4" w:space="0" w:color="BFBFBF" w:themeColor="background1" w:themeShade="BF"/>
            </w:tcBorders>
            <w:shd w:val="clear" w:color="auto" w:fill="auto"/>
            <w:vAlign w:val="center"/>
          </w:tcPr>
          <w:p w14:paraId="0C86B6C9" w14:textId="3C143BD0" w:rsidR="00B3062D" w:rsidRPr="00AA22F2" w:rsidRDefault="00B3062D" w:rsidP="00CB0B09">
            <w:pPr>
              <w:cnfStyle w:val="000000000000" w:firstRow="0" w:lastRow="0" w:firstColumn="0" w:lastColumn="0" w:oddVBand="0" w:evenVBand="0" w:oddHBand="0" w:evenHBand="0" w:firstRowFirstColumn="0" w:firstRowLastColumn="0" w:lastRowFirstColumn="0" w:lastRowLastColumn="0"/>
              <w:rPr>
                <w:szCs w:val="20"/>
              </w:rPr>
            </w:pPr>
            <w:r w:rsidRPr="002B020D">
              <w:rPr>
                <w:rFonts w:asciiTheme="minorHAnsi" w:hAnsiTheme="minorHAnsi" w:cstheme="minorHAnsi"/>
                <w:szCs w:val="20"/>
                <w:lang w:val="fr-MA" w:eastAsia="fr-MA" w:bidi="ar-SA"/>
              </w:rPr>
              <w:t>Faible</w:t>
            </w:r>
          </w:p>
        </w:tc>
        <w:tc>
          <w:tcPr>
            <w:tcW w:w="729" w:type="pct"/>
            <w:shd w:val="clear" w:color="auto" w:fill="auto"/>
            <w:vAlign w:val="center"/>
          </w:tcPr>
          <w:p w14:paraId="271EF03C" w14:textId="6F475CDF" w:rsidR="00B3062D" w:rsidRPr="00AA22F2" w:rsidRDefault="00B3062D" w:rsidP="00CB0B09">
            <w:pPr>
              <w:cnfStyle w:val="000000000000" w:firstRow="0" w:lastRow="0" w:firstColumn="0" w:lastColumn="0" w:oddVBand="0" w:evenVBand="0" w:oddHBand="0" w:evenHBand="0" w:firstRowFirstColumn="0" w:firstRowLastColumn="0" w:lastRowFirstColumn="0" w:lastRowLastColumn="0"/>
              <w:rPr>
                <w:b/>
                <w:bCs/>
                <w:szCs w:val="20"/>
              </w:rPr>
            </w:pPr>
            <w:r w:rsidRPr="002B020D">
              <w:rPr>
                <w:rFonts w:asciiTheme="minorHAnsi" w:hAnsiTheme="minorHAnsi" w:cstheme="minorHAnsi"/>
                <w:szCs w:val="20"/>
                <w:lang w:val="fr-MA" w:eastAsia="fr-MA" w:bidi="ar-SA"/>
              </w:rPr>
              <w:t>Négligeable</w:t>
            </w:r>
          </w:p>
        </w:tc>
      </w:tr>
      <w:tr w:rsidR="00B3062D" w:rsidRPr="002B020D" w14:paraId="6829CFE8" w14:textId="77777777" w:rsidTr="009505A2">
        <w:tc>
          <w:tcPr>
            <w:cnfStyle w:val="001000000000" w:firstRow="0" w:lastRow="0" w:firstColumn="1" w:lastColumn="0" w:oddVBand="0" w:evenVBand="0" w:oddHBand="0" w:evenHBand="0" w:firstRowFirstColumn="0" w:firstRowLastColumn="0" w:lastRowFirstColumn="0" w:lastRowLastColumn="0"/>
            <w:tcW w:w="735" w:type="pct"/>
            <w:vMerge/>
            <w:textDirection w:val="btLr"/>
          </w:tcPr>
          <w:p w14:paraId="4C77B0F9" w14:textId="77777777" w:rsidR="00B3062D" w:rsidRPr="00AA22F2" w:rsidRDefault="00B3062D" w:rsidP="004637C7">
            <w:pPr>
              <w:ind w:left="113" w:right="113"/>
              <w:rPr>
                <w:b w:val="0"/>
                <w:bCs w:val="0"/>
                <w:szCs w:val="20"/>
              </w:rPr>
            </w:pPr>
          </w:p>
        </w:tc>
        <w:tc>
          <w:tcPr>
            <w:tcW w:w="1142" w:type="pct"/>
            <w:vMerge/>
            <w:shd w:val="clear" w:color="auto" w:fill="auto"/>
          </w:tcPr>
          <w:p w14:paraId="26CD0D56" w14:textId="77777777" w:rsidR="00B3062D" w:rsidRPr="00AA22F2" w:rsidRDefault="00B3062D" w:rsidP="00CB0B09">
            <w:pPr>
              <w:cnfStyle w:val="000000000000" w:firstRow="0" w:lastRow="0" w:firstColumn="0" w:lastColumn="0" w:oddVBand="0" w:evenVBand="0" w:oddHBand="0" w:evenHBand="0" w:firstRowFirstColumn="0" w:firstRowLastColumn="0" w:lastRowFirstColumn="0" w:lastRowLastColumn="0"/>
              <w:rPr>
                <w:b/>
                <w:bCs/>
                <w:szCs w:val="20"/>
              </w:rPr>
            </w:pPr>
          </w:p>
        </w:tc>
        <w:tc>
          <w:tcPr>
            <w:tcW w:w="913" w:type="pct"/>
            <w:tcBorders>
              <w:right w:val="single" w:sz="4" w:space="0" w:color="BFBFBF" w:themeColor="background1" w:themeShade="BF"/>
            </w:tcBorders>
            <w:shd w:val="clear" w:color="auto" w:fill="auto"/>
            <w:vAlign w:val="center"/>
          </w:tcPr>
          <w:p w14:paraId="23855DA8" w14:textId="3451F280" w:rsidR="00B3062D" w:rsidRPr="00AA22F2" w:rsidRDefault="00B3062D" w:rsidP="00CB0B09">
            <w:pPr>
              <w:jc w:val="left"/>
              <w:cnfStyle w:val="000000000000" w:firstRow="0" w:lastRow="0" w:firstColumn="0" w:lastColumn="0" w:oddVBand="0" w:evenVBand="0" w:oddHBand="0" w:evenHBand="0" w:firstRowFirstColumn="0" w:firstRowLastColumn="0" w:lastRowFirstColumn="0" w:lastRowLastColumn="0"/>
              <w:rPr>
                <w:b/>
                <w:bCs/>
                <w:szCs w:val="20"/>
              </w:rPr>
            </w:pPr>
            <w:r w:rsidRPr="002B020D">
              <w:rPr>
                <w:rFonts w:asciiTheme="minorHAnsi" w:hAnsiTheme="minorHAnsi" w:cstheme="minorHAnsi"/>
                <w:szCs w:val="20"/>
                <w:lang w:val="fr-MA" w:eastAsia="fr-MA" w:bidi="ar-SA"/>
              </w:rPr>
              <w:t xml:space="preserve">Habitations (notamment </w:t>
            </w:r>
            <w:r w:rsidR="007811A8">
              <w:rPr>
                <w:rFonts w:asciiTheme="minorHAnsi" w:hAnsiTheme="minorHAnsi" w:cstheme="minorHAnsi"/>
                <w:szCs w:val="20"/>
                <w:lang w:val="fr-MA" w:eastAsia="fr-MA" w:bidi="ar-SA"/>
              </w:rPr>
              <w:t>Bouakkaz</w:t>
            </w:r>
            <w:r w:rsidRPr="002B020D">
              <w:rPr>
                <w:rFonts w:asciiTheme="minorHAnsi" w:hAnsiTheme="minorHAnsi" w:cstheme="minorHAnsi"/>
                <w:szCs w:val="20"/>
                <w:lang w:val="fr-MA" w:eastAsia="fr-MA" w:bidi="ar-SA"/>
              </w:rPr>
              <w:t>)</w:t>
            </w:r>
          </w:p>
        </w:tc>
        <w:tc>
          <w:tcPr>
            <w:tcW w:w="1481" w:type="pct"/>
            <w:tcBorders>
              <w:left w:val="single" w:sz="4" w:space="0" w:color="BFBFBF" w:themeColor="background1" w:themeShade="BF"/>
            </w:tcBorders>
            <w:shd w:val="clear" w:color="auto" w:fill="auto"/>
            <w:vAlign w:val="center"/>
          </w:tcPr>
          <w:p w14:paraId="4E66BF76" w14:textId="0F5A1B14" w:rsidR="00B3062D" w:rsidRPr="00AA22F2" w:rsidRDefault="00B3062D" w:rsidP="00CB0B09">
            <w:pPr>
              <w:cnfStyle w:val="000000000000" w:firstRow="0" w:lastRow="0" w:firstColumn="0" w:lastColumn="0" w:oddVBand="0" w:evenVBand="0" w:oddHBand="0" w:evenHBand="0" w:firstRowFirstColumn="0" w:firstRowLastColumn="0" w:lastRowFirstColumn="0" w:lastRowLastColumn="0"/>
              <w:rPr>
                <w:szCs w:val="20"/>
              </w:rPr>
            </w:pPr>
            <w:r w:rsidRPr="002B020D">
              <w:rPr>
                <w:rFonts w:asciiTheme="minorHAnsi" w:hAnsiTheme="minorHAnsi" w:cstheme="minorHAnsi"/>
                <w:szCs w:val="20"/>
                <w:lang w:val="fr-MA" w:eastAsia="fr-MA" w:bidi="ar-SA"/>
              </w:rPr>
              <w:t>Faible</w:t>
            </w:r>
          </w:p>
        </w:tc>
        <w:tc>
          <w:tcPr>
            <w:tcW w:w="729" w:type="pct"/>
            <w:shd w:val="clear" w:color="auto" w:fill="auto"/>
            <w:vAlign w:val="center"/>
          </w:tcPr>
          <w:p w14:paraId="56CBEC01" w14:textId="0ECD99F2" w:rsidR="00B3062D" w:rsidRPr="00AA22F2" w:rsidRDefault="00B3062D" w:rsidP="00CB0B09">
            <w:pPr>
              <w:cnfStyle w:val="000000000000" w:firstRow="0" w:lastRow="0" w:firstColumn="0" w:lastColumn="0" w:oddVBand="0" w:evenVBand="0" w:oddHBand="0" w:evenHBand="0" w:firstRowFirstColumn="0" w:firstRowLastColumn="0" w:lastRowFirstColumn="0" w:lastRowLastColumn="0"/>
              <w:rPr>
                <w:b/>
                <w:bCs/>
                <w:szCs w:val="20"/>
              </w:rPr>
            </w:pPr>
            <w:r w:rsidRPr="002B020D">
              <w:rPr>
                <w:rFonts w:asciiTheme="minorHAnsi" w:hAnsiTheme="minorHAnsi" w:cstheme="minorHAnsi"/>
                <w:szCs w:val="20"/>
                <w:lang w:val="fr-MA" w:eastAsia="fr-MA" w:bidi="ar-SA"/>
              </w:rPr>
              <w:t>Négligeable</w:t>
            </w:r>
          </w:p>
        </w:tc>
      </w:tr>
    </w:tbl>
    <w:p w14:paraId="318C614F" w14:textId="77777777" w:rsidR="00311E49" w:rsidRDefault="00311E49" w:rsidP="002D65D6">
      <w:pPr>
        <w:sectPr w:rsidR="00311E49" w:rsidSect="0009632F">
          <w:footerReference w:type="default" r:id="rId97"/>
          <w:pgSz w:w="11906" w:h="16838"/>
          <w:pgMar w:top="1418" w:right="1418" w:bottom="1276" w:left="1418" w:header="680" w:footer="680" w:gutter="0"/>
          <w:cols w:space="708"/>
          <w:docGrid w:linePitch="360"/>
        </w:sectPr>
      </w:pPr>
    </w:p>
    <w:bookmarkEnd w:id="398"/>
    <w:p w14:paraId="4953CE9E" w14:textId="3E96A081" w:rsidR="00311E49" w:rsidRDefault="00321D92" w:rsidP="004637C7">
      <w:pPr>
        <w:pStyle w:val="Title5"/>
      </w:pPr>
      <w:r>
        <w:lastRenderedPageBreak/>
        <w:t xml:space="preserve">Mesures d’atténuation </w:t>
      </w:r>
    </w:p>
    <w:p w14:paraId="5FD34E30" w14:textId="4E92B1FC" w:rsidR="0057287F" w:rsidRDefault="0057287F" w:rsidP="004637C7">
      <w:pPr>
        <w:pStyle w:val="Lgende"/>
        <w:keepNext/>
      </w:pPr>
      <w:bookmarkStart w:id="399" w:name="_Toc213404365"/>
      <w:r>
        <w:t xml:space="preserve">Tableau </w:t>
      </w:r>
      <w:r>
        <w:fldChar w:fldCharType="begin"/>
      </w:r>
      <w:r>
        <w:instrText xml:space="preserve"> SEQ Tableau \* ARABIC </w:instrText>
      </w:r>
      <w:r>
        <w:fldChar w:fldCharType="separate"/>
      </w:r>
      <w:r w:rsidR="00274E71">
        <w:rPr>
          <w:noProof/>
        </w:rPr>
        <w:t>43</w:t>
      </w:r>
      <w:r>
        <w:fldChar w:fldCharType="end"/>
      </w:r>
      <w:r>
        <w:rPr>
          <w:lang w:val="fr-FR"/>
        </w:rPr>
        <w:t xml:space="preserve"> : Mesures d’atténuation</w:t>
      </w:r>
      <w:r w:rsidRPr="00D40723">
        <w:rPr>
          <w:lang w:val="fr-FR"/>
        </w:rPr>
        <w:t xml:space="preserve"> des impacts sur la qualité de l’air - Phase construction</w:t>
      </w:r>
      <w:bookmarkEnd w:id="399"/>
      <w:r w:rsidRPr="00D40723">
        <w:rPr>
          <w:lang w:val="fr-FR"/>
        </w:rPr>
        <w:t xml:space="preserve"> </w:t>
      </w:r>
    </w:p>
    <w:tbl>
      <w:tblPr>
        <w:tblStyle w:val="TableauGrille1Clair-Accentuation111"/>
        <w:tblW w:w="5000" w:type="pct"/>
        <w:tblLook w:val="04A0" w:firstRow="1" w:lastRow="0" w:firstColumn="1" w:lastColumn="0" w:noHBand="0" w:noVBand="1"/>
      </w:tblPr>
      <w:tblGrid>
        <w:gridCol w:w="1519"/>
        <w:gridCol w:w="1360"/>
        <w:gridCol w:w="2692"/>
        <w:gridCol w:w="1689"/>
        <w:gridCol w:w="1160"/>
        <w:gridCol w:w="1223"/>
        <w:gridCol w:w="717"/>
        <w:gridCol w:w="1428"/>
        <w:gridCol w:w="2346"/>
      </w:tblGrid>
      <w:tr w:rsidR="00155D87" w:rsidRPr="00B3062D" w14:paraId="09FA14BF" w14:textId="77777777" w:rsidTr="008065E2">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537" w:type="pct"/>
            <w:hideMark/>
          </w:tcPr>
          <w:p w14:paraId="5F9489F2" w14:textId="77777777" w:rsidR="00155D87" w:rsidRPr="00AA22F2" w:rsidRDefault="00155D87" w:rsidP="00155D87">
            <w:pPr>
              <w:rPr>
                <w:szCs w:val="20"/>
                <w:lang w:val="en-US"/>
              </w:rPr>
            </w:pPr>
            <w:bookmarkStart w:id="400" w:name="_Hlk210402825"/>
            <w:r w:rsidRPr="00AA22F2">
              <w:rPr>
                <w:szCs w:val="20"/>
                <w:lang w:val="en-US"/>
              </w:rPr>
              <w:t>Impact</w:t>
            </w:r>
          </w:p>
        </w:tc>
        <w:tc>
          <w:tcPr>
            <w:tcW w:w="481" w:type="pct"/>
            <w:hideMark/>
          </w:tcPr>
          <w:p w14:paraId="607CF57C" w14:textId="6B6AE428" w:rsidR="00155D87" w:rsidRPr="00AA22F2" w:rsidRDefault="00155D87" w:rsidP="00155D87">
            <w:pPr>
              <w:cnfStyle w:val="100000000000" w:firstRow="1" w:lastRow="0" w:firstColumn="0" w:lastColumn="0" w:oddVBand="0" w:evenVBand="0" w:oddHBand="0" w:evenHBand="0" w:firstRowFirstColumn="0" w:firstRowLastColumn="0" w:lastRowFirstColumn="0" w:lastRowLastColumn="0"/>
              <w:rPr>
                <w:szCs w:val="20"/>
                <w:lang w:val="en-US"/>
              </w:rPr>
            </w:pPr>
            <w:r w:rsidRPr="00AA22F2">
              <w:rPr>
                <w:szCs w:val="20"/>
                <w:lang w:val="en-US"/>
              </w:rPr>
              <w:t>Niveau d’atténuation</w:t>
            </w:r>
          </w:p>
        </w:tc>
        <w:tc>
          <w:tcPr>
            <w:tcW w:w="952" w:type="pct"/>
            <w:hideMark/>
          </w:tcPr>
          <w:p w14:paraId="34E27774" w14:textId="7F631D48" w:rsidR="00155D87" w:rsidRPr="004637C7" w:rsidRDefault="00155D87" w:rsidP="00155D87">
            <w:pPr>
              <w:cnfStyle w:val="100000000000" w:firstRow="1" w:lastRow="0" w:firstColumn="0" w:lastColumn="0" w:oddVBand="0" w:evenVBand="0" w:oddHBand="0" w:evenHBand="0" w:firstRowFirstColumn="0" w:firstRowLastColumn="0" w:lastRowFirstColumn="0" w:lastRowLastColumn="0"/>
              <w:rPr>
                <w:szCs w:val="20"/>
              </w:rPr>
            </w:pPr>
            <w:r w:rsidRPr="004637C7">
              <w:rPr>
                <w:szCs w:val="20"/>
              </w:rPr>
              <w:t xml:space="preserve">Mesure </w:t>
            </w:r>
          </w:p>
        </w:tc>
        <w:tc>
          <w:tcPr>
            <w:tcW w:w="597" w:type="pct"/>
            <w:hideMark/>
          </w:tcPr>
          <w:p w14:paraId="6F0D7C12" w14:textId="77777777" w:rsidR="00155D87" w:rsidRPr="00AA22F2" w:rsidRDefault="00155D87" w:rsidP="00155D87">
            <w:pPr>
              <w:cnfStyle w:val="100000000000" w:firstRow="1" w:lastRow="0" w:firstColumn="0" w:lastColumn="0" w:oddVBand="0" w:evenVBand="0" w:oddHBand="0" w:evenHBand="0" w:firstRowFirstColumn="0" w:firstRowLastColumn="0" w:lastRowFirstColumn="0" w:lastRowLastColumn="0"/>
              <w:rPr>
                <w:szCs w:val="20"/>
                <w:lang w:val="en-US"/>
              </w:rPr>
            </w:pPr>
            <w:r w:rsidRPr="00AA22F2">
              <w:rPr>
                <w:szCs w:val="20"/>
                <w:lang w:val="en-US"/>
              </w:rPr>
              <w:t>KPI / Indicateur</w:t>
            </w:r>
          </w:p>
        </w:tc>
        <w:tc>
          <w:tcPr>
            <w:tcW w:w="410" w:type="pct"/>
          </w:tcPr>
          <w:p w14:paraId="5C36FA07" w14:textId="55551B81" w:rsidR="00155D87" w:rsidRPr="00AA22F2" w:rsidRDefault="00155D87" w:rsidP="00155D87">
            <w:pPr>
              <w:cnfStyle w:val="100000000000" w:firstRow="1" w:lastRow="0" w:firstColumn="0" w:lastColumn="0" w:oddVBand="0" w:evenVBand="0" w:oddHBand="0" w:evenHBand="0" w:firstRowFirstColumn="0" w:firstRowLastColumn="0" w:lastRowFirstColumn="0" w:lastRowLastColumn="0"/>
              <w:rPr>
                <w:szCs w:val="20"/>
              </w:rPr>
            </w:pPr>
            <w:r w:rsidRPr="00AA22F2">
              <w:rPr>
                <w:szCs w:val="20"/>
              </w:rPr>
              <w:t>Mise en œuvre</w:t>
            </w:r>
          </w:p>
        </w:tc>
        <w:tc>
          <w:tcPr>
            <w:tcW w:w="433" w:type="pct"/>
          </w:tcPr>
          <w:p w14:paraId="50BAE5E2" w14:textId="17FE29A5" w:rsidR="00155D87" w:rsidRPr="00AA22F2" w:rsidRDefault="00155D87" w:rsidP="00155D87">
            <w:pPr>
              <w:cnfStyle w:val="100000000000" w:firstRow="1" w:lastRow="0" w:firstColumn="0" w:lastColumn="0" w:oddVBand="0" w:evenVBand="0" w:oddHBand="0" w:evenHBand="0" w:firstRowFirstColumn="0" w:firstRowLastColumn="0" w:lastRowFirstColumn="0" w:lastRowLastColumn="0"/>
              <w:rPr>
                <w:szCs w:val="20"/>
              </w:rPr>
            </w:pPr>
            <w:r w:rsidRPr="00AA22F2">
              <w:rPr>
                <w:szCs w:val="20"/>
              </w:rPr>
              <w:t>Surveillance</w:t>
            </w:r>
          </w:p>
        </w:tc>
        <w:tc>
          <w:tcPr>
            <w:tcW w:w="254" w:type="pct"/>
          </w:tcPr>
          <w:p w14:paraId="05A78F6A" w14:textId="4313507E" w:rsidR="00155D87" w:rsidRPr="00AA22F2" w:rsidRDefault="00155D87" w:rsidP="00155D87">
            <w:pPr>
              <w:cnfStyle w:val="100000000000" w:firstRow="1" w:lastRow="0" w:firstColumn="0" w:lastColumn="0" w:oddVBand="0" w:evenVBand="0" w:oddHBand="0" w:evenHBand="0" w:firstRowFirstColumn="0" w:firstRowLastColumn="0" w:lastRowFirstColumn="0" w:lastRowLastColumn="0"/>
              <w:rPr>
                <w:szCs w:val="20"/>
              </w:rPr>
            </w:pPr>
            <w:r w:rsidRPr="00AA22F2">
              <w:rPr>
                <w:szCs w:val="20"/>
              </w:rPr>
              <w:t>Suivi</w:t>
            </w:r>
          </w:p>
        </w:tc>
        <w:tc>
          <w:tcPr>
            <w:tcW w:w="395" w:type="pct"/>
            <w:hideMark/>
          </w:tcPr>
          <w:p w14:paraId="6F3767A9" w14:textId="36F56F73" w:rsidR="00155D87" w:rsidRPr="004637C7" w:rsidRDefault="00155D87" w:rsidP="00155D87">
            <w:pPr>
              <w:cnfStyle w:val="100000000000" w:firstRow="1" w:lastRow="0" w:firstColumn="0" w:lastColumn="0" w:oddVBand="0" w:evenVBand="0" w:oddHBand="0" w:evenHBand="0" w:firstRowFirstColumn="0" w:firstRowLastColumn="0" w:lastRowFirstColumn="0" w:lastRowLastColumn="0"/>
              <w:rPr>
                <w:szCs w:val="20"/>
              </w:rPr>
            </w:pPr>
            <w:r w:rsidRPr="004637C7">
              <w:rPr>
                <w:szCs w:val="20"/>
              </w:rPr>
              <w:t>Calendrier de mise en œuvre</w:t>
            </w:r>
          </w:p>
        </w:tc>
        <w:tc>
          <w:tcPr>
            <w:tcW w:w="940" w:type="pct"/>
          </w:tcPr>
          <w:p w14:paraId="7A56D406" w14:textId="23604A0A" w:rsidR="00155D87" w:rsidRPr="00AA22F2" w:rsidRDefault="00155D87" w:rsidP="00155D87">
            <w:pPr>
              <w:cnfStyle w:val="100000000000" w:firstRow="1" w:lastRow="0" w:firstColumn="0" w:lastColumn="0" w:oddVBand="0" w:evenVBand="0" w:oddHBand="0" w:evenHBand="0" w:firstRowFirstColumn="0" w:firstRowLastColumn="0" w:lastRowFirstColumn="0" w:lastRowLastColumn="0"/>
              <w:rPr>
                <w:szCs w:val="20"/>
              </w:rPr>
            </w:pPr>
            <w:r w:rsidRPr="00AA22F2">
              <w:rPr>
                <w:szCs w:val="20"/>
              </w:rPr>
              <w:t>Coût de mise en œuvre</w:t>
            </w:r>
          </w:p>
        </w:tc>
      </w:tr>
      <w:tr w:rsidR="00155D87" w:rsidRPr="00B3062D" w14:paraId="23A335E1" w14:textId="7010DACB" w:rsidTr="008065E2">
        <w:tc>
          <w:tcPr>
            <w:cnfStyle w:val="001000000000" w:firstRow="0" w:lastRow="0" w:firstColumn="1" w:lastColumn="0" w:oddVBand="0" w:evenVBand="0" w:oddHBand="0" w:evenHBand="0" w:firstRowFirstColumn="0" w:firstRowLastColumn="0" w:lastRowFirstColumn="0" w:lastRowLastColumn="0"/>
            <w:tcW w:w="537" w:type="pct"/>
            <w:vMerge w:val="restart"/>
            <w:hideMark/>
          </w:tcPr>
          <w:p w14:paraId="395A576F" w14:textId="77777777" w:rsidR="00155D87" w:rsidRPr="004637C7" w:rsidRDefault="00155D87" w:rsidP="00155D87">
            <w:pPr>
              <w:rPr>
                <w:szCs w:val="20"/>
              </w:rPr>
            </w:pPr>
            <w:r w:rsidRPr="004637C7">
              <w:rPr>
                <w:szCs w:val="20"/>
              </w:rPr>
              <w:t>Émission &amp; envol de poussières (PM10, PM2,5)</w:t>
            </w:r>
          </w:p>
        </w:tc>
        <w:tc>
          <w:tcPr>
            <w:tcW w:w="481" w:type="pct"/>
            <w:vMerge w:val="restart"/>
            <w:vAlign w:val="center"/>
            <w:hideMark/>
          </w:tcPr>
          <w:p w14:paraId="59D91F2E" w14:textId="1A01F69F" w:rsidR="00155D87" w:rsidRPr="00AA22F2" w:rsidRDefault="00155D87" w:rsidP="004637C7">
            <w:pPr>
              <w:jc w:val="center"/>
              <w:cnfStyle w:val="000000000000" w:firstRow="0" w:lastRow="0" w:firstColumn="0" w:lastColumn="0" w:oddVBand="0" w:evenVBand="0" w:oddHBand="0" w:evenHBand="0" w:firstRowFirstColumn="0" w:firstRowLastColumn="0" w:lastRowFirstColumn="0" w:lastRowLastColumn="0"/>
              <w:rPr>
                <w:szCs w:val="20"/>
                <w:lang w:val="en-US"/>
              </w:rPr>
            </w:pPr>
            <w:r w:rsidRPr="00AA22F2">
              <w:rPr>
                <w:szCs w:val="20"/>
                <w:lang w:val="en-US"/>
              </w:rPr>
              <w:t>Évite</w:t>
            </w:r>
            <w:r w:rsidR="00AD4DBE">
              <w:rPr>
                <w:szCs w:val="20"/>
                <w:lang w:val="en-US"/>
              </w:rPr>
              <w:t>r</w:t>
            </w:r>
          </w:p>
        </w:tc>
        <w:tc>
          <w:tcPr>
            <w:tcW w:w="952" w:type="pct"/>
            <w:hideMark/>
          </w:tcPr>
          <w:p w14:paraId="4F2251CC" w14:textId="77777777" w:rsidR="00155D87" w:rsidRPr="00AA22F2" w:rsidRDefault="00155D87" w:rsidP="00155D87">
            <w:pPr>
              <w:cnfStyle w:val="000000000000" w:firstRow="0" w:lastRow="0" w:firstColumn="0" w:lastColumn="0" w:oddVBand="0" w:evenVBand="0" w:oddHBand="0" w:evenHBand="0" w:firstRowFirstColumn="0" w:firstRowLastColumn="0" w:lastRowFirstColumn="0" w:lastRowLastColumn="0"/>
              <w:rPr>
                <w:szCs w:val="20"/>
              </w:rPr>
            </w:pPr>
            <w:r w:rsidRPr="00AA22F2">
              <w:rPr>
                <w:szCs w:val="20"/>
              </w:rPr>
              <w:t xml:space="preserve">Phaser les terrassements/démolitions en évitant les épisodes venteux ; </w:t>
            </w:r>
          </w:p>
          <w:p w14:paraId="46D3B020" w14:textId="77777777" w:rsidR="00155D87" w:rsidRPr="00AA22F2" w:rsidRDefault="00155D87" w:rsidP="00155D87">
            <w:pPr>
              <w:cnfStyle w:val="000000000000" w:firstRow="0" w:lastRow="0" w:firstColumn="0" w:lastColumn="0" w:oddVBand="0" w:evenVBand="0" w:oddHBand="0" w:evenHBand="0" w:firstRowFirstColumn="0" w:firstRowLastColumn="0" w:lastRowFirstColumn="0" w:lastRowLastColumn="0"/>
              <w:rPr>
                <w:szCs w:val="20"/>
              </w:rPr>
            </w:pPr>
            <w:r w:rsidRPr="00AA22F2">
              <w:rPr>
                <w:szCs w:val="20"/>
              </w:rPr>
              <w:t xml:space="preserve">Eloigner/relocaliser les stockages pulvérulents des limites sensibles ; </w:t>
            </w:r>
          </w:p>
          <w:p w14:paraId="798E0A17" w14:textId="6549BF7C" w:rsidR="00155D87" w:rsidRPr="004637C7" w:rsidRDefault="00155D87" w:rsidP="00155D87">
            <w:pPr>
              <w:cnfStyle w:val="000000000000" w:firstRow="0" w:lastRow="0" w:firstColumn="0" w:lastColumn="0" w:oddVBand="0" w:evenVBand="0" w:oddHBand="0" w:evenHBand="0" w:firstRowFirstColumn="0" w:firstRowLastColumn="0" w:lastRowFirstColumn="0" w:lastRowLastColumn="0"/>
              <w:rPr>
                <w:szCs w:val="20"/>
              </w:rPr>
            </w:pPr>
            <w:r w:rsidRPr="00AA22F2">
              <w:rPr>
                <w:szCs w:val="20"/>
              </w:rPr>
              <w:t>Privilégier les matériaux préassemblés pour limiter le concassage/criblage.</w:t>
            </w:r>
          </w:p>
        </w:tc>
        <w:tc>
          <w:tcPr>
            <w:tcW w:w="597" w:type="pct"/>
            <w:hideMark/>
          </w:tcPr>
          <w:p w14:paraId="59260126" w14:textId="600DC8F9" w:rsidR="00155D87" w:rsidRPr="004637C7" w:rsidRDefault="00155D87" w:rsidP="00155D87">
            <w:pPr>
              <w:cnfStyle w:val="000000000000" w:firstRow="0" w:lastRow="0" w:firstColumn="0" w:lastColumn="0" w:oddVBand="0" w:evenVBand="0" w:oddHBand="0" w:evenHBand="0" w:firstRowFirstColumn="0" w:firstRowLastColumn="0" w:lastRowFirstColumn="0" w:lastRowLastColumn="0"/>
              <w:rPr>
                <w:szCs w:val="20"/>
              </w:rPr>
            </w:pPr>
            <w:r w:rsidRPr="00AA22F2">
              <w:rPr>
                <w:szCs w:val="20"/>
              </w:rPr>
              <w:t>% de jours venteux sans opérations poussiéreuses ; nombre de stockages déplacés/éloignés ; volume de matériaux préassemblés utilisé</w:t>
            </w:r>
          </w:p>
        </w:tc>
        <w:tc>
          <w:tcPr>
            <w:tcW w:w="410" w:type="pct"/>
          </w:tcPr>
          <w:p w14:paraId="07160A97" w14:textId="71151424" w:rsidR="00155D87" w:rsidRPr="004637C7" w:rsidRDefault="00155D87" w:rsidP="00155D87">
            <w:pPr>
              <w:cnfStyle w:val="000000000000" w:firstRow="0" w:lastRow="0" w:firstColumn="0" w:lastColumn="0" w:oddVBand="0" w:evenVBand="0" w:oddHBand="0" w:evenHBand="0" w:firstRowFirstColumn="0" w:firstRowLastColumn="0" w:lastRowFirstColumn="0" w:lastRowLastColumn="0"/>
              <w:rPr>
                <w:szCs w:val="20"/>
              </w:rPr>
            </w:pPr>
            <w:r w:rsidRPr="00AA22F2">
              <w:rPr>
                <w:szCs w:val="20"/>
              </w:rPr>
              <w:t>EPC et sous-traitants</w:t>
            </w:r>
          </w:p>
        </w:tc>
        <w:tc>
          <w:tcPr>
            <w:tcW w:w="433" w:type="pct"/>
          </w:tcPr>
          <w:p w14:paraId="2486A730" w14:textId="041ADAA1" w:rsidR="00155D87" w:rsidRPr="00AA22F2" w:rsidRDefault="00155D87" w:rsidP="00155D87">
            <w:pPr>
              <w:cnfStyle w:val="000000000000" w:firstRow="0" w:lastRow="0" w:firstColumn="0" w:lastColumn="0" w:oddVBand="0" w:evenVBand="0" w:oddHBand="0" w:evenHBand="0" w:firstRowFirstColumn="0" w:firstRowLastColumn="0" w:lastRowFirstColumn="0" w:lastRowLastColumn="0"/>
              <w:rPr>
                <w:szCs w:val="20"/>
              </w:rPr>
            </w:pPr>
            <w:r w:rsidRPr="00AA22F2">
              <w:rPr>
                <w:szCs w:val="20"/>
              </w:rPr>
              <w:t>Bureau de contrôle / Consultant de supervision mandaté par l’ONDA</w:t>
            </w:r>
          </w:p>
        </w:tc>
        <w:tc>
          <w:tcPr>
            <w:tcW w:w="254" w:type="pct"/>
          </w:tcPr>
          <w:p w14:paraId="099E342B" w14:textId="0B5DC43A" w:rsidR="00155D87" w:rsidRPr="004637C7" w:rsidRDefault="006F7BC6" w:rsidP="00155D87">
            <w:pPr>
              <w:cnfStyle w:val="000000000000" w:firstRow="0" w:lastRow="0" w:firstColumn="0" w:lastColumn="0" w:oddVBand="0" w:evenVBand="0" w:oddHBand="0" w:evenHBand="0" w:firstRowFirstColumn="0" w:firstRowLastColumn="0" w:lastRowFirstColumn="0" w:lastRowLastColumn="0"/>
              <w:rPr>
                <w:szCs w:val="20"/>
              </w:rPr>
            </w:pPr>
            <w:r w:rsidRPr="00AA22F2">
              <w:rPr>
                <w:szCs w:val="20"/>
              </w:rPr>
              <w:t>ONDA</w:t>
            </w:r>
          </w:p>
        </w:tc>
        <w:tc>
          <w:tcPr>
            <w:tcW w:w="395" w:type="pct"/>
            <w:hideMark/>
          </w:tcPr>
          <w:p w14:paraId="025C2279" w14:textId="17196419" w:rsidR="00155D87" w:rsidRPr="004637C7" w:rsidRDefault="00155D87" w:rsidP="00155D87">
            <w:pPr>
              <w:cnfStyle w:val="000000000000" w:firstRow="0" w:lastRow="0" w:firstColumn="0" w:lastColumn="0" w:oddVBand="0" w:evenVBand="0" w:oddHBand="0" w:evenHBand="0" w:firstRowFirstColumn="0" w:firstRowLastColumn="0" w:lastRowFirstColumn="0" w:lastRowLastColumn="0"/>
              <w:rPr>
                <w:szCs w:val="20"/>
              </w:rPr>
            </w:pPr>
            <w:r w:rsidRPr="00AA22F2">
              <w:rPr>
                <w:szCs w:val="20"/>
              </w:rPr>
              <w:t>Avant et pendant les phases poussiéreuses</w:t>
            </w:r>
          </w:p>
        </w:tc>
        <w:tc>
          <w:tcPr>
            <w:tcW w:w="940" w:type="pct"/>
          </w:tcPr>
          <w:p w14:paraId="51A69E3F" w14:textId="077ED7CF" w:rsidR="00155D87" w:rsidRPr="00AA22F2" w:rsidRDefault="00155D87" w:rsidP="00155D87">
            <w:pPr>
              <w:cnfStyle w:val="000000000000" w:firstRow="0" w:lastRow="0" w:firstColumn="0" w:lastColumn="0" w:oddVBand="0" w:evenVBand="0" w:oddHBand="0" w:evenHBand="0" w:firstRowFirstColumn="0" w:firstRowLastColumn="0" w:lastRowFirstColumn="0" w:lastRowLastColumn="0"/>
              <w:rPr>
                <w:szCs w:val="20"/>
              </w:rPr>
            </w:pPr>
            <w:r w:rsidRPr="00AA22F2">
              <w:rPr>
                <w:szCs w:val="20"/>
              </w:rPr>
              <w:t>Aucun coût spécifique</w:t>
            </w:r>
            <w:r w:rsidR="00914916">
              <w:rPr>
                <w:szCs w:val="20"/>
              </w:rPr>
              <w:t xml:space="preserve"> - </w:t>
            </w:r>
            <w:r w:rsidR="00914916" w:rsidRPr="00914916">
              <w:rPr>
                <w:szCs w:val="20"/>
              </w:rPr>
              <w:t>Mesure organisationnelle intégrée à la planification du chantier.</w:t>
            </w:r>
          </w:p>
        </w:tc>
      </w:tr>
      <w:tr w:rsidR="00B3062D" w:rsidRPr="00B3062D" w14:paraId="2A5CA62D" w14:textId="0011C483" w:rsidTr="008065E2">
        <w:tc>
          <w:tcPr>
            <w:cnfStyle w:val="001000000000" w:firstRow="0" w:lastRow="0" w:firstColumn="1" w:lastColumn="0" w:oddVBand="0" w:evenVBand="0" w:oddHBand="0" w:evenHBand="0" w:firstRowFirstColumn="0" w:firstRowLastColumn="0" w:lastRowFirstColumn="0" w:lastRowLastColumn="0"/>
            <w:tcW w:w="537" w:type="pct"/>
            <w:vMerge/>
            <w:hideMark/>
          </w:tcPr>
          <w:p w14:paraId="4756BBE0" w14:textId="77777777" w:rsidR="00B3062D" w:rsidRPr="004637C7" w:rsidRDefault="00B3062D" w:rsidP="00B3062D">
            <w:pPr>
              <w:rPr>
                <w:szCs w:val="20"/>
              </w:rPr>
            </w:pPr>
          </w:p>
        </w:tc>
        <w:tc>
          <w:tcPr>
            <w:tcW w:w="481" w:type="pct"/>
            <w:vMerge/>
          </w:tcPr>
          <w:p w14:paraId="657267A0" w14:textId="14AC5E3E" w:rsidR="00B3062D" w:rsidRPr="00D60FC9" w:rsidRDefault="00B3062D" w:rsidP="00B3062D">
            <w:pPr>
              <w:cnfStyle w:val="000000000000" w:firstRow="0" w:lastRow="0" w:firstColumn="0" w:lastColumn="0" w:oddVBand="0" w:evenVBand="0" w:oddHBand="0" w:evenHBand="0" w:firstRowFirstColumn="0" w:firstRowLastColumn="0" w:lastRowFirstColumn="0" w:lastRowLastColumn="0"/>
              <w:rPr>
                <w:szCs w:val="20"/>
              </w:rPr>
            </w:pPr>
          </w:p>
        </w:tc>
        <w:tc>
          <w:tcPr>
            <w:tcW w:w="952" w:type="pct"/>
            <w:hideMark/>
          </w:tcPr>
          <w:p w14:paraId="70FE4A80" w14:textId="77777777" w:rsidR="00B3062D" w:rsidRPr="004637C7" w:rsidRDefault="00B3062D" w:rsidP="00B3062D">
            <w:pPr>
              <w:cnfStyle w:val="000000000000" w:firstRow="0" w:lastRow="0" w:firstColumn="0" w:lastColumn="0" w:oddVBand="0" w:evenVBand="0" w:oddHBand="0" w:evenHBand="0" w:firstRowFirstColumn="0" w:firstRowLastColumn="0" w:lastRowFirstColumn="0" w:lastRowLastColumn="0"/>
              <w:rPr>
                <w:szCs w:val="20"/>
              </w:rPr>
            </w:pPr>
            <w:r w:rsidRPr="004637C7">
              <w:rPr>
                <w:szCs w:val="20"/>
              </w:rPr>
              <w:t>Implanter les zones de stockage et de concassage au cœur de l’emprise et définir des zones tampons internes, de manière à éloigner les sources des récepteurs sous le vent et réduire d’emblée l’exposition potentielle.</w:t>
            </w:r>
          </w:p>
        </w:tc>
        <w:tc>
          <w:tcPr>
            <w:tcW w:w="597" w:type="pct"/>
            <w:hideMark/>
          </w:tcPr>
          <w:p w14:paraId="667D077C" w14:textId="77777777" w:rsidR="00B3062D" w:rsidRPr="004637C7" w:rsidRDefault="00B3062D" w:rsidP="00B3062D">
            <w:pPr>
              <w:cnfStyle w:val="000000000000" w:firstRow="0" w:lastRow="0" w:firstColumn="0" w:lastColumn="0" w:oddVBand="0" w:evenVBand="0" w:oddHBand="0" w:evenHBand="0" w:firstRowFirstColumn="0" w:firstRowLastColumn="0" w:lastRowFirstColumn="0" w:lastRowLastColumn="0"/>
              <w:rPr>
                <w:szCs w:val="20"/>
              </w:rPr>
            </w:pPr>
            <w:r w:rsidRPr="004637C7">
              <w:rPr>
                <w:szCs w:val="20"/>
              </w:rPr>
              <w:t>Cartographie validée ; distance minimale aux récepteurs</w:t>
            </w:r>
          </w:p>
        </w:tc>
        <w:tc>
          <w:tcPr>
            <w:tcW w:w="410" w:type="pct"/>
          </w:tcPr>
          <w:p w14:paraId="024A7EB8" w14:textId="3C3F53A3" w:rsidR="00B3062D" w:rsidRPr="004637C7" w:rsidRDefault="00B3062D" w:rsidP="00B3062D">
            <w:pPr>
              <w:cnfStyle w:val="000000000000" w:firstRow="0" w:lastRow="0" w:firstColumn="0" w:lastColumn="0" w:oddVBand="0" w:evenVBand="0" w:oddHBand="0" w:evenHBand="0" w:firstRowFirstColumn="0" w:firstRowLastColumn="0" w:lastRowFirstColumn="0" w:lastRowLastColumn="0"/>
              <w:rPr>
                <w:szCs w:val="20"/>
              </w:rPr>
            </w:pPr>
            <w:r w:rsidRPr="00BC1745">
              <w:rPr>
                <w:szCs w:val="20"/>
              </w:rPr>
              <w:t>EPC et sous-traitants</w:t>
            </w:r>
          </w:p>
        </w:tc>
        <w:tc>
          <w:tcPr>
            <w:tcW w:w="433" w:type="pct"/>
          </w:tcPr>
          <w:p w14:paraId="191CE974" w14:textId="15420ECF" w:rsidR="00B3062D" w:rsidRPr="00AA22F2" w:rsidRDefault="00B3062D" w:rsidP="00B3062D">
            <w:pPr>
              <w:cnfStyle w:val="000000000000" w:firstRow="0" w:lastRow="0" w:firstColumn="0" w:lastColumn="0" w:oddVBand="0" w:evenVBand="0" w:oddHBand="0" w:evenHBand="0" w:firstRowFirstColumn="0" w:firstRowLastColumn="0" w:lastRowFirstColumn="0" w:lastRowLastColumn="0"/>
              <w:rPr>
                <w:szCs w:val="20"/>
              </w:rPr>
            </w:pPr>
            <w:r w:rsidRPr="00AA22F2">
              <w:rPr>
                <w:szCs w:val="20"/>
              </w:rPr>
              <w:t>Bureau de contrôle / Consultant de supervision mandaté par l’ONDA</w:t>
            </w:r>
          </w:p>
        </w:tc>
        <w:tc>
          <w:tcPr>
            <w:tcW w:w="254" w:type="pct"/>
          </w:tcPr>
          <w:p w14:paraId="70CFB6B7" w14:textId="6BA69692" w:rsidR="00B3062D" w:rsidRPr="004637C7" w:rsidRDefault="00B3062D" w:rsidP="00B3062D">
            <w:pPr>
              <w:cnfStyle w:val="000000000000" w:firstRow="0" w:lastRow="0" w:firstColumn="0" w:lastColumn="0" w:oddVBand="0" w:evenVBand="0" w:oddHBand="0" w:evenHBand="0" w:firstRowFirstColumn="0" w:firstRowLastColumn="0" w:lastRowFirstColumn="0" w:lastRowLastColumn="0"/>
              <w:rPr>
                <w:szCs w:val="20"/>
              </w:rPr>
            </w:pPr>
            <w:r w:rsidRPr="00AA22F2">
              <w:rPr>
                <w:szCs w:val="20"/>
              </w:rPr>
              <w:t>ONDA</w:t>
            </w:r>
          </w:p>
        </w:tc>
        <w:tc>
          <w:tcPr>
            <w:tcW w:w="395" w:type="pct"/>
            <w:hideMark/>
          </w:tcPr>
          <w:p w14:paraId="21D2ADA7" w14:textId="61C4F6D9" w:rsidR="00B3062D" w:rsidRPr="00AA22F2" w:rsidRDefault="00B3062D" w:rsidP="00B3062D">
            <w:pPr>
              <w:cnfStyle w:val="000000000000" w:firstRow="0" w:lastRow="0" w:firstColumn="0" w:lastColumn="0" w:oddVBand="0" w:evenVBand="0" w:oddHBand="0" w:evenHBand="0" w:firstRowFirstColumn="0" w:firstRowLastColumn="0" w:lastRowFirstColumn="0" w:lastRowLastColumn="0"/>
              <w:rPr>
                <w:szCs w:val="20"/>
                <w:lang w:val="en-US"/>
              </w:rPr>
            </w:pPr>
            <w:r w:rsidRPr="00AA22F2">
              <w:rPr>
                <w:szCs w:val="20"/>
                <w:lang w:val="en-US"/>
              </w:rPr>
              <w:t>Conception puis avant démarrage</w:t>
            </w:r>
          </w:p>
        </w:tc>
        <w:tc>
          <w:tcPr>
            <w:tcW w:w="940" w:type="pct"/>
          </w:tcPr>
          <w:p w14:paraId="44AC7F1A" w14:textId="2BB2CB05" w:rsidR="00B3062D" w:rsidRPr="004637C7" w:rsidRDefault="007E5331" w:rsidP="00B3062D">
            <w:pPr>
              <w:cnfStyle w:val="000000000000" w:firstRow="0" w:lastRow="0" w:firstColumn="0" w:lastColumn="0" w:oddVBand="0" w:evenVBand="0" w:oddHBand="0" w:evenHBand="0" w:firstRowFirstColumn="0" w:firstRowLastColumn="0" w:lastRowFirstColumn="0" w:lastRowLastColumn="0"/>
              <w:rPr>
                <w:szCs w:val="20"/>
              </w:rPr>
            </w:pPr>
            <w:r w:rsidRPr="007E5331">
              <w:rPr>
                <w:szCs w:val="20"/>
              </w:rPr>
              <w:t>Aucun coût spécifique</w:t>
            </w:r>
            <w:r w:rsidR="00914916">
              <w:rPr>
                <w:szCs w:val="20"/>
              </w:rPr>
              <w:t xml:space="preserve"> - </w:t>
            </w:r>
            <w:r w:rsidR="00133BF1" w:rsidRPr="00133BF1">
              <w:rPr>
                <w:szCs w:val="20"/>
              </w:rPr>
              <w:t>Optimisation spatiale du site, réalisée lors de la conception</w:t>
            </w:r>
            <w:r w:rsidR="00133BF1">
              <w:rPr>
                <w:szCs w:val="20"/>
              </w:rPr>
              <w:t>.</w:t>
            </w:r>
          </w:p>
        </w:tc>
      </w:tr>
      <w:tr w:rsidR="00B3062D" w:rsidRPr="00B3062D" w14:paraId="5DFE3CE8" w14:textId="2894D40D" w:rsidTr="008065E2">
        <w:tc>
          <w:tcPr>
            <w:cnfStyle w:val="001000000000" w:firstRow="0" w:lastRow="0" w:firstColumn="1" w:lastColumn="0" w:oddVBand="0" w:evenVBand="0" w:oddHBand="0" w:evenHBand="0" w:firstRowFirstColumn="0" w:firstRowLastColumn="0" w:lastRowFirstColumn="0" w:lastRowLastColumn="0"/>
            <w:tcW w:w="537" w:type="pct"/>
            <w:vMerge/>
            <w:hideMark/>
          </w:tcPr>
          <w:p w14:paraId="3F5FE344" w14:textId="77777777" w:rsidR="00B3062D" w:rsidRPr="004637C7" w:rsidRDefault="00B3062D" w:rsidP="00B3062D">
            <w:pPr>
              <w:rPr>
                <w:szCs w:val="20"/>
              </w:rPr>
            </w:pPr>
          </w:p>
        </w:tc>
        <w:tc>
          <w:tcPr>
            <w:tcW w:w="481" w:type="pct"/>
            <w:vMerge w:val="restart"/>
            <w:vAlign w:val="center"/>
            <w:hideMark/>
          </w:tcPr>
          <w:p w14:paraId="5C9E7627" w14:textId="7B574680" w:rsidR="00B3062D" w:rsidRPr="00AA22F2" w:rsidRDefault="00B3062D" w:rsidP="004637C7">
            <w:pPr>
              <w:jc w:val="left"/>
              <w:cnfStyle w:val="000000000000" w:firstRow="0" w:lastRow="0" w:firstColumn="0" w:lastColumn="0" w:oddVBand="0" w:evenVBand="0" w:oddHBand="0" w:evenHBand="0" w:firstRowFirstColumn="0" w:firstRowLastColumn="0" w:lastRowFirstColumn="0" w:lastRowLastColumn="0"/>
              <w:rPr>
                <w:szCs w:val="20"/>
                <w:lang w:val="en-US"/>
              </w:rPr>
            </w:pPr>
            <w:r w:rsidRPr="00AA22F2">
              <w:rPr>
                <w:szCs w:val="20"/>
                <w:lang w:val="en-US"/>
              </w:rPr>
              <w:t>Rédu</w:t>
            </w:r>
            <w:r w:rsidR="00AD4DBE">
              <w:rPr>
                <w:szCs w:val="20"/>
                <w:lang w:val="en-US"/>
              </w:rPr>
              <w:t>ire</w:t>
            </w:r>
          </w:p>
        </w:tc>
        <w:tc>
          <w:tcPr>
            <w:tcW w:w="952" w:type="pct"/>
            <w:hideMark/>
          </w:tcPr>
          <w:p w14:paraId="462796D3" w14:textId="77777777" w:rsidR="00B3062D" w:rsidRPr="004637C7" w:rsidRDefault="00B3062D" w:rsidP="00B3062D">
            <w:pPr>
              <w:cnfStyle w:val="000000000000" w:firstRow="0" w:lastRow="0" w:firstColumn="0" w:lastColumn="0" w:oddVBand="0" w:evenVBand="0" w:oddHBand="0" w:evenHBand="0" w:firstRowFirstColumn="0" w:firstRowLastColumn="0" w:lastRowFirstColumn="0" w:lastRowLastColumn="0"/>
              <w:rPr>
                <w:szCs w:val="20"/>
              </w:rPr>
            </w:pPr>
            <w:r w:rsidRPr="004637C7">
              <w:rPr>
                <w:szCs w:val="20"/>
              </w:rPr>
              <w:t xml:space="preserve">Stabiliser les pistes non revêtues par compactage et/ou graviérage, puis appliquer un arrosage </w:t>
            </w:r>
            <w:r w:rsidRPr="004637C7">
              <w:rPr>
                <w:szCs w:val="20"/>
              </w:rPr>
              <w:lastRenderedPageBreak/>
              <w:t>programmé ajusté aux conditions météo, afin de limiter la remise en suspension des poussières.</w:t>
            </w:r>
          </w:p>
        </w:tc>
        <w:tc>
          <w:tcPr>
            <w:tcW w:w="597" w:type="pct"/>
            <w:hideMark/>
          </w:tcPr>
          <w:p w14:paraId="77D202A0" w14:textId="77777777" w:rsidR="00B3062D" w:rsidRPr="004637C7" w:rsidRDefault="00B3062D" w:rsidP="00B3062D">
            <w:pPr>
              <w:cnfStyle w:val="000000000000" w:firstRow="0" w:lastRow="0" w:firstColumn="0" w:lastColumn="0" w:oddVBand="0" w:evenVBand="0" w:oddHBand="0" w:evenHBand="0" w:firstRowFirstColumn="0" w:firstRowLastColumn="0" w:lastRowFirstColumn="0" w:lastRowLastColumn="0"/>
              <w:rPr>
                <w:szCs w:val="20"/>
              </w:rPr>
            </w:pPr>
            <w:r w:rsidRPr="004637C7">
              <w:rPr>
                <w:szCs w:val="20"/>
              </w:rPr>
              <w:lastRenderedPageBreak/>
              <w:t>Nombre d’arrosages/jour ; conformité de l’état de surface</w:t>
            </w:r>
          </w:p>
        </w:tc>
        <w:tc>
          <w:tcPr>
            <w:tcW w:w="410" w:type="pct"/>
          </w:tcPr>
          <w:p w14:paraId="3DBBD8D4" w14:textId="79CCD025" w:rsidR="00B3062D" w:rsidRPr="004637C7" w:rsidRDefault="00B3062D" w:rsidP="00B3062D">
            <w:pPr>
              <w:cnfStyle w:val="000000000000" w:firstRow="0" w:lastRow="0" w:firstColumn="0" w:lastColumn="0" w:oddVBand="0" w:evenVBand="0" w:oddHBand="0" w:evenHBand="0" w:firstRowFirstColumn="0" w:firstRowLastColumn="0" w:lastRowFirstColumn="0" w:lastRowLastColumn="0"/>
              <w:rPr>
                <w:szCs w:val="20"/>
              </w:rPr>
            </w:pPr>
            <w:r w:rsidRPr="00BC1745">
              <w:rPr>
                <w:szCs w:val="20"/>
              </w:rPr>
              <w:t>EPC et sous-traitants</w:t>
            </w:r>
          </w:p>
        </w:tc>
        <w:tc>
          <w:tcPr>
            <w:tcW w:w="433" w:type="pct"/>
          </w:tcPr>
          <w:p w14:paraId="54580084" w14:textId="223ED725" w:rsidR="00B3062D" w:rsidRPr="00AA22F2" w:rsidRDefault="00B3062D" w:rsidP="00B3062D">
            <w:pPr>
              <w:cnfStyle w:val="000000000000" w:firstRow="0" w:lastRow="0" w:firstColumn="0" w:lastColumn="0" w:oddVBand="0" w:evenVBand="0" w:oddHBand="0" w:evenHBand="0" w:firstRowFirstColumn="0" w:firstRowLastColumn="0" w:lastRowFirstColumn="0" w:lastRowLastColumn="0"/>
              <w:rPr>
                <w:szCs w:val="20"/>
              </w:rPr>
            </w:pPr>
            <w:r w:rsidRPr="00AA22F2">
              <w:rPr>
                <w:szCs w:val="20"/>
              </w:rPr>
              <w:t xml:space="preserve">Bureau de contrôle / Consultant de </w:t>
            </w:r>
            <w:r w:rsidRPr="00AA22F2">
              <w:rPr>
                <w:szCs w:val="20"/>
              </w:rPr>
              <w:lastRenderedPageBreak/>
              <w:t>supervision mandaté par l’ONDA</w:t>
            </w:r>
          </w:p>
        </w:tc>
        <w:tc>
          <w:tcPr>
            <w:tcW w:w="254" w:type="pct"/>
          </w:tcPr>
          <w:p w14:paraId="2AC321D4" w14:textId="61280EEC" w:rsidR="00B3062D" w:rsidRPr="004637C7" w:rsidRDefault="00B3062D" w:rsidP="00B3062D">
            <w:pPr>
              <w:cnfStyle w:val="000000000000" w:firstRow="0" w:lastRow="0" w:firstColumn="0" w:lastColumn="0" w:oddVBand="0" w:evenVBand="0" w:oddHBand="0" w:evenHBand="0" w:firstRowFirstColumn="0" w:firstRowLastColumn="0" w:lastRowFirstColumn="0" w:lastRowLastColumn="0"/>
              <w:rPr>
                <w:szCs w:val="20"/>
              </w:rPr>
            </w:pPr>
            <w:r w:rsidRPr="00AA22F2">
              <w:rPr>
                <w:szCs w:val="20"/>
              </w:rPr>
              <w:lastRenderedPageBreak/>
              <w:t>ONDA</w:t>
            </w:r>
          </w:p>
        </w:tc>
        <w:tc>
          <w:tcPr>
            <w:tcW w:w="395" w:type="pct"/>
            <w:hideMark/>
          </w:tcPr>
          <w:p w14:paraId="133B1E18" w14:textId="730BC847" w:rsidR="00B3062D" w:rsidRPr="00AA22F2" w:rsidRDefault="00B3062D" w:rsidP="00B3062D">
            <w:pPr>
              <w:cnfStyle w:val="000000000000" w:firstRow="0" w:lastRow="0" w:firstColumn="0" w:lastColumn="0" w:oddVBand="0" w:evenVBand="0" w:oddHBand="0" w:evenHBand="0" w:firstRowFirstColumn="0" w:firstRowLastColumn="0" w:lastRowFirstColumn="0" w:lastRowLastColumn="0"/>
              <w:rPr>
                <w:szCs w:val="20"/>
                <w:lang w:val="en-US"/>
              </w:rPr>
            </w:pPr>
            <w:r w:rsidRPr="00AA22F2">
              <w:rPr>
                <w:szCs w:val="20"/>
                <w:lang w:val="en-US"/>
              </w:rPr>
              <w:t>Quotidien en phase travaux</w:t>
            </w:r>
          </w:p>
        </w:tc>
        <w:tc>
          <w:tcPr>
            <w:tcW w:w="940" w:type="pct"/>
          </w:tcPr>
          <w:p w14:paraId="7097C266" w14:textId="34C07E4A" w:rsidR="00B3062D" w:rsidRPr="004637C7" w:rsidRDefault="00133BF1" w:rsidP="00B3062D">
            <w:pPr>
              <w:cnfStyle w:val="000000000000" w:firstRow="0" w:lastRow="0" w:firstColumn="0" w:lastColumn="0" w:oddVBand="0" w:evenVBand="0" w:oddHBand="0" w:evenHBand="0" w:firstRowFirstColumn="0" w:firstRowLastColumn="0" w:lastRowFirstColumn="0" w:lastRowLastColumn="0"/>
              <w:rPr>
                <w:szCs w:val="20"/>
              </w:rPr>
            </w:pPr>
            <w:r>
              <w:rPr>
                <w:szCs w:val="20"/>
              </w:rPr>
              <w:t>4000</w:t>
            </w:r>
            <w:r w:rsidR="00914916" w:rsidRPr="00914916">
              <w:rPr>
                <w:szCs w:val="20"/>
              </w:rPr>
              <w:t xml:space="preserve"> MAD/mois – </w:t>
            </w:r>
            <w:r>
              <w:rPr>
                <w:szCs w:val="20"/>
              </w:rPr>
              <w:t>Inclut c</w:t>
            </w:r>
            <w:r w:rsidRPr="00133BF1">
              <w:rPr>
                <w:szCs w:val="20"/>
              </w:rPr>
              <w:t xml:space="preserve">amion-citerne, conducteur, carburant (2 passages/jour, 6 j/sem.). </w:t>
            </w:r>
            <w:r w:rsidRPr="00133BF1">
              <w:rPr>
                <w:szCs w:val="20"/>
              </w:rPr>
              <w:lastRenderedPageBreak/>
              <w:t>Coût à ajuster selon la durée effective du chantier.</w:t>
            </w:r>
          </w:p>
        </w:tc>
      </w:tr>
      <w:tr w:rsidR="00B3062D" w:rsidRPr="00B3062D" w14:paraId="0A095184" w14:textId="0909AE6E" w:rsidTr="008065E2">
        <w:tc>
          <w:tcPr>
            <w:cnfStyle w:val="001000000000" w:firstRow="0" w:lastRow="0" w:firstColumn="1" w:lastColumn="0" w:oddVBand="0" w:evenVBand="0" w:oddHBand="0" w:evenHBand="0" w:firstRowFirstColumn="0" w:firstRowLastColumn="0" w:lastRowFirstColumn="0" w:lastRowLastColumn="0"/>
            <w:tcW w:w="537" w:type="pct"/>
            <w:vMerge/>
            <w:hideMark/>
          </w:tcPr>
          <w:p w14:paraId="7D738757" w14:textId="77777777" w:rsidR="00B3062D" w:rsidRPr="004637C7" w:rsidRDefault="00B3062D" w:rsidP="00B3062D">
            <w:pPr>
              <w:rPr>
                <w:szCs w:val="20"/>
              </w:rPr>
            </w:pPr>
          </w:p>
        </w:tc>
        <w:tc>
          <w:tcPr>
            <w:tcW w:w="481" w:type="pct"/>
            <w:vMerge/>
          </w:tcPr>
          <w:p w14:paraId="541C067F" w14:textId="509D9C7C" w:rsidR="00B3062D" w:rsidRPr="004637C7" w:rsidRDefault="00B3062D" w:rsidP="00B3062D">
            <w:pPr>
              <w:cnfStyle w:val="000000000000" w:firstRow="0" w:lastRow="0" w:firstColumn="0" w:lastColumn="0" w:oddVBand="0" w:evenVBand="0" w:oddHBand="0" w:evenHBand="0" w:firstRowFirstColumn="0" w:firstRowLastColumn="0" w:lastRowFirstColumn="0" w:lastRowLastColumn="0"/>
              <w:rPr>
                <w:szCs w:val="20"/>
              </w:rPr>
            </w:pPr>
          </w:p>
        </w:tc>
        <w:tc>
          <w:tcPr>
            <w:tcW w:w="952" w:type="pct"/>
            <w:hideMark/>
          </w:tcPr>
          <w:p w14:paraId="52321392" w14:textId="77777777" w:rsidR="00B3062D" w:rsidRPr="004637C7" w:rsidRDefault="00B3062D" w:rsidP="00B3062D">
            <w:pPr>
              <w:cnfStyle w:val="000000000000" w:firstRow="0" w:lastRow="0" w:firstColumn="0" w:lastColumn="0" w:oddVBand="0" w:evenVBand="0" w:oddHBand="0" w:evenHBand="0" w:firstRowFirstColumn="0" w:firstRowLastColumn="0" w:lastRowFirstColumn="0" w:lastRowLastColumn="0"/>
              <w:rPr>
                <w:szCs w:val="20"/>
              </w:rPr>
            </w:pPr>
            <w:r w:rsidRPr="004637C7">
              <w:rPr>
                <w:szCs w:val="20"/>
              </w:rPr>
              <w:t>Bâcher systématiquement les camions et humidifier les matériaux au chargement, tout en réduisant les hauteurs de chute, pour diminuer les émissions au point de chargement et pendant le transport interne.</w:t>
            </w:r>
          </w:p>
        </w:tc>
        <w:tc>
          <w:tcPr>
            <w:tcW w:w="597" w:type="pct"/>
            <w:hideMark/>
          </w:tcPr>
          <w:p w14:paraId="6625B548" w14:textId="77777777" w:rsidR="00B3062D" w:rsidRPr="004637C7" w:rsidRDefault="00B3062D" w:rsidP="00B3062D">
            <w:pPr>
              <w:cnfStyle w:val="000000000000" w:firstRow="0" w:lastRow="0" w:firstColumn="0" w:lastColumn="0" w:oddVBand="0" w:evenVBand="0" w:oddHBand="0" w:evenHBand="0" w:firstRowFirstColumn="0" w:firstRowLastColumn="0" w:lastRowFirstColumn="0" w:lastRowLastColumn="0"/>
              <w:rPr>
                <w:szCs w:val="20"/>
              </w:rPr>
            </w:pPr>
            <w:r w:rsidRPr="004637C7">
              <w:rPr>
                <w:szCs w:val="20"/>
              </w:rPr>
              <w:t>% camions bâchés ; contrôles visuels au chargement</w:t>
            </w:r>
          </w:p>
        </w:tc>
        <w:tc>
          <w:tcPr>
            <w:tcW w:w="410" w:type="pct"/>
          </w:tcPr>
          <w:p w14:paraId="6A8C0D0E" w14:textId="379309E5" w:rsidR="00B3062D" w:rsidRPr="004637C7" w:rsidRDefault="00B3062D" w:rsidP="00B3062D">
            <w:pPr>
              <w:cnfStyle w:val="000000000000" w:firstRow="0" w:lastRow="0" w:firstColumn="0" w:lastColumn="0" w:oddVBand="0" w:evenVBand="0" w:oddHBand="0" w:evenHBand="0" w:firstRowFirstColumn="0" w:firstRowLastColumn="0" w:lastRowFirstColumn="0" w:lastRowLastColumn="0"/>
              <w:rPr>
                <w:szCs w:val="20"/>
              </w:rPr>
            </w:pPr>
            <w:r w:rsidRPr="00BC1745">
              <w:rPr>
                <w:szCs w:val="20"/>
              </w:rPr>
              <w:t>EPC et sous-traitants</w:t>
            </w:r>
          </w:p>
        </w:tc>
        <w:tc>
          <w:tcPr>
            <w:tcW w:w="433" w:type="pct"/>
          </w:tcPr>
          <w:p w14:paraId="00626AA5" w14:textId="5FD065E7" w:rsidR="00B3062D" w:rsidRPr="00AA22F2" w:rsidRDefault="00B3062D" w:rsidP="00B3062D">
            <w:pPr>
              <w:cnfStyle w:val="000000000000" w:firstRow="0" w:lastRow="0" w:firstColumn="0" w:lastColumn="0" w:oddVBand="0" w:evenVBand="0" w:oddHBand="0" w:evenHBand="0" w:firstRowFirstColumn="0" w:firstRowLastColumn="0" w:lastRowFirstColumn="0" w:lastRowLastColumn="0"/>
              <w:rPr>
                <w:szCs w:val="20"/>
              </w:rPr>
            </w:pPr>
            <w:r w:rsidRPr="00AA22F2">
              <w:rPr>
                <w:szCs w:val="20"/>
              </w:rPr>
              <w:t>Bureau de contrôle / Consultant de supervision mandaté par l’ONDA</w:t>
            </w:r>
          </w:p>
        </w:tc>
        <w:tc>
          <w:tcPr>
            <w:tcW w:w="254" w:type="pct"/>
          </w:tcPr>
          <w:p w14:paraId="5A2CC074" w14:textId="4554065A" w:rsidR="00B3062D" w:rsidRPr="004637C7" w:rsidRDefault="00B3062D" w:rsidP="00B3062D">
            <w:pPr>
              <w:cnfStyle w:val="000000000000" w:firstRow="0" w:lastRow="0" w:firstColumn="0" w:lastColumn="0" w:oddVBand="0" w:evenVBand="0" w:oddHBand="0" w:evenHBand="0" w:firstRowFirstColumn="0" w:firstRowLastColumn="0" w:lastRowFirstColumn="0" w:lastRowLastColumn="0"/>
              <w:rPr>
                <w:szCs w:val="20"/>
              </w:rPr>
            </w:pPr>
            <w:r w:rsidRPr="00AA22F2">
              <w:rPr>
                <w:szCs w:val="20"/>
              </w:rPr>
              <w:t>ONDA</w:t>
            </w:r>
          </w:p>
        </w:tc>
        <w:tc>
          <w:tcPr>
            <w:tcW w:w="395" w:type="pct"/>
            <w:hideMark/>
          </w:tcPr>
          <w:p w14:paraId="0EFFE538" w14:textId="2F9658D7" w:rsidR="00B3062D" w:rsidRPr="00AA22F2" w:rsidRDefault="00B3062D" w:rsidP="00B3062D">
            <w:pPr>
              <w:cnfStyle w:val="000000000000" w:firstRow="0" w:lastRow="0" w:firstColumn="0" w:lastColumn="0" w:oddVBand="0" w:evenVBand="0" w:oddHBand="0" w:evenHBand="0" w:firstRowFirstColumn="0" w:firstRowLastColumn="0" w:lastRowFirstColumn="0" w:lastRowLastColumn="0"/>
              <w:rPr>
                <w:szCs w:val="20"/>
                <w:lang w:val="en-US"/>
              </w:rPr>
            </w:pPr>
            <w:r w:rsidRPr="00AA22F2">
              <w:rPr>
                <w:szCs w:val="20"/>
                <w:lang w:val="en-US"/>
              </w:rPr>
              <w:t>Quotidien</w:t>
            </w:r>
          </w:p>
        </w:tc>
        <w:tc>
          <w:tcPr>
            <w:tcW w:w="940" w:type="pct"/>
          </w:tcPr>
          <w:p w14:paraId="537570AD" w14:textId="57B99B4C" w:rsidR="00B3062D" w:rsidRPr="004637C7" w:rsidRDefault="00133BF1" w:rsidP="00B3062D">
            <w:pPr>
              <w:cnfStyle w:val="000000000000" w:firstRow="0" w:lastRow="0" w:firstColumn="0" w:lastColumn="0" w:oddVBand="0" w:evenVBand="0" w:oddHBand="0" w:evenHBand="0" w:firstRowFirstColumn="0" w:firstRowLastColumn="0" w:lastRowFirstColumn="0" w:lastRowLastColumn="0"/>
              <w:rPr>
                <w:szCs w:val="20"/>
              </w:rPr>
            </w:pPr>
            <w:r w:rsidRPr="00133BF1">
              <w:rPr>
                <w:szCs w:val="20"/>
              </w:rPr>
              <w:t>≈</w:t>
            </w:r>
            <w:r>
              <w:rPr>
                <w:szCs w:val="20"/>
              </w:rPr>
              <w:t xml:space="preserve"> 3600</w:t>
            </w:r>
            <w:r w:rsidR="00914916" w:rsidRPr="00914916">
              <w:rPr>
                <w:szCs w:val="20"/>
              </w:rPr>
              <w:t xml:space="preserve"> MAD (forfait) </w:t>
            </w:r>
            <w:r>
              <w:rPr>
                <w:szCs w:val="20"/>
              </w:rPr>
              <w:t>-</w:t>
            </w:r>
            <w:r w:rsidR="00914916" w:rsidRPr="00914916">
              <w:rPr>
                <w:szCs w:val="20"/>
              </w:rPr>
              <w:t xml:space="preserve"> </w:t>
            </w:r>
            <w:r w:rsidRPr="00133BF1">
              <w:rPr>
                <w:szCs w:val="20"/>
              </w:rPr>
              <w:t>Achat de bâches et pulvérisateurs manuels pour couvrir les matériaux pulvérulents.</w:t>
            </w:r>
          </w:p>
        </w:tc>
      </w:tr>
      <w:tr w:rsidR="00B3062D" w:rsidRPr="00B3062D" w14:paraId="18464FB7" w14:textId="5B7077F6" w:rsidTr="008065E2">
        <w:tc>
          <w:tcPr>
            <w:cnfStyle w:val="001000000000" w:firstRow="0" w:lastRow="0" w:firstColumn="1" w:lastColumn="0" w:oddVBand="0" w:evenVBand="0" w:oddHBand="0" w:evenHBand="0" w:firstRowFirstColumn="0" w:firstRowLastColumn="0" w:lastRowFirstColumn="0" w:lastRowLastColumn="0"/>
            <w:tcW w:w="537" w:type="pct"/>
            <w:vMerge/>
            <w:hideMark/>
          </w:tcPr>
          <w:p w14:paraId="2288E2F6" w14:textId="77777777" w:rsidR="00B3062D" w:rsidRPr="004637C7" w:rsidRDefault="00B3062D" w:rsidP="00B3062D">
            <w:pPr>
              <w:rPr>
                <w:szCs w:val="20"/>
              </w:rPr>
            </w:pPr>
          </w:p>
        </w:tc>
        <w:tc>
          <w:tcPr>
            <w:tcW w:w="481" w:type="pct"/>
            <w:vMerge/>
          </w:tcPr>
          <w:p w14:paraId="7877BF12" w14:textId="49892EBE" w:rsidR="00B3062D" w:rsidRPr="004637C7" w:rsidRDefault="00B3062D" w:rsidP="00B3062D">
            <w:pPr>
              <w:cnfStyle w:val="000000000000" w:firstRow="0" w:lastRow="0" w:firstColumn="0" w:lastColumn="0" w:oddVBand="0" w:evenVBand="0" w:oddHBand="0" w:evenHBand="0" w:firstRowFirstColumn="0" w:firstRowLastColumn="0" w:lastRowFirstColumn="0" w:lastRowLastColumn="0"/>
              <w:rPr>
                <w:szCs w:val="20"/>
              </w:rPr>
            </w:pPr>
          </w:p>
        </w:tc>
        <w:tc>
          <w:tcPr>
            <w:tcW w:w="952" w:type="pct"/>
            <w:hideMark/>
          </w:tcPr>
          <w:p w14:paraId="24EA0F39" w14:textId="77777777" w:rsidR="00B3062D" w:rsidRPr="004637C7" w:rsidRDefault="00B3062D" w:rsidP="00B3062D">
            <w:pPr>
              <w:cnfStyle w:val="000000000000" w:firstRow="0" w:lastRow="0" w:firstColumn="0" w:lastColumn="0" w:oddVBand="0" w:evenVBand="0" w:oddHBand="0" w:evenHBand="0" w:firstRowFirstColumn="0" w:firstRowLastColumn="0" w:lastRowFirstColumn="0" w:lastRowLastColumn="0"/>
              <w:rPr>
                <w:szCs w:val="20"/>
              </w:rPr>
            </w:pPr>
            <w:r w:rsidRPr="004637C7">
              <w:rPr>
                <w:szCs w:val="20"/>
              </w:rPr>
              <w:t>Installer et exploiter un dispositif de lavage des roues en sortie de site afin d’éviter le transfert de poussières vers la voirie publique.</w:t>
            </w:r>
          </w:p>
        </w:tc>
        <w:tc>
          <w:tcPr>
            <w:tcW w:w="597" w:type="pct"/>
            <w:hideMark/>
          </w:tcPr>
          <w:p w14:paraId="4256D6F2" w14:textId="77777777" w:rsidR="00B3062D" w:rsidRPr="004637C7" w:rsidRDefault="00B3062D" w:rsidP="00B3062D">
            <w:pPr>
              <w:cnfStyle w:val="000000000000" w:firstRow="0" w:lastRow="0" w:firstColumn="0" w:lastColumn="0" w:oddVBand="0" w:evenVBand="0" w:oddHBand="0" w:evenHBand="0" w:firstRowFirstColumn="0" w:firstRowLastColumn="0" w:lastRowFirstColumn="0" w:lastRowLastColumn="0"/>
              <w:rPr>
                <w:szCs w:val="20"/>
              </w:rPr>
            </w:pPr>
            <w:r w:rsidRPr="004637C7">
              <w:rPr>
                <w:szCs w:val="20"/>
              </w:rPr>
              <w:t>% véhicules passés au lavage ; état de la voirie</w:t>
            </w:r>
          </w:p>
        </w:tc>
        <w:tc>
          <w:tcPr>
            <w:tcW w:w="410" w:type="pct"/>
          </w:tcPr>
          <w:p w14:paraId="696CA582" w14:textId="6233D9E1" w:rsidR="00B3062D" w:rsidRPr="004637C7" w:rsidRDefault="00B3062D" w:rsidP="00B3062D">
            <w:pPr>
              <w:cnfStyle w:val="000000000000" w:firstRow="0" w:lastRow="0" w:firstColumn="0" w:lastColumn="0" w:oddVBand="0" w:evenVBand="0" w:oddHBand="0" w:evenHBand="0" w:firstRowFirstColumn="0" w:firstRowLastColumn="0" w:lastRowFirstColumn="0" w:lastRowLastColumn="0"/>
              <w:rPr>
                <w:szCs w:val="20"/>
              </w:rPr>
            </w:pPr>
            <w:r w:rsidRPr="00BC1745">
              <w:rPr>
                <w:szCs w:val="20"/>
              </w:rPr>
              <w:t>EPC et sous-traitants</w:t>
            </w:r>
          </w:p>
        </w:tc>
        <w:tc>
          <w:tcPr>
            <w:tcW w:w="433" w:type="pct"/>
          </w:tcPr>
          <w:p w14:paraId="10BE354F" w14:textId="58E24959" w:rsidR="00B3062D" w:rsidRPr="00AA22F2" w:rsidRDefault="00B3062D" w:rsidP="00B3062D">
            <w:pPr>
              <w:cnfStyle w:val="000000000000" w:firstRow="0" w:lastRow="0" w:firstColumn="0" w:lastColumn="0" w:oddVBand="0" w:evenVBand="0" w:oddHBand="0" w:evenHBand="0" w:firstRowFirstColumn="0" w:firstRowLastColumn="0" w:lastRowFirstColumn="0" w:lastRowLastColumn="0"/>
              <w:rPr>
                <w:szCs w:val="20"/>
              </w:rPr>
            </w:pPr>
            <w:r w:rsidRPr="00AA22F2">
              <w:rPr>
                <w:szCs w:val="20"/>
              </w:rPr>
              <w:t>Bureau de contrôle / Consultant de supervision mandaté par l’ONDA</w:t>
            </w:r>
          </w:p>
        </w:tc>
        <w:tc>
          <w:tcPr>
            <w:tcW w:w="254" w:type="pct"/>
          </w:tcPr>
          <w:p w14:paraId="0D72E894" w14:textId="4F083FFE" w:rsidR="00B3062D" w:rsidRPr="004637C7" w:rsidRDefault="00B3062D" w:rsidP="00B3062D">
            <w:pPr>
              <w:cnfStyle w:val="000000000000" w:firstRow="0" w:lastRow="0" w:firstColumn="0" w:lastColumn="0" w:oddVBand="0" w:evenVBand="0" w:oddHBand="0" w:evenHBand="0" w:firstRowFirstColumn="0" w:firstRowLastColumn="0" w:lastRowFirstColumn="0" w:lastRowLastColumn="0"/>
              <w:rPr>
                <w:szCs w:val="20"/>
              </w:rPr>
            </w:pPr>
            <w:r w:rsidRPr="00AA22F2">
              <w:rPr>
                <w:szCs w:val="20"/>
              </w:rPr>
              <w:t>ONDA</w:t>
            </w:r>
          </w:p>
        </w:tc>
        <w:tc>
          <w:tcPr>
            <w:tcW w:w="395" w:type="pct"/>
            <w:hideMark/>
          </w:tcPr>
          <w:p w14:paraId="2466D6AC" w14:textId="2FD9F1EC" w:rsidR="00B3062D" w:rsidRPr="00AA22F2" w:rsidRDefault="00B3062D" w:rsidP="00B3062D">
            <w:pPr>
              <w:cnfStyle w:val="000000000000" w:firstRow="0" w:lastRow="0" w:firstColumn="0" w:lastColumn="0" w:oddVBand="0" w:evenVBand="0" w:oddHBand="0" w:evenHBand="0" w:firstRowFirstColumn="0" w:firstRowLastColumn="0" w:lastRowFirstColumn="0" w:lastRowLastColumn="0"/>
              <w:rPr>
                <w:szCs w:val="20"/>
                <w:lang w:val="en-US"/>
              </w:rPr>
            </w:pPr>
            <w:r w:rsidRPr="00AA22F2">
              <w:rPr>
                <w:szCs w:val="20"/>
                <w:lang w:val="en-US"/>
              </w:rPr>
              <w:t>Continu</w:t>
            </w:r>
          </w:p>
        </w:tc>
        <w:tc>
          <w:tcPr>
            <w:tcW w:w="940" w:type="pct"/>
          </w:tcPr>
          <w:p w14:paraId="04B6ED6A" w14:textId="06879837" w:rsidR="00B3062D" w:rsidRPr="004637C7" w:rsidRDefault="00133BF1" w:rsidP="00B3062D">
            <w:pPr>
              <w:cnfStyle w:val="000000000000" w:firstRow="0" w:lastRow="0" w:firstColumn="0" w:lastColumn="0" w:oddVBand="0" w:evenVBand="0" w:oddHBand="0" w:evenHBand="0" w:firstRowFirstColumn="0" w:firstRowLastColumn="0" w:lastRowFirstColumn="0" w:lastRowLastColumn="0"/>
              <w:rPr>
                <w:szCs w:val="20"/>
              </w:rPr>
            </w:pPr>
            <w:r w:rsidRPr="00133BF1">
              <w:rPr>
                <w:szCs w:val="20"/>
              </w:rPr>
              <w:t>≈ 30 000 MAD (forfait)</w:t>
            </w:r>
            <w:r>
              <w:rPr>
                <w:szCs w:val="20"/>
              </w:rPr>
              <w:t xml:space="preserve"> - </w:t>
            </w:r>
            <w:r w:rsidRPr="00133BF1">
              <w:rPr>
                <w:szCs w:val="20"/>
              </w:rPr>
              <w:t>Installation et exploitation d’une station mobile (cuve, pompe, décanteur). Coût fixe indépendant de la durée.</w:t>
            </w:r>
          </w:p>
        </w:tc>
      </w:tr>
      <w:tr w:rsidR="00B3062D" w:rsidRPr="00B3062D" w14:paraId="5663AF14" w14:textId="78BEB533" w:rsidTr="008065E2">
        <w:tc>
          <w:tcPr>
            <w:cnfStyle w:val="001000000000" w:firstRow="0" w:lastRow="0" w:firstColumn="1" w:lastColumn="0" w:oddVBand="0" w:evenVBand="0" w:oddHBand="0" w:evenHBand="0" w:firstRowFirstColumn="0" w:firstRowLastColumn="0" w:lastRowFirstColumn="0" w:lastRowLastColumn="0"/>
            <w:tcW w:w="537" w:type="pct"/>
            <w:vMerge/>
            <w:hideMark/>
          </w:tcPr>
          <w:p w14:paraId="5C6CE10B" w14:textId="77777777" w:rsidR="00B3062D" w:rsidRPr="004637C7" w:rsidRDefault="00B3062D" w:rsidP="00B3062D">
            <w:pPr>
              <w:rPr>
                <w:szCs w:val="20"/>
              </w:rPr>
            </w:pPr>
          </w:p>
        </w:tc>
        <w:tc>
          <w:tcPr>
            <w:tcW w:w="481" w:type="pct"/>
            <w:vMerge w:val="restart"/>
            <w:hideMark/>
          </w:tcPr>
          <w:p w14:paraId="58023A5D" w14:textId="61C2DFD2" w:rsidR="00B3062D" w:rsidRPr="00AA22F2" w:rsidRDefault="00B3062D" w:rsidP="00B3062D">
            <w:pPr>
              <w:cnfStyle w:val="000000000000" w:firstRow="0" w:lastRow="0" w:firstColumn="0" w:lastColumn="0" w:oddVBand="0" w:evenVBand="0" w:oddHBand="0" w:evenHBand="0" w:firstRowFirstColumn="0" w:firstRowLastColumn="0" w:lastRowFirstColumn="0" w:lastRowLastColumn="0"/>
              <w:rPr>
                <w:szCs w:val="20"/>
                <w:lang w:val="en-US"/>
              </w:rPr>
            </w:pPr>
            <w:r w:rsidRPr="00AA22F2">
              <w:rPr>
                <w:szCs w:val="20"/>
                <w:lang w:val="en-US"/>
              </w:rPr>
              <w:t>Atténu</w:t>
            </w:r>
            <w:r w:rsidR="00AD4DBE">
              <w:rPr>
                <w:szCs w:val="20"/>
                <w:lang w:val="en-US"/>
              </w:rPr>
              <w:t>er</w:t>
            </w:r>
          </w:p>
        </w:tc>
        <w:tc>
          <w:tcPr>
            <w:tcW w:w="952" w:type="pct"/>
            <w:hideMark/>
          </w:tcPr>
          <w:p w14:paraId="6885D3AE" w14:textId="77777777" w:rsidR="00B3062D" w:rsidRPr="004637C7" w:rsidRDefault="00B3062D" w:rsidP="00B3062D">
            <w:pPr>
              <w:cnfStyle w:val="000000000000" w:firstRow="0" w:lastRow="0" w:firstColumn="0" w:lastColumn="0" w:oddVBand="0" w:evenVBand="0" w:oddHBand="0" w:evenHBand="0" w:firstRowFirstColumn="0" w:firstRowLastColumn="0" w:lastRowFirstColumn="0" w:lastRowLastColumn="0"/>
              <w:rPr>
                <w:szCs w:val="20"/>
              </w:rPr>
            </w:pPr>
            <w:r w:rsidRPr="004637C7">
              <w:rPr>
                <w:szCs w:val="20"/>
              </w:rPr>
              <w:t>Maintenir des vitesses ≤ 20 km/h sur pistes non revêtues, contrôler régulièrement et rappeler les consignes, afin de limiter la remise en suspension.</w:t>
            </w:r>
          </w:p>
        </w:tc>
        <w:tc>
          <w:tcPr>
            <w:tcW w:w="597" w:type="pct"/>
            <w:hideMark/>
          </w:tcPr>
          <w:p w14:paraId="7116A881" w14:textId="77777777" w:rsidR="00B3062D" w:rsidRPr="00AA22F2" w:rsidRDefault="00B3062D" w:rsidP="00B3062D">
            <w:pPr>
              <w:cnfStyle w:val="000000000000" w:firstRow="0" w:lastRow="0" w:firstColumn="0" w:lastColumn="0" w:oddVBand="0" w:evenVBand="0" w:oddHBand="0" w:evenHBand="0" w:firstRowFirstColumn="0" w:firstRowLastColumn="0" w:lastRowFirstColumn="0" w:lastRowLastColumn="0"/>
              <w:rPr>
                <w:szCs w:val="20"/>
                <w:lang w:val="en-US"/>
              </w:rPr>
            </w:pPr>
            <w:r w:rsidRPr="00AA22F2">
              <w:rPr>
                <w:szCs w:val="20"/>
                <w:lang w:val="en-US"/>
              </w:rPr>
              <w:t>Vitesses mesurées ; % de conformités</w:t>
            </w:r>
          </w:p>
        </w:tc>
        <w:tc>
          <w:tcPr>
            <w:tcW w:w="410" w:type="pct"/>
          </w:tcPr>
          <w:p w14:paraId="5B56B727" w14:textId="2FBFD372" w:rsidR="00B3062D" w:rsidRPr="004637C7" w:rsidRDefault="00B3062D" w:rsidP="00B3062D">
            <w:pPr>
              <w:cnfStyle w:val="000000000000" w:firstRow="0" w:lastRow="0" w:firstColumn="0" w:lastColumn="0" w:oddVBand="0" w:evenVBand="0" w:oddHBand="0" w:evenHBand="0" w:firstRowFirstColumn="0" w:firstRowLastColumn="0" w:lastRowFirstColumn="0" w:lastRowLastColumn="0"/>
              <w:rPr>
                <w:szCs w:val="20"/>
              </w:rPr>
            </w:pPr>
            <w:r w:rsidRPr="00BC1745">
              <w:rPr>
                <w:szCs w:val="20"/>
              </w:rPr>
              <w:t>EPC et sous-traitants</w:t>
            </w:r>
          </w:p>
        </w:tc>
        <w:tc>
          <w:tcPr>
            <w:tcW w:w="433" w:type="pct"/>
          </w:tcPr>
          <w:p w14:paraId="33D89BB2" w14:textId="7C24D3E3" w:rsidR="00B3062D" w:rsidRPr="00AA22F2" w:rsidRDefault="00B3062D" w:rsidP="00B3062D">
            <w:pPr>
              <w:cnfStyle w:val="000000000000" w:firstRow="0" w:lastRow="0" w:firstColumn="0" w:lastColumn="0" w:oddVBand="0" w:evenVBand="0" w:oddHBand="0" w:evenHBand="0" w:firstRowFirstColumn="0" w:firstRowLastColumn="0" w:lastRowFirstColumn="0" w:lastRowLastColumn="0"/>
              <w:rPr>
                <w:szCs w:val="20"/>
              </w:rPr>
            </w:pPr>
            <w:r w:rsidRPr="00AA22F2">
              <w:rPr>
                <w:szCs w:val="20"/>
              </w:rPr>
              <w:t xml:space="preserve">Bureau de contrôle / Consultant de supervision </w:t>
            </w:r>
            <w:r w:rsidRPr="00AA22F2">
              <w:rPr>
                <w:szCs w:val="20"/>
              </w:rPr>
              <w:lastRenderedPageBreak/>
              <w:t>mandaté par l’ONDA</w:t>
            </w:r>
          </w:p>
        </w:tc>
        <w:tc>
          <w:tcPr>
            <w:tcW w:w="254" w:type="pct"/>
          </w:tcPr>
          <w:p w14:paraId="1F1B6A0C" w14:textId="2F3A6F5D" w:rsidR="00B3062D" w:rsidRPr="00AA22F2" w:rsidRDefault="00B3062D" w:rsidP="00B3062D">
            <w:pPr>
              <w:cnfStyle w:val="000000000000" w:firstRow="0" w:lastRow="0" w:firstColumn="0" w:lastColumn="0" w:oddVBand="0" w:evenVBand="0" w:oddHBand="0" w:evenHBand="0" w:firstRowFirstColumn="0" w:firstRowLastColumn="0" w:lastRowFirstColumn="0" w:lastRowLastColumn="0"/>
              <w:rPr>
                <w:szCs w:val="20"/>
                <w:lang w:val="en-US"/>
              </w:rPr>
            </w:pPr>
            <w:r w:rsidRPr="00AA22F2">
              <w:rPr>
                <w:szCs w:val="20"/>
              </w:rPr>
              <w:lastRenderedPageBreak/>
              <w:t>ONDA</w:t>
            </w:r>
          </w:p>
        </w:tc>
        <w:tc>
          <w:tcPr>
            <w:tcW w:w="395" w:type="pct"/>
            <w:hideMark/>
          </w:tcPr>
          <w:p w14:paraId="1BA6504F" w14:textId="6AA87AE9" w:rsidR="00B3062D" w:rsidRPr="00AA22F2" w:rsidRDefault="00B3062D" w:rsidP="00B3062D">
            <w:pPr>
              <w:cnfStyle w:val="000000000000" w:firstRow="0" w:lastRow="0" w:firstColumn="0" w:lastColumn="0" w:oddVBand="0" w:evenVBand="0" w:oddHBand="0" w:evenHBand="0" w:firstRowFirstColumn="0" w:firstRowLastColumn="0" w:lastRowFirstColumn="0" w:lastRowLastColumn="0"/>
              <w:rPr>
                <w:szCs w:val="20"/>
                <w:lang w:val="en-US"/>
              </w:rPr>
            </w:pPr>
            <w:r w:rsidRPr="00AA22F2">
              <w:rPr>
                <w:szCs w:val="20"/>
                <w:lang w:val="en-US"/>
              </w:rPr>
              <w:t>Continu</w:t>
            </w:r>
          </w:p>
        </w:tc>
        <w:tc>
          <w:tcPr>
            <w:tcW w:w="940" w:type="pct"/>
          </w:tcPr>
          <w:p w14:paraId="473A607C" w14:textId="39D4FA42" w:rsidR="00B3062D" w:rsidRPr="00AA22F2" w:rsidRDefault="00B3062D" w:rsidP="00B3062D">
            <w:pPr>
              <w:cnfStyle w:val="000000000000" w:firstRow="0" w:lastRow="0" w:firstColumn="0" w:lastColumn="0" w:oddVBand="0" w:evenVBand="0" w:oddHBand="0" w:evenHBand="0" w:firstRowFirstColumn="0" w:firstRowLastColumn="0" w:lastRowFirstColumn="0" w:lastRowLastColumn="0"/>
              <w:rPr>
                <w:szCs w:val="20"/>
                <w:lang w:val="en-US"/>
              </w:rPr>
            </w:pPr>
            <w:r w:rsidRPr="00AA22F2">
              <w:rPr>
                <w:szCs w:val="20"/>
                <w:lang w:val="en-US"/>
              </w:rPr>
              <w:t>Aucun coût spécifique</w:t>
            </w:r>
          </w:p>
        </w:tc>
      </w:tr>
      <w:tr w:rsidR="006F7BC6" w:rsidRPr="00B3062D" w14:paraId="46452BA5" w14:textId="259451BC" w:rsidTr="008065E2">
        <w:tc>
          <w:tcPr>
            <w:cnfStyle w:val="001000000000" w:firstRow="0" w:lastRow="0" w:firstColumn="1" w:lastColumn="0" w:oddVBand="0" w:evenVBand="0" w:oddHBand="0" w:evenHBand="0" w:firstRowFirstColumn="0" w:firstRowLastColumn="0" w:lastRowFirstColumn="0" w:lastRowLastColumn="0"/>
            <w:tcW w:w="537" w:type="pct"/>
            <w:vMerge/>
            <w:hideMark/>
          </w:tcPr>
          <w:p w14:paraId="49407DF0" w14:textId="77777777" w:rsidR="006F7BC6" w:rsidRPr="00AA22F2" w:rsidRDefault="006F7BC6" w:rsidP="006F7BC6">
            <w:pPr>
              <w:rPr>
                <w:szCs w:val="20"/>
                <w:lang w:val="en-US"/>
              </w:rPr>
            </w:pPr>
          </w:p>
        </w:tc>
        <w:tc>
          <w:tcPr>
            <w:tcW w:w="481" w:type="pct"/>
            <w:vMerge/>
          </w:tcPr>
          <w:p w14:paraId="4A2C3AB3" w14:textId="3CCF1A39" w:rsidR="006F7BC6" w:rsidRPr="00AA22F2" w:rsidRDefault="006F7BC6" w:rsidP="006F7BC6">
            <w:pPr>
              <w:cnfStyle w:val="000000000000" w:firstRow="0" w:lastRow="0" w:firstColumn="0" w:lastColumn="0" w:oddVBand="0" w:evenVBand="0" w:oddHBand="0" w:evenHBand="0" w:firstRowFirstColumn="0" w:firstRowLastColumn="0" w:lastRowFirstColumn="0" w:lastRowLastColumn="0"/>
              <w:rPr>
                <w:szCs w:val="20"/>
                <w:lang w:val="en-US"/>
              </w:rPr>
            </w:pPr>
          </w:p>
        </w:tc>
        <w:tc>
          <w:tcPr>
            <w:tcW w:w="952" w:type="pct"/>
            <w:hideMark/>
          </w:tcPr>
          <w:p w14:paraId="1DD4CF0E" w14:textId="77777777" w:rsidR="006F7BC6" w:rsidRPr="004637C7" w:rsidRDefault="006F7BC6" w:rsidP="006F7BC6">
            <w:pPr>
              <w:cnfStyle w:val="000000000000" w:firstRow="0" w:lastRow="0" w:firstColumn="0" w:lastColumn="0" w:oddVBand="0" w:evenVBand="0" w:oddHBand="0" w:evenHBand="0" w:firstRowFirstColumn="0" w:firstRowLastColumn="0" w:lastRowFirstColumn="0" w:lastRowLastColumn="0"/>
              <w:rPr>
                <w:szCs w:val="20"/>
              </w:rPr>
            </w:pPr>
            <w:r w:rsidRPr="004637C7">
              <w:rPr>
                <w:szCs w:val="20"/>
              </w:rPr>
              <w:t>Mettre en œuvre une brumisation au plus près des points d’émission (brise-roche, scies, concasseurs) et humidifier les matériaux avant transport afin d’abattre les poussières à la source.</w:t>
            </w:r>
          </w:p>
        </w:tc>
        <w:tc>
          <w:tcPr>
            <w:tcW w:w="597" w:type="pct"/>
            <w:hideMark/>
          </w:tcPr>
          <w:p w14:paraId="08180064" w14:textId="77777777" w:rsidR="006F7BC6" w:rsidRPr="004637C7" w:rsidRDefault="006F7BC6" w:rsidP="006F7BC6">
            <w:pPr>
              <w:cnfStyle w:val="000000000000" w:firstRow="0" w:lastRow="0" w:firstColumn="0" w:lastColumn="0" w:oddVBand="0" w:evenVBand="0" w:oddHBand="0" w:evenHBand="0" w:firstRowFirstColumn="0" w:firstRowLastColumn="0" w:lastRowFirstColumn="0" w:lastRowLastColumn="0"/>
              <w:rPr>
                <w:szCs w:val="20"/>
              </w:rPr>
            </w:pPr>
            <w:r w:rsidRPr="004637C7">
              <w:rPr>
                <w:szCs w:val="20"/>
              </w:rPr>
              <w:t>Heures de brumisation ; checklists d’équipement</w:t>
            </w:r>
          </w:p>
        </w:tc>
        <w:tc>
          <w:tcPr>
            <w:tcW w:w="410" w:type="pct"/>
          </w:tcPr>
          <w:p w14:paraId="010F0261" w14:textId="718FF618" w:rsidR="006F7BC6" w:rsidRPr="004637C7" w:rsidRDefault="006F7BC6" w:rsidP="006F7BC6">
            <w:pPr>
              <w:cnfStyle w:val="000000000000" w:firstRow="0" w:lastRow="0" w:firstColumn="0" w:lastColumn="0" w:oddVBand="0" w:evenVBand="0" w:oddHBand="0" w:evenHBand="0" w:firstRowFirstColumn="0" w:firstRowLastColumn="0" w:lastRowFirstColumn="0" w:lastRowLastColumn="0"/>
              <w:rPr>
                <w:szCs w:val="20"/>
              </w:rPr>
            </w:pPr>
            <w:r w:rsidRPr="00AA22F2">
              <w:rPr>
                <w:szCs w:val="20"/>
              </w:rPr>
              <w:t>EPC et sous-traitants</w:t>
            </w:r>
          </w:p>
        </w:tc>
        <w:tc>
          <w:tcPr>
            <w:tcW w:w="433" w:type="pct"/>
          </w:tcPr>
          <w:p w14:paraId="1817A79C" w14:textId="2BE1B5A2" w:rsidR="006F7BC6" w:rsidRPr="00AA22F2" w:rsidRDefault="006F7BC6" w:rsidP="006F7BC6">
            <w:pPr>
              <w:cnfStyle w:val="000000000000" w:firstRow="0" w:lastRow="0" w:firstColumn="0" w:lastColumn="0" w:oddVBand="0" w:evenVBand="0" w:oddHBand="0" w:evenHBand="0" w:firstRowFirstColumn="0" w:firstRowLastColumn="0" w:lastRowFirstColumn="0" w:lastRowLastColumn="0"/>
              <w:rPr>
                <w:szCs w:val="20"/>
              </w:rPr>
            </w:pPr>
            <w:r w:rsidRPr="00AA22F2">
              <w:rPr>
                <w:szCs w:val="20"/>
              </w:rPr>
              <w:t>Bureau de contrôle / Consultant de supervision mandaté par l’ONDA</w:t>
            </w:r>
          </w:p>
        </w:tc>
        <w:tc>
          <w:tcPr>
            <w:tcW w:w="254" w:type="pct"/>
          </w:tcPr>
          <w:p w14:paraId="59633A43" w14:textId="18232311" w:rsidR="006F7BC6" w:rsidRPr="004637C7" w:rsidRDefault="006F7BC6" w:rsidP="006F7BC6">
            <w:pPr>
              <w:cnfStyle w:val="000000000000" w:firstRow="0" w:lastRow="0" w:firstColumn="0" w:lastColumn="0" w:oddVBand="0" w:evenVBand="0" w:oddHBand="0" w:evenHBand="0" w:firstRowFirstColumn="0" w:firstRowLastColumn="0" w:lastRowFirstColumn="0" w:lastRowLastColumn="0"/>
              <w:rPr>
                <w:szCs w:val="20"/>
              </w:rPr>
            </w:pPr>
            <w:r w:rsidRPr="00AA22F2">
              <w:rPr>
                <w:szCs w:val="20"/>
              </w:rPr>
              <w:t>ONDA</w:t>
            </w:r>
          </w:p>
        </w:tc>
        <w:tc>
          <w:tcPr>
            <w:tcW w:w="395" w:type="pct"/>
            <w:hideMark/>
          </w:tcPr>
          <w:p w14:paraId="21D011BC" w14:textId="3BB164C7" w:rsidR="006F7BC6" w:rsidRPr="00AA22F2" w:rsidRDefault="006F7BC6" w:rsidP="006F7BC6">
            <w:pPr>
              <w:cnfStyle w:val="000000000000" w:firstRow="0" w:lastRow="0" w:firstColumn="0" w:lastColumn="0" w:oddVBand="0" w:evenVBand="0" w:oddHBand="0" w:evenHBand="0" w:firstRowFirstColumn="0" w:firstRowLastColumn="0" w:lastRowFirstColumn="0" w:lastRowLastColumn="0"/>
              <w:rPr>
                <w:szCs w:val="20"/>
                <w:lang w:val="en-US"/>
              </w:rPr>
            </w:pPr>
            <w:r w:rsidRPr="00AA22F2">
              <w:rPr>
                <w:szCs w:val="20"/>
                <w:lang w:val="en-US"/>
              </w:rPr>
              <w:t>Quotidien</w:t>
            </w:r>
          </w:p>
        </w:tc>
        <w:tc>
          <w:tcPr>
            <w:tcW w:w="940" w:type="pct"/>
          </w:tcPr>
          <w:p w14:paraId="46106739" w14:textId="32EEAB01" w:rsidR="006F7BC6" w:rsidRPr="004637C7" w:rsidRDefault="00601099" w:rsidP="006F7BC6">
            <w:pPr>
              <w:cnfStyle w:val="000000000000" w:firstRow="0" w:lastRow="0" w:firstColumn="0" w:lastColumn="0" w:oddVBand="0" w:evenVBand="0" w:oddHBand="0" w:evenHBand="0" w:firstRowFirstColumn="0" w:firstRowLastColumn="0" w:lastRowFirstColumn="0" w:lastRowLastColumn="0"/>
              <w:rPr>
                <w:szCs w:val="20"/>
              </w:rPr>
            </w:pPr>
            <w:r w:rsidRPr="00601099">
              <w:rPr>
                <w:szCs w:val="20"/>
              </w:rPr>
              <w:t>≈ 2 000 MAD/mois</w:t>
            </w:r>
            <w:r>
              <w:rPr>
                <w:szCs w:val="20"/>
              </w:rPr>
              <w:t xml:space="preserve"> - </w:t>
            </w:r>
            <w:r w:rsidRPr="00601099">
              <w:rPr>
                <w:szCs w:val="20"/>
              </w:rPr>
              <w:t>Location ou maintenance d’un système de brumisation haute pression.</w:t>
            </w:r>
          </w:p>
        </w:tc>
      </w:tr>
      <w:tr w:rsidR="006F7BC6" w:rsidRPr="00B3062D" w14:paraId="52CB5FB5" w14:textId="7E54CBF2" w:rsidTr="008065E2">
        <w:tc>
          <w:tcPr>
            <w:cnfStyle w:val="001000000000" w:firstRow="0" w:lastRow="0" w:firstColumn="1" w:lastColumn="0" w:oddVBand="0" w:evenVBand="0" w:oddHBand="0" w:evenHBand="0" w:firstRowFirstColumn="0" w:firstRowLastColumn="0" w:lastRowFirstColumn="0" w:lastRowLastColumn="0"/>
            <w:tcW w:w="537" w:type="pct"/>
            <w:vMerge/>
            <w:hideMark/>
          </w:tcPr>
          <w:p w14:paraId="66A82451" w14:textId="77777777" w:rsidR="006F7BC6" w:rsidRPr="004637C7" w:rsidRDefault="006F7BC6" w:rsidP="006F7BC6">
            <w:pPr>
              <w:rPr>
                <w:szCs w:val="20"/>
              </w:rPr>
            </w:pPr>
          </w:p>
        </w:tc>
        <w:tc>
          <w:tcPr>
            <w:tcW w:w="481" w:type="pct"/>
            <w:vMerge/>
          </w:tcPr>
          <w:p w14:paraId="5B862D49" w14:textId="702DE23B" w:rsidR="006F7BC6" w:rsidRPr="004637C7" w:rsidRDefault="006F7BC6" w:rsidP="006F7BC6">
            <w:pPr>
              <w:cnfStyle w:val="000000000000" w:firstRow="0" w:lastRow="0" w:firstColumn="0" w:lastColumn="0" w:oddVBand="0" w:evenVBand="0" w:oddHBand="0" w:evenHBand="0" w:firstRowFirstColumn="0" w:firstRowLastColumn="0" w:lastRowFirstColumn="0" w:lastRowLastColumn="0"/>
              <w:rPr>
                <w:szCs w:val="20"/>
              </w:rPr>
            </w:pPr>
          </w:p>
        </w:tc>
        <w:tc>
          <w:tcPr>
            <w:tcW w:w="952" w:type="pct"/>
            <w:hideMark/>
          </w:tcPr>
          <w:p w14:paraId="45843F02" w14:textId="092301AF" w:rsidR="006F7BC6" w:rsidRPr="004637C7" w:rsidRDefault="006F7BC6" w:rsidP="006F7BC6">
            <w:pPr>
              <w:cnfStyle w:val="000000000000" w:firstRow="0" w:lastRow="0" w:firstColumn="0" w:lastColumn="0" w:oddVBand="0" w:evenVBand="0" w:oddHBand="0" w:evenHBand="0" w:firstRowFirstColumn="0" w:firstRowLastColumn="0" w:lastRowFirstColumn="0" w:lastRowLastColumn="0"/>
              <w:rPr>
                <w:szCs w:val="20"/>
              </w:rPr>
            </w:pPr>
            <w:r w:rsidRPr="004637C7">
              <w:rPr>
                <w:szCs w:val="20"/>
              </w:rPr>
              <w:t xml:space="preserve">Surveiller les PM10 </w:t>
            </w:r>
            <w:r w:rsidR="00601099">
              <w:rPr>
                <w:szCs w:val="20"/>
              </w:rPr>
              <w:t xml:space="preserve">et PM2,5 </w:t>
            </w:r>
            <w:r w:rsidRPr="004637C7">
              <w:rPr>
                <w:szCs w:val="20"/>
              </w:rPr>
              <w:t>en limite de site (24 h) et corréler avec le vent</w:t>
            </w:r>
            <w:r w:rsidR="00601099">
              <w:rPr>
                <w:szCs w:val="20"/>
              </w:rPr>
              <w:t>.</w:t>
            </w:r>
            <w:r w:rsidRPr="004637C7">
              <w:rPr>
                <w:szCs w:val="20"/>
              </w:rPr>
              <w:t xml:space="preserve"> </w:t>
            </w:r>
          </w:p>
        </w:tc>
        <w:tc>
          <w:tcPr>
            <w:tcW w:w="597" w:type="pct"/>
            <w:hideMark/>
          </w:tcPr>
          <w:p w14:paraId="7D72025E" w14:textId="1F045285" w:rsidR="006F7BC6" w:rsidRPr="004637C7" w:rsidRDefault="006F7BC6" w:rsidP="006F7BC6">
            <w:pPr>
              <w:cnfStyle w:val="000000000000" w:firstRow="0" w:lastRow="0" w:firstColumn="0" w:lastColumn="0" w:oddVBand="0" w:evenVBand="0" w:oddHBand="0" w:evenHBand="0" w:firstRowFirstColumn="0" w:firstRowLastColumn="0" w:lastRowFirstColumn="0" w:lastRowLastColumn="0"/>
              <w:rPr>
                <w:szCs w:val="20"/>
              </w:rPr>
            </w:pPr>
            <w:r w:rsidRPr="004637C7">
              <w:rPr>
                <w:szCs w:val="20"/>
              </w:rPr>
              <w:t xml:space="preserve">% jours monitorés ; PM10/PM2,5 ; </w:t>
            </w:r>
          </w:p>
        </w:tc>
        <w:tc>
          <w:tcPr>
            <w:tcW w:w="410" w:type="pct"/>
          </w:tcPr>
          <w:p w14:paraId="65E71FC6" w14:textId="03DE77C9" w:rsidR="006F7BC6" w:rsidRPr="004637C7" w:rsidRDefault="006F7BC6" w:rsidP="006F7BC6">
            <w:pPr>
              <w:cnfStyle w:val="000000000000" w:firstRow="0" w:lastRow="0" w:firstColumn="0" w:lastColumn="0" w:oddVBand="0" w:evenVBand="0" w:oddHBand="0" w:evenHBand="0" w:firstRowFirstColumn="0" w:firstRowLastColumn="0" w:lastRowFirstColumn="0" w:lastRowLastColumn="0"/>
              <w:rPr>
                <w:szCs w:val="20"/>
              </w:rPr>
            </w:pPr>
            <w:r w:rsidRPr="00AA22F2">
              <w:rPr>
                <w:szCs w:val="20"/>
              </w:rPr>
              <w:t>EPC et sous-traitants</w:t>
            </w:r>
          </w:p>
        </w:tc>
        <w:tc>
          <w:tcPr>
            <w:tcW w:w="433" w:type="pct"/>
          </w:tcPr>
          <w:p w14:paraId="4FA07CD5" w14:textId="0D01DF99" w:rsidR="006F7BC6" w:rsidRPr="00AA22F2" w:rsidRDefault="006F7BC6" w:rsidP="006F7BC6">
            <w:pPr>
              <w:cnfStyle w:val="000000000000" w:firstRow="0" w:lastRow="0" w:firstColumn="0" w:lastColumn="0" w:oddVBand="0" w:evenVBand="0" w:oddHBand="0" w:evenHBand="0" w:firstRowFirstColumn="0" w:firstRowLastColumn="0" w:lastRowFirstColumn="0" w:lastRowLastColumn="0"/>
              <w:rPr>
                <w:szCs w:val="20"/>
              </w:rPr>
            </w:pPr>
            <w:r w:rsidRPr="00AA22F2">
              <w:rPr>
                <w:szCs w:val="20"/>
              </w:rPr>
              <w:t>Bureau de contrôle / Consultant de supervision mandaté par l’ONDA</w:t>
            </w:r>
          </w:p>
        </w:tc>
        <w:tc>
          <w:tcPr>
            <w:tcW w:w="254" w:type="pct"/>
          </w:tcPr>
          <w:p w14:paraId="10B1C078" w14:textId="37E6CEC4" w:rsidR="006F7BC6" w:rsidRPr="004637C7" w:rsidRDefault="006F7BC6" w:rsidP="006F7BC6">
            <w:pPr>
              <w:cnfStyle w:val="000000000000" w:firstRow="0" w:lastRow="0" w:firstColumn="0" w:lastColumn="0" w:oddVBand="0" w:evenVBand="0" w:oddHBand="0" w:evenHBand="0" w:firstRowFirstColumn="0" w:firstRowLastColumn="0" w:lastRowFirstColumn="0" w:lastRowLastColumn="0"/>
              <w:rPr>
                <w:szCs w:val="20"/>
              </w:rPr>
            </w:pPr>
            <w:r w:rsidRPr="00AA22F2">
              <w:rPr>
                <w:szCs w:val="20"/>
              </w:rPr>
              <w:t>ONDA</w:t>
            </w:r>
          </w:p>
        </w:tc>
        <w:tc>
          <w:tcPr>
            <w:tcW w:w="395" w:type="pct"/>
            <w:hideMark/>
          </w:tcPr>
          <w:p w14:paraId="2335675F" w14:textId="3D13EE1B" w:rsidR="006F7BC6" w:rsidRPr="00AA22F2" w:rsidRDefault="006F7BC6" w:rsidP="006F7BC6">
            <w:pPr>
              <w:cnfStyle w:val="000000000000" w:firstRow="0" w:lastRow="0" w:firstColumn="0" w:lastColumn="0" w:oddVBand="0" w:evenVBand="0" w:oddHBand="0" w:evenHBand="0" w:firstRowFirstColumn="0" w:firstRowLastColumn="0" w:lastRowFirstColumn="0" w:lastRowLastColumn="0"/>
              <w:rPr>
                <w:szCs w:val="20"/>
                <w:lang w:val="en-US"/>
              </w:rPr>
            </w:pPr>
            <w:r w:rsidRPr="00AA22F2">
              <w:rPr>
                <w:szCs w:val="20"/>
                <w:lang w:val="en-US"/>
              </w:rPr>
              <w:t>Continu</w:t>
            </w:r>
          </w:p>
        </w:tc>
        <w:tc>
          <w:tcPr>
            <w:tcW w:w="940" w:type="pct"/>
          </w:tcPr>
          <w:p w14:paraId="162105BE" w14:textId="08A607BB" w:rsidR="006F7BC6" w:rsidRPr="004637C7" w:rsidRDefault="00601099" w:rsidP="006F7BC6">
            <w:pPr>
              <w:cnfStyle w:val="000000000000" w:firstRow="0" w:lastRow="0" w:firstColumn="0" w:lastColumn="0" w:oddVBand="0" w:evenVBand="0" w:oddHBand="0" w:evenHBand="0" w:firstRowFirstColumn="0" w:firstRowLastColumn="0" w:lastRowFirstColumn="0" w:lastRowLastColumn="0"/>
              <w:rPr>
                <w:szCs w:val="20"/>
              </w:rPr>
            </w:pPr>
            <w:r w:rsidRPr="00601099">
              <w:rPr>
                <w:szCs w:val="20"/>
              </w:rPr>
              <w:t xml:space="preserve">≈ </w:t>
            </w:r>
            <w:r w:rsidR="00834BB8">
              <w:rPr>
                <w:szCs w:val="20"/>
              </w:rPr>
              <w:t>2000 à 3000 MAD pour l’acquisition d’un appareil portable</w:t>
            </w:r>
          </w:p>
        </w:tc>
      </w:tr>
      <w:tr w:rsidR="006F7BC6" w:rsidRPr="00B3062D" w14:paraId="53A0FF68" w14:textId="0BE60332" w:rsidTr="008065E2">
        <w:tc>
          <w:tcPr>
            <w:cnfStyle w:val="001000000000" w:firstRow="0" w:lastRow="0" w:firstColumn="1" w:lastColumn="0" w:oddVBand="0" w:evenVBand="0" w:oddHBand="0" w:evenHBand="0" w:firstRowFirstColumn="0" w:firstRowLastColumn="0" w:lastRowFirstColumn="0" w:lastRowLastColumn="0"/>
            <w:tcW w:w="537" w:type="pct"/>
            <w:vMerge/>
            <w:hideMark/>
          </w:tcPr>
          <w:p w14:paraId="5F23856F" w14:textId="77777777" w:rsidR="006F7BC6" w:rsidRPr="004637C7" w:rsidRDefault="006F7BC6" w:rsidP="006F7BC6">
            <w:pPr>
              <w:rPr>
                <w:szCs w:val="20"/>
              </w:rPr>
            </w:pPr>
          </w:p>
        </w:tc>
        <w:tc>
          <w:tcPr>
            <w:tcW w:w="481" w:type="pct"/>
            <w:vMerge/>
          </w:tcPr>
          <w:p w14:paraId="70C2D5A1" w14:textId="2B4CF65C" w:rsidR="006F7BC6" w:rsidRPr="004637C7" w:rsidRDefault="006F7BC6" w:rsidP="006F7BC6">
            <w:pPr>
              <w:cnfStyle w:val="000000000000" w:firstRow="0" w:lastRow="0" w:firstColumn="0" w:lastColumn="0" w:oddVBand="0" w:evenVBand="0" w:oddHBand="0" w:evenHBand="0" w:firstRowFirstColumn="0" w:firstRowLastColumn="0" w:lastRowFirstColumn="0" w:lastRowLastColumn="0"/>
              <w:rPr>
                <w:szCs w:val="20"/>
              </w:rPr>
            </w:pPr>
          </w:p>
        </w:tc>
        <w:tc>
          <w:tcPr>
            <w:tcW w:w="952" w:type="pct"/>
            <w:hideMark/>
          </w:tcPr>
          <w:p w14:paraId="7D8A6750" w14:textId="6D4A6670" w:rsidR="006F7BC6" w:rsidRPr="004637C7" w:rsidRDefault="006F7BC6" w:rsidP="006F7BC6">
            <w:pPr>
              <w:cnfStyle w:val="000000000000" w:firstRow="0" w:lastRow="0" w:firstColumn="0" w:lastColumn="0" w:oddVBand="0" w:evenVBand="0" w:oddHBand="0" w:evenHBand="0" w:firstRowFirstColumn="0" w:firstRowLastColumn="0" w:lastRowFirstColumn="0" w:lastRowLastColumn="0"/>
              <w:rPr>
                <w:szCs w:val="20"/>
              </w:rPr>
            </w:pPr>
            <w:r w:rsidRPr="004637C7">
              <w:rPr>
                <w:szCs w:val="20"/>
              </w:rPr>
              <w:t>Informer les équipes</w:t>
            </w:r>
            <w:r w:rsidRPr="00AA22F2">
              <w:rPr>
                <w:szCs w:val="20"/>
              </w:rPr>
              <w:t xml:space="preserve"> selon le besoin</w:t>
            </w:r>
            <w:r w:rsidRPr="004637C7">
              <w:rPr>
                <w:szCs w:val="20"/>
              </w:rPr>
              <w:t xml:space="preserve"> sur le couple « vents &amp; poussières » et fournir des EPI adaptés (FFP2) lorsque la mitigation technique ne suffit plus, afin de réduire l’exposition professionnelle.</w:t>
            </w:r>
          </w:p>
        </w:tc>
        <w:tc>
          <w:tcPr>
            <w:tcW w:w="597" w:type="pct"/>
            <w:hideMark/>
          </w:tcPr>
          <w:p w14:paraId="41AA6292" w14:textId="77777777" w:rsidR="006F7BC6" w:rsidRPr="004637C7" w:rsidRDefault="006F7BC6" w:rsidP="006F7BC6">
            <w:pPr>
              <w:cnfStyle w:val="000000000000" w:firstRow="0" w:lastRow="0" w:firstColumn="0" w:lastColumn="0" w:oddVBand="0" w:evenVBand="0" w:oddHBand="0" w:evenHBand="0" w:firstRowFirstColumn="0" w:firstRowLastColumn="0" w:lastRowFirstColumn="0" w:lastRowLastColumn="0"/>
              <w:rPr>
                <w:szCs w:val="20"/>
              </w:rPr>
            </w:pPr>
            <w:r w:rsidRPr="004637C7">
              <w:rPr>
                <w:szCs w:val="20"/>
              </w:rPr>
              <w:t>% briefings réalisés ; % port d’EPI conforme</w:t>
            </w:r>
          </w:p>
        </w:tc>
        <w:tc>
          <w:tcPr>
            <w:tcW w:w="410" w:type="pct"/>
          </w:tcPr>
          <w:p w14:paraId="10670BB7" w14:textId="3270F687" w:rsidR="006F7BC6" w:rsidRPr="004637C7" w:rsidRDefault="006F7BC6" w:rsidP="006F7BC6">
            <w:pPr>
              <w:cnfStyle w:val="000000000000" w:firstRow="0" w:lastRow="0" w:firstColumn="0" w:lastColumn="0" w:oddVBand="0" w:evenVBand="0" w:oddHBand="0" w:evenHBand="0" w:firstRowFirstColumn="0" w:firstRowLastColumn="0" w:lastRowFirstColumn="0" w:lastRowLastColumn="0"/>
              <w:rPr>
                <w:szCs w:val="20"/>
              </w:rPr>
            </w:pPr>
            <w:r w:rsidRPr="00AA22F2">
              <w:rPr>
                <w:szCs w:val="20"/>
              </w:rPr>
              <w:t>EPC et sous-traitants</w:t>
            </w:r>
          </w:p>
        </w:tc>
        <w:tc>
          <w:tcPr>
            <w:tcW w:w="433" w:type="pct"/>
          </w:tcPr>
          <w:p w14:paraId="266E88A3" w14:textId="1BEB9899" w:rsidR="006F7BC6" w:rsidRPr="00AA22F2" w:rsidRDefault="006F7BC6" w:rsidP="006F7BC6">
            <w:pPr>
              <w:cnfStyle w:val="000000000000" w:firstRow="0" w:lastRow="0" w:firstColumn="0" w:lastColumn="0" w:oddVBand="0" w:evenVBand="0" w:oddHBand="0" w:evenHBand="0" w:firstRowFirstColumn="0" w:firstRowLastColumn="0" w:lastRowFirstColumn="0" w:lastRowLastColumn="0"/>
              <w:rPr>
                <w:szCs w:val="20"/>
              </w:rPr>
            </w:pPr>
            <w:r w:rsidRPr="00AA22F2">
              <w:rPr>
                <w:szCs w:val="20"/>
              </w:rPr>
              <w:t>Bureau de contrôle / Consultant de supervision mandaté par l’ONDA</w:t>
            </w:r>
          </w:p>
        </w:tc>
        <w:tc>
          <w:tcPr>
            <w:tcW w:w="254" w:type="pct"/>
          </w:tcPr>
          <w:p w14:paraId="1C0E39BA" w14:textId="3AD562E9" w:rsidR="006F7BC6" w:rsidRPr="004637C7" w:rsidRDefault="006F7BC6" w:rsidP="006F7BC6">
            <w:pPr>
              <w:cnfStyle w:val="000000000000" w:firstRow="0" w:lastRow="0" w:firstColumn="0" w:lastColumn="0" w:oddVBand="0" w:evenVBand="0" w:oddHBand="0" w:evenHBand="0" w:firstRowFirstColumn="0" w:firstRowLastColumn="0" w:lastRowFirstColumn="0" w:lastRowLastColumn="0"/>
              <w:rPr>
                <w:szCs w:val="20"/>
              </w:rPr>
            </w:pPr>
            <w:r w:rsidRPr="00AA22F2">
              <w:rPr>
                <w:szCs w:val="20"/>
              </w:rPr>
              <w:t>ONDA</w:t>
            </w:r>
          </w:p>
        </w:tc>
        <w:tc>
          <w:tcPr>
            <w:tcW w:w="395" w:type="pct"/>
            <w:hideMark/>
          </w:tcPr>
          <w:p w14:paraId="15720E73" w14:textId="2F6663B2" w:rsidR="006F7BC6" w:rsidRPr="00AA22F2" w:rsidRDefault="006F7BC6" w:rsidP="006F7BC6">
            <w:pPr>
              <w:cnfStyle w:val="000000000000" w:firstRow="0" w:lastRow="0" w:firstColumn="0" w:lastColumn="0" w:oddVBand="0" w:evenVBand="0" w:oddHBand="0" w:evenHBand="0" w:firstRowFirstColumn="0" w:firstRowLastColumn="0" w:lastRowFirstColumn="0" w:lastRowLastColumn="0"/>
              <w:rPr>
                <w:szCs w:val="20"/>
                <w:lang w:val="en-US"/>
              </w:rPr>
            </w:pPr>
            <w:r w:rsidRPr="00AA22F2">
              <w:rPr>
                <w:szCs w:val="20"/>
                <w:lang w:val="en-US"/>
              </w:rPr>
              <w:t>Quotidien</w:t>
            </w:r>
          </w:p>
        </w:tc>
        <w:tc>
          <w:tcPr>
            <w:tcW w:w="940" w:type="pct"/>
          </w:tcPr>
          <w:p w14:paraId="12E48B12" w14:textId="42852405" w:rsidR="006F7BC6" w:rsidRPr="004637C7" w:rsidRDefault="006F7BC6" w:rsidP="006F7BC6">
            <w:pPr>
              <w:cnfStyle w:val="000000000000" w:firstRow="0" w:lastRow="0" w:firstColumn="0" w:lastColumn="0" w:oddVBand="0" w:evenVBand="0" w:oddHBand="0" w:evenHBand="0" w:firstRowFirstColumn="0" w:firstRowLastColumn="0" w:lastRowFirstColumn="0" w:lastRowLastColumn="0"/>
              <w:rPr>
                <w:szCs w:val="20"/>
              </w:rPr>
            </w:pPr>
            <w:r w:rsidRPr="004637C7">
              <w:rPr>
                <w:szCs w:val="20"/>
              </w:rPr>
              <w:t>4000</w:t>
            </w:r>
            <w:r w:rsidRPr="00AA22F2">
              <w:rPr>
                <w:szCs w:val="20"/>
              </w:rPr>
              <w:t>MAD</w:t>
            </w:r>
            <w:r w:rsidRPr="004637C7">
              <w:rPr>
                <w:szCs w:val="20"/>
              </w:rPr>
              <w:t>/formateur/jour</w:t>
            </w:r>
            <w:r w:rsidR="00601099">
              <w:rPr>
                <w:szCs w:val="20"/>
              </w:rPr>
              <w:t xml:space="preserve"> - </w:t>
            </w:r>
            <w:r w:rsidR="00601099" w:rsidRPr="00601099">
              <w:rPr>
                <w:szCs w:val="20"/>
              </w:rPr>
              <w:t>Formation HSE sur la prévention de l’exposition à la poussière</w:t>
            </w:r>
          </w:p>
          <w:p w14:paraId="12155F59" w14:textId="7650AC76" w:rsidR="00601099" w:rsidRPr="004637C7" w:rsidRDefault="006F7BC6" w:rsidP="00601099">
            <w:pPr>
              <w:cnfStyle w:val="000000000000" w:firstRow="0" w:lastRow="0" w:firstColumn="0" w:lastColumn="0" w:oddVBand="0" w:evenVBand="0" w:oddHBand="0" w:evenHBand="0" w:firstRowFirstColumn="0" w:firstRowLastColumn="0" w:lastRowFirstColumn="0" w:lastRowLastColumn="0"/>
              <w:rPr>
                <w:szCs w:val="20"/>
              </w:rPr>
            </w:pPr>
            <w:r w:rsidRPr="004637C7">
              <w:rPr>
                <w:szCs w:val="20"/>
              </w:rPr>
              <w:t xml:space="preserve">35 </w:t>
            </w:r>
            <w:r w:rsidRPr="00AA22F2">
              <w:rPr>
                <w:szCs w:val="20"/>
              </w:rPr>
              <w:t>MAD</w:t>
            </w:r>
            <w:r w:rsidRPr="004637C7">
              <w:rPr>
                <w:szCs w:val="20"/>
              </w:rPr>
              <w:t>/mas</w:t>
            </w:r>
            <w:r w:rsidRPr="00AA22F2">
              <w:rPr>
                <w:szCs w:val="20"/>
              </w:rPr>
              <w:t>que</w:t>
            </w:r>
            <w:r w:rsidR="00601099">
              <w:rPr>
                <w:szCs w:val="20"/>
              </w:rPr>
              <w:t xml:space="preserve"> - </w:t>
            </w:r>
            <w:r w:rsidR="00601099" w:rsidRPr="00601099">
              <w:rPr>
                <w:szCs w:val="20"/>
              </w:rPr>
              <w:t>fourniture de masques FFP2 aux travailleurs exposés.</w:t>
            </w:r>
          </w:p>
        </w:tc>
      </w:tr>
      <w:tr w:rsidR="006F7BC6" w:rsidRPr="00B3062D" w14:paraId="206EC827" w14:textId="77777777" w:rsidTr="008065E2">
        <w:tc>
          <w:tcPr>
            <w:cnfStyle w:val="001000000000" w:firstRow="0" w:lastRow="0" w:firstColumn="1" w:lastColumn="0" w:oddVBand="0" w:evenVBand="0" w:oddHBand="0" w:evenHBand="0" w:firstRowFirstColumn="0" w:firstRowLastColumn="0" w:lastRowFirstColumn="0" w:lastRowLastColumn="0"/>
            <w:tcW w:w="537" w:type="pct"/>
            <w:vMerge/>
            <w:hideMark/>
          </w:tcPr>
          <w:p w14:paraId="62732A5F" w14:textId="77777777" w:rsidR="006F7BC6" w:rsidRPr="004637C7" w:rsidRDefault="006F7BC6" w:rsidP="006F7BC6">
            <w:pPr>
              <w:rPr>
                <w:szCs w:val="20"/>
              </w:rPr>
            </w:pPr>
          </w:p>
        </w:tc>
        <w:tc>
          <w:tcPr>
            <w:tcW w:w="481" w:type="pct"/>
            <w:hideMark/>
          </w:tcPr>
          <w:p w14:paraId="772D666F" w14:textId="455D0E6B" w:rsidR="006F7BC6" w:rsidRPr="00AA22F2" w:rsidRDefault="006F7BC6" w:rsidP="006F7BC6">
            <w:pPr>
              <w:cnfStyle w:val="000000000000" w:firstRow="0" w:lastRow="0" w:firstColumn="0" w:lastColumn="0" w:oddVBand="0" w:evenVBand="0" w:oddHBand="0" w:evenHBand="0" w:firstRowFirstColumn="0" w:firstRowLastColumn="0" w:lastRowFirstColumn="0" w:lastRowLastColumn="0"/>
              <w:rPr>
                <w:szCs w:val="20"/>
                <w:lang w:val="en-US"/>
              </w:rPr>
            </w:pPr>
            <w:r w:rsidRPr="00AA22F2">
              <w:rPr>
                <w:szCs w:val="20"/>
                <w:lang w:val="en-US"/>
              </w:rPr>
              <w:t>Restaur</w:t>
            </w:r>
            <w:r w:rsidR="00AD4DBE">
              <w:rPr>
                <w:szCs w:val="20"/>
                <w:lang w:val="en-US"/>
              </w:rPr>
              <w:t>er</w:t>
            </w:r>
          </w:p>
        </w:tc>
        <w:tc>
          <w:tcPr>
            <w:tcW w:w="952" w:type="pct"/>
            <w:hideMark/>
          </w:tcPr>
          <w:p w14:paraId="23BFAE0E" w14:textId="77777777" w:rsidR="006F7BC6" w:rsidRPr="004637C7" w:rsidRDefault="006F7BC6" w:rsidP="006F7BC6">
            <w:pPr>
              <w:cnfStyle w:val="000000000000" w:firstRow="0" w:lastRow="0" w:firstColumn="0" w:lastColumn="0" w:oddVBand="0" w:evenVBand="0" w:oddHBand="0" w:evenHBand="0" w:firstRowFirstColumn="0" w:firstRowLastColumn="0" w:lastRowFirstColumn="0" w:lastRowLastColumn="0"/>
              <w:rPr>
                <w:szCs w:val="20"/>
              </w:rPr>
            </w:pPr>
            <w:r w:rsidRPr="004637C7">
              <w:rPr>
                <w:szCs w:val="20"/>
              </w:rPr>
              <w:t>Réaliser un balayage aspirant/lavage régulier des surfaces dures et stabiliser rapidement les surfaces nues (nivellement, ensemencement/hydromulch) pour empêcher la reprise des envols.</w:t>
            </w:r>
          </w:p>
        </w:tc>
        <w:tc>
          <w:tcPr>
            <w:tcW w:w="597" w:type="pct"/>
            <w:hideMark/>
          </w:tcPr>
          <w:p w14:paraId="0B852123" w14:textId="0E7F25FE" w:rsidR="006F7BC6" w:rsidRPr="004637C7" w:rsidRDefault="006F7BC6" w:rsidP="006F7BC6">
            <w:pPr>
              <w:cnfStyle w:val="000000000000" w:firstRow="0" w:lastRow="0" w:firstColumn="0" w:lastColumn="0" w:oddVBand="0" w:evenVBand="0" w:oddHBand="0" w:evenHBand="0" w:firstRowFirstColumn="0" w:firstRowLastColumn="0" w:lastRowFirstColumn="0" w:lastRowLastColumn="0"/>
              <w:rPr>
                <w:szCs w:val="20"/>
              </w:rPr>
            </w:pPr>
            <w:r w:rsidRPr="004637C7">
              <w:rPr>
                <w:szCs w:val="20"/>
              </w:rPr>
              <w:t>m²</w:t>
            </w:r>
            <w:r w:rsidR="0074652B">
              <w:rPr>
                <w:szCs w:val="20"/>
              </w:rPr>
              <w:t xml:space="preserve">  </w:t>
            </w:r>
            <w:r w:rsidRPr="004637C7">
              <w:rPr>
                <w:szCs w:val="20"/>
              </w:rPr>
              <w:t>nettoyés/semaine ; % surfaces stabilisées</w:t>
            </w:r>
          </w:p>
        </w:tc>
        <w:tc>
          <w:tcPr>
            <w:tcW w:w="410" w:type="pct"/>
          </w:tcPr>
          <w:p w14:paraId="15123DF0" w14:textId="68DEE0C1" w:rsidR="006F7BC6" w:rsidRPr="004637C7" w:rsidRDefault="006F7BC6" w:rsidP="006F7BC6">
            <w:pPr>
              <w:cnfStyle w:val="000000000000" w:firstRow="0" w:lastRow="0" w:firstColumn="0" w:lastColumn="0" w:oddVBand="0" w:evenVBand="0" w:oddHBand="0" w:evenHBand="0" w:firstRowFirstColumn="0" w:firstRowLastColumn="0" w:lastRowFirstColumn="0" w:lastRowLastColumn="0"/>
              <w:rPr>
                <w:szCs w:val="20"/>
              </w:rPr>
            </w:pPr>
            <w:r w:rsidRPr="00AA22F2">
              <w:rPr>
                <w:szCs w:val="20"/>
              </w:rPr>
              <w:t>EPC et sous-traitants</w:t>
            </w:r>
          </w:p>
        </w:tc>
        <w:tc>
          <w:tcPr>
            <w:tcW w:w="433" w:type="pct"/>
          </w:tcPr>
          <w:p w14:paraId="3A01FB0F" w14:textId="3849D8E9" w:rsidR="006F7BC6" w:rsidRPr="00AA22F2" w:rsidRDefault="006F7BC6" w:rsidP="006F7BC6">
            <w:pPr>
              <w:cnfStyle w:val="000000000000" w:firstRow="0" w:lastRow="0" w:firstColumn="0" w:lastColumn="0" w:oddVBand="0" w:evenVBand="0" w:oddHBand="0" w:evenHBand="0" w:firstRowFirstColumn="0" w:firstRowLastColumn="0" w:lastRowFirstColumn="0" w:lastRowLastColumn="0"/>
              <w:rPr>
                <w:szCs w:val="20"/>
              </w:rPr>
            </w:pPr>
            <w:r w:rsidRPr="00AA22F2">
              <w:rPr>
                <w:szCs w:val="20"/>
              </w:rPr>
              <w:t>Bureau de contrôle / Consultant de supervision mandaté par l’ONDA</w:t>
            </w:r>
          </w:p>
        </w:tc>
        <w:tc>
          <w:tcPr>
            <w:tcW w:w="254" w:type="pct"/>
          </w:tcPr>
          <w:p w14:paraId="0FB7E530" w14:textId="68D4EAFB" w:rsidR="006F7BC6" w:rsidRPr="004637C7" w:rsidRDefault="006F7BC6" w:rsidP="006F7BC6">
            <w:pPr>
              <w:cnfStyle w:val="000000000000" w:firstRow="0" w:lastRow="0" w:firstColumn="0" w:lastColumn="0" w:oddVBand="0" w:evenVBand="0" w:oddHBand="0" w:evenHBand="0" w:firstRowFirstColumn="0" w:firstRowLastColumn="0" w:lastRowFirstColumn="0" w:lastRowLastColumn="0"/>
              <w:rPr>
                <w:szCs w:val="20"/>
              </w:rPr>
            </w:pPr>
            <w:r w:rsidRPr="00AA22F2">
              <w:rPr>
                <w:szCs w:val="20"/>
              </w:rPr>
              <w:t>ONDA</w:t>
            </w:r>
          </w:p>
        </w:tc>
        <w:tc>
          <w:tcPr>
            <w:tcW w:w="395" w:type="pct"/>
            <w:hideMark/>
          </w:tcPr>
          <w:p w14:paraId="0DD0A355" w14:textId="7D822195" w:rsidR="006F7BC6" w:rsidRPr="004637C7" w:rsidRDefault="006F7BC6" w:rsidP="006F7BC6">
            <w:pPr>
              <w:cnfStyle w:val="000000000000" w:firstRow="0" w:lastRow="0" w:firstColumn="0" w:lastColumn="0" w:oddVBand="0" w:evenVBand="0" w:oddHBand="0" w:evenHBand="0" w:firstRowFirstColumn="0" w:firstRowLastColumn="0" w:lastRowFirstColumn="0" w:lastRowLastColumn="0"/>
              <w:rPr>
                <w:szCs w:val="20"/>
              </w:rPr>
            </w:pPr>
            <w:r w:rsidRPr="004637C7">
              <w:rPr>
                <w:szCs w:val="20"/>
              </w:rPr>
              <w:t>Hebdomadaire (nettoyage) ; post-travaux (stabilisation)</w:t>
            </w:r>
          </w:p>
        </w:tc>
        <w:tc>
          <w:tcPr>
            <w:tcW w:w="940" w:type="pct"/>
          </w:tcPr>
          <w:p w14:paraId="2ADEFE83" w14:textId="64833CC4" w:rsidR="006F7BC6" w:rsidRPr="00AA22F2" w:rsidRDefault="00D33A6A" w:rsidP="006F7BC6">
            <w:pPr>
              <w:cnfStyle w:val="000000000000" w:firstRow="0" w:lastRow="0" w:firstColumn="0" w:lastColumn="0" w:oddVBand="0" w:evenVBand="0" w:oddHBand="0" w:evenHBand="0" w:firstRowFirstColumn="0" w:firstRowLastColumn="0" w:lastRowFirstColumn="0" w:lastRowLastColumn="0"/>
              <w:rPr>
                <w:szCs w:val="20"/>
              </w:rPr>
            </w:pPr>
            <w:r w:rsidRPr="00D33A6A">
              <w:rPr>
                <w:szCs w:val="20"/>
              </w:rPr>
              <w:t>≈ 3 500 MAD/mois</w:t>
            </w:r>
            <w:r>
              <w:rPr>
                <w:szCs w:val="20"/>
              </w:rPr>
              <w:t xml:space="preserve"> - </w:t>
            </w:r>
            <w:r w:rsidRPr="00D33A6A">
              <w:rPr>
                <w:szCs w:val="20"/>
              </w:rPr>
              <w:t>Nettoyage hebdomadaire des zones bétonnées et voies internes par balayeuse aspirante.</w:t>
            </w:r>
          </w:p>
        </w:tc>
      </w:tr>
      <w:tr w:rsidR="006F7BC6" w:rsidRPr="00B3062D" w14:paraId="3EDDD6B9" w14:textId="77777777" w:rsidTr="008065E2">
        <w:tc>
          <w:tcPr>
            <w:cnfStyle w:val="001000000000" w:firstRow="0" w:lastRow="0" w:firstColumn="1" w:lastColumn="0" w:oddVBand="0" w:evenVBand="0" w:oddHBand="0" w:evenHBand="0" w:firstRowFirstColumn="0" w:firstRowLastColumn="0" w:lastRowFirstColumn="0" w:lastRowLastColumn="0"/>
            <w:tcW w:w="537" w:type="pct"/>
            <w:vMerge/>
            <w:hideMark/>
          </w:tcPr>
          <w:p w14:paraId="364A94D0" w14:textId="77777777" w:rsidR="006F7BC6" w:rsidRPr="004637C7" w:rsidRDefault="006F7BC6" w:rsidP="006F7BC6">
            <w:pPr>
              <w:rPr>
                <w:szCs w:val="20"/>
              </w:rPr>
            </w:pPr>
          </w:p>
        </w:tc>
        <w:tc>
          <w:tcPr>
            <w:tcW w:w="481" w:type="pct"/>
            <w:hideMark/>
          </w:tcPr>
          <w:p w14:paraId="663BB625" w14:textId="5411DA76" w:rsidR="006F7BC6" w:rsidRPr="00AA22F2" w:rsidRDefault="006F7BC6" w:rsidP="006F7BC6">
            <w:pPr>
              <w:cnfStyle w:val="000000000000" w:firstRow="0" w:lastRow="0" w:firstColumn="0" w:lastColumn="0" w:oddVBand="0" w:evenVBand="0" w:oddHBand="0" w:evenHBand="0" w:firstRowFirstColumn="0" w:firstRowLastColumn="0" w:lastRowFirstColumn="0" w:lastRowLastColumn="0"/>
              <w:rPr>
                <w:szCs w:val="20"/>
                <w:lang w:val="en-US"/>
              </w:rPr>
            </w:pPr>
            <w:r w:rsidRPr="00AA22F2">
              <w:rPr>
                <w:szCs w:val="20"/>
                <w:lang w:val="en-US"/>
              </w:rPr>
              <w:t>Compens</w:t>
            </w:r>
            <w:r w:rsidR="00AD4DBE">
              <w:rPr>
                <w:szCs w:val="20"/>
                <w:lang w:val="en-US"/>
              </w:rPr>
              <w:t>er</w:t>
            </w:r>
          </w:p>
        </w:tc>
        <w:tc>
          <w:tcPr>
            <w:tcW w:w="952" w:type="pct"/>
            <w:hideMark/>
          </w:tcPr>
          <w:p w14:paraId="1BC78754" w14:textId="77777777" w:rsidR="006F7BC6" w:rsidRPr="004637C7" w:rsidRDefault="006F7BC6" w:rsidP="006F7BC6">
            <w:pPr>
              <w:cnfStyle w:val="000000000000" w:firstRow="0" w:lastRow="0" w:firstColumn="0" w:lastColumn="0" w:oddVBand="0" w:evenVBand="0" w:oddHBand="0" w:evenHBand="0" w:firstRowFirstColumn="0" w:firstRowLastColumn="0" w:lastRowFirstColumn="0" w:lastRowLastColumn="0"/>
              <w:rPr>
                <w:szCs w:val="20"/>
              </w:rPr>
            </w:pPr>
            <w:r w:rsidRPr="004637C7">
              <w:rPr>
                <w:szCs w:val="20"/>
              </w:rPr>
              <w:t>Implanter des haies brise-vent en lisière sous le vent et soutenir un suivi participatif par microcapteurs si une gêne résiduelle est objectivée malgré les mesures amont.</w:t>
            </w:r>
          </w:p>
        </w:tc>
        <w:tc>
          <w:tcPr>
            <w:tcW w:w="597" w:type="pct"/>
            <w:hideMark/>
          </w:tcPr>
          <w:p w14:paraId="509F6BD8" w14:textId="77777777" w:rsidR="006F7BC6" w:rsidRPr="004637C7" w:rsidRDefault="006F7BC6" w:rsidP="006F7BC6">
            <w:pPr>
              <w:cnfStyle w:val="000000000000" w:firstRow="0" w:lastRow="0" w:firstColumn="0" w:lastColumn="0" w:oddVBand="0" w:evenVBand="0" w:oddHBand="0" w:evenHBand="0" w:firstRowFirstColumn="0" w:firstRowLastColumn="0" w:lastRowFirstColumn="0" w:lastRowLastColumn="0"/>
              <w:rPr>
                <w:szCs w:val="20"/>
              </w:rPr>
            </w:pPr>
            <w:r w:rsidRPr="004637C7">
              <w:rPr>
                <w:szCs w:val="20"/>
              </w:rPr>
              <w:t>Linéaire planté ; nombre de capteurs actifs</w:t>
            </w:r>
          </w:p>
        </w:tc>
        <w:tc>
          <w:tcPr>
            <w:tcW w:w="410" w:type="pct"/>
          </w:tcPr>
          <w:p w14:paraId="3E3C4676" w14:textId="33831F11" w:rsidR="006F7BC6" w:rsidRPr="004637C7" w:rsidRDefault="006F7BC6" w:rsidP="006F7BC6">
            <w:pPr>
              <w:cnfStyle w:val="000000000000" w:firstRow="0" w:lastRow="0" w:firstColumn="0" w:lastColumn="0" w:oddVBand="0" w:evenVBand="0" w:oddHBand="0" w:evenHBand="0" w:firstRowFirstColumn="0" w:firstRowLastColumn="0" w:lastRowFirstColumn="0" w:lastRowLastColumn="0"/>
              <w:rPr>
                <w:szCs w:val="20"/>
              </w:rPr>
            </w:pPr>
            <w:r w:rsidRPr="00AA22F2">
              <w:rPr>
                <w:szCs w:val="20"/>
              </w:rPr>
              <w:t>EPC et sous-traitants</w:t>
            </w:r>
          </w:p>
        </w:tc>
        <w:tc>
          <w:tcPr>
            <w:tcW w:w="433" w:type="pct"/>
          </w:tcPr>
          <w:p w14:paraId="739D16C2" w14:textId="04132662" w:rsidR="006F7BC6" w:rsidRPr="00AA22F2" w:rsidRDefault="006F7BC6" w:rsidP="006F7BC6">
            <w:pPr>
              <w:cnfStyle w:val="000000000000" w:firstRow="0" w:lastRow="0" w:firstColumn="0" w:lastColumn="0" w:oddVBand="0" w:evenVBand="0" w:oddHBand="0" w:evenHBand="0" w:firstRowFirstColumn="0" w:firstRowLastColumn="0" w:lastRowFirstColumn="0" w:lastRowLastColumn="0"/>
              <w:rPr>
                <w:szCs w:val="20"/>
              </w:rPr>
            </w:pPr>
            <w:r w:rsidRPr="00AA22F2">
              <w:rPr>
                <w:szCs w:val="20"/>
              </w:rPr>
              <w:t>Bureau de contrôle / Consultant de supervision mandaté par l’ONDA</w:t>
            </w:r>
          </w:p>
        </w:tc>
        <w:tc>
          <w:tcPr>
            <w:tcW w:w="254" w:type="pct"/>
          </w:tcPr>
          <w:p w14:paraId="5A009756" w14:textId="76378378" w:rsidR="006F7BC6" w:rsidRPr="004637C7" w:rsidRDefault="006F7BC6" w:rsidP="006F7BC6">
            <w:pPr>
              <w:cnfStyle w:val="000000000000" w:firstRow="0" w:lastRow="0" w:firstColumn="0" w:lastColumn="0" w:oddVBand="0" w:evenVBand="0" w:oddHBand="0" w:evenHBand="0" w:firstRowFirstColumn="0" w:firstRowLastColumn="0" w:lastRowFirstColumn="0" w:lastRowLastColumn="0"/>
              <w:rPr>
                <w:szCs w:val="20"/>
              </w:rPr>
            </w:pPr>
            <w:r w:rsidRPr="00AA22F2">
              <w:rPr>
                <w:szCs w:val="20"/>
              </w:rPr>
              <w:t>ONDA</w:t>
            </w:r>
          </w:p>
        </w:tc>
        <w:tc>
          <w:tcPr>
            <w:tcW w:w="395" w:type="pct"/>
            <w:hideMark/>
          </w:tcPr>
          <w:p w14:paraId="0613F6F6" w14:textId="6F6938CC" w:rsidR="006F7BC6" w:rsidRPr="00AA22F2" w:rsidRDefault="006F7BC6" w:rsidP="006F7BC6">
            <w:pPr>
              <w:cnfStyle w:val="000000000000" w:firstRow="0" w:lastRow="0" w:firstColumn="0" w:lastColumn="0" w:oddVBand="0" w:evenVBand="0" w:oddHBand="0" w:evenHBand="0" w:firstRowFirstColumn="0" w:firstRowLastColumn="0" w:lastRowFirstColumn="0" w:lastRowLastColumn="0"/>
              <w:rPr>
                <w:szCs w:val="20"/>
                <w:lang w:val="en-US"/>
              </w:rPr>
            </w:pPr>
            <w:r w:rsidRPr="00AA22F2">
              <w:rPr>
                <w:szCs w:val="20"/>
                <w:lang w:val="en-US"/>
              </w:rPr>
              <w:t>Après bilan post-mesures</w:t>
            </w:r>
          </w:p>
        </w:tc>
        <w:tc>
          <w:tcPr>
            <w:tcW w:w="940" w:type="pct"/>
          </w:tcPr>
          <w:p w14:paraId="12CD8166" w14:textId="5852A4F8" w:rsidR="006F7BC6" w:rsidRPr="004637C7" w:rsidRDefault="00B71FEA" w:rsidP="006F7BC6">
            <w:pPr>
              <w:cnfStyle w:val="000000000000" w:firstRow="0" w:lastRow="0" w:firstColumn="0" w:lastColumn="0" w:oddVBand="0" w:evenVBand="0" w:oddHBand="0" w:evenHBand="0" w:firstRowFirstColumn="0" w:firstRowLastColumn="0" w:lastRowFirstColumn="0" w:lastRowLastColumn="0"/>
              <w:rPr>
                <w:szCs w:val="20"/>
              </w:rPr>
            </w:pPr>
            <w:r>
              <w:rPr>
                <w:szCs w:val="20"/>
              </w:rPr>
              <w:t>90</w:t>
            </w:r>
            <w:r w:rsidR="006F7BC6" w:rsidRPr="004637C7">
              <w:rPr>
                <w:szCs w:val="20"/>
              </w:rPr>
              <w:t xml:space="preserve"> </w:t>
            </w:r>
            <w:r w:rsidR="006F7BC6" w:rsidRPr="00AA22F2">
              <w:rPr>
                <w:szCs w:val="20"/>
              </w:rPr>
              <w:t>MAD</w:t>
            </w:r>
            <w:r w:rsidR="006F7BC6" w:rsidRPr="004637C7">
              <w:rPr>
                <w:szCs w:val="20"/>
              </w:rPr>
              <w:t xml:space="preserve">/mètre linéaire </w:t>
            </w:r>
            <w:r>
              <w:rPr>
                <w:szCs w:val="20"/>
              </w:rPr>
              <w:t xml:space="preserve">- </w:t>
            </w:r>
            <w:r w:rsidRPr="00B71FEA">
              <w:rPr>
                <w:szCs w:val="20"/>
              </w:rPr>
              <w:t>Plantation de haies anti-poussières (acacia/tamaris) en lisière du parking.</w:t>
            </w:r>
            <w:r w:rsidRPr="00B71FEA" w:rsidDel="00B71FEA">
              <w:rPr>
                <w:szCs w:val="20"/>
              </w:rPr>
              <w:t xml:space="preserve"> </w:t>
            </w:r>
          </w:p>
        </w:tc>
      </w:tr>
      <w:tr w:rsidR="006F7BC6" w:rsidRPr="00B3062D" w14:paraId="73E4D317" w14:textId="77777777" w:rsidTr="008065E2">
        <w:tc>
          <w:tcPr>
            <w:cnfStyle w:val="001000000000" w:firstRow="0" w:lastRow="0" w:firstColumn="1" w:lastColumn="0" w:oddVBand="0" w:evenVBand="0" w:oddHBand="0" w:evenHBand="0" w:firstRowFirstColumn="0" w:firstRowLastColumn="0" w:lastRowFirstColumn="0" w:lastRowLastColumn="0"/>
            <w:tcW w:w="537" w:type="pct"/>
            <w:vMerge w:val="restart"/>
          </w:tcPr>
          <w:p w14:paraId="269B0530" w14:textId="3BE6BEEB" w:rsidR="006F7BC6" w:rsidRPr="00AA22F2" w:rsidRDefault="006F7BC6" w:rsidP="006F7BC6">
            <w:pPr>
              <w:rPr>
                <w:szCs w:val="20"/>
              </w:rPr>
            </w:pPr>
            <w:r w:rsidRPr="00AA22F2">
              <w:rPr>
                <w:szCs w:val="20"/>
              </w:rPr>
              <w:t>Génération et émission des gaz d’échappement (NOx, CO, PM)</w:t>
            </w:r>
          </w:p>
        </w:tc>
        <w:tc>
          <w:tcPr>
            <w:tcW w:w="481" w:type="pct"/>
            <w:vMerge w:val="restart"/>
            <w:vAlign w:val="center"/>
          </w:tcPr>
          <w:p w14:paraId="2422DCE1" w14:textId="51CFDE20" w:rsidR="006F7BC6" w:rsidRPr="004637C7" w:rsidRDefault="006F7BC6" w:rsidP="004637C7">
            <w:pPr>
              <w:jc w:val="left"/>
              <w:cnfStyle w:val="000000000000" w:firstRow="0" w:lastRow="0" w:firstColumn="0" w:lastColumn="0" w:oddVBand="0" w:evenVBand="0" w:oddHBand="0" w:evenHBand="0" w:firstRowFirstColumn="0" w:firstRowLastColumn="0" w:lastRowFirstColumn="0" w:lastRowLastColumn="0"/>
              <w:rPr>
                <w:szCs w:val="20"/>
              </w:rPr>
            </w:pPr>
            <w:r w:rsidRPr="00AA22F2">
              <w:rPr>
                <w:szCs w:val="20"/>
                <w:lang w:val="en-US"/>
              </w:rPr>
              <w:t>Évite</w:t>
            </w:r>
            <w:r w:rsidR="00AD4DBE">
              <w:rPr>
                <w:szCs w:val="20"/>
                <w:lang w:val="en-US"/>
              </w:rPr>
              <w:t>r</w:t>
            </w:r>
          </w:p>
        </w:tc>
        <w:tc>
          <w:tcPr>
            <w:tcW w:w="952" w:type="pct"/>
          </w:tcPr>
          <w:p w14:paraId="6880606E" w14:textId="76E6DC95" w:rsidR="006F7BC6" w:rsidRPr="00AA22F2" w:rsidRDefault="006F7BC6" w:rsidP="006F7BC6">
            <w:pPr>
              <w:cnfStyle w:val="000000000000" w:firstRow="0" w:lastRow="0" w:firstColumn="0" w:lastColumn="0" w:oddVBand="0" w:evenVBand="0" w:oddHBand="0" w:evenHBand="0" w:firstRowFirstColumn="0" w:firstRowLastColumn="0" w:lastRowFirstColumn="0" w:lastRowLastColumn="0"/>
              <w:rPr>
                <w:szCs w:val="20"/>
              </w:rPr>
            </w:pPr>
            <w:r w:rsidRPr="00AA22F2">
              <w:rPr>
                <w:szCs w:val="20"/>
              </w:rPr>
              <w:t>Optimiser la logistique interne pour réduire les trajets et supprimer les files d’attente moteur tournant, en planifiant des séquences de livraison fluides et des itinéraires internes courts.</w:t>
            </w:r>
          </w:p>
        </w:tc>
        <w:tc>
          <w:tcPr>
            <w:tcW w:w="597" w:type="pct"/>
          </w:tcPr>
          <w:p w14:paraId="20003ABF" w14:textId="7021E15C" w:rsidR="006F7BC6" w:rsidRPr="00AA22F2" w:rsidRDefault="006F7BC6" w:rsidP="006F7BC6">
            <w:pPr>
              <w:cnfStyle w:val="000000000000" w:firstRow="0" w:lastRow="0" w:firstColumn="0" w:lastColumn="0" w:oddVBand="0" w:evenVBand="0" w:oddHBand="0" w:evenHBand="0" w:firstRowFirstColumn="0" w:firstRowLastColumn="0" w:lastRowFirstColumn="0" w:lastRowLastColumn="0"/>
              <w:rPr>
                <w:szCs w:val="20"/>
              </w:rPr>
            </w:pPr>
            <w:r w:rsidRPr="00AA22F2">
              <w:rPr>
                <w:szCs w:val="20"/>
              </w:rPr>
              <w:t>Temps d’attente moyen ; part des trajets internes</w:t>
            </w:r>
          </w:p>
        </w:tc>
        <w:tc>
          <w:tcPr>
            <w:tcW w:w="410" w:type="pct"/>
          </w:tcPr>
          <w:p w14:paraId="43DA829C" w14:textId="17442B49" w:rsidR="006F7BC6" w:rsidRPr="00AA22F2" w:rsidRDefault="006F7BC6" w:rsidP="006F7BC6">
            <w:pPr>
              <w:cnfStyle w:val="000000000000" w:firstRow="0" w:lastRow="0" w:firstColumn="0" w:lastColumn="0" w:oddVBand="0" w:evenVBand="0" w:oddHBand="0" w:evenHBand="0" w:firstRowFirstColumn="0" w:firstRowLastColumn="0" w:lastRowFirstColumn="0" w:lastRowLastColumn="0"/>
              <w:rPr>
                <w:szCs w:val="20"/>
              </w:rPr>
            </w:pPr>
            <w:r w:rsidRPr="00AA22F2">
              <w:rPr>
                <w:szCs w:val="20"/>
              </w:rPr>
              <w:t>EPC et sous-traitants</w:t>
            </w:r>
          </w:p>
        </w:tc>
        <w:tc>
          <w:tcPr>
            <w:tcW w:w="433" w:type="pct"/>
          </w:tcPr>
          <w:p w14:paraId="628A2B21" w14:textId="6DB438DE" w:rsidR="006F7BC6" w:rsidRPr="00AA22F2" w:rsidRDefault="006F7BC6" w:rsidP="006F7BC6">
            <w:pPr>
              <w:cnfStyle w:val="000000000000" w:firstRow="0" w:lastRow="0" w:firstColumn="0" w:lastColumn="0" w:oddVBand="0" w:evenVBand="0" w:oddHBand="0" w:evenHBand="0" w:firstRowFirstColumn="0" w:firstRowLastColumn="0" w:lastRowFirstColumn="0" w:lastRowLastColumn="0"/>
              <w:rPr>
                <w:szCs w:val="20"/>
              </w:rPr>
            </w:pPr>
            <w:r w:rsidRPr="00AA22F2">
              <w:rPr>
                <w:szCs w:val="20"/>
              </w:rPr>
              <w:t>Bureau de contrôle / Consultant de supervision mandaté par l’ONDA</w:t>
            </w:r>
          </w:p>
        </w:tc>
        <w:tc>
          <w:tcPr>
            <w:tcW w:w="254" w:type="pct"/>
          </w:tcPr>
          <w:p w14:paraId="6DDA1DFC" w14:textId="17634039" w:rsidR="006F7BC6" w:rsidRPr="00AA22F2" w:rsidRDefault="006F7BC6" w:rsidP="006F7BC6">
            <w:pPr>
              <w:cnfStyle w:val="000000000000" w:firstRow="0" w:lastRow="0" w:firstColumn="0" w:lastColumn="0" w:oddVBand="0" w:evenVBand="0" w:oddHBand="0" w:evenHBand="0" w:firstRowFirstColumn="0" w:firstRowLastColumn="0" w:lastRowFirstColumn="0" w:lastRowLastColumn="0"/>
              <w:rPr>
                <w:szCs w:val="20"/>
              </w:rPr>
            </w:pPr>
            <w:r w:rsidRPr="00AA22F2">
              <w:rPr>
                <w:szCs w:val="20"/>
              </w:rPr>
              <w:t>ONDA</w:t>
            </w:r>
          </w:p>
        </w:tc>
        <w:tc>
          <w:tcPr>
            <w:tcW w:w="395" w:type="pct"/>
          </w:tcPr>
          <w:p w14:paraId="63BD3C6A" w14:textId="5ECD9091" w:rsidR="006F7BC6" w:rsidRPr="004637C7" w:rsidRDefault="006F7BC6" w:rsidP="006F7BC6">
            <w:pPr>
              <w:cnfStyle w:val="000000000000" w:firstRow="0" w:lastRow="0" w:firstColumn="0" w:lastColumn="0" w:oddVBand="0" w:evenVBand="0" w:oddHBand="0" w:evenHBand="0" w:firstRowFirstColumn="0" w:firstRowLastColumn="0" w:lastRowFirstColumn="0" w:lastRowLastColumn="0"/>
              <w:rPr>
                <w:szCs w:val="20"/>
              </w:rPr>
            </w:pPr>
            <w:r w:rsidRPr="00AA22F2">
              <w:rPr>
                <w:szCs w:val="20"/>
                <w:lang w:val="en-US"/>
              </w:rPr>
              <w:t>Planification puis continu</w:t>
            </w:r>
          </w:p>
        </w:tc>
        <w:tc>
          <w:tcPr>
            <w:tcW w:w="940" w:type="pct"/>
          </w:tcPr>
          <w:p w14:paraId="6DC38FB0" w14:textId="758F97C8" w:rsidR="006F7BC6" w:rsidRPr="00AA22F2" w:rsidRDefault="003E24D9" w:rsidP="006F7BC6">
            <w:pPr>
              <w:cnfStyle w:val="000000000000" w:firstRow="0" w:lastRow="0" w:firstColumn="0" w:lastColumn="0" w:oddVBand="0" w:evenVBand="0" w:oddHBand="0" w:evenHBand="0" w:firstRowFirstColumn="0" w:firstRowLastColumn="0" w:lastRowFirstColumn="0" w:lastRowLastColumn="0"/>
              <w:rPr>
                <w:szCs w:val="20"/>
              </w:rPr>
            </w:pPr>
            <w:r w:rsidRPr="003E24D9">
              <w:rPr>
                <w:szCs w:val="20"/>
              </w:rPr>
              <w:t>≈ 10 000 – 11 000 MAD (forfait)</w:t>
            </w:r>
            <w:r w:rsidR="008065E2">
              <w:rPr>
                <w:szCs w:val="20"/>
              </w:rPr>
              <w:t xml:space="preserve">- </w:t>
            </w:r>
            <w:r w:rsidR="008065E2" w:rsidRPr="008065E2">
              <w:rPr>
                <w:szCs w:val="20"/>
              </w:rPr>
              <w:t>Coût correspondant à la préparation du plan, aux sessions de formation, à la signalétique et au suivi administratif par l’équipe HSE du chantier.</w:t>
            </w:r>
          </w:p>
        </w:tc>
      </w:tr>
      <w:tr w:rsidR="006F7BC6" w:rsidRPr="00B3062D" w14:paraId="0FDC2AEA" w14:textId="77777777" w:rsidTr="008065E2">
        <w:tc>
          <w:tcPr>
            <w:cnfStyle w:val="001000000000" w:firstRow="0" w:lastRow="0" w:firstColumn="1" w:lastColumn="0" w:oddVBand="0" w:evenVBand="0" w:oddHBand="0" w:evenHBand="0" w:firstRowFirstColumn="0" w:firstRowLastColumn="0" w:lastRowFirstColumn="0" w:lastRowLastColumn="0"/>
            <w:tcW w:w="537" w:type="pct"/>
            <w:vMerge/>
          </w:tcPr>
          <w:p w14:paraId="4EB1ECD2" w14:textId="77777777" w:rsidR="006F7BC6" w:rsidRPr="00AA22F2" w:rsidRDefault="006F7BC6" w:rsidP="006F7BC6">
            <w:pPr>
              <w:rPr>
                <w:szCs w:val="20"/>
              </w:rPr>
            </w:pPr>
          </w:p>
        </w:tc>
        <w:tc>
          <w:tcPr>
            <w:tcW w:w="481" w:type="pct"/>
            <w:vMerge/>
          </w:tcPr>
          <w:p w14:paraId="1AD70510" w14:textId="4B30FCFC" w:rsidR="006F7BC6" w:rsidRPr="004637C7" w:rsidRDefault="006F7BC6" w:rsidP="006F7BC6">
            <w:pPr>
              <w:cnfStyle w:val="000000000000" w:firstRow="0" w:lastRow="0" w:firstColumn="0" w:lastColumn="0" w:oddVBand="0" w:evenVBand="0" w:oddHBand="0" w:evenHBand="0" w:firstRowFirstColumn="0" w:firstRowLastColumn="0" w:lastRowFirstColumn="0" w:lastRowLastColumn="0"/>
              <w:rPr>
                <w:szCs w:val="20"/>
              </w:rPr>
            </w:pPr>
          </w:p>
        </w:tc>
        <w:tc>
          <w:tcPr>
            <w:tcW w:w="952" w:type="pct"/>
          </w:tcPr>
          <w:p w14:paraId="45EA094F" w14:textId="11A949ED" w:rsidR="006F7BC6" w:rsidRPr="00AA22F2" w:rsidRDefault="006F7BC6" w:rsidP="006F7BC6">
            <w:pPr>
              <w:cnfStyle w:val="000000000000" w:firstRow="0" w:lastRow="0" w:firstColumn="0" w:lastColumn="0" w:oddVBand="0" w:evenVBand="0" w:oddHBand="0" w:evenHBand="0" w:firstRowFirstColumn="0" w:firstRowLastColumn="0" w:lastRowFirstColumn="0" w:lastRowLastColumn="0"/>
              <w:rPr>
                <w:szCs w:val="20"/>
              </w:rPr>
            </w:pPr>
            <w:r w:rsidRPr="00AA22F2">
              <w:rPr>
                <w:szCs w:val="20"/>
              </w:rPr>
              <w:t>Raccorder provisoirement les besoins électriques au réseau chaque fois que possible, afin d’éviter l’usage prolongé de groupes électrogènes.</w:t>
            </w:r>
          </w:p>
        </w:tc>
        <w:tc>
          <w:tcPr>
            <w:tcW w:w="597" w:type="pct"/>
          </w:tcPr>
          <w:p w14:paraId="3E73F504" w14:textId="5ECF8AD2" w:rsidR="006F7BC6" w:rsidRPr="00AA22F2" w:rsidRDefault="006F7BC6" w:rsidP="006F7BC6">
            <w:pPr>
              <w:cnfStyle w:val="000000000000" w:firstRow="0" w:lastRow="0" w:firstColumn="0" w:lastColumn="0" w:oddVBand="0" w:evenVBand="0" w:oddHBand="0" w:evenHBand="0" w:firstRowFirstColumn="0" w:firstRowLastColumn="0" w:lastRowFirstColumn="0" w:lastRowLastColumn="0"/>
              <w:rPr>
                <w:szCs w:val="20"/>
              </w:rPr>
            </w:pPr>
            <w:r w:rsidRPr="00AA22F2">
              <w:rPr>
                <w:szCs w:val="20"/>
              </w:rPr>
              <w:t>% zones raccordées ; heures de GE évitées</w:t>
            </w:r>
          </w:p>
        </w:tc>
        <w:tc>
          <w:tcPr>
            <w:tcW w:w="410" w:type="pct"/>
          </w:tcPr>
          <w:p w14:paraId="018B61B7" w14:textId="2564DE19" w:rsidR="006F7BC6" w:rsidRPr="00AA22F2" w:rsidRDefault="006F7BC6" w:rsidP="006F7BC6">
            <w:pPr>
              <w:cnfStyle w:val="000000000000" w:firstRow="0" w:lastRow="0" w:firstColumn="0" w:lastColumn="0" w:oddVBand="0" w:evenVBand="0" w:oddHBand="0" w:evenHBand="0" w:firstRowFirstColumn="0" w:firstRowLastColumn="0" w:lastRowFirstColumn="0" w:lastRowLastColumn="0"/>
              <w:rPr>
                <w:szCs w:val="20"/>
              </w:rPr>
            </w:pPr>
            <w:r w:rsidRPr="00AA22F2">
              <w:rPr>
                <w:szCs w:val="20"/>
              </w:rPr>
              <w:t>EPC et sous-traitants</w:t>
            </w:r>
          </w:p>
        </w:tc>
        <w:tc>
          <w:tcPr>
            <w:tcW w:w="433" w:type="pct"/>
          </w:tcPr>
          <w:p w14:paraId="0A0B982C" w14:textId="35F6907D" w:rsidR="006F7BC6" w:rsidRPr="00AA22F2" w:rsidRDefault="006F7BC6" w:rsidP="006F7BC6">
            <w:pPr>
              <w:cnfStyle w:val="000000000000" w:firstRow="0" w:lastRow="0" w:firstColumn="0" w:lastColumn="0" w:oddVBand="0" w:evenVBand="0" w:oddHBand="0" w:evenHBand="0" w:firstRowFirstColumn="0" w:firstRowLastColumn="0" w:lastRowFirstColumn="0" w:lastRowLastColumn="0"/>
              <w:rPr>
                <w:szCs w:val="20"/>
              </w:rPr>
            </w:pPr>
            <w:r w:rsidRPr="00AA22F2">
              <w:rPr>
                <w:szCs w:val="20"/>
              </w:rPr>
              <w:t>Bureau de contrôle / Consultant de supervision mandaté par l’ONDA</w:t>
            </w:r>
          </w:p>
        </w:tc>
        <w:tc>
          <w:tcPr>
            <w:tcW w:w="254" w:type="pct"/>
          </w:tcPr>
          <w:p w14:paraId="67ECA5E0" w14:textId="5C3895A4" w:rsidR="006F7BC6" w:rsidRPr="00AA22F2" w:rsidRDefault="006F7BC6" w:rsidP="006F7BC6">
            <w:pPr>
              <w:cnfStyle w:val="000000000000" w:firstRow="0" w:lastRow="0" w:firstColumn="0" w:lastColumn="0" w:oddVBand="0" w:evenVBand="0" w:oddHBand="0" w:evenHBand="0" w:firstRowFirstColumn="0" w:firstRowLastColumn="0" w:lastRowFirstColumn="0" w:lastRowLastColumn="0"/>
              <w:rPr>
                <w:szCs w:val="20"/>
              </w:rPr>
            </w:pPr>
            <w:r w:rsidRPr="00AA22F2">
              <w:rPr>
                <w:szCs w:val="20"/>
              </w:rPr>
              <w:t>ONDA</w:t>
            </w:r>
          </w:p>
        </w:tc>
        <w:tc>
          <w:tcPr>
            <w:tcW w:w="395" w:type="pct"/>
          </w:tcPr>
          <w:p w14:paraId="7CA4723D" w14:textId="3F386144" w:rsidR="006F7BC6" w:rsidRPr="004637C7" w:rsidRDefault="006F7BC6" w:rsidP="006F7BC6">
            <w:pPr>
              <w:cnfStyle w:val="000000000000" w:firstRow="0" w:lastRow="0" w:firstColumn="0" w:lastColumn="0" w:oddVBand="0" w:evenVBand="0" w:oddHBand="0" w:evenHBand="0" w:firstRowFirstColumn="0" w:firstRowLastColumn="0" w:lastRowFirstColumn="0" w:lastRowLastColumn="0"/>
              <w:rPr>
                <w:szCs w:val="20"/>
              </w:rPr>
            </w:pPr>
            <w:r w:rsidRPr="00AA22F2">
              <w:rPr>
                <w:szCs w:val="20"/>
                <w:lang w:val="en-US"/>
              </w:rPr>
              <w:t>Avant démarrage puis continu</w:t>
            </w:r>
          </w:p>
        </w:tc>
        <w:tc>
          <w:tcPr>
            <w:tcW w:w="940" w:type="pct"/>
          </w:tcPr>
          <w:p w14:paraId="4BBF95A1" w14:textId="20BEBDC2" w:rsidR="006F7BC6" w:rsidRPr="00AA22F2" w:rsidRDefault="003E24D9" w:rsidP="006F7BC6">
            <w:pPr>
              <w:cnfStyle w:val="000000000000" w:firstRow="0" w:lastRow="0" w:firstColumn="0" w:lastColumn="0" w:oddVBand="0" w:evenVBand="0" w:oddHBand="0" w:evenHBand="0" w:firstRowFirstColumn="0" w:firstRowLastColumn="0" w:lastRowFirstColumn="0" w:lastRowLastColumn="0"/>
              <w:rPr>
                <w:szCs w:val="20"/>
              </w:rPr>
            </w:pPr>
            <w:r w:rsidRPr="003E24D9">
              <w:rPr>
                <w:szCs w:val="20"/>
              </w:rPr>
              <w:t>≈ 8 000 – 9 000 MAD (forfait)</w:t>
            </w:r>
            <w:r>
              <w:rPr>
                <w:szCs w:val="20"/>
              </w:rPr>
              <w:t xml:space="preserve"> - </w:t>
            </w:r>
            <w:r w:rsidRPr="003E24D9">
              <w:rPr>
                <w:szCs w:val="20"/>
              </w:rPr>
              <w:t>Le coût couvre l’installation d’un coffret de distribution, le câblage, la main-d’œuvre et les frais administratifs.</w:t>
            </w:r>
          </w:p>
        </w:tc>
      </w:tr>
      <w:tr w:rsidR="006F7BC6" w:rsidRPr="00B3062D" w14:paraId="4C8C0D30" w14:textId="77777777" w:rsidTr="008065E2">
        <w:tc>
          <w:tcPr>
            <w:cnfStyle w:val="001000000000" w:firstRow="0" w:lastRow="0" w:firstColumn="1" w:lastColumn="0" w:oddVBand="0" w:evenVBand="0" w:oddHBand="0" w:evenHBand="0" w:firstRowFirstColumn="0" w:firstRowLastColumn="0" w:lastRowFirstColumn="0" w:lastRowLastColumn="0"/>
            <w:tcW w:w="537" w:type="pct"/>
            <w:vMerge/>
          </w:tcPr>
          <w:p w14:paraId="5B614B2E" w14:textId="77777777" w:rsidR="006F7BC6" w:rsidRPr="00AA22F2" w:rsidRDefault="006F7BC6" w:rsidP="006F7BC6">
            <w:pPr>
              <w:rPr>
                <w:szCs w:val="20"/>
              </w:rPr>
            </w:pPr>
          </w:p>
        </w:tc>
        <w:tc>
          <w:tcPr>
            <w:tcW w:w="481" w:type="pct"/>
          </w:tcPr>
          <w:p w14:paraId="3E8E0F9C" w14:textId="7624D5DB" w:rsidR="006F7BC6" w:rsidRPr="004637C7" w:rsidRDefault="006F7BC6" w:rsidP="006F7BC6">
            <w:pPr>
              <w:cnfStyle w:val="000000000000" w:firstRow="0" w:lastRow="0" w:firstColumn="0" w:lastColumn="0" w:oddVBand="0" w:evenVBand="0" w:oddHBand="0" w:evenHBand="0" w:firstRowFirstColumn="0" w:firstRowLastColumn="0" w:lastRowFirstColumn="0" w:lastRowLastColumn="0"/>
              <w:rPr>
                <w:szCs w:val="20"/>
              </w:rPr>
            </w:pPr>
            <w:r w:rsidRPr="00AA22F2">
              <w:rPr>
                <w:szCs w:val="20"/>
                <w:lang w:val="en-US"/>
              </w:rPr>
              <w:t>Rédu</w:t>
            </w:r>
            <w:r w:rsidR="00AD4DBE">
              <w:rPr>
                <w:szCs w:val="20"/>
                <w:lang w:val="en-US"/>
              </w:rPr>
              <w:t>ire</w:t>
            </w:r>
          </w:p>
        </w:tc>
        <w:tc>
          <w:tcPr>
            <w:tcW w:w="952" w:type="pct"/>
          </w:tcPr>
          <w:p w14:paraId="6AF99CBA" w14:textId="2049C04D" w:rsidR="006F7BC6" w:rsidRPr="00AA22F2" w:rsidRDefault="006F7BC6" w:rsidP="006F7BC6">
            <w:pPr>
              <w:cnfStyle w:val="000000000000" w:firstRow="0" w:lastRow="0" w:firstColumn="0" w:lastColumn="0" w:oddVBand="0" w:evenVBand="0" w:oddHBand="0" w:evenHBand="0" w:firstRowFirstColumn="0" w:firstRowLastColumn="0" w:lastRowFirstColumn="0" w:lastRowLastColumn="0"/>
              <w:rPr>
                <w:szCs w:val="20"/>
              </w:rPr>
            </w:pPr>
            <w:r w:rsidRPr="00AA22F2">
              <w:rPr>
                <w:szCs w:val="20"/>
              </w:rPr>
              <w:t xml:space="preserve">Appliquer une politique anti-ralenti (arrêt moteur au-delà de 3 minutes), assurer un entretien préventif documenté (filtres, injection) </w:t>
            </w:r>
          </w:p>
        </w:tc>
        <w:tc>
          <w:tcPr>
            <w:tcW w:w="597" w:type="pct"/>
          </w:tcPr>
          <w:p w14:paraId="04FE693C" w14:textId="5B0D72A1" w:rsidR="006F7BC6" w:rsidRPr="00AA22F2" w:rsidRDefault="006F7BC6" w:rsidP="006F7BC6">
            <w:pPr>
              <w:cnfStyle w:val="000000000000" w:firstRow="0" w:lastRow="0" w:firstColumn="0" w:lastColumn="0" w:oddVBand="0" w:evenVBand="0" w:oddHBand="0" w:evenHBand="0" w:firstRowFirstColumn="0" w:firstRowLastColumn="0" w:lastRowFirstColumn="0" w:lastRowLastColumn="0"/>
              <w:rPr>
                <w:szCs w:val="20"/>
              </w:rPr>
            </w:pPr>
            <w:r w:rsidRPr="00AA22F2">
              <w:rPr>
                <w:szCs w:val="20"/>
              </w:rPr>
              <w:t>Temps cumulé de ralenti ; registres de maintenance</w:t>
            </w:r>
          </w:p>
        </w:tc>
        <w:tc>
          <w:tcPr>
            <w:tcW w:w="410" w:type="pct"/>
          </w:tcPr>
          <w:p w14:paraId="2F17D85F" w14:textId="5C5B7B5B" w:rsidR="006F7BC6" w:rsidRPr="00AA22F2" w:rsidRDefault="006F7BC6" w:rsidP="006F7BC6">
            <w:pPr>
              <w:cnfStyle w:val="000000000000" w:firstRow="0" w:lastRow="0" w:firstColumn="0" w:lastColumn="0" w:oddVBand="0" w:evenVBand="0" w:oddHBand="0" w:evenHBand="0" w:firstRowFirstColumn="0" w:firstRowLastColumn="0" w:lastRowFirstColumn="0" w:lastRowLastColumn="0"/>
              <w:rPr>
                <w:szCs w:val="20"/>
              </w:rPr>
            </w:pPr>
            <w:r w:rsidRPr="00AA22F2">
              <w:rPr>
                <w:szCs w:val="20"/>
              </w:rPr>
              <w:t>EPC et sous-traitants</w:t>
            </w:r>
          </w:p>
        </w:tc>
        <w:tc>
          <w:tcPr>
            <w:tcW w:w="433" w:type="pct"/>
          </w:tcPr>
          <w:p w14:paraId="2BCB328E" w14:textId="4F11DE5B" w:rsidR="006F7BC6" w:rsidRPr="00AA22F2" w:rsidRDefault="006F7BC6" w:rsidP="006F7BC6">
            <w:pPr>
              <w:cnfStyle w:val="000000000000" w:firstRow="0" w:lastRow="0" w:firstColumn="0" w:lastColumn="0" w:oddVBand="0" w:evenVBand="0" w:oddHBand="0" w:evenHBand="0" w:firstRowFirstColumn="0" w:firstRowLastColumn="0" w:lastRowFirstColumn="0" w:lastRowLastColumn="0"/>
              <w:rPr>
                <w:szCs w:val="20"/>
              </w:rPr>
            </w:pPr>
            <w:r w:rsidRPr="00AA22F2">
              <w:rPr>
                <w:szCs w:val="20"/>
              </w:rPr>
              <w:t>Bureau de contrôle / Consultant de supervision mandaté par l’ONDA</w:t>
            </w:r>
          </w:p>
        </w:tc>
        <w:tc>
          <w:tcPr>
            <w:tcW w:w="254" w:type="pct"/>
          </w:tcPr>
          <w:p w14:paraId="34AB0CC6" w14:textId="60DE1EB2" w:rsidR="006F7BC6" w:rsidRPr="00AA22F2" w:rsidRDefault="006F7BC6" w:rsidP="006F7BC6">
            <w:pPr>
              <w:cnfStyle w:val="000000000000" w:firstRow="0" w:lastRow="0" w:firstColumn="0" w:lastColumn="0" w:oddVBand="0" w:evenVBand="0" w:oddHBand="0" w:evenHBand="0" w:firstRowFirstColumn="0" w:firstRowLastColumn="0" w:lastRowFirstColumn="0" w:lastRowLastColumn="0"/>
              <w:rPr>
                <w:szCs w:val="20"/>
              </w:rPr>
            </w:pPr>
            <w:r w:rsidRPr="00AA22F2">
              <w:rPr>
                <w:szCs w:val="20"/>
              </w:rPr>
              <w:t>ONDA</w:t>
            </w:r>
          </w:p>
        </w:tc>
        <w:tc>
          <w:tcPr>
            <w:tcW w:w="395" w:type="pct"/>
          </w:tcPr>
          <w:p w14:paraId="2115E0A6" w14:textId="00AF47BB" w:rsidR="006F7BC6" w:rsidRPr="004637C7" w:rsidRDefault="006F7BC6" w:rsidP="006F7BC6">
            <w:pPr>
              <w:cnfStyle w:val="000000000000" w:firstRow="0" w:lastRow="0" w:firstColumn="0" w:lastColumn="0" w:oddVBand="0" w:evenVBand="0" w:oddHBand="0" w:evenHBand="0" w:firstRowFirstColumn="0" w:firstRowLastColumn="0" w:lastRowFirstColumn="0" w:lastRowLastColumn="0"/>
              <w:rPr>
                <w:szCs w:val="20"/>
              </w:rPr>
            </w:pPr>
            <w:r w:rsidRPr="00AA22F2">
              <w:rPr>
                <w:szCs w:val="20"/>
                <w:lang w:val="en-US"/>
              </w:rPr>
              <w:t>Continu (contrôles mensuels)</w:t>
            </w:r>
          </w:p>
        </w:tc>
        <w:tc>
          <w:tcPr>
            <w:tcW w:w="940" w:type="pct"/>
          </w:tcPr>
          <w:p w14:paraId="5F57F62D" w14:textId="508276BF" w:rsidR="006F7BC6" w:rsidRPr="00AA22F2" w:rsidRDefault="00BA4ABF" w:rsidP="006F7BC6">
            <w:pPr>
              <w:cnfStyle w:val="000000000000" w:firstRow="0" w:lastRow="0" w:firstColumn="0" w:lastColumn="0" w:oddVBand="0" w:evenVBand="0" w:oddHBand="0" w:evenHBand="0" w:firstRowFirstColumn="0" w:firstRowLastColumn="0" w:lastRowFirstColumn="0" w:lastRowLastColumn="0"/>
              <w:rPr>
                <w:szCs w:val="20"/>
              </w:rPr>
            </w:pPr>
            <w:r w:rsidRPr="00BA4ABF">
              <w:rPr>
                <w:szCs w:val="20"/>
              </w:rPr>
              <w:t>≈ 12 000 – 13 000 MAD (forfait)</w:t>
            </w:r>
            <w:r>
              <w:rPr>
                <w:szCs w:val="20"/>
              </w:rPr>
              <w:t xml:space="preserve"> - </w:t>
            </w:r>
            <w:r w:rsidRPr="00BA4ABF">
              <w:rPr>
                <w:szCs w:val="20"/>
              </w:rPr>
              <w:t>Ce coût couvre la sensibilisation, signalétique et maintenance environnementale minimale. Il n’inclut pas les entretiens mécaniques réguliers déjà budgétés par l’EPC, mais uniquement le volet environnemental additionnel (surveillance, documentation, formation).</w:t>
            </w:r>
          </w:p>
        </w:tc>
      </w:tr>
      <w:tr w:rsidR="00AD4DBE" w:rsidRPr="00B3062D" w14:paraId="1BCE9169" w14:textId="77777777" w:rsidTr="008065E2">
        <w:tc>
          <w:tcPr>
            <w:cnfStyle w:val="001000000000" w:firstRow="0" w:lastRow="0" w:firstColumn="1" w:lastColumn="0" w:oddVBand="0" w:evenVBand="0" w:oddHBand="0" w:evenHBand="0" w:firstRowFirstColumn="0" w:firstRowLastColumn="0" w:lastRowFirstColumn="0" w:lastRowLastColumn="0"/>
            <w:tcW w:w="537" w:type="pct"/>
            <w:vMerge/>
          </w:tcPr>
          <w:p w14:paraId="33E2D968" w14:textId="77777777" w:rsidR="00AD4DBE" w:rsidRPr="00AA22F2" w:rsidRDefault="00AD4DBE" w:rsidP="00AD4DBE">
            <w:pPr>
              <w:rPr>
                <w:szCs w:val="20"/>
              </w:rPr>
            </w:pPr>
          </w:p>
        </w:tc>
        <w:tc>
          <w:tcPr>
            <w:tcW w:w="481" w:type="pct"/>
          </w:tcPr>
          <w:p w14:paraId="20BB44FF" w14:textId="683CD438" w:rsidR="00AD4DBE" w:rsidRPr="004637C7" w:rsidRDefault="00AD4DBE" w:rsidP="00AD4DBE">
            <w:pPr>
              <w:cnfStyle w:val="000000000000" w:firstRow="0" w:lastRow="0" w:firstColumn="0" w:lastColumn="0" w:oddVBand="0" w:evenVBand="0" w:oddHBand="0" w:evenHBand="0" w:firstRowFirstColumn="0" w:firstRowLastColumn="0" w:lastRowFirstColumn="0" w:lastRowLastColumn="0"/>
              <w:rPr>
                <w:szCs w:val="20"/>
              </w:rPr>
            </w:pPr>
            <w:r w:rsidRPr="00BC1745">
              <w:rPr>
                <w:szCs w:val="20"/>
                <w:lang w:val="en-US"/>
              </w:rPr>
              <w:t>Rédu</w:t>
            </w:r>
            <w:r>
              <w:rPr>
                <w:szCs w:val="20"/>
                <w:lang w:val="en-US"/>
              </w:rPr>
              <w:t>ire</w:t>
            </w:r>
          </w:p>
        </w:tc>
        <w:tc>
          <w:tcPr>
            <w:tcW w:w="952" w:type="pct"/>
          </w:tcPr>
          <w:p w14:paraId="4B52B8C9" w14:textId="75944E92" w:rsidR="00AD4DBE" w:rsidRPr="00AA22F2" w:rsidRDefault="00AD4DBE" w:rsidP="00AD4DBE">
            <w:pPr>
              <w:cnfStyle w:val="000000000000" w:firstRow="0" w:lastRow="0" w:firstColumn="0" w:lastColumn="0" w:oddVBand="0" w:evenVBand="0" w:oddHBand="0" w:evenHBand="0" w:firstRowFirstColumn="0" w:firstRowLastColumn="0" w:lastRowFirstColumn="0" w:lastRowLastColumn="0"/>
              <w:rPr>
                <w:szCs w:val="20"/>
              </w:rPr>
            </w:pPr>
            <w:r w:rsidRPr="00AA22F2">
              <w:rPr>
                <w:szCs w:val="20"/>
              </w:rPr>
              <w:t xml:space="preserve">Dimensionner correctement et implanter les groupes électrogènes à distance des récepteurs sensibles, en tirant </w:t>
            </w:r>
            <w:r w:rsidRPr="00AA22F2">
              <w:rPr>
                <w:szCs w:val="20"/>
              </w:rPr>
              <w:lastRenderedPageBreak/>
              <w:t>parti de la dispersion au vent, afin de limiter l’exposition locale.</w:t>
            </w:r>
          </w:p>
        </w:tc>
        <w:tc>
          <w:tcPr>
            <w:tcW w:w="597" w:type="pct"/>
          </w:tcPr>
          <w:p w14:paraId="3F87E22B" w14:textId="2DF36A40" w:rsidR="00AD4DBE" w:rsidRPr="00AA22F2" w:rsidRDefault="00AD4DBE" w:rsidP="00AD4DBE">
            <w:pPr>
              <w:cnfStyle w:val="000000000000" w:firstRow="0" w:lastRow="0" w:firstColumn="0" w:lastColumn="0" w:oddVBand="0" w:evenVBand="0" w:oddHBand="0" w:evenHBand="0" w:firstRowFirstColumn="0" w:firstRowLastColumn="0" w:lastRowFirstColumn="0" w:lastRowLastColumn="0"/>
              <w:rPr>
                <w:szCs w:val="20"/>
              </w:rPr>
            </w:pPr>
            <w:r w:rsidRPr="00AA22F2">
              <w:rPr>
                <w:szCs w:val="20"/>
              </w:rPr>
              <w:lastRenderedPageBreak/>
              <w:t>Rapport puissance/charge ; conformité d’implantation</w:t>
            </w:r>
          </w:p>
        </w:tc>
        <w:tc>
          <w:tcPr>
            <w:tcW w:w="410" w:type="pct"/>
          </w:tcPr>
          <w:p w14:paraId="5AFC5BB8" w14:textId="52958A64" w:rsidR="00AD4DBE" w:rsidRPr="00AA22F2" w:rsidRDefault="00AD4DBE" w:rsidP="00AD4DBE">
            <w:pPr>
              <w:cnfStyle w:val="000000000000" w:firstRow="0" w:lastRow="0" w:firstColumn="0" w:lastColumn="0" w:oddVBand="0" w:evenVBand="0" w:oddHBand="0" w:evenHBand="0" w:firstRowFirstColumn="0" w:firstRowLastColumn="0" w:lastRowFirstColumn="0" w:lastRowLastColumn="0"/>
              <w:rPr>
                <w:szCs w:val="20"/>
              </w:rPr>
            </w:pPr>
            <w:r w:rsidRPr="00AA22F2">
              <w:rPr>
                <w:szCs w:val="20"/>
              </w:rPr>
              <w:t>EPC et sous-traitants</w:t>
            </w:r>
          </w:p>
        </w:tc>
        <w:tc>
          <w:tcPr>
            <w:tcW w:w="433" w:type="pct"/>
          </w:tcPr>
          <w:p w14:paraId="37A496E6" w14:textId="7B8C25D1" w:rsidR="00AD4DBE" w:rsidRPr="00AA22F2" w:rsidRDefault="00AD4DBE" w:rsidP="00AD4DBE">
            <w:pPr>
              <w:cnfStyle w:val="000000000000" w:firstRow="0" w:lastRow="0" w:firstColumn="0" w:lastColumn="0" w:oddVBand="0" w:evenVBand="0" w:oddHBand="0" w:evenHBand="0" w:firstRowFirstColumn="0" w:firstRowLastColumn="0" w:lastRowFirstColumn="0" w:lastRowLastColumn="0"/>
              <w:rPr>
                <w:szCs w:val="20"/>
              </w:rPr>
            </w:pPr>
            <w:r w:rsidRPr="00AA22F2">
              <w:rPr>
                <w:szCs w:val="20"/>
              </w:rPr>
              <w:t xml:space="preserve">Bureau de contrôle / Consultant de </w:t>
            </w:r>
            <w:r w:rsidRPr="00AA22F2">
              <w:rPr>
                <w:szCs w:val="20"/>
              </w:rPr>
              <w:lastRenderedPageBreak/>
              <w:t>supervision mandaté par l’ONDA</w:t>
            </w:r>
          </w:p>
        </w:tc>
        <w:tc>
          <w:tcPr>
            <w:tcW w:w="254" w:type="pct"/>
          </w:tcPr>
          <w:p w14:paraId="1E308EBD" w14:textId="43DCEEAD" w:rsidR="00AD4DBE" w:rsidRPr="00AA22F2" w:rsidRDefault="00AD4DBE" w:rsidP="00AD4DBE">
            <w:pPr>
              <w:cnfStyle w:val="000000000000" w:firstRow="0" w:lastRow="0" w:firstColumn="0" w:lastColumn="0" w:oddVBand="0" w:evenVBand="0" w:oddHBand="0" w:evenHBand="0" w:firstRowFirstColumn="0" w:firstRowLastColumn="0" w:lastRowFirstColumn="0" w:lastRowLastColumn="0"/>
              <w:rPr>
                <w:szCs w:val="20"/>
              </w:rPr>
            </w:pPr>
            <w:r w:rsidRPr="00AA22F2">
              <w:rPr>
                <w:szCs w:val="20"/>
              </w:rPr>
              <w:lastRenderedPageBreak/>
              <w:t>ONDA</w:t>
            </w:r>
          </w:p>
        </w:tc>
        <w:tc>
          <w:tcPr>
            <w:tcW w:w="395" w:type="pct"/>
          </w:tcPr>
          <w:p w14:paraId="47E0AC8C" w14:textId="6F41F7FC" w:rsidR="00AD4DBE" w:rsidRPr="004637C7" w:rsidRDefault="00AD4DBE" w:rsidP="00AD4DBE">
            <w:pPr>
              <w:cnfStyle w:val="000000000000" w:firstRow="0" w:lastRow="0" w:firstColumn="0" w:lastColumn="0" w:oddVBand="0" w:evenVBand="0" w:oddHBand="0" w:evenHBand="0" w:firstRowFirstColumn="0" w:firstRowLastColumn="0" w:lastRowFirstColumn="0" w:lastRowLastColumn="0"/>
              <w:rPr>
                <w:szCs w:val="20"/>
              </w:rPr>
            </w:pPr>
            <w:r w:rsidRPr="00AA22F2">
              <w:rPr>
                <w:szCs w:val="20"/>
                <w:lang w:val="en-US"/>
              </w:rPr>
              <w:t>Avant démarrage</w:t>
            </w:r>
          </w:p>
        </w:tc>
        <w:tc>
          <w:tcPr>
            <w:tcW w:w="940" w:type="pct"/>
          </w:tcPr>
          <w:p w14:paraId="11484011" w14:textId="38124ADD" w:rsidR="00AD4DBE" w:rsidRPr="00AA22F2" w:rsidRDefault="00F356BA" w:rsidP="00AD4DBE">
            <w:pPr>
              <w:cnfStyle w:val="000000000000" w:firstRow="0" w:lastRow="0" w:firstColumn="0" w:lastColumn="0" w:oddVBand="0" w:evenVBand="0" w:oddHBand="0" w:evenHBand="0" w:firstRowFirstColumn="0" w:firstRowLastColumn="0" w:lastRowFirstColumn="0" w:lastRowLastColumn="0"/>
              <w:rPr>
                <w:szCs w:val="20"/>
              </w:rPr>
            </w:pPr>
            <w:r w:rsidRPr="00F356BA">
              <w:rPr>
                <w:szCs w:val="20"/>
              </w:rPr>
              <w:t>≈ 7 000 – 9 000 MAD (forfait)</w:t>
            </w:r>
            <w:r>
              <w:rPr>
                <w:szCs w:val="20"/>
              </w:rPr>
              <w:t xml:space="preserve"> - </w:t>
            </w:r>
            <w:r w:rsidRPr="00F356BA">
              <w:rPr>
                <w:szCs w:val="20"/>
              </w:rPr>
              <w:t xml:space="preserve">Le coût principal du groupe électrogène (achat/location, </w:t>
            </w:r>
            <w:r w:rsidRPr="00F356BA">
              <w:rPr>
                <w:szCs w:val="20"/>
              </w:rPr>
              <w:lastRenderedPageBreak/>
              <w:t>maintenance) reste inclus dans le budget de base du chantier. La valeur ci-dessus représente uniquement le coût environnemental additionnel lié à la mitigation (distance, orientation, plots, silencieux).</w:t>
            </w:r>
          </w:p>
        </w:tc>
      </w:tr>
      <w:tr w:rsidR="006F7BC6" w:rsidRPr="00B3062D" w14:paraId="60EC4464" w14:textId="77777777" w:rsidTr="008065E2">
        <w:tc>
          <w:tcPr>
            <w:cnfStyle w:val="001000000000" w:firstRow="0" w:lastRow="0" w:firstColumn="1" w:lastColumn="0" w:oddVBand="0" w:evenVBand="0" w:oddHBand="0" w:evenHBand="0" w:firstRowFirstColumn="0" w:firstRowLastColumn="0" w:lastRowFirstColumn="0" w:lastRowLastColumn="0"/>
            <w:tcW w:w="537" w:type="pct"/>
            <w:vMerge/>
          </w:tcPr>
          <w:p w14:paraId="7583BFE9" w14:textId="77777777" w:rsidR="006F7BC6" w:rsidRPr="00AA22F2" w:rsidRDefault="006F7BC6" w:rsidP="006F7BC6">
            <w:pPr>
              <w:rPr>
                <w:szCs w:val="20"/>
              </w:rPr>
            </w:pPr>
          </w:p>
        </w:tc>
        <w:tc>
          <w:tcPr>
            <w:tcW w:w="481" w:type="pct"/>
          </w:tcPr>
          <w:p w14:paraId="5A664EBF" w14:textId="7B64A5E0" w:rsidR="006F7BC6" w:rsidRPr="004637C7" w:rsidRDefault="006F7BC6" w:rsidP="006F7BC6">
            <w:pPr>
              <w:cnfStyle w:val="000000000000" w:firstRow="0" w:lastRow="0" w:firstColumn="0" w:lastColumn="0" w:oddVBand="0" w:evenVBand="0" w:oddHBand="0" w:evenHBand="0" w:firstRowFirstColumn="0" w:firstRowLastColumn="0" w:lastRowFirstColumn="0" w:lastRowLastColumn="0"/>
              <w:rPr>
                <w:szCs w:val="20"/>
              </w:rPr>
            </w:pPr>
            <w:r w:rsidRPr="00AA22F2">
              <w:rPr>
                <w:szCs w:val="20"/>
                <w:lang w:val="en-US"/>
              </w:rPr>
              <w:t>Atténu</w:t>
            </w:r>
            <w:r w:rsidR="00AD4DBE">
              <w:rPr>
                <w:szCs w:val="20"/>
                <w:lang w:val="en-US"/>
              </w:rPr>
              <w:t>er</w:t>
            </w:r>
          </w:p>
        </w:tc>
        <w:tc>
          <w:tcPr>
            <w:tcW w:w="952" w:type="pct"/>
          </w:tcPr>
          <w:p w14:paraId="21E7CE07" w14:textId="55971C44" w:rsidR="006F7BC6" w:rsidRPr="00AA22F2" w:rsidRDefault="006F7BC6" w:rsidP="006F7BC6">
            <w:pPr>
              <w:cnfStyle w:val="000000000000" w:firstRow="0" w:lastRow="0" w:firstColumn="0" w:lastColumn="0" w:oddVBand="0" w:evenVBand="0" w:oddHBand="0" w:evenHBand="0" w:firstRowFirstColumn="0" w:firstRowLastColumn="0" w:lastRowFirstColumn="0" w:lastRowLastColumn="0"/>
              <w:rPr>
                <w:szCs w:val="20"/>
              </w:rPr>
            </w:pPr>
            <w:r w:rsidRPr="00AA22F2">
              <w:rPr>
                <w:szCs w:val="20"/>
              </w:rPr>
              <w:t>Mettre en œuvre un plan de circulation interne (voies dédiées, sens uniques, limitations de vitesse) pour limiter les accélérations et la remise en suspension secondaire.</w:t>
            </w:r>
          </w:p>
        </w:tc>
        <w:tc>
          <w:tcPr>
            <w:tcW w:w="597" w:type="pct"/>
          </w:tcPr>
          <w:p w14:paraId="54D7B7CF" w14:textId="6E3FD1F8" w:rsidR="006F7BC6" w:rsidRPr="00AA22F2" w:rsidRDefault="006F7BC6" w:rsidP="006F7BC6">
            <w:pPr>
              <w:cnfStyle w:val="000000000000" w:firstRow="0" w:lastRow="0" w:firstColumn="0" w:lastColumn="0" w:oddVBand="0" w:evenVBand="0" w:oddHBand="0" w:evenHBand="0" w:firstRowFirstColumn="0" w:firstRowLastColumn="0" w:lastRowFirstColumn="0" w:lastRowLastColumn="0"/>
              <w:rPr>
                <w:szCs w:val="20"/>
              </w:rPr>
            </w:pPr>
            <w:r w:rsidRPr="00AA22F2">
              <w:rPr>
                <w:szCs w:val="20"/>
              </w:rPr>
              <w:t>% de conformité au plan ; vitesses constatées</w:t>
            </w:r>
          </w:p>
        </w:tc>
        <w:tc>
          <w:tcPr>
            <w:tcW w:w="410" w:type="pct"/>
          </w:tcPr>
          <w:p w14:paraId="72B37529" w14:textId="49C3C0DB" w:rsidR="006F7BC6" w:rsidRPr="00AA22F2" w:rsidRDefault="006F7BC6" w:rsidP="006F7BC6">
            <w:pPr>
              <w:cnfStyle w:val="000000000000" w:firstRow="0" w:lastRow="0" w:firstColumn="0" w:lastColumn="0" w:oddVBand="0" w:evenVBand="0" w:oddHBand="0" w:evenHBand="0" w:firstRowFirstColumn="0" w:firstRowLastColumn="0" w:lastRowFirstColumn="0" w:lastRowLastColumn="0"/>
              <w:rPr>
                <w:szCs w:val="20"/>
              </w:rPr>
            </w:pPr>
            <w:r w:rsidRPr="00AA22F2">
              <w:rPr>
                <w:szCs w:val="20"/>
              </w:rPr>
              <w:t>EPC et sous-traitants</w:t>
            </w:r>
          </w:p>
        </w:tc>
        <w:tc>
          <w:tcPr>
            <w:tcW w:w="433" w:type="pct"/>
          </w:tcPr>
          <w:p w14:paraId="1AB8107E" w14:textId="4A93BE2F" w:rsidR="006F7BC6" w:rsidRPr="00AA22F2" w:rsidRDefault="006F7BC6" w:rsidP="006F7BC6">
            <w:pPr>
              <w:cnfStyle w:val="000000000000" w:firstRow="0" w:lastRow="0" w:firstColumn="0" w:lastColumn="0" w:oddVBand="0" w:evenVBand="0" w:oddHBand="0" w:evenHBand="0" w:firstRowFirstColumn="0" w:firstRowLastColumn="0" w:lastRowFirstColumn="0" w:lastRowLastColumn="0"/>
              <w:rPr>
                <w:szCs w:val="20"/>
              </w:rPr>
            </w:pPr>
            <w:r w:rsidRPr="00AA22F2">
              <w:rPr>
                <w:szCs w:val="20"/>
              </w:rPr>
              <w:t>Bureau de contrôle / Consultant de supervision mandaté par l’ONDA</w:t>
            </w:r>
          </w:p>
        </w:tc>
        <w:tc>
          <w:tcPr>
            <w:tcW w:w="254" w:type="pct"/>
          </w:tcPr>
          <w:p w14:paraId="1D275D26" w14:textId="2E3E6F96" w:rsidR="006F7BC6" w:rsidRPr="00AA22F2" w:rsidRDefault="006F7BC6" w:rsidP="006F7BC6">
            <w:pPr>
              <w:cnfStyle w:val="000000000000" w:firstRow="0" w:lastRow="0" w:firstColumn="0" w:lastColumn="0" w:oddVBand="0" w:evenVBand="0" w:oddHBand="0" w:evenHBand="0" w:firstRowFirstColumn="0" w:firstRowLastColumn="0" w:lastRowFirstColumn="0" w:lastRowLastColumn="0"/>
              <w:rPr>
                <w:szCs w:val="20"/>
              </w:rPr>
            </w:pPr>
            <w:r w:rsidRPr="00AA22F2">
              <w:rPr>
                <w:szCs w:val="20"/>
              </w:rPr>
              <w:t>ONDA</w:t>
            </w:r>
          </w:p>
        </w:tc>
        <w:tc>
          <w:tcPr>
            <w:tcW w:w="395" w:type="pct"/>
          </w:tcPr>
          <w:p w14:paraId="0A2D3733" w14:textId="5D67756C" w:rsidR="006F7BC6" w:rsidRPr="004637C7" w:rsidRDefault="006F7BC6" w:rsidP="006F7BC6">
            <w:pPr>
              <w:cnfStyle w:val="000000000000" w:firstRow="0" w:lastRow="0" w:firstColumn="0" w:lastColumn="0" w:oddVBand="0" w:evenVBand="0" w:oddHBand="0" w:evenHBand="0" w:firstRowFirstColumn="0" w:firstRowLastColumn="0" w:lastRowFirstColumn="0" w:lastRowLastColumn="0"/>
              <w:rPr>
                <w:szCs w:val="20"/>
              </w:rPr>
            </w:pPr>
            <w:r w:rsidRPr="00AA22F2">
              <w:rPr>
                <w:szCs w:val="20"/>
                <w:lang w:val="en-US"/>
              </w:rPr>
              <w:t>Continu</w:t>
            </w:r>
          </w:p>
        </w:tc>
        <w:tc>
          <w:tcPr>
            <w:tcW w:w="940" w:type="pct"/>
          </w:tcPr>
          <w:p w14:paraId="03AB6271" w14:textId="30CED315" w:rsidR="006F7BC6" w:rsidRPr="00AA22F2" w:rsidRDefault="00D43AA8" w:rsidP="006F7BC6">
            <w:pPr>
              <w:cnfStyle w:val="000000000000" w:firstRow="0" w:lastRow="0" w:firstColumn="0" w:lastColumn="0" w:oddVBand="0" w:evenVBand="0" w:oddHBand="0" w:evenHBand="0" w:firstRowFirstColumn="0" w:firstRowLastColumn="0" w:lastRowFirstColumn="0" w:lastRowLastColumn="0"/>
              <w:rPr>
                <w:szCs w:val="20"/>
              </w:rPr>
            </w:pPr>
            <w:r w:rsidRPr="00D43AA8">
              <w:rPr>
                <w:szCs w:val="20"/>
              </w:rPr>
              <w:t>≈ 10 000 – 12 000 MAD (forfait)</w:t>
            </w:r>
            <w:r>
              <w:rPr>
                <w:szCs w:val="20"/>
              </w:rPr>
              <w:t xml:space="preserve"> - </w:t>
            </w:r>
            <w:r w:rsidRPr="00D43AA8">
              <w:rPr>
                <w:szCs w:val="20"/>
              </w:rPr>
              <w:t>Coût basé sur les prix unitaires de signalisation temporaire et intégrant la fourniture et pose de 15 panneaux, marquage de 100 ml et affichage du plan HSE.</w:t>
            </w:r>
          </w:p>
        </w:tc>
      </w:tr>
      <w:tr w:rsidR="006F7BC6" w:rsidRPr="00B3062D" w14:paraId="54B7F31A" w14:textId="77777777" w:rsidTr="008065E2">
        <w:tc>
          <w:tcPr>
            <w:cnfStyle w:val="001000000000" w:firstRow="0" w:lastRow="0" w:firstColumn="1" w:lastColumn="0" w:oddVBand="0" w:evenVBand="0" w:oddHBand="0" w:evenHBand="0" w:firstRowFirstColumn="0" w:firstRowLastColumn="0" w:lastRowFirstColumn="0" w:lastRowLastColumn="0"/>
            <w:tcW w:w="537" w:type="pct"/>
            <w:vMerge/>
          </w:tcPr>
          <w:p w14:paraId="6308AB22" w14:textId="77777777" w:rsidR="006F7BC6" w:rsidRPr="00AA22F2" w:rsidRDefault="006F7BC6" w:rsidP="006F7BC6">
            <w:pPr>
              <w:rPr>
                <w:szCs w:val="20"/>
              </w:rPr>
            </w:pPr>
          </w:p>
        </w:tc>
        <w:tc>
          <w:tcPr>
            <w:tcW w:w="481" w:type="pct"/>
          </w:tcPr>
          <w:p w14:paraId="5E9A2C63" w14:textId="687ACD42" w:rsidR="006F7BC6" w:rsidRPr="004637C7" w:rsidRDefault="006F7BC6" w:rsidP="006F7BC6">
            <w:pPr>
              <w:cnfStyle w:val="000000000000" w:firstRow="0" w:lastRow="0" w:firstColumn="0" w:lastColumn="0" w:oddVBand="0" w:evenVBand="0" w:oddHBand="0" w:evenHBand="0" w:firstRowFirstColumn="0" w:firstRowLastColumn="0" w:lastRowFirstColumn="0" w:lastRowLastColumn="0"/>
              <w:rPr>
                <w:szCs w:val="20"/>
              </w:rPr>
            </w:pPr>
            <w:r w:rsidRPr="00AA22F2">
              <w:rPr>
                <w:szCs w:val="20"/>
                <w:lang w:val="en-US"/>
              </w:rPr>
              <w:t>Atténu</w:t>
            </w:r>
            <w:r w:rsidR="00AD4DBE">
              <w:rPr>
                <w:szCs w:val="20"/>
                <w:lang w:val="en-US"/>
              </w:rPr>
              <w:t>er</w:t>
            </w:r>
          </w:p>
        </w:tc>
        <w:tc>
          <w:tcPr>
            <w:tcW w:w="952" w:type="pct"/>
          </w:tcPr>
          <w:p w14:paraId="5BA5C787" w14:textId="1484995E" w:rsidR="006F7BC6" w:rsidRPr="00AA22F2" w:rsidRDefault="006F7BC6" w:rsidP="006F7BC6">
            <w:pPr>
              <w:cnfStyle w:val="000000000000" w:firstRow="0" w:lastRow="0" w:firstColumn="0" w:lastColumn="0" w:oddVBand="0" w:evenVBand="0" w:oddHBand="0" w:evenHBand="0" w:firstRowFirstColumn="0" w:firstRowLastColumn="0" w:lastRowFirstColumn="0" w:lastRowLastColumn="0"/>
              <w:rPr>
                <w:szCs w:val="20"/>
              </w:rPr>
            </w:pPr>
            <w:r w:rsidRPr="00AA22F2">
              <w:rPr>
                <w:szCs w:val="20"/>
              </w:rPr>
              <w:t>Réaliser, si nécessaire, des campagnes d’ambiance ciblées (NO2/PM) près des récepteurs sensibles</w:t>
            </w:r>
          </w:p>
        </w:tc>
        <w:tc>
          <w:tcPr>
            <w:tcW w:w="597" w:type="pct"/>
          </w:tcPr>
          <w:p w14:paraId="01E45FA9" w14:textId="21670431" w:rsidR="006F7BC6" w:rsidRPr="00AA22F2" w:rsidRDefault="006F7BC6" w:rsidP="006F7BC6">
            <w:pPr>
              <w:cnfStyle w:val="000000000000" w:firstRow="0" w:lastRow="0" w:firstColumn="0" w:lastColumn="0" w:oddVBand="0" w:evenVBand="0" w:oddHBand="0" w:evenHBand="0" w:firstRowFirstColumn="0" w:firstRowLastColumn="0" w:lastRowFirstColumn="0" w:lastRowLastColumn="0"/>
              <w:rPr>
                <w:szCs w:val="20"/>
              </w:rPr>
            </w:pPr>
            <w:r w:rsidRPr="00AA22F2">
              <w:rPr>
                <w:szCs w:val="20"/>
              </w:rPr>
              <w:t>Nombre de campagnes ; tendances NO2/PM</w:t>
            </w:r>
          </w:p>
        </w:tc>
        <w:tc>
          <w:tcPr>
            <w:tcW w:w="410" w:type="pct"/>
          </w:tcPr>
          <w:p w14:paraId="3136932A" w14:textId="10332D60" w:rsidR="006F7BC6" w:rsidRPr="00AA22F2" w:rsidRDefault="001F72B9" w:rsidP="006F7BC6">
            <w:pPr>
              <w:cnfStyle w:val="000000000000" w:firstRow="0" w:lastRow="0" w:firstColumn="0" w:lastColumn="0" w:oddVBand="0" w:evenVBand="0" w:oddHBand="0" w:evenHBand="0" w:firstRowFirstColumn="0" w:firstRowLastColumn="0" w:lastRowFirstColumn="0" w:lastRowLastColumn="0"/>
              <w:rPr>
                <w:szCs w:val="20"/>
              </w:rPr>
            </w:pPr>
            <w:r w:rsidRPr="00AA22F2">
              <w:rPr>
                <w:szCs w:val="20"/>
              </w:rPr>
              <w:t>Laboratoire agréé /</w:t>
            </w:r>
            <w:r w:rsidR="006F7BC6" w:rsidRPr="00AA22F2">
              <w:rPr>
                <w:szCs w:val="20"/>
              </w:rPr>
              <w:t>EPC et sous-traitants</w:t>
            </w:r>
          </w:p>
        </w:tc>
        <w:tc>
          <w:tcPr>
            <w:tcW w:w="433" w:type="pct"/>
          </w:tcPr>
          <w:p w14:paraId="74DC9017" w14:textId="20F3E346" w:rsidR="006F7BC6" w:rsidRPr="00AA22F2" w:rsidRDefault="006F7BC6" w:rsidP="006F7BC6">
            <w:pPr>
              <w:cnfStyle w:val="000000000000" w:firstRow="0" w:lastRow="0" w:firstColumn="0" w:lastColumn="0" w:oddVBand="0" w:evenVBand="0" w:oddHBand="0" w:evenHBand="0" w:firstRowFirstColumn="0" w:firstRowLastColumn="0" w:lastRowFirstColumn="0" w:lastRowLastColumn="0"/>
              <w:rPr>
                <w:szCs w:val="20"/>
              </w:rPr>
            </w:pPr>
            <w:r w:rsidRPr="00AA22F2">
              <w:rPr>
                <w:szCs w:val="20"/>
              </w:rPr>
              <w:t>Bureau de contrôle / Consultant de supervision mandaté par l’ONDA</w:t>
            </w:r>
          </w:p>
        </w:tc>
        <w:tc>
          <w:tcPr>
            <w:tcW w:w="254" w:type="pct"/>
          </w:tcPr>
          <w:p w14:paraId="5FECD168" w14:textId="6CE95EDA" w:rsidR="006F7BC6" w:rsidRPr="00AA22F2" w:rsidRDefault="006F7BC6" w:rsidP="006F7BC6">
            <w:pPr>
              <w:cnfStyle w:val="000000000000" w:firstRow="0" w:lastRow="0" w:firstColumn="0" w:lastColumn="0" w:oddVBand="0" w:evenVBand="0" w:oddHBand="0" w:evenHBand="0" w:firstRowFirstColumn="0" w:firstRowLastColumn="0" w:lastRowFirstColumn="0" w:lastRowLastColumn="0"/>
              <w:rPr>
                <w:szCs w:val="20"/>
              </w:rPr>
            </w:pPr>
            <w:r w:rsidRPr="00AA22F2">
              <w:rPr>
                <w:szCs w:val="20"/>
              </w:rPr>
              <w:t>ONDA</w:t>
            </w:r>
          </w:p>
        </w:tc>
        <w:tc>
          <w:tcPr>
            <w:tcW w:w="395" w:type="pct"/>
          </w:tcPr>
          <w:p w14:paraId="1B2A7666" w14:textId="49E945E8" w:rsidR="006F7BC6" w:rsidRPr="004637C7" w:rsidRDefault="006F7BC6" w:rsidP="006F7BC6">
            <w:pPr>
              <w:cnfStyle w:val="000000000000" w:firstRow="0" w:lastRow="0" w:firstColumn="0" w:lastColumn="0" w:oddVBand="0" w:evenVBand="0" w:oddHBand="0" w:evenHBand="0" w:firstRowFirstColumn="0" w:firstRowLastColumn="0" w:lastRowFirstColumn="0" w:lastRowLastColumn="0"/>
              <w:rPr>
                <w:szCs w:val="20"/>
              </w:rPr>
            </w:pPr>
            <w:r w:rsidRPr="00AA22F2">
              <w:rPr>
                <w:szCs w:val="20"/>
                <w:lang w:val="en-US"/>
              </w:rPr>
              <w:t>Mensuel ou ponctuel</w:t>
            </w:r>
          </w:p>
        </w:tc>
        <w:tc>
          <w:tcPr>
            <w:tcW w:w="940" w:type="pct"/>
          </w:tcPr>
          <w:p w14:paraId="10B3960C" w14:textId="09849B75" w:rsidR="006F7BC6" w:rsidRDefault="00A9076C" w:rsidP="006F7BC6">
            <w:pPr>
              <w:cnfStyle w:val="000000000000" w:firstRow="0" w:lastRow="0" w:firstColumn="0" w:lastColumn="0" w:oddVBand="0" w:evenVBand="0" w:oddHBand="0" w:evenHBand="0" w:firstRowFirstColumn="0" w:firstRowLastColumn="0" w:lastRowFirstColumn="0" w:lastRowLastColumn="0"/>
              <w:rPr>
                <w:szCs w:val="20"/>
              </w:rPr>
            </w:pPr>
            <w:r>
              <w:rPr>
                <w:szCs w:val="20"/>
              </w:rPr>
              <w:t>10000 MAD/Campagne</w:t>
            </w:r>
          </w:p>
          <w:p w14:paraId="0F1F7B00" w14:textId="77777777" w:rsidR="00A9076C" w:rsidRDefault="00A9076C" w:rsidP="006F7BC6">
            <w:pPr>
              <w:cnfStyle w:val="000000000000" w:firstRow="0" w:lastRow="0" w:firstColumn="0" w:lastColumn="0" w:oddVBand="0" w:evenVBand="0" w:oddHBand="0" w:evenHBand="0" w:firstRowFirstColumn="0" w:firstRowLastColumn="0" w:lastRowFirstColumn="0" w:lastRowLastColumn="0"/>
              <w:rPr>
                <w:szCs w:val="20"/>
              </w:rPr>
            </w:pPr>
            <w:r w:rsidRPr="00A9076C">
              <w:rPr>
                <w:szCs w:val="20"/>
              </w:rPr>
              <w:t xml:space="preserve">Campagne d’ambiance (NO₂, PM₁₀, PM₂.₅) à réaliser si des dépassements ou plaintes sont signalés. Le coût inclut l’installation du matériel, la mesure sur 24 </w:t>
            </w:r>
            <w:r w:rsidRPr="00A9076C">
              <w:rPr>
                <w:szCs w:val="20"/>
              </w:rPr>
              <w:lastRenderedPageBreak/>
              <w:t>h, l’analyse et le rapport interprétatif.</w:t>
            </w:r>
          </w:p>
          <w:p w14:paraId="470CE4F2" w14:textId="3A169358" w:rsidR="00A9076C" w:rsidRPr="00AA22F2" w:rsidRDefault="00A9076C" w:rsidP="006F7BC6">
            <w:pPr>
              <w:cnfStyle w:val="000000000000" w:firstRow="0" w:lastRow="0" w:firstColumn="0" w:lastColumn="0" w:oddVBand="0" w:evenVBand="0" w:oddHBand="0" w:evenHBand="0" w:firstRowFirstColumn="0" w:firstRowLastColumn="0" w:lastRowFirstColumn="0" w:lastRowLastColumn="0"/>
              <w:rPr>
                <w:szCs w:val="20"/>
              </w:rPr>
            </w:pPr>
            <w:r w:rsidRPr="00A9076C">
              <w:rPr>
                <w:szCs w:val="20"/>
              </w:rPr>
              <w:t>À activer uniquement en cas de dépassements persistants malgré les mesures de mitigation amont.</w:t>
            </w:r>
          </w:p>
        </w:tc>
      </w:tr>
      <w:tr w:rsidR="006F7BC6" w:rsidRPr="00B3062D" w14:paraId="5650BBE3" w14:textId="77777777" w:rsidTr="008065E2">
        <w:tc>
          <w:tcPr>
            <w:cnfStyle w:val="001000000000" w:firstRow="0" w:lastRow="0" w:firstColumn="1" w:lastColumn="0" w:oddVBand="0" w:evenVBand="0" w:oddHBand="0" w:evenHBand="0" w:firstRowFirstColumn="0" w:firstRowLastColumn="0" w:lastRowFirstColumn="0" w:lastRowLastColumn="0"/>
            <w:tcW w:w="537" w:type="pct"/>
            <w:vMerge/>
          </w:tcPr>
          <w:p w14:paraId="2FF60875" w14:textId="77777777" w:rsidR="006F7BC6" w:rsidRPr="00AA22F2" w:rsidRDefault="006F7BC6" w:rsidP="006F7BC6">
            <w:pPr>
              <w:rPr>
                <w:szCs w:val="20"/>
              </w:rPr>
            </w:pPr>
          </w:p>
        </w:tc>
        <w:tc>
          <w:tcPr>
            <w:tcW w:w="481" w:type="pct"/>
          </w:tcPr>
          <w:p w14:paraId="0CAF4C72" w14:textId="2C7A22D1" w:rsidR="006F7BC6" w:rsidRPr="004637C7" w:rsidRDefault="006F7BC6" w:rsidP="006F7BC6">
            <w:pPr>
              <w:cnfStyle w:val="000000000000" w:firstRow="0" w:lastRow="0" w:firstColumn="0" w:lastColumn="0" w:oddVBand="0" w:evenVBand="0" w:oddHBand="0" w:evenHBand="0" w:firstRowFirstColumn="0" w:firstRowLastColumn="0" w:lastRowFirstColumn="0" w:lastRowLastColumn="0"/>
              <w:rPr>
                <w:szCs w:val="20"/>
              </w:rPr>
            </w:pPr>
            <w:r w:rsidRPr="00AA22F2">
              <w:rPr>
                <w:szCs w:val="20"/>
                <w:lang w:val="en-US"/>
              </w:rPr>
              <w:t>Restaur</w:t>
            </w:r>
            <w:r w:rsidR="00AD4DBE">
              <w:rPr>
                <w:szCs w:val="20"/>
                <w:lang w:val="en-US"/>
              </w:rPr>
              <w:t>er</w:t>
            </w:r>
          </w:p>
        </w:tc>
        <w:tc>
          <w:tcPr>
            <w:tcW w:w="952" w:type="pct"/>
          </w:tcPr>
          <w:p w14:paraId="3C146005" w14:textId="0797A9CA" w:rsidR="006F7BC6" w:rsidRPr="00AA22F2" w:rsidRDefault="006F7BC6" w:rsidP="006F7BC6">
            <w:pPr>
              <w:cnfStyle w:val="000000000000" w:firstRow="0" w:lastRow="0" w:firstColumn="0" w:lastColumn="0" w:oddVBand="0" w:evenVBand="0" w:oddHBand="0" w:evenHBand="0" w:firstRowFirstColumn="0" w:firstRowLastColumn="0" w:lastRowFirstColumn="0" w:lastRowLastColumn="0"/>
              <w:rPr>
                <w:szCs w:val="20"/>
              </w:rPr>
            </w:pPr>
            <w:r w:rsidRPr="00AA22F2">
              <w:rPr>
                <w:szCs w:val="20"/>
              </w:rPr>
              <w:t>Nettoyer régulièrement les aires de manœuvre et de stationnement afin de limiter la remise en suspension secondaire des particules.</w:t>
            </w:r>
          </w:p>
        </w:tc>
        <w:tc>
          <w:tcPr>
            <w:tcW w:w="597" w:type="pct"/>
          </w:tcPr>
          <w:p w14:paraId="74B478E7" w14:textId="08189143" w:rsidR="006F7BC6" w:rsidRPr="00AA22F2" w:rsidRDefault="006F7BC6" w:rsidP="006F7BC6">
            <w:pPr>
              <w:cnfStyle w:val="000000000000" w:firstRow="0" w:lastRow="0" w:firstColumn="0" w:lastColumn="0" w:oddVBand="0" w:evenVBand="0" w:oddHBand="0" w:evenHBand="0" w:firstRowFirstColumn="0" w:firstRowLastColumn="0" w:lastRowFirstColumn="0" w:lastRowLastColumn="0"/>
              <w:rPr>
                <w:szCs w:val="20"/>
              </w:rPr>
            </w:pPr>
            <w:r w:rsidRPr="00AA22F2">
              <w:rPr>
                <w:szCs w:val="20"/>
                <w:lang w:val="en-US"/>
              </w:rPr>
              <w:t>m² nettoyés/semaine</w:t>
            </w:r>
          </w:p>
        </w:tc>
        <w:tc>
          <w:tcPr>
            <w:tcW w:w="410" w:type="pct"/>
          </w:tcPr>
          <w:p w14:paraId="4A8F34FF" w14:textId="35A6F5C4" w:rsidR="006F7BC6" w:rsidRPr="00AA22F2" w:rsidRDefault="006F7BC6" w:rsidP="006F7BC6">
            <w:pPr>
              <w:cnfStyle w:val="000000000000" w:firstRow="0" w:lastRow="0" w:firstColumn="0" w:lastColumn="0" w:oddVBand="0" w:evenVBand="0" w:oddHBand="0" w:evenHBand="0" w:firstRowFirstColumn="0" w:firstRowLastColumn="0" w:lastRowFirstColumn="0" w:lastRowLastColumn="0"/>
              <w:rPr>
                <w:szCs w:val="20"/>
              </w:rPr>
            </w:pPr>
            <w:r w:rsidRPr="00AA22F2">
              <w:rPr>
                <w:szCs w:val="20"/>
              </w:rPr>
              <w:t>EPC et sous-traitants</w:t>
            </w:r>
          </w:p>
        </w:tc>
        <w:tc>
          <w:tcPr>
            <w:tcW w:w="433" w:type="pct"/>
          </w:tcPr>
          <w:p w14:paraId="67820555" w14:textId="4762B1DF" w:rsidR="006F7BC6" w:rsidRPr="00AA22F2" w:rsidRDefault="006F7BC6" w:rsidP="006F7BC6">
            <w:pPr>
              <w:cnfStyle w:val="000000000000" w:firstRow="0" w:lastRow="0" w:firstColumn="0" w:lastColumn="0" w:oddVBand="0" w:evenVBand="0" w:oddHBand="0" w:evenHBand="0" w:firstRowFirstColumn="0" w:firstRowLastColumn="0" w:lastRowFirstColumn="0" w:lastRowLastColumn="0"/>
              <w:rPr>
                <w:szCs w:val="20"/>
              </w:rPr>
            </w:pPr>
            <w:r w:rsidRPr="00AA22F2">
              <w:rPr>
                <w:szCs w:val="20"/>
              </w:rPr>
              <w:t>Bureau de contrôle / Consultant de supervision mandaté par l’ONDA</w:t>
            </w:r>
          </w:p>
        </w:tc>
        <w:tc>
          <w:tcPr>
            <w:tcW w:w="254" w:type="pct"/>
          </w:tcPr>
          <w:p w14:paraId="213BB9DB" w14:textId="48E80886" w:rsidR="006F7BC6" w:rsidRPr="00AA22F2" w:rsidRDefault="006F7BC6" w:rsidP="006F7BC6">
            <w:pPr>
              <w:cnfStyle w:val="000000000000" w:firstRow="0" w:lastRow="0" w:firstColumn="0" w:lastColumn="0" w:oddVBand="0" w:evenVBand="0" w:oddHBand="0" w:evenHBand="0" w:firstRowFirstColumn="0" w:firstRowLastColumn="0" w:lastRowFirstColumn="0" w:lastRowLastColumn="0"/>
              <w:rPr>
                <w:szCs w:val="20"/>
              </w:rPr>
            </w:pPr>
            <w:r w:rsidRPr="00AA22F2">
              <w:rPr>
                <w:szCs w:val="20"/>
              </w:rPr>
              <w:t>ONDA</w:t>
            </w:r>
          </w:p>
        </w:tc>
        <w:tc>
          <w:tcPr>
            <w:tcW w:w="395" w:type="pct"/>
          </w:tcPr>
          <w:p w14:paraId="0B55CF51" w14:textId="47297299" w:rsidR="006F7BC6" w:rsidRPr="004637C7" w:rsidRDefault="006F7BC6" w:rsidP="006F7BC6">
            <w:pPr>
              <w:cnfStyle w:val="000000000000" w:firstRow="0" w:lastRow="0" w:firstColumn="0" w:lastColumn="0" w:oddVBand="0" w:evenVBand="0" w:oddHBand="0" w:evenHBand="0" w:firstRowFirstColumn="0" w:firstRowLastColumn="0" w:lastRowFirstColumn="0" w:lastRowLastColumn="0"/>
              <w:rPr>
                <w:szCs w:val="20"/>
              </w:rPr>
            </w:pPr>
            <w:r w:rsidRPr="00AA22F2">
              <w:rPr>
                <w:szCs w:val="20"/>
                <w:lang w:val="en-US"/>
              </w:rPr>
              <w:t>Hebdomadaire</w:t>
            </w:r>
          </w:p>
        </w:tc>
        <w:tc>
          <w:tcPr>
            <w:tcW w:w="940" w:type="pct"/>
          </w:tcPr>
          <w:p w14:paraId="75FF1836" w14:textId="3F4C8E47" w:rsidR="006F7BC6" w:rsidRPr="00AA22F2" w:rsidRDefault="00DC6E82" w:rsidP="006F7BC6">
            <w:pPr>
              <w:cnfStyle w:val="000000000000" w:firstRow="0" w:lastRow="0" w:firstColumn="0" w:lastColumn="0" w:oddVBand="0" w:evenVBand="0" w:oddHBand="0" w:evenHBand="0" w:firstRowFirstColumn="0" w:firstRowLastColumn="0" w:lastRowFirstColumn="0" w:lastRowLastColumn="0"/>
              <w:rPr>
                <w:szCs w:val="20"/>
              </w:rPr>
            </w:pPr>
            <w:r w:rsidRPr="00DC6E82">
              <w:rPr>
                <w:szCs w:val="20"/>
              </w:rPr>
              <w:t>≈ 25 000 MAD/mois</w:t>
            </w:r>
            <w:r>
              <w:rPr>
                <w:szCs w:val="20"/>
              </w:rPr>
              <w:t xml:space="preserve"> - </w:t>
            </w:r>
            <w:r w:rsidRPr="00DC6E82">
              <w:rPr>
                <w:szCs w:val="20"/>
              </w:rPr>
              <w:t>Estimation basée sur un tarif moyen de 2 MAD/m²/intervention,</w:t>
            </w:r>
          </w:p>
        </w:tc>
      </w:tr>
      <w:tr w:rsidR="006F7BC6" w:rsidRPr="00B3062D" w14:paraId="528498B3" w14:textId="77777777" w:rsidTr="008065E2">
        <w:tc>
          <w:tcPr>
            <w:cnfStyle w:val="001000000000" w:firstRow="0" w:lastRow="0" w:firstColumn="1" w:lastColumn="0" w:oddVBand="0" w:evenVBand="0" w:oddHBand="0" w:evenHBand="0" w:firstRowFirstColumn="0" w:firstRowLastColumn="0" w:lastRowFirstColumn="0" w:lastRowLastColumn="0"/>
            <w:tcW w:w="537" w:type="pct"/>
            <w:vMerge/>
          </w:tcPr>
          <w:p w14:paraId="7244DF6F" w14:textId="77777777" w:rsidR="006F7BC6" w:rsidRPr="00AA22F2" w:rsidRDefault="006F7BC6" w:rsidP="006F7BC6">
            <w:pPr>
              <w:rPr>
                <w:szCs w:val="20"/>
              </w:rPr>
            </w:pPr>
          </w:p>
        </w:tc>
        <w:tc>
          <w:tcPr>
            <w:tcW w:w="481" w:type="pct"/>
          </w:tcPr>
          <w:p w14:paraId="573C9BB6" w14:textId="43E1AFE4" w:rsidR="006F7BC6" w:rsidRPr="004637C7" w:rsidRDefault="006F7BC6" w:rsidP="006F7BC6">
            <w:pPr>
              <w:cnfStyle w:val="000000000000" w:firstRow="0" w:lastRow="0" w:firstColumn="0" w:lastColumn="0" w:oddVBand="0" w:evenVBand="0" w:oddHBand="0" w:evenHBand="0" w:firstRowFirstColumn="0" w:firstRowLastColumn="0" w:lastRowFirstColumn="0" w:lastRowLastColumn="0"/>
              <w:rPr>
                <w:szCs w:val="20"/>
              </w:rPr>
            </w:pPr>
            <w:r w:rsidRPr="00AA22F2">
              <w:rPr>
                <w:szCs w:val="20"/>
                <w:lang w:val="en-US"/>
              </w:rPr>
              <w:t>Compens</w:t>
            </w:r>
            <w:r w:rsidR="00AD4DBE">
              <w:rPr>
                <w:szCs w:val="20"/>
                <w:lang w:val="en-US"/>
              </w:rPr>
              <w:t>er</w:t>
            </w:r>
          </w:p>
        </w:tc>
        <w:tc>
          <w:tcPr>
            <w:tcW w:w="952" w:type="pct"/>
          </w:tcPr>
          <w:p w14:paraId="4B2E6EA8" w14:textId="605960B4" w:rsidR="006F7BC6" w:rsidRPr="00AA22F2" w:rsidRDefault="006F7BC6" w:rsidP="006F7BC6">
            <w:pPr>
              <w:cnfStyle w:val="000000000000" w:firstRow="0" w:lastRow="0" w:firstColumn="0" w:lastColumn="0" w:oddVBand="0" w:evenVBand="0" w:oddHBand="0" w:evenHBand="0" w:firstRowFirstColumn="0" w:firstRowLastColumn="0" w:lastRowFirstColumn="0" w:lastRowLastColumn="0"/>
              <w:rPr>
                <w:szCs w:val="20"/>
              </w:rPr>
            </w:pPr>
            <w:r w:rsidRPr="00AA22F2">
              <w:rPr>
                <w:szCs w:val="20"/>
              </w:rPr>
              <w:t>Accélérer le verdissement de la flotte (engins plus sobres/filtrés) si des dépassements sont récurrents malgré la mitigation amont.</w:t>
            </w:r>
          </w:p>
        </w:tc>
        <w:tc>
          <w:tcPr>
            <w:tcW w:w="597" w:type="pct"/>
          </w:tcPr>
          <w:p w14:paraId="4F57FF31" w14:textId="0763711C" w:rsidR="006F7BC6" w:rsidRPr="00AA22F2" w:rsidRDefault="006F7BC6" w:rsidP="006F7BC6">
            <w:pPr>
              <w:cnfStyle w:val="000000000000" w:firstRow="0" w:lastRow="0" w:firstColumn="0" w:lastColumn="0" w:oddVBand="0" w:evenVBand="0" w:oddHBand="0" w:evenHBand="0" w:firstRowFirstColumn="0" w:firstRowLastColumn="0" w:lastRowFirstColumn="0" w:lastRowLastColumn="0"/>
              <w:rPr>
                <w:szCs w:val="20"/>
              </w:rPr>
            </w:pPr>
            <w:r w:rsidRPr="00AA22F2">
              <w:rPr>
                <w:szCs w:val="20"/>
                <w:lang w:val="en-US"/>
              </w:rPr>
              <w:t>% d’engins renouvelés; consommation spécifique</w:t>
            </w:r>
          </w:p>
        </w:tc>
        <w:tc>
          <w:tcPr>
            <w:tcW w:w="410" w:type="pct"/>
          </w:tcPr>
          <w:p w14:paraId="7DE5E4AC" w14:textId="68ECEB08" w:rsidR="006F7BC6" w:rsidRPr="00AA22F2" w:rsidRDefault="006F7BC6" w:rsidP="006F7BC6">
            <w:pPr>
              <w:cnfStyle w:val="000000000000" w:firstRow="0" w:lastRow="0" w:firstColumn="0" w:lastColumn="0" w:oddVBand="0" w:evenVBand="0" w:oddHBand="0" w:evenHBand="0" w:firstRowFirstColumn="0" w:firstRowLastColumn="0" w:lastRowFirstColumn="0" w:lastRowLastColumn="0"/>
              <w:rPr>
                <w:szCs w:val="20"/>
              </w:rPr>
            </w:pPr>
            <w:r w:rsidRPr="00AA22F2">
              <w:rPr>
                <w:szCs w:val="20"/>
              </w:rPr>
              <w:t>EPC et sous-traitants</w:t>
            </w:r>
          </w:p>
        </w:tc>
        <w:tc>
          <w:tcPr>
            <w:tcW w:w="433" w:type="pct"/>
          </w:tcPr>
          <w:p w14:paraId="424FF809" w14:textId="304E8FC1" w:rsidR="006F7BC6" w:rsidRPr="00AA22F2" w:rsidRDefault="006F7BC6" w:rsidP="006F7BC6">
            <w:pPr>
              <w:cnfStyle w:val="000000000000" w:firstRow="0" w:lastRow="0" w:firstColumn="0" w:lastColumn="0" w:oddVBand="0" w:evenVBand="0" w:oddHBand="0" w:evenHBand="0" w:firstRowFirstColumn="0" w:firstRowLastColumn="0" w:lastRowFirstColumn="0" w:lastRowLastColumn="0"/>
              <w:rPr>
                <w:szCs w:val="20"/>
              </w:rPr>
            </w:pPr>
            <w:r w:rsidRPr="00AA22F2">
              <w:rPr>
                <w:szCs w:val="20"/>
              </w:rPr>
              <w:t>Bureau de contrôle / Consultant de supervision mandaté par l’ONDA</w:t>
            </w:r>
          </w:p>
        </w:tc>
        <w:tc>
          <w:tcPr>
            <w:tcW w:w="254" w:type="pct"/>
          </w:tcPr>
          <w:p w14:paraId="667E1A3D" w14:textId="5D08C36B" w:rsidR="006F7BC6" w:rsidRPr="00AA22F2" w:rsidRDefault="006F7BC6" w:rsidP="006F7BC6">
            <w:pPr>
              <w:cnfStyle w:val="000000000000" w:firstRow="0" w:lastRow="0" w:firstColumn="0" w:lastColumn="0" w:oddVBand="0" w:evenVBand="0" w:oddHBand="0" w:evenHBand="0" w:firstRowFirstColumn="0" w:firstRowLastColumn="0" w:lastRowFirstColumn="0" w:lastRowLastColumn="0"/>
              <w:rPr>
                <w:szCs w:val="20"/>
              </w:rPr>
            </w:pPr>
            <w:r w:rsidRPr="00AA22F2">
              <w:rPr>
                <w:szCs w:val="20"/>
              </w:rPr>
              <w:t>ONDA</w:t>
            </w:r>
          </w:p>
        </w:tc>
        <w:tc>
          <w:tcPr>
            <w:tcW w:w="395" w:type="pct"/>
          </w:tcPr>
          <w:p w14:paraId="0EC18E46" w14:textId="4E6BE19F" w:rsidR="006F7BC6" w:rsidRPr="004637C7" w:rsidRDefault="006F7BC6" w:rsidP="006F7BC6">
            <w:pPr>
              <w:cnfStyle w:val="000000000000" w:firstRow="0" w:lastRow="0" w:firstColumn="0" w:lastColumn="0" w:oddVBand="0" w:evenVBand="0" w:oddHBand="0" w:evenHBand="0" w:firstRowFirstColumn="0" w:firstRowLastColumn="0" w:lastRowFirstColumn="0" w:lastRowLastColumn="0"/>
              <w:rPr>
                <w:szCs w:val="20"/>
              </w:rPr>
            </w:pPr>
            <w:r w:rsidRPr="00AA22F2">
              <w:rPr>
                <w:szCs w:val="20"/>
                <w:lang w:val="en-US"/>
              </w:rPr>
              <w:t>Programme dédié</w:t>
            </w:r>
          </w:p>
        </w:tc>
        <w:tc>
          <w:tcPr>
            <w:tcW w:w="940" w:type="pct"/>
          </w:tcPr>
          <w:p w14:paraId="327BCD6D" w14:textId="76FB0B29" w:rsidR="006F7BC6" w:rsidRPr="00AA22F2" w:rsidRDefault="006660AE" w:rsidP="006F7BC6">
            <w:pPr>
              <w:cnfStyle w:val="000000000000" w:firstRow="0" w:lastRow="0" w:firstColumn="0" w:lastColumn="0" w:oddVBand="0" w:evenVBand="0" w:oddHBand="0" w:evenHBand="0" w:firstRowFirstColumn="0" w:firstRowLastColumn="0" w:lastRowFirstColumn="0" w:lastRowLastColumn="0"/>
              <w:rPr>
                <w:szCs w:val="20"/>
              </w:rPr>
            </w:pPr>
            <w:r w:rsidRPr="006660AE">
              <w:rPr>
                <w:szCs w:val="20"/>
              </w:rPr>
              <w:t>≈ 30 000 – 40 000 MAD (forfait à activer uniquement si dépassements persistants – location temporaire d’engins filtrés</w:t>
            </w:r>
          </w:p>
        </w:tc>
      </w:tr>
      <w:tr w:rsidR="006F7BC6" w:rsidRPr="00B3062D" w14:paraId="3EFD9E7C" w14:textId="77777777" w:rsidTr="008065E2">
        <w:tc>
          <w:tcPr>
            <w:cnfStyle w:val="001000000000" w:firstRow="0" w:lastRow="0" w:firstColumn="1" w:lastColumn="0" w:oddVBand="0" w:evenVBand="0" w:oddHBand="0" w:evenHBand="0" w:firstRowFirstColumn="0" w:firstRowLastColumn="0" w:lastRowFirstColumn="0" w:lastRowLastColumn="0"/>
            <w:tcW w:w="537" w:type="pct"/>
            <w:vMerge w:val="restart"/>
            <w:vAlign w:val="center"/>
          </w:tcPr>
          <w:p w14:paraId="29268DC4" w14:textId="7B278F93" w:rsidR="006F7BC6" w:rsidRPr="00AA22F2" w:rsidRDefault="006F7BC6" w:rsidP="006F7BC6">
            <w:pPr>
              <w:rPr>
                <w:szCs w:val="20"/>
              </w:rPr>
            </w:pPr>
            <w:r w:rsidRPr="004637C7">
              <w:rPr>
                <w:szCs w:val="20"/>
              </w:rPr>
              <w:t>Émission d’odeurs / COV</w:t>
            </w:r>
          </w:p>
        </w:tc>
        <w:tc>
          <w:tcPr>
            <w:tcW w:w="481" w:type="pct"/>
          </w:tcPr>
          <w:p w14:paraId="47196CCC" w14:textId="2624A49E" w:rsidR="006F7BC6" w:rsidRPr="00AA22F2" w:rsidRDefault="006F7BC6" w:rsidP="006F7BC6">
            <w:pPr>
              <w:cnfStyle w:val="000000000000" w:firstRow="0" w:lastRow="0" w:firstColumn="0" w:lastColumn="0" w:oddVBand="0" w:evenVBand="0" w:oddHBand="0" w:evenHBand="0" w:firstRowFirstColumn="0" w:firstRowLastColumn="0" w:lastRowFirstColumn="0" w:lastRowLastColumn="0"/>
              <w:rPr>
                <w:szCs w:val="20"/>
              </w:rPr>
            </w:pPr>
            <w:r w:rsidRPr="00AA22F2">
              <w:rPr>
                <w:szCs w:val="20"/>
              </w:rPr>
              <w:t>Évite</w:t>
            </w:r>
            <w:r w:rsidR="00AD4DBE">
              <w:rPr>
                <w:szCs w:val="20"/>
              </w:rPr>
              <w:t>r</w:t>
            </w:r>
          </w:p>
        </w:tc>
        <w:tc>
          <w:tcPr>
            <w:tcW w:w="952" w:type="pct"/>
          </w:tcPr>
          <w:p w14:paraId="356FAAB9" w14:textId="5E92259E" w:rsidR="006F7BC6" w:rsidRPr="00AA22F2" w:rsidRDefault="006F7BC6" w:rsidP="006F7BC6">
            <w:pPr>
              <w:cnfStyle w:val="000000000000" w:firstRow="0" w:lastRow="0" w:firstColumn="0" w:lastColumn="0" w:oddVBand="0" w:evenVBand="0" w:oddHBand="0" w:evenHBand="0" w:firstRowFirstColumn="0" w:firstRowLastColumn="0" w:lastRowFirstColumn="0" w:lastRowLastColumn="0"/>
              <w:rPr>
                <w:szCs w:val="20"/>
              </w:rPr>
            </w:pPr>
            <w:r w:rsidRPr="00AA22F2">
              <w:rPr>
                <w:szCs w:val="20"/>
              </w:rPr>
              <w:t xml:space="preserve">Substituer autant que possible par des produits à faible teneur en COV (peintures à base aqueuse ou low-VOC) </w:t>
            </w:r>
          </w:p>
        </w:tc>
        <w:tc>
          <w:tcPr>
            <w:tcW w:w="597" w:type="pct"/>
          </w:tcPr>
          <w:p w14:paraId="17F5422B" w14:textId="37A6F557" w:rsidR="006F7BC6" w:rsidRPr="00AA22F2" w:rsidRDefault="006F7BC6" w:rsidP="006F7BC6">
            <w:pPr>
              <w:cnfStyle w:val="000000000000" w:firstRow="0" w:lastRow="0" w:firstColumn="0" w:lastColumn="0" w:oddVBand="0" w:evenVBand="0" w:oddHBand="0" w:evenHBand="0" w:firstRowFirstColumn="0" w:firstRowLastColumn="0" w:lastRowFirstColumn="0" w:lastRowLastColumn="0"/>
              <w:rPr>
                <w:szCs w:val="20"/>
              </w:rPr>
            </w:pPr>
            <w:r w:rsidRPr="00AA22F2">
              <w:rPr>
                <w:szCs w:val="20"/>
              </w:rPr>
              <w:t xml:space="preserve">% de produits low-VOC </w:t>
            </w:r>
          </w:p>
        </w:tc>
        <w:tc>
          <w:tcPr>
            <w:tcW w:w="410" w:type="pct"/>
          </w:tcPr>
          <w:p w14:paraId="36F81F9F" w14:textId="299A2181" w:rsidR="006F7BC6" w:rsidRPr="00AA22F2" w:rsidRDefault="006F7BC6" w:rsidP="006F7BC6">
            <w:pPr>
              <w:cnfStyle w:val="000000000000" w:firstRow="0" w:lastRow="0" w:firstColumn="0" w:lastColumn="0" w:oddVBand="0" w:evenVBand="0" w:oddHBand="0" w:evenHBand="0" w:firstRowFirstColumn="0" w:firstRowLastColumn="0" w:lastRowFirstColumn="0" w:lastRowLastColumn="0"/>
              <w:rPr>
                <w:szCs w:val="20"/>
              </w:rPr>
            </w:pPr>
            <w:r w:rsidRPr="00AA22F2">
              <w:rPr>
                <w:szCs w:val="20"/>
              </w:rPr>
              <w:t>EPC et sous-traitants</w:t>
            </w:r>
          </w:p>
        </w:tc>
        <w:tc>
          <w:tcPr>
            <w:tcW w:w="433" w:type="pct"/>
          </w:tcPr>
          <w:p w14:paraId="2D20802F" w14:textId="50EDAD7D" w:rsidR="006F7BC6" w:rsidRPr="00AA22F2" w:rsidRDefault="006F7BC6" w:rsidP="006F7BC6">
            <w:pPr>
              <w:cnfStyle w:val="000000000000" w:firstRow="0" w:lastRow="0" w:firstColumn="0" w:lastColumn="0" w:oddVBand="0" w:evenVBand="0" w:oddHBand="0" w:evenHBand="0" w:firstRowFirstColumn="0" w:firstRowLastColumn="0" w:lastRowFirstColumn="0" w:lastRowLastColumn="0"/>
              <w:rPr>
                <w:szCs w:val="20"/>
              </w:rPr>
            </w:pPr>
            <w:r w:rsidRPr="00AA22F2">
              <w:rPr>
                <w:szCs w:val="20"/>
              </w:rPr>
              <w:t xml:space="preserve">Bureau de contrôle / Consultant de </w:t>
            </w:r>
            <w:r w:rsidRPr="00AA22F2">
              <w:rPr>
                <w:szCs w:val="20"/>
              </w:rPr>
              <w:lastRenderedPageBreak/>
              <w:t>supervision mandaté par l’ONDA</w:t>
            </w:r>
          </w:p>
        </w:tc>
        <w:tc>
          <w:tcPr>
            <w:tcW w:w="254" w:type="pct"/>
          </w:tcPr>
          <w:p w14:paraId="622E51BC" w14:textId="41EA2BAF" w:rsidR="006F7BC6" w:rsidRPr="00AA22F2" w:rsidRDefault="006F7BC6" w:rsidP="006F7BC6">
            <w:pPr>
              <w:cnfStyle w:val="000000000000" w:firstRow="0" w:lastRow="0" w:firstColumn="0" w:lastColumn="0" w:oddVBand="0" w:evenVBand="0" w:oddHBand="0" w:evenHBand="0" w:firstRowFirstColumn="0" w:firstRowLastColumn="0" w:lastRowFirstColumn="0" w:lastRowLastColumn="0"/>
              <w:rPr>
                <w:szCs w:val="20"/>
              </w:rPr>
            </w:pPr>
            <w:r w:rsidRPr="00AA22F2">
              <w:rPr>
                <w:szCs w:val="20"/>
              </w:rPr>
              <w:lastRenderedPageBreak/>
              <w:t>ONDA</w:t>
            </w:r>
          </w:p>
        </w:tc>
        <w:tc>
          <w:tcPr>
            <w:tcW w:w="395" w:type="pct"/>
          </w:tcPr>
          <w:p w14:paraId="26029082" w14:textId="7EB655F8" w:rsidR="006F7BC6" w:rsidRPr="00AA22F2" w:rsidRDefault="006F7BC6" w:rsidP="006F7BC6">
            <w:pPr>
              <w:cnfStyle w:val="000000000000" w:firstRow="0" w:lastRow="0" w:firstColumn="0" w:lastColumn="0" w:oddVBand="0" w:evenVBand="0" w:oddHBand="0" w:evenHBand="0" w:firstRowFirstColumn="0" w:firstRowLastColumn="0" w:lastRowFirstColumn="0" w:lastRowLastColumn="0"/>
              <w:rPr>
                <w:szCs w:val="20"/>
              </w:rPr>
            </w:pPr>
            <w:r w:rsidRPr="00AA22F2">
              <w:rPr>
                <w:szCs w:val="20"/>
              </w:rPr>
              <w:t>Achats puis planification</w:t>
            </w:r>
          </w:p>
        </w:tc>
        <w:tc>
          <w:tcPr>
            <w:tcW w:w="940" w:type="pct"/>
          </w:tcPr>
          <w:p w14:paraId="4B6EA4B1" w14:textId="17E82E24" w:rsidR="006F7BC6" w:rsidRPr="00AA22F2" w:rsidRDefault="00443D43" w:rsidP="006F7BC6">
            <w:pPr>
              <w:cnfStyle w:val="000000000000" w:firstRow="0" w:lastRow="0" w:firstColumn="0" w:lastColumn="0" w:oddVBand="0" w:evenVBand="0" w:oddHBand="0" w:evenHBand="0" w:firstRowFirstColumn="0" w:firstRowLastColumn="0" w:lastRowFirstColumn="0" w:lastRowLastColumn="0"/>
              <w:rPr>
                <w:szCs w:val="20"/>
              </w:rPr>
            </w:pPr>
            <w:r w:rsidRPr="00443D43">
              <w:rPr>
                <w:szCs w:val="20"/>
              </w:rPr>
              <w:t>≈ 3 000 – 6 000 MAD (forfait – surcoût lié à l’achat de peintures et solvants low-VOC)</w:t>
            </w:r>
          </w:p>
        </w:tc>
      </w:tr>
      <w:tr w:rsidR="006F7BC6" w:rsidRPr="00B3062D" w14:paraId="4A72DF01" w14:textId="77777777" w:rsidTr="008065E2">
        <w:tc>
          <w:tcPr>
            <w:cnfStyle w:val="001000000000" w:firstRow="0" w:lastRow="0" w:firstColumn="1" w:lastColumn="0" w:oddVBand="0" w:evenVBand="0" w:oddHBand="0" w:evenHBand="0" w:firstRowFirstColumn="0" w:firstRowLastColumn="0" w:lastRowFirstColumn="0" w:lastRowLastColumn="0"/>
            <w:tcW w:w="537" w:type="pct"/>
            <w:vMerge/>
          </w:tcPr>
          <w:p w14:paraId="14E0A2C5" w14:textId="77777777" w:rsidR="006F7BC6" w:rsidRPr="00AA22F2" w:rsidRDefault="006F7BC6" w:rsidP="006F7BC6">
            <w:pPr>
              <w:rPr>
                <w:szCs w:val="20"/>
              </w:rPr>
            </w:pPr>
          </w:p>
        </w:tc>
        <w:tc>
          <w:tcPr>
            <w:tcW w:w="481" w:type="pct"/>
          </w:tcPr>
          <w:p w14:paraId="08D12BEC" w14:textId="387F1A80" w:rsidR="006F7BC6" w:rsidRPr="00AA22F2" w:rsidRDefault="006F7BC6" w:rsidP="006F7BC6">
            <w:pPr>
              <w:cnfStyle w:val="000000000000" w:firstRow="0" w:lastRow="0" w:firstColumn="0" w:lastColumn="0" w:oddVBand="0" w:evenVBand="0" w:oddHBand="0" w:evenHBand="0" w:firstRowFirstColumn="0" w:firstRowLastColumn="0" w:lastRowFirstColumn="0" w:lastRowLastColumn="0"/>
              <w:rPr>
                <w:szCs w:val="20"/>
              </w:rPr>
            </w:pPr>
            <w:r w:rsidRPr="00AA22F2">
              <w:rPr>
                <w:szCs w:val="20"/>
              </w:rPr>
              <w:t>Rédu</w:t>
            </w:r>
            <w:r w:rsidR="00AD4DBE">
              <w:rPr>
                <w:szCs w:val="20"/>
              </w:rPr>
              <w:t>ire</w:t>
            </w:r>
          </w:p>
        </w:tc>
        <w:tc>
          <w:tcPr>
            <w:tcW w:w="952" w:type="pct"/>
          </w:tcPr>
          <w:p w14:paraId="5B8EB3BB" w14:textId="1353F5CC" w:rsidR="006F7BC6" w:rsidRPr="00AA22F2" w:rsidRDefault="006F7BC6" w:rsidP="006F7BC6">
            <w:pPr>
              <w:cnfStyle w:val="000000000000" w:firstRow="0" w:lastRow="0" w:firstColumn="0" w:lastColumn="0" w:oddVBand="0" w:evenVBand="0" w:oddHBand="0" w:evenHBand="0" w:firstRowFirstColumn="0" w:firstRowLastColumn="0" w:lastRowFirstColumn="0" w:lastRowLastColumn="0"/>
              <w:rPr>
                <w:szCs w:val="20"/>
              </w:rPr>
            </w:pPr>
            <w:r w:rsidRPr="00AA22F2">
              <w:rPr>
                <w:szCs w:val="20"/>
              </w:rPr>
              <w:t xml:space="preserve">Ventiler efficacement les zones fermées, refermer immédiatement les contenants après usage et délimiter/ventiler les postes de mélange afin de capter et diluer les émissions au plus près de la source </w:t>
            </w:r>
          </w:p>
        </w:tc>
        <w:tc>
          <w:tcPr>
            <w:tcW w:w="597" w:type="pct"/>
          </w:tcPr>
          <w:p w14:paraId="0C91F337" w14:textId="2CAB5E13" w:rsidR="006F7BC6" w:rsidRPr="00AA22F2" w:rsidRDefault="006F7BC6" w:rsidP="006F7BC6">
            <w:pPr>
              <w:cnfStyle w:val="000000000000" w:firstRow="0" w:lastRow="0" w:firstColumn="0" w:lastColumn="0" w:oddVBand="0" w:evenVBand="0" w:oddHBand="0" w:evenHBand="0" w:firstRowFirstColumn="0" w:firstRowLastColumn="0" w:lastRowFirstColumn="0" w:lastRowLastColumn="0"/>
              <w:rPr>
                <w:szCs w:val="20"/>
              </w:rPr>
            </w:pPr>
            <w:r w:rsidRPr="00AA22F2">
              <w:rPr>
                <w:szCs w:val="20"/>
              </w:rPr>
              <w:t xml:space="preserve">Débit de ventilation ; % contenants fermés </w:t>
            </w:r>
          </w:p>
        </w:tc>
        <w:tc>
          <w:tcPr>
            <w:tcW w:w="410" w:type="pct"/>
          </w:tcPr>
          <w:p w14:paraId="562C3622" w14:textId="4C1F5753" w:rsidR="006F7BC6" w:rsidRPr="00AA22F2" w:rsidRDefault="006F7BC6" w:rsidP="006F7BC6">
            <w:pPr>
              <w:cnfStyle w:val="000000000000" w:firstRow="0" w:lastRow="0" w:firstColumn="0" w:lastColumn="0" w:oddVBand="0" w:evenVBand="0" w:oddHBand="0" w:evenHBand="0" w:firstRowFirstColumn="0" w:firstRowLastColumn="0" w:lastRowFirstColumn="0" w:lastRowLastColumn="0"/>
              <w:rPr>
                <w:szCs w:val="20"/>
              </w:rPr>
            </w:pPr>
            <w:r w:rsidRPr="00AA22F2">
              <w:rPr>
                <w:szCs w:val="20"/>
              </w:rPr>
              <w:t>EPC et sous-traitants</w:t>
            </w:r>
          </w:p>
        </w:tc>
        <w:tc>
          <w:tcPr>
            <w:tcW w:w="433" w:type="pct"/>
          </w:tcPr>
          <w:p w14:paraId="525D35A5" w14:textId="49256E19" w:rsidR="006F7BC6" w:rsidRPr="00AA22F2" w:rsidRDefault="006F7BC6" w:rsidP="006F7BC6">
            <w:pPr>
              <w:cnfStyle w:val="000000000000" w:firstRow="0" w:lastRow="0" w:firstColumn="0" w:lastColumn="0" w:oddVBand="0" w:evenVBand="0" w:oddHBand="0" w:evenHBand="0" w:firstRowFirstColumn="0" w:firstRowLastColumn="0" w:lastRowFirstColumn="0" w:lastRowLastColumn="0"/>
              <w:rPr>
                <w:szCs w:val="20"/>
              </w:rPr>
            </w:pPr>
            <w:r w:rsidRPr="00AA22F2">
              <w:rPr>
                <w:szCs w:val="20"/>
              </w:rPr>
              <w:t>Bureau de contrôle / Consultant de supervision mandaté par l’ONDA</w:t>
            </w:r>
          </w:p>
        </w:tc>
        <w:tc>
          <w:tcPr>
            <w:tcW w:w="254" w:type="pct"/>
          </w:tcPr>
          <w:p w14:paraId="31FF6F21" w14:textId="79CA400F" w:rsidR="006F7BC6" w:rsidRPr="00AA22F2" w:rsidRDefault="006F7BC6" w:rsidP="006F7BC6">
            <w:pPr>
              <w:cnfStyle w:val="000000000000" w:firstRow="0" w:lastRow="0" w:firstColumn="0" w:lastColumn="0" w:oddVBand="0" w:evenVBand="0" w:oddHBand="0" w:evenHBand="0" w:firstRowFirstColumn="0" w:firstRowLastColumn="0" w:lastRowFirstColumn="0" w:lastRowLastColumn="0"/>
              <w:rPr>
                <w:szCs w:val="20"/>
              </w:rPr>
            </w:pPr>
            <w:r w:rsidRPr="00AA22F2">
              <w:rPr>
                <w:szCs w:val="20"/>
              </w:rPr>
              <w:t>ONDA</w:t>
            </w:r>
          </w:p>
        </w:tc>
        <w:tc>
          <w:tcPr>
            <w:tcW w:w="395" w:type="pct"/>
          </w:tcPr>
          <w:p w14:paraId="2F5707C0" w14:textId="72F5DA3F" w:rsidR="006F7BC6" w:rsidRPr="00AA22F2" w:rsidRDefault="006F7BC6" w:rsidP="006F7BC6">
            <w:pPr>
              <w:cnfStyle w:val="000000000000" w:firstRow="0" w:lastRow="0" w:firstColumn="0" w:lastColumn="0" w:oddVBand="0" w:evenVBand="0" w:oddHBand="0" w:evenHBand="0" w:firstRowFirstColumn="0" w:firstRowLastColumn="0" w:lastRowFirstColumn="0" w:lastRowLastColumn="0"/>
              <w:rPr>
                <w:szCs w:val="20"/>
              </w:rPr>
            </w:pPr>
            <w:r w:rsidRPr="00AA22F2">
              <w:rPr>
                <w:szCs w:val="20"/>
              </w:rPr>
              <w:t>Avant travaux puis continu</w:t>
            </w:r>
          </w:p>
        </w:tc>
        <w:tc>
          <w:tcPr>
            <w:tcW w:w="940" w:type="pct"/>
          </w:tcPr>
          <w:p w14:paraId="38D12485" w14:textId="413ED380" w:rsidR="006F7BC6" w:rsidRPr="00443D43" w:rsidRDefault="00443D43" w:rsidP="006F7BC6">
            <w:pPr>
              <w:cnfStyle w:val="000000000000" w:firstRow="0" w:lastRow="0" w:firstColumn="0" w:lastColumn="0" w:oddVBand="0" w:evenVBand="0" w:oddHBand="0" w:evenHBand="0" w:firstRowFirstColumn="0" w:firstRowLastColumn="0" w:lastRowFirstColumn="0" w:lastRowLastColumn="0"/>
              <w:rPr>
                <w:szCs w:val="20"/>
              </w:rPr>
            </w:pPr>
            <w:r w:rsidRPr="00443D43">
              <w:rPr>
                <w:szCs w:val="20"/>
              </w:rPr>
              <w:t xml:space="preserve">≈ 5 000 – 8 000 MAD (forfait) – inclut 1 à 2 ventilateurs/extracteurs portatifs, accessoires (grilles, câblage, signalétique) </w:t>
            </w:r>
          </w:p>
        </w:tc>
      </w:tr>
      <w:tr w:rsidR="006F7BC6" w:rsidRPr="00B3062D" w14:paraId="1183F487" w14:textId="77777777" w:rsidTr="008065E2">
        <w:tc>
          <w:tcPr>
            <w:cnfStyle w:val="001000000000" w:firstRow="0" w:lastRow="0" w:firstColumn="1" w:lastColumn="0" w:oddVBand="0" w:evenVBand="0" w:oddHBand="0" w:evenHBand="0" w:firstRowFirstColumn="0" w:firstRowLastColumn="0" w:lastRowFirstColumn="0" w:lastRowLastColumn="0"/>
            <w:tcW w:w="537" w:type="pct"/>
            <w:vMerge/>
          </w:tcPr>
          <w:p w14:paraId="33E1F74A" w14:textId="77777777" w:rsidR="006F7BC6" w:rsidRPr="00AA22F2" w:rsidRDefault="006F7BC6" w:rsidP="006F7BC6">
            <w:pPr>
              <w:rPr>
                <w:szCs w:val="20"/>
              </w:rPr>
            </w:pPr>
          </w:p>
        </w:tc>
        <w:tc>
          <w:tcPr>
            <w:tcW w:w="481" w:type="pct"/>
          </w:tcPr>
          <w:p w14:paraId="7ED8A81F" w14:textId="29D08924" w:rsidR="006F7BC6" w:rsidRPr="00AA22F2" w:rsidRDefault="006F7BC6" w:rsidP="006F7BC6">
            <w:pPr>
              <w:cnfStyle w:val="000000000000" w:firstRow="0" w:lastRow="0" w:firstColumn="0" w:lastColumn="0" w:oddVBand="0" w:evenVBand="0" w:oddHBand="0" w:evenHBand="0" w:firstRowFirstColumn="0" w:firstRowLastColumn="0" w:lastRowFirstColumn="0" w:lastRowLastColumn="0"/>
              <w:rPr>
                <w:szCs w:val="20"/>
              </w:rPr>
            </w:pPr>
            <w:r w:rsidRPr="00AA22F2">
              <w:rPr>
                <w:szCs w:val="20"/>
              </w:rPr>
              <w:t>Atténu</w:t>
            </w:r>
            <w:r w:rsidR="00AD4DBE">
              <w:rPr>
                <w:szCs w:val="20"/>
              </w:rPr>
              <w:t>er</w:t>
            </w:r>
          </w:p>
        </w:tc>
        <w:tc>
          <w:tcPr>
            <w:tcW w:w="952" w:type="pct"/>
          </w:tcPr>
          <w:p w14:paraId="3210390E" w14:textId="77777777" w:rsidR="006F7BC6" w:rsidRPr="00AA22F2" w:rsidRDefault="006F7BC6" w:rsidP="006F7BC6">
            <w:pPr>
              <w:cnfStyle w:val="000000000000" w:firstRow="0" w:lastRow="0" w:firstColumn="0" w:lastColumn="0" w:oddVBand="0" w:evenVBand="0" w:oddHBand="0" w:evenHBand="0" w:firstRowFirstColumn="0" w:firstRowLastColumn="0" w:lastRowFirstColumn="0" w:lastRowLastColumn="0"/>
              <w:rPr>
                <w:szCs w:val="20"/>
              </w:rPr>
            </w:pPr>
            <w:r w:rsidRPr="00AA22F2">
              <w:rPr>
                <w:szCs w:val="20"/>
              </w:rPr>
              <w:t xml:space="preserve">Appliquer des quantités minimales et respecter les temps de séchage ; </w:t>
            </w:r>
          </w:p>
          <w:p w14:paraId="5584D000" w14:textId="77777777" w:rsidR="006F7BC6" w:rsidRPr="00AA22F2" w:rsidRDefault="006F7BC6" w:rsidP="006F7BC6">
            <w:pPr>
              <w:cnfStyle w:val="000000000000" w:firstRow="0" w:lastRow="0" w:firstColumn="0" w:lastColumn="0" w:oddVBand="0" w:evenVBand="0" w:oddHBand="0" w:evenHBand="0" w:firstRowFirstColumn="0" w:firstRowLastColumn="0" w:lastRowFirstColumn="0" w:lastRowLastColumn="0"/>
              <w:rPr>
                <w:szCs w:val="20"/>
              </w:rPr>
            </w:pPr>
            <w:r w:rsidRPr="00AA22F2">
              <w:rPr>
                <w:szCs w:val="20"/>
              </w:rPr>
              <w:t xml:space="preserve">Informer en amont personnels/usagers ; </w:t>
            </w:r>
          </w:p>
          <w:p w14:paraId="58B6B016" w14:textId="46228B9C" w:rsidR="006F7BC6" w:rsidRPr="00AA22F2" w:rsidRDefault="006F7BC6" w:rsidP="006F7BC6">
            <w:pPr>
              <w:cnfStyle w:val="000000000000" w:firstRow="0" w:lastRow="0" w:firstColumn="0" w:lastColumn="0" w:oddVBand="0" w:evenVBand="0" w:oddHBand="0" w:evenHBand="0" w:firstRowFirstColumn="0" w:firstRowLastColumn="0" w:lastRowFirstColumn="0" w:lastRowLastColumn="0"/>
              <w:rPr>
                <w:szCs w:val="20"/>
              </w:rPr>
            </w:pPr>
            <w:r w:rsidRPr="00AA22F2">
              <w:rPr>
                <w:szCs w:val="20"/>
              </w:rPr>
              <w:t>Réaliser des contrôles olfactifs en limite et traiter chaque plainte sous 48 h avec traçabilité des actions correctives.</w:t>
            </w:r>
          </w:p>
        </w:tc>
        <w:tc>
          <w:tcPr>
            <w:tcW w:w="597" w:type="pct"/>
          </w:tcPr>
          <w:p w14:paraId="738E1B86" w14:textId="319CF298" w:rsidR="006F7BC6" w:rsidRPr="00AA22F2" w:rsidRDefault="006F7BC6" w:rsidP="006F7BC6">
            <w:pPr>
              <w:cnfStyle w:val="000000000000" w:firstRow="0" w:lastRow="0" w:firstColumn="0" w:lastColumn="0" w:oddVBand="0" w:evenVBand="0" w:oddHBand="0" w:evenHBand="0" w:firstRowFirstColumn="0" w:firstRowLastColumn="0" w:lastRowFirstColumn="0" w:lastRowLastColumn="0"/>
              <w:rPr>
                <w:szCs w:val="20"/>
              </w:rPr>
            </w:pPr>
            <w:r w:rsidRPr="00AA22F2">
              <w:rPr>
                <w:szCs w:val="20"/>
              </w:rPr>
              <w:t>Nombre de plaintes ; délai de traitement ; résultats des patrouilles</w:t>
            </w:r>
          </w:p>
        </w:tc>
        <w:tc>
          <w:tcPr>
            <w:tcW w:w="410" w:type="pct"/>
          </w:tcPr>
          <w:p w14:paraId="2DC2D439" w14:textId="086D0F27" w:rsidR="006F7BC6" w:rsidRPr="00AA22F2" w:rsidRDefault="006F7BC6" w:rsidP="006F7BC6">
            <w:pPr>
              <w:cnfStyle w:val="000000000000" w:firstRow="0" w:lastRow="0" w:firstColumn="0" w:lastColumn="0" w:oddVBand="0" w:evenVBand="0" w:oddHBand="0" w:evenHBand="0" w:firstRowFirstColumn="0" w:firstRowLastColumn="0" w:lastRowFirstColumn="0" w:lastRowLastColumn="0"/>
              <w:rPr>
                <w:szCs w:val="20"/>
              </w:rPr>
            </w:pPr>
            <w:r w:rsidRPr="00AA22F2">
              <w:rPr>
                <w:szCs w:val="20"/>
              </w:rPr>
              <w:t>EPC et sous-traitants</w:t>
            </w:r>
          </w:p>
        </w:tc>
        <w:tc>
          <w:tcPr>
            <w:tcW w:w="433" w:type="pct"/>
          </w:tcPr>
          <w:p w14:paraId="12B085CC" w14:textId="3BFD9F2E" w:rsidR="006F7BC6" w:rsidRPr="00AA22F2" w:rsidRDefault="006F7BC6" w:rsidP="006F7BC6">
            <w:pPr>
              <w:cnfStyle w:val="000000000000" w:firstRow="0" w:lastRow="0" w:firstColumn="0" w:lastColumn="0" w:oddVBand="0" w:evenVBand="0" w:oddHBand="0" w:evenHBand="0" w:firstRowFirstColumn="0" w:firstRowLastColumn="0" w:lastRowFirstColumn="0" w:lastRowLastColumn="0"/>
              <w:rPr>
                <w:szCs w:val="20"/>
              </w:rPr>
            </w:pPr>
            <w:r w:rsidRPr="00AA22F2">
              <w:rPr>
                <w:szCs w:val="20"/>
              </w:rPr>
              <w:t>Bureau de contrôle / Consultant de supervision mandaté par l’ONDA</w:t>
            </w:r>
          </w:p>
        </w:tc>
        <w:tc>
          <w:tcPr>
            <w:tcW w:w="254" w:type="pct"/>
          </w:tcPr>
          <w:p w14:paraId="0E3E9FEA" w14:textId="64D9729E" w:rsidR="006F7BC6" w:rsidRPr="00AA22F2" w:rsidRDefault="006F7BC6" w:rsidP="006F7BC6">
            <w:pPr>
              <w:cnfStyle w:val="000000000000" w:firstRow="0" w:lastRow="0" w:firstColumn="0" w:lastColumn="0" w:oddVBand="0" w:evenVBand="0" w:oddHBand="0" w:evenHBand="0" w:firstRowFirstColumn="0" w:firstRowLastColumn="0" w:lastRowFirstColumn="0" w:lastRowLastColumn="0"/>
              <w:rPr>
                <w:szCs w:val="20"/>
              </w:rPr>
            </w:pPr>
            <w:r w:rsidRPr="00AA22F2">
              <w:rPr>
                <w:szCs w:val="20"/>
              </w:rPr>
              <w:t>ONDA</w:t>
            </w:r>
          </w:p>
        </w:tc>
        <w:tc>
          <w:tcPr>
            <w:tcW w:w="395" w:type="pct"/>
          </w:tcPr>
          <w:p w14:paraId="1389986C" w14:textId="33088EE4" w:rsidR="006F7BC6" w:rsidRPr="00AA22F2" w:rsidRDefault="006F7BC6" w:rsidP="006F7BC6">
            <w:pPr>
              <w:cnfStyle w:val="000000000000" w:firstRow="0" w:lastRow="0" w:firstColumn="0" w:lastColumn="0" w:oddVBand="0" w:evenVBand="0" w:oddHBand="0" w:evenHBand="0" w:firstRowFirstColumn="0" w:firstRowLastColumn="0" w:lastRowFirstColumn="0" w:lastRowLastColumn="0"/>
              <w:rPr>
                <w:szCs w:val="20"/>
              </w:rPr>
            </w:pPr>
            <w:r w:rsidRPr="00AA22F2">
              <w:rPr>
                <w:szCs w:val="20"/>
              </w:rPr>
              <w:t>Quotidien</w:t>
            </w:r>
          </w:p>
        </w:tc>
        <w:tc>
          <w:tcPr>
            <w:tcW w:w="940" w:type="pct"/>
          </w:tcPr>
          <w:p w14:paraId="20A9147E" w14:textId="549615EC" w:rsidR="006F7BC6" w:rsidRPr="00AA22F2" w:rsidRDefault="006F7BC6" w:rsidP="006F7BC6">
            <w:pPr>
              <w:cnfStyle w:val="000000000000" w:firstRow="0" w:lastRow="0" w:firstColumn="0" w:lastColumn="0" w:oddVBand="0" w:evenVBand="0" w:oddHBand="0" w:evenHBand="0" w:firstRowFirstColumn="0" w:firstRowLastColumn="0" w:lastRowFirstColumn="0" w:lastRowLastColumn="0"/>
              <w:rPr>
                <w:szCs w:val="20"/>
              </w:rPr>
            </w:pPr>
            <w:r w:rsidRPr="00AA22F2">
              <w:rPr>
                <w:szCs w:val="20"/>
              </w:rPr>
              <w:t>Aucun coût spécifique</w:t>
            </w:r>
          </w:p>
        </w:tc>
      </w:tr>
      <w:tr w:rsidR="006F7BC6" w:rsidRPr="00B3062D" w14:paraId="76580E3B" w14:textId="77777777" w:rsidTr="008065E2">
        <w:tc>
          <w:tcPr>
            <w:cnfStyle w:val="001000000000" w:firstRow="0" w:lastRow="0" w:firstColumn="1" w:lastColumn="0" w:oddVBand="0" w:evenVBand="0" w:oddHBand="0" w:evenHBand="0" w:firstRowFirstColumn="0" w:firstRowLastColumn="0" w:lastRowFirstColumn="0" w:lastRowLastColumn="0"/>
            <w:tcW w:w="537" w:type="pct"/>
            <w:vMerge/>
          </w:tcPr>
          <w:p w14:paraId="0E488EDA" w14:textId="77777777" w:rsidR="006F7BC6" w:rsidRPr="00AA22F2" w:rsidRDefault="006F7BC6" w:rsidP="006F7BC6">
            <w:pPr>
              <w:rPr>
                <w:szCs w:val="20"/>
              </w:rPr>
            </w:pPr>
          </w:p>
        </w:tc>
        <w:tc>
          <w:tcPr>
            <w:tcW w:w="481" w:type="pct"/>
          </w:tcPr>
          <w:p w14:paraId="109CF054" w14:textId="741E291B" w:rsidR="006F7BC6" w:rsidRPr="00AA22F2" w:rsidRDefault="006F7BC6" w:rsidP="006F7BC6">
            <w:pPr>
              <w:cnfStyle w:val="000000000000" w:firstRow="0" w:lastRow="0" w:firstColumn="0" w:lastColumn="0" w:oddVBand="0" w:evenVBand="0" w:oddHBand="0" w:evenHBand="0" w:firstRowFirstColumn="0" w:firstRowLastColumn="0" w:lastRowFirstColumn="0" w:lastRowLastColumn="0"/>
              <w:rPr>
                <w:szCs w:val="20"/>
              </w:rPr>
            </w:pPr>
            <w:r w:rsidRPr="00AA22F2">
              <w:rPr>
                <w:szCs w:val="20"/>
              </w:rPr>
              <w:t>Restaur</w:t>
            </w:r>
            <w:r w:rsidR="00AD4DBE">
              <w:rPr>
                <w:szCs w:val="20"/>
              </w:rPr>
              <w:t>er</w:t>
            </w:r>
          </w:p>
        </w:tc>
        <w:tc>
          <w:tcPr>
            <w:tcW w:w="952" w:type="pct"/>
          </w:tcPr>
          <w:p w14:paraId="6FBC83A8" w14:textId="722780AC" w:rsidR="006F7BC6" w:rsidRPr="00AA22F2" w:rsidRDefault="006F7BC6" w:rsidP="006F7BC6">
            <w:pPr>
              <w:cnfStyle w:val="000000000000" w:firstRow="0" w:lastRow="0" w:firstColumn="0" w:lastColumn="0" w:oddVBand="0" w:evenVBand="0" w:oddHBand="0" w:evenHBand="0" w:firstRowFirstColumn="0" w:firstRowLastColumn="0" w:lastRowFirstColumn="0" w:lastRowLastColumn="0"/>
              <w:rPr>
                <w:szCs w:val="20"/>
              </w:rPr>
            </w:pPr>
            <w:r w:rsidRPr="00AA22F2">
              <w:rPr>
                <w:szCs w:val="20"/>
              </w:rPr>
              <w:t xml:space="preserve">Aérer </w:t>
            </w:r>
            <w:r w:rsidR="00924467" w:rsidRPr="00924467">
              <w:rPr>
                <w:szCs w:val="20"/>
              </w:rPr>
              <w:t>prolongement</w:t>
            </w:r>
            <w:r w:rsidRPr="00AA22F2">
              <w:rPr>
                <w:szCs w:val="20"/>
              </w:rPr>
              <w:t xml:space="preserve"> après travaux et retirer/entreposer en sécurité les chiffons/absorbeurs </w:t>
            </w:r>
            <w:r w:rsidRPr="00AA22F2">
              <w:rPr>
                <w:szCs w:val="20"/>
              </w:rPr>
              <w:lastRenderedPageBreak/>
              <w:t>imprégnés pour éviter les évaporations résiduelles.</w:t>
            </w:r>
          </w:p>
        </w:tc>
        <w:tc>
          <w:tcPr>
            <w:tcW w:w="597" w:type="pct"/>
          </w:tcPr>
          <w:p w14:paraId="2E13A643" w14:textId="5F8671BC" w:rsidR="006F7BC6" w:rsidRPr="00AA22F2" w:rsidRDefault="006F7BC6" w:rsidP="006F7BC6">
            <w:pPr>
              <w:cnfStyle w:val="000000000000" w:firstRow="0" w:lastRow="0" w:firstColumn="0" w:lastColumn="0" w:oddVBand="0" w:evenVBand="0" w:oddHBand="0" w:evenHBand="0" w:firstRowFirstColumn="0" w:firstRowLastColumn="0" w:lastRowFirstColumn="0" w:lastRowLastColumn="0"/>
              <w:rPr>
                <w:szCs w:val="20"/>
              </w:rPr>
            </w:pPr>
            <w:r w:rsidRPr="00AA22F2">
              <w:rPr>
                <w:szCs w:val="20"/>
              </w:rPr>
              <w:lastRenderedPageBreak/>
              <w:t xml:space="preserve">Temps d’aération ; conformité </w:t>
            </w:r>
            <w:r w:rsidRPr="00AA22F2">
              <w:rPr>
                <w:szCs w:val="20"/>
              </w:rPr>
              <w:lastRenderedPageBreak/>
              <w:t>stockage des déchets</w:t>
            </w:r>
          </w:p>
        </w:tc>
        <w:tc>
          <w:tcPr>
            <w:tcW w:w="410" w:type="pct"/>
          </w:tcPr>
          <w:p w14:paraId="42DE3746" w14:textId="2E9FB751" w:rsidR="006F7BC6" w:rsidRPr="00AA22F2" w:rsidRDefault="006F7BC6" w:rsidP="006F7BC6">
            <w:pPr>
              <w:cnfStyle w:val="000000000000" w:firstRow="0" w:lastRow="0" w:firstColumn="0" w:lastColumn="0" w:oddVBand="0" w:evenVBand="0" w:oddHBand="0" w:evenHBand="0" w:firstRowFirstColumn="0" w:firstRowLastColumn="0" w:lastRowFirstColumn="0" w:lastRowLastColumn="0"/>
              <w:rPr>
                <w:szCs w:val="20"/>
              </w:rPr>
            </w:pPr>
            <w:r w:rsidRPr="00AA22F2">
              <w:rPr>
                <w:szCs w:val="20"/>
              </w:rPr>
              <w:lastRenderedPageBreak/>
              <w:t>EPC et sous-traitants</w:t>
            </w:r>
          </w:p>
        </w:tc>
        <w:tc>
          <w:tcPr>
            <w:tcW w:w="433" w:type="pct"/>
          </w:tcPr>
          <w:p w14:paraId="1F4D50E4" w14:textId="0BD08959" w:rsidR="006F7BC6" w:rsidRPr="00AA22F2" w:rsidRDefault="006F7BC6" w:rsidP="006F7BC6">
            <w:pPr>
              <w:cnfStyle w:val="000000000000" w:firstRow="0" w:lastRow="0" w:firstColumn="0" w:lastColumn="0" w:oddVBand="0" w:evenVBand="0" w:oddHBand="0" w:evenHBand="0" w:firstRowFirstColumn="0" w:firstRowLastColumn="0" w:lastRowFirstColumn="0" w:lastRowLastColumn="0"/>
              <w:rPr>
                <w:szCs w:val="20"/>
              </w:rPr>
            </w:pPr>
            <w:r w:rsidRPr="00AA22F2">
              <w:rPr>
                <w:szCs w:val="20"/>
              </w:rPr>
              <w:t xml:space="preserve">Bureau de contrôle / Consultant de </w:t>
            </w:r>
            <w:r w:rsidRPr="00AA22F2">
              <w:rPr>
                <w:szCs w:val="20"/>
              </w:rPr>
              <w:lastRenderedPageBreak/>
              <w:t>supervision mandaté par l’ONDA</w:t>
            </w:r>
          </w:p>
        </w:tc>
        <w:tc>
          <w:tcPr>
            <w:tcW w:w="254" w:type="pct"/>
          </w:tcPr>
          <w:p w14:paraId="025C098F" w14:textId="2E42E98B" w:rsidR="006F7BC6" w:rsidRPr="00AA22F2" w:rsidRDefault="006F7BC6" w:rsidP="006F7BC6">
            <w:pPr>
              <w:cnfStyle w:val="000000000000" w:firstRow="0" w:lastRow="0" w:firstColumn="0" w:lastColumn="0" w:oddVBand="0" w:evenVBand="0" w:oddHBand="0" w:evenHBand="0" w:firstRowFirstColumn="0" w:firstRowLastColumn="0" w:lastRowFirstColumn="0" w:lastRowLastColumn="0"/>
              <w:rPr>
                <w:szCs w:val="20"/>
              </w:rPr>
            </w:pPr>
            <w:r w:rsidRPr="00AA22F2">
              <w:rPr>
                <w:szCs w:val="20"/>
              </w:rPr>
              <w:lastRenderedPageBreak/>
              <w:t>ONDA</w:t>
            </w:r>
          </w:p>
        </w:tc>
        <w:tc>
          <w:tcPr>
            <w:tcW w:w="395" w:type="pct"/>
          </w:tcPr>
          <w:p w14:paraId="1FE7744A" w14:textId="4B37FA18" w:rsidR="006F7BC6" w:rsidRPr="00AA22F2" w:rsidRDefault="006F7BC6" w:rsidP="006F7BC6">
            <w:pPr>
              <w:cnfStyle w:val="000000000000" w:firstRow="0" w:lastRow="0" w:firstColumn="0" w:lastColumn="0" w:oddVBand="0" w:evenVBand="0" w:oddHBand="0" w:evenHBand="0" w:firstRowFirstColumn="0" w:firstRowLastColumn="0" w:lastRowFirstColumn="0" w:lastRowLastColumn="0"/>
              <w:rPr>
                <w:szCs w:val="20"/>
              </w:rPr>
            </w:pPr>
            <w:r w:rsidRPr="00AA22F2">
              <w:rPr>
                <w:szCs w:val="20"/>
              </w:rPr>
              <w:t>Post-travaux</w:t>
            </w:r>
          </w:p>
        </w:tc>
        <w:tc>
          <w:tcPr>
            <w:tcW w:w="940" w:type="pct"/>
          </w:tcPr>
          <w:p w14:paraId="0D64FD5A" w14:textId="28723FF4" w:rsidR="006F7BC6" w:rsidRPr="00AA22F2" w:rsidRDefault="006F7BC6" w:rsidP="006F7BC6">
            <w:pPr>
              <w:cnfStyle w:val="000000000000" w:firstRow="0" w:lastRow="0" w:firstColumn="0" w:lastColumn="0" w:oddVBand="0" w:evenVBand="0" w:oddHBand="0" w:evenHBand="0" w:firstRowFirstColumn="0" w:firstRowLastColumn="0" w:lastRowFirstColumn="0" w:lastRowLastColumn="0"/>
              <w:rPr>
                <w:szCs w:val="20"/>
              </w:rPr>
            </w:pPr>
            <w:r w:rsidRPr="00AA22F2">
              <w:rPr>
                <w:szCs w:val="20"/>
              </w:rPr>
              <w:t>Aucun coût spécifique</w:t>
            </w:r>
          </w:p>
        </w:tc>
      </w:tr>
      <w:tr w:rsidR="006F7BC6" w:rsidRPr="00B3062D" w14:paraId="11819EFD" w14:textId="77777777" w:rsidTr="008065E2">
        <w:tc>
          <w:tcPr>
            <w:cnfStyle w:val="001000000000" w:firstRow="0" w:lastRow="0" w:firstColumn="1" w:lastColumn="0" w:oddVBand="0" w:evenVBand="0" w:oddHBand="0" w:evenHBand="0" w:firstRowFirstColumn="0" w:firstRowLastColumn="0" w:lastRowFirstColumn="0" w:lastRowLastColumn="0"/>
            <w:tcW w:w="537" w:type="pct"/>
            <w:vMerge/>
          </w:tcPr>
          <w:p w14:paraId="2B26D18A" w14:textId="77777777" w:rsidR="006F7BC6" w:rsidRPr="00AA22F2" w:rsidRDefault="006F7BC6" w:rsidP="006F7BC6">
            <w:pPr>
              <w:rPr>
                <w:szCs w:val="20"/>
              </w:rPr>
            </w:pPr>
          </w:p>
        </w:tc>
        <w:tc>
          <w:tcPr>
            <w:tcW w:w="481" w:type="pct"/>
          </w:tcPr>
          <w:p w14:paraId="0B416863" w14:textId="69A31206" w:rsidR="006F7BC6" w:rsidRPr="00AA22F2" w:rsidRDefault="006F7BC6" w:rsidP="006F7BC6">
            <w:pPr>
              <w:cnfStyle w:val="000000000000" w:firstRow="0" w:lastRow="0" w:firstColumn="0" w:lastColumn="0" w:oddVBand="0" w:evenVBand="0" w:oddHBand="0" w:evenHBand="0" w:firstRowFirstColumn="0" w:firstRowLastColumn="0" w:lastRowFirstColumn="0" w:lastRowLastColumn="0"/>
              <w:rPr>
                <w:szCs w:val="20"/>
              </w:rPr>
            </w:pPr>
            <w:r w:rsidRPr="00AA22F2">
              <w:rPr>
                <w:szCs w:val="20"/>
              </w:rPr>
              <w:t>Compens</w:t>
            </w:r>
            <w:r w:rsidR="00AD4DBE">
              <w:rPr>
                <w:szCs w:val="20"/>
              </w:rPr>
              <w:t>er</w:t>
            </w:r>
          </w:p>
        </w:tc>
        <w:tc>
          <w:tcPr>
            <w:tcW w:w="952" w:type="pct"/>
          </w:tcPr>
          <w:p w14:paraId="674E5BDB" w14:textId="65198A38" w:rsidR="006F7BC6" w:rsidRPr="00AA22F2" w:rsidRDefault="006F7BC6" w:rsidP="006F7BC6">
            <w:pPr>
              <w:cnfStyle w:val="000000000000" w:firstRow="0" w:lastRow="0" w:firstColumn="0" w:lastColumn="0" w:oddVBand="0" w:evenVBand="0" w:oddHBand="0" w:evenHBand="0" w:firstRowFirstColumn="0" w:firstRowLastColumn="0" w:lastRowFirstColumn="0" w:lastRowLastColumn="0"/>
              <w:rPr>
                <w:szCs w:val="20"/>
              </w:rPr>
            </w:pPr>
            <w:r w:rsidRPr="00AA22F2">
              <w:rPr>
                <w:szCs w:val="20"/>
              </w:rPr>
              <w:t>Implanter des écrans végétaux ciblés sous le vent si la gêne persiste malgré la mitigation amont.</w:t>
            </w:r>
          </w:p>
        </w:tc>
        <w:tc>
          <w:tcPr>
            <w:tcW w:w="597" w:type="pct"/>
          </w:tcPr>
          <w:p w14:paraId="4426BBBF" w14:textId="4DDE324E" w:rsidR="006F7BC6" w:rsidRPr="00AA22F2" w:rsidRDefault="006F7BC6" w:rsidP="006F7BC6">
            <w:pPr>
              <w:cnfStyle w:val="000000000000" w:firstRow="0" w:lastRow="0" w:firstColumn="0" w:lastColumn="0" w:oddVBand="0" w:evenVBand="0" w:oddHBand="0" w:evenHBand="0" w:firstRowFirstColumn="0" w:firstRowLastColumn="0" w:lastRowFirstColumn="0" w:lastRowLastColumn="0"/>
              <w:rPr>
                <w:szCs w:val="20"/>
              </w:rPr>
            </w:pPr>
            <w:r w:rsidRPr="00AA22F2">
              <w:rPr>
                <w:szCs w:val="20"/>
              </w:rPr>
              <w:t>Linéaire planté</w:t>
            </w:r>
          </w:p>
        </w:tc>
        <w:tc>
          <w:tcPr>
            <w:tcW w:w="410" w:type="pct"/>
          </w:tcPr>
          <w:p w14:paraId="1CFD6A67" w14:textId="3260D23F" w:rsidR="006F7BC6" w:rsidRPr="00AA22F2" w:rsidRDefault="006F7BC6" w:rsidP="006F7BC6">
            <w:pPr>
              <w:cnfStyle w:val="000000000000" w:firstRow="0" w:lastRow="0" w:firstColumn="0" w:lastColumn="0" w:oddVBand="0" w:evenVBand="0" w:oddHBand="0" w:evenHBand="0" w:firstRowFirstColumn="0" w:firstRowLastColumn="0" w:lastRowFirstColumn="0" w:lastRowLastColumn="0"/>
              <w:rPr>
                <w:szCs w:val="20"/>
              </w:rPr>
            </w:pPr>
            <w:r w:rsidRPr="00AA22F2">
              <w:rPr>
                <w:szCs w:val="20"/>
              </w:rPr>
              <w:t>EPC et sous-traitants</w:t>
            </w:r>
          </w:p>
        </w:tc>
        <w:tc>
          <w:tcPr>
            <w:tcW w:w="433" w:type="pct"/>
          </w:tcPr>
          <w:p w14:paraId="4B2411FC" w14:textId="5A31C271" w:rsidR="006F7BC6" w:rsidRPr="00AA22F2" w:rsidRDefault="006F7BC6" w:rsidP="006F7BC6">
            <w:pPr>
              <w:cnfStyle w:val="000000000000" w:firstRow="0" w:lastRow="0" w:firstColumn="0" w:lastColumn="0" w:oddVBand="0" w:evenVBand="0" w:oddHBand="0" w:evenHBand="0" w:firstRowFirstColumn="0" w:firstRowLastColumn="0" w:lastRowFirstColumn="0" w:lastRowLastColumn="0"/>
              <w:rPr>
                <w:szCs w:val="20"/>
              </w:rPr>
            </w:pPr>
            <w:r w:rsidRPr="00AA22F2">
              <w:rPr>
                <w:szCs w:val="20"/>
              </w:rPr>
              <w:t>Bureau de contrôle / Consultant de supervision mandaté par l’ONDA</w:t>
            </w:r>
          </w:p>
        </w:tc>
        <w:tc>
          <w:tcPr>
            <w:tcW w:w="254" w:type="pct"/>
          </w:tcPr>
          <w:p w14:paraId="11FE333F" w14:textId="0245639F" w:rsidR="006F7BC6" w:rsidRPr="00AA22F2" w:rsidRDefault="006F7BC6" w:rsidP="006F7BC6">
            <w:pPr>
              <w:cnfStyle w:val="000000000000" w:firstRow="0" w:lastRow="0" w:firstColumn="0" w:lastColumn="0" w:oddVBand="0" w:evenVBand="0" w:oddHBand="0" w:evenHBand="0" w:firstRowFirstColumn="0" w:firstRowLastColumn="0" w:lastRowFirstColumn="0" w:lastRowLastColumn="0"/>
              <w:rPr>
                <w:szCs w:val="20"/>
              </w:rPr>
            </w:pPr>
            <w:r w:rsidRPr="00AA22F2">
              <w:rPr>
                <w:szCs w:val="20"/>
              </w:rPr>
              <w:t>ONDA</w:t>
            </w:r>
          </w:p>
        </w:tc>
        <w:tc>
          <w:tcPr>
            <w:tcW w:w="395" w:type="pct"/>
          </w:tcPr>
          <w:p w14:paraId="6000AA9D" w14:textId="49285826" w:rsidR="006F7BC6" w:rsidRPr="00AA22F2" w:rsidRDefault="006F7BC6" w:rsidP="006F7BC6">
            <w:pPr>
              <w:cnfStyle w:val="000000000000" w:firstRow="0" w:lastRow="0" w:firstColumn="0" w:lastColumn="0" w:oddVBand="0" w:evenVBand="0" w:oddHBand="0" w:evenHBand="0" w:firstRowFirstColumn="0" w:firstRowLastColumn="0" w:lastRowFirstColumn="0" w:lastRowLastColumn="0"/>
              <w:rPr>
                <w:szCs w:val="20"/>
              </w:rPr>
            </w:pPr>
            <w:r w:rsidRPr="00AA22F2">
              <w:rPr>
                <w:szCs w:val="20"/>
              </w:rPr>
              <w:t>Après bilan post-mesures</w:t>
            </w:r>
          </w:p>
        </w:tc>
        <w:tc>
          <w:tcPr>
            <w:tcW w:w="940" w:type="pct"/>
          </w:tcPr>
          <w:p w14:paraId="149E21C1" w14:textId="5382BD11" w:rsidR="006F7BC6" w:rsidRPr="00AA22F2" w:rsidRDefault="006F7BC6" w:rsidP="006F7BC6">
            <w:pPr>
              <w:cnfStyle w:val="000000000000" w:firstRow="0" w:lastRow="0" w:firstColumn="0" w:lastColumn="0" w:oddVBand="0" w:evenVBand="0" w:oddHBand="0" w:evenHBand="0" w:firstRowFirstColumn="0" w:firstRowLastColumn="0" w:lastRowFirstColumn="0" w:lastRowLastColumn="0"/>
              <w:rPr>
                <w:szCs w:val="20"/>
              </w:rPr>
            </w:pPr>
            <w:r w:rsidRPr="00AA22F2">
              <w:rPr>
                <w:szCs w:val="20"/>
              </w:rPr>
              <w:t>Aucun coût spécifique</w:t>
            </w:r>
          </w:p>
        </w:tc>
      </w:tr>
      <w:bookmarkEnd w:id="400"/>
    </w:tbl>
    <w:p w14:paraId="34F7661B" w14:textId="77777777" w:rsidR="00321D92" w:rsidRDefault="00321D92" w:rsidP="002D65D6">
      <w:pPr>
        <w:sectPr w:rsidR="00321D92" w:rsidSect="004637C7">
          <w:footerReference w:type="default" r:id="rId98"/>
          <w:pgSz w:w="16838" w:h="11906" w:orient="landscape" w:code="9"/>
          <w:pgMar w:top="1418" w:right="1418" w:bottom="1418" w:left="1276" w:header="680" w:footer="680" w:gutter="0"/>
          <w:cols w:space="708"/>
          <w:docGrid w:linePitch="360"/>
        </w:sectPr>
      </w:pPr>
    </w:p>
    <w:p w14:paraId="4CF8F1D4" w14:textId="12604BC5" w:rsidR="00311E49" w:rsidRDefault="0057287F" w:rsidP="0057287F">
      <w:pPr>
        <w:pStyle w:val="Title5"/>
      </w:pPr>
      <w:bookmarkStart w:id="401" w:name="_Hlk210928521"/>
      <w:r>
        <w:lastRenderedPageBreak/>
        <w:t>Evaluation des impacts résiduels</w:t>
      </w:r>
    </w:p>
    <w:bookmarkEnd w:id="401"/>
    <w:p w14:paraId="5CD09702" w14:textId="77777777" w:rsidR="00416E9C" w:rsidRDefault="00416E9C" w:rsidP="00416E9C">
      <w:r>
        <w:t>Après la mise en œuvre de l’ensemble des mesures de prévention, de réduction et de gestion prévues dans le plan d’atténuation, les impacts résiduels sur la qualité de l’air sont jugés faibles à négligeables.</w:t>
      </w:r>
    </w:p>
    <w:p w14:paraId="5E2A533A" w14:textId="5E363433" w:rsidR="00087BEB" w:rsidRDefault="00416E9C" w:rsidP="00416E9C">
      <w:pPr>
        <w:pStyle w:val="Tirets"/>
        <w:ind w:left="426"/>
      </w:pPr>
      <w:r>
        <w:t xml:space="preserve">Les émissions de poussières (PM₁₀ et PM₂.₅) seront efficacement maîtrisées grâce à la stabilisation et l’arrosage régulier des pistes, au bâchage systématique des camions, à la brumisation au niveau des points d’émission, ainsi qu’au lavage des roues à la sortie du chantier. Ces actions permettront de réduire sensiblement les envols de poussières et la remise en suspension secondaire. Les concentrations ambiantes en particules resteront largement en deçà des seuils de référence, hormis quelques pics ponctuels lors d’épisodes venteux. L’impact résiduel sur les travailleurs et les zones </w:t>
      </w:r>
      <w:r w:rsidR="002C7C75">
        <w:t>habitées</w:t>
      </w:r>
      <w:r>
        <w:t xml:space="preserve"> proches est donc mineur et temporaire, tandis que pour les habitations </w:t>
      </w:r>
      <w:r w:rsidR="00900CEE">
        <w:t>de Bouakkaz</w:t>
      </w:r>
      <w:r>
        <w:t>, il demeure négligeable, sans atteinte à la santé ni au bien-être des riverains.</w:t>
      </w:r>
    </w:p>
    <w:p w14:paraId="0030797D" w14:textId="77777777" w:rsidR="00087BEB" w:rsidRDefault="00416E9C" w:rsidP="00416E9C">
      <w:pPr>
        <w:pStyle w:val="Tirets"/>
        <w:ind w:left="426"/>
      </w:pPr>
      <w:r>
        <w:t xml:space="preserve">Les émissions de gaz d’échappement (NOₓ, CO, SO₂ et particules de combustion) seront limitées par la maintenance préventive des engins, la politique anti-ralenti, l’optimisation de la logistique interne et le raccordement temporaire au réseau électrique pour éviter l’usage prolongé des groupes électrogènes. Ces mesures réduiront la formation et l’accumulation des polluants dans l’emprise aéroportuaire. La dispersion naturelle par les vents dominants (nord à nord-ouest) contribuera à une dilution rapide des panaches. Les effets sur les travailleurs seront faibles et réversibles, et aucun dépassement des valeurs limites de NO₂ n’est attendu dans les zones riveraines. L’impact résiduel est donc </w:t>
      </w:r>
      <w:r w:rsidR="00087BEB">
        <w:t>mineur</w:t>
      </w:r>
      <w:r>
        <w:t xml:space="preserve"> et localement maîtrisé, sans conséquence notable sur la qualité de l’air ambiant.</w:t>
      </w:r>
    </w:p>
    <w:p w14:paraId="2EEF3005" w14:textId="106DDDB7" w:rsidR="00416E9C" w:rsidRDefault="00416E9C" w:rsidP="004637C7">
      <w:pPr>
        <w:pStyle w:val="Tirets"/>
        <w:ind w:left="426"/>
      </w:pPr>
      <w:r>
        <w:t>Les émissions d’odeurs et de composés organiques volatils (COV) seront quasi nulles grâce à la substitution par des produits à faible teneur en solvants (low-VOC), la ventilation efficace des zones confinées et la fermeture systématique des contenants après usage. Les nuisances olfactives résiduelles seront ponctuelles et très localisées, perçues uniquement sous le vent immédiat lors des opérations de transfert de carburants ou d’application d’enrobés. L’impact résiduel est négligeable, sans effet perceptible sur les populations ou les usagers de l’aéroport.</w:t>
      </w:r>
    </w:p>
    <w:p w14:paraId="55DDFD2B" w14:textId="655168D8" w:rsidR="003E649C" w:rsidRDefault="00416E9C" w:rsidP="00416E9C">
      <w:r>
        <w:t xml:space="preserve">Dans l’ensemble, les impacts atmosphériques résiduels sont donc </w:t>
      </w:r>
      <w:r w:rsidR="00087BEB">
        <w:t>mineurs</w:t>
      </w:r>
      <w:r>
        <w:t xml:space="preserve"> à négligeables, strictement confinés à l’intérieur du site et pleinement maîtrisés par les mesures d’atténuation en place. Aucune atteinte significative à la qualité de l’air ou à la santé publique n’est anticipée, et les effets sont temporairement réversibles à la fin des travaux.</w:t>
      </w:r>
    </w:p>
    <w:p w14:paraId="36C1E3DA" w14:textId="77777777" w:rsidR="00A85E4F" w:rsidRDefault="00A85E4F" w:rsidP="0019794C"/>
    <w:p w14:paraId="7CBD610D" w14:textId="77777777" w:rsidR="00A85E4F" w:rsidRDefault="00A85E4F" w:rsidP="0019794C"/>
    <w:p w14:paraId="6AEF9709" w14:textId="77777777" w:rsidR="00A85E4F" w:rsidRDefault="00A85E4F" w:rsidP="0019794C">
      <w:pPr>
        <w:sectPr w:rsidR="00A85E4F" w:rsidSect="009F3BF6">
          <w:footerReference w:type="default" r:id="rId99"/>
          <w:pgSz w:w="11906" w:h="16838"/>
          <w:pgMar w:top="1418" w:right="1418" w:bottom="1276" w:left="1418" w:header="680" w:footer="680" w:gutter="0"/>
          <w:cols w:space="708"/>
          <w:docGrid w:linePitch="360"/>
        </w:sectPr>
      </w:pPr>
    </w:p>
    <w:p w14:paraId="712BEF71" w14:textId="16ADAF2C" w:rsidR="009352C6" w:rsidRDefault="009352C6" w:rsidP="0001633E">
      <w:pPr>
        <w:pStyle w:val="Title4"/>
        <w:numPr>
          <w:ilvl w:val="3"/>
          <w:numId w:val="108"/>
        </w:numPr>
        <w:tabs>
          <w:tab w:val="clear" w:pos="1134"/>
          <w:tab w:val="left" w:pos="851"/>
        </w:tabs>
      </w:pPr>
      <w:bookmarkStart w:id="402" w:name="_Hlk212061695"/>
      <w:bookmarkEnd w:id="397"/>
      <w:r>
        <w:lastRenderedPageBreak/>
        <w:t>Phase exploitation</w:t>
      </w:r>
    </w:p>
    <w:p w14:paraId="73954949" w14:textId="01CE4279" w:rsidR="003D1F64" w:rsidRDefault="009352C6" w:rsidP="0001633E">
      <w:pPr>
        <w:pStyle w:val="Title5"/>
        <w:numPr>
          <w:ilvl w:val="4"/>
          <w:numId w:val="108"/>
        </w:numPr>
        <w:tabs>
          <w:tab w:val="left" w:pos="851"/>
        </w:tabs>
      </w:pPr>
      <w:bookmarkStart w:id="403" w:name="_Hlk210388720"/>
      <w:r>
        <w:t>Identification et évaluation des impacts et risques</w:t>
      </w:r>
    </w:p>
    <w:p w14:paraId="3E9CEED4" w14:textId="76717D40" w:rsidR="003D32B2" w:rsidRPr="003D32B2" w:rsidRDefault="003D32B2" w:rsidP="003D32B2">
      <w:r w:rsidRPr="003D32B2">
        <w:t xml:space="preserve">En phase d’exploitation, les composantes du </w:t>
      </w:r>
      <w:r w:rsidRPr="004637C7">
        <w:t>périmètre du projet</w:t>
      </w:r>
      <w:r w:rsidRPr="003D32B2">
        <w:t xml:space="preserve"> (parkings avions, voies de circulation, balisage lumineux, éclairage, et équipements de sûreté et de mobilité tels que les machines RX, EDS, portiques, ascenseurs, escaliers mécaniques et trottoirs roulants) génèrent des </w:t>
      </w:r>
      <w:r w:rsidRPr="004637C7">
        <w:t>émissions atmosphériques limitées et maîtrisables</w:t>
      </w:r>
      <w:r w:rsidRPr="003D32B2">
        <w:t>.</w:t>
      </w:r>
    </w:p>
    <w:p w14:paraId="2583063F" w14:textId="77777777" w:rsidR="003D32B2" w:rsidRPr="003D32B2" w:rsidRDefault="003D32B2" w:rsidP="003D32B2">
      <w:r w:rsidRPr="003D32B2">
        <w:t>Les principales sources sont :</w:t>
      </w:r>
    </w:p>
    <w:p w14:paraId="2E936073" w14:textId="4B07144B" w:rsidR="003D32B2" w:rsidRPr="003D32B2" w:rsidRDefault="00A22BB2" w:rsidP="0001633E">
      <w:pPr>
        <w:numPr>
          <w:ilvl w:val="0"/>
          <w:numId w:val="135"/>
        </w:numPr>
      </w:pPr>
      <w:r w:rsidRPr="003D32B2">
        <w:t>Les</w:t>
      </w:r>
      <w:r w:rsidR="003D32B2" w:rsidRPr="003D32B2">
        <w:t xml:space="preserve"> </w:t>
      </w:r>
      <w:r w:rsidR="003D32B2" w:rsidRPr="004637C7">
        <w:t>gaz d’échappement (NOx, CO, SO₂)</w:t>
      </w:r>
      <w:r w:rsidR="003D32B2" w:rsidRPr="003D32B2">
        <w:t xml:space="preserve"> et </w:t>
      </w:r>
      <w:r w:rsidR="003D32B2" w:rsidRPr="004637C7">
        <w:t>particules de combustion (PM₁₀, PM₂.₅)</w:t>
      </w:r>
      <w:r w:rsidR="003D32B2" w:rsidRPr="003D32B2">
        <w:t xml:space="preserve"> issus des roulages, stationnements et engins de service ;</w:t>
      </w:r>
    </w:p>
    <w:p w14:paraId="66E7F324" w14:textId="1450DAD9" w:rsidR="003D32B2" w:rsidRPr="003D32B2" w:rsidRDefault="00A22BB2" w:rsidP="0001633E">
      <w:pPr>
        <w:numPr>
          <w:ilvl w:val="0"/>
          <w:numId w:val="135"/>
        </w:numPr>
      </w:pPr>
      <w:r w:rsidRPr="003D32B2">
        <w:t>La</w:t>
      </w:r>
      <w:r w:rsidR="003D32B2" w:rsidRPr="003D32B2">
        <w:t xml:space="preserve"> </w:t>
      </w:r>
      <w:r w:rsidR="003D32B2" w:rsidRPr="004637C7">
        <w:t>re-suspension de poussières</w:t>
      </w:r>
      <w:r w:rsidR="003D32B2" w:rsidRPr="003D32B2">
        <w:t xml:space="preserve"> liée aux circulations sur les parkings et taxiways ;</w:t>
      </w:r>
    </w:p>
    <w:p w14:paraId="6B67A456" w14:textId="7B76E80A" w:rsidR="003D32B2" w:rsidRPr="003D32B2" w:rsidRDefault="00A22BB2" w:rsidP="0001633E">
      <w:pPr>
        <w:numPr>
          <w:ilvl w:val="0"/>
          <w:numId w:val="135"/>
        </w:numPr>
      </w:pPr>
      <w:r w:rsidRPr="003D32B2">
        <w:t>Des</w:t>
      </w:r>
      <w:r w:rsidR="003D32B2" w:rsidRPr="003D32B2">
        <w:t xml:space="preserve"> </w:t>
      </w:r>
      <w:r w:rsidR="003D32B2" w:rsidRPr="004637C7">
        <w:t>odeurs ou COV</w:t>
      </w:r>
      <w:r w:rsidR="003D32B2" w:rsidRPr="003D32B2">
        <w:t xml:space="preserve"> ponctuels liés aux travaux d’entretien et d’équipements de sûreté.</w:t>
      </w:r>
    </w:p>
    <w:p w14:paraId="0218658A" w14:textId="0C155B88" w:rsidR="003D32B2" w:rsidRPr="003D32B2" w:rsidRDefault="003D32B2" w:rsidP="003D32B2">
      <w:r w:rsidRPr="003D32B2">
        <w:t xml:space="preserve">Les vents dominants dirigent la dispersion vers la partie </w:t>
      </w:r>
      <w:r w:rsidR="00A22BB2">
        <w:t>Nord</w:t>
      </w:r>
      <w:r w:rsidRPr="003D32B2">
        <w:t xml:space="preserve"> de la plateforme, mais les concentrations restent faibles et les effets </w:t>
      </w:r>
      <w:r w:rsidRPr="004637C7">
        <w:t>localisés</w:t>
      </w:r>
      <w:r w:rsidRPr="003D32B2">
        <w:t xml:space="preserve">. Les </w:t>
      </w:r>
      <w:r w:rsidRPr="004637C7">
        <w:t>récepteurs sensibles</w:t>
      </w:r>
      <w:r w:rsidRPr="003D32B2">
        <w:t xml:space="preserve"> concernent principalement le </w:t>
      </w:r>
      <w:r w:rsidRPr="004637C7">
        <w:t>personnel travaillant sur site</w:t>
      </w:r>
      <w:r w:rsidRPr="003D32B2">
        <w:t xml:space="preserve"> et, dans une moindre mesure, les </w:t>
      </w:r>
      <w:r w:rsidRPr="004637C7">
        <w:t>usagers</w:t>
      </w:r>
      <w:r w:rsidRPr="003D32B2">
        <w:t xml:space="preserve"> du terminal et les </w:t>
      </w:r>
      <w:r w:rsidRPr="004637C7">
        <w:t xml:space="preserve">habitants </w:t>
      </w:r>
      <w:r w:rsidR="00DD3C16">
        <w:t xml:space="preserve">de </w:t>
      </w:r>
      <w:r w:rsidR="00C75345">
        <w:t>Bouakkaz</w:t>
      </w:r>
      <w:r w:rsidRPr="003D32B2">
        <w:t xml:space="preserve"> situés en aval des vents dominants.</w:t>
      </w:r>
    </w:p>
    <w:p w14:paraId="08CFA4BA" w14:textId="7DCABEE2" w:rsidR="00F86EB2" w:rsidRPr="00121761" w:rsidRDefault="00F86EB2" w:rsidP="0001633E">
      <w:pPr>
        <w:pStyle w:val="AltTitle2"/>
        <w:numPr>
          <w:ilvl w:val="0"/>
          <w:numId w:val="106"/>
        </w:numPr>
      </w:pPr>
      <w:r w:rsidRPr="00F86EB2">
        <w:t>Émission de gaz d’échappement (NOx, CO, SO</w:t>
      </w:r>
      <w:r w:rsidRPr="00F86EB2">
        <w:rPr>
          <w:rFonts w:ascii="Cambria Math" w:hAnsi="Cambria Math" w:cs="Cambria Math"/>
        </w:rPr>
        <w:t>₂</w:t>
      </w:r>
      <w:r w:rsidRPr="00F86EB2">
        <w:t>) et particules de combustion</w:t>
      </w:r>
    </w:p>
    <w:p w14:paraId="3D967BC8" w14:textId="77777777" w:rsidR="005C39A5" w:rsidRDefault="005C39A5" w:rsidP="005C39A5">
      <w:r w:rsidRPr="004637C7">
        <w:t>Les émissions de gaz d’échappement sont principalement issues du roulage et du stationnement des aéronefs, du fonctionnement des engins d’assistance au sol (tracteurs, bus, groupes de climatisation, GPU/PCA) et, de manière ponctuelle, des groupes électrogènes de secours.</w:t>
      </w:r>
    </w:p>
    <w:p w14:paraId="066A6F40" w14:textId="4C644421" w:rsidR="005C39A5" w:rsidRPr="004637C7" w:rsidRDefault="005C39A5" w:rsidP="004637C7">
      <w:r w:rsidRPr="004637C7">
        <w:t>Ces émissions comportent essentiellement du monoxyde de carbone (CO), des oxydes d’azote (NOx), du dioxyde de soufre (SO₂) et des particules fines (PM₂.₅). Elles contribuent à une altération temporaire et localisée de la qualité de l’air, concentrée dans la zone technique airside.</w:t>
      </w:r>
    </w:p>
    <w:p w14:paraId="7BCAADFB" w14:textId="77777777" w:rsidR="005C39A5" w:rsidRDefault="005C39A5" w:rsidP="005C39A5">
      <w:r w:rsidRPr="004637C7">
        <w:t>L’impact est de nature directe et négative, car il résulte immédiatement des activités d’exploitation sans processus intermédiaire.</w:t>
      </w:r>
    </w:p>
    <w:p w14:paraId="226E0ADD" w14:textId="0890C12B" w:rsidR="005C39A5" w:rsidRDefault="005C39A5" w:rsidP="005C39A5">
      <w:r w:rsidRPr="004637C7">
        <w:t>Son étendue est locale, limitée à la plateforme aéroportuaire, avec une dispersion rapide des polluants sous l’effet des vents dominants</w:t>
      </w:r>
      <w:r w:rsidR="00C75345">
        <w:t>.</w:t>
      </w:r>
    </w:p>
    <w:p w14:paraId="72A5C17C" w14:textId="77777777" w:rsidR="005C39A5" w:rsidRDefault="005C39A5" w:rsidP="005C39A5">
      <w:r w:rsidRPr="004637C7">
        <w:t>La durée de l’impact est long terme, couvrant l’ensemble de la période d’exploitation de l’aéroport.</w:t>
      </w:r>
    </w:p>
    <w:p w14:paraId="0908610F" w14:textId="77777777" w:rsidR="005C39A5" w:rsidRDefault="005C39A5" w:rsidP="005C39A5">
      <w:r w:rsidRPr="004637C7">
        <w:t>Sa fréquence est continue, avec une occurrence régulière tout au long de la journée et des pics d’intensité lors des heures de pointe des opérations aériennes.</w:t>
      </w:r>
    </w:p>
    <w:p w14:paraId="3C3AA37F" w14:textId="298FB465" w:rsidR="005C39A5" w:rsidRPr="004637C7" w:rsidRDefault="005C39A5" w:rsidP="004637C7">
      <w:r w:rsidRPr="004637C7">
        <w:t>L’intensité est évaluée comme moyenne, car bien que les émissions soient constantes, leur concentration reste limitée par l’utilisation d’aéronefs récents, l’efficacité énergétique des engins, la mise en place de GPU/PCA et la bonne aération du site.</w:t>
      </w:r>
    </w:p>
    <w:p w14:paraId="6B317A99" w14:textId="77777777" w:rsidR="005C39A5" w:rsidRDefault="005C39A5" w:rsidP="005C39A5">
      <w:r w:rsidRPr="004637C7">
        <w:t>Concernant les récepteurs, le personnel travaillant sur les pistes est le groupe le plus exposé, avec une sensibilité moyenne, en raison d’une présence prolongée sur le terrain et d’un contact direct avec les sources d’émission.</w:t>
      </w:r>
    </w:p>
    <w:p w14:paraId="2783AEC6" w14:textId="77777777" w:rsidR="005C39A5" w:rsidRDefault="005C39A5" w:rsidP="005C39A5">
      <w:r w:rsidRPr="004637C7">
        <w:t>Les usagers du terminal présentent une sensibilité faible, leur exposition étant ponctuelle et limitée à des espaces clos ventilés.</w:t>
      </w:r>
    </w:p>
    <w:p w14:paraId="5E7118B8" w14:textId="77777777" w:rsidR="00C75345" w:rsidRDefault="00C75345" w:rsidP="004637C7"/>
    <w:p w14:paraId="50A39A3C" w14:textId="77777777" w:rsidR="005C39A5" w:rsidRDefault="005C39A5" w:rsidP="005C39A5">
      <w:r w:rsidRPr="004637C7">
        <w:t>En croisant une intensité moyenne et une sensibilité moyenne à faible, l’impact est jugé d’importance modérée avant mise en œuvre des mesures d’atténuation.</w:t>
      </w:r>
    </w:p>
    <w:p w14:paraId="61408F7E" w14:textId="461FE511" w:rsidR="005C39A5" w:rsidRPr="004637C7" w:rsidRDefault="005C39A5" w:rsidP="004637C7">
      <w:r w:rsidRPr="004637C7">
        <w:t>Il demeure local, continu, réversible et techniquement maîtrisable.</w:t>
      </w:r>
    </w:p>
    <w:tbl>
      <w:tblPr>
        <w:tblStyle w:val="TableauGrille1Clair-Accentuation111"/>
        <w:tblW w:w="0" w:type="auto"/>
        <w:tblLook w:val="04A0" w:firstRow="1" w:lastRow="0" w:firstColumn="1" w:lastColumn="0" w:noHBand="0" w:noVBand="1"/>
      </w:tblPr>
      <w:tblGrid>
        <w:gridCol w:w="792"/>
        <w:gridCol w:w="3251"/>
        <w:gridCol w:w="1547"/>
        <w:gridCol w:w="2110"/>
        <w:gridCol w:w="1360"/>
      </w:tblGrid>
      <w:tr w:rsidR="004D5485" w:rsidRPr="004637C7" w14:paraId="1441CBEF" w14:textId="77777777" w:rsidTr="004637C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755544F6" w14:textId="77777777" w:rsidR="00827D44" w:rsidRPr="00AA22F2" w:rsidRDefault="00827D44" w:rsidP="000A3EA4">
            <w:pPr>
              <w:rPr>
                <w:szCs w:val="20"/>
              </w:rPr>
            </w:pPr>
            <w:r w:rsidRPr="00AA22F2">
              <w:rPr>
                <w:szCs w:val="20"/>
              </w:rPr>
              <w:t>Impact</w:t>
            </w:r>
          </w:p>
        </w:tc>
        <w:tc>
          <w:tcPr>
            <w:tcW w:w="0" w:type="auto"/>
          </w:tcPr>
          <w:p w14:paraId="63438EF2" w14:textId="77777777" w:rsidR="00827D44" w:rsidRPr="00AA22F2" w:rsidRDefault="00827D44" w:rsidP="000A3EA4">
            <w:pPr>
              <w:cnfStyle w:val="100000000000" w:firstRow="1" w:lastRow="0" w:firstColumn="0" w:lastColumn="0" w:oddVBand="0" w:evenVBand="0" w:oddHBand="0" w:evenHBand="0" w:firstRowFirstColumn="0" w:firstRowLastColumn="0" w:lastRowFirstColumn="0" w:lastRowLastColumn="0"/>
              <w:rPr>
                <w:szCs w:val="20"/>
              </w:rPr>
            </w:pPr>
            <w:r w:rsidRPr="00AA22F2">
              <w:rPr>
                <w:szCs w:val="20"/>
              </w:rPr>
              <w:t>Activités génératrices</w:t>
            </w:r>
          </w:p>
        </w:tc>
        <w:tc>
          <w:tcPr>
            <w:tcW w:w="0" w:type="auto"/>
            <w:vAlign w:val="center"/>
            <w:hideMark/>
          </w:tcPr>
          <w:p w14:paraId="31CFC43D" w14:textId="77777777" w:rsidR="00827D44" w:rsidRPr="00AA22F2" w:rsidRDefault="00827D44" w:rsidP="000A3EA4">
            <w:pPr>
              <w:jc w:val="left"/>
              <w:cnfStyle w:val="100000000000" w:firstRow="1" w:lastRow="0" w:firstColumn="0" w:lastColumn="0" w:oddVBand="0" w:evenVBand="0" w:oddHBand="0" w:evenHBand="0" w:firstRowFirstColumn="0" w:firstRowLastColumn="0" w:lastRowFirstColumn="0" w:lastRowLastColumn="0"/>
              <w:rPr>
                <w:szCs w:val="20"/>
              </w:rPr>
            </w:pPr>
            <w:r w:rsidRPr="00AA22F2">
              <w:rPr>
                <w:szCs w:val="20"/>
              </w:rPr>
              <w:t>Critère</w:t>
            </w:r>
          </w:p>
        </w:tc>
        <w:tc>
          <w:tcPr>
            <w:tcW w:w="0" w:type="auto"/>
            <w:hideMark/>
          </w:tcPr>
          <w:p w14:paraId="0AA82856" w14:textId="77777777" w:rsidR="00827D44" w:rsidRPr="00AA22F2" w:rsidRDefault="00827D44" w:rsidP="000A3EA4">
            <w:pPr>
              <w:cnfStyle w:val="100000000000" w:firstRow="1" w:lastRow="0" w:firstColumn="0" w:lastColumn="0" w:oddVBand="0" w:evenVBand="0" w:oddHBand="0" w:evenHBand="0" w:firstRowFirstColumn="0" w:firstRowLastColumn="0" w:lastRowFirstColumn="0" w:lastRowLastColumn="0"/>
              <w:rPr>
                <w:szCs w:val="20"/>
              </w:rPr>
            </w:pPr>
            <w:r w:rsidRPr="00AA22F2">
              <w:rPr>
                <w:szCs w:val="20"/>
              </w:rPr>
              <w:t>Justification</w:t>
            </w:r>
          </w:p>
        </w:tc>
        <w:tc>
          <w:tcPr>
            <w:tcW w:w="0" w:type="auto"/>
            <w:hideMark/>
          </w:tcPr>
          <w:p w14:paraId="70202C5A" w14:textId="77777777" w:rsidR="00827D44" w:rsidRPr="00AA22F2" w:rsidRDefault="00827D44" w:rsidP="000A3EA4">
            <w:pPr>
              <w:cnfStyle w:val="100000000000" w:firstRow="1" w:lastRow="0" w:firstColumn="0" w:lastColumn="0" w:oddVBand="0" w:evenVBand="0" w:oddHBand="0" w:evenHBand="0" w:firstRowFirstColumn="0" w:firstRowLastColumn="0" w:lastRowFirstColumn="0" w:lastRowLastColumn="0"/>
              <w:rPr>
                <w:szCs w:val="20"/>
              </w:rPr>
            </w:pPr>
            <w:r w:rsidRPr="00AA22F2">
              <w:rPr>
                <w:szCs w:val="20"/>
              </w:rPr>
              <w:t>Niveau</w:t>
            </w:r>
          </w:p>
        </w:tc>
      </w:tr>
      <w:tr w:rsidR="00E33451" w:rsidRPr="00E33451" w14:paraId="2AD0F81C" w14:textId="77777777" w:rsidTr="005A7661">
        <w:tc>
          <w:tcPr>
            <w:cnfStyle w:val="001000000000" w:firstRow="0" w:lastRow="0" w:firstColumn="1" w:lastColumn="0" w:oddVBand="0" w:evenVBand="0" w:oddHBand="0" w:evenHBand="0" w:firstRowFirstColumn="0" w:firstRowLastColumn="0" w:lastRowFirstColumn="0" w:lastRowLastColumn="0"/>
            <w:tcW w:w="0" w:type="auto"/>
            <w:vMerge w:val="restart"/>
            <w:textDirection w:val="btLr"/>
            <w:vAlign w:val="center"/>
          </w:tcPr>
          <w:p w14:paraId="7F11CB71" w14:textId="076603E7" w:rsidR="00E33451" w:rsidRPr="00AA22F2" w:rsidRDefault="00E33451" w:rsidP="004637C7">
            <w:pPr>
              <w:ind w:left="113" w:right="113"/>
              <w:jc w:val="center"/>
              <w:rPr>
                <w:b w:val="0"/>
                <w:bCs w:val="0"/>
                <w:szCs w:val="20"/>
              </w:rPr>
            </w:pPr>
            <w:r w:rsidRPr="00AA22F2">
              <w:rPr>
                <w:b w:val="0"/>
                <w:bCs w:val="0"/>
                <w:szCs w:val="20"/>
              </w:rPr>
              <w:t>Émissions de gaz d’échappement et particules fines (NOx, CO, SO₂, PM₂.₅)</w:t>
            </w:r>
          </w:p>
        </w:tc>
        <w:tc>
          <w:tcPr>
            <w:tcW w:w="0" w:type="auto"/>
            <w:vMerge w:val="restart"/>
            <w:vAlign w:val="center"/>
          </w:tcPr>
          <w:p w14:paraId="68B69A18" w14:textId="33A5D7A6" w:rsidR="00E33451" w:rsidRPr="00AA22F2" w:rsidRDefault="00E33451" w:rsidP="004637C7">
            <w:pPr>
              <w:jc w:val="left"/>
              <w:cnfStyle w:val="000000000000" w:firstRow="0" w:lastRow="0" w:firstColumn="0" w:lastColumn="0" w:oddVBand="0" w:evenVBand="0" w:oddHBand="0" w:evenHBand="0" w:firstRowFirstColumn="0" w:firstRowLastColumn="0" w:lastRowFirstColumn="0" w:lastRowLastColumn="0"/>
              <w:rPr>
                <w:szCs w:val="20"/>
              </w:rPr>
            </w:pPr>
            <w:r w:rsidRPr="004637C7">
              <w:rPr>
                <w:szCs w:val="20"/>
              </w:rPr>
              <w:t>Roulage et stationnement des aéronefs ; circulation des engins d’assistance ; fonctionnement ponctuel des groupes électrogènes</w:t>
            </w:r>
          </w:p>
        </w:tc>
        <w:tc>
          <w:tcPr>
            <w:tcW w:w="0" w:type="auto"/>
            <w:vAlign w:val="center"/>
            <w:hideMark/>
          </w:tcPr>
          <w:p w14:paraId="40428839" w14:textId="77777777" w:rsidR="00E33451" w:rsidRPr="00AA22F2" w:rsidRDefault="00E33451" w:rsidP="000A3EA4">
            <w:pPr>
              <w:jc w:val="left"/>
              <w:cnfStyle w:val="000000000000" w:firstRow="0" w:lastRow="0" w:firstColumn="0" w:lastColumn="0" w:oddVBand="0" w:evenVBand="0" w:oddHBand="0" w:evenHBand="0" w:firstRowFirstColumn="0" w:firstRowLastColumn="0" w:lastRowFirstColumn="0" w:lastRowLastColumn="0"/>
              <w:rPr>
                <w:szCs w:val="20"/>
              </w:rPr>
            </w:pPr>
            <w:r w:rsidRPr="00AA22F2">
              <w:rPr>
                <w:b/>
                <w:bCs/>
                <w:szCs w:val="20"/>
              </w:rPr>
              <w:t>Nature</w:t>
            </w:r>
          </w:p>
        </w:tc>
        <w:tc>
          <w:tcPr>
            <w:tcW w:w="0" w:type="auto"/>
            <w:gridSpan w:val="2"/>
          </w:tcPr>
          <w:p w14:paraId="5370D610" w14:textId="4B46D0AB" w:rsidR="00E33451" w:rsidRPr="00AA22F2" w:rsidRDefault="00E33451" w:rsidP="000A3EA4">
            <w:pPr>
              <w:cnfStyle w:val="000000000000" w:firstRow="0" w:lastRow="0" w:firstColumn="0" w:lastColumn="0" w:oddVBand="0" w:evenVBand="0" w:oddHBand="0" w:evenHBand="0" w:firstRowFirstColumn="0" w:firstRowLastColumn="0" w:lastRowFirstColumn="0" w:lastRowLastColumn="0"/>
              <w:rPr>
                <w:szCs w:val="20"/>
              </w:rPr>
            </w:pPr>
            <w:r w:rsidRPr="00AA22F2">
              <w:rPr>
                <w:szCs w:val="20"/>
              </w:rPr>
              <w:t>Direct négatif</w:t>
            </w:r>
          </w:p>
        </w:tc>
      </w:tr>
      <w:tr w:rsidR="00E33451" w:rsidRPr="00E33451" w14:paraId="2B073701" w14:textId="77777777" w:rsidTr="005A7661">
        <w:tc>
          <w:tcPr>
            <w:cnfStyle w:val="001000000000" w:firstRow="0" w:lastRow="0" w:firstColumn="1" w:lastColumn="0" w:oddVBand="0" w:evenVBand="0" w:oddHBand="0" w:evenHBand="0" w:firstRowFirstColumn="0" w:firstRowLastColumn="0" w:lastRowFirstColumn="0" w:lastRowLastColumn="0"/>
            <w:tcW w:w="0" w:type="auto"/>
            <w:vMerge/>
            <w:vAlign w:val="center"/>
          </w:tcPr>
          <w:p w14:paraId="2DCB0AE9" w14:textId="77777777" w:rsidR="00E33451" w:rsidRPr="00AA22F2" w:rsidRDefault="00E33451" w:rsidP="000A3EA4">
            <w:pPr>
              <w:jc w:val="left"/>
              <w:rPr>
                <w:b w:val="0"/>
                <w:bCs w:val="0"/>
                <w:szCs w:val="20"/>
              </w:rPr>
            </w:pPr>
          </w:p>
        </w:tc>
        <w:tc>
          <w:tcPr>
            <w:tcW w:w="0" w:type="auto"/>
            <w:vMerge/>
            <w:vAlign w:val="center"/>
          </w:tcPr>
          <w:p w14:paraId="616E6416" w14:textId="77777777" w:rsidR="00E33451" w:rsidRPr="00AA22F2" w:rsidRDefault="00E33451" w:rsidP="000A3EA4">
            <w:pPr>
              <w:jc w:val="left"/>
              <w:cnfStyle w:val="000000000000" w:firstRow="0" w:lastRow="0" w:firstColumn="0" w:lastColumn="0" w:oddVBand="0" w:evenVBand="0" w:oddHBand="0" w:evenHBand="0" w:firstRowFirstColumn="0" w:firstRowLastColumn="0" w:lastRowFirstColumn="0" w:lastRowLastColumn="0"/>
              <w:rPr>
                <w:b/>
                <w:bCs/>
                <w:szCs w:val="20"/>
              </w:rPr>
            </w:pPr>
          </w:p>
        </w:tc>
        <w:tc>
          <w:tcPr>
            <w:tcW w:w="0" w:type="auto"/>
            <w:vAlign w:val="center"/>
            <w:hideMark/>
          </w:tcPr>
          <w:p w14:paraId="630278DB" w14:textId="77777777" w:rsidR="00E33451" w:rsidRPr="00AA22F2" w:rsidRDefault="00E33451" w:rsidP="000A3EA4">
            <w:pPr>
              <w:jc w:val="left"/>
              <w:cnfStyle w:val="000000000000" w:firstRow="0" w:lastRow="0" w:firstColumn="0" w:lastColumn="0" w:oddVBand="0" w:evenVBand="0" w:oddHBand="0" w:evenHBand="0" w:firstRowFirstColumn="0" w:firstRowLastColumn="0" w:lastRowFirstColumn="0" w:lastRowLastColumn="0"/>
              <w:rPr>
                <w:szCs w:val="20"/>
              </w:rPr>
            </w:pPr>
            <w:r w:rsidRPr="00AA22F2">
              <w:rPr>
                <w:b/>
                <w:bCs/>
                <w:szCs w:val="20"/>
              </w:rPr>
              <w:t>Étendue</w:t>
            </w:r>
          </w:p>
        </w:tc>
        <w:tc>
          <w:tcPr>
            <w:tcW w:w="0" w:type="auto"/>
          </w:tcPr>
          <w:p w14:paraId="70E353BB" w14:textId="0D3B1D18" w:rsidR="00E33451" w:rsidRPr="00AA22F2" w:rsidRDefault="00E33451" w:rsidP="000A3EA4">
            <w:pPr>
              <w:cnfStyle w:val="000000000000" w:firstRow="0" w:lastRow="0" w:firstColumn="0" w:lastColumn="0" w:oddVBand="0" w:evenVBand="0" w:oddHBand="0" w:evenHBand="0" w:firstRowFirstColumn="0" w:firstRowLastColumn="0" w:lastRowFirstColumn="0" w:lastRowLastColumn="0"/>
              <w:rPr>
                <w:szCs w:val="20"/>
              </w:rPr>
            </w:pPr>
            <w:r w:rsidRPr="00AA22F2">
              <w:rPr>
                <w:szCs w:val="20"/>
              </w:rPr>
              <w:t xml:space="preserve">Impact local, limité à la plateforme aéroportuaire </w:t>
            </w:r>
          </w:p>
        </w:tc>
        <w:tc>
          <w:tcPr>
            <w:tcW w:w="0" w:type="auto"/>
          </w:tcPr>
          <w:p w14:paraId="5C101588" w14:textId="3A8F6D7A" w:rsidR="00E33451" w:rsidRPr="00AA22F2" w:rsidRDefault="00E33451" w:rsidP="000A3EA4">
            <w:pPr>
              <w:cnfStyle w:val="000000000000" w:firstRow="0" w:lastRow="0" w:firstColumn="0" w:lastColumn="0" w:oddVBand="0" w:evenVBand="0" w:oddHBand="0" w:evenHBand="0" w:firstRowFirstColumn="0" w:firstRowLastColumn="0" w:lastRowFirstColumn="0" w:lastRowLastColumn="0"/>
              <w:rPr>
                <w:szCs w:val="20"/>
              </w:rPr>
            </w:pPr>
            <w:r w:rsidRPr="00AA22F2">
              <w:rPr>
                <w:szCs w:val="20"/>
              </w:rPr>
              <w:t>Locale</w:t>
            </w:r>
          </w:p>
        </w:tc>
      </w:tr>
      <w:tr w:rsidR="00E33451" w:rsidRPr="00E33451" w14:paraId="7CF381E7" w14:textId="77777777" w:rsidTr="005A7661">
        <w:tc>
          <w:tcPr>
            <w:cnfStyle w:val="001000000000" w:firstRow="0" w:lastRow="0" w:firstColumn="1" w:lastColumn="0" w:oddVBand="0" w:evenVBand="0" w:oddHBand="0" w:evenHBand="0" w:firstRowFirstColumn="0" w:firstRowLastColumn="0" w:lastRowFirstColumn="0" w:lastRowLastColumn="0"/>
            <w:tcW w:w="0" w:type="auto"/>
            <w:vMerge/>
            <w:vAlign w:val="center"/>
          </w:tcPr>
          <w:p w14:paraId="3B5388CC" w14:textId="77777777" w:rsidR="00E33451" w:rsidRPr="00AA22F2" w:rsidRDefault="00E33451" w:rsidP="000A3EA4">
            <w:pPr>
              <w:jc w:val="left"/>
              <w:rPr>
                <w:b w:val="0"/>
                <w:bCs w:val="0"/>
                <w:szCs w:val="20"/>
              </w:rPr>
            </w:pPr>
          </w:p>
        </w:tc>
        <w:tc>
          <w:tcPr>
            <w:tcW w:w="0" w:type="auto"/>
            <w:vMerge/>
            <w:vAlign w:val="center"/>
          </w:tcPr>
          <w:p w14:paraId="0EB3C591" w14:textId="77777777" w:rsidR="00E33451" w:rsidRPr="00AA22F2" w:rsidRDefault="00E33451" w:rsidP="000A3EA4">
            <w:pPr>
              <w:jc w:val="left"/>
              <w:cnfStyle w:val="000000000000" w:firstRow="0" w:lastRow="0" w:firstColumn="0" w:lastColumn="0" w:oddVBand="0" w:evenVBand="0" w:oddHBand="0" w:evenHBand="0" w:firstRowFirstColumn="0" w:firstRowLastColumn="0" w:lastRowFirstColumn="0" w:lastRowLastColumn="0"/>
              <w:rPr>
                <w:b/>
                <w:bCs/>
                <w:szCs w:val="20"/>
              </w:rPr>
            </w:pPr>
          </w:p>
        </w:tc>
        <w:tc>
          <w:tcPr>
            <w:tcW w:w="0" w:type="auto"/>
            <w:vAlign w:val="center"/>
            <w:hideMark/>
          </w:tcPr>
          <w:p w14:paraId="21AEFBC8" w14:textId="77777777" w:rsidR="00E33451" w:rsidRPr="00AA22F2" w:rsidRDefault="00E33451" w:rsidP="000A3EA4">
            <w:pPr>
              <w:jc w:val="left"/>
              <w:cnfStyle w:val="000000000000" w:firstRow="0" w:lastRow="0" w:firstColumn="0" w:lastColumn="0" w:oddVBand="0" w:evenVBand="0" w:oddHBand="0" w:evenHBand="0" w:firstRowFirstColumn="0" w:firstRowLastColumn="0" w:lastRowFirstColumn="0" w:lastRowLastColumn="0"/>
              <w:rPr>
                <w:szCs w:val="20"/>
              </w:rPr>
            </w:pPr>
            <w:r w:rsidRPr="00AA22F2">
              <w:rPr>
                <w:b/>
                <w:bCs/>
                <w:szCs w:val="20"/>
              </w:rPr>
              <w:t>Durée</w:t>
            </w:r>
          </w:p>
        </w:tc>
        <w:tc>
          <w:tcPr>
            <w:tcW w:w="0" w:type="auto"/>
          </w:tcPr>
          <w:p w14:paraId="50FDF2A9" w14:textId="4B8FEDCA" w:rsidR="00E33451" w:rsidRPr="00AA22F2" w:rsidRDefault="00E33451" w:rsidP="000A3EA4">
            <w:pPr>
              <w:cnfStyle w:val="000000000000" w:firstRow="0" w:lastRow="0" w:firstColumn="0" w:lastColumn="0" w:oddVBand="0" w:evenVBand="0" w:oddHBand="0" w:evenHBand="0" w:firstRowFirstColumn="0" w:firstRowLastColumn="0" w:lastRowFirstColumn="0" w:lastRowLastColumn="0"/>
              <w:rPr>
                <w:szCs w:val="20"/>
              </w:rPr>
            </w:pPr>
            <w:r w:rsidRPr="00AA22F2">
              <w:rPr>
                <w:szCs w:val="20"/>
              </w:rPr>
              <w:t>Impact persistant sur l’ensemble de la phase d’exploitation</w:t>
            </w:r>
          </w:p>
        </w:tc>
        <w:tc>
          <w:tcPr>
            <w:tcW w:w="0" w:type="auto"/>
          </w:tcPr>
          <w:p w14:paraId="3953106A" w14:textId="48CA9052" w:rsidR="00E33451" w:rsidRPr="00AA22F2" w:rsidRDefault="00E33451" w:rsidP="000A3EA4">
            <w:pPr>
              <w:cnfStyle w:val="000000000000" w:firstRow="0" w:lastRow="0" w:firstColumn="0" w:lastColumn="0" w:oddVBand="0" w:evenVBand="0" w:oddHBand="0" w:evenHBand="0" w:firstRowFirstColumn="0" w:firstRowLastColumn="0" w:lastRowFirstColumn="0" w:lastRowLastColumn="0"/>
              <w:rPr>
                <w:szCs w:val="20"/>
              </w:rPr>
            </w:pPr>
            <w:r w:rsidRPr="00AA22F2">
              <w:rPr>
                <w:szCs w:val="20"/>
              </w:rPr>
              <w:t>Long terme</w:t>
            </w:r>
          </w:p>
        </w:tc>
      </w:tr>
      <w:tr w:rsidR="00E33451" w:rsidRPr="00E33451" w14:paraId="0F8F26D1" w14:textId="77777777" w:rsidTr="005A7661">
        <w:tc>
          <w:tcPr>
            <w:cnfStyle w:val="001000000000" w:firstRow="0" w:lastRow="0" w:firstColumn="1" w:lastColumn="0" w:oddVBand="0" w:evenVBand="0" w:oddHBand="0" w:evenHBand="0" w:firstRowFirstColumn="0" w:firstRowLastColumn="0" w:lastRowFirstColumn="0" w:lastRowLastColumn="0"/>
            <w:tcW w:w="0" w:type="auto"/>
            <w:vMerge/>
            <w:vAlign w:val="center"/>
          </w:tcPr>
          <w:p w14:paraId="7EF572EE" w14:textId="77777777" w:rsidR="00E33451" w:rsidRPr="00AA22F2" w:rsidRDefault="00E33451" w:rsidP="000A3EA4">
            <w:pPr>
              <w:jc w:val="left"/>
              <w:rPr>
                <w:b w:val="0"/>
                <w:bCs w:val="0"/>
                <w:szCs w:val="20"/>
              </w:rPr>
            </w:pPr>
          </w:p>
        </w:tc>
        <w:tc>
          <w:tcPr>
            <w:tcW w:w="0" w:type="auto"/>
            <w:vMerge/>
            <w:vAlign w:val="center"/>
          </w:tcPr>
          <w:p w14:paraId="29470D52" w14:textId="77777777" w:rsidR="00E33451" w:rsidRPr="00AA22F2" w:rsidRDefault="00E33451" w:rsidP="000A3EA4">
            <w:pPr>
              <w:jc w:val="left"/>
              <w:cnfStyle w:val="000000000000" w:firstRow="0" w:lastRow="0" w:firstColumn="0" w:lastColumn="0" w:oddVBand="0" w:evenVBand="0" w:oddHBand="0" w:evenHBand="0" w:firstRowFirstColumn="0" w:firstRowLastColumn="0" w:lastRowFirstColumn="0" w:lastRowLastColumn="0"/>
              <w:rPr>
                <w:b/>
                <w:bCs/>
                <w:szCs w:val="20"/>
              </w:rPr>
            </w:pPr>
          </w:p>
        </w:tc>
        <w:tc>
          <w:tcPr>
            <w:tcW w:w="0" w:type="auto"/>
            <w:vAlign w:val="center"/>
            <w:hideMark/>
          </w:tcPr>
          <w:p w14:paraId="25D6DC2E" w14:textId="77777777" w:rsidR="00E33451" w:rsidRPr="00AA22F2" w:rsidRDefault="00E33451" w:rsidP="000A3EA4">
            <w:pPr>
              <w:jc w:val="left"/>
              <w:cnfStyle w:val="000000000000" w:firstRow="0" w:lastRow="0" w:firstColumn="0" w:lastColumn="0" w:oddVBand="0" w:evenVBand="0" w:oddHBand="0" w:evenHBand="0" w:firstRowFirstColumn="0" w:firstRowLastColumn="0" w:lastRowFirstColumn="0" w:lastRowLastColumn="0"/>
              <w:rPr>
                <w:szCs w:val="20"/>
              </w:rPr>
            </w:pPr>
            <w:r w:rsidRPr="00AA22F2">
              <w:rPr>
                <w:b/>
                <w:bCs/>
                <w:szCs w:val="20"/>
              </w:rPr>
              <w:t>Fréquence</w:t>
            </w:r>
          </w:p>
        </w:tc>
        <w:tc>
          <w:tcPr>
            <w:tcW w:w="0" w:type="auto"/>
          </w:tcPr>
          <w:p w14:paraId="3EC99EF0" w14:textId="3E197D27" w:rsidR="00E33451" w:rsidRPr="00AA22F2" w:rsidRDefault="00E33451" w:rsidP="000A3EA4">
            <w:pPr>
              <w:cnfStyle w:val="000000000000" w:firstRow="0" w:lastRow="0" w:firstColumn="0" w:lastColumn="0" w:oddVBand="0" w:evenVBand="0" w:oddHBand="0" w:evenHBand="0" w:firstRowFirstColumn="0" w:firstRowLastColumn="0" w:lastRowFirstColumn="0" w:lastRowLastColumn="0"/>
              <w:rPr>
                <w:szCs w:val="20"/>
              </w:rPr>
            </w:pPr>
            <w:r w:rsidRPr="00AA22F2">
              <w:rPr>
                <w:szCs w:val="20"/>
              </w:rPr>
              <w:t>Phénomène continu, avec pics aux heures de pointe</w:t>
            </w:r>
          </w:p>
        </w:tc>
        <w:tc>
          <w:tcPr>
            <w:tcW w:w="0" w:type="auto"/>
          </w:tcPr>
          <w:p w14:paraId="57E328F0" w14:textId="24695767" w:rsidR="00E33451" w:rsidRPr="00AA22F2" w:rsidRDefault="00E33451" w:rsidP="000A3EA4">
            <w:pPr>
              <w:cnfStyle w:val="000000000000" w:firstRow="0" w:lastRow="0" w:firstColumn="0" w:lastColumn="0" w:oddVBand="0" w:evenVBand="0" w:oddHBand="0" w:evenHBand="0" w:firstRowFirstColumn="0" w:firstRowLastColumn="0" w:lastRowFirstColumn="0" w:lastRowLastColumn="0"/>
              <w:rPr>
                <w:szCs w:val="20"/>
              </w:rPr>
            </w:pPr>
            <w:r w:rsidRPr="00AA22F2">
              <w:rPr>
                <w:szCs w:val="20"/>
              </w:rPr>
              <w:t>Continu</w:t>
            </w:r>
          </w:p>
        </w:tc>
      </w:tr>
      <w:tr w:rsidR="00E33451" w:rsidRPr="00E33451" w14:paraId="44E23F20" w14:textId="77777777" w:rsidTr="004D5485">
        <w:tc>
          <w:tcPr>
            <w:cnfStyle w:val="001000000000" w:firstRow="0" w:lastRow="0" w:firstColumn="1" w:lastColumn="0" w:oddVBand="0" w:evenVBand="0" w:oddHBand="0" w:evenHBand="0" w:firstRowFirstColumn="0" w:firstRowLastColumn="0" w:lastRowFirstColumn="0" w:lastRowLastColumn="0"/>
            <w:tcW w:w="0" w:type="auto"/>
            <w:vMerge/>
            <w:shd w:val="clear" w:color="auto" w:fill="D9E2F3" w:themeFill="accent1" w:themeFillTint="33"/>
            <w:vAlign w:val="center"/>
          </w:tcPr>
          <w:p w14:paraId="4C5E28ED" w14:textId="77777777" w:rsidR="00E33451" w:rsidRPr="00AA22F2" w:rsidRDefault="00E33451" w:rsidP="000A3EA4">
            <w:pPr>
              <w:jc w:val="left"/>
              <w:rPr>
                <w:b w:val="0"/>
                <w:bCs w:val="0"/>
                <w:szCs w:val="20"/>
              </w:rPr>
            </w:pPr>
          </w:p>
        </w:tc>
        <w:tc>
          <w:tcPr>
            <w:tcW w:w="0" w:type="auto"/>
            <w:vMerge/>
            <w:shd w:val="clear" w:color="auto" w:fill="D9E2F3" w:themeFill="accent1" w:themeFillTint="33"/>
            <w:vAlign w:val="center"/>
          </w:tcPr>
          <w:p w14:paraId="5354E09E" w14:textId="77777777" w:rsidR="00E33451" w:rsidRPr="00AA22F2" w:rsidRDefault="00E33451" w:rsidP="000A3EA4">
            <w:pPr>
              <w:jc w:val="left"/>
              <w:cnfStyle w:val="000000000000" w:firstRow="0" w:lastRow="0" w:firstColumn="0" w:lastColumn="0" w:oddVBand="0" w:evenVBand="0" w:oddHBand="0" w:evenHBand="0" w:firstRowFirstColumn="0" w:firstRowLastColumn="0" w:lastRowFirstColumn="0" w:lastRowLastColumn="0"/>
              <w:rPr>
                <w:b/>
                <w:bCs/>
                <w:szCs w:val="20"/>
              </w:rPr>
            </w:pPr>
          </w:p>
        </w:tc>
        <w:tc>
          <w:tcPr>
            <w:tcW w:w="0" w:type="auto"/>
            <w:tcBorders>
              <w:right w:val="single" w:sz="4" w:space="0" w:color="BFBFBF" w:themeColor="background1" w:themeShade="BF"/>
            </w:tcBorders>
            <w:shd w:val="clear" w:color="auto" w:fill="D9E2F3" w:themeFill="accent1" w:themeFillTint="33"/>
            <w:vAlign w:val="center"/>
          </w:tcPr>
          <w:p w14:paraId="7A39E30A" w14:textId="77777777" w:rsidR="00E33451" w:rsidRPr="00AA22F2" w:rsidRDefault="00E33451" w:rsidP="000A3EA4">
            <w:pPr>
              <w:jc w:val="left"/>
              <w:cnfStyle w:val="000000000000" w:firstRow="0" w:lastRow="0" w:firstColumn="0" w:lastColumn="0" w:oddVBand="0" w:evenVBand="0" w:oddHBand="0" w:evenHBand="0" w:firstRowFirstColumn="0" w:firstRowLastColumn="0" w:lastRowFirstColumn="0" w:lastRowLastColumn="0"/>
              <w:rPr>
                <w:b/>
                <w:bCs/>
                <w:szCs w:val="20"/>
              </w:rPr>
            </w:pPr>
            <w:r w:rsidRPr="00AA22F2">
              <w:rPr>
                <w:b/>
                <w:bCs/>
                <w:szCs w:val="20"/>
              </w:rPr>
              <w:t xml:space="preserve">Intensité de l’impact </w:t>
            </w:r>
          </w:p>
        </w:tc>
        <w:tc>
          <w:tcPr>
            <w:tcW w:w="0" w:type="auto"/>
            <w:tcBorders>
              <w:left w:val="single" w:sz="4" w:space="0" w:color="BFBFBF" w:themeColor="background1" w:themeShade="BF"/>
            </w:tcBorders>
            <w:shd w:val="clear" w:color="auto" w:fill="D9E2F3" w:themeFill="accent1" w:themeFillTint="33"/>
          </w:tcPr>
          <w:p w14:paraId="19C7E814" w14:textId="12879C76" w:rsidR="00E33451" w:rsidRPr="00AA22F2" w:rsidRDefault="00E33451" w:rsidP="000A3EA4">
            <w:pPr>
              <w:cnfStyle w:val="000000000000" w:firstRow="0" w:lastRow="0" w:firstColumn="0" w:lastColumn="0" w:oddVBand="0" w:evenVBand="0" w:oddHBand="0" w:evenHBand="0" w:firstRowFirstColumn="0" w:firstRowLastColumn="0" w:lastRowFirstColumn="0" w:lastRowLastColumn="0"/>
              <w:rPr>
                <w:szCs w:val="20"/>
              </w:rPr>
            </w:pPr>
            <w:r w:rsidRPr="00AA22F2">
              <w:rPr>
                <w:szCs w:val="20"/>
              </w:rPr>
              <w:t>Émissions constantes mais modérées, ventilées naturellement</w:t>
            </w:r>
          </w:p>
        </w:tc>
        <w:tc>
          <w:tcPr>
            <w:tcW w:w="0" w:type="auto"/>
            <w:shd w:val="clear" w:color="auto" w:fill="D9E2F3" w:themeFill="accent1" w:themeFillTint="33"/>
          </w:tcPr>
          <w:p w14:paraId="251EFB0B" w14:textId="5A8146EA" w:rsidR="00E33451" w:rsidRPr="00AA22F2" w:rsidRDefault="00E33451" w:rsidP="000A3EA4">
            <w:pPr>
              <w:cnfStyle w:val="000000000000" w:firstRow="0" w:lastRow="0" w:firstColumn="0" w:lastColumn="0" w:oddVBand="0" w:evenVBand="0" w:oddHBand="0" w:evenHBand="0" w:firstRowFirstColumn="0" w:firstRowLastColumn="0" w:lastRowFirstColumn="0" w:lastRowLastColumn="0"/>
              <w:rPr>
                <w:b/>
                <w:bCs/>
                <w:szCs w:val="20"/>
              </w:rPr>
            </w:pPr>
            <w:r w:rsidRPr="00AA22F2">
              <w:rPr>
                <w:b/>
                <w:bCs/>
                <w:szCs w:val="20"/>
              </w:rPr>
              <w:t>Moyenne</w:t>
            </w:r>
          </w:p>
        </w:tc>
      </w:tr>
      <w:tr w:rsidR="00E33451" w:rsidRPr="00E33451" w14:paraId="4154BB8C" w14:textId="77777777" w:rsidTr="005A7661">
        <w:tc>
          <w:tcPr>
            <w:cnfStyle w:val="001000000000" w:firstRow="0" w:lastRow="0" w:firstColumn="1" w:lastColumn="0" w:oddVBand="0" w:evenVBand="0" w:oddHBand="0" w:evenHBand="0" w:firstRowFirstColumn="0" w:firstRowLastColumn="0" w:lastRowFirstColumn="0" w:lastRowLastColumn="0"/>
            <w:tcW w:w="0" w:type="auto"/>
            <w:vMerge/>
            <w:shd w:val="clear" w:color="auto" w:fill="auto"/>
            <w:vAlign w:val="center"/>
          </w:tcPr>
          <w:p w14:paraId="31275B0F" w14:textId="77777777" w:rsidR="00E33451" w:rsidRPr="00E33451" w:rsidRDefault="00E33451" w:rsidP="000A3EA4">
            <w:pPr>
              <w:jc w:val="left"/>
              <w:rPr>
                <w:b w:val="0"/>
                <w:bCs w:val="0"/>
                <w:szCs w:val="20"/>
              </w:rPr>
            </w:pPr>
          </w:p>
        </w:tc>
        <w:tc>
          <w:tcPr>
            <w:tcW w:w="0" w:type="auto"/>
            <w:shd w:val="clear" w:color="auto" w:fill="auto"/>
            <w:vAlign w:val="center"/>
          </w:tcPr>
          <w:p w14:paraId="4DDD1C99" w14:textId="77777777" w:rsidR="00E33451" w:rsidRPr="00E33451" w:rsidRDefault="00E33451" w:rsidP="000A3EA4">
            <w:pPr>
              <w:jc w:val="left"/>
              <w:cnfStyle w:val="000000000000" w:firstRow="0" w:lastRow="0" w:firstColumn="0" w:lastColumn="0" w:oddVBand="0" w:evenVBand="0" w:oddHBand="0" w:evenHBand="0" w:firstRowFirstColumn="0" w:firstRowLastColumn="0" w:lastRowFirstColumn="0" w:lastRowLastColumn="0"/>
              <w:rPr>
                <w:b/>
                <w:bCs/>
                <w:szCs w:val="20"/>
              </w:rPr>
            </w:pPr>
          </w:p>
        </w:tc>
        <w:tc>
          <w:tcPr>
            <w:tcW w:w="0" w:type="auto"/>
            <w:tcBorders>
              <w:right w:val="single" w:sz="4" w:space="0" w:color="BFBFBF" w:themeColor="background1" w:themeShade="BF"/>
            </w:tcBorders>
            <w:shd w:val="clear" w:color="auto" w:fill="auto"/>
            <w:vAlign w:val="center"/>
          </w:tcPr>
          <w:p w14:paraId="369F04BB" w14:textId="77777777" w:rsidR="00E33451" w:rsidRPr="00E33451" w:rsidRDefault="00E33451" w:rsidP="000A3EA4">
            <w:pPr>
              <w:jc w:val="left"/>
              <w:cnfStyle w:val="000000000000" w:firstRow="0" w:lastRow="0" w:firstColumn="0" w:lastColumn="0" w:oddVBand="0" w:evenVBand="0" w:oddHBand="0" w:evenHBand="0" w:firstRowFirstColumn="0" w:firstRowLastColumn="0" w:lastRowFirstColumn="0" w:lastRowLastColumn="0"/>
              <w:rPr>
                <w:b/>
                <w:bCs/>
                <w:szCs w:val="20"/>
              </w:rPr>
            </w:pPr>
          </w:p>
        </w:tc>
        <w:tc>
          <w:tcPr>
            <w:tcW w:w="0" w:type="auto"/>
            <w:tcBorders>
              <w:left w:val="single" w:sz="4" w:space="0" w:color="BFBFBF" w:themeColor="background1" w:themeShade="BF"/>
            </w:tcBorders>
            <w:shd w:val="clear" w:color="auto" w:fill="auto"/>
          </w:tcPr>
          <w:p w14:paraId="0D854A09" w14:textId="77777777" w:rsidR="00E33451" w:rsidRPr="00E33451" w:rsidRDefault="00E33451" w:rsidP="000A3EA4">
            <w:pPr>
              <w:cnfStyle w:val="000000000000" w:firstRow="0" w:lastRow="0" w:firstColumn="0" w:lastColumn="0" w:oddVBand="0" w:evenVBand="0" w:oddHBand="0" w:evenHBand="0" w:firstRowFirstColumn="0" w:firstRowLastColumn="0" w:lastRowFirstColumn="0" w:lastRowLastColumn="0"/>
              <w:rPr>
                <w:szCs w:val="20"/>
              </w:rPr>
            </w:pPr>
          </w:p>
        </w:tc>
        <w:tc>
          <w:tcPr>
            <w:tcW w:w="0" w:type="auto"/>
            <w:shd w:val="clear" w:color="auto" w:fill="auto"/>
          </w:tcPr>
          <w:p w14:paraId="4D75F56A" w14:textId="77777777" w:rsidR="00E33451" w:rsidRPr="00E33451" w:rsidRDefault="00E33451" w:rsidP="000A3EA4">
            <w:pPr>
              <w:cnfStyle w:val="000000000000" w:firstRow="0" w:lastRow="0" w:firstColumn="0" w:lastColumn="0" w:oddVBand="0" w:evenVBand="0" w:oddHBand="0" w:evenHBand="0" w:firstRowFirstColumn="0" w:firstRowLastColumn="0" w:lastRowFirstColumn="0" w:lastRowLastColumn="0"/>
              <w:rPr>
                <w:b/>
                <w:bCs/>
                <w:szCs w:val="20"/>
              </w:rPr>
            </w:pPr>
          </w:p>
        </w:tc>
      </w:tr>
      <w:tr w:rsidR="00E33451" w:rsidRPr="00E33451" w14:paraId="283CD23B" w14:textId="77777777" w:rsidTr="005A7661">
        <w:tc>
          <w:tcPr>
            <w:cnfStyle w:val="001000000000" w:firstRow="0" w:lastRow="0" w:firstColumn="1" w:lastColumn="0" w:oddVBand="0" w:evenVBand="0" w:oddHBand="0" w:evenHBand="0" w:firstRowFirstColumn="0" w:firstRowLastColumn="0" w:lastRowFirstColumn="0" w:lastRowLastColumn="0"/>
            <w:tcW w:w="0" w:type="auto"/>
            <w:vMerge/>
            <w:shd w:val="clear" w:color="auto" w:fill="auto"/>
            <w:vAlign w:val="center"/>
          </w:tcPr>
          <w:p w14:paraId="6AABD41B" w14:textId="77777777" w:rsidR="00E33451" w:rsidRPr="00E33451" w:rsidRDefault="00E33451" w:rsidP="00E33451">
            <w:pPr>
              <w:jc w:val="left"/>
              <w:rPr>
                <w:b w:val="0"/>
                <w:bCs w:val="0"/>
                <w:szCs w:val="20"/>
              </w:rPr>
            </w:pPr>
          </w:p>
        </w:tc>
        <w:tc>
          <w:tcPr>
            <w:tcW w:w="0" w:type="auto"/>
            <w:shd w:val="clear" w:color="auto" w:fill="8EAADB" w:themeFill="accent1" w:themeFillTint="99"/>
            <w:vAlign w:val="center"/>
          </w:tcPr>
          <w:p w14:paraId="5CF4FF60" w14:textId="14785A0D" w:rsidR="00E33451" w:rsidRPr="00E33451" w:rsidRDefault="00E33451" w:rsidP="00E33451">
            <w:pPr>
              <w:jc w:val="left"/>
              <w:cnfStyle w:val="000000000000" w:firstRow="0" w:lastRow="0" w:firstColumn="0" w:lastColumn="0" w:oddVBand="0" w:evenVBand="0" w:oddHBand="0" w:evenHBand="0" w:firstRowFirstColumn="0" w:firstRowLastColumn="0" w:lastRowFirstColumn="0" w:lastRowLastColumn="0"/>
              <w:rPr>
                <w:b/>
                <w:bCs/>
                <w:szCs w:val="20"/>
              </w:rPr>
            </w:pPr>
            <w:r w:rsidRPr="004637C7">
              <w:rPr>
                <w:b/>
                <w:bCs/>
                <w:szCs w:val="20"/>
              </w:rPr>
              <w:t>Intensité de l’impact</w:t>
            </w:r>
          </w:p>
        </w:tc>
        <w:tc>
          <w:tcPr>
            <w:tcW w:w="0" w:type="auto"/>
            <w:tcBorders>
              <w:right w:val="single" w:sz="4" w:space="0" w:color="BFBFBF" w:themeColor="background1" w:themeShade="BF"/>
            </w:tcBorders>
            <w:shd w:val="clear" w:color="auto" w:fill="8EAADB" w:themeFill="accent1" w:themeFillTint="99"/>
            <w:vAlign w:val="center"/>
          </w:tcPr>
          <w:p w14:paraId="3DF5F179" w14:textId="68235294" w:rsidR="00E33451" w:rsidRPr="00E33451" w:rsidRDefault="00E33451" w:rsidP="00E33451">
            <w:pPr>
              <w:jc w:val="left"/>
              <w:cnfStyle w:val="000000000000" w:firstRow="0" w:lastRow="0" w:firstColumn="0" w:lastColumn="0" w:oddVBand="0" w:evenVBand="0" w:oddHBand="0" w:evenHBand="0" w:firstRowFirstColumn="0" w:firstRowLastColumn="0" w:lastRowFirstColumn="0" w:lastRowLastColumn="0"/>
              <w:rPr>
                <w:b/>
                <w:bCs/>
                <w:szCs w:val="20"/>
              </w:rPr>
            </w:pPr>
            <w:r w:rsidRPr="004637C7">
              <w:rPr>
                <w:b/>
                <w:bCs/>
                <w:szCs w:val="20"/>
              </w:rPr>
              <w:t>Récepteurs</w:t>
            </w:r>
          </w:p>
        </w:tc>
        <w:tc>
          <w:tcPr>
            <w:tcW w:w="0" w:type="auto"/>
            <w:tcBorders>
              <w:left w:val="single" w:sz="4" w:space="0" w:color="BFBFBF" w:themeColor="background1" w:themeShade="BF"/>
            </w:tcBorders>
            <w:shd w:val="clear" w:color="auto" w:fill="8EAADB" w:themeFill="accent1" w:themeFillTint="99"/>
            <w:vAlign w:val="center"/>
          </w:tcPr>
          <w:p w14:paraId="1F3D8281" w14:textId="2E23D7E6" w:rsidR="00E33451" w:rsidRPr="004637C7" w:rsidRDefault="00E33451" w:rsidP="00E33451">
            <w:pPr>
              <w:cnfStyle w:val="000000000000" w:firstRow="0" w:lastRow="0" w:firstColumn="0" w:lastColumn="0" w:oddVBand="0" w:evenVBand="0" w:oddHBand="0" w:evenHBand="0" w:firstRowFirstColumn="0" w:firstRowLastColumn="0" w:lastRowFirstColumn="0" w:lastRowLastColumn="0"/>
              <w:rPr>
                <w:b/>
                <w:bCs/>
                <w:szCs w:val="20"/>
              </w:rPr>
            </w:pPr>
            <w:r w:rsidRPr="004637C7">
              <w:rPr>
                <w:b/>
                <w:bCs/>
                <w:szCs w:val="20"/>
              </w:rPr>
              <w:t>Sensibilité</w:t>
            </w:r>
          </w:p>
        </w:tc>
        <w:tc>
          <w:tcPr>
            <w:tcW w:w="0" w:type="auto"/>
            <w:shd w:val="clear" w:color="auto" w:fill="8EAADB" w:themeFill="accent1" w:themeFillTint="99"/>
            <w:vAlign w:val="center"/>
          </w:tcPr>
          <w:p w14:paraId="15C456A6" w14:textId="301E6E1E" w:rsidR="00E33451" w:rsidRPr="00E33451" w:rsidRDefault="00E33451" w:rsidP="00E33451">
            <w:pPr>
              <w:cnfStyle w:val="000000000000" w:firstRow="0" w:lastRow="0" w:firstColumn="0" w:lastColumn="0" w:oddVBand="0" w:evenVBand="0" w:oddHBand="0" w:evenHBand="0" w:firstRowFirstColumn="0" w:firstRowLastColumn="0" w:lastRowFirstColumn="0" w:lastRowLastColumn="0"/>
              <w:rPr>
                <w:b/>
                <w:bCs/>
                <w:szCs w:val="20"/>
              </w:rPr>
            </w:pPr>
            <w:r w:rsidRPr="004637C7">
              <w:rPr>
                <w:b/>
                <w:bCs/>
                <w:szCs w:val="20"/>
              </w:rPr>
              <w:t>Importance de l’impact</w:t>
            </w:r>
          </w:p>
        </w:tc>
      </w:tr>
      <w:tr w:rsidR="00E33451" w:rsidRPr="00E33451" w14:paraId="439D65A6" w14:textId="77777777" w:rsidTr="005A7661">
        <w:tc>
          <w:tcPr>
            <w:cnfStyle w:val="001000000000" w:firstRow="0" w:lastRow="0" w:firstColumn="1" w:lastColumn="0" w:oddVBand="0" w:evenVBand="0" w:oddHBand="0" w:evenHBand="0" w:firstRowFirstColumn="0" w:firstRowLastColumn="0" w:lastRowFirstColumn="0" w:lastRowLastColumn="0"/>
            <w:tcW w:w="0" w:type="auto"/>
            <w:vMerge/>
            <w:shd w:val="clear" w:color="auto" w:fill="auto"/>
            <w:vAlign w:val="center"/>
          </w:tcPr>
          <w:p w14:paraId="4059F68D" w14:textId="77777777" w:rsidR="00E33451" w:rsidRPr="00E33451" w:rsidRDefault="00E33451" w:rsidP="00E33451">
            <w:pPr>
              <w:jc w:val="left"/>
              <w:rPr>
                <w:b w:val="0"/>
                <w:bCs w:val="0"/>
                <w:szCs w:val="20"/>
              </w:rPr>
            </w:pPr>
          </w:p>
        </w:tc>
        <w:tc>
          <w:tcPr>
            <w:tcW w:w="0" w:type="auto"/>
            <w:vMerge w:val="restart"/>
            <w:shd w:val="clear" w:color="auto" w:fill="auto"/>
            <w:vAlign w:val="center"/>
          </w:tcPr>
          <w:p w14:paraId="5654663F" w14:textId="6ADE4563" w:rsidR="00E33451" w:rsidRPr="00E33451" w:rsidRDefault="00E33451" w:rsidP="00E33451">
            <w:pPr>
              <w:jc w:val="left"/>
              <w:cnfStyle w:val="000000000000" w:firstRow="0" w:lastRow="0" w:firstColumn="0" w:lastColumn="0" w:oddVBand="0" w:evenVBand="0" w:oddHBand="0" w:evenHBand="0" w:firstRowFirstColumn="0" w:firstRowLastColumn="0" w:lastRowFirstColumn="0" w:lastRowLastColumn="0"/>
              <w:rPr>
                <w:b/>
                <w:bCs/>
                <w:szCs w:val="20"/>
              </w:rPr>
            </w:pPr>
            <w:r w:rsidRPr="00AA22F2">
              <w:rPr>
                <w:b/>
                <w:bCs/>
                <w:szCs w:val="20"/>
              </w:rPr>
              <w:t>Moyenne</w:t>
            </w:r>
          </w:p>
        </w:tc>
        <w:tc>
          <w:tcPr>
            <w:tcW w:w="0" w:type="auto"/>
            <w:tcBorders>
              <w:right w:val="single" w:sz="4" w:space="0" w:color="BFBFBF" w:themeColor="background1" w:themeShade="BF"/>
            </w:tcBorders>
            <w:shd w:val="clear" w:color="auto" w:fill="auto"/>
            <w:vAlign w:val="center"/>
          </w:tcPr>
          <w:p w14:paraId="7EE375B8" w14:textId="465BCE32" w:rsidR="00E33451" w:rsidRPr="00E33451" w:rsidRDefault="00E33451" w:rsidP="00E33451">
            <w:pPr>
              <w:jc w:val="left"/>
              <w:cnfStyle w:val="000000000000" w:firstRow="0" w:lastRow="0" w:firstColumn="0" w:lastColumn="0" w:oddVBand="0" w:evenVBand="0" w:oddHBand="0" w:evenHBand="0" w:firstRowFirstColumn="0" w:firstRowLastColumn="0" w:lastRowFirstColumn="0" w:lastRowLastColumn="0"/>
              <w:rPr>
                <w:b/>
                <w:bCs/>
                <w:szCs w:val="20"/>
              </w:rPr>
            </w:pPr>
            <w:r w:rsidRPr="00AA22F2">
              <w:rPr>
                <w:b/>
                <w:bCs/>
                <w:szCs w:val="20"/>
              </w:rPr>
              <w:t>Personnel aéroportuaire</w:t>
            </w:r>
          </w:p>
        </w:tc>
        <w:tc>
          <w:tcPr>
            <w:tcW w:w="0" w:type="auto"/>
            <w:tcBorders>
              <w:left w:val="single" w:sz="4" w:space="0" w:color="BFBFBF" w:themeColor="background1" w:themeShade="BF"/>
            </w:tcBorders>
            <w:shd w:val="clear" w:color="auto" w:fill="auto"/>
            <w:vAlign w:val="center"/>
          </w:tcPr>
          <w:p w14:paraId="77281731" w14:textId="4B0230ED" w:rsidR="00E33451" w:rsidRPr="00E33451" w:rsidRDefault="00E33451" w:rsidP="00E33451">
            <w:pPr>
              <w:cnfStyle w:val="000000000000" w:firstRow="0" w:lastRow="0" w:firstColumn="0" w:lastColumn="0" w:oddVBand="0" w:evenVBand="0" w:oddHBand="0" w:evenHBand="0" w:firstRowFirstColumn="0" w:firstRowLastColumn="0" w:lastRowFirstColumn="0" w:lastRowLastColumn="0"/>
              <w:rPr>
                <w:szCs w:val="20"/>
              </w:rPr>
            </w:pPr>
            <w:r w:rsidRPr="00AA22F2">
              <w:rPr>
                <w:szCs w:val="20"/>
              </w:rPr>
              <w:t>Moyenne</w:t>
            </w:r>
          </w:p>
        </w:tc>
        <w:tc>
          <w:tcPr>
            <w:tcW w:w="0" w:type="auto"/>
            <w:shd w:val="clear" w:color="auto" w:fill="auto"/>
            <w:vAlign w:val="center"/>
          </w:tcPr>
          <w:p w14:paraId="580E9CAC" w14:textId="2E1BC8FE" w:rsidR="00E33451" w:rsidRPr="00E33451" w:rsidRDefault="00E33451" w:rsidP="00E33451">
            <w:pPr>
              <w:cnfStyle w:val="000000000000" w:firstRow="0" w:lastRow="0" w:firstColumn="0" w:lastColumn="0" w:oddVBand="0" w:evenVBand="0" w:oddHBand="0" w:evenHBand="0" w:firstRowFirstColumn="0" w:firstRowLastColumn="0" w:lastRowFirstColumn="0" w:lastRowLastColumn="0"/>
              <w:rPr>
                <w:b/>
                <w:bCs/>
                <w:szCs w:val="20"/>
              </w:rPr>
            </w:pPr>
            <w:r w:rsidRPr="00AA22F2">
              <w:rPr>
                <w:b/>
                <w:bCs/>
                <w:szCs w:val="20"/>
              </w:rPr>
              <w:t>Modérée</w:t>
            </w:r>
          </w:p>
        </w:tc>
      </w:tr>
      <w:tr w:rsidR="00E33451" w:rsidRPr="00E33451" w14:paraId="60B7A08E" w14:textId="77777777" w:rsidTr="005A7661">
        <w:tc>
          <w:tcPr>
            <w:cnfStyle w:val="001000000000" w:firstRow="0" w:lastRow="0" w:firstColumn="1" w:lastColumn="0" w:oddVBand="0" w:evenVBand="0" w:oddHBand="0" w:evenHBand="0" w:firstRowFirstColumn="0" w:firstRowLastColumn="0" w:lastRowFirstColumn="0" w:lastRowLastColumn="0"/>
            <w:tcW w:w="0" w:type="auto"/>
            <w:vMerge/>
            <w:shd w:val="clear" w:color="auto" w:fill="auto"/>
            <w:vAlign w:val="center"/>
          </w:tcPr>
          <w:p w14:paraId="0851721E" w14:textId="77777777" w:rsidR="00E33451" w:rsidRPr="00E33451" w:rsidRDefault="00E33451" w:rsidP="00E33451">
            <w:pPr>
              <w:jc w:val="left"/>
              <w:rPr>
                <w:b w:val="0"/>
                <w:bCs w:val="0"/>
                <w:szCs w:val="20"/>
              </w:rPr>
            </w:pPr>
          </w:p>
        </w:tc>
        <w:tc>
          <w:tcPr>
            <w:tcW w:w="0" w:type="auto"/>
            <w:vMerge/>
            <w:shd w:val="clear" w:color="auto" w:fill="auto"/>
            <w:vAlign w:val="center"/>
          </w:tcPr>
          <w:p w14:paraId="37939016" w14:textId="77777777" w:rsidR="00E33451" w:rsidRPr="00E33451" w:rsidRDefault="00E33451" w:rsidP="00E33451">
            <w:pPr>
              <w:jc w:val="left"/>
              <w:cnfStyle w:val="000000000000" w:firstRow="0" w:lastRow="0" w:firstColumn="0" w:lastColumn="0" w:oddVBand="0" w:evenVBand="0" w:oddHBand="0" w:evenHBand="0" w:firstRowFirstColumn="0" w:firstRowLastColumn="0" w:lastRowFirstColumn="0" w:lastRowLastColumn="0"/>
              <w:rPr>
                <w:b/>
                <w:bCs/>
                <w:szCs w:val="20"/>
              </w:rPr>
            </w:pPr>
          </w:p>
        </w:tc>
        <w:tc>
          <w:tcPr>
            <w:tcW w:w="0" w:type="auto"/>
            <w:tcBorders>
              <w:right w:val="single" w:sz="4" w:space="0" w:color="BFBFBF" w:themeColor="background1" w:themeShade="BF"/>
            </w:tcBorders>
            <w:shd w:val="clear" w:color="auto" w:fill="auto"/>
            <w:vAlign w:val="center"/>
          </w:tcPr>
          <w:p w14:paraId="330B75C2" w14:textId="7AFA8A64" w:rsidR="00E33451" w:rsidRPr="00E33451" w:rsidRDefault="00E33451" w:rsidP="00E33451">
            <w:pPr>
              <w:jc w:val="left"/>
              <w:cnfStyle w:val="000000000000" w:firstRow="0" w:lastRow="0" w:firstColumn="0" w:lastColumn="0" w:oddVBand="0" w:evenVBand="0" w:oddHBand="0" w:evenHBand="0" w:firstRowFirstColumn="0" w:firstRowLastColumn="0" w:lastRowFirstColumn="0" w:lastRowLastColumn="0"/>
              <w:rPr>
                <w:b/>
                <w:bCs/>
                <w:szCs w:val="20"/>
              </w:rPr>
            </w:pPr>
            <w:r w:rsidRPr="00AA22F2">
              <w:rPr>
                <w:b/>
                <w:bCs/>
                <w:szCs w:val="20"/>
              </w:rPr>
              <w:t>Usagers du terminal</w:t>
            </w:r>
          </w:p>
        </w:tc>
        <w:tc>
          <w:tcPr>
            <w:tcW w:w="0" w:type="auto"/>
            <w:tcBorders>
              <w:left w:val="single" w:sz="4" w:space="0" w:color="BFBFBF" w:themeColor="background1" w:themeShade="BF"/>
            </w:tcBorders>
            <w:shd w:val="clear" w:color="auto" w:fill="auto"/>
            <w:vAlign w:val="center"/>
          </w:tcPr>
          <w:p w14:paraId="59B15E2E" w14:textId="789C2186" w:rsidR="00E33451" w:rsidRPr="00E33451" w:rsidRDefault="00E33451" w:rsidP="00E33451">
            <w:pPr>
              <w:cnfStyle w:val="000000000000" w:firstRow="0" w:lastRow="0" w:firstColumn="0" w:lastColumn="0" w:oddVBand="0" w:evenVBand="0" w:oddHBand="0" w:evenHBand="0" w:firstRowFirstColumn="0" w:firstRowLastColumn="0" w:lastRowFirstColumn="0" w:lastRowLastColumn="0"/>
              <w:rPr>
                <w:szCs w:val="20"/>
              </w:rPr>
            </w:pPr>
            <w:r w:rsidRPr="00AA22F2">
              <w:rPr>
                <w:szCs w:val="20"/>
              </w:rPr>
              <w:t>Faible</w:t>
            </w:r>
          </w:p>
        </w:tc>
        <w:tc>
          <w:tcPr>
            <w:tcW w:w="0" w:type="auto"/>
            <w:shd w:val="clear" w:color="auto" w:fill="auto"/>
            <w:vAlign w:val="center"/>
          </w:tcPr>
          <w:p w14:paraId="0476E83A" w14:textId="18BF13FC" w:rsidR="00E33451" w:rsidRPr="00E33451" w:rsidRDefault="00E33451" w:rsidP="00E33451">
            <w:pPr>
              <w:cnfStyle w:val="000000000000" w:firstRow="0" w:lastRow="0" w:firstColumn="0" w:lastColumn="0" w:oddVBand="0" w:evenVBand="0" w:oddHBand="0" w:evenHBand="0" w:firstRowFirstColumn="0" w:firstRowLastColumn="0" w:lastRowFirstColumn="0" w:lastRowLastColumn="0"/>
              <w:rPr>
                <w:b/>
                <w:bCs/>
                <w:szCs w:val="20"/>
              </w:rPr>
            </w:pPr>
            <w:r w:rsidRPr="00AA22F2">
              <w:rPr>
                <w:b/>
                <w:bCs/>
                <w:szCs w:val="20"/>
              </w:rPr>
              <w:t>Mineure</w:t>
            </w:r>
          </w:p>
        </w:tc>
      </w:tr>
      <w:tr w:rsidR="00E33451" w:rsidRPr="00E33451" w14:paraId="134E232C" w14:textId="77777777" w:rsidTr="005A7661">
        <w:tc>
          <w:tcPr>
            <w:cnfStyle w:val="001000000000" w:firstRow="0" w:lastRow="0" w:firstColumn="1" w:lastColumn="0" w:oddVBand="0" w:evenVBand="0" w:oddHBand="0" w:evenHBand="0" w:firstRowFirstColumn="0" w:firstRowLastColumn="0" w:lastRowFirstColumn="0" w:lastRowLastColumn="0"/>
            <w:tcW w:w="0" w:type="auto"/>
            <w:vMerge/>
            <w:shd w:val="clear" w:color="auto" w:fill="auto"/>
            <w:vAlign w:val="center"/>
          </w:tcPr>
          <w:p w14:paraId="7F975D38" w14:textId="77777777" w:rsidR="00E33451" w:rsidRPr="00E33451" w:rsidRDefault="00E33451" w:rsidP="00E33451">
            <w:pPr>
              <w:jc w:val="left"/>
              <w:rPr>
                <w:b w:val="0"/>
                <w:bCs w:val="0"/>
                <w:szCs w:val="20"/>
              </w:rPr>
            </w:pPr>
          </w:p>
        </w:tc>
        <w:tc>
          <w:tcPr>
            <w:tcW w:w="0" w:type="auto"/>
            <w:vMerge/>
            <w:shd w:val="clear" w:color="auto" w:fill="auto"/>
            <w:vAlign w:val="center"/>
          </w:tcPr>
          <w:p w14:paraId="6CE0344A" w14:textId="77777777" w:rsidR="00E33451" w:rsidRPr="00E33451" w:rsidRDefault="00E33451" w:rsidP="00E33451">
            <w:pPr>
              <w:jc w:val="left"/>
              <w:cnfStyle w:val="000000000000" w:firstRow="0" w:lastRow="0" w:firstColumn="0" w:lastColumn="0" w:oddVBand="0" w:evenVBand="0" w:oddHBand="0" w:evenHBand="0" w:firstRowFirstColumn="0" w:firstRowLastColumn="0" w:lastRowFirstColumn="0" w:lastRowLastColumn="0"/>
              <w:rPr>
                <w:b/>
                <w:bCs/>
                <w:szCs w:val="20"/>
              </w:rPr>
            </w:pPr>
          </w:p>
        </w:tc>
        <w:tc>
          <w:tcPr>
            <w:tcW w:w="0" w:type="auto"/>
            <w:tcBorders>
              <w:right w:val="single" w:sz="4" w:space="0" w:color="BFBFBF" w:themeColor="background1" w:themeShade="BF"/>
            </w:tcBorders>
            <w:shd w:val="clear" w:color="auto" w:fill="auto"/>
            <w:vAlign w:val="center"/>
          </w:tcPr>
          <w:p w14:paraId="7042D9F7" w14:textId="5A102D90" w:rsidR="00E33451" w:rsidRPr="00E33451" w:rsidRDefault="00E33451" w:rsidP="00E33451">
            <w:pPr>
              <w:jc w:val="left"/>
              <w:cnfStyle w:val="000000000000" w:firstRow="0" w:lastRow="0" w:firstColumn="0" w:lastColumn="0" w:oddVBand="0" w:evenVBand="0" w:oddHBand="0" w:evenHBand="0" w:firstRowFirstColumn="0" w:firstRowLastColumn="0" w:lastRowFirstColumn="0" w:lastRowLastColumn="0"/>
              <w:rPr>
                <w:b/>
                <w:bCs/>
                <w:szCs w:val="20"/>
              </w:rPr>
            </w:pPr>
            <w:r w:rsidRPr="00AA22F2">
              <w:rPr>
                <w:b/>
                <w:bCs/>
                <w:szCs w:val="20"/>
              </w:rPr>
              <w:t xml:space="preserve">Habitations du </w:t>
            </w:r>
            <w:r w:rsidR="00C75345">
              <w:rPr>
                <w:b/>
                <w:bCs/>
                <w:szCs w:val="20"/>
              </w:rPr>
              <w:t>Bouakkaz</w:t>
            </w:r>
          </w:p>
        </w:tc>
        <w:tc>
          <w:tcPr>
            <w:tcW w:w="0" w:type="auto"/>
            <w:tcBorders>
              <w:left w:val="single" w:sz="4" w:space="0" w:color="BFBFBF" w:themeColor="background1" w:themeShade="BF"/>
            </w:tcBorders>
            <w:shd w:val="clear" w:color="auto" w:fill="auto"/>
            <w:vAlign w:val="center"/>
          </w:tcPr>
          <w:p w14:paraId="4FB0C5E6" w14:textId="2561E621" w:rsidR="00E33451" w:rsidRPr="00E33451" w:rsidRDefault="00E33451" w:rsidP="00E33451">
            <w:pPr>
              <w:cnfStyle w:val="000000000000" w:firstRow="0" w:lastRow="0" w:firstColumn="0" w:lastColumn="0" w:oddVBand="0" w:evenVBand="0" w:oddHBand="0" w:evenHBand="0" w:firstRowFirstColumn="0" w:firstRowLastColumn="0" w:lastRowFirstColumn="0" w:lastRowLastColumn="0"/>
              <w:rPr>
                <w:szCs w:val="20"/>
              </w:rPr>
            </w:pPr>
            <w:r w:rsidRPr="00AA22F2">
              <w:rPr>
                <w:szCs w:val="20"/>
              </w:rPr>
              <w:t>Négligeable</w:t>
            </w:r>
          </w:p>
        </w:tc>
        <w:tc>
          <w:tcPr>
            <w:tcW w:w="0" w:type="auto"/>
            <w:shd w:val="clear" w:color="auto" w:fill="auto"/>
            <w:vAlign w:val="center"/>
          </w:tcPr>
          <w:p w14:paraId="4BA4FB6B" w14:textId="37C654BC" w:rsidR="00E33451" w:rsidRPr="00E33451" w:rsidRDefault="00E33451" w:rsidP="00E33451">
            <w:pPr>
              <w:cnfStyle w:val="000000000000" w:firstRow="0" w:lastRow="0" w:firstColumn="0" w:lastColumn="0" w:oddVBand="0" w:evenVBand="0" w:oddHBand="0" w:evenHBand="0" w:firstRowFirstColumn="0" w:firstRowLastColumn="0" w:lastRowFirstColumn="0" w:lastRowLastColumn="0"/>
              <w:rPr>
                <w:b/>
                <w:bCs/>
                <w:szCs w:val="20"/>
              </w:rPr>
            </w:pPr>
            <w:r w:rsidRPr="00AA22F2">
              <w:rPr>
                <w:b/>
                <w:bCs/>
                <w:szCs w:val="20"/>
              </w:rPr>
              <w:t>Insignifiant</w:t>
            </w:r>
          </w:p>
        </w:tc>
      </w:tr>
    </w:tbl>
    <w:p w14:paraId="0ACBDE08" w14:textId="77777777" w:rsidR="003E62FC" w:rsidRDefault="003E62FC" w:rsidP="003E3DA1">
      <w:r>
        <w:br w:type="page"/>
      </w:r>
    </w:p>
    <w:p w14:paraId="71240C86" w14:textId="36E1AD8D" w:rsidR="00F86EB2" w:rsidRPr="00F86EB2" w:rsidRDefault="00F86EB2" w:rsidP="0001633E">
      <w:pPr>
        <w:pStyle w:val="AltTitle2"/>
        <w:numPr>
          <w:ilvl w:val="0"/>
          <w:numId w:val="106"/>
        </w:numPr>
      </w:pPr>
      <w:r w:rsidRPr="00F86EB2">
        <w:lastRenderedPageBreak/>
        <w:t>Émission et re-suspension de poussières (PM</w:t>
      </w:r>
      <w:r w:rsidRPr="00311E49">
        <w:rPr>
          <w:rFonts w:ascii="Cambria Math" w:hAnsi="Cambria Math" w:cs="Cambria Math"/>
        </w:rPr>
        <w:t>₁₀</w:t>
      </w:r>
      <w:r w:rsidRPr="00F86EB2">
        <w:t>, PM</w:t>
      </w:r>
      <w:r w:rsidRPr="00311E49">
        <w:rPr>
          <w:rFonts w:ascii="Cambria Math" w:hAnsi="Cambria Math" w:cs="Cambria Math"/>
        </w:rPr>
        <w:t>₂</w:t>
      </w:r>
      <w:r w:rsidRPr="00F86EB2">
        <w:t>.</w:t>
      </w:r>
      <w:r w:rsidRPr="00311E49">
        <w:rPr>
          <w:rFonts w:ascii="Cambria Math" w:hAnsi="Cambria Math" w:cs="Cambria Math"/>
        </w:rPr>
        <w:t>₅</w:t>
      </w:r>
      <w:r w:rsidRPr="00F86EB2">
        <w:t>)</w:t>
      </w:r>
    </w:p>
    <w:p w14:paraId="6663C599" w14:textId="77777777" w:rsidR="00E50636" w:rsidRDefault="00E50636" w:rsidP="00E50636">
      <w:r>
        <w:t>Les émissions de poussières résultent principalement du souffle des réacteurs des aéronefs, de la circulation des véhicules d’assistance et de maintenance, ainsi que du déplacement fréquent sur les surfaces asphaltées des parkings et taxiways.</w:t>
      </w:r>
    </w:p>
    <w:p w14:paraId="1CA05D85" w14:textId="661DDEDF" w:rsidR="00E50636" w:rsidRDefault="00E50636" w:rsidP="00E50636">
      <w:r>
        <w:t xml:space="preserve">Lors des journées sèches et ventées typiques du climat </w:t>
      </w:r>
      <w:r w:rsidR="0032128F">
        <w:t>de Marrakech</w:t>
      </w:r>
      <w:r>
        <w:t>, les particules fines (PM₁₀ et PM₂.₅) peuvent être remises en suspension, notamment dans les zones dépourvues de végétation ou présentant des micro-dépôts de poussière.</w:t>
      </w:r>
    </w:p>
    <w:p w14:paraId="4F30701D" w14:textId="77777777" w:rsidR="00E50636" w:rsidRDefault="00E50636" w:rsidP="00E50636">
      <w:r>
        <w:t>L’impact est de nature directe et négative, car il découle directement des activités d’exploitation. Son étendue est très locale, limitée à l’emprise aéroportuaire et principalement aux zones de trafic, sans propagation significative vers l’extérieur.</w:t>
      </w:r>
    </w:p>
    <w:p w14:paraId="1049D63D" w14:textId="77777777" w:rsidR="00E50636" w:rsidRDefault="00E50636" w:rsidP="00E50636">
      <w:r>
        <w:t>La durée est long terme, car le phénomène persiste durant toute la phase d’exploitation. La fréquence est quasi continue, avec une intensification en saison sèche ou lors de vents supérieurs à 30 km/h.</w:t>
      </w:r>
    </w:p>
    <w:p w14:paraId="7BACA37F" w14:textId="77777777" w:rsidR="00E50636" w:rsidRDefault="00E50636" w:rsidP="00E50636">
      <w:r>
        <w:t>L’intensité de l’impact est jugée moyenne, les émissions étant modérées et généralement en-deçà des valeurs guides OMS 2021 (PM₁₀ ≤ 45 µg/m³ ; PM₂.₅ ≤ 15 µg/m³ sur 24 h). La nature asphaltée des surfaces, la stabilisation des accotements et le nettoyage périodique contribuent à réduire considérablement la charge particulaire.</w:t>
      </w:r>
    </w:p>
    <w:p w14:paraId="290927F7" w14:textId="27530D67" w:rsidR="00E50636" w:rsidRDefault="00E50636" w:rsidP="00E50636">
      <w:r>
        <w:t>Les récepteurs sensibles sont d’abord le personnel opérant sur les pistes, exposé à la poussière soulevée par les engins (sensibilité moyenne), puis les usagers du terminal, peu concernés car situés dans des espaces clos et ventilés (sensibilité faible). Les habitations</w:t>
      </w:r>
      <w:r w:rsidR="00537940">
        <w:t xml:space="preserve"> de Bouakkaz</w:t>
      </w:r>
      <w:r>
        <w:t xml:space="preserve">, à environ </w:t>
      </w:r>
      <w:r w:rsidR="00537940">
        <w:t>3</w:t>
      </w:r>
      <w:r>
        <w:t>00m</w:t>
      </w:r>
      <w:r w:rsidR="004D5485">
        <w:t xml:space="preserve"> </w:t>
      </w:r>
      <w:r>
        <w:t>présentent une sensibilité négligeable, les concentrations retombant rapidement en-dessous du bruit de fond atmosphérique.</w:t>
      </w:r>
    </w:p>
    <w:p w14:paraId="0191EAB7" w14:textId="5F4EE6B3" w:rsidR="00E17D10" w:rsidRDefault="00E50636" w:rsidP="00E50636">
      <w:r>
        <w:t>En combinant une intensité moyenne et une sensibilité moyenne à faible, l’impact global est jugé d’importance modérée avant atténuation. Il s’agit d’un impact direct, local, continu et réversible, maîtrisable par la maintenance régulière et la limitation des vitesses de circulation interne.</w:t>
      </w:r>
    </w:p>
    <w:tbl>
      <w:tblPr>
        <w:tblStyle w:val="TableauGrille1Clair-Accentuation111"/>
        <w:tblW w:w="5000" w:type="pct"/>
        <w:tblLook w:val="04A0" w:firstRow="1" w:lastRow="0" w:firstColumn="1" w:lastColumn="0" w:noHBand="0" w:noVBand="1"/>
      </w:tblPr>
      <w:tblGrid>
        <w:gridCol w:w="849"/>
        <w:gridCol w:w="3184"/>
        <w:gridCol w:w="1655"/>
        <w:gridCol w:w="2194"/>
        <w:gridCol w:w="1178"/>
      </w:tblGrid>
      <w:tr w:rsidR="004D5485" w:rsidRPr="007E735B" w14:paraId="544E9C03" w14:textId="77777777" w:rsidTr="00E5063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9" w:type="pct"/>
          </w:tcPr>
          <w:p w14:paraId="151F2071" w14:textId="3FC8A630" w:rsidR="00827D44" w:rsidRPr="00AA22F2" w:rsidRDefault="00827D44" w:rsidP="00827D44">
            <w:pPr>
              <w:rPr>
                <w:szCs w:val="20"/>
              </w:rPr>
            </w:pPr>
            <w:r w:rsidRPr="00AA22F2">
              <w:rPr>
                <w:szCs w:val="20"/>
              </w:rPr>
              <w:t>Impact</w:t>
            </w:r>
          </w:p>
        </w:tc>
        <w:tc>
          <w:tcPr>
            <w:tcW w:w="1757" w:type="pct"/>
          </w:tcPr>
          <w:p w14:paraId="662C45E5" w14:textId="0F9C5CCD" w:rsidR="00827D44" w:rsidRPr="00AA22F2" w:rsidRDefault="00827D44" w:rsidP="00827D44">
            <w:pPr>
              <w:cnfStyle w:val="100000000000" w:firstRow="1" w:lastRow="0" w:firstColumn="0" w:lastColumn="0" w:oddVBand="0" w:evenVBand="0" w:oddHBand="0" w:evenHBand="0" w:firstRowFirstColumn="0" w:firstRowLastColumn="0" w:lastRowFirstColumn="0" w:lastRowLastColumn="0"/>
              <w:rPr>
                <w:szCs w:val="20"/>
              </w:rPr>
            </w:pPr>
            <w:r w:rsidRPr="00AA22F2">
              <w:rPr>
                <w:szCs w:val="20"/>
              </w:rPr>
              <w:t>Activités génératrices</w:t>
            </w:r>
          </w:p>
        </w:tc>
        <w:tc>
          <w:tcPr>
            <w:tcW w:w="913" w:type="pct"/>
            <w:vAlign w:val="center"/>
          </w:tcPr>
          <w:p w14:paraId="4B8260E5" w14:textId="7CA0E462" w:rsidR="00827D44" w:rsidRPr="00AA22F2" w:rsidRDefault="00827D44" w:rsidP="00827D44">
            <w:pPr>
              <w:jc w:val="left"/>
              <w:cnfStyle w:val="100000000000" w:firstRow="1" w:lastRow="0" w:firstColumn="0" w:lastColumn="0" w:oddVBand="0" w:evenVBand="0" w:oddHBand="0" w:evenHBand="0" w:firstRowFirstColumn="0" w:firstRowLastColumn="0" w:lastRowFirstColumn="0" w:lastRowLastColumn="0"/>
              <w:rPr>
                <w:szCs w:val="20"/>
              </w:rPr>
            </w:pPr>
            <w:r w:rsidRPr="00AA22F2">
              <w:rPr>
                <w:szCs w:val="20"/>
              </w:rPr>
              <w:t>Critère</w:t>
            </w:r>
          </w:p>
        </w:tc>
        <w:tc>
          <w:tcPr>
            <w:tcW w:w="1211" w:type="pct"/>
          </w:tcPr>
          <w:p w14:paraId="63CC10F3" w14:textId="4366817B" w:rsidR="00827D44" w:rsidRPr="00AA22F2" w:rsidRDefault="00827D44" w:rsidP="00827D44">
            <w:pPr>
              <w:cnfStyle w:val="100000000000" w:firstRow="1" w:lastRow="0" w:firstColumn="0" w:lastColumn="0" w:oddVBand="0" w:evenVBand="0" w:oddHBand="0" w:evenHBand="0" w:firstRowFirstColumn="0" w:firstRowLastColumn="0" w:lastRowFirstColumn="0" w:lastRowLastColumn="0"/>
              <w:rPr>
                <w:szCs w:val="20"/>
              </w:rPr>
            </w:pPr>
            <w:r w:rsidRPr="00AA22F2">
              <w:rPr>
                <w:szCs w:val="20"/>
              </w:rPr>
              <w:t>Justification</w:t>
            </w:r>
          </w:p>
        </w:tc>
        <w:tc>
          <w:tcPr>
            <w:tcW w:w="650" w:type="pct"/>
          </w:tcPr>
          <w:p w14:paraId="26B3195D" w14:textId="4E822B84" w:rsidR="00827D44" w:rsidRPr="00AA22F2" w:rsidRDefault="00827D44" w:rsidP="00827D44">
            <w:pPr>
              <w:cnfStyle w:val="100000000000" w:firstRow="1" w:lastRow="0" w:firstColumn="0" w:lastColumn="0" w:oddVBand="0" w:evenVBand="0" w:oddHBand="0" w:evenHBand="0" w:firstRowFirstColumn="0" w:firstRowLastColumn="0" w:lastRowFirstColumn="0" w:lastRowLastColumn="0"/>
              <w:rPr>
                <w:szCs w:val="20"/>
              </w:rPr>
            </w:pPr>
            <w:r w:rsidRPr="00AA22F2">
              <w:rPr>
                <w:szCs w:val="20"/>
              </w:rPr>
              <w:t>Niveau</w:t>
            </w:r>
          </w:p>
        </w:tc>
      </w:tr>
      <w:tr w:rsidR="004D5485" w:rsidRPr="007E735B" w14:paraId="2778914B" w14:textId="77777777" w:rsidTr="00537940">
        <w:tc>
          <w:tcPr>
            <w:cnfStyle w:val="001000000000" w:firstRow="0" w:lastRow="0" w:firstColumn="1" w:lastColumn="0" w:oddVBand="0" w:evenVBand="0" w:oddHBand="0" w:evenHBand="0" w:firstRowFirstColumn="0" w:firstRowLastColumn="0" w:lastRowFirstColumn="0" w:lastRowLastColumn="0"/>
            <w:tcW w:w="469" w:type="pct"/>
            <w:vMerge w:val="restart"/>
            <w:textDirection w:val="btLr"/>
            <w:vAlign w:val="center"/>
          </w:tcPr>
          <w:p w14:paraId="2DEC72C7" w14:textId="4C2A62A9" w:rsidR="004D5485" w:rsidRPr="00AA22F2" w:rsidRDefault="004D5485" w:rsidP="004637C7">
            <w:pPr>
              <w:ind w:left="113" w:right="113"/>
              <w:jc w:val="center"/>
              <w:rPr>
                <w:b w:val="0"/>
                <w:bCs w:val="0"/>
                <w:szCs w:val="20"/>
              </w:rPr>
            </w:pPr>
            <w:r w:rsidRPr="00AA22F2">
              <w:rPr>
                <w:szCs w:val="20"/>
              </w:rPr>
              <w:t>Émission et re-suspension de poussières (PM₁₀, PM₂.₅)</w:t>
            </w:r>
          </w:p>
        </w:tc>
        <w:tc>
          <w:tcPr>
            <w:tcW w:w="1757" w:type="pct"/>
            <w:vMerge w:val="restart"/>
          </w:tcPr>
          <w:p w14:paraId="4A45E83B" w14:textId="1117C597" w:rsidR="004D5485" w:rsidRPr="00AA22F2" w:rsidRDefault="004D5485" w:rsidP="004637C7">
            <w:pPr>
              <w:spacing w:before="0" w:after="0"/>
              <w:jc w:val="left"/>
              <w:cnfStyle w:val="000000000000" w:firstRow="0" w:lastRow="0" w:firstColumn="0" w:lastColumn="0" w:oddVBand="0" w:evenVBand="0" w:oddHBand="0" w:evenHBand="0" w:firstRowFirstColumn="0" w:firstRowLastColumn="0" w:lastRowFirstColumn="0" w:lastRowLastColumn="0"/>
              <w:rPr>
                <w:szCs w:val="20"/>
              </w:rPr>
            </w:pPr>
            <w:r w:rsidRPr="00AA22F2">
              <w:rPr>
                <w:szCs w:val="20"/>
              </w:rPr>
              <w:t>Circulation des aéronefs et véhicules d’assistance ; souffles des réacteurs ; nettoyage insuffisant des chaussées</w:t>
            </w:r>
          </w:p>
        </w:tc>
        <w:tc>
          <w:tcPr>
            <w:tcW w:w="913" w:type="pct"/>
            <w:tcBorders>
              <w:right w:val="single" w:sz="4" w:space="0" w:color="BFBFBF" w:themeColor="background1" w:themeShade="BF"/>
            </w:tcBorders>
            <w:vAlign w:val="center"/>
          </w:tcPr>
          <w:p w14:paraId="76EAE9FC" w14:textId="77777777" w:rsidR="004D5485" w:rsidRPr="00AA22F2" w:rsidRDefault="004D5485" w:rsidP="004D5485">
            <w:pPr>
              <w:jc w:val="left"/>
              <w:cnfStyle w:val="000000000000" w:firstRow="0" w:lastRow="0" w:firstColumn="0" w:lastColumn="0" w:oddVBand="0" w:evenVBand="0" w:oddHBand="0" w:evenHBand="0" w:firstRowFirstColumn="0" w:firstRowLastColumn="0" w:lastRowFirstColumn="0" w:lastRowLastColumn="0"/>
              <w:rPr>
                <w:b/>
                <w:bCs/>
                <w:szCs w:val="20"/>
              </w:rPr>
            </w:pPr>
            <w:r w:rsidRPr="00AA22F2">
              <w:rPr>
                <w:b/>
                <w:bCs/>
                <w:szCs w:val="20"/>
              </w:rPr>
              <w:t>Nature</w:t>
            </w:r>
          </w:p>
        </w:tc>
        <w:tc>
          <w:tcPr>
            <w:tcW w:w="1861" w:type="pct"/>
            <w:gridSpan w:val="2"/>
            <w:tcBorders>
              <w:left w:val="single" w:sz="4" w:space="0" w:color="BFBFBF" w:themeColor="background1" w:themeShade="BF"/>
            </w:tcBorders>
          </w:tcPr>
          <w:p w14:paraId="2D1F5E7C" w14:textId="77777777" w:rsidR="004D5485" w:rsidRPr="00AA22F2" w:rsidRDefault="004D5485" w:rsidP="004D5485">
            <w:pPr>
              <w:cnfStyle w:val="000000000000" w:firstRow="0" w:lastRow="0" w:firstColumn="0" w:lastColumn="0" w:oddVBand="0" w:evenVBand="0" w:oddHBand="0" w:evenHBand="0" w:firstRowFirstColumn="0" w:firstRowLastColumn="0" w:lastRowFirstColumn="0" w:lastRowLastColumn="0"/>
              <w:rPr>
                <w:szCs w:val="20"/>
              </w:rPr>
            </w:pPr>
            <w:r w:rsidRPr="00AA22F2">
              <w:rPr>
                <w:szCs w:val="20"/>
              </w:rPr>
              <w:t>Négatif direct</w:t>
            </w:r>
          </w:p>
        </w:tc>
      </w:tr>
      <w:tr w:rsidR="00E50636" w:rsidRPr="007E735B" w14:paraId="299CFB27" w14:textId="77777777" w:rsidTr="00E50636">
        <w:tc>
          <w:tcPr>
            <w:cnfStyle w:val="001000000000" w:firstRow="0" w:lastRow="0" w:firstColumn="1" w:lastColumn="0" w:oddVBand="0" w:evenVBand="0" w:oddHBand="0" w:evenHBand="0" w:firstRowFirstColumn="0" w:firstRowLastColumn="0" w:lastRowFirstColumn="0" w:lastRowLastColumn="0"/>
            <w:tcW w:w="469" w:type="pct"/>
            <w:vMerge/>
            <w:vAlign w:val="center"/>
          </w:tcPr>
          <w:p w14:paraId="576AA058" w14:textId="77777777" w:rsidR="00E50636" w:rsidRPr="00AA22F2" w:rsidRDefault="00E50636" w:rsidP="00E50636">
            <w:pPr>
              <w:jc w:val="left"/>
              <w:rPr>
                <w:b w:val="0"/>
                <w:bCs w:val="0"/>
                <w:szCs w:val="20"/>
              </w:rPr>
            </w:pPr>
          </w:p>
        </w:tc>
        <w:tc>
          <w:tcPr>
            <w:tcW w:w="1757" w:type="pct"/>
            <w:vMerge/>
            <w:vAlign w:val="center"/>
          </w:tcPr>
          <w:p w14:paraId="30962F5B" w14:textId="77777777" w:rsidR="00E50636" w:rsidRPr="00AA22F2" w:rsidRDefault="00E50636" w:rsidP="00E50636">
            <w:pPr>
              <w:jc w:val="left"/>
              <w:cnfStyle w:val="000000000000" w:firstRow="0" w:lastRow="0" w:firstColumn="0" w:lastColumn="0" w:oddVBand="0" w:evenVBand="0" w:oddHBand="0" w:evenHBand="0" w:firstRowFirstColumn="0" w:firstRowLastColumn="0" w:lastRowFirstColumn="0" w:lastRowLastColumn="0"/>
              <w:rPr>
                <w:b/>
                <w:bCs/>
                <w:szCs w:val="20"/>
              </w:rPr>
            </w:pPr>
          </w:p>
        </w:tc>
        <w:tc>
          <w:tcPr>
            <w:tcW w:w="913" w:type="pct"/>
            <w:tcBorders>
              <w:right w:val="single" w:sz="4" w:space="0" w:color="BFBFBF" w:themeColor="background1" w:themeShade="BF"/>
            </w:tcBorders>
            <w:vAlign w:val="center"/>
          </w:tcPr>
          <w:p w14:paraId="0CA3724E" w14:textId="77777777" w:rsidR="00E50636" w:rsidRPr="00AA22F2" w:rsidRDefault="00E50636" w:rsidP="00E50636">
            <w:pPr>
              <w:jc w:val="left"/>
              <w:cnfStyle w:val="000000000000" w:firstRow="0" w:lastRow="0" w:firstColumn="0" w:lastColumn="0" w:oddVBand="0" w:evenVBand="0" w:oddHBand="0" w:evenHBand="0" w:firstRowFirstColumn="0" w:firstRowLastColumn="0" w:lastRowFirstColumn="0" w:lastRowLastColumn="0"/>
              <w:rPr>
                <w:b/>
                <w:bCs/>
                <w:szCs w:val="20"/>
              </w:rPr>
            </w:pPr>
            <w:r w:rsidRPr="00AA22F2">
              <w:rPr>
                <w:b/>
                <w:bCs/>
                <w:szCs w:val="20"/>
              </w:rPr>
              <w:t>Étendue</w:t>
            </w:r>
          </w:p>
        </w:tc>
        <w:tc>
          <w:tcPr>
            <w:tcW w:w="1211" w:type="pct"/>
            <w:tcBorders>
              <w:left w:val="single" w:sz="4" w:space="0" w:color="BFBFBF" w:themeColor="background1" w:themeShade="BF"/>
            </w:tcBorders>
          </w:tcPr>
          <w:p w14:paraId="7564CF4F" w14:textId="0D8B64B9" w:rsidR="00E50636" w:rsidRPr="00AA22F2" w:rsidRDefault="00E50636" w:rsidP="00E50636">
            <w:pPr>
              <w:cnfStyle w:val="000000000000" w:firstRow="0" w:lastRow="0" w:firstColumn="0" w:lastColumn="0" w:oddVBand="0" w:evenVBand="0" w:oddHBand="0" w:evenHBand="0" w:firstRowFirstColumn="0" w:firstRowLastColumn="0" w:lastRowFirstColumn="0" w:lastRowLastColumn="0"/>
              <w:rPr>
                <w:szCs w:val="20"/>
              </w:rPr>
            </w:pPr>
            <w:r w:rsidRPr="00AA22F2">
              <w:rPr>
                <w:szCs w:val="20"/>
              </w:rPr>
              <w:t>Impact localisé, limité aux aires de trafic</w:t>
            </w:r>
            <w:r w:rsidR="00273CFA" w:rsidRPr="00AA22F2">
              <w:rPr>
                <w:szCs w:val="20"/>
              </w:rPr>
              <w:t xml:space="preserve"> </w:t>
            </w:r>
            <w:r w:rsidRPr="00AA22F2">
              <w:rPr>
                <w:szCs w:val="20"/>
              </w:rPr>
              <w:t>et parkings avions</w:t>
            </w:r>
          </w:p>
        </w:tc>
        <w:tc>
          <w:tcPr>
            <w:tcW w:w="650" w:type="pct"/>
          </w:tcPr>
          <w:p w14:paraId="3771F3A6" w14:textId="77777777" w:rsidR="00E50636" w:rsidRPr="00AA22F2" w:rsidRDefault="00E50636" w:rsidP="00E50636">
            <w:pPr>
              <w:cnfStyle w:val="000000000000" w:firstRow="0" w:lastRow="0" w:firstColumn="0" w:lastColumn="0" w:oddVBand="0" w:evenVBand="0" w:oddHBand="0" w:evenHBand="0" w:firstRowFirstColumn="0" w:firstRowLastColumn="0" w:lastRowFirstColumn="0" w:lastRowLastColumn="0"/>
              <w:rPr>
                <w:szCs w:val="20"/>
              </w:rPr>
            </w:pPr>
            <w:r w:rsidRPr="00AA22F2">
              <w:rPr>
                <w:szCs w:val="20"/>
              </w:rPr>
              <w:t>Locale</w:t>
            </w:r>
          </w:p>
        </w:tc>
      </w:tr>
      <w:tr w:rsidR="00E50636" w:rsidRPr="007E735B" w14:paraId="6AD6085F" w14:textId="77777777" w:rsidTr="00E50636">
        <w:tc>
          <w:tcPr>
            <w:cnfStyle w:val="001000000000" w:firstRow="0" w:lastRow="0" w:firstColumn="1" w:lastColumn="0" w:oddVBand="0" w:evenVBand="0" w:oddHBand="0" w:evenHBand="0" w:firstRowFirstColumn="0" w:firstRowLastColumn="0" w:lastRowFirstColumn="0" w:lastRowLastColumn="0"/>
            <w:tcW w:w="469" w:type="pct"/>
            <w:vMerge/>
            <w:vAlign w:val="center"/>
          </w:tcPr>
          <w:p w14:paraId="065BC477" w14:textId="77777777" w:rsidR="00E50636" w:rsidRPr="00AA22F2" w:rsidRDefault="00E50636" w:rsidP="00E50636">
            <w:pPr>
              <w:jc w:val="left"/>
              <w:rPr>
                <w:b w:val="0"/>
                <w:bCs w:val="0"/>
                <w:szCs w:val="20"/>
              </w:rPr>
            </w:pPr>
          </w:p>
        </w:tc>
        <w:tc>
          <w:tcPr>
            <w:tcW w:w="1757" w:type="pct"/>
            <w:vMerge/>
            <w:vAlign w:val="center"/>
          </w:tcPr>
          <w:p w14:paraId="098CACAD" w14:textId="77777777" w:rsidR="00E50636" w:rsidRPr="00AA22F2" w:rsidRDefault="00E50636" w:rsidP="00E50636">
            <w:pPr>
              <w:jc w:val="left"/>
              <w:cnfStyle w:val="000000000000" w:firstRow="0" w:lastRow="0" w:firstColumn="0" w:lastColumn="0" w:oddVBand="0" w:evenVBand="0" w:oddHBand="0" w:evenHBand="0" w:firstRowFirstColumn="0" w:firstRowLastColumn="0" w:lastRowFirstColumn="0" w:lastRowLastColumn="0"/>
              <w:rPr>
                <w:b/>
                <w:bCs/>
                <w:szCs w:val="20"/>
              </w:rPr>
            </w:pPr>
          </w:p>
        </w:tc>
        <w:tc>
          <w:tcPr>
            <w:tcW w:w="913" w:type="pct"/>
            <w:tcBorders>
              <w:right w:val="single" w:sz="4" w:space="0" w:color="BFBFBF" w:themeColor="background1" w:themeShade="BF"/>
            </w:tcBorders>
            <w:vAlign w:val="center"/>
          </w:tcPr>
          <w:p w14:paraId="74C91919" w14:textId="77777777" w:rsidR="00E50636" w:rsidRPr="00AA22F2" w:rsidRDefault="00E50636" w:rsidP="00E50636">
            <w:pPr>
              <w:jc w:val="left"/>
              <w:cnfStyle w:val="000000000000" w:firstRow="0" w:lastRow="0" w:firstColumn="0" w:lastColumn="0" w:oddVBand="0" w:evenVBand="0" w:oddHBand="0" w:evenHBand="0" w:firstRowFirstColumn="0" w:firstRowLastColumn="0" w:lastRowFirstColumn="0" w:lastRowLastColumn="0"/>
              <w:rPr>
                <w:b/>
                <w:bCs/>
                <w:szCs w:val="20"/>
              </w:rPr>
            </w:pPr>
            <w:r w:rsidRPr="00AA22F2">
              <w:rPr>
                <w:b/>
                <w:bCs/>
                <w:szCs w:val="20"/>
              </w:rPr>
              <w:t>Durée</w:t>
            </w:r>
          </w:p>
        </w:tc>
        <w:tc>
          <w:tcPr>
            <w:tcW w:w="1211" w:type="pct"/>
            <w:tcBorders>
              <w:left w:val="single" w:sz="4" w:space="0" w:color="BFBFBF" w:themeColor="background1" w:themeShade="BF"/>
            </w:tcBorders>
          </w:tcPr>
          <w:p w14:paraId="61D4D362" w14:textId="43618C82" w:rsidR="00E50636" w:rsidRPr="00AA22F2" w:rsidRDefault="00E50636" w:rsidP="00E50636">
            <w:pPr>
              <w:cnfStyle w:val="000000000000" w:firstRow="0" w:lastRow="0" w:firstColumn="0" w:lastColumn="0" w:oddVBand="0" w:evenVBand="0" w:oddHBand="0" w:evenHBand="0" w:firstRowFirstColumn="0" w:firstRowLastColumn="0" w:lastRowFirstColumn="0" w:lastRowLastColumn="0"/>
              <w:rPr>
                <w:szCs w:val="20"/>
              </w:rPr>
            </w:pPr>
            <w:r w:rsidRPr="00AA22F2">
              <w:rPr>
                <w:szCs w:val="20"/>
              </w:rPr>
              <w:t>Persiste durant toute la période d’exploitation</w:t>
            </w:r>
          </w:p>
        </w:tc>
        <w:tc>
          <w:tcPr>
            <w:tcW w:w="650" w:type="pct"/>
          </w:tcPr>
          <w:p w14:paraId="3CBE47D2" w14:textId="77777777" w:rsidR="00E50636" w:rsidRPr="00AA22F2" w:rsidRDefault="00E50636" w:rsidP="00E50636">
            <w:pPr>
              <w:cnfStyle w:val="000000000000" w:firstRow="0" w:lastRow="0" w:firstColumn="0" w:lastColumn="0" w:oddVBand="0" w:evenVBand="0" w:oddHBand="0" w:evenHBand="0" w:firstRowFirstColumn="0" w:firstRowLastColumn="0" w:lastRowFirstColumn="0" w:lastRowLastColumn="0"/>
              <w:rPr>
                <w:b/>
                <w:bCs/>
                <w:szCs w:val="20"/>
              </w:rPr>
            </w:pPr>
            <w:r w:rsidRPr="00AA22F2">
              <w:rPr>
                <w:szCs w:val="20"/>
              </w:rPr>
              <w:t>À long terme</w:t>
            </w:r>
          </w:p>
        </w:tc>
      </w:tr>
      <w:tr w:rsidR="00E50636" w:rsidRPr="007E735B" w14:paraId="59B89D0D" w14:textId="77777777" w:rsidTr="00E50636">
        <w:tc>
          <w:tcPr>
            <w:cnfStyle w:val="001000000000" w:firstRow="0" w:lastRow="0" w:firstColumn="1" w:lastColumn="0" w:oddVBand="0" w:evenVBand="0" w:oddHBand="0" w:evenHBand="0" w:firstRowFirstColumn="0" w:firstRowLastColumn="0" w:lastRowFirstColumn="0" w:lastRowLastColumn="0"/>
            <w:tcW w:w="469" w:type="pct"/>
            <w:vMerge/>
            <w:vAlign w:val="center"/>
          </w:tcPr>
          <w:p w14:paraId="300C107C" w14:textId="77777777" w:rsidR="00E50636" w:rsidRPr="00AA22F2" w:rsidRDefault="00E50636" w:rsidP="00E50636">
            <w:pPr>
              <w:jc w:val="left"/>
              <w:rPr>
                <w:b w:val="0"/>
                <w:bCs w:val="0"/>
                <w:szCs w:val="20"/>
              </w:rPr>
            </w:pPr>
          </w:p>
        </w:tc>
        <w:tc>
          <w:tcPr>
            <w:tcW w:w="1757" w:type="pct"/>
            <w:vMerge/>
            <w:vAlign w:val="center"/>
          </w:tcPr>
          <w:p w14:paraId="59E13525" w14:textId="77777777" w:rsidR="00E50636" w:rsidRPr="00AA22F2" w:rsidRDefault="00E50636" w:rsidP="00E50636">
            <w:pPr>
              <w:jc w:val="left"/>
              <w:cnfStyle w:val="000000000000" w:firstRow="0" w:lastRow="0" w:firstColumn="0" w:lastColumn="0" w:oddVBand="0" w:evenVBand="0" w:oddHBand="0" w:evenHBand="0" w:firstRowFirstColumn="0" w:firstRowLastColumn="0" w:lastRowFirstColumn="0" w:lastRowLastColumn="0"/>
              <w:rPr>
                <w:b/>
                <w:bCs/>
                <w:szCs w:val="20"/>
              </w:rPr>
            </w:pPr>
          </w:p>
        </w:tc>
        <w:tc>
          <w:tcPr>
            <w:tcW w:w="913" w:type="pct"/>
            <w:tcBorders>
              <w:right w:val="single" w:sz="4" w:space="0" w:color="BFBFBF" w:themeColor="background1" w:themeShade="BF"/>
            </w:tcBorders>
            <w:vAlign w:val="center"/>
          </w:tcPr>
          <w:p w14:paraId="2FC0ACF3" w14:textId="77777777" w:rsidR="00E50636" w:rsidRPr="00AA22F2" w:rsidRDefault="00E50636" w:rsidP="00E50636">
            <w:pPr>
              <w:jc w:val="left"/>
              <w:cnfStyle w:val="000000000000" w:firstRow="0" w:lastRow="0" w:firstColumn="0" w:lastColumn="0" w:oddVBand="0" w:evenVBand="0" w:oddHBand="0" w:evenHBand="0" w:firstRowFirstColumn="0" w:firstRowLastColumn="0" w:lastRowFirstColumn="0" w:lastRowLastColumn="0"/>
              <w:rPr>
                <w:b/>
                <w:bCs/>
                <w:szCs w:val="20"/>
              </w:rPr>
            </w:pPr>
            <w:r w:rsidRPr="00AA22F2">
              <w:rPr>
                <w:b/>
                <w:bCs/>
                <w:szCs w:val="20"/>
              </w:rPr>
              <w:t>Fréquence</w:t>
            </w:r>
          </w:p>
        </w:tc>
        <w:tc>
          <w:tcPr>
            <w:tcW w:w="1211" w:type="pct"/>
            <w:tcBorders>
              <w:left w:val="single" w:sz="4" w:space="0" w:color="BFBFBF" w:themeColor="background1" w:themeShade="BF"/>
            </w:tcBorders>
          </w:tcPr>
          <w:p w14:paraId="0DB7BE52" w14:textId="2478B2AA" w:rsidR="00E50636" w:rsidRPr="00AA22F2" w:rsidRDefault="00E50636" w:rsidP="00E50636">
            <w:pPr>
              <w:cnfStyle w:val="000000000000" w:firstRow="0" w:lastRow="0" w:firstColumn="0" w:lastColumn="0" w:oddVBand="0" w:evenVBand="0" w:oddHBand="0" w:evenHBand="0" w:firstRowFirstColumn="0" w:firstRowLastColumn="0" w:lastRowFirstColumn="0" w:lastRowLastColumn="0"/>
              <w:rPr>
                <w:szCs w:val="20"/>
              </w:rPr>
            </w:pPr>
            <w:r w:rsidRPr="00AA22F2">
              <w:rPr>
                <w:szCs w:val="20"/>
              </w:rPr>
              <w:t>Quasi continue, plus marquée en période sèche et venteuse</w:t>
            </w:r>
          </w:p>
        </w:tc>
        <w:tc>
          <w:tcPr>
            <w:tcW w:w="650" w:type="pct"/>
          </w:tcPr>
          <w:p w14:paraId="5D0D13AC" w14:textId="77777777" w:rsidR="00E50636" w:rsidRPr="00AA22F2" w:rsidRDefault="00E50636" w:rsidP="00E50636">
            <w:pPr>
              <w:cnfStyle w:val="000000000000" w:firstRow="0" w:lastRow="0" w:firstColumn="0" w:lastColumn="0" w:oddVBand="0" w:evenVBand="0" w:oddHBand="0" w:evenHBand="0" w:firstRowFirstColumn="0" w:firstRowLastColumn="0" w:lastRowFirstColumn="0" w:lastRowLastColumn="0"/>
              <w:rPr>
                <w:b/>
                <w:bCs/>
                <w:szCs w:val="20"/>
              </w:rPr>
            </w:pPr>
            <w:r w:rsidRPr="00AA22F2">
              <w:rPr>
                <w:szCs w:val="20"/>
              </w:rPr>
              <w:t>Continue</w:t>
            </w:r>
          </w:p>
        </w:tc>
      </w:tr>
      <w:tr w:rsidR="00E50636" w:rsidRPr="007E735B" w14:paraId="1D623CF0" w14:textId="77777777" w:rsidTr="004637C7">
        <w:tc>
          <w:tcPr>
            <w:cnfStyle w:val="001000000000" w:firstRow="0" w:lastRow="0" w:firstColumn="1" w:lastColumn="0" w:oddVBand="0" w:evenVBand="0" w:oddHBand="0" w:evenHBand="0" w:firstRowFirstColumn="0" w:firstRowLastColumn="0" w:lastRowFirstColumn="0" w:lastRowLastColumn="0"/>
            <w:tcW w:w="469" w:type="pct"/>
            <w:vMerge/>
            <w:vAlign w:val="center"/>
          </w:tcPr>
          <w:p w14:paraId="54FFA2E7" w14:textId="77777777" w:rsidR="00E50636" w:rsidRPr="00AA22F2" w:rsidRDefault="00E50636" w:rsidP="00E50636">
            <w:pPr>
              <w:jc w:val="left"/>
              <w:rPr>
                <w:b w:val="0"/>
                <w:bCs w:val="0"/>
                <w:szCs w:val="20"/>
              </w:rPr>
            </w:pPr>
          </w:p>
        </w:tc>
        <w:tc>
          <w:tcPr>
            <w:tcW w:w="1757" w:type="pct"/>
            <w:vMerge/>
            <w:vAlign w:val="center"/>
          </w:tcPr>
          <w:p w14:paraId="6E1953C7" w14:textId="77777777" w:rsidR="00E50636" w:rsidRPr="00AA22F2" w:rsidRDefault="00E50636" w:rsidP="00E50636">
            <w:pPr>
              <w:jc w:val="left"/>
              <w:cnfStyle w:val="000000000000" w:firstRow="0" w:lastRow="0" w:firstColumn="0" w:lastColumn="0" w:oddVBand="0" w:evenVBand="0" w:oddHBand="0" w:evenHBand="0" w:firstRowFirstColumn="0" w:firstRowLastColumn="0" w:lastRowFirstColumn="0" w:lastRowLastColumn="0"/>
              <w:rPr>
                <w:b/>
                <w:bCs/>
                <w:szCs w:val="20"/>
              </w:rPr>
            </w:pPr>
          </w:p>
        </w:tc>
        <w:tc>
          <w:tcPr>
            <w:tcW w:w="913" w:type="pct"/>
            <w:tcBorders>
              <w:right w:val="single" w:sz="4" w:space="0" w:color="BFBFBF" w:themeColor="background1" w:themeShade="BF"/>
            </w:tcBorders>
            <w:shd w:val="clear" w:color="auto" w:fill="D9E2F3" w:themeFill="accent1" w:themeFillTint="33"/>
            <w:vAlign w:val="center"/>
          </w:tcPr>
          <w:p w14:paraId="5CAFEDA8" w14:textId="10FB795C" w:rsidR="00E50636" w:rsidRPr="00AA22F2" w:rsidRDefault="00E50636" w:rsidP="00E50636">
            <w:pPr>
              <w:jc w:val="left"/>
              <w:cnfStyle w:val="000000000000" w:firstRow="0" w:lastRow="0" w:firstColumn="0" w:lastColumn="0" w:oddVBand="0" w:evenVBand="0" w:oddHBand="0" w:evenHBand="0" w:firstRowFirstColumn="0" w:firstRowLastColumn="0" w:lastRowFirstColumn="0" w:lastRowLastColumn="0"/>
              <w:rPr>
                <w:b/>
                <w:bCs/>
                <w:szCs w:val="20"/>
              </w:rPr>
            </w:pPr>
            <w:r w:rsidRPr="004637C7">
              <w:rPr>
                <w:b/>
                <w:bCs/>
                <w:szCs w:val="20"/>
              </w:rPr>
              <w:t xml:space="preserve">Intensité de l’impact </w:t>
            </w:r>
          </w:p>
        </w:tc>
        <w:tc>
          <w:tcPr>
            <w:tcW w:w="1211" w:type="pct"/>
            <w:tcBorders>
              <w:left w:val="single" w:sz="4" w:space="0" w:color="BFBFBF" w:themeColor="background1" w:themeShade="BF"/>
            </w:tcBorders>
            <w:shd w:val="clear" w:color="auto" w:fill="D9E2F3" w:themeFill="accent1" w:themeFillTint="33"/>
          </w:tcPr>
          <w:p w14:paraId="643D2351" w14:textId="0E2F8695" w:rsidR="00E50636" w:rsidRPr="00AA22F2" w:rsidRDefault="00E50636" w:rsidP="00E50636">
            <w:pPr>
              <w:cnfStyle w:val="000000000000" w:firstRow="0" w:lastRow="0" w:firstColumn="0" w:lastColumn="0" w:oddVBand="0" w:evenVBand="0" w:oddHBand="0" w:evenHBand="0" w:firstRowFirstColumn="0" w:firstRowLastColumn="0" w:lastRowFirstColumn="0" w:lastRowLastColumn="0"/>
              <w:rPr>
                <w:szCs w:val="20"/>
              </w:rPr>
            </w:pPr>
            <w:r w:rsidRPr="00AA22F2">
              <w:rPr>
                <w:szCs w:val="20"/>
              </w:rPr>
              <w:t>Émissions faibles à modérées, confinées et rapidement dispersées</w:t>
            </w:r>
          </w:p>
        </w:tc>
        <w:tc>
          <w:tcPr>
            <w:tcW w:w="650" w:type="pct"/>
            <w:shd w:val="clear" w:color="auto" w:fill="D9E2F3" w:themeFill="accent1" w:themeFillTint="33"/>
            <w:vAlign w:val="center"/>
          </w:tcPr>
          <w:p w14:paraId="1880B9BD" w14:textId="27567238" w:rsidR="00E50636" w:rsidRPr="00AA22F2" w:rsidRDefault="00E50636" w:rsidP="00E50636">
            <w:pPr>
              <w:cnfStyle w:val="000000000000" w:firstRow="0" w:lastRow="0" w:firstColumn="0" w:lastColumn="0" w:oddVBand="0" w:evenVBand="0" w:oddHBand="0" w:evenHBand="0" w:firstRowFirstColumn="0" w:firstRowLastColumn="0" w:lastRowFirstColumn="0" w:lastRowLastColumn="0"/>
              <w:rPr>
                <w:szCs w:val="20"/>
              </w:rPr>
            </w:pPr>
            <w:r w:rsidRPr="00AA22F2">
              <w:rPr>
                <w:szCs w:val="20"/>
              </w:rPr>
              <w:t>Moyenne</w:t>
            </w:r>
          </w:p>
        </w:tc>
      </w:tr>
      <w:tr w:rsidR="00E471E3" w:rsidRPr="007E735B" w14:paraId="01984260" w14:textId="77777777" w:rsidTr="00E50636">
        <w:tc>
          <w:tcPr>
            <w:cnfStyle w:val="001000000000" w:firstRow="0" w:lastRow="0" w:firstColumn="1" w:lastColumn="0" w:oddVBand="0" w:evenVBand="0" w:oddHBand="0" w:evenHBand="0" w:firstRowFirstColumn="0" w:firstRowLastColumn="0" w:lastRowFirstColumn="0" w:lastRowLastColumn="0"/>
            <w:tcW w:w="469" w:type="pct"/>
            <w:vMerge/>
            <w:vAlign w:val="center"/>
          </w:tcPr>
          <w:p w14:paraId="5CC87C48" w14:textId="77777777" w:rsidR="00E471E3" w:rsidRPr="00AA22F2" w:rsidRDefault="00E471E3" w:rsidP="004637C7">
            <w:pPr>
              <w:spacing w:before="0" w:after="0"/>
              <w:jc w:val="left"/>
              <w:rPr>
                <w:b w:val="0"/>
                <w:bCs w:val="0"/>
                <w:szCs w:val="20"/>
              </w:rPr>
            </w:pPr>
          </w:p>
        </w:tc>
        <w:tc>
          <w:tcPr>
            <w:tcW w:w="4531" w:type="pct"/>
            <w:gridSpan w:val="4"/>
            <w:vAlign w:val="center"/>
          </w:tcPr>
          <w:p w14:paraId="131AAE2A" w14:textId="77777777" w:rsidR="00E471E3" w:rsidRPr="00AA22F2" w:rsidRDefault="00E471E3" w:rsidP="004637C7">
            <w:pPr>
              <w:spacing w:before="0" w:after="0"/>
              <w:cnfStyle w:val="000000000000" w:firstRow="0" w:lastRow="0" w:firstColumn="0" w:lastColumn="0" w:oddVBand="0" w:evenVBand="0" w:oddHBand="0" w:evenHBand="0" w:firstRowFirstColumn="0" w:firstRowLastColumn="0" w:lastRowFirstColumn="0" w:lastRowLastColumn="0"/>
              <w:rPr>
                <w:szCs w:val="20"/>
              </w:rPr>
            </w:pPr>
          </w:p>
        </w:tc>
      </w:tr>
      <w:tr w:rsidR="00E471E3" w:rsidRPr="007E735B" w14:paraId="58F28B9D" w14:textId="77777777" w:rsidTr="00537940">
        <w:tc>
          <w:tcPr>
            <w:cnfStyle w:val="001000000000" w:firstRow="0" w:lastRow="0" w:firstColumn="1" w:lastColumn="0" w:oddVBand="0" w:evenVBand="0" w:oddHBand="0" w:evenHBand="0" w:firstRowFirstColumn="0" w:firstRowLastColumn="0" w:lastRowFirstColumn="0" w:lastRowLastColumn="0"/>
            <w:tcW w:w="469" w:type="pct"/>
            <w:vMerge/>
            <w:vAlign w:val="center"/>
          </w:tcPr>
          <w:p w14:paraId="43780E0C" w14:textId="77777777" w:rsidR="00E471E3" w:rsidRPr="00AA22F2" w:rsidRDefault="00E471E3" w:rsidP="00E471E3">
            <w:pPr>
              <w:jc w:val="left"/>
              <w:rPr>
                <w:b w:val="0"/>
                <w:bCs w:val="0"/>
                <w:szCs w:val="20"/>
              </w:rPr>
            </w:pPr>
          </w:p>
        </w:tc>
        <w:tc>
          <w:tcPr>
            <w:tcW w:w="1757" w:type="pct"/>
            <w:shd w:val="clear" w:color="auto" w:fill="8EAADB" w:themeFill="accent1" w:themeFillTint="99"/>
            <w:vAlign w:val="center"/>
          </w:tcPr>
          <w:p w14:paraId="6FBFC0B2" w14:textId="76FBABE8" w:rsidR="00E471E3" w:rsidRPr="00AA22F2" w:rsidRDefault="00E471E3" w:rsidP="00E471E3">
            <w:pPr>
              <w:jc w:val="left"/>
              <w:cnfStyle w:val="000000000000" w:firstRow="0" w:lastRow="0" w:firstColumn="0" w:lastColumn="0" w:oddVBand="0" w:evenVBand="0" w:oddHBand="0" w:evenHBand="0" w:firstRowFirstColumn="0" w:firstRowLastColumn="0" w:lastRowFirstColumn="0" w:lastRowLastColumn="0"/>
              <w:rPr>
                <w:b/>
                <w:bCs/>
                <w:szCs w:val="20"/>
              </w:rPr>
            </w:pPr>
            <w:r w:rsidRPr="004637C7">
              <w:rPr>
                <w:b/>
                <w:bCs/>
                <w:szCs w:val="20"/>
              </w:rPr>
              <w:t>Intensité de l’impact</w:t>
            </w:r>
          </w:p>
        </w:tc>
        <w:tc>
          <w:tcPr>
            <w:tcW w:w="913" w:type="pct"/>
            <w:tcBorders>
              <w:right w:val="single" w:sz="4" w:space="0" w:color="BFBFBF" w:themeColor="background1" w:themeShade="BF"/>
            </w:tcBorders>
            <w:shd w:val="clear" w:color="auto" w:fill="8EAADB" w:themeFill="accent1" w:themeFillTint="99"/>
            <w:vAlign w:val="center"/>
          </w:tcPr>
          <w:p w14:paraId="2A505172" w14:textId="2FFECCA2" w:rsidR="00E471E3" w:rsidRPr="00AA22F2" w:rsidRDefault="00E471E3" w:rsidP="00E471E3">
            <w:pPr>
              <w:jc w:val="left"/>
              <w:cnfStyle w:val="000000000000" w:firstRow="0" w:lastRow="0" w:firstColumn="0" w:lastColumn="0" w:oddVBand="0" w:evenVBand="0" w:oddHBand="0" w:evenHBand="0" w:firstRowFirstColumn="0" w:firstRowLastColumn="0" w:lastRowFirstColumn="0" w:lastRowLastColumn="0"/>
              <w:rPr>
                <w:b/>
                <w:bCs/>
                <w:szCs w:val="20"/>
              </w:rPr>
            </w:pPr>
            <w:r w:rsidRPr="004637C7">
              <w:rPr>
                <w:b/>
                <w:bCs/>
                <w:szCs w:val="20"/>
              </w:rPr>
              <w:t>Récepteurs</w:t>
            </w:r>
          </w:p>
        </w:tc>
        <w:tc>
          <w:tcPr>
            <w:tcW w:w="1211" w:type="pct"/>
            <w:tcBorders>
              <w:left w:val="single" w:sz="4" w:space="0" w:color="BFBFBF" w:themeColor="background1" w:themeShade="BF"/>
            </w:tcBorders>
            <w:shd w:val="clear" w:color="auto" w:fill="8EAADB" w:themeFill="accent1" w:themeFillTint="99"/>
            <w:vAlign w:val="center"/>
          </w:tcPr>
          <w:p w14:paraId="665141BA" w14:textId="5CFD2550" w:rsidR="00E471E3" w:rsidRPr="004637C7" w:rsidRDefault="00E471E3" w:rsidP="00E471E3">
            <w:pPr>
              <w:cnfStyle w:val="000000000000" w:firstRow="0" w:lastRow="0" w:firstColumn="0" w:lastColumn="0" w:oddVBand="0" w:evenVBand="0" w:oddHBand="0" w:evenHBand="0" w:firstRowFirstColumn="0" w:firstRowLastColumn="0" w:lastRowFirstColumn="0" w:lastRowLastColumn="0"/>
              <w:rPr>
                <w:b/>
                <w:bCs/>
                <w:szCs w:val="20"/>
              </w:rPr>
            </w:pPr>
            <w:r w:rsidRPr="004637C7">
              <w:rPr>
                <w:b/>
                <w:bCs/>
                <w:szCs w:val="20"/>
              </w:rPr>
              <w:t>Sensibilité</w:t>
            </w:r>
          </w:p>
        </w:tc>
        <w:tc>
          <w:tcPr>
            <w:tcW w:w="650" w:type="pct"/>
            <w:shd w:val="clear" w:color="auto" w:fill="8EAADB" w:themeFill="accent1" w:themeFillTint="99"/>
            <w:vAlign w:val="center"/>
          </w:tcPr>
          <w:p w14:paraId="56536911" w14:textId="768D4C52" w:rsidR="00E471E3" w:rsidRPr="004637C7" w:rsidRDefault="00E471E3" w:rsidP="00E471E3">
            <w:pPr>
              <w:cnfStyle w:val="000000000000" w:firstRow="0" w:lastRow="0" w:firstColumn="0" w:lastColumn="0" w:oddVBand="0" w:evenVBand="0" w:oddHBand="0" w:evenHBand="0" w:firstRowFirstColumn="0" w:firstRowLastColumn="0" w:lastRowFirstColumn="0" w:lastRowLastColumn="0"/>
              <w:rPr>
                <w:b/>
                <w:bCs/>
                <w:szCs w:val="20"/>
              </w:rPr>
            </w:pPr>
            <w:r w:rsidRPr="004637C7">
              <w:rPr>
                <w:b/>
                <w:bCs/>
                <w:szCs w:val="20"/>
              </w:rPr>
              <w:t>Importance de l’impact</w:t>
            </w:r>
          </w:p>
        </w:tc>
      </w:tr>
      <w:tr w:rsidR="00E471E3" w:rsidRPr="007E735B" w14:paraId="48FD2B1A" w14:textId="77777777" w:rsidTr="00E50636">
        <w:tc>
          <w:tcPr>
            <w:cnfStyle w:val="001000000000" w:firstRow="0" w:lastRow="0" w:firstColumn="1" w:lastColumn="0" w:oddVBand="0" w:evenVBand="0" w:oddHBand="0" w:evenHBand="0" w:firstRowFirstColumn="0" w:firstRowLastColumn="0" w:lastRowFirstColumn="0" w:lastRowLastColumn="0"/>
            <w:tcW w:w="469" w:type="pct"/>
            <w:vMerge/>
            <w:vAlign w:val="center"/>
          </w:tcPr>
          <w:p w14:paraId="493718CC" w14:textId="77777777" w:rsidR="00E471E3" w:rsidRPr="00AA22F2" w:rsidRDefault="00E471E3" w:rsidP="00E471E3">
            <w:pPr>
              <w:jc w:val="left"/>
              <w:rPr>
                <w:b w:val="0"/>
                <w:bCs w:val="0"/>
                <w:szCs w:val="20"/>
              </w:rPr>
            </w:pPr>
          </w:p>
        </w:tc>
        <w:tc>
          <w:tcPr>
            <w:tcW w:w="1757" w:type="pct"/>
            <w:vMerge w:val="restart"/>
            <w:vAlign w:val="center"/>
          </w:tcPr>
          <w:p w14:paraId="61BF37C9" w14:textId="5B671610" w:rsidR="00E471E3" w:rsidRPr="00AA22F2" w:rsidRDefault="00E471E3" w:rsidP="00E471E3">
            <w:pPr>
              <w:jc w:val="left"/>
              <w:cnfStyle w:val="000000000000" w:firstRow="0" w:lastRow="0" w:firstColumn="0" w:lastColumn="0" w:oddVBand="0" w:evenVBand="0" w:oddHBand="0" w:evenHBand="0" w:firstRowFirstColumn="0" w:firstRowLastColumn="0" w:lastRowFirstColumn="0" w:lastRowLastColumn="0"/>
              <w:rPr>
                <w:b/>
                <w:bCs/>
                <w:szCs w:val="20"/>
              </w:rPr>
            </w:pPr>
            <w:r w:rsidRPr="00AA22F2">
              <w:rPr>
                <w:b/>
                <w:bCs/>
                <w:szCs w:val="20"/>
              </w:rPr>
              <w:t>Moyenne</w:t>
            </w:r>
          </w:p>
        </w:tc>
        <w:tc>
          <w:tcPr>
            <w:tcW w:w="913" w:type="pct"/>
            <w:tcBorders>
              <w:right w:val="single" w:sz="4" w:space="0" w:color="BFBFBF" w:themeColor="background1" w:themeShade="BF"/>
            </w:tcBorders>
            <w:vAlign w:val="center"/>
          </w:tcPr>
          <w:p w14:paraId="7FCC0430" w14:textId="5582747C" w:rsidR="00E471E3" w:rsidRPr="00AA22F2" w:rsidRDefault="00E471E3" w:rsidP="00E471E3">
            <w:pPr>
              <w:jc w:val="left"/>
              <w:cnfStyle w:val="000000000000" w:firstRow="0" w:lastRow="0" w:firstColumn="0" w:lastColumn="0" w:oddVBand="0" w:evenVBand="0" w:oddHBand="0" w:evenHBand="0" w:firstRowFirstColumn="0" w:firstRowLastColumn="0" w:lastRowFirstColumn="0" w:lastRowLastColumn="0"/>
              <w:rPr>
                <w:b/>
                <w:bCs/>
                <w:szCs w:val="20"/>
              </w:rPr>
            </w:pPr>
            <w:r w:rsidRPr="007E735B">
              <w:rPr>
                <w:rFonts w:asciiTheme="minorHAnsi" w:hAnsiTheme="minorHAnsi" w:cstheme="minorHAnsi"/>
                <w:szCs w:val="20"/>
                <w:lang w:val="fr-MA" w:eastAsia="fr-MA" w:bidi="ar-SA"/>
              </w:rPr>
              <w:t>Employés de l’aéroport</w:t>
            </w:r>
          </w:p>
        </w:tc>
        <w:tc>
          <w:tcPr>
            <w:tcW w:w="1211" w:type="pct"/>
            <w:tcBorders>
              <w:left w:val="single" w:sz="4" w:space="0" w:color="BFBFBF" w:themeColor="background1" w:themeShade="BF"/>
            </w:tcBorders>
            <w:vAlign w:val="center"/>
          </w:tcPr>
          <w:p w14:paraId="50C9B466" w14:textId="08BBA8EB" w:rsidR="00E471E3" w:rsidRPr="00AA22F2" w:rsidRDefault="00E471E3" w:rsidP="00E471E3">
            <w:pPr>
              <w:cnfStyle w:val="000000000000" w:firstRow="0" w:lastRow="0" w:firstColumn="0" w:lastColumn="0" w:oddVBand="0" w:evenVBand="0" w:oddHBand="0" w:evenHBand="0" w:firstRowFirstColumn="0" w:firstRowLastColumn="0" w:lastRowFirstColumn="0" w:lastRowLastColumn="0"/>
              <w:rPr>
                <w:szCs w:val="20"/>
              </w:rPr>
            </w:pPr>
            <w:r w:rsidRPr="007E735B">
              <w:rPr>
                <w:rFonts w:asciiTheme="minorHAnsi" w:hAnsiTheme="minorHAnsi" w:cstheme="minorHAnsi"/>
                <w:szCs w:val="20"/>
                <w:lang w:val="fr-MA" w:eastAsia="fr-MA" w:bidi="ar-SA"/>
              </w:rPr>
              <w:t>Moyenne</w:t>
            </w:r>
          </w:p>
        </w:tc>
        <w:tc>
          <w:tcPr>
            <w:tcW w:w="650" w:type="pct"/>
            <w:vAlign w:val="center"/>
          </w:tcPr>
          <w:p w14:paraId="651A9CC5" w14:textId="224BFA1E" w:rsidR="00E471E3" w:rsidRPr="00AA22F2" w:rsidRDefault="00E471E3" w:rsidP="00E471E3">
            <w:pPr>
              <w:cnfStyle w:val="000000000000" w:firstRow="0" w:lastRow="0" w:firstColumn="0" w:lastColumn="0" w:oddVBand="0" w:evenVBand="0" w:oddHBand="0" w:evenHBand="0" w:firstRowFirstColumn="0" w:firstRowLastColumn="0" w:lastRowFirstColumn="0" w:lastRowLastColumn="0"/>
              <w:rPr>
                <w:szCs w:val="20"/>
              </w:rPr>
            </w:pPr>
            <w:r w:rsidRPr="007E735B">
              <w:rPr>
                <w:rFonts w:asciiTheme="minorHAnsi" w:hAnsiTheme="minorHAnsi" w:cstheme="minorHAnsi"/>
                <w:szCs w:val="20"/>
                <w:lang w:val="fr-MA" w:eastAsia="fr-MA" w:bidi="ar-SA"/>
              </w:rPr>
              <w:t>Modérée</w:t>
            </w:r>
          </w:p>
        </w:tc>
      </w:tr>
      <w:tr w:rsidR="00E471E3" w:rsidRPr="007E735B" w14:paraId="625FF1C1" w14:textId="77777777" w:rsidTr="00E50636">
        <w:tc>
          <w:tcPr>
            <w:cnfStyle w:val="001000000000" w:firstRow="0" w:lastRow="0" w:firstColumn="1" w:lastColumn="0" w:oddVBand="0" w:evenVBand="0" w:oddHBand="0" w:evenHBand="0" w:firstRowFirstColumn="0" w:firstRowLastColumn="0" w:lastRowFirstColumn="0" w:lastRowLastColumn="0"/>
            <w:tcW w:w="469" w:type="pct"/>
            <w:vMerge/>
            <w:vAlign w:val="center"/>
          </w:tcPr>
          <w:p w14:paraId="49B5D58C" w14:textId="77777777" w:rsidR="00E471E3" w:rsidRPr="00AA22F2" w:rsidRDefault="00E471E3" w:rsidP="00E471E3">
            <w:pPr>
              <w:jc w:val="left"/>
              <w:rPr>
                <w:b w:val="0"/>
                <w:bCs w:val="0"/>
                <w:szCs w:val="20"/>
              </w:rPr>
            </w:pPr>
          </w:p>
        </w:tc>
        <w:tc>
          <w:tcPr>
            <w:tcW w:w="1757" w:type="pct"/>
            <w:vMerge/>
            <w:vAlign w:val="center"/>
          </w:tcPr>
          <w:p w14:paraId="5FCE3206" w14:textId="77777777" w:rsidR="00E471E3" w:rsidRPr="00AA22F2" w:rsidRDefault="00E471E3" w:rsidP="00E471E3">
            <w:pPr>
              <w:jc w:val="left"/>
              <w:cnfStyle w:val="000000000000" w:firstRow="0" w:lastRow="0" w:firstColumn="0" w:lastColumn="0" w:oddVBand="0" w:evenVBand="0" w:oddHBand="0" w:evenHBand="0" w:firstRowFirstColumn="0" w:firstRowLastColumn="0" w:lastRowFirstColumn="0" w:lastRowLastColumn="0"/>
              <w:rPr>
                <w:b/>
                <w:bCs/>
                <w:szCs w:val="20"/>
              </w:rPr>
            </w:pPr>
          </w:p>
        </w:tc>
        <w:tc>
          <w:tcPr>
            <w:tcW w:w="913" w:type="pct"/>
            <w:tcBorders>
              <w:right w:val="single" w:sz="4" w:space="0" w:color="BFBFBF" w:themeColor="background1" w:themeShade="BF"/>
            </w:tcBorders>
            <w:vAlign w:val="center"/>
          </w:tcPr>
          <w:p w14:paraId="04620C0A" w14:textId="57C713F5" w:rsidR="00E471E3" w:rsidRPr="00AA22F2" w:rsidRDefault="00E471E3" w:rsidP="00E471E3">
            <w:pPr>
              <w:jc w:val="left"/>
              <w:cnfStyle w:val="000000000000" w:firstRow="0" w:lastRow="0" w:firstColumn="0" w:lastColumn="0" w:oddVBand="0" w:evenVBand="0" w:oddHBand="0" w:evenHBand="0" w:firstRowFirstColumn="0" w:firstRowLastColumn="0" w:lastRowFirstColumn="0" w:lastRowLastColumn="0"/>
              <w:rPr>
                <w:b/>
                <w:bCs/>
                <w:szCs w:val="20"/>
              </w:rPr>
            </w:pPr>
            <w:r w:rsidRPr="007E735B">
              <w:rPr>
                <w:rFonts w:asciiTheme="minorHAnsi" w:hAnsiTheme="minorHAnsi" w:cstheme="minorHAnsi"/>
                <w:szCs w:val="20"/>
                <w:lang w:val="fr-MA" w:eastAsia="fr-MA" w:bidi="ar-SA"/>
              </w:rPr>
              <w:t>Usagers/aéroport</w:t>
            </w:r>
          </w:p>
        </w:tc>
        <w:tc>
          <w:tcPr>
            <w:tcW w:w="1211" w:type="pct"/>
            <w:tcBorders>
              <w:left w:val="single" w:sz="4" w:space="0" w:color="BFBFBF" w:themeColor="background1" w:themeShade="BF"/>
            </w:tcBorders>
            <w:vAlign w:val="center"/>
          </w:tcPr>
          <w:p w14:paraId="407498C6" w14:textId="0B558DA7" w:rsidR="00E471E3" w:rsidRPr="00AA22F2" w:rsidRDefault="00E471E3" w:rsidP="00E471E3">
            <w:pPr>
              <w:cnfStyle w:val="000000000000" w:firstRow="0" w:lastRow="0" w:firstColumn="0" w:lastColumn="0" w:oddVBand="0" w:evenVBand="0" w:oddHBand="0" w:evenHBand="0" w:firstRowFirstColumn="0" w:firstRowLastColumn="0" w:lastRowFirstColumn="0" w:lastRowLastColumn="0"/>
              <w:rPr>
                <w:szCs w:val="20"/>
              </w:rPr>
            </w:pPr>
            <w:r w:rsidRPr="007E735B">
              <w:rPr>
                <w:rFonts w:asciiTheme="minorHAnsi" w:hAnsiTheme="minorHAnsi" w:cstheme="minorHAnsi"/>
                <w:szCs w:val="20"/>
                <w:lang w:val="fr-MA" w:eastAsia="fr-MA" w:bidi="ar-SA"/>
              </w:rPr>
              <w:t>Faible</w:t>
            </w:r>
          </w:p>
        </w:tc>
        <w:tc>
          <w:tcPr>
            <w:tcW w:w="650" w:type="pct"/>
            <w:vAlign w:val="center"/>
          </w:tcPr>
          <w:p w14:paraId="5415C629" w14:textId="6C27E581" w:rsidR="00E471E3" w:rsidRPr="00AA22F2" w:rsidRDefault="00E471E3" w:rsidP="00E471E3">
            <w:pPr>
              <w:cnfStyle w:val="000000000000" w:firstRow="0" w:lastRow="0" w:firstColumn="0" w:lastColumn="0" w:oddVBand="0" w:evenVBand="0" w:oddHBand="0" w:evenHBand="0" w:firstRowFirstColumn="0" w:firstRowLastColumn="0" w:lastRowFirstColumn="0" w:lastRowLastColumn="0"/>
              <w:rPr>
                <w:szCs w:val="20"/>
              </w:rPr>
            </w:pPr>
            <w:r w:rsidRPr="007E735B">
              <w:rPr>
                <w:rFonts w:asciiTheme="minorHAnsi" w:hAnsiTheme="minorHAnsi" w:cstheme="minorHAnsi"/>
                <w:szCs w:val="20"/>
                <w:lang w:val="fr-MA" w:eastAsia="fr-MA" w:bidi="ar-SA"/>
              </w:rPr>
              <w:t>Mineure</w:t>
            </w:r>
          </w:p>
        </w:tc>
      </w:tr>
      <w:tr w:rsidR="00E471E3" w:rsidRPr="007E735B" w14:paraId="3BA9F0B2" w14:textId="77777777" w:rsidTr="00E50636">
        <w:tc>
          <w:tcPr>
            <w:cnfStyle w:val="001000000000" w:firstRow="0" w:lastRow="0" w:firstColumn="1" w:lastColumn="0" w:oddVBand="0" w:evenVBand="0" w:oddHBand="0" w:evenHBand="0" w:firstRowFirstColumn="0" w:firstRowLastColumn="0" w:lastRowFirstColumn="0" w:lastRowLastColumn="0"/>
            <w:tcW w:w="469" w:type="pct"/>
            <w:vMerge/>
            <w:vAlign w:val="center"/>
          </w:tcPr>
          <w:p w14:paraId="15CA514F" w14:textId="77777777" w:rsidR="00E471E3" w:rsidRPr="00AA22F2" w:rsidRDefault="00E471E3" w:rsidP="00E471E3">
            <w:pPr>
              <w:jc w:val="left"/>
              <w:rPr>
                <w:b w:val="0"/>
                <w:bCs w:val="0"/>
                <w:szCs w:val="20"/>
              </w:rPr>
            </w:pPr>
          </w:p>
        </w:tc>
        <w:tc>
          <w:tcPr>
            <w:tcW w:w="1757" w:type="pct"/>
            <w:vMerge/>
            <w:vAlign w:val="center"/>
          </w:tcPr>
          <w:p w14:paraId="0D9DEF29" w14:textId="77777777" w:rsidR="00E471E3" w:rsidRPr="00AA22F2" w:rsidRDefault="00E471E3" w:rsidP="00E471E3">
            <w:pPr>
              <w:jc w:val="left"/>
              <w:cnfStyle w:val="000000000000" w:firstRow="0" w:lastRow="0" w:firstColumn="0" w:lastColumn="0" w:oddVBand="0" w:evenVBand="0" w:oddHBand="0" w:evenHBand="0" w:firstRowFirstColumn="0" w:firstRowLastColumn="0" w:lastRowFirstColumn="0" w:lastRowLastColumn="0"/>
              <w:rPr>
                <w:b/>
                <w:bCs/>
                <w:szCs w:val="20"/>
              </w:rPr>
            </w:pPr>
          </w:p>
        </w:tc>
        <w:tc>
          <w:tcPr>
            <w:tcW w:w="913" w:type="pct"/>
            <w:tcBorders>
              <w:right w:val="single" w:sz="4" w:space="0" w:color="BFBFBF" w:themeColor="background1" w:themeShade="BF"/>
            </w:tcBorders>
            <w:vAlign w:val="center"/>
          </w:tcPr>
          <w:p w14:paraId="7EECB8DB" w14:textId="5C122F77" w:rsidR="00E471E3" w:rsidRPr="00AA22F2" w:rsidRDefault="00E471E3" w:rsidP="00E471E3">
            <w:pPr>
              <w:jc w:val="left"/>
              <w:cnfStyle w:val="000000000000" w:firstRow="0" w:lastRow="0" w:firstColumn="0" w:lastColumn="0" w:oddVBand="0" w:evenVBand="0" w:oddHBand="0" w:evenHBand="0" w:firstRowFirstColumn="0" w:firstRowLastColumn="0" w:lastRowFirstColumn="0" w:lastRowLastColumn="0"/>
              <w:rPr>
                <w:b/>
                <w:bCs/>
                <w:szCs w:val="20"/>
              </w:rPr>
            </w:pPr>
            <w:r w:rsidRPr="007E735B">
              <w:rPr>
                <w:rFonts w:asciiTheme="minorHAnsi" w:hAnsiTheme="minorHAnsi" w:cstheme="minorHAnsi"/>
                <w:szCs w:val="20"/>
                <w:lang w:val="fr-MA" w:eastAsia="fr-MA" w:bidi="ar-SA"/>
              </w:rPr>
              <w:t xml:space="preserve">Habitations (notamment </w:t>
            </w:r>
            <w:r w:rsidR="00537940">
              <w:rPr>
                <w:rFonts w:asciiTheme="minorHAnsi" w:hAnsiTheme="minorHAnsi" w:cstheme="minorHAnsi"/>
                <w:szCs w:val="20"/>
                <w:lang w:val="fr-MA" w:eastAsia="fr-MA" w:bidi="ar-SA"/>
              </w:rPr>
              <w:t>Bouakkaz</w:t>
            </w:r>
            <w:r w:rsidRPr="007E735B">
              <w:rPr>
                <w:rFonts w:asciiTheme="minorHAnsi" w:hAnsiTheme="minorHAnsi" w:cstheme="minorHAnsi"/>
                <w:szCs w:val="20"/>
                <w:lang w:val="fr-MA" w:eastAsia="fr-MA" w:bidi="ar-SA"/>
              </w:rPr>
              <w:t>)</w:t>
            </w:r>
          </w:p>
        </w:tc>
        <w:tc>
          <w:tcPr>
            <w:tcW w:w="1211" w:type="pct"/>
            <w:tcBorders>
              <w:left w:val="single" w:sz="4" w:space="0" w:color="BFBFBF" w:themeColor="background1" w:themeShade="BF"/>
            </w:tcBorders>
            <w:vAlign w:val="center"/>
          </w:tcPr>
          <w:p w14:paraId="5A7C95E7" w14:textId="7B407DD2" w:rsidR="00E471E3" w:rsidRPr="00AA22F2" w:rsidRDefault="00E471E3" w:rsidP="00E471E3">
            <w:pPr>
              <w:cnfStyle w:val="000000000000" w:firstRow="0" w:lastRow="0" w:firstColumn="0" w:lastColumn="0" w:oddVBand="0" w:evenVBand="0" w:oddHBand="0" w:evenHBand="0" w:firstRowFirstColumn="0" w:firstRowLastColumn="0" w:lastRowFirstColumn="0" w:lastRowLastColumn="0"/>
              <w:rPr>
                <w:szCs w:val="20"/>
              </w:rPr>
            </w:pPr>
            <w:r w:rsidRPr="007E735B">
              <w:rPr>
                <w:rFonts w:asciiTheme="minorHAnsi" w:hAnsiTheme="minorHAnsi" w:cstheme="minorHAnsi"/>
                <w:szCs w:val="20"/>
                <w:lang w:val="fr-MA" w:eastAsia="fr-MA" w:bidi="ar-SA"/>
              </w:rPr>
              <w:t>Négligeable</w:t>
            </w:r>
          </w:p>
        </w:tc>
        <w:tc>
          <w:tcPr>
            <w:tcW w:w="650" w:type="pct"/>
            <w:vAlign w:val="center"/>
          </w:tcPr>
          <w:p w14:paraId="788FB1EE" w14:textId="7427DE6B" w:rsidR="00E471E3" w:rsidRPr="00AA22F2" w:rsidRDefault="00E471E3" w:rsidP="00E471E3">
            <w:pPr>
              <w:cnfStyle w:val="000000000000" w:firstRow="0" w:lastRow="0" w:firstColumn="0" w:lastColumn="0" w:oddVBand="0" w:evenVBand="0" w:oddHBand="0" w:evenHBand="0" w:firstRowFirstColumn="0" w:firstRowLastColumn="0" w:lastRowFirstColumn="0" w:lastRowLastColumn="0"/>
              <w:rPr>
                <w:szCs w:val="20"/>
              </w:rPr>
            </w:pPr>
            <w:r w:rsidRPr="007E735B">
              <w:rPr>
                <w:rFonts w:asciiTheme="minorHAnsi" w:hAnsiTheme="minorHAnsi" w:cstheme="minorHAnsi"/>
                <w:szCs w:val="20"/>
                <w:lang w:val="fr-MA" w:eastAsia="fr-MA" w:bidi="ar-SA"/>
              </w:rPr>
              <w:t>Insignifiant</w:t>
            </w:r>
          </w:p>
        </w:tc>
      </w:tr>
    </w:tbl>
    <w:p w14:paraId="5B8A4312" w14:textId="102D0422" w:rsidR="00F86EB2" w:rsidRDefault="00F86EB2" w:rsidP="0001633E">
      <w:pPr>
        <w:pStyle w:val="AltTitle2"/>
        <w:numPr>
          <w:ilvl w:val="0"/>
          <w:numId w:val="106"/>
        </w:numPr>
      </w:pPr>
      <w:r w:rsidRPr="00F86EB2">
        <w:t>Émission d’odeurs / COV</w:t>
      </w:r>
    </w:p>
    <w:p w14:paraId="76730EEF" w14:textId="77777777" w:rsidR="009F4B37" w:rsidRDefault="009F4B37" w:rsidP="009F4B37">
      <w:r>
        <w:t>Les émissions d’odeurs et de composés organiques volatils (COV) proviennent des activités de maintenance et d’entretien telles que les travaux de peinture de marquage, le nettoyage d’équipements techniques, l’application de solvants ou lubrifiants, et certaines opérations de graissage. Ces émissions sont généralement faibles et temporaires, concentrées dans les zones techniques ou de maintenance.</w:t>
      </w:r>
    </w:p>
    <w:p w14:paraId="3710DFD6" w14:textId="77777777" w:rsidR="009F4B37" w:rsidRDefault="009F4B37" w:rsidP="009F4B37">
      <w:r>
        <w:t>L’impact est de nature directe et négative, car les émissions sont générées immédiatement par l’utilisation de produits volatils. Son étendue est très locale, limitée aux zones d’application sans propagation perceptible vers les espaces publics ou l’extérieur du site. La durée de l’impact est temporaire, circonscrite au temps des opérations de maintenance. Sa fréquence est intermittente, liée au calendrier de travaux d’entretien.</w:t>
      </w:r>
    </w:p>
    <w:p w14:paraId="1D67D5B5" w14:textId="62F4BEB1" w:rsidR="009F4B37" w:rsidRDefault="009F4B37" w:rsidP="009F4B37">
      <w:r>
        <w:t xml:space="preserve">L’intensité est faible, les émissions étant de faible volume et rapidement dissipées par la ventilation naturelle et les conditions climatiques sèches </w:t>
      </w:r>
      <w:r w:rsidR="0032128F">
        <w:t>de Marrakech</w:t>
      </w:r>
      <w:r>
        <w:t>. Les concentrations restent très inférieures aux seuils sanitaires définis par l’OMS (benzène &lt; 5 µg/m³, toluène &lt; 250 µg/m³, etc.).</w:t>
      </w:r>
    </w:p>
    <w:p w14:paraId="337E46BD" w14:textId="56C352E1" w:rsidR="009F4B37" w:rsidRDefault="009F4B37" w:rsidP="009F4B37">
      <w:r>
        <w:t xml:space="preserve">Les récepteurs les plus sensibles sont les employés de maintenance, exposés directement et de manière ponctuelle aux produits odorants (sensibilité moyenne). Les usagers du terminal présentent une sensibilité faible, car l’exposition est indirecte et très limitée. Les habitants du </w:t>
      </w:r>
      <w:r w:rsidR="00DD3C16">
        <w:t>Bouakkaz</w:t>
      </w:r>
      <w:r w:rsidR="007E735B">
        <w:t xml:space="preserve"> </w:t>
      </w:r>
      <w:r>
        <w:t>présentent une sensibilité négligeable compte tenu de la dispersion rapide et du faible volume émis.</w:t>
      </w:r>
    </w:p>
    <w:p w14:paraId="0AAAEBF4" w14:textId="47D04FEB" w:rsidR="009F4B37" w:rsidRDefault="009F4B37" w:rsidP="009F4B37">
      <w:r>
        <w:t>En croisant une intensité faible et une sensibilité faible à moyenne, l’impact est considéré d’importance négligeable à mineure avant la mise en œuvre des mesures d’atténuation. Il s’agit d’un impact ponctuel, local, réversible et entièrement maîtrisable par la mise en œuvre de bonnes pratiques de maintenance et de ventilation</w:t>
      </w:r>
      <w:r w:rsidR="003E3DA1">
        <w:t>.</w:t>
      </w:r>
    </w:p>
    <w:p w14:paraId="3CACF4E2" w14:textId="77777777" w:rsidR="003E3DA1" w:rsidRDefault="003E3DA1" w:rsidP="009F4B37"/>
    <w:p w14:paraId="4A4B9DD6" w14:textId="77777777" w:rsidR="003E3DA1" w:rsidRPr="00F86EB2" w:rsidRDefault="003E3DA1" w:rsidP="009F4B37"/>
    <w:tbl>
      <w:tblPr>
        <w:tblStyle w:val="TableauGrille1Clair-Accentuation111"/>
        <w:tblW w:w="0" w:type="auto"/>
        <w:tblInd w:w="-5" w:type="dxa"/>
        <w:tblLook w:val="04A0" w:firstRow="1" w:lastRow="0" w:firstColumn="1" w:lastColumn="0" w:noHBand="0" w:noVBand="1"/>
      </w:tblPr>
      <w:tblGrid>
        <w:gridCol w:w="792"/>
        <w:gridCol w:w="2464"/>
        <w:gridCol w:w="1983"/>
        <w:gridCol w:w="2319"/>
        <w:gridCol w:w="1507"/>
      </w:tblGrid>
      <w:tr w:rsidR="00D60FC9" w:rsidRPr="009F4B37" w14:paraId="112480C6" w14:textId="77777777" w:rsidTr="004637C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396BA18A" w14:textId="216042F4" w:rsidR="00827D44" w:rsidRPr="00AA22F2" w:rsidRDefault="00827D44" w:rsidP="00827D44">
            <w:pPr>
              <w:rPr>
                <w:szCs w:val="20"/>
              </w:rPr>
            </w:pPr>
            <w:r w:rsidRPr="00AA22F2">
              <w:rPr>
                <w:szCs w:val="20"/>
              </w:rPr>
              <w:t>Impact</w:t>
            </w:r>
          </w:p>
        </w:tc>
        <w:tc>
          <w:tcPr>
            <w:tcW w:w="0" w:type="auto"/>
          </w:tcPr>
          <w:p w14:paraId="71210485" w14:textId="543C5E71" w:rsidR="00827D44" w:rsidRPr="00AA22F2" w:rsidRDefault="00827D44" w:rsidP="00827D44">
            <w:pPr>
              <w:cnfStyle w:val="100000000000" w:firstRow="1" w:lastRow="0" w:firstColumn="0" w:lastColumn="0" w:oddVBand="0" w:evenVBand="0" w:oddHBand="0" w:evenHBand="0" w:firstRowFirstColumn="0" w:firstRowLastColumn="0" w:lastRowFirstColumn="0" w:lastRowLastColumn="0"/>
              <w:rPr>
                <w:szCs w:val="20"/>
              </w:rPr>
            </w:pPr>
            <w:r w:rsidRPr="00AA22F2">
              <w:rPr>
                <w:szCs w:val="20"/>
              </w:rPr>
              <w:t>Activités génératrices</w:t>
            </w:r>
          </w:p>
        </w:tc>
        <w:tc>
          <w:tcPr>
            <w:tcW w:w="0" w:type="auto"/>
            <w:vAlign w:val="center"/>
          </w:tcPr>
          <w:p w14:paraId="1AB756E8" w14:textId="3998DA30" w:rsidR="00827D44" w:rsidRPr="00AA22F2" w:rsidRDefault="00827D44" w:rsidP="00827D44">
            <w:pPr>
              <w:jc w:val="left"/>
              <w:cnfStyle w:val="100000000000" w:firstRow="1" w:lastRow="0" w:firstColumn="0" w:lastColumn="0" w:oddVBand="0" w:evenVBand="0" w:oddHBand="0" w:evenHBand="0" w:firstRowFirstColumn="0" w:firstRowLastColumn="0" w:lastRowFirstColumn="0" w:lastRowLastColumn="0"/>
              <w:rPr>
                <w:szCs w:val="20"/>
              </w:rPr>
            </w:pPr>
            <w:r w:rsidRPr="00AA22F2">
              <w:rPr>
                <w:szCs w:val="20"/>
              </w:rPr>
              <w:t>Critère</w:t>
            </w:r>
          </w:p>
        </w:tc>
        <w:tc>
          <w:tcPr>
            <w:tcW w:w="0" w:type="auto"/>
          </w:tcPr>
          <w:p w14:paraId="068DCE0A" w14:textId="21C5EC2D" w:rsidR="00827D44" w:rsidRPr="00AA22F2" w:rsidRDefault="00827D44" w:rsidP="00827D44">
            <w:pPr>
              <w:cnfStyle w:val="100000000000" w:firstRow="1" w:lastRow="0" w:firstColumn="0" w:lastColumn="0" w:oddVBand="0" w:evenVBand="0" w:oddHBand="0" w:evenHBand="0" w:firstRowFirstColumn="0" w:firstRowLastColumn="0" w:lastRowFirstColumn="0" w:lastRowLastColumn="0"/>
              <w:rPr>
                <w:szCs w:val="20"/>
              </w:rPr>
            </w:pPr>
            <w:r w:rsidRPr="00AA22F2">
              <w:rPr>
                <w:szCs w:val="20"/>
              </w:rPr>
              <w:t>Justification</w:t>
            </w:r>
          </w:p>
        </w:tc>
        <w:tc>
          <w:tcPr>
            <w:tcW w:w="0" w:type="auto"/>
          </w:tcPr>
          <w:p w14:paraId="0925FB40" w14:textId="0DCCB07F" w:rsidR="00827D44" w:rsidRPr="00AA22F2" w:rsidRDefault="00827D44" w:rsidP="00827D44">
            <w:pPr>
              <w:cnfStyle w:val="100000000000" w:firstRow="1" w:lastRow="0" w:firstColumn="0" w:lastColumn="0" w:oddVBand="0" w:evenVBand="0" w:oddHBand="0" w:evenHBand="0" w:firstRowFirstColumn="0" w:firstRowLastColumn="0" w:lastRowFirstColumn="0" w:lastRowLastColumn="0"/>
              <w:rPr>
                <w:szCs w:val="20"/>
              </w:rPr>
            </w:pPr>
            <w:r w:rsidRPr="00AA22F2">
              <w:rPr>
                <w:szCs w:val="20"/>
              </w:rPr>
              <w:t>Niveau</w:t>
            </w:r>
          </w:p>
        </w:tc>
      </w:tr>
      <w:tr w:rsidR="00D60FC9" w:rsidRPr="009F4B37" w14:paraId="117DCF7C" w14:textId="77777777" w:rsidTr="004637C7">
        <w:tc>
          <w:tcPr>
            <w:cnfStyle w:val="001000000000" w:firstRow="0" w:lastRow="0" w:firstColumn="1" w:lastColumn="0" w:oddVBand="0" w:evenVBand="0" w:oddHBand="0" w:evenHBand="0" w:firstRowFirstColumn="0" w:firstRowLastColumn="0" w:lastRowFirstColumn="0" w:lastRowLastColumn="0"/>
            <w:tcW w:w="0" w:type="auto"/>
            <w:vMerge w:val="restart"/>
            <w:textDirection w:val="btLr"/>
            <w:vAlign w:val="center"/>
          </w:tcPr>
          <w:p w14:paraId="406CDA16" w14:textId="31C7FA68" w:rsidR="009F4B37" w:rsidRPr="00AA22F2" w:rsidRDefault="009F4B37" w:rsidP="004637C7">
            <w:pPr>
              <w:ind w:left="113" w:right="113"/>
              <w:jc w:val="center"/>
              <w:rPr>
                <w:b w:val="0"/>
                <w:bCs w:val="0"/>
                <w:szCs w:val="20"/>
              </w:rPr>
            </w:pPr>
            <w:r w:rsidRPr="00AA22F2">
              <w:rPr>
                <w:szCs w:val="20"/>
              </w:rPr>
              <w:t>Émissions d’odeurs et COV</w:t>
            </w:r>
          </w:p>
        </w:tc>
        <w:tc>
          <w:tcPr>
            <w:tcW w:w="0" w:type="auto"/>
            <w:vMerge w:val="restart"/>
            <w:vAlign w:val="center"/>
          </w:tcPr>
          <w:p w14:paraId="2AF753A3" w14:textId="44ADB119" w:rsidR="009F4B37" w:rsidRPr="00AA22F2" w:rsidRDefault="009F4B37" w:rsidP="004637C7">
            <w:pPr>
              <w:spacing w:before="0" w:after="0"/>
              <w:jc w:val="left"/>
              <w:cnfStyle w:val="000000000000" w:firstRow="0" w:lastRow="0" w:firstColumn="0" w:lastColumn="0" w:oddVBand="0" w:evenVBand="0" w:oddHBand="0" w:evenHBand="0" w:firstRowFirstColumn="0" w:firstRowLastColumn="0" w:lastRowFirstColumn="0" w:lastRowLastColumn="0"/>
              <w:rPr>
                <w:szCs w:val="20"/>
              </w:rPr>
            </w:pPr>
            <w:r w:rsidRPr="00AA22F2">
              <w:rPr>
                <w:szCs w:val="20"/>
              </w:rPr>
              <w:t>Peinture de marquage, application de solvants, graissage, nettoyage technique</w:t>
            </w:r>
          </w:p>
        </w:tc>
        <w:tc>
          <w:tcPr>
            <w:tcW w:w="0" w:type="auto"/>
            <w:tcBorders>
              <w:right w:val="single" w:sz="4" w:space="0" w:color="BFBFBF" w:themeColor="background1" w:themeShade="BF"/>
            </w:tcBorders>
            <w:vAlign w:val="center"/>
          </w:tcPr>
          <w:p w14:paraId="6D505F4A" w14:textId="77777777" w:rsidR="009F4B37" w:rsidRPr="00AA22F2" w:rsidRDefault="009F4B37" w:rsidP="009F4B37">
            <w:pPr>
              <w:jc w:val="left"/>
              <w:cnfStyle w:val="000000000000" w:firstRow="0" w:lastRow="0" w:firstColumn="0" w:lastColumn="0" w:oddVBand="0" w:evenVBand="0" w:oddHBand="0" w:evenHBand="0" w:firstRowFirstColumn="0" w:firstRowLastColumn="0" w:lastRowFirstColumn="0" w:lastRowLastColumn="0"/>
              <w:rPr>
                <w:b/>
                <w:bCs/>
                <w:szCs w:val="20"/>
              </w:rPr>
            </w:pPr>
            <w:r w:rsidRPr="00AA22F2">
              <w:rPr>
                <w:b/>
                <w:bCs/>
                <w:szCs w:val="20"/>
              </w:rPr>
              <w:t>Nature</w:t>
            </w:r>
          </w:p>
        </w:tc>
        <w:tc>
          <w:tcPr>
            <w:tcW w:w="0" w:type="auto"/>
            <w:gridSpan w:val="2"/>
            <w:tcBorders>
              <w:left w:val="single" w:sz="4" w:space="0" w:color="BFBFBF" w:themeColor="background1" w:themeShade="BF"/>
            </w:tcBorders>
          </w:tcPr>
          <w:p w14:paraId="3F649A3C" w14:textId="77777777" w:rsidR="009F4B37" w:rsidRPr="00AA22F2" w:rsidRDefault="009F4B37" w:rsidP="009F4B37">
            <w:pPr>
              <w:cnfStyle w:val="000000000000" w:firstRow="0" w:lastRow="0" w:firstColumn="0" w:lastColumn="0" w:oddVBand="0" w:evenVBand="0" w:oddHBand="0" w:evenHBand="0" w:firstRowFirstColumn="0" w:firstRowLastColumn="0" w:lastRowFirstColumn="0" w:lastRowLastColumn="0"/>
              <w:rPr>
                <w:szCs w:val="20"/>
              </w:rPr>
            </w:pPr>
            <w:r w:rsidRPr="00AA22F2">
              <w:rPr>
                <w:szCs w:val="20"/>
              </w:rPr>
              <w:t>Négatif direct</w:t>
            </w:r>
          </w:p>
        </w:tc>
      </w:tr>
      <w:tr w:rsidR="00D60FC9" w:rsidRPr="009F4B37" w14:paraId="3AF1B536" w14:textId="77777777" w:rsidTr="004637C7">
        <w:tc>
          <w:tcPr>
            <w:cnfStyle w:val="001000000000" w:firstRow="0" w:lastRow="0" w:firstColumn="1" w:lastColumn="0" w:oddVBand="0" w:evenVBand="0" w:oddHBand="0" w:evenHBand="0" w:firstRowFirstColumn="0" w:firstRowLastColumn="0" w:lastRowFirstColumn="0" w:lastRowLastColumn="0"/>
            <w:tcW w:w="0" w:type="auto"/>
            <w:vMerge/>
            <w:vAlign w:val="center"/>
          </w:tcPr>
          <w:p w14:paraId="228D79CD" w14:textId="77777777" w:rsidR="007E735B" w:rsidRPr="00AA22F2" w:rsidRDefault="007E735B" w:rsidP="007E735B">
            <w:pPr>
              <w:jc w:val="left"/>
              <w:rPr>
                <w:b w:val="0"/>
                <w:bCs w:val="0"/>
                <w:szCs w:val="20"/>
              </w:rPr>
            </w:pPr>
          </w:p>
        </w:tc>
        <w:tc>
          <w:tcPr>
            <w:tcW w:w="0" w:type="auto"/>
            <w:vMerge/>
            <w:vAlign w:val="center"/>
          </w:tcPr>
          <w:p w14:paraId="28867854" w14:textId="77777777" w:rsidR="007E735B" w:rsidRPr="00AA22F2" w:rsidRDefault="007E735B" w:rsidP="0001633E">
            <w:pPr>
              <w:pStyle w:val="Paragraphedeliste"/>
              <w:numPr>
                <w:ilvl w:val="0"/>
                <w:numId w:val="107"/>
              </w:numPr>
              <w:spacing w:before="0" w:after="0"/>
              <w:ind w:left="173" w:hanging="195"/>
              <w:jc w:val="left"/>
              <w:cnfStyle w:val="000000000000" w:firstRow="0" w:lastRow="0" w:firstColumn="0" w:lastColumn="0" w:oddVBand="0" w:evenVBand="0" w:oddHBand="0" w:evenHBand="0" w:firstRowFirstColumn="0" w:firstRowLastColumn="0" w:lastRowFirstColumn="0" w:lastRowLastColumn="0"/>
              <w:rPr>
                <w:szCs w:val="20"/>
              </w:rPr>
            </w:pPr>
          </w:p>
        </w:tc>
        <w:tc>
          <w:tcPr>
            <w:tcW w:w="0" w:type="auto"/>
            <w:tcBorders>
              <w:right w:val="single" w:sz="4" w:space="0" w:color="BFBFBF" w:themeColor="background1" w:themeShade="BF"/>
            </w:tcBorders>
            <w:vAlign w:val="center"/>
          </w:tcPr>
          <w:p w14:paraId="49C2F399" w14:textId="77777777" w:rsidR="007E735B" w:rsidRPr="00AA22F2" w:rsidRDefault="007E735B" w:rsidP="007E735B">
            <w:pPr>
              <w:jc w:val="left"/>
              <w:cnfStyle w:val="000000000000" w:firstRow="0" w:lastRow="0" w:firstColumn="0" w:lastColumn="0" w:oddVBand="0" w:evenVBand="0" w:oddHBand="0" w:evenHBand="0" w:firstRowFirstColumn="0" w:firstRowLastColumn="0" w:lastRowFirstColumn="0" w:lastRowLastColumn="0"/>
              <w:rPr>
                <w:b/>
                <w:bCs/>
                <w:szCs w:val="20"/>
              </w:rPr>
            </w:pPr>
            <w:r w:rsidRPr="00AA22F2">
              <w:rPr>
                <w:b/>
                <w:bCs/>
                <w:szCs w:val="20"/>
              </w:rPr>
              <w:t>Étendue</w:t>
            </w:r>
          </w:p>
        </w:tc>
        <w:tc>
          <w:tcPr>
            <w:tcW w:w="0" w:type="auto"/>
            <w:tcBorders>
              <w:left w:val="single" w:sz="4" w:space="0" w:color="BFBFBF" w:themeColor="background1" w:themeShade="BF"/>
            </w:tcBorders>
          </w:tcPr>
          <w:p w14:paraId="5708208D" w14:textId="2714AD38" w:rsidR="007E735B" w:rsidRPr="00AA22F2" w:rsidRDefault="007E735B" w:rsidP="007E735B">
            <w:pPr>
              <w:cnfStyle w:val="000000000000" w:firstRow="0" w:lastRow="0" w:firstColumn="0" w:lastColumn="0" w:oddVBand="0" w:evenVBand="0" w:oddHBand="0" w:evenHBand="0" w:firstRowFirstColumn="0" w:firstRowLastColumn="0" w:lastRowFirstColumn="0" w:lastRowLastColumn="0"/>
              <w:rPr>
                <w:szCs w:val="20"/>
              </w:rPr>
            </w:pPr>
            <w:r>
              <w:t>Locale</w:t>
            </w:r>
            <w:r w:rsidRPr="002605FE">
              <w:t>, limitée aux zones techniques de maintenance</w:t>
            </w:r>
          </w:p>
        </w:tc>
        <w:tc>
          <w:tcPr>
            <w:tcW w:w="0" w:type="auto"/>
          </w:tcPr>
          <w:p w14:paraId="6DD5B79B" w14:textId="629A4050" w:rsidR="007E735B" w:rsidRPr="00AA22F2" w:rsidRDefault="007E735B" w:rsidP="007E735B">
            <w:pPr>
              <w:cnfStyle w:val="000000000000" w:firstRow="0" w:lastRow="0" w:firstColumn="0" w:lastColumn="0" w:oddVBand="0" w:evenVBand="0" w:oddHBand="0" w:evenHBand="0" w:firstRowFirstColumn="0" w:firstRowLastColumn="0" w:lastRowFirstColumn="0" w:lastRowLastColumn="0"/>
              <w:rPr>
                <w:szCs w:val="20"/>
              </w:rPr>
            </w:pPr>
            <w:r>
              <w:t>L</w:t>
            </w:r>
            <w:r w:rsidRPr="002605FE">
              <w:t>ocale</w:t>
            </w:r>
          </w:p>
        </w:tc>
      </w:tr>
      <w:tr w:rsidR="00D60FC9" w:rsidRPr="009F4B37" w14:paraId="5E0A7453" w14:textId="77777777" w:rsidTr="004637C7">
        <w:tc>
          <w:tcPr>
            <w:cnfStyle w:val="001000000000" w:firstRow="0" w:lastRow="0" w:firstColumn="1" w:lastColumn="0" w:oddVBand="0" w:evenVBand="0" w:oddHBand="0" w:evenHBand="0" w:firstRowFirstColumn="0" w:firstRowLastColumn="0" w:lastRowFirstColumn="0" w:lastRowLastColumn="0"/>
            <w:tcW w:w="0" w:type="auto"/>
            <w:vMerge/>
            <w:vAlign w:val="center"/>
          </w:tcPr>
          <w:p w14:paraId="65C1B4DA" w14:textId="77777777" w:rsidR="007E735B" w:rsidRPr="00AA22F2" w:rsidRDefault="007E735B" w:rsidP="007E735B">
            <w:pPr>
              <w:jc w:val="left"/>
              <w:rPr>
                <w:b w:val="0"/>
                <w:bCs w:val="0"/>
                <w:szCs w:val="20"/>
              </w:rPr>
            </w:pPr>
          </w:p>
        </w:tc>
        <w:tc>
          <w:tcPr>
            <w:tcW w:w="0" w:type="auto"/>
            <w:vMerge/>
            <w:vAlign w:val="center"/>
          </w:tcPr>
          <w:p w14:paraId="53440009" w14:textId="77777777" w:rsidR="007E735B" w:rsidRPr="00AA22F2" w:rsidRDefault="007E735B" w:rsidP="0001633E">
            <w:pPr>
              <w:pStyle w:val="Paragraphedeliste"/>
              <w:numPr>
                <w:ilvl w:val="0"/>
                <w:numId w:val="107"/>
              </w:numPr>
              <w:spacing w:before="0" w:after="0"/>
              <w:ind w:left="173" w:hanging="195"/>
              <w:jc w:val="left"/>
              <w:cnfStyle w:val="000000000000" w:firstRow="0" w:lastRow="0" w:firstColumn="0" w:lastColumn="0" w:oddVBand="0" w:evenVBand="0" w:oddHBand="0" w:evenHBand="0" w:firstRowFirstColumn="0" w:firstRowLastColumn="0" w:lastRowFirstColumn="0" w:lastRowLastColumn="0"/>
              <w:rPr>
                <w:szCs w:val="20"/>
              </w:rPr>
            </w:pPr>
          </w:p>
        </w:tc>
        <w:tc>
          <w:tcPr>
            <w:tcW w:w="0" w:type="auto"/>
            <w:tcBorders>
              <w:right w:val="single" w:sz="4" w:space="0" w:color="BFBFBF" w:themeColor="background1" w:themeShade="BF"/>
            </w:tcBorders>
            <w:vAlign w:val="center"/>
          </w:tcPr>
          <w:p w14:paraId="72C2483C" w14:textId="77777777" w:rsidR="007E735B" w:rsidRPr="00AA22F2" w:rsidRDefault="007E735B" w:rsidP="007E735B">
            <w:pPr>
              <w:jc w:val="left"/>
              <w:cnfStyle w:val="000000000000" w:firstRow="0" w:lastRow="0" w:firstColumn="0" w:lastColumn="0" w:oddVBand="0" w:evenVBand="0" w:oddHBand="0" w:evenHBand="0" w:firstRowFirstColumn="0" w:firstRowLastColumn="0" w:lastRowFirstColumn="0" w:lastRowLastColumn="0"/>
              <w:rPr>
                <w:b/>
                <w:bCs/>
                <w:szCs w:val="20"/>
              </w:rPr>
            </w:pPr>
            <w:r w:rsidRPr="00AA22F2">
              <w:rPr>
                <w:b/>
                <w:bCs/>
                <w:szCs w:val="20"/>
              </w:rPr>
              <w:t>Durée</w:t>
            </w:r>
          </w:p>
        </w:tc>
        <w:tc>
          <w:tcPr>
            <w:tcW w:w="0" w:type="auto"/>
            <w:tcBorders>
              <w:left w:val="single" w:sz="4" w:space="0" w:color="BFBFBF" w:themeColor="background1" w:themeShade="BF"/>
            </w:tcBorders>
          </w:tcPr>
          <w:p w14:paraId="225A2660" w14:textId="2422802B" w:rsidR="007E735B" w:rsidRPr="00AA22F2" w:rsidRDefault="007E735B" w:rsidP="007E735B">
            <w:pPr>
              <w:cnfStyle w:val="000000000000" w:firstRow="0" w:lastRow="0" w:firstColumn="0" w:lastColumn="0" w:oddVBand="0" w:evenVBand="0" w:oddHBand="0" w:evenHBand="0" w:firstRowFirstColumn="0" w:firstRowLastColumn="0" w:lastRowFirstColumn="0" w:lastRowLastColumn="0"/>
              <w:rPr>
                <w:szCs w:val="20"/>
              </w:rPr>
            </w:pPr>
            <w:r w:rsidRPr="002605FE">
              <w:t>Temporaire, restreinte à la durée des opérations ponctuelles</w:t>
            </w:r>
          </w:p>
        </w:tc>
        <w:tc>
          <w:tcPr>
            <w:tcW w:w="0" w:type="auto"/>
          </w:tcPr>
          <w:p w14:paraId="777EFF06" w14:textId="7D204540" w:rsidR="007E735B" w:rsidRPr="00AA22F2" w:rsidRDefault="007E735B" w:rsidP="007E735B">
            <w:pPr>
              <w:cnfStyle w:val="000000000000" w:firstRow="0" w:lastRow="0" w:firstColumn="0" w:lastColumn="0" w:oddVBand="0" w:evenVBand="0" w:oddHBand="0" w:evenHBand="0" w:firstRowFirstColumn="0" w:firstRowLastColumn="0" w:lastRowFirstColumn="0" w:lastRowLastColumn="0"/>
              <w:rPr>
                <w:szCs w:val="20"/>
              </w:rPr>
            </w:pPr>
            <w:r w:rsidRPr="002605FE">
              <w:t>Temporaire</w:t>
            </w:r>
          </w:p>
        </w:tc>
      </w:tr>
      <w:tr w:rsidR="00D60FC9" w:rsidRPr="009F4B37" w14:paraId="5969AD4D" w14:textId="77777777" w:rsidTr="004637C7">
        <w:tc>
          <w:tcPr>
            <w:cnfStyle w:val="001000000000" w:firstRow="0" w:lastRow="0" w:firstColumn="1" w:lastColumn="0" w:oddVBand="0" w:evenVBand="0" w:oddHBand="0" w:evenHBand="0" w:firstRowFirstColumn="0" w:firstRowLastColumn="0" w:lastRowFirstColumn="0" w:lastRowLastColumn="0"/>
            <w:tcW w:w="0" w:type="auto"/>
            <w:vMerge/>
            <w:vAlign w:val="center"/>
          </w:tcPr>
          <w:p w14:paraId="521D8AC3" w14:textId="77777777" w:rsidR="007E735B" w:rsidRPr="00AA22F2" w:rsidRDefault="007E735B" w:rsidP="007E735B">
            <w:pPr>
              <w:jc w:val="left"/>
              <w:rPr>
                <w:b w:val="0"/>
                <w:bCs w:val="0"/>
                <w:szCs w:val="20"/>
              </w:rPr>
            </w:pPr>
          </w:p>
        </w:tc>
        <w:tc>
          <w:tcPr>
            <w:tcW w:w="0" w:type="auto"/>
            <w:vMerge/>
            <w:vAlign w:val="center"/>
          </w:tcPr>
          <w:p w14:paraId="52614949" w14:textId="77777777" w:rsidR="007E735B" w:rsidRPr="00AA22F2" w:rsidRDefault="007E735B" w:rsidP="0001633E">
            <w:pPr>
              <w:pStyle w:val="Paragraphedeliste"/>
              <w:numPr>
                <w:ilvl w:val="0"/>
                <w:numId w:val="107"/>
              </w:numPr>
              <w:spacing w:before="0" w:after="0"/>
              <w:ind w:left="173" w:hanging="195"/>
              <w:jc w:val="left"/>
              <w:cnfStyle w:val="000000000000" w:firstRow="0" w:lastRow="0" w:firstColumn="0" w:lastColumn="0" w:oddVBand="0" w:evenVBand="0" w:oddHBand="0" w:evenHBand="0" w:firstRowFirstColumn="0" w:firstRowLastColumn="0" w:lastRowFirstColumn="0" w:lastRowLastColumn="0"/>
              <w:rPr>
                <w:szCs w:val="20"/>
              </w:rPr>
            </w:pPr>
          </w:p>
        </w:tc>
        <w:tc>
          <w:tcPr>
            <w:tcW w:w="0" w:type="auto"/>
            <w:tcBorders>
              <w:right w:val="single" w:sz="4" w:space="0" w:color="BFBFBF" w:themeColor="background1" w:themeShade="BF"/>
            </w:tcBorders>
            <w:vAlign w:val="center"/>
          </w:tcPr>
          <w:p w14:paraId="79454551" w14:textId="77777777" w:rsidR="007E735B" w:rsidRPr="00AA22F2" w:rsidRDefault="007E735B" w:rsidP="007E735B">
            <w:pPr>
              <w:jc w:val="left"/>
              <w:cnfStyle w:val="000000000000" w:firstRow="0" w:lastRow="0" w:firstColumn="0" w:lastColumn="0" w:oddVBand="0" w:evenVBand="0" w:oddHBand="0" w:evenHBand="0" w:firstRowFirstColumn="0" w:firstRowLastColumn="0" w:lastRowFirstColumn="0" w:lastRowLastColumn="0"/>
              <w:rPr>
                <w:b/>
                <w:bCs/>
                <w:szCs w:val="20"/>
              </w:rPr>
            </w:pPr>
            <w:r w:rsidRPr="00AA22F2">
              <w:rPr>
                <w:b/>
                <w:bCs/>
                <w:szCs w:val="20"/>
              </w:rPr>
              <w:t>Fréquence</w:t>
            </w:r>
          </w:p>
        </w:tc>
        <w:tc>
          <w:tcPr>
            <w:tcW w:w="0" w:type="auto"/>
            <w:tcBorders>
              <w:left w:val="single" w:sz="4" w:space="0" w:color="BFBFBF" w:themeColor="background1" w:themeShade="BF"/>
            </w:tcBorders>
          </w:tcPr>
          <w:p w14:paraId="71811F6C" w14:textId="0D0FAFD3" w:rsidR="007E735B" w:rsidRPr="00AA22F2" w:rsidRDefault="007E735B" w:rsidP="007E735B">
            <w:pPr>
              <w:cnfStyle w:val="000000000000" w:firstRow="0" w:lastRow="0" w:firstColumn="0" w:lastColumn="0" w:oddVBand="0" w:evenVBand="0" w:oddHBand="0" w:evenHBand="0" w:firstRowFirstColumn="0" w:firstRowLastColumn="0" w:lastRowFirstColumn="0" w:lastRowLastColumn="0"/>
              <w:rPr>
                <w:szCs w:val="20"/>
              </w:rPr>
            </w:pPr>
            <w:r w:rsidRPr="002605FE">
              <w:t>Intermittente, liée aux cycles de maintenance</w:t>
            </w:r>
          </w:p>
        </w:tc>
        <w:tc>
          <w:tcPr>
            <w:tcW w:w="0" w:type="auto"/>
          </w:tcPr>
          <w:p w14:paraId="019F5AC3" w14:textId="7598AC1F" w:rsidR="007E735B" w:rsidRPr="00AA22F2" w:rsidRDefault="007E735B" w:rsidP="007E735B">
            <w:pPr>
              <w:cnfStyle w:val="000000000000" w:firstRow="0" w:lastRow="0" w:firstColumn="0" w:lastColumn="0" w:oddVBand="0" w:evenVBand="0" w:oddHBand="0" w:evenHBand="0" w:firstRowFirstColumn="0" w:firstRowLastColumn="0" w:lastRowFirstColumn="0" w:lastRowLastColumn="0"/>
              <w:rPr>
                <w:szCs w:val="20"/>
              </w:rPr>
            </w:pPr>
            <w:r w:rsidRPr="002605FE">
              <w:t>Intermittente</w:t>
            </w:r>
          </w:p>
        </w:tc>
      </w:tr>
      <w:tr w:rsidR="00404512" w:rsidRPr="009F4B37" w14:paraId="3F88E735" w14:textId="77777777" w:rsidTr="004637C7">
        <w:tc>
          <w:tcPr>
            <w:cnfStyle w:val="001000000000" w:firstRow="0" w:lastRow="0" w:firstColumn="1" w:lastColumn="0" w:oddVBand="0" w:evenVBand="0" w:oddHBand="0" w:evenHBand="0" w:firstRowFirstColumn="0" w:firstRowLastColumn="0" w:lastRowFirstColumn="0" w:lastRowLastColumn="0"/>
            <w:tcW w:w="0" w:type="auto"/>
            <w:vMerge/>
            <w:shd w:val="clear" w:color="auto" w:fill="D9E2F3" w:themeFill="accent1" w:themeFillTint="33"/>
            <w:vAlign w:val="center"/>
          </w:tcPr>
          <w:p w14:paraId="462A413C" w14:textId="77777777" w:rsidR="007E735B" w:rsidRPr="00AA22F2" w:rsidRDefault="007E735B" w:rsidP="007E735B">
            <w:pPr>
              <w:jc w:val="left"/>
              <w:rPr>
                <w:b w:val="0"/>
                <w:bCs w:val="0"/>
                <w:szCs w:val="20"/>
              </w:rPr>
            </w:pPr>
          </w:p>
        </w:tc>
        <w:tc>
          <w:tcPr>
            <w:tcW w:w="0" w:type="auto"/>
            <w:vMerge/>
            <w:shd w:val="clear" w:color="auto" w:fill="D9E2F3" w:themeFill="accent1" w:themeFillTint="33"/>
            <w:vAlign w:val="center"/>
          </w:tcPr>
          <w:p w14:paraId="5E156D11" w14:textId="77777777" w:rsidR="007E735B" w:rsidRPr="00AA22F2" w:rsidRDefault="007E735B" w:rsidP="0001633E">
            <w:pPr>
              <w:pStyle w:val="Paragraphedeliste"/>
              <w:numPr>
                <w:ilvl w:val="0"/>
                <w:numId w:val="107"/>
              </w:numPr>
              <w:spacing w:before="0" w:after="0"/>
              <w:ind w:left="173" w:hanging="195"/>
              <w:jc w:val="left"/>
              <w:cnfStyle w:val="000000000000" w:firstRow="0" w:lastRow="0" w:firstColumn="0" w:lastColumn="0" w:oddVBand="0" w:evenVBand="0" w:oddHBand="0" w:evenHBand="0" w:firstRowFirstColumn="0" w:firstRowLastColumn="0" w:lastRowFirstColumn="0" w:lastRowLastColumn="0"/>
              <w:rPr>
                <w:szCs w:val="20"/>
              </w:rPr>
            </w:pPr>
          </w:p>
        </w:tc>
        <w:tc>
          <w:tcPr>
            <w:tcW w:w="0" w:type="auto"/>
            <w:tcBorders>
              <w:right w:val="single" w:sz="4" w:space="0" w:color="BFBFBF" w:themeColor="background1" w:themeShade="BF"/>
            </w:tcBorders>
            <w:shd w:val="clear" w:color="auto" w:fill="D9E2F3" w:themeFill="accent1" w:themeFillTint="33"/>
            <w:vAlign w:val="center"/>
          </w:tcPr>
          <w:p w14:paraId="77060FF2" w14:textId="77777777" w:rsidR="007E735B" w:rsidRPr="00AA22F2" w:rsidRDefault="007E735B" w:rsidP="007E735B">
            <w:pPr>
              <w:jc w:val="left"/>
              <w:cnfStyle w:val="000000000000" w:firstRow="0" w:lastRow="0" w:firstColumn="0" w:lastColumn="0" w:oddVBand="0" w:evenVBand="0" w:oddHBand="0" w:evenHBand="0" w:firstRowFirstColumn="0" w:firstRowLastColumn="0" w:lastRowFirstColumn="0" w:lastRowLastColumn="0"/>
              <w:rPr>
                <w:b/>
                <w:bCs/>
                <w:szCs w:val="20"/>
              </w:rPr>
            </w:pPr>
            <w:r w:rsidRPr="00AA22F2">
              <w:rPr>
                <w:b/>
                <w:bCs/>
                <w:szCs w:val="20"/>
              </w:rPr>
              <w:t>Intensité de l’impact</w:t>
            </w:r>
          </w:p>
        </w:tc>
        <w:tc>
          <w:tcPr>
            <w:tcW w:w="0" w:type="auto"/>
            <w:tcBorders>
              <w:left w:val="single" w:sz="4" w:space="0" w:color="BFBFBF" w:themeColor="background1" w:themeShade="BF"/>
            </w:tcBorders>
            <w:shd w:val="clear" w:color="auto" w:fill="D9E2F3" w:themeFill="accent1" w:themeFillTint="33"/>
          </w:tcPr>
          <w:p w14:paraId="3E9EB0E6" w14:textId="63405CA0" w:rsidR="007E735B" w:rsidRPr="00AA22F2" w:rsidRDefault="007E735B" w:rsidP="007E735B">
            <w:pPr>
              <w:cnfStyle w:val="000000000000" w:firstRow="0" w:lastRow="0" w:firstColumn="0" w:lastColumn="0" w:oddVBand="0" w:evenVBand="0" w:oddHBand="0" w:evenHBand="0" w:firstRowFirstColumn="0" w:firstRowLastColumn="0" w:lastRowFirstColumn="0" w:lastRowLastColumn="0"/>
              <w:rPr>
                <w:szCs w:val="20"/>
              </w:rPr>
            </w:pPr>
            <w:r w:rsidRPr="002605FE">
              <w:t>Émissions faibles, dispersées rapidement par ventilation naturelle</w:t>
            </w:r>
          </w:p>
        </w:tc>
        <w:tc>
          <w:tcPr>
            <w:tcW w:w="0" w:type="auto"/>
            <w:shd w:val="clear" w:color="auto" w:fill="D9E2F3" w:themeFill="accent1" w:themeFillTint="33"/>
          </w:tcPr>
          <w:p w14:paraId="68F5364D" w14:textId="6C035F98" w:rsidR="007E735B" w:rsidRPr="00AA22F2" w:rsidRDefault="007E735B" w:rsidP="007E735B">
            <w:pPr>
              <w:cnfStyle w:val="000000000000" w:firstRow="0" w:lastRow="0" w:firstColumn="0" w:lastColumn="0" w:oddVBand="0" w:evenVBand="0" w:oddHBand="0" w:evenHBand="0" w:firstRowFirstColumn="0" w:firstRowLastColumn="0" w:lastRowFirstColumn="0" w:lastRowLastColumn="0"/>
              <w:rPr>
                <w:szCs w:val="20"/>
              </w:rPr>
            </w:pPr>
            <w:r w:rsidRPr="002605FE">
              <w:t>Faible</w:t>
            </w:r>
          </w:p>
        </w:tc>
      </w:tr>
      <w:tr w:rsidR="001F72B9" w:rsidRPr="009F4B37" w14:paraId="77749E5D" w14:textId="4C3CE720" w:rsidTr="004637C7">
        <w:tc>
          <w:tcPr>
            <w:cnfStyle w:val="001000000000" w:firstRow="0" w:lastRow="0" w:firstColumn="1" w:lastColumn="0" w:oddVBand="0" w:evenVBand="0" w:oddHBand="0" w:evenHBand="0" w:firstRowFirstColumn="0" w:firstRowLastColumn="0" w:lastRowFirstColumn="0" w:lastRowLastColumn="0"/>
            <w:tcW w:w="0" w:type="auto"/>
            <w:vMerge/>
            <w:vAlign w:val="center"/>
          </w:tcPr>
          <w:p w14:paraId="1172AD72" w14:textId="77777777" w:rsidR="001F72B9" w:rsidRPr="00AA22F2" w:rsidRDefault="001F72B9" w:rsidP="000A3EA4">
            <w:pPr>
              <w:spacing w:before="0" w:after="0"/>
              <w:jc w:val="left"/>
              <w:rPr>
                <w:b w:val="0"/>
                <w:bCs w:val="0"/>
                <w:szCs w:val="20"/>
              </w:rPr>
            </w:pPr>
          </w:p>
        </w:tc>
        <w:tc>
          <w:tcPr>
            <w:tcW w:w="0" w:type="auto"/>
            <w:gridSpan w:val="4"/>
            <w:vAlign w:val="center"/>
          </w:tcPr>
          <w:p w14:paraId="577BA658" w14:textId="77777777" w:rsidR="001F72B9" w:rsidRPr="00AA22F2" w:rsidRDefault="001F72B9" w:rsidP="000A3EA4">
            <w:pPr>
              <w:spacing w:before="0" w:after="0"/>
              <w:jc w:val="left"/>
              <w:cnfStyle w:val="000000000000" w:firstRow="0" w:lastRow="0" w:firstColumn="0" w:lastColumn="0" w:oddVBand="0" w:evenVBand="0" w:oddHBand="0" w:evenHBand="0" w:firstRowFirstColumn="0" w:firstRowLastColumn="0" w:lastRowFirstColumn="0" w:lastRowLastColumn="0"/>
              <w:rPr>
                <w:szCs w:val="20"/>
              </w:rPr>
            </w:pPr>
          </w:p>
        </w:tc>
      </w:tr>
      <w:tr w:rsidR="00404512" w:rsidRPr="009F4B37" w14:paraId="6097184E" w14:textId="77777777" w:rsidTr="004637C7">
        <w:tc>
          <w:tcPr>
            <w:cnfStyle w:val="001000000000" w:firstRow="0" w:lastRow="0" w:firstColumn="1" w:lastColumn="0" w:oddVBand="0" w:evenVBand="0" w:oddHBand="0" w:evenHBand="0" w:firstRowFirstColumn="0" w:firstRowLastColumn="0" w:lastRowFirstColumn="0" w:lastRowLastColumn="0"/>
            <w:tcW w:w="0" w:type="auto"/>
            <w:vMerge/>
            <w:vAlign w:val="center"/>
          </w:tcPr>
          <w:p w14:paraId="4FEC5F94" w14:textId="77777777" w:rsidR="001F72B9" w:rsidRPr="00AA22F2" w:rsidRDefault="001F72B9" w:rsidP="000A3EA4">
            <w:pPr>
              <w:jc w:val="left"/>
              <w:rPr>
                <w:b w:val="0"/>
                <w:bCs w:val="0"/>
                <w:szCs w:val="20"/>
              </w:rPr>
            </w:pPr>
          </w:p>
        </w:tc>
        <w:tc>
          <w:tcPr>
            <w:tcW w:w="0" w:type="auto"/>
            <w:shd w:val="clear" w:color="auto" w:fill="B4C6E7" w:themeFill="accent1" w:themeFillTint="66"/>
            <w:vAlign w:val="center"/>
          </w:tcPr>
          <w:p w14:paraId="3A1B8C1B" w14:textId="77777777" w:rsidR="001F72B9" w:rsidRPr="00AA22F2" w:rsidRDefault="001F72B9" w:rsidP="000A3EA4">
            <w:pPr>
              <w:jc w:val="left"/>
              <w:cnfStyle w:val="000000000000" w:firstRow="0" w:lastRow="0" w:firstColumn="0" w:lastColumn="0" w:oddVBand="0" w:evenVBand="0" w:oddHBand="0" w:evenHBand="0" w:firstRowFirstColumn="0" w:firstRowLastColumn="0" w:lastRowFirstColumn="0" w:lastRowLastColumn="0"/>
              <w:rPr>
                <w:b/>
                <w:bCs/>
                <w:szCs w:val="20"/>
              </w:rPr>
            </w:pPr>
            <w:r w:rsidRPr="009F4B37">
              <w:rPr>
                <w:b/>
                <w:bCs/>
                <w:szCs w:val="20"/>
              </w:rPr>
              <w:t>Intensité de l’impact</w:t>
            </w:r>
          </w:p>
        </w:tc>
        <w:tc>
          <w:tcPr>
            <w:tcW w:w="0" w:type="auto"/>
            <w:tcBorders>
              <w:right w:val="single" w:sz="4" w:space="0" w:color="BFBFBF" w:themeColor="background1" w:themeShade="BF"/>
            </w:tcBorders>
            <w:shd w:val="clear" w:color="auto" w:fill="B4C6E7" w:themeFill="accent1" w:themeFillTint="66"/>
            <w:vAlign w:val="center"/>
          </w:tcPr>
          <w:p w14:paraId="4DDAAB65" w14:textId="77777777" w:rsidR="001F72B9" w:rsidRPr="00AA22F2" w:rsidRDefault="001F72B9" w:rsidP="000A3EA4">
            <w:pPr>
              <w:jc w:val="left"/>
              <w:cnfStyle w:val="000000000000" w:firstRow="0" w:lastRow="0" w:firstColumn="0" w:lastColumn="0" w:oddVBand="0" w:evenVBand="0" w:oddHBand="0" w:evenHBand="0" w:firstRowFirstColumn="0" w:firstRowLastColumn="0" w:lastRowFirstColumn="0" w:lastRowLastColumn="0"/>
              <w:rPr>
                <w:b/>
                <w:bCs/>
                <w:szCs w:val="20"/>
              </w:rPr>
            </w:pPr>
            <w:r w:rsidRPr="009F4B37">
              <w:rPr>
                <w:b/>
                <w:bCs/>
                <w:szCs w:val="20"/>
              </w:rPr>
              <w:t>Récepteurs</w:t>
            </w:r>
          </w:p>
        </w:tc>
        <w:tc>
          <w:tcPr>
            <w:tcW w:w="0" w:type="auto"/>
            <w:tcBorders>
              <w:left w:val="single" w:sz="4" w:space="0" w:color="BFBFBF" w:themeColor="background1" w:themeShade="BF"/>
            </w:tcBorders>
            <w:shd w:val="clear" w:color="auto" w:fill="B4C6E7" w:themeFill="accent1" w:themeFillTint="66"/>
            <w:vAlign w:val="center"/>
          </w:tcPr>
          <w:p w14:paraId="58EE1563" w14:textId="77777777" w:rsidR="001F72B9" w:rsidRPr="00AA22F2" w:rsidRDefault="001F72B9" w:rsidP="000A3EA4">
            <w:pPr>
              <w:jc w:val="left"/>
              <w:cnfStyle w:val="000000000000" w:firstRow="0" w:lastRow="0" w:firstColumn="0" w:lastColumn="0" w:oddVBand="0" w:evenVBand="0" w:oddHBand="0" w:evenHBand="0" w:firstRowFirstColumn="0" w:firstRowLastColumn="0" w:lastRowFirstColumn="0" w:lastRowLastColumn="0"/>
              <w:rPr>
                <w:szCs w:val="20"/>
              </w:rPr>
            </w:pPr>
            <w:r w:rsidRPr="009F4B37">
              <w:rPr>
                <w:b/>
                <w:bCs/>
                <w:szCs w:val="20"/>
              </w:rPr>
              <w:t>Sensibilité</w:t>
            </w:r>
          </w:p>
        </w:tc>
        <w:tc>
          <w:tcPr>
            <w:tcW w:w="0" w:type="auto"/>
            <w:shd w:val="clear" w:color="auto" w:fill="B4C6E7" w:themeFill="accent1" w:themeFillTint="66"/>
            <w:vAlign w:val="center"/>
          </w:tcPr>
          <w:p w14:paraId="40B74CAF" w14:textId="77777777" w:rsidR="001F72B9" w:rsidRPr="00AA22F2" w:rsidRDefault="001F72B9" w:rsidP="000A3EA4">
            <w:pPr>
              <w:jc w:val="left"/>
              <w:cnfStyle w:val="000000000000" w:firstRow="0" w:lastRow="0" w:firstColumn="0" w:lastColumn="0" w:oddVBand="0" w:evenVBand="0" w:oddHBand="0" w:evenHBand="0" w:firstRowFirstColumn="0" w:firstRowLastColumn="0" w:lastRowFirstColumn="0" w:lastRowLastColumn="0"/>
              <w:rPr>
                <w:b/>
                <w:bCs/>
                <w:szCs w:val="20"/>
              </w:rPr>
            </w:pPr>
            <w:r w:rsidRPr="009F4B37">
              <w:rPr>
                <w:b/>
                <w:bCs/>
                <w:szCs w:val="20"/>
              </w:rPr>
              <w:t>Importance de l’impact</w:t>
            </w:r>
          </w:p>
        </w:tc>
      </w:tr>
      <w:tr w:rsidR="00D60FC9" w:rsidRPr="009F4B37" w14:paraId="7F8B3988" w14:textId="77777777" w:rsidTr="004637C7">
        <w:tc>
          <w:tcPr>
            <w:cnfStyle w:val="001000000000" w:firstRow="0" w:lastRow="0" w:firstColumn="1" w:lastColumn="0" w:oddVBand="0" w:evenVBand="0" w:oddHBand="0" w:evenHBand="0" w:firstRowFirstColumn="0" w:firstRowLastColumn="0" w:lastRowFirstColumn="0" w:lastRowLastColumn="0"/>
            <w:tcW w:w="0" w:type="auto"/>
            <w:vMerge/>
            <w:vAlign w:val="center"/>
          </w:tcPr>
          <w:p w14:paraId="1AFC54A2" w14:textId="77777777" w:rsidR="001F72B9" w:rsidRPr="00AA22F2" w:rsidRDefault="001F72B9" w:rsidP="00573613">
            <w:pPr>
              <w:jc w:val="left"/>
              <w:rPr>
                <w:b w:val="0"/>
                <w:bCs w:val="0"/>
                <w:szCs w:val="20"/>
              </w:rPr>
            </w:pPr>
          </w:p>
        </w:tc>
        <w:tc>
          <w:tcPr>
            <w:tcW w:w="0" w:type="auto"/>
            <w:vMerge w:val="restart"/>
            <w:vAlign w:val="center"/>
          </w:tcPr>
          <w:p w14:paraId="5D478478" w14:textId="04870F1B" w:rsidR="001F72B9" w:rsidRPr="00AA22F2" w:rsidRDefault="001F72B9" w:rsidP="00573613">
            <w:pPr>
              <w:jc w:val="left"/>
              <w:cnfStyle w:val="000000000000" w:firstRow="0" w:lastRow="0" w:firstColumn="0" w:lastColumn="0" w:oddVBand="0" w:evenVBand="0" w:oddHBand="0" w:evenHBand="0" w:firstRowFirstColumn="0" w:firstRowLastColumn="0" w:lastRowFirstColumn="0" w:lastRowLastColumn="0"/>
              <w:rPr>
                <w:b/>
                <w:bCs/>
                <w:szCs w:val="20"/>
              </w:rPr>
            </w:pPr>
            <w:r w:rsidRPr="009F4B37">
              <w:rPr>
                <w:rFonts w:asciiTheme="minorHAnsi" w:hAnsiTheme="minorHAnsi" w:cstheme="minorHAnsi"/>
                <w:szCs w:val="20"/>
                <w:lang w:val="fr-MA" w:eastAsia="fr-MA" w:bidi="ar-SA"/>
              </w:rPr>
              <w:t xml:space="preserve">Faible </w:t>
            </w:r>
          </w:p>
        </w:tc>
        <w:tc>
          <w:tcPr>
            <w:tcW w:w="0" w:type="auto"/>
            <w:tcBorders>
              <w:right w:val="single" w:sz="4" w:space="0" w:color="BFBFBF" w:themeColor="background1" w:themeShade="BF"/>
            </w:tcBorders>
            <w:vAlign w:val="center"/>
          </w:tcPr>
          <w:p w14:paraId="1BB1E396" w14:textId="6F8174C5" w:rsidR="001F72B9" w:rsidRPr="00AA22F2" w:rsidRDefault="001F72B9" w:rsidP="00573613">
            <w:pPr>
              <w:jc w:val="left"/>
              <w:cnfStyle w:val="000000000000" w:firstRow="0" w:lastRow="0" w:firstColumn="0" w:lastColumn="0" w:oddVBand="0" w:evenVBand="0" w:oddHBand="0" w:evenHBand="0" w:firstRowFirstColumn="0" w:firstRowLastColumn="0" w:lastRowFirstColumn="0" w:lastRowLastColumn="0"/>
              <w:rPr>
                <w:b/>
                <w:bCs/>
                <w:szCs w:val="20"/>
              </w:rPr>
            </w:pPr>
            <w:r w:rsidRPr="009F4B37">
              <w:rPr>
                <w:rFonts w:asciiTheme="minorHAnsi" w:hAnsiTheme="minorHAnsi" w:cstheme="minorHAnsi"/>
                <w:szCs w:val="20"/>
                <w:lang w:val="fr-MA" w:eastAsia="fr-MA" w:bidi="ar-SA"/>
              </w:rPr>
              <w:t>Employés de l’aéroport</w:t>
            </w:r>
          </w:p>
        </w:tc>
        <w:tc>
          <w:tcPr>
            <w:tcW w:w="0" w:type="auto"/>
            <w:tcBorders>
              <w:left w:val="single" w:sz="4" w:space="0" w:color="BFBFBF" w:themeColor="background1" w:themeShade="BF"/>
            </w:tcBorders>
            <w:vAlign w:val="center"/>
          </w:tcPr>
          <w:p w14:paraId="1274ABDD" w14:textId="54699AB6" w:rsidR="001F72B9" w:rsidRPr="00AA22F2" w:rsidRDefault="001F72B9" w:rsidP="00573613">
            <w:pPr>
              <w:jc w:val="left"/>
              <w:cnfStyle w:val="000000000000" w:firstRow="0" w:lastRow="0" w:firstColumn="0" w:lastColumn="0" w:oddVBand="0" w:evenVBand="0" w:oddHBand="0" w:evenHBand="0" w:firstRowFirstColumn="0" w:firstRowLastColumn="0" w:lastRowFirstColumn="0" w:lastRowLastColumn="0"/>
              <w:rPr>
                <w:szCs w:val="20"/>
              </w:rPr>
            </w:pPr>
            <w:r w:rsidRPr="009F4B37">
              <w:rPr>
                <w:rFonts w:asciiTheme="minorHAnsi" w:hAnsiTheme="minorHAnsi" w:cstheme="minorHAnsi"/>
                <w:szCs w:val="20"/>
                <w:lang w:val="fr-MA" w:eastAsia="fr-MA" w:bidi="ar-SA"/>
              </w:rPr>
              <w:t xml:space="preserve">Moyenne </w:t>
            </w:r>
          </w:p>
        </w:tc>
        <w:tc>
          <w:tcPr>
            <w:tcW w:w="0" w:type="auto"/>
            <w:vAlign w:val="center"/>
          </w:tcPr>
          <w:p w14:paraId="20F203DF" w14:textId="72610D4F" w:rsidR="001F72B9" w:rsidRPr="00AA22F2" w:rsidRDefault="001F72B9" w:rsidP="00573613">
            <w:pPr>
              <w:jc w:val="left"/>
              <w:cnfStyle w:val="000000000000" w:firstRow="0" w:lastRow="0" w:firstColumn="0" w:lastColumn="0" w:oddVBand="0" w:evenVBand="0" w:oddHBand="0" w:evenHBand="0" w:firstRowFirstColumn="0" w:firstRowLastColumn="0" w:lastRowFirstColumn="0" w:lastRowLastColumn="0"/>
              <w:rPr>
                <w:b/>
                <w:bCs/>
                <w:szCs w:val="20"/>
              </w:rPr>
            </w:pPr>
            <w:r w:rsidRPr="009F4B37">
              <w:rPr>
                <w:rFonts w:asciiTheme="minorHAnsi" w:hAnsiTheme="minorHAnsi" w:cstheme="minorHAnsi"/>
                <w:szCs w:val="20"/>
                <w:lang w:val="fr-MA" w:eastAsia="fr-MA" w:bidi="ar-SA"/>
              </w:rPr>
              <w:t>Mineure à modérée</w:t>
            </w:r>
          </w:p>
        </w:tc>
      </w:tr>
      <w:tr w:rsidR="00D60FC9" w:rsidRPr="009F4B37" w14:paraId="7A3CCD2C" w14:textId="77777777" w:rsidTr="004637C7">
        <w:tc>
          <w:tcPr>
            <w:cnfStyle w:val="001000000000" w:firstRow="0" w:lastRow="0" w:firstColumn="1" w:lastColumn="0" w:oddVBand="0" w:evenVBand="0" w:oddHBand="0" w:evenHBand="0" w:firstRowFirstColumn="0" w:firstRowLastColumn="0" w:lastRowFirstColumn="0" w:lastRowLastColumn="0"/>
            <w:tcW w:w="0" w:type="auto"/>
            <w:vMerge/>
            <w:vAlign w:val="center"/>
          </w:tcPr>
          <w:p w14:paraId="1B2B071A" w14:textId="77777777" w:rsidR="001F72B9" w:rsidRPr="00AA22F2" w:rsidRDefault="001F72B9" w:rsidP="00573613">
            <w:pPr>
              <w:jc w:val="left"/>
              <w:rPr>
                <w:b w:val="0"/>
                <w:bCs w:val="0"/>
                <w:szCs w:val="20"/>
              </w:rPr>
            </w:pPr>
          </w:p>
        </w:tc>
        <w:tc>
          <w:tcPr>
            <w:tcW w:w="0" w:type="auto"/>
            <w:vMerge/>
          </w:tcPr>
          <w:p w14:paraId="5CBC2B1D" w14:textId="77777777" w:rsidR="001F72B9" w:rsidRPr="00AA22F2" w:rsidRDefault="001F72B9" w:rsidP="00573613">
            <w:pPr>
              <w:jc w:val="left"/>
              <w:cnfStyle w:val="000000000000" w:firstRow="0" w:lastRow="0" w:firstColumn="0" w:lastColumn="0" w:oddVBand="0" w:evenVBand="0" w:oddHBand="0" w:evenHBand="0" w:firstRowFirstColumn="0" w:firstRowLastColumn="0" w:lastRowFirstColumn="0" w:lastRowLastColumn="0"/>
              <w:rPr>
                <w:b/>
                <w:bCs/>
                <w:szCs w:val="20"/>
              </w:rPr>
            </w:pPr>
          </w:p>
        </w:tc>
        <w:tc>
          <w:tcPr>
            <w:tcW w:w="0" w:type="auto"/>
            <w:tcBorders>
              <w:right w:val="single" w:sz="4" w:space="0" w:color="BFBFBF" w:themeColor="background1" w:themeShade="BF"/>
            </w:tcBorders>
            <w:vAlign w:val="center"/>
          </w:tcPr>
          <w:p w14:paraId="39CED9FE" w14:textId="10487DB2" w:rsidR="001F72B9" w:rsidRPr="00AA22F2" w:rsidRDefault="001F72B9" w:rsidP="00573613">
            <w:pPr>
              <w:jc w:val="left"/>
              <w:cnfStyle w:val="000000000000" w:firstRow="0" w:lastRow="0" w:firstColumn="0" w:lastColumn="0" w:oddVBand="0" w:evenVBand="0" w:oddHBand="0" w:evenHBand="0" w:firstRowFirstColumn="0" w:firstRowLastColumn="0" w:lastRowFirstColumn="0" w:lastRowLastColumn="0"/>
              <w:rPr>
                <w:b/>
                <w:bCs/>
                <w:szCs w:val="20"/>
              </w:rPr>
            </w:pPr>
            <w:r w:rsidRPr="009F4B37">
              <w:rPr>
                <w:rFonts w:asciiTheme="minorHAnsi" w:hAnsiTheme="minorHAnsi" w:cstheme="minorHAnsi"/>
                <w:szCs w:val="20"/>
                <w:lang w:val="fr-MA" w:eastAsia="fr-MA" w:bidi="ar-SA"/>
              </w:rPr>
              <w:t>Usagers/aéroport</w:t>
            </w:r>
          </w:p>
        </w:tc>
        <w:tc>
          <w:tcPr>
            <w:tcW w:w="0" w:type="auto"/>
            <w:tcBorders>
              <w:left w:val="single" w:sz="4" w:space="0" w:color="BFBFBF" w:themeColor="background1" w:themeShade="BF"/>
            </w:tcBorders>
            <w:vAlign w:val="center"/>
          </w:tcPr>
          <w:p w14:paraId="4F8DB2AC" w14:textId="480AE204" w:rsidR="001F72B9" w:rsidRPr="00AA22F2" w:rsidRDefault="001F72B9" w:rsidP="00573613">
            <w:pPr>
              <w:jc w:val="left"/>
              <w:cnfStyle w:val="000000000000" w:firstRow="0" w:lastRow="0" w:firstColumn="0" w:lastColumn="0" w:oddVBand="0" w:evenVBand="0" w:oddHBand="0" w:evenHBand="0" w:firstRowFirstColumn="0" w:firstRowLastColumn="0" w:lastRowFirstColumn="0" w:lastRowLastColumn="0"/>
              <w:rPr>
                <w:szCs w:val="20"/>
              </w:rPr>
            </w:pPr>
            <w:r w:rsidRPr="009F4B37">
              <w:rPr>
                <w:rFonts w:asciiTheme="minorHAnsi" w:hAnsiTheme="minorHAnsi" w:cstheme="minorHAnsi"/>
                <w:szCs w:val="20"/>
                <w:lang w:val="fr-MA" w:eastAsia="fr-MA" w:bidi="ar-SA"/>
              </w:rPr>
              <w:t>Faible</w:t>
            </w:r>
          </w:p>
        </w:tc>
        <w:tc>
          <w:tcPr>
            <w:tcW w:w="0" w:type="auto"/>
            <w:vAlign w:val="center"/>
          </w:tcPr>
          <w:p w14:paraId="0A0C62AE" w14:textId="648D90D0" w:rsidR="001F72B9" w:rsidRPr="00AA22F2" w:rsidRDefault="001F72B9" w:rsidP="00573613">
            <w:pPr>
              <w:jc w:val="left"/>
              <w:cnfStyle w:val="000000000000" w:firstRow="0" w:lastRow="0" w:firstColumn="0" w:lastColumn="0" w:oddVBand="0" w:evenVBand="0" w:oddHBand="0" w:evenHBand="0" w:firstRowFirstColumn="0" w:firstRowLastColumn="0" w:lastRowFirstColumn="0" w:lastRowLastColumn="0"/>
              <w:rPr>
                <w:b/>
                <w:bCs/>
                <w:szCs w:val="20"/>
              </w:rPr>
            </w:pPr>
            <w:r w:rsidRPr="009F4B37">
              <w:rPr>
                <w:rFonts w:asciiTheme="minorHAnsi" w:hAnsiTheme="minorHAnsi" w:cstheme="minorHAnsi"/>
                <w:szCs w:val="20"/>
                <w:lang w:val="fr-MA" w:eastAsia="fr-MA" w:bidi="ar-SA"/>
              </w:rPr>
              <w:t>Négligeable à mineure</w:t>
            </w:r>
          </w:p>
        </w:tc>
      </w:tr>
      <w:tr w:rsidR="00D60FC9" w:rsidRPr="009F4B37" w14:paraId="238ACDB5" w14:textId="77777777" w:rsidTr="004637C7">
        <w:tc>
          <w:tcPr>
            <w:cnfStyle w:val="001000000000" w:firstRow="0" w:lastRow="0" w:firstColumn="1" w:lastColumn="0" w:oddVBand="0" w:evenVBand="0" w:oddHBand="0" w:evenHBand="0" w:firstRowFirstColumn="0" w:firstRowLastColumn="0" w:lastRowFirstColumn="0" w:lastRowLastColumn="0"/>
            <w:tcW w:w="0" w:type="auto"/>
            <w:vMerge/>
            <w:vAlign w:val="center"/>
          </w:tcPr>
          <w:p w14:paraId="5EAB9D81" w14:textId="77777777" w:rsidR="001F72B9" w:rsidRPr="00AA22F2" w:rsidRDefault="001F72B9" w:rsidP="00573613">
            <w:pPr>
              <w:jc w:val="left"/>
              <w:rPr>
                <w:b w:val="0"/>
                <w:bCs w:val="0"/>
                <w:szCs w:val="20"/>
              </w:rPr>
            </w:pPr>
          </w:p>
        </w:tc>
        <w:tc>
          <w:tcPr>
            <w:tcW w:w="0" w:type="auto"/>
            <w:vMerge/>
          </w:tcPr>
          <w:p w14:paraId="78C6591E" w14:textId="77777777" w:rsidR="001F72B9" w:rsidRPr="00AA22F2" w:rsidRDefault="001F72B9" w:rsidP="00573613">
            <w:pPr>
              <w:jc w:val="left"/>
              <w:cnfStyle w:val="000000000000" w:firstRow="0" w:lastRow="0" w:firstColumn="0" w:lastColumn="0" w:oddVBand="0" w:evenVBand="0" w:oddHBand="0" w:evenHBand="0" w:firstRowFirstColumn="0" w:firstRowLastColumn="0" w:lastRowFirstColumn="0" w:lastRowLastColumn="0"/>
              <w:rPr>
                <w:b/>
                <w:bCs/>
                <w:szCs w:val="20"/>
              </w:rPr>
            </w:pPr>
          </w:p>
        </w:tc>
        <w:tc>
          <w:tcPr>
            <w:tcW w:w="0" w:type="auto"/>
            <w:tcBorders>
              <w:right w:val="single" w:sz="4" w:space="0" w:color="BFBFBF" w:themeColor="background1" w:themeShade="BF"/>
            </w:tcBorders>
            <w:vAlign w:val="center"/>
          </w:tcPr>
          <w:p w14:paraId="6C55CC61" w14:textId="30B36895" w:rsidR="001F72B9" w:rsidRPr="00AA22F2" w:rsidRDefault="001F72B9" w:rsidP="00573613">
            <w:pPr>
              <w:jc w:val="left"/>
              <w:cnfStyle w:val="000000000000" w:firstRow="0" w:lastRow="0" w:firstColumn="0" w:lastColumn="0" w:oddVBand="0" w:evenVBand="0" w:oddHBand="0" w:evenHBand="0" w:firstRowFirstColumn="0" w:firstRowLastColumn="0" w:lastRowFirstColumn="0" w:lastRowLastColumn="0"/>
              <w:rPr>
                <w:b/>
                <w:bCs/>
                <w:szCs w:val="20"/>
              </w:rPr>
            </w:pPr>
            <w:r w:rsidRPr="009F4B37">
              <w:rPr>
                <w:rFonts w:asciiTheme="minorHAnsi" w:hAnsiTheme="minorHAnsi" w:cstheme="minorHAnsi"/>
                <w:szCs w:val="20"/>
                <w:lang w:val="fr-MA" w:eastAsia="fr-MA" w:bidi="ar-SA"/>
              </w:rPr>
              <w:t xml:space="preserve">Habitations (notamment </w:t>
            </w:r>
            <w:r w:rsidR="00404512">
              <w:rPr>
                <w:rFonts w:asciiTheme="minorHAnsi" w:hAnsiTheme="minorHAnsi" w:cstheme="minorHAnsi"/>
                <w:szCs w:val="20"/>
                <w:lang w:val="fr-MA" w:eastAsia="fr-MA" w:bidi="ar-SA"/>
              </w:rPr>
              <w:t>Bouakkaz</w:t>
            </w:r>
            <w:r w:rsidRPr="009F4B37">
              <w:rPr>
                <w:rFonts w:asciiTheme="minorHAnsi" w:hAnsiTheme="minorHAnsi" w:cstheme="minorHAnsi"/>
                <w:szCs w:val="20"/>
                <w:lang w:val="fr-MA" w:eastAsia="fr-MA" w:bidi="ar-SA"/>
              </w:rPr>
              <w:t>)</w:t>
            </w:r>
          </w:p>
        </w:tc>
        <w:tc>
          <w:tcPr>
            <w:tcW w:w="0" w:type="auto"/>
            <w:tcBorders>
              <w:left w:val="single" w:sz="4" w:space="0" w:color="BFBFBF" w:themeColor="background1" w:themeShade="BF"/>
            </w:tcBorders>
            <w:vAlign w:val="center"/>
          </w:tcPr>
          <w:p w14:paraId="328EA870" w14:textId="6B2B4C9F" w:rsidR="001F72B9" w:rsidRPr="00AA22F2" w:rsidRDefault="001F72B9" w:rsidP="00573613">
            <w:pPr>
              <w:jc w:val="left"/>
              <w:cnfStyle w:val="000000000000" w:firstRow="0" w:lastRow="0" w:firstColumn="0" w:lastColumn="0" w:oddVBand="0" w:evenVBand="0" w:oddHBand="0" w:evenHBand="0" w:firstRowFirstColumn="0" w:firstRowLastColumn="0" w:lastRowFirstColumn="0" w:lastRowLastColumn="0"/>
              <w:rPr>
                <w:szCs w:val="20"/>
              </w:rPr>
            </w:pPr>
            <w:r w:rsidRPr="009F4B37">
              <w:rPr>
                <w:rFonts w:asciiTheme="minorHAnsi" w:hAnsiTheme="minorHAnsi" w:cstheme="minorHAnsi"/>
                <w:szCs w:val="20"/>
                <w:lang w:val="fr-MA" w:eastAsia="fr-MA" w:bidi="ar-SA"/>
              </w:rPr>
              <w:t>Négligeable</w:t>
            </w:r>
          </w:p>
        </w:tc>
        <w:tc>
          <w:tcPr>
            <w:tcW w:w="0" w:type="auto"/>
            <w:vAlign w:val="center"/>
          </w:tcPr>
          <w:p w14:paraId="25E0ACA0" w14:textId="77274F98" w:rsidR="001F72B9" w:rsidRPr="00AA22F2" w:rsidRDefault="001F72B9" w:rsidP="00573613">
            <w:pPr>
              <w:jc w:val="left"/>
              <w:cnfStyle w:val="000000000000" w:firstRow="0" w:lastRow="0" w:firstColumn="0" w:lastColumn="0" w:oddVBand="0" w:evenVBand="0" w:oddHBand="0" w:evenHBand="0" w:firstRowFirstColumn="0" w:firstRowLastColumn="0" w:lastRowFirstColumn="0" w:lastRowLastColumn="0"/>
              <w:rPr>
                <w:b/>
                <w:bCs/>
                <w:szCs w:val="20"/>
              </w:rPr>
            </w:pPr>
            <w:r w:rsidRPr="009F4B37">
              <w:rPr>
                <w:rFonts w:asciiTheme="minorHAnsi" w:hAnsiTheme="minorHAnsi" w:cstheme="minorHAnsi"/>
                <w:szCs w:val="20"/>
                <w:lang w:val="fr-MA" w:eastAsia="fr-MA" w:bidi="ar-SA"/>
              </w:rPr>
              <w:t>Insignifiant</w:t>
            </w:r>
          </w:p>
        </w:tc>
      </w:tr>
      <w:bookmarkEnd w:id="402"/>
    </w:tbl>
    <w:p w14:paraId="21344303" w14:textId="77777777" w:rsidR="00827D44" w:rsidRDefault="00827D44" w:rsidP="002D65D6"/>
    <w:p w14:paraId="45B95521" w14:textId="77777777" w:rsidR="00F86EB2" w:rsidRDefault="00F86EB2" w:rsidP="002D65D6"/>
    <w:p w14:paraId="4DB56ABA" w14:textId="77777777" w:rsidR="00F86EB2" w:rsidRDefault="00F86EB2" w:rsidP="002D65D6">
      <w:pPr>
        <w:sectPr w:rsidR="00F86EB2" w:rsidSect="006C1613">
          <w:pgSz w:w="11906" w:h="16838"/>
          <w:pgMar w:top="1418" w:right="1418" w:bottom="1276" w:left="1418" w:header="680" w:footer="680" w:gutter="0"/>
          <w:cols w:space="708"/>
          <w:docGrid w:linePitch="360"/>
        </w:sectPr>
      </w:pPr>
    </w:p>
    <w:p w14:paraId="13432B18" w14:textId="0CEB4485" w:rsidR="00117291" w:rsidRPr="00415C8E" w:rsidRDefault="00117291" w:rsidP="0001633E">
      <w:pPr>
        <w:pStyle w:val="Title5"/>
        <w:numPr>
          <w:ilvl w:val="4"/>
          <w:numId w:val="108"/>
        </w:numPr>
        <w:tabs>
          <w:tab w:val="left" w:pos="851"/>
        </w:tabs>
      </w:pPr>
      <w:bookmarkStart w:id="404" w:name="_Hlk210928279"/>
      <w:bookmarkEnd w:id="395"/>
      <w:bookmarkEnd w:id="403"/>
      <w:r w:rsidRPr="00415C8E">
        <w:lastRenderedPageBreak/>
        <w:t>Mesures d’atténuation</w:t>
      </w:r>
    </w:p>
    <w:p w14:paraId="226B85AA" w14:textId="2C2FA00D" w:rsidR="009F3BF6" w:rsidRDefault="009F3BF6" w:rsidP="004637C7">
      <w:pPr>
        <w:pStyle w:val="Lgende"/>
        <w:keepNext/>
      </w:pPr>
      <w:bookmarkStart w:id="405" w:name="_Toc213404366"/>
      <w:r>
        <w:t xml:space="preserve">Tableau </w:t>
      </w:r>
      <w:r>
        <w:fldChar w:fldCharType="begin"/>
      </w:r>
      <w:r>
        <w:instrText xml:space="preserve"> SEQ Tableau \* ARABIC </w:instrText>
      </w:r>
      <w:r>
        <w:fldChar w:fldCharType="separate"/>
      </w:r>
      <w:r w:rsidR="00274E71">
        <w:rPr>
          <w:noProof/>
        </w:rPr>
        <w:t>44</w:t>
      </w:r>
      <w:r>
        <w:fldChar w:fldCharType="end"/>
      </w:r>
      <w:r>
        <w:rPr>
          <w:lang w:val="fr-FR"/>
        </w:rPr>
        <w:t xml:space="preserve"> : </w:t>
      </w:r>
      <w:r w:rsidRPr="00F1306E">
        <w:rPr>
          <w:lang w:val="fr-FR"/>
        </w:rPr>
        <w:t xml:space="preserve">Mesures d’atténuation des impacts sur la qualité de l’air - Phase </w:t>
      </w:r>
      <w:r>
        <w:rPr>
          <w:lang w:val="fr-FR"/>
        </w:rPr>
        <w:t>exploitation</w:t>
      </w:r>
      <w:bookmarkEnd w:id="405"/>
    </w:p>
    <w:tbl>
      <w:tblPr>
        <w:tblStyle w:val="TableauGrille1Clair-Accentuation111"/>
        <w:tblW w:w="0" w:type="auto"/>
        <w:tblLook w:val="0020" w:firstRow="1" w:lastRow="0" w:firstColumn="0" w:lastColumn="0" w:noHBand="0" w:noVBand="0"/>
      </w:tblPr>
      <w:tblGrid>
        <w:gridCol w:w="1864"/>
        <w:gridCol w:w="1515"/>
        <w:gridCol w:w="2664"/>
        <w:gridCol w:w="1387"/>
        <w:gridCol w:w="1040"/>
        <w:gridCol w:w="1223"/>
        <w:gridCol w:w="717"/>
        <w:gridCol w:w="1346"/>
        <w:gridCol w:w="2378"/>
      </w:tblGrid>
      <w:tr w:rsidR="00ED1374" w:rsidRPr="003E3DA1" w14:paraId="47B9F545" w14:textId="77777777" w:rsidTr="0047151C">
        <w:trPr>
          <w:cnfStyle w:val="100000000000" w:firstRow="1" w:lastRow="0" w:firstColumn="0" w:lastColumn="0" w:oddVBand="0" w:evenVBand="0" w:oddHBand="0" w:evenHBand="0" w:firstRowFirstColumn="0" w:firstRowLastColumn="0" w:lastRowFirstColumn="0" w:lastRowLastColumn="0"/>
          <w:tblHeader/>
        </w:trPr>
        <w:tc>
          <w:tcPr>
            <w:tcW w:w="1864" w:type="dxa"/>
          </w:tcPr>
          <w:bookmarkEnd w:id="404"/>
          <w:p w14:paraId="40F08403" w14:textId="77777777" w:rsidR="003F5C77" w:rsidRPr="003E3DA1" w:rsidRDefault="003F5C77" w:rsidP="005A7661">
            <w:pPr>
              <w:pStyle w:val="Compact"/>
              <w:rPr>
                <w:rFonts w:cstheme="minorHAnsi"/>
                <w:sz w:val="20"/>
                <w:szCs w:val="20"/>
              </w:rPr>
            </w:pPr>
            <w:r w:rsidRPr="003E3DA1">
              <w:rPr>
                <w:rFonts w:cstheme="minorHAnsi"/>
                <w:sz w:val="20"/>
                <w:szCs w:val="20"/>
              </w:rPr>
              <w:t>Impact</w:t>
            </w:r>
          </w:p>
        </w:tc>
        <w:tc>
          <w:tcPr>
            <w:tcW w:w="1515" w:type="dxa"/>
          </w:tcPr>
          <w:p w14:paraId="660537EF" w14:textId="77777777" w:rsidR="003F5C77" w:rsidRPr="003E3DA1" w:rsidRDefault="003F5C77" w:rsidP="005A7661">
            <w:pPr>
              <w:pStyle w:val="Compact"/>
              <w:rPr>
                <w:rFonts w:cstheme="minorHAnsi"/>
                <w:sz w:val="20"/>
                <w:szCs w:val="20"/>
              </w:rPr>
            </w:pPr>
            <w:r w:rsidRPr="003E3DA1">
              <w:rPr>
                <w:rFonts w:cstheme="minorHAnsi"/>
                <w:sz w:val="20"/>
                <w:szCs w:val="20"/>
              </w:rPr>
              <w:t>Niveau d’atténuation</w:t>
            </w:r>
          </w:p>
        </w:tc>
        <w:tc>
          <w:tcPr>
            <w:tcW w:w="2664" w:type="dxa"/>
          </w:tcPr>
          <w:p w14:paraId="713FCBA6" w14:textId="77777777" w:rsidR="003F5C77" w:rsidRPr="003E3DA1" w:rsidRDefault="003F5C77" w:rsidP="005A7661">
            <w:pPr>
              <w:pStyle w:val="Compact"/>
              <w:rPr>
                <w:rFonts w:cstheme="minorHAnsi"/>
                <w:sz w:val="20"/>
                <w:szCs w:val="20"/>
              </w:rPr>
            </w:pPr>
            <w:r w:rsidRPr="003E3DA1">
              <w:rPr>
                <w:rFonts w:cstheme="minorHAnsi"/>
                <w:sz w:val="20"/>
                <w:szCs w:val="20"/>
              </w:rPr>
              <w:t>Mesure</w:t>
            </w:r>
          </w:p>
        </w:tc>
        <w:tc>
          <w:tcPr>
            <w:tcW w:w="0" w:type="auto"/>
          </w:tcPr>
          <w:p w14:paraId="37749ADD" w14:textId="77777777" w:rsidR="003F5C77" w:rsidRPr="003E3DA1" w:rsidRDefault="003F5C77" w:rsidP="005A7661">
            <w:pPr>
              <w:pStyle w:val="Compact"/>
              <w:rPr>
                <w:rFonts w:cstheme="minorHAnsi"/>
                <w:sz w:val="20"/>
                <w:szCs w:val="20"/>
              </w:rPr>
            </w:pPr>
            <w:r w:rsidRPr="003E3DA1">
              <w:rPr>
                <w:rFonts w:cstheme="minorHAnsi"/>
                <w:sz w:val="20"/>
                <w:szCs w:val="20"/>
              </w:rPr>
              <w:t>KPI / Indicateur</w:t>
            </w:r>
          </w:p>
        </w:tc>
        <w:tc>
          <w:tcPr>
            <w:tcW w:w="0" w:type="auto"/>
          </w:tcPr>
          <w:p w14:paraId="0F65D7FF" w14:textId="77777777" w:rsidR="003F5C77" w:rsidRPr="003E3DA1" w:rsidRDefault="003F5C77" w:rsidP="005A7661">
            <w:pPr>
              <w:pStyle w:val="Compact"/>
              <w:rPr>
                <w:rFonts w:cstheme="minorHAnsi"/>
                <w:sz w:val="20"/>
                <w:szCs w:val="20"/>
              </w:rPr>
            </w:pPr>
            <w:r w:rsidRPr="003E3DA1">
              <w:rPr>
                <w:rFonts w:cstheme="minorHAnsi"/>
                <w:sz w:val="20"/>
                <w:szCs w:val="20"/>
              </w:rPr>
              <w:t>Mise en œuvre</w:t>
            </w:r>
          </w:p>
        </w:tc>
        <w:tc>
          <w:tcPr>
            <w:tcW w:w="0" w:type="auto"/>
          </w:tcPr>
          <w:p w14:paraId="511BFE98" w14:textId="77777777" w:rsidR="003F5C77" w:rsidRPr="003E3DA1" w:rsidRDefault="003F5C77" w:rsidP="005A7661">
            <w:pPr>
              <w:pStyle w:val="Compact"/>
              <w:rPr>
                <w:rFonts w:cstheme="minorHAnsi"/>
                <w:sz w:val="20"/>
                <w:szCs w:val="20"/>
              </w:rPr>
            </w:pPr>
            <w:r w:rsidRPr="003E3DA1">
              <w:rPr>
                <w:rFonts w:cstheme="minorHAnsi"/>
                <w:sz w:val="20"/>
                <w:szCs w:val="20"/>
              </w:rPr>
              <w:t>Surveillance</w:t>
            </w:r>
          </w:p>
        </w:tc>
        <w:tc>
          <w:tcPr>
            <w:tcW w:w="0" w:type="auto"/>
          </w:tcPr>
          <w:p w14:paraId="3A02E676" w14:textId="77777777" w:rsidR="003F5C77" w:rsidRPr="003E3DA1" w:rsidRDefault="003F5C77" w:rsidP="005A7661">
            <w:pPr>
              <w:pStyle w:val="Compact"/>
              <w:rPr>
                <w:rFonts w:cstheme="minorHAnsi"/>
                <w:sz w:val="20"/>
                <w:szCs w:val="20"/>
              </w:rPr>
            </w:pPr>
            <w:r w:rsidRPr="003E3DA1">
              <w:rPr>
                <w:rFonts w:cstheme="minorHAnsi"/>
                <w:sz w:val="20"/>
                <w:szCs w:val="20"/>
              </w:rPr>
              <w:t>Suivi</w:t>
            </w:r>
          </w:p>
        </w:tc>
        <w:tc>
          <w:tcPr>
            <w:tcW w:w="0" w:type="auto"/>
          </w:tcPr>
          <w:p w14:paraId="1C4FFD28" w14:textId="77777777" w:rsidR="003F5C77" w:rsidRPr="003E3DA1" w:rsidRDefault="003F5C77" w:rsidP="005A7661">
            <w:pPr>
              <w:pStyle w:val="Compact"/>
              <w:rPr>
                <w:rFonts w:cstheme="minorHAnsi"/>
                <w:sz w:val="20"/>
                <w:szCs w:val="20"/>
                <w:lang w:val="fr-FR"/>
              </w:rPr>
            </w:pPr>
            <w:r w:rsidRPr="003E3DA1">
              <w:rPr>
                <w:rFonts w:cstheme="minorHAnsi"/>
                <w:sz w:val="20"/>
                <w:szCs w:val="20"/>
                <w:lang w:val="fr-FR"/>
              </w:rPr>
              <w:t>Calendrier de mise en œuvre</w:t>
            </w:r>
          </w:p>
        </w:tc>
        <w:tc>
          <w:tcPr>
            <w:tcW w:w="0" w:type="auto"/>
          </w:tcPr>
          <w:p w14:paraId="43AFBB87" w14:textId="77777777" w:rsidR="003F5C77" w:rsidRPr="003E3DA1" w:rsidRDefault="003F5C77" w:rsidP="005A7661">
            <w:pPr>
              <w:pStyle w:val="Compact"/>
              <w:rPr>
                <w:rFonts w:cstheme="minorHAnsi"/>
                <w:sz w:val="20"/>
                <w:szCs w:val="20"/>
                <w:lang w:val="fr-FR"/>
              </w:rPr>
            </w:pPr>
            <w:r w:rsidRPr="003E3DA1">
              <w:rPr>
                <w:rFonts w:cstheme="minorHAnsi"/>
                <w:sz w:val="20"/>
                <w:szCs w:val="20"/>
                <w:lang w:val="fr-FR"/>
              </w:rPr>
              <w:t>Coût de mise en œuvre</w:t>
            </w:r>
          </w:p>
        </w:tc>
      </w:tr>
      <w:tr w:rsidR="00ED1374" w:rsidRPr="003E3DA1" w14:paraId="59B19C55" w14:textId="77777777" w:rsidTr="0047151C">
        <w:tc>
          <w:tcPr>
            <w:tcW w:w="1864" w:type="dxa"/>
            <w:vMerge w:val="restart"/>
          </w:tcPr>
          <w:p w14:paraId="44033FFE" w14:textId="77777777" w:rsidR="005F74A6" w:rsidRPr="003E3DA1" w:rsidRDefault="005F74A6" w:rsidP="005F74A6">
            <w:pPr>
              <w:pStyle w:val="Compact"/>
              <w:rPr>
                <w:rFonts w:cstheme="minorHAnsi"/>
                <w:sz w:val="20"/>
                <w:szCs w:val="20"/>
                <w:lang w:val="fr-FR"/>
              </w:rPr>
            </w:pPr>
            <w:r w:rsidRPr="003E3DA1">
              <w:rPr>
                <w:rFonts w:cstheme="minorHAnsi"/>
                <w:sz w:val="20"/>
                <w:szCs w:val="20"/>
                <w:lang w:val="fr-FR"/>
              </w:rPr>
              <w:t>Émissions de gaz d’échappement et particules de combustion (NOx, CO, SO₂, PM₂.₅)</w:t>
            </w:r>
          </w:p>
        </w:tc>
        <w:tc>
          <w:tcPr>
            <w:tcW w:w="1515" w:type="dxa"/>
            <w:vMerge w:val="restart"/>
          </w:tcPr>
          <w:p w14:paraId="4BBACAA4" w14:textId="77777777" w:rsidR="005F74A6" w:rsidRPr="003E3DA1" w:rsidRDefault="005F74A6" w:rsidP="005F74A6">
            <w:pPr>
              <w:pStyle w:val="Compact"/>
              <w:rPr>
                <w:rFonts w:cstheme="minorHAnsi"/>
                <w:sz w:val="20"/>
                <w:szCs w:val="20"/>
              </w:rPr>
            </w:pPr>
            <w:r w:rsidRPr="003E3DA1">
              <w:rPr>
                <w:rFonts w:cstheme="minorHAnsi"/>
                <w:sz w:val="20"/>
                <w:szCs w:val="20"/>
              </w:rPr>
              <w:t>Éviter</w:t>
            </w:r>
          </w:p>
        </w:tc>
        <w:tc>
          <w:tcPr>
            <w:tcW w:w="2664" w:type="dxa"/>
          </w:tcPr>
          <w:p w14:paraId="57FCC779" w14:textId="77777777" w:rsidR="005F74A6" w:rsidRPr="003E3DA1" w:rsidRDefault="005F74A6" w:rsidP="005F74A6">
            <w:pPr>
              <w:pStyle w:val="Compact"/>
              <w:rPr>
                <w:rFonts w:cstheme="minorHAnsi"/>
                <w:sz w:val="20"/>
                <w:szCs w:val="20"/>
                <w:lang w:val="fr-FR"/>
              </w:rPr>
            </w:pPr>
            <w:r w:rsidRPr="003E3DA1">
              <w:rPr>
                <w:rFonts w:cstheme="minorHAnsi"/>
                <w:sz w:val="20"/>
                <w:szCs w:val="20"/>
                <w:lang w:val="fr-FR"/>
              </w:rPr>
              <w:t>Favoriser l’alimentation électrique au sol (GPU/PCA) pour réduire l’usage des APU.</w:t>
            </w:r>
          </w:p>
        </w:tc>
        <w:tc>
          <w:tcPr>
            <w:tcW w:w="0" w:type="auto"/>
          </w:tcPr>
          <w:p w14:paraId="177D5B41" w14:textId="77777777" w:rsidR="005F74A6" w:rsidRPr="003E3DA1" w:rsidRDefault="005F74A6" w:rsidP="005F74A6">
            <w:pPr>
              <w:pStyle w:val="Compact"/>
              <w:rPr>
                <w:rFonts w:cstheme="minorHAnsi"/>
                <w:sz w:val="20"/>
                <w:szCs w:val="20"/>
                <w:lang w:val="fr-FR"/>
              </w:rPr>
            </w:pPr>
            <w:r w:rsidRPr="003E3DA1">
              <w:rPr>
                <w:rFonts w:cstheme="minorHAnsi"/>
                <w:sz w:val="20"/>
                <w:szCs w:val="20"/>
                <w:lang w:val="fr-FR"/>
              </w:rPr>
              <w:t>% de postes avion équipés GPU/PCA</w:t>
            </w:r>
          </w:p>
        </w:tc>
        <w:tc>
          <w:tcPr>
            <w:tcW w:w="0" w:type="auto"/>
          </w:tcPr>
          <w:p w14:paraId="3F228E7A" w14:textId="0753E560" w:rsidR="005F74A6" w:rsidRPr="003E3DA1" w:rsidRDefault="005F74A6" w:rsidP="005F74A6">
            <w:pPr>
              <w:pStyle w:val="Compact"/>
              <w:rPr>
                <w:rFonts w:cstheme="minorHAnsi"/>
                <w:sz w:val="20"/>
                <w:szCs w:val="20"/>
              </w:rPr>
            </w:pPr>
            <w:r w:rsidRPr="003E3DA1">
              <w:rPr>
                <w:rFonts w:cstheme="minorHAnsi"/>
                <w:sz w:val="20"/>
                <w:szCs w:val="20"/>
              </w:rPr>
              <w:t>ONDA / exploitant</w:t>
            </w:r>
          </w:p>
        </w:tc>
        <w:tc>
          <w:tcPr>
            <w:tcW w:w="0" w:type="auto"/>
          </w:tcPr>
          <w:p w14:paraId="2BC0AB33" w14:textId="69E3BDCB" w:rsidR="005F74A6" w:rsidRPr="003E3DA1" w:rsidRDefault="005F74A6" w:rsidP="005F74A6">
            <w:pPr>
              <w:pStyle w:val="Compact"/>
              <w:rPr>
                <w:rFonts w:cstheme="minorHAnsi"/>
                <w:sz w:val="20"/>
                <w:szCs w:val="20"/>
                <w:lang w:val="fr-FR"/>
              </w:rPr>
            </w:pPr>
            <w:r w:rsidRPr="003E3DA1">
              <w:rPr>
                <w:rFonts w:cstheme="minorHAnsi"/>
                <w:sz w:val="20"/>
                <w:szCs w:val="20"/>
                <w:lang w:val="fr-FR"/>
              </w:rPr>
              <w:t>ONDA</w:t>
            </w:r>
          </w:p>
        </w:tc>
        <w:tc>
          <w:tcPr>
            <w:tcW w:w="0" w:type="auto"/>
          </w:tcPr>
          <w:p w14:paraId="197484F1" w14:textId="280401BC" w:rsidR="005F74A6" w:rsidRPr="003E3DA1" w:rsidRDefault="005F74A6" w:rsidP="005F74A6">
            <w:pPr>
              <w:pStyle w:val="Compact"/>
              <w:rPr>
                <w:rFonts w:cstheme="minorHAnsi"/>
                <w:sz w:val="20"/>
                <w:szCs w:val="20"/>
              </w:rPr>
            </w:pPr>
            <w:r w:rsidRPr="003E3DA1">
              <w:rPr>
                <w:rFonts w:cstheme="minorHAnsi"/>
                <w:sz w:val="20"/>
                <w:szCs w:val="20"/>
                <w:lang w:val="fr-FR"/>
              </w:rPr>
              <w:t>ONDA</w:t>
            </w:r>
          </w:p>
        </w:tc>
        <w:tc>
          <w:tcPr>
            <w:tcW w:w="0" w:type="auto"/>
          </w:tcPr>
          <w:p w14:paraId="261CDAFB" w14:textId="77777777" w:rsidR="005F74A6" w:rsidRPr="003E3DA1" w:rsidRDefault="005F74A6" w:rsidP="005F74A6">
            <w:pPr>
              <w:pStyle w:val="Compact"/>
              <w:rPr>
                <w:rFonts w:cstheme="minorHAnsi"/>
                <w:sz w:val="20"/>
                <w:szCs w:val="20"/>
                <w:lang w:val="fr-FR"/>
              </w:rPr>
            </w:pPr>
            <w:r w:rsidRPr="003E3DA1">
              <w:rPr>
                <w:rFonts w:cstheme="minorHAnsi"/>
                <w:sz w:val="20"/>
                <w:szCs w:val="20"/>
                <w:lang w:val="fr-FR"/>
              </w:rPr>
              <w:t>Dès la mise en service</w:t>
            </w:r>
          </w:p>
        </w:tc>
        <w:tc>
          <w:tcPr>
            <w:tcW w:w="0" w:type="auto"/>
          </w:tcPr>
          <w:p w14:paraId="443FE19F" w14:textId="5905C5B2" w:rsidR="005F74A6" w:rsidRDefault="009B2BEC" w:rsidP="005F74A6">
            <w:pPr>
              <w:pStyle w:val="Compact"/>
              <w:rPr>
                <w:rFonts w:cstheme="minorHAnsi"/>
                <w:sz w:val="20"/>
                <w:szCs w:val="20"/>
                <w:lang w:val="fr-FR"/>
              </w:rPr>
            </w:pPr>
            <w:r w:rsidRPr="009B2BEC">
              <w:rPr>
                <w:rFonts w:cstheme="minorHAnsi"/>
                <w:sz w:val="20"/>
                <w:szCs w:val="20"/>
                <w:lang w:val="fr-FR"/>
              </w:rPr>
              <w:t>≈ 116 000 MAD HT pour</w:t>
            </w:r>
            <w:r>
              <w:rPr>
                <w:rFonts w:cstheme="minorHAnsi"/>
                <w:sz w:val="20"/>
                <w:szCs w:val="20"/>
                <w:lang w:val="fr-FR"/>
              </w:rPr>
              <w:t xml:space="preserve"> la</w:t>
            </w:r>
            <w:r w:rsidRPr="009B2BEC">
              <w:rPr>
                <w:rFonts w:cstheme="minorHAnsi"/>
                <w:sz w:val="20"/>
                <w:szCs w:val="20"/>
                <w:lang w:val="fr-FR"/>
              </w:rPr>
              <w:t xml:space="preserve"> première année (mise en service)</w:t>
            </w:r>
          </w:p>
          <w:p w14:paraId="3C09A953" w14:textId="46677BFB" w:rsidR="009B2BEC" w:rsidRPr="003E3DA1" w:rsidRDefault="009B2BEC" w:rsidP="005F74A6">
            <w:pPr>
              <w:pStyle w:val="Compact"/>
              <w:rPr>
                <w:rFonts w:cstheme="minorHAnsi"/>
                <w:sz w:val="20"/>
                <w:szCs w:val="20"/>
                <w:lang w:val="fr-FR"/>
              </w:rPr>
            </w:pPr>
            <w:r w:rsidRPr="009B2BEC">
              <w:rPr>
                <w:rFonts w:cstheme="minorHAnsi"/>
                <w:sz w:val="20"/>
                <w:szCs w:val="20"/>
                <w:lang w:val="fr-FR"/>
              </w:rPr>
              <w:t>≈ 90 000 MAD HT/an</w:t>
            </w:r>
            <w:r>
              <w:rPr>
                <w:rFonts w:cstheme="minorHAnsi"/>
                <w:sz w:val="20"/>
                <w:szCs w:val="20"/>
                <w:lang w:val="fr-FR"/>
              </w:rPr>
              <w:t xml:space="preserve"> pour les a</w:t>
            </w:r>
            <w:r w:rsidRPr="009B2BEC">
              <w:rPr>
                <w:rFonts w:cstheme="minorHAnsi"/>
                <w:sz w:val="20"/>
                <w:szCs w:val="20"/>
                <w:lang w:val="fr-FR"/>
              </w:rPr>
              <w:t>nnées suivantes (fonctionnement régulier)</w:t>
            </w:r>
          </w:p>
        </w:tc>
      </w:tr>
      <w:tr w:rsidR="00ED1374" w:rsidRPr="003E3DA1" w14:paraId="277D987D" w14:textId="77777777" w:rsidTr="0047151C">
        <w:tc>
          <w:tcPr>
            <w:tcW w:w="1864" w:type="dxa"/>
            <w:vMerge/>
          </w:tcPr>
          <w:p w14:paraId="0DC75827" w14:textId="77777777" w:rsidR="005F74A6" w:rsidRPr="003E3DA1" w:rsidRDefault="005F74A6" w:rsidP="005F74A6">
            <w:pPr>
              <w:pStyle w:val="Compact"/>
              <w:rPr>
                <w:rFonts w:cstheme="minorHAnsi"/>
                <w:sz w:val="20"/>
                <w:szCs w:val="20"/>
                <w:lang w:val="fr-FR"/>
              </w:rPr>
            </w:pPr>
          </w:p>
        </w:tc>
        <w:tc>
          <w:tcPr>
            <w:tcW w:w="1515" w:type="dxa"/>
            <w:vMerge/>
          </w:tcPr>
          <w:p w14:paraId="338D7988" w14:textId="0C30C021" w:rsidR="005F74A6" w:rsidRPr="003E3DA1" w:rsidRDefault="005F74A6" w:rsidP="005F74A6">
            <w:pPr>
              <w:pStyle w:val="Compact"/>
              <w:rPr>
                <w:rFonts w:cstheme="minorHAnsi"/>
                <w:sz w:val="20"/>
                <w:szCs w:val="20"/>
                <w:lang w:val="fr-FR"/>
              </w:rPr>
            </w:pPr>
          </w:p>
        </w:tc>
        <w:tc>
          <w:tcPr>
            <w:tcW w:w="2664" w:type="dxa"/>
          </w:tcPr>
          <w:p w14:paraId="557C1412" w14:textId="77777777" w:rsidR="005F74A6" w:rsidRPr="003E3DA1" w:rsidRDefault="005F74A6" w:rsidP="005F74A6">
            <w:pPr>
              <w:pStyle w:val="Compact"/>
              <w:rPr>
                <w:rFonts w:cstheme="minorHAnsi"/>
                <w:sz w:val="20"/>
                <w:szCs w:val="20"/>
                <w:lang w:val="fr-FR"/>
              </w:rPr>
            </w:pPr>
            <w:r w:rsidRPr="003E3DA1">
              <w:rPr>
                <w:rFonts w:cstheme="minorHAnsi"/>
                <w:sz w:val="20"/>
                <w:szCs w:val="20"/>
                <w:lang w:val="fr-FR"/>
              </w:rPr>
              <w:t>Remplacer progressivement les véhicules thermiques par des engins électriques ou hybrides.</w:t>
            </w:r>
          </w:p>
        </w:tc>
        <w:tc>
          <w:tcPr>
            <w:tcW w:w="0" w:type="auto"/>
          </w:tcPr>
          <w:p w14:paraId="141AE330" w14:textId="77777777" w:rsidR="005F74A6" w:rsidRPr="003E3DA1" w:rsidRDefault="005F74A6" w:rsidP="005F74A6">
            <w:pPr>
              <w:pStyle w:val="Compact"/>
              <w:rPr>
                <w:rFonts w:cstheme="minorHAnsi"/>
                <w:sz w:val="20"/>
                <w:szCs w:val="20"/>
              </w:rPr>
            </w:pPr>
            <w:r w:rsidRPr="003E3DA1">
              <w:rPr>
                <w:rFonts w:cstheme="minorHAnsi"/>
                <w:sz w:val="20"/>
                <w:szCs w:val="20"/>
              </w:rPr>
              <w:t>% d’engins électriques</w:t>
            </w:r>
          </w:p>
        </w:tc>
        <w:tc>
          <w:tcPr>
            <w:tcW w:w="0" w:type="auto"/>
          </w:tcPr>
          <w:p w14:paraId="668A6A73" w14:textId="77777777" w:rsidR="005F74A6" w:rsidRPr="003E3DA1" w:rsidRDefault="005F74A6" w:rsidP="005F74A6">
            <w:pPr>
              <w:pStyle w:val="Compact"/>
              <w:rPr>
                <w:rFonts w:cstheme="minorHAnsi"/>
                <w:sz w:val="20"/>
                <w:szCs w:val="20"/>
              </w:rPr>
            </w:pPr>
            <w:r w:rsidRPr="003E3DA1">
              <w:rPr>
                <w:rFonts w:cstheme="minorHAnsi"/>
                <w:sz w:val="20"/>
                <w:szCs w:val="20"/>
              </w:rPr>
              <w:t>ONDA / Exploitant</w:t>
            </w:r>
          </w:p>
        </w:tc>
        <w:tc>
          <w:tcPr>
            <w:tcW w:w="0" w:type="auto"/>
          </w:tcPr>
          <w:p w14:paraId="67229897" w14:textId="09826982" w:rsidR="005F74A6" w:rsidRPr="003E3DA1" w:rsidRDefault="005F74A6" w:rsidP="005F74A6">
            <w:pPr>
              <w:pStyle w:val="Compact"/>
              <w:rPr>
                <w:rFonts w:cstheme="minorHAnsi"/>
                <w:sz w:val="20"/>
                <w:szCs w:val="20"/>
              </w:rPr>
            </w:pPr>
            <w:r w:rsidRPr="003E3DA1">
              <w:rPr>
                <w:rFonts w:cstheme="minorHAnsi"/>
                <w:sz w:val="20"/>
                <w:szCs w:val="20"/>
                <w:lang w:val="fr-FR"/>
              </w:rPr>
              <w:t>ONDA</w:t>
            </w:r>
          </w:p>
        </w:tc>
        <w:tc>
          <w:tcPr>
            <w:tcW w:w="0" w:type="auto"/>
          </w:tcPr>
          <w:p w14:paraId="3544B864" w14:textId="629283DF" w:rsidR="005F74A6" w:rsidRPr="003E3DA1" w:rsidRDefault="005F74A6" w:rsidP="005F74A6">
            <w:pPr>
              <w:pStyle w:val="Compact"/>
              <w:rPr>
                <w:rFonts w:cstheme="minorHAnsi"/>
                <w:sz w:val="20"/>
                <w:szCs w:val="20"/>
              </w:rPr>
            </w:pPr>
            <w:r w:rsidRPr="003E3DA1">
              <w:rPr>
                <w:rFonts w:cstheme="minorHAnsi"/>
                <w:sz w:val="20"/>
                <w:szCs w:val="20"/>
                <w:lang w:val="fr-FR"/>
              </w:rPr>
              <w:t>ONDA</w:t>
            </w:r>
          </w:p>
        </w:tc>
        <w:tc>
          <w:tcPr>
            <w:tcW w:w="0" w:type="auto"/>
          </w:tcPr>
          <w:p w14:paraId="28629E82" w14:textId="77777777" w:rsidR="005F74A6" w:rsidRPr="003E3DA1" w:rsidRDefault="005F74A6" w:rsidP="005F74A6">
            <w:pPr>
              <w:pStyle w:val="Compact"/>
              <w:rPr>
                <w:rFonts w:cstheme="minorHAnsi"/>
                <w:sz w:val="20"/>
                <w:szCs w:val="20"/>
              </w:rPr>
            </w:pPr>
            <w:r w:rsidRPr="003E3DA1">
              <w:rPr>
                <w:rFonts w:cstheme="minorHAnsi"/>
                <w:sz w:val="20"/>
                <w:szCs w:val="20"/>
              </w:rPr>
              <w:t>Dès la phase d’exploitation</w:t>
            </w:r>
          </w:p>
        </w:tc>
        <w:tc>
          <w:tcPr>
            <w:tcW w:w="0" w:type="auto"/>
          </w:tcPr>
          <w:p w14:paraId="3F5AFC11" w14:textId="7C2CE0F1" w:rsidR="005F74A6" w:rsidRDefault="00D63C52" w:rsidP="005F74A6">
            <w:pPr>
              <w:pStyle w:val="Compact"/>
              <w:rPr>
                <w:rFonts w:cstheme="minorHAnsi"/>
                <w:sz w:val="20"/>
                <w:szCs w:val="20"/>
                <w:lang w:val="fr-FR"/>
              </w:rPr>
            </w:pPr>
            <w:r w:rsidRPr="00D63C52">
              <w:rPr>
                <w:rFonts w:cstheme="minorHAnsi"/>
                <w:sz w:val="20"/>
                <w:szCs w:val="20"/>
                <w:lang w:val="fr-FR"/>
              </w:rPr>
              <w:t>≈ 380 000 – 400 000 MAD HT (phase initiale)</w:t>
            </w:r>
            <w:r w:rsidR="00DF4CC2">
              <w:rPr>
                <w:rFonts w:cstheme="minorHAnsi"/>
                <w:sz w:val="20"/>
                <w:szCs w:val="20"/>
                <w:lang w:val="fr-FR"/>
              </w:rPr>
              <w:t xml:space="preserve"> - </w:t>
            </w:r>
            <w:r w:rsidR="00DF4CC2" w:rsidRPr="00DF4CC2">
              <w:rPr>
                <w:rFonts w:cstheme="minorHAnsi"/>
                <w:sz w:val="20"/>
                <w:szCs w:val="20"/>
                <w:lang w:val="fr-FR"/>
              </w:rPr>
              <w:t>Coût correspondant à l’acquisition d’un premier engin électrique (ou hybride) de piste, à l’installation d’une borne de recharge et à la formation du personnel.</w:t>
            </w:r>
          </w:p>
          <w:p w14:paraId="6A67B452" w14:textId="482AC354" w:rsidR="00D63C52" w:rsidRPr="003E3DA1" w:rsidRDefault="00D63C52" w:rsidP="005F74A6">
            <w:pPr>
              <w:pStyle w:val="Compact"/>
              <w:rPr>
                <w:rFonts w:cstheme="minorHAnsi"/>
                <w:sz w:val="20"/>
                <w:szCs w:val="20"/>
                <w:lang w:val="fr-FR"/>
              </w:rPr>
            </w:pPr>
            <w:r w:rsidRPr="00D63C52">
              <w:rPr>
                <w:rFonts w:cstheme="minorHAnsi"/>
                <w:sz w:val="20"/>
                <w:szCs w:val="20"/>
                <w:lang w:val="fr-FR"/>
              </w:rPr>
              <w:t>Le coût global sera étalé sur plusieurs années selon le plan de renouvellement du parc ONDA</w:t>
            </w:r>
            <w:r w:rsidR="00DF4CC2">
              <w:rPr>
                <w:rFonts w:cstheme="minorHAnsi"/>
                <w:sz w:val="20"/>
                <w:szCs w:val="20"/>
                <w:lang w:val="fr-FR"/>
              </w:rPr>
              <w:t>.</w:t>
            </w:r>
          </w:p>
        </w:tc>
      </w:tr>
      <w:tr w:rsidR="00ED1374" w:rsidRPr="003E3DA1" w14:paraId="37DD6325" w14:textId="77777777" w:rsidTr="0047151C">
        <w:tc>
          <w:tcPr>
            <w:tcW w:w="1864" w:type="dxa"/>
            <w:vMerge/>
          </w:tcPr>
          <w:p w14:paraId="184FC011" w14:textId="77777777" w:rsidR="005F74A6" w:rsidRPr="003E3DA1" w:rsidRDefault="005F74A6" w:rsidP="005F74A6">
            <w:pPr>
              <w:pStyle w:val="Compact"/>
              <w:rPr>
                <w:rFonts w:cstheme="minorHAnsi"/>
                <w:sz w:val="20"/>
                <w:szCs w:val="20"/>
                <w:lang w:val="fr-FR"/>
              </w:rPr>
            </w:pPr>
          </w:p>
        </w:tc>
        <w:tc>
          <w:tcPr>
            <w:tcW w:w="1515" w:type="dxa"/>
            <w:vMerge w:val="restart"/>
          </w:tcPr>
          <w:p w14:paraId="4687F8AF" w14:textId="77777777" w:rsidR="005F74A6" w:rsidRPr="003E3DA1" w:rsidRDefault="005F74A6" w:rsidP="005F74A6">
            <w:pPr>
              <w:pStyle w:val="Compact"/>
              <w:rPr>
                <w:rFonts w:cstheme="minorHAnsi"/>
                <w:sz w:val="20"/>
                <w:szCs w:val="20"/>
              </w:rPr>
            </w:pPr>
            <w:r w:rsidRPr="003E3DA1">
              <w:rPr>
                <w:rFonts w:cstheme="minorHAnsi"/>
                <w:sz w:val="20"/>
                <w:szCs w:val="20"/>
              </w:rPr>
              <w:t>Réduire</w:t>
            </w:r>
          </w:p>
        </w:tc>
        <w:tc>
          <w:tcPr>
            <w:tcW w:w="2664" w:type="dxa"/>
          </w:tcPr>
          <w:p w14:paraId="695C275D" w14:textId="77777777" w:rsidR="005F74A6" w:rsidRPr="003E3DA1" w:rsidRDefault="005F74A6" w:rsidP="005F74A6">
            <w:pPr>
              <w:pStyle w:val="Compact"/>
              <w:rPr>
                <w:rFonts w:cstheme="minorHAnsi"/>
                <w:sz w:val="20"/>
                <w:szCs w:val="20"/>
                <w:lang w:val="fr-FR"/>
              </w:rPr>
            </w:pPr>
            <w:r w:rsidRPr="003E3DA1">
              <w:rPr>
                <w:rFonts w:cstheme="minorHAnsi"/>
                <w:sz w:val="20"/>
                <w:szCs w:val="20"/>
                <w:lang w:val="fr-FR"/>
              </w:rPr>
              <w:t>Appliquer la politique « anti-ralenti » (moteur ≤ 3 min à l’arrêt).</w:t>
            </w:r>
          </w:p>
        </w:tc>
        <w:tc>
          <w:tcPr>
            <w:tcW w:w="0" w:type="auto"/>
          </w:tcPr>
          <w:p w14:paraId="0F5F1A2B" w14:textId="77777777" w:rsidR="005F74A6" w:rsidRPr="003E3DA1" w:rsidRDefault="005F74A6" w:rsidP="005F74A6">
            <w:pPr>
              <w:pStyle w:val="Compact"/>
              <w:rPr>
                <w:rFonts w:cstheme="minorHAnsi"/>
                <w:sz w:val="20"/>
                <w:szCs w:val="20"/>
                <w:lang w:val="fr-FR"/>
              </w:rPr>
            </w:pPr>
            <w:r w:rsidRPr="003E3DA1">
              <w:rPr>
                <w:rFonts w:cstheme="minorHAnsi"/>
                <w:sz w:val="20"/>
                <w:szCs w:val="20"/>
                <w:lang w:val="fr-FR"/>
              </w:rPr>
              <w:t>Temps moyen de ralenti moteur (min/h)</w:t>
            </w:r>
          </w:p>
        </w:tc>
        <w:tc>
          <w:tcPr>
            <w:tcW w:w="0" w:type="auto"/>
          </w:tcPr>
          <w:p w14:paraId="4E7B8F01" w14:textId="6F0D3F80" w:rsidR="005F74A6" w:rsidRPr="003E3DA1" w:rsidRDefault="005F74A6" w:rsidP="005F74A6">
            <w:pPr>
              <w:pStyle w:val="Compact"/>
              <w:rPr>
                <w:rFonts w:cstheme="minorHAnsi"/>
                <w:sz w:val="20"/>
                <w:szCs w:val="20"/>
              </w:rPr>
            </w:pPr>
            <w:r w:rsidRPr="003E3DA1">
              <w:rPr>
                <w:rFonts w:cstheme="minorHAnsi"/>
                <w:sz w:val="20"/>
                <w:szCs w:val="20"/>
              </w:rPr>
              <w:t>ONDA / exploitant</w:t>
            </w:r>
          </w:p>
        </w:tc>
        <w:tc>
          <w:tcPr>
            <w:tcW w:w="0" w:type="auto"/>
          </w:tcPr>
          <w:p w14:paraId="7529F9B8" w14:textId="557E7091" w:rsidR="005F74A6" w:rsidRPr="003E3DA1" w:rsidRDefault="005F74A6" w:rsidP="005F74A6">
            <w:pPr>
              <w:pStyle w:val="Compact"/>
              <w:rPr>
                <w:rFonts w:cstheme="minorHAnsi"/>
                <w:sz w:val="20"/>
                <w:szCs w:val="20"/>
              </w:rPr>
            </w:pPr>
            <w:r w:rsidRPr="003E3DA1">
              <w:rPr>
                <w:rFonts w:cstheme="minorHAnsi"/>
                <w:sz w:val="20"/>
                <w:szCs w:val="20"/>
                <w:lang w:val="fr-FR"/>
              </w:rPr>
              <w:t>ONDA</w:t>
            </w:r>
          </w:p>
        </w:tc>
        <w:tc>
          <w:tcPr>
            <w:tcW w:w="0" w:type="auto"/>
          </w:tcPr>
          <w:p w14:paraId="665DF84F" w14:textId="259A8E75" w:rsidR="005F74A6" w:rsidRPr="003E3DA1" w:rsidRDefault="005F74A6" w:rsidP="005F74A6">
            <w:pPr>
              <w:pStyle w:val="Compact"/>
              <w:rPr>
                <w:rFonts w:cstheme="minorHAnsi"/>
                <w:sz w:val="20"/>
                <w:szCs w:val="20"/>
              </w:rPr>
            </w:pPr>
            <w:r w:rsidRPr="003E3DA1">
              <w:rPr>
                <w:rFonts w:cstheme="minorHAnsi"/>
                <w:sz w:val="20"/>
                <w:szCs w:val="20"/>
                <w:lang w:val="fr-FR"/>
              </w:rPr>
              <w:t>ONDA</w:t>
            </w:r>
          </w:p>
        </w:tc>
        <w:tc>
          <w:tcPr>
            <w:tcW w:w="0" w:type="auto"/>
          </w:tcPr>
          <w:p w14:paraId="3E0BE144" w14:textId="77777777" w:rsidR="005F74A6" w:rsidRPr="003E3DA1" w:rsidRDefault="005F74A6" w:rsidP="005F74A6">
            <w:pPr>
              <w:pStyle w:val="Compact"/>
              <w:rPr>
                <w:rFonts w:cstheme="minorHAnsi"/>
                <w:sz w:val="20"/>
                <w:szCs w:val="20"/>
              </w:rPr>
            </w:pPr>
            <w:r w:rsidRPr="003E3DA1">
              <w:rPr>
                <w:rFonts w:cstheme="minorHAnsi"/>
                <w:sz w:val="20"/>
                <w:szCs w:val="20"/>
              </w:rPr>
              <w:t>Continue</w:t>
            </w:r>
          </w:p>
        </w:tc>
        <w:tc>
          <w:tcPr>
            <w:tcW w:w="0" w:type="auto"/>
          </w:tcPr>
          <w:p w14:paraId="01496637" w14:textId="60BE7A9B" w:rsidR="00ED5BF8" w:rsidRPr="00ED5BF8" w:rsidRDefault="00DF4CC2" w:rsidP="00ED5BF8">
            <w:pPr>
              <w:pStyle w:val="Compact"/>
              <w:rPr>
                <w:rFonts w:cstheme="minorHAnsi"/>
                <w:sz w:val="20"/>
                <w:szCs w:val="20"/>
                <w:lang w:val="fr-FR"/>
              </w:rPr>
            </w:pPr>
            <w:r w:rsidRPr="00DF4CC2">
              <w:rPr>
                <w:rFonts w:cstheme="minorHAnsi"/>
                <w:sz w:val="20"/>
                <w:szCs w:val="20"/>
                <w:lang w:val="fr-FR"/>
              </w:rPr>
              <w:t>≈ 8 000 – 9 000 MAD (forfait initial)</w:t>
            </w:r>
            <w:r>
              <w:rPr>
                <w:rFonts w:cstheme="minorHAnsi"/>
                <w:sz w:val="20"/>
                <w:szCs w:val="20"/>
                <w:lang w:val="fr-FR"/>
              </w:rPr>
              <w:t xml:space="preserve"> - </w:t>
            </w:r>
            <w:r w:rsidR="00ED5BF8" w:rsidRPr="00ED5BF8">
              <w:rPr>
                <w:rFonts w:cstheme="minorHAnsi"/>
                <w:sz w:val="20"/>
                <w:szCs w:val="20"/>
                <w:lang w:val="fr-FR"/>
              </w:rPr>
              <w:t xml:space="preserve">– Formation et sensibilisation du personnel (2 sessions × </w:t>
            </w:r>
            <w:r w:rsidR="00ED5BF8">
              <w:rPr>
                <w:rFonts w:cstheme="minorHAnsi"/>
                <w:sz w:val="20"/>
                <w:szCs w:val="20"/>
                <w:lang w:val="fr-FR"/>
              </w:rPr>
              <w:t>4</w:t>
            </w:r>
            <w:r w:rsidR="00ED5BF8" w:rsidRPr="00ED5BF8">
              <w:rPr>
                <w:rFonts w:cstheme="minorHAnsi"/>
                <w:sz w:val="20"/>
                <w:szCs w:val="20"/>
                <w:lang w:val="fr-FR"/>
              </w:rPr>
              <w:t xml:space="preserve"> 000 MAD) ;</w:t>
            </w:r>
          </w:p>
          <w:p w14:paraId="77E2F26A" w14:textId="65638C1B" w:rsidR="00ED5BF8" w:rsidRPr="00ED5BF8" w:rsidRDefault="00ED5BF8" w:rsidP="00ED5BF8">
            <w:pPr>
              <w:pStyle w:val="Compact"/>
              <w:rPr>
                <w:rFonts w:cstheme="minorHAnsi"/>
                <w:sz w:val="20"/>
                <w:szCs w:val="20"/>
                <w:lang w:val="fr-FR"/>
              </w:rPr>
            </w:pPr>
            <w:r w:rsidRPr="00ED5BF8">
              <w:rPr>
                <w:rFonts w:cstheme="minorHAnsi"/>
                <w:sz w:val="20"/>
                <w:szCs w:val="20"/>
                <w:lang w:val="fr-FR"/>
              </w:rPr>
              <w:t>Affiches/panneaux “STOP moteur” (15 × 150 MAD) ;</w:t>
            </w:r>
          </w:p>
          <w:p w14:paraId="68CDBD20" w14:textId="42AFB3AA" w:rsidR="005F74A6" w:rsidRPr="003E3DA1" w:rsidRDefault="00ED5BF8" w:rsidP="00ED5BF8">
            <w:pPr>
              <w:pStyle w:val="Compact"/>
              <w:rPr>
                <w:rFonts w:cstheme="minorHAnsi"/>
                <w:sz w:val="20"/>
                <w:szCs w:val="20"/>
                <w:lang w:val="fr-FR"/>
              </w:rPr>
            </w:pPr>
            <w:r w:rsidRPr="00ED5BF8">
              <w:rPr>
                <w:rFonts w:cstheme="minorHAnsi"/>
                <w:sz w:val="20"/>
                <w:szCs w:val="20"/>
                <w:lang w:val="fr-FR"/>
              </w:rPr>
              <w:t>Suivi HSE mensuel.</w:t>
            </w:r>
          </w:p>
        </w:tc>
      </w:tr>
      <w:tr w:rsidR="00ED1374" w:rsidRPr="003E3DA1" w14:paraId="42EA4436" w14:textId="77777777" w:rsidTr="0047151C">
        <w:tc>
          <w:tcPr>
            <w:tcW w:w="1864" w:type="dxa"/>
            <w:vMerge/>
          </w:tcPr>
          <w:p w14:paraId="43315935" w14:textId="77777777" w:rsidR="005F74A6" w:rsidRPr="003E3DA1" w:rsidRDefault="005F74A6" w:rsidP="005F74A6">
            <w:pPr>
              <w:pStyle w:val="Compact"/>
              <w:rPr>
                <w:rFonts w:cstheme="minorHAnsi"/>
                <w:sz w:val="20"/>
                <w:szCs w:val="20"/>
                <w:lang w:val="fr-FR"/>
              </w:rPr>
            </w:pPr>
          </w:p>
        </w:tc>
        <w:tc>
          <w:tcPr>
            <w:tcW w:w="1515" w:type="dxa"/>
            <w:vMerge/>
          </w:tcPr>
          <w:p w14:paraId="57382D21" w14:textId="7CC4A677" w:rsidR="005F74A6" w:rsidRPr="003E3DA1" w:rsidRDefault="005F74A6" w:rsidP="005F74A6">
            <w:pPr>
              <w:pStyle w:val="Compact"/>
              <w:rPr>
                <w:rFonts w:cstheme="minorHAnsi"/>
                <w:sz w:val="20"/>
                <w:szCs w:val="20"/>
                <w:lang w:val="fr-FR"/>
              </w:rPr>
            </w:pPr>
          </w:p>
        </w:tc>
        <w:tc>
          <w:tcPr>
            <w:tcW w:w="2664" w:type="dxa"/>
          </w:tcPr>
          <w:p w14:paraId="212833E4" w14:textId="4906B36E" w:rsidR="005F74A6" w:rsidRPr="003E3DA1" w:rsidRDefault="005F74A6" w:rsidP="005F74A6">
            <w:pPr>
              <w:pStyle w:val="Compact"/>
              <w:rPr>
                <w:rFonts w:cstheme="minorHAnsi"/>
                <w:sz w:val="20"/>
                <w:szCs w:val="20"/>
                <w:lang w:val="fr-FR"/>
              </w:rPr>
            </w:pPr>
            <w:r w:rsidRPr="003E3DA1">
              <w:rPr>
                <w:rFonts w:cstheme="minorHAnsi"/>
                <w:sz w:val="20"/>
                <w:szCs w:val="20"/>
                <w:lang w:val="fr-FR"/>
              </w:rPr>
              <w:t>Entretien périodique des engins et utilisation de carburants à faible teneur en soufre.</w:t>
            </w:r>
          </w:p>
        </w:tc>
        <w:tc>
          <w:tcPr>
            <w:tcW w:w="0" w:type="auto"/>
          </w:tcPr>
          <w:p w14:paraId="1E5B70B2" w14:textId="77777777" w:rsidR="005F74A6" w:rsidRPr="003E3DA1" w:rsidRDefault="005F74A6" w:rsidP="005F74A6">
            <w:pPr>
              <w:pStyle w:val="Compact"/>
              <w:rPr>
                <w:rFonts w:cstheme="minorHAnsi"/>
                <w:sz w:val="20"/>
                <w:szCs w:val="20"/>
              </w:rPr>
            </w:pPr>
            <w:r w:rsidRPr="003E3DA1">
              <w:rPr>
                <w:rFonts w:cstheme="minorHAnsi"/>
                <w:sz w:val="20"/>
                <w:szCs w:val="20"/>
              </w:rPr>
              <w:t>% engins entretenus / an</w:t>
            </w:r>
          </w:p>
        </w:tc>
        <w:tc>
          <w:tcPr>
            <w:tcW w:w="0" w:type="auto"/>
          </w:tcPr>
          <w:p w14:paraId="34FF1F5A" w14:textId="36903866" w:rsidR="005F74A6" w:rsidRPr="003E3DA1" w:rsidRDefault="005F74A6" w:rsidP="005F74A6">
            <w:pPr>
              <w:pStyle w:val="Compact"/>
              <w:rPr>
                <w:rFonts w:cstheme="minorHAnsi"/>
                <w:sz w:val="20"/>
                <w:szCs w:val="20"/>
              </w:rPr>
            </w:pPr>
            <w:r w:rsidRPr="003E3DA1">
              <w:rPr>
                <w:rFonts w:cstheme="minorHAnsi"/>
                <w:sz w:val="20"/>
                <w:szCs w:val="20"/>
              </w:rPr>
              <w:t>ONDA / exploitant</w:t>
            </w:r>
          </w:p>
        </w:tc>
        <w:tc>
          <w:tcPr>
            <w:tcW w:w="0" w:type="auto"/>
          </w:tcPr>
          <w:p w14:paraId="3A628C7F" w14:textId="22958281" w:rsidR="005F74A6" w:rsidRPr="003E3DA1" w:rsidRDefault="005F74A6" w:rsidP="005F74A6">
            <w:pPr>
              <w:pStyle w:val="Compact"/>
              <w:rPr>
                <w:rFonts w:cstheme="minorHAnsi"/>
                <w:sz w:val="20"/>
                <w:szCs w:val="20"/>
              </w:rPr>
            </w:pPr>
            <w:r w:rsidRPr="003E3DA1">
              <w:rPr>
                <w:rFonts w:cstheme="minorHAnsi"/>
                <w:sz w:val="20"/>
                <w:szCs w:val="20"/>
                <w:lang w:val="fr-FR"/>
              </w:rPr>
              <w:t>ONDA</w:t>
            </w:r>
          </w:p>
        </w:tc>
        <w:tc>
          <w:tcPr>
            <w:tcW w:w="0" w:type="auto"/>
          </w:tcPr>
          <w:p w14:paraId="71B4C4F1" w14:textId="05E892CE" w:rsidR="005F74A6" w:rsidRPr="003E3DA1" w:rsidRDefault="005F74A6" w:rsidP="005F74A6">
            <w:pPr>
              <w:pStyle w:val="Compact"/>
              <w:rPr>
                <w:rFonts w:cstheme="minorHAnsi"/>
                <w:sz w:val="20"/>
                <w:szCs w:val="20"/>
              </w:rPr>
            </w:pPr>
            <w:r w:rsidRPr="003E3DA1">
              <w:rPr>
                <w:rFonts w:cstheme="minorHAnsi"/>
                <w:sz w:val="20"/>
                <w:szCs w:val="20"/>
                <w:lang w:val="fr-FR"/>
              </w:rPr>
              <w:t>ONDA</w:t>
            </w:r>
          </w:p>
        </w:tc>
        <w:tc>
          <w:tcPr>
            <w:tcW w:w="0" w:type="auto"/>
          </w:tcPr>
          <w:p w14:paraId="3EF44577" w14:textId="77777777" w:rsidR="005F74A6" w:rsidRPr="003E3DA1" w:rsidRDefault="005F74A6" w:rsidP="005F74A6">
            <w:pPr>
              <w:pStyle w:val="Compact"/>
              <w:rPr>
                <w:rFonts w:cstheme="minorHAnsi"/>
                <w:sz w:val="20"/>
                <w:szCs w:val="20"/>
              </w:rPr>
            </w:pPr>
            <w:r w:rsidRPr="003E3DA1">
              <w:rPr>
                <w:rFonts w:cstheme="minorHAnsi"/>
                <w:sz w:val="20"/>
                <w:szCs w:val="20"/>
              </w:rPr>
              <w:t>Continue</w:t>
            </w:r>
          </w:p>
        </w:tc>
        <w:tc>
          <w:tcPr>
            <w:tcW w:w="0" w:type="auto"/>
          </w:tcPr>
          <w:p w14:paraId="0C9848CE" w14:textId="06726C4C" w:rsidR="00ED5BF8" w:rsidRPr="00ED5BF8" w:rsidRDefault="00ED5BF8" w:rsidP="00ED5BF8">
            <w:pPr>
              <w:pStyle w:val="Compact"/>
              <w:rPr>
                <w:rFonts w:cstheme="minorHAnsi"/>
                <w:sz w:val="20"/>
                <w:szCs w:val="20"/>
                <w:lang w:val="fr-FR"/>
              </w:rPr>
            </w:pPr>
            <w:r w:rsidRPr="00ED5BF8">
              <w:rPr>
                <w:rFonts w:cstheme="minorHAnsi"/>
                <w:sz w:val="20"/>
                <w:szCs w:val="20"/>
                <w:lang w:val="fr-FR"/>
              </w:rPr>
              <w:t>≈ 20 000 – 25 000 MAD/an</w:t>
            </w:r>
            <w:r>
              <w:rPr>
                <w:rFonts w:cstheme="minorHAnsi"/>
                <w:sz w:val="20"/>
                <w:szCs w:val="20"/>
                <w:lang w:val="fr-FR"/>
              </w:rPr>
              <w:br/>
            </w:r>
            <w:r w:rsidRPr="00ED5BF8">
              <w:rPr>
                <w:rFonts w:cstheme="minorHAnsi"/>
                <w:sz w:val="20"/>
                <w:szCs w:val="20"/>
                <w:lang w:val="fr-FR"/>
              </w:rPr>
              <w:t>Entretien trimestriel (vidange + filtres) pour ~10 engins (400 MAD/unité) ;</w:t>
            </w:r>
          </w:p>
          <w:p w14:paraId="3C19C012" w14:textId="492DCF55" w:rsidR="005F74A6" w:rsidRPr="003E3DA1" w:rsidRDefault="00ED5BF8" w:rsidP="00ED5BF8">
            <w:pPr>
              <w:pStyle w:val="Compact"/>
              <w:rPr>
                <w:rFonts w:cstheme="minorHAnsi"/>
                <w:sz w:val="20"/>
                <w:szCs w:val="20"/>
                <w:lang w:val="fr-FR"/>
              </w:rPr>
            </w:pPr>
            <w:r w:rsidRPr="00ED5BF8">
              <w:rPr>
                <w:rFonts w:cstheme="minorHAnsi"/>
                <w:sz w:val="20"/>
                <w:szCs w:val="20"/>
                <w:lang w:val="fr-FR"/>
              </w:rPr>
              <w:t>Prime carburant propre (~0,2 MAD/litre) sur 5 000 l/mois.</w:t>
            </w:r>
          </w:p>
        </w:tc>
      </w:tr>
      <w:tr w:rsidR="00ED1374" w:rsidRPr="003E3DA1" w14:paraId="56BBF696" w14:textId="77777777" w:rsidTr="0047151C">
        <w:tc>
          <w:tcPr>
            <w:tcW w:w="1864" w:type="dxa"/>
            <w:vMerge/>
          </w:tcPr>
          <w:p w14:paraId="215820CA" w14:textId="77777777" w:rsidR="005F74A6" w:rsidRPr="003E3DA1" w:rsidRDefault="005F74A6" w:rsidP="005F74A6">
            <w:pPr>
              <w:pStyle w:val="Compact"/>
              <w:rPr>
                <w:rFonts w:cstheme="minorHAnsi"/>
                <w:sz w:val="20"/>
                <w:szCs w:val="20"/>
                <w:lang w:val="fr-FR"/>
              </w:rPr>
            </w:pPr>
          </w:p>
        </w:tc>
        <w:tc>
          <w:tcPr>
            <w:tcW w:w="1515" w:type="dxa"/>
            <w:vMerge/>
          </w:tcPr>
          <w:p w14:paraId="4CEEB45B" w14:textId="622D7DEE" w:rsidR="005F74A6" w:rsidRPr="003E3DA1" w:rsidRDefault="005F74A6" w:rsidP="005F74A6">
            <w:pPr>
              <w:pStyle w:val="Compact"/>
              <w:rPr>
                <w:rFonts w:cstheme="minorHAnsi"/>
                <w:sz w:val="20"/>
                <w:szCs w:val="20"/>
                <w:lang w:val="fr-FR"/>
              </w:rPr>
            </w:pPr>
          </w:p>
        </w:tc>
        <w:tc>
          <w:tcPr>
            <w:tcW w:w="2664" w:type="dxa"/>
          </w:tcPr>
          <w:p w14:paraId="7C89F221" w14:textId="6F59E4B8" w:rsidR="005F74A6" w:rsidRPr="003E3DA1" w:rsidRDefault="005F74A6" w:rsidP="005F74A6">
            <w:pPr>
              <w:pStyle w:val="Compact"/>
              <w:rPr>
                <w:rFonts w:cstheme="minorHAnsi"/>
                <w:sz w:val="20"/>
                <w:szCs w:val="20"/>
                <w:lang w:val="fr-FR"/>
              </w:rPr>
            </w:pPr>
            <w:r w:rsidRPr="003E3DA1">
              <w:rPr>
                <w:rFonts w:cstheme="minorHAnsi"/>
                <w:sz w:val="20"/>
                <w:szCs w:val="20"/>
                <w:lang w:val="fr-FR"/>
              </w:rPr>
              <w:t>Réaliser des campagnes de mesure annuelles et ajuster les procédures en cas de dépassement.</w:t>
            </w:r>
          </w:p>
        </w:tc>
        <w:tc>
          <w:tcPr>
            <w:tcW w:w="0" w:type="auto"/>
          </w:tcPr>
          <w:p w14:paraId="531ACB7B" w14:textId="77777777" w:rsidR="005F74A6" w:rsidRPr="003E3DA1" w:rsidRDefault="005F74A6" w:rsidP="005F74A6">
            <w:pPr>
              <w:pStyle w:val="Compact"/>
              <w:rPr>
                <w:rFonts w:cstheme="minorHAnsi"/>
                <w:sz w:val="20"/>
                <w:szCs w:val="20"/>
                <w:lang w:val="fr-FR"/>
              </w:rPr>
            </w:pPr>
            <w:r w:rsidRPr="003E3DA1">
              <w:rPr>
                <w:rFonts w:cstheme="minorHAnsi"/>
                <w:sz w:val="20"/>
                <w:szCs w:val="20"/>
                <w:lang w:val="fr-FR"/>
              </w:rPr>
              <w:t>Nombre de campagnes / dépassements corrigés</w:t>
            </w:r>
          </w:p>
        </w:tc>
        <w:tc>
          <w:tcPr>
            <w:tcW w:w="0" w:type="auto"/>
          </w:tcPr>
          <w:p w14:paraId="45FD1250" w14:textId="5B1ADA33" w:rsidR="005F74A6" w:rsidRPr="003E3DA1" w:rsidRDefault="005F74A6" w:rsidP="005F74A6">
            <w:pPr>
              <w:pStyle w:val="Compact"/>
              <w:rPr>
                <w:rFonts w:cstheme="minorHAnsi"/>
                <w:sz w:val="20"/>
                <w:szCs w:val="20"/>
              </w:rPr>
            </w:pPr>
            <w:r w:rsidRPr="003E3DA1">
              <w:rPr>
                <w:rFonts w:cstheme="minorHAnsi"/>
                <w:sz w:val="20"/>
                <w:szCs w:val="20"/>
              </w:rPr>
              <w:t>ONDA / exploitant</w:t>
            </w:r>
          </w:p>
        </w:tc>
        <w:tc>
          <w:tcPr>
            <w:tcW w:w="0" w:type="auto"/>
          </w:tcPr>
          <w:p w14:paraId="18B45EBB" w14:textId="6DDBCD29" w:rsidR="005F74A6" w:rsidRPr="003E3DA1" w:rsidRDefault="005F74A6" w:rsidP="005F74A6">
            <w:pPr>
              <w:pStyle w:val="Compact"/>
              <w:rPr>
                <w:rFonts w:cstheme="minorHAnsi"/>
                <w:sz w:val="20"/>
                <w:szCs w:val="20"/>
              </w:rPr>
            </w:pPr>
            <w:r w:rsidRPr="003E3DA1">
              <w:rPr>
                <w:rFonts w:cstheme="minorHAnsi"/>
                <w:sz w:val="20"/>
                <w:szCs w:val="20"/>
                <w:lang w:val="fr-FR"/>
              </w:rPr>
              <w:t>ONDA</w:t>
            </w:r>
          </w:p>
        </w:tc>
        <w:tc>
          <w:tcPr>
            <w:tcW w:w="0" w:type="auto"/>
          </w:tcPr>
          <w:p w14:paraId="5AA2F357" w14:textId="7D6DF9D3" w:rsidR="005F74A6" w:rsidRPr="003E3DA1" w:rsidRDefault="005F74A6" w:rsidP="005F74A6">
            <w:pPr>
              <w:pStyle w:val="Compact"/>
              <w:rPr>
                <w:rFonts w:cstheme="minorHAnsi"/>
                <w:sz w:val="20"/>
                <w:szCs w:val="20"/>
              </w:rPr>
            </w:pPr>
            <w:r w:rsidRPr="003E3DA1">
              <w:rPr>
                <w:rFonts w:cstheme="minorHAnsi"/>
                <w:sz w:val="20"/>
                <w:szCs w:val="20"/>
                <w:lang w:val="fr-FR"/>
              </w:rPr>
              <w:t>ONDA</w:t>
            </w:r>
          </w:p>
        </w:tc>
        <w:tc>
          <w:tcPr>
            <w:tcW w:w="0" w:type="auto"/>
          </w:tcPr>
          <w:p w14:paraId="385E2E6B" w14:textId="0190BE4F" w:rsidR="005F74A6" w:rsidRPr="003E3DA1" w:rsidRDefault="00537092" w:rsidP="005F74A6">
            <w:pPr>
              <w:pStyle w:val="Compact"/>
              <w:rPr>
                <w:rFonts w:cstheme="minorHAnsi"/>
                <w:sz w:val="20"/>
                <w:szCs w:val="20"/>
              </w:rPr>
            </w:pPr>
            <w:r>
              <w:rPr>
                <w:rFonts w:cstheme="minorHAnsi"/>
                <w:sz w:val="20"/>
                <w:szCs w:val="20"/>
              </w:rPr>
              <w:t>1</w:t>
            </w:r>
            <w:r w:rsidR="005F74A6" w:rsidRPr="003E3DA1">
              <w:rPr>
                <w:rFonts w:cstheme="minorHAnsi"/>
                <w:sz w:val="20"/>
                <w:szCs w:val="20"/>
              </w:rPr>
              <w:t xml:space="preserve"> fois / an</w:t>
            </w:r>
          </w:p>
        </w:tc>
        <w:tc>
          <w:tcPr>
            <w:tcW w:w="0" w:type="auto"/>
          </w:tcPr>
          <w:p w14:paraId="1027823C" w14:textId="6EB146DF" w:rsidR="005F74A6" w:rsidRPr="003E3DA1" w:rsidRDefault="00ED5BF8" w:rsidP="005F74A6">
            <w:pPr>
              <w:pStyle w:val="Compact"/>
              <w:rPr>
                <w:rFonts w:cstheme="minorHAnsi"/>
                <w:sz w:val="20"/>
                <w:szCs w:val="20"/>
                <w:lang w:val="fr-FR"/>
              </w:rPr>
            </w:pPr>
            <w:r>
              <w:rPr>
                <w:rFonts w:cstheme="minorHAnsi"/>
                <w:sz w:val="20"/>
                <w:szCs w:val="20"/>
                <w:lang w:val="fr-FR"/>
              </w:rPr>
              <w:t>10000 MAD/Campagne/an</w:t>
            </w:r>
            <w:r w:rsidR="00E835C1">
              <w:rPr>
                <w:rFonts w:cstheme="minorHAnsi"/>
                <w:sz w:val="20"/>
                <w:szCs w:val="20"/>
                <w:lang w:val="fr-FR"/>
              </w:rPr>
              <w:t xml:space="preserve"> - M</w:t>
            </w:r>
            <w:r w:rsidR="00E835C1" w:rsidRPr="00E835C1">
              <w:rPr>
                <w:rFonts w:cstheme="minorHAnsi"/>
                <w:sz w:val="20"/>
                <w:szCs w:val="20"/>
                <w:lang w:val="fr-FR"/>
              </w:rPr>
              <w:t>esure sur 24 h et rapport analytique.</w:t>
            </w:r>
          </w:p>
        </w:tc>
      </w:tr>
      <w:tr w:rsidR="00ED1374" w:rsidRPr="003E3DA1" w14:paraId="5181D8FA" w14:textId="77777777" w:rsidTr="0047151C">
        <w:tc>
          <w:tcPr>
            <w:tcW w:w="1864" w:type="dxa"/>
            <w:vMerge w:val="restart"/>
          </w:tcPr>
          <w:p w14:paraId="657E97C7" w14:textId="77777777" w:rsidR="005F74A6" w:rsidRPr="003E3DA1" w:rsidRDefault="005F74A6" w:rsidP="005F74A6">
            <w:pPr>
              <w:pStyle w:val="Compact"/>
              <w:rPr>
                <w:rFonts w:cstheme="minorHAnsi"/>
                <w:sz w:val="20"/>
                <w:szCs w:val="20"/>
                <w:lang w:val="fr-FR"/>
              </w:rPr>
            </w:pPr>
            <w:r w:rsidRPr="003E3DA1">
              <w:rPr>
                <w:rFonts w:cstheme="minorHAnsi"/>
                <w:sz w:val="20"/>
                <w:szCs w:val="20"/>
                <w:lang w:val="fr-FR"/>
              </w:rPr>
              <w:t>Re-suspension de poussières (PM₁₀, PM₂.₅)</w:t>
            </w:r>
          </w:p>
        </w:tc>
        <w:tc>
          <w:tcPr>
            <w:tcW w:w="1515" w:type="dxa"/>
          </w:tcPr>
          <w:p w14:paraId="44918AF4" w14:textId="77777777" w:rsidR="005F74A6" w:rsidRPr="003E3DA1" w:rsidRDefault="005F74A6" w:rsidP="005F74A6">
            <w:pPr>
              <w:pStyle w:val="Compact"/>
              <w:rPr>
                <w:rFonts w:cstheme="minorHAnsi"/>
                <w:sz w:val="20"/>
                <w:szCs w:val="20"/>
              </w:rPr>
            </w:pPr>
            <w:r w:rsidRPr="003E3DA1">
              <w:rPr>
                <w:rFonts w:cstheme="minorHAnsi"/>
                <w:sz w:val="20"/>
                <w:szCs w:val="20"/>
              </w:rPr>
              <w:t>Éviter</w:t>
            </w:r>
          </w:p>
        </w:tc>
        <w:tc>
          <w:tcPr>
            <w:tcW w:w="2664" w:type="dxa"/>
          </w:tcPr>
          <w:p w14:paraId="1E8C8E6E" w14:textId="77777777" w:rsidR="005F74A6" w:rsidRPr="003E3DA1" w:rsidRDefault="005F74A6" w:rsidP="005F74A6">
            <w:pPr>
              <w:pStyle w:val="Compact"/>
              <w:rPr>
                <w:rFonts w:cstheme="minorHAnsi"/>
                <w:sz w:val="20"/>
                <w:szCs w:val="20"/>
                <w:lang w:val="fr-FR"/>
              </w:rPr>
            </w:pPr>
            <w:r w:rsidRPr="003E3DA1">
              <w:rPr>
                <w:rFonts w:cstheme="minorHAnsi"/>
                <w:sz w:val="20"/>
                <w:szCs w:val="20"/>
                <w:lang w:val="fr-FR"/>
              </w:rPr>
              <w:t>Utiliser des matériaux stabilisés et revêtus pour les voies de circulation et parkings avions.</w:t>
            </w:r>
          </w:p>
        </w:tc>
        <w:tc>
          <w:tcPr>
            <w:tcW w:w="0" w:type="auto"/>
          </w:tcPr>
          <w:p w14:paraId="1140D8FF" w14:textId="77777777" w:rsidR="005F74A6" w:rsidRPr="003E3DA1" w:rsidRDefault="005F74A6" w:rsidP="005F74A6">
            <w:pPr>
              <w:pStyle w:val="Compact"/>
              <w:rPr>
                <w:rFonts w:cstheme="minorHAnsi"/>
                <w:sz w:val="20"/>
                <w:szCs w:val="20"/>
              </w:rPr>
            </w:pPr>
            <w:r w:rsidRPr="003E3DA1">
              <w:rPr>
                <w:rFonts w:cstheme="minorHAnsi"/>
                <w:sz w:val="20"/>
                <w:szCs w:val="20"/>
              </w:rPr>
              <w:t>% de surface stabilisée</w:t>
            </w:r>
          </w:p>
        </w:tc>
        <w:tc>
          <w:tcPr>
            <w:tcW w:w="0" w:type="auto"/>
          </w:tcPr>
          <w:p w14:paraId="7FD1699A" w14:textId="7D2D2669" w:rsidR="005F74A6" w:rsidRPr="003E3DA1" w:rsidRDefault="005F74A6" w:rsidP="005F74A6">
            <w:pPr>
              <w:pStyle w:val="Compact"/>
              <w:rPr>
                <w:rFonts w:cstheme="minorHAnsi"/>
                <w:sz w:val="20"/>
                <w:szCs w:val="20"/>
              </w:rPr>
            </w:pPr>
            <w:r w:rsidRPr="003E3DA1">
              <w:rPr>
                <w:rFonts w:cstheme="minorHAnsi"/>
                <w:sz w:val="20"/>
                <w:szCs w:val="20"/>
              </w:rPr>
              <w:t>ONDA / exploitant</w:t>
            </w:r>
          </w:p>
        </w:tc>
        <w:tc>
          <w:tcPr>
            <w:tcW w:w="0" w:type="auto"/>
          </w:tcPr>
          <w:p w14:paraId="1FCD3747" w14:textId="2E2443E8" w:rsidR="005F74A6" w:rsidRPr="003E3DA1" w:rsidRDefault="005F74A6" w:rsidP="005F74A6">
            <w:pPr>
              <w:pStyle w:val="Compact"/>
              <w:rPr>
                <w:rFonts w:cstheme="minorHAnsi"/>
                <w:sz w:val="20"/>
                <w:szCs w:val="20"/>
              </w:rPr>
            </w:pPr>
            <w:r w:rsidRPr="003E3DA1">
              <w:rPr>
                <w:rFonts w:cstheme="minorHAnsi"/>
                <w:sz w:val="20"/>
                <w:szCs w:val="20"/>
                <w:lang w:val="fr-FR"/>
              </w:rPr>
              <w:t>ONDA</w:t>
            </w:r>
          </w:p>
        </w:tc>
        <w:tc>
          <w:tcPr>
            <w:tcW w:w="0" w:type="auto"/>
          </w:tcPr>
          <w:p w14:paraId="1ECE5BDD" w14:textId="00191747" w:rsidR="005F74A6" w:rsidRPr="003E3DA1" w:rsidRDefault="005F74A6" w:rsidP="005F74A6">
            <w:pPr>
              <w:pStyle w:val="Compact"/>
              <w:rPr>
                <w:rFonts w:cstheme="minorHAnsi"/>
                <w:sz w:val="20"/>
                <w:szCs w:val="20"/>
              </w:rPr>
            </w:pPr>
            <w:r w:rsidRPr="003E3DA1">
              <w:rPr>
                <w:rFonts w:cstheme="minorHAnsi"/>
                <w:sz w:val="20"/>
                <w:szCs w:val="20"/>
                <w:lang w:val="fr-FR"/>
              </w:rPr>
              <w:t>ONDA</w:t>
            </w:r>
          </w:p>
        </w:tc>
        <w:tc>
          <w:tcPr>
            <w:tcW w:w="0" w:type="auto"/>
          </w:tcPr>
          <w:p w14:paraId="6DA6E22F" w14:textId="77777777" w:rsidR="005F74A6" w:rsidRPr="003E3DA1" w:rsidRDefault="005F74A6" w:rsidP="005F74A6">
            <w:pPr>
              <w:pStyle w:val="Compact"/>
              <w:rPr>
                <w:rFonts w:cstheme="minorHAnsi"/>
                <w:sz w:val="20"/>
                <w:szCs w:val="20"/>
              </w:rPr>
            </w:pPr>
            <w:r w:rsidRPr="003E3DA1">
              <w:rPr>
                <w:rFonts w:cstheme="minorHAnsi"/>
                <w:sz w:val="20"/>
                <w:szCs w:val="20"/>
              </w:rPr>
              <w:t>Conception et exécution</w:t>
            </w:r>
          </w:p>
        </w:tc>
        <w:tc>
          <w:tcPr>
            <w:tcW w:w="0" w:type="auto"/>
          </w:tcPr>
          <w:p w14:paraId="3640080E" w14:textId="21F8B9BF" w:rsidR="005F74A6" w:rsidRPr="003E3DA1" w:rsidRDefault="00A16917" w:rsidP="005F74A6">
            <w:pPr>
              <w:pStyle w:val="Compact"/>
              <w:rPr>
                <w:rFonts w:cstheme="minorHAnsi"/>
                <w:sz w:val="20"/>
                <w:szCs w:val="20"/>
                <w:lang w:val="fr-FR"/>
              </w:rPr>
            </w:pPr>
            <w:r w:rsidRPr="00A16917">
              <w:rPr>
                <w:rFonts w:cstheme="minorHAnsi"/>
                <w:sz w:val="20"/>
                <w:szCs w:val="20"/>
                <w:lang w:val="fr-FR"/>
              </w:rPr>
              <w:t>≈ 22 500 000 MAD HT (investissement initial  intégré au lot génie civil)</w:t>
            </w:r>
            <w:r>
              <w:rPr>
                <w:rFonts w:cstheme="minorHAnsi"/>
                <w:sz w:val="20"/>
                <w:szCs w:val="20"/>
                <w:lang w:val="fr-FR"/>
              </w:rPr>
              <w:t xml:space="preserve"> - </w:t>
            </w:r>
            <w:r w:rsidRPr="00A16917">
              <w:rPr>
                <w:rFonts w:cstheme="minorHAnsi"/>
                <w:sz w:val="20"/>
                <w:szCs w:val="20"/>
                <w:lang w:val="fr-FR"/>
              </w:rPr>
              <w:t>Estimation fondée sur un coût moyen de 500 MAD/m²</w:t>
            </w:r>
          </w:p>
        </w:tc>
      </w:tr>
      <w:tr w:rsidR="00ED1374" w:rsidRPr="003E3DA1" w14:paraId="405D4FD5" w14:textId="77777777" w:rsidTr="0047151C">
        <w:tc>
          <w:tcPr>
            <w:tcW w:w="1864" w:type="dxa"/>
            <w:vMerge/>
          </w:tcPr>
          <w:p w14:paraId="7D6DCB21" w14:textId="77777777" w:rsidR="005F74A6" w:rsidRPr="003E3DA1" w:rsidRDefault="005F74A6" w:rsidP="005F74A6">
            <w:pPr>
              <w:pStyle w:val="Compact"/>
              <w:rPr>
                <w:rFonts w:cstheme="minorHAnsi"/>
                <w:sz w:val="20"/>
                <w:szCs w:val="20"/>
                <w:lang w:val="fr-FR"/>
              </w:rPr>
            </w:pPr>
          </w:p>
        </w:tc>
        <w:tc>
          <w:tcPr>
            <w:tcW w:w="1515" w:type="dxa"/>
            <w:vMerge w:val="restart"/>
          </w:tcPr>
          <w:p w14:paraId="7816A8CC" w14:textId="77777777" w:rsidR="005F74A6" w:rsidRPr="003E3DA1" w:rsidRDefault="005F74A6" w:rsidP="005F74A6">
            <w:pPr>
              <w:pStyle w:val="Compact"/>
              <w:rPr>
                <w:rFonts w:cstheme="minorHAnsi"/>
                <w:sz w:val="20"/>
                <w:szCs w:val="20"/>
              </w:rPr>
            </w:pPr>
            <w:r w:rsidRPr="003E3DA1">
              <w:rPr>
                <w:rFonts w:cstheme="minorHAnsi"/>
                <w:sz w:val="20"/>
                <w:szCs w:val="20"/>
              </w:rPr>
              <w:t>Réduire</w:t>
            </w:r>
          </w:p>
        </w:tc>
        <w:tc>
          <w:tcPr>
            <w:tcW w:w="2664" w:type="dxa"/>
          </w:tcPr>
          <w:p w14:paraId="18568509" w14:textId="77777777" w:rsidR="005F74A6" w:rsidRPr="003E3DA1" w:rsidRDefault="005F74A6" w:rsidP="005F74A6">
            <w:pPr>
              <w:pStyle w:val="Compact"/>
              <w:rPr>
                <w:rFonts w:cstheme="minorHAnsi"/>
                <w:sz w:val="20"/>
                <w:szCs w:val="20"/>
                <w:lang w:val="fr-FR"/>
              </w:rPr>
            </w:pPr>
            <w:r w:rsidRPr="003E3DA1">
              <w:rPr>
                <w:rFonts w:cstheme="minorHAnsi"/>
                <w:sz w:val="20"/>
                <w:szCs w:val="20"/>
                <w:lang w:val="fr-FR"/>
              </w:rPr>
              <w:t>Nettoyage humide régulier des aires de trafic et voies de circulation.</w:t>
            </w:r>
          </w:p>
        </w:tc>
        <w:tc>
          <w:tcPr>
            <w:tcW w:w="0" w:type="auto"/>
          </w:tcPr>
          <w:p w14:paraId="4A3A658A" w14:textId="77777777" w:rsidR="005F74A6" w:rsidRPr="003E3DA1" w:rsidRDefault="005F74A6" w:rsidP="005F74A6">
            <w:pPr>
              <w:pStyle w:val="Compact"/>
              <w:rPr>
                <w:rFonts w:cstheme="minorHAnsi"/>
                <w:sz w:val="20"/>
                <w:szCs w:val="20"/>
              </w:rPr>
            </w:pPr>
            <w:r w:rsidRPr="003E3DA1">
              <w:rPr>
                <w:rFonts w:cstheme="minorHAnsi"/>
                <w:sz w:val="20"/>
                <w:szCs w:val="20"/>
              </w:rPr>
              <w:t>Fréquence de nettoyage / mois</w:t>
            </w:r>
          </w:p>
        </w:tc>
        <w:tc>
          <w:tcPr>
            <w:tcW w:w="0" w:type="auto"/>
          </w:tcPr>
          <w:p w14:paraId="3D562C9C" w14:textId="30BC8107" w:rsidR="005F74A6" w:rsidRPr="003E3DA1" w:rsidRDefault="005F74A6" w:rsidP="005F74A6">
            <w:pPr>
              <w:pStyle w:val="Compact"/>
              <w:rPr>
                <w:rFonts w:cstheme="minorHAnsi"/>
                <w:sz w:val="20"/>
                <w:szCs w:val="20"/>
              </w:rPr>
            </w:pPr>
            <w:r w:rsidRPr="003E3DA1">
              <w:rPr>
                <w:rFonts w:cstheme="minorHAnsi"/>
                <w:sz w:val="20"/>
                <w:szCs w:val="20"/>
              </w:rPr>
              <w:t>ONDA / exploitant</w:t>
            </w:r>
          </w:p>
        </w:tc>
        <w:tc>
          <w:tcPr>
            <w:tcW w:w="0" w:type="auto"/>
          </w:tcPr>
          <w:p w14:paraId="2DFA2F78" w14:textId="07BEEF16" w:rsidR="005F74A6" w:rsidRPr="003E3DA1" w:rsidRDefault="005F74A6" w:rsidP="005F74A6">
            <w:pPr>
              <w:pStyle w:val="Compact"/>
              <w:rPr>
                <w:rFonts w:cstheme="minorHAnsi"/>
                <w:sz w:val="20"/>
                <w:szCs w:val="20"/>
              </w:rPr>
            </w:pPr>
            <w:r w:rsidRPr="003E3DA1">
              <w:rPr>
                <w:rFonts w:cstheme="minorHAnsi"/>
                <w:sz w:val="20"/>
                <w:szCs w:val="20"/>
                <w:lang w:val="fr-FR"/>
              </w:rPr>
              <w:t>ONDA</w:t>
            </w:r>
          </w:p>
        </w:tc>
        <w:tc>
          <w:tcPr>
            <w:tcW w:w="0" w:type="auto"/>
          </w:tcPr>
          <w:p w14:paraId="71FBDD6A" w14:textId="2DAB0169" w:rsidR="005F74A6" w:rsidRPr="003E3DA1" w:rsidRDefault="005F74A6" w:rsidP="005F74A6">
            <w:pPr>
              <w:pStyle w:val="Compact"/>
              <w:rPr>
                <w:rFonts w:cstheme="minorHAnsi"/>
                <w:sz w:val="20"/>
                <w:szCs w:val="20"/>
              </w:rPr>
            </w:pPr>
            <w:r w:rsidRPr="003E3DA1">
              <w:rPr>
                <w:rFonts w:cstheme="minorHAnsi"/>
                <w:sz w:val="20"/>
                <w:szCs w:val="20"/>
                <w:lang w:val="fr-FR"/>
              </w:rPr>
              <w:t>ONDA</w:t>
            </w:r>
          </w:p>
        </w:tc>
        <w:tc>
          <w:tcPr>
            <w:tcW w:w="0" w:type="auto"/>
          </w:tcPr>
          <w:p w14:paraId="666A2F01" w14:textId="77777777" w:rsidR="005F74A6" w:rsidRPr="003E3DA1" w:rsidRDefault="005F74A6" w:rsidP="005F74A6">
            <w:pPr>
              <w:pStyle w:val="Compact"/>
              <w:rPr>
                <w:rFonts w:cstheme="minorHAnsi"/>
                <w:sz w:val="20"/>
                <w:szCs w:val="20"/>
              </w:rPr>
            </w:pPr>
            <w:r w:rsidRPr="003E3DA1">
              <w:rPr>
                <w:rFonts w:cstheme="minorHAnsi"/>
                <w:sz w:val="20"/>
                <w:szCs w:val="20"/>
              </w:rPr>
              <w:t>Continue</w:t>
            </w:r>
          </w:p>
        </w:tc>
        <w:tc>
          <w:tcPr>
            <w:tcW w:w="0" w:type="auto"/>
          </w:tcPr>
          <w:p w14:paraId="129A312D" w14:textId="5DFA9B0B" w:rsidR="005F74A6" w:rsidRPr="003E3DA1" w:rsidRDefault="00B20880" w:rsidP="005F74A6">
            <w:pPr>
              <w:pStyle w:val="Compact"/>
              <w:rPr>
                <w:rFonts w:cstheme="minorHAnsi"/>
                <w:sz w:val="20"/>
                <w:szCs w:val="20"/>
                <w:lang w:val="fr-FR"/>
              </w:rPr>
            </w:pPr>
            <w:r w:rsidRPr="00B20880">
              <w:rPr>
                <w:rFonts w:cstheme="minorHAnsi"/>
                <w:sz w:val="20"/>
                <w:szCs w:val="20"/>
                <w:lang w:val="fr-FR"/>
              </w:rPr>
              <w:t xml:space="preserve">≈ </w:t>
            </w:r>
            <w:r>
              <w:rPr>
                <w:rFonts w:cstheme="minorHAnsi"/>
                <w:sz w:val="20"/>
                <w:szCs w:val="20"/>
                <w:lang w:val="fr-FR"/>
              </w:rPr>
              <w:t>2</w:t>
            </w:r>
            <w:r w:rsidRPr="00B20880">
              <w:rPr>
                <w:rFonts w:cstheme="minorHAnsi"/>
                <w:sz w:val="20"/>
                <w:szCs w:val="20"/>
                <w:lang w:val="fr-FR"/>
              </w:rPr>
              <w:t>0 000 MAD/mois</w:t>
            </w:r>
            <w:r w:rsidR="00A471E1">
              <w:rPr>
                <w:rFonts w:cstheme="minorHAnsi"/>
                <w:sz w:val="20"/>
                <w:szCs w:val="20"/>
                <w:lang w:val="fr-FR"/>
              </w:rPr>
              <w:br/>
            </w:r>
            <w:r w:rsidR="00A471E1" w:rsidRPr="00A471E1">
              <w:rPr>
                <w:rFonts w:cstheme="minorHAnsi"/>
                <w:sz w:val="20"/>
                <w:szCs w:val="20"/>
                <w:lang w:val="fr-FR"/>
              </w:rPr>
              <w:t>Le coût est basé sur un tarif moyen de 1,7 MAD/m²/intervention, incluant main-d’œuvre, carburant, eau et gestion des eaux grises</w:t>
            </w:r>
          </w:p>
        </w:tc>
      </w:tr>
      <w:tr w:rsidR="00ED1374" w:rsidRPr="003E3DA1" w14:paraId="256904EE" w14:textId="77777777" w:rsidTr="0047151C">
        <w:tc>
          <w:tcPr>
            <w:tcW w:w="1864" w:type="dxa"/>
            <w:vMerge/>
          </w:tcPr>
          <w:p w14:paraId="56CC78F7" w14:textId="77777777" w:rsidR="005F74A6" w:rsidRPr="003E3DA1" w:rsidRDefault="005F74A6" w:rsidP="005F74A6">
            <w:pPr>
              <w:pStyle w:val="Compact"/>
              <w:rPr>
                <w:rFonts w:cstheme="minorHAnsi"/>
                <w:sz w:val="20"/>
                <w:szCs w:val="20"/>
                <w:lang w:val="fr-FR"/>
              </w:rPr>
            </w:pPr>
          </w:p>
        </w:tc>
        <w:tc>
          <w:tcPr>
            <w:tcW w:w="1515" w:type="dxa"/>
            <w:vMerge/>
          </w:tcPr>
          <w:p w14:paraId="7D498CB8" w14:textId="16756FF2" w:rsidR="005F74A6" w:rsidRPr="003E3DA1" w:rsidRDefault="005F74A6" w:rsidP="005F74A6">
            <w:pPr>
              <w:pStyle w:val="Compact"/>
              <w:rPr>
                <w:rFonts w:cstheme="minorHAnsi"/>
                <w:sz w:val="20"/>
                <w:szCs w:val="20"/>
                <w:lang w:val="fr-FR"/>
              </w:rPr>
            </w:pPr>
          </w:p>
        </w:tc>
        <w:tc>
          <w:tcPr>
            <w:tcW w:w="2664" w:type="dxa"/>
          </w:tcPr>
          <w:p w14:paraId="09A86BC1" w14:textId="77777777" w:rsidR="005F74A6" w:rsidRPr="003E3DA1" w:rsidRDefault="005F74A6" w:rsidP="005F74A6">
            <w:pPr>
              <w:pStyle w:val="Compact"/>
              <w:rPr>
                <w:rFonts w:cstheme="minorHAnsi"/>
                <w:sz w:val="20"/>
                <w:szCs w:val="20"/>
                <w:lang w:val="fr-FR"/>
              </w:rPr>
            </w:pPr>
            <w:r w:rsidRPr="003E3DA1">
              <w:rPr>
                <w:rFonts w:cstheme="minorHAnsi"/>
                <w:sz w:val="20"/>
                <w:szCs w:val="20"/>
                <w:lang w:val="fr-FR"/>
              </w:rPr>
              <w:t>Limiter la vitesse de circulation interne à ≤ 30 km/h.</w:t>
            </w:r>
          </w:p>
        </w:tc>
        <w:tc>
          <w:tcPr>
            <w:tcW w:w="0" w:type="auto"/>
          </w:tcPr>
          <w:p w14:paraId="1D3A76CD" w14:textId="77777777" w:rsidR="005F74A6" w:rsidRPr="003E3DA1" w:rsidRDefault="005F74A6" w:rsidP="005F74A6">
            <w:pPr>
              <w:pStyle w:val="Compact"/>
              <w:rPr>
                <w:rFonts w:cstheme="minorHAnsi"/>
                <w:sz w:val="20"/>
                <w:szCs w:val="20"/>
              </w:rPr>
            </w:pPr>
            <w:r w:rsidRPr="003E3DA1">
              <w:rPr>
                <w:rFonts w:cstheme="minorHAnsi"/>
                <w:sz w:val="20"/>
                <w:szCs w:val="20"/>
              </w:rPr>
              <w:t>Respect de la vitesse (%)</w:t>
            </w:r>
          </w:p>
        </w:tc>
        <w:tc>
          <w:tcPr>
            <w:tcW w:w="0" w:type="auto"/>
          </w:tcPr>
          <w:p w14:paraId="66EC45FA" w14:textId="2B87CF6D" w:rsidR="005F74A6" w:rsidRPr="003E3DA1" w:rsidRDefault="005F74A6" w:rsidP="005F74A6">
            <w:pPr>
              <w:pStyle w:val="Compact"/>
              <w:rPr>
                <w:rFonts w:cstheme="minorHAnsi"/>
                <w:sz w:val="20"/>
                <w:szCs w:val="20"/>
              </w:rPr>
            </w:pPr>
            <w:r w:rsidRPr="003E3DA1">
              <w:rPr>
                <w:rFonts w:cstheme="minorHAnsi"/>
                <w:sz w:val="20"/>
                <w:szCs w:val="20"/>
              </w:rPr>
              <w:t>ONDA / exploitant</w:t>
            </w:r>
          </w:p>
        </w:tc>
        <w:tc>
          <w:tcPr>
            <w:tcW w:w="0" w:type="auto"/>
          </w:tcPr>
          <w:p w14:paraId="114567CE" w14:textId="2D6428E9" w:rsidR="005F74A6" w:rsidRPr="003E3DA1" w:rsidRDefault="005F74A6" w:rsidP="005F74A6">
            <w:pPr>
              <w:pStyle w:val="Compact"/>
              <w:rPr>
                <w:rFonts w:cstheme="minorHAnsi"/>
                <w:sz w:val="20"/>
                <w:szCs w:val="20"/>
              </w:rPr>
            </w:pPr>
            <w:r w:rsidRPr="003E3DA1">
              <w:rPr>
                <w:rFonts w:cstheme="minorHAnsi"/>
                <w:sz w:val="20"/>
                <w:szCs w:val="20"/>
                <w:lang w:val="fr-FR"/>
              </w:rPr>
              <w:t>ONDA</w:t>
            </w:r>
          </w:p>
        </w:tc>
        <w:tc>
          <w:tcPr>
            <w:tcW w:w="0" w:type="auto"/>
          </w:tcPr>
          <w:p w14:paraId="2EAC1777" w14:textId="0C68C296" w:rsidR="005F74A6" w:rsidRPr="003E3DA1" w:rsidRDefault="005F74A6" w:rsidP="005F74A6">
            <w:pPr>
              <w:pStyle w:val="Compact"/>
              <w:rPr>
                <w:rFonts w:cstheme="minorHAnsi"/>
                <w:sz w:val="20"/>
                <w:szCs w:val="20"/>
              </w:rPr>
            </w:pPr>
            <w:r w:rsidRPr="003E3DA1">
              <w:rPr>
                <w:rFonts w:cstheme="minorHAnsi"/>
                <w:sz w:val="20"/>
                <w:szCs w:val="20"/>
                <w:lang w:val="fr-FR"/>
              </w:rPr>
              <w:t>ONDA</w:t>
            </w:r>
          </w:p>
        </w:tc>
        <w:tc>
          <w:tcPr>
            <w:tcW w:w="0" w:type="auto"/>
          </w:tcPr>
          <w:p w14:paraId="1B0CEA9A" w14:textId="77777777" w:rsidR="005F74A6" w:rsidRPr="003E3DA1" w:rsidRDefault="005F74A6" w:rsidP="005F74A6">
            <w:pPr>
              <w:pStyle w:val="Compact"/>
              <w:rPr>
                <w:rFonts w:cstheme="minorHAnsi"/>
                <w:sz w:val="20"/>
                <w:szCs w:val="20"/>
              </w:rPr>
            </w:pPr>
            <w:r w:rsidRPr="003E3DA1">
              <w:rPr>
                <w:rFonts w:cstheme="minorHAnsi"/>
                <w:sz w:val="20"/>
                <w:szCs w:val="20"/>
              </w:rPr>
              <w:t>Continue</w:t>
            </w:r>
          </w:p>
        </w:tc>
        <w:tc>
          <w:tcPr>
            <w:tcW w:w="0" w:type="auto"/>
          </w:tcPr>
          <w:p w14:paraId="5990DC87" w14:textId="721AD9D9" w:rsidR="005F74A6" w:rsidRPr="00D60FC9" w:rsidRDefault="00A471E1" w:rsidP="005F74A6">
            <w:pPr>
              <w:pStyle w:val="Compact"/>
              <w:rPr>
                <w:rFonts w:cstheme="minorHAnsi"/>
                <w:sz w:val="20"/>
                <w:szCs w:val="20"/>
                <w:lang w:val="fr-FR"/>
              </w:rPr>
            </w:pPr>
            <w:r w:rsidRPr="00D60FC9">
              <w:rPr>
                <w:rFonts w:cstheme="minorHAnsi"/>
                <w:sz w:val="20"/>
                <w:szCs w:val="20"/>
                <w:lang w:val="fr-FR"/>
              </w:rPr>
              <w:t>≈ 7 000 – 8 000 MAD (forfait)</w:t>
            </w:r>
            <w:r w:rsidRPr="00D60FC9">
              <w:rPr>
                <w:rFonts w:cstheme="minorHAnsi"/>
                <w:sz w:val="20"/>
                <w:szCs w:val="20"/>
                <w:lang w:val="fr-FR"/>
              </w:rPr>
              <w:br/>
            </w:r>
            <w:r w:rsidRPr="00A471E1">
              <w:rPr>
                <w:rFonts w:cstheme="minorHAnsi"/>
                <w:sz w:val="20"/>
                <w:szCs w:val="20"/>
                <w:lang w:val="fr-FR"/>
              </w:rPr>
              <w:t>Installation d’une signalisation verticale et horizontale</w:t>
            </w:r>
          </w:p>
        </w:tc>
      </w:tr>
      <w:tr w:rsidR="00ED1374" w:rsidRPr="003E3DA1" w14:paraId="5BEDAAD5" w14:textId="77777777" w:rsidTr="0047151C">
        <w:tc>
          <w:tcPr>
            <w:tcW w:w="1864" w:type="dxa"/>
            <w:vMerge w:val="restart"/>
          </w:tcPr>
          <w:p w14:paraId="02E277F2" w14:textId="77777777" w:rsidR="005F74A6" w:rsidRPr="003E3DA1" w:rsidRDefault="005F74A6" w:rsidP="005F74A6">
            <w:pPr>
              <w:pStyle w:val="Compact"/>
              <w:rPr>
                <w:rFonts w:cstheme="minorHAnsi"/>
                <w:sz w:val="20"/>
                <w:szCs w:val="20"/>
              </w:rPr>
            </w:pPr>
            <w:r w:rsidRPr="003E3DA1">
              <w:rPr>
                <w:rFonts w:cstheme="minorHAnsi"/>
                <w:sz w:val="20"/>
                <w:szCs w:val="20"/>
              </w:rPr>
              <w:lastRenderedPageBreak/>
              <w:t>Émissions d’odeurs et COV</w:t>
            </w:r>
          </w:p>
        </w:tc>
        <w:tc>
          <w:tcPr>
            <w:tcW w:w="1515" w:type="dxa"/>
          </w:tcPr>
          <w:p w14:paraId="45202700" w14:textId="77777777" w:rsidR="005F74A6" w:rsidRPr="003E3DA1" w:rsidRDefault="005F74A6" w:rsidP="005F74A6">
            <w:pPr>
              <w:pStyle w:val="Compact"/>
              <w:rPr>
                <w:rFonts w:cstheme="minorHAnsi"/>
                <w:sz w:val="20"/>
                <w:szCs w:val="20"/>
              </w:rPr>
            </w:pPr>
            <w:r w:rsidRPr="003E3DA1">
              <w:rPr>
                <w:rFonts w:cstheme="minorHAnsi"/>
                <w:sz w:val="20"/>
                <w:szCs w:val="20"/>
              </w:rPr>
              <w:t>Éviter</w:t>
            </w:r>
          </w:p>
        </w:tc>
        <w:tc>
          <w:tcPr>
            <w:tcW w:w="2664" w:type="dxa"/>
          </w:tcPr>
          <w:p w14:paraId="7D850BA8" w14:textId="77777777" w:rsidR="005F74A6" w:rsidRPr="003E3DA1" w:rsidRDefault="005F74A6" w:rsidP="005F74A6">
            <w:pPr>
              <w:pStyle w:val="Compact"/>
              <w:rPr>
                <w:rFonts w:cstheme="minorHAnsi"/>
                <w:sz w:val="20"/>
                <w:szCs w:val="20"/>
                <w:lang w:val="fr-FR"/>
              </w:rPr>
            </w:pPr>
            <w:r w:rsidRPr="003E3DA1">
              <w:rPr>
                <w:rFonts w:cstheme="minorHAnsi"/>
                <w:sz w:val="20"/>
                <w:szCs w:val="20"/>
                <w:lang w:val="fr-FR"/>
              </w:rPr>
              <w:t>Prévoir un stockage et une ventilation adaptés dans les zones de maintenance (EDS, RX, ETD).</w:t>
            </w:r>
          </w:p>
        </w:tc>
        <w:tc>
          <w:tcPr>
            <w:tcW w:w="0" w:type="auto"/>
          </w:tcPr>
          <w:p w14:paraId="741D2902" w14:textId="77777777" w:rsidR="005F74A6" w:rsidRPr="003E3DA1" w:rsidRDefault="005F74A6" w:rsidP="005F74A6">
            <w:pPr>
              <w:pStyle w:val="Compact"/>
              <w:rPr>
                <w:rFonts w:cstheme="minorHAnsi"/>
                <w:sz w:val="20"/>
                <w:szCs w:val="20"/>
              </w:rPr>
            </w:pPr>
            <w:r w:rsidRPr="003E3DA1">
              <w:rPr>
                <w:rFonts w:cstheme="minorHAnsi"/>
                <w:sz w:val="20"/>
                <w:szCs w:val="20"/>
              </w:rPr>
              <w:t>Conformité ventilation (%)</w:t>
            </w:r>
          </w:p>
        </w:tc>
        <w:tc>
          <w:tcPr>
            <w:tcW w:w="0" w:type="auto"/>
          </w:tcPr>
          <w:p w14:paraId="1DBB3108" w14:textId="65F699B2" w:rsidR="005F74A6" w:rsidRPr="003E3DA1" w:rsidRDefault="005F74A6" w:rsidP="005F74A6">
            <w:pPr>
              <w:pStyle w:val="Compact"/>
              <w:rPr>
                <w:rFonts w:cstheme="minorHAnsi"/>
                <w:sz w:val="20"/>
                <w:szCs w:val="20"/>
              </w:rPr>
            </w:pPr>
            <w:r w:rsidRPr="003E3DA1">
              <w:rPr>
                <w:rFonts w:cstheme="minorHAnsi"/>
                <w:sz w:val="20"/>
                <w:szCs w:val="20"/>
              </w:rPr>
              <w:t>ONDA / exploitant</w:t>
            </w:r>
          </w:p>
        </w:tc>
        <w:tc>
          <w:tcPr>
            <w:tcW w:w="0" w:type="auto"/>
          </w:tcPr>
          <w:p w14:paraId="3154CAC3" w14:textId="1712AB17" w:rsidR="005F74A6" w:rsidRPr="003E3DA1" w:rsidRDefault="005F74A6" w:rsidP="005F74A6">
            <w:pPr>
              <w:pStyle w:val="Compact"/>
              <w:rPr>
                <w:rFonts w:cstheme="minorHAnsi"/>
                <w:sz w:val="20"/>
                <w:szCs w:val="20"/>
              </w:rPr>
            </w:pPr>
            <w:r w:rsidRPr="003E3DA1">
              <w:rPr>
                <w:rFonts w:cstheme="minorHAnsi"/>
                <w:sz w:val="20"/>
                <w:szCs w:val="20"/>
                <w:lang w:val="fr-FR"/>
              </w:rPr>
              <w:t>ONDA</w:t>
            </w:r>
          </w:p>
        </w:tc>
        <w:tc>
          <w:tcPr>
            <w:tcW w:w="0" w:type="auto"/>
          </w:tcPr>
          <w:p w14:paraId="1CF35FED" w14:textId="7DD2A851" w:rsidR="005F74A6" w:rsidRPr="003E3DA1" w:rsidRDefault="005F74A6" w:rsidP="005F74A6">
            <w:pPr>
              <w:pStyle w:val="Compact"/>
              <w:rPr>
                <w:rFonts w:cstheme="minorHAnsi"/>
                <w:sz w:val="20"/>
                <w:szCs w:val="20"/>
              </w:rPr>
            </w:pPr>
            <w:r w:rsidRPr="003E3DA1">
              <w:rPr>
                <w:rFonts w:cstheme="minorHAnsi"/>
                <w:sz w:val="20"/>
                <w:szCs w:val="20"/>
                <w:lang w:val="fr-FR"/>
              </w:rPr>
              <w:t>ONDA</w:t>
            </w:r>
          </w:p>
        </w:tc>
        <w:tc>
          <w:tcPr>
            <w:tcW w:w="0" w:type="auto"/>
          </w:tcPr>
          <w:p w14:paraId="3FB3CCB5" w14:textId="77777777" w:rsidR="005F74A6" w:rsidRPr="003E3DA1" w:rsidRDefault="005F74A6" w:rsidP="005F74A6">
            <w:pPr>
              <w:pStyle w:val="Compact"/>
              <w:rPr>
                <w:rFonts w:cstheme="minorHAnsi"/>
                <w:sz w:val="20"/>
                <w:szCs w:val="20"/>
              </w:rPr>
            </w:pPr>
            <w:r w:rsidRPr="003E3DA1">
              <w:rPr>
                <w:rFonts w:cstheme="minorHAnsi"/>
                <w:sz w:val="20"/>
                <w:szCs w:val="20"/>
              </w:rPr>
              <w:t>Dès conception</w:t>
            </w:r>
          </w:p>
        </w:tc>
        <w:tc>
          <w:tcPr>
            <w:tcW w:w="0" w:type="auto"/>
          </w:tcPr>
          <w:p w14:paraId="6FC10BC6" w14:textId="0B244668" w:rsidR="005F74A6" w:rsidRPr="003E3DA1" w:rsidRDefault="00B85192" w:rsidP="005F74A6">
            <w:pPr>
              <w:pStyle w:val="Compact"/>
              <w:rPr>
                <w:rFonts w:cstheme="minorHAnsi"/>
                <w:sz w:val="20"/>
                <w:szCs w:val="20"/>
                <w:lang w:val="fr-FR"/>
              </w:rPr>
            </w:pPr>
            <w:r w:rsidRPr="00B85192">
              <w:rPr>
                <w:rFonts w:cstheme="minorHAnsi"/>
                <w:sz w:val="20"/>
                <w:szCs w:val="20"/>
                <w:lang w:val="fr-FR"/>
              </w:rPr>
              <w:t>≈ 13 000 – 15 000 MAD (forfait unique)</w:t>
            </w:r>
            <w:r>
              <w:rPr>
                <w:rFonts w:cstheme="minorHAnsi"/>
                <w:sz w:val="20"/>
                <w:szCs w:val="20"/>
                <w:lang w:val="fr-FR"/>
              </w:rPr>
              <w:br/>
            </w:r>
            <w:r w:rsidRPr="00B85192">
              <w:rPr>
                <w:rFonts w:cstheme="minorHAnsi"/>
                <w:sz w:val="20"/>
                <w:szCs w:val="20"/>
                <w:lang w:val="fr-FR"/>
              </w:rPr>
              <w:t>Le coût inclut les extracteurs d’air, une armoire ventilée, un capteur de température et une session de formation du personnel technique.</w:t>
            </w:r>
          </w:p>
        </w:tc>
      </w:tr>
      <w:tr w:rsidR="00ED1374" w:rsidRPr="003E3DA1" w14:paraId="1BCE2A3C" w14:textId="77777777" w:rsidTr="0047151C">
        <w:tc>
          <w:tcPr>
            <w:tcW w:w="1864" w:type="dxa"/>
            <w:vMerge/>
          </w:tcPr>
          <w:p w14:paraId="47BF899E" w14:textId="77777777" w:rsidR="005F74A6" w:rsidRPr="003E3DA1" w:rsidRDefault="005F74A6" w:rsidP="005F74A6">
            <w:pPr>
              <w:pStyle w:val="Compact"/>
              <w:rPr>
                <w:rFonts w:cstheme="minorHAnsi"/>
                <w:sz w:val="20"/>
                <w:szCs w:val="20"/>
                <w:lang w:val="fr-FR"/>
              </w:rPr>
            </w:pPr>
          </w:p>
        </w:tc>
        <w:tc>
          <w:tcPr>
            <w:tcW w:w="1515" w:type="dxa"/>
          </w:tcPr>
          <w:p w14:paraId="1A0F3CE1" w14:textId="77777777" w:rsidR="005F74A6" w:rsidRPr="003E3DA1" w:rsidRDefault="005F74A6" w:rsidP="005F74A6">
            <w:pPr>
              <w:pStyle w:val="Compact"/>
              <w:rPr>
                <w:rFonts w:cstheme="minorHAnsi"/>
                <w:sz w:val="20"/>
                <w:szCs w:val="20"/>
              </w:rPr>
            </w:pPr>
            <w:r w:rsidRPr="003E3DA1">
              <w:rPr>
                <w:rFonts w:cstheme="minorHAnsi"/>
                <w:sz w:val="20"/>
                <w:szCs w:val="20"/>
              </w:rPr>
              <w:t>Réduire</w:t>
            </w:r>
          </w:p>
        </w:tc>
        <w:tc>
          <w:tcPr>
            <w:tcW w:w="2664" w:type="dxa"/>
          </w:tcPr>
          <w:p w14:paraId="559F4C58" w14:textId="77777777" w:rsidR="005F74A6" w:rsidRPr="003E3DA1" w:rsidRDefault="005F74A6" w:rsidP="005F74A6">
            <w:pPr>
              <w:pStyle w:val="Compact"/>
              <w:rPr>
                <w:rFonts w:cstheme="minorHAnsi"/>
                <w:sz w:val="20"/>
                <w:szCs w:val="20"/>
                <w:lang w:val="fr-FR"/>
              </w:rPr>
            </w:pPr>
            <w:r w:rsidRPr="003E3DA1">
              <w:rPr>
                <w:rFonts w:cstheme="minorHAnsi"/>
                <w:sz w:val="20"/>
                <w:szCs w:val="20"/>
                <w:lang w:val="fr-FR"/>
              </w:rPr>
              <w:t>Utiliser des peintures, solvants et détergents à faible teneur en COV.</w:t>
            </w:r>
          </w:p>
        </w:tc>
        <w:tc>
          <w:tcPr>
            <w:tcW w:w="0" w:type="auto"/>
          </w:tcPr>
          <w:p w14:paraId="5B40A62E" w14:textId="77777777" w:rsidR="005F74A6" w:rsidRPr="003E3DA1" w:rsidRDefault="005F74A6" w:rsidP="005F74A6">
            <w:pPr>
              <w:pStyle w:val="Compact"/>
              <w:rPr>
                <w:rFonts w:cstheme="minorHAnsi"/>
                <w:sz w:val="20"/>
                <w:szCs w:val="20"/>
                <w:lang w:val="fr-FR"/>
              </w:rPr>
            </w:pPr>
            <w:r w:rsidRPr="003E3DA1">
              <w:rPr>
                <w:rFonts w:cstheme="minorHAnsi"/>
                <w:sz w:val="20"/>
                <w:szCs w:val="20"/>
                <w:lang w:val="fr-FR"/>
              </w:rPr>
              <w:t>% de produits à faible COV</w:t>
            </w:r>
          </w:p>
        </w:tc>
        <w:tc>
          <w:tcPr>
            <w:tcW w:w="0" w:type="auto"/>
          </w:tcPr>
          <w:p w14:paraId="5A342739" w14:textId="1C8B232C" w:rsidR="005F74A6" w:rsidRPr="003E3DA1" w:rsidRDefault="005F74A6" w:rsidP="005F74A6">
            <w:pPr>
              <w:pStyle w:val="Compact"/>
              <w:rPr>
                <w:rFonts w:cstheme="minorHAnsi"/>
                <w:sz w:val="20"/>
                <w:szCs w:val="20"/>
              </w:rPr>
            </w:pPr>
            <w:r w:rsidRPr="003E3DA1">
              <w:rPr>
                <w:rFonts w:cstheme="minorHAnsi"/>
                <w:sz w:val="20"/>
                <w:szCs w:val="20"/>
              </w:rPr>
              <w:t>ONDA / exploitant</w:t>
            </w:r>
          </w:p>
        </w:tc>
        <w:tc>
          <w:tcPr>
            <w:tcW w:w="0" w:type="auto"/>
          </w:tcPr>
          <w:p w14:paraId="1DD1A0DB" w14:textId="50E26BE1" w:rsidR="005F74A6" w:rsidRPr="003E3DA1" w:rsidRDefault="005F74A6" w:rsidP="005F74A6">
            <w:pPr>
              <w:pStyle w:val="Compact"/>
              <w:rPr>
                <w:rFonts w:cstheme="minorHAnsi"/>
                <w:sz w:val="20"/>
                <w:szCs w:val="20"/>
              </w:rPr>
            </w:pPr>
            <w:r w:rsidRPr="003E3DA1">
              <w:rPr>
                <w:rFonts w:cstheme="minorHAnsi"/>
                <w:sz w:val="20"/>
                <w:szCs w:val="20"/>
                <w:lang w:val="fr-FR"/>
              </w:rPr>
              <w:t>ONDA</w:t>
            </w:r>
          </w:p>
        </w:tc>
        <w:tc>
          <w:tcPr>
            <w:tcW w:w="0" w:type="auto"/>
          </w:tcPr>
          <w:p w14:paraId="0E14C1A9" w14:textId="55CFBDDB" w:rsidR="005F74A6" w:rsidRPr="003E3DA1" w:rsidRDefault="005F74A6" w:rsidP="005F74A6">
            <w:pPr>
              <w:pStyle w:val="Compact"/>
              <w:rPr>
                <w:rFonts w:cstheme="minorHAnsi"/>
                <w:sz w:val="20"/>
                <w:szCs w:val="20"/>
              </w:rPr>
            </w:pPr>
            <w:r w:rsidRPr="003E3DA1">
              <w:rPr>
                <w:rFonts w:cstheme="minorHAnsi"/>
                <w:sz w:val="20"/>
                <w:szCs w:val="20"/>
                <w:lang w:val="fr-FR"/>
              </w:rPr>
              <w:t>ONDA</w:t>
            </w:r>
          </w:p>
        </w:tc>
        <w:tc>
          <w:tcPr>
            <w:tcW w:w="0" w:type="auto"/>
          </w:tcPr>
          <w:p w14:paraId="4D562A8A" w14:textId="77777777" w:rsidR="005F74A6" w:rsidRPr="003E3DA1" w:rsidRDefault="005F74A6" w:rsidP="005F74A6">
            <w:pPr>
              <w:pStyle w:val="Compact"/>
              <w:rPr>
                <w:rFonts w:cstheme="minorHAnsi"/>
                <w:sz w:val="20"/>
                <w:szCs w:val="20"/>
              </w:rPr>
            </w:pPr>
            <w:r w:rsidRPr="003E3DA1">
              <w:rPr>
                <w:rFonts w:cstheme="minorHAnsi"/>
                <w:sz w:val="20"/>
                <w:szCs w:val="20"/>
              </w:rPr>
              <w:t>Continue</w:t>
            </w:r>
          </w:p>
        </w:tc>
        <w:tc>
          <w:tcPr>
            <w:tcW w:w="0" w:type="auto"/>
          </w:tcPr>
          <w:p w14:paraId="7DAAC82C" w14:textId="09ADBEE7" w:rsidR="005F74A6" w:rsidRPr="003E3DA1" w:rsidRDefault="00DE5FBB" w:rsidP="005F74A6">
            <w:pPr>
              <w:pStyle w:val="Compact"/>
              <w:rPr>
                <w:rFonts w:cstheme="minorHAnsi"/>
                <w:sz w:val="20"/>
                <w:szCs w:val="20"/>
                <w:lang w:val="fr-FR"/>
              </w:rPr>
            </w:pPr>
            <w:r w:rsidRPr="00DE5FBB">
              <w:rPr>
                <w:rFonts w:cstheme="minorHAnsi"/>
                <w:sz w:val="20"/>
                <w:szCs w:val="20"/>
                <w:lang w:val="fr-FR"/>
              </w:rPr>
              <w:t>≈ 4 000 – 5 000 MAD/an</w:t>
            </w:r>
            <w:r>
              <w:rPr>
                <w:rFonts w:cstheme="minorHAnsi"/>
                <w:sz w:val="20"/>
                <w:szCs w:val="20"/>
                <w:lang w:val="fr-FR"/>
              </w:rPr>
              <w:br/>
            </w:r>
            <w:r w:rsidRPr="00DE5FBB">
              <w:rPr>
                <w:rFonts w:cstheme="minorHAnsi"/>
                <w:sz w:val="20"/>
                <w:szCs w:val="20"/>
                <w:lang w:val="fr-FR"/>
              </w:rPr>
              <w:t>Le coût correspond à un surcoût annuel moyen de 15 % par rapport aux produits standards (≈ 15 MAD/L × 300 L/an)</w:t>
            </w:r>
          </w:p>
        </w:tc>
      </w:tr>
      <w:tr w:rsidR="00ED1374" w:rsidRPr="003E3DA1" w14:paraId="619BE8AC" w14:textId="77777777" w:rsidTr="0047151C">
        <w:tc>
          <w:tcPr>
            <w:tcW w:w="1864" w:type="dxa"/>
            <w:vMerge/>
          </w:tcPr>
          <w:p w14:paraId="4F370927" w14:textId="77777777" w:rsidR="005F74A6" w:rsidRPr="003E3DA1" w:rsidRDefault="005F74A6" w:rsidP="005F74A6">
            <w:pPr>
              <w:pStyle w:val="Compact"/>
              <w:rPr>
                <w:rFonts w:cstheme="minorHAnsi"/>
                <w:sz w:val="20"/>
                <w:szCs w:val="20"/>
                <w:lang w:val="fr-FR"/>
              </w:rPr>
            </w:pPr>
          </w:p>
        </w:tc>
        <w:tc>
          <w:tcPr>
            <w:tcW w:w="1515" w:type="dxa"/>
          </w:tcPr>
          <w:p w14:paraId="0D66F057" w14:textId="77777777" w:rsidR="005F74A6" w:rsidRPr="003E3DA1" w:rsidRDefault="005F74A6" w:rsidP="005F74A6">
            <w:pPr>
              <w:pStyle w:val="Compact"/>
              <w:rPr>
                <w:rFonts w:cstheme="minorHAnsi"/>
                <w:sz w:val="20"/>
                <w:szCs w:val="20"/>
              </w:rPr>
            </w:pPr>
            <w:r w:rsidRPr="003E3DA1">
              <w:rPr>
                <w:rFonts w:cstheme="minorHAnsi"/>
                <w:sz w:val="20"/>
                <w:szCs w:val="20"/>
              </w:rPr>
              <w:t>Atténuer</w:t>
            </w:r>
          </w:p>
        </w:tc>
        <w:tc>
          <w:tcPr>
            <w:tcW w:w="2664" w:type="dxa"/>
          </w:tcPr>
          <w:p w14:paraId="411F04E9" w14:textId="77777777" w:rsidR="005F74A6" w:rsidRPr="003E3DA1" w:rsidRDefault="005F74A6" w:rsidP="005F74A6">
            <w:pPr>
              <w:pStyle w:val="Compact"/>
              <w:rPr>
                <w:rFonts w:cstheme="minorHAnsi"/>
                <w:sz w:val="20"/>
                <w:szCs w:val="20"/>
                <w:lang w:val="fr-FR"/>
              </w:rPr>
            </w:pPr>
            <w:r w:rsidRPr="003E3DA1">
              <w:rPr>
                <w:rFonts w:cstheme="minorHAnsi"/>
                <w:sz w:val="20"/>
                <w:szCs w:val="20"/>
                <w:lang w:val="fr-FR"/>
              </w:rPr>
              <w:t>Former le personnel de maintenance à la gestion sécurisée des solvants et à l’aération temporaire.</w:t>
            </w:r>
          </w:p>
        </w:tc>
        <w:tc>
          <w:tcPr>
            <w:tcW w:w="0" w:type="auto"/>
          </w:tcPr>
          <w:p w14:paraId="5E0C272C" w14:textId="77777777" w:rsidR="005F74A6" w:rsidRPr="003E3DA1" w:rsidRDefault="005F74A6" w:rsidP="005F74A6">
            <w:pPr>
              <w:pStyle w:val="Compact"/>
              <w:rPr>
                <w:rFonts w:cstheme="minorHAnsi"/>
                <w:sz w:val="20"/>
                <w:szCs w:val="20"/>
              </w:rPr>
            </w:pPr>
            <w:r w:rsidRPr="003E3DA1">
              <w:rPr>
                <w:rFonts w:cstheme="minorHAnsi"/>
                <w:sz w:val="20"/>
                <w:szCs w:val="20"/>
              </w:rPr>
              <w:t>Nombre de formations / an</w:t>
            </w:r>
          </w:p>
        </w:tc>
        <w:tc>
          <w:tcPr>
            <w:tcW w:w="0" w:type="auto"/>
          </w:tcPr>
          <w:p w14:paraId="1347BC99" w14:textId="119109EA" w:rsidR="005F74A6" w:rsidRPr="003E3DA1" w:rsidRDefault="005F74A6" w:rsidP="005F74A6">
            <w:pPr>
              <w:pStyle w:val="Compact"/>
              <w:rPr>
                <w:rFonts w:cstheme="minorHAnsi"/>
                <w:sz w:val="20"/>
                <w:szCs w:val="20"/>
              </w:rPr>
            </w:pPr>
            <w:r w:rsidRPr="003E3DA1">
              <w:rPr>
                <w:rFonts w:cstheme="minorHAnsi"/>
                <w:sz w:val="20"/>
                <w:szCs w:val="20"/>
              </w:rPr>
              <w:t>ONDA / exploitant</w:t>
            </w:r>
          </w:p>
        </w:tc>
        <w:tc>
          <w:tcPr>
            <w:tcW w:w="0" w:type="auto"/>
          </w:tcPr>
          <w:p w14:paraId="421AE57D" w14:textId="56E86823" w:rsidR="005F74A6" w:rsidRPr="003E3DA1" w:rsidRDefault="005F74A6" w:rsidP="005F74A6">
            <w:pPr>
              <w:pStyle w:val="Compact"/>
              <w:rPr>
                <w:rFonts w:cstheme="minorHAnsi"/>
                <w:sz w:val="20"/>
                <w:szCs w:val="20"/>
              </w:rPr>
            </w:pPr>
            <w:r w:rsidRPr="003E3DA1">
              <w:rPr>
                <w:rFonts w:cstheme="minorHAnsi"/>
                <w:sz w:val="20"/>
                <w:szCs w:val="20"/>
                <w:lang w:val="fr-FR"/>
              </w:rPr>
              <w:t>ONDA</w:t>
            </w:r>
          </w:p>
        </w:tc>
        <w:tc>
          <w:tcPr>
            <w:tcW w:w="0" w:type="auto"/>
          </w:tcPr>
          <w:p w14:paraId="1CE2D72F" w14:textId="67E69746" w:rsidR="005F74A6" w:rsidRPr="003E3DA1" w:rsidRDefault="005F74A6" w:rsidP="005F74A6">
            <w:pPr>
              <w:pStyle w:val="Compact"/>
              <w:rPr>
                <w:rFonts w:cstheme="minorHAnsi"/>
                <w:sz w:val="20"/>
                <w:szCs w:val="20"/>
              </w:rPr>
            </w:pPr>
            <w:r w:rsidRPr="003E3DA1">
              <w:rPr>
                <w:rFonts w:cstheme="minorHAnsi"/>
                <w:sz w:val="20"/>
                <w:szCs w:val="20"/>
                <w:lang w:val="fr-FR"/>
              </w:rPr>
              <w:t>ONDA</w:t>
            </w:r>
          </w:p>
        </w:tc>
        <w:tc>
          <w:tcPr>
            <w:tcW w:w="0" w:type="auto"/>
          </w:tcPr>
          <w:p w14:paraId="4565F9B2" w14:textId="77777777" w:rsidR="005F74A6" w:rsidRPr="003E3DA1" w:rsidRDefault="005F74A6" w:rsidP="005F74A6">
            <w:pPr>
              <w:pStyle w:val="Compact"/>
              <w:rPr>
                <w:rFonts w:cstheme="minorHAnsi"/>
                <w:sz w:val="20"/>
                <w:szCs w:val="20"/>
              </w:rPr>
            </w:pPr>
            <w:r w:rsidRPr="003E3DA1">
              <w:rPr>
                <w:rFonts w:cstheme="minorHAnsi"/>
                <w:sz w:val="20"/>
                <w:szCs w:val="20"/>
              </w:rPr>
              <w:t>Semestrielle</w:t>
            </w:r>
          </w:p>
        </w:tc>
        <w:tc>
          <w:tcPr>
            <w:tcW w:w="0" w:type="auto"/>
          </w:tcPr>
          <w:p w14:paraId="7428F069" w14:textId="03677771" w:rsidR="005F74A6" w:rsidRPr="003E3DA1" w:rsidRDefault="005F74A6" w:rsidP="005F74A6">
            <w:pPr>
              <w:pStyle w:val="Compact"/>
              <w:rPr>
                <w:rFonts w:cstheme="minorHAnsi"/>
                <w:sz w:val="20"/>
                <w:szCs w:val="20"/>
              </w:rPr>
            </w:pPr>
            <w:r w:rsidRPr="003E3DA1">
              <w:rPr>
                <w:rFonts w:cstheme="minorHAnsi"/>
                <w:sz w:val="20"/>
                <w:szCs w:val="20"/>
              </w:rPr>
              <w:t>4000MAD/Formateur/jour</w:t>
            </w:r>
          </w:p>
        </w:tc>
      </w:tr>
      <w:tr w:rsidR="00ED1374" w:rsidRPr="003E3DA1" w14:paraId="21AB45FE" w14:textId="77777777" w:rsidTr="0047151C">
        <w:tc>
          <w:tcPr>
            <w:tcW w:w="1864" w:type="dxa"/>
            <w:vMerge/>
          </w:tcPr>
          <w:p w14:paraId="353A0A7E" w14:textId="77777777" w:rsidR="005F74A6" w:rsidRPr="003E3DA1" w:rsidRDefault="005F74A6" w:rsidP="005F74A6">
            <w:pPr>
              <w:pStyle w:val="Compact"/>
              <w:rPr>
                <w:rFonts w:cstheme="minorHAnsi"/>
                <w:sz w:val="20"/>
                <w:szCs w:val="20"/>
              </w:rPr>
            </w:pPr>
          </w:p>
        </w:tc>
        <w:tc>
          <w:tcPr>
            <w:tcW w:w="1515" w:type="dxa"/>
          </w:tcPr>
          <w:p w14:paraId="0EB14EDB" w14:textId="77777777" w:rsidR="005F74A6" w:rsidRPr="003E3DA1" w:rsidRDefault="005F74A6" w:rsidP="005F74A6">
            <w:pPr>
              <w:pStyle w:val="Compact"/>
              <w:rPr>
                <w:rFonts w:cstheme="minorHAnsi"/>
                <w:sz w:val="20"/>
                <w:szCs w:val="20"/>
              </w:rPr>
            </w:pPr>
            <w:r w:rsidRPr="003E3DA1">
              <w:rPr>
                <w:rFonts w:cstheme="minorHAnsi"/>
                <w:sz w:val="20"/>
                <w:szCs w:val="20"/>
              </w:rPr>
              <w:t>Compenser</w:t>
            </w:r>
          </w:p>
        </w:tc>
        <w:tc>
          <w:tcPr>
            <w:tcW w:w="2664" w:type="dxa"/>
          </w:tcPr>
          <w:p w14:paraId="432ADB2F" w14:textId="77777777" w:rsidR="005F74A6" w:rsidRPr="003E3DA1" w:rsidRDefault="005F74A6" w:rsidP="005F74A6">
            <w:pPr>
              <w:pStyle w:val="Compact"/>
              <w:rPr>
                <w:rFonts w:cstheme="minorHAnsi"/>
                <w:sz w:val="20"/>
                <w:szCs w:val="20"/>
                <w:lang w:val="fr-FR"/>
              </w:rPr>
            </w:pPr>
            <w:r w:rsidRPr="003E3DA1">
              <w:rPr>
                <w:rFonts w:cstheme="minorHAnsi"/>
                <w:sz w:val="20"/>
                <w:szCs w:val="20"/>
                <w:lang w:val="fr-FR"/>
              </w:rPr>
              <w:t>Publier les résultats de surveillance de la qualité de l’air dans le rapport environnemental annuel.</w:t>
            </w:r>
          </w:p>
        </w:tc>
        <w:tc>
          <w:tcPr>
            <w:tcW w:w="0" w:type="auto"/>
          </w:tcPr>
          <w:p w14:paraId="5E2779AE" w14:textId="77777777" w:rsidR="005F74A6" w:rsidRPr="003E3DA1" w:rsidRDefault="005F74A6" w:rsidP="005F74A6">
            <w:pPr>
              <w:pStyle w:val="Compact"/>
              <w:rPr>
                <w:rFonts w:cstheme="minorHAnsi"/>
                <w:sz w:val="20"/>
                <w:szCs w:val="20"/>
              </w:rPr>
            </w:pPr>
            <w:r w:rsidRPr="003E3DA1">
              <w:rPr>
                <w:rFonts w:cstheme="minorHAnsi"/>
                <w:sz w:val="20"/>
                <w:szCs w:val="20"/>
              </w:rPr>
              <w:t>Rapports diffusés / an</w:t>
            </w:r>
          </w:p>
        </w:tc>
        <w:tc>
          <w:tcPr>
            <w:tcW w:w="0" w:type="auto"/>
          </w:tcPr>
          <w:p w14:paraId="2B73FFB9" w14:textId="2B864426" w:rsidR="005F74A6" w:rsidRPr="003E3DA1" w:rsidRDefault="005F74A6" w:rsidP="005F74A6">
            <w:pPr>
              <w:pStyle w:val="Compact"/>
              <w:rPr>
                <w:rFonts w:cstheme="minorHAnsi"/>
                <w:sz w:val="20"/>
                <w:szCs w:val="20"/>
              </w:rPr>
            </w:pPr>
            <w:r w:rsidRPr="003E3DA1">
              <w:rPr>
                <w:rFonts w:cstheme="minorHAnsi"/>
                <w:sz w:val="20"/>
                <w:szCs w:val="20"/>
              </w:rPr>
              <w:t>ONDA / exploitant</w:t>
            </w:r>
          </w:p>
        </w:tc>
        <w:tc>
          <w:tcPr>
            <w:tcW w:w="0" w:type="auto"/>
          </w:tcPr>
          <w:p w14:paraId="1C262B2F" w14:textId="0921DDCA" w:rsidR="005F74A6" w:rsidRPr="003E3DA1" w:rsidRDefault="005F74A6" w:rsidP="005F74A6">
            <w:pPr>
              <w:pStyle w:val="Compact"/>
              <w:rPr>
                <w:rFonts w:cstheme="minorHAnsi"/>
                <w:sz w:val="20"/>
                <w:szCs w:val="20"/>
              </w:rPr>
            </w:pPr>
            <w:r w:rsidRPr="003E3DA1">
              <w:rPr>
                <w:rFonts w:cstheme="minorHAnsi"/>
                <w:sz w:val="20"/>
                <w:szCs w:val="20"/>
                <w:lang w:val="fr-FR"/>
              </w:rPr>
              <w:t>ONDA</w:t>
            </w:r>
          </w:p>
        </w:tc>
        <w:tc>
          <w:tcPr>
            <w:tcW w:w="0" w:type="auto"/>
          </w:tcPr>
          <w:p w14:paraId="7F536EC8" w14:textId="68E2DA9C" w:rsidR="005F74A6" w:rsidRPr="003E3DA1" w:rsidRDefault="005F74A6" w:rsidP="005F74A6">
            <w:pPr>
              <w:pStyle w:val="Compact"/>
              <w:rPr>
                <w:rFonts w:cstheme="minorHAnsi"/>
                <w:sz w:val="20"/>
                <w:szCs w:val="20"/>
              </w:rPr>
            </w:pPr>
            <w:r w:rsidRPr="003E3DA1">
              <w:rPr>
                <w:rFonts w:cstheme="minorHAnsi"/>
                <w:sz w:val="20"/>
                <w:szCs w:val="20"/>
                <w:lang w:val="fr-FR"/>
              </w:rPr>
              <w:t>ONDA</w:t>
            </w:r>
          </w:p>
        </w:tc>
        <w:tc>
          <w:tcPr>
            <w:tcW w:w="0" w:type="auto"/>
          </w:tcPr>
          <w:p w14:paraId="3ECDDE26" w14:textId="77777777" w:rsidR="005F74A6" w:rsidRPr="003E3DA1" w:rsidRDefault="005F74A6" w:rsidP="005F74A6">
            <w:pPr>
              <w:pStyle w:val="Compact"/>
              <w:rPr>
                <w:rFonts w:cstheme="minorHAnsi"/>
                <w:sz w:val="20"/>
                <w:szCs w:val="20"/>
              </w:rPr>
            </w:pPr>
            <w:r w:rsidRPr="003E3DA1">
              <w:rPr>
                <w:rFonts w:cstheme="minorHAnsi"/>
                <w:sz w:val="20"/>
                <w:szCs w:val="20"/>
              </w:rPr>
              <w:t>Annuelle</w:t>
            </w:r>
          </w:p>
        </w:tc>
        <w:tc>
          <w:tcPr>
            <w:tcW w:w="0" w:type="auto"/>
          </w:tcPr>
          <w:p w14:paraId="7AD03C6E" w14:textId="69816374" w:rsidR="00D20DBB" w:rsidRPr="00D60FC9" w:rsidRDefault="00DE5FBB" w:rsidP="005F74A6">
            <w:pPr>
              <w:pStyle w:val="Compact"/>
              <w:rPr>
                <w:rFonts w:cstheme="minorHAnsi"/>
                <w:sz w:val="20"/>
                <w:szCs w:val="20"/>
                <w:lang w:val="fr-FR"/>
              </w:rPr>
            </w:pPr>
            <w:r w:rsidRPr="00D60FC9">
              <w:rPr>
                <w:rFonts w:cstheme="minorHAnsi"/>
                <w:sz w:val="20"/>
                <w:szCs w:val="20"/>
                <w:lang w:val="fr-FR"/>
              </w:rPr>
              <w:t>≈ 6 000 MAD/an</w:t>
            </w:r>
            <w:r w:rsidR="00D20DBB" w:rsidRPr="00D60FC9">
              <w:rPr>
                <w:rFonts w:cstheme="minorHAnsi"/>
                <w:sz w:val="20"/>
                <w:szCs w:val="20"/>
                <w:lang w:val="fr-FR"/>
              </w:rPr>
              <w:t xml:space="preserve"> (</w:t>
            </w:r>
            <w:r w:rsidR="00D20DBB">
              <w:rPr>
                <w:rFonts w:cstheme="minorHAnsi"/>
                <w:sz w:val="20"/>
                <w:szCs w:val="20"/>
                <w:lang w:val="fr-FR"/>
              </w:rPr>
              <w:t>l</w:t>
            </w:r>
            <w:r w:rsidR="00D20DBB" w:rsidRPr="00D20DBB">
              <w:rPr>
                <w:rFonts w:cstheme="minorHAnsi"/>
                <w:sz w:val="20"/>
                <w:szCs w:val="20"/>
                <w:lang w:val="fr-FR"/>
              </w:rPr>
              <w:t>e coût peut être mutualisé avec d’autres chapitres (eaux, déchets, bruit)</w:t>
            </w:r>
            <w:r w:rsidR="00D20DBB">
              <w:rPr>
                <w:rFonts w:cstheme="minorHAnsi"/>
                <w:sz w:val="20"/>
                <w:szCs w:val="20"/>
                <w:lang w:val="fr-FR"/>
              </w:rPr>
              <w:t xml:space="preserve">. Il </w:t>
            </w:r>
            <w:r w:rsidR="00D20DBB" w:rsidRPr="00D20DBB">
              <w:rPr>
                <w:rFonts w:cstheme="minorHAnsi"/>
                <w:sz w:val="20"/>
                <w:szCs w:val="20"/>
                <w:lang w:val="fr-FR"/>
              </w:rPr>
              <w:t>comprend le traitement des données, la rédaction et la diffusion au bailleur et aux parties prenantes</w:t>
            </w:r>
          </w:p>
        </w:tc>
      </w:tr>
    </w:tbl>
    <w:p w14:paraId="393DE12F" w14:textId="77777777" w:rsidR="009F3BF6" w:rsidRDefault="009F3BF6">
      <w:pPr>
        <w:pStyle w:val="Lgende"/>
        <w:jc w:val="both"/>
        <w:rPr>
          <w:lang w:val="fr-FR" w:eastAsia="zh-CN"/>
        </w:rPr>
      </w:pPr>
    </w:p>
    <w:p w14:paraId="78DF3023" w14:textId="77777777" w:rsidR="003F5C77" w:rsidRDefault="003F5C77" w:rsidP="003F5C77">
      <w:pPr>
        <w:rPr>
          <w:lang w:eastAsia="zh-CN" w:bidi="ar-SA"/>
        </w:rPr>
      </w:pPr>
    </w:p>
    <w:p w14:paraId="19AC6261" w14:textId="77777777" w:rsidR="003F5C77" w:rsidRPr="003F5C77" w:rsidRDefault="003F5C77" w:rsidP="004637C7">
      <w:pPr>
        <w:rPr>
          <w:b/>
          <w:bCs/>
          <w:lang w:eastAsia="zh-CN"/>
        </w:rPr>
        <w:sectPr w:rsidR="003F5C77" w:rsidRPr="003F5C77" w:rsidSect="004637C7">
          <w:headerReference w:type="default" r:id="rId100"/>
          <w:footerReference w:type="default" r:id="rId101"/>
          <w:pgSz w:w="16838" w:h="11906" w:orient="landscape" w:code="9"/>
          <w:pgMar w:top="1418" w:right="1418" w:bottom="1418" w:left="1276" w:header="567" w:footer="510" w:gutter="0"/>
          <w:cols w:space="708"/>
          <w:docGrid w:linePitch="360"/>
        </w:sectPr>
      </w:pPr>
    </w:p>
    <w:p w14:paraId="70C76F08" w14:textId="1A669E51" w:rsidR="00117291" w:rsidRPr="002A0860" w:rsidRDefault="00117291" w:rsidP="004637C7">
      <w:pPr>
        <w:pStyle w:val="Lgende"/>
        <w:jc w:val="both"/>
        <w:rPr>
          <w:b w:val="0"/>
          <w:bCs w:val="0"/>
          <w:lang w:val="fr-FR"/>
        </w:rPr>
      </w:pPr>
    </w:p>
    <w:p w14:paraId="0280DD2C" w14:textId="29D64F4E" w:rsidR="00CC705D" w:rsidRDefault="00CC705D" w:rsidP="0001633E">
      <w:pPr>
        <w:pStyle w:val="Title5"/>
        <w:numPr>
          <w:ilvl w:val="4"/>
          <w:numId w:val="108"/>
        </w:numPr>
        <w:tabs>
          <w:tab w:val="left" w:pos="851"/>
        </w:tabs>
      </w:pPr>
      <w:r>
        <w:t>Évaluation</w:t>
      </w:r>
      <w:r w:rsidRPr="004637C7">
        <w:t xml:space="preserve"> </w:t>
      </w:r>
      <w:r>
        <w:t>de</w:t>
      </w:r>
      <w:r w:rsidRPr="004637C7">
        <w:t xml:space="preserve"> </w:t>
      </w:r>
      <w:r>
        <w:t>l'impact</w:t>
      </w:r>
      <w:r w:rsidRPr="004637C7">
        <w:t xml:space="preserve"> résiduel</w:t>
      </w:r>
    </w:p>
    <w:p w14:paraId="147CD076" w14:textId="23496C47" w:rsidR="00CB0E80" w:rsidRPr="00CB0E80" w:rsidRDefault="00CB0E80" w:rsidP="00CB0E80">
      <w:pPr>
        <w:rPr>
          <w:spacing w:val="-2"/>
          <w:lang w:val="fr-MA"/>
        </w:rPr>
      </w:pPr>
      <w:r w:rsidRPr="00CB0E80">
        <w:rPr>
          <w:spacing w:val="-2"/>
          <w:lang w:val="fr-MA"/>
        </w:rPr>
        <w:t xml:space="preserve">Après la mise en œuvre de l’ensemble des mesures de prévention, de réduction et de gestion prévues dans le plan d’atténuation, les impacts résiduels sur la qualité de l’air sont jugés </w:t>
      </w:r>
      <w:r w:rsidRPr="004637C7">
        <w:rPr>
          <w:spacing w:val="-2"/>
          <w:lang w:val="fr-MA"/>
        </w:rPr>
        <w:t>faibles à négligeables</w:t>
      </w:r>
      <w:r w:rsidRPr="00CB0E80">
        <w:rPr>
          <w:spacing w:val="-2"/>
          <w:lang w:val="fr-MA"/>
        </w:rPr>
        <w:t>, compte tenu de l’efficacité des dispositifs techniques et organisationnels adoptés, de la nature ventilée du site et du périmètre désormais restreint du projet.</w:t>
      </w:r>
    </w:p>
    <w:p w14:paraId="1355FBC9" w14:textId="6972C149" w:rsidR="00CB0E80" w:rsidRPr="00153FCE" w:rsidRDefault="00CB0E80" w:rsidP="00CB0E80">
      <w:pPr>
        <w:rPr>
          <w:spacing w:val="-2"/>
        </w:rPr>
      </w:pPr>
      <w:r w:rsidRPr="00CB0E80">
        <w:rPr>
          <w:spacing w:val="-2"/>
        </w:rPr>
        <w:t xml:space="preserve">Les </w:t>
      </w:r>
      <w:r w:rsidRPr="004637C7">
        <w:rPr>
          <w:spacing w:val="-2"/>
        </w:rPr>
        <w:t>émissions de poussières (PM₁₀ et PM₂.₅)</w:t>
      </w:r>
      <w:r w:rsidRPr="00153FCE">
        <w:rPr>
          <w:spacing w:val="-2"/>
        </w:rPr>
        <w:t xml:space="preserve"> seraient efficacement maîtrisées grâce à la stabilisation et à l’entretien régulier des surfaces asphaltées, au nettoyage humide périodique des aires de trafic et voies de circulation, ainsi qu’à la mise en place de haies brise-vent. Ces actions permettraient de réduire sensiblement les envols de poussières et la remise en suspension secondaire. Les concentrations ambiantes en particules resteraient largement en deçà des seuils de référence fixés par l’OMS, hormis quelques pics ponctuels lors d’épisodes venteux. L’impact résiduel sur les travailleurs et le personnel d’assistance serait donc </w:t>
      </w:r>
      <w:r w:rsidRPr="004637C7">
        <w:rPr>
          <w:spacing w:val="-2"/>
        </w:rPr>
        <w:t>mineur et temporaire</w:t>
      </w:r>
      <w:r w:rsidRPr="00153FCE">
        <w:rPr>
          <w:spacing w:val="-2"/>
        </w:rPr>
        <w:t xml:space="preserve">, tandis que pour les usagers et les zones </w:t>
      </w:r>
      <w:r w:rsidR="005F7F2E">
        <w:rPr>
          <w:spacing w:val="-2"/>
        </w:rPr>
        <w:t>habitées</w:t>
      </w:r>
      <w:r w:rsidRPr="00153FCE">
        <w:rPr>
          <w:spacing w:val="-2"/>
        </w:rPr>
        <w:t xml:space="preserve"> voisines, il demeurerait </w:t>
      </w:r>
      <w:r w:rsidRPr="004637C7">
        <w:rPr>
          <w:spacing w:val="-2"/>
        </w:rPr>
        <w:t>négligeable</w:t>
      </w:r>
      <w:r w:rsidRPr="00153FCE">
        <w:rPr>
          <w:spacing w:val="-2"/>
        </w:rPr>
        <w:t>, sans atteinte à la santé ni au bien-être des populations riveraines.</w:t>
      </w:r>
    </w:p>
    <w:p w14:paraId="64A91B58" w14:textId="3E91E63E" w:rsidR="00CB0E80" w:rsidRPr="00153FCE" w:rsidRDefault="00CB0E80" w:rsidP="00CB0E80">
      <w:pPr>
        <w:rPr>
          <w:spacing w:val="-2"/>
        </w:rPr>
      </w:pPr>
      <w:r w:rsidRPr="00153FCE">
        <w:rPr>
          <w:spacing w:val="-2"/>
        </w:rPr>
        <w:t xml:space="preserve">Les </w:t>
      </w:r>
      <w:r w:rsidRPr="004637C7">
        <w:rPr>
          <w:spacing w:val="-2"/>
        </w:rPr>
        <w:t>émissions de gaz d’échappement (NOx, CO, SO₂ et particules de combustion)</w:t>
      </w:r>
      <w:r w:rsidRPr="00153FCE">
        <w:rPr>
          <w:spacing w:val="-2"/>
        </w:rPr>
        <w:t xml:space="preserve"> seraient fortement limitées par la maintenance préventive des engins, l’application stricte de la politique « anti-ralenti », l’optimisation de la logistique interne et le raccordement électrique au sol (GPU/PCA) des aéronefs pour éviter le recours prolongé aux groupes auxiliaires de puissance. Ces mesures contribueraient à réduire durablement la formation et l’accumulation des polluants à l’intérieur de la plateforme. La dispersion naturelle, favorisée par les vents dominants, permettrait une dilution rapide des panaches, assurant des concentrations faibles et stables sur l’ensemble du périmètre. Les effets sur les travailleurs seraient </w:t>
      </w:r>
      <w:r w:rsidRPr="004637C7">
        <w:rPr>
          <w:spacing w:val="-2"/>
        </w:rPr>
        <w:t>faibles et réversibles</w:t>
      </w:r>
      <w:r w:rsidRPr="00153FCE">
        <w:rPr>
          <w:spacing w:val="-2"/>
        </w:rPr>
        <w:t xml:space="preserve">, et aucun dépassement des valeurs limites de NO₂ ou de PM₂.₅ ne serait attendu dans les zones habitées. L’impact résiduel serait donc </w:t>
      </w:r>
      <w:r w:rsidRPr="004637C7">
        <w:rPr>
          <w:spacing w:val="-2"/>
        </w:rPr>
        <w:t>mineur et localement maîtrisé</w:t>
      </w:r>
      <w:r w:rsidRPr="00153FCE">
        <w:rPr>
          <w:spacing w:val="-2"/>
        </w:rPr>
        <w:t>, sans conséquence notable sur la qualité de l’air ambiant.</w:t>
      </w:r>
    </w:p>
    <w:p w14:paraId="468AEA31" w14:textId="77777777" w:rsidR="00CB0E80" w:rsidRPr="00153FCE" w:rsidRDefault="00CB0E80" w:rsidP="00CB0E80">
      <w:pPr>
        <w:rPr>
          <w:spacing w:val="-2"/>
        </w:rPr>
      </w:pPr>
      <w:r w:rsidRPr="00153FCE">
        <w:rPr>
          <w:spacing w:val="-2"/>
        </w:rPr>
        <w:t xml:space="preserve">Les </w:t>
      </w:r>
      <w:r w:rsidRPr="004637C7">
        <w:rPr>
          <w:spacing w:val="-2"/>
        </w:rPr>
        <w:t>émissions d’odeurs et de composés organiques volatils (COV)</w:t>
      </w:r>
      <w:r w:rsidRPr="00153FCE">
        <w:rPr>
          <w:spacing w:val="-2"/>
        </w:rPr>
        <w:t xml:space="preserve"> seraient quasi nulles grâce à la substitution progressive des produits à faible teneur en solvants (low-VOC), à la ventilation renforcée des zones techniques confinées et à la formation systématique des opérateurs sur les bonnes pratiques de manipulation. Les nuisances olfactives résiduelles seraient ponctuelles, très localisées et limitées aux périodes de maintenance ou de nettoyage technique. Les concentrations atmosphériques resteraient très inférieures aux seuils d’exposition tolérables, et aucun effet perceptible sur la population ou les usagers de l’aéroport n’est anticipé. L’impact résiduel serait donc </w:t>
      </w:r>
      <w:r w:rsidRPr="004637C7">
        <w:rPr>
          <w:spacing w:val="-2"/>
        </w:rPr>
        <w:t>négligeable</w:t>
      </w:r>
      <w:r w:rsidRPr="00153FCE">
        <w:rPr>
          <w:spacing w:val="-2"/>
        </w:rPr>
        <w:t>, strictement temporaire et réversible à la fin des opérations ponctuelles.</w:t>
      </w:r>
    </w:p>
    <w:p w14:paraId="5A4730DE" w14:textId="77777777" w:rsidR="00CB0E80" w:rsidRPr="00153FCE" w:rsidRDefault="00CB0E80" w:rsidP="00CB0E80">
      <w:pPr>
        <w:rPr>
          <w:spacing w:val="-2"/>
        </w:rPr>
      </w:pPr>
      <w:r w:rsidRPr="00153FCE">
        <w:rPr>
          <w:spacing w:val="-2"/>
        </w:rPr>
        <w:t xml:space="preserve">Dans l’ensemble, les </w:t>
      </w:r>
      <w:r w:rsidRPr="004637C7">
        <w:rPr>
          <w:spacing w:val="-2"/>
        </w:rPr>
        <w:t>impacts atmosphériques résiduels</w:t>
      </w:r>
      <w:r w:rsidRPr="00153FCE">
        <w:rPr>
          <w:spacing w:val="-2"/>
        </w:rPr>
        <w:t xml:space="preserve"> de la phase d’exploitation sont considérés </w:t>
      </w:r>
      <w:r w:rsidRPr="004637C7">
        <w:rPr>
          <w:spacing w:val="-2"/>
        </w:rPr>
        <w:t>mineurs à négligeables</w:t>
      </w:r>
      <w:r w:rsidRPr="00153FCE">
        <w:rPr>
          <w:spacing w:val="-2"/>
        </w:rPr>
        <w:t xml:space="preserve">, confinés à l’intérieur de la plateforme aéroportuaire et pleinement maîtrisés par les mesures de gestion et de suivi mises en place. Aucune atteinte significative à la qualité de l’air ou à la santé publique n’est anticipée, et les effets identifiés demeurent </w:t>
      </w:r>
      <w:r w:rsidRPr="004637C7">
        <w:rPr>
          <w:spacing w:val="-2"/>
        </w:rPr>
        <w:t>temporairement réversibles, localement limités et non cumulatifs</w:t>
      </w:r>
      <w:r w:rsidRPr="00153FCE">
        <w:rPr>
          <w:spacing w:val="-2"/>
        </w:rPr>
        <w:t xml:space="preserve"> dans le temps.</w:t>
      </w:r>
    </w:p>
    <w:p w14:paraId="3A0133EA" w14:textId="782A9108" w:rsidR="008371F8" w:rsidRDefault="008371F8" w:rsidP="00CC705D"/>
    <w:p w14:paraId="48C4745C" w14:textId="77777777" w:rsidR="008371F8" w:rsidRDefault="008371F8" w:rsidP="00CC705D"/>
    <w:p w14:paraId="19B46561" w14:textId="77777777" w:rsidR="008371F8" w:rsidRDefault="008371F8" w:rsidP="00CC705D"/>
    <w:p w14:paraId="38B87A92" w14:textId="6FD28052" w:rsidR="00117291" w:rsidRDefault="00117291" w:rsidP="00415C8E">
      <w:pPr>
        <w:pStyle w:val="Corpsdetexte"/>
        <w:spacing w:before="120" w:after="120" w:line="240" w:lineRule="auto"/>
        <w:rPr>
          <w:lang w:val="fr-FR"/>
        </w:rPr>
        <w:sectPr w:rsidR="00117291" w:rsidSect="004637C7">
          <w:headerReference w:type="default" r:id="rId102"/>
          <w:footerReference w:type="default" r:id="rId103"/>
          <w:pgSz w:w="11906" w:h="16838" w:code="9"/>
          <w:pgMar w:top="1418" w:right="1418" w:bottom="1276" w:left="1418" w:header="567" w:footer="510" w:gutter="0"/>
          <w:cols w:space="708"/>
          <w:docGrid w:linePitch="360"/>
        </w:sectPr>
      </w:pPr>
    </w:p>
    <w:p w14:paraId="3C9EFEED" w14:textId="75AA6DA9" w:rsidR="009525FB" w:rsidRDefault="00153FCE" w:rsidP="00A95D6F">
      <w:pPr>
        <w:pStyle w:val="Title3"/>
      </w:pPr>
      <w:bookmarkStart w:id="406" w:name="_bookmark161"/>
      <w:bookmarkStart w:id="407" w:name="_Toc181619032"/>
      <w:bookmarkStart w:id="408" w:name="_Toc215131875"/>
      <w:bookmarkEnd w:id="406"/>
      <w:r>
        <w:lastRenderedPageBreak/>
        <w:t>Nuisances sonores</w:t>
      </w:r>
      <w:r w:rsidR="009525FB" w:rsidRPr="009525FB">
        <w:t xml:space="preserve"> et vibrations</w:t>
      </w:r>
      <w:bookmarkEnd w:id="407"/>
      <w:bookmarkEnd w:id="408"/>
    </w:p>
    <w:p w14:paraId="490D2501" w14:textId="344657BA" w:rsidR="008371F8" w:rsidRDefault="00153FCE" w:rsidP="00153FCE">
      <w:pPr>
        <w:pStyle w:val="Title4"/>
        <w:tabs>
          <w:tab w:val="clear" w:pos="1134"/>
          <w:tab w:val="left" w:pos="851"/>
        </w:tabs>
      </w:pPr>
      <w:r>
        <w:t>Rappel du contexte local</w:t>
      </w:r>
    </w:p>
    <w:p w14:paraId="60AF8097" w14:textId="038D12F6" w:rsidR="00D6704D" w:rsidRDefault="00D6704D" w:rsidP="00D6704D">
      <w:r>
        <w:t xml:space="preserve">Le contexte acoustique actuel est dominé par les bruits liés au trafic aérien (décollages, atterrissages, roulage des aéronefs), auxquels s’ajoutent les bruits de circulation sur la Route </w:t>
      </w:r>
      <w:r w:rsidR="0073133D">
        <w:t>Régionale</w:t>
      </w:r>
      <w:r>
        <w:t xml:space="preserve"> n°</w:t>
      </w:r>
      <w:r w:rsidR="00C72540">
        <w:t>212</w:t>
      </w:r>
      <w:r>
        <w:t xml:space="preserve"> (R</w:t>
      </w:r>
      <w:r w:rsidR="00C72540">
        <w:t>R212</w:t>
      </w:r>
      <w:r>
        <w:t xml:space="preserve">) reliant </w:t>
      </w:r>
      <w:r w:rsidR="0044416D">
        <w:t>Marrakech à Imintanoute</w:t>
      </w:r>
      <w:r>
        <w:t>, et la bretelle d’accès principale menant à la plateforme aéroportuaire. Ces deux axes constituent les principales sources sonores anthropiques permanentes dans le secteur.</w:t>
      </w:r>
    </w:p>
    <w:p w14:paraId="02BBEFC0" w14:textId="67338E68" w:rsidR="00153FCE" w:rsidRDefault="00D6704D" w:rsidP="004637C7">
      <w:r>
        <w:t>En dehors des infrastructures aéroportuaires, le bruit ambiant diurne reste modéré et se caractérise par des niveaux de fond liés aux au passage de véhicules légers et aux conditions météorologiques locales.</w:t>
      </w:r>
    </w:p>
    <w:p w14:paraId="3AA6A835" w14:textId="13EB9B02" w:rsidR="009525FB" w:rsidRPr="009525FB" w:rsidRDefault="009525FB" w:rsidP="00213BFD">
      <w:pPr>
        <w:pStyle w:val="Title4"/>
        <w:tabs>
          <w:tab w:val="left" w:pos="851"/>
        </w:tabs>
      </w:pPr>
      <w:bookmarkStart w:id="409" w:name="_Hlk212072945"/>
      <w:r w:rsidRPr="009525FB">
        <w:t xml:space="preserve">Phase construction </w:t>
      </w:r>
    </w:p>
    <w:p w14:paraId="0B00FE33" w14:textId="54BBA5A0" w:rsidR="00B351CC" w:rsidRDefault="009B71E6" w:rsidP="009B71E6">
      <w:pPr>
        <w:pStyle w:val="Title5"/>
      </w:pPr>
      <w:r>
        <w:t>Identification et évaluation des impacts</w:t>
      </w:r>
    </w:p>
    <w:p w14:paraId="0E8279D5" w14:textId="5730C8FB" w:rsidR="00F0086C" w:rsidRDefault="00F0086C" w:rsidP="0001633E">
      <w:pPr>
        <w:pStyle w:val="AltTitle2"/>
        <w:numPr>
          <w:ilvl w:val="0"/>
          <w:numId w:val="106"/>
        </w:numPr>
      </w:pPr>
      <w:r>
        <w:t>Emissions sonores</w:t>
      </w:r>
    </w:p>
    <w:p w14:paraId="059A67F5" w14:textId="77777777" w:rsidR="005A40C6" w:rsidRDefault="005A40C6" w:rsidP="005A40C6">
      <w:r>
        <w:t>Les nuisances sonores générées en phase de construction seront essentiellement liées aux travaux de terrassement, de compactage, de mise en œuvre des corps de chaussée, de marquage au sol, ainsi qu’à l’installation des mâts d’éclairage et du balisage lumineux pour les parkings avions et les voies de circulation. Ces activités impliqueront l’utilisation d’engins de chantier tels que compacteurs, niveleuses, camions-bennes, pelles hydrauliques et finisseurs, ainsi que de véhicules de transport de matériaux et de centrales mobiles de production pour les enrobés.</w:t>
      </w:r>
    </w:p>
    <w:p w14:paraId="107071B6" w14:textId="729813C9" w:rsidR="005A40C6" w:rsidRDefault="005A40C6" w:rsidP="005A40C6">
      <w:r>
        <w:t>L’impact sonore associé à ces opérations est de nature directe et négative, résultant de la mise en œuvre d’équipements mécaniques fonctionnant en continu sur des périodes diurnes. Son étendue restera limitée à l’emprise aéroportuaire et à ses abords immédiats, la zone étant déjà caractérisée par un bruit de fond modéré d’origine routière et aéroportuaire. La durée de l’impact est temporaire, limitée à la période des travaux de construction, et variera selon l’avancement des différentes étapes : les phases de terrassement et de compactage étant les plus bruyantes, mais de courte durée, tandis que les travaux de finition et d’équipement seront moins intenses mais plus réguliers.</w:t>
      </w:r>
    </w:p>
    <w:p w14:paraId="2246678A" w14:textId="0CF837A4" w:rsidR="005A40C6" w:rsidRDefault="005A40C6" w:rsidP="005A40C6">
      <w:r>
        <w:t>La fréquence de l’impact sera continue en journée, principalement entre 7h et 18h, avec des pics ponctuels lors du transport de matériaux ou du passage d’engins lourds. L’intensité est considérée moyenne à forte en période de pointe, notamment lors de l’utilisation simultanée de plusieurs engins ou durant la pose d’enrobés, pouvant atteindre ponctuellement 70 à 80 dB(A) à proximité immédiate des sources. Toutefois, le caractère ouvert du site et la distance séparant les zones habitées contribuent à une atténuation naturelle du bruit.</w:t>
      </w:r>
    </w:p>
    <w:p w14:paraId="2A018B8F" w14:textId="31B999A8" w:rsidR="005A40C6" w:rsidRDefault="005A40C6" w:rsidP="005A40C6">
      <w:r>
        <w:t>Les récepteurs sensibles concernent principalement le personnel de chantier, exposé directement aux sources de bruit et de vibration, avec une sensibilité forte en raison de la proximité et de la durée d’exposition. Les usagers et travailleurs permanents de l’aéroport présentent une sensibilité moyenne, car situés à distance raisonnable des zones de travaux. Enfin, les habitants d</w:t>
      </w:r>
      <w:r w:rsidR="00874EC5">
        <w:t xml:space="preserve">e Bouakkaz </w:t>
      </w:r>
      <w:r>
        <w:t>présentent une sensibilité faible, compte tenu de leur éloignement et de la propagation limitée du bruit dans cet environnement.</w:t>
      </w:r>
    </w:p>
    <w:p w14:paraId="3035B5FD" w14:textId="5BC57831" w:rsidR="0094624A" w:rsidRDefault="005A40C6" w:rsidP="005A40C6">
      <w:r>
        <w:lastRenderedPageBreak/>
        <w:t>L’impact sonore est donc modéré à localement majeur pour les travailleurs de chantier, modéré pour les usagers de la plateforme et mineur pour les communautés environnantes. Il demeure temporaire, réversible et maîtrisable par l’application de mesures de gestion adaptées (planification des horaires, entretien du matériel, limitation du trafic d’engins, dispositifs de signalisation sonore).</w:t>
      </w:r>
    </w:p>
    <w:tbl>
      <w:tblPr>
        <w:tblStyle w:val="TableauGrille1Clair-Accentuation111"/>
        <w:tblW w:w="5000" w:type="pct"/>
        <w:tblLook w:val="04A0" w:firstRow="1" w:lastRow="0" w:firstColumn="1" w:lastColumn="0" w:noHBand="0" w:noVBand="1"/>
      </w:tblPr>
      <w:tblGrid>
        <w:gridCol w:w="1114"/>
        <w:gridCol w:w="2136"/>
        <w:gridCol w:w="1404"/>
        <w:gridCol w:w="2964"/>
        <w:gridCol w:w="1442"/>
      </w:tblGrid>
      <w:tr w:rsidR="00827D44" w:rsidRPr="00A85BB1" w14:paraId="1AE8DCCB" w14:textId="77777777" w:rsidTr="004637C7">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614" w:type="pct"/>
          </w:tcPr>
          <w:p w14:paraId="1E70882F" w14:textId="77777777" w:rsidR="00827D44" w:rsidRPr="00AA22F2" w:rsidRDefault="00827D44" w:rsidP="000A3EA4">
            <w:pPr>
              <w:rPr>
                <w:szCs w:val="20"/>
              </w:rPr>
            </w:pPr>
            <w:r w:rsidRPr="00AA22F2">
              <w:rPr>
                <w:szCs w:val="20"/>
              </w:rPr>
              <w:t>Impact</w:t>
            </w:r>
          </w:p>
        </w:tc>
        <w:tc>
          <w:tcPr>
            <w:tcW w:w="1179" w:type="pct"/>
          </w:tcPr>
          <w:p w14:paraId="5E2531B6" w14:textId="77777777" w:rsidR="00827D44" w:rsidRPr="00AA22F2" w:rsidRDefault="00827D44" w:rsidP="000A3EA4">
            <w:pPr>
              <w:cnfStyle w:val="100000000000" w:firstRow="1" w:lastRow="0" w:firstColumn="0" w:lastColumn="0" w:oddVBand="0" w:evenVBand="0" w:oddHBand="0" w:evenHBand="0" w:firstRowFirstColumn="0" w:firstRowLastColumn="0" w:lastRowFirstColumn="0" w:lastRowLastColumn="0"/>
              <w:rPr>
                <w:szCs w:val="20"/>
              </w:rPr>
            </w:pPr>
            <w:r w:rsidRPr="00AA22F2">
              <w:rPr>
                <w:szCs w:val="20"/>
              </w:rPr>
              <w:t>Activités génératrices</w:t>
            </w:r>
          </w:p>
        </w:tc>
        <w:tc>
          <w:tcPr>
            <w:tcW w:w="775" w:type="pct"/>
            <w:vAlign w:val="center"/>
            <w:hideMark/>
          </w:tcPr>
          <w:p w14:paraId="53F10DA0" w14:textId="77777777" w:rsidR="00827D44" w:rsidRPr="00AA22F2" w:rsidRDefault="00827D44" w:rsidP="000A3EA4">
            <w:pPr>
              <w:jc w:val="left"/>
              <w:cnfStyle w:val="100000000000" w:firstRow="1" w:lastRow="0" w:firstColumn="0" w:lastColumn="0" w:oddVBand="0" w:evenVBand="0" w:oddHBand="0" w:evenHBand="0" w:firstRowFirstColumn="0" w:firstRowLastColumn="0" w:lastRowFirstColumn="0" w:lastRowLastColumn="0"/>
              <w:rPr>
                <w:szCs w:val="20"/>
              </w:rPr>
            </w:pPr>
            <w:r w:rsidRPr="00AA22F2">
              <w:rPr>
                <w:szCs w:val="20"/>
              </w:rPr>
              <w:t>Critère</w:t>
            </w:r>
          </w:p>
        </w:tc>
        <w:tc>
          <w:tcPr>
            <w:tcW w:w="1636" w:type="pct"/>
            <w:hideMark/>
          </w:tcPr>
          <w:p w14:paraId="61A48C4A" w14:textId="77777777" w:rsidR="00827D44" w:rsidRPr="00AA22F2" w:rsidRDefault="00827D44" w:rsidP="000A3EA4">
            <w:pPr>
              <w:cnfStyle w:val="100000000000" w:firstRow="1" w:lastRow="0" w:firstColumn="0" w:lastColumn="0" w:oddVBand="0" w:evenVBand="0" w:oddHBand="0" w:evenHBand="0" w:firstRowFirstColumn="0" w:firstRowLastColumn="0" w:lastRowFirstColumn="0" w:lastRowLastColumn="0"/>
              <w:rPr>
                <w:szCs w:val="20"/>
              </w:rPr>
            </w:pPr>
            <w:r w:rsidRPr="00AA22F2">
              <w:rPr>
                <w:szCs w:val="20"/>
              </w:rPr>
              <w:t>Justification</w:t>
            </w:r>
          </w:p>
        </w:tc>
        <w:tc>
          <w:tcPr>
            <w:tcW w:w="797" w:type="pct"/>
            <w:hideMark/>
          </w:tcPr>
          <w:p w14:paraId="00A6D292" w14:textId="77777777" w:rsidR="00827D44" w:rsidRPr="00AA22F2" w:rsidRDefault="00827D44" w:rsidP="000A3EA4">
            <w:pPr>
              <w:cnfStyle w:val="100000000000" w:firstRow="1" w:lastRow="0" w:firstColumn="0" w:lastColumn="0" w:oddVBand="0" w:evenVBand="0" w:oddHBand="0" w:evenHBand="0" w:firstRowFirstColumn="0" w:firstRowLastColumn="0" w:lastRowFirstColumn="0" w:lastRowLastColumn="0"/>
              <w:rPr>
                <w:szCs w:val="20"/>
              </w:rPr>
            </w:pPr>
            <w:r w:rsidRPr="00AA22F2">
              <w:rPr>
                <w:szCs w:val="20"/>
              </w:rPr>
              <w:t>Niveau</w:t>
            </w:r>
          </w:p>
        </w:tc>
      </w:tr>
      <w:tr w:rsidR="00573613" w:rsidRPr="00A85BB1" w14:paraId="7C482E6D" w14:textId="77777777" w:rsidTr="004637C7">
        <w:tc>
          <w:tcPr>
            <w:cnfStyle w:val="001000000000" w:firstRow="0" w:lastRow="0" w:firstColumn="1" w:lastColumn="0" w:oddVBand="0" w:evenVBand="0" w:oddHBand="0" w:evenHBand="0" w:firstRowFirstColumn="0" w:firstRowLastColumn="0" w:lastRowFirstColumn="0" w:lastRowLastColumn="0"/>
            <w:tcW w:w="0" w:type="pct"/>
            <w:vMerge w:val="restart"/>
            <w:textDirection w:val="tbRl"/>
            <w:vAlign w:val="center"/>
          </w:tcPr>
          <w:p w14:paraId="726B2299" w14:textId="77777777" w:rsidR="00573613" w:rsidRPr="00AA22F2" w:rsidRDefault="00573613" w:rsidP="004637C7">
            <w:pPr>
              <w:ind w:left="113" w:right="113"/>
              <w:jc w:val="center"/>
              <w:rPr>
                <w:b w:val="0"/>
                <w:bCs w:val="0"/>
                <w:szCs w:val="20"/>
              </w:rPr>
            </w:pPr>
            <w:r w:rsidRPr="00AA22F2">
              <w:rPr>
                <w:szCs w:val="20"/>
              </w:rPr>
              <w:t>Emissions sonores</w:t>
            </w:r>
          </w:p>
        </w:tc>
        <w:tc>
          <w:tcPr>
            <w:tcW w:w="0" w:type="pct"/>
            <w:vMerge w:val="restart"/>
            <w:vAlign w:val="center"/>
          </w:tcPr>
          <w:p w14:paraId="131B3E89" w14:textId="3D04E2DD" w:rsidR="00573613" w:rsidRPr="00AA22F2" w:rsidRDefault="00D75A0C" w:rsidP="004637C7">
            <w:pPr>
              <w:jc w:val="left"/>
              <w:cnfStyle w:val="000000000000" w:firstRow="0" w:lastRow="0" w:firstColumn="0" w:lastColumn="0" w:oddVBand="0" w:evenVBand="0" w:oddHBand="0" w:evenHBand="0" w:firstRowFirstColumn="0" w:firstRowLastColumn="0" w:lastRowFirstColumn="0" w:lastRowLastColumn="0"/>
              <w:rPr>
                <w:szCs w:val="20"/>
              </w:rPr>
            </w:pPr>
            <w:r w:rsidRPr="004637C7">
              <w:rPr>
                <w:szCs w:val="20"/>
              </w:rPr>
              <w:t>Travaux de terrassement, compactage, mise en œuvre des corps de chaussée, marquage au sol, installation des mâts d’éclairage et balisage lumineux, circulation des engins et camions de transport</w:t>
            </w:r>
          </w:p>
        </w:tc>
        <w:tc>
          <w:tcPr>
            <w:tcW w:w="0" w:type="pct"/>
            <w:vAlign w:val="center"/>
            <w:hideMark/>
          </w:tcPr>
          <w:p w14:paraId="173ABBB4" w14:textId="77777777" w:rsidR="00573613" w:rsidRPr="00AA22F2" w:rsidRDefault="00573613" w:rsidP="000A3EA4">
            <w:pPr>
              <w:jc w:val="left"/>
              <w:cnfStyle w:val="000000000000" w:firstRow="0" w:lastRow="0" w:firstColumn="0" w:lastColumn="0" w:oddVBand="0" w:evenVBand="0" w:oddHBand="0" w:evenHBand="0" w:firstRowFirstColumn="0" w:firstRowLastColumn="0" w:lastRowFirstColumn="0" w:lastRowLastColumn="0"/>
              <w:rPr>
                <w:szCs w:val="20"/>
              </w:rPr>
            </w:pPr>
            <w:r w:rsidRPr="00AA22F2">
              <w:rPr>
                <w:b/>
                <w:bCs/>
                <w:szCs w:val="20"/>
              </w:rPr>
              <w:t>Nature</w:t>
            </w:r>
          </w:p>
        </w:tc>
        <w:tc>
          <w:tcPr>
            <w:tcW w:w="0" w:type="pct"/>
            <w:gridSpan w:val="2"/>
          </w:tcPr>
          <w:p w14:paraId="433FA921" w14:textId="77777777" w:rsidR="00573613" w:rsidRPr="00AA22F2" w:rsidRDefault="00573613" w:rsidP="000A3EA4">
            <w:pPr>
              <w:cnfStyle w:val="000000000000" w:firstRow="0" w:lastRow="0" w:firstColumn="0" w:lastColumn="0" w:oddVBand="0" w:evenVBand="0" w:oddHBand="0" w:evenHBand="0" w:firstRowFirstColumn="0" w:firstRowLastColumn="0" w:lastRowFirstColumn="0" w:lastRowLastColumn="0"/>
              <w:rPr>
                <w:szCs w:val="20"/>
              </w:rPr>
            </w:pPr>
            <w:r w:rsidRPr="00AA22F2">
              <w:rPr>
                <w:szCs w:val="20"/>
              </w:rPr>
              <w:t>Négatif direct</w:t>
            </w:r>
          </w:p>
        </w:tc>
      </w:tr>
      <w:tr w:rsidR="00573613" w:rsidRPr="00A85BB1" w14:paraId="60EF50B5" w14:textId="77777777" w:rsidTr="00573613">
        <w:tc>
          <w:tcPr>
            <w:cnfStyle w:val="001000000000" w:firstRow="0" w:lastRow="0" w:firstColumn="1" w:lastColumn="0" w:oddVBand="0" w:evenVBand="0" w:oddHBand="0" w:evenHBand="0" w:firstRowFirstColumn="0" w:firstRowLastColumn="0" w:lastRowFirstColumn="0" w:lastRowLastColumn="0"/>
            <w:tcW w:w="614" w:type="pct"/>
            <w:vMerge/>
            <w:vAlign w:val="center"/>
          </w:tcPr>
          <w:p w14:paraId="782A0AD3" w14:textId="77777777" w:rsidR="00573613" w:rsidRPr="00AA22F2" w:rsidRDefault="00573613" w:rsidP="000A3EA4">
            <w:pPr>
              <w:jc w:val="left"/>
              <w:rPr>
                <w:b w:val="0"/>
                <w:bCs w:val="0"/>
                <w:szCs w:val="20"/>
              </w:rPr>
            </w:pPr>
          </w:p>
        </w:tc>
        <w:tc>
          <w:tcPr>
            <w:tcW w:w="1179" w:type="pct"/>
            <w:vMerge/>
            <w:vAlign w:val="center"/>
          </w:tcPr>
          <w:p w14:paraId="7FEE2AF9" w14:textId="77777777" w:rsidR="00573613" w:rsidRPr="00AA22F2" w:rsidRDefault="00573613" w:rsidP="000A3EA4">
            <w:pPr>
              <w:jc w:val="left"/>
              <w:cnfStyle w:val="000000000000" w:firstRow="0" w:lastRow="0" w:firstColumn="0" w:lastColumn="0" w:oddVBand="0" w:evenVBand="0" w:oddHBand="0" w:evenHBand="0" w:firstRowFirstColumn="0" w:firstRowLastColumn="0" w:lastRowFirstColumn="0" w:lastRowLastColumn="0"/>
              <w:rPr>
                <w:b/>
                <w:bCs/>
                <w:szCs w:val="20"/>
              </w:rPr>
            </w:pPr>
          </w:p>
        </w:tc>
        <w:tc>
          <w:tcPr>
            <w:tcW w:w="775" w:type="pct"/>
            <w:vAlign w:val="center"/>
            <w:hideMark/>
          </w:tcPr>
          <w:p w14:paraId="6EF38911" w14:textId="77777777" w:rsidR="00573613" w:rsidRPr="00AA22F2" w:rsidRDefault="00573613" w:rsidP="000A3EA4">
            <w:pPr>
              <w:jc w:val="left"/>
              <w:cnfStyle w:val="000000000000" w:firstRow="0" w:lastRow="0" w:firstColumn="0" w:lastColumn="0" w:oddVBand="0" w:evenVBand="0" w:oddHBand="0" w:evenHBand="0" w:firstRowFirstColumn="0" w:firstRowLastColumn="0" w:lastRowFirstColumn="0" w:lastRowLastColumn="0"/>
              <w:rPr>
                <w:szCs w:val="20"/>
              </w:rPr>
            </w:pPr>
            <w:r w:rsidRPr="00AA22F2">
              <w:rPr>
                <w:b/>
                <w:bCs/>
                <w:szCs w:val="20"/>
              </w:rPr>
              <w:t>Étendue</w:t>
            </w:r>
          </w:p>
        </w:tc>
        <w:tc>
          <w:tcPr>
            <w:tcW w:w="1636" w:type="pct"/>
          </w:tcPr>
          <w:p w14:paraId="0FDE3FB3" w14:textId="25B2D8B8" w:rsidR="00573613" w:rsidRPr="00AA22F2" w:rsidRDefault="00A85BB1" w:rsidP="000A3EA4">
            <w:pPr>
              <w:cnfStyle w:val="000000000000" w:firstRow="0" w:lastRow="0" w:firstColumn="0" w:lastColumn="0" w:oddVBand="0" w:evenVBand="0" w:oddHBand="0" w:evenHBand="0" w:firstRowFirstColumn="0" w:firstRowLastColumn="0" w:lastRowFirstColumn="0" w:lastRowLastColumn="0"/>
              <w:rPr>
                <w:szCs w:val="20"/>
              </w:rPr>
            </w:pPr>
            <w:r w:rsidRPr="00AA22F2">
              <w:rPr>
                <w:szCs w:val="20"/>
              </w:rPr>
              <w:t>Effets limités à l’emprise aéroportuaire et aux zones de chantier, sans propagation notable au-delà des limites du site</w:t>
            </w:r>
          </w:p>
        </w:tc>
        <w:tc>
          <w:tcPr>
            <w:tcW w:w="797" w:type="pct"/>
          </w:tcPr>
          <w:p w14:paraId="5C3E6681" w14:textId="77777777" w:rsidR="00573613" w:rsidRPr="00AA22F2" w:rsidRDefault="00573613" w:rsidP="000A3EA4">
            <w:pPr>
              <w:cnfStyle w:val="000000000000" w:firstRow="0" w:lastRow="0" w:firstColumn="0" w:lastColumn="0" w:oddVBand="0" w:evenVBand="0" w:oddHBand="0" w:evenHBand="0" w:firstRowFirstColumn="0" w:firstRowLastColumn="0" w:lastRowFirstColumn="0" w:lastRowLastColumn="0"/>
              <w:rPr>
                <w:szCs w:val="20"/>
              </w:rPr>
            </w:pPr>
            <w:r w:rsidRPr="00AA22F2">
              <w:rPr>
                <w:szCs w:val="20"/>
              </w:rPr>
              <w:t>Locale</w:t>
            </w:r>
          </w:p>
        </w:tc>
      </w:tr>
      <w:tr w:rsidR="00573613" w:rsidRPr="00A85BB1" w14:paraId="5CAA9F10" w14:textId="77777777" w:rsidTr="00573613">
        <w:tc>
          <w:tcPr>
            <w:cnfStyle w:val="001000000000" w:firstRow="0" w:lastRow="0" w:firstColumn="1" w:lastColumn="0" w:oddVBand="0" w:evenVBand="0" w:oddHBand="0" w:evenHBand="0" w:firstRowFirstColumn="0" w:firstRowLastColumn="0" w:lastRowFirstColumn="0" w:lastRowLastColumn="0"/>
            <w:tcW w:w="614" w:type="pct"/>
            <w:vMerge/>
            <w:vAlign w:val="center"/>
          </w:tcPr>
          <w:p w14:paraId="57F81488" w14:textId="77777777" w:rsidR="00573613" w:rsidRPr="00AA22F2" w:rsidRDefault="00573613" w:rsidP="000A3EA4">
            <w:pPr>
              <w:jc w:val="left"/>
              <w:rPr>
                <w:b w:val="0"/>
                <w:bCs w:val="0"/>
                <w:szCs w:val="20"/>
              </w:rPr>
            </w:pPr>
          </w:p>
        </w:tc>
        <w:tc>
          <w:tcPr>
            <w:tcW w:w="1179" w:type="pct"/>
            <w:vMerge/>
            <w:vAlign w:val="center"/>
          </w:tcPr>
          <w:p w14:paraId="63388B02" w14:textId="77777777" w:rsidR="00573613" w:rsidRPr="00AA22F2" w:rsidRDefault="00573613" w:rsidP="000A3EA4">
            <w:pPr>
              <w:jc w:val="left"/>
              <w:cnfStyle w:val="000000000000" w:firstRow="0" w:lastRow="0" w:firstColumn="0" w:lastColumn="0" w:oddVBand="0" w:evenVBand="0" w:oddHBand="0" w:evenHBand="0" w:firstRowFirstColumn="0" w:firstRowLastColumn="0" w:lastRowFirstColumn="0" w:lastRowLastColumn="0"/>
              <w:rPr>
                <w:b/>
                <w:bCs/>
                <w:szCs w:val="20"/>
              </w:rPr>
            </w:pPr>
          </w:p>
        </w:tc>
        <w:tc>
          <w:tcPr>
            <w:tcW w:w="775" w:type="pct"/>
            <w:vAlign w:val="center"/>
            <w:hideMark/>
          </w:tcPr>
          <w:p w14:paraId="0B39B142" w14:textId="77777777" w:rsidR="00573613" w:rsidRPr="00AA22F2" w:rsidRDefault="00573613" w:rsidP="000A3EA4">
            <w:pPr>
              <w:jc w:val="left"/>
              <w:cnfStyle w:val="000000000000" w:firstRow="0" w:lastRow="0" w:firstColumn="0" w:lastColumn="0" w:oddVBand="0" w:evenVBand="0" w:oddHBand="0" w:evenHBand="0" w:firstRowFirstColumn="0" w:firstRowLastColumn="0" w:lastRowFirstColumn="0" w:lastRowLastColumn="0"/>
              <w:rPr>
                <w:szCs w:val="20"/>
              </w:rPr>
            </w:pPr>
            <w:r w:rsidRPr="00AA22F2">
              <w:rPr>
                <w:b/>
                <w:bCs/>
                <w:szCs w:val="20"/>
              </w:rPr>
              <w:t>Durée</w:t>
            </w:r>
          </w:p>
        </w:tc>
        <w:tc>
          <w:tcPr>
            <w:tcW w:w="1636" w:type="pct"/>
          </w:tcPr>
          <w:p w14:paraId="3F51E92C" w14:textId="35C51DEE" w:rsidR="00573613" w:rsidRPr="00AA22F2" w:rsidRDefault="00A85BB1" w:rsidP="000A3EA4">
            <w:pPr>
              <w:cnfStyle w:val="000000000000" w:firstRow="0" w:lastRow="0" w:firstColumn="0" w:lastColumn="0" w:oddVBand="0" w:evenVBand="0" w:oddHBand="0" w:evenHBand="0" w:firstRowFirstColumn="0" w:firstRowLastColumn="0" w:lastRowFirstColumn="0" w:lastRowLastColumn="0"/>
              <w:rPr>
                <w:szCs w:val="20"/>
              </w:rPr>
            </w:pPr>
            <w:r w:rsidRPr="00AA22F2">
              <w:rPr>
                <w:szCs w:val="20"/>
              </w:rPr>
              <w:t>Bruit temporaire, lié à la période de avec des pics ponctuels durant certaines opérations (compactage, marquage)</w:t>
            </w:r>
          </w:p>
        </w:tc>
        <w:tc>
          <w:tcPr>
            <w:tcW w:w="797" w:type="pct"/>
          </w:tcPr>
          <w:p w14:paraId="446B1FAA" w14:textId="287737C5" w:rsidR="00573613" w:rsidRPr="00AA22F2" w:rsidRDefault="00A85BB1" w:rsidP="000A3EA4">
            <w:pPr>
              <w:cnfStyle w:val="000000000000" w:firstRow="0" w:lastRow="0" w:firstColumn="0" w:lastColumn="0" w:oddVBand="0" w:evenVBand="0" w:oddHBand="0" w:evenHBand="0" w:firstRowFirstColumn="0" w:firstRowLastColumn="0" w:lastRowFirstColumn="0" w:lastRowLastColumn="0"/>
              <w:rPr>
                <w:szCs w:val="20"/>
              </w:rPr>
            </w:pPr>
            <w:r w:rsidRPr="00AA22F2">
              <w:rPr>
                <w:szCs w:val="20"/>
              </w:rPr>
              <w:t>court</w:t>
            </w:r>
            <w:r w:rsidR="00573613" w:rsidRPr="00AA22F2">
              <w:rPr>
                <w:szCs w:val="20"/>
              </w:rPr>
              <w:t xml:space="preserve"> terme</w:t>
            </w:r>
          </w:p>
        </w:tc>
      </w:tr>
      <w:tr w:rsidR="00573613" w:rsidRPr="00A85BB1" w14:paraId="507DDEA4" w14:textId="77777777" w:rsidTr="00573613">
        <w:tc>
          <w:tcPr>
            <w:cnfStyle w:val="001000000000" w:firstRow="0" w:lastRow="0" w:firstColumn="1" w:lastColumn="0" w:oddVBand="0" w:evenVBand="0" w:oddHBand="0" w:evenHBand="0" w:firstRowFirstColumn="0" w:firstRowLastColumn="0" w:lastRowFirstColumn="0" w:lastRowLastColumn="0"/>
            <w:tcW w:w="614" w:type="pct"/>
            <w:vMerge/>
            <w:vAlign w:val="center"/>
          </w:tcPr>
          <w:p w14:paraId="18A50EA5" w14:textId="77777777" w:rsidR="00573613" w:rsidRPr="00AA22F2" w:rsidRDefault="00573613" w:rsidP="000A3EA4">
            <w:pPr>
              <w:jc w:val="left"/>
              <w:rPr>
                <w:b w:val="0"/>
                <w:bCs w:val="0"/>
                <w:szCs w:val="20"/>
              </w:rPr>
            </w:pPr>
          </w:p>
        </w:tc>
        <w:tc>
          <w:tcPr>
            <w:tcW w:w="1179" w:type="pct"/>
            <w:vMerge/>
            <w:vAlign w:val="center"/>
          </w:tcPr>
          <w:p w14:paraId="0F2F7DA7" w14:textId="77777777" w:rsidR="00573613" w:rsidRPr="00AA22F2" w:rsidRDefault="00573613" w:rsidP="000A3EA4">
            <w:pPr>
              <w:jc w:val="left"/>
              <w:cnfStyle w:val="000000000000" w:firstRow="0" w:lastRow="0" w:firstColumn="0" w:lastColumn="0" w:oddVBand="0" w:evenVBand="0" w:oddHBand="0" w:evenHBand="0" w:firstRowFirstColumn="0" w:firstRowLastColumn="0" w:lastRowFirstColumn="0" w:lastRowLastColumn="0"/>
              <w:rPr>
                <w:b/>
                <w:bCs/>
                <w:szCs w:val="20"/>
              </w:rPr>
            </w:pPr>
          </w:p>
        </w:tc>
        <w:tc>
          <w:tcPr>
            <w:tcW w:w="775" w:type="pct"/>
            <w:vAlign w:val="center"/>
            <w:hideMark/>
          </w:tcPr>
          <w:p w14:paraId="2BF41B81" w14:textId="77777777" w:rsidR="00573613" w:rsidRPr="00AA22F2" w:rsidRDefault="00573613" w:rsidP="000A3EA4">
            <w:pPr>
              <w:jc w:val="left"/>
              <w:cnfStyle w:val="000000000000" w:firstRow="0" w:lastRow="0" w:firstColumn="0" w:lastColumn="0" w:oddVBand="0" w:evenVBand="0" w:oddHBand="0" w:evenHBand="0" w:firstRowFirstColumn="0" w:firstRowLastColumn="0" w:lastRowFirstColumn="0" w:lastRowLastColumn="0"/>
              <w:rPr>
                <w:szCs w:val="20"/>
              </w:rPr>
            </w:pPr>
            <w:r w:rsidRPr="00AA22F2">
              <w:rPr>
                <w:b/>
                <w:bCs/>
                <w:szCs w:val="20"/>
              </w:rPr>
              <w:t>Fréquence</w:t>
            </w:r>
          </w:p>
        </w:tc>
        <w:tc>
          <w:tcPr>
            <w:tcW w:w="1636" w:type="pct"/>
          </w:tcPr>
          <w:p w14:paraId="4ECFE14E" w14:textId="5A6C6768" w:rsidR="00573613" w:rsidRPr="00AA22F2" w:rsidRDefault="00A85BB1" w:rsidP="000A3EA4">
            <w:pPr>
              <w:cnfStyle w:val="000000000000" w:firstRow="0" w:lastRow="0" w:firstColumn="0" w:lastColumn="0" w:oddVBand="0" w:evenVBand="0" w:oddHBand="0" w:evenHBand="0" w:firstRowFirstColumn="0" w:firstRowLastColumn="0" w:lastRowFirstColumn="0" w:lastRowLastColumn="0"/>
              <w:rPr>
                <w:szCs w:val="20"/>
              </w:rPr>
            </w:pPr>
            <w:r w:rsidRPr="00AA22F2">
              <w:rPr>
                <w:szCs w:val="20"/>
              </w:rPr>
              <w:t>Bruits quasi-continus en journée lors des gros travaux, et intermittents pendant les opérations de transport et de finition</w:t>
            </w:r>
          </w:p>
        </w:tc>
        <w:tc>
          <w:tcPr>
            <w:tcW w:w="797" w:type="pct"/>
          </w:tcPr>
          <w:p w14:paraId="18034514" w14:textId="77777777" w:rsidR="00573613" w:rsidRPr="00AA22F2" w:rsidRDefault="00573613" w:rsidP="000A3EA4">
            <w:pPr>
              <w:cnfStyle w:val="000000000000" w:firstRow="0" w:lastRow="0" w:firstColumn="0" w:lastColumn="0" w:oddVBand="0" w:evenVBand="0" w:oddHBand="0" w:evenHBand="0" w:firstRowFirstColumn="0" w:firstRowLastColumn="0" w:lastRowFirstColumn="0" w:lastRowLastColumn="0"/>
              <w:rPr>
                <w:szCs w:val="20"/>
              </w:rPr>
            </w:pPr>
            <w:r w:rsidRPr="00AA22F2">
              <w:rPr>
                <w:szCs w:val="20"/>
              </w:rPr>
              <w:t>Continue (diurne) avec intermittence ponctuelle</w:t>
            </w:r>
          </w:p>
        </w:tc>
      </w:tr>
      <w:tr w:rsidR="00573613" w:rsidRPr="00A85BB1" w14:paraId="53A45D63" w14:textId="77777777" w:rsidTr="00573613">
        <w:tc>
          <w:tcPr>
            <w:cnfStyle w:val="001000000000" w:firstRow="0" w:lastRow="0" w:firstColumn="1" w:lastColumn="0" w:oddVBand="0" w:evenVBand="0" w:oddHBand="0" w:evenHBand="0" w:firstRowFirstColumn="0" w:firstRowLastColumn="0" w:lastRowFirstColumn="0" w:lastRowLastColumn="0"/>
            <w:tcW w:w="614" w:type="pct"/>
            <w:vMerge/>
            <w:shd w:val="clear" w:color="auto" w:fill="D9E2F3" w:themeFill="accent1" w:themeFillTint="33"/>
            <w:vAlign w:val="center"/>
          </w:tcPr>
          <w:p w14:paraId="07D31345" w14:textId="77777777" w:rsidR="00573613" w:rsidRPr="00AA22F2" w:rsidRDefault="00573613" w:rsidP="000A3EA4">
            <w:pPr>
              <w:jc w:val="left"/>
              <w:rPr>
                <w:b w:val="0"/>
                <w:bCs w:val="0"/>
                <w:szCs w:val="20"/>
              </w:rPr>
            </w:pPr>
          </w:p>
        </w:tc>
        <w:tc>
          <w:tcPr>
            <w:tcW w:w="1179" w:type="pct"/>
            <w:vMerge/>
            <w:shd w:val="clear" w:color="auto" w:fill="D9E2F3" w:themeFill="accent1" w:themeFillTint="33"/>
            <w:vAlign w:val="center"/>
          </w:tcPr>
          <w:p w14:paraId="479701CD" w14:textId="77777777" w:rsidR="00573613" w:rsidRPr="00AA22F2" w:rsidRDefault="00573613" w:rsidP="000A3EA4">
            <w:pPr>
              <w:jc w:val="left"/>
              <w:cnfStyle w:val="000000000000" w:firstRow="0" w:lastRow="0" w:firstColumn="0" w:lastColumn="0" w:oddVBand="0" w:evenVBand="0" w:oddHBand="0" w:evenHBand="0" w:firstRowFirstColumn="0" w:firstRowLastColumn="0" w:lastRowFirstColumn="0" w:lastRowLastColumn="0"/>
              <w:rPr>
                <w:b/>
                <w:bCs/>
                <w:szCs w:val="20"/>
              </w:rPr>
            </w:pPr>
          </w:p>
        </w:tc>
        <w:tc>
          <w:tcPr>
            <w:tcW w:w="775" w:type="pct"/>
            <w:tcBorders>
              <w:right w:val="single" w:sz="4" w:space="0" w:color="BFBFBF" w:themeColor="background1" w:themeShade="BF"/>
            </w:tcBorders>
            <w:shd w:val="clear" w:color="auto" w:fill="D9E2F3" w:themeFill="accent1" w:themeFillTint="33"/>
            <w:vAlign w:val="center"/>
          </w:tcPr>
          <w:p w14:paraId="072CF71C" w14:textId="77777777" w:rsidR="00573613" w:rsidRPr="00AA22F2" w:rsidRDefault="00573613" w:rsidP="000A3EA4">
            <w:pPr>
              <w:jc w:val="left"/>
              <w:cnfStyle w:val="000000000000" w:firstRow="0" w:lastRow="0" w:firstColumn="0" w:lastColumn="0" w:oddVBand="0" w:evenVBand="0" w:oddHBand="0" w:evenHBand="0" w:firstRowFirstColumn="0" w:firstRowLastColumn="0" w:lastRowFirstColumn="0" w:lastRowLastColumn="0"/>
              <w:rPr>
                <w:b/>
                <w:bCs/>
                <w:szCs w:val="20"/>
              </w:rPr>
            </w:pPr>
            <w:r w:rsidRPr="00AA22F2">
              <w:rPr>
                <w:b/>
                <w:bCs/>
                <w:szCs w:val="20"/>
              </w:rPr>
              <w:t xml:space="preserve">Intensité de l’impact </w:t>
            </w:r>
          </w:p>
        </w:tc>
        <w:tc>
          <w:tcPr>
            <w:tcW w:w="1636" w:type="pct"/>
            <w:tcBorders>
              <w:left w:val="single" w:sz="4" w:space="0" w:color="BFBFBF" w:themeColor="background1" w:themeShade="BF"/>
            </w:tcBorders>
            <w:shd w:val="clear" w:color="auto" w:fill="D9E2F3" w:themeFill="accent1" w:themeFillTint="33"/>
          </w:tcPr>
          <w:p w14:paraId="63109448" w14:textId="6D07782B" w:rsidR="00573613" w:rsidRPr="00AA22F2" w:rsidRDefault="00A85BB1" w:rsidP="000A3EA4">
            <w:pPr>
              <w:cnfStyle w:val="000000000000" w:firstRow="0" w:lastRow="0" w:firstColumn="0" w:lastColumn="0" w:oddVBand="0" w:evenVBand="0" w:oddHBand="0" w:evenHBand="0" w:firstRowFirstColumn="0" w:firstRowLastColumn="0" w:lastRowFirstColumn="0" w:lastRowLastColumn="0"/>
              <w:rPr>
                <w:szCs w:val="20"/>
              </w:rPr>
            </w:pPr>
            <w:r w:rsidRPr="00AA22F2">
              <w:rPr>
                <w:b/>
                <w:bCs/>
                <w:szCs w:val="20"/>
              </w:rPr>
              <w:t>Moyenne à forte</w:t>
            </w:r>
            <w:r w:rsidRPr="00AA22F2">
              <w:rPr>
                <w:szCs w:val="20"/>
              </w:rPr>
              <w:t>, avec des pics ponctuels (70–80 dB(A)) lors de l’utilisation simultanée de plusieurs engins ; impact réversible à la fin des travaux</w:t>
            </w:r>
          </w:p>
        </w:tc>
        <w:tc>
          <w:tcPr>
            <w:tcW w:w="797" w:type="pct"/>
            <w:shd w:val="clear" w:color="auto" w:fill="D9E2F3" w:themeFill="accent1" w:themeFillTint="33"/>
          </w:tcPr>
          <w:p w14:paraId="6AF4FD40" w14:textId="2A4ECC18" w:rsidR="00573613" w:rsidRPr="00AA22F2" w:rsidRDefault="00573613" w:rsidP="000A3EA4">
            <w:pPr>
              <w:cnfStyle w:val="000000000000" w:firstRow="0" w:lastRow="0" w:firstColumn="0" w:lastColumn="0" w:oddVBand="0" w:evenVBand="0" w:oddHBand="0" w:evenHBand="0" w:firstRowFirstColumn="0" w:firstRowLastColumn="0" w:lastRowFirstColumn="0" w:lastRowLastColumn="0"/>
              <w:rPr>
                <w:b/>
                <w:bCs/>
                <w:szCs w:val="20"/>
              </w:rPr>
            </w:pPr>
            <w:r w:rsidRPr="00AA22F2">
              <w:rPr>
                <w:b/>
                <w:bCs/>
                <w:szCs w:val="20"/>
              </w:rPr>
              <w:t>Moyenne</w:t>
            </w:r>
            <w:r w:rsidR="00A85BB1" w:rsidRPr="00AA22F2">
              <w:rPr>
                <w:b/>
                <w:bCs/>
                <w:szCs w:val="20"/>
              </w:rPr>
              <w:t xml:space="preserve"> à forte</w:t>
            </w:r>
          </w:p>
        </w:tc>
      </w:tr>
      <w:tr w:rsidR="00573613" w:rsidRPr="00A85BB1" w14:paraId="11A0D8B1" w14:textId="77777777" w:rsidTr="004637C7">
        <w:tc>
          <w:tcPr>
            <w:cnfStyle w:val="001000000000" w:firstRow="0" w:lastRow="0" w:firstColumn="1" w:lastColumn="0" w:oddVBand="0" w:evenVBand="0" w:oddHBand="0" w:evenHBand="0" w:firstRowFirstColumn="0" w:firstRowLastColumn="0" w:lastRowFirstColumn="0" w:lastRowLastColumn="0"/>
            <w:tcW w:w="614" w:type="pct"/>
            <w:vMerge/>
            <w:shd w:val="clear" w:color="auto" w:fill="D9E2F3" w:themeFill="accent1" w:themeFillTint="33"/>
            <w:vAlign w:val="center"/>
          </w:tcPr>
          <w:p w14:paraId="23CE1554" w14:textId="77777777" w:rsidR="00573613" w:rsidRPr="00AA22F2" w:rsidRDefault="00573613" w:rsidP="000A3EA4">
            <w:pPr>
              <w:jc w:val="left"/>
              <w:rPr>
                <w:b w:val="0"/>
                <w:bCs w:val="0"/>
                <w:szCs w:val="20"/>
              </w:rPr>
            </w:pPr>
          </w:p>
        </w:tc>
        <w:tc>
          <w:tcPr>
            <w:tcW w:w="4386" w:type="pct"/>
            <w:gridSpan w:val="4"/>
            <w:vAlign w:val="center"/>
          </w:tcPr>
          <w:p w14:paraId="704E946C" w14:textId="77777777" w:rsidR="00573613" w:rsidRPr="00AA22F2" w:rsidRDefault="00573613" w:rsidP="004637C7">
            <w:pPr>
              <w:spacing w:before="0" w:after="0"/>
              <w:cnfStyle w:val="000000000000" w:firstRow="0" w:lastRow="0" w:firstColumn="0" w:lastColumn="0" w:oddVBand="0" w:evenVBand="0" w:oddHBand="0" w:evenHBand="0" w:firstRowFirstColumn="0" w:firstRowLastColumn="0" w:lastRowFirstColumn="0" w:lastRowLastColumn="0"/>
              <w:rPr>
                <w:b/>
                <w:bCs/>
                <w:szCs w:val="20"/>
              </w:rPr>
            </w:pPr>
          </w:p>
        </w:tc>
      </w:tr>
      <w:tr w:rsidR="00A85BB1" w:rsidRPr="00A85BB1" w14:paraId="50625CDB" w14:textId="77777777" w:rsidTr="00573613">
        <w:tc>
          <w:tcPr>
            <w:cnfStyle w:val="001000000000" w:firstRow="0" w:lastRow="0" w:firstColumn="1" w:lastColumn="0" w:oddVBand="0" w:evenVBand="0" w:oddHBand="0" w:evenHBand="0" w:firstRowFirstColumn="0" w:firstRowLastColumn="0" w:lastRowFirstColumn="0" w:lastRowLastColumn="0"/>
            <w:tcW w:w="614" w:type="pct"/>
            <w:vMerge/>
            <w:shd w:val="clear" w:color="auto" w:fill="D9E2F3" w:themeFill="accent1" w:themeFillTint="33"/>
            <w:vAlign w:val="center"/>
          </w:tcPr>
          <w:p w14:paraId="62A5AFAD" w14:textId="77777777" w:rsidR="00573613" w:rsidRPr="00AA22F2" w:rsidRDefault="00573613" w:rsidP="00573613">
            <w:pPr>
              <w:jc w:val="left"/>
              <w:rPr>
                <w:b w:val="0"/>
                <w:bCs w:val="0"/>
                <w:szCs w:val="20"/>
              </w:rPr>
            </w:pPr>
          </w:p>
        </w:tc>
        <w:tc>
          <w:tcPr>
            <w:tcW w:w="0" w:type="pct"/>
            <w:shd w:val="clear" w:color="auto" w:fill="B4C6E7" w:themeFill="accent1" w:themeFillTint="66"/>
            <w:vAlign w:val="center"/>
          </w:tcPr>
          <w:p w14:paraId="09517497" w14:textId="1EB052EA" w:rsidR="00573613" w:rsidRPr="00AA22F2" w:rsidRDefault="00573613" w:rsidP="00573613">
            <w:pPr>
              <w:jc w:val="left"/>
              <w:cnfStyle w:val="000000000000" w:firstRow="0" w:lastRow="0" w:firstColumn="0" w:lastColumn="0" w:oddVBand="0" w:evenVBand="0" w:oddHBand="0" w:evenHBand="0" w:firstRowFirstColumn="0" w:firstRowLastColumn="0" w:lastRowFirstColumn="0" w:lastRowLastColumn="0"/>
              <w:rPr>
                <w:b/>
                <w:bCs/>
                <w:szCs w:val="20"/>
              </w:rPr>
            </w:pPr>
            <w:r w:rsidRPr="00A85BB1">
              <w:rPr>
                <w:b/>
                <w:bCs/>
                <w:szCs w:val="20"/>
              </w:rPr>
              <w:t>Intensité de l’impact</w:t>
            </w:r>
          </w:p>
        </w:tc>
        <w:tc>
          <w:tcPr>
            <w:tcW w:w="0" w:type="pct"/>
            <w:tcBorders>
              <w:right w:val="single" w:sz="4" w:space="0" w:color="BFBFBF" w:themeColor="background1" w:themeShade="BF"/>
            </w:tcBorders>
            <w:shd w:val="clear" w:color="auto" w:fill="B4C6E7" w:themeFill="accent1" w:themeFillTint="66"/>
            <w:vAlign w:val="center"/>
          </w:tcPr>
          <w:p w14:paraId="14F2782F" w14:textId="6D69A63C" w:rsidR="00573613" w:rsidRPr="00AA22F2" w:rsidRDefault="00573613" w:rsidP="00573613">
            <w:pPr>
              <w:jc w:val="left"/>
              <w:cnfStyle w:val="000000000000" w:firstRow="0" w:lastRow="0" w:firstColumn="0" w:lastColumn="0" w:oddVBand="0" w:evenVBand="0" w:oddHBand="0" w:evenHBand="0" w:firstRowFirstColumn="0" w:firstRowLastColumn="0" w:lastRowFirstColumn="0" w:lastRowLastColumn="0"/>
              <w:rPr>
                <w:b/>
                <w:bCs/>
                <w:szCs w:val="20"/>
              </w:rPr>
            </w:pPr>
            <w:r w:rsidRPr="00A85BB1">
              <w:rPr>
                <w:b/>
                <w:bCs/>
                <w:szCs w:val="20"/>
              </w:rPr>
              <w:t>Récepteurs</w:t>
            </w:r>
          </w:p>
        </w:tc>
        <w:tc>
          <w:tcPr>
            <w:tcW w:w="0" w:type="pct"/>
            <w:tcBorders>
              <w:left w:val="single" w:sz="4" w:space="0" w:color="BFBFBF" w:themeColor="background1" w:themeShade="BF"/>
            </w:tcBorders>
            <w:shd w:val="clear" w:color="auto" w:fill="B4C6E7" w:themeFill="accent1" w:themeFillTint="66"/>
            <w:vAlign w:val="center"/>
          </w:tcPr>
          <w:p w14:paraId="34F966CF" w14:textId="091B33BA" w:rsidR="00573613" w:rsidRPr="00AA22F2" w:rsidRDefault="00573613" w:rsidP="00573613">
            <w:pPr>
              <w:cnfStyle w:val="000000000000" w:firstRow="0" w:lastRow="0" w:firstColumn="0" w:lastColumn="0" w:oddVBand="0" w:evenVBand="0" w:oddHBand="0" w:evenHBand="0" w:firstRowFirstColumn="0" w:firstRowLastColumn="0" w:lastRowFirstColumn="0" w:lastRowLastColumn="0"/>
              <w:rPr>
                <w:szCs w:val="20"/>
              </w:rPr>
            </w:pPr>
            <w:r w:rsidRPr="00A85BB1">
              <w:rPr>
                <w:b/>
                <w:bCs/>
                <w:szCs w:val="20"/>
              </w:rPr>
              <w:t>Sensibilité</w:t>
            </w:r>
          </w:p>
        </w:tc>
        <w:tc>
          <w:tcPr>
            <w:tcW w:w="0" w:type="pct"/>
            <w:shd w:val="clear" w:color="auto" w:fill="B4C6E7" w:themeFill="accent1" w:themeFillTint="66"/>
            <w:vAlign w:val="center"/>
          </w:tcPr>
          <w:p w14:paraId="5EE9F4D4" w14:textId="739C17A5" w:rsidR="00573613" w:rsidRPr="00AA22F2" w:rsidRDefault="00573613" w:rsidP="00573613">
            <w:pPr>
              <w:cnfStyle w:val="000000000000" w:firstRow="0" w:lastRow="0" w:firstColumn="0" w:lastColumn="0" w:oddVBand="0" w:evenVBand="0" w:oddHBand="0" w:evenHBand="0" w:firstRowFirstColumn="0" w:firstRowLastColumn="0" w:lastRowFirstColumn="0" w:lastRowLastColumn="0"/>
              <w:rPr>
                <w:b/>
                <w:bCs/>
                <w:szCs w:val="20"/>
              </w:rPr>
            </w:pPr>
            <w:r w:rsidRPr="00A85BB1">
              <w:rPr>
                <w:b/>
                <w:bCs/>
                <w:szCs w:val="20"/>
              </w:rPr>
              <w:t>Importance de l’impact</w:t>
            </w:r>
          </w:p>
        </w:tc>
      </w:tr>
      <w:tr w:rsidR="00573613" w:rsidRPr="00A85BB1" w14:paraId="70A50C3B" w14:textId="77777777" w:rsidTr="004637C7">
        <w:tc>
          <w:tcPr>
            <w:cnfStyle w:val="001000000000" w:firstRow="0" w:lastRow="0" w:firstColumn="1" w:lastColumn="0" w:oddVBand="0" w:evenVBand="0" w:oddHBand="0" w:evenHBand="0" w:firstRowFirstColumn="0" w:firstRowLastColumn="0" w:lastRowFirstColumn="0" w:lastRowLastColumn="0"/>
            <w:tcW w:w="0" w:type="pct"/>
            <w:vMerge/>
            <w:shd w:val="clear" w:color="auto" w:fill="D9E2F3" w:themeFill="accent1" w:themeFillTint="33"/>
            <w:vAlign w:val="center"/>
          </w:tcPr>
          <w:p w14:paraId="6891105A" w14:textId="77777777" w:rsidR="00573613" w:rsidRPr="00AA22F2" w:rsidRDefault="00573613" w:rsidP="00573613">
            <w:pPr>
              <w:jc w:val="left"/>
              <w:rPr>
                <w:b w:val="0"/>
                <w:bCs w:val="0"/>
                <w:szCs w:val="20"/>
              </w:rPr>
            </w:pPr>
          </w:p>
        </w:tc>
        <w:tc>
          <w:tcPr>
            <w:tcW w:w="0" w:type="pct"/>
            <w:vMerge w:val="restart"/>
            <w:vAlign w:val="center"/>
          </w:tcPr>
          <w:p w14:paraId="202D41E3" w14:textId="23391DB5" w:rsidR="00573613" w:rsidRPr="00AA22F2" w:rsidRDefault="00573613" w:rsidP="00573613">
            <w:pPr>
              <w:jc w:val="left"/>
              <w:cnfStyle w:val="000000000000" w:firstRow="0" w:lastRow="0" w:firstColumn="0" w:lastColumn="0" w:oddVBand="0" w:evenVBand="0" w:oddHBand="0" w:evenHBand="0" w:firstRowFirstColumn="0" w:firstRowLastColumn="0" w:lastRowFirstColumn="0" w:lastRowLastColumn="0"/>
              <w:rPr>
                <w:b/>
                <w:bCs/>
                <w:szCs w:val="20"/>
              </w:rPr>
            </w:pPr>
            <w:r w:rsidRPr="00A85BB1">
              <w:rPr>
                <w:rFonts w:asciiTheme="minorHAnsi" w:hAnsiTheme="minorHAnsi" w:cstheme="minorHAnsi"/>
                <w:szCs w:val="20"/>
                <w:lang w:val="fr-MA" w:eastAsia="fr-MA" w:bidi="ar-SA"/>
              </w:rPr>
              <w:t>Moyenne</w:t>
            </w:r>
            <w:r w:rsidR="00A85BB1" w:rsidRPr="00A85BB1">
              <w:rPr>
                <w:rFonts w:asciiTheme="minorHAnsi" w:hAnsiTheme="minorHAnsi" w:cstheme="minorHAnsi"/>
                <w:szCs w:val="20"/>
                <w:lang w:val="fr-MA" w:eastAsia="fr-MA" w:bidi="ar-SA"/>
              </w:rPr>
              <w:t xml:space="preserve"> à forte</w:t>
            </w:r>
          </w:p>
        </w:tc>
        <w:tc>
          <w:tcPr>
            <w:tcW w:w="0" w:type="pct"/>
            <w:tcBorders>
              <w:right w:val="single" w:sz="4" w:space="0" w:color="BFBFBF" w:themeColor="background1" w:themeShade="BF"/>
            </w:tcBorders>
            <w:vAlign w:val="center"/>
          </w:tcPr>
          <w:p w14:paraId="0345583E" w14:textId="449BD7D6" w:rsidR="00573613" w:rsidRPr="00AA22F2" w:rsidRDefault="00573613" w:rsidP="00573613">
            <w:pPr>
              <w:jc w:val="left"/>
              <w:cnfStyle w:val="000000000000" w:firstRow="0" w:lastRow="0" w:firstColumn="0" w:lastColumn="0" w:oddVBand="0" w:evenVBand="0" w:oddHBand="0" w:evenHBand="0" w:firstRowFirstColumn="0" w:firstRowLastColumn="0" w:lastRowFirstColumn="0" w:lastRowLastColumn="0"/>
              <w:rPr>
                <w:b/>
                <w:bCs/>
                <w:szCs w:val="20"/>
              </w:rPr>
            </w:pPr>
            <w:r w:rsidRPr="00A85BB1">
              <w:rPr>
                <w:rFonts w:asciiTheme="minorHAnsi" w:hAnsiTheme="minorHAnsi" w:cstheme="minorHAnsi"/>
                <w:szCs w:val="20"/>
                <w:lang w:val="fr-MA" w:eastAsia="fr-MA" w:bidi="ar-SA"/>
              </w:rPr>
              <w:t>Personnel de chantier</w:t>
            </w:r>
          </w:p>
        </w:tc>
        <w:tc>
          <w:tcPr>
            <w:tcW w:w="0" w:type="pct"/>
            <w:tcBorders>
              <w:left w:val="single" w:sz="4" w:space="0" w:color="BFBFBF" w:themeColor="background1" w:themeShade="BF"/>
            </w:tcBorders>
            <w:vAlign w:val="center"/>
          </w:tcPr>
          <w:p w14:paraId="1656ED89" w14:textId="29B3F55A" w:rsidR="00573613" w:rsidRPr="00AA22F2" w:rsidRDefault="00573613" w:rsidP="00573613">
            <w:pPr>
              <w:cnfStyle w:val="000000000000" w:firstRow="0" w:lastRow="0" w:firstColumn="0" w:lastColumn="0" w:oddVBand="0" w:evenVBand="0" w:oddHBand="0" w:evenHBand="0" w:firstRowFirstColumn="0" w:firstRowLastColumn="0" w:lastRowFirstColumn="0" w:lastRowLastColumn="0"/>
              <w:rPr>
                <w:szCs w:val="20"/>
              </w:rPr>
            </w:pPr>
            <w:r w:rsidRPr="00A85BB1">
              <w:rPr>
                <w:rFonts w:asciiTheme="minorHAnsi" w:hAnsiTheme="minorHAnsi" w:cstheme="minorHAnsi"/>
                <w:szCs w:val="20"/>
                <w:lang w:val="fr-MA" w:eastAsia="fr-MA" w:bidi="ar-SA"/>
              </w:rPr>
              <w:t>Forte</w:t>
            </w:r>
          </w:p>
        </w:tc>
        <w:tc>
          <w:tcPr>
            <w:tcW w:w="0" w:type="pct"/>
            <w:vAlign w:val="center"/>
          </w:tcPr>
          <w:p w14:paraId="1FE35E4A" w14:textId="77D8488C" w:rsidR="00573613" w:rsidRPr="00AA22F2" w:rsidRDefault="00573613" w:rsidP="00573613">
            <w:pPr>
              <w:cnfStyle w:val="000000000000" w:firstRow="0" w:lastRow="0" w:firstColumn="0" w:lastColumn="0" w:oddVBand="0" w:evenVBand="0" w:oddHBand="0" w:evenHBand="0" w:firstRowFirstColumn="0" w:firstRowLastColumn="0" w:lastRowFirstColumn="0" w:lastRowLastColumn="0"/>
              <w:rPr>
                <w:b/>
                <w:bCs/>
                <w:szCs w:val="20"/>
              </w:rPr>
            </w:pPr>
            <w:r w:rsidRPr="00A85BB1">
              <w:rPr>
                <w:rFonts w:asciiTheme="minorHAnsi" w:hAnsiTheme="minorHAnsi" w:cstheme="minorHAnsi"/>
                <w:szCs w:val="20"/>
                <w:lang w:val="fr-MA" w:eastAsia="fr-MA" w:bidi="ar-SA"/>
              </w:rPr>
              <w:t>Majeure</w:t>
            </w:r>
          </w:p>
        </w:tc>
      </w:tr>
      <w:tr w:rsidR="00573613" w:rsidRPr="00A85BB1" w14:paraId="22FAFD36" w14:textId="77777777" w:rsidTr="004637C7">
        <w:tc>
          <w:tcPr>
            <w:cnfStyle w:val="001000000000" w:firstRow="0" w:lastRow="0" w:firstColumn="1" w:lastColumn="0" w:oddVBand="0" w:evenVBand="0" w:oddHBand="0" w:evenHBand="0" w:firstRowFirstColumn="0" w:firstRowLastColumn="0" w:lastRowFirstColumn="0" w:lastRowLastColumn="0"/>
            <w:tcW w:w="0" w:type="pct"/>
            <w:vMerge/>
            <w:shd w:val="clear" w:color="auto" w:fill="D9E2F3" w:themeFill="accent1" w:themeFillTint="33"/>
            <w:vAlign w:val="center"/>
          </w:tcPr>
          <w:p w14:paraId="06D31AFD" w14:textId="77777777" w:rsidR="00573613" w:rsidRPr="00AA22F2" w:rsidRDefault="00573613" w:rsidP="00573613">
            <w:pPr>
              <w:jc w:val="left"/>
              <w:rPr>
                <w:b w:val="0"/>
                <w:bCs w:val="0"/>
                <w:szCs w:val="20"/>
              </w:rPr>
            </w:pPr>
          </w:p>
        </w:tc>
        <w:tc>
          <w:tcPr>
            <w:tcW w:w="0" w:type="pct"/>
            <w:vMerge/>
          </w:tcPr>
          <w:p w14:paraId="6BBF1095" w14:textId="77777777" w:rsidR="00573613" w:rsidRPr="00AA22F2" w:rsidRDefault="00573613" w:rsidP="00573613">
            <w:pPr>
              <w:jc w:val="left"/>
              <w:cnfStyle w:val="000000000000" w:firstRow="0" w:lastRow="0" w:firstColumn="0" w:lastColumn="0" w:oddVBand="0" w:evenVBand="0" w:oddHBand="0" w:evenHBand="0" w:firstRowFirstColumn="0" w:firstRowLastColumn="0" w:lastRowFirstColumn="0" w:lastRowLastColumn="0"/>
              <w:rPr>
                <w:b/>
                <w:bCs/>
                <w:szCs w:val="20"/>
              </w:rPr>
            </w:pPr>
          </w:p>
        </w:tc>
        <w:tc>
          <w:tcPr>
            <w:tcW w:w="0" w:type="pct"/>
            <w:tcBorders>
              <w:right w:val="single" w:sz="4" w:space="0" w:color="BFBFBF" w:themeColor="background1" w:themeShade="BF"/>
            </w:tcBorders>
            <w:vAlign w:val="center"/>
          </w:tcPr>
          <w:p w14:paraId="1BEC1892" w14:textId="3F640E4F" w:rsidR="00573613" w:rsidRPr="00AA22F2" w:rsidRDefault="00573613" w:rsidP="00573613">
            <w:pPr>
              <w:jc w:val="left"/>
              <w:cnfStyle w:val="000000000000" w:firstRow="0" w:lastRow="0" w:firstColumn="0" w:lastColumn="0" w:oddVBand="0" w:evenVBand="0" w:oddHBand="0" w:evenHBand="0" w:firstRowFirstColumn="0" w:firstRowLastColumn="0" w:lastRowFirstColumn="0" w:lastRowLastColumn="0"/>
              <w:rPr>
                <w:b/>
                <w:bCs/>
                <w:szCs w:val="20"/>
              </w:rPr>
            </w:pPr>
            <w:r w:rsidRPr="00A85BB1">
              <w:rPr>
                <w:rFonts w:asciiTheme="minorHAnsi" w:hAnsiTheme="minorHAnsi" w:cstheme="minorHAnsi"/>
                <w:szCs w:val="20"/>
                <w:lang w:eastAsia="fr-MA" w:bidi="ar-SA"/>
              </w:rPr>
              <w:t>Voyageurs et usagers de l’aéroport</w:t>
            </w:r>
          </w:p>
        </w:tc>
        <w:tc>
          <w:tcPr>
            <w:tcW w:w="0" w:type="pct"/>
            <w:tcBorders>
              <w:left w:val="single" w:sz="4" w:space="0" w:color="BFBFBF" w:themeColor="background1" w:themeShade="BF"/>
            </w:tcBorders>
            <w:vAlign w:val="center"/>
          </w:tcPr>
          <w:p w14:paraId="4B775701" w14:textId="7C85B274" w:rsidR="00573613" w:rsidRPr="00AA22F2" w:rsidRDefault="00573613" w:rsidP="00573613">
            <w:pPr>
              <w:cnfStyle w:val="000000000000" w:firstRow="0" w:lastRow="0" w:firstColumn="0" w:lastColumn="0" w:oddVBand="0" w:evenVBand="0" w:oddHBand="0" w:evenHBand="0" w:firstRowFirstColumn="0" w:firstRowLastColumn="0" w:lastRowFirstColumn="0" w:lastRowLastColumn="0"/>
              <w:rPr>
                <w:szCs w:val="20"/>
              </w:rPr>
            </w:pPr>
            <w:r w:rsidRPr="00A85BB1">
              <w:rPr>
                <w:rFonts w:asciiTheme="minorHAnsi" w:hAnsiTheme="minorHAnsi" w:cstheme="minorHAnsi"/>
                <w:szCs w:val="20"/>
                <w:lang w:val="fr-MA" w:eastAsia="fr-MA" w:bidi="ar-SA"/>
              </w:rPr>
              <w:t>Moyenne</w:t>
            </w:r>
          </w:p>
        </w:tc>
        <w:tc>
          <w:tcPr>
            <w:tcW w:w="0" w:type="pct"/>
            <w:vAlign w:val="center"/>
          </w:tcPr>
          <w:p w14:paraId="3C51A385" w14:textId="301C1077" w:rsidR="00573613" w:rsidRPr="00AA22F2" w:rsidRDefault="00573613" w:rsidP="00573613">
            <w:pPr>
              <w:cnfStyle w:val="000000000000" w:firstRow="0" w:lastRow="0" w:firstColumn="0" w:lastColumn="0" w:oddVBand="0" w:evenVBand="0" w:oddHBand="0" w:evenHBand="0" w:firstRowFirstColumn="0" w:firstRowLastColumn="0" w:lastRowFirstColumn="0" w:lastRowLastColumn="0"/>
              <w:rPr>
                <w:b/>
                <w:bCs/>
                <w:szCs w:val="20"/>
              </w:rPr>
            </w:pPr>
            <w:r w:rsidRPr="00A85BB1">
              <w:rPr>
                <w:rFonts w:asciiTheme="minorHAnsi" w:hAnsiTheme="minorHAnsi" w:cstheme="minorHAnsi"/>
                <w:szCs w:val="20"/>
                <w:lang w:val="fr-MA" w:eastAsia="fr-MA" w:bidi="ar-SA"/>
              </w:rPr>
              <w:t>Modérée</w:t>
            </w:r>
          </w:p>
        </w:tc>
      </w:tr>
      <w:tr w:rsidR="00573613" w:rsidRPr="00A85BB1" w14:paraId="7555CF01" w14:textId="77777777" w:rsidTr="004637C7">
        <w:tc>
          <w:tcPr>
            <w:cnfStyle w:val="001000000000" w:firstRow="0" w:lastRow="0" w:firstColumn="1" w:lastColumn="0" w:oddVBand="0" w:evenVBand="0" w:oddHBand="0" w:evenHBand="0" w:firstRowFirstColumn="0" w:firstRowLastColumn="0" w:lastRowFirstColumn="0" w:lastRowLastColumn="0"/>
            <w:tcW w:w="0" w:type="pct"/>
            <w:vMerge/>
            <w:shd w:val="clear" w:color="auto" w:fill="D9E2F3" w:themeFill="accent1" w:themeFillTint="33"/>
            <w:vAlign w:val="center"/>
          </w:tcPr>
          <w:p w14:paraId="11D0B692" w14:textId="77777777" w:rsidR="00573613" w:rsidRPr="00AA22F2" w:rsidRDefault="00573613" w:rsidP="00573613">
            <w:pPr>
              <w:jc w:val="left"/>
              <w:rPr>
                <w:b w:val="0"/>
                <w:bCs w:val="0"/>
                <w:szCs w:val="20"/>
              </w:rPr>
            </w:pPr>
          </w:p>
        </w:tc>
        <w:tc>
          <w:tcPr>
            <w:tcW w:w="0" w:type="pct"/>
            <w:vMerge/>
          </w:tcPr>
          <w:p w14:paraId="0EF8AA20" w14:textId="77777777" w:rsidR="00573613" w:rsidRPr="00AA22F2" w:rsidRDefault="00573613" w:rsidP="00573613">
            <w:pPr>
              <w:jc w:val="left"/>
              <w:cnfStyle w:val="000000000000" w:firstRow="0" w:lastRow="0" w:firstColumn="0" w:lastColumn="0" w:oddVBand="0" w:evenVBand="0" w:oddHBand="0" w:evenHBand="0" w:firstRowFirstColumn="0" w:firstRowLastColumn="0" w:lastRowFirstColumn="0" w:lastRowLastColumn="0"/>
              <w:rPr>
                <w:b/>
                <w:bCs/>
                <w:szCs w:val="20"/>
              </w:rPr>
            </w:pPr>
          </w:p>
        </w:tc>
        <w:tc>
          <w:tcPr>
            <w:tcW w:w="0" w:type="pct"/>
            <w:tcBorders>
              <w:right w:val="single" w:sz="4" w:space="0" w:color="BFBFBF" w:themeColor="background1" w:themeShade="BF"/>
            </w:tcBorders>
            <w:vAlign w:val="center"/>
          </w:tcPr>
          <w:p w14:paraId="74A3521B" w14:textId="3FB076AE" w:rsidR="00573613" w:rsidRPr="00AA22F2" w:rsidRDefault="00573613" w:rsidP="00573613">
            <w:pPr>
              <w:jc w:val="left"/>
              <w:cnfStyle w:val="000000000000" w:firstRow="0" w:lastRow="0" w:firstColumn="0" w:lastColumn="0" w:oddVBand="0" w:evenVBand="0" w:oddHBand="0" w:evenHBand="0" w:firstRowFirstColumn="0" w:firstRowLastColumn="0" w:lastRowFirstColumn="0" w:lastRowLastColumn="0"/>
              <w:rPr>
                <w:b/>
                <w:bCs/>
                <w:szCs w:val="20"/>
              </w:rPr>
            </w:pPr>
            <w:r w:rsidRPr="00A85BB1">
              <w:rPr>
                <w:rFonts w:asciiTheme="minorHAnsi" w:hAnsiTheme="minorHAnsi" w:cstheme="minorHAnsi"/>
                <w:szCs w:val="20"/>
                <w:lang w:eastAsia="fr-MA" w:bidi="ar-SA"/>
              </w:rPr>
              <w:t>Communautés riveraines proches</w:t>
            </w:r>
          </w:p>
        </w:tc>
        <w:tc>
          <w:tcPr>
            <w:tcW w:w="0" w:type="pct"/>
            <w:tcBorders>
              <w:left w:val="single" w:sz="4" w:space="0" w:color="BFBFBF" w:themeColor="background1" w:themeShade="BF"/>
            </w:tcBorders>
            <w:vAlign w:val="center"/>
          </w:tcPr>
          <w:p w14:paraId="3891D6C3" w14:textId="70501978" w:rsidR="00573613" w:rsidRPr="00AA22F2" w:rsidRDefault="00A95D6F" w:rsidP="00573613">
            <w:pPr>
              <w:cnfStyle w:val="000000000000" w:firstRow="0" w:lastRow="0" w:firstColumn="0" w:lastColumn="0" w:oddVBand="0" w:evenVBand="0" w:oddHBand="0" w:evenHBand="0" w:firstRowFirstColumn="0" w:firstRowLastColumn="0" w:lastRowFirstColumn="0" w:lastRowLastColumn="0"/>
              <w:rPr>
                <w:szCs w:val="20"/>
              </w:rPr>
            </w:pPr>
            <w:r>
              <w:rPr>
                <w:rFonts w:asciiTheme="minorHAnsi" w:hAnsiTheme="minorHAnsi" w:cstheme="minorHAnsi"/>
                <w:szCs w:val="20"/>
                <w:lang w:val="fr-MA" w:eastAsia="fr-MA" w:bidi="ar-SA"/>
              </w:rPr>
              <w:t>Faible</w:t>
            </w:r>
          </w:p>
        </w:tc>
        <w:tc>
          <w:tcPr>
            <w:tcW w:w="0" w:type="pct"/>
            <w:vAlign w:val="center"/>
          </w:tcPr>
          <w:p w14:paraId="4DE8C18B" w14:textId="593F2603" w:rsidR="00573613" w:rsidRPr="00AA22F2" w:rsidRDefault="00A85BB1" w:rsidP="00573613">
            <w:pPr>
              <w:cnfStyle w:val="000000000000" w:firstRow="0" w:lastRow="0" w:firstColumn="0" w:lastColumn="0" w:oddVBand="0" w:evenVBand="0" w:oddHBand="0" w:evenHBand="0" w:firstRowFirstColumn="0" w:firstRowLastColumn="0" w:lastRowFirstColumn="0" w:lastRowLastColumn="0"/>
              <w:rPr>
                <w:b/>
                <w:bCs/>
                <w:szCs w:val="20"/>
              </w:rPr>
            </w:pPr>
            <w:r>
              <w:rPr>
                <w:rFonts w:asciiTheme="minorHAnsi" w:hAnsiTheme="minorHAnsi" w:cstheme="minorHAnsi"/>
                <w:szCs w:val="20"/>
                <w:lang w:val="fr-MA" w:eastAsia="fr-MA" w:bidi="ar-SA"/>
              </w:rPr>
              <w:t>Mineure à m</w:t>
            </w:r>
            <w:r w:rsidR="00573613" w:rsidRPr="00A85BB1">
              <w:rPr>
                <w:rFonts w:asciiTheme="minorHAnsi" w:hAnsiTheme="minorHAnsi" w:cstheme="minorHAnsi"/>
                <w:szCs w:val="20"/>
                <w:lang w:val="fr-MA" w:eastAsia="fr-MA" w:bidi="ar-SA"/>
              </w:rPr>
              <w:t>odérée</w:t>
            </w:r>
          </w:p>
        </w:tc>
      </w:tr>
    </w:tbl>
    <w:p w14:paraId="763C58B9" w14:textId="77777777" w:rsidR="00A95D6F" w:rsidRDefault="00A95D6F" w:rsidP="00A95D6F"/>
    <w:p w14:paraId="24924A39" w14:textId="77777777" w:rsidR="00A95D6F" w:rsidRDefault="00A95D6F" w:rsidP="004637C7"/>
    <w:p w14:paraId="34B9101B" w14:textId="097DBB20" w:rsidR="00F0086C" w:rsidRDefault="00257185" w:rsidP="0001633E">
      <w:pPr>
        <w:pStyle w:val="AltTitle2"/>
        <w:numPr>
          <w:ilvl w:val="0"/>
          <w:numId w:val="106"/>
        </w:numPr>
      </w:pPr>
      <w:r>
        <w:lastRenderedPageBreak/>
        <w:t>Vibrations de chantier</w:t>
      </w:r>
    </w:p>
    <w:p w14:paraId="2893AD96" w14:textId="378078F7" w:rsidR="00D75A0C" w:rsidRPr="00D75A0C" w:rsidRDefault="00D75A0C">
      <w:r w:rsidRPr="00D75A0C">
        <w:t xml:space="preserve">Les </w:t>
      </w:r>
      <w:r w:rsidRPr="004637C7">
        <w:t>vibrations</w:t>
      </w:r>
      <w:r w:rsidRPr="00D75A0C">
        <w:t xml:space="preserve"> associées aux travaux proviendront principalement des </w:t>
      </w:r>
      <w:r w:rsidRPr="004637C7">
        <w:t>opérations de compactage, de nivellement, de mise en place de fondations ponctuelles pour les mâts d’éclairage</w:t>
      </w:r>
      <w:r w:rsidRPr="00D75A0C">
        <w:t xml:space="preserve">, et de la </w:t>
      </w:r>
      <w:r w:rsidRPr="004637C7">
        <w:t>circulation d’engins lourds</w:t>
      </w:r>
      <w:r w:rsidRPr="00D75A0C">
        <w:t xml:space="preserve"> sur le site. Ces vibrations seront </w:t>
      </w:r>
      <w:r w:rsidRPr="004637C7">
        <w:t>de nature directe, localisée et temporaire</w:t>
      </w:r>
      <w:r w:rsidRPr="00D75A0C">
        <w:t xml:space="preserve">, perceptibles uniquement à proximité immédiate des zones de travaux. Leur </w:t>
      </w:r>
      <w:r w:rsidRPr="004637C7">
        <w:t>durée</w:t>
      </w:r>
      <w:r w:rsidRPr="00D75A0C">
        <w:t xml:space="preserve"> sera </w:t>
      </w:r>
      <w:r w:rsidRPr="004637C7">
        <w:t>limitée aux périodes où des engins vibrants seront utilisés</w:t>
      </w:r>
      <w:r w:rsidRPr="00D75A0C">
        <w:t xml:space="preserve">, et leur </w:t>
      </w:r>
      <w:r w:rsidRPr="004637C7">
        <w:t>fréquence</w:t>
      </w:r>
      <w:r w:rsidRPr="00D75A0C">
        <w:t xml:space="preserve"> essentiellement </w:t>
      </w:r>
      <w:r w:rsidRPr="004637C7">
        <w:t>intermittente</w:t>
      </w:r>
      <w:r w:rsidRPr="00D75A0C">
        <w:t>.</w:t>
      </w:r>
    </w:p>
    <w:p w14:paraId="2D099EEB" w14:textId="6BBF56EF" w:rsidR="00D75A0C" w:rsidRDefault="00D75A0C">
      <w:r w:rsidRPr="00D75A0C">
        <w:t>L’</w:t>
      </w:r>
      <w:r w:rsidRPr="004637C7">
        <w:t>intensité vibratoire</w:t>
      </w:r>
      <w:r w:rsidRPr="00D75A0C">
        <w:t xml:space="preserve"> est jugée </w:t>
      </w:r>
      <w:r w:rsidRPr="004637C7">
        <w:t>faible à moyenne</w:t>
      </w:r>
      <w:r w:rsidRPr="00D75A0C">
        <w:t xml:space="preserve">, sans risque structurel pour les bâtiments existants ni gêne perceptible pour les habitations éloignées. Les vibrations pourront être ressenties ponctuellement par le </w:t>
      </w:r>
      <w:r w:rsidRPr="004637C7">
        <w:t>personnel de chantier</w:t>
      </w:r>
      <w:r w:rsidRPr="00D75A0C">
        <w:t xml:space="preserve">, mais leur amplitude décroît rapidement avec la distance et ne se propagera pas au-delà de la clôture aéroportuaire. L’impact est donc </w:t>
      </w:r>
      <w:r w:rsidRPr="004637C7">
        <w:t>local, temporaire et modéré</w:t>
      </w:r>
      <w:r w:rsidRPr="00D75A0C">
        <w:t>, et cessera naturellement avec la fin des activités génératrices.</w:t>
      </w:r>
    </w:p>
    <w:tbl>
      <w:tblPr>
        <w:tblStyle w:val="TableauGrille1Clair-Accentuation111"/>
        <w:tblW w:w="5000" w:type="pct"/>
        <w:tblLook w:val="04A0" w:firstRow="1" w:lastRow="0" w:firstColumn="1" w:lastColumn="0" w:noHBand="0" w:noVBand="1"/>
      </w:tblPr>
      <w:tblGrid>
        <w:gridCol w:w="1264"/>
        <w:gridCol w:w="2208"/>
        <w:gridCol w:w="1350"/>
        <w:gridCol w:w="2821"/>
        <w:gridCol w:w="1417"/>
      </w:tblGrid>
      <w:tr w:rsidR="00827D44" w:rsidRPr="00B94BAA" w14:paraId="7DECC1BC" w14:textId="77777777" w:rsidTr="004637C7">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722" w:type="pct"/>
          </w:tcPr>
          <w:p w14:paraId="12121C4E" w14:textId="0E1573EB" w:rsidR="00827D44" w:rsidRPr="00AA22F2" w:rsidRDefault="00827D44" w:rsidP="00827D44">
            <w:pPr>
              <w:rPr>
                <w:szCs w:val="20"/>
              </w:rPr>
            </w:pPr>
            <w:bookmarkStart w:id="410" w:name="_Hlk210405614"/>
            <w:bookmarkEnd w:id="409"/>
            <w:r w:rsidRPr="00AA22F2">
              <w:rPr>
                <w:szCs w:val="20"/>
              </w:rPr>
              <w:t>Impact</w:t>
            </w:r>
          </w:p>
        </w:tc>
        <w:tc>
          <w:tcPr>
            <w:tcW w:w="1243" w:type="pct"/>
          </w:tcPr>
          <w:p w14:paraId="5BD49FB2" w14:textId="680CBB23" w:rsidR="00827D44" w:rsidRPr="00AA22F2" w:rsidRDefault="00827D44" w:rsidP="00827D44">
            <w:pPr>
              <w:cnfStyle w:val="100000000000" w:firstRow="1" w:lastRow="0" w:firstColumn="0" w:lastColumn="0" w:oddVBand="0" w:evenVBand="0" w:oddHBand="0" w:evenHBand="0" w:firstRowFirstColumn="0" w:firstRowLastColumn="0" w:lastRowFirstColumn="0" w:lastRowLastColumn="0"/>
              <w:rPr>
                <w:szCs w:val="20"/>
              </w:rPr>
            </w:pPr>
            <w:r w:rsidRPr="00AA22F2">
              <w:rPr>
                <w:szCs w:val="20"/>
              </w:rPr>
              <w:t>Activités génératrices</w:t>
            </w:r>
          </w:p>
        </w:tc>
        <w:tc>
          <w:tcPr>
            <w:tcW w:w="648" w:type="pct"/>
            <w:vAlign w:val="center"/>
          </w:tcPr>
          <w:p w14:paraId="06FF54D2" w14:textId="4B741378" w:rsidR="00827D44" w:rsidRPr="00AA22F2" w:rsidRDefault="00827D44" w:rsidP="00827D44">
            <w:pPr>
              <w:jc w:val="left"/>
              <w:cnfStyle w:val="100000000000" w:firstRow="1" w:lastRow="0" w:firstColumn="0" w:lastColumn="0" w:oddVBand="0" w:evenVBand="0" w:oddHBand="0" w:evenHBand="0" w:firstRowFirstColumn="0" w:firstRowLastColumn="0" w:lastRowFirstColumn="0" w:lastRowLastColumn="0"/>
              <w:rPr>
                <w:szCs w:val="20"/>
              </w:rPr>
            </w:pPr>
            <w:r w:rsidRPr="00AA22F2">
              <w:rPr>
                <w:szCs w:val="20"/>
              </w:rPr>
              <w:t>Critère</w:t>
            </w:r>
          </w:p>
        </w:tc>
        <w:tc>
          <w:tcPr>
            <w:tcW w:w="1581" w:type="pct"/>
          </w:tcPr>
          <w:p w14:paraId="0C65B803" w14:textId="3F1BAFB2" w:rsidR="00827D44" w:rsidRPr="00AA22F2" w:rsidRDefault="00827D44" w:rsidP="00827D44">
            <w:pPr>
              <w:cnfStyle w:val="100000000000" w:firstRow="1" w:lastRow="0" w:firstColumn="0" w:lastColumn="0" w:oddVBand="0" w:evenVBand="0" w:oddHBand="0" w:evenHBand="0" w:firstRowFirstColumn="0" w:firstRowLastColumn="0" w:lastRowFirstColumn="0" w:lastRowLastColumn="0"/>
              <w:rPr>
                <w:szCs w:val="20"/>
              </w:rPr>
            </w:pPr>
            <w:r w:rsidRPr="00AA22F2">
              <w:rPr>
                <w:szCs w:val="20"/>
              </w:rPr>
              <w:t>Justification</w:t>
            </w:r>
          </w:p>
        </w:tc>
        <w:tc>
          <w:tcPr>
            <w:tcW w:w="806" w:type="pct"/>
          </w:tcPr>
          <w:p w14:paraId="3550F5A6" w14:textId="243015FC" w:rsidR="00827D44" w:rsidRPr="00AA22F2" w:rsidRDefault="00827D44" w:rsidP="00827D44">
            <w:pPr>
              <w:cnfStyle w:val="100000000000" w:firstRow="1" w:lastRow="0" w:firstColumn="0" w:lastColumn="0" w:oddVBand="0" w:evenVBand="0" w:oddHBand="0" w:evenHBand="0" w:firstRowFirstColumn="0" w:firstRowLastColumn="0" w:lastRowFirstColumn="0" w:lastRowLastColumn="0"/>
              <w:rPr>
                <w:szCs w:val="20"/>
              </w:rPr>
            </w:pPr>
            <w:r w:rsidRPr="00AA22F2">
              <w:rPr>
                <w:szCs w:val="20"/>
              </w:rPr>
              <w:t>Niveau</w:t>
            </w:r>
          </w:p>
        </w:tc>
      </w:tr>
      <w:tr w:rsidR="00573613" w:rsidRPr="00B94BAA" w14:paraId="6C79E17B" w14:textId="77777777" w:rsidTr="000A3EA4">
        <w:tc>
          <w:tcPr>
            <w:cnfStyle w:val="001000000000" w:firstRow="0" w:lastRow="0" w:firstColumn="1" w:lastColumn="0" w:oddVBand="0" w:evenVBand="0" w:oddHBand="0" w:evenHBand="0" w:firstRowFirstColumn="0" w:firstRowLastColumn="0" w:lastRowFirstColumn="0" w:lastRowLastColumn="0"/>
            <w:tcW w:w="722" w:type="pct"/>
            <w:vMerge w:val="restart"/>
            <w:vAlign w:val="center"/>
          </w:tcPr>
          <w:p w14:paraId="1AB100BA" w14:textId="5F18F17E" w:rsidR="00573613" w:rsidRPr="00AA22F2" w:rsidRDefault="00A95D6F" w:rsidP="000A3EA4">
            <w:pPr>
              <w:jc w:val="left"/>
              <w:rPr>
                <w:b w:val="0"/>
                <w:bCs w:val="0"/>
                <w:szCs w:val="20"/>
              </w:rPr>
            </w:pPr>
            <w:r w:rsidRPr="00AA22F2">
              <w:rPr>
                <w:szCs w:val="20"/>
              </w:rPr>
              <w:t>Vibrations de chantier</w:t>
            </w:r>
          </w:p>
        </w:tc>
        <w:tc>
          <w:tcPr>
            <w:tcW w:w="1243" w:type="pct"/>
            <w:vMerge w:val="restart"/>
            <w:vAlign w:val="center"/>
          </w:tcPr>
          <w:p w14:paraId="169486FC" w14:textId="3733C515" w:rsidR="00573613" w:rsidRPr="00AA22F2" w:rsidRDefault="00A95D6F" w:rsidP="004637C7">
            <w:pPr>
              <w:spacing w:before="0" w:after="0"/>
              <w:jc w:val="left"/>
              <w:cnfStyle w:val="000000000000" w:firstRow="0" w:lastRow="0" w:firstColumn="0" w:lastColumn="0" w:oddVBand="0" w:evenVBand="0" w:oddHBand="0" w:evenHBand="0" w:firstRowFirstColumn="0" w:firstRowLastColumn="0" w:lastRowFirstColumn="0" w:lastRowLastColumn="0"/>
              <w:rPr>
                <w:szCs w:val="20"/>
              </w:rPr>
            </w:pPr>
            <w:r w:rsidRPr="00AA22F2">
              <w:rPr>
                <w:szCs w:val="20"/>
              </w:rPr>
              <w:t>Opérations de compactage des sols, nivellement, pose des mâts d’éclairage, passage d’engins lourds et transport de matériaux</w:t>
            </w:r>
          </w:p>
        </w:tc>
        <w:tc>
          <w:tcPr>
            <w:tcW w:w="648" w:type="pct"/>
            <w:tcBorders>
              <w:right w:val="single" w:sz="4" w:space="0" w:color="BFBFBF" w:themeColor="background1" w:themeShade="BF"/>
            </w:tcBorders>
            <w:vAlign w:val="center"/>
          </w:tcPr>
          <w:p w14:paraId="5B0B337C" w14:textId="77777777" w:rsidR="00573613" w:rsidRPr="00AA22F2" w:rsidRDefault="00573613" w:rsidP="000A3EA4">
            <w:pPr>
              <w:jc w:val="left"/>
              <w:cnfStyle w:val="000000000000" w:firstRow="0" w:lastRow="0" w:firstColumn="0" w:lastColumn="0" w:oddVBand="0" w:evenVBand="0" w:oddHBand="0" w:evenHBand="0" w:firstRowFirstColumn="0" w:firstRowLastColumn="0" w:lastRowFirstColumn="0" w:lastRowLastColumn="0"/>
              <w:rPr>
                <w:b/>
                <w:bCs/>
                <w:szCs w:val="20"/>
              </w:rPr>
            </w:pPr>
            <w:r w:rsidRPr="00AA22F2">
              <w:rPr>
                <w:b/>
                <w:bCs/>
                <w:szCs w:val="20"/>
              </w:rPr>
              <w:t>Nature</w:t>
            </w:r>
          </w:p>
        </w:tc>
        <w:tc>
          <w:tcPr>
            <w:tcW w:w="2387" w:type="pct"/>
            <w:gridSpan w:val="2"/>
            <w:tcBorders>
              <w:left w:val="single" w:sz="4" w:space="0" w:color="BFBFBF" w:themeColor="background1" w:themeShade="BF"/>
            </w:tcBorders>
          </w:tcPr>
          <w:p w14:paraId="57C2EFE4" w14:textId="77777777" w:rsidR="00573613" w:rsidRPr="00AA22F2" w:rsidRDefault="00573613" w:rsidP="000A3EA4">
            <w:pPr>
              <w:cnfStyle w:val="000000000000" w:firstRow="0" w:lastRow="0" w:firstColumn="0" w:lastColumn="0" w:oddVBand="0" w:evenVBand="0" w:oddHBand="0" w:evenHBand="0" w:firstRowFirstColumn="0" w:firstRowLastColumn="0" w:lastRowFirstColumn="0" w:lastRowLastColumn="0"/>
              <w:rPr>
                <w:szCs w:val="20"/>
              </w:rPr>
            </w:pPr>
            <w:r w:rsidRPr="00AA22F2">
              <w:rPr>
                <w:szCs w:val="20"/>
              </w:rPr>
              <w:t>Négatif direct</w:t>
            </w:r>
          </w:p>
        </w:tc>
      </w:tr>
      <w:tr w:rsidR="00573613" w:rsidRPr="00B94BAA" w14:paraId="150A338D" w14:textId="77777777" w:rsidTr="000A3EA4">
        <w:tc>
          <w:tcPr>
            <w:cnfStyle w:val="001000000000" w:firstRow="0" w:lastRow="0" w:firstColumn="1" w:lastColumn="0" w:oddVBand="0" w:evenVBand="0" w:oddHBand="0" w:evenHBand="0" w:firstRowFirstColumn="0" w:firstRowLastColumn="0" w:lastRowFirstColumn="0" w:lastRowLastColumn="0"/>
            <w:tcW w:w="722" w:type="pct"/>
            <w:vMerge/>
            <w:vAlign w:val="center"/>
          </w:tcPr>
          <w:p w14:paraId="1ACC1BDB" w14:textId="77777777" w:rsidR="00573613" w:rsidRPr="00AA22F2" w:rsidRDefault="00573613" w:rsidP="000A3EA4">
            <w:pPr>
              <w:jc w:val="left"/>
              <w:rPr>
                <w:b w:val="0"/>
                <w:bCs w:val="0"/>
                <w:szCs w:val="20"/>
              </w:rPr>
            </w:pPr>
          </w:p>
        </w:tc>
        <w:tc>
          <w:tcPr>
            <w:tcW w:w="1243" w:type="pct"/>
            <w:vMerge/>
            <w:vAlign w:val="center"/>
          </w:tcPr>
          <w:p w14:paraId="235550E4" w14:textId="77777777" w:rsidR="00573613" w:rsidRPr="00AA22F2" w:rsidRDefault="00573613" w:rsidP="000A3EA4">
            <w:pPr>
              <w:jc w:val="left"/>
              <w:cnfStyle w:val="000000000000" w:firstRow="0" w:lastRow="0" w:firstColumn="0" w:lastColumn="0" w:oddVBand="0" w:evenVBand="0" w:oddHBand="0" w:evenHBand="0" w:firstRowFirstColumn="0" w:firstRowLastColumn="0" w:lastRowFirstColumn="0" w:lastRowLastColumn="0"/>
              <w:rPr>
                <w:b/>
                <w:bCs/>
                <w:szCs w:val="20"/>
              </w:rPr>
            </w:pPr>
          </w:p>
        </w:tc>
        <w:tc>
          <w:tcPr>
            <w:tcW w:w="648" w:type="pct"/>
            <w:tcBorders>
              <w:right w:val="single" w:sz="4" w:space="0" w:color="BFBFBF" w:themeColor="background1" w:themeShade="BF"/>
            </w:tcBorders>
            <w:vAlign w:val="center"/>
          </w:tcPr>
          <w:p w14:paraId="1B0CF460" w14:textId="77777777" w:rsidR="00573613" w:rsidRPr="00AA22F2" w:rsidRDefault="00573613" w:rsidP="000A3EA4">
            <w:pPr>
              <w:jc w:val="left"/>
              <w:cnfStyle w:val="000000000000" w:firstRow="0" w:lastRow="0" w:firstColumn="0" w:lastColumn="0" w:oddVBand="0" w:evenVBand="0" w:oddHBand="0" w:evenHBand="0" w:firstRowFirstColumn="0" w:firstRowLastColumn="0" w:lastRowFirstColumn="0" w:lastRowLastColumn="0"/>
              <w:rPr>
                <w:b/>
                <w:bCs/>
                <w:szCs w:val="20"/>
              </w:rPr>
            </w:pPr>
            <w:r w:rsidRPr="00AA22F2">
              <w:rPr>
                <w:b/>
                <w:bCs/>
                <w:szCs w:val="20"/>
              </w:rPr>
              <w:t>Étendue</w:t>
            </w:r>
          </w:p>
        </w:tc>
        <w:tc>
          <w:tcPr>
            <w:tcW w:w="1581" w:type="pct"/>
            <w:tcBorders>
              <w:left w:val="single" w:sz="4" w:space="0" w:color="BFBFBF" w:themeColor="background1" w:themeShade="BF"/>
            </w:tcBorders>
          </w:tcPr>
          <w:p w14:paraId="5B07CD88" w14:textId="66F736D2" w:rsidR="00573613" w:rsidRPr="00AA22F2" w:rsidRDefault="00A95D6F" w:rsidP="000A3EA4">
            <w:pPr>
              <w:cnfStyle w:val="000000000000" w:firstRow="0" w:lastRow="0" w:firstColumn="0" w:lastColumn="0" w:oddVBand="0" w:evenVBand="0" w:oddHBand="0" w:evenHBand="0" w:firstRowFirstColumn="0" w:firstRowLastColumn="0" w:lastRowFirstColumn="0" w:lastRowLastColumn="0"/>
              <w:rPr>
                <w:szCs w:val="20"/>
              </w:rPr>
            </w:pPr>
            <w:r w:rsidRPr="00AA22F2">
              <w:rPr>
                <w:szCs w:val="20"/>
              </w:rPr>
              <w:t>Effets localisés aux zones de compactage et de circulation d’engins, sans propagation perceptible au-delà de la clôture de l’aéroport</w:t>
            </w:r>
          </w:p>
        </w:tc>
        <w:tc>
          <w:tcPr>
            <w:tcW w:w="806" w:type="pct"/>
          </w:tcPr>
          <w:p w14:paraId="5564BF42" w14:textId="6BC8DF4A" w:rsidR="00573613" w:rsidRPr="00AA22F2" w:rsidRDefault="00573613" w:rsidP="000A3EA4">
            <w:pPr>
              <w:cnfStyle w:val="000000000000" w:firstRow="0" w:lastRow="0" w:firstColumn="0" w:lastColumn="0" w:oddVBand="0" w:evenVBand="0" w:oddHBand="0" w:evenHBand="0" w:firstRowFirstColumn="0" w:firstRowLastColumn="0" w:lastRowFirstColumn="0" w:lastRowLastColumn="0"/>
              <w:rPr>
                <w:szCs w:val="20"/>
              </w:rPr>
            </w:pPr>
            <w:r w:rsidRPr="00AA22F2">
              <w:rPr>
                <w:szCs w:val="20"/>
              </w:rPr>
              <w:t>Locale</w:t>
            </w:r>
          </w:p>
        </w:tc>
      </w:tr>
      <w:tr w:rsidR="00573613" w:rsidRPr="00B94BAA" w14:paraId="3F52B345" w14:textId="77777777" w:rsidTr="000A3EA4">
        <w:tc>
          <w:tcPr>
            <w:cnfStyle w:val="001000000000" w:firstRow="0" w:lastRow="0" w:firstColumn="1" w:lastColumn="0" w:oddVBand="0" w:evenVBand="0" w:oddHBand="0" w:evenHBand="0" w:firstRowFirstColumn="0" w:firstRowLastColumn="0" w:lastRowFirstColumn="0" w:lastRowLastColumn="0"/>
            <w:tcW w:w="722" w:type="pct"/>
            <w:vMerge/>
            <w:vAlign w:val="center"/>
          </w:tcPr>
          <w:p w14:paraId="43686344" w14:textId="77777777" w:rsidR="00573613" w:rsidRPr="00AA22F2" w:rsidRDefault="00573613" w:rsidP="000A3EA4">
            <w:pPr>
              <w:jc w:val="left"/>
              <w:rPr>
                <w:b w:val="0"/>
                <w:bCs w:val="0"/>
                <w:szCs w:val="20"/>
              </w:rPr>
            </w:pPr>
          </w:p>
        </w:tc>
        <w:tc>
          <w:tcPr>
            <w:tcW w:w="1243" w:type="pct"/>
            <w:vMerge/>
            <w:vAlign w:val="center"/>
          </w:tcPr>
          <w:p w14:paraId="16B506A4" w14:textId="77777777" w:rsidR="00573613" w:rsidRPr="00AA22F2" w:rsidRDefault="00573613" w:rsidP="000A3EA4">
            <w:pPr>
              <w:jc w:val="left"/>
              <w:cnfStyle w:val="000000000000" w:firstRow="0" w:lastRow="0" w:firstColumn="0" w:lastColumn="0" w:oddVBand="0" w:evenVBand="0" w:oddHBand="0" w:evenHBand="0" w:firstRowFirstColumn="0" w:firstRowLastColumn="0" w:lastRowFirstColumn="0" w:lastRowLastColumn="0"/>
              <w:rPr>
                <w:b/>
                <w:bCs/>
                <w:szCs w:val="20"/>
              </w:rPr>
            </w:pPr>
          </w:p>
        </w:tc>
        <w:tc>
          <w:tcPr>
            <w:tcW w:w="648" w:type="pct"/>
            <w:tcBorders>
              <w:right w:val="single" w:sz="4" w:space="0" w:color="BFBFBF" w:themeColor="background1" w:themeShade="BF"/>
            </w:tcBorders>
            <w:vAlign w:val="center"/>
          </w:tcPr>
          <w:p w14:paraId="39CC7A60" w14:textId="77777777" w:rsidR="00573613" w:rsidRPr="00AA22F2" w:rsidRDefault="00573613" w:rsidP="000A3EA4">
            <w:pPr>
              <w:jc w:val="left"/>
              <w:cnfStyle w:val="000000000000" w:firstRow="0" w:lastRow="0" w:firstColumn="0" w:lastColumn="0" w:oddVBand="0" w:evenVBand="0" w:oddHBand="0" w:evenHBand="0" w:firstRowFirstColumn="0" w:firstRowLastColumn="0" w:lastRowFirstColumn="0" w:lastRowLastColumn="0"/>
              <w:rPr>
                <w:b/>
                <w:bCs/>
                <w:szCs w:val="20"/>
              </w:rPr>
            </w:pPr>
            <w:r w:rsidRPr="00AA22F2">
              <w:rPr>
                <w:b/>
                <w:bCs/>
                <w:szCs w:val="20"/>
              </w:rPr>
              <w:t>Durée</w:t>
            </w:r>
          </w:p>
        </w:tc>
        <w:tc>
          <w:tcPr>
            <w:tcW w:w="1581" w:type="pct"/>
            <w:tcBorders>
              <w:left w:val="single" w:sz="4" w:space="0" w:color="BFBFBF" w:themeColor="background1" w:themeShade="BF"/>
            </w:tcBorders>
          </w:tcPr>
          <w:p w14:paraId="747F8293" w14:textId="506DF57D" w:rsidR="00573613" w:rsidRPr="00AA22F2" w:rsidRDefault="00A95D6F" w:rsidP="000A3EA4">
            <w:pPr>
              <w:cnfStyle w:val="000000000000" w:firstRow="0" w:lastRow="0" w:firstColumn="0" w:lastColumn="0" w:oddVBand="0" w:evenVBand="0" w:oddHBand="0" w:evenHBand="0" w:firstRowFirstColumn="0" w:firstRowLastColumn="0" w:lastRowFirstColumn="0" w:lastRowLastColumn="0"/>
              <w:rPr>
                <w:szCs w:val="20"/>
              </w:rPr>
            </w:pPr>
            <w:r w:rsidRPr="00AA22F2">
              <w:rPr>
                <w:szCs w:val="20"/>
              </w:rPr>
              <w:t>Impact temporaire, limité aux périodes d’utilisation d’engins vibrants</w:t>
            </w:r>
          </w:p>
        </w:tc>
        <w:tc>
          <w:tcPr>
            <w:tcW w:w="806" w:type="pct"/>
          </w:tcPr>
          <w:p w14:paraId="5AC1291A" w14:textId="4937E10D" w:rsidR="00573613" w:rsidRPr="00AA22F2" w:rsidRDefault="00573613" w:rsidP="000A3EA4">
            <w:pPr>
              <w:cnfStyle w:val="000000000000" w:firstRow="0" w:lastRow="0" w:firstColumn="0" w:lastColumn="0" w:oddVBand="0" w:evenVBand="0" w:oddHBand="0" w:evenHBand="0" w:firstRowFirstColumn="0" w:firstRowLastColumn="0" w:lastRowFirstColumn="0" w:lastRowLastColumn="0"/>
              <w:rPr>
                <w:b/>
                <w:bCs/>
                <w:szCs w:val="20"/>
              </w:rPr>
            </w:pPr>
            <w:r w:rsidRPr="00AA22F2">
              <w:rPr>
                <w:b/>
                <w:bCs/>
                <w:szCs w:val="20"/>
              </w:rPr>
              <w:t>Temporaire</w:t>
            </w:r>
          </w:p>
        </w:tc>
      </w:tr>
      <w:tr w:rsidR="00573613" w:rsidRPr="00B94BAA" w14:paraId="2E838244" w14:textId="77777777" w:rsidTr="000A3EA4">
        <w:tc>
          <w:tcPr>
            <w:cnfStyle w:val="001000000000" w:firstRow="0" w:lastRow="0" w:firstColumn="1" w:lastColumn="0" w:oddVBand="0" w:evenVBand="0" w:oddHBand="0" w:evenHBand="0" w:firstRowFirstColumn="0" w:firstRowLastColumn="0" w:lastRowFirstColumn="0" w:lastRowLastColumn="0"/>
            <w:tcW w:w="722" w:type="pct"/>
            <w:vMerge/>
            <w:vAlign w:val="center"/>
          </w:tcPr>
          <w:p w14:paraId="62B43C53" w14:textId="77777777" w:rsidR="00573613" w:rsidRPr="00AA22F2" w:rsidRDefault="00573613" w:rsidP="000A3EA4">
            <w:pPr>
              <w:jc w:val="left"/>
              <w:rPr>
                <w:b w:val="0"/>
                <w:bCs w:val="0"/>
                <w:szCs w:val="20"/>
              </w:rPr>
            </w:pPr>
          </w:p>
        </w:tc>
        <w:tc>
          <w:tcPr>
            <w:tcW w:w="1243" w:type="pct"/>
            <w:vMerge/>
            <w:vAlign w:val="center"/>
          </w:tcPr>
          <w:p w14:paraId="377B2953" w14:textId="77777777" w:rsidR="00573613" w:rsidRPr="00AA22F2" w:rsidRDefault="00573613" w:rsidP="000A3EA4">
            <w:pPr>
              <w:jc w:val="left"/>
              <w:cnfStyle w:val="000000000000" w:firstRow="0" w:lastRow="0" w:firstColumn="0" w:lastColumn="0" w:oddVBand="0" w:evenVBand="0" w:oddHBand="0" w:evenHBand="0" w:firstRowFirstColumn="0" w:firstRowLastColumn="0" w:lastRowFirstColumn="0" w:lastRowLastColumn="0"/>
              <w:rPr>
                <w:b/>
                <w:bCs/>
                <w:szCs w:val="20"/>
              </w:rPr>
            </w:pPr>
          </w:p>
        </w:tc>
        <w:tc>
          <w:tcPr>
            <w:tcW w:w="648" w:type="pct"/>
            <w:tcBorders>
              <w:right w:val="single" w:sz="4" w:space="0" w:color="BFBFBF" w:themeColor="background1" w:themeShade="BF"/>
            </w:tcBorders>
            <w:vAlign w:val="center"/>
          </w:tcPr>
          <w:p w14:paraId="0AED2195" w14:textId="77777777" w:rsidR="00573613" w:rsidRPr="00AA22F2" w:rsidRDefault="00573613" w:rsidP="000A3EA4">
            <w:pPr>
              <w:jc w:val="left"/>
              <w:cnfStyle w:val="000000000000" w:firstRow="0" w:lastRow="0" w:firstColumn="0" w:lastColumn="0" w:oddVBand="0" w:evenVBand="0" w:oddHBand="0" w:evenHBand="0" w:firstRowFirstColumn="0" w:firstRowLastColumn="0" w:lastRowFirstColumn="0" w:lastRowLastColumn="0"/>
              <w:rPr>
                <w:b/>
                <w:bCs/>
                <w:szCs w:val="20"/>
              </w:rPr>
            </w:pPr>
            <w:r w:rsidRPr="00AA22F2">
              <w:rPr>
                <w:b/>
                <w:bCs/>
                <w:szCs w:val="20"/>
              </w:rPr>
              <w:t>Fréquence</w:t>
            </w:r>
          </w:p>
        </w:tc>
        <w:tc>
          <w:tcPr>
            <w:tcW w:w="1581" w:type="pct"/>
            <w:tcBorders>
              <w:left w:val="single" w:sz="4" w:space="0" w:color="BFBFBF" w:themeColor="background1" w:themeShade="BF"/>
            </w:tcBorders>
          </w:tcPr>
          <w:p w14:paraId="462E0F18" w14:textId="6A0F678C" w:rsidR="00573613" w:rsidRPr="00AA22F2" w:rsidRDefault="00B94BAA" w:rsidP="000A3EA4">
            <w:pPr>
              <w:cnfStyle w:val="000000000000" w:firstRow="0" w:lastRow="0" w:firstColumn="0" w:lastColumn="0" w:oddVBand="0" w:evenVBand="0" w:oddHBand="0" w:evenHBand="0" w:firstRowFirstColumn="0" w:firstRowLastColumn="0" w:lastRowFirstColumn="0" w:lastRowLastColumn="0"/>
              <w:rPr>
                <w:szCs w:val="20"/>
              </w:rPr>
            </w:pPr>
            <w:r w:rsidRPr="00AA22F2">
              <w:rPr>
                <w:szCs w:val="20"/>
              </w:rPr>
              <w:t>Intermittente, dépendant des cycles d’utilisation des machines de compactage</w:t>
            </w:r>
          </w:p>
        </w:tc>
        <w:tc>
          <w:tcPr>
            <w:tcW w:w="806" w:type="pct"/>
          </w:tcPr>
          <w:p w14:paraId="7005EDDF" w14:textId="61B6FB8B" w:rsidR="00573613" w:rsidRPr="00AA22F2" w:rsidRDefault="00573613" w:rsidP="000A3EA4">
            <w:pPr>
              <w:cnfStyle w:val="000000000000" w:firstRow="0" w:lastRow="0" w:firstColumn="0" w:lastColumn="0" w:oddVBand="0" w:evenVBand="0" w:oddHBand="0" w:evenHBand="0" w:firstRowFirstColumn="0" w:firstRowLastColumn="0" w:lastRowFirstColumn="0" w:lastRowLastColumn="0"/>
              <w:rPr>
                <w:b/>
                <w:bCs/>
                <w:szCs w:val="20"/>
              </w:rPr>
            </w:pPr>
            <w:r w:rsidRPr="00AA22F2">
              <w:rPr>
                <w:b/>
                <w:bCs/>
                <w:szCs w:val="20"/>
              </w:rPr>
              <w:t>Intermittente</w:t>
            </w:r>
          </w:p>
        </w:tc>
      </w:tr>
      <w:tr w:rsidR="00573613" w:rsidRPr="00B94BAA" w14:paraId="4D3BCA66" w14:textId="77777777" w:rsidTr="000A3EA4">
        <w:tc>
          <w:tcPr>
            <w:cnfStyle w:val="001000000000" w:firstRow="0" w:lastRow="0" w:firstColumn="1" w:lastColumn="0" w:oddVBand="0" w:evenVBand="0" w:oddHBand="0" w:evenHBand="0" w:firstRowFirstColumn="0" w:firstRowLastColumn="0" w:lastRowFirstColumn="0" w:lastRowLastColumn="0"/>
            <w:tcW w:w="722" w:type="pct"/>
            <w:vMerge/>
            <w:vAlign w:val="center"/>
          </w:tcPr>
          <w:p w14:paraId="06294718" w14:textId="77777777" w:rsidR="00573613" w:rsidRPr="00AA22F2" w:rsidRDefault="00573613" w:rsidP="000A3EA4">
            <w:pPr>
              <w:jc w:val="left"/>
              <w:rPr>
                <w:b w:val="0"/>
                <w:bCs w:val="0"/>
                <w:szCs w:val="20"/>
              </w:rPr>
            </w:pPr>
          </w:p>
        </w:tc>
        <w:tc>
          <w:tcPr>
            <w:tcW w:w="1243" w:type="pct"/>
            <w:vMerge/>
            <w:vAlign w:val="center"/>
          </w:tcPr>
          <w:p w14:paraId="789915C5" w14:textId="77777777" w:rsidR="00573613" w:rsidRPr="00AA22F2" w:rsidRDefault="00573613" w:rsidP="000A3EA4">
            <w:pPr>
              <w:jc w:val="left"/>
              <w:cnfStyle w:val="000000000000" w:firstRow="0" w:lastRow="0" w:firstColumn="0" w:lastColumn="0" w:oddVBand="0" w:evenVBand="0" w:oddHBand="0" w:evenHBand="0" w:firstRowFirstColumn="0" w:firstRowLastColumn="0" w:lastRowFirstColumn="0" w:lastRowLastColumn="0"/>
              <w:rPr>
                <w:b/>
                <w:bCs/>
                <w:szCs w:val="20"/>
              </w:rPr>
            </w:pPr>
          </w:p>
        </w:tc>
        <w:tc>
          <w:tcPr>
            <w:tcW w:w="648" w:type="pct"/>
            <w:tcBorders>
              <w:right w:val="single" w:sz="4" w:space="0" w:color="BFBFBF" w:themeColor="background1" w:themeShade="BF"/>
            </w:tcBorders>
            <w:shd w:val="clear" w:color="auto" w:fill="D9E2F3" w:themeFill="accent1" w:themeFillTint="33"/>
            <w:vAlign w:val="center"/>
          </w:tcPr>
          <w:p w14:paraId="23E50D4C" w14:textId="77777777" w:rsidR="00573613" w:rsidRPr="00AA22F2" w:rsidRDefault="00573613" w:rsidP="000A3EA4">
            <w:pPr>
              <w:jc w:val="left"/>
              <w:cnfStyle w:val="000000000000" w:firstRow="0" w:lastRow="0" w:firstColumn="0" w:lastColumn="0" w:oddVBand="0" w:evenVBand="0" w:oddHBand="0" w:evenHBand="0" w:firstRowFirstColumn="0" w:firstRowLastColumn="0" w:lastRowFirstColumn="0" w:lastRowLastColumn="0"/>
              <w:rPr>
                <w:b/>
                <w:bCs/>
                <w:szCs w:val="20"/>
              </w:rPr>
            </w:pPr>
            <w:r w:rsidRPr="00AA22F2">
              <w:rPr>
                <w:b/>
                <w:bCs/>
                <w:szCs w:val="20"/>
              </w:rPr>
              <w:t xml:space="preserve">Intensité de l’impact </w:t>
            </w:r>
          </w:p>
        </w:tc>
        <w:tc>
          <w:tcPr>
            <w:tcW w:w="1581" w:type="pct"/>
            <w:tcBorders>
              <w:left w:val="single" w:sz="4" w:space="0" w:color="BFBFBF" w:themeColor="background1" w:themeShade="BF"/>
            </w:tcBorders>
            <w:shd w:val="clear" w:color="auto" w:fill="D9E2F3" w:themeFill="accent1" w:themeFillTint="33"/>
          </w:tcPr>
          <w:p w14:paraId="253BD149" w14:textId="265D75CF" w:rsidR="00573613" w:rsidRPr="00AA22F2" w:rsidRDefault="00B94BAA" w:rsidP="000A3EA4">
            <w:pPr>
              <w:cnfStyle w:val="000000000000" w:firstRow="0" w:lastRow="0" w:firstColumn="0" w:lastColumn="0" w:oddVBand="0" w:evenVBand="0" w:oddHBand="0" w:evenHBand="0" w:firstRowFirstColumn="0" w:firstRowLastColumn="0" w:lastRowFirstColumn="0" w:lastRowLastColumn="0"/>
              <w:rPr>
                <w:szCs w:val="20"/>
              </w:rPr>
            </w:pPr>
            <w:r w:rsidRPr="00AA22F2">
              <w:rPr>
                <w:szCs w:val="20"/>
              </w:rPr>
              <w:t>Faible à moyenne, perceptible par le personnel à proximité immédiate mais rapidement dissipée dans le sol</w:t>
            </w:r>
          </w:p>
        </w:tc>
        <w:tc>
          <w:tcPr>
            <w:tcW w:w="806" w:type="pct"/>
            <w:shd w:val="clear" w:color="auto" w:fill="D9E2F3" w:themeFill="accent1" w:themeFillTint="33"/>
          </w:tcPr>
          <w:p w14:paraId="02D8AB99" w14:textId="1ECB01CD" w:rsidR="00573613" w:rsidRPr="00AA22F2" w:rsidRDefault="00573613" w:rsidP="000A3EA4">
            <w:pPr>
              <w:cnfStyle w:val="000000000000" w:firstRow="0" w:lastRow="0" w:firstColumn="0" w:lastColumn="0" w:oddVBand="0" w:evenVBand="0" w:oddHBand="0" w:evenHBand="0" w:firstRowFirstColumn="0" w:firstRowLastColumn="0" w:lastRowFirstColumn="0" w:lastRowLastColumn="0"/>
              <w:rPr>
                <w:b/>
                <w:bCs/>
                <w:szCs w:val="20"/>
              </w:rPr>
            </w:pPr>
            <w:r w:rsidRPr="00AA22F2">
              <w:rPr>
                <w:b/>
                <w:bCs/>
                <w:szCs w:val="20"/>
              </w:rPr>
              <w:t>Faible à moyenne</w:t>
            </w:r>
          </w:p>
        </w:tc>
      </w:tr>
      <w:tr w:rsidR="00573613" w:rsidRPr="00B94BAA" w14:paraId="658496C1" w14:textId="77777777" w:rsidTr="00573613">
        <w:tc>
          <w:tcPr>
            <w:cnfStyle w:val="001000000000" w:firstRow="0" w:lastRow="0" w:firstColumn="1" w:lastColumn="0" w:oddVBand="0" w:evenVBand="0" w:oddHBand="0" w:evenHBand="0" w:firstRowFirstColumn="0" w:firstRowLastColumn="0" w:lastRowFirstColumn="0" w:lastRowLastColumn="0"/>
            <w:tcW w:w="722" w:type="pct"/>
            <w:vMerge/>
            <w:vAlign w:val="center"/>
          </w:tcPr>
          <w:p w14:paraId="1100333A" w14:textId="77777777" w:rsidR="00573613" w:rsidRPr="00AA22F2" w:rsidRDefault="00573613" w:rsidP="004637C7">
            <w:pPr>
              <w:spacing w:before="0" w:after="0"/>
              <w:jc w:val="left"/>
              <w:rPr>
                <w:b w:val="0"/>
                <w:bCs w:val="0"/>
                <w:szCs w:val="20"/>
              </w:rPr>
            </w:pPr>
          </w:p>
        </w:tc>
        <w:tc>
          <w:tcPr>
            <w:tcW w:w="4278" w:type="pct"/>
            <w:gridSpan w:val="4"/>
            <w:vAlign w:val="center"/>
          </w:tcPr>
          <w:p w14:paraId="5D24BD72" w14:textId="77777777" w:rsidR="00573613" w:rsidRPr="00AA22F2" w:rsidRDefault="00573613" w:rsidP="004637C7">
            <w:pPr>
              <w:spacing w:before="0" w:after="0"/>
              <w:cnfStyle w:val="000000000000" w:firstRow="0" w:lastRow="0" w:firstColumn="0" w:lastColumn="0" w:oddVBand="0" w:evenVBand="0" w:oddHBand="0" w:evenHBand="0" w:firstRowFirstColumn="0" w:firstRowLastColumn="0" w:lastRowFirstColumn="0" w:lastRowLastColumn="0"/>
              <w:rPr>
                <w:b/>
                <w:bCs/>
                <w:szCs w:val="20"/>
              </w:rPr>
            </w:pPr>
          </w:p>
        </w:tc>
      </w:tr>
      <w:tr w:rsidR="00A95D6F" w:rsidRPr="00B94BAA" w14:paraId="707E232D" w14:textId="77777777" w:rsidTr="00A95D6F">
        <w:tc>
          <w:tcPr>
            <w:cnfStyle w:val="001000000000" w:firstRow="0" w:lastRow="0" w:firstColumn="1" w:lastColumn="0" w:oddVBand="0" w:evenVBand="0" w:oddHBand="0" w:evenHBand="0" w:firstRowFirstColumn="0" w:firstRowLastColumn="0" w:lastRowFirstColumn="0" w:lastRowLastColumn="0"/>
            <w:tcW w:w="722" w:type="pct"/>
            <w:vMerge/>
            <w:vAlign w:val="center"/>
          </w:tcPr>
          <w:p w14:paraId="2A9849E0" w14:textId="77777777" w:rsidR="00573613" w:rsidRPr="00AA22F2" w:rsidRDefault="00573613" w:rsidP="00573613">
            <w:pPr>
              <w:jc w:val="left"/>
              <w:rPr>
                <w:b w:val="0"/>
                <w:bCs w:val="0"/>
                <w:szCs w:val="20"/>
              </w:rPr>
            </w:pPr>
          </w:p>
        </w:tc>
        <w:tc>
          <w:tcPr>
            <w:tcW w:w="1243" w:type="pct"/>
            <w:shd w:val="clear" w:color="auto" w:fill="B4C6E7" w:themeFill="accent1" w:themeFillTint="66"/>
            <w:vAlign w:val="center"/>
          </w:tcPr>
          <w:p w14:paraId="2F56CF19" w14:textId="727EC9BB" w:rsidR="00573613" w:rsidRPr="00AA22F2" w:rsidRDefault="00573613" w:rsidP="00573613">
            <w:pPr>
              <w:jc w:val="left"/>
              <w:cnfStyle w:val="000000000000" w:firstRow="0" w:lastRow="0" w:firstColumn="0" w:lastColumn="0" w:oddVBand="0" w:evenVBand="0" w:oddHBand="0" w:evenHBand="0" w:firstRowFirstColumn="0" w:firstRowLastColumn="0" w:lastRowFirstColumn="0" w:lastRowLastColumn="0"/>
              <w:rPr>
                <w:b/>
                <w:bCs/>
                <w:szCs w:val="20"/>
              </w:rPr>
            </w:pPr>
            <w:r w:rsidRPr="00B94BAA">
              <w:rPr>
                <w:b/>
                <w:bCs/>
                <w:szCs w:val="20"/>
              </w:rPr>
              <w:t>Intensité de l’impact</w:t>
            </w:r>
          </w:p>
        </w:tc>
        <w:tc>
          <w:tcPr>
            <w:tcW w:w="648" w:type="pct"/>
            <w:tcBorders>
              <w:right w:val="single" w:sz="4" w:space="0" w:color="BFBFBF" w:themeColor="background1" w:themeShade="BF"/>
            </w:tcBorders>
            <w:shd w:val="clear" w:color="auto" w:fill="B4C6E7" w:themeFill="accent1" w:themeFillTint="66"/>
            <w:vAlign w:val="center"/>
          </w:tcPr>
          <w:p w14:paraId="3053B8D1" w14:textId="050DED05" w:rsidR="00573613" w:rsidRPr="00AA22F2" w:rsidRDefault="00573613" w:rsidP="00573613">
            <w:pPr>
              <w:jc w:val="left"/>
              <w:cnfStyle w:val="000000000000" w:firstRow="0" w:lastRow="0" w:firstColumn="0" w:lastColumn="0" w:oddVBand="0" w:evenVBand="0" w:oddHBand="0" w:evenHBand="0" w:firstRowFirstColumn="0" w:firstRowLastColumn="0" w:lastRowFirstColumn="0" w:lastRowLastColumn="0"/>
              <w:rPr>
                <w:b/>
                <w:bCs/>
                <w:szCs w:val="20"/>
              </w:rPr>
            </w:pPr>
            <w:r w:rsidRPr="00B94BAA">
              <w:rPr>
                <w:b/>
                <w:bCs/>
                <w:szCs w:val="20"/>
              </w:rPr>
              <w:t>Récepteurs</w:t>
            </w:r>
          </w:p>
        </w:tc>
        <w:tc>
          <w:tcPr>
            <w:tcW w:w="1581" w:type="pct"/>
            <w:tcBorders>
              <w:left w:val="single" w:sz="4" w:space="0" w:color="BFBFBF" w:themeColor="background1" w:themeShade="BF"/>
            </w:tcBorders>
            <w:shd w:val="clear" w:color="auto" w:fill="B4C6E7" w:themeFill="accent1" w:themeFillTint="66"/>
            <w:vAlign w:val="center"/>
          </w:tcPr>
          <w:p w14:paraId="16E5EF63" w14:textId="024A8374" w:rsidR="00573613" w:rsidRPr="00AA22F2" w:rsidRDefault="00573613" w:rsidP="00573613">
            <w:pPr>
              <w:cnfStyle w:val="000000000000" w:firstRow="0" w:lastRow="0" w:firstColumn="0" w:lastColumn="0" w:oddVBand="0" w:evenVBand="0" w:oddHBand="0" w:evenHBand="0" w:firstRowFirstColumn="0" w:firstRowLastColumn="0" w:lastRowFirstColumn="0" w:lastRowLastColumn="0"/>
              <w:rPr>
                <w:szCs w:val="20"/>
              </w:rPr>
            </w:pPr>
            <w:r w:rsidRPr="00B94BAA">
              <w:rPr>
                <w:b/>
                <w:bCs/>
                <w:szCs w:val="20"/>
              </w:rPr>
              <w:t>Sensibilité</w:t>
            </w:r>
          </w:p>
        </w:tc>
        <w:tc>
          <w:tcPr>
            <w:tcW w:w="806" w:type="pct"/>
            <w:shd w:val="clear" w:color="auto" w:fill="B4C6E7" w:themeFill="accent1" w:themeFillTint="66"/>
            <w:vAlign w:val="center"/>
          </w:tcPr>
          <w:p w14:paraId="0E1D6B0E" w14:textId="7FA1BA2D" w:rsidR="00573613" w:rsidRPr="00AA22F2" w:rsidRDefault="00573613" w:rsidP="00573613">
            <w:pPr>
              <w:cnfStyle w:val="000000000000" w:firstRow="0" w:lastRow="0" w:firstColumn="0" w:lastColumn="0" w:oddVBand="0" w:evenVBand="0" w:oddHBand="0" w:evenHBand="0" w:firstRowFirstColumn="0" w:firstRowLastColumn="0" w:lastRowFirstColumn="0" w:lastRowLastColumn="0"/>
              <w:rPr>
                <w:b/>
                <w:bCs/>
                <w:szCs w:val="20"/>
              </w:rPr>
            </w:pPr>
            <w:r w:rsidRPr="00B94BAA">
              <w:rPr>
                <w:b/>
                <w:bCs/>
                <w:szCs w:val="20"/>
              </w:rPr>
              <w:t>Importance de l’impact</w:t>
            </w:r>
          </w:p>
        </w:tc>
      </w:tr>
      <w:tr w:rsidR="00573613" w:rsidRPr="00B94BAA" w14:paraId="105059AF" w14:textId="77777777" w:rsidTr="004637C7">
        <w:tc>
          <w:tcPr>
            <w:cnfStyle w:val="001000000000" w:firstRow="0" w:lastRow="0" w:firstColumn="1" w:lastColumn="0" w:oddVBand="0" w:evenVBand="0" w:oddHBand="0" w:evenHBand="0" w:firstRowFirstColumn="0" w:firstRowLastColumn="0" w:lastRowFirstColumn="0" w:lastRowLastColumn="0"/>
            <w:tcW w:w="0" w:type="pct"/>
            <w:vMerge/>
            <w:vAlign w:val="center"/>
          </w:tcPr>
          <w:p w14:paraId="45133747" w14:textId="77777777" w:rsidR="00573613" w:rsidRPr="00AA22F2" w:rsidRDefault="00573613" w:rsidP="00573613">
            <w:pPr>
              <w:jc w:val="left"/>
              <w:rPr>
                <w:b w:val="0"/>
                <w:bCs w:val="0"/>
                <w:szCs w:val="20"/>
              </w:rPr>
            </w:pPr>
          </w:p>
        </w:tc>
        <w:tc>
          <w:tcPr>
            <w:tcW w:w="0" w:type="pct"/>
            <w:vMerge w:val="restart"/>
            <w:vAlign w:val="center"/>
          </w:tcPr>
          <w:p w14:paraId="0D3C695A" w14:textId="44AE4037" w:rsidR="00573613" w:rsidRPr="00AA22F2" w:rsidRDefault="00573613" w:rsidP="00573613">
            <w:pPr>
              <w:jc w:val="left"/>
              <w:cnfStyle w:val="000000000000" w:firstRow="0" w:lastRow="0" w:firstColumn="0" w:lastColumn="0" w:oddVBand="0" w:evenVBand="0" w:oddHBand="0" w:evenHBand="0" w:firstRowFirstColumn="0" w:firstRowLastColumn="0" w:lastRowFirstColumn="0" w:lastRowLastColumn="0"/>
              <w:rPr>
                <w:b/>
                <w:bCs/>
                <w:szCs w:val="20"/>
              </w:rPr>
            </w:pPr>
            <w:r w:rsidRPr="00B94BAA">
              <w:rPr>
                <w:rFonts w:asciiTheme="minorHAnsi" w:hAnsiTheme="minorHAnsi" w:cstheme="minorHAnsi"/>
                <w:szCs w:val="20"/>
                <w:lang w:val="fr-MA" w:eastAsia="fr-MA" w:bidi="ar-SA"/>
              </w:rPr>
              <w:t>Faible à moyenne</w:t>
            </w:r>
          </w:p>
        </w:tc>
        <w:tc>
          <w:tcPr>
            <w:tcW w:w="0" w:type="pct"/>
            <w:tcBorders>
              <w:right w:val="single" w:sz="4" w:space="0" w:color="BFBFBF" w:themeColor="background1" w:themeShade="BF"/>
            </w:tcBorders>
            <w:vAlign w:val="center"/>
          </w:tcPr>
          <w:p w14:paraId="61A24AE7" w14:textId="6BE261B5" w:rsidR="00573613" w:rsidRPr="00AA22F2" w:rsidRDefault="00573613" w:rsidP="00573613">
            <w:pPr>
              <w:jc w:val="left"/>
              <w:cnfStyle w:val="000000000000" w:firstRow="0" w:lastRow="0" w:firstColumn="0" w:lastColumn="0" w:oddVBand="0" w:evenVBand="0" w:oddHBand="0" w:evenHBand="0" w:firstRowFirstColumn="0" w:firstRowLastColumn="0" w:lastRowFirstColumn="0" w:lastRowLastColumn="0"/>
              <w:rPr>
                <w:b/>
                <w:bCs/>
                <w:szCs w:val="20"/>
              </w:rPr>
            </w:pPr>
            <w:r w:rsidRPr="00B94BAA">
              <w:rPr>
                <w:rFonts w:asciiTheme="minorHAnsi" w:hAnsiTheme="minorHAnsi" w:cstheme="minorHAnsi"/>
                <w:szCs w:val="20"/>
                <w:lang w:eastAsia="fr-MA" w:bidi="ar-SA"/>
              </w:rPr>
              <w:t xml:space="preserve">Personnel de chantier </w:t>
            </w:r>
          </w:p>
        </w:tc>
        <w:tc>
          <w:tcPr>
            <w:tcW w:w="0" w:type="pct"/>
            <w:tcBorders>
              <w:left w:val="single" w:sz="4" w:space="0" w:color="BFBFBF" w:themeColor="background1" w:themeShade="BF"/>
            </w:tcBorders>
            <w:vAlign w:val="center"/>
          </w:tcPr>
          <w:p w14:paraId="2A207C60" w14:textId="1E3E3A16" w:rsidR="00573613" w:rsidRPr="00AA22F2" w:rsidRDefault="00B94BAA" w:rsidP="00573613">
            <w:pPr>
              <w:cnfStyle w:val="000000000000" w:firstRow="0" w:lastRow="0" w:firstColumn="0" w:lastColumn="0" w:oddVBand="0" w:evenVBand="0" w:oddHBand="0" w:evenHBand="0" w:firstRowFirstColumn="0" w:firstRowLastColumn="0" w:lastRowFirstColumn="0" w:lastRowLastColumn="0"/>
              <w:rPr>
                <w:szCs w:val="20"/>
              </w:rPr>
            </w:pPr>
            <w:r w:rsidRPr="00B94BAA">
              <w:rPr>
                <w:rFonts w:asciiTheme="minorHAnsi" w:hAnsiTheme="minorHAnsi" w:cstheme="minorHAnsi"/>
                <w:szCs w:val="20"/>
                <w:lang w:val="fr-MA" w:eastAsia="fr-MA" w:bidi="ar-SA"/>
              </w:rPr>
              <w:t>Forte</w:t>
            </w:r>
          </w:p>
        </w:tc>
        <w:tc>
          <w:tcPr>
            <w:tcW w:w="0" w:type="pct"/>
            <w:vAlign w:val="center"/>
          </w:tcPr>
          <w:p w14:paraId="3B503D67" w14:textId="215E247A" w:rsidR="00573613" w:rsidRPr="00AA22F2" w:rsidRDefault="00573613" w:rsidP="00573613">
            <w:pPr>
              <w:cnfStyle w:val="000000000000" w:firstRow="0" w:lastRow="0" w:firstColumn="0" w:lastColumn="0" w:oddVBand="0" w:evenVBand="0" w:oddHBand="0" w:evenHBand="0" w:firstRowFirstColumn="0" w:firstRowLastColumn="0" w:lastRowFirstColumn="0" w:lastRowLastColumn="0"/>
              <w:rPr>
                <w:b/>
                <w:bCs/>
                <w:szCs w:val="20"/>
              </w:rPr>
            </w:pPr>
            <w:r w:rsidRPr="00B94BAA">
              <w:rPr>
                <w:rFonts w:asciiTheme="minorHAnsi" w:hAnsiTheme="minorHAnsi" w:cstheme="minorHAnsi"/>
                <w:szCs w:val="20"/>
                <w:lang w:val="fr-MA" w:eastAsia="fr-MA" w:bidi="ar-SA"/>
              </w:rPr>
              <w:t>Mineure à Modérée</w:t>
            </w:r>
          </w:p>
        </w:tc>
      </w:tr>
      <w:tr w:rsidR="00B94BAA" w:rsidRPr="00B94BAA" w14:paraId="1C096DE0" w14:textId="77777777" w:rsidTr="00A95D6F">
        <w:tc>
          <w:tcPr>
            <w:cnfStyle w:val="001000000000" w:firstRow="0" w:lastRow="0" w:firstColumn="1" w:lastColumn="0" w:oddVBand="0" w:evenVBand="0" w:oddHBand="0" w:evenHBand="0" w:firstRowFirstColumn="0" w:firstRowLastColumn="0" w:lastRowFirstColumn="0" w:lastRowLastColumn="0"/>
            <w:tcW w:w="722" w:type="pct"/>
            <w:vMerge/>
            <w:vAlign w:val="center"/>
          </w:tcPr>
          <w:p w14:paraId="22FD728E" w14:textId="77777777" w:rsidR="00B94BAA" w:rsidRPr="00AA22F2" w:rsidRDefault="00B94BAA" w:rsidP="00573613">
            <w:pPr>
              <w:jc w:val="left"/>
              <w:rPr>
                <w:b w:val="0"/>
                <w:bCs w:val="0"/>
                <w:szCs w:val="20"/>
              </w:rPr>
            </w:pPr>
          </w:p>
        </w:tc>
        <w:tc>
          <w:tcPr>
            <w:tcW w:w="1243" w:type="pct"/>
            <w:vMerge/>
            <w:vAlign w:val="center"/>
          </w:tcPr>
          <w:p w14:paraId="70206D00" w14:textId="77777777" w:rsidR="00B94BAA" w:rsidRPr="00B94BAA" w:rsidRDefault="00B94BAA" w:rsidP="00573613">
            <w:pPr>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val="fr-MA" w:eastAsia="fr-MA" w:bidi="ar-SA"/>
              </w:rPr>
            </w:pPr>
          </w:p>
        </w:tc>
        <w:tc>
          <w:tcPr>
            <w:tcW w:w="648" w:type="pct"/>
            <w:tcBorders>
              <w:right w:val="single" w:sz="4" w:space="0" w:color="BFBFBF" w:themeColor="background1" w:themeShade="BF"/>
            </w:tcBorders>
            <w:vAlign w:val="center"/>
          </w:tcPr>
          <w:p w14:paraId="27029AC7" w14:textId="7D682C18" w:rsidR="00B94BAA" w:rsidRPr="00B94BAA" w:rsidRDefault="00B94BAA" w:rsidP="00573613">
            <w:pPr>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MA" w:bidi="ar-SA"/>
              </w:rPr>
            </w:pPr>
            <w:r w:rsidRPr="00B94BAA">
              <w:rPr>
                <w:rFonts w:asciiTheme="minorHAnsi" w:hAnsiTheme="minorHAnsi" w:cstheme="minorHAnsi"/>
                <w:szCs w:val="20"/>
                <w:lang w:eastAsia="fr-MA" w:bidi="ar-SA"/>
              </w:rPr>
              <w:t>Usagers et personnel aéroportuaire</w:t>
            </w:r>
          </w:p>
        </w:tc>
        <w:tc>
          <w:tcPr>
            <w:tcW w:w="1581" w:type="pct"/>
            <w:tcBorders>
              <w:left w:val="single" w:sz="4" w:space="0" w:color="BFBFBF" w:themeColor="background1" w:themeShade="BF"/>
            </w:tcBorders>
            <w:vAlign w:val="center"/>
          </w:tcPr>
          <w:p w14:paraId="29F88ED9" w14:textId="768942B6" w:rsidR="00B94BAA" w:rsidRPr="00B94BAA" w:rsidRDefault="00B94BAA" w:rsidP="00573613">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val="fr-MA" w:eastAsia="fr-MA" w:bidi="ar-SA"/>
              </w:rPr>
            </w:pPr>
            <w:r w:rsidRPr="00B94BAA">
              <w:rPr>
                <w:rFonts w:asciiTheme="minorHAnsi" w:hAnsiTheme="minorHAnsi" w:cstheme="minorHAnsi"/>
                <w:szCs w:val="20"/>
                <w:lang w:val="fr-MA" w:eastAsia="fr-MA" w:bidi="ar-SA"/>
              </w:rPr>
              <w:t>Moyenne</w:t>
            </w:r>
          </w:p>
        </w:tc>
        <w:tc>
          <w:tcPr>
            <w:tcW w:w="806" w:type="pct"/>
            <w:vAlign w:val="center"/>
          </w:tcPr>
          <w:p w14:paraId="3F8CEA68" w14:textId="7E4A0BF0" w:rsidR="00B94BAA" w:rsidRPr="00B94BAA" w:rsidRDefault="00B94BAA" w:rsidP="00573613">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val="fr-MA" w:eastAsia="fr-MA" w:bidi="ar-SA"/>
              </w:rPr>
            </w:pPr>
            <w:r w:rsidRPr="00B94BAA">
              <w:rPr>
                <w:rFonts w:asciiTheme="minorHAnsi" w:hAnsiTheme="minorHAnsi" w:cstheme="minorHAnsi"/>
                <w:szCs w:val="20"/>
                <w:lang w:val="fr-MA" w:eastAsia="fr-MA" w:bidi="ar-SA"/>
              </w:rPr>
              <w:t>Mineure à modérée</w:t>
            </w:r>
          </w:p>
        </w:tc>
      </w:tr>
      <w:tr w:rsidR="00B94BAA" w:rsidRPr="00B94BAA" w14:paraId="1BA7072E" w14:textId="77777777" w:rsidTr="00A95D6F">
        <w:tc>
          <w:tcPr>
            <w:cnfStyle w:val="001000000000" w:firstRow="0" w:lastRow="0" w:firstColumn="1" w:lastColumn="0" w:oddVBand="0" w:evenVBand="0" w:oddHBand="0" w:evenHBand="0" w:firstRowFirstColumn="0" w:firstRowLastColumn="0" w:lastRowFirstColumn="0" w:lastRowLastColumn="0"/>
            <w:tcW w:w="722" w:type="pct"/>
            <w:vMerge/>
            <w:vAlign w:val="center"/>
          </w:tcPr>
          <w:p w14:paraId="758D4A10" w14:textId="77777777" w:rsidR="00573613" w:rsidRPr="00AA22F2" w:rsidRDefault="00573613" w:rsidP="00573613">
            <w:pPr>
              <w:jc w:val="left"/>
              <w:rPr>
                <w:b w:val="0"/>
                <w:bCs w:val="0"/>
                <w:szCs w:val="20"/>
              </w:rPr>
            </w:pPr>
          </w:p>
        </w:tc>
        <w:tc>
          <w:tcPr>
            <w:tcW w:w="1243" w:type="pct"/>
            <w:vMerge/>
          </w:tcPr>
          <w:p w14:paraId="485F508E" w14:textId="77777777" w:rsidR="00573613" w:rsidRPr="00AA22F2" w:rsidRDefault="00573613" w:rsidP="00573613">
            <w:pPr>
              <w:jc w:val="left"/>
              <w:cnfStyle w:val="000000000000" w:firstRow="0" w:lastRow="0" w:firstColumn="0" w:lastColumn="0" w:oddVBand="0" w:evenVBand="0" w:oddHBand="0" w:evenHBand="0" w:firstRowFirstColumn="0" w:firstRowLastColumn="0" w:lastRowFirstColumn="0" w:lastRowLastColumn="0"/>
              <w:rPr>
                <w:b/>
                <w:bCs/>
                <w:szCs w:val="20"/>
              </w:rPr>
            </w:pPr>
          </w:p>
        </w:tc>
        <w:tc>
          <w:tcPr>
            <w:tcW w:w="648" w:type="pct"/>
            <w:tcBorders>
              <w:right w:val="single" w:sz="4" w:space="0" w:color="BFBFBF" w:themeColor="background1" w:themeShade="BF"/>
            </w:tcBorders>
            <w:vAlign w:val="center"/>
          </w:tcPr>
          <w:p w14:paraId="0BA24476" w14:textId="10C40854" w:rsidR="00573613" w:rsidRPr="00AA22F2" w:rsidRDefault="00B94BAA" w:rsidP="00573613">
            <w:pPr>
              <w:jc w:val="left"/>
              <w:cnfStyle w:val="000000000000" w:firstRow="0" w:lastRow="0" w:firstColumn="0" w:lastColumn="0" w:oddVBand="0" w:evenVBand="0" w:oddHBand="0" w:evenHBand="0" w:firstRowFirstColumn="0" w:firstRowLastColumn="0" w:lastRowFirstColumn="0" w:lastRowLastColumn="0"/>
              <w:rPr>
                <w:b/>
                <w:bCs/>
                <w:szCs w:val="20"/>
              </w:rPr>
            </w:pPr>
            <w:r w:rsidRPr="00B94BAA">
              <w:rPr>
                <w:rFonts w:asciiTheme="minorHAnsi" w:hAnsiTheme="minorHAnsi" w:cstheme="minorHAnsi"/>
                <w:szCs w:val="20"/>
                <w:lang w:eastAsia="fr-MA" w:bidi="ar-SA"/>
              </w:rPr>
              <w:t>Habitations d</w:t>
            </w:r>
            <w:r w:rsidR="001B4B7B">
              <w:rPr>
                <w:rFonts w:asciiTheme="minorHAnsi" w:hAnsiTheme="minorHAnsi" w:cstheme="minorHAnsi"/>
                <w:szCs w:val="20"/>
                <w:lang w:eastAsia="fr-MA" w:bidi="ar-SA"/>
              </w:rPr>
              <w:t>e  Bouakkaz</w:t>
            </w:r>
          </w:p>
        </w:tc>
        <w:tc>
          <w:tcPr>
            <w:tcW w:w="1581" w:type="pct"/>
            <w:tcBorders>
              <w:left w:val="single" w:sz="4" w:space="0" w:color="BFBFBF" w:themeColor="background1" w:themeShade="BF"/>
            </w:tcBorders>
            <w:vAlign w:val="center"/>
          </w:tcPr>
          <w:p w14:paraId="6B29136B" w14:textId="07D839EB" w:rsidR="00573613" w:rsidRPr="00AA22F2" w:rsidRDefault="00B94BAA" w:rsidP="00573613">
            <w:pPr>
              <w:cnfStyle w:val="000000000000" w:firstRow="0" w:lastRow="0" w:firstColumn="0" w:lastColumn="0" w:oddVBand="0" w:evenVBand="0" w:oddHBand="0" w:evenHBand="0" w:firstRowFirstColumn="0" w:firstRowLastColumn="0" w:lastRowFirstColumn="0" w:lastRowLastColumn="0"/>
              <w:rPr>
                <w:szCs w:val="20"/>
              </w:rPr>
            </w:pPr>
            <w:r w:rsidRPr="00B94BAA">
              <w:rPr>
                <w:rFonts w:asciiTheme="minorHAnsi" w:hAnsiTheme="minorHAnsi" w:cstheme="minorHAnsi"/>
                <w:szCs w:val="20"/>
                <w:lang w:val="fr-MA" w:eastAsia="fr-MA" w:bidi="ar-SA"/>
              </w:rPr>
              <w:t>Insignifiant</w:t>
            </w:r>
          </w:p>
        </w:tc>
        <w:tc>
          <w:tcPr>
            <w:tcW w:w="806" w:type="pct"/>
            <w:vAlign w:val="center"/>
          </w:tcPr>
          <w:p w14:paraId="21DAE4B0" w14:textId="08BC6F9A" w:rsidR="00573613" w:rsidRPr="00AA22F2" w:rsidRDefault="00B94BAA" w:rsidP="00573613">
            <w:pPr>
              <w:cnfStyle w:val="000000000000" w:firstRow="0" w:lastRow="0" w:firstColumn="0" w:lastColumn="0" w:oddVBand="0" w:evenVBand="0" w:oddHBand="0" w:evenHBand="0" w:firstRowFirstColumn="0" w:firstRowLastColumn="0" w:lastRowFirstColumn="0" w:lastRowLastColumn="0"/>
              <w:rPr>
                <w:b/>
                <w:bCs/>
                <w:szCs w:val="20"/>
              </w:rPr>
            </w:pPr>
            <w:r w:rsidRPr="00B94BAA">
              <w:rPr>
                <w:rFonts w:asciiTheme="minorHAnsi" w:hAnsiTheme="minorHAnsi" w:cstheme="minorHAnsi"/>
                <w:szCs w:val="20"/>
                <w:lang w:val="fr-MA" w:eastAsia="fr-MA" w:bidi="ar-SA"/>
              </w:rPr>
              <w:t>Insignifiant</w:t>
            </w:r>
          </w:p>
        </w:tc>
      </w:tr>
      <w:bookmarkEnd w:id="410"/>
    </w:tbl>
    <w:p w14:paraId="5ED1219F" w14:textId="77777777" w:rsidR="0079165B" w:rsidRDefault="0079165B" w:rsidP="00AE1A43">
      <w:pPr>
        <w:spacing w:before="240"/>
        <w:sectPr w:rsidR="0079165B" w:rsidSect="003E3DA1">
          <w:headerReference w:type="default" r:id="rId104"/>
          <w:footerReference w:type="default" r:id="rId105"/>
          <w:pgSz w:w="11906" w:h="16838"/>
          <w:pgMar w:top="1702" w:right="1418" w:bottom="1276" w:left="1418" w:header="680" w:footer="680" w:gutter="0"/>
          <w:cols w:space="708"/>
          <w:docGrid w:linePitch="360"/>
        </w:sectPr>
      </w:pPr>
    </w:p>
    <w:p w14:paraId="53027FC1" w14:textId="343F1BBD" w:rsidR="00025DB4" w:rsidRPr="004637C7" w:rsidRDefault="00DA1835" w:rsidP="004637C7">
      <w:pPr>
        <w:pStyle w:val="Title5"/>
      </w:pPr>
      <w:bookmarkStart w:id="411" w:name="_Hlk210403702"/>
      <w:bookmarkStart w:id="412" w:name="_Hlk210928557"/>
      <w:r w:rsidRPr="004637C7">
        <w:lastRenderedPageBreak/>
        <w:t>Mesures d’atténuation</w:t>
      </w:r>
    </w:p>
    <w:p w14:paraId="5EF5EB46" w14:textId="22B39CD0" w:rsidR="00025DB4" w:rsidRDefault="004D26EF" w:rsidP="004D26EF">
      <w:pPr>
        <w:pStyle w:val="Lgende"/>
        <w:rPr>
          <w:rFonts w:asciiTheme="minorHAnsi" w:hAnsiTheme="minorHAnsi" w:cstheme="minorHAnsi"/>
          <w:spacing w:val="-2"/>
          <w:w w:val="105"/>
          <w:lang w:val="fr-FR"/>
        </w:rPr>
      </w:pPr>
      <w:bookmarkStart w:id="413" w:name="_Toc213404367"/>
      <w:r w:rsidRPr="002A0860">
        <w:rPr>
          <w:lang w:val="fr-FR"/>
        </w:rPr>
        <w:t xml:space="preserve">Tableau </w:t>
      </w:r>
      <w:r>
        <w:fldChar w:fldCharType="begin"/>
      </w:r>
      <w:r w:rsidRPr="002A0860">
        <w:rPr>
          <w:lang w:val="fr-FR"/>
        </w:rPr>
        <w:instrText xml:space="preserve"> SEQ Tableau \* ARABIC </w:instrText>
      </w:r>
      <w:r>
        <w:fldChar w:fldCharType="separate"/>
      </w:r>
      <w:r w:rsidR="00274E71">
        <w:rPr>
          <w:noProof/>
          <w:lang w:val="fr-FR"/>
        </w:rPr>
        <w:t>45</w:t>
      </w:r>
      <w:r>
        <w:fldChar w:fldCharType="end"/>
      </w:r>
      <w:r>
        <w:rPr>
          <w:noProof/>
          <w:lang w:val="fr-FR"/>
        </w:rPr>
        <w:t xml:space="preserve">: </w:t>
      </w:r>
      <w:r w:rsidR="00025DB4" w:rsidRPr="002A0860">
        <w:rPr>
          <w:rFonts w:asciiTheme="minorHAnsi" w:hAnsiTheme="minorHAnsi" w:cstheme="minorHAnsi"/>
          <w:w w:val="105"/>
          <w:lang w:val="fr-FR"/>
        </w:rPr>
        <w:t>Bruit</w:t>
      </w:r>
      <w:r w:rsidR="00025DB4" w:rsidRPr="002A0860">
        <w:rPr>
          <w:rFonts w:asciiTheme="minorHAnsi" w:hAnsiTheme="minorHAnsi" w:cstheme="minorHAnsi"/>
          <w:spacing w:val="-8"/>
          <w:w w:val="105"/>
          <w:lang w:val="fr-FR"/>
        </w:rPr>
        <w:t xml:space="preserve"> </w:t>
      </w:r>
      <w:r w:rsidR="00025DB4" w:rsidRPr="002A0860">
        <w:rPr>
          <w:rFonts w:asciiTheme="minorHAnsi" w:hAnsiTheme="minorHAnsi" w:cstheme="minorHAnsi"/>
          <w:w w:val="105"/>
          <w:lang w:val="fr-FR"/>
        </w:rPr>
        <w:t>et</w:t>
      </w:r>
      <w:r w:rsidR="00025DB4" w:rsidRPr="002A0860">
        <w:rPr>
          <w:rFonts w:asciiTheme="minorHAnsi" w:hAnsiTheme="minorHAnsi" w:cstheme="minorHAnsi"/>
          <w:spacing w:val="-8"/>
          <w:w w:val="105"/>
          <w:lang w:val="fr-FR"/>
        </w:rPr>
        <w:t xml:space="preserve"> </w:t>
      </w:r>
      <w:r w:rsidR="00025DB4" w:rsidRPr="002A0860">
        <w:rPr>
          <w:rFonts w:asciiTheme="minorHAnsi" w:hAnsiTheme="minorHAnsi" w:cstheme="minorHAnsi"/>
          <w:w w:val="105"/>
          <w:lang w:val="fr-FR"/>
        </w:rPr>
        <w:t>vibration</w:t>
      </w:r>
      <w:r w:rsidR="00025DB4" w:rsidRPr="002A0860">
        <w:rPr>
          <w:rFonts w:asciiTheme="minorHAnsi" w:hAnsiTheme="minorHAnsi" w:cstheme="minorHAnsi"/>
          <w:spacing w:val="-10"/>
          <w:w w:val="105"/>
          <w:lang w:val="fr-FR"/>
        </w:rPr>
        <w:t xml:space="preserve"> </w:t>
      </w:r>
      <w:r w:rsidR="00025DB4" w:rsidRPr="002A0860">
        <w:rPr>
          <w:rFonts w:asciiTheme="minorHAnsi" w:hAnsiTheme="minorHAnsi" w:cstheme="minorHAnsi"/>
          <w:w w:val="105"/>
          <w:lang w:val="fr-FR"/>
        </w:rPr>
        <w:t>–</w:t>
      </w:r>
      <w:r w:rsidR="00025DB4" w:rsidRPr="002A0860">
        <w:rPr>
          <w:rFonts w:asciiTheme="minorHAnsi" w:hAnsiTheme="minorHAnsi" w:cstheme="minorHAnsi"/>
          <w:spacing w:val="-9"/>
          <w:w w:val="105"/>
          <w:lang w:val="fr-FR"/>
        </w:rPr>
        <w:t xml:space="preserve"> </w:t>
      </w:r>
      <w:r w:rsidR="009630CB" w:rsidRPr="002A0860">
        <w:rPr>
          <w:rFonts w:asciiTheme="minorHAnsi" w:hAnsiTheme="minorHAnsi" w:cstheme="minorHAnsi"/>
          <w:w w:val="105"/>
          <w:lang w:val="fr-FR"/>
        </w:rPr>
        <w:t>M</w:t>
      </w:r>
      <w:r w:rsidR="00025DB4" w:rsidRPr="002A0860">
        <w:rPr>
          <w:rFonts w:asciiTheme="minorHAnsi" w:hAnsiTheme="minorHAnsi" w:cstheme="minorHAnsi"/>
          <w:w w:val="105"/>
          <w:lang w:val="fr-FR"/>
        </w:rPr>
        <w:t>esure</w:t>
      </w:r>
      <w:r w:rsidR="009630CB" w:rsidRPr="002A0860">
        <w:rPr>
          <w:rFonts w:asciiTheme="minorHAnsi" w:hAnsiTheme="minorHAnsi" w:cstheme="minorHAnsi"/>
          <w:w w:val="105"/>
          <w:lang w:val="fr-FR"/>
        </w:rPr>
        <w:t>s</w:t>
      </w:r>
      <w:r w:rsidR="00025DB4" w:rsidRPr="002A0860">
        <w:rPr>
          <w:rFonts w:asciiTheme="minorHAnsi" w:hAnsiTheme="minorHAnsi" w:cstheme="minorHAnsi"/>
          <w:spacing w:val="-12"/>
          <w:w w:val="105"/>
          <w:lang w:val="fr-FR"/>
        </w:rPr>
        <w:t xml:space="preserve"> </w:t>
      </w:r>
      <w:r w:rsidR="00025DB4" w:rsidRPr="002A0860">
        <w:rPr>
          <w:rFonts w:asciiTheme="minorHAnsi" w:hAnsiTheme="minorHAnsi" w:cstheme="minorHAnsi"/>
          <w:w w:val="105"/>
          <w:lang w:val="fr-FR"/>
        </w:rPr>
        <w:t>d’atténuation</w:t>
      </w:r>
      <w:r w:rsidR="00025DB4" w:rsidRPr="002A0860">
        <w:rPr>
          <w:rFonts w:asciiTheme="minorHAnsi" w:hAnsiTheme="minorHAnsi" w:cstheme="minorHAnsi"/>
          <w:spacing w:val="-9"/>
          <w:w w:val="105"/>
          <w:lang w:val="fr-FR"/>
        </w:rPr>
        <w:t xml:space="preserve"> </w:t>
      </w:r>
      <w:r w:rsidR="00025DB4" w:rsidRPr="002A0860">
        <w:rPr>
          <w:rFonts w:asciiTheme="minorHAnsi" w:hAnsiTheme="minorHAnsi" w:cstheme="minorHAnsi"/>
          <w:w w:val="105"/>
          <w:lang w:val="fr-FR"/>
        </w:rPr>
        <w:t>en</w:t>
      </w:r>
      <w:r w:rsidR="00025DB4" w:rsidRPr="002A0860">
        <w:rPr>
          <w:rFonts w:asciiTheme="minorHAnsi" w:hAnsiTheme="minorHAnsi" w:cstheme="minorHAnsi"/>
          <w:spacing w:val="-11"/>
          <w:w w:val="105"/>
          <w:lang w:val="fr-FR"/>
        </w:rPr>
        <w:t xml:space="preserve"> </w:t>
      </w:r>
      <w:r w:rsidR="00025DB4" w:rsidRPr="002A0860">
        <w:rPr>
          <w:rFonts w:asciiTheme="minorHAnsi" w:hAnsiTheme="minorHAnsi" w:cstheme="minorHAnsi"/>
          <w:w w:val="105"/>
          <w:lang w:val="fr-FR"/>
        </w:rPr>
        <w:t>phase</w:t>
      </w:r>
      <w:r w:rsidR="00025DB4" w:rsidRPr="002A0860">
        <w:rPr>
          <w:rFonts w:asciiTheme="minorHAnsi" w:hAnsiTheme="minorHAnsi" w:cstheme="minorHAnsi"/>
          <w:spacing w:val="-12"/>
          <w:w w:val="105"/>
          <w:lang w:val="fr-FR"/>
        </w:rPr>
        <w:t xml:space="preserve"> </w:t>
      </w:r>
      <w:r w:rsidR="00025DB4" w:rsidRPr="002A0860">
        <w:rPr>
          <w:rFonts w:asciiTheme="minorHAnsi" w:hAnsiTheme="minorHAnsi" w:cstheme="minorHAnsi"/>
          <w:w w:val="105"/>
          <w:lang w:val="fr-FR"/>
        </w:rPr>
        <w:t>de</w:t>
      </w:r>
      <w:r w:rsidR="00025DB4" w:rsidRPr="002A0860">
        <w:rPr>
          <w:rFonts w:asciiTheme="minorHAnsi" w:hAnsiTheme="minorHAnsi" w:cstheme="minorHAnsi"/>
          <w:spacing w:val="-10"/>
          <w:w w:val="105"/>
          <w:lang w:val="fr-FR"/>
        </w:rPr>
        <w:t xml:space="preserve"> </w:t>
      </w:r>
      <w:r w:rsidR="00025DB4" w:rsidRPr="002A0860">
        <w:rPr>
          <w:rFonts w:asciiTheme="minorHAnsi" w:hAnsiTheme="minorHAnsi" w:cstheme="minorHAnsi"/>
          <w:w w:val="105"/>
          <w:lang w:val="fr-FR"/>
        </w:rPr>
        <w:t>construction</w:t>
      </w:r>
      <w:bookmarkEnd w:id="413"/>
      <w:r w:rsidR="00025DB4" w:rsidRPr="002A0860">
        <w:rPr>
          <w:rFonts w:asciiTheme="minorHAnsi" w:hAnsiTheme="minorHAnsi" w:cstheme="minorHAnsi"/>
          <w:spacing w:val="-5"/>
          <w:w w:val="105"/>
          <w:lang w:val="fr-FR"/>
        </w:rPr>
        <w:t xml:space="preserve"> </w:t>
      </w:r>
    </w:p>
    <w:tbl>
      <w:tblPr>
        <w:tblStyle w:val="TableauGrille1Clair-Accentuation111"/>
        <w:tblW w:w="0" w:type="auto"/>
        <w:tblLook w:val="04A0" w:firstRow="1" w:lastRow="0" w:firstColumn="1" w:lastColumn="0" w:noHBand="0" w:noVBand="1"/>
      </w:tblPr>
      <w:tblGrid>
        <w:gridCol w:w="1531"/>
        <w:gridCol w:w="1423"/>
        <w:gridCol w:w="2330"/>
        <w:gridCol w:w="1834"/>
        <w:gridCol w:w="1007"/>
        <w:gridCol w:w="1679"/>
        <w:gridCol w:w="717"/>
        <w:gridCol w:w="1432"/>
        <w:gridCol w:w="2181"/>
      </w:tblGrid>
      <w:tr w:rsidR="0005776C" w:rsidRPr="00ED1374" w14:paraId="08531079" w14:textId="77777777" w:rsidTr="004637C7">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0" w:type="auto"/>
          </w:tcPr>
          <w:bookmarkEnd w:id="411"/>
          <w:bookmarkEnd w:id="412"/>
          <w:p w14:paraId="0579B507" w14:textId="1F85343D" w:rsidR="00ED1374" w:rsidRPr="004637C7" w:rsidRDefault="00ED1374" w:rsidP="00ED1374">
            <w:pPr>
              <w:rPr>
                <w:lang w:eastAsia="fr-FR" w:bidi="ar-SA"/>
              </w:rPr>
            </w:pPr>
            <w:r w:rsidRPr="00ED1374">
              <w:rPr>
                <w:lang w:eastAsia="fr-FR" w:bidi="ar-SA"/>
              </w:rPr>
              <w:t>Impact/risque</w:t>
            </w:r>
          </w:p>
        </w:tc>
        <w:tc>
          <w:tcPr>
            <w:tcW w:w="0" w:type="auto"/>
            <w:hideMark/>
          </w:tcPr>
          <w:p w14:paraId="21768B47" w14:textId="07AFFC96" w:rsidR="00ED1374" w:rsidRPr="00ED1374" w:rsidRDefault="00ED1374" w:rsidP="00ED1374">
            <w:pPr>
              <w:cnfStyle w:val="100000000000" w:firstRow="1" w:lastRow="0" w:firstColumn="0" w:lastColumn="0" w:oddVBand="0" w:evenVBand="0" w:oddHBand="0" w:evenHBand="0" w:firstRowFirstColumn="0" w:firstRowLastColumn="0" w:lastRowFirstColumn="0" w:lastRowLastColumn="0"/>
              <w:rPr>
                <w:lang w:eastAsia="fr-FR" w:bidi="ar-SA"/>
              </w:rPr>
            </w:pPr>
            <w:r w:rsidRPr="00ED1374">
              <w:rPr>
                <w:lang w:eastAsia="fr-FR" w:bidi="ar-SA"/>
              </w:rPr>
              <w:t>Niveau d’atténuation</w:t>
            </w:r>
          </w:p>
        </w:tc>
        <w:tc>
          <w:tcPr>
            <w:tcW w:w="0" w:type="auto"/>
            <w:hideMark/>
          </w:tcPr>
          <w:p w14:paraId="5BC9D79E" w14:textId="77777777" w:rsidR="00ED1374" w:rsidRPr="00ED1374" w:rsidRDefault="00ED1374" w:rsidP="00ED1374">
            <w:pPr>
              <w:cnfStyle w:val="100000000000" w:firstRow="1" w:lastRow="0" w:firstColumn="0" w:lastColumn="0" w:oddVBand="0" w:evenVBand="0" w:oddHBand="0" w:evenHBand="0" w:firstRowFirstColumn="0" w:firstRowLastColumn="0" w:lastRowFirstColumn="0" w:lastRowLastColumn="0"/>
              <w:rPr>
                <w:lang w:eastAsia="fr-FR" w:bidi="ar-SA"/>
              </w:rPr>
            </w:pPr>
            <w:r w:rsidRPr="00ED1374">
              <w:rPr>
                <w:lang w:eastAsia="fr-FR" w:bidi="ar-SA"/>
              </w:rPr>
              <w:t>Mesures proposées</w:t>
            </w:r>
          </w:p>
        </w:tc>
        <w:tc>
          <w:tcPr>
            <w:tcW w:w="0" w:type="auto"/>
            <w:hideMark/>
          </w:tcPr>
          <w:p w14:paraId="6961A468" w14:textId="77777777" w:rsidR="00ED1374" w:rsidRPr="00ED1374" w:rsidRDefault="00ED1374" w:rsidP="00ED1374">
            <w:pPr>
              <w:cnfStyle w:val="100000000000" w:firstRow="1" w:lastRow="0" w:firstColumn="0" w:lastColumn="0" w:oddVBand="0" w:evenVBand="0" w:oddHBand="0" w:evenHBand="0" w:firstRowFirstColumn="0" w:firstRowLastColumn="0" w:lastRowFirstColumn="0" w:lastRowLastColumn="0"/>
              <w:rPr>
                <w:lang w:eastAsia="fr-FR" w:bidi="ar-SA"/>
              </w:rPr>
            </w:pPr>
            <w:r w:rsidRPr="00ED1374">
              <w:rPr>
                <w:lang w:eastAsia="fr-FR" w:bidi="ar-SA"/>
              </w:rPr>
              <w:t>KPI / Indicateur</w:t>
            </w:r>
          </w:p>
        </w:tc>
        <w:tc>
          <w:tcPr>
            <w:tcW w:w="0" w:type="auto"/>
            <w:hideMark/>
          </w:tcPr>
          <w:p w14:paraId="61ED2C14" w14:textId="77777777" w:rsidR="00ED1374" w:rsidRPr="00ED1374" w:rsidRDefault="00ED1374" w:rsidP="00ED1374">
            <w:pPr>
              <w:cnfStyle w:val="100000000000" w:firstRow="1" w:lastRow="0" w:firstColumn="0" w:lastColumn="0" w:oddVBand="0" w:evenVBand="0" w:oddHBand="0" w:evenHBand="0" w:firstRowFirstColumn="0" w:firstRowLastColumn="0" w:lastRowFirstColumn="0" w:lastRowLastColumn="0"/>
              <w:rPr>
                <w:lang w:eastAsia="fr-FR" w:bidi="ar-SA"/>
              </w:rPr>
            </w:pPr>
            <w:r w:rsidRPr="00ED1374">
              <w:rPr>
                <w:lang w:eastAsia="fr-FR" w:bidi="ar-SA"/>
              </w:rPr>
              <w:t>Mise en œuvre</w:t>
            </w:r>
          </w:p>
        </w:tc>
        <w:tc>
          <w:tcPr>
            <w:tcW w:w="0" w:type="auto"/>
            <w:hideMark/>
          </w:tcPr>
          <w:p w14:paraId="62C0F699" w14:textId="77777777" w:rsidR="00ED1374" w:rsidRPr="00ED1374" w:rsidRDefault="00ED1374" w:rsidP="00ED1374">
            <w:pPr>
              <w:cnfStyle w:val="100000000000" w:firstRow="1" w:lastRow="0" w:firstColumn="0" w:lastColumn="0" w:oddVBand="0" w:evenVBand="0" w:oddHBand="0" w:evenHBand="0" w:firstRowFirstColumn="0" w:firstRowLastColumn="0" w:lastRowFirstColumn="0" w:lastRowLastColumn="0"/>
              <w:rPr>
                <w:lang w:eastAsia="fr-FR" w:bidi="ar-SA"/>
              </w:rPr>
            </w:pPr>
            <w:r w:rsidRPr="00ED1374">
              <w:rPr>
                <w:lang w:eastAsia="fr-FR" w:bidi="ar-SA"/>
              </w:rPr>
              <w:t>Surveillance</w:t>
            </w:r>
          </w:p>
        </w:tc>
        <w:tc>
          <w:tcPr>
            <w:tcW w:w="0" w:type="auto"/>
            <w:hideMark/>
          </w:tcPr>
          <w:p w14:paraId="1FC124AD" w14:textId="77777777" w:rsidR="00ED1374" w:rsidRPr="00ED1374" w:rsidRDefault="00ED1374" w:rsidP="00ED1374">
            <w:pPr>
              <w:cnfStyle w:val="100000000000" w:firstRow="1" w:lastRow="0" w:firstColumn="0" w:lastColumn="0" w:oddVBand="0" w:evenVBand="0" w:oddHBand="0" w:evenHBand="0" w:firstRowFirstColumn="0" w:firstRowLastColumn="0" w:lastRowFirstColumn="0" w:lastRowLastColumn="0"/>
              <w:rPr>
                <w:lang w:eastAsia="fr-FR" w:bidi="ar-SA"/>
              </w:rPr>
            </w:pPr>
            <w:r w:rsidRPr="00ED1374">
              <w:rPr>
                <w:lang w:eastAsia="fr-FR" w:bidi="ar-SA"/>
              </w:rPr>
              <w:t>Suivi</w:t>
            </w:r>
          </w:p>
        </w:tc>
        <w:tc>
          <w:tcPr>
            <w:tcW w:w="0" w:type="auto"/>
            <w:hideMark/>
          </w:tcPr>
          <w:p w14:paraId="4FA8B333" w14:textId="77777777" w:rsidR="00ED1374" w:rsidRPr="00ED1374" w:rsidRDefault="00ED1374" w:rsidP="00ED1374">
            <w:pPr>
              <w:cnfStyle w:val="100000000000" w:firstRow="1" w:lastRow="0" w:firstColumn="0" w:lastColumn="0" w:oddVBand="0" w:evenVBand="0" w:oddHBand="0" w:evenHBand="0" w:firstRowFirstColumn="0" w:firstRowLastColumn="0" w:lastRowFirstColumn="0" w:lastRowLastColumn="0"/>
              <w:rPr>
                <w:lang w:eastAsia="fr-FR" w:bidi="ar-SA"/>
              </w:rPr>
            </w:pPr>
            <w:r w:rsidRPr="00ED1374">
              <w:rPr>
                <w:lang w:eastAsia="fr-FR" w:bidi="ar-SA"/>
              </w:rPr>
              <w:t>Calendrier</w:t>
            </w:r>
          </w:p>
        </w:tc>
        <w:tc>
          <w:tcPr>
            <w:tcW w:w="0" w:type="auto"/>
            <w:hideMark/>
          </w:tcPr>
          <w:p w14:paraId="15EF87C4" w14:textId="77777777" w:rsidR="00ED1374" w:rsidRPr="00ED1374" w:rsidRDefault="00ED1374" w:rsidP="00ED1374">
            <w:pPr>
              <w:cnfStyle w:val="100000000000" w:firstRow="1" w:lastRow="0" w:firstColumn="0" w:lastColumn="0" w:oddVBand="0" w:evenVBand="0" w:oddHBand="0" w:evenHBand="0" w:firstRowFirstColumn="0" w:firstRowLastColumn="0" w:lastRowFirstColumn="0" w:lastRowLastColumn="0"/>
              <w:rPr>
                <w:lang w:eastAsia="fr-FR" w:bidi="ar-SA"/>
              </w:rPr>
            </w:pPr>
            <w:r w:rsidRPr="00ED1374">
              <w:rPr>
                <w:lang w:eastAsia="fr-FR" w:bidi="ar-SA"/>
              </w:rPr>
              <w:t>Coût estimatif</w:t>
            </w:r>
          </w:p>
        </w:tc>
      </w:tr>
      <w:tr w:rsidR="0005776C" w:rsidRPr="00ED1374" w14:paraId="016D94BE" w14:textId="77777777" w:rsidTr="00ED1374">
        <w:tc>
          <w:tcPr>
            <w:cnfStyle w:val="001000000000" w:firstRow="0" w:lastRow="0" w:firstColumn="1" w:lastColumn="0" w:oddVBand="0" w:evenVBand="0" w:oddHBand="0" w:evenHBand="0" w:firstRowFirstColumn="0" w:firstRowLastColumn="0" w:lastRowFirstColumn="0" w:lastRowLastColumn="0"/>
            <w:tcW w:w="0" w:type="auto"/>
            <w:vMerge w:val="restart"/>
          </w:tcPr>
          <w:p w14:paraId="2A945BCF" w14:textId="778D0456" w:rsidR="00ED1374" w:rsidRPr="004637C7" w:rsidRDefault="00ED1374" w:rsidP="00ED1374">
            <w:pPr>
              <w:rPr>
                <w:lang w:eastAsia="fr-FR" w:bidi="ar-SA"/>
              </w:rPr>
            </w:pPr>
            <w:r w:rsidRPr="00ED1374">
              <w:rPr>
                <w:lang w:eastAsia="fr-FR" w:bidi="ar-SA"/>
              </w:rPr>
              <w:t>Nuisances sonore et vibrations</w:t>
            </w:r>
          </w:p>
        </w:tc>
        <w:tc>
          <w:tcPr>
            <w:tcW w:w="0" w:type="auto"/>
            <w:hideMark/>
          </w:tcPr>
          <w:p w14:paraId="0449E62F" w14:textId="2922794E" w:rsidR="00ED1374" w:rsidRPr="00ED1374" w:rsidRDefault="00ED1374" w:rsidP="00ED1374">
            <w:pPr>
              <w:cnfStyle w:val="000000000000" w:firstRow="0" w:lastRow="0" w:firstColumn="0" w:lastColumn="0" w:oddVBand="0" w:evenVBand="0" w:oddHBand="0" w:evenHBand="0" w:firstRowFirstColumn="0" w:firstRowLastColumn="0" w:lastRowFirstColumn="0" w:lastRowLastColumn="0"/>
              <w:rPr>
                <w:lang w:eastAsia="fr-FR" w:bidi="ar-SA"/>
              </w:rPr>
            </w:pPr>
            <w:r w:rsidRPr="00ED1374">
              <w:rPr>
                <w:b/>
                <w:bCs/>
                <w:lang w:eastAsia="fr-FR" w:bidi="ar-SA"/>
              </w:rPr>
              <w:t>Éviter</w:t>
            </w:r>
          </w:p>
        </w:tc>
        <w:tc>
          <w:tcPr>
            <w:tcW w:w="0" w:type="auto"/>
            <w:hideMark/>
          </w:tcPr>
          <w:p w14:paraId="2A2FB254" w14:textId="77777777" w:rsidR="00ED1374" w:rsidRDefault="00ED1374" w:rsidP="00ED1374">
            <w:pPr>
              <w:cnfStyle w:val="000000000000" w:firstRow="0" w:lastRow="0" w:firstColumn="0" w:lastColumn="0" w:oddVBand="0" w:evenVBand="0" w:oddHBand="0" w:evenHBand="0" w:firstRowFirstColumn="0" w:firstRowLastColumn="0" w:lastRowFirstColumn="0" w:lastRowLastColumn="0"/>
              <w:rPr>
                <w:lang w:eastAsia="fr-FR" w:bidi="ar-SA"/>
              </w:rPr>
            </w:pPr>
            <w:r w:rsidRPr="00ED1374">
              <w:rPr>
                <w:lang w:eastAsia="fr-FR" w:bidi="ar-SA"/>
              </w:rPr>
              <w:t>Localiser les zones de stockage et de maintenance loin des bâtiments administratifs et des zones fréquentées.</w:t>
            </w:r>
          </w:p>
          <w:p w14:paraId="22104CED" w14:textId="073C2A4E" w:rsidR="00ED1374" w:rsidRPr="00ED1374" w:rsidRDefault="00ED1374" w:rsidP="00ED1374">
            <w:pPr>
              <w:cnfStyle w:val="000000000000" w:firstRow="0" w:lastRow="0" w:firstColumn="0" w:lastColumn="0" w:oddVBand="0" w:evenVBand="0" w:oddHBand="0" w:evenHBand="0" w:firstRowFirstColumn="0" w:firstRowLastColumn="0" w:lastRowFirstColumn="0" w:lastRowLastColumn="0"/>
              <w:rPr>
                <w:lang w:eastAsia="fr-FR" w:bidi="ar-SA"/>
              </w:rPr>
            </w:pPr>
            <w:r w:rsidRPr="00ED1374">
              <w:rPr>
                <w:lang w:eastAsia="fr-FR" w:bidi="ar-SA"/>
              </w:rPr>
              <w:t>Éviter les travaux de nuit ou les opérations bruyantes en période de repos.</w:t>
            </w:r>
          </w:p>
        </w:tc>
        <w:tc>
          <w:tcPr>
            <w:tcW w:w="0" w:type="auto"/>
            <w:hideMark/>
          </w:tcPr>
          <w:p w14:paraId="6663EE3F" w14:textId="11C78811" w:rsidR="00ED1374" w:rsidRPr="00ED1374" w:rsidRDefault="00ED1374" w:rsidP="00ED1374">
            <w:pPr>
              <w:cnfStyle w:val="000000000000" w:firstRow="0" w:lastRow="0" w:firstColumn="0" w:lastColumn="0" w:oddVBand="0" w:evenVBand="0" w:oddHBand="0" w:evenHBand="0" w:firstRowFirstColumn="0" w:firstRowLastColumn="0" w:lastRowFirstColumn="0" w:lastRowLastColumn="0"/>
              <w:rPr>
                <w:lang w:eastAsia="fr-FR" w:bidi="ar-SA"/>
              </w:rPr>
            </w:pPr>
            <w:r w:rsidRPr="00ED1374">
              <w:rPr>
                <w:lang w:eastAsia="fr-FR" w:bidi="ar-SA"/>
              </w:rPr>
              <w:t>Nombre d’activités nocturnes Distance minimale de sécurité respectée (m)</w:t>
            </w:r>
          </w:p>
        </w:tc>
        <w:tc>
          <w:tcPr>
            <w:tcW w:w="0" w:type="auto"/>
            <w:hideMark/>
          </w:tcPr>
          <w:p w14:paraId="22B7D209" w14:textId="3D775090" w:rsidR="00ED1374" w:rsidRPr="00ED1374" w:rsidRDefault="00ED1374" w:rsidP="00ED1374">
            <w:pPr>
              <w:cnfStyle w:val="000000000000" w:firstRow="0" w:lastRow="0" w:firstColumn="0" w:lastColumn="0" w:oddVBand="0" w:evenVBand="0" w:oddHBand="0" w:evenHBand="0" w:firstRowFirstColumn="0" w:firstRowLastColumn="0" w:lastRowFirstColumn="0" w:lastRowLastColumn="0"/>
              <w:rPr>
                <w:lang w:eastAsia="fr-FR" w:bidi="ar-SA"/>
              </w:rPr>
            </w:pPr>
            <w:r w:rsidRPr="00BC1745">
              <w:rPr>
                <w:szCs w:val="20"/>
              </w:rPr>
              <w:t>EPC et sous-traitants</w:t>
            </w:r>
          </w:p>
        </w:tc>
        <w:tc>
          <w:tcPr>
            <w:tcW w:w="0" w:type="auto"/>
            <w:hideMark/>
          </w:tcPr>
          <w:p w14:paraId="0101735F" w14:textId="1D331DFF" w:rsidR="00ED1374" w:rsidRPr="00ED1374" w:rsidRDefault="00ED1374" w:rsidP="00ED1374">
            <w:pPr>
              <w:cnfStyle w:val="000000000000" w:firstRow="0" w:lastRow="0" w:firstColumn="0" w:lastColumn="0" w:oddVBand="0" w:evenVBand="0" w:oddHBand="0" w:evenHBand="0" w:firstRowFirstColumn="0" w:firstRowLastColumn="0" w:lastRowFirstColumn="0" w:lastRowLastColumn="0"/>
              <w:rPr>
                <w:lang w:eastAsia="fr-FR" w:bidi="ar-SA"/>
              </w:rPr>
            </w:pPr>
            <w:r w:rsidRPr="00BC1745">
              <w:rPr>
                <w:szCs w:val="20"/>
              </w:rPr>
              <w:t>Bureau de contrôle / Consultant de supervision mandaté par l’ONDA</w:t>
            </w:r>
          </w:p>
        </w:tc>
        <w:tc>
          <w:tcPr>
            <w:tcW w:w="0" w:type="auto"/>
            <w:hideMark/>
          </w:tcPr>
          <w:p w14:paraId="2FB3BDA8" w14:textId="2A91E34C" w:rsidR="00ED1374" w:rsidRPr="00ED1374" w:rsidRDefault="00ED1374" w:rsidP="00ED1374">
            <w:pPr>
              <w:cnfStyle w:val="000000000000" w:firstRow="0" w:lastRow="0" w:firstColumn="0" w:lastColumn="0" w:oddVBand="0" w:evenVBand="0" w:oddHBand="0" w:evenHBand="0" w:firstRowFirstColumn="0" w:firstRowLastColumn="0" w:lastRowFirstColumn="0" w:lastRowLastColumn="0"/>
              <w:rPr>
                <w:lang w:eastAsia="fr-FR" w:bidi="ar-SA"/>
              </w:rPr>
            </w:pPr>
            <w:r>
              <w:rPr>
                <w:lang w:eastAsia="fr-FR" w:bidi="ar-SA"/>
              </w:rPr>
              <w:t>ONDA</w:t>
            </w:r>
          </w:p>
        </w:tc>
        <w:tc>
          <w:tcPr>
            <w:tcW w:w="0" w:type="auto"/>
            <w:hideMark/>
          </w:tcPr>
          <w:p w14:paraId="1D7FAE13" w14:textId="77777777" w:rsidR="00ED1374" w:rsidRPr="00ED1374" w:rsidRDefault="00ED1374" w:rsidP="00ED1374">
            <w:pPr>
              <w:cnfStyle w:val="000000000000" w:firstRow="0" w:lastRow="0" w:firstColumn="0" w:lastColumn="0" w:oddVBand="0" w:evenVBand="0" w:oddHBand="0" w:evenHBand="0" w:firstRowFirstColumn="0" w:firstRowLastColumn="0" w:lastRowFirstColumn="0" w:lastRowLastColumn="0"/>
              <w:rPr>
                <w:lang w:eastAsia="fr-FR" w:bidi="ar-SA"/>
              </w:rPr>
            </w:pPr>
            <w:r w:rsidRPr="00ED1374">
              <w:rPr>
                <w:lang w:eastAsia="fr-FR" w:bidi="ar-SA"/>
              </w:rPr>
              <w:t>Dès la planification du chantier</w:t>
            </w:r>
          </w:p>
        </w:tc>
        <w:tc>
          <w:tcPr>
            <w:tcW w:w="0" w:type="auto"/>
            <w:hideMark/>
          </w:tcPr>
          <w:p w14:paraId="4645DE4A" w14:textId="4810654A" w:rsidR="00ED1374" w:rsidRPr="00ED1374" w:rsidRDefault="00ED1374" w:rsidP="00ED1374">
            <w:pPr>
              <w:cnfStyle w:val="000000000000" w:firstRow="0" w:lastRow="0" w:firstColumn="0" w:lastColumn="0" w:oddVBand="0" w:evenVBand="0" w:oddHBand="0" w:evenHBand="0" w:firstRowFirstColumn="0" w:firstRowLastColumn="0" w:lastRowFirstColumn="0" w:lastRowLastColumn="0"/>
              <w:rPr>
                <w:lang w:eastAsia="fr-FR" w:bidi="ar-SA"/>
              </w:rPr>
            </w:pPr>
            <w:r>
              <w:rPr>
                <w:lang w:eastAsia="fr-FR" w:bidi="ar-SA"/>
              </w:rPr>
              <w:t>Aucun</w:t>
            </w:r>
            <w:r w:rsidRPr="00ED1374">
              <w:rPr>
                <w:lang w:eastAsia="fr-FR" w:bidi="ar-SA"/>
              </w:rPr>
              <w:t xml:space="preserve"> coût </w:t>
            </w:r>
            <w:r>
              <w:rPr>
                <w:lang w:eastAsia="fr-FR" w:bidi="ar-SA"/>
              </w:rPr>
              <w:t>spécifique</w:t>
            </w:r>
          </w:p>
        </w:tc>
      </w:tr>
      <w:tr w:rsidR="0005776C" w:rsidRPr="00ED1374" w14:paraId="56C2D0D4" w14:textId="77777777" w:rsidTr="00ED1374">
        <w:tc>
          <w:tcPr>
            <w:cnfStyle w:val="001000000000" w:firstRow="0" w:lastRow="0" w:firstColumn="1" w:lastColumn="0" w:oddVBand="0" w:evenVBand="0" w:oddHBand="0" w:evenHBand="0" w:firstRowFirstColumn="0" w:firstRowLastColumn="0" w:lastRowFirstColumn="0" w:lastRowLastColumn="0"/>
            <w:tcW w:w="0" w:type="auto"/>
            <w:vMerge/>
          </w:tcPr>
          <w:p w14:paraId="581063D0" w14:textId="77777777" w:rsidR="00ED1374" w:rsidRPr="00ED1374" w:rsidRDefault="00ED1374" w:rsidP="00ED1374">
            <w:pPr>
              <w:rPr>
                <w:b w:val="0"/>
                <w:bCs w:val="0"/>
                <w:lang w:eastAsia="fr-FR" w:bidi="ar-SA"/>
              </w:rPr>
            </w:pPr>
          </w:p>
        </w:tc>
        <w:tc>
          <w:tcPr>
            <w:tcW w:w="0" w:type="auto"/>
            <w:hideMark/>
          </w:tcPr>
          <w:p w14:paraId="63EFDC57" w14:textId="1892F010" w:rsidR="00ED1374" w:rsidRPr="00ED1374" w:rsidRDefault="00ED1374" w:rsidP="00ED1374">
            <w:pPr>
              <w:cnfStyle w:val="000000000000" w:firstRow="0" w:lastRow="0" w:firstColumn="0" w:lastColumn="0" w:oddVBand="0" w:evenVBand="0" w:oddHBand="0" w:evenHBand="0" w:firstRowFirstColumn="0" w:firstRowLastColumn="0" w:lastRowFirstColumn="0" w:lastRowLastColumn="0"/>
              <w:rPr>
                <w:lang w:eastAsia="fr-FR" w:bidi="ar-SA"/>
              </w:rPr>
            </w:pPr>
            <w:r w:rsidRPr="00ED1374">
              <w:rPr>
                <w:b/>
                <w:bCs/>
                <w:lang w:eastAsia="fr-FR" w:bidi="ar-SA"/>
              </w:rPr>
              <w:t>Réduire</w:t>
            </w:r>
          </w:p>
        </w:tc>
        <w:tc>
          <w:tcPr>
            <w:tcW w:w="0" w:type="auto"/>
            <w:hideMark/>
          </w:tcPr>
          <w:p w14:paraId="1FD0E336" w14:textId="77777777" w:rsidR="00ED1374" w:rsidRDefault="00ED1374" w:rsidP="00ED1374">
            <w:pPr>
              <w:cnfStyle w:val="000000000000" w:firstRow="0" w:lastRow="0" w:firstColumn="0" w:lastColumn="0" w:oddVBand="0" w:evenVBand="0" w:oddHBand="0" w:evenHBand="0" w:firstRowFirstColumn="0" w:firstRowLastColumn="0" w:lastRowFirstColumn="0" w:lastRowLastColumn="0"/>
              <w:rPr>
                <w:lang w:eastAsia="fr-FR" w:bidi="ar-SA"/>
              </w:rPr>
            </w:pPr>
            <w:r w:rsidRPr="00ED1374">
              <w:rPr>
                <w:lang w:eastAsia="fr-FR" w:bidi="ar-SA"/>
              </w:rPr>
              <w:t>Entretenir régulièrement les engins de chantier et vérifier les silencieux d’échappement.</w:t>
            </w:r>
          </w:p>
          <w:p w14:paraId="6FAA821D" w14:textId="484FD792" w:rsidR="00ED1374" w:rsidRDefault="00ED1374" w:rsidP="00ED1374">
            <w:pPr>
              <w:cnfStyle w:val="000000000000" w:firstRow="0" w:lastRow="0" w:firstColumn="0" w:lastColumn="0" w:oddVBand="0" w:evenVBand="0" w:oddHBand="0" w:evenHBand="0" w:firstRowFirstColumn="0" w:firstRowLastColumn="0" w:lastRowFirstColumn="0" w:lastRowLastColumn="0"/>
              <w:rPr>
                <w:lang w:eastAsia="fr-FR" w:bidi="ar-SA"/>
              </w:rPr>
            </w:pPr>
            <w:r w:rsidRPr="00ED1374">
              <w:rPr>
                <w:lang w:eastAsia="fr-FR" w:bidi="ar-SA"/>
              </w:rPr>
              <w:t>Utiliser des engins récents conformes aux normes acoustiques.</w:t>
            </w:r>
          </w:p>
          <w:p w14:paraId="032AC0D4" w14:textId="77777777" w:rsidR="00ED1374" w:rsidRDefault="00ED1374" w:rsidP="00ED1374">
            <w:pPr>
              <w:cnfStyle w:val="000000000000" w:firstRow="0" w:lastRow="0" w:firstColumn="0" w:lastColumn="0" w:oddVBand="0" w:evenVBand="0" w:oddHBand="0" w:evenHBand="0" w:firstRowFirstColumn="0" w:firstRowLastColumn="0" w:lastRowFirstColumn="0" w:lastRowLastColumn="0"/>
              <w:rPr>
                <w:lang w:eastAsia="fr-FR" w:bidi="ar-SA"/>
              </w:rPr>
            </w:pPr>
            <w:r w:rsidRPr="00ED1374">
              <w:rPr>
                <w:lang w:eastAsia="fr-FR" w:bidi="ar-SA"/>
              </w:rPr>
              <w:t>Installer des barrières acoustiques temporaires autour des zones les plus bruyantes (ex. compactage).</w:t>
            </w:r>
          </w:p>
          <w:p w14:paraId="03E4F2F7" w14:textId="1854D5FF" w:rsidR="00ED1374" w:rsidRPr="00ED1374" w:rsidRDefault="00ED1374" w:rsidP="00ED1374">
            <w:pPr>
              <w:cnfStyle w:val="000000000000" w:firstRow="0" w:lastRow="0" w:firstColumn="0" w:lastColumn="0" w:oddVBand="0" w:evenVBand="0" w:oddHBand="0" w:evenHBand="0" w:firstRowFirstColumn="0" w:firstRowLastColumn="0" w:lastRowFirstColumn="0" w:lastRowLastColumn="0"/>
              <w:rPr>
                <w:lang w:eastAsia="fr-FR" w:bidi="ar-SA"/>
              </w:rPr>
            </w:pPr>
            <w:r w:rsidRPr="00ED1374">
              <w:rPr>
                <w:lang w:eastAsia="fr-FR" w:bidi="ar-SA"/>
              </w:rPr>
              <w:lastRenderedPageBreak/>
              <w:t>Programmer les travaux bruyants pendant la journée (7h–18h).</w:t>
            </w:r>
          </w:p>
        </w:tc>
        <w:tc>
          <w:tcPr>
            <w:tcW w:w="0" w:type="auto"/>
            <w:hideMark/>
          </w:tcPr>
          <w:p w14:paraId="335AFF14" w14:textId="77777777" w:rsidR="00ED1374" w:rsidRDefault="00ED1374" w:rsidP="00ED1374">
            <w:pPr>
              <w:cnfStyle w:val="000000000000" w:firstRow="0" w:lastRow="0" w:firstColumn="0" w:lastColumn="0" w:oddVBand="0" w:evenVBand="0" w:oddHBand="0" w:evenHBand="0" w:firstRowFirstColumn="0" w:firstRowLastColumn="0" w:lastRowFirstColumn="0" w:lastRowLastColumn="0"/>
              <w:rPr>
                <w:lang w:eastAsia="fr-FR" w:bidi="ar-SA"/>
              </w:rPr>
            </w:pPr>
            <w:r w:rsidRPr="00ED1374">
              <w:rPr>
                <w:lang w:eastAsia="fr-FR" w:bidi="ar-SA"/>
              </w:rPr>
              <w:lastRenderedPageBreak/>
              <w:t>Niveau sonore mesuré (dB(A))</w:t>
            </w:r>
          </w:p>
          <w:p w14:paraId="3F5EC7BE" w14:textId="77777777" w:rsidR="00ED1374" w:rsidRDefault="00ED1374" w:rsidP="00ED1374">
            <w:pPr>
              <w:cnfStyle w:val="000000000000" w:firstRow="0" w:lastRow="0" w:firstColumn="0" w:lastColumn="0" w:oddVBand="0" w:evenVBand="0" w:oddHBand="0" w:evenHBand="0" w:firstRowFirstColumn="0" w:firstRowLastColumn="0" w:lastRowFirstColumn="0" w:lastRowLastColumn="0"/>
              <w:rPr>
                <w:lang w:eastAsia="fr-FR" w:bidi="ar-SA"/>
              </w:rPr>
            </w:pPr>
            <w:r w:rsidRPr="00ED1374">
              <w:rPr>
                <w:lang w:eastAsia="fr-FR" w:bidi="ar-SA"/>
              </w:rPr>
              <w:t>Nombre d’engins entretenus / mois</w:t>
            </w:r>
          </w:p>
          <w:p w14:paraId="0149A841" w14:textId="592D7142" w:rsidR="00ED1374" w:rsidRPr="00ED1374" w:rsidRDefault="00ED1374" w:rsidP="00ED1374">
            <w:pPr>
              <w:cnfStyle w:val="000000000000" w:firstRow="0" w:lastRow="0" w:firstColumn="0" w:lastColumn="0" w:oddVBand="0" w:evenVBand="0" w:oddHBand="0" w:evenHBand="0" w:firstRowFirstColumn="0" w:firstRowLastColumn="0" w:lastRowFirstColumn="0" w:lastRowLastColumn="0"/>
              <w:rPr>
                <w:lang w:eastAsia="fr-FR" w:bidi="ar-SA"/>
              </w:rPr>
            </w:pPr>
            <w:r w:rsidRPr="00ED1374">
              <w:rPr>
                <w:lang w:eastAsia="fr-FR" w:bidi="ar-SA"/>
              </w:rPr>
              <w:t>Respect des horaires (%)</w:t>
            </w:r>
          </w:p>
        </w:tc>
        <w:tc>
          <w:tcPr>
            <w:tcW w:w="0" w:type="auto"/>
            <w:hideMark/>
          </w:tcPr>
          <w:p w14:paraId="01C873C6" w14:textId="58C86658" w:rsidR="00ED1374" w:rsidRPr="00ED1374" w:rsidRDefault="00ED1374" w:rsidP="00ED1374">
            <w:pPr>
              <w:cnfStyle w:val="000000000000" w:firstRow="0" w:lastRow="0" w:firstColumn="0" w:lastColumn="0" w:oddVBand="0" w:evenVBand="0" w:oddHBand="0" w:evenHBand="0" w:firstRowFirstColumn="0" w:firstRowLastColumn="0" w:lastRowFirstColumn="0" w:lastRowLastColumn="0"/>
              <w:rPr>
                <w:lang w:eastAsia="fr-FR" w:bidi="ar-SA"/>
              </w:rPr>
            </w:pPr>
            <w:r w:rsidRPr="00BC1745">
              <w:rPr>
                <w:szCs w:val="20"/>
              </w:rPr>
              <w:t>EPC et sous-traitants</w:t>
            </w:r>
          </w:p>
        </w:tc>
        <w:tc>
          <w:tcPr>
            <w:tcW w:w="0" w:type="auto"/>
            <w:hideMark/>
          </w:tcPr>
          <w:p w14:paraId="020E2237" w14:textId="13697434" w:rsidR="00ED1374" w:rsidRPr="00ED1374" w:rsidRDefault="00ED1374" w:rsidP="00ED1374">
            <w:pPr>
              <w:cnfStyle w:val="000000000000" w:firstRow="0" w:lastRow="0" w:firstColumn="0" w:lastColumn="0" w:oddVBand="0" w:evenVBand="0" w:oddHBand="0" w:evenHBand="0" w:firstRowFirstColumn="0" w:firstRowLastColumn="0" w:lastRowFirstColumn="0" w:lastRowLastColumn="0"/>
              <w:rPr>
                <w:lang w:eastAsia="fr-FR" w:bidi="ar-SA"/>
              </w:rPr>
            </w:pPr>
            <w:r w:rsidRPr="00BC1745">
              <w:rPr>
                <w:szCs w:val="20"/>
              </w:rPr>
              <w:t>Bureau de contrôle / Consultant de supervision mandaté par l’ONDA</w:t>
            </w:r>
          </w:p>
        </w:tc>
        <w:tc>
          <w:tcPr>
            <w:tcW w:w="0" w:type="auto"/>
            <w:hideMark/>
          </w:tcPr>
          <w:p w14:paraId="73434831" w14:textId="7F587FA9" w:rsidR="00ED1374" w:rsidRPr="00ED1374" w:rsidRDefault="00ED1374" w:rsidP="00ED1374">
            <w:pPr>
              <w:cnfStyle w:val="000000000000" w:firstRow="0" w:lastRow="0" w:firstColumn="0" w:lastColumn="0" w:oddVBand="0" w:evenVBand="0" w:oddHBand="0" w:evenHBand="0" w:firstRowFirstColumn="0" w:firstRowLastColumn="0" w:lastRowFirstColumn="0" w:lastRowLastColumn="0"/>
              <w:rPr>
                <w:lang w:eastAsia="fr-FR" w:bidi="ar-SA"/>
              </w:rPr>
            </w:pPr>
            <w:r>
              <w:rPr>
                <w:lang w:eastAsia="fr-FR" w:bidi="ar-SA"/>
              </w:rPr>
              <w:t>ONDA</w:t>
            </w:r>
          </w:p>
        </w:tc>
        <w:tc>
          <w:tcPr>
            <w:tcW w:w="0" w:type="auto"/>
            <w:hideMark/>
          </w:tcPr>
          <w:p w14:paraId="773577CE" w14:textId="77777777" w:rsidR="00ED1374" w:rsidRPr="00ED1374" w:rsidRDefault="00ED1374" w:rsidP="00ED1374">
            <w:pPr>
              <w:cnfStyle w:val="000000000000" w:firstRow="0" w:lastRow="0" w:firstColumn="0" w:lastColumn="0" w:oddVBand="0" w:evenVBand="0" w:oddHBand="0" w:evenHBand="0" w:firstRowFirstColumn="0" w:firstRowLastColumn="0" w:lastRowFirstColumn="0" w:lastRowLastColumn="0"/>
              <w:rPr>
                <w:lang w:eastAsia="fr-FR" w:bidi="ar-SA"/>
              </w:rPr>
            </w:pPr>
            <w:r w:rsidRPr="00ED1374">
              <w:rPr>
                <w:lang w:eastAsia="fr-FR" w:bidi="ar-SA"/>
              </w:rPr>
              <w:t>Continue durant les travaux</w:t>
            </w:r>
          </w:p>
        </w:tc>
        <w:tc>
          <w:tcPr>
            <w:tcW w:w="0" w:type="auto"/>
            <w:hideMark/>
          </w:tcPr>
          <w:p w14:paraId="5942123F" w14:textId="7FE0444F" w:rsidR="00ED1374" w:rsidRPr="00ED1374" w:rsidRDefault="0005776C" w:rsidP="00ED1374">
            <w:pPr>
              <w:cnfStyle w:val="000000000000" w:firstRow="0" w:lastRow="0" w:firstColumn="0" w:lastColumn="0" w:oddVBand="0" w:evenVBand="0" w:oddHBand="0" w:evenHBand="0" w:firstRowFirstColumn="0" w:firstRowLastColumn="0" w:lastRowFirstColumn="0" w:lastRowLastColumn="0"/>
              <w:rPr>
                <w:lang w:eastAsia="fr-FR" w:bidi="ar-SA"/>
              </w:rPr>
            </w:pPr>
            <w:r>
              <w:rPr>
                <w:lang w:eastAsia="fr-FR" w:bidi="ar-SA"/>
              </w:rPr>
              <w:t xml:space="preserve">Entretien : </w:t>
            </w:r>
            <w:r w:rsidRPr="0005776C">
              <w:rPr>
                <w:lang w:eastAsia="fr-FR" w:bidi="ar-SA"/>
              </w:rPr>
              <w:t>≈ 5 000–6 000 MAD (forfait)</w:t>
            </w:r>
            <w:r>
              <w:rPr>
                <w:lang w:eastAsia="fr-FR" w:bidi="ar-SA"/>
              </w:rPr>
              <w:t xml:space="preserve"> - </w:t>
            </w:r>
            <w:r w:rsidRPr="0005776C">
              <w:rPr>
                <w:lang w:eastAsia="fr-FR" w:bidi="ar-SA"/>
              </w:rPr>
              <w:t>Pour ~10 engins : 500–600 MAD/unité.</w:t>
            </w:r>
            <w:r>
              <w:rPr>
                <w:lang w:eastAsia="fr-FR" w:bidi="ar-SA"/>
              </w:rPr>
              <w:br/>
              <w:t xml:space="preserve">Barrières acoustiques : </w:t>
            </w:r>
            <w:r w:rsidRPr="0005776C">
              <w:rPr>
                <w:lang w:eastAsia="fr-FR" w:bidi="ar-SA"/>
              </w:rPr>
              <w:t>≈ 20 000 MAD (forfait conditionnel)</w:t>
            </w:r>
            <w:r>
              <w:rPr>
                <w:lang w:eastAsia="fr-FR" w:bidi="ar-SA"/>
              </w:rPr>
              <w:t xml:space="preserve"> - </w:t>
            </w:r>
            <w:r w:rsidRPr="0005776C">
              <w:rPr>
                <w:lang w:eastAsia="fr-FR" w:bidi="ar-SA"/>
              </w:rPr>
              <w:t xml:space="preserve">Location/pose : 350–450 MAD/ml. </w:t>
            </w:r>
            <w:r w:rsidRPr="0005776C">
              <w:rPr>
                <w:lang w:eastAsia="fr-FR" w:bidi="ar-SA"/>
              </w:rPr>
              <w:br/>
              <w:t>Hypothèse : 50 m linéaires = ≈ 20 000 MAD.</w:t>
            </w:r>
          </w:p>
        </w:tc>
      </w:tr>
      <w:tr w:rsidR="00057478" w:rsidRPr="00ED1374" w14:paraId="0A671ADA" w14:textId="77777777" w:rsidTr="00C27FB1">
        <w:trPr>
          <w:trHeight w:val="1298"/>
        </w:trPr>
        <w:tc>
          <w:tcPr>
            <w:cnfStyle w:val="001000000000" w:firstRow="0" w:lastRow="0" w:firstColumn="1" w:lastColumn="0" w:oddVBand="0" w:evenVBand="0" w:oddHBand="0" w:evenHBand="0" w:firstRowFirstColumn="0" w:firstRowLastColumn="0" w:lastRowFirstColumn="0" w:lastRowLastColumn="0"/>
            <w:tcW w:w="0" w:type="auto"/>
            <w:vMerge/>
          </w:tcPr>
          <w:p w14:paraId="1E4E2746" w14:textId="77777777" w:rsidR="00057478" w:rsidRPr="00ED1374" w:rsidRDefault="00057478" w:rsidP="00ED1374">
            <w:pPr>
              <w:rPr>
                <w:b w:val="0"/>
                <w:bCs w:val="0"/>
                <w:lang w:eastAsia="fr-FR" w:bidi="ar-SA"/>
              </w:rPr>
            </w:pPr>
          </w:p>
        </w:tc>
        <w:tc>
          <w:tcPr>
            <w:tcW w:w="0" w:type="auto"/>
            <w:vMerge w:val="restart"/>
            <w:hideMark/>
          </w:tcPr>
          <w:p w14:paraId="0AD23BF8" w14:textId="07D1FFC7" w:rsidR="00057478" w:rsidRPr="00ED1374" w:rsidRDefault="00057478" w:rsidP="00ED1374">
            <w:pPr>
              <w:cnfStyle w:val="000000000000" w:firstRow="0" w:lastRow="0" w:firstColumn="0" w:lastColumn="0" w:oddVBand="0" w:evenVBand="0" w:oddHBand="0" w:evenHBand="0" w:firstRowFirstColumn="0" w:firstRowLastColumn="0" w:lastRowFirstColumn="0" w:lastRowLastColumn="0"/>
              <w:rPr>
                <w:lang w:eastAsia="fr-FR" w:bidi="ar-SA"/>
              </w:rPr>
            </w:pPr>
            <w:r w:rsidRPr="00ED1374">
              <w:rPr>
                <w:b/>
                <w:bCs/>
                <w:lang w:eastAsia="fr-FR" w:bidi="ar-SA"/>
              </w:rPr>
              <w:t>Atténuer</w:t>
            </w:r>
          </w:p>
        </w:tc>
        <w:tc>
          <w:tcPr>
            <w:tcW w:w="0" w:type="auto"/>
            <w:tcBorders>
              <w:bottom w:val="single" w:sz="4" w:space="0" w:color="B4C6E7" w:themeColor="accent1" w:themeTint="66"/>
            </w:tcBorders>
            <w:hideMark/>
          </w:tcPr>
          <w:p w14:paraId="3E536299" w14:textId="59CE1BDE" w:rsidR="00057478" w:rsidRPr="00ED1374" w:rsidRDefault="00057478" w:rsidP="00ED1374">
            <w:pPr>
              <w:cnfStyle w:val="000000000000" w:firstRow="0" w:lastRow="0" w:firstColumn="0" w:lastColumn="0" w:oddVBand="0" w:evenVBand="0" w:oddHBand="0" w:evenHBand="0" w:firstRowFirstColumn="0" w:firstRowLastColumn="0" w:lastRowFirstColumn="0" w:lastRowLastColumn="0"/>
              <w:rPr>
                <w:lang w:eastAsia="fr-FR" w:bidi="ar-SA"/>
              </w:rPr>
            </w:pPr>
            <w:r w:rsidRPr="00ED1374">
              <w:rPr>
                <w:lang w:eastAsia="fr-FR" w:bidi="ar-SA"/>
              </w:rPr>
              <w:t>Informer les travailleurs et les riverains sur la nature et la durée des nuisances prévues.</w:t>
            </w:r>
          </w:p>
        </w:tc>
        <w:tc>
          <w:tcPr>
            <w:tcW w:w="0" w:type="auto"/>
            <w:vMerge w:val="restart"/>
            <w:hideMark/>
          </w:tcPr>
          <w:p w14:paraId="45C98E0A" w14:textId="77777777" w:rsidR="00057478" w:rsidRDefault="00057478" w:rsidP="00ED1374">
            <w:pPr>
              <w:cnfStyle w:val="000000000000" w:firstRow="0" w:lastRow="0" w:firstColumn="0" w:lastColumn="0" w:oddVBand="0" w:evenVBand="0" w:oddHBand="0" w:evenHBand="0" w:firstRowFirstColumn="0" w:firstRowLastColumn="0" w:lastRowFirstColumn="0" w:lastRowLastColumn="0"/>
              <w:rPr>
                <w:lang w:eastAsia="fr-FR" w:bidi="ar-SA"/>
              </w:rPr>
            </w:pPr>
            <w:r w:rsidRPr="00ED1374">
              <w:rPr>
                <w:lang w:eastAsia="fr-FR" w:bidi="ar-SA"/>
              </w:rPr>
              <w:t>Nombre de protections distribuées</w:t>
            </w:r>
          </w:p>
          <w:p w14:paraId="115F8428" w14:textId="77777777" w:rsidR="00057478" w:rsidRDefault="00057478" w:rsidP="00ED1374">
            <w:pPr>
              <w:cnfStyle w:val="000000000000" w:firstRow="0" w:lastRow="0" w:firstColumn="0" w:lastColumn="0" w:oddVBand="0" w:evenVBand="0" w:oddHBand="0" w:evenHBand="0" w:firstRowFirstColumn="0" w:firstRowLastColumn="0" w:lastRowFirstColumn="0" w:lastRowLastColumn="0"/>
              <w:rPr>
                <w:lang w:eastAsia="fr-FR" w:bidi="ar-SA"/>
              </w:rPr>
            </w:pPr>
            <w:r w:rsidRPr="00ED1374">
              <w:rPr>
                <w:lang w:eastAsia="fr-FR" w:bidi="ar-SA"/>
              </w:rPr>
              <w:t>Résultats de mesures sonores (dB(A))</w:t>
            </w:r>
          </w:p>
          <w:p w14:paraId="1FFA68B1" w14:textId="04AA3929" w:rsidR="00057478" w:rsidRPr="00ED1374" w:rsidRDefault="00057478" w:rsidP="00ED1374">
            <w:pPr>
              <w:cnfStyle w:val="000000000000" w:firstRow="0" w:lastRow="0" w:firstColumn="0" w:lastColumn="0" w:oddVBand="0" w:evenVBand="0" w:oddHBand="0" w:evenHBand="0" w:firstRowFirstColumn="0" w:firstRowLastColumn="0" w:lastRowFirstColumn="0" w:lastRowLastColumn="0"/>
              <w:rPr>
                <w:lang w:eastAsia="fr-FR" w:bidi="ar-SA"/>
              </w:rPr>
            </w:pPr>
            <w:r w:rsidRPr="00ED1374">
              <w:rPr>
                <w:lang w:eastAsia="fr-FR" w:bidi="ar-SA"/>
              </w:rPr>
              <w:t>Nombre de séances d’information</w:t>
            </w:r>
          </w:p>
        </w:tc>
        <w:tc>
          <w:tcPr>
            <w:tcW w:w="0" w:type="auto"/>
            <w:vMerge w:val="restart"/>
            <w:hideMark/>
          </w:tcPr>
          <w:p w14:paraId="648F115C" w14:textId="203DC6FF" w:rsidR="00057478" w:rsidRPr="00ED1374" w:rsidRDefault="00057478" w:rsidP="00ED1374">
            <w:pPr>
              <w:cnfStyle w:val="000000000000" w:firstRow="0" w:lastRow="0" w:firstColumn="0" w:lastColumn="0" w:oddVBand="0" w:evenVBand="0" w:oddHBand="0" w:evenHBand="0" w:firstRowFirstColumn="0" w:firstRowLastColumn="0" w:lastRowFirstColumn="0" w:lastRowLastColumn="0"/>
              <w:rPr>
                <w:lang w:eastAsia="fr-FR" w:bidi="ar-SA"/>
              </w:rPr>
            </w:pPr>
            <w:r w:rsidRPr="00BC1745">
              <w:rPr>
                <w:szCs w:val="20"/>
              </w:rPr>
              <w:t>EPC et sous-traitants</w:t>
            </w:r>
          </w:p>
        </w:tc>
        <w:tc>
          <w:tcPr>
            <w:tcW w:w="0" w:type="auto"/>
            <w:vMerge w:val="restart"/>
            <w:hideMark/>
          </w:tcPr>
          <w:p w14:paraId="5F99E610" w14:textId="329E4F54" w:rsidR="00057478" w:rsidRPr="00ED1374" w:rsidRDefault="00057478" w:rsidP="00ED1374">
            <w:pPr>
              <w:cnfStyle w:val="000000000000" w:firstRow="0" w:lastRow="0" w:firstColumn="0" w:lastColumn="0" w:oddVBand="0" w:evenVBand="0" w:oddHBand="0" w:evenHBand="0" w:firstRowFirstColumn="0" w:firstRowLastColumn="0" w:lastRowFirstColumn="0" w:lastRowLastColumn="0"/>
              <w:rPr>
                <w:lang w:eastAsia="fr-FR" w:bidi="ar-SA"/>
              </w:rPr>
            </w:pPr>
            <w:r w:rsidRPr="00BC1745">
              <w:rPr>
                <w:szCs w:val="20"/>
              </w:rPr>
              <w:t>Bureau de contrôle / Consultant de supervision mandaté par l’ONDA</w:t>
            </w:r>
          </w:p>
        </w:tc>
        <w:tc>
          <w:tcPr>
            <w:tcW w:w="0" w:type="auto"/>
            <w:vMerge w:val="restart"/>
            <w:hideMark/>
          </w:tcPr>
          <w:p w14:paraId="2E1BE661" w14:textId="3CAED12C" w:rsidR="00057478" w:rsidRPr="00ED1374" w:rsidRDefault="00057478" w:rsidP="00ED1374">
            <w:pPr>
              <w:cnfStyle w:val="000000000000" w:firstRow="0" w:lastRow="0" w:firstColumn="0" w:lastColumn="0" w:oddVBand="0" w:evenVBand="0" w:oddHBand="0" w:evenHBand="0" w:firstRowFirstColumn="0" w:firstRowLastColumn="0" w:lastRowFirstColumn="0" w:lastRowLastColumn="0"/>
              <w:rPr>
                <w:lang w:eastAsia="fr-FR" w:bidi="ar-SA"/>
              </w:rPr>
            </w:pPr>
            <w:r>
              <w:rPr>
                <w:lang w:eastAsia="fr-FR" w:bidi="ar-SA"/>
              </w:rPr>
              <w:t>ONDA</w:t>
            </w:r>
          </w:p>
        </w:tc>
        <w:tc>
          <w:tcPr>
            <w:tcW w:w="0" w:type="auto"/>
            <w:vMerge w:val="restart"/>
            <w:hideMark/>
          </w:tcPr>
          <w:p w14:paraId="7F61E6A9" w14:textId="77777777" w:rsidR="00057478" w:rsidRPr="00ED1374" w:rsidRDefault="00057478" w:rsidP="00ED1374">
            <w:pPr>
              <w:cnfStyle w:val="000000000000" w:firstRow="0" w:lastRow="0" w:firstColumn="0" w:lastColumn="0" w:oddVBand="0" w:evenVBand="0" w:oddHBand="0" w:evenHBand="0" w:firstRowFirstColumn="0" w:firstRowLastColumn="0" w:lastRowFirstColumn="0" w:lastRowLastColumn="0"/>
              <w:rPr>
                <w:lang w:eastAsia="fr-FR" w:bidi="ar-SA"/>
              </w:rPr>
            </w:pPr>
            <w:r w:rsidRPr="00ED1374">
              <w:rPr>
                <w:lang w:eastAsia="fr-FR" w:bidi="ar-SA"/>
              </w:rPr>
              <w:t>Campagnes trimestrielles</w:t>
            </w:r>
          </w:p>
        </w:tc>
        <w:tc>
          <w:tcPr>
            <w:tcW w:w="0" w:type="auto"/>
            <w:tcBorders>
              <w:bottom w:val="single" w:sz="4" w:space="0" w:color="B4C6E7" w:themeColor="accent1" w:themeTint="66"/>
            </w:tcBorders>
            <w:hideMark/>
          </w:tcPr>
          <w:p w14:paraId="69DACFE9" w14:textId="59A97865" w:rsidR="00057478" w:rsidRPr="00ED1374" w:rsidRDefault="00057478" w:rsidP="00ED1374">
            <w:pPr>
              <w:cnfStyle w:val="000000000000" w:firstRow="0" w:lastRow="0" w:firstColumn="0" w:lastColumn="0" w:oddVBand="0" w:evenVBand="0" w:oddHBand="0" w:evenHBand="0" w:firstRowFirstColumn="0" w:firstRowLastColumn="0" w:lastRowFirstColumn="0" w:lastRowLastColumn="0"/>
              <w:rPr>
                <w:lang w:eastAsia="fr-FR" w:bidi="ar-SA"/>
              </w:rPr>
            </w:pPr>
            <w:r w:rsidRPr="00057478">
              <w:rPr>
                <w:lang w:eastAsia="fr-FR" w:bidi="ar-SA"/>
              </w:rPr>
              <w:t>≈ 2 000 MAD (forfait)</w:t>
            </w:r>
            <w:r>
              <w:rPr>
                <w:lang w:eastAsia="fr-FR" w:bidi="ar-SA"/>
              </w:rPr>
              <w:t xml:space="preserve"> - </w:t>
            </w:r>
            <w:r w:rsidRPr="00057478">
              <w:rPr>
                <w:lang w:eastAsia="fr-FR" w:bidi="ar-SA"/>
              </w:rPr>
              <w:t>Comprend : affiches HSE, réunions de sensibilisation et panneaux sur site.</w:t>
            </w:r>
          </w:p>
        </w:tc>
      </w:tr>
      <w:tr w:rsidR="00057478" w:rsidRPr="00ED1374" w14:paraId="52FCE823" w14:textId="77777777" w:rsidTr="00C27FB1">
        <w:trPr>
          <w:trHeight w:val="972"/>
        </w:trPr>
        <w:tc>
          <w:tcPr>
            <w:cnfStyle w:val="001000000000" w:firstRow="0" w:lastRow="0" w:firstColumn="1" w:lastColumn="0" w:oddVBand="0" w:evenVBand="0" w:oddHBand="0" w:evenHBand="0" w:firstRowFirstColumn="0" w:firstRowLastColumn="0" w:lastRowFirstColumn="0" w:lastRowLastColumn="0"/>
            <w:tcW w:w="0" w:type="auto"/>
            <w:vMerge/>
          </w:tcPr>
          <w:p w14:paraId="69AAB0B4" w14:textId="77777777" w:rsidR="00057478" w:rsidRPr="00ED1374" w:rsidRDefault="00057478" w:rsidP="00ED1374">
            <w:pPr>
              <w:rPr>
                <w:b w:val="0"/>
                <w:bCs w:val="0"/>
                <w:lang w:eastAsia="fr-FR" w:bidi="ar-SA"/>
              </w:rPr>
            </w:pPr>
          </w:p>
        </w:tc>
        <w:tc>
          <w:tcPr>
            <w:tcW w:w="0" w:type="auto"/>
            <w:vMerge/>
          </w:tcPr>
          <w:p w14:paraId="5449D0B7" w14:textId="77777777" w:rsidR="00057478" w:rsidRPr="00ED1374" w:rsidRDefault="00057478" w:rsidP="00ED1374">
            <w:pPr>
              <w:cnfStyle w:val="000000000000" w:firstRow="0" w:lastRow="0" w:firstColumn="0" w:lastColumn="0" w:oddVBand="0" w:evenVBand="0" w:oddHBand="0" w:evenHBand="0" w:firstRowFirstColumn="0" w:firstRowLastColumn="0" w:lastRowFirstColumn="0" w:lastRowLastColumn="0"/>
              <w:rPr>
                <w:b/>
                <w:bCs/>
                <w:lang w:eastAsia="fr-FR" w:bidi="ar-SA"/>
              </w:rPr>
            </w:pPr>
          </w:p>
        </w:tc>
        <w:tc>
          <w:tcPr>
            <w:tcW w:w="0" w:type="auto"/>
            <w:tcBorders>
              <w:top w:val="single" w:sz="4" w:space="0" w:color="B4C6E7" w:themeColor="accent1" w:themeTint="66"/>
              <w:bottom w:val="single" w:sz="4" w:space="0" w:color="B4C6E7" w:themeColor="accent1" w:themeTint="66"/>
            </w:tcBorders>
          </w:tcPr>
          <w:p w14:paraId="2ED8E8D4" w14:textId="388BC2A4" w:rsidR="00057478" w:rsidRPr="00ED1374" w:rsidRDefault="00057478" w:rsidP="00057478">
            <w:pPr>
              <w:cnfStyle w:val="000000000000" w:firstRow="0" w:lastRow="0" w:firstColumn="0" w:lastColumn="0" w:oddVBand="0" w:evenVBand="0" w:oddHBand="0" w:evenHBand="0" w:firstRowFirstColumn="0" w:firstRowLastColumn="0" w:lastRowFirstColumn="0" w:lastRowLastColumn="0"/>
              <w:rPr>
                <w:lang w:eastAsia="fr-FR" w:bidi="ar-SA"/>
              </w:rPr>
            </w:pPr>
            <w:r w:rsidRPr="00ED1374">
              <w:rPr>
                <w:lang w:eastAsia="fr-FR" w:bidi="ar-SA"/>
              </w:rPr>
              <w:t>Équiper le personnel de protection auditive (casques anti-bruit).</w:t>
            </w:r>
          </w:p>
        </w:tc>
        <w:tc>
          <w:tcPr>
            <w:tcW w:w="0" w:type="auto"/>
            <w:vMerge/>
          </w:tcPr>
          <w:p w14:paraId="5268D984" w14:textId="77777777" w:rsidR="00057478" w:rsidRPr="00ED1374" w:rsidRDefault="00057478" w:rsidP="00ED1374">
            <w:pPr>
              <w:cnfStyle w:val="000000000000" w:firstRow="0" w:lastRow="0" w:firstColumn="0" w:lastColumn="0" w:oddVBand="0" w:evenVBand="0" w:oddHBand="0" w:evenHBand="0" w:firstRowFirstColumn="0" w:firstRowLastColumn="0" w:lastRowFirstColumn="0" w:lastRowLastColumn="0"/>
              <w:rPr>
                <w:lang w:eastAsia="fr-FR" w:bidi="ar-SA"/>
              </w:rPr>
            </w:pPr>
          </w:p>
        </w:tc>
        <w:tc>
          <w:tcPr>
            <w:tcW w:w="0" w:type="auto"/>
            <w:vMerge/>
          </w:tcPr>
          <w:p w14:paraId="1B6D8841" w14:textId="77777777" w:rsidR="00057478" w:rsidRPr="00BC1745" w:rsidRDefault="00057478" w:rsidP="00ED1374">
            <w:pPr>
              <w:cnfStyle w:val="000000000000" w:firstRow="0" w:lastRow="0" w:firstColumn="0" w:lastColumn="0" w:oddVBand="0" w:evenVBand="0" w:oddHBand="0" w:evenHBand="0" w:firstRowFirstColumn="0" w:firstRowLastColumn="0" w:lastRowFirstColumn="0" w:lastRowLastColumn="0"/>
              <w:rPr>
                <w:szCs w:val="20"/>
              </w:rPr>
            </w:pPr>
          </w:p>
        </w:tc>
        <w:tc>
          <w:tcPr>
            <w:tcW w:w="0" w:type="auto"/>
            <w:vMerge/>
          </w:tcPr>
          <w:p w14:paraId="5410DD49" w14:textId="77777777" w:rsidR="00057478" w:rsidRPr="00BC1745" w:rsidRDefault="00057478" w:rsidP="00ED1374">
            <w:pPr>
              <w:cnfStyle w:val="000000000000" w:firstRow="0" w:lastRow="0" w:firstColumn="0" w:lastColumn="0" w:oddVBand="0" w:evenVBand="0" w:oddHBand="0" w:evenHBand="0" w:firstRowFirstColumn="0" w:firstRowLastColumn="0" w:lastRowFirstColumn="0" w:lastRowLastColumn="0"/>
              <w:rPr>
                <w:szCs w:val="20"/>
              </w:rPr>
            </w:pPr>
          </w:p>
        </w:tc>
        <w:tc>
          <w:tcPr>
            <w:tcW w:w="0" w:type="auto"/>
            <w:vMerge/>
          </w:tcPr>
          <w:p w14:paraId="260611C9" w14:textId="77777777" w:rsidR="00057478" w:rsidRDefault="00057478" w:rsidP="00ED1374">
            <w:pPr>
              <w:cnfStyle w:val="000000000000" w:firstRow="0" w:lastRow="0" w:firstColumn="0" w:lastColumn="0" w:oddVBand="0" w:evenVBand="0" w:oddHBand="0" w:evenHBand="0" w:firstRowFirstColumn="0" w:firstRowLastColumn="0" w:lastRowFirstColumn="0" w:lastRowLastColumn="0"/>
              <w:rPr>
                <w:lang w:eastAsia="fr-FR" w:bidi="ar-SA"/>
              </w:rPr>
            </w:pPr>
          </w:p>
        </w:tc>
        <w:tc>
          <w:tcPr>
            <w:tcW w:w="0" w:type="auto"/>
            <w:vMerge/>
          </w:tcPr>
          <w:p w14:paraId="51E524CF" w14:textId="77777777" w:rsidR="00057478" w:rsidRPr="00ED1374" w:rsidRDefault="00057478" w:rsidP="00ED1374">
            <w:pPr>
              <w:cnfStyle w:val="000000000000" w:firstRow="0" w:lastRow="0" w:firstColumn="0" w:lastColumn="0" w:oddVBand="0" w:evenVBand="0" w:oddHBand="0" w:evenHBand="0" w:firstRowFirstColumn="0" w:firstRowLastColumn="0" w:lastRowFirstColumn="0" w:lastRowLastColumn="0"/>
              <w:rPr>
                <w:lang w:eastAsia="fr-FR" w:bidi="ar-SA"/>
              </w:rPr>
            </w:pPr>
          </w:p>
        </w:tc>
        <w:tc>
          <w:tcPr>
            <w:tcW w:w="0" w:type="auto"/>
            <w:tcBorders>
              <w:top w:val="single" w:sz="4" w:space="0" w:color="B4C6E7" w:themeColor="accent1" w:themeTint="66"/>
              <w:bottom w:val="single" w:sz="4" w:space="0" w:color="B4C6E7" w:themeColor="accent1" w:themeTint="66"/>
            </w:tcBorders>
          </w:tcPr>
          <w:p w14:paraId="5EC1FC67" w14:textId="2BF4B8C8" w:rsidR="00057478" w:rsidRPr="00F6444D" w:rsidRDefault="00057478" w:rsidP="00ED1374">
            <w:pPr>
              <w:cnfStyle w:val="000000000000" w:firstRow="0" w:lastRow="0" w:firstColumn="0" w:lastColumn="0" w:oddVBand="0" w:evenVBand="0" w:oddHBand="0" w:evenHBand="0" w:firstRowFirstColumn="0" w:firstRowLastColumn="0" w:lastRowFirstColumn="0" w:lastRowLastColumn="0"/>
              <w:rPr>
                <w:lang w:eastAsia="fr-FR" w:bidi="ar-SA"/>
              </w:rPr>
            </w:pPr>
            <w:r w:rsidRPr="00057478">
              <w:rPr>
                <w:lang w:eastAsia="fr-FR" w:bidi="ar-SA"/>
              </w:rPr>
              <w:t>≈ 3 000 – 3 500 MAD</w:t>
            </w:r>
            <w:r>
              <w:rPr>
                <w:lang w:eastAsia="fr-FR" w:bidi="ar-SA"/>
              </w:rPr>
              <w:t xml:space="preserve"> - </w:t>
            </w:r>
            <w:r w:rsidRPr="00057478">
              <w:rPr>
                <w:lang w:eastAsia="fr-FR" w:bidi="ar-SA"/>
              </w:rPr>
              <w:t xml:space="preserve">Prix moyens : 80–120 MAD/unité (casques) ou 10–20 MAD/unité (bouchons). </w:t>
            </w:r>
            <w:r w:rsidRPr="00057478">
              <w:rPr>
                <w:lang w:eastAsia="fr-FR" w:bidi="ar-SA"/>
              </w:rPr>
              <w:br/>
              <w:t>Pour ~30 travailleurs (casques réutilisables).</w:t>
            </w:r>
          </w:p>
        </w:tc>
      </w:tr>
      <w:tr w:rsidR="00057478" w:rsidRPr="00ED1374" w14:paraId="23AA47F5" w14:textId="77777777" w:rsidTr="00C27FB1">
        <w:trPr>
          <w:trHeight w:val="1004"/>
        </w:trPr>
        <w:tc>
          <w:tcPr>
            <w:cnfStyle w:val="001000000000" w:firstRow="0" w:lastRow="0" w:firstColumn="1" w:lastColumn="0" w:oddVBand="0" w:evenVBand="0" w:oddHBand="0" w:evenHBand="0" w:firstRowFirstColumn="0" w:firstRowLastColumn="0" w:lastRowFirstColumn="0" w:lastRowLastColumn="0"/>
            <w:tcW w:w="0" w:type="auto"/>
            <w:vMerge/>
          </w:tcPr>
          <w:p w14:paraId="216F6C2F" w14:textId="77777777" w:rsidR="00057478" w:rsidRPr="00ED1374" w:rsidRDefault="00057478" w:rsidP="00ED1374">
            <w:pPr>
              <w:rPr>
                <w:b w:val="0"/>
                <w:bCs w:val="0"/>
                <w:lang w:eastAsia="fr-FR" w:bidi="ar-SA"/>
              </w:rPr>
            </w:pPr>
          </w:p>
        </w:tc>
        <w:tc>
          <w:tcPr>
            <w:tcW w:w="0" w:type="auto"/>
            <w:vMerge/>
          </w:tcPr>
          <w:p w14:paraId="4A960A22" w14:textId="77777777" w:rsidR="00057478" w:rsidRPr="00ED1374" w:rsidRDefault="00057478" w:rsidP="00ED1374">
            <w:pPr>
              <w:cnfStyle w:val="000000000000" w:firstRow="0" w:lastRow="0" w:firstColumn="0" w:lastColumn="0" w:oddVBand="0" w:evenVBand="0" w:oddHBand="0" w:evenHBand="0" w:firstRowFirstColumn="0" w:firstRowLastColumn="0" w:lastRowFirstColumn="0" w:lastRowLastColumn="0"/>
              <w:rPr>
                <w:b/>
                <w:bCs/>
                <w:lang w:eastAsia="fr-FR" w:bidi="ar-SA"/>
              </w:rPr>
            </w:pPr>
          </w:p>
        </w:tc>
        <w:tc>
          <w:tcPr>
            <w:tcW w:w="0" w:type="auto"/>
            <w:tcBorders>
              <w:top w:val="single" w:sz="4" w:space="0" w:color="B4C6E7" w:themeColor="accent1" w:themeTint="66"/>
              <w:bottom w:val="single" w:sz="4" w:space="0" w:color="B4C6E7" w:themeColor="accent1" w:themeTint="66"/>
            </w:tcBorders>
          </w:tcPr>
          <w:p w14:paraId="790FA9FE" w14:textId="57466F94" w:rsidR="00057478" w:rsidRPr="00ED1374" w:rsidRDefault="00057478" w:rsidP="00057478">
            <w:pPr>
              <w:cnfStyle w:val="000000000000" w:firstRow="0" w:lastRow="0" w:firstColumn="0" w:lastColumn="0" w:oddVBand="0" w:evenVBand="0" w:oddHBand="0" w:evenHBand="0" w:firstRowFirstColumn="0" w:firstRowLastColumn="0" w:lastRowFirstColumn="0" w:lastRowLastColumn="0"/>
              <w:rPr>
                <w:lang w:eastAsia="fr-FR" w:bidi="ar-SA"/>
              </w:rPr>
            </w:pPr>
            <w:r w:rsidRPr="00ED1374">
              <w:rPr>
                <w:lang w:eastAsia="fr-FR" w:bidi="ar-SA"/>
              </w:rPr>
              <w:t>Aménager des zones de pause éloignées des sources sonores.</w:t>
            </w:r>
          </w:p>
        </w:tc>
        <w:tc>
          <w:tcPr>
            <w:tcW w:w="0" w:type="auto"/>
            <w:vMerge/>
          </w:tcPr>
          <w:p w14:paraId="68F967D6" w14:textId="77777777" w:rsidR="00057478" w:rsidRPr="00ED1374" w:rsidRDefault="00057478" w:rsidP="00ED1374">
            <w:pPr>
              <w:cnfStyle w:val="000000000000" w:firstRow="0" w:lastRow="0" w:firstColumn="0" w:lastColumn="0" w:oddVBand="0" w:evenVBand="0" w:oddHBand="0" w:evenHBand="0" w:firstRowFirstColumn="0" w:firstRowLastColumn="0" w:lastRowFirstColumn="0" w:lastRowLastColumn="0"/>
              <w:rPr>
                <w:lang w:eastAsia="fr-FR" w:bidi="ar-SA"/>
              </w:rPr>
            </w:pPr>
          </w:p>
        </w:tc>
        <w:tc>
          <w:tcPr>
            <w:tcW w:w="0" w:type="auto"/>
            <w:vMerge/>
          </w:tcPr>
          <w:p w14:paraId="4311729B" w14:textId="77777777" w:rsidR="00057478" w:rsidRPr="00BC1745" w:rsidRDefault="00057478" w:rsidP="00ED1374">
            <w:pPr>
              <w:cnfStyle w:val="000000000000" w:firstRow="0" w:lastRow="0" w:firstColumn="0" w:lastColumn="0" w:oddVBand="0" w:evenVBand="0" w:oddHBand="0" w:evenHBand="0" w:firstRowFirstColumn="0" w:firstRowLastColumn="0" w:lastRowFirstColumn="0" w:lastRowLastColumn="0"/>
              <w:rPr>
                <w:szCs w:val="20"/>
              </w:rPr>
            </w:pPr>
          </w:p>
        </w:tc>
        <w:tc>
          <w:tcPr>
            <w:tcW w:w="0" w:type="auto"/>
            <w:vMerge/>
          </w:tcPr>
          <w:p w14:paraId="0F667370" w14:textId="77777777" w:rsidR="00057478" w:rsidRPr="00BC1745" w:rsidRDefault="00057478" w:rsidP="00ED1374">
            <w:pPr>
              <w:cnfStyle w:val="000000000000" w:firstRow="0" w:lastRow="0" w:firstColumn="0" w:lastColumn="0" w:oddVBand="0" w:evenVBand="0" w:oddHBand="0" w:evenHBand="0" w:firstRowFirstColumn="0" w:firstRowLastColumn="0" w:lastRowFirstColumn="0" w:lastRowLastColumn="0"/>
              <w:rPr>
                <w:szCs w:val="20"/>
              </w:rPr>
            </w:pPr>
          </w:p>
        </w:tc>
        <w:tc>
          <w:tcPr>
            <w:tcW w:w="0" w:type="auto"/>
            <w:vMerge/>
          </w:tcPr>
          <w:p w14:paraId="68673BF8" w14:textId="77777777" w:rsidR="00057478" w:rsidRDefault="00057478" w:rsidP="00ED1374">
            <w:pPr>
              <w:cnfStyle w:val="000000000000" w:firstRow="0" w:lastRow="0" w:firstColumn="0" w:lastColumn="0" w:oddVBand="0" w:evenVBand="0" w:oddHBand="0" w:evenHBand="0" w:firstRowFirstColumn="0" w:firstRowLastColumn="0" w:lastRowFirstColumn="0" w:lastRowLastColumn="0"/>
              <w:rPr>
                <w:lang w:eastAsia="fr-FR" w:bidi="ar-SA"/>
              </w:rPr>
            </w:pPr>
          </w:p>
        </w:tc>
        <w:tc>
          <w:tcPr>
            <w:tcW w:w="0" w:type="auto"/>
            <w:vMerge/>
          </w:tcPr>
          <w:p w14:paraId="5B748058" w14:textId="77777777" w:rsidR="00057478" w:rsidRPr="00ED1374" w:rsidRDefault="00057478" w:rsidP="00ED1374">
            <w:pPr>
              <w:cnfStyle w:val="000000000000" w:firstRow="0" w:lastRow="0" w:firstColumn="0" w:lastColumn="0" w:oddVBand="0" w:evenVBand="0" w:oddHBand="0" w:evenHBand="0" w:firstRowFirstColumn="0" w:firstRowLastColumn="0" w:lastRowFirstColumn="0" w:lastRowLastColumn="0"/>
              <w:rPr>
                <w:lang w:eastAsia="fr-FR" w:bidi="ar-SA"/>
              </w:rPr>
            </w:pPr>
          </w:p>
        </w:tc>
        <w:tc>
          <w:tcPr>
            <w:tcW w:w="0" w:type="auto"/>
            <w:tcBorders>
              <w:top w:val="single" w:sz="4" w:space="0" w:color="B4C6E7" w:themeColor="accent1" w:themeTint="66"/>
              <w:bottom w:val="single" w:sz="4" w:space="0" w:color="B4C6E7" w:themeColor="accent1" w:themeTint="66"/>
            </w:tcBorders>
          </w:tcPr>
          <w:p w14:paraId="1F6C9559" w14:textId="34FA8972" w:rsidR="00057478" w:rsidRPr="00F6444D" w:rsidRDefault="00625910" w:rsidP="00ED1374">
            <w:pPr>
              <w:cnfStyle w:val="000000000000" w:firstRow="0" w:lastRow="0" w:firstColumn="0" w:lastColumn="0" w:oddVBand="0" w:evenVBand="0" w:oddHBand="0" w:evenHBand="0" w:firstRowFirstColumn="0" w:firstRowLastColumn="0" w:lastRowFirstColumn="0" w:lastRowLastColumn="0"/>
              <w:rPr>
                <w:lang w:eastAsia="fr-FR" w:bidi="ar-SA"/>
              </w:rPr>
            </w:pPr>
            <w:r w:rsidRPr="00625910">
              <w:rPr>
                <w:lang w:eastAsia="fr-FR" w:bidi="ar-SA"/>
              </w:rPr>
              <w:t>≈ 5 000 MAD (forfait)</w:t>
            </w:r>
            <w:r>
              <w:rPr>
                <w:lang w:eastAsia="fr-FR" w:bidi="ar-SA"/>
              </w:rPr>
              <w:t xml:space="preserve"> - </w:t>
            </w:r>
            <w:r w:rsidRPr="00625910">
              <w:rPr>
                <w:lang w:eastAsia="fr-FR" w:bidi="ar-SA"/>
              </w:rPr>
              <w:t>Aménagement simple (mobilier, signalétique, déplacement abri).</w:t>
            </w:r>
          </w:p>
        </w:tc>
      </w:tr>
      <w:tr w:rsidR="00057478" w:rsidRPr="00ED1374" w14:paraId="123B2E96" w14:textId="77777777" w:rsidTr="00C27FB1">
        <w:trPr>
          <w:trHeight w:val="1593"/>
        </w:trPr>
        <w:tc>
          <w:tcPr>
            <w:cnfStyle w:val="001000000000" w:firstRow="0" w:lastRow="0" w:firstColumn="1" w:lastColumn="0" w:oddVBand="0" w:evenVBand="0" w:oddHBand="0" w:evenHBand="0" w:firstRowFirstColumn="0" w:firstRowLastColumn="0" w:lastRowFirstColumn="0" w:lastRowLastColumn="0"/>
            <w:tcW w:w="0" w:type="auto"/>
            <w:vMerge/>
          </w:tcPr>
          <w:p w14:paraId="1388650F" w14:textId="77777777" w:rsidR="00057478" w:rsidRPr="00ED1374" w:rsidRDefault="00057478" w:rsidP="00ED1374">
            <w:pPr>
              <w:rPr>
                <w:b w:val="0"/>
                <w:bCs w:val="0"/>
                <w:lang w:eastAsia="fr-FR" w:bidi="ar-SA"/>
              </w:rPr>
            </w:pPr>
          </w:p>
        </w:tc>
        <w:tc>
          <w:tcPr>
            <w:tcW w:w="0" w:type="auto"/>
            <w:vMerge/>
          </w:tcPr>
          <w:p w14:paraId="7299BA2D" w14:textId="77777777" w:rsidR="00057478" w:rsidRPr="00ED1374" w:rsidRDefault="00057478" w:rsidP="00ED1374">
            <w:pPr>
              <w:cnfStyle w:val="000000000000" w:firstRow="0" w:lastRow="0" w:firstColumn="0" w:lastColumn="0" w:oddVBand="0" w:evenVBand="0" w:oddHBand="0" w:evenHBand="0" w:firstRowFirstColumn="0" w:firstRowLastColumn="0" w:lastRowFirstColumn="0" w:lastRowLastColumn="0"/>
              <w:rPr>
                <w:b/>
                <w:bCs/>
                <w:lang w:eastAsia="fr-FR" w:bidi="ar-SA"/>
              </w:rPr>
            </w:pPr>
          </w:p>
        </w:tc>
        <w:tc>
          <w:tcPr>
            <w:tcW w:w="0" w:type="auto"/>
            <w:tcBorders>
              <w:top w:val="single" w:sz="4" w:space="0" w:color="B4C6E7" w:themeColor="accent1" w:themeTint="66"/>
            </w:tcBorders>
          </w:tcPr>
          <w:p w14:paraId="0E88465D" w14:textId="77777777" w:rsidR="00057478" w:rsidRPr="00ED1374" w:rsidRDefault="00057478" w:rsidP="00057478">
            <w:pPr>
              <w:cnfStyle w:val="000000000000" w:firstRow="0" w:lastRow="0" w:firstColumn="0" w:lastColumn="0" w:oddVBand="0" w:evenVBand="0" w:oddHBand="0" w:evenHBand="0" w:firstRowFirstColumn="0" w:firstRowLastColumn="0" w:lastRowFirstColumn="0" w:lastRowLastColumn="0"/>
              <w:rPr>
                <w:lang w:eastAsia="fr-FR" w:bidi="ar-SA"/>
              </w:rPr>
            </w:pPr>
            <w:r w:rsidRPr="00ED1374">
              <w:rPr>
                <w:lang w:eastAsia="fr-FR" w:bidi="ar-SA"/>
              </w:rPr>
              <w:t>Effectuer des mesures ponctuelles de contrôle du bruit et vibrations en cas de plainte ou de dépassement perçu.</w:t>
            </w:r>
          </w:p>
        </w:tc>
        <w:tc>
          <w:tcPr>
            <w:tcW w:w="0" w:type="auto"/>
            <w:vMerge/>
          </w:tcPr>
          <w:p w14:paraId="1D00148F" w14:textId="77777777" w:rsidR="00057478" w:rsidRPr="00ED1374" w:rsidRDefault="00057478" w:rsidP="00ED1374">
            <w:pPr>
              <w:cnfStyle w:val="000000000000" w:firstRow="0" w:lastRow="0" w:firstColumn="0" w:lastColumn="0" w:oddVBand="0" w:evenVBand="0" w:oddHBand="0" w:evenHBand="0" w:firstRowFirstColumn="0" w:firstRowLastColumn="0" w:lastRowFirstColumn="0" w:lastRowLastColumn="0"/>
              <w:rPr>
                <w:lang w:eastAsia="fr-FR" w:bidi="ar-SA"/>
              </w:rPr>
            </w:pPr>
          </w:p>
        </w:tc>
        <w:tc>
          <w:tcPr>
            <w:tcW w:w="0" w:type="auto"/>
            <w:vMerge/>
          </w:tcPr>
          <w:p w14:paraId="27218353" w14:textId="77777777" w:rsidR="00057478" w:rsidRPr="00BC1745" w:rsidRDefault="00057478" w:rsidP="00ED1374">
            <w:pPr>
              <w:cnfStyle w:val="000000000000" w:firstRow="0" w:lastRow="0" w:firstColumn="0" w:lastColumn="0" w:oddVBand="0" w:evenVBand="0" w:oddHBand="0" w:evenHBand="0" w:firstRowFirstColumn="0" w:firstRowLastColumn="0" w:lastRowFirstColumn="0" w:lastRowLastColumn="0"/>
              <w:rPr>
                <w:szCs w:val="20"/>
              </w:rPr>
            </w:pPr>
          </w:p>
        </w:tc>
        <w:tc>
          <w:tcPr>
            <w:tcW w:w="0" w:type="auto"/>
            <w:vMerge/>
          </w:tcPr>
          <w:p w14:paraId="4BB7C4AB" w14:textId="77777777" w:rsidR="00057478" w:rsidRPr="00BC1745" w:rsidRDefault="00057478" w:rsidP="00ED1374">
            <w:pPr>
              <w:cnfStyle w:val="000000000000" w:firstRow="0" w:lastRow="0" w:firstColumn="0" w:lastColumn="0" w:oddVBand="0" w:evenVBand="0" w:oddHBand="0" w:evenHBand="0" w:firstRowFirstColumn="0" w:firstRowLastColumn="0" w:lastRowFirstColumn="0" w:lastRowLastColumn="0"/>
              <w:rPr>
                <w:szCs w:val="20"/>
              </w:rPr>
            </w:pPr>
          </w:p>
        </w:tc>
        <w:tc>
          <w:tcPr>
            <w:tcW w:w="0" w:type="auto"/>
            <w:vMerge/>
          </w:tcPr>
          <w:p w14:paraId="6400B2D4" w14:textId="77777777" w:rsidR="00057478" w:rsidRDefault="00057478" w:rsidP="00ED1374">
            <w:pPr>
              <w:cnfStyle w:val="000000000000" w:firstRow="0" w:lastRow="0" w:firstColumn="0" w:lastColumn="0" w:oddVBand="0" w:evenVBand="0" w:oddHBand="0" w:evenHBand="0" w:firstRowFirstColumn="0" w:firstRowLastColumn="0" w:lastRowFirstColumn="0" w:lastRowLastColumn="0"/>
              <w:rPr>
                <w:lang w:eastAsia="fr-FR" w:bidi="ar-SA"/>
              </w:rPr>
            </w:pPr>
          </w:p>
        </w:tc>
        <w:tc>
          <w:tcPr>
            <w:tcW w:w="0" w:type="auto"/>
            <w:vMerge/>
          </w:tcPr>
          <w:p w14:paraId="09D95FA3" w14:textId="77777777" w:rsidR="00057478" w:rsidRPr="00ED1374" w:rsidRDefault="00057478" w:rsidP="00ED1374">
            <w:pPr>
              <w:cnfStyle w:val="000000000000" w:firstRow="0" w:lastRow="0" w:firstColumn="0" w:lastColumn="0" w:oddVBand="0" w:evenVBand="0" w:oddHBand="0" w:evenHBand="0" w:firstRowFirstColumn="0" w:firstRowLastColumn="0" w:lastRowFirstColumn="0" w:lastRowLastColumn="0"/>
              <w:rPr>
                <w:lang w:eastAsia="fr-FR" w:bidi="ar-SA"/>
              </w:rPr>
            </w:pPr>
          </w:p>
        </w:tc>
        <w:tc>
          <w:tcPr>
            <w:tcW w:w="0" w:type="auto"/>
            <w:tcBorders>
              <w:top w:val="single" w:sz="4" w:space="0" w:color="B4C6E7" w:themeColor="accent1" w:themeTint="66"/>
            </w:tcBorders>
          </w:tcPr>
          <w:p w14:paraId="7336A3EA" w14:textId="294DB5C9" w:rsidR="00057478" w:rsidRPr="00F6444D" w:rsidRDefault="00625910" w:rsidP="00ED1374">
            <w:pPr>
              <w:cnfStyle w:val="000000000000" w:firstRow="0" w:lastRow="0" w:firstColumn="0" w:lastColumn="0" w:oddVBand="0" w:evenVBand="0" w:oddHBand="0" w:evenHBand="0" w:firstRowFirstColumn="0" w:firstRowLastColumn="0" w:lastRowFirstColumn="0" w:lastRowLastColumn="0"/>
              <w:rPr>
                <w:lang w:eastAsia="fr-FR" w:bidi="ar-SA"/>
              </w:rPr>
            </w:pPr>
            <w:r w:rsidRPr="00625910">
              <w:rPr>
                <w:lang w:eastAsia="fr-FR" w:bidi="ar-SA"/>
              </w:rPr>
              <w:t xml:space="preserve">≈ </w:t>
            </w:r>
            <w:r w:rsidR="00834BB8">
              <w:rPr>
                <w:lang w:eastAsia="fr-FR" w:bidi="ar-SA"/>
              </w:rPr>
              <w:t>2000 à 5000</w:t>
            </w:r>
            <w:r>
              <w:rPr>
                <w:lang w:eastAsia="fr-FR" w:bidi="ar-SA"/>
              </w:rPr>
              <w:t xml:space="preserve"> MAD pour l’acquisition du sonomètre </w:t>
            </w:r>
            <w:r w:rsidRPr="00625910">
              <w:rPr>
                <w:lang w:eastAsia="fr-FR" w:bidi="ar-SA"/>
              </w:rPr>
              <w:t>(investissement unique)</w:t>
            </w:r>
          </w:p>
        </w:tc>
      </w:tr>
      <w:tr w:rsidR="0005776C" w:rsidRPr="00ED1374" w14:paraId="5DEBCCB1" w14:textId="77777777" w:rsidTr="00ED1374">
        <w:tc>
          <w:tcPr>
            <w:cnfStyle w:val="001000000000" w:firstRow="0" w:lastRow="0" w:firstColumn="1" w:lastColumn="0" w:oddVBand="0" w:evenVBand="0" w:oddHBand="0" w:evenHBand="0" w:firstRowFirstColumn="0" w:firstRowLastColumn="0" w:lastRowFirstColumn="0" w:lastRowLastColumn="0"/>
            <w:tcW w:w="0" w:type="auto"/>
            <w:vMerge/>
          </w:tcPr>
          <w:p w14:paraId="7BC6BABC" w14:textId="77777777" w:rsidR="00ED1374" w:rsidRPr="00ED1374" w:rsidRDefault="00ED1374" w:rsidP="00ED1374">
            <w:pPr>
              <w:rPr>
                <w:b w:val="0"/>
                <w:bCs w:val="0"/>
                <w:lang w:eastAsia="fr-FR" w:bidi="ar-SA"/>
              </w:rPr>
            </w:pPr>
          </w:p>
        </w:tc>
        <w:tc>
          <w:tcPr>
            <w:tcW w:w="0" w:type="auto"/>
            <w:hideMark/>
          </w:tcPr>
          <w:p w14:paraId="307DE4AE" w14:textId="374561D3" w:rsidR="00ED1374" w:rsidRPr="00ED1374" w:rsidRDefault="00ED1374" w:rsidP="00ED1374">
            <w:pPr>
              <w:cnfStyle w:val="000000000000" w:firstRow="0" w:lastRow="0" w:firstColumn="0" w:lastColumn="0" w:oddVBand="0" w:evenVBand="0" w:oddHBand="0" w:evenHBand="0" w:firstRowFirstColumn="0" w:firstRowLastColumn="0" w:lastRowFirstColumn="0" w:lastRowLastColumn="0"/>
              <w:rPr>
                <w:lang w:eastAsia="fr-FR" w:bidi="ar-SA"/>
              </w:rPr>
            </w:pPr>
            <w:r w:rsidRPr="00ED1374">
              <w:rPr>
                <w:b/>
                <w:bCs/>
                <w:lang w:eastAsia="fr-FR" w:bidi="ar-SA"/>
              </w:rPr>
              <w:t>Compenser</w:t>
            </w:r>
          </w:p>
        </w:tc>
        <w:tc>
          <w:tcPr>
            <w:tcW w:w="0" w:type="auto"/>
            <w:hideMark/>
          </w:tcPr>
          <w:p w14:paraId="68BAA5A0" w14:textId="1819CC6F" w:rsidR="00ED1374" w:rsidRPr="00ED1374" w:rsidRDefault="00ED1374" w:rsidP="00ED1374">
            <w:pPr>
              <w:cnfStyle w:val="000000000000" w:firstRow="0" w:lastRow="0" w:firstColumn="0" w:lastColumn="0" w:oddVBand="0" w:evenVBand="0" w:oddHBand="0" w:evenHBand="0" w:firstRowFirstColumn="0" w:firstRowLastColumn="0" w:lastRowFirstColumn="0" w:lastRowLastColumn="0"/>
              <w:rPr>
                <w:lang w:eastAsia="fr-FR" w:bidi="ar-SA"/>
              </w:rPr>
            </w:pPr>
            <w:r w:rsidRPr="00ED1374">
              <w:rPr>
                <w:lang w:eastAsia="fr-FR" w:bidi="ar-SA"/>
              </w:rPr>
              <w:t>Mettre en place un canal de réclamation accessible (grief mechanism).</w:t>
            </w:r>
          </w:p>
        </w:tc>
        <w:tc>
          <w:tcPr>
            <w:tcW w:w="0" w:type="auto"/>
            <w:hideMark/>
          </w:tcPr>
          <w:p w14:paraId="5B70D0BA" w14:textId="7E885196" w:rsidR="00ED1374" w:rsidRPr="00ED1374" w:rsidRDefault="00ED1374" w:rsidP="00ED1374">
            <w:pPr>
              <w:cnfStyle w:val="000000000000" w:firstRow="0" w:lastRow="0" w:firstColumn="0" w:lastColumn="0" w:oddVBand="0" w:evenVBand="0" w:oddHBand="0" w:evenHBand="0" w:firstRowFirstColumn="0" w:firstRowLastColumn="0" w:lastRowFirstColumn="0" w:lastRowLastColumn="0"/>
              <w:rPr>
                <w:lang w:eastAsia="fr-FR" w:bidi="ar-SA"/>
              </w:rPr>
            </w:pPr>
            <w:r w:rsidRPr="00ED1374">
              <w:rPr>
                <w:lang w:eastAsia="fr-FR" w:bidi="ar-SA"/>
              </w:rPr>
              <w:t>Nombre de plaintes reçues et traitées</w:t>
            </w:r>
          </w:p>
        </w:tc>
        <w:tc>
          <w:tcPr>
            <w:tcW w:w="0" w:type="auto"/>
            <w:hideMark/>
          </w:tcPr>
          <w:p w14:paraId="1204551A" w14:textId="1BA18F5B" w:rsidR="00ED1374" w:rsidRPr="00ED1374" w:rsidRDefault="00ED1374" w:rsidP="00ED1374">
            <w:pPr>
              <w:cnfStyle w:val="000000000000" w:firstRow="0" w:lastRow="0" w:firstColumn="0" w:lastColumn="0" w:oddVBand="0" w:evenVBand="0" w:oddHBand="0" w:evenHBand="0" w:firstRowFirstColumn="0" w:firstRowLastColumn="0" w:lastRowFirstColumn="0" w:lastRowLastColumn="0"/>
              <w:rPr>
                <w:lang w:eastAsia="fr-FR" w:bidi="ar-SA"/>
              </w:rPr>
            </w:pPr>
            <w:r w:rsidRPr="00ED1374">
              <w:rPr>
                <w:lang w:eastAsia="fr-FR" w:bidi="ar-SA"/>
              </w:rPr>
              <w:t xml:space="preserve">ONDA </w:t>
            </w:r>
          </w:p>
        </w:tc>
        <w:tc>
          <w:tcPr>
            <w:tcW w:w="0" w:type="auto"/>
            <w:hideMark/>
          </w:tcPr>
          <w:p w14:paraId="4B417EA4" w14:textId="0B122FB7" w:rsidR="00ED1374" w:rsidRPr="00ED1374" w:rsidRDefault="00ED1374" w:rsidP="00ED1374">
            <w:pPr>
              <w:cnfStyle w:val="000000000000" w:firstRow="0" w:lastRow="0" w:firstColumn="0" w:lastColumn="0" w:oddVBand="0" w:evenVBand="0" w:oddHBand="0" w:evenHBand="0" w:firstRowFirstColumn="0" w:firstRowLastColumn="0" w:lastRowFirstColumn="0" w:lastRowLastColumn="0"/>
              <w:rPr>
                <w:lang w:eastAsia="fr-FR" w:bidi="ar-SA"/>
              </w:rPr>
            </w:pPr>
            <w:r w:rsidRPr="00BC1745">
              <w:rPr>
                <w:szCs w:val="20"/>
              </w:rPr>
              <w:t>Bureau de contrôle / Consultant de supervision mandaté par l’ONDA</w:t>
            </w:r>
          </w:p>
        </w:tc>
        <w:tc>
          <w:tcPr>
            <w:tcW w:w="0" w:type="auto"/>
            <w:hideMark/>
          </w:tcPr>
          <w:p w14:paraId="2AA43C43" w14:textId="78FBFD00" w:rsidR="00ED1374" w:rsidRPr="00ED1374" w:rsidRDefault="00ED1374" w:rsidP="00ED1374">
            <w:pPr>
              <w:cnfStyle w:val="000000000000" w:firstRow="0" w:lastRow="0" w:firstColumn="0" w:lastColumn="0" w:oddVBand="0" w:evenVBand="0" w:oddHBand="0" w:evenHBand="0" w:firstRowFirstColumn="0" w:firstRowLastColumn="0" w:lastRowFirstColumn="0" w:lastRowLastColumn="0"/>
              <w:rPr>
                <w:lang w:eastAsia="fr-FR" w:bidi="ar-SA"/>
              </w:rPr>
            </w:pPr>
            <w:r>
              <w:rPr>
                <w:lang w:eastAsia="fr-FR" w:bidi="ar-SA"/>
              </w:rPr>
              <w:t>ONDA</w:t>
            </w:r>
          </w:p>
        </w:tc>
        <w:tc>
          <w:tcPr>
            <w:tcW w:w="0" w:type="auto"/>
            <w:hideMark/>
          </w:tcPr>
          <w:p w14:paraId="79A89247" w14:textId="77777777" w:rsidR="00ED1374" w:rsidRPr="00ED1374" w:rsidRDefault="00ED1374" w:rsidP="00ED1374">
            <w:pPr>
              <w:cnfStyle w:val="000000000000" w:firstRow="0" w:lastRow="0" w:firstColumn="0" w:lastColumn="0" w:oddVBand="0" w:evenVBand="0" w:oddHBand="0" w:evenHBand="0" w:firstRowFirstColumn="0" w:firstRowLastColumn="0" w:lastRowFirstColumn="0" w:lastRowLastColumn="0"/>
              <w:rPr>
                <w:lang w:eastAsia="fr-FR" w:bidi="ar-SA"/>
              </w:rPr>
            </w:pPr>
            <w:r w:rsidRPr="00ED1374">
              <w:rPr>
                <w:lang w:eastAsia="fr-FR" w:bidi="ar-SA"/>
              </w:rPr>
              <w:t>Périodique (chaque trimestre)</w:t>
            </w:r>
          </w:p>
        </w:tc>
        <w:tc>
          <w:tcPr>
            <w:tcW w:w="0" w:type="auto"/>
            <w:hideMark/>
          </w:tcPr>
          <w:p w14:paraId="5300B9FC" w14:textId="557C9188" w:rsidR="00ED1374" w:rsidRPr="00ED1374" w:rsidRDefault="005725C8" w:rsidP="00ED1374">
            <w:pPr>
              <w:cnfStyle w:val="000000000000" w:firstRow="0" w:lastRow="0" w:firstColumn="0" w:lastColumn="0" w:oddVBand="0" w:evenVBand="0" w:oddHBand="0" w:evenHBand="0" w:firstRowFirstColumn="0" w:firstRowLastColumn="0" w:lastRowFirstColumn="0" w:lastRowLastColumn="0"/>
              <w:rPr>
                <w:lang w:eastAsia="fr-FR" w:bidi="ar-SA"/>
              </w:rPr>
            </w:pPr>
            <w:r w:rsidRPr="005725C8">
              <w:rPr>
                <w:lang w:eastAsia="fr-FR" w:bidi="ar-SA"/>
              </w:rPr>
              <w:t>80 000 MAD/an</w:t>
            </w:r>
          </w:p>
        </w:tc>
      </w:tr>
    </w:tbl>
    <w:p w14:paraId="3B56C808" w14:textId="77777777" w:rsidR="00ED1374" w:rsidRDefault="00ED1374" w:rsidP="00A84F8C">
      <w:pPr>
        <w:rPr>
          <w:lang w:eastAsia="fr-FR" w:bidi="ar-SA"/>
        </w:rPr>
        <w:sectPr w:rsidR="00ED1374" w:rsidSect="004637C7">
          <w:headerReference w:type="default" r:id="rId106"/>
          <w:footerReference w:type="default" r:id="rId107"/>
          <w:pgSz w:w="16838" w:h="11906" w:orient="landscape" w:code="9"/>
          <w:pgMar w:top="1418" w:right="1418" w:bottom="1418" w:left="1276" w:header="567" w:footer="510" w:gutter="0"/>
          <w:cols w:space="708"/>
          <w:docGrid w:linePitch="360"/>
        </w:sectPr>
      </w:pPr>
    </w:p>
    <w:p w14:paraId="1B812188" w14:textId="77777777" w:rsidR="0066451D" w:rsidRDefault="0066451D" w:rsidP="004637C7">
      <w:pPr>
        <w:pStyle w:val="Title5"/>
      </w:pPr>
      <w:r>
        <w:lastRenderedPageBreak/>
        <w:t>Évaluation</w:t>
      </w:r>
      <w:r w:rsidRPr="004637C7">
        <w:t xml:space="preserve"> </w:t>
      </w:r>
      <w:r>
        <w:t>de</w:t>
      </w:r>
      <w:r w:rsidRPr="004637C7">
        <w:t xml:space="preserve"> </w:t>
      </w:r>
      <w:r>
        <w:t>l'impact</w:t>
      </w:r>
      <w:r w:rsidRPr="004637C7">
        <w:t xml:space="preserve"> résiduel</w:t>
      </w:r>
    </w:p>
    <w:p w14:paraId="2271C14F" w14:textId="77777777" w:rsidR="00BA708E" w:rsidRPr="00BA708E" w:rsidRDefault="00BA708E" w:rsidP="004637C7">
      <w:pPr>
        <w:rPr>
          <w:rFonts w:eastAsia="Calibri"/>
          <w:lang w:bidi="ar-SA"/>
        </w:rPr>
      </w:pPr>
      <w:r w:rsidRPr="00BA708E">
        <w:rPr>
          <w:rFonts w:eastAsia="Calibri"/>
          <w:lang w:bidi="ar-SA"/>
        </w:rPr>
        <w:t>Après la mise en œuvre des mesures d’atténuation prévues, les émissions sonores et vibrations de chantier seront significativement réduites, tant en intensité qu’en fréquence. Les mesures de planification des travaux (restriction des horaires, limitation des activités bruyantes aux périodes diurnes, entretien des engins, installation de barrières acoustiques temporaires et sensibilisation du personnel) permettront de contenir efficacement les nuisances dans les limites du site aéroportuaire.</w:t>
      </w:r>
    </w:p>
    <w:p w14:paraId="1D21DCB4" w14:textId="1A2D8A4C" w:rsidR="00BA708E" w:rsidRPr="00BA708E" w:rsidRDefault="00BA708E" w:rsidP="004637C7">
      <w:pPr>
        <w:rPr>
          <w:rFonts w:eastAsia="Calibri"/>
          <w:lang w:bidi="ar-SA"/>
        </w:rPr>
      </w:pPr>
      <w:r w:rsidRPr="00BA708E">
        <w:rPr>
          <w:rFonts w:eastAsia="Calibri"/>
          <w:lang w:bidi="ar-SA"/>
        </w:rPr>
        <w:t>Les bruits de chantier, auparavant évalués comme d’intensité moyenne à forte, seront ramenés à un niveau faible. L’étendue de l’impact restera limitée à l’intérieur de la plateforme, sans atteinte aux zones habitées, et la durée de l’exposition sonore se réduira à des périodes ponctuelles liées aux travaux les plus lourds.</w:t>
      </w:r>
    </w:p>
    <w:p w14:paraId="6157A058" w14:textId="72DAE572" w:rsidR="00BA708E" w:rsidRPr="00BA708E" w:rsidRDefault="00BA708E" w:rsidP="004637C7">
      <w:pPr>
        <w:rPr>
          <w:rFonts w:eastAsia="Calibri"/>
          <w:lang w:bidi="ar-SA"/>
        </w:rPr>
      </w:pPr>
      <w:r w:rsidRPr="00BA708E">
        <w:rPr>
          <w:rFonts w:eastAsia="Calibri"/>
          <w:lang w:bidi="ar-SA"/>
        </w:rPr>
        <w:t>Les vibrations, quant à elles, seront quasi imperceptibles hors des zones de compactage ou de passage d’engins lourds, leur amplitude décroissant rapidement avec la distance. L’absence de structures sensibles à proximité immédiate du chantier exclut tout risque de dommage ou d’inconfort. Les récepteurs internes (personnel de chantier et travailleurs permanents) continueront à être protégés grâce à l’équipement de protection auditive et au contrôle opérationnel du matériel. Les récepteurs externes (habitants d</w:t>
      </w:r>
      <w:r w:rsidR="00604847">
        <w:rPr>
          <w:rFonts w:eastAsia="Calibri"/>
          <w:lang w:bidi="ar-SA"/>
        </w:rPr>
        <w:t xml:space="preserve">e </w:t>
      </w:r>
      <w:r w:rsidR="001E79D1">
        <w:rPr>
          <w:rFonts w:eastAsia="Calibri"/>
          <w:lang w:bidi="ar-SA"/>
        </w:rPr>
        <w:t>Bouakkaz</w:t>
      </w:r>
      <w:r w:rsidRPr="00BA708E">
        <w:rPr>
          <w:rFonts w:eastAsia="Calibri"/>
          <w:lang w:bidi="ar-SA"/>
        </w:rPr>
        <w:t>) ne seront plus exposés à des niveaux perceptibles.</w:t>
      </w:r>
    </w:p>
    <w:p w14:paraId="5F2C82EA" w14:textId="09F76601" w:rsidR="00025DB4" w:rsidRDefault="00BA708E" w:rsidP="004637C7">
      <w:pPr>
        <w:rPr>
          <w:lang w:eastAsia="zh-CN"/>
        </w:rPr>
      </w:pPr>
      <w:r>
        <w:rPr>
          <w:rFonts w:eastAsia="Calibri"/>
          <w:lang w:bidi="ar-SA"/>
        </w:rPr>
        <w:t>A</w:t>
      </w:r>
      <w:r w:rsidRPr="00BA708E">
        <w:rPr>
          <w:rFonts w:eastAsia="Calibri"/>
          <w:lang w:bidi="ar-SA"/>
        </w:rPr>
        <w:t xml:space="preserve">insi, l’intensité résiduelle des nuisances sonores et vibratoires est considérée </w:t>
      </w:r>
      <w:r>
        <w:rPr>
          <w:rFonts w:eastAsia="Calibri"/>
          <w:lang w:bidi="ar-SA"/>
        </w:rPr>
        <w:t>faible</w:t>
      </w:r>
      <w:r w:rsidR="00F71564">
        <w:rPr>
          <w:rFonts w:eastAsia="Calibri"/>
          <w:lang w:bidi="ar-SA"/>
        </w:rPr>
        <w:t xml:space="preserve"> </w:t>
      </w:r>
      <w:r w:rsidRPr="00BA708E">
        <w:rPr>
          <w:rFonts w:eastAsia="Calibri"/>
          <w:lang w:bidi="ar-SA"/>
        </w:rPr>
        <w:t>et l’importance de l’impact global est jugée mineure. Ces impacts sont locaux, temporaires, réversibles et parfaitement maîtrisables par les procédures de suivi acoustique et vibratoire prévues.</w:t>
      </w:r>
    </w:p>
    <w:p w14:paraId="6D853438" w14:textId="77777777" w:rsidR="00D947C1" w:rsidRPr="00D947C1" w:rsidRDefault="00D947C1" w:rsidP="00213BFD">
      <w:pPr>
        <w:pStyle w:val="Title4"/>
        <w:tabs>
          <w:tab w:val="clear" w:pos="1134"/>
          <w:tab w:val="left" w:pos="851"/>
        </w:tabs>
      </w:pPr>
      <w:r w:rsidRPr="00D947C1">
        <w:t>Phase exploitation</w:t>
      </w:r>
    </w:p>
    <w:p w14:paraId="66C9F8CD" w14:textId="77777777" w:rsidR="003032E2" w:rsidRDefault="003032E2" w:rsidP="003032E2">
      <w:pPr>
        <w:pStyle w:val="Title5"/>
      </w:pPr>
      <w:r>
        <w:t>Identification et évaluation des impacts</w:t>
      </w:r>
    </w:p>
    <w:p w14:paraId="74698B2C" w14:textId="222F9191" w:rsidR="004C79F7" w:rsidRDefault="0023027B" w:rsidP="0001633E">
      <w:pPr>
        <w:pStyle w:val="AltTitle2"/>
        <w:numPr>
          <w:ilvl w:val="0"/>
          <w:numId w:val="106"/>
        </w:numPr>
      </w:pPr>
      <w:r>
        <w:t>Nuisances sonores et vibrations</w:t>
      </w:r>
    </w:p>
    <w:p w14:paraId="462E168B" w14:textId="77777777" w:rsidR="00AF26B8" w:rsidRDefault="00AF26B8" w:rsidP="00AF26B8">
      <w:pPr>
        <w:rPr>
          <w:lang w:eastAsia="fr-FR" w:bidi="ar-SA"/>
        </w:rPr>
      </w:pPr>
      <w:r>
        <w:rPr>
          <w:lang w:eastAsia="fr-FR" w:bidi="ar-SA"/>
        </w:rPr>
        <w:t>Durant la phase d’exploitation, les nuisances sonores et vibratoires seront exclusivement liées au fonctionnement des nouveaux équipements installés dans le cadre du projet : équipements de sûreté (EDS, machines RX, ETD, body scan, portiques magnétiques) et équipements de mobilité (ascenseurs, monte-charges, escaliers mécaniques, trottoirs roulants et couloirs rapides). À cela s’ajoutent les équipements extérieurs tels que le balisage lumineux et les mâts d’éclairage des parkings avions et voies de circulation, dont le fonctionnement ne génère qu’un niveau sonore faible et constant.</w:t>
      </w:r>
    </w:p>
    <w:p w14:paraId="017486F6" w14:textId="77777777" w:rsidR="00AF26B8" w:rsidRDefault="00AF26B8" w:rsidP="00AF26B8">
      <w:pPr>
        <w:rPr>
          <w:lang w:eastAsia="fr-FR" w:bidi="ar-SA"/>
        </w:rPr>
      </w:pPr>
      <w:r>
        <w:rPr>
          <w:lang w:eastAsia="fr-FR" w:bidi="ar-SA"/>
        </w:rPr>
        <w:t>Les nuisances observées seront de nature directe et négative, mais leur étendue demeurera strictement limitée à l’intérieur des bâtiments et aux abords immédiats des zones d’équipement. La durée est long terme, car ces équipements fonctionneront tout au long de la période d’exploitation, tandis que la fréquence des émissions sonores sera intermittente, associée à l’usage par les passagers ou au déclenchement mécanique des dispositifs de sûreté.</w:t>
      </w:r>
    </w:p>
    <w:p w14:paraId="7B5BC8C3" w14:textId="4BB9FCE4" w:rsidR="00AF26B8" w:rsidRDefault="00AF26B8" w:rsidP="00AF26B8">
      <w:pPr>
        <w:rPr>
          <w:lang w:eastAsia="fr-FR" w:bidi="ar-SA"/>
        </w:rPr>
      </w:pPr>
      <w:r>
        <w:rPr>
          <w:lang w:eastAsia="fr-FR" w:bidi="ar-SA"/>
        </w:rPr>
        <w:t>L’intensité sonore produite par les appareils électromécaniques est globalement faible, se situant entre 40 et 55 dB(A) selon les mesures de référence pour des installations. Les vibrations générées par les systèmes de mobilité (ascenseurs, escalators, trottoirs roulants) sont très faibles, absorbées par les dispositifs anti-vibratiles prévus par les fabricants et ne présentant aucun risque structurel ni inconfort perceptible.</w:t>
      </w:r>
    </w:p>
    <w:p w14:paraId="0AE62C1A" w14:textId="77777777" w:rsidR="003E3DA1" w:rsidRDefault="003E3DA1" w:rsidP="00AF26B8">
      <w:pPr>
        <w:rPr>
          <w:lang w:eastAsia="fr-FR" w:bidi="ar-SA"/>
        </w:rPr>
      </w:pPr>
    </w:p>
    <w:p w14:paraId="2CACD0E1" w14:textId="77777777" w:rsidR="00A44B49" w:rsidRDefault="00A44B49" w:rsidP="00AF26B8">
      <w:pPr>
        <w:rPr>
          <w:lang w:eastAsia="fr-FR" w:bidi="ar-SA"/>
        </w:rPr>
      </w:pPr>
    </w:p>
    <w:p w14:paraId="122EC4C8" w14:textId="7041F04E" w:rsidR="00AF26B8" w:rsidRDefault="00AF26B8" w:rsidP="00AF26B8">
      <w:pPr>
        <w:rPr>
          <w:lang w:eastAsia="fr-FR" w:bidi="ar-SA"/>
        </w:rPr>
      </w:pPr>
      <w:r>
        <w:rPr>
          <w:lang w:eastAsia="fr-FR" w:bidi="ar-SA"/>
        </w:rPr>
        <w:t>Les récepteurs sensibles identifiés comprennent :</w:t>
      </w:r>
    </w:p>
    <w:p w14:paraId="5B57C990" w14:textId="3CD607D2" w:rsidR="00AF26B8" w:rsidRDefault="00A44B49" w:rsidP="0001633E">
      <w:pPr>
        <w:pStyle w:val="Paragraphedeliste"/>
        <w:numPr>
          <w:ilvl w:val="0"/>
          <w:numId w:val="136"/>
        </w:numPr>
        <w:rPr>
          <w:lang w:eastAsia="fr-FR" w:bidi="ar-SA"/>
        </w:rPr>
      </w:pPr>
      <w:r>
        <w:rPr>
          <w:lang w:eastAsia="fr-FR" w:bidi="ar-SA"/>
        </w:rPr>
        <w:t>Le</w:t>
      </w:r>
      <w:r w:rsidR="00AF26B8">
        <w:rPr>
          <w:lang w:eastAsia="fr-FR" w:bidi="ar-SA"/>
        </w:rPr>
        <w:t xml:space="preserve"> personnel aéroportuaire affecté aux zones de sûreté et de mobilité, dont la sensibilité est moyenne, du fait d’une exposition répétée mais réglementée ;</w:t>
      </w:r>
    </w:p>
    <w:p w14:paraId="115FCF29" w14:textId="0B5DB164" w:rsidR="00AF26B8" w:rsidRDefault="00A44B49" w:rsidP="0001633E">
      <w:pPr>
        <w:pStyle w:val="Paragraphedeliste"/>
        <w:numPr>
          <w:ilvl w:val="0"/>
          <w:numId w:val="136"/>
        </w:numPr>
        <w:rPr>
          <w:lang w:eastAsia="fr-FR" w:bidi="ar-SA"/>
        </w:rPr>
      </w:pPr>
      <w:r>
        <w:rPr>
          <w:lang w:eastAsia="fr-FR" w:bidi="ar-SA"/>
        </w:rPr>
        <w:t>Les</w:t>
      </w:r>
      <w:r w:rsidR="00AF26B8">
        <w:rPr>
          <w:lang w:eastAsia="fr-FR" w:bidi="ar-SA"/>
        </w:rPr>
        <w:t xml:space="preserve"> usagers du terminal, dont la sensibilité est faible, les niveaux sonores étant conformes aux normes d’ambiance des espaces publics intérieurs ;</w:t>
      </w:r>
    </w:p>
    <w:p w14:paraId="11770600" w14:textId="0B949F59" w:rsidR="00AF26B8" w:rsidRDefault="00A44B49" w:rsidP="0001633E">
      <w:pPr>
        <w:pStyle w:val="Paragraphedeliste"/>
        <w:numPr>
          <w:ilvl w:val="0"/>
          <w:numId w:val="136"/>
        </w:numPr>
        <w:rPr>
          <w:lang w:eastAsia="fr-FR" w:bidi="ar-SA"/>
        </w:rPr>
      </w:pPr>
      <w:r>
        <w:rPr>
          <w:lang w:eastAsia="fr-FR" w:bidi="ar-SA"/>
        </w:rPr>
        <w:t>Les</w:t>
      </w:r>
      <w:r w:rsidR="00AF26B8">
        <w:rPr>
          <w:lang w:eastAsia="fr-FR" w:bidi="ar-SA"/>
        </w:rPr>
        <w:t xml:space="preserve"> habitants d</w:t>
      </w:r>
      <w:r w:rsidR="003C1A95">
        <w:rPr>
          <w:lang w:eastAsia="fr-FR" w:bidi="ar-SA"/>
        </w:rPr>
        <w:t>e Bouakkaz</w:t>
      </w:r>
      <w:r w:rsidR="00AF26B8">
        <w:rPr>
          <w:lang w:eastAsia="fr-FR" w:bidi="ar-SA"/>
        </w:rPr>
        <w:t>, dont la sensibilité est négligeable, aucune transmission acoustique ou vibratoire ne pouvant être perçue à cette distance.</w:t>
      </w:r>
    </w:p>
    <w:p w14:paraId="58B20DB9" w14:textId="63B699E4" w:rsidR="004C79F7" w:rsidRDefault="00AF26B8" w:rsidP="00AF26B8">
      <w:pPr>
        <w:rPr>
          <w:lang w:eastAsia="fr-FR" w:bidi="ar-SA"/>
        </w:rPr>
      </w:pPr>
      <w:r>
        <w:rPr>
          <w:lang w:eastAsia="fr-FR" w:bidi="ar-SA"/>
        </w:rPr>
        <w:t>Dans l’ensemble, les émissions sonores et vibratoires liées à l’exploitation sont faibles, localisées et non perceptibles au-delà du périmètre aéroportuaire. L’impact est donc mineur à négligeable, réversible et parfaitement maîtrisable dans le cadre d’une maintenance régulière et d’une surveillance acoustique de routine.</w:t>
      </w:r>
    </w:p>
    <w:tbl>
      <w:tblPr>
        <w:tblStyle w:val="TableauGrille1Clair-Accentuation111"/>
        <w:tblW w:w="0" w:type="auto"/>
        <w:tblLook w:val="04A0" w:firstRow="1" w:lastRow="0" w:firstColumn="1" w:lastColumn="0" w:noHBand="0" w:noVBand="1"/>
      </w:tblPr>
      <w:tblGrid>
        <w:gridCol w:w="792"/>
        <w:gridCol w:w="1563"/>
        <w:gridCol w:w="2035"/>
        <w:gridCol w:w="3219"/>
        <w:gridCol w:w="1193"/>
      </w:tblGrid>
      <w:tr w:rsidR="00AE45D9" w:rsidRPr="009F1D5D" w14:paraId="17D8C2BE" w14:textId="77777777" w:rsidTr="00F36AA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6732AE2E" w14:textId="77777777" w:rsidR="00AE45D9" w:rsidRPr="004637C7" w:rsidRDefault="00AE45D9" w:rsidP="000A3EA4">
            <w:pPr>
              <w:rPr>
                <w:rFonts w:asciiTheme="minorHAnsi" w:hAnsiTheme="minorHAnsi" w:cstheme="minorHAnsi"/>
                <w:szCs w:val="20"/>
                <w:lang w:eastAsia="fr-FR" w:bidi="ar-SA"/>
              </w:rPr>
            </w:pPr>
            <w:r w:rsidRPr="004637C7">
              <w:rPr>
                <w:rFonts w:asciiTheme="minorHAnsi" w:hAnsiTheme="minorHAnsi" w:cstheme="minorHAnsi"/>
                <w:szCs w:val="20"/>
                <w:lang w:eastAsia="fr-FR" w:bidi="ar-SA"/>
              </w:rPr>
              <w:t>Impact</w:t>
            </w:r>
          </w:p>
        </w:tc>
        <w:tc>
          <w:tcPr>
            <w:tcW w:w="1563" w:type="dxa"/>
            <w:hideMark/>
          </w:tcPr>
          <w:p w14:paraId="1E51149F" w14:textId="77777777" w:rsidR="00AE45D9" w:rsidRPr="004637C7" w:rsidRDefault="00AE45D9" w:rsidP="000A3EA4">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sidRPr="004637C7">
              <w:rPr>
                <w:rFonts w:asciiTheme="minorHAnsi" w:hAnsiTheme="minorHAnsi" w:cstheme="minorHAnsi"/>
                <w:szCs w:val="20"/>
                <w:lang w:eastAsia="fr-FR" w:bidi="ar-SA"/>
              </w:rPr>
              <w:t>Activités génératrices</w:t>
            </w:r>
          </w:p>
        </w:tc>
        <w:tc>
          <w:tcPr>
            <w:tcW w:w="2035" w:type="dxa"/>
            <w:hideMark/>
          </w:tcPr>
          <w:p w14:paraId="2790DF8B" w14:textId="77777777" w:rsidR="00AE45D9" w:rsidRPr="004637C7" w:rsidRDefault="00AE45D9" w:rsidP="000A3EA4">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sidRPr="004637C7">
              <w:rPr>
                <w:rFonts w:asciiTheme="minorHAnsi" w:hAnsiTheme="minorHAnsi" w:cstheme="minorHAnsi"/>
                <w:szCs w:val="20"/>
                <w:lang w:eastAsia="fr-FR" w:bidi="ar-SA"/>
              </w:rPr>
              <w:t>Critère</w:t>
            </w:r>
          </w:p>
        </w:tc>
        <w:tc>
          <w:tcPr>
            <w:tcW w:w="3219" w:type="dxa"/>
            <w:hideMark/>
          </w:tcPr>
          <w:p w14:paraId="7BDCB1C8" w14:textId="77777777" w:rsidR="00AE45D9" w:rsidRPr="004637C7" w:rsidRDefault="00AE45D9" w:rsidP="000A3EA4">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sidRPr="004637C7">
              <w:rPr>
                <w:rFonts w:asciiTheme="minorHAnsi" w:hAnsiTheme="minorHAnsi" w:cstheme="minorHAnsi"/>
                <w:szCs w:val="20"/>
                <w:lang w:eastAsia="fr-FR" w:bidi="ar-SA"/>
              </w:rPr>
              <w:t>Justification</w:t>
            </w:r>
          </w:p>
        </w:tc>
        <w:tc>
          <w:tcPr>
            <w:tcW w:w="1193" w:type="dxa"/>
            <w:hideMark/>
          </w:tcPr>
          <w:p w14:paraId="5C9D4123" w14:textId="77777777" w:rsidR="00AE45D9" w:rsidRPr="004637C7" w:rsidRDefault="00AE45D9" w:rsidP="000A3EA4">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sidRPr="004637C7">
              <w:rPr>
                <w:rFonts w:asciiTheme="minorHAnsi" w:hAnsiTheme="minorHAnsi" w:cstheme="minorHAnsi"/>
                <w:szCs w:val="20"/>
                <w:lang w:eastAsia="fr-FR" w:bidi="ar-SA"/>
              </w:rPr>
              <w:t>Niveau</w:t>
            </w:r>
          </w:p>
        </w:tc>
      </w:tr>
      <w:tr w:rsidR="00573613" w:rsidRPr="009F1D5D" w14:paraId="3F68BAE4" w14:textId="77777777" w:rsidTr="00F36AA0">
        <w:tc>
          <w:tcPr>
            <w:cnfStyle w:val="001000000000" w:firstRow="0" w:lastRow="0" w:firstColumn="1" w:lastColumn="0" w:oddVBand="0" w:evenVBand="0" w:oddHBand="0" w:evenHBand="0" w:firstRowFirstColumn="0" w:firstRowLastColumn="0" w:lastRowFirstColumn="0" w:lastRowLastColumn="0"/>
            <w:tcW w:w="0" w:type="auto"/>
            <w:vMerge w:val="restart"/>
            <w:textDirection w:val="tbRl"/>
            <w:vAlign w:val="center"/>
            <w:hideMark/>
          </w:tcPr>
          <w:p w14:paraId="71B3C37E" w14:textId="6C0C9478" w:rsidR="00573613" w:rsidRPr="004637C7" w:rsidRDefault="00573613" w:rsidP="004637C7">
            <w:pPr>
              <w:ind w:left="113" w:right="113"/>
              <w:jc w:val="center"/>
              <w:rPr>
                <w:rFonts w:asciiTheme="minorHAnsi" w:hAnsiTheme="minorHAnsi" w:cstheme="minorHAnsi"/>
                <w:szCs w:val="20"/>
                <w:lang w:eastAsia="fr-FR" w:bidi="ar-SA"/>
              </w:rPr>
            </w:pPr>
            <w:r w:rsidRPr="004637C7">
              <w:rPr>
                <w:rFonts w:asciiTheme="minorHAnsi" w:hAnsiTheme="minorHAnsi" w:cstheme="minorHAnsi"/>
                <w:szCs w:val="20"/>
                <w:lang w:eastAsia="fr-FR" w:bidi="ar-SA"/>
              </w:rPr>
              <w:t>Émissions sonores</w:t>
            </w:r>
            <w:r w:rsidR="00AF26B8" w:rsidRPr="00ED1374">
              <w:rPr>
                <w:rFonts w:asciiTheme="minorHAnsi" w:hAnsiTheme="minorHAnsi" w:cstheme="minorHAnsi"/>
                <w:szCs w:val="20"/>
                <w:lang w:eastAsia="fr-FR" w:bidi="ar-SA"/>
              </w:rPr>
              <w:t xml:space="preserve"> et vibrations</w:t>
            </w:r>
          </w:p>
        </w:tc>
        <w:tc>
          <w:tcPr>
            <w:tcW w:w="1563" w:type="dxa"/>
            <w:vMerge w:val="restart"/>
            <w:hideMark/>
          </w:tcPr>
          <w:p w14:paraId="185FBC20" w14:textId="1837A95C" w:rsidR="00573613" w:rsidRPr="004637C7" w:rsidRDefault="00AF26B8" w:rsidP="000A3EA4">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sidRPr="00ED1374">
              <w:rPr>
                <w:rFonts w:asciiTheme="minorHAnsi" w:hAnsiTheme="minorHAnsi" w:cstheme="minorHAnsi"/>
                <w:szCs w:val="20"/>
                <w:lang w:eastAsia="fr-FR" w:bidi="ar-SA"/>
              </w:rPr>
              <w:t>Fonctionnement des équipements de sûreté (EDS, RX, ETD, body scan, portiques) et de mobilité (ascenseurs, monte-charges, escaliers mécaniques, trottoirs roulants, couloirs rapides)</w:t>
            </w:r>
          </w:p>
        </w:tc>
        <w:tc>
          <w:tcPr>
            <w:tcW w:w="2035" w:type="dxa"/>
            <w:hideMark/>
          </w:tcPr>
          <w:p w14:paraId="2BC0DB23" w14:textId="77777777" w:rsidR="00573613" w:rsidRPr="004637C7" w:rsidRDefault="00573613" w:rsidP="000A3EA4">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Cs w:val="20"/>
                <w:lang w:eastAsia="fr-FR" w:bidi="ar-SA"/>
              </w:rPr>
            </w:pPr>
            <w:r w:rsidRPr="004637C7">
              <w:rPr>
                <w:rFonts w:asciiTheme="minorHAnsi" w:hAnsiTheme="minorHAnsi" w:cstheme="minorHAnsi"/>
                <w:b/>
                <w:bCs/>
                <w:szCs w:val="20"/>
                <w:lang w:eastAsia="fr-FR" w:bidi="ar-SA"/>
              </w:rPr>
              <w:t>Nature</w:t>
            </w:r>
          </w:p>
        </w:tc>
        <w:tc>
          <w:tcPr>
            <w:tcW w:w="4412" w:type="dxa"/>
            <w:gridSpan w:val="2"/>
          </w:tcPr>
          <w:p w14:paraId="20A39A72" w14:textId="77777777" w:rsidR="00573613" w:rsidRPr="004637C7" w:rsidRDefault="00573613" w:rsidP="000A3EA4">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sidRPr="004637C7">
              <w:rPr>
                <w:rFonts w:asciiTheme="minorHAnsi" w:hAnsiTheme="minorHAnsi" w:cstheme="minorHAnsi"/>
                <w:szCs w:val="20"/>
                <w:lang w:eastAsia="fr-FR" w:bidi="ar-SA"/>
              </w:rPr>
              <w:t>Négatif direct</w:t>
            </w:r>
          </w:p>
        </w:tc>
      </w:tr>
      <w:tr w:rsidR="00573613" w:rsidRPr="009F1D5D" w14:paraId="5533DE1C" w14:textId="77777777" w:rsidTr="00F36AA0">
        <w:tc>
          <w:tcPr>
            <w:cnfStyle w:val="001000000000" w:firstRow="0" w:lastRow="0" w:firstColumn="1" w:lastColumn="0" w:oddVBand="0" w:evenVBand="0" w:oddHBand="0" w:evenHBand="0" w:firstRowFirstColumn="0" w:firstRowLastColumn="0" w:lastRowFirstColumn="0" w:lastRowLastColumn="0"/>
            <w:tcW w:w="0" w:type="auto"/>
            <w:vMerge/>
            <w:hideMark/>
          </w:tcPr>
          <w:p w14:paraId="2FD68E80" w14:textId="77777777" w:rsidR="00573613" w:rsidRPr="004637C7" w:rsidRDefault="00573613" w:rsidP="000A3EA4">
            <w:pPr>
              <w:rPr>
                <w:rFonts w:asciiTheme="minorHAnsi" w:hAnsiTheme="minorHAnsi" w:cstheme="minorHAnsi"/>
                <w:szCs w:val="20"/>
                <w:lang w:eastAsia="fr-FR" w:bidi="ar-SA"/>
              </w:rPr>
            </w:pPr>
          </w:p>
        </w:tc>
        <w:tc>
          <w:tcPr>
            <w:tcW w:w="1563" w:type="dxa"/>
            <w:vMerge/>
            <w:hideMark/>
          </w:tcPr>
          <w:p w14:paraId="55259DE3" w14:textId="77777777" w:rsidR="00573613" w:rsidRPr="004637C7" w:rsidRDefault="00573613" w:rsidP="000A3EA4">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p>
        </w:tc>
        <w:tc>
          <w:tcPr>
            <w:tcW w:w="2035" w:type="dxa"/>
            <w:hideMark/>
          </w:tcPr>
          <w:p w14:paraId="1F27020E" w14:textId="77777777" w:rsidR="00573613" w:rsidRPr="004637C7" w:rsidRDefault="00573613" w:rsidP="000A3EA4">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Cs w:val="20"/>
                <w:lang w:eastAsia="fr-FR" w:bidi="ar-SA"/>
              </w:rPr>
            </w:pPr>
            <w:r w:rsidRPr="004637C7">
              <w:rPr>
                <w:rFonts w:asciiTheme="minorHAnsi" w:hAnsiTheme="minorHAnsi" w:cstheme="minorHAnsi"/>
                <w:b/>
                <w:bCs/>
                <w:szCs w:val="20"/>
                <w:lang w:eastAsia="fr-FR" w:bidi="ar-SA"/>
              </w:rPr>
              <w:t>Étendue</w:t>
            </w:r>
          </w:p>
        </w:tc>
        <w:tc>
          <w:tcPr>
            <w:tcW w:w="3219" w:type="dxa"/>
            <w:hideMark/>
          </w:tcPr>
          <w:p w14:paraId="65886A15" w14:textId="0B43F0A4" w:rsidR="00573613" w:rsidRPr="004637C7" w:rsidRDefault="00AF26B8" w:rsidP="000A3EA4">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sidRPr="00ED1374">
              <w:rPr>
                <w:rFonts w:asciiTheme="minorHAnsi" w:hAnsiTheme="minorHAnsi" w:cstheme="minorHAnsi"/>
                <w:szCs w:val="20"/>
                <w:lang w:eastAsia="fr-FR" w:bidi="ar-SA"/>
              </w:rPr>
              <w:t>Limitée à l’intérieur des bâtiments et zones techniques, sans propagation à l’extérieur</w:t>
            </w:r>
          </w:p>
        </w:tc>
        <w:tc>
          <w:tcPr>
            <w:tcW w:w="1193" w:type="dxa"/>
            <w:hideMark/>
          </w:tcPr>
          <w:p w14:paraId="3D5A8883" w14:textId="4F0E3FAE" w:rsidR="00573613" w:rsidRPr="004637C7" w:rsidRDefault="00573613" w:rsidP="000A3EA4">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Cs w:val="20"/>
                <w:lang w:eastAsia="fr-FR" w:bidi="ar-SA"/>
              </w:rPr>
            </w:pPr>
            <w:r w:rsidRPr="004637C7">
              <w:rPr>
                <w:rFonts w:asciiTheme="minorHAnsi" w:hAnsiTheme="minorHAnsi" w:cstheme="minorHAnsi"/>
                <w:b/>
                <w:bCs/>
                <w:szCs w:val="20"/>
                <w:lang w:eastAsia="fr-FR" w:bidi="ar-SA"/>
              </w:rPr>
              <w:t xml:space="preserve">Locale </w:t>
            </w:r>
          </w:p>
        </w:tc>
      </w:tr>
      <w:tr w:rsidR="00573613" w:rsidRPr="009F1D5D" w14:paraId="54125305" w14:textId="77777777" w:rsidTr="00F36AA0">
        <w:tc>
          <w:tcPr>
            <w:cnfStyle w:val="001000000000" w:firstRow="0" w:lastRow="0" w:firstColumn="1" w:lastColumn="0" w:oddVBand="0" w:evenVBand="0" w:oddHBand="0" w:evenHBand="0" w:firstRowFirstColumn="0" w:firstRowLastColumn="0" w:lastRowFirstColumn="0" w:lastRowLastColumn="0"/>
            <w:tcW w:w="0" w:type="auto"/>
            <w:vMerge/>
            <w:hideMark/>
          </w:tcPr>
          <w:p w14:paraId="41DCADD1" w14:textId="77777777" w:rsidR="00573613" w:rsidRPr="004637C7" w:rsidRDefault="00573613" w:rsidP="000A3EA4">
            <w:pPr>
              <w:rPr>
                <w:rFonts w:asciiTheme="minorHAnsi" w:hAnsiTheme="minorHAnsi" w:cstheme="minorHAnsi"/>
                <w:szCs w:val="20"/>
                <w:lang w:eastAsia="fr-FR" w:bidi="ar-SA"/>
              </w:rPr>
            </w:pPr>
          </w:p>
        </w:tc>
        <w:tc>
          <w:tcPr>
            <w:tcW w:w="1563" w:type="dxa"/>
            <w:vMerge/>
            <w:hideMark/>
          </w:tcPr>
          <w:p w14:paraId="4A04F601" w14:textId="77777777" w:rsidR="00573613" w:rsidRPr="004637C7" w:rsidRDefault="00573613" w:rsidP="000A3EA4">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p>
        </w:tc>
        <w:tc>
          <w:tcPr>
            <w:tcW w:w="2035" w:type="dxa"/>
            <w:hideMark/>
          </w:tcPr>
          <w:p w14:paraId="3B5E5E5A" w14:textId="77777777" w:rsidR="00573613" w:rsidRPr="004637C7" w:rsidRDefault="00573613" w:rsidP="000A3EA4">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Cs w:val="20"/>
                <w:lang w:eastAsia="fr-FR" w:bidi="ar-SA"/>
              </w:rPr>
            </w:pPr>
            <w:r w:rsidRPr="004637C7">
              <w:rPr>
                <w:rFonts w:asciiTheme="minorHAnsi" w:hAnsiTheme="minorHAnsi" w:cstheme="minorHAnsi"/>
                <w:b/>
                <w:bCs/>
                <w:szCs w:val="20"/>
                <w:lang w:eastAsia="fr-FR" w:bidi="ar-SA"/>
              </w:rPr>
              <w:t>Durée</w:t>
            </w:r>
          </w:p>
        </w:tc>
        <w:tc>
          <w:tcPr>
            <w:tcW w:w="3219" w:type="dxa"/>
            <w:hideMark/>
          </w:tcPr>
          <w:p w14:paraId="2E56824E" w14:textId="0B5AE6AE" w:rsidR="00573613" w:rsidRPr="004637C7" w:rsidRDefault="00AF26B8" w:rsidP="000A3EA4">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sidRPr="00ED1374">
              <w:rPr>
                <w:rFonts w:asciiTheme="minorHAnsi" w:hAnsiTheme="minorHAnsi" w:cstheme="minorHAnsi"/>
                <w:szCs w:val="20"/>
                <w:lang w:eastAsia="fr-FR" w:bidi="ar-SA"/>
              </w:rPr>
              <w:t>Persistante sur toute la durée de vie des installations</w:t>
            </w:r>
          </w:p>
        </w:tc>
        <w:tc>
          <w:tcPr>
            <w:tcW w:w="1193" w:type="dxa"/>
            <w:hideMark/>
          </w:tcPr>
          <w:p w14:paraId="47D1BB7C" w14:textId="77777777" w:rsidR="00573613" w:rsidRPr="004637C7" w:rsidRDefault="00573613" w:rsidP="000A3EA4">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Cs w:val="20"/>
                <w:lang w:eastAsia="fr-FR" w:bidi="ar-SA"/>
              </w:rPr>
            </w:pPr>
            <w:r w:rsidRPr="004637C7">
              <w:rPr>
                <w:rFonts w:asciiTheme="minorHAnsi" w:hAnsiTheme="minorHAnsi" w:cstheme="minorHAnsi"/>
                <w:b/>
                <w:bCs/>
                <w:szCs w:val="20"/>
                <w:lang w:eastAsia="fr-FR" w:bidi="ar-SA"/>
              </w:rPr>
              <w:t>Long terme</w:t>
            </w:r>
          </w:p>
        </w:tc>
      </w:tr>
      <w:tr w:rsidR="00573613" w:rsidRPr="009F1D5D" w14:paraId="305E16C8" w14:textId="77777777" w:rsidTr="00F36AA0">
        <w:tc>
          <w:tcPr>
            <w:cnfStyle w:val="001000000000" w:firstRow="0" w:lastRow="0" w:firstColumn="1" w:lastColumn="0" w:oddVBand="0" w:evenVBand="0" w:oddHBand="0" w:evenHBand="0" w:firstRowFirstColumn="0" w:firstRowLastColumn="0" w:lastRowFirstColumn="0" w:lastRowLastColumn="0"/>
            <w:tcW w:w="0" w:type="auto"/>
            <w:vMerge/>
            <w:hideMark/>
          </w:tcPr>
          <w:p w14:paraId="5E07D1E3" w14:textId="77777777" w:rsidR="00573613" w:rsidRPr="004637C7" w:rsidRDefault="00573613" w:rsidP="000A3EA4">
            <w:pPr>
              <w:rPr>
                <w:rFonts w:asciiTheme="minorHAnsi" w:hAnsiTheme="minorHAnsi" w:cstheme="minorHAnsi"/>
                <w:szCs w:val="20"/>
                <w:lang w:eastAsia="fr-FR" w:bidi="ar-SA"/>
              </w:rPr>
            </w:pPr>
          </w:p>
        </w:tc>
        <w:tc>
          <w:tcPr>
            <w:tcW w:w="1563" w:type="dxa"/>
            <w:vMerge/>
            <w:hideMark/>
          </w:tcPr>
          <w:p w14:paraId="6D0BE0F5" w14:textId="77777777" w:rsidR="00573613" w:rsidRPr="004637C7" w:rsidRDefault="00573613" w:rsidP="000A3EA4">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p>
        </w:tc>
        <w:tc>
          <w:tcPr>
            <w:tcW w:w="2035" w:type="dxa"/>
            <w:hideMark/>
          </w:tcPr>
          <w:p w14:paraId="7BC1FBA1" w14:textId="77777777" w:rsidR="00573613" w:rsidRPr="004637C7" w:rsidRDefault="00573613" w:rsidP="000A3EA4">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Cs w:val="20"/>
                <w:lang w:eastAsia="fr-FR" w:bidi="ar-SA"/>
              </w:rPr>
            </w:pPr>
            <w:r w:rsidRPr="004637C7">
              <w:rPr>
                <w:rFonts w:asciiTheme="minorHAnsi" w:hAnsiTheme="minorHAnsi" w:cstheme="minorHAnsi"/>
                <w:b/>
                <w:bCs/>
                <w:szCs w:val="20"/>
                <w:lang w:eastAsia="fr-FR" w:bidi="ar-SA"/>
              </w:rPr>
              <w:t>Fréquence</w:t>
            </w:r>
          </w:p>
        </w:tc>
        <w:tc>
          <w:tcPr>
            <w:tcW w:w="3219" w:type="dxa"/>
            <w:hideMark/>
          </w:tcPr>
          <w:p w14:paraId="5BDF4D97" w14:textId="515DA055" w:rsidR="00573613" w:rsidRPr="004637C7" w:rsidRDefault="00AF26B8" w:rsidP="000A3EA4">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sidRPr="00ED1374">
              <w:rPr>
                <w:rFonts w:asciiTheme="minorHAnsi" w:hAnsiTheme="minorHAnsi" w:cstheme="minorHAnsi"/>
                <w:szCs w:val="20"/>
                <w:lang w:eastAsia="fr-FR" w:bidi="ar-SA"/>
              </w:rPr>
              <w:t>Intermittente selon l’utilisation par les passagers</w:t>
            </w:r>
          </w:p>
        </w:tc>
        <w:tc>
          <w:tcPr>
            <w:tcW w:w="1193" w:type="dxa"/>
            <w:hideMark/>
          </w:tcPr>
          <w:p w14:paraId="20B08EAC" w14:textId="77777777" w:rsidR="00573613" w:rsidRPr="004637C7" w:rsidRDefault="00573613" w:rsidP="000A3EA4">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Cs w:val="20"/>
                <w:lang w:eastAsia="fr-FR" w:bidi="ar-SA"/>
              </w:rPr>
            </w:pPr>
            <w:r w:rsidRPr="004637C7">
              <w:rPr>
                <w:rFonts w:asciiTheme="minorHAnsi" w:hAnsiTheme="minorHAnsi" w:cstheme="minorHAnsi"/>
                <w:b/>
                <w:bCs/>
                <w:szCs w:val="20"/>
                <w:lang w:eastAsia="fr-FR" w:bidi="ar-SA"/>
              </w:rPr>
              <w:t>Continue</w:t>
            </w:r>
          </w:p>
        </w:tc>
      </w:tr>
      <w:tr w:rsidR="00ED1374" w:rsidRPr="00F71564" w14:paraId="172A480C" w14:textId="77777777" w:rsidTr="00F36AA0">
        <w:tc>
          <w:tcPr>
            <w:cnfStyle w:val="001000000000" w:firstRow="0" w:lastRow="0" w:firstColumn="1" w:lastColumn="0" w:oddVBand="0" w:evenVBand="0" w:oddHBand="0" w:evenHBand="0" w:firstRowFirstColumn="0" w:firstRowLastColumn="0" w:lastRowFirstColumn="0" w:lastRowLastColumn="0"/>
            <w:tcW w:w="0" w:type="auto"/>
            <w:vMerge/>
            <w:hideMark/>
          </w:tcPr>
          <w:p w14:paraId="249CB646" w14:textId="77777777" w:rsidR="00573613" w:rsidRPr="004637C7" w:rsidRDefault="00573613" w:rsidP="000A3EA4">
            <w:pPr>
              <w:rPr>
                <w:rFonts w:asciiTheme="minorHAnsi" w:hAnsiTheme="minorHAnsi" w:cstheme="minorHAnsi"/>
                <w:szCs w:val="20"/>
                <w:lang w:eastAsia="fr-FR" w:bidi="ar-SA"/>
              </w:rPr>
            </w:pPr>
          </w:p>
        </w:tc>
        <w:tc>
          <w:tcPr>
            <w:tcW w:w="1563" w:type="dxa"/>
            <w:vMerge/>
            <w:hideMark/>
          </w:tcPr>
          <w:p w14:paraId="2B095713" w14:textId="77777777" w:rsidR="00573613" w:rsidRPr="004637C7" w:rsidRDefault="00573613" w:rsidP="000A3EA4">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p>
        </w:tc>
        <w:tc>
          <w:tcPr>
            <w:tcW w:w="2035" w:type="dxa"/>
            <w:shd w:val="clear" w:color="auto" w:fill="D9E2F3"/>
            <w:hideMark/>
          </w:tcPr>
          <w:p w14:paraId="205E3DDC" w14:textId="77777777" w:rsidR="00573613" w:rsidRPr="004637C7" w:rsidRDefault="00573613" w:rsidP="000A3EA4">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Cs w:val="20"/>
                <w:lang w:eastAsia="fr-FR" w:bidi="ar-SA"/>
              </w:rPr>
            </w:pPr>
            <w:r w:rsidRPr="004637C7">
              <w:rPr>
                <w:rFonts w:asciiTheme="minorHAnsi" w:hAnsiTheme="minorHAnsi" w:cstheme="minorHAnsi"/>
                <w:b/>
                <w:bCs/>
                <w:szCs w:val="20"/>
                <w:lang w:eastAsia="fr-FR" w:bidi="ar-SA"/>
              </w:rPr>
              <w:t>Intensité</w:t>
            </w:r>
          </w:p>
        </w:tc>
        <w:tc>
          <w:tcPr>
            <w:tcW w:w="3219" w:type="dxa"/>
            <w:shd w:val="clear" w:color="auto" w:fill="D9E2F3"/>
            <w:hideMark/>
          </w:tcPr>
          <w:p w14:paraId="5A77DF1C" w14:textId="37DBCE72" w:rsidR="00573613" w:rsidRPr="004637C7" w:rsidRDefault="00573613" w:rsidP="000A3EA4">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sidRPr="004637C7">
              <w:rPr>
                <w:rFonts w:asciiTheme="minorHAnsi" w:hAnsiTheme="minorHAnsi" w:cstheme="minorHAnsi"/>
                <w:szCs w:val="20"/>
                <w:lang w:eastAsia="fr-FR" w:bidi="ar-SA"/>
              </w:rPr>
              <w:t xml:space="preserve">Impacts sonores globalement </w:t>
            </w:r>
            <w:r w:rsidR="00AF26B8" w:rsidRPr="00ED1374">
              <w:rPr>
                <w:rFonts w:asciiTheme="minorHAnsi" w:hAnsiTheme="minorHAnsi" w:cstheme="minorHAnsi"/>
                <w:szCs w:val="20"/>
                <w:lang w:eastAsia="fr-FR" w:bidi="ar-SA"/>
              </w:rPr>
              <w:t>d’intensité</w:t>
            </w:r>
            <w:r w:rsidRPr="004637C7">
              <w:rPr>
                <w:rFonts w:asciiTheme="minorHAnsi" w:hAnsiTheme="minorHAnsi" w:cstheme="minorHAnsi"/>
                <w:szCs w:val="20"/>
                <w:lang w:eastAsia="fr-FR" w:bidi="ar-SA"/>
              </w:rPr>
              <w:t xml:space="preserve"> : </w:t>
            </w:r>
            <w:r w:rsidR="00AF26B8" w:rsidRPr="00ED1374">
              <w:rPr>
                <w:rFonts w:asciiTheme="minorHAnsi" w:hAnsiTheme="minorHAnsi" w:cstheme="minorHAnsi"/>
                <w:szCs w:val="20"/>
                <w:lang w:eastAsia="fr-FR" w:bidi="ar-SA"/>
              </w:rPr>
              <w:t>Faible (40–55 dB(A) et amplitude vibratoire très faible, absorbée par dispositifs anti-vibratiles.</w:t>
            </w:r>
          </w:p>
        </w:tc>
        <w:tc>
          <w:tcPr>
            <w:tcW w:w="1193" w:type="dxa"/>
            <w:shd w:val="clear" w:color="auto" w:fill="D9E2F3"/>
            <w:hideMark/>
          </w:tcPr>
          <w:p w14:paraId="43B72C3C" w14:textId="294AA1A8" w:rsidR="00573613" w:rsidRPr="004637C7" w:rsidRDefault="00AF26B8" w:rsidP="000A3EA4">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Cs w:val="20"/>
                <w:lang w:eastAsia="fr-FR" w:bidi="ar-SA"/>
              </w:rPr>
            </w:pPr>
            <w:r w:rsidRPr="00ED1374">
              <w:rPr>
                <w:rFonts w:asciiTheme="minorHAnsi" w:hAnsiTheme="minorHAnsi" w:cstheme="minorHAnsi"/>
                <w:b/>
                <w:bCs/>
                <w:szCs w:val="20"/>
                <w:lang w:eastAsia="fr-FR" w:bidi="ar-SA"/>
              </w:rPr>
              <w:t>Négligeable à faible</w:t>
            </w:r>
          </w:p>
        </w:tc>
      </w:tr>
      <w:tr w:rsidR="00573613" w:rsidRPr="009F1D5D" w14:paraId="1E770458" w14:textId="77777777" w:rsidTr="00AF26B8">
        <w:tc>
          <w:tcPr>
            <w:cnfStyle w:val="001000000000" w:firstRow="0" w:lastRow="0" w:firstColumn="1" w:lastColumn="0" w:oddVBand="0" w:evenVBand="0" w:oddHBand="0" w:evenHBand="0" w:firstRowFirstColumn="0" w:firstRowLastColumn="0" w:lastRowFirstColumn="0" w:lastRowLastColumn="0"/>
            <w:tcW w:w="0" w:type="auto"/>
            <w:vMerge/>
          </w:tcPr>
          <w:p w14:paraId="1F43391D" w14:textId="77777777" w:rsidR="00573613" w:rsidRPr="004637C7" w:rsidRDefault="00573613" w:rsidP="000A3EA4">
            <w:pPr>
              <w:rPr>
                <w:rFonts w:asciiTheme="minorHAnsi" w:hAnsiTheme="minorHAnsi" w:cstheme="minorHAnsi"/>
                <w:szCs w:val="20"/>
                <w:lang w:eastAsia="fr-FR" w:bidi="ar-SA"/>
              </w:rPr>
            </w:pPr>
          </w:p>
        </w:tc>
        <w:tc>
          <w:tcPr>
            <w:tcW w:w="8010" w:type="dxa"/>
            <w:gridSpan w:val="4"/>
          </w:tcPr>
          <w:p w14:paraId="51E6CDEE" w14:textId="77777777" w:rsidR="00573613" w:rsidRPr="004637C7" w:rsidRDefault="00573613" w:rsidP="004637C7">
            <w:pPr>
              <w:spacing w:before="0" w:after="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Cs w:val="20"/>
                <w:lang w:eastAsia="fr-FR" w:bidi="ar-SA"/>
              </w:rPr>
            </w:pPr>
          </w:p>
        </w:tc>
      </w:tr>
      <w:tr w:rsidR="00ED1374" w:rsidRPr="00F71564" w14:paraId="7A82EACB" w14:textId="77777777" w:rsidTr="00F36AA0">
        <w:tc>
          <w:tcPr>
            <w:cnfStyle w:val="001000000000" w:firstRow="0" w:lastRow="0" w:firstColumn="1" w:lastColumn="0" w:oddVBand="0" w:evenVBand="0" w:oddHBand="0" w:evenHBand="0" w:firstRowFirstColumn="0" w:firstRowLastColumn="0" w:lastRowFirstColumn="0" w:lastRowLastColumn="0"/>
            <w:tcW w:w="0" w:type="auto"/>
            <w:vMerge/>
          </w:tcPr>
          <w:p w14:paraId="56EE787D" w14:textId="77777777" w:rsidR="00573613" w:rsidRPr="004637C7" w:rsidRDefault="00573613" w:rsidP="00573613">
            <w:pPr>
              <w:rPr>
                <w:rFonts w:asciiTheme="minorHAnsi" w:hAnsiTheme="minorHAnsi" w:cstheme="minorHAnsi"/>
                <w:szCs w:val="20"/>
                <w:lang w:eastAsia="fr-FR" w:bidi="ar-SA"/>
              </w:rPr>
            </w:pPr>
          </w:p>
        </w:tc>
        <w:tc>
          <w:tcPr>
            <w:tcW w:w="1563" w:type="dxa"/>
            <w:shd w:val="clear" w:color="auto" w:fill="B4C6E7" w:themeFill="accent1" w:themeFillTint="66"/>
            <w:vAlign w:val="center"/>
          </w:tcPr>
          <w:p w14:paraId="1591290E" w14:textId="07E24CD5" w:rsidR="00573613" w:rsidRPr="004637C7" w:rsidRDefault="00573613" w:rsidP="00573613">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sidRPr="004637C7">
              <w:rPr>
                <w:rFonts w:asciiTheme="minorHAnsi" w:hAnsiTheme="minorHAnsi" w:cstheme="minorHAnsi"/>
                <w:b/>
                <w:bCs/>
                <w:szCs w:val="20"/>
              </w:rPr>
              <w:t>Intensité de l’impact</w:t>
            </w:r>
          </w:p>
        </w:tc>
        <w:tc>
          <w:tcPr>
            <w:tcW w:w="2035" w:type="dxa"/>
            <w:shd w:val="clear" w:color="auto" w:fill="B4C6E7" w:themeFill="accent1" w:themeFillTint="66"/>
            <w:vAlign w:val="center"/>
          </w:tcPr>
          <w:p w14:paraId="7CE0C929" w14:textId="0FAA499E" w:rsidR="00573613" w:rsidRPr="004637C7" w:rsidRDefault="00573613" w:rsidP="00573613">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Cs w:val="20"/>
                <w:lang w:eastAsia="fr-FR" w:bidi="ar-SA"/>
              </w:rPr>
            </w:pPr>
            <w:r w:rsidRPr="004637C7">
              <w:rPr>
                <w:rFonts w:asciiTheme="minorHAnsi" w:hAnsiTheme="minorHAnsi" w:cstheme="minorHAnsi"/>
                <w:b/>
                <w:bCs/>
                <w:szCs w:val="20"/>
              </w:rPr>
              <w:t>Récepteurs</w:t>
            </w:r>
          </w:p>
        </w:tc>
        <w:tc>
          <w:tcPr>
            <w:tcW w:w="3219" w:type="dxa"/>
            <w:shd w:val="clear" w:color="auto" w:fill="B4C6E7" w:themeFill="accent1" w:themeFillTint="66"/>
            <w:vAlign w:val="center"/>
          </w:tcPr>
          <w:p w14:paraId="56922A3F" w14:textId="12D6FBC2" w:rsidR="00573613" w:rsidRPr="004637C7" w:rsidRDefault="00573613" w:rsidP="00573613">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sidRPr="004637C7">
              <w:rPr>
                <w:rFonts w:asciiTheme="minorHAnsi" w:hAnsiTheme="minorHAnsi" w:cstheme="minorHAnsi"/>
                <w:b/>
                <w:bCs/>
                <w:szCs w:val="20"/>
              </w:rPr>
              <w:t>Sensibilité</w:t>
            </w:r>
          </w:p>
        </w:tc>
        <w:tc>
          <w:tcPr>
            <w:tcW w:w="1193" w:type="dxa"/>
            <w:shd w:val="clear" w:color="auto" w:fill="B4C6E7" w:themeFill="accent1" w:themeFillTint="66"/>
            <w:vAlign w:val="center"/>
          </w:tcPr>
          <w:p w14:paraId="406B9292" w14:textId="5C84EE48" w:rsidR="00573613" w:rsidRPr="004637C7" w:rsidRDefault="00573613" w:rsidP="00573613">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Cs w:val="20"/>
                <w:lang w:eastAsia="fr-FR" w:bidi="ar-SA"/>
              </w:rPr>
            </w:pPr>
            <w:r w:rsidRPr="004637C7">
              <w:rPr>
                <w:rFonts w:asciiTheme="minorHAnsi" w:hAnsiTheme="minorHAnsi" w:cstheme="minorHAnsi"/>
                <w:b/>
                <w:bCs/>
                <w:szCs w:val="20"/>
              </w:rPr>
              <w:t>Importance de l’impact</w:t>
            </w:r>
          </w:p>
        </w:tc>
      </w:tr>
      <w:tr w:rsidR="00AF26B8" w:rsidRPr="009F1D5D" w14:paraId="5F97A608" w14:textId="77777777" w:rsidTr="00F36AA0">
        <w:tc>
          <w:tcPr>
            <w:cnfStyle w:val="001000000000" w:firstRow="0" w:lastRow="0" w:firstColumn="1" w:lastColumn="0" w:oddVBand="0" w:evenVBand="0" w:oddHBand="0" w:evenHBand="0" w:firstRowFirstColumn="0" w:firstRowLastColumn="0" w:lastRowFirstColumn="0" w:lastRowLastColumn="0"/>
            <w:tcW w:w="0" w:type="auto"/>
            <w:vMerge/>
          </w:tcPr>
          <w:p w14:paraId="0B65A063" w14:textId="77777777" w:rsidR="00AF26B8" w:rsidRPr="004637C7" w:rsidRDefault="00AF26B8" w:rsidP="00AF26B8">
            <w:pPr>
              <w:rPr>
                <w:rFonts w:asciiTheme="minorHAnsi" w:hAnsiTheme="minorHAnsi" w:cstheme="minorHAnsi"/>
                <w:szCs w:val="20"/>
                <w:lang w:eastAsia="fr-FR" w:bidi="ar-SA"/>
              </w:rPr>
            </w:pPr>
          </w:p>
        </w:tc>
        <w:tc>
          <w:tcPr>
            <w:tcW w:w="1563" w:type="dxa"/>
            <w:vMerge w:val="restart"/>
            <w:vAlign w:val="center"/>
          </w:tcPr>
          <w:p w14:paraId="54C6BB1F" w14:textId="681EED64" w:rsidR="00AF26B8" w:rsidRPr="004637C7" w:rsidRDefault="00AF26B8" w:rsidP="004637C7">
            <w:pPr>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sidRPr="004637C7">
              <w:rPr>
                <w:rFonts w:asciiTheme="minorHAnsi" w:hAnsiTheme="minorHAnsi" w:cstheme="minorHAnsi"/>
                <w:szCs w:val="20"/>
                <w:lang w:eastAsia="fr-FR" w:bidi="ar-SA"/>
              </w:rPr>
              <w:t>Négligeable à faible</w:t>
            </w:r>
          </w:p>
        </w:tc>
        <w:tc>
          <w:tcPr>
            <w:tcW w:w="2035" w:type="dxa"/>
            <w:vAlign w:val="center"/>
          </w:tcPr>
          <w:p w14:paraId="67058733" w14:textId="746A3C28" w:rsidR="00AF26B8" w:rsidRPr="004637C7" w:rsidRDefault="00AF26B8" w:rsidP="00AF26B8">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Cs w:val="20"/>
                <w:lang w:eastAsia="fr-FR" w:bidi="ar-SA"/>
              </w:rPr>
            </w:pPr>
            <w:r w:rsidRPr="00ED1374">
              <w:rPr>
                <w:rFonts w:asciiTheme="minorHAnsi" w:hAnsiTheme="minorHAnsi" w:cstheme="minorHAnsi"/>
                <w:szCs w:val="20"/>
                <w:lang w:val="fr-MA" w:eastAsia="fr-MA" w:bidi="ar-SA"/>
              </w:rPr>
              <w:t>Personnel aéroportuaire (zones de sûreté et mobilité)</w:t>
            </w:r>
          </w:p>
        </w:tc>
        <w:tc>
          <w:tcPr>
            <w:tcW w:w="3219" w:type="dxa"/>
            <w:vAlign w:val="center"/>
          </w:tcPr>
          <w:p w14:paraId="5A20A1CB" w14:textId="71931259" w:rsidR="00AF26B8" w:rsidRPr="004637C7" w:rsidRDefault="00AF26B8" w:rsidP="00AF26B8">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sidRPr="00ED1374">
              <w:rPr>
                <w:rFonts w:asciiTheme="minorHAnsi" w:hAnsiTheme="minorHAnsi" w:cstheme="minorHAnsi"/>
                <w:szCs w:val="20"/>
                <w:lang w:val="fr-MA" w:eastAsia="fr-MA" w:bidi="ar-SA"/>
              </w:rPr>
              <w:t>Moyenne</w:t>
            </w:r>
          </w:p>
        </w:tc>
        <w:tc>
          <w:tcPr>
            <w:tcW w:w="1193" w:type="dxa"/>
            <w:vAlign w:val="center"/>
          </w:tcPr>
          <w:p w14:paraId="30EBC2A9" w14:textId="540FF8B9" w:rsidR="00AF26B8" w:rsidRPr="004637C7" w:rsidRDefault="00AF26B8" w:rsidP="00AF26B8">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Cs w:val="20"/>
                <w:lang w:eastAsia="fr-FR" w:bidi="ar-SA"/>
              </w:rPr>
            </w:pPr>
            <w:r w:rsidRPr="00ED1374">
              <w:rPr>
                <w:rFonts w:asciiTheme="minorHAnsi" w:hAnsiTheme="minorHAnsi" w:cstheme="minorHAnsi"/>
                <w:szCs w:val="20"/>
                <w:lang w:val="fr-MA" w:eastAsia="fr-MA" w:bidi="ar-SA"/>
              </w:rPr>
              <w:t>Négligeable à mineure</w:t>
            </w:r>
          </w:p>
        </w:tc>
      </w:tr>
      <w:tr w:rsidR="00AF26B8" w:rsidRPr="009F1D5D" w14:paraId="3A631AC9" w14:textId="77777777" w:rsidTr="00F36AA0">
        <w:tc>
          <w:tcPr>
            <w:cnfStyle w:val="001000000000" w:firstRow="0" w:lastRow="0" w:firstColumn="1" w:lastColumn="0" w:oddVBand="0" w:evenVBand="0" w:oddHBand="0" w:evenHBand="0" w:firstRowFirstColumn="0" w:firstRowLastColumn="0" w:lastRowFirstColumn="0" w:lastRowLastColumn="0"/>
            <w:tcW w:w="0" w:type="auto"/>
            <w:vMerge/>
          </w:tcPr>
          <w:p w14:paraId="57C97C89" w14:textId="77777777" w:rsidR="00AF26B8" w:rsidRPr="004637C7" w:rsidRDefault="00AF26B8" w:rsidP="00AF26B8">
            <w:pPr>
              <w:rPr>
                <w:rFonts w:asciiTheme="minorHAnsi" w:hAnsiTheme="minorHAnsi" w:cstheme="minorHAnsi"/>
                <w:szCs w:val="20"/>
                <w:lang w:eastAsia="fr-FR" w:bidi="ar-SA"/>
              </w:rPr>
            </w:pPr>
          </w:p>
        </w:tc>
        <w:tc>
          <w:tcPr>
            <w:tcW w:w="1563" w:type="dxa"/>
            <w:vMerge/>
          </w:tcPr>
          <w:p w14:paraId="67BB88BB" w14:textId="77777777" w:rsidR="00AF26B8" w:rsidRPr="004637C7" w:rsidRDefault="00AF26B8" w:rsidP="00AF26B8">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p>
        </w:tc>
        <w:tc>
          <w:tcPr>
            <w:tcW w:w="2035" w:type="dxa"/>
            <w:vAlign w:val="center"/>
          </w:tcPr>
          <w:p w14:paraId="20795C88" w14:textId="511B225B" w:rsidR="00AF26B8" w:rsidRPr="004637C7" w:rsidRDefault="00AF26B8" w:rsidP="00AF26B8">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Cs w:val="20"/>
                <w:lang w:eastAsia="fr-FR" w:bidi="ar-SA"/>
              </w:rPr>
            </w:pPr>
            <w:r w:rsidRPr="00ED1374">
              <w:rPr>
                <w:rFonts w:asciiTheme="minorHAnsi" w:hAnsiTheme="minorHAnsi" w:cstheme="minorHAnsi"/>
                <w:szCs w:val="20"/>
                <w:lang w:eastAsia="fr-MA" w:bidi="ar-SA"/>
              </w:rPr>
              <w:t>Usagers du terminal</w:t>
            </w:r>
          </w:p>
        </w:tc>
        <w:tc>
          <w:tcPr>
            <w:tcW w:w="3219" w:type="dxa"/>
            <w:vAlign w:val="center"/>
          </w:tcPr>
          <w:p w14:paraId="6ADF84C7" w14:textId="7A633383" w:rsidR="00AF26B8" w:rsidRPr="004637C7" w:rsidRDefault="00AF26B8" w:rsidP="00AF26B8">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sidRPr="00ED1374">
              <w:rPr>
                <w:rFonts w:asciiTheme="minorHAnsi" w:hAnsiTheme="minorHAnsi" w:cstheme="minorHAnsi"/>
                <w:szCs w:val="20"/>
                <w:lang w:val="fr-MA" w:eastAsia="fr-MA" w:bidi="ar-SA"/>
              </w:rPr>
              <w:t>Faible</w:t>
            </w:r>
          </w:p>
        </w:tc>
        <w:tc>
          <w:tcPr>
            <w:tcW w:w="1193" w:type="dxa"/>
            <w:vAlign w:val="center"/>
          </w:tcPr>
          <w:p w14:paraId="1BF5A90D" w14:textId="3EDEE553" w:rsidR="00AF26B8" w:rsidRPr="004637C7" w:rsidRDefault="00AF26B8" w:rsidP="00AF26B8">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Cs w:val="20"/>
                <w:lang w:eastAsia="fr-FR" w:bidi="ar-SA"/>
              </w:rPr>
            </w:pPr>
            <w:r w:rsidRPr="00ED1374">
              <w:rPr>
                <w:rFonts w:asciiTheme="minorHAnsi" w:hAnsiTheme="minorHAnsi" w:cstheme="minorHAnsi"/>
                <w:szCs w:val="20"/>
                <w:lang w:val="fr-MA" w:eastAsia="fr-MA" w:bidi="ar-SA"/>
              </w:rPr>
              <w:t xml:space="preserve">Négligeable </w:t>
            </w:r>
          </w:p>
        </w:tc>
      </w:tr>
      <w:tr w:rsidR="00AF26B8" w:rsidRPr="009F1D5D" w14:paraId="2A31B17E" w14:textId="77777777" w:rsidTr="00F36AA0">
        <w:tc>
          <w:tcPr>
            <w:cnfStyle w:val="001000000000" w:firstRow="0" w:lastRow="0" w:firstColumn="1" w:lastColumn="0" w:oddVBand="0" w:evenVBand="0" w:oddHBand="0" w:evenHBand="0" w:firstRowFirstColumn="0" w:firstRowLastColumn="0" w:lastRowFirstColumn="0" w:lastRowLastColumn="0"/>
            <w:tcW w:w="0" w:type="auto"/>
            <w:vMerge/>
          </w:tcPr>
          <w:p w14:paraId="0F6E0A25" w14:textId="77777777" w:rsidR="00AF26B8" w:rsidRPr="004637C7" w:rsidRDefault="00AF26B8" w:rsidP="00AF26B8">
            <w:pPr>
              <w:rPr>
                <w:rFonts w:asciiTheme="minorHAnsi" w:hAnsiTheme="minorHAnsi" w:cstheme="minorHAnsi"/>
                <w:szCs w:val="20"/>
                <w:lang w:eastAsia="fr-FR" w:bidi="ar-SA"/>
              </w:rPr>
            </w:pPr>
          </w:p>
        </w:tc>
        <w:tc>
          <w:tcPr>
            <w:tcW w:w="1563" w:type="dxa"/>
            <w:vMerge/>
          </w:tcPr>
          <w:p w14:paraId="0B87ED82" w14:textId="77777777" w:rsidR="00AF26B8" w:rsidRPr="004637C7" w:rsidRDefault="00AF26B8" w:rsidP="00AF26B8">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p>
        </w:tc>
        <w:tc>
          <w:tcPr>
            <w:tcW w:w="2035" w:type="dxa"/>
            <w:vAlign w:val="center"/>
          </w:tcPr>
          <w:p w14:paraId="78AF5350" w14:textId="15EF38CB" w:rsidR="00AF26B8" w:rsidRPr="004637C7" w:rsidRDefault="00AF26B8" w:rsidP="00AF26B8">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Cs w:val="20"/>
                <w:lang w:eastAsia="fr-FR" w:bidi="ar-SA"/>
              </w:rPr>
            </w:pPr>
            <w:r w:rsidRPr="00ED1374">
              <w:rPr>
                <w:rFonts w:asciiTheme="minorHAnsi" w:hAnsiTheme="minorHAnsi" w:cstheme="minorHAnsi"/>
                <w:szCs w:val="20"/>
                <w:lang w:eastAsia="fr-MA" w:bidi="ar-SA"/>
              </w:rPr>
              <w:t>Habitants d</w:t>
            </w:r>
            <w:r w:rsidR="00BB5306">
              <w:rPr>
                <w:rFonts w:asciiTheme="minorHAnsi" w:hAnsiTheme="minorHAnsi" w:cstheme="minorHAnsi"/>
                <w:szCs w:val="20"/>
                <w:lang w:eastAsia="fr-MA" w:bidi="ar-SA"/>
              </w:rPr>
              <w:t>e Bouakkaz</w:t>
            </w:r>
          </w:p>
        </w:tc>
        <w:tc>
          <w:tcPr>
            <w:tcW w:w="3219" w:type="dxa"/>
            <w:vAlign w:val="center"/>
          </w:tcPr>
          <w:p w14:paraId="791C2204" w14:textId="38551E93" w:rsidR="00AF26B8" w:rsidRPr="004637C7" w:rsidRDefault="00AF26B8" w:rsidP="00AF26B8">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sidRPr="00ED1374">
              <w:rPr>
                <w:rFonts w:asciiTheme="minorHAnsi" w:hAnsiTheme="minorHAnsi" w:cstheme="minorHAnsi"/>
                <w:szCs w:val="20"/>
                <w:lang w:eastAsia="fr-FR" w:bidi="ar-SA"/>
              </w:rPr>
              <w:t>Insignifiant</w:t>
            </w:r>
          </w:p>
        </w:tc>
        <w:tc>
          <w:tcPr>
            <w:tcW w:w="1193" w:type="dxa"/>
            <w:vAlign w:val="center"/>
          </w:tcPr>
          <w:p w14:paraId="4751DA54" w14:textId="4A119AF8" w:rsidR="00AF26B8" w:rsidRPr="004637C7" w:rsidRDefault="00AF26B8" w:rsidP="00AF26B8">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Cs w:val="20"/>
                <w:lang w:eastAsia="fr-FR" w:bidi="ar-SA"/>
              </w:rPr>
            </w:pPr>
            <w:r w:rsidRPr="00ED1374">
              <w:rPr>
                <w:rFonts w:asciiTheme="minorHAnsi" w:hAnsiTheme="minorHAnsi" w:cstheme="minorHAnsi"/>
                <w:szCs w:val="20"/>
                <w:lang w:eastAsia="fr-FR" w:bidi="ar-SA"/>
              </w:rPr>
              <w:t>Insignifiant</w:t>
            </w:r>
          </w:p>
        </w:tc>
      </w:tr>
    </w:tbl>
    <w:p w14:paraId="6C19D177" w14:textId="77777777" w:rsidR="00AE0681" w:rsidRDefault="00AE0681" w:rsidP="004C79F7">
      <w:pPr>
        <w:rPr>
          <w:lang w:eastAsia="fr-FR" w:bidi="ar-SA"/>
        </w:rPr>
        <w:sectPr w:rsidR="00AE0681" w:rsidSect="00AE45D9">
          <w:headerReference w:type="default" r:id="rId108"/>
          <w:footerReference w:type="default" r:id="rId109"/>
          <w:pgSz w:w="11906" w:h="16838"/>
          <w:pgMar w:top="1418" w:right="1418" w:bottom="1276" w:left="1418" w:header="680" w:footer="680" w:gutter="0"/>
          <w:cols w:space="708"/>
          <w:docGrid w:linePitch="360"/>
        </w:sectPr>
      </w:pPr>
    </w:p>
    <w:p w14:paraId="49793071" w14:textId="77777777" w:rsidR="003032E2" w:rsidRDefault="003032E2" w:rsidP="003032E2">
      <w:pPr>
        <w:pStyle w:val="Title5"/>
      </w:pPr>
      <w:bookmarkStart w:id="414" w:name="_Hlk210928579"/>
      <w:r w:rsidRPr="00F72F42">
        <w:lastRenderedPageBreak/>
        <w:t>Mesures d’atténuation</w:t>
      </w:r>
    </w:p>
    <w:p w14:paraId="3CCF99D5" w14:textId="4BE306DA" w:rsidR="009977EE" w:rsidRDefault="009977EE" w:rsidP="004637C7">
      <w:pPr>
        <w:pStyle w:val="Lgende"/>
        <w:keepNext/>
      </w:pPr>
      <w:bookmarkStart w:id="415" w:name="_Toc213404368"/>
      <w:r>
        <w:t xml:space="preserve">Tableau </w:t>
      </w:r>
      <w:r>
        <w:fldChar w:fldCharType="begin"/>
      </w:r>
      <w:r>
        <w:instrText xml:space="preserve"> SEQ Tableau \* ARABIC </w:instrText>
      </w:r>
      <w:r>
        <w:fldChar w:fldCharType="separate"/>
      </w:r>
      <w:r w:rsidR="00274E71">
        <w:rPr>
          <w:noProof/>
        </w:rPr>
        <w:t>46</w:t>
      </w:r>
      <w:r>
        <w:fldChar w:fldCharType="end"/>
      </w:r>
      <w:r>
        <w:rPr>
          <w:lang w:val="fr-FR"/>
        </w:rPr>
        <w:t xml:space="preserve"> : </w:t>
      </w:r>
      <w:r w:rsidRPr="00BD4D5D">
        <w:rPr>
          <w:lang w:val="fr-FR"/>
        </w:rPr>
        <w:t>Bruit et vibration – Mesures d’atténuation en phase d</w:t>
      </w:r>
      <w:r>
        <w:rPr>
          <w:lang w:val="fr-FR"/>
        </w:rPr>
        <w:t>’exploitation</w:t>
      </w:r>
      <w:bookmarkEnd w:id="415"/>
    </w:p>
    <w:tbl>
      <w:tblPr>
        <w:tblStyle w:val="TableauGrille1Clair-Accentuation111"/>
        <w:tblW w:w="0" w:type="auto"/>
        <w:tblLook w:val="04A0" w:firstRow="1" w:lastRow="0" w:firstColumn="1" w:lastColumn="0" w:noHBand="0" w:noVBand="1"/>
      </w:tblPr>
      <w:tblGrid>
        <w:gridCol w:w="1602"/>
        <w:gridCol w:w="1385"/>
        <w:gridCol w:w="2093"/>
        <w:gridCol w:w="1690"/>
        <w:gridCol w:w="1067"/>
        <w:gridCol w:w="1437"/>
        <w:gridCol w:w="717"/>
        <w:gridCol w:w="1419"/>
        <w:gridCol w:w="2724"/>
      </w:tblGrid>
      <w:tr w:rsidR="007A4AF6" w:rsidRPr="00F71564" w14:paraId="013577EC" w14:textId="77777777" w:rsidTr="007A4AF6">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0" w:type="auto"/>
          </w:tcPr>
          <w:bookmarkEnd w:id="414"/>
          <w:p w14:paraId="5C7A545B" w14:textId="0EADA6EE" w:rsidR="007A4AF6" w:rsidRPr="004637C7" w:rsidRDefault="007A4AF6" w:rsidP="007A4AF6">
            <w:pPr>
              <w:rPr>
                <w:rFonts w:asciiTheme="minorHAnsi" w:hAnsiTheme="minorHAnsi" w:cstheme="minorHAnsi"/>
                <w:szCs w:val="20"/>
                <w:lang w:eastAsia="zh-CN"/>
              </w:rPr>
            </w:pPr>
            <w:r w:rsidRPr="004637C7">
              <w:rPr>
                <w:rFonts w:asciiTheme="minorHAnsi" w:hAnsiTheme="minorHAnsi" w:cstheme="minorHAnsi"/>
                <w:szCs w:val="20"/>
                <w:lang w:eastAsia="zh-CN"/>
              </w:rPr>
              <w:t>Impacts/risques</w:t>
            </w:r>
          </w:p>
        </w:tc>
        <w:tc>
          <w:tcPr>
            <w:tcW w:w="0" w:type="auto"/>
            <w:hideMark/>
          </w:tcPr>
          <w:p w14:paraId="7C5A1229" w14:textId="2594E74E" w:rsidR="007A4AF6" w:rsidRPr="004637C7" w:rsidRDefault="007A4AF6" w:rsidP="004637C7">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Cs w:val="20"/>
                <w:lang w:eastAsia="zh-CN"/>
              </w:rPr>
            </w:pPr>
            <w:r w:rsidRPr="004637C7">
              <w:rPr>
                <w:rFonts w:asciiTheme="minorHAnsi" w:hAnsiTheme="minorHAnsi" w:cstheme="minorHAnsi"/>
                <w:szCs w:val="20"/>
                <w:lang w:eastAsia="zh-CN"/>
              </w:rPr>
              <w:t>Niveau d’atténuation</w:t>
            </w:r>
          </w:p>
        </w:tc>
        <w:tc>
          <w:tcPr>
            <w:tcW w:w="0" w:type="auto"/>
            <w:hideMark/>
          </w:tcPr>
          <w:p w14:paraId="2677B8B1" w14:textId="77777777" w:rsidR="007A4AF6" w:rsidRPr="004637C7" w:rsidRDefault="007A4AF6" w:rsidP="004637C7">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Cs w:val="20"/>
                <w:lang w:eastAsia="zh-CN"/>
              </w:rPr>
            </w:pPr>
            <w:r w:rsidRPr="004637C7">
              <w:rPr>
                <w:rFonts w:asciiTheme="minorHAnsi" w:hAnsiTheme="minorHAnsi" w:cstheme="minorHAnsi"/>
                <w:szCs w:val="20"/>
                <w:lang w:eastAsia="zh-CN"/>
              </w:rPr>
              <w:t>Mesures proposées</w:t>
            </w:r>
          </w:p>
        </w:tc>
        <w:tc>
          <w:tcPr>
            <w:tcW w:w="0" w:type="auto"/>
            <w:hideMark/>
          </w:tcPr>
          <w:p w14:paraId="59F51346" w14:textId="77777777" w:rsidR="007A4AF6" w:rsidRPr="004637C7" w:rsidRDefault="007A4AF6" w:rsidP="004637C7">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Cs w:val="20"/>
                <w:lang w:eastAsia="zh-CN"/>
              </w:rPr>
            </w:pPr>
            <w:r w:rsidRPr="004637C7">
              <w:rPr>
                <w:rFonts w:asciiTheme="minorHAnsi" w:hAnsiTheme="minorHAnsi" w:cstheme="minorHAnsi"/>
                <w:szCs w:val="20"/>
                <w:lang w:eastAsia="zh-CN"/>
              </w:rPr>
              <w:t>KPI / Indicateur</w:t>
            </w:r>
          </w:p>
        </w:tc>
        <w:tc>
          <w:tcPr>
            <w:tcW w:w="0" w:type="auto"/>
            <w:hideMark/>
          </w:tcPr>
          <w:p w14:paraId="29F14E61" w14:textId="77777777" w:rsidR="007A4AF6" w:rsidRPr="004637C7" w:rsidRDefault="007A4AF6" w:rsidP="004637C7">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Cs w:val="20"/>
                <w:lang w:eastAsia="zh-CN"/>
              </w:rPr>
            </w:pPr>
            <w:r w:rsidRPr="004637C7">
              <w:rPr>
                <w:rFonts w:asciiTheme="minorHAnsi" w:hAnsiTheme="minorHAnsi" w:cstheme="minorHAnsi"/>
                <w:szCs w:val="20"/>
                <w:lang w:eastAsia="zh-CN"/>
              </w:rPr>
              <w:t>Mise en œuvre</w:t>
            </w:r>
          </w:p>
        </w:tc>
        <w:tc>
          <w:tcPr>
            <w:tcW w:w="0" w:type="auto"/>
            <w:hideMark/>
          </w:tcPr>
          <w:p w14:paraId="2958B2EF" w14:textId="77777777" w:rsidR="007A4AF6" w:rsidRPr="004637C7" w:rsidRDefault="007A4AF6" w:rsidP="004637C7">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Cs w:val="20"/>
                <w:lang w:eastAsia="zh-CN"/>
              </w:rPr>
            </w:pPr>
            <w:r w:rsidRPr="004637C7">
              <w:rPr>
                <w:rFonts w:asciiTheme="minorHAnsi" w:hAnsiTheme="minorHAnsi" w:cstheme="minorHAnsi"/>
                <w:szCs w:val="20"/>
                <w:lang w:eastAsia="zh-CN"/>
              </w:rPr>
              <w:t>Surveillance</w:t>
            </w:r>
          </w:p>
        </w:tc>
        <w:tc>
          <w:tcPr>
            <w:tcW w:w="0" w:type="auto"/>
            <w:hideMark/>
          </w:tcPr>
          <w:p w14:paraId="4AD5508B" w14:textId="77777777" w:rsidR="007A4AF6" w:rsidRPr="004637C7" w:rsidRDefault="007A4AF6" w:rsidP="004637C7">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Cs w:val="20"/>
                <w:lang w:eastAsia="zh-CN"/>
              </w:rPr>
            </w:pPr>
            <w:r w:rsidRPr="004637C7">
              <w:rPr>
                <w:rFonts w:asciiTheme="minorHAnsi" w:hAnsiTheme="minorHAnsi" w:cstheme="minorHAnsi"/>
                <w:szCs w:val="20"/>
                <w:lang w:eastAsia="zh-CN"/>
              </w:rPr>
              <w:t>Suivi</w:t>
            </w:r>
          </w:p>
        </w:tc>
        <w:tc>
          <w:tcPr>
            <w:tcW w:w="0" w:type="auto"/>
            <w:hideMark/>
          </w:tcPr>
          <w:p w14:paraId="747FB68A" w14:textId="77777777" w:rsidR="007A4AF6" w:rsidRPr="004637C7" w:rsidRDefault="007A4AF6" w:rsidP="004637C7">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Cs w:val="20"/>
                <w:lang w:eastAsia="zh-CN"/>
              </w:rPr>
            </w:pPr>
            <w:r w:rsidRPr="004637C7">
              <w:rPr>
                <w:rFonts w:asciiTheme="minorHAnsi" w:hAnsiTheme="minorHAnsi" w:cstheme="minorHAnsi"/>
                <w:szCs w:val="20"/>
                <w:lang w:eastAsia="zh-CN"/>
              </w:rPr>
              <w:t>Calendrier</w:t>
            </w:r>
          </w:p>
        </w:tc>
        <w:tc>
          <w:tcPr>
            <w:tcW w:w="0" w:type="auto"/>
            <w:hideMark/>
          </w:tcPr>
          <w:p w14:paraId="628AC85D" w14:textId="77777777" w:rsidR="007A4AF6" w:rsidRPr="004637C7" w:rsidRDefault="007A4AF6" w:rsidP="004637C7">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Cs w:val="20"/>
                <w:lang w:eastAsia="zh-CN"/>
              </w:rPr>
            </w:pPr>
            <w:r w:rsidRPr="004637C7">
              <w:rPr>
                <w:rFonts w:asciiTheme="minorHAnsi" w:hAnsiTheme="minorHAnsi" w:cstheme="minorHAnsi"/>
                <w:szCs w:val="20"/>
                <w:lang w:eastAsia="zh-CN"/>
              </w:rPr>
              <w:t>Coût estimatif</w:t>
            </w:r>
          </w:p>
        </w:tc>
      </w:tr>
      <w:tr w:rsidR="004637C7" w:rsidRPr="00F71564" w14:paraId="043D3FAE" w14:textId="77777777" w:rsidTr="004637C7">
        <w:tc>
          <w:tcPr>
            <w:cnfStyle w:val="001000000000" w:firstRow="0" w:lastRow="0" w:firstColumn="1" w:lastColumn="0" w:oddVBand="0" w:evenVBand="0" w:oddHBand="0" w:evenHBand="0" w:firstRowFirstColumn="0" w:firstRowLastColumn="0" w:lastRowFirstColumn="0" w:lastRowLastColumn="0"/>
            <w:tcW w:w="0" w:type="auto"/>
            <w:vMerge w:val="restart"/>
          </w:tcPr>
          <w:p w14:paraId="7B969A18" w14:textId="3E9002A1" w:rsidR="007A4AF6" w:rsidRPr="004637C7" w:rsidRDefault="007A4AF6" w:rsidP="004637C7">
            <w:pPr>
              <w:rPr>
                <w:rFonts w:asciiTheme="minorHAnsi" w:hAnsiTheme="minorHAnsi" w:cstheme="minorHAnsi"/>
                <w:szCs w:val="20"/>
                <w:lang w:eastAsia="zh-CN"/>
              </w:rPr>
            </w:pPr>
            <w:r w:rsidRPr="004637C7">
              <w:rPr>
                <w:rFonts w:asciiTheme="minorHAnsi" w:hAnsiTheme="minorHAnsi" w:cstheme="minorHAnsi"/>
                <w:szCs w:val="20"/>
                <w:lang w:eastAsia="zh-CN"/>
              </w:rPr>
              <w:t>Nuisances sonore et vibrations</w:t>
            </w:r>
          </w:p>
        </w:tc>
        <w:tc>
          <w:tcPr>
            <w:tcW w:w="0" w:type="auto"/>
            <w:hideMark/>
          </w:tcPr>
          <w:p w14:paraId="7B464DEE" w14:textId="5C0309AA" w:rsidR="007A4AF6" w:rsidRPr="004637C7" w:rsidRDefault="007A4AF6" w:rsidP="004637C7">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zh-CN"/>
              </w:rPr>
            </w:pPr>
            <w:r w:rsidRPr="004637C7">
              <w:rPr>
                <w:rFonts w:asciiTheme="minorHAnsi" w:hAnsiTheme="minorHAnsi" w:cstheme="minorHAnsi"/>
                <w:b/>
                <w:bCs/>
                <w:szCs w:val="20"/>
                <w:lang w:eastAsia="zh-CN"/>
              </w:rPr>
              <w:t>Éviter</w:t>
            </w:r>
          </w:p>
        </w:tc>
        <w:tc>
          <w:tcPr>
            <w:tcW w:w="0" w:type="auto"/>
            <w:hideMark/>
          </w:tcPr>
          <w:p w14:paraId="72A9B1AC" w14:textId="77777777" w:rsidR="007A4AF6" w:rsidRPr="004637C7" w:rsidRDefault="007A4AF6" w:rsidP="007A4AF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zh-CN"/>
              </w:rPr>
            </w:pPr>
            <w:r w:rsidRPr="004637C7">
              <w:rPr>
                <w:rFonts w:asciiTheme="minorHAnsi" w:hAnsiTheme="minorHAnsi" w:cstheme="minorHAnsi"/>
                <w:szCs w:val="20"/>
                <w:lang w:eastAsia="zh-CN"/>
              </w:rPr>
              <w:t>Choisir des équipements électromécaniques (ascenseurs, escaliers, EDS, RX) respectant les normes de bruit &lt; 60 dB(A).</w:t>
            </w:r>
          </w:p>
          <w:p w14:paraId="5328A251" w14:textId="38501105" w:rsidR="007A4AF6" w:rsidRPr="004637C7" w:rsidRDefault="007A4AF6" w:rsidP="004637C7">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zh-CN"/>
              </w:rPr>
            </w:pPr>
            <w:r w:rsidRPr="004637C7">
              <w:rPr>
                <w:rFonts w:asciiTheme="minorHAnsi" w:hAnsiTheme="minorHAnsi" w:cstheme="minorHAnsi"/>
                <w:szCs w:val="20"/>
                <w:lang w:eastAsia="zh-CN"/>
              </w:rPr>
              <w:t>Prévoir une conception antivibratile pour les systèmes de mobilité (plots amortisseurs, silentblocs).</w:t>
            </w:r>
          </w:p>
        </w:tc>
        <w:tc>
          <w:tcPr>
            <w:tcW w:w="0" w:type="auto"/>
            <w:hideMark/>
          </w:tcPr>
          <w:p w14:paraId="3790CB97" w14:textId="77777777" w:rsidR="007A4AF6" w:rsidRPr="004637C7" w:rsidRDefault="007A4AF6" w:rsidP="007A4AF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zh-CN"/>
              </w:rPr>
            </w:pPr>
            <w:r w:rsidRPr="004637C7">
              <w:rPr>
                <w:rFonts w:asciiTheme="minorHAnsi" w:hAnsiTheme="minorHAnsi" w:cstheme="minorHAnsi"/>
                <w:szCs w:val="20"/>
                <w:lang w:eastAsia="zh-CN"/>
              </w:rPr>
              <w:t>Conformité acoustique des équipements (%)</w:t>
            </w:r>
          </w:p>
          <w:p w14:paraId="58E7D05F" w14:textId="00C8EF4B" w:rsidR="007A4AF6" w:rsidRPr="004637C7" w:rsidRDefault="007A4AF6" w:rsidP="004637C7">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zh-CN"/>
              </w:rPr>
            </w:pPr>
            <w:r w:rsidRPr="004637C7">
              <w:rPr>
                <w:rFonts w:asciiTheme="minorHAnsi" w:hAnsiTheme="minorHAnsi" w:cstheme="minorHAnsi"/>
                <w:szCs w:val="20"/>
                <w:lang w:eastAsia="zh-CN"/>
              </w:rPr>
              <w:t>Contrôle des dispositifs antivibratiles</w:t>
            </w:r>
          </w:p>
        </w:tc>
        <w:tc>
          <w:tcPr>
            <w:tcW w:w="0" w:type="auto"/>
            <w:hideMark/>
          </w:tcPr>
          <w:p w14:paraId="5031A946" w14:textId="62213822" w:rsidR="007A4AF6" w:rsidRPr="004637C7" w:rsidRDefault="007A4AF6" w:rsidP="004637C7">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zh-CN"/>
              </w:rPr>
            </w:pPr>
            <w:r w:rsidRPr="004637C7">
              <w:rPr>
                <w:rFonts w:asciiTheme="minorHAnsi" w:hAnsiTheme="minorHAnsi" w:cstheme="minorHAnsi"/>
                <w:szCs w:val="20"/>
              </w:rPr>
              <w:t>ONDA / exploitant</w:t>
            </w:r>
          </w:p>
        </w:tc>
        <w:tc>
          <w:tcPr>
            <w:tcW w:w="0" w:type="auto"/>
            <w:hideMark/>
          </w:tcPr>
          <w:p w14:paraId="1C37B753" w14:textId="7872E31F" w:rsidR="007A4AF6" w:rsidRPr="004637C7" w:rsidRDefault="007A4AF6" w:rsidP="004637C7">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zh-CN"/>
              </w:rPr>
            </w:pPr>
            <w:r w:rsidRPr="004637C7">
              <w:rPr>
                <w:rFonts w:asciiTheme="minorHAnsi" w:hAnsiTheme="minorHAnsi" w:cstheme="minorHAnsi"/>
                <w:szCs w:val="20"/>
              </w:rPr>
              <w:t>ONDA</w:t>
            </w:r>
          </w:p>
        </w:tc>
        <w:tc>
          <w:tcPr>
            <w:tcW w:w="0" w:type="auto"/>
            <w:hideMark/>
          </w:tcPr>
          <w:p w14:paraId="2080BD47" w14:textId="4CC8B5E5" w:rsidR="007A4AF6" w:rsidRPr="004637C7" w:rsidRDefault="007A4AF6" w:rsidP="004637C7">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zh-CN"/>
              </w:rPr>
            </w:pPr>
            <w:r w:rsidRPr="004637C7">
              <w:rPr>
                <w:rFonts w:asciiTheme="minorHAnsi" w:hAnsiTheme="minorHAnsi" w:cstheme="minorHAnsi"/>
                <w:szCs w:val="20"/>
              </w:rPr>
              <w:t>ONDA</w:t>
            </w:r>
          </w:p>
        </w:tc>
        <w:tc>
          <w:tcPr>
            <w:tcW w:w="0" w:type="auto"/>
            <w:hideMark/>
          </w:tcPr>
          <w:p w14:paraId="05EA0345" w14:textId="77777777" w:rsidR="007A4AF6" w:rsidRPr="004637C7" w:rsidRDefault="007A4AF6" w:rsidP="004637C7">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zh-CN"/>
              </w:rPr>
            </w:pPr>
            <w:r w:rsidRPr="004637C7">
              <w:rPr>
                <w:rFonts w:asciiTheme="minorHAnsi" w:hAnsiTheme="minorHAnsi" w:cstheme="minorHAnsi"/>
                <w:szCs w:val="20"/>
                <w:lang w:eastAsia="zh-CN"/>
              </w:rPr>
              <w:t>Phase de conception et installation</w:t>
            </w:r>
          </w:p>
        </w:tc>
        <w:tc>
          <w:tcPr>
            <w:tcW w:w="0" w:type="auto"/>
            <w:hideMark/>
          </w:tcPr>
          <w:p w14:paraId="7D8C2390" w14:textId="2B3AE2A8" w:rsidR="007A4AF6" w:rsidRPr="004637C7" w:rsidRDefault="00EF12C7" w:rsidP="004637C7">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zh-CN"/>
              </w:rPr>
            </w:pPr>
            <w:r w:rsidRPr="00EF12C7">
              <w:rPr>
                <w:rFonts w:asciiTheme="minorHAnsi" w:hAnsiTheme="minorHAnsi" w:cstheme="minorHAnsi"/>
                <w:szCs w:val="20"/>
                <w:lang w:eastAsia="zh-CN"/>
              </w:rPr>
              <w:t>≈ 25 000 – 30 000 MAD HT</w:t>
            </w:r>
            <w:r>
              <w:rPr>
                <w:rFonts w:asciiTheme="minorHAnsi" w:hAnsiTheme="minorHAnsi" w:cstheme="minorHAnsi"/>
                <w:szCs w:val="20"/>
                <w:lang w:eastAsia="zh-CN"/>
              </w:rPr>
              <w:t xml:space="preserve"> - </w:t>
            </w:r>
            <w:r w:rsidRPr="00EF12C7">
              <w:rPr>
                <w:rFonts w:asciiTheme="minorHAnsi" w:hAnsiTheme="minorHAnsi" w:cstheme="minorHAnsi"/>
                <w:szCs w:val="20"/>
                <w:lang w:eastAsia="zh-CN"/>
              </w:rPr>
              <w:t>Coût d’investissement initial, sans entretien particulier (les plots sont changés tous les 8-10 ans).</w:t>
            </w:r>
          </w:p>
        </w:tc>
      </w:tr>
      <w:tr w:rsidR="00EF12C7" w:rsidRPr="00F71564" w14:paraId="614346CF" w14:textId="77777777" w:rsidTr="00C27FB1">
        <w:trPr>
          <w:trHeight w:val="1615"/>
        </w:trPr>
        <w:tc>
          <w:tcPr>
            <w:cnfStyle w:val="001000000000" w:firstRow="0" w:lastRow="0" w:firstColumn="1" w:lastColumn="0" w:oddVBand="0" w:evenVBand="0" w:oddHBand="0" w:evenHBand="0" w:firstRowFirstColumn="0" w:firstRowLastColumn="0" w:lastRowFirstColumn="0" w:lastRowLastColumn="0"/>
            <w:tcW w:w="0" w:type="auto"/>
            <w:vMerge/>
          </w:tcPr>
          <w:p w14:paraId="026297F8" w14:textId="77777777" w:rsidR="00EF12C7" w:rsidRPr="004637C7" w:rsidRDefault="00EF12C7" w:rsidP="007A4AF6">
            <w:pPr>
              <w:pStyle w:val="Paragraphedeliste"/>
              <w:rPr>
                <w:rFonts w:asciiTheme="minorHAnsi" w:hAnsiTheme="minorHAnsi" w:cstheme="minorHAnsi"/>
                <w:b w:val="0"/>
                <w:bCs w:val="0"/>
                <w:szCs w:val="20"/>
                <w:lang w:eastAsia="zh-CN"/>
              </w:rPr>
            </w:pPr>
          </w:p>
        </w:tc>
        <w:tc>
          <w:tcPr>
            <w:tcW w:w="0" w:type="auto"/>
            <w:vMerge w:val="restart"/>
            <w:hideMark/>
          </w:tcPr>
          <w:p w14:paraId="3CC0AD22" w14:textId="5BA274AA" w:rsidR="00EF12C7" w:rsidRPr="004637C7" w:rsidRDefault="00EF12C7" w:rsidP="004637C7">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zh-CN"/>
              </w:rPr>
            </w:pPr>
            <w:r w:rsidRPr="004637C7">
              <w:rPr>
                <w:rFonts w:asciiTheme="minorHAnsi" w:hAnsiTheme="minorHAnsi" w:cstheme="minorHAnsi"/>
                <w:b/>
                <w:bCs/>
                <w:szCs w:val="20"/>
                <w:lang w:eastAsia="zh-CN"/>
              </w:rPr>
              <w:t>Réduire</w:t>
            </w:r>
          </w:p>
        </w:tc>
        <w:tc>
          <w:tcPr>
            <w:tcW w:w="0" w:type="auto"/>
            <w:tcBorders>
              <w:bottom w:val="single" w:sz="4" w:space="0" w:color="B4C6E7" w:themeColor="accent1" w:themeTint="66"/>
            </w:tcBorders>
            <w:hideMark/>
          </w:tcPr>
          <w:p w14:paraId="46BED0A9" w14:textId="2F95CE1D" w:rsidR="00EF12C7" w:rsidRPr="004637C7" w:rsidRDefault="00EF12C7" w:rsidP="007A4AF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zh-CN"/>
              </w:rPr>
            </w:pPr>
            <w:r w:rsidRPr="004637C7">
              <w:rPr>
                <w:rFonts w:asciiTheme="minorHAnsi" w:hAnsiTheme="minorHAnsi" w:cstheme="minorHAnsi"/>
                <w:szCs w:val="20"/>
                <w:lang w:eastAsia="zh-CN"/>
              </w:rPr>
              <w:t>Réaliser une maintenance préventive des équipements (graissage, équilibrage, serrage).</w:t>
            </w:r>
          </w:p>
        </w:tc>
        <w:tc>
          <w:tcPr>
            <w:tcW w:w="0" w:type="auto"/>
            <w:vMerge w:val="restart"/>
            <w:hideMark/>
          </w:tcPr>
          <w:p w14:paraId="25720FDA" w14:textId="77777777" w:rsidR="00EF12C7" w:rsidRPr="004637C7" w:rsidRDefault="00EF12C7" w:rsidP="007A4AF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zh-CN"/>
              </w:rPr>
            </w:pPr>
            <w:r w:rsidRPr="004637C7">
              <w:rPr>
                <w:rFonts w:asciiTheme="minorHAnsi" w:hAnsiTheme="minorHAnsi" w:cstheme="minorHAnsi"/>
                <w:szCs w:val="20"/>
                <w:lang w:eastAsia="zh-CN"/>
              </w:rPr>
              <w:t>Nombre d’interventions de maintenance / an- Résultats de contrôle acoustique (dB(A))</w:t>
            </w:r>
          </w:p>
          <w:p w14:paraId="2157BF09" w14:textId="5C14CFBB" w:rsidR="00EF12C7" w:rsidRPr="004637C7" w:rsidRDefault="00EF12C7" w:rsidP="004637C7">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zh-CN"/>
              </w:rPr>
            </w:pPr>
            <w:r w:rsidRPr="004637C7">
              <w:rPr>
                <w:rFonts w:asciiTheme="minorHAnsi" w:hAnsiTheme="minorHAnsi" w:cstheme="minorHAnsi"/>
                <w:szCs w:val="20"/>
                <w:lang w:eastAsia="zh-CN"/>
              </w:rPr>
              <w:t>Nombre de formations réalisées</w:t>
            </w:r>
          </w:p>
        </w:tc>
        <w:tc>
          <w:tcPr>
            <w:tcW w:w="0" w:type="auto"/>
            <w:vMerge w:val="restart"/>
            <w:hideMark/>
          </w:tcPr>
          <w:p w14:paraId="3E48755E" w14:textId="592D548F" w:rsidR="00EF12C7" w:rsidRPr="004637C7" w:rsidRDefault="00EF12C7" w:rsidP="004637C7">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zh-CN"/>
              </w:rPr>
            </w:pPr>
            <w:r w:rsidRPr="004637C7">
              <w:rPr>
                <w:rFonts w:asciiTheme="minorHAnsi" w:hAnsiTheme="minorHAnsi" w:cstheme="minorHAnsi"/>
                <w:szCs w:val="20"/>
                <w:lang w:eastAsia="zh-CN"/>
              </w:rPr>
              <w:t>ONDA / exploitant</w:t>
            </w:r>
          </w:p>
        </w:tc>
        <w:tc>
          <w:tcPr>
            <w:tcW w:w="0" w:type="auto"/>
            <w:vMerge w:val="restart"/>
            <w:hideMark/>
          </w:tcPr>
          <w:p w14:paraId="7CCB5A5B" w14:textId="344DFB5C" w:rsidR="00EF12C7" w:rsidRPr="004637C7" w:rsidRDefault="00EF12C7" w:rsidP="004637C7">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zh-CN"/>
              </w:rPr>
            </w:pPr>
            <w:r w:rsidRPr="004637C7">
              <w:rPr>
                <w:rFonts w:asciiTheme="minorHAnsi" w:hAnsiTheme="minorHAnsi" w:cstheme="minorHAnsi"/>
                <w:szCs w:val="20"/>
                <w:lang w:eastAsia="zh-CN"/>
              </w:rPr>
              <w:t>ONDA</w:t>
            </w:r>
          </w:p>
        </w:tc>
        <w:tc>
          <w:tcPr>
            <w:tcW w:w="0" w:type="auto"/>
            <w:vMerge w:val="restart"/>
            <w:hideMark/>
          </w:tcPr>
          <w:p w14:paraId="205652A4" w14:textId="4D012E3B" w:rsidR="00EF12C7" w:rsidRPr="004637C7" w:rsidRDefault="00EF12C7" w:rsidP="004637C7">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zh-CN"/>
              </w:rPr>
            </w:pPr>
            <w:r w:rsidRPr="004637C7">
              <w:rPr>
                <w:rFonts w:asciiTheme="minorHAnsi" w:hAnsiTheme="minorHAnsi" w:cstheme="minorHAnsi"/>
                <w:szCs w:val="20"/>
                <w:lang w:eastAsia="zh-CN"/>
              </w:rPr>
              <w:t>ONDA</w:t>
            </w:r>
          </w:p>
        </w:tc>
        <w:tc>
          <w:tcPr>
            <w:tcW w:w="0" w:type="auto"/>
            <w:vMerge w:val="restart"/>
            <w:hideMark/>
          </w:tcPr>
          <w:p w14:paraId="2AAD218A" w14:textId="77777777" w:rsidR="00EF12C7" w:rsidRPr="004637C7" w:rsidRDefault="00EF12C7" w:rsidP="004637C7">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zh-CN"/>
              </w:rPr>
            </w:pPr>
            <w:r w:rsidRPr="004637C7">
              <w:rPr>
                <w:rFonts w:asciiTheme="minorHAnsi" w:hAnsiTheme="minorHAnsi" w:cstheme="minorHAnsi"/>
                <w:szCs w:val="20"/>
                <w:lang w:eastAsia="zh-CN"/>
              </w:rPr>
              <w:t>Continue durant l’exploitation</w:t>
            </w:r>
          </w:p>
        </w:tc>
        <w:tc>
          <w:tcPr>
            <w:tcW w:w="0" w:type="auto"/>
            <w:tcBorders>
              <w:bottom w:val="single" w:sz="4" w:space="0" w:color="B4C6E7" w:themeColor="accent1" w:themeTint="66"/>
            </w:tcBorders>
            <w:hideMark/>
          </w:tcPr>
          <w:p w14:paraId="4EEC7B4E" w14:textId="0D16035A" w:rsidR="00EF12C7" w:rsidRPr="004637C7" w:rsidRDefault="00E276CD" w:rsidP="004637C7">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zh-CN"/>
              </w:rPr>
            </w:pPr>
            <w:r w:rsidRPr="00E276CD">
              <w:rPr>
                <w:rFonts w:asciiTheme="minorHAnsi" w:hAnsiTheme="minorHAnsi" w:cstheme="minorHAnsi"/>
                <w:szCs w:val="20"/>
                <w:lang w:eastAsia="zh-CN"/>
              </w:rPr>
              <w:t>≈ 16 000 MAD/an</w:t>
            </w:r>
            <w:r>
              <w:rPr>
                <w:rFonts w:asciiTheme="minorHAnsi" w:hAnsiTheme="minorHAnsi" w:cstheme="minorHAnsi"/>
                <w:szCs w:val="20"/>
                <w:lang w:eastAsia="zh-CN"/>
              </w:rPr>
              <w:br/>
            </w:r>
            <w:r w:rsidR="0095086B" w:rsidRPr="0095086B">
              <w:rPr>
                <w:rFonts w:asciiTheme="minorHAnsi" w:hAnsiTheme="minorHAnsi" w:cstheme="minorHAnsi"/>
                <w:szCs w:val="20"/>
                <w:lang w:eastAsia="zh-CN"/>
              </w:rPr>
              <w:t>Pour environ 10–15 machines : 400 MAD/unité/intervention × 4/an.</w:t>
            </w:r>
          </w:p>
        </w:tc>
      </w:tr>
      <w:tr w:rsidR="00EF12C7" w:rsidRPr="00F71564" w14:paraId="31E91688" w14:textId="77777777" w:rsidTr="00C27FB1">
        <w:trPr>
          <w:trHeight w:val="1276"/>
        </w:trPr>
        <w:tc>
          <w:tcPr>
            <w:cnfStyle w:val="001000000000" w:firstRow="0" w:lastRow="0" w:firstColumn="1" w:lastColumn="0" w:oddVBand="0" w:evenVBand="0" w:oddHBand="0" w:evenHBand="0" w:firstRowFirstColumn="0" w:firstRowLastColumn="0" w:lastRowFirstColumn="0" w:lastRowLastColumn="0"/>
            <w:tcW w:w="0" w:type="auto"/>
            <w:vMerge/>
          </w:tcPr>
          <w:p w14:paraId="787AC078" w14:textId="77777777" w:rsidR="00EF12C7" w:rsidRPr="004637C7" w:rsidRDefault="00EF12C7" w:rsidP="007A4AF6">
            <w:pPr>
              <w:pStyle w:val="Paragraphedeliste"/>
              <w:rPr>
                <w:rFonts w:asciiTheme="minorHAnsi" w:hAnsiTheme="minorHAnsi" w:cstheme="minorHAnsi"/>
                <w:b w:val="0"/>
                <w:bCs w:val="0"/>
                <w:szCs w:val="20"/>
                <w:lang w:eastAsia="zh-CN"/>
              </w:rPr>
            </w:pPr>
          </w:p>
        </w:tc>
        <w:tc>
          <w:tcPr>
            <w:tcW w:w="0" w:type="auto"/>
            <w:vMerge/>
          </w:tcPr>
          <w:p w14:paraId="1836B38F" w14:textId="77777777" w:rsidR="00EF12C7" w:rsidRPr="004637C7" w:rsidRDefault="00EF12C7" w:rsidP="004637C7">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Cs w:val="20"/>
                <w:lang w:eastAsia="zh-CN"/>
              </w:rPr>
            </w:pPr>
          </w:p>
        </w:tc>
        <w:tc>
          <w:tcPr>
            <w:tcW w:w="0" w:type="auto"/>
            <w:tcBorders>
              <w:top w:val="single" w:sz="4" w:space="0" w:color="B4C6E7" w:themeColor="accent1" w:themeTint="66"/>
            </w:tcBorders>
          </w:tcPr>
          <w:p w14:paraId="2C28AD87" w14:textId="77777777" w:rsidR="00EF12C7" w:rsidRPr="004637C7" w:rsidRDefault="00EF12C7" w:rsidP="00EF12C7">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zh-CN"/>
              </w:rPr>
            </w:pPr>
            <w:r w:rsidRPr="004637C7">
              <w:rPr>
                <w:rFonts w:asciiTheme="minorHAnsi" w:hAnsiTheme="minorHAnsi" w:cstheme="minorHAnsi"/>
                <w:szCs w:val="20"/>
                <w:lang w:eastAsia="zh-CN"/>
              </w:rPr>
              <w:t xml:space="preserve">Contrôler périodiquement les niveaux de bruit </w:t>
            </w:r>
            <w:r w:rsidRPr="004637C7">
              <w:rPr>
                <w:rFonts w:asciiTheme="minorHAnsi" w:hAnsiTheme="minorHAnsi" w:cstheme="minorHAnsi"/>
                <w:szCs w:val="20"/>
                <w:lang w:eastAsia="zh-CN"/>
              </w:rPr>
              <w:lastRenderedPageBreak/>
              <w:t>ambiant à l’intérieur du terminal.</w:t>
            </w:r>
          </w:p>
          <w:p w14:paraId="05932116" w14:textId="77777777" w:rsidR="00EF12C7" w:rsidRPr="004637C7" w:rsidRDefault="00EF12C7" w:rsidP="00EF12C7">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zh-CN"/>
              </w:rPr>
            </w:pPr>
            <w:r w:rsidRPr="004637C7">
              <w:rPr>
                <w:rFonts w:asciiTheme="minorHAnsi" w:hAnsiTheme="minorHAnsi" w:cstheme="minorHAnsi"/>
                <w:szCs w:val="20"/>
                <w:lang w:eastAsia="zh-CN"/>
              </w:rPr>
              <w:t>Former le personnel technique à la détection des anomalies sonores.</w:t>
            </w:r>
          </w:p>
        </w:tc>
        <w:tc>
          <w:tcPr>
            <w:tcW w:w="0" w:type="auto"/>
            <w:vMerge/>
          </w:tcPr>
          <w:p w14:paraId="7868FBF1" w14:textId="77777777" w:rsidR="00EF12C7" w:rsidRPr="004637C7" w:rsidRDefault="00EF12C7" w:rsidP="007A4AF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zh-CN"/>
              </w:rPr>
            </w:pPr>
          </w:p>
        </w:tc>
        <w:tc>
          <w:tcPr>
            <w:tcW w:w="0" w:type="auto"/>
            <w:vMerge/>
          </w:tcPr>
          <w:p w14:paraId="6E963A2B" w14:textId="77777777" w:rsidR="00EF12C7" w:rsidRPr="004637C7" w:rsidRDefault="00EF12C7" w:rsidP="004637C7">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zh-CN"/>
              </w:rPr>
            </w:pPr>
          </w:p>
        </w:tc>
        <w:tc>
          <w:tcPr>
            <w:tcW w:w="0" w:type="auto"/>
            <w:vMerge/>
          </w:tcPr>
          <w:p w14:paraId="144279F0" w14:textId="77777777" w:rsidR="00EF12C7" w:rsidRPr="004637C7" w:rsidRDefault="00EF12C7" w:rsidP="004637C7">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zh-CN"/>
              </w:rPr>
            </w:pPr>
          </w:p>
        </w:tc>
        <w:tc>
          <w:tcPr>
            <w:tcW w:w="0" w:type="auto"/>
            <w:vMerge/>
          </w:tcPr>
          <w:p w14:paraId="554C9878" w14:textId="77777777" w:rsidR="00EF12C7" w:rsidRPr="004637C7" w:rsidRDefault="00EF12C7" w:rsidP="004637C7">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zh-CN"/>
              </w:rPr>
            </w:pPr>
          </w:p>
        </w:tc>
        <w:tc>
          <w:tcPr>
            <w:tcW w:w="0" w:type="auto"/>
            <w:vMerge/>
          </w:tcPr>
          <w:p w14:paraId="76821AD8" w14:textId="77777777" w:rsidR="00EF12C7" w:rsidRPr="004637C7" w:rsidRDefault="00EF12C7" w:rsidP="004637C7">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zh-CN"/>
              </w:rPr>
            </w:pPr>
          </w:p>
        </w:tc>
        <w:tc>
          <w:tcPr>
            <w:tcW w:w="0" w:type="auto"/>
            <w:tcBorders>
              <w:top w:val="single" w:sz="4" w:space="0" w:color="B4C6E7" w:themeColor="accent1" w:themeTint="66"/>
            </w:tcBorders>
          </w:tcPr>
          <w:p w14:paraId="784CB5D8" w14:textId="2B06DD8E" w:rsidR="00EF12C7" w:rsidRPr="00F6444D" w:rsidRDefault="00112CEC" w:rsidP="004637C7">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zh-CN"/>
              </w:rPr>
            </w:pPr>
            <w:r w:rsidRPr="00112CEC">
              <w:rPr>
                <w:rFonts w:asciiTheme="minorHAnsi" w:hAnsiTheme="minorHAnsi" w:cstheme="minorHAnsi"/>
                <w:szCs w:val="20"/>
                <w:lang w:eastAsia="zh-CN"/>
              </w:rPr>
              <w:t xml:space="preserve">≈ </w:t>
            </w:r>
            <w:r w:rsidR="00AF5FD9">
              <w:rPr>
                <w:rFonts w:asciiTheme="minorHAnsi" w:hAnsiTheme="minorHAnsi" w:cstheme="minorHAnsi"/>
                <w:szCs w:val="20"/>
                <w:lang w:eastAsia="zh-CN"/>
              </w:rPr>
              <w:t>2000 à 5000</w:t>
            </w:r>
            <w:r w:rsidRPr="00112CEC">
              <w:rPr>
                <w:rFonts w:asciiTheme="minorHAnsi" w:hAnsiTheme="minorHAnsi" w:cstheme="minorHAnsi"/>
                <w:szCs w:val="20"/>
                <w:lang w:eastAsia="zh-CN"/>
              </w:rPr>
              <w:t xml:space="preserve"> MAD (investissement) </w:t>
            </w:r>
          </w:p>
        </w:tc>
      </w:tr>
      <w:tr w:rsidR="00112CEC" w:rsidRPr="00F71564" w14:paraId="073330E6" w14:textId="77777777" w:rsidTr="004637C7">
        <w:tc>
          <w:tcPr>
            <w:cnfStyle w:val="001000000000" w:firstRow="0" w:lastRow="0" w:firstColumn="1" w:lastColumn="0" w:oddVBand="0" w:evenVBand="0" w:oddHBand="0" w:evenHBand="0" w:firstRowFirstColumn="0" w:firstRowLastColumn="0" w:lastRowFirstColumn="0" w:lastRowLastColumn="0"/>
            <w:tcW w:w="0" w:type="auto"/>
            <w:vMerge/>
          </w:tcPr>
          <w:p w14:paraId="4F1AB563" w14:textId="77777777" w:rsidR="00112CEC" w:rsidRPr="004637C7" w:rsidRDefault="00112CEC" w:rsidP="007A4AF6">
            <w:pPr>
              <w:pStyle w:val="Paragraphedeliste"/>
              <w:rPr>
                <w:rFonts w:asciiTheme="minorHAnsi" w:hAnsiTheme="minorHAnsi" w:cstheme="minorHAnsi"/>
                <w:b w:val="0"/>
                <w:bCs w:val="0"/>
                <w:szCs w:val="20"/>
                <w:lang w:eastAsia="zh-CN"/>
              </w:rPr>
            </w:pPr>
          </w:p>
        </w:tc>
        <w:tc>
          <w:tcPr>
            <w:tcW w:w="0" w:type="auto"/>
            <w:vMerge w:val="restart"/>
          </w:tcPr>
          <w:p w14:paraId="4EAD88DB" w14:textId="251A2313" w:rsidR="00112CEC" w:rsidRPr="004637C7" w:rsidRDefault="00112CEC" w:rsidP="004637C7">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Cs w:val="20"/>
                <w:lang w:eastAsia="zh-CN"/>
              </w:rPr>
            </w:pPr>
            <w:r w:rsidRPr="004637C7">
              <w:rPr>
                <w:rFonts w:asciiTheme="minorHAnsi" w:hAnsiTheme="minorHAnsi" w:cstheme="minorHAnsi"/>
                <w:b/>
                <w:bCs/>
                <w:szCs w:val="20"/>
                <w:lang w:eastAsia="zh-CN"/>
              </w:rPr>
              <w:t>Atténuer</w:t>
            </w:r>
          </w:p>
        </w:tc>
        <w:tc>
          <w:tcPr>
            <w:tcW w:w="0" w:type="auto"/>
          </w:tcPr>
          <w:p w14:paraId="726816FE" w14:textId="77078DA5" w:rsidR="00112CEC" w:rsidRPr="004637C7" w:rsidRDefault="00112CEC" w:rsidP="007A4AF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zh-CN"/>
              </w:rPr>
            </w:pPr>
            <w:r w:rsidRPr="004637C7">
              <w:rPr>
                <w:rFonts w:asciiTheme="minorHAnsi" w:hAnsiTheme="minorHAnsi" w:cstheme="minorHAnsi"/>
                <w:szCs w:val="20"/>
                <w:lang w:eastAsia="zh-CN"/>
              </w:rPr>
              <w:t>Isoler acoustiquement les équipements les plus bruyants (carter, capotage, cloisonnage).</w:t>
            </w:r>
          </w:p>
        </w:tc>
        <w:tc>
          <w:tcPr>
            <w:tcW w:w="0" w:type="auto"/>
            <w:vMerge w:val="restart"/>
          </w:tcPr>
          <w:p w14:paraId="0761FD07" w14:textId="77777777" w:rsidR="00112CEC" w:rsidRDefault="00112CEC" w:rsidP="00F6444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zh-CN"/>
              </w:rPr>
            </w:pPr>
            <w:r w:rsidRPr="004637C7">
              <w:rPr>
                <w:rFonts w:asciiTheme="minorHAnsi" w:hAnsiTheme="minorHAnsi" w:cstheme="minorHAnsi"/>
                <w:szCs w:val="20"/>
                <w:lang w:eastAsia="zh-CN"/>
              </w:rPr>
              <w:t>Taux d’équipements isolés (%)</w:t>
            </w:r>
          </w:p>
          <w:p w14:paraId="1E46FB85" w14:textId="5534B54E" w:rsidR="00112CEC" w:rsidRPr="004637C7" w:rsidRDefault="00112CEC" w:rsidP="004637C7">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zh-CN"/>
              </w:rPr>
            </w:pPr>
            <w:r w:rsidRPr="004637C7">
              <w:rPr>
                <w:rFonts w:asciiTheme="minorHAnsi" w:hAnsiTheme="minorHAnsi" w:cstheme="minorHAnsi"/>
                <w:szCs w:val="20"/>
                <w:lang w:eastAsia="zh-CN"/>
              </w:rPr>
              <w:t>Niveau sonore moyen dans les halls (dB(A))</w:t>
            </w:r>
          </w:p>
        </w:tc>
        <w:tc>
          <w:tcPr>
            <w:tcW w:w="0" w:type="auto"/>
            <w:vMerge w:val="restart"/>
          </w:tcPr>
          <w:p w14:paraId="242BF0DD" w14:textId="5535985A" w:rsidR="00112CEC" w:rsidRPr="004637C7" w:rsidRDefault="00112CEC" w:rsidP="004637C7">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4637C7">
              <w:rPr>
                <w:rFonts w:asciiTheme="minorHAnsi" w:hAnsiTheme="minorHAnsi" w:cstheme="minorHAnsi"/>
                <w:szCs w:val="20"/>
              </w:rPr>
              <w:t>ONDA / exploitant</w:t>
            </w:r>
          </w:p>
        </w:tc>
        <w:tc>
          <w:tcPr>
            <w:tcW w:w="0" w:type="auto"/>
            <w:vMerge w:val="restart"/>
          </w:tcPr>
          <w:p w14:paraId="44C41611" w14:textId="3C88888F" w:rsidR="00112CEC" w:rsidRPr="004637C7" w:rsidRDefault="00112CEC" w:rsidP="007A4AF6">
            <w:pPr>
              <w:pStyle w:val="Paragraphedelist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4637C7">
              <w:rPr>
                <w:rFonts w:asciiTheme="minorHAnsi" w:hAnsiTheme="minorHAnsi" w:cstheme="minorHAnsi"/>
                <w:szCs w:val="20"/>
              </w:rPr>
              <w:t>ONDA</w:t>
            </w:r>
          </w:p>
        </w:tc>
        <w:tc>
          <w:tcPr>
            <w:tcW w:w="0" w:type="auto"/>
            <w:vMerge w:val="restart"/>
          </w:tcPr>
          <w:p w14:paraId="318F6477" w14:textId="2AC1285C" w:rsidR="00112CEC" w:rsidRPr="004637C7" w:rsidRDefault="00112CEC" w:rsidP="004637C7">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4637C7">
              <w:rPr>
                <w:rFonts w:asciiTheme="minorHAnsi" w:hAnsiTheme="minorHAnsi" w:cstheme="minorHAnsi"/>
                <w:szCs w:val="20"/>
              </w:rPr>
              <w:t>ONDA</w:t>
            </w:r>
          </w:p>
        </w:tc>
        <w:tc>
          <w:tcPr>
            <w:tcW w:w="0" w:type="auto"/>
            <w:vMerge w:val="restart"/>
          </w:tcPr>
          <w:p w14:paraId="650DFE59" w14:textId="7A67E448" w:rsidR="00112CEC" w:rsidRPr="004637C7" w:rsidRDefault="00112CEC" w:rsidP="004637C7">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zh-CN"/>
              </w:rPr>
            </w:pPr>
            <w:r w:rsidRPr="004637C7">
              <w:rPr>
                <w:rFonts w:asciiTheme="minorHAnsi" w:hAnsiTheme="minorHAnsi" w:cstheme="minorHAnsi"/>
                <w:szCs w:val="20"/>
                <w:lang w:eastAsia="zh-CN"/>
              </w:rPr>
              <w:t>Mise en œuvre dès exploitation et ajustement annuel</w:t>
            </w:r>
          </w:p>
        </w:tc>
        <w:tc>
          <w:tcPr>
            <w:tcW w:w="0" w:type="auto"/>
          </w:tcPr>
          <w:p w14:paraId="64E3835B" w14:textId="0EE6B96D" w:rsidR="00112CEC" w:rsidRPr="004637C7" w:rsidRDefault="00712036" w:rsidP="004637C7">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zh-CN"/>
              </w:rPr>
            </w:pPr>
            <w:r w:rsidRPr="00712036">
              <w:rPr>
                <w:rFonts w:asciiTheme="minorHAnsi" w:hAnsiTheme="minorHAnsi" w:cstheme="minorHAnsi"/>
                <w:szCs w:val="20"/>
                <w:lang w:eastAsia="zh-CN"/>
              </w:rPr>
              <w:t>≈ 20 000 – 24 000 MAD (forfait)</w:t>
            </w:r>
            <w:r>
              <w:rPr>
                <w:rFonts w:asciiTheme="minorHAnsi" w:hAnsiTheme="minorHAnsi" w:cstheme="minorHAnsi"/>
                <w:szCs w:val="20"/>
                <w:lang w:eastAsia="zh-CN"/>
              </w:rPr>
              <w:br/>
            </w:r>
            <w:r w:rsidRPr="00712036">
              <w:rPr>
                <w:rFonts w:asciiTheme="minorHAnsi" w:hAnsiTheme="minorHAnsi" w:cstheme="minorHAnsi"/>
                <w:szCs w:val="20"/>
                <w:lang w:eastAsia="zh-CN"/>
              </w:rPr>
              <w:t>Coût unitaire 4 000–6 000 MAD par équipement pour 3–4 unités</w:t>
            </w:r>
          </w:p>
        </w:tc>
      </w:tr>
      <w:tr w:rsidR="00112CEC" w:rsidRPr="00F71564" w14:paraId="3EF4A754" w14:textId="77777777" w:rsidTr="004637C7">
        <w:tc>
          <w:tcPr>
            <w:cnfStyle w:val="001000000000" w:firstRow="0" w:lastRow="0" w:firstColumn="1" w:lastColumn="0" w:oddVBand="0" w:evenVBand="0" w:oddHBand="0" w:evenHBand="0" w:firstRowFirstColumn="0" w:firstRowLastColumn="0" w:lastRowFirstColumn="0" w:lastRowLastColumn="0"/>
            <w:tcW w:w="0" w:type="auto"/>
            <w:vMerge/>
          </w:tcPr>
          <w:p w14:paraId="7ED77B4E" w14:textId="77777777" w:rsidR="00112CEC" w:rsidRPr="004637C7" w:rsidRDefault="00112CEC" w:rsidP="007A4AF6">
            <w:pPr>
              <w:pStyle w:val="Paragraphedeliste"/>
              <w:rPr>
                <w:rFonts w:asciiTheme="minorHAnsi" w:hAnsiTheme="minorHAnsi" w:cstheme="minorHAnsi"/>
                <w:b w:val="0"/>
                <w:bCs w:val="0"/>
                <w:szCs w:val="20"/>
                <w:lang w:eastAsia="zh-CN"/>
              </w:rPr>
            </w:pPr>
          </w:p>
        </w:tc>
        <w:tc>
          <w:tcPr>
            <w:tcW w:w="0" w:type="auto"/>
            <w:vMerge/>
          </w:tcPr>
          <w:p w14:paraId="2BA26E3A" w14:textId="49F05C84" w:rsidR="00112CEC" w:rsidRPr="004637C7" w:rsidRDefault="00112CEC" w:rsidP="004637C7">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Cs w:val="20"/>
                <w:lang w:eastAsia="zh-CN"/>
              </w:rPr>
            </w:pPr>
          </w:p>
        </w:tc>
        <w:tc>
          <w:tcPr>
            <w:tcW w:w="0" w:type="auto"/>
          </w:tcPr>
          <w:p w14:paraId="116B6989" w14:textId="384ED738" w:rsidR="00112CEC" w:rsidRPr="004637C7" w:rsidRDefault="00112CEC" w:rsidP="007A4AF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zh-CN"/>
              </w:rPr>
            </w:pPr>
            <w:r w:rsidRPr="004637C7">
              <w:rPr>
                <w:rFonts w:asciiTheme="minorHAnsi" w:hAnsiTheme="minorHAnsi" w:cstheme="minorHAnsi"/>
                <w:szCs w:val="20"/>
                <w:lang w:eastAsia="zh-CN"/>
              </w:rPr>
              <w:t>Utiliser des matériaux absorbants dans les locaux techniques (panneaux, revêtements).</w:t>
            </w:r>
          </w:p>
        </w:tc>
        <w:tc>
          <w:tcPr>
            <w:tcW w:w="0" w:type="auto"/>
            <w:vMerge/>
          </w:tcPr>
          <w:p w14:paraId="60BC64AA" w14:textId="55E32DD4" w:rsidR="00112CEC" w:rsidRPr="004637C7" w:rsidRDefault="00112CEC" w:rsidP="004637C7">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zh-CN"/>
              </w:rPr>
            </w:pPr>
          </w:p>
        </w:tc>
        <w:tc>
          <w:tcPr>
            <w:tcW w:w="0" w:type="auto"/>
            <w:vMerge/>
          </w:tcPr>
          <w:p w14:paraId="366EBAEE" w14:textId="5E0DDF1F" w:rsidR="00112CEC" w:rsidRPr="004637C7" w:rsidRDefault="00112CEC" w:rsidP="004637C7">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p>
        </w:tc>
        <w:tc>
          <w:tcPr>
            <w:tcW w:w="0" w:type="auto"/>
            <w:vMerge/>
          </w:tcPr>
          <w:p w14:paraId="510608E3" w14:textId="54D9A47F" w:rsidR="00112CEC" w:rsidRPr="004637C7" w:rsidRDefault="00112CEC" w:rsidP="007A4AF6">
            <w:pPr>
              <w:pStyle w:val="Paragraphedelist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p>
        </w:tc>
        <w:tc>
          <w:tcPr>
            <w:tcW w:w="0" w:type="auto"/>
            <w:vMerge/>
          </w:tcPr>
          <w:p w14:paraId="6F8FD0CB" w14:textId="1D1431A4" w:rsidR="00112CEC" w:rsidRPr="004637C7" w:rsidRDefault="00112CEC" w:rsidP="004637C7">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p>
        </w:tc>
        <w:tc>
          <w:tcPr>
            <w:tcW w:w="0" w:type="auto"/>
            <w:vMerge/>
          </w:tcPr>
          <w:p w14:paraId="7B49DDE6" w14:textId="706C00CE" w:rsidR="00112CEC" w:rsidRPr="004637C7" w:rsidRDefault="00112CEC" w:rsidP="004637C7">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zh-CN"/>
              </w:rPr>
            </w:pPr>
          </w:p>
        </w:tc>
        <w:tc>
          <w:tcPr>
            <w:tcW w:w="0" w:type="auto"/>
          </w:tcPr>
          <w:p w14:paraId="5BD2BEF5" w14:textId="4134F2DE" w:rsidR="00112CEC" w:rsidRPr="004637C7" w:rsidRDefault="00712036" w:rsidP="004637C7">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zh-CN"/>
              </w:rPr>
            </w:pPr>
            <w:r w:rsidRPr="00712036">
              <w:rPr>
                <w:rFonts w:asciiTheme="minorHAnsi" w:hAnsiTheme="minorHAnsi" w:cstheme="minorHAnsi"/>
                <w:szCs w:val="20"/>
                <w:lang w:eastAsia="zh-CN"/>
              </w:rPr>
              <w:t>Prix moyen : 250–350 MAD/m²</w:t>
            </w:r>
          </w:p>
        </w:tc>
      </w:tr>
      <w:tr w:rsidR="00112CEC" w:rsidRPr="00F71564" w14:paraId="6AEB1653" w14:textId="77777777" w:rsidTr="004637C7">
        <w:tc>
          <w:tcPr>
            <w:cnfStyle w:val="001000000000" w:firstRow="0" w:lastRow="0" w:firstColumn="1" w:lastColumn="0" w:oddVBand="0" w:evenVBand="0" w:oddHBand="0" w:evenHBand="0" w:firstRowFirstColumn="0" w:firstRowLastColumn="0" w:lastRowFirstColumn="0" w:lastRowLastColumn="0"/>
            <w:tcW w:w="0" w:type="auto"/>
            <w:vMerge/>
          </w:tcPr>
          <w:p w14:paraId="366A19C6" w14:textId="77777777" w:rsidR="00112CEC" w:rsidRPr="004637C7" w:rsidRDefault="00112CEC" w:rsidP="007A4AF6">
            <w:pPr>
              <w:pStyle w:val="Paragraphedeliste"/>
              <w:rPr>
                <w:rFonts w:asciiTheme="minorHAnsi" w:hAnsiTheme="minorHAnsi" w:cstheme="minorHAnsi"/>
                <w:b w:val="0"/>
                <w:bCs w:val="0"/>
                <w:szCs w:val="20"/>
                <w:lang w:eastAsia="zh-CN"/>
              </w:rPr>
            </w:pPr>
          </w:p>
        </w:tc>
        <w:tc>
          <w:tcPr>
            <w:tcW w:w="0" w:type="auto"/>
            <w:vMerge/>
            <w:hideMark/>
          </w:tcPr>
          <w:p w14:paraId="6D006D7B" w14:textId="0F5631A3" w:rsidR="00112CEC" w:rsidRPr="004637C7" w:rsidRDefault="00112CEC" w:rsidP="004637C7">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zh-CN"/>
              </w:rPr>
            </w:pPr>
          </w:p>
        </w:tc>
        <w:tc>
          <w:tcPr>
            <w:tcW w:w="0" w:type="auto"/>
            <w:hideMark/>
          </w:tcPr>
          <w:p w14:paraId="4474F24E" w14:textId="0DADDCD2" w:rsidR="00112CEC" w:rsidRPr="004637C7" w:rsidRDefault="00112CEC" w:rsidP="004637C7">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zh-CN"/>
              </w:rPr>
            </w:pPr>
            <w:r w:rsidRPr="004637C7">
              <w:rPr>
                <w:rFonts w:asciiTheme="minorHAnsi" w:hAnsiTheme="minorHAnsi" w:cstheme="minorHAnsi"/>
                <w:szCs w:val="20"/>
                <w:lang w:eastAsia="zh-CN"/>
              </w:rPr>
              <w:t xml:space="preserve">Réduire la réverbération dans </w:t>
            </w:r>
            <w:r w:rsidR="00751A30" w:rsidRPr="004637C7">
              <w:rPr>
                <w:rFonts w:asciiTheme="minorHAnsi" w:hAnsiTheme="minorHAnsi" w:cstheme="minorHAnsi"/>
                <w:szCs w:val="20"/>
                <w:lang w:eastAsia="zh-CN"/>
              </w:rPr>
              <w:t>les zones passagères</w:t>
            </w:r>
            <w:r w:rsidRPr="004637C7">
              <w:rPr>
                <w:rFonts w:asciiTheme="minorHAnsi" w:hAnsiTheme="minorHAnsi" w:cstheme="minorHAnsi"/>
                <w:szCs w:val="20"/>
                <w:lang w:eastAsia="zh-CN"/>
              </w:rPr>
              <w:t xml:space="preserve"> par un aménagement acoustique adéquat.</w:t>
            </w:r>
          </w:p>
        </w:tc>
        <w:tc>
          <w:tcPr>
            <w:tcW w:w="0" w:type="auto"/>
            <w:vMerge/>
            <w:hideMark/>
          </w:tcPr>
          <w:p w14:paraId="55808675" w14:textId="596CFF30" w:rsidR="00112CEC" w:rsidRPr="004637C7" w:rsidRDefault="00112CEC" w:rsidP="004637C7">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zh-CN"/>
              </w:rPr>
            </w:pPr>
          </w:p>
        </w:tc>
        <w:tc>
          <w:tcPr>
            <w:tcW w:w="0" w:type="auto"/>
            <w:vMerge/>
            <w:hideMark/>
          </w:tcPr>
          <w:p w14:paraId="3EB31477" w14:textId="581D41C2" w:rsidR="00112CEC" w:rsidRPr="004637C7" w:rsidRDefault="00112CEC" w:rsidP="004637C7">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zh-CN"/>
              </w:rPr>
            </w:pPr>
          </w:p>
        </w:tc>
        <w:tc>
          <w:tcPr>
            <w:tcW w:w="0" w:type="auto"/>
            <w:vMerge/>
            <w:hideMark/>
          </w:tcPr>
          <w:p w14:paraId="7724EA86" w14:textId="106A4637" w:rsidR="00112CEC" w:rsidRPr="004637C7" w:rsidRDefault="00112CEC" w:rsidP="007A4AF6">
            <w:pPr>
              <w:pStyle w:val="Paragraphedelist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zh-CN"/>
              </w:rPr>
            </w:pPr>
          </w:p>
        </w:tc>
        <w:tc>
          <w:tcPr>
            <w:tcW w:w="0" w:type="auto"/>
            <w:vMerge/>
            <w:hideMark/>
          </w:tcPr>
          <w:p w14:paraId="5E4619F4" w14:textId="7963127A" w:rsidR="00112CEC" w:rsidRPr="004637C7" w:rsidRDefault="00112CEC" w:rsidP="004637C7">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zh-CN"/>
              </w:rPr>
            </w:pPr>
          </w:p>
        </w:tc>
        <w:tc>
          <w:tcPr>
            <w:tcW w:w="0" w:type="auto"/>
            <w:vMerge/>
            <w:hideMark/>
          </w:tcPr>
          <w:p w14:paraId="425E8879" w14:textId="1A391A4C" w:rsidR="00112CEC" w:rsidRPr="004637C7" w:rsidRDefault="00112CEC" w:rsidP="004637C7">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zh-CN"/>
              </w:rPr>
            </w:pPr>
          </w:p>
        </w:tc>
        <w:tc>
          <w:tcPr>
            <w:tcW w:w="0" w:type="auto"/>
            <w:hideMark/>
          </w:tcPr>
          <w:p w14:paraId="3FA653D6" w14:textId="208B4FA4" w:rsidR="00112CEC" w:rsidRPr="004637C7" w:rsidRDefault="00712036" w:rsidP="004637C7">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zh-CN"/>
              </w:rPr>
            </w:pPr>
            <w:r w:rsidRPr="00712036">
              <w:rPr>
                <w:rFonts w:asciiTheme="minorHAnsi" w:hAnsiTheme="minorHAnsi" w:cstheme="minorHAnsi"/>
                <w:szCs w:val="20"/>
                <w:lang w:eastAsia="zh-CN"/>
              </w:rPr>
              <w:t>Prix moyen : 300–400 MAD/m².</w:t>
            </w:r>
          </w:p>
        </w:tc>
      </w:tr>
      <w:tr w:rsidR="004637C7" w:rsidRPr="00F71564" w14:paraId="6003CF46" w14:textId="77777777" w:rsidTr="004637C7">
        <w:tc>
          <w:tcPr>
            <w:cnfStyle w:val="001000000000" w:firstRow="0" w:lastRow="0" w:firstColumn="1" w:lastColumn="0" w:oddVBand="0" w:evenVBand="0" w:oddHBand="0" w:evenHBand="0" w:firstRowFirstColumn="0" w:firstRowLastColumn="0" w:lastRowFirstColumn="0" w:lastRowLastColumn="0"/>
            <w:tcW w:w="0" w:type="auto"/>
            <w:vMerge/>
          </w:tcPr>
          <w:p w14:paraId="7B54694F" w14:textId="77777777" w:rsidR="007A4AF6" w:rsidRPr="004637C7" w:rsidRDefault="007A4AF6" w:rsidP="007A4AF6">
            <w:pPr>
              <w:pStyle w:val="Paragraphedeliste"/>
              <w:rPr>
                <w:rFonts w:asciiTheme="minorHAnsi" w:hAnsiTheme="minorHAnsi" w:cstheme="minorHAnsi"/>
                <w:b w:val="0"/>
                <w:bCs w:val="0"/>
                <w:szCs w:val="20"/>
                <w:lang w:eastAsia="zh-CN"/>
              </w:rPr>
            </w:pPr>
          </w:p>
        </w:tc>
        <w:tc>
          <w:tcPr>
            <w:tcW w:w="0" w:type="auto"/>
            <w:hideMark/>
          </w:tcPr>
          <w:p w14:paraId="57C46955" w14:textId="1F6B8830" w:rsidR="007A4AF6" w:rsidRPr="004637C7" w:rsidRDefault="007A4AF6" w:rsidP="004637C7">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zh-CN"/>
              </w:rPr>
            </w:pPr>
            <w:r w:rsidRPr="004637C7">
              <w:rPr>
                <w:rFonts w:asciiTheme="minorHAnsi" w:hAnsiTheme="minorHAnsi" w:cstheme="minorHAnsi"/>
                <w:b/>
                <w:bCs/>
                <w:szCs w:val="20"/>
                <w:lang w:eastAsia="zh-CN"/>
              </w:rPr>
              <w:t>Compenser</w:t>
            </w:r>
          </w:p>
        </w:tc>
        <w:tc>
          <w:tcPr>
            <w:tcW w:w="0" w:type="auto"/>
            <w:hideMark/>
          </w:tcPr>
          <w:p w14:paraId="2509D366" w14:textId="6689E6B8" w:rsidR="007A4AF6" w:rsidRPr="004637C7" w:rsidRDefault="007A4AF6" w:rsidP="004637C7">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zh-CN"/>
              </w:rPr>
            </w:pPr>
            <w:r w:rsidRPr="004637C7">
              <w:rPr>
                <w:rFonts w:asciiTheme="minorHAnsi" w:hAnsiTheme="minorHAnsi" w:cstheme="minorHAnsi"/>
                <w:szCs w:val="20"/>
                <w:lang w:eastAsia="zh-CN"/>
              </w:rPr>
              <w:t xml:space="preserve">Intégrer le suivi acoustique au rapport </w:t>
            </w:r>
            <w:r w:rsidRPr="004637C7">
              <w:rPr>
                <w:rFonts w:asciiTheme="minorHAnsi" w:hAnsiTheme="minorHAnsi" w:cstheme="minorHAnsi"/>
                <w:szCs w:val="20"/>
                <w:lang w:eastAsia="zh-CN"/>
              </w:rPr>
              <w:lastRenderedPageBreak/>
              <w:t>environnemental annuel.</w:t>
            </w:r>
          </w:p>
        </w:tc>
        <w:tc>
          <w:tcPr>
            <w:tcW w:w="0" w:type="auto"/>
            <w:hideMark/>
          </w:tcPr>
          <w:p w14:paraId="04FFAAA7" w14:textId="46DF2C30" w:rsidR="007A4AF6" w:rsidRPr="004637C7" w:rsidRDefault="007A4AF6" w:rsidP="004637C7">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zh-CN"/>
              </w:rPr>
            </w:pPr>
            <w:r w:rsidRPr="004637C7">
              <w:rPr>
                <w:rFonts w:asciiTheme="minorHAnsi" w:hAnsiTheme="minorHAnsi" w:cstheme="minorHAnsi"/>
                <w:szCs w:val="20"/>
                <w:lang w:eastAsia="zh-CN"/>
              </w:rPr>
              <w:lastRenderedPageBreak/>
              <w:t xml:space="preserve">Nombre de rapports publiés </w:t>
            </w:r>
          </w:p>
        </w:tc>
        <w:tc>
          <w:tcPr>
            <w:tcW w:w="0" w:type="auto"/>
            <w:hideMark/>
          </w:tcPr>
          <w:p w14:paraId="5F427DCA" w14:textId="1EE2D5EF" w:rsidR="007A4AF6" w:rsidRPr="004637C7" w:rsidRDefault="007A4AF6" w:rsidP="004637C7">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zh-CN"/>
              </w:rPr>
            </w:pPr>
            <w:r w:rsidRPr="004637C7">
              <w:rPr>
                <w:rFonts w:asciiTheme="minorHAnsi" w:hAnsiTheme="minorHAnsi" w:cstheme="minorHAnsi"/>
                <w:szCs w:val="20"/>
              </w:rPr>
              <w:t>ONDA / exploitant</w:t>
            </w:r>
          </w:p>
        </w:tc>
        <w:tc>
          <w:tcPr>
            <w:tcW w:w="0" w:type="auto"/>
            <w:hideMark/>
          </w:tcPr>
          <w:p w14:paraId="14E0A645" w14:textId="52B300BF" w:rsidR="007A4AF6" w:rsidRPr="004637C7" w:rsidRDefault="007A4AF6" w:rsidP="004637C7">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zh-CN"/>
              </w:rPr>
            </w:pPr>
            <w:r w:rsidRPr="004637C7">
              <w:rPr>
                <w:rFonts w:asciiTheme="minorHAnsi" w:hAnsiTheme="minorHAnsi" w:cstheme="minorHAnsi"/>
                <w:szCs w:val="20"/>
              </w:rPr>
              <w:t>ONDA</w:t>
            </w:r>
          </w:p>
        </w:tc>
        <w:tc>
          <w:tcPr>
            <w:tcW w:w="0" w:type="auto"/>
            <w:hideMark/>
          </w:tcPr>
          <w:p w14:paraId="09577086" w14:textId="37487080" w:rsidR="007A4AF6" w:rsidRPr="004637C7" w:rsidRDefault="007A4AF6" w:rsidP="004637C7">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zh-CN"/>
              </w:rPr>
            </w:pPr>
            <w:r w:rsidRPr="004637C7">
              <w:rPr>
                <w:rFonts w:asciiTheme="minorHAnsi" w:hAnsiTheme="minorHAnsi" w:cstheme="minorHAnsi"/>
                <w:szCs w:val="20"/>
              </w:rPr>
              <w:t>ONDA</w:t>
            </w:r>
          </w:p>
        </w:tc>
        <w:tc>
          <w:tcPr>
            <w:tcW w:w="0" w:type="auto"/>
            <w:hideMark/>
          </w:tcPr>
          <w:p w14:paraId="7A8474C8" w14:textId="77777777" w:rsidR="007A4AF6" w:rsidRPr="004637C7" w:rsidRDefault="007A4AF6" w:rsidP="004637C7">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zh-CN"/>
              </w:rPr>
            </w:pPr>
            <w:r w:rsidRPr="004637C7">
              <w:rPr>
                <w:rFonts w:asciiTheme="minorHAnsi" w:hAnsiTheme="minorHAnsi" w:cstheme="minorHAnsi"/>
                <w:szCs w:val="20"/>
                <w:lang w:eastAsia="zh-CN"/>
              </w:rPr>
              <w:t>Annuelle et continue</w:t>
            </w:r>
          </w:p>
        </w:tc>
        <w:tc>
          <w:tcPr>
            <w:tcW w:w="0" w:type="auto"/>
            <w:hideMark/>
          </w:tcPr>
          <w:p w14:paraId="46810E06" w14:textId="1B7B060C" w:rsidR="007A4AF6" w:rsidRPr="004637C7" w:rsidRDefault="007A4AF6" w:rsidP="004637C7">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zh-CN"/>
              </w:rPr>
            </w:pPr>
            <w:r w:rsidRPr="004637C7">
              <w:rPr>
                <w:rFonts w:asciiTheme="minorHAnsi" w:hAnsiTheme="minorHAnsi" w:cstheme="minorHAnsi"/>
                <w:szCs w:val="20"/>
                <w:lang w:eastAsia="zh-CN"/>
              </w:rPr>
              <w:t>~</w:t>
            </w:r>
            <w:r w:rsidR="00F20ABE">
              <w:rPr>
                <w:rFonts w:asciiTheme="minorHAnsi" w:hAnsiTheme="minorHAnsi" w:cstheme="minorHAnsi"/>
                <w:szCs w:val="20"/>
                <w:lang w:eastAsia="zh-CN"/>
              </w:rPr>
              <w:t>6 000</w:t>
            </w:r>
            <w:r w:rsidRPr="004637C7">
              <w:rPr>
                <w:rFonts w:asciiTheme="minorHAnsi" w:hAnsiTheme="minorHAnsi" w:cstheme="minorHAnsi"/>
                <w:szCs w:val="20"/>
                <w:lang w:eastAsia="zh-CN"/>
              </w:rPr>
              <w:t xml:space="preserve"> MAD/an</w:t>
            </w:r>
            <w:r w:rsidR="00F20ABE">
              <w:rPr>
                <w:rFonts w:asciiTheme="minorHAnsi" w:hAnsiTheme="minorHAnsi" w:cstheme="minorHAnsi"/>
                <w:szCs w:val="20"/>
                <w:lang w:eastAsia="zh-CN"/>
              </w:rPr>
              <w:br/>
            </w:r>
            <w:r w:rsidR="00F20ABE" w:rsidRPr="00F20ABE">
              <w:rPr>
                <w:rFonts w:asciiTheme="minorHAnsi" w:hAnsiTheme="minorHAnsi" w:cstheme="minorHAnsi"/>
                <w:szCs w:val="20"/>
                <w:lang w:eastAsia="zh-CN"/>
              </w:rPr>
              <w:t xml:space="preserve">Ce coût est généralement mutualisé avec les autres </w:t>
            </w:r>
            <w:r w:rsidR="00F20ABE" w:rsidRPr="00F20ABE">
              <w:rPr>
                <w:rFonts w:asciiTheme="minorHAnsi" w:hAnsiTheme="minorHAnsi" w:cstheme="minorHAnsi"/>
                <w:szCs w:val="20"/>
                <w:lang w:eastAsia="zh-CN"/>
              </w:rPr>
              <w:lastRenderedPageBreak/>
              <w:t>volets du rapport (air, eau, déchets). Il peut être réduit si le suivi acoustique est effectué en interne avec le sonomètre déjà acquis</w:t>
            </w:r>
          </w:p>
        </w:tc>
      </w:tr>
    </w:tbl>
    <w:p w14:paraId="7732EB51" w14:textId="77777777" w:rsidR="00C0016A" w:rsidRDefault="00C0016A" w:rsidP="003032E2">
      <w:pPr>
        <w:pStyle w:val="Paragraphedeliste"/>
        <w:rPr>
          <w:lang w:eastAsia="zh-CN"/>
        </w:rPr>
      </w:pPr>
    </w:p>
    <w:p w14:paraId="6382342C" w14:textId="77777777" w:rsidR="00C0016A" w:rsidRDefault="00C0016A" w:rsidP="003032E2">
      <w:pPr>
        <w:pStyle w:val="Paragraphedeliste"/>
      </w:pPr>
    </w:p>
    <w:p w14:paraId="2FA0AE43" w14:textId="77777777" w:rsidR="00C0016A" w:rsidRDefault="00C0016A" w:rsidP="003032E2">
      <w:pPr>
        <w:pStyle w:val="Paragraphedeliste"/>
      </w:pPr>
    </w:p>
    <w:p w14:paraId="59D1DDDA" w14:textId="77777777" w:rsidR="00C0016A" w:rsidRDefault="00C0016A" w:rsidP="003032E2">
      <w:pPr>
        <w:pStyle w:val="Paragraphedeliste"/>
        <w:sectPr w:rsidR="00C0016A" w:rsidSect="004637C7">
          <w:pgSz w:w="16838" w:h="11906" w:orient="landscape" w:code="9"/>
          <w:pgMar w:top="1418" w:right="1418" w:bottom="1418" w:left="1276" w:header="680" w:footer="680" w:gutter="0"/>
          <w:cols w:space="708"/>
          <w:docGrid w:linePitch="360"/>
        </w:sectPr>
      </w:pPr>
    </w:p>
    <w:p w14:paraId="72B3F9F5" w14:textId="77777777" w:rsidR="003032E2" w:rsidRDefault="003032E2" w:rsidP="003032E2">
      <w:pPr>
        <w:pStyle w:val="Title5"/>
      </w:pPr>
      <w:r>
        <w:lastRenderedPageBreak/>
        <w:t>Évaluation</w:t>
      </w:r>
      <w:r w:rsidRPr="00F72F42">
        <w:t xml:space="preserve"> </w:t>
      </w:r>
      <w:r>
        <w:t>de</w:t>
      </w:r>
      <w:r w:rsidRPr="00F72F42">
        <w:t xml:space="preserve"> </w:t>
      </w:r>
      <w:r>
        <w:t>l'impact</w:t>
      </w:r>
      <w:r w:rsidRPr="00F72F42">
        <w:t xml:space="preserve"> résiduel</w:t>
      </w:r>
    </w:p>
    <w:p w14:paraId="6B473036" w14:textId="46C6B0AC" w:rsidR="00F71564" w:rsidRPr="00F71564" w:rsidRDefault="00F71564" w:rsidP="00F71564">
      <w:pPr>
        <w:rPr>
          <w:lang w:eastAsia="zh-CN"/>
        </w:rPr>
      </w:pPr>
      <w:r w:rsidRPr="00F71564">
        <w:rPr>
          <w:lang w:eastAsia="zh-CN"/>
        </w:rPr>
        <w:t>En phase d’exploitation, les mesures de conception et de gestion acoustique intégrées dès l’origine du projet</w:t>
      </w:r>
      <w:r w:rsidR="00CC1D5D">
        <w:rPr>
          <w:lang w:eastAsia="zh-CN"/>
        </w:rPr>
        <w:t>,</w:t>
      </w:r>
      <w:r w:rsidRPr="00F71564">
        <w:rPr>
          <w:lang w:eastAsia="zh-CN"/>
        </w:rPr>
        <w:t xml:space="preserve"> notamment le choix d’équipements silencieux conformes aux normes CE, la mise en place de dispositifs antivibratiles, la maintenance préventive et la surveillance des niveaux sonores dans les locaux techniques</w:t>
      </w:r>
      <w:r w:rsidR="00CC1D5D">
        <w:rPr>
          <w:lang w:eastAsia="zh-CN"/>
        </w:rPr>
        <w:t>,</w:t>
      </w:r>
      <w:r w:rsidRPr="00F71564">
        <w:rPr>
          <w:lang w:eastAsia="zh-CN"/>
        </w:rPr>
        <w:t xml:space="preserve"> assureront le maintien d’un environnement sonore stable et confortable.</w:t>
      </w:r>
    </w:p>
    <w:p w14:paraId="2AD1096B" w14:textId="034DEAB2" w:rsidR="00F71564" w:rsidRPr="00F71564" w:rsidRDefault="00F71564" w:rsidP="00F71564">
      <w:pPr>
        <w:rPr>
          <w:lang w:eastAsia="zh-CN"/>
        </w:rPr>
      </w:pPr>
      <w:r w:rsidRPr="00F71564">
        <w:rPr>
          <w:lang w:eastAsia="zh-CN"/>
        </w:rPr>
        <w:t>Les niveaux sonores résiduels issus du fonctionnement des équipements de sûreté (EDS, RX, portiques, ETD) et de mobilité (ascenseurs, escaliers mécaniques, trottoirs roulants) demeureront faibles, compris entre 40 et 50 dB</w:t>
      </w:r>
      <w:r w:rsidR="00CC1D5D">
        <w:rPr>
          <w:lang w:eastAsia="zh-CN"/>
        </w:rPr>
        <w:t xml:space="preserve"> </w:t>
      </w:r>
      <w:r w:rsidRPr="00F71564">
        <w:rPr>
          <w:lang w:eastAsia="zh-CN"/>
        </w:rPr>
        <w:t>dans les zones d’accès et d’attente. Les vibrations associées à ces équipements resteront imperceptibles, absorbées par les systèmes d’amortissement prévus, sans transmission structurelle.</w:t>
      </w:r>
    </w:p>
    <w:p w14:paraId="627696A6" w14:textId="22019F46" w:rsidR="00F71564" w:rsidRPr="00F71564" w:rsidRDefault="00F71564" w:rsidP="00F71564">
      <w:pPr>
        <w:rPr>
          <w:lang w:eastAsia="zh-CN"/>
        </w:rPr>
      </w:pPr>
      <w:r w:rsidRPr="00F71564">
        <w:rPr>
          <w:lang w:eastAsia="zh-CN"/>
        </w:rPr>
        <w:t>Les récepteurs internes (personnel de sûreté, agents de maintenance et usagers) ne subiront qu’une exposition ponctuelle et très limitée, tandis que les récepteurs externes (habitations éloignées) ne percevront aucune gêne ni vibration. La durée de l’impact demeure longue mais constante, la fréquence intermittente et l’intensité faible, rendant le risque acoustique et vibratoire quasi nul.</w:t>
      </w:r>
    </w:p>
    <w:p w14:paraId="327567F0" w14:textId="411B4496" w:rsidR="003032E2" w:rsidRPr="004637C7" w:rsidRDefault="00F71564" w:rsidP="004637C7">
      <w:pPr>
        <w:rPr>
          <w:lang w:eastAsia="zh-CN"/>
        </w:rPr>
      </w:pPr>
      <w:r w:rsidRPr="00F71564">
        <w:rPr>
          <w:lang w:eastAsia="zh-CN"/>
        </w:rPr>
        <w:t xml:space="preserve">En combinant une intensité faible à </w:t>
      </w:r>
      <w:r w:rsidR="00CC1D5D">
        <w:rPr>
          <w:lang w:eastAsia="zh-CN"/>
        </w:rPr>
        <w:t>négligeable</w:t>
      </w:r>
      <w:r w:rsidRPr="00F71564">
        <w:rPr>
          <w:lang w:eastAsia="zh-CN"/>
        </w:rPr>
        <w:t xml:space="preserve"> et une sensibilité faible à négligeable, l’importance résiduelle est évaluée négligeable. Les impacts sonores et vibratoires de la phase d’exploitation sont ainsi non significatifs, réversibles, confinés à l’intérieur de la plateforme et compatibles avec la réglementation marocaine et les standards internationaux.</w:t>
      </w:r>
    </w:p>
    <w:p w14:paraId="39F08802" w14:textId="77777777" w:rsidR="00AE45D9" w:rsidRDefault="00AE45D9" w:rsidP="00AE45D9">
      <w:pPr>
        <w:pStyle w:val="Title3"/>
        <w:rPr>
          <w:lang w:eastAsia="zh-CN"/>
        </w:rPr>
      </w:pPr>
      <w:bookmarkStart w:id="416" w:name="_Toc181619033"/>
      <w:bookmarkStart w:id="417" w:name="_Toc215131876"/>
      <w:r w:rsidRPr="00AA0503">
        <w:rPr>
          <w:lang w:eastAsia="zh-CN"/>
        </w:rPr>
        <w:t>Sols</w:t>
      </w:r>
      <w:bookmarkEnd w:id="417"/>
    </w:p>
    <w:p w14:paraId="5B9E7730" w14:textId="77777777" w:rsidR="00AE45D9" w:rsidRDefault="00AE45D9" w:rsidP="00A230AE">
      <w:pPr>
        <w:pStyle w:val="Title4"/>
      </w:pPr>
      <w:r>
        <w:t>Rappel du contexte local</w:t>
      </w:r>
    </w:p>
    <w:p w14:paraId="41B99245" w14:textId="32328841" w:rsidR="00C30B69" w:rsidRDefault="00C30B69" w:rsidP="00C30B69">
      <w:r>
        <w:t>L’aéroport de Marrakech Ménara est implanté dans la plaine de Haouz, au sud-ouest du centre-ville de Marrakech, à une altitude moyenne d’environ 460 m. Le site se caractérise par une topographie plane à très faiblement ondulée, favorable aux aménagements aéroportuaires et aux écoulements de surface maîtrisés.</w:t>
      </w:r>
    </w:p>
    <w:p w14:paraId="09F34772" w14:textId="32F712B5" w:rsidR="00C30B69" w:rsidRDefault="00C30B69" w:rsidP="00C30B69">
      <w:r>
        <w:t>Les sols présentent une texture limono-argileuse à tendance calcaire, avec une perméabilité moyenne et une cohésion modérée. Ils sont sensibles au compactage sous l’effet des charges mécaniques et à la dessiccation en période sèche, ce qui peut entraîner la formation de fissures ou de poussières lorsque la surface est dénudée.</w:t>
      </w:r>
    </w:p>
    <w:p w14:paraId="44BCA7E6" w14:textId="751C1519" w:rsidR="00C30B69" w:rsidRDefault="00C30B69" w:rsidP="00C30B69">
      <w:r>
        <w:t>Le climat semi-aride de Marrakech, influencé par la continentalité et les vents d’origine saharienne, se traduit par des précipitations faibles et irrégulières (en moyenne 240 mm/an, concentrées entre novembre et avril). Les températures estivales élevées et la faible humidité relative favorisent l’évaporation et la remontée capillaire des sels, accentuant la vulnérabilité des sols superficiels à la dégradation physique.</w:t>
      </w:r>
    </w:p>
    <w:p w14:paraId="57AB9828" w14:textId="7AEC7174" w:rsidR="00C30B69" w:rsidRDefault="00C30B69" w:rsidP="00C30B69">
      <w:r>
        <w:t>Les vents dominants soufflent du nord et du nord-ouest, avec des vitesses moyennes comprises entre 10 et 18 km/h, pouvant atteindre plus de 20 km/h en période printanière. Ces conditions favorisent la dispersion éolienne des poussières et particules fines, notamment sur les surfaces non végétalisées ou remaniées.</w:t>
      </w:r>
    </w:p>
    <w:p w14:paraId="0E2F9438" w14:textId="0420B1CF" w:rsidR="00AE45D9" w:rsidRPr="000410D7" w:rsidRDefault="00C30B69" w:rsidP="00C30B69">
      <w:r>
        <w:t xml:space="preserve">La plateforme aéroportuaire actuelle est déjà largement imperméabilisée par les pistes, taxiways, aires de stationnement et voiries. Les zones d’extension envisagées (telles que le futur parking avions, les </w:t>
      </w:r>
      <w:r>
        <w:lastRenderedPageBreak/>
        <w:t>voiries techniques ou les espaces de service) concernent principalement des terrains déjà artificialisés ou stabilisés, limitant ainsi les impacts sur les sols naturels et les milieux environnants</w:t>
      </w:r>
      <w:r w:rsidR="002422B2" w:rsidRPr="002422B2">
        <w:t>.</w:t>
      </w:r>
    </w:p>
    <w:p w14:paraId="6A68462E" w14:textId="77777777" w:rsidR="00AE45D9" w:rsidRDefault="00AE45D9" w:rsidP="00213BFD">
      <w:pPr>
        <w:pStyle w:val="Title4"/>
        <w:tabs>
          <w:tab w:val="clear" w:pos="1134"/>
          <w:tab w:val="left" w:pos="851"/>
        </w:tabs>
      </w:pPr>
      <w:bookmarkStart w:id="418" w:name="_Hlk210732480"/>
      <w:r w:rsidRPr="00AA0503">
        <w:t>Phase construction</w:t>
      </w:r>
      <w:r>
        <w:t xml:space="preserve"> et démantèlement</w:t>
      </w:r>
    </w:p>
    <w:p w14:paraId="3D59322C" w14:textId="77777777" w:rsidR="00AE45D9" w:rsidRDefault="00AE45D9" w:rsidP="00AE45D9">
      <w:pPr>
        <w:pStyle w:val="Title5"/>
      </w:pPr>
      <w:r>
        <w:t>Identification et évaluation des impacts et risques</w:t>
      </w:r>
    </w:p>
    <w:p w14:paraId="4A4CB65D" w14:textId="64302D38" w:rsidR="002300F0" w:rsidRDefault="002300F0" w:rsidP="0001633E">
      <w:pPr>
        <w:pStyle w:val="AltTitle2"/>
        <w:numPr>
          <w:ilvl w:val="0"/>
          <w:numId w:val="106"/>
        </w:numPr>
      </w:pPr>
      <w:r w:rsidRPr="002300F0">
        <w:t>Imperméabilisation permanente du sol</w:t>
      </w:r>
    </w:p>
    <w:p w14:paraId="531ADA30" w14:textId="77777777" w:rsidR="002300F0" w:rsidRDefault="002300F0" w:rsidP="002300F0">
      <w:r>
        <w:t>Les travaux de terrassement et de nivellement des zones d’extension, notamment au niveau du futur parking avions, entraîneront le décapage complet de la couche arable.</w:t>
      </w:r>
    </w:p>
    <w:p w14:paraId="483132A3" w14:textId="77777777" w:rsidR="002300F0" w:rsidRDefault="002300F0" w:rsidP="002300F0">
      <w:r>
        <w:t>Bien que celle-ci soit peu épaisse, elle constitue le principal horizon fertile du sol, garantissant sa fonction biologique et hydrique.</w:t>
      </w:r>
    </w:p>
    <w:p w14:paraId="227070D5" w14:textId="77777777" w:rsidR="002300F0" w:rsidRDefault="002300F0" w:rsidP="002300F0">
      <w:r>
        <w:t>Le décapage, combiné à la mise à nu de la surface, engendrera une destruction mécanique de la structure superficielle, réduisant la porosité et la capacité d’infiltration des eaux.</w:t>
      </w:r>
    </w:p>
    <w:p w14:paraId="4EA55825" w14:textId="34ECE2B4" w:rsidR="002300F0" w:rsidRDefault="002300F0" w:rsidP="002300F0">
      <w:r>
        <w:t xml:space="preserve">Dans le contexte local de sols </w:t>
      </w:r>
      <w:r w:rsidR="004965CD">
        <w:t xml:space="preserve">limono-argileuse </w:t>
      </w:r>
      <w:r>
        <w:t>faiblement cohésifs, cette altération favorisera le ruissellement et le lessivage.</w:t>
      </w:r>
    </w:p>
    <w:p w14:paraId="38336932" w14:textId="77777777" w:rsidR="002300F0" w:rsidRDefault="002300F0" w:rsidP="002300F0">
      <w:r>
        <w:t>L’impact est direct, négatif, localisé, et continu durant les travaux. Sa durée est temporaire, mais la récupération naturelle du sol reste lente sans remise en état.</w:t>
      </w:r>
    </w:p>
    <w:p w14:paraId="27577044" w14:textId="77777777" w:rsidR="002300F0" w:rsidRDefault="002300F0" w:rsidP="002300F0">
      <w:r>
        <w:t>L’intensité est moyenne, car le phénomène reste circonscrit à l’emprise de chantier.</w:t>
      </w:r>
    </w:p>
    <w:p w14:paraId="607AB705" w14:textId="77777777" w:rsidR="002300F0" w:rsidRDefault="002300F0" w:rsidP="002300F0">
      <w:r>
        <w:t>Les récepteurs sensibles sont les sols superficiels de l’emprise, à forte sensibilité.</w:t>
      </w:r>
    </w:p>
    <w:p w14:paraId="1C75F398" w14:textId="0020C4CC" w:rsidR="002300F0" w:rsidRDefault="002300F0" w:rsidP="002300F0">
      <w:r>
        <w:t>L’importance globale est jugée majeure.</w:t>
      </w:r>
    </w:p>
    <w:tbl>
      <w:tblPr>
        <w:tblStyle w:val="TableauGrille1Clair-Accentuation111"/>
        <w:tblW w:w="9060" w:type="dxa"/>
        <w:tblLook w:val="04A0" w:firstRow="1" w:lastRow="0" w:firstColumn="1" w:lastColumn="0" w:noHBand="0" w:noVBand="1"/>
      </w:tblPr>
      <w:tblGrid>
        <w:gridCol w:w="792"/>
        <w:gridCol w:w="2802"/>
        <w:gridCol w:w="1641"/>
        <w:gridCol w:w="2291"/>
        <w:gridCol w:w="1534"/>
      </w:tblGrid>
      <w:tr w:rsidR="00D00A1B" w:rsidRPr="00D00A1B" w14:paraId="1E785D7E" w14:textId="77777777" w:rsidTr="00CB0B0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60C1F487" w14:textId="77777777" w:rsidR="00B27998" w:rsidRPr="00AA22F2" w:rsidRDefault="00B27998" w:rsidP="00B27998">
            <w:pPr>
              <w:rPr>
                <w:szCs w:val="20"/>
                <w:lang w:eastAsia="zh-CN"/>
              </w:rPr>
            </w:pPr>
            <w:r w:rsidRPr="00AA22F2">
              <w:rPr>
                <w:szCs w:val="20"/>
                <w:lang w:eastAsia="zh-CN"/>
              </w:rPr>
              <w:t>Impact</w:t>
            </w:r>
          </w:p>
        </w:tc>
        <w:tc>
          <w:tcPr>
            <w:tcW w:w="0" w:type="auto"/>
            <w:hideMark/>
          </w:tcPr>
          <w:p w14:paraId="0BCED7C2" w14:textId="77777777" w:rsidR="00B27998" w:rsidRPr="00AA22F2" w:rsidRDefault="00B27998" w:rsidP="00B27998">
            <w:pPr>
              <w:cnfStyle w:val="100000000000" w:firstRow="1" w:lastRow="0" w:firstColumn="0" w:lastColumn="0" w:oddVBand="0" w:evenVBand="0" w:oddHBand="0" w:evenHBand="0" w:firstRowFirstColumn="0" w:firstRowLastColumn="0" w:lastRowFirstColumn="0" w:lastRowLastColumn="0"/>
              <w:rPr>
                <w:szCs w:val="20"/>
                <w:lang w:eastAsia="zh-CN"/>
              </w:rPr>
            </w:pPr>
            <w:r w:rsidRPr="00AA22F2">
              <w:rPr>
                <w:szCs w:val="20"/>
                <w:lang w:eastAsia="zh-CN"/>
              </w:rPr>
              <w:t>Activités génératrices</w:t>
            </w:r>
          </w:p>
        </w:tc>
        <w:tc>
          <w:tcPr>
            <w:tcW w:w="0" w:type="auto"/>
            <w:hideMark/>
          </w:tcPr>
          <w:p w14:paraId="1937D27E" w14:textId="77777777" w:rsidR="00B27998" w:rsidRPr="00AA22F2" w:rsidRDefault="00B27998" w:rsidP="00B27998">
            <w:pPr>
              <w:cnfStyle w:val="100000000000" w:firstRow="1" w:lastRow="0" w:firstColumn="0" w:lastColumn="0" w:oddVBand="0" w:evenVBand="0" w:oddHBand="0" w:evenHBand="0" w:firstRowFirstColumn="0" w:firstRowLastColumn="0" w:lastRowFirstColumn="0" w:lastRowLastColumn="0"/>
              <w:rPr>
                <w:szCs w:val="20"/>
                <w:lang w:eastAsia="zh-CN"/>
              </w:rPr>
            </w:pPr>
            <w:r w:rsidRPr="00AA22F2">
              <w:rPr>
                <w:szCs w:val="20"/>
                <w:lang w:eastAsia="zh-CN"/>
              </w:rPr>
              <w:t>Critère</w:t>
            </w:r>
          </w:p>
        </w:tc>
        <w:tc>
          <w:tcPr>
            <w:tcW w:w="0" w:type="auto"/>
            <w:hideMark/>
          </w:tcPr>
          <w:p w14:paraId="0D92FB47" w14:textId="77777777" w:rsidR="00B27998" w:rsidRPr="00AA22F2" w:rsidRDefault="00B27998" w:rsidP="00B27998">
            <w:pPr>
              <w:cnfStyle w:val="100000000000" w:firstRow="1" w:lastRow="0" w:firstColumn="0" w:lastColumn="0" w:oddVBand="0" w:evenVBand="0" w:oddHBand="0" w:evenHBand="0" w:firstRowFirstColumn="0" w:firstRowLastColumn="0" w:lastRowFirstColumn="0" w:lastRowLastColumn="0"/>
              <w:rPr>
                <w:szCs w:val="20"/>
                <w:lang w:eastAsia="zh-CN"/>
              </w:rPr>
            </w:pPr>
            <w:r w:rsidRPr="00AA22F2">
              <w:rPr>
                <w:szCs w:val="20"/>
                <w:lang w:eastAsia="zh-CN"/>
              </w:rPr>
              <w:t>Justification</w:t>
            </w:r>
          </w:p>
        </w:tc>
        <w:tc>
          <w:tcPr>
            <w:tcW w:w="0" w:type="auto"/>
            <w:hideMark/>
          </w:tcPr>
          <w:p w14:paraId="5ABE7B8D" w14:textId="77777777" w:rsidR="00B27998" w:rsidRPr="00AA22F2" w:rsidRDefault="00B27998" w:rsidP="00B27998">
            <w:pPr>
              <w:cnfStyle w:val="100000000000" w:firstRow="1" w:lastRow="0" w:firstColumn="0" w:lastColumn="0" w:oddVBand="0" w:evenVBand="0" w:oddHBand="0" w:evenHBand="0" w:firstRowFirstColumn="0" w:firstRowLastColumn="0" w:lastRowFirstColumn="0" w:lastRowLastColumn="0"/>
              <w:rPr>
                <w:szCs w:val="20"/>
                <w:lang w:eastAsia="zh-CN"/>
              </w:rPr>
            </w:pPr>
            <w:r w:rsidRPr="00AA22F2">
              <w:rPr>
                <w:szCs w:val="20"/>
                <w:lang w:eastAsia="zh-CN"/>
              </w:rPr>
              <w:t>Niveau</w:t>
            </w:r>
          </w:p>
        </w:tc>
      </w:tr>
      <w:tr w:rsidR="004974BD" w:rsidRPr="00D00A1B" w14:paraId="58BEE410" w14:textId="77777777" w:rsidTr="004637C7">
        <w:tc>
          <w:tcPr>
            <w:cnfStyle w:val="001000000000" w:firstRow="0" w:lastRow="0" w:firstColumn="1" w:lastColumn="0" w:oddVBand="0" w:evenVBand="0" w:oddHBand="0" w:evenHBand="0" w:firstRowFirstColumn="0" w:firstRowLastColumn="0" w:lastRowFirstColumn="0" w:lastRowLastColumn="0"/>
            <w:tcW w:w="0" w:type="auto"/>
            <w:vMerge w:val="restart"/>
            <w:textDirection w:val="tbRl"/>
            <w:vAlign w:val="center"/>
          </w:tcPr>
          <w:p w14:paraId="2BB2C3B0" w14:textId="0FFE4304" w:rsidR="004974BD" w:rsidRPr="00AA22F2" w:rsidRDefault="002300F0" w:rsidP="004637C7">
            <w:pPr>
              <w:ind w:left="113" w:right="113"/>
              <w:jc w:val="center"/>
              <w:rPr>
                <w:szCs w:val="20"/>
                <w:lang w:eastAsia="zh-CN"/>
              </w:rPr>
            </w:pPr>
            <w:r w:rsidRPr="002300F0">
              <w:rPr>
                <w:szCs w:val="20"/>
                <w:lang w:eastAsia="zh-CN"/>
              </w:rPr>
              <w:t>Décapage et perte de la couche arable</w:t>
            </w:r>
          </w:p>
        </w:tc>
        <w:tc>
          <w:tcPr>
            <w:tcW w:w="0" w:type="auto"/>
            <w:vMerge w:val="restart"/>
          </w:tcPr>
          <w:p w14:paraId="0409F5F5" w14:textId="4047D971" w:rsidR="004974BD" w:rsidRPr="00AA22F2" w:rsidRDefault="002300F0" w:rsidP="00B27998">
            <w:pPr>
              <w:cnfStyle w:val="000000000000" w:firstRow="0" w:lastRow="0" w:firstColumn="0" w:lastColumn="0" w:oddVBand="0" w:evenVBand="0" w:oddHBand="0" w:evenHBand="0" w:firstRowFirstColumn="0" w:firstRowLastColumn="0" w:lastRowFirstColumn="0" w:lastRowLastColumn="0"/>
              <w:rPr>
                <w:szCs w:val="20"/>
                <w:lang w:eastAsia="zh-CN"/>
              </w:rPr>
            </w:pPr>
            <w:r w:rsidRPr="002300F0">
              <w:rPr>
                <w:szCs w:val="20"/>
                <w:lang w:eastAsia="zh-CN"/>
              </w:rPr>
              <w:t>Travaux de terrassement et nivellement du futur parking avions</w:t>
            </w:r>
          </w:p>
        </w:tc>
        <w:tc>
          <w:tcPr>
            <w:tcW w:w="0" w:type="auto"/>
            <w:hideMark/>
          </w:tcPr>
          <w:p w14:paraId="0D2D6244" w14:textId="77777777" w:rsidR="004974BD" w:rsidRPr="00AA22F2" w:rsidRDefault="004974BD" w:rsidP="00B27998">
            <w:pPr>
              <w:cnfStyle w:val="000000000000" w:firstRow="0" w:lastRow="0" w:firstColumn="0" w:lastColumn="0" w:oddVBand="0" w:evenVBand="0" w:oddHBand="0" w:evenHBand="0" w:firstRowFirstColumn="0" w:firstRowLastColumn="0" w:lastRowFirstColumn="0" w:lastRowLastColumn="0"/>
              <w:rPr>
                <w:szCs w:val="20"/>
                <w:lang w:eastAsia="zh-CN"/>
              </w:rPr>
            </w:pPr>
            <w:r w:rsidRPr="00AA22F2">
              <w:rPr>
                <w:b/>
                <w:bCs/>
                <w:szCs w:val="20"/>
                <w:lang w:eastAsia="zh-CN"/>
              </w:rPr>
              <w:t>Nature</w:t>
            </w:r>
          </w:p>
        </w:tc>
        <w:tc>
          <w:tcPr>
            <w:tcW w:w="0" w:type="auto"/>
            <w:gridSpan w:val="2"/>
            <w:hideMark/>
          </w:tcPr>
          <w:p w14:paraId="52C7DEE5" w14:textId="77777777" w:rsidR="004974BD" w:rsidRPr="00AA22F2" w:rsidRDefault="004974BD" w:rsidP="00B27998">
            <w:pPr>
              <w:cnfStyle w:val="000000000000" w:firstRow="0" w:lastRow="0" w:firstColumn="0" w:lastColumn="0" w:oddVBand="0" w:evenVBand="0" w:oddHBand="0" w:evenHBand="0" w:firstRowFirstColumn="0" w:firstRowLastColumn="0" w:lastRowFirstColumn="0" w:lastRowLastColumn="0"/>
              <w:rPr>
                <w:szCs w:val="20"/>
                <w:lang w:eastAsia="zh-CN"/>
              </w:rPr>
            </w:pPr>
            <w:r w:rsidRPr="00AA22F2">
              <w:rPr>
                <w:b/>
                <w:bCs/>
                <w:szCs w:val="20"/>
                <w:lang w:eastAsia="zh-CN"/>
              </w:rPr>
              <w:t>Négatif direct</w:t>
            </w:r>
          </w:p>
        </w:tc>
      </w:tr>
      <w:tr w:rsidR="004974BD" w:rsidRPr="00D00A1B" w14:paraId="54976D0A" w14:textId="77777777" w:rsidTr="004637C7">
        <w:tc>
          <w:tcPr>
            <w:cnfStyle w:val="001000000000" w:firstRow="0" w:lastRow="0" w:firstColumn="1" w:lastColumn="0" w:oddVBand="0" w:evenVBand="0" w:oddHBand="0" w:evenHBand="0" w:firstRowFirstColumn="0" w:firstRowLastColumn="0" w:lastRowFirstColumn="0" w:lastRowLastColumn="0"/>
            <w:tcW w:w="0" w:type="auto"/>
            <w:vMerge/>
            <w:hideMark/>
          </w:tcPr>
          <w:p w14:paraId="2E4010BB" w14:textId="77777777" w:rsidR="004974BD" w:rsidRPr="00AA22F2" w:rsidRDefault="004974BD" w:rsidP="00B27998">
            <w:pPr>
              <w:rPr>
                <w:szCs w:val="20"/>
                <w:lang w:eastAsia="zh-CN"/>
              </w:rPr>
            </w:pPr>
          </w:p>
        </w:tc>
        <w:tc>
          <w:tcPr>
            <w:tcW w:w="0" w:type="auto"/>
            <w:vMerge/>
            <w:hideMark/>
          </w:tcPr>
          <w:p w14:paraId="6ACEA462" w14:textId="77777777" w:rsidR="004974BD" w:rsidRPr="00AA22F2" w:rsidRDefault="004974BD" w:rsidP="00B27998">
            <w:pPr>
              <w:cnfStyle w:val="000000000000" w:firstRow="0" w:lastRow="0" w:firstColumn="0" w:lastColumn="0" w:oddVBand="0" w:evenVBand="0" w:oddHBand="0" w:evenHBand="0" w:firstRowFirstColumn="0" w:firstRowLastColumn="0" w:lastRowFirstColumn="0" w:lastRowLastColumn="0"/>
              <w:rPr>
                <w:szCs w:val="20"/>
                <w:lang w:eastAsia="zh-CN"/>
              </w:rPr>
            </w:pPr>
          </w:p>
        </w:tc>
        <w:tc>
          <w:tcPr>
            <w:tcW w:w="0" w:type="auto"/>
            <w:hideMark/>
          </w:tcPr>
          <w:p w14:paraId="14852443" w14:textId="77777777" w:rsidR="004974BD" w:rsidRPr="00AA22F2" w:rsidRDefault="004974BD" w:rsidP="00B27998">
            <w:pPr>
              <w:cnfStyle w:val="000000000000" w:firstRow="0" w:lastRow="0" w:firstColumn="0" w:lastColumn="0" w:oddVBand="0" w:evenVBand="0" w:oddHBand="0" w:evenHBand="0" w:firstRowFirstColumn="0" w:firstRowLastColumn="0" w:lastRowFirstColumn="0" w:lastRowLastColumn="0"/>
              <w:rPr>
                <w:szCs w:val="20"/>
                <w:lang w:eastAsia="zh-CN"/>
              </w:rPr>
            </w:pPr>
            <w:r w:rsidRPr="00AA22F2">
              <w:rPr>
                <w:b/>
                <w:bCs/>
                <w:szCs w:val="20"/>
                <w:lang w:eastAsia="zh-CN"/>
              </w:rPr>
              <w:t>Étendue</w:t>
            </w:r>
          </w:p>
        </w:tc>
        <w:tc>
          <w:tcPr>
            <w:tcW w:w="0" w:type="auto"/>
          </w:tcPr>
          <w:p w14:paraId="52CCDE1A" w14:textId="714BA464" w:rsidR="004974BD" w:rsidRPr="00AA22F2" w:rsidRDefault="002300F0" w:rsidP="00B27998">
            <w:pPr>
              <w:cnfStyle w:val="000000000000" w:firstRow="0" w:lastRow="0" w:firstColumn="0" w:lastColumn="0" w:oddVBand="0" w:evenVBand="0" w:oddHBand="0" w:evenHBand="0" w:firstRowFirstColumn="0" w:firstRowLastColumn="0" w:lastRowFirstColumn="0" w:lastRowLastColumn="0"/>
              <w:rPr>
                <w:szCs w:val="20"/>
                <w:lang w:eastAsia="zh-CN"/>
              </w:rPr>
            </w:pPr>
            <w:r w:rsidRPr="002300F0">
              <w:rPr>
                <w:szCs w:val="20"/>
                <w:lang w:eastAsia="zh-CN"/>
              </w:rPr>
              <w:t>Limitée à l’emprise du chantier</w:t>
            </w:r>
          </w:p>
        </w:tc>
        <w:tc>
          <w:tcPr>
            <w:tcW w:w="0" w:type="auto"/>
          </w:tcPr>
          <w:p w14:paraId="18717B64" w14:textId="077AE21F" w:rsidR="004974BD" w:rsidRPr="00AA22F2" w:rsidRDefault="002300F0" w:rsidP="00B27998">
            <w:pPr>
              <w:cnfStyle w:val="000000000000" w:firstRow="0" w:lastRow="0" w:firstColumn="0" w:lastColumn="0" w:oddVBand="0" w:evenVBand="0" w:oddHBand="0" w:evenHBand="0" w:firstRowFirstColumn="0" w:firstRowLastColumn="0" w:lastRowFirstColumn="0" w:lastRowLastColumn="0"/>
              <w:rPr>
                <w:szCs w:val="20"/>
                <w:lang w:eastAsia="zh-CN"/>
              </w:rPr>
            </w:pPr>
            <w:r>
              <w:rPr>
                <w:szCs w:val="20"/>
                <w:lang w:eastAsia="zh-CN"/>
              </w:rPr>
              <w:t>Locale</w:t>
            </w:r>
          </w:p>
        </w:tc>
      </w:tr>
      <w:tr w:rsidR="004974BD" w:rsidRPr="00D00A1B" w14:paraId="2E122795" w14:textId="77777777" w:rsidTr="004637C7">
        <w:tc>
          <w:tcPr>
            <w:cnfStyle w:val="001000000000" w:firstRow="0" w:lastRow="0" w:firstColumn="1" w:lastColumn="0" w:oddVBand="0" w:evenVBand="0" w:oddHBand="0" w:evenHBand="0" w:firstRowFirstColumn="0" w:firstRowLastColumn="0" w:lastRowFirstColumn="0" w:lastRowLastColumn="0"/>
            <w:tcW w:w="0" w:type="auto"/>
            <w:vMerge/>
            <w:hideMark/>
          </w:tcPr>
          <w:p w14:paraId="503EFDEF" w14:textId="77777777" w:rsidR="004974BD" w:rsidRPr="00AA22F2" w:rsidRDefault="004974BD" w:rsidP="00B27998">
            <w:pPr>
              <w:rPr>
                <w:szCs w:val="20"/>
                <w:lang w:eastAsia="zh-CN"/>
              </w:rPr>
            </w:pPr>
          </w:p>
        </w:tc>
        <w:tc>
          <w:tcPr>
            <w:tcW w:w="0" w:type="auto"/>
            <w:vMerge/>
            <w:hideMark/>
          </w:tcPr>
          <w:p w14:paraId="1BA0A9D8" w14:textId="77777777" w:rsidR="004974BD" w:rsidRPr="00AA22F2" w:rsidRDefault="004974BD" w:rsidP="00B27998">
            <w:pPr>
              <w:cnfStyle w:val="000000000000" w:firstRow="0" w:lastRow="0" w:firstColumn="0" w:lastColumn="0" w:oddVBand="0" w:evenVBand="0" w:oddHBand="0" w:evenHBand="0" w:firstRowFirstColumn="0" w:firstRowLastColumn="0" w:lastRowFirstColumn="0" w:lastRowLastColumn="0"/>
              <w:rPr>
                <w:szCs w:val="20"/>
                <w:lang w:eastAsia="zh-CN"/>
              </w:rPr>
            </w:pPr>
          </w:p>
        </w:tc>
        <w:tc>
          <w:tcPr>
            <w:tcW w:w="0" w:type="auto"/>
            <w:hideMark/>
          </w:tcPr>
          <w:p w14:paraId="7DA08C25" w14:textId="77777777" w:rsidR="004974BD" w:rsidRPr="00AA22F2" w:rsidRDefault="004974BD" w:rsidP="00B27998">
            <w:pPr>
              <w:cnfStyle w:val="000000000000" w:firstRow="0" w:lastRow="0" w:firstColumn="0" w:lastColumn="0" w:oddVBand="0" w:evenVBand="0" w:oddHBand="0" w:evenHBand="0" w:firstRowFirstColumn="0" w:firstRowLastColumn="0" w:lastRowFirstColumn="0" w:lastRowLastColumn="0"/>
              <w:rPr>
                <w:szCs w:val="20"/>
                <w:lang w:eastAsia="zh-CN"/>
              </w:rPr>
            </w:pPr>
            <w:r w:rsidRPr="00AA22F2">
              <w:rPr>
                <w:b/>
                <w:bCs/>
                <w:szCs w:val="20"/>
                <w:lang w:eastAsia="zh-CN"/>
              </w:rPr>
              <w:t>Durée</w:t>
            </w:r>
          </w:p>
        </w:tc>
        <w:tc>
          <w:tcPr>
            <w:tcW w:w="0" w:type="auto"/>
          </w:tcPr>
          <w:p w14:paraId="132D6EFD" w14:textId="4F84E639" w:rsidR="004974BD" w:rsidRPr="00AA22F2" w:rsidRDefault="002300F0" w:rsidP="00B27998">
            <w:pPr>
              <w:cnfStyle w:val="000000000000" w:firstRow="0" w:lastRow="0" w:firstColumn="0" w:lastColumn="0" w:oddVBand="0" w:evenVBand="0" w:oddHBand="0" w:evenHBand="0" w:firstRowFirstColumn="0" w:firstRowLastColumn="0" w:lastRowFirstColumn="0" w:lastRowLastColumn="0"/>
              <w:rPr>
                <w:szCs w:val="20"/>
                <w:lang w:eastAsia="zh-CN"/>
              </w:rPr>
            </w:pPr>
            <w:r>
              <w:rPr>
                <w:szCs w:val="20"/>
                <w:lang w:eastAsia="zh-CN"/>
              </w:rPr>
              <w:t>L</w:t>
            </w:r>
            <w:r w:rsidRPr="002300F0">
              <w:rPr>
                <w:szCs w:val="20"/>
                <w:lang w:eastAsia="zh-CN"/>
              </w:rPr>
              <w:t>imitée à la phase de construction</w:t>
            </w:r>
          </w:p>
        </w:tc>
        <w:tc>
          <w:tcPr>
            <w:tcW w:w="0" w:type="auto"/>
          </w:tcPr>
          <w:p w14:paraId="5107AA03" w14:textId="78941B4B" w:rsidR="004974BD" w:rsidRPr="00AA22F2" w:rsidRDefault="002300F0" w:rsidP="00B27998">
            <w:pPr>
              <w:cnfStyle w:val="000000000000" w:firstRow="0" w:lastRow="0" w:firstColumn="0" w:lastColumn="0" w:oddVBand="0" w:evenVBand="0" w:oddHBand="0" w:evenHBand="0" w:firstRowFirstColumn="0" w:firstRowLastColumn="0" w:lastRowFirstColumn="0" w:lastRowLastColumn="0"/>
              <w:rPr>
                <w:szCs w:val="20"/>
                <w:lang w:eastAsia="zh-CN"/>
              </w:rPr>
            </w:pPr>
            <w:r>
              <w:rPr>
                <w:szCs w:val="20"/>
                <w:lang w:eastAsia="zh-CN"/>
              </w:rPr>
              <w:t>Court terme</w:t>
            </w:r>
          </w:p>
        </w:tc>
      </w:tr>
      <w:tr w:rsidR="004974BD" w:rsidRPr="00D00A1B" w14:paraId="6F08D04D" w14:textId="77777777" w:rsidTr="004637C7">
        <w:tc>
          <w:tcPr>
            <w:cnfStyle w:val="001000000000" w:firstRow="0" w:lastRow="0" w:firstColumn="1" w:lastColumn="0" w:oddVBand="0" w:evenVBand="0" w:oddHBand="0" w:evenHBand="0" w:firstRowFirstColumn="0" w:firstRowLastColumn="0" w:lastRowFirstColumn="0" w:lastRowLastColumn="0"/>
            <w:tcW w:w="0" w:type="auto"/>
            <w:vMerge/>
            <w:hideMark/>
          </w:tcPr>
          <w:p w14:paraId="09854797" w14:textId="77777777" w:rsidR="004974BD" w:rsidRPr="00AA22F2" w:rsidRDefault="004974BD" w:rsidP="00B27998">
            <w:pPr>
              <w:rPr>
                <w:szCs w:val="20"/>
                <w:lang w:eastAsia="zh-CN"/>
              </w:rPr>
            </w:pPr>
          </w:p>
        </w:tc>
        <w:tc>
          <w:tcPr>
            <w:tcW w:w="0" w:type="auto"/>
            <w:vMerge/>
            <w:hideMark/>
          </w:tcPr>
          <w:p w14:paraId="591811C5" w14:textId="77777777" w:rsidR="004974BD" w:rsidRPr="00AA22F2" w:rsidRDefault="004974BD" w:rsidP="00B27998">
            <w:pPr>
              <w:cnfStyle w:val="000000000000" w:firstRow="0" w:lastRow="0" w:firstColumn="0" w:lastColumn="0" w:oddVBand="0" w:evenVBand="0" w:oddHBand="0" w:evenHBand="0" w:firstRowFirstColumn="0" w:firstRowLastColumn="0" w:lastRowFirstColumn="0" w:lastRowLastColumn="0"/>
              <w:rPr>
                <w:szCs w:val="20"/>
                <w:lang w:eastAsia="zh-CN"/>
              </w:rPr>
            </w:pPr>
          </w:p>
        </w:tc>
        <w:tc>
          <w:tcPr>
            <w:tcW w:w="0" w:type="auto"/>
            <w:hideMark/>
          </w:tcPr>
          <w:p w14:paraId="0B6E88F6" w14:textId="77777777" w:rsidR="004974BD" w:rsidRPr="00AA22F2" w:rsidRDefault="004974BD" w:rsidP="00B27998">
            <w:pPr>
              <w:cnfStyle w:val="000000000000" w:firstRow="0" w:lastRow="0" w:firstColumn="0" w:lastColumn="0" w:oddVBand="0" w:evenVBand="0" w:oddHBand="0" w:evenHBand="0" w:firstRowFirstColumn="0" w:firstRowLastColumn="0" w:lastRowFirstColumn="0" w:lastRowLastColumn="0"/>
              <w:rPr>
                <w:szCs w:val="20"/>
                <w:lang w:eastAsia="zh-CN"/>
              </w:rPr>
            </w:pPr>
            <w:r w:rsidRPr="00AA22F2">
              <w:rPr>
                <w:b/>
                <w:bCs/>
                <w:szCs w:val="20"/>
                <w:lang w:eastAsia="zh-CN"/>
              </w:rPr>
              <w:t>Fréquence</w:t>
            </w:r>
          </w:p>
        </w:tc>
        <w:tc>
          <w:tcPr>
            <w:tcW w:w="0" w:type="auto"/>
          </w:tcPr>
          <w:p w14:paraId="2A890967" w14:textId="77C249FF" w:rsidR="004974BD" w:rsidRPr="00AA22F2" w:rsidRDefault="002300F0" w:rsidP="00B27998">
            <w:pPr>
              <w:cnfStyle w:val="000000000000" w:firstRow="0" w:lastRow="0" w:firstColumn="0" w:lastColumn="0" w:oddVBand="0" w:evenVBand="0" w:oddHBand="0" w:evenHBand="0" w:firstRowFirstColumn="0" w:firstRowLastColumn="0" w:lastRowFirstColumn="0" w:lastRowLastColumn="0"/>
              <w:rPr>
                <w:szCs w:val="20"/>
                <w:lang w:eastAsia="zh-CN"/>
              </w:rPr>
            </w:pPr>
            <w:r w:rsidRPr="002300F0">
              <w:rPr>
                <w:szCs w:val="20"/>
                <w:lang w:eastAsia="zh-CN"/>
              </w:rPr>
              <w:t>Continue pendant les travaux de terrassement</w:t>
            </w:r>
          </w:p>
        </w:tc>
        <w:tc>
          <w:tcPr>
            <w:tcW w:w="0" w:type="auto"/>
          </w:tcPr>
          <w:p w14:paraId="663A8B8F" w14:textId="72261D8C" w:rsidR="004974BD" w:rsidRPr="00AA22F2" w:rsidRDefault="002300F0" w:rsidP="00B27998">
            <w:pPr>
              <w:cnfStyle w:val="000000000000" w:firstRow="0" w:lastRow="0" w:firstColumn="0" w:lastColumn="0" w:oddVBand="0" w:evenVBand="0" w:oddHBand="0" w:evenHBand="0" w:firstRowFirstColumn="0" w:firstRowLastColumn="0" w:lastRowFirstColumn="0" w:lastRowLastColumn="0"/>
              <w:rPr>
                <w:szCs w:val="20"/>
                <w:lang w:eastAsia="zh-CN"/>
              </w:rPr>
            </w:pPr>
            <w:r>
              <w:rPr>
                <w:szCs w:val="20"/>
                <w:lang w:eastAsia="zh-CN"/>
              </w:rPr>
              <w:t>Continue</w:t>
            </w:r>
          </w:p>
        </w:tc>
      </w:tr>
      <w:tr w:rsidR="00D60FC9" w:rsidRPr="00D00A1B" w14:paraId="7A10BCF4" w14:textId="77777777" w:rsidTr="004637C7">
        <w:tc>
          <w:tcPr>
            <w:cnfStyle w:val="001000000000" w:firstRow="0" w:lastRow="0" w:firstColumn="1" w:lastColumn="0" w:oddVBand="0" w:evenVBand="0" w:oddHBand="0" w:evenHBand="0" w:firstRowFirstColumn="0" w:firstRowLastColumn="0" w:lastRowFirstColumn="0" w:lastRowLastColumn="0"/>
            <w:tcW w:w="0" w:type="auto"/>
            <w:vMerge/>
            <w:hideMark/>
          </w:tcPr>
          <w:p w14:paraId="402C14A1" w14:textId="77777777" w:rsidR="004974BD" w:rsidRPr="00AA22F2" w:rsidRDefault="004974BD" w:rsidP="00B27998">
            <w:pPr>
              <w:rPr>
                <w:szCs w:val="20"/>
                <w:lang w:eastAsia="zh-CN"/>
              </w:rPr>
            </w:pPr>
          </w:p>
        </w:tc>
        <w:tc>
          <w:tcPr>
            <w:tcW w:w="0" w:type="auto"/>
            <w:vMerge/>
            <w:hideMark/>
          </w:tcPr>
          <w:p w14:paraId="76204BA9" w14:textId="77777777" w:rsidR="004974BD" w:rsidRPr="00AA22F2" w:rsidRDefault="004974BD" w:rsidP="00B27998">
            <w:pPr>
              <w:cnfStyle w:val="000000000000" w:firstRow="0" w:lastRow="0" w:firstColumn="0" w:lastColumn="0" w:oddVBand="0" w:evenVBand="0" w:oddHBand="0" w:evenHBand="0" w:firstRowFirstColumn="0" w:firstRowLastColumn="0" w:lastRowFirstColumn="0" w:lastRowLastColumn="0"/>
              <w:rPr>
                <w:szCs w:val="20"/>
                <w:lang w:eastAsia="zh-CN"/>
              </w:rPr>
            </w:pPr>
          </w:p>
        </w:tc>
        <w:tc>
          <w:tcPr>
            <w:tcW w:w="0" w:type="auto"/>
            <w:shd w:val="clear" w:color="auto" w:fill="B4C6E7" w:themeFill="accent1" w:themeFillTint="66"/>
            <w:hideMark/>
          </w:tcPr>
          <w:p w14:paraId="5003972B" w14:textId="77777777" w:rsidR="004974BD" w:rsidRPr="00AA22F2" w:rsidRDefault="004974BD" w:rsidP="00B27998">
            <w:pPr>
              <w:cnfStyle w:val="000000000000" w:firstRow="0" w:lastRow="0" w:firstColumn="0" w:lastColumn="0" w:oddVBand="0" w:evenVBand="0" w:oddHBand="0" w:evenHBand="0" w:firstRowFirstColumn="0" w:firstRowLastColumn="0" w:lastRowFirstColumn="0" w:lastRowLastColumn="0"/>
              <w:rPr>
                <w:szCs w:val="20"/>
                <w:lang w:eastAsia="zh-CN"/>
              </w:rPr>
            </w:pPr>
            <w:r w:rsidRPr="00AA22F2">
              <w:rPr>
                <w:b/>
                <w:bCs/>
                <w:szCs w:val="20"/>
                <w:lang w:eastAsia="zh-CN"/>
              </w:rPr>
              <w:t>Intensité</w:t>
            </w:r>
          </w:p>
        </w:tc>
        <w:tc>
          <w:tcPr>
            <w:tcW w:w="0" w:type="auto"/>
            <w:shd w:val="clear" w:color="auto" w:fill="B4C6E7" w:themeFill="accent1" w:themeFillTint="66"/>
          </w:tcPr>
          <w:p w14:paraId="34CB215E" w14:textId="3B3918B2" w:rsidR="004974BD" w:rsidRPr="00AA22F2" w:rsidRDefault="002300F0" w:rsidP="00B27998">
            <w:pPr>
              <w:cnfStyle w:val="000000000000" w:firstRow="0" w:lastRow="0" w:firstColumn="0" w:lastColumn="0" w:oddVBand="0" w:evenVBand="0" w:oddHBand="0" w:evenHBand="0" w:firstRowFirstColumn="0" w:firstRowLastColumn="0" w:lastRowFirstColumn="0" w:lastRowLastColumn="0"/>
              <w:rPr>
                <w:szCs w:val="20"/>
                <w:lang w:eastAsia="zh-CN"/>
              </w:rPr>
            </w:pPr>
            <w:r w:rsidRPr="002300F0">
              <w:rPr>
                <w:szCs w:val="20"/>
                <w:lang w:eastAsia="zh-CN"/>
              </w:rPr>
              <w:t>Perturbation structurelle du sol</w:t>
            </w:r>
          </w:p>
        </w:tc>
        <w:tc>
          <w:tcPr>
            <w:tcW w:w="0" w:type="auto"/>
            <w:shd w:val="clear" w:color="auto" w:fill="B4C6E7" w:themeFill="accent1" w:themeFillTint="66"/>
          </w:tcPr>
          <w:p w14:paraId="6FCBD755" w14:textId="5D948FBC" w:rsidR="004974BD" w:rsidRPr="00AA22F2" w:rsidRDefault="002300F0" w:rsidP="00B27998">
            <w:pPr>
              <w:cnfStyle w:val="000000000000" w:firstRow="0" w:lastRow="0" w:firstColumn="0" w:lastColumn="0" w:oddVBand="0" w:evenVBand="0" w:oddHBand="0" w:evenHBand="0" w:firstRowFirstColumn="0" w:firstRowLastColumn="0" w:lastRowFirstColumn="0" w:lastRowLastColumn="0"/>
              <w:rPr>
                <w:szCs w:val="20"/>
                <w:lang w:eastAsia="zh-CN"/>
              </w:rPr>
            </w:pPr>
            <w:r>
              <w:rPr>
                <w:szCs w:val="20"/>
                <w:lang w:eastAsia="zh-CN"/>
              </w:rPr>
              <w:t>Moyenne</w:t>
            </w:r>
          </w:p>
        </w:tc>
      </w:tr>
      <w:tr w:rsidR="004974BD" w:rsidRPr="00D00A1B" w14:paraId="5863024B" w14:textId="77777777" w:rsidTr="000A3EA4">
        <w:tc>
          <w:tcPr>
            <w:cnfStyle w:val="001000000000" w:firstRow="0" w:lastRow="0" w:firstColumn="1" w:lastColumn="0" w:oddVBand="0" w:evenVBand="0" w:oddHBand="0" w:evenHBand="0" w:firstRowFirstColumn="0" w:firstRowLastColumn="0" w:lastRowFirstColumn="0" w:lastRowLastColumn="0"/>
            <w:tcW w:w="0" w:type="auto"/>
            <w:vMerge/>
          </w:tcPr>
          <w:p w14:paraId="207A0151" w14:textId="77777777" w:rsidR="004974BD" w:rsidRPr="00AA22F2" w:rsidRDefault="004974BD" w:rsidP="004637C7">
            <w:pPr>
              <w:spacing w:before="0" w:after="0"/>
              <w:rPr>
                <w:szCs w:val="20"/>
                <w:lang w:eastAsia="zh-CN"/>
              </w:rPr>
            </w:pPr>
          </w:p>
        </w:tc>
        <w:tc>
          <w:tcPr>
            <w:tcW w:w="0" w:type="auto"/>
            <w:gridSpan w:val="4"/>
          </w:tcPr>
          <w:p w14:paraId="561AACC6" w14:textId="77777777" w:rsidR="004974BD" w:rsidRPr="00AA22F2" w:rsidRDefault="004974BD" w:rsidP="004637C7">
            <w:pPr>
              <w:spacing w:before="0" w:after="0"/>
              <w:cnfStyle w:val="000000000000" w:firstRow="0" w:lastRow="0" w:firstColumn="0" w:lastColumn="0" w:oddVBand="0" w:evenVBand="0" w:oddHBand="0" w:evenHBand="0" w:firstRowFirstColumn="0" w:firstRowLastColumn="0" w:lastRowFirstColumn="0" w:lastRowLastColumn="0"/>
              <w:rPr>
                <w:b/>
                <w:bCs/>
                <w:szCs w:val="20"/>
                <w:lang w:eastAsia="zh-CN"/>
              </w:rPr>
            </w:pPr>
          </w:p>
        </w:tc>
      </w:tr>
      <w:tr w:rsidR="00D60FC9" w:rsidRPr="00D00A1B" w14:paraId="074AFDDE" w14:textId="77777777" w:rsidTr="004974BD">
        <w:tc>
          <w:tcPr>
            <w:cnfStyle w:val="001000000000" w:firstRow="0" w:lastRow="0" w:firstColumn="1" w:lastColumn="0" w:oddVBand="0" w:evenVBand="0" w:oddHBand="0" w:evenHBand="0" w:firstRowFirstColumn="0" w:firstRowLastColumn="0" w:lastRowFirstColumn="0" w:lastRowLastColumn="0"/>
            <w:tcW w:w="0" w:type="auto"/>
            <w:vMerge/>
          </w:tcPr>
          <w:p w14:paraId="695BD355" w14:textId="77777777" w:rsidR="004974BD" w:rsidRPr="00AA22F2" w:rsidRDefault="004974BD" w:rsidP="004974BD">
            <w:pPr>
              <w:rPr>
                <w:szCs w:val="20"/>
                <w:lang w:eastAsia="zh-CN"/>
              </w:rPr>
            </w:pPr>
          </w:p>
        </w:tc>
        <w:tc>
          <w:tcPr>
            <w:tcW w:w="0" w:type="auto"/>
            <w:shd w:val="clear" w:color="auto" w:fill="8EAADB" w:themeFill="accent1" w:themeFillTint="99"/>
            <w:vAlign w:val="center"/>
          </w:tcPr>
          <w:p w14:paraId="02C746CA" w14:textId="08171615" w:rsidR="004974BD" w:rsidRPr="00AA22F2" w:rsidRDefault="004974BD" w:rsidP="004974BD">
            <w:pPr>
              <w:cnfStyle w:val="000000000000" w:firstRow="0" w:lastRow="0" w:firstColumn="0" w:lastColumn="0" w:oddVBand="0" w:evenVBand="0" w:oddHBand="0" w:evenHBand="0" w:firstRowFirstColumn="0" w:firstRowLastColumn="0" w:lastRowFirstColumn="0" w:lastRowLastColumn="0"/>
              <w:rPr>
                <w:szCs w:val="20"/>
                <w:lang w:eastAsia="zh-CN"/>
              </w:rPr>
            </w:pPr>
            <w:r w:rsidRPr="00D00A1B">
              <w:rPr>
                <w:rFonts w:asciiTheme="minorHAnsi" w:hAnsiTheme="minorHAnsi" w:cstheme="minorHAnsi"/>
                <w:b/>
                <w:bCs/>
                <w:szCs w:val="20"/>
              </w:rPr>
              <w:t>Intensité de l’impact</w:t>
            </w:r>
          </w:p>
        </w:tc>
        <w:tc>
          <w:tcPr>
            <w:tcW w:w="0" w:type="auto"/>
            <w:shd w:val="clear" w:color="auto" w:fill="8EAADB" w:themeFill="accent1" w:themeFillTint="99"/>
            <w:vAlign w:val="center"/>
          </w:tcPr>
          <w:p w14:paraId="31F35DDE" w14:textId="78B6EB1B" w:rsidR="004974BD" w:rsidRPr="00AA22F2" w:rsidRDefault="004974BD" w:rsidP="004974BD">
            <w:pPr>
              <w:cnfStyle w:val="000000000000" w:firstRow="0" w:lastRow="0" w:firstColumn="0" w:lastColumn="0" w:oddVBand="0" w:evenVBand="0" w:oddHBand="0" w:evenHBand="0" w:firstRowFirstColumn="0" w:firstRowLastColumn="0" w:lastRowFirstColumn="0" w:lastRowLastColumn="0"/>
              <w:rPr>
                <w:b/>
                <w:bCs/>
                <w:szCs w:val="20"/>
                <w:lang w:eastAsia="zh-CN"/>
              </w:rPr>
            </w:pPr>
            <w:r w:rsidRPr="00D00A1B">
              <w:rPr>
                <w:rFonts w:asciiTheme="minorHAnsi" w:hAnsiTheme="minorHAnsi" w:cstheme="minorHAnsi"/>
                <w:b/>
                <w:bCs/>
                <w:szCs w:val="20"/>
              </w:rPr>
              <w:t>Récepteurs</w:t>
            </w:r>
          </w:p>
        </w:tc>
        <w:tc>
          <w:tcPr>
            <w:tcW w:w="0" w:type="auto"/>
            <w:shd w:val="clear" w:color="auto" w:fill="8EAADB" w:themeFill="accent1" w:themeFillTint="99"/>
            <w:vAlign w:val="center"/>
          </w:tcPr>
          <w:p w14:paraId="6064E71D" w14:textId="1C6675F4" w:rsidR="004974BD" w:rsidRPr="00AA22F2" w:rsidRDefault="004974BD" w:rsidP="004974BD">
            <w:pPr>
              <w:cnfStyle w:val="000000000000" w:firstRow="0" w:lastRow="0" w:firstColumn="0" w:lastColumn="0" w:oddVBand="0" w:evenVBand="0" w:oddHBand="0" w:evenHBand="0" w:firstRowFirstColumn="0" w:firstRowLastColumn="0" w:lastRowFirstColumn="0" w:lastRowLastColumn="0"/>
              <w:rPr>
                <w:szCs w:val="20"/>
                <w:lang w:eastAsia="zh-CN"/>
              </w:rPr>
            </w:pPr>
            <w:r w:rsidRPr="00D00A1B">
              <w:rPr>
                <w:rFonts w:asciiTheme="minorHAnsi" w:hAnsiTheme="minorHAnsi" w:cstheme="minorHAnsi"/>
                <w:b/>
                <w:bCs/>
                <w:szCs w:val="20"/>
              </w:rPr>
              <w:t>Sensibilité</w:t>
            </w:r>
          </w:p>
        </w:tc>
        <w:tc>
          <w:tcPr>
            <w:tcW w:w="0" w:type="auto"/>
            <w:shd w:val="clear" w:color="auto" w:fill="8EAADB" w:themeFill="accent1" w:themeFillTint="99"/>
            <w:vAlign w:val="center"/>
          </w:tcPr>
          <w:p w14:paraId="1A032FBC" w14:textId="21C7D0F5" w:rsidR="004974BD" w:rsidRPr="00AA22F2" w:rsidRDefault="004974BD" w:rsidP="004974BD">
            <w:pPr>
              <w:cnfStyle w:val="000000000000" w:firstRow="0" w:lastRow="0" w:firstColumn="0" w:lastColumn="0" w:oddVBand="0" w:evenVBand="0" w:oddHBand="0" w:evenHBand="0" w:firstRowFirstColumn="0" w:firstRowLastColumn="0" w:lastRowFirstColumn="0" w:lastRowLastColumn="0"/>
              <w:rPr>
                <w:b/>
                <w:bCs/>
                <w:szCs w:val="20"/>
                <w:lang w:eastAsia="zh-CN"/>
              </w:rPr>
            </w:pPr>
            <w:r w:rsidRPr="00D00A1B">
              <w:rPr>
                <w:rFonts w:asciiTheme="minorHAnsi" w:hAnsiTheme="minorHAnsi" w:cstheme="minorHAnsi"/>
                <w:b/>
                <w:bCs/>
                <w:szCs w:val="20"/>
              </w:rPr>
              <w:t>Importance de l’impact</w:t>
            </w:r>
          </w:p>
        </w:tc>
      </w:tr>
      <w:tr w:rsidR="002300F0" w:rsidRPr="00D00A1B" w14:paraId="5842B471" w14:textId="77777777" w:rsidTr="00071B43">
        <w:tc>
          <w:tcPr>
            <w:cnfStyle w:val="001000000000" w:firstRow="0" w:lastRow="0" w:firstColumn="1" w:lastColumn="0" w:oddVBand="0" w:evenVBand="0" w:oddHBand="0" w:evenHBand="0" w:firstRowFirstColumn="0" w:firstRowLastColumn="0" w:lastRowFirstColumn="0" w:lastRowLastColumn="0"/>
            <w:tcW w:w="0" w:type="auto"/>
            <w:vMerge/>
          </w:tcPr>
          <w:p w14:paraId="62F9D476" w14:textId="77777777" w:rsidR="004974BD" w:rsidRPr="00AA22F2" w:rsidRDefault="004974BD" w:rsidP="004974BD">
            <w:pPr>
              <w:rPr>
                <w:szCs w:val="20"/>
                <w:lang w:eastAsia="zh-CN"/>
              </w:rPr>
            </w:pPr>
          </w:p>
        </w:tc>
        <w:tc>
          <w:tcPr>
            <w:tcW w:w="0" w:type="auto"/>
          </w:tcPr>
          <w:p w14:paraId="25589028" w14:textId="0E72AFEA" w:rsidR="004974BD" w:rsidRPr="00AA22F2" w:rsidRDefault="002300F0" w:rsidP="004974BD">
            <w:pPr>
              <w:cnfStyle w:val="000000000000" w:firstRow="0" w:lastRow="0" w:firstColumn="0" w:lastColumn="0" w:oddVBand="0" w:evenVBand="0" w:oddHBand="0" w:evenHBand="0" w:firstRowFirstColumn="0" w:firstRowLastColumn="0" w:lastRowFirstColumn="0" w:lastRowLastColumn="0"/>
              <w:rPr>
                <w:szCs w:val="20"/>
                <w:lang w:eastAsia="zh-CN"/>
              </w:rPr>
            </w:pPr>
            <w:r>
              <w:rPr>
                <w:szCs w:val="20"/>
                <w:lang w:eastAsia="zh-CN"/>
              </w:rPr>
              <w:t>Moyenne</w:t>
            </w:r>
          </w:p>
        </w:tc>
        <w:tc>
          <w:tcPr>
            <w:tcW w:w="0" w:type="auto"/>
            <w:shd w:val="clear" w:color="auto" w:fill="auto"/>
          </w:tcPr>
          <w:p w14:paraId="519F077A" w14:textId="0AE7EF7C" w:rsidR="004974BD" w:rsidRPr="004637C7" w:rsidRDefault="002300F0" w:rsidP="004974BD">
            <w:pPr>
              <w:cnfStyle w:val="000000000000" w:firstRow="0" w:lastRow="0" w:firstColumn="0" w:lastColumn="0" w:oddVBand="0" w:evenVBand="0" w:oddHBand="0" w:evenHBand="0" w:firstRowFirstColumn="0" w:firstRowLastColumn="0" w:lastRowFirstColumn="0" w:lastRowLastColumn="0"/>
              <w:rPr>
                <w:szCs w:val="20"/>
                <w:lang w:eastAsia="zh-CN"/>
              </w:rPr>
            </w:pPr>
            <w:r w:rsidRPr="002300F0">
              <w:rPr>
                <w:szCs w:val="20"/>
                <w:lang w:eastAsia="zh-CN"/>
              </w:rPr>
              <w:t>Sols limono-</w:t>
            </w:r>
            <w:r w:rsidR="003508E3">
              <w:rPr>
                <w:szCs w:val="20"/>
                <w:lang w:eastAsia="zh-CN"/>
              </w:rPr>
              <w:t>argileux</w:t>
            </w:r>
            <w:r w:rsidRPr="002300F0">
              <w:rPr>
                <w:szCs w:val="20"/>
                <w:lang w:eastAsia="zh-CN"/>
              </w:rPr>
              <w:t xml:space="preserve"> fragiles</w:t>
            </w:r>
          </w:p>
        </w:tc>
        <w:tc>
          <w:tcPr>
            <w:tcW w:w="0" w:type="auto"/>
            <w:shd w:val="clear" w:color="auto" w:fill="auto"/>
          </w:tcPr>
          <w:p w14:paraId="5CEEAEF5" w14:textId="037B0A22" w:rsidR="004974BD" w:rsidRPr="00AA22F2" w:rsidRDefault="002300F0" w:rsidP="004974BD">
            <w:pPr>
              <w:cnfStyle w:val="000000000000" w:firstRow="0" w:lastRow="0" w:firstColumn="0" w:lastColumn="0" w:oddVBand="0" w:evenVBand="0" w:oddHBand="0" w:evenHBand="0" w:firstRowFirstColumn="0" w:firstRowLastColumn="0" w:lastRowFirstColumn="0" w:lastRowLastColumn="0"/>
              <w:rPr>
                <w:szCs w:val="20"/>
                <w:lang w:eastAsia="zh-CN"/>
              </w:rPr>
            </w:pPr>
            <w:r>
              <w:rPr>
                <w:szCs w:val="20"/>
                <w:lang w:eastAsia="zh-CN"/>
              </w:rPr>
              <w:t>Forte</w:t>
            </w:r>
          </w:p>
        </w:tc>
        <w:tc>
          <w:tcPr>
            <w:tcW w:w="0" w:type="auto"/>
            <w:shd w:val="clear" w:color="auto" w:fill="auto"/>
          </w:tcPr>
          <w:p w14:paraId="4BBACC76" w14:textId="5B0F600B" w:rsidR="004974BD" w:rsidRPr="004637C7" w:rsidRDefault="002300F0" w:rsidP="004974BD">
            <w:pPr>
              <w:cnfStyle w:val="000000000000" w:firstRow="0" w:lastRow="0" w:firstColumn="0" w:lastColumn="0" w:oddVBand="0" w:evenVBand="0" w:oddHBand="0" w:evenHBand="0" w:firstRowFirstColumn="0" w:firstRowLastColumn="0" w:lastRowFirstColumn="0" w:lastRowLastColumn="0"/>
              <w:rPr>
                <w:szCs w:val="20"/>
                <w:lang w:eastAsia="zh-CN"/>
              </w:rPr>
            </w:pPr>
            <w:r>
              <w:rPr>
                <w:szCs w:val="20"/>
                <w:lang w:eastAsia="zh-CN"/>
              </w:rPr>
              <w:t>Majeure</w:t>
            </w:r>
          </w:p>
        </w:tc>
      </w:tr>
    </w:tbl>
    <w:p w14:paraId="2E15FD58" w14:textId="77777777" w:rsidR="00AE45D9" w:rsidRPr="000410D7" w:rsidRDefault="00AE45D9" w:rsidP="0001633E">
      <w:pPr>
        <w:pStyle w:val="AltTitle2"/>
        <w:numPr>
          <w:ilvl w:val="0"/>
          <w:numId w:val="106"/>
        </w:numPr>
      </w:pPr>
      <w:r w:rsidRPr="000410D7">
        <w:t>Compactage du sol</w:t>
      </w:r>
    </w:p>
    <w:p w14:paraId="29FD78D8" w14:textId="77777777" w:rsidR="004C5C3A" w:rsidRDefault="004C5C3A" w:rsidP="004C5C3A">
      <w:r>
        <w:lastRenderedPageBreak/>
        <w:t>Le passage répété des engins de chantier provoquera un tassement du sol, altérant sa porosité et sa perméabilité.</w:t>
      </w:r>
    </w:p>
    <w:p w14:paraId="7C11D2DA" w14:textId="77777777" w:rsidR="004C5C3A" w:rsidRDefault="004C5C3A" w:rsidP="004C5C3A">
      <w:r>
        <w:t>Ce compactage mécanique modifiera la circulation de l’eau et de l’air dans le sol, réduisant la capacité d’infiltration et favorisant le ruissellement.</w:t>
      </w:r>
    </w:p>
    <w:p w14:paraId="52D2F3F9" w14:textId="77777777" w:rsidR="004C5C3A" w:rsidRDefault="004C5C3A" w:rsidP="004C5C3A">
      <w:r>
        <w:t>L’impact est direct et local, temporaire mais continu durant la présence des engins.</w:t>
      </w:r>
    </w:p>
    <w:p w14:paraId="7DA8A16B" w14:textId="01E67E30" w:rsidR="00AE45D9" w:rsidRDefault="004C5C3A" w:rsidP="004C5C3A">
      <w:r>
        <w:t>L’intensité est moyenne, la sensibilité des sols forte, et l’importance modérée à forte, avant réhabilitation.</w:t>
      </w:r>
    </w:p>
    <w:tbl>
      <w:tblPr>
        <w:tblStyle w:val="TableauGrille1Clair-Accentuation111"/>
        <w:tblW w:w="0" w:type="auto"/>
        <w:tblLook w:val="04A0" w:firstRow="1" w:lastRow="0" w:firstColumn="1" w:lastColumn="0" w:noHBand="0" w:noVBand="1"/>
      </w:tblPr>
      <w:tblGrid>
        <w:gridCol w:w="792"/>
        <w:gridCol w:w="1826"/>
        <w:gridCol w:w="1458"/>
        <w:gridCol w:w="3579"/>
        <w:gridCol w:w="1405"/>
      </w:tblGrid>
      <w:tr w:rsidR="00B27998" w:rsidRPr="00071B43" w14:paraId="5CA547EA" w14:textId="77777777" w:rsidTr="000A3EA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12A6FEF0" w14:textId="53C6E790" w:rsidR="00B27998" w:rsidRPr="00AA22F2" w:rsidRDefault="00B27998" w:rsidP="00B27998">
            <w:pPr>
              <w:rPr>
                <w:b w:val="0"/>
                <w:bCs w:val="0"/>
                <w:szCs w:val="20"/>
                <w:lang w:eastAsia="zh-CN"/>
              </w:rPr>
            </w:pPr>
            <w:r w:rsidRPr="00AA22F2">
              <w:rPr>
                <w:szCs w:val="20"/>
                <w:lang w:eastAsia="zh-CN"/>
              </w:rPr>
              <w:t>Impact</w:t>
            </w:r>
          </w:p>
        </w:tc>
        <w:tc>
          <w:tcPr>
            <w:tcW w:w="0" w:type="auto"/>
          </w:tcPr>
          <w:p w14:paraId="2B8EF190" w14:textId="10AE6704" w:rsidR="00B27998" w:rsidRPr="00AA22F2" w:rsidRDefault="00B27998" w:rsidP="00B27998">
            <w:pPr>
              <w:cnfStyle w:val="100000000000" w:firstRow="1" w:lastRow="0" w:firstColumn="0" w:lastColumn="0" w:oddVBand="0" w:evenVBand="0" w:oddHBand="0" w:evenHBand="0" w:firstRowFirstColumn="0" w:firstRowLastColumn="0" w:lastRowFirstColumn="0" w:lastRowLastColumn="0"/>
              <w:rPr>
                <w:szCs w:val="20"/>
                <w:lang w:eastAsia="zh-CN"/>
              </w:rPr>
            </w:pPr>
            <w:r w:rsidRPr="00AA22F2">
              <w:rPr>
                <w:szCs w:val="20"/>
                <w:lang w:eastAsia="zh-CN"/>
              </w:rPr>
              <w:t>Activités génératrices</w:t>
            </w:r>
          </w:p>
        </w:tc>
        <w:tc>
          <w:tcPr>
            <w:tcW w:w="0" w:type="auto"/>
          </w:tcPr>
          <w:p w14:paraId="25D5F9E1" w14:textId="0DB2C6EB" w:rsidR="00B27998" w:rsidRPr="00AA22F2" w:rsidRDefault="00B27998" w:rsidP="00B27998">
            <w:pPr>
              <w:cnfStyle w:val="100000000000" w:firstRow="1" w:lastRow="0" w:firstColumn="0" w:lastColumn="0" w:oddVBand="0" w:evenVBand="0" w:oddHBand="0" w:evenHBand="0" w:firstRowFirstColumn="0" w:firstRowLastColumn="0" w:lastRowFirstColumn="0" w:lastRowLastColumn="0"/>
              <w:rPr>
                <w:b w:val="0"/>
                <w:bCs w:val="0"/>
                <w:szCs w:val="20"/>
                <w:lang w:eastAsia="zh-CN"/>
              </w:rPr>
            </w:pPr>
            <w:r w:rsidRPr="00AA22F2">
              <w:rPr>
                <w:szCs w:val="20"/>
                <w:lang w:eastAsia="zh-CN"/>
              </w:rPr>
              <w:t>Critère</w:t>
            </w:r>
          </w:p>
        </w:tc>
        <w:tc>
          <w:tcPr>
            <w:tcW w:w="0" w:type="auto"/>
          </w:tcPr>
          <w:p w14:paraId="1CDFFB0A" w14:textId="1E85DD45" w:rsidR="00B27998" w:rsidRPr="00AA22F2" w:rsidRDefault="00B27998" w:rsidP="00B27998">
            <w:pPr>
              <w:cnfStyle w:val="100000000000" w:firstRow="1" w:lastRow="0" w:firstColumn="0" w:lastColumn="0" w:oddVBand="0" w:evenVBand="0" w:oddHBand="0" w:evenHBand="0" w:firstRowFirstColumn="0" w:firstRowLastColumn="0" w:lastRowFirstColumn="0" w:lastRowLastColumn="0"/>
              <w:rPr>
                <w:szCs w:val="20"/>
                <w:lang w:eastAsia="zh-CN"/>
              </w:rPr>
            </w:pPr>
            <w:r w:rsidRPr="00AA22F2">
              <w:rPr>
                <w:szCs w:val="20"/>
                <w:lang w:eastAsia="zh-CN"/>
              </w:rPr>
              <w:t>Justification</w:t>
            </w:r>
          </w:p>
        </w:tc>
        <w:tc>
          <w:tcPr>
            <w:tcW w:w="0" w:type="auto"/>
          </w:tcPr>
          <w:p w14:paraId="57AE815A" w14:textId="108666E0" w:rsidR="00B27998" w:rsidRPr="00AA22F2" w:rsidRDefault="00B27998" w:rsidP="00B27998">
            <w:pPr>
              <w:cnfStyle w:val="100000000000" w:firstRow="1" w:lastRow="0" w:firstColumn="0" w:lastColumn="0" w:oddVBand="0" w:evenVBand="0" w:oddHBand="0" w:evenHBand="0" w:firstRowFirstColumn="0" w:firstRowLastColumn="0" w:lastRowFirstColumn="0" w:lastRowLastColumn="0"/>
              <w:rPr>
                <w:b w:val="0"/>
                <w:bCs w:val="0"/>
                <w:szCs w:val="20"/>
                <w:lang w:eastAsia="zh-CN"/>
              </w:rPr>
            </w:pPr>
            <w:r w:rsidRPr="00AA22F2">
              <w:rPr>
                <w:szCs w:val="20"/>
                <w:lang w:eastAsia="zh-CN"/>
              </w:rPr>
              <w:t>Niveau</w:t>
            </w:r>
          </w:p>
        </w:tc>
      </w:tr>
      <w:tr w:rsidR="00071B43" w:rsidRPr="00071B43" w14:paraId="1B45D6A7" w14:textId="77777777" w:rsidTr="004637C7">
        <w:tc>
          <w:tcPr>
            <w:cnfStyle w:val="001000000000" w:firstRow="0" w:lastRow="0" w:firstColumn="1" w:lastColumn="0" w:oddVBand="0" w:evenVBand="0" w:oddHBand="0" w:evenHBand="0" w:firstRowFirstColumn="0" w:firstRowLastColumn="0" w:lastRowFirstColumn="0" w:lastRowLastColumn="0"/>
            <w:tcW w:w="0" w:type="auto"/>
            <w:vMerge w:val="restart"/>
            <w:textDirection w:val="tbRl"/>
            <w:vAlign w:val="center"/>
            <w:hideMark/>
          </w:tcPr>
          <w:p w14:paraId="2E3A8587" w14:textId="77777777" w:rsidR="00071B43" w:rsidRPr="00AA22F2" w:rsidRDefault="00071B43" w:rsidP="004637C7">
            <w:pPr>
              <w:ind w:left="113" w:right="113"/>
              <w:jc w:val="center"/>
              <w:rPr>
                <w:szCs w:val="20"/>
                <w:lang w:eastAsia="zh-CN"/>
              </w:rPr>
            </w:pPr>
            <w:r w:rsidRPr="00AA22F2">
              <w:rPr>
                <w:szCs w:val="20"/>
                <w:lang w:eastAsia="zh-CN"/>
              </w:rPr>
              <w:t>Compactage du sol</w:t>
            </w:r>
          </w:p>
        </w:tc>
        <w:tc>
          <w:tcPr>
            <w:tcW w:w="0" w:type="auto"/>
            <w:vMerge w:val="restart"/>
            <w:hideMark/>
          </w:tcPr>
          <w:p w14:paraId="16214D9C" w14:textId="73B3FFB2" w:rsidR="00071B43" w:rsidRPr="00AA22F2" w:rsidRDefault="004C5C3A" w:rsidP="000A3EA4">
            <w:pPr>
              <w:cnfStyle w:val="000000000000" w:firstRow="0" w:lastRow="0" w:firstColumn="0" w:lastColumn="0" w:oddVBand="0" w:evenVBand="0" w:oddHBand="0" w:evenHBand="0" w:firstRowFirstColumn="0" w:firstRowLastColumn="0" w:lastRowFirstColumn="0" w:lastRowLastColumn="0"/>
              <w:rPr>
                <w:szCs w:val="20"/>
                <w:lang w:eastAsia="zh-CN"/>
              </w:rPr>
            </w:pPr>
            <w:r w:rsidRPr="004C5C3A">
              <w:rPr>
                <w:szCs w:val="20"/>
                <w:lang w:eastAsia="zh-CN"/>
              </w:rPr>
              <w:t>Circulation d’engins lourds et compacteurs</w:t>
            </w:r>
          </w:p>
        </w:tc>
        <w:tc>
          <w:tcPr>
            <w:tcW w:w="0" w:type="auto"/>
            <w:hideMark/>
          </w:tcPr>
          <w:p w14:paraId="16AB0AAE" w14:textId="77777777" w:rsidR="00071B43" w:rsidRPr="00AA22F2" w:rsidRDefault="00071B43" w:rsidP="000A3EA4">
            <w:pPr>
              <w:cnfStyle w:val="000000000000" w:firstRow="0" w:lastRow="0" w:firstColumn="0" w:lastColumn="0" w:oddVBand="0" w:evenVBand="0" w:oddHBand="0" w:evenHBand="0" w:firstRowFirstColumn="0" w:firstRowLastColumn="0" w:lastRowFirstColumn="0" w:lastRowLastColumn="0"/>
              <w:rPr>
                <w:szCs w:val="20"/>
                <w:lang w:eastAsia="zh-CN"/>
              </w:rPr>
            </w:pPr>
            <w:r w:rsidRPr="00AA22F2">
              <w:rPr>
                <w:b/>
                <w:bCs/>
                <w:szCs w:val="20"/>
                <w:lang w:eastAsia="zh-CN"/>
              </w:rPr>
              <w:t>Nature</w:t>
            </w:r>
          </w:p>
        </w:tc>
        <w:tc>
          <w:tcPr>
            <w:tcW w:w="0" w:type="auto"/>
            <w:gridSpan w:val="2"/>
            <w:hideMark/>
          </w:tcPr>
          <w:p w14:paraId="411D4751" w14:textId="77777777" w:rsidR="00071B43" w:rsidRPr="00AA22F2" w:rsidRDefault="00071B43" w:rsidP="000A3EA4">
            <w:pPr>
              <w:cnfStyle w:val="000000000000" w:firstRow="0" w:lastRow="0" w:firstColumn="0" w:lastColumn="0" w:oddVBand="0" w:evenVBand="0" w:oddHBand="0" w:evenHBand="0" w:firstRowFirstColumn="0" w:firstRowLastColumn="0" w:lastRowFirstColumn="0" w:lastRowLastColumn="0"/>
              <w:rPr>
                <w:szCs w:val="20"/>
                <w:lang w:eastAsia="zh-CN"/>
              </w:rPr>
            </w:pPr>
            <w:r w:rsidRPr="00AA22F2">
              <w:rPr>
                <w:b/>
                <w:bCs/>
                <w:szCs w:val="20"/>
                <w:lang w:eastAsia="zh-CN"/>
              </w:rPr>
              <w:t>Négatif direct</w:t>
            </w:r>
          </w:p>
        </w:tc>
      </w:tr>
      <w:tr w:rsidR="00071B43" w:rsidRPr="00071B43" w14:paraId="133EF4B2" w14:textId="77777777" w:rsidTr="000A3EA4">
        <w:tc>
          <w:tcPr>
            <w:cnfStyle w:val="001000000000" w:firstRow="0" w:lastRow="0" w:firstColumn="1" w:lastColumn="0" w:oddVBand="0" w:evenVBand="0" w:oddHBand="0" w:evenHBand="0" w:firstRowFirstColumn="0" w:firstRowLastColumn="0" w:lastRowFirstColumn="0" w:lastRowLastColumn="0"/>
            <w:tcW w:w="0" w:type="auto"/>
            <w:vMerge/>
            <w:hideMark/>
          </w:tcPr>
          <w:p w14:paraId="6148918B" w14:textId="77777777" w:rsidR="00071B43" w:rsidRPr="00AA22F2" w:rsidRDefault="00071B43" w:rsidP="000A3EA4">
            <w:pPr>
              <w:rPr>
                <w:szCs w:val="20"/>
                <w:lang w:eastAsia="zh-CN"/>
              </w:rPr>
            </w:pPr>
          </w:p>
        </w:tc>
        <w:tc>
          <w:tcPr>
            <w:tcW w:w="0" w:type="auto"/>
            <w:vMerge/>
            <w:hideMark/>
          </w:tcPr>
          <w:p w14:paraId="38046946" w14:textId="77777777" w:rsidR="00071B43" w:rsidRPr="00AA22F2" w:rsidRDefault="00071B43" w:rsidP="000A3EA4">
            <w:pPr>
              <w:cnfStyle w:val="000000000000" w:firstRow="0" w:lastRow="0" w:firstColumn="0" w:lastColumn="0" w:oddVBand="0" w:evenVBand="0" w:oddHBand="0" w:evenHBand="0" w:firstRowFirstColumn="0" w:firstRowLastColumn="0" w:lastRowFirstColumn="0" w:lastRowLastColumn="0"/>
              <w:rPr>
                <w:szCs w:val="20"/>
                <w:lang w:eastAsia="zh-CN"/>
              </w:rPr>
            </w:pPr>
          </w:p>
        </w:tc>
        <w:tc>
          <w:tcPr>
            <w:tcW w:w="0" w:type="auto"/>
            <w:hideMark/>
          </w:tcPr>
          <w:p w14:paraId="1C476BDD" w14:textId="77777777" w:rsidR="00071B43" w:rsidRPr="00AA22F2" w:rsidRDefault="00071B43" w:rsidP="000A3EA4">
            <w:pPr>
              <w:cnfStyle w:val="000000000000" w:firstRow="0" w:lastRow="0" w:firstColumn="0" w:lastColumn="0" w:oddVBand="0" w:evenVBand="0" w:oddHBand="0" w:evenHBand="0" w:firstRowFirstColumn="0" w:firstRowLastColumn="0" w:lastRowFirstColumn="0" w:lastRowLastColumn="0"/>
              <w:rPr>
                <w:szCs w:val="20"/>
                <w:lang w:eastAsia="zh-CN"/>
              </w:rPr>
            </w:pPr>
            <w:r w:rsidRPr="00AA22F2">
              <w:rPr>
                <w:b/>
                <w:bCs/>
                <w:szCs w:val="20"/>
                <w:lang w:eastAsia="zh-CN"/>
              </w:rPr>
              <w:t>Étendue</w:t>
            </w:r>
          </w:p>
        </w:tc>
        <w:tc>
          <w:tcPr>
            <w:tcW w:w="0" w:type="auto"/>
            <w:hideMark/>
          </w:tcPr>
          <w:p w14:paraId="7B01B10F" w14:textId="7783B811" w:rsidR="00071B43" w:rsidRPr="00AA22F2" w:rsidRDefault="004C5C3A" w:rsidP="000A3EA4">
            <w:pPr>
              <w:cnfStyle w:val="000000000000" w:firstRow="0" w:lastRow="0" w:firstColumn="0" w:lastColumn="0" w:oddVBand="0" w:evenVBand="0" w:oddHBand="0" w:evenHBand="0" w:firstRowFirstColumn="0" w:firstRowLastColumn="0" w:lastRowFirstColumn="0" w:lastRowLastColumn="0"/>
              <w:rPr>
                <w:szCs w:val="20"/>
                <w:lang w:eastAsia="zh-CN"/>
              </w:rPr>
            </w:pPr>
            <w:r w:rsidRPr="004C5C3A">
              <w:rPr>
                <w:szCs w:val="20"/>
                <w:lang w:eastAsia="zh-CN"/>
              </w:rPr>
              <w:t>Limitée à l’emprise des travaux</w:t>
            </w:r>
          </w:p>
        </w:tc>
        <w:tc>
          <w:tcPr>
            <w:tcW w:w="0" w:type="auto"/>
            <w:hideMark/>
          </w:tcPr>
          <w:p w14:paraId="0AF279FF" w14:textId="77777777" w:rsidR="00071B43" w:rsidRPr="00AA22F2" w:rsidRDefault="00071B43" w:rsidP="000A3EA4">
            <w:pPr>
              <w:cnfStyle w:val="000000000000" w:firstRow="0" w:lastRow="0" w:firstColumn="0" w:lastColumn="0" w:oddVBand="0" w:evenVBand="0" w:oddHBand="0" w:evenHBand="0" w:firstRowFirstColumn="0" w:firstRowLastColumn="0" w:lastRowFirstColumn="0" w:lastRowLastColumn="0"/>
              <w:rPr>
                <w:szCs w:val="20"/>
                <w:lang w:eastAsia="zh-CN"/>
              </w:rPr>
            </w:pPr>
            <w:r w:rsidRPr="00AA22F2">
              <w:rPr>
                <w:b/>
                <w:bCs/>
                <w:szCs w:val="20"/>
                <w:lang w:eastAsia="zh-CN"/>
              </w:rPr>
              <w:t>Locale</w:t>
            </w:r>
          </w:p>
        </w:tc>
      </w:tr>
      <w:tr w:rsidR="00071B43" w:rsidRPr="00071B43" w14:paraId="113A48A8" w14:textId="77777777" w:rsidTr="000A3EA4">
        <w:tc>
          <w:tcPr>
            <w:cnfStyle w:val="001000000000" w:firstRow="0" w:lastRow="0" w:firstColumn="1" w:lastColumn="0" w:oddVBand="0" w:evenVBand="0" w:oddHBand="0" w:evenHBand="0" w:firstRowFirstColumn="0" w:firstRowLastColumn="0" w:lastRowFirstColumn="0" w:lastRowLastColumn="0"/>
            <w:tcW w:w="0" w:type="auto"/>
            <w:vMerge/>
            <w:hideMark/>
          </w:tcPr>
          <w:p w14:paraId="713E07F5" w14:textId="77777777" w:rsidR="00071B43" w:rsidRPr="00AA22F2" w:rsidRDefault="00071B43" w:rsidP="000A3EA4">
            <w:pPr>
              <w:rPr>
                <w:szCs w:val="20"/>
                <w:lang w:eastAsia="zh-CN"/>
              </w:rPr>
            </w:pPr>
          </w:p>
        </w:tc>
        <w:tc>
          <w:tcPr>
            <w:tcW w:w="0" w:type="auto"/>
            <w:vMerge/>
            <w:hideMark/>
          </w:tcPr>
          <w:p w14:paraId="73C44427" w14:textId="77777777" w:rsidR="00071B43" w:rsidRPr="00AA22F2" w:rsidRDefault="00071B43" w:rsidP="000A3EA4">
            <w:pPr>
              <w:cnfStyle w:val="000000000000" w:firstRow="0" w:lastRow="0" w:firstColumn="0" w:lastColumn="0" w:oddVBand="0" w:evenVBand="0" w:oddHBand="0" w:evenHBand="0" w:firstRowFirstColumn="0" w:firstRowLastColumn="0" w:lastRowFirstColumn="0" w:lastRowLastColumn="0"/>
              <w:rPr>
                <w:szCs w:val="20"/>
                <w:lang w:eastAsia="zh-CN"/>
              </w:rPr>
            </w:pPr>
          </w:p>
        </w:tc>
        <w:tc>
          <w:tcPr>
            <w:tcW w:w="0" w:type="auto"/>
            <w:hideMark/>
          </w:tcPr>
          <w:p w14:paraId="4B7779A3" w14:textId="77777777" w:rsidR="00071B43" w:rsidRPr="00AA22F2" w:rsidRDefault="00071B43" w:rsidP="000A3EA4">
            <w:pPr>
              <w:cnfStyle w:val="000000000000" w:firstRow="0" w:lastRow="0" w:firstColumn="0" w:lastColumn="0" w:oddVBand="0" w:evenVBand="0" w:oddHBand="0" w:evenHBand="0" w:firstRowFirstColumn="0" w:firstRowLastColumn="0" w:lastRowFirstColumn="0" w:lastRowLastColumn="0"/>
              <w:rPr>
                <w:szCs w:val="20"/>
                <w:lang w:eastAsia="zh-CN"/>
              </w:rPr>
            </w:pPr>
            <w:r w:rsidRPr="00AA22F2">
              <w:rPr>
                <w:b/>
                <w:bCs/>
                <w:szCs w:val="20"/>
                <w:lang w:eastAsia="zh-CN"/>
              </w:rPr>
              <w:t>Durée</w:t>
            </w:r>
          </w:p>
        </w:tc>
        <w:tc>
          <w:tcPr>
            <w:tcW w:w="0" w:type="auto"/>
            <w:hideMark/>
          </w:tcPr>
          <w:p w14:paraId="41824A97" w14:textId="77777777" w:rsidR="00071B43" w:rsidRPr="00AA22F2" w:rsidRDefault="00071B43" w:rsidP="000A3EA4">
            <w:pPr>
              <w:cnfStyle w:val="000000000000" w:firstRow="0" w:lastRow="0" w:firstColumn="0" w:lastColumn="0" w:oddVBand="0" w:evenVBand="0" w:oddHBand="0" w:evenHBand="0" w:firstRowFirstColumn="0" w:firstRowLastColumn="0" w:lastRowFirstColumn="0" w:lastRowLastColumn="0"/>
              <w:rPr>
                <w:szCs w:val="20"/>
                <w:lang w:eastAsia="zh-CN"/>
              </w:rPr>
            </w:pPr>
            <w:r w:rsidRPr="00AA22F2">
              <w:rPr>
                <w:szCs w:val="20"/>
                <w:lang w:eastAsia="zh-CN"/>
              </w:rPr>
              <w:t>Cesse avec la fin des circulations lourdes ; réversible par décompactage/scarification.</w:t>
            </w:r>
          </w:p>
        </w:tc>
        <w:tc>
          <w:tcPr>
            <w:tcW w:w="0" w:type="auto"/>
            <w:hideMark/>
          </w:tcPr>
          <w:p w14:paraId="3E745DAB" w14:textId="77777777" w:rsidR="00071B43" w:rsidRPr="00AA22F2" w:rsidRDefault="00071B43" w:rsidP="000A3EA4">
            <w:pPr>
              <w:cnfStyle w:val="000000000000" w:firstRow="0" w:lastRow="0" w:firstColumn="0" w:lastColumn="0" w:oddVBand="0" w:evenVBand="0" w:oddHBand="0" w:evenHBand="0" w:firstRowFirstColumn="0" w:firstRowLastColumn="0" w:lastRowFirstColumn="0" w:lastRowLastColumn="0"/>
              <w:rPr>
                <w:szCs w:val="20"/>
                <w:lang w:eastAsia="zh-CN"/>
              </w:rPr>
            </w:pPr>
            <w:r w:rsidRPr="00AA22F2">
              <w:rPr>
                <w:b/>
                <w:bCs/>
                <w:szCs w:val="20"/>
                <w:lang w:eastAsia="zh-CN"/>
              </w:rPr>
              <w:t>Temporaire</w:t>
            </w:r>
          </w:p>
        </w:tc>
      </w:tr>
      <w:tr w:rsidR="00071B43" w:rsidRPr="00071B43" w14:paraId="0CE27E03" w14:textId="77777777" w:rsidTr="000A3EA4">
        <w:tc>
          <w:tcPr>
            <w:cnfStyle w:val="001000000000" w:firstRow="0" w:lastRow="0" w:firstColumn="1" w:lastColumn="0" w:oddVBand="0" w:evenVBand="0" w:oddHBand="0" w:evenHBand="0" w:firstRowFirstColumn="0" w:firstRowLastColumn="0" w:lastRowFirstColumn="0" w:lastRowLastColumn="0"/>
            <w:tcW w:w="0" w:type="auto"/>
            <w:vMerge/>
            <w:hideMark/>
          </w:tcPr>
          <w:p w14:paraId="04021F37" w14:textId="77777777" w:rsidR="00071B43" w:rsidRPr="00AA22F2" w:rsidRDefault="00071B43" w:rsidP="000A3EA4">
            <w:pPr>
              <w:rPr>
                <w:szCs w:val="20"/>
                <w:lang w:eastAsia="zh-CN"/>
              </w:rPr>
            </w:pPr>
          </w:p>
        </w:tc>
        <w:tc>
          <w:tcPr>
            <w:tcW w:w="0" w:type="auto"/>
            <w:vMerge/>
            <w:hideMark/>
          </w:tcPr>
          <w:p w14:paraId="60742DB6" w14:textId="77777777" w:rsidR="00071B43" w:rsidRPr="00AA22F2" w:rsidRDefault="00071B43" w:rsidP="000A3EA4">
            <w:pPr>
              <w:cnfStyle w:val="000000000000" w:firstRow="0" w:lastRow="0" w:firstColumn="0" w:lastColumn="0" w:oddVBand="0" w:evenVBand="0" w:oddHBand="0" w:evenHBand="0" w:firstRowFirstColumn="0" w:firstRowLastColumn="0" w:lastRowFirstColumn="0" w:lastRowLastColumn="0"/>
              <w:rPr>
                <w:szCs w:val="20"/>
                <w:lang w:eastAsia="zh-CN"/>
              </w:rPr>
            </w:pPr>
          </w:p>
        </w:tc>
        <w:tc>
          <w:tcPr>
            <w:tcW w:w="0" w:type="auto"/>
            <w:hideMark/>
          </w:tcPr>
          <w:p w14:paraId="640A89D0" w14:textId="77777777" w:rsidR="00071B43" w:rsidRPr="00AA22F2" w:rsidRDefault="00071B43" w:rsidP="000A3EA4">
            <w:pPr>
              <w:cnfStyle w:val="000000000000" w:firstRow="0" w:lastRow="0" w:firstColumn="0" w:lastColumn="0" w:oddVBand="0" w:evenVBand="0" w:oddHBand="0" w:evenHBand="0" w:firstRowFirstColumn="0" w:firstRowLastColumn="0" w:lastRowFirstColumn="0" w:lastRowLastColumn="0"/>
              <w:rPr>
                <w:szCs w:val="20"/>
                <w:lang w:eastAsia="zh-CN"/>
              </w:rPr>
            </w:pPr>
            <w:r w:rsidRPr="00AA22F2">
              <w:rPr>
                <w:b/>
                <w:bCs/>
                <w:szCs w:val="20"/>
                <w:lang w:eastAsia="zh-CN"/>
              </w:rPr>
              <w:t>Fréquence</w:t>
            </w:r>
          </w:p>
        </w:tc>
        <w:tc>
          <w:tcPr>
            <w:tcW w:w="0" w:type="auto"/>
            <w:hideMark/>
          </w:tcPr>
          <w:p w14:paraId="0355E395" w14:textId="135DDCD4" w:rsidR="00071B43" w:rsidRPr="00AA22F2" w:rsidRDefault="004C5C3A" w:rsidP="000A3EA4">
            <w:pPr>
              <w:cnfStyle w:val="000000000000" w:firstRow="0" w:lastRow="0" w:firstColumn="0" w:lastColumn="0" w:oddVBand="0" w:evenVBand="0" w:oddHBand="0" w:evenHBand="0" w:firstRowFirstColumn="0" w:firstRowLastColumn="0" w:lastRowFirstColumn="0" w:lastRowLastColumn="0"/>
              <w:rPr>
                <w:szCs w:val="20"/>
                <w:lang w:eastAsia="zh-CN"/>
              </w:rPr>
            </w:pPr>
            <w:r w:rsidRPr="004C5C3A">
              <w:rPr>
                <w:szCs w:val="20"/>
                <w:lang w:eastAsia="zh-CN"/>
              </w:rPr>
              <w:t>Continue lors des opérations de nivellement</w:t>
            </w:r>
          </w:p>
        </w:tc>
        <w:tc>
          <w:tcPr>
            <w:tcW w:w="0" w:type="auto"/>
            <w:hideMark/>
          </w:tcPr>
          <w:p w14:paraId="110877A4" w14:textId="77777777" w:rsidR="00071B43" w:rsidRPr="00AA22F2" w:rsidRDefault="00071B43" w:rsidP="000A3EA4">
            <w:pPr>
              <w:cnfStyle w:val="000000000000" w:firstRow="0" w:lastRow="0" w:firstColumn="0" w:lastColumn="0" w:oddVBand="0" w:evenVBand="0" w:oddHBand="0" w:evenHBand="0" w:firstRowFirstColumn="0" w:firstRowLastColumn="0" w:lastRowFirstColumn="0" w:lastRowLastColumn="0"/>
              <w:rPr>
                <w:szCs w:val="20"/>
                <w:lang w:eastAsia="zh-CN"/>
              </w:rPr>
            </w:pPr>
            <w:r w:rsidRPr="00AA22F2">
              <w:rPr>
                <w:b/>
                <w:bCs/>
                <w:szCs w:val="20"/>
                <w:lang w:eastAsia="zh-CN"/>
              </w:rPr>
              <w:t>Continue</w:t>
            </w:r>
          </w:p>
        </w:tc>
      </w:tr>
      <w:tr w:rsidR="00D60FC9" w:rsidRPr="00071B43" w14:paraId="3A829346" w14:textId="77777777" w:rsidTr="000A3EA4">
        <w:tc>
          <w:tcPr>
            <w:cnfStyle w:val="001000000000" w:firstRow="0" w:lastRow="0" w:firstColumn="1" w:lastColumn="0" w:oddVBand="0" w:evenVBand="0" w:oddHBand="0" w:evenHBand="0" w:firstRowFirstColumn="0" w:firstRowLastColumn="0" w:lastRowFirstColumn="0" w:lastRowLastColumn="0"/>
            <w:tcW w:w="0" w:type="auto"/>
            <w:vMerge/>
            <w:hideMark/>
          </w:tcPr>
          <w:p w14:paraId="6808EBBD" w14:textId="77777777" w:rsidR="00071B43" w:rsidRPr="00AA22F2" w:rsidRDefault="00071B43" w:rsidP="000A3EA4">
            <w:pPr>
              <w:rPr>
                <w:szCs w:val="20"/>
                <w:lang w:eastAsia="zh-CN"/>
              </w:rPr>
            </w:pPr>
          </w:p>
        </w:tc>
        <w:tc>
          <w:tcPr>
            <w:tcW w:w="0" w:type="auto"/>
            <w:vMerge/>
            <w:hideMark/>
          </w:tcPr>
          <w:p w14:paraId="3948A9C5" w14:textId="77777777" w:rsidR="00071B43" w:rsidRPr="00AA22F2" w:rsidRDefault="00071B43" w:rsidP="000A3EA4">
            <w:pPr>
              <w:cnfStyle w:val="000000000000" w:firstRow="0" w:lastRow="0" w:firstColumn="0" w:lastColumn="0" w:oddVBand="0" w:evenVBand="0" w:oddHBand="0" w:evenHBand="0" w:firstRowFirstColumn="0" w:firstRowLastColumn="0" w:lastRowFirstColumn="0" w:lastRowLastColumn="0"/>
              <w:rPr>
                <w:szCs w:val="20"/>
                <w:lang w:eastAsia="zh-CN"/>
              </w:rPr>
            </w:pPr>
          </w:p>
        </w:tc>
        <w:tc>
          <w:tcPr>
            <w:tcW w:w="0" w:type="auto"/>
            <w:shd w:val="clear" w:color="auto" w:fill="B4C6E7" w:themeFill="accent1" w:themeFillTint="66"/>
            <w:hideMark/>
          </w:tcPr>
          <w:p w14:paraId="33A5CAED" w14:textId="77777777" w:rsidR="00071B43" w:rsidRPr="00AA22F2" w:rsidRDefault="00071B43" w:rsidP="000A3EA4">
            <w:pPr>
              <w:cnfStyle w:val="000000000000" w:firstRow="0" w:lastRow="0" w:firstColumn="0" w:lastColumn="0" w:oddVBand="0" w:evenVBand="0" w:oddHBand="0" w:evenHBand="0" w:firstRowFirstColumn="0" w:firstRowLastColumn="0" w:lastRowFirstColumn="0" w:lastRowLastColumn="0"/>
              <w:rPr>
                <w:szCs w:val="20"/>
                <w:lang w:eastAsia="zh-CN"/>
              </w:rPr>
            </w:pPr>
            <w:r w:rsidRPr="00AA22F2">
              <w:rPr>
                <w:b/>
                <w:bCs/>
                <w:szCs w:val="20"/>
                <w:lang w:eastAsia="zh-CN"/>
              </w:rPr>
              <w:t>Intensité</w:t>
            </w:r>
          </w:p>
        </w:tc>
        <w:tc>
          <w:tcPr>
            <w:tcW w:w="0" w:type="auto"/>
            <w:shd w:val="clear" w:color="auto" w:fill="B4C6E7" w:themeFill="accent1" w:themeFillTint="66"/>
            <w:hideMark/>
          </w:tcPr>
          <w:p w14:paraId="7A66B033" w14:textId="601F01CA" w:rsidR="00071B43" w:rsidRPr="00AA22F2" w:rsidRDefault="004C5C3A" w:rsidP="000A3EA4">
            <w:pPr>
              <w:cnfStyle w:val="000000000000" w:firstRow="0" w:lastRow="0" w:firstColumn="0" w:lastColumn="0" w:oddVBand="0" w:evenVBand="0" w:oddHBand="0" w:evenHBand="0" w:firstRowFirstColumn="0" w:firstRowLastColumn="0" w:lastRowFirstColumn="0" w:lastRowLastColumn="0"/>
              <w:rPr>
                <w:szCs w:val="20"/>
                <w:lang w:eastAsia="zh-CN"/>
              </w:rPr>
            </w:pPr>
            <w:r w:rsidRPr="004C5C3A">
              <w:rPr>
                <w:szCs w:val="20"/>
                <w:lang w:eastAsia="zh-CN"/>
              </w:rPr>
              <w:t>Modification de la structure du sol, perte de porosité</w:t>
            </w:r>
          </w:p>
        </w:tc>
        <w:tc>
          <w:tcPr>
            <w:tcW w:w="0" w:type="auto"/>
            <w:shd w:val="clear" w:color="auto" w:fill="B4C6E7" w:themeFill="accent1" w:themeFillTint="66"/>
            <w:hideMark/>
          </w:tcPr>
          <w:p w14:paraId="50828704" w14:textId="65631856" w:rsidR="00071B43" w:rsidRPr="00AA22F2" w:rsidRDefault="004C5C3A" w:rsidP="000A3EA4">
            <w:pPr>
              <w:cnfStyle w:val="000000000000" w:firstRow="0" w:lastRow="0" w:firstColumn="0" w:lastColumn="0" w:oddVBand="0" w:evenVBand="0" w:oddHBand="0" w:evenHBand="0" w:firstRowFirstColumn="0" w:firstRowLastColumn="0" w:lastRowFirstColumn="0" w:lastRowLastColumn="0"/>
              <w:rPr>
                <w:szCs w:val="20"/>
                <w:lang w:eastAsia="zh-CN"/>
              </w:rPr>
            </w:pPr>
            <w:r>
              <w:rPr>
                <w:b/>
                <w:bCs/>
                <w:szCs w:val="20"/>
                <w:lang w:eastAsia="zh-CN"/>
              </w:rPr>
              <w:t>Moyenne</w:t>
            </w:r>
          </w:p>
        </w:tc>
      </w:tr>
      <w:tr w:rsidR="00071B43" w:rsidRPr="00071B43" w14:paraId="7717D7F9" w14:textId="77777777" w:rsidTr="000A3EA4">
        <w:tc>
          <w:tcPr>
            <w:cnfStyle w:val="001000000000" w:firstRow="0" w:lastRow="0" w:firstColumn="1" w:lastColumn="0" w:oddVBand="0" w:evenVBand="0" w:oddHBand="0" w:evenHBand="0" w:firstRowFirstColumn="0" w:firstRowLastColumn="0" w:lastRowFirstColumn="0" w:lastRowLastColumn="0"/>
            <w:tcW w:w="0" w:type="auto"/>
            <w:vMerge/>
          </w:tcPr>
          <w:p w14:paraId="35B61E47" w14:textId="77777777" w:rsidR="00071B43" w:rsidRPr="00AA22F2" w:rsidRDefault="00071B43" w:rsidP="004637C7">
            <w:pPr>
              <w:spacing w:before="0" w:after="0"/>
              <w:rPr>
                <w:szCs w:val="20"/>
                <w:lang w:eastAsia="zh-CN"/>
              </w:rPr>
            </w:pPr>
          </w:p>
        </w:tc>
        <w:tc>
          <w:tcPr>
            <w:tcW w:w="0" w:type="auto"/>
            <w:gridSpan w:val="4"/>
          </w:tcPr>
          <w:p w14:paraId="57DDE7F0" w14:textId="77777777" w:rsidR="00071B43" w:rsidRPr="00AA22F2" w:rsidRDefault="00071B43" w:rsidP="004637C7">
            <w:pPr>
              <w:spacing w:before="0" w:after="0"/>
              <w:cnfStyle w:val="000000000000" w:firstRow="0" w:lastRow="0" w:firstColumn="0" w:lastColumn="0" w:oddVBand="0" w:evenVBand="0" w:oddHBand="0" w:evenHBand="0" w:firstRowFirstColumn="0" w:firstRowLastColumn="0" w:lastRowFirstColumn="0" w:lastRowLastColumn="0"/>
              <w:rPr>
                <w:b/>
                <w:bCs/>
                <w:szCs w:val="20"/>
                <w:lang w:eastAsia="zh-CN"/>
              </w:rPr>
            </w:pPr>
          </w:p>
        </w:tc>
      </w:tr>
      <w:tr w:rsidR="00D60FC9" w:rsidRPr="00071B43" w14:paraId="11F6B9B2" w14:textId="77777777" w:rsidTr="004637C7">
        <w:tc>
          <w:tcPr>
            <w:cnfStyle w:val="001000000000" w:firstRow="0" w:lastRow="0" w:firstColumn="1" w:lastColumn="0" w:oddVBand="0" w:evenVBand="0" w:oddHBand="0" w:evenHBand="0" w:firstRowFirstColumn="0" w:firstRowLastColumn="0" w:lastRowFirstColumn="0" w:lastRowLastColumn="0"/>
            <w:tcW w:w="0" w:type="auto"/>
            <w:vMerge/>
          </w:tcPr>
          <w:p w14:paraId="68C559F9" w14:textId="77777777" w:rsidR="00071B43" w:rsidRPr="00AA22F2" w:rsidRDefault="00071B43" w:rsidP="00071B43">
            <w:pPr>
              <w:rPr>
                <w:szCs w:val="20"/>
                <w:lang w:eastAsia="zh-CN"/>
              </w:rPr>
            </w:pPr>
          </w:p>
        </w:tc>
        <w:tc>
          <w:tcPr>
            <w:tcW w:w="0" w:type="auto"/>
            <w:shd w:val="clear" w:color="auto" w:fill="8EAADB" w:themeFill="accent1" w:themeFillTint="99"/>
            <w:vAlign w:val="center"/>
          </w:tcPr>
          <w:p w14:paraId="7619A2A9" w14:textId="474C15B4" w:rsidR="00071B43" w:rsidRPr="00AA22F2" w:rsidRDefault="00071B43" w:rsidP="00071B43">
            <w:pPr>
              <w:cnfStyle w:val="000000000000" w:firstRow="0" w:lastRow="0" w:firstColumn="0" w:lastColumn="0" w:oddVBand="0" w:evenVBand="0" w:oddHBand="0" w:evenHBand="0" w:firstRowFirstColumn="0" w:firstRowLastColumn="0" w:lastRowFirstColumn="0" w:lastRowLastColumn="0"/>
              <w:rPr>
                <w:szCs w:val="20"/>
                <w:lang w:eastAsia="zh-CN"/>
              </w:rPr>
            </w:pPr>
            <w:r w:rsidRPr="00071B43">
              <w:rPr>
                <w:rFonts w:asciiTheme="minorHAnsi" w:hAnsiTheme="minorHAnsi" w:cstheme="minorHAnsi"/>
                <w:b/>
                <w:bCs/>
                <w:szCs w:val="20"/>
              </w:rPr>
              <w:t>Intensité de l’impact</w:t>
            </w:r>
          </w:p>
        </w:tc>
        <w:tc>
          <w:tcPr>
            <w:tcW w:w="0" w:type="auto"/>
            <w:shd w:val="clear" w:color="auto" w:fill="8EAADB" w:themeFill="accent1" w:themeFillTint="99"/>
            <w:vAlign w:val="center"/>
          </w:tcPr>
          <w:p w14:paraId="50821B3D" w14:textId="4CE97DE5" w:rsidR="00071B43" w:rsidRPr="00AA22F2" w:rsidRDefault="00071B43" w:rsidP="00071B43">
            <w:pPr>
              <w:cnfStyle w:val="000000000000" w:firstRow="0" w:lastRow="0" w:firstColumn="0" w:lastColumn="0" w:oddVBand="0" w:evenVBand="0" w:oddHBand="0" w:evenHBand="0" w:firstRowFirstColumn="0" w:firstRowLastColumn="0" w:lastRowFirstColumn="0" w:lastRowLastColumn="0"/>
              <w:rPr>
                <w:b/>
                <w:bCs/>
                <w:szCs w:val="20"/>
                <w:lang w:eastAsia="zh-CN"/>
              </w:rPr>
            </w:pPr>
            <w:r w:rsidRPr="00071B43">
              <w:rPr>
                <w:rFonts w:asciiTheme="minorHAnsi" w:hAnsiTheme="minorHAnsi" w:cstheme="minorHAnsi"/>
                <w:b/>
                <w:bCs/>
                <w:szCs w:val="20"/>
              </w:rPr>
              <w:t>Récepteurs</w:t>
            </w:r>
          </w:p>
        </w:tc>
        <w:tc>
          <w:tcPr>
            <w:tcW w:w="0" w:type="auto"/>
            <w:shd w:val="clear" w:color="auto" w:fill="8EAADB" w:themeFill="accent1" w:themeFillTint="99"/>
            <w:vAlign w:val="center"/>
          </w:tcPr>
          <w:p w14:paraId="2A5BD817" w14:textId="348F9C6C" w:rsidR="00071B43" w:rsidRPr="00AA22F2" w:rsidRDefault="00071B43" w:rsidP="00071B43">
            <w:pPr>
              <w:cnfStyle w:val="000000000000" w:firstRow="0" w:lastRow="0" w:firstColumn="0" w:lastColumn="0" w:oddVBand="0" w:evenVBand="0" w:oddHBand="0" w:evenHBand="0" w:firstRowFirstColumn="0" w:firstRowLastColumn="0" w:lastRowFirstColumn="0" w:lastRowLastColumn="0"/>
              <w:rPr>
                <w:szCs w:val="20"/>
                <w:lang w:eastAsia="zh-CN"/>
              </w:rPr>
            </w:pPr>
            <w:r w:rsidRPr="00071B43">
              <w:rPr>
                <w:rFonts w:asciiTheme="minorHAnsi" w:hAnsiTheme="minorHAnsi" w:cstheme="minorHAnsi"/>
                <w:b/>
                <w:bCs/>
                <w:szCs w:val="20"/>
              </w:rPr>
              <w:t>Sensibilité</w:t>
            </w:r>
          </w:p>
        </w:tc>
        <w:tc>
          <w:tcPr>
            <w:tcW w:w="0" w:type="auto"/>
            <w:shd w:val="clear" w:color="auto" w:fill="8EAADB" w:themeFill="accent1" w:themeFillTint="99"/>
            <w:vAlign w:val="center"/>
          </w:tcPr>
          <w:p w14:paraId="207DB789" w14:textId="0470BA19" w:rsidR="00071B43" w:rsidRPr="00AA22F2" w:rsidRDefault="00071B43" w:rsidP="00071B43">
            <w:pPr>
              <w:cnfStyle w:val="000000000000" w:firstRow="0" w:lastRow="0" w:firstColumn="0" w:lastColumn="0" w:oddVBand="0" w:evenVBand="0" w:oddHBand="0" w:evenHBand="0" w:firstRowFirstColumn="0" w:firstRowLastColumn="0" w:lastRowFirstColumn="0" w:lastRowLastColumn="0"/>
              <w:rPr>
                <w:b/>
                <w:bCs/>
                <w:szCs w:val="20"/>
                <w:lang w:eastAsia="zh-CN"/>
              </w:rPr>
            </w:pPr>
            <w:r w:rsidRPr="00071B43">
              <w:rPr>
                <w:rFonts w:asciiTheme="minorHAnsi" w:hAnsiTheme="minorHAnsi" w:cstheme="minorHAnsi"/>
                <w:b/>
                <w:bCs/>
                <w:szCs w:val="20"/>
              </w:rPr>
              <w:t>Importance de l’impact</w:t>
            </w:r>
          </w:p>
        </w:tc>
      </w:tr>
      <w:tr w:rsidR="00D60FC9" w:rsidRPr="00071B43" w14:paraId="61738B80" w14:textId="77777777" w:rsidTr="004637C7">
        <w:tc>
          <w:tcPr>
            <w:cnfStyle w:val="001000000000" w:firstRow="0" w:lastRow="0" w:firstColumn="1" w:lastColumn="0" w:oddVBand="0" w:evenVBand="0" w:oddHBand="0" w:evenHBand="0" w:firstRowFirstColumn="0" w:firstRowLastColumn="0" w:lastRowFirstColumn="0" w:lastRowLastColumn="0"/>
            <w:tcW w:w="0" w:type="auto"/>
            <w:vMerge/>
          </w:tcPr>
          <w:p w14:paraId="413E9A9C" w14:textId="77777777" w:rsidR="004C5C3A" w:rsidRPr="00AA22F2" w:rsidRDefault="004C5C3A" w:rsidP="004C5C3A">
            <w:pPr>
              <w:rPr>
                <w:szCs w:val="20"/>
                <w:lang w:eastAsia="zh-CN"/>
              </w:rPr>
            </w:pPr>
          </w:p>
        </w:tc>
        <w:tc>
          <w:tcPr>
            <w:tcW w:w="0" w:type="auto"/>
            <w:shd w:val="clear" w:color="auto" w:fill="auto"/>
          </w:tcPr>
          <w:p w14:paraId="19BE2E50" w14:textId="35D27A2A" w:rsidR="004C5C3A" w:rsidRPr="00AA22F2" w:rsidRDefault="004C5C3A" w:rsidP="004C5C3A">
            <w:pPr>
              <w:cnfStyle w:val="000000000000" w:firstRow="0" w:lastRow="0" w:firstColumn="0" w:lastColumn="0" w:oddVBand="0" w:evenVBand="0" w:oddHBand="0" w:evenHBand="0" w:firstRowFirstColumn="0" w:firstRowLastColumn="0" w:lastRowFirstColumn="0" w:lastRowLastColumn="0"/>
              <w:rPr>
                <w:szCs w:val="20"/>
                <w:lang w:eastAsia="zh-CN"/>
              </w:rPr>
            </w:pPr>
            <w:r>
              <w:rPr>
                <w:szCs w:val="20"/>
                <w:lang w:eastAsia="zh-CN"/>
              </w:rPr>
              <w:t>Moyenne</w:t>
            </w:r>
          </w:p>
        </w:tc>
        <w:tc>
          <w:tcPr>
            <w:tcW w:w="0" w:type="auto"/>
            <w:shd w:val="clear" w:color="auto" w:fill="auto"/>
          </w:tcPr>
          <w:p w14:paraId="30036C29" w14:textId="26364CBE" w:rsidR="004C5C3A" w:rsidRPr="00AA22F2" w:rsidRDefault="004C5C3A" w:rsidP="004C5C3A">
            <w:pPr>
              <w:cnfStyle w:val="000000000000" w:firstRow="0" w:lastRow="0" w:firstColumn="0" w:lastColumn="0" w:oddVBand="0" w:evenVBand="0" w:oddHBand="0" w:evenHBand="0" w:firstRowFirstColumn="0" w:firstRowLastColumn="0" w:lastRowFirstColumn="0" w:lastRowLastColumn="0"/>
              <w:rPr>
                <w:b/>
                <w:bCs/>
                <w:szCs w:val="20"/>
                <w:lang w:eastAsia="zh-CN"/>
              </w:rPr>
            </w:pPr>
            <w:r w:rsidRPr="002300F0">
              <w:rPr>
                <w:szCs w:val="20"/>
                <w:lang w:eastAsia="zh-CN"/>
              </w:rPr>
              <w:t>Sols limono-</w:t>
            </w:r>
            <w:r w:rsidR="003508E3">
              <w:rPr>
                <w:szCs w:val="20"/>
                <w:lang w:eastAsia="zh-CN"/>
              </w:rPr>
              <w:t>argileux</w:t>
            </w:r>
            <w:r w:rsidRPr="002300F0">
              <w:rPr>
                <w:szCs w:val="20"/>
                <w:lang w:eastAsia="zh-CN"/>
              </w:rPr>
              <w:t xml:space="preserve"> fragiles</w:t>
            </w:r>
          </w:p>
        </w:tc>
        <w:tc>
          <w:tcPr>
            <w:tcW w:w="0" w:type="auto"/>
            <w:shd w:val="clear" w:color="auto" w:fill="auto"/>
          </w:tcPr>
          <w:p w14:paraId="0E59241C" w14:textId="415CCB2B" w:rsidR="004C5C3A" w:rsidRPr="00AA22F2" w:rsidRDefault="004C5C3A" w:rsidP="004C5C3A">
            <w:pPr>
              <w:cnfStyle w:val="000000000000" w:firstRow="0" w:lastRow="0" w:firstColumn="0" w:lastColumn="0" w:oddVBand="0" w:evenVBand="0" w:oddHBand="0" w:evenHBand="0" w:firstRowFirstColumn="0" w:firstRowLastColumn="0" w:lastRowFirstColumn="0" w:lastRowLastColumn="0"/>
              <w:rPr>
                <w:szCs w:val="20"/>
                <w:lang w:eastAsia="zh-CN"/>
              </w:rPr>
            </w:pPr>
            <w:r>
              <w:rPr>
                <w:szCs w:val="20"/>
                <w:lang w:eastAsia="zh-CN"/>
              </w:rPr>
              <w:t>Forte</w:t>
            </w:r>
          </w:p>
        </w:tc>
        <w:tc>
          <w:tcPr>
            <w:tcW w:w="0" w:type="auto"/>
            <w:shd w:val="clear" w:color="auto" w:fill="auto"/>
          </w:tcPr>
          <w:p w14:paraId="0CCAF707" w14:textId="7924CB48" w:rsidR="004C5C3A" w:rsidRPr="00AA22F2" w:rsidRDefault="004C5C3A" w:rsidP="004C5C3A">
            <w:pPr>
              <w:cnfStyle w:val="000000000000" w:firstRow="0" w:lastRow="0" w:firstColumn="0" w:lastColumn="0" w:oddVBand="0" w:evenVBand="0" w:oddHBand="0" w:evenHBand="0" w:firstRowFirstColumn="0" w:firstRowLastColumn="0" w:lastRowFirstColumn="0" w:lastRowLastColumn="0"/>
              <w:rPr>
                <w:b/>
                <w:bCs/>
                <w:szCs w:val="20"/>
                <w:lang w:eastAsia="zh-CN"/>
              </w:rPr>
            </w:pPr>
            <w:r w:rsidRPr="00AA22F2">
              <w:rPr>
                <w:b/>
                <w:bCs/>
                <w:szCs w:val="20"/>
                <w:lang w:eastAsia="zh-CN"/>
              </w:rPr>
              <w:t>M</w:t>
            </w:r>
            <w:r>
              <w:rPr>
                <w:b/>
                <w:bCs/>
                <w:szCs w:val="20"/>
                <w:lang w:eastAsia="zh-CN"/>
              </w:rPr>
              <w:t>ajeure</w:t>
            </w:r>
          </w:p>
        </w:tc>
      </w:tr>
    </w:tbl>
    <w:p w14:paraId="49458C71" w14:textId="4A592B4A" w:rsidR="00AE45D9" w:rsidRPr="00F95C0E" w:rsidRDefault="004C5C3A" w:rsidP="0001633E">
      <w:pPr>
        <w:pStyle w:val="AltTitle2"/>
        <w:numPr>
          <w:ilvl w:val="0"/>
          <w:numId w:val="106"/>
        </w:numPr>
      </w:pPr>
      <w:r>
        <w:t>E</w:t>
      </w:r>
      <w:r w:rsidR="00AE45D9" w:rsidRPr="00F95C0E">
        <w:t>rosion</w:t>
      </w:r>
      <w:r>
        <w:t xml:space="preserve"> hydrique et éolienne </w:t>
      </w:r>
    </w:p>
    <w:p w14:paraId="6BA528B7" w14:textId="25938276" w:rsidR="004C5C3A" w:rsidRDefault="004C5C3A" w:rsidP="004C5C3A">
      <w:r>
        <w:t>L’exposition du sol nu aux vents dominants et aux précipitations irrégulières du climat favorisera les phénomènes d’érosion et de dispersion de particules fines.</w:t>
      </w:r>
    </w:p>
    <w:p w14:paraId="3A17DBBB" w14:textId="77777777" w:rsidR="004C5C3A" w:rsidRDefault="004C5C3A" w:rsidP="004C5C3A">
      <w:r>
        <w:t>Le risque est accentué sur les zones de sol dénudé, notamment avant la stabilisation finale des surfaces.</w:t>
      </w:r>
    </w:p>
    <w:p w14:paraId="40557A76" w14:textId="77777777" w:rsidR="004C5C3A" w:rsidRDefault="004C5C3A" w:rsidP="004C5C3A">
      <w:r>
        <w:t>L’impact est direct, temporaire, intermittent, avec une intensité moyenne.</w:t>
      </w:r>
    </w:p>
    <w:p w14:paraId="2A47DF6E" w14:textId="77777777" w:rsidR="004C5C3A" w:rsidRDefault="004C5C3A" w:rsidP="004C5C3A">
      <w:r>
        <w:t>Les récepteurs sensibles sont les sols de surface et les zones basses exposées au ruissellement.</w:t>
      </w:r>
    </w:p>
    <w:p w14:paraId="13475336" w14:textId="5DB19692" w:rsidR="00722563" w:rsidRDefault="004C5C3A" w:rsidP="004C5C3A">
      <w:r>
        <w:t>L’importance est modérée.</w:t>
      </w:r>
      <w:r w:rsidR="00722563">
        <w:br w:type="page"/>
      </w:r>
    </w:p>
    <w:tbl>
      <w:tblPr>
        <w:tblStyle w:val="TableauGrille1Clair-Accentuation111"/>
        <w:tblW w:w="0" w:type="auto"/>
        <w:tblLook w:val="04A0" w:firstRow="1" w:lastRow="0" w:firstColumn="1" w:lastColumn="0" w:noHBand="0" w:noVBand="1"/>
      </w:tblPr>
      <w:tblGrid>
        <w:gridCol w:w="1415"/>
        <w:gridCol w:w="1809"/>
        <w:gridCol w:w="1519"/>
        <w:gridCol w:w="2749"/>
        <w:gridCol w:w="1568"/>
      </w:tblGrid>
      <w:tr w:rsidR="00B27998" w:rsidRPr="00071B43" w14:paraId="30863120" w14:textId="77777777" w:rsidTr="000A3EA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073AD853" w14:textId="060A0F6B" w:rsidR="00B27998" w:rsidRPr="00AA22F2" w:rsidRDefault="00B27998" w:rsidP="00B27998">
            <w:pPr>
              <w:rPr>
                <w:b w:val="0"/>
                <w:bCs w:val="0"/>
                <w:szCs w:val="20"/>
                <w:lang w:eastAsia="zh-CN"/>
              </w:rPr>
            </w:pPr>
            <w:r w:rsidRPr="00AA22F2">
              <w:rPr>
                <w:szCs w:val="20"/>
                <w:lang w:eastAsia="zh-CN"/>
              </w:rPr>
              <w:lastRenderedPageBreak/>
              <w:t>Impact</w:t>
            </w:r>
          </w:p>
        </w:tc>
        <w:tc>
          <w:tcPr>
            <w:tcW w:w="0" w:type="auto"/>
          </w:tcPr>
          <w:p w14:paraId="7789A391" w14:textId="4AFE3497" w:rsidR="00B27998" w:rsidRPr="00AA22F2" w:rsidRDefault="00B27998" w:rsidP="00B27998">
            <w:pPr>
              <w:cnfStyle w:val="100000000000" w:firstRow="1" w:lastRow="0" w:firstColumn="0" w:lastColumn="0" w:oddVBand="0" w:evenVBand="0" w:oddHBand="0" w:evenHBand="0" w:firstRowFirstColumn="0" w:firstRowLastColumn="0" w:lastRowFirstColumn="0" w:lastRowLastColumn="0"/>
              <w:rPr>
                <w:szCs w:val="20"/>
                <w:lang w:eastAsia="zh-CN"/>
              </w:rPr>
            </w:pPr>
            <w:r w:rsidRPr="00AA22F2">
              <w:rPr>
                <w:szCs w:val="20"/>
                <w:lang w:eastAsia="zh-CN"/>
              </w:rPr>
              <w:t>Activités génératrices</w:t>
            </w:r>
          </w:p>
        </w:tc>
        <w:tc>
          <w:tcPr>
            <w:tcW w:w="0" w:type="auto"/>
          </w:tcPr>
          <w:p w14:paraId="7654F373" w14:textId="153471F4" w:rsidR="00B27998" w:rsidRPr="00AA22F2" w:rsidRDefault="00B27998" w:rsidP="00B27998">
            <w:pPr>
              <w:cnfStyle w:val="100000000000" w:firstRow="1" w:lastRow="0" w:firstColumn="0" w:lastColumn="0" w:oddVBand="0" w:evenVBand="0" w:oddHBand="0" w:evenHBand="0" w:firstRowFirstColumn="0" w:firstRowLastColumn="0" w:lastRowFirstColumn="0" w:lastRowLastColumn="0"/>
              <w:rPr>
                <w:b w:val="0"/>
                <w:bCs w:val="0"/>
                <w:szCs w:val="20"/>
                <w:lang w:eastAsia="zh-CN"/>
              </w:rPr>
            </w:pPr>
            <w:r w:rsidRPr="00AA22F2">
              <w:rPr>
                <w:szCs w:val="20"/>
                <w:lang w:eastAsia="zh-CN"/>
              </w:rPr>
              <w:t>Critère</w:t>
            </w:r>
          </w:p>
        </w:tc>
        <w:tc>
          <w:tcPr>
            <w:tcW w:w="0" w:type="auto"/>
          </w:tcPr>
          <w:p w14:paraId="340C73B2" w14:textId="1804631A" w:rsidR="00B27998" w:rsidRPr="00AA22F2" w:rsidRDefault="00B27998" w:rsidP="00B27998">
            <w:pPr>
              <w:cnfStyle w:val="100000000000" w:firstRow="1" w:lastRow="0" w:firstColumn="0" w:lastColumn="0" w:oddVBand="0" w:evenVBand="0" w:oddHBand="0" w:evenHBand="0" w:firstRowFirstColumn="0" w:firstRowLastColumn="0" w:lastRowFirstColumn="0" w:lastRowLastColumn="0"/>
              <w:rPr>
                <w:szCs w:val="20"/>
                <w:lang w:eastAsia="zh-CN"/>
              </w:rPr>
            </w:pPr>
            <w:r w:rsidRPr="00AA22F2">
              <w:rPr>
                <w:szCs w:val="20"/>
                <w:lang w:eastAsia="zh-CN"/>
              </w:rPr>
              <w:t>Justification</w:t>
            </w:r>
          </w:p>
        </w:tc>
        <w:tc>
          <w:tcPr>
            <w:tcW w:w="0" w:type="auto"/>
          </w:tcPr>
          <w:p w14:paraId="5CBF4350" w14:textId="7B5A9E87" w:rsidR="00B27998" w:rsidRPr="00AA22F2" w:rsidRDefault="00B27998" w:rsidP="00B27998">
            <w:pPr>
              <w:cnfStyle w:val="100000000000" w:firstRow="1" w:lastRow="0" w:firstColumn="0" w:lastColumn="0" w:oddVBand="0" w:evenVBand="0" w:oddHBand="0" w:evenHBand="0" w:firstRowFirstColumn="0" w:firstRowLastColumn="0" w:lastRowFirstColumn="0" w:lastRowLastColumn="0"/>
              <w:rPr>
                <w:b w:val="0"/>
                <w:bCs w:val="0"/>
                <w:szCs w:val="20"/>
                <w:lang w:eastAsia="zh-CN"/>
              </w:rPr>
            </w:pPr>
            <w:r w:rsidRPr="00AA22F2">
              <w:rPr>
                <w:szCs w:val="20"/>
                <w:lang w:eastAsia="zh-CN"/>
              </w:rPr>
              <w:t>Niveau</w:t>
            </w:r>
          </w:p>
        </w:tc>
      </w:tr>
      <w:tr w:rsidR="00071B43" w:rsidRPr="00071B43" w14:paraId="2CA0FC21" w14:textId="77777777" w:rsidTr="000A3EA4">
        <w:tc>
          <w:tcPr>
            <w:cnfStyle w:val="001000000000" w:firstRow="0" w:lastRow="0" w:firstColumn="1" w:lastColumn="0" w:oddVBand="0" w:evenVBand="0" w:oddHBand="0" w:evenHBand="0" w:firstRowFirstColumn="0" w:firstRowLastColumn="0" w:lastRowFirstColumn="0" w:lastRowLastColumn="0"/>
            <w:tcW w:w="0" w:type="auto"/>
            <w:vMerge w:val="restart"/>
            <w:hideMark/>
          </w:tcPr>
          <w:p w14:paraId="5A0C352B" w14:textId="752C392E" w:rsidR="00071B43" w:rsidRPr="00AA22F2" w:rsidRDefault="004C5C3A" w:rsidP="000A3EA4">
            <w:pPr>
              <w:rPr>
                <w:szCs w:val="20"/>
                <w:lang w:eastAsia="zh-CN"/>
              </w:rPr>
            </w:pPr>
            <w:r w:rsidRPr="004C5C3A">
              <w:rPr>
                <w:szCs w:val="20"/>
                <w:lang w:eastAsia="zh-CN"/>
              </w:rPr>
              <w:t>Érosion hydrique et éolienne</w:t>
            </w:r>
          </w:p>
        </w:tc>
        <w:tc>
          <w:tcPr>
            <w:tcW w:w="0" w:type="auto"/>
            <w:vMerge w:val="restart"/>
            <w:hideMark/>
          </w:tcPr>
          <w:p w14:paraId="21609F92" w14:textId="5F4EBB01" w:rsidR="00071B43" w:rsidRPr="00AA22F2" w:rsidRDefault="004C5C3A" w:rsidP="000A3EA4">
            <w:pPr>
              <w:cnfStyle w:val="000000000000" w:firstRow="0" w:lastRow="0" w:firstColumn="0" w:lastColumn="0" w:oddVBand="0" w:evenVBand="0" w:oddHBand="0" w:evenHBand="0" w:firstRowFirstColumn="0" w:firstRowLastColumn="0" w:lastRowFirstColumn="0" w:lastRowLastColumn="0"/>
              <w:rPr>
                <w:szCs w:val="20"/>
                <w:lang w:eastAsia="zh-CN"/>
              </w:rPr>
            </w:pPr>
            <w:r w:rsidRPr="004C5C3A">
              <w:rPr>
                <w:szCs w:val="20"/>
                <w:lang w:eastAsia="zh-CN"/>
              </w:rPr>
              <w:t>Terrassement et mise à nu des sols</w:t>
            </w:r>
          </w:p>
        </w:tc>
        <w:tc>
          <w:tcPr>
            <w:tcW w:w="0" w:type="auto"/>
            <w:hideMark/>
          </w:tcPr>
          <w:p w14:paraId="12D65B90" w14:textId="77777777" w:rsidR="00071B43" w:rsidRPr="00AA22F2" w:rsidRDefault="00071B43" w:rsidP="000A3EA4">
            <w:pPr>
              <w:cnfStyle w:val="000000000000" w:firstRow="0" w:lastRow="0" w:firstColumn="0" w:lastColumn="0" w:oddVBand="0" w:evenVBand="0" w:oddHBand="0" w:evenHBand="0" w:firstRowFirstColumn="0" w:firstRowLastColumn="0" w:lastRowFirstColumn="0" w:lastRowLastColumn="0"/>
              <w:rPr>
                <w:szCs w:val="20"/>
                <w:lang w:eastAsia="zh-CN"/>
              </w:rPr>
            </w:pPr>
            <w:r w:rsidRPr="00AA22F2">
              <w:rPr>
                <w:b/>
                <w:bCs/>
                <w:szCs w:val="20"/>
                <w:lang w:eastAsia="zh-CN"/>
              </w:rPr>
              <w:t>Nature</w:t>
            </w:r>
          </w:p>
        </w:tc>
        <w:tc>
          <w:tcPr>
            <w:tcW w:w="0" w:type="auto"/>
            <w:gridSpan w:val="2"/>
          </w:tcPr>
          <w:p w14:paraId="01120D9D" w14:textId="77777777" w:rsidR="00071B43" w:rsidRPr="00AA22F2" w:rsidRDefault="00071B43" w:rsidP="000A3EA4">
            <w:pPr>
              <w:cnfStyle w:val="000000000000" w:firstRow="0" w:lastRow="0" w:firstColumn="0" w:lastColumn="0" w:oddVBand="0" w:evenVBand="0" w:oddHBand="0" w:evenHBand="0" w:firstRowFirstColumn="0" w:firstRowLastColumn="0" w:lastRowFirstColumn="0" w:lastRowLastColumn="0"/>
              <w:rPr>
                <w:szCs w:val="20"/>
                <w:lang w:eastAsia="zh-CN"/>
              </w:rPr>
            </w:pPr>
            <w:r w:rsidRPr="00AA22F2">
              <w:rPr>
                <w:b/>
                <w:bCs/>
                <w:szCs w:val="20"/>
                <w:lang w:eastAsia="zh-CN"/>
              </w:rPr>
              <w:t>Négatif indirect</w:t>
            </w:r>
          </w:p>
        </w:tc>
      </w:tr>
      <w:tr w:rsidR="00071B43" w:rsidRPr="00071B43" w14:paraId="131E60A0" w14:textId="77777777" w:rsidTr="000A3EA4">
        <w:tc>
          <w:tcPr>
            <w:cnfStyle w:val="001000000000" w:firstRow="0" w:lastRow="0" w:firstColumn="1" w:lastColumn="0" w:oddVBand="0" w:evenVBand="0" w:oddHBand="0" w:evenHBand="0" w:firstRowFirstColumn="0" w:firstRowLastColumn="0" w:lastRowFirstColumn="0" w:lastRowLastColumn="0"/>
            <w:tcW w:w="0" w:type="auto"/>
            <w:vMerge/>
            <w:hideMark/>
          </w:tcPr>
          <w:p w14:paraId="36F54B64" w14:textId="77777777" w:rsidR="00071B43" w:rsidRPr="00AA22F2" w:rsidRDefault="00071B43" w:rsidP="000A3EA4">
            <w:pPr>
              <w:rPr>
                <w:szCs w:val="20"/>
                <w:lang w:eastAsia="zh-CN"/>
              </w:rPr>
            </w:pPr>
          </w:p>
        </w:tc>
        <w:tc>
          <w:tcPr>
            <w:tcW w:w="0" w:type="auto"/>
            <w:vMerge/>
            <w:hideMark/>
          </w:tcPr>
          <w:p w14:paraId="7B5A12A7" w14:textId="77777777" w:rsidR="00071B43" w:rsidRPr="00AA22F2" w:rsidRDefault="00071B43" w:rsidP="000A3EA4">
            <w:pPr>
              <w:cnfStyle w:val="000000000000" w:firstRow="0" w:lastRow="0" w:firstColumn="0" w:lastColumn="0" w:oddVBand="0" w:evenVBand="0" w:oddHBand="0" w:evenHBand="0" w:firstRowFirstColumn="0" w:firstRowLastColumn="0" w:lastRowFirstColumn="0" w:lastRowLastColumn="0"/>
              <w:rPr>
                <w:szCs w:val="20"/>
                <w:lang w:eastAsia="zh-CN"/>
              </w:rPr>
            </w:pPr>
          </w:p>
        </w:tc>
        <w:tc>
          <w:tcPr>
            <w:tcW w:w="0" w:type="auto"/>
            <w:hideMark/>
          </w:tcPr>
          <w:p w14:paraId="498A9896" w14:textId="77777777" w:rsidR="00071B43" w:rsidRPr="00AA22F2" w:rsidRDefault="00071B43" w:rsidP="000A3EA4">
            <w:pPr>
              <w:cnfStyle w:val="000000000000" w:firstRow="0" w:lastRow="0" w:firstColumn="0" w:lastColumn="0" w:oddVBand="0" w:evenVBand="0" w:oddHBand="0" w:evenHBand="0" w:firstRowFirstColumn="0" w:firstRowLastColumn="0" w:lastRowFirstColumn="0" w:lastRowLastColumn="0"/>
              <w:rPr>
                <w:szCs w:val="20"/>
                <w:lang w:eastAsia="zh-CN"/>
              </w:rPr>
            </w:pPr>
            <w:r w:rsidRPr="00AA22F2">
              <w:rPr>
                <w:b/>
                <w:bCs/>
                <w:szCs w:val="20"/>
                <w:lang w:eastAsia="zh-CN"/>
              </w:rPr>
              <w:t>Étendue</w:t>
            </w:r>
          </w:p>
        </w:tc>
        <w:tc>
          <w:tcPr>
            <w:tcW w:w="0" w:type="auto"/>
            <w:hideMark/>
          </w:tcPr>
          <w:p w14:paraId="650C9F83" w14:textId="70255404" w:rsidR="00071B43" w:rsidRPr="00AA22F2" w:rsidRDefault="004C5C3A" w:rsidP="000A3EA4">
            <w:pPr>
              <w:cnfStyle w:val="000000000000" w:firstRow="0" w:lastRow="0" w:firstColumn="0" w:lastColumn="0" w:oddVBand="0" w:evenVBand="0" w:oddHBand="0" w:evenHBand="0" w:firstRowFirstColumn="0" w:firstRowLastColumn="0" w:lastRowFirstColumn="0" w:lastRowLastColumn="0"/>
              <w:rPr>
                <w:szCs w:val="20"/>
                <w:lang w:eastAsia="zh-CN"/>
              </w:rPr>
            </w:pPr>
            <w:r w:rsidRPr="004C5C3A">
              <w:rPr>
                <w:szCs w:val="20"/>
                <w:lang w:eastAsia="zh-CN"/>
              </w:rPr>
              <w:t>Localisée, marges du chantier</w:t>
            </w:r>
          </w:p>
        </w:tc>
        <w:tc>
          <w:tcPr>
            <w:tcW w:w="0" w:type="auto"/>
            <w:hideMark/>
          </w:tcPr>
          <w:p w14:paraId="30504972" w14:textId="77777777" w:rsidR="00071B43" w:rsidRPr="00AA22F2" w:rsidRDefault="00071B43" w:rsidP="000A3EA4">
            <w:pPr>
              <w:cnfStyle w:val="000000000000" w:firstRow="0" w:lastRow="0" w:firstColumn="0" w:lastColumn="0" w:oddVBand="0" w:evenVBand="0" w:oddHBand="0" w:evenHBand="0" w:firstRowFirstColumn="0" w:firstRowLastColumn="0" w:lastRowFirstColumn="0" w:lastRowLastColumn="0"/>
              <w:rPr>
                <w:szCs w:val="20"/>
                <w:lang w:eastAsia="zh-CN"/>
              </w:rPr>
            </w:pPr>
            <w:r w:rsidRPr="00AA22F2">
              <w:rPr>
                <w:b/>
                <w:bCs/>
                <w:szCs w:val="20"/>
                <w:lang w:eastAsia="zh-CN"/>
              </w:rPr>
              <w:t>Locale</w:t>
            </w:r>
          </w:p>
        </w:tc>
      </w:tr>
      <w:tr w:rsidR="00071B43" w:rsidRPr="00071B43" w14:paraId="5F593DDA" w14:textId="77777777" w:rsidTr="000A3EA4">
        <w:tc>
          <w:tcPr>
            <w:cnfStyle w:val="001000000000" w:firstRow="0" w:lastRow="0" w:firstColumn="1" w:lastColumn="0" w:oddVBand="0" w:evenVBand="0" w:oddHBand="0" w:evenHBand="0" w:firstRowFirstColumn="0" w:firstRowLastColumn="0" w:lastRowFirstColumn="0" w:lastRowLastColumn="0"/>
            <w:tcW w:w="0" w:type="auto"/>
            <w:vMerge/>
            <w:hideMark/>
          </w:tcPr>
          <w:p w14:paraId="0F6D952C" w14:textId="77777777" w:rsidR="00071B43" w:rsidRPr="00AA22F2" w:rsidRDefault="00071B43" w:rsidP="000A3EA4">
            <w:pPr>
              <w:rPr>
                <w:szCs w:val="20"/>
                <w:lang w:eastAsia="zh-CN"/>
              </w:rPr>
            </w:pPr>
          </w:p>
        </w:tc>
        <w:tc>
          <w:tcPr>
            <w:tcW w:w="0" w:type="auto"/>
            <w:vMerge/>
            <w:hideMark/>
          </w:tcPr>
          <w:p w14:paraId="7A00718D" w14:textId="77777777" w:rsidR="00071B43" w:rsidRPr="00AA22F2" w:rsidRDefault="00071B43" w:rsidP="000A3EA4">
            <w:pPr>
              <w:cnfStyle w:val="000000000000" w:firstRow="0" w:lastRow="0" w:firstColumn="0" w:lastColumn="0" w:oddVBand="0" w:evenVBand="0" w:oddHBand="0" w:evenHBand="0" w:firstRowFirstColumn="0" w:firstRowLastColumn="0" w:lastRowFirstColumn="0" w:lastRowLastColumn="0"/>
              <w:rPr>
                <w:szCs w:val="20"/>
                <w:lang w:eastAsia="zh-CN"/>
              </w:rPr>
            </w:pPr>
          </w:p>
        </w:tc>
        <w:tc>
          <w:tcPr>
            <w:tcW w:w="0" w:type="auto"/>
            <w:hideMark/>
          </w:tcPr>
          <w:p w14:paraId="7E1133BE" w14:textId="77777777" w:rsidR="00071B43" w:rsidRPr="00AA22F2" w:rsidRDefault="00071B43" w:rsidP="000A3EA4">
            <w:pPr>
              <w:cnfStyle w:val="000000000000" w:firstRow="0" w:lastRow="0" w:firstColumn="0" w:lastColumn="0" w:oddVBand="0" w:evenVBand="0" w:oddHBand="0" w:evenHBand="0" w:firstRowFirstColumn="0" w:firstRowLastColumn="0" w:lastRowFirstColumn="0" w:lastRowLastColumn="0"/>
              <w:rPr>
                <w:szCs w:val="20"/>
                <w:lang w:eastAsia="zh-CN"/>
              </w:rPr>
            </w:pPr>
            <w:r w:rsidRPr="00AA22F2">
              <w:rPr>
                <w:b/>
                <w:bCs/>
                <w:szCs w:val="20"/>
                <w:lang w:eastAsia="zh-CN"/>
              </w:rPr>
              <w:t>Durée</w:t>
            </w:r>
          </w:p>
        </w:tc>
        <w:tc>
          <w:tcPr>
            <w:tcW w:w="0" w:type="auto"/>
            <w:hideMark/>
          </w:tcPr>
          <w:p w14:paraId="74FAF43C" w14:textId="77777777" w:rsidR="00071B43" w:rsidRPr="00AA22F2" w:rsidRDefault="00071B43" w:rsidP="000A3EA4">
            <w:pPr>
              <w:cnfStyle w:val="000000000000" w:firstRow="0" w:lastRow="0" w:firstColumn="0" w:lastColumn="0" w:oddVBand="0" w:evenVBand="0" w:oddHBand="0" w:evenHBand="0" w:firstRowFirstColumn="0" w:firstRowLastColumn="0" w:lastRowFirstColumn="0" w:lastRowLastColumn="0"/>
              <w:rPr>
                <w:szCs w:val="20"/>
                <w:lang w:eastAsia="zh-CN"/>
              </w:rPr>
            </w:pPr>
            <w:r w:rsidRPr="00AA22F2">
              <w:rPr>
                <w:szCs w:val="20"/>
                <w:lang w:eastAsia="zh-CN"/>
              </w:rPr>
              <w:t>Cesse après stabilisation (bâchage, géotextiles, ensemencement).</w:t>
            </w:r>
          </w:p>
        </w:tc>
        <w:tc>
          <w:tcPr>
            <w:tcW w:w="0" w:type="auto"/>
            <w:hideMark/>
          </w:tcPr>
          <w:p w14:paraId="5A789782" w14:textId="77777777" w:rsidR="00071B43" w:rsidRPr="00AA22F2" w:rsidRDefault="00071B43" w:rsidP="000A3EA4">
            <w:pPr>
              <w:cnfStyle w:val="000000000000" w:firstRow="0" w:lastRow="0" w:firstColumn="0" w:lastColumn="0" w:oddVBand="0" w:evenVBand="0" w:oddHBand="0" w:evenHBand="0" w:firstRowFirstColumn="0" w:firstRowLastColumn="0" w:lastRowFirstColumn="0" w:lastRowLastColumn="0"/>
              <w:rPr>
                <w:szCs w:val="20"/>
                <w:lang w:eastAsia="zh-CN"/>
              </w:rPr>
            </w:pPr>
            <w:r w:rsidRPr="00AA22F2">
              <w:rPr>
                <w:b/>
                <w:bCs/>
                <w:szCs w:val="20"/>
                <w:lang w:eastAsia="zh-CN"/>
              </w:rPr>
              <w:t>Temporaire</w:t>
            </w:r>
          </w:p>
        </w:tc>
      </w:tr>
      <w:tr w:rsidR="00071B43" w:rsidRPr="00071B43" w14:paraId="5FE8606B" w14:textId="77777777" w:rsidTr="000A3EA4">
        <w:tc>
          <w:tcPr>
            <w:cnfStyle w:val="001000000000" w:firstRow="0" w:lastRow="0" w:firstColumn="1" w:lastColumn="0" w:oddVBand="0" w:evenVBand="0" w:oddHBand="0" w:evenHBand="0" w:firstRowFirstColumn="0" w:firstRowLastColumn="0" w:lastRowFirstColumn="0" w:lastRowLastColumn="0"/>
            <w:tcW w:w="0" w:type="auto"/>
            <w:vMerge/>
            <w:hideMark/>
          </w:tcPr>
          <w:p w14:paraId="7DA6B60C" w14:textId="77777777" w:rsidR="00071B43" w:rsidRPr="00AA22F2" w:rsidRDefault="00071B43" w:rsidP="000A3EA4">
            <w:pPr>
              <w:rPr>
                <w:szCs w:val="20"/>
                <w:lang w:eastAsia="zh-CN"/>
              </w:rPr>
            </w:pPr>
          </w:p>
        </w:tc>
        <w:tc>
          <w:tcPr>
            <w:tcW w:w="0" w:type="auto"/>
            <w:vMerge/>
            <w:hideMark/>
          </w:tcPr>
          <w:p w14:paraId="7FA2F31A" w14:textId="77777777" w:rsidR="00071B43" w:rsidRPr="00AA22F2" w:rsidRDefault="00071B43" w:rsidP="000A3EA4">
            <w:pPr>
              <w:cnfStyle w:val="000000000000" w:firstRow="0" w:lastRow="0" w:firstColumn="0" w:lastColumn="0" w:oddVBand="0" w:evenVBand="0" w:oddHBand="0" w:evenHBand="0" w:firstRowFirstColumn="0" w:firstRowLastColumn="0" w:lastRowFirstColumn="0" w:lastRowLastColumn="0"/>
              <w:rPr>
                <w:szCs w:val="20"/>
                <w:lang w:eastAsia="zh-CN"/>
              </w:rPr>
            </w:pPr>
          </w:p>
        </w:tc>
        <w:tc>
          <w:tcPr>
            <w:tcW w:w="0" w:type="auto"/>
            <w:hideMark/>
          </w:tcPr>
          <w:p w14:paraId="29551951" w14:textId="77777777" w:rsidR="00071B43" w:rsidRPr="00AA22F2" w:rsidRDefault="00071B43" w:rsidP="000A3EA4">
            <w:pPr>
              <w:cnfStyle w:val="000000000000" w:firstRow="0" w:lastRow="0" w:firstColumn="0" w:lastColumn="0" w:oddVBand="0" w:evenVBand="0" w:oddHBand="0" w:evenHBand="0" w:firstRowFirstColumn="0" w:firstRowLastColumn="0" w:lastRowFirstColumn="0" w:lastRowLastColumn="0"/>
              <w:rPr>
                <w:szCs w:val="20"/>
                <w:lang w:eastAsia="zh-CN"/>
              </w:rPr>
            </w:pPr>
            <w:r w:rsidRPr="00AA22F2">
              <w:rPr>
                <w:b/>
                <w:bCs/>
                <w:szCs w:val="20"/>
                <w:lang w:eastAsia="zh-CN"/>
              </w:rPr>
              <w:t>Fréquence</w:t>
            </w:r>
          </w:p>
        </w:tc>
        <w:tc>
          <w:tcPr>
            <w:tcW w:w="0" w:type="auto"/>
            <w:hideMark/>
          </w:tcPr>
          <w:p w14:paraId="40B90F6B" w14:textId="7051E10D" w:rsidR="00071B43" w:rsidRPr="00AA22F2" w:rsidRDefault="004C5C3A" w:rsidP="000A3EA4">
            <w:pPr>
              <w:cnfStyle w:val="000000000000" w:firstRow="0" w:lastRow="0" w:firstColumn="0" w:lastColumn="0" w:oddVBand="0" w:evenVBand="0" w:oddHBand="0" w:evenHBand="0" w:firstRowFirstColumn="0" w:firstRowLastColumn="0" w:lastRowFirstColumn="0" w:lastRowLastColumn="0"/>
              <w:rPr>
                <w:szCs w:val="20"/>
                <w:lang w:eastAsia="zh-CN"/>
              </w:rPr>
            </w:pPr>
            <w:r w:rsidRPr="004C5C3A">
              <w:rPr>
                <w:szCs w:val="20"/>
                <w:lang w:eastAsia="zh-CN"/>
              </w:rPr>
              <w:t>Intermittente selon conditions météo</w:t>
            </w:r>
          </w:p>
        </w:tc>
        <w:tc>
          <w:tcPr>
            <w:tcW w:w="0" w:type="auto"/>
            <w:hideMark/>
          </w:tcPr>
          <w:p w14:paraId="1691514B" w14:textId="77777777" w:rsidR="00071B43" w:rsidRPr="00AA22F2" w:rsidRDefault="00071B43" w:rsidP="000A3EA4">
            <w:pPr>
              <w:cnfStyle w:val="000000000000" w:firstRow="0" w:lastRow="0" w:firstColumn="0" w:lastColumn="0" w:oddVBand="0" w:evenVBand="0" w:oddHBand="0" w:evenHBand="0" w:firstRowFirstColumn="0" w:firstRowLastColumn="0" w:lastRowFirstColumn="0" w:lastRowLastColumn="0"/>
              <w:rPr>
                <w:szCs w:val="20"/>
                <w:lang w:eastAsia="zh-CN"/>
              </w:rPr>
            </w:pPr>
            <w:r w:rsidRPr="00AA22F2">
              <w:rPr>
                <w:b/>
                <w:bCs/>
                <w:szCs w:val="20"/>
                <w:lang w:eastAsia="zh-CN"/>
              </w:rPr>
              <w:t>Intermittente</w:t>
            </w:r>
          </w:p>
        </w:tc>
      </w:tr>
      <w:tr w:rsidR="00D60FC9" w:rsidRPr="00071B43" w14:paraId="44FED513" w14:textId="77777777" w:rsidTr="000A3EA4">
        <w:tc>
          <w:tcPr>
            <w:cnfStyle w:val="001000000000" w:firstRow="0" w:lastRow="0" w:firstColumn="1" w:lastColumn="0" w:oddVBand="0" w:evenVBand="0" w:oddHBand="0" w:evenHBand="0" w:firstRowFirstColumn="0" w:firstRowLastColumn="0" w:lastRowFirstColumn="0" w:lastRowLastColumn="0"/>
            <w:tcW w:w="0" w:type="auto"/>
            <w:vMerge/>
            <w:hideMark/>
          </w:tcPr>
          <w:p w14:paraId="70C7CF38" w14:textId="77777777" w:rsidR="00071B43" w:rsidRPr="00AA22F2" w:rsidRDefault="00071B43" w:rsidP="000A3EA4">
            <w:pPr>
              <w:rPr>
                <w:szCs w:val="20"/>
                <w:lang w:eastAsia="zh-CN"/>
              </w:rPr>
            </w:pPr>
          </w:p>
        </w:tc>
        <w:tc>
          <w:tcPr>
            <w:tcW w:w="0" w:type="auto"/>
            <w:vMerge/>
            <w:hideMark/>
          </w:tcPr>
          <w:p w14:paraId="3C659C31" w14:textId="77777777" w:rsidR="00071B43" w:rsidRPr="00AA22F2" w:rsidRDefault="00071B43" w:rsidP="000A3EA4">
            <w:pPr>
              <w:cnfStyle w:val="000000000000" w:firstRow="0" w:lastRow="0" w:firstColumn="0" w:lastColumn="0" w:oddVBand="0" w:evenVBand="0" w:oddHBand="0" w:evenHBand="0" w:firstRowFirstColumn="0" w:firstRowLastColumn="0" w:lastRowFirstColumn="0" w:lastRowLastColumn="0"/>
              <w:rPr>
                <w:szCs w:val="20"/>
                <w:lang w:eastAsia="zh-CN"/>
              </w:rPr>
            </w:pPr>
          </w:p>
        </w:tc>
        <w:tc>
          <w:tcPr>
            <w:tcW w:w="0" w:type="auto"/>
            <w:shd w:val="clear" w:color="auto" w:fill="B4C6E7" w:themeFill="accent1" w:themeFillTint="66"/>
            <w:hideMark/>
          </w:tcPr>
          <w:p w14:paraId="2125DF97" w14:textId="77777777" w:rsidR="00071B43" w:rsidRPr="00AA22F2" w:rsidRDefault="00071B43" w:rsidP="000A3EA4">
            <w:pPr>
              <w:cnfStyle w:val="000000000000" w:firstRow="0" w:lastRow="0" w:firstColumn="0" w:lastColumn="0" w:oddVBand="0" w:evenVBand="0" w:oddHBand="0" w:evenHBand="0" w:firstRowFirstColumn="0" w:firstRowLastColumn="0" w:lastRowFirstColumn="0" w:lastRowLastColumn="0"/>
              <w:rPr>
                <w:szCs w:val="20"/>
                <w:lang w:eastAsia="zh-CN"/>
              </w:rPr>
            </w:pPr>
            <w:r w:rsidRPr="00AA22F2">
              <w:rPr>
                <w:b/>
                <w:bCs/>
                <w:szCs w:val="20"/>
                <w:lang w:eastAsia="zh-CN"/>
              </w:rPr>
              <w:t>Intensité</w:t>
            </w:r>
          </w:p>
        </w:tc>
        <w:tc>
          <w:tcPr>
            <w:tcW w:w="0" w:type="auto"/>
            <w:shd w:val="clear" w:color="auto" w:fill="B4C6E7" w:themeFill="accent1" w:themeFillTint="66"/>
            <w:hideMark/>
          </w:tcPr>
          <w:p w14:paraId="44FF6AE3" w14:textId="1FAFA860" w:rsidR="00071B43" w:rsidRPr="00AA22F2" w:rsidRDefault="00071B43" w:rsidP="000A3EA4">
            <w:pPr>
              <w:cnfStyle w:val="000000000000" w:firstRow="0" w:lastRow="0" w:firstColumn="0" w:lastColumn="0" w:oddVBand="0" w:evenVBand="0" w:oddHBand="0" w:evenHBand="0" w:firstRowFirstColumn="0" w:firstRowLastColumn="0" w:lastRowFirstColumn="0" w:lastRowLastColumn="0"/>
              <w:rPr>
                <w:szCs w:val="20"/>
                <w:lang w:eastAsia="zh-CN"/>
              </w:rPr>
            </w:pPr>
            <w:r w:rsidRPr="00AA22F2">
              <w:rPr>
                <w:szCs w:val="20"/>
                <w:lang w:eastAsia="zh-CN"/>
              </w:rPr>
              <w:t>Pertes superficielles et colmatage ponctuel de drains</w:t>
            </w:r>
          </w:p>
        </w:tc>
        <w:tc>
          <w:tcPr>
            <w:tcW w:w="0" w:type="auto"/>
            <w:shd w:val="clear" w:color="auto" w:fill="B4C6E7" w:themeFill="accent1" w:themeFillTint="66"/>
            <w:hideMark/>
          </w:tcPr>
          <w:p w14:paraId="15B467CD" w14:textId="5FDB474C" w:rsidR="00071B43" w:rsidRPr="00AA22F2" w:rsidRDefault="004C5C3A" w:rsidP="000A3EA4">
            <w:pPr>
              <w:cnfStyle w:val="000000000000" w:firstRow="0" w:lastRow="0" w:firstColumn="0" w:lastColumn="0" w:oddVBand="0" w:evenVBand="0" w:oddHBand="0" w:evenHBand="0" w:firstRowFirstColumn="0" w:firstRowLastColumn="0" w:lastRowFirstColumn="0" w:lastRowLastColumn="0"/>
              <w:rPr>
                <w:szCs w:val="20"/>
                <w:lang w:eastAsia="zh-CN"/>
              </w:rPr>
            </w:pPr>
            <w:r>
              <w:rPr>
                <w:b/>
                <w:bCs/>
                <w:szCs w:val="20"/>
                <w:lang w:eastAsia="zh-CN"/>
              </w:rPr>
              <w:t>Moyenne</w:t>
            </w:r>
          </w:p>
        </w:tc>
      </w:tr>
      <w:tr w:rsidR="00071B43" w:rsidRPr="00071B43" w14:paraId="601650F6" w14:textId="77777777" w:rsidTr="000A3EA4">
        <w:tc>
          <w:tcPr>
            <w:cnfStyle w:val="001000000000" w:firstRow="0" w:lastRow="0" w:firstColumn="1" w:lastColumn="0" w:oddVBand="0" w:evenVBand="0" w:oddHBand="0" w:evenHBand="0" w:firstRowFirstColumn="0" w:firstRowLastColumn="0" w:lastRowFirstColumn="0" w:lastRowLastColumn="0"/>
            <w:tcW w:w="0" w:type="auto"/>
            <w:vMerge/>
          </w:tcPr>
          <w:p w14:paraId="231E59DD" w14:textId="77777777" w:rsidR="00071B43" w:rsidRPr="00AA22F2" w:rsidRDefault="00071B43" w:rsidP="004637C7">
            <w:pPr>
              <w:spacing w:before="0" w:after="0"/>
              <w:rPr>
                <w:szCs w:val="20"/>
                <w:lang w:eastAsia="zh-CN"/>
              </w:rPr>
            </w:pPr>
          </w:p>
        </w:tc>
        <w:tc>
          <w:tcPr>
            <w:tcW w:w="0" w:type="auto"/>
            <w:gridSpan w:val="4"/>
          </w:tcPr>
          <w:p w14:paraId="2B3D0C87" w14:textId="77777777" w:rsidR="00071B43" w:rsidRPr="00AA22F2" w:rsidRDefault="00071B43" w:rsidP="004637C7">
            <w:pPr>
              <w:spacing w:before="0" w:after="0"/>
              <w:cnfStyle w:val="000000000000" w:firstRow="0" w:lastRow="0" w:firstColumn="0" w:lastColumn="0" w:oddVBand="0" w:evenVBand="0" w:oddHBand="0" w:evenHBand="0" w:firstRowFirstColumn="0" w:firstRowLastColumn="0" w:lastRowFirstColumn="0" w:lastRowLastColumn="0"/>
              <w:rPr>
                <w:b/>
                <w:bCs/>
                <w:szCs w:val="20"/>
                <w:lang w:eastAsia="zh-CN"/>
              </w:rPr>
            </w:pPr>
          </w:p>
        </w:tc>
      </w:tr>
      <w:tr w:rsidR="00D60FC9" w:rsidRPr="00071B43" w14:paraId="132AC04D" w14:textId="77777777" w:rsidTr="004637C7">
        <w:tc>
          <w:tcPr>
            <w:cnfStyle w:val="001000000000" w:firstRow="0" w:lastRow="0" w:firstColumn="1" w:lastColumn="0" w:oddVBand="0" w:evenVBand="0" w:oddHBand="0" w:evenHBand="0" w:firstRowFirstColumn="0" w:firstRowLastColumn="0" w:lastRowFirstColumn="0" w:lastRowLastColumn="0"/>
            <w:tcW w:w="0" w:type="auto"/>
            <w:vMerge/>
          </w:tcPr>
          <w:p w14:paraId="532CD6DE" w14:textId="77777777" w:rsidR="00071B43" w:rsidRPr="00AA22F2" w:rsidRDefault="00071B43" w:rsidP="00071B43">
            <w:pPr>
              <w:rPr>
                <w:szCs w:val="20"/>
                <w:lang w:eastAsia="zh-CN"/>
              </w:rPr>
            </w:pPr>
          </w:p>
        </w:tc>
        <w:tc>
          <w:tcPr>
            <w:tcW w:w="0" w:type="auto"/>
            <w:shd w:val="clear" w:color="auto" w:fill="8EAADB" w:themeFill="accent1" w:themeFillTint="99"/>
            <w:vAlign w:val="center"/>
          </w:tcPr>
          <w:p w14:paraId="7A3BD2E5" w14:textId="6A4F10EF" w:rsidR="00071B43" w:rsidRPr="00AA22F2" w:rsidRDefault="00071B43" w:rsidP="00071B43">
            <w:pPr>
              <w:cnfStyle w:val="000000000000" w:firstRow="0" w:lastRow="0" w:firstColumn="0" w:lastColumn="0" w:oddVBand="0" w:evenVBand="0" w:oddHBand="0" w:evenHBand="0" w:firstRowFirstColumn="0" w:firstRowLastColumn="0" w:lastRowFirstColumn="0" w:lastRowLastColumn="0"/>
              <w:rPr>
                <w:szCs w:val="20"/>
                <w:lang w:eastAsia="zh-CN"/>
              </w:rPr>
            </w:pPr>
            <w:r w:rsidRPr="00071B43">
              <w:rPr>
                <w:rFonts w:asciiTheme="minorHAnsi" w:hAnsiTheme="minorHAnsi" w:cstheme="minorHAnsi"/>
                <w:b/>
                <w:bCs/>
                <w:szCs w:val="20"/>
              </w:rPr>
              <w:t>Intensité de l’impact</w:t>
            </w:r>
          </w:p>
        </w:tc>
        <w:tc>
          <w:tcPr>
            <w:tcW w:w="0" w:type="auto"/>
            <w:shd w:val="clear" w:color="auto" w:fill="8EAADB" w:themeFill="accent1" w:themeFillTint="99"/>
            <w:vAlign w:val="center"/>
          </w:tcPr>
          <w:p w14:paraId="641689A2" w14:textId="76499256" w:rsidR="00071B43" w:rsidRPr="00AA22F2" w:rsidRDefault="00071B43" w:rsidP="00071B43">
            <w:pPr>
              <w:cnfStyle w:val="000000000000" w:firstRow="0" w:lastRow="0" w:firstColumn="0" w:lastColumn="0" w:oddVBand="0" w:evenVBand="0" w:oddHBand="0" w:evenHBand="0" w:firstRowFirstColumn="0" w:firstRowLastColumn="0" w:lastRowFirstColumn="0" w:lastRowLastColumn="0"/>
              <w:rPr>
                <w:b/>
                <w:bCs/>
                <w:szCs w:val="20"/>
                <w:lang w:eastAsia="zh-CN"/>
              </w:rPr>
            </w:pPr>
            <w:r w:rsidRPr="00071B43">
              <w:rPr>
                <w:rFonts w:asciiTheme="minorHAnsi" w:hAnsiTheme="minorHAnsi" w:cstheme="minorHAnsi"/>
                <w:b/>
                <w:bCs/>
                <w:szCs w:val="20"/>
              </w:rPr>
              <w:t>Récepteurs</w:t>
            </w:r>
          </w:p>
        </w:tc>
        <w:tc>
          <w:tcPr>
            <w:tcW w:w="0" w:type="auto"/>
            <w:shd w:val="clear" w:color="auto" w:fill="8EAADB" w:themeFill="accent1" w:themeFillTint="99"/>
            <w:vAlign w:val="center"/>
          </w:tcPr>
          <w:p w14:paraId="4FAB022A" w14:textId="7F7FF48F" w:rsidR="00071B43" w:rsidRPr="00AA22F2" w:rsidRDefault="00071B43" w:rsidP="00071B43">
            <w:pPr>
              <w:cnfStyle w:val="000000000000" w:firstRow="0" w:lastRow="0" w:firstColumn="0" w:lastColumn="0" w:oddVBand="0" w:evenVBand="0" w:oddHBand="0" w:evenHBand="0" w:firstRowFirstColumn="0" w:firstRowLastColumn="0" w:lastRowFirstColumn="0" w:lastRowLastColumn="0"/>
              <w:rPr>
                <w:szCs w:val="20"/>
                <w:lang w:eastAsia="zh-CN"/>
              </w:rPr>
            </w:pPr>
            <w:r w:rsidRPr="00071B43">
              <w:rPr>
                <w:rFonts w:asciiTheme="minorHAnsi" w:hAnsiTheme="minorHAnsi" w:cstheme="minorHAnsi"/>
                <w:b/>
                <w:bCs/>
                <w:szCs w:val="20"/>
              </w:rPr>
              <w:t>Sensibilité</w:t>
            </w:r>
          </w:p>
        </w:tc>
        <w:tc>
          <w:tcPr>
            <w:tcW w:w="0" w:type="auto"/>
            <w:shd w:val="clear" w:color="auto" w:fill="8EAADB" w:themeFill="accent1" w:themeFillTint="99"/>
            <w:vAlign w:val="center"/>
          </w:tcPr>
          <w:p w14:paraId="6E7ED7D4" w14:textId="6AD613F3" w:rsidR="00071B43" w:rsidRPr="00AA22F2" w:rsidRDefault="00071B43" w:rsidP="00071B43">
            <w:pPr>
              <w:cnfStyle w:val="000000000000" w:firstRow="0" w:lastRow="0" w:firstColumn="0" w:lastColumn="0" w:oddVBand="0" w:evenVBand="0" w:oddHBand="0" w:evenHBand="0" w:firstRowFirstColumn="0" w:firstRowLastColumn="0" w:lastRowFirstColumn="0" w:lastRowLastColumn="0"/>
              <w:rPr>
                <w:b/>
                <w:bCs/>
                <w:szCs w:val="20"/>
                <w:lang w:eastAsia="zh-CN"/>
              </w:rPr>
            </w:pPr>
            <w:r w:rsidRPr="00071B43">
              <w:rPr>
                <w:rFonts w:asciiTheme="minorHAnsi" w:hAnsiTheme="minorHAnsi" w:cstheme="minorHAnsi"/>
                <w:b/>
                <w:bCs/>
                <w:szCs w:val="20"/>
              </w:rPr>
              <w:t>Importance de l’impact</w:t>
            </w:r>
          </w:p>
        </w:tc>
      </w:tr>
      <w:tr w:rsidR="004C5C3A" w:rsidRPr="00071B43" w14:paraId="7626EED2" w14:textId="77777777" w:rsidTr="004637C7">
        <w:tc>
          <w:tcPr>
            <w:cnfStyle w:val="001000000000" w:firstRow="0" w:lastRow="0" w:firstColumn="1" w:lastColumn="0" w:oddVBand="0" w:evenVBand="0" w:oddHBand="0" w:evenHBand="0" w:firstRowFirstColumn="0" w:firstRowLastColumn="0" w:lastRowFirstColumn="0" w:lastRowLastColumn="0"/>
            <w:tcW w:w="0" w:type="auto"/>
            <w:vMerge/>
          </w:tcPr>
          <w:p w14:paraId="6A200D2E" w14:textId="77777777" w:rsidR="004C5C3A" w:rsidRPr="00AA22F2" w:rsidRDefault="004C5C3A" w:rsidP="004C5C3A">
            <w:pPr>
              <w:rPr>
                <w:szCs w:val="20"/>
                <w:lang w:eastAsia="zh-CN"/>
              </w:rPr>
            </w:pPr>
          </w:p>
        </w:tc>
        <w:tc>
          <w:tcPr>
            <w:tcW w:w="0" w:type="auto"/>
          </w:tcPr>
          <w:p w14:paraId="6AA69B4A" w14:textId="1064A610" w:rsidR="004C5C3A" w:rsidRPr="00AA22F2" w:rsidRDefault="004C5C3A" w:rsidP="004C5C3A">
            <w:pPr>
              <w:cnfStyle w:val="000000000000" w:firstRow="0" w:lastRow="0" w:firstColumn="0" w:lastColumn="0" w:oddVBand="0" w:evenVBand="0" w:oddHBand="0" w:evenHBand="0" w:firstRowFirstColumn="0" w:firstRowLastColumn="0" w:lastRowFirstColumn="0" w:lastRowLastColumn="0"/>
              <w:rPr>
                <w:szCs w:val="20"/>
                <w:lang w:eastAsia="zh-CN"/>
              </w:rPr>
            </w:pPr>
            <w:r>
              <w:rPr>
                <w:szCs w:val="20"/>
                <w:lang w:eastAsia="zh-CN"/>
              </w:rPr>
              <w:t>Moyenne</w:t>
            </w:r>
          </w:p>
        </w:tc>
        <w:tc>
          <w:tcPr>
            <w:tcW w:w="0" w:type="auto"/>
          </w:tcPr>
          <w:p w14:paraId="14A05036" w14:textId="28FC99BF" w:rsidR="004C5C3A" w:rsidRPr="004637C7" w:rsidRDefault="004C5C3A" w:rsidP="004C5C3A">
            <w:pPr>
              <w:cnfStyle w:val="000000000000" w:firstRow="0" w:lastRow="0" w:firstColumn="0" w:lastColumn="0" w:oddVBand="0" w:evenVBand="0" w:oddHBand="0" w:evenHBand="0" w:firstRowFirstColumn="0" w:firstRowLastColumn="0" w:lastRowFirstColumn="0" w:lastRowLastColumn="0"/>
              <w:rPr>
                <w:szCs w:val="20"/>
                <w:lang w:eastAsia="zh-CN"/>
              </w:rPr>
            </w:pPr>
            <w:r w:rsidRPr="002300F0">
              <w:rPr>
                <w:szCs w:val="20"/>
                <w:lang w:eastAsia="zh-CN"/>
              </w:rPr>
              <w:t>Sols limono-</w:t>
            </w:r>
            <w:r w:rsidR="002940B0">
              <w:rPr>
                <w:szCs w:val="20"/>
                <w:lang w:eastAsia="zh-CN"/>
              </w:rPr>
              <w:t>argileux</w:t>
            </w:r>
            <w:r w:rsidRPr="002300F0">
              <w:rPr>
                <w:szCs w:val="20"/>
                <w:lang w:eastAsia="zh-CN"/>
              </w:rPr>
              <w:t xml:space="preserve"> fragiles</w:t>
            </w:r>
          </w:p>
        </w:tc>
        <w:tc>
          <w:tcPr>
            <w:tcW w:w="0" w:type="auto"/>
          </w:tcPr>
          <w:p w14:paraId="6531D16D" w14:textId="4065F70C" w:rsidR="004C5C3A" w:rsidRPr="00AA22F2" w:rsidRDefault="004C5C3A" w:rsidP="004C5C3A">
            <w:pPr>
              <w:cnfStyle w:val="000000000000" w:firstRow="0" w:lastRow="0" w:firstColumn="0" w:lastColumn="0" w:oddVBand="0" w:evenVBand="0" w:oddHBand="0" w:evenHBand="0" w:firstRowFirstColumn="0" w:firstRowLastColumn="0" w:lastRowFirstColumn="0" w:lastRowLastColumn="0"/>
              <w:rPr>
                <w:szCs w:val="20"/>
                <w:lang w:eastAsia="zh-CN"/>
              </w:rPr>
            </w:pPr>
            <w:r>
              <w:rPr>
                <w:szCs w:val="20"/>
                <w:lang w:eastAsia="zh-CN"/>
              </w:rPr>
              <w:t>Forte</w:t>
            </w:r>
          </w:p>
        </w:tc>
        <w:tc>
          <w:tcPr>
            <w:tcW w:w="0" w:type="auto"/>
          </w:tcPr>
          <w:p w14:paraId="433C2A13" w14:textId="491E7BD7" w:rsidR="004C5C3A" w:rsidRPr="004637C7" w:rsidRDefault="004C5C3A" w:rsidP="004C5C3A">
            <w:pPr>
              <w:cnfStyle w:val="000000000000" w:firstRow="0" w:lastRow="0" w:firstColumn="0" w:lastColumn="0" w:oddVBand="0" w:evenVBand="0" w:oddHBand="0" w:evenHBand="0" w:firstRowFirstColumn="0" w:firstRowLastColumn="0" w:lastRowFirstColumn="0" w:lastRowLastColumn="0"/>
              <w:rPr>
                <w:szCs w:val="20"/>
                <w:lang w:eastAsia="zh-CN"/>
              </w:rPr>
            </w:pPr>
            <w:r w:rsidRPr="004637C7">
              <w:rPr>
                <w:szCs w:val="20"/>
                <w:lang w:eastAsia="zh-CN"/>
              </w:rPr>
              <w:t>M</w:t>
            </w:r>
            <w:r>
              <w:rPr>
                <w:szCs w:val="20"/>
                <w:lang w:eastAsia="zh-CN"/>
              </w:rPr>
              <w:t>ajeure</w:t>
            </w:r>
          </w:p>
        </w:tc>
      </w:tr>
    </w:tbl>
    <w:p w14:paraId="52B7911E" w14:textId="6D11C869" w:rsidR="004C5C3A" w:rsidRDefault="004C5C3A" w:rsidP="0001633E">
      <w:pPr>
        <w:pStyle w:val="AltTitle2"/>
        <w:numPr>
          <w:ilvl w:val="0"/>
          <w:numId w:val="106"/>
        </w:numPr>
      </w:pPr>
      <w:r>
        <w:t xml:space="preserve">Risque de pollution accidentelle des sols </w:t>
      </w:r>
    </w:p>
    <w:p w14:paraId="2D394B9A" w14:textId="77777777" w:rsidR="004C5C3A" w:rsidRDefault="004C5C3A" w:rsidP="004C5C3A">
      <w:r>
        <w:t>Les opérations de maintenance des engins et le stockage temporaire de produits pétroliers exposent le site à un risque de pollution ponctuelle du sol.</w:t>
      </w:r>
    </w:p>
    <w:p w14:paraId="0A1629A4" w14:textId="77777777" w:rsidR="004C5C3A" w:rsidRDefault="004C5C3A" w:rsidP="004C5C3A">
      <w:r>
        <w:t>Une fuite accidentelle pourrait engendrer une contamination durable, difficilement réversible.</w:t>
      </w:r>
    </w:p>
    <w:p w14:paraId="0C99E232" w14:textId="0F483220" w:rsidR="00B27998" w:rsidRDefault="004C5C3A" w:rsidP="004C5C3A">
      <w:r>
        <w:t>Ce risque est peu probable mais à gravité modérée à majeure.</w:t>
      </w:r>
    </w:p>
    <w:tbl>
      <w:tblPr>
        <w:tblStyle w:val="TableauGrille1Clair-Accentuation111"/>
        <w:tblW w:w="0" w:type="auto"/>
        <w:tblLook w:val="04A0" w:firstRow="1" w:lastRow="0" w:firstColumn="1" w:lastColumn="0" w:noHBand="0" w:noVBand="1"/>
      </w:tblPr>
      <w:tblGrid>
        <w:gridCol w:w="1790"/>
        <w:gridCol w:w="2191"/>
        <w:gridCol w:w="1891"/>
        <w:gridCol w:w="2283"/>
        <w:gridCol w:w="905"/>
      </w:tblGrid>
      <w:tr w:rsidR="004C5C3A" w:rsidRPr="004C5C3A" w14:paraId="170E0556" w14:textId="77777777" w:rsidTr="004637C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47345E7A" w14:textId="77777777" w:rsidR="004C5C3A" w:rsidRPr="00AA22F2" w:rsidRDefault="004C5C3A" w:rsidP="004C5C3A">
            <w:pPr>
              <w:rPr>
                <w:szCs w:val="20"/>
              </w:rPr>
            </w:pPr>
            <w:r w:rsidRPr="00AA22F2">
              <w:rPr>
                <w:szCs w:val="20"/>
              </w:rPr>
              <w:t>Risque</w:t>
            </w:r>
          </w:p>
        </w:tc>
        <w:tc>
          <w:tcPr>
            <w:tcW w:w="0" w:type="auto"/>
            <w:hideMark/>
          </w:tcPr>
          <w:p w14:paraId="3F195798" w14:textId="77777777" w:rsidR="004C5C3A" w:rsidRPr="00AA22F2" w:rsidRDefault="004C5C3A" w:rsidP="004C5C3A">
            <w:pPr>
              <w:cnfStyle w:val="100000000000" w:firstRow="1" w:lastRow="0" w:firstColumn="0" w:lastColumn="0" w:oddVBand="0" w:evenVBand="0" w:oddHBand="0" w:evenHBand="0" w:firstRowFirstColumn="0" w:firstRowLastColumn="0" w:lastRowFirstColumn="0" w:lastRowLastColumn="0"/>
              <w:rPr>
                <w:szCs w:val="20"/>
              </w:rPr>
            </w:pPr>
            <w:r w:rsidRPr="00AA22F2">
              <w:rPr>
                <w:szCs w:val="20"/>
              </w:rPr>
              <w:t>Activités génératrices</w:t>
            </w:r>
          </w:p>
        </w:tc>
        <w:tc>
          <w:tcPr>
            <w:tcW w:w="0" w:type="auto"/>
            <w:hideMark/>
          </w:tcPr>
          <w:p w14:paraId="4A4243ED" w14:textId="77777777" w:rsidR="004C5C3A" w:rsidRPr="00AA22F2" w:rsidRDefault="004C5C3A" w:rsidP="004C5C3A">
            <w:pPr>
              <w:cnfStyle w:val="100000000000" w:firstRow="1" w:lastRow="0" w:firstColumn="0" w:lastColumn="0" w:oddVBand="0" w:evenVBand="0" w:oddHBand="0" w:evenHBand="0" w:firstRowFirstColumn="0" w:firstRowLastColumn="0" w:lastRowFirstColumn="0" w:lastRowLastColumn="0"/>
              <w:rPr>
                <w:szCs w:val="20"/>
              </w:rPr>
            </w:pPr>
            <w:r w:rsidRPr="00AA22F2">
              <w:rPr>
                <w:szCs w:val="20"/>
              </w:rPr>
              <w:t>Critère</w:t>
            </w:r>
          </w:p>
        </w:tc>
        <w:tc>
          <w:tcPr>
            <w:tcW w:w="0" w:type="auto"/>
            <w:hideMark/>
          </w:tcPr>
          <w:p w14:paraId="6B34AF8A" w14:textId="77777777" w:rsidR="004C5C3A" w:rsidRPr="00AA22F2" w:rsidRDefault="004C5C3A" w:rsidP="004C5C3A">
            <w:pPr>
              <w:cnfStyle w:val="100000000000" w:firstRow="1" w:lastRow="0" w:firstColumn="0" w:lastColumn="0" w:oddVBand="0" w:evenVBand="0" w:oddHBand="0" w:evenHBand="0" w:firstRowFirstColumn="0" w:firstRowLastColumn="0" w:lastRowFirstColumn="0" w:lastRowLastColumn="0"/>
              <w:rPr>
                <w:szCs w:val="20"/>
              </w:rPr>
            </w:pPr>
            <w:r w:rsidRPr="00AA22F2">
              <w:rPr>
                <w:szCs w:val="20"/>
              </w:rPr>
              <w:t>Justification</w:t>
            </w:r>
          </w:p>
        </w:tc>
        <w:tc>
          <w:tcPr>
            <w:tcW w:w="0" w:type="auto"/>
            <w:hideMark/>
          </w:tcPr>
          <w:p w14:paraId="5F3F362B" w14:textId="77777777" w:rsidR="004C5C3A" w:rsidRPr="00AA22F2" w:rsidRDefault="004C5C3A" w:rsidP="004C5C3A">
            <w:pPr>
              <w:cnfStyle w:val="100000000000" w:firstRow="1" w:lastRow="0" w:firstColumn="0" w:lastColumn="0" w:oddVBand="0" w:evenVBand="0" w:oddHBand="0" w:evenHBand="0" w:firstRowFirstColumn="0" w:firstRowLastColumn="0" w:lastRowFirstColumn="0" w:lastRowLastColumn="0"/>
              <w:rPr>
                <w:szCs w:val="20"/>
              </w:rPr>
            </w:pPr>
            <w:r w:rsidRPr="00AA22F2">
              <w:rPr>
                <w:szCs w:val="20"/>
              </w:rPr>
              <w:t>Niveau</w:t>
            </w:r>
          </w:p>
        </w:tc>
      </w:tr>
      <w:tr w:rsidR="004C5C3A" w:rsidRPr="004C5C3A" w14:paraId="6653EE3A" w14:textId="77777777" w:rsidTr="005A7661">
        <w:tc>
          <w:tcPr>
            <w:cnfStyle w:val="001000000000" w:firstRow="0" w:lastRow="0" w:firstColumn="1" w:lastColumn="0" w:oddVBand="0" w:evenVBand="0" w:oddHBand="0" w:evenHBand="0" w:firstRowFirstColumn="0" w:firstRowLastColumn="0" w:lastRowFirstColumn="0" w:lastRowLastColumn="0"/>
            <w:tcW w:w="0" w:type="auto"/>
            <w:vMerge w:val="restart"/>
            <w:hideMark/>
          </w:tcPr>
          <w:p w14:paraId="0FEF756F" w14:textId="77777777" w:rsidR="004C5C3A" w:rsidRPr="00AA22F2" w:rsidRDefault="004C5C3A" w:rsidP="004C5C3A">
            <w:pPr>
              <w:rPr>
                <w:szCs w:val="20"/>
              </w:rPr>
            </w:pPr>
            <w:r w:rsidRPr="00AA22F2">
              <w:rPr>
                <w:szCs w:val="20"/>
              </w:rPr>
              <w:t>Pollution accidentelle du sol</w:t>
            </w:r>
          </w:p>
        </w:tc>
        <w:tc>
          <w:tcPr>
            <w:tcW w:w="0" w:type="auto"/>
            <w:vMerge w:val="restart"/>
            <w:hideMark/>
          </w:tcPr>
          <w:p w14:paraId="7078D7D9" w14:textId="77777777" w:rsidR="004C5C3A" w:rsidRPr="00AA22F2" w:rsidRDefault="004C5C3A" w:rsidP="004C5C3A">
            <w:pPr>
              <w:cnfStyle w:val="000000000000" w:firstRow="0" w:lastRow="0" w:firstColumn="0" w:lastColumn="0" w:oddVBand="0" w:evenVBand="0" w:oddHBand="0" w:evenHBand="0" w:firstRowFirstColumn="0" w:firstRowLastColumn="0" w:lastRowFirstColumn="0" w:lastRowLastColumn="0"/>
              <w:rPr>
                <w:szCs w:val="20"/>
              </w:rPr>
            </w:pPr>
            <w:r w:rsidRPr="00AA22F2">
              <w:rPr>
                <w:szCs w:val="20"/>
              </w:rPr>
              <w:t>Stockage de carburants, huiles, solvants</w:t>
            </w:r>
          </w:p>
        </w:tc>
        <w:tc>
          <w:tcPr>
            <w:tcW w:w="0" w:type="auto"/>
            <w:hideMark/>
          </w:tcPr>
          <w:p w14:paraId="66FD8655" w14:textId="77777777" w:rsidR="004C5C3A" w:rsidRPr="00AA22F2" w:rsidRDefault="004C5C3A" w:rsidP="004C5C3A">
            <w:pPr>
              <w:cnfStyle w:val="000000000000" w:firstRow="0" w:lastRow="0" w:firstColumn="0" w:lastColumn="0" w:oddVBand="0" w:evenVBand="0" w:oddHBand="0" w:evenHBand="0" w:firstRowFirstColumn="0" w:firstRowLastColumn="0" w:lastRowFirstColumn="0" w:lastRowLastColumn="0"/>
              <w:rPr>
                <w:szCs w:val="20"/>
              </w:rPr>
            </w:pPr>
            <w:r w:rsidRPr="00AA22F2">
              <w:rPr>
                <w:b/>
                <w:bCs/>
                <w:szCs w:val="20"/>
              </w:rPr>
              <w:t>Probabilité d’occurrence</w:t>
            </w:r>
          </w:p>
        </w:tc>
        <w:tc>
          <w:tcPr>
            <w:tcW w:w="0" w:type="auto"/>
            <w:hideMark/>
          </w:tcPr>
          <w:p w14:paraId="2717574D" w14:textId="77777777" w:rsidR="004C5C3A" w:rsidRPr="00AA22F2" w:rsidRDefault="004C5C3A" w:rsidP="004C5C3A">
            <w:pPr>
              <w:cnfStyle w:val="000000000000" w:firstRow="0" w:lastRow="0" w:firstColumn="0" w:lastColumn="0" w:oddVBand="0" w:evenVBand="0" w:oddHBand="0" w:evenHBand="0" w:firstRowFirstColumn="0" w:firstRowLastColumn="0" w:lastRowFirstColumn="0" w:lastRowLastColumn="0"/>
              <w:rPr>
                <w:szCs w:val="20"/>
              </w:rPr>
            </w:pPr>
            <w:r w:rsidRPr="00AA22F2">
              <w:rPr>
                <w:szCs w:val="20"/>
              </w:rPr>
              <w:t>Rare, liée à un incident ponctuel</w:t>
            </w:r>
          </w:p>
        </w:tc>
        <w:tc>
          <w:tcPr>
            <w:tcW w:w="0" w:type="auto"/>
            <w:hideMark/>
          </w:tcPr>
          <w:p w14:paraId="457CF871" w14:textId="3FC64B61" w:rsidR="004C5C3A" w:rsidRPr="00AA22F2" w:rsidRDefault="004C5C3A" w:rsidP="004C5C3A">
            <w:pPr>
              <w:cnfStyle w:val="000000000000" w:firstRow="0" w:lastRow="0" w:firstColumn="0" w:lastColumn="0" w:oddVBand="0" w:evenVBand="0" w:oddHBand="0" w:evenHBand="0" w:firstRowFirstColumn="0" w:firstRowLastColumn="0" w:lastRowFirstColumn="0" w:lastRowLastColumn="0"/>
              <w:rPr>
                <w:szCs w:val="20"/>
              </w:rPr>
            </w:pPr>
            <w:r w:rsidRPr="00AA22F2">
              <w:rPr>
                <w:szCs w:val="20"/>
              </w:rPr>
              <w:t>Rare</w:t>
            </w:r>
          </w:p>
        </w:tc>
      </w:tr>
      <w:tr w:rsidR="004C5C3A" w:rsidRPr="004C5C3A" w14:paraId="6B9EDA01" w14:textId="77777777" w:rsidTr="005A7661">
        <w:tc>
          <w:tcPr>
            <w:cnfStyle w:val="001000000000" w:firstRow="0" w:lastRow="0" w:firstColumn="1" w:lastColumn="0" w:oddVBand="0" w:evenVBand="0" w:oddHBand="0" w:evenHBand="0" w:firstRowFirstColumn="0" w:firstRowLastColumn="0" w:lastRowFirstColumn="0" w:lastRowLastColumn="0"/>
            <w:tcW w:w="0" w:type="auto"/>
            <w:vMerge/>
            <w:hideMark/>
          </w:tcPr>
          <w:p w14:paraId="3CE7057B" w14:textId="77777777" w:rsidR="004C5C3A" w:rsidRPr="00AA22F2" w:rsidRDefault="004C5C3A" w:rsidP="004C5C3A">
            <w:pPr>
              <w:rPr>
                <w:szCs w:val="20"/>
              </w:rPr>
            </w:pPr>
          </w:p>
        </w:tc>
        <w:tc>
          <w:tcPr>
            <w:tcW w:w="0" w:type="auto"/>
            <w:vMerge/>
            <w:hideMark/>
          </w:tcPr>
          <w:p w14:paraId="05CA146E" w14:textId="77777777" w:rsidR="004C5C3A" w:rsidRPr="00AA22F2" w:rsidRDefault="004C5C3A" w:rsidP="004C5C3A">
            <w:pPr>
              <w:cnfStyle w:val="000000000000" w:firstRow="0" w:lastRow="0" w:firstColumn="0" w:lastColumn="0" w:oddVBand="0" w:evenVBand="0" w:oddHBand="0" w:evenHBand="0" w:firstRowFirstColumn="0" w:firstRowLastColumn="0" w:lastRowFirstColumn="0" w:lastRowLastColumn="0"/>
              <w:rPr>
                <w:szCs w:val="20"/>
              </w:rPr>
            </w:pPr>
          </w:p>
        </w:tc>
        <w:tc>
          <w:tcPr>
            <w:tcW w:w="0" w:type="auto"/>
            <w:hideMark/>
          </w:tcPr>
          <w:p w14:paraId="347E8426" w14:textId="77777777" w:rsidR="004C5C3A" w:rsidRPr="00AA22F2" w:rsidRDefault="004C5C3A" w:rsidP="004C5C3A">
            <w:pPr>
              <w:cnfStyle w:val="000000000000" w:firstRow="0" w:lastRow="0" w:firstColumn="0" w:lastColumn="0" w:oddVBand="0" w:evenVBand="0" w:oddHBand="0" w:evenHBand="0" w:firstRowFirstColumn="0" w:firstRowLastColumn="0" w:lastRowFirstColumn="0" w:lastRowLastColumn="0"/>
              <w:rPr>
                <w:szCs w:val="20"/>
              </w:rPr>
            </w:pPr>
            <w:r w:rsidRPr="00AA22F2">
              <w:rPr>
                <w:b/>
                <w:bCs/>
                <w:szCs w:val="20"/>
              </w:rPr>
              <w:t>Gravité des conséquences</w:t>
            </w:r>
          </w:p>
        </w:tc>
        <w:tc>
          <w:tcPr>
            <w:tcW w:w="0" w:type="auto"/>
            <w:hideMark/>
          </w:tcPr>
          <w:p w14:paraId="74A06484" w14:textId="77777777" w:rsidR="004C5C3A" w:rsidRPr="00AA22F2" w:rsidRDefault="004C5C3A" w:rsidP="004C5C3A">
            <w:pPr>
              <w:cnfStyle w:val="000000000000" w:firstRow="0" w:lastRow="0" w:firstColumn="0" w:lastColumn="0" w:oddVBand="0" w:evenVBand="0" w:oddHBand="0" w:evenHBand="0" w:firstRowFirstColumn="0" w:firstRowLastColumn="0" w:lastRowFirstColumn="0" w:lastRowLastColumn="0"/>
              <w:rPr>
                <w:szCs w:val="20"/>
              </w:rPr>
            </w:pPr>
            <w:r w:rsidRPr="00AA22F2">
              <w:rPr>
                <w:szCs w:val="20"/>
              </w:rPr>
              <w:t>Contamination chimique durable du sol</w:t>
            </w:r>
          </w:p>
        </w:tc>
        <w:tc>
          <w:tcPr>
            <w:tcW w:w="0" w:type="auto"/>
            <w:hideMark/>
          </w:tcPr>
          <w:p w14:paraId="483D1D6E" w14:textId="77777777" w:rsidR="004C5C3A" w:rsidRPr="00AA22F2" w:rsidRDefault="004C5C3A" w:rsidP="004C5C3A">
            <w:pPr>
              <w:cnfStyle w:val="000000000000" w:firstRow="0" w:lastRow="0" w:firstColumn="0" w:lastColumn="0" w:oddVBand="0" w:evenVBand="0" w:oddHBand="0" w:evenHBand="0" w:firstRowFirstColumn="0" w:firstRowLastColumn="0" w:lastRowFirstColumn="0" w:lastRowLastColumn="0"/>
              <w:rPr>
                <w:szCs w:val="20"/>
              </w:rPr>
            </w:pPr>
            <w:r w:rsidRPr="00AA22F2">
              <w:rPr>
                <w:szCs w:val="20"/>
              </w:rPr>
              <w:t>Majeure</w:t>
            </w:r>
          </w:p>
        </w:tc>
      </w:tr>
      <w:tr w:rsidR="004C5C3A" w:rsidRPr="004C5C3A" w14:paraId="27F2DEFE" w14:textId="77777777" w:rsidTr="005A7661">
        <w:tc>
          <w:tcPr>
            <w:cnfStyle w:val="001000000000" w:firstRow="0" w:lastRow="0" w:firstColumn="1" w:lastColumn="0" w:oddVBand="0" w:evenVBand="0" w:oddHBand="0" w:evenHBand="0" w:firstRowFirstColumn="0" w:firstRowLastColumn="0" w:lastRowFirstColumn="0" w:lastRowLastColumn="0"/>
            <w:tcW w:w="0" w:type="auto"/>
            <w:vMerge/>
            <w:hideMark/>
          </w:tcPr>
          <w:p w14:paraId="481E386C" w14:textId="77777777" w:rsidR="004C5C3A" w:rsidRPr="00AA22F2" w:rsidRDefault="004C5C3A" w:rsidP="004C5C3A">
            <w:pPr>
              <w:rPr>
                <w:szCs w:val="20"/>
              </w:rPr>
            </w:pPr>
          </w:p>
        </w:tc>
        <w:tc>
          <w:tcPr>
            <w:tcW w:w="0" w:type="auto"/>
            <w:vMerge/>
            <w:hideMark/>
          </w:tcPr>
          <w:p w14:paraId="4A675BFA" w14:textId="77777777" w:rsidR="004C5C3A" w:rsidRPr="00AA22F2" w:rsidRDefault="004C5C3A" w:rsidP="004C5C3A">
            <w:pPr>
              <w:cnfStyle w:val="000000000000" w:firstRow="0" w:lastRow="0" w:firstColumn="0" w:lastColumn="0" w:oddVBand="0" w:evenVBand="0" w:oddHBand="0" w:evenHBand="0" w:firstRowFirstColumn="0" w:firstRowLastColumn="0" w:lastRowFirstColumn="0" w:lastRowLastColumn="0"/>
              <w:rPr>
                <w:szCs w:val="20"/>
              </w:rPr>
            </w:pPr>
          </w:p>
        </w:tc>
        <w:tc>
          <w:tcPr>
            <w:tcW w:w="0" w:type="auto"/>
            <w:hideMark/>
          </w:tcPr>
          <w:p w14:paraId="7A40705D" w14:textId="77777777" w:rsidR="004C5C3A" w:rsidRPr="00AA22F2" w:rsidRDefault="004C5C3A" w:rsidP="004C5C3A">
            <w:pPr>
              <w:cnfStyle w:val="000000000000" w:firstRow="0" w:lastRow="0" w:firstColumn="0" w:lastColumn="0" w:oddVBand="0" w:evenVBand="0" w:oddHBand="0" w:evenHBand="0" w:firstRowFirstColumn="0" w:firstRowLastColumn="0" w:lastRowFirstColumn="0" w:lastRowLastColumn="0"/>
              <w:rPr>
                <w:szCs w:val="20"/>
              </w:rPr>
            </w:pPr>
            <w:r w:rsidRPr="00AA22F2">
              <w:rPr>
                <w:b/>
                <w:bCs/>
                <w:szCs w:val="20"/>
              </w:rPr>
              <w:t>Évaluation globale du risque</w:t>
            </w:r>
          </w:p>
        </w:tc>
        <w:tc>
          <w:tcPr>
            <w:tcW w:w="0" w:type="auto"/>
            <w:hideMark/>
          </w:tcPr>
          <w:p w14:paraId="1523AB3B" w14:textId="77777777" w:rsidR="004C5C3A" w:rsidRPr="00AA22F2" w:rsidRDefault="004C5C3A" w:rsidP="004C5C3A">
            <w:pPr>
              <w:cnfStyle w:val="000000000000" w:firstRow="0" w:lastRow="0" w:firstColumn="0" w:lastColumn="0" w:oddVBand="0" w:evenVBand="0" w:oddHBand="0" w:evenHBand="0" w:firstRowFirstColumn="0" w:firstRowLastColumn="0" w:lastRowFirstColumn="0" w:lastRowLastColumn="0"/>
              <w:rPr>
                <w:szCs w:val="20"/>
              </w:rPr>
            </w:pPr>
            <w:r w:rsidRPr="00AA22F2">
              <w:rPr>
                <w:szCs w:val="20"/>
              </w:rPr>
              <w:t>Risque ponctuel mais impactant</w:t>
            </w:r>
          </w:p>
        </w:tc>
        <w:tc>
          <w:tcPr>
            <w:tcW w:w="0" w:type="auto"/>
            <w:hideMark/>
          </w:tcPr>
          <w:p w14:paraId="146CAB43" w14:textId="77777777" w:rsidR="004C5C3A" w:rsidRPr="00AA22F2" w:rsidRDefault="004C5C3A" w:rsidP="004C5C3A">
            <w:pPr>
              <w:cnfStyle w:val="000000000000" w:firstRow="0" w:lastRow="0" w:firstColumn="0" w:lastColumn="0" w:oddVBand="0" w:evenVBand="0" w:oddHBand="0" w:evenHBand="0" w:firstRowFirstColumn="0" w:firstRowLastColumn="0" w:lastRowFirstColumn="0" w:lastRowLastColumn="0"/>
              <w:rPr>
                <w:szCs w:val="20"/>
              </w:rPr>
            </w:pPr>
            <w:r w:rsidRPr="00AA22F2">
              <w:rPr>
                <w:b/>
                <w:bCs/>
                <w:szCs w:val="20"/>
              </w:rPr>
              <w:t>Modéré</w:t>
            </w:r>
          </w:p>
        </w:tc>
      </w:tr>
    </w:tbl>
    <w:p w14:paraId="49C4DA3E" w14:textId="77777777" w:rsidR="004C5C3A" w:rsidRPr="0029558B" w:rsidRDefault="004C5C3A" w:rsidP="004C5C3A"/>
    <w:bookmarkEnd w:id="418"/>
    <w:p w14:paraId="197D3783" w14:textId="77777777" w:rsidR="00AE45D9" w:rsidRPr="000410D7" w:rsidRDefault="00AE45D9" w:rsidP="00AE45D9"/>
    <w:p w14:paraId="73C755D5" w14:textId="77777777" w:rsidR="00AE45D9" w:rsidRPr="00AA0503" w:rsidRDefault="00AE45D9" w:rsidP="00AE45D9"/>
    <w:p w14:paraId="5574BC34" w14:textId="77777777" w:rsidR="00AE45D9" w:rsidRDefault="00AE45D9" w:rsidP="00AE45D9">
      <w:pPr>
        <w:rPr>
          <w:lang w:eastAsia="zh-CN"/>
        </w:rPr>
        <w:sectPr w:rsidR="00AE45D9" w:rsidSect="004637C7">
          <w:headerReference w:type="default" r:id="rId110"/>
          <w:footerReference w:type="default" r:id="rId111"/>
          <w:pgSz w:w="11906" w:h="16838"/>
          <w:pgMar w:top="1701" w:right="1418" w:bottom="1276" w:left="1418" w:header="680" w:footer="680" w:gutter="0"/>
          <w:cols w:space="708"/>
          <w:docGrid w:linePitch="360"/>
        </w:sectPr>
      </w:pPr>
    </w:p>
    <w:p w14:paraId="7A6502EF" w14:textId="2C125C3C" w:rsidR="00AE45D9" w:rsidRDefault="00E2502F" w:rsidP="004637C7">
      <w:pPr>
        <w:pStyle w:val="Title5"/>
      </w:pPr>
      <w:bookmarkStart w:id="419" w:name="_Hlk210928620"/>
      <w:r>
        <w:lastRenderedPageBreak/>
        <w:t>Mesures d’atténuation</w:t>
      </w:r>
    </w:p>
    <w:p w14:paraId="102E882F" w14:textId="352C2DB0" w:rsidR="00AE45D9" w:rsidRDefault="00AE45D9" w:rsidP="00AE45D9">
      <w:pPr>
        <w:pStyle w:val="Lgende"/>
        <w:rPr>
          <w:lang w:val="fr-FR" w:eastAsia="zh-CN"/>
        </w:rPr>
      </w:pPr>
      <w:bookmarkStart w:id="420" w:name="_Toc213404369"/>
      <w:r w:rsidRPr="002A0860">
        <w:rPr>
          <w:lang w:val="fr-FR"/>
        </w:rPr>
        <w:t xml:space="preserve">Tableau </w:t>
      </w:r>
      <w:r>
        <w:fldChar w:fldCharType="begin"/>
      </w:r>
      <w:r w:rsidRPr="002A0860">
        <w:rPr>
          <w:lang w:val="fr-FR"/>
        </w:rPr>
        <w:instrText xml:space="preserve"> SEQ Tableau \* ARABIC </w:instrText>
      </w:r>
      <w:r>
        <w:fldChar w:fldCharType="separate"/>
      </w:r>
      <w:r w:rsidR="00274E71">
        <w:rPr>
          <w:noProof/>
          <w:lang w:val="fr-FR"/>
        </w:rPr>
        <w:t>47</w:t>
      </w:r>
      <w:r>
        <w:fldChar w:fldCharType="end"/>
      </w:r>
      <w:r>
        <w:rPr>
          <w:noProof/>
          <w:lang w:val="fr-FR"/>
        </w:rPr>
        <w:t xml:space="preserve">: </w:t>
      </w:r>
      <w:r w:rsidRPr="002A0860">
        <w:rPr>
          <w:lang w:val="fr-FR" w:eastAsia="zh-CN"/>
        </w:rPr>
        <w:t>Sol – Mesures d’atténuation en phases de construction</w:t>
      </w:r>
      <w:bookmarkEnd w:id="420"/>
      <w:r w:rsidRPr="002A0860">
        <w:rPr>
          <w:lang w:val="fr-FR" w:eastAsia="zh-CN"/>
        </w:rPr>
        <w:t xml:space="preserve"> </w:t>
      </w:r>
    </w:p>
    <w:tbl>
      <w:tblPr>
        <w:tblStyle w:val="TableauGrille1Clair-Accentuation111"/>
        <w:tblW w:w="0" w:type="auto"/>
        <w:tblLook w:val="04A0" w:firstRow="1" w:lastRow="0" w:firstColumn="1" w:lastColumn="0" w:noHBand="0" w:noVBand="1"/>
      </w:tblPr>
      <w:tblGrid>
        <w:gridCol w:w="1941"/>
        <w:gridCol w:w="1401"/>
        <w:gridCol w:w="2230"/>
        <w:gridCol w:w="1451"/>
        <w:gridCol w:w="968"/>
        <w:gridCol w:w="1443"/>
        <w:gridCol w:w="717"/>
        <w:gridCol w:w="1402"/>
        <w:gridCol w:w="2581"/>
      </w:tblGrid>
      <w:tr w:rsidR="00AB2B5D" w:rsidRPr="008B721A" w14:paraId="30AA51BC" w14:textId="77777777" w:rsidTr="004637C7">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0" w:type="auto"/>
            <w:hideMark/>
          </w:tcPr>
          <w:p w14:paraId="5AD689D4" w14:textId="77777777" w:rsidR="008B721A" w:rsidRPr="008B721A" w:rsidRDefault="008B721A" w:rsidP="008B721A">
            <w:pPr>
              <w:rPr>
                <w:lang w:eastAsia="zh-CN" w:bidi="ar-SA"/>
              </w:rPr>
            </w:pPr>
            <w:r w:rsidRPr="008B721A">
              <w:rPr>
                <w:lang w:eastAsia="zh-CN" w:bidi="ar-SA"/>
              </w:rPr>
              <w:t>Impact / Risque</w:t>
            </w:r>
          </w:p>
        </w:tc>
        <w:tc>
          <w:tcPr>
            <w:tcW w:w="0" w:type="auto"/>
            <w:hideMark/>
          </w:tcPr>
          <w:p w14:paraId="73725EC2" w14:textId="77777777" w:rsidR="008B721A" w:rsidRPr="008B721A" w:rsidRDefault="008B721A" w:rsidP="008B721A">
            <w:pPr>
              <w:cnfStyle w:val="100000000000" w:firstRow="1" w:lastRow="0" w:firstColumn="0" w:lastColumn="0" w:oddVBand="0" w:evenVBand="0" w:oddHBand="0" w:evenHBand="0" w:firstRowFirstColumn="0" w:firstRowLastColumn="0" w:lastRowFirstColumn="0" w:lastRowLastColumn="0"/>
              <w:rPr>
                <w:lang w:eastAsia="zh-CN" w:bidi="ar-SA"/>
              </w:rPr>
            </w:pPr>
            <w:r w:rsidRPr="008B721A">
              <w:rPr>
                <w:lang w:eastAsia="zh-CN" w:bidi="ar-SA"/>
              </w:rPr>
              <w:t>Niveau d’atténuation</w:t>
            </w:r>
          </w:p>
        </w:tc>
        <w:tc>
          <w:tcPr>
            <w:tcW w:w="0" w:type="auto"/>
            <w:hideMark/>
          </w:tcPr>
          <w:p w14:paraId="05AA2307" w14:textId="77777777" w:rsidR="008B721A" w:rsidRPr="008B721A" w:rsidRDefault="008B721A" w:rsidP="008B721A">
            <w:pPr>
              <w:cnfStyle w:val="100000000000" w:firstRow="1" w:lastRow="0" w:firstColumn="0" w:lastColumn="0" w:oddVBand="0" w:evenVBand="0" w:oddHBand="0" w:evenHBand="0" w:firstRowFirstColumn="0" w:firstRowLastColumn="0" w:lastRowFirstColumn="0" w:lastRowLastColumn="0"/>
              <w:rPr>
                <w:lang w:eastAsia="zh-CN" w:bidi="ar-SA"/>
              </w:rPr>
            </w:pPr>
            <w:r w:rsidRPr="008B721A">
              <w:rPr>
                <w:lang w:eastAsia="zh-CN" w:bidi="ar-SA"/>
              </w:rPr>
              <w:t>Mesures proposées</w:t>
            </w:r>
          </w:p>
        </w:tc>
        <w:tc>
          <w:tcPr>
            <w:tcW w:w="0" w:type="auto"/>
            <w:hideMark/>
          </w:tcPr>
          <w:p w14:paraId="6B0E8268" w14:textId="77777777" w:rsidR="008B721A" w:rsidRPr="008B721A" w:rsidRDefault="008B721A" w:rsidP="008B721A">
            <w:pPr>
              <w:cnfStyle w:val="100000000000" w:firstRow="1" w:lastRow="0" w:firstColumn="0" w:lastColumn="0" w:oddVBand="0" w:evenVBand="0" w:oddHBand="0" w:evenHBand="0" w:firstRowFirstColumn="0" w:firstRowLastColumn="0" w:lastRowFirstColumn="0" w:lastRowLastColumn="0"/>
              <w:rPr>
                <w:lang w:eastAsia="zh-CN" w:bidi="ar-SA"/>
              </w:rPr>
            </w:pPr>
            <w:r w:rsidRPr="008B721A">
              <w:rPr>
                <w:lang w:eastAsia="zh-CN" w:bidi="ar-SA"/>
              </w:rPr>
              <w:t>KPI / Indicateur</w:t>
            </w:r>
          </w:p>
        </w:tc>
        <w:tc>
          <w:tcPr>
            <w:tcW w:w="0" w:type="auto"/>
            <w:hideMark/>
          </w:tcPr>
          <w:p w14:paraId="26ADB8D5" w14:textId="77777777" w:rsidR="008B721A" w:rsidRPr="008B721A" w:rsidRDefault="008B721A" w:rsidP="008B721A">
            <w:pPr>
              <w:cnfStyle w:val="100000000000" w:firstRow="1" w:lastRow="0" w:firstColumn="0" w:lastColumn="0" w:oddVBand="0" w:evenVBand="0" w:oddHBand="0" w:evenHBand="0" w:firstRowFirstColumn="0" w:firstRowLastColumn="0" w:lastRowFirstColumn="0" w:lastRowLastColumn="0"/>
              <w:rPr>
                <w:lang w:eastAsia="zh-CN" w:bidi="ar-SA"/>
              </w:rPr>
            </w:pPr>
            <w:r w:rsidRPr="008B721A">
              <w:rPr>
                <w:lang w:eastAsia="zh-CN" w:bidi="ar-SA"/>
              </w:rPr>
              <w:t>Mise en œuvre</w:t>
            </w:r>
          </w:p>
        </w:tc>
        <w:tc>
          <w:tcPr>
            <w:tcW w:w="0" w:type="auto"/>
            <w:hideMark/>
          </w:tcPr>
          <w:p w14:paraId="71989054" w14:textId="77777777" w:rsidR="008B721A" w:rsidRPr="008B721A" w:rsidRDefault="008B721A" w:rsidP="008B721A">
            <w:pPr>
              <w:cnfStyle w:val="100000000000" w:firstRow="1" w:lastRow="0" w:firstColumn="0" w:lastColumn="0" w:oddVBand="0" w:evenVBand="0" w:oddHBand="0" w:evenHBand="0" w:firstRowFirstColumn="0" w:firstRowLastColumn="0" w:lastRowFirstColumn="0" w:lastRowLastColumn="0"/>
              <w:rPr>
                <w:lang w:eastAsia="zh-CN" w:bidi="ar-SA"/>
              </w:rPr>
            </w:pPr>
            <w:r w:rsidRPr="008B721A">
              <w:rPr>
                <w:lang w:eastAsia="zh-CN" w:bidi="ar-SA"/>
              </w:rPr>
              <w:t>Surveillance</w:t>
            </w:r>
          </w:p>
        </w:tc>
        <w:tc>
          <w:tcPr>
            <w:tcW w:w="0" w:type="auto"/>
            <w:hideMark/>
          </w:tcPr>
          <w:p w14:paraId="04E5D543" w14:textId="77777777" w:rsidR="008B721A" w:rsidRPr="008B721A" w:rsidRDefault="008B721A" w:rsidP="008B721A">
            <w:pPr>
              <w:cnfStyle w:val="100000000000" w:firstRow="1" w:lastRow="0" w:firstColumn="0" w:lastColumn="0" w:oddVBand="0" w:evenVBand="0" w:oddHBand="0" w:evenHBand="0" w:firstRowFirstColumn="0" w:firstRowLastColumn="0" w:lastRowFirstColumn="0" w:lastRowLastColumn="0"/>
              <w:rPr>
                <w:lang w:eastAsia="zh-CN" w:bidi="ar-SA"/>
              </w:rPr>
            </w:pPr>
            <w:r w:rsidRPr="008B721A">
              <w:rPr>
                <w:lang w:eastAsia="zh-CN" w:bidi="ar-SA"/>
              </w:rPr>
              <w:t>Suivi</w:t>
            </w:r>
          </w:p>
        </w:tc>
        <w:tc>
          <w:tcPr>
            <w:tcW w:w="0" w:type="auto"/>
            <w:hideMark/>
          </w:tcPr>
          <w:p w14:paraId="003330CD" w14:textId="77777777" w:rsidR="008B721A" w:rsidRPr="008B721A" w:rsidRDefault="008B721A" w:rsidP="008B721A">
            <w:pPr>
              <w:cnfStyle w:val="100000000000" w:firstRow="1" w:lastRow="0" w:firstColumn="0" w:lastColumn="0" w:oddVBand="0" w:evenVBand="0" w:oddHBand="0" w:evenHBand="0" w:firstRowFirstColumn="0" w:firstRowLastColumn="0" w:lastRowFirstColumn="0" w:lastRowLastColumn="0"/>
              <w:rPr>
                <w:lang w:eastAsia="zh-CN" w:bidi="ar-SA"/>
              </w:rPr>
            </w:pPr>
            <w:r w:rsidRPr="008B721A">
              <w:rPr>
                <w:lang w:eastAsia="zh-CN" w:bidi="ar-SA"/>
              </w:rPr>
              <w:t>Calendrier</w:t>
            </w:r>
          </w:p>
        </w:tc>
        <w:tc>
          <w:tcPr>
            <w:tcW w:w="0" w:type="auto"/>
            <w:hideMark/>
          </w:tcPr>
          <w:p w14:paraId="46E3EA8F" w14:textId="77777777" w:rsidR="008B721A" w:rsidRPr="008B721A" w:rsidRDefault="008B721A" w:rsidP="008B721A">
            <w:pPr>
              <w:cnfStyle w:val="100000000000" w:firstRow="1" w:lastRow="0" w:firstColumn="0" w:lastColumn="0" w:oddVBand="0" w:evenVBand="0" w:oddHBand="0" w:evenHBand="0" w:firstRowFirstColumn="0" w:firstRowLastColumn="0" w:lastRowFirstColumn="0" w:lastRowLastColumn="0"/>
              <w:rPr>
                <w:lang w:eastAsia="zh-CN" w:bidi="ar-SA"/>
              </w:rPr>
            </w:pPr>
            <w:r w:rsidRPr="008B721A">
              <w:rPr>
                <w:lang w:eastAsia="zh-CN" w:bidi="ar-SA"/>
              </w:rPr>
              <w:t>Coût estimatif</w:t>
            </w:r>
          </w:p>
        </w:tc>
      </w:tr>
      <w:tr w:rsidR="00F850FA" w:rsidRPr="008B721A" w14:paraId="42BC02ED" w14:textId="77777777" w:rsidTr="008B721A">
        <w:tc>
          <w:tcPr>
            <w:cnfStyle w:val="001000000000" w:firstRow="0" w:lastRow="0" w:firstColumn="1" w:lastColumn="0" w:oddVBand="0" w:evenVBand="0" w:oddHBand="0" w:evenHBand="0" w:firstRowFirstColumn="0" w:firstRowLastColumn="0" w:lastRowFirstColumn="0" w:lastRowLastColumn="0"/>
            <w:tcW w:w="0" w:type="auto"/>
            <w:vMerge w:val="restart"/>
            <w:hideMark/>
          </w:tcPr>
          <w:p w14:paraId="110E5CBC" w14:textId="77777777" w:rsidR="00BE3482" w:rsidRPr="008B721A" w:rsidRDefault="00BE3482" w:rsidP="008B721A">
            <w:pPr>
              <w:rPr>
                <w:lang w:eastAsia="zh-CN" w:bidi="ar-SA"/>
              </w:rPr>
            </w:pPr>
            <w:r w:rsidRPr="008B721A">
              <w:rPr>
                <w:lang w:eastAsia="zh-CN" w:bidi="ar-SA"/>
              </w:rPr>
              <w:t>Imperméabilisation temporaire du sol</w:t>
            </w:r>
          </w:p>
        </w:tc>
        <w:tc>
          <w:tcPr>
            <w:tcW w:w="0" w:type="auto"/>
            <w:vMerge w:val="restart"/>
            <w:hideMark/>
          </w:tcPr>
          <w:p w14:paraId="6F085E0D" w14:textId="77777777" w:rsidR="00BE3482" w:rsidRPr="008B721A" w:rsidRDefault="00BE3482" w:rsidP="008B721A">
            <w:pPr>
              <w:cnfStyle w:val="000000000000" w:firstRow="0" w:lastRow="0" w:firstColumn="0" w:lastColumn="0" w:oddVBand="0" w:evenVBand="0" w:oddHBand="0" w:evenHBand="0" w:firstRowFirstColumn="0" w:firstRowLastColumn="0" w:lastRowFirstColumn="0" w:lastRowLastColumn="0"/>
              <w:rPr>
                <w:lang w:eastAsia="zh-CN" w:bidi="ar-SA"/>
              </w:rPr>
            </w:pPr>
            <w:r w:rsidRPr="008B721A">
              <w:rPr>
                <w:b/>
                <w:bCs/>
                <w:lang w:eastAsia="zh-CN" w:bidi="ar-SA"/>
              </w:rPr>
              <w:t>Éviter</w:t>
            </w:r>
          </w:p>
        </w:tc>
        <w:tc>
          <w:tcPr>
            <w:tcW w:w="0" w:type="auto"/>
            <w:hideMark/>
          </w:tcPr>
          <w:p w14:paraId="2F0D1D0C" w14:textId="76D41B1C" w:rsidR="00BE3482" w:rsidRPr="008B721A" w:rsidRDefault="00BE3482" w:rsidP="008B721A">
            <w:pPr>
              <w:cnfStyle w:val="000000000000" w:firstRow="0" w:lastRow="0" w:firstColumn="0" w:lastColumn="0" w:oddVBand="0" w:evenVBand="0" w:oddHBand="0" w:evenHBand="0" w:firstRowFirstColumn="0" w:firstRowLastColumn="0" w:lastRowFirstColumn="0" w:lastRowLastColumn="0"/>
              <w:rPr>
                <w:lang w:eastAsia="zh-CN" w:bidi="ar-SA"/>
              </w:rPr>
            </w:pPr>
            <w:r w:rsidRPr="008B721A">
              <w:rPr>
                <w:lang w:eastAsia="zh-CN" w:bidi="ar-SA"/>
              </w:rPr>
              <w:t xml:space="preserve">Délimiter clairement les zones de travaux et interdire tout stationnement d’engins hors emprise autorisée. </w:t>
            </w:r>
          </w:p>
        </w:tc>
        <w:tc>
          <w:tcPr>
            <w:tcW w:w="0" w:type="auto"/>
            <w:vMerge w:val="restart"/>
            <w:hideMark/>
          </w:tcPr>
          <w:p w14:paraId="252026CF" w14:textId="2FEC385B" w:rsidR="00BE3482" w:rsidRPr="008B721A" w:rsidRDefault="00BE3482" w:rsidP="008B721A">
            <w:pPr>
              <w:cnfStyle w:val="000000000000" w:firstRow="0" w:lastRow="0" w:firstColumn="0" w:lastColumn="0" w:oddVBand="0" w:evenVBand="0" w:oddHBand="0" w:evenHBand="0" w:firstRowFirstColumn="0" w:firstRowLastColumn="0" w:lastRowFirstColumn="0" w:lastRowLastColumn="0"/>
              <w:rPr>
                <w:lang w:eastAsia="zh-CN" w:bidi="ar-SA"/>
              </w:rPr>
            </w:pPr>
            <w:r w:rsidRPr="008B721A">
              <w:rPr>
                <w:lang w:eastAsia="zh-CN" w:bidi="ar-SA"/>
              </w:rPr>
              <w:t xml:space="preserve">% d’emprise respectée </w:t>
            </w:r>
          </w:p>
        </w:tc>
        <w:tc>
          <w:tcPr>
            <w:tcW w:w="0" w:type="auto"/>
            <w:vMerge w:val="restart"/>
            <w:hideMark/>
          </w:tcPr>
          <w:p w14:paraId="5D7D97AF" w14:textId="77777777" w:rsidR="00BE3482" w:rsidRPr="008B721A" w:rsidRDefault="00BE3482" w:rsidP="008B721A">
            <w:pPr>
              <w:cnfStyle w:val="000000000000" w:firstRow="0" w:lastRow="0" w:firstColumn="0" w:lastColumn="0" w:oddVBand="0" w:evenVBand="0" w:oddHBand="0" w:evenHBand="0" w:firstRowFirstColumn="0" w:firstRowLastColumn="0" w:lastRowFirstColumn="0" w:lastRowLastColumn="0"/>
              <w:rPr>
                <w:lang w:eastAsia="zh-CN" w:bidi="ar-SA"/>
              </w:rPr>
            </w:pPr>
            <w:r w:rsidRPr="008B721A">
              <w:rPr>
                <w:lang w:eastAsia="zh-CN" w:bidi="ar-SA"/>
              </w:rPr>
              <w:t>EPC / Sous-traitants</w:t>
            </w:r>
          </w:p>
        </w:tc>
        <w:tc>
          <w:tcPr>
            <w:tcW w:w="0" w:type="auto"/>
            <w:vMerge w:val="restart"/>
            <w:hideMark/>
          </w:tcPr>
          <w:p w14:paraId="3630EF2A" w14:textId="77777777" w:rsidR="00BE3482" w:rsidRPr="008B721A" w:rsidRDefault="00BE3482" w:rsidP="008B721A">
            <w:pPr>
              <w:cnfStyle w:val="000000000000" w:firstRow="0" w:lastRow="0" w:firstColumn="0" w:lastColumn="0" w:oddVBand="0" w:evenVBand="0" w:oddHBand="0" w:evenHBand="0" w:firstRowFirstColumn="0" w:firstRowLastColumn="0" w:lastRowFirstColumn="0" w:lastRowLastColumn="0"/>
              <w:rPr>
                <w:lang w:eastAsia="zh-CN" w:bidi="ar-SA"/>
              </w:rPr>
            </w:pPr>
            <w:r w:rsidRPr="008B721A">
              <w:rPr>
                <w:lang w:eastAsia="zh-CN" w:bidi="ar-SA"/>
              </w:rPr>
              <w:t>Bureau de contrôle / Consultant mandaté par l’ONDA</w:t>
            </w:r>
          </w:p>
        </w:tc>
        <w:tc>
          <w:tcPr>
            <w:tcW w:w="0" w:type="auto"/>
            <w:vMerge w:val="restart"/>
            <w:hideMark/>
          </w:tcPr>
          <w:p w14:paraId="0E53E8E4" w14:textId="77777777" w:rsidR="00BE3482" w:rsidRPr="008B721A" w:rsidRDefault="00BE3482" w:rsidP="008B721A">
            <w:pPr>
              <w:cnfStyle w:val="000000000000" w:firstRow="0" w:lastRow="0" w:firstColumn="0" w:lastColumn="0" w:oddVBand="0" w:evenVBand="0" w:oddHBand="0" w:evenHBand="0" w:firstRowFirstColumn="0" w:firstRowLastColumn="0" w:lastRowFirstColumn="0" w:lastRowLastColumn="0"/>
              <w:rPr>
                <w:lang w:eastAsia="zh-CN" w:bidi="ar-SA"/>
              </w:rPr>
            </w:pPr>
            <w:r w:rsidRPr="008B721A">
              <w:rPr>
                <w:lang w:eastAsia="zh-CN" w:bidi="ar-SA"/>
              </w:rPr>
              <w:t>ONDA</w:t>
            </w:r>
          </w:p>
        </w:tc>
        <w:tc>
          <w:tcPr>
            <w:tcW w:w="0" w:type="auto"/>
            <w:vMerge w:val="restart"/>
            <w:hideMark/>
          </w:tcPr>
          <w:p w14:paraId="441A2302" w14:textId="77777777" w:rsidR="00BE3482" w:rsidRPr="008B721A" w:rsidRDefault="00BE3482" w:rsidP="008B721A">
            <w:pPr>
              <w:cnfStyle w:val="000000000000" w:firstRow="0" w:lastRow="0" w:firstColumn="0" w:lastColumn="0" w:oddVBand="0" w:evenVBand="0" w:oddHBand="0" w:evenHBand="0" w:firstRowFirstColumn="0" w:firstRowLastColumn="0" w:lastRowFirstColumn="0" w:lastRowLastColumn="0"/>
              <w:rPr>
                <w:lang w:eastAsia="zh-CN" w:bidi="ar-SA"/>
              </w:rPr>
            </w:pPr>
            <w:r w:rsidRPr="008B721A">
              <w:rPr>
                <w:lang w:eastAsia="zh-CN" w:bidi="ar-SA"/>
              </w:rPr>
              <w:t>Avant et pendant travaux</w:t>
            </w:r>
          </w:p>
        </w:tc>
        <w:tc>
          <w:tcPr>
            <w:tcW w:w="0" w:type="auto"/>
            <w:hideMark/>
          </w:tcPr>
          <w:p w14:paraId="39BDD5B3" w14:textId="61458CFF" w:rsidR="00BE3482" w:rsidRPr="008B721A" w:rsidRDefault="00BE3482" w:rsidP="008B721A">
            <w:pPr>
              <w:cnfStyle w:val="000000000000" w:firstRow="0" w:lastRow="0" w:firstColumn="0" w:lastColumn="0" w:oddVBand="0" w:evenVBand="0" w:oddHBand="0" w:evenHBand="0" w:firstRowFirstColumn="0" w:firstRowLastColumn="0" w:lastRowFirstColumn="0" w:lastRowLastColumn="0"/>
              <w:rPr>
                <w:lang w:eastAsia="zh-CN" w:bidi="ar-SA"/>
              </w:rPr>
            </w:pPr>
            <w:r w:rsidRPr="00DF6F84">
              <w:rPr>
                <w:lang w:eastAsia="zh-CN" w:bidi="ar-SA"/>
              </w:rPr>
              <w:t>≈ 5 000 – 6 000 MAD (forfait)</w:t>
            </w:r>
            <w:r>
              <w:rPr>
                <w:lang w:eastAsia="zh-CN" w:bidi="ar-SA"/>
              </w:rPr>
              <w:br/>
            </w:r>
            <w:r w:rsidRPr="00DF6F84">
              <w:rPr>
                <w:lang w:eastAsia="zh-CN" w:bidi="ar-SA"/>
              </w:rPr>
              <w:t>Matériaux : 400 m de ruban + 40 piquets + 10 panneaux.</w:t>
            </w:r>
            <w:r>
              <w:rPr>
                <w:lang w:eastAsia="zh-CN" w:bidi="ar-SA"/>
              </w:rPr>
              <w:br/>
            </w:r>
          </w:p>
        </w:tc>
      </w:tr>
      <w:tr w:rsidR="00F850FA" w:rsidRPr="008B721A" w14:paraId="5DB092B8" w14:textId="77777777" w:rsidTr="008B721A">
        <w:tc>
          <w:tcPr>
            <w:cnfStyle w:val="001000000000" w:firstRow="0" w:lastRow="0" w:firstColumn="1" w:lastColumn="0" w:oddVBand="0" w:evenVBand="0" w:oddHBand="0" w:evenHBand="0" w:firstRowFirstColumn="0" w:firstRowLastColumn="0" w:lastRowFirstColumn="0" w:lastRowLastColumn="0"/>
            <w:tcW w:w="0" w:type="auto"/>
            <w:vMerge/>
          </w:tcPr>
          <w:p w14:paraId="1A61D2F9" w14:textId="77777777" w:rsidR="00BE3482" w:rsidRPr="008B721A" w:rsidRDefault="00BE3482" w:rsidP="008B721A">
            <w:pPr>
              <w:rPr>
                <w:lang w:eastAsia="zh-CN" w:bidi="ar-SA"/>
              </w:rPr>
            </w:pPr>
          </w:p>
        </w:tc>
        <w:tc>
          <w:tcPr>
            <w:tcW w:w="0" w:type="auto"/>
            <w:vMerge/>
          </w:tcPr>
          <w:p w14:paraId="35E76310" w14:textId="77777777" w:rsidR="00BE3482" w:rsidRPr="008B721A" w:rsidRDefault="00BE3482" w:rsidP="008B721A">
            <w:pPr>
              <w:cnfStyle w:val="000000000000" w:firstRow="0" w:lastRow="0" w:firstColumn="0" w:lastColumn="0" w:oddVBand="0" w:evenVBand="0" w:oddHBand="0" w:evenHBand="0" w:firstRowFirstColumn="0" w:firstRowLastColumn="0" w:lastRowFirstColumn="0" w:lastRowLastColumn="0"/>
              <w:rPr>
                <w:b/>
                <w:bCs/>
                <w:lang w:eastAsia="zh-CN" w:bidi="ar-SA"/>
              </w:rPr>
            </w:pPr>
          </w:p>
        </w:tc>
        <w:tc>
          <w:tcPr>
            <w:tcW w:w="0" w:type="auto"/>
          </w:tcPr>
          <w:p w14:paraId="08D03708" w14:textId="0C74708C" w:rsidR="00BE3482" w:rsidRPr="008B721A" w:rsidRDefault="00BE3482" w:rsidP="008B721A">
            <w:pPr>
              <w:cnfStyle w:val="000000000000" w:firstRow="0" w:lastRow="0" w:firstColumn="0" w:lastColumn="0" w:oddVBand="0" w:evenVBand="0" w:oddHBand="0" w:evenHBand="0" w:firstRowFirstColumn="0" w:firstRowLastColumn="0" w:lastRowFirstColumn="0" w:lastRowLastColumn="0"/>
              <w:rPr>
                <w:lang w:eastAsia="zh-CN" w:bidi="ar-SA"/>
              </w:rPr>
            </w:pPr>
            <w:r w:rsidRPr="008B721A">
              <w:rPr>
                <w:lang w:eastAsia="zh-CN" w:bidi="ar-SA"/>
              </w:rPr>
              <w:t>Prévoir des itinéraires internes pour éviter le tassement excessif sur les sols naturels.</w:t>
            </w:r>
          </w:p>
        </w:tc>
        <w:tc>
          <w:tcPr>
            <w:tcW w:w="0" w:type="auto"/>
            <w:vMerge/>
          </w:tcPr>
          <w:p w14:paraId="36DBD5B2" w14:textId="77777777" w:rsidR="00BE3482" w:rsidRPr="008B721A" w:rsidRDefault="00BE3482" w:rsidP="008B721A">
            <w:pPr>
              <w:cnfStyle w:val="000000000000" w:firstRow="0" w:lastRow="0" w:firstColumn="0" w:lastColumn="0" w:oddVBand="0" w:evenVBand="0" w:oddHBand="0" w:evenHBand="0" w:firstRowFirstColumn="0" w:firstRowLastColumn="0" w:lastRowFirstColumn="0" w:lastRowLastColumn="0"/>
              <w:rPr>
                <w:lang w:eastAsia="zh-CN" w:bidi="ar-SA"/>
              </w:rPr>
            </w:pPr>
          </w:p>
        </w:tc>
        <w:tc>
          <w:tcPr>
            <w:tcW w:w="0" w:type="auto"/>
            <w:vMerge/>
          </w:tcPr>
          <w:p w14:paraId="2AA1D273" w14:textId="77777777" w:rsidR="00BE3482" w:rsidRPr="008B721A" w:rsidRDefault="00BE3482" w:rsidP="008B721A">
            <w:pPr>
              <w:cnfStyle w:val="000000000000" w:firstRow="0" w:lastRow="0" w:firstColumn="0" w:lastColumn="0" w:oddVBand="0" w:evenVBand="0" w:oddHBand="0" w:evenHBand="0" w:firstRowFirstColumn="0" w:firstRowLastColumn="0" w:lastRowFirstColumn="0" w:lastRowLastColumn="0"/>
              <w:rPr>
                <w:lang w:eastAsia="zh-CN" w:bidi="ar-SA"/>
              </w:rPr>
            </w:pPr>
          </w:p>
        </w:tc>
        <w:tc>
          <w:tcPr>
            <w:tcW w:w="0" w:type="auto"/>
            <w:vMerge/>
          </w:tcPr>
          <w:p w14:paraId="1D1355E1" w14:textId="77777777" w:rsidR="00BE3482" w:rsidRPr="008B721A" w:rsidRDefault="00BE3482" w:rsidP="008B721A">
            <w:pPr>
              <w:cnfStyle w:val="000000000000" w:firstRow="0" w:lastRow="0" w:firstColumn="0" w:lastColumn="0" w:oddVBand="0" w:evenVBand="0" w:oddHBand="0" w:evenHBand="0" w:firstRowFirstColumn="0" w:firstRowLastColumn="0" w:lastRowFirstColumn="0" w:lastRowLastColumn="0"/>
              <w:rPr>
                <w:lang w:eastAsia="zh-CN" w:bidi="ar-SA"/>
              </w:rPr>
            </w:pPr>
          </w:p>
        </w:tc>
        <w:tc>
          <w:tcPr>
            <w:tcW w:w="0" w:type="auto"/>
            <w:vMerge/>
          </w:tcPr>
          <w:p w14:paraId="09D252E3" w14:textId="77777777" w:rsidR="00BE3482" w:rsidRPr="008B721A" w:rsidRDefault="00BE3482" w:rsidP="008B721A">
            <w:pPr>
              <w:cnfStyle w:val="000000000000" w:firstRow="0" w:lastRow="0" w:firstColumn="0" w:lastColumn="0" w:oddVBand="0" w:evenVBand="0" w:oddHBand="0" w:evenHBand="0" w:firstRowFirstColumn="0" w:firstRowLastColumn="0" w:lastRowFirstColumn="0" w:lastRowLastColumn="0"/>
              <w:rPr>
                <w:lang w:eastAsia="zh-CN" w:bidi="ar-SA"/>
              </w:rPr>
            </w:pPr>
          </w:p>
        </w:tc>
        <w:tc>
          <w:tcPr>
            <w:tcW w:w="0" w:type="auto"/>
            <w:vMerge/>
          </w:tcPr>
          <w:p w14:paraId="64C28024" w14:textId="77777777" w:rsidR="00BE3482" w:rsidRPr="008B721A" w:rsidRDefault="00BE3482" w:rsidP="008B721A">
            <w:pPr>
              <w:cnfStyle w:val="000000000000" w:firstRow="0" w:lastRow="0" w:firstColumn="0" w:lastColumn="0" w:oddVBand="0" w:evenVBand="0" w:oddHBand="0" w:evenHBand="0" w:firstRowFirstColumn="0" w:firstRowLastColumn="0" w:lastRowFirstColumn="0" w:lastRowLastColumn="0"/>
              <w:rPr>
                <w:lang w:eastAsia="zh-CN" w:bidi="ar-SA"/>
              </w:rPr>
            </w:pPr>
          </w:p>
        </w:tc>
        <w:tc>
          <w:tcPr>
            <w:tcW w:w="0" w:type="auto"/>
          </w:tcPr>
          <w:p w14:paraId="14BACF54" w14:textId="11562932" w:rsidR="00BE3482" w:rsidRPr="00DF6F84" w:rsidRDefault="00BE3482" w:rsidP="008B721A">
            <w:pPr>
              <w:cnfStyle w:val="000000000000" w:firstRow="0" w:lastRow="0" w:firstColumn="0" w:lastColumn="0" w:oddVBand="0" w:evenVBand="0" w:oddHBand="0" w:evenHBand="0" w:firstRowFirstColumn="0" w:firstRowLastColumn="0" w:lastRowFirstColumn="0" w:lastRowLastColumn="0"/>
              <w:rPr>
                <w:lang w:eastAsia="zh-CN" w:bidi="ar-SA"/>
              </w:rPr>
            </w:pPr>
            <w:r w:rsidRPr="00BE3482">
              <w:rPr>
                <w:lang w:eastAsia="zh-CN" w:bidi="ar-SA"/>
              </w:rPr>
              <w:t>Coût moyen : 40 – 60 MAD/m².</w:t>
            </w:r>
          </w:p>
        </w:tc>
      </w:tr>
      <w:tr w:rsidR="0075114B" w:rsidRPr="008B721A" w14:paraId="48F90FA5" w14:textId="77777777" w:rsidTr="0075114B">
        <w:tc>
          <w:tcPr>
            <w:cnfStyle w:val="001000000000" w:firstRow="0" w:lastRow="0" w:firstColumn="1" w:lastColumn="0" w:oddVBand="0" w:evenVBand="0" w:oddHBand="0" w:evenHBand="0" w:firstRowFirstColumn="0" w:firstRowLastColumn="0" w:lastRowFirstColumn="0" w:lastRowLastColumn="0"/>
            <w:tcW w:w="0" w:type="auto"/>
            <w:vMerge/>
            <w:hideMark/>
          </w:tcPr>
          <w:p w14:paraId="41C92234" w14:textId="77777777" w:rsidR="0075114B" w:rsidRPr="008B721A" w:rsidRDefault="0075114B" w:rsidP="0075114B">
            <w:pPr>
              <w:rPr>
                <w:lang w:eastAsia="zh-CN" w:bidi="ar-SA"/>
              </w:rPr>
            </w:pPr>
          </w:p>
        </w:tc>
        <w:tc>
          <w:tcPr>
            <w:tcW w:w="0" w:type="auto"/>
            <w:vMerge w:val="restart"/>
            <w:hideMark/>
          </w:tcPr>
          <w:p w14:paraId="5C31F224" w14:textId="77777777" w:rsidR="0075114B" w:rsidRPr="008B721A" w:rsidRDefault="0075114B" w:rsidP="0075114B">
            <w:pPr>
              <w:cnfStyle w:val="000000000000" w:firstRow="0" w:lastRow="0" w:firstColumn="0" w:lastColumn="0" w:oddVBand="0" w:evenVBand="0" w:oddHBand="0" w:evenHBand="0" w:firstRowFirstColumn="0" w:firstRowLastColumn="0" w:lastRowFirstColumn="0" w:lastRowLastColumn="0"/>
              <w:rPr>
                <w:lang w:eastAsia="zh-CN" w:bidi="ar-SA"/>
              </w:rPr>
            </w:pPr>
            <w:r w:rsidRPr="008B721A">
              <w:rPr>
                <w:b/>
                <w:bCs/>
                <w:lang w:eastAsia="zh-CN" w:bidi="ar-SA"/>
              </w:rPr>
              <w:t>Réduire</w:t>
            </w:r>
          </w:p>
        </w:tc>
        <w:tc>
          <w:tcPr>
            <w:tcW w:w="0" w:type="auto"/>
            <w:hideMark/>
          </w:tcPr>
          <w:p w14:paraId="03233356" w14:textId="26D51DA4" w:rsidR="0075114B" w:rsidRPr="008B721A" w:rsidRDefault="0075114B" w:rsidP="0075114B">
            <w:pPr>
              <w:cnfStyle w:val="000000000000" w:firstRow="0" w:lastRow="0" w:firstColumn="0" w:lastColumn="0" w:oddVBand="0" w:evenVBand="0" w:oddHBand="0" w:evenHBand="0" w:firstRowFirstColumn="0" w:firstRowLastColumn="0" w:lastRowFirstColumn="0" w:lastRowLastColumn="0"/>
              <w:rPr>
                <w:lang w:eastAsia="zh-CN" w:bidi="ar-SA"/>
              </w:rPr>
            </w:pPr>
            <w:r w:rsidRPr="008B721A">
              <w:rPr>
                <w:lang w:eastAsia="zh-CN" w:bidi="ar-SA"/>
              </w:rPr>
              <w:t xml:space="preserve">Mettre en place un drainage provisoire (fossés ou tranchées simples). </w:t>
            </w:r>
          </w:p>
        </w:tc>
        <w:tc>
          <w:tcPr>
            <w:tcW w:w="0" w:type="auto"/>
            <w:vMerge w:val="restart"/>
            <w:hideMark/>
          </w:tcPr>
          <w:p w14:paraId="78751F10" w14:textId="77777777" w:rsidR="0075114B" w:rsidRPr="008B721A" w:rsidRDefault="0075114B" w:rsidP="0075114B">
            <w:pPr>
              <w:cnfStyle w:val="000000000000" w:firstRow="0" w:lastRow="0" w:firstColumn="0" w:lastColumn="0" w:oddVBand="0" w:evenVBand="0" w:oddHBand="0" w:evenHBand="0" w:firstRowFirstColumn="0" w:firstRowLastColumn="0" w:lastRowFirstColumn="0" w:lastRowLastColumn="0"/>
              <w:rPr>
                <w:lang w:eastAsia="zh-CN" w:bidi="ar-SA"/>
              </w:rPr>
            </w:pPr>
            <w:r w:rsidRPr="008B721A">
              <w:rPr>
                <w:lang w:eastAsia="zh-CN" w:bidi="ar-SA"/>
              </w:rPr>
              <w:t>Nombre de zones drainées / zones à risque</w:t>
            </w:r>
          </w:p>
        </w:tc>
        <w:tc>
          <w:tcPr>
            <w:tcW w:w="0" w:type="auto"/>
            <w:vMerge w:val="restart"/>
            <w:hideMark/>
          </w:tcPr>
          <w:p w14:paraId="4035AB31" w14:textId="77777777" w:rsidR="0075114B" w:rsidRPr="008B721A" w:rsidRDefault="0075114B" w:rsidP="0075114B">
            <w:pPr>
              <w:cnfStyle w:val="000000000000" w:firstRow="0" w:lastRow="0" w:firstColumn="0" w:lastColumn="0" w:oddVBand="0" w:evenVBand="0" w:oddHBand="0" w:evenHBand="0" w:firstRowFirstColumn="0" w:firstRowLastColumn="0" w:lastRowFirstColumn="0" w:lastRowLastColumn="0"/>
              <w:rPr>
                <w:lang w:eastAsia="zh-CN" w:bidi="ar-SA"/>
              </w:rPr>
            </w:pPr>
            <w:r w:rsidRPr="008B721A">
              <w:rPr>
                <w:lang w:eastAsia="zh-CN" w:bidi="ar-SA"/>
              </w:rPr>
              <w:t>EPC / Sous-traitants</w:t>
            </w:r>
          </w:p>
        </w:tc>
        <w:tc>
          <w:tcPr>
            <w:tcW w:w="0" w:type="auto"/>
            <w:vMerge w:val="restart"/>
            <w:hideMark/>
          </w:tcPr>
          <w:p w14:paraId="65F54373" w14:textId="77777777" w:rsidR="0075114B" w:rsidRPr="008B721A" w:rsidRDefault="0075114B" w:rsidP="0075114B">
            <w:pPr>
              <w:cnfStyle w:val="000000000000" w:firstRow="0" w:lastRow="0" w:firstColumn="0" w:lastColumn="0" w:oddVBand="0" w:evenVBand="0" w:oddHBand="0" w:evenHBand="0" w:firstRowFirstColumn="0" w:firstRowLastColumn="0" w:lastRowFirstColumn="0" w:lastRowLastColumn="0"/>
              <w:rPr>
                <w:lang w:eastAsia="zh-CN" w:bidi="ar-SA"/>
              </w:rPr>
            </w:pPr>
            <w:r w:rsidRPr="008B721A">
              <w:rPr>
                <w:lang w:eastAsia="zh-CN" w:bidi="ar-SA"/>
              </w:rPr>
              <w:t>Bureau de contrôle / Consultant mandaté par l’ONDA</w:t>
            </w:r>
          </w:p>
        </w:tc>
        <w:tc>
          <w:tcPr>
            <w:tcW w:w="0" w:type="auto"/>
            <w:vMerge w:val="restart"/>
            <w:hideMark/>
          </w:tcPr>
          <w:p w14:paraId="0D298C04" w14:textId="77777777" w:rsidR="0075114B" w:rsidRPr="008B721A" w:rsidRDefault="0075114B" w:rsidP="0075114B">
            <w:pPr>
              <w:cnfStyle w:val="000000000000" w:firstRow="0" w:lastRow="0" w:firstColumn="0" w:lastColumn="0" w:oddVBand="0" w:evenVBand="0" w:oddHBand="0" w:evenHBand="0" w:firstRowFirstColumn="0" w:firstRowLastColumn="0" w:lastRowFirstColumn="0" w:lastRowLastColumn="0"/>
              <w:rPr>
                <w:lang w:eastAsia="zh-CN" w:bidi="ar-SA"/>
              </w:rPr>
            </w:pPr>
            <w:r w:rsidRPr="008B721A">
              <w:rPr>
                <w:lang w:eastAsia="zh-CN" w:bidi="ar-SA"/>
              </w:rPr>
              <w:t>ONDA</w:t>
            </w:r>
          </w:p>
        </w:tc>
        <w:tc>
          <w:tcPr>
            <w:tcW w:w="0" w:type="auto"/>
            <w:vMerge w:val="restart"/>
            <w:hideMark/>
          </w:tcPr>
          <w:p w14:paraId="0DED24E3" w14:textId="77777777" w:rsidR="0075114B" w:rsidRPr="008B721A" w:rsidRDefault="0075114B" w:rsidP="0075114B">
            <w:pPr>
              <w:cnfStyle w:val="000000000000" w:firstRow="0" w:lastRow="0" w:firstColumn="0" w:lastColumn="0" w:oddVBand="0" w:evenVBand="0" w:oddHBand="0" w:evenHBand="0" w:firstRowFirstColumn="0" w:firstRowLastColumn="0" w:lastRowFirstColumn="0" w:lastRowLastColumn="0"/>
              <w:rPr>
                <w:lang w:eastAsia="zh-CN" w:bidi="ar-SA"/>
              </w:rPr>
            </w:pPr>
            <w:r w:rsidRPr="008B721A">
              <w:rPr>
                <w:lang w:eastAsia="zh-CN" w:bidi="ar-SA"/>
              </w:rPr>
              <w:t>Pendant terrassement</w:t>
            </w:r>
          </w:p>
        </w:tc>
        <w:tc>
          <w:tcPr>
            <w:tcW w:w="0" w:type="auto"/>
          </w:tcPr>
          <w:p w14:paraId="5DACCB1D" w14:textId="7006E267" w:rsidR="0075114B" w:rsidRPr="008B721A" w:rsidRDefault="0075114B" w:rsidP="0075114B">
            <w:pPr>
              <w:cnfStyle w:val="000000000000" w:firstRow="0" w:lastRow="0" w:firstColumn="0" w:lastColumn="0" w:oddVBand="0" w:evenVBand="0" w:oddHBand="0" w:evenHBand="0" w:firstRowFirstColumn="0" w:firstRowLastColumn="0" w:lastRowFirstColumn="0" w:lastRowLastColumn="0"/>
              <w:rPr>
                <w:lang w:eastAsia="zh-CN" w:bidi="ar-SA"/>
              </w:rPr>
            </w:pPr>
            <w:r w:rsidRPr="0075114B">
              <w:rPr>
                <w:lang w:eastAsia="zh-CN" w:bidi="ar-SA"/>
              </w:rPr>
              <w:t>Coût de terrassement manuel/mécanique : 60–80 MAD/ml</w:t>
            </w:r>
          </w:p>
        </w:tc>
      </w:tr>
      <w:tr w:rsidR="0075114B" w:rsidRPr="008B721A" w14:paraId="2C26F76C" w14:textId="77777777" w:rsidTr="008B721A">
        <w:tc>
          <w:tcPr>
            <w:cnfStyle w:val="001000000000" w:firstRow="0" w:lastRow="0" w:firstColumn="1" w:lastColumn="0" w:oddVBand="0" w:evenVBand="0" w:oddHBand="0" w:evenHBand="0" w:firstRowFirstColumn="0" w:firstRowLastColumn="0" w:lastRowFirstColumn="0" w:lastRowLastColumn="0"/>
            <w:tcW w:w="0" w:type="auto"/>
            <w:vMerge/>
          </w:tcPr>
          <w:p w14:paraId="40E4F891" w14:textId="77777777" w:rsidR="0075114B" w:rsidRPr="008B721A" w:rsidRDefault="0075114B" w:rsidP="0075114B">
            <w:pPr>
              <w:rPr>
                <w:lang w:eastAsia="zh-CN" w:bidi="ar-SA"/>
              </w:rPr>
            </w:pPr>
          </w:p>
        </w:tc>
        <w:tc>
          <w:tcPr>
            <w:tcW w:w="0" w:type="auto"/>
            <w:vMerge/>
          </w:tcPr>
          <w:p w14:paraId="2B209883" w14:textId="77777777" w:rsidR="0075114B" w:rsidRPr="008B721A" w:rsidRDefault="0075114B" w:rsidP="0075114B">
            <w:pPr>
              <w:cnfStyle w:val="000000000000" w:firstRow="0" w:lastRow="0" w:firstColumn="0" w:lastColumn="0" w:oddVBand="0" w:evenVBand="0" w:oddHBand="0" w:evenHBand="0" w:firstRowFirstColumn="0" w:firstRowLastColumn="0" w:lastRowFirstColumn="0" w:lastRowLastColumn="0"/>
              <w:rPr>
                <w:b/>
                <w:bCs/>
                <w:lang w:eastAsia="zh-CN" w:bidi="ar-SA"/>
              </w:rPr>
            </w:pPr>
          </w:p>
        </w:tc>
        <w:tc>
          <w:tcPr>
            <w:tcW w:w="0" w:type="auto"/>
          </w:tcPr>
          <w:p w14:paraId="1C879828" w14:textId="7A5112F0" w:rsidR="0075114B" w:rsidRPr="008B721A" w:rsidRDefault="0075114B" w:rsidP="0075114B">
            <w:pPr>
              <w:cnfStyle w:val="000000000000" w:firstRow="0" w:lastRow="0" w:firstColumn="0" w:lastColumn="0" w:oddVBand="0" w:evenVBand="0" w:oddHBand="0" w:evenHBand="0" w:firstRowFirstColumn="0" w:firstRowLastColumn="0" w:lastRowFirstColumn="0" w:lastRowLastColumn="0"/>
              <w:rPr>
                <w:lang w:eastAsia="zh-CN" w:bidi="ar-SA"/>
              </w:rPr>
            </w:pPr>
            <w:r w:rsidRPr="008B721A">
              <w:rPr>
                <w:lang w:eastAsia="zh-CN" w:bidi="ar-SA"/>
              </w:rPr>
              <w:t>Éviter le stockage prolongé de matériaux sur sols nus.</w:t>
            </w:r>
          </w:p>
        </w:tc>
        <w:tc>
          <w:tcPr>
            <w:tcW w:w="0" w:type="auto"/>
            <w:vMerge/>
          </w:tcPr>
          <w:p w14:paraId="18E503B6" w14:textId="77777777" w:rsidR="0075114B" w:rsidRPr="008B721A" w:rsidRDefault="0075114B" w:rsidP="0075114B">
            <w:pPr>
              <w:cnfStyle w:val="000000000000" w:firstRow="0" w:lastRow="0" w:firstColumn="0" w:lastColumn="0" w:oddVBand="0" w:evenVBand="0" w:oddHBand="0" w:evenHBand="0" w:firstRowFirstColumn="0" w:firstRowLastColumn="0" w:lastRowFirstColumn="0" w:lastRowLastColumn="0"/>
              <w:rPr>
                <w:lang w:eastAsia="zh-CN" w:bidi="ar-SA"/>
              </w:rPr>
            </w:pPr>
          </w:p>
        </w:tc>
        <w:tc>
          <w:tcPr>
            <w:tcW w:w="0" w:type="auto"/>
            <w:vMerge/>
          </w:tcPr>
          <w:p w14:paraId="24CC140B" w14:textId="77777777" w:rsidR="0075114B" w:rsidRPr="008B721A" w:rsidRDefault="0075114B" w:rsidP="0075114B">
            <w:pPr>
              <w:cnfStyle w:val="000000000000" w:firstRow="0" w:lastRow="0" w:firstColumn="0" w:lastColumn="0" w:oddVBand="0" w:evenVBand="0" w:oddHBand="0" w:evenHBand="0" w:firstRowFirstColumn="0" w:firstRowLastColumn="0" w:lastRowFirstColumn="0" w:lastRowLastColumn="0"/>
              <w:rPr>
                <w:lang w:eastAsia="zh-CN" w:bidi="ar-SA"/>
              </w:rPr>
            </w:pPr>
          </w:p>
        </w:tc>
        <w:tc>
          <w:tcPr>
            <w:tcW w:w="0" w:type="auto"/>
            <w:vMerge/>
          </w:tcPr>
          <w:p w14:paraId="4429A2F1" w14:textId="77777777" w:rsidR="0075114B" w:rsidRPr="008B721A" w:rsidRDefault="0075114B" w:rsidP="0075114B">
            <w:pPr>
              <w:cnfStyle w:val="000000000000" w:firstRow="0" w:lastRow="0" w:firstColumn="0" w:lastColumn="0" w:oddVBand="0" w:evenVBand="0" w:oddHBand="0" w:evenHBand="0" w:firstRowFirstColumn="0" w:firstRowLastColumn="0" w:lastRowFirstColumn="0" w:lastRowLastColumn="0"/>
              <w:rPr>
                <w:lang w:eastAsia="zh-CN" w:bidi="ar-SA"/>
              </w:rPr>
            </w:pPr>
          </w:p>
        </w:tc>
        <w:tc>
          <w:tcPr>
            <w:tcW w:w="0" w:type="auto"/>
            <w:vMerge/>
          </w:tcPr>
          <w:p w14:paraId="0C5CD331" w14:textId="77777777" w:rsidR="0075114B" w:rsidRPr="008B721A" w:rsidRDefault="0075114B" w:rsidP="0075114B">
            <w:pPr>
              <w:cnfStyle w:val="000000000000" w:firstRow="0" w:lastRow="0" w:firstColumn="0" w:lastColumn="0" w:oddVBand="0" w:evenVBand="0" w:oddHBand="0" w:evenHBand="0" w:firstRowFirstColumn="0" w:firstRowLastColumn="0" w:lastRowFirstColumn="0" w:lastRowLastColumn="0"/>
              <w:rPr>
                <w:lang w:eastAsia="zh-CN" w:bidi="ar-SA"/>
              </w:rPr>
            </w:pPr>
          </w:p>
        </w:tc>
        <w:tc>
          <w:tcPr>
            <w:tcW w:w="0" w:type="auto"/>
            <w:vMerge/>
          </w:tcPr>
          <w:p w14:paraId="601EB7E5" w14:textId="77777777" w:rsidR="0075114B" w:rsidRPr="008B721A" w:rsidRDefault="0075114B" w:rsidP="0075114B">
            <w:pPr>
              <w:cnfStyle w:val="000000000000" w:firstRow="0" w:lastRow="0" w:firstColumn="0" w:lastColumn="0" w:oddVBand="0" w:evenVBand="0" w:oddHBand="0" w:evenHBand="0" w:firstRowFirstColumn="0" w:firstRowLastColumn="0" w:lastRowFirstColumn="0" w:lastRowLastColumn="0"/>
              <w:rPr>
                <w:lang w:eastAsia="zh-CN" w:bidi="ar-SA"/>
              </w:rPr>
            </w:pPr>
          </w:p>
        </w:tc>
        <w:tc>
          <w:tcPr>
            <w:tcW w:w="0" w:type="auto"/>
          </w:tcPr>
          <w:p w14:paraId="1581B5C5" w14:textId="53287CCF" w:rsidR="0075114B" w:rsidRDefault="0075114B" w:rsidP="0075114B">
            <w:pPr>
              <w:cnfStyle w:val="000000000000" w:firstRow="0" w:lastRow="0" w:firstColumn="0" w:lastColumn="0" w:oddVBand="0" w:evenVBand="0" w:oddHBand="0" w:evenHBand="0" w:firstRowFirstColumn="0" w:firstRowLastColumn="0" w:lastRowFirstColumn="0" w:lastRowLastColumn="0"/>
              <w:rPr>
                <w:lang w:eastAsia="zh-CN" w:bidi="ar-SA"/>
              </w:rPr>
            </w:pPr>
            <w:r>
              <w:rPr>
                <w:lang w:eastAsia="zh-CN" w:bidi="ar-SA"/>
              </w:rPr>
              <w:t>R</w:t>
            </w:r>
            <w:r w:rsidRPr="0075114B">
              <w:rPr>
                <w:lang w:eastAsia="zh-CN" w:bidi="ar-SA"/>
              </w:rPr>
              <w:t>otation des stocks et pose de bâches plastiques</w:t>
            </w:r>
            <w:r>
              <w:rPr>
                <w:lang w:eastAsia="zh-CN" w:bidi="ar-SA"/>
              </w:rPr>
              <w:t xml:space="preserve"> - </w:t>
            </w:r>
            <w:r w:rsidRPr="00B97747">
              <w:rPr>
                <w:lang w:eastAsia="zh-CN" w:bidi="ar-SA"/>
              </w:rPr>
              <w:t>200 µm, 8–10 MAD/m²</w:t>
            </w:r>
          </w:p>
        </w:tc>
      </w:tr>
      <w:tr w:rsidR="0075114B" w:rsidRPr="008B721A" w14:paraId="76A08176" w14:textId="77777777" w:rsidTr="008B721A">
        <w:tc>
          <w:tcPr>
            <w:cnfStyle w:val="001000000000" w:firstRow="0" w:lastRow="0" w:firstColumn="1" w:lastColumn="0" w:oddVBand="0" w:evenVBand="0" w:oddHBand="0" w:evenHBand="0" w:firstRowFirstColumn="0" w:firstRowLastColumn="0" w:lastRowFirstColumn="0" w:lastRowLastColumn="0"/>
            <w:tcW w:w="0" w:type="auto"/>
            <w:vMerge/>
          </w:tcPr>
          <w:p w14:paraId="5024AD41" w14:textId="77777777" w:rsidR="0075114B" w:rsidRPr="008B721A" w:rsidRDefault="0075114B" w:rsidP="0075114B">
            <w:pPr>
              <w:rPr>
                <w:lang w:eastAsia="zh-CN" w:bidi="ar-SA"/>
              </w:rPr>
            </w:pPr>
          </w:p>
        </w:tc>
        <w:tc>
          <w:tcPr>
            <w:tcW w:w="0" w:type="auto"/>
            <w:vMerge/>
          </w:tcPr>
          <w:p w14:paraId="2A1778B2" w14:textId="77777777" w:rsidR="0075114B" w:rsidRPr="008B721A" w:rsidRDefault="0075114B" w:rsidP="0075114B">
            <w:pPr>
              <w:cnfStyle w:val="000000000000" w:firstRow="0" w:lastRow="0" w:firstColumn="0" w:lastColumn="0" w:oddVBand="0" w:evenVBand="0" w:oddHBand="0" w:evenHBand="0" w:firstRowFirstColumn="0" w:firstRowLastColumn="0" w:lastRowFirstColumn="0" w:lastRowLastColumn="0"/>
              <w:rPr>
                <w:b/>
                <w:bCs/>
                <w:lang w:eastAsia="zh-CN" w:bidi="ar-SA"/>
              </w:rPr>
            </w:pPr>
          </w:p>
        </w:tc>
        <w:tc>
          <w:tcPr>
            <w:tcW w:w="0" w:type="auto"/>
          </w:tcPr>
          <w:p w14:paraId="617E1596" w14:textId="50F9B2C2" w:rsidR="0075114B" w:rsidRPr="008B721A" w:rsidRDefault="0075114B" w:rsidP="0075114B">
            <w:pPr>
              <w:cnfStyle w:val="000000000000" w:firstRow="0" w:lastRow="0" w:firstColumn="0" w:lastColumn="0" w:oddVBand="0" w:evenVBand="0" w:oddHBand="0" w:evenHBand="0" w:firstRowFirstColumn="0" w:firstRowLastColumn="0" w:lastRowFirstColumn="0" w:lastRowLastColumn="0"/>
              <w:rPr>
                <w:lang w:eastAsia="zh-CN" w:bidi="ar-SA"/>
              </w:rPr>
            </w:pPr>
            <w:r w:rsidRPr="008B721A">
              <w:rPr>
                <w:lang w:eastAsia="zh-CN" w:bidi="ar-SA"/>
              </w:rPr>
              <w:t>Évacuer les eaux stagnantes après fortes pluies.</w:t>
            </w:r>
          </w:p>
        </w:tc>
        <w:tc>
          <w:tcPr>
            <w:tcW w:w="0" w:type="auto"/>
            <w:vMerge/>
          </w:tcPr>
          <w:p w14:paraId="3D0EFBED" w14:textId="77777777" w:rsidR="0075114B" w:rsidRPr="008B721A" w:rsidRDefault="0075114B" w:rsidP="0075114B">
            <w:pPr>
              <w:cnfStyle w:val="000000000000" w:firstRow="0" w:lastRow="0" w:firstColumn="0" w:lastColumn="0" w:oddVBand="0" w:evenVBand="0" w:oddHBand="0" w:evenHBand="0" w:firstRowFirstColumn="0" w:firstRowLastColumn="0" w:lastRowFirstColumn="0" w:lastRowLastColumn="0"/>
              <w:rPr>
                <w:lang w:eastAsia="zh-CN" w:bidi="ar-SA"/>
              </w:rPr>
            </w:pPr>
          </w:p>
        </w:tc>
        <w:tc>
          <w:tcPr>
            <w:tcW w:w="0" w:type="auto"/>
            <w:vMerge/>
          </w:tcPr>
          <w:p w14:paraId="02E3842D" w14:textId="77777777" w:rsidR="0075114B" w:rsidRPr="008B721A" w:rsidRDefault="0075114B" w:rsidP="0075114B">
            <w:pPr>
              <w:cnfStyle w:val="000000000000" w:firstRow="0" w:lastRow="0" w:firstColumn="0" w:lastColumn="0" w:oddVBand="0" w:evenVBand="0" w:oddHBand="0" w:evenHBand="0" w:firstRowFirstColumn="0" w:firstRowLastColumn="0" w:lastRowFirstColumn="0" w:lastRowLastColumn="0"/>
              <w:rPr>
                <w:lang w:eastAsia="zh-CN" w:bidi="ar-SA"/>
              </w:rPr>
            </w:pPr>
          </w:p>
        </w:tc>
        <w:tc>
          <w:tcPr>
            <w:tcW w:w="0" w:type="auto"/>
            <w:vMerge/>
          </w:tcPr>
          <w:p w14:paraId="6D5253FD" w14:textId="77777777" w:rsidR="0075114B" w:rsidRPr="008B721A" w:rsidRDefault="0075114B" w:rsidP="0075114B">
            <w:pPr>
              <w:cnfStyle w:val="000000000000" w:firstRow="0" w:lastRow="0" w:firstColumn="0" w:lastColumn="0" w:oddVBand="0" w:evenVBand="0" w:oddHBand="0" w:evenHBand="0" w:firstRowFirstColumn="0" w:firstRowLastColumn="0" w:lastRowFirstColumn="0" w:lastRowLastColumn="0"/>
              <w:rPr>
                <w:lang w:eastAsia="zh-CN" w:bidi="ar-SA"/>
              </w:rPr>
            </w:pPr>
          </w:p>
        </w:tc>
        <w:tc>
          <w:tcPr>
            <w:tcW w:w="0" w:type="auto"/>
            <w:vMerge/>
          </w:tcPr>
          <w:p w14:paraId="0A6D001C" w14:textId="77777777" w:rsidR="0075114B" w:rsidRPr="008B721A" w:rsidRDefault="0075114B" w:rsidP="0075114B">
            <w:pPr>
              <w:cnfStyle w:val="000000000000" w:firstRow="0" w:lastRow="0" w:firstColumn="0" w:lastColumn="0" w:oddVBand="0" w:evenVBand="0" w:oddHBand="0" w:evenHBand="0" w:firstRowFirstColumn="0" w:firstRowLastColumn="0" w:lastRowFirstColumn="0" w:lastRowLastColumn="0"/>
              <w:rPr>
                <w:lang w:eastAsia="zh-CN" w:bidi="ar-SA"/>
              </w:rPr>
            </w:pPr>
          </w:p>
        </w:tc>
        <w:tc>
          <w:tcPr>
            <w:tcW w:w="0" w:type="auto"/>
            <w:vMerge/>
          </w:tcPr>
          <w:p w14:paraId="12A9EBA5" w14:textId="77777777" w:rsidR="0075114B" w:rsidRPr="008B721A" w:rsidRDefault="0075114B" w:rsidP="0075114B">
            <w:pPr>
              <w:cnfStyle w:val="000000000000" w:firstRow="0" w:lastRow="0" w:firstColumn="0" w:lastColumn="0" w:oddVBand="0" w:evenVBand="0" w:oddHBand="0" w:evenHBand="0" w:firstRowFirstColumn="0" w:firstRowLastColumn="0" w:lastRowFirstColumn="0" w:lastRowLastColumn="0"/>
              <w:rPr>
                <w:lang w:eastAsia="zh-CN" w:bidi="ar-SA"/>
              </w:rPr>
            </w:pPr>
          </w:p>
        </w:tc>
        <w:tc>
          <w:tcPr>
            <w:tcW w:w="0" w:type="auto"/>
          </w:tcPr>
          <w:p w14:paraId="1BC1D8A2" w14:textId="5348E08C" w:rsidR="0075114B" w:rsidRPr="0075114B" w:rsidRDefault="0075114B" w:rsidP="0075114B">
            <w:pPr>
              <w:cnfStyle w:val="000000000000" w:firstRow="0" w:lastRow="0" w:firstColumn="0" w:lastColumn="0" w:oddVBand="0" w:evenVBand="0" w:oddHBand="0" w:evenHBand="0" w:firstRowFirstColumn="0" w:firstRowLastColumn="0" w:lastRowFirstColumn="0" w:lastRowLastColumn="0"/>
              <w:rPr>
                <w:lang w:eastAsia="zh-CN" w:bidi="ar-SA"/>
              </w:rPr>
            </w:pPr>
            <w:r w:rsidRPr="0075114B">
              <w:rPr>
                <w:lang w:eastAsia="zh-CN" w:bidi="ar-SA"/>
              </w:rPr>
              <w:t>Location pompe : 700 MAD/jour</w:t>
            </w:r>
          </w:p>
        </w:tc>
      </w:tr>
      <w:tr w:rsidR="00A97188" w:rsidRPr="008B721A" w14:paraId="693131E5" w14:textId="77777777" w:rsidTr="008B721A">
        <w:tc>
          <w:tcPr>
            <w:cnfStyle w:val="001000000000" w:firstRow="0" w:lastRow="0" w:firstColumn="1" w:lastColumn="0" w:oddVBand="0" w:evenVBand="0" w:oddHBand="0" w:evenHBand="0" w:firstRowFirstColumn="0" w:firstRowLastColumn="0" w:lastRowFirstColumn="0" w:lastRowLastColumn="0"/>
            <w:tcW w:w="0" w:type="auto"/>
            <w:vMerge/>
            <w:hideMark/>
          </w:tcPr>
          <w:p w14:paraId="15DA0D4D" w14:textId="77777777" w:rsidR="00A97188" w:rsidRPr="008B721A" w:rsidRDefault="00A97188" w:rsidP="008B721A">
            <w:pPr>
              <w:rPr>
                <w:lang w:eastAsia="zh-CN" w:bidi="ar-SA"/>
              </w:rPr>
            </w:pPr>
          </w:p>
        </w:tc>
        <w:tc>
          <w:tcPr>
            <w:tcW w:w="0" w:type="auto"/>
            <w:vMerge w:val="restart"/>
            <w:hideMark/>
          </w:tcPr>
          <w:p w14:paraId="693D0D13" w14:textId="77777777" w:rsidR="00A97188" w:rsidRPr="008B721A" w:rsidRDefault="00A97188" w:rsidP="008B721A">
            <w:pPr>
              <w:cnfStyle w:val="000000000000" w:firstRow="0" w:lastRow="0" w:firstColumn="0" w:lastColumn="0" w:oddVBand="0" w:evenVBand="0" w:oddHBand="0" w:evenHBand="0" w:firstRowFirstColumn="0" w:firstRowLastColumn="0" w:lastRowFirstColumn="0" w:lastRowLastColumn="0"/>
              <w:rPr>
                <w:lang w:eastAsia="zh-CN" w:bidi="ar-SA"/>
              </w:rPr>
            </w:pPr>
            <w:r w:rsidRPr="008B721A">
              <w:rPr>
                <w:b/>
                <w:bCs/>
                <w:lang w:eastAsia="zh-CN" w:bidi="ar-SA"/>
              </w:rPr>
              <w:t>Atténuer</w:t>
            </w:r>
          </w:p>
        </w:tc>
        <w:tc>
          <w:tcPr>
            <w:tcW w:w="0" w:type="auto"/>
            <w:hideMark/>
          </w:tcPr>
          <w:p w14:paraId="662B8464" w14:textId="08772CFA" w:rsidR="00A97188" w:rsidRPr="008B721A" w:rsidRDefault="00A97188" w:rsidP="008B721A">
            <w:pPr>
              <w:cnfStyle w:val="000000000000" w:firstRow="0" w:lastRow="0" w:firstColumn="0" w:lastColumn="0" w:oddVBand="0" w:evenVBand="0" w:oddHBand="0" w:evenHBand="0" w:firstRowFirstColumn="0" w:firstRowLastColumn="0" w:lastRowFirstColumn="0" w:lastRowLastColumn="0"/>
              <w:rPr>
                <w:lang w:eastAsia="zh-CN" w:bidi="ar-SA"/>
              </w:rPr>
            </w:pPr>
            <w:r w:rsidRPr="008B721A">
              <w:rPr>
                <w:lang w:eastAsia="zh-CN" w:bidi="ar-SA"/>
              </w:rPr>
              <w:t xml:space="preserve">Reprofiler et décompacter les zones </w:t>
            </w:r>
            <w:r w:rsidRPr="008B721A">
              <w:rPr>
                <w:lang w:eastAsia="zh-CN" w:bidi="ar-SA"/>
              </w:rPr>
              <w:lastRenderedPageBreak/>
              <w:t xml:space="preserve">imperméabilisées après travaux. </w:t>
            </w:r>
          </w:p>
        </w:tc>
        <w:tc>
          <w:tcPr>
            <w:tcW w:w="0" w:type="auto"/>
            <w:vMerge w:val="restart"/>
            <w:hideMark/>
          </w:tcPr>
          <w:p w14:paraId="2E82DF26" w14:textId="77777777" w:rsidR="00A97188" w:rsidRPr="008B721A" w:rsidRDefault="00A97188" w:rsidP="008B721A">
            <w:pPr>
              <w:cnfStyle w:val="000000000000" w:firstRow="0" w:lastRow="0" w:firstColumn="0" w:lastColumn="0" w:oddVBand="0" w:evenVBand="0" w:oddHBand="0" w:evenHBand="0" w:firstRowFirstColumn="0" w:firstRowLastColumn="0" w:lastRowFirstColumn="0" w:lastRowLastColumn="0"/>
              <w:rPr>
                <w:lang w:eastAsia="zh-CN" w:bidi="ar-SA"/>
              </w:rPr>
            </w:pPr>
            <w:r w:rsidRPr="008B721A">
              <w:rPr>
                <w:lang w:eastAsia="zh-CN" w:bidi="ar-SA"/>
              </w:rPr>
              <w:lastRenderedPageBreak/>
              <w:t>% de zones restaurées après travaux</w:t>
            </w:r>
          </w:p>
        </w:tc>
        <w:tc>
          <w:tcPr>
            <w:tcW w:w="0" w:type="auto"/>
            <w:vMerge w:val="restart"/>
            <w:hideMark/>
          </w:tcPr>
          <w:p w14:paraId="6DB78114" w14:textId="77777777" w:rsidR="00A97188" w:rsidRPr="008B721A" w:rsidRDefault="00A97188" w:rsidP="008B721A">
            <w:pPr>
              <w:cnfStyle w:val="000000000000" w:firstRow="0" w:lastRow="0" w:firstColumn="0" w:lastColumn="0" w:oddVBand="0" w:evenVBand="0" w:oddHBand="0" w:evenHBand="0" w:firstRowFirstColumn="0" w:firstRowLastColumn="0" w:lastRowFirstColumn="0" w:lastRowLastColumn="0"/>
              <w:rPr>
                <w:lang w:eastAsia="zh-CN" w:bidi="ar-SA"/>
              </w:rPr>
            </w:pPr>
            <w:r w:rsidRPr="008B721A">
              <w:rPr>
                <w:lang w:eastAsia="zh-CN" w:bidi="ar-SA"/>
              </w:rPr>
              <w:t>EPC / Sous-traitants</w:t>
            </w:r>
          </w:p>
        </w:tc>
        <w:tc>
          <w:tcPr>
            <w:tcW w:w="0" w:type="auto"/>
            <w:vMerge w:val="restart"/>
            <w:hideMark/>
          </w:tcPr>
          <w:p w14:paraId="33DFD906" w14:textId="77777777" w:rsidR="00A97188" w:rsidRPr="008B721A" w:rsidRDefault="00A97188" w:rsidP="008B721A">
            <w:pPr>
              <w:cnfStyle w:val="000000000000" w:firstRow="0" w:lastRow="0" w:firstColumn="0" w:lastColumn="0" w:oddVBand="0" w:evenVBand="0" w:oddHBand="0" w:evenHBand="0" w:firstRowFirstColumn="0" w:firstRowLastColumn="0" w:lastRowFirstColumn="0" w:lastRowLastColumn="0"/>
              <w:rPr>
                <w:lang w:eastAsia="zh-CN" w:bidi="ar-SA"/>
              </w:rPr>
            </w:pPr>
            <w:r w:rsidRPr="008B721A">
              <w:rPr>
                <w:lang w:eastAsia="zh-CN" w:bidi="ar-SA"/>
              </w:rPr>
              <w:t xml:space="preserve">Bureau de contrôle / </w:t>
            </w:r>
            <w:r w:rsidRPr="008B721A">
              <w:rPr>
                <w:lang w:eastAsia="zh-CN" w:bidi="ar-SA"/>
              </w:rPr>
              <w:lastRenderedPageBreak/>
              <w:t>Consultant mandaté par l’ONDA</w:t>
            </w:r>
          </w:p>
        </w:tc>
        <w:tc>
          <w:tcPr>
            <w:tcW w:w="0" w:type="auto"/>
            <w:vMerge w:val="restart"/>
            <w:hideMark/>
          </w:tcPr>
          <w:p w14:paraId="2D957F4A" w14:textId="77777777" w:rsidR="00A97188" w:rsidRPr="008B721A" w:rsidRDefault="00A97188" w:rsidP="008B721A">
            <w:pPr>
              <w:cnfStyle w:val="000000000000" w:firstRow="0" w:lastRow="0" w:firstColumn="0" w:lastColumn="0" w:oddVBand="0" w:evenVBand="0" w:oddHBand="0" w:evenHBand="0" w:firstRowFirstColumn="0" w:firstRowLastColumn="0" w:lastRowFirstColumn="0" w:lastRowLastColumn="0"/>
              <w:rPr>
                <w:lang w:eastAsia="zh-CN" w:bidi="ar-SA"/>
              </w:rPr>
            </w:pPr>
            <w:r w:rsidRPr="008B721A">
              <w:rPr>
                <w:lang w:eastAsia="zh-CN" w:bidi="ar-SA"/>
              </w:rPr>
              <w:lastRenderedPageBreak/>
              <w:t>ONDA</w:t>
            </w:r>
          </w:p>
        </w:tc>
        <w:tc>
          <w:tcPr>
            <w:tcW w:w="0" w:type="auto"/>
            <w:vMerge w:val="restart"/>
            <w:hideMark/>
          </w:tcPr>
          <w:p w14:paraId="5B4117FE" w14:textId="77777777" w:rsidR="00A97188" w:rsidRPr="008B721A" w:rsidRDefault="00A97188" w:rsidP="008B721A">
            <w:pPr>
              <w:cnfStyle w:val="000000000000" w:firstRow="0" w:lastRow="0" w:firstColumn="0" w:lastColumn="0" w:oddVBand="0" w:evenVBand="0" w:oddHBand="0" w:evenHBand="0" w:firstRowFirstColumn="0" w:firstRowLastColumn="0" w:lastRowFirstColumn="0" w:lastRowLastColumn="0"/>
              <w:rPr>
                <w:lang w:eastAsia="zh-CN" w:bidi="ar-SA"/>
              </w:rPr>
            </w:pPr>
            <w:r w:rsidRPr="008B721A">
              <w:rPr>
                <w:lang w:eastAsia="zh-CN" w:bidi="ar-SA"/>
              </w:rPr>
              <w:t>Post-travaux</w:t>
            </w:r>
          </w:p>
        </w:tc>
        <w:tc>
          <w:tcPr>
            <w:tcW w:w="0" w:type="auto"/>
            <w:hideMark/>
          </w:tcPr>
          <w:p w14:paraId="6B424A81" w14:textId="443EEC53" w:rsidR="00A97188" w:rsidRPr="008B721A" w:rsidRDefault="00AB2B5D" w:rsidP="008B721A">
            <w:pPr>
              <w:cnfStyle w:val="000000000000" w:firstRow="0" w:lastRow="0" w:firstColumn="0" w:lastColumn="0" w:oddVBand="0" w:evenVBand="0" w:oddHBand="0" w:evenHBand="0" w:firstRowFirstColumn="0" w:firstRowLastColumn="0" w:lastRowFirstColumn="0" w:lastRowLastColumn="0"/>
              <w:rPr>
                <w:lang w:eastAsia="zh-CN" w:bidi="ar-SA"/>
              </w:rPr>
            </w:pPr>
            <w:r w:rsidRPr="00AB2B5D">
              <w:rPr>
                <w:lang w:eastAsia="zh-CN" w:bidi="ar-SA"/>
              </w:rPr>
              <w:t xml:space="preserve">Prix moyen : </w:t>
            </w:r>
            <w:r w:rsidRPr="00D60FC9">
              <w:rPr>
                <w:lang w:eastAsia="zh-CN" w:bidi="ar-SA"/>
              </w:rPr>
              <w:t>2,5 – 3,5 MAD/m²</w:t>
            </w:r>
          </w:p>
        </w:tc>
      </w:tr>
      <w:tr w:rsidR="00A97188" w:rsidRPr="008B721A" w14:paraId="3F904B21" w14:textId="77777777" w:rsidTr="008B721A">
        <w:tc>
          <w:tcPr>
            <w:cnfStyle w:val="001000000000" w:firstRow="0" w:lastRow="0" w:firstColumn="1" w:lastColumn="0" w:oddVBand="0" w:evenVBand="0" w:oddHBand="0" w:evenHBand="0" w:firstRowFirstColumn="0" w:firstRowLastColumn="0" w:lastRowFirstColumn="0" w:lastRowLastColumn="0"/>
            <w:tcW w:w="0" w:type="auto"/>
            <w:vMerge/>
          </w:tcPr>
          <w:p w14:paraId="40CEFBF3" w14:textId="77777777" w:rsidR="00A97188" w:rsidRPr="008B721A" w:rsidRDefault="00A97188" w:rsidP="008B721A">
            <w:pPr>
              <w:rPr>
                <w:lang w:eastAsia="zh-CN" w:bidi="ar-SA"/>
              </w:rPr>
            </w:pPr>
          </w:p>
        </w:tc>
        <w:tc>
          <w:tcPr>
            <w:tcW w:w="0" w:type="auto"/>
            <w:vMerge/>
          </w:tcPr>
          <w:p w14:paraId="5FA45EE2" w14:textId="77777777" w:rsidR="00A97188" w:rsidRPr="008B721A" w:rsidRDefault="00A97188" w:rsidP="008B721A">
            <w:pPr>
              <w:cnfStyle w:val="000000000000" w:firstRow="0" w:lastRow="0" w:firstColumn="0" w:lastColumn="0" w:oddVBand="0" w:evenVBand="0" w:oddHBand="0" w:evenHBand="0" w:firstRowFirstColumn="0" w:firstRowLastColumn="0" w:lastRowFirstColumn="0" w:lastRowLastColumn="0"/>
              <w:rPr>
                <w:b/>
                <w:bCs/>
                <w:lang w:eastAsia="zh-CN" w:bidi="ar-SA"/>
              </w:rPr>
            </w:pPr>
          </w:p>
        </w:tc>
        <w:tc>
          <w:tcPr>
            <w:tcW w:w="0" w:type="auto"/>
          </w:tcPr>
          <w:p w14:paraId="3FD8FA7D" w14:textId="31FAA3A6" w:rsidR="00A97188" w:rsidRPr="008B721A" w:rsidRDefault="00A97188" w:rsidP="008B721A">
            <w:pPr>
              <w:cnfStyle w:val="000000000000" w:firstRow="0" w:lastRow="0" w:firstColumn="0" w:lastColumn="0" w:oddVBand="0" w:evenVBand="0" w:oddHBand="0" w:evenHBand="0" w:firstRowFirstColumn="0" w:firstRowLastColumn="0" w:lastRowFirstColumn="0" w:lastRowLastColumn="0"/>
              <w:rPr>
                <w:lang w:eastAsia="zh-CN" w:bidi="ar-SA"/>
              </w:rPr>
            </w:pPr>
            <w:r w:rsidRPr="008B721A">
              <w:rPr>
                <w:lang w:eastAsia="zh-CN" w:bidi="ar-SA"/>
              </w:rPr>
              <w:t>Réhabiliter les aires provisoires par nivellement et végétalisation rapide.</w:t>
            </w:r>
          </w:p>
        </w:tc>
        <w:tc>
          <w:tcPr>
            <w:tcW w:w="0" w:type="auto"/>
            <w:vMerge/>
          </w:tcPr>
          <w:p w14:paraId="020E66F4" w14:textId="77777777" w:rsidR="00A97188" w:rsidRPr="008B721A" w:rsidRDefault="00A97188" w:rsidP="008B721A">
            <w:pPr>
              <w:cnfStyle w:val="000000000000" w:firstRow="0" w:lastRow="0" w:firstColumn="0" w:lastColumn="0" w:oddVBand="0" w:evenVBand="0" w:oddHBand="0" w:evenHBand="0" w:firstRowFirstColumn="0" w:firstRowLastColumn="0" w:lastRowFirstColumn="0" w:lastRowLastColumn="0"/>
              <w:rPr>
                <w:lang w:eastAsia="zh-CN" w:bidi="ar-SA"/>
              </w:rPr>
            </w:pPr>
          </w:p>
        </w:tc>
        <w:tc>
          <w:tcPr>
            <w:tcW w:w="0" w:type="auto"/>
            <w:vMerge/>
          </w:tcPr>
          <w:p w14:paraId="7D905470" w14:textId="77777777" w:rsidR="00A97188" w:rsidRPr="008B721A" w:rsidRDefault="00A97188" w:rsidP="008B721A">
            <w:pPr>
              <w:cnfStyle w:val="000000000000" w:firstRow="0" w:lastRow="0" w:firstColumn="0" w:lastColumn="0" w:oddVBand="0" w:evenVBand="0" w:oddHBand="0" w:evenHBand="0" w:firstRowFirstColumn="0" w:firstRowLastColumn="0" w:lastRowFirstColumn="0" w:lastRowLastColumn="0"/>
              <w:rPr>
                <w:lang w:eastAsia="zh-CN" w:bidi="ar-SA"/>
              </w:rPr>
            </w:pPr>
          </w:p>
        </w:tc>
        <w:tc>
          <w:tcPr>
            <w:tcW w:w="0" w:type="auto"/>
            <w:vMerge/>
          </w:tcPr>
          <w:p w14:paraId="25043691" w14:textId="77777777" w:rsidR="00A97188" w:rsidRPr="008B721A" w:rsidRDefault="00A97188" w:rsidP="008B721A">
            <w:pPr>
              <w:cnfStyle w:val="000000000000" w:firstRow="0" w:lastRow="0" w:firstColumn="0" w:lastColumn="0" w:oddVBand="0" w:evenVBand="0" w:oddHBand="0" w:evenHBand="0" w:firstRowFirstColumn="0" w:firstRowLastColumn="0" w:lastRowFirstColumn="0" w:lastRowLastColumn="0"/>
              <w:rPr>
                <w:lang w:eastAsia="zh-CN" w:bidi="ar-SA"/>
              </w:rPr>
            </w:pPr>
          </w:p>
        </w:tc>
        <w:tc>
          <w:tcPr>
            <w:tcW w:w="0" w:type="auto"/>
            <w:vMerge/>
          </w:tcPr>
          <w:p w14:paraId="2DAE160B" w14:textId="77777777" w:rsidR="00A97188" w:rsidRPr="008B721A" w:rsidRDefault="00A97188" w:rsidP="008B721A">
            <w:pPr>
              <w:cnfStyle w:val="000000000000" w:firstRow="0" w:lastRow="0" w:firstColumn="0" w:lastColumn="0" w:oddVBand="0" w:evenVBand="0" w:oddHBand="0" w:evenHBand="0" w:firstRowFirstColumn="0" w:firstRowLastColumn="0" w:lastRowFirstColumn="0" w:lastRowLastColumn="0"/>
              <w:rPr>
                <w:lang w:eastAsia="zh-CN" w:bidi="ar-SA"/>
              </w:rPr>
            </w:pPr>
          </w:p>
        </w:tc>
        <w:tc>
          <w:tcPr>
            <w:tcW w:w="0" w:type="auto"/>
            <w:vMerge/>
          </w:tcPr>
          <w:p w14:paraId="0A9074C6" w14:textId="77777777" w:rsidR="00A97188" w:rsidRPr="008B721A" w:rsidRDefault="00A97188" w:rsidP="008B721A">
            <w:pPr>
              <w:cnfStyle w:val="000000000000" w:firstRow="0" w:lastRow="0" w:firstColumn="0" w:lastColumn="0" w:oddVBand="0" w:evenVBand="0" w:oddHBand="0" w:evenHBand="0" w:firstRowFirstColumn="0" w:firstRowLastColumn="0" w:lastRowFirstColumn="0" w:lastRowLastColumn="0"/>
              <w:rPr>
                <w:lang w:eastAsia="zh-CN" w:bidi="ar-SA"/>
              </w:rPr>
            </w:pPr>
          </w:p>
        </w:tc>
        <w:tc>
          <w:tcPr>
            <w:tcW w:w="0" w:type="auto"/>
          </w:tcPr>
          <w:p w14:paraId="62DC7C10" w14:textId="446AE0DB" w:rsidR="00A97188" w:rsidRPr="008B721A" w:rsidRDefault="00AB2B5D" w:rsidP="008B721A">
            <w:pPr>
              <w:cnfStyle w:val="000000000000" w:firstRow="0" w:lastRow="0" w:firstColumn="0" w:lastColumn="0" w:oddVBand="0" w:evenVBand="0" w:oddHBand="0" w:evenHBand="0" w:firstRowFirstColumn="0" w:firstRowLastColumn="0" w:lastRowFirstColumn="0" w:lastRowLastColumn="0"/>
              <w:rPr>
                <w:lang w:eastAsia="zh-CN" w:bidi="ar-SA"/>
              </w:rPr>
            </w:pPr>
            <w:r w:rsidRPr="00AB2B5D">
              <w:rPr>
                <w:lang w:eastAsia="zh-CN" w:bidi="ar-SA"/>
              </w:rPr>
              <w:t>Prix moyen : 5 – 8 MAD/m² (nivellement, préparation du sol, semences, arrosage initial).</w:t>
            </w:r>
          </w:p>
        </w:tc>
      </w:tr>
      <w:tr w:rsidR="00AB2B5D" w:rsidRPr="008B721A" w14:paraId="0C8BA267" w14:textId="77777777" w:rsidTr="008B721A">
        <w:tc>
          <w:tcPr>
            <w:cnfStyle w:val="001000000000" w:firstRow="0" w:lastRow="0" w:firstColumn="1" w:lastColumn="0" w:oddVBand="0" w:evenVBand="0" w:oddHBand="0" w:evenHBand="0" w:firstRowFirstColumn="0" w:firstRowLastColumn="0" w:lastRowFirstColumn="0" w:lastRowLastColumn="0"/>
            <w:tcW w:w="0" w:type="auto"/>
            <w:vMerge/>
            <w:hideMark/>
          </w:tcPr>
          <w:p w14:paraId="1F5401EC" w14:textId="77777777" w:rsidR="008B721A" w:rsidRPr="008B721A" w:rsidRDefault="008B721A" w:rsidP="008B721A">
            <w:pPr>
              <w:rPr>
                <w:lang w:eastAsia="zh-CN" w:bidi="ar-SA"/>
              </w:rPr>
            </w:pPr>
          </w:p>
        </w:tc>
        <w:tc>
          <w:tcPr>
            <w:tcW w:w="0" w:type="auto"/>
            <w:hideMark/>
          </w:tcPr>
          <w:p w14:paraId="74DA8B81" w14:textId="77777777" w:rsidR="008B721A" w:rsidRPr="008B721A" w:rsidRDefault="008B721A" w:rsidP="008B721A">
            <w:pPr>
              <w:cnfStyle w:val="000000000000" w:firstRow="0" w:lastRow="0" w:firstColumn="0" w:lastColumn="0" w:oddVBand="0" w:evenVBand="0" w:oddHBand="0" w:evenHBand="0" w:firstRowFirstColumn="0" w:firstRowLastColumn="0" w:lastRowFirstColumn="0" w:lastRowLastColumn="0"/>
              <w:rPr>
                <w:lang w:eastAsia="zh-CN" w:bidi="ar-SA"/>
              </w:rPr>
            </w:pPr>
            <w:r w:rsidRPr="008B721A">
              <w:rPr>
                <w:b/>
                <w:bCs/>
                <w:lang w:eastAsia="zh-CN" w:bidi="ar-SA"/>
              </w:rPr>
              <w:t>Compenser</w:t>
            </w:r>
          </w:p>
        </w:tc>
        <w:tc>
          <w:tcPr>
            <w:tcW w:w="0" w:type="auto"/>
            <w:hideMark/>
          </w:tcPr>
          <w:p w14:paraId="7F26CCB8" w14:textId="0491DC37" w:rsidR="008B721A" w:rsidRPr="008B721A" w:rsidRDefault="008B721A" w:rsidP="008B721A">
            <w:pPr>
              <w:cnfStyle w:val="000000000000" w:firstRow="0" w:lastRow="0" w:firstColumn="0" w:lastColumn="0" w:oddVBand="0" w:evenVBand="0" w:oddHBand="0" w:evenHBand="0" w:firstRowFirstColumn="0" w:firstRowLastColumn="0" w:lastRowFirstColumn="0" w:lastRowLastColumn="0"/>
              <w:rPr>
                <w:lang w:eastAsia="zh-CN" w:bidi="ar-SA"/>
              </w:rPr>
            </w:pPr>
            <w:r w:rsidRPr="008B721A">
              <w:rPr>
                <w:lang w:eastAsia="zh-CN" w:bidi="ar-SA"/>
              </w:rPr>
              <w:t xml:space="preserve">Restaurer localement la perméabilité du sol par création de bandes d’infiltration. </w:t>
            </w:r>
          </w:p>
        </w:tc>
        <w:tc>
          <w:tcPr>
            <w:tcW w:w="0" w:type="auto"/>
            <w:hideMark/>
          </w:tcPr>
          <w:p w14:paraId="0E88AE9A" w14:textId="77777777" w:rsidR="008B721A" w:rsidRPr="008B721A" w:rsidRDefault="008B721A" w:rsidP="008B721A">
            <w:pPr>
              <w:cnfStyle w:val="000000000000" w:firstRow="0" w:lastRow="0" w:firstColumn="0" w:lastColumn="0" w:oddVBand="0" w:evenVBand="0" w:oddHBand="0" w:evenHBand="0" w:firstRowFirstColumn="0" w:firstRowLastColumn="0" w:lastRowFirstColumn="0" w:lastRowLastColumn="0"/>
              <w:rPr>
                <w:lang w:eastAsia="zh-CN" w:bidi="ar-SA"/>
              </w:rPr>
            </w:pPr>
            <w:r w:rsidRPr="008B721A">
              <w:rPr>
                <w:lang w:eastAsia="zh-CN" w:bidi="ar-SA"/>
              </w:rPr>
              <w:t>Surface réhabilitée (m²)</w:t>
            </w:r>
          </w:p>
        </w:tc>
        <w:tc>
          <w:tcPr>
            <w:tcW w:w="0" w:type="auto"/>
            <w:hideMark/>
          </w:tcPr>
          <w:p w14:paraId="2C9EF1E2" w14:textId="77777777" w:rsidR="008B721A" w:rsidRPr="008B721A" w:rsidRDefault="008B721A" w:rsidP="008B721A">
            <w:pPr>
              <w:cnfStyle w:val="000000000000" w:firstRow="0" w:lastRow="0" w:firstColumn="0" w:lastColumn="0" w:oddVBand="0" w:evenVBand="0" w:oddHBand="0" w:evenHBand="0" w:firstRowFirstColumn="0" w:firstRowLastColumn="0" w:lastRowFirstColumn="0" w:lastRowLastColumn="0"/>
              <w:rPr>
                <w:lang w:eastAsia="zh-CN" w:bidi="ar-SA"/>
              </w:rPr>
            </w:pPr>
            <w:r w:rsidRPr="008B721A">
              <w:rPr>
                <w:lang w:eastAsia="zh-CN" w:bidi="ar-SA"/>
              </w:rPr>
              <w:t>EPC / Sous-traitants</w:t>
            </w:r>
          </w:p>
        </w:tc>
        <w:tc>
          <w:tcPr>
            <w:tcW w:w="0" w:type="auto"/>
            <w:hideMark/>
          </w:tcPr>
          <w:p w14:paraId="68B23DD2" w14:textId="77777777" w:rsidR="008B721A" w:rsidRPr="008B721A" w:rsidRDefault="008B721A" w:rsidP="008B721A">
            <w:pPr>
              <w:cnfStyle w:val="000000000000" w:firstRow="0" w:lastRow="0" w:firstColumn="0" w:lastColumn="0" w:oddVBand="0" w:evenVBand="0" w:oddHBand="0" w:evenHBand="0" w:firstRowFirstColumn="0" w:firstRowLastColumn="0" w:lastRowFirstColumn="0" w:lastRowLastColumn="0"/>
              <w:rPr>
                <w:lang w:eastAsia="zh-CN" w:bidi="ar-SA"/>
              </w:rPr>
            </w:pPr>
            <w:r w:rsidRPr="008B721A">
              <w:rPr>
                <w:lang w:eastAsia="zh-CN" w:bidi="ar-SA"/>
              </w:rPr>
              <w:t>Bureau de contrôle / Consultant mandaté par l’ONDA</w:t>
            </w:r>
          </w:p>
        </w:tc>
        <w:tc>
          <w:tcPr>
            <w:tcW w:w="0" w:type="auto"/>
            <w:hideMark/>
          </w:tcPr>
          <w:p w14:paraId="18FA8F83" w14:textId="77777777" w:rsidR="008B721A" w:rsidRPr="008B721A" w:rsidRDefault="008B721A" w:rsidP="008B721A">
            <w:pPr>
              <w:cnfStyle w:val="000000000000" w:firstRow="0" w:lastRow="0" w:firstColumn="0" w:lastColumn="0" w:oddVBand="0" w:evenVBand="0" w:oddHBand="0" w:evenHBand="0" w:firstRowFirstColumn="0" w:firstRowLastColumn="0" w:lastRowFirstColumn="0" w:lastRowLastColumn="0"/>
              <w:rPr>
                <w:lang w:eastAsia="zh-CN" w:bidi="ar-SA"/>
              </w:rPr>
            </w:pPr>
            <w:r w:rsidRPr="008B721A">
              <w:rPr>
                <w:lang w:eastAsia="zh-CN" w:bidi="ar-SA"/>
              </w:rPr>
              <w:t>ONDA</w:t>
            </w:r>
          </w:p>
        </w:tc>
        <w:tc>
          <w:tcPr>
            <w:tcW w:w="0" w:type="auto"/>
            <w:hideMark/>
          </w:tcPr>
          <w:p w14:paraId="5F604F7B" w14:textId="77777777" w:rsidR="008B721A" w:rsidRPr="008B721A" w:rsidRDefault="008B721A" w:rsidP="008B721A">
            <w:pPr>
              <w:cnfStyle w:val="000000000000" w:firstRow="0" w:lastRow="0" w:firstColumn="0" w:lastColumn="0" w:oddVBand="0" w:evenVBand="0" w:oddHBand="0" w:evenHBand="0" w:firstRowFirstColumn="0" w:firstRowLastColumn="0" w:lastRowFirstColumn="0" w:lastRowLastColumn="0"/>
              <w:rPr>
                <w:lang w:eastAsia="zh-CN" w:bidi="ar-SA"/>
              </w:rPr>
            </w:pPr>
            <w:r w:rsidRPr="008B721A">
              <w:rPr>
                <w:lang w:eastAsia="zh-CN" w:bidi="ar-SA"/>
              </w:rPr>
              <w:t>Post-travaux</w:t>
            </w:r>
          </w:p>
        </w:tc>
        <w:tc>
          <w:tcPr>
            <w:tcW w:w="0" w:type="auto"/>
            <w:hideMark/>
          </w:tcPr>
          <w:p w14:paraId="0CD6190C" w14:textId="3CFD1640" w:rsidR="008B721A" w:rsidRPr="008B721A" w:rsidRDefault="00C93FCF" w:rsidP="008B721A">
            <w:pPr>
              <w:cnfStyle w:val="000000000000" w:firstRow="0" w:lastRow="0" w:firstColumn="0" w:lastColumn="0" w:oddVBand="0" w:evenVBand="0" w:oddHBand="0" w:evenHBand="0" w:firstRowFirstColumn="0" w:firstRowLastColumn="0" w:lastRowFirstColumn="0" w:lastRowLastColumn="0"/>
              <w:rPr>
                <w:lang w:eastAsia="zh-CN" w:bidi="ar-SA"/>
              </w:rPr>
            </w:pPr>
            <w:r w:rsidRPr="00C93FCF">
              <w:rPr>
                <w:lang w:eastAsia="zh-CN" w:bidi="ar-SA"/>
              </w:rPr>
              <w:t>≈ 25 000 MAD HT (investissement unique)</w:t>
            </w:r>
            <w:r>
              <w:rPr>
                <w:lang w:eastAsia="zh-CN" w:bidi="ar-SA"/>
              </w:rPr>
              <w:t xml:space="preserve"> -I</w:t>
            </w:r>
            <w:r w:rsidRPr="00C93FCF">
              <w:rPr>
                <w:lang w:eastAsia="zh-CN" w:bidi="ar-SA"/>
              </w:rPr>
              <w:t>nclut le terrassement, le remplissage drainant et la stabilisation végétale.</w:t>
            </w:r>
          </w:p>
        </w:tc>
      </w:tr>
      <w:tr w:rsidR="00F4305F" w:rsidRPr="008B721A" w14:paraId="0B9D26E2" w14:textId="77777777" w:rsidTr="008B721A">
        <w:tc>
          <w:tcPr>
            <w:cnfStyle w:val="001000000000" w:firstRow="0" w:lastRow="0" w:firstColumn="1" w:lastColumn="0" w:oddVBand="0" w:evenVBand="0" w:oddHBand="0" w:evenHBand="0" w:firstRowFirstColumn="0" w:firstRowLastColumn="0" w:lastRowFirstColumn="0" w:lastRowLastColumn="0"/>
            <w:tcW w:w="0" w:type="auto"/>
            <w:vMerge w:val="restart"/>
            <w:hideMark/>
          </w:tcPr>
          <w:p w14:paraId="63E1F001" w14:textId="77777777" w:rsidR="00F4305F" w:rsidRPr="008B721A" w:rsidRDefault="00F4305F" w:rsidP="008B721A">
            <w:pPr>
              <w:rPr>
                <w:lang w:eastAsia="zh-CN" w:bidi="ar-SA"/>
              </w:rPr>
            </w:pPr>
            <w:r w:rsidRPr="008B721A">
              <w:rPr>
                <w:lang w:eastAsia="zh-CN" w:bidi="ar-SA"/>
              </w:rPr>
              <w:t>Compactage du sol</w:t>
            </w:r>
          </w:p>
        </w:tc>
        <w:tc>
          <w:tcPr>
            <w:tcW w:w="0" w:type="auto"/>
            <w:hideMark/>
          </w:tcPr>
          <w:p w14:paraId="6DC1451B" w14:textId="77777777" w:rsidR="00F4305F" w:rsidRPr="008B721A" w:rsidRDefault="00F4305F" w:rsidP="008B721A">
            <w:pPr>
              <w:cnfStyle w:val="000000000000" w:firstRow="0" w:lastRow="0" w:firstColumn="0" w:lastColumn="0" w:oddVBand="0" w:evenVBand="0" w:oddHBand="0" w:evenHBand="0" w:firstRowFirstColumn="0" w:firstRowLastColumn="0" w:lastRowFirstColumn="0" w:lastRowLastColumn="0"/>
              <w:rPr>
                <w:lang w:eastAsia="zh-CN" w:bidi="ar-SA"/>
              </w:rPr>
            </w:pPr>
            <w:r w:rsidRPr="008B721A">
              <w:rPr>
                <w:b/>
                <w:bCs/>
                <w:lang w:eastAsia="zh-CN" w:bidi="ar-SA"/>
              </w:rPr>
              <w:t>Éviter</w:t>
            </w:r>
          </w:p>
        </w:tc>
        <w:tc>
          <w:tcPr>
            <w:tcW w:w="0" w:type="auto"/>
            <w:hideMark/>
          </w:tcPr>
          <w:p w14:paraId="3FAA531E" w14:textId="77777777" w:rsidR="00F4305F" w:rsidRDefault="00F4305F" w:rsidP="008B721A">
            <w:pPr>
              <w:cnfStyle w:val="000000000000" w:firstRow="0" w:lastRow="0" w:firstColumn="0" w:lastColumn="0" w:oddVBand="0" w:evenVBand="0" w:oddHBand="0" w:evenHBand="0" w:firstRowFirstColumn="0" w:firstRowLastColumn="0" w:lastRowFirstColumn="0" w:lastRowLastColumn="0"/>
              <w:rPr>
                <w:lang w:eastAsia="zh-CN" w:bidi="ar-SA"/>
              </w:rPr>
            </w:pPr>
            <w:r w:rsidRPr="008B721A">
              <w:rPr>
                <w:lang w:eastAsia="zh-CN" w:bidi="ar-SA"/>
              </w:rPr>
              <w:t xml:space="preserve">Limiter le passage des engins lourds aux zones strictement nécessaires. </w:t>
            </w:r>
          </w:p>
          <w:p w14:paraId="2A85087B" w14:textId="76FF6A9F" w:rsidR="00F4305F" w:rsidRPr="008B721A" w:rsidRDefault="00F4305F" w:rsidP="008B721A">
            <w:pPr>
              <w:cnfStyle w:val="000000000000" w:firstRow="0" w:lastRow="0" w:firstColumn="0" w:lastColumn="0" w:oddVBand="0" w:evenVBand="0" w:oddHBand="0" w:evenHBand="0" w:firstRowFirstColumn="0" w:firstRowLastColumn="0" w:lastRowFirstColumn="0" w:lastRowLastColumn="0"/>
              <w:rPr>
                <w:lang w:eastAsia="zh-CN" w:bidi="ar-SA"/>
              </w:rPr>
            </w:pPr>
            <w:r w:rsidRPr="008B721A">
              <w:rPr>
                <w:lang w:eastAsia="zh-CN" w:bidi="ar-SA"/>
              </w:rPr>
              <w:t>Interdire le stockage de matériaux sur sols non stabilisés.</w:t>
            </w:r>
          </w:p>
        </w:tc>
        <w:tc>
          <w:tcPr>
            <w:tcW w:w="0" w:type="auto"/>
            <w:hideMark/>
          </w:tcPr>
          <w:p w14:paraId="4CA33145" w14:textId="77777777" w:rsidR="00F4305F" w:rsidRPr="008B721A" w:rsidRDefault="00F4305F" w:rsidP="008B721A">
            <w:pPr>
              <w:cnfStyle w:val="000000000000" w:firstRow="0" w:lastRow="0" w:firstColumn="0" w:lastColumn="0" w:oddVBand="0" w:evenVBand="0" w:oddHBand="0" w:evenHBand="0" w:firstRowFirstColumn="0" w:firstRowLastColumn="0" w:lastRowFirstColumn="0" w:lastRowLastColumn="0"/>
              <w:rPr>
                <w:lang w:eastAsia="zh-CN" w:bidi="ar-SA"/>
              </w:rPr>
            </w:pPr>
            <w:r w:rsidRPr="008B721A">
              <w:rPr>
                <w:lang w:eastAsia="zh-CN" w:bidi="ar-SA"/>
              </w:rPr>
              <w:t>Respect des plans de circulation</w:t>
            </w:r>
          </w:p>
        </w:tc>
        <w:tc>
          <w:tcPr>
            <w:tcW w:w="0" w:type="auto"/>
            <w:hideMark/>
          </w:tcPr>
          <w:p w14:paraId="2BA6150F" w14:textId="77777777" w:rsidR="00F4305F" w:rsidRPr="008B721A" w:rsidRDefault="00F4305F" w:rsidP="008B721A">
            <w:pPr>
              <w:cnfStyle w:val="000000000000" w:firstRow="0" w:lastRow="0" w:firstColumn="0" w:lastColumn="0" w:oddVBand="0" w:evenVBand="0" w:oddHBand="0" w:evenHBand="0" w:firstRowFirstColumn="0" w:firstRowLastColumn="0" w:lastRowFirstColumn="0" w:lastRowLastColumn="0"/>
              <w:rPr>
                <w:lang w:eastAsia="zh-CN" w:bidi="ar-SA"/>
              </w:rPr>
            </w:pPr>
            <w:r w:rsidRPr="008B721A">
              <w:rPr>
                <w:lang w:eastAsia="zh-CN" w:bidi="ar-SA"/>
              </w:rPr>
              <w:t>EPC / Sous-traitants</w:t>
            </w:r>
          </w:p>
        </w:tc>
        <w:tc>
          <w:tcPr>
            <w:tcW w:w="0" w:type="auto"/>
            <w:hideMark/>
          </w:tcPr>
          <w:p w14:paraId="1D82B6FE" w14:textId="77777777" w:rsidR="00F4305F" w:rsidRPr="008B721A" w:rsidRDefault="00F4305F" w:rsidP="008B721A">
            <w:pPr>
              <w:cnfStyle w:val="000000000000" w:firstRow="0" w:lastRow="0" w:firstColumn="0" w:lastColumn="0" w:oddVBand="0" w:evenVBand="0" w:oddHBand="0" w:evenHBand="0" w:firstRowFirstColumn="0" w:firstRowLastColumn="0" w:lastRowFirstColumn="0" w:lastRowLastColumn="0"/>
              <w:rPr>
                <w:lang w:eastAsia="zh-CN" w:bidi="ar-SA"/>
              </w:rPr>
            </w:pPr>
            <w:r w:rsidRPr="008B721A">
              <w:rPr>
                <w:lang w:eastAsia="zh-CN" w:bidi="ar-SA"/>
              </w:rPr>
              <w:t>Bureau de contrôle / Consultant mandaté par l’ONDA</w:t>
            </w:r>
          </w:p>
        </w:tc>
        <w:tc>
          <w:tcPr>
            <w:tcW w:w="0" w:type="auto"/>
            <w:hideMark/>
          </w:tcPr>
          <w:p w14:paraId="3AB3003F" w14:textId="77777777" w:rsidR="00F4305F" w:rsidRPr="008B721A" w:rsidRDefault="00F4305F" w:rsidP="008B721A">
            <w:pPr>
              <w:cnfStyle w:val="000000000000" w:firstRow="0" w:lastRow="0" w:firstColumn="0" w:lastColumn="0" w:oddVBand="0" w:evenVBand="0" w:oddHBand="0" w:evenHBand="0" w:firstRowFirstColumn="0" w:firstRowLastColumn="0" w:lastRowFirstColumn="0" w:lastRowLastColumn="0"/>
              <w:rPr>
                <w:lang w:eastAsia="zh-CN" w:bidi="ar-SA"/>
              </w:rPr>
            </w:pPr>
            <w:r w:rsidRPr="008B721A">
              <w:rPr>
                <w:lang w:eastAsia="zh-CN" w:bidi="ar-SA"/>
              </w:rPr>
              <w:t>ONDA</w:t>
            </w:r>
          </w:p>
        </w:tc>
        <w:tc>
          <w:tcPr>
            <w:tcW w:w="0" w:type="auto"/>
            <w:hideMark/>
          </w:tcPr>
          <w:p w14:paraId="001D3FCA" w14:textId="77777777" w:rsidR="00F4305F" w:rsidRPr="008B721A" w:rsidRDefault="00F4305F" w:rsidP="008B721A">
            <w:pPr>
              <w:cnfStyle w:val="000000000000" w:firstRow="0" w:lastRow="0" w:firstColumn="0" w:lastColumn="0" w:oddVBand="0" w:evenVBand="0" w:oddHBand="0" w:evenHBand="0" w:firstRowFirstColumn="0" w:firstRowLastColumn="0" w:lastRowFirstColumn="0" w:lastRowLastColumn="0"/>
              <w:rPr>
                <w:lang w:eastAsia="zh-CN" w:bidi="ar-SA"/>
              </w:rPr>
            </w:pPr>
            <w:r w:rsidRPr="008B721A">
              <w:rPr>
                <w:lang w:eastAsia="zh-CN" w:bidi="ar-SA"/>
              </w:rPr>
              <w:t>Pendant travaux</w:t>
            </w:r>
          </w:p>
        </w:tc>
        <w:tc>
          <w:tcPr>
            <w:tcW w:w="0" w:type="auto"/>
            <w:hideMark/>
          </w:tcPr>
          <w:p w14:paraId="7D24E61F" w14:textId="45147000" w:rsidR="00F4305F" w:rsidRPr="008B721A" w:rsidRDefault="00F4305F" w:rsidP="008B721A">
            <w:pPr>
              <w:cnfStyle w:val="000000000000" w:firstRow="0" w:lastRow="0" w:firstColumn="0" w:lastColumn="0" w:oddVBand="0" w:evenVBand="0" w:oddHBand="0" w:evenHBand="0" w:firstRowFirstColumn="0" w:firstRowLastColumn="0" w:lastRowFirstColumn="0" w:lastRowLastColumn="0"/>
              <w:rPr>
                <w:lang w:eastAsia="zh-CN" w:bidi="ar-SA"/>
              </w:rPr>
            </w:pPr>
            <w:r>
              <w:rPr>
                <w:lang w:eastAsia="zh-CN" w:bidi="ar-SA"/>
              </w:rPr>
              <w:t>Aucun coût spécifique</w:t>
            </w:r>
          </w:p>
        </w:tc>
      </w:tr>
      <w:tr w:rsidR="00F4305F" w:rsidRPr="008B721A" w14:paraId="46A21A5E" w14:textId="77777777" w:rsidTr="008B721A">
        <w:tc>
          <w:tcPr>
            <w:cnfStyle w:val="001000000000" w:firstRow="0" w:lastRow="0" w:firstColumn="1" w:lastColumn="0" w:oddVBand="0" w:evenVBand="0" w:oddHBand="0" w:evenHBand="0" w:firstRowFirstColumn="0" w:firstRowLastColumn="0" w:lastRowFirstColumn="0" w:lastRowLastColumn="0"/>
            <w:tcW w:w="0" w:type="auto"/>
            <w:vMerge/>
            <w:hideMark/>
          </w:tcPr>
          <w:p w14:paraId="26E95218" w14:textId="77777777" w:rsidR="00F4305F" w:rsidRPr="008B721A" w:rsidRDefault="00F4305F" w:rsidP="008B721A">
            <w:pPr>
              <w:rPr>
                <w:lang w:eastAsia="zh-CN" w:bidi="ar-SA"/>
              </w:rPr>
            </w:pPr>
          </w:p>
        </w:tc>
        <w:tc>
          <w:tcPr>
            <w:tcW w:w="0" w:type="auto"/>
            <w:hideMark/>
          </w:tcPr>
          <w:p w14:paraId="5FFF19B7" w14:textId="77777777" w:rsidR="00F4305F" w:rsidRPr="008B721A" w:rsidRDefault="00F4305F" w:rsidP="008B721A">
            <w:pPr>
              <w:cnfStyle w:val="000000000000" w:firstRow="0" w:lastRow="0" w:firstColumn="0" w:lastColumn="0" w:oddVBand="0" w:evenVBand="0" w:oddHBand="0" w:evenHBand="0" w:firstRowFirstColumn="0" w:firstRowLastColumn="0" w:lastRowFirstColumn="0" w:lastRowLastColumn="0"/>
              <w:rPr>
                <w:lang w:eastAsia="zh-CN" w:bidi="ar-SA"/>
              </w:rPr>
            </w:pPr>
            <w:r w:rsidRPr="008B721A">
              <w:rPr>
                <w:b/>
                <w:bCs/>
                <w:lang w:eastAsia="zh-CN" w:bidi="ar-SA"/>
              </w:rPr>
              <w:t>Réduire</w:t>
            </w:r>
          </w:p>
        </w:tc>
        <w:tc>
          <w:tcPr>
            <w:tcW w:w="0" w:type="auto"/>
            <w:hideMark/>
          </w:tcPr>
          <w:p w14:paraId="4812BD1C" w14:textId="77777777" w:rsidR="00F4305F" w:rsidRDefault="00F4305F" w:rsidP="008B721A">
            <w:pPr>
              <w:cnfStyle w:val="000000000000" w:firstRow="0" w:lastRow="0" w:firstColumn="0" w:lastColumn="0" w:oddVBand="0" w:evenVBand="0" w:oddHBand="0" w:evenHBand="0" w:firstRowFirstColumn="0" w:firstRowLastColumn="0" w:lastRowFirstColumn="0" w:lastRowLastColumn="0"/>
              <w:rPr>
                <w:lang w:eastAsia="zh-CN" w:bidi="ar-SA"/>
              </w:rPr>
            </w:pPr>
            <w:r w:rsidRPr="008B721A">
              <w:rPr>
                <w:lang w:eastAsia="zh-CN" w:bidi="ar-SA"/>
              </w:rPr>
              <w:t xml:space="preserve">Utiliser des engins adaptés (pneus basse pression). </w:t>
            </w:r>
          </w:p>
          <w:p w14:paraId="6C3E4FBD" w14:textId="77777777" w:rsidR="00F4305F" w:rsidRDefault="00F4305F" w:rsidP="008B721A">
            <w:pPr>
              <w:cnfStyle w:val="000000000000" w:firstRow="0" w:lastRow="0" w:firstColumn="0" w:lastColumn="0" w:oddVBand="0" w:evenVBand="0" w:oddHBand="0" w:evenHBand="0" w:firstRowFirstColumn="0" w:firstRowLastColumn="0" w:lastRowFirstColumn="0" w:lastRowLastColumn="0"/>
              <w:rPr>
                <w:lang w:eastAsia="zh-CN" w:bidi="ar-SA"/>
              </w:rPr>
            </w:pPr>
            <w:r w:rsidRPr="008B721A">
              <w:rPr>
                <w:lang w:eastAsia="zh-CN" w:bidi="ar-SA"/>
              </w:rPr>
              <w:t xml:space="preserve">Alterner les zones de passage pour éviter le compactage répété. </w:t>
            </w:r>
          </w:p>
          <w:p w14:paraId="588A67C2" w14:textId="3BAF6563" w:rsidR="00F4305F" w:rsidRPr="008B721A" w:rsidRDefault="00F4305F" w:rsidP="008B721A">
            <w:pPr>
              <w:cnfStyle w:val="000000000000" w:firstRow="0" w:lastRow="0" w:firstColumn="0" w:lastColumn="0" w:oddVBand="0" w:evenVBand="0" w:oddHBand="0" w:evenHBand="0" w:firstRowFirstColumn="0" w:firstRowLastColumn="0" w:lastRowFirstColumn="0" w:lastRowLastColumn="0"/>
              <w:rPr>
                <w:lang w:eastAsia="zh-CN" w:bidi="ar-SA"/>
              </w:rPr>
            </w:pPr>
            <w:r w:rsidRPr="008B721A">
              <w:rPr>
                <w:lang w:eastAsia="zh-CN" w:bidi="ar-SA"/>
              </w:rPr>
              <w:lastRenderedPageBreak/>
              <w:t>Effectuer un contrôle visuel hebdomadaire de la portance du sol.</w:t>
            </w:r>
          </w:p>
        </w:tc>
        <w:tc>
          <w:tcPr>
            <w:tcW w:w="0" w:type="auto"/>
            <w:hideMark/>
          </w:tcPr>
          <w:p w14:paraId="50BB54FE" w14:textId="77777777" w:rsidR="00F4305F" w:rsidRPr="008B721A" w:rsidRDefault="00F4305F" w:rsidP="008B721A">
            <w:pPr>
              <w:cnfStyle w:val="000000000000" w:firstRow="0" w:lastRow="0" w:firstColumn="0" w:lastColumn="0" w:oddVBand="0" w:evenVBand="0" w:oddHBand="0" w:evenHBand="0" w:firstRowFirstColumn="0" w:firstRowLastColumn="0" w:lastRowFirstColumn="0" w:lastRowLastColumn="0"/>
              <w:rPr>
                <w:lang w:eastAsia="zh-CN" w:bidi="ar-SA"/>
              </w:rPr>
            </w:pPr>
            <w:r w:rsidRPr="008B721A">
              <w:rPr>
                <w:lang w:eastAsia="zh-CN" w:bidi="ar-SA"/>
              </w:rPr>
              <w:lastRenderedPageBreak/>
              <w:t>Nombre d’inspections de portance</w:t>
            </w:r>
          </w:p>
        </w:tc>
        <w:tc>
          <w:tcPr>
            <w:tcW w:w="0" w:type="auto"/>
            <w:hideMark/>
          </w:tcPr>
          <w:p w14:paraId="3DB8741B" w14:textId="77777777" w:rsidR="00F4305F" w:rsidRPr="008B721A" w:rsidRDefault="00F4305F" w:rsidP="008B721A">
            <w:pPr>
              <w:cnfStyle w:val="000000000000" w:firstRow="0" w:lastRow="0" w:firstColumn="0" w:lastColumn="0" w:oddVBand="0" w:evenVBand="0" w:oddHBand="0" w:evenHBand="0" w:firstRowFirstColumn="0" w:firstRowLastColumn="0" w:lastRowFirstColumn="0" w:lastRowLastColumn="0"/>
              <w:rPr>
                <w:lang w:eastAsia="zh-CN" w:bidi="ar-SA"/>
              </w:rPr>
            </w:pPr>
            <w:r w:rsidRPr="008B721A">
              <w:rPr>
                <w:lang w:eastAsia="zh-CN" w:bidi="ar-SA"/>
              </w:rPr>
              <w:t>EPC / Sous-traitants</w:t>
            </w:r>
          </w:p>
        </w:tc>
        <w:tc>
          <w:tcPr>
            <w:tcW w:w="0" w:type="auto"/>
            <w:hideMark/>
          </w:tcPr>
          <w:p w14:paraId="684B15DC" w14:textId="77777777" w:rsidR="00F4305F" w:rsidRPr="008B721A" w:rsidRDefault="00F4305F" w:rsidP="008B721A">
            <w:pPr>
              <w:cnfStyle w:val="000000000000" w:firstRow="0" w:lastRow="0" w:firstColumn="0" w:lastColumn="0" w:oddVBand="0" w:evenVBand="0" w:oddHBand="0" w:evenHBand="0" w:firstRowFirstColumn="0" w:firstRowLastColumn="0" w:lastRowFirstColumn="0" w:lastRowLastColumn="0"/>
              <w:rPr>
                <w:lang w:eastAsia="zh-CN" w:bidi="ar-SA"/>
              </w:rPr>
            </w:pPr>
            <w:r w:rsidRPr="008B721A">
              <w:rPr>
                <w:lang w:eastAsia="zh-CN" w:bidi="ar-SA"/>
              </w:rPr>
              <w:t>Bureau de contrôle / Consultant mandaté par l’ONDA</w:t>
            </w:r>
          </w:p>
        </w:tc>
        <w:tc>
          <w:tcPr>
            <w:tcW w:w="0" w:type="auto"/>
            <w:hideMark/>
          </w:tcPr>
          <w:p w14:paraId="239281E6" w14:textId="77777777" w:rsidR="00F4305F" w:rsidRPr="008B721A" w:rsidRDefault="00F4305F" w:rsidP="008B721A">
            <w:pPr>
              <w:cnfStyle w:val="000000000000" w:firstRow="0" w:lastRow="0" w:firstColumn="0" w:lastColumn="0" w:oddVBand="0" w:evenVBand="0" w:oddHBand="0" w:evenHBand="0" w:firstRowFirstColumn="0" w:firstRowLastColumn="0" w:lastRowFirstColumn="0" w:lastRowLastColumn="0"/>
              <w:rPr>
                <w:lang w:eastAsia="zh-CN" w:bidi="ar-SA"/>
              </w:rPr>
            </w:pPr>
            <w:r w:rsidRPr="008B721A">
              <w:rPr>
                <w:lang w:eastAsia="zh-CN" w:bidi="ar-SA"/>
              </w:rPr>
              <w:t>ONDA</w:t>
            </w:r>
          </w:p>
        </w:tc>
        <w:tc>
          <w:tcPr>
            <w:tcW w:w="0" w:type="auto"/>
            <w:hideMark/>
          </w:tcPr>
          <w:p w14:paraId="468E1A63" w14:textId="77777777" w:rsidR="00F4305F" w:rsidRPr="008B721A" w:rsidRDefault="00F4305F" w:rsidP="008B721A">
            <w:pPr>
              <w:cnfStyle w:val="000000000000" w:firstRow="0" w:lastRow="0" w:firstColumn="0" w:lastColumn="0" w:oddVBand="0" w:evenVBand="0" w:oddHBand="0" w:evenHBand="0" w:firstRowFirstColumn="0" w:firstRowLastColumn="0" w:lastRowFirstColumn="0" w:lastRowLastColumn="0"/>
              <w:rPr>
                <w:lang w:eastAsia="zh-CN" w:bidi="ar-SA"/>
              </w:rPr>
            </w:pPr>
            <w:r w:rsidRPr="008B721A">
              <w:rPr>
                <w:lang w:eastAsia="zh-CN" w:bidi="ar-SA"/>
              </w:rPr>
              <w:t>Permanent durant chantier</w:t>
            </w:r>
          </w:p>
        </w:tc>
        <w:tc>
          <w:tcPr>
            <w:tcW w:w="0" w:type="auto"/>
            <w:hideMark/>
          </w:tcPr>
          <w:p w14:paraId="54972CE4" w14:textId="536F9DC9" w:rsidR="00F4305F" w:rsidRPr="008B721A" w:rsidRDefault="00F4305F" w:rsidP="008B721A">
            <w:pPr>
              <w:cnfStyle w:val="000000000000" w:firstRow="0" w:lastRow="0" w:firstColumn="0" w:lastColumn="0" w:oddVBand="0" w:evenVBand="0" w:oddHBand="0" w:evenHBand="0" w:firstRowFirstColumn="0" w:firstRowLastColumn="0" w:lastRowFirstColumn="0" w:lastRowLastColumn="0"/>
              <w:rPr>
                <w:lang w:eastAsia="zh-CN" w:bidi="ar-SA"/>
              </w:rPr>
            </w:pPr>
            <w:r>
              <w:rPr>
                <w:lang w:eastAsia="zh-CN" w:bidi="ar-SA"/>
              </w:rPr>
              <w:t>Aucun coût spécifique</w:t>
            </w:r>
          </w:p>
        </w:tc>
      </w:tr>
      <w:tr w:rsidR="00F4305F" w:rsidRPr="008B721A" w14:paraId="3F23C31B" w14:textId="77777777" w:rsidTr="00C27FB1">
        <w:trPr>
          <w:trHeight w:val="1265"/>
        </w:trPr>
        <w:tc>
          <w:tcPr>
            <w:cnfStyle w:val="001000000000" w:firstRow="0" w:lastRow="0" w:firstColumn="1" w:lastColumn="0" w:oddVBand="0" w:evenVBand="0" w:oddHBand="0" w:evenHBand="0" w:firstRowFirstColumn="0" w:firstRowLastColumn="0" w:lastRowFirstColumn="0" w:lastRowLastColumn="0"/>
            <w:tcW w:w="0" w:type="auto"/>
            <w:vMerge/>
            <w:hideMark/>
          </w:tcPr>
          <w:p w14:paraId="53DA656F" w14:textId="77777777" w:rsidR="00F4305F" w:rsidRPr="008B721A" w:rsidRDefault="00F4305F" w:rsidP="008B721A">
            <w:pPr>
              <w:rPr>
                <w:lang w:eastAsia="zh-CN" w:bidi="ar-SA"/>
              </w:rPr>
            </w:pPr>
          </w:p>
        </w:tc>
        <w:tc>
          <w:tcPr>
            <w:tcW w:w="0" w:type="auto"/>
            <w:vMerge w:val="restart"/>
            <w:hideMark/>
          </w:tcPr>
          <w:p w14:paraId="7C7232A1" w14:textId="77777777" w:rsidR="00F4305F" w:rsidRPr="008B721A" w:rsidRDefault="00F4305F" w:rsidP="008B721A">
            <w:pPr>
              <w:cnfStyle w:val="000000000000" w:firstRow="0" w:lastRow="0" w:firstColumn="0" w:lastColumn="0" w:oddVBand="0" w:evenVBand="0" w:oddHBand="0" w:evenHBand="0" w:firstRowFirstColumn="0" w:firstRowLastColumn="0" w:lastRowFirstColumn="0" w:lastRowLastColumn="0"/>
              <w:rPr>
                <w:lang w:eastAsia="zh-CN" w:bidi="ar-SA"/>
              </w:rPr>
            </w:pPr>
            <w:r w:rsidRPr="008B721A">
              <w:rPr>
                <w:b/>
                <w:bCs/>
                <w:lang w:eastAsia="zh-CN" w:bidi="ar-SA"/>
              </w:rPr>
              <w:t>Atténuer</w:t>
            </w:r>
          </w:p>
        </w:tc>
        <w:tc>
          <w:tcPr>
            <w:tcW w:w="0" w:type="auto"/>
            <w:tcBorders>
              <w:bottom w:val="single" w:sz="4" w:space="0" w:color="B4C6E7" w:themeColor="accent1" w:themeTint="66"/>
            </w:tcBorders>
            <w:hideMark/>
          </w:tcPr>
          <w:p w14:paraId="440D4C7D" w14:textId="5044EB55" w:rsidR="00F4305F" w:rsidRPr="008B721A" w:rsidRDefault="00F4305F" w:rsidP="008B721A">
            <w:pPr>
              <w:cnfStyle w:val="000000000000" w:firstRow="0" w:lastRow="0" w:firstColumn="0" w:lastColumn="0" w:oddVBand="0" w:evenVBand="0" w:oddHBand="0" w:evenHBand="0" w:firstRowFirstColumn="0" w:firstRowLastColumn="0" w:lastRowFirstColumn="0" w:lastRowLastColumn="0"/>
              <w:rPr>
                <w:lang w:eastAsia="zh-CN" w:bidi="ar-SA"/>
              </w:rPr>
            </w:pPr>
            <w:r w:rsidRPr="008B721A">
              <w:rPr>
                <w:lang w:eastAsia="zh-CN" w:bidi="ar-SA"/>
              </w:rPr>
              <w:t xml:space="preserve">Décompactage mécanique des zones perturbées en fin de travaux. </w:t>
            </w:r>
          </w:p>
        </w:tc>
        <w:tc>
          <w:tcPr>
            <w:tcW w:w="0" w:type="auto"/>
            <w:vMerge w:val="restart"/>
            <w:hideMark/>
          </w:tcPr>
          <w:p w14:paraId="4D3C36F1" w14:textId="77777777" w:rsidR="00F4305F" w:rsidRPr="008B721A" w:rsidRDefault="00F4305F" w:rsidP="008B721A">
            <w:pPr>
              <w:cnfStyle w:val="000000000000" w:firstRow="0" w:lastRow="0" w:firstColumn="0" w:lastColumn="0" w:oddVBand="0" w:evenVBand="0" w:oddHBand="0" w:evenHBand="0" w:firstRowFirstColumn="0" w:firstRowLastColumn="0" w:lastRowFirstColumn="0" w:lastRowLastColumn="0"/>
              <w:rPr>
                <w:lang w:eastAsia="zh-CN" w:bidi="ar-SA"/>
              </w:rPr>
            </w:pPr>
            <w:r w:rsidRPr="008B721A">
              <w:rPr>
                <w:lang w:eastAsia="zh-CN" w:bidi="ar-SA"/>
              </w:rPr>
              <w:t>% de surface réhabilitée</w:t>
            </w:r>
          </w:p>
        </w:tc>
        <w:tc>
          <w:tcPr>
            <w:tcW w:w="0" w:type="auto"/>
            <w:vMerge w:val="restart"/>
            <w:hideMark/>
          </w:tcPr>
          <w:p w14:paraId="1A14AC19" w14:textId="77777777" w:rsidR="00F4305F" w:rsidRPr="008B721A" w:rsidRDefault="00F4305F" w:rsidP="008B721A">
            <w:pPr>
              <w:cnfStyle w:val="000000000000" w:firstRow="0" w:lastRow="0" w:firstColumn="0" w:lastColumn="0" w:oddVBand="0" w:evenVBand="0" w:oddHBand="0" w:evenHBand="0" w:firstRowFirstColumn="0" w:firstRowLastColumn="0" w:lastRowFirstColumn="0" w:lastRowLastColumn="0"/>
              <w:rPr>
                <w:lang w:eastAsia="zh-CN" w:bidi="ar-SA"/>
              </w:rPr>
            </w:pPr>
            <w:r w:rsidRPr="008B721A">
              <w:rPr>
                <w:lang w:eastAsia="zh-CN" w:bidi="ar-SA"/>
              </w:rPr>
              <w:t>EPC / Sous-traitants</w:t>
            </w:r>
          </w:p>
        </w:tc>
        <w:tc>
          <w:tcPr>
            <w:tcW w:w="0" w:type="auto"/>
            <w:vMerge w:val="restart"/>
            <w:hideMark/>
          </w:tcPr>
          <w:p w14:paraId="261AE7D1" w14:textId="77777777" w:rsidR="00F4305F" w:rsidRPr="008B721A" w:rsidRDefault="00F4305F" w:rsidP="008B721A">
            <w:pPr>
              <w:cnfStyle w:val="000000000000" w:firstRow="0" w:lastRow="0" w:firstColumn="0" w:lastColumn="0" w:oddVBand="0" w:evenVBand="0" w:oddHBand="0" w:evenHBand="0" w:firstRowFirstColumn="0" w:firstRowLastColumn="0" w:lastRowFirstColumn="0" w:lastRowLastColumn="0"/>
              <w:rPr>
                <w:lang w:eastAsia="zh-CN" w:bidi="ar-SA"/>
              </w:rPr>
            </w:pPr>
            <w:r w:rsidRPr="008B721A">
              <w:rPr>
                <w:lang w:eastAsia="zh-CN" w:bidi="ar-SA"/>
              </w:rPr>
              <w:t>Bureau de contrôle / Consultant mandaté par l’ONDA</w:t>
            </w:r>
          </w:p>
        </w:tc>
        <w:tc>
          <w:tcPr>
            <w:tcW w:w="0" w:type="auto"/>
            <w:vMerge w:val="restart"/>
            <w:hideMark/>
          </w:tcPr>
          <w:p w14:paraId="713C0142" w14:textId="77777777" w:rsidR="00F4305F" w:rsidRPr="008B721A" w:rsidRDefault="00F4305F" w:rsidP="008B721A">
            <w:pPr>
              <w:cnfStyle w:val="000000000000" w:firstRow="0" w:lastRow="0" w:firstColumn="0" w:lastColumn="0" w:oddVBand="0" w:evenVBand="0" w:oddHBand="0" w:evenHBand="0" w:firstRowFirstColumn="0" w:firstRowLastColumn="0" w:lastRowFirstColumn="0" w:lastRowLastColumn="0"/>
              <w:rPr>
                <w:lang w:eastAsia="zh-CN" w:bidi="ar-SA"/>
              </w:rPr>
            </w:pPr>
            <w:r w:rsidRPr="008B721A">
              <w:rPr>
                <w:lang w:eastAsia="zh-CN" w:bidi="ar-SA"/>
              </w:rPr>
              <w:t>ONDA</w:t>
            </w:r>
          </w:p>
        </w:tc>
        <w:tc>
          <w:tcPr>
            <w:tcW w:w="0" w:type="auto"/>
            <w:vMerge w:val="restart"/>
            <w:hideMark/>
          </w:tcPr>
          <w:p w14:paraId="260933FE" w14:textId="77777777" w:rsidR="00F4305F" w:rsidRPr="008B721A" w:rsidRDefault="00F4305F" w:rsidP="008B721A">
            <w:pPr>
              <w:cnfStyle w:val="000000000000" w:firstRow="0" w:lastRow="0" w:firstColumn="0" w:lastColumn="0" w:oddVBand="0" w:evenVBand="0" w:oddHBand="0" w:evenHBand="0" w:firstRowFirstColumn="0" w:firstRowLastColumn="0" w:lastRowFirstColumn="0" w:lastRowLastColumn="0"/>
              <w:rPr>
                <w:lang w:eastAsia="zh-CN" w:bidi="ar-SA"/>
              </w:rPr>
            </w:pPr>
            <w:r w:rsidRPr="008B721A">
              <w:rPr>
                <w:lang w:eastAsia="zh-CN" w:bidi="ar-SA"/>
              </w:rPr>
              <w:t>Post-travaux</w:t>
            </w:r>
          </w:p>
        </w:tc>
        <w:tc>
          <w:tcPr>
            <w:tcW w:w="0" w:type="auto"/>
            <w:tcBorders>
              <w:bottom w:val="single" w:sz="4" w:space="0" w:color="B4C6E7" w:themeColor="accent1" w:themeTint="66"/>
            </w:tcBorders>
            <w:hideMark/>
          </w:tcPr>
          <w:p w14:paraId="4A1C6A38" w14:textId="544B76E1" w:rsidR="00F4305F" w:rsidRPr="00F4305F" w:rsidRDefault="00F4305F" w:rsidP="008B721A">
            <w:pPr>
              <w:cnfStyle w:val="000000000000" w:firstRow="0" w:lastRow="0" w:firstColumn="0" w:lastColumn="0" w:oddVBand="0" w:evenVBand="0" w:oddHBand="0" w:evenHBand="0" w:firstRowFirstColumn="0" w:firstRowLastColumn="0" w:lastRowFirstColumn="0" w:lastRowLastColumn="0"/>
              <w:rPr>
                <w:lang w:eastAsia="zh-CN" w:bidi="ar-SA"/>
              </w:rPr>
            </w:pPr>
            <w:r w:rsidRPr="00F4305F">
              <w:rPr>
                <w:lang w:eastAsia="zh-CN" w:bidi="ar-SA"/>
              </w:rPr>
              <w:t xml:space="preserve">Coût moyen au Maroc : </w:t>
            </w:r>
            <w:r w:rsidRPr="00D60FC9">
              <w:rPr>
                <w:lang w:eastAsia="zh-CN" w:bidi="ar-SA"/>
              </w:rPr>
              <w:t>2,5 – 3,5 MAD/m²</w:t>
            </w:r>
            <w:r w:rsidRPr="00F4305F">
              <w:rPr>
                <w:lang w:eastAsia="zh-CN" w:bidi="ar-SA"/>
              </w:rPr>
              <w:br/>
            </w:r>
          </w:p>
        </w:tc>
      </w:tr>
      <w:tr w:rsidR="00F4305F" w:rsidRPr="008B721A" w14:paraId="051DC32D" w14:textId="77777777" w:rsidTr="00C27FB1">
        <w:trPr>
          <w:trHeight w:val="1342"/>
        </w:trPr>
        <w:tc>
          <w:tcPr>
            <w:cnfStyle w:val="001000000000" w:firstRow="0" w:lastRow="0" w:firstColumn="1" w:lastColumn="0" w:oddVBand="0" w:evenVBand="0" w:oddHBand="0" w:evenHBand="0" w:firstRowFirstColumn="0" w:firstRowLastColumn="0" w:lastRowFirstColumn="0" w:lastRowLastColumn="0"/>
            <w:tcW w:w="0" w:type="auto"/>
            <w:vMerge/>
          </w:tcPr>
          <w:p w14:paraId="7DF6A653" w14:textId="77777777" w:rsidR="00F4305F" w:rsidRPr="008B721A" w:rsidRDefault="00F4305F" w:rsidP="008B721A">
            <w:pPr>
              <w:rPr>
                <w:lang w:eastAsia="zh-CN" w:bidi="ar-SA"/>
              </w:rPr>
            </w:pPr>
          </w:p>
        </w:tc>
        <w:tc>
          <w:tcPr>
            <w:tcW w:w="0" w:type="auto"/>
            <w:vMerge/>
          </w:tcPr>
          <w:p w14:paraId="7A57C34C" w14:textId="77777777" w:rsidR="00F4305F" w:rsidRPr="008B721A" w:rsidRDefault="00F4305F" w:rsidP="008B721A">
            <w:pPr>
              <w:cnfStyle w:val="000000000000" w:firstRow="0" w:lastRow="0" w:firstColumn="0" w:lastColumn="0" w:oddVBand="0" w:evenVBand="0" w:oddHBand="0" w:evenHBand="0" w:firstRowFirstColumn="0" w:firstRowLastColumn="0" w:lastRowFirstColumn="0" w:lastRowLastColumn="0"/>
              <w:rPr>
                <w:b/>
                <w:bCs/>
                <w:lang w:eastAsia="zh-CN" w:bidi="ar-SA"/>
              </w:rPr>
            </w:pPr>
          </w:p>
        </w:tc>
        <w:tc>
          <w:tcPr>
            <w:tcW w:w="0" w:type="auto"/>
            <w:tcBorders>
              <w:top w:val="single" w:sz="4" w:space="0" w:color="B4C6E7" w:themeColor="accent1" w:themeTint="66"/>
            </w:tcBorders>
          </w:tcPr>
          <w:p w14:paraId="13EC3246" w14:textId="77777777" w:rsidR="00F4305F" w:rsidRPr="008B721A" w:rsidRDefault="00F4305F" w:rsidP="00F4305F">
            <w:pPr>
              <w:cnfStyle w:val="000000000000" w:firstRow="0" w:lastRow="0" w:firstColumn="0" w:lastColumn="0" w:oddVBand="0" w:evenVBand="0" w:oddHBand="0" w:evenHBand="0" w:firstRowFirstColumn="0" w:firstRowLastColumn="0" w:lastRowFirstColumn="0" w:lastRowLastColumn="0"/>
              <w:rPr>
                <w:lang w:eastAsia="zh-CN" w:bidi="ar-SA"/>
              </w:rPr>
            </w:pPr>
            <w:r w:rsidRPr="008B721A">
              <w:rPr>
                <w:lang w:eastAsia="zh-CN" w:bidi="ar-SA"/>
              </w:rPr>
              <w:t>Nivellement et réensemencement pour restaurer la structure du sol.</w:t>
            </w:r>
          </w:p>
        </w:tc>
        <w:tc>
          <w:tcPr>
            <w:tcW w:w="0" w:type="auto"/>
            <w:vMerge/>
          </w:tcPr>
          <w:p w14:paraId="67515E0D" w14:textId="77777777" w:rsidR="00F4305F" w:rsidRPr="008B721A" w:rsidRDefault="00F4305F" w:rsidP="008B721A">
            <w:pPr>
              <w:cnfStyle w:val="000000000000" w:firstRow="0" w:lastRow="0" w:firstColumn="0" w:lastColumn="0" w:oddVBand="0" w:evenVBand="0" w:oddHBand="0" w:evenHBand="0" w:firstRowFirstColumn="0" w:firstRowLastColumn="0" w:lastRowFirstColumn="0" w:lastRowLastColumn="0"/>
              <w:rPr>
                <w:lang w:eastAsia="zh-CN" w:bidi="ar-SA"/>
              </w:rPr>
            </w:pPr>
          </w:p>
        </w:tc>
        <w:tc>
          <w:tcPr>
            <w:tcW w:w="0" w:type="auto"/>
            <w:vMerge/>
          </w:tcPr>
          <w:p w14:paraId="37920286" w14:textId="77777777" w:rsidR="00F4305F" w:rsidRPr="008B721A" w:rsidRDefault="00F4305F" w:rsidP="008B721A">
            <w:pPr>
              <w:cnfStyle w:val="000000000000" w:firstRow="0" w:lastRow="0" w:firstColumn="0" w:lastColumn="0" w:oddVBand="0" w:evenVBand="0" w:oddHBand="0" w:evenHBand="0" w:firstRowFirstColumn="0" w:firstRowLastColumn="0" w:lastRowFirstColumn="0" w:lastRowLastColumn="0"/>
              <w:rPr>
                <w:lang w:eastAsia="zh-CN" w:bidi="ar-SA"/>
              </w:rPr>
            </w:pPr>
          </w:p>
        </w:tc>
        <w:tc>
          <w:tcPr>
            <w:tcW w:w="0" w:type="auto"/>
            <w:vMerge/>
          </w:tcPr>
          <w:p w14:paraId="7777946F" w14:textId="77777777" w:rsidR="00F4305F" w:rsidRPr="008B721A" w:rsidRDefault="00F4305F" w:rsidP="008B721A">
            <w:pPr>
              <w:cnfStyle w:val="000000000000" w:firstRow="0" w:lastRow="0" w:firstColumn="0" w:lastColumn="0" w:oddVBand="0" w:evenVBand="0" w:oddHBand="0" w:evenHBand="0" w:firstRowFirstColumn="0" w:firstRowLastColumn="0" w:lastRowFirstColumn="0" w:lastRowLastColumn="0"/>
              <w:rPr>
                <w:lang w:eastAsia="zh-CN" w:bidi="ar-SA"/>
              </w:rPr>
            </w:pPr>
          </w:p>
        </w:tc>
        <w:tc>
          <w:tcPr>
            <w:tcW w:w="0" w:type="auto"/>
            <w:vMerge/>
          </w:tcPr>
          <w:p w14:paraId="41866AA6" w14:textId="77777777" w:rsidR="00F4305F" w:rsidRPr="008B721A" w:rsidRDefault="00F4305F" w:rsidP="008B721A">
            <w:pPr>
              <w:cnfStyle w:val="000000000000" w:firstRow="0" w:lastRow="0" w:firstColumn="0" w:lastColumn="0" w:oddVBand="0" w:evenVBand="0" w:oddHBand="0" w:evenHBand="0" w:firstRowFirstColumn="0" w:firstRowLastColumn="0" w:lastRowFirstColumn="0" w:lastRowLastColumn="0"/>
              <w:rPr>
                <w:lang w:eastAsia="zh-CN" w:bidi="ar-SA"/>
              </w:rPr>
            </w:pPr>
          </w:p>
        </w:tc>
        <w:tc>
          <w:tcPr>
            <w:tcW w:w="0" w:type="auto"/>
            <w:vMerge/>
          </w:tcPr>
          <w:p w14:paraId="5CB633C0" w14:textId="77777777" w:rsidR="00F4305F" w:rsidRPr="008B721A" w:rsidRDefault="00F4305F" w:rsidP="008B721A">
            <w:pPr>
              <w:cnfStyle w:val="000000000000" w:firstRow="0" w:lastRow="0" w:firstColumn="0" w:lastColumn="0" w:oddVBand="0" w:evenVBand="0" w:oddHBand="0" w:evenHBand="0" w:firstRowFirstColumn="0" w:firstRowLastColumn="0" w:lastRowFirstColumn="0" w:lastRowLastColumn="0"/>
              <w:rPr>
                <w:lang w:eastAsia="zh-CN" w:bidi="ar-SA"/>
              </w:rPr>
            </w:pPr>
          </w:p>
        </w:tc>
        <w:tc>
          <w:tcPr>
            <w:tcW w:w="0" w:type="auto"/>
            <w:tcBorders>
              <w:top w:val="single" w:sz="4" w:space="0" w:color="B4C6E7" w:themeColor="accent1" w:themeTint="66"/>
            </w:tcBorders>
          </w:tcPr>
          <w:p w14:paraId="54EC3799" w14:textId="5F4FB196" w:rsidR="00F4305F" w:rsidRPr="00F4305F" w:rsidRDefault="00F4305F" w:rsidP="008B721A">
            <w:pPr>
              <w:cnfStyle w:val="000000000000" w:firstRow="0" w:lastRow="0" w:firstColumn="0" w:lastColumn="0" w:oddVBand="0" w:evenVBand="0" w:oddHBand="0" w:evenHBand="0" w:firstRowFirstColumn="0" w:firstRowLastColumn="0" w:lastRowFirstColumn="0" w:lastRowLastColumn="0"/>
              <w:rPr>
                <w:lang w:eastAsia="zh-CN" w:bidi="ar-SA"/>
              </w:rPr>
            </w:pPr>
            <w:r w:rsidRPr="00F4305F">
              <w:rPr>
                <w:lang w:eastAsia="zh-CN" w:bidi="ar-SA"/>
              </w:rPr>
              <w:t xml:space="preserve">Coût moyen : </w:t>
            </w:r>
            <w:r w:rsidRPr="00D60FC9">
              <w:rPr>
                <w:lang w:eastAsia="zh-CN" w:bidi="ar-SA"/>
              </w:rPr>
              <w:t>5 – 8 MAD/m²</w:t>
            </w:r>
            <w:r w:rsidRPr="00F4305F">
              <w:rPr>
                <w:lang w:eastAsia="zh-CN" w:bidi="ar-SA"/>
              </w:rPr>
              <w:t xml:space="preserve"> (préparation, semences, arrosage initial).</w:t>
            </w:r>
          </w:p>
        </w:tc>
      </w:tr>
      <w:tr w:rsidR="00AB2B5D" w:rsidRPr="008B721A" w14:paraId="640ED28F" w14:textId="77777777" w:rsidTr="008B721A">
        <w:tc>
          <w:tcPr>
            <w:cnfStyle w:val="001000000000" w:firstRow="0" w:lastRow="0" w:firstColumn="1" w:lastColumn="0" w:oddVBand="0" w:evenVBand="0" w:oddHBand="0" w:evenHBand="0" w:firstRowFirstColumn="0" w:firstRowLastColumn="0" w:lastRowFirstColumn="0" w:lastRowLastColumn="0"/>
            <w:tcW w:w="0" w:type="auto"/>
            <w:vMerge w:val="restart"/>
            <w:hideMark/>
          </w:tcPr>
          <w:p w14:paraId="0EA19AB9" w14:textId="77777777" w:rsidR="008B721A" w:rsidRPr="008B721A" w:rsidRDefault="008B721A" w:rsidP="008B721A">
            <w:pPr>
              <w:rPr>
                <w:lang w:eastAsia="zh-CN" w:bidi="ar-SA"/>
              </w:rPr>
            </w:pPr>
            <w:r w:rsidRPr="008B721A">
              <w:rPr>
                <w:lang w:eastAsia="zh-CN" w:bidi="ar-SA"/>
              </w:rPr>
              <w:t>Érosion hydrique et éolienne</w:t>
            </w:r>
          </w:p>
        </w:tc>
        <w:tc>
          <w:tcPr>
            <w:tcW w:w="0" w:type="auto"/>
            <w:hideMark/>
          </w:tcPr>
          <w:p w14:paraId="68B969C5" w14:textId="77777777" w:rsidR="008B721A" w:rsidRPr="008B721A" w:rsidRDefault="008B721A" w:rsidP="008B721A">
            <w:pPr>
              <w:cnfStyle w:val="000000000000" w:firstRow="0" w:lastRow="0" w:firstColumn="0" w:lastColumn="0" w:oddVBand="0" w:evenVBand="0" w:oddHBand="0" w:evenHBand="0" w:firstRowFirstColumn="0" w:firstRowLastColumn="0" w:lastRowFirstColumn="0" w:lastRowLastColumn="0"/>
              <w:rPr>
                <w:lang w:eastAsia="zh-CN" w:bidi="ar-SA"/>
              </w:rPr>
            </w:pPr>
            <w:r w:rsidRPr="008B721A">
              <w:rPr>
                <w:b/>
                <w:bCs/>
                <w:lang w:eastAsia="zh-CN" w:bidi="ar-SA"/>
              </w:rPr>
              <w:t>Éviter</w:t>
            </w:r>
          </w:p>
        </w:tc>
        <w:tc>
          <w:tcPr>
            <w:tcW w:w="0" w:type="auto"/>
            <w:hideMark/>
          </w:tcPr>
          <w:p w14:paraId="627A1AA6" w14:textId="77777777" w:rsidR="008B721A" w:rsidRDefault="008B721A" w:rsidP="008B721A">
            <w:pPr>
              <w:cnfStyle w:val="000000000000" w:firstRow="0" w:lastRow="0" w:firstColumn="0" w:lastColumn="0" w:oddVBand="0" w:evenVBand="0" w:oddHBand="0" w:evenHBand="0" w:firstRowFirstColumn="0" w:firstRowLastColumn="0" w:lastRowFirstColumn="0" w:lastRowLastColumn="0"/>
              <w:rPr>
                <w:lang w:eastAsia="zh-CN" w:bidi="ar-SA"/>
              </w:rPr>
            </w:pPr>
            <w:r w:rsidRPr="008B721A">
              <w:rPr>
                <w:lang w:eastAsia="zh-CN" w:bidi="ar-SA"/>
              </w:rPr>
              <w:t xml:space="preserve">Planifier les terrassements en dehors des périodes de vents forts. </w:t>
            </w:r>
          </w:p>
          <w:p w14:paraId="2C1B9E1B" w14:textId="274D7B26" w:rsidR="008B721A" w:rsidRPr="008B721A" w:rsidRDefault="008B721A" w:rsidP="008B721A">
            <w:pPr>
              <w:cnfStyle w:val="000000000000" w:firstRow="0" w:lastRow="0" w:firstColumn="0" w:lastColumn="0" w:oddVBand="0" w:evenVBand="0" w:oddHBand="0" w:evenHBand="0" w:firstRowFirstColumn="0" w:firstRowLastColumn="0" w:lastRowFirstColumn="0" w:lastRowLastColumn="0"/>
              <w:rPr>
                <w:lang w:eastAsia="zh-CN" w:bidi="ar-SA"/>
              </w:rPr>
            </w:pPr>
            <w:r w:rsidRPr="008B721A">
              <w:rPr>
                <w:lang w:eastAsia="zh-CN" w:bidi="ar-SA"/>
              </w:rPr>
              <w:t>Limiter la mise à nu simultanée de grandes surfaces.</w:t>
            </w:r>
          </w:p>
        </w:tc>
        <w:tc>
          <w:tcPr>
            <w:tcW w:w="0" w:type="auto"/>
            <w:hideMark/>
          </w:tcPr>
          <w:p w14:paraId="3A8D4F18" w14:textId="77777777" w:rsidR="008B721A" w:rsidRPr="008B721A" w:rsidRDefault="008B721A" w:rsidP="008B721A">
            <w:pPr>
              <w:cnfStyle w:val="000000000000" w:firstRow="0" w:lastRow="0" w:firstColumn="0" w:lastColumn="0" w:oddVBand="0" w:evenVBand="0" w:oddHBand="0" w:evenHBand="0" w:firstRowFirstColumn="0" w:firstRowLastColumn="0" w:lastRowFirstColumn="0" w:lastRowLastColumn="0"/>
              <w:rPr>
                <w:lang w:eastAsia="zh-CN" w:bidi="ar-SA"/>
              </w:rPr>
            </w:pPr>
            <w:r w:rsidRPr="008B721A">
              <w:rPr>
                <w:lang w:eastAsia="zh-CN" w:bidi="ar-SA"/>
              </w:rPr>
              <w:t>% de surface nue / surface totale</w:t>
            </w:r>
          </w:p>
        </w:tc>
        <w:tc>
          <w:tcPr>
            <w:tcW w:w="0" w:type="auto"/>
            <w:hideMark/>
          </w:tcPr>
          <w:p w14:paraId="5A202B07" w14:textId="77777777" w:rsidR="008B721A" w:rsidRPr="008B721A" w:rsidRDefault="008B721A" w:rsidP="008B721A">
            <w:pPr>
              <w:cnfStyle w:val="000000000000" w:firstRow="0" w:lastRow="0" w:firstColumn="0" w:lastColumn="0" w:oddVBand="0" w:evenVBand="0" w:oddHBand="0" w:evenHBand="0" w:firstRowFirstColumn="0" w:firstRowLastColumn="0" w:lastRowFirstColumn="0" w:lastRowLastColumn="0"/>
              <w:rPr>
                <w:lang w:eastAsia="zh-CN" w:bidi="ar-SA"/>
              </w:rPr>
            </w:pPr>
            <w:r w:rsidRPr="008B721A">
              <w:rPr>
                <w:lang w:eastAsia="zh-CN" w:bidi="ar-SA"/>
              </w:rPr>
              <w:t>EPC / Sous-traitants</w:t>
            </w:r>
          </w:p>
        </w:tc>
        <w:tc>
          <w:tcPr>
            <w:tcW w:w="0" w:type="auto"/>
            <w:hideMark/>
          </w:tcPr>
          <w:p w14:paraId="1F1F872F" w14:textId="77777777" w:rsidR="008B721A" w:rsidRPr="008B721A" w:rsidRDefault="008B721A" w:rsidP="008B721A">
            <w:pPr>
              <w:cnfStyle w:val="000000000000" w:firstRow="0" w:lastRow="0" w:firstColumn="0" w:lastColumn="0" w:oddVBand="0" w:evenVBand="0" w:oddHBand="0" w:evenHBand="0" w:firstRowFirstColumn="0" w:firstRowLastColumn="0" w:lastRowFirstColumn="0" w:lastRowLastColumn="0"/>
              <w:rPr>
                <w:lang w:eastAsia="zh-CN" w:bidi="ar-SA"/>
              </w:rPr>
            </w:pPr>
            <w:r w:rsidRPr="008B721A">
              <w:rPr>
                <w:lang w:eastAsia="zh-CN" w:bidi="ar-SA"/>
              </w:rPr>
              <w:t>Bureau de contrôle / Consultant mandaté par l’ONDA</w:t>
            </w:r>
          </w:p>
        </w:tc>
        <w:tc>
          <w:tcPr>
            <w:tcW w:w="0" w:type="auto"/>
            <w:hideMark/>
          </w:tcPr>
          <w:p w14:paraId="1791CF2C" w14:textId="77777777" w:rsidR="008B721A" w:rsidRPr="008B721A" w:rsidRDefault="008B721A" w:rsidP="008B721A">
            <w:pPr>
              <w:cnfStyle w:val="000000000000" w:firstRow="0" w:lastRow="0" w:firstColumn="0" w:lastColumn="0" w:oddVBand="0" w:evenVBand="0" w:oddHBand="0" w:evenHBand="0" w:firstRowFirstColumn="0" w:firstRowLastColumn="0" w:lastRowFirstColumn="0" w:lastRowLastColumn="0"/>
              <w:rPr>
                <w:lang w:eastAsia="zh-CN" w:bidi="ar-SA"/>
              </w:rPr>
            </w:pPr>
            <w:r w:rsidRPr="008B721A">
              <w:rPr>
                <w:lang w:eastAsia="zh-CN" w:bidi="ar-SA"/>
              </w:rPr>
              <w:t>ONDA</w:t>
            </w:r>
          </w:p>
        </w:tc>
        <w:tc>
          <w:tcPr>
            <w:tcW w:w="0" w:type="auto"/>
            <w:hideMark/>
          </w:tcPr>
          <w:p w14:paraId="4FC58E32" w14:textId="77777777" w:rsidR="008B721A" w:rsidRPr="008B721A" w:rsidRDefault="008B721A" w:rsidP="008B721A">
            <w:pPr>
              <w:cnfStyle w:val="000000000000" w:firstRow="0" w:lastRow="0" w:firstColumn="0" w:lastColumn="0" w:oddVBand="0" w:evenVBand="0" w:oddHBand="0" w:evenHBand="0" w:firstRowFirstColumn="0" w:firstRowLastColumn="0" w:lastRowFirstColumn="0" w:lastRowLastColumn="0"/>
              <w:rPr>
                <w:lang w:eastAsia="zh-CN" w:bidi="ar-SA"/>
              </w:rPr>
            </w:pPr>
            <w:r w:rsidRPr="008B721A">
              <w:rPr>
                <w:lang w:eastAsia="zh-CN" w:bidi="ar-SA"/>
              </w:rPr>
              <w:t>Avant et pendant terrassement</w:t>
            </w:r>
          </w:p>
        </w:tc>
        <w:tc>
          <w:tcPr>
            <w:tcW w:w="0" w:type="auto"/>
            <w:hideMark/>
          </w:tcPr>
          <w:p w14:paraId="68ECEB61" w14:textId="7342059D" w:rsidR="008B721A" w:rsidRPr="008B721A" w:rsidRDefault="008B721A" w:rsidP="008B721A">
            <w:pPr>
              <w:cnfStyle w:val="000000000000" w:firstRow="0" w:lastRow="0" w:firstColumn="0" w:lastColumn="0" w:oddVBand="0" w:evenVBand="0" w:oddHBand="0" w:evenHBand="0" w:firstRowFirstColumn="0" w:firstRowLastColumn="0" w:lastRowFirstColumn="0" w:lastRowLastColumn="0"/>
              <w:rPr>
                <w:lang w:eastAsia="zh-CN" w:bidi="ar-SA"/>
              </w:rPr>
            </w:pPr>
            <w:r w:rsidRPr="008B721A">
              <w:rPr>
                <w:lang w:eastAsia="zh-CN" w:bidi="ar-SA"/>
              </w:rPr>
              <w:t>Aucun coût spécifique</w:t>
            </w:r>
          </w:p>
        </w:tc>
      </w:tr>
      <w:tr w:rsidR="00F850FA" w:rsidRPr="008B721A" w14:paraId="20EA5E65" w14:textId="77777777" w:rsidTr="008B721A">
        <w:tc>
          <w:tcPr>
            <w:cnfStyle w:val="001000000000" w:firstRow="0" w:lastRow="0" w:firstColumn="1" w:lastColumn="0" w:oddVBand="0" w:evenVBand="0" w:oddHBand="0" w:evenHBand="0" w:firstRowFirstColumn="0" w:firstRowLastColumn="0" w:lastRowFirstColumn="0" w:lastRowLastColumn="0"/>
            <w:tcW w:w="0" w:type="auto"/>
            <w:vMerge/>
            <w:hideMark/>
          </w:tcPr>
          <w:p w14:paraId="27B0AE7D" w14:textId="77777777" w:rsidR="00F850FA" w:rsidRPr="008B721A" w:rsidRDefault="00F850FA" w:rsidP="008B721A">
            <w:pPr>
              <w:rPr>
                <w:lang w:eastAsia="zh-CN" w:bidi="ar-SA"/>
              </w:rPr>
            </w:pPr>
          </w:p>
        </w:tc>
        <w:tc>
          <w:tcPr>
            <w:tcW w:w="0" w:type="auto"/>
            <w:vMerge w:val="restart"/>
            <w:hideMark/>
          </w:tcPr>
          <w:p w14:paraId="202E2D23" w14:textId="77777777" w:rsidR="00F850FA" w:rsidRDefault="00F850FA" w:rsidP="008B721A">
            <w:pPr>
              <w:cnfStyle w:val="000000000000" w:firstRow="0" w:lastRow="0" w:firstColumn="0" w:lastColumn="0" w:oddVBand="0" w:evenVBand="0" w:oddHBand="0" w:evenHBand="0" w:firstRowFirstColumn="0" w:firstRowLastColumn="0" w:lastRowFirstColumn="0" w:lastRowLastColumn="0"/>
              <w:rPr>
                <w:b/>
                <w:bCs/>
                <w:lang w:eastAsia="zh-CN" w:bidi="ar-SA"/>
              </w:rPr>
            </w:pPr>
            <w:r w:rsidRPr="008B721A">
              <w:rPr>
                <w:b/>
                <w:bCs/>
                <w:lang w:eastAsia="zh-CN" w:bidi="ar-SA"/>
              </w:rPr>
              <w:t>Réduire</w:t>
            </w:r>
          </w:p>
          <w:p w14:paraId="77E91030" w14:textId="77777777" w:rsidR="00F850FA" w:rsidRDefault="00F850FA" w:rsidP="008B721A">
            <w:pPr>
              <w:cnfStyle w:val="000000000000" w:firstRow="0" w:lastRow="0" w:firstColumn="0" w:lastColumn="0" w:oddVBand="0" w:evenVBand="0" w:oddHBand="0" w:evenHBand="0" w:firstRowFirstColumn="0" w:firstRowLastColumn="0" w:lastRowFirstColumn="0" w:lastRowLastColumn="0"/>
              <w:rPr>
                <w:lang w:eastAsia="zh-CN" w:bidi="ar-SA"/>
              </w:rPr>
            </w:pPr>
          </w:p>
          <w:p w14:paraId="4022B286" w14:textId="77777777" w:rsidR="00F850FA" w:rsidRPr="008B721A" w:rsidRDefault="00F850FA" w:rsidP="008B721A">
            <w:pPr>
              <w:cnfStyle w:val="000000000000" w:firstRow="0" w:lastRow="0" w:firstColumn="0" w:lastColumn="0" w:oddVBand="0" w:evenVBand="0" w:oddHBand="0" w:evenHBand="0" w:firstRowFirstColumn="0" w:firstRowLastColumn="0" w:lastRowFirstColumn="0" w:lastRowLastColumn="0"/>
              <w:rPr>
                <w:lang w:eastAsia="zh-CN" w:bidi="ar-SA"/>
              </w:rPr>
            </w:pPr>
          </w:p>
        </w:tc>
        <w:tc>
          <w:tcPr>
            <w:tcW w:w="0" w:type="auto"/>
            <w:hideMark/>
          </w:tcPr>
          <w:p w14:paraId="505E915C" w14:textId="77777777" w:rsidR="00F850FA" w:rsidRDefault="00F850FA" w:rsidP="008B721A">
            <w:pPr>
              <w:cnfStyle w:val="000000000000" w:firstRow="0" w:lastRow="0" w:firstColumn="0" w:lastColumn="0" w:oddVBand="0" w:evenVBand="0" w:oddHBand="0" w:evenHBand="0" w:firstRowFirstColumn="0" w:firstRowLastColumn="0" w:lastRowFirstColumn="0" w:lastRowLastColumn="0"/>
              <w:rPr>
                <w:lang w:eastAsia="zh-CN" w:bidi="ar-SA"/>
              </w:rPr>
            </w:pPr>
            <w:r w:rsidRPr="008B721A">
              <w:rPr>
                <w:lang w:eastAsia="zh-CN" w:bidi="ar-SA"/>
              </w:rPr>
              <w:t xml:space="preserve">Arroser régulièrement les zones nues. </w:t>
            </w:r>
          </w:p>
          <w:p w14:paraId="0E27929A" w14:textId="18692F87" w:rsidR="00F850FA" w:rsidRPr="008B721A" w:rsidRDefault="00F850FA" w:rsidP="008B721A">
            <w:pPr>
              <w:cnfStyle w:val="000000000000" w:firstRow="0" w:lastRow="0" w:firstColumn="0" w:lastColumn="0" w:oddVBand="0" w:evenVBand="0" w:oddHBand="0" w:evenHBand="0" w:firstRowFirstColumn="0" w:firstRowLastColumn="0" w:lastRowFirstColumn="0" w:lastRowLastColumn="0"/>
              <w:rPr>
                <w:lang w:eastAsia="zh-CN" w:bidi="ar-SA"/>
              </w:rPr>
            </w:pPr>
          </w:p>
        </w:tc>
        <w:tc>
          <w:tcPr>
            <w:tcW w:w="0" w:type="auto"/>
            <w:vMerge w:val="restart"/>
            <w:hideMark/>
          </w:tcPr>
          <w:p w14:paraId="24A24882" w14:textId="77777777" w:rsidR="00F850FA" w:rsidRDefault="00F850FA" w:rsidP="008B721A">
            <w:pPr>
              <w:cnfStyle w:val="000000000000" w:firstRow="0" w:lastRow="0" w:firstColumn="0" w:lastColumn="0" w:oddVBand="0" w:evenVBand="0" w:oddHBand="0" w:evenHBand="0" w:firstRowFirstColumn="0" w:firstRowLastColumn="0" w:lastRowFirstColumn="0" w:lastRowLastColumn="0"/>
              <w:rPr>
                <w:lang w:eastAsia="zh-CN" w:bidi="ar-SA"/>
              </w:rPr>
            </w:pPr>
            <w:r w:rsidRPr="008B721A">
              <w:rPr>
                <w:lang w:eastAsia="zh-CN" w:bidi="ar-SA"/>
              </w:rPr>
              <w:t>Nombre de zones protégées</w:t>
            </w:r>
          </w:p>
          <w:p w14:paraId="1F2FE235" w14:textId="77777777" w:rsidR="00F850FA" w:rsidRPr="008B721A" w:rsidRDefault="00F850FA" w:rsidP="008B721A">
            <w:pPr>
              <w:cnfStyle w:val="000000000000" w:firstRow="0" w:lastRow="0" w:firstColumn="0" w:lastColumn="0" w:oddVBand="0" w:evenVBand="0" w:oddHBand="0" w:evenHBand="0" w:firstRowFirstColumn="0" w:firstRowLastColumn="0" w:lastRowFirstColumn="0" w:lastRowLastColumn="0"/>
              <w:rPr>
                <w:lang w:eastAsia="zh-CN" w:bidi="ar-SA"/>
              </w:rPr>
            </w:pPr>
          </w:p>
        </w:tc>
        <w:tc>
          <w:tcPr>
            <w:tcW w:w="0" w:type="auto"/>
            <w:vMerge w:val="restart"/>
            <w:hideMark/>
          </w:tcPr>
          <w:p w14:paraId="29FB9B6C" w14:textId="77777777" w:rsidR="00F850FA" w:rsidRDefault="00F850FA" w:rsidP="008B721A">
            <w:pPr>
              <w:cnfStyle w:val="000000000000" w:firstRow="0" w:lastRow="0" w:firstColumn="0" w:lastColumn="0" w:oddVBand="0" w:evenVBand="0" w:oddHBand="0" w:evenHBand="0" w:firstRowFirstColumn="0" w:firstRowLastColumn="0" w:lastRowFirstColumn="0" w:lastRowLastColumn="0"/>
              <w:rPr>
                <w:lang w:eastAsia="zh-CN" w:bidi="ar-SA"/>
              </w:rPr>
            </w:pPr>
            <w:r w:rsidRPr="008B721A">
              <w:rPr>
                <w:lang w:eastAsia="zh-CN" w:bidi="ar-SA"/>
              </w:rPr>
              <w:t>EPC / Sous-traitants</w:t>
            </w:r>
          </w:p>
          <w:p w14:paraId="0B05D0F1" w14:textId="77777777" w:rsidR="00F850FA" w:rsidRPr="008B721A" w:rsidRDefault="00F850FA" w:rsidP="008B721A">
            <w:pPr>
              <w:cnfStyle w:val="000000000000" w:firstRow="0" w:lastRow="0" w:firstColumn="0" w:lastColumn="0" w:oddVBand="0" w:evenVBand="0" w:oddHBand="0" w:evenHBand="0" w:firstRowFirstColumn="0" w:firstRowLastColumn="0" w:lastRowFirstColumn="0" w:lastRowLastColumn="0"/>
              <w:rPr>
                <w:lang w:eastAsia="zh-CN" w:bidi="ar-SA"/>
              </w:rPr>
            </w:pPr>
          </w:p>
        </w:tc>
        <w:tc>
          <w:tcPr>
            <w:tcW w:w="0" w:type="auto"/>
            <w:vMerge w:val="restart"/>
            <w:hideMark/>
          </w:tcPr>
          <w:p w14:paraId="792D5E2D" w14:textId="6565F436" w:rsidR="00F850FA" w:rsidRPr="008B721A" w:rsidRDefault="00F850FA" w:rsidP="008B721A">
            <w:pPr>
              <w:cnfStyle w:val="000000000000" w:firstRow="0" w:lastRow="0" w:firstColumn="0" w:lastColumn="0" w:oddVBand="0" w:evenVBand="0" w:oddHBand="0" w:evenHBand="0" w:firstRowFirstColumn="0" w:firstRowLastColumn="0" w:lastRowFirstColumn="0" w:lastRowLastColumn="0"/>
              <w:rPr>
                <w:lang w:eastAsia="zh-CN" w:bidi="ar-SA"/>
              </w:rPr>
            </w:pPr>
            <w:r w:rsidRPr="008B721A">
              <w:rPr>
                <w:lang w:eastAsia="zh-CN" w:bidi="ar-SA"/>
              </w:rPr>
              <w:t>Bureau de contrôle / Consultant mandaté par l’ONDA</w:t>
            </w:r>
          </w:p>
        </w:tc>
        <w:tc>
          <w:tcPr>
            <w:tcW w:w="0" w:type="auto"/>
            <w:vMerge w:val="restart"/>
            <w:hideMark/>
          </w:tcPr>
          <w:p w14:paraId="70281713" w14:textId="77777777" w:rsidR="00F850FA" w:rsidRDefault="00F850FA" w:rsidP="008B721A">
            <w:pPr>
              <w:cnfStyle w:val="000000000000" w:firstRow="0" w:lastRow="0" w:firstColumn="0" w:lastColumn="0" w:oddVBand="0" w:evenVBand="0" w:oddHBand="0" w:evenHBand="0" w:firstRowFirstColumn="0" w:firstRowLastColumn="0" w:lastRowFirstColumn="0" w:lastRowLastColumn="0"/>
              <w:rPr>
                <w:lang w:eastAsia="zh-CN" w:bidi="ar-SA"/>
              </w:rPr>
            </w:pPr>
            <w:r w:rsidRPr="008B721A">
              <w:rPr>
                <w:lang w:eastAsia="zh-CN" w:bidi="ar-SA"/>
              </w:rPr>
              <w:t>ONDA</w:t>
            </w:r>
          </w:p>
          <w:p w14:paraId="5C82E021" w14:textId="77777777" w:rsidR="00F850FA" w:rsidRPr="008B721A" w:rsidRDefault="00F850FA" w:rsidP="008B721A">
            <w:pPr>
              <w:cnfStyle w:val="000000000000" w:firstRow="0" w:lastRow="0" w:firstColumn="0" w:lastColumn="0" w:oddVBand="0" w:evenVBand="0" w:oddHBand="0" w:evenHBand="0" w:firstRowFirstColumn="0" w:firstRowLastColumn="0" w:lastRowFirstColumn="0" w:lastRowLastColumn="0"/>
              <w:rPr>
                <w:lang w:eastAsia="zh-CN" w:bidi="ar-SA"/>
              </w:rPr>
            </w:pPr>
          </w:p>
        </w:tc>
        <w:tc>
          <w:tcPr>
            <w:tcW w:w="0" w:type="auto"/>
            <w:vMerge w:val="restart"/>
            <w:hideMark/>
          </w:tcPr>
          <w:p w14:paraId="23DD2E87" w14:textId="77777777" w:rsidR="00F850FA" w:rsidRPr="008B721A" w:rsidRDefault="00F850FA" w:rsidP="008B721A">
            <w:pPr>
              <w:cnfStyle w:val="000000000000" w:firstRow="0" w:lastRow="0" w:firstColumn="0" w:lastColumn="0" w:oddVBand="0" w:evenVBand="0" w:oddHBand="0" w:evenHBand="0" w:firstRowFirstColumn="0" w:firstRowLastColumn="0" w:lastRowFirstColumn="0" w:lastRowLastColumn="0"/>
              <w:rPr>
                <w:lang w:eastAsia="zh-CN" w:bidi="ar-SA"/>
              </w:rPr>
            </w:pPr>
            <w:r w:rsidRPr="008B721A">
              <w:rPr>
                <w:lang w:eastAsia="zh-CN" w:bidi="ar-SA"/>
              </w:rPr>
              <w:t>Pendant terrassement</w:t>
            </w:r>
          </w:p>
        </w:tc>
        <w:tc>
          <w:tcPr>
            <w:tcW w:w="0" w:type="auto"/>
            <w:hideMark/>
          </w:tcPr>
          <w:p w14:paraId="774EB107" w14:textId="13569FB9" w:rsidR="00F850FA" w:rsidRPr="008B721A" w:rsidRDefault="00F850FA" w:rsidP="008B721A">
            <w:pPr>
              <w:cnfStyle w:val="000000000000" w:firstRow="0" w:lastRow="0" w:firstColumn="0" w:lastColumn="0" w:oddVBand="0" w:evenVBand="0" w:oddHBand="0" w:evenHBand="0" w:firstRowFirstColumn="0" w:firstRowLastColumn="0" w:lastRowFirstColumn="0" w:lastRowLastColumn="0"/>
              <w:rPr>
                <w:lang w:eastAsia="zh-CN" w:bidi="ar-SA"/>
              </w:rPr>
            </w:pPr>
            <w:r w:rsidRPr="00F850FA">
              <w:rPr>
                <w:lang w:eastAsia="zh-CN" w:bidi="ar-SA"/>
              </w:rPr>
              <w:t>≈ 45 000 – 55 000 MAD/an</w:t>
            </w:r>
            <w:r>
              <w:rPr>
                <w:lang w:eastAsia="zh-CN" w:bidi="ar-SA"/>
              </w:rPr>
              <w:t xml:space="preserve"> - </w:t>
            </w:r>
            <w:r w:rsidRPr="00F850FA">
              <w:rPr>
                <w:lang w:eastAsia="zh-CN" w:bidi="ar-SA"/>
              </w:rPr>
              <w:t>Coût moyen : 200–300 MAD/heure pour un camion-citerne de 10–15 m³, 2 passages/jour × 15 jours/mois × 6 mois/an.</w:t>
            </w:r>
          </w:p>
        </w:tc>
      </w:tr>
      <w:tr w:rsidR="00F850FA" w:rsidRPr="008B721A" w14:paraId="5F7FF264" w14:textId="77777777" w:rsidTr="008B721A">
        <w:tc>
          <w:tcPr>
            <w:cnfStyle w:val="001000000000" w:firstRow="0" w:lastRow="0" w:firstColumn="1" w:lastColumn="0" w:oddVBand="0" w:evenVBand="0" w:oddHBand="0" w:evenHBand="0" w:firstRowFirstColumn="0" w:firstRowLastColumn="0" w:lastRowFirstColumn="0" w:lastRowLastColumn="0"/>
            <w:tcW w:w="0" w:type="auto"/>
            <w:vMerge/>
          </w:tcPr>
          <w:p w14:paraId="59738BC6" w14:textId="77777777" w:rsidR="00F850FA" w:rsidRPr="008B721A" w:rsidRDefault="00F850FA" w:rsidP="008B721A">
            <w:pPr>
              <w:rPr>
                <w:lang w:eastAsia="zh-CN" w:bidi="ar-SA"/>
              </w:rPr>
            </w:pPr>
          </w:p>
        </w:tc>
        <w:tc>
          <w:tcPr>
            <w:tcW w:w="0" w:type="auto"/>
            <w:vMerge/>
          </w:tcPr>
          <w:p w14:paraId="40C60931" w14:textId="77777777" w:rsidR="00F850FA" w:rsidRPr="008B721A" w:rsidRDefault="00F850FA" w:rsidP="008B721A">
            <w:pPr>
              <w:cnfStyle w:val="000000000000" w:firstRow="0" w:lastRow="0" w:firstColumn="0" w:lastColumn="0" w:oddVBand="0" w:evenVBand="0" w:oddHBand="0" w:evenHBand="0" w:firstRowFirstColumn="0" w:firstRowLastColumn="0" w:lastRowFirstColumn="0" w:lastRowLastColumn="0"/>
              <w:rPr>
                <w:b/>
                <w:bCs/>
                <w:lang w:eastAsia="zh-CN" w:bidi="ar-SA"/>
              </w:rPr>
            </w:pPr>
          </w:p>
        </w:tc>
        <w:tc>
          <w:tcPr>
            <w:tcW w:w="0" w:type="auto"/>
          </w:tcPr>
          <w:p w14:paraId="085B639D" w14:textId="36FCE0CE" w:rsidR="00F850FA" w:rsidRPr="008B721A" w:rsidRDefault="00F850FA" w:rsidP="008B721A">
            <w:pPr>
              <w:cnfStyle w:val="000000000000" w:firstRow="0" w:lastRow="0" w:firstColumn="0" w:lastColumn="0" w:oddVBand="0" w:evenVBand="0" w:oddHBand="0" w:evenHBand="0" w:firstRowFirstColumn="0" w:firstRowLastColumn="0" w:lastRowFirstColumn="0" w:lastRowLastColumn="0"/>
              <w:rPr>
                <w:lang w:eastAsia="zh-CN" w:bidi="ar-SA"/>
              </w:rPr>
            </w:pPr>
            <w:r w:rsidRPr="008B721A">
              <w:rPr>
                <w:lang w:eastAsia="zh-CN" w:bidi="ar-SA"/>
              </w:rPr>
              <w:t xml:space="preserve">Recourir à des filets brise-vent ou bâches sur talus. </w:t>
            </w:r>
          </w:p>
        </w:tc>
        <w:tc>
          <w:tcPr>
            <w:tcW w:w="0" w:type="auto"/>
            <w:vMerge/>
          </w:tcPr>
          <w:p w14:paraId="3509241A" w14:textId="77777777" w:rsidR="00F850FA" w:rsidRPr="008B721A" w:rsidRDefault="00F850FA" w:rsidP="008B721A">
            <w:pPr>
              <w:cnfStyle w:val="000000000000" w:firstRow="0" w:lastRow="0" w:firstColumn="0" w:lastColumn="0" w:oddVBand="0" w:evenVBand="0" w:oddHBand="0" w:evenHBand="0" w:firstRowFirstColumn="0" w:firstRowLastColumn="0" w:lastRowFirstColumn="0" w:lastRowLastColumn="0"/>
              <w:rPr>
                <w:lang w:eastAsia="zh-CN" w:bidi="ar-SA"/>
              </w:rPr>
            </w:pPr>
          </w:p>
        </w:tc>
        <w:tc>
          <w:tcPr>
            <w:tcW w:w="0" w:type="auto"/>
            <w:vMerge/>
          </w:tcPr>
          <w:p w14:paraId="3ABAB769" w14:textId="77777777" w:rsidR="00F850FA" w:rsidRPr="008B721A" w:rsidRDefault="00F850FA" w:rsidP="008B721A">
            <w:pPr>
              <w:cnfStyle w:val="000000000000" w:firstRow="0" w:lastRow="0" w:firstColumn="0" w:lastColumn="0" w:oddVBand="0" w:evenVBand="0" w:oddHBand="0" w:evenHBand="0" w:firstRowFirstColumn="0" w:firstRowLastColumn="0" w:lastRowFirstColumn="0" w:lastRowLastColumn="0"/>
              <w:rPr>
                <w:lang w:eastAsia="zh-CN" w:bidi="ar-SA"/>
              </w:rPr>
            </w:pPr>
          </w:p>
        </w:tc>
        <w:tc>
          <w:tcPr>
            <w:tcW w:w="0" w:type="auto"/>
            <w:vMerge/>
          </w:tcPr>
          <w:p w14:paraId="281B194D" w14:textId="77777777" w:rsidR="00F850FA" w:rsidRPr="008B721A" w:rsidRDefault="00F850FA" w:rsidP="008B721A">
            <w:pPr>
              <w:cnfStyle w:val="000000000000" w:firstRow="0" w:lastRow="0" w:firstColumn="0" w:lastColumn="0" w:oddVBand="0" w:evenVBand="0" w:oddHBand="0" w:evenHBand="0" w:firstRowFirstColumn="0" w:firstRowLastColumn="0" w:lastRowFirstColumn="0" w:lastRowLastColumn="0"/>
              <w:rPr>
                <w:lang w:eastAsia="zh-CN" w:bidi="ar-SA"/>
              </w:rPr>
            </w:pPr>
          </w:p>
        </w:tc>
        <w:tc>
          <w:tcPr>
            <w:tcW w:w="0" w:type="auto"/>
            <w:vMerge/>
          </w:tcPr>
          <w:p w14:paraId="32A676DD" w14:textId="77777777" w:rsidR="00F850FA" w:rsidRPr="008B721A" w:rsidRDefault="00F850FA" w:rsidP="008B721A">
            <w:pPr>
              <w:cnfStyle w:val="000000000000" w:firstRow="0" w:lastRow="0" w:firstColumn="0" w:lastColumn="0" w:oddVBand="0" w:evenVBand="0" w:oddHBand="0" w:evenHBand="0" w:firstRowFirstColumn="0" w:firstRowLastColumn="0" w:lastRowFirstColumn="0" w:lastRowLastColumn="0"/>
              <w:rPr>
                <w:lang w:eastAsia="zh-CN" w:bidi="ar-SA"/>
              </w:rPr>
            </w:pPr>
          </w:p>
        </w:tc>
        <w:tc>
          <w:tcPr>
            <w:tcW w:w="0" w:type="auto"/>
            <w:vMerge/>
          </w:tcPr>
          <w:p w14:paraId="372AD899" w14:textId="77777777" w:rsidR="00F850FA" w:rsidRPr="008B721A" w:rsidRDefault="00F850FA" w:rsidP="008B721A">
            <w:pPr>
              <w:cnfStyle w:val="000000000000" w:firstRow="0" w:lastRow="0" w:firstColumn="0" w:lastColumn="0" w:oddVBand="0" w:evenVBand="0" w:oddHBand="0" w:evenHBand="0" w:firstRowFirstColumn="0" w:firstRowLastColumn="0" w:lastRowFirstColumn="0" w:lastRowLastColumn="0"/>
              <w:rPr>
                <w:lang w:eastAsia="zh-CN" w:bidi="ar-SA"/>
              </w:rPr>
            </w:pPr>
          </w:p>
        </w:tc>
        <w:tc>
          <w:tcPr>
            <w:tcW w:w="0" w:type="auto"/>
          </w:tcPr>
          <w:p w14:paraId="01C43709" w14:textId="157B6F64" w:rsidR="00F850FA" w:rsidRPr="008B721A" w:rsidRDefault="00B64AC2" w:rsidP="008B721A">
            <w:pPr>
              <w:cnfStyle w:val="000000000000" w:firstRow="0" w:lastRow="0" w:firstColumn="0" w:lastColumn="0" w:oddVBand="0" w:evenVBand="0" w:oddHBand="0" w:evenHBand="0" w:firstRowFirstColumn="0" w:firstRowLastColumn="0" w:lastRowFirstColumn="0" w:lastRowLastColumn="0"/>
              <w:rPr>
                <w:lang w:eastAsia="zh-CN" w:bidi="ar-SA"/>
              </w:rPr>
            </w:pPr>
            <w:r w:rsidRPr="00B64AC2">
              <w:rPr>
                <w:lang w:eastAsia="zh-CN" w:bidi="ar-SA"/>
              </w:rPr>
              <w:t>Prix moyen : 40–60 MAD/ml pour le filet + piquetage.</w:t>
            </w:r>
          </w:p>
        </w:tc>
      </w:tr>
      <w:tr w:rsidR="00F850FA" w:rsidRPr="008B721A" w14:paraId="175C4358" w14:textId="77777777" w:rsidTr="008B721A">
        <w:tc>
          <w:tcPr>
            <w:cnfStyle w:val="001000000000" w:firstRow="0" w:lastRow="0" w:firstColumn="1" w:lastColumn="0" w:oddVBand="0" w:evenVBand="0" w:oddHBand="0" w:evenHBand="0" w:firstRowFirstColumn="0" w:firstRowLastColumn="0" w:lastRowFirstColumn="0" w:lastRowLastColumn="0"/>
            <w:tcW w:w="0" w:type="auto"/>
            <w:vMerge/>
          </w:tcPr>
          <w:p w14:paraId="2E9F5423" w14:textId="77777777" w:rsidR="00F850FA" w:rsidRPr="008B721A" w:rsidRDefault="00F850FA" w:rsidP="008B721A">
            <w:pPr>
              <w:rPr>
                <w:lang w:eastAsia="zh-CN" w:bidi="ar-SA"/>
              </w:rPr>
            </w:pPr>
          </w:p>
        </w:tc>
        <w:tc>
          <w:tcPr>
            <w:tcW w:w="0" w:type="auto"/>
            <w:vMerge/>
          </w:tcPr>
          <w:p w14:paraId="316B9284" w14:textId="77777777" w:rsidR="00F850FA" w:rsidRPr="008B721A" w:rsidRDefault="00F850FA" w:rsidP="008B721A">
            <w:pPr>
              <w:cnfStyle w:val="000000000000" w:firstRow="0" w:lastRow="0" w:firstColumn="0" w:lastColumn="0" w:oddVBand="0" w:evenVBand="0" w:oddHBand="0" w:evenHBand="0" w:firstRowFirstColumn="0" w:firstRowLastColumn="0" w:lastRowFirstColumn="0" w:lastRowLastColumn="0"/>
              <w:rPr>
                <w:b/>
                <w:bCs/>
                <w:lang w:eastAsia="zh-CN" w:bidi="ar-SA"/>
              </w:rPr>
            </w:pPr>
          </w:p>
        </w:tc>
        <w:tc>
          <w:tcPr>
            <w:tcW w:w="0" w:type="auto"/>
          </w:tcPr>
          <w:p w14:paraId="06E09697" w14:textId="165104D2" w:rsidR="00F850FA" w:rsidRPr="008B721A" w:rsidRDefault="00F850FA" w:rsidP="008B721A">
            <w:pPr>
              <w:cnfStyle w:val="000000000000" w:firstRow="0" w:lastRow="0" w:firstColumn="0" w:lastColumn="0" w:oddVBand="0" w:evenVBand="0" w:oddHBand="0" w:evenHBand="0" w:firstRowFirstColumn="0" w:firstRowLastColumn="0" w:lastRowFirstColumn="0" w:lastRowLastColumn="0"/>
              <w:rPr>
                <w:lang w:eastAsia="zh-CN" w:bidi="ar-SA"/>
              </w:rPr>
            </w:pPr>
            <w:r w:rsidRPr="008B721A">
              <w:rPr>
                <w:lang w:eastAsia="zh-CN" w:bidi="ar-SA"/>
              </w:rPr>
              <w:t>Creuser de petites rigoles pour ralentir l’écoulement pluvial.</w:t>
            </w:r>
          </w:p>
        </w:tc>
        <w:tc>
          <w:tcPr>
            <w:tcW w:w="0" w:type="auto"/>
            <w:vMerge/>
          </w:tcPr>
          <w:p w14:paraId="70FDE104" w14:textId="77777777" w:rsidR="00F850FA" w:rsidRPr="008B721A" w:rsidRDefault="00F850FA" w:rsidP="008B721A">
            <w:pPr>
              <w:cnfStyle w:val="000000000000" w:firstRow="0" w:lastRow="0" w:firstColumn="0" w:lastColumn="0" w:oddVBand="0" w:evenVBand="0" w:oddHBand="0" w:evenHBand="0" w:firstRowFirstColumn="0" w:firstRowLastColumn="0" w:lastRowFirstColumn="0" w:lastRowLastColumn="0"/>
              <w:rPr>
                <w:lang w:eastAsia="zh-CN" w:bidi="ar-SA"/>
              </w:rPr>
            </w:pPr>
          </w:p>
        </w:tc>
        <w:tc>
          <w:tcPr>
            <w:tcW w:w="0" w:type="auto"/>
            <w:vMerge/>
          </w:tcPr>
          <w:p w14:paraId="56AE3F34" w14:textId="77777777" w:rsidR="00F850FA" w:rsidRPr="008B721A" w:rsidRDefault="00F850FA" w:rsidP="008B721A">
            <w:pPr>
              <w:cnfStyle w:val="000000000000" w:firstRow="0" w:lastRow="0" w:firstColumn="0" w:lastColumn="0" w:oddVBand="0" w:evenVBand="0" w:oddHBand="0" w:evenHBand="0" w:firstRowFirstColumn="0" w:firstRowLastColumn="0" w:lastRowFirstColumn="0" w:lastRowLastColumn="0"/>
              <w:rPr>
                <w:lang w:eastAsia="zh-CN" w:bidi="ar-SA"/>
              </w:rPr>
            </w:pPr>
          </w:p>
        </w:tc>
        <w:tc>
          <w:tcPr>
            <w:tcW w:w="0" w:type="auto"/>
            <w:vMerge/>
          </w:tcPr>
          <w:p w14:paraId="75BB8554" w14:textId="77777777" w:rsidR="00F850FA" w:rsidRPr="008B721A" w:rsidRDefault="00F850FA" w:rsidP="008B721A">
            <w:pPr>
              <w:cnfStyle w:val="000000000000" w:firstRow="0" w:lastRow="0" w:firstColumn="0" w:lastColumn="0" w:oddVBand="0" w:evenVBand="0" w:oddHBand="0" w:evenHBand="0" w:firstRowFirstColumn="0" w:firstRowLastColumn="0" w:lastRowFirstColumn="0" w:lastRowLastColumn="0"/>
              <w:rPr>
                <w:lang w:eastAsia="zh-CN" w:bidi="ar-SA"/>
              </w:rPr>
            </w:pPr>
          </w:p>
        </w:tc>
        <w:tc>
          <w:tcPr>
            <w:tcW w:w="0" w:type="auto"/>
            <w:vMerge/>
          </w:tcPr>
          <w:p w14:paraId="35F6E6BF" w14:textId="77777777" w:rsidR="00F850FA" w:rsidRPr="008B721A" w:rsidRDefault="00F850FA" w:rsidP="008B721A">
            <w:pPr>
              <w:cnfStyle w:val="000000000000" w:firstRow="0" w:lastRow="0" w:firstColumn="0" w:lastColumn="0" w:oddVBand="0" w:evenVBand="0" w:oddHBand="0" w:evenHBand="0" w:firstRowFirstColumn="0" w:firstRowLastColumn="0" w:lastRowFirstColumn="0" w:lastRowLastColumn="0"/>
              <w:rPr>
                <w:lang w:eastAsia="zh-CN" w:bidi="ar-SA"/>
              </w:rPr>
            </w:pPr>
          </w:p>
        </w:tc>
        <w:tc>
          <w:tcPr>
            <w:tcW w:w="0" w:type="auto"/>
            <w:vMerge/>
          </w:tcPr>
          <w:p w14:paraId="5BFEF158" w14:textId="77777777" w:rsidR="00F850FA" w:rsidRPr="008B721A" w:rsidRDefault="00F850FA" w:rsidP="008B721A">
            <w:pPr>
              <w:cnfStyle w:val="000000000000" w:firstRow="0" w:lastRow="0" w:firstColumn="0" w:lastColumn="0" w:oddVBand="0" w:evenVBand="0" w:oddHBand="0" w:evenHBand="0" w:firstRowFirstColumn="0" w:firstRowLastColumn="0" w:lastRowFirstColumn="0" w:lastRowLastColumn="0"/>
              <w:rPr>
                <w:lang w:eastAsia="zh-CN" w:bidi="ar-SA"/>
              </w:rPr>
            </w:pPr>
          </w:p>
        </w:tc>
        <w:tc>
          <w:tcPr>
            <w:tcW w:w="0" w:type="auto"/>
          </w:tcPr>
          <w:p w14:paraId="2D988810" w14:textId="77777777" w:rsidR="00AD2EF1" w:rsidRPr="00AD2EF1" w:rsidRDefault="00AD2EF1" w:rsidP="008B721A">
            <w:pPr>
              <w:cnfStyle w:val="000000000000" w:firstRow="0" w:lastRow="0" w:firstColumn="0" w:lastColumn="0" w:oddVBand="0" w:evenVBand="0" w:oddHBand="0" w:evenHBand="0" w:firstRowFirstColumn="0" w:firstRowLastColumn="0" w:lastRowFirstColumn="0" w:lastRowLastColumn="0"/>
              <w:rPr>
                <w:lang w:eastAsia="zh-CN" w:bidi="ar-SA"/>
              </w:rPr>
            </w:pPr>
            <w:r w:rsidRPr="00AD2EF1">
              <w:rPr>
                <w:lang w:eastAsia="zh-CN" w:bidi="ar-SA"/>
              </w:rPr>
              <w:t xml:space="preserve">Terrassement manuel : </w:t>
            </w:r>
            <w:r w:rsidRPr="00D60FC9">
              <w:rPr>
                <w:lang w:eastAsia="zh-CN" w:bidi="ar-SA"/>
              </w:rPr>
              <w:t>20–25 MAD/ml</w:t>
            </w:r>
            <w:r w:rsidRPr="00AD2EF1">
              <w:rPr>
                <w:lang w:eastAsia="zh-CN" w:bidi="ar-SA"/>
              </w:rPr>
              <w:t xml:space="preserve"> ;</w:t>
            </w:r>
          </w:p>
          <w:p w14:paraId="5E7DB381" w14:textId="26F55A5E" w:rsidR="00F850FA" w:rsidRPr="008B721A" w:rsidRDefault="00AD2EF1" w:rsidP="008B721A">
            <w:pPr>
              <w:cnfStyle w:val="000000000000" w:firstRow="0" w:lastRow="0" w:firstColumn="0" w:lastColumn="0" w:oddVBand="0" w:evenVBand="0" w:oddHBand="0" w:evenHBand="0" w:firstRowFirstColumn="0" w:firstRowLastColumn="0" w:lastRowFirstColumn="0" w:lastRowLastColumn="0"/>
              <w:rPr>
                <w:lang w:eastAsia="zh-CN" w:bidi="ar-SA"/>
              </w:rPr>
            </w:pPr>
            <w:r w:rsidRPr="00AD2EF1">
              <w:rPr>
                <w:lang w:eastAsia="zh-CN" w:bidi="ar-SA"/>
              </w:rPr>
              <w:t xml:space="preserve">Finition et compactage : </w:t>
            </w:r>
            <w:r w:rsidRPr="00D60FC9">
              <w:rPr>
                <w:lang w:eastAsia="zh-CN" w:bidi="ar-SA"/>
              </w:rPr>
              <w:t>5–10 MAD/ml</w:t>
            </w:r>
            <w:r w:rsidRPr="00AD2EF1">
              <w:rPr>
                <w:lang w:eastAsia="zh-CN" w:bidi="ar-SA"/>
              </w:rPr>
              <w:t>.</w:t>
            </w:r>
          </w:p>
        </w:tc>
      </w:tr>
      <w:tr w:rsidR="00AB2B5D" w:rsidRPr="008B721A" w14:paraId="44AB81C6" w14:textId="77777777" w:rsidTr="008B721A">
        <w:tc>
          <w:tcPr>
            <w:cnfStyle w:val="001000000000" w:firstRow="0" w:lastRow="0" w:firstColumn="1" w:lastColumn="0" w:oddVBand="0" w:evenVBand="0" w:oddHBand="0" w:evenHBand="0" w:firstRowFirstColumn="0" w:firstRowLastColumn="0" w:lastRowFirstColumn="0" w:lastRowLastColumn="0"/>
            <w:tcW w:w="0" w:type="auto"/>
            <w:vMerge/>
            <w:hideMark/>
          </w:tcPr>
          <w:p w14:paraId="5A33FE1D" w14:textId="77777777" w:rsidR="008B721A" w:rsidRPr="008B721A" w:rsidRDefault="008B721A" w:rsidP="008B721A">
            <w:pPr>
              <w:rPr>
                <w:lang w:eastAsia="zh-CN" w:bidi="ar-SA"/>
              </w:rPr>
            </w:pPr>
          </w:p>
        </w:tc>
        <w:tc>
          <w:tcPr>
            <w:tcW w:w="0" w:type="auto"/>
            <w:hideMark/>
          </w:tcPr>
          <w:p w14:paraId="17A88BEF" w14:textId="77777777" w:rsidR="008B721A" w:rsidRPr="008B721A" w:rsidRDefault="008B721A" w:rsidP="008B721A">
            <w:pPr>
              <w:cnfStyle w:val="000000000000" w:firstRow="0" w:lastRow="0" w:firstColumn="0" w:lastColumn="0" w:oddVBand="0" w:evenVBand="0" w:oddHBand="0" w:evenHBand="0" w:firstRowFirstColumn="0" w:firstRowLastColumn="0" w:lastRowFirstColumn="0" w:lastRowLastColumn="0"/>
              <w:rPr>
                <w:lang w:eastAsia="zh-CN" w:bidi="ar-SA"/>
              </w:rPr>
            </w:pPr>
            <w:r w:rsidRPr="008B721A">
              <w:rPr>
                <w:b/>
                <w:bCs/>
                <w:lang w:eastAsia="zh-CN" w:bidi="ar-SA"/>
              </w:rPr>
              <w:t>Atténuer</w:t>
            </w:r>
          </w:p>
        </w:tc>
        <w:tc>
          <w:tcPr>
            <w:tcW w:w="0" w:type="auto"/>
            <w:hideMark/>
          </w:tcPr>
          <w:p w14:paraId="5F1CF699" w14:textId="77777777" w:rsidR="008B721A" w:rsidRDefault="008B721A" w:rsidP="008B721A">
            <w:pPr>
              <w:cnfStyle w:val="000000000000" w:firstRow="0" w:lastRow="0" w:firstColumn="0" w:lastColumn="0" w:oddVBand="0" w:evenVBand="0" w:oddHBand="0" w:evenHBand="0" w:firstRowFirstColumn="0" w:firstRowLastColumn="0" w:lastRowFirstColumn="0" w:lastRowLastColumn="0"/>
              <w:rPr>
                <w:lang w:eastAsia="zh-CN" w:bidi="ar-SA"/>
              </w:rPr>
            </w:pPr>
            <w:r w:rsidRPr="008B721A">
              <w:rPr>
                <w:lang w:eastAsia="zh-CN" w:bidi="ar-SA"/>
              </w:rPr>
              <w:t xml:space="preserve">Semer rapidement un couvert herbacé temporaire après terrassement. </w:t>
            </w:r>
          </w:p>
          <w:p w14:paraId="380D0ACB" w14:textId="05C48488" w:rsidR="008B721A" w:rsidRPr="008B721A" w:rsidRDefault="008B721A" w:rsidP="008B721A">
            <w:pPr>
              <w:cnfStyle w:val="000000000000" w:firstRow="0" w:lastRow="0" w:firstColumn="0" w:lastColumn="0" w:oddVBand="0" w:evenVBand="0" w:oddHBand="0" w:evenHBand="0" w:firstRowFirstColumn="0" w:firstRowLastColumn="0" w:lastRowFirstColumn="0" w:lastRowLastColumn="0"/>
              <w:rPr>
                <w:lang w:eastAsia="zh-CN" w:bidi="ar-SA"/>
              </w:rPr>
            </w:pPr>
            <w:r w:rsidRPr="008B721A">
              <w:rPr>
                <w:lang w:eastAsia="zh-CN" w:bidi="ar-SA"/>
              </w:rPr>
              <w:t>Appliquer un paillage léger (copeaux, fibres végétales).</w:t>
            </w:r>
          </w:p>
        </w:tc>
        <w:tc>
          <w:tcPr>
            <w:tcW w:w="0" w:type="auto"/>
            <w:hideMark/>
          </w:tcPr>
          <w:p w14:paraId="6763E5B6" w14:textId="77777777" w:rsidR="008B721A" w:rsidRPr="008B721A" w:rsidRDefault="008B721A" w:rsidP="008B721A">
            <w:pPr>
              <w:cnfStyle w:val="000000000000" w:firstRow="0" w:lastRow="0" w:firstColumn="0" w:lastColumn="0" w:oddVBand="0" w:evenVBand="0" w:oddHBand="0" w:evenHBand="0" w:firstRowFirstColumn="0" w:firstRowLastColumn="0" w:lastRowFirstColumn="0" w:lastRowLastColumn="0"/>
              <w:rPr>
                <w:lang w:eastAsia="zh-CN" w:bidi="ar-SA"/>
              </w:rPr>
            </w:pPr>
            <w:r w:rsidRPr="008B721A">
              <w:rPr>
                <w:lang w:eastAsia="zh-CN" w:bidi="ar-SA"/>
              </w:rPr>
              <w:t>% de couverture végétale</w:t>
            </w:r>
          </w:p>
        </w:tc>
        <w:tc>
          <w:tcPr>
            <w:tcW w:w="0" w:type="auto"/>
            <w:hideMark/>
          </w:tcPr>
          <w:p w14:paraId="7E705A65" w14:textId="77777777" w:rsidR="008B721A" w:rsidRPr="008B721A" w:rsidRDefault="008B721A" w:rsidP="008B721A">
            <w:pPr>
              <w:cnfStyle w:val="000000000000" w:firstRow="0" w:lastRow="0" w:firstColumn="0" w:lastColumn="0" w:oddVBand="0" w:evenVBand="0" w:oddHBand="0" w:evenHBand="0" w:firstRowFirstColumn="0" w:firstRowLastColumn="0" w:lastRowFirstColumn="0" w:lastRowLastColumn="0"/>
              <w:rPr>
                <w:lang w:eastAsia="zh-CN" w:bidi="ar-SA"/>
              </w:rPr>
            </w:pPr>
            <w:r w:rsidRPr="008B721A">
              <w:rPr>
                <w:lang w:eastAsia="zh-CN" w:bidi="ar-SA"/>
              </w:rPr>
              <w:t>EPC / Sous-traitants</w:t>
            </w:r>
          </w:p>
        </w:tc>
        <w:tc>
          <w:tcPr>
            <w:tcW w:w="0" w:type="auto"/>
            <w:hideMark/>
          </w:tcPr>
          <w:p w14:paraId="3748C862" w14:textId="77777777" w:rsidR="008B721A" w:rsidRPr="008B721A" w:rsidRDefault="008B721A" w:rsidP="008B721A">
            <w:pPr>
              <w:cnfStyle w:val="000000000000" w:firstRow="0" w:lastRow="0" w:firstColumn="0" w:lastColumn="0" w:oddVBand="0" w:evenVBand="0" w:oddHBand="0" w:evenHBand="0" w:firstRowFirstColumn="0" w:firstRowLastColumn="0" w:lastRowFirstColumn="0" w:lastRowLastColumn="0"/>
              <w:rPr>
                <w:lang w:eastAsia="zh-CN" w:bidi="ar-SA"/>
              </w:rPr>
            </w:pPr>
            <w:r w:rsidRPr="008B721A">
              <w:rPr>
                <w:lang w:eastAsia="zh-CN" w:bidi="ar-SA"/>
              </w:rPr>
              <w:t>Bureau de contrôle / Consultant mandaté par l’ONDA</w:t>
            </w:r>
          </w:p>
        </w:tc>
        <w:tc>
          <w:tcPr>
            <w:tcW w:w="0" w:type="auto"/>
            <w:hideMark/>
          </w:tcPr>
          <w:p w14:paraId="7E3C1C75" w14:textId="77777777" w:rsidR="008B721A" w:rsidRPr="008B721A" w:rsidRDefault="008B721A" w:rsidP="008B721A">
            <w:pPr>
              <w:cnfStyle w:val="000000000000" w:firstRow="0" w:lastRow="0" w:firstColumn="0" w:lastColumn="0" w:oddVBand="0" w:evenVBand="0" w:oddHBand="0" w:evenHBand="0" w:firstRowFirstColumn="0" w:firstRowLastColumn="0" w:lastRowFirstColumn="0" w:lastRowLastColumn="0"/>
              <w:rPr>
                <w:lang w:eastAsia="zh-CN" w:bidi="ar-SA"/>
              </w:rPr>
            </w:pPr>
            <w:r w:rsidRPr="008B721A">
              <w:rPr>
                <w:lang w:eastAsia="zh-CN" w:bidi="ar-SA"/>
              </w:rPr>
              <w:t>ONDA</w:t>
            </w:r>
          </w:p>
        </w:tc>
        <w:tc>
          <w:tcPr>
            <w:tcW w:w="0" w:type="auto"/>
            <w:hideMark/>
          </w:tcPr>
          <w:p w14:paraId="631CB1EF" w14:textId="77777777" w:rsidR="008B721A" w:rsidRPr="008B721A" w:rsidRDefault="008B721A" w:rsidP="008B721A">
            <w:pPr>
              <w:cnfStyle w:val="000000000000" w:firstRow="0" w:lastRow="0" w:firstColumn="0" w:lastColumn="0" w:oddVBand="0" w:evenVBand="0" w:oddHBand="0" w:evenHBand="0" w:firstRowFirstColumn="0" w:firstRowLastColumn="0" w:lastRowFirstColumn="0" w:lastRowLastColumn="0"/>
              <w:rPr>
                <w:lang w:eastAsia="zh-CN" w:bidi="ar-SA"/>
              </w:rPr>
            </w:pPr>
            <w:r w:rsidRPr="008B721A">
              <w:rPr>
                <w:lang w:eastAsia="zh-CN" w:bidi="ar-SA"/>
              </w:rPr>
              <w:t>Post-travaux</w:t>
            </w:r>
          </w:p>
        </w:tc>
        <w:tc>
          <w:tcPr>
            <w:tcW w:w="0" w:type="auto"/>
            <w:hideMark/>
          </w:tcPr>
          <w:p w14:paraId="5EE2FA5C" w14:textId="7D3A4974" w:rsidR="008B721A" w:rsidRPr="008B721A" w:rsidRDefault="004D32A7" w:rsidP="008B721A">
            <w:pPr>
              <w:cnfStyle w:val="000000000000" w:firstRow="0" w:lastRow="0" w:firstColumn="0" w:lastColumn="0" w:oddVBand="0" w:evenVBand="0" w:oddHBand="0" w:evenHBand="0" w:firstRowFirstColumn="0" w:firstRowLastColumn="0" w:lastRowFirstColumn="0" w:lastRowLastColumn="0"/>
              <w:rPr>
                <w:lang w:eastAsia="zh-CN" w:bidi="ar-SA"/>
              </w:rPr>
            </w:pPr>
            <w:r w:rsidRPr="004D32A7">
              <w:rPr>
                <w:lang w:eastAsia="zh-CN" w:bidi="ar-SA"/>
              </w:rPr>
              <w:t xml:space="preserve">Coût moyen : </w:t>
            </w:r>
            <w:r w:rsidRPr="00D60FC9">
              <w:rPr>
                <w:lang w:eastAsia="zh-CN" w:bidi="ar-SA"/>
              </w:rPr>
              <w:t>5 – 8 MAD/m²</w:t>
            </w:r>
            <w:r w:rsidRPr="004D32A7">
              <w:rPr>
                <w:lang w:eastAsia="zh-CN" w:bidi="ar-SA"/>
              </w:rPr>
              <w:t xml:space="preserve"> (préparation, semis, arrosage initial).</w:t>
            </w:r>
            <w:r w:rsidR="008B2C6E">
              <w:rPr>
                <w:lang w:eastAsia="zh-CN" w:bidi="ar-SA"/>
              </w:rPr>
              <w:br/>
            </w:r>
            <w:r w:rsidR="008B2C6E">
              <w:rPr>
                <w:lang w:eastAsia="zh-CN" w:bidi="ar-SA"/>
              </w:rPr>
              <w:br/>
            </w:r>
            <w:r w:rsidR="008B2C6E" w:rsidRPr="008B2C6E">
              <w:rPr>
                <w:lang w:eastAsia="zh-CN" w:bidi="ar-SA"/>
              </w:rPr>
              <w:t xml:space="preserve">Prix moyen : </w:t>
            </w:r>
            <w:r w:rsidR="008B2C6E" w:rsidRPr="00D60FC9">
              <w:rPr>
                <w:lang w:eastAsia="zh-CN" w:bidi="ar-SA"/>
              </w:rPr>
              <w:t>2,5 – 4 MAD/m²</w:t>
            </w:r>
            <w:r w:rsidR="008B2C6E" w:rsidRPr="008B2C6E">
              <w:rPr>
                <w:lang w:eastAsia="zh-CN" w:bidi="ar-SA"/>
              </w:rPr>
              <w:t xml:space="preserve"> (fourniture + pose).</w:t>
            </w:r>
          </w:p>
        </w:tc>
      </w:tr>
      <w:tr w:rsidR="00AB2B5D" w:rsidRPr="008B721A" w14:paraId="786E7BC2" w14:textId="77777777" w:rsidTr="008B721A">
        <w:tc>
          <w:tcPr>
            <w:cnfStyle w:val="001000000000" w:firstRow="0" w:lastRow="0" w:firstColumn="1" w:lastColumn="0" w:oddVBand="0" w:evenVBand="0" w:oddHBand="0" w:evenHBand="0" w:firstRowFirstColumn="0" w:firstRowLastColumn="0" w:lastRowFirstColumn="0" w:lastRowLastColumn="0"/>
            <w:tcW w:w="0" w:type="auto"/>
            <w:vMerge/>
            <w:hideMark/>
          </w:tcPr>
          <w:p w14:paraId="029E676B" w14:textId="77777777" w:rsidR="008B721A" w:rsidRPr="008B721A" w:rsidRDefault="008B721A" w:rsidP="008B721A">
            <w:pPr>
              <w:rPr>
                <w:lang w:eastAsia="zh-CN" w:bidi="ar-SA"/>
              </w:rPr>
            </w:pPr>
          </w:p>
        </w:tc>
        <w:tc>
          <w:tcPr>
            <w:tcW w:w="0" w:type="auto"/>
            <w:hideMark/>
          </w:tcPr>
          <w:p w14:paraId="11F22939" w14:textId="77777777" w:rsidR="008B721A" w:rsidRPr="008B721A" w:rsidRDefault="008B721A" w:rsidP="008B721A">
            <w:pPr>
              <w:cnfStyle w:val="000000000000" w:firstRow="0" w:lastRow="0" w:firstColumn="0" w:lastColumn="0" w:oddVBand="0" w:evenVBand="0" w:oddHBand="0" w:evenHBand="0" w:firstRowFirstColumn="0" w:firstRowLastColumn="0" w:lastRowFirstColumn="0" w:lastRowLastColumn="0"/>
              <w:rPr>
                <w:lang w:eastAsia="zh-CN" w:bidi="ar-SA"/>
              </w:rPr>
            </w:pPr>
            <w:r w:rsidRPr="008B721A">
              <w:rPr>
                <w:b/>
                <w:bCs/>
                <w:lang w:eastAsia="zh-CN" w:bidi="ar-SA"/>
              </w:rPr>
              <w:t>Compenser</w:t>
            </w:r>
          </w:p>
        </w:tc>
        <w:tc>
          <w:tcPr>
            <w:tcW w:w="0" w:type="auto"/>
            <w:hideMark/>
          </w:tcPr>
          <w:p w14:paraId="12242FC7" w14:textId="6448B381" w:rsidR="008B721A" w:rsidRPr="008B721A" w:rsidRDefault="008B721A" w:rsidP="008B721A">
            <w:pPr>
              <w:cnfStyle w:val="000000000000" w:firstRow="0" w:lastRow="0" w:firstColumn="0" w:lastColumn="0" w:oddVBand="0" w:evenVBand="0" w:oddHBand="0" w:evenHBand="0" w:firstRowFirstColumn="0" w:firstRowLastColumn="0" w:lastRowFirstColumn="0" w:lastRowLastColumn="0"/>
              <w:rPr>
                <w:lang w:eastAsia="zh-CN" w:bidi="ar-SA"/>
              </w:rPr>
            </w:pPr>
            <w:r w:rsidRPr="008B721A">
              <w:rPr>
                <w:lang w:eastAsia="zh-CN" w:bidi="ar-SA"/>
              </w:rPr>
              <w:t>Améliorer les zones périphériques par plantation d’espèces locales stabilisatrices (graminées, légumineuses).</w:t>
            </w:r>
          </w:p>
        </w:tc>
        <w:tc>
          <w:tcPr>
            <w:tcW w:w="0" w:type="auto"/>
            <w:hideMark/>
          </w:tcPr>
          <w:p w14:paraId="11499507" w14:textId="77777777" w:rsidR="008B721A" w:rsidRPr="008B721A" w:rsidRDefault="008B721A" w:rsidP="008B721A">
            <w:pPr>
              <w:cnfStyle w:val="000000000000" w:firstRow="0" w:lastRow="0" w:firstColumn="0" w:lastColumn="0" w:oddVBand="0" w:evenVBand="0" w:oddHBand="0" w:evenHBand="0" w:firstRowFirstColumn="0" w:firstRowLastColumn="0" w:lastRowFirstColumn="0" w:lastRowLastColumn="0"/>
              <w:rPr>
                <w:lang w:eastAsia="zh-CN" w:bidi="ar-SA"/>
              </w:rPr>
            </w:pPr>
            <w:r w:rsidRPr="008B721A">
              <w:rPr>
                <w:lang w:eastAsia="zh-CN" w:bidi="ar-SA"/>
              </w:rPr>
              <w:t>Surface stabilisée (m²)</w:t>
            </w:r>
          </w:p>
        </w:tc>
        <w:tc>
          <w:tcPr>
            <w:tcW w:w="0" w:type="auto"/>
            <w:hideMark/>
          </w:tcPr>
          <w:p w14:paraId="4EE6D5B4" w14:textId="77777777" w:rsidR="008B721A" w:rsidRPr="008B721A" w:rsidRDefault="008B721A" w:rsidP="008B721A">
            <w:pPr>
              <w:cnfStyle w:val="000000000000" w:firstRow="0" w:lastRow="0" w:firstColumn="0" w:lastColumn="0" w:oddVBand="0" w:evenVBand="0" w:oddHBand="0" w:evenHBand="0" w:firstRowFirstColumn="0" w:firstRowLastColumn="0" w:lastRowFirstColumn="0" w:lastRowLastColumn="0"/>
              <w:rPr>
                <w:lang w:eastAsia="zh-CN" w:bidi="ar-SA"/>
              </w:rPr>
            </w:pPr>
            <w:r w:rsidRPr="008B721A">
              <w:rPr>
                <w:lang w:eastAsia="zh-CN" w:bidi="ar-SA"/>
              </w:rPr>
              <w:t>EPC / Sous-traitants</w:t>
            </w:r>
          </w:p>
        </w:tc>
        <w:tc>
          <w:tcPr>
            <w:tcW w:w="0" w:type="auto"/>
            <w:hideMark/>
          </w:tcPr>
          <w:p w14:paraId="08A14205" w14:textId="77777777" w:rsidR="008B721A" w:rsidRPr="008B721A" w:rsidRDefault="008B721A" w:rsidP="008B721A">
            <w:pPr>
              <w:cnfStyle w:val="000000000000" w:firstRow="0" w:lastRow="0" w:firstColumn="0" w:lastColumn="0" w:oddVBand="0" w:evenVBand="0" w:oddHBand="0" w:evenHBand="0" w:firstRowFirstColumn="0" w:firstRowLastColumn="0" w:lastRowFirstColumn="0" w:lastRowLastColumn="0"/>
              <w:rPr>
                <w:lang w:eastAsia="zh-CN" w:bidi="ar-SA"/>
              </w:rPr>
            </w:pPr>
            <w:r w:rsidRPr="008B721A">
              <w:rPr>
                <w:lang w:eastAsia="zh-CN" w:bidi="ar-SA"/>
              </w:rPr>
              <w:t>Bureau de contrôle / Consultant mandaté par l’ONDA</w:t>
            </w:r>
          </w:p>
        </w:tc>
        <w:tc>
          <w:tcPr>
            <w:tcW w:w="0" w:type="auto"/>
            <w:hideMark/>
          </w:tcPr>
          <w:p w14:paraId="2D6E7550" w14:textId="77777777" w:rsidR="008B721A" w:rsidRPr="008B721A" w:rsidRDefault="008B721A" w:rsidP="008B721A">
            <w:pPr>
              <w:cnfStyle w:val="000000000000" w:firstRow="0" w:lastRow="0" w:firstColumn="0" w:lastColumn="0" w:oddVBand="0" w:evenVBand="0" w:oddHBand="0" w:evenHBand="0" w:firstRowFirstColumn="0" w:firstRowLastColumn="0" w:lastRowFirstColumn="0" w:lastRowLastColumn="0"/>
              <w:rPr>
                <w:lang w:eastAsia="zh-CN" w:bidi="ar-SA"/>
              </w:rPr>
            </w:pPr>
            <w:r w:rsidRPr="008B721A">
              <w:rPr>
                <w:lang w:eastAsia="zh-CN" w:bidi="ar-SA"/>
              </w:rPr>
              <w:t>ONDA</w:t>
            </w:r>
          </w:p>
        </w:tc>
        <w:tc>
          <w:tcPr>
            <w:tcW w:w="0" w:type="auto"/>
            <w:hideMark/>
          </w:tcPr>
          <w:p w14:paraId="01973A16" w14:textId="77777777" w:rsidR="008B721A" w:rsidRPr="008B721A" w:rsidRDefault="008B721A" w:rsidP="008B721A">
            <w:pPr>
              <w:cnfStyle w:val="000000000000" w:firstRow="0" w:lastRow="0" w:firstColumn="0" w:lastColumn="0" w:oddVBand="0" w:evenVBand="0" w:oddHBand="0" w:evenHBand="0" w:firstRowFirstColumn="0" w:firstRowLastColumn="0" w:lastRowFirstColumn="0" w:lastRowLastColumn="0"/>
              <w:rPr>
                <w:lang w:eastAsia="zh-CN" w:bidi="ar-SA"/>
              </w:rPr>
            </w:pPr>
            <w:r w:rsidRPr="008B721A">
              <w:rPr>
                <w:lang w:eastAsia="zh-CN" w:bidi="ar-SA"/>
              </w:rPr>
              <w:t>Post-travaux</w:t>
            </w:r>
          </w:p>
        </w:tc>
        <w:tc>
          <w:tcPr>
            <w:tcW w:w="0" w:type="auto"/>
            <w:hideMark/>
          </w:tcPr>
          <w:p w14:paraId="46B78A81" w14:textId="77777777" w:rsidR="008B2C6E" w:rsidRDefault="008B2C6E" w:rsidP="008B2C6E">
            <w:pPr>
              <w:cnfStyle w:val="000000000000" w:firstRow="0" w:lastRow="0" w:firstColumn="0" w:lastColumn="0" w:oddVBand="0" w:evenVBand="0" w:oddHBand="0" w:evenHBand="0" w:firstRowFirstColumn="0" w:firstRowLastColumn="0" w:lastRowFirstColumn="0" w:lastRowLastColumn="0"/>
              <w:rPr>
                <w:lang w:eastAsia="zh-CN" w:bidi="ar-SA"/>
              </w:rPr>
            </w:pPr>
            <w:r>
              <w:rPr>
                <w:lang w:eastAsia="zh-CN" w:bidi="ar-SA"/>
              </w:rPr>
              <w:t>- Semences herbacées : 1,5 – 2 MAD/m² ;</w:t>
            </w:r>
          </w:p>
          <w:p w14:paraId="0A4945B1" w14:textId="77777777" w:rsidR="008B2C6E" w:rsidRDefault="008B2C6E" w:rsidP="008B2C6E">
            <w:pPr>
              <w:cnfStyle w:val="000000000000" w:firstRow="0" w:lastRow="0" w:firstColumn="0" w:lastColumn="0" w:oddVBand="0" w:evenVBand="0" w:oddHBand="0" w:evenHBand="0" w:firstRowFirstColumn="0" w:firstRowLastColumn="0" w:lastRowFirstColumn="0" w:lastRowLastColumn="0"/>
              <w:rPr>
                <w:lang w:eastAsia="zh-CN" w:bidi="ar-SA"/>
              </w:rPr>
            </w:pPr>
            <w:r>
              <w:rPr>
                <w:lang w:eastAsia="zh-CN" w:bidi="ar-SA"/>
              </w:rPr>
              <w:t>- Jeunes plants arbustifs : 8 – 10 MAD/unité ;</w:t>
            </w:r>
          </w:p>
          <w:p w14:paraId="219BFE10" w14:textId="4020F1C2" w:rsidR="008B721A" w:rsidRPr="008B721A" w:rsidRDefault="008B2C6E" w:rsidP="008B2C6E">
            <w:pPr>
              <w:cnfStyle w:val="000000000000" w:firstRow="0" w:lastRow="0" w:firstColumn="0" w:lastColumn="0" w:oddVBand="0" w:evenVBand="0" w:oddHBand="0" w:evenHBand="0" w:firstRowFirstColumn="0" w:firstRowLastColumn="0" w:lastRowFirstColumn="0" w:lastRowLastColumn="0"/>
              <w:rPr>
                <w:lang w:eastAsia="zh-CN" w:bidi="ar-SA"/>
              </w:rPr>
            </w:pPr>
            <w:r>
              <w:rPr>
                <w:lang w:eastAsia="zh-CN" w:bidi="ar-SA"/>
              </w:rPr>
              <w:t>- Main-d’œuvre et arrosage initial : 5 – 6 MAD/m².</w:t>
            </w:r>
          </w:p>
        </w:tc>
      </w:tr>
    </w:tbl>
    <w:p w14:paraId="01A85ED3" w14:textId="77777777" w:rsidR="00B40433" w:rsidRDefault="00B40433" w:rsidP="00CB0246">
      <w:pPr>
        <w:rPr>
          <w:lang w:eastAsia="zh-CN" w:bidi="ar-SA"/>
        </w:rPr>
      </w:pPr>
    </w:p>
    <w:p w14:paraId="40E7FF0C" w14:textId="77777777" w:rsidR="008B721A" w:rsidRDefault="008B721A" w:rsidP="00CB0246">
      <w:pPr>
        <w:rPr>
          <w:lang w:eastAsia="zh-CN" w:bidi="ar-SA"/>
        </w:rPr>
      </w:pPr>
    </w:p>
    <w:p w14:paraId="745F1316" w14:textId="77777777" w:rsidR="008B721A" w:rsidRDefault="008B721A" w:rsidP="00CB0246">
      <w:pPr>
        <w:rPr>
          <w:lang w:eastAsia="zh-CN" w:bidi="ar-SA"/>
        </w:rPr>
        <w:sectPr w:rsidR="008B721A" w:rsidSect="00AE45D9">
          <w:headerReference w:type="default" r:id="rId112"/>
          <w:footerReference w:type="default" r:id="rId113"/>
          <w:pgSz w:w="16838" w:h="11906" w:orient="landscape"/>
          <w:pgMar w:top="1418" w:right="1418" w:bottom="1418" w:left="1276" w:header="567" w:footer="510" w:gutter="0"/>
          <w:cols w:space="708"/>
          <w:docGrid w:linePitch="360"/>
        </w:sectPr>
      </w:pPr>
    </w:p>
    <w:bookmarkEnd w:id="419"/>
    <w:p w14:paraId="0F0A5852" w14:textId="77777777" w:rsidR="00CB0246" w:rsidRPr="00CB0246" w:rsidRDefault="00CB0246" w:rsidP="004637C7">
      <w:pPr>
        <w:rPr>
          <w:lang w:eastAsia="zh-CN"/>
        </w:rPr>
      </w:pPr>
    </w:p>
    <w:p w14:paraId="2A6D5E1F" w14:textId="6CE9C1A2" w:rsidR="00AE45D9" w:rsidRDefault="00AE45D9" w:rsidP="00B40433">
      <w:pPr>
        <w:pStyle w:val="Title5"/>
      </w:pPr>
      <w:r>
        <w:t>Évaluation</w:t>
      </w:r>
      <w:r>
        <w:rPr>
          <w:spacing w:val="-7"/>
        </w:rPr>
        <w:t xml:space="preserve"> </w:t>
      </w:r>
      <w:r w:rsidR="00B40433">
        <w:t>des impacts résiduels</w:t>
      </w:r>
    </w:p>
    <w:p w14:paraId="76039963" w14:textId="77777777" w:rsidR="00AC03E6" w:rsidRDefault="00AC03E6" w:rsidP="00AC03E6">
      <w:r>
        <w:t>Après la mise en œuvre de l’ensemble des mesures de gestion, de prévention et de réhabilitation prévues dans le plan de gestion environnementale, les impacts résiduels sur le sol seront très limités, strictement localisés à l’emprise du chantier, et temporairement réversibles à la fin des travaux.</w:t>
      </w:r>
    </w:p>
    <w:p w14:paraId="0320519F" w14:textId="77777777" w:rsidR="00AC03E6" w:rsidRDefault="00AC03E6" w:rsidP="00AC03E6">
      <w:r>
        <w:t>L’imperméabilisation temporaire du sol ne présentera plus qu’un effet minime, la surface réellement concernée ayant été réduite à l’essentiel et les zones compactées réhabilitées. La réouverture du sol et la remise en place de la terre végétale permettront le retour progressif des fonctions d’infiltration et de respiration du sol. L’impact résiduel associé est donc mineur, sans atteinte durable aux caractéristiques physiques ou hydriques du sol.</w:t>
      </w:r>
    </w:p>
    <w:p w14:paraId="09E7EE8C" w14:textId="77777777" w:rsidR="00AC03E6" w:rsidRDefault="00AC03E6" w:rsidP="00AC03E6">
      <w:r>
        <w:t>Le compactage résiduel des sols restera ponctuel et faiblement perceptible, limité aux zones de passage d’engins. Les travaux de décompactage mécanique et de nivellement restaureront la perméabilité initiale du substrat. Les effets restants seront mineurs, localisés et entièrement réversibles à court terme.</w:t>
      </w:r>
    </w:p>
    <w:p w14:paraId="21B723AA" w14:textId="77777777" w:rsidR="00AC03E6" w:rsidRDefault="00AC03E6" w:rsidP="00AC03E6">
      <w:r>
        <w:t>Les phénomènes d’érosion hydrique et éolienne seront maîtrisés grâce à l’arrosage régulier, à l’usage de bâches de protection et à la revégétalisation post-travaux. Seules des pertes superficielles de particules fines pourraient se produire de manière ponctuelle lors d’épisodes de vent ou de pluie, sans incidence significative sur la stabilité du sol. Ces effets résiduels sont négligeables et confinés à la zone de chantier.</w:t>
      </w:r>
    </w:p>
    <w:p w14:paraId="09E00113" w14:textId="77777777" w:rsidR="00AC03E6" w:rsidRDefault="00AC03E6" w:rsidP="00AC03E6">
      <w:r>
        <w:t>Enfin, les risques de contamination accidentelle seront quasiment éliminés par la présence d’aires étanches, de bacs de rétention et de procédures strictes de gestion des produits dangereux. En cas d’incident mineur, les zones touchées seront traitées immédiatement et confinées, évitant toute infiltration durable.</w:t>
      </w:r>
    </w:p>
    <w:p w14:paraId="1E650C13" w14:textId="7195F5B3" w:rsidR="00B40433" w:rsidRDefault="00AC03E6" w:rsidP="004637C7">
      <w:r>
        <w:t>Après mise en œuvre du plan d’atténuation, les impacts résiduels sur le sol en phase de construction sont mineurs à négligeables, localisés, réversibles, et parfaitement maîtrisables par les dispositifs environnementaux en place.</w:t>
      </w:r>
    </w:p>
    <w:p w14:paraId="6991DE28" w14:textId="77777777" w:rsidR="00AE45D9" w:rsidRDefault="00AE45D9" w:rsidP="00AE45D9">
      <w:pPr>
        <w:pStyle w:val="Title4"/>
        <w:tabs>
          <w:tab w:val="clear" w:pos="1134"/>
          <w:tab w:val="left" w:pos="851"/>
        </w:tabs>
      </w:pPr>
      <w:bookmarkStart w:id="421" w:name="_Hlk210732567"/>
      <w:r w:rsidRPr="00994AB4">
        <w:t>Phase exploitation</w:t>
      </w:r>
    </w:p>
    <w:p w14:paraId="44164618" w14:textId="77777777" w:rsidR="00820C81" w:rsidRDefault="00820C81" w:rsidP="00820C81">
      <w:pPr>
        <w:pStyle w:val="Title5"/>
      </w:pPr>
      <w:r>
        <w:t>Identification et évaluation des impacts et risques</w:t>
      </w:r>
    </w:p>
    <w:p w14:paraId="6D0C1850" w14:textId="0D0D6FA5" w:rsidR="00AE45D9" w:rsidRPr="00F359B6" w:rsidRDefault="00A16E41" w:rsidP="0001633E">
      <w:pPr>
        <w:pStyle w:val="AltTitle2"/>
        <w:numPr>
          <w:ilvl w:val="0"/>
          <w:numId w:val="106"/>
        </w:numPr>
      </w:pPr>
      <w:r w:rsidRPr="00A16E41">
        <w:t>Imperméabilisation permanente du sol</w:t>
      </w:r>
    </w:p>
    <w:p w14:paraId="5553B037" w14:textId="77777777" w:rsidR="00A16E41" w:rsidRDefault="00A16E41" w:rsidP="00A16E41">
      <w:r>
        <w:t>Les surfaces asphaltées du parking avions et des voies de circulation entraîneront une imperméabilisation durable du sol.</w:t>
      </w:r>
    </w:p>
    <w:p w14:paraId="069C1A08" w14:textId="77777777" w:rsidR="00A16E41" w:rsidRDefault="00A16E41" w:rsidP="00A16E41">
      <w:r>
        <w:t>La fonction d’infiltration et de régulation hydrique est ainsi supprimée, entraînant une perte irréversible de la structure naturelle du sol.</w:t>
      </w:r>
    </w:p>
    <w:p w14:paraId="2D9F5589" w14:textId="77777777" w:rsidR="00A16E41" w:rsidRDefault="00A16E41" w:rsidP="00A16E41">
      <w:r>
        <w:t>L’impact est direct, permanent et irréversible, fort en intensité, localisé spatialement.</w:t>
      </w:r>
    </w:p>
    <w:p w14:paraId="78AF6A76" w14:textId="78A47DEE" w:rsidR="00AC03E6" w:rsidRDefault="00A16E41" w:rsidP="00A16E41">
      <w:r>
        <w:t>L’importance est majeure, mais confinée à l’emprise.</w:t>
      </w:r>
      <w:r w:rsidR="00AC03E6">
        <w:br w:type="page"/>
      </w:r>
    </w:p>
    <w:tbl>
      <w:tblPr>
        <w:tblStyle w:val="TableauGrille1Clair-Accentuation111"/>
        <w:tblW w:w="0" w:type="auto"/>
        <w:tblLook w:val="04A0" w:firstRow="1" w:lastRow="0" w:firstColumn="1" w:lastColumn="0" w:noHBand="0" w:noVBand="1"/>
      </w:tblPr>
      <w:tblGrid>
        <w:gridCol w:w="1917"/>
        <w:gridCol w:w="2124"/>
        <w:gridCol w:w="1150"/>
        <w:gridCol w:w="2391"/>
        <w:gridCol w:w="1478"/>
      </w:tblGrid>
      <w:tr w:rsidR="00B27998" w:rsidRPr="00B27998" w14:paraId="55CE098C" w14:textId="77777777" w:rsidTr="000A3EA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3759B844" w14:textId="57C245C1" w:rsidR="00B27998" w:rsidRPr="00AA22F2" w:rsidRDefault="00B27998" w:rsidP="00B27998">
            <w:pPr>
              <w:rPr>
                <w:rFonts w:asciiTheme="minorHAnsi" w:eastAsia="Calibri" w:hAnsiTheme="minorHAnsi" w:cstheme="minorHAnsi"/>
                <w:b w:val="0"/>
                <w:bCs w:val="0"/>
                <w:spacing w:val="-4"/>
                <w:szCs w:val="20"/>
                <w:lang w:bidi="ar-SA"/>
              </w:rPr>
            </w:pPr>
            <w:r w:rsidRPr="00AA22F2">
              <w:rPr>
                <w:rFonts w:asciiTheme="minorHAnsi" w:eastAsia="Calibri" w:hAnsiTheme="minorHAnsi" w:cstheme="minorHAnsi"/>
                <w:spacing w:val="-4"/>
                <w:szCs w:val="20"/>
                <w:lang w:bidi="ar-SA"/>
              </w:rPr>
              <w:lastRenderedPageBreak/>
              <w:t>Impact</w:t>
            </w:r>
          </w:p>
        </w:tc>
        <w:tc>
          <w:tcPr>
            <w:tcW w:w="0" w:type="auto"/>
          </w:tcPr>
          <w:p w14:paraId="07FECE51" w14:textId="52FAF17A" w:rsidR="00B27998" w:rsidRPr="00AA22F2" w:rsidRDefault="00B27998" w:rsidP="00B27998">
            <w:pPr>
              <w:cnfStyle w:val="100000000000" w:firstRow="1" w:lastRow="0" w:firstColumn="0" w:lastColumn="0" w:oddVBand="0" w:evenVBand="0" w:oddHBand="0" w:evenHBand="0" w:firstRowFirstColumn="0" w:firstRowLastColumn="0" w:lastRowFirstColumn="0" w:lastRowLastColumn="0"/>
              <w:rPr>
                <w:rFonts w:asciiTheme="minorHAnsi" w:eastAsia="Calibri" w:hAnsiTheme="minorHAnsi" w:cstheme="minorHAnsi"/>
                <w:spacing w:val="-4"/>
                <w:szCs w:val="20"/>
                <w:lang w:bidi="ar-SA"/>
              </w:rPr>
            </w:pPr>
            <w:r w:rsidRPr="00AA22F2">
              <w:rPr>
                <w:rFonts w:asciiTheme="minorHAnsi" w:eastAsia="Calibri" w:hAnsiTheme="minorHAnsi" w:cstheme="minorHAnsi"/>
                <w:spacing w:val="-4"/>
                <w:szCs w:val="20"/>
                <w:lang w:bidi="ar-SA"/>
              </w:rPr>
              <w:t>Activités génératrices</w:t>
            </w:r>
          </w:p>
        </w:tc>
        <w:tc>
          <w:tcPr>
            <w:tcW w:w="0" w:type="auto"/>
          </w:tcPr>
          <w:p w14:paraId="553DA316" w14:textId="000EB289" w:rsidR="00B27998" w:rsidRPr="00AA22F2" w:rsidRDefault="00B27998" w:rsidP="00B27998">
            <w:pPr>
              <w:cnfStyle w:val="100000000000" w:firstRow="1" w:lastRow="0" w:firstColumn="0" w:lastColumn="0" w:oddVBand="0" w:evenVBand="0" w:oddHBand="0" w:evenHBand="0" w:firstRowFirstColumn="0" w:firstRowLastColumn="0" w:lastRowFirstColumn="0" w:lastRowLastColumn="0"/>
              <w:rPr>
                <w:rFonts w:asciiTheme="minorHAnsi" w:eastAsia="Calibri" w:hAnsiTheme="minorHAnsi" w:cstheme="minorHAnsi"/>
                <w:b w:val="0"/>
                <w:bCs w:val="0"/>
                <w:spacing w:val="-4"/>
                <w:szCs w:val="20"/>
                <w:lang w:bidi="ar-SA"/>
              </w:rPr>
            </w:pPr>
            <w:r w:rsidRPr="00AA22F2">
              <w:rPr>
                <w:rFonts w:asciiTheme="minorHAnsi" w:eastAsia="Calibri" w:hAnsiTheme="minorHAnsi" w:cstheme="minorHAnsi"/>
                <w:spacing w:val="-4"/>
                <w:szCs w:val="20"/>
                <w:lang w:bidi="ar-SA"/>
              </w:rPr>
              <w:t>Critère</w:t>
            </w:r>
          </w:p>
        </w:tc>
        <w:tc>
          <w:tcPr>
            <w:tcW w:w="0" w:type="auto"/>
          </w:tcPr>
          <w:p w14:paraId="38A65C88" w14:textId="4EE3E3BF" w:rsidR="00B27998" w:rsidRPr="00AA22F2" w:rsidRDefault="00B27998" w:rsidP="00B27998">
            <w:pPr>
              <w:cnfStyle w:val="100000000000" w:firstRow="1" w:lastRow="0" w:firstColumn="0" w:lastColumn="0" w:oddVBand="0" w:evenVBand="0" w:oddHBand="0" w:evenHBand="0" w:firstRowFirstColumn="0" w:firstRowLastColumn="0" w:lastRowFirstColumn="0" w:lastRowLastColumn="0"/>
              <w:rPr>
                <w:rFonts w:asciiTheme="minorHAnsi" w:eastAsia="Calibri" w:hAnsiTheme="minorHAnsi" w:cstheme="minorHAnsi"/>
                <w:spacing w:val="-4"/>
                <w:szCs w:val="20"/>
                <w:lang w:bidi="ar-SA"/>
              </w:rPr>
            </w:pPr>
            <w:r w:rsidRPr="00AA22F2">
              <w:rPr>
                <w:rFonts w:asciiTheme="minorHAnsi" w:eastAsia="Calibri" w:hAnsiTheme="minorHAnsi" w:cstheme="minorHAnsi"/>
                <w:spacing w:val="-4"/>
                <w:szCs w:val="20"/>
                <w:lang w:bidi="ar-SA"/>
              </w:rPr>
              <w:t>Justification</w:t>
            </w:r>
          </w:p>
        </w:tc>
        <w:tc>
          <w:tcPr>
            <w:tcW w:w="0" w:type="auto"/>
          </w:tcPr>
          <w:p w14:paraId="6138A991" w14:textId="17A4F626" w:rsidR="00B27998" w:rsidRPr="00AA22F2" w:rsidRDefault="00B27998" w:rsidP="00B27998">
            <w:pPr>
              <w:cnfStyle w:val="100000000000" w:firstRow="1" w:lastRow="0" w:firstColumn="0" w:lastColumn="0" w:oddVBand="0" w:evenVBand="0" w:oddHBand="0" w:evenHBand="0" w:firstRowFirstColumn="0" w:firstRowLastColumn="0" w:lastRowFirstColumn="0" w:lastRowLastColumn="0"/>
              <w:rPr>
                <w:rFonts w:asciiTheme="minorHAnsi" w:eastAsia="Calibri" w:hAnsiTheme="minorHAnsi" w:cstheme="minorHAnsi"/>
                <w:b w:val="0"/>
                <w:bCs w:val="0"/>
                <w:spacing w:val="-4"/>
                <w:szCs w:val="20"/>
                <w:lang w:bidi="ar-SA"/>
              </w:rPr>
            </w:pPr>
            <w:r w:rsidRPr="00AA22F2">
              <w:rPr>
                <w:rFonts w:asciiTheme="minorHAnsi" w:eastAsia="Calibri" w:hAnsiTheme="minorHAnsi" w:cstheme="minorHAnsi"/>
                <w:spacing w:val="-4"/>
                <w:szCs w:val="20"/>
                <w:lang w:bidi="ar-SA"/>
              </w:rPr>
              <w:t>Niveau</w:t>
            </w:r>
          </w:p>
        </w:tc>
      </w:tr>
      <w:tr w:rsidR="00E31B68" w:rsidRPr="00B27998" w14:paraId="16589C58" w14:textId="77777777" w:rsidTr="000A3EA4">
        <w:tc>
          <w:tcPr>
            <w:cnfStyle w:val="001000000000" w:firstRow="0" w:lastRow="0" w:firstColumn="1" w:lastColumn="0" w:oddVBand="0" w:evenVBand="0" w:oddHBand="0" w:evenHBand="0" w:firstRowFirstColumn="0" w:firstRowLastColumn="0" w:lastRowFirstColumn="0" w:lastRowLastColumn="0"/>
            <w:tcW w:w="0" w:type="auto"/>
            <w:vMerge w:val="restart"/>
            <w:hideMark/>
          </w:tcPr>
          <w:p w14:paraId="1E6B2E72" w14:textId="423E524D" w:rsidR="00E31B68" w:rsidRPr="00AA22F2" w:rsidRDefault="00E31B68" w:rsidP="000A3EA4">
            <w:pPr>
              <w:rPr>
                <w:rFonts w:asciiTheme="minorHAnsi" w:eastAsia="Calibri" w:hAnsiTheme="minorHAnsi" w:cstheme="minorHAnsi"/>
                <w:spacing w:val="-4"/>
                <w:szCs w:val="20"/>
                <w:lang w:bidi="ar-SA"/>
              </w:rPr>
            </w:pPr>
            <w:r w:rsidRPr="00AA22F2">
              <w:rPr>
                <w:rFonts w:asciiTheme="minorHAnsi" w:eastAsia="Calibri" w:hAnsiTheme="minorHAnsi" w:cstheme="minorHAnsi"/>
                <w:spacing w:val="-4"/>
                <w:szCs w:val="20"/>
                <w:lang w:bidi="ar-SA"/>
              </w:rPr>
              <w:t xml:space="preserve">Imperméabilisation </w:t>
            </w:r>
            <w:r w:rsidR="00A16E41">
              <w:rPr>
                <w:rFonts w:asciiTheme="minorHAnsi" w:eastAsia="Calibri" w:hAnsiTheme="minorHAnsi" w:cstheme="minorHAnsi"/>
                <w:spacing w:val="-4"/>
                <w:szCs w:val="20"/>
                <w:lang w:bidi="ar-SA"/>
              </w:rPr>
              <w:t>du sol</w:t>
            </w:r>
          </w:p>
        </w:tc>
        <w:tc>
          <w:tcPr>
            <w:tcW w:w="0" w:type="auto"/>
            <w:vMerge w:val="restart"/>
            <w:hideMark/>
          </w:tcPr>
          <w:p w14:paraId="10E19E10" w14:textId="2D9E9E7B" w:rsidR="00E31B68" w:rsidRPr="00AA22F2" w:rsidRDefault="00A16E41" w:rsidP="000A3EA4">
            <w:pPr>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heme="minorHAnsi"/>
                <w:spacing w:val="-4"/>
                <w:szCs w:val="20"/>
                <w:lang w:bidi="ar-SA"/>
              </w:rPr>
            </w:pPr>
            <w:r w:rsidRPr="00A16E41">
              <w:rPr>
                <w:rFonts w:asciiTheme="minorHAnsi" w:eastAsia="Calibri" w:hAnsiTheme="minorHAnsi" w:cstheme="minorHAnsi"/>
                <w:spacing w:val="-4"/>
                <w:szCs w:val="20"/>
                <w:lang w:bidi="ar-SA"/>
              </w:rPr>
              <w:t>Construction des parkings et voies aéronautiques</w:t>
            </w:r>
          </w:p>
        </w:tc>
        <w:tc>
          <w:tcPr>
            <w:tcW w:w="0" w:type="auto"/>
            <w:hideMark/>
          </w:tcPr>
          <w:p w14:paraId="3A798CB3" w14:textId="77777777" w:rsidR="00E31B68" w:rsidRPr="00AA22F2" w:rsidRDefault="00E31B68" w:rsidP="000A3EA4">
            <w:pPr>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heme="minorHAnsi"/>
                <w:spacing w:val="-4"/>
                <w:szCs w:val="20"/>
                <w:lang w:bidi="ar-SA"/>
              </w:rPr>
            </w:pPr>
            <w:r w:rsidRPr="00AA22F2">
              <w:rPr>
                <w:rFonts w:asciiTheme="minorHAnsi" w:eastAsia="Calibri" w:hAnsiTheme="minorHAnsi" w:cstheme="minorHAnsi"/>
                <w:b/>
                <w:bCs/>
                <w:spacing w:val="-4"/>
                <w:szCs w:val="20"/>
                <w:lang w:bidi="ar-SA"/>
              </w:rPr>
              <w:t>Nature</w:t>
            </w:r>
          </w:p>
        </w:tc>
        <w:tc>
          <w:tcPr>
            <w:tcW w:w="0" w:type="auto"/>
            <w:gridSpan w:val="2"/>
            <w:hideMark/>
          </w:tcPr>
          <w:p w14:paraId="77A52A67" w14:textId="77777777" w:rsidR="00E31B68" w:rsidRPr="00AA22F2" w:rsidRDefault="00E31B68" w:rsidP="000A3EA4">
            <w:pPr>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heme="minorHAnsi"/>
                <w:spacing w:val="-4"/>
                <w:szCs w:val="20"/>
                <w:lang w:bidi="ar-SA"/>
              </w:rPr>
            </w:pPr>
            <w:r w:rsidRPr="00AA22F2">
              <w:rPr>
                <w:rFonts w:asciiTheme="minorHAnsi" w:eastAsia="Calibri" w:hAnsiTheme="minorHAnsi" w:cstheme="minorHAnsi"/>
                <w:b/>
                <w:bCs/>
                <w:spacing w:val="-4"/>
                <w:szCs w:val="20"/>
                <w:lang w:bidi="ar-SA"/>
              </w:rPr>
              <w:t>Négatif direct</w:t>
            </w:r>
          </w:p>
        </w:tc>
      </w:tr>
      <w:tr w:rsidR="00E31B68" w:rsidRPr="00B27998" w14:paraId="23C9A7D1" w14:textId="77777777" w:rsidTr="000A3EA4">
        <w:tc>
          <w:tcPr>
            <w:cnfStyle w:val="001000000000" w:firstRow="0" w:lastRow="0" w:firstColumn="1" w:lastColumn="0" w:oddVBand="0" w:evenVBand="0" w:oddHBand="0" w:evenHBand="0" w:firstRowFirstColumn="0" w:firstRowLastColumn="0" w:lastRowFirstColumn="0" w:lastRowLastColumn="0"/>
            <w:tcW w:w="0" w:type="auto"/>
            <w:vMerge/>
            <w:hideMark/>
          </w:tcPr>
          <w:p w14:paraId="6072973C" w14:textId="77777777" w:rsidR="00E31B68" w:rsidRPr="00AA22F2" w:rsidRDefault="00E31B68" w:rsidP="000A3EA4">
            <w:pPr>
              <w:rPr>
                <w:rFonts w:asciiTheme="minorHAnsi" w:eastAsia="Calibri" w:hAnsiTheme="minorHAnsi" w:cstheme="minorHAnsi"/>
                <w:spacing w:val="-4"/>
                <w:szCs w:val="20"/>
                <w:lang w:bidi="ar-SA"/>
              </w:rPr>
            </w:pPr>
          </w:p>
        </w:tc>
        <w:tc>
          <w:tcPr>
            <w:tcW w:w="0" w:type="auto"/>
            <w:vMerge/>
            <w:hideMark/>
          </w:tcPr>
          <w:p w14:paraId="2720CCA3" w14:textId="77777777" w:rsidR="00E31B68" w:rsidRPr="00AA22F2" w:rsidRDefault="00E31B68" w:rsidP="000A3EA4">
            <w:pPr>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heme="minorHAnsi"/>
                <w:spacing w:val="-4"/>
                <w:szCs w:val="20"/>
                <w:lang w:bidi="ar-SA"/>
              </w:rPr>
            </w:pPr>
          </w:p>
        </w:tc>
        <w:tc>
          <w:tcPr>
            <w:tcW w:w="0" w:type="auto"/>
            <w:hideMark/>
          </w:tcPr>
          <w:p w14:paraId="30575C03" w14:textId="77777777" w:rsidR="00E31B68" w:rsidRPr="00AA22F2" w:rsidRDefault="00E31B68" w:rsidP="000A3EA4">
            <w:pPr>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heme="minorHAnsi"/>
                <w:spacing w:val="-4"/>
                <w:szCs w:val="20"/>
                <w:lang w:bidi="ar-SA"/>
              </w:rPr>
            </w:pPr>
            <w:r w:rsidRPr="00AA22F2">
              <w:rPr>
                <w:rFonts w:asciiTheme="minorHAnsi" w:eastAsia="Calibri" w:hAnsiTheme="minorHAnsi" w:cstheme="minorHAnsi"/>
                <w:b/>
                <w:bCs/>
                <w:spacing w:val="-4"/>
                <w:szCs w:val="20"/>
                <w:lang w:bidi="ar-SA"/>
              </w:rPr>
              <w:t>Étendue</w:t>
            </w:r>
          </w:p>
        </w:tc>
        <w:tc>
          <w:tcPr>
            <w:tcW w:w="0" w:type="auto"/>
            <w:hideMark/>
          </w:tcPr>
          <w:p w14:paraId="2271ADEB" w14:textId="77777777" w:rsidR="00E31B68" w:rsidRPr="00AA22F2" w:rsidRDefault="00E31B68" w:rsidP="000A3EA4">
            <w:pPr>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heme="minorHAnsi"/>
                <w:spacing w:val="-4"/>
                <w:szCs w:val="20"/>
                <w:lang w:bidi="ar-SA"/>
              </w:rPr>
            </w:pPr>
            <w:r w:rsidRPr="00AA22F2">
              <w:rPr>
                <w:rFonts w:asciiTheme="minorHAnsi" w:eastAsia="Calibri" w:hAnsiTheme="minorHAnsi" w:cstheme="minorHAnsi"/>
                <w:spacing w:val="-4"/>
                <w:szCs w:val="20"/>
                <w:lang w:bidi="ar-SA"/>
              </w:rPr>
              <w:t>Effet cantonné au périmètre aéroportuaire.</w:t>
            </w:r>
          </w:p>
        </w:tc>
        <w:tc>
          <w:tcPr>
            <w:tcW w:w="0" w:type="auto"/>
            <w:hideMark/>
          </w:tcPr>
          <w:p w14:paraId="7E29C724" w14:textId="77777777" w:rsidR="00E31B68" w:rsidRPr="00AA22F2" w:rsidRDefault="00E31B68" w:rsidP="000A3EA4">
            <w:pPr>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heme="minorHAnsi"/>
                <w:spacing w:val="-4"/>
                <w:szCs w:val="20"/>
                <w:lang w:bidi="ar-SA"/>
              </w:rPr>
            </w:pPr>
            <w:r w:rsidRPr="00AA22F2">
              <w:rPr>
                <w:rFonts w:asciiTheme="minorHAnsi" w:eastAsia="Calibri" w:hAnsiTheme="minorHAnsi" w:cstheme="minorHAnsi"/>
                <w:b/>
                <w:bCs/>
                <w:spacing w:val="-4"/>
                <w:szCs w:val="20"/>
                <w:lang w:bidi="ar-SA"/>
              </w:rPr>
              <w:t>Locale</w:t>
            </w:r>
          </w:p>
        </w:tc>
      </w:tr>
      <w:tr w:rsidR="00E31B68" w:rsidRPr="00B27998" w14:paraId="3BCB73A3" w14:textId="77777777" w:rsidTr="000A3EA4">
        <w:tc>
          <w:tcPr>
            <w:cnfStyle w:val="001000000000" w:firstRow="0" w:lastRow="0" w:firstColumn="1" w:lastColumn="0" w:oddVBand="0" w:evenVBand="0" w:oddHBand="0" w:evenHBand="0" w:firstRowFirstColumn="0" w:firstRowLastColumn="0" w:lastRowFirstColumn="0" w:lastRowLastColumn="0"/>
            <w:tcW w:w="0" w:type="auto"/>
            <w:vMerge/>
            <w:hideMark/>
          </w:tcPr>
          <w:p w14:paraId="0A37BA98" w14:textId="77777777" w:rsidR="00E31B68" w:rsidRPr="00AA22F2" w:rsidRDefault="00E31B68" w:rsidP="000A3EA4">
            <w:pPr>
              <w:rPr>
                <w:rFonts w:asciiTheme="minorHAnsi" w:eastAsia="Calibri" w:hAnsiTheme="minorHAnsi" w:cstheme="minorHAnsi"/>
                <w:spacing w:val="-4"/>
                <w:szCs w:val="20"/>
                <w:lang w:bidi="ar-SA"/>
              </w:rPr>
            </w:pPr>
          </w:p>
        </w:tc>
        <w:tc>
          <w:tcPr>
            <w:tcW w:w="0" w:type="auto"/>
            <w:vMerge/>
            <w:hideMark/>
          </w:tcPr>
          <w:p w14:paraId="16FE1F81" w14:textId="77777777" w:rsidR="00E31B68" w:rsidRPr="00AA22F2" w:rsidRDefault="00E31B68" w:rsidP="000A3EA4">
            <w:pPr>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heme="minorHAnsi"/>
                <w:spacing w:val="-4"/>
                <w:szCs w:val="20"/>
                <w:lang w:bidi="ar-SA"/>
              </w:rPr>
            </w:pPr>
          </w:p>
        </w:tc>
        <w:tc>
          <w:tcPr>
            <w:tcW w:w="0" w:type="auto"/>
            <w:hideMark/>
          </w:tcPr>
          <w:p w14:paraId="2E0B59E0" w14:textId="77777777" w:rsidR="00E31B68" w:rsidRPr="00AA22F2" w:rsidRDefault="00E31B68" w:rsidP="000A3EA4">
            <w:pPr>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heme="minorHAnsi"/>
                <w:spacing w:val="-4"/>
                <w:szCs w:val="20"/>
                <w:lang w:bidi="ar-SA"/>
              </w:rPr>
            </w:pPr>
            <w:r w:rsidRPr="00AA22F2">
              <w:rPr>
                <w:rFonts w:asciiTheme="minorHAnsi" w:eastAsia="Calibri" w:hAnsiTheme="minorHAnsi" w:cstheme="minorHAnsi"/>
                <w:b/>
                <w:bCs/>
                <w:spacing w:val="-4"/>
                <w:szCs w:val="20"/>
                <w:lang w:bidi="ar-SA"/>
              </w:rPr>
              <w:t>Durée</w:t>
            </w:r>
          </w:p>
        </w:tc>
        <w:tc>
          <w:tcPr>
            <w:tcW w:w="0" w:type="auto"/>
            <w:hideMark/>
          </w:tcPr>
          <w:p w14:paraId="0483C131" w14:textId="77777777" w:rsidR="00E31B68" w:rsidRPr="00AA22F2" w:rsidRDefault="00E31B68" w:rsidP="000A3EA4">
            <w:pPr>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heme="minorHAnsi"/>
                <w:spacing w:val="-4"/>
                <w:szCs w:val="20"/>
                <w:lang w:bidi="ar-SA"/>
              </w:rPr>
            </w:pPr>
            <w:r w:rsidRPr="00AA22F2">
              <w:rPr>
                <w:rFonts w:asciiTheme="minorHAnsi" w:eastAsia="Calibri" w:hAnsiTheme="minorHAnsi" w:cstheme="minorHAnsi"/>
                <w:spacing w:val="-4"/>
                <w:szCs w:val="20"/>
                <w:lang w:bidi="ar-SA"/>
              </w:rPr>
              <w:t>Demeure avec les ouvrages.</w:t>
            </w:r>
          </w:p>
        </w:tc>
        <w:tc>
          <w:tcPr>
            <w:tcW w:w="0" w:type="auto"/>
            <w:hideMark/>
          </w:tcPr>
          <w:p w14:paraId="4D972DF8" w14:textId="77777777" w:rsidR="00E31B68" w:rsidRPr="00AA22F2" w:rsidRDefault="00E31B68" w:rsidP="000A3EA4">
            <w:pPr>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heme="minorHAnsi"/>
                <w:spacing w:val="-4"/>
                <w:szCs w:val="20"/>
                <w:lang w:bidi="ar-SA"/>
              </w:rPr>
            </w:pPr>
            <w:r w:rsidRPr="00AA22F2">
              <w:rPr>
                <w:rFonts w:asciiTheme="minorHAnsi" w:eastAsia="Calibri" w:hAnsiTheme="minorHAnsi" w:cstheme="minorHAnsi"/>
                <w:b/>
                <w:bCs/>
                <w:spacing w:val="-4"/>
                <w:szCs w:val="20"/>
                <w:lang w:bidi="ar-SA"/>
              </w:rPr>
              <w:t>Permanente</w:t>
            </w:r>
          </w:p>
        </w:tc>
      </w:tr>
      <w:tr w:rsidR="00E31B68" w:rsidRPr="00B27998" w14:paraId="16322448" w14:textId="77777777" w:rsidTr="000A3EA4">
        <w:tc>
          <w:tcPr>
            <w:cnfStyle w:val="001000000000" w:firstRow="0" w:lastRow="0" w:firstColumn="1" w:lastColumn="0" w:oddVBand="0" w:evenVBand="0" w:oddHBand="0" w:evenHBand="0" w:firstRowFirstColumn="0" w:firstRowLastColumn="0" w:lastRowFirstColumn="0" w:lastRowLastColumn="0"/>
            <w:tcW w:w="0" w:type="auto"/>
            <w:vMerge/>
            <w:hideMark/>
          </w:tcPr>
          <w:p w14:paraId="07200750" w14:textId="77777777" w:rsidR="00E31B68" w:rsidRPr="00AA22F2" w:rsidRDefault="00E31B68" w:rsidP="000A3EA4">
            <w:pPr>
              <w:rPr>
                <w:rFonts w:asciiTheme="minorHAnsi" w:eastAsia="Calibri" w:hAnsiTheme="minorHAnsi" w:cstheme="minorHAnsi"/>
                <w:spacing w:val="-4"/>
                <w:szCs w:val="20"/>
                <w:lang w:bidi="ar-SA"/>
              </w:rPr>
            </w:pPr>
          </w:p>
        </w:tc>
        <w:tc>
          <w:tcPr>
            <w:tcW w:w="0" w:type="auto"/>
            <w:vMerge/>
            <w:hideMark/>
          </w:tcPr>
          <w:p w14:paraId="72C54C65" w14:textId="77777777" w:rsidR="00E31B68" w:rsidRPr="00AA22F2" w:rsidRDefault="00E31B68" w:rsidP="000A3EA4">
            <w:pPr>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heme="minorHAnsi"/>
                <w:spacing w:val="-4"/>
                <w:szCs w:val="20"/>
                <w:lang w:bidi="ar-SA"/>
              </w:rPr>
            </w:pPr>
          </w:p>
        </w:tc>
        <w:tc>
          <w:tcPr>
            <w:tcW w:w="0" w:type="auto"/>
            <w:hideMark/>
          </w:tcPr>
          <w:p w14:paraId="1610B1B6" w14:textId="77777777" w:rsidR="00E31B68" w:rsidRPr="00AA22F2" w:rsidRDefault="00E31B68" w:rsidP="000A3EA4">
            <w:pPr>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heme="minorHAnsi"/>
                <w:spacing w:val="-4"/>
                <w:szCs w:val="20"/>
                <w:lang w:bidi="ar-SA"/>
              </w:rPr>
            </w:pPr>
            <w:r w:rsidRPr="00AA22F2">
              <w:rPr>
                <w:rFonts w:asciiTheme="minorHAnsi" w:eastAsia="Calibri" w:hAnsiTheme="minorHAnsi" w:cstheme="minorHAnsi"/>
                <w:b/>
                <w:bCs/>
                <w:spacing w:val="-4"/>
                <w:szCs w:val="20"/>
                <w:lang w:bidi="ar-SA"/>
              </w:rPr>
              <w:t>Fréquence</w:t>
            </w:r>
          </w:p>
        </w:tc>
        <w:tc>
          <w:tcPr>
            <w:tcW w:w="0" w:type="auto"/>
            <w:hideMark/>
          </w:tcPr>
          <w:p w14:paraId="197E3FB4" w14:textId="77777777" w:rsidR="00E31B68" w:rsidRPr="00AA22F2" w:rsidRDefault="00E31B68" w:rsidP="000A3EA4">
            <w:pPr>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heme="minorHAnsi"/>
                <w:spacing w:val="-4"/>
                <w:szCs w:val="20"/>
                <w:lang w:bidi="ar-SA"/>
              </w:rPr>
            </w:pPr>
            <w:r w:rsidRPr="00AA22F2">
              <w:rPr>
                <w:rFonts w:asciiTheme="minorHAnsi" w:eastAsia="Calibri" w:hAnsiTheme="minorHAnsi" w:cstheme="minorHAnsi"/>
                <w:spacing w:val="-4"/>
                <w:szCs w:val="20"/>
                <w:lang w:bidi="ar-SA"/>
              </w:rPr>
              <w:t>Condition structurelle permanente ; sollicitée à chaque pluie.</w:t>
            </w:r>
          </w:p>
        </w:tc>
        <w:tc>
          <w:tcPr>
            <w:tcW w:w="0" w:type="auto"/>
            <w:hideMark/>
          </w:tcPr>
          <w:p w14:paraId="1B5E92CB" w14:textId="77777777" w:rsidR="00E31B68" w:rsidRPr="00AA22F2" w:rsidRDefault="00E31B68" w:rsidP="000A3EA4">
            <w:pPr>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heme="minorHAnsi"/>
                <w:spacing w:val="-4"/>
                <w:szCs w:val="20"/>
                <w:lang w:bidi="ar-SA"/>
              </w:rPr>
            </w:pPr>
            <w:r w:rsidRPr="00AA22F2">
              <w:rPr>
                <w:rFonts w:asciiTheme="minorHAnsi" w:eastAsia="Calibri" w:hAnsiTheme="minorHAnsi" w:cstheme="minorHAnsi"/>
                <w:b/>
                <w:bCs/>
                <w:spacing w:val="-4"/>
                <w:szCs w:val="20"/>
                <w:lang w:bidi="ar-SA"/>
              </w:rPr>
              <w:t>Continue</w:t>
            </w:r>
          </w:p>
        </w:tc>
      </w:tr>
      <w:tr w:rsidR="00E31B68" w:rsidRPr="00B27998" w14:paraId="337AD49E" w14:textId="77777777" w:rsidTr="000A3EA4">
        <w:tc>
          <w:tcPr>
            <w:cnfStyle w:val="001000000000" w:firstRow="0" w:lastRow="0" w:firstColumn="1" w:lastColumn="0" w:oddVBand="0" w:evenVBand="0" w:oddHBand="0" w:evenHBand="0" w:firstRowFirstColumn="0" w:firstRowLastColumn="0" w:lastRowFirstColumn="0" w:lastRowLastColumn="0"/>
            <w:tcW w:w="0" w:type="auto"/>
            <w:vMerge/>
            <w:hideMark/>
          </w:tcPr>
          <w:p w14:paraId="1CA689EB" w14:textId="77777777" w:rsidR="00E31B68" w:rsidRPr="00AA22F2" w:rsidRDefault="00E31B68" w:rsidP="000A3EA4">
            <w:pPr>
              <w:rPr>
                <w:rFonts w:asciiTheme="minorHAnsi" w:eastAsia="Calibri" w:hAnsiTheme="minorHAnsi" w:cstheme="minorHAnsi"/>
                <w:spacing w:val="-4"/>
                <w:szCs w:val="20"/>
                <w:lang w:bidi="ar-SA"/>
              </w:rPr>
            </w:pPr>
          </w:p>
        </w:tc>
        <w:tc>
          <w:tcPr>
            <w:tcW w:w="0" w:type="auto"/>
            <w:vMerge/>
            <w:hideMark/>
          </w:tcPr>
          <w:p w14:paraId="3C05B2D8" w14:textId="77777777" w:rsidR="00E31B68" w:rsidRPr="00AA22F2" w:rsidRDefault="00E31B68" w:rsidP="000A3EA4">
            <w:pPr>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heme="minorHAnsi"/>
                <w:spacing w:val="-4"/>
                <w:szCs w:val="20"/>
                <w:lang w:bidi="ar-SA"/>
              </w:rPr>
            </w:pPr>
          </w:p>
        </w:tc>
        <w:tc>
          <w:tcPr>
            <w:tcW w:w="0" w:type="auto"/>
            <w:hideMark/>
          </w:tcPr>
          <w:p w14:paraId="41AAE455" w14:textId="77777777" w:rsidR="00E31B68" w:rsidRPr="00AA22F2" w:rsidRDefault="00E31B68" w:rsidP="000A3EA4">
            <w:pPr>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heme="minorHAnsi"/>
                <w:spacing w:val="-4"/>
                <w:szCs w:val="20"/>
                <w:lang w:bidi="ar-SA"/>
              </w:rPr>
            </w:pPr>
            <w:r w:rsidRPr="00AA22F2">
              <w:rPr>
                <w:rFonts w:asciiTheme="minorHAnsi" w:eastAsia="Calibri" w:hAnsiTheme="minorHAnsi" w:cstheme="minorHAnsi"/>
                <w:b/>
                <w:bCs/>
                <w:spacing w:val="-4"/>
                <w:szCs w:val="20"/>
                <w:lang w:bidi="ar-SA"/>
              </w:rPr>
              <w:t>Intensité</w:t>
            </w:r>
          </w:p>
        </w:tc>
        <w:tc>
          <w:tcPr>
            <w:tcW w:w="0" w:type="auto"/>
            <w:hideMark/>
          </w:tcPr>
          <w:p w14:paraId="54065EE1" w14:textId="3509478A" w:rsidR="00E31B68" w:rsidRPr="00AA22F2" w:rsidRDefault="00A16E41" w:rsidP="000A3EA4">
            <w:pPr>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heme="minorHAnsi"/>
                <w:spacing w:val="-4"/>
                <w:szCs w:val="20"/>
                <w:lang w:bidi="ar-SA"/>
              </w:rPr>
            </w:pPr>
            <w:r w:rsidRPr="00A16E41">
              <w:rPr>
                <w:rFonts w:asciiTheme="minorHAnsi" w:eastAsia="Calibri" w:hAnsiTheme="minorHAnsi" w:cstheme="minorHAnsi"/>
                <w:spacing w:val="-4"/>
                <w:szCs w:val="20"/>
                <w:lang w:bidi="ar-SA"/>
              </w:rPr>
              <w:t>Perte de la perméabilité naturelle</w:t>
            </w:r>
          </w:p>
        </w:tc>
        <w:tc>
          <w:tcPr>
            <w:tcW w:w="0" w:type="auto"/>
            <w:hideMark/>
          </w:tcPr>
          <w:p w14:paraId="1372BAF4" w14:textId="51260DF1" w:rsidR="00E31B68" w:rsidRPr="00AA22F2" w:rsidRDefault="00E31B68" w:rsidP="000A3EA4">
            <w:pPr>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heme="minorHAnsi"/>
                <w:spacing w:val="-4"/>
                <w:szCs w:val="20"/>
                <w:lang w:bidi="ar-SA"/>
              </w:rPr>
            </w:pPr>
            <w:r w:rsidRPr="00AA22F2">
              <w:rPr>
                <w:rFonts w:asciiTheme="minorHAnsi" w:eastAsia="Calibri" w:hAnsiTheme="minorHAnsi" w:cstheme="minorHAnsi"/>
                <w:b/>
                <w:bCs/>
                <w:spacing w:val="-4"/>
                <w:szCs w:val="20"/>
                <w:lang w:bidi="ar-SA"/>
              </w:rPr>
              <w:t>F</w:t>
            </w:r>
            <w:r w:rsidR="00A16E41">
              <w:rPr>
                <w:rFonts w:asciiTheme="minorHAnsi" w:eastAsia="Calibri" w:hAnsiTheme="minorHAnsi" w:cstheme="minorHAnsi"/>
                <w:b/>
                <w:bCs/>
                <w:spacing w:val="-4"/>
                <w:szCs w:val="20"/>
                <w:lang w:bidi="ar-SA"/>
              </w:rPr>
              <w:t>orte</w:t>
            </w:r>
          </w:p>
        </w:tc>
      </w:tr>
      <w:tr w:rsidR="00E31B68" w:rsidRPr="00B27998" w14:paraId="771BA5E8" w14:textId="77777777" w:rsidTr="005A7661">
        <w:tc>
          <w:tcPr>
            <w:cnfStyle w:val="001000000000" w:firstRow="0" w:lastRow="0" w:firstColumn="1" w:lastColumn="0" w:oddVBand="0" w:evenVBand="0" w:oddHBand="0" w:evenHBand="0" w:firstRowFirstColumn="0" w:firstRowLastColumn="0" w:lastRowFirstColumn="0" w:lastRowLastColumn="0"/>
            <w:tcW w:w="0" w:type="auto"/>
            <w:vMerge/>
          </w:tcPr>
          <w:p w14:paraId="5D689E33" w14:textId="77777777" w:rsidR="00E31B68" w:rsidRPr="00E31B68" w:rsidRDefault="00E31B68" w:rsidP="000A3EA4">
            <w:pPr>
              <w:rPr>
                <w:rFonts w:asciiTheme="minorHAnsi" w:eastAsia="Calibri" w:hAnsiTheme="minorHAnsi" w:cstheme="minorHAnsi"/>
                <w:spacing w:val="-4"/>
                <w:szCs w:val="20"/>
                <w:lang w:bidi="ar-SA"/>
              </w:rPr>
            </w:pPr>
          </w:p>
        </w:tc>
        <w:tc>
          <w:tcPr>
            <w:tcW w:w="0" w:type="auto"/>
            <w:gridSpan w:val="4"/>
          </w:tcPr>
          <w:p w14:paraId="4A77F5C0" w14:textId="77777777" w:rsidR="00E31B68" w:rsidRPr="00E31B68" w:rsidRDefault="00E31B68" w:rsidP="004637C7">
            <w:pPr>
              <w:spacing w:before="0" w:after="0"/>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heme="minorHAnsi"/>
                <w:b/>
                <w:bCs/>
                <w:spacing w:val="-4"/>
                <w:szCs w:val="20"/>
                <w:lang w:bidi="ar-SA"/>
              </w:rPr>
            </w:pPr>
          </w:p>
        </w:tc>
      </w:tr>
      <w:tr w:rsidR="00E31B68" w:rsidRPr="00B27998" w14:paraId="2F21D988" w14:textId="77777777" w:rsidTr="004637C7">
        <w:tc>
          <w:tcPr>
            <w:cnfStyle w:val="001000000000" w:firstRow="0" w:lastRow="0" w:firstColumn="1" w:lastColumn="0" w:oddVBand="0" w:evenVBand="0" w:oddHBand="0" w:evenHBand="0" w:firstRowFirstColumn="0" w:firstRowLastColumn="0" w:lastRowFirstColumn="0" w:lastRowLastColumn="0"/>
            <w:tcW w:w="0" w:type="auto"/>
            <w:vMerge/>
          </w:tcPr>
          <w:p w14:paraId="7AB8A958" w14:textId="77777777" w:rsidR="00E31B68" w:rsidRPr="00E31B68" w:rsidRDefault="00E31B68" w:rsidP="00E31B68">
            <w:pPr>
              <w:rPr>
                <w:rFonts w:asciiTheme="minorHAnsi" w:eastAsia="Calibri" w:hAnsiTheme="minorHAnsi" w:cstheme="minorHAnsi"/>
                <w:spacing w:val="-4"/>
                <w:szCs w:val="20"/>
                <w:lang w:bidi="ar-SA"/>
              </w:rPr>
            </w:pPr>
          </w:p>
        </w:tc>
        <w:tc>
          <w:tcPr>
            <w:tcW w:w="0" w:type="auto"/>
            <w:shd w:val="clear" w:color="auto" w:fill="8EAADB" w:themeFill="accent1" w:themeFillTint="99"/>
            <w:vAlign w:val="center"/>
          </w:tcPr>
          <w:p w14:paraId="19457CBF" w14:textId="52EF36E4" w:rsidR="00E31B68" w:rsidRPr="00E31B68" w:rsidRDefault="00E31B68" w:rsidP="00E31B68">
            <w:pPr>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heme="minorHAnsi"/>
                <w:spacing w:val="-4"/>
                <w:szCs w:val="20"/>
                <w:lang w:bidi="ar-SA"/>
              </w:rPr>
            </w:pPr>
            <w:r w:rsidRPr="00D00A1B">
              <w:rPr>
                <w:rFonts w:asciiTheme="minorHAnsi" w:hAnsiTheme="minorHAnsi" w:cstheme="minorHAnsi"/>
                <w:b/>
                <w:bCs/>
                <w:szCs w:val="20"/>
              </w:rPr>
              <w:t>Intensité de l’impact</w:t>
            </w:r>
          </w:p>
        </w:tc>
        <w:tc>
          <w:tcPr>
            <w:tcW w:w="0" w:type="auto"/>
            <w:shd w:val="clear" w:color="auto" w:fill="8EAADB" w:themeFill="accent1" w:themeFillTint="99"/>
            <w:vAlign w:val="center"/>
          </w:tcPr>
          <w:p w14:paraId="19CF74E5" w14:textId="3E19B7A6" w:rsidR="00E31B68" w:rsidRPr="00E31B68" w:rsidRDefault="00E31B68" w:rsidP="00E31B68">
            <w:pPr>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heme="minorHAnsi"/>
                <w:b/>
                <w:bCs/>
                <w:spacing w:val="-4"/>
                <w:szCs w:val="20"/>
                <w:lang w:bidi="ar-SA"/>
              </w:rPr>
            </w:pPr>
            <w:r w:rsidRPr="00D00A1B">
              <w:rPr>
                <w:rFonts w:asciiTheme="minorHAnsi" w:hAnsiTheme="minorHAnsi" w:cstheme="minorHAnsi"/>
                <w:b/>
                <w:bCs/>
                <w:szCs w:val="20"/>
              </w:rPr>
              <w:t>Récepteurs</w:t>
            </w:r>
          </w:p>
        </w:tc>
        <w:tc>
          <w:tcPr>
            <w:tcW w:w="0" w:type="auto"/>
            <w:shd w:val="clear" w:color="auto" w:fill="8EAADB" w:themeFill="accent1" w:themeFillTint="99"/>
            <w:vAlign w:val="center"/>
          </w:tcPr>
          <w:p w14:paraId="46C42FEF" w14:textId="7BA72794" w:rsidR="00E31B68" w:rsidRPr="00E31B68" w:rsidRDefault="00E31B68" w:rsidP="00E31B68">
            <w:pPr>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heme="minorHAnsi"/>
                <w:spacing w:val="-4"/>
                <w:szCs w:val="20"/>
                <w:lang w:bidi="ar-SA"/>
              </w:rPr>
            </w:pPr>
            <w:r w:rsidRPr="00D00A1B">
              <w:rPr>
                <w:rFonts w:asciiTheme="minorHAnsi" w:hAnsiTheme="minorHAnsi" w:cstheme="minorHAnsi"/>
                <w:b/>
                <w:bCs/>
                <w:szCs w:val="20"/>
              </w:rPr>
              <w:t>Sensibilité</w:t>
            </w:r>
          </w:p>
        </w:tc>
        <w:tc>
          <w:tcPr>
            <w:tcW w:w="0" w:type="auto"/>
            <w:shd w:val="clear" w:color="auto" w:fill="8EAADB" w:themeFill="accent1" w:themeFillTint="99"/>
            <w:vAlign w:val="center"/>
          </w:tcPr>
          <w:p w14:paraId="6F6FCD3F" w14:textId="56A65585" w:rsidR="00E31B68" w:rsidRPr="00E31B68" w:rsidRDefault="00E31B68" w:rsidP="00E31B68">
            <w:pPr>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heme="minorHAnsi"/>
                <w:b/>
                <w:bCs/>
                <w:spacing w:val="-4"/>
                <w:szCs w:val="20"/>
                <w:lang w:bidi="ar-SA"/>
              </w:rPr>
            </w:pPr>
            <w:r w:rsidRPr="00D00A1B">
              <w:rPr>
                <w:rFonts w:asciiTheme="minorHAnsi" w:hAnsiTheme="minorHAnsi" w:cstheme="minorHAnsi"/>
                <w:b/>
                <w:bCs/>
                <w:szCs w:val="20"/>
              </w:rPr>
              <w:t>Importance de l’impact</w:t>
            </w:r>
          </w:p>
        </w:tc>
      </w:tr>
      <w:tr w:rsidR="00E31B68" w:rsidRPr="00B27998" w14:paraId="162B382C" w14:textId="77777777" w:rsidTr="000A3EA4">
        <w:tc>
          <w:tcPr>
            <w:cnfStyle w:val="001000000000" w:firstRow="0" w:lastRow="0" w:firstColumn="1" w:lastColumn="0" w:oddVBand="0" w:evenVBand="0" w:oddHBand="0" w:evenHBand="0" w:firstRowFirstColumn="0" w:firstRowLastColumn="0" w:lastRowFirstColumn="0" w:lastRowLastColumn="0"/>
            <w:tcW w:w="0" w:type="auto"/>
            <w:vMerge/>
          </w:tcPr>
          <w:p w14:paraId="40A302C2" w14:textId="77777777" w:rsidR="00E31B68" w:rsidRPr="00E31B68" w:rsidRDefault="00E31B68" w:rsidP="00E31B68">
            <w:pPr>
              <w:rPr>
                <w:rFonts w:asciiTheme="minorHAnsi" w:eastAsia="Calibri" w:hAnsiTheme="minorHAnsi" w:cstheme="minorHAnsi"/>
                <w:spacing w:val="-4"/>
                <w:szCs w:val="20"/>
                <w:lang w:bidi="ar-SA"/>
              </w:rPr>
            </w:pPr>
          </w:p>
        </w:tc>
        <w:tc>
          <w:tcPr>
            <w:tcW w:w="0" w:type="auto"/>
          </w:tcPr>
          <w:p w14:paraId="48ADA9D6" w14:textId="4A8984EB" w:rsidR="00E31B68" w:rsidRPr="00E31B68" w:rsidRDefault="00E31B68" w:rsidP="00E31B68">
            <w:pPr>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heme="minorHAnsi"/>
                <w:spacing w:val="-4"/>
                <w:szCs w:val="20"/>
                <w:lang w:bidi="ar-SA"/>
              </w:rPr>
            </w:pPr>
            <w:r>
              <w:rPr>
                <w:rFonts w:asciiTheme="minorHAnsi" w:eastAsia="Calibri" w:hAnsiTheme="minorHAnsi" w:cstheme="minorHAnsi"/>
                <w:spacing w:val="-4"/>
                <w:szCs w:val="20"/>
                <w:lang w:bidi="ar-SA"/>
              </w:rPr>
              <w:t>F</w:t>
            </w:r>
            <w:r w:rsidR="00A16E41">
              <w:rPr>
                <w:rFonts w:asciiTheme="minorHAnsi" w:eastAsia="Calibri" w:hAnsiTheme="minorHAnsi" w:cstheme="minorHAnsi"/>
                <w:spacing w:val="-4"/>
                <w:szCs w:val="20"/>
                <w:lang w:bidi="ar-SA"/>
              </w:rPr>
              <w:t>orte</w:t>
            </w:r>
          </w:p>
        </w:tc>
        <w:tc>
          <w:tcPr>
            <w:tcW w:w="0" w:type="auto"/>
          </w:tcPr>
          <w:p w14:paraId="49595D05" w14:textId="1CB20C23" w:rsidR="00E31B68" w:rsidRPr="00E31B68" w:rsidRDefault="00E31B68" w:rsidP="00E31B68">
            <w:pPr>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heme="minorHAnsi"/>
                <w:b/>
                <w:bCs/>
                <w:spacing w:val="-4"/>
                <w:szCs w:val="20"/>
                <w:lang w:bidi="ar-SA"/>
              </w:rPr>
            </w:pPr>
            <w:r>
              <w:rPr>
                <w:rFonts w:asciiTheme="minorHAnsi" w:eastAsia="Calibri" w:hAnsiTheme="minorHAnsi" w:cstheme="minorHAnsi"/>
                <w:b/>
                <w:bCs/>
                <w:spacing w:val="-4"/>
                <w:szCs w:val="20"/>
                <w:lang w:bidi="ar-SA"/>
              </w:rPr>
              <w:t>Sol</w:t>
            </w:r>
          </w:p>
        </w:tc>
        <w:tc>
          <w:tcPr>
            <w:tcW w:w="0" w:type="auto"/>
          </w:tcPr>
          <w:p w14:paraId="04526056" w14:textId="4DC486FA" w:rsidR="00E31B68" w:rsidRPr="00E31B68" w:rsidRDefault="00E31B68" w:rsidP="00E31B68">
            <w:pPr>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heme="minorHAnsi"/>
                <w:spacing w:val="-4"/>
                <w:szCs w:val="20"/>
                <w:lang w:bidi="ar-SA"/>
              </w:rPr>
            </w:pPr>
            <w:r w:rsidRPr="004637C7">
              <w:rPr>
                <w:rFonts w:asciiTheme="minorHAnsi" w:eastAsia="Calibri" w:hAnsiTheme="minorHAnsi" w:cstheme="minorHAnsi"/>
                <w:b/>
                <w:bCs/>
                <w:spacing w:val="-4"/>
                <w:szCs w:val="20"/>
                <w:lang w:bidi="ar-SA"/>
              </w:rPr>
              <w:t>Moyenne</w:t>
            </w:r>
            <w:r w:rsidR="00A16E41">
              <w:rPr>
                <w:rFonts w:asciiTheme="minorHAnsi" w:eastAsia="Calibri" w:hAnsiTheme="minorHAnsi" w:cstheme="minorHAnsi"/>
                <w:spacing w:val="-4"/>
                <w:szCs w:val="20"/>
                <w:lang w:bidi="ar-SA"/>
              </w:rPr>
              <w:t xml:space="preserve"> : </w:t>
            </w:r>
            <w:r w:rsidR="00A16E41" w:rsidRPr="00A16E41">
              <w:rPr>
                <w:rFonts w:asciiTheme="minorHAnsi" w:eastAsia="Calibri" w:hAnsiTheme="minorHAnsi" w:cstheme="minorHAnsi"/>
                <w:spacing w:val="-4"/>
                <w:szCs w:val="20"/>
                <w:lang w:bidi="ar-SA"/>
              </w:rPr>
              <w:t>Sols semi-arides sensibles à la compaction</w:t>
            </w:r>
          </w:p>
        </w:tc>
        <w:tc>
          <w:tcPr>
            <w:tcW w:w="0" w:type="auto"/>
          </w:tcPr>
          <w:p w14:paraId="67467CB6" w14:textId="495E69B1" w:rsidR="00E31B68" w:rsidRPr="00E31B68" w:rsidRDefault="00E31B68" w:rsidP="00E31B68">
            <w:pPr>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heme="minorHAnsi"/>
                <w:b/>
                <w:bCs/>
                <w:spacing w:val="-4"/>
                <w:szCs w:val="20"/>
                <w:lang w:bidi="ar-SA"/>
              </w:rPr>
            </w:pPr>
            <w:r>
              <w:rPr>
                <w:rFonts w:asciiTheme="minorHAnsi" w:eastAsia="Calibri" w:hAnsiTheme="minorHAnsi" w:cstheme="minorHAnsi"/>
                <w:b/>
                <w:bCs/>
                <w:spacing w:val="-4"/>
                <w:szCs w:val="20"/>
                <w:lang w:bidi="ar-SA"/>
              </w:rPr>
              <w:t>M</w:t>
            </w:r>
            <w:r w:rsidR="00A16E41">
              <w:rPr>
                <w:rFonts w:asciiTheme="minorHAnsi" w:eastAsia="Calibri" w:hAnsiTheme="minorHAnsi" w:cstheme="minorHAnsi"/>
                <w:b/>
                <w:bCs/>
                <w:spacing w:val="-4"/>
                <w:szCs w:val="20"/>
                <w:lang w:bidi="ar-SA"/>
              </w:rPr>
              <w:t>ajeure</w:t>
            </w:r>
          </w:p>
        </w:tc>
      </w:tr>
    </w:tbl>
    <w:p w14:paraId="0246B33B" w14:textId="42652244" w:rsidR="00AE45D9" w:rsidRPr="00F359B6" w:rsidRDefault="00AE45D9" w:rsidP="0001633E">
      <w:pPr>
        <w:pStyle w:val="AltTitle2"/>
        <w:numPr>
          <w:ilvl w:val="0"/>
          <w:numId w:val="106"/>
        </w:numPr>
      </w:pPr>
      <w:r w:rsidRPr="00F359B6">
        <w:t>Risque de pollution chronique</w:t>
      </w:r>
    </w:p>
    <w:p w14:paraId="0F910A7F" w14:textId="77777777" w:rsidR="00A16E41" w:rsidRDefault="00A16E41" w:rsidP="00A16E41">
      <w:r>
        <w:t>Durant la phase d’exploitation, les activités de maintenance, de ravitaillement et de lavage des équipements peuvent générer des pollutions diffuses.</w:t>
      </w:r>
    </w:p>
    <w:p w14:paraId="4A4C70A5" w14:textId="77777777" w:rsidR="00A16E41" w:rsidRDefault="00A16E41" w:rsidP="00A16E41">
      <w:r>
        <w:t>Ce risque, bien que peu fréquent, pourrait provoquer une accumulation lente d’hydrocarbures.</w:t>
      </w:r>
    </w:p>
    <w:p w14:paraId="67F505B3" w14:textId="460B1552" w:rsidR="00AE45D9" w:rsidRDefault="00A16E41" w:rsidP="00AE45D9">
      <w:r>
        <w:t>La probabilité est occasionnelle, la gravité modérée, le risque global modéré</w:t>
      </w:r>
      <w:r w:rsidR="00AE45D9" w:rsidRPr="00F359B6">
        <w:t>.</w:t>
      </w:r>
    </w:p>
    <w:tbl>
      <w:tblPr>
        <w:tblStyle w:val="TableauGrille1Clair-Accentuation111"/>
        <w:tblW w:w="0" w:type="auto"/>
        <w:tblLook w:val="04A0" w:firstRow="1" w:lastRow="0" w:firstColumn="1" w:lastColumn="0" w:noHBand="0" w:noVBand="1"/>
      </w:tblPr>
      <w:tblGrid>
        <w:gridCol w:w="1280"/>
        <w:gridCol w:w="1719"/>
        <w:gridCol w:w="1579"/>
        <w:gridCol w:w="3138"/>
        <w:gridCol w:w="1344"/>
      </w:tblGrid>
      <w:tr w:rsidR="00D00A1B" w:rsidRPr="00D00A1B" w14:paraId="1D10BABD" w14:textId="77777777" w:rsidTr="000A3EA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329FF8F8" w14:textId="77777777" w:rsidR="00D00A1B" w:rsidRPr="00AA22F2" w:rsidRDefault="00D00A1B" w:rsidP="000A3EA4">
            <w:pPr>
              <w:rPr>
                <w:szCs w:val="20"/>
              </w:rPr>
            </w:pPr>
            <w:r w:rsidRPr="00AA22F2">
              <w:rPr>
                <w:szCs w:val="20"/>
              </w:rPr>
              <w:t>Risque</w:t>
            </w:r>
          </w:p>
        </w:tc>
        <w:tc>
          <w:tcPr>
            <w:tcW w:w="0" w:type="auto"/>
            <w:hideMark/>
          </w:tcPr>
          <w:p w14:paraId="3E1F0A40" w14:textId="77777777" w:rsidR="00D00A1B" w:rsidRPr="00AA22F2" w:rsidRDefault="00D00A1B" w:rsidP="000A3EA4">
            <w:pPr>
              <w:cnfStyle w:val="100000000000" w:firstRow="1" w:lastRow="0" w:firstColumn="0" w:lastColumn="0" w:oddVBand="0" w:evenVBand="0" w:oddHBand="0" w:evenHBand="0" w:firstRowFirstColumn="0" w:firstRowLastColumn="0" w:lastRowFirstColumn="0" w:lastRowLastColumn="0"/>
              <w:rPr>
                <w:szCs w:val="20"/>
              </w:rPr>
            </w:pPr>
            <w:r w:rsidRPr="00AA22F2">
              <w:rPr>
                <w:szCs w:val="20"/>
              </w:rPr>
              <w:t>Activités génératrices</w:t>
            </w:r>
          </w:p>
        </w:tc>
        <w:tc>
          <w:tcPr>
            <w:tcW w:w="0" w:type="auto"/>
            <w:hideMark/>
          </w:tcPr>
          <w:p w14:paraId="47D91004" w14:textId="77777777" w:rsidR="00D00A1B" w:rsidRPr="00AA22F2" w:rsidRDefault="00D00A1B" w:rsidP="000A3EA4">
            <w:pPr>
              <w:cnfStyle w:val="100000000000" w:firstRow="1" w:lastRow="0" w:firstColumn="0" w:lastColumn="0" w:oddVBand="0" w:evenVBand="0" w:oddHBand="0" w:evenHBand="0" w:firstRowFirstColumn="0" w:firstRowLastColumn="0" w:lastRowFirstColumn="0" w:lastRowLastColumn="0"/>
              <w:rPr>
                <w:szCs w:val="20"/>
              </w:rPr>
            </w:pPr>
            <w:r w:rsidRPr="00AA22F2">
              <w:rPr>
                <w:szCs w:val="20"/>
              </w:rPr>
              <w:t>Critère</w:t>
            </w:r>
          </w:p>
        </w:tc>
        <w:tc>
          <w:tcPr>
            <w:tcW w:w="0" w:type="auto"/>
            <w:hideMark/>
          </w:tcPr>
          <w:p w14:paraId="6D485054" w14:textId="77777777" w:rsidR="00D00A1B" w:rsidRPr="00AA22F2" w:rsidRDefault="00D00A1B" w:rsidP="000A3EA4">
            <w:pPr>
              <w:cnfStyle w:val="100000000000" w:firstRow="1" w:lastRow="0" w:firstColumn="0" w:lastColumn="0" w:oddVBand="0" w:evenVBand="0" w:oddHBand="0" w:evenHBand="0" w:firstRowFirstColumn="0" w:firstRowLastColumn="0" w:lastRowFirstColumn="0" w:lastRowLastColumn="0"/>
              <w:rPr>
                <w:szCs w:val="20"/>
              </w:rPr>
            </w:pPr>
            <w:r w:rsidRPr="00AA22F2">
              <w:rPr>
                <w:szCs w:val="20"/>
              </w:rPr>
              <w:t>Justification</w:t>
            </w:r>
          </w:p>
        </w:tc>
        <w:tc>
          <w:tcPr>
            <w:tcW w:w="0" w:type="auto"/>
            <w:hideMark/>
          </w:tcPr>
          <w:p w14:paraId="0A3E8F6B" w14:textId="77777777" w:rsidR="00D00A1B" w:rsidRPr="00AA22F2" w:rsidRDefault="00D00A1B" w:rsidP="000A3EA4">
            <w:pPr>
              <w:cnfStyle w:val="100000000000" w:firstRow="1" w:lastRow="0" w:firstColumn="0" w:lastColumn="0" w:oddVBand="0" w:evenVBand="0" w:oddHBand="0" w:evenHBand="0" w:firstRowFirstColumn="0" w:firstRowLastColumn="0" w:lastRowFirstColumn="0" w:lastRowLastColumn="0"/>
              <w:rPr>
                <w:szCs w:val="20"/>
              </w:rPr>
            </w:pPr>
            <w:r w:rsidRPr="00AA22F2">
              <w:rPr>
                <w:szCs w:val="20"/>
              </w:rPr>
              <w:t>Niveau</w:t>
            </w:r>
          </w:p>
        </w:tc>
      </w:tr>
      <w:tr w:rsidR="00D00A1B" w:rsidRPr="00D00A1B" w14:paraId="2A7B8F91" w14:textId="77777777" w:rsidTr="004637C7">
        <w:tc>
          <w:tcPr>
            <w:cnfStyle w:val="001000000000" w:firstRow="0" w:lastRow="0" w:firstColumn="1" w:lastColumn="0" w:oddVBand="0" w:evenVBand="0" w:oddHBand="0" w:evenHBand="0" w:firstRowFirstColumn="0" w:firstRowLastColumn="0" w:lastRowFirstColumn="0" w:lastRowLastColumn="0"/>
            <w:tcW w:w="0" w:type="auto"/>
            <w:vMerge w:val="restart"/>
          </w:tcPr>
          <w:p w14:paraId="25D8A759" w14:textId="1D769308" w:rsidR="00D00A1B" w:rsidRPr="00AA22F2" w:rsidRDefault="00A16E41" w:rsidP="000A3EA4">
            <w:pPr>
              <w:rPr>
                <w:szCs w:val="20"/>
              </w:rPr>
            </w:pPr>
            <w:r w:rsidRPr="00A16E41">
              <w:rPr>
                <w:szCs w:val="20"/>
              </w:rPr>
              <w:t>Pollution chronique du sol</w:t>
            </w:r>
          </w:p>
        </w:tc>
        <w:tc>
          <w:tcPr>
            <w:tcW w:w="0" w:type="auto"/>
            <w:vMerge w:val="restart"/>
          </w:tcPr>
          <w:p w14:paraId="0398CE23" w14:textId="50CC78C2" w:rsidR="00D00A1B" w:rsidRPr="00AA22F2" w:rsidRDefault="00A16E41" w:rsidP="000A3EA4">
            <w:pPr>
              <w:cnfStyle w:val="000000000000" w:firstRow="0" w:lastRow="0" w:firstColumn="0" w:lastColumn="0" w:oddVBand="0" w:evenVBand="0" w:oddHBand="0" w:evenHBand="0" w:firstRowFirstColumn="0" w:firstRowLastColumn="0" w:lastRowFirstColumn="0" w:lastRowLastColumn="0"/>
              <w:rPr>
                <w:szCs w:val="20"/>
              </w:rPr>
            </w:pPr>
            <w:r w:rsidRPr="00A16E41">
              <w:rPr>
                <w:szCs w:val="20"/>
              </w:rPr>
              <w:t>Entretien et lavage des véhicules, fuites d’huiles</w:t>
            </w:r>
          </w:p>
        </w:tc>
        <w:tc>
          <w:tcPr>
            <w:tcW w:w="0" w:type="auto"/>
            <w:hideMark/>
          </w:tcPr>
          <w:p w14:paraId="1828CF29" w14:textId="77777777" w:rsidR="00D00A1B" w:rsidRPr="00AA22F2" w:rsidRDefault="00D00A1B" w:rsidP="000A3EA4">
            <w:pPr>
              <w:cnfStyle w:val="000000000000" w:firstRow="0" w:lastRow="0" w:firstColumn="0" w:lastColumn="0" w:oddVBand="0" w:evenVBand="0" w:oddHBand="0" w:evenHBand="0" w:firstRowFirstColumn="0" w:firstRowLastColumn="0" w:lastRowFirstColumn="0" w:lastRowLastColumn="0"/>
              <w:rPr>
                <w:szCs w:val="20"/>
              </w:rPr>
            </w:pPr>
            <w:r w:rsidRPr="00AA22F2">
              <w:rPr>
                <w:b/>
                <w:bCs/>
                <w:szCs w:val="20"/>
              </w:rPr>
              <w:t>Probabilité d’occurrence</w:t>
            </w:r>
          </w:p>
        </w:tc>
        <w:tc>
          <w:tcPr>
            <w:tcW w:w="0" w:type="auto"/>
          </w:tcPr>
          <w:p w14:paraId="70A02571" w14:textId="192D0907" w:rsidR="00D00A1B" w:rsidRPr="00AA22F2" w:rsidRDefault="009A6940" w:rsidP="000A3EA4">
            <w:pPr>
              <w:cnfStyle w:val="000000000000" w:firstRow="0" w:lastRow="0" w:firstColumn="0" w:lastColumn="0" w:oddVBand="0" w:evenVBand="0" w:oddHBand="0" w:evenHBand="0" w:firstRowFirstColumn="0" w:firstRowLastColumn="0" w:lastRowFirstColumn="0" w:lastRowLastColumn="0"/>
              <w:rPr>
                <w:szCs w:val="20"/>
              </w:rPr>
            </w:pPr>
            <w:r>
              <w:rPr>
                <w:szCs w:val="20"/>
              </w:rPr>
              <w:t>L</w:t>
            </w:r>
            <w:r w:rsidR="00A16E41" w:rsidRPr="00A16E41">
              <w:rPr>
                <w:szCs w:val="20"/>
              </w:rPr>
              <w:t xml:space="preserve">es impacts surviennent uniquement lors d’événements spécifiques </w:t>
            </w:r>
          </w:p>
        </w:tc>
        <w:tc>
          <w:tcPr>
            <w:tcW w:w="0" w:type="auto"/>
          </w:tcPr>
          <w:p w14:paraId="4AC9602E" w14:textId="3EE8753F" w:rsidR="00D00A1B" w:rsidRPr="00AA22F2" w:rsidRDefault="00A16E41" w:rsidP="000A3EA4">
            <w:pPr>
              <w:cnfStyle w:val="000000000000" w:firstRow="0" w:lastRow="0" w:firstColumn="0" w:lastColumn="0" w:oddVBand="0" w:evenVBand="0" w:oddHBand="0" w:evenHBand="0" w:firstRowFirstColumn="0" w:firstRowLastColumn="0" w:lastRowFirstColumn="0" w:lastRowLastColumn="0"/>
              <w:rPr>
                <w:szCs w:val="20"/>
              </w:rPr>
            </w:pPr>
            <w:r>
              <w:rPr>
                <w:szCs w:val="20"/>
              </w:rPr>
              <w:t>Occasionnelle</w:t>
            </w:r>
          </w:p>
        </w:tc>
      </w:tr>
      <w:tr w:rsidR="00D00A1B" w:rsidRPr="00D00A1B" w14:paraId="55C5D4FE" w14:textId="77777777" w:rsidTr="004637C7">
        <w:tc>
          <w:tcPr>
            <w:cnfStyle w:val="001000000000" w:firstRow="0" w:lastRow="0" w:firstColumn="1" w:lastColumn="0" w:oddVBand="0" w:evenVBand="0" w:oddHBand="0" w:evenHBand="0" w:firstRowFirstColumn="0" w:firstRowLastColumn="0" w:lastRowFirstColumn="0" w:lastRowLastColumn="0"/>
            <w:tcW w:w="0" w:type="auto"/>
            <w:vMerge/>
          </w:tcPr>
          <w:p w14:paraId="613F72C2" w14:textId="77777777" w:rsidR="00D00A1B" w:rsidRPr="00AA22F2" w:rsidRDefault="00D00A1B" w:rsidP="000A3EA4">
            <w:pPr>
              <w:rPr>
                <w:szCs w:val="20"/>
              </w:rPr>
            </w:pPr>
          </w:p>
        </w:tc>
        <w:tc>
          <w:tcPr>
            <w:tcW w:w="0" w:type="auto"/>
            <w:vMerge/>
          </w:tcPr>
          <w:p w14:paraId="5A226872" w14:textId="77777777" w:rsidR="00D00A1B" w:rsidRPr="00AA22F2" w:rsidRDefault="00D00A1B" w:rsidP="000A3EA4">
            <w:pPr>
              <w:cnfStyle w:val="000000000000" w:firstRow="0" w:lastRow="0" w:firstColumn="0" w:lastColumn="0" w:oddVBand="0" w:evenVBand="0" w:oddHBand="0" w:evenHBand="0" w:firstRowFirstColumn="0" w:firstRowLastColumn="0" w:lastRowFirstColumn="0" w:lastRowLastColumn="0"/>
              <w:rPr>
                <w:szCs w:val="20"/>
              </w:rPr>
            </w:pPr>
          </w:p>
        </w:tc>
        <w:tc>
          <w:tcPr>
            <w:tcW w:w="0" w:type="auto"/>
            <w:hideMark/>
          </w:tcPr>
          <w:p w14:paraId="750DD3CC" w14:textId="77777777" w:rsidR="00D00A1B" w:rsidRPr="00AA22F2" w:rsidRDefault="00D00A1B" w:rsidP="000A3EA4">
            <w:pPr>
              <w:cnfStyle w:val="000000000000" w:firstRow="0" w:lastRow="0" w:firstColumn="0" w:lastColumn="0" w:oddVBand="0" w:evenVBand="0" w:oddHBand="0" w:evenHBand="0" w:firstRowFirstColumn="0" w:firstRowLastColumn="0" w:lastRowFirstColumn="0" w:lastRowLastColumn="0"/>
              <w:rPr>
                <w:szCs w:val="20"/>
              </w:rPr>
            </w:pPr>
            <w:r w:rsidRPr="00AA22F2">
              <w:rPr>
                <w:b/>
                <w:bCs/>
                <w:szCs w:val="20"/>
              </w:rPr>
              <w:t>Gravité des conséquences</w:t>
            </w:r>
          </w:p>
        </w:tc>
        <w:tc>
          <w:tcPr>
            <w:tcW w:w="0" w:type="auto"/>
          </w:tcPr>
          <w:p w14:paraId="2E833903" w14:textId="575FD3F2" w:rsidR="00D00A1B" w:rsidRPr="00AA22F2" w:rsidRDefault="00A16E41" w:rsidP="000A3EA4">
            <w:pPr>
              <w:cnfStyle w:val="000000000000" w:firstRow="0" w:lastRow="0" w:firstColumn="0" w:lastColumn="0" w:oddVBand="0" w:evenVBand="0" w:oddHBand="0" w:evenHBand="0" w:firstRowFirstColumn="0" w:firstRowLastColumn="0" w:lastRowFirstColumn="0" w:lastRowLastColumn="0"/>
              <w:rPr>
                <w:szCs w:val="20"/>
              </w:rPr>
            </w:pPr>
            <w:r w:rsidRPr="00A16E41">
              <w:rPr>
                <w:szCs w:val="20"/>
              </w:rPr>
              <w:t>Dégradation progressive du sol superficiel</w:t>
            </w:r>
          </w:p>
        </w:tc>
        <w:tc>
          <w:tcPr>
            <w:tcW w:w="0" w:type="auto"/>
          </w:tcPr>
          <w:p w14:paraId="7B2F0453" w14:textId="6F4FAB2C" w:rsidR="00D00A1B" w:rsidRPr="00AA22F2" w:rsidRDefault="00A16E41" w:rsidP="000A3EA4">
            <w:pPr>
              <w:cnfStyle w:val="000000000000" w:firstRow="0" w:lastRow="0" w:firstColumn="0" w:lastColumn="0" w:oddVBand="0" w:evenVBand="0" w:oddHBand="0" w:evenHBand="0" w:firstRowFirstColumn="0" w:firstRowLastColumn="0" w:lastRowFirstColumn="0" w:lastRowLastColumn="0"/>
              <w:rPr>
                <w:szCs w:val="20"/>
              </w:rPr>
            </w:pPr>
            <w:r>
              <w:rPr>
                <w:szCs w:val="20"/>
              </w:rPr>
              <w:t>Modérée</w:t>
            </w:r>
          </w:p>
        </w:tc>
      </w:tr>
      <w:tr w:rsidR="00D00A1B" w:rsidRPr="00D00A1B" w14:paraId="7E25EB47" w14:textId="77777777" w:rsidTr="004637C7">
        <w:tc>
          <w:tcPr>
            <w:cnfStyle w:val="001000000000" w:firstRow="0" w:lastRow="0" w:firstColumn="1" w:lastColumn="0" w:oddVBand="0" w:evenVBand="0" w:oddHBand="0" w:evenHBand="0" w:firstRowFirstColumn="0" w:firstRowLastColumn="0" w:lastRowFirstColumn="0" w:lastRowLastColumn="0"/>
            <w:tcW w:w="0" w:type="auto"/>
            <w:vMerge/>
          </w:tcPr>
          <w:p w14:paraId="21890365" w14:textId="77777777" w:rsidR="00D00A1B" w:rsidRPr="00AA22F2" w:rsidRDefault="00D00A1B" w:rsidP="000A3EA4">
            <w:pPr>
              <w:rPr>
                <w:szCs w:val="20"/>
              </w:rPr>
            </w:pPr>
          </w:p>
        </w:tc>
        <w:tc>
          <w:tcPr>
            <w:tcW w:w="0" w:type="auto"/>
            <w:vMerge/>
          </w:tcPr>
          <w:p w14:paraId="2053FB7B" w14:textId="77777777" w:rsidR="00D00A1B" w:rsidRPr="00AA22F2" w:rsidRDefault="00D00A1B" w:rsidP="000A3EA4">
            <w:pPr>
              <w:cnfStyle w:val="000000000000" w:firstRow="0" w:lastRow="0" w:firstColumn="0" w:lastColumn="0" w:oddVBand="0" w:evenVBand="0" w:oddHBand="0" w:evenHBand="0" w:firstRowFirstColumn="0" w:firstRowLastColumn="0" w:lastRowFirstColumn="0" w:lastRowLastColumn="0"/>
              <w:rPr>
                <w:szCs w:val="20"/>
              </w:rPr>
            </w:pPr>
          </w:p>
        </w:tc>
        <w:tc>
          <w:tcPr>
            <w:tcW w:w="0" w:type="auto"/>
            <w:hideMark/>
          </w:tcPr>
          <w:p w14:paraId="50E36397" w14:textId="77777777" w:rsidR="00D00A1B" w:rsidRPr="00AA22F2" w:rsidRDefault="00D00A1B" w:rsidP="000A3EA4">
            <w:pPr>
              <w:cnfStyle w:val="000000000000" w:firstRow="0" w:lastRow="0" w:firstColumn="0" w:lastColumn="0" w:oddVBand="0" w:evenVBand="0" w:oddHBand="0" w:evenHBand="0" w:firstRowFirstColumn="0" w:firstRowLastColumn="0" w:lastRowFirstColumn="0" w:lastRowLastColumn="0"/>
              <w:rPr>
                <w:szCs w:val="20"/>
              </w:rPr>
            </w:pPr>
            <w:r w:rsidRPr="00AA22F2">
              <w:rPr>
                <w:b/>
                <w:bCs/>
                <w:szCs w:val="20"/>
              </w:rPr>
              <w:t>Évaluation globale du risque</w:t>
            </w:r>
          </w:p>
        </w:tc>
        <w:tc>
          <w:tcPr>
            <w:tcW w:w="0" w:type="auto"/>
          </w:tcPr>
          <w:p w14:paraId="3E7083C1" w14:textId="0BACFCA9" w:rsidR="00D00A1B" w:rsidRPr="00AA22F2" w:rsidRDefault="00A16E41" w:rsidP="000A3EA4">
            <w:pPr>
              <w:cnfStyle w:val="000000000000" w:firstRow="0" w:lastRow="0" w:firstColumn="0" w:lastColumn="0" w:oddVBand="0" w:evenVBand="0" w:oddHBand="0" w:evenHBand="0" w:firstRowFirstColumn="0" w:firstRowLastColumn="0" w:lastRowFirstColumn="0" w:lastRowLastColumn="0"/>
              <w:rPr>
                <w:szCs w:val="20"/>
              </w:rPr>
            </w:pPr>
            <w:r w:rsidRPr="00A16E41">
              <w:rPr>
                <w:szCs w:val="20"/>
              </w:rPr>
              <w:t>Les impacts potentiels demeurent localisés et réversibles ; des dispositifs de confinement et de rétention limitent toute contamination durable.</w:t>
            </w:r>
          </w:p>
        </w:tc>
        <w:tc>
          <w:tcPr>
            <w:tcW w:w="0" w:type="auto"/>
          </w:tcPr>
          <w:p w14:paraId="7D7B4C2A" w14:textId="194EA512" w:rsidR="00D00A1B" w:rsidRPr="00AA22F2" w:rsidRDefault="00A16E41" w:rsidP="000A3EA4">
            <w:pPr>
              <w:cnfStyle w:val="000000000000" w:firstRow="0" w:lastRow="0" w:firstColumn="0" w:lastColumn="0" w:oddVBand="0" w:evenVBand="0" w:oddHBand="0" w:evenHBand="0" w:firstRowFirstColumn="0" w:firstRowLastColumn="0" w:lastRowFirstColumn="0" w:lastRowLastColumn="0"/>
              <w:rPr>
                <w:szCs w:val="20"/>
              </w:rPr>
            </w:pPr>
            <w:r>
              <w:rPr>
                <w:szCs w:val="20"/>
              </w:rPr>
              <w:t>Modérée</w:t>
            </w:r>
          </w:p>
        </w:tc>
      </w:tr>
    </w:tbl>
    <w:p w14:paraId="3C3F4932" w14:textId="77777777" w:rsidR="00D00A1B" w:rsidRPr="00F359B6" w:rsidRDefault="00D00A1B" w:rsidP="00AE45D9"/>
    <w:bookmarkEnd w:id="421"/>
    <w:p w14:paraId="0EE8970D" w14:textId="77777777" w:rsidR="00FA4641" w:rsidRDefault="00FA4641" w:rsidP="00FA4641">
      <w:pPr>
        <w:pStyle w:val="Title5"/>
        <w:sectPr w:rsidR="00FA4641" w:rsidSect="006C1613">
          <w:headerReference w:type="default" r:id="rId114"/>
          <w:footerReference w:type="default" r:id="rId115"/>
          <w:pgSz w:w="11906" w:h="16838"/>
          <w:pgMar w:top="1418" w:right="1418" w:bottom="1276" w:left="1418" w:header="680" w:footer="680" w:gutter="0"/>
          <w:cols w:space="708"/>
          <w:docGrid w:linePitch="360"/>
        </w:sectPr>
      </w:pPr>
    </w:p>
    <w:p w14:paraId="1AFDA706" w14:textId="1A20BCB4" w:rsidR="00AE45D9" w:rsidRPr="00994AB4" w:rsidRDefault="00AE45D9" w:rsidP="004637C7">
      <w:pPr>
        <w:pStyle w:val="Title5"/>
      </w:pPr>
      <w:bookmarkStart w:id="422" w:name="_Hlk210928662"/>
      <w:r>
        <w:lastRenderedPageBreak/>
        <w:t xml:space="preserve">Mesures d’atténuation </w:t>
      </w:r>
    </w:p>
    <w:p w14:paraId="0FFD4A81" w14:textId="74B823E1" w:rsidR="00AE45D9" w:rsidRPr="002A0860" w:rsidRDefault="00AE45D9" w:rsidP="00AE45D9">
      <w:pPr>
        <w:pStyle w:val="Lgende"/>
        <w:rPr>
          <w:b w:val="0"/>
          <w:bCs w:val="0"/>
          <w:lang w:val="fr-FR"/>
        </w:rPr>
      </w:pPr>
      <w:bookmarkStart w:id="423" w:name="_Toc213404370"/>
      <w:r w:rsidRPr="002A0860">
        <w:rPr>
          <w:lang w:val="fr-FR"/>
        </w:rPr>
        <w:t xml:space="preserve">Tableau </w:t>
      </w:r>
      <w:r>
        <w:fldChar w:fldCharType="begin"/>
      </w:r>
      <w:r w:rsidRPr="002A0860">
        <w:rPr>
          <w:lang w:val="fr-FR"/>
        </w:rPr>
        <w:instrText xml:space="preserve"> SEQ Tableau \* ARABIC </w:instrText>
      </w:r>
      <w:r>
        <w:fldChar w:fldCharType="separate"/>
      </w:r>
      <w:r w:rsidR="00274E71">
        <w:rPr>
          <w:noProof/>
          <w:lang w:val="fr-FR"/>
        </w:rPr>
        <w:t>48</w:t>
      </w:r>
      <w:r>
        <w:fldChar w:fldCharType="end"/>
      </w:r>
      <w:r>
        <w:rPr>
          <w:noProof/>
          <w:lang w:val="fr-FR"/>
        </w:rPr>
        <w:t xml:space="preserve">: </w:t>
      </w:r>
      <w:r w:rsidRPr="002A0860">
        <w:rPr>
          <w:lang w:val="fr-FR"/>
        </w:rPr>
        <w:t>Sol – Mesures d'atténuation en phase d’exploitation</w:t>
      </w:r>
      <w:bookmarkEnd w:id="423"/>
    </w:p>
    <w:tbl>
      <w:tblPr>
        <w:tblStyle w:val="TableauGrille1Clair-Accentuation111"/>
        <w:tblW w:w="0" w:type="auto"/>
        <w:tblLook w:val="04A0" w:firstRow="1" w:lastRow="0" w:firstColumn="1" w:lastColumn="0" w:noHBand="0" w:noVBand="1"/>
      </w:tblPr>
      <w:tblGrid>
        <w:gridCol w:w="1989"/>
        <w:gridCol w:w="1418"/>
        <w:gridCol w:w="2267"/>
        <w:gridCol w:w="1531"/>
        <w:gridCol w:w="1099"/>
        <w:gridCol w:w="1223"/>
        <w:gridCol w:w="717"/>
        <w:gridCol w:w="1297"/>
        <w:gridCol w:w="2593"/>
      </w:tblGrid>
      <w:tr w:rsidR="002F1D7D" w:rsidRPr="00AC03E6" w14:paraId="5D1BA63E" w14:textId="77777777" w:rsidTr="00023407">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0" w:type="auto"/>
            <w:hideMark/>
          </w:tcPr>
          <w:bookmarkEnd w:id="422"/>
          <w:p w14:paraId="06D9C3FB" w14:textId="77777777" w:rsidR="008B721A" w:rsidRPr="00AA22F2" w:rsidRDefault="008B721A" w:rsidP="008B721A">
            <w:pPr>
              <w:rPr>
                <w:szCs w:val="20"/>
              </w:rPr>
            </w:pPr>
            <w:r w:rsidRPr="00AA22F2">
              <w:rPr>
                <w:szCs w:val="20"/>
              </w:rPr>
              <w:t>Impact / Risque</w:t>
            </w:r>
          </w:p>
        </w:tc>
        <w:tc>
          <w:tcPr>
            <w:tcW w:w="0" w:type="auto"/>
            <w:hideMark/>
          </w:tcPr>
          <w:p w14:paraId="6B402303" w14:textId="77777777" w:rsidR="008B721A" w:rsidRPr="00AA22F2" w:rsidRDefault="008B721A" w:rsidP="008B721A">
            <w:pPr>
              <w:cnfStyle w:val="100000000000" w:firstRow="1" w:lastRow="0" w:firstColumn="0" w:lastColumn="0" w:oddVBand="0" w:evenVBand="0" w:oddHBand="0" w:evenHBand="0" w:firstRowFirstColumn="0" w:firstRowLastColumn="0" w:lastRowFirstColumn="0" w:lastRowLastColumn="0"/>
              <w:rPr>
                <w:szCs w:val="20"/>
              </w:rPr>
            </w:pPr>
            <w:r w:rsidRPr="00AA22F2">
              <w:rPr>
                <w:szCs w:val="20"/>
              </w:rPr>
              <w:t>Niveau d’atténuation</w:t>
            </w:r>
          </w:p>
        </w:tc>
        <w:tc>
          <w:tcPr>
            <w:tcW w:w="0" w:type="auto"/>
            <w:hideMark/>
          </w:tcPr>
          <w:p w14:paraId="168C1816" w14:textId="77777777" w:rsidR="008B721A" w:rsidRPr="00AA22F2" w:rsidRDefault="008B721A" w:rsidP="008B721A">
            <w:pPr>
              <w:cnfStyle w:val="100000000000" w:firstRow="1" w:lastRow="0" w:firstColumn="0" w:lastColumn="0" w:oddVBand="0" w:evenVBand="0" w:oddHBand="0" w:evenHBand="0" w:firstRowFirstColumn="0" w:firstRowLastColumn="0" w:lastRowFirstColumn="0" w:lastRowLastColumn="0"/>
              <w:rPr>
                <w:szCs w:val="20"/>
              </w:rPr>
            </w:pPr>
            <w:r w:rsidRPr="00AA22F2">
              <w:rPr>
                <w:szCs w:val="20"/>
              </w:rPr>
              <w:t>Mesures proposées</w:t>
            </w:r>
          </w:p>
        </w:tc>
        <w:tc>
          <w:tcPr>
            <w:tcW w:w="0" w:type="auto"/>
            <w:hideMark/>
          </w:tcPr>
          <w:p w14:paraId="1784D059" w14:textId="77777777" w:rsidR="008B721A" w:rsidRPr="00AA22F2" w:rsidRDefault="008B721A" w:rsidP="008B721A">
            <w:pPr>
              <w:cnfStyle w:val="100000000000" w:firstRow="1" w:lastRow="0" w:firstColumn="0" w:lastColumn="0" w:oddVBand="0" w:evenVBand="0" w:oddHBand="0" w:evenHBand="0" w:firstRowFirstColumn="0" w:firstRowLastColumn="0" w:lastRowFirstColumn="0" w:lastRowLastColumn="0"/>
              <w:rPr>
                <w:szCs w:val="20"/>
              </w:rPr>
            </w:pPr>
            <w:r w:rsidRPr="00AA22F2">
              <w:rPr>
                <w:szCs w:val="20"/>
              </w:rPr>
              <w:t>KPI / Indicateur</w:t>
            </w:r>
          </w:p>
        </w:tc>
        <w:tc>
          <w:tcPr>
            <w:tcW w:w="0" w:type="auto"/>
            <w:hideMark/>
          </w:tcPr>
          <w:p w14:paraId="5D399D54" w14:textId="77777777" w:rsidR="008B721A" w:rsidRPr="00AA22F2" w:rsidRDefault="008B721A" w:rsidP="008B721A">
            <w:pPr>
              <w:cnfStyle w:val="100000000000" w:firstRow="1" w:lastRow="0" w:firstColumn="0" w:lastColumn="0" w:oddVBand="0" w:evenVBand="0" w:oddHBand="0" w:evenHBand="0" w:firstRowFirstColumn="0" w:firstRowLastColumn="0" w:lastRowFirstColumn="0" w:lastRowLastColumn="0"/>
              <w:rPr>
                <w:szCs w:val="20"/>
              </w:rPr>
            </w:pPr>
            <w:r w:rsidRPr="00AA22F2">
              <w:rPr>
                <w:szCs w:val="20"/>
              </w:rPr>
              <w:t>Mise en œuvre</w:t>
            </w:r>
          </w:p>
        </w:tc>
        <w:tc>
          <w:tcPr>
            <w:tcW w:w="0" w:type="auto"/>
            <w:hideMark/>
          </w:tcPr>
          <w:p w14:paraId="065585CC" w14:textId="77777777" w:rsidR="008B721A" w:rsidRPr="00AA22F2" w:rsidRDefault="008B721A" w:rsidP="008B721A">
            <w:pPr>
              <w:cnfStyle w:val="100000000000" w:firstRow="1" w:lastRow="0" w:firstColumn="0" w:lastColumn="0" w:oddVBand="0" w:evenVBand="0" w:oddHBand="0" w:evenHBand="0" w:firstRowFirstColumn="0" w:firstRowLastColumn="0" w:lastRowFirstColumn="0" w:lastRowLastColumn="0"/>
              <w:rPr>
                <w:szCs w:val="20"/>
              </w:rPr>
            </w:pPr>
            <w:r w:rsidRPr="00AA22F2">
              <w:rPr>
                <w:szCs w:val="20"/>
              </w:rPr>
              <w:t>Surveillance</w:t>
            </w:r>
          </w:p>
        </w:tc>
        <w:tc>
          <w:tcPr>
            <w:tcW w:w="0" w:type="auto"/>
            <w:hideMark/>
          </w:tcPr>
          <w:p w14:paraId="19FA9444" w14:textId="77777777" w:rsidR="008B721A" w:rsidRPr="00AA22F2" w:rsidRDefault="008B721A" w:rsidP="008B721A">
            <w:pPr>
              <w:cnfStyle w:val="100000000000" w:firstRow="1" w:lastRow="0" w:firstColumn="0" w:lastColumn="0" w:oddVBand="0" w:evenVBand="0" w:oddHBand="0" w:evenHBand="0" w:firstRowFirstColumn="0" w:firstRowLastColumn="0" w:lastRowFirstColumn="0" w:lastRowLastColumn="0"/>
              <w:rPr>
                <w:szCs w:val="20"/>
              </w:rPr>
            </w:pPr>
            <w:r w:rsidRPr="00AA22F2">
              <w:rPr>
                <w:szCs w:val="20"/>
              </w:rPr>
              <w:t>Suivi</w:t>
            </w:r>
          </w:p>
        </w:tc>
        <w:tc>
          <w:tcPr>
            <w:tcW w:w="0" w:type="auto"/>
            <w:hideMark/>
          </w:tcPr>
          <w:p w14:paraId="3D16AE2C" w14:textId="77777777" w:rsidR="008B721A" w:rsidRPr="00AA22F2" w:rsidRDefault="008B721A" w:rsidP="008B721A">
            <w:pPr>
              <w:cnfStyle w:val="100000000000" w:firstRow="1" w:lastRow="0" w:firstColumn="0" w:lastColumn="0" w:oddVBand="0" w:evenVBand="0" w:oddHBand="0" w:evenHBand="0" w:firstRowFirstColumn="0" w:firstRowLastColumn="0" w:lastRowFirstColumn="0" w:lastRowLastColumn="0"/>
              <w:rPr>
                <w:szCs w:val="20"/>
              </w:rPr>
            </w:pPr>
            <w:r w:rsidRPr="00AA22F2">
              <w:rPr>
                <w:szCs w:val="20"/>
              </w:rPr>
              <w:t>Calendrier</w:t>
            </w:r>
          </w:p>
        </w:tc>
        <w:tc>
          <w:tcPr>
            <w:tcW w:w="0" w:type="auto"/>
            <w:hideMark/>
          </w:tcPr>
          <w:p w14:paraId="2A24B40A" w14:textId="77777777" w:rsidR="008B721A" w:rsidRPr="00AA22F2" w:rsidRDefault="008B721A" w:rsidP="008B721A">
            <w:pPr>
              <w:cnfStyle w:val="100000000000" w:firstRow="1" w:lastRow="0" w:firstColumn="0" w:lastColumn="0" w:oddVBand="0" w:evenVBand="0" w:oddHBand="0" w:evenHBand="0" w:firstRowFirstColumn="0" w:firstRowLastColumn="0" w:lastRowFirstColumn="0" w:lastRowLastColumn="0"/>
              <w:rPr>
                <w:szCs w:val="20"/>
              </w:rPr>
            </w:pPr>
            <w:r w:rsidRPr="00AA22F2">
              <w:rPr>
                <w:szCs w:val="20"/>
              </w:rPr>
              <w:t>Coût estimatif</w:t>
            </w:r>
          </w:p>
        </w:tc>
      </w:tr>
      <w:tr w:rsidR="00181E08" w:rsidRPr="00AC03E6" w14:paraId="6888148F" w14:textId="77777777" w:rsidTr="008B721A">
        <w:tc>
          <w:tcPr>
            <w:cnfStyle w:val="001000000000" w:firstRow="0" w:lastRow="0" w:firstColumn="1" w:lastColumn="0" w:oddVBand="0" w:evenVBand="0" w:oddHBand="0" w:evenHBand="0" w:firstRowFirstColumn="0" w:firstRowLastColumn="0" w:lastRowFirstColumn="0" w:lastRowLastColumn="0"/>
            <w:tcW w:w="0" w:type="auto"/>
            <w:vMerge w:val="restart"/>
            <w:hideMark/>
          </w:tcPr>
          <w:p w14:paraId="08C584B9" w14:textId="77777777" w:rsidR="009F187C" w:rsidRPr="00AA22F2" w:rsidRDefault="009F187C" w:rsidP="008B721A">
            <w:pPr>
              <w:rPr>
                <w:szCs w:val="20"/>
              </w:rPr>
            </w:pPr>
            <w:r w:rsidRPr="00AA22F2">
              <w:rPr>
                <w:szCs w:val="20"/>
              </w:rPr>
              <w:t>Imperméabilisation permanente du sol</w:t>
            </w:r>
          </w:p>
        </w:tc>
        <w:tc>
          <w:tcPr>
            <w:tcW w:w="0" w:type="auto"/>
            <w:hideMark/>
          </w:tcPr>
          <w:p w14:paraId="1C816BC6" w14:textId="77777777" w:rsidR="009F187C" w:rsidRPr="00AA22F2" w:rsidRDefault="009F187C" w:rsidP="008B721A">
            <w:pPr>
              <w:cnfStyle w:val="000000000000" w:firstRow="0" w:lastRow="0" w:firstColumn="0" w:lastColumn="0" w:oddVBand="0" w:evenVBand="0" w:oddHBand="0" w:evenHBand="0" w:firstRowFirstColumn="0" w:firstRowLastColumn="0" w:lastRowFirstColumn="0" w:lastRowLastColumn="0"/>
              <w:rPr>
                <w:szCs w:val="20"/>
              </w:rPr>
            </w:pPr>
            <w:r w:rsidRPr="00AA22F2">
              <w:rPr>
                <w:b/>
                <w:bCs/>
                <w:szCs w:val="20"/>
              </w:rPr>
              <w:t>Éviter</w:t>
            </w:r>
          </w:p>
        </w:tc>
        <w:tc>
          <w:tcPr>
            <w:tcW w:w="0" w:type="auto"/>
            <w:hideMark/>
          </w:tcPr>
          <w:p w14:paraId="32011407" w14:textId="77777777" w:rsidR="009F187C" w:rsidRPr="00AA22F2" w:rsidRDefault="009F187C" w:rsidP="008B721A">
            <w:pPr>
              <w:cnfStyle w:val="000000000000" w:firstRow="0" w:lastRow="0" w:firstColumn="0" w:lastColumn="0" w:oddVBand="0" w:evenVBand="0" w:oddHBand="0" w:evenHBand="0" w:firstRowFirstColumn="0" w:firstRowLastColumn="0" w:lastRowFirstColumn="0" w:lastRowLastColumn="0"/>
              <w:rPr>
                <w:szCs w:val="20"/>
              </w:rPr>
            </w:pPr>
            <w:r w:rsidRPr="00AA22F2">
              <w:rPr>
                <w:szCs w:val="20"/>
              </w:rPr>
              <w:t xml:space="preserve">Utiliser des matériaux étanches et durables. </w:t>
            </w:r>
          </w:p>
          <w:p w14:paraId="2C10581B" w14:textId="72E0B809" w:rsidR="009F187C" w:rsidRPr="00AA22F2" w:rsidRDefault="009F187C" w:rsidP="008B721A">
            <w:pPr>
              <w:cnfStyle w:val="000000000000" w:firstRow="0" w:lastRow="0" w:firstColumn="0" w:lastColumn="0" w:oddVBand="0" w:evenVBand="0" w:oddHBand="0" w:evenHBand="0" w:firstRowFirstColumn="0" w:firstRowLastColumn="0" w:lastRowFirstColumn="0" w:lastRowLastColumn="0"/>
              <w:rPr>
                <w:szCs w:val="20"/>
              </w:rPr>
            </w:pPr>
            <w:r w:rsidRPr="00AA22F2">
              <w:rPr>
                <w:szCs w:val="20"/>
              </w:rPr>
              <w:t>Éviter toute extension inutile des zones revêtues.</w:t>
            </w:r>
          </w:p>
        </w:tc>
        <w:tc>
          <w:tcPr>
            <w:tcW w:w="0" w:type="auto"/>
            <w:hideMark/>
          </w:tcPr>
          <w:p w14:paraId="0A10E119" w14:textId="77777777" w:rsidR="009F187C" w:rsidRPr="00AA22F2" w:rsidRDefault="009F187C" w:rsidP="008B721A">
            <w:pPr>
              <w:cnfStyle w:val="000000000000" w:firstRow="0" w:lastRow="0" w:firstColumn="0" w:lastColumn="0" w:oddVBand="0" w:evenVBand="0" w:oddHBand="0" w:evenHBand="0" w:firstRowFirstColumn="0" w:firstRowLastColumn="0" w:lastRowFirstColumn="0" w:lastRowLastColumn="0"/>
              <w:rPr>
                <w:szCs w:val="20"/>
              </w:rPr>
            </w:pPr>
            <w:r w:rsidRPr="00AA22F2">
              <w:rPr>
                <w:szCs w:val="20"/>
              </w:rPr>
              <w:t>% de surface étanchéifiée</w:t>
            </w:r>
          </w:p>
        </w:tc>
        <w:tc>
          <w:tcPr>
            <w:tcW w:w="0" w:type="auto"/>
            <w:hideMark/>
          </w:tcPr>
          <w:p w14:paraId="44983507" w14:textId="77777777" w:rsidR="009F187C" w:rsidRPr="00AA22F2" w:rsidRDefault="009F187C" w:rsidP="008B721A">
            <w:pPr>
              <w:cnfStyle w:val="000000000000" w:firstRow="0" w:lastRow="0" w:firstColumn="0" w:lastColumn="0" w:oddVBand="0" w:evenVBand="0" w:oddHBand="0" w:evenHBand="0" w:firstRowFirstColumn="0" w:firstRowLastColumn="0" w:lastRowFirstColumn="0" w:lastRowLastColumn="0"/>
              <w:rPr>
                <w:szCs w:val="20"/>
              </w:rPr>
            </w:pPr>
            <w:r w:rsidRPr="00AA22F2">
              <w:rPr>
                <w:szCs w:val="20"/>
              </w:rPr>
              <w:t>ONDA / Exploitant</w:t>
            </w:r>
          </w:p>
        </w:tc>
        <w:tc>
          <w:tcPr>
            <w:tcW w:w="0" w:type="auto"/>
            <w:hideMark/>
          </w:tcPr>
          <w:p w14:paraId="1E37292F" w14:textId="77777777" w:rsidR="009F187C" w:rsidRPr="00AA22F2" w:rsidRDefault="009F187C" w:rsidP="008B721A">
            <w:pPr>
              <w:cnfStyle w:val="000000000000" w:firstRow="0" w:lastRow="0" w:firstColumn="0" w:lastColumn="0" w:oddVBand="0" w:evenVBand="0" w:oddHBand="0" w:evenHBand="0" w:firstRowFirstColumn="0" w:firstRowLastColumn="0" w:lastRowFirstColumn="0" w:lastRowLastColumn="0"/>
              <w:rPr>
                <w:szCs w:val="20"/>
              </w:rPr>
            </w:pPr>
            <w:r w:rsidRPr="00AA22F2">
              <w:rPr>
                <w:szCs w:val="20"/>
              </w:rPr>
              <w:t>ONDA</w:t>
            </w:r>
          </w:p>
        </w:tc>
        <w:tc>
          <w:tcPr>
            <w:tcW w:w="0" w:type="auto"/>
            <w:hideMark/>
          </w:tcPr>
          <w:p w14:paraId="4533A92B" w14:textId="77777777" w:rsidR="009F187C" w:rsidRPr="00AA22F2" w:rsidRDefault="009F187C" w:rsidP="008B721A">
            <w:pPr>
              <w:cnfStyle w:val="000000000000" w:firstRow="0" w:lastRow="0" w:firstColumn="0" w:lastColumn="0" w:oddVBand="0" w:evenVBand="0" w:oddHBand="0" w:evenHBand="0" w:firstRowFirstColumn="0" w:firstRowLastColumn="0" w:lastRowFirstColumn="0" w:lastRowLastColumn="0"/>
              <w:rPr>
                <w:szCs w:val="20"/>
              </w:rPr>
            </w:pPr>
            <w:r w:rsidRPr="00AA22F2">
              <w:rPr>
                <w:szCs w:val="20"/>
              </w:rPr>
              <w:t>ONDA</w:t>
            </w:r>
          </w:p>
        </w:tc>
        <w:tc>
          <w:tcPr>
            <w:tcW w:w="0" w:type="auto"/>
            <w:hideMark/>
          </w:tcPr>
          <w:p w14:paraId="69EDC031" w14:textId="77777777" w:rsidR="009F187C" w:rsidRPr="00AA22F2" w:rsidRDefault="009F187C" w:rsidP="008B721A">
            <w:pPr>
              <w:cnfStyle w:val="000000000000" w:firstRow="0" w:lastRow="0" w:firstColumn="0" w:lastColumn="0" w:oddVBand="0" w:evenVBand="0" w:oddHBand="0" w:evenHBand="0" w:firstRowFirstColumn="0" w:firstRowLastColumn="0" w:lastRowFirstColumn="0" w:lastRowLastColumn="0"/>
              <w:rPr>
                <w:szCs w:val="20"/>
              </w:rPr>
            </w:pPr>
            <w:r w:rsidRPr="00AA22F2">
              <w:rPr>
                <w:szCs w:val="20"/>
              </w:rPr>
              <w:t>Conception &amp; exploitation</w:t>
            </w:r>
          </w:p>
        </w:tc>
        <w:tc>
          <w:tcPr>
            <w:tcW w:w="0" w:type="auto"/>
            <w:hideMark/>
          </w:tcPr>
          <w:p w14:paraId="60F31561" w14:textId="0D338CE3" w:rsidR="009F187C" w:rsidRPr="00AA22F2" w:rsidRDefault="009F187C" w:rsidP="008B721A">
            <w:pPr>
              <w:cnfStyle w:val="000000000000" w:firstRow="0" w:lastRow="0" w:firstColumn="0" w:lastColumn="0" w:oddVBand="0" w:evenVBand="0" w:oddHBand="0" w:evenHBand="0" w:firstRowFirstColumn="0" w:firstRowLastColumn="0" w:lastRowFirstColumn="0" w:lastRowLastColumn="0"/>
              <w:rPr>
                <w:szCs w:val="20"/>
              </w:rPr>
            </w:pPr>
            <w:r>
              <w:rPr>
                <w:szCs w:val="20"/>
              </w:rPr>
              <w:t>C</w:t>
            </w:r>
            <w:r w:rsidRPr="009F187C">
              <w:rPr>
                <w:szCs w:val="20"/>
              </w:rPr>
              <w:t>oût moyen 300 MAD/m².</w:t>
            </w:r>
          </w:p>
        </w:tc>
      </w:tr>
      <w:tr w:rsidR="00181E08" w:rsidRPr="00AC03E6" w14:paraId="404C7064" w14:textId="77777777" w:rsidTr="009F187C">
        <w:trPr>
          <w:trHeight w:val="1015"/>
        </w:trPr>
        <w:tc>
          <w:tcPr>
            <w:cnfStyle w:val="001000000000" w:firstRow="0" w:lastRow="0" w:firstColumn="1" w:lastColumn="0" w:oddVBand="0" w:evenVBand="0" w:oddHBand="0" w:evenHBand="0" w:firstRowFirstColumn="0" w:firstRowLastColumn="0" w:lastRowFirstColumn="0" w:lastRowLastColumn="0"/>
            <w:tcW w:w="0" w:type="auto"/>
            <w:vMerge/>
            <w:hideMark/>
          </w:tcPr>
          <w:p w14:paraId="4789A87C" w14:textId="77777777" w:rsidR="009F187C" w:rsidRPr="00AA22F2" w:rsidRDefault="009F187C" w:rsidP="00340E50">
            <w:pPr>
              <w:rPr>
                <w:szCs w:val="20"/>
              </w:rPr>
            </w:pPr>
          </w:p>
        </w:tc>
        <w:tc>
          <w:tcPr>
            <w:tcW w:w="0" w:type="auto"/>
            <w:vMerge w:val="restart"/>
            <w:hideMark/>
          </w:tcPr>
          <w:p w14:paraId="07118487" w14:textId="77777777" w:rsidR="009F187C" w:rsidRPr="00AA22F2" w:rsidRDefault="009F187C" w:rsidP="00340E50">
            <w:pPr>
              <w:cnfStyle w:val="000000000000" w:firstRow="0" w:lastRow="0" w:firstColumn="0" w:lastColumn="0" w:oddVBand="0" w:evenVBand="0" w:oddHBand="0" w:evenHBand="0" w:firstRowFirstColumn="0" w:firstRowLastColumn="0" w:lastRowFirstColumn="0" w:lastRowLastColumn="0"/>
              <w:rPr>
                <w:szCs w:val="20"/>
              </w:rPr>
            </w:pPr>
            <w:r w:rsidRPr="00AA22F2">
              <w:rPr>
                <w:b/>
                <w:bCs/>
                <w:szCs w:val="20"/>
              </w:rPr>
              <w:t>Réduire</w:t>
            </w:r>
          </w:p>
        </w:tc>
        <w:tc>
          <w:tcPr>
            <w:tcW w:w="0" w:type="auto"/>
            <w:tcBorders>
              <w:bottom w:val="single" w:sz="4" w:space="0" w:color="B4C6E7" w:themeColor="accent1" w:themeTint="66"/>
            </w:tcBorders>
            <w:hideMark/>
          </w:tcPr>
          <w:p w14:paraId="4615DC99" w14:textId="2767F1EB" w:rsidR="009F187C" w:rsidRPr="00AA22F2" w:rsidRDefault="009F187C" w:rsidP="00340E50">
            <w:pPr>
              <w:cnfStyle w:val="000000000000" w:firstRow="0" w:lastRow="0" w:firstColumn="0" w:lastColumn="0" w:oddVBand="0" w:evenVBand="0" w:oddHBand="0" w:evenHBand="0" w:firstRowFirstColumn="0" w:firstRowLastColumn="0" w:lastRowFirstColumn="0" w:lastRowLastColumn="0"/>
              <w:rPr>
                <w:szCs w:val="20"/>
              </w:rPr>
            </w:pPr>
            <w:r w:rsidRPr="00AA22F2">
              <w:rPr>
                <w:szCs w:val="20"/>
              </w:rPr>
              <w:t xml:space="preserve">Maintenir un bon état des revêtements par inspection régulière. </w:t>
            </w:r>
          </w:p>
        </w:tc>
        <w:tc>
          <w:tcPr>
            <w:tcW w:w="0" w:type="auto"/>
            <w:vMerge w:val="restart"/>
            <w:hideMark/>
          </w:tcPr>
          <w:p w14:paraId="4FBCC434" w14:textId="77777777" w:rsidR="009F187C" w:rsidRPr="00AA22F2" w:rsidRDefault="009F187C" w:rsidP="00340E50">
            <w:pPr>
              <w:cnfStyle w:val="000000000000" w:firstRow="0" w:lastRow="0" w:firstColumn="0" w:lastColumn="0" w:oddVBand="0" w:evenVBand="0" w:oddHBand="0" w:evenHBand="0" w:firstRowFirstColumn="0" w:firstRowLastColumn="0" w:lastRowFirstColumn="0" w:lastRowLastColumn="0"/>
              <w:rPr>
                <w:szCs w:val="20"/>
              </w:rPr>
            </w:pPr>
            <w:r w:rsidRPr="00AA22F2">
              <w:rPr>
                <w:szCs w:val="20"/>
              </w:rPr>
              <w:t>Nombre d’inspections / an</w:t>
            </w:r>
          </w:p>
        </w:tc>
        <w:tc>
          <w:tcPr>
            <w:tcW w:w="0" w:type="auto"/>
            <w:vMerge w:val="restart"/>
            <w:hideMark/>
          </w:tcPr>
          <w:p w14:paraId="17BFEAF1" w14:textId="77777777" w:rsidR="009F187C" w:rsidRPr="00AA22F2" w:rsidRDefault="009F187C" w:rsidP="00340E50">
            <w:pPr>
              <w:cnfStyle w:val="000000000000" w:firstRow="0" w:lastRow="0" w:firstColumn="0" w:lastColumn="0" w:oddVBand="0" w:evenVBand="0" w:oddHBand="0" w:evenHBand="0" w:firstRowFirstColumn="0" w:firstRowLastColumn="0" w:lastRowFirstColumn="0" w:lastRowLastColumn="0"/>
              <w:rPr>
                <w:szCs w:val="20"/>
              </w:rPr>
            </w:pPr>
            <w:r w:rsidRPr="00AA22F2">
              <w:rPr>
                <w:szCs w:val="20"/>
              </w:rPr>
              <w:t>ONDA / Exploitant</w:t>
            </w:r>
          </w:p>
        </w:tc>
        <w:tc>
          <w:tcPr>
            <w:tcW w:w="0" w:type="auto"/>
            <w:vMerge w:val="restart"/>
            <w:hideMark/>
          </w:tcPr>
          <w:p w14:paraId="38A4D02E" w14:textId="77777777" w:rsidR="009F187C" w:rsidRPr="00AA22F2" w:rsidRDefault="009F187C" w:rsidP="00340E50">
            <w:pPr>
              <w:cnfStyle w:val="000000000000" w:firstRow="0" w:lastRow="0" w:firstColumn="0" w:lastColumn="0" w:oddVBand="0" w:evenVBand="0" w:oddHBand="0" w:evenHBand="0" w:firstRowFirstColumn="0" w:firstRowLastColumn="0" w:lastRowFirstColumn="0" w:lastRowLastColumn="0"/>
              <w:rPr>
                <w:szCs w:val="20"/>
              </w:rPr>
            </w:pPr>
            <w:r w:rsidRPr="00AA22F2">
              <w:rPr>
                <w:szCs w:val="20"/>
              </w:rPr>
              <w:t>ONDA</w:t>
            </w:r>
          </w:p>
        </w:tc>
        <w:tc>
          <w:tcPr>
            <w:tcW w:w="0" w:type="auto"/>
            <w:vMerge w:val="restart"/>
            <w:hideMark/>
          </w:tcPr>
          <w:p w14:paraId="25D34A22" w14:textId="77777777" w:rsidR="009F187C" w:rsidRPr="00AA22F2" w:rsidRDefault="009F187C" w:rsidP="00340E50">
            <w:pPr>
              <w:cnfStyle w:val="000000000000" w:firstRow="0" w:lastRow="0" w:firstColumn="0" w:lastColumn="0" w:oddVBand="0" w:evenVBand="0" w:oddHBand="0" w:evenHBand="0" w:firstRowFirstColumn="0" w:firstRowLastColumn="0" w:lastRowFirstColumn="0" w:lastRowLastColumn="0"/>
              <w:rPr>
                <w:szCs w:val="20"/>
              </w:rPr>
            </w:pPr>
            <w:r w:rsidRPr="00AA22F2">
              <w:rPr>
                <w:szCs w:val="20"/>
              </w:rPr>
              <w:t>ONDA</w:t>
            </w:r>
          </w:p>
        </w:tc>
        <w:tc>
          <w:tcPr>
            <w:tcW w:w="0" w:type="auto"/>
            <w:vMerge w:val="restart"/>
            <w:hideMark/>
          </w:tcPr>
          <w:p w14:paraId="35CFB087" w14:textId="77777777" w:rsidR="009F187C" w:rsidRPr="00AA22F2" w:rsidRDefault="009F187C" w:rsidP="00340E50">
            <w:pPr>
              <w:cnfStyle w:val="000000000000" w:firstRow="0" w:lastRow="0" w:firstColumn="0" w:lastColumn="0" w:oddVBand="0" w:evenVBand="0" w:oddHBand="0" w:evenHBand="0" w:firstRowFirstColumn="0" w:firstRowLastColumn="0" w:lastRowFirstColumn="0" w:lastRowLastColumn="0"/>
              <w:rPr>
                <w:szCs w:val="20"/>
              </w:rPr>
            </w:pPr>
            <w:r w:rsidRPr="00AA22F2">
              <w:rPr>
                <w:szCs w:val="20"/>
              </w:rPr>
              <w:t>Trimestriel</w:t>
            </w:r>
          </w:p>
        </w:tc>
        <w:tc>
          <w:tcPr>
            <w:tcW w:w="0" w:type="auto"/>
            <w:tcBorders>
              <w:bottom w:val="single" w:sz="4" w:space="0" w:color="B4C6E7" w:themeColor="accent1" w:themeTint="66"/>
            </w:tcBorders>
            <w:hideMark/>
          </w:tcPr>
          <w:p w14:paraId="7BB3EB07" w14:textId="0DB097EA" w:rsidR="009F187C" w:rsidRPr="00AA22F2" w:rsidRDefault="009F187C" w:rsidP="00340E50">
            <w:pPr>
              <w:cnfStyle w:val="000000000000" w:firstRow="0" w:lastRow="0" w:firstColumn="0" w:lastColumn="0" w:oddVBand="0" w:evenVBand="0" w:oddHBand="0" w:evenHBand="0" w:firstRowFirstColumn="0" w:firstRowLastColumn="0" w:lastRowFirstColumn="0" w:lastRowLastColumn="0"/>
              <w:rPr>
                <w:szCs w:val="20"/>
              </w:rPr>
            </w:pPr>
            <w:r w:rsidRPr="009F187C">
              <w:rPr>
                <w:szCs w:val="20"/>
              </w:rPr>
              <w:t>Coût moyen : 4 000 MAD/trimestre.</w:t>
            </w:r>
          </w:p>
        </w:tc>
      </w:tr>
      <w:tr w:rsidR="00181E08" w:rsidRPr="00AC03E6" w14:paraId="65913AB2" w14:textId="77777777" w:rsidTr="009F187C">
        <w:trPr>
          <w:trHeight w:val="1036"/>
        </w:trPr>
        <w:tc>
          <w:tcPr>
            <w:cnfStyle w:val="001000000000" w:firstRow="0" w:lastRow="0" w:firstColumn="1" w:lastColumn="0" w:oddVBand="0" w:evenVBand="0" w:oddHBand="0" w:evenHBand="0" w:firstRowFirstColumn="0" w:firstRowLastColumn="0" w:lastRowFirstColumn="0" w:lastRowLastColumn="0"/>
            <w:tcW w:w="0" w:type="auto"/>
            <w:vMerge/>
          </w:tcPr>
          <w:p w14:paraId="303AE453" w14:textId="77777777" w:rsidR="009F187C" w:rsidRPr="00AA22F2" w:rsidRDefault="009F187C" w:rsidP="00340E50">
            <w:pPr>
              <w:rPr>
                <w:szCs w:val="20"/>
              </w:rPr>
            </w:pPr>
          </w:p>
        </w:tc>
        <w:tc>
          <w:tcPr>
            <w:tcW w:w="0" w:type="auto"/>
            <w:vMerge/>
          </w:tcPr>
          <w:p w14:paraId="5E560BB5" w14:textId="77777777" w:rsidR="009F187C" w:rsidRPr="00AA22F2" w:rsidRDefault="009F187C" w:rsidP="00340E50">
            <w:pPr>
              <w:cnfStyle w:val="000000000000" w:firstRow="0" w:lastRow="0" w:firstColumn="0" w:lastColumn="0" w:oddVBand="0" w:evenVBand="0" w:oddHBand="0" w:evenHBand="0" w:firstRowFirstColumn="0" w:firstRowLastColumn="0" w:lastRowFirstColumn="0" w:lastRowLastColumn="0"/>
              <w:rPr>
                <w:b/>
                <w:bCs/>
                <w:szCs w:val="20"/>
              </w:rPr>
            </w:pPr>
          </w:p>
        </w:tc>
        <w:tc>
          <w:tcPr>
            <w:tcW w:w="0" w:type="auto"/>
            <w:tcBorders>
              <w:top w:val="single" w:sz="4" w:space="0" w:color="B4C6E7" w:themeColor="accent1" w:themeTint="66"/>
            </w:tcBorders>
          </w:tcPr>
          <w:p w14:paraId="260C0A81" w14:textId="77777777" w:rsidR="009F187C" w:rsidRPr="00AA22F2" w:rsidRDefault="009F187C" w:rsidP="009F187C">
            <w:pPr>
              <w:cnfStyle w:val="000000000000" w:firstRow="0" w:lastRow="0" w:firstColumn="0" w:lastColumn="0" w:oddVBand="0" w:evenVBand="0" w:oddHBand="0" w:evenHBand="0" w:firstRowFirstColumn="0" w:firstRowLastColumn="0" w:lastRowFirstColumn="0" w:lastRowLastColumn="0"/>
              <w:rPr>
                <w:szCs w:val="20"/>
              </w:rPr>
            </w:pPr>
            <w:r w:rsidRPr="00AA22F2">
              <w:rPr>
                <w:szCs w:val="20"/>
              </w:rPr>
              <w:t>Assurer un nettoyage périodique des caniveaux et exutoires.</w:t>
            </w:r>
          </w:p>
        </w:tc>
        <w:tc>
          <w:tcPr>
            <w:tcW w:w="0" w:type="auto"/>
            <w:vMerge/>
          </w:tcPr>
          <w:p w14:paraId="36FBB1FC" w14:textId="77777777" w:rsidR="009F187C" w:rsidRPr="00AA22F2" w:rsidRDefault="009F187C" w:rsidP="00340E50">
            <w:pPr>
              <w:cnfStyle w:val="000000000000" w:firstRow="0" w:lastRow="0" w:firstColumn="0" w:lastColumn="0" w:oddVBand="0" w:evenVBand="0" w:oddHBand="0" w:evenHBand="0" w:firstRowFirstColumn="0" w:firstRowLastColumn="0" w:lastRowFirstColumn="0" w:lastRowLastColumn="0"/>
              <w:rPr>
                <w:szCs w:val="20"/>
              </w:rPr>
            </w:pPr>
          </w:p>
        </w:tc>
        <w:tc>
          <w:tcPr>
            <w:tcW w:w="0" w:type="auto"/>
            <w:vMerge/>
          </w:tcPr>
          <w:p w14:paraId="70E7D015" w14:textId="77777777" w:rsidR="009F187C" w:rsidRPr="00AA22F2" w:rsidRDefault="009F187C" w:rsidP="00340E50">
            <w:pPr>
              <w:cnfStyle w:val="000000000000" w:firstRow="0" w:lastRow="0" w:firstColumn="0" w:lastColumn="0" w:oddVBand="0" w:evenVBand="0" w:oddHBand="0" w:evenHBand="0" w:firstRowFirstColumn="0" w:firstRowLastColumn="0" w:lastRowFirstColumn="0" w:lastRowLastColumn="0"/>
              <w:rPr>
                <w:szCs w:val="20"/>
              </w:rPr>
            </w:pPr>
          </w:p>
        </w:tc>
        <w:tc>
          <w:tcPr>
            <w:tcW w:w="0" w:type="auto"/>
            <w:vMerge/>
          </w:tcPr>
          <w:p w14:paraId="0826B709" w14:textId="77777777" w:rsidR="009F187C" w:rsidRPr="00AA22F2" w:rsidRDefault="009F187C" w:rsidP="00340E50">
            <w:pPr>
              <w:cnfStyle w:val="000000000000" w:firstRow="0" w:lastRow="0" w:firstColumn="0" w:lastColumn="0" w:oddVBand="0" w:evenVBand="0" w:oddHBand="0" w:evenHBand="0" w:firstRowFirstColumn="0" w:firstRowLastColumn="0" w:lastRowFirstColumn="0" w:lastRowLastColumn="0"/>
              <w:rPr>
                <w:szCs w:val="20"/>
              </w:rPr>
            </w:pPr>
          </w:p>
        </w:tc>
        <w:tc>
          <w:tcPr>
            <w:tcW w:w="0" w:type="auto"/>
            <w:vMerge/>
          </w:tcPr>
          <w:p w14:paraId="50487C0E" w14:textId="77777777" w:rsidR="009F187C" w:rsidRPr="00AA22F2" w:rsidRDefault="009F187C" w:rsidP="00340E50">
            <w:pPr>
              <w:cnfStyle w:val="000000000000" w:firstRow="0" w:lastRow="0" w:firstColumn="0" w:lastColumn="0" w:oddVBand="0" w:evenVBand="0" w:oddHBand="0" w:evenHBand="0" w:firstRowFirstColumn="0" w:firstRowLastColumn="0" w:lastRowFirstColumn="0" w:lastRowLastColumn="0"/>
              <w:rPr>
                <w:szCs w:val="20"/>
              </w:rPr>
            </w:pPr>
          </w:p>
        </w:tc>
        <w:tc>
          <w:tcPr>
            <w:tcW w:w="0" w:type="auto"/>
            <w:vMerge/>
          </w:tcPr>
          <w:p w14:paraId="07CC103D" w14:textId="77777777" w:rsidR="009F187C" w:rsidRPr="00AA22F2" w:rsidRDefault="009F187C" w:rsidP="00340E50">
            <w:pPr>
              <w:cnfStyle w:val="000000000000" w:firstRow="0" w:lastRow="0" w:firstColumn="0" w:lastColumn="0" w:oddVBand="0" w:evenVBand="0" w:oddHBand="0" w:evenHBand="0" w:firstRowFirstColumn="0" w:firstRowLastColumn="0" w:lastRowFirstColumn="0" w:lastRowLastColumn="0"/>
              <w:rPr>
                <w:szCs w:val="20"/>
              </w:rPr>
            </w:pPr>
          </w:p>
        </w:tc>
        <w:tc>
          <w:tcPr>
            <w:tcW w:w="0" w:type="auto"/>
            <w:tcBorders>
              <w:top w:val="single" w:sz="4" w:space="0" w:color="B4C6E7" w:themeColor="accent1" w:themeTint="66"/>
            </w:tcBorders>
          </w:tcPr>
          <w:p w14:paraId="3A979DE5" w14:textId="68E14FAC" w:rsidR="009F187C" w:rsidRPr="00AA22F2" w:rsidRDefault="009F187C" w:rsidP="00340E50">
            <w:pPr>
              <w:cnfStyle w:val="000000000000" w:firstRow="0" w:lastRow="0" w:firstColumn="0" w:lastColumn="0" w:oddVBand="0" w:evenVBand="0" w:oddHBand="0" w:evenHBand="0" w:firstRowFirstColumn="0" w:firstRowLastColumn="0" w:lastRowFirstColumn="0" w:lastRowLastColumn="0"/>
              <w:rPr>
                <w:szCs w:val="20"/>
              </w:rPr>
            </w:pPr>
            <w:r w:rsidRPr="009F187C">
              <w:rPr>
                <w:szCs w:val="20"/>
              </w:rPr>
              <w:t>Curage manuel/mécanisé : 8 – 12 MAD/ml,</w:t>
            </w:r>
          </w:p>
        </w:tc>
      </w:tr>
      <w:tr w:rsidR="00763F21" w:rsidRPr="00AC03E6" w14:paraId="6AF52408" w14:textId="77777777" w:rsidTr="009F187C">
        <w:trPr>
          <w:trHeight w:val="1004"/>
        </w:trPr>
        <w:tc>
          <w:tcPr>
            <w:cnfStyle w:val="001000000000" w:firstRow="0" w:lastRow="0" w:firstColumn="1" w:lastColumn="0" w:oddVBand="0" w:evenVBand="0" w:oddHBand="0" w:evenHBand="0" w:firstRowFirstColumn="0" w:firstRowLastColumn="0" w:lastRowFirstColumn="0" w:lastRowLastColumn="0"/>
            <w:tcW w:w="0" w:type="auto"/>
            <w:vMerge/>
            <w:hideMark/>
          </w:tcPr>
          <w:p w14:paraId="4F80881D" w14:textId="77777777" w:rsidR="009F187C" w:rsidRPr="00AA22F2" w:rsidRDefault="009F187C" w:rsidP="00340E50">
            <w:pPr>
              <w:rPr>
                <w:szCs w:val="20"/>
              </w:rPr>
            </w:pPr>
          </w:p>
        </w:tc>
        <w:tc>
          <w:tcPr>
            <w:tcW w:w="0" w:type="auto"/>
            <w:vMerge w:val="restart"/>
            <w:hideMark/>
          </w:tcPr>
          <w:p w14:paraId="10F2ADEF" w14:textId="77777777" w:rsidR="009F187C" w:rsidRPr="00AA22F2" w:rsidRDefault="009F187C" w:rsidP="00340E50">
            <w:pPr>
              <w:cnfStyle w:val="000000000000" w:firstRow="0" w:lastRow="0" w:firstColumn="0" w:lastColumn="0" w:oddVBand="0" w:evenVBand="0" w:oddHBand="0" w:evenHBand="0" w:firstRowFirstColumn="0" w:firstRowLastColumn="0" w:lastRowFirstColumn="0" w:lastRowLastColumn="0"/>
              <w:rPr>
                <w:szCs w:val="20"/>
              </w:rPr>
            </w:pPr>
            <w:r w:rsidRPr="00AA22F2">
              <w:rPr>
                <w:b/>
                <w:bCs/>
                <w:szCs w:val="20"/>
              </w:rPr>
              <w:t>Atténuer</w:t>
            </w:r>
          </w:p>
        </w:tc>
        <w:tc>
          <w:tcPr>
            <w:tcW w:w="0" w:type="auto"/>
            <w:tcBorders>
              <w:bottom w:val="single" w:sz="4" w:space="0" w:color="B4C6E7" w:themeColor="accent1" w:themeTint="66"/>
            </w:tcBorders>
            <w:hideMark/>
          </w:tcPr>
          <w:p w14:paraId="490764CB" w14:textId="42E0F6B6" w:rsidR="009F187C" w:rsidRPr="00AA22F2" w:rsidRDefault="009F187C" w:rsidP="00340E50">
            <w:pPr>
              <w:cnfStyle w:val="000000000000" w:firstRow="0" w:lastRow="0" w:firstColumn="0" w:lastColumn="0" w:oddVBand="0" w:evenVBand="0" w:oddHBand="0" w:evenHBand="0" w:firstRowFirstColumn="0" w:firstRowLastColumn="0" w:lastRowFirstColumn="0" w:lastRowLastColumn="0"/>
              <w:rPr>
                <w:szCs w:val="20"/>
              </w:rPr>
            </w:pPr>
            <w:r w:rsidRPr="00AA22F2">
              <w:rPr>
                <w:szCs w:val="20"/>
              </w:rPr>
              <w:t xml:space="preserve">Créer des bandes végétalisées d’infiltration en périphérie. </w:t>
            </w:r>
          </w:p>
        </w:tc>
        <w:tc>
          <w:tcPr>
            <w:tcW w:w="0" w:type="auto"/>
            <w:vMerge w:val="restart"/>
            <w:hideMark/>
          </w:tcPr>
          <w:p w14:paraId="3BB297B6" w14:textId="77777777" w:rsidR="009F187C" w:rsidRPr="00AA22F2" w:rsidRDefault="009F187C" w:rsidP="00340E50">
            <w:pPr>
              <w:cnfStyle w:val="000000000000" w:firstRow="0" w:lastRow="0" w:firstColumn="0" w:lastColumn="0" w:oddVBand="0" w:evenVBand="0" w:oddHBand="0" w:evenHBand="0" w:firstRowFirstColumn="0" w:firstRowLastColumn="0" w:lastRowFirstColumn="0" w:lastRowLastColumn="0"/>
              <w:rPr>
                <w:szCs w:val="20"/>
              </w:rPr>
            </w:pPr>
            <w:r w:rsidRPr="00AA22F2">
              <w:rPr>
                <w:szCs w:val="20"/>
              </w:rPr>
              <w:t>Surface végétalisée (m²)</w:t>
            </w:r>
          </w:p>
        </w:tc>
        <w:tc>
          <w:tcPr>
            <w:tcW w:w="0" w:type="auto"/>
            <w:vMerge w:val="restart"/>
            <w:hideMark/>
          </w:tcPr>
          <w:p w14:paraId="4D730466" w14:textId="77777777" w:rsidR="009F187C" w:rsidRPr="00AA22F2" w:rsidRDefault="009F187C" w:rsidP="00340E50">
            <w:pPr>
              <w:cnfStyle w:val="000000000000" w:firstRow="0" w:lastRow="0" w:firstColumn="0" w:lastColumn="0" w:oddVBand="0" w:evenVBand="0" w:oddHBand="0" w:evenHBand="0" w:firstRowFirstColumn="0" w:firstRowLastColumn="0" w:lastRowFirstColumn="0" w:lastRowLastColumn="0"/>
              <w:rPr>
                <w:szCs w:val="20"/>
              </w:rPr>
            </w:pPr>
            <w:r w:rsidRPr="00AA22F2">
              <w:rPr>
                <w:szCs w:val="20"/>
              </w:rPr>
              <w:t>ONDA / Exploitant</w:t>
            </w:r>
          </w:p>
        </w:tc>
        <w:tc>
          <w:tcPr>
            <w:tcW w:w="0" w:type="auto"/>
            <w:vMerge w:val="restart"/>
            <w:hideMark/>
          </w:tcPr>
          <w:p w14:paraId="507C8A61" w14:textId="77777777" w:rsidR="009F187C" w:rsidRPr="00AA22F2" w:rsidRDefault="009F187C" w:rsidP="00340E50">
            <w:pPr>
              <w:cnfStyle w:val="000000000000" w:firstRow="0" w:lastRow="0" w:firstColumn="0" w:lastColumn="0" w:oddVBand="0" w:evenVBand="0" w:oddHBand="0" w:evenHBand="0" w:firstRowFirstColumn="0" w:firstRowLastColumn="0" w:lastRowFirstColumn="0" w:lastRowLastColumn="0"/>
              <w:rPr>
                <w:szCs w:val="20"/>
              </w:rPr>
            </w:pPr>
            <w:r w:rsidRPr="00AA22F2">
              <w:rPr>
                <w:szCs w:val="20"/>
              </w:rPr>
              <w:t>ONDA</w:t>
            </w:r>
          </w:p>
        </w:tc>
        <w:tc>
          <w:tcPr>
            <w:tcW w:w="0" w:type="auto"/>
            <w:vMerge w:val="restart"/>
            <w:hideMark/>
          </w:tcPr>
          <w:p w14:paraId="54D59676" w14:textId="77777777" w:rsidR="009F187C" w:rsidRPr="00AA22F2" w:rsidRDefault="009F187C" w:rsidP="00340E50">
            <w:pPr>
              <w:cnfStyle w:val="000000000000" w:firstRow="0" w:lastRow="0" w:firstColumn="0" w:lastColumn="0" w:oddVBand="0" w:evenVBand="0" w:oddHBand="0" w:evenHBand="0" w:firstRowFirstColumn="0" w:firstRowLastColumn="0" w:lastRowFirstColumn="0" w:lastRowLastColumn="0"/>
              <w:rPr>
                <w:szCs w:val="20"/>
              </w:rPr>
            </w:pPr>
            <w:r w:rsidRPr="00AA22F2">
              <w:rPr>
                <w:szCs w:val="20"/>
              </w:rPr>
              <w:t>ONDA</w:t>
            </w:r>
          </w:p>
        </w:tc>
        <w:tc>
          <w:tcPr>
            <w:tcW w:w="0" w:type="auto"/>
            <w:vMerge w:val="restart"/>
            <w:hideMark/>
          </w:tcPr>
          <w:p w14:paraId="20FA03F0" w14:textId="77777777" w:rsidR="009F187C" w:rsidRPr="00AA22F2" w:rsidRDefault="009F187C" w:rsidP="00340E50">
            <w:pPr>
              <w:cnfStyle w:val="000000000000" w:firstRow="0" w:lastRow="0" w:firstColumn="0" w:lastColumn="0" w:oddVBand="0" w:evenVBand="0" w:oddHBand="0" w:evenHBand="0" w:firstRowFirstColumn="0" w:firstRowLastColumn="0" w:lastRowFirstColumn="0" w:lastRowLastColumn="0"/>
              <w:rPr>
                <w:szCs w:val="20"/>
              </w:rPr>
            </w:pPr>
            <w:r w:rsidRPr="00AA22F2">
              <w:rPr>
                <w:szCs w:val="20"/>
              </w:rPr>
              <w:t>Permanent</w:t>
            </w:r>
          </w:p>
        </w:tc>
        <w:tc>
          <w:tcPr>
            <w:tcW w:w="0" w:type="auto"/>
            <w:tcBorders>
              <w:bottom w:val="single" w:sz="4" w:space="0" w:color="B4C6E7" w:themeColor="accent1" w:themeTint="66"/>
            </w:tcBorders>
            <w:hideMark/>
          </w:tcPr>
          <w:p w14:paraId="3275C436" w14:textId="4AC0AF5E" w:rsidR="009F187C" w:rsidRPr="0047479B" w:rsidRDefault="0047479B" w:rsidP="00340E50">
            <w:pPr>
              <w:cnfStyle w:val="000000000000" w:firstRow="0" w:lastRow="0" w:firstColumn="0" w:lastColumn="0" w:oddVBand="0" w:evenVBand="0" w:oddHBand="0" w:evenHBand="0" w:firstRowFirstColumn="0" w:firstRowLastColumn="0" w:lastRowFirstColumn="0" w:lastRowLastColumn="0"/>
              <w:rPr>
                <w:szCs w:val="20"/>
              </w:rPr>
            </w:pPr>
            <w:r w:rsidRPr="00D60FC9">
              <w:rPr>
                <w:szCs w:val="20"/>
              </w:rPr>
              <w:t>≈ 120 – 150 MAD/ml</w:t>
            </w:r>
            <w:r w:rsidRPr="0047479B">
              <w:rPr>
                <w:szCs w:val="20"/>
              </w:rPr>
              <w:br/>
              <w:t>Inclut décaissement, substrat drainant, plantation et arrosage initial.</w:t>
            </w:r>
          </w:p>
        </w:tc>
      </w:tr>
      <w:tr w:rsidR="00763F21" w:rsidRPr="00AC03E6" w14:paraId="14269502" w14:textId="77777777" w:rsidTr="009F187C">
        <w:trPr>
          <w:trHeight w:val="1036"/>
        </w:trPr>
        <w:tc>
          <w:tcPr>
            <w:cnfStyle w:val="001000000000" w:firstRow="0" w:lastRow="0" w:firstColumn="1" w:lastColumn="0" w:oddVBand="0" w:evenVBand="0" w:oddHBand="0" w:evenHBand="0" w:firstRowFirstColumn="0" w:firstRowLastColumn="0" w:lastRowFirstColumn="0" w:lastRowLastColumn="0"/>
            <w:tcW w:w="0" w:type="auto"/>
            <w:vMerge/>
          </w:tcPr>
          <w:p w14:paraId="5B06EE51" w14:textId="77777777" w:rsidR="009F187C" w:rsidRPr="00AA22F2" w:rsidRDefault="009F187C" w:rsidP="00340E50">
            <w:pPr>
              <w:rPr>
                <w:szCs w:val="20"/>
              </w:rPr>
            </w:pPr>
          </w:p>
        </w:tc>
        <w:tc>
          <w:tcPr>
            <w:tcW w:w="0" w:type="auto"/>
            <w:vMerge/>
          </w:tcPr>
          <w:p w14:paraId="33F18E64" w14:textId="77777777" w:rsidR="009F187C" w:rsidRPr="00AA22F2" w:rsidRDefault="009F187C" w:rsidP="00340E50">
            <w:pPr>
              <w:cnfStyle w:val="000000000000" w:firstRow="0" w:lastRow="0" w:firstColumn="0" w:lastColumn="0" w:oddVBand="0" w:evenVBand="0" w:oddHBand="0" w:evenHBand="0" w:firstRowFirstColumn="0" w:firstRowLastColumn="0" w:lastRowFirstColumn="0" w:lastRowLastColumn="0"/>
              <w:rPr>
                <w:b/>
                <w:bCs/>
                <w:szCs w:val="20"/>
              </w:rPr>
            </w:pPr>
          </w:p>
        </w:tc>
        <w:tc>
          <w:tcPr>
            <w:tcW w:w="0" w:type="auto"/>
            <w:tcBorders>
              <w:top w:val="single" w:sz="4" w:space="0" w:color="B4C6E7" w:themeColor="accent1" w:themeTint="66"/>
            </w:tcBorders>
          </w:tcPr>
          <w:p w14:paraId="54F05A8F" w14:textId="7D0C01B7" w:rsidR="009F187C" w:rsidRPr="00AA22F2" w:rsidRDefault="009F187C" w:rsidP="009F187C">
            <w:pPr>
              <w:cnfStyle w:val="000000000000" w:firstRow="0" w:lastRow="0" w:firstColumn="0" w:lastColumn="0" w:oddVBand="0" w:evenVBand="0" w:oddHBand="0" w:evenHBand="0" w:firstRowFirstColumn="0" w:firstRowLastColumn="0" w:lastRowFirstColumn="0" w:lastRowLastColumn="0"/>
              <w:rPr>
                <w:szCs w:val="20"/>
              </w:rPr>
            </w:pPr>
            <w:r w:rsidRPr="00AA22F2">
              <w:rPr>
                <w:szCs w:val="20"/>
              </w:rPr>
              <w:t>Intégrer des zones d’infiltration contrôlées</w:t>
            </w:r>
          </w:p>
        </w:tc>
        <w:tc>
          <w:tcPr>
            <w:tcW w:w="0" w:type="auto"/>
            <w:vMerge/>
          </w:tcPr>
          <w:p w14:paraId="23CEFDB0" w14:textId="77777777" w:rsidR="009F187C" w:rsidRPr="00AA22F2" w:rsidRDefault="009F187C" w:rsidP="00340E50">
            <w:pPr>
              <w:cnfStyle w:val="000000000000" w:firstRow="0" w:lastRow="0" w:firstColumn="0" w:lastColumn="0" w:oddVBand="0" w:evenVBand="0" w:oddHBand="0" w:evenHBand="0" w:firstRowFirstColumn="0" w:firstRowLastColumn="0" w:lastRowFirstColumn="0" w:lastRowLastColumn="0"/>
              <w:rPr>
                <w:szCs w:val="20"/>
              </w:rPr>
            </w:pPr>
          </w:p>
        </w:tc>
        <w:tc>
          <w:tcPr>
            <w:tcW w:w="0" w:type="auto"/>
            <w:vMerge/>
          </w:tcPr>
          <w:p w14:paraId="56E70554" w14:textId="77777777" w:rsidR="009F187C" w:rsidRPr="00AA22F2" w:rsidRDefault="009F187C" w:rsidP="00340E50">
            <w:pPr>
              <w:cnfStyle w:val="000000000000" w:firstRow="0" w:lastRow="0" w:firstColumn="0" w:lastColumn="0" w:oddVBand="0" w:evenVBand="0" w:oddHBand="0" w:evenHBand="0" w:firstRowFirstColumn="0" w:firstRowLastColumn="0" w:lastRowFirstColumn="0" w:lastRowLastColumn="0"/>
              <w:rPr>
                <w:szCs w:val="20"/>
              </w:rPr>
            </w:pPr>
          </w:p>
        </w:tc>
        <w:tc>
          <w:tcPr>
            <w:tcW w:w="0" w:type="auto"/>
            <w:vMerge/>
          </w:tcPr>
          <w:p w14:paraId="77C450C9" w14:textId="77777777" w:rsidR="009F187C" w:rsidRPr="00AA22F2" w:rsidRDefault="009F187C" w:rsidP="00340E50">
            <w:pPr>
              <w:cnfStyle w:val="000000000000" w:firstRow="0" w:lastRow="0" w:firstColumn="0" w:lastColumn="0" w:oddVBand="0" w:evenVBand="0" w:oddHBand="0" w:evenHBand="0" w:firstRowFirstColumn="0" w:firstRowLastColumn="0" w:lastRowFirstColumn="0" w:lastRowLastColumn="0"/>
              <w:rPr>
                <w:szCs w:val="20"/>
              </w:rPr>
            </w:pPr>
          </w:p>
        </w:tc>
        <w:tc>
          <w:tcPr>
            <w:tcW w:w="0" w:type="auto"/>
            <w:vMerge/>
          </w:tcPr>
          <w:p w14:paraId="415C3717" w14:textId="77777777" w:rsidR="009F187C" w:rsidRPr="00AA22F2" w:rsidRDefault="009F187C" w:rsidP="00340E50">
            <w:pPr>
              <w:cnfStyle w:val="000000000000" w:firstRow="0" w:lastRow="0" w:firstColumn="0" w:lastColumn="0" w:oddVBand="0" w:evenVBand="0" w:oddHBand="0" w:evenHBand="0" w:firstRowFirstColumn="0" w:firstRowLastColumn="0" w:lastRowFirstColumn="0" w:lastRowLastColumn="0"/>
              <w:rPr>
                <w:szCs w:val="20"/>
              </w:rPr>
            </w:pPr>
          </w:p>
        </w:tc>
        <w:tc>
          <w:tcPr>
            <w:tcW w:w="0" w:type="auto"/>
            <w:vMerge/>
          </w:tcPr>
          <w:p w14:paraId="09BA41CE" w14:textId="77777777" w:rsidR="009F187C" w:rsidRPr="00AA22F2" w:rsidRDefault="009F187C" w:rsidP="00340E50">
            <w:pPr>
              <w:cnfStyle w:val="000000000000" w:firstRow="0" w:lastRow="0" w:firstColumn="0" w:lastColumn="0" w:oddVBand="0" w:evenVBand="0" w:oddHBand="0" w:evenHBand="0" w:firstRowFirstColumn="0" w:firstRowLastColumn="0" w:lastRowFirstColumn="0" w:lastRowLastColumn="0"/>
              <w:rPr>
                <w:szCs w:val="20"/>
              </w:rPr>
            </w:pPr>
          </w:p>
        </w:tc>
        <w:tc>
          <w:tcPr>
            <w:tcW w:w="0" w:type="auto"/>
            <w:tcBorders>
              <w:top w:val="single" w:sz="4" w:space="0" w:color="B4C6E7" w:themeColor="accent1" w:themeTint="66"/>
            </w:tcBorders>
          </w:tcPr>
          <w:p w14:paraId="497B2426" w14:textId="32BBA731" w:rsidR="009F187C" w:rsidRPr="00AA22F2" w:rsidRDefault="0047479B" w:rsidP="00340E50">
            <w:pPr>
              <w:cnfStyle w:val="000000000000" w:firstRow="0" w:lastRow="0" w:firstColumn="0" w:lastColumn="0" w:oddVBand="0" w:evenVBand="0" w:oddHBand="0" w:evenHBand="0" w:firstRowFirstColumn="0" w:firstRowLastColumn="0" w:lastRowFirstColumn="0" w:lastRowLastColumn="0"/>
              <w:rPr>
                <w:szCs w:val="20"/>
              </w:rPr>
            </w:pPr>
            <w:r w:rsidRPr="0047479B">
              <w:rPr>
                <w:szCs w:val="20"/>
              </w:rPr>
              <w:t>≈ 15 000 – 20 000 MAD/unité</w:t>
            </w:r>
          </w:p>
        </w:tc>
      </w:tr>
      <w:tr w:rsidR="002F1D7D" w:rsidRPr="00AC03E6" w14:paraId="2F5076CE" w14:textId="77777777" w:rsidTr="008B721A">
        <w:tc>
          <w:tcPr>
            <w:cnfStyle w:val="001000000000" w:firstRow="0" w:lastRow="0" w:firstColumn="1" w:lastColumn="0" w:oddVBand="0" w:evenVBand="0" w:oddHBand="0" w:evenHBand="0" w:firstRowFirstColumn="0" w:firstRowLastColumn="0" w:lastRowFirstColumn="0" w:lastRowLastColumn="0"/>
            <w:tcW w:w="0" w:type="auto"/>
            <w:vMerge w:val="restart"/>
            <w:hideMark/>
          </w:tcPr>
          <w:p w14:paraId="2B64099A" w14:textId="77777777" w:rsidR="00023407" w:rsidRPr="00AA22F2" w:rsidRDefault="00023407" w:rsidP="008B721A">
            <w:pPr>
              <w:rPr>
                <w:szCs w:val="20"/>
              </w:rPr>
            </w:pPr>
            <w:r w:rsidRPr="00AA22F2">
              <w:rPr>
                <w:szCs w:val="20"/>
              </w:rPr>
              <w:lastRenderedPageBreak/>
              <w:t>Risque de pollution chronique du sol</w:t>
            </w:r>
          </w:p>
        </w:tc>
        <w:tc>
          <w:tcPr>
            <w:tcW w:w="0" w:type="auto"/>
            <w:hideMark/>
          </w:tcPr>
          <w:p w14:paraId="37D117D0" w14:textId="77777777" w:rsidR="00023407" w:rsidRPr="00AA22F2" w:rsidRDefault="00023407" w:rsidP="008B721A">
            <w:pPr>
              <w:cnfStyle w:val="000000000000" w:firstRow="0" w:lastRow="0" w:firstColumn="0" w:lastColumn="0" w:oddVBand="0" w:evenVBand="0" w:oddHBand="0" w:evenHBand="0" w:firstRowFirstColumn="0" w:firstRowLastColumn="0" w:lastRowFirstColumn="0" w:lastRowLastColumn="0"/>
              <w:rPr>
                <w:szCs w:val="20"/>
              </w:rPr>
            </w:pPr>
            <w:r w:rsidRPr="00AA22F2">
              <w:rPr>
                <w:b/>
                <w:bCs/>
                <w:szCs w:val="20"/>
              </w:rPr>
              <w:t>Éviter</w:t>
            </w:r>
          </w:p>
        </w:tc>
        <w:tc>
          <w:tcPr>
            <w:tcW w:w="0" w:type="auto"/>
            <w:hideMark/>
          </w:tcPr>
          <w:p w14:paraId="45288910" w14:textId="77777777" w:rsidR="00023407" w:rsidRPr="00AA22F2" w:rsidRDefault="00023407" w:rsidP="008B721A">
            <w:pPr>
              <w:cnfStyle w:val="000000000000" w:firstRow="0" w:lastRow="0" w:firstColumn="0" w:lastColumn="0" w:oddVBand="0" w:evenVBand="0" w:oddHBand="0" w:evenHBand="0" w:firstRowFirstColumn="0" w:firstRowLastColumn="0" w:lastRowFirstColumn="0" w:lastRowLastColumn="0"/>
              <w:rPr>
                <w:szCs w:val="20"/>
              </w:rPr>
            </w:pPr>
            <w:r w:rsidRPr="00AA22F2">
              <w:rPr>
                <w:szCs w:val="20"/>
              </w:rPr>
              <w:t xml:space="preserve">Restreindre les opérations de maintenance et de ravitaillement à des zones confinées. </w:t>
            </w:r>
          </w:p>
          <w:p w14:paraId="6B8B493F" w14:textId="07899BBE" w:rsidR="00023407" w:rsidRPr="00AA22F2" w:rsidRDefault="00023407" w:rsidP="008B721A">
            <w:pPr>
              <w:cnfStyle w:val="000000000000" w:firstRow="0" w:lastRow="0" w:firstColumn="0" w:lastColumn="0" w:oddVBand="0" w:evenVBand="0" w:oddHBand="0" w:evenHBand="0" w:firstRowFirstColumn="0" w:firstRowLastColumn="0" w:lastRowFirstColumn="0" w:lastRowLastColumn="0"/>
              <w:rPr>
                <w:szCs w:val="20"/>
              </w:rPr>
            </w:pPr>
            <w:r w:rsidRPr="00AA22F2">
              <w:rPr>
                <w:szCs w:val="20"/>
              </w:rPr>
              <w:t>Interdire les lavages ou vidanges sur zones ouvertes.</w:t>
            </w:r>
          </w:p>
        </w:tc>
        <w:tc>
          <w:tcPr>
            <w:tcW w:w="0" w:type="auto"/>
            <w:hideMark/>
          </w:tcPr>
          <w:p w14:paraId="5985E90D" w14:textId="77777777" w:rsidR="00023407" w:rsidRPr="00AA22F2" w:rsidRDefault="00023407" w:rsidP="008B721A">
            <w:pPr>
              <w:cnfStyle w:val="000000000000" w:firstRow="0" w:lastRow="0" w:firstColumn="0" w:lastColumn="0" w:oddVBand="0" w:evenVBand="0" w:oddHBand="0" w:evenHBand="0" w:firstRowFirstColumn="0" w:firstRowLastColumn="0" w:lastRowFirstColumn="0" w:lastRowLastColumn="0"/>
              <w:rPr>
                <w:szCs w:val="20"/>
              </w:rPr>
            </w:pPr>
            <w:r w:rsidRPr="00AA22F2">
              <w:rPr>
                <w:szCs w:val="20"/>
              </w:rPr>
              <w:t>% d’aires confinées / aires totales</w:t>
            </w:r>
          </w:p>
        </w:tc>
        <w:tc>
          <w:tcPr>
            <w:tcW w:w="0" w:type="auto"/>
            <w:hideMark/>
          </w:tcPr>
          <w:p w14:paraId="014A789C" w14:textId="77777777" w:rsidR="00023407" w:rsidRPr="00AA22F2" w:rsidRDefault="00023407" w:rsidP="008B721A">
            <w:pPr>
              <w:cnfStyle w:val="000000000000" w:firstRow="0" w:lastRow="0" w:firstColumn="0" w:lastColumn="0" w:oddVBand="0" w:evenVBand="0" w:oddHBand="0" w:evenHBand="0" w:firstRowFirstColumn="0" w:firstRowLastColumn="0" w:lastRowFirstColumn="0" w:lastRowLastColumn="0"/>
              <w:rPr>
                <w:szCs w:val="20"/>
              </w:rPr>
            </w:pPr>
            <w:r w:rsidRPr="00AA22F2">
              <w:rPr>
                <w:szCs w:val="20"/>
              </w:rPr>
              <w:t>ONDA / Exploitant</w:t>
            </w:r>
          </w:p>
        </w:tc>
        <w:tc>
          <w:tcPr>
            <w:tcW w:w="0" w:type="auto"/>
            <w:hideMark/>
          </w:tcPr>
          <w:p w14:paraId="2101A6D4" w14:textId="77777777" w:rsidR="00023407" w:rsidRPr="00AA22F2" w:rsidRDefault="00023407" w:rsidP="008B721A">
            <w:pPr>
              <w:cnfStyle w:val="000000000000" w:firstRow="0" w:lastRow="0" w:firstColumn="0" w:lastColumn="0" w:oddVBand="0" w:evenVBand="0" w:oddHBand="0" w:evenHBand="0" w:firstRowFirstColumn="0" w:firstRowLastColumn="0" w:lastRowFirstColumn="0" w:lastRowLastColumn="0"/>
              <w:rPr>
                <w:szCs w:val="20"/>
              </w:rPr>
            </w:pPr>
            <w:r w:rsidRPr="00AA22F2">
              <w:rPr>
                <w:szCs w:val="20"/>
              </w:rPr>
              <w:t>ONDA</w:t>
            </w:r>
          </w:p>
        </w:tc>
        <w:tc>
          <w:tcPr>
            <w:tcW w:w="0" w:type="auto"/>
            <w:hideMark/>
          </w:tcPr>
          <w:p w14:paraId="5769E8A9" w14:textId="77777777" w:rsidR="00023407" w:rsidRPr="00AA22F2" w:rsidRDefault="00023407" w:rsidP="008B721A">
            <w:pPr>
              <w:cnfStyle w:val="000000000000" w:firstRow="0" w:lastRow="0" w:firstColumn="0" w:lastColumn="0" w:oddVBand="0" w:evenVBand="0" w:oddHBand="0" w:evenHBand="0" w:firstRowFirstColumn="0" w:firstRowLastColumn="0" w:lastRowFirstColumn="0" w:lastRowLastColumn="0"/>
              <w:rPr>
                <w:szCs w:val="20"/>
              </w:rPr>
            </w:pPr>
            <w:r w:rsidRPr="00AA22F2">
              <w:rPr>
                <w:szCs w:val="20"/>
              </w:rPr>
              <w:t>ONDA</w:t>
            </w:r>
          </w:p>
        </w:tc>
        <w:tc>
          <w:tcPr>
            <w:tcW w:w="0" w:type="auto"/>
            <w:hideMark/>
          </w:tcPr>
          <w:p w14:paraId="150F71FA" w14:textId="77777777" w:rsidR="00023407" w:rsidRPr="00AA22F2" w:rsidRDefault="00023407" w:rsidP="008B721A">
            <w:pPr>
              <w:cnfStyle w:val="000000000000" w:firstRow="0" w:lastRow="0" w:firstColumn="0" w:lastColumn="0" w:oddVBand="0" w:evenVBand="0" w:oddHBand="0" w:evenHBand="0" w:firstRowFirstColumn="0" w:firstRowLastColumn="0" w:lastRowFirstColumn="0" w:lastRowLastColumn="0"/>
              <w:rPr>
                <w:szCs w:val="20"/>
              </w:rPr>
            </w:pPr>
            <w:r w:rsidRPr="00AA22F2">
              <w:rPr>
                <w:szCs w:val="20"/>
              </w:rPr>
              <w:t>Permanent</w:t>
            </w:r>
          </w:p>
        </w:tc>
        <w:tc>
          <w:tcPr>
            <w:tcW w:w="0" w:type="auto"/>
            <w:hideMark/>
          </w:tcPr>
          <w:p w14:paraId="0C94460F" w14:textId="4B035004" w:rsidR="00023407" w:rsidRPr="00AA22F2" w:rsidRDefault="008859CB" w:rsidP="008B721A">
            <w:pPr>
              <w:cnfStyle w:val="000000000000" w:firstRow="0" w:lastRow="0" w:firstColumn="0" w:lastColumn="0" w:oddVBand="0" w:evenVBand="0" w:oddHBand="0" w:evenHBand="0" w:firstRowFirstColumn="0" w:firstRowLastColumn="0" w:lastRowFirstColumn="0" w:lastRowLastColumn="0"/>
              <w:rPr>
                <w:szCs w:val="20"/>
              </w:rPr>
            </w:pPr>
            <w:r w:rsidRPr="00AC03E6">
              <w:rPr>
                <w:szCs w:val="20"/>
              </w:rPr>
              <w:t>Aucun coût spécifique</w:t>
            </w:r>
          </w:p>
        </w:tc>
      </w:tr>
      <w:tr w:rsidR="00763F21" w:rsidRPr="00AC03E6" w14:paraId="4C273793" w14:textId="77777777" w:rsidTr="00763F21">
        <w:trPr>
          <w:trHeight w:val="1330"/>
        </w:trPr>
        <w:tc>
          <w:tcPr>
            <w:cnfStyle w:val="001000000000" w:firstRow="0" w:lastRow="0" w:firstColumn="1" w:lastColumn="0" w:oddVBand="0" w:evenVBand="0" w:oddHBand="0" w:evenHBand="0" w:firstRowFirstColumn="0" w:firstRowLastColumn="0" w:lastRowFirstColumn="0" w:lastRowLastColumn="0"/>
            <w:tcW w:w="0" w:type="auto"/>
            <w:vMerge/>
            <w:hideMark/>
          </w:tcPr>
          <w:p w14:paraId="3CEA9002" w14:textId="77777777" w:rsidR="00763F21" w:rsidRPr="00AA22F2" w:rsidRDefault="00763F21" w:rsidP="008859CB">
            <w:pPr>
              <w:rPr>
                <w:szCs w:val="20"/>
              </w:rPr>
            </w:pPr>
          </w:p>
        </w:tc>
        <w:tc>
          <w:tcPr>
            <w:tcW w:w="0" w:type="auto"/>
            <w:vMerge w:val="restart"/>
            <w:hideMark/>
          </w:tcPr>
          <w:p w14:paraId="0DA36808" w14:textId="77777777" w:rsidR="00763F21" w:rsidRPr="00AA22F2" w:rsidRDefault="00763F21" w:rsidP="008859CB">
            <w:pPr>
              <w:cnfStyle w:val="000000000000" w:firstRow="0" w:lastRow="0" w:firstColumn="0" w:lastColumn="0" w:oddVBand="0" w:evenVBand="0" w:oddHBand="0" w:evenHBand="0" w:firstRowFirstColumn="0" w:firstRowLastColumn="0" w:lastRowFirstColumn="0" w:lastRowLastColumn="0"/>
              <w:rPr>
                <w:szCs w:val="20"/>
              </w:rPr>
            </w:pPr>
            <w:r w:rsidRPr="00AA22F2">
              <w:rPr>
                <w:b/>
                <w:bCs/>
                <w:szCs w:val="20"/>
              </w:rPr>
              <w:t>Réduire</w:t>
            </w:r>
          </w:p>
        </w:tc>
        <w:tc>
          <w:tcPr>
            <w:tcW w:w="0" w:type="auto"/>
            <w:tcBorders>
              <w:bottom w:val="single" w:sz="4" w:space="0" w:color="B4C6E7" w:themeColor="accent1" w:themeTint="66"/>
            </w:tcBorders>
            <w:hideMark/>
          </w:tcPr>
          <w:p w14:paraId="50DAC370" w14:textId="0460353C" w:rsidR="00763F21" w:rsidRPr="00AA22F2" w:rsidRDefault="00763F21" w:rsidP="008859CB">
            <w:pPr>
              <w:cnfStyle w:val="000000000000" w:firstRow="0" w:lastRow="0" w:firstColumn="0" w:lastColumn="0" w:oddVBand="0" w:evenVBand="0" w:oddHBand="0" w:evenHBand="0" w:firstRowFirstColumn="0" w:firstRowLastColumn="0" w:lastRowFirstColumn="0" w:lastRowLastColumn="0"/>
              <w:rPr>
                <w:szCs w:val="20"/>
              </w:rPr>
            </w:pPr>
            <w:r w:rsidRPr="00AA22F2">
              <w:rPr>
                <w:szCs w:val="20"/>
              </w:rPr>
              <w:t xml:space="preserve">Installer des bacs de rétention et séparateurs d’hydrocarbures. </w:t>
            </w:r>
          </w:p>
        </w:tc>
        <w:tc>
          <w:tcPr>
            <w:tcW w:w="0" w:type="auto"/>
            <w:vMerge w:val="restart"/>
            <w:hideMark/>
          </w:tcPr>
          <w:p w14:paraId="738872EE" w14:textId="77777777" w:rsidR="00763F21" w:rsidRPr="00AA22F2" w:rsidRDefault="00763F21" w:rsidP="008859CB">
            <w:pPr>
              <w:cnfStyle w:val="000000000000" w:firstRow="0" w:lastRow="0" w:firstColumn="0" w:lastColumn="0" w:oddVBand="0" w:evenVBand="0" w:oddHBand="0" w:evenHBand="0" w:firstRowFirstColumn="0" w:firstRowLastColumn="0" w:lastRowFirstColumn="0" w:lastRowLastColumn="0"/>
              <w:rPr>
                <w:szCs w:val="20"/>
              </w:rPr>
            </w:pPr>
            <w:r w:rsidRPr="00AA22F2">
              <w:rPr>
                <w:szCs w:val="20"/>
              </w:rPr>
              <w:t>% de zones équipées / nombre de formations</w:t>
            </w:r>
          </w:p>
        </w:tc>
        <w:tc>
          <w:tcPr>
            <w:tcW w:w="0" w:type="auto"/>
            <w:vMerge w:val="restart"/>
            <w:hideMark/>
          </w:tcPr>
          <w:p w14:paraId="54AE0D18" w14:textId="77777777" w:rsidR="00763F21" w:rsidRPr="00AA22F2" w:rsidRDefault="00763F21" w:rsidP="008859CB">
            <w:pPr>
              <w:cnfStyle w:val="000000000000" w:firstRow="0" w:lastRow="0" w:firstColumn="0" w:lastColumn="0" w:oddVBand="0" w:evenVBand="0" w:oddHBand="0" w:evenHBand="0" w:firstRowFirstColumn="0" w:firstRowLastColumn="0" w:lastRowFirstColumn="0" w:lastRowLastColumn="0"/>
              <w:rPr>
                <w:szCs w:val="20"/>
              </w:rPr>
            </w:pPr>
            <w:r w:rsidRPr="00AA22F2">
              <w:rPr>
                <w:szCs w:val="20"/>
              </w:rPr>
              <w:t>ONDA / Exploitant</w:t>
            </w:r>
          </w:p>
        </w:tc>
        <w:tc>
          <w:tcPr>
            <w:tcW w:w="0" w:type="auto"/>
            <w:vMerge w:val="restart"/>
            <w:hideMark/>
          </w:tcPr>
          <w:p w14:paraId="34393CA4" w14:textId="77777777" w:rsidR="00763F21" w:rsidRPr="00AA22F2" w:rsidRDefault="00763F21" w:rsidP="008859CB">
            <w:pPr>
              <w:cnfStyle w:val="000000000000" w:firstRow="0" w:lastRow="0" w:firstColumn="0" w:lastColumn="0" w:oddVBand="0" w:evenVBand="0" w:oddHBand="0" w:evenHBand="0" w:firstRowFirstColumn="0" w:firstRowLastColumn="0" w:lastRowFirstColumn="0" w:lastRowLastColumn="0"/>
              <w:rPr>
                <w:szCs w:val="20"/>
              </w:rPr>
            </w:pPr>
            <w:r w:rsidRPr="00AA22F2">
              <w:rPr>
                <w:szCs w:val="20"/>
              </w:rPr>
              <w:t>ONDA</w:t>
            </w:r>
          </w:p>
        </w:tc>
        <w:tc>
          <w:tcPr>
            <w:tcW w:w="0" w:type="auto"/>
            <w:vMerge w:val="restart"/>
            <w:hideMark/>
          </w:tcPr>
          <w:p w14:paraId="12D84123" w14:textId="77777777" w:rsidR="00763F21" w:rsidRPr="00AA22F2" w:rsidRDefault="00763F21" w:rsidP="008859CB">
            <w:pPr>
              <w:cnfStyle w:val="000000000000" w:firstRow="0" w:lastRow="0" w:firstColumn="0" w:lastColumn="0" w:oddVBand="0" w:evenVBand="0" w:oddHBand="0" w:evenHBand="0" w:firstRowFirstColumn="0" w:firstRowLastColumn="0" w:lastRowFirstColumn="0" w:lastRowLastColumn="0"/>
              <w:rPr>
                <w:szCs w:val="20"/>
              </w:rPr>
            </w:pPr>
            <w:r w:rsidRPr="00AA22F2">
              <w:rPr>
                <w:szCs w:val="20"/>
              </w:rPr>
              <w:t>ONDA</w:t>
            </w:r>
          </w:p>
        </w:tc>
        <w:tc>
          <w:tcPr>
            <w:tcW w:w="0" w:type="auto"/>
            <w:vMerge w:val="restart"/>
            <w:hideMark/>
          </w:tcPr>
          <w:p w14:paraId="0D47A23A" w14:textId="77777777" w:rsidR="00763F21" w:rsidRPr="00AA22F2" w:rsidRDefault="00763F21" w:rsidP="008859CB">
            <w:pPr>
              <w:cnfStyle w:val="000000000000" w:firstRow="0" w:lastRow="0" w:firstColumn="0" w:lastColumn="0" w:oddVBand="0" w:evenVBand="0" w:oddHBand="0" w:evenHBand="0" w:firstRowFirstColumn="0" w:firstRowLastColumn="0" w:lastRowFirstColumn="0" w:lastRowLastColumn="0"/>
              <w:rPr>
                <w:szCs w:val="20"/>
              </w:rPr>
            </w:pPr>
            <w:r w:rsidRPr="00AA22F2">
              <w:rPr>
                <w:szCs w:val="20"/>
              </w:rPr>
              <w:t>Permanent</w:t>
            </w:r>
          </w:p>
        </w:tc>
        <w:tc>
          <w:tcPr>
            <w:tcW w:w="0" w:type="auto"/>
            <w:tcBorders>
              <w:bottom w:val="single" w:sz="4" w:space="0" w:color="B4C6E7" w:themeColor="accent1" w:themeTint="66"/>
            </w:tcBorders>
            <w:hideMark/>
          </w:tcPr>
          <w:p w14:paraId="10273BA1" w14:textId="5D148E4D" w:rsidR="00763F21" w:rsidRPr="00763F21" w:rsidRDefault="00763F21" w:rsidP="008859CB">
            <w:pPr>
              <w:cnfStyle w:val="000000000000" w:firstRow="0" w:lastRow="0" w:firstColumn="0" w:lastColumn="0" w:oddVBand="0" w:evenVBand="0" w:oddHBand="0" w:evenHBand="0" w:firstRowFirstColumn="0" w:firstRowLastColumn="0" w:lastRowFirstColumn="0" w:lastRowLastColumn="0"/>
              <w:rPr>
                <w:szCs w:val="20"/>
              </w:rPr>
            </w:pPr>
            <w:r w:rsidRPr="00763F21">
              <w:rPr>
                <w:szCs w:val="20"/>
              </w:rPr>
              <w:t>Séparateur</w:t>
            </w:r>
            <w:r w:rsidRPr="00D60FC9">
              <w:rPr>
                <w:szCs w:val="20"/>
              </w:rPr>
              <w:t xml:space="preserve"> 10–15 m³ = 40 000 – 60 000 MAD/unité</w:t>
            </w:r>
            <w:r w:rsidRPr="00763F21">
              <w:rPr>
                <w:szCs w:val="20"/>
              </w:rPr>
              <w:t xml:space="preserve">, </w:t>
            </w:r>
            <w:r w:rsidRPr="00D60FC9">
              <w:rPr>
                <w:szCs w:val="20"/>
              </w:rPr>
              <w:t>bac de rétention acier 1 000–2 000 L = 15 000 – 25 000 MAD/unité</w:t>
            </w:r>
            <w:r w:rsidRPr="00763F21">
              <w:rPr>
                <w:szCs w:val="20"/>
              </w:rPr>
              <w:t>.</w:t>
            </w:r>
          </w:p>
        </w:tc>
      </w:tr>
      <w:tr w:rsidR="00763F21" w:rsidRPr="00AC03E6" w14:paraId="4BF78AE8" w14:textId="77777777" w:rsidTr="00763F21">
        <w:trPr>
          <w:trHeight w:val="990"/>
        </w:trPr>
        <w:tc>
          <w:tcPr>
            <w:cnfStyle w:val="001000000000" w:firstRow="0" w:lastRow="0" w:firstColumn="1" w:lastColumn="0" w:oddVBand="0" w:evenVBand="0" w:oddHBand="0" w:evenHBand="0" w:firstRowFirstColumn="0" w:firstRowLastColumn="0" w:lastRowFirstColumn="0" w:lastRowLastColumn="0"/>
            <w:tcW w:w="0" w:type="auto"/>
            <w:vMerge/>
          </w:tcPr>
          <w:p w14:paraId="414C52D1" w14:textId="77777777" w:rsidR="00763F21" w:rsidRPr="00AA22F2" w:rsidRDefault="00763F21" w:rsidP="008859CB">
            <w:pPr>
              <w:rPr>
                <w:szCs w:val="20"/>
              </w:rPr>
            </w:pPr>
          </w:p>
        </w:tc>
        <w:tc>
          <w:tcPr>
            <w:tcW w:w="0" w:type="auto"/>
            <w:vMerge/>
          </w:tcPr>
          <w:p w14:paraId="2811E1E0" w14:textId="77777777" w:rsidR="00763F21" w:rsidRPr="00AA22F2" w:rsidRDefault="00763F21" w:rsidP="008859CB">
            <w:pPr>
              <w:cnfStyle w:val="000000000000" w:firstRow="0" w:lastRow="0" w:firstColumn="0" w:lastColumn="0" w:oddVBand="0" w:evenVBand="0" w:oddHBand="0" w:evenHBand="0" w:firstRowFirstColumn="0" w:firstRowLastColumn="0" w:lastRowFirstColumn="0" w:lastRowLastColumn="0"/>
              <w:rPr>
                <w:b/>
                <w:bCs/>
                <w:szCs w:val="20"/>
              </w:rPr>
            </w:pPr>
          </w:p>
        </w:tc>
        <w:tc>
          <w:tcPr>
            <w:tcW w:w="0" w:type="auto"/>
            <w:tcBorders>
              <w:top w:val="single" w:sz="4" w:space="0" w:color="B4C6E7" w:themeColor="accent1" w:themeTint="66"/>
            </w:tcBorders>
          </w:tcPr>
          <w:p w14:paraId="5113042C" w14:textId="77777777" w:rsidR="00763F21" w:rsidRPr="00AA22F2" w:rsidRDefault="00763F21" w:rsidP="00763F21">
            <w:pPr>
              <w:cnfStyle w:val="000000000000" w:firstRow="0" w:lastRow="0" w:firstColumn="0" w:lastColumn="0" w:oddVBand="0" w:evenVBand="0" w:oddHBand="0" w:evenHBand="0" w:firstRowFirstColumn="0" w:firstRowLastColumn="0" w:lastRowFirstColumn="0" w:lastRowLastColumn="0"/>
              <w:rPr>
                <w:szCs w:val="20"/>
              </w:rPr>
            </w:pPr>
            <w:r w:rsidRPr="00AA22F2">
              <w:rPr>
                <w:szCs w:val="20"/>
              </w:rPr>
              <w:t>Former le personnel à la gestion des produits dangereux.</w:t>
            </w:r>
          </w:p>
        </w:tc>
        <w:tc>
          <w:tcPr>
            <w:tcW w:w="0" w:type="auto"/>
            <w:vMerge/>
          </w:tcPr>
          <w:p w14:paraId="6193F5DB" w14:textId="77777777" w:rsidR="00763F21" w:rsidRPr="00AA22F2" w:rsidRDefault="00763F21" w:rsidP="008859CB">
            <w:pPr>
              <w:cnfStyle w:val="000000000000" w:firstRow="0" w:lastRow="0" w:firstColumn="0" w:lastColumn="0" w:oddVBand="0" w:evenVBand="0" w:oddHBand="0" w:evenHBand="0" w:firstRowFirstColumn="0" w:firstRowLastColumn="0" w:lastRowFirstColumn="0" w:lastRowLastColumn="0"/>
              <w:rPr>
                <w:szCs w:val="20"/>
              </w:rPr>
            </w:pPr>
          </w:p>
        </w:tc>
        <w:tc>
          <w:tcPr>
            <w:tcW w:w="0" w:type="auto"/>
            <w:vMerge/>
          </w:tcPr>
          <w:p w14:paraId="044BC5A7" w14:textId="77777777" w:rsidR="00763F21" w:rsidRPr="00AA22F2" w:rsidRDefault="00763F21" w:rsidP="008859CB">
            <w:pPr>
              <w:cnfStyle w:val="000000000000" w:firstRow="0" w:lastRow="0" w:firstColumn="0" w:lastColumn="0" w:oddVBand="0" w:evenVBand="0" w:oddHBand="0" w:evenHBand="0" w:firstRowFirstColumn="0" w:firstRowLastColumn="0" w:lastRowFirstColumn="0" w:lastRowLastColumn="0"/>
              <w:rPr>
                <w:szCs w:val="20"/>
              </w:rPr>
            </w:pPr>
          </w:p>
        </w:tc>
        <w:tc>
          <w:tcPr>
            <w:tcW w:w="0" w:type="auto"/>
            <w:vMerge/>
          </w:tcPr>
          <w:p w14:paraId="69EA4B24" w14:textId="77777777" w:rsidR="00763F21" w:rsidRPr="00AA22F2" w:rsidRDefault="00763F21" w:rsidP="008859CB">
            <w:pPr>
              <w:cnfStyle w:val="000000000000" w:firstRow="0" w:lastRow="0" w:firstColumn="0" w:lastColumn="0" w:oddVBand="0" w:evenVBand="0" w:oddHBand="0" w:evenHBand="0" w:firstRowFirstColumn="0" w:firstRowLastColumn="0" w:lastRowFirstColumn="0" w:lastRowLastColumn="0"/>
              <w:rPr>
                <w:szCs w:val="20"/>
              </w:rPr>
            </w:pPr>
          </w:p>
        </w:tc>
        <w:tc>
          <w:tcPr>
            <w:tcW w:w="0" w:type="auto"/>
            <w:vMerge/>
          </w:tcPr>
          <w:p w14:paraId="5C519C1D" w14:textId="77777777" w:rsidR="00763F21" w:rsidRPr="00AA22F2" w:rsidRDefault="00763F21" w:rsidP="008859CB">
            <w:pPr>
              <w:cnfStyle w:val="000000000000" w:firstRow="0" w:lastRow="0" w:firstColumn="0" w:lastColumn="0" w:oddVBand="0" w:evenVBand="0" w:oddHBand="0" w:evenHBand="0" w:firstRowFirstColumn="0" w:firstRowLastColumn="0" w:lastRowFirstColumn="0" w:lastRowLastColumn="0"/>
              <w:rPr>
                <w:szCs w:val="20"/>
              </w:rPr>
            </w:pPr>
          </w:p>
        </w:tc>
        <w:tc>
          <w:tcPr>
            <w:tcW w:w="0" w:type="auto"/>
            <w:vMerge/>
          </w:tcPr>
          <w:p w14:paraId="41DEDDED" w14:textId="77777777" w:rsidR="00763F21" w:rsidRPr="00AA22F2" w:rsidRDefault="00763F21" w:rsidP="008859CB">
            <w:pPr>
              <w:cnfStyle w:val="000000000000" w:firstRow="0" w:lastRow="0" w:firstColumn="0" w:lastColumn="0" w:oddVBand="0" w:evenVBand="0" w:oddHBand="0" w:evenHBand="0" w:firstRowFirstColumn="0" w:firstRowLastColumn="0" w:lastRowFirstColumn="0" w:lastRowLastColumn="0"/>
              <w:rPr>
                <w:szCs w:val="20"/>
              </w:rPr>
            </w:pPr>
          </w:p>
        </w:tc>
        <w:tc>
          <w:tcPr>
            <w:tcW w:w="0" w:type="auto"/>
            <w:tcBorders>
              <w:top w:val="single" w:sz="4" w:space="0" w:color="B4C6E7" w:themeColor="accent1" w:themeTint="66"/>
            </w:tcBorders>
          </w:tcPr>
          <w:p w14:paraId="1DF49B53" w14:textId="4FAC489C" w:rsidR="00763F21" w:rsidRPr="00AA22F2" w:rsidRDefault="00763F21" w:rsidP="008859CB">
            <w:pPr>
              <w:cnfStyle w:val="000000000000" w:firstRow="0" w:lastRow="0" w:firstColumn="0" w:lastColumn="0" w:oddVBand="0" w:evenVBand="0" w:oddHBand="0" w:evenHBand="0" w:firstRowFirstColumn="0" w:firstRowLastColumn="0" w:lastRowFirstColumn="0" w:lastRowLastColumn="0"/>
              <w:rPr>
                <w:szCs w:val="20"/>
              </w:rPr>
            </w:pPr>
            <w:r w:rsidRPr="00763F21">
              <w:rPr>
                <w:szCs w:val="20"/>
              </w:rPr>
              <w:t>Formation : 4 000 MAD/jour</w:t>
            </w:r>
          </w:p>
        </w:tc>
      </w:tr>
      <w:tr w:rsidR="00181E08" w:rsidRPr="00AC03E6" w14:paraId="6DC5AE69" w14:textId="77777777" w:rsidTr="005A7661">
        <w:trPr>
          <w:trHeight w:val="1240"/>
        </w:trPr>
        <w:tc>
          <w:tcPr>
            <w:cnfStyle w:val="001000000000" w:firstRow="0" w:lastRow="0" w:firstColumn="1" w:lastColumn="0" w:oddVBand="0" w:evenVBand="0" w:oddHBand="0" w:evenHBand="0" w:firstRowFirstColumn="0" w:firstRowLastColumn="0" w:lastRowFirstColumn="0" w:lastRowLastColumn="0"/>
            <w:tcW w:w="0" w:type="auto"/>
            <w:vMerge/>
            <w:hideMark/>
          </w:tcPr>
          <w:p w14:paraId="178BE310" w14:textId="77777777" w:rsidR="00181E08" w:rsidRPr="00AA22F2" w:rsidRDefault="00181E08" w:rsidP="008859CB">
            <w:pPr>
              <w:rPr>
                <w:szCs w:val="20"/>
              </w:rPr>
            </w:pPr>
          </w:p>
        </w:tc>
        <w:tc>
          <w:tcPr>
            <w:tcW w:w="0" w:type="auto"/>
            <w:vMerge w:val="restart"/>
            <w:hideMark/>
          </w:tcPr>
          <w:p w14:paraId="6C929C6D" w14:textId="77777777" w:rsidR="00181E08" w:rsidRPr="00AA22F2" w:rsidRDefault="00181E08" w:rsidP="008859CB">
            <w:pPr>
              <w:cnfStyle w:val="000000000000" w:firstRow="0" w:lastRow="0" w:firstColumn="0" w:lastColumn="0" w:oddVBand="0" w:evenVBand="0" w:oddHBand="0" w:evenHBand="0" w:firstRowFirstColumn="0" w:firstRowLastColumn="0" w:lastRowFirstColumn="0" w:lastRowLastColumn="0"/>
              <w:rPr>
                <w:szCs w:val="20"/>
              </w:rPr>
            </w:pPr>
            <w:r w:rsidRPr="00AA22F2">
              <w:rPr>
                <w:b/>
                <w:bCs/>
                <w:szCs w:val="20"/>
              </w:rPr>
              <w:t>Atténuer</w:t>
            </w:r>
          </w:p>
        </w:tc>
        <w:tc>
          <w:tcPr>
            <w:tcW w:w="0" w:type="auto"/>
            <w:vMerge w:val="restart"/>
            <w:hideMark/>
          </w:tcPr>
          <w:p w14:paraId="4F87E39A" w14:textId="1A7FA79E" w:rsidR="00181E08" w:rsidRPr="00AA22F2" w:rsidRDefault="00181E08" w:rsidP="008859CB">
            <w:pPr>
              <w:cnfStyle w:val="000000000000" w:firstRow="0" w:lastRow="0" w:firstColumn="0" w:lastColumn="0" w:oddVBand="0" w:evenVBand="0" w:oddHBand="0" w:evenHBand="0" w:firstRowFirstColumn="0" w:firstRowLastColumn="0" w:lastRowFirstColumn="0" w:lastRowLastColumn="0"/>
              <w:rPr>
                <w:szCs w:val="20"/>
              </w:rPr>
            </w:pPr>
            <w:r w:rsidRPr="00AA22F2">
              <w:rPr>
                <w:szCs w:val="20"/>
              </w:rPr>
              <w:t xml:space="preserve">Mettre en place un dispositif de collecte et de traitement des eaux de lavage. </w:t>
            </w:r>
          </w:p>
        </w:tc>
        <w:tc>
          <w:tcPr>
            <w:tcW w:w="0" w:type="auto"/>
            <w:vMerge w:val="restart"/>
            <w:hideMark/>
          </w:tcPr>
          <w:p w14:paraId="2B337B44" w14:textId="77777777" w:rsidR="00181E08" w:rsidRPr="00AA22F2" w:rsidRDefault="00181E08" w:rsidP="008859CB">
            <w:pPr>
              <w:cnfStyle w:val="000000000000" w:firstRow="0" w:lastRow="0" w:firstColumn="0" w:lastColumn="0" w:oddVBand="0" w:evenVBand="0" w:oddHBand="0" w:evenHBand="0" w:firstRowFirstColumn="0" w:firstRowLastColumn="0" w:lastRowFirstColumn="0" w:lastRowLastColumn="0"/>
              <w:rPr>
                <w:szCs w:val="20"/>
              </w:rPr>
            </w:pPr>
            <w:r w:rsidRPr="00AA22F2">
              <w:rPr>
                <w:szCs w:val="20"/>
              </w:rPr>
              <w:t>Existence d’un plan d’urgence validé</w:t>
            </w:r>
          </w:p>
        </w:tc>
        <w:tc>
          <w:tcPr>
            <w:tcW w:w="0" w:type="auto"/>
            <w:vMerge w:val="restart"/>
            <w:hideMark/>
          </w:tcPr>
          <w:p w14:paraId="710C9DE4" w14:textId="77777777" w:rsidR="00181E08" w:rsidRPr="00AA22F2" w:rsidRDefault="00181E08" w:rsidP="008859CB">
            <w:pPr>
              <w:cnfStyle w:val="000000000000" w:firstRow="0" w:lastRow="0" w:firstColumn="0" w:lastColumn="0" w:oddVBand="0" w:evenVBand="0" w:oddHBand="0" w:evenHBand="0" w:firstRowFirstColumn="0" w:firstRowLastColumn="0" w:lastRowFirstColumn="0" w:lastRowLastColumn="0"/>
              <w:rPr>
                <w:szCs w:val="20"/>
              </w:rPr>
            </w:pPr>
            <w:r w:rsidRPr="00AA22F2">
              <w:rPr>
                <w:szCs w:val="20"/>
              </w:rPr>
              <w:t>ONDA / Exploitant</w:t>
            </w:r>
          </w:p>
        </w:tc>
        <w:tc>
          <w:tcPr>
            <w:tcW w:w="0" w:type="auto"/>
            <w:vMerge w:val="restart"/>
            <w:hideMark/>
          </w:tcPr>
          <w:p w14:paraId="0C122AE5" w14:textId="77777777" w:rsidR="00181E08" w:rsidRPr="00AA22F2" w:rsidRDefault="00181E08" w:rsidP="008859CB">
            <w:pPr>
              <w:cnfStyle w:val="000000000000" w:firstRow="0" w:lastRow="0" w:firstColumn="0" w:lastColumn="0" w:oddVBand="0" w:evenVBand="0" w:oddHBand="0" w:evenHBand="0" w:firstRowFirstColumn="0" w:firstRowLastColumn="0" w:lastRowFirstColumn="0" w:lastRowLastColumn="0"/>
              <w:rPr>
                <w:szCs w:val="20"/>
              </w:rPr>
            </w:pPr>
            <w:r w:rsidRPr="00AA22F2">
              <w:rPr>
                <w:szCs w:val="20"/>
              </w:rPr>
              <w:t>ONDA</w:t>
            </w:r>
          </w:p>
        </w:tc>
        <w:tc>
          <w:tcPr>
            <w:tcW w:w="0" w:type="auto"/>
            <w:vMerge w:val="restart"/>
            <w:hideMark/>
          </w:tcPr>
          <w:p w14:paraId="3004386F" w14:textId="77777777" w:rsidR="00181E08" w:rsidRPr="00AA22F2" w:rsidRDefault="00181E08" w:rsidP="008859CB">
            <w:pPr>
              <w:cnfStyle w:val="000000000000" w:firstRow="0" w:lastRow="0" w:firstColumn="0" w:lastColumn="0" w:oddVBand="0" w:evenVBand="0" w:oddHBand="0" w:evenHBand="0" w:firstRowFirstColumn="0" w:firstRowLastColumn="0" w:lastRowFirstColumn="0" w:lastRowLastColumn="0"/>
              <w:rPr>
                <w:szCs w:val="20"/>
              </w:rPr>
            </w:pPr>
            <w:r w:rsidRPr="00AA22F2">
              <w:rPr>
                <w:szCs w:val="20"/>
              </w:rPr>
              <w:t>ONDA</w:t>
            </w:r>
          </w:p>
        </w:tc>
        <w:tc>
          <w:tcPr>
            <w:tcW w:w="0" w:type="auto"/>
            <w:vMerge w:val="restart"/>
            <w:hideMark/>
          </w:tcPr>
          <w:p w14:paraId="2CF5B85E" w14:textId="77777777" w:rsidR="00181E08" w:rsidRPr="00AA22F2" w:rsidRDefault="00181E08" w:rsidP="008859CB">
            <w:pPr>
              <w:cnfStyle w:val="000000000000" w:firstRow="0" w:lastRow="0" w:firstColumn="0" w:lastColumn="0" w:oddVBand="0" w:evenVBand="0" w:oddHBand="0" w:evenHBand="0" w:firstRowFirstColumn="0" w:firstRowLastColumn="0" w:lastRowFirstColumn="0" w:lastRowLastColumn="0"/>
              <w:rPr>
                <w:szCs w:val="20"/>
              </w:rPr>
            </w:pPr>
            <w:r w:rsidRPr="00AA22F2">
              <w:rPr>
                <w:szCs w:val="20"/>
              </w:rPr>
              <w:t>Permanent</w:t>
            </w:r>
          </w:p>
        </w:tc>
        <w:tc>
          <w:tcPr>
            <w:tcW w:w="0" w:type="auto"/>
            <w:tcBorders>
              <w:bottom w:val="single" w:sz="4" w:space="0" w:color="B4C6E7" w:themeColor="accent1" w:themeTint="66"/>
            </w:tcBorders>
            <w:hideMark/>
          </w:tcPr>
          <w:p w14:paraId="69AEB0E8" w14:textId="78A4020D" w:rsidR="00181E08" w:rsidRPr="00181E08" w:rsidRDefault="00181E08" w:rsidP="008859CB">
            <w:pPr>
              <w:cnfStyle w:val="000000000000" w:firstRow="0" w:lastRow="0" w:firstColumn="0" w:lastColumn="0" w:oddVBand="0" w:evenVBand="0" w:oddHBand="0" w:evenHBand="0" w:firstRowFirstColumn="0" w:firstRowLastColumn="0" w:lastRowFirstColumn="0" w:lastRowLastColumn="0"/>
              <w:rPr>
                <w:szCs w:val="20"/>
              </w:rPr>
            </w:pPr>
            <w:r w:rsidRPr="00181E08">
              <w:rPr>
                <w:szCs w:val="20"/>
              </w:rPr>
              <w:t xml:space="preserve">Prix moyen : </w:t>
            </w:r>
            <w:r w:rsidRPr="00D60FC9">
              <w:rPr>
                <w:szCs w:val="20"/>
              </w:rPr>
              <w:t>80 000 – 120 000 MAD</w:t>
            </w:r>
            <w:r w:rsidRPr="00181E08">
              <w:rPr>
                <w:szCs w:val="20"/>
              </w:rPr>
              <w:t xml:space="preserve"> pour une station compacte 5–10 m³/jour.</w:t>
            </w:r>
            <w:r w:rsidRPr="00181E08" w:rsidDel="002F1D7D">
              <w:rPr>
                <w:szCs w:val="20"/>
              </w:rPr>
              <w:t xml:space="preserve"> </w:t>
            </w:r>
          </w:p>
        </w:tc>
      </w:tr>
      <w:tr w:rsidR="00181E08" w:rsidRPr="00AC03E6" w14:paraId="5F7F8BC6" w14:textId="77777777" w:rsidTr="00181E08">
        <w:trPr>
          <w:trHeight w:val="521"/>
        </w:trPr>
        <w:tc>
          <w:tcPr>
            <w:cnfStyle w:val="001000000000" w:firstRow="0" w:lastRow="0" w:firstColumn="1" w:lastColumn="0" w:oddVBand="0" w:evenVBand="0" w:oddHBand="0" w:evenHBand="0" w:firstRowFirstColumn="0" w:firstRowLastColumn="0" w:lastRowFirstColumn="0" w:lastRowLastColumn="0"/>
            <w:tcW w:w="0" w:type="auto"/>
            <w:vMerge/>
          </w:tcPr>
          <w:p w14:paraId="5F117424" w14:textId="77777777" w:rsidR="00181E08" w:rsidRPr="00AA22F2" w:rsidRDefault="00181E08" w:rsidP="008859CB">
            <w:pPr>
              <w:rPr>
                <w:szCs w:val="20"/>
              </w:rPr>
            </w:pPr>
          </w:p>
        </w:tc>
        <w:tc>
          <w:tcPr>
            <w:tcW w:w="0" w:type="auto"/>
            <w:vMerge/>
          </w:tcPr>
          <w:p w14:paraId="3BA17FFD" w14:textId="77777777" w:rsidR="00181E08" w:rsidRPr="00AA22F2" w:rsidRDefault="00181E08" w:rsidP="008859CB">
            <w:pPr>
              <w:cnfStyle w:val="000000000000" w:firstRow="0" w:lastRow="0" w:firstColumn="0" w:lastColumn="0" w:oddVBand="0" w:evenVBand="0" w:oddHBand="0" w:evenHBand="0" w:firstRowFirstColumn="0" w:firstRowLastColumn="0" w:lastRowFirstColumn="0" w:lastRowLastColumn="0"/>
              <w:rPr>
                <w:b/>
                <w:bCs/>
                <w:szCs w:val="20"/>
              </w:rPr>
            </w:pPr>
          </w:p>
        </w:tc>
        <w:tc>
          <w:tcPr>
            <w:tcW w:w="0" w:type="auto"/>
            <w:vMerge/>
            <w:tcBorders>
              <w:bottom w:val="single" w:sz="4" w:space="0" w:color="B4C6E7" w:themeColor="accent1" w:themeTint="66"/>
            </w:tcBorders>
          </w:tcPr>
          <w:p w14:paraId="3DB7F0DD" w14:textId="77777777" w:rsidR="00181E08" w:rsidRPr="00AA22F2" w:rsidRDefault="00181E08" w:rsidP="008859CB">
            <w:pPr>
              <w:cnfStyle w:val="000000000000" w:firstRow="0" w:lastRow="0" w:firstColumn="0" w:lastColumn="0" w:oddVBand="0" w:evenVBand="0" w:oddHBand="0" w:evenHBand="0" w:firstRowFirstColumn="0" w:firstRowLastColumn="0" w:lastRowFirstColumn="0" w:lastRowLastColumn="0"/>
              <w:rPr>
                <w:szCs w:val="20"/>
              </w:rPr>
            </w:pPr>
          </w:p>
        </w:tc>
        <w:tc>
          <w:tcPr>
            <w:tcW w:w="0" w:type="auto"/>
            <w:vMerge/>
          </w:tcPr>
          <w:p w14:paraId="54A033F6" w14:textId="77777777" w:rsidR="00181E08" w:rsidRPr="00AA22F2" w:rsidRDefault="00181E08" w:rsidP="008859CB">
            <w:pPr>
              <w:cnfStyle w:val="000000000000" w:firstRow="0" w:lastRow="0" w:firstColumn="0" w:lastColumn="0" w:oddVBand="0" w:evenVBand="0" w:oddHBand="0" w:evenHBand="0" w:firstRowFirstColumn="0" w:firstRowLastColumn="0" w:lastRowFirstColumn="0" w:lastRowLastColumn="0"/>
              <w:rPr>
                <w:szCs w:val="20"/>
              </w:rPr>
            </w:pPr>
          </w:p>
        </w:tc>
        <w:tc>
          <w:tcPr>
            <w:tcW w:w="0" w:type="auto"/>
            <w:vMerge/>
          </w:tcPr>
          <w:p w14:paraId="20F650DE" w14:textId="77777777" w:rsidR="00181E08" w:rsidRPr="00AA22F2" w:rsidRDefault="00181E08" w:rsidP="008859CB">
            <w:pPr>
              <w:cnfStyle w:val="000000000000" w:firstRow="0" w:lastRow="0" w:firstColumn="0" w:lastColumn="0" w:oddVBand="0" w:evenVBand="0" w:oddHBand="0" w:evenHBand="0" w:firstRowFirstColumn="0" w:firstRowLastColumn="0" w:lastRowFirstColumn="0" w:lastRowLastColumn="0"/>
              <w:rPr>
                <w:szCs w:val="20"/>
              </w:rPr>
            </w:pPr>
          </w:p>
        </w:tc>
        <w:tc>
          <w:tcPr>
            <w:tcW w:w="0" w:type="auto"/>
            <w:vMerge/>
          </w:tcPr>
          <w:p w14:paraId="248908BA" w14:textId="77777777" w:rsidR="00181E08" w:rsidRPr="00AA22F2" w:rsidRDefault="00181E08" w:rsidP="008859CB">
            <w:pPr>
              <w:cnfStyle w:val="000000000000" w:firstRow="0" w:lastRow="0" w:firstColumn="0" w:lastColumn="0" w:oddVBand="0" w:evenVBand="0" w:oddHBand="0" w:evenHBand="0" w:firstRowFirstColumn="0" w:firstRowLastColumn="0" w:lastRowFirstColumn="0" w:lastRowLastColumn="0"/>
              <w:rPr>
                <w:szCs w:val="20"/>
              </w:rPr>
            </w:pPr>
          </w:p>
        </w:tc>
        <w:tc>
          <w:tcPr>
            <w:tcW w:w="0" w:type="auto"/>
            <w:vMerge/>
          </w:tcPr>
          <w:p w14:paraId="38208443" w14:textId="77777777" w:rsidR="00181E08" w:rsidRPr="00AA22F2" w:rsidRDefault="00181E08" w:rsidP="008859CB">
            <w:pPr>
              <w:cnfStyle w:val="000000000000" w:firstRow="0" w:lastRow="0" w:firstColumn="0" w:lastColumn="0" w:oddVBand="0" w:evenVBand="0" w:oddHBand="0" w:evenHBand="0" w:firstRowFirstColumn="0" w:firstRowLastColumn="0" w:lastRowFirstColumn="0" w:lastRowLastColumn="0"/>
              <w:rPr>
                <w:szCs w:val="20"/>
              </w:rPr>
            </w:pPr>
          </w:p>
        </w:tc>
        <w:tc>
          <w:tcPr>
            <w:tcW w:w="0" w:type="auto"/>
            <w:vMerge/>
          </w:tcPr>
          <w:p w14:paraId="527EDD20" w14:textId="77777777" w:rsidR="00181E08" w:rsidRPr="00AA22F2" w:rsidRDefault="00181E08" w:rsidP="008859CB">
            <w:pPr>
              <w:cnfStyle w:val="000000000000" w:firstRow="0" w:lastRow="0" w:firstColumn="0" w:lastColumn="0" w:oddVBand="0" w:evenVBand="0" w:oddHBand="0" w:evenHBand="0" w:firstRowFirstColumn="0" w:firstRowLastColumn="0" w:lastRowFirstColumn="0" w:lastRowLastColumn="0"/>
              <w:rPr>
                <w:szCs w:val="20"/>
              </w:rPr>
            </w:pPr>
          </w:p>
        </w:tc>
        <w:tc>
          <w:tcPr>
            <w:tcW w:w="0" w:type="auto"/>
            <w:vMerge w:val="restart"/>
            <w:tcBorders>
              <w:top w:val="single" w:sz="4" w:space="0" w:color="B4C6E7" w:themeColor="accent1" w:themeTint="66"/>
            </w:tcBorders>
          </w:tcPr>
          <w:p w14:paraId="6CFC9C86" w14:textId="77777777" w:rsidR="00181E08" w:rsidRDefault="00181E08" w:rsidP="00181E08">
            <w:pPr>
              <w:cnfStyle w:val="000000000000" w:firstRow="0" w:lastRow="0" w:firstColumn="0" w:lastColumn="0" w:oddVBand="0" w:evenVBand="0" w:oddHBand="0" w:evenHBand="0" w:firstRowFirstColumn="0" w:firstRowLastColumn="0" w:lastRowFirstColumn="0" w:lastRowLastColumn="0"/>
              <w:rPr>
                <w:szCs w:val="20"/>
              </w:rPr>
            </w:pPr>
            <w:r w:rsidRPr="00181E08">
              <w:rPr>
                <w:szCs w:val="20"/>
              </w:rPr>
              <w:t>Kits : 5 000 MAD/unité.</w:t>
            </w:r>
          </w:p>
          <w:p w14:paraId="67F5E5D8" w14:textId="77777777" w:rsidR="00181E08" w:rsidRPr="00181E08" w:rsidRDefault="00181E08" w:rsidP="00181E08">
            <w:pPr>
              <w:cnfStyle w:val="000000000000" w:firstRow="0" w:lastRow="0" w:firstColumn="0" w:lastColumn="0" w:oddVBand="0" w:evenVBand="0" w:oddHBand="0" w:evenHBand="0" w:firstRowFirstColumn="0" w:firstRowLastColumn="0" w:lastRowFirstColumn="0" w:lastRowLastColumn="0"/>
              <w:rPr>
                <w:szCs w:val="20"/>
              </w:rPr>
            </w:pPr>
            <w:r w:rsidRPr="00181E08">
              <w:rPr>
                <w:szCs w:val="20"/>
              </w:rPr>
              <w:lastRenderedPageBreak/>
              <w:t>Formation : 4 000 MAD/jour</w:t>
            </w:r>
          </w:p>
        </w:tc>
      </w:tr>
      <w:tr w:rsidR="00181E08" w:rsidRPr="00AC03E6" w14:paraId="62EBE7AD" w14:textId="77777777" w:rsidTr="00181E08">
        <w:trPr>
          <w:trHeight w:val="1020"/>
        </w:trPr>
        <w:tc>
          <w:tcPr>
            <w:cnfStyle w:val="001000000000" w:firstRow="0" w:lastRow="0" w:firstColumn="1" w:lastColumn="0" w:oddVBand="0" w:evenVBand="0" w:oddHBand="0" w:evenHBand="0" w:firstRowFirstColumn="0" w:firstRowLastColumn="0" w:lastRowFirstColumn="0" w:lastRowLastColumn="0"/>
            <w:tcW w:w="0" w:type="auto"/>
            <w:vMerge/>
          </w:tcPr>
          <w:p w14:paraId="3A6C86FE" w14:textId="77777777" w:rsidR="00181E08" w:rsidRPr="00AA22F2" w:rsidRDefault="00181E08" w:rsidP="008859CB">
            <w:pPr>
              <w:rPr>
                <w:szCs w:val="20"/>
              </w:rPr>
            </w:pPr>
          </w:p>
        </w:tc>
        <w:tc>
          <w:tcPr>
            <w:tcW w:w="0" w:type="auto"/>
            <w:vMerge/>
          </w:tcPr>
          <w:p w14:paraId="70839736" w14:textId="77777777" w:rsidR="00181E08" w:rsidRPr="00AA22F2" w:rsidRDefault="00181E08" w:rsidP="008859CB">
            <w:pPr>
              <w:cnfStyle w:val="000000000000" w:firstRow="0" w:lastRow="0" w:firstColumn="0" w:lastColumn="0" w:oddVBand="0" w:evenVBand="0" w:oddHBand="0" w:evenHBand="0" w:firstRowFirstColumn="0" w:firstRowLastColumn="0" w:lastRowFirstColumn="0" w:lastRowLastColumn="0"/>
              <w:rPr>
                <w:b/>
                <w:bCs/>
                <w:szCs w:val="20"/>
              </w:rPr>
            </w:pPr>
          </w:p>
        </w:tc>
        <w:tc>
          <w:tcPr>
            <w:tcW w:w="0" w:type="auto"/>
            <w:tcBorders>
              <w:top w:val="single" w:sz="4" w:space="0" w:color="B4C6E7" w:themeColor="accent1" w:themeTint="66"/>
            </w:tcBorders>
          </w:tcPr>
          <w:p w14:paraId="034CE3C3" w14:textId="77777777" w:rsidR="00181E08" w:rsidRPr="00AA22F2" w:rsidRDefault="00181E08" w:rsidP="00181E08">
            <w:pPr>
              <w:cnfStyle w:val="000000000000" w:firstRow="0" w:lastRow="0" w:firstColumn="0" w:lastColumn="0" w:oddVBand="0" w:evenVBand="0" w:oddHBand="0" w:evenHBand="0" w:firstRowFirstColumn="0" w:firstRowLastColumn="0" w:lastRowFirstColumn="0" w:lastRowLastColumn="0"/>
              <w:rPr>
                <w:szCs w:val="20"/>
              </w:rPr>
            </w:pPr>
            <w:r w:rsidRPr="00AA22F2">
              <w:rPr>
                <w:szCs w:val="20"/>
              </w:rPr>
              <w:t>Établir un plan d’intervention en cas de fuite accidentelle.</w:t>
            </w:r>
          </w:p>
        </w:tc>
        <w:tc>
          <w:tcPr>
            <w:tcW w:w="0" w:type="auto"/>
            <w:vMerge/>
          </w:tcPr>
          <w:p w14:paraId="37CA6E1B" w14:textId="77777777" w:rsidR="00181E08" w:rsidRPr="00AA22F2" w:rsidRDefault="00181E08" w:rsidP="008859CB">
            <w:pPr>
              <w:cnfStyle w:val="000000000000" w:firstRow="0" w:lastRow="0" w:firstColumn="0" w:lastColumn="0" w:oddVBand="0" w:evenVBand="0" w:oddHBand="0" w:evenHBand="0" w:firstRowFirstColumn="0" w:firstRowLastColumn="0" w:lastRowFirstColumn="0" w:lastRowLastColumn="0"/>
              <w:rPr>
                <w:szCs w:val="20"/>
              </w:rPr>
            </w:pPr>
          </w:p>
        </w:tc>
        <w:tc>
          <w:tcPr>
            <w:tcW w:w="0" w:type="auto"/>
            <w:vMerge/>
          </w:tcPr>
          <w:p w14:paraId="6BEED97A" w14:textId="77777777" w:rsidR="00181E08" w:rsidRPr="00AA22F2" w:rsidRDefault="00181E08" w:rsidP="008859CB">
            <w:pPr>
              <w:cnfStyle w:val="000000000000" w:firstRow="0" w:lastRow="0" w:firstColumn="0" w:lastColumn="0" w:oddVBand="0" w:evenVBand="0" w:oddHBand="0" w:evenHBand="0" w:firstRowFirstColumn="0" w:firstRowLastColumn="0" w:lastRowFirstColumn="0" w:lastRowLastColumn="0"/>
              <w:rPr>
                <w:szCs w:val="20"/>
              </w:rPr>
            </w:pPr>
          </w:p>
        </w:tc>
        <w:tc>
          <w:tcPr>
            <w:tcW w:w="0" w:type="auto"/>
            <w:vMerge/>
          </w:tcPr>
          <w:p w14:paraId="4519FBBB" w14:textId="77777777" w:rsidR="00181E08" w:rsidRPr="00AA22F2" w:rsidRDefault="00181E08" w:rsidP="008859CB">
            <w:pPr>
              <w:cnfStyle w:val="000000000000" w:firstRow="0" w:lastRow="0" w:firstColumn="0" w:lastColumn="0" w:oddVBand="0" w:evenVBand="0" w:oddHBand="0" w:evenHBand="0" w:firstRowFirstColumn="0" w:firstRowLastColumn="0" w:lastRowFirstColumn="0" w:lastRowLastColumn="0"/>
              <w:rPr>
                <w:szCs w:val="20"/>
              </w:rPr>
            </w:pPr>
          </w:p>
        </w:tc>
        <w:tc>
          <w:tcPr>
            <w:tcW w:w="0" w:type="auto"/>
            <w:vMerge/>
          </w:tcPr>
          <w:p w14:paraId="10DB09AE" w14:textId="77777777" w:rsidR="00181E08" w:rsidRPr="00AA22F2" w:rsidRDefault="00181E08" w:rsidP="008859CB">
            <w:pPr>
              <w:cnfStyle w:val="000000000000" w:firstRow="0" w:lastRow="0" w:firstColumn="0" w:lastColumn="0" w:oddVBand="0" w:evenVBand="0" w:oddHBand="0" w:evenHBand="0" w:firstRowFirstColumn="0" w:firstRowLastColumn="0" w:lastRowFirstColumn="0" w:lastRowLastColumn="0"/>
              <w:rPr>
                <w:szCs w:val="20"/>
              </w:rPr>
            </w:pPr>
          </w:p>
        </w:tc>
        <w:tc>
          <w:tcPr>
            <w:tcW w:w="0" w:type="auto"/>
            <w:vMerge/>
          </w:tcPr>
          <w:p w14:paraId="3E0F1C65" w14:textId="77777777" w:rsidR="00181E08" w:rsidRPr="00AA22F2" w:rsidRDefault="00181E08" w:rsidP="008859CB">
            <w:pPr>
              <w:cnfStyle w:val="000000000000" w:firstRow="0" w:lastRow="0" w:firstColumn="0" w:lastColumn="0" w:oddVBand="0" w:evenVBand="0" w:oddHBand="0" w:evenHBand="0" w:firstRowFirstColumn="0" w:firstRowLastColumn="0" w:lastRowFirstColumn="0" w:lastRowLastColumn="0"/>
              <w:rPr>
                <w:szCs w:val="20"/>
              </w:rPr>
            </w:pPr>
          </w:p>
        </w:tc>
        <w:tc>
          <w:tcPr>
            <w:tcW w:w="0" w:type="auto"/>
            <w:vMerge/>
          </w:tcPr>
          <w:p w14:paraId="64C133C5" w14:textId="77777777" w:rsidR="00181E08" w:rsidRPr="00181E08" w:rsidRDefault="00181E08" w:rsidP="008859CB">
            <w:pPr>
              <w:cnfStyle w:val="000000000000" w:firstRow="0" w:lastRow="0" w:firstColumn="0" w:lastColumn="0" w:oddVBand="0" w:evenVBand="0" w:oddHBand="0" w:evenHBand="0" w:firstRowFirstColumn="0" w:firstRowLastColumn="0" w:lastRowFirstColumn="0" w:lastRowLastColumn="0"/>
              <w:rPr>
                <w:szCs w:val="20"/>
              </w:rPr>
            </w:pPr>
          </w:p>
        </w:tc>
      </w:tr>
      <w:tr w:rsidR="002F1D7D" w:rsidRPr="00AC03E6" w14:paraId="5ACE650C" w14:textId="77777777" w:rsidTr="008B721A">
        <w:tc>
          <w:tcPr>
            <w:cnfStyle w:val="001000000000" w:firstRow="0" w:lastRow="0" w:firstColumn="1" w:lastColumn="0" w:oddVBand="0" w:evenVBand="0" w:oddHBand="0" w:evenHBand="0" w:firstRowFirstColumn="0" w:firstRowLastColumn="0" w:lastRowFirstColumn="0" w:lastRowLastColumn="0"/>
            <w:tcW w:w="0" w:type="auto"/>
            <w:vMerge/>
            <w:hideMark/>
          </w:tcPr>
          <w:p w14:paraId="53C0F531" w14:textId="77777777" w:rsidR="008859CB" w:rsidRPr="00AA22F2" w:rsidRDefault="008859CB" w:rsidP="008859CB">
            <w:pPr>
              <w:rPr>
                <w:szCs w:val="20"/>
              </w:rPr>
            </w:pPr>
          </w:p>
        </w:tc>
        <w:tc>
          <w:tcPr>
            <w:tcW w:w="0" w:type="auto"/>
            <w:hideMark/>
          </w:tcPr>
          <w:p w14:paraId="2C8B4D2A" w14:textId="77777777" w:rsidR="008859CB" w:rsidRPr="00AA22F2" w:rsidRDefault="008859CB" w:rsidP="008859CB">
            <w:pPr>
              <w:cnfStyle w:val="000000000000" w:firstRow="0" w:lastRow="0" w:firstColumn="0" w:lastColumn="0" w:oddVBand="0" w:evenVBand="0" w:oddHBand="0" w:evenHBand="0" w:firstRowFirstColumn="0" w:firstRowLastColumn="0" w:lastRowFirstColumn="0" w:lastRowLastColumn="0"/>
              <w:rPr>
                <w:szCs w:val="20"/>
              </w:rPr>
            </w:pPr>
            <w:r w:rsidRPr="00AA22F2">
              <w:rPr>
                <w:b/>
                <w:bCs/>
                <w:szCs w:val="20"/>
              </w:rPr>
              <w:t>Compenser</w:t>
            </w:r>
          </w:p>
        </w:tc>
        <w:tc>
          <w:tcPr>
            <w:tcW w:w="0" w:type="auto"/>
            <w:hideMark/>
          </w:tcPr>
          <w:p w14:paraId="771C2177" w14:textId="595BB17C" w:rsidR="008859CB" w:rsidRPr="00AA22F2" w:rsidRDefault="008859CB" w:rsidP="008859CB">
            <w:pPr>
              <w:cnfStyle w:val="000000000000" w:firstRow="0" w:lastRow="0" w:firstColumn="0" w:lastColumn="0" w:oddVBand="0" w:evenVBand="0" w:oddHBand="0" w:evenHBand="0" w:firstRowFirstColumn="0" w:firstRowLastColumn="0" w:lastRowFirstColumn="0" w:lastRowLastColumn="0"/>
              <w:rPr>
                <w:szCs w:val="20"/>
              </w:rPr>
            </w:pPr>
            <w:r w:rsidRPr="00AA22F2">
              <w:rPr>
                <w:szCs w:val="20"/>
              </w:rPr>
              <w:t>Réaliser un suivi pédologique annuel pour détecter toute contamination et restaurer les zones impactées.</w:t>
            </w:r>
          </w:p>
        </w:tc>
        <w:tc>
          <w:tcPr>
            <w:tcW w:w="0" w:type="auto"/>
            <w:hideMark/>
          </w:tcPr>
          <w:p w14:paraId="0D3CD0F0" w14:textId="77777777" w:rsidR="008859CB" w:rsidRPr="00AA22F2" w:rsidRDefault="008859CB" w:rsidP="008859CB">
            <w:pPr>
              <w:cnfStyle w:val="000000000000" w:firstRow="0" w:lastRow="0" w:firstColumn="0" w:lastColumn="0" w:oddVBand="0" w:evenVBand="0" w:oddHBand="0" w:evenHBand="0" w:firstRowFirstColumn="0" w:firstRowLastColumn="0" w:lastRowFirstColumn="0" w:lastRowLastColumn="0"/>
              <w:rPr>
                <w:szCs w:val="20"/>
              </w:rPr>
            </w:pPr>
            <w:r w:rsidRPr="00AA22F2">
              <w:rPr>
                <w:szCs w:val="20"/>
              </w:rPr>
              <w:t>Nombre d’analyses / an</w:t>
            </w:r>
          </w:p>
        </w:tc>
        <w:tc>
          <w:tcPr>
            <w:tcW w:w="0" w:type="auto"/>
            <w:hideMark/>
          </w:tcPr>
          <w:p w14:paraId="712840A8" w14:textId="77777777" w:rsidR="008859CB" w:rsidRPr="00AA22F2" w:rsidRDefault="008859CB" w:rsidP="008859CB">
            <w:pPr>
              <w:cnfStyle w:val="000000000000" w:firstRow="0" w:lastRow="0" w:firstColumn="0" w:lastColumn="0" w:oddVBand="0" w:evenVBand="0" w:oddHBand="0" w:evenHBand="0" w:firstRowFirstColumn="0" w:firstRowLastColumn="0" w:lastRowFirstColumn="0" w:lastRowLastColumn="0"/>
              <w:rPr>
                <w:szCs w:val="20"/>
              </w:rPr>
            </w:pPr>
            <w:r w:rsidRPr="00AA22F2">
              <w:rPr>
                <w:szCs w:val="20"/>
              </w:rPr>
              <w:t>ONDA / Exploitant</w:t>
            </w:r>
          </w:p>
        </w:tc>
        <w:tc>
          <w:tcPr>
            <w:tcW w:w="0" w:type="auto"/>
            <w:hideMark/>
          </w:tcPr>
          <w:p w14:paraId="30455316" w14:textId="77777777" w:rsidR="008859CB" w:rsidRPr="00AA22F2" w:rsidRDefault="008859CB" w:rsidP="008859CB">
            <w:pPr>
              <w:cnfStyle w:val="000000000000" w:firstRow="0" w:lastRow="0" w:firstColumn="0" w:lastColumn="0" w:oddVBand="0" w:evenVBand="0" w:oddHBand="0" w:evenHBand="0" w:firstRowFirstColumn="0" w:firstRowLastColumn="0" w:lastRowFirstColumn="0" w:lastRowLastColumn="0"/>
              <w:rPr>
                <w:szCs w:val="20"/>
              </w:rPr>
            </w:pPr>
            <w:r w:rsidRPr="00AA22F2">
              <w:rPr>
                <w:szCs w:val="20"/>
              </w:rPr>
              <w:t>ONDA</w:t>
            </w:r>
          </w:p>
        </w:tc>
        <w:tc>
          <w:tcPr>
            <w:tcW w:w="0" w:type="auto"/>
            <w:hideMark/>
          </w:tcPr>
          <w:p w14:paraId="6E9135C0" w14:textId="77777777" w:rsidR="008859CB" w:rsidRPr="00AA22F2" w:rsidRDefault="008859CB" w:rsidP="008859CB">
            <w:pPr>
              <w:cnfStyle w:val="000000000000" w:firstRow="0" w:lastRow="0" w:firstColumn="0" w:lastColumn="0" w:oddVBand="0" w:evenVBand="0" w:oddHBand="0" w:evenHBand="0" w:firstRowFirstColumn="0" w:firstRowLastColumn="0" w:lastRowFirstColumn="0" w:lastRowLastColumn="0"/>
              <w:rPr>
                <w:szCs w:val="20"/>
              </w:rPr>
            </w:pPr>
            <w:r w:rsidRPr="00AA22F2">
              <w:rPr>
                <w:szCs w:val="20"/>
              </w:rPr>
              <w:t>ONDA</w:t>
            </w:r>
          </w:p>
        </w:tc>
        <w:tc>
          <w:tcPr>
            <w:tcW w:w="0" w:type="auto"/>
            <w:hideMark/>
          </w:tcPr>
          <w:p w14:paraId="53C800E2" w14:textId="77777777" w:rsidR="008859CB" w:rsidRPr="00AA22F2" w:rsidRDefault="008859CB" w:rsidP="008859CB">
            <w:pPr>
              <w:cnfStyle w:val="000000000000" w:firstRow="0" w:lastRow="0" w:firstColumn="0" w:lastColumn="0" w:oddVBand="0" w:evenVBand="0" w:oddHBand="0" w:evenHBand="0" w:firstRowFirstColumn="0" w:firstRowLastColumn="0" w:lastRowFirstColumn="0" w:lastRowLastColumn="0"/>
              <w:rPr>
                <w:szCs w:val="20"/>
              </w:rPr>
            </w:pPr>
            <w:r w:rsidRPr="00AA22F2">
              <w:rPr>
                <w:szCs w:val="20"/>
              </w:rPr>
              <w:t>Annuel</w:t>
            </w:r>
          </w:p>
        </w:tc>
        <w:tc>
          <w:tcPr>
            <w:tcW w:w="0" w:type="auto"/>
            <w:hideMark/>
          </w:tcPr>
          <w:p w14:paraId="3AD6BAF0" w14:textId="46EFA402" w:rsidR="008859CB" w:rsidRPr="00AA22F2" w:rsidRDefault="002F1D7D" w:rsidP="008859CB">
            <w:pPr>
              <w:cnfStyle w:val="000000000000" w:firstRow="0" w:lastRow="0" w:firstColumn="0" w:lastColumn="0" w:oddVBand="0" w:evenVBand="0" w:oddHBand="0" w:evenHBand="0" w:firstRowFirstColumn="0" w:firstRowLastColumn="0" w:lastRowFirstColumn="0" w:lastRowLastColumn="0"/>
              <w:rPr>
                <w:szCs w:val="20"/>
              </w:rPr>
            </w:pPr>
            <w:r w:rsidRPr="002F1D7D">
              <w:rPr>
                <w:szCs w:val="20"/>
              </w:rPr>
              <w:t>≈ 20 00 MAD/</w:t>
            </w:r>
            <w:r>
              <w:rPr>
                <w:szCs w:val="20"/>
              </w:rPr>
              <w:t xml:space="preserve">an - </w:t>
            </w:r>
            <w:r w:rsidRPr="002F1D7D">
              <w:rPr>
                <w:szCs w:val="20"/>
              </w:rPr>
              <w:t xml:space="preserve">Inclut prélèvements, analyses en laboratoire (hydrocarbures totaux, métaux lourds, COT) </w:t>
            </w:r>
            <w:r>
              <w:rPr>
                <w:szCs w:val="20"/>
              </w:rPr>
              <w:t xml:space="preserve">pour 10 points </w:t>
            </w:r>
            <w:r w:rsidRPr="002F1D7D">
              <w:rPr>
                <w:szCs w:val="20"/>
              </w:rPr>
              <w:t>et rapport annuel.</w:t>
            </w:r>
          </w:p>
        </w:tc>
      </w:tr>
    </w:tbl>
    <w:p w14:paraId="58905B23" w14:textId="77777777" w:rsidR="00B40433" w:rsidRDefault="00B40433" w:rsidP="00AE45D9"/>
    <w:p w14:paraId="72BF06F8" w14:textId="77777777" w:rsidR="008B721A" w:rsidRDefault="008B721A" w:rsidP="00AE45D9"/>
    <w:p w14:paraId="27F0AC24" w14:textId="77777777" w:rsidR="008B721A" w:rsidRDefault="008B721A" w:rsidP="00AE45D9">
      <w:pPr>
        <w:sectPr w:rsidR="008B721A" w:rsidSect="00FA4641">
          <w:pgSz w:w="16838" w:h="11906" w:orient="landscape"/>
          <w:pgMar w:top="1418" w:right="1418" w:bottom="1418" w:left="1276" w:header="680" w:footer="680" w:gutter="0"/>
          <w:cols w:space="708"/>
          <w:docGrid w:linePitch="360"/>
        </w:sectPr>
      </w:pPr>
    </w:p>
    <w:p w14:paraId="2F339136" w14:textId="3D5D967A" w:rsidR="00FA4641" w:rsidRDefault="00B40433" w:rsidP="00B40433">
      <w:pPr>
        <w:pStyle w:val="Title5"/>
      </w:pPr>
      <w:r>
        <w:lastRenderedPageBreak/>
        <w:t>Evaluation des impacts résiduels</w:t>
      </w:r>
    </w:p>
    <w:p w14:paraId="507DEF86" w14:textId="77777777" w:rsidR="0096075B" w:rsidRDefault="0096075B" w:rsidP="0096075B">
      <w:r>
        <w:t>En phase d’exploitation, le site de l’aéroport sera totalement stabilisé et aménagé. Les zones concernées par le projet (parking avions, voies de circulation, aires techniques) seront revêtues et drainées, ce qui réduit considérablement les interactions directes avec le sol.</w:t>
      </w:r>
    </w:p>
    <w:p w14:paraId="55B38904" w14:textId="77777777" w:rsidR="0096075B" w:rsidRDefault="0096075B" w:rsidP="0096075B">
      <w:r>
        <w:t>L’imperméabilisation permanente du sol, bien qu’irréversible dans les zones construites, sera parfaitement maîtrisée par la conception du projet et confinée à des espaces déjà destinés à un usage technique. Les systèmes de drainage séparatif et de collecte des eaux pluviales assureront l’évacuation contrôlée des ruissellements, évitant tout risque d’affouillement ou de saturation périphérique. L’impact résiduel sera donc mineur, limité à une modification localisée de la perméabilité sans effet sur les sols environnants.</w:t>
      </w:r>
    </w:p>
    <w:p w14:paraId="7B08C856" w14:textId="77777777" w:rsidR="0096075B" w:rsidRDefault="0096075B" w:rsidP="0096075B">
      <w:r>
        <w:t>Les risques de pollution chronique dus aux fuites ou aux rejets accidentels d’huiles, d’hydrocarbures ou d’effluents techniques seront faibles et maîtrisés. Les bacs de rétention, séparateurs d’hydrocarbures, inspections périodiques et procédures d’entretien garantiront une prévention quasi complète des contaminations diffuses. Les rares incidents potentiels seraient localisés, traités rapidement et sans incidence durable sur la qualité physico-chimique du sol.</w:t>
      </w:r>
    </w:p>
    <w:p w14:paraId="19BE7AFD" w14:textId="77777777" w:rsidR="0096075B" w:rsidRDefault="0096075B" w:rsidP="0096075B">
      <w:r>
        <w:t>Enfin, les mesures compensatoires et d’aménagement paysager (bandes d’infiltration, végétalisation périphérique) contribueront à restaurer partiellement la fonction écologique du sol et à maintenir un équilibre hydrique local.</w:t>
      </w:r>
    </w:p>
    <w:p w14:paraId="5436D1B5" w14:textId="10C26893" w:rsidR="00AC03E6" w:rsidRPr="00AC03E6" w:rsidRDefault="0096075B" w:rsidP="004637C7">
      <w:r>
        <w:t>Les impacts résiduels sur le sol en phase d’exploitation sont mineurs à négligeables, localisés, maîtrisés par la conception du projet et les dispositifs d’exploitation, et sans effet mesurable sur les sols périphériques ou les milieux naturels avoisinants.</w:t>
      </w:r>
    </w:p>
    <w:p w14:paraId="360707A5" w14:textId="3093DFAE" w:rsidR="00551D4F" w:rsidRPr="00994AB4" w:rsidRDefault="00551D4F" w:rsidP="00551D4F">
      <w:pPr>
        <w:pStyle w:val="Title3"/>
      </w:pPr>
      <w:bookmarkStart w:id="424" w:name="_Toc215131877"/>
      <w:r w:rsidRPr="00994AB4">
        <w:t>Qualité des eaux superficielles et souterraines</w:t>
      </w:r>
      <w:bookmarkEnd w:id="424"/>
    </w:p>
    <w:p w14:paraId="21BDC27E" w14:textId="41BBF81D" w:rsidR="00551D4F" w:rsidRPr="008F2A8E" w:rsidRDefault="00551D4F" w:rsidP="00551D4F">
      <w:pPr>
        <w:pStyle w:val="Title4"/>
        <w:tabs>
          <w:tab w:val="clear" w:pos="1134"/>
          <w:tab w:val="left" w:pos="851"/>
        </w:tabs>
      </w:pPr>
      <w:bookmarkStart w:id="425" w:name="_Hlk210913997"/>
      <w:r w:rsidRPr="008F2A8E">
        <w:t xml:space="preserve">Phase construction </w:t>
      </w:r>
    </w:p>
    <w:p w14:paraId="07DB1672" w14:textId="632A419B" w:rsidR="00551D4F" w:rsidRDefault="00893CF1" w:rsidP="00893CF1">
      <w:pPr>
        <w:pStyle w:val="Title5"/>
      </w:pPr>
      <w:r>
        <w:t>Identification et évaluation des impacts et risques</w:t>
      </w:r>
    </w:p>
    <w:p w14:paraId="4077B6BD" w14:textId="24A85983" w:rsidR="00D63A22" w:rsidRPr="004637C7" w:rsidRDefault="005823A8" w:rsidP="0001633E">
      <w:pPr>
        <w:pStyle w:val="AltTitle2"/>
        <w:numPr>
          <w:ilvl w:val="0"/>
          <w:numId w:val="106"/>
        </w:numPr>
      </w:pPr>
      <w:r>
        <w:t>D</w:t>
      </w:r>
      <w:r w:rsidRPr="005823A8">
        <w:t>égradation temporaire de la qualité des eaux superficielles</w:t>
      </w:r>
    </w:p>
    <w:p w14:paraId="0DE3A115" w14:textId="77777777" w:rsidR="001A27E5" w:rsidRPr="001A27E5" w:rsidRDefault="001A27E5" w:rsidP="004637C7">
      <w:pPr>
        <w:pStyle w:val="NormalWeb"/>
        <w:jc w:val="both"/>
        <w:rPr>
          <w:rFonts w:ascii="Calibri" w:hAnsi="Calibri" w:cs="Arial"/>
          <w:sz w:val="22"/>
          <w:szCs w:val="22"/>
          <w:lang w:val="fr-FR" w:eastAsia="en-US" w:bidi="en-US"/>
        </w:rPr>
      </w:pPr>
      <w:r w:rsidRPr="001A27E5">
        <w:rPr>
          <w:rFonts w:ascii="Calibri" w:hAnsi="Calibri" w:cs="Arial"/>
          <w:sz w:val="22"/>
          <w:szCs w:val="22"/>
          <w:lang w:val="fr-FR" w:eastAsia="en-US" w:bidi="en-US"/>
        </w:rPr>
        <w:t>Les travaux de terrassement et de nivellement, combinés au lessivage des sols dénudés pendant les précipitations, peuvent entraîner un apport ponctuel de matières en suspension (MES) dans les eaux de ruissellement, susceptibles d’augmenter la turbidité et de modifier localement la qualité physico-chimique des eaux drainées vers le réseau interne de l’aéroport.</w:t>
      </w:r>
    </w:p>
    <w:p w14:paraId="70A74CBD" w14:textId="45B4FC3C" w:rsidR="001A27E5" w:rsidRPr="001A27E5" w:rsidRDefault="001A27E5" w:rsidP="004637C7">
      <w:pPr>
        <w:pStyle w:val="NormalWeb"/>
        <w:jc w:val="both"/>
        <w:rPr>
          <w:rFonts w:ascii="Calibri" w:hAnsi="Calibri" w:cs="Arial"/>
          <w:sz w:val="22"/>
          <w:szCs w:val="22"/>
          <w:lang w:val="fr-FR" w:eastAsia="en-US" w:bidi="en-US"/>
        </w:rPr>
      </w:pPr>
      <w:r w:rsidRPr="001A27E5">
        <w:rPr>
          <w:rFonts w:ascii="Calibri" w:hAnsi="Calibri" w:cs="Arial"/>
          <w:sz w:val="22"/>
          <w:szCs w:val="22"/>
          <w:lang w:val="fr-FR" w:eastAsia="en-US" w:bidi="en-US"/>
        </w:rPr>
        <w:t>L’impact est direct, car il résulte du contact entre les eaux boueuses de chantier et le réseau de drainage. Son étendue reste locale, limitée aux zones de collecte internes. La durée est temporaire, correspondant à la période de travaux de terrassement. La fréquence est occasionnelle, survenant principalement lors d’épisodes pluvieux. L’intensité est faible, car le réseau de drainage existant limite la dispersion vers l’extérieur.</w:t>
      </w:r>
    </w:p>
    <w:p w14:paraId="5D37E2A6" w14:textId="77777777" w:rsidR="001A27E5" w:rsidRPr="001A27E5" w:rsidRDefault="001A27E5" w:rsidP="004637C7">
      <w:pPr>
        <w:pStyle w:val="NormalWeb"/>
        <w:jc w:val="both"/>
        <w:rPr>
          <w:rFonts w:ascii="Calibri" w:hAnsi="Calibri" w:cs="Arial"/>
          <w:sz w:val="22"/>
          <w:szCs w:val="22"/>
          <w:lang w:val="fr-FR" w:eastAsia="en-US" w:bidi="en-US"/>
        </w:rPr>
      </w:pPr>
      <w:r w:rsidRPr="001A27E5">
        <w:rPr>
          <w:rFonts w:ascii="Calibri" w:hAnsi="Calibri" w:cs="Arial"/>
          <w:sz w:val="22"/>
          <w:szCs w:val="22"/>
          <w:lang w:val="fr-FR" w:eastAsia="en-US" w:bidi="en-US"/>
        </w:rPr>
        <w:t>Les récepteurs sensibles sont les eaux de ruissellement et les bassins de décantation internes, à sensibilité moyenne en raison de leur faible connectivité avec les eaux de surface naturelles.</w:t>
      </w:r>
    </w:p>
    <w:p w14:paraId="2C565D37" w14:textId="43FEDB0A" w:rsidR="005823A8" w:rsidRDefault="001A27E5" w:rsidP="001A27E5">
      <w:pPr>
        <w:pStyle w:val="NormalWeb"/>
        <w:jc w:val="both"/>
        <w:rPr>
          <w:rFonts w:ascii="Calibri" w:hAnsi="Calibri" w:cs="Arial"/>
          <w:sz w:val="22"/>
          <w:szCs w:val="22"/>
          <w:lang w:val="fr-FR" w:eastAsia="en-US" w:bidi="en-US"/>
        </w:rPr>
      </w:pPr>
      <w:r w:rsidRPr="001A27E5">
        <w:rPr>
          <w:rFonts w:ascii="Calibri" w:hAnsi="Calibri" w:cs="Arial"/>
          <w:sz w:val="22"/>
          <w:szCs w:val="22"/>
          <w:lang w:val="fr-FR" w:eastAsia="en-US" w:bidi="en-US"/>
        </w:rPr>
        <w:t>L’importance globale de cet impact est évaluée modérée, temporaire et maîtrisable par des mesures simples de gestion des eaux boueuses (bassins de décantation, curage, stabilisation des talus).</w:t>
      </w:r>
    </w:p>
    <w:tbl>
      <w:tblPr>
        <w:tblStyle w:val="TableauGrille1Clair-Accentuation111"/>
        <w:tblW w:w="0" w:type="auto"/>
        <w:tblLook w:val="04A0" w:firstRow="1" w:lastRow="0" w:firstColumn="1" w:lastColumn="0" w:noHBand="0" w:noVBand="1"/>
      </w:tblPr>
      <w:tblGrid>
        <w:gridCol w:w="1456"/>
        <w:gridCol w:w="1464"/>
        <w:gridCol w:w="1416"/>
        <w:gridCol w:w="3478"/>
        <w:gridCol w:w="1246"/>
      </w:tblGrid>
      <w:tr w:rsidR="00C72258" w:rsidRPr="00CB72D7" w14:paraId="2C6715BE" w14:textId="77777777" w:rsidTr="004637C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1990CD9E" w14:textId="77777777" w:rsidR="00C72258" w:rsidRPr="00CB72D7" w:rsidRDefault="00C72258" w:rsidP="000A3EA4">
            <w:pPr>
              <w:rPr>
                <w:rFonts w:asciiTheme="minorHAnsi" w:hAnsiTheme="minorHAnsi" w:cstheme="minorHAnsi"/>
                <w:szCs w:val="20"/>
                <w:lang w:eastAsia="fr-FR" w:bidi="ar-SA"/>
              </w:rPr>
            </w:pPr>
            <w:r w:rsidRPr="00CB72D7">
              <w:rPr>
                <w:rFonts w:asciiTheme="minorHAnsi" w:hAnsiTheme="minorHAnsi" w:cstheme="minorHAnsi"/>
                <w:szCs w:val="20"/>
                <w:lang w:eastAsia="fr-FR" w:bidi="ar-SA"/>
              </w:rPr>
              <w:lastRenderedPageBreak/>
              <w:t>Impact</w:t>
            </w:r>
          </w:p>
        </w:tc>
        <w:tc>
          <w:tcPr>
            <w:tcW w:w="1463" w:type="dxa"/>
            <w:hideMark/>
          </w:tcPr>
          <w:p w14:paraId="632CDAEC" w14:textId="77777777" w:rsidR="00C72258" w:rsidRPr="00CB72D7" w:rsidRDefault="00C72258" w:rsidP="000A3EA4">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sidRPr="00CB72D7">
              <w:rPr>
                <w:rFonts w:asciiTheme="minorHAnsi" w:hAnsiTheme="minorHAnsi" w:cstheme="minorHAnsi"/>
                <w:szCs w:val="20"/>
                <w:lang w:eastAsia="fr-FR" w:bidi="ar-SA"/>
              </w:rPr>
              <w:t>Activités génératrices</w:t>
            </w:r>
          </w:p>
        </w:tc>
        <w:tc>
          <w:tcPr>
            <w:tcW w:w="1416" w:type="dxa"/>
            <w:hideMark/>
          </w:tcPr>
          <w:p w14:paraId="4AD7763C" w14:textId="77777777" w:rsidR="00C72258" w:rsidRPr="00CB72D7" w:rsidRDefault="00C72258" w:rsidP="000A3EA4">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sidRPr="00CB72D7">
              <w:rPr>
                <w:rFonts w:asciiTheme="minorHAnsi" w:hAnsiTheme="minorHAnsi" w:cstheme="minorHAnsi"/>
                <w:szCs w:val="20"/>
                <w:lang w:eastAsia="fr-FR" w:bidi="ar-SA"/>
              </w:rPr>
              <w:t>Critère</w:t>
            </w:r>
          </w:p>
        </w:tc>
        <w:tc>
          <w:tcPr>
            <w:tcW w:w="3478" w:type="dxa"/>
            <w:hideMark/>
          </w:tcPr>
          <w:p w14:paraId="46DFC838" w14:textId="77777777" w:rsidR="00C72258" w:rsidRPr="00CB72D7" w:rsidRDefault="00C72258" w:rsidP="000A3EA4">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sidRPr="00CB72D7">
              <w:rPr>
                <w:rFonts w:asciiTheme="minorHAnsi" w:hAnsiTheme="minorHAnsi" w:cstheme="minorHAnsi"/>
                <w:szCs w:val="20"/>
                <w:lang w:eastAsia="fr-FR" w:bidi="ar-SA"/>
              </w:rPr>
              <w:t>Justification</w:t>
            </w:r>
          </w:p>
        </w:tc>
        <w:tc>
          <w:tcPr>
            <w:tcW w:w="0" w:type="dxa"/>
            <w:hideMark/>
          </w:tcPr>
          <w:p w14:paraId="1210DFD1" w14:textId="77777777" w:rsidR="00C72258" w:rsidRPr="00CB72D7" w:rsidRDefault="00C72258" w:rsidP="000A3EA4">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sidRPr="00CB72D7">
              <w:rPr>
                <w:rFonts w:asciiTheme="minorHAnsi" w:hAnsiTheme="minorHAnsi" w:cstheme="minorHAnsi"/>
                <w:szCs w:val="20"/>
                <w:lang w:eastAsia="fr-FR" w:bidi="ar-SA"/>
              </w:rPr>
              <w:t>Niveau</w:t>
            </w:r>
          </w:p>
        </w:tc>
      </w:tr>
      <w:tr w:rsidR="00C72258" w:rsidRPr="00CB72D7" w14:paraId="5706E5B5" w14:textId="77777777" w:rsidTr="004637C7">
        <w:tc>
          <w:tcPr>
            <w:cnfStyle w:val="001000000000" w:firstRow="0" w:lastRow="0" w:firstColumn="1" w:lastColumn="0" w:oddVBand="0" w:evenVBand="0" w:oddHBand="0" w:evenHBand="0" w:firstRowFirstColumn="0" w:firstRowLastColumn="0" w:lastRowFirstColumn="0" w:lastRowLastColumn="0"/>
            <w:tcW w:w="0" w:type="auto"/>
            <w:vMerge w:val="restart"/>
          </w:tcPr>
          <w:p w14:paraId="09B9D213" w14:textId="75CBDAE1" w:rsidR="00C72258" w:rsidRPr="00CB72D7" w:rsidRDefault="00EE3B6C" w:rsidP="000A3EA4">
            <w:pPr>
              <w:rPr>
                <w:rFonts w:asciiTheme="minorHAnsi" w:hAnsiTheme="minorHAnsi" w:cstheme="minorHAnsi"/>
                <w:szCs w:val="20"/>
                <w:lang w:eastAsia="fr-FR" w:bidi="ar-SA"/>
              </w:rPr>
            </w:pPr>
            <w:r w:rsidRPr="00CB72D7">
              <w:rPr>
                <w:rFonts w:asciiTheme="minorHAnsi" w:hAnsiTheme="minorHAnsi" w:cstheme="minorHAnsi"/>
                <w:szCs w:val="20"/>
                <w:lang w:eastAsia="fr-FR" w:bidi="ar-SA"/>
              </w:rPr>
              <w:t>Dégradation temporaire de la qualité des eaux superficielles</w:t>
            </w:r>
          </w:p>
        </w:tc>
        <w:tc>
          <w:tcPr>
            <w:tcW w:w="1463" w:type="dxa"/>
            <w:vMerge w:val="restart"/>
          </w:tcPr>
          <w:p w14:paraId="38BCD149" w14:textId="6D21FFFA" w:rsidR="00C72258" w:rsidRPr="00CB72D7" w:rsidRDefault="00EE3B6C" w:rsidP="000A3EA4">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sidRPr="00CB72D7">
              <w:rPr>
                <w:rFonts w:asciiTheme="minorHAnsi" w:hAnsiTheme="minorHAnsi" w:cstheme="minorHAnsi"/>
                <w:szCs w:val="20"/>
                <w:lang w:eastAsia="fr-FR" w:bidi="ar-SA"/>
              </w:rPr>
              <w:t>Terrassements, nivellement, décapage des sols, ruissellement sur sols nus, nettoyage des engins, lessivage des pistes de chantier.</w:t>
            </w:r>
          </w:p>
        </w:tc>
        <w:tc>
          <w:tcPr>
            <w:tcW w:w="1416" w:type="dxa"/>
            <w:hideMark/>
          </w:tcPr>
          <w:p w14:paraId="3EB5A1B4" w14:textId="77777777" w:rsidR="00C72258" w:rsidRPr="00CB72D7" w:rsidRDefault="00C72258" w:rsidP="000A3EA4">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Cs w:val="20"/>
                <w:lang w:eastAsia="fr-FR" w:bidi="ar-SA"/>
              </w:rPr>
            </w:pPr>
            <w:r w:rsidRPr="00CB72D7">
              <w:rPr>
                <w:rFonts w:asciiTheme="minorHAnsi" w:hAnsiTheme="minorHAnsi" w:cstheme="minorHAnsi"/>
                <w:b/>
                <w:bCs/>
                <w:szCs w:val="20"/>
                <w:lang w:eastAsia="fr-FR" w:bidi="ar-SA"/>
              </w:rPr>
              <w:t>Nature</w:t>
            </w:r>
          </w:p>
        </w:tc>
        <w:tc>
          <w:tcPr>
            <w:tcW w:w="4724" w:type="dxa"/>
            <w:gridSpan w:val="2"/>
          </w:tcPr>
          <w:p w14:paraId="59095B78" w14:textId="72C77440" w:rsidR="00C72258" w:rsidRPr="00CB72D7" w:rsidRDefault="00FE3D16" w:rsidP="000A3EA4">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sidRPr="00CB72D7">
              <w:rPr>
                <w:rFonts w:asciiTheme="minorHAnsi" w:hAnsiTheme="minorHAnsi" w:cstheme="minorHAnsi"/>
                <w:szCs w:val="20"/>
                <w:lang w:eastAsia="fr-FR" w:bidi="ar-SA"/>
              </w:rPr>
              <w:t xml:space="preserve">Direct </w:t>
            </w:r>
            <w:r w:rsidR="00911A3C" w:rsidRPr="00CB72D7">
              <w:rPr>
                <w:rFonts w:asciiTheme="minorHAnsi" w:hAnsiTheme="minorHAnsi" w:cstheme="minorHAnsi"/>
                <w:szCs w:val="20"/>
                <w:lang w:eastAsia="fr-FR" w:bidi="ar-SA"/>
              </w:rPr>
              <w:t>négatif</w:t>
            </w:r>
          </w:p>
        </w:tc>
      </w:tr>
      <w:tr w:rsidR="00C72258" w:rsidRPr="00CB72D7" w14:paraId="132549B7" w14:textId="77777777" w:rsidTr="004637C7">
        <w:tc>
          <w:tcPr>
            <w:cnfStyle w:val="001000000000" w:firstRow="0" w:lastRow="0" w:firstColumn="1" w:lastColumn="0" w:oddVBand="0" w:evenVBand="0" w:oddHBand="0" w:evenHBand="0" w:firstRowFirstColumn="0" w:firstRowLastColumn="0" w:lastRowFirstColumn="0" w:lastRowLastColumn="0"/>
            <w:tcW w:w="0" w:type="auto"/>
            <w:vMerge/>
            <w:hideMark/>
          </w:tcPr>
          <w:p w14:paraId="3EA725CC" w14:textId="77777777" w:rsidR="00C72258" w:rsidRPr="00CB72D7" w:rsidRDefault="00C72258" w:rsidP="000A3EA4">
            <w:pPr>
              <w:rPr>
                <w:rFonts w:asciiTheme="minorHAnsi" w:hAnsiTheme="minorHAnsi" w:cstheme="minorHAnsi"/>
                <w:szCs w:val="20"/>
                <w:lang w:eastAsia="fr-FR" w:bidi="ar-SA"/>
              </w:rPr>
            </w:pPr>
          </w:p>
        </w:tc>
        <w:tc>
          <w:tcPr>
            <w:tcW w:w="1463" w:type="dxa"/>
            <w:vMerge/>
            <w:hideMark/>
          </w:tcPr>
          <w:p w14:paraId="2D61E32B" w14:textId="77777777" w:rsidR="00C72258" w:rsidRPr="00CB72D7" w:rsidRDefault="00C72258" w:rsidP="000A3EA4">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p>
        </w:tc>
        <w:tc>
          <w:tcPr>
            <w:tcW w:w="1416" w:type="dxa"/>
            <w:hideMark/>
          </w:tcPr>
          <w:p w14:paraId="1F54BD38" w14:textId="77777777" w:rsidR="00C72258" w:rsidRPr="00CB72D7" w:rsidRDefault="00C72258" w:rsidP="000A3EA4">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Cs w:val="20"/>
                <w:lang w:eastAsia="fr-FR" w:bidi="ar-SA"/>
              </w:rPr>
            </w:pPr>
            <w:r w:rsidRPr="00CB72D7">
              <w:rPr>
                <w:rFonts w:asciiTheme="minorHAnsi" w:hAnsiTheme="minorHAnsi" w:cstheme="minorHAnsi"/>
                <w:b/>
                <w:bCs/>
                <w:szCs w:val="20"/>
                <w:lang w:eastAsia="fr-FR" w:bidi="ar-SA"/>
              </w:rPr>
              <w:t>Étendue</w:t>
            </w:r>
          </w:p>
        </w:tc>
        <w:tc>
          <w:tcPr>
            <w:tcW w:w="3478" w:type="dxa"/>
          </w:tcPr>
          <w:p w14:paraId="10EBC398" w14:textId="253E8F20" w:rsidR="00C72258" w:rsidRPr="00CB72D7" w:rsidRDefault="00EE3B6C" w:rsidP="000A3EA4">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sidRPr="00CB72D7">
              <w:rPr>
                <w:rFonts w:asciiTheme="minorHAnsi" w:hAnsiTheme="minorHAnsi" w:cstheme="minorHAnsi"/>
                <w:szCs w:val="20"/>
                <w:lang w:eastAsia="fr-FR" w:bidi="ar-SA"/>
              </w:rPr>
              <w:t>Locale, limitée au réseau interne de drainage de l’aéroport.</w:t>
            </w:r>
          </w:p>
        </w:tc>
        <w:tc>
          <w:tcPr>
            <w:tcW w:w="0" w:type="dxa"/>
          </w:tcPr>
          <w:p w14:paraId="3FBB652D" w14:textId="4FD99F2C" w:rsidR="00C72258" w:rsidRPr="00CB72D7" w:rsidRDefault="009F271A" w:rsidP="000A3EA4">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Cs w:val="20"/>
                <w:lang w:eastAsia="fr-FR" w:bidi="ar-SA"/>
              </w:rPr>
            </w:pPr>
            <w:r w:rsidRPr="00CB72D7">
              <w:rPr>
                <w:rFonts w:asciiTheme="minorHAnsi" w:hAnsiTheme="minorHAnsi" w:cstheme="minorHAnsi"/>
                <w:b/>
                <w:bCs/>
                <w:szCs w:val="20"/>
                <w:lang w:eastAsia="fr-FR" w:bidi="ar-SA"/>
              </w:rPr>
              <w:t>Local</w:t>
            </w:r>
          </w:p>
        </w:tc>
      </w:tr>
      <w:tr w:rsidR="00C72258" w:rsidRPr="00CB72D7" w14:paraId="67B5E468" w14:textId="77777777" w:rsidTr="004637C7">
        <w:tc>
          <w:tcPr>
            <w:cnfStyle w:val="001000000000" w:firstRow="0" w:lastRow="0" w:firstColumn="1" w:lastColumn="0" w:oddVBand="0" w:evenVBand="0" w:oddHBand="0" w:evenHBand="0" w:firstRowFirstColumn="0" w:firstRowLastColumn="0" w:lastRowFirstColumn="0" w:lastRowLastColumn="0"/>
            <w:tcW w:w="0" w:type="auto"/>
            <w:vMerge/>
            <w:hideMark/>
          </w:tcPr>
          <w:p w14:paraId="1889A735" w14:textId="77777777" w:rsidR="00C72258" w:rsidRPr="00CB72D7" w:rsidRDefault="00C72258" w:rsidP="000A3EA4">
            <w:pPr>
              <w:rPr>
                <w:rFonts w:asciiTheme="minorHAnsi" w:hAnsiTheme="minorHAnsi" w:cstheme="minorHAnsi"/>
                <w:szCs w:val="20"/>
                <w:lang w:eastAsia="fr-FR" w:bidi="ar-SA"/>
              </w:rPr>
            </w:pPr>
          </w:p>
        </w:tc>
        <w:tc>
          <w:tcPr>
            <w:tcW w:w="1463" w:type="dxa"/>
            <w:vMerge/>
            <w:hideMark/>
          </w:tcPr>
          <w:p w14:paraId="73E058CB" w14:textId="77777777" w:rsidR="00C72258" w:rsidRPr="00CB72D7" w:rsidRDefault="00C72258" w:rsidP="000A3EA4">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p>
        </w:tc>
        <w:tc>
          <w:tcPr>
            <w:tcW w:w="1416" w:type="dxa"/>
            <w:hideMark/>
          </w:tcPr>
          <w:p w14:paraId="00BB5AF6" w14:textId="77777777" w:rsidR="00C72258" w:rsidRPr="00CB72D7" w:rsidRDefault="00C72258" w:rsidP="000A3EA4">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Cs w:val="20"/>
                <w:lang w:eastAsia="fr-FR" w:bidi="ar-SA"/>
              </w:rPr>
            </w:pPr>
            <w:r w:rsidRPr="00CB72D7">
              <w:rPr>
                <w:rFonts w:asciiTheme="minorHAnsi" w:hAnsiTheme="minorHAnsi" w:cstheme="minorHAnsi"/>
                <w:b/>
                <w:bCs/>
                <w:szCs w:val="20"/>
                <w:lang w:eastAsia="fr-FR" w:bidi="ar-SA"/>
              </w:rPr>
              <w:t>Durée</w:t>
            </w:r>
          </w:p>
        </w:tc>
        <w:tc>
          <w:tcPr>
            <w:tcW w:w="3478" w:type="dxa"/>
          </w:tcPr>
          <w:p w14:paraId="2E9D428B" w14:textId="09BB7F38" w:rsidR="00C72258" w:rsidRPr="00CB72D7" w:rsidRDefault="00EE3B6C" w:rsidP="000A3EA4">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sidRPr="00CB72D7">
              <w:rPr>
                <w:rFonts w:asciiTheme="minorHAnsi" w:hAnsiTheme="minorHAnsi" w:cstheme="minorHAnsi"/>
                <w:szCs w:val="20"/>
                <w:lang w:eastAsia="fr-FR" w:bidi="ar-SA"/>
              </w:rPr>
              <w:t>Temporaire, confinée à la période des terrassements.</w:t>
            </w:r>
          </w:p>
        </w:tc>
        <w:tc>
          <w:tcPr>
            <w:tcW w:w="0" w:type="dxa"/>
          </w:tcPr>
          <w:p w14:paraId="620EAAA8" w14:textId="323087B9" w:rsidR="00C72258" w:rsidRPr="00CB72D7" w:rsidRDefault="009F271A" w:rsidP="000A3EA4">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Cs w:val="20"/>
                <w:lang w:eastAsia="fr-FR" w:bidi="ar-SA"/>
              </w:rPr>
            </w:pPr>
            <w:r w:rsidRPr="00CB72D7">
              <w:rPr>
                <w:rFonts w:asciiTheme="minorHAnsi" w:hAnsiTheme="minorHAnsi" w:cstheme="minorHAnsi"/>
                <w:b/>
                <w:bCs/>
                <w:szCs w:val="20"/>
                <w:lang w:eastAsia="fr-FR" w:bidi="ar-SA"/>
              </w:rPr>
              <w:t>Court terme</w:t>
            </w:r>
          </w:p>
        </w:tc>
      </w:tr>
      <w:tr w:rsidR="00C72258" w:rsidRPr="00CB72D7" w14:paraId="6647FF75" w14:textId="77777777" w:rsidTr="004637C7">
        <w:tc>
          <w:tcPr>
            <w:cnfStyle w:val="001000000000" w:firstRow="0" w:lastRow="0" w:firstColumn="1" w:lastColumn="0" w:oddVBand="0" w:evenVBand="0" w:oddHBand="0" w:evenHBand="0" w:firstRowFirstColumn="0" w:firstRowLastColumn="0" w:lastRowFirstColumn="0" w:lastRowLastColumn="0"/>
            <w:tcW w:w="0" w:type="auto"/>
            <w:vMerge/>
            <w:hideMark/>
          </w:tcPr>
          <w:p w14:paraId="48084532" w14:textId="77777777" w:rsidR="00C72258" w:rsidRPr="00CB72D7" w:rsidRDefault="00C72258" w:rsidP="000A3EA4">
            <w:pPr>
              <w:rPr>
                <w:rFonts w:asciiTheme="minorHAnsi" w:hAnsiTheme="minorHAnsi" w:cstheme="minorHAnsi"/>
                <w:szCs w:val="20"/>
                <w:lang w:eastAsia="fr-FR" w:bidi="ar-SA"/>
              </w:rPr>
            </w:pPr>
          </w:p>
        </w:tc>
        <w:tc>
          <w:tcPr>
            <w:tcW w:w="1463" w:type="dxa"/>
            <w:vMerge/>
            <w:hideMark/>
          </w:tcPr>
          <w:p w14:paraId="005359B9" w14:textId="77777777" w:rsidR="00C72258" w:rsidRPr="00CB72D7" w:rsidRDefault="00C72258" w:rsidP="000A3EA4">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p>
        </w:tc>
        <w:tc>
          <w:tcPr>
            <w:tcW w:w="1416" w:type="dxa"/>
            <w:hideMark/>
          </w:tcPr>
          <w:p w14:paraId="18A5B76C" w14:textId="77777777" w:rsidR="00C72258" w:rsidRPr="00CB72D7" w:rsidRDefault="00C72258" w:rsidP="000A3EA4">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Cs w:val="20"/>
                <w:lang w:eastAsia="fr-FR" w:bidi="ar-SA"/>
              </w:rPr>
            </w:pPr>
            <w:r w:rsidRPr="00CB72D7">
              <w:rPr>
                <w:rFonts w:asciiTheme="minorHAnsi" w:hAnsiTheme="minorHAnsi" w:cstheme="minorHAnsi"/>
                <w:b/>
                <w:bCs/>
                <w:szCs w:val="20"/>
                <w:lang w:eastAsia="fr-FR" w:bidi="ar-SA"/>
              </w:rPr>
              <w:t>Fréquence</w:t>
            </w:r>
          </w:p>
        </w:tc>
        <w:tc>
          <w:tcPr>
            <w:tcW w:w="3478" w:type="dxa"/>
          </w:tcPr>
          <w:p w14:paraId="287A59F8" w14:textId="21EA6CF7" w:rsidR="00C72258" w:rsidRPr="00CB72D7" w:rsidRDefault="00EE3B6C" w:rsidP="000A3EA4">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sidRPr="00CB72D7">
              <w:rPr>
                <w:rFonts w:asciiTheme="minorHAnsi" w:hAnsiTheme="minorHAnsi" w:cstheme="minorHAnsi"/>
                <w:szCs w:val="20"/>
                <w:lang w:eastAsia="fr-FR" w:bidi="ar-SA"/>
              </w:rPr>
              <w:t>Intermittent ou occasionnelle, lors d’épisodes pluvieux ou de nettoyage des engins.</w:t>
            </w:r>
          </w:p>
        </w:tc>
        <w:tc>
          <w:tcPr>
            <w:tcW w:w="0" w:type="dxa"/>
          </w:tcPr>
          <w:p w14:paraId="78DA359F" w14:textId="2680B0D8" w:rsidR="00C72258" w:rsidRPr="00CB72D7" w:rsidRDefault="00911A3C" w:rsidP="000A3EA4">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Cs w:val="20"/>
                <w:lang w:eastAsia="fr-FR" w:bidi="ar-SA"/>
              </w:rPr>
            </w:pPr>
            <w:r w:rsidRPr="00CB72D7">
              <w:rPr>
                <w:rFonts w:asciiTheme="minorHAnsi" w:hAnsiTheme="minorHAnsi" w:cstheme="minorHAnsi"/>
                <w:b/>
                <w:bCs/>
                <w:szCs w:val="20"/>
                <w:lang w:eastAsia="fr-FR" w:bidi="ar-SA"/>
              </w:rPr>
              <w:t>Intermittent</w:t>
            </w:r>
          </w:p>
        </w:tc>
      </w:tr>
      <w:tr w:rsidR="00C72258" w:rsidRPr="00CB72D7" w14:paraId="7C8DF884" w14:textId="77777777" w:rsidTr="004637C7">
        <w:tc>
          <w:tcPr>
            <w:cnfStyle w:val="001000000000" w:firstRow="0" w:lastRow="0" w:firstColumn="1" w:lastColumn="0" w:oddVBand="0" w:evenVBand="0" w:oddHBand="0" w:evenHBand="0" w:firstRowFirstColumn="0" w:firstRowLastColumn="0" w:lastRowFirstColumn="0" w:lastRowLastColumn="0"/>
            <w:tcW w:w="0" w:type="auto"/>
            <w:vMerge/>
            <w:hideMark/>
          </w:tcPr>
          <w:p w14:paraId="73201E84" w14:textId="77777777" w:rsidR="00C72258" w:rsidRPr="00CB72D7" w:rsidRDefault="00C72258" w:rsidP="000A3EA4">
            <w:pPr>
              <w:rPr>
                <w:rFonts w:asciiTheme="minorHAnsi" w:hAnsiTheme="minorHAnsi" w:cstheme="minorHAnsi"/>
                <w:szCs w:val="20"/>
                <w:lang w:eastAsia="fr-FR" w:bidi="ar-SA"/>
              </w:rPr>
            </w:pPr>
          </w:p>
        </w:tc>
        <w:tc>
          <w:tcPr>
            <w:tcW w:w="1463" w:type="dxa"/>
            <w:vMerge/>
            <w:hideMark/>
          </w:tcPr>
          <w:p w14:paraId="323FA730" w14:textId="77777777" w:rsidR="00C72258" w:rsidRPr="00CB72D7" w:rsidRDefault="00C72258" w:rsidP="000A3EA4">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p>
        </w:tc>
        <w:tc>
          <w:tcPr>
            <w:tcW w:w="1416" w:type="dxa"/>
            <w:shd w:val="clear" w:color="auto" w:fill="D9E2F3"/>
            <w:hideMark/>
          </w:tcPr>
          <w:p w14:paraId="4EFDB261" w14:textId="77777777" w:rsidR="00C72258" w:rsidRPr="00CB72D7" w:rsidRDefault="00C72258" w:rsidP="000A3EA4">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Cs w:val="20"/>
                <w:lang w:eastAsia="fr-FR" w:bidi="ar-SA"/>
              </w:rPr>
            </w:pPr>
            <w:r w:rsidRPr="00CB72D7">
              <w:rPr>
                <w:rFonts w:asciiTheme="minorHAnsi" w:hAnsiTheme="minorHAnsi" w:cstheme="minorHAnsi"/>
                <w:b/>
                <w:bCs/>
                <w:szCs w:val="20"/>
                <w:lang w:eastAsia="fr-FR" w:bidi="ar-SA"/>
              </w:rPr>
              <w:t>Intensité</w:t>
            </w:r>
          </w:p>
        </w:tc>
        <w:tc>
          <w:tcPr>
            <w:tcW w:w="3478" w:type="dxa"/>
            <w:shd w:val="clear" w:color="auto" w:fill="D9E2F3"/>
          </w:tcPr>
          <w:p w14:paraId="75B11A30" w14:textId="4C673E02" w:rsidR="00C72258" w:rsidRPr="00CB72D7" w:rsidRDefault="00EE3B6C" w:rsidP="000A3EA4">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sidRPr="00CB72D7">
              <w:rPr>
                <w:rFonts w:asciiTheme="minorHAnsi" w:hAnsiTheme="minorHAnsi" w:cstheme="minorHAnsi"/>
                <w:szCs w:val="20"/>
                <w:lang w:eastAsia="fr-FR" w:bidi="ar-SA"/>
              </w:rPr>
              <w:t>Le réseau de drainage existant limite la dispersion vers l’extérieur</w:t>
            </w:r>
          </w:p>
        </w:tc>
        <w:tc>
          <w:tcPr>
            <w:tcW w:w="0" w:type="dxa"/>
            <w:shd w:val="clear" w:color="auto" w:fill="D9E2F3"/>
          </w:tcPr>
          <w:p w14:paraId="2646934F" w14:textId="094D3F19" w:rsidR="00C72258" w:rsidRPr="00CB72D7" w:rsidRDefault="00911A3C" w:rsidP="000A3EA4">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Cs w:val="20"/>
                <w:lang w:eastAsia="fr-FR" w:bidi="ar-SA"/>
              </w:rPr>
            </w:pPr>
            <w:r w:rsidRPr="00CB72D7">
              <w:rPr>
                <w:rFonts w:asciiTheme="minorHAnsi" w:hAnsiTheme="minorHAnsi" w:cstheme="minorHAnsi"/>
                <w:b/>
                <w:bCs/>
                <w:szCs w:val="20"/>
                <w:lang w:eastAsia="fr-FR" w:bidi="ar-SA"/>
              </w:rPr>
              <w:t>Faible</w:t>
            </w:r>
            <w:r w:rsidR="00EE3B6C" w:rsidRPr="00CB72D7">
              <w:rPr>
                <w:rFonts w:asciiTheme="minorHAnsi" w:hAnsiTheme="minorHAnsi" w:cstheme="minorHAnsi"/>
                <w:b/>
                <w:bCs/>
                <w:szCs w:val="20"/>
                <w:lang w:eastAsia="fr-FR" w:bidi="ar-SA"/>
              </w:rPr>
              <w:t xml:space="preserve"> </w:t>
            </w:r>
          </w:p>
        </w:tc>
      </w:tr>
      <w:tr w:rsidR="00C72258" w:rsidRPr="00CB72D7" w14:paraId="50ABCD6D" w14:textId="77777777" w:rsidTr="004637C7">
        <w:tc>
          <w:tcPr>
            <w:cnfStyle w:val="001000000000" w:firstRow="0" w:lastRow="0" w:firstColumn="1" w:lastColumn="0" w:oddVBand="0" w:evenVBand="0" w:oddHBand="0" w:evenHBand="0" w:firstRowFirstColumn="0" w:firstRowLastColumn="0" w:lastRowFirstColumn="0" w:lastRowLastColumn="0"/>
            <w:tcW w:w="0" w:type="auto"/>
            <w:vMerge/>
          </w:tcPr>
          <w:p w14:paraId="6D83D058" w14:textId="77777777" w:rsidR="00C72258" w:rsidRPr="00CB72D7" w:rsidRDefault="00C72258" w:rsidP="000A3EA4">
            <w:pPr>
              <w:rPr>
                <w:rFonts w:asciiTheme="minorHAnsi" w:hAnsiTheme="minorHAnsi" w:cstheme="minorHAnsi"/>
                <w:szCs w:val="20"/>
                <w:lang w:eastAsia="fr-FR" w:bidi="ar-SA"/>
              </w:rPr>
            </w:pPr>
          </w:p>
        </w:tc>
        <w:tc>
          <w:tcPr>
            <w:tcW w:w="7603" w:type="dxa"/>
            <w:gridSpan w:val="4"/>
          </w:tcPr>
          <w:p w14:paraId="74DCAB7D" w14:textId="77777777" w:rsidR="00C72258" w:rsidRPr="00CB72D7" w:rsidRDefault="00C72258" w:rsidP="000A3EA4">
            <w:pPr>
              <w:spacing w:before="0" w:after="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Cs w:val="20"/>
                <w:lang w:eastAsia="fr-FR" w:bidi="ar-SA"/>
              </w:rPr>
            </w:pPr>
          </w:p>
        </w:tc>
      </w:tr>
      <w:tr w:rsidR="00C72258" w:rsidRPr="00CB72D7" w14:paraId="07EE1961" w14:textId="77777777" w:rsidTr="004637C7">
        <w:tc>
          <w:tcPr>
            <w:cnfStyle w:val="001000000000" w:firstRow="0" w:lastRow="0" w:firstColumn="1" w:lastColumn="0" w:oddVBand="0" w:evenVBand="0" w:oddHBand="0" w:evenHBand="0" w:firstRowFirstColumn="0" w:firstRowLastColumn="0" w:lastRowFirstColumn="0" w:lastRowLastColumn="0"/>
            <w:tcW w:w="0" w:type="auto"/>
            <w:vMerge/>
          </w:tcPr>
          <w:p w14:paraId="69F4A18B" w14:textId="77777777" w:rsidR="00C72258" w:rsidRPr="00CB72D7" w:rsidRDefault="00C72258" w:rsidP="000A3EA4">
            <w:pPr>
              <w:rPr>
                <w:rFonts w:asciiTheme="minorHAnsi" w:hAnsiTheme="minorHAnsi" w:cstheme="minorHAnsi"/>
                <w:szCs w:val="20"/>
                <w:lang w:eastAsia="fr-FR" w:bidi="ar-SA"/>
              </w:rPr>
            </w:pPr>
          </w:p>
        </w:tc>
        <w:tc>
          <w:tcPr>
            <w:tcW w:w="1463" w:type="dxa"/>
            <w:shd w:val="clear" w:color="auto" w:fill="B4C6E7" w:themeFill="accent1" w:themeFillTint="66"/>
            <w:vAlign w:val="center"/>
          </w:tcPr>
          <w:p w14:paraId="68E62E41" w14:textId="77777777" w:rsidR="00C72258" w:rsidRPr="00CB72D7" w:rsidRDefault="00C72258" w:rsidP="000A3EA4">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sidRPr="00CB72D7">
              <w:rPr>
                <w:rFonts w:asciiTheme="minorHAnsi" w:hAnsiTheme="minorHAnsi" w:cstheme="minorHAnsi"/>
                <w:b/>
                <w:bCs/>
                <w:szCs w:val="20"/>
              </w:rPr>
              <w:t>Intensité de l’impact</w:t>
            </w:r>
          </w:p>
        </w:tc>
        <w:tc>
          <w:tcPr>
            <w:tcW w:w="1416" w:type="dxa"/>
            <w:shd w:val="clear" w:color="auto" w:fill="B4C6E7" w:themeFill="accent1" w:themeFillTint="66"/>
            <w:vAlign w:val="center"/>
          </w:tcPr>
          <w:p w14:paraId="61896EDE" w14:textId="77777777" w:rsidR="00C72258" w:rsidRPr="00CB72D7" w:rsidRDefault="00C72258" w:rsidP="000A3EA4">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Cs w:val="20"/>
                <w:lang w:eastAsia="fr-FR" w:bidi="ar-SA"/>
              </w:rPr>
            </w:pPr>
            <w:r w:rsidRPr="00CB72D7">
              <w:rPr>
                <w:rFonts w:asciiTheme="minorHAnsi" w:hAnsiTheme="minorHAnsi" w:cstheme="minorHAnsi"/>
                <w:b/>
                <w:bCs/>
                <w:szCs w:val="20"/>
              </w:rPr>
              <w:t>Récepteurs</w:t>
            </w:r>
          </w:p>
        </w:tc>
        <w:tc>
          <w:tcPr>
            <w:tcW w:w="3478" w:type="dxa"/>
            <w:shd w:val="clear" w:color="auto" w:fill="B4C6E7" w:themeFill="accent1" w:themeFillTint="66"/>
            <w:vAlign w:val="center"/>
          </w:tcPr>
          <w:p w14:paraId="706F3321" w14:textId="77777777" w:rsidR="00C72258" w:rsidRPr="00CB72D7" w:rsidRDefault="00C72258" w:rsidP="000A3EA4">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sidRPr="00CB72D7">
              <w:rPr>
                <w:rFonts w:asciiTheme="minorHAnsi" w:hAnsiTheme="minorHAnsi" w:cstheme="minorHAnsi"/>
                <w:b/>
                <w:bCs/>
                <w:szCs w:val="20"/>
              </w:rPr>
              <w:t>Sensibilité</w:t>
            </w:r>
          </w:p>
        </w:tc>
        <w:tc>
          <w:tcPr>
            <w:tcW w:w="0" w:type="dxa"/>
            <w:shd w:val="clear" w:color="auto" w:fill="B4C6E7" w:themeFill="accent1" w:themeFillTint="66"/>
            <w:vAlign w:val="center"/>
          </w:tcPr>
          <w:p w14:paraId="75097C2F" w14:textId="77777777" w:rsidR="00C72258" w:rsidRPr="00CB72D7" w:rsidRDefault="00C72258" w:rsidP="000A3EA4">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Cs w:val="20"/>
                <w:lang w:eastAsia="fr-FR" w:bidi="ar-SA"/>
              </w:rPr>
            </w:pPr>
            <w:r w:rsidRPr="00CB72D7">
              <w:rPr>
                <w:rFonts w:asciiTheme="minorHAnsi" w:hAnsiTheme="minorHAnsi" w:cstheme="minorHAnsi"/>
                <w:b/>
                <w:bCs/>
                <w:szCs w:val="20"/>
              </w:rPr>
              <w:t>Importance de l’impact</w:t>
            </w:r>
          </w:p>
        </w:tc>
      </w:tr>
      <w:tr w:rsidR="00911A3C" w:rsidRPr="00CB72D7" w14:paraId="4F8B4569" w14:textId="77777777" w:rsidTr="004637C7">
        <w:tc>
          <w:tcPr>
            <w:cnfStyle w:val="001000000000" w:firstRow="0" w:lastRow="0" w:firstColumn="1" w:lastColumn="0" w:oddVBand="0" w:evenVBand="0" w:oddHBand="0" w:evenHBand="0" w:firstRowFirstColumn="0" w:firstRowLastColumn="0" w:lastRowFirstColumn="0" w:lastRowLastColumn="0"/>
            <w:tcW w:w="0" w:type="auto"/>
            <w:vMerge/>
          </w:tcPr>
          <w:p w14:paraId="54504CEB" w14:textId="77777777" w:rsidR="00C72258" w:rsidRPr="00CB72D7" w:rsidRDefault="00C72258" w:rsidP="000A3EA4">
            <w:pPr>
              <w:rPr>
                <w:rFonts w:asciiTheme="minorHAnsi" w:hAnsiTheme="minorHAnsi" w:cstheme="minorHAnsi"/>
                <w:szCs w:val="20"/>
                <w:lang w:eastAsia="fr-FR" w:bidi="ar-SA"/>
              </w:rPr>
            </w:pPr>
          </w:p>
        </w:tc>
        <w:tc>
          <w:tcPr>
            <w:tcW w:w="1463" w:type="dxa"/>
            <w:vAlign w:val="center"/>
          </w:tcPr>
          <w:p w14:paraId="27A3B36E" w14:textId="725ABBDC" w:rsidR="00C72258" w:rsidRPr="00CB72D7" w:rsidRDefault="00911A3C" w:rsidP="000A3EA4">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sidRPr="00CB72D7">
              <w:rPr>
                <w:rFonts w:asciiTheme="minorHAnsi" w:hAnsiTheme="minorHAnsi" w:cstheme="minorHAnsi"/>
                <w:szCs w:val="20"/>
                <w:lang w:eastAsia="fr-FR" w:bidi="ar-SA"/>
              </w:rPr>
              <w:t>Faible</w:t>
            </w:r>
          </w:p>
        </w:tc>
        <w:tc>
          <w:tcPr>
            <w:tcW w:w="1416" w:type="dxa"/>
            <w:vAlign w:val="center"/>
          </w:tcPr>
          <w:p w14:paraId="4E27578E" w14:textId="54FF89E4" w:rsidR="00C72258" w:rsidRPr="00CB72D7" w:rsidRDefault="00CB72D7" w:rsidP="000A3EA4">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Cs w:val="20"/>
                <w:lang w:eastAsia="fr-FR" w:bidi="ar-SA"/>
              </w:rPr>
            </w:pPr>
            <w:r w:rsidRPr="00CB72D7">
              <w:rPr>
                <w:rFonts w:asciiTheme="minorHAnsi" w:hAnsiTheme="minorHAnsi" w:cstheme="minorHAnsi"/>
                <w:b/>
                <w:bCs/>
                <w:szCs w:val="20"/>
                <w:lang w:eastAsia="fr-FR" w:bidi="ar-SA"/>
              </w:rPr>
              <w:t>Les eaux de ruissellement et les bassins de décantation internes</w:t>
            </w:r>
          </w:p>
        </w:tc>
        <w:tc>
          <w:tcPr>
            <w:tcW w:w="3478" w:type="dxa"/>
            <w:vAlign w:val="center"/>
          </w:tcPr>
          <w:p w14:paraId="5656BF32" w14:textId="2C18150E" w:rsidR="00C72258" w:rsidRPr="00CB72D7" w:rsidRDefault="00911A3C" w:rsidP="000A3EA4">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sidRPr="004637C7">
              <w:rPr>
                <w:rFonts w:asciiTheme="minorHAnsi" w:hAnsiTheme="minorHAnsi" w:cstheme="minorHAnsi"/>
                <w:b/>
                <w:bCs/>
                <w:szCs w:val="20"/>
                <w:lang w:eastAsia="fr-FR" w:bidi="ar-SA"/>
              </w:rPr>
              <w:t>Moyenne</w:t>
            </w:r>
            <w:r w:rsidR="00CB72D7" w:rsidRPr="004637C7">
              <w:rPr>
                <w:rFonts w:asciiTheme="minorHAnsi" w:hAnsiTheme="minorHAnsi" w:cstheme="minorHAnsi"/>
                <w:b/>
                <w:bCs/>
                <w:szCs w:val="20"/>
                <w:lang w:eastAsia="fr-FR" w:bidi="ar-SA"/>
              </w:rPr>
              <w:t> </w:t>
            </w:r>
            <w:r w:rsidR="00CB72D7" w:rsidRPr="00CB72D7">
              <w:rPr>
                <w:rFonts w:asciiTheme="minorHAnsi" w:hAnsiTheme="minorHAnsi" w:cstheme="minorHAnsi"/>
                <w:szCs w:val="20"/>
                <w:lang w:eastAsia="fr-FR" w:bidi="ar-SA"/>
              </w:rPr>
              <w:t>: les eaux superficielles locales sont peu connectées.</w:t>
            </w:r>
          </w:p>
        </w:tc>
        <w:tc>
          <w:tcPr>
            <w:tcW w:w="0" w:type="dxa"/>
            <w:vAlign w:val="center"/>
          </w:tcPr>
          <w:p w14:paraId="58F1CE7C" w14:textId="45C742D9" w:rsidR="00C72258" w:rsidRPr="00CB72D7" w:rsidRDefault="00911A3C" w:rsidP="000A3EA4">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Cs w:val="20"/>
                <w:lang w:eastAsia="fr-FR" w:bidi="ar-SA"/>
              </w:rPr>
            </w:pPr>
            <w:r w:rsidRPr="00CB72D7">
              <w:rPr>
                <w:rFonts w:asciiTheme="minorHAnsi" w:hAnsiTheme="minorHAnsi" w:cstheme="minorHAnsi"/>
                <w:b/>
                <w:bCs/>
                <w:szCs w:val="20"/>
                <w:lang w:eastAsia="fr-FR" w:bidi="ar-SA"/>
              </w:rPr>
              <w:t>Mineure</w:t>
            </w:r>
          </w:p>
        </w:tc>
      </w:tr>
    </w:tbl>
    <w:p w14:paraId="45CA1C41" w14:textId="77777777" w:rsidR="001A27E5" w:rsidRDefault="001A27E5" w:rsidP="0001633E">
      <w:pPr>
        <w:pStyle w:val="AltTitle2"/>
        <w:numPr>
          <w:ilvl w:val="0"/>
          <w:numId w:val="106"/>
        </w:numPr>
      </w:pPr>
      <w:r>
        <w:t>Contamination ponctuelle des eaux souterraines (hydrocarbures, huiles, produits chimiques)</w:t>
      </w:r>
    </w:p>
    <w:p w14:paraId="357D4F44" w14:textId="77777777" w:rsidR="001A27E5" w:rsidRDefault="001A27E5" w:rsidP="004637C7">
      <w:r>
        <w:t>Les activités de maintenance, le stockage temporaire de carburants et la manipulation d’huiles ou de produits chimiques peuvent engendrer des risques de contamination du sol et de la nappe souterraine par infiltration.</w:t>
      </w:r>
    </w:p>
    <w:p w14:paraId="2356C1BD" w14:textId="77777777" w:rsidR="001A27E5" w:rsidRDefault="001A27E5" w:rsidP="004637C7">
      <w:r>
        <w:t>L’impact est indirect, car il dépend d’une éventuelle migration verticale des polluants. Son étendue est locale, limitée aux zones d’entretien et de stockage. La durée est temporaire, mais les effets peuvent être durables en cas de contamination. La fréquence est rare, liée à des incidents accidentels. L’intensité est moyenne à forte selon le volume de produits manipulés.</w:t>
      </w:r>
    </w:p>
    <w:p w14:paraId="525347ED" w14:textId="066F341E" w:rsidR="001A27E5" w:rsidRDefault="001A27E5" w:rsidP="004637C7">
      <w:r>
        <w:t xml:space="preserve">La sensibilité du récepteur est forte, la nappe du </w:t>
      </w:r>
      <w:r w:rsidR="00CD04BC">
        <w:t>Haouz</w:t>
      </w:r>
      <w:r>
        <w:t xml:space="preserve"> étant vulnérable.</w:t>
      </w:r>
    </w:p>
    <w:p w14:paraId="30948483" w14:textId="5FFB27E3" w:rsidR="00DD301A" w:rsidRPr="00DD301A" w:rsidRDefault="001A27E5" w:rsidP="001A27E5">
      <w:r>
        <w:t>L’importance globale de l’impact est donc modérée à majeure, en raison de la sensibilité élevée du milieu récepteur, même si la probabilité d’occurrence reste faible.</w:t>
      </w:r>
    </w:p>
    <w:tbl>
      <w:tblPr>
        <w:tblStyle w:val="TableauGrille1Clair-Accentuation111"/>
        <w:tblW w:w="0" w:type="auto"/>
        <w:tblLook w:val="04A0" w:firstRow="1" w:lastRow="0" w:firstColumn="1" w:lastColumn="0" w:noHBand="0" w:noVBand="1"/>
      </w:tblPr>
      <w:tblGrid>
        <w:gridCol w:w="1456"/>
        <w:gridCol w:w="1446"/>
        <w:gridCol w:w="1383"/>
        <w:gridCol w:w="3428"/>
        <w:gridCol w:w="1347"/>
      </w:tblGrid>
      <w:tr w:rsidR="00C72258" w:rsidRPr="00B95A9D" w14:paraId="4A4BE457" w14:textId="77777777" w:rsidTr="0093062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1840A243" w14:textId="77777777" w:rsidR="00C72258" w:rsidRPr="00B95A9D" w:rsidRDefault="00C72258" w:rsidP="000A3EA4">
            <w:pPr>
              <w:rPr>
                <w:rFonts w:asciiTheme="minorHAnsi" w:hAnsiTheme="minorHAnsi" w:cstheme="minorHAnsi"/>
                <w:szCs w:val="20"/>
                <w:lang w:eastAsia="fr-FR" w:bidi="ar-SA"/>
              </w:rPr>
            </w:pPr>
            <w:r w:rsidRPr="00B95A9D">
              <w:rPr>
                <w:rFonts w:asciiTheme="minorHAnsi" w:hAnsiTheme="minorHAnsi" w:cstheme="minorHAnsi"/>
                <w:szCs w:val="20"/>
                <w:lang w:eastAsia="fr-FR" w:bidi="ar-SA"/>
              </w:rPr>
              <w:t>Impact</w:t>
            </w:r>
          </w:p>
        </w:tc>
        <w:tc>
          <w:tcPr>
            <w:tcW w:w="1462" w:type="dxa"/>
            <w:hideMark/>
          </w:tcPr>
          <w:p w14:paraId="029D9832" w14:textId="77777777" w:rsidR="00C72258" w:rsidRPr="00B95A9D" w:rsidRDefault="00C72258" w:rsidP="000A3EA4">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sidRPr="00B95A9D">
              <w:rPr>
                <w:rFonts w:asciiTheme="minorHAnsi" w:hAnsiTheme="minorHAnsi" w:cstheme="minorHAnsi"/>
                <w:szCs w:val="20"/>
                <w:lang w:eastAsia="fr-FR" w:bidi="ar-SA"/>
              </w:rPr>
              <w:t>Activités génératrices</w:t>
            </w:r>
          </w:p>
        </w:tc>
        <w:tc>
          <w:tcPr>
            <w:tcW w:w="1408" w:type="dxa"/>
            <w:hideMark/>
          </w:tcPr>
          <w:p w14:paraId="72E45DF3" w14:textId="77777777" w:rsidR="00C72258" w:rsidRPr="00B95A9D" w:rsidRDefault="00C72258" w:rsidP="000A3EA4">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sidRPr="00B95A9D">
              <w:rPr>
                <w:rFonts w:asciiTheme="minorHAnsi" w:hAnsiTheme="minorHAnsi" w:cstheme="minorHAnsi"/>
                <w:szCs w:val="20"/>
                <w:lang w:eastAsia="fr-FR" w:bidi="ar-SA"/>
              </w:rPr>
              <w:t>Critère</w:t>
            </w:r>
          </w:p>
        </w:tc>
        <w:tc>
          <w:tcPr>
            <w:tcW w:w="3633" w:type="dxa"/>
            <w:hideMark/>
          </w:tcPr>
          <w:p w14:paraId="3DF51E6D" w14:textId="77777777" w:rsidR="00C72258" w:rsidRPr="00B95A9D" w:rsidRDefault="00C72258" w:rsidP="000A3EA4">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sidRPr="00B95A9D">
              <w:rPr>
                <w:rFonts w:asciiTheme="minorHAnsi" w:hAnsiTheme="minorHAnsi" w:cstheme="minorHAnsi"/>
                <w:szCs w:val="20"/>
                <w:lang w:eastAsia="fr-FR" w:bidi="ar-SA"/>
              </w:rPr>
              <w:t>Justification</w:t>
            </w:r>
          </w:p>
        </w:tc>
        <w:tc>
          <w:tcPr>
            <w:tcW w:w="1193" w:type="dxa"/>
            <w:hideMark/>
          </w:tcPr>
          <w:p w14:paraId="7F9D22C5" w14:textId="77777777" w:rsidR="00C72258" w:rsidRPr="00B95A9D" w:rsidRDefault="00C72258" w:rsidP="000A3EA4">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sidRPr="00B95A9D">
              <w:rPr>
                <w:rFonts w:asciiTheme="minorHAnsi" w:hAnsiTheme="minorHAnsi" w:cstheme="minorHAnsi"/>
                <w:szCs w:val="20"/>
                <w:lang w:eastAsia="fr-FR" w:bidi="ar-SA"/>
              </w:rPr>
              <w:t>Niveau</w:t>
            </w:r>
          </w:p>
        </w:tc>
      </w:tr>
      <w:tr w:rsidR="00C72258" w:rsidRPr="00B95A9D" w14:paraId="3B32BBAD" w14:textId="77777777" w:rsidTr="0093062B">
        <w:tc>
          <w:tcPr>
            <w:cnfStyle w:val="001000000000" w:firstRow="0" w:lastRow="0" w:firstColumn="1" w:lastColumn="0" w:oddVBand="0" w:evenVBand="0" w:oddHBand="0" w:evenHBand="0" w:firstRowFirstColumn="0" w:firstRowLastColumn="0" w:lastRowFirstColumn="0" w:lastRowLastColumn="0"/>
            <w:tcW w:w="0" w:type="auto"/>
            <w:vMerge w:val="restart"/>
          </w:tcPr>
          <w:p w14:paraId="5C83B259" w14:textId="0A9F3497" w:rsidR="00C72258" w:rsidRPr="00B95A9D" w:rsidRDefault="00CB72D7" w:rsidP="0093062B">
            <w:pPr>
              <w:rPr>
                <w:rFonts w:asciiTheme="minorHAnsi" w:hAnsiTheme="minorHAnsi" w:cstheme="minorHAnsi"/>
                <w:szCs w:val="20"/>
                <w:lang w:eastAsia="fr-FR" w:bidi="ar-SA"/>
              </w:rPr>
            </w:pPr>
            <w:r w:rsidRPr="00CB72D7">
              <w:rPr>
                <w:rFonts w:asciiTheme="minorHAnsi" w:hAnsiTheme="minorHAnsi" w:cstheme="minorHAnsi"/>
                <w:szCs w:val="20"/>
                <w:lang w:eastAsia="fr-FR" w:bidi="ar-SA"/>
              </w:rPr>
              <w:t xml:space="preserve">Contamination ponctuelle des eaux souterraines </w:t>
            </w:r>
          </w:p>
        </w:tc>
        <w:tc>
          <w:tcPr>
            <w:tcW w:w="1462" w:type="dxa"/>
            <w:vMerge w:val="restart"/>
          </w:tcPr>
          <w:p w14:paraId="435DEAE1" w14:textId="3EAAF205" w:rsidR="00C72258" w:rsidRPr="00B95A9D" w:rsidRDefault="00CB72D7" w:rsidP="000A3EA4">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sidRPr="00CB72D7">
              <w:rPr>
                <w:rFonts w:asciiTheme="minorHAnsi" w:hAnsiTheme="minorHAnsi" w:cstheme="minorHAnsi"/>
                <w:szCs w:val="20"/>
                <w:lang w:eastAsia="fr-FR" w:bidi="ar-SA"/>
              </w:rPr>
              <w:t>Maintenance des engins, stockage temporaire de carburants, manipulation d’huiles ou de produits chimiques, station de lavage mobile.</w:t>
            </w:r>
          </w:p>
        </w:tc>
        <w:tc>
          <w:tcPr>
            <w:tcW w:w="1408" w:type="dxa"/>
            <w:hideMark/>
          </w:tcPr>
          <w:p w14:paraId="05089ED2" w14:textId="77777777" w:rsidR="00C72258" w:rsidRPr="00B95A9D" w:rsidRDefault="00C72258" w:rsidP="000A3EA4">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Cs w:val="20"/>
                <w:lang w:eastAsia="fr-FR" w:bidi="ar-SA"/>
              </w:rPr>
            </w:pPr>
            <w:r w:rsidRPr="00B95A9D">
              <w:rPr>
                <w:rFonts w:asciiTheme="minorHAnsi" w:hAnsiTheme="minorHAnsi" w:cstheme="minorHAnsi"/>
                <w:b/>
                <w:bCs/>
                <w:szCs w:val="20"/>
                <w:lang w:eastAsia="fr-FR" w:bidi="ar-SA"/>
              </w:rPr>
              <w:t>Nature</w:t>
            </w:r>
          </w:p>
        </w:tc>
        <w:tc>
          <w:tcPr>
            <w:tcW w:w="4826" w:type="dxa"/>
            <w:gridSpan w:val="2"/>
          </w:tcPr>
          <w:p w14:paraId="36C1930A" w14:textId="18083B22" w:rsidR="00C72258" w:rsidRPr="00B95A9D" w:rsidRDefault="0093062B" w:rsidP="000A3EA4">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Pr>
                <w:rFonts w:asciiTheme="minorHAnsi" w:hAnsiTheme="minorHAnsi" w:cstheme="minorHAnsi"/>
                <w:szCs w:val="20"/>
                <w:lang w:eastAsia="fr-FR" w:bidi="ar-SA"/>
              </w:rPr>
              <w:t>Indirect négatif</w:t>
            </w:r>
          </w:p>
        </w:tc>
      </w:tr>
      <w:tr w:rsidR="00C72258" w:rsidRPr="00B95A9D" w14:paraId="55D71A2D" w14:textId="77777777" w:rsidTr="0093062B">
        <w:tc>
          <w:tcPr>
            <w:cnfStyle w:val="001000000000" w:firstRow="0" w:lastRow="0" w:firstColumn="1" w:lastColumn="0" w:oddVBand="0" w:evenVBand="0" w:oddHBand="0" w:evenHBand="0" w:firstRowFirstColumn="0" w:firstRowLastColumn="0" w:lastRowFirstColumn="0" w:lastRowLastColumn="0"/>
            <w:tcW w:w="0" w:type="auto"/>
            <w:vMerge/>
            <w:hideMark/>
          </w:tcPr>
          <w:p w14:paraId="2456BBE8" w14:textId="77777777" w:rsidR="00C72258" w:rsidRPr="00B95A9D" w:rsidRDefault="00C72258" w:rsidP="000A3EA4">
            <w:pPr>
              <w:rPr>
                <w:rFonts w:asciiTheme="minorHAnsi" w:hAnsiTheme="minorHAnsi" w:cstheme="minorHAnsi"/>
                <w:szCs w:val="20"/>
                <w:lang w:eastAsia="fr-FR" w:bidi="ar-SA"/>
              </w:rPr>
            </w:pPr>
          </w:p>
        </w:tc>
        <w:tc>
          <w:tcPr>
            <w:tcW w:w="1462" w:type="dxa"/>
            <w:vMerge/>
            <w:hideMark/>
          </w:tcPr>
          <w:p w14:paraId="2E7387E0" w14:textId="77777777" w:rsidR="00C72258" w:rsidRPr="00B95A9D" w:rsidRDefault="00C72258" w:rsidP="000A3EA4">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p>
        </w:tc>
        <w:tc>
          <w:tcPr>
            <w:tcW w:w="1408" w:type="dxa"/>
            <w:hideMark/>
          </w:tcPr>
          <w:p w14:paraId="213078FD" w14:textId="77777777" w:rsidR="00C72258" w:rsidRPr="00B95A9D" w:rsidRDefault="00C72258" w:rsidP="000A3EA4">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Cs w:val="20"/>
                <w:lang w:eastAsia="fr-FR" w:bidi="ar-SA"/>
              </w:rPr>
            </w:pPr>
            <w:r w:rsidRPr="00B95A9D">
              <w:rPr>
                <w:rFonts w:asciiTheme="minorHAnsi" w:hAnsiTheme="minorHAnsi" w:cstheme="minorHAnsi"/>
                <w:b/>
                <w:bCs/>
                <w:szCs w:val="20"/>
                <w:lang w:eastAsia="fr-FR" w:bidi="ar-SA"/>
              </w:rPr>
              <w:t>Étendue</w:t>
            </w:r>
          </w:p>
        </w:tc>
        <w:tc>
          <w:tcPr>
            <w:tcW w:w="3633" w:type="dxa"/>
          </w:tcPr>
          <w:p w14:paraId="5B9E48DE" w14:textId="6DB1A6BC" w:rsidR="00C72258" w:rsidRPr="00B95A9D" w:rsidRDefault="00CB72D7" w:rsidP="000A3EA4">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sidRPr="00CB72D7">
              <w:rPr>
                <w:rFonts w:asciiTheme="minorHAnsi" w:hAnsiTheme="minorHAnsi" w:cstheme="minorHAnsi"/>
                <w:szCs w:val="20"/>
                <w:lang w:eastAsia="fr-FR" w:bidi="ar-SA"/>
              </w:rPr>
              <w:t>Locale, limitée aux zones de stockage et de maintenance.</w:t>
            </w:r>
          </w:p>
        </w:tc>
        <w:tc>
          <w:tcPr>
            <w:tcW w:w="1193" w:type="dxa"/>
          </w:tcPr>
          <w:p w14:paraId="625E4703" w14:textId="0191D043" w:rsidR="00C72258" w:rsidRPr="00B95A9D" w:rsidRDefault="0093062B" w:rsidP="000A3EA4">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Cs w:val="20"/>
                <w:lang w:eastAsia="fr-FR" w:bidi="ar-SA"/>
              </w:rPr>
            </w:pPr>
            <w:r>
              <w:rPr>
                <w:rFonts w:asciiTheme="minorHAnsi" w:hAnsiTheme="minorHAnsi" w:cstheme="minorHAnsi"/>
                <w:b/>
                <w:bCs/>
                <w:szCs w:val="20"/>
                <w:lang w:eastAsia="fr-FR" w:bidi="ar-SA"/>
              </w:rPr>
              <w:t>Local</w:t>
            </w:r>
          </w:p>
        </w:tc>
      </w:tr>
      <w:tr w:rsidR="00C72258" w:rsidRPr="00B95A9D" w14:paraId="30E716E7" w14:textId="77777777" w:rsidTr="0093062B">
        <w:tc>
          <w:tcPr>
            <w:cnfStyle w:val="001000000000" w:firstRow="0" w:lastRow="0" w:firstColumn="1" w:lastColumn="0" w:oddVBand="0" w:evenVBand="0" w:oddHBand="0" w:evenHBand="0" w:firstRowFirstColumn="0" w:firstRowLastColumn="0" w:lastRowFirstColumn="0" w:lastRowLastColumn="0"/>
            <w:tcW w:w="0" w:type="auto"/>
            <w:vMerge/>
            <w:hideMark/>
          </w:tcPr>
          <w:p w14:paraId="38141341" w14:textId="77777777" w:rsidR="00C72258" w:rsidRPr="00B95A9D" w:rsidRDefault="00C72258" w:rsidP="000A3EA4">
            <w:pPr>
              <w:rPr>
                <w:rFonts w:asciiTheme="minorHAnsi" w:hAnsiTheme="minorHAnsi" w:cstheme="minorHAnsi"/>
                <w:szCs w:val="20"/>
                <w:lang w:eastAsia="fr-FR" w:bidi="ar-SA"/>
              </w:rPr>
            </w:pPr>
          </w:p>
        </w:tc>
        <w:tc>
          <w:tcPr>
            <w:tcW w:w="1462" w:type="dxa"/>
            <w:vMerge/>
            <w:hideMark/>
          </w:tcPr>
          <w:p w14:paraId="75337575" w14:textId="77777777" w:rsidR="00C72258" w:rsidRPr="00B95A9D" w:rsidRDefault="00C72258" w:rsidP="000A3EA4">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p>
        </w:tc>
        <w:tc>
          <w:tcPr>
            <w:tcW w:w="1408" w:type="dxa"/>
            <w:hideMark/>
          </w:tcPr>
          <w:p w14:paraId="522E0955" w14:textId="77777777" w:rsidR="00C72258" w:rsidRPr="00B95A9D" w:rsidRDefault="00C72258" w:rsidP="000A3EA4">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Cs w:val="20"/>
                <w:lang w:eastAsia="fr-FR" w:bidi="ar-SA"/>
              </w:rPr>
            </w:pPr>
            <w:r w:rsidRPr="00B95A9D">
              <w:rPr>
                <w:rFonts w:asciiTheme="minorHAnsi" w:hAnsiTheme="minorHAnsi" w:cstheme="minorHAnsi"/>
                <w:b/>
                <w:bCs/>
                <w:szCs w:val="20"/>
                <w:lang w:eastAsia="fr-FR" w:bidi="ar-SA"/>
              </w:rPr>
              <w:t>Durée</w:t>
            </w:r>
          </w:p>
        </w:tc>
        <w:tc>
          <w:tcPr>
            <w:tcW w:w="3633" w:type="dxa"/>
          </w:tcPr>
          <w:p w14:paraId="4B28D739" w14:textId="25CCB897" w:rsidR="00C72258" w:rsidRPr="00B95A9D" w:rsidRDefault="00CB72D7" w:rsidP="000A3EA4">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sidRPr="00CB72D7">
              <w:rPr>
                <w:rFonts w:asciiTheme="minorHAnsi" w:hAnsiTheme="minorHAnsi" w:cstheme="minorHAnsi"/>
                <w:szCs w:val="20"/>
                <w:lang w:eastAsia="fr-FR" w:bidi="ar-SA"/>
              </w:rPr>
              <w:t>Temporaire, mais effets potentiellement durables sur la qualité du sol et de la nappe.</w:t>
            </w:r>
          </w:p>
        </w:tc>
        <w:tc>
          <w:tcPr>
            <w:tcW w:w="1193" w:type="dxa"/>
          </w:tcPr>
          <w:p w14:paraId="78D57B46" w14:textId="66CB9738" w:rsidR="00C72258" w:rsidRPr="00B95A9D" w:rsidRDefault="00CB72D7" w:rsidP="000A3EA4">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Cs w:val="20"/>
                <w:lang w:eastAsia="fr-FR" w:bidi="ar-SA"/>
              </w:rPr>
            </w:pPr>
            <w:r>
              <w:rPr>
                <w:rFonts w:asciiTheme="minorHAnsi" w:hAnsiTheme="minorHAnsi" w:cstheme="minorHAnsi"/>
                <w:b/>
                <w:bCs/>
                <w:szCs w:val="20"/>
                <w:lang w:eastAsia="fr-FR" w:bidi="ar-SA"/>
              </w:rPr>
              <w:t>Temporaire</w:t>
            </w:r>
          </w:p>
        </w:tc>
      </w:tr>
      <w:tr w:rsidR="00C72258" w:rsidRPr="00B95A9D" w14:paraId="5801E3F1" w14:textId="77777777" w:rsidTr="0093062B">
        <w:tc>
          <w:tcPr>
            <w:cnfStyle w:val="001000000000" w:firstRow="0" w:lastRow="0" w:firstColumn="1" w:lastColumn="0" w:oddVBand="0" w:evenVBand="0" w:oddHBand="0" w:evenHBand="0" w:firstRowFirstColumn="0" w:firstRowLastColumn="0" w:lastRowFirstColumn="0" w:lastRowLastColumn="0"/>
            <w:tcW w:w="0" w:type="auto"/>
            <w:vMerge/>
            <w:hideMark/>
          </w:tcPr>
          <w:p w14:paraId="2C667A1B" w14:textId="77777777" w:rsidR="00C72258" w:rsidRPr="00B95A9D" w:rsidRDefault="00C72258" w:rsidP="000A3EA4">
            <w:pPr>
              <w:rPr>
                <w:rFonts w:asciiTheme="minorHAnsi" w:hAnsiTheme="minorHAnsi" w:cstheme="minorHAnsi"/>
                <w:szCs w:val="20"/>
                <w:lang w:eastAsia="fr-FR" w:bidi="ar-SA"/>
              </w:rPr>
            </w:pPr>
          </w:p>
        </w:tc>
        <w:tc>
          <w:tcPr>
            <w:tcW w:w="1462" w:type="dxa"/>
            <w:vMerge/>
            <w:hideMark/>
          </w:tcPr>
          <w:p w14:paraId="72671DA5" w14:textId="77777777" w:rsidR="00C72258" w:rsidRPr="00B95A9D" w:rsidRDefault="00C72258" w:rsidP="000A3EA4">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p>
        </w:tc>
        <w:tc>
          <w:tcPr>
            <w:tcW w:w="1408" w:type="dxa"/>
            <w:hideMark/>
          </w:tcPr>
          <w:p w14:paraId="78E939D9" w14:textId="77777777" w:rsidR="00C72258" w:rsidRPr="00B95A9D" w:rsidRDefault="00C72258" w:rsidP="000A3EA4">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Cs w:val="20"/>
                <w:lang w:eastAsia="fr-FR" w:bidi="ar-SA"/>
              </w:rPr>
            </w:pPr>
            <w:r w:rsidRPr="00B95A9D">
              <w:rPr>
                <w:rFonts w:asciiTheme="minorHAnsi" w:hAnsiTheme="minorHAnsi" w:cstheme="minorHAnsi"/>
                <w:b/>
                <w:bCs/>
                <w:szCs w:val="20"/>
                <w:lang w:eastAsia="fr-FR" w:bidi="ar-SA"/>
              </w:rPr>
              <w:t>Fréquence</w:t>
            </w:r>
          </w:p>
        </w:tc>
        <w:tc>
          <w:tcPr>
            <w:tcW w:w="3633" w:type="dxa"/>
          </w:tcPr>
          <w:p w14:paraId="265D443A" w14:textId="5D812842" w:rsidR="00C72258" w:rsidRPr="00B95A9D" w:rsidRDefault="00CB72D7" w:rsidP="000A3EA4">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Pr>
                <w:rFonts w:asciiTheme="minorHAnsi" w:hAnsiTheme="minorHAnsi" w:cstheme="minorHAnsi"/>
                <w:szCs w:val="20"/>
                <w:lang w:eastAsia="fr-FR" w:bidi="ar-SA"/>
              </w:rPr>
              <w:t>L</w:t>
            </w:r>
            <w:r w:rsidRPr="00CB72D7">
              <w:rPr>
                <w:rFonts w:asciiTheme="minorHAnsi" w:hAnsiTheme="minorHAnsi" w:cstheme="minorHAnsi"/>
                <w:szCs w:val="20"/>
                <w:lang w:eastAsia="fr-FR" w:bidi="ar-SA"/>
              </w:rPr>
              <w:t>iée à la survenue d’un incident.</w:t>
            </w:r>
          </w:p>
        </w:tc>
        <w:tc>
          <w:tcPr>
            <w:tcW w:w="1193" w:type="dxa"/>
          </w:tcPr>
          <w:p w14:paraId="630F2B6D" w14:textId="6C9A9443" w:rsidR="00C72258" w:rsidRPr="00B95A9D" w:rsidRDefault="00CB72D7" w:rsidP="000A3EA4">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Cs w:val="20"/>
                <w:lang w:eastAsia="fr-FR" w:bidi="ar-SA"/>
              </w:rPr>
            </w:pPr>
            <w:r>
              <w:rPr>
                <w:rFonts w:asciiTheme="minorHAnsi" w:hAnsiTheme="minorHAnsi" w:cstheme="minorHAnsi"/>
                <w:b/>
                <w:bCs/>
                <w:szCs w:val="20"/>
                <w:lang w:eastAsia="fr-FR" w:bidi="ar-SA"/>
              </w:rPr>
              <w:t>Intermittente</w:t>
            </w:r>
          </w:p>
        </w:tc>
      </w:tr>
      <w:tr w:rsidR="00C72258" w:rsidRPr="00B95A9D" w14:paraId="382E9D83" w14:textId="77777777" w:rsidTr="0093062B">
        <w:tc>
          <w:tcPr>
            <w:cnfStyle w:val="001000000000" w:firstRow="0" w:lastRow="0" w:firstColumn="1" w:lastColumn="0" w:oddVBand="0" w:evenVBand="0" w:oddHBand="0" w:evenHBand="0" w:firstRowFirstColumn="0" w:firstRowLastColumn="0" w:lastRowFirstColumn="0" w:lastRowLastColumn="0"/>
            <w:tcW w:w="0" w:type="auto"/>
            <w:vMerge/>
            <w:hideMark/>
          </w:tcPr>
          <w:p w14:paraId="5B926B3E" w14:textId="77777777" w:rsidR="00C72258" w:rsidRPr="00B95A9D" w:rsidRDefault="00C72258" w:rsidP="000A3EA4">
            <w:pPr>
              <w:rPr>
                <w:rFonts w:asciiTheme="minorHAnsi" w:hAnsiTheme="minorHAnsi" w:cstheme="minorHAnsi"/>
                <w:szCs w:val="20"/>
                <w:lang w:eastAsia="fr-FR" w:bidi="ar-SA"/>
              </w:rPr>
            </w:pPr>
          </w:p>
        </w:tc>
        <w:tc>
          <w:tcPr>
            <w:tcW w:w="1462" w:type="dxa"/>
            <w:vMerge/>
            <w:hideMark/>
          </w:tcPr>
          <w:p w14:paraId="1B29096F" w14:textId="77777777" w:rsidR="00C72258" w:rsidRPr="00B95A9D" w:rsidRDefault="00C72258" w:rsidP="000A3EA4">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p>
        </w:tc>
        <w:tc>
          <w:tcPr>
            <w:tcW w:w="1408" w:type="dxa"/>
            <w:shd w:val="clear" w:color="auto" w:fill="D9E2F3"/>
            <w:hideMark/>
          </w:tcPr>
          <w:p w14:paraId="105BADFC" w14:textId="77777777" w:rsidR="00C72258" w:rsidRPr="00B95A9D" w:rsidRDefault="00C72258" w:rsidP="000A3EA4">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Cs w:val="20"/>
                <w:lang w:eastAsia="fr-FR" w:bidi="ar-SA"/>
              </w:rPr>
            </w:pPr>
            <w:r w:rsidRPr="00B95A9D">
              <w:rPr>
                <w:rFonts w:asciiTheme="minorHAnsi" w:hAnsiTheme="minorHAnsi" w:cstheme="minorHAnsi"/>
                <w:b/>
                <w:bCs/>
                <w:szCs w:val="20"/>
                <w:lang w:eastAsia="fr-FR" w:bidi="ar-SA"/>
              </w:rPr>
              <w:t>Intensité</w:t>
            </w:r>
          </w:p>
        </w:tc>
        <w:tc>
          <w:tcPr>
            <w:tcW w:w="3633" w:type="dxa"/>
            <w:shd w:val="clear" w:color="auto" w:fill="D9E2F3"/>
          </w:tcPr>
          <w:p w14:paraId="282E5B0A" w14:textId="1BF72298" w:rsidR="00C72258" w:rsidRPr="00B95A9D" w:rsidRDefault="00CB72D7" w:rsidP="000A3EA4">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sidRPr="00CB72D7">
              <w:rPr>
                <w:rFonts w:asciiTheme="minorHAnsi" w:hAnsiTheme="minorHAnsi" w:cstheme="minorHAnsi"/>
                <w:szCs w:val="20"/>
                <w:lang w:eastAsia="fr-FR" w:bidi="ar-SA"/>
              </w:rPr>
              <w:t>Moyenne à forte selon le volume de polluants impliqués.</w:t>
            </w:r>
          </w:p>
        </w:tc>
        <w:tc>
          <w:tcPr>
            <w:tcW w:w="1193" w:type="dxa"/>
            <w:shd w:val="clear" w:color="auto" w:fill="D9E2F3"/>
          </w:tcPr>
          <w:p w14:paraId="156754D8" w14:textId="47D2F8E1" w:rsidR="00C72258" w:rsidRPr="00B95A9D" w:rsidRDefault="00CB72D7" w:rsidP="000A3EA4">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Cs w:val="20"/>
                <w:lang w:eastAsia="fr-FR" w:bidi="ar-SA"/>
              </w:rPr>
            </w:pPr>
            <w:r>
              <w:rPr>
                <w:rFonts w:asciiTheme="minorHAnsi" w:hAnsiTheme="minorHAnsi" w:cstheme="minorHAnsi"/>
                <w:b/>
                <w:bCs/>
                <w:szCs w:val="20"/>
                <w:lang w:eastAsia="fr-FR" w:bidi="ar-SA"/>
              </w:rPr>
              <w:t>Moyenne à forte</w:t>
            </w:r>
          </w:p>
        </w:tc>
      </w:tr>
      <w:tr w:rsidR="00C72258" w:rsidRPr="00B95A9D" w14:paraId="0FCCDDF6" w14:textId="77777777" w:rsidTr="0093062B">
        <w:tc>
          <w:tcPr>
            <w:cnfStyle w:val="001000000000" w:firstRow="0" w:lastRow="0" w:firstColumn="1" w:lastColumn="0" w:oddVBand="0" w:evenVBand="0" w:oddHBand="0" w:evenHBand="0" w:firstRowFirstColumn="0" w:firstRowLastColumn="0" w:lastRowFirstColumn="0" w:lastRowLastColumn="0"/>
            <w:tcW w:w="0" w:type="auto"/>
            <w:vMerge/>
          </w:tcPr>
          <w:p w14:paraId="6F5D8985" w14:textId="77777777" w:rsidR="00C72258" w:rsidRPr="00B95A9D" w:rsidRDefault="00C72258" w:rsidP="000A3EA4">
            <w:pPr>
              <w:rPr>
                <w:rFonts w:asciiTheme="minorHAnsi" w:hAnsiTheme="minorHAnsi" w:cstheme="minorHAnsi"/>
                <w:szCs w:val="20"/>
                <w:lang w:eastAsia="fr-FR" w:bidi="ar-SA"/>
              </w:rPr>
            </w:pPr>
          </w:p>
        </w:tc>
        <w:tc>
          <w:tcPr>
            <w:tcW w:w="7696" w:type="dxa"/>
            <w:gridSpan w:val="4"/>
          </w:tcPr>
          <w:p w14:paraId="7271B8D6" w14:textId="77777777" w:rsidR="00C72258" w:rsidRPr="00B95A9D" w:rsidRDefault="00C72258" w:rsidP="000A3EA4">
            <w:pPr>
              <w:spacing w:before="0" w:after="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Cs w:val="20"/>
                <w:lang w:eastAsia="fr-FR" w:bidi="ar-SA"/>
              </w:rPr>
            </w:pPr>
          </w:p>
        </w:tc>
      </w:tr>
      <w:tr w:rsidR="00C72258" w:rsidRPr="00B95A9D" w14:paraId="7312AB12" w14:textId="77777777" w:rsidTr="0093062B">
        <w:tc>
          <w:tcPr>
            <w:cnfStyle w:val="001000000000" w:firstRow="0" w:lastRow="0" w:firstColumn="1" w:lastColumn="0" w:oddVBand="0" w:evenVBand="0" w:oddHBand="0" w:evenHBand="0" w:firstRowFirstColumn="0" w:firstRowLastColumn="0" w:lastRowFirstColumn="0" w:lastRowLastColumn="0"/>
            <w:tcW w:w="0" w:type="auto"/>
            <w:vMerge/>
          </w:tcPr>
          <w:p w14:paraId="416BCF5A" w14:textId="77777777" w:rsidR="00C72258" w:rsidRPr="00B95A9D" w:rsidRDefault="00C72258" w:rsidP="000A3EA4">
            <w:pPr>
              <w:rPr>
                <w:rFonts w:asciiTheme="minorHAnsi" w:hAnsiTheme="minorHAnsi" w:cstheme="minorHAnsi"/>
                <w:szCs w:val="20"/>
                <w:lang w:eastAsia="fr-FR" w:bidi="ar-SA"/>
              </w:rPr>
            </w:pPr>
          </w:p>
        </w:tc>
        <w:tc>
          <w:tcPr>
            <w:tcW w:w="1462" w:type="dxa"/>
            <w:shd w:val="clear" w:color="auto" w:fill="B4C6E7" w:themeFill="accent1" w:themeFillTint="66"/>
            <w:vAlign w:val="center"/>
          </w:tcPr>
          <w:p w14:paraId="5FFE973F" w14:textId="77777777" w:rsidR="00C72258" w:rsidRPr="00B95A9D" w:rsidRDefault="00C72258" w:rsidP="000A3EA4">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sidRPr="00B95A9D">
              <w:rPr>
                <w:rFonts w:asciiTheme="minorHAnsi" w:hAnsiTheme="minorHAnsi" w:cstheme="minorHAnsi"/>
                <w:b/>
                <w:bCs/>
                <w:szCs w:val="20"/>
              </w:rPr>
              <w:t>Intensité de l’impact</w:t>
            </w:r>
          </w:p>
        </w:tc>
        <w:tc>
          <w:tcPr>
            <w:tcW w:w="1408" w:type="dxa"/>
            <w:shd w:val="clear" w:color="auto" w:fill="B4C6E7" w:themeFill="accent1" w:themeFillTint="66"/>
            <w:vAlign w:val="center"/>
          </w:tcPr>
          <w:p w14:paraId="44FD26C6" w14:textId="77777777" w:rsidR="00C72258" w:rsidRPr="00B95A9D" w:rsidRDefault="00C72258" w:rsidP="000A3EA4">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Cs w:val="20"/>
                <w:lang w:eastAsia="fr-FR" w:bidi="ar-SA"/>
              </w:rPr>
            </w:pPr>
            <w:r w:rsidRPr="00B95A9D">
              <w:rPr>
                <w:rFonts w:asciiTheme="minorHAnsi" w:hAnsiTheme="minorHAnsi" w:cstheme="minorHAnsi"/>
                <w:b/>
                <w:bCs/>
                <w:szCs w:val="20"/>
              </w:rPr>
              <w:t>Récepteurs</w:t>
            </w:r>
          </w:p>
        </w:tc>
        <w:tc>
          <w:tcPr>
            <w:tcW w:w="3633" w:type="dxa"/>
            <w:shd w:val="clear" w:color="auto" w:fill="B4C6E7" w:themeFill="accent1" w:themeFillTint="66"/>
            <w:vAlign w:val="center"/>
          </w:tcPr>
          <w:p w14:paraId="3EC5606F" w14:textId="77777777" w:rsidR="00C72258" w:rsidRPr="00B95A9D" w:rsidRDefault="00C72258" w:rsidP="000A3EA4">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sidRPr="00B95A9D">
              <w:rPr>
                <w:rFonts w:asciiTheme="minorHAnsi" w:hAnsiTheme="minorHAnsi" w:cstheme="minorHAnsi"/>
                <w:b/>
                <w:bCs/>
                <w:szCs w:val="20"/>
              </w:rPr>
              <w:t>Sensibilité</w:t>
            </w:r>
          </w:p>
        </w:tc>
        <w:tc>
          <w:tcPr>
            <w:tcW w:w="1193" w:type="dxa"/>
            <w:shd w:val="clear" w:color="auto" w:fill="B4C6E7" w:themeFill="accent1" w:themeFillTint="66"/>
            <w:vAlign w:val="center"/>
          </w:tcPr>
          <w:p w14:paraId="35114862" w14:textId="77777777" w:rsidR="00C72258" w:rsidRPr="00B95A9D" w:rsidRDefault="00C72258" w:rsidP="000A3EA4">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Cs w:val="20"/>
                <w:lang w:eastAsia="fr-FR" w:bidi="ar-SA"/>
              </w:rPr>
            </w:pPr>
            <w:r w:rsidRPr="00B95A9D">
              <w:rPr>
                <w:rFonts w:asciiTheme="minorHAnsi" w:hAnsiTheme="minorHAnsi" w:cstheme="minorHAnsi"/>
                <w:b/>
                <w:bCs/>
                <w:szCs w:val="20"/>
              </w:rPr>
              <w:t>Importance de l’impact</w:t>
            </w:r>
          </w:p>
        </w:tc>
      </w:tr>
      <w:tr w:rsidR="0093062B" w:rsidRPr="00B95A9D" w14:paraId="7D443684" w14:textId="77777777" w:rsidTr="0093062B">
        <w:tc>
          <w:tcPr>
            <w:cnfStyle w:val="001000000000" w:firstRow="0" w:lastRow="0" w:firstColumn="1" w:lastColumn="0" w:oddVBand="0" w:evenVBand="0" w:oddHBand="0" w:evenHBand="0" w:firstRowFirstColumn="0" w:firstRowLastColumn="0" w:lastRowFirstColumn="0" w:lastRowLastColumn="0"/>
            <w:tcW w:w="0" w:type="auto"/>
            <w:vMerge/>
          </w:tcPr>
          <w:p w14:paraId="2E39B8B7" w14:textId="77777777" w:rsidR="00C72258" w:rsidRPr="00B95A9D" w:rsidRDefault="00C72258" w:rsidP="000A3EA4">
            <w:pPr>
              <w:rPr>
                <w:rFonts w:asciiTheme="minorHAnsi" w:hAnsiTheme="minorHAnsi" w:cstheme="minorHAnsi"/>
                <w:szCs w:val="20"/>
                <w:lang w:eastAsia="fr-FR" w:bidi="ar-SA"/>
              </w:rPr>
            </w:pPr>
          </w:p>
        </w:tc>
        <w:tc>
          <w:tcPr>
            <w:tcW w:w="1462" w:type="dxa"/>
            <w:vAlign w:val="center"/>
          </w:tcPr>
          <w:p w14:paraId="777022F6" w14:textId="7C5B4471" w:rsidR="00C72258" w:rsidRPr="00B95A9D" w:rsidRDefault="00CB72D7" w:rsidP="000A3EA4">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Pr>
                <w:rFonts w:asciiTheme="minorHAnsi" w:hAnsiTheme="minorHAnsi" w:cstheme="minorHAnsi"/>
                <w:szCs w:val="20"/>
                <w:lang w:eastAsia="fr-FR" w:bidi="ar-SA"/>
              </w:rPr>
              <w:t>Moyenne à forte</w:t>
            </w:r>
          </w:p>
        </w:tc>
        <w:tc>
          <w:tcPr>
            <w:tcW w:w="1408" w:type="dxa"/>
            <w:vAlign w:val="center"/>
          </w:tcPr>
          <w:p w14:paraId="23FA3972" w14:textId="62C930D7" w:rsidR="00C72258" w:rsidRPr="00B95A9D" w:rsidRDefault="00CB72D7" w:rsidP="000A3EA4">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Cs w:val="20"/>
                <w:lang w:eastAsia="fr-FR" w:bidi="ar-SA"/>
              </w:rPr>
            </w:pPr>
            <w:r>
              <w:rPr>
                <w:rFonts w:asciiTheme="minorHAnsi" w:hAnsiTheme="minorHAnsi" w:cstheme="minorHAnsi"/>
                <w:b/>
                <w:bCs/>
                <w:szCs w:val="20"/>
                <w:lang w:eastAsia="fr-FR" w:bidi="ar-SA"/>
              </w:rPr>
              <w:t xml:space="preserve">Nappe de </w:t>
            </w:r>
            <w:r w:rsidR="00DE3A69">
              <w:rPr>
                <w:rFonts w:asciiTheme="minorHAnsi" w:hAnsiTheme="minorHAnsi" w:cstheme="minorHAnsi"/>
                <w:b/>
                <w:bCs/>
                <w:szCs w:val="20"/>
                <w:lang w:eastAsia="fr-FR" w:bidi="ar-SA"/>
              </w:rPr>
              <w:t>Haouz</w:t>
            </w:r>
          </w:p>
        </w:tc>
        <w:tc>
          <w:tcPr>
            <w:tcW w:w="3633" w:type="dxa"/>
            <w:vAlign w:val="center"/>
          </w:tcPr>
          <w:p w14:paraId="517A8A7A" w14:textId="6BCFF387" w:rsidR="00C72258" w:rsidRPr="00B95A9D" w:rsidRDefault="00CB72D7" w:rsidP="000A3EA4">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sidRPr="004637C7">
              <w:rPr>
                <w:rFonts w:asciiTheme="minorHAnsi" w:hAnsiTheme="minorHAnsi" w:cstheme="minorHAnsi"/>
                <w:b/>
                <w:bCs/>
                <w:szCs w:val="20"/>
                <w:lang w:eastAsia="fr-FR" w:bidi="ar-SA"/>
              </w:rPr>
              <w:t>Forte </w:t>
            </w:r>
            <w:r>
              <w:rPr>
                <w:rFonts w:asciiTheme="minorHAnsi" w:hAnsiTheme="minorHAnsi" w:cstheme="minorHAnsi"/>
                <w:szCs w:val="20"/>
                <w:lang w:eastAsia="fr-FR" w:bidi="ar-SA"/>
              </w:rPr>
              <w:t>:</w:t>
            </w:r>
            <w:r w:rsidRPr="00CB72D7">
              <w:rPr>
                <w:rFonts w:asciiTheme="minorHAnsi" w:hAnsiTheme="minorHAnsi" w:cstheme="minorHAnsi"/>
                <w:szCs w:val="20"/>
                <w:lang w:eastAsia="fr-FR" w:bidi="ar-SA"/>
              </w:rPr>
              <w:t xml:space="preserve"> nappe du </w:t>
            </w:r>
            <w:r w:rsidR="00F85A7D">
              <w:rPr>
                <w:rFonts w:asciiTheme="minorHAnsi" w:hAnsiTheme="minorHAnsi" w:cstheme="minorHAnsi"/>
                <w:szCs w:val="20"/>
                <w:lang w:eastAsia="fr-FR" w:bidi="ar-SA"/>
              </w:rPr>
              <w:t>Haouz</w:t>
            </w:r>
            <w:r w:rsidRPr="00CB72D7">
              <w:rPr>
                <w:rFonts w:asciiTheme="minorHAnsi" w:hAnsiTheme="minorHAnsi" w:cstheme="minorHAnsi"/>
                <w:szCs w:val="20"/>
                <w:lang w:eastAsia="fr-FR" w:bidi="ar-SA"/>
              </w:rPr>
              <w:t xml:space="preserve"> vulnérable</w:t>
            </w:r>
            <w:r w:rsidR="00F85A7D">
              <w:rPr>
                <w:rFonts w:asciiTheme="minorHAnsi" w:hAnsiTheme="minorHAnsi" w:cstheme="minorHAnsi"/>
                <w:szCs w:val="20"/>
                <w:lang w:eastAsia="fr-FR" w:bidi="ar-SA"/>
              </w:rPr>
              <w:t>.</w:t>
            </w:r>
          </w:p>
        </w:tc>
        <w:tc>
          <w:tcPr>
            <w:tcW w:w="1193" w:type="dxa"/>
            <w:vAlign w:val="center"/>
          </w:tcPr>
          <w:p w14:paraId="651F4FC5" w14:textId="7A409F9F" w:rsidR="00C72258" w:rsidRPr="00B95A9D" w:rsidRDefault="00CB72D7" w:rsidP="000A3EA4">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Cs w:val="20"/>
                <w:lang w:eastAsia="fr-FR" w:bidi="ar-SA"/>
              </w:rPr>
            </w:pPr>
            <w:r>
              <w:rPr>
                <w:rFonts w:asciiTheme="minorHAnsi" w:hAnsiTheme="minorHAnsi" w:cstheme="minorHAnsi"/>
                <w:b/>
                <w:bCs/>
                <w:szCs w:val="20"/>
                <w:lang w:eastAsia="fr-FR" w:bidi="ar-SA"/>
              </w:rPr>
              <w:t>Majeure</w:t>
            </w:r>
          </w:p>
        </w:tc>
      </w:tr>
    </w:tbl>
    <w:p w14:paraId="34385859" w14:textId="765A4AB2" w:rsidR="00DD301A" w:rsidRPr="007003A4" w:rsidRDefault="004A7D4E" w:rsidP="0001633E">
      <w:pPr>
        <w:pStyle w:val="AltTitle2"/>
        <w:numPr>
          <w:ilvl w:val="0"/>
          <w:numId w:val="106"/>
        </w:numPr>
      </w:pPr>
      <w:r w:rsidRPr="004A7D4E">
        <w:t>Perturbation temporaire du drainage et du ruissellement</w:t>
      </w:r>
    </w:p>
    <w:p w14:paraId="6AEE27C9" w14:textId="77777777" w:rsidR="004A7D4E" w:rsidRDefault="004A7D4E" w:rsidP="004A7D4E">
      <w:pPr>
        <w:rPr>
          <w:lang w:eastAsia="fr-FR" w:bidi="ar-SA"/>
        </w:rPr>
      </w:pPr>
      <w:r>
        <w:rPr>
          <w:lang w:eastAsia="fr-FR" w:bidi="ar-SA"/>
        </w:rPr>
        <w:t>La modification du relief et le compactage du sol durant les terrassements peuvent altérer localement le régime naturel de ruissellement, entraînant des concentrations d’eau boueuse ou des écoulements rapides vers certaines zones basses.</w:t>
      </w:r>
    </w:p>
    <w:p w14:paraId="4D793DDC" w14:textId="77777777" w:rsidR="004A7D4E" w:rsidRDefault="004A7D4E" w:rsidP="004A7D4E">
      <w:pPr>
        <w:rPr>
          <w:lang w:eastAsia="fr-FR" w:bidi="ar-SA"/>
        </w:rPr>
      </w:pPr>
      <w:r>
        <w:rPr>
          <w:lang w:eastAsia="fr-FR" w:bidi="ar-SA"/>
        </w:rPr>
        <w:t>L’impact est direct et temporaire, localisé à l’intérieur de l’emprise du chantier. Sa fréquence est occasionnelle, dépendant des pluies. L’intensité est faible, car l’effet est limité dans le temps et maîtrisable par le drainage provisoire.</w:t>
      </w:r>
    </w:p>
    <w:p w14:paraId="3F46F3DE" w14:textId="77777777" w:rsidR="004A7D4E" w:rsidRDefault="004A7D4E" w:rsidP="004A7D4E">
      <w:pPr>
        <w:rPr>
          <w:lang w:eastAsia="fr-FR" w:bidi="ar-SA"/>
        </w:rPr>
      </w:pPr>
      <w:r>
        <w:rPr>
          <w:lang w:eastAsia="fr-FR" w:bidi="ar-SA"/>
        </w:rPr>
        <w:t>Les récepteurs sensibles (réseau interne et fossés d’évacuation) présentent une sensibilité moyenne.</w:t>
      </w:r>
    </w:p>
    <w:p w14:paraId="01A492EB" w14:textId="20066869" w:rsidR="00BF498D" w:rsidRPr="00BF498D" w:rsidRDefault="004A7D4E" w:rsidP="004637C7">
      <w:pPr>
        <w:rPr>
          <w:lang w:eastAsia="fr-FR" w:bidi="ar-SA"/>
        </w:rPr>
      </w:pPr>
      <w:r>
        <w:rPr>
          <w:lang w:eastAsia="fr-FR" w:bidi="ar-SA"/>
        </w:rPr>
        <w:t>L’importance de cet impact est mineure à modérée, temporaire et réversible après nivellement et réhabilitation du profil du terrain.</w:t>
      </w:r>
    </w:p>
    <w:tbl>
      <w:tblPr>
        <w:tblStyle w:val="TableauGrille1Clair-Accentuation111"/>
        <w:tblW w:w="0" w:type="auto"/>
        <w:tblLook w:val="04A0" w:firstRow="1" w:lastRow="0" w:firstColumn="1" w:lastColumn="0" w:noHBand="0" w:noVBand="1"/>
      </w:tblPr>
      <w:tblGrid>
        <w:gridCol w:w="1344"/>
        <w:gridCol w:w="1464"/>
        <w:gridCol w:w="1728"/>
        <w:gridCol w:w="2246"/>
        <w:gridCol w:w="2278"/>
      </w:tblGrid>
      <w:tr w:rsidR="00C72258" w:rsidRPr="00B95A9D" w14:paraId="333B71BC" w14:textId="77777777" w:rsidTr="004637C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089C812F" w14:textId="77777777" w:rsidR="00C72258" w:rsidRPr="00B95A9D" w:rsidRDefault="00C72258" w:rsidP="000A3EA4">
            <w:pPr>
              <w:rPr>
                <w:rFonts w:asciiTheme="minorHAnsi" w:hAnsiTheme="minorHAnsi" w:cstheme="minorHAnsi"/>
                <w:szCs w:val="20"/>
                <w:lang w:eastAsia="fr-FR" w:bidi="ar-SA"/>
              </w:rPr>
            </w:pPr>
            <w:r w:rsidRPr="00B95A9D">
              <w:rPr>
                <w:rFonts w:asciiTheme="minorHAnsi" w:hAnsiTheme="minorHAnsi" w:cstheme="minorHAnsi"/>
                <w:szCs w:val="20"/>
                <w:lang w:eastAsia="fr-FR" w:bidi="ar-SA"/>
              </w:rPr>
              <w:t>Impact</w:t>
            </w:r>
          </w:p>
        </w:tc>
        <w:tc>
          <w:tcPr>
            <w:tcW w:w="0" w:type="dxa"/>
            <w:hideMark/>
          </w:tcPr>
          <w:p w14:paraId="771494E1" w14:textId="77777777" w:rsidR="00C72258" w:rsidRPr="00B95A9D" w:rsidRDefault="00C72258" w:rsidP="000A3EA4">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sidRPr="00B95A9D">
              <w:rPr>
                <w:rFonts w:asciiTheme="minorHAnsi" w:hAnsiTheme="minorHAnsi" w:cstheme="minorHAnsi"/>
                <w:szCs w:val="20"/>
                <w:lang w:eastAsia="fr-FR" w:bidi="ar-SA"/>
              </w:rPr>
              <w:t>Activités génératrices</w:t>
            </w:r>
          </w:p>
        </w:tc>
        <w:tc>
          <w:tcPr>
            <w:tcW w:w="2035" w:type="dxa"/>
            <w:hideMark/>
          </w:tcPr>
          <w:p w14:paraId="6BA06D67" w14:textId="77777777" w:rsidR="00C72258" w:rsidRPr="00B95A9D" w:rsidRDefault="00C72258" w:rsidP="000A3EA4">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sidRPr="00B95A9D">
              <w:rPr>
                <w:rFonts w:asciiTheme="minorHAnsi" w:hAnsiTheme="minorHAnsi" w:cstheme="minorHAnsi"/>
                <w:szCs w:val="20"/>
                <w:lang w:eastAsia="fr-FR" w:bidi="ar-SA"/>
              </w:rPr>
              <w:t>Critère</w:t>
            </w:r>
          </w:p>
        </w:tc>
        <w:tc>
          <w:tcPr>
            <w:tcW w:w="2925" w:type="dxa"/>
            <w:hideMark/>
          </w:tcPr>
          <w:p w14:paraId="0491F764" w14:textId="77777777" w:rsidR="00C72258" w:rsidRPr="00B95A9D" w:rsidRDefault="00C72258" w:rsidP="000A3EA4">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sidRPr="00B95A9D">
              <w:rPr>
                <w:rFonts w:asciiTheme="minorHAnsi" w:hAnsiTheme="minorHAnsi" w:cstheme="minorHAnsi"/>
                <w:szCs w:val="20"/>
                <w:lang w:eastAsia="fr-FR" w:bidi="ar-SA"/>
              </w:rPr>
              <w:t>Justification</w:t>
            </w:r>
          </w:p>
        </w:tc>
        <w:tc>
          <w:tcPr>
            <w:tcW w:w="0" w:type="dxa"/>
            <w:hideMark/>
          </w:tcPr>
          <w:p w14:paraId="6ECC6B40" w14:textId="77777777" w:rsidR="00C72258" w:rsidRPr="00B95A9D" w:rsidRDefault="00C72258" w:rsidP="000A3EA4">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sidRPr="00B95A9D">
              <w:rPr>
                <w:rFonts w:asciiTheme="minorHAnsi" w:hAnsiTheme="minorHAnsi" w:cstheme="minorHAnsi"/>
                <w:szCs w:val="20"/>
                <w:lang w:eastAsia="fr-FR" w:bidi="ar-SA"/>
              </w:rPr>
              <w:t>Niveau</w:t>
            </w:r>
          </w:p>
        </w:tc>
      </w:tr>
      <w:tr w:rsidR="00C72258" w:rsidRPr="00B95A9D" w14:paraId="1C16372A" w14:textId="77777777" w:rsidTr="004637C7">
        <w:tc>
          <w:tcPr>
            <w:cnfStyle w:val="001000000000" w:firstRow="0" w:lastRow="0" w:firstColumn="1" w:lastColumn="0" w:oddVBand="0" w:evenVBand="0" w:oddHBand="0" w:evenHBand="0" w:firstRowFirstColumn="0" w:firstRowLastColumn="0" w:lastRowFirstColumn="0" w:lastRowLastColumn="0"/>
            <w:tcW w:w="0" w:type="auto"/>
            <w:vMerge w:val="restart"/>
          </w:tcPr>
          <w:p w14:paraId="0A86F9F7" w14:textId="6F86635F" w:rsidR="00C72258" w:rsidRPr="00B95A9D" w:rsidRDefault="00BD1F4E" w:rsidP="000A3EA4">
            <w:pPr>
              <w:rPr>
                <w:rFonts w:asciiTheme="minorHAnsi" w:hAnsiTheme="minorHAnsi" w:cstheme="minorHAnsi"/>
                <w:szCs w:val="20"/>
                <w:lang w:eastAsia="fr-FR" w:bidi="ar-SA"/>
              </w:rPr>
            </w:pPr>
            <w:r>
              <w:rPr>
                <w:rFonts w:asciiTheme="minorHAnsi" w:hAnsiTheme="minorHAnsi" w:cstheme="minorHAnsi"/>
                <w:szCs w:val="20"/>
                <w:lang w:eastAsia="fr-FR" w:bidi="ar-SA"/>
              </w:rPr>
              <w:t>Perturbation temporaire du drainage et du ruissellement</w:t>
            </w:r>
          </w:p>
        </w:tc>
        <w:tc>
          <w:tcPr>
            <w:tcW w:w="0" w:type="dxa"/>
            <w:vMerge w:val="restart"/>
          </w:tcPr>
          <w:p w14:paraId="773022D6" w14:textId="6A87687B" w:rsidR="00C72258" w:rsidRPr="00B95A9D" w:rsidRDefault="00BD1F4E" w:rsidP="000A3EA4">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sidRPr="00BD1F4E">
              <w:rPr>
                <w:rFonts w:asciiTheme="minorHAnsi" w:hAnsiTheme="minorHAnsi" w:cstheme="minorHAnsi"/>
                <w:szCs w:val="20"/>
                <w:lang w:eastAsia="fr-FR" w:bidi="ar-SA"/>
              </w:rPr>
              <w:t>Terrassements, compactage du sol, création de remblais, obstruction temporaire des fossés ou drains internes.</w:t>
            </w:r>
          </w:p>
        </w:tc>
        <w:tc>
          <w:tcPr>
            <w:tcW w:w="2035" w:type="dxa"/>
            <w:hideMark/>
          </w:tcPr>
          <w:p w14:paraId="0CB56F18" w14:textId="77777777" w:rsidR="00C72258" w:rsidRPr="00B95A9D" w:rsidRDefault="00C72258" w:rsidP="000A3EA4">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Cs w:val="20"/>
                <w:lang w:eastAsia="fr-FR" w:bidi="ar-SA"/>
              </w:rPr>
            </w:pPr>
            <w:r w:rsidRPr="00B95A9D">
              <w:rPr>
                <w:rFonts w:asciiTheme="minorHAnsi" w:hAnsiTheme="minorHAnsi" w:cstheme="minorHAnsi"/>
                <w:b/>
                <w:bCs/>
                <w:szCs w:val="20"/>
                <w:lang w:eastAsia="fr-FR" w:bidi="ar-SA"/>
              </w:rPr>
              <w:t>Nature</w:t>
            </w:r>
          </w:p>
        </w:tc>
        <w:tc>
          <w:tcPr>
            <w:tcW w:w="4103" w:type="dxa"/>
            <w:gridSpan w:val="2"/>
          </w:tcPr>
          <w:p w14:paraId="2773AF3B" w14:textId="16B5219A" w:rsidR="00C72258" w:rsidRPr="00B95A9D" w:rsidRDefault="00704687" w:rsidP="000A3EA4">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Pr>
                <w:rFonts w:asciiTheme="minorHAnsi" w:hAnsiTheme="minorHAnsi" w:cstheme="minorHAnsi"/>
                <w:szCs w:val="20"/>
                <w:lang w:eastAsia="fr-FR" w:bidi="ar-SA"/>
              </w:rPr>
              <w:t>Indirect négatif</w:t>
            </w:r>
          </w:p>
        </w:tc>
      </w:tr>
      <w:tr w:rsidR="00B002C1" w:rsidRPr="00B95A9D" w14:paraId="1DA945D5" w14:textId="77777777" w:rsidTr="00CD538A">
        <w:tc>
          <w:tcPr>
            <w:cnfStyle w:val="001000000000" w:firstRow="0" w:lastRow="0" w:firstColumn="1" w:lastColumn="0" w:oddVBand="0" w:evenVBand="0" w:oddHBand="0" w:evenHBand="0" w:firstRowFirstColumn="0" w:firstRowLastColumn="0" w:lastRowFirstColumn="0" w:lastRowLastColumn="0"/>
            <w:tcW w:w="0" w:type="auto"/>
            <w:vMerge/>
            <w:hideMark/>
          </w:tcPr>
          <w:p w14:paraId="1B4EF9BC" w14:textId="77777777" w:rsidR="00C72258" w:rsidRPr="00B95A9D" w:rsidRDefault="00C72258" w:rsidP="000A3EA4">
            <w:pPr>
              <w:rPr>
                <w:rFonts w:asciiTheme="minorHAnsi" w:hAnsiTheme="minorHAnsi" w:cstheme="minorHAnsi"/>
                <w:szCs w:val="20"/>
                <w:lang w:eastAsia="fr-FR" w:bidi="ar-SA"/>
              </w:rPr>
            </w:pPr>
          </w:p>
        </w:tc>
        <w:tc>
          <w:tcPr>
            <w:tcW w:w="0" w:type="dxa"/>
            <w:vMerge/>
            <w:hideMark/>
          </w:tcPr>
          <w:p w14:paraId="3FCF72F8" w14:textId="77777777" w:rsidR="00C72258" w:rsidRPr="00B95A9D" w:rsidRDefault="00C72258" w:rsidP="000A3EA4">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p>
        </w:tc>
        <w:tc>
          <w:tcPr>
            <w:tcW w:w="2035" w:type="dxa"/>
            <w:hideMark/>
          </w:tcPr>
          <w:p w14:paraId="147A6D7C" w14:textId="77777777" w:rsidR="00C72258" w:rsidRPr="00B95A9D" w:rsidRDefault="00C72258" w:rsidP="000A3EA4">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Cs w:val="20"/>
                <w:lang w:eastAsia="fr-FR" w:bidi="ar-SA"/>
              </w:rPr>
            </w:pPr>
            <w:r w:rsidRPr="00B95A9D">
              <w:rPr>
                <w:rFonts w:asciiTheme="minorHAnsi" w:hAnsiTheme="minorHAnsi" w:cstheme="minorHAnsi"/>
                <w:b/>
                <w:bCs/>
                <w:szCs w:val="20"/>
                <w:lang w:eastAsia="fr-FR" w:bidi="ar-SA"/>
              </w:rPr>
              <w:t>Étendue</w:t>
            </w:r>
          </w:p>
        </w:tc>
        <w:tc>
          <w:tcPr>
            <w:tcW w:w="2925" w:type="dxa"/>
          </w:tcPr>
          <w:p w14:paraId="37C6FC46" w14:textId="1917CE84" w:rsidR="00C72258" w:rsidRPr="00CD538A" w:rsidRDefault="00BD1F4E" w:rsidP="000A3EA4">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sidRPr="00BD1F4E">
              <w:rPr>
                <w:rFonts w:asciiTheme="minorHAnsi" w:hAnsiTheme="minorHAnsi" w:cstheme="minorHAnsi"/>
                <w:szCs w:val="20"/>
                <w:lang w:eastAsia="fr-FR" w:bidi="ar-SA"/>
              </w:rPr>
              <w:t>Locale, confinée à l’intérieur de l’aéroport.</w:t>
            </w:r>
          </w:p>
        </w:tc>
        <w:tc>
          <w:tcPr>
            <w:tcW w:w="0" w:type="dxa"/>
          </w:tcPr>
          <w:p w14:paraId="67C8D52E" w14:textId="076FB8D9" w:rsidR="00C72258" w:rsidRPr="00B95A9D" w:rsidRDefault="00BD1F4E" w:rsidP="000A3EA4">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Cs w:val="20"/>
                <w:lang w:eastAsia="fr-FR" w:bidi="ar-SA"/>
              </w:rPr>
            </w:pPr>
            <w:r>
              <w:rPr>
                <w:rFonts w:asciiTheme="minorHAnsi" w:hAnsiTheme="minorHAnsi" w:cstheme="minorHAnsi"/>
                <w:b/>
                <w:bCs/>
                <w:szCs w:val="20"/>
                <w:lang w:eastAsia="fr-FR" w:bidi="ar-SA"/>
              </w:rPr>
              <w:t>Locale</w:t>
            </w:r>
          </w:p>
        </w:tc>
      </w:tr>
      <w:tr w:rsidR="00B002C1" w:rsidRPr="00B95A9D" w14:paraId="5CA606BE" w14:textId="77777777" w:rsidTr="00CD538A">
        <w:tc>
          <w:tcPr>
            <w:cnfStyle w:val="001000000000" w:firstRow="0" w:lastRow="0" w:firstColumn="1" w:lastColumn="0" w:oddVBand="0" w:evenVBand="0" w:oddHBand="0" w:evenHBand="0" w:firstRowFirstColumn="0" w:firstRowLastColumn="0" w:lastRowFirstColumn="0" w:lastRowLastColumn="0"/>
            <w:tcW w:w="0" w:type="auto"/>
            <w:vMerge/>
            <w:hideMark/>
          </w:tcPr>
          <w:p w14:paraId="101E2B9C" w14:textId="77777777" w:rsidR="00C72258" w:rsidRPr="00B95A9D" w:rsidRDefault="00C72258" w:rsidP="000A3EA4">
            <w:pPr>
              <w:rPr>
                <w:rFonts w:asciiTheme="minorHAnsi" w:hAnsiTheme="minorHAnsi" w:cstheme="minorHAnsi"/>
                <w:szCs w:val="20"/>
                <w:lang w:eastAsia="fr-FR" w:bidi="ar-SA"/>
              </w:rPr>
            </w:pPr>
          </w:p>
        </w:tc>
        <w:tc>
          <w:tcPr>
            <w:tcW w:w="0" w:type="dxa"/>
            <w:vMerge/>
            <w:hideMark/>
          </w:tcPr>
          <w:p w14:paraId="707BADD3" w14:textId="77777777" w:rsidR="00C72258" w:rsidRPr="00B95A9D" w:rsidRDefault="00C72258" w:rsidP="000A3EA4">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p>
        </w:tc>
        <w:tc>
          <w:tcPr>
            <w:tcW w:w="2035" w:type="dxa"/>
            <w:hideMark/>
          </w:tcPr>
          <w:p w14:paraId="53C873A8" w14:textId="77777777" w:rsidR="00C72258" w:rsidRPr="00B95A9D" w:rsidRDefault="00C72258" w:rsidP="000A3EA4">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Cs w:val="20"/>
                <w:lang w:eastAsia="fr-FR" w:bidi="ar-SA"/>
              </w:rPr>
            </w:pPr>
            <w:r w:rsidRPr="00B95A9D">
              <w:rPr>
                <w:rFonts w:asciiTheme="minorHAnsi" w:hAnsiTheme="minorHAnsi" w:cstheme="minorHAnsi"/>
                <w:b/>
                <w:bCs/>
                <w:szCs w:val="20"/>
                <w:lang w:eastAsia="fr-FR" w:bidi="ar-SA"/>
              </w:rPr>
              <w:t>Durée</w:t>
            </w:r>
          </w:p>
        </w:tc>
        <w:tc>
          <w:tcPr>
            <w:tcW w:w="2925" w:type="dxa"/>
          </w:tcPr>
          <w:p w14:paraId="4C09E58C" w14:textId="5765E9CE" w:rsidR="00C72258" w:rsidRPr="00CD538A" w:rsidRDefault="00BD1F4E" w:rsidP="000A3EA4">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sidRPr="00BD1F4E">
              <w:rPr>
                <w:rFonts w:asciiTheme="minorHAnsi" w:hAnsiTheme="minorHAnsi" w:cstheme="minorHAnsi"/>
                <w:szCs w:val="20"/>
                <w:lang w:eastAsia="fr-FR" w:bidi="ar-SA"/>
              </w:rPr>
              <w:t>Temporaire, limitée à la phase de travaux.</w:t>
            </w:r>
          </w:p>
        </w:tc>
        <w:tc>
          <w:tcPr>
            <w:tcW w:w="0" w:type="dxa"/>
          </w:tcPr>
          <w:p w14:paraId="32B80CD1" w14:textId="522B1DF3" w:rsidR="00C72258" w:rsidRPr="00B95A9D" w:rsidRDefault="00CD538A" w:rsidP="000A3EA4">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Cs w:val="20"/>
                <w:lang w:eastAsia="fr-FR" w:bidi="ar-SA"/>
              </w:rPr>
            </w:pPr>
            <w:r>
              <w:rPr>
                <w:rFonts w:asciiTheme="minorHAnsi" w:hAnsiTheme="minorHAnsi" w:cstheme="minorHAnsi"/>
                <w:b/>
                <w:bCs/>
                <w:szCs w:val="20"/>
                <w:lang w:eastAsia="fr-FR" w:bidi="ar-SA"/>
              </w:rPr>
              <w:t>Court terme</w:t>
            </w:r>
          </w:p>
        </w:tc>
      </w:tr>
      <w:tr w:rsidR="00B002C1" w:rsidRPr="00B95A9D" w14:paraId="06F5F364" w14:textId="77777777" w:rsidTr="00CD538A">
        <w:tc>
          <w:tcPr>
            <w:cnfStyle w:val="001000000000" w:firstRow="0" w:lastRow="0" w:firstColumn="1" w:lastColumn="0" w:oddVBand="0" w:evenVBand="0" w:oddHBand="0" w:evenHBand="0" w:firstRowFirstColumn="0" w:firstRowLastColumn="0" w:lastRowFirstColumn="0" w:lastRowLastColumn="0"/>
            <w:tcW w:w="0" w:type="auto"/>
            <w:vMerge/>
            <w:hideMark/>
          </w:tcPr>
          <w:p w14:paraId="30347908" w14:textId="77777777" w:rsidR="00C72258" w:rsidRPr="00B95A9D" w:rsidRDefault="00C72258" w:rsidP="000A3EA4">
            <w:pPr>
              <w:rPr>
                <w:rFonts w:asciiTheme="minorHAnsi" w:hAnsiTheme="minorHAnsi" w:cstheme="minorHAnsi"/>
                <w:szCs w:val="20"/>
                <w:lang w:eastAsia="fr-FR" w:bidi="ar-SA"/>
              </w:rPr>
            </w:pPr>
          </w:p>
        </w:tc>
        <w:tc>
          <w:tcPr>
            <w:tcW w:w="0" w:type="dxa"/>
            <w:vMerge/>
            <w:hideMark/>
          </w:tcPr>
          <w:p w14:paraId="6813F35B" w14:textId="77777777" w:rsidR="00C72258" w:rsidRPr="00B95A9D" w:rsidRDefault="00C72258" w:rsidP="000A3EA4">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p>
        </w:tc>
        <w:tc>
          <w:tcPr>
            <w:tcW w:w="2035" w:type="dxa"/>
            <w:hideMark/>
          </w:tcPr>
          <w:p w14:paraId="606BE6E3" w14:textId="77777777" w:rsidR="00C72258" w:rsidRPr="00B95A9D" w:rsidRDefault="00C72258" w:rsidP="000A3EA4">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Cs w:val="20"/>
                <w:lang w:eastAsia="fr-FR" w:bidi="ar-SA"/>
              </w:rPr>
            </w:pPr>
            <w:r w:rsidRPr="00B95A9D">
              <w:rPr>
                <w:rFonts w:asciiTheme="minorHAnsi" w:hAnsiTheme="minorHAnsi" w:cstheme="minorHAnsi"/>
                <w:b/>
                <w:bCs/>
                <w:szCs w:val="20"/>
                <w:lang w:eastAsia="fr-FR" w:bidi="ar-SA"/>
              </w:rPr>
              <w:t>Fréquence</w:t>
            </w:r>
          </w:p>
        </w:tc>
        <w:tc>
          <w:tcPr>
            <w:tcW w:w="2925" w:type="dxa"/>
          </w:tcPr>
          <w:p w14:paraId="268583D5" w14:textId="677428B8" w:rsidR="00C72258" w:rsidRPr="00CD538A" w:rsidRDefault="00BD1F4E" w:rsidP="000A3EA4">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sidRPr="00BD1F4E">
              <w:rPr>
                <w:rFonts w:asciiTheme="minorHAnsi" w:hAnsiTheme="minorHAnsi" w:cstheme="minorHAnsi"/>
                <w:szCs w:val="20"/>
                <w:lang w:eastAsia="fr-FR" w:bidi="ar-SA"/>
              </w:rPr>
              <w:t>Occasionnelle, selon les pluies ou curage des fossés.</w:t>
            </w:r>
          </w:p>
        </w:tc>
        <w:tc>
          <w:tcPr>
            <w:tcW w:w="0" w:type="dxa"/>
          </w:tcPr>
          <w:p w14:paraId="6B1F5566" w14:textId="5BCCFA09" w:rsidR="00C72258" w:rsidRPr="00B95A9D" w:rsidRDefault="00BD1F4E" w:rsidP="000A3EA4">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Cs w:val="20"/>
                <w:lang w:eastAsia="fr-FR" w:bidi="ar-SA"/>
              </w:rPr>
            </w:pPr>
            <w:r>
              <w:rPr>
                <w:rFonts w:asciiTheme="minorHAnsi" w:hAnsiTheme="minorHAnsi" w:cstheme="minorHAnsi"/>
                <w:b/>
                <w:bCs/>
                <w:szCs w:val="20"/>
                <w:lang w:eastAsia="fr-FR" w:bidi="ar-SA"/>
              </w:rPr>
              <w:t>Occasionnelle</w:t>
            </w:r>
          </w:p>
        </w:tc>
      </w:tr>
      <w:tr w:rsidR="00BD1F4E" w:rsidRPr="00B95A9D" w14:paraId="7ECBD0E6" w14:textId="77777777" w:rsidTr="00CD538A">
        <w:tc>
          <w:tcPr>
            <w:cnfStyle w:val="001000000000" w:firstRow="0" w:lastRow="0" w:firstColumn="1" w:lastColumn="0" w:oddVBand="0" w:evenVBand="0" w:oddHBand="0" w:evenHBand="0" w:firstRowFirstColumn="0" w:firstRowLastColumn="0" w:lastRowFirstColumn="0" w:lastRowLastColumn="0"/>
            <w:tcW w:w="0" w:type="auto"/>
            <w:vMerge/>
            <w:hideMark/>
          </w:tcPr>
          <w:p w14:paraId="4B49A8DE" w14:textId="77777777" w:rsidR="00C72258" w:rsidRPr="00B95A9D" w:rsidRDefault="00C72258" w:rsidP="000A3EA4">
            <w:pPr>
              <w:rPr>
                <w:rFonts w:asciiTheme="minorHAnsi" w:hAnsiTheme="minorHAnsi" w:cstheme="minorHAnsi"/>
                <w:szCs w:val="20"/>
                <w:lang w:eastAsia="fr-FR" w:bidi="ar-SA"/>
              </w:rPr>
            </w:pPr>
          </w:p>
        </w:tc>
        <w:tc>
          <w:tcPr>
            <w:tcW w:w="0" w:type="dxa"/>
            <w:vMerge/>
            <w:hideMark/>
          </w:tcPr>
          <w:p w14:paraId="63E0261C" w14:textId="77777777" w:rsidR="00C72258" w:rsidRPr="00B95A9D" w:rsidRDefault="00C72258" w:rsidP="000A3EA4">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p>
        </w:tc>
        <w:tc>
          <w:tcPr>
            <w:tcW w:w="2035" w:type="dxa"/>
            <w:shd w:val="clear" w:color="auto" w:fill="D9E2F3"/>
            <w:hideMark/>
          </w:tcPr>
          <w:p w14:paraId="2922FBBB" w14:textId="77777777" w:rsidR="00C72258" w:rsidRPr="00B95A9D" w:rsidRDefault="00C72258" w:rsidP="000A3EA4">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Cs w:val="20"/>
                <w:lang w:eastAsia="fr-FR" w:bidi="ar-SA"/>
              </w:rPr>
            </w:pPr>
            <w:r w:rsidRPr="00B95A9D">
              <w:rPr>
                <w:rFonts w:asciiTheme="minorHAnsi" w:hAnsiTheme="minorHAnsi" w:cstheme="minorHAnsi"/>
                <w:b/>
                <w:bCs/>
                <w:szCs w:val="20"/>
                <w:lang w:eastAsia="fr-FR" w:bidi="ar-SA"/>
              </w:rPr>
              <w:t>Intensité</w:t>
            </w:r>
          </w:p>
        </w:tc>
        <w:tc>
          <w:tcPr>
            <w:tcW w:w="2925" w:type="dxa"/>
            <w:shd w:val="clear" w:color="auto" w:fill="D9E2F3"/>
          </w:tcPr>
          <w:p w14:paraId="3E1FFC91" w14:textId="7FEF57D9" w:rsidR="00C72258" w:rsidRPr="00CD538A" w:rsidRDefault="00BD1F4E" w:rsidP="000A3EA4">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sidRPr="00BD1F4E">
              <w:rPr>
                <w:rFonts w:asciiTheme="minorHAnsi" w:hAnsiTheme="minorHAnsi" w:cstheme="minorHAnsi"/>
                <w:szCs w:val="20"/>
                <w:lang w:eastAsia="fr-FR" w:bidi="ar-SA"/>
              </w:rPr>
              <w:t>Faible, effet réversible après réhabilitation du terrain.</w:t>
            </w:r>
          </w:p>
        </w:tc>
        <w:tc>
          <w:tcPr>
            <w:tcW w:w="0" w:type="dxa"/>
            <w:shd w:val="clear" w:color="auto" w:fill="D9E2F3"/>
          </w:tcPr>
          <w:p w14:paraId="6C291306" w14:textId="3A02B938" w:rsidR="00C72258" w:rsidRPr="00B95A9D" w:rsidRDefault="00CD538A" w:rsidP="000A3EA4">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Cs w:val="20"/>
                <w:lang w:eastAsia="fr-FR" w:bidi="ar-SA"/>
              </w:rPr>
            </w:pPr>
            <w:r>
              <w:rPr>
                <w:rFonts w:asciiTheme="minorHAnsi" w:hAnsiTheme="minorHAnsi" w:cstheme="minorHAnsi"/>
                <w:b/>
                <w:bCs/>
                <w:szCs w:val="20"/>
                <w:lang w:eastAsia="fr-FR" w:bidi="ar-SA"/>
              </w:rPr>
              <w:t>Faible</w:t>
            </w:r>
          </w:p>
        </w:tc>
      </w:tr>
      <w:tr w:rsidR="00C72258" w:rsidRPr="00B95A9D" w14:paraId="5FF53BC5" w14:textId="77777777" w:rsidTr="00CD538A">
        <w:tc>
          <w:tcPr>
            <w:cnfStyle w:val="001000000000" w:firstRow="0" w:lastRow="0" w:firstColumn="1" w:lastColumn="0" w:oddVBand="0" w:evenVBand="0" w:oddHBand="0" w:evenHBand="0" w:firstRowFirstColumn="0" w:firstRowLastColumn="0" w:lastRowFirstColumn="0" w:lastRowLastColumn="0"/>
            <w:tcW w:w="0" w:type="auto"/>
            <w:vMerge/>
          </w:tcPr>
          <w:p w14:paraId="6C1A1458" w14:textId="77777777" w:rsidR="00C72258" w:rsidRPr="00B95A9D" w:rsidRDefault="00C72258" w:rsidP="000A3EA4">
            <w:pPr>
              <w:rPr>
                <w:rFonts w:asciiTheme="minorHAnsi" w:hAnsiTheme="minorHAnsi" w:cstheme="minorHAnsi"/>
                <w:szCs w:val="20"/>
                <w:lang w:eastAsia="fr-FR" w:bidi="ar-SA"/>
              </w:rPr>
            </w:pPr>
          </w:p>
        </w:tc>
        <w:tc>
          <w:tcPr>
            <w:tcW w:w="7962" w:type="dxa"/>
            <w:gridSpan w:val="4"/>
          </w:tcPr>
          <w:p w14:paraId="3F8B597F" w14:textId="77777777" w:rsidR="00C72258" w:rsidRPr="00B95A9D" w:rsidRDefault="00C72258" w:rsidP="000A3EA4">
            <w:pPr>
              <w:spacing w:before="0" w:after="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Cs w:val="20"/>
                <w:lang w:eastAsia="fr-FR" w:bidi="ar-SA"/>
              </w:rPr>
            </w:pPr>
          </w:p>
        </w:tc>
      </w:tr>
      <w:tr w:rsidR="00BD1F4E" w:rsidRPr="00B95A9D" w14:paraId="5482908B" w14:textId="77777777" w:rsidTr="00CD538A">
        <w:tc>
          <w:tcPr>
            <w:cnfStyle w:val="001000000000" w:firstRow="0" w:lastRow="0" w:firstColumn="1" w:lastColumn="0" w:oddVBand="0" w:evenVBand="0" w:oddHBand="0" w:evenHBand="0" w:firstRowFirstColumn="0" w:firstRowLastColumn="0" w:lastRowFirstColumn="0" w:lastRowLastColumn="0"/>
            <w:tcW w:w="0" w:type="auto"/>
            <w:vMerge/>
          </w:tcPr>
          <w:p w14:paraId="5E02DE37" w14:textId="77777777" w:rsidR="00C72258" w:rsidRPr="00B95A9D" w:rsidRDefault="00C72258" w:rsidP="000A3EA4">
            <w:pPr>
              <w:rPr>
                <w:rFonts w:asciiTheme="minorHAnsi" w:hAnsiTheme="minorHAnsi" w:cstheme="minorHAnsi"/>
                <w:szCs w:val="20"/>
                <w:lang w:eastAsia="fr-FR" w:bidi="ar-SA"/>
              </w:rPr>
            </w:pPr>
          </w:p>
        </w:tc>
        <w:tc>
          <w:tcPr>
            <w:tcW w:w="0" w:type="dxa"/>
            <w:shd w:val="clear" w:color="auto" w:fill="B4C6E7" w:themeFill="accent1" w:themeFillTint="66"/>
            <w:vAlign w:val="center"/>
          </w:tcPr>
          <w:p w14:paraId="2F13C22B" w14:textId="77777777" w:rsidR="00C72258" w:rsidRPr="00B95A9D" w:rsidRDefault="00C72258" w:rsidP="000A3EA4">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sidRPr="00B95A9D">
              <w:rPr>
                <w:rFonts w:asciiTheme="minorHAnsi" w:hAnsiTheme="minorHAnsi" w:cstheme="minorHAnsi"/>
                <w:b/>
                <w:bCs/>
                <w:szCs w:val="20"/>
              </w:rPr>
              <w:t>Intensité de l’impact</w:t>
            </w:r>
          </w:p>
        </w:tc>
        <w:tc>
          <w:tcPr>
            <w:tcW w:w="2035" w:type="dxa"/>
            <w:shd w:val="clear" w:color="auto" w:fill="B4C6E7" w:themeFill="accent1" w:themeFillTint="66"/>
            <w:vAlign w:val="center"/>
          </w:tcPr>
          <w:p w14:paraId="240CAB76" w14:textId="77777777" w:rsidR="00C72258" w:rsidRPr="00B95A9D" w:rsidRDefault="00C72258" w:rsidP="000A3EA4">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Cs w:val="20"/>
                <w:lang w:eastAsia="fr-FR" w:bidi="ar-SA"/>
              </w:rPr>
            </w:pPr>
            <w:r w:rsidRPr="00B95A9D">
              <w:rPr>
                <w:rFonts w:asciiTheme="minorHAnsi" w:hAnsiTheme="minorHAnsi" w:cstheme="minorHAnsi"/>
                <w:b/>
                <w:bCs/>
                <w:szCs w:val="20"/>
              </w:rPr>
              <w:t>Récepteurs</w:t>
            </w:r>
          </w:p>
        </w:tc>
        <w:tc>
          <w:tcPr>
            <w:tcW w:w="2925" w:type="dxa"/>
            <w:shd w:val="clear" w:color="auto" w:fill="B4C6E7" w:themeFill="accent1" w:themeFillTint="66"/>
            <w:vAlign w:val="center"/>
          </w:tcPr>
          <w:p w14:paraId="151A9E6B" w14:textId="77777777" w:rsidR="00C72258" w:rsidRPr="00B95A9D" w:rsidRDefault="00C72258" w:rsidP="000A3EA4">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sidRPr="00B95A9D">
              <w:rPr>
                <w:rFonts w:asciiTheme="minorHAnsi" w:hAnsiTheme="minorHAnsi" w:cstheme="minorHAnsi"/>
                <w:b/>
                <w:bCs/>
                <w:szCs w:val="20"/>
              </w:rPr>
              <w:t>Sensibilité</w:t>
            </w:r>
          </w:p>
        </w:tc>
        <w:tc>
          <w:tcPr>
            <w:tcW w:w="0" w:type="dxa"/>
            <w:shd w:val="clear" w:color="auto" w:fill="B4C6E7" w:themeFill="accent1" w:themeFillTint="66"/>
            <w:vAlign w:val="center"/>
          </w:tcPr>
          <w:p w14:paraId="393C2C77" w14:textId="77777777" w:rsidR="00C72258" w:rsidRPr="00B95A9D" w:rsidRDefault="00C72258" w:rsidP="000A3EA4">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Cs w:val="20"/>
                <w:lang w:eastAsia="fr-FR" w:bidi="ar-SA"/>
              </w:rPr>
            </w:pPr>
            <w:r w:rsidRPr="00B95A9D">
              <w:rPr>
                <w:rFonts w:asciiTheme="minorHAnsi" w:hAnsiTheme="minorHAnsi" w:cstheme="minorHAnsi"/>
                <w:b/>
                <w:bCs/>
                <w:szCs w:val="20"/>
              </w:rPr>
              <w:t>Importance de l’impact</w:t>
            </w:r>
          </w:p>
        </w:tc>
      </w:tr>
      <w:tr w:rsidR="00B002C1" w:rsidRPr="00B95A9D" w14:paraId="264C3D90" w14:textId="77777777" w:rsidTr="00CD538A">
        <w:tc>
          <w:tcPr>
            <w:cnfStyle w:val="001000000000" w:firstRow="0" w:lastRow="0" w:firstColumn="1" w:lastColumn="0" w:oddVBand="0" w:evenVBand="0" w:oddHBand="0" w:evenHBand="0" w:firstRowFirstColumn="0" w:firstRowLastColumn="0" w:lastRowFirstColumn="0" w:lastRowLastColumn="0"/>
            <w:tcW w:w="0" w:type="auto"/>
            <w:vMerge/>
          </w:tcPr>
          <w:p w14:paraId="2FF010FE" w14:textId="77777777" w:rsidR="00C72258" w:rsidRPr="00B95A9D" w:rsidRDefault="00C72258" w:rsidP="000A3EA4">
            <w:pPr>
              <w:rPr>
                <w:rFonts w:asciiTheme="minorHAnsi" w:hAnsiTheme="minorHAnsi" w:cstheme="minorHAnsi"/>
                <w:szCs w:val="20"/>
                <w:lang w:eastAsia="fr-FR" w:bidi="ar-SA"/>
              </w:rPr>
            </w:pPr>
          </w:p>
        </w:tc>
        <w:tc>
          <w:tcPr>
            <w:tcW w:w="0" w:type="dxa"/>
            <w:vAlign w:val="center"/>
          </w:tcPr>
          <w:p w14:paraId="27C8BAB7" w14:textId="510A592B" w:rsidR="00C72258" w:rsidRPr="00B95A9D" w:rsidRDefault="00CD538A" w:rsidP="000A3EA4">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Pr>
                <w:rFonts w:asciiTheme="minorHAnsi" w:hAnsiTheme="minorHAnsi" w:cstheme="minorHAnsi"/>
                <w:szCs w:val="20"/>
                <w:lang w:eastAsia="fr-FR" w:bidi="ar-SA"/>
              </w:rPr>
              <w:t>Faible</w:t>
            </w:r>
          </w:p>
        </w:tc>
        <w:tc>
          <w:tcPr>
            <w:tcW w:w="2035" w:type="dxa"/>
            <w:vAlign w:val="center"/>
          </w:tcPr>
          <w:p w14:paraId="5AAFBB2C" w14:textId="1BCF26F0" w:rsidR="00C72258" w:rsidRPr="00B95A9D" w:rsidRDefault="0000293F" w:rsidP="000A3EA4">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Cs w:val="20"/>
                <w:lang w:eastAsia="fr-FR" w:bidi="ar-SA"/>
              </w:rPr>
            </w:pPr>
            <w:r>
              <w:rPr>
                <w:rFonts w:asciiTheme="minorHAnsi" w:hAnsiTheme="minorHAnsi" w:cstheme="minorHAnsi"/>
                <w:b/>
                <w:bCs/>
                <w:szCs w:val="20"/>
                <w:lang w:eastAsia="fr-FR" w:bidi="ar-SA"/>
              </w:rPr>
              <w:t>Réseau de ruissellement interne</w:t>
            </w:r>
          </w:p>
        </w:tc>
        <w:tc>
          <w:tcPr>
            <w:tcW w:w="2925" w:type="dxa"/>
            <w:vAlign w:val="center"/>
          </w:tcPr>
          <w:p w14:paraId="22AC65C5" w14:textId="02A01D28" w:rsidR="00C72258" w:rsidRPr="00B95A9D" w:rsidRDefault="0000293F" w:rsidP="000A3EA4">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sidRPr="004637C7">
              <w:rPr>
                <w:rFonts w:asciiTheme="minorHAnsi" w:hAnsiTheme="minorHAnsi" w:cstheme="minorHAnsi"/>
                <w:b/>
                <w:bCs/>
                <w:szCs w:val="20"/>
                <w:lang w:eastAsia="fr-FR" w:bidi="ar-SA"/>
              </w:rPr>
              <w:t>Moyenne</w:t>
            </w:r>
            <w:r>
              <w:rPr>
                <w:rFonts w:asciiTheme="minorHAnsi" w:hAnsiTheme="minorHAnsi" w:cstheme="minorHAnsi"/>
                <w:szCs w:val="20"/>
                <w:lang w:eastAsia="fr-FR" w:bidi="ar-SA"/>
              </w:rPr>
              <w:t> :</w:t>
            </w:r>
            <w:r w:rsidRPr="0000293F">
              <w:rPr>
                <w:rFonts w:asciiTheme="minorHAnsi" w:hAnsiTheme="minorHAnsi" w:cstheme="minorHAnsi"/>
                <w:szCs w:val="20"/>
                <w:lang w:eastAsia="fr-FR" w:bidi="ar-SA"/>
              </w:rPr>
              <w:t xml:space="preserve"> réseau interne résilient.</w:t>
            </w:r>
          </w:p>
        </w:tc>
        <w:tc>
          <w:tcPr>
            <w:tcW w:w="0" w:type="dxa"/>
            <w:vAlign w:val="center"/>
          </w:tcPr>
          <w:p w14:paraId="4AC907CA" w14:textId="0F0C4C20" w:rsidR="00C72258" w:rsidRPr="00B95A9D" w:rsidRDefault="0000293F" w:rsidP="000A3EA4">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Cs w:val="20"/>
                <w:lang w:eastAsia="fr-FR" w:bidi="ar-SA"/>
              </w:rPr>
            </w:pPr>
            <w:r>
              <w:rPr>
                <w:rFonts w:asciiTheme="minorHAnsi" w:hAnsiTheme="minorHAnsi" w:cstheme="minorHAnsi"/>
                <w:b/>
                <w:bCs/>
                <w:szCs w:val="20"/>
                <w:lang w:eastAsia="fr-FR" w:bidi="ar-SA"/>
              </w:rPr>
              <w:t>Mineure</w:t>
            </w:r>
          </w:p>
        </w:tc>
      </w:tr>
      <w:bookmarkEnd w:id="425"/>
    </w:tbl>
    <w:p w14:paraId="53892061" w14:textId="25151E0F" w:rsidR="002D6F66" w:rsidRDefault="002D6F66">
      <w:pPr>
        <w:pStyle w:val="Style4"/>
        <w:numPr>
          <w:ilvl w:val="0"/>
          <w:numId w:val="0"/>
        </w:numPr>
        <w:spacing w:before="120" w:after="120"/>
      </w:pPr>
      <w:r>
        <w:br w:type="page"/>
      </w:r>
    </w:p>
    <w:p w14:paraId="77205C2A" w14:textId="7D06F8D2" w:rsidR="00551D4F" w:rsidRDefault="002D6F66" w:rsidP="0001633E">
      <w:pPr>
        <w:pStyle w:val="AltTitle2"/>
        <w:numPr>
          <w:ilvl w:val="0"/>
          <w:numId w:val="106"/>
        </w:numPr>
      </w:pPr>
      <w:r w:rsidRPr="002D6F66">
        <w:lastRenderedPageBreak/>
        <w:t xml:space="preserve">Risque </w:t>
      </w:r>
      <w:r>
        <w:t>de f</w:t>
      </w:r>
      <w:r w:rsidRPr="002D6F66">
        <w:t xml:space="preserve">uite accidentelle d’hydrocarbures ou de carburants et contamination de la nappe du </w:t>
      </w:r>
      <w:r w:rsidR="00DE3A69">
        <w:t>Haouz</w:t>
      </w:r>
    </w:p>
    <w:p w14:paraId="213440D6" w14:textId="77777777" w:rsidR="00842E51" w:rsidRDefault="00842E51" w:rsidP="00842E51">
      <w:r>
        <w:t>Pendant la construction, le risque provient du stockage temporaire de carburants, d’huiles et de produits chimiques utilisés pour les engins et les équipements.</w:t>
      </w:r>
    </w:p>
    <w:p w14:paraId="6CA81DF1" w14:textId="4111D3E2" w:rsidR="00842E51" w:rsidRDefault="00842E51" w:rsidP="00842E51">
      <w:r>
        <w:t xml:space="preserve">Une fuite, un débordement ou un mauvais confinement des zones de maintenance pourrait entraîner une infiltration dans le sol puis une migration vers la nappe du </w:t>
      </w:r>
      <w:r w:rsidR="00BD2714">
        <w:t>Haouz</w:t>
      </w:r>
      <w:r>
        <w:t>.</w:t>
      </w:r>
    </w:p>
    <w:p w14:paraId="08919C57" w14:textId="77777777" w:rsidR="00842E51" w:rsidRDefault="00842E51" w:rsidP="00842E51">
      <w:r>
        <w:t>Ce risque est accidentel, sa probabilité dépendant du respect des bonnes pratiques de gestion des produits dangereux.</w:t>
      </w:r>
    </w:p>
    <w:p w14:paraId="55277DC3" w14:textId="77777777" w:rsidR="00842E51" w:rsidRDefault="00842E51" w:rsidP="00842E51">
      <w:r>
        <w:t>La gravité est élevée du fait de la forte vulnérabilité de la nappe, déjà surexploitée.</w:t>
      </w:r>
    </w:p>
    <w:p w14:paraId="6710789B" w14:textId="77777777" w:rsidR="00842E51" w:rsidRDefault="00842E51" w:rsidP="00842E51">
      <w:r>
        <w:t>Les conséquences seraient locales mais durables en l’absence d’intervention rapide.</w:t>
      </w:r>
    </w:p>
    <w:p w14:paraId="5B4CC8F5" w14:textId="7DEFB92F" w:rsidR="00A35E82" w:rsidRDefault="00842E51" w:rsidP="00842E51">
      <w:r>
        <w:t>Les mesures préventives (bacs de rétention, aires étanches, kits anti-pollution, procédures d’urgence) permettent toutefois de réduire le risque à un niveau modéré.</w:t>
      </w:r>
    </w:p>
    <w:tbl>
      <w:tblPr>
        <w:tblStyle w:val="TableauGrille1Clair-Accentuation111"/>
        <w:tblW w:w="0" w:type="auto"/>
        <w:tblLook w:val="04A0" w:firstRow="1" w:lastRow="0" w:firstColumn="1" w:lastColumn="0" w:noHBand="0" w:noVBand="1"/>
      </w:tblPr>
      <w:tblGrid>
        <w:gridCol w:w="2382"/>
        <w:gridCol w:w="2148"/>
        <w:gridCol w:w="1515"/>
        <w:gridCol w:w="2069"/>
        <w:gridCol w:w="946"/>
      </w:tblGrid>
      <w:tr w:rsidR="00842E51" w:rsidRPr="00B95A9D" w14:paraId="1E7FBCA2" w14:textId="77777777" w:rsidTr="005A766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78F12C9D" w14:textId="77777777" w:rsidR="00A35E82" w:rsidRPr="00B95A9D" w:rsidRDefault="00A35E82" w:rsidP="005A7661">
            <w:pPr>
              <w:rPr>
                <w:szCs w:val="20"/>
              </w:rPr>
            </w:pPr>
            <w:r w:rsidRPr="002C2301">
              <w:rPr>
                <w:rFonts w:eastAsiaTheme="majorEastAsia"/>
                <w:szCs w:val="20"/>
              </w:rPr>
              <w:t>Risque</w:t>
            </w:r>
          </w:p>
        </w:tc>
        <w:tc>
          <w:tcPr>
            <w:tcW w:w="0" w:type="auto"/>
          </w:tcPr>
          <w:p w14:paraId="57498748" w14:textId="77777777" w:rsidR="00A35E82" w:rsidRPr="00B95A9D" w:rsidRDefault="00A35E82" w:rsidP="005A7661">
            <w:pPr>
              <w:cnfStyle w:val="100000000000" w:firstRow="1" w:lastRow="0" w:firstColumn="0" w:lastColumn="0" w:oddVBand="0" w:evenVBand="0" w:oddHBand="0" w:evenHBand="0" w:firstRowFirstColumn="0" w:firstRowLastColumn="0" w:lastRowFirstColumn="0" w:lastRowLastColumn="0"/>
              <w:rPr>
                <w:szCs w:val="20"/>
              </w:rPr>
            </w:pPr>
            <w:r w:rsidRPr="002C2301">
              <w:rPr>
                <w:rFonts w:eastAsiaTheme="majorEastAsia"/>
                <w:szCs w:val="20"/>
              </w:rPr>
              <w:t>Activités génératrices</w:t>
            </w:r>
          </w:p>
        </w:tc>
        <w:tc>
          <w:tcPr>
            <w:tcW w:w="0" w:type="auto"/>
          </w:tcPr>
          <w:p w14:paraId="3AD7C5ED" w14:textId="77777777" w:rsidR="00A35E82" w:rsidRPr="00B95A9D" w:rsidRDefault="00A35E82" w:rsidP="005A7661">
            <w:pPr>
              <w:cnfStyle w:val="100000000000" w:firstRow="1" w:lastRow="0" w:firstColumn="0" w:lastColumn="0" w:oddVBand="0" w:evenVBand="0" w:oddHBand="0" w:evenHBand="0" w:firstRowFirstColumn="0" w:firstRowLastColumn="0" w:lastRowFirstColumn="0" w:lastRowLastColumn="0"/>
              <w:rPr>
                <w:szCs w:val="20"/>
              </w:rPr>
            </w:pPr>
            <w:r w:rsidRPr="002C2301">
              <w:rPr>
                <w:rFonts w:eastAsiaTheme="majorEastAsia"/>
                <w:szCs w:val="20"/>
              </w:rPr>
              <w:t>Critère</w:t>
            </w:r>
          </w:p>
        </w:tc>
        <w:tc>
          <w:tcPr>
            <w:tcW w:w="0" w:type="auto"/>
          </w:tcPr>
          <w:p w14:paraId="02D0D6BD" w14:textId="77777777" w:rsidR="00A35E82" w:rsidRPr="00B95A9D" w:rsidRDefault="00A35E82" w:rsidP="005A7661">
            <w:pPr>
              <w:cnfStyle w:val="100000000000" w:firstRow="1" w:lastRow="0" w:firstColumn="0" w:lastColumn="0" w:oddVBand="0" w:evenVBand="0" w:oddHBand="0" w:evenHBand="0" w:firstRowFirstColumn="0" w:firstRowLastColumn="0" w:lastRowFirstColumn="0" w:lastRowLastColumn="0"/>
              <w:rPr>
                <w:szCs w:val="20"/>
              </w:rPr>
            </w:pPr>
            <w:r w:rsidRPr="002C2301">
              <w:rPr>
                <w:rFonts w:eastAsiaTheme="majorEastAsia"/>
                <w:szCs w:val="20"/>
              </w:rPr>
              <w:t>Justification</w:t>
            </w:r>
          </w:p>
        </w:tc>
        <w:tc>
          <w:tcPr>
            <w:tcW w:w="0" w:type="auto"/>
          </w:tcPr>
          <w:p w14:paraId="20CAC8A2" w14:textId="77777777" w:rsidR="00A35E82" w:rsidRPr="00B95A9D" w:rsidRDefault="00A35E82" w:rsidP="005A7661">
            <w:pPr>
              <w:cnfStyle w:val="100000000000" w:firstRow="1" w:lastRow="0" w:firstColumn="0" w:lastColumn="0" w:oddVBand="0" w:evenVBand="0" w:oddHBand="0" w:evenHBand="0" w:firstRowFirstColumn="0" w:firstRowLastColumn="0" w:lastRowFirstColumn="0" w:lastRowLastColumn="0"/>
              <w:rPr>
                <w:szCs w:val="20"/>
              </w:rPr>
            </w:pPr>
            <w:r w:rsidRPr="002C2301">
              <w:rPr>
                <w:rFonts w:eastAsiaTheme="majorEastAsia"/>
                <w:szCs w:val="20"/>
              </w:rPr>
              <w:t>Niveau</w:t>
            </w:r>
          </w:p>
        </w:tc>
      </w:tr>
      <w:tr w:rsidR="00842E51" w:rsidRPr="00B95A9D" w14:paraId="1074A8BA" w14:textId="77777777" w:rsidTr="005A7661">
        <w:tc>
          <w:tcPr>
            <w:cnfStyle w:val="001000000000" w:firstRow="0" w:lastRow="0" w:firstColumn="1" w:lastColumn="0" w:oddVBand="0" w:evenVBand="0" w:oddHBand="0" w:evenHBand="0" w:firstRowFirstColumn="0" w:firstRowLastColumn="0" w:lastRowFirstColumn="0" w:lastRowLastColumn="0"/>
            <w:tcW w:w="0" w:type="auto"/>
            <w:vMerge w:val="restart"/>
          </w:tcPr>
          <w:p w14:paraId="25744BCD" w14:textId="70830592" w:rsidR="00A35E82" w:rsidRPr="00B95A9D" w:rsidRDefault="00A35E82" w:rsidP="005A7661">
            <w:pPr>
              <w:rPr>
                <w:szCs w:val="20"/>
              </w:rPr>
            </w:pPr>
            <w:r w:rsidRPr="00A35E82">
              <w:rPr>
                <w:szCs w:val="20"/>
              </w:rPr>
              <w:t xml:space="preserve">Risque de fuite accidentelle d’hydrocarbures ou de carburants et contamination de la nappe du </w:t>
            </w:r>
            <w:r w:rsidR="006C4857">
              <w:rPr>
                <w:szCs w:val="20"/>
              </w:rPr>
              <w:t>Haouz</w:t>
            </w:r>
          </w:p>
        </w:tc>
        <w:tc>
          <w:tcPr>
            <w:tcW w:w="0" w:type="auto"/>
            <w:vMerge w:val="restart"/>
          </w:tcPr>
          <w:p w14:paraId="798CACBE" w14:textId="6B66D593" w:rsidR="00A35E82" w:rsidRPr="00B95A9D" w:rsidRDefault="00A35E82" w:rsidP="005A7661">
            <w:pPr>
              <w:cnfStyle w:val="000000000000" w:firstRow="0" w:lastRow="0" w:firstColumn="0" w:lastColumn="0" w:oddVBand="0" w:evenVBand="0" w:oddHBand="0" w:evenHBand="0" w:firstRowFirstColumn="0" w:firstRowLastColumn="0" w:lastRowFirstColumn="0" w:lastRowLastColumn="0"/>
              <w:rPr>
                <w:szCs w:val="20"/>
              </w:rPr>
            </w:pPr>
            <w:r w:rsidRPr="00A35E82">
              <w:rPr>
                <w:szCs w:val="20"/>
              </w:rPr>
              <w:t>Stockage temporaire de carburants, maintenance des engins, manipulation d’huiles et produits chimiques.</w:t>
            </w:r>
          </w:p>
        </w:tc>
        <w:tc>
          <w:tcPr>
            <w:tcW w:w="0" w:type="auto"/>
            <w:hideMark/>
          </w:tcPr>
          <w:p w14:paraId="24CBFAD9" w14:textId="77777777" w:rsidR="00A35E82" w:rsidRPr="00B95A9D" w:rsidRDefault="00A35E82" w:rsidP="005A7661">
            <w:pPr>
              <w:cnfStyle w:val="000000000000" w:firstRow="0" w:lastRow="0" w:firstColumn="0" w:lastColumn="0" w:oddVBand="0" w:evenVBand="0" w:oddHBand="0" w:evenHBand="0" w:firstRowFirstColumn="0" w:firstRowLastColumn="0" w:lastRowFirstColumn="0" w:lastRowLastColumn="0"/>
              <w:rPr>
                <w:szCs w:val="20"/>
              </w:rPr>
            </w:pPr>
            <w:r w:rsidRPr="00B95A9D">
              <w:rPr>
                <w:rFonts w:eastAsiaTheme="majorEastAsia"/>
                <w:b/>
                <w:bCs/>
                <w:szCs w:val="20"/>
              </w:rPr>
              <w:t>Probabilité d’occurrence</w:t>
            </w:r>
          </w:p>
        </w:tc>
        <w:tc>
          <w:tcPr>
            <w:tcW w:w="0" w:type="auto"/>
          </w:tcPr>
          <w:p w14:paraId="40631A31" w14:textId="4E5BBDDB" w:rsidR="00A35E82" w:rsidRPr="00B95A9D" w:rsidRDefault="00842E51" w:rsidP="005A7661">
            <w:pPr>
              <w:cnfStyle w:val="000000000000" w:firstRow="0" w:lastRow="0" w:firstColumn="0" w:lastColumn="0" w:oddVBand="0" w:evenVBand="0" w:oddHBand="0" w:evenHBand="0" w:firstRowFirstColumn="0" w:firstRowLastColumn="0" w:lastRowFirstColumn="0" w:lastRowLastColumn="0"/>
              <w:rPr>
                <w:szCs w:val="20"/>
              </w:rPr>
            </w:pPr>
            <w:r>
              <w:rPr>
                <w:szCs w:val="20"/>
              </w:rPr>
              <w:t>Probable</w:t>
            </w:r>
            <w:r w:rsidRPr="00842E51">
              <w:rPr>
                <w:szCs w:val="20"/>
              </w:rPr>
              <w:t xml:space="preserve"> : dépend du respect des procédures de stockage et manutention.</w:t>
            </w:r>
          </w:p>
        </w:tc>
        <w:tc>
          <w:tcPr>
            <w:tcW w:w="0" w:type="auto"/>
          </w:tcPr>
          <w:p w14:paraId="34F0AEF4" w14:textId="62676A47" w:rsidR="00A35E82" w:rsidRPr="00B95A9D" w:rsidRDefault="00842E51" w:rsidP="005A7661">
            <w:pPr>
              <w:cnfStyle w:val="000000000000" w:firstRow="0" w:lastRow="0" w:firstColumn="0" w:lastColumn="0" w:oddVBand="0" w:evenVBand="0" w:oddHBand="0" w:evenHBand="0" w:firstRowFirstColumn="0" w:firstRowLastColumn="0" w:lastRowFirstColumn="0" w:lastRowLastColumn="0"/>
              <w:rPr>
                <w:szCs w:val="20"/>
              </w:rPr>
            </w:pPr>
            <w:r>
              <w:rPr>
                <w:szCs w:val="20"/>
              </w:rPr>
              <w:t>Probable</w:t>
            </w:r>
          </w:p>
        </w:tc>
      </w:tr>
      <w:tr w:rsidR="00842E51" w:rsidRPr="00B95A9D" w14:paraId="506C353F" w14:textId="77777777" w:rsidTr="005A7661">
        <w:tc>
          <w:tcPr>
            <w:cnfStyle w:val="001000000000" w:firstRow="0" w:lastRow="0" w:firstColumn="1" w:lastColumn="0" w:oddVBand="0" w:evenVBand="0" w:oddHBand="0" w:evenHBand="0" w:firstRowFirstColumn="0" w:firstRowLastColumn="0" w:lastRowFirstColumn="0" w:lastRowLastColumn="0"/>
            <w:tcW w:w="0" w:type="auto"/>
            <w:vMerge/>
          </w:tcPr>
          <w:p w14:paraId="66799221" w14:textId="77777777" w:rsidR="00A35E82" w:rsidRPr="00B95A9D" w:rsidRDefault="00A35E82" w:rsidP="005A7661">
            <w:pPr>
              <w:rPr>
                <w:szCs w:val="20"/>
              </w:rPr>
            </w:pPr>
          </w:p>
        </w:tc>
        <w:tc>
          <w:tcPr>
            <w:tcW w:w="0" w:type="auto"/>
            <w:vMerge/>
          </w:tcPr>
          <w:p w14:paraId="60E7DC6B" w14:textId="77777777" w:rsidR="00A35E82" w:rsidRPr="00B95A9D" w:rsidRDefault="00A35E82" w:rsidP="005A7661">
            <w:pPr>
              <w:cnfStyle w:val="000000000000" w:firstRow="0" w:lastRow="0" w:firstColumn="0" w:lastColumn="0" w:oddVBand="0" w:evenVBand="0" w:oddHBand="0" w:evenHBand="0" w:firstRowFirstColumn="0" w:firstRowLastColumn="0" w:lastRowFirstColumn="0" w:lastRowLastColumn="0"/>
              <w:rPr>
                <w:szCs w:val="20"/>
              </w:rPr>
            </w:pPr>
          </w:p>
        </w:tc>
        <w:tc>
          <w:tcPr>
            <w:tcW w:w="0" w:type="auto"/>
            <w:hideMark/>
          </w:tcPr>
          <w:p w14:paraId="39FFEC4F" w14:textId="77777777" w:rsidR="00A35E82" w:rsidRPr="00B95A9D" w:rsidRDefault="00A35E82" w:rsidP="005A7661">
            <w:pPr>
              <w:cnfStyle w:val="000000000000" w:firstRow="0" w:lastRow="0" w:firstColumn="0" w:lastColumn="0" w:oddVBand="0" w:evenVBand="0" w:oddHBand="0" w:evenHBand="0" w:firstRowFirstColumn="0" w:firstRowLastColumn="0" w:lastRowFirstColumn="0" w:lastRowLastColumn="0"/>
              <w:rPr>
                <w:szCs w:val="20"/>
              </w:rPr>
            </w:pPr>
            <w:r w:rsidRPr="00B95A9D">
              <w:rPr>
                <w:rFonts w:eastAsiaTheme="majorEastAsia"/>
                <w:b/>
                <w:bCs/>
                <w:szCs w:val="20"/>
              </w:rPr>
              <w:t>Gravité des conséquences</w:t>
            </w:r>
          </w:p>
        </w:tc>
        <w:tc>
          <w:tcPr>
            <w:tcW w:w="0" w:type="auto"/>
          </w:tcPr>
          <w:p w14:paraId="2A195AB5" w14:textId="3A37A135" w:rsidR="00A35E82" w:rsidRPr="00B95A9D" w:rsidRDefault="00310399" w:rsidP="005A7661">
            <w:pPr>
              <w:cnfStyle w:val="000000000000" w:firstRow="0" w:lastRow="0" w:firstColumn="0" w:lastColumn="0" w:oddVBand="0" w:evenVBand="0" w:oddHBand="0" w:evenHBand="0" w:firstRowFirstColumn="0" w:firstRowLastColumn="0" w:lastRowFirstColumn="0" w:lastRowLastColumn="0"/>
              <w:rPr>
                <w:szCs w:val="20"/>
              </w:rPr>
            </w:pPr>
            <w:r>
              <w:rPr>
                <w:szCs w:val="20"/>
              </w:rPr>
              <w:t>C</w:t>
            </w:r>
            <w:r w:rsidRPr="00310399">
              <w:rPr>
                <w:szCs w:val="20"/>
              </w:rPr>
              <w:t>ontamination durable possible d’une ressource stratégique.</w:t>
            </w:r>
          </w:p>
        </w:tc>
        <w:tc>
          <w:tcPr>
            <w:tcW w:w="0" w:type="auto"/>
          </w:tcPr>
          <w:p w14:paraId="29B99A96" w14:textId="6B853BE3" w:rsidR="00A35E82" w:rsidRPr="00B95A9D" w:rsidRDefault="00310399" w:rsidP="005A7661">
            <w:pPr>
              <w:cnfStyle w:val="000000000000" w:firstRow="0" w:lastRow="0" w:firstColumn="0" w:lastColumn="0" w:oddVBand="0" w:evenVBand="0" w:oddHBand="0" w:evenHBand="0" w:firstRowFirstColumn="0" w:firstRowLastColumn="0" w:lastRowFirstColumn="0" w:lastRowLastColumn="0"/>
              <w:rPr>
                <w:szCs w:val="20"/>
              </w:rPr>
            </w:pPr>
            <w:r>
              <w:rPr>
                <w:szCs w:val="20"/>
              </w:rPr>
              <w:t>Elevé</w:t>
            </w:r>
          </w:p>
        </w:tc>
      </w:tr>
      <w:tr w:rsidR="00842E51" w:rsidRPr="00B95A9D" w14:paraId="2738EA56" w14:textId="77777777" w:rsidTr="005A7661">
        <w:tc>
          <w:tcPr>
            <w:cnfStyle w:val="001000000000" w:firstRow="0" w:lastRow="0" w:firstColumn="1" w:lastColumn="0" w:oddVBand="0" w:evenVBand="0" w:oddHBand="0" w:evenHBand="0" w:firstRowFirstColumn="0" w:firstRowLastColumn="0" w:lastRowFirstColumn="0" w:lastRowLastColumn="0"/>
            <w:tcW w:w="0" w:type="auto"/>
            <w:vMerge/>
          </w:tcPr>
          <w:p w14:paraId="62439A09" w14:textId="77777777" w:rsidR="00A35E82" w:rsidRPr="00B95A9D" w:rsidRDefault="00A35E82" w:rsidP="005A7661">
            <w:pPr>
              <w:rPr>
                <w:szCs w:val="20"/>
              </w:rPr>
            </w:pPr>
          </w:p>
        </w:tc>
        <w:tc>
          <w:tcPr>
            <w:tcW w:w="0" w:type="auto"/>
            <w:vMerge/>
          </w:tcPr>
          <w:p w14:paraId="5679378A" w14:textId="77777777" w:rsidR="00A35E82" w:rsidRPr="00B95A9D" w:rsidRDefault="00A35E82" w:rsidP="005A7661">
            <w:pPr>
              <w:cnfStyle w:val="000000000000" w:firstRow="0" w:lastRow="0" w:firstColumn="0" w:lastColumn="0" w:oddVBand="0" w:evenVBand="0" w:oddHBand="0" w:evenHBand="0" w:firstRowFirstColumn="0" w:firstRowLastColumn="0" w:lastRowFirstColumn="0" w:lastRowLastColumn="0"/>
              <w:rPr>
                <w:szCs w:val="20"/>
              </w:rPr>
            </w:pPr>
          </w:p>
        </w:tc>
        <w:tc>
          <w:tcPr>
            <w:tcW w:w="0" w:type="auto"/>
            <w:hideMark/>
          </w:tcPr>
          <w:p w14:paraId="03549509" w14:textId="77777777" w:rsidR="00A35E82" w:rsidRPr="00B95A9D" w:rsidRDefault="00A35E82" w:rsidP="005A7661">
            <w:pPr>
              <w:cnfStyle w:val="000000000000" w:firstRow="0" w:lastRow="0" w:firstColumn="0" w:lastColumn="0" w:oddVBand="0" w:evenVBand="0" w:oddHBand="0" w:evenHBand="0" w:firstRowFirstColumn="0" w:firstRowLastColumn="0" w:lastRowFirstColumn="0" w:lastRowLastColumn="0"/>
              <w:rPr>
                <w:szCs w:val="20"/>
              </w:rPr>
            </w:pPr>
            <w:r w:rsidRPr="00B95A9D">
              <w:rPr>
                <w:rFonts w:eastAsiaTheme="majorEastAsia"/>
                <w:b/>
                <w:bCs/>
                <w:szCs w:val="20"/>
              </w:rPr>
              <w:t>Évaluation globale du risque</w:t>
            </w:r>
          </w:p>
        </w:tc>
        <w:tc>
          <w:tcPr>
            <w:tcW w:w="0" w:type="auto"/>
          </w:tcPr>
          <w:p w14:paraId="5EE61CF6" w14:textId="206709C4" w:rsidR="00A35E82" w:rsidRPr="00B95A9D" w:rsidRDefault="00310399" w:rsidP="005A7661">
            <w:pPr>
              <w:cnfStyle w:val="000000000000" w:firstRow="0" w:lastRow="0" w:firstColumn="0" w:lastColumn="0" w:oddVBand="0" w:evenVBand="0" w:oddHBand="0" w:evenHBand="0" w:firstRowFirstColumn="0" w:firstRowLastColumn="0" w:lastRowFirstColumn="0" w:lastRowLastColumn="0"/>
              <w:rPr>
                <w:szCs w:val="20"/>
              </w:rPr>
            </w:pPr>
            <w:r>
              <w:rPr>
                <w:szCs w:val="20"/>
              </w:rPr>
              <w:t>E</w:t>
            </w:r>
            <w:r w:rsidRPr="00310399">
              <w:rPr>
                <w:szCs w:val="20"/>
              </w:rPr>
              <w:t>ffets potentiellement graves.</w:t>
            </w:r>
          </w:p>
        </w:tc>
        <w:tc>
          <w:tcPr>
            <w:tcW w:w="0" w:type="auto"/>
          </w:tcPr>
          <w:p w14:paraId="3CF1E708" w14:textId="7D33D88B" w:rsidR="00A35E82" w:rsidRPr="00B95A9D" w:rsidRDefault="00310399" w:rsidP="005A7661">
            <w:pPr>
              <w:cnfStyle w:val="000000000000" w:firstRow="0" w:lastRow="0" w:firstColumn="0" w:lastColumn="0" w:oddVBand="0" w:evenVBand="0" w:oddHBand="0" w:evenHBand="0" w:firstRowFirstColumn="0" w:firstRowLastColumn="0" w:lastRowFirstColumn="0" w:lastRowLastColumn="0"/>
              <w:rPr>
                <w:szCs w:val="20"/>
              </w:rPr>
            </w:pPr>
            <w:r>
              <w:rPr>
                <w:szCs w:val="20"/>
              </w:rPr>
              <w:t>Critique</w:t>
            </w:r>
          </w:p>
        </w:tc>
      </w:tr>
    </w:tbl>
    <w:p w14:paraId="1475C1C3" w14:textId="77777777" w:rsidR="00A35E82" w:rsidRDefault="00A35E82" w:rsidP="004637C7"/>
    <w:p w14:paraId="6C9CCAD5" w14:textId="77777777" w:rsidR="002D6F66" w:rsidRDefault="002D6F66">
      <w:pPr>
        <w:pStyle w:val="Style4"/>
        <w:numPr>
          <w:ilvl w:val="0"/>
          <w:numId w:val="0"/>
        </w:numPr>
        <w:spacing w:before="120" w:after="120"/>
      </w:pPr>
    </w:p>
    <w:p w14:paraId="362EE9C9" w14:textId="77777777" w:rsidR="002D6F66" w:rsidRDefault="002D6F66" w:rsidP="004637C7">
      <w:pPr>
        <w:pStyle w:val="Style4"/>
        <w:numPr>
          <w:ilvl w:val="0"/>
          <w:numId w:val="0"/>
        </w:numPr>
        <w:spacing w:before="120" w:after="120"/>
        <w:sectPr w:rsidR="002D6F66" w:rsidSect="004637C7">
          <w:headerReference w:type="default" r:id="rId116"/>
          <w:footerReference w:type="default" r:id="rId117"/>
          <w:pgSz w:w="11906" w:h="16838"/>
          <w:pgMar w:top="1701" w:right="1418" w:bottom="1276" w:left="1418" w:header="680" w:footer="680" w:gutter="0"/>
          <w:cols w:space="708"/>
          <w:docGrid w:linePitch="360"/>
        </w:sectPr>
      </w:pPr>
    </w:p>
    <w:p w14:paraId="4EABFA29" w14:textId="77777777" w:rsidR="00551D4F" w:rsidRPr="005C40C8" w:rsidRDefault="00551D4F" w:rsidP="004637C7">
      <w:pPr>
        <w:pStyle w:val="Title5"/>
      </w:pPr>
      <w:bookmarkStart w:id="426" w:name="_Hlk210928681"/>
      <w:r>
        <w:lastRenderedPageBreak/>
        <w:t>Mesures d’atténuation</w:t>
      </w:r>
    </w:p>
    <w:p w14:paraId="06705A09" w14:textId="45F1B55C" w:rsidR="00D8053C" w:rsidRDefault="00551D4F" w:rsidP="00551D4F">
      <w:pPr>
        <w:pStyle w:val="Lgende"/>
        <w:rPr>
          <w:lang w:val="fr-FR"/>
        </w:rPr>
      </w:pPr>
      <w:bookmarkStart w:id="427" w:name="_Toc213404371"/>
      <w:r w:rsidRPr="002A0860">
        <w:rPr>
          <w:lang w:val="fr-FR"/>
        </w:rPr>
        <w:t xml:space="preserve">Tableau </w:t>
      </w:r>
      <w:r>
        <w:fldChar w:fldCharType="begin"/>
      </w:r>
      <w:r w:rsidRPr="002A0860">
        <w:rPr>
          <w:lang w:val="fr-FR"/>
        </w:rPr>
        <w:instrText xml:space="preserve"> SEQ Tableau \* ARABIC </w:instrText>
      </w:r>
      <w:r>
        <w:fldChar w:fldCharType="separate"/>
      </w:r>
      <w:r w:rsidR="00274E71">
        <w:rPr>
          <w:noProof/>
          <w:lang w:val="fr-FR"/>
        </w:rPr>
        <w:t>49</w:t>
      </w:r>
      <w:r>
        <w:fldChar w:fldCharType="end"/>
      </w:r>
      <w:r>
        <w:rPr>
          <w:noProof/>
          <w:lang w:val="fr-FR"/>
        </w:rPr>
        <w:t xml:space="preserve">: </w:t>
      </w:r>
      <w:r w:rsidRPr="002A0860">
        <w:rPr>
          <w:lang w:val="fr-FR"/>
        </w:rPr>
        <w:t>Ressource en eau – Mesures d’atténuation en phases de construction</w:t>
      </w:r>
      <w:bookmarkEnd w:id="427"/>
      <w:r w:rsidRPr="002A0860">
        <w:rPr>
          <w:lang w:val="fr-FR"/>
        </w:rPr>
        <w:t xml:space="preserve"> </w:t>
      </w:r>
    </w:p>
    <w:tbl>
      <w:tblPr>
        <w:tblStyle w:val="TableauGrille1Clair-Accentuation111"/>
        <w:tblW w:w="0" w:type="auto"/>
        <w:tblLook w:val="04A0" w:firstRow="1" w:lastRow="0" w:firstColumn="1" w:lastColumn="0" w:noHBand="0" w:noVBand="1"/>
      </w:tblPr>
      <w:tblGrid>
        <w:gridCol w:w="2193"/>
        <w:gridCol w:w="1421"/>
        <w:gridCol w:w="2026"/>
        <w:gridCol w:w="1602"/>
        <w:gridCol w:w="997"/>
        <w:gridCol w:w="1431"/>
        <w:gridCol w:w="717"/>
        <w:gridCol w:w="1497"/>
        <w:gridCol w:w="2250"/>
      </w:tblGrid>
      <w:tr w:rsidR="00023748" w:rsidRPr="00793AB6" w14:paraId="1C087E0C" w14:textId="77777777" w:rsidTr="00003654">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0" w:type="auto"/>
          </w:tcPr>
          <w:bookmarkEnd w:id="426"/>
          <w:p w14:paraId="69C1D236" w14:textId="1DAA74C6" w:rsidR="00003654" w:rsidRPr="004637C7" w:rsidRDefault="00003654" w:rsidP="00003654">
            <w:pPr>
              <w:rPr>
                <w:szCs w:val="20"/>
              </w:rPr>
            </w:pPr>
            <w:r w:rsidRPr="00AA22F2">
              <w:rPr>
                <w:szCs w:val="20"/>
              </w:rPr>
              <w:t>Impact/Risque</w:t>
            </w:r>
          </w:p>
        </w:tc>
        <w:tc>
          <w:tcPr>
            <w:tcW w:w="0" w:type="auto"/>
            <w:hideMark/>
          </w:tcPr>
          <w:p w14:paraId="05C78E02" w14:textId="2C8447C3" w:rsidR="00003654" w:rsidRPr="00AA22F2" w:rsidRDefault="00003654" w:rsidP="00003654">
            <w:pPr>
              <w:cnfStyle w:val="100000000000" w:firstRow="1" w:lastRow="0" w:firstColumn="0" w:lastColumn="0" w:oddVBand="0" w:evenVBand="0" w:oddHBand="0" w:evenHBand="0" w:firstRowFirstColumn="0" w:firstRowLastColumn="0" w:lastRowFirstColumn="0" w:lastRowLastColumn="0"/>
              <w:rPr>
                <w:szCs w:val="20"/>
              </w:rPr>
            </w:pPr>
            <w:r w:rsidRPr="00AA22F2">
              <w:rPr>
                <w:szCs w:val="20"/>
              </w:rPr>
              <w:t>Niveau d’atténuation</w:t>
            </w:r>
          </w:p>
        </w:tc>
        <w:tc>
          <w:tcPr>
            <w:tcW w:w="0" w:type="auto"/>
            <w:hideMark/>
          </w:tcPr>
          <w:p w14:paraId="539F87F7" w14:textId="77777777" w:rsidR="00003654" w:rsidRPr="00AA22F2" w:rsidRDefault="00003654" w:rsidP="00003654">
            <w:pPr>
              <w:cnfStyle w:val="100000000000" w:firstRow="1" w:lastRow="0" w:firstColumn="0" w:lastColumn="0" w:oddVBand="0" w:evenVBand="0" w:oddHBand="0" w:evenHBand="0" w:firstRowFirstColumn="0" w:firstRowLastColumn="0" w:lastRowFirstColumn="0" w:lastRowLastColumn="0"/>
              <w:rPr>
                <w:szCs w:val="20"/>
              </w:rPr>
            </w:pPr>
            <w:r w:rsidRPr="00AA22F2">
              <w:rPr>
                <w:szCs w:val="20"/>
              </w:rPr>
              <w:t>Mesures proposées</w:t>
            </w:r>
          </w:p>
        </w:tc>
        <w:tc>
          <w:tcPr>
            <w:tcW w:w="0" w:type="auto"/>
            <w:hideMark/>
          </w:tcPr>
          <w:p w14:paraId="2A2FF323" w14:textId="77777777" w:rsidR="00003654" w:rsidRPr="00AA22F2" w:rsidRDefault="00003654" w:rsidP="00003654">
            <w:pPr>
              <w:cnfStyle w:val="100000000000" w:firstRow="1" w:lastRow="0" w:firstColumn="0" w:lastColumn="0" w:oddVBand="0" w:evenVBand="0" w:oddHBand="0" w:evenHBand="0" w:firstRowFirstColumn="0" w:firstRowLastColumn="0" w:lastRowFirstColumn="0" w:lastRowLastColumn="0"/>
              <w:rPr>
                <w:szCs w:val="20"/>
              </w:rPr>
            </w:pPr>
            <w:r w:rsidRPr="00AA22F2">
              <w:rPr>
                <w:szCs w:val="20"/>
              </w:rPr>
              <w:t>KPI / Indicateurs</w:t>
            </w:r>
          </w:p>
        </w:tc>
        <w:tc>
          <w:tcPr>
            <w:tcW w:w="0" w:type="auto"/>
            <w:hideMark/>
          </w:tcPr>
          <w:p w14:paraId="0C8F487B" w14:textId="77777777" w:rsidR="00003654" w:rsidRPr="00AA22F2" w:rsidRDefault="00003654" w:rsidP="00003654">
            <w:pPr>
              <w:cnfStyle w:val="100000000000" w:firstRow="1" w:lastRow="0" w:firstColumn="0" w:lastColumn="0" w:oddVBand="0" w:evenVBand="0" w:oddHBand="0" w:evenHBand="0" w:firstRowFirstColumn="0" w:firstRowLastColumn="0" w:lastRowFirstColumn="0" w:lastRowLastColumn="0"/>
              <w:rPr>
                <w:szCs w:val="20"/>
              </w:rPr>
            </w:pPr>
            <w:r w:rsidRPr="00AA22F2">
              <w:rPr>
                <w:szCs w:val="20"/>
              </w:rPr>
              <w:t>Mise en œuvre</w:t>
            </w:r>
          </w:p>
        </w:tc>
        <w:tc>
          <w:tcPr>
            <w:tcW w:w="0" w:type="auto"/>
            <w:hideMark/>
          </w:tcPr>
          <w:p w14:paraId="6FDC4416" w14:textId="77777777" w:rsidR="00003654" w:rsidRPr="00AA22F2" w:rsidRDefault="00003654" w:rsidP="00003654">
            <w:pPr>
              <w:cnfStyle w:val="100000000000" w:firstRow="1" w:lastRow="0" w:firstColumn="0" w:lastColumn="0" w:oddVBand="0" w:evenVBand="0" w:oddHBand="0" w:evenHBand="0" w:firstRowFirstColumn="0" w:firstRowLastColumn="0" w:lastRowFirstColumn="0" w:lastRowLastColumn="0"/>
              <w:rPr>
                <w:szCs w:val="20"/>
              </w:rPr>
            </w:pPr>
            <w:r w:rsidRPr="00AA22F2">
              <w:rPr>
                <w:szCs w:val="20"/>
              </w:rPr>
              <w:t>Surveillance</w:t>
            </w:r>
          </w:p>
        </w:tc>
        <w:tc>
          <w:tcPr>
            <w:tcW w:w="0" w:type="auto"/>
            <w:hideMark/>
          </w:tcPr>
          <w:p w14:paraId="702D030A" w14:textId="77777777" w:rsidR="00003654" w:rsidRPr="00AA22F2" w:rsidRDefault="00003654" w:rsidP="00003654">
            <w:pPr>
              <w:cnfStyle w:val="100000000000" w:firstRow="1" w:lastRow="0" w:firstColumn="0" w:lastColumn="0" w:oddVBand="0" w:evenVBand="0" w:oddHBand="0" w:evenHBand="0" w:firstRowFirstColumn="0" w:firstRowLastColumn="0" w:lastRowFirstColumn="0" w:lastRowLastColumn="0"/>
              <w:rPr>
                <w:szCs w:val="20"/>
              </w:rPr>
            </w:pPr>
            <w:r w:rsidRPr="00AA22F2">
              <w:rPr>
                <w:szCs w:val="20"/>
              </w:rPr>
              <w:t>Suivi</w:t>
            </w:r>
          </w:p>
        </w:tc>
        <w:tc>
          <w:tcPr>
            <w:tcW w:w="0" w:type="auto"/>
            <w:hideMark/>
          </w:tcPr>
          <w:p w14:paraId="09DA8B00" w14:textId="77777777" w:rsidR="00003654" w:rsidRPr="00AA22F2" w:rsidRDefault="00003654" w:rsidP="00003654">
            <w:pPr>
              <w:cnfStyle w:val="100000000000" w:firstRow="1" w:lastRow="0" w:firstColumn="0" w:lastColumn="0" w:oddVBand="0" w:evenVBand="0" w:oddHBand="0" w:evenHBand="0" w:firstRowFirstColumn="0" w:firstRowLastColumn="0" w:lastRowFirstColumn="0" w:lastRowLastColumn="0"/>
              <w:rPr>
                <w:szCs w:val="20"/>
              </w:rPr>
            </w:pPr>
            <w:r w:rsidRPr="00AA22F2">
              <w:rPr>
                <w:szCs w:val="20"/>
              </w:rPr>
              <w:t>Calendrier</w:t>
            </w:r>
          </w:p>
        </w:tc>
        <w:tc>
          <w:tcPr>
            <w:tcW w:w="0" w:type="auto"/>
            <w:hideMark/>
          </w:tcPr>
          <w:p w14:paraId="201335ED" w14:textId="77777777" w:rsidR="00003654" w:rsidRPr="00AA22F2" w:rsidRDefault="00003654" w:rsidP="00003654">
            <w:pPr>
              <w:cnfStyle w:val="100000000000" w:firstRow="1" w:lastRow="0" w:firstColumn="0" w:lastColumn="0" w:oddVBand="0" w:evenVBand="0" w:oddHBand="0" w:evenHBand="0" w:firstRowFirstColumn="0" w:firstRowLastColumn="0" w:lastRowFirstColumn="0" w:lastRowLastColumn="0"/>
              <w:rPr>
                <w:szCs w:val="20"/>
              </w:rPr>
            </w:pPr>
            <w:r w:rsidRPr="00AA22F2">
              <w:rPr>
                <w:szCs w:val="20"/>
              </w:rPr>
              <w:t>Coût</w:t>
            </w:r>
          </w:p>
        </w:tc>
      </w:tr>
      <w:tr w:rsidR="0074600A" w:rsidRPr="008D44BF" w14:paraId="68A98566" w14:textId="77777777" w:rsidTr="00003654">
        <w:tc>
          <w:tcPr>
            <w:cnfStyle w:val="001000000000" w:firstRow="0" w:lastRow="0" w:firstColumn="1" w:lastColumn="0" w:oddVBand="0" w:evenVBand="0" w:oddHBand="0" w:evenHBand="0" w:firstRowFirstColumn="0" w:firstRowLastColumn="0" w:lastRowFirstColumn="0" w:lastRowLastColumn="0"/>
            <w:tcW w:w="0" w:type="auto"/>
            <w:vMerge w:val="restart"/>
          </w:tcPr>
          <w:p w14:paraId="6271C738" w14:textId="6D43F6E0" w:rsidR="0074600A" w:rsidRPr="004637C7" w:rsidRDefault="0074600A" w:rsidP="00003654">
            <w:pPr>
              <w:rPr>
                <w:szCs w:val="20"/>
              </w:rPr>
            </w:pPr>
            <w:r w:rsidRPr="00AA22F2">
              <w:rPr>
                <w:szCs w:val="20"/>
              </w:rPr>
              <w:t>Dégradation temporaire de la qualité des eaux superficielles</w:t>
            </w:r>
          </w:p>
        </w:tc>
        <w:tc>
          <w:tcPr>
            <w:tcW w:w="0" w:type="auto"/>
            <w:hideMark/>
          </w:tcPr>
          <w:p w14:paraId="0CD847A3" w14:textId="4BAA61AB" w:rsidR="0074600A" w:rsidRPr="004637C7" w:rsidRDefault="0074600A" w:rsidP="00003654">
            <w:pPr>
              <w:cnfStyle w:val="000000000000" w:firstRow="0" w:lastRow="0" w:firstColumn="0" w:lastColumn="0" w:oddVBand="0" w:evenVBand="0" w:oddHBand="0" w:evenHBand="0" w:firstRowFirstColumn="0" w:firstRowLastColumn="0" w:lastRowFirstColumn="0" w:lastRowLastColumn="0"/>
              <w:rPr>
                <w:szCs w:val="20"/>
              </w:rPr>
            </w:pPr>
            <w:r w:rsidRPr="004637C7">
              <w:rPr>
                <w:szCs w:val="20"/>
              </w:rPr>
              <w:t>Éviter</w:t>
            </w:r>
          </w:p>
        </w:tc>
        <w:tc>
          <w:tcPr>
            <w:tcW w:w="0" w:type="auto"/>
            <w:hideMark/>
          </w:tcPr>
          <w:p w14:paraId="20191413" w14:textId="1E33541C" w:rsidR="0074600A" w:rsidRPr="00AA22F2" w:rsidRDefault="0074600A" w:rsidP="00003654">
            <w:pPr>
              <w:cnfStyle w:val="000000000000" w:firstRow="0" w:lastRow="0" w:firstColumn="0" w:lastColumn="0" w:oddVBand="0" w:evenVBand="0" w:oddHBand="0" w:evenHBand="0" w:firstRowFirstColumn="0" w:firstRowLastColumn="0" w:lastRowFirstColumn="0" w:lastRowLastColumn="0"/>
              <w:rPr>
                <w:szCs w:val="20"/>
              </w:rPr>
            </w:pPr>
            <w:r w:rsidRPr="00AA22F2">
              <w:rPr>
                <w:szCs w:val="20"/>
              </w:rPr>
              <w:t>Interdire</w:t>
            </w:r>
            <w:r w:rsidRPr="004637C7">
              <w:rPr>
                <w:szCs w:val="20"/>
              </w:rPr>
              <w:t xml:space="preserve"> le rejet direct des eaux de chantier dans le réseau pluvial.</w:t>
            </w:r>
          </w:p>
          <w:p w14:paraId="75BA3A2B" w14:textId="77777777" w:rsidR="0074600A" w:rsidRPr="00AA22F2" w:rsidRDefault="0074600A" w:rsidP="00003654">
            <w:pPr>
              <w:cnfStyle w:val="000000000000" w:firstRow="0" w:lastRow="0" w:firstColumn="0" w:lastColumn="0" w:oddVBand="0" w:evenVBand="0" w:oddHBand="0" w:evenHBand="0" w:firstRowFirstColumn="0" w:firstRowLastColumn="0" w:lastRowFirstColumn="0" w:lastRowLastColumn="0"/>
              <w:rPr>
                <w:szCs w:val="20"/>
              </w:rPr>
            </w:pPr>
            <w:r w:rsidRPr="004637C7">
              <w:rPr>
                <w:szCs w:val="20"/>
              </w:rPr>
              <w:t>Identifier et protéger les zones de collecte naturelles.</w:t>
            </w:r>
          </w:p>
          <w:p w14:paraId="6040F14F" w14:textId="0456699A" w:rsidR="0074600A" w:rsidRPr="004637C7" w:rsidRDefault="0074600A" w:rsidP="00003654">
            <w:pPr>
              <w:cnfStyle w:val="000000000000" w:firstRow="0" w:lastRow="0" w:firstColumn="0" w:lastColumn="0" w:oddVBand="0" w:evenVBand="0" w:oddHBand="0" w:evenHBand="0" w:firstRowFirstColumn="0" w:firstRowLastColumn="0" w:lastRowFirstColumn="0" w:lastRowLastColumn="0"/>
              <w:rPr>
                <w:szCs w:val="20"/>
              </w:rPr>
            </w:pPr>
            <w:r w:rsidRPr="004637C7">
              <w:rPr>
                <w:szCs w:val="20"/>
              </w:rPr>
              <w:t>Interdire le lavage des engins en plein air.</w:t>
            </w:r>
          </w:p>
        </w:tc>
        <w:tc>
          <w:tcPr>
            <w:tcW w:w="0" w:type="auto"/>
            <w:hideMark/>
          </w:tcPr>
          <w:p w14:paraId="36764D46" w14:textId="248E2AC4" w:rsidR="0074600A" w:rsidRPr="004637C7" w:rsidRDefault="0074600A" w:rsidP="00003654">
            <w:pPr>
              <w:cnfStyle w:val="000000000000" w:firstRow="0" w:lastRow="0" w:firstColumn="0" w:lastColumn="0" w:oddVBand="0" w:evenVBand="0" w:oddHBand="0" w:evenHBand="0" w:firstRowFirstColumn="0" w:firstRowLastColumn="0" w:lastRowFirstColumn="0" w:lastRowLastColumn="0"/>
              <w:rPr>
                <w:szCs w:val="20"/>
              </w:rPr>
            </w:pPr>
            <w:r w:rsidRPr="004637C7">
              <w:rPr>
                <w:szCs w:val="20"/>
              </w:rPr>
              <w:t xml:space="preserve">Nombre de rejets directs </w:t>
            </w:r>
          </w:p>
        </w:tc>
        <w:tc>
          <w:tcPr>
            <w:tcW w:w="0" w:type="auto"/>
            <w:hideMark/>
          </w:tcPr>
          <w:p w14:paraId="737F4DA5" w14:textId="77777777" w:rsidR="0074600A" w:rsidRPr="004637C7" w:rsidRDefault="0074600A" w:rsidP="00003654">
            <w:pPr>
              <w:cnfStyle w:val="000000000000" w:firstRow="0" w:lastRow="0" w:firstColumn="0" w:lastColumn="0" w:oddVBand="0" w:evenVBand="0" w:oddHBand="0" w:evenHBand="0" w:firstRowFirstColumn="0" w:firstRowLastColumn="0" w:lastRowFirstColumn="0" w:lastRowLastColumn="0"/>
              <w:rPr>
                <w:szCs w:val="20"/>
              </w:rPr>
            </w:pPr>
            <w:r w:rsidRPr="004637C7">
              <w:rPr>
                <w:szCs w:val="20"/>
              </w:rPr>
              <w:t>EPC / Sous-traitants</w:t>
            </w:r>
          </w:p>
        </w:tc>
        <w:tc>
          <w:tcPr>
            <w:tcW w:w="0" w:type="auto"/>
            <w:hideMark/>
          </w:tcPr>
          <w:p w14:paraId="75D29D43" w14:textId="77777777" w:rsidR="0074600A" w:rsidRPr="004637C7" w:rsidRDefault="0074600A" w:rsidP="00003654">
            <w:pPr>
              <w:cnfStyle w:val="000000000000" w:firstRow="0" w:lastRow="0" w:firstColumn="0" w:lastColumn="0" w:oddVBand="0" w:evenVBand="0" w:oddHBand="0" w:evenHBand="0" w:firstRowFirstColumn="0" w:firstRowLastColumn="0" w:lastRowFirstColumn="0" w:lastRowLastColumn="0"/>
              <w:rPr>
                <w:szCs w:val="20"/>
              </w:rPr>
            </w:pPr>
            <w:r w:rsidRPr="004637C7">
              <w:rPr>
                <w:szCs w:val="20"/>
              </w:rPr>
              <w:t>Bureau de contrôle / Consultant ONDA</w:t>
            </w:r>
          </w:p>
        </w:tc>
        <w:tc>
          <w:tcPr>
            <w:tcW w:w="0" w:type="auto"/>
            <w:hideMark/>
          </w:tcPr>
          <w:p w14:paraId="2BE809F4" w14:textId="77777777" w:rsidR="0074600A" w:rsidRPr="004637C7" w:rsidRDefault="0074600A" w:rsidP="00003654">
            <w:pPr>
              <w:cnfStyle w:val="000000000000" w:firstRow="0" w:lastRow="0" w:firstColumn="0" w:lastColumn="0" w:oddVBand="0" w:evenVBand="0" w:oddHBand="0" w:evenHBand="0" w:firstRowFirstColumn="0" w:firstRowLastColumn="0" w:lastRowFirstColumn="0" w:lastRowLastColumn="0"/>
              <w:rPr>
                <w:szCs w:val="20"/>
              </w:rPr>
            </w:pPr>
            <w:r w:rsidRPr="004637C7">
              <w:rPr>
                <w:szCs w:val="20"/>
              </w:rPr>
              <w:t>ONDA</w:t>
            </w:r>
          </w:p>
        </w:tc>
        <w:tc>
          <w:tcPr>
            <w:tcW w:w="0" w:type="auto"/>
            <w:hideMark/>
          </w:tcPr>
          <w:p w14:paraId="7FD29DCB" w14:textId="77777777" w:rsidR="0074600A" w:rsidRPr="004637C7" w:rsidRDefault="0074600A" w:rsidP="00003654">
            <w:pPr>
              <w:cnfStyle w:val="000000000000" w:firstRow="0" w:lastRow="0" w:firstColumn="0" w:lastColumn="0" w:oddVBand="0" w:evenVBand="0" w:oddHBand="0" w:evenHBand="0" w:firstRowFirstColumn="0" w:firstRowLastColumn="0" w:lastRowFirstColumn="0" w:lastRowLastColumn="0"/>
              <w:rPr>
                <w:szCs w:val="20"/>
              </w:rPr>
            </w:pPr>
            <w:r w:rsidRPr="004637C7">
              <w:rPr>
                <w:szCs w:val="20"/>
              </w:rPr>
              <w:t>Avant et pendant les travaux</w:t>
            </w:r>
          </w:p>
        </w:tc>
        <w:tc>
          <w:tcPr>
            <w:tcW w:w="0" w:type="auto"/>
            <w:hideMark/>
          </w:tcPr>
          <w:p w14:paraId="4DFC71E0" w14:textId="3A70E1DC" w:rsidR="0074600A" w:rsidRPr="004637C7" w:rsidRDefault="0074600A" w:rsidP="00003654">
            <w:pPr>
              <w:cnfStyle w:val="000000000000" w:firstRow="0" w:lastRow="0" w:firstColumn="0" w:lastColumn="0" w:oddVBand="0" w:evenVBand="0" w:oddHBand="0" w:evenHBand="0" w:firstRowFirstColumn="0" w:firstRowLastColumn="0" w:lastRowFirstColumn="0" w:lastRowLastColumn="0"/>
              <w:rPr>
                <w:szCs w:val="20"/>
              </w:rPr>
            </w:pPr>
            <w:r w:rsidRPr="00AA22F2">
              <w:rPr>
                <w:szCs w:val="20"/>
              </w:rPr>
              <w:t>Aucun coût spécifique</w:t>
            </w:r>
          </w:p>
        </w:tc>
      </w:tr>
      <w:tr w:rsidR="0074600A" w:rsidRPr="008D44BF" w14:paraId="21F84335" w14:textId="77777777" w:rsidTr="007D6D8B">
        <w:trPr>
          <w:trHeight w:val="1000"/>
        </w:trPr>
        <w:tc>
          <w:tcPr>
            <w:cnfStyle w:val="001000000000" w:firstRow="0" w:lastRow="0" w:firstColumn="1" w:lastColumn="0" w:oddVBand="0" w:evenVBand="0" w:oddHBand="0" w:evenHBand="0" w:firstRowFirstColumn="0" w:firstRowLastColumn="0" w:lastRowFirstColumn="0" w:lastRowLastColumn="0"/>
            <w:tcW w:w="0" w:type="auto"/>
            <w:vMerge/>
          </w:tcPr>
          <w:p w14:paraId="5E6A944B" w14:textId="77777777" w:rsidR="0074600A" w:rsidRPr="00AA22F2" w:rsidRDefault="0074600A" w:rsidP="00003654">
            <w:pPr>
              <w:rPr>
                <w:b w:val="0"/>
                <w:bCs w:val="0"/>
                <w:szCs w:val="20"/>
              </w:rPr>
            </w:pPr>
          </w:p>
        </w:tc>
        <w:tc>
          <w:tcPr>
            <w:tcW w:w="0" w:type="auto"/>
            <w:vMerge w:val="restart"/>
            <w:hideMark/>
          </w:tcPr>
          <w:p w14:paraId="4A6F90E4" w14:textId="41F490FA" w:rsidR="0074600A" w:rsidRPr="004637C7" w:rsidRDefault="0074600A" w:rsidP="00003654">
            <w:pPr>
              <w:cnfStyle w:val="000000000000" w:firstRow="0" w:lastRow="0" w:firstColumn="0" w:lastColumn="0" w:oddVBand="0" w:evenVBand="0" w:oddHBand="0" w:evenHBand="0" w:firstRowFirstColumn="0" w:firstRowLastColumn="0" w:lastRowFirstColumn="0" w:lastRowLastColumn="0"/>
              <w:rPr>
                <w:szCs w:val="20"/>
              </w:rPr>
            </w:pPr>
            <w:r w:rsidRPr="004637C7">
              <w:rPr>
                <w:szCs w:val="20"/>
              </w:rPr>
              <w:t>Réduire</w:t>
            </w:r>
          </w:p>
        </w:tc>
        <w:tc>
          <w:tcPr>
            <w:tcW w:w="0" w:type="auto"/>
            <w:tcBorders>
              <w:bottom w:val="single" w:sz="4" w:space="0" w:color="B4C6E7" w:themeColor="accent1" w:themeTint="66"/>
            </w:tcBorders>
            <w:hideMark/>
          </w:tcPr>
          <w:p w14:paraId="351657D1" w14:textId="685A4E22" w:rsidR="0074600A" w:rsidRPr="004637C7" w:rsidRDefault="0074600A" w:rsidP="00003654">
            <w:pPr>
              <w:cnfStyle w:val="000000000000" w:firstRow="0" w:lastRow="0" w:firstColumn="0" w:lastColumn="0" w:oddVBand="0" w:evenVBand="0" w:oddHBand="0" w:evenHBand="0" w:firstRowFirstColumn="0" w:firstRowLastColumn="0" w:lastRowFirstColumn="0" w:lastRowLastColumn="0"/>
              <w:rPr>
                <w:szCs w:val="20"/>
              </w:rPr>
            </w:pPr>
            <w:r w:rsidRPr="004637C7">
              <w:rPr>
                <w:szCs w:val="20"/>
              </w:rPr>
              <w:t>Mettre en place des bassins de décantation pour les eaux boueuses.</w:t>
            </w:r>
          </w:p>
        </w:tc>
        <w:tc>
          <w:tcPr>
            <w:tcW w:w="0" w:type="auto"/>
            <w:vMerge w:val="restart"/>
            <w:hideMark/>
          </w:tcPr>
          <w:p w14:paraId="3533B05D" w14:textId="77777777" w:rsidR="0074600A" w:rsidRPr="004637C7" w:rsidRDefault="0074600A" w:rsidP="00003654">
            <w:pPr>
              <w:cnfStyle w:val="000000000000" w:firstRow="0" w:lastRow="0" w:firstColumn="0" w:lastColumn="0" w:oddVBand="0" w:evenVBand="0" w:oddHBand="0" w:evenHBand="0" w:firstRowFirstColumn="0" w:firstRowLastColumn="0" w:lastRowFirstColumn="0" w:lastRowLastColumn="0"/>
              <w:rPr>
                <w:szCs w:val="20"/>
              </w:rPr>
            </w:pPr>
            <w:r w:rsidRPr="004637C7">
              <w:rPr>
                <w:szCs w:val="20"/>
              </w:rPr>
              <w:t>Nombre de bassins / efficacité décantation</w:t>
            </w:r>
          </w:p>
        </w:tc>
        <w:tc>
          <w:tcPr>
            <w:tcW w:w="0" w:type="auto"/>
            <w:vMerge w:val="restart"/>
            <w:hideMark/>
          </w:tcPr>
          <w:p w14:paraId="1B01A58C" w14:textId="77777777" w:rsidR="0074600A" w:rsidRPr="004637C7" w:rsidRDefault="0074600A" w:rsidP="00003654">
            <w:pPr>
              <w:cnfStyle w:val="000000000000" w:firstRow="0" w:lastRow="0" w:firstColumn="0" w:lastColumn="0" w:oddVBand="0" w:evenVBand="0" w:oddHBand="0" w:evenHBand="0" w:firstRowFirstColumn="0" w:firstRowLastColumn="0" w:lastRowFirstColumn="0" w:lastRowLastColumn="0"/>
              <w:rPr>
                <w:szCs w:val="20"/>
              </w:rPr>
            </w:pPr>
            <w:r w:rsidRPr="004637C7">
              <w:rPr>
                <w:szCs w:val="20"/>
              </w:rPr>
              <w:t>EPC / Sous-traitants</w:t>
            </w:r>
          </w:p>
        </w:tc>
        <w:tc>
          <w:tcPr>
            <w:tcW w:w="0" w:type="auto"/>
            <w:vMerge w:val="restart"/>
            <w:hideMark/>
          </w:tcPr>
          <w:p w14:paraId="2938A375" w14:textId="77777777" w:rsidR="0074600A" w:rsidRPr="004637C7" w:rsidRDefault="0074600A" w:rsidP="00003654">
            <w:pPr>
              <w:cnfStyle w:val="000000000000" w:firstRow="0" w:lastRow="0" w:firstColumn="0" w:lastColumn="0" w:oddVBand="0" w:evenVBand="0" w:oddHBand="0" w:evenHBand="0" w:firstRowFirstColumn="0" w:firstRowLastColumn="0" w:lastRowFirstColumn="0" w:lastRowLastColumn="0"/>
              <w:rPr>
                <w:szCs w:val="20"/>
              </w:rPr>
            </w:pPr>
            <w:r w:rsidRPr="004637C7">
              <w:rPr>
                <w:szCs w:val="20"/>
              </w:rPr>
              <w:t>Bureau de contrôle / Consultant ONDA</w:t>
            </w:r>
          </w:p>
        </w:tc>
        <w:tc>
          <w:tcPr>
            <w:tcW w:w="0" w:type="auto"/>
            <w:vMerge w:val="restart"/>
            <w:hideMark/>
          </w:tcPr>
          <w:p w14:paraId="7CE390CC" w14:textId="77777777" w:rsidR="0074600A" w:rsidRPr="004637C7" w:rsidRDefault="0074600A" w:rsidP="00003654">
            <w:pPr>
              <w:cnfStyle w:val="000000000000" w:firstRow="0" w:lastRow="0" w:firstColumn="0" w:lastColumn="0" w:oddVBand="0" w:evenVBand="0" w:oddHBand="0" w:evenHBand="0" w:firstRowFirstColumn="0" w:firstRowLastColumn="0" w:lastRowFirstColumn="0" w:lastRowLastColumn="0"/>
              <w:rPr>
                <w:szCs w:val="20"/>
              </w:rPr>
            </w:pPr>
            <w:r w:rsidRPr="004637C7">
              <w:rPr>
                <w:szCs w:val="20"/>
              </w:rPr>
              <w:t>ONDA</w:t>
            </w:r>
          </w:p>
        </w:tc>
        <w:tc>
          <w:tcPr>
            <w:tcW w:w="0" w:type="auto"/>
            <w:vMerge w:val="restart"/>
            <w:hideMark/>
          </w:tcPr>
          <w:p w14:paraId="4136E562" w14:textId="77777777" w:rsidR="0074600A" w:rsidRPr="004637C7" w:rsidRDefault="0074600A" w:rsidP="00003654">
            <w:pPr>
              <w:cnfStyle w:val="000000000000" w:firstRow="0" w:lastRow="0" w:firstColumn="0" w:lastColumn="0" w:oddVBand="0" w:evenVBand="0" w:oddHBand="0" w:evenHBand="0" w:firstRowFirstColumn="0" w:firstRowLastColumn="0" w:lastRowFirstColumn="0" w:lastRowLastColumn="0"/>
              <w:rPr>
                <w:szCs w:val="20"/>
              </w:rPr>
            </w:pPr>
            <w:r w:rsidRPr="004637C7">
              <w:rPr>
                <w:szCs w:val="20"/>
              </w:rPr>
              <w:t>Continue</w:t>
            </w:r>
          </w:p>
        </w:tc>
        <w:tc>
          <w:tcPr>
            <w:tcW w:w="0" w:type="auto"/>
            <w:tcBorders>
              <w:bottom w:val="single" w:sz="4" w:space="0" w:color="B4C6E7" w:themeColor="accent1" w:themeTint="66"/>
            </w:tcBorders>
            <w:hideMark/>
          </w:tcPr>
          <w:p w14:paraId="720AC36E" w14:textId="12D27C41" w:rsidR="0074600A" w:rsidRPr="004637C7" w:rsidRDefault="0074600A" w:rsidP="00003654">
            <w:pPr>
              <w:cnfStyle w:val="000000000000" w:firstRow="0" w:lastRow="0" w:firstColumn="0" w:lastColumn="0" w:oddVBand="0" w:evenVBand="0" w:oddHBand="0" w:evenHBand="0" w:firstRowFirstColumn="0" w:firstRowLastColumn="0" w:lastRowFirstColumn="0" w:lastRowLastColumn="0"/>
              <w:rPr>
                <w:szCs w:val="20"/>
              </w:rPr>
            </w:pPr>
            <w:r w:rsidRPr="007D6D8B">
              <w:rPr>
                <w:szCs w:val="20"/>
              </w:rPr>
              <w:t>≈ 15 000 – 20 000 MAD (forfait)</w:t>
            </w:r>
            <w:r>
              <w:rPr>
                <w:szCs w:val="20"/>
              </w:rPr>
              <w:t xml:space="preserve"> pour </w:t>
            </w:r>
            <w:r w:rsidRPr="007D6D8B">
              <w:rPr>
                <w:szCs w:val="20"/>
              </w:rPr>
              <w:t>50 m³ de capacité.</w:t>
            </w:r>
            <w:r>
              <w:rPr>
                <w:szCs w:val="20"/>
              </w:rPr>
              <w:t xml:space="preserve">  - </w:t>
            </w:r>
            <w:r w:rsidRPr="007D6D8B">
              <w:rPr>
                <w:szCs w:val="20"/>
              </w:rPr>
              <w:t>Coût moyen : 300 – 400 MAD/m³</w:t>
            </w:r>
          </w:p>
        </w:tc>
      </w:tr>
      <w:tr w:rsidR="0074600A" w:rsidRPr="008D44BF" w14:paraId="44EC13BD" w14:textId="77777777" w:rsidTr="005A7661">
        <w:trPr>
          <w:trHeight w:val="947"/>
        </w:trPr>
        <w:tc>
          <w:tcPr>
            <w:cnfStyle w:val="001000000000" w:firstRow="0" w:lastRow="0" w:firstColumn="1" w:lastColumn="0" w:oddVBand="0" w:evenVBand="0" w:oddHBand="0" w:evenHBand="0" w:firstRowFirstColumn="0" w:firstRowLastColumn="0" w:lastRowFirstColumn="0" w:lastRowLastColumn="0"/>
            <w:tcW w:w="0" w:type="auto"/>
            <w:vMerge/>
          </w:tcPr>
          <w:p w14:paraId="07FFC983" w14:textId="77777777" w:rsidR="0074600A" w:rsidRPr="00AA22F2" w:rsidRDefault="0074600A" w:rsidP="00003654">
            <w:pPr>
              <w:rPr>
                <w:b w:val="0"/>
                <w:bCs w:val="0"/>
                <w:szCs w:val="20"/>
              </w:rPr>
            </w:pPr>
          </w:p>
        </w:tc>
        <w:tc>
          <w:tcPr>
            <w:tcW w:w="0" w:type="auto"/>
            <w:vMerge/>
          </w:tcPr>
          <w:p w14:paraId="7AE26BE5" w14:textId="77777777" w:rsidR="0074600A" w:rsidRPr="004637C7" w:rsidRDefault="0074600A" w:rsidP="00003654">
            <w:pPr>
              <w:cnfStyle w:val="000000000000" w:firstRow="0" w:lastRow="0" w:firstColumn="0" w:lastColumn="0" w:oddVBand="0" w:evenVBand="0" w:oddHBand="0" w:evenHBand="0" w:firstRowFirstColumn="0" w:firstRowLastColumn="0" w:lastRowFirstColumn="0" w:lastRowLastColumn="0"/>
              <w:rPr>
                <w:szCs w:val="20"/>
              </w:rPr>
            </w:pPr>
          </w:p>
        </w:tc>
        <w:tc>
          <w:tcPr>
            <w:tcW w:w="0" w:type="auto"/>
            <w:vMerge w:val="restart"/>
            <w:tcBorders>
              <w:top w:val="single" w:sz="4" w:space="0" w:color="B4C6E7" w:themeColor="accent1" w:themeTint="66"/>
            </w:tcBorders>
          </w:tcPr>
          <w:p w14:paraId="5B523111" w14:textId="3EC88273" w:rsidR="0074600A" w:rsidRPr="004637C7" w:rsidRDefault="0074600A" w:rsidP="007D6D8B">
            <w:pPr>
              <w:cnfStyle w:val="000000000000" w:firstRow="0" w:lastRow="0" w:firstColumn="0" w:lastColumn="0" w:oddVBand="0" w:evenVBand="0" w:oddHBand="0" w:evenHBand="0" w:firstRowFirstColumn="0" w:firstRowLastColumn="0" w:lastRowFirstColumn="0" w:lastRowLastColumn="0"/>
              <w:rPr>
                <w:szCs w:val="20"/>
              </w:rPr>
            </w:pPr>
            <w:r w:rsidRPr="004637C7">
              <w:rPr>
                <w:szCs w:val="20"/>
              </w:rPr>
              <w:t>Installer des barrières filtrantes ou paillages temporaires.</w:t>
            </w:r>
          </w:p>
        </w:tc>
        <w:tc>
          <w:tcPr>
            <w:tcW w:w="0" w:type="auto"/>
            <w:vMerge/>
          </w:tcPr>
          <w:p w14:paraId="7B314332" w14:textId="77777777" w:rsidR="0074600A" w:rsidRPr="004637C7" w:rsidRDefault="0074600A" w:rsidP="00003654">
            <w:pPr>
              <w:cnfStyle w:val="000000000000" w:firstRow="0" w:lastRow="0" w:firstColumn="0" w:lastColumn="0" w:oddVBand="0" w:evenVBand="0" w:oddHBand="0" w:evenHBand="0" w:firstRowFirstColumn="0" w:firstRowLastColumn="0" w:lastRowFirstColumn="0" w:lastRowLastColumn="0"/>
              <w:rPr>
                <w:szCs w:val="20"/>
              </w:rPr>
            </w:pPr>
          </w:p>
        </w:tc>
        <w:tc>
          <w:tcPr>
            <w:tcW w:w="0" w:type="auto"/>
            <w:vMerge/>
          </w:tcPr>
          <w:p w14:paraId="2BEBD631" w14:textId="77777777" w:rsidR="0074600A" w:rsidRPr="004637C7" w:rsidRDefault="0074600A" w:rsidP="00003654">
            <w:pPr>
              <w:cnfStyle w:val="000000000000" w:firstRow="0" w:lastRow="0" w:firstColumn="0" w:lastColumn="0" w:oddVBand="0" w:evenVBand="0" w:oddHBand="0" w:evenHBand="0" w:firstRowFirstColumn="0" w:firstRowLastColumn="0" w:lastRowFirstColumn="0" w:lastRowLastColumn="0"/>
              <w:rPr>
                <w:szCs w:val="20"/>
              </w:rPr>
            </w:pPr>
          </w:p>
        </w:tc>
        <w:tc>
          <w:tcPr>
            <w:tcW w:w="0" w:type="auto"/>
            <w:vMerge/>
          </w:tcPr>
          <w:p w14:paraId="1184E78D" w14:textId="77777777" w:rsidR="0074600A" w:rsidRPr="004637C7" w:rsidRDefault="0074600A" w:rsidP="00003654">
            <w:pPr>
              <w:cnfStyle w:val="000000000000" w:firstRow="0" w:lastRow="0" w:firstColumn="0" w:lastColumn="0" w:oddVBand="0" w:evenVBand="0" w:oddHBand="0" w:evenHBand="0" w:firstRowFirstColumn="0" w:firstRowLastColumn="0" w:lastRowFirstColumn="0" w:lastRowLastColumn="0"/>
              <w:rPr>
                <w:szCs w:val="20"/>
              </w:rPr>
            </w:pPr>
          </w:p>
        </w:tc>
        <w:tc>
          <w:tcPr>
            <w:tcW w:w="0" w:type="auto"/>
            <w:vMerge/>
          </w:tcPr>
          <w:p w14:paraId="32B3C638" w14:textId="77777777" w:rsidR="0074600A" w:rsidRPr="004637C7" w:rsidRDefault="0074600A" w:rsidP="00003654">
            <w:pPr>
              <w:cnfStyle w:val="000000000000" w:firstRow="0" w:lastRow="0" w:firstColumn="0" w:lastColumn="0" w:oddVBand="0" w:evenVBand="0" w:oddHBand="0" w:evenHBand="0" w:firstRowFirstColumn="0" w:firstRowLastColumn="0" w:lastRowFirstColumn="0" w:lastRowLastColumn="0"/>
              <w:rPr>
                <w:szCs w:val="20"/>
              </w:rPr>
            </w:pPr>
          </w:p>
        </w:tc>
        <w:tc>
          <w:tcPr>
            <w:tcW w:w="0" w:type="auto"/>
            <w:vMerge/>
          </w:tcPr>
          <w:p w14:paraId="35C81C73" w14:textId="77777777" w:rsidR="0074600A" w:rsidRPr="004637C7" w:rsidRDefault="0074600A" w:rsidP="00003654">
            <w:pPr>
              <w:cnfStyle w:val="000000000000" w:firstRow="0" w:lastRow="0" w:firstColumn="0" w:lastColumn="0" w:oddVBand="0" w:evenVBand="0" w:oddHBand="0" w:evenHBand="0" w:firstRowFirstColumn="0" w:firstRowLastColumn="0" w:lastRowFirstColumn="0" w:lastRowLastColumn="0"/>
              <w:rPr>
                <w:szCs w:val="20"/>
              </w:rPr>
            </w:pPr>
          </w:p>
        </w:tc>
        <w:tc>
          <w:tcPr>
            <w:tcW w:w="0" w:type="auto"/>
            <w:tcBorders>
              <w:top w:val="single" w:sz="4" w:space="0" w:color="B4C6E7" w:themeColor="accent1" w:themeTint="66"/>
              <w:bottom w:val="single" w:sz="4" w:space="0" w:color="B4C6E7" w:themeColor="accent1" w:themeTint="66"/>
            </w:tcBorders>
          </w:tcPr>
          <w:p w14:paraId="58F833E7" w14:textId="1EBD5A7C" w:rsidR="0074600A" w:rsidRPr="00AA22F2" w:rsidRDefault="0074600A" w:rsidP="00003654">
            <w:pPr>
              <w:cnfStyle w:val="000000000000" w:firstRow="0" w:lastRow="0" w:firstColumn="0" w:lastColumn="0" w:oddVBand="0" w:evenVBand="0" w:oddHBand="0" w:evenHBand="0" w:firstRowFirstColumn="0" w:firstRowLastColumn="0" w:lastRowFirstColumn="0" w:lastRowLastColumn="0"/>
              <w:rPr>
                <w:szCs w:val="20"/>
              </w:rPr>
            </w:pPr>
            <w:r w:rsidRPr="007D6D8B">
              <w:rPr>
                <w:szCs w:val="20"/>
              </w:rPr>
              <w:t>Prix moyen : 35 – 45 MAD/ml</w:t>
            </w:r>
          </w:p>
        </w:tc>
      </w:tr>
      <w:tr w:rsidR="0074600A" w:rsidRPr="008D44BF" w14:paraId="7A7CA6EC" w14:textId="77777777" w:rsidTr="005A7661">
        <w:trPr>
          <w:trHeight w:val="521"/>
        </w:trPr>
        <w:tc>
          <w:tcPr>
            <w:cnfStyle w:val="001000000000" w:firstRow="0" w:lastRow="0" w:firstColumn="1" w:lastColumn="0" w:oddVBand="0" w:evenVBand="0" w:oddHBand="0" w:evenHBand="0" w:firstRowFirstColumn="0" w:firstRowLastColumn="0" w:lastRowFirstColumn="0" w:lastRowLastColumn="0"/>
            <w:tcW w:w="0" w:type="auto"/>
            <w:vMerge/>
          </w:tcPr>
          <w:p w14:paraId="5B697D9E" w14:textId="77777777" w:rsidR="0074600A" w:rsidRPr="00AA22F2" w:rsidRDefault="0074600A" w:rsidP="00003654">
            <w:pPr>
              <w:rPr>
                <w:b w:val="0"/>
                <w:bCs w:val="0"/>
                <w:szCs w:val="20"/>
              </w:rPr>
            </w:pPr>
          </w:p>
        </w:tc>
        <w:tc>
          <w:tcPr>
            <w:tcW w:w="0" w:type="auto"/>
            <w:vMerge/>
          </w:tcPr>
          <w:p w14:paraId="7904F1BC" w14:textId="77777777" w:rsidR="0074600A" w:rsidRPr="004637C7" w:rsidRDefault="0074600A" w:rsidP="00003654">
            <w:pPr>
              <w:cnfStyle w:val="000000000000" w:firstRow="0" w:lastRow="0" w:firstColumn="0" w:lastColumn="0" w:oddVBand="0" w:evenVBand="0" w:oddHBand="0" w:evenHBand="0" w:firstRowFirstColumn="0" w:firstRowLastColumn="0" w:lastRowFirstColumn="0" w:lastRowLastColumn="0"/>
              <w:rPr>
                <w:szCs w:val="20"/>
              </w:rPr>
            </w:pPr>
          </w:p>
        </w:tc>
        <w:tc>
          <w:tcPr>
            <w:tcW w:w="0" w:type="auto"/>
            <w:vMerge/>
            <w:tcBorders>
              <w:bottom w:val="single" w:sz="4" w:space="0" w:color="B4C6E7" w:themeColor="accent1" w:themeTint="66"/>
            </w:tcBorders>
          </w:tcPr>
          <w:p w14:paraId="4DBAA33F" w14:textId="77777777" w:rsidR="0074600A" w:rsidRPr="004637C7" w:rsidRDefault="0074600A" w:rsidP="007D6D8B">
            <w:pPr>
              <w:cnfStyle w:val="000000000000" w:firstRow="0" w:lastRow="0" w:firstColumn="0" w:lastColumn="0" w:oddVBand="0" w:evenVBand="0" w:oddHBand="0" w:evenHBand="0" w:firstRowFirstColumn="0" w:firstRowLastColumn="0" w:lastRowFirstColumn="0" w:lastRowLastColumn="0"/>
              <w:rPr>
                <w:szCs w:val="20"/>
              </w:rPr>
            </w:pPr>
          </w:p>
        </w:tc>
        <w:tc>
          <w:tcPr>
            <w:tcW w:w="0" w:type="auto"/>
            <w:vMerge/>
          </w:tcPr>
          <w:p w14:paraId="0C157BBC" w14:textId="77777777" w:rsidR="0074600A" w:rsidRPr="004637C7" w:rsidRDefault="0074600A" w:rsidP="00003654">
            <w:pPr>
              <w:cnfStyle w:val="000000000000" w:firstRow="0" w:lastRow="0" w:firstColumn="0" w:lastColumn="0" w:oddVBand="0" w:evenVBand="0" w:oddHBand="0" w:evenHBand="0" w:firstRowFirstColumn="0" w:firstRowLastColumn="0" w:lastRowFirstColumn="0" w:lastRowLastColumn="0"/>
              <w:rPr>
                <w:szCs w:val="20"/>
              </w:rPr>
            </w:pPr>
          </w:p>
        </w:tc>
        <w:tc>
          <w:tcPr>
            <w:tcW w:w="0" w:type="auto"/>
            <w:vMerge/>
          </w:tcPr>
          <w:p w14:paraId="2F389897" w14:textId="77777777" w:rsidR="0074600A" w:rsidRPr="004637C7" w:rsidRDefault="0074600A" w:rsidP="00003654">
            <w:pPr>
              <w:cnfStyle w:val="000000000000" w:firstRow="0" w:lastRow="0" w:firstColumn="0" w:lastColumn="0" w:oddVBand="0" w:evenVBand="0" w:oddHBand="0" w:evenHBand="0" w:firstRowFirstColumn="0" w:firstRowLastColumn="0" w:lastRowFirstColumn="0" w:lastRowLastColumn="0"/>
              <w:rPr>
                <w:szCs w:val="20"/>
              </w:rPr>
            </w:pPr>
          </w:p>
        </w:tc>
        <w:tc>
          <w:tcPr>
            <w:tcW w:w="0" w:type="auto"/>
            <w:vMerge/>
          </w:tcPr>
          <w:p w14:paraId="2942A2A9" w14:textId="77777777" w:rsidR="0074600A" w:rsidRPr="004637C7" w:rsidRDefault="0074600A" w:rsidP="00003654">
            <w:pPr>
              <w:cnfStyle w:val="000000000000" w:firstRow="0" w:lastRow="0" w:firstColumn="0" w:lastColumn="0" w:oddVBand="0" w:evenVBand="0" w:oddHBand="0" w:evenHBand="0" w:firstRowFirstColumn="0" w:firstRowLastColumn="0" w:lastRowFirstColumn="0" w:lastRowLastColumn="0"/>
              <w:rPr>
                <w:szCs w:val="20"/>
              </w:rPr>
            </w:pPr>
          </w:p>
        </w:tc>
        <w:tc>
          <w:tcPr>
            <w:tcW w:w="0" w:type="auto"/>
            <w:vMerge/>
          </w:tcPr>
          <w:p w14:paraId="7C670402" w14:textId="77777777" w:rsidR="0074600A" w:rsidRPr="004637C7" w:rsidRDefault="0074600A" w:rsidP="00003654">
            <w:pPr>
              <w:cnfStyle w:val="000000000000" w:firstRow="0" w:lastRow="0" w:firstColumn="0" w:lastColumn="0" w:oddVBand="0" w:evenVBand="0" w:oddHBand="0" w:evenHBand="0" w:firstRowFirstColumn="0" w:firstRowLastColumn="0" w:lastRowFirstColumn="0" w:lastRowLastColumn="0"/>
              <w:rPr>
                <w:szCs w:val="20"/>
              </w:rPr>
            </w:pPr>
          </w:p>
        </w:tc>
        <w:tc>
          <w:tcPr>
            <w:tcW w:w="0" w:type="auto"/>
            <w:vMerge/>
          </w:tcPr>
          <w:p w14:paraId="1711C008" w14:textId="77777777" w:rsidR="0074600A" w:rsidRPr="004637C7" w:rsidRDefault="0074600A" w:rsidP="00003654">
            <w:pPr>
              <w:cnfStyle w:val="000000000000" w:firstRow="0" w:lastRow="0" w:firstColumn="0" w:lastColumn="0" w:oddVBand="0" w:evenVBand="0" w:oddHBand="0" w:evenHBand="0" w:firstRowFirstColumn="0" w:firstRowLastColumn="0" w:lastRowFirstColumn="0" w:lastRowLastColumn="0"/>
              <w:rPr>
                <w:szCs w:val="20"/>
              </w:rPr>
            </w:pPr>
          </w:p>
        </w:tc>
        <w:tc>
          <w:tcPr>
            <w:tcW w:w="0" w:type="auto"/>
            <w:vMerge w:val="restart"/>
            <w:tcBorders>
              <w:top w:val="single" w:sz="4" w:space="0" w:color="B4C6E7" w:themeColor="accent1" w:themeTint="66"/>
            </w:tcBorders>
          </w:tcPr>
          <w:p w14:paraId="1F00BDC3" w14:textId="2DD66A61" w:rsidR="0074600A" w:rsidRPr="00AA22F2" w:rsidRDefault="0074600A" w:rsidP="00003654">
            <w:pPr>
              <w:cnfStyle w:val="000000000000" w:firstRow="0" w:lastRow="0" w:firstColumn="0" w:lastColumn="0" w:oddVBand="0" w:evenVBand="0" w:oddHBand="0" w:evenHBand="0" w:firstRowFirstColumn="0" w:firstRowLastColumn="0" w:lastRowFirstColumn="0" w:lastRowLastColumn="0"/>
              <w:rPr>
                <w:szCs w:val="20"/>
              </w:rPr>
            </w:pPr>
            <w:r>
              <w:rPr>
                <w:szCs w:val="20"/>
              </w:rPr>
              <w:t>Aucun coût spécifique</w:t>
            </w:r>
          </w:p>
        </w:tc>
      </w:tr>
      <w:tr w:rsidR="0074600A" w:rsidRPr="008D44BF" w14:paraId="4E498602" w14:textId="77777777" w:rsidTr="007D6D8B">
        <w:trPr>
          <w:trHeight w:val="737"/>
        </w:trPr>
        <w:tc>
          <w:tcPr>
            <w:cnfStyle w:val="001000000000" w:firstRow="0" w:lastRow="0" w:firstColumn="1" w:lastColumn="0" w:oddVBand="0" w:evenVBand="0" w:oddHBand="0" w:evenHBand="0" w:firstRowFirstColumn="0" w:firstRowLastColumn="0" w:lastRowFirstColumn="0" w:lastRowLastColumn="0"/>
            <w:tcW w:w="0" w:type="auto"/>
            <w:vMerge/>
          </w:tcPr>
          <w:p w14:paraId="448E0B4C" w14:textId="77777777" w:rsidR="0074600A" w:rsidRPr="00AA22F2" w:rsidRDefault="0074600A" w:rsidP="00003654">
            <w:pPr>
              <w:rPr>
                <w:b w:val="0"/>
                <w:bCs w:val="0"/>
                <w:szCs w:val="20"/>
              </w:rPr>
            </w:pPr>
          </w:p>
        </w:tc>
        <w:tc>
          <w:tcPr>
            <w:tcW w:w="0" w:type="auto"/>
            <w:vMerge/>
          </w:tcPr>
          <w:p w14:paraId="18544824" w14:textId="77777777" w:rsidR="0074600A" w:rsidRPr="004637C7" w:rsidRDefault="0074600A" w:rsidP="00003654">
            <w:pPr>
              <w:cnfStyle w:val="000000000000" w:firstRow="0" w:lastRow="0" w:firstColumn="0" w:lastColumn="0" w:oddVBand="0" w:evenVBand="0" w:oddHBand="0" w:evenHBand="0" w:firstRowFirstColumn="0" w:firstRowLastColumn="0" w:lastRowFirstColumn="0" w:lastRowLastColumn="0"/>
              <w:rPr>
                <w:szCs w:val="20"/>
              </w:rPr>
            </w:pPr>
          </w:p>
        </w:tc>
        <w:tc>
          <w:tcPr>
            <w:tcW w:w="0" w:type="auto"/>
            <w:tcBorders>
              <w:top w:val="single" w:sz="4" w:space="0" w:color="B4C6E7" w:themeColor="accent1" w:themeTint="66"/>
            </w:tcBorders>
          </w:tcPr>
          <w:p w14:paraId="74604545" w14:textId="77777777" w:rsidR="0074600A" w:rsidRPr="004637C7" w:rsidRDefault="0074600A" w:rsidP="007D6D8B">
            <w:pPr>
              <w:cnfStyle w:val="000000000000" w:firstRow="0" w:lastRow="0" w:firstColumn="0" w:lastColumn="0" w:oddVBand="0" w:evenVBand="0" w:oddHBand="0" w:evenHBand="0" w:firstRowFirstColumn="0" w:firstRowLastColumn="0" w:lastRowFirstColumn="0" w:lastRowLastColumn="0"/>
              <w:rPr>
                <w:szCs w:val="20"/>
              </w:rPr>
            </w:pPr>
            <w:r w:rsidRPr="004637C7">
              <w:rPr>
                <w:szCs w:val="20"/>
              </w:rPr>
              <w:t>Planifier le terrassement en période sèche.</w:t>
            </w:r>
          </w:p>
        </w:tc>
        <w:tc>
          <w:tcPr>
            <w:tcW w:w="0" w:type="auto"/>
            <w:vMerge/>
          </w:tcPr>
          <w:p w14:paraId="2C4E711D" w14:textId="77777777" w:rsidR="0074600A" w:rsidRPr="004637C7" w:rsidRDefault="0074600A" w:rsidP="00003654">
            <w:pPr>
              <w:cnfStyle w:val="000000000000" w:firstRow="0" w:lastRow="0" w:firstColumn="0" w:lastColumn="0" w:oddVBand="0" w:evenVBand="0" w:oddHBand="0" w:evenHBand="0" w:firstRowFirstColumn="0" w:firstRowLastColumn="0" w:lastRowFirstColumn="0" w:lastRowLastColumn="0"/>
              <w:rPr>
                <w:szCs w:val="20"/>
              </w:rPr>
            </w:pPr>
          </w:p>
        </w:tc>
        <w:tc>
          <w:tcPr>
            <w:tcW w:w="0" w:type="auto"/>
            <w:vMerge/>
          </w:tcPr>
          <w:p w14:paraId="5856218D" w14:textId="77777777" w:rsidR="0074600A" w:rsidRPr="004637C7" w:rsidRDefault="0074600A" w:rsidP="00003654">
            <w:pPr>
              <w:cnfStyle w:val="000000000000" w:firstRow="0" w:lastRow="0" w:firstColumn="0" w:lastColumn="0" w:oddVBand="0" w:evenVBand="0" w:oddHBand="0" w:evenHBand="0" w:firstRowFirstColumn="0" w:firstRowLastColumn="0" w:lastRowFirstColumn="0" w:lastRowLastColumn="0"/>
              <w:rPr>
                <w:szCs w:val="20"/>
              </w:rPr>
            </w:pPr>
          </w:p>
        </w:tc>
        <w:tc>
          <w:tcPr>
            <w:tcW w:w="0" w:type="auto"/>
            <w:vMerge/>
          </w:tcPr>
          <w:p w14:paraId="7B520B04" w14:textId="77777777" w:rsidR="0074600A" w:rsidRPr="004637C7" w:rsidRDefault="0074600A" w:rsidP="00003654">
            <w:pPr>
              <w:cnfStyle w:val="000000000000" w:firstRow="0" w:lastRow="0" w:firstColumn="0" w:lastColumn="0" w:oddVBand="0" w:evenVBand="0" w:oddHBand="0" w:evenHBand="0" w:firstRowFirstColumn="0" w:firstRowLastColumn="0" w:lastRowFirstColumn="0" w:lastRowLastColumn="0"/>
              <w:rPr>
                <w:szCs w:val="20"/>
              </w:rPr>
            </w:pPr>
          </w:p>
        </w:tc>
        <w:tc>
          <w:tcPr>
            <w:tcW w:w="0" w:type="auto"/>
            <w:vMerge/>
          </w:tcPr>
          <w:p w14:paraId="157D8EC5" w14:textId="77777777" w:rsidR="0074600A" w:rsidRPr="004637C7" w:rsidRDefault="0074600A" w:rsidP="00003654">
            <w:pPr>
              <w:cnfStyle w:val="000000000000" w:firstRow="0" w:lastRow="0" w:firstColumn="0" w:lastColumn="0" w:oddVBand="0" w:evenVBand="0" w:oddHBand="0" w:evenHBand="0" w:firstRowFirstColumn="0" w:firstRowLastColumn="0" w:lastRowFirstColumn="0" w:lastRowLastColumn="0"/>
              <w:rPr>
                <w:szCs w:val="20"/>
              </w:rPr>
            </w:pPr>
          </w:p>
        </w:tc>
        <w:tc>
          <w:tcPr>
            <w:tcW w:w="0" w:type="auto"/>
            <w:vMerge/>
          </w:tcPr>
          <w:p w14:paraId="0CDAC7DA" w14:textId="77777777" w:rsidR="0074600A" w:rsidRPr="004637C7" w:rsidRDefault="0074600A" w:rsidP="00003654">
            <w:pPr>
              <w:cnfStyle w:val="000000000000" w:firstRow="0" w:lastRow="0" w:firstColumn="0" w:lastColumn="0" w:oddVBand="0" w:evenVBand="0" w:oddHBand="0" w:evenHBand="0" w:firstRowFirstColumn="0" w:firstRowLastColumn="0" w:lastRowFirstColumn="0" w:lastRowLastColumn="0"/>
              <w:rPr>
                <w:szCs w:val="20"/>
              </w:rPr>
            </w:pPr>
          </w:p>
        </w:tc>
        <w:tc>
          <w:tcPr>
            <w:tcW w:w="0" w:type="auto"/>
            <w:vMerge/>
          </w:tcPr>
          <w:p w14:paraId="4031B715" w14:textId="77777777" w:rsidR="0074600A" w:rsidRPr="00AA22F2" w:rsidRDefault="0074600A" w:rsidP="00003654">
            <w:pPr>
              <w:cnfStyle w:val="000000000000" w:firstRow="0" w:lastRow="0" w:firstColumn="0" w:lastColumn="0" w:oddVBand="0" w:evenVBand="0" w:oddHBand="0" w:evenHBand="0" w:firstRowFirstColumn="0" w:firstRowLastColumn="0" w:lastRowFirstColumn="0" w:lastRowLastColumn="0"/>
              <w:rPr>
                <w:szCs w:val="20"/>
              </w:rPr>
            </w:pPr>
          </w:p>
        </w:tc>
      </w:tr>
      <w:tr w:rsidR="0074600A" w:rsidRPr="008D44BF" w14:paraId="254CCD6D" w14:textId="77777777" w:rsidTr="00BA5D1C">
        <w:trPr>
          <w:trHeight w:val="1067"/>
        </w:trPr>
        <w:tc>
          <w:tcPr>
            <w:cnfStyle w:val="001000000000" w:firstRow="0" w:lastRow="0" w:firstColumn="1" w:lastColumn="0" w:oddVBand="0" w:evenVBand="0" w:oddHBand="0" w:evenHBand="0" w:firstRowFirstColumn="0" w:firstRowLastColumn="0" w:lastRowFirstColumn="0" w:lastRowLastColumn="0"/>
            <w:tcW w:w="0" w:type="auto"/>
            <w:vMerge/>
          </w:tcPr>
          <w:p w14:paraId="47DE369B" w14:textId="77777777" w:rsidR="0074600A" w:rsidRPr="00AA22F2" w:rsidRDefault="0074600A" w:rsidP="00DF55C1">
            <w:pPr>
              <w:rPr>
                <w:b w:val="0"/>
                <w:bCs w:val="0"/>
                <w:szCs w:val="20"/>
              </w:rPr>
            </w:pPr>
          </w:p>
        </w:tc>
        <w:tc>
          <w:tcPr>
            <w:tcW w:w="0" w:type="auto"/>
            <w:vMerge w:val="restart"/>
            <w:hideMark/>
          </w:tcPr>
          <w:p w14:paraId="4C36FFA0" w14:textId="39C7FA68" w:rsidR="0074600A" w:rsidRPr="004637C7" w:rsidRDefault="0074600A" w:rsidP="00DF55C1">
            <w:pPr>
              <w:cnfStyle w:val="000000000000" w:firstRow="0" w:lastRow="0" w:firstColumn="0" w:lastColumn="0" w:oddVBand="0" w:evenVBand="0" w:oddHBand="0" w:evenHBand="0" w:firstRowFirstColumn="0" w:firstRowLastColumn="0" w:lastRowFirstColumn="0" w:lastRowLastColumn="0"/>
              <w:rPr>
                <w:szCs w:val="20"/>
              </w:rPr>
            </w:pPr>
            <w:r w:rsidRPr="004637C7">
              <w:rPr>
                <w:szCs w:val="20"/>
              </w:rPr>
              <w:t>Atténuer</w:t>
            </w:r>
          </w:p>
        </w:tc>
        <w:tc>
          <w:tcPr>
            <w:tcW w:w="0" w:type="auto"/>
            <w:tcBorders>
              <w:bottom w:val="single" w:sz="4" w:space="0" w:color="B4C6E7" w:themeColor="accent1" w:themeTint="66"/>
            </w:tcBorders>
            <w:hideMark/>
          </w:tcPr>
          <w:p w14:paraId="74F97FE1" w14:textId="6670133E" w:rsidR="0074600A" w:rsidRPr="004637C7" w:rsidRDefault="0074600A" w:rsidP="00DF55C1">
            <w:pPr>
              <w:cnfStyle w:val="000000000000" w:firstRow="0" w:lastRow="0" w:firstColumn="0" w:lastColumn="0" w:oddVBand="0" w:evenVBand="0" w:oddHBand="0" w:evenHBand="0" w:firstRowFirstColumn="0" w:firstRowLastColumn="0" w:lastRowFirstColumn="0" w:lastRowLastColumn="0"/>
              <w:rPr>
                <w:szCs w:val="20"/>
              </w:rPr>
            </w:pPr>
            <w:r w:rsidRPr="004637C7">
              <w:rPr>
                <w:szCs w:val="20"/>
              </w:rPr>
              <w:t>Réaliser un arrosage des zones nues pour limiter l’érosion.</w:t>
            </w:r>
          </w:p>
        </w:tc>
        <w:tc>
          <w:tcPr>
            <w:tcW w:w="0" w:type="auto"/>
            <w:vMerge w:val="restart"/>
            <w:hideMark/>
          </w:tcPr>
          <w:p w14:paraId="22ABC404" w14:textId="77777777" w:rsidR="0074600A" w:rsidRPr="004637C7" w:rsidRDefault="0074600A" w:rsidP="00DF55C1">
            <w:pPr>
              <w:cnfStyle w:val="000000000000" w:firstRow="0" w:lastRow="0" w:firstColumn="0" w:lastColumn="0" w:oddVBand="0" w:evenVBand="0" w:oddHBand="0" w:evenHBand="0" w:firstRowFirstColumn="0" w:firstRowLastColumn="0" w:lastRowFirstColumn="0" w:lastRowLastColumn="0"/>
              <w:rPr>
                <w:szCs w:val="20"/>
              </w:rPr>
            </w:pPr>
            <w:r w:rsidRPr="004637C7">
              <w:rPr>
                <w:szCs w:val="20"/>
              </w:rPr>
              <w:t>Taux d’entretien / fréquence d’arrosage</w:t>
            </w:r>
          </w:p>
        </w:tc>
        <w:tc>
          <w:tcPr>
            <w:tcW w:w="0" w:type="auto"/>
            <w:vMerge w:val="restart"/>
            <w:hideMark/>
          </w:tcPr>
          <w:p w14:paraId="328B88DF" w14:textId="77777777" w:rsidR="0074600A" w:rsidRPr="004637C7" w:rsidRDefault="0074600A" w:rsidP="00DF55C1">
            <w:pPr>
              <w:cnfStyle w:val="000000000000" w:firstRow="0" w:lastRow="0" w:firstColumn="0" w:lastColumn="0" w:oddVBand="0" w:evenVBand="0" w:oddHBand="0" w:evenHBand="0" w:firstRowFirstColumn="0" w:firstRowLastColumn="0" w:lastRowFirstColumn="0" w:lastRowLastColumn="0"/>
              <w:rPr>
                <w:szCs w:val="20"/>
              </w:rPr>
            </w:pPr>
            <w:r w:rsidRPr="004637C7">
              <w:rPr>
                <w:szCs w:val="20"/>
              </w:rPr>
              <w:t>EPC / Sous-traitants</w:t>
            </w:r>
          </w:p>
        </w:tc>
        <w:tc>
          <w:tcPr>
            <w:tcW w:w="0" w:type="auto"/>
            <w:vMerge w:val="restart"/>
            <w:hideMark/>
          </w:tcPr>
          <w:p w14:paraId="2E0EAE6D" w14:textId="77777777" w:rsidR="0074600A" w:rsidRPr="004637C7" w:rsidRDefault="0074600A" w:rsidP="00DF55C1">
            <w:pPr>
              <w:cnfStyle w:val="000000000000" w:firstRow="0" w:lastRow="0" w:firstColumn="0" w:lastColumn="0" w:oddVBand="0" w:evenVBand="0" w:oddHBand="0" w:evenHBand="0" w:firstRowFirstColumn="0" w:firstRowLastColumn="0" w:lastRowFirstColumn="0" w:lastRowLastColumn="0"/>
              <w:rPr>
                <w:szCs w:val="20"/>
              </w:rPr>
            </w:pPr>
            <w:r w:rsidRPr="004637C7">
              <w:rPr>
                <w:szCs w:val="20"/>
              </w:rPr>
              <w:t>Bureau de contrôle / Consultant ONDA</w:t>
            </w:r>
          </w:p>
        </w:tc>
        <w:tc>
          <w:tcPr>
            <w:tcW w:w="0" w:type="auto"/>
            <w:vMerge w:val="restart"/>
            <w:hideMark/>
          </w:tcPr>
          <w:p w14:paraId="04465628" w14:textId="77777777" w:rsidR="0074600A" w:rsidRPr="004637C7" w:rsidRDefault="0074600A" w:rsidP="00DF55C1">
            <w:pPr>
              <w:cnfStyle w:val="000000000000" w:firstRow="0" w:lastRow="0" w:firstColumn="0" w:lastColumn="0" w:oddVBand="0" w:evenVBand="0" w:oddHBand="0" w:evenHBand="0" w:firstRowFirstColumn="0" w:firstRowLastColumn="0" w:lastRowFirstColumn="0" w:lastRowLastColumn="0"/>
              <w:rPr>
                <w:szCs w:val="20"/>
              </w:rPr>
            </w:pPr>
            <w:r w:rsidRPr="004637C7">
              <w:rPr>
                <w:szCs w:val="20"/>
              </w:rPr>
              <w:t>ONDA</w:t>
            </w:r>
          </w:p>
        </w:tc>
        <w:tc>
          <w:tcPr>
            <w:tcW w:w="0" w:type="auto"/>
            <w:vMerge w:val="restart"/>
            <w:hideMark/>
          </w:tcPr>
          <w:p w14:paraId="1963E5BF" w14:textId="77777777" w:rsidR="0074600A" w:rsidRPr="004637C7" w:rsidRDefault="0074600A" w:rsidP="00DF55C1">
            <w:pPr>
              <w:cnfStyle w:val="000000000000" w:firstRow="0" w:lastRow="0" w:firstColumn="0" w:lastColumn="0" w:oddVBand="0" w:evenVBand="0" w:oddHBand="0" w:evenHBand="0" w:firstRowFirstColumn="0" w:firstRowLastColumn="0" w:lastRowFirstColumn="0" w:lastRowLastColumn="0"/>
              <w:rPr>
                <w:szCs w:val="20"/>
              </w:rPr>
            </w:pPr>
            <w:r w:rsidRPr="004637C7">
              <w:rPr>
                <w:szCs w:val="20"/>
              </w:rPr>
              <w:t>Continue</w:t>
            </w:r>
          </w:p>
        </w:tc>
        <w:tc>
          <w:tcPr>
            <w:tcW w:w="0" w:type="auto"/>
            <w:tcBorders>
              <w:bottom w:val="single" w:sz="4" w:space="0" w:color="B4C6E7" w:themeColor="accent1" w:themeTint="66"/>
            </w:tcBorders>
            <w:hideMark/>
          </w:tcPr>
          <w:p w14:paraId="2871801E" w14:textId="2FF57A05" w:rsidR="0074600A" w:rsidRPr="004637C7" w:rsidRDefault="0074600A" w:rsidP="00DF55C1">
            <w:pPr>
              <w:cnfStyle w:val="000000000000" w:firstRow="0" w:lastRow="0" w:firstColumn="0" w:lastColumn="0" w:oddVBand="0" w:evenVBand="0" w:oddHBand="0" w:evenHBand="0" w:firstRowFirstColumn="0" w:firstRowLastColumn="0" w:lastRowFirstColumn="0" w:lastRowLastColumn="0"/>
              <w:rPr>
                <w:szCs w:val="20"/>
              </w:rPr>
            </w:pPr>
            <w:r w:rsidRPr="00023748">
              <w:rPr>
                <w:szCs w:val="20"/>
              </w:rPr>
              <w:t>200 MAD/h × 2 h/jour × 20 jours/mois</w:t>
            </w:r>
          </w:p>
        </w:tc>
      </w:tr>
      <w:tr w:rsidR="0074600A" w:rsidRPr="008D44BF" w14:paraId="3B96257B" w14:textId="77777777" w:rsidTr="00BA5D1C">
        <w:trPr>
          <w:trHeight w:val="973"/>
        </w:trPr>
        <w:tc>
          <w:tcPr>
            <w:cnfStyle w:val="001000000000" w:firstRow="0" w:lastRow="0" w:firstColumn="1" w:lastColumn="0" w:oddVBand="0" w:evenVBand="0" w:oddHBand="0" w:evenHBand="0" w:firstRowFirstColumn="0" w:firstRowLastColumn="0" w:lastRowFirstColumn="0" w:lastRowLastColumn="0"/>
            <w:tcW w:w="0" w:type="auto"/>
            <w:vMerge/>
          </w:tcPr>
          <w:p w14:paraId="3334E3A3" w14:textId="77777777" w:rsidR="0074600A" w:rsidRPr="00AA22F2" w:rsidRDefault="0074600A" w:rsidP="00DF55C1">
            <w:pPr>
              <w:rPr>
                <w:b w:val="0"/>
                <w:bCs w:val="0"/>
                <w:szCs w:val="20"/>
              </w:rPr>
            </w:pPr>
          </w:p>
        </w:tc>
        <w:tc>
          <w:tcPr>
            <w:tcW w:w="0" w:type="auto"/>
            <w:vMerge/>
          </w:tcPr>
          <w:p w14:paraId="0F0DC327" w14:textId="77777777" w:rsidR="0074600A" w:rsidRPr="004637C7" w:rsidRDefault="0074600A" w:rsidP="00DF55C1">
            <w:pPr>
              <w:cnfStyle w:val="000000000000" w:firstRow="0" w:lastRow="0" w:firstColumn="0" w:lastColumn="0" w:oddVBand="0" w:evenVBand="0" w:oddHBand="0" w:evenHBand="0" w:firstRowFirstColumn="0" w:firstRowLastColumn="0" w:lastRowFirstColumn="0" w:lastRowLastColumn="0"/>
              <w:rPr>
                <w:szCs w:val="20"/>
              </w:rPr>
            </w:pPr>
          </w:p>
        </w:tc>
        <w:tc>
          <w:tcPr>
            <w:tcW w:w="0" w:type="auto"/>
            <w:tcBorders>
              <w:top w:val="single" w:sz="4" w:space="0" w:color="B4C6E7" w:themeColor="accent1" w:themeTint="66"/>
            </w:tcBorders>
          </w:tcPr>
          <w:p w14:paraId="1E0467F7" w14:textId="77777777" w:rsidR="0074600A" w:rsidRPr="004637C7" w:rsidRDefault="0074600A" w:rsidP="00BA5D1C">
            <w:pPr>
              <w:cnfStyle w:val="000000000000" w:firstRow="0" w:lastRow="0" w:firstColumn="0" w:lastColumn="0" w:oddVBand="0" w:evenVBand="0" w:oddHBand="0" w:evenHBand="0" w:firstRowFirstColumn="0" w:firstRowLastColumn="0" w:lastRowFirstColumn="0" w:lastRowLastColumn="0"/>
              <w:rPr>
                <w:szCs w:val="20"/>
              </w:rPr>
            </w:pPr>
            <w:r w:rsidRPr="004637C7">
              <w:rPr>
                <w:szCs w:val="20"/>
              </w:rPr>
              <w:t>Nettoyer régulièrement les drains et fossés.</w:t>
            </w:r>
          </w:p>
        </w:tc>
        <w:tc>
          <w:tcPr>
            <w:tcW w:w="0" w:type="auto"/>
            <w:vMerge/>
          </w:tcPr>
          <w:p w14:paraId="2A153C6F" w14:textId="77777777" w:rsidR="0074600A" w:rsidRPr="004637C7" w:rsidRDefault="0074600A" w:rsidP="00DF55C1">
            <w:pPr>
              <w:cnfStyle w:val="000000000000" w:firstRow="0" w:lastRow="0" w:firstColumn="0" w:lastColumn="0" w:oddVBand="0" w:evenVBand="0" w:oddHBand="0" w:evenHBand="0" w:firstRowFirstColumn="0" w:firstRowLastColumn="0" w:lastRowFirstColumn="0" w:lastRowLastColumn="0"/>
              <w:rPr>
                <w:szCs w:val="20"/>
              </w:rPr>
            </w:pPr>
          </w:p>
        </w:tc>
        <w:tc>
          <w:tcPr>
            <w:tcW w:w="0" w:type="auto"/>
            <w:vMerge/>
          </w:tcPr>
          <w:p w14:paraId="0BBC2FAA" w14:textId="77777777" w:rsidR="0074600A" w:rsidRPr="004637C7" w:rsidRDefault="0074600A" w:rsidP="00DF55C1">
            <w:pPr>
              <w:cnfStyle w:val="000000000000" w:firstRow="0" w:lastRow="0" w:firstColumn="0" w:lastColumn="0" w:oddVBand="0" w:evenVBand="0" w:oddHBand="0" w:evenHBand="0" w:firstRowFirstColumn="0" w:firstRowLastColumn="0" w:lastRowFirstColumn="0" w:lastRowLastColumn="0"/>
              <w:rPr>
                <w:szCs w:val="20"/>
              </w:rPr>
            </w:pPr>
          </w:p>
        </w:tc>
        <w:tc>
          <w:tcPr>
            <w:tcW w:w="0" w:type="auto"/>
            <w:vMerge/>
          </w:tcPr>
          <w:p w14:paraId="4D7D4F38" w14:textId="77777777" w:rsidR="0074600A" w:rsidRPr="004637C7" w:rsidRDefault="0074600A" w:rsidP="00DF55C1">
            <w:pPr>
              <w:cnfStyle w:val="000000000000" w:firstRow="0" w:lastRow="0" w:firstColumn="0" w:lastColumn="0" w:oddVBand="0" w:evenVBand="0" w:oddHBand="0" w:evenHBand="0" w:firstRowFirstColumn="0" w:firstRowLastColumn="0" w:lastRowFirstColumn="0" w:lastRowLastColumn="0"/>
              <w:rPr>
                <w:szCs w:val="20"/>
              </w:rPr>
            </w:pPr>
          </w:p>
        </w:tc>
        <w:tc>
          <w:tcPr>
            <w:tcW w:w="0" w:type="auto"/>
            <w:vMerge/>
          </w:tcPr>
          <w:p w14:paraId="5B54F59A" w14:textId="77777777" w:rsidR="0074600A" w:rsidRPr="004637C7" w:rsidRDefault="0074600A" w:rsidP="00DF55C1">
            <w:pPr>
              <w:cnfStyle w:val="000000000000" w:firstRow="0" w:lastRow="0" w:firstColumn="0" w:lastColumn="0" w:oddVBand="0" w:evenVBand="0" w:oddHBand="0" w:evenHBand="0" w:firstRowFirstColumn="0" w:firstRowLastColumn="0" w:lastRowFirstColumn="0" w:lastRowLastColumn="0"/>
              <w:rPr>
                <w:szCs w:val="20"/>
              </w:rPr>
            </w:pPr>
          </w:p>
        </w:tc>
        <w:tc>
          <w:tcPr>
            <w:tcW w:w="0" w:type="auto"/>
            <w:vMerge/>
          </w:tcPr>
          <w:p w14:paraId="655F021D" w14:textId="77777777" w:rsidR="0074600A" w:rsidRPr="004637C7" w:rsidRDefault="0074600A" w:rsidP="00DF55C1">
            <w:pPr>
              <w:cnfStyle w:val="000000000000" w:firstRow="0" w:lastRow="0" w:firstColumn="0" w:lastColumn="0" w:oddVBand="0" w:evenVBand="0" w:oddHBand="0" w:evenHBand="0" w:firstRowFirstColumn="0" w:firstRowLastColumn="0" w:lastRowFirstColumn="0" w:lastRowLastColumn="0"/>
              <w:rPr>
                <w:szCs w:val="20"/>
              </w:rPr>
            </w:pPr>
          </w:p>
        </w:tc>
        <w:tc>
          <w:tcPr>
            <w:tcW w:w="0" w:type="auto"/>
            <w:tcBorders>
              <w:top w:val="single" w:sz="4" w:space="0" w:color="B4C6E7" w:themeColor="accent1" w:themeTint="66"/>
            </w:tcBorders>
          </w:tcPr>
          <w:p w14:paraId="08E10554" w14:textId="62B11E77" w:rsidR="0074600A" w:rsidRPr="00AA22F2" w:rsidRDefault="0074600A" w:rsidP="00DF55C1">
            <w:pPr>
              <w:cnfStyle w:val="000000000000" w:firstRow="0" w:lastRow="0" w:firstColumn="0" w:lastColumn="0" w:oddVBand="0" w:evenVBand="0" w:oddHBand="0" w:evenHBand="0" w:firstRowFirstColumn="0" w:firstRowLastColumn="0" w:lastRowFirstColumn="0" w:lastRowLastColumn="0"/>
              <w:rPr>
                <w:szCs w:val="20"/>
              </w:rPr>
            </w:pPr>
            <w:r w:rsidRPr="00023748">
              <w:rPr>
                <w:szCs w:val="20"/>
              </w:rPr>
              <w:t>Nettoyage manuel/mécanisé : 8 – 12 MAD/ml,</w:t>
            </w:r>
          </w:p>
        </w:tc>
      </w:tr>
      <w:tr w:rsidR="0074600A" w:rsidRPr="008D44BF" w14:paraId="2E1A991B" w14:textId="77777777" w:rsidTr="0074600A">
        <w:trPr>
          <w:trHeight w:val="1067"/>
        </w:trPr>
        <w:tc>
          <w:tcPr>
            <w:cnfStyle w:val="001000000000" w:firstRow="0" w:lastRow="0" w:firstColumn="1" w:lastColumn="0" w:oddVBand="0" w:evenVBand="0" w:oddHBand="0" w:evenHBand="0" w:firstRowFirstColumn="0" w:firstRowLastColumn="0" w:lastRowFirstColumn="0" w:lastRowLastColumn="0"/>
            <w:tcW w:w="0" w:type="auto"/>
            <w:vMerge/>
          </w:tcPr>
          <w:p w14:paraId="17FAA7CA" w14:textId="77777777" w:rsidR="0074600A" w:rsidRPr="00AA22F2" w:rsidRDefault="0074600A" w:rsidP="00DF55C1">
            <w:pPr>
              <w:rPr>
                <w:b w:val="0"/>
                <w:bCs w:val="0"/>
                <w:szCs w:val="20"/>
              </w:rPr>
            </w:pPr>
          </w:p>
        </w:tc>
        <w:tc>
          <w:tcPr>
            <w:tcW w:w="0" w:type="auto"/>
            <w:vMerge w:val="restart"/>
            <w:hideMark/>
          </w:tcPr>
          <w:p w14:paraId="0E718FDD" w14:textId="32E1B572" w:rsidR="0074600A" w:rsidRPr="004637C7" w:rsidRDefault="0074600A" w:rsidP="00DF55C1">
            <w:pPr>
              <w:cnfStyle w:val="000000000000" w:firstRow="0" w:lastRow="0" w:firstColumn="0" w:lastColumn="0" w:oddVBand="0" w:evenVBand="0" w:oddHBand="0" w:evenHBand="0" w:firstRowFirstColumn="0" w:firstRowLastColumn="0" w:lastRowFirstColumn="0" w:lastRowLastColumn="0"/>
              <w:rPr>
                <w:szCs w:val="20"/>
              </w:rPr>
            </w:pPr>
            <w:r w:rsidRPr="004637C7">
              <w:rPr>
                <w:szCs w:val="20"/>
              </w:rPr>
              <w:t>Compenser</w:t>
            </w:r>
          </w:p>
        </w:tc>
        <w:tc>
          <w:tcPr>
            <w:tcW w:w="0" w:type="auto"/>
            <w:tcBorders>
              <w:bottom w:val="single" w:sz="4" w:space="0" w:color="B4C6E7" w:themeColor="accent1" w:themeTint="66"/>
            </w:tcBorders>
            <w:hideMark/>
          </w:tcPr>
          <w:p w14:paraId="35A8CCC7" w14:textId="53309796" w:rsidR="0074600A" w:rsidRPr="004637C7" w:rsidRDefault="0074600A" w:rsidP="00DF55C1">
            <w:pPr>
              <w:cnfStyle w:val="000000000000" w:firstRow="0" w:lastRow="0" w:firstColumn="0" w:lastColumn="0" w:oddVBand="0" w:evenVBand="0" w:oddHBand="0" w:evenHBand="0" w:firstRowFirstColumn="0" w:firstRowLastColumn="0" w:lastRowFirstColumn="0" w:lastRowLastColumn="0"/>
              <w:rPr>
                <w:szCs w:val="20"/>
              </w:rPr>
            </w:pPr>
            <w:r w:rsidRPr="004637C7">
              <w:rPr>
                <w:szCs w:val="20"/>
              </w:rPr>
              <w:t>Réhabiliter et curer les drains après les travaux.</w:t>
            </w:r>
          </w:p>
        </w:tc>
        <w:tc>
          <w:tcPr>
            <w:tcW w:w="0" w:type="auto"/>
            <w:vMerge w:val="restart"/>
            <w:hideMark/>
          </w:tcPr>
          <w:p w14:paraId="27C4D0AD" w14:textId="77777777" w:rsidR="0074600A" w:rsidRPr="004637C7" w:rsidRDefault="0074600A" w:rsidP="00DF55C1">
            <w:pPr>
              <w:cnfStyle w:val="000000000000" w:firstRow="0" w:lastRow="0" w:firstColumn="0" w:lastColumn="0" w:oddVBand="0" w:evenVBand="0" w:oddHBand="0" w:evenHBand="0" w:firstRowFirstColumn="0" w:firstRowLastColumn="0" w:lastRowFirstColumn="0" w:lastRowLastColumn="0"/>
              <w:rPr>
                <w:szCs w:val="20"/>
              </w:rPr>
            </w:pPr>
            <w:r w:rsidRPr="004637C7">
              <w:rPr>
                <w:szCs w:val="20"/>
              </w:rPr>
              <w:t>Nombre de fossés réhabilités</w:t>
            </w:r>
          </w:p>
        </w:tc>
        <w:tc>
          <w:tcPr>
            <w:tcW w:w="0" w:type="auto"/>
            <w:vMerge w:val="restart"/>
            <w:hideMark/>
          </w:tcPr>
          <w:p w14:paraId="44864348" w14:textId="77777777" w:rsidR="0074600A" w:rsidRPr="004637C7" w:rsidRDefault="0074600A" w:rsidP="00DF55C1">
            <w:pPr>
              <w:cnfStyle w:val="000000000000" w:firstRow="0" w:lastRow="0" w:firstColumn="0" w:lastColumn="0" w:oddVBand="0" w:evenVBand="0" w:oddHBand="0" w:evenHBand="0" w:firstRowFirstColumn="0" w:firstRowLastColumn="0" w:lastRowFirstColumn="0" w:lastRowLastColumn="0"/>
              <w:rPr>
                <w:szCs w:val="20"/>
              </w:rPr>
            </w:pPr>
            <w:r w:rsidRPr="004637C7">
              <w:rPr>
                <w:szCs w:val="20"/>
              </w:rPr>
              <w:t>EPC / Sous-traitants</w:t>
            </w:r>
          </w:p>
        </w:tc>
        <w:tc>
          <w:tcPr>
            <w:tcW w:w="0" w:type="auto"/>
            <w:vMerge w:val="restart"/>
            <w:hideMark/>
          </w:tcPr>
          <w:p w14:paraId="6DCFF11A" w14:textId="77777777" w:rsidR="0074600A" w:rsidRPr="004637C7" w:rsidRDefault="0074600A" w:rsidP="00DF55C1">
            <w:pPr>
              <w:cnfStyle w:val="000000000000" w:firstRow="0" w:lastRow="0" w:firstColumn="0" w:lastColumn="0" w:oddVBand="0" w:evenVBand="0" w:oddHBand="0" w:evenHBand="0" w:firstRowFirstColumn="0" w:firstRowLastColumn="0" w:lastRowFirstColumn="0" w:lastRowLastColumn="0"/>
              <w:rPr>
                <w:szCs w:val="20"/>
              </w:rPr>
            </w:pPr>
            <w:r w:rsidRPr="004637C7">
              <w:rPr>
                <w:szCs w:val="20"/>
              </w:rPr>
              <w:t>Bureau de contrôle / Consultant ONDA</w:t>
            </w:r>
          </w:p>
        </w:tc>
        <w:tc>
          <w:tcPr>
            <w:tcW w:w="0" w:type="auto"/>
            <w:vMerge w:val="restart"/>
            <w:hideMark/>
          </w:tcPr>
          <w:p w14:paraId="5D616B61" w14:textId="77777777" w:rsidR="0074600A" w:rsidRPr="004637C7" w:rsidRDefault="0074600A" w:rsidP="00DF55C1">
            <w:pPr>
              <w:cnfStyle w:val="000000000000" w:firstRow="0" w:lastRow="0" w:firstColumn="0" w:lastColumn="0" w:oddVBand="0" w:evenVBand="0" w:oddHBand="0" w:evenHBand="0" w:firstRowFirstColumn="0" w:firstRowLastColumn="0" w:lastRowFirstColumn="0" w:lastRowLastColumn="0"/>
              <w:rPr>
                <w:szCs w:val="20"/>
              </w:rPr>
            </w:pPr>
            <w:r w:rsidRPr="004637C7">
              <w:rPr>
                <w:szCs w:val="20"/>
              </w:rPr>
              <w:t>ONDA</w:t>
            </w:r>
          </w:p>
        </w:tc>
        <w:tc>
          <w:tcPr>
            <w:tcW w:w="0" w:type="auto"/>
            <w:vMerge w:val="restart"/>
            <w:hideMark/>
          </w:tcPr>
          <w:p w14:paraId="7D6148AB" w14:textId="77777777" w:rsidR="0074600A" w:rsidRPr="004637C7" w:rsidRDefault="0074600A" w:rsidP="00DF55C1">
            <w:pPr>
              <w:cnfStyle w:val="000000000000" w:firstRow="0" w:lastRow="0" w:firstColumn="0" w:lastColumn="0" w:oddVBand="0" w:evenVBand="0" w:oddHBand="0" w:evenHBand="0" w:firstRowFirstColumn="0" w:firstRowLastColumn="0" w:lastRowFirstColumn="0" w:lastRowLastColumn="0"/>
              <w:rPr>
                <w:szCs w:val="20"/>
              </w:rPr>
            </w:pPr>
            <w:r w:rsidRPr="004637C7">
              <w:rPr>
                <w:szCs w:val="20"/>
              </w:rPr>
              <w:t>Fin des travaux</w:t>
            </w:r>
          </w:p>
        </w:tc>
        <w:tc>
          <w:tcPr>
            <w:tcW w:w="0" w:type="auto"/>
            <w:tcBorders>
              <w:bottom w:val="single" w:sz="4" w:space="0" w:color="B4C6E7" w:themeColor="accent1" w:themeTint="66"/>
            </w:tcBorders>
            <w:hideMark/>
          </w:tcPr>
          <w:p w14:paraId="182DBF8F" w14:textId="7756D254" w:rsidR="0074600A" w:rsidRPr="004637C7" w:rsidRDefault="00586999" w:rsidP="00DF55C1">
            <w:pPr>
              <w:cnfStyle w:val="000000000000" w:firstRow="0" w:lastRow="0" w:firstColumn="0" w:lastColumn="0" w:oddVBand="0" w:evenVBand="0" w:oddHBand="0" w:evenHBand="0" w:firstRowFirstColumn="0" w:firstRowLastColumn="0" w:lastRowFirstColumn="0" w:lastRowLastColumn="0"/>
              <w:rPr>
                <w:szCs w:val="20"/>
              </w:rPr>
            </w:pPr>
            <w:r w:rsidRPr="00586999">
              <w:rPr>
                <w:szCs w:val="20"/>
              </w:rPr>
              <w:t>Coût moyen : 12–15 MAD/ml</w:t>
            </w:r>
          </w:p>
        </w:tc>
      </w:tr>
      <w:tr w:rsidR="0074600A" w:rsidRPr="008D44BF" w14:paraId="1E0EEB57" w14:textId="77777777" w:rsidTr="0074600A">
        <w:trPr>
          <w:trHeight w:val="693"/>
        </w:trPr>
        <w:tc>
          <w:tcPr>
            <w:cnfStyle w:val="001000000000" w:firstRow="0" w:lastRow="0" w:firstColumn="1" w:lastColumn="0" w:oddVBand="0" w:evenVBand="0" w:oddHBand="0" w:evenHBand="0" w:firstRowFirstColumn="0" w:firstRowLastColumn="0" w:lastRowFirstColumn="0" w:lastRowLastColumn="0"/>
            <w:tcW w:w="0" w:type="auto"/>
            <w:vMerge/>
          </w:tcPr>
          <w:p w14:paraId="371E1259" w14:textId="77777777" w:rsidR="0074600A" w:rsidRPr="00AA22F2" w:rsidRDefault="0074600A" w:rsidP="00DF55C1">
            <w:pPr>
              <w:rPr>
                <w:b w:val="0"/>
                <w:bCs w:val="0"/>
                <w:szCs w:val="20"/>
              </w:rPr>
            </w:pPr>
          </w:p>
        </w:tc>
        <w:tc>
          <w:tcPr>
            <w:tcW w:w="0" w:type="auto"/>
            <w:vMerge/>
          </w:tcPr>
          <w:p w14:paraId="17B2A365" w14:textId="77777777" w:rsidR="0074600A" w:rsidRPr="004637C7" w:rsidRDefault="0074600A" w:rsidP="00DF55C1">
            <w:pPr>
              <w:cnfStyle w:val="000000000000" w:firstRow="0" w:lastRow="0" w:firstColumn="0" w:lastColumn="0" w:oddVBand="0" w:evenVBand="0" w:oddHBand="0" w:evenHBand="0" w:firstRowFirstColumn="0" w:firstRowLastColumn="0" w:lastRowFirstColumn="0" w:lastRowLastColumn="0"/>
              <w:rPr>
                <w:szCs w:val="20"/>
              </w:rPr>
            </w:pPr>
          </w:p>
        </w:tc>
        <w:tc>
          <w:tcPr>
            <w:tcW w:w="0" w:type="auto"/>
            <w:tcBorders>
              <w:top w:val="single" w:sz="4" w:space="0" w:color="B4C6E7" w:themeColor="accent1" w:themeTint="66"/>
            </w:tcBorders>
          </w:tcPr>
          <w:p w14:paraId="3B3322F9" w14:textId="77777777" w:rsidR="0074600A" w:rsidRPr="004637C7" w:rsidRDefault="0074600A" w:rsidP="0074600A">
            <w:pPr>
              <w:cnfStyle w:val="000000000000" w:firstRow="0" w:lastRow="0" w:firstColumn="0" w:lastColumn="0" w:oddVBand="0" w:evenVBand="0" w:oddHBand="0" w:evenHBand="0" w:firstRowFirstColumn="0" w:firstRowLastColumn="0" w:lastRowFirstColumn="0" w:lastRowLastColumn="0"/>
              <w:rPr>
                <w:szCs w:val="20"/>
              </w:rPr>
            </w:pPr>
            <w:r w:rsidRPr="004637C7">
              <w:rPr>
                <w:szCs w:val="20"/>
              </w:rPr>
              <w:t>Restaurer les bassins de rétention.</w:t>
            </w:r>
          </w:p>
        </w:tc>
        <w:tc>
          <w:tcPr>
            <w:tcW w:w="0" w:type="auto"/>
            <w:vMerge/>
          </w:tcPr>
          <w:p w14:paraId="33D176A9" w14:textId="77777777" w:rsidR="0074600A" w:rsidRPr="004637C7" w:rsidRDefault="0074600A" w:rsidP="00DF55C1">
            <w:pPr>
              <w:cnfStyle w:val="000000000000" w:firstRow="0" w:lastRow="0" w:firstColumn="0" w:lastColumn="0" w:oddVBand="0" w:evenVBand="0" w:oddHBand="0" w:evenHBand="0" w:firstRowFirstColumn="0" w:firstRowLastColumn="0" w:lastRowFirstColumn="0" w:lastRowLastColumn="0"/>
              <w:rPr>
                <w:szCs w:val="20"/>
              </w:rPr>
            </w:pPr>
          </w:p>
        </w:tc>
        <w:tc>
          <w:tcPr>
            <w:tcW w:w="0" w:type="auto"/>
            <w:vMerge/>
          </w:tcPr>
          <w:p w14:paraId="05C200D3" w14:textId="77777777" w:rsidR="0074600A" w:rsidRPr="004637C7" w:rsidRDefault="0074600A" w:rsidP="00DF55C1">
            <w:pPr>
              <w:cnfStyle w:val="000000000000" w:firstRow="0" w:lastRow="0" w:firstColumn="0" w:lastColumn="0" w:oddVBand="0" w:evenVBand="0" w:oddHBand="0" w:evenHBand="0" w:firstRowFirstColumn="0" w:firstRowLastColumn="0" w:lastRowFirstColumn="0" w:lastRowLastColumn="0"/>
              <w:rPr>
                <w:szCs w:val="20"/>
              </w:rPr>
            </w:pPr>
          </w:p>
        </w:tc>
        <w:tc>
          <w:tcPr>
            <w:tcW w:w="0" w:type="auto"/>
            <w:vMerge/>
          </w:tcPr>
          <w:p w14:paraId="7EA64071" w14:textId="77777777" w:rsidR="0074600A" w:rsidRPr="004637C7" w:rsidRDefault="0074600A" w:rsidP="00DF55C1">
            <w:pPr>
              <w:cnfStyle w:val="000000000000" w:firstRow="0" w:lastRow="0" w:firstColumn="0" w:lastColumn="0" w:oddVBand="0" w:evenVBand="0" w:oddHBand="0" w:evenHBand="0" w:firstRowFirstColumn="0" w:firstRowLastColumn="0" w:lastRowFirstColumn="0" w:lastRowLastColumn="0"/>
              <w:rPr>
                <w:szCs w:val="20"/>
              </w:rPr>
            </w:pPr>
          </w:p>
        </w:tc>
        <w:tc>
          <w:tcPr>
            <w:tcW w:w="0" w:type="auto"/>
            <w:vMerge/>
          </w:tcPr>
          <w:p w14:paraId="4B032C2E" w14:textId="77777777" w:rsidR="0074600A" w:rsidRPr="004637C7" w:rsidRDefault="0074600A" w:rsidP="00DF55C1">
            <w:pPr>
              <w:cnfStyle w:val="000000000000" w:firstRow="0" w:lastRow="0" w:firstColumn="0" w:lastColumn="0" w:oddVBand="0" w:evenVBand="0" w:oddHBand="0" w:evenHBand="0" w:firstRowFirstColumn="0" w:firstRowLastColumn="0" w:lastRowFirstColumn="0" w:lastRowLastColumn="0"/>
              <w:rPr>
                <w:szCs w:val="20"/>
              </w:rPr>
            </w:pPr>
          </w:p>
        </w:tc>
        <w:tc>
          <w:tcPr>
            <w:tcW w:w="0" w:type="auto"/>
            <w:vMerge/>
          </w:tcPr>
          <w:p w14:paraId="53C2C7BD" w14:textId="77777777" w:rsidR="0074600A" w:rsidRPr="004637C7" w:rsidRDefault="0074600A" w:rsidP="00DF55C1">
            <w:pPr>
              <w:cnfStyle w:val="000000000000" w:firstRow="0" w:lastRow="0" w:firstColumn="0" w:lastColumn="0" w:oddVBand="0" w:evenVBand="0" w:oddHBand="0" w:evenHBand="0" w:firstRowFirstColumn="0" w:firstRowLastColumn="0" w:lastRowFirstColumn="0" w:lastRowLastColumn="0"/>
              <w:rPr>
                <w:szCs w:val="20"/>
              </w:rPr>
            </w:pPr>
          </w:p>
        </w:tc>
        <w:tc>
          <w:tcPr>
            <w:tcW w:w="0" w:type="auto"/>
            <w:tcBorders>
              <w:top w:val="single" w:sz="4" w:space="0" w:color="B4C6E7" w:themeColor="accent1" w:themeTint="66"/>
            </w:tcBorders>
          </w:tcPr>
          <w:p w14:paraId="72756E21" w14:textId="46888F5E" w:rsidR="0074600A" w:rsidRPr="00AA22F2" w:rsidRDefault="00586999" w:rsidP="00DF55C1">
            <w:pPr>
              <w:cnfStyle w:val="000000000000" w:firstRow="0" w:lastRow="0" w:firstColumn="0" w:lastColumn="0" w:oddVBand="0" w:evenVBand="0" w:oddHBand="0" w:evenHBand="0" w:firstRowFirstColumn="0" w:firstRowLastColumn="0" w:lastRowFirstColumn="0" w:lastRowLastColumn="0"/>
              <w:rPr>
                <w:szCs w:val="20"/>
              </w:rPr>
            </w:pPr>
            <w:r w:rsidRPr="00586999">
              <w:rPr>
                <w:szCs w:val="20"/>
              </w:rPr>
              <w:t>≈ 8 000 – 10 000 MAD HT (forfait)</w:t>
            </w:r>
          </w:p>
        </w:tc>
      </w:tr>
      <w:tr w:rsidR="0074600A" w:rsidRPr="008D44BF" w14:paraId="565887ED" w14:textId="77777777" w:rsidTr="0074600A">
        <w:trPr>
          <w:trHeight w:val="1320"/>
        </w:trPr>
        <w:tc>
          <w:tcPr>
            <w:cnfStyle w:val="001000000000" w:firstRow="0" w:lastRow="0" w:firstColumn="1" w:lastColumn="0" w:oddVBand="0" w:evenVBand="0" w:oddHBand="0" w:evenHBand="0" w:firstRowFirstColumn="0" w:firstRowLastColumn="0" w:lastRowFirstColumn="0" w:lastRowLastColumn="0"/>
            <w:tcW w:w="0" w:type="auto"/>
            <w:vMerge w:val="restart"/>
          </w:tcPr>
          <w:p w14:paraId="64894A11" w14:textId="040F43BD" w:rsidR="0074600A" w:rsidRPr="004637C7" w:rsidRDefault="0074600A" w:rsidP="00DF55C1">
            <w:pPr>
              <w:rPr>
                <w:szCs w:val="20"/>
              </w:rPr>
            </w:pPr>
            <w:r w:rsidRPr="00AA22F2">
              <w:rPr>
                <w:szCs w:val="20"/>
              </w:rPr>
              <w:t>Contamination ponctuelle des eaux souterraines (hydrocarbures, huiles, produits chimiques)</w:t>
            </w:r>
          </w:p>
        </w:tc>
        <w:tc>
          <w:tcPr>
            <w:tcW w:w="0" w:type="auto"/>
            <w:vMerge w:val="restart"/>
            <w:hideMark/>
          </w:tcPr>
          <w:p w14:paraId="5C36918B" w14:textId="04A90DF6" w:rsidR="0074600A" w:rsidRPr="004637C7" w:rsidRDefault="0074600A" w:rsidP="00DF55C1">
            <w:pPr>
              <w:cnfStyle w:val="000000000000" w:firstRow="0" w:lastRow="0" w:firstColumn="0" w:lastColumn="0" w:oddVBand="0" w:evenVBand="0" w:oddHBand="0" w:evenHBand="0" w:firstRowFirstColumn="0" w:firstRowLastColumn="0" w:lastRowFirstColumn="0" w:lastRowLastColumn="0"/>
              <w:rPr>
                <w:szCs w:val="20"/>
              </w:rPr>
            </w:pPr>
            <w:r w:rsidRPr="004637C7">
              <w:rPr>
                <w:szCs w:val="20"/>
              </w:rPr>
              <w:t>Éviter</w:t>
            </w:r>
          </w:p>
        </w:tc>
        <w:tc>
          <w:tcPr>
            <w:tcW w:w="0" w:type="auto"/>
            <w:tcBorders>
              <w:bottom w:val="single" w:sz="4" w:space="0" w:color="B4C6E7" w:themeColor="accent1" w:themeTint="66"/>
            </w:tcBorders>
            <w:hideMark/>
          </w:tcPr>
          <w:p w14:paraId="347A6693" w14:textId="6714553D" w:rsidR="0074600A" w:rsidRPr="004637C7" w:rsidRDefault="0074600A" w:rsidP="00DF55C1">
            <w:pPr>
              <w:cnfStyle w:val="000000000000" w:firstRow="0" w:lastRow="0" w:firstColumn="0" w:lastColumn="0" w:oddVBand="0" w:evenVBand="0" w:oddHBand="0" w:evenHBand="0" w:firstRowFirstColumn="0" w:firstRowLastColumn="0" w:lastRowFirstColumn="0" w:lastRowLastColumn="0"/>
              <w:rPr>
                <w:szCs w:val="20"/>
              </w:rPr>
            </w:pPr>
            <w:r w:rsidRPr="004637C7">
              <w:rPr>
                <w:szCs w:val="20"/>
              </w:rPr>
              <w:t>Localiser les aires de stockage à distance des points d’infiltration.</w:t>
            </w:r>
          </w:p>
        </w:tc>
        <w:tc>
          <w:tcPr>
            <w:tcW w:w="0" w:type="auto"/>
            <w:vMerge w:val="restart"/>
            <w:hideMark/>
          </w:tcPr>
          <w:p w14:paraId="56BDF084" w14:textId="77777777" w:rsidR="0074600A" w:rsidRPr="004637C7" w:rsidRDefault="0074600A" w:rsidP="00DF55C1">
            <w:pPr>
              <w:cnfStyle w:val="000000000000" w:firstRow="0" w:lastRow="0" w:firstColumn="0" w:lastColumn="0" w:oddVBand="0" w:evenVBand="0" w:oddHBand="0" w:evenHBand="0" w:firstRowFirstColumn="0" w:firstRowLastColumn="0" w:lastRowFirstColumn="0" w:lastRowLastColumn="0"/>
              <w:rPr>
                <w:szCs w:val="20"/>
              </w:rPr>
            </w:pPr>
            <w:r w:rsidRPr="004637C7">
              <w:rPr>
                <w:szCs w:val="20"/>
              </w:rPr>
              <w:t>% zones de stockage conformes</w:t>
            </w:r>
          </w:p>
        </w:tc>
        <w:tc>
          <w:tcPr>
            <w:tcW w:w="0" w:type="auto"/>
            <w:vMerge w:val="restart"/>
            <w:hideMark/>
          </w:tcPr>
          <w:p w14:paraId="4FC0CCFF" w14:textId="77777777" w:rsidR="0074600A" w:rsidRPr="004637C7" w:rsidRDefault="0074600A" w:rsidP="00DF55C1">
            <w:pPr>
              <w:cnfStyle w:val="000000000000" w:firstRow="0" w:lastRow="0" w:firstColumn="0" w:lastColumn="0" w:oddVBand="0" w:evenVBand="0" w:oddHBand="0" w:evenHBand="0" w:firstRowFirstColumn="0" w:firstRowLastColumn="0" w:lastRowFirstColumn="0" w:lastRowLastColumn="0"/>
              <w:rPr>
                <w:szCs w:val="20"/>
              </w:rPr>
            </w:pPr>
            <w:r w:rsidRPr="004637C7">
              <w:rPr>
                <w:szCs w:val="20"/>
              </w:rPr>
              <w:t>EPC / Sous-traitants</w:t>
            </w:r>
          </w:p>
        </w:tc>
        <w:tc>
          <w:tcPr>
            <w:tcW w:w="0" w:type="auto"/>
            <w:vMerge w:val="restart"/>
            <w:hideMark/>
          </w:tcPr>
          <w:p w14:paraId="328532B2" w14:textId="77777777" w:rsidR="0074600A" w:rsidRPr="004637C7" w:rsidRDefault="0074600A" w:rsidP="00DF55C1">
            <w:pPr>
              <w:cnfStyle w:val="000000000000" w:firstRow="0" w:lastRow="0" w:firstColumn="0" w:lastColumn="0" w:oddVBand="0" w:evenVBand="0" w:oddHBand="0" w:evenHBand="0" w:firstRowFirstColumn="0" w:firstRowLastColumn="0" w:lastRowFirstColumn="0" w:lastRowLastColumn="0"/>
              <w:rPr>
                <w:szCs w:val="20"/>
              </w:rPr>
            </w:pPr>
            <w:r w:rsidRPr="004637C7">
              <w:rPr>
                <w:szCs w:val="20"/>
              </w:rPr>
              <w:t>Bureau de contrôle / Consultant ONDA</w:t>
            </w:r>
          </w:p>
        </w:tc>
        <w:tc>
          <w:tcPr>
            <w:tcW w:w="0" w:type="auto"/>
            <w:vMerge w:val="restart"/>
            <w:hideMark/>
          </w:tcPr>
          <w:p w14:paraId="3AF6AB42" w14:textId="77777777" w:rsidR="0074600A" w:rsidRPr="004637C7" w:rsidRDefault="0074600A" w:rsidP="00DF55C1">
            <w:pPr>
              <w:cnfStyle w:val="000000000000" w:firstRow="0" w:lastRow="0" w:firstColumn="0" w:lastColumn="0" w:oddVBand="0" w:evenVBand="0" w:oddHBand="0" w:evenHBand="0" w:firstRowFirstColumn="0" w:firstRowLastColumn="0" w:lastRowFirstColumn="0" w:lastRowLastColumn="0"/>
              <w:rPr>
                <w:szCs w:val="20"/>
              </w:rPr>
            </w:pPr>
            <w:r w:rsidRPr="004637C7">
              <w:rPr>
                <w:szCs w:val="20"/>
              </w:rPr>
              <w:t>ONDA</w:t>
            </w:r>
          </w:p>
        </w:tc>
        <w:tc>
          <w:tcPr>
            <w:tcW w:w="0" w:type="auto"/>
            <w:vMerge w:val="restart"/>
            <w:hideMark/>
          </w:tcPr>
          <w:p w14:paraId="2414DF97" w14:textId="77777777" w:rsidR="0074600A" w:rsidRPr="004637C7" w:rsidRDefault="0074600A" w:rsidP="00DF55C1">
            <w:pPr>
              <w:cnfStyle w:val="000000000000" w:firstRow="0" w:lastRow="0" w:firstColumn="0" w:lastColumn="0" w:oddVBand="0" w:evenVBand="0" w:oddHBand="0" w:evenHBand="0" w:firstRowFirstColumn="0" w:firstRowLastColumn="0" w:lastRowFirstColumn="0" w:lastRowLastColumn="0"/>
              <w:rPr>
                <w:szCs w:val="20"/>
              </w:rPr>
            </w:pPr>
            <w:r w:rsidRPr="004637C7">
              <w:rPr>
                <w:szCs w:val="20"/>
              </w:rPr>
              <w:t>Avant travaux</w:t>
            </w:r>
          </w:p>
        </w:tc>
        <w:tc>
          <w:tcPr>
            <w:tcW w:w="0" w:type="auto"/>
            <w:tcBorders>
              <w:bottom w:val="single" w:sz="4" w:space="0" w:color="B4C6E7" w:themeColor="accent1" w:themeTint="66"/>
            </w:tcBorders>
            <w:hideMark/>
          </w:tcPr>
          <w:p w14:paraId="4FD26AD0" w14:textId="58CFC96A" w:rsidR="0074600A" w:rsidRPr="004637C7" w:rsidRDefault="00586999" w:rsidP="00DF55C1">
            <w:pPr>
              <w:cnfStyle w:val="000000000000" w:firstRow="0" w:lastRow="0" w:firstColumn="0" w:lastColumn="0" w:oddVBand="0" w:evenVBand="0" w:oddHBand="0" w:evenHBand="0" w:firstRowFirstColumn="0" w:firstRowLastColumn="0" w:lastRowFirstColumn="0" w:lastRowLastColumn="0"/>
              <w:rPr>
                <w:szCs w:val="20"/>
              </w:rPr>
            </w:pPr>
            <w:r>
              <w:rPr>
                <w:szCs w:val="20"/>
              </w:rPr>
              <w:t>Aucun coût spécifique</w:t>
            </w:r>
          </w:p>
        </w:tc>
      </w:tr>
      <w:tr w:rsidR="0074600A" w:rsidRPr="008D44BF" w14:paraId="7211CE00" w14:textId="77777777" w:rsidTr="0074600A">
        <w:trPr>
          <w:trHeight w:val="1000"/>
        </w:trPr>
        <w:tc>
          <w:tcPr>
            <w:cnfStyle w:val="001000000000" w:firstRow="0" w:lastRow="0" w:firstColumn="1" w:lastColumn="0" w:oddVBand="0" w:evenVBand="0" w:oddHBand="0" w:evenHBand="0" w:firstRowFirstColumn="0" w:firstRowLastColumn="0" w:lastRowFirstColumn="0" w:lastRowLastColumn="0"/>
            <w:tcW w:w="0" w:type="auto"/>
            <w:vMerge/>
          </w:tcPr>
          <w:p w14:paraId="2E850398" w14:textId="77777777" w:rsidR="0074600A" w:rsidRPr="00AA22F2" w:rsidRDefault="0074600A" w:rsidP="00DF55C1">
            <w:pPr>
              <w:rPr>
                <w:szCs w:val="20"/>
              </w:rPr>
            </w:pPr>
          </w:p>
        </w:tc>
        <w:tc>
          <w:tcPr>
            <w:tcW w:w="0" w:type="auto"/>
            <w:vMerge/>
          </w:tcPr>
          <w:p w14:paraId="3FE79764" w14:textId="77777777" w:rsidR="0074600A" w:rsidRPr="004637C7" w:rsidRDefault="0074600A" w:rsidP="00DF55C1">
            <w:pPr>
              <w:cnfStyle w:val="000000000000" w:firstRow="0" w:lastRow="0" w:firstColumn="0" w:lastColumn="0" w:oddVBand="0" w:evenVBand="0" w:oddHBand="0" w:evenHBand="0" w:firstRowFirstColumn="0" w:firstRowLastColumn="0" w:lastRowFirstColumn="0" w:lastRowLastColumn="0"/>
              <w:rPr>
                <w:szCs w:val="20"/>
              </w:rPr>
            </w:pPr>
          </w:p>
        </w:tc>
        <w:tc>
          <w:tcPr>
            <w:tcW w:w="0" w:type="auto"/>
            <w:tcBorders>
              <w:top w:val="single" w:sz="4" w:space="0" w:color="B4C6E7" w:themeColor="accent1" w:themeTint="66"/>
            </w:tcBorders>
          </w:tcPr>
          <w:p w14:paraId="32A7A182" w14:textId="77777777" w:rsidR="0074600A" w:rsidRPr="004637C7" w:rsidRDefault="0074600A" w:rsidP="0074600A">
            <w:pPr>
              <w:cnfStyle w:val="000000000000" w:firstRow="0" w:lastRow="0" w:firstColumn="0" w:lastColumn="0" w:oddVBand="0" w:evenVBand="0" w:oddHBand="0" w:evenHBand="0" w:firstRowFirstColumn="0" w:firstRowLastColumn="0" w:lastRowFirstColumn="0" w:lastRowLastColumn="0"/>
              <w:rPr>
                <w:szCs w:val="20"/>
              </w:rPr>
            </w:pPr>
            <w:r w:rsidRPr="004637C7">
              <w:rPr>
                <w:szCs w:val="20"/>
              </w:rPr>
              <w:t>Utiliser des cuves conformes et en bon état.</w:t>
            </w:r>
          </w:p>
        </w:tc>
        <w:tc>
          <w:tcPr>
            <w:tcW w:w="0" w:type="auto"/>
            <w:vMerge/>
          </w:tcPr>
          <w:p w14:paraId="63EBCB52" w14:textId="77777777" w:rsidR="0074600A" w:rsidRPr="004637C7" w:rsidRDefault="0074600A" w:rsidP="00DF55C1">
            <w:pPr>
              <w:cnfStyle w:val="000000000000" w:firstRow="0" w:lastRow="0" w:firstColumn="0" w:lastColumn="0" w:oddVBand="0" w:evenVBand="0" w:oddHBand="0" w:evenHBand="0" w:firstRowFirstColumn="0" w:firstRowLastColumn="0" w:lastRowFirstColumn="0" w:lastRowLastColumn="0"/>
              <w:rPr>
                <w:szCs w:val="20"/>
              </w:rPr>
            </w:pPr>
          </w:p>
        </w:tc>
        <w:tc>
          <w:tcPr>
            <w:tcW w:w="0" w:type="auto"/>
            <w:vMerge/>
          </w:tcPr>
          <w:p w14:paraId="67E3F37C" w14:textId="77777777" w:rsidR="0074600A" w:rsidRPr="004637C7" w:rsidRDefault="0074600A" w:rsidP="00DF55C1">
            <w:pPr>
              <w:cnfStyle w:val="000000000000" w:firstRow="0" w:lastRow="0" w:firstColumn="0" w:lastColumn="0" w:oddVBand="0" w:evenVBand="0" w:oddHBand="0" w:evenHBand="0" w:firstRowFirstColumn="0" w:firstRowLastColumn="0" w:lastRowFirstColumn="0" w:lastRowLastColumn="0"/>
              <w:rPr>
                <w:szCs w:val="20"/>
              </w:rPr>
            </w:pPr>
          </w:p>
        </w:tc>
        <w:tc>
          <w:tcPr>
            <w:tcW w:w="0" w:type="auto"/>
            <w:vMerge/>
          </w:tcPr>
          <w:p w14:paraId="2F00CF10" w14:textId="77777777" w:rsidR="0074600A" w:rsidRPr="004637C7" w:rsidRDefault="0074600A" w:rsidP="00DF55C1">
            <w:pPr>
              <w:cnfStyle w:val="000000000000" w:firstRow="0" w:lastRow="0" w:firstColumn="0" w:lastColumn="0" w:oddVBand="0" w:evenVBand="0" w:oddHBand="0" w:evenHBand="0" w:firstRowFirstColumn="0" w:firstRowLastColumn="0" w:lastRowFirstColumn="0" w:lastRowLastColumn="0"/>
              <w:rPr>
                <w:szCs w:val="20"/>
              </w:rPr>
            </w:pPr>
          </w:p>
        </w:tc>
        <w:tc>
          <w:tcPr>
            <w:tcW w:w="0" w:type="auto"/>
            <w:vMerge/>
          </w:tcPr>
          <w:p w14:paraId="4D146BAF" w14:textId="77777777" w:rsidR="0074600A" w:rsidRPr="004637C7" w:rsidRDefault="0074600A" w:rsidP="00DF55C1">
            <w:pPr>
              <w:cnfStyle w:val="000000000000" w:firstRow="0" w:lastRow="0" w:firstColumn="0" w:lastColumn="0" w:oddVBand="0" w:evenVBand="0" w:oddHBand="0" w:evenHBand="0" w:firstRowFirstColumn="0" w:firstRowLastColumn="0" w:lastRowFirstColumn="0" w:lastRowLastColumn="0"/>
              <w:rPr>
                <w:szCs w:val="20"/>
              </w:rPr>
            </w:pPr>
          </w:p>
        </w:tc>
        <w:tc>
          <w:tcPr>
            <w:tcW w:w="0" w:type="auto"/>
            <w:vMerge/>
          </w:tcPr>
          <w:p w14:paraId="2373EE5F" w14:textId="77777777" w:rsidR="0074600A" w:rsidRPr="004637C7" w:rsidRDefault="0074600A" w:rsidP="00DF55C1">
            <w:pPr>
              <w:cnfStyle w:val="000000000000" w:firstRow="0" w:lastRow="0" w:firstColumn="0" w:lastColumn="0" w:oddVBand="0" w:evenVBand="0" w:oddHBand="0" w:evenHBand="0" w:firstRowFirstColumn="0" w:firstRowLastColumn="0" w:lastRowFirstColumn="0" w:lastRowLastColumn="0"/>
              <w:rPr>
                <w:szCs w:val="20"/>
              </w:rPr>
            </w:pPr>
          </w:p>
        </w:tc>
        <w:tc>
          <w:tcPr>
            <w:tcW w:w="0" w:type="auto"/>
            <w:tcBorders>
              <w:top w:val="single" w:sz="4" w:space="0" w:color="B4C6E7" w:themeColor="accent1" w:themeTint="66"/>
            </w:tcBorders>
          </w:tcPr>
          <w:p w14:paraId="318C652A" w14:textId="1A1391D1" w:rsidR="0074600A" w:rsidRPr="00AA22F2" w:rsidRDefault="00586999" w:rsidP="00DF55C1">
            <w:pPr>
              <w:cnfStyle w:val="000000000000" w:firstRow="0" w:lastRow="0" w:firstColumn="0" w:lastColumn="0" w:oddVBand="0" w:evenVBand="0" w:oddHBand="0" w:evenHBand="0" w:firstRowFirstColumn="0" w:firstRowLastColumn="0" w:lastRowFirstColumn="0" w:lastRowLastColumn="0"/>
              <w:rPr>
                <w:szCs w:val="20"/>
              </w:rPr>
            </w:pPr>
            <w:r w:rsidRPr="00586999">
              <w:rPr>
                <w:szCs w:val="20"/>
              </w:rPr>
              <w:t>Coût moyen : 8 000–12 000 MAD/unité</w:t>
            </w:r>
          </w:p>
        </w:tc>
      </w:tr>
      <w:tr w:rsidR="00586999" w:rsidRPr="008D44BF" w14:paraId="306D314D" w14:textId="77777777" w:rsidTr="005A7661">
        <w:trPr>
          <w:trHeight w:val="840"/>
        </w:trPr>
        <w:tc>
          <w:tcPr>
            <w:cnfStyle w:val="001000000000" w:firstRow="0" w:lastRow="0" w:firstColumn="1" w:lastColumn="0" w:oddVBand="0" w:evenVBand="0" w:oddHBand="0" w:evenHBand="0" w:firstRowFirstColumn="0" w:firstRowLastColumn="0" w:lastRowFirstColumn="0" w:lastRowLastColumn="0"/>
            <w:tcW w:w="0" w:type="auto"/>
            <w:vMerge/>
          </w:tcPr>
          <w:p w14:paraId="3C1F3D24" w14:textId="77777777" w:rsidR="00586999" w:rsidRPr="00AA22F2" w:rsidRDefault="00586999" w:rsidP="00DF55C1">
            <w:pPr>
              <w:rPr>
                <w:b w:val="0"/>
                <w:bCs w:val="0"/>
                <w:szCs w:val="20"/>
              </w:rPr>
            </w:pPr>
          </w:p>
        </w:tc>
        <w:tc>
          <w:tcPr>
            <w:tcW w:w="0" w:type="auto"/>
            <w:vMerge w:val="restart"/>
            <w:hideMark/>
          </w:tcPr>
          <w:p w14:paraId="1D636B30" w14:textId="01EB54C2" w:rsidR="00586999" w:rsidRPr="004637C7" w:rsidRDefault="00586999" w:rsidP="00DF55C1">
            <w:pPr>
              <w:cnfStyle w:val="000000000000" w:firstRow="0" w:lastRow="0" w:firstColumn="0" w:lastColumn="0" w:oddVBand="0" w:evenVBand="0" w:oddHBand="0" w:evenHBand="0" w:firstRowFirstColumn="0" w:firstRowLastColumn="0" w:lastRowFirstColumn="0" w:lastRowLastColumn="0"/>
              <w:rPr>
                <w:szCs w:val="20"/>
              </w:rPr>
            </w:pPr>
            <w:r w:rsidRPr="004637C7">
              <w:rPr>
                <w:szCs w:val="20"/>
              </w:rPr>
              <w:t>Réduire</w:t>
            </w:r>
          </w:p>
        </w:tc>
        <w:tc>
          <w:tcPr>
            <w:tcW w:w="0" w:type="auto"/>
            <w:vMerge w:val="restart"/>
            <w:hideMark/>
          </w:tcPr>
          <w:p w14:paraId="0A13CCFC" w14:textId="784F07B4" w:rsidR="00586999" w:rsidRPr="004637C7" w:rsidRDefault="00586999" w:rsidP="00DF55C1">
            <w:pPr>
              <w:cnfStyle w:val="000000000000" w:firstRow="0" w:lastRow="0" w:firstColumn="0" w:lastColumn="0" w:oddVBand="0" w:evenVBand="0" w:oddHBand="0" w:evenHBand="0" w:firstRowFirstColumn="0" w:firstRowLastColumn="0" w:lastRowFirstColumn="0" w:lastRowLastColumn="0"/>
              <w:rPr>
                <w:szCs w:val="20"/>
              </w:rPr>
            </w:pPr>
            <w:r w:rsidRPr="004637C7">
              <w:rPr>
                <w:szCs w:val="20"/>
              </w:rPr>
              <w:t>Installer des bacs de rétention sous chaque cuve.</w:t>
            </w:r>
          </w:p>
        </w:tc>
        <w:tc>
          <w:tcPr>
            <w:tcW w:w="0" w:type="auto"/>
            <w:vMerge w:val="restart"/>
            <w:hideMark/>
          </w:tcPr>
          <w:p w14:paraId="34AB8A08" w14:textId="77777777" w:rsidR="00586999" w:rsidRPr="004637C7" w:rsidRDefault="00586999" w:rsidP="00DF55C1">
            <w:pPr>
              <w:cnfStyle w:val="000000000000" w:firstRow="0" w:lastRow="0" w:firstColumn="0" w:lastColumn="0" w:oddVBand="0" w:evenVBand="0" w:oddHBand="0" w:evenHBand="0" w:firstRowFirstColumn="0" w:firstRowLastColumn="0" w:lastRowFirstColumn="0" w:lastRowLastColumn="0"/>
              <w:rPr>
                <w:szCs w:val="20"/>
              </w:rPr>
            </w:pPr>
            <w:r w:rsidRPr="004637C7">
              <w:rPr>
                <w:szCs w:val="20"/>
              </w:rPr>
              <w:t>% de cuves équipées / incidents</w:t>
            </w:r>
          </w:p>
        </w:tc>
        <w:tc>
          <w:tcPr>
            <w:tcW w:w="0" w:type="auto"/>
            <w:vMerge w:val="restart"/>
            <w:hideMark/>
          </w:tcPr>
          <w:p w14:paraId="33DB2E5F" w14:textId="77777777" w:rsidR="00586999" w:rsidRPr="004637C7" w:rsidRDefault="00586999" w:rsidP="00DF55C1">
            <w:pPr>
              <w:cnfStyle w:val="000000000000" w:firstRow="0" w:lastRow="0" w:firstColumn="0" w:lastColumn="0" w:oddVBand="0" w:evenVBand="0" w:oddHBand="0" w:evenHBand="0" w:firstRowFirstColumn="0" w:firstRowLastColumn="0" w:lastRowFirstColumn="0" w:lastRowLastColumn="0"/>
              <w:rPr>
                <w:szCs w:val="20"/>
              </w:rPr>
            </w:pPr>
            <w:r w:rsidRPr="004637C7">
              <w:rPr>
                <w:szCs w:val="20"/>
              </w:rPr>
              <w:t>EPC / Sous-traitants</w:t>
            </w:r>
          </w:p>
        </w:tc>
        <w:tc>
          <w:tcPr>
            <w:tcW w:w="0" w:type="auto"/>
            <w:vMerge w:val="restart"/>
            <w:hideMark/>
          </w:tcPr>
          <w:p w14:paraId="7A8EC7B4" w14:textId="77777777" w:rsidR="00586999" w:rsidRPr="004637C7" w:rsidRDefault="00586999" w:rsidP="00DF55C1">
            <w:pPr>
              <w:cnfStyle w:val="000000000000" w:firstRow="0" w:lastRow="0" w:firstColumn="0" w:lastColumn="0" w:oddVBand="0" w:evenVBand="0" w:oddHBand="0" w:evenHBand="0" w:firstRowFirstColumn="0" w:firstRowLastColumn="0" w:lastRowFirstColumn="0" w:lastRowLastColumn="0"/>
              <w:rPr>
                <w:szCs w:val="20"/>
              </w:rPr>
            </w:pPr>
            <w:r w:rsidRPr="004637C7">
              <w:rPr>
                <w:szCs w:val="20"/>
              </w:rPr>
              <w:t xml:space="preserve">Bureau de contrôle / </w:t>
            </w:r>
            <w:r w:rsidRPr="004637C7">
              <w:rPr>
                <w:szCs w:val="20"/>
              </w:rPr>
              <w:lastRenderedPageBreak/>
              <w:t>Consultant ONDA</w:t>
            </w:r>
          </w:p>
        </w:tc>
        <w:tc>
          <w:tcPr>
            <w:tcW w:w="0" w:type="auto"/>
            <w:vMerge w:val="restart"/>
            <w:hideMark/>
          </w:tcPr>
          <w:p w14:paraId="52903262" w14:textId="77777777" w:rsidR="00586999" w:rsidRPr="004637C7" w:rsidRDefault="00586999" w:rsidP="00DF55C1">
            <w:pPr>
              <w:cnfStyle w:val="000000000000" w:firstRow="0" w:lastRow="0" w:firstColumn="0" w:lastColumn="0" w:oddVBand="0" w:evenVBand="0" w:oddHBand="0" w:evenHBand="0" w:firstRowFirstColumn="0" w:firstRowLastColumn="0" w:lastRowFirstColumn="0" w:lastRowLastColumn="0"/>
              <w:rPr>
                <w:szCs w:val="20"/>
              </w:rPr>
            </w:pPr>
            <w:r w:rsidRPr="004637C7">
              <w:rPr>
                <w:szCs w:val="20"/>
              </w:rPr>
              <w:lastRenderedPageBreak/>
              <w:t>ONDA</w:t>
            </w:r>
          </w:p>
        </w:tc>
        <w:tc>
          <w:tcPr>
            <w:tcW w:w="0" w:type="auto"/>
            <w:vMerge w:val="restart"/>
            <w:hideMark/>
          </w:tcPr>
          <w:p w14:paraId="00E9CC52" w14:textId="77777777" w:rsidR="00586999" w:rsidRPr="004637C7" w:rsidRDefault="00586999" w:rsidP="00DF55C1">
            <w:pPr>
              <w:cnfStyle w:val="000000000000" w:firstRow="0" w:lastRow="0" w:firstColumn="0" w:lastColumn="0" w:oddVBand="0" w:evenVBand="0" w:oddHBand="0" w:evenHBand="0" w:firstRowFirstColumn="0" w:firstRowLastColumn="0" w:lastRowFirstColumn="0" w:lastRowLastColumn="0"/>
              <w:rPr>
                <w:szCs w:val="20"/>
              </w:rPr>
            </w:pPr>
            <w:r w:rsidRPr="004637C7">
              <w:rPr>
                <w:szCs w:val="20"/>
              </w:rPr>
              <w:t>Continue</w:t>
            </w:r>
          </w:p>
        </w:tc>
        <w:tc>
          <w:tcPr>
            <w:tcW w:w="0" w:type="auto"/>
            <w:tcBorders>
              <w:bottom w:val="single" w:sz="4" w:space="0" w:color="B4C6E7" w:themeColor="accent1" w:themeTint="66"/>
            </w:tcBorders>
            <w:hideMark/>
          </w:tcPr>
          <w:p w14:paraId="5133FA25" w14:textId="366ECCBD" w:rsidR="00586999" w:rsidRDefault="00586999" w:rsidP="00DF55C1">
            <w:pPr>
              <w:cnfStyle w:val="000000000000" w:firstRow="0" w:lastRow="0" w:firstColumn="0" w:lastColumn="0" w:oddVBand="0" w:evenVBand="0" w:oddHBand="0" w:evenHBand="0" w:firstRowFirstColumn="0" w:firstRowLastColumn="0" w:lastRowFirstColumn="0" w:lastRowLastColumn="0"/>
              <w:rPr>
                <w:szCs w:val="20"/>
              </w:rPr>
            </w:pPr>
            <w:r w:rsidRPr="00586999">
              <w:rPr>
                <w:szCs w:val="20"/>
              </w:rPr>
              <w:t>Bac acier galvanisé 1 000–1 500 L : 5 000–6 000 MAD</w:t>
            </w:r>
          </w:p>
          <w:p w14:paraId="24501CCA" w14:textId="69F25EB7" w:rsidR="00586999" w:rsidRPr="004637C7" w:rsidRDefault="00586999" w:rsidP="00DF55C1">
            <w:pPr>
              <w:cnfStyle w:val="000000000000" w:firstRow="0" w:lastRow="0" w:firstColumn="0" w:lastColumn="0" w:oddVBand="0" w:evenVBand="0" w:oddHBand="0" w:evenHBand="0" w:firstRowFirstColumn="0" w:firstRowLastColumn="0" w:lastRowFirstColumn="0" w:lastRowLastColumn="0"/>
              <w:rPr>
                <w:szCs w:val="20"/>
              </w:rPr>
            </w:pPr>
            <w:r w:rsidRPr="00586999">
              <w:rPr>
                <w:szCs w:val="20"/>
              </w:rPr>
              <w:lastRenderedPageBreak/>
              <w:t>Kit absorbant complet : 3 000–4 000 MAD/unité</w:t>
            </w:r>
          </w:p>
        </w:tc>
      </w:tr>
      <w:tr w:rsidR="00586999" w:rsidRPr="008D44BF" w14:paraId="41038073" w14:textId="77777777" w:rsidTr="0098272F">
        <w:trPr>
          <w:trHeight w:val="521"/>
        </w:trPr>
        <w:tc>
          <w:tcPr>
            <w:cnfStyle w:val="001000000000" w:firstRow="0" w:lastRow="0" w:firstColumn="1" w:lastColumn="0" w:oddVBand="0" w:evenVBand="0" w:oddHBand="0" w:evenHBand="0" w:firstRowFirstColumn="0" w:firstRowLastColumn="0" w:lastRowFirstColumn="0" w:lastRowLastColumn="0"/>
            <w:tcW w:w="0" w:type="auto"/>
            <w:vMerge/>
          </w:tcPr>
          <w:p w14:paraId="2DDD6BC6" w14:textId="77777777" w:rsidR="00586999" w:rsidRPr="00AA22F2" w:rsidRDefault="00586999" w:rsidP="00DF55C1">
            <w:pPr>
              <w:rPr>
                <w:b w:val="0"/>
                <w:bCs w:val="0"/>
                <w:szCs w:val="20"/>
              </w:rPr>
            </w:pPr>
          </w:p>
        </w:tc>
        <w:tc>
          <w:tcPr>
            <w:tcW w:w="0" w:type="auto"/>
            <w:vMerge/>
          </w:tcPr>
          <w:p w14:paraId="227C6046" w14:textId="77777777" w:rsidR="00586999" w:rsidRPr="004637C7" w:rsidRDefault="00586999" w:rsidP="00DF55C1">
            <w:pPr>
              <w:cnfStyle w:val="000000000000" w:firstRow="0" w:lastRow="0" w:firstColumn="0" w:lastColumn="0" w:oddVBand="0" w:evenVBand="0" w:oddHBand="0" w:evenHBand="0" w:firstRowFirstColumn="0" w:firstRowLastColumn="0" w:lastRowFirstColumn="0" w:lastRowLastColumn="0"/>
              <w:rPr>
                <w:szCs w:val="20"/>
              </w:rPr>
            </w:pPr>
          </w:p>
        </w:tc>
        <w:tc>
          <w:tcPr>
            <w:tcW w:w="0" w:type="auto"/>
            <w:vMerge/>
            <w:tcBorders>
              <w:bottom w:val="single" w:sz="4" w:space="0" w:color="B4C6E7" w:themeColor="accent1" w:themeTint="66"/>
            </w:tcBorders>
          </w:tcPr>
          <w:p w14:paraId="18863300" w14:textId="77777777" w:rsidR="00586999" w:rsidRPr="004637C7" w:rsidRDefault="00586999" w:rsidP="00DF55C1">
            <w:pPr>
              <w:cnfStyle w:val="000000000000" w:firstRow="0" w:lastRow="0" w:firstColumn="0" w:lastColumn="0" w:oddVBand="0" w:evenVBand="0" w:oddHBand="0" w:evenHBand="0" w:firstRowFirstColumn="0" w:firstRowLastColumn="0" w:lastRowFirstColumn="0" w:lastRowLastColumn="0"/>
              <w:rPr>
                <w:szCs w:val="20"/>
              </w:rPr>
            </w:pPr>
          </w:p>
        </w:tc>
        <w:tc>
          <w:tcPr>
            <w:tcW w:w="0" w:type="auto"/>
            <w:vMerge/>
          </w:tcPr>
          <w:p w14:paraId="6F5F4B1B" w14:textId="77777777" w:rsidR="00586999" w:rsidRPr="004637C7" w:rsidRDefault="00586999" w:rsidP="00DF55C1">
            <w:pPr>
              <w:cnfStyle w:val="000000000000" w:firstRow="0" w:lastRow="0" w:firstColumn="0" w:lastColumn="0" w:oddVBand="0" w:evenVBand="0" w:oddHBand="0" w:evenHBand="0" w:firstRowFirstColumn="0" w:firstRowLastColumn="0" w:lastRowFirstColumn="0" w:lastRowLastColumn="0"/>
              <w:rPr>
                <w:szCs w:val="20"/>
              </w:rPr>
            </w:pPr>
          </w:p>
        </w:tc>
        <w:tc>
          <w:tcPr>
            <w:tcW w:w="0" w:type="auto"/>
            <w:vMerge/>
          </w:tcPr>
          <w:p w14:paraId="35D14F48" w14:textId="77777777" w:rsidR="00586999" w:rsidRPr="004637C7" w:rsidRDefault="00586999" w:rsidP="00DF55C1">
            <w:pPr>
              <w:cnfStyle w:val="000000000000" w:firstRow="0" w:lastRow="0" w:firstColumn="0" w:lastColumn="0" w:oddVBand="0" w:evenVBand="0" w:oddHBand="0" w:evenHBand="0" w:firstRowFirstColumn="0" w:firstRowLastColumn="0" w:lastRowFirstColumn="0" w:lastRowLastColumn="0"/>
              <w:rPr>
                <w:szCs w:val="20"/>
              </w:rPr>
            </w:pPr>
          </w:p>
        </w:tc>
        <w:tc>
          <w:tcPr>
            <w:tcW w:w="0" w:type="auto"/>
            <w:vMerge/>
          </w:tcPr>
          <w:p w14:paraId="39DB5C64" w14:textId="77777777" w:rsidR="00586999" w:rsidRPr="004637C7" w:rsidRDefault="00586999" w:rsidP="00DF55C1">
            <w:pPr>
              <w:cnfStyle w:val="000000000000" w:firstRow="0" w:lastRow="0" w:firstColumn="0" w:lastColumn="0" w:oddVBand="0" w:evenVBand="0" w:oddHBand="0" w:evenHBand="0" w:firstRowFirstColumn="0" w:firstRowLastColumn="0" w:lastRowFirstColumn="0" w:lastRowLastColumn="0"/>
              <w:rPr>
                <w:szCs w:val="20"/>
              </w:rPr>
            </w:pPr>
          </w:p>
        </w:tc>
        <w:tc>
          <w:tcPr>
            <w:tcW w:w="0" w:type="auto"/>
            <w:vMerge/>
          </w:tcPr>
          <w:p w14:paraId="2F743D00" w14:textId="77777777" w:rsidR="00586999" w:rsidRPr="004637C7" w:rsidRDefault="00586999" w:rsidP="00DF55C1">
            <w:pPr>
              <w:cnfStyle w:val="000000000000" w:firstRow="0" w:lastRow="0" w:firstColumn="0" w:lastColumn="0" w:oddVBand="0" w:evenVBand="0" w:oddHBand="0" w:evenHBand="0" w:firstRowFirstColumn="0" w:firstRowLastColumn="0" w:lastRowFirstColumn="0" w:lastRowLastColumn="0"/>
              <w:rPr>
                <w:szCs w:val="20"/>
              </w:rPr>
            </w:pPr>
          </w:p>
        </w:tc>
        <w:tc>
          <w:tcPr>
            <w:tcW w:w="0" w:type="auto"/>
            <w:vMerge/>
          </w:tcPr>
          <w:p w14:paraId="1954E638" w14:textId="77777777" w:rsidR="00586999" w:rsidRPr="004637C7" w:rsidRDefault="00586999" w:rsidP="00DF55C1">
            <w:pPr>
              <w:cnfStyle w:val="000000000000" w:firstRow="0" w:lastRow="0" w:firstColumn="0" w:lastColumn="0" w:oddVBand="0" w:evenVBand="0" w:oddHBand="0" w:evenHBand="0" w:firstRowFirstColumn="0" w:firstRowLastColumn="0" w:lastRowFirstColumn="0" w:lastRowLastColumn="0"/>
              <w:rPr>
                <w:szCs w:val="20"/>
              </w:rPr>
            </w:pPr>
          </w:p>
        </w:tc>
        <w:tc>
          <w:tcPr>
            <w:tcW w:w="0" w:type="auto"/>
            <w:vMerge w:val="restart"/>
            <w:tcBorders>
              <w:top w:val="single" w:sz="4" w:space="0" w:color="B4C6E7" w:themeColor="accent1" w:themeTint="66"/>
            </w:tcBorders>
          </w:tcPr>
          <w:p w14:paraId="6910B52D" w14:textId="55514557" w:rsidR="00586999" w:rsidRPr="00586999" w:rsidRDefault="0098272F" w:rsidP="00DF55C1">
            <w:pPr>
              <w:cnfStyle w:val="000000000000" w:firstRow="0" w:lastRow="0" w:firstColumn="0" w:lastColumn="0" w:oddVBand="0" w:evenVBand="0" w:oddHBand="0" w:evenHBand="0" w:firstRowFirstColumn="0" w:firstRowLastColumn="0" w:lastRowFirstColumn="0" w:lastRowLastColumn="0"/>
              <w:rPr>
                <w:szCs w:val="20"/>
              </w:rPr>
            </w:pPr>
            <w:r w:rsidRPr="0098272F">
              <w:rPr>
                <w:szCs w:val="20"/>
              </w:rPr>
              <w:t>Kit absorbant complet : 3 000–4 000 MAD/unité</w:t>
            </w:r>
          </w:p>
        </w:tc>
      </w:tr>
      <w:tr w:rsidR="0098272F" w:rsidRPr="008D44BF" w14:paraId="4573B597" w14:textId="77777777" w:rsidTr="005A7661">
        <w:trPr>
          <w:trHeight w:val="654"/>
        </w:trPr>
        <w:tc>
          <w:tcPr>
            <w:cnfStyle w:val="001000000000" w:firstRow="0" w:lastRow="0" w:firstColumn="1" w:lastColumn="0" w:oddVBand="0" w:evenVBand="0" w:oddHBand="0" w:evenHBand="0" w:firstRowFirstColumn="0" w:firstRowLastColumn="0" w:lastRowFirstColumn="0" w:lastRowLastColumn="0"/>
            <w:tcW w:w="0" w:type="auto"/>
            <w:vMerge/>
          </w:tcPr>
          <w:p w14:paraId="3BDFBDE4" w14:textId="77777777" w:rsidR="0098272F" w:rsidRPr="00AA22F2" w:rsidRDefault="0098272F" w:rsidP="00DF55C1">
            <w:pPr>
              <w:rPr>
                <w:b w:val="0"/>
                <w:bCs w:val="0"/>
                <w:szCs w:val="20"/>
              </w:rPr>
            </w:pPr>
          </w:p>
        </w:tc>
        <w:tc>
          <w:tcPr>
            <w:tcW w:w="0" w:type="auto"/>
            <w:vMerge/>
          </w:tcPr>
          <w:p w14:paraId="1184A607" w14:textId="77777777" w:rsidR="0098272F" w:rsidRPr="004637C7" w:rsidRDefault="0098272F" w:rsidP="00DF55C1">
            <w:pPr>
              <w:cnfStyle w:val="000000000000" w:firstRow="0" w:lastRow="0" w:firstColumn="0" w:lastColumn="0" w:oddVBand="0" w:evenVBand="0" w:oddHBand="0" w:evenHBand="0" w:firstRowFirstColumn="0" w:firstRowLastColumn="0" w:lastRowFirstColumn="0" w:lastRowLastColumn="0"/>
              <w:rPr>
                <w:szCs w:val="20"/>
              </w:rPr>
            </w:pPr>
          </w:p>
        </w:tc>
        <w:tc>
          <w:tcPr>
            <w:tcW w:w="0" w:type="auto"/>
            <w:vMerge w:val="restart"/>
            <w:tcBorders>
              <w:top w:val="single" w:sz="4" w:space="0" w:color="B4C6E7" w:themeColor="accent1" w:themeTint="66"/>
            </w:tcBorders>
          </w:tcPr>
          <w:p w14:paraId="28E217FC" w14:textId="77777777" w:rsidR="0098272F" w:rsidRPr="004637C7" w:rsidRDefault="0098272F" w:rsidP="0098272F">
            <w:pPr>
              <w:cnfStyle w:val="000000000000" w:firstRow="0" w:lastRow="0" w:firstColumn="0" w:lastColumn="0" w:oddVBand="0" w:evenVBand="0" w:oddHBand="0" w:evenHBand="0" w:firstRowFirstColumn="0" w:firstRowLastColumn="0" w:lastRowFirstColumn="0" w:lastRowLastColumn="0"/>
              <w:rPr>
                <w:szCs w:val="20"/>
              </w:rPr>
            </w:pPr>
            <w:r w:rsidRPr="004637C7">
              <w:rPr>
                <w:szCs w:val="20"/>
              </w:rPr>
              <w:t>Utiliser des absorbants biodégradables.</w:t>
            </w:r>
          </w:p>
        </w:tc>
        <w:tc>
          <w:tcPr>
            <w:tcW w:w="0" w:type="auto"/>
            <w:vMerge/>
          </w:tcPr>
          <w:p w14:paraId="04BEF64B" w14:textId="77777777" w:rsidR="0098272F" w:rsidRPr="004637C7" w:rsidRDefault="0098272F" w:rsidP="00DF55C1">
            <w:pPr>
              <w:cnfStyle w:val="000000000000" w:firstRow="0" w:lastRow="0" w:firstColumn="0" w:lastColumn="0" w:oddVBand="0" w:evenVBand="0" w:oddHBand="0" w:evenHBand="0" w:firstRowFirstColumn="0" w:firstRowLastColumn="0" w:lastRowFirstColumn="0" w:lastRowLastColumn="0"/>
              <w:rPr>
                <w:szCs w:val="20"/>
              </w:rPr>
            </w:pPr>
          </w:p>
        </w:tc>
        <w:tc>
          <w:tcPr>
            <w:tcW w:w="0" w:type="auto"/>
            <w:vMerge/>
          </w:tcPr>
          <w:p w14:paraId="2CFB4342" w14:textId="77777777" w:rsidR="0098272F" w:rsidRPr="004637C7" w:rsidRDefault="0098272F" w:rsidP="00DF55C1">
            <w:pPr>
              <w:cnfStyle w:val="000000000000" w:firstRow="0" w:lastRow="0" w:firstColumn="0" w:lastColumn="0" w:oddVBand="0" w:evenVBand="0" w:oddHBand="0" w:evenHBand="0" w:firstRowFirstColumn="0" w:firstRowLastColumn="0" w:lastRowFirstColumn="0" w:lastRowLastColumn="0"/>
              <w:rPr>
                <w:szCs w:val="20"/>
              </w:rPr>
            </w:pPr>
          </w:p>
        </w:tc>
        <w:tc>
          <w:tcPr>
            <w:tcW w:w="0" w:type="auto"/>
            <w:vMerge/>
          </w:tcPr>
          <w:p w14:paraId="3E5014AB" w14:textId="77777777" w:rsidR="0098272F" w:rsidRPr="004637C7" w:rsidRDefault="0098272F" w:rsidP="00DF55C1">
            <w:pPr>
              <w:cnfStyle w:val="000000000000" w:firstRow="0" w:lastRow="0" w:firstColumn="0" w:lastColumn="0" w:oddVBand="0" w:evenVBand="0" w:oddHBand="0" w:evenHBand="0" w:firstRowFirstColumn="0" w:firstRowLastColumn="0" w:lastRowFirstColumn="0" w:lastRowLastColumn="0"/>
              <w:rPr>
                <w:szCs w:val="20"/>
              </w:rPr>
            </w:pPr>
          </w:p>
        </w:tc>
        <w:tc>
          <w:tcPr>
            <w:tcW w:w="0" w:type="auto"/>
            <w:vMerge/>
          </w:tcPr>
          <w:p w14:paraId="2135A7DC" w14:textId="77777777" w:rsidR="0098272F" w:rsidRPr="004637C7" w:rsidRDefault="0098272F" w:rsidP="00DF55C1">
            <w:pPr>
              <w:cnfStyle w:val="000000000000" w:firstRow="0" w:lastRow="0" w:firstColumn="0" w:lastColumn="0" w:oddVBand="0" w:evenVBand="0" w:oddHBand="0" w:evenHBand="0" w:firstRowFirstColumn="0" w:firstRowLastColumn="0" w:lastRowFirstColumn="0" w:lastRowLastColumn="0"/>
              <w:rPr>
                <w:szCs w:val="20"/>
              </w:rPr>
            </w:pPr>
          </w:p>
        </w:tc>
        <w:tc>
          <w:tcPr>
            <w:tcW w:w="0" w:type="auto"/>
            <w:vMerge/>
          </w:tcPr>
          <w:p w14:paraId="22755E31" w14:textId="77777777" w:rsidR="0098272F" w:rsidRPr="004637C7" w:rsidRDefault="0098272F" w:rsidP="00DF55C1">
            <w:pPr>
              <w:cnfStyle w:val="000000000000" w:firstRow="0" w:lastRow="0" w:firstColumn="0" w:lastColumn="0" w:oddVBand="0" w:evenVBand="0" w:oddHBand="0" w:evenHBand="0" w:firstRowFirstColumn="0" w:firstRowLastColumn="0" w:lastRowFirstColumn="0" w:lastRowLastColumn="0"/>
              <w:rPr>
                <w:szCs w:val="20"/>
              </w:rPr>
            </w:pPr>
          </w:p>
        </w:tc>
        <w:tc>
          <w:tcPr>
            <w:tcW w:w="0" w:type="auto"/>
            <w:vMerge/>
            <w:tcBorders>
              <w:top w:val="single" w:sz="4" w:space="0" w:color="B4C6E7" w:themeColor="accent1" w:themeTint="66"/>
              <w:bottom w:val="single" w:sz="4" w:space="0" w:color="B4C6E7" w:themeColor="accent1" w:themeTint="66"/>
            </w:tcBorders>
          </w:tcPr>
          <w:p w14:paraId="0BAB4B48" w14:textId="77777777" w:rsidR="0098272F" w:rsidRPr="00586999" w:rsidRDefault="0098272F" w:rsidP="00DF55C1">
            <w:pPr>
              <w:cnfStyle w:val="000000000000" w:firstRow="0" w:lastRow="0" w:firstColumn="0" w:lastColumn="0" w:oddVBand="0" w:evenVBand="0" w:oddHBand="0" w:evenHBand="0" w:firstRowFirstColumn="0" w:firstRowLastColumn="0" w:lastRowFirstColumn="0" w:lastRowLastColumn="0"/>
              <w:rPr>
                <w:szCs w:val="20"/>
              </w:rPr>
            </w:pPr>
          </w:p>
        </w:tc>
      </w:tr>
      <w:tr w:rsidR="0098272F" w:rsidRPr="008D44BF" w14:paraId="26F7543E" w14:textId="77777777" w:rsidTr="005A7661">
        <w:trPr>
          <w:trHeight w:val="521"/>
        </w:trPr>
        <w:tc>
          <w:tcPr>
            <w:cnfStyle w:val="001000000000" w:firstRow="0" w:lastRow="0" w:firstColumn="1" w:lastColumn="0" w:oddVBand="0" w:evenVBand="0" w:oddHBand="0" w:evenHBand="0" w:firstRowFirstColumn="0" w:firstRowLastColumn="0" w:lastRowFirstColumn="0" w:lastRowLastColumn="0"/>
            <w:tcW w:w="0" w:type="auto"/>
            <w:vMerge/>
          </w:tcPr>
          <w:p w14:paraId="679879CC" w14:textId="77777777" w:rsidR="0098272F" w:rsidRPr="00AA22F2" w:rsidRDefault="0098272F" w:rsidP="00DF55C1">
            <w:pPr>
              <w:rPr>
                <w:b w:val="0"/>
                <w:bCs w:val="0"/>
                <w:szCs w:val="20"/>
              </w:rPr>
            </w:pPr>
          </w:p>
        </w:tc>
        <w:tc>
          <w:tcPr>
            <w:tcW w:w="0" w:type="auto"/>
            <w:vMerge/>
          </w:tcPr>
          <w:p w14:paraId="5F857900" w14:textId="77777777" w:rsidR="0098272F" w:rsidRPr="004637C7" w:rsidRDefault="0098272F" w:rsidP="00DF55C1">
            <w:pPr>
              <w:cnfStyle w:val="000000000000" w:firstRow="0" w:lastRow="0" w:firstColumn="0" w:lastColumn="0" w:oddVBand="0" w:evenVBand="0" w:oddHBand="0" w:evenHBand="0" w:firstRowFirstColumn="0" w:firstRowLastColumn="0" w:lastRowFirstColumn="0" w:lastRowLastColumn="0"/>
              <w:rPr>
                <w:szCs w:val="20"/>
              </w:rPr>
            </w:pPr>
          </w:p>
        </w:tc>
        <w:tc>
          <w:tcPr>
            <w:tcW w:w="0" w:type="auto"/>
            <w:vMerge/>
            <w:tcBorders>
              <w:bottom w:val="single" w:sz="4" w:space="0" w:color="B4C6E7" w:themeColor="accent1" w:themeTint="66"/>
            </w:tcBorders>
          </w:tcPr>
          <w:p w14:paraId="1E7FD270" w14:textId="77777777" w:rsidR="0098272F" w:rsidRPr="004637C7" w:rsidRDefault="0098272F" w:rsidP="0098272F">
            <w:pPr>
              <w:cnfStyle w:val="000000000000" w:firstRow="0" w:lastRow="0" w:firstColumn="0" w:lastColumn="0" w:oddVBand="0" w:evenVBand="0" w:oddHBand="0" w:evenHBand="0" w:firstRowFirstColumn="0" w:firstRowLastColumn="0" w:lastRowFirstColumn="0" w:lastRowLastColumn="0"/>
              <w:rPr>
                <w:szCs w:val="20"/>
              </w:rPr>
            </w:pPr>
          </w:p>
        </w:tc>
        <w:tc>
          <w:tcPr>
            <w:tcW w:w="0" w:type="auto"/>
            <w:vMerge/>
          </w:tcPr>
          <w:p w14:paraId="28B8D992" w14:textId="77777777" w:rsidR="0098272F" w:rsidRPr="004637C7" w:rsidRDefault="0098272F" w:rsidP="00DF55C1">
            <w:pPr>
              <w:cnfStyle w:val="000000000000" w:firstRow="0" w:lastRow="0" w:firstColumn="0" w:lastColumn="0" w:oddVBand="0" w:evenVBand="0" w:oddHBand="0" w:evenHBand="0" w:firstRowFirstColumn="0" w:firstRowLastColumn="0" w:lastRowFirstColumn="0" w:lastRowLastColumn="0"/>
              <w:rPr>
                <w:szCs w:val="20"/>
              </w:rPr>
            </w:pPr>
          </w:p>
        </w:tc>
        <w:tc>
          <w:tcPr>
            <w:tcW w:w="0" w:type="auto"/>
            <w:vMerge/>
          </w:tcPr>
          <w:p w14:paraId="567F896F" w14:textId="77777777" w:rsidR="0098272F" w:rsidRPr="004637C7" w:rsidRDefault="0098272F" w:rsidP="00DF55C1">
            <w:pPr>
              <w:cnfStyle w:val="000000000000" w:firstRow="0" w:lastRow="0" w:firstColumn="0" w:lastColumn="0" w:oddVBand="0" w:evenVBand="0" w:oddHBand="0" w:evenHBand="0" w:firstRowFirstColumn="0" w:firstRowLastColumn="0" w:lastRowFirstColumn="0" w:lastRowLastColumn="0"/>
              <w:rPr>
                <w:szCs w:val="20"/>
              </w:rPr>
            </w:pPr>
          </w:p>
        </w:tc>
        <w:tc>
          <w:tcPr>
            <w:tcW w:w="0" w:type="auto"/>
            <w:vMerge/>
          </w:tcPr>
          <w:p w14:paraId="75C84787" w14:textId="77777777" w:rsidR="0098272F" w:rsidRPr="004637C7" w:rsidRDefault="0098272F" w:rsidP="00DF55C1">
            <w:pPr>
              <w:cnfStyle w:val="000000000000" w:firstRow="0" w:lastRow="0" w:firstColumn="0" w:lastColumn="0" w:oddVBand="0" w:evenVBand="0" w:oddHBand="0" w:evenHBand="0" w:firstRowFirstColumn="0" w:firstRowLastColumn="0" w:lastRowFirstColumn="0" w:lastRowLastColumn="0"/>
              <w:rPr>
                <w:szCs w:val="20"/>
              </w:rPr>
            </w:pPr>
          </w:p>
        </w:tc>
        <w:tc>
          <w:tcPr>
            <w:tcW w:w="0" w:type="auto"/>
            <w:vMerge/>
          </w:tcPr>
          <w:p w14:paraId="1F6D0EF0" w14:textId="77777777" w:rsidR="0098272F" w:rsidRPr="004637C7" w:rsidRDefault="0098272F" w:rsidP="00DF55C1">
            <w:pPr>
              <w:cnfStyle w:val="000000000000" w:firstRow="0" w:lastRow="0" w:firstColumn="0" w:lastColumn="0" w:oddVBand="0" w:evenVBand="0" w:oddHBand="0" w:evenHBand="0" w:firstRowFirstColumn="0" w:firstRowLastColumn="0" w:lastRowFirstColumn="0" w:lastRowLastColumn="0"/>
              <w:rPr>
                <w:szCs w:val="20"/>
              </w:rPr>
            </w:pPr>
          </w:p>
        </w:tc>
        <w:tc>
          <w:tcPr>
            <w:tcW w:w="0" w:type="auto"/>
            <w:vMerge/>
          </w:tcPr>
          <w:p w14:paraId="35E2E1A2" w14:textId="77777777" w:rsidR="0098272F" w:rsidRPr="004637C7" w:rsidRDefault="0098272F" w:rsidP="00DF55C1">
            <w:pPr>
              <w:cnfStyle w:val="000000000000" w:firstRow="0" w:lastRow="0" w:firstColumn="0" w:lastColumn="0" w:oddVBand="0" w:evenVBand="0" w:oddHBand="0" w:evenHBand="0" w:firstRowFirstColumn="0" w:firstRowLastColumn="0" w:lastRowFirstColumn="0" w:lastRowLastColumn="0"/>
              <w:rPr>
                <w:szCs w:val="20"/>
              </w:rPr>
            </w:pPr>
          </w:p>
        </w:tc>
        <w:tc>
          <w:tcPr>
            <w:tcW w:w="0" w:type="auto"/>
            <w:vMerge w:val="restart"/>
            <w:tcBorders>
              <w:top w:val="single" w:sz="4" w:space="0" w:color="B4C6E7" w:themeColor="accent1" w:themeTint="66"/>
            </w:tcBorders>
          </w:tcPr>
          <w:p w14:paraId="5BF6D286" w14:textId="5E8AD735" w:rsidR="0098272F" w:rsidRPr="00586999" w:rsidRDefault="0098272F" w:rsidP="00DF55C1">
            <w:pPr>
              <w:cnfStyle w:val="000000000000" w:firstRow="0" w:lastRow="0" w:firstColumn="0" w:lastColumn="0" w:oddVBand="0" w:evenVBand="0" w:oddHBand="0" w:evenHBand="0" w:firstRowFirstColumn="0" w:firstRowLastColumn="0" w:lastRowFirstColumn="0" w:lastRowLastColumn="0"/>
              <w:rPr>
                <w:szCs w:val="20"/>
              </w:rPr>
            </w:pPr>
            <w:r>
              <w:rPr>
                <w:szCs w:val="20"/>
              </w:rPr>
              <w:t>Aucun coût spécifique</w:t>
            </w:r>
          </w:p>
        </w:tc>
      </w:tr>
      <w:tr w:rsidR="00586999" w:rsidRPr="008D44BF" w14:paraId="6154E9FA" w14:textId="77777777" w:rsidTr="00586999">
        <w:trPr>
          <w:trHeight w:val="747"/>
        </w:trPr>
        <w:tc>
          <w:tcPr>
            <w:cnfStyle w:val="001000000000" w:firstRow="0" w:lastRow="0" w:firstColumn="1" w:lastColumn="0" w:oddVBand="0" w:evenVBand="0" w:oddHBand="0" w:evenHBand="0" w:firstRowFirstColumn="0" w:firstRowLastColumn="0" w:lastRowFirstColumn="0" w:lastRowLastColumn="0"/>
            <w:tcW w:w="0" w:type="auto"/>
            <w:vMerge/>
          </w:tcPr>
          <w:p w14:paraId="293D3DB7" w14:textId="77777777" w:rsidR="00586999" w:rsidRPr="00AA22F2" w:rsidRDefault="00586999" w:rsidP="00DF55C1">
            <w:pPr>
              <w:rPr>
                <w:b w:val="0"/>
                <w:bCs w:val="0"/>
                <w:szCs w:val="20"/>
              </w:rPr>
            </w:pPr>
          </w:p>
        </w:tc>
        <w:tc>
          <w:tcPr>
            <w:tcW w:w="0" w:type="auto"/>
            <w:vMerge/>
          </w:tcPr>
          <w:p w14:paraId="2D755446" w14:textId="77777777" w:rsidR="00586999" w:rsidRPr="004637C7" w:rsidRDefault="00586999" w:rsidP="00DF55C1">
            <w:pPr>
              <w:cnfStyle w:val="000000000000" w:firstRow="0" w:lastRow="0" w:firstColumn="0" w:lastColumn="0" w:oddVBand="0" w:evenVBand="0" w:oddHBand="0" w:evenHBand="0" w:firstRowFirstColumn="0" w:firstRowLastColumn="0" w:lastRowFirstColumn="0" w:lastRowLastColumn="0"/>
              <w:rPr>
                <w:szCs w:val="20"/>
              </w:rPr>
            </w:pPr>
          </w:p>
        </w:tc>
        <w:tc>
          <w:tcPr>
            <w:tcW w:w="0" w:type="auto"/>
            <w:tcBorders>
              <w:top w:val="single" w:sz="4" w:space="0" w:color="B4C6E7" w:themeColor="accent1" w:themeTint="66"/>
            </w:tcBorders>
          </w:tcPr>
          <w:p w14:paraId="092EBD27" w14:textId="77777777" w:rsidR="00586999" w:rsidRPr="004637C7" w:rsidRDefault="00586999" w:rsidP="00586999">
            <w:pPr>
              <w:cnfStyle w:val="000000000000" w:firstRow="0" w:lastRow="0" w:firstColumn="0" w:lastColumn="0" w:oddVBand="0" w:evenVBand="0" w:oddHBand="0" w:evenHBand="0" w:firstRowFirstColumn="0" w:firstRowLastColumn="0" w:lastRowFirstColumn="0" w:lastRowLastColumn="0"/>
              <w:rPr>
                <w:szCs w:val="20"/>
              </w:rPr>
            </w:pPr>
            <w:r w:rsidRPr="004637C7">
              <w:rPr>
                <w:szCs w:val="20"/>
              </w:rPr>
              <w:t>Limiter les volumes stockés.</w:t>
            </w:r>
          </w:p>
        </w:tc>
        <w:tc>
          <w:tcPr>
            <w:tcW w:w="0" w:type="auto"/>
            <w:vMerge/>
          </w:tcPr>
          <w:p w14:paraId="611B2BBA" w14:textId="77777777" w:rsidR="00586999" w:rsidRPr="004637C7" w:rsidRDefault="00586999" w:rsidP="00DF55C1">
            <w:pPr>
              <w:cnfStyle w:val="000000000000" w:firstRow="0" w:lastRow="0" w:firstColumn="0" w:lastColumn="0" w:oddVBand="0" w:evenVBand="0" w:oddHBand="0" w:evenHBand="0" w:firstRowFirstColumn="0" w:firstRowLastColumn="0" w:lastRowFirstColumn="0" w:lastRowLastColumn="0"/>
              <w:rPr>
                <w:szCs w:val="20"/>
              </w:rPr>
            </w:pPr>
          </w:p>
        </w:tc>
        <w:tc>
          <w:tcPr>
            <w:tcW w:w="0" w:type="auto"/>
            <w:vMerge/>
          </w:tcPr>
          <w:p w14:paraId="6A695F00" w14:textId="77777777" w:rsidR="00586999" w:rsidRPr="004637C7" w:rsidRDefault="00586999" w:rsidP="00DF55C1">
            <w:pPr>
              <w:cnfStyle w:val="000000000000" w:firstRow="0" w:lastRow="0" w:firstColumn="0" w:lastColumn="0" w:oddVBand="0" w:evenVBand="0" w:oddHBand="0" w:evenHBand="0" w:firstRowFirstColumn="0" w:firstRowLastColumn="0" w:lastRowFirstColumn="0" w:lastRowLastColumn="0"/>
              <w:rPr>
                <w:szCs w:val="20"/>
              </w:rPr>
            </w:pPr>
          </w:p>
        </w:tc>
        <w:tc>
          <w:tcPr>
            <w:tcW w:w="0" w:type="auto"/>
            <w:vMerge/>
          </w:tcPr>
          <w:p w14:paraId="676E7A6F" w14:textId="77777777" w:rsidR="00586999" w:rsidRPr="004637C7" w:rsidRDefault="00586999" w:rsidP="00DF55C1">
            <w:pPr>
              <w:cnfStyle w:val="000000000000" w:firstRow="0" w:lastRow="0" w:firstColumn="0" w:lastColumn="0" w:oddVBand="0" w:evenVBand="0" w:oddHBand="0" w:evenHBand="0" w:firstRowFirstColumn="0" w:firstRowLastColumn="0" w:lastRowFirstColumn="0" w:lastRowLastColumn="0"/>
              <w:rPr>
                <w:szCs w:val="20"/>
              </w:rPr>
            </w:pPr>
          </w:p>
        </w:tc>
        <w:tc>
          <w:tcPr>
            <w:tcW w:w="0" w:type="auto"/>
            <w:vMerge/>
          </w:tcPr>
          <w:p w14:paraId="145BE2B2" w14:textId="77777777" w:rsidR="00586999" w:rsidRPr="004637C7" w:rsidRDefault="00586999" w:rsidP="00DF55C1">
            <w:pPr>
              <w:cnfStyle w:val="000000000000" w:firstRow="0" w:lastRow="0" w:firstColumn="0" w:lastColumn="0" w:oddVBand="0" w:evenVBand="0" w:oddHBand="0" w:evenHBand="0" w:firstRowFirstColumn="0" w:firstRowLastColumn="0" w:lastRowFirstColumn="0" w:lastRowLastColumn="0"/>
              <w:rPr>
                <w:szCs w:val="20"/>
              </w:rPr>
            </w:pPr>
          </w:p>
        </w:tc>
        <w:tc>
          <w:tcPr>
            <w:tcW w:w="0" w:type="auto"/>
            <w:vMerge/>
          </w:tcPr>
          <w:p w14:paraId="24148F7F" w14:textId="77777777" w:rsidR="00586999" w:rsidRPr="004637C7" w:rsidRDefault="00586999" w:rsidP="00DF55C1">
            <w:pPr>
              <w:cnfStyle w:val="000000000000" w:firstRow="0" w:lastRow="0" w:firstColumn="0" w:lastColumn="0" w:oddVBand="0" w:evenVBand="0" w:oddHBand="0" w:evenHBand="0" w:firstRowFirstColumn="0" w:firstRowLastColumn="0" w:lastRowFirstColumn="0" w:lastRowLastColumn="0"/>
              <w:rPr>
                <w:szCs w:val="20"/>
              </w:rPr>
            </w:pPr>
          </w:p>
        </w:tc>
        <w:tc>
          <w:tcPr>
            <w:tcW w:w="0" w:type="auto"/>
            <w:vMerge/>
          </w:tcPr>
          <w:p w14:paraId="43D1C3E4" w14:textId="77777777" w:rsidR="00586999" w:rsidRPr="00586999" w:rsidRDefault="00586999" w:rsidP="00DF55C1">
            <w:pPr>
              <w:cnfStyle w:val="000000000000" w:firstRow="0" w:lastRow="0" w:firstColumn="0" w:lastColumn="0" w:oddVBand="0" w:evenVBand="0" w:oddHBand="0" w:evenHBand="0" w:firstRowFirstColumn="0" w:firstRowLastColumn="0" w:lastRowFirstColumn="0" w:lastRowLastColumn="0"/>
              <w:rPr>
                <w:szCs w:val="20"/>
              </w:rPr>
            </w:pPr>
          </w:p>
        </w:tc>
      </w:tr>
      <w:tr w:rsidR="00CB01E5" w:rsidRPr="008D44BF" w14:paraId="6A20A415" w14:textId="77777777" w:rsidTr="00CB01E5">
        <w:trPr>
          <w:trHeight w:val="1267"/>
        </w:trPr>
        <w:tc>
          <w:tcPr>
            <w:cnfStyle w:val="001000000000" w:firstRow="0" w:lastRow="0" w:firstColumn="1" w:lastColumn="0" w:oddVBand="0" w:evenVBand="0" w:oddHBand="0" w:evenHBand="0" w:firstRowFirstColumn="0" w:firstRowLastColumn="0" w:lastRowFirstColumn="0" w:lastRowLastColumn="0"/>
            <w:tcW w:w="0" w:type="auto"/>
            <w:vMerge/>
          </w:tcPr>
          <w:p w14:paraId="6C021D26" w14:textId="77777777" w:rsidR="00CB01E5" w:rsidRPr="00AA22F2" w:rsidRDefault="00CB01E5" w:rsidP="00DF55C1">
            <w:pPr>
              <w:rPr>
                <w:b w:val="0"/>
                <w:bCs w:val="0"/>
                <w:szCs w:val="20"/>
              </w:rPr>
            </w:pPr>
          </w:p>
        </w:tc>
        <w:tc>
          <w:tcPr>
            <w:tcW w:w="0" w:type="auto"/>
            <w:vMerge w:val="restart"/>
            <w:hideMark/>
          </w:tcPr>
          <w:p w14:paraId="680913A0" w14:textId="15795D6F" w:rsidR="00CB01E5" w:rsidRPr="004637C7" w:rsidRDefault="00CB01E5" w:rsidP="00DF55C1">
            <w:pPr>
              <w:cnfStyle w:val="000000000000" w:firstRow="0" w:lastRow="0" w:firstColumn="0" w:lastColumn="0" w:oddVBand="0" w:evenVBand="0" w:oddHBand="0" w:evenHBand="0" w:firstRowFirstColumn="0" w:firstRowLastColumn="0" w:lastRowFirstColumn="0" w:lastRowLastColumn="0"/>
              <w:rPr>
                <w:szCs w:val="20"/>
              </w:rPr>
            </w:pPr>
            <w:r w:rsidRPr="004637C7">
              <w:rPr>
                <w:szCs w:val="20"/>
              </w:rPr>
              <w:t>Atténuer</w:t>
            </w:r>
          </w:p>
        </w:tc>
        <w:tc>
          <w:tcPr>
            <w:tcW w:w="0" w:type="auto"/>
            <w:tcBorders>
              <w:bottom w:val="single" w:sz="4" w:space="0" w:color="B4C6E7" w:themeColor="accent1" w:themeTint="66"/>
            </w:tcBorders>
            <w:hideMark/>
          </w:tcPr>
          <w:p w14:paraId="3F42CF9B" w14:textId="4C32B755" w:rsidR="00CB01E5" w:rsidRPr="004637C7" w:rsidRDefault="00CB01E5" w:rsidP="00DF55C1">
            <w:pPr>
              <w:cnfStyle w:val="000000000000" w:firstRow="0" w:lastRow="0" w:firstColumn="0" w:lastColumn="0" w:oddVBand="0" w:evenVBand="0" w:oddHBand="0" w:evenHBand="0" w:firstRowFirstColumn="0" w:firstRowLastColumn="0" w:lastRowFirstColumn="0" w:lastRowLastColumn="0"/>
              <w:rPr>
                <w:szCs w:val="20"/>
              </w:rPr>
            </w:pPr>
            <w:r w:rsidRPr="004637C7">
              <w:rPr>
                <w:szCs w:val="20"/>
              </w:rPr>
              <w:t>Mettre à disposition des kits d’urgence (absorbants, barrières).</w:t>
            </w:r>
          </w:p>
        </w:tc>
        <w:tc>
          <w:tcPr>
            <w:tcW w:w="0" w:type="auto"/>
            <w:vMerge w:val="restart"/>
            <w:hideMark/>
          </w:tcPr>
          <w:p w14:paraId="012353D1" w14:textId="77777777" w:rsidR="00CB01E5" w:rsidRPr="004637C7" w:rsidRDefault="00CB01E5" w:rsidP="00DF55C1">
            <w:pPr>
              <w:cnfStyle w:val="000000000000" w:firstRow="0" w:lastRow="0" w:firstColumn="0" w:lastColumn="0" w:oddVBand="0" w:evenVBand="0" w:oddHBand="0" w:evenHBand="0" w:firstRowFirstColumn="0" w:firstRowLastColumn="0" w:lastRowFirstColumn="0" w:lastRowLastColumn="0"/>
              <w:rPr>
                <w:szCs w:val="20"/>
              </w:rPr>
            </w:pPr>
            <w:r w:rsidRPr="004637C7">
              <w:rPr>
                <w:szCs w:val="20"/>
              </w:rPr>
              <w:t>Temps de réponse / nombre d’incidents</w:t>
            </w:r>
          </w:p>
        </w:tc>
        <w:tc>
          <w:tcPr>
            <w:tcW w:w="0" w:type="auto"/>
            <w:vMerge w:val="restart"/>
            <w:hideMark/>
          </w:tcPr>
          <w:p w14:paraId="4353189F" w14:textId="77777777" w:rsidR="00CB01E5" w:rsidRPr="004637C7" w:rsidRDefault="00CB01E5" w:rsidP="00DF55C1">
            <w:pPr>
              <w:cnfStyle w:val="000000000000" w:firstRow="0" w:lastRow="0" w:firstColumn="0" w:lastColumn="0" w:oddVBand="0" w:evenVBand="0" w:oddHBand="0" w:evenHBand="0" w:firstRowFirstColumn="0" w:firstRowLastColumn="0" w:lastRowFirstColumn="0" w:lastRowLastColumn="0"/>
              <w:rPr>
                <w:szCs w:val="20"/>
              </w:rPr>
            </w:pPr>
            <w:r w:rsidRPr="004637C7">
              <w:rPr>
                <w:szCs w:val="20"/>
              </w:rPr>
              <w:t>EPC / Sous-traitants</w:t>
            </w:r>
          </w:p>
        </w:tc>
        <w:tc>
          <w:tcPr>
            <w:tcW w:w="0" w:type="auto"/>
            <w:vMerge w:val="restart"/>
            <w:hideMark/>
          </w:tcPr>
          <w:p w14:paraId="65E45F3B" w14:textId="77777777" w:rsidR="00CB01E5" w:rsidRPr="004637C7" w:rsidRDefault="00CB01E5" w:rsidP="00DF55C1">
            <w:pPr>
              <w:cnfStyle w:val="000000000000" w:firstRow="0" w:lastRow="0" w:firstColumn="0" w:lastColumn="0" w:oddVBand="0" w:evenVBand="0" w:oddHBand="0" w:evenHBand="0" w:firstRowFirstColumn="0" w:firstRowLastColumn="0" w:lastRowFirstColumn="0" w:lastRowLastColumn="0"/>
              <w:rPr>
                <w:szCs w:val="20"/>
              </w:rPr>
            </w:pPr>
            <w:r w:rsidRPr="004637C7">
              <w:rPr>
                <w:szCs w:val="20"/>
              </w:rPr>
              <w:t>Bureau de contrôle / Consultant ONDA</w:t>
            </w:r>
          </w:p>
        </w:tc>
        <w:tc>
          <w:tcPr>
            <w:tcW w:w="0" w:type="auto"/>
            <w:vMerge w:val="restart"/>
            <w:hideMark/>
          </w:tcPr>
          <w:p w14:paraId="05264D14" w14:textId="77777777" w:rsidR="00CB01E5" w:rsidRPr="004637C7" w:rsidRDefault="00CB01E5" w:rsidP="00DF55C1">
            <w:pPr>
              <w:cnfStyle w:val="000000000000" w:firstRow="0" w:lastRow="0" w:firstColumn="0" w:lastColumn="0" w:oddVBand="0" w:evenVBand="0" w:oddHBand="0" w:evenHBand="0" w:firstRowFirstColumn="0" w:firstRowLastColumn="0" w:lastRowFirstColumn="0" w:lastRowLastColumn="0"/>
              <w:rPr>
                <w:szCs w:val="20"/>
              </w:rPr>
            </w:pPr>
            <w:r w:rsidRPr="004637C7">
              <w:rPr>
                <w:szCs w:val="20"/>
              </w:rPr>
              <w:t>ONDA</w:t>
            </w:r>
          </w:p>
        </w:tc>
        <w:tc>
          <w:tcPr>
            <w:tcW w:w="0" w:type="auto"/>
            <w:vMerge w:val="restart"/>
            <w:hideMark/>
          </w:tcPr>
          <w:p w14:paraId="2967A84C" w14:textId="77777777" w:rsidR="00CB01E5" w:rsidRPr="004637C7" w:rsidRDefault="00CB01E5" w:rsidP="00DF55C1">
            <w:pPr>
              <w:cnfStyle w:val="000000000000" w:firstRow="0" w:lastRow="0" w:firstColumn="0" w:lastColumn="0" w:oddVBand="0" w:evenVBand="0" w:oddHBand="0" w:evenHBand="0" w:firstRowFirstColumn="0" w:firstRowLastColumn="0" w:lastRowFirstColumn="0" w:lastRowLastColumn="0"/>
              <w:rPr>
                <w:szCs w:val="20"/>
              </w:rPr>
            </w:pPr>
            <w:r w:rsidRPr="004637C7">
              <w:rPr>
                <w:szCs w:val="20"/>
              </w:rPr>
              <w:t>En continu</w:t>
            </w:r>
          </w:p>
        </w:tc>
        <w:tc>
          <w:tcPr>
            <w:tcW w:w="0" w:type="auto"/>
            <w:tcBorders>
              <w:bottom w:val="single" w:sz="4" w:space="0" w:color="B4C6E7" w:themeColor="accent1" w:themeTint="66"/>
            </w:tcBorders>
            <w:hideMark/>
          </w:tcPr>
          <w:p w14:paraId="08B02FA6" w14:textId="18442DA1" w:rsidR="00CB01E5" w:rsidRPr="004637C7" w:rsidRDefault="00CB01E5" w:rsidP="00DF55C1">
            <w:pPr>
              <w:cnfStyle w:val="000000000000" w:firstRow="0" w:lastRow="0" w:firstColumn="0" w:lastColumn="0" w:oddVBand="0" w:evenVBand="0" w:oddHBand="0" w:evenHBand="0" w:firstRowFirstColumn="0" w:firstRowLastColumn="0" w:lastRowFirstColumn="0" w:lastRowLastColumn="0"/>
              <w:rPr>
                <w:szCs w:val="20"/>
              </w:rPr>
            </w:pPr>
            <w:r w:rsidRPr="00AA22F2">
              <w:rPr>
                <w:szCs w:val="20"/>
              </w:rPr>
              <w:t>Kit 50litres à  environ 1 200 MAD</w:t>
            </w:r>
          </w:p>
        </w:tc>
      </w:tr>
      <w:tr w:rsidR="00CB01E5" w:rsidRPr="008D44BF" w14:paraId="4BE81177" w14:textId="77777777" w:rsidTr="00CB01E5">
        <w:trPr>
          <w:trHeight w:val="1333"/>
        </w:trPr>
        <w:tc>
          <w:tcPr>
            <w:cnfStyle w:val="001000000000" w:firstRow="0" w:lastRow="0" w:firstColumn="1" w:lastColumn="0" w:oddVBand="0" w:evenVBand="0" w:oddHBand="0" w:evenHBand="0" w:firstRowFirstColumn="0" w:firstRowLastColumn="0" w:lastRowFirstColumn="0" w:lastRowLastColumn="0"/>
            <w:tcW w:w="0" w:type="auto"/>
            <w:vMerge/>
          </w:tcPr>
          <w:p w14:paraId="7242C1D0" w14:textId="77777777" w:rsidR="00CB01E5" w:rsidRPr="00AA22F2" w:rsidRDefault="00CB01E5" w:rsidP="00DF55C1">
            <w:pPr>
              <w:rPr>
                <w:b w:val="0"/>
                <w:bCs w:val="0"/>
                <w:szCs w:val="20"/>
              </w:rPr>
            </w:pPr>
          </w:p>
        </w:tc>
        <w:tc>
          <w:tcPr>
            <w:tcW w:w="0" w:type="auto"/>
            <w:vMerge/>
          </w:tcPr>
          <w:p w14:paraId="06123DFB" w14:textId="77777777" w:rsidR="00CB01E5" w:rsidRPr="004637C7" w:rsidRDefault="00CB01E5" w:rsidP="00DF55C1">
            <w:pPr>
              <w:cnfStyle w:val="000000000000" w:firstRow="0" w:lastRow="0" w:firstColumn="0" w:lastColumn="0" w:oddVBand="0" w:evenVBand="0" w:oddHBand="0" w:evenHBand="0" w:firstRowFirstColumn="0" w:firstRowLastColumn="0" w:lastRowFirstColumn="0" w:lastRowLastColumn="0"/>
              <w:rPr>
                <w:szCs w:val="20"/>
              </w:rPr>
            </w:pPr>
          </w:p>
        </w:tc>
        <w:tc>
          <w:tcPr>
            <w:tcW w:w="0" w:type="auto"/>
            <w:tcBorders>
              <w:top w:val="single" w:sz="4" w:space="0" w:color="B4C6E7" w:themeColor="accent1" w:themeTint="66"/>
            </w:tcBorders>
          </w:tcPr>
          <w:p w14:paraId="04E06B94" w14:textId="77777777" w:rsidR="00CB01E5" w:rsidRPr="004637C7" w:rsidRDefault="00CB01E5" w:rsidP="00CB01E5">
            <w:pPr>
              <w:cnfStyle w:val="000000000000" w:firstRow="0" w:lastRow="0" w:firstColumn="0" w:lastColumn="0" w:oddVBand="0" w:evenVBand="0" w:oddHBand="0" w:evenHBand="0" w:firstRowFirstColumn="0" w:firstRowLastColumn="0" w:lastRowFirstColumn="0" w:lastRowLastColumn="0"/>
              <w:rPr>
                <w:szCs w:val="20"/>
              </w:rPr>
            </w:pPr>
            <w:r w:rsidRPr="004637C7">
              <w:rPr>
                <w:szCs w:val="20"/>
              </w:rPr>
              <w:t>Appliquer immédiatement le plan d’urgence en cas de fuite.</w:t>
            </w:r>
          </w:p>
        </w:tc>
        <w:tc>
          <w:tcPr>
            <w:tcW w:w="0" w:type="auto"/>
            <w:vMerge/>
          </w:tcPr>
          <w:p w14:paraId="308BB262" w14:textId="77777777" w:rsidR="00CB01E5" w:rsidRPr="004637C7" w:rsidRDefault="00CB01E5" w:rsidP="00DF55C1">
            <w:pPr>
              <w:cnfStyle w:val="000000000000" w:firstRow="0" w:lastRow="0" w:firstColumn="0" w:lastColumn="0" w:oddVBand="0" w:evenVBand="0" w:oddHBand="0" w:evenHBand="0" w:firstRowFirstColumn="0" w:firstRowLastColumn="0" w:lastRowFirstColumn="0" w:lastRowLastColumn="0"/>
              <w:rPr>
                <w:szCs w:val="20"/>
              </w:rPr>
            </w:pPr>
          </w:p>
        </w:tc>
        <w:tc>
          <w:tcPr>
            <w:tcW w:w="0" w:type="auto"/>
            <w:vMerge/>
          </w:tcPr>
          <w:p w14:paraId="7A47141E" w14:textId="77777777" w:rsidR="00CB01E5" w:rsidRPr="004637C7" w:rsidRDefault="00CB01E5" w:rsidP="00DF55C1">
            <w:pPr>
              <w:cnfStyle w:val="000000000000" w:firstRow="0" w:lastRow="0" w:firstColumn="0" w:lastColumn="0" w:oddVBand="0" w:evenVBand="0" w:oddHBand="0" w:evenHBand="0" w:firstRowFirstColumn="0" w:firstRowLastColumn="0" w:lastRowFirstColumn="0" w:lastRowLastColumn="0"/>
              <w:rPr>
                <w:szCs w:val="20"/>
              </w:rPr>
            </w:pPr>
          </w:p>
        </w:tc>
        <w:tc>
          <w:tcPr>
            <w:tcW w:w="0" w:type="auto"/>
            <w:vMerge/>
          </w:tcPr>
          <w:p w14:paraId="13DBBDC9" w14:textId="77777777" w:rsidR="00CB01E5" w:rsidRPr="004637C7" w:rsidRDefault="00CB01E5" w:rsidP="00DF55C1">
            <w:pPr>
              <w:cnfStyle w:val="000000000000" w:firstRow="0" w:lastRow="0" w:firstColumn="0" w:lastColumn="0" w:oddVBand="0" w:evenVBand="0" w:oddHBand="0" w:evenHBand="0" w:firstRowFirstColumn="0" w:firstRowLastColumn="0" w:lastRowFirstColumn="0" w:lastRowLastColumn="0"/>
              <w:rPr>
                <w:szCs w:val="20"/>
              </w:rPr>
            </w:pPr>
          </w:p>
        </w:tc>
        <w:tc>
          <w:tcPr>
            <w:tcW w:w="0" w:type="auto"/>
            <w:vMerge/>
          </w:tcPr>
          <w:p w14:paraId="700C774C" w14:textId="77777777" w:rsidR="00CB01E5" w:rsidRPr="004637C7" w:rsidRDefault="00CB01E5" w:rsidP="00DF55C1">
            <w:pPr>
              <w:cnfStyle w:val="000000000000" w:firstRow="0" w:lastRow="0" w:firstColumn="0" w:lastColumn="0" w:oddVBand="0" w:evenVBand="0" w:oddHBand="0" w:evenHBand="0" w:firstRowFirstColumn="0" w:firstRowLastColumn="0" w:lastRowFirstColumn="0" w:lastRowLastColumn="0"/>
              <w:rPr>
                <w:szCs w:val="20"/>
              </w:rPr>
            </w:pPr>
          </w:p>
        </w:tc>
        <w:tc>
          <w:tcPr>
            <w:tcW w:w="0" w:type="auto"/>
            <w:vMerge/>
          </w:tcPr>
          <w:p w14:paraId="2949900D" w14:textId="77777777" w:rsidR="00CB01E5" w:rsidRPr="004637C7" w:rsidRDefault="00CB01E5" w:rsidP="00DF55C1">
            <w:pPr>
              <w:cnfStyle w:val="000000000000" w:firstRow="0" w:lastRow="0" w:firstColumn="0" w:lastColumn="0" w:oddVBand="0" w:evenVBand="0" w:oddHBand="0" w:evenHBand="0" w:firstRowFirstColumn="0" w:firstRowLastColumn="0" w:lastRowFirstColumn="0" w:lastRowLastColumn="0"/>
              <w:rPr>
                <w:szCs w:val="20"/>
              </w:rPr>
            </w:pPr>
          </w:p>
        </w:tc>
        <w:tc>
          <w:tcPr>
            <w:tcW w:w="0" w:type="auto"/>
            <w:tcBorders>
              <w:top w:val="single" w:sz="4" w:space="0" w:color="B4C6E7" w:themeColor="accent1" w:themeTint="66"/>
            </w:tcBorders>
          </w:tcPr>
          <w:p w14:paraId="06281CDE" w14:textId="323D814F" w:rsidR="00CB01E5" w:rsidRPr="00AA22F2" w:rsidRDefault="00074072" w:rsidP="00DF55C1">
            <w:pPr>
              <w:cnfStyle w:val="000000000000" w:firstRow="0" w:lastRow="0" w:firstColumn="0" w:lastColumn="0" w:oddVBand="0" w:evenVBand="0" w:oddHBand="0" w:evenHBand="0" w:firstRowFirstColumn="0" w:firstRowLastColumn="0" w:lastRowFirstColumn="0" w:lastRowLastColumn="0"/>
              <w:rPr>
                <w:szCs w:val="20"/>
              </w:rPr>
            </w:pPr>
            <w:r>
              <w:rPr>
                <w:szCs w:val="20"/>
              </w:rPr>
              <w:t>Aucun coût spécifique</w:t>
            </w:r>
          </w:p>
        </w:tc>
      </w:tr>
      <w:tr w:rsidR="00023748" w:rsidRPr="008D44BF" w14:paraId="13FFED86" w14:textId="77777777" w:rsidTr="00003654">
        <w:tc>
          <w:tcPr>
            <w:cnfStyle w:val="001000000000" w:firstRow="0" w:lastRow="0" w:firstColumn="1" w:lastColumn="0" w:oddVBand="0" w:evenVBand="0" w:oddHBand="0" w:evenHBand="0" w:firstRowFirstColumn="0" w:firstRowLastColumn="0" w:lastRowFirstColumn="0" w:lastRowLastColumn="0"/>
            <w:tcW w:w="0" w:type="auto"/>
            <w:vMerge/>
          </w:tcPr>
          <w:p w14:paraId="3621FB3D" w14:textId="77777777" w:rsidR="00003654" w:rsidRPr="00AA22F2" w:rsidRDefault="00003654" w:rsidP="00003654">
            <w:pPr>
              <w:rPr>
                <w:b w:val="0"/>
                <w:bCs w:val="0"/>
                <w:szCs w:val="20"/>
              </w:rPr>
            </w:pPr>
          </w:p>
        </w:tc>
        <w:tc>
          <w:tcPr>
            <w:tcW w:w="0" w:type="auto"/>
            <w:hideMark/>
          </w:tcPr>
          <w:p w14:paraId="01439CFD" w14:textId="282532FE" w:rsidR="00003654" w:rsidRPr="004637C7" w:rsidRDefault="00003654" w:rsidP="00003654">
            <w:pPr>
              <w:cnfStyle w:val="000000000000" w:firstRow="0" w:lastRow="0" w:firstColumn="0" w:lastColumn="0" w:oddVBand="0" w:evenVBand="0" w:oddHBand="0" w:evenHBand="0" w:firstRowFirstColumn="0" w:firstRowLastColumn="0" w:lastRowFirstColumn="0" w:lastRowLastColumn="0"/>
              <w:rPr>
                <w:szCs w:val="20"/>
              </w:rPr>
            </w:pPr>
            <w:r w:rsidRPr="004637C7">
              <w:rPr>
                <w:szCs w:val="20"/>
              </w:rPr>
              <w:t>Compenser</w:t>
            </w:r>
          </w:p>
        </w:tc>
        <w:tc>
          <w:tcPr>
            <w:tcW w:w="0" w:type="auto"/>
            <w:hideMark/>
          </w:tcPr>
          <w:p w14:paraId="19EA43D8" w14:textId="473DF968" w:rsidR="00003654" w:rsidRPr="004637C7" w:rsidRDefault="00003654" w:rsidP="00003654">
            <w:pPr>
              <w:cnfStyle w:val="000000000000" w:firstRow="0" w:lastRow="0" w:firstColumn="0" w:lastColumn="0" w:oddVBand="0" w:evenVBand="0" w:oddHBand="0" w:evenHBand="0" w:firstRowFirstColumn="0" w:firstRowLastColumn="0" w:lastRowFirstColumn="0" w:lastRowLastColumn="0"/>
              <w:rPr>
                <w:szCs w:val="20"/>
              </w:rPr>
            </w:pPr>
            <w:r w:rsidRPr="004637C7">
              <w:rPr>
                <w:szCs w:val="20"/>
              </w:rPr>
              <w:t>Décontaminer le sol impacté et réhabiliter la zone.</w:t>
            </w:r>
          </w:p>
        </w:tc>
        <w:tc>
          <w:tcPr>
            <w:tcW w:w="0" w:type="auto"/>
            <w:hideMark/>
          </w:tcPr>
          <w:p w14:paraId="4B397635" w14:textId="77777777" w:rsidR="00003654" w:rsidRPr="004637C7" w:rsidRDefault="00003654" w:rsidP="00003654">
            <w:pPr>
              <w:cnfStyle w:val="000000000000" w:firstRow="0" w:lastRow="0" w:firstColumn="0" w:lastColumn="0" w:oddVBand="0" w:evenVBand="0" w:oddHBand="0" w:evenHBand="0" w:firstRowFirstColumn="0" w:firstRowLastColumn="0" w:lastRowFirstColumn="0" w:lastRowLastColumn="0"/>
              <w:rPr>
                <w:szCs w:val="20"/>
              </w:rPr>
            </w:pPr>
            <w:r w:rsidRPr="004637C7">
              <w:rPr>
                <w:szCs w:val="20"/>
              </w:rPr>
              <w:t>Nombre d’actions de dépollution</w:t>
            </w:r>
          </w:p>
        </w:tc>
        <w:tc>
          <w:tcPr>
            <w:tcW w:w="0" w:type="auto"/>
            <w:hideMark/>
          </w:tcPr>
          <w:p w14:paraId="7678B232" w14:textId="77777777" w:rsidR="00003654" w:rsidRPr="004637C7" w:rsidRDefault="00003654" w:rsidP="00003654">
            <w:pPr>
              <w:cnfStyle w:val="000000000000" w:firstRow="0" w:lastRow="0" w:firstColumn="0" w:lastColumn="0" w:oddVBand="0" w:evenVBand="0" w:oddHBand="0" w:evenHBand="0" w:firstRowFirstColumn="0" w:firstRowLastColumn="0" w:lastRowFirstColumn="0" w:lastRowLastColumn="0"/>
              <w:rPr>
                <w:szCs w:val="20"/>
              </w:rPr>
            </w:pPr>
            <w:r w:rsidRPr="004637C7">
              <w:rPr>
                <w:szCs w:val="20"/>
              </w:rPr>
              <w:t>EPC / Sous-traitants</w:t>
            </w:r>
          </w:p>
        </w:tc>
        <w:tc>
          <w:tcPr>
            <w:tcW w:w="0" w:type="auto"/>
            <w:hideMark/>
          </w:tcPr>
          <w:p w14:paraId="0F590FB8" w14:textId="77777777" w:rsidR="00003654" w:rsidRPr="004637C7" w:rsidRDefault="00003654" w:rsidP="00003654">
            <w:pPr>
              <w:cnfStyle w:val="000000000000" w:firstRow="0" w:lastRow="0" w:firstColumn="0" w:lastColumn="0" w:oddVBand="0" w:evenVBand="0" w:oddHBand="0" w:evenHBand="0" w:firstRowFirstColumn="0" w:firstRowLastColumn="0" w:lastRowFirstColumn="0" w:lastRowLastColumn="0"/>
              <w:rPr>
                <w:szCs w:val="20"/>
              </w:rPr>
            </w:pPr>
            <w:r w:rsidRPr="004637C7">
              <w:rPr>
                <w:szCs w:val="20"/>
              </w:rPr>
              <w:t>Bureau de contrôle / Consultant ONDA</w:t>
            </w:r>
          </w:p>
        </w:tc>
        <w:tc>
          <w:tcPr>
            <w:tcW w:w="0" w:type="auto"/>
            <w:hideMark/>
          </w:tcPr>
          <w:p w14:paraId="66BCBA84" w14:textId="77777777" w:rsidR="00003654" w:rsidRPr="004637C7" w:rsidRDefault="00003654" w:rsidP="00003654">
            <w:pPr>
              <w:cnfStyle w:val="000000000000" w:firstRow="0" w:lastRow="0" w:firstColumn="0" w:lastColumn="0" w:oddVBand="0" w:evenVBand="0" w:oddHBand="0" w:evenHBand="0" w:firstRowFirstColumn="0" w:firstRowLastColumn="0" w:lastRowFirstColumn="0" w:lastRowLastColumn="0"/>
              <w:rPr>
                <w:szCs w:val="20"/>
              </w:rPr>
            </w:pPr>
            <w:r w:rsidRPr="004637C7">
              <w:rPr>
                <w:szCs w:val="20"/>
              </w:rPr>
              <w:t>ONDA</w:t>
            </w:r>
          </w:p>
        </w:tc>
        <w:tc>
          <w:tcPr>
            <w:tcW w:w="0" w:type="auto"/>
            <w:hideMark/>
          </w:tcPr>
          <w:p w14:paraId="714C4E64" w14:textId="77777777" w:rsidR="00003654" w:rsidRPr="004637C7" w:rsidRDefault="00003654" w:rsidP="00003654">
            <w:pPr>
              <w:cnfStyle w:val="000000000000" w:firstRow="0" w:lastRow="0" w:firstColumn="0" w:lastColumn="0" w:oddVBand="0" w:evenVBand="0" w:oddHBand="0" w:evenHBand="0" w:firstRowFirstColumn="0" w:firstRowLastColumn="0" w:lastRowFirstColumn="0" w:lastRowLastColumn="0"/>
              <w:rPr>
                <w:szCs w:val="20"/>
              </w:rPr>
            </w:pPr>
            <w:r w:rsidRPr="004637C7">
              <w:rPr>
                <w:szCs w:val="20"/>
              </w:rPr>
              <w:t>Post-incident</w:t>
            </w:r>
          </w:p>
        </w:tc>
        <w:tc>
          <w:tcPr>
            <w:tcW w:w="0" w:type="auto"/>
            <w:hideMark/>
          </w:tcPr>
          <w:p w14:paraId="17683683" w14:textId="53B13158" w:rsidR="00003654" w:rsidRPr="004637C7" w:rsidRDefault="008D63D3" w:rsidP="00003654">
            <w:pPr>
              <w:cnfStyle w:val="000000000000" w:firstRow="0" w:lastRow="0" w:firstColumn="0" w:lastColumn="0" w:oddVBand="0" w:evenVBand="0" w:oddHBand="0" w:evenHBand="0" w:firstRowFirstColumn="0" w:firstRowLastColumn="0" w:lastRowFirstColumn="0" w:lastRowLastColumn="0"/>
              <w:rPr>
                <w:szCs w:val="20"/>
              </w:rPr>
            </w:pPr>
            <w:r w:rsidRPr="008D63D3">
              <w:rPr>
                <w:szCs w:val="20"/>
              </w:rPr>
              <w:t>Coût : 700–1 000 MAD/m³</w:t>
            </w:r>
          </w:p>
        </w:tc>
      </w:tr>
      <w:tr w:rsidR="00023748" w:rsidRPr="008D44BF" w14:paraId="313C52B0" w14:textId="77777777" w:rsidTr="00003654">
        <w:tc>
          <w:tcPr>
            <w:cnfStyle w:val="001000000000" w:firstRow="0" w:lastRow="0" w:firstColumn="1" w:lastColumn="0" w:oddVBand="0" w:evenVBand="0" w:oddHBand="0" w:evenHBand="0" w:firstRowFirstColumn="0" w:firstRowLastColumn="0" w:lastRowFirstColumn="0" w:lastRowLastColumn="0"/>
            <w:tcW w:w="0" w:type="auto"/>
            <w:vMerge w:val="restart"/>
          </w:tcPr>
          <w:p w14:paraId="39C716DE" w14:textId="38E02CA9" w:rsidR="00003654" w:rsidRPr="004637C7" w:rsidRDefault="00003654" w:rsidP="00003654">
            <w:pPr>
              <w:rPr>
                <w:szCs w:val="20"/>
              </w:rPr>
            </w:pPr>
            <w:r w:rsidRPr="00AA22F2">
              <w:rPr>
                <w:szCs w:val="20"/>
              </w:rPr>
              <w:lastRenderedPageBreak/>
              <w:t>Perturbation temporaire du drainage et du ruissellement</w:t>
            </w:r>
          </w:p>
        </w:tc>
        <w:tc>
          <w:tcPr>
            <w:tcW w:w="0" w:type="auto"/>
            <w:hideMark/>
          </w:tcPr>
          <w:p w14:paraId="2680764B" w14:textId="2D7D44D9" w:rsidR="00003654" w:rsidRPr="004637C7" w:rsidRDefault="00003654" w:rsidP="00003654">
            <w:pPr>
              <w:cnfStyle w:val="000000000000" w:firstRow="0" w:lastRow="0" w:firstColumn="0" w:lastColumn="0" w:oddVBand="0" w:evenVBand="0" w:oddHBand="0" w:evenHBand="0" w:firstRowFirstColumn="0" w:firstRowLastColumn="0" w:lastRowFirstColumn="0" w:lastRowLastColumn="0"/>
              <w:rPr>
                <w:szCs w:val="20"/>
              </w:rPr>
            </w:pPr>
            <w:r w:rsidRPr="004637C7">
              <w:rPr>
                <w:szCs w:val="20"/>
              </w:rPr>
              <w:t>Éviter</w:t>
            </w:r>
          </w:p>
        </w:tc>
        <w:tc>
          <w:tcPr>
            <w:tcW w:w="0" w:type="auto"/>
            <w:hideMark/>
          </w:tcPr>
          <w:p w14:paraId="20D5DA2D" w14:textId="77777777" w:rsidR="00793AB6" w:rsidRPr="00AA22F2" w:rsidRDefault="00003654" w:rsidP="00003654">
            <w:pPr>
              <w:cnfStyle w:val="000000000000" w:firstRow="0" w:lastRow="0" w:firstColumn="0" w:lastColumn="0" w:oddVBand="0" w:evenVBand="0" w:oddHBand="0" w:evenHBand="0" w:firstRowFirstColumn="0" w:firstRowLastColumn="0" w:lastRowFirstColumn="0" w:lastRowLastColumn="0"/>
              <w:rPr>
                <w:szCs w:val="20"/>
              </w:rPr>
            </w:pPr>
            <w:r w:rsidRPr="004637C7">
              <w:rPr>
                <w:szCs w:val="20"/>
              </w:rPr>
              <w:t>Éviter le blocage des fossés existants lors du terrassement.</w:t>
            </w:r>
          </w:p>
          <w:p w14:paraId="2946D64B" w14:textId="21C1BF55" w:rsidR="00003654" w:rsidRPr="004637C7" w:rsidRDefault="00003654" w:rsidP="00003654">
            <w:pPr>
              <w:cnfStyle w:val="000000000000" w:firstRow="0" w:lastRow="0" w:firstColumn="0" w:lastColumn="0" w:oddVBand="0" w:evenVBand="0" w:oddHBand="0" w:evenHBand="0" w:firstRowFirstColumn="0" w:firstRowLastColumn="0" w:lastRowFirstColumn="0" w:lastRowLastColumn="0"/>
              <w:rPr>
                <w:szCs w:val="20"/>
              </w:rPr>
            </w:pPr>
            <w:r w:rsidRPr="004637C7">
              <w:rPr>
                <w:szCs w:val="20"/>
              </w:rPr>
              <w:t>Conserver les pentes naturelles de drainage.</w:t>
            </w:r>
          </w:p>
        </w:tc>
        <w:tc>
          <w:tcPr>
            <w:tcW w:w="0" w:type="auto"/>
            <w:hideMark/>
          </w:tcPr>
          <w:p w14:paraId="1D97B3D2" w14:textId="77777777" w:rsidR="00003654" w:rsidRPr="004637C7" w:rsidRDefault="00003654" w:rsidP="00003654">
            <w:pPr>
              <w:cnfStyle w:val="000000000000" w:firstRow="0" w:lastRow="0" w:firstColumn="0" w:lastColumn="0" w:oddVBand="0" w:evenVBand="0" w:oddHBand="0" w:evenHBand="0" w:firstRowFirstColumn="0" w:firstRowLastColumn="0" w:lastRowFirstColumn="0" w:lastRowLastColumn="0"/>
              <w:rPr>
                <w:szCs w:val="20"/>
              </w:rPr>
            </w:pPr>
            <w:r w:rsidRPr="004637C7">
              <w:rPr>
                <w:szCs w:val="20"/>
              </w:rPr>
              <w:t>Nombre de drains obstrués = 0</w:t>
            </w:r>
          </w:p>
        </w:tc>
        <w:tc>
          <w:tcPr>
            <w:tcW w:w="0" w:type="auto"/>
            <w:hideMark/>
          </w:tcPr>
          <w:p w14:paraId="5FDA3815" w14:textId="77777777" w:rsidR="00003654" w:rsidRPr="004637C7" w:rsidRDefault="00003654" w:rsidP="00003654">
            <w:pPr>
              <w:cnfStyle w:val="000000000000" w:firstRow="0" w:lastRow="0" w:firstColumn="0" w:lastColumn="0" w:oddVBand="0" w:evenVBand="0" w:oddHBand="0" w:evenHBand="0" w:firstRowFirstColumn="0" w:firstRowLastColumn="0" w:lastRowFirstColumn="0" w:lastRowLastColumn="0"/>
              <w:rPr>
                <w:szCs w:val="20"/>
              </w:rPr>
            </w:pPr>
            <w:r w:rsidRPr="004637C7">
              <w:rPr>
                <w:szCs w:val="20"/>
              </w:rPr>
              <w:t>EPC / Sous-traitants</w:t>
            </w:r>
          </w:p>
        </w:tc>
        <w:tc>
          <w:tcPr>
            <w:tcW w:w="0" w:type="auto"/>
            <w:hideMark/>
          </w:tcPr>
          <w:p w14:paraId="51A671B1" w14:textId="77777777" w:rsidR="00003654" w:rsidRPr="004637C7" w:rsidRDefault="00003654" w:rsidP="00003654">
            <w:pPr>
              <w:cnfStyle w:val="000000000000" w:firstRow="0" w:lastRow="0" w:firstColumn="0" w:lastColumn="0" w:oddVBand="0" w:evenVBand="0" w:oddHBand="0" w:evenHBand="0" w:firstRowFirstColumn="0" w:firstRowLastColumn="0" w:lastRowFirstColumn="0" w:lastRowLastColumn="0"/>
              <w:rPr>
                <w:szCs w:val="20"/>
              </w:rPr>
            </w:pPr>
            <w:r w:rsidRPr="004637C7">
              <w:rPr>
                <w:szCs w:val="20"/>
              </w:rPr>
              <w:t>Bureau de contrôle / Consultant ONDA</w:t>
            </w:r>
          </w:p>
        </w:tc>
        <w:tc>
          <w:tcPr>
            <w:tcW w:w="0" w:type="auto"/>
            <w:hideMark/>
          </w:tcPr>
          <w:p w14:paraId="79647B00" w14:textId="77777777" w:rsidR="00003654" w:rsidRPr="004637C7" w:rsidRDefault="00003654" w:rsidP="00003654">
            <w:pPr>
              <w:cnfStyle w:val="000000000000" w:firstRow="0" w:lastRow="0" w:firstColumn="0" w:lastColumn="0" w:oddVBand="0" w:evenVBand="0" w:oddHBand="0" w:evenHBand="0" w:firstRowFirstColumn="0" w:firstRowLastColumn="0" w:lastRowFirstColumn="0" w:lastRowLastColumn="0"/>
              <w:rPr>
                <w:szCs w:val="20"/>
              </w:rPr>
            </w:pPr>
            <w:r w:rsidRPr="004637C7">
              <w:rPr>
                <w:szCs w:val="20"/>
              </w:rPr>
              <w:t>ONDA</w:t>
            </w:r>
          </w:p>
        </w:tc>
        <w:tc>
          <w:tcPr>
            <w:tcW w:w="0" w:type="auto"/>
            <w:hideMark/>
          </w:tcPr>
          <w:p w14:paraId="1ECF97D4" w14:textId="77777777" w:rsidR="00003654" w:rsidRPr="004637C7" w:rsidRDefault="00003654" w:rsidP="00003654">
            <w:pPr>
              <w:cnfStyle w:val="000000000000" w:firstRow="0" w:lastRow="0" w:firstColumn="0" w:lastColumn="0" w:oddVBand="0" w:evenVBand="0" w:oddHBand="0" w:evenHBand="0" w:firstRowFirstColumn="0" w:firstRowLastColumn="0" w:lastRowFirstColumn="0" w:lastRowLastColumn="0"/>
              <w:rPr>
                <w:szCs w:val="20"/>
              </w:rPr>
            </w:pPr>
            <w:r w:rsidRPr="004637C7">
              <w:rPr>
                <w:szCs w:val="20"/>
              </w:rPr>
              <w:t>Avant travaux</w:t>
            </w:r>
          </w:p>
        </w:tc>
        <w:tc>
          <w:tcPr>
            <w:tcW w:w="0" w:type="auto"/>
            <w:hideMark/>
          </w:tcPr>
          <w:p w14:paraId="1D0057FD" w14:textId="3AEFE2E3" w:rsidR="00003654" w:rsidRPr="004637C7" w:rsidRDefault="008858D5" w:rsidP="00003654">
            <w:pPr>
              <w:cnfStyle w:val="000000000000" w:firstRow="0" w:lastRow="0" w:firstColumn="0" w:lastColumn="0" w:oddVBand="0" w:evenVBand="0" w:oddHBand="0" w:evenHBand="0" w:firstRowFirstColumn="0" w:firstRowLastColumn="0" w:lastRowFirstColumn="0" w:lastRowLastColumn="0"/>
              <w:rPr>
                <w:szCs w:val="20"/>
              </w:rPr>
            </w:pPr>
            <w:r w:rsidRPr="00AA22F2">
              <w:rPr>
                <w:szCs w:val="20"/>
              </w:rPr>
              <w:t>Aucun coût spécifique</w:t>
            </w:r>
          </w:p>
        </w:tc>
      </w:tr>
      <w:tr w:rsidR="008D63D3" w:rsidRPr="008D44BF" w14:paraId="7320AE9F" w14:textId="77777777" w:rsidTr="008D63D3">
        <w:trPr>
          <w:trHeight w:val="733"/>
        </w:trPr>
        <w:tc>
          <w:tcPr>
            <w:cnfStyle w:val="001000000000" w:firstRow="0" w:lastRow="0" w:firstColumn="1" w:lastColumn="0" w:oddVBand="0" w:evenVBand="0" w:oddHBand="0" w:evenHBand="0" w:firstRowFirstColumn="0" w:firstRowLastColumn="0" w:lastRowFirstColumn="0" w:lastRowLastColumn="0"/>
            <w:tcW w:w="0" w:type="auto"/>
            <w:vMerge/>
          </w:tcPr>
          <w:p w14:paraId="15A65BCD" w14:textId="77777777" w:rsidR="008D63D3" w:rsidRPr="00AA22F2" w:rsidRDefault="008D63D3" w:rsidP="00003654">
            <w:pPr>
              <w:rPr>
                <w:b w:val="0"/>
                <w:bCs w:val="0"/>
                <w:szCs w:val="20"/>
              </w:rPr>
            </w:pPr>
          </w:p>
        </w:tc>
        <w:tc>
          <w:tcPr>
            <w:tcW w:w="0" w:type="auto"/>
            <w:vMerge w:val="restart"/>
            <w:hideMark/>
          </w:tcPr>
          <w:p w14:paraId="723CF23E" w14:textId="25C51AEA" w:rsidR="008D63D3" w:rsidRPr="004637C7" w:rsidRDefault="008D63D3" w:rsidP="00003654">
            <w:pPr>
              <w:cnfStyle w:val="000000000000" w:firstRow="0" w:lastRow="0" w:firstColumn="0" w:lastColumn="0" w:oddVBand="0" w:evenVBand="0" w:oddHBand="0" w:evenHBand="0" w:firstRowFirstColumn="0" w:firstRowLastColumn="0" w:lastRowFirstColumn="0" w:lastRowLastColumn="0"/>
              <w:rPr>
                <w:szCs w:val="20"/>
              </w:rPr>
            </w:pPr>
            <w:r w:rsidRPr="004637C7">
              <w:rPr>
                <w:szCs w:val="20"/>
              </w:rPr>
              <w:t>Réduire</w:t>
            </w:r>
          </w:p>
        </w:tc>
        <w:tc>
          <w:tcPr>
            <w:tcW w:w="0" w:type="auto"/>
            <w:tcBorders>
              <w:bottom w:val="single" w:sz="4" w:space="0" w:color="B4C6E7" w:themeColor="accent1" w:themeTint="66"/>
            </w:tcBorders>
            <w:hideMark/>
          </w:tcPr>
          <w:p w14:paraId="2726193B" w14:textId="66F88821" w:rsidR="008D63D3" w:rsidRPr="004637C7" w:rsidRDefault="008D63D3" w:rsidP="00003654">
            <w:pPr>
              <w:cnfStyle w:val="000000000000" w:firstRow="0" w:lastRow="0" w:firstColumn="0" w:lastColumn="0" w:oddVBand="0" w:evenVBand="0" w:oddHBand="0" w:evenHBand="0" w:firstRowFirstColumn="0" w:firstRowLastColumn="0" w:lastRowFirstColumn="0" w:lastRowLastColumn="0"/>
              <w:rPr>
                <w:szCs w:val="20"/>
              </w:rPr>
            </w:pPr>
            <w:r w:rsidRPr="004637C7">
              <w:rPr>
                <w:szCs w:val="20"/>
              </w:rPr>
              <w:t>Créer un drainage provisoire.</w:t>
            </w:r>
          </w:p>
        </w:tc>
        <w:tc>
          <w:tcPr>
            <w:tcW w:w="0" w:type="auto"/>
            <w:vMerge w:val="restart"/>
            <w:hideMark/>
          </w:tcPr>
          <w:p w14:paraId="7BA2A4B4" w14:textId="77777777" w:rsidR="008D63D3" w:rsidRPr="004637C7" w:rsidRDefault="008D63D3" w:rsidP="00003654">
            <w:pPr>
              <w:cnfStyle w:val="000000000000" w:firstRow="0" w:lastRow="0" w:firstColumn="0" w:lastColumn="0" w:oddVBand="0" w:evenVBand="0" w:oddHBand="0" w:evenHBand="0" w:firstRowFirstColumn="0" w:firstRowLastColumn="0" w:lastRowFirstColumn="0" w:lastRowLastColumn="0"/>
              <w:rPr>
                <w:szCs w:val="20"/>
              </w:rPr>
            </w:pPr>
            <w:r w:rsidRPr="004637C7">
              <w:rPr>
                <w:szCs w:val="20"/>
              </w:rPr>
              <w:t>Nombre de drains provisoires</w:t>
            </w:r>
          </w:p>
        </w:tc>
        <w:tc>
          <w:tcPr>
            <w:tcW w:w="0" w:type="auto"/>
            <w:vMerge w:val="restart"/>
            <w:hideMark/>
          </w:tcPr>
          <w:p w14:paraId="2995770B" w14:textId="77777777" w:rsidR="008D63D3" w:rsidRPr="004637C7" w:rsidRDefault="008D63D3" w:rsidP="00003654">
            <w:pPr>
              <w:cnfStyle w:val="000000000000" w:firstRow="0" w:lastRow="0" w:firstColumn="0" w:lastColumn="0" w:oddVBand="0" w:evenVBand="0" w:oddHBand="0" w:evenHBand="0" w:firstRowFirstColumn="0" w:firstRowLastColumn="0" w:lastRowFirstColumn="0" w:lastRowLastColumn="0"/>
              <w:rPr>
                <w:szCs w:val="20"/>
              </w:rPr>
            </w:pPr>
            <w:r w:rsidRPr="004637C7">
              <w:rPr>
                <w:szCs w:val="20"/>
              </w:rPr>
              <w:t>EPC / Sous-traitants</w:t>
            </w:r>
          </w:p>
        </w:tc>
        <w:tc>
          <w:tcPr>
            <w:tcW w:w="0" w:type="auto"/>
            <w:vMerge w:val="restart"/>
            <w:hideMark/>
          </w:tcPr>
          <w:p w14:paraId="660498F7" w14:textId="77777777" w:rsidR="008D63D3" w:rsidRPr="004637C7" w:rsidRDefault="008D63D3" w:rsidP="00003654">
            <w:pPr>
              <w:cnfStyle w:val="000000000000" w:firstRow="0" w:lastRow="0" w:firstColumn="0" w:lastColumn="0" w:oddVBand="0" w:evenVBand="0" w:oddHBand="0" w:evenHBand="0" w:firstRowFirstColumn="0" w:firstRowLastColumn="0" w:lastRowFirstColumn="0" w:lastRowLastColumn="0"/>
              <w:rPr>
                <w:szCs w:val="20"/>
              </w:rPr>
            </w:pPr>
            <w:r w:rsidRPr="004637C7">
              <w:rPr>
                <w:szCs w:val="20"/>
              </w:rPr>
              <w:t>Bureau de contrôle / Consultant ONDA</w:t>
            </w:r>
          </w:p>
        </w:tc>
        <w:tc>
          <w:tcPr>
            <w:tcW w:w="0" w:type="auto"/>
            <w:vMerge w:val="restart"/>
            <w:hideMark/>
          </w:tcPr>
          <w:p w14:paraId="596D2FDE" w14:textId="77777777" w:rsidR="008D63D3" w:rsidRPr="004637C7" w:rsidRDefault="008D63D3" w:rsidP="00003654">
            <w:pPr>
              <w:cnfStyle w:val="000000000000" w:firstRow="0" w:lastRow="0" w:firstColumn="0" w:lastColumn="0" w:oddVBand="0" w:evenVBand="0" w:oddHBand="0" w:evenHBand="0" w:firstRowFirstColumn="0" w:firstRowLastColumn="0" w:lastRowFirstColumn="0" w:lastRowLastColumn="0"/>
              <w:rPr>
                <w:szCs w:val="20"/>
              </w:rPr>
            </w:pPr>
            <w:r w:rsidRPr="004637C7">
              <w:rPr>
                <w:szCs w:val="20"/>
              </w:rPr>
              <w:t>ONDA</w:t>
            </w:r>
          </w:p>
        </w:tc>
        <w:tc>
          <w:tcPr>
            <w:tcW w:w="0" w:type="auto"/>
            <w:vMerge w:val="restart"/>
            <w:hideMark/>
          </w:tcPr>
          <w:p w14:paraId="4CD24651" w14:textId="77777777" w:rsidR="008D63D3" w:rsidRPr="004637C7" w:rsidRDefault="008D63D3" w:rsidP="00003654">
            <w:pPr>
              <w:cnfStyle w:val="000000000000" w:firstRow="0" w:lastRow="0" w:firstColumn="0" w:lastColumn="0" w:oddVBand="0" w:evenVBand="0" w:oddHBand="0" w:evenHBand="0" w:firstRowFirstColumn="0" w:firstRowLastColumn="0" w:lastRowFirstColumn="0" w:lastRowLastColumn="0"/>
              <w:rPr>
                <w:szCs w:val="20"/>
              </w:rPr>
            </w:pPr>
            <w:r w:rsidRPr="004637C7">
              <w:rPr>
                <w:szCs w:val="20"/>
              </w:rPr>
              <w:t>Pendant terrassements</w:t>
            </w:r>
          </w:p>
        </w:tc>
        <w:tc>
          <w:tcPr>
            <w:tcW w:w="0" w:type="auto"/>
            <w:vMerge w:val="restart"/>
            <w:hideMark/>
          </w:tcPr>
          <w:p w14:paraId="3FDCF7DD" w14:textId="77777777" w:rsidR="008D63D3" w:rsidRDefault="008D63D3" w:rsidP="00003654">
            <w:pPr>
              <w:cnfStyle w:val="000000000000" w:firstRow="0" w:lastRow="0" w:firstColumn="0" w:lastColumn="0" w:oddVBand="0" w:evenVBand="0" w:oddHBand="0" w:evenHBand="0" w:firstRowFirstColumn="0" w:firstRowLastColumn="0" w:lastRowFirstColumn="0" w:lastRowLastColumn="0"/>
              <w:rPr>
                <w:szCs w:val="20"/>
              </w:rPr>
            </w:pPr>
            <w:r w:rsidRPr="008D63D3">
              <w:rPr>
                <w:szCs w:val="20"/>
              </w:rPr>
              <w:t>≈ 10 000 – 12 000</w:t>
            </w:r>
            <w:r>
              <w:rPr>
                <w:szCs w:val="20"/>
              </w:rPr>
              <w:t>MAD</w:t>
            </w:r>
          </w:p>
          <w:p w14:paraId="39E07621" w14:textId="4FBEF022" w:rsidR="008D63D3" w:rsidRPr="004637C7" w:rsidRDefault="008D63D3" w:rsidP="00003654">
            <w:pPr>
              <w:cnfStyle w:val="000000000000" w:firstRow="0" w:lastRow="0" w:firstColumn="0" w:lastColumn="0" w:oddVBand="0" w:evenVBand="0" w:oddHBand="0" w:evenHBand="0" w:firstRowFirstColumn="0" w:firstRowLastColumn="0" w:lastRowFirstColumn="0" w:lastRowLastColumn="0"/>
              <w:rPr>
                <w:szCs w:val="20"/>
              </w:rPr>
            </w:pPr>
            <w:r w:rsidRPr="008D63D3">
              <w:rPr>
                <w:szCs w:val="20"/>
              </w:rPr>
              <w:t>Fossés 0,4×0,3 m sur 300 m : 30–35 MAD/ml.</w:t>
            </w:r>
          </w:p>
        </w:tc>
      </w:tr>
      <w:tr w:rsidR="008D63D3" w:rsidRPr="008D44BF" w14:paraId="054CCC59" w14:textId="77777777" w:rsidTr="008D63D3">
        <w:trPr>
          <w:trHeight w:val="521"/>
        </w:trPr>
        <w:tc>
          <w:tcPr>
            <w:cnfStyle w:val="001000000000" w:firstRow="0" w:lastRow="0" w:firstColumn="1" w:lastColumn="0" w:oddVBand="0" w:evenVBand="0" w:oddHBand="0" w:evenHBand="0" w:firstRowFirstColumn="0" w:firstRowLastColumn="0" w:lastRowFirstColumn="0" w:lastRowLastColumn="0"/>
            <w:tcW w:w="0" w:type="auto"/>
            <w:vMerge/>
          </w:tcPr>
          <w:p w14:paraId="1660E85E" w14:textId="77777777" w:rsidR="008D63D3" w:rsidRPr="00AA22F2" w:rsidRDefault="008D63D3" w:rsidP="00003654">
            <w:pPr>
              <w:rPr>
                <w:b w:val="0"/>
                <w:bCs w:val="0"/>
                <w:szCs w:val="20"/>
              </w:rPr>
            </w:pPr>
          </w:p>
        </w:tc>
        <w:tc>
          <w:tcPr>
            <w:tcW w:w="0" w:type="auto"/>
            <w:vMerge/>
          </w:tcPr>
          <w:p w14:paraId="1EBF2A0E" w14:textId="77777777" w:rsidR="008D63D3" w:rsidRPr="004637C7" w:rsidRDefault="008D63D3" w:rsidP="00003654">
            <w:pPr>
              <w:cnfStyle w:val="000000000000" w:firstRow="0" w:lastRow="0" w:firstColumn="0" w:lastColumn="0" w:oddVBand="0" w:evenVBand="0" w:oddHBand="0" w:evenHBand="0" w:firstRowFirstColumn="0" w:firstRowLastColumn="0" w:lastRowFirstColumn="0" w:lastRowLastColumn="0"/>
              <w:rPr>
                <w:szCs w:val="20"/>
              </w:rPr>
            </w:pPr>
          </w:p>
        </w:tc>
        <w:tc>
          <w:tcPr>
            <w:tcW w:w="0" w:type="auto"/>
            <w:vMerge w:val="restart"/>
            <w:tcBorders>
              <w:top w:val="single" w:sz="4" w:space="0" w:color="B4C6E7" w:themeColor="accent1" w:themeTint="66"/>
            </w:tcBorders>
          </w:tcPr>
          <w:p w14:paraId="26BD0EA3" w14:textId="77777777" w:rsidR="008D63D3" w:rsidRPr="004637C7" w:rsidRDefault="008D63D3" w:rsidP="008D63D3">
            <w:pPr>
              <w:cnfStyle w:val="000000000000" w:firstRow="0" w:lastRow="0" w:firstColumn="0" w:lastColumn="0" w:oddVBand="0" w:evenVBand="0" w:oddHBand="0" w:evenHBand="0" w:firstRowFirstColumn="0" w:firstRowLastColumn="0" w:lastRowFirstColumn="0" w:lastRowLastColumn="0"/>
              <w:rPr>
                <w:szCs w:val="20"/>
              </w:rPr>
            </w:pPr>
            <w:r w:rsidRPr="004637C7">
              <w:rPr>
                <w:szCs w:val="20"/>
              </w:rPr>
              <w:t>Évacuer les eaux de pluie vers des bassins temporaires.</w:t>
            </w:r>
          </w:p>
        </w:tc>
        <w:tc>
          <w:tcPr>
            <w:tcW w:w="0" w:type="auto"/>
            <w:vMerge/>
          </w:tcPr>
          <w:p w14:paraId="3DE75BDB" w14:textId="77777777" w:rsidR="008D63D3" w:rsidRPr="004637C7" w:rsidRDefault="008D63D3" w:rsidP="00003654">
            <w:pPr>
              <w:cnfStyle w:val="000000000000" w:firstRow="0" w:lastRow="0" w:firstColumn="0" w:lastColumn="0" w:oddVBand="0" w:evenVBand="0" w:oddHBand="0" w:evenHBand="0" w:firstRowFirstColumn="0" w:firstRowLastColumn="0" w:lastRowFirstColumn="0" w:lastRowLastColumn="0"/>
              <w:rPr>
                <w:szCs w:val="20"/>
              </w:rPr>
            </w:pPr>
          </w:p>
        </w:tc>
        <w:tc>
          <w:tcPr>
            <w:tcW w:w="0" w:type="auto"/>
            <w:vMerge/>
          </w:tcPr>
          <w:p w14:paraId="6FBBB5D3" w14:textId="77777777" w:rsidR="008D63D3" w:rsidRPr="004637C7" w:rsidRDefault="008D63D3" w:rsidP="00003654">
            <w:pPr>
              <w:cnfStyle w:val="000000000000" w:firstRow="0" w:lastRow="0" w:firstColumn="0" w:lastColumn="0" w:oddVBand="0" w:evenVBand="0" w:oddHBand="0" w:evenHBand="0" w:firstRowFirstColumn="0" w:firstRowLastColumn="0" w:lastRowFirstColumn="0" w:lastRowLastColumn="0"/>
              <w:rPr>
                <w:szCs w:val="20"/>
              </w:rPr>
            </w:pPr>
          </w:p>
        </w:tc>
        <w:tc>
          <w:tcPr>
            <w:tcW w:w="0" w:type="auto"/>
            <w:vMerge/>
          </w:tcPr>
          <w:p w14:paraId="0F3B549E" w14:textId="77777777" w:rsidR="008D63D3" w:rsidRPr="004637C7" w:rsidRDefault="008D63D3" w:rsidP="00003654">
            <w:pPr>
              <w:cnfStyle w:val="000000000000" w:firstRow="0" w:lastRow="0" w:firstColumn="0" w:lastColumn="0" w:oddVBand="0" w:evenVBand="0" w:oddHBand="0" w:evenHBand="0" w:firstRowFirstColumn="0" w:firstRowLastColumn="0" w:lastRowFirstColumn="0" w:lastRowLastColumn="0"/>
              <w:rPr>
                <w:szCs w:val="20"/>
              </w:rPr>
            </w:pPr>
          </w:p>
        </w:tc>
        <w:tc>
          <w:tcPr>
            <w:tcW w:w="0" w:type="auto"/>
            <w:vMerge/>
          </w:tcPr>
          <w:p w14:paraId="7229F9B4" w14:textId="77777777" w:rsidR="008D63D3" w:rsidRPr="004637C7" w:rsidRDefault="008D63D3" w:rsidP="00003654">
            <w:pPr>
              <w:cnfStyle w:val="000000000000" w:firstRow="0" w:lastRow="0" w:firstColumn="0" w:lastColumn="0" w:oddVBand="0" w:evenVBand="0" w:oddHBand="0" w:evenHBand="0" w:firstRowFirstColumn="0" w:firstRowLastColumn="0" w:lastRowFirstColumn="0" w:lastRowLastColumn="0"/>
              <w:rPr>
                <w:szCs w:val="20"/>
              </w:rPr>
            </w:pPr>
          </w:p>
        </w:tc>
        <w:tc>
          <w:tcPr>
            <w:tcW w:w="0" w:type="auto"/>
            <w:vMerge/>
          </w:tcPr>
          <w:p w14:paraId="4F5D5318" w14:textId="77777777" w:rsidR="008D63D3" w:rsidRPr="004637C7" w:rsidRDefault="008D63D3" w:rsidP="00003654">
            <w:pPr>
              <w:cnfStyle w:val="000000000000" w:firstRow="0" w:lastRow="0" w:firstColumn="0" w:lastColumn="0" w:oddVBand="0" w:evenVBand="0" w:oddHBand="0" w:evenHBand="0" w:firstRowFirstColumn="0" w:firstRowLastColumn="0" w:lastRowFirstColumn="0" w:lastRowLastColumn="0"/>
              <w:rPr>
                <w:szCs w:val="20"/>
              </w:rPr>
            </w:pPr>
          </w:p>
        </w:tc>
        <w:tc>
          <w:tcPr>
            <w:tcW w:w="0" w:type="auto"/>
            <w:vMerge/>
            <w:tcBorders>
              <w:bottom w:val="single" w:sz="4" w:space="0" w:color="B4C6E7" w:themeColor="accent1" w:themeTint="66"/>
            </w:tcBorders>
          </w:tcPr>
          <w:p w14:paraId="4A499E5A" w14:textId="77777777" w:rsidR="008D63D3" w:rsidRPr="00AA22F2" w:rsidRDefault="008D63D3" w:rsidP="00003654">
            <w:pPr>
              <w:cnfStyle w:val="000000000000" w:firstRow="0" w:lastRow="0" w:firstColumn="0" w:lastColumn="0" w:oddVBand="0" w:evenVBand="0" w:oddHBand="0" w:evenHBand="0" w:firstRowFirstColumn="0" w:firstRowLastColumn="0" w:lastRowFirstColumn="0" w:lastRowLastColumn="0"/>
              <w:rPr>
                <w:szCs w:val="20"/>
              </w:rPr>
            </w:pPr>
          </w:p>
        </w:tc>
      </w:tr>
      <w:tr w:rsidR="008D63D3" w:rsidRPr="008D44BF" w14:paraId="018AF6B6" w14:textId="77777777" w:rsidTr="005A7661">
        <w:trPr>
          <w:trHeight w:val="947"/>
        </w:trPr>
        <w:tc>
          <w:tcPr>
            <w:cnfStyle w:val="001000000000" w:firstRow="0" w:lastRow="0" w:firstColumn="1" w:lastColumn="0" w:oddVBand="0" w:evenVBand="0" w:oddHBand="0" w:evenHBand="0" w:firstRowFirstColumn="0" w:firstRowLastColumn="0" w:lastRowFirstColumn="0" w:lastRowLastColumn="0"/>
            <w:tcW w:w="0" w:type="auto"/>
            <w:vMerge/>
          </w:tcPr>
          <w:p w14:paraId="0D74A7F2" w14:textId="77777777" w:rsidR="008D63D3" w:rsidRPr="00AA22F2" w:rsidRDefault="008D63D3" w:rsidP="00003654">
            <w:pPr>
              <w:rPr>
                <w:b w:val="0"/>
                <w:bCs w:val="0"/>
                <w:szCs w:val="20"/>
              </w:rPr>
            </w:pPr>
          </w:p>
        </w:tc>
        <w:tc>
          <w:tcPr>
            <w:tcW w:w="0" w:type="auto"/>
            <w:vMerge/>
          </w:tcPr>
          <w:p w14:paraId="4F5BA29D" w14:textId="77777777" w:rsidR="008D63D3" w:rsidRPr="004637C7" w:rsidRDefault="008D63D3" w:rsidP="00003654">
            <w:pPr>
              <w:cnfStyle w:val="000000000000" w:firstRow="0" w:lastRow="0" w:firstColumn="0" w:lastColumn="0" w:oddVBand="0" w:evenVBand="0" w:oddHBand="0" w:evenHBand="0" w:firstRowFirstColumn="0" w:firstRowLastColumn="0" w:lastRowFirstColumn="0" w:lastRowLastColumn="0"/>
              <w:rPr>
                <w:szCs w:val="20"/>
              </w:rPr>
            </w:pPr>
          </w:p>
        </w:tc>
        <w:tc>
          <w:tcPr>
            <w:tcW w:w="0" w:type="auto"/>
            <w:vMerge/>
          </w:tcPr>
          <w:p w14:paraId="097A479E" w14:textId="77777777" w:rsidR="008D63D3" w:rsidRPr="004637C7" w:rsidRDefault="008D63D3" w:rsidP="008D63D3">
            <w:pPr>
              <w:cnfStyle w:val="000000000000" w:firstRow="0" w:lastRow="0" w:firstColumn="0" w:lastColumn="0" w:oddVBand="0" w:evenVBand="0" w:oddHBand="0" w:evenHBand="0" w:firstRowFirstColumn="0" w:firstRowLastColumn="0" w:lastRowFirstColumn="0" w:lastRowLastColumn="0"/>
              <w:rPr>
                <w:szCs w:val="20"/>
              </w:rPr>
            </w:pPr>
          </w:p>
        </w:tc>
        <w:tc>
          <w:tcPr>
            <w:tcW w:w="0" w:type="auto"/>
            <w:vMerge/>
          </w:tcPr>
          <w:p w14:paraId="331A1F10" w14:textId="77777777" w:rsidR="008D63D3" w:rsidRPr="004637C7" w:rsidRDefault="008D63D3" w:rsidP="00003654">
            <w:pPr>
              <w:cnfStyle w:val="000000000000" w:firstRow="0" w:lastRow="0" w:firstColumn="0" w:lastColumn="0" w:oddVBand="0" w:evenVBand="0" w:oddHBand="0" w:evenHBand="0" w:firstRowFirstColumn="0" w:firstRowLastColumn="0" w:lastRowFirstColumn="0" w:lastRowLastColumn="0"/>
              <w:rPr>
                <w:szCs w:val="20"/>
              </w:rPr>
            </w:pPr>
          </w:p>
        </w:tc>
        <w:tc>
          <w:tcPr>
            <w:tcW w:w="0" w:type="auto"/>
            <w:vMerge/>
          </w:tcPr>
          <w:p w14:paraId="0C26782A" w14:textId="77777777" w:rsidR="008D63D3" w:rsidRPr="004637C7" w:rsidRDefault="008D63D3" w:rsidP="00003654">
            <w:pPr>
              <w:cnfStyle w:val="000000000000" w:firstRow="0" w:lastRow="0" w:firstColumn="0" w:lastColumn="0" w:oddVBand="0" w:evenVBand="0" w:oddHBand="0" w:evenHBand="0" w:firstRowFirstColumn="0" w:firstRowLastColumn="0" w:lastRowFirstColumn="0" w:lastRowLastColumn="0"/>
              <w:rPr>
                <w:szCs w:val="20"/>
              </w:rPr>
            </w:pPr>
          </w:p>
        </w:tc>
        <w:tc>
          <w:tcPr>
            <w:tcW w:w="0" w:type="auto"/>
            <w:vMerge/>
          </w:tcPr>
          <w:p w14:paraId="3ADCA472" w14:textId="77777777" w:rsidR="008D63D3" w:rsidRPr="004637C7" w:rsidRDefault="008D63D3" w:rsidP="00003654">
            <w:pPr>
              <w:cnfStyle w:val="000000000000" w:firstRow="0" w:lastRow="0" w:firstColumn="0" w:lastColumn="0" w:oddVBand="0" w:evenVBand="0" w:oddHBand="0" w:evenHBand="0" w:firstRowFirstColumn="0" w:firstRowLastColumn="0" w:lastRowFirstColumn="0" w:lastRowLastColumn="0"/>
              <w:rPr>
                <w:szCs w:val="20"/>
              </w:rPr>
            </w:pPr>
          </w:p>
        </w:tc>
        <w:tc>
          <w:tcPr>
            <w:tcW w:w="0" w:type="auto"/>
            <w:vMerge/>
          </w:tcPr>
          <w:p w14:paraId="3D9D844D" w14:textId="77777777" w:rsidR="008D63D3" w:rsidRPr="004637C7" w:rsidRDefault="008D63D3" w:rsidP="00003654">
            <w:pPr>
              <w:cnfStyle w:val="000000000000" w:firstRow="0" w:lastRow="0" w:firstColumn="0" w:lastColumn="0" w:oddVBand="0" w:evenVBand="0" w:oddHBand="0" w:evenHBand="0" w:firstRowFirstColumn="0" w:firstRowLastColumn="0" w:lastRowFirstColumn="0" w:lastRowLastColumn="0"/>
              <w:rPr>
                <w:szCs w:val="20"/>
              </w:rPr>
            </w:pPr>
          </w:p>
        </w:tc>
        <w:tc>
          <w:tcPr>
            <w:tcW w:w="0" w:type="auto"/>
            <w:vMerge/>
          </w:tcPr>
          <w:p w14:paraId="5EE96479" w14:textId="77777777" w:rsidR="008D63D3" w:rsidRPr="004637C7" w:rsidRDefault="008D63D3" w:rsidP="00003654">
            <w:pPr>
              <w:cnfStyle w:val="000000000000" w:firstRow="0" w:lastRow="0" w:firstColumn="0" w:lastColumn="0" w:oddVBand="0" w:evenVBand="0" w:oddHBand="0" w:evenHBand="0" w:firstRowFirstColumn="0" w:firstRowLastColumn="0" w:lastRowFirstColumn="0" w:lastRowLastColumn="0"/>
              <w:rPr>
                <w:szCs w:val="20"/>
              </w:rPr>
            </w:pPr>
          </w:p>
        </w:tc>
        <w:tc>
          <w:tcPr>
            <w:tcW w:w="0" w:type="auto"/>
            <w:tcBorders>
              <w:top w:val="single" w:sz="4" w:space="0" w:color="B4C6E7" w:themeColor="accent1" w:themeTint="66"/>
            </w:tcBorders>
          </w:tcPr>
          <w:p w14:paraId="692482DF" w14:textId="4E8389C8" w:rsidR="008D63D3" w:rsidRDefault="001716BC" w:rsidP="00003654">
            <w:pPr>
              <w:cnfStyle w:val="000000000000" w:firstRow="0" w:lastRow="0" w:firstColumn="0" w:lastColumn="0" w:oddVBand="0" w:evenVBand="0" w:oddHBand="0" w:evenHBand="0" w:firstRowFirstColumn="0" w:firstRowLastColumn="0" w:lastRowFirstColumn="0" w:lastRowLastColumn="0"/>
              <w:rPr>
                <w:szCs w:val="20"/>
              </w:rPr>
            </w:pPr>
            <w:r w:rsidRPr="001716BC">
              <w:rPr>
                <w:szCs w:val="20"/>
              </w:rPr>
              <w:t>≈ 15 000 – 20 000</w:t>
            </w:r>
            <w:r>
              <w:rPr>
                <w:szCs w:val="20"/>
              </w:rPr>
              <w:t xml:space="preserve"> MAD</w:t>
            </w:r>
          </w:p>
          <w:p w14:paraId="3AC06261" w14:textId="10535D07" w:rsidR="008D63D3" w:rsidRPr="00AA22F2" w:rsidRDefault="008D63D3" w:rsidP="00003654">
            <w:pPr>
              <w:cnfStyle w:val="000000000000" w:firstRow="0" w:lastRow="0" w:firstColumn="0" w:lastColumn="0" w:oddVBand="0" w:evenVBand="0" w:oddHBand="0" w:evenHBand="0" w:firstRowFirstColumn="0" w:firstRowLastColumn="0" w:lastRowFirstColumn="0" w:lastRowLastColumn="0"/>
              <w:rPr>
                <w:szCs w:val="20"/>
              </w:rPr>
            </w:pPr>
            <w:r w:rsidRPr="008D63D3">
              <w:rPr>
                <w:szCs w:val="20"/>
              </w:rPr>
              <w:t>Capacité 50 m³ : 300–400 MAD/m³.</w:t>
            </w:r>
          </w:p>
        </w:tc>
      </w:tr>
      <w:tr w:rsidR="001716BC" w:rsidRPr="008D44BF" w14:paraId="361B5935" w14:textId="77777777" w:rsidTr="005A7661">
        <w:trPr>
          <w:trHeight w:val="2330"/>
        </w:trPr>
        <w:tc>
          <w:tcPr>
            <w:cnfStyle w:val="001000000000" w:firstRow="0" w:lastRow="0" w:firstColumn="1" w:lastColumn="0" w:oddVBand="0" w:evenVBand="0" w:oddHBand="0" w:evenHBand="0" w:firstRowFirstColumn="0" w:firstRowLastColumn="0" w:lastRowFirstColumn="0" w:lastRowLastColumn="0"/>
            <w:tcW w:w="0" w:type="auto"/>
            <w:vMerge/>
          </w:tcPr>
          <w:p w14:paraId="230CDDC9" w14:textId="77777777" w:rsidR="001716BC" w:rsidRPr="00AA22F2" w:rsidRDefault="001716BC" w:rsidP="00003654">
            <w:pPr>
              <w:rPr>
                <w:b w:val="0"/>
                <w:bCs w:val="0"/>
                <w:szCs w:val="20"/>
              </w:rPr>
            </w:pPr>
          </w:p>
        </w:tc>
        <w:tc>
          <w:tcPr>
            <w:tcW w:w="0" w:type="auto"/>
            <w:hideMark/>
          </w:tcPr>
          <w:p w14:paraId="47D7F369" w14:textId="2A1C8451" w:rsidR="001716BC" w:rsidRPr="004637C7" w:rsidRDefault="001716BC" w:rsidP="00003654">
            <w:pPr>
              <w:cnfStyle w:val="000000000000" w:firstRow="0" w:lastRow="0" w:firstColumn="0" w:lastColumn="0" w:oddVBand="0" w:evenVBand="0" w:oddHBand="0" w:evenHBand="0" w:firstRowFirstColumn="0" w:firstRowLastColumn="0" w:lastRowFirstColumn="0" w:lastRowLastColumn="0"/>
              <w:rPr>
                <w:szCs w:val="20"/>
              </w:rPr>
            </w:pPr>
            <w:r w:rsidRPr="004637C7">
              <w:rPr>
                <w:szCs w:val="20"/>
              </w:rPr>
              <w:t>Atténuer</w:t>
            </w:r>
          </w:p>
        </w:tc>
        <w:tc>
          <w:tcPr>
            <w:tcW w:w="0" w:type="auto"/>
            <w:hideMark/>
          </w:tcPr>
          <w:p w14:paraId="0FD4B263" w14:textId="77777777" w:rsidR="001716BC" w:rsidRPr="004637C7" w:rsidRDefault="001716BC" w:rsidP="00003654">
            <w:pPr>
              <w:cnfStyle w:val="000000000000" w:firstRow="0" w:lastRow="0" w:firstColumn="0" w:lastColumn="0" w:oddVBand="0" w:evenVBand="0" w:oddHBand="0" w:evenHBand="0" w:firstRowFirstColumn="0" w:firstRowLastColumn="0" w:lastRowFirstColumn="0" w:lastRowLastColumn="0"/>
              <w:rPr>
                <w:szCs w:val="20"/>
              </w:rPr>
            </w:pPr>
            <w:r w:rsidRPr="004637C7">
              <w:rPr>
                <w:szCs w:val="20"/>
              </w:rPr>
              <w:t>Contrôler visuellement le ruissellement après chaque pluie.</w:t>
            </w:r>
          </w:p>
          <w:p w14:paraId="42A1E17B" w14:textId="6DCC41C0" w:rsidR="001716BC" w:rsidRPr="004637C7" w:rsidRDefault="001716BC" w:rsidP="008D63D3">
            <w:pPr>
              <w:cnfStyle w:val="000000000000" w:firstRow="0" w:lastRow="0" w:firstColumn="0" w:lastColumn="0" w:oddVBand="0" w:evenVBand="0" w:oddHBand="0" w:evenHBand="0" w:firstRowFirstColumn="0" w:firstRowLastColumn="0" w:lastRowFirstColumn="0" w:lastRowLastColumn="0"/>
              <w:rPr>
                <w:szCs w:val="20"/>
              </w:rPr>
            </w:pPr>
            <w:r w:rsidRPr="004637C7">
              <w:rPr>
                <w:szCs w:val="20"/>
              </w:rPr>
              <w:t>Réparer immédiatement les affouillements.</w:t>
            </w:r>
          </w:p>
        </w:tc>
        <w:tc>
          <w:tcPr>
            <w:tcW w:w="0" w:type="auto"/>
            <w:hideMark/>
          </w:tcPr>
          <w:p w14:paraId="5753F975" w14:textId="77777777" w:rsidR="001716BC" w:rsidRPr="004637C7" w:rsidRDefault="001716BC" w:rsidP="00003654">
            <w:pPr>
              <w:cnfStyle w:val="000000000000" w:firstRow="0" w:lastRow="0" w:firstColumn="0" w:lastColumn="0" w:oddVBand="0" w:evenVBand="0" w:oddHBand="0" w:evenHBand="0" w:firstRowFirstColumn="0" w:firstRowLastColumn="0" w:lastRowFirstColumn="0" w:lastRowLastColumn="0"/>
              <w:rPr>
                <w:szCs w:val="20"/>
              </w:rPr>
            </w:pPr>
            <w:r w:rsidRPr="004637C7">
              <w:rPr>
                <w:szCs w:val="20"/>
              </w:rPr>
              <w:t>Taux d’intervention correctives</w:t>
            </w:r>
          </w:p>
        </w:tc>
        <w:tc>
          <w:tcPr>
            <w:tcW w:w="0" w:type="auto"/>
            <w:hideMark/>
          </w:tcPr>
          <w:p w14:paraId="4B95EC2C" w14:textId="77777777" w:rsidR="001716BC" w:rsidRPr="004637C7" w:rsidRDefault="001716BC" w:rsidP="00003654">
            <w:pPr>
              <w:cnfStyle w:val="000000000000" w:firstRow="0" w:lastRow="0" w:firstColumn="0" w:lastColumn="0" w:oddVBand="0" w:evenVBand="0" w:oddHBand="0" w:evenHBand="0" w:firstRowFirstColumn="0" w:firstRowLastColumn="0" w:lastRowFirstColumn="0" w:lastRowLastColumn="0"/>
              <w:rPr>
                <w:szCs w:val="20"/>
              </w:rPr>
            </w:pPr>
            <w:r w:rsidRPr="004637C7">
              <w:rPr>
                <w:szCs w:val="20"/>
              </w:rPr>
              <w:t>EPC / Sous-traitants</w:t>
            </w:r>
          </w:p>
        </w:tc>
        <w:tc>
          <w:tcPr>
            <w:tcW w:w="0" w:type="auto"/>
            <w:hideMark/>
          </w:tcPr>
          <w:p w14:paraId="519238B0" w14:textId="77777777" w:rsidR="001716BC" w:rsidRPr="004637C7" w:rsidRDefault="001716BC" w:rsidP="00003654">
            <w:pPr>
              <w:cnfStyle w:val="000000000000" w:firstRow="0" w:lastRow="0" w:firstColumn="0" w:lastColumn="0" w:oddVBand="0" w:evenVBand="0" w:oddHBand="0" w:evenHBand="0" w:firstRowFirstColumn="0" w:firstRowLastColumn="0" w:lastRowFirstColumn="0" w:lastRowLastColumn="0"/>
              <w:rPr>
                <w:szCs w:val="20"/>
              </w:rPr>
            </w:pPr>
            <w:r w:rsidRPr="004637C7">
              <w:rPr>
                <w:szCs w:val="20"/>
              </w:rPr>
              <w:t>Bureau de contrôle / Consultant ONDA</w:t>
            </w:r>
          </w:p>
        </w:tc>
        <w:tc>
          <w:tcPr>
            <w:tcW w:w="0" w:type="auto"/>
            <w:hideMark/>
          </w:tcPr>
          <w:p w14:paraId="71959692" w14:textId="77777777" w:rsidR="001716BC" w:rsidRPr="004637C7" w:rsidRDefault="001716BC" w:rsidP="00003654">
            <w:pPr>
              <w:cnfStyle w:val="000000000000" w:firstRow="0" w:lastRow="0" w:firstColumn="0" w:lastColumn="0" w:oddVBand="0" w:evenVBand="0" w:oddHBand="0" w:evenHBand="0" w:firstRowFirstColumn="0" w:firstRowLastColumn="0" w:lastRowFirstColumn="0" w:lastRowLastColumn="0"/>
              <w:rPr>
                <w:szCs w:val="20"/>
              </w:rPr>
            </w:pPr>
            <w:r w:rsidRPr="004637C7">
              <w:rPr>
                <w:szCs w:val="20"/>
              </w:rPr>
              <w:t>ONDA</w:t>
            </w:r>
          </w:p>
        </w:tc>
        <w:tc>
          <w:tcPr>
            <w:tcW w:w="0" w:type="auto"/>
            <w:hideMark/>
          </w:tcPr>
          <w:p w14:paraId="12BE48B1" w14:textId="77777777" w:rsidR="001716BC" w:rsidRPr="004637C7" w:rsidRDefault="001716BC" w:rsidP="00003654">
            <w:pPr>
              <w:cnfStyle w:val="000000000000" w:firstRow="0" w:lastRow="0" w:firstColumn="0" w:lastColumn="0" w:oddVBand="0" w:evenVBand="0" w:oddHBand="0" w:evenHBand="0" w:firstRowFirstColumn="0" w:firstRowLastColumn="0" w:lastRowFirstColumn="0" w:lastRowLastColumn="0"/>
              <w:rPr>
                <w:szCs w:val="20"/>
              </w:rPr>
            </w:pPr>
            <w:r w:rsidRPr="004637C7">
              <w:rPr>
                <w:szCs w:val="20"/>
              </w:rPr>
              <w:t>Continue</w:t>
            </w:r>
          </w:p>
        </w:tc>
        <w:tc>
          <w:tcPr>
            <w:tcW w:w="0" w:type="auto"/>
            <w:hideMark/>
          </w:tcPr>
          <w:p w14:paraId="28F76646" w14:textId="6B0F2928" w:rsidR="001716BC" w:rsidRPr="004637C7" w:rsidRDefault="001716BC" w:rsidP="00003654">
            <w:pPr>
              <w:cnfStyle w:val="000000000000" w:firstRow="0" w:lastRow="0" w:firstColumn="0" w:lastColumn="0" w:oddVBand="0" w:evenVBand="0" w:oddHBand="0" w:evenHBand="0" w:firstRowFirstColumn="0" w:firstRowLastColumn="0" w:lastRowFirstColumn="0" w:lastRowLastColumn="0"/>
              <w:rPr>
                <w:szCs w:val="20"/>
              </w:rPr>
            </w:pPr>
            <w:r>
              <w:rPr>
                <w:szCs w:val="20"/>
              </w:rPr>
              <w:t>Aucun coût spécifique</w:t>
            </w:r>
          </w:p>
        </w:tc>
      </w:tr>
      <w:tr w:rsidR="00023748" w:rsidRPr="008D44BF" w14:paraId="085CD591" w14:textId="77777777" w:rsidTr="00003654">
        <w:tc>
          <w:tcPr>
            <w:cnfStyle w:val="001000000000" w:firstRow="0" w:lastRow="0" w:firstColumn="1" w:lastColumn="0" w:oddVBand="0" w:evenVBand="0" w:oddHBand="0" w:evenHBand="0" w:firstRowFirstColumn="0" w:firstRowLastColumn="0" w:lastRowFirstColumn="0" w:lastRowLastColumn="0"/>
            <w:tcW w:w="0" w:type="auto"/>
            <w:vMerge/>
          </w:tcPr>
          <w:p w14:paraId="3F55A3B1" w14:textId="77777777" w:rsidR="00003654" w:rsidRPr="00AA22F2" w:rsidRDefault="00003654" w:rsidP="00003654">
            <w:pPr>
              <w:rPr>
                <w:b w:val="0"/>
                <w:bCs w:val="0"/>
                <w:szCs w:val="20"/>
              </w:rPr>
            </w:pPr>
          </w:p>
        </w:tc>
        <w:tc>
          <w:tcPr>
            <w:tcW w:w="0" w:type="auto"/>
            <w:hideMark/>
          </w:tcPr>
          <w:p w14:paraId="523A0E8F" w14:textId="3FA53100" w:rsidR="00003654" w:rsidRPr="004637C7" w:rsidRDefault="00003654" w:rsidP="00003654">
            <w:pPr>
              <w:cnfStyle w:val="000000000000" w:firstRow="0" w:lastRow="0" w:firstColumn="0" w:lastColumn="0" w:oddVBand="0" w:evenVBand="0" w:oddHBand="0" w:evenHBand="0" w:firstRowFirstColumn="0" w:firstRowLastColumn="0" w:lastRowFirstColumn="0" w:lastRowLastColumn="0"/>
              <w:rPr>
                <w:szCs w:val="20"/>
              </w:rPr>
            </w:pPr>
            <w:r w:rsidRPr="004637C7">
              <w:rPr>
                <w:szCs w:val="20"/>
              </w:rPr>
              <w:t>Compenser</w:t>
            </w:r>
          </w:p>
        </w:tc>
        <w:tc>
          <w:tcPr>
            <w:tcW w:w="0" w:type="auto"/>
            <w:hideMark/>
          </w:tcPr>
          <w:p w14:paraId="184D68A8" w14:textId="7C4F587F" w:rsidR="00003654" w:rsidRPr="004637C7" w:rsidRDefault="00003654" w:rsidP="00003654">
            <w:pPr>
              <w:cnfStyle w:val="000000000000" w:firstRow="0" w:lastRow="0" w:firstColumn="0" w:lastColumn="0" w:oddVBand="0" w:evenVBand="0" w:oddHBand="0" w:evenHBand="0" w:firstRowFirstColumn="0" w:firstRowLastColumn="0" w:lastRowFirstColumn="0" w:lastRowLastColumn="0"/>
              <w:rPr>
                <w:szCs w:val="20"/>
              </w:rPr>
            </w:pPr>
            <w:r w:rsidRPr="004637C7">
              <w:rPr>
                <w:szCs w:val="20"/>
              </w:rPr>
              <w:t>Réhabiliter et curer les fossés après travaux.</w:t>
            </w:r>
          </w:p>
        </w:tc>
        <w:tc>
          <w:tcPr>
            <w:tcW w:w="0" w:type="auto"/>
            <w:hideMark/>
          </w:tcPr>
          <w:p w14:paraId="6CB4AD4D" w14:textId="77777777" w:rsidR="00003654" w:rsidRPr="004637C7" w:rsidRDefault="00003654" w:rsidP="00003654">
            <w:pPr>
              <w:cnfStyle w:val="000000000000" w:firstRow="0" w:lastRow="0" w:firstColumn="0" w:lastColumn="0" w:oddVBand="0" w:evenVBand="0" w:oddHBand="0" w:evenHBand="0" w:firstRowFirstColumn="0" w:firstRowLastColumn="0" w:lastRowFirstColumn="0" w:lastRowLastColumn="0"/>
              <w:rPr>
                <w:szCs w:val="20"/>
              </w:rPr>
            </w:pPr>
            <w:r w:rsidRPr="004637C7">
              <w:rPr>
                <w:szCs w:val="20"/>
              </w:rPr>
              <w:t>Nombre de fossés curés</w:t>
            </w:r>
          </w:p>
        </w:tc>
        <w:tc>
          <w:tcPr>
            <w:tcW w:w="0" w:type="auto"/>
            <w:hideMark/>
          </w:tcPr>
          <w:p w14:paraId="6A694C9F" w14:textId="77777777" w:rsidR="00003654" w:rsidRPr="004637C7" w:rsidRDefault="00003654" w:rsidP="00003654">
            <w:pPr>
              <w:cnfStyle w:val="000000000000" w:firstRow="0" w:lastRow="0" w:firstColumn="0" w:lastColumn="0" w:oddVBand="0" w:evenVBand="0" w:oddHBand="0" w:evenHBand="0" w:firstRowFirstColumn="0" w:firstRowLastColumn="0" w:lastRowFirstColumn="0" w:lastRowLastColumn="0"/>
              <w:rPr>
                <w:szCs w:val="20"/>
              </w:rPr>
            </w:pPr>
            <w:r w:rsidRPr="004637C7">
              <w:rPr>
                <w:szCs w:val="20"/>
              </w:rPr>
              <w:t>EPC / Sous-traitants</w:t>
            </w:r>
          </w:p>
        </w:tc>
        <w:tc>
          <w:tcPr>
            <w:tcW w:w="0" w:type="auto"/>
            <w:hideMark/>
          </w:tcPr>
          <w:p w14:paraId="64AD4E18" w14:textId="77777777" w:rsidR="00003654" w:rsidRPr="004637C7" w:rsidRDefault="00003654" w:rsidP="00003654">
            <w:pPr>
              <w:cnfStyle w:val="000000000000" w:firstRow="0" w:lastRow="0" w:firstColumn="0" w:lastColumn="0" w:oddVBand="0" w:evenVBand="0" w:oddHBand="0" w:evenHBand="0" w:firstRowFirstColumn="0" w:firstRowLastColumn="0" w:lastRowFirstColumn="0" w:lastRowLastColumn="0"/>
              <w:rPr>
                <w:szCs w:val="20"/>
              </w:rPr>
            </w:pPr>
            <w:r w:rsidRPr="004637C7">
              <w:rPr>
                <w:szCs w:val="20"/>
              </w:rPr>
              <w:t xml:space="preserve">Bureau de contrôle / </w:t>
            </w:r>
            <w:r w:rsidRPr="004637C7">
              <w:rPr>
                <w:szCs w:val="20"/>
              </w:rPr>
              <w:lastRenderedPageBreak/>
              <w:t>Consultant ONDA</w:t>
            </w:r>
          </w:p>
        </w:tc>
        <w:tc>
          <w:tcPr>
            <w:tcW w:w="0" w:type="auto"/>
            <w:hideMark/>
          </w:tcPr>
          <w:p w14:paraId="6799E2DB" w14:textId="77777777" w:rsidR="00003654" w:rsidRPr="004637C7" w:rsidRDefault="00003654" w:rsidP="00003654">
            <w:pPr>
              <w:cnfStyle w:val="000000000000" w:firstRow="0" w:lastRow="0" w:firstColumn="0" w:lastColumn="0" w:oddVBand="0" w:evenVBand="0" w:oddHBand="0" w:evenHBand="0" w:firstRowFirstColumn="0" w:firstRowLastColumn="0" w:lastRowFirstColumn="0" w:lastRowLastColumn="0"/>
              <w:rPr>
                <w:szCs w:val="20"/>
              </w:rPr>
            </w:pPr>
            <w:r w:rsidRPr="004637C7">
              <w:rPr>
                <w:szCs w:val="20"/>
              </w:rPr>
              <w:lastRenderedPageBreak/>
              <w:t>ONDA</w:t>
            </w:r>
          </w:p>
        </w:tc>
        <w:tc>
          <w:tcPr>
            <w:tcW w:w="0" w:type="auto"/>
            <w:hideMark/>
          </w:tcPr>
          <w:p w14:paraId="15A0DA3B" w14:textId="77777777" w:rsidR="00003654" w:rsidRPr="004637C7" w:rsidRDefault="00003654" w:rsidP="00003654">
            <w:pPr>
              <w:cnfStyle w:val="000000000000" w:firstRow="0" w:lastRow="0" w:firstColumn="0" w:lastColumn="0" w:oddVBand="0" w:evenVBand="0" w:oddHBand="0" w:evenHBand="0" w:firstRowFirstColumn="0" w:firstRowLastColumn="0" w:lastRowFirstColumn="0" w:lastRowLastColumn="0"/>
              <w:rPr>
                <w:szCs w:val="20"/>
              </w:rPr>
            </w:pPr>
            <w:r w:rsidRPr="004637C7">
              <w:rPr>
                <w:szCs w:val="20"/>
              </w:rPr>
              <w:t>Fin chantier</w:t>
            </w:r>
          </w:p>
        </w:tc>
        <w:tc>
          <w:tcPr>
            <w:tcW w:w="0" w:type="auto"/>
            <w:hideMark/>
          </w:tcPr>
          <w:p w14:paraId="56E0C7C6" w14:textId="3FAAD772" w:rsidR="00003654" w:rsidRPr="001716BC" w:rsidRDefault="001716BC" w:rsidP="00003654">
            <w:pPr>
              <w:cnfStyle w:val="000000000000" w:firstRow="0" w:lastRow="0" w:firstColumn="0" w:lastColumn="0" w:oddVBand="0" w:evenVBand="0" w:oddHBand="0" w:evenHBand="0" w:firstRowFirstColumn="0" w:firstRowLastColumn="0" w:lastRowFirstColumn="0" w:lastRowLastColumn="0"/>
            </w:pPr>
            <w:r w:rsidRPr="001716BC">
              <w:rPr>
                <w:szCs w:val="20"/>
              </w:rPr>
              <w:t>8–12 MAD/ml</w:t>
            </w:r>
            <w:r>
              <w:t xml:space="preserve"> (</w:t>
            </w:r>
            <w:r w:rsidRPr="001716BC">
              <w:t xml:space="preserve">Enlèvement des sédiments et remise en </w:t>
            </w:r>
            <w:r w:rsidRPr="001716BC">
              <w:lastRenderedPageBreak/>
              <w:t>état du réseau de drainage.</w:t>
            </w:r>
            <w:r>
              <w:t>)</w:t>
            </w:r>
          </w:p>
        </w:tc>
      </w:tr>
      <w:tr w:rsidR="00023748" w:rsidRPr="008D44BF" w14:paraId="5734811C" w14:textId="77777777" w:rsidTr="00003654">
        <w:tc>
          <w:tcPr>
            <w:cnfStyle w:val="001000000000" w:firstRow="0" w:lastRow="0" w:firstColumn="1" w:lastColumn="0" w:oddVBand="0" w:evenVBand="0" w:oddHBand="0" w:evenHBand="0" w:firstRowFirstColumn="0" w:firstRowLastColumn="0" w:lastRowFirstColumn="0" w:lastRowLastColumn="0"/>
            <w:tcW w:w="0" w:type="auto"/>
            <w:vMerge w:val="restart"/>
          </w:tcPr>
          <w:p w14:paraId="235EAFBB" w14:textId="6F7BF8CE" w:rsidR="00793AB6" w:rsidRPr="004637C7" w:rsidRDefault="00793AB6" w:rsidP="00003654">
            <w:pPr>
              <w:rPr>
                <w:szCs w:val="20"/>
              </w:rPr>
            </w:pPr>
            <w:r w:rsidRPr="00AA22F2">
              <w:rPr>
                <w:szCs w:val="20"/>
              </w:rPr>
              <w:lastRenderedPageBreak/>
              <w:t>Risque de fuite accidentelle d’hydrocarbures ou de carburants</w:t>
            </w:r>
          </w:p>
        </w:tc>
        <w:tc>
          <w:tcPr>
            <w:tcW w:w="0" w:type="auto"/>
            <w:hideMark/>
          </w:tcPr>
          <w:p w14:paraId="7415CE6B" w14:textId="09E14D49" w:rsidR="00793AB6" w:rsidRPr="004637C7" w:rsidRDefault="00793AB6" w:rsidP="00003654">
            <w:pPr>
              <w:cnfStyle w:val="000000000000" w:firstRow="0" w:lastRow="0" w:firstColumn="0" w:lastColumn="0" w:oddVBand="0" w:evenVBand="0" w:oddHBand="0" w:evenHBand="0" w:firstRowFirstColumn="0" w:firstRowLastColumn="0" w:lastRowFirstColumn="0" w:lastRowLastColumn="0"/>
              <w:rPr>
                <w:szCs w:val="20"/>
              </w:rPr>
            </w:pPr>
            <w:r w:rsidRPr="004637C7">
              <w:rPr>
                <w:szCs w:val="20"/>
              </w:rPr>
              <w:t>Éviter</w:t>
            </w:r>
          </w:p>
        </w:tc>
        <w:tc>
          <w:tcPr>
            <w:tcW w:w="0" w:type="auto"/>
            <w:hideMark/>
          </w:tcPr>
          <w:p w14:paraId="34560AD9" w14:textId="77777777" w:rsidR="00793AB6" w:rsidRPr="00AA22F2" w:rsidRDefault="00793AB6" w:rsidP="00003654">
            <w:pPr>
              <w:cnfStyle w:val="000000000000" w:firstRow="0" w:lastRow="0" w:firstColumn="0" w:lastColumn="0" w:oddVBand="0" w:evenVBand="0" w:oddHBand="0" w:evenHBand="0" w:firstRowFirstColumn="0" w:firstRowLastColumn="0" w:lastRowFirstColumn="0" w:lastRowLastColumn="0"/>
              <w:rPr>
                <w:szCs w:val="20"/>
              </w:rPr>
            </w:pPr>
            <w:r w:rsidRPr="004637C7">
              <w:rPr>
                <w:szCs w:val="20"/>
              </w:rPr>
              <w:t>Choisir des zones de maintenance étanches et à distance des drains.</w:t>
            </w:r>
          </w:p>
          <w:p w14:paraId="039CD197" w14:textId="2C7F8DA9" w:rsidR="00793AB6" w:rsidRPr="004637C7" w:rsidRDefault="00793AB6" w:rsidP="00003654">
            <w:pPr>
              <w:cnfStyle w:val="000000000000" w:firstRow="0" w:lastRow="0" w:firstColumn="0" w:lastColumn="0" w:oddVBand="0" w:evenVBand="0" w:oddHBand="0" w:evenHBand="0" w:firstRowFirstColumn="0" w:firstRowLastColumn="0" w:lastRowFirstColumn="0" w:lastRowLastColumn="0"/>
              <w:rPr>
                <w:szCs w:val="20"/>
              </w:rPr>
            </w:pPr>
            <w:r w:rsidRPr="004637C7">
              <w:rPr>
                <w:szCs w:val="20"/>
              </w:rPr>
              <w:t>Vérifier l’intégrité des cuves et flexibles avant usage.</w:t>
            </w:r>
          </w:p>
        </w:tc>
        <w:tc>
          <w:tcPr>
            <w:tcW w:w="0" w:type="auto"/>
            <w:hideMark/>
          </w:tcPr>
          <w:p w14:paraId="322144EE" w14:textId="77777777" w:rsidR="00793AB6" w:rsidRPr="004637C7" w:rsidRDefault="00793AB6" w:rsidP="00003654">
            <w:pPr>
              <w:cnfStyle w:val="000000000000" w:firstRow="0" w:lastRow="0" w:firstColumn="0" w:lastColumn="0" w:oddVBand="0" w:evenVBand="0" w:oddHBand="0" w:evenHBand="0" w:firstRowFirstColumn="0" w:firstRowLastColumn="0" w:lastRowFirstColumn="0" w:lastRowLastColumn="0"/>
              <w:rPr>
                <w:szCs w:val="20"/>
              </w:rPr>
            </w:pPr>
            <w:r w:rsidRPr="004637C7">
              <w:rPr>
                <w:szCs w:val="20"/>
              </w:rPr>
              <w:t>% de zones étanches conformes</w:t>
            </w:r>
          </w:p>
        </w:tc>
        <w:tc>
          <w:tcPr>
            <w:tcW w:w="0" w:type="auto"/>
            <w:hideMark/>
          </w:tcPr>
          <w:p w14:paraId="415E2558" w14:textId="77777777" w:rsidR="00793AB6" w:rsidRPr="004637C7" w:rsidRDefault="00793AB6" w:rsidP="00003654">
            <w:pPr>
              <w:cnfStyle w:val="000000000000" w:firstRow="0" w:lastRow="0" w:firstColumn="0" w:lastColumn="0" w:oddVBand="0" w:evenVBand="0" w:oddHBand="0" w:evenHBand="0" w:firstRowFirstColumn="0" w:firstRowLastColumn="0" w:lastRowFirstColumn="0" w:lastRowLastColumn="0"/>
              <w:rPr>
                <w:szCs w:val="20"/>
              </w:rPr>
            </w:pPr>
            <w:r w:rsidRPr="004637C7">
              <w:rPr>
                <w:szCs w:val="20"/>
              </w:rPr>
              <w:t>EPC / Sous-traitants</w:t>
            </w:r>
          </w:p>
        </w:tc>
        <w:tc>
          <w:tcPr>
            <w:tcW w:w="0" w:type="auto"/>
            <w:hideMark/>
          </w:tcPr>
          <w:p w14:paraId="53CB745D" w14:textId="77777777" w:rsidR="00793AB6" w:rsidRPr="004637C7" w:rsidRDefault="00793AB6" w:rsidP="00003654">
            <w:pPr>
              <w:cnfStyle w:val="000000000000" w:firstRow="0" w:lastRow="0" w:firstColumn="0" w:lastColumn="0" w:oddVBand="0" w:evenVBand="0" w:oddHBand="0" w:evenHBand="0" w:firstRowFirstColumn="0" w:firstRowLastColumn="0" w:lastRowFirstColumn="0" w:lastRowLastColumn="0"/>
              <w:rPr>
                <w:szCs w:val="20"/>
              </w:rPr>
            </w:pPr>
            <w:r w:rsidRPr="004637C7">
              <w:rPr>
                <w:szCs w:val="20"/>
              </w:rPr>
              <w:t>Bureau de contrôle / Consultant ONDA</w:t>
            </w:r>
          </w:p>
        </w:tc>
        <w:tc>
          <w:tcPr>
            <w:tcW w:w="0" w:type="auto"/>
            <w:hideMark/>
          </w:tcPr>
          <w:p w14:paraId="3F3BF3FE" w14:textId="77777777" w:rsidR="00793AB6" w:rsidRPr="004637C7" w:rsidRDefault="00793AB6" w:rsidP="00003654">
            <w:pPr>
              <w:cnfStyle w:val="000000000000" w:firstRow="0" w:lastRow="0" w:firstColumn="0" w:lastColumn="0" w:oddVBand="0" w:evenVBand="0" w:oddHBand="0" w:evenHBand="0" w:firstRowFirstColumn="0" w:firstRowLastColumn="0" w:lastRowFirstColumn="0" w:lastRowLastColumn="0"/>
              <w:rPr>
                <w:szCs w:val="20"/>
              </w:rPr>
            </w:pPr>
            <w:r w:rsidRPr="004637C7">
              <w:rPr>
                <w:szCs w:val="20"/>
              </w:rPr>
              <w:t>ONDA</w:t>
            </w:r>
          </w:p>
        </w:tc>
        <w:tc>
          <w:tcPr>
            <w:tcW w:w="0" w:type="auto"/>
            <w:hideMark/>
          </w:tcPr>
          <w:p w14:paraId="7A0C39CD" w14:textId="77777777" w:rsidR="00793AB6" w:rsidRPr="004637C7" w:rsidRDefault="00793AB6" w:rsidP="00003654">
            <w:pPr>
              <w:cnfStyle w:val="000000000000" w:firstRow="0" w:lastRow="0" w:firstColumn="0" w:lastColumn="0" w:oddVBand="0" w:evenVBand="0" w:oddHBand="0" w:evenHBand="0" w:firstRowFirstColumn="0" w:firstRowLastColumn="0" w:lastRowFirstColumn="0" w:lastRowLastColumn="0"/>
              <w:rPr>
                <w:szCs w:val="20"/>
              </w:rPr>
            </w:pPr>
            <w:r w:rsidRPr="004637C7">
              <w:rPr>
                <w:szCs w:val="20"/>
              </w:rPr>
              <w:t>Avant travaux</w:t>
            </w:r>
          </w:p>
        </w:tc>
        <w:tc>
          <w:tcPr>
            <w:tcW w:w="0" w:type="auto"/>
            <w:hideMark/>
          </w:tcPr>
          <w:p w14:paraId="42126835" w14:textId="5DA082F4" w:rsidR="00793AB6" w:rsidRPr="004637C7" w:rsidRDefault="00793AB6" w:rsidP="00003654">
            <w:pPr>
              <w:cnfStyle w:val="000000000000" w:firstRow="0" w:lastRow="0" w:firstColumn="0" w:lastColumn="0" w:oddVBand="0" w:evenVBand="0" w:oddHBand="0" w:evenHBand="0" w:firstRowFirstColumn="0" w:firstRowLastColumn="0" w:lastRowFirstColumn="0" w:lastRowLastColumn="0"/>
              <w:rPr>
                <w:szCs w:val="20"/>
              </w:rPr>
            </w:pPr>
            <w:r w:rsidRPr="00AA22F2">
              <w:rPr>
                <w:szCs w:val="20"/>
              </w:rPr>
              <w:t>Aucun coût spécifique</w:t>
            </w:r>
          </w:p>
        </w:tc>
      </w:tr>
      <w:tr w:rsidR="001716BC" w:rsidRPr="008D44BF" w14:paraId="5EB155B3" w14:textId="77777777" w:rsidTr="001716BC">
        <w:trPr>
          <w:trHeight w:val="973"/>
        </w:trPr>
        <w:tc>
          <w:tcPr>
            <w:cnfStyle w:val="001000000000" w:firstRow="0" w:lastRow="0" w:firstColumn="1" w:lastColumn="0" w:oddVBand="0" w:evenVBand="0" w:oddHBand="0" w:evenHBand="0" w:firstRowFirstColumn="0" w:firstRowLastColumn="0" w:lastRowFirstColumn="0" w:lastRowLastColumn="0"/>
            <w:tcW w:w="0" w:type="auto"/>
            <w:vMerge/>
          </w:tcPr>
          <w:p w14:paraId="430A7CC1" w14:textId="77777777" w:rsidR="001716BC" w:rsidRPr="00AA22F2" w:rsidRDefault="001716BC" w:rsidP="00003654">
            <w:pPr>
              <w:rPr>
                <w:b w:val="0"/>
                <w:bCs w:val="0"/>
                <w:szCs w:val="20"/>
              </w:rPr>
            </w:pPr>
          </w:p>
        </w:tc>
        <w:tc>
          <w:tcPr>
            <w:tcW w:w="0" w:type="auto"/>
            <w:vMerge w:val="restart"/>
            <w:hideMark/>
          </w:tcPr>
          <w:p w14:paraId="1449F06F" w14:textId="028853FB" w:rsidR="001716BC" w:rsidRPr="004637C7" w:rsidRDefault="001716BC" w:rsidP="00003654">
            <w:pPr>
              <w:cnfStyle w:val="000000000000" w:firstRow="0" w:lastRow="0" w:firstColumn="0" w:lastColumn="0" w:oddVBand="0" w:evenVBand="0" w:oddHBand="0" w:evenHBand="0" w:firstRowFirstColumn="0" w:firstRowLastColumn="0" w:lastRowFirstColumn="0" w:lastRowLastColumn="0"/>
              <w:rPr>
                <w:szCs w:val="20"/>
              </w:rPr>
            </w:pPr>
            <w:r w:rsidRPr="004637C7">
              <w:rPr>
                <w:szCs w:val="20"/>
              </w:rPr>
              <w:t>Réduire</w:t>
            </w:r>
          </w:p>
        </w:tc>
        <w:tc>
          <w:tcPr>
            <w:tcW w:w="0" w:type="auto"/>
            <w:tcBorders>
              <w:bottom w:val="single" w:sz="4" w:space="0" w:color="B4C6E7" w:themeColor="accent1" w:themeTint="66"/>
            </w:tcBorders>
            <w:hideMark/>
          </w:tcPr>
          <w:p w14:paraId="73997CF5" w14:textId="17378D14" w:rsidR="001716BC" w:rsidRPr="004637C7" w:rsidRDefault="001716BC" w:rsidP="00003654">
            <w:pPr>
              <w:cnfStyle w:val="000000000000" w:firstRow="0" w:lastRow="0" w:firstColumn="0" w:lastColumn="0" w:oddVBand="0" w:evenVBand="0" w:oddHBand="0" w:evenHBand="0" w:firstRowFirstColumn="0" w:firstRowLastColumn="0" w:lastRowFirstColumn="0" w:lastRowLastColumn="0"/>
              <w:rPr>
                <w:szCs w:val="20"/>
              </w:rPr>
            </w:pPr>
            <w:r w:rsidRPr="004637C7">
              <w:rPr>
                <w:szCs w:val="20"/>
              </w:rPr>
              <w:t>Installer des bacs de rétention sous chaque réservoir.</w:t>
            </w:r>
          </w:p>
        </w:tc>
        <w:tc>
          <w:tcPr>
            <w:tcW w:w="0" w:type="auto"/>
            <w:vMerge w:val="restart"/>
            <w:hideMark/>
          </w:tcPr>
          <w:p w14:paraId="625BAA67" w14:textId="77777777" w:rsidR="001716BC" w:rsidRPr="004637C7" w:rsidRDefault="001716BC" w:rsidP="00003654">
            <w:pPr>
              <w:cnfStyle w:val="000000000000" w:firstRow="0" w:lastRow="0" w:firstColumn="0" w:lastColumn="0" w:oddVBand="0" w:evenVBand="0" w:oddHBand="0" w:evenHBand="0" w:firstRowFirstColumn="0" w:firstRowLastColumn="0" w:lastRowFirstColumn="0" w:lastRowLastColumn="0"/>
              <w:rPr>
                <w:szCs w:val="20"/>
              </w:rPr>
            </w:pPr>
            <w:r w:rsidRPr="004637C7">
              <w:rPr>
                <w:szCs w:val="20"/>
              </w:rPr>
              <w:t>% de cuves équipées de rétention</w:t>
            </w:r>
          </w:p>
        </w:tc>
        <w:tc>
          <w:tcPr>
            <w:tcW w:w="0" w:type="auto"/>
            <w:vMerge w:val="restart"/>
            <w:hideMark/>
          </w:tcPr>
          <w:p w14:paraId="71A524BB" w14:textId="77777777" w:rsidR="001716BC" w:rsidRPr="004637C7" w:rsidRDefault="001716BC" w:rsidP="00003654">
            <w:pPr>
              <w:cnfStyle w:val="000000000000" w:firstRow="0" w:lastRow="0" w:firstColumn="0" w:lastColumn="0" w:oddVBand="0" w:evenVBand="0" w:oddHBand="0" w:evenHBand="0" w:firstRowFirstColumn="0" w:firstRowLastColumn="0" w:lastRowFirstColumn="0" w:lastRowLastColumn="0"/>
              <w:rPr>
                <w:szCs w:val="20"/>
              </w:rPr>
            </w:pPr>
            <w:r w:rsidRPr="004637C7">
              <w:rPr>
                <w:szCs w:val="20"/>
              </w:rPr>
              <w:t>EPC / Sous-traitants</w:t>
            </w:r>
          </w:p>
        </w:tc>
        <w:tc>
          <w:tcPr>
            <w:tcW w:w="0" w:type="auto"/>
            <w:vMerge w:val="restart"/>
            <w:hideMark/>
          </w:tcPr>
          <w:p w14:paraId="677F08AD" w14:textId="77777777" w:rsidR="001716BC" w:rsidRPr="004637C7" w:rsidRDefault="001716BC" w:rsidP="00003654">
            <w:pPr>
              <w:cnfStyle w:val="000000000000" w:firstRow="0" w:lastRow="0" w:firstColumn="0" w:lastColumn="0" w:oddVBand="0" w:evenVBand="0" w:oddHBand="0" w:evenHBand="0" w:firstRowFirstColumn="0" w:firstRowLastColumn="0" w:lastRowFirstColumn="0" w:lastRowLastColumn="0"/>
              <w:rPr>
                <w:szCs w:val="20"/>
              </w:rPr>
            </w:pPr>
            <w:r w:rsidRPr="004637C7">
              <w:rPr>
                <w:szCs w:val="20"/>
              </w:rPr>
              <w:t>Bureau de contrôle / Consultant ONDA</w:t>
            </w:r>
          </w:p>
        </w:tc>
        <w:tc>
          <w:tcPr>
            <w:tcW w:w="0" w:type="auto"/>
            <w:vMerge w:val="restart"/>
            <w:hideMark/>
          </w:tcPr>
          <w:p w14:paraId="0F7CC0AC" w14:textId="77777777" w:rsidR="001716BC" w:rsidRPr="004637C7" w:rsidRDefault="001716BC" w:rsidP="00003654">
            <w:pPr>
              <w:cnfStyle w:val="000000000000" w:firstRow="0" w:lastRow="0" w:firstColumn="0" w:lastColumn="0" w:oddVBand="0" w:evenVBand="0" w:oddHBand="0" w:evenHBand="0" w:firstRowFirstColumn="0" w:firstRowLastColumn="0" w:lastRowFirstColumn="0" w:lastRowLastColumn="0"/>
              <w:rPr>
                <w:szCs w:val="20"/>
              </w:rPr>
            </w:pPr>
            <w:r w:rsidRPr="004637C7">
              <w:rPr>
                <w:szCs w:val="20"/>
              </w:rPr>
              <w:t>ONDA</w:t>
            </w:r>
          </w:p>
        </w:tc>
        <w:tc>
          <w:tcPr>
            <w:tcW w:w="0" w:type="auto"/>
            <w:vMerge w:val="restart"/>
            <w:hideMark/>
          </w:tcPr>
          <w:p w14:paraId="3FF84892" w14:textId="77777777" w:rsidR="001716BC" w:rsidRPr="004637C7" w:rsidRDefault="001716BC" w:rsidP="00003654">
            <w:pPr>
              <w:cnfStyle w:val="000000000000" w:firstRow="0" w:lastRow="0" w:firstColumn="0" w:lastColumn="0" w:oddVBand="0" w:evenVBand="0" w:oddHBand="0" w:evenHBand="0" w:firstRowFirstColumn="0" w:firstRowLastColumn="0" w:lastRowFirstColumn="0" w:lastRowLastColumn="0"/>
              <w:rPr>
                <w:szCs w:val="20"/>
              </w:rPr>
            </w:pPr>
            <w:r w:rsidRPr="004637C7">
              <w:rPr>
                <w:szCs w:val="20"/>
              </w:rPr>
              <w:t>Continue</w:t>
            </w:r>
          </w:p>
        </w:tc>
        <w:tc>
          <w:tcPr>
            <w:tcW w:w="0" w:type="auto"/>
            <w:tcBorders>
              <w:bottom w:val="single" w:sz="4" w:space="0" w:color="B4C6E7" w:themeColor="accent1" w:themeTint="66"/>
            </w:tcBorders>
            <w:hideMark/>
          </w:tcPr>
          <w:p w14:paraId="3304EAD2" w14:textId="18180A41" w:rsidR="001716BC" w:rsidRPr="004637C7" w:rsidRDefault="001716BC" w:rsidP="00003654">
            <w:pPr>
              <w:cnfStyle w:val="000000000000" w:firstRow="0" w:lastRow="0" w:firstColumn="0" w:lastColumn="0" w:oddVBand="0" w:evenVBand="0" w:oddHBand="0" w:evenHBand="0" w:firstRowFirstColumn="0" w:firstRowLastColumn="0" w:lastRowFirstColumn="0" w:lastRowLastColumn="0"/>
              <w:rPr>
                <w:szCs w:val="20"/>
              </w:rPr>
            </w:pPr>
            <w:r w:rsidRPr="001716BC">
              <w:rPr>
                <w:szCs w:val="20"/>
              </w:rPr>
              <w:t>Bac acier galvanisé 1 000–1 500 L : 5 000–6 000 MAD/unité</w:t>
            </w:r>
          </w:p>
        </w:tc>
      </w:tr>
      <w:tr w:rsidR="001716BC" w:rsidRPr="008D44BF" w14:paraId="12D16B8B" w14:textId="77777777" w:rsidTr="001716BC">
        <w:trPr>
          <w:trHeight w:val="1067"/>
        </w:trPr>
        <w:tc>
          <w:tcPr>
            <w:cnfStyle w:val="001000000000" w:firstRow="0" w:lastRow="0" w:firstColumn="1" w:lastColumn="0" w:oddVBand="0" w:evenVBand="0" w:oddHBand="0" w:evenHBand="0" w:firstRowFirstColumn="0" w:firstRowLastColumn="0" w:lastRowFirstColumn="0" w:lastRowLastColumn="0"/>
            <w:tcW w:w="0" w:type="auto"/>
            <w:vMerge/>
          </w:tcPr>
          <w:p w14:paraId="778EA5AF" w14:textId="77777777" w:rsidR="001716BC" w:rsidRPr="00AA22F2" w:rsidRDefault="001716BC" w:rsidP="00003654">
            <w:pPr>
              <w:rPr>
                <w:b w:val="0"/>
                <w:bCs w:val="0"/>
                <w:szCs w:val="20"/>
              </w:rPr>
            </w:pPr>
          </w:p>
        </w:tc>
        <w:tc>
          <w:tcPr>
            <w:tcW w:w="0" w:type="auto"/>
            <w:vMerge/>
          </w:tcPr>
          <w:p w14:paraId="367732F2" w14:textId="77777777" w:rsidR="001716BC" w:rsidRPr="004637C7" w:rsidRDefault="001716BC" w:rsidP="00003654">
            <w:pPr>
              <w:cnfStyle w:val="000000000000" w:firstRow="0" w:lastRow="0" w:firstColumn="0" w:lastColumn="0" w:oddVBand="0" w:evenVBand="0" w:oddHBand="0" w:evenHBand="0" w:firstRowFirstColumn="0" w:firstRowLastColumn="0" w:lastRowFirstColumn="0" w:lastRowLastColumn="0"/>
              <w:rPr>
                <w:szCs w:val="20"/>
              </w:rPr>
            </w:pPr>
          </w:p>
        </w:tc>
        <w:tc>
          <w:tcPr>
            <w:tcW w:w="0" w:type="auto"/>
            <w:tcBorders>
              <w:top w:val="single" w:sz="4" w:space="0" w:color="B4C6E7" w:themeColor="accent1" w:themeTint="66"/>
            </w:tcBorders>
          </w:tcPr>
          <w:p w14:paraId="15EA37DF" w14:textId="77777777" w:rsidR="001716BC" w:rsidRPr="004637C7" w:rsidRDefault="001716BC" w:rsidP="001716BC">
            <w:pPr>
              <w:cnfStyle w:val="000000000000" w:firstRow="0" w:lastRow="0" w:firstColumn="0" w:lastColumn="0" w:oddVBand="0" w:evenVBand="0" w:oddHBand="0" w:evenHBand="0" w:firstRowFirstColumn="0" w:firstRowLastColumn="0" w:lastRowFirstColumn="0" w:lastRowLastColumn="0"/>
              <w:rPr>
                <w:szCs w:val="20"/>
              </w:rPr>
            </w:pPr>
            <w:r w:rsidRPr="004637C7">
              <w:rPr>
                <w:szCs w:val="20"/>
              </w:rPr>
              <w:t>Stocker les hydrocarbures sur des dalles bétonnées.</w:t>
            </w:r>
          </w:p>
        </w:tc>
        <w:tc>
          <w:tcPr>
            <w:tcW w:w="0" w:type="auto"/>
            <w:vMerge/>
          </w:tcPr>
          <w:p w14:paraId="556E2434" w14:textId="77777777" w:rsidR="001716BC" w:rsidRPr="004637C7" w:rsidRDefault="001716BC" w:rsidP="00003654">
            <w:pPr>
              <w:cnfStyle w:val="000000000000" w:firstRow="0" w:lastRow="0" w:firstColumn="0" w:lastColumn="0" w:oddVBand="0" w:evenVBand="0" w:oddHBand="0" w:evenHBand="0" w:firstRowFirstColumn="0" w:firstRowLastColumn="0" w:lastRowFirstColumn="0" w:lastRowLastColumn="0"/>
              <w:rPr>
                <w:szCs w:val="20"/>
              </w:rPr>
            </w:pPr>
          </w:p>
        </w:tc>
        <w:tc>
          <w:tcPr>
            <w:tcW w:w="0" w:type="auto"/>
            <w:vMerge/>
          </w:tcPr>
          <w:p w14:paraId="7D6FAF96" w14:textId="77777777" w:rsidR="001716BC" w:rsidRPr="004637C7" w:rsidRDefault="001716BC" w:rsidP="00003654">
            <w:pPr>
              <w:cnfStyle w:val="000000000000" w:firstRow="0" w:lastRow="0" w:firstColumn="0" w:lastColumn="0" w:oddVBand="0" w:evenVBand="0" w:oddHBand="0" w:evenHBand="0" w:firstRowFirstColumn="0" w:firstRowLastColumn="0" w:lastRowFirstColumn="0" w:lastRowLastColumn="0"/>
              <w:rPr>
                <w:szCs w:val="20"/>
              </w:rPr>
            </w:pPr>
          </w:p>
        </w:tc>
        <w:tc>
          <w:tcPr>
            <w:tcW w:w="0" w:type="auto"/>
            <w:vMerge/>
          </w:tcPr>
          <w:p w14:paraId="40AFFF62" w14:textId="77777777" w:rsidR="001716BC" w:rsidRPr="004637C7" w:rsidRDefault="001716BC" w:rsidP="00003654">
            <w:pPr>
              <w:cnfStyle w:val="000000000000" w:firstRow="0" w:lastRow="0" w:firstColumn="0" w:lastColumn="0" w:oddVBand="0" w:evenVBand="0" w:oddHBand="0" w:evenHBand="0" w:firstRowFirstColumn="0" w:firstRowLastColumn="0" w:lastRowFirstColumn="0" w:lastRowLastColumn="0"/>
              <w:rPr>
                <w:szCs w:val="20"/>
              </w:rPr>
            </w:pPr>
          </w:p>
        </w:tc>
        <w:tc>
          <w:tcPr>
            <w:tcW w:w="0" w:type="auto"/>
            <w:vMerge/>
          </w:tcPr>
          <w:p w14:paraId="3AE5300A" w14:textId="77777777" w:rsidR="001716BC" w:rsidRPr="004637C7" w:rsidRDefault="001716BC" w:rsidP="00003654">
            <w:pPr>
              <w:cnfStyle w:val="000000000000" w:firstRow="0" w:lastRow="0" w:firstColumn="0" w:lastColumn="0" w:oddVBand="0" w:evenVBand="0" w:oddHBand="0" w:evenHBand="0" w:firstRowFirstColumn="0" w:firstRowLastColumn="0" w:lastRowFirstColumn="0" w:lastRowLastColumn="0"/>
              <w:rPr>
                <w:szCs w:val="20"/>
              </w:rPr>
            </w:pPr>
          </w:p>
        </w:tc>
        <w:tc>
          <w:tcPr>
            <w:tcW w:w="0" w:type="auto"/>
            <w:vMerge/>
          </w:tcPr>
          <w:p w14:paraId="0570B685" w14:textId="77777777" w:rsidR="001716BC" w:rsidRPr="004637C7" w:rsidRDefault="001716BC" w:rsidP="00003654">
            <w:pPr>
              <w:cnfStyle w:val="000000000000" w:firstRow="0" w:lastRow="0" w:firstColumn="0" w:lastColumn="0" w:oddVBand="0" w:evenVBand="0" w:oddHBand="0" w:evenHBand="0" w:firstRowFirstColumn="0" w:firstRowLastColumn="0" w:lastRowFirstColumn="0" w:lastRowLastColumn="0"/>
              <w:rPr>
                <w:szCs w:val="20"/>
              </w:rPr>
            </w:pPr>
          </w:p>
        </w:tc>
        <w:tc>
          <w:tcPr>
            <w:tcW w:w="0" w:type="auto"/>
            <w:tcBorders>
              <w:top w:val="single" w:sz="4" w:space="0" w:color="B4C6E7" w:themeColor="accent1" w:themeTint="66"/>
            </w:tcBorders>
          </w:tcPr>
          <w:p w14:paraId="5016B959" w14:textId="0DEE93E3" w:rsidR="001716BC" w:rsidRPr="00AA22F2" w:rsidRDefault="00633ED0" w:rsidP="00003654">
            <w:pPr>
              <w:cnfStyle w:val="000000000000" w:firstRow="0" w:lastRow="0" w:firstColumn="0" w:lastColumn="0" w:oddVBand="0" w:evenVBand="0" w:oddHBand="0" w:evenHBand="0" w:firstRowFirstColumn="0" w:firstRowLastColumn="0" w:lastRowFirstColumn="0" w:lastRowLastColumn="0"/>
              <w:rPr>
                <w:szCs w:val="20"/>
              </w:rPr>
            </w:pPr>
            <w:r>
              <w:rPr>
                <w:szCs w:val="20"/>
              </w:rPr>
              <w:t>Prix unitaire :</w:t>
            </w:r>
            <w:r w:rsidRPr="00633ED0">
              <w:rPr>
                <w:szCs w:val="20"/>
              </w:rPr>
              <w:t xml:space="preserve"> 250 MAD/m².</w:t>
            </w:r>
          </w:p>
        </w:tc>
      </w:tr>
      <w:tr w:rsidR="00023748" w:rsidRPr="008D44BF" w14:paraId="382716FA" w14:textId="77777777" w:rsidTr="00003654">
        <w:tc>
          <w:tcPr>
            <w:cnfStyle w:val="001000000000" w:firstRow="0" w:lastRow="0" w:firstColumn="1" w:lastColumn="0" w:oddVBand="0" w:evenVBand="0" w:oddHBand="0" w:evenHBand="0" w:firstRowFirstColumn="0" w:firstRowLastColumn="0" w:lastRowFirstColumn="0" w:lastRowLastColumn="0"/>
            <w:tcW w:w="0" w:type="auto"/>
            <w:vMerge/>
          </w:tcPr>
          <w:p w14:paraId="122F7D23" w14:textId="77777777" w:rsidR="00793AB6" w:rsidRPr="00AA22F2" w:rsidRDefault="00793AB6" w:rsidP="00003654">
            <w:pPr>
              <w:rPr>
                <w:b w:val="0"/>
                <w:bCs w:val="0"/>
                <w:szCs w:val="20"/>
              </w:rPr>
            </w:pPr>
          </w:p>
        </w:tc>
        <w:tc>
          <w:tcPr>
            <w:tcW w:w="0" w:type="auto"/>
            <w:hideMark/>
          </w:tcPr>
          <w:p w14:paraId="5431A4F2" w14:textId="0460D747" w:rsidR="00793AB6" w:rsidRPr="004637C7" w:rsidRDefault="00793AB6" w:rsidP="00003654">
            <w:pPr>
              <w:cnfStyle w:val="000000000000" w:firstRow="0" w:lastRow="0" w:firstColumn="0" w:lastColumn="0" w:oddVBand="0" w:evenVBand="0" w:oddHBand="0" w:evenHBand="0" w:firstRowFirstColumn="0" w:firstRowLastColumn="0" w:lastRowFirstColumn="0" w:lastRowLastColumn="0"/>
              <w:rPr>
                <w:szCs w:val="20"/>
              </w:rPr>
            </w:pPr>
            <w:r w:rsidRPr="004637C7">
              <w:rPr>
                <w:szCs w:val="20"/>
              </w:rPr>
              <w:t>Atténuer</w:t>
            </w:r>
          </w:p>
        </w:tc>
        <w:tc>
          <w:tcPr>
            <w:tcW w:w="0" w:type="auto"/>
            <w:hideMark/>
          </w:tcPr>
          <w:p w14:paraId="0F91A77E" w14:textId="2AA4EC29" w:rsidR="00793AB6" w:rsidRPr="004637C7" w:rsidRDefault="00793AB6" w:rsidP="00003654">
            <w:pPr>
              <w:cnfStyle w:val="000000000000" w:firstRow="0" w:lastRow="0" w:firstColumn="0" w:lastColumn="0" w:oddVBand="0" w:evenVBand="0" w:oddHBand="0" w:evenHBand="0" w:firstRowFirstColumn="0" w:firstRowLastColumn="0" w:lastRowFirstColumn="0" w:lastRowLastColumn="0"/>
              <w:rPr>
                <w:szCs w:val="20"/>
              </w:rPr>
            </w:pPr>
            <w:r w:rsidRPr="004637C7">
              <w:rPr>
                <w:szCs w:val="20"/>
              </w:rPr>
              <w:t>Déployer un plan d’intervention d’urgence (kits absorbants, barrières, pompes).</w:t>
            </w:r>
          </w:p>
        </w:tc>
        <w:tc>
          <w:tcPr>
            <w:tcW w:w="0" w:type="auto"/>
            <w:hideMark/>
          </w:tcPr>
          <w:p w14:paraId="61D33C80" w14:textId="77777777" w:rsidR="00793AB6" w:rsidRPr="004637C7" w:rsidRDefault="00793AB6" w:rsidP="00003654">
            <w:pPr>
              <w:cnfStyle w:val="000000000000" w:firstRow="0" w:lastRow="0" w:firstColumn="0" w:lastColumn="0" w:oddVBand="0" w:evenVBand="0" w:oddHBand="0" w:evenHBand="0" w:firstRowFirstColumn="0" w:firstRowLastColumn="0" w:lastRowFirstColumn="0" w:lastRowLastColumn="0"/>
              <w:rPr>
                <w:szCs w:val="20"/>
              </w:rPr>
            </w:pPr>
            <w:r w:rsidRPr="004637C7">
              <w:rPr>
                <w:szCs w:val="20"/>
              </w:rPr>
              <w:t>Temps d’intervention &lt; 15 min</w:t>
            </w:r>
          </w:p>
        </w:tc>
        <w:tc>
          <w:tcPr>
            <w:tcW w:w="0" w:type="auto"/>
            <w:hideMark/>
          </w:tcPr>
          <w:p w14:paraId="7FC4EF62" w14:textId="77777777" w:rsidR="00793AB6" w:rsidRPr="004637C7" w:rsidRDefault="00793AB6" w:rsidP="00003654">
            <w:pPr>
              <w:cnfStyle w:val="000000000000" w:firstRow="0" w:lastRow="0" w:firstColumn="0" w:lastColumn="0" w:oddVBand="0" w:evenVBand="0" w:oddHBand="0" w:evenHBand="0" w:firstRowFirstColumn="0" w:firstRowLastColumn="0" w:lastRowFirstColumn="0" w:lastRowLastColumn="0"/>
              <w:rPr>
                <w:szCs w:val="20"/>
              </w:rPr>
            </w:pPr>
            <w:r w:rsidRPr="004637C7">
              <w:rPr>
                <w:szCs w:val="20"/>
              </w:rPr>
              <w:t>EPC / Sous-traitants</w:t>
            </w:r>
          </w:p>
        </w:tc>
        <w:tc>
          <w:tcPr>
            <w:tcW w:w="0" w:type="auto"/>
            <w:hideMark/>
          </w:tcPr>
          <w:p w14:paraId="41209097" w14:textId="77777777" w:rsidR="00793AB6" w:rsidRPr="004637C7" w:rsidRDefault="00793AB6" w:rsidP="00003654">
            <w:pPr>
              <w:cnfStyle w:val="000000000000" w:firstRow="0" w:lastRow="0" w:firstColumn="0" w:lastColumn="0" w:oddVBand="0" w:evenVBand="0" w:oddHBand="0" w:evenHBand="0" w:firstRowFirstColumn="0" w:firstRowLastColumn="0" w:lastRowFirstColumn="0" w:lastRowLastColumn="0"/>
              <w:rPr>
                <w:szCs w:val="20"/>
              </w:rPr>
            </w:pPr>
            <w:r w:rsidRPr="004637C7">
              <w:rPr>
                <w:szCs w:val="20"/>
              </w:rPr>
              <w:t>Bureau de contrôle / Consultant ONDA</w:t>
            </w:r>
          </w:p>
        </w:tc>
        <w:tc>
          <w:tcPr>
            <w:tcW w:w="0" w:type="auto"/>
            <w:hideMark/>
          </w:tcPr>
          <w:p w14:paraId="1957D2CA" w14:textId="77777777" w:rsidR="00793AB6" w:rsidRPr="004637C7" w:rsidRDefault="00793AB6" w:rsidP="00003654">
            <w:pPr>
              <w:cnfStyle w:val="000000000000" w:firstRow="0" w:lastRow="0" w:firstColumn="0" w:lastColumn="0" w:oddVBand="0" w:evenVBand="0" w:oddHBand="0" w:evenHBand="0" w:firstRowFirstColumn="0" w:firstRowLastColumn="0" w:lastRowFirstColumn="0" w:lastRowLastColumn="0"/>
              <w:rPr>
                <w:szCs w:val="20"/>
              </w:rPr>
            </w:pPr>
            <w:r w:rsidRPr="004637C7">
              <w:rPr>
                <w:szCs w:val="20"/>
              </w:rPr>
              <w:t>ONDA</w:t>
            </w:r>
          </w:p>
        </w:tc>
        <w:tc>
          <w:tcPr>
            <w:tcW w:w="0" w:type="auto"/>
            <w:hideMark/>
          </w:tcPr>
          <w:p w14:paraId="593E525E" w14:textId="1EA7D620" w:rsidR="00793AB6" w:rsidRPr="004637C7" w:rsidRDefault="00793AB6" w:rsidP="00003654">
            <w:pPr>
              <w:cnfStyle w:val="000000000000" w:firstRow="0" w:lastRow="0" w:firstColumn="0" w:lastColumn="0" w:oddVBand="0" w:evenVBand="0" w:oddHBand="0" w:evenHBand="0" w:firstRowFirstColumn="0" w:firstRowLastColumn="0" w:lastRowFirstColumn="0" w:lastRowLastColumn="0"/>
              <w:rPr>
                <w:szCs w:val="20"/>
              </w:rPr>
            </w:pPr>
            <w:r w:rsidRPr="00AA22F2">
              <w:rPr>
                <w:szCs w:val="20"/>
              </w:rPr>
              <w:t>Avant début de travaux</w:t>
            </w:r>
          </w:p>
        </w:tc>
        <w:tc>
          <w:tcPr>
            <w:tcW w:w="0" w:type="auto"/>
            <w:hideMark/>
          </w:tcPr>
          <w:p w14:paraId="46EAC8D3" w14:textId="6D4E3148" w:rsidR="00793AB6" w:rsidRPr="004637C7" w:rsidRDefault="00633ED0" w:rsidP="00003654">
            <w:pPr>
              <w:cnfStyle w:val="000000000000" w:firstRow="0" w:lastRow="0" w:firstColumn="0" w:lastColumn="0" w:oddVBand="0" w:evenVBand="0" w:oddHBand="0" w:evenHBand="0" w:firstRowFirstColumn="0" w:firstRowLastColumn="0" w:lastRowFirstColumn="0" w:lastRowLastColumn="0"/>
              <w:rPr>
                <w:szCs w:val="20"/>
              </w:rPr>
            </w:pPr>
            <w:r w:rsidRPr="00633ED0">
              <w:rPr>
                <w:szCs w:val="20"/>
              </w:rPr>
              <w:t>3 kits 50 L × 1 200 MAD + barrières + petit matériel.</w:t>
            </w:r>
          </w:p>
        </w:tc>
      </w:tr>
      <w:tr w:rsidR="00023748" w:rsidRPr="008D44BF" w14:paraId="5C6391D2" w14:textId="77777777" w:rsidTr="00003654">
        <w:tc>
          <w:tcPr>
            <w:cnfStyle w:val="001000000000" w:firstRow="0" w:lastRow="0" w:firstColumn="1" w:lastColumn="0" w:oddVBand="0" w:evenVBand="0" w:oddHBand="0" w:evenHBand="0" w:firstRowFirstColumn="0" w:firstRowLastColumn="0" w:lastRowFirstColumn="0" w:lastRowLastColumn="0"/>
            <w:tcW w:w="0" w:type="auto"/>
            <w:vMerge/>
          </w:tcPr>
          <w:p w14:paraId="34CF3032" w14:textId="77777777" w:rsidR="00793AB6" w:rsidRPr="00AA22F2" w:rsidRDefault="00793AB6" w:rsidP="00003654">
            <w:pPr>
              <w:rPr>
                <w:b w:val="0"/>
                <w:bCs w:val="0"/>
                <w:szCs w:val="20"/>
              </w:rPr>
            </w:pPr>
          </w:p>
        </w:tc>
        <w:tc>
          <w:tcPr>
            <w:tcW w:w="0" w:type="auto"/>
            <w:hideMark/>
          </w:tcPr>
          <w:p w14:paraId="4EA943DE" w14:textId="42E05FFC" w:rsidR="00793AB6" w:rsidRPr="004637C7" w:rsidRDefault="00793AB6" w:rsidP="00003654">
            <w:pPr>
              <w:cnfStyle w:val="000000000000" w:firstRow="0" w:lastRow="0" w:firstColumn="0" w:lastColumn="0" w:oddVBand="0" w:evenVBand="0" w:oddHBand="0" w:evenHBand="0" w:firstRowFirstColumn="0" w:firstRowLastColumn="0" w:lastRowFirstColumn="0" w:lastRowLastColumn="0"/>
              <w:rPr>
                <w:szCs w:val="20"/>
              </w:rPr>
            </w:pPr>
            <w:r w:rsidRPr="004637C7">
              <w:rPr>
                <w:szCs w:val="20"/>
              </w:rPr>
              <w:t>Compenser</w:t>
            </w:r>
          </w:p>
        </w:tc>
        <w:tc>
          <w:tcPr>
            <w:tcW w:w="0" w:type="auto"/>
            <w:hideMark/>
          </w:tcPr>
          <w:p w14:paraId="28D651A0" w14:textId="77777777" w:rsidR="00793AB6" w:rsidRPr="00AA22F2" w:rsidRDefault="00793AB6" w:rsidP="00003654">
            <w:pPr>
              <w:cnfStyle w:val="000000000000" w:firstRow="0" w:lastRow="0" w:firstColumn="0" w:lastColumn="0" w:oddVBand="0" w:evenVBand="0" w:oddHBand="0" w:evenHBand="0" w:firstRowFirstColumn="0" w:firstRowLastColumn="0" w:lastRowFirstColumn="0" w:lastRowLastColumn="0"/>
              <w:rPr>
                <w:szCs w:val="20"/>
              </w:rPr>
            </w:pPr>
            <w:r w:rsidRPr="004637C7">
              <w:rPr>
                <w:szCs w:val="20"/>
              </w:rPr>
              <w:t>Nettoyer et remblayer les zones contaminées.</w:t>
            </w:r>
          </w:p>
          <w:p w14:paraId="4E9D8DB0" w14:textId="57A0A95A" w:rsidR="00793AB6" w:rsidRPr="004637C7" w:rsidRDefault="00793AB6" w:rsidP="00003654">
            <w:pPr>
              <w:cnfStyle w:val="000000000000" w:firstRow="0" w:lastRow="0" w:firstColumn="0" w:lastColumn="0" w:oddVBand="0" w:evenVBand="0" w:oddHBand="0" w:evenHBand="0" w:firstRowFirstColumn="0" w:firstRowLastColumn="0" w:lastRowFirstColumn="0" w:lastRowLastColumn="0"/>
              <w:rPr>
                <w:szCs w:val="20"/>
              </w:rPr>
            </w:pPr>
            <w:r w:rsidRPr="004637C7">
              <w:rPr>
                <w:szCs w:val="20"/>
              </w:rPr>
              <w:lastRenderedPageBreak/>
              <w:t>Réaliser un contrôle de qualité des eaux souterraines post-incident.</w:t>
            </w:r>
          </w:p>
        </w:tc>
        <w:tc>
          <w:tcPr>
            <w:tcW w:w="0" w:type="auto"/>
            <w:hideMark/>
          </w:tcPr>
          <w:p w14:paraId="0D518450" w14:textId="77777777" w:rsidR="00793AB6" w:rsidRPr="004637C7" w:rsidRDefault="00793AB6" w:rsidP="00003654">
            <w:pPr>
              <w:cnfStyle w:val="000000000000" w:firstRow="0" w:lastRow="0" w:firstColumn="0" w:lastColumn="0" w:oddVBand="0" w:evenVBand="0" w:oddHBand="0" w:evenHBand="0" w:firstRowFirstColumn="0" w:firstRowLastColumn="0" w:lastRowFirstColumn="0" w:lastRowLastColumn="0"/>
              <w:rPr>
                <w:szCs w:val="20"/>
              </w:rPr>
            </w:pPr>
            <w:r w:rsidRPr="004637C7">
              <w:rPr>
                <w:szCs w:val="20"/>
              </w:rPr>
              <w:lastRenderedPageBreak/>
              <w:t>Nombre d’analyses réalisées</w:t>
            </w:r>
          </w:p>
        </w:tc>
        <w:tc>
          <w:tcPr>
            <w:tcW w:w="0" w:type="auto"/>
            <w:hideMark/>
          </w:tcPr>
          <w:p w14:paraId="0B4DAFB5" w14:textId="77777777" w:rsidR="00793AB6" w:rsidRPr="004637C7" w:rsidRDefault="00793AB6" w:rsidP="00003654">
            <w:pPr>
              <w:cnfStyle w:val="000000000000" w:firstRow="0" w:lastRow="0" w:firstColumn="0" w:lastColumn="0" w:oddVBand="0" w:evenVBand="0" w:oddHBand="0" w:evenHBand="0" w:firstRowFirstColumn="0" w:firstRowLastColumn="0" w:lastRowFirstColumn="0" w:lastRowLastColumn="0"/>
              <w:rPr>
                <w:szCs w:val="20"/>
              </w:rPr>
            </w:pPr>
            <w:r w:rsidRPr="004637C7">
              <w:rPr>
                <w:szCs w:val="20"/>
              </w:rPr>
              <w:t>EPC / Sous-traitants</w:t>
            </w:r>
          </w:p>
        </w:tc>
        <w:tc>
          <w:tcPr>
            <w:tcW w:w="0" w:type="auto"/>
            <w:hideMark/>
          </w:tcPr>
          <w:p w14:paraId="3E5A6089" w14:textId="77777777" w:rsidR="00793AB6" w:rsidRPr="004637C7" w:rsidRDefault="00793AB6" w:rsidP="00003654">
            <w:pPr>
              <w:cnfStyle w:val="000000000000" w:firstRow="0" w:lastRow="0" w:firstColumn="0" w:lastColumn="0" w:oddVBand="0" w:evenVBand="0" w:oddHBand="0" w:evenHBand="0" w:firstRowFirstColumn="0" w:firstRowLastColumn="0" w:lastRowFirstColumn="0" w:lastRowLastColumn="0"/>
              <w:rPr>
                <w:szCs w:val="20"/>
              </w:rPr>
            </w:pPr>
            <w:r w:rsidRPr="004637C7">
              <w:rPr>
                <w:szCs w:val="20"/>
              </w:rPr>
              <w:t xml:space="preserve">Bureau de contrôle / </w:t>
            </w:r>
            <w:r w:rsidRPr="004637C7">
              <w:rPr>
                <w:szCs w:val="20"/>
              </w:rPr>
              <w:lastRenderedPageBreak/>
              <w:t>Consultant ONDA</w:t>
            </w:r>
          </w:p>
        </w:tc>
        <w:tc>
          <w:tcPr>
            <w:tcW w:w="0" w:type="auto"/>
            <w:hideMark/>
          </w:tcPr>
          <w:p w14:paraId="2C3640F0" w14:textId="77777777" w:rsidR="00793AB6" w:rsidRPr="004637C7" w:rsidRDefault="00793AB6" w:rsidP="00003654">
            <w:pPr>
              <w:cnfStyle w:val="000000000000" w:firstRow="0" w:lastRow="0" w:firstColumn="0" w:lastColumn="0" w:oddVBand="0" w:evenVBand="0" w:oddHBand="0" w:evenHBand="0" w:firstRowFirstColumn="0" w:firstRowLastColumn="0" w:lastRowFirstColumn="0" w:lastRowLastColumn="0"/>
              <w:rPr>
                <w:szCs w:val="20"/>
              </w:rPr>
            </w:pPr>
            <w:r w:rsidRPr="004637C7">
              <w:rPr>
                <w:szCs w:val="20"/>
              </w:rPr>
              <w:lastRenderedPageBreak/>
              <w:t>ONDA</w:t>
            </w:r>
          </w:p>
        </w:tc>
        <w:tc>
          <w:tcPr>
            <w:tcW w:w="0" w:type="auto"/>
            <w:hideMark/>
          </w:tcPr>
          <w:p w14:paraId="3865F082" w14:textId="77777777" w:rsidR="00793AB6" w:rsidRPr="004637C7" w:rsidRDefault="00793AB6" w:rsidP="00003654">
            <w:pPr>
              <w:cnfStyle w:val="000000000000" w:firstRow="0" w:lastRow="0" w:firstColumn="0" w:lastColumn="0" w:oddVBand="0" w:evenVBand="0" w:oddHBand="0" w:evenHBand="0" w:firstRowFirstColumn="0" w:firstRowLastColumn="0" w:lastRowFirstColumn="0" w:lastRowLastColumn="0"/>
              <w:rPr>
                <w:szCs w:val="20"/>
              </w:rPr>
            </w:pPr>
            <w:r w:rsidRPr="004637C7">
              <w:rPr>
                <w:szCs w:val="20"/>
              </w:rPr>
              <w:t>Post-incident</w:t>
            </w:r>
          </w:p>
        </w:tc>
        <w:tc>
          <w:tcPr>
            <w:tcW w:w="0" w:type="auto"/>
            <w:hideMark/>
          </w:tcPr>
          <w:p w14:paraId="274830EB" w14:textId="6BC596E8" w:rsidR="00793AB6" w:rsidRDefault="00633ED0" w:rsidP="00003654">
            <w:pPr>
              <w:cnfStyle w:val="000000000000" w:firstRow="0" w:lastRow="0" w:firstColumn="0" w:lastColumn="0" w:oddVBand="0" w:evenVBand="0" w:oddHBand="0" w:evenHBand="0" w:firstRowFirstColumn="0" w:firstRowLastColumn="0" w:lastRowFirstColumn="0" w:lastRowLastColumn="0"/>
              <w:rPr>
                <w:szCs w:val="20"/>
              </w:rPr>
            </w:pPr>
            <w:r w:rsidRPr="00633ED0">
              <w:rPr>
                <w:szCs w:val="20"/>
              </w:rPr>
              <w:t>Transport + remblai : 200–250 MAD/m³</w:t>
            </w:r>
          </w:p>
          <w:p w14:paraId="5360849F" w14:textId="77777777" w:rsidR="00633ED0" w:rsidRDefault="00633ED0" w:rsidP="00003654">
            <w:pPr>
              <w:cnfStyle w:val="000000000000" w:firstRow="0" w:lastRow="0" w:firstColumn="0" w:lastColumn="0" w:oddVBand="0" w:evenVBand="0" w:oddHBand="0" w:evenHBand="0" w:firstRowFirstColumn="0" w:firstRowLastColumn="0" w:lastRowFirstColumn="0" w:lastRowLastColumn="0"/>
              <w:rPr>
                <w:szCs w:val="20"/>
              </w:rPr>
            </w:pPr>
          </w:p>
          <w:p w14:paraId="39C88358" w14:textId="248FDE08" w:rsidR="00633ED0" w:rsidRPr="004637C7" w:rsidRDefault="00633ED0" w:rsidP="00003654">
            <w:pPr>
              <w:cnfStyle w:val="000000000000" w:firstRow="0" w:lastRow="0" w:firstColumn="0" w:lastColumn="0" w:oddVBand="0" w:evenVBand="0" w:oddHBand="0" w:evenHBand="0" w:firstRowFirstColumn="0" w:firstRowLastColumn="0" w:lastRowFirstColumn="0" w:lastRowLastColumn="0"/>
              <w:rPr>
                <w:szCs w:val="20"/>
              </w:rPr>
            </w:pPr>
            <w:r w:rsidRPr="00633ED0">
              <w:rPr>
                <w:szCs w:val="20"/>
              </w:rPr>
              <w:lastRenderedPageBreak/>
              <w:t>≈ 2 500 – 3 000</w:t>
            </w:r>
            <w:r>
              <w:rPr>
                <w:szCs w:val="20"/>
              </w:rPr>
              <w:t xml:space="preserve"> MAD - </w:t>
            </w:r>
            <w:r w:rsidRPr="00633ED0">
              <w:rPr>
                <w:szCs w:val="20"/>
              </w:rPr>
              <w:t>2 échantillons × 1 000 MAD + rapport.</w:t>
            </w:r>
          </w:p>
        </w:tc>
      </w:tr>
    </w:tbl>
    <w:p w14:paraId="7A19C3ED" w14:textId="77777777" w:rsidR="00C80F0C" w:rsidRDefault="00C80F0C">
      <w:pPr>
        <w:rPr>
          <w:b/>
          <w:bCs/>
        </w:rPr>
      </w:pPr>
    </w:p>
    <w:p w14:paraId="583623E3" w14:textId="77777777" w:rsidR="00003654" w:rsidRDefault="00003654">
      <w:pPr>
        <w:rPr>
          <w:b/>
          <w:bCs/>
        </w:rPr>
      </w:pPr>
    </w:p>
    <w:p w14:paraId="11C5A978" w14:textId="77777777" w:rsidR="00003654" w:rsidRDefault="00003654">
      <w:pPr>
        <w:rPr>
          <w:b/>
          <w:bCs/>
        </w:rPr>
      </w:pPr>
    </w:p>
    <w:p w14:paraId="4539124C" w14:textId="77777777" w:rsidR="00003654" w:rsidRPr="00024224" w:rsidRDefault="00003654" w:rsidP="004637C7">
      <w:pPr>
        <w:rPr>
          <w:b/>
          <w:bCs/>
        </w:rPr>
        <w:sectPr w:rsidR="00003654" w:rsidRPr="00024224" w:rsidSect="00551D4F">
          <w:headerReference w:type="default" r:id="rId118"/>
          <w:footerReference w:type="default" r:id="rId119"/>
          <w:pgSz w:w="16838" w:h="11906" w:orient="landscape"/>
          <w:pgMar w:top="1418" w:right="1418" w:bottom="1418" w:left="1276" w:header="680" w:footer="680" w:gutter="0"/>
          <w:cols w:space="708"/>
          <w:docGrid w:linePitch="360"/>
        </w:sectPr>
      </w:pPr>
    </w:p>
    <w:p w14:paraId="5EEBC0D7" w14:textId="071B3EF0" w:rsidR="00551D4F" w:rsidRDefault="00551D4F" w:rsidP="004637C7">
      <w:pPr>
        <w:pStyle w:val="Title5"/>
      </w:pPr>
      <w:r>
        <w:lastRenderedPageBreak/>
        <w:t>Évaluation</w:t>
      </w:r>
      <w:r>
        <w:rPr>
          <w:spacing w:val="-7"/>
        </w:rPr>
        <w:t xml:space="preserve"> </w:t>
      </w:r>
      <w:r w:rsidR="00C66A44">
        <w:t>des impacts résiduels</w:t>
      </w:r>
    </w:p>
    <w:p w14:paraId="33E0F20A" w14:textId="77777777" w:rsidR="00F61C75" w:rsidRPr="00F61C75" w:rsidRDefault="00F61C75" w:rsidP="004637C7">
      <w:pPr>
        <w:rPr>
          <w:lang w:eastAsia="zh-CN"/>
        </w:rPr>
      </w:pPr>
      <w:r w:rsidRPr="00F61C75">
        <w:rPr>
          <w:lang w:eastAsia="zh-CN"/>
        </w:rPr>
        <w:t>Après la mise en œuvre des mesures d’évitement, de réduction et d’atténuation définies dans le plan de gestion environnementale et sociale, les effets sur les ressources hydriques seront considérablement atténués.</w:t>
      </w:r>
    </w:p>
    <w:p w14:paraId="6C4670F7" w14:textId="77777777" w:rsidR="00F61C75" w:rsidRPr="00F61C75" w:rsidRDefault="00F61C75" w:rsidP="004637C7">
      <w:pPr>
        <w:rPr>
          <w:lang w:eastAsia="zh-CN"/>
        </w:rPr>
      </w:pPr>
      <w:r w:rsidRPr="00F61C75">
        <w:rPr>
          <w:lang w:eastAsia="zh-CN"/>
        </w:rPr>
        <w:t>Les dispositifs temporaires de maîtrise du ruissellement (fossés, drains, bassins de décantation et barrières filtrantes) permettront de réduire de façon notable la turbidité et la charge en matières en suspension des eaux de ruissellement issues des zones de terrassement. Les eaux collectées seront confinées à l’intérieur du chantier et, le cas échéant, prétraitées avant tout rejet dans le réseau existant. Ainsi, la dégradation temporaire de la qualité des eaux superficielles devient faible, localisée et réversible à court terme, sans conséquence sur les milieux récepteurs situés en aval.</w:t>
      </w:r>
    </w:p>
    <w:p w14:paraId="787EBB06" w14:textId="202350DF" w:rsidR="00F61C75" w:rsidRPr="00F61C75" w:rsidRDefault="00F61C75" w:rsidP="004637C7">
      <w:pPr>
        <w:rPr>
          <w:lang w:eastAsia="zh-CN"/>
        </w:rPr>
      </w:pPr>
      <w:r w:rsidRPr="00F61C75">
        <w:rPr>
          <w:lang w:eastAsia="zh-CN"/>
        </w:rPr>
        <w:t xml:space="preserve">De même, la contamination ponctuelle des eaux souterraines par des produits pétroliers, huiles ou solvants est devenue très improbable grâce à l’installation systématique de zones de stockage étanches, bacs de rétention, kits d’intervention d’urgence, et à la sensibilisation du personnel. Les volumes stockés étant faibles et les zones de travail entièrement artificialisées, les possibilités d’infiltration vers la nappe du </w:t>
      </w:r>
      <w:r w:rsidR="00526640">
        <w:rPr>
          <w:lang w:eastAsia="zh-CN"/>
        </w:rPr>
        <w:t>Haouz</w:t>
      </w:r>
      <w:r w:rsidRPr="00F61C75">
        <w:rPr>
          <w:lang w:eastAsia="zh-CN"/>
        </w:rPr>
        <w:t xml:space="preserve"> sont quasi nulles.</w:t>
      </w:r>
    </w:p>
    <w:p w14:paraId="309C79C2" w14:textId="77777777" w:rsidR="00F61C75" w:rsidRPr="00F61C75" w:rsidRDefault="00F61C75" w:rsidP="004637C7">
      <w:pPr>
        <w:rPr>
          <w:lang w:eastAsia="zh-CN"/>
        </w:rPr>
      </w:pPr>
      <w:r w:rsidRPr="00F61C75">
        <w:rPr>
          <w:lang w:eastAsia="zh-CN"/>
        </w:rPr>
        <w:t>La perturbation temporaire du drainage naturel sera réduite à des effets mineurs grâce à la mise en œuvre d’un réseau provisoire d’écoulement permettant de maintenir la continuité hydraulique durant les travaux. À la fin du chantier, les fossés et canalisations seront réhabilités, assurant le retour rapide au régime hydrologique initial.</w:t>
      </w:r>
    </w:p>
    <w:p w14:paraId="2A6EC7E2" w14:textId="77777777" w:rsidR="00F61C75" w:rsidRPr="00F61C75" w:rsidRDefault="00F61C75" w:rsidP="004637C7">
      <w:pPr>
        <w:rPr>
          <w:lang w:eastAsia="zh-CN"/>
        </w:rPr>
      </w:pPr>
      <w:r w:rsidRPr="00F61C75">
        <w:rPr>
          <w:lang w:eastAsia="zh-CN"/>
        </w:rPr>
        <w:t>Quant au risque de fuite accidentelle d’hydrocarbures, il sera maîtrisé par la présence permanente d’un plan d’urgence environnementale, de zones de ravitaillement confinées, et de personnel formé à la gestion des incidents. Les effets éventuels seraient limités, ponctuels et réversibles, ne générant aucun impact durable sur la nappe souterraine.</w:t>
      </w:r>
    </w:p>
    <w:p w14:paraId="7B9A125D" w14:textId="3B4A2DAB" w:rsidR="00551D4F" w:rsidRDefault="00F61C75" w:rsidP="004637C7">
      <w:pPr>
        <w:rPr>
          <w:lang w:eastAsia="zh-CN"/>
        </w:rPr>
      </w:pPr>
      <w:r w:rsidRPr="00F61C75">
        <w:rPr>
          <w:lang w:eastAsia="zh-CN"/>
        </w:rPr>
        <w:t>En conclusion, après mise en œuvre des mesures prévues, les effets résiduels liés à la phase de construction sont mineurs à négligeables. Ils demeurent spatialisés, temporaires et réversibles, sans incidence sur la qualité ou la disponibilité des eaux souterraines et superficielles du secteur.</w:t>
      </w:r>
    </w:p>
    <w:p w14:paraId="23542E73" w14:textId="77777777" w:rsidR="00551D4F" w:rsidRDefault="00551D4F" w:rsidP="00551D4F">
      <w:pPr>
        <w:pStyle w:val="Title4"/>
        <w:tabs>
          <w:tab w:val="clear" w:pos="1134"/>
          <w:tab w:val="left" w:pos="851"/>
        </w:tabs>
      </w:pPr>
      <w:bookmarkStart w:id="428" w:name="_Hlk212115835"/>
      <w:bookmarkStart w:id="429" w:name="_Hlk210914023"/>
      <w:r w:rsidRPr="009D0A59">
        <w:t>Phase exploitation</w:t>
      </w:r>
    </w:p>
    <w:p w14:paraId="3CB50FEB" w14:textId="6F54BA43" w:rsidR="00C72258" w:rsidRDefault="00C72258" w:rsidP="00C72258">
      <w:pPr>
        <w:pStyle w:val="Title5"/>
      </w:pPr>
      <w:r>
        <w:t>Identification et évaluation des impacts et risques</w:t>
      </w:r>
    </w:p>
    <w:p w14:paraId="3474613E" w14:textId="77777777" w:rsidR="0000293F" w:rsidRPr="004637C7" w:rsidRDefault="0000293F" w:rsidP="0001633E">
      <w:pPr>
        <w:pStyle w:val="AltTitle2"/>
        <w:numPr>
          <w:ilvl w:val="0"/>
          <w:numId w:val="106"/>
        </w:numPr>
      </w:pPr>
      <w:r w:rsidRPr="004637C7">
        <w:t>Pollution chronique des eaux souterraines (infiltration diffuse d’hydrocarbures)</w:t>
      </w:r>
    </w:p>
    <w:p w14:paraId="07FE8BA6" w14:textId="77777777" w:rsidR="00B002C1" w:rsidRPr="009F64B7" w:rsidRDefault="0000293F" w:rsidP="004637C7">
      <w:r w:rsidRPr="004637C7">
        <w:rPr>
          <w:lang w:val="fr-MA"/>
        </w:rPr>
        <w:t xml:space="preserve">Les opérations d’entretien, de lavage et de ravitaillement réalisées sur les parkings avions et aires techniques peuvent entraîner une </w:t>
      </w:r>
      <w:r w:rsidRPr="004637C7">
        <w:t>pollution diffuse des eaux souterraines</w:t>
      </w:r>
      <w:r w:rsidRPr="004637C7">
        <w:rPr>
          <w:lang w:val="fr-MA"/>
        </w:rPr>
        <w:t xml:space="preserve"> par infiltration lente de produits pétroliers et d’huiles hydrauliques.</w:t>
      </w:r>
    </w:p>
    <w:p w14:paraId="24BF5C19" w14:textId="1AAB71B7" w:rsidR="00100624" w:rsidRDefault="0000293F" w:rsidP="00100624">
      <w:pPr>
        <w:rPr>
          <w:lang w:val="fr-MA"/>
        </w:rPr>
      </w:pPr>
      <w:r w:rsidRPr="004637C7">
        <w:rPr>
          <w:lang w:val="fr-MA"/>
        </w:rPr>
        <w:t>L’impact est indirect, de portée locale, et sa durée est longue, pouvant se prolonger sur toute la période d’exploitation. La fréquence est occasionnelle, liée aux interventions d’entretien. L’intensité est faible, car la conception des ouvrages prévoit des revêtements étanches et des dispositifs de rétention.</w:t>
      </w:r>
    </w:p>
    <w:p w14:paraId="7233B2AC" w14:textId="29984D21" w:rsidR="00100624" w:rsidRDefault="0000293F" w:rsidP="00100624">
      <w:pPr>
        <w:rPr>
          <w:lang w:val="fr-MA"/>
        </w:rPr>
      </w:pPr>
      <w:r w:rsidRPr="004637C7">
        <w:rPr>
          <w:lang w:val="fr-MA"/>
        </w:rPr>
        <w:t xml:space="preserve">Les récepteurs sensibles (nappe du </w:t>
      </w:r>
      <w:r w:rsidR="000776A4">
        <w:rPr>
          <w:lang w:val="fr-MA"/>
        </w:rPr>
        <w:t>Haouz</w:t>
      </w:r>
      <w:r w:rsidRPr="004637C7">
        <w:rPr>
          <w:lang w:val="fr-MA"/>
        </w:rPr>
        <w:t>) ont une sensibilité forte.</w:t>
      </w:r>
    </w:p>
    <w:p w14:paraId="6FC35FDC" w14:textId="26A3BA6D" w:rsidR="0000293F" w:rsidRPr="009F64B7" w:rsidRDefault="0000293F" w:rsidP="004637C7">
      <w:r w:rsidRPr="004637C7">
        <w:rPr>
          <w:lang w:val="fr-MA"/>
        </w:rPr>
        <w:t>L’</w:t>
      </w:r>
      <w:r w:rsidRPr="004637C7">
        <w:t>importance globale</w:t>
      </w:r>
      <w:r w:rsidRPr="004637C7">
        <w:rPr>
          <w:lang w:val="fr-MA"/>
        </w:rPr>
        <w:t xml:space="preserve"> de l’impact est </w:t>
      </w:r>
      <w:r w:rsidRPr="004637C7">
        <w:t>modérée</w:t>
      </w:r>
      <w:r w:rsidRPr="004637C7">
        <w:rPr>
          <w:lang w:val="fr-MA"/>
        </w:rPr>
        <w:t>, avec un risque faible mais persistant, nécessitant une vigilance continue.</w:t>
      </w:r>
    </w:p>
    <w:tbl>
      <w:tblPr>
        <w:tblStyle w:val="TableauGrille1Clair-Accentuation111"/>
        <w:tblW w:w="0" w:type="auto"/>
        <w:tblLook w:val="04A0" w:firstRow="1" w:lastRow="0" w:firstColumn="1" w:lastColumn="0" w:noHBand="0" w:noVBand="1"/>
      </w:tblPr>
      <w:tblGrid>
        <w:gridCol w:w="1909"/>
        <w:gridCol w:w="2676"/>
        <w:gridCol w:w="1248"/>
        <w:gridCol w:w="1979"/>
        <w:gridCol w:w="1248"/>
      </w:tblGrid>
      <w:tr w:rsidR="001A6AEE" w:rsidRPr="00F61C75" w14:paraId="17FFD14E" w14:textId="77777777" w:rsidTr="0093062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402DC9C6" w14:textId="77777777" w:rsidR="0093062B" w:rsidRPr="00AA22F2" w:rsidRDefault="0093062B" w:rsidP="0093062B">
            <w:pPr>
              <w:rPr>
                <w:szCs w:val="20"/>
              </w:rPr>
            </w:pPr>
            <w:r w:rsidRPr="00AA22F2">
              <w:rPr>
                <w:szCs w:val="20"/>
              </w:rPr>
              <w:lastRenderedPageBreak/>
              <w:t>Impact</w:t>
            </w:r>
          </w:p>
        </w:tc>
        <w:tc>
          <w:tcPr>
            <w:tcW w:w="0" w:type="auto"/>
            <w:hideMark/>
          </w:tcPr>
          <w:p w14:paraId="37A28A9F" w14:textId="77777777" w:rsidR="0093062B" w:rsidRPr="00AA22F2" w:rsidRDefault="0093062B" w:rsidP="0093062B">
            <w:pPr>
              <w:cnfStyle w:val="100000000000" w:firstRow="1" w:lastRow="0" w:firstColumn="0" w:lastColumn="0" w:oddVBand="0" w:evenVBand="0" w:oddHBand="0" w:evenHBand="0" w:firstRowFirstColumn="0" w:firstRowLastColumn="0" w:lastRowFirstColumn="0" w:lastRowLastColumn="0"/>
              <w:rPr>
                <w:szCs w:val="20"/>
              </w:rPr>
            </w:pPr>
            <w:r w:rsidRPr="00AA22F2">
              <w:rPr>
                <w:szCs w:val="20"/>
              </w:rPr>
              <w:t>Activités génératrices</w:t>
            </w:r>
          </w:p>
        </w:tc>
        <w:tc>
          <w:tcPr>
            <w:tcW w:w="0" w:type="auto"/>
            <w:hideMark/>
          </w:tcPr>
          <w:p w14:paraId="71ACB97F" w14:textId="77777777" w:rsidR="0093062B" w:rsidRPr="00AA22F2" w:rsidRDefault="0093062B" w:rsidP="0093062B">
            <w:pPr>
              <w:cnfStyle w:val="100000000000" w:firstRow="1" w:lastRow="0" w:firstColumn="0" w:lastColumn="0" w:oddVBand="0" w:evenVBand="0" w:oddHBand="0" w:evenHBand="0" w:firstRowFirstColumn="0" w:firstRowLastColumn="0" w:lastRowFirstColumn="0" w:lastRowLastColumn="0"/>
              <w:rPr>
                <w:szCs w:val="20"/>
              </w:rPr>
            </w:pPr>
            <w:r w:rsidRPr="00AA22F2">
              <w:rPr>
                <w:szCs w:val="20"/>
              </w:rPr>
              <w:t>Critère</w:t>
            </w:r>
          </w:p>
        </w:tc>
        <w:tc>
          <w:tcPr>
            <w:tcW w:w="0" w:type="auto"/>
            <w:hideMark/>
          </w:tcPr>
          <w:p w14:paraId="0A551EC6" w14:textId="77777777" w:rsidR="0093062B" w:rsidRPr="00AA22F2" w:rsidRDefault="0093062B" w:rsidP="0093062B">
            <w:pPr>
              <w:cnfStyle w:val="100000000000" w:firstRow="1" w:lastRow="0" w:firstColumn="0" w:lastColumn="0" w:oddVBand="0" w:evenVBand="0" w:oddHBand="0" w:evenHBand="0" w:firstRowFirstColumn="0" w:firstRowLastColumn="0" w:lastRowFirstColumn="0" w:lastRowLastColumn="0"/>
              <w:rPr>
                <w:szCs w:val="20"/>
              </w:rPr>
            </w:pPr>
            <w:r w:rsidRPr="00AA22F2">
              <w:rPr>
                <w:szCs w:val="20"/>
              </w:rPr>
              <w:t>Justification</w:t>
            </w:r>
          </w:p>
        </w:tc>
        <w:tc>
          <w:tcPr>
            <w:tcW w:w="0" w:type="auto"/>
            <w:hideMark/>
          </w:tcPr>
          <w:p w14:paraId="7E8A391D" w14:textId="77777777" w:rsidR="0093062B" w:rsidRPr="00AA22F2" w:rsidRDefault="0093062B" w:rsidP="0093062B">
            <w:pPr>
              <w:cnfStyle w:val="100000000000" w:firstRow="1" w:lastRow="0" w:firstColumn="0" w:lastColumn="0" w:oddVBand="0" w:evenVBand="0" w:oddHBand="0" w:evenHBand="0" w:firstRowFirstColumn="0" w:firstRowLastColumn="0" w:lastRowFirstColumn="0" w:lastRowLastColumn="0"/>
              <w:rPr>
                <w:szCs w:val="20"/>
              </w:rPr>
            </w:pPr>
            <w:r w:rsidRPr="00AA22F2">
              <w:rPr>
                <w:szCs w:val="20"/>
              </w:rPr>
              <w:t>Niveau</w:t>
            </w:r>
          </w:p>
        </w:tc>
      </w:tr>
      <w:tr w:rsidR="001A6AEE" w:rsidRPr="00F61C75" w14:paraId="440D55C4" w14:textId="77777777" w:rsidTr="000A3EA4">
        <w:tc>
          <w:tcPr>
            <w:cnfStyle w:val="001000000000" w:firstRow="0" w:lastRow="0" w:firstColumn="1" w:lastColumn="0" w:oddVBand="0" w:evenVBand="0" w:oddHBand="0" w:evenHBand="0" w:firstRowFirstColumn="0" w:firstRowLastColumn="0" w:lastRowFirstColumn="0" w:lastRowLastColumn="0"/>
            <w:tcW w:w="0" w:type="auto"/>
            <w:vMerge w:val="restart"/>
            <w:hideMark/>
          </w:tcPr>
          <w:p w14:paraId="711EFD9C" w14:textId="77777777" w:rsidR="001A6AEE" w:rsidRPr="00AA22F2" w:rsidRDefault="001A6AEE" w:rsidP="0093062B">
            <w:pPr>
              <w:rPr>
                <w:szCs w:val="20"/>
              </w:rPr>
            </w:pPr>
            <w:r w:rsidRPr="00AA22F2">
              <w:rPr>
                <w:szCs w:val="20"/>
              </w:rPr>
              <w:t>Pollution chronique des eaux superficielles et souterraines par hydrocarbures et eaux huileuses</w:t>
            </w:r>
          </w:p>
        </w:tc>
        <w:tc>
          <w:tcPr>
            <w:tcW w:w="0" w:type="auto"/>
            <w:vMerge w:val="restart"/>
            <w:hideMark/>
          </w:tcPr>
          <w:p w14:paraId="4CF4351E" w14:textId="265E6888" w:rsidR="001A6AEE" w:rsidRPr="00AA22F2" w:rsidRDefault="001A6AEE" w:rsidP="0093062B">
            <w:pPr>
              <w:cnfStyle w:val="000000000000" w:firstRow="0" w:lastRow="0" w:firstColumn="0" w:lastColumn="0" w:oddVBand="0" w:evenVBand="0" w:oddHBand="0" w:evenHBand="0" w:firstRowFirstColumn="0" w:firstRowLastColumn="0" w:lastRowFirstColumn="0" w:lastRowLastColumn="0"/>
              <w:rPr>
                <w:szCs w:val="20"/>
              </w:rPr>
            </w:pPr>
            <w:r w:rsidRPr="00AA22F2">
              <w:rPr>
                <w:szCs w:val="20"/>
              </w:rPr>
              <w:t>Ruissellement des eaux pluviales sur les parkings avions, les zones de maintenance et les voies de service ; infiltration lente d’hydrocarbures résiduels ; lessivage des surfaces imperméabilisées ;</w:t>
            </w:r>
          </w:p>
        </w:tc>
        <w:tc>
          <w:tcPr>
            <w:tcW w:w="0" w:type="auto"/>
            <w:hideMark/>
          </w:tcPr>
          <w:p w14:paraId="4FA6AC05" w14:textId="77777777" w:rsidR="001A6AEE" w:rsidRPr="00AA22F2" w:rsidRDefault="001A6AEE" w:rsidP="0093062B">
            <w:pPr>
              <w:cnfStyle w:val="000000000000" w:firstRow="0" w:lastRow="0" w:firstColumn="0" w:lastColumn="0" w:oddVBand="0" w:evenVBand="0" w:oddHBand="0" w:evenHBand="0" w:firstRowFirstColumn="0" w:firstRowLastColumn="0" w:lastRowFirstColumn="0" w:lastRowLastColumn="0"/>
              <w:rPr>
                <w:szCs w:val="20"/>
              </w:rPr>
            </w:pPr>
            <w:r w:rsidRPr="00AA22F2">
              <w:rPr>
                <w:b/>
                <w:bCs/>
                <w:szCs w:val="20"/>
              </w:rPr>
              <w:t>Nature</w:t>
            </w:r>
          </w:p>
        </w:tc>
        <w:tc>
          <w:tcPr>
            <w:tcW w:w="0" w:type="auto"/>
            <w:gridSpan w:val="2"/>
          </w:tcPr>
          <w:p w14:paraId="5F43B897" w14:textId="5BBD13B5" w:rsidR="001A6AEE" w:rsidRPr="00AA22F2" w:rsidRDefault="001A6AEE" w:rsidP="0093062B">
            <w:pPr>
              <w:cnfStyle w:val="000000000000" w:firstRow="0" w:lastRow="0" w:firstColumn="0" w:lastColumn="0" w:oddVBand="0" w:evenVBand="0" w:oddHBand="0" w:evenHBand="0" w:firstRowFirstColumn="0" w:firstRowLastColumn="0" w:lastRowFirstColumn="0" w:lastRowLastColumn="0"/>
              <w:rPr>
                <w:szCs w:val="20"/>
              </w:rPr>
            </w:pPr>
            <w:r w:rsidRPr="00AA22F2">
              <w:rPr>
                <w:szCs w:val="20"/>
              </w:rPr>
              <w:t>Direct négatif</w:t>
            </w:r>
          </w:p>
        </w:tc>
      </w:tr>
      <w:tr w:rsidR="001A6AEE" w:rsidRPr="00F61C75" w14:paraId="1763EBDB" w14:textId="77777777" w:rsidTr="000A3EA4">
        <w:tc>
          <w:tcPr>
            <w:cnfStyle w:val="001000000000" w:firstRow="0" w:lastRow="0" w:firstColumn="1" w:lastColumn="0" w:oddVBand="0" w:evenVBand="0" w:oddHBand="0" w:evenHBand="0" w:firstRowFirstColumn="0" w:firstRowLastColumn="0" w:lastRowFirstColumn="0" w:lastRowLastColumn="0"/>
            <w:tcW w:w="0" w:type="auto"/>
            <w:vMerge/>
            <w:hideMark/>
          </w:tcPr>
          <w:p w14:paraId="4EA02308" w14:textId="77777777" w:rsidR="001A6AEE" w:rsidRPr="00AA22F2" w:rsidRDefault="001A6AEE" w:rsidP="0093062B">
            <w:pPr>
              <w:rPr>
                <w:szCs w:val="20"/>
              </w:rPr>
            </w:pPr>
          </w:p>
        </w:tc>
        <w:tc>
          <w:tcPr>
            <w:tcW w:w="0" w:type="auto"/>
            <w:vMerge/>
            <w:hideMark/>
          </w:tcPr>
          <w:p w14:paraId="706CDA25" w14:textId="77777777" w:rsidR="001A6AEE" w:rsidRPr="00AA22F2" w:rsidRDefault="001A6AEE" w:rsidP="0093062B">
            <w:pPr>
              <w:cnfStyle w:val="000000000000" w:firstRow="0" w:lastRow="0" w:firstColumn="0" w:lastColumn="0" w:oddVBand="0" w:evenVBand="0" w:oddHBand="0" w:evenHBand="0" w:firstRowFirstColumn="0" w:firstRowLastColumn="0" w:lastRowFirstColumn="0" w:lastRowLastColumn="0"/>
              <w:rPr>
                <w:szCs w:val="20"/>
              </w:rPr>
            </w:pPr>
          </w:p>
        </w:tc>
        <w:tc>
          <w:tcPr>
            <w:tcW w:w="0" w:type="auto"/>
            <w:hideMark/>
          </w:tcPr>
          <w:p w14:paraId="1AF9C165" w14:textId="77777777" w:rsidR="001A6AEE" w:rsidRPr="00AA22F2" w:rsidRDefault="001A6AEE" w:rsidP="0093062B">
            <w:pPr>
              <w:cnfStyle w:val="000000000000" w:firstRow="0" w:lastRow="0" w:firstColumn="0" w:lastColumn="0" w:oddVBand="0" w:evenVBand="0" w:oddHBand="0" w:evenHBand="0" w:firstRowFirstColumn="0" w:firstRowLastColumn="0" w:lastRowFirstColumn="0" w:lastRowLastColumn="0"/>
              <w:rPr>
                <w:szCs w:val="20"/>
              </w:rPr>
            </w:pPr>
            <w:r w:rsidRPr="00AA22F2">
              <w:rPr>
                <w:b/>
                <w:bCs/>
                <w:szCs w:val="20"/>
              </w:rPr>
              <w:t>Étendue</w:t>
            </w:r>
          </w:p>
        </w:tc>
        <w:tc>
          <w:tcPr>
            <w:tcW w:w="0" w:type="auto"/>
            <w:hideMark/>
          </w:tcPr>
          <w:p w14:paraId="7A7CEE38" w14:textId="3D5E122B" w:rsidR="001A6AEE" w:rsidRPr="00AA22F2" w:rsidRDefault="001A6AEE" w:rsidP="0093062B">
            <w:pPr>
              <w:cnfStyle w:val="000000000000" w:firstRow="0" w:lastRow="0" w:firstColumn="0" w:lastColumn="0" w:oddVBand="0" w:evenVBand="0" w:oddHBand="0" w:evenHBand="0" w:firstRowFirstColumn="0" w:firstRowLastColumn="0" w:lastRowFirstColumn="0" w:lastRowLastColumn="0"/>
              <w:rPr>
                <w:szCs w:val="20"/>
              </w:rPr>
            </w:pPr>
            <w:r w:rsidRPr="00AA22F2">
              <w:rPr>
                <w:szCs w:val="20"/>
              </w:rPr>
              <w:t xml:space="preserve">L’impact est </w:t>
            </w:r>
            <w:r w:rsidRPr="004637C7">
              <w:rPr>
                <w:szCs w:val="20"/>
              </w:rPr>
              <w:t>local à régionale</w:t>
            </w:r>
            <w:r w:rsidRPr="00AA22F2">
              <w:rPr>
                <w:szCs w:val="20"/>
              </w:rPr>
              <w:t>, selon la connectivité du réseau de drainage et la perméabilité des sols sous-jacents.</w:t>
            </w:r>
          </w:p>
        </w:tc>
        <w:tc>
          <w:tcPr>
            <w:tcW w:w="0" w:type="auto"/>
            <w:hideMark/>
          </w:tcPr>
          <w:p w14:paraId="25CBD2D5" w14:textId="77777777" w:rsidR="001A6AEE" w:rsidRPr="00AA22F2" w:rsidRDefault="001A6AEE" w:rsidP="0093062B">
            <w:pPr>
              <w:cnfStyle w:val="000000000000" w:firstRow="0" w:lastRow="0" w:firstColumn="0" w:lastColumn="0" w:oddVBand="0" w:evenVBand="0" w:oddHBand="0" w:evenHBand="0" w:firstRowFirstColumn="0" w:firstRowLastColumn="0" w:lastRowFirstColumn="0" w:lastRowLastColumn="0"/>
              <w:rPr>
                <w:szCs w:val="20"/>
              </w:rPr>
            </w:pPr>
            <w:r w:rsidRPr="00AA22F2">
              <w:rPr>
                <w:szCs w:val="20"/>
              </w:rPr>
              <w:t>Locale à régionale</w:t>
            </w:r>
          </w:p>
        </w:tc>
      </w:tr>
      <w:tr w:rsidR="001A6AEE" w:rsidRPr="00F61C75" w14:paraId="5E180C03" w14:textId="77777777" w:rsidTr="000A3EA4">
        <w:tc>
          <w:tcPr>
            <w:cnfStyle w:val="001000000000" w:firstRow="0" w:lastRow="0" w:firstColumn="1" w:lastColumn="0" w:oddVBand="0" w:evenVBand="0" w:oddHBand="0" w:evenHBand="0" w:firstRowFirstColumn="0" w:firstRowLastColumn="0" w:lastRowFirstColumn="0" w:lastRowLastColumn="0"/>
            <w:tcW w:w="0" w:type="auto"/>
            <w:vMerge/>
            <w:hideMark/>
          </w:tcPr>
          <w:p w14:paraId="6F5BE60E" w14:textId="77777777" w:rsidR="001A6AEE" w:rsidRPr="00AA22F2" w:rsidRDefault="001A6AEE" w:rsidP="0093062B">
            <w:pPr>
              <w:rPr>
                <w:szCs w:val="20"/>
              </w:rPr>
            </w:pPr>
          </w:p>
        </w:tc>
        <w:tc>
          <w:tcPr>
            <w:tcW w:w="0" w:type="auto"/>
            <w:vMerge/>
            <w:hideMark/>
          </w:tcPr>
          <w:p w14:paraId="33959B73" w14:textId="77777777" w:rsidR="001A6AEE" w:rsidRPr="00AA22F2" w:rsidRDefault="001A6AEE" w:rsidP="0093062B">
            <w:pPr>
              <w:cnfStyle w:val="000000000000" w:firstRow="0" w:lastRow="0" w:firstColumn="0" w:lastColumn="0" w:oddVBand="0" w:evenVBand="0" w:oddHBand="0" w:evenHBand="0" w:firstRowFirstColumn="0" w:firstRowLastColumn="0" w:lastRowFirstColumn="0" w:lastRowLastColumn="0"/>
              <w:rPr>
                <w:szCs w:val="20"/>
              </w:rPr>
            </w:pPr>
          </w:p>
        </w:tc>
        <w:tc>
          <w:tcPr>
            <w:tcW w:w="0" w:type="auto"/>
            <w:hideMark/>
          </w:tcPr>
          <w:p w14:paraId="0D796811" w14:textId="77777777" w:rsidR="001A6AEE" w:rsidRPr="00AA22F2" w:rsidRDefault="001A6AEE" w:rsidP="0093062B">
            <w:pPr>
              <w:cnfStyle w:val="000000000000" w:firstRow="0" w:lastRow="0" w:firstColumn="0" w:lastColumn="0" w:oddVBand="0" w:evenVBand="0" w:oddHBand="0" w:evenHBand="0" w:firstRowFirstColumn="0" w:firstRowLastColumn="0" w:lastRowFirstColumn="0" w:lastRowLastColumn="0"/>
              <w:rPr>
                <w:szCs w:val="20"/>
              </w:rPr>
            </w:pPr>
            <w:r w:rsidRPr="00AA22F2">
              <w:rPr>
                <w:b/>
                <w:bCs/>
                <w:szCs w:val="20"/>
              </w:rPr>
              <w:t>Durée</w:t>
            </w:r>
          </w:p>
        </w:tc>
        <w:tc>
          <w:tcPr>
            <w:tcW w:w="0" w:type="auto"/>
            <w:hideMark/>
          </w:tcPr>
          <w:p w14:paraId="059A0D20" w14:textId="77777777" w:rsidR="001A6AEE" w:rsidRPr="00AA22F2" w:rsidRDefault="001A6AEE" w:rsidP="0093062B">
            <w:pPr>
              <w:cnfStyle w:val="000000000000" w:firstRow="0" w:lastRow="0" w:firstColumn="0" w:lastColumn="0" w:oddVBand="0" w:evenVBand="0" w:oddHBand="0" w:evenHBand="0" w:firstRowFirstColumn="0" w:firstRowLastColumn="0" w:lastRowFirstColumn="0" w:lastRowLastColumn="0"/>
              <w:rPr>
                <w:szCs w:val="20"/>
              </w:rPr>
            </w:pPr>
            <w:r w:rsidRPr="00AA22F2">
              <w:rPr>
                <w:szCs w:val="20"/>
              </w:rPr>
              <w:t xml:space="preserve">L’impact est </w:t>
            </w:r>
            <w:r w:rsidRPr="004637C7">
              <w:rPr>
                <w:szCs w:val="20"/>
              </w:rPr>
              <w:t>à long terme</w:t>
            </w:r>
            <w:r w:rsidRPr="00AA22F2">
              <w:rPr>
                <w:szCs w:val="20"/>
              </w:rPr>
              <w:t>, persistant sur toute la phase d’exploitation.</w:t>
            </w:r>
          </w:p>
        </w:tc>
        <w:tc>
          <w:tcPr>
            <w:tcW w:w="0" w:type="auto"/>
            <w:hideMark/>
          </w:tcPr>
          <w:p w14:paraId="01F639E7" w14:textId="77777777" w:rsidR="001A6AEE" w:rsidRPr="00AA22F2" w:rsidRDefault="001A6AEE" w:rsidP="0093062B">
            <w:pPr>
              <w:cnfStyle w:val="000000000000" w:firstRow="0" w:lastRow="0" w:firstColumn="0" w:lastColumn="0" w:oddVBand="0" w:evenVBand="0" w:oddHBand="0" w:evenHBand="0" w:firstRowFirstColumn="0" w:firstRowLastColumn="0" w:lastRowFirstColumn="0" w:lastRowLastColumn="0"/>
              <w:rPr>
                <w:szCs w:val="20"/>
              </w:rPr>
            </w:pPr>
            <w:r w:rsidRPr="00AA22F2">
              <w:rPr>
                <w:szCs w:val="20"/>
              </w:rPr>
              <w:t>À long terme</w:t>
            </w:r>
          </w:p>
        </w:tc>
      </w:tr>
      <w:tr w:rsidR="001A6AEE" w:rsidRPr="00F61C75" w14:paraId="33F81104" w14:textId="77777777" w:rsidTr="000A3EA4">
        <w:tc>
          <w:tcPr>
            <w:cnfStyle w:val="001000000000" w:firstRow="0" w:lastRow="0" w:firstColumn="1" w:lastColumn="0" w:oddVBand="0" w:evenVBand="0" w:oddHBand="0" w:evenHBand="0" w:firstRowFirstColumn="0" w:firstRowLastColumn="0" w:lastRowFirstColumn="0" w:lastRowLastColumn="0"/>
            <w:tcW w:w="0" w:type="auto"/>
            <w:vMerge/>
            <w:hideMark/>
          </w:tcPr>
          <w:p w14:paraId="5B91B8AA" w14:textId="77777777" w:rsidR="001A6AEE" w:rsidRPr="00AA22F2" w:rsidRDefault="001A6AEE" w:rsidP="0093062B">
            <w:pPr>
              <w:rPr>
                <w:szCs w:val="20"/>
              </w:rPr>
            </w:pPr>
          </w:p>
        </w:tc>
        <w:tc>
          <w:tcPr>
            <w:tcW w:w="0" w:type="auto"/>
            <w:vMerge/>
            <w:hideMark/>
          </w:tcPr>
          <w:p w14:paraId="00663FFB" w14:textId="77777777" w:rsidR="001A6AEE" w:rsidRPr="00AA22F2" w:rsidRDefault="001A6AEE" w:rsidP="0093062B">
            <w:pPr>
              <w:cnfStyle w:val="000000000000" w:firstRow="0" w:lastRow="0" w:firstColumn="0" w:lastColumn="0" w:oddVBand="0" w:evenVBand="0" w:oddHBand="0" w:evenHBand="0" w:firstRowFirstColumn="0" w:firstRowLastColumn="0" w:lastRowFirstColumn="0" w:lastRowLastColumn="0"/>
              <w:rPr>
                <w:szCs w:val="20"/>
              </w:rPr>
            </w:pPr>
          </w:p>
        </w:tc>
        <w:tc>
          <w:tcPr>
            <w:tcW w:w="0" w:type="auto"/>
            <w:hideMark/>
          </w:tcPr>
          <w:p w14:paraId="6DB13B13" w14:textId="77777777" w:rsidR="001A6AEE" w:rsidRPr="00AA22F2" w:rsidRDefault="001A6AEE" w:rsidP="0093062B">
            <w:pPr>
              <w:cnfStyle w:val="000000000000" w:firstRow="0" w:lastRow="0" w:firstColumn="0" w:lastColumn="0" w:oddVBand="0" w:evenVBand="0" w:oddHBand="0" w:evenHBand="0" w:firstRowFirstColumn="0" w:firstRowLastColumn="0" w:lastRowFirstColumn="0" w:lastRowLastColumn="0"/>
              <w:rPr>
                <w:szCs w:val="20"/>
              </w:rPr>
            </w:pPr>
            <w:r w:rsidRPr="00AA22F2">
              <w:rPr>
                <w:b/>
                <w:bCs/>
                <w:szCs w:val="20"/>
              </w:rPr>
              <w:t>Fréquence</w:t>
            </w:r>
          </w:p>
        </w:tc>
        <w:tc>
          <w:tcPr>
            <w:tcW w:w="0" w:type="auto"/>
            <w:hideMark/>
          </w:tcPr>
          <w:p w14:paraId="43343F44" w14:textId="77777777" w:rsidR="001A6AEE" w:rsidRPr="00AA22F2" w:rsidRDefault="001A6AEE" w:rsidP="0093062B">
            <w:pPr>
              <w:cnfStyle w:val="000000000000" w:firstRow="0" w:lastRow="0" w:firstColumn="0" w:lastColumn="0" w:oddVBand="0" w:evenVBand="0" w:oddHBand="0" w:evenHBand="0" w:firstRowFirstColumn="0" w:firstRowLastColumn="0" w:lastRowFirstColumn="0" w:lastRowLastColumn="0"/>
              <w:rPr>
                <w:szCs w:val="20"/>
              </w:rPr>
            </w:pPr>
            <w:r w:rsidRPr="00AA22F2">
              <w:rPr>
                <w:szCs w:val="20"/>
              </w:rPr>
              <w:t xml:space="preserve">L’effet est </w:t>
            </w:r>
            <w:r w:rsidRPr="004637C7">
              <w:rPr>
                <w:szCs w:val="20"/>
              </w:rPr>
              <w:t>continu et récurrent</w:t>
            </w:r>
            <w:r w:rsidRPr="00AA22F2">
              <w:rPr>
                <w:szCs w:val="20"/>
              </w:rPr>
              <w:t>, lié aux épisodes pluvieux et à l’activité aérienne régulière.</w:t>
            </w:r>
          </w:p>
        </w:tc>
        <w:tc>
          <w:tcPr>
            <w:tcW w:w="0" w:type="auto"/>
            <w:hideMark/>
          </w:tcPr>
          <w:p w14:paraId="466BE334" w14:textId="77777777" w:rsidR="001A6AEE" w:rsidRPr="00AA22F2" w:rsidRDefault="001A6AEE" w:rsidP="0093062B">
            <w:pPr>
              <w:cnfStyle w:val="000000000000" w:firstRow="0" w:lastRow="0" w:firstColumn="0" w:lastColumn="0" w:oddVBand="0" w:evenVBand="0" w:oddHBand="0" w:evenHBand="0" w:firstRowFirstColumn="0" w:firstRowLastColumn="0" w:lastRowFirstColumn="0" w:lastRowLastColumn="0"/>
              <w:rPr>
                <w:szCs w:val="20"/>
              </w:rPr>
            </w:pPr>
            <w:r w:rsidRPr="00AA22F2">
              <w:rPr>
                <w:szCs w:val="20"/>
              </w:rPr>
              <w:t>Continue</w:t>
            </w:r>
          </w:p>
        </w:tc>
      </w:tr>
      <w:tr w:rsidR="001A6AEE" w:rsidRPr="00F61C75" w14:paraId="0125576D" w14:textId="77777777" w:rsidTr="004637C7">
        <w:tc>
          <w:tcPr>
            <w:cnfStyle w:val="001000000000" w:firstRow="0" w:lastRow="0" w:firstColumn="1" w:lastColumn="0" w:oddVBand="0" w:evenVBand="0" w:oddHBand="0" w:evenHBand="0" w:firstRowFirstColumn="0" w:firstRowLastColumn="0" w:lastRowFirstColumn="0" w:lastRowLastColumn="0"/>
            <w:tcW w:w="0" w:type="auto"/>
            <w:vMerge/>
            <w:hideMark/>
          </w:tcPr>
          <w:p w14:paraId="4EB19919" w14:textId="77777777" w:rsidR="001A6AEE" w:rsidRPr="00AA22F2" w:rsidRDefault="001A6AEE" w:rsidP="0093062B">
            <w:pPr>
              <w:rPr>
                <w:szCs w:val="20"/>
              </w:rPr>
            </w:pPr>
          </w:p>
        </w:tc>
        <w:tc>
          <w:tcPr>
            <w:tcW w:w="0" w:type="auto"/>
            <w:vMerge/>
            <w:hideMark/>
          </w:tcPr>
          <w:p w14:paraId="0E4B3B56" w14:textId="77777777" w:rsidR="001A6AEE" w:rsidRPr="00AA22F2" w:rsidRDefault="001A6AEE" w:rsidP="0093062B">
            <w:pPr>
              <w:cnfStyle w:val="000000000000" w:firstRow="0" w:lastRow="0" w:firstColumn="0" w:lastColumn="0" w:oddVBand="0" w:evenVBand="0" w:oddHBand="0" w:evenHBand="0" w:firstRowFirstColumn="0" w:firstRowLastColumn="0" w:lastRowFirstColumn="0" w:lastRowLastColumn="0"/>
              <w:rPr>
                <w:szCs w:val="20"/>
              </w:rPr>
            </w:pPr>
          </w:p>
        </w:tc>
        <w:tc>
          <w:tcPr>
            <w:tcW w:w="0" w:type="auto"/>
            <w:shd w:val="clear" w:color="auto" w:fill="D9E2F3" w:themeFill="accent1" w:themeFillTint="33"/>
            <w:hideMark/>
          </w:tcPr>
          <w:p w14:paraId="77301141" w14:textId="77777777" w:rsidR="001A6AEE" w:rsidRPr="00AA22F2" w:rsidRDefault="001A6AEE" w:rsidP="0093062B">
            <w:pPr>
              <w:cnfStyle w:val="000000000000" w:firstRow="0" w:lastRow="0" w:firstColumn="0" w:lastColumn="0" w:oddVBand="0" w:evenVBand="0" w:oddHBand="0" w:evenHBand="0" w:firstRowFirstColumn="0" w:firstRowLastColumn="0" w:lastRowFirstColumn="0" w:lastRowLastColumn="0"/>
              <w:rPr>
                <w:szCs w:val="20"/>
              </w:rPr>
            </w:pPr>
            <w:r w:rsidRPr="00AA22F2">
              <w:rPr>
                <w:b/>
                <w:bCs/>
                <w:szCs w:val="20"/>
              </w:rPr>
              <w:t>Intensité</w:t>
            </w:r>
          </w:p>
        </w:tc>
        <w:tc>
          <w:tcPr>
            <w:tcW w:w="0" w:type="auto"/>
            <w:shd w:val="clear" w:color="auto" w:fill="D9E2F3" w:themeFill="accent1" w:themeFillTint="33"/>
            <w:hideMark/>
          </w:tcPr>
          <w:p w14:paraId="0A12E19A" w14:textId="0EDCF2B0" w:rsidR="001A6AEE" w:rsidRPr="00AA22F2" w:rsidRDefault="001A6AEE" w:rsidP="0093062B">
            <w:pPr>
              <w:cnfStyle w:val="000000000000" w:firstRow="0" w:lastRow="0" w:firstColumn="0" w:lastColumn="0" w:oddVBand="0" w:evenVBand="0" w:oddHBand="0" w:evenHBand="0" w:firstRowFirstColumn="0" w:firstRowLastColumn="0" w:lastRowFirstColumn="0" w:lastRowLastColumn="0"/>
              <w:rPr>
                <w:szCs w:val="20"/>
              </w:rPr>
            </w:pPr>
            <w:r w:rsidRPr="00AA22F2">
              <w:rPr>
                <w:szCs w:val="20"/>
              </w:rPr>
              <w:t xml:space="preserve">L’intensité est </w:t>
            </w:r>
            <w:r w:rsidRPr="00AA22F2">
              <w:rPr>
                <w:b/>
                <w:bCs/>
                <w:szCs w:val="20"/>
              </w:rPr>
              <w:t>moyenne à forte</w:t>
            </w:r>
            <w:r w:rsidRPr="00AA22F2">
              <w:rPr>
                <w:szCs w:val="20"/>
              </w:rPr>
              <w:t>, car l’effet est cumulatif et persistant</w:t>
            </w:r>
          </w:p>
        </w:tc>
        <w:tc>
          <w:tcPr>
            <w:tcW w:w="0" w:type="auto"/>
            <w:shd w:val="clear" w:color="auto" w:fill="D9E2F3" w:themeFill="accent1" w:themeFillTint="33"/>
            <w:hideMark/>
          </w:tcPr>
          <w:p w14:paraId="11659582" w14:textId="77777777" w:rsidR="001A6AEE" w:rsidRPr="00AA22F2" w:rsidRDefault="001A6AEE" w:rsidP="0093062B">
            <w:pPr>
              <w:cnfStyle w:val="000000000000" w:firstRow="0" w:lastRow="0" w:firstColumn="0" w:lastColumn="0" w:oddVBand="0" w:evenVBand="0" w:oddHBand="0" w:evenHBand="0" w:firstRowFirstColumn="0" w:firstRowLastColumn="0" w:lastRowFirstColumn="0" w:lastRowLastColumn="0"/>
              <w:rPr>
                <w:szCs w:val="20"/>
              </w:rPr>
            </w:pPr>
            <w:r w:rsidRPr="00AA22F2">
              <w:rPr>
                <w:szCs w:val="20"/>
              </w:rPr>
              <w:t>Moyenne à forte</w:t>
            </w:r>
          </w:p>
        </w:tc>
      </w:tr>
      <w:tr w:rsidR="001A6AEE" w:rsidRPr="00F61C75" w14:paraId="530D0F64" w14:textId="77777777" w:rsidTr="000A3EA4">
        <w:tc>
          <w:tcPr>
            <w:cnfStyle w:val="001000000000" w:firstRow="0" w:lastRow="0" w:firstColumn="1" w:lastColumn="0" w:oddVBand="0" w:evenVBand="0" w:oddHBand="0" w:evenHBand="0" w:firstRowFirstColumn="0" w:firstRowLastColumn="0" w:lastRowFirstColumn="0" w:lastRowLastColumn="0"/>
            <w:tcW w:w="0" w:type="auto"/>
            <w:vMerge/>
          </w:tcPr>
          <w:p w14:paraId="071D6734" w14:textId="77777777" w:rsidR="001A6AEE" w:rsidRPr="00AA22F2" w:rsidRDefault="001A6AEE" w:rsidP="004637C7">
            <w:pPr>
              <w:spacing w:before="0" w:after="0"/>
              <w:rPr>
                <w:szCs w:val="20"/>
              </w:rPr>
            </w:pPr>
          </w:p>
        </w:tc>
        <w:tc>
          <w:tcPr>
            <w:tcW w:w="0" w:type="auto"/>
            <w:gridSpan w:val="4"/>
          </w:tcPr>
          <w:p w14:paraId="24DD2625" w14:textId="77777777" w:rsidR="001A6AEE" w:rsidRPr="00AA22F2" w:rsidRDefault="001A6AEE" w:rsidP="004637C7">
            <w:pPr>
              <w:spacing w:before="0" w:after="0"/>
              <w:cnfStyle w:val="000000000000" w:firstRow="0" w:lastRow="0" w:firstColumn="0" w:lastColumn="0" w:oddVBand="0" w:evenVBand="0" w:oddHBand="0" w:evenHBand="0" w:firstRowFirstColumn="0" w:firstRowLastColumn="0" w:lastRowFirstColumn="0" w:lastRowLastColumn="0"/>
              <w:rPr>
                <w:szCs w:val="20"/>
              </w:rPr>
            </w:pPr>
          </w:p>
        </w:tc>
      </w:tr>
      <w:tr w:rsidR="001A6AEE" w:rsidRPr="00F61C75" w14:paraId="57203E9C" w14:textId="77777777" w:rsidTr="004637C7">
        <w:tc>
          <w:tcPr>
            <w:cnfStyle w:val="001000000000" w:firstRow="0" w:lastRow="0" w:firstColumn="1" w:lastColumn="0" w:oddVBand="0" w:evenVBand="0" w:oddHBand="0" w:evenHBand="0" w:firstRowFirstColumn="0" w:firstRowLastColumn="0" w:lastRowFirstColumn="0" w:lastRowLastColumn="0"/>
            <w:tcW w:w="0" w:type="auto"/>
            <w:vMerge/>
          </w:tcPr>
          <w:p w14:paraId="1905E770" w14:textId="77777777" w:rsidR="001A6AEE" w:rsidRPr="00AA22F2" w:rsidRDefault="001A6AEE" w:rsidP="001A6AEE">
            <w:pPr>
              <w:rPr>
                <w:szCs w:val="20"/>
              </w:rPr>
            </w:pPr>
          </w:p>
        </w:tc>
        <w:tc>
          <w:tcPr>
            <w:tcW w:w="0" w:type="auto"/>
            <w:shd w:val="clear" w:color="auto" w:fill="8EAADB" w:themeFill="accent1" w:themeFillTint="99"/>
            <w:vAlign w:val="center"/>
          </w:tcPr>
          <w:p w14:paraId="128C81B1" w14:textId="0CD47FF6" w:rsidR="001A6AEE" w:rsidRPr="00AA22F2" w:rsidRDefault="001A6AEE" w:rsidP="001A6AEE">
            <w:pPr>
              <w:cnfStyle w:val="000000000000" w:firstRow="0" w:lastRow="0" w:firstColumn="0" w:lastColumn="0" w:oddVBand="0" w:evenVBand="0" w:oddHBand="0" w:evenHBand="0" w:firstRowFirstColumn="0" w:firstRowLastColumn="0" w:lastRowFirstColumn="0" w:lastRowLastColumn="0"/>
              <w:rPr>
                <w:szCs w:val="20"/>
              </w:rPr>
            </w:pPr>
            <w:r w:rsidRPr="00F61C75">
              <w:rPr>
                <w:rFonts w:asciiTheme="minorHAnsi" w:hAnsiTheme="minorHAnsi" w:cstheme="minorHAnsi"/>
                <w:b/>
                <w:bCs/>
                <w:szCs w:val="20"/>
              </w:rPr>
              <w:t>Intensité de l’impact</w:t>
            </w:r>
          </w:p>
        </w:tc>
        <w:tc>
          <w:tcPr>
            <w:tcW w:w="0" w:type="auto"/>
            <w:shd w:val="clear" w:color="auto" w:fill="8EAADB" w:themeFill="accent1" w:themeFillTint="99"/>
            <w:vAlign w:val="center"/>
          </w:tcPr>
          <w:p w14:paraId="33581A26" w14:textId="4F3DAE4C" w:rsidR="001A6AEE" w:rsidRPr="00AA22F2" w:rsidRDefault="001A6AEE" w:rsidP="001A6AEE">
            <w:pPr>
              <w:cnfStyle w:val="000000000000" w:firstRow="0" w:lastRow="0" w:firstColumn="0" w:lastColumn="0" w:oddVBand="0" w:evenVBand="0" w:oddHBand="0" w:evenHBand="0" w:firstRowFirstColumn="0" w:firstRowLastColumn="0" w:lastRowFirstColumn="0" w:lastRowLastColumn="0"/>
              <w:rPr>
                <w:b/>
                <w:bCs/>
                <w:szCs w:val="20"/>
              </w:rPr>
            </w:pPr>
            <w:r w:rsidRPr="00F61C75">
              <w:rPr>
                <w:rFonts w:asciiTheme="minorHAnsi" w:hAnsiTheme="minorHAnsi" w:cstheme="minorHAnsi"/>
                <w:b/>
                <w:bCs/>
                <w:szCs w:val="20"/>
              </w:rPr>
              <w:t>Récepteurs</w:t>
            </w:r>
          </w:p>
        </w:tc>
        <w:tc>
          <w:tcPr>
            <w:tcW w:w="0" w:type="auto"/>
            <w:shd w:val="clear" w:color="auto" w:fill="8EAADB" w:themeFill="accent1" w:themeFillTint="99"/>
            <w:vAlign w:val="center"/>
          </w:tcPr>
          <w:p w14:paraId="55EFFC25" w14:textId="0C5480B7" w:rsidR="001A6AEE" w:rsidRPr="00AA22F2" w:rsidRDefault="001A6AEE" w:rsidP="001A6AEE">
            <w:pPr>
              <w:cnfStyle w:val="000000000000" w:firstRow="0" w:lastRow="0" w:firstColumn="0" w:lastColumn="0" w:oddVBand="0" w:evenVBand="0" w:oddHBand="0" w:evenHBand="0" w:firstRowFirstColumn="0" w:firstRowLastColumn="0" w:lastRowFirstColumn="0" w:lastRowLastColumn="0"/>
              <w:rPr>
                <w:szCs w:val="20"/>
              </w:rPr>
            </w:pPr>
            <w:r w:rsidRPr="00F61C75">
              <w:rPr>
                <w:rFonts w:asciiTheme="minorHAnsi" w:hAnsiTheme="minorHAnsi" w:cstheme="minorHAnsi"/>
                <w:b/>
                <w:bCs/>
                <w:szCs w:val="20"/>
              </w:rPr>
              <w:t>Sensibilité</w:t>
            </w:r>
          </w:p>
        </w:tc>
        <w:tc>
          <w:tcPr>
            <w:tcW w:w="0" w:type="auto"/>
            <w:shd w:val="clear" w:color="auto" w:fill="8EAADB" w:themeFill="accent1" w:themeFillTint="99"/>
            <w:vAlign w:val="center"/>
          </w:tcPr>
          <w:p w14:paraId="72A8F732" w14:textId="20DA9D90" w:rsidR="001A6AEE" w:rsidRPr="00AA22F2" w:rsidRDefault="001A6AEE" w:rsidP="001A6AEE">
            <w:pPr>
              <w:cnfStyle w:val="000000000000" w:firstRow="0" w:lastRow="0" w:firstColumn="0" w:lastColumn="0" w:oddVBand="0" w:evenVBand="0" w:oddHBand="0" w:evenHBand="0" w:firstRowFirstColumn="0" w:firstRowLastColumn="0" w:lastRowFirstColumn="0" w:lastRowLastColumn="0"/>
              <w:rPr>
                <w:szCs w:val="20"/>
              </w:rPr>
            </w:pPr>
            <w:r w:rsidRPr="00F61C75">
              <w:rPr>
                <w:rFonts w:asciiTheme="minorHAnsi" w:hAnsiTheme="minorHAnsi" w:cstheme="minorHAnsi"/>
                <w:b/>
                <w:bCs/>
                <w:szCs w:val="20"/>
              </w:rPr>
              <w:t>Importance de l’impact</w:t>
            </w:r>
          </w:p>
        </w:tc>
      </w:tr>
      <w:tr w:rsidR="001A6AEE" w:rsidRPr="00F61C75" w14:paraId="48A11CFF" w14:textId="77777777" w:rsidTr="000A3EA4">
        <w:tc>
          <w:tcPr>
            <w:cnfStyle w:val="001000000000" w:firstRow="0" w:lastRow="0" w:firstColumn="1" w:lastColumn="0" w:oddVBand="0" w:evenVBand="0" w:oddHBand="0" w:evenHBand="0" w:firstRowFirstColumn="0" w:firstRowLastColumn="0" w:lastRowFirstColumn="0" w:lastRowLastColumn="0"/>
            <w:tcW w:w="0" w:type="auto"/>
            <w:vMerge/>
          </w:tcPr>
          <w:p w14:paraId="1DDF2626" w14:textId="77777777" w:rsidR="001A6AEE" w:rsidRPr="00AA22F2" w:rsidRDefault="001A6AEE" w:rsidP="001A6AEE">
            <w:pPr>
              <w:rPr>
                <w:szCs w:val="20"/>
              </w:rPr>
            </w:pPr>
          </w:p>
        </w:tc>
        <w:tc>
          <w:tcPr>
            <w:tcW w:w="0" w:type="auto"/>
            <w:vMerge w:val="restart"/>
          </w:tcPr>
          <w:p w14:paraId="14C73F92" w14:textId="63FC51EC" w:rsidR="001A6AEE" w:rsidRPr="00AA22F2" w:rsidRDefault="001A6AEE" w:rsidP="001A6AEE">
            <w:pPr>
              <w:cnfStyle w:val="000000000000" w:firstRow="0" w:lastRow="0" w:firstColumn="0" w:lastColumn="0" w:oddVBand="0" w:evenVBand="0" w:oddHBand="0" w:evenHBand="0" w:firstRowFirstColumn="0" w:firstRowLastColumn="0" w:lastRowFirstColumn="0" w:lastRowLastColumn="0"/>
              <w:rPr>
                <w:szCs w:val="20"/>
              </w:rPr>
            </w:pPr>
            <w:r w:rsidRPr="00AA22F2">
              <w:rPr>
                <w:szCs w:val="20"/>
              </w:rPr>
              <w:t>Moyenne à forte</w:t>
            </w:r>
          </w:p>
        </w:tc>
        <w:tc>
          <w:tcPr>
            <w:tcW w:w="0" w:type="auto"/>
            <w:vAlign w:val="center"/>
          </w:tcPr>
          <w:p w14:paraId="3ADE8D9F" w14:textId="104C4AB7" w:rsidR="001A6AEE" w:rsidRPr="00AA22F2" w:rsidRDefault="001A6AEE" w:rsidP="001A6AEE">
            <w:pPr>
              <w:cnfStyle w:val="000000000000" w:firstRow="0" w:lastRow="0" w:firstColumn="0" w:lastColumn="0" w:oddVBand="0" w:evenVBand="0" w:oddHBand="0" w:evenHBand="0" w:firstRowFirstColumn="0" w:firstRowLastColumn="0" w:lastRowFirstColumn="0" w:lastRowLastColumn="0"/>
              <w:rPr>
                <w:b/>
                <w:bCs/>
                <w:szCs w:val="20"/>
              </w:rPr>
            </w:pPr>
            <w:r w:rsidRPr="00AA22F2">
              <w:rPr>
                <w:b/>
                <w:bCs/>
                <w:szCs w:val="20"/>
              </w:rPr>
              <w:t xml:space="preserve">Nappe du </w:t>
            </w:r>
            <w:r w:rsidR="000B73AD">
              <w:rPr>
                <w:b/>
                <w:bCs/>
                <w:szCs w:val="20"/>
              </w:rPr>
              <w:t>Haouz</w:t>
            </w:r>
          </w:p>
        </w:tc>
        <w:tc>
          <w:tcPr>
            <w:tcW w:w="0" w:type="auto"/>
          </w:tcPr>
          <w:p w14:paraId="06EBCE7A" w14:textId="00AD2AEF" w:rsidR="001A6AEE" w:rsidRPr="00AA22F2" w:rsidRDefault="001A6AEE" w:rsidP="001A6AEE">
            <w:pPr>
              <w:cnfStyle w:val="000000000000" w:firstRow="0" w:lastRow="0" w:firstColumn="0" w:lastColumn="0" w:oddVBand="0" w:evenVBand="0" w:oddHBand="0" w:evenHBand="0" w:firstRowFirstColumn="0" w:firstRowLastColumn="0" w:lastRowFirstColumn="0" w:lastRowLastColumn="0"/>
              <w:rPr>
                <w:szCs w:val="20"/>
              </w:rPr>
            </w:pPr>
            <w:r w:rsidRPr="00AA22F2">
              <w:rPr>
                <w:szCs w:val="20"/>
              </w:rPr>
              <w:t>Forte</w:t>
            </w:r>
          </w:p>
        </w:tc>
        <w:tc>
          <w:tcPr>
            <w:tcW w:w="0" w:type="auto"/>
          </w:tcPr>
          <w:p w14:paraId="1F5CDD43" w14:textId="5024D33B" w:rsidR="001A6AEE" w:rsidRPr="00AA22F2" w:rsidRDefault="001A6AEE" w:rsidP="001A6AEE">
            <w:pPr>
              <w:cnfStyle w:val="000000000000" w:firstRow="0" w:lastRow="0" w:firstColumn="0" w:lastColumn="0" w:oddVBand="0" w:evenVBand="0" w:oddHBand="0" w:evenHBand="0" w:firstRowFirstColumn="0" w:firstRowLastColumn="0" w:lastRowFirstColumn="0" w:lastRowLastColumn="0"/>
              <w:rPr>
                <w:szCs w:val="20"/>
              </w:rPr>
            </w:pPr>
            <w:r w:rsidRPr="00AA22F2">
              <w:rPr>
                <w:szCs w:val="20"/>
              </w:rPr>
              <w:t>Majeure</w:t>
            </w:r>
          </w:p>
        </w:tc>
      </w:tr>
      <w:tr w:rsidR="001A6AEE" w:rsidRPr="00F61C75" w14:paraId="550126C1" w14:textId="77777777" w:rsidTr="000A3EA4">
        <w:tc>
          <w:tcPr>
            <w:cnfStyle w:val="001000000000" w:firstRow="0" w:lastRow="0" w:firstColumn="1" w:lastColumn="0" w:oddVBand="0" w:evenVBand="0" w:oddHBand="0" w:evenHBand="0" w:firstRowFirstColumn="0" w:firstRowLastColumn="0" w:lastRowFirstColumn="0" w:lastRowLastColumn="0"/>
            <w:tcW w:w="0" w:type="auto"/>
            <w:vMerge/>
          </w:tcPr>
          <w:p w14:paraId="52553E0C" w14:textId="77777777" w:rsidR="001A6AEE" w:rsidRPr="00AA22F2" w:rsidRDefault="001A6AEE" w:rsidP="001A6AEE">
            <w:pPr>
              <w:rPr>
                <w:szCs w:val="20"/>
              </w:rPr>
            </w:pPr>
          </w:p>
        </w:tc>
        <w:tc>
          <w:tcPr>
            <w:tcW w:w="0" w:type="auto"/>
            <w:vMerge/>
          </w:tcPr>
          <w:p w14:paraId="2B3A2C80" w14:textId="77777777" w:rsidR="001A6AEE" w:rsidRPr="00AA22F2" w:rsidRDefault="001A6AEE" w:rsidP="001A6AEE">
            <w:pPr>
              <w:cnfStyle w:val="000000000000" w:firstRow="0" w:lastRow="0" w:firstColumn="0" w:lastColumn="0" w:oddVBand="0" w:evenVBand="0" w:oddHBand="0" w:evenHBand="0" w:firstRowFirstColumn="0" w:firstRowLastColumn="0" w:lastRowFirstColumn="0" w:lastRowLastColumn="0"/>
              <w:rPr>
                <w:szCs w:val="20"/>
              </w:rPr>
            </w:pPr>
          </w:p>
        </w:tc>
        <w:tc>
          <w:tcPr>
            <w:tcW w:w="0" w:type="auto"/>
            <w:vAlign w:val="center"/>
          </w:tcPr>
          <w:p w14:paraId="71C9F1AE" w14:textId="73F41A7C" w:rsidR="001A6AEE" w:rsidRPr="00AA22F2" w:rsidRDefault="001A6AEE" w:rsidP="001A6AEE">
            <w:pPr>
              <w:cnfStyle w:val="000000000000" w:firstRow="0" w:lastRow="0" w:firstColumn="0" w:lastColumn="0" w:oddVBand="0" w:evenVBand="0" w:oddHBand="0" w:evenHBand="0" w:firstRowFirstColumn="0" w:firstRowLastColumn="0" w:lastRowFirstColumn="0" w:lastRowLastColumn="0"/>
              <w:rPr>
                <w:b/>
                <w:bCs/>
                <w:szCs w:val="20"/>
              </w:rPr>
            </w:pPr>
            <w:r w:rsidRPr="00AA22F2">
              <w:rPr>
                <w:b/>
                <w:bCs/>
                <w:szCs w:val="20"/>
              </w:rPr>
              <w:t>Fossés de drainage internes</w:t>
            </w:r>
          </w:p>
        </w:tc>
        <w:tc>
          <w:tcPr>
            <w:tcW w:w="0" w:type="auto"/>
          </w:tcPr>
          <w:p w14:paraId="6B498F7A" w14:textId="2E2F0D02" w:rsidR="001A6AEE" w:rsidRPr="00AA22F2" w:rsidRDefault="001A6AEE" w:rsidP="001A6AEE">
            <w:pPr>
              <w:cnfStyle w:val="000000000000" w:firstRow="0" w:lastRow="0" w:firstColumn="0" w:lastColumn="0" w:oddVBand="0" w:evenVBand="0" w:oddHBand="0" w:evenHBand="0" w:firstRowFirstColumn="0" w:firstRowLastColumn="0" w:lastRowFirstColumn="0" w:lastRowLastColumn="0"/>
              <w:rPr>
                <w:szCs w:val="20"/>
              </w:rPr>
            </w:pPr>
            <w:r w:rsidRPr="00AA22F2">
              <w:rPr>
                <w:szCs w:val="20"/>
              </w:rPr>
              <w:t>Moyenne</w:t>
            </w:r>
          </w:p>
        </w:tc>
        <w:tc>
          <w:tcPr>
            <w:tcW w:w="0" w:type="auto"/>
          </w:tcPr>
          <w:p w14:paraId="0012317D" w14:textId="5C999700" w:rsidR="001A6AEE" w:rsidRPr="00AA22F2" w:rsidRDefault="001A6AEE" w:rsidP="001A6AEE">
            <w:pPr>
              <w:cnfStyle w:val="000000000000" w:firstRow="0" w:lastRow="0" w:firstColumn="0" w:lastColumn="0" w:oddVBand="0" w:evenVBand="0" w:oddHBand="0" w:evenHBand="0" w:firstRowFirstColumn="0" w:firstRowLastColumn="0" w:lastRowFirstColumn="0" w:lastRowLastColumn="0"/>
              <w:rPr>
                <w:szCs w:val="20"/>
              </w:rPr>
            </w:pPr>
            <w:r w:rsidRPr="00AA22F2">
              <w:rPr>
                <w:szCs w:val="20"/>
              </w:rPr>
              <w:t>Modérée à majeure</w:t>
            </w:r>
          </w:p>
        </w:tc>
      </w:tr>
    </w:tbl>
    <w:p w14:paraId="6E5F411B" w14:textId="1186E9D0" w:rsidR="00C3175E" w:rsidRPr="004637C7" w:rsidRDefault="00100624" w:rsidP="0001633E">
      <w:pPr>
        <w:pStyle w:val="AltTitle2"/>
        <w:numPr>
          <w:ilvl w:val="0"/>
          <w:numId w:val="106"/>
        </w:numPr>
      </w:pPr>
      <w:r w:rsidRPr="00100624">
        <w:t>Altération ponctuelle de la qualité des eaux pluviales de ruissellement</w:t>
      </w:r>
    </w:p>
    <w:p w14:paraId="40A7B69D" w14:textId="77777777" w:rsidR="00100624" w:rsidRDefault="00100624" w:rsidP="00100624">
      <w:r>
        <w:t>Les eaux de pluie ruisselant sur les surfaces asphaltées peuvent se charger en hydrocarbures, métaux lourds et particules fines, dégradant la qualité des effluents rejetés dans le réseau pluvial.</w:t>
      </w:r>
    </w:p>
    <w:p w14:paraId="7D157E45" w14:textId="69629827" w:rsidR="00100624" w:rsidRDefault="00100624" w:rsidP="00100624">
      <w:r>
        <w:t>L’impact est direct, de portée locale, et permanent sur la durée d’exploitation. La fréquence est intermittente, liée aux épisodes pluvieux. L’intensité est faible, car des dispositifs de prétraitement (séparateurs d’hydrocarbures, bassins de décantation) limitent la charge polluante.</w:t>
      </w:r>
    </w:p>
    <w:p w14:paraId="3C9A2A15" w14:textId="77777777" w:rsidR="00100624" w:rsidRDefault="00100624" w:rsidP="00100624">
      <w:r>
        <w:t>Les récepteurs sensibles sont les eaux pluviales internes et les sols périphériques, à sensibilité moyenne.</w:t>
      </w:r>
    </w:p>
    <w:p w14:paraId="0F3D523D" w14:textId="77777777" w:rsidR="00FA62AF" w:rsidRDefault="00FA62AF" w:rsidP="004637C7"/>
    <w:p w14:paraId="1C7C8711" w14:textId="77777777" w:rsidR="00FA62AF" w:rsidRDefault="00FA62AF" w:rsidP="004637C7"/>
    <w:p w14:paraId="5751960E" w14:textId="3E88ADB3" w:rsidR="00C3175E" w:rsidRDefault="00100624" w:rsidP="004637C7">
      <w:r>
        <w:t>L’importance est faible à modérée, compte tenu du caractère confiné du réseau et de la présence de mesures de maîtrise intégrées à la conception.</w:t>
      </w:r>
    </w:p>
    <w:tbl>
      <w:tblPr>
        <w:tblStyle w:val="TableauGrille1Clair-Accentuation111"/>
        <w:tblW w:w="0" w:type="auto"/>
        <w:tblLook w:val="04A0" w:firstRow="1" w:lastRow="0" w:firstColumn="1" w:lastColumn="0" w:noHBand="0" w:noVBand="1"/>
      </w:tblPr>
      <w:tblGrid>
        <w:gridCol w:w="1586"/>
        <w:gridCol w:w="2624"/>
        <w:gridCol w:w="1336"/>
        <w:gridCol w:w="2063"/>
        <w:gridCol w:w="1451"/>
      </w:tblGrid>
      <w:tr w:rsidR="001A6AEE" w:rsidRPr="00664F3E" w14:paraId="2C72985C" w14:textId="77777777" w:rsidTr="001A6AE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2A57F657" w14:textId="77777777" w:rsidR="001A6AEE" w:rsidRPr="00AA22F2" w:rsidRDefault="001A6AEE" w:rsidP="001A6AEE">
            <w:pPr>
              <w:rPr>
                <w:szCs w:val="20"/>
              </w:rPr>
            </w:pPr>
            <w:r w:rsidRPr="00AA22F2">
              <w:rPr>
                <w:szCs w:val="20"/>
              </w:rPr>
              <w:t>Impact</w:t>
            </w:r>
          </w:p>
        </w:tc>
        <w:tc>
          <w:tcPr>
            <w:tcW w:w="0" w:type="auto"/>
            <w:hideMark/>
          </w:tcPr>
          <w:p w14:paraId="0B922DAB" w14:textId="77777777" w:rsidR="001A6AEE" w:rsidRPr="00AA22F2" w:rsidRDefault="001A6AEE" w:rsidP="001A6AEE">
            <w:pPr>
              <w:cnfStyle w:val="100000000000" w:firstRow="1" w:lastRow="0" w:firstColumn="0" w:lastColumn="0" w:oddVBand="0" w:evenVBand="0" w:oddHBand="0" w:evenHBand="0" w:firstRowFirstColumn="0" w:firstRowLastColumn="0" w:lastRowFirstColumn="0" w:lastRowLastColumn="0"/>
              <w:rPr>
                <w:szCs w:val="20"/>
              </w:rPr>
            </w:pPr>
            <w:r w:rsidRPr="00AA22F2">
              <w:rPr>
                <w:szCs w:val="20"/>
              </w:rPr>
              <w:t>Activités génératrices</w:t>
            </w:r>
          </w:p>
        </w:tc>
        <w:tc>
          <w:tcPr>
            <w:tcW w:w="0" w:type="auto"/>
            <w:hideMark/>
          </w:tcPr>
          <w:p w14:paraId="01EEA63B" w14:textId="77777777" w:rsidR="001A6AEE" w:rsidRPr="00AA22F2" w:rsidRDefault="001A6AEE" w:rsidP="001A6AEE">
            <w:pPr>
              <w:cnfStyle w:val="100000000000" w:firstRow="1" w:lastRow="0" w:firstColumn="0" w:lastColumn="0" w:oddVBand="0" w:evenVBand="0" w:oddHBand="0" w:evenHBand="0" w:firstRowFirstColumn="0" w:firstRowLastColumn="0" w:lastRowFirstColumn="0" w:lastRowLastColumn="0"/>
              <w:rPr>
                <w:szCs w:val="20"/>
              </w:rPr>
            </w:pPr>
            <w:r w:rsidRPr="00AA22F2">
              <w:rPr>
                <w:szCs w:val="20"/>
              </w:rPr>
              <w:t>Critère</w:t>
            </w:r>
          </w:p>
        </w:tc>
        <w:tc>
          <w:tcPr>
            <w:tcW w:w="0" w:type="auto"/>
            <w:hideMark/>
          </w:tcPr>
          <w:p w14:paraId="3B6BE63F" w14:textId="77777777" w:rsidR="001A6AEE" w:rsidRPr="00AA22F2" w:rsidRDefault="001A6AEE" w:rsidP="001A6AEE">
            <w:pPr>
              <w:cnfStyle w:val="100000000000" w:firstRow="1" w:lastRow="0" w:firstColumn="0" w:lastColumn="0" w:oddVBand="0" w:evenVBand="0" w:oddHBand="0" w:evenHBand="0" w:firstRowFirstColumn="0" w:firstRowLastColumn="0" w:lastRowFirstColumn="0" w:lastRowLastColumn="0"/>
              <w:rPr>
                <w:szCs w:val="20"/>
              </w:rPr>
            </w:pPr>
            <w:r w:rsidRPr="00AA22F2">
              <w:rPr>
                <w:szCs w:val="20"/>
              </w:rPr>
              <w:t>Justification</w:t>
            </w:r>
          </w:p>
        </w:tc>
        <w:tc>
          <w:tcPr>
            <w:tcW w:w="0" w:type="auto"/>
            <w:hideMark/>
          </w:tcPr>
          <w:p w14:paraId="356CDD4D" w14:textId="77777777" w:rsidR="001A6AEE" w:rsidRPr="00AA22F2" w:rsidRDefault="001A6AEE" w:rsidP="001A6AEE">
            <w:pPr>
              <w:cnfStyle w:val="100000000000" w:firstRow="1" w:lastRow="0" w:firstColumn="0" w:lastColumn="0" w:oddVBand="0" w:evenVBand="0" w:oddHBand="0" w:evenHBand="0" w:firstRowFirstColumn="0" w:firstRowLastColumn="0" w:lastRowFirstColumn="0" w:lastRowLastColumn="0"/>
              <w:rPr>
                <w:szCs w:val="20"/>
              </w:rPr>
            </w:pPr>
            <w:r w:rsidRPr="00AA22F2">
              <w:rPr>
                <w:szCs w:val="20"/>
              </w:rPr>
              <w:t>Niveau</w:t>
            </w:r>
          </w:p>
        </w:tc>
      </w:tr>
      <w:tr w:rsidR="001A6AEE" w:rsidRPr="00664F3E" w14:paraId="7663BE34" w14:textId="77777777" w:rsidTr="000A3EA4">
        <w:tc>
          <w:tcPr>
            <w:cnfStyle w:val="001000000000" w:firstRow="0" w:lastRow="0" w:firstColumn="1" w:lastColumn="0" w:oddVBand="0" w:evenVBand="0" w:oddHBand="0" w:evenHBand="0" w:firstRowFirstColumn="0" w:firstRowLastColumn="0" w:lastRowFirstColumn="0" w:lastRowLastColumn="0"/>
            <w:tcW w:w="0" w:type="auto"/>
            <w:vMerge w:val="restart"/>
            <w:hideMark/>
          </w:tcPr>
          <w:p w14:paraId="434BBC8A" w14:textId="225588CB" w:rsidR="001A6AEE" w:rsidRPr="00AA22F2" w:rsidRDefault="005E5194" w:rsidP="001A6AEE">
            <w:pPr>
              <w:rPr>
                <w:szCs w:val="20"/>
              </w:rPr>
            </w:pPr>
            <w:r w:rsidRPr="00AA22F2">
              <w:rPr>
                <w:szCs w:val="20"/>
              </w:rPr>
              <w:t>Pollution chronique des eaux souterraines</w:t>
            </w:r>
          </w:p>
        </w:tc>
        <w:tc>
          <w:tcPr>
            <w:tcW w:w="0" w:type="auto"/>
            <w:vMerge w:val="restart"/>
            <w:hideMark/>
          </w:tcPr>
          <w:p w14:paraId="4B8CE009" w14:textId="26D7973A" w:rsidR="001A6AEE" w:rsidRPr="00AA22F2" w:rsidRDefault="005E5194" w:rsidP="001A6AEE">
            <w:pPr>
              <w:cnfStyle w:val="000000000000" w:firstRow="0" w:lastRow="0" w:firstColumn="0" w:lastColumn="0" w:oddVBand="0" w:evenVBand="0" w:oddHBand="0" w:evenHBand="0" w:firstRowFirstColumn="0" w:firstRowLastColumn="0" w:lastRowFirstColumn="0" w:lastRowLastColumn="0"/>
              <w:rPr>
                <w:szCs w:val="20"/>
              </w:rPr>
            </w:pPr>
            <w:r w:rsidRPr="00AA22F2">
              <w:rPr>
                <w:szCs w:val="20"/>
              </w:rPr>
              <w:t>Opérations de maintenance des avions et véhicules, ravitaillement, lavage des aires techniques, stockage de produits pétroliers.</w:t>
            </w:r>
          </w:p>
        </w:tc>
        <w:tc>
          <w:tcPr>
            <w:tcW w:w="0" w:type="auto"/>
            <w:hideMark/>
          </w:tcPr>
          <w:p w14:paraId="767B944E" w14:textId="77777777" w:rsidR="001A6AEE" w:rsidRPr="00AA22F2" w:rsidRDefault="001A6AEE" w:rsidP="001A6AEE">
            <w:pPr>
              <w:cnfStyle w:val="000000000000" w:firstRow="0" w:lastRow="0" w:firstColumn="0" w:lastColumn="0" w:oddVBand="0" w:evenVBand="0" w:oddHBand="0" w:evenHBand="0" w:firstRowFirstColumn="0" w:firstRowLastColumn="0" w:lastRowFirstColumn="0" w:lastRowLastColumn="0"/>
              <w:rPr>
                <w:szCs w:val="20"/>
              </w:rPr>
            </w:pPr>
            <w:r w:rsidRPr="00AA22F2">
              <w:rPr>
                <w:b/>
                <w:bCs/>
                <w:szCs w:val="20"/>
              </w:rPr>
              <w:t>Nature</w:t>
            </w:r>
          </w:p>
        </w:tc>
        <w:tc>
          <w:tcPr>
            <w:tcW w:w="0" w:type="auto"/>
            <w:gridSpan w:val="2"/>
          </w:tcPr>
          <w:p w14:paraId="4AC15842" w14:textId="710C4F77" w:rsidR="001A6AEE" w:rsidRPr="00AA22F2" w:rsidRDefault="001A6AEE" w:rsidP="001A6AEE">
            <w:pPr>
              <w:cnfStyle w:val="000000000000" w:firstRow="0" w:lastRow="0" w:firstColumn="0" w:lastColumn="0" w:oddVBand="0" w:evenVBand="0" w:oddHBand="0" w:evenHBand="0" w:firstRowFirstColumn="0" w:firstRowLastColumn="0" w:lastRowFirstColumn="0" w:lastRowLastColumn="0"/>
              <w:rPr>
                <w:szCs w:val="20"/>
              </w:rPr>
            </w:pPr>
            <w:r w:rsidRPr="00AA22F2">
              <w:rPr>
                <w:szCs w:val="20"/>
              </w:rPr>
              <w:t>Indirect négatif</w:t>
            </w:r>
          </w:p>
        </w:tc>
      </w:tr>
      <w:tr w:rsidR="001A6AEE" w:rsidRPr="00664F3E" w14:paraId="2A80A9E6" w14:textId="77777777" w:rsidTr="001A6AEE">
        <w:tc>
          <w:tcPr>
            <w:cnfStyle w:val="001000000000" w:firstRow="0" w:lastRow="0" w:firstColumn="1" w:lastColumn="0" w:oddVBand="0" w:evenVBand="0" w:oddHBand="0" w:evenHBand="0" w:firstRowFirstColumn="0" w:firstRowLastColumn="0" w:lastRowFirstColumn="0" w:lastRowLastColumn="0"/>
            <w:tcW w:w="0" w:type="auto"/>
            <w:vMerge/>
            <w:hideMark/>
          </w:tcPr>
          <w:p w14:paraId="6B84D61C" w14:textId="77777777" w:rsidR="001A6AEE" w:rsidRPr="00AA22F2" w:rsidRDefault="001A6AEE" w:rsidP="001A6AEE">
            <w:pPr>
              <w:rPr>
                <w:szCs w:val="20"/>
              </w:rPr>
            </w:pPr>
          </w:p>
        </w:tc>
        <w:tc>
          <w:tcPr>
            <w:tcW w:w="0" w:type="auto"/>
            <w:vMerge/>
            <w:hideMark/>
          </w:tcPr>
          <w:p w14:paraId="6216EEE0" w14:textId="77777777" w:rsidR="001A6AEE" w:rsidRPr="00AA22F2" w:rsidRDefault="001A6AEE" w:rsidP="001A6AEE">
            <w:pPr>
              <w:cnfStyle w:val="000000000000" w:firstRow="0" w:lastRow="0" w:firstColumn="0" w:lastColumn="0" w:oddVBand="0" w:evenVBand="0" w:oddHBand="0" w:evenHBand="0" w:firstRowFirstColumn="0" w:firstRowLastColumn="0" w:lastRowFirstColumn="0" w:lastRowLastColumn="0"/>
              <w:rPr>
                <w:szCs w:val="20"/>
              </w:rPr>
            </w:pPr>
          </w:p>
        </w:tc>
        <w:tc>
          <w:tcPr>
            <w:tcW w:w="0" w:type="auto"/>
            <w:hideMark/>
          </w:tcPr>
          <w:p w14:paraId="24D6E736" w14:textId="77777777" w:rsidR="001A6AEE" w:rsidRPr="00AA22F2" w:rsidRDefault="001A6AEE" w:rsidP="001A6AEE">
            <w:pPr>
              <w:cnfStyle w:val="000000000000" w:firstRow="0" w:lastRow="0" w:firstColumn="0" w:lastColumn="0" w:oddVBand="0" w:evenVBand="0" w:oddHBand="0" w:evenHBand="0" w:firstRowFirstColumn="0" w:firstRowLastColumn="0" w:lastRowFirstColumn="0" w:lastRowLastColumn="0"/>
              <w:rPr>
                <w:szCs w:val="20"/>
              </w:rPr>
            </w:pPr>
            <w:r w:rsidRPr="00AA22F2">
              <w:rPr>
                <w:b/>
                <w:bCs/>
                <w:szCs w:val="20"/>
              </w:rPr>
              <w:t>Étendue</w:t>
            </w:r>
          </w:p>
        </w:tc>
        <w:tc>
          <w:tcPr>
            <w:tcW w:w="0" w:type="auto"/>
            <w:hideMark/>
          </w:tcPr>
          <w:p w14:paraId="6370C24E" w14:textId="55FCF5EE" w:rsidR="001A6AEE" w:rsidRPr="00AA22F2" w:rsidRDefault="00664F3E" w:rsidP="001A6AEE">
            <w:pPr>
              <w:cnfStyle w:val="000000000000" w:firstRow="0" w:lastRow="0" w:firstColumn="0" w:lastColumn="0" w:oddVBand="0" w:evenVBand="0" w:oddHBand="0" w:evenHBand="0" w:firstRowFirstColumn="0" w:firstRowLastColumn="0" w:lastRowFirstColumn="0" w:lastRowLastColumn="0"/>
              <w:rPr>
                <w:szCs w:val="20"/>
              </w:rPr>
            </w:pPr>
            <w:r w:rsidRPr="00AA22F2">
              <w:rPr>
                <w:szCs w:val="20"/>
              </w:rPr>
              <w:t>Locale, confinée aux aires de maintenance et de ravitaillement.</w:t>
            </w:r>
          </w:p>
        </w:tc>
        <w:tc>
          <w:tcPr>
            <w:tcW w:w="0" w:type="auto"/>
            <w:hideMark/>
          </w:tcPr>
          <w:p w14:paraId="77DB134F" w14:textId="158F81E7" w:rsidR="001A6AEE" w:rsidRPr="00AA22F2" w:rsidRDefault="00664F3E" w:rsidP="001A6AEE">
            <w:pPr>
              <w:cnfStyle w:val="000000000000" w:firstRow="0" w:lastRow="0" w:firstColumn="0" w:lastColumn="0" w:oddVBand="0" w:evenVBand="0" w:oddHBand="0" w:evenHBand="0" w:firstRowFirstColumn="0" w:firstRowLastColumn="0" w:lastRowFirstColumn="0" w:lastRowLastColumn="0"/>
              <w:rPr>
                <w:szCs w:val="20"/>
              </w:rPr>
            </w:pPr>
            <w:r w:rsidRPr="00AA22F2">
              <w:rPr>
                <w:szCs w:val="20"/>
              </w:rPr>
              <w:t>Locale</w:t>
            </w:r>
          </w:p>
        </w:tc>
      </w:tr>
      <w:tr w:rsidR="001A6AEE" w:rsidRPr="00664F3E" w14:paraId="39564475" w14:textId="77777777" w:rsidTr="001A6AEE">
        <w:tc>
          <w:tcPr>
            <w:cnfStyle w:val="001000000000" w:firstRow="0" w:lastRow="0" w:firstColumn="1" w:lastColumn="0" w:oddVBand="0" w:evenVBand="0" w:oddHBand="0" w:evenHBand="0" w:firstRowFirstColumn="0" w:firstRowLastColumn="0" w:lastRowFirstColumn="0" w:lastRowLastColumn="0"/>
            <w:tcW w:w="0" w:type="auto"/>
            <w:vMerge/>
            <w:hideMark/>
          </w:tcPr>
          <w:p w14:paraId="25029B1F" w14:textId="77777777" w:rsidR="001A6AEE" w:rsidRPr="00AA22F2" w:rsidRDefault="001A6AEE" w:rsidP="001A6AEE">
            <w:pPr>
              <w:rPr>
                <w:szCs w:val="20"/>
              </w:rPr>
            </w:pPr>
          </w:p>
        </w:tc>
        <w:tc>
          <w:tcPr>
            <w:tcW w:w="0" w:type="auto"/>
            <w:vMerge/>
            <w:hideMark/>
          </w:tcPr>
          <w:p w14:paraId="7005C16F" w14:textId="77777777" w:rsidR="001A6AEE" w:rsidRPr="00AA22F2" w:rsidRDefault="001A6AEE" w:rsidP="001A6AEE">
            <w:pPr>
              <w:cnfStyle w:val="000000000000" w:firstRow="0" w:lastRow="0" w:firstColumn="0" w:lastColumn="0" w:oddVBand="0" w:evenVBand="0" w:oddHBand="0" w:evenHBand="0" w:firstRowFirstColumn="0" w:firstRowLastColumn="0" w:lastRowFirstColumn="0" w:lastRowLastColumn="0"/>
              <w:rPr>
                <w:szCs w:val="20"/>
              </w:rPr>
            </w:pPr>
          </w:p>
        </w:tc>
        <w:tc>
          <w:tcPr>
            <w:tcW w:w="0" w:type="auto"/>
            <w:hideMark/>
          </w:tcPr>
          <w:p w14:paraId="27DAC2FA" w14:textId="77777777" w:rsidR="001A6AEE" w:rsidRPr="00AA22F2" w:rsidRDefault="001A6AEE" w:rsidP="001A6AEE">
            <w:pPr>
              <w:cnfStyle w:val="000000000000" w:firstRow="0" w:lastRow="0" w:firstColumn="0" w:lastColumn="0" w:oddVBand="0" w:evenVBand="0" w:oddHBand="0" w:evenHBand="0" w:firstRowFirstColumn="0" w:firstRowLastColumn="0" w:lastRowFirstColumn="0" w:lastRowLastColumn="0"/>
              <w:rPr>
                <w:szCs w:val="20"/>
              </w:rPr>
            </w:pPr>
            <w:r w:rsidRPr="00AA22F2">
              <w:rPr>
                <w:b/>
                <w:bCs/>
                <w:szCs w:val="20"/>
              </w:rPr>
              <w:t>Durée</w:t>
            </w:r>
          </w:p>
        </w:tc>
        <w:tc>
          <w:tcPr>
            <w:tcW w:w="0" w:type="auto"/>
            <w:hideMark/>
          </w:tcPr>
          <w:p w14:paraId="0E76A9D8" w14:textId="06B4B341" w:rsidR="001A6AEE" w:rsidRPr="00AA22F2" w:rsidRDefault="00664F3E" w:rsidP="001A6AEE">
            <w:pPr>
              <w:cnfStyle w:val="000000000000" w:firstRow="0" w:lastRow="0" w:firstColumn="0" w:lastColumn="0" w:oddVBand="0" w:evenVBand="0" w:oddHBand="0" w:evenHBand="0" w:firstRowFirstColumn="0" w:firstRowLastColumn="0" w:lastRowFirstColumn="0" w:lastRowLastColumn="0"/>
              <w:rPr>
                <w:szCs w:val="20"/>
              </w:rPr>
            </w:pPr>
            <w:r w:rsidRPr="00AA22F2">
              <w:rPr>
                <w:szCs w:val="20"/>
              </w:rPr>
              <w:t>Longue, susceptible de se poursuivre durant toute la période d’exploitation.</w:t>
            </w:r>
          </w:p>
        </w:tc>
        <w:tc>
          <w:tcPr>
            <w:tcW w:w="0" w:type="auto"/>
            <w:hideMark/>
          </w:tcPr>
          <w:p w14:paraId="795E7FB5" w14:textId="3669F8A1" w:rsidR="001A6AEE" w:rsidRPr="00AA22F2" w:rsidRDefault="00664F3E" w:rsidP="001A6AEE">
            <w:pPr>
              <w:cnfStyle w:val="000000000000" w:firstRow="0" w:lastRow="0" w:firstColumn="0" w:lastColumn="0" w:oddVBand="0" w:evenVBand="0" w:oddHBand="0" w:evenHBand="0" w:firstRowFirstColumn="0" w:firstRowLastColumn="0" w:lastRowFirstColumn="0" w:lastRowLastColumn="0"/>
              <w:rPr>
                <w:szCs w:val="20"/>
              </w:rPr>
            </w:pPr>
            <w:r w:rsidRPr="00AA22F2">
              <w:rPr>
                <w:szCs w:val="20"/>
              </w:rPr>
              <w:t>Long terme</w:t>
            </w:r>
          </w:p>
        </w:tc>
      </w:tr>
      <w:tr w:rsidR="001A6AEE" w:rsidRPr="00664F3E" w14:paraId="46F4E83E" w14:textId="77777777" w:rsidTr="001A6AEE">
        <w:tc>
          <w:tcPr>
            <w:cnfStyle w:val="001000000000" w:firstRow="0" w:lastRow="0" w:firstColumn="1" w:lastColumn="0" w:oddVBand="0" w:evenVBand="0" w:oddHBand="0" w:evenHBand="0" w:firstRowFirstColumn="0" w:firstRowLastColumn="0" w:lastRowFirstColumn="0" w:lastRowLastColumn="0"/>
            <w:tcW w:w="0" w:type="auto"/>
            <w:vMerge/>
            <w:hideMark/>
          </w:tcPr>
          <w:p w14:paraId="3D8D002A" w14:textId="77777777" w:rsidR="001A6AEE" w:rsidRPr="00AA22F2" w:rsidRDefault="001A6AEE" w:rsidP="001A6AEE">
            <w:pPr>
              <w:rPr>
                <w:szCs w:val="20"/>
              </w:rPr>
            </w:pPr>
          </w:p>
        </w:tc>
        <w:tc>
          <w:tcPr>
            <w:tcW w:w="0" w:type="auto"/>
            <w:vMerge/>
            <w:hideMark/>
          </w:tcPr>
          <w:p w14:paraId="654C25EB" w14:textId="77777777" w:rsidR="001A6AEE" w:rsidRPr="00AA22F2" w:rsidRDefault="001A6AEE" w:rsidP="001A6AEE">
            <w:pPr>
              <w:cnfStyle w:val="000000000000" w:firstRow="0" w:lastRow="0" w:firstColumn="0" w:lastColumn="0" w:oddVBand="0" w:evenVBand="0" w:oddHBand="0" w:evenHBand="0" w:firstRowFirstColumn="0" w:firstRowLastColumn="0" w:lastRowFirstColumn="0" w:lastRowLastColumn="0"/>
              <w:rPr>
                <w:szCs w:val="20"/>
              </w:rPr>
            </w:pPr>
          </w:p>
        </w:tc>
        <w:tc>
          <w:tcPr>
            <w:tcW w:w="0" w:type="auto"/>
            <w:hideMark/>
          </w:tcPr>
          <w:p w14:paraId="3557A055" w14:textId="77777777" w:rsidR="001A6AEE" w:rsidRPr="00AA22F2" w:rsidRDefault="001A6AEE" w:rsidP="001A6AEE">
            <w:pPr>
              <w:cnfStyle w:val="000000000000" w:firstRow="0" w:lastRow="0" w:firstColumn="0" w:lastColumn="0" w:oddVBand="0" w:evenVBand="0" w:oddHBand="0" w:evenHBand="0" w:firstRowFirstColumn="0" w:firstRowLastColumn="0" w:lastRowFirstColumn="0" w:lastRowLastColumn="0"/>
              <w:rPr>
                <w:szCs w:val="20"/>
              </w:rPr>
            </w:pPr>
            <w:r w:rsidRPr="00AA22F2">
              <w:rPr>
                <w:b/>
                <w:bCs/>
                <w:szCs w:val="20"/>
              </w:rPr>
              <w:t>Fréquence</w:t>
            </w:r>
          </w:p>
        </w:tc>
        <w:tc>
          <w:tcPr>
            <w:tcW w:w="0" w:type="auto"/>
            <w:hideMark/>
          </w:tcPr>
          <w:p w14:paraId="7DAEAF4C" w14:textId="2EBF64F1" w:rsidR="001A6AEE" w:rsidRPr="00AA22F2" w:rsidRDefault="00664F3E" w:rsidP="001A6AEE">
            <w:pPr>
              <w:cnfStyle w:val="000000000000" w:firstRow="0" w:lastRow="0" w:firstColumn="0" w:lastColumn="0" w:oddVBand="0" w:evenVBand="0" w:oddHBand="0" w:evenHBand="0" w:firstRowFirstColumn="0" w:firstRowLastColumn="0" w:lastRowFirstColumn="0" w:lastRowLastColumn="0"/>
              <w:rPr>
                <w:szCs w:val="20"/>
              </w:rPr>
            </w:pPr>
            <w:r w:rsidRPr="00AA22F2">
              <w:rPr>
                <w:szCs w:val="20"/>
              </w:rPr>
              <w:t>Occasionnelle, lors d’opérations d’entretien ou de fuites accidentelles.</w:t>
            </w:r>
          </w:p>
        </w:tc>
        <w:tc>
          <w:tcPr>
            <w:tcW w:w="0" w:type="auto"/>
            <w:hideMark/>
          </w:tcPr>
          <w:p w14:paraId="3187EF52" w14:textId="6AEE495C" w:rsidR="001A6AEE" w:rsidRPr="00AA22F2" w:rsidRDefault="00664F3E" w:rsidP="001A6AEE">
            <w:pPr>
              <w:cnfStyle w:val="000000000000" w:firstRow="0" w:lastRow="0" w:firstColumn="0" w:lastColumn="0" w:oddVBand="0" w:evenVBand="0" w:oddHBand="0" w:evenHBand="0" w:firstRowFirstColumn="0" w:firstRowLastColumn="0" w:lastRowFirstColumn="0" w:lastRowLastColumn="0"/>
              <w:rPr>
                <w:szCs w:val="20"/>
              </w:rPr>
            </w:pPr>
            <w:r w:rsidRPr="00AA22F2">
              <w:rPr>
                <w:szCs w:val="20"/>
              </w:rPr>
              <w:t>Occasionnelle</w:t>
            </w:r>
          </w:p>
        </w:tc>
      </w:tr>
      <w:tr w:rsidR="00664F3E" w:rsidRPr="00664F3E" w14:paraId="4039B02F" w14:textId="77777777" w:rsidTr="002459B4">
        <w:tc>
          <w:tcPr>
            <w:cnfStyle w:val="001000000000" w:firstRow="0" w:lastRow="0" w:firstColumn="1" w:lastColumn="0" w:oddVBand="0" w:evenVBand="0" w:oddHBand="0" w:evenHBand="0" w:firstRowFirstColumn="0" w:firstRowLastColumn="0" w:lastRowFirstColumn="0" w:lastRowLastColumn="0"/>
            <w:tcW w:w="0" w:type="auto"/>
            <w:vMerge/>
            <w:hideMark/>
          </w:tcPr>
          <w:p w14:paraId="3C7E68FE" w14:textId="77777777" w:rsidR="001A6AEE" w:rsidRPr="00AA22F2" w:rsidRDefault="001A6AEE" w:rsidP="001A6AEE">
            <w:pPr>
              <w:rPr>
                <w:szCs w:val="20"/>
              </w:rPr>
            </w:pPr>
          </w:p>
        </w:tc>
        <w:tc>
          <w:tcPr>
            <w:tcW w:w="0" w:type="auto"/>
            <w:vMerge/>
            <w:hideMark/>
          </w:tcPr>
          <w:p w14:paraId="588EA347" w14:textId="77777777" w:rsidR="001A6AEE" w:rsidRPr="00AA22F2" w:rsidRDefault="001A6AEE" w:rsidP="001A6AEE">
            <w:pPr>
              <w:cnfStyle w:val="000000000000" w:firstRow="0" w:lastRow="0" w:firstColumn="0" w:lastColumn="0" w:oddVBand="0" w:evenVBand="0" w:oddHBand="0" w:evenHBand="0" w:firstRowFirstColumn="0" w:firstRowLastColumn="0" w:lastRowFirstColumn="0" w:lastRowLastColumn="0"/>
              <w:rPr>
                <w:szCs w:val="20"/>
              </w:rPr>
            </w:pPr>
          </w:p>
        </w:tc>
        <w:tc>
          <w:tcPr>
            <w:tcW w:w="0" w:type="auto"/>
            <w:shd w:val="clear" w:color="auto" w:fill="D9E2F3" w:themeFill="accent1" w:themeFillTint="33"/>
            <w:hideMark/>
          </w:tcPr>
          <w:p w14:paraId="731AADD0" w14:textId="77777777" w:rsidR="001A6AEE" w:rsidRPr="00AA22F2" w:rsidRDefault="001A6AEE" w:rsidP="001A6AEE">
            <w:pPr>
              <w:cnfStyle w:val="000000000000" w:firstRow="0" w:lastRow="0" w:firstColumn="0" w:lastColumn="0" w:oddVBand="0" w:evenVBand="0" w:oddHBand="0" w:evenHBand="0" w:firstRowFirstColumn="0" w:firstRowLastColumn="0" w:lastRowFirstColumn="0" w:lastRowLastColumn="0"/>
              <w:rPr>
                <w:szCs w:val="20"/>
              </w:rPr>
            </w:pPr>
            <w:r w:rsidRPr="00AA22F2">
              <w:rPr>
                <w:b/>
                <w:bCs/>
                <w:szCs w:val="20"/>
              </w:rPr>
              <w:t>Intensité</w:t>
            </w:r>
          </w:p>
        </w:tc>
        <w:tc>
          <w:tcPr>
            <w:tcW w:w="0" w:type="auto"/>
            <w:shd w:val="clear" w:color="auto" w:fill="D9E2F3" w:themeFill="accent1" w:themeFillTint="33"/>
            <w:hideMark/>
          </w:tcPr>
          <w:p w14:paraId="618AE84A" w14:textId="65C2C690" w:rsidR="001A6AEE" w:rsidRPr="00AA22F2" w:rsidRDefault="00664F3E" w:rsidP="001A6AEE">
            <w:pPr>
              <w:cnfStyle w:val="000000000000" w:firstRow="0" w:lastRow="0" w:firstColumn="0" w:lastColumn="0" w:oddVBand="0" w:evenVBand="0" w:oddHBand="0" w:evenHBand="0" w:firstRowFirstColumn="0" w:firstRowLastColumn="0" w:lastRowFirstColumn="0" w:lastRowLastColumn="0"/>
              <w:rPr>
                <w:szCs w:val="20"/>
              </w:rPr>
            </w:pPr>
            <w:r w:rsidRPr="00AA22F2">
              <w:rPr>
                <w:szCs w:val="20"/>
              </w:rPr>
              <w:t>Faible, les revêtements étanches limitant l’infiltration.</w:t>
            </w:r>
          </w:p>
        </w:tc>
        <w:tc>
          <w:tcPr>
            <w:tcW w:w="0" w:type="auto"/>
            <w:shd w:val="clear" w:color="auto" w:fill="D9E2F3" w:themeFill="accent1" w:themeFillTint="33"/>
            <w:hideMark/>
          </w:tcPr>
          <w:p w14:paraId="28FE5618" w14:textId="0469D624" w:rsidR="001A6AEE" w:rsidRPr="00AA22F2" w:rsidRDefault="00664F3E" w:rsidP="001A6AEE">
            <w:pPr>
              <w:cnfStyle w:val="000000000000" w:firstRow="0" w:lastRow="0" w:firstColumn="0" w:lastColumn="0" w:oddVBand="0" w:evenVBand="0" w:oddHBand="0" w:evenHBand="0" w:firstRowFirstColumn="0" w:firstRowLastColumn="0" w:lastRowFirstColumn="0" w:lastRowLastColumn="0"/>
              <w:rPr>
                <w:szCs w:val="20"/>
              </w:rPr>
            </w:pPr>
            <w:r w:rsidRPr="00AA22F2">
              <w:rPr>
                <w:szCs w:val="20"/>
              </w:rPr>
              <w:t>Faible</w:t>
            </w:r>
          </w:p>
        </w:tc>
      </w:tr>
      <w:tr w:rsidR="001A6AEE" w:rsidRPr="00664F3E" w14:paraId="4A5919F7" w14:textId="77777777" w:rsidTr="000A3EA4">
        <w:tc>
          <w:tcPr>
            <w:cnfStyle w:val="001000000000" w:firstRow="0" w:lastRow="0" w:firstColumn="1" w:lastColumn="0" w:oddVBand="0" w:evenVBand="0" w:oddHBand="0" w:evenHBand="0" w:firstRowFirstColumn="0" w:firstRowLastColumn="0" w:lastRowFirstColumn="0" w:lastRowLastColumn="0"/>
            <w:tcW w:w="0" w:type="auto"/>
            <w:vMerge/>
          </w:tcPr>
          <w:p w14:paraId="33CA7B6C" w14:textId="77777777" w:rsidR="001A6AEE" w:rsidRPr="00AA22F2" w:rsidRDefault="001A6AEE" w:rsidP="001A6AEE">
            <w:pPr>
              <w:rPr>
                <w:szCs w:val="20"/>
              </w:rPr>
            </w:pPr>
          </w:p>
        </w:tc>
        <w:tc>
          <w:tcPr>
            <w:tcW w:w="0" w:type="auto"/>
            <w:gridSpan w:val="4"/>
          </w:tcPr>
          <w:p w14:paraId="21EADE26" w14:textId="77777777" w:rsidR="001A6AEE" w:rsidRPr="00AA22F2" w:rsidRDefault="001A6AEE" w:rsidP="004637C7">
            <w:pPr>
              <w:spacing w:before="0" w:after="0"/>
              <w:cnfStyle w:val="000000000000" w:firstRow="0" w:lastRow="0" w:firstColumn="0" w:lastColumn="0" w:oddVBand="0" w:evenVBand="0" w:oddHBand="0" w:evenHBand="0" w:firstRowFirstColumn="0" w:firstRowLastColumn="0" w:lastRowFirstColumn="0" w:lastRowLastColumn="0"/>
              <w:rPr>
                <w:szCs w:val="20"/>
              </w:rPr>
            </w:pPr>
          </w:p>
        </w:tc>
      </w:tr>
      <w:tr w:rsidR="00664F3E" w:rsidRPr="00664F3E" w14:paraId="3FFAC08D" w14:textId="77777777" w:rsidTr="002459B4">
        <w:tc>
          <w:tcPr>
            <w:cnfStyle w:val="001000000000" w:firstRow="0" w:lastRow="0" w:firstColumn="1" w:lastColumn="0" w:oddVBand="0" w:evenVBand="0" w:oddHBand="0" w:evenHBand="0" w:firstRowFirstColumn="0" w:firstRowLastColumn="0" w:lastRowFirstColumn="0" w:lastRowLastColumn="0"/>
            <w:tcW w:w="0" w:type="auto"/>
            <w:vMerge/>
          </w:tcPr>
          <w:p w14:paraId="5746017B" w14:textId="77777777" w:rsidR="001A6AEE" w:rsidRPr="00AA22F2" w:rsidRDefault="001A6AEE" w:rsidP="001A6AEE">
            <w:pPr>
              <w:rPr>
                <w:szCs w:val="20"/>
              </w:rPr>
            </w:pPr>
          </w:p>
        </w:tc>
        <w:tc>
          <w:tcPr>
            <w:tcW w:w="0" w:type="auto"/>
            <w:shd w:val="clear" w:color="auto" w:fill="8EAADB" w:themeFill="accent1" w:themeFillTint="99"/>
            <w:vAlign w:val="center"/>
          </w:tcPr>
          <w:p w14:paraId="33B3A2FA" w14:textId="010B207E" w:rsidR="001A6AEE" w:rsidRPr="00AA22F2" w:rsidRDefault="001A6AEE" w:rsidP="001A6AEE">
            <w:pPr>
              <w:cnfStyle w:val="000000000000" w:firstRow="0" w:lastRow="0" w:firstColumn="0" w:lastColumn="0" w:oddVBand="0" w:evenVBand="0" w:oddHBand="0" w:evenHBand="0" w:firstRowFirstColumn="0" w:firstRowLastColumn="0" w:lastRowFirstColumn="0" w:lastRowLastColumn="0"/>
              <w:rPr>
                <w:szCs w:val="20"/>
              </w:rPr>
            </w:pPr>
            <w:r w:rsidRPr="00664F3E">
              <w:rPr>
                <w:rFonts w:asciiTheme="minorHAnsi" w:hAnsiTheme="minorHAnsi" w:cstheme="minorHAnsi"/>
                <w:b/>
                <w:bCs/>
                <w:szCs w:val="20"/>
              </w:rPr>
              <w:t>Intensité de l’impact</w:t>
            </w:r>
          </w:p>
        </w:tc>
        <w:tc>
          <w:tcPr>
            <w:tcW w:w="0" w:type="auto"/>
            <w:shd w:val="clear" w:color="auto" w:fill="8EAADB" w:themeFill="accent1" w:themeFillTint="99"/>
            <w:vAlign w:val="center"/>
          </w:tcPr>
          <w:p w14:paraId="0D801BC1" w14:textId="22EA23F1" w:rsidR="001A6AEE" w:rsidRPr="00AA22F2" w:rsidRDefault="001A6AEE" w:rsidP="001A6AEE">
            <w:pPr>
              <w:cnfStyle w:val="000000000000" w:firstRow="0" w:lastRow="0" w:firstColumn="0" w:lastColumn="0" w:oddVBand="0" w:evenVBand="0" w:oddHBand="0" w:evenHBand="0" w:firstRowFirstColumn="0" w:firstRowLastColumn="0" w:lastRowFirstColumn="0" w:lastRowLastColumn="0"/>
              <w:rPr>
                <w:b/>
                <w:bCs/>
                <w:szCs w:val="20"/>
              </w:rPr>
            </w:pPr>
            <w:r w:rsidRPr="00664F3E">
              <w:rPr>
                <w:rFonts w:asciiTheme="minorHAnsi" w:hAnsiTheme="minorHAnsi" w:cstheme="minorHAnsi"/>
                <w:b/>
                <w:bCs/>
                <w:szCs w:val="20"/>
              </w:rPr>
              <w:t>Récepteurs</w:t>
            </w:r>
          </w:p>
        </w:tc>
        <w:tc>
          <w:tcPr>
            <w:tcW w:w="0" w:type="auto"/>
            <w:shd w:val="clear" w:color="auto" w:fill="8EAADB" w:themeFill="accent1" w:themeFillTint="99"/>
            <w:vAlign w:val="center"/>
          </w:tcPr>
          <w:p w14:paraId="06B560CE" w14:textId="0B71A7CD" w:rsidR="001A6AEE" w:rsidRPr="00AA22F2" w:rsidRDefault="001A6AEE" w:rsidP="001A6AEE">
            <w:pPr>
              <w:cnfStyle w:val="000000000000" w:firstRow="0" w:lastRow="0" w:firstColumn="0" w:lastColumn="0" w:oddVBand="0" w:evenVBand="0" w:oddHBand="0" w:evenHBand="0" w:firstRowFirstColumn="0" w:firstRowLastColumn="0" w:lastRowFirstColumn="0" w:lastRowLastColumn="0"/>
              <w:rPr>
                <w:szCs w:val="20"/>
              </w:rPr>
            </w:pPr>
            <w:r w:rsidRPr="00664F3E">
              <w:rPr>
                <w:rFonts w:asciiTheme="minorHAnsi" w:hAnsiTheme="minorHAnsi" w:cstheme="minorHAnsi"/>
                <w:b/>
                <w:bCs/>
                <w:szCs w:val="20"/>
              </w:rPr>
              <w:t>Sensibilité</w:t>
            </w:r>
          </w:p>
        </w:tc>
        <w:tc>
          <w:tcPr>
            <w:tcW w:w="0" w:type="auto"/>
            <w:shd w:val="clear" w:color="auto" w:fill="8EAADB" w:themeFill="accent1" w:themeFillTint="99"/>
            <w:vAlign w:val="center"/>
          </w:tcPr>
          <w:p w14:paraId="774F8052" w14:textId="223F1AE2" w:rsidR="001A6AEE" w:rsidRPr="00AA22F2" w:rsidRDefault="001A6AEE" w:rsidP="001A6AEE">
            <w:pPr>
              <w:cnfStyle w:val="000000000000" w:firstRow="0" w:lastRow="0" w:firstColumn="0" w:lastColumn="0" w:oddVBand="0" w:evenVBand="0" w:oddHBand="0" w:evenHBand="0" w:firstRowFirstColumn="0" w:firstRowLastColumn="0" w:lastRowFirstColumn="0" w:lastRowLastColumn="0"/>
              <w:rPr>
                <w:szCs w:val="20"/>
              </w:rPr>
            </w:pPr>
            <w:r w:rsidRPr="00664F3E">
              <w:rPr>
                <w:rFonts w:asciiTheme="minorHAnsi" w:hAnsiTheme="minorHAnsi" w:cstheme="minorHAnsi"/>
                <w:b/>
                <w:bCs/>
                <w:szCs w:val="20"/>
              </w:rPr>
              <w:t>Importance de l’impact</w:t>
            </w:r>
          </w:p>
        </w:tc>
      </w:tr>
      <w:tr w:rsidR="006B1462" w:rsidRPr="00664F3E" w14:paraId="3C94D17F" w14:textId="77777777" w:rsidTr="000A3EA4">
        <w:tc>
          <w:tcPr>
            <w:cnfStyle w:val="001000000000" w:firstRow="0" w:lastRow="0" w:firstColumn="1" w:lastColumn="0" w:oddVBand="0" w:evenVBand="0" w:oddHBand="0" w:evenHBand="0" w:firstRowFirstColumn="0" w:firstRowLastColumn="0" w:lastRowFirstColumn="0" w:lastRowLastColumn="0"/>
            <w:tcW w:w="0" w:type="auto"/>
            <w:vMerge/>
          </w:tcPr>
          <w:p w14:paraId="11B9B752" w14:textId="77777777" w:rsidR="006B1462" w:rsidRPr="00AA22F2" w:rsidRDefault="006B1462" w:rsidP="006B1462">
            <w:pPr>
              <w:rPr>
                <w:szCs w:val="20"/>
              </w:rPr>
            </w:pPr>
          </w:p>
        </w:tc>
        <w:tc>
          <w:tcPr>
            <w:tcW w:w="0" w:type="auto"/>
            <w:vAlign w:val="center"/>
          </w:tcPr>
          <w:p w14:paraId="1CBA6CF4" w14:textId="14699A2C" w:rsidR="006B1462" w:rsidRPr="00AA22F2" w:rsidRDefault="00664F3E" w:rsidP="006B1462">
            <w:pPr>
              <w:cnfStyle w:val="000000000000" w:firstRow="0" w:lastRow="0" w:firstColumn="0" w:lastColumn="0" w:oddVBand="0" w:evenVBand="0" w:oddHBand="0" w:evenHBand="0" w:firstRowFirstColumn="0" w:firstRowLastColumn="0" w:lastRowFirstColumn="0" w:lastRowLastColumn="0"/>
              <w:rPr>
                <w:szCs w:val="20"/>
              </w:rPr>
            </w:pPr>
            <w:r w:rsidRPr="00AA22F2">
              <w:rPr>
                <w:szCs w:val="20"/>
              </w:rPr>
              <w:t>Faible</w:t>
            </w:r>
          </w:p>
        </w:tc>
        <w:tc>
          <w:tcPr>
            <w:tcW w:w="0" w:type="auto"/>
            <w:vAlign w:val="center"/>
          </w:tcPr>
          <w:p w14:paraId="36F28DE7" w14:textId="6202DDFB" w:rsidR="006B1462" w:rsidRPr="00AA22F2" w:rsidRDefault="006B1462" w:rsidP="006B1462">
            <w:pPr>
              <w:cnfStyle w:val="000000000000" w:firstRow="0" w:lastRow="0" w:firstColumn="0" w:lastColumn="0" w:oddVBand="0" w:evenVBand="0" w:oddHBand="0" w:evenHBand="0" w:firstRowFirstColumn="0" w:firstRowLastColumn="0" w:lastRowFirstColumn="0" w:lastRowLastColumn="0"/>
              <w:rPr>
                <w:b/>
                <w:bCs/>
                <w:szCs w:val="20"/>
              </w:rPr>
            </w:pPr>
            <w:r w:rsidRPr="00AA22F2">
              <w:rPr>
                <w:b/>
                <w:bCs/>
                <w:szCs w:val="20"/>
              </w:rPr>
              <w:t xml:space="preserve">Nappe phréatique du </w:t>
            </w:r>
            <w:r w:rsidR="000C63CE">
              <w:rPr>
                <w:b/>
                <w:bCs/>
                <w:szCs w:val="20"/>
              </w:rPr>
              <w:t>Haouz</w:t>
            </w:r>
          </w:p>
        </w:tc>
        <w:tc>
          <w:tcPr>
            <w:tcW w:w="0" w:type="auto"/>
          </w:tcPr>
          <w:p w14:paraId="123AB8C7" w14:textId="2D2D85F1" w:rsidR="006B1462" w:rsidRPr="00AA22F2" w:rsidRDefault="006B1462" w:rsidP="006B1462">
            <w:pPr>
              <w:cnfStyle w:val="000000000000" w:firstRow="0" w:lastRow="0" w:firstColumn="0" w:lastColumn="0" w:oddVBand="0" w:evenVBand="0" w:oddHBand="0" w:evenHBand="0" w:firstRowFirstColumn="0" w:firstRowLastColumn="0" w:lastRowFirstColumn="0" w:lastRowLastColumn="0"/>
              <w:rPr>
                <w:szCs w:val="20"/>
              </w:rPr>
            </w:pPr>
            <w:r w:rsidRPr="004637C7">
              <w:rPr>
                <w:szCs w:val="20"/>
              </w:rPr>
              <w:t>Forte</w:t>
            </w:r>
          </w:p>
        </w:tc>
        <w:tc>
          <w:tcPr>
            <w:tcW w:w="0" w:type="auto"/>
          </w:tcPr>
          <w:p w14:paraId="71CF664F" w14:textId="594DA22B" w:rsidR="006B1462" w:rsidRPr="00AA22F2" w:rsidRDefault="006B1462" w:rsidP="006B1462">
            <w:pPr>
              <w:cnfStyle w:val="000000000000" w:firstRow="0" w:lastRow="0" w:firstColumn="0" w:lastColumn="0" w:oddVBand="0" w:evenVBand="0" w:oddHBand="0" w:evenHBand="0" w:firstRowFirstColumn="0" w:firstRowLastColumn="0" w:lastRowFirstColumn="0" w:lastRowLastColumn="0"/>
              <w:rPr>
                <w:szCs w:val="20"/>
              </w:rPr>
            </w:pPr>
            <w:r w:rsidRPr="00AA22F2">
              <w:rPr>
                <w:szCs w:val="20"/>
              </w:rPr>
              <w:t>M</w:t>
            </w:r>
            <w:r w:rsidR="00664F3E" w:rsidRPr="00AA22F2">
              <w:rPr>
                <w:szCs w:val="20"/>
              </w:rPr>
              <w:t>odérée</w:t>
            </w:r>
          </w:p>
        </w:tc>
      </w:tr>
    </w:tbl>
    <w:p w14:paraId="39D71D5F" w14:textId="77777777" w:rsidR="00F61C75" w:rsidRDefault="00F61C75" w:rsidP="004637C7"/>
    <w:p w14:paraId="463830E8" w14:textId="6570499A" w:rsidR="00C72258" w:rsidRDefault="005B406F" w:rsidP="0001633E">
      <w:pPr>
        <w:pStyle w:val="AltTitle2"/>
        <w:numPr>
          <w:ilvl w:val="0"/>
          <w:numId w:val="106"/>
        </w:numPr>
      </w:pPr>
      <w:r>
        <w:t>Risque de f</w:t>
      </w:r>
      <w:r w:rsidRPr="005B406F">
        <w:t xml:space="preserve">uite accidentelle d’hydrocarbures ou de carburants et contamination de la nappe du </w:t>
      </w:r>
      <w:r w:rsidR="000C63CE">
        <w:t>Haouz</w:t>
      </w:r>
    </w:p>
    <w:p w14:paraId="77872BB4" w14:textId="77777777" w:rsidR="005B406F" w:rsidRDefault="005B406F" w:rsidP="005B406F">
      <w:r>
        <w:t>En exploitation, le risque découle des aires de ravitaillement, de maintenance et de lavage où sont manipulés des produits pétroliers.</w:t>
      </w:r>
    </w:p>
    <w:p w14:paraId="17A4826B" w14:textId="77777777" w:rsidR="005B406F" w:rsidRDefault="005B406F" w:rsidP="005B406F">
      <w:r>
        <w:t>Une fuite accidentelle, une rupture de tuyauterie ou un débordement peuvent générer une contamination aiguë si les systèmes de confinement (revêtements étanches, séparateurs d’hydrocarbures, bacs de rétention) sont défaillants.</w:t>
      </w:r>
    </w:p>
    <w:p w14:paraId="1D2BF740" w14:textId="77777777" w:rsidR="005B406F" w:rsidRDefault="005B406F" w:rsidP="005B406F">
      <w:r>
        <w:t>Le risque est faible en probabilité, grâce aux dispositifs intégrés, mais la gravité reste élevée vu la sensibilité de la nappe.</w:t>
      </w:r>
    </w:p>
    <w:p w14:paraId="53322176" w14:textId="3AB90474" w:rsidR="005B406F" w:rsidRDefault="005B406F" w:rsidP="005B406F">
      <w:r>
        <w:t>Les effets potentiels seraient localisés et maîtrisables avec un plan d’urgence fonctionnel.</w:t>
      </w:r>
    </w:p>
    <w:tbl>
      <w:tblPr>
        <w:tblStyle w:val="TableauGrille1Clair-Accentuation111"/>
        <w:tblW w:w="0" w:type="auto"/>
        <w:tblLook w:val="04A0" w:firstRow="1" w:lastRow="0" w:firstColumn="1" w:lastColumn="0" w:noHBand="0" w:noVBand="1"/>
      </w:tblPr>
      <w:tblGrid>
        <w:gridCol w:w="2443"/>
        <w:gridCol w:w="2130"/>
        <w:gridCol w:w="1526"/>
        <w:gridCol w:w="2015"/>
        <w:gridCol w:w="946"/>
      </w:tblGrid>
      <w:tr w:rsidR="005B406F" w:rsidRPr="00B95A9D" w14:paraId="3BAE9CF3" w14:textId="77777777" w:rsidTr="005A766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5D374D55" w14:textId="77777777" w:rsidR="005B406F" w:rsidRPr="00B95A9D" w:rsidRDefault="005B406F" w:rsidP="005A7661">
            <w:pPr>
              <w:rPr>
                <w:szCs w:val="20"/>
              </w:rPr>
            </w:pPr>
            <w:r w:rsidRPr="002C2301">
              <w:rPr>
                <w:rFonts w:eastAsiaTheme="majorEastAsia"/>
                <w:szCs w:val="20"/>
              </w:rPr>
              <w:lastRenderedPageBreak/>
              <w:t>Risque</w:t>
            </w:r>
          </w:p>
        </w:tc>
        <w:tc>
          <w:tcPr>
            <w:tcW w:w="0" w:type="auto"/>
          </w:tcPr>
          <w:p w14:paraId="2D9EA84C" w14:textId="77777777" w:rsidR="005B406F" w:rsidRPr="00B95A9D" w:rsidRDefault="005B406F" w:rsidP="005A7661">
            <w:pPr>
              <w:cnfStyle w:val="100000000000" w:firstRow="1" w:lastRow="0" w:firstColumn="0" w:lastColumn="0" w:oddVBand="0" w:evenVBand="0" w:oddHBand="0" w:evenHBand="0" w:firstRowFirstColumn="0" w:firstRowLastColumn="0" w:lastRowFirstColumn="0" w:lastRowLastColumn="0"/>
              <w:rPr>
                <w:szCs w:val="20"/>
              </w:rPr>
            </w:pPr>
            <w:r w:rsidRPr="002C2301">
              <w:rPr>
                <w:rFonts w:eastAsiaTheme="majorEastAsia"/>
                <w:szCs w:val="20"/>
              </w:rPr>
              <w:t>Activités génératrices</w:t>
            </w:r>
          </w:p>
        </w:tc>
        <w:tc>
          <w:tcPr>
            <w:tcW w:w="0" w:type="auto"/>
          </w:tcPr>
          <w:p w14:paraId="3AAB2D19" w14:textId="77777777" w:rsidR="005B406F" w:rsidRPr="00B95A9D" w:rsidRDefault="005B406F" w:rsidP="005A7661">
            <w:pPr>
              <w:cnfStyle w:val="100000000000" w:firstRow="1" w:lastRow="0" w:firstColumn="0" w:lastColumn="0" w:oddVBand="0" w:evenVBand="0" w:oddHBand="0" w:evenHBand="0" w:firstRowFirstColumn="0" w:firstRowLastColumn="0" w:lastRowFirstColumn="0" w:lastRowLastColumn="0"/>
              <w:rPr>
                <w:szCs w:val="20"/>
              </w:rPr>
            </w:pPr>
            <w:r w:rsidRPr="002C2301">
              <w:rPr>
                <w:rFonts w:eastAsiaTheme="majorEastAsia"/>
                <w:szCs w:val="20"/>
              </w:rPr>
              <w:t>Critère</w:t>
            </w:r>
          </w:p>
        </w:tc>
        <w:tc>
          <w:tcPr>
            <w:tcW w:w="0" w:type="auto"/>
          </w:tcPr>
          <w:p w14:paraId="53EDE87B" w14:textId="77777777" w:rsidR="005B406F" w:rsidRPr="00B95A9D" w:rsidRDefault="005B406F" w:rsidP="005A7661">
            <w:pPr>
              <w:cnfStyle w:val="100000000000" w:firstRow="1" w:lastRow="0" w:firstColumn="0" w:lastColumn="0" w:oddVBand="0" w:evenVBand="0" w:oddHBand="0" w:evenHBand="0" w:firstRowFirstColumn="0" w:firstRowLastColumn="0" w:lastRowFirstColumn="0" w:lastRowLastColumn="0"/>
              <w:rPr>
                <w:szCs w:val="20"/>
              </w:rPr>
            </w:pPr>
            <w:r w:rsidRPr="002C2301">
              <w:rPr>
                <w:rFonts w:eastAsiaTheme="majorEastAsia"/>
                <w:szCs w:val="20"/>
              </w:rPr>
              <w:t>Justification</w:t>
            </w:r>
          </w:p>
        </w:tc>
        <w:tc>
          <w:tcPr>
            <w:tcW w:w="0" w:type="auto"/>
          </w:tcPr>
          <w:p w14:paraId="68FC8CB3" w14:textId="77777777" w:rsidR="005B406F" w:rsidRPr="00B95A9D" w:rsidRDefault="005B406F" w:rsidP="005A7661">
            <w:pPr>
              <w:cnfStyle w:val="100000000000" w:firstRow="1" w:lastRow="0" w:firstColumn="0" w:lastColumn="0" w:oddVBand="0" w:evenVBand="0" w:oddHBand="0" w:evenHBand="0" w:firstRowFirstColumn="0" w:firstRowLastColumn="0" w:lastRowFirstColumn="0" w:lastRowLastColumn="0"/>
              <w:rPr>
                <w:szCs w:val="20"/>
              </w:rPr>
            </w:pPr>
            <w:r w:rsidRPr="002C2301">
              <w:rPr>
                <w:rFonts w:eastAsiaTheme="majorEastAsia"/>
                <w:szCs w:val="20"/>
              </w:rPr>
              <w:t>Niveau</w:t>
            </w:r>
          </w:p>
        </w:tc>
      </w:tr>
      <w:tr w:rsidR="005B406F" w:rsidRPr="00B95A9D" w14:paraId="2C21EF52" w14:textId="77777777" w:rsidTr="005A7661">
        <w:tc>
          <w:tcPr>
            <w:cnfStyle w:val="001000000000" w:firstRow="0" w:lastRow="0" w:firstColumn="1" w:lastColumn="0" w:oddVBand="0" w:evenVBand="0" w:oddHBand="0" w:evenHBand="0" w:firstRowFirstColumn="0" w:firstRowLastColumn="0" w:lastRowFirstColumn="0" w:lastRowLastColumn="0"/>
            <w:tcW w:w="0" w:type="auto"/>
            <w:vMerge w:val="restart"/>
          </w:tcPr>
          <w:p w14:paraId="34C7DBA9" w14:textId="1CE3F77C" w:rsidR="005B406F" w:rsidRPr="00B95A9D" w:rsidRDefault="005B406F" w:rsidP="005A7661">
            <w:pPr>
              <w:rPr>
                <w:szCs w:val="20"/>
              </w:rPr>
            </w:pPr>
            <w:r w:rsidRPr="00A35E82">
              <w:rPr>
                <w:szCs w:val="20"/>
              </w:rPr>
              <w:t xml:space="preserve">Risque de fuite accidentelle d’hydrocarbures ou de carburants et contamination de la nappe du </w:t>
            </w:r>
            <w:r w:rsidR="000C63CE">
              <w:rPr>
                <w:szCs w:val="20"/>
              </w:rPr>
              <w:t>Haouz</w:t>
            </w:r>
          </w:p>
        </w:tc>
        <w:tc>
          <w:tcPr>
            <w:tcW w:w="0" w:type="auto"/>
            <w:vMerge w:val="restart"/>
          </w:tcPr>
          <w:p w14:paraId="7242C3E0" w14:textId="28FB27B0" w:rsidR="005B406F" w:rsidRPr="00B95A9D" w:rsidRDefault="005B406F" w:rsidP="005A7661">
            <w:pPr>
              <w:cnfStyle w:val="000000000000" w:firstRow="0" w:lastRow="0" w:firstColumn="0" w:lastColumn="0" w:oddVBand="0" w:evenVBand="0" w:oddHBand="0" w:evenHBand="0" w:firstRowFirstColumn="0" w:firstRowLastColumn="0" w:lastRowFirstColumn="0" w:lastRowLastColumn="0"/>
              <w:rPr>
                <w:szCs w:val="20"/>
              </w:rPr>
            </w:pPr>
            <w:r w:rsidRPr="005B406F">
              <w:rPr>
                <w:szCs w:val="20"/>
              </w:rPr>
              <w:t>Aires de ravitaillement, zones de maintenance et lavage, stockage de produits pétroliers.</w:t>
            </w:r>
          </w:p>
        </w:tc>
        <w:tc>
          <w:tcPr>
            <w:tcW w:w="0" w:type="auto"/>
            <w:hideMark/>
          </w:tcPr>
          <w:p w14:paraId="06614E48" w14:textId="77777777" w:rsidR="005B406F" w:rsidRPr="00B95A9D" w:rsidRDefault="005B406F" w:rsidP="005A7661">
            <w:pPr>
              <w:cnfStyle w:val="000000000000" w:firstRow="0" w:lastRow="0" w:firstColumn="0" w:lastColumn="0" w:oddVBand="0" w:evenVBand="0" w:oddHBand="0" w:evenHBand="0" w:firstRowFirstColumn="0" w:firstRowLastColumn="0" w:lastRowFirstColumn="0" w:lastRowLastColumn="0"/>
              <w:rPr>
                <w:szCs w:val="20"/>
              </w:rPr>
            </w:pPr>
            <w:r w:rsidRPr="00B95A9D">
              <w:rPr>
                <w:rFonts w:eastAsiaTheme="majorEastAsia"/>
                <w:b/>
                <w:bCs/>
                <w:szCs w:val="20"/>
              </w:rPr>
              <w:t>Probabilité d’occurrence</w:t>
            </w:r>
          </w:p>
        </w:tc>
        <w:tc>
          <w:tcPr>
            <w:tcW w:w="0" w:type="auto"/>
          </w:tcPr>
          <w:p w14:paraId="5E04D4D4" w14:textId="77777777" w:rsidR="005B406F" w:rsidRPr="00B95A9D" w:rsidRDefault="005B406F" w:rsidP="005A7661">
            <w:pPr>
              <w:cnfStyle w:val="000000000000" w:firstRow="0" w:lastRow="0" w:firstColumn="0" w:lastColumn="0" w:oddVBand="0" w:evenVBand="0" w:oddHBand="0" w:evenHBand="0" w:firstRowFirstColumn="0" w:firstRowLastColumn="0" w:lastRowFirstColumn="0" w:lastRowLastColumn="0"/>
              <w:rPr>
                <w:szCs w:val="20"/>
              </w:rPr>
            </w:pPr>
            <w:r>
              <w:rPr>
                <w:szCs w:val="20"/>
              </w:rPr>
              <w:t>Probable</w:t>
            </w:r>
            <w:r w:rsidRPr="00842E51">
              <w:rPr>
                <w:szCs w:val="20"/>
              </w:rPr>
              <w:t xml:space="preserve"> : dépend du respect des procédures de stockage et manutention.</w:t>
            </w:r>
          </w:p>
        </w:tc>
        <w:tc>
          <w:tcPr>
            <w:tcW w:w="0" w:type="auto"/>
          </w:tcPr>
          <w:p w14:paraId="7A65BD73" w14:textId="77777777" w:rsidR="005B406F" w:rsidRPr="00B95A9D" w:rsidRDefault="005B406F" w:rsidP="005A7661">
            <w:pPr>
              <w:cnfStyle w:val="000000000000" w:firstRow="0" w:lastRow="0" w:firstColumn="0" w:lastColumn="0" w:oddVBand="0" w:evenVBand="0" w:oddHBand="0" w:evenHBand="0" w:firstRowFirstColumn="0" w:firstRowLastColumn="0" w:lastRowFirstColumn="0" w:lastRowLastColumn="0"/>
              <w:rPr>
                <w:szCs w:val="20"/>
              </w:rPr>
            </w:pPr>
            <w:r>
              <w:rPr>
                <w:szCs w:val="20"/>
              </w:rPr>
              <w:t>Probable</w:t>
            </w:r>
          </w:p>
        </w:tc>
      </w:tr>
      <w:tr w:rsidR="005B406F" w:rsidRPr="00B95A9D" w14:paraId="212B2CFB" w14:textId="77777777" w:rsidTr="005A7661">
        <w:tc>
          <w:tcPr>
            <w:cnfStyle w:val="001000000000" w:firstRow="0" w:lastRow="0" w:firstColumn="1" w:lastColumn="0" w:oddVBand="0" w:evenVBand="0" w:oddHBand="0" w:evenHBand="0" w:firstRowFirstColumn="0" w:firstRowLastColumn="0" w:lastRowFirstColumn="0" w:lastRowLastColumn="0"/>
            <w:tcW w:w="0" w:type="auto"/>
            <w:vMerge/>
          </w:tcPr>
          <w:p w14:paraId="2CE6F116" w14:textId="77777777" w:rsidR="005B406F" w:rsidRPr="00B95A9D" w:rsidRDefault="005B406F" w:rsidP="005A7661">
            <w:pPr>
              <w:rPr>
                <w:szCs w:val="20"/>
              </w:rPr>
            </w:pPr>
          </w:p>
        </w:tc>
        <w:tc>
          <w:tcPr>
            <w:tcW w:w="0" w:type="auto"/>
            <w:vMerge/>
          </w:tcPr>
          <w:p w14:paraId="32BB99BB" w14:textId="77777777" w:rsidR="005B406F" w:rsidRPr="00B95A9D" w:rsidRDefault="005B406F" w:rsidP="005A7661">
            <w:pPr>
              <w:cnfStyle w:val="000000000000" w:firstRow="0" w:lastRow="0" w:firstColumn="0" w:lastColumn="0" w:oddVBand="0" w:evenVBand="0" w:oddHBand="0" w:evenHBand="0" w:firstRowFirstColumn="0" w:firstRowLastColumn="0" w:lastRowFirstColumn="0" w:lastRowLastColumn="0"/>
              <w:rPr>
                <w:szCs w:val="20"/>
              </w:rPr>
            </w:pPr>
          </w:p>
        </w:tc>
        <w:tc>
          <w:tcPr>
            <w:tcW w:w="0" w:type="auto"/>
            <w:hideMark/>
          </w:tcPr>
          <w:p w14:paraId="62057260" w14:textId="77777777" w:rsidR="005B406F" w:rsidRPr="00B95A9D" w:rsidRDefault="005B406F" w:rsidP="005A7661">
            <w:pPr>
              <w:cnfStyle w:val="000000000000" w:firstRow="0" w:lastRow="0" w:firstColumn="0" w:lastColumn="0" w:oddVBand="0" w:evenVBand="0" w:oddHBand="0" w:evenHBand="0" w:firstRowFirstColumn="0" w:firstRowLastColumn="0" w:lastRowFirstColumn="0" w:lastRowLastColumn="0"/>
              <w:rPr>
                <w:szCs w:val="20"/>
              </w:rPr>
            </w:pPr>
            <w:r w:rsidRPr="00B95A9D">
              <w:rPr>
                <w:rFonts w:eastAsiaTheme="majorEastAsia"/>
                <w:b/>
                <w:bCs/>
                <w:szCs w:val="20"/>
              </w:rPr>
              <w:t>Gravité des conséquences</w:t>
            </w:r>
          </w:p>
        </w:tc>
        <w:tc>
          <w:tcPr>
            <w:tcW w:w="0" w:type="auto"/>
          </w:tcPr>
          <w:p w14:paraId="0601A5BE" w14:textId="4F4C5796" w:rsidR="005B406F" w:rsidRPr="00B95A9D" w:rsidRDefault="005B406F" w:rsidP="005A7661">
            <w:pPr>
              <w:cnfStyle w:val="000000000000" w:firstRow="0" w:lastRow="0" w:firstColumn="0" w:lastColumn="0" w:oddVBand="0" w:evenVBand="0" w:oddHBand="0" w:evenHBand="0" w:firstRowFirstColumn="0" w:firstRowLastColumn="0" w:lastRowFirstColumn="0" w:lastRowLastColumn="0"/>
              <w:rPr>
                <w:szCs w:val="20"/>
              </w:rPr>
            </w:pPr>
            <w:r>
              <w:rPr>
                <w:szCs w:val="20"/>
              </w:rPr>
              <w:t>C</w:t>
            </w:r>
            <w:r w:rsidRPr="005B406F">
              <w:rPr>
                <w:szCs w:val="20"/>
              </w:rPr>
              <w:t>ontamination potentielle d’un aquifère stratégique.</w:t>
            </w:r>
          </w:p>
        </w:tc>
        <w:tc>
          <w:tcPr>
            <w:tcW w:w="0" w:type="auto"/>
          </w:tcPr>
          <w:p w14:paraId="08402DD6" w14:textId="77777777" w:rsidR="005B406F" w:rsidRPr="00B95A9D" w:rsidRDefault="005B406F" w:rsidP="005A7661">
            <w:pPr>
              <w:cnfStyle w:val="000000000000" w:firstRow="0" w:lastRow="0" w:firstColumn="0" w:lastColumn="0" w:oddVBand="0" w:evenVBand="0" w:oddHBand="0" w:evenHBand="0" w:firstRowFirstColumn="0" w:firstRowLastColumn="0" w:lastRowFirstColumn="0" w:lastRowLastColumn="0"/>
              <w:rPr>
                <w:szCs w:val="20"/>
              </w:rPr>
            </w:pPr>
            <w:r>
              <w:rPr>
                <w:szCs w:val="20"/>
              </w:rPr>
              <w:t>Elevé</w:t>
            </w:r>
          </w:p>
        </w:tc>
      </w:tr>
      <w:tr w:rsidR="005B406F" w:rsidRPr="00B95A9D" w14:paraId="7BA65A24" w14:textId="77777777" w:rsidTr="005A7661">
        <w:tc>
          <w:tcPr>
            <w:cnfStyle w:val="001000000000" w:firstRow="0" w:lastRow="0" w:firstColumn="1" w:lastColumn="0" w:oddVBand="0" w:evenVBand="0" w:oddHBand="0" w:evenHBand="0" w:firstRowFirstColumn="0" w:firstRowLastColumn="0" w:lastRowFirstColumn="0" w:lastRowLastColumn="0"/>
            <w:tcW w:w="0" w:type="auto"/>
            <w:vMerge/>
          </w:tcPr>
          <w:p w14:paraId="1069628B" w14:textId="77777777" w:rsidR="005B406F" w:rsidRPr="00B95A9D" w:rsidRDefault="005B406F" w:rsidP="005A7661">
            <w:pPr>
              <w:rPr>
                <w:szCs w:val="20"/>
              </w:rPr>
            </w:pPr>
          </w:p>
        </w:tc>
        <w:tc>
          <w:tcPr>
            <w:tcW w:w="0" w:type="auto"/>
            <w:vMerge/>
          </w:tcPr>
          <w:p w14:paraId="35F61B4E" w14:textId="77777777" w:rsidR="005B406F" w:rsidRPr="00B95A9D" w:rsidRDefault="005B406F" w:rsidP="005A7661">
            <w:pPr>
              <w:cnfStyle w:val="000000000000" w:firstRow="0" w:lastRow="0" w:firstColumn="0" w:lastColumn="0" w:oddVBand="0" w:evenVBand="0" w:oddHBand="0" w:evenHBand="0" w:firstRowFirstColumn="0" w:firstRowLastColumn="0" w:lastRowFirstColumn="0" w:lastRowLastColumn="0"/>
              <w:rPr>
                <w:szCs w:val="20"/>
              </w:rPr>
            </w:pPr>
          </w:p>
        </w:tc>
        <w:tc>
          <w:tcPr>
            <w:tcW w:w="0" w:type="auto"/>
            <w:hideMark/>
          </w:tcPr>
          <w:p w14:paraId="3D824AA4" w14:textId="77777777" w:rsidR="005B406F" w:rsidRPr="00B95A9D" w:rsidRDefault="005B406F" w:rsidP="005A7661">
            <w:pPr>
              <w:cnfStyle w:val="000000000000" w:firstRow="0" w:lastRow="0" w:firstColumn="0" w:lastColumn="0" w:oddVBand="0" w:evenVBand="0" w:oddHBand="0" w:evenHBand="0" w:firstRowFirstColumn="0" w:firstRowLastColumn="0" w:lastRowFirstColumn="0" w:lastRowLastColumn="0"/>
              <w:rPr>
                <w:szCs w:val="20"/>
              </w:rPr>
            </w:pPr>
            <w:r w:rsidRPr="00B95A9D">
              <w:rPr>
                <w:rFonts w:eastAsiaTheme="majorEastAsia"/>
                <w:b/>
                <w:bCs/>
                <w:szCs w:val="20"/>
              </w:rPr>
              <w:t>Évaluation globale du risque</w:t>
            </w:r>
          </w:p>
        </w:tc>
        <w:tc>
          <w:tcPr>
            <w:tcW w:w="0" w:type="auto"/>
          </w:tcPr>
          <w:p w14:paraId="4A763E1C" w14:textId="461DB0C1" w:rsidR="005B406F" w:rsidRPr="00B95A9D" w:rsidRDefault="005B406F" w:rsidP="005A7661">
            <w:pPr>
              <w:cnfStyle w:val="000000000000" w:firstRow="0" w:lastRow="0" w:firstColumn="0" w:lastColumn="0" w:oddVBand="0" w:evenVBand="0" w:oddHBand="0" w:evenHBand="0" w:firstRowFirstColumn="0" w:firstRowLastColumn="0" w:lastRowFirstColumn="0" w:lastRowLastColumn="0"/>
              <w:rPr>
                <w:szCs w:val="20"/>
              </w:rPr>
            </w:pPr>
            <w:r>
              <w:rPr>
                <w:szCs w:val="20"/>
              </w:rPr>
              <w:t>P</w:t>
            </w:r>
            <w:r w:rsidRPr="005B406F">
              <w:rPr>
                <w:szCs w:val="20"/>
              </w:rPr>
              <w:t xml:space="preserve">robabilité très réduite mais gravité élevée </w:t>
            </w:r>
          </w:p>
        </w:tc>
        <w:tc>
          <w:tcPr>
            <w:tcW w:w="0" w:type="auto"/>
          </w:tcPr>
          <w:p w14:paraId="35398B6B" w14:textId="77777777" w:rsidR="005B406F" w:rsidRPr="00B95A9D" w:rsidRDefault="005B406F" w:rsidP="005A7661">
            <w:pPr>
              <w:cnfStyle w:val="000000000000" w:firstRow="0" w:lastRow="0" w:firstColumn="0" w:lastColumn="0" w:oddVBand="0" w:evenVBand="0" w:oddHBand="0" w:evenHBand="0" w:firstRowFirstColumn="0" w:firstRowLastColumn="0" w:lastRowFirstColumn="0" w:lastRowLastColumn="0"/>
              <w:rPr>
                <w:szCs w:val="20"/>
              </w:rPr>
            </w:pPr>
            <w:r>
              <w:rPr>
                <w:szCs w:val="20"/>
              </w:rPr>
              <w:t>Critique</w:t>
            </w:r>
          </w:p>
        </w:tc>
      </w:tr>
    </w:tbl>
    <w:p w14:paraId="7C9F99C5" w14:textId="77777777" w:rsidR="005B406F" w:rsidRDefault="005B406F" w:rsidP="005B406F"/>
    <w:p w14:paraId="18770379" w14:textId="77777777" w:rsidR="00D8053C" w:rsidRDefault="00D8053C" w:rsidP="00C3175E">
      <w:pPr>
        <w:pStyle w:val="NormalWeb"/>
        <w:sectPr w:rsidR="00D8053C" w:rsidSect="004637C7">
          <w:pgSz w:w="11906" w:h="16838"/>
          <w:pgMar w:top="1560" w:right="1418" w:bottom="1276" w:left="1418" w:header="680" w:footer="680" w:gutter="0"/>
          <w:cols w:space="708"/>
          <w:docGrid w:linePitch="360"/>
        </w:sectPr>
      </w:pPr>
    </w:p>
    <w:p w14:paraId="0C84CA65" w14:textId="77777777" w:rsidR="00D8053C" w:rsidRDefault="00D8053C" w:rsidP="004637C7">
      <w:pPr>
        <w:pStyle w:val="Title5"/>
      </w:pPr>
      <w:bookmarkStart w:id="430" w:name="_Hlk210928700"/>
      <w:r>
        <w:lastRenderedPageBreak/>
        <w:t>Mesures d’atténuation</w:t>
      </w:r>
    </w:p>
    <w:p w14:paraId="48B198E5" w14:textId="6197F168" w:rsidR="00085A43" w:rsidRDefault="00085A43" w:rsidP="004637C7">
      <w:pPr>
        <w:pStyle w:val="Lgende"/>
        <w:keepNext/>
      </w:pPr>
      <w:bookmarkStart w:id="431" w:name="_Toc213404372"/>
      <w:r>
        <w:t xml:space="preserve">Tableau </w:t>
      </w:r>
      <w:r>
        <w:fldChar w:fldCharType="begin"/>
      </w:r>
      <w:r>
        <w:instrText xml:space="preserve"> SEQ Tableau \* ARABIC </w:instrText>
      </w:r>
      <w:r>
        <w:fldChar w:fldCharType="separate"/>
      </w:r>
      <w:r w:rsidR="00274E71">
        <w:rPr>
          <w:noProof/>
        </w:rPr>
        <w:t>50</w:t>
      </w:r>
      <w:r>
        <w:fldChar w:fldCharType="end"/>
      </w:r>
      <w:r>
        <w:rPr>
          <w:lang w:val="fr-FR"/>
        </w:rPr>
        <w:t xml:space="preserve"> : </w:t>
      </w:r>
      <w:r w:rsidRPr="002B6A41">
        <w:rPr>
          <w:lang w:val="fr-FR"/>
        </w:rPr>
        <w:t>Ressource en eau – Mesures d’atténuation en phase</w:t>
      </w:r>
      <w:r>
        <w:rPr>
          <w:lang w:val="fr-FR"/>
        </w:rPr>
        <w:t xml:space="preserve"> d’exploitation</w:t>
      </w:r>
      <w:bookmarkEnd w:id="431"/>
    </w:p>
    <w:tbl>
      <w:tblPr>
        <w:tblStyle w:val="TableauGrille1Clair-Accentuation111"/>
        <w:tblW w:w="0" w:type="auto"/>
        <w:tblLook w:val="04A0" w:firstRow="1" w:lastRow="0" w:firstColumn="1" w:lastColumn="0" w:noHBand="0" w:noVBand="1"/>
      </w:tblPr>
      <w:tblGrid>
        <w:gridCol w:w="2082"/>
        <w:gridCol w:w="1360"/>
        <w:gridCol w:w="2837"/>
        <w:gridCol w:w="1431"/>
        <w:gridCol w:w="1085"/>
        <w:gridCol w:w="1223"/>
        <w:gridCol w:w="717"/>
        <w:gridCol w:w="1157"/>
        <w:gridCol w:w="2242"/>
      </w:tblGrid>
      <w:tr w:rsidR="00DC7D45" w:rsidRPr="008D44BF" w14:paraId="2E615822" w14:textId="77777777" w:rsidTr="00DC7D45">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0" w:type="auto"/>
          </w:tcPr>
          <w:bookmarkEnd w:id="430"/>
          <w:p w14:paraId="78F3564F" w14:textId="27BE357D" w:rsidR="00084DCB" w:rsidRPr="004637C7" w:rsidRDefault="00084DCB" w:rsidP="00084DCB">
            <w:pPr>
              <w:pStyle w:val="NormalWeb"/>
              <w:rPr>
                <w:rFonts w:asciiTheme="minorHAnsi" w:hAnsiTheme="minorHAnsi" w:cstheme="minorHAnsi"/>
                <w:sz w:val="20"/>
                <w:szCs w:val="20"/>
                <w:lang w:val="fr-FR"/>
              </w:rPr>
            </w:pPr>
            <w:r w:rsidRPr="004637C7">
              <w:rPr>
                <w:rFonts w:asciiTheme="minorHAnsi" w:hAnsiTheme="minorHAnsi" w:cstheme="minorHAnsi"/>
                <w:sz w:val="20"/>
                <w:szCs w:val="20"/>
                <w:lang w:val="fr-FR"/>
              </w:rPr>
              <w:t>Impact/risque</w:t>
            </w:r>
          </w:p>
        </w:tc>
        <w:tc>
          <w:tcPr>
            <w:tcW w:w="1360" w:type="dxa"/>
            <w:hideMark/>
          </w:tcPr>
          <w:p w14:paraId="5DBA4D83" w14:textId="2C5CA359" w:rsidR="00084DCB" w:rsidRPr="004637C7" w:rsidRDefault="00084DCB" w:rsidP="00084DCB">
            <w:pPr>
              <w:pStyle w:val="NormalWeb"/>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0"/>
                <w:szCs w:val="20"/>
                <w:lang w:val="fr-FR"/>
              </w:rPr>
            </w:pPr>
            <w:r w:rsidRPr="004637C7">
              <w:rPr>
                <w:rFonts w:asciiTheme="minorHAnsi" w:hAnsiTheme="minorHAnsi" w:cstheme="minorHAnsi"/>
                <w:sz w:val="20"/>
                <w:szCs w:val="20"/>
                <w:lang w:val="fr-FR"/>
              </w:rPr>
              <w:t>Niveau d’atténuation</w:t>
            </w:r>
          </w:p>
        </w:tc>
        <w:tc>
          <w:tcPr>
            <w:tcW w:w="2837" w:type="dxa"/>
            <w:hideMark/>
          </w:tcPr>
          <w:p w14:paraId="4F3C8B22" w14:textId="77777777" w:rsidR="00084DCB" w:rsidRPr="004637C7" w:rsidRDefault="00084DCB" w:rsidP="00084DCB">
            <w:pPr>
              <w:pStyle w:val="NormalWeb"/>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0"/>
                <w:szCs w:val="20"/>
                <w:lang w:val="fr-FR"/>
              </w:rPr>
            </w:pPr>
            <w:r w:rsidRPr="004637C7">
              <w:rPr>
                <w:rFonts w:asciiTheme="minorHAnsi" w:hAnsiTheme="minorHAnsi" w:cstheme="minorHAnsi"/>
                <w:sz w:val="20"/>
                <w:szCs w:val="20"/>
                <w:lang w:val="fr-FR"/>
              </w:rPr>
              <w:t>Mesures proposées</w:t>
            </w:r>
          </w:p>
        </w:tc>
        <w:tc>
          <w:tcPr>
            <w:tcW w:w="0" w:type="auto"/>
            <w:hideMark/>
          </w:tcPr>
          <w:p w14:paraId="60B26A72" w14:textId="77777777" w:rsidR="00084DCB" w:rsidRPr="004637C7" w:rsidRDefault="00084DCB" w:rsidP="00084DCB">
            <w:pPr>
              <w:pStyle w:val="NormalWeb"/>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0"/>
                <w:szCs w:val="20"/>
                <w:lang w:val="fr-FR"/>
              </w:rPr>
            </w:pPr>
            <w:r w:rsidRPr="004637C7">
              <w:rPr>
                <w:rFonts w:asciiTheme="minorHAnsi" w:hAnsiTheme="minorHAnsi" w:cstheme="minorHAnsi"/>
                <w:sz w:val="20"/>
                <w:szCs w:val="20"/>
                <w:lang w:val="fr-FR"/>
              </w:rPr>
              <w:t>KPI / Indicateurs</w:t>
            </w:r>
          </w:p>
        </w:tc>
        <w:tc>
          <w:tcPr>
            <w:tcW w:w="0" w:type="auto"/>
            <w:hideMark/>
          </w:tcPr>
          <w:p w14:paraId="37AA821D" w14:textId="77777777" w:rsidR="00084DCB" w:rsidRPr="004637C7" w:rsidRDefault="00084DCB" w:rsidP="00084DCB">
            <w:pPr>
              <w:pStyle w:val="NormalWeb"/>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0"/>
                <w:szCs w:val="20"/>
                <w:lang w:val="fr-FR"/>
              </w:rPr>
            </w:pPr>
            <w:r w:rsidRPr="004637C7">
              <w:rPr>
                <w:rFonts w:asciiTheme="minorHAnsi" w:hAnsiTheme="minorHAnsi" w:cstheme="minorHAnsi"/>
                <w:sz w:val="20"/>
                <w:szCs w:val="20"/>
                <w:lang w:val="fr-FR"/>
              </w:rPr>
              <w:t>Mise en œuvre</w:t>
            </w:r>
          </w:p>
        </w:tc>
        <w:tc>
          <w:tcPr>
            <w:tcW w:w="0" w:type="auto"/>
            <w:hideMark/>
          </w:tcPr>
          <w:p w14:paraId="234E5F30" w14:textId="77777777" w:rsidR="00084DCB" w:rsidRPr="004637C7" w:rsidRDefault="00084DCB" w:rsidP="00084DCB">
            <w:pPr>
              <w:pStyle w:val="NormalWeb"/>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0"/>
                <w:szCs w:val="20"/>
                <w:lang w:val="fr-FR"/>
              </w:rPr>
            </w:pPr>
            <w:r w:rsidRPr="004637C7">
              <w:rPr>
                <w:rFonts w:asciiTheme="minorHAnsi" w:hAnsiTheme="minorHAnsi" w:cstheme="minorHAnsi"/>
                <w:sz w:val="20"/>
                <w:szCs w:val="20"/>
                <w:lang w:val="fr-FR"/>
              </w:rPr>
              <w:t>Surveillance</w:t>
            </w:r>
          </w:p>
        </w:tc>
        <w:tc>
          <w:tcPr>
            <w:tcW w:w="0" w:type="auto"/>
            <w:hideMark/>
          </w:tcPr>
          <w:p w14:paraId="10A68750" w14:textId="77777777" w:rsidR="00084DCB" w:rsidRPr="004637C7" w:rsidRDefault="00084DCB" w:rsidP="00084DCB">
            <w:pPr>
              <w:pStyle w:val="NormalWeb"/>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0"/>
                <w:szCs w:val="20"/>
                <w:lang w:val="fr-FR"/>
              </w:rPr>
            </w:pPr>
            <w:r w:rsidRPr="004637C7">
              <w:rPr>
                <w:rFonts w:asciiTheme="minorHAnsi" w:hAnsiTheme="minorHAnsi" w:cstheme="minorHAnsi"/>
                <w:sz w:val="20"/>
                <w:szCs w:val="20"/>
                <w:lang w:val="fr-FR"/>
              </w:rPr>
              <w:t>Suivi</w:t>
            </w:r>
          </w:p>
        </w:tc>
        <w:tc>
          <w:tcPr>
            <w:tcW w:w="0" w:type="auto"/>
            <w:hideMark/>
          </w:tcPr>
          <w:p w14:paraId="5FA1B77E" w14:textId="77777777" w:rsidR="00084DCB" w:rsidRPr="004637C7" w:rsidRDefault="00084DCB" w:rsidP="00084DCB">
            <w:pPr>
              <w:pStyle w:val="NormalWeb"/>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0"/>
                <w:szCs w:val="20"/>
                <w:lang w:val="fr-FR"/>
              </w:rPr>
            </w:pPr>
            <w:r w:rsidRPr="004637C7">
              <w:rPr>
                <w:rFonts w:asciiTheme="minorHAnsi" w:hAnsiTheme="minorHAnsi" w:cstheme="minorHAnsi"/>
                <w:sz w:val="20"/>
                <w:szCs w:val="20"/>
                <w:lang w:val="fr-FR"/>
              </w:rPr>
              <w:t>Calendrier</w:t>
            </w:r>
          </w:p>
        </w:tc>
        <w:tc>
          <w:tcPr>
            <w:tcW w:w="0" w:type="auto"/>
            <w:hideMark/>
          </w:tcPr>
          <w:p w14:paraId="5A0935C9" w14:textId="77777777" w:rsidR="00084DCB" w:rsidRPr="004637C7" w:rsidRDefault="00084DCB" w:rsidP="00084DCB">
            <w:pPr>
              <w:pStyle w:val="NormalWeb"/>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0"/>
                <w:szCs w:val="20"/>
                <w:lang w:val="fr-FR"/>
              </w:rPr>
            </w:pPr>
            <w:r w:rsidRPr="004637C7">
              <w:rPr>
                <w:rFonts w:asciiTheme="minorHAnsi" w:hAnsiTheme="minorHAnsi" w:cstheme="minorHAnsi"/>
                <w:sz w:val="20"/>
                <w:szCs w:val="20"/>
                <w:lang w:val="fr-FR"/>
              </w:rPr>
              <w:t>Coût</w:t>
            </w:r>
          </w:p>
        </w:tc>
      </w:tr>
      <w:tr w:rsidR="00F83970" w:rsidRPr="00084DCB" w14:paraId="5A35D35E" w14:textId="77777777" w:rsidTr="004637C7">
        <w:tc>
          <w:tcPr>
            <w:cnfStyle w:val="001000000000" w:firstRow="0" w:lastRow="0" w:firstColumn="1" w:lastColumn="0" w:oddVBand="0" w:evenVBand="0" w:oddHBand="0" w:evenHBand="0" w:firstRowFirstColumn="0" w:firstRowLastColumn="0" w:lastRowFirstColumn="0" w:lastRowLastColumn="0"/>
            <w:tcW w:w="0" w:type="auto"/>
            <w:vMerge w:val="restart"/>
          </w:tcPr>
          <w:p w14:paraId="6A0CF918" w14:textId="379A657C" w:rsidR="00084DCB" w:rsidRPr="004637C7" w:rsidRDefault="00084DCB" w:rsidP="00084DCB">
            <w:pPr>
              <w:pStyle w:val="NormalWeb"/>
              <w:rPr>
                <w:rFonts w:asciiTheme="minorHAnsi" w:hAnsiTheme="minorHAnsi" w:cstheme="minorHAnsi"/>
                <w:sz w:val="20"/>
                <w:szCs w:val="20"/>
                <w:lang w:val="fr-FR"/>
              </w:rPr>
            </w:pPr>
            <w:r w:rsidRPr="00084DCB">
              <w:rPr>
                <w:rFonts w:asciiTheme="minorHAnsi" w:hAnsiTheme="minorHAnsi" w:cstheme="minorHAnsi"/>
                <w:sz w:val="20"/>
                <w:szCs w:val="20"/>
                <w:lang w:val="fr-FR"/>
              </w:rPr>
              <w:t>Pollution chronique des eaux superficielles et souterraines par hydrocarbures et eaux huileuses</w:t>
            </w:r>
          </w:p>
        </w:tc>
        <w:tc>
          <w:tcPr>
            <w:tcW w:w="1360" w:type="dxa"/>
            <w:hideMark/>
          </w:tcPr>
          <w:p w14:paraId="677ECA58" w14:textId="2A4311C2" w:rsidR="00084DCB" w:rsidRPr="004637C7" w:rsidRDefault="00084DCB" w:rsidP="00084DCB">
            <w:pPr>
              <w:pStyle w:val="NormalWeb"/>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lang w:val="fr-FR"/>
              </w:rPr>
            </w:pPr>
            <w:r w:rsidRPr="004637C7">
              <w:rPr>
                <w:rFonts w:asciiTheme="minorHAnsi" w:hAnsiTheme="minorHAnsi" w:cstheme="minorHAnsi"/>
                <w:b/>
                <w:bCs/>
                <w:sz w:val="20"/>
                <w:szCs w:val="20"/>
                <w:lang w:val="fr-FR"/>
              </w:rPr>
              <w:t>Éviter</w:t>
            </w:r>
          </w:p>
        </w:tc>
        <w:tc>
          <w:tcPr>
            <w:tcW w:w="2837" w:type="dxa"/>
            <w:hideMark/>
          </w:tcPr>
          <w:p w14:paraId="14BD6D9A" w14:textId="77777777" w:rsidR="008D44BF" w:rsidRDefault="00084DCB" w:rsidP="00084DCB">
            <w:pPr>
              <w:pStyle w:val="NormalWeb"/>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lang w:val="fr-FR"/>
              </w:rPr>
            </w:pPr>
            <w:r w:rsidRPr="004637C7">
              <w:rPr>
                <w:rFonts w:asciiTheme="minorHAnsi" w:hAnsiTheme="minorHAnsi" w:cstheme="minorHAnsi"/>
                <w:sz w:val="20"/>
                <w:szCs w:val="20"/>
                <w:lang w:val="fr-FR"/>
              </w:rPr>
              <w:t>Maintenir les aires techniques entièrement étanches.</w:t>
            </w:r>
          </w:p>
          <w:p w14:paraId="06258271" w14:textId="0B674B39" w:rsidR="00084DCB" w:rsidRPr="004637C7" w:rsidRDefault="00084DCB" w:rsidP="00084DCB">
            <w:pPr>
              <w:pStyle w:val="NormalWeb"/>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lang w:val="fr-FR"/>
              </w:rPr>
            </w:pPr>
            <w:r w:rsidRPr="004637C7">
              <w:rPr>
                <w:rFonts w:asciiTheme="minorHAnsi" w:hAnsiTheme="minorHAnsi" w:cstheme="minorHAnsi"/>
                <w:sz w:val="20"/>
                <w:szCs w:val="20"/>
                <w:lang w:val="fr-FR"/>
              </w:rPr>
              <w:t>Interdire tout rejet d’eaux usées non traitées dans le réseau pluvial.</w:t>
            </w:r>
          </w:p>
        </w:tc>
        <w:tc>
          <w:tcPr>
            <w:tcW w:w="0" w:type="auto"/>
            <w:hideMark/>
          </w:tcPr>
          <w:p w14:paraId="6809CED0" w14:textId="77777777" w:rsidR="00084DCB" w:rsidRPr="004637C7" w:rsidRDefault="00084DCB" w:rsidP="00084DCB">
            <w:pPr>
              <w:pStyle w:val="NormalWeb"/>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lang w:val="fr-FR"/>
              </w:rPr>
            </w:pPr>
            <w:r w:rsidRPr="004637C7">
              <w:rPr>
                <w:rFonts w:asciiTheme="minorHAnsi" w:hAnsiTheme="minorHAnsi" w:cstheme="minorHAnsi"/>
                <w:sz w:val="20"/>
                <w:szCs w:val="20"/>
                <w:lang w:val="fr-FR"/>
              </w:rPr>
              <w:t>% d’aires conformes</w:t>
            </w:r>
          </w:p>
        </w:tc>
        <w:tc>
          <w:tcPr>
            <w:tcW w:w="0" w:type="auto"/>
            <w:hideMark/>
          </w:tcPr>
          <w:p w14:paraId="5B4FF061" w14:textId="77777777" w:rsidR="00084DCB" w:rsidRPr="004637C7" w:rsidRDefault="00084DCB" w:rsidP="00084DCB">
            <w:pPr>
              <w:pStyle w:val="NormalWeb"/>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lang w:val="fr-FR"/>
              </w:rPr>
            </w:pPr>
            <w:r w:rsidRPr="004637C7">
              <w:rPr>
                <w:rFonts w:asciiTheme="minorHAnsi" w:hAnsiTheme="minorHAnsi" w:cstheme="minorHAnsi"/>
                <w:sz w:val="20"/>
                <w:szCs w:val="20"/>
                <w:lang w:val="fr-FR"/>
              </w:rPr>
              <w:t>ONDA / Exploitant</w:t>
            </w:r>
          </w:p>
        </w:tc>
        <w:tc>
          <w:tcPr>
            <w:tcW w:w="0" w:type="auto"/>
            <w:hideMark/>
          </w:tcPr>
          <w:p w14:paraId="24C5ABE1" w14:textId="77777777" w:rsidR="00084DCB" w:rsidRPr="004637C7" w:rsidRDefault="00084DCB" w:rsidP="00084DCB">
            <w:pPr>
              <w:pStyle w:val="NormalWeb"/>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lang w:val="fr-FR"/>
              </w:rPr>
            </w:pPr>
            <w:r w:rsidRPr="004637C7">
              <w:rPr>
                <w:rFonts w:asciiTheme="minorHAnsi" w:hAnsiTheme="minorHAnsi" w:cstheme="minorHAnsi"/>
                <w:sz w:val="20"/>
                <w:szCs w:val="20"/>
                <w:lang w:val="fr-FR"/>
              </w:rPr>
              <w:t>ONDA</w:t>
            </w:r>
          </w:p>
        </w:tc>
        <w:tc>
          <w:tcPr>
            <w:tcW w:w="0" w:type="auto"/>
            <w:hideMark/>
          </w:tcPr>
          <w:p w14:paraId="4E5FAD21" w14:textId="77777777" w:rsidR="00084DCB" w:rsidRPr="004637C7" w:rsidRDefault="00084DCB" w:rsidP="00084DCB">
            <w:pPr>
              <w:pStyle w:val="NormalWeb"/>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lang w:val="fr-FR"/>
              </w:rPr>
            </w:pPr>
            <w:r w:rsidRPr="004637C7">
              <w:rPr>
                <w:rFonts w:asciiTheme="minorHAnsi" w:hAnsiTheme="minorHAnsi" w:cstheme="minorHAnsi"/>
                <w:sz w:val="20"/>
                <w:szCs w:val="20"/>
                <w:lang w:val="fr-FR"/>
              </w:rPr>
              <w:t>ONDA</w:t>
            </w:r>
          </w:p>
        </w:tc>
        <w:tc>
          <w:tcPr>
            <w:tcW w:w="0" w:type="auto"/>
            <w:hideMark/>
          </w:tcPr>
          <w:p w14:paraId="4781B563" w14:textId="77777777" w:rsidR="00084DCB" w:rsidRPr="004637C7" w:rsidRDefault="00084DCB" w:rsidP="00084DCB">
            <w:pPr>
              <w:pStyle w:val="NormalWeb"/>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lang w:val="fr-FR"/>
              </w:rPr>
            </w:pPr>
            <w:r w:rsidRPr="004637C7">
              <w:rPr>
                <w:rFonts w:asciiTheme="minorHAnsi" w:hAnsiTheme="minorHAnsi" w:cstheme="minorHAnsi"/>
                <w:sz w:val="20"/>
                <w:szCs w:val="20"/>
                <w:lang w:val="fr-FR"/>
              </w:rPr>
              <w:t>En continu</w:t>
            </w:r>
          </w:p>
        </w:tc>
        <w:tc>
          <w:tcPr>
            <w:tcW w:w="0" w:type="auto"/>
            <w:hideMark/>
          </w:tcPr>
          <w:p w14:paraId="56186E1B" w14:textId="3A9C78F1" w:rsidR="00084DCB" w:rsidRPr="004637C7" w:rsidRDefault="00E42410" w:rsidP="00084DCB">
            <w:pPr>
              <w:pStyle w:val="NormalWeb"/>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lang w:val="fr-FR"/>
              </w:rPr>
            </w:pPr>
            <w:r w:rsidRPr="00E42410">
              <w:rPr>
                <w:rFonts w:asciiTheme="minorHAnsi" w:hAnsiTheme="minorHAnsi" w:cstheme="minorHAnsi"/>
                <w:sz w:val="20"/>
                <w:szCs w:val="20"/>
                <w:lang w:val="fr-FR"/>
              </w:rPr>
              <w:t>≈ 20 000/an (maintenance)</w:t>
            </w:r>
          </w:p>
        </w:tc>
      </w:tr>
      <w:tr w:rsidR="00F83970" w:rsidRPr="00084DCB" w14:paraId="5D992AA2" w14:textId="77777777" w:rsidTr="004637C7">
        <w:tc>
          <w:tcPr>
            <w:cnfStyle w:val="001000000000" w:firstRow="0" w:lastRow="0" w:firstColumn="1" w:lastColumn="0" w:oddVBand="0" w:evenVBand="0" w:oddHBand="0" w:evenHBand="0" w:firstRowFirstColumn="0" w:firstRowLastColumn="0" w:lastRowFirstColumn="0" w:lastRowLastColumn="0"/>
            <w:tcW w:w="0" w:type="auto"/>
            <w:vMerge/>
          </w:tcPr>
          <w:p w14:paraId="03F75D7E" w14:textId="77777777" w:rsidR="00084DCB" w:rsidRPr="004637C7" w:rsidRDefault="00084DCB" w:rsidP="00084DCB">
            <w:pPr>
              <w:pStyle w:val="NormalWeb"/>
              <w:rPr>
                <w:rFonts w:asciiTheme="minorHAnsi" w:hAnsiTheme="minorHAnsi" w:cstheme="minorHAnsi"/>
                <w:b w:val="0"/>
                <w:bCs w:val="0"/>
                <w:sz w:val="20"/>
                <w:szCs w:val="20"/>
                <w:lang w:val="fr-FR"/>
              </w:rPr>
            </w:pPr>
          </w:p>
        </w:tc>
        <w:tc>
          <w:tcPr>
            <w:tcW w:w="1360" w:type="dxa"/>
            <w:hideMark/>
          </w:tcPr>
          <w:p w14:paraId="2818508E" w14:textId="0EBD01B6" w:rsidR="00084DCB" w:rsidRPr="004637C7" w:rsidRDefault="00084DCB" w:rsidP="00084DCB">
            <w:pPr>
              <w:pStyle w:val="NormalWeb"/>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lang w:val="fr-FR"/>
              </w:rPr>
            </w:pPr>
            <w:r w:rsidRPr="004637C7">
              <w:rPr>
                <w:rFonts w:asciiTheme="minorHAnsi" w:hAnsiTheme="minorHAnsi" w:cstheme="minorHAnsi"/>
                <w:b/>
                <w:bCs/>
                <w:sz w:val="20"/>
                <w:szCs w:val="20"/>
                <w:lang w:val="fr-FR"/>
              </w:rPr>
              <w:t>Réduire</w:t>
            </w:r>
          </w:p>
        </w:tc>
        <w:tc>
          <w:tcPr>
            <w:tcW w:w="2837" w:type="dxa"/>
            <w:hideMark/>
          </w:tcPr>
          <w:p w14:paraId="07DC279A" w14:textId="77777777" w:rsidR="008D44BF" w:rsidRDefault="00084DCB" w:rsidP="00084DCB">
            <w:pPr>
              <w:pStyle w:val="NormalWeb"/>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lang w:val="fr-FR"/>
              </w:rPr>
            </w:pPr>
            <w:r w:rsidRPr="004637C7">
              <w:rPr>
                <w:rFonts w:asciiTheme="minorHAnsi" w:hAnsiTheme="minorHAnsi" w:cstheme="minorHAnsi"/>
                <w:sz w:val="20"/>
                <w:szCs w:val="20"/>
                <w:lang w:val="fr-FR"/>
              </w:rPr>
              <w:t>Entretenir régulièrement les séparateurs d’hydrocarbures.</w:t>
            </w:r>
          </w:p>
          <w:p w14:paraId="47D71854" w14:textId="3182F41F" w:rsidR="00084DCB" w:rsidRPr="004637C7" w:rsidRDefault="00084DCB" w:rsidP="00084DCB">
            <w:pPr>
              <w:pStyle w:val="NormalWeb"/>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lang w:val="fr-FR"/>
              </w:rPr>
            </w:pPr>
            <w:r w:rsidRPr="004637C7">
              <w:rPr>
                <w:rFonts w:asciiTheme="minorHAnsi" w:hAnsiTheme="minorHAnsi" w:cstheme="minorHAnsi"/>
                <w:sz w:val="20"/>
                <w:szCs w:val="20"/>
                <w:lang w:val="fr-FR"/>
              </w:rPr>
              <w:t>Inspecter les canalisations et collecteurs.</w:t>
            </w:r>
          </w:p>
        </w:tc>
        <w:tc>
          <w:tcPr>
            <w:tcW w:w="0" w:type="auto"/>
            <w:hideMark/>
          </w:tcPr>
          <w:p w14:paraId="21CD1699" w14:textId="77777777" w:rsidR="00084DCB" w:rsidRPr="004637C7" w:rsidRDefault="00084DCB" w:rsidP="00084DCB">
            <w:pPr>
              <w:pStyle w:val="NormalWeb"/>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lang w:val="fr-FR"/>
              </w:rPr>
            </w:pPr>
            <w:r w:rsidRPr="004637C7">
              <w:rPr>
                <w:rFonts w:asciiTheme="minorHAnsi" w:hAnsiTheme="minorHAnsi" w:cstheme="minorHAnsi"/>
                <w:sz w:val="20"/>
                <w:szCs w:val="20"/>
                <w:lang w:val="fr-FR"/>
              </w:rPr>
              <w:t>Fréquence de maintenance</w:t>
            </w:r>
          </w:p>
        </w:tc>
        <w:tc>
          <w:tcPr>
            <w:tcW w:w="0" w:type="auto"/>
            <w:hideMark/>
          </w:tcPr>
          <w:p w14:paraId="53E8BB61" w14:textId="77777777" w:rsidR="00084DCB" w:rsidRPr="004637C7" w:rsidRDefault="00084DCB" w:rsidP="00084DCB">
            <w:pPr>
              <w:pStyle w:val="NormalWeb"/>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lang w:val="fr-FR"/>
              </w:rPr>
            </w:pPr>
            <w:r w:rsidRPr="004637C7">
              <w:rPr>
                <w:rFonts w:asciiTheme="minorHAnsi" w:hAnsiTheme="minorHAnsi" w:cstheme="minorHAnsi"/>
                <w:sz w:val="20"/>
                <w:szCs w:val="20"/>
                <w:lang w:val="fr-FR"/>
              </w:rPr>
              <w:t>ONDA / Exploitant</w:t>
            </w:r>
          </w:p>
        </w:tc>
        <w:tc>
          <w:tcPr>
            <w:tcW w:w="0" w:type="auto"/>
            <w:hideMark/>
          </w:tcPr>
          <w:p w14:paraId="2269633D" w14:textId="77777777" w:rsidR="00084DCB" w:rsidRPr="004637C7" w:rsidRDefault="00084DCB" w:rsidP="00084DCB">
            <w:pPr>
              <w:pStyle w:val="NormalWeb"/>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lang w:val="fr-FR"/>
              </w:rPr>
            </w:pPr>
            <w:r w:rsidRPr="004637C7">
              <w:rPr>
                <w:rFonts w:asciiTheme="minorHAnsi" w:hAnsiTheme="minorHAnsi" w:cstheme="minorHAnsi"/>
                <w:sz w:val="20"/>
                <w:szCs w:val="20"/>
                <w:lang w:val="fr-FR"/>
              </w:rPr>
              <w:t>ONDA</w:t>
            </w:r>
          </w:p>
        </w:tc>
        <w:tc>
          <w:tcPr>
            <w:tcW w:w="0" w:type="auto"/>
            <w:hideMark/>
          </w:tcPr>
          <w:p w14:paraId="4010DD52" w14:textId="77777777" w:rsidR="00084DCB" w:rsidRPr="004637C7" w:rsidRDefault="00084DCB" w:rsidP="00084DCB">
            <w:pPr>
              <w:pStyle w:val="NormalWeb"/>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lang w:val="fr-FR"/>
              </w:rPr>
            </w:pPr>
            <w:r w:rsidRPr="004637C7">
              <w:rPr>
                <w:rFonts w:asciiTheme="minorHAnsi" w:hAnsiTheme="minorHAnsi" w:cstheme="minorHAnsi"/>
                <w:sz w:val="20"/>
                <w:szCs w:val="20"/>
                <w:lang w:val="fr-FR"/>
              </w:rPr>
              <w:t>ONDA</w:t>
            </w:r>
          </w:p>
        </w:tc>
        <w:tc>
          <w:tcPr>
            <w:tcW w:w="0" w:type="auto"/>
            <w:hideMark/>
          </w:tcPr>
          <w:p w14:paraId="62077B89" w14:textId="77777777" w:rsidR="00084DCB" w:rsidRPr="004637C7" w:rsidRDefault="00084DCB" w:rsidP="00084DCB">
            <w:pPr>
              <w:pStyle w:val="NormalWeb"/>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lang w:val="fr-FR"/>
              </w:rPr>
            </w:pPr>
            <w:r w:rsidRPr="004637C7">
              <w:rPr>
                <w:rFonts w:asciiTheme="minorHAnsi" w:hAnsiTheme="minorHAnsi" w:cstheme="minorHAnsi"/>
                <w:sz w:val="20"/>
                <w:szCs w:val="20"/>
                <w:lang w:val="fr-FR"/>
              </w:rPr>
              <w:t>Trimestriel</w:t>
            </w:r>
          </w:p>
        </w:tc>
        <w:tc>
          <w:tcPr>
            <w:tcW w:w="0" w:type="auto"/>
            <w:hideMark/>
          </w:tcPr>
          <w:p w14:paraId="0019AE3C" w14:textId="1FD892B0" w:rsidR="00084DCB" w:rsidRDefault="00E42410" w:rsidP="00084DCB">
            <w:pPr>
              <w:pStyle w:val="NormalWeb"/>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lang w:val="fr-FR"/>
              </w:rPr>
            </w:pPr>
            <w:r w:rsidRPr="00E42410">
              <w:rPr>
                <w:rFonts w:asciiTheme="minorHAnsi" w:hAnsiTheme="minorHAnsi" w:cstheme="minorHAnsi"/>
                <w:sz w:val="20"/>
                <w:szCs w:val="20"/>
                <w:lang w:val="fr-FR"/>
              </w:rPr>
              <w:t>≈ 24 000</w:t>
            </w:r>
            <w:r>
              <w:rPr>
                <w:rFonts w:asciiTheme="minorHAnsi" w:hAnsiTheme="minorHAnsi" w:cstheme="minorHAnsi"/>
                <w:sz w:val="20"/>
                <w:szCs w:val="20"/>
                <w:lang w:val="fr-FR"/>
              </w:rPr>
              <w:t xml:space="preserve"> MAD</w:t>
            </w:r>
            <w:r w:rsidRPr="00E42410">
              <w:rPr>
                <w:rFonts w:asciiTheme="minorHAnsi" w:hAnsiTheme="minorHAnsi" w:cstheme="minorHAnsi"/>
                <w:sz w:val="20"/>
                <w:szCs w:val="20"/>
                <w:lang w:val="fr-FR"/>
              </w:rPr>
              <w:t>/an</w:t>
            </w:r>
          </w:p>
          <w:p w14:paraId="541B346C" w14:textId="66C9C3AA" w:rsidR="00E42410" w:rsidRPr="004637C7" w:rsidRDefault="00E42410" w:rsidP="00084DCB">
            <w:pPr>
              <w:pStyle w:val="NormalWeb"/>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lang w:val="fr-FR"/>
              </w:rPr>
            </w:pPr>
            <w:r w:rsidRPr="00E42410">
              <w:rPr>
                <w:rFonts w:asciiTheme="minorHAnsi" w:hAnsiTheme="minorHAnsi" w:cstheme="minorHAnsi"/>
                <w:sz w:val="20"/>
                <w:szCs w:val="20"/>
                <w:lang w:val="fr-FR"/>
              </w:rPr>
              <w:t>Prestation externe : 1 500 MAD/unité/trimestre × 4 unités.</w:t>
            </w:r>
          </w:p>
        </w:tc>
      </w:tr>
      <w:tr w:rsidR="00F83970" w:rsidRPr="00084DCB" w14:paraId="7D837DDB" w14:textId="77777777" w:rsidTr="004637C7">
        <w:tc>
          <w:tcPr>
            <w:cnfStyle w:val="001000000000" w:firstRow="0" w:lastRow="0" w:firstColumn="1" w:lastColumn="0" w:oddVBand="0" w:evenVBand="0" w:oddHBand="0" w:evenHBand="0" w:firstRowFirstColumn="0" w:firstRowLastColumn="0" w:lastRowFirstColumn="0" w:lastRowLastColumn="0"/>
            <w:tcW w:w="0" w:type="auto"/>
            <w:vMerge/>
          </w:tcPr>
          <w:p w14:paraId="42ABD029" w14:textId="77777777" w:rsidR="00084DCB" w:rsidRPr="004637C7" w:rsidRDefault="00084DCB" w:rsidP="00084DCB">
            <w:pPr>
              <w:pStyle w:val="NormalWeb"/>
              <w:rPr>
                <w:rFonts w:asciiTheme="minorHAnsi" w:hAnsiTheme="minorHAnsi" w:cstheme="minorHAnsi"/>
                <w:b w:val="0"/>
                <w:bCs w:val="0"/>
                <w:sz w:val="20"/>
                <w:szCs w:val="20"/>
                <w:lang w:val="fr-FR"/>
              </w:rPr>
            </w:pPr>
          </w:p>
        </w:tc>
        <w:tc>
          <w:tcPr>
            <w:tcW w:w="1360" w:type="dxa"/>
            <w:hideMark/>
          </w:tcPr>
          <w:p w14:paraId="32357B19" w14:textId="43CA4AFE" w:rsidR="00084DCB" w:rsidRPr="004637C7" w:rsidRDefault="00084DCB" w:rsidP="00084DCB">
            <w:pPr>
              <w:pStyle w:val="NormalWeb"/>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lang w:val="fr-FR"/>
              </w:rPr>
            </w:pPr>
            <w:r w:rsidRPr="004637C7">
              <w:rPr>
                <w:rFonts w:asciiTheme="minorHAnsi" w:hAnsiTheme="minorHAnsi" w:cstheme="minorHAnsi"/>
                <w:b/>
                <w:bCs/>
                <w:sz w:val="20"/>
                <w:szCs w:val="20"/>
                <w:lang w:val="fr-FR"/>
              </w:rPr>
              <w:t>Atténuer</w:t>
            </w:r>
          </w:p>
        </w:tc>
        <w:tc>
          <w:tcPr>
            <w:tcW w:w="2837" w:type="dxa"/>
            <w:hideMark/>
          </w:tcPr>
          <w:p w14:paraId="48C02F92" w14:textId="4E744DE9" w:rsidR="00084DCB" w:rsidRPr="004637C7" w:rsidRDefault="00084DCB" w:rsidP="00084DCB">
            <w:pPr>
              <w:pStyle w:val="NormalWeb"/>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lang w:val="fr-FR"/>
              </w:rPr>
            </w:pPr>
            <w:r w:rsidRPr="004637C7">
              <w:rPr>
                <w:rFonts w:asciiTheme="minorHAnsi" w:hAnsiTheme="minorHAnsi" w:cstheme="minorHAnsi"/>
                <w:sz w:val="20"/>
                <w:szCs w:val="20"/>
                <w:lang w:val="fr-FR"/>
              </w:rPr>
              <w:t>Mettre en œuvre le plan d’urgence interne en cas de fuite (confinement, pompage).</w:t>
            </w:r>
          </w:p>
        </w:tc>
        <w:tc>
          <w:tcPr>
            <w:tcW w:w="0" w:type="auto"/>
            <w:hideMark/>
          </w:tcPr>
          <w:p w14:paraId="0FEDC471" w14:textId="77777777" w:rsidR="00084DCB" w:rsidRPr="004637C7" w:rsidRDefault="00084DCB" w:rsidP="00084DCB">
            <w:pPr>
              <w:pStyle w:val="NormalWeb"/>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lang w:val="fr-FR"/>
              </w:rPr>
            </w:pPr>
            <w:r w:rsidRPr="004637C7">
              <w:rPr>
                <w:rFonts w:asciiTheme="minorHAnsi" w:hAnsiTheme="minorHAnsi" w:cstheme="minorHAnsi"/>
                <w:sz w:val="20"/>
                <w:szCs w:val="20"/>
                <w:lang w:val="fr-FR"/>
              </w:rPr>
              <w:t>Temps de réponse / nb incidents</w:t>
            </w:r>
          </w:p>
        </w:tc>
        <w:tc>
          <w:tcPr>
            <w:tcW w:w="0" w:type="auto"/>
            <w:hideMark/>
          </w:tcPr>
          <w:p w14:paraId="2F95D2B5" w14:textId="77777777" w:rsidR="00084DCB" w:rsidRPr="004637C7" w:rsidRDefault="00084DCB" w:rsidP="00084DCB">
            <w:pPr>
              <w:pStyle w:val="NormalWeb"/>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lang w:val="fr-FR"/>
              </w:rPr>
            </w:pPr>
            <w:r w:rsidRPr="004637C7">
              <w:rPr>
                <w:rFonts w:asciiTheme="minorHAnsi" w:hAnsiTheme="minorHAnsi" w:cstheme="minorHAnsi"/>
                <w:sz w:val="20"/>
                <w:szCs w:val="20"/>
                <w:lang w:val="fr-FR"/>
              </w:rPr>
              <w:t>ONDA / Exploitant</w:t>
            </w:r>
          </w:p>
        </w:tc>
        <w:tc>
          <w:tcPr>
            <w:tcW w:w="0" w:type="auto"/>
            <w:hideMark/>
          </w:tcPr>
          <w:p w14:paraId="21C13150" w14:textId="77777777" w:rsidR="00084DCB" w:rsidRPr="004637C7" w:rsidRDefault="00084DCB" w:rsidP="00084DCB">
            <w:pPr>
              <w:pStyle w:val="NormalWeb"/>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lang w:val="fr-FR"/>
              </w:rPr>
            </w:pPr>
            <w:r w:rsidRPr="004637C7">
              <w:rPr>
                <w:rFonts w:asciiTheme="minorHAnsi" w:hAnsiTheme="minorHAnsi" w:cstheme="minorHAnsi"/>
                <w:sz w:val="20"/>
                <w:szCs w:val="20"/>
                <w:lang w:val="fr-FR"/>
              </w:rPr>
              <w:t>ONDA</w:t>
            </w:r>
          </w:p>
        </w:tc>
        <w:tc>
          <w:tcPr>
            <w:tcW w:w="0" w:type="auto"/>
            <w:hideMark/>
          </w:tcPr>
          <w:p w14:paraId="0B8D8F73" w14:textId="77777777" w:rsidR="00084DCB" w:rsidRPr="004637C7" w:rsidRDefault="00084DCB" w:rsidP="00084DCB">
            <w:pPr>
              <w:pStyle w:val="NormalWeb"/>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lang w:val="fr-FR"/>
              </w:rPr>
            </w:pPr>
            <w:r w:rsidRPr="004637C7">
              <w:rPr>
                <w:rFonts w:asciiTheme="minorHAnsi" w:hAnsiTheme="minorHAnsi" w:cstheme="minorHAnsi"/>
                <w:sz w:val="20"/>
                <w:szCs w:val="20"/>
                <w:lang w:val="fr-FR"/>
              </w:rPr>
              <w:t>ONDA</w:t>
            </w:r>
          </w:p>
        </w:tc>
        <w:tc>
          <w:tcPr>
            <w:tcW w:w="0" w:type="auto"/>
            <w:hideMark/>
          </w:tcPr>
          <w:p w14:paraId="50C4E9E5" w14:textId="77777777" w:rsidR="00084DCB" w:rsidRPr="004637C7" w:rsidRDefault="00084DCB" w:rsidP="00084DCB">
            <w:pPr>
              <w:pStyle w:val="NormalWeb"/>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lang w:val="fr-FR"/>
              </w:rPr>
            </w:pPr>
            <w:r w:rsidRPr="004637C7">
              <w:rPr>
                <w:rFonts w:asciiTheme="minorHAnsi" w:hAnsiTheme="minorHAnsi" w:cstheme="minorHAnsi"/>
                <w:sz w:val="20"/>
                <w:szCs w:val="20"/>
                <w:lang w:val="fr-FR"/>
              </w:rPr>
              <w:t>En continu</w:t>
            </w:r>
          </w:p>
        </w:tc>
        <w:tc>
          <w:tcPr>
            <w:tcW w:w="0" w:type="auto"/>
            <w:hideMark/>
          </w:tcPr>
          <w:p w14:paraId="2D4DDC18" w14:textId="52803B4F" w:rsidR="00084DCB" w:rsidRPr="004637C7" w:rsidRDefault="00E42410" w:rsidP="00084DCB">
            <w:pPr>
              <w:pStyle w:val="NormalWeb"/>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lang w:val="fr-FR"/>
              </w:rPr>
            </w:pPr>
            <w:r w:rsidRPr="00E42410">
              <w:rPr>
                <w:rFonts w:asciiTheme="minorHAnsi" w:hAnsiTheme="minorHAnsi" w:cstheme="minorHAnsi"/>
                <w:sz w:val="20"/>
                <w:szCs w:val="20"/>
                <w:lang w:val="fr-FR"/>
              </w:rPr>
              <w:t xml:space="preserve">≈ 5 000 </w:t>
            </w:r>
            <w:r>
              <w:rPr>
                <w:rFonts w:asciiTheme="minorHAnsi" w:hAnsiTheme="minorHAnsi" w:cstheme="minorHAnsi"/>
                <w:sz w:val="20"/>
                <w:szCs w:val="20"/>
                <w:lang w:val="fr-FR"/>
              </w:rPr>
              <w:t>MAD</w:t>
            </w:r>
            <w:r w:rsidRPr="00E42410">
              <w:rPr>
                <w:rFonts w:asciiTheme="minorHAnsi" w:hAnsiTheme="minorHAnsi" w:cstheme="minorHAnsi"/>
                <w:sz w:val="20"/>
                <w:szCs w:val="20"/>
                <w:lang w:val="fr-FR"/>
              </w:rPr>
              <w:t>/intervention</w:t>
            </w:r>
          </w:p>
        </w:tc>
      </w:tr>
      <w:tr w:rsidR="00F83970" w:rsidRPr="00084DCB" w14:paraId="273A146C" w14:textId="77777777" w:rsidTr="004637C7">
        <w:tc>
          <w:tcPr>
            <w:cnfStyle w:val="001000000000" w:firstRow="0" w:lastRow="0" w:firstColumn="1" w:lastColumn="0" w:oddVBand="0" w:evenVBand="0" w:oddHBand="0" w:evenHBand="0" w:firstRowFirstColumn="0" w:firstRowLastColumn="0" w:lastRowFirstColumn="0" w:lastRowLastColumn="0"/>
            <w:tcW w:w="0" w:type="auto"/>
            <w:vMerge/>
          </w:tcPr>
          <w:p w14:paraId="21E68EBE" w14:textId="77777777" w:rsidR="00084DCB" w:rsidRPr="004637C7" w:rsidRDefault="00084DCB" w:rsidP="00084DCB">
            <w:pPr>
              <w:pStyle w:val="NormalWeb"/>
              <w:rPr>
                <w:rFonts w:asciiTheme="minorHAnsi" w:hAnsiTheme="minorHAnsi" w:cstheme="minorHAnsi"/>
                <w:b w:val="0"/>
                <w:bCs w:val="0"/>
                <w:sz w:val="20"/>
                <w:szCs w:val="20"/>
                <w:lang w:val="fr-FR"/>
              </w:rPr>
            </w:pPr>
          </w:p>
        </w:tc>
        <w:tc>
          <w:tcPr>
            <w:tcW w:w="1360" w:type="dxa"/>
            <w:hideMark/>
          </w:tcPr>
          <w:p w14:paraId="12C3638E" w14:textId="545D7F39" w:rsidR="00084DCB" w:rsidRPr="004637C7" w:rsidRDefault="00084DCB" w:rsidP="00084DCB">
            <w:pPr>
              <w:pStyle w:val="NormalWeb"/>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lang w:val="fr-FR"/>
              </w:rPr>
            </w:pPr>
            <w:r w:rsidRPr="004637C7">
              <w:rPr>
                <w:rFonts w:asciiTheme="minorHAnsi" w:hAnsiTheme="minorHAnsi" w:cstheme="minorHAnsi"/>
                <w:b/>
                <w:bCs/>
                <w:sz w:val="20"/>
                <w:szCs w:val="20"/>
                <w:lang w:val="fr-FR"/>
              </w:rPr>
              <w:t>Compenser</w:t>
            </w:r>
          </w:p>
        </w:tc>
        <w:tc>
          <w:tcPr>
            <w:tcW w:w="2837" w:type="dxa"/>
            <w:hideMark/>
          </w:tcPr>
          <w:p w14:paraId="6CCEFC66" w14:textId="3E790B58" w:rsidR="00084DCB" w:rsidRPr="004637C7" w:rsidRDefault="00084DCB" w:rsidP="00084DCB">
            <w:pPr>
              <w:pStyle w:val="NormalWeb"/>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lang w:val="fr-FR"/>
              </w:rPr>
            </w:pPr>
            <w:r w:rsidRPr="004637C7">
              <w:rPr>
                <w:rFonts w:asciiTheme="minorHAnsi" w:hAnsiTheme="minorHAnsi" w:cstheme="minorHAnsi"/>
                <w:sz w:val="20"/>
                <w:szCs w:val="20"/>
                <w:lang w:val="fr-FR"/>
              </w:rPr>
              <w:t>Appliquer des mesures correctives immédiates en cas d’anomalie.</w:t>
            </w:r>
          </w:p>
        </w:tc>
        <w:tc>
          <w:tcPr>
            <w:tcW w:w="0" w:type="auto"/>
            <w:hideMark/>
          </w:tcPr>
          <w:p w14:paraId="5BB5CFA3" w14:textId="77777777" w:rsidR="00084DCB" w:rsidRPr="004637C7" w:rsidRDefault="00084DCB" w:rsidP="00084DCB">
            <w:pPr>
              <w:pStyle w:val="NormalWeb"/>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lang w:val="fr-FR"/>
              </w:rPr>
            </w:pPr>
            <w:r w:rsidRPr="004637C7">
              <w:rPr>
                <w:rFonts w:asciiTheme="minorHAnsi" w:hAnsiTheme="minorHAnsi" w:cstheme="minorHAnsi"/>
                <w:sz w:val="20"/>
                <w:szCs w:val="20"/>
                <w:lang w:val="fr-FR"/>
              </w:rPr>
              <w:t>Nombre d’analyses / conformité</w:t>
            </w:r>
          </w:p>
        </w:tc>
        <w:tc>
          <w:tcPr>
            <w:tcW w:w="0" w:type="auto"/>
            <w:hideMark/>
          </w:tcPr>
          <w:p w14:paraId="68EB8058" w14:textId="77777777" w:rsidR="00084DCB" w:rsidRPr="004637C7" w:rsidRDefault="00084DCB" w:rsidP="00084DCB">
            <w:pPr>
              <w:pStyle w:val="NormalWeb"/>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lang w:val="fr-FR"/>
              </w:rPr>
            </w:pPr>
            <w:r w:rsidRPr="004637C7">
              <w:rPr>
                <w:rFonts w:asciiTheme="minorHAnsi" w:hAnsiTheme="minorHAnsi" w:cstheme="minorHAnsi"/>
                <w:sz w:val="20"/>
                <w:szCs w:val="20"/>
                <w:lang w:val="fr-FR"/>
              </w:rPr>
              <w:t>ONDA / Exploitant</w:t>
            </w:r>
          </w:p>
        </w:tc>
        <w:tc>
          <w:tcPr>
            <w:tcW w:w="0" w:type="auto"/>
            <w:hideMark/>
          </w:tcPr>
          <w:p w14:paraId="2DA7B1E5" w14:textId="77777777" w:rsidR="00084DCB" w:rsidRPr="004637C7" w:rsidRDefault="00084DCB" w:rsidP="00084DCB">
            <w:pPr>
              <w:pStyle w:val="NormalWeb"/>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lang w:val="fr-FR"/>
              </w:rPr>
            </w:pPr>
            <w:r w:rsidRPr="004637C7">
              <w:rPr>
                <w:rFonts w:asciiTheme="minorHAnsi" w:hAnsiTheme="minorHAnsi" w:cstheme="minorHAnsi"/>
                <w:sz w:val="20"/>
                <w:szCs w:val="20"/>
                <w:lang w:val="fr-FR"/>
              </w:rPr>
              <w:t>ONDA</w:t>
            </w:r>
          </w:p>
        </w:tc>
        <w:tc>
          <w:tcPr>
            <w:tcW w:w="0" w:type="auto"/>
            <w:hideMark/>
          </w:tcPr>
          <w:p w14:paraId="156076AF" w14:textId="77777777" w:rsidR="00084DCB" w:rsidRPr="004637C7" w:rsidRDefault="00084DCB" w:rsidP="00084DCB">
            <w:pPr>
              <w:pStyle w:val="NormalWeb"/>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lang w:val="fr-FR"/>
              </w:rPr>
            </w:pPr>
            <w:r w:rsidRPr="004637C7">
              <w:rPr>
                <w:rFonts w:asciiTheme="minorHAnsi" w:hAnsiTheme="minorHAnsi" w:cstheme="minorHAnsi"/>
                <w:sz w:val="20"/>
                <w:szCs w:val="20"/>
                <w:lang w:val="fr-FR"/>
              </w:rPr>
              <w:t>ONDA</w:t>
            </w:r>
          </w:p>
        </w:tc>
        <w:tc>
          <w:tcPr>
            <w:tcW w:w="0" w:type="auto"/>
            <w:hideMark/>
          </w:tcPr>
          <w:p w14:paraId="30B5DEE8" w14:textId="77777777" w:rsidR="00084DCB" w:rsidRPr="004637C7" w:rsidRDefault="00084DCB" w:rsidP="00084DCB">
            <w:pPr>
              <w:pStyle w:val="NormalWeb"/>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lang w:val="fr-FR"/>
              </w:rPr>
            </w:pPr>
            <w:r w:rsidRPr="004637C7">
              <w:rPr>
                <w:rFonts w:asciiTheme="minorHAnsi" w:hAnsiTheme="minorHAnsi" w:cstheme="minorHAnsi"/>
                <w:sz w:val="20"/>
                <w:szCs w:val="20"/>
                <w:lang w:val="fr-FR"/>
              </w:rPr>
              <w:t>Annuel</w:t>
            </w:r>
          </w:p>
        </w:tc>
        <w:tc>
          <w:tcPr>
            <w:tcW w:w="0" w:type="auto"/>
            <w:hideMark/>
          </w:tcPr>
          <w:p w14:paraId="4C35411F" w14:textId="1C702995" w:rsidR="00084DCB" w:rsidRPr="004637C7" w:rsidRDefault="007F4F11" w:rsidP="00084DCB">
            <w:pPr>
              <w:pStyle w:val="NormalWeb"/>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lang w:val="fr-FR"/>
              </w:rPr>
            </w:pPr>
            <w:r w:rsidRPr="007F4F11">
              <w:rPr>
                <w:rFonts w:asciiTheme="minorHAnsi" w:hAnsiTheme="minorHAnsi" w:cstheme="minorHAnsi"/>
                <w:sz w:val="20"/>
                <w:szCs w:val="20"/>
                <w:lang w:val="fr-FR"/>
              </w:rPr>
              <w:t xml:space="preserve">≈ 10 000 </w:t>
            </w:r>
            <w:r>
              <w:rPr>
                <w:rFonts w:asciiTheme="minorHAnsi" w:hAnsiTheme="minorHAnsi" w:cstheme="minorHAnsi"/>
                <w:sz w:val="20"/>
                <w:szCs w:val="20"/>
                <w:lang w:val="fr-FR"/>
              </w:rPr>
              <w:t>MAD</w:t>
            </w:r>
            <w:r w:rsidRPr="007F4F11">
              <w:rPr>
                <w:rFonts w:asciiTheme="minorHAnsi" w:hAnsiTheme="minorHAnsi" w:cstheme="minorHAnsi"/>
                <w:sz w:val="20"/>
                <w:szCs w:val="20"/>
                <w:lang w:val="fr-FR"/>
              </w:rPr>
              <w:t>/an</w:t>
            </w:r>
          </w:p>
        </w:tc>
      </w:tr>
      <w:tr w:rsidR="00F83970" w:rsidRPr="00084DCB" w14:paraId="71130261" w14:textId="77777777" w:rsidTr="004637C7">
        <w:tc>
          <w:tcPr>
            <w:cnfStyle w:val="001000000000" w:firstRow="0" w:lastRow="0" w:firstColumn="1" w:lastColumn="0" w:oddVBand="0" w:evenVBand="0" w:oddHBand="0" w:evenHBand="0" w:firstRowFirstColumn="0" w:firstRowLastColumn="0" w:lastRowFirstColumn="0" w:lastRowLastColumn="0"/>
            <w:tcW w:w="0" w:type="auto"/>
            <w:vMerge w:val="restart"/>
          </w:tcPr>
          <w:p w14:paraId="61E30F6B" w14:textId="2ABD5A04" w:rsidR="00084DCB" w:rsidRPr="004637C7" w:rsidRDefault="00084DCB" w:rsidP="00084DCB">
            <w:pPr>
              <w:pStyle w:val="NormalWeb"/>
              <w:rPr>
                <w:rFonts w:asciiTheme="minorHAnsi" w:hAnsiTheme="minorHAnsi" w:cstheme="minorHAnsi"/>
                <w:sz w:val="20"/>
                <w:szCs w:val="20"/>
                <w:lang w:val="fr-FR"/>
              </w:rPr>
            </w:pPr>
            <w:r w:rsidRPr="00084DCB">
              <w:rPr>
                <w:rFonts w:asciiTheme="minorHAnsi" w:hAnsiTheme="minorHAnsi" w:cstheme="minorHAnsi"/>
                <w:sz w:val="20"/>
                <w:szCs w:val="20"/>
                <w:lang w:val="fr-FR"/>
              </w:rPr>
              <w:t>Pollution chronique des eaux souterraines</w:t>
            </w:r>
          </w:p>
        </w:tc>
        <w:tc>
          <w:tcPr>
            <w:tcW w:w="1360" w:type="dxa"/>
            <w:hideMark/>
          </w:tcPr>
          <w:p w14:paraId="19E3628E" w14:textId="1E9554CD" w:rsidR="00084DCB" w:rsidRPr="004637C7" w:rsidRDefault="00084DCB" w:rsidP="00084DCB">
            <w:pPr>
              <w:pStyle w:val="NormalWeb"/>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 w:val="20"/>
                <w:szCs w:val="20"/>
                <w:lang w:val="fr-FR"/>
              </w:rPr>
            </w:pPr>
            <w:r w:rsidRPr="004637C7">
              <w:rPr>
                <w:rFonts w:asciiTheme="minorHAnsi" w:hAnsiTheme="minorHAnsi" w:cstheme="minorHAnsi"/>
                <w:b/>
                <w:bCs/>
                <w:sz w:val="20"/>
                <w:szCs w:val="20"/>
                <w:lang w:val="fr-FR"/>
              </w:rPr>
              <w:t>Éviter</w:t>
            </w:r>
          </w:p>
        </w:tc>
        <w:tc>
          <w:tcPr>
            <w:tcW w:w="2837" w:type="dxa"/>
            <w:hideMark/>
          </w:tcPr>
          <w:p w14:paraId="4754CD04" w14:textId="77777777" w:rsidR="00F83970" w:rsidRDefault="00084DCB" w:rsidP="00084DCB">
            <w:pPr>
              <w:pStyle w:val="NormalWeb"/>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lang w:val="fr-FR"/>
              </w:rPr>
            </w:pPr>
            <w:r w:rsidRPr="004637C7">
              <w:rPr>
                <w:rFonts w:asciiTheme="minorHAnsi" w:hAnsiTheme="minorHAnsi" w:cstheme="minorHAnsi"/>
                <w:sz w:val="20"/>
                <w:szCs w:val="20"/>
                <w:lang w:val="fr-FR"/>
              </w:rPr>
              <w:t>Étanchéifier les aires de circulation et parkings avions.</w:t>
            </w:r>
          </w:p>
          <w:p w14:paraId="4348973C" w14:textId="23C49354" w:rsidR="00084DCB" w:rsidRPr="004637C7" w:rsidRDefault="00084DCB" w:rsidP="00084DCB">
            <w:pPr>
              <w:pStyle w:val="NormalWeb"/>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lang w:val="fr-FR"/>
              </w:rPr>
            </w:pPr>
            <w:r w:rsidRPr="004637C7">
              <w:rPr>
                <w:rFonts w:asciiTheme="minorHAnsi" w:hAnsiTheme="minorHAnsi" w:cstheme="minorHAnsi"/>
                <w:sz w:val="20"/>
                <w:szCs w:val="20"/>
                <w:lang w:val="fr-FR"/>
              </w:rPr>
              <w:t>Empêcher tout raccordement direct au réseau externe.</w:t>
            </w:r>
          </w:p>
        </w:tc>
        <w:tc>
          <w:tcPr>
            <w:tcW w:w="0" w:type="auto"/>
            <w:hideMark/>
          </w:tcPr>
          <w:p w14:paraId="52DEB4BC" w14:textId="77777777" w:rsidR="00084DCB" w:rsidRPr="004637C7" w:rsidRDefault="00084DCB" w:rsidP="00084DCB">
            <w:pPr>
              <w:pStyle w:val="NormalWeb"/>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lang w:val="fr-FR"/>
              </w:rPr>
            </w:pPr>
            <w:r w:rsidRPr="004637C7">
              <w:rPr>
                <w:rFonts w:asciiTheme="minorHAnsi" w:hAnsiTheme="minorHAnsi" w:cstheme="minorHAnsi"/>
                <w:sz w:val="20"/>
                <w:szCs w:val="20"/>
                <w:lang w:val="fr-FR"/>
              </w:rPr>
              <w:t>% d’aires étanches conformes</w:t>
            </w:r>
          </w:p>
        </w:tc>
        <w:tc>
          <w:tcPr>
            <w:tcW w:w="0" w:type="auto"/>
            <w:hideMark/>
          </w:tcPr>
          <w:p w14:paraId="44C86544" w14:textId="77777777" w:rsidR="00084DCB" w:rsidRPr="004637C7" w:rsidRDefault="00084DCB" w:rsidP="00084DCB">
            <w:pPr>
              <w:pStyle w:val="NormalWeb"/>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lang w:val="fr-FR"/>
              </w:rPr>
            </w:pPr>
            <w:r w:rsidRPr="004637C7">
              <w:rPr>
                <w:rFonts w:asciiTheme="minorHAnsi" w:hAnsiTheme="minorHAnsi" w:cstheme="minorHAnsi"/>
                <w:sz w:val="20"/>
                <w:szCs w:val="20"/>
                <w:lang w:val="fr-FR"/>
              </w:rPr>
              <w:t>ONDA / Exploitant</w:t>
            </w:r>
          </w:p>
        </w:tc>
        <w:tc>
          <w:tcPr>
            <w:tcW w:w="0" w:type="auto"/>
            <w:hideMark/>
          </w:tcPr>
          <w:p w14:paraId="56E1BACB" w14:textId="77777777" w:rsidR="00084DCB" w:rsidRPr="004637C7" w:rsidRDefault="00084DCB" w:rsidP="00084DCB">
            <w:pPr>
              <w:pStyle w:val="NormalWeb"/>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lang w:val="fr-FR"/>
              </w:rPr>
            </w:pPr>
            <w:r w:rsidRPr="004637C7">
              <w:rPr>
                <w:rFonts w:asciiTheme="minorHAnsi" w:hAnsiTheme="minorHAnsi" w:cstheme="minorHAnsi"/>
                <w:sz w:val="20"/>
                <w:szCs w:val="20"/>
                <w:lang w:val="fr-FR"/>
              </w:rPr>
              <w:t>ONDA</w:t>
            </w:r>
          </w:p>
        </w:tc>
        <w:tc>
          <w:tcPr>
            <w:tcW w:w="0" w:type="auto"/>
            <w:hideMark/>
          </w:tcPr>
          <w:p w14:paraId="2CC7D676" w14:textId="77777777" w:rsidR="00084DCB" w:rsidRPr="004637C7" w:rsidRDefault="00084DCB" w:rsidP="00084DCB">
            <w:pPr>
              <w:pStyle w:val="NormalWeb"/>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lang w:val="fr-FR"/>
              </w:rPr>
            </w:pPr>
            <w:r w:rsidRPr="004637C7">
              <w:rPr>
                <w:rFonts w:asciiTheme="minorHAnsi" w:hAnsiTheme="minorHAnsi" w:cstheme="minorHAnsi"/>
                <w:sz w:val="20"/>
                <w:szCs w:val="20"/>
                <w:lang w:val="fr-FR"/>
              </w:rPr>
              <w:t>ONDA</w:t>
            </w:r>
          </w:p>
        </w:tc>
        <w:tc>
          <w:tcPr>
            <w:tcW w:w="0" w:type="auto"/>
            <w:hideMark/>
          </w:tcPr>
          <w:p w14:paraId="097B491C" w14:textId="77777777" w:rsidR="00084DCB" w:rsidRPr="004637C7" w:rsidRDefault="00084DCB" w:rsidP="00084DCB">
            <w:pPr>
              <w:pStyle w:val="NormalWeb"/>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lang w:val="fr-FR"/>
              </w:rPr>
            </w:pPr>
            <w:r w:rsidRPr="004637C7">
              <w:rPr>
                <w:rFonts w:asciiTheme="minorHAnsi" w:hAnsiTheme="minorHAnsi" w:cstheme="minorHAnsi"/>
                <w:sz w:val="20"/>
                <w:szCs w:val="20"/>
                <w:lang w:val="fr-FR"/>
              </w:rPr>
              <w:t>Continue</w:t>
            </w:r>
          </w:p>
        </w:tc>
        <w:tc>
          <w:tcPr>
            <w:tcW w:w="0" w:type="auto"/>
            <w:hideMark/>
          </w:tcPr>
          <w:p w14:paraId="59B05B49" w14:textId="15F7F17A" w:rsidR="00084DCB" w:rsidRPr="004637C7" w:rsidRDefault="007C1FFA" w:rsidP="00084DCB">
            <w:pPr>
              <w:pStyle w:val="NormalWeb"/>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lang w:val="fr-FR"/>
              </w:rPr>
            </w:pPr>
            <w:r w:rsidRPr="007C1FFA">
              <w:rPr>
                <w:rFonts w:asciiTheme="minorHAnsi" w:hAnsiTheme="minorHAnsi" w:cstheme="minorHAnsi"/>
                <w:sz w:val="20"/>
                <w:szCs w:val="20"/>
                <w:lang w:val="fr-FR"/>
              </w:rPr>
              <w:t>Surcoût ≈ 2 % du lot VRD.</w:t>
            </w:r>
          </w:p>
        </w:tc>
      </w:tr>
      <w:tr w:rsidR="00F601C3" w:rsidRPr="00084DCB" w14:paraId="6A131CCB" w14:textId="77777777" w:rsidTr="00F601C3">
        <w:trPr>
          <w:trHeight w:val="293"/>
        </w:trPr>
        <w:tc>
          <w:tcPr>
            <w:cnfStyle w:val="001000000000" w:firstRow="0" w:lastRow="0" w:firstColumn="1" w:lastColumn="0" w:oddVBand="0" w:evenVBand="0" w:oddHBand="0" w:evenHBand="0" w:firstRowFirstColumn="0" w:firstRowLastColumn="0" w:lastRowFirstColumn="0" w:lastRowLastColumn="0"/>
            <w:tcW w:w="0" w:type="auto"/>
            <w:vMerge/>
          </w:tcPr>
          <w:p w14:paraId="6CFC13BE" w14:textId="77777777" w:rsidR="00F601C3" w:rsidRPr="004637C7" w:rsidRDefault="00F601C3" w:rsidP="00084DCB">
            <w:pPr>
              <w:pStyle w:val="NormalWeb"/>
              <w:rPr>
                <w:rFonts w:asciiTheme="minorHAnsi" w:hAnsiTheme="minorHAnsi" w:cstheme="minorHAnsi"/>
                <w:b w:val="0"/>
                <w:bCs w:val="0"/>
                <w:sz w:val="20"/>
                <w:szCs w:val="20"/>
                <w:lang w:val="fr-FR"/>
              </w:rPr>
            </w:pPr>
          </w:p>
        </w:tc>
        <w:tc>
          <w:tcPr>
            <w:tcW w:w="1360" w:type="dxa"/>
            <w:vMerge w:val="restart"/>
            <w:hideMark/>
          </w:tcPr>
          <w:p w14:paraId="018C0BA1" w14:textId="5ED358A1" w:rsidR="00F601C3" w:rsidRPr="004637C7" w:rsidRDefault="00F601C3" w:rsidP="00084DCB">
            <w:pPr>
              <w:pStyle w:val="NormalWeb"/>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 w:val="20"/>
                <w:szCs w:val="20"/>
                <w:lang w:val="fr-FR"/>
              </w:rPr>
            </w:pPr>
            <w:r w:rsidRPr="004637C7">
              <w:rPr>
                <w:rFonts w:asciiTheme="minorHAnsi" w:hAnsiTheme="minorHAnsi" w:cstheme="minorHAnsi"/>
                <w:b/>
                <w:bCs/>
                <w:sz w:val="20"/>
                <w:szCs w:val="20"/>
                <w:lang w:val="fr-FR"/>
              </w:rPr>
              <w:t>Réduire</w:t>
            </w:r>
          </w:p>
        </w:tc>
        <w:tc>
          <w:tcPr>
            <w:tcW w:w="2837" w:type="dxa"/>
            <w:tcBorders>
              <w:bottom w:val="single" w:sz="4" w:space="0" w:color="B4C6E7" w:themeColor="accent1" w:themeTint="66"/>
            </w:tcBorders>
            <w:hideMark/>
          </w:tcPr>
          <w:p w14:paraId="292CA9B0" w14:textId="77777777" w:rsidR="00F601C3" w:rsidRDefault="00F601C3" w:rsidP="00084DCB">
            <w:pPr>
              <w:pStyle w:val="NormalWeb"/>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lang w:val="fr-FR"/>
              </w:rPr>
            </w:pPr>
            <w:r w:rsidRPr="004637C7">
              <w:rPr>
                <w:rFonts w:asciiTheme="minorHAnsi" w:hAnsiTheme="minorHAnsi" w:cstheme="minorHAnsi"/>
                <w:sz w:val="20"/>
                <w:szCs w:val="20"/>
                <w:lang w:val="fr-FR"/>
              </w:rPr>
              <w:t>Installer des séparateurs d’hydrocarbures et bassins de décantation.</w:t>
            </w:r>
          </w:p>
          <w:p w14:paraId="74A6C746" w14:textId="118D3D02" w:rsidR="00F601C3" w:rsidRPr="004637C7" w:rsidRDefault="00F601C3" w:rsidP="00084DCB">
            <w:pPr>
              <w:pStyle w:val="NormalWeb"/>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lang w:val="fr-FR"/>
              </w:rPr>
            </w:pPr>
          </w:p>
        </w:tc>
        <w:tc>
          <w:tcPr>
            <w:tcW w:w="0" w:type="auto"/>
            <w:vMerge w:val="restart"/>
            <w:hideMark/>
          </w:tcPr>
          <w:p w14:paraId="3D37B394" w14:textId="77777777" w:rsidR="00F601C3" w:rsidRPr="004637C7" w:rsidRDefault="00F601C3" w:rsidP="00084DCB">
            <w:pPr>
              <w:pStyle w:val="NormalWeb"/>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lang w:val="fr-FR"/>
              </w:rPr>
            </w:pPr>
            <w:r w:rsidRPr="004637C7">
              <w:rPr>
                <w:rFonts w:asciiTheme="minorHAnsi" w:hAnsiTheme="minorHAnsi" w:cstheme="minorHAnsi"/>
                <w:sz w:val="20"/>
                <w:szCs w:val="20"/>
                <w:lang w:val="fr-FR"/>
              </w:rPr>
              <w:t>Fréquence de nettoyage / maintenance</w:t>
            </w:r>
          </w:p>
        </w:tc>
        <w:tc>
          <w:tcPr>
            <w:tcW w:w="0" w:type="auto"/>
            <w:vMerge w:val="restart"/>
            <w:hideMark/>
          </w:tcPr>
          <w:p w14:paraId="1CF11068" w14:textId="77777777" w:rsidR="00F601C3" w:rsidRPr="004637C7" w:rsidRDefault="00F601C3" w:rsidP="00084DCB">
            <w:pPr>
              <w:pStyle w:val="NormalWeb"/>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lang w:val="fr-FR"/>
              </w:rPr>
            </w:pPr>
            <w:r w:rsidRPr="004637C7">
              <w:rPr>
                <w:rFonts w:asciiTheme="minorHAnsi" w:hAnsiTheme="minorHAnsi" w:cstheme="minorHAnsi"/>
                <w:sz w:val="20"/>
                <w:szCs w:val="20"/>
                <w:lang w:val="fr-FR"/>
              </w:rPr>
              <w:t>ONDA / Exploitant</w:t>
            </w:r>
          </w:p>
        </w:tc>
        <w:tc>
          <w:tcPr>
            <w:tcW w:w="0" w:type="auto"/>
            <w:vMerge w:val="restart"/>
            <w:hideMark/>
          </w:tcPr>
          <w:p w14:paraId="670F1EE0" w14:textId="77777777" w:rsidR="00F601C3" w:rsidRPr="004637C7" w:rsidRDefault="00F601C3" w:rsidP="00084DCB">
            <w:pPr>
              <w:pStyle w:val="NormalWeb"/>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lang w:val="fr-FR"/>
              </w:rPr>
            </w:pPr>
            <w:r w:rsidRPr="004637C7">
              <w:rPr>
                <w:rFonts w:asciiTheme="minorHAnsi" w:hAnsiTheme="minorHAnsi" w:cstheme="minorHAnsi"/>
                <w:sz w:val="20"/>
                <w:szCs w:val="20"/>
                <w:lang w:val="fr-FR"/>
              </w:rPr>
              <w:t>ONDA</w:t>
            </w:r>
          </w:p>
        </w:tc>
        <w:tc>
          <w:tcPr>
            <w:tcW w:w="0" w:type="auto"/>
            <w:vMerge w:val="restart"/>
            <w:hideMark/>
          </w:tcPr>
          <w:p w14:paraId="4A2060F3" w14:textId="77777777" w:rsidR="00F601C3" w:rsidRPr="004637C7" w:rsidRDefault="00F601C3" w:rsidP="00084DCB">
            <w:pPr>
              <w:pStyle w:val="NormalWeb"/>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lang w:val="fr-FR"/>
              </w:rPr>
            </w:pPr>
            <w:r w:rsidRPr="004637C7">
              <w:rPr>
                <w:rFonts w:asciiTheme="minorHAnsi" w:hAnsiTheme="minorHAnsi" w:cstheme="minorHAnsi"/>
                <w:sz w:val="20"/>
                <w:szCs w:val="20"/>
                <w:lang w:val="fr-FR"/>
              </w:rPr>
              <w:t>ONDA</w:t>
            </w:r>
          </w:p>
        </w:tc>
        <w:tc>
          <w:tcPr>
            <w:tcW w:w="0" w:type="auto"/>
            <w:vMerge w:val="restart"/>
            <w:hideMark/>
          </w:tcPr>
          <w:p w14:paraId="5734217E" w14:textId="77777777" w:rsidR="00F601C3" w:rsidRPr="004637C7" w:rsidRDefault="00F601C3" w:rsidP="00084DCB">
            <w:pPr>
              <w:pStyle w:val="NormalWeb"/>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lang w:val="fr-FR"/>
              </w:rPr>
            </w:pPr>
            <w:r w:rsidRPr="004637C7">
              <w:rPr>
                <w:rFonts w:asciiTheme="minorHAnsi" w:hAnsiTheme="minorHAnsi" w:cstheme="minorHAnsi"/>
                <w:sz w:val="20"/>
                <w:szCs w:val="20"/>
                <w:lang w:val="fr-FR"/>
              </w:rPr>
              <w:t>Mensuel</w:t>
            </w:r>
          </w:p>
        </w:tc>
        <w:tc>
          <w:tcPr>
            <w:tcW w:w="0" w:type="auto"/>
            <w:tcBorders>
              <w:bottom w:val="single" w:sz="4" w:space="0" w:color="B4C6E7" w:themeColor="accent1" w:themeTint="66"/>
            </w:tcBorders>
            <w:hideMark/>
          </w:tcPr>
          <w:p w14:paraId="05F5C91A" w14:textId="63F79F93" w:rsidR="00F601C3" w:rsidRPr="004637C7" w:rsidRDefault="007C1FFA" w:rsidP="00084DCB">
            <w:pPr>
              <w:pStyle w:val="NormalWeb"/>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lang w:val="fr-FR"/>
              </w:rPr>
            </w:pPr>
            <w:r w:rsidRPr="007F4F11">
              <w:rPr>
                <w:rFonts w:asciiTheme="minorHAnsi" w:hAnsiTheme="minorHAnsi" w:cstheme="minorHAnsi"/>
                <w:sz w:val="20"/>
                <w:szCs w:val="20"/>
                <w:lang w:val="fr-FR"/>
              </w:rPr>
              <w:t>≈</w:t>
            </w:r>
            <w:r w:rsidR="00F601C3">
              <w:rPr>
                <w:rFonts w:asciiTheme="minorHAnsi" w:hAnsiTheme="minorHAnsi" w:cstheme="minorHAnsi"/>
                <w:sz w:val="20"/>
                <w:szCs w:val="20"/>
                <w:lang w:val="fr-FR"/>
              </w:rPr>
              <w:t xml:space="preserve">75000 MAD (1 </w:t>
            </w:r>
            <w:r w:rsidR="00F601C3" w:rsidRPr="00F601C3">
              <w:rPr>
                <w:rFonts w:asciiTheme="minorHAnsi" w:hAnsiTheme="minorHAnsi" w:cstheme="minorHAnsi"/>
                <w:sz w:val="20"/>
                <w:szCs w:val="20"/>
                <w:lang w:val="fr-FR"/>
              </w:rPr>
              <w:t>séparateur +  bassins 10 m³.</w:t>
            </w:r>
          </w:p>
        </w:tc>
      </w:tr>
      <w:tr w:rsidR="00F601C3" w:rsidRPr="00084DCB" w14:paraId="3ADCBBB8" w14:textId="77777777" w:rsidTr="00F601C3">
        <w:trPr>
          <w:trHeight w:val="680"/>
        </w:trPr>
        <w:tc>
          <w:tcPr>
            <w:cnfStyle w:val="001000000000" w:firstRow="0" w:lastRow="0" w:firstColumn="1" w:lastColumn="0" w:oddVBand="0" w:evenVBand="0" w:oddHBand="0" w:evenHBand="0" w:firstRowFirstColumn="0" w:firstRowLastColumn="0" w:lastRowFirstColumn="0" w:lastRowLastColumn="0"/>
            <w:tcW w:w="0" w:type="auto"/>
            <w:vMerge/>
          </w:tcPr>
          <w:p w14:paraId="0A52E645" w14:textId="77777777" w:rsidR="00F601C3" w:rsidRPr="004637C7" w:rsidRDefault="00F601C3" w:rsidP="00084DCB">
            <w:pPr>
              <w:pStyle w:val="NormalWeb"/>
              <w:rPr>
                <w:rFonts w:asciiTheme="minorHAnsi" w:hAnsiTheme="minorHAnsi" w:cstheme="minorHAnsi"/>
                <w:b w:val="0"/>
                <w:bCs w:val="0"/>
                <w:sz w:val="20"/>
                <w:szCs w:val="20"/>
                <w:lang w:val="fr-FR"/>
              </w:rPr>
            </w:pPr>
          </w:p>
        </w:tc>
        <w:tc>
          <w:tcPr>
            <w:tcW w:w="1360" w:type="dxa"/>
            <w:vMerge/>
          </w:tcPr>
          <w:p w14:paraId="2958A3B5" w14:textId="77777777" w:rsidR="00F601C3" w:rsidRPr="004637C7" w:rsidRDefault="00F601C3" w:rsidP="00084DCB">
            <w:pPr>
              <w:pStyle w:val="NormalWeb"/>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 w:val="20"/>
                <w:szCs w:val="20"/>
                <w:lang w:val="fr-FR"/>
              </w:rPr>
            </w:pPr>
          </w:p>
        </w:tc>
        <w:tc>
          <w:tcPr>
            <w:tcW w:w="2837" w:type="dxa"/>
            <w:tcBorders>
              <w:top w:val="single" w:sz="4" w:space="0" w:color="B4C6E7" w:themeColor="accent1" w:themeTint="66"/>
            </w:tcBorders>
          </w:tcPr>
          <w:p w14:paraId="488D2AE6" w14:textId="77777777" w:rsidR="00F601C3" w:rsidRPr="004637C7" w:rsidRDefault="00F601C3" w:rsidP="00F601C3">
            <w:pPr>
              <w:pStyle w:val="NormalWeb"/>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lang w:val="fr-FR"/>
              </w:rPr>
            </w:pPr>
            <w:r w:rsidRPr="004637C7">
              <w:rPr>
                <w:rFonts w:asciiTheme="minorHAnsi" w:hAnsiTheme="minorHAnsi" w:cstheme="minorHAnsi"/>
                <w:sz w:val="20"/>
                <w:szCs w:val="20"/>
                <w:lang w:val="fr-FR"/>
              </w:rPr>
              <w:t>Nettoyer périodiquement les surfaces imperméabilisées.</w:t>
            </w:r>
          </w:p>
        </w:tc>
        <w:tc>
          <w:tcPr>
            <w:tcW w:w="0" w:type="auto"/>
            <w:vMerge/>
          </w:tcPr>
          <w:p w14:paraId="6AB392B8" w14:textId="77777777" w:rsidR="00F601C3" w:rsidRPr="004637C7" w:rsidRDefault="00F601C3" w:rsidP="00084DCB">
            <w:pPr>
              <w:pStyle w:val="NormalWeb"/>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lang w:val="fr-FR"/>
              </w:rPr>
            </w:pPr>
          </w:p>
        </w:tc>
        <w:tc>
          <w:tcPr>
            <w:tcW w:w="0" w:type="auto"/>
            <w:vMerge/>
          </w:tcPr>
          <w:p w14:paraId="06107C88" w14:textId="77777777" w:rsidR="00F601C3" w:rsidRPr="004637C7" w:rsidRDefault="00F601C3" w:rsidP="00084DCB">
            <w:pPr>
              <w:pStyle w:val="NormalWeb"/>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lang w:val="fr-FR"/>
              </w:rPr>
            </w:pPr>
          </w:p>
        </w:tc>
        <w:tc>
          <w:tcPr>
            <w:tcW w:w="0" w:type="auto"/>
            <w:vMerge/>
          </w:tcPr>
          <w:p w14:paraId="41861F29" w14:textId="77777777" w:rsidR="00F601C3" w:rsidRPr="004637C7" w:rsidRDefault="00F601C3" w:rsidP="00084DCB">
            <w:pPr>
              <w:pStyle w:val="NormalWeb"/>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lang w:val="fr-FR"/>
              </w:rPr>
            </w:pPr>
          </w:p>
        </w:tc>
        <w:tc>
          <w:tcPr>
            <w:tcW w:w="0" w:type="auto"/>
            <w:vMerge/>
          </w:tcPr>
          <w:p w14:paraId="516632BF" w14:textId="77777777" w:rsidR="00F601C3" w:rsidRPr="004637C7" w:rsidRDefault="00F601C3" w:rsidP="00084DCB">
            <w:pPr>
              <w:pStyle w:val="NormalWeb"/>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lang w:val="fr-FR"/>
              </w:rPr>
            </w:pPr>
          </w:p>
        </w:tc>
        <w:tc>
          <w:tcPr>
            <w:tcW w:w="0" w:type="auto"/>
            <w:vMerge/>
          </w:tcPr>
          <w:p w14:paraId="58B5B4D5" w14:textId="77777777" w:rsidR="00F601C3" w:rsidRPr="004637C7" w:rsidRDefault="00F601C3" w:rsidP="00084DCB">
            <w:pPr>
              <w:pStyle w:val="NormalWeb"/>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lang w:val="fr-FR"/>
              </w:rPr>
            </w:pPr>
          </w:p>
        </w:tc>
        <w:tc>
          <w:tcPr>
            <w:tcW w:w="0" w:type="auto"/>
            <w:tcBorders>
              <w:top w:val="single" w:sz="4" w:space="0" w:color="B4C6E7" w:themeColor="accent1" w:themeTint="66"/>
            </w:tcBorders>
          </w:tcPr>
          <w:p w14:paraId="47890028" w14:textId="77777777" w:rsidR="00F601C3" w:rsidRDefault="00F601C3" w:rsidP="00084DCB">
            <w:pPr>
              <w:pStyle w:val="NormalWeb"/>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lang w:val="fr-FR"/>
              </w:rPr>
            </w:pPr>
            <w:r w:rsidRPr="00F601C3">
              <w:rPr>
                <w:rFonts w:asciiTheme="minorHAnsi" w:hAnsiTheme="minorHAnsi" w:cstheme="minorHAnsi"/>
                <w:sz w:val="20"/>
                <w:szCs w:val="20"/>
                <w:lang w:val="fr-FR"/>
              </w:rPr>
              <w:t>≈ 24 000 /an</w:t>
            </w:r>
          </w:p>
          <w:p w14:paraId="4DE73B5A" w14:textId="47DB6A47" w:rsidR="00F601C3" w:rsidRPr="003E3DFB" w:rsidRDefault="00F601C3" w:rsidP="00084DCB">
            <w:pPr>
              <w:pStyle w:val="NormalWeb"/>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lang w:val="fr-FR"/>
              </w:rPr>
            </w:pPr>
            <w:r w:rsidRPr="00F601C3">
              <w:rPr>
                <w:rFonts w:asciiTheme="minorHAnsi" w:hAnsiTheme="minorHAnsi" w:cstheme="minorHAnsi"/>
                <w:sz w:val="20"/>
                <w:szCs w:val="20"/>
                <w:lang w:val="fr-FR"/>
              </w:rPr>
              <w:t>2 passages/mois × 1 000 MAD.</w:t>
            </w:r>
          </w:p>
        </w:tc>
      </w:tr>
      <w:tr w:rsidR="00F83970" w:rsidRPr="00084DCB" w14:paraId="22ADEE35" w14:textId="77777777" w:rsidTr="004637C7">
        <w:tc>
          <w:tcPr>
            <w:cnfStyle w:val="001000000000" w:firstRow="0" w:lastRow="0" w:firstColumn="1" w:lastColumn="0" w:oddVBand="0" w:evenVBand="0" w:oddHBand="0" w:evenHBand="0" w:firstRowFirstColumn="0" w:firstRowLastColumn="0" w:lastRowFirstColumn="0" w:lastRowLastColumn="0"/>
            <w:tcW w:w="0" w:type="auto"/>
            <w:vMerge/>
          </w:tcPr>
          <w:p w14:paraId="593C27FF" w14:textId="77777777" w:rsidR="00084DCB" w:rsidRPr="004637C7" w:rsidRDefault="00084DCB" w:rsidP="00084DCB">
            <w:pPr>
              <w:pStyle w:val="NormalWeb"/>
              <w:rPr>
                <w:rFonts w:asciiTheme="minorHAnsi" w:hAnsiTheme="minorHAnsi" w:cstheme="minorHAnsi"/>
                <w:b w:val="0"/>
                <w:bCs w:val="0"/>
                <w:sz w:val="20"/>
                <w:szCs w:val="20"/>
                <w:lang w:val="fr-FR"/>
              </w:rPr>
            </w:pPr>
          </w:p>
        </w:tc>
        <w:tc>
          <w:tcPr>
            <w:tcW w:w="1360" w:type="dxa"/>
            <w:hideMark/>
          </w:tcPr>
          <w:p w14:paraId="76BB3AD7" w14:textId="369A51AD" w:rsidR="00084DCB" w:rsidRPr="004637C7" w:rsidRDefault="00084DCB" w:rsidP="00084DCB">
            <w:pPr>
              <w:pStyle w:val="NormalWeb"/>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 w:val="20"/>
                <w:szCs w:val="20"/>
                <w:lang w:val="fr-FR"/>
              </w:rPr>
            </w:pPr>
            <w:r w:rsidRPr="004637C7">
              <w:rPr>
                <w:rFonts w:asciiTheme="minorHAnsi" w:hAnsiTheme="minorHAnsi" w:cstheme="minorHAnsi"/>
                <w:b/>
                <w:bCs/>
                <w:sz w:val="20"/>
                <w:szCs w:val="20"/>
                <w:lang w:val="fr-FR"/>
              </w:rPr>
              <w:t>Compenser</w:t>
            </w:r>
          </w:p>
        </w:tc>
        <w:tc>
          <w:tcPr>
            <w:tcW w:w="2837" w:type="dxa"/>
            <w:hideMark/>
          </w:tcPr>
          <w:p w14:paraId="07CD3089" w14:textId="74D60144" w:rsidR="00084DCB" w:rsidRPr="004637C7" w:rsidRDefault="00084DCB" w:rsidP="00084DCB">
            <w:pPr>
              <w:pStyle w:val="NormalWeb"/>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lang w:val="fr-FR"/>
              </w:rPr>
            </w:pPr>
            <w:r w:rsidRPr="004637C7">
              <w:rPr>
                <w:rFonts w:asciiTheme="minorHAnsi" w:hAnsiTheme="minorHAnsi" w:cstheme="minorHAnsi"/>
                <w:sz w:val="20"/>
                <w:szCs w:val="20"/>
                <w:lang w:val="fr-FR"/>
              </w:rPr>
              <w:t>Créer des bandes végétalisées d’infiltration et zones tampons.</w:t>
            </w:r>
          </w:p>
        </w:tc>
        <w:tc>
          <w:tcPr>
            <w:tcW w:w="0" w:type="auto"/>
            <w:hideMark/>
          </w:tcPr>
          <w:p w14:paraId="65CBB6EF" w14:textId="77777777" w:rsidR="00084DCB" w:rsidRPr="004637C7" w:rsidRDefault="00084DCB" w:rsidP="00084DCB">
            <w:pPr>
              <w:pStyle w:val="NormalWeb"/>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lang w:val="fr-FR"/>
              </w:rPr>
            </w:pPr>
            <w:r w:rsidRPr="004637C7">
              <w:rPr>
                <w:rFonts w:asciiTheme="minorHAnsi" w:hAnsiTheme="minorHAnsi" w:cstheme="minorHAnsi"/>
                <w:sz w:val="20"/>
                <w:szCs w:val="20"/>
                <w:lang w:val="fr-FR"/>
              </w:rPr>
              <w:t>Surface aménagée (m²)</w:t>
            </w:r>
          </w:p>
        </w:tc>
        <w:tc>
          <w:tcPr>
            <w:tcW w:w="0" w:type="auto"/>
            <w:hideMark/>
          </w:tcPr>
          <w:p w14:paraId="5335CD62" w14:textId="77777777" w:rsidR="00084DCB" w:rsidRPr="004637C7" w:rsidRDefault="00084DCB" w:rsidP="00084DCB">
            <w:pPr>
              <w:pStyle w:val="NormalWeb"/>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lang w:val="fr-FR"/>
              </w:rPr>
            </w:pPr>
            <w:r w:rsidRPr="004637C7">
              <w:rPr>
                <w:rFonts w:asciiTheme="minorHAnsi" w:hAnsiTheme="minorHAnsi" w:cstheme="minorHAnsi"/>
                <w:sz w:val="20"/>
                <w:szCs w:val="20"/>
                <w:lang w:val="fr-FR"/>
              </w:rPr>
              <w:t>ONDA / Exploitant</w:t>
            </w:r>
          </w:p>
        </w:tc>
        <w:tc>
          <w:tcPr>
            <w:tcW w:w="0" w:type="auto"/>
            <w:hideMark/>
          </w:tcPr>
          <w:p w14:paraId="52150B48" w14:textId="77777777" w:rsidR="00084DCB" w:rsidRPr="004637C7" w:rsidRDefault="00084DCB" w:rsidP="00084DCB">
            <w:pPr>
              <w:pStyle w:val="NormalWeb"/>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lang w:val="fr-FR"/>
              </w:rPr>
            </w:pPr>
            <w:r w:rsidRPr="004637C7">
              <w:rPr>
                <w:rFonts w:asciiTheme="minorHAnsi" w:hAnsiTheme="minorHAnsi" w:cstheme="minorHAnsi"/>
                <w:sz w:val="20"/>
                <w:szCs w:val="20"/>
                <w:lang w:val="fr-FR"/>
              </w:rPr>
              <w:t>ONDA</w:t>
            </w:r>
          </w:p>
        </w:tc>
        <w:tc>
          <w:tcPr>
            <w:tcW w:w="0" w:type="auto"/>
            <w:hideMark/>
          </w:tcPr>
          <w:p w14:paraId="0C5EAB77" w14:textId="77777777" w:rsidR="00084DCB" w:rsidRPr="004637C7" w:rsidRDefault="00084DCB" w:rsidP="00084DCB">
            <w:pPr>
              <w:pStyle w:val="NormalWeb"/>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lang w:val="fr-FR"/>
              </w:rPr>
            </w:pPr>
            <w:r w:rsidRPr="004637C7">
              <w:rPr>
                <w:rFonts w:asciiTheme="minorHAnsi" w:hAnsiTheme="minorHAnsi" w:cstheme="minorHAnsi"/>
                <w:sz w:val="20"/>
                <w:szCs w:val="20"/>
                <w:lang w:val="fr-FR"/>
              </w:rPr>
              <w:t>ONDA</w:t>
            </w:r>
          </w:p>
        </w:tc>
        <w:tc>
          <w:tcPr>
            <w:tcW w:w="0" w:type="auto"/>
            <w:hideMark/>
          </w:tcPr>
          <w:p w14:paraId="26E4B3B2" w14:textId="77777777" w:rsidR="00084DCB" w:rsidRPr="004637C7" w:rsidRDefault="00084DCB" w:rsidP="00084DCB">
            <w:pPr>
              <w:pStyle w:val="NormalWeb"/>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lang w:val="fr-FR"/>
              </w:rPr>
            </w:pPr>
            <w:r w:rsidRPr="004637C7">
              <w:rPr>
                <w:rFonts w:asciiTheme="minorHAnsi" w:hAnsiTheme="minorHAnsi" w:cstheme="minorHAnsi"/>
                <w:sz w:val="20"/>
                <w:szCs w:val="20"/>
                <w:lang w:val="fr-FR"/>
              </w:rPr>
              <w:t>Après mise en service</w:t>
            </w:r>
          </w:p>
        </w:tc>
        <w:tc>
          <w:tcPr>
            <w:tcW w:w="0" w:type="auto"/>
            <w:hideMark/>
          </w:tcPr>
          <w:p w14:paraId="2ECE87BC" w14:textId="2DB1A478" w:rsidR="00084DCB" w:rsidRPr="004637C7" w:rsidRDefault="00087DC2" w:rsidP="00084DCB">
            <w:pPr>
              <w:pStyle w:val="NormalWeb"/>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lang w:val="fr-FR"/>
              </w:rPr>
            </w:pPr>
            <w:r w:rsidRPr="00087DC2">
              <w:rPr>
                <w:rFonts w:asciiTheme="minorHAnsi" w:hAnsiTheme="minorHAnsi" w:cstheme="minorHAnsi"/>
                <w:sz w:val="20"/>
                <w:szCs w:val="20"/>
                <w:lang w:val="fr-FR"/>
              </w:rPr>
              <w:t>120 MAD/ml.</w:t>
            </w:r>
          </w:p>
        </w:tc>
      </w:tr>
      <w:tr w:rsidR="004D1BD2" w:rsidRPr="00084DCB" w14:paraId="330CA34F" w14:textId="77777777" w:rsidTr="004637C7">
        <w:tc>
          <w:tcPr>
            <w:cnfStyle w:val="001000000000" w:firstRow="0" w:lastRow="0" w:firstColumn="1" w:lastColumn="0" w:oddVBand="0" w:evenVBand="0" w:oddHBand="0" w:evenHBand="0" w:firstRowFirstColumn="0" w:firstRowLastColumn="0" w:lastRowFirstColumn="0" w:lastRowLastColumn="0"/>
            <w:tcW w:w="0" w:type="auto"/>
            <w:vMerge w:val="restart"/>
          </w:tcPr>
          <w:p w14:paraId="7745F3B1" w14:textId="2C3731EB" w:rsidR="004D1BD2" w:rsidRPr="004637C7" w:rsidRDefault="004D1BD2" w:rsidP="00084DCB">
            <w:pPr>
              <w:pStyle w:val="NormalWeb"/>
              <w:rPr>
                <w:rFonts w:asciiTheme="minorHAnsi" w:hAnsiTheme="minorHAnsi" w:cstheme="minorHAnsi"/>
                <w:sz w:val="20"/>
                <w:szCs w:val="20"/>
                <w:lang w:val="fr-FR"/>
              </w:rPr>
            </w:pPr>
            <w:r w:rsidRPr="00084DCB">
              <w:rPr>
                <w:rFonts w:asciiTheme="minorHAnsi" w:hAnsiTheme="minorHAnsi" w:cstheme="minorHAnsi"/>
                <w:sz w:val="20"/>
                <w:szCs w:val="20"/>
                <w:lang w:val="fr-FR"/>
              </w:rPr>
              <w:t xml:space="preserve">Risque de fuite accidentelle d’hydrocarbures ou de carburants et contamination de la nappe du </w:t>
            </w:r>
            <w:r w:rsidR="006C4857">
              <w:rPr>
                <w:rFonts w:asciiTheme="minorHAnsi" w:hAnsiTheme="minorHAnsi" w:cstheme="minorHAnsi"/>
                <w:sz w:val="20"/>
                <w:szCs w:val="20"/>
                <w:lang w:val="fr-FR"/>
              </w:rPr>
              <w:t>Haouz</w:t>
            </w:r>
          </w:p>
        </w:tc>
        <w:tc>
          <w:tcPr>
            <w:tcW w:w="1360" w:type="dxa"/>
            <w:hideMark/>
          </w:tcPr>
          <w:p w14:paraId="2E5D2FB5" w14:textId="744ADE7A" w:rsidR="004D1BD2" w:rsidRPr="004637C7" w:rsidRDefault="004D1BD2" w:rsidP="00084DCB">
            <w:pPr>
              <w:pStyle w:val="NormalWeb"/>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 w:val="20"/>
                <w:szCs w:val="20"/>
                <w:lang w:val="fr-FR"/>
              </w:rPr>
            </w:pPr>
            <w:r w:rsidRPr="004637C7">
              <w:rPr>
                <w:rFonts w:asciiTheme="minorHAnsi" w:hAnsiTheme="minorHAnsi" w:cstheme="minorHAnsi"/>
                <w:b/>
                <w:bCs/>
                <w:sz w:val="20"/>
                <w:szCs w:val="20"/>
                <w:lang w:val="fr-FR"/>
              </w:rPr>
              <w:t>Éviter</w:t>
            </w:r>
          </w:p>
        </w:tc>
        <w:tc>
          <w:tcPr>
            <w:tcW w:w="2837" w:type="dxa"/>
            <w:hideMark/>
          </w:tcPr>
          <w:p w14:paraId="296BCCCC" w14:textId="77777777" w:rsidR="004D1BD2" w:rsidRDefault="004D1BD2" w:rsidP="00084DCB">
            <w:pPr>
              <w:pStyle w:val="NormalWeb"/>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lang w:val="fr-FR"/>
              </w:rPr>
            </w:pPr>
            <w:r w:rsidRPr="004637C7">
              <w:rPr>
                <w:rFonts w:asciiTheme="minorHAnsi" w:hAnsiTheme="minorHAnsi" w:cstheme="minorHAnsi"/>
                <w:sz w:val="20"/>
                <w:szCs w:val="20"/>
                <w:lang w:val="fr-FR"/>
              </w:rPr>
              <w:t>Inspecter quotidiennement les installations de ravitaillement.</w:t>
            </w:r>
          </w:p>
          <w:p w14:paraId="47FBF3B7" w14:textId="465E4437" w:rsidR="004D1BD2" w:rsidRPr="004637C7" w:rsidRDefault="004D1BD2" w:rsidP="00084DCB">
            <w:pPr>
              <w:pStyle w:val="NormalWeb"/>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lang w:val="fr-FR"/>
              </w:rPr>
            </w:pPr>
            <w:r w:rsidRPr="004637C7">
              <w:rPr>
                <w:rFonts w:asciiTheme="minorHAnsi" w:hAnsiTheme="minorHAnsi" w:cstheme="minorHAnsi"/>
                <w:sz w:val="20"/>
                <w:szCs w:val="20"/>
                <w:lang w:val="fr-FR"/>
              </w:rPr>
              <w:t>Interdire les opérations de remplissage sans dispositif anti-débordement.</w:t>
            </w:r>
          </w:p>
        </w:tc>
        <w:tc>
          <w:tcPr>
            <w:tcW w:w="0" w:type="auto"/>
            <w:hideMark/>
          </w:tcPr>
          <w:p w14:paraId="27C19FD4" w14:textId="77777777" w:rsidR="004D1BD2" w:rsidRPr="004637C7" w:rsidRDefault="004D1BD2" w:rsidP="00084DCB">
            <w:pPr>
              <w:pStyle w:val="NormalWeb"/>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lang w:val="fr-FR"/>
              </w:rPr>
            </w:pPr>
            <w:r w:rsidRPr="004637C7">
              <w:rPr>
                <w:rFonts w:asciiTheme="minorHAnsi" w:hAnsiTheme="minorHAnsi" w:cstheme="minorHAnsi"/>
                <w:sz w:val="20"/>
                <w:szCs w:val="20"/>
                <w:lang w:val="fr-FR"/>
              </w:rPr>
              <w:t>Nb inspections / conformité</w:t>
            </w:r>
          </w:p>
        </w:tc>
        <w:tc>
          <w:tcPr>
            <w:tcW w:w="0" w:type="auto"/>
            <w:hideMark/>
          </w:tcPr>
          <w:p w14:paraId="4A1D5484" w14:textId="77777777" w:rsidR="004D1BD2" w:rsidRPr="004637C7" w:rsidRDefault="004D1BD2" w:rsidP="00084DCB">
            <w:pPr>
              <w:pStyle w:val="NormalWeb"/>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lang w:val="fr-FR"/>
              </w:rPr>
            </w:pPr>
            <w:r w:rsidRPr="004637C7">
              <w:rPr>
                <w:rFonts w:asciiTheme="minorHAnsi" w:hAnsiTheme="minorHAnsi" w:cstheme="minorHAnsi"/>
                <w:sz w:val="20"/>
                <w:szCs w:val="20"/>
                <w:lang w:val="fr-FR"/>
              </w:rPr>
              <w:t>ONDA / Exploitant</w:t>
            </w:r>
          </w:p>
        </w:tc>
        <w:tc>
          <w:tcPr>
            <w:tcW w:w="0" w:type="auto"/>
            <w:hideMark/>
          </w:tcPr>
          <w:p w14:paraId="62403740" w14:textId="77777777" w:rsidR="004D1BD2" w:rsidRPr="004637C7" w:rsidRDefault="004D1BD2" w:rsidP="00084DCB">
            <w:pPr>
              <w:pStyle w:val="NormalWeb"/>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lang w:val="fr-FR"/>
              </w:rPr>
            </w:pPr>
            <w:r w:rsidRPr="004637C7">
              <w:rPr>
                <w:rFonts w:asciiTheme="minorHAnsi" w:hAnsiTheme="minorHAnsi" w:cstheme="minorHAnsi"/>
                <w:sz w:val="20"/>
                <w:szCs w:val="20"/>
                <w:lang w:val="fr-FR"/>
              </w:rPr>
              <w:t>ONDA</w:t>
            </w:r>
          </w:p>
        </w:tc>
        <w:tc>
          <w:tcPr>
            <w:tcW w:w="0" w:type="auto"/>
            <w:hideMark/>
          </w:tcPr>
          <w:p w14:paraId="54947049" w14:textId="77777777" w:rsidR="004D1BD2" w:rsidRPr="004637C7" w:rsidRDefault="004D1BD2" w:rsidP="00084DCB">
            <w:pPr>
              <w:pStyle w:val="NormalWeb"/>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lang w:val="fr-FR"/>
              </w:rPr>
            </w:pPr>
            <w:r w:rsidRPr="004637C7">
              <w:rPr>
                <w:rFonts w:asciiTheme="minorHAnsi" w:hAnsiTheme="minorHAnsi" w:cstheme="minorHAnsi"/>
                <w:sz w:val="20"/>
                <w:szCs w:val="20"/>
                <w:lang w:val="fr-FR"/>
              </w:rPr>
              <w:t>ONDA</w:t>
            </w:r>
          </w:p>
        </w:tc>
        <w:tc>
          <w:tcPr>
            <w:tcW w:w="0" w:type="auto"/>
            <w:hideMark/>
          </w:tcPr>
          <w:p w14:paraId="5DA478C9" w14:textId="77777777" w:rsidR="004D1BD2" w:rsidRPr="004637C7" w:rsidRDefault="004D1BD2" w:rsidP="00084DCB">
            <w:pPr>
              <w:pStyle w:val="NormalWeb"/>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lang w:val="fr-FR"/>
              </w:rPr>
            </w:pPr>
            <w:r w:rsidRPr="004637C7">
              <w:rPr>
                <w:rFonts w:asciiTheme="minorHAnsi" w:hAnsiTheme="minorHAnsi" w:cstheme="minorHAnsi"/>
                <w:sz w:val="20"/>
                <w:szCs w:val="20"/>
                <w:lang w:val="fr-FR"/>
              </w:rPr>
              <w:t>Quotidien</w:t>
            </w:r>
          </w:p>
        </w:tc>
        <w:tc>
          <w:tcPr>
            <w:tcW w:w="0" w:type="auto"/>
            <w:hideMark/>
          </w:tcPr>
          <w:p w14:paraId="09BA8FD0" w14:textId="705129D4" w:rsidR="004D1BD2" w:rsidRPr="004637C7" w:rsidRDefault="004D1BD2" w:rsidP="00084DCB">
            <w:pPr>
              <w:pStyle w:val="NormalWeb"/>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lang w:val="fr-FR"/>
              </w:rPr>
            </w:pPr>
            <w:r>
              <w:rPr>
                <w:rFonts w:asciiTheme="minorHAnsi" w:hAnsiTheme="minorHAnsi" w:cstheme="minorHAnsi"/>
                <w:sz w:val="20"/>
                <w:szCs w:val="20"/>
                <w:lang w:val="fr-FR"/>
              </w:rPr>
              <w:t>Aucun coût spécifique</w:t>
            </w:r>
          </w:p>
        </w:tc>
      </w:tr>
      <w:tr w:rsidR="009428D8" w:rsidRPr="00084DCB" w14:paraId="4E4E316E" w14:textId="77777777" w:rsidTr="009428D8">
        <w:trPr>
          <w:trHeight w:val="626"/>
        </w:trPr>
        <w:tc>
          <w:tcPr>
            <w:cnfStyle w:val="001000000000" w:firstRow="0" w:lastRow="0" w:firstColumn="1" w:lastColumn="0" w:oddVBand="0" w:evenVBand="0" w:oddHBand="0" w:evenHBand="0" w:firstRowFirstColumn="0" w:firstRowLastColumn="0" w:lastRowFirstColumn="0" w:lastRowLastColumn="0"/>
            <w:tcW w:w="0" w:type="auto"/>
            <w:vMerge/>
          </w:tcPr>
          <w:p w14:paraId="69CA4C9D" w14:textId="77777777" w:rsidR="009428D8" w:rsidRPr="004637C7" w:rsidRDefault="009428D8" w:rsidP="00084DCB">
            <w:pPr>
              <w:pStyle w:val="NormalWeb"/>
              <w:rPr>
                <w:rFonts w:asciiTheme="minorHAnsi" w:hAnsiTheme="minorHAnsi" w:cstheme="minorHAnsi"/>
                <w:b w:val="0"/>
                <w:bCs w:val="0"/>
                <w:sz w:val="20"/>
                <w:szCs w:val="20"/>
                <w:lang w:val="fr-FR"/>
              </w:rPr>
            </w:pPr>
          </w:p>
        </w:tc>
        <w:tc>
          <w:tcPr>
            <w:tcW w:w="1360" w:type="dxa"/>
            <w:vMerge w:val="restart"/>
            <w:hideMark/>
          </w:tcPr>
          <w:p w14:paraId="0E8CEB24" w14:textId="51A2B36D" w:rsidR="009428D8" w:rsidRPr="004637C7" w:rsidRDefault="009428D8" w:rsidP="00084DCB">
            <w:pPr>
              <w:pStyle w:val="NormalWeb"/>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 w:val="20"/>
                <w:szCs w:val="20"/>
                <w:lang w:val="fr-FR"/>
              </w:rPr>
            </w:pPr>
            <w:r w:rsidRPr="004637C7">
              <w:rPr>
                <w:rFonts w:asciiTheme="minorHAnsi" w:hAnsiTheme="minorHAnsi" w:cstheme="minorHAnsi"/>
                <w:b/>
                <w:bCs/>
                <w:sz w:val="20"/>
                <w:szCs w:val="20"/>
                <w:lang w:val="fr-FR"/>
              </w:rPr>
              <w:t>Réduire</w:t>
            </w:r>
          </w:p>
        </w:tc>
        <w:tc>
          <w:tcPr>
            <w:tcW w:w="2837" w:type="dxa"/>
            <w:tcBorders>
              <w:bottom w:val="single" w:sz="4" w:space="0" w:color="B4C6E7" w:themeColor="accent1" w:themeTint="66"/>
            </w:tcBorders>
            <w:hideMark/>
          </w:tcPr>
          <w:p w14:paraId="4F258D0F" w14:textId="09B3F2F1" w:rsidR="009428D8" w:rsidRPr="004637C7" w:rsidRDefault="009428D8" w:rsidP="00084DCB">
            <w:pPr>
              <w:pStyle w:val="NormalWeb"/>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lang w:val="fr-FR"/>
              </w:rPr>
            </w:pPr>
            <w:r w:rsidRPr="004637C7">
              <w:rPr>
                <w:rFonts w:asciiTheme="minorHAnsi" w:hAnsiTheme="minorHAnsi" w:cstheme="minorHAnsi"/>
                <w:sz w:val="20"/>
                <w:szCs w:val="20"/>
                <w:lang w:val="fr-FR"/>
              </w:rPr>
              <w:t>Maintenir les bacs de rétention et séparateurs opérationnels.</w:t>
            </w:r>
          </w:p>
        </w:tc>
        <w:tc>
          <w:tcPr>
            <w:tcW w:w="0" w:type="auto"/>
            <w:vMerge w:val="restart"/>
            <w:hideMark/>
          </w:tcPr>
          <w:p w14:paraId="6EA14F24" w14:textId="77777777" w:rsidR="009428D8" w:rsidRPr="004637C7" w:rsidRDefault="009428D8" w:rsidP="00084DCB">
            <w:pPr>
              <w:pStyle w:val="NormalWeb"/>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lang w:val="fr-FR"/>
              </w:rPr>
            </w:pPr>
            <w:r w:rsidRPr="004637C7">
              <w:rPr>
                <w:rFonts w:asciiTheme="minorHAnsi" w:hAnsiTheme="minorHAnsi" w:cstheme="minorHAnsi"/>
                <w:sz w:val="20"/>
                <w:szCs w:val="20"/>
                <w:lang w:val="fr-FR"/>
              </w:rPr>
              <w:t>% maintenance réalisée</w:t>
            </w:r>
          </w:p>
        </w:tc>
        <w:tc>
          <w:tcPr>
            <w:tcW w:w="0" w:type="auto"/>
            <w:vMerge w:val="restart"/>
            <w:hideMark/>
          </w:tcPr>
          <w:p w14:paraId="3D65F7FD" w14:textId="77777777" w:rsidR="009428D8" w:rsidRPr="004637C7" w:rsidRDefault="009428D8" w:rsidP="00084DCB">
            <w:pPr>
              <w:pStyle w:val="NormalWeb"/>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lang w:val="fr-FR"/>
              </w:rPr>
            </w:pPr>
            <w:r w:rsidRPr="004637C7">
              <w:rPr>
                <w:rFonts w:asciiTheme="minorHAnsi" w:hAnsiTheme="minorHAnsi" w:cstheme="minorHAnsi"/>
                <w:sz w:val="20"/>
                <w:szCs w:val="20"/>
                <w:lang w:val="fr-FR"/>
              </w:rPr>
              <w:t>ONDA / Exploitant</w:t>
            </w:r>
          </w:p>
        </w:tc>
        <w:tc>
          <w:tcPr>
            <w:tcW w:w="0" w:type="auto"/>
            <w:vMerge w:val="restart"/>
            <w:hideMark/>
          </w:tcPr>
          <w:p w14:paraId="0BE76B92" w14:textId="77777777" w:rsidR="009428D8" w:rsidRPr="004637C7" w:rsidRDefault="009428D8" w:rsidP="00084DCB">
            <w:pPr>
              <w:pStyle w:val="NormalWeb"/>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lang w:val="fr-FR"/>
              </w:rPr>
            </w:pPr>
            <w:r w:rsidRPr="004637C7">
              <w:rPr>
                <w:rFonts w:asciiTheme="minorHAnsi" w:hAnsiTheme="minorHAnsi" w:cstheme="minorHAnsi"/>
                <w:sz w:val="20"/>
                <w:szCs w:val="20"/>
                <w:lang w:val="fr-FR"/>
              </w:rPr>
              <w:t>ONDA</w:t>
            </w:r>
          </w:p>
        </w:tc>
        <w:tc>
          <w:tcPr>
            <w:tcW w:w="0" w:type="auto"/>
            <w:vMerge w:val="restart"/>
            <w:hideMark/>
          </w:tcPr>
          <w:p w14:paraId="48167E87" w14:textId="77777777" w:rsidR="009428D8" w:rsidRPr="004637C7" w:rsidRDefault="009428D8" w:rsidP="00084DCB">
            <w:pPr>
              <w:pStyle w:val="NormalWeb"/>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lang w:val="fr-FR"/>
              </w:rPr>
            </w:pPr>
            <w:r w:rsidRPr="004637C7">
              <w:rPr>
                <w:rFonts w:asciiTheme="minorHAnsi" w:hAnsiTheme="minorHAnsi" w:cstheme="minorHAnsi"/>
                <w:sz w:val="20"/>
                <w:szCs w:val="20"/>
                <w:lang w:val="fr-FR"/>
              </w:rPr>
              <w:t>ONDA</w:t>
            </w:r>
          </w:p>
        </w:tc>
        <w:tc>
          <w:tcPr>
            <w:tcW w:w="0" w:type="auto"/>
            <w:vMerge w:val="restart"/>
            <w:hideMark/>
          </w:tcPr>
          <w:p w14:paraId="2200ED9E" w14:textId="77777777" w:rsidR="009428D8" w:rsidRPr="004637C7" w:rsidRDefault="009428D8" w:rsidP="00084DCB">
            <w:pPr>
              <w:pStyle w:val="NormalWeb"/>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lang w:val="fr-FR"/>
              </w:rPr>
            </w:pPr>
            <w:r w:rsidRPr="004637C7">
              <w:rPr>
                <w:rFonts w:asciiTheme="minorHAnsi" w:hAnsiTheme="minorHAnsi" w:cstheme="minorHAnsi"/>
                <w:sz w:val="20"/>
                <w:szCs w:val="20"/>
                <w:lang w:val="fr-FR"/>
              </w:rPr>
              <w:t>Trimestriel</w:t>
            </w:r>
          </w:p>
        </w:tc>
        <w:tc>
          <w:tcPr>
            <w:tcW w:w="0" w:type="auto"/>
            <w:tcBorders>
              <w:bottom w:val="single" w:sz="4" w:space="0" w:color="B4C6E7" w:themeColor="accent1" w:themeTint="66"/>
            </w:tcBorders>
            <w:hideMark/>
          </w:tcPr>
          <w:p w14:paraId="18A88172" w14:textId="12FF4FCF" w:rsidR="009428D8" w:rsidRPr="004637C7" w:rsidRDefault="00087DC2" w:rsidP="00084DCB">
            <w:pPr>
              <w:pStyle w:val="NormalWeb"/>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lang w:val="fr-FR"/>
              </w:rPr>
            </w:pPr>
            <w:r w:rsidRPr="00087DC2">
              <w:rPr>
                <w:rFonts w:asciiTheme="minorHAnsi" w:hAnsiTheme="minorHAnsi" w:cstheme="minorHAnsi"/>
                <w:sz w:val="20"/>
                <w:szCs w:val="20"/>
                <w:lang w:val="fr-FR"/>
              </w:rPr>
              <w:t>≈ 8 000 /an</w:t>
            </w:r>
          </w:p>
        </w:tc>
      </w:tr>
      <w:tr w:rsidR="009428D8" w:rsidRPr="00084DCB" w14:paraId="626EBEDC" w14:textId="77777777" w:rsidTr="009428D8">
        <w:trPr>
          <w:trHeight w:val="707"/>
        </w:trPr>
        <w:tc>
          <w:tcPr>
            <w:cnfStyle w:val="001000000000" w:firstRow="0" w:lastRow="0" w:firstColumn="1" w:lastColumn="0" w:oddVBand="0" w:evenVBand="0" w:oddHBand="0" w:evenHBand="0" w:firstRowFirstColumn="0" w:firstRowLastColumn="0" w:lastRowFirstColumn="0" w:lastRowLastColumn="0"/>
            <w:tcW w:w="0" w:type="auto"/>
            <w:vMerge/>
          </w:tcPr>
          <w:p w14:paraId="37855B05" w14:textId="77777777" w:rsidR="009428D8" w:rsidRPr="004637C7" w:rsidRDefault="009428D8" w:rsidP="00084DCB">
            <w:pPr>
              <w:pStyle w:val="NormalWeb"/>
              <w:rPr>
                <w:rFonts w:asciiTheme="minorHAnsi" w:hAnsiTheme="minorHAnsi" w:cstheme="minorHAnsi"/>
                <w:b w:val="0"/>
                <w:bCs w:val="0"/>
                <w:sz w:val="20"/>
                <w:szCs w:val="20"/>
                <w:lang w:val="fr-FR"/>
              </w:rPr>
            </w:pPr>
          </w:p>
        </w:tc>
        <w:tc>
          <w:tcPr>
            <w:tcW w:w="1360" w:type="dxa"/>
            <w:vMerge/>
          </w:tcPr>
          <w:p w14:paraId="1201B2B3" w14:textId="77777777" w:rsidR="009428D8" w:rsidRPr="004637C7" w:rsidRDefault="009428D8" w:rsidP="00084DCB">
            <w:pPr>
              <w:pStyle w:val="NormalWeb"/>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 w:val="20"/>
                <w:szCs w:val="20"/>
                <w:lang w:val="fr-FR"/>
              </w:rPr>
            </w:pPr>
          </w:p>
        </w:tc>
        <w:tc>
          <w:tcPr>
            <w:tcW w:w="2837" w:type="dxa"/>
            <w:tcBorders>
              <w:top w:val="single" w:sz="4" w:space="0" w:color="B4C6E7" w:themeColor="accent1" w:themeTint="66"/>
            </w:tcBorders>
          </w:tcPr>
          <w:p w14:paraId="6631355F" w14:textId="77777777" w:rsidR="009428D8" w:rsidRPr="004637C7" w:rsidRDefault="009428D8" w:rsidP="009428D8">
            <w:pPr>
              <w:pStyle w:val="NormalWeb"/>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lang w:val="fr-FR"/>
              </w:rPr>
            </w:pPr>
            <w:r w:rsidRPr="004637C7">
              <w:rPr>
                <w:rFonts w:asciiTheme="minorHAnsi" w:hAnsiTheme="minorHAnsi" w:cstheme="minorHAnsi"/>
                <w:sz w:val="20"/>
                <w:szCs w:val="20"/>
                <w:lang w:val="fr-FR"/>
              </w:rPr>
              <w:t>Assurer la maintenance préventive des cuves.</w:t>
            </w:r>
          </w:p>
        </w:tc>
        <w:tc>
          <w:tcPr>
            <w:tcW w:w="0" w:type="auto"/>
            <w:vMerge/>
          </w:tcPr>
          <w:p w14:paraId="08D96E22" w14:textId="77777777" w:rsidR="009428D8" w:rsidRPr="004637C7" w:rsidRDefault="009428D8" w:rsidP="00084DCB">
            <w:pPr>
              <w:pStyle w:val="NormalWeb"/>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lang w:val="fr-FR"/>
              </w:rPr>
            </w:pPr>
          </w:p>
        </w:tc>
        <w:tc>
          <w:tcPr>
            <w:tcW w:w="0" w:type="auto"/>
            <w:vMerge/>
          </w:tcPr>
          <w:p w14:paraId="1862C20E" w14:textId="77777777" w:rsidR="009428D8" w:rsidRPr="004637C7" w:rsidRDefault="009428D8" w:rsidP="00084DCB">
            <w:pPr>
              <w:pStyle w:val="NormalWeb"/>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lang w:val="fr-FR"/>
              </w:rPr>
            </w:pPr>
          </w:p>
        </w:tc>
        <w:tc>
          <w:tcPr>
            <w:tcW w:w="0" w:type="auto"/>
            <w:vMerge/>
          </w:tcPr>
          <w:p w14:paraId="1FBB534D" w14:textId="77777777" w:rsidR="009428D8" w:rsidRPr="004637C7" w:rsidRDefault="009428D8" w:rsidP="00084DCB">
            <w:pPr>
              <w:pStyle w:val="NormalWeb"/>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lang w:val="fr-FR"/>
              </w:rPr>
            </w:pPr>
          </w:p>
        </w:tc>
        <w:tc>
          <w:tcPr>
            <w:tcW w:w="0" w:type="auto"/>
            <w:vMerge/>
          </w:tcPr>
          <w:p w14:paraId="70777DFF" w14:textId="77777777" w:rsidR="009428D8" w:rsidRPr="004637C7" w:rsidRDefault="009428D8" w:rsidP="00084DCB">
            <w:pPr>
              <w:pStyle w:val="NormalWeb"/>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lang w:val="fr-FR"/>
              </w:rPr>
            </w:pPr>
          </w:p>
        </w:tc>
        <w:tc>
          <w:tcPr>
            <w:tcW w:w="0" w:type="auto"/>
            <w:vMerge/>
          </w:tcPr>
          <w:p w14:paraId="3329955A" w14:textId="77777777" w:rsidR="009428D8" w:rsidRPr="004637C7" w:rsidRDefault="009428D8" w:rsidP="00084DCB">
            <w:pPr>
              <w:pStyle w:val="NormalWeb"/>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lang w:val="fr-FR"/>
              </w:rPr>
            </w:pPr>
          </w:p>
        </w:tc>
        <w:tc>
          <w:tcPr>
            <w:tcW w:w="0" w:type="auto"/>
            <w:tcBorders>
              <w:top w:val="single" w:sz="4" w:space="0" w:color="B4C6E7" w:themeColor="accent1" w:themeTint="66"/>
            </w:tcBorders>
          </w:tcPr>
          <w:p w14:paraId="5D535EF5" w14:textId="7D62943D" w:rsidR="009428D8" w:rsidRPr="00DC7D45" w:rsidRDefault="00087DC2" w:rsidP="00084DCB">
            <w:pPr>
              <w:pStyle w:val="NormalWeb"/>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lang w:val="fr-FR"/>
              </w:rPr>
            </w:pPr>
            <w:r w:rsidRPr="00087DC2">
              <w:rPr>
                <w:rFonts w:asciiTheme="minorHAnsi" w:hAnsiTheme="minorHAnsi" w:cstheme="minorHAnsi"/>
                <w:sz w:val="20"/>
                <w:szCs w:val="20"/>
                <w:lang w:val="fr-FR"/>
              </w:rPr>
              <w:t>≈ 5 000–6 000 /an</w:t>
            </w:r>
          </w:p>
        </w:tc>
      </w:tr>
      <w:tr w:rsidR="004D1BD2" w:rsidRPr="00084DCB" w14:paraId="1ACE6585" w14:textId="77777777" w:rsidTr="004637C7">
        <w:tc>
          <w:tcPr>
            <w:cnfStyle w:val="001000000000" w:firstRow="0" w:lastRow="0" w:firstColumn="1" w:lastColumn="0" w:oddVBand="0" w:evenVBand="0" w:oddHBand="0" w:evenHBand="0" w:firstRowFirstColumn="0" w:firstRowLastColumn="0" w:lastRowFirstColumn="0" w:lastRowLastColumn="0"/>
            <w:tcW w:w="0" w:type="auto"/>
            <w:vMerge/>
          </w:tcPr>
          <w:p w14:paraId="7EC46A72" w14:textId="77777777" w:rsidR="004D1BD2" w:rsidRPr="004637C7" w:rsidRDefault="004D1BD2" w:rsidP="00084DCB">
            <w:pPr>
              <w:pStyle w:val="NormalWeb"/>
              <w:rPr>
                <w:rFonts w:asciiTheme="minorHAnsi" w:hAnsiTheme="minorHAnsi" w:cstheme="minorHAnsi"/>
                <w:b w:val="0"/>
                <w:bCs w:val="0"/>
                <w:sz w:val="20"/>
                <w:szCs w:val="20"/>
                <w:lang w:val="fr-FR"/>
              </w:rPr>
            </w:pPr>
          </w:p>
        </w:tc>
        <w:tc>
          <w:tcPr>
            <w:tcW w:w="1360" w:type="dxa"/>
            <w:hideMark/>
          </w:tcPr>
          <w:p w14:paraId="63FE64B4" w14:textId="10EA1215" w:rsidR="004D1BD2" w:rsidRPr="004637C7" w:rsidRDefault="004D1BD2" w:rsidP="00084DCB">
            <w:pPr>
              <w:pStyle w:val="NormalWeb"/>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 w:val="20"/>
                <w:szCs w:val="20"/>
                <w:lang w:val="fr-FR"/>
              </w:rPr>
            </w:pPr>
            <w:r w:rsidRPr="004637C7">
              <w:rPr>
                <w:rFonts w:asciiTheme="minorHAnsi" w:hAnsiTheme="minorHAnsi" w:cstheme="minorHAnsi"/>
                <w:b/>
                <w:bCs/>
                <w:sz w:val="20"/>
                <w:szCs w:val="20"/>
                <w:lang w:val="fr-FR"/>
              </w:rPr>
              <w:t>Atténuer</w:t>
            </w:r>
          </w:p>
        </w:tc>
        <w:tc>
          <w:tcPr>
            <w:tcW w:w="2837" w:type="dxa"/>
            <w:hideMark/>
          </w:tcPr>
          <w:p w14:paraId="1EA4138C" w14:textId="77777777" w:rsidR="004D1BD2" w:rsidRDefault="004D1BD2" w:rsidP="00084DCB">
            <w:pPr>
              <w:pStyle w:val="NormalWeb"/>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lang w:val="fr-FR"/>
              </w:rPr>
            </w:pPr>
            <w:r w:rsidRPr="004637C7">
              <w:rPr>
                <w:rFonts w:asciiTheme="minorHAnsi" w:hAnsiTheme="minorHAnsi" w:cstheme="minorHAnsi"/>
                <w:sz w:val="20"/>
                <w:szCs w:val="20"/>
                <w:lang w:val="fr-FR"/>
              </w:rPr>
              <w:t>Appliquer le plan d’urgence : confinement, neutralisation et récupération des hydrocarbures.</w:t>
            </w:r>
          </w:p>
          <w:p w14:paraId="316A4175" w14:textId="3ABD922D" w:rsidR="004D1BD2" w:rsidRPr="004637C7" w:rsidRDefault="004D1BD2" w:rsidP="00084DCB">
            <w:pPr>
              <w:pStyle w:val="NormalWeb"/>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lang w:val="fr-FR"/>
              </w:rPr>
            </w:pPr>
            <w:r w:rsidRPr="004637C7">
              <w:rPr>
                <w:rFonts w:asciiTheme="minorHAnsi" w:hAnsiTheme="minorHAnsi" w:cstheme="minorHAnsi"/>
                <w:sz w:val="20"/>
                <w:szCs w:val="20"/>
                <w:lang w:val="fr-FR"/>
              </w:rPr>
              <w:lastRenderedPageBreak/>
              <w:t>Mobiliser immédiatement les kits d’absorption.</w:t>
            </w:r>
          </w:p>
        </w:tc>
        <w:tc>
          <w:tcPr>
            <w:tcW w:w="0" w:type="auto"/>
            <w:hideMark/>
          </w:tcPr>
          <w:p w14:paraId="545DE6D7" w14:textId="77777777" w:rsidR="004D1BD2" w:rsidRPr="004637C7" w:rsidRDefault="004D1BD2" w:rsidP="00084DCB">
            <w:pPr>
              <w:pStyle w:val="NormalWeb"/>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lang w:val="fr-FR"/>
              </w:rPr>
            </w:pPr>
            <w:r w:rsidRPr="004637C7">
              <w:rPr>
                <w:rFonts w:asciiTheme="minorHAnsi" w:hAnsiTheme="minorHAnsi" w:cstheme="minorHAnsi"/>
                <w:sz w:val="20"/>
                <w:szCs w:val="20"/>
                <w:lang w:val="fr-FR"/>
              </w:rPr>
              <w:lastRenderedPageBreak/>
              <w:t>Temps de réponse / incidents</w:t>
            </w:r>
          </w:p>
        </w:tc>
        <w:tc>
          <w:tcPr>
            <w:tcW w:w="0" w:type="auto"/>
            <w:hideMark/>
          </w:tcPr>
          <w:p w14:paraId="316DAEEE" w14:textId="77777777" w:rsidR="004D1BD2" w:rsidRPr="004637C7" w:rsidRDefault="004D1BD2" w:rsidP="00084DCB">
            <w:pPr>
              <w:pStyle w:val="NormalWeb"/>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lang w:val="fr-FR"/>
              </w:rPr>
            </w:pPr>
            <w:r w:rsidRPr="004637C7">
              <w:rPr>
                <w:rFonts w:asciiTheme="minorHAnsi" w:hAnsiTheme="minorHAnsi" w:cstheme="minorHAnsi"/>
                <w:sz w:val="20"/>
                <w:szCs w:val="20"/>
                <w:lang w:val="fr-FR"/>
              </w:rPr>
              <w:t>ONDA / Exploitant</w:t>
            </w:r>
          </w:p>
        </w:tc>
        <w:tc>
          <w:tcPr>
            <w:tcW w:w="0" w:type="auto"/>
            <w:hideMark/>
          </w:tcPr>
          <w:p w14:paraId="57DCBEB8" w14:textId="77777777" w:rsidR="004D1BD2" w:rsidRPr="004637C7" w:rsidRDefault="004D1BD2" w:rsidP="00084DCB">
            <w:pPr>
              <w:pStyle w:val="NormalWeb"/>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lang w:val="fr-FR"/>
              </w:rPr>
            </w:pPr>
            <w:r w:rsidRPr="004637C7">
              <w:rPr>
                <w:rFonts w:asciiTheme="minorHAnsi" w:hAnsiTheme="minorHAnsi" w:cstheme="minorHAnsi"/>
                <w:sz w:val="20"/>
                <w:szCs w:val="20"/>
                <w:lang w:val="fr-FR"/>
              </w:rPr>
              <w:t>ONDA</w:t>
            </w:r>
          </w:p>
        </w:tc>
        <w:tc>
          <w:tcPr>
            <w:tcW w:w="0" w:type="auto"/>
            <w:hideMark/>
          </w:tcPr>
          <w:p w14:paraId="4A8D8604" w14:textId="77777777" w:rsidR="004D1BD2" w:rsidRPr="004637C7" w:rsidRDefault="004D1BD2" w:rsidP="00084DCB">
            <w:pPr>
              <w:pStyle w:val="NormalWeb"/>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lang w:val="fr-FR"/>
              </w:rPr>
            </w:pPr>
            <w:r w:rsidRPr="004637C7">
              <w:rPr>
                <w:rFonts w:asciiTheme="minorHAnsi" w:hAnsiTheme="minorHAnsi" w:cstheme="minorHAnsi"/>
                <w:sz w:val="20"/>
                <w:szCs w:val="20"/>
                <w:lang w:val="fr-FR"/>
              </w:rPr>
              <w:t>ONDA</w:t>
            </w:r>
          </w:p>
        </w:tc>
        <w:tc>
          <w:tcPr>
            <w:tcW w:w="0" w:type="auto"/>
            <w:hideMark/>
          </w:tcPr>
          <w:p w14:paraId="325B13E2" w14:textId="77777777" w:rsidR="004D1BD2" w:rsidRPr="004637C7" w:rsidRDefault="004D1BD2" w:rsidP="00084DCB">
            <w:pPr>
              <w:pStyle w:val="NormalWeb"/>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lang w:val="fr-FR"/>
              </w:rPr>
            </w:pPr>
            <w:r w:rsidRPr="004637C7">
              <w:rPr>
                <w:rFonts w:asciiTheme="minorHAnsi" w:hAnsiTheme="minorHAnsi" w:cstheme="minorHAnsi"/>
                <w:sz w:val="20"/>
                <w:szCs w:val="20"/>
                <w:lang w:val="fr-FR"/>
              </w:rPr>
              <w:t>En continu</w:t>
            </w:r>
          </w:p>
        </w:tc>
        <w:tc>
          <w:tcPr>
            <w:tcW w:w="0" w:type="auto"/>
            <w:hideMark/>
          </w:tcPr>
          <w:p w14:paraId="6B168311" w14:textId="5ECE2BB4" w:rsidR="004D1BD2" w:rsidRPr="004637C7" w:rsidRDefault="004D1BD2" w:rsidP="00084DCB">
            <w:pPr>
              <w:pStyle w:val="NormalWeb"/>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lang w:val="fr-FR"/>
              </w:rPr>
            </w:pPr>
            <w:r w:rsidRPr="00DC7D45">
              <w:rPr>
                <w:rFonts w:asciiTheme="minorHAnsi" w:hAnsiTheme="minorHAnsi" w:cstheme="minorHAnsi"/>
                <w:sz w:val="20"/>
                <w:szCs w:val="20"/>
                <w:lang w:val="fr-FR"/>
              </w:rPr>
              <w:t>Kit 50litres à  environ 1 200 MAD</w:t>
            </w:r>
          </w:p>
        </w:tc>
      </w:tr>
      <w:tr w:rsidR="004D1BD2" w:rsidRPr="00084DCB" w14:paraId="74E384F4" w14:textId="77777777" w:rsidTr="004D1BD2">
        <w:trPr>
          <w:trHeight w:val="626"/>
        </w:trPr>
        <w:tc>
          <w:tcPr>
            <w:cnfStyle w:val="001000000000" w:firstRow="0" w:lastRow="0" w:firstColumn="1" w:lastColumn="0" w:oddVBand="0" w:evenVBand="0" w:oddHBand="0" w:evenHBand="0" w:firstRowFirstColumn="0" w:firstRowLastColumn="0" w:lastRowFirstColumn="0" w:lastRowLastColumn="0"/>
            <w:tcW w:w="0" w:type="auto"/>
            <w:vMerge/>
          </w:tcPr>
          <w:p w14:paraId="0A4AD55D" w14:textId="77777777" w:rsidR="004D1BD2" w:rsidRPr="004637C7" w:rsidRDefault="004D1BD2" w:rsidP="00084DCB">
            <w:pPr>
              <w:pStyle w:val="NormalWeb"/>
              <w:rPr>
                <w:rFonts w:asciiTheme="minorHAnsi" w:hAnsiTheme="minorHAnsi" w:cstheme="minorHAnsi"/>
                <w:b w:val="0"/>
                <w:bCs w:val="0"/>
                <w:sz w:val="20"/>
                <w:szCs w:val="20"/>
                <w:lang w:val="fr-FR"/>
              </w:rPr>
            </w:pPr>
          </w:p>
        </w:tc>
        <w:tc>
          <w:tcPr>
            <w:tcW w:w="1360" w:type="dxa"/>
            <w:vMerge w:val="restart"/>
            <w:hideMark/>
          </w:tcPr>
          <w:p w14:paraId="2A6C65EC" w14:textId="503487CE" w:rsidR="004D1BD2" w:rsidRPr="004637C7" w:rsidRDefault="004D1BD2" w:rsidP="00084DCB">
            <w:pPr>
              <w:pStyle w:val="NormalWeb"/>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 w:val="20"/>
                <w:szCs w:val="20"/>
                <w:lang w:val="fr-FR"/>
              </w:rPr>
            </w:pPr>
            <w:r w:rsidRPr="004637C7">
              <w:rPr>
                <w:rFonts w:asciiTheme="minorHAnsi" w:hAnsiTheme="minorHAnsi" w:cstheme="minorHAnsi"/>
                <w:b/>
                <w:bCs/>
                <w:sz w:val="20"/>
                <w:szCs w:val="20"/>
                <w:lang w:val="fr-FR"/>
              </w:rPr>
              <w:t>Compenser</w:t>
            </w:r>
          </w:p>
        </w:tc>
        <w:tc>
          <w:tcPr>
            <w:tcW w:w="2837" w:type="dxa"/>
            <w:tcBorders>
              <w:bottom w:val="single" w:sz="4" w:space="0" w:color="B4C6E7" w:themeColor="accent1" w:themeTint="66"/>
            </w:tcBorders>
            <w:hideMark/>
          </w:tcPr>
          <w:p w14:paraId="1B8ED29F" w14:textId="4291A809" w:rsidR="004D1BD2" w:rsidRPr="004637C7" w:rsidRDefault="004D1BD2" w:rsidP="00084DCB">
            <w:pPr>
              <w:pStyle w:val="NormalWeb"/>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lang w:val="fr-FR"/>
              </w:rPr>
            </w:pPr>
            <w:r w:rsidRPr="004637C7">
              <w:rPr>
                <w:rFonts w:asciiTheme="minorHAnsi" w:hAnsiTheme="minorHAnsi" w:cstheme="minorHAnsi"/>
                <w:sz w:val="20"/>
                <w:szCs w:val="20"/>
                <w:lang w:val="fr-FR"/>
              </w:rPr>
              <w:t>Contrôler les eaux souterraines en aval hydraulique.</w:t>
            </w:r>
          </w:p>
        </w:tc>
        <w:tc>
          <w:tcPr>
            <w:tcW w:w="0" w:type="auto"/>
            <w:vMerge w:val="restart"/>
            <w:hideMark/>
          </w:tcPr>
          <w:p w14:paraId="5132E6F7" w14:textId="77777777" w:rsidR="004D1BD2" w:rsidRPr="004637C7" w:rsidRDefault="004D1BD2" w:rsidP="00084DCB">
            <w:pPr>
              <w:pStyle w:val="NormalWeb"/>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lang w:val="fr-FR"/>
              </w:rPr>
            </w:pPr>
            <w:r w:rsidRPr="004637C7">
              <w:rPr>
                <w:rFonts w:asciiTheme="minorHAnsi" w:hAnsiTheme="minorHAnsi" w:cstheme="minorHAnsi"/>
                <w:sz w:val="20"/>
                <w:szCs w:val="20"/>
                <w:lang w:val="fr-FR"/>
              </w:rPr>
              <w:t>Nb d’analyses / zone traitée</w:t>
            </w:r>
          </w:p>
        </w:tc>
        <w:tc>
          <w:tcPr>
            <w:tcW w:w="0" w:type="auto"/>
            <w:vMerge w:val="restart"/>
            <w:hideMark/>
          </w:tcPr>
          <w:p w14:paraId="28D37D54" w14:textId="77777777" w:rsidR="004D1BD2" w:rsidRPr="004637C7" w:rsidRDefault="004D1BD2" w:rsidP="00084DCB">
            <w:pPr>
              <w:pStyle w:val="NormalWeb"/>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lang w:val="fr-FR"/>
              </w:rPr>
            </w:pPr>
            <w:r w:rsidRPr="004637C7">
              <w:rPr>
                <w:rFonts w:asciiTheme="minorHAnsi" w:hAnsiTheme="minorHAnsi" w:cstheme="minorHAnsi"/>
                <w:sz w:val="20"/>
                <w:szCs w:val="20"/>
                <w:lang w:val="fr-FR"/>
              </w:rPr>
              <w:t>ONDA / Exploitant</w:t>
            </w:r>
          </w:p>
        </w:tc>
        <w:tc>
          <w:tcPr>
            <w:tcW w:w="0" w:type="auto"/>
            <w:vMerge w:val="restart"/>
            <w:hideMark/>
          </w:tcPr>
          <w:p w14:paraId="547BD30F" w14:textId="77777777" w:rsidR="004D1BD2" w:rsidRPr="004637C7" w:rsidRDefault="004D1BD2" w:rsidP="00084DCB">
            <w:pPr>
              <w:pStyle w:val="NormalWeb"/>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lang w:val="fr-FR"/>
              </w:rPr>
            </w:pPr>
            <w:r w:rsidRPr="004637C7">
              <w:rPr>
                <w:rFonts w:asciiTheme="minorHAnsi" w:hAnsiTheme="minorHAnsi" w:cstheme="minorHAnsi"/>
                <w:sz w:val="20"/>
                <w:szCs w:val="20"/>
                <w:lang w:val="fr-FR"/>
              </w:rPr>
              <w:t>ONDA</w:t>
            </w:r>
          </w:p>
        </w:tc>
        <w:tc>
          <w:tcPr>
            <w:tcW w:w="0" w:type="auto"/>
            <w:vMerge w:val="restart"/>
            <w:hideMark/>
          </w:tcPr>
          <w:p w14:paraId="2D5CD498" w14:textId="77777777" w:rsidR="004D1BD2" w:rsidRPr="004637C7" w:rsidRDefault="004D1BD2" w:rsidP="00084DCB">
            <w:pPr>
              <w:pStyle w:val="NormalWeb"/>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lang w:val="fr-FR"/>
              </w:rPr>
            </w:pPr>
            <w:r w:rsidRPr="004637C7">
              <w:rPr>
                <w:rFonts w:asciiTheme="minorHAnsi" w:hAnsiTheme="minorHAnsi" w:cstheme="minorHAnsi"/>
                <w:sz w:val="20"/>
                <w:szCs w:val="20"/>
                <w:lang w:val="fr-FR"/>
              </w:rPr>
              <w:t>ONDA</w:t>
            </w:r>
          </w:p>
        </w:tc>
        <w:tc>
          <w:tcPr>
            <w:tcW w:w="0" w:type="auto"/>
            <w:vMerge w:val="restart"/>
            <w:hideMark/>
          </w:tcPr>
          <w:p w14:paraId="5D54A582" w14:textId="77777777" w:rsidR="004D1BD2" w:rsidRPr="004637C7" w:rsidRDefault="004D1BD2" w:rsidP="00084DCB">
            <w:pPr>
              <w:pStyle w:val="NormalWeb"/>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lang w:val="fr-FR"/>
              </w:rPr>
            </w:pPr>
            <w:r w:rsidRPr="004637C7">
              <w:rPr>
                <w:rFonts w:asciiTheme="minorHAnsi" w:hAnsiTheme="minorHAnsi" w:cstheme="minorHAnsi"/>
                <w:sz w:val="20"/>
                <w:szCs w:val="20"/>
                <w:lang w:val="fr-FR"/>
              </w:rPr>
              <w:t>Post-incident</w:t>
            </w:r>
          </w:p>
        </w:tc>
        <w:tc>
          <w:tcPr>
            <w:tcW w:w="0" w:type="auto"/>
            <w:tcBorders>
              <w:bottom w:val="single" w:sz="4" w:space="0" w:color="B4C6E7" w:themeColor="accent1" w:themeTint="66"/>
            </w:tcBorders>
            <w:hideMark/>
          </w:tcPr>
          <w:p w14:paraId="6154E4AE" w14:textId="67A58539" w:rsidR="004D1BD2" w:rsidRDefault="004D1BD2" w:rsidP="00084DCB">
            <w:pPr>
              <w:pStyle w:val="NormalWeb"/>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lang w:val="fr-FR"/>
              </w:rPr>
            </w:pPr>
            <w:r w:rsidRPr="004D1BD2">
              <w:rPr>
                <w:rFonts w:asciiTheme="minorHAnsi" w:hAnsiTheme="minorHAnsi" w:cstheme="minorHAnsi"/>
                <w:sz w:val="20"/>
                <w:szCs w:val="20"/>
                <w:lang w:val="fr-FR"/>
              </w:rPr>
              <w:t>≈ 10 000–12 000 /an</w:t>
            </w:r>
            <w:r w:rsidR="009428D8">
              <w:rPr>
                <w:rFonts w:asciiTheme="minorHAnsi" w:hAnsiTheme="minorHAnsi" w:cstheme="minorHAnsi"/>
                <w:sz w:val="20"/>
                <w:szCs w:val="20"/>
                <w:lang w:val="fr-FR"/>
              </w:rPr>
              <w:t xml:space="preserve"> </w:t>
            </w:r>
          </w:p>
          <w:p w14:paraId="135E4159" w14:textId="10DBF6CA" w:rsidR="009428D8" w:rsidRPr="004637C7" w:rsidRDefault="009428D8" w:rsidP="00084DCB">
            <w:pPr>
              <w:pStyle w:val="NormalWeb"/>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lang w:val="fr-FR"/>
              </w:rPr>
            </w:pPr>
            <w:r w:rsidRPr="009428D8">
              <w:rPr>
                <w:rFonts w:asciiTheme="minorHAnsi" w:hAnsiTheme="minorHAnsi" w:cstheme="minorHAnsi"/>
                <w:sz w:val="20"/>
                <w:szCs w:val="20"/>
                <w:lang w:val="fr-FR"/>
              </w:rPr>
              <w:t>Suivi piézométrique annuel (2 points d’échantillonnage, 5 paramètres).</w:t>
            </w:r>
          </w:p>
        </w:tc>
      </w:tr>
      <w:tr w:rsidR="004D1BD2" w:rsidRPr="00084DCB" w14:paraId="25330F72" w14:textId="77777777" w:rsidTr="004D1BD2">
        <w:trPr>
          <w:trHeight w:val="707"/>
        </w:trPr>
        <w:tc>
          <w:tcPr>
            <w:cnfStyle w:val="001000000000" w:firstRow="0" w:lastRow="0" w:firstColumn="1" w:lastColumn="0" w:oddVBand="0" w:evenVBand="0" w:oddHBand="0" w:evenHBand="0" w:firstRowFirstColumn="0" w:firstRowLastColumn="0" w:lastRowFirstColumn="0" w:lastRowLastColumn="0"/>
            <w:tcW w:w="0" w:type="auto"/>
            <w:vMerge/>
          </w:tcPr>
          <w:p w14:paraId="3A88C2AA" w14:textId="77777777" w:rsidR="004D1BD2" w:rsidRPr="004637C7" w:rsidRDefault="004D1BD2" w:rsidP="00084DCB">
            <w:pPr>
              <w:pStyle w:val="NormalWeb"/>
              <w:rPr>
                <w:rFonts w:asciiTheme="minorHAnsi" w:hAnsiTheme="minorHAnsi" w:cstheme="minorHAnsi"/>
                <w:b w:val="0"/>
                <w:bCs w:val="0"/>
                <w:sz w:val="20"/>
                <w:szCs w:val="20"/>
                <w:lang w:val="fr-FR"/>
              </w:rPr>
            </w:pPr>
          </w:p>
        </w:tc>
        <w:tc>
          <w:tcPr>
            <w:tcW w:w="1360" w:type="dxa"/>
            <w:vMerge/>
          </w:tcPr>
          <w:p w14:paraId="2BA0CDAC" w14:textId="77777777" w:rsidR="004D1BD2" w:rsidRPr="004637C7" w:rsidRDefault="004D1BD2" w:rsidP="00084DCB">
            <w:pPr>
              <w:pStyle w:val="NormalWeb"/>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 w:val="20"/>
                <w:szCs w:val="20"/>
                <w:lang w:val="fr-FR"/>
              </w:rPr>
            </w:pPr>
          </w:p>
        </w:tc>
        <w:tc>
          <w:tcPr>
            <w:tcW w:w="2837" w:type="dxa"/>
            <w:tcBorders>
              <w:top w:val="single" w:sz="4" w:space="0" w:color="B4C6E7" w:themeColor="accent1" w:themeTint="66"/>
            </w:tcBorders>
          </w:tcPr>
          <w:p w14:paraId="52FF1820" w14:textId="77777777" w:rsidR="004D1BD2" w:rsidRPr="004637C7" w:rsidRDefault="004D1BD2" w:rsidP="004D1BD2">
            <w:pPr>
              <w:pStyle w:val="NormalWeb"/>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lang w:val="fr-FR"/>
              </w:rPr>
            </w:pPr>
            <w:r w:rsidRPr="004637C7">
              <w:rPr>
                <w:rFonts w:asciiTheme="minorHAnsi" w:hAnsiTheme="minorHAnsi" w:cstheme="minorHAnsi"/>
                <w:sz w:val="20"/>
                <w:szCs w:val="20"/>
                <w:lang w:val="fr-FR"/>
              </w:rPr>
              <w:t>Dépolluer les sols affectés si besoin.</w:t>
            </w:r>
          </w:p>
        </w:tc>
        <w:tc>
          <w:tcPr>
            <w:tcW w:w="0" w:type="auto"/>
            <w:vMerge/>
          </w:tcPr>
          <w:p w14:paraId="1F4D58E5" w14:textId="77777777" w:rsidR="004D1BD2" w:rsidRPr="004637C7" w:rsidRDefault="004D1BD2" w:rsidP="00084DCB">
            <w:pPr>
              <w:pStyle w:val="NormalWeb"/>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lang w:val="fr-FR"/>
              </w:rPr>
            </w:pPr>
          </w:p>
        </w:tc>
        <w:tc>
          <w:tcPr>
            <w:tcW w:w="0" w:type="auto"/>
            <w:vMerge/>
          </w:tcPr>
          <w:p w14:paraId="755817CA" w14:textId="77777777" w:rsidR="004D1BD2" w:rsidRPr="004637C7" w:rsidRDefault="004D1BD2" w:rsidP="00084DCB">
            <w:pPr>
              <w:pStyle w:val="NormalWeb"/>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lang w:val="fr-FR"/>
              </w:rPr>
            </w:pPr>
          </w:p>
        </w:tc>
        <w:tc>
          <w:tcPr>
            <w:tcW w:w="0" w:type="auto"/>
            <w:vMerge/>
          </w:tcPr>
          <w:p w14:paraId="4F958EFA" w14:textId="77777777" w:rsidR="004D1BD2" w:rsidRPr="004637C7" w:rsidRDefault="004D1BD2" w:rsidP="00084DCB">
            <w:pPr>
              <w:pStyle w:val="NormalWeb"/>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lang w:val="fr-FR"/>
              </w:rPr>
            </w:pPr>
          </w:p>
        </w:tc>
        <w:tc>
          <w:tcPr>
            <w:tcW w:w="0" w:type="auto"/>
            <w:vMerge/>
          </w:tcPr>
          <w:p w14:paraId="379AEA8E" w14:textId="77777777" w:rsidR="004D1BD2" w:rsidRPr="004637C7" w:rsidRDefault="004D1BD2" w:rsidP="00084DCB">
            <w:pPr>
              <w:pStyle w:val="NormalWeb"/>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lang w:val="fr-FR"/>
              </w:rPr>
            </w:pPr>
          </w:p>
        </w:tc>
        <w:tc>
          <w:tcPr>
            <w:tcW w:w="0" w:type="auto"/>
            <w:vMerge/>
          </w:tcPr>
          <w:p w14:paraId="4D252C57" w14:textId="77777777" w:rsidR="004D1BD2" w:rsidRPr="004637C7" w:rsidRDefault="004D1BD2" w:rsidP="00084DCB">
            <w:pPr>
              <w:pStyle w:val="NormalWeb"/>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lang w:val="fr-FR"/>
              </w:rPr>
            </w:pPr>
          </w:p>
        </w:tc>
        <w:tc>
          <w:tcPr>
            <w:tcW w:w="0" w:type="auto"/>
            <w:tcBorders>
              <w:top w:val="single" w:sz="4" w:space="0" w:color="B4C6E7" w:themeColor="accent1" w:themeTint="66"/>
            </w:tcBorders>
          </w:tcPr>
          <w:p w14:paraId="2622EEE2" w14:textId="15572E69" w:rsidR="004D1BD2" w:rsidRPr="00DC7D45" w:rsidRDefault="005A3669" w:rsidP="00084DCB">
            <w:pPr>
              <w:pStyle w:val="NormalWeb"/>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lang w:val="fr-FR"/>
              </w:rPr>
            </w:pPr>
            <w:r w:rsidRPr="004D1BD2">
              <w:rPr>
                <w:rFonts w:asciiTheme="minorHAnsi" w:hAnsiTheme="minorHAnsi" w:cstheme="minorHAnsi"/>
                <w:sz w:val="20"/>
                <w:szCs w:val="20"/>
                <w:lang w:val="fr-FR"/>
              </w:rPr>
              <w:t>≈</w:t>
            </w:r>
            <w:r w:rsidR="004D1BD2">
              <w:rPr>
                <w:rFonts w:asciiTheme="minorHAnsi" w:hAnsiTheme="minorHAnsi" w:cstheme="minorHAnsi"/>
                <w:sz w:val="20"/>
                <w:szCs w:val="20"/>
                <w:lang w:val="fr-FR"/>
              </w:rPr>
              <w:t>7</w:t>
            </w:r>
            <w:r w:rsidR="004D1BD2" w:rsidRPr="004D1BD2">
              <w:rPr>
                <w:rFonts w:asciiTheme="minorHAnsi" w:hAnsiTheme="minorHAnsi" w:cstheme="minorHAnsi"/>
                <w:sz w:val="20"/>
                <w:szCs w:val="20"/>
                <w:lang w:val="fr-FR"/>
              </w:rPr>
              <w:t>00–1 000 MAD/m³</w:t>
            </w:r>
          </w:p>
        </w:tc>
      </w:tr>
      <w:bookmarkEnd w:id="428"/>
    </w:tbl>
    <w:p w14:paraId="43F9042E" w14:textId="2BFBCB94" w:rsidR="00085A43" w:rsidRDefault="00085A43" w:rsidP="00C3175E">
      <w:pPr>
        <w:pStyle w:val="NormalWeb"/>
        <w:sectPr w:rsidR="00085A43" w:rsidSect="004637C7">
          <w:pgSz w:w="16838" w:h="11906" w:orient="landscape"/>
          <w:pgMar w:top="1418" w:right="1418" w:bottom="1418" w:left="1276" w:header="680" w:footer="680" w:gutter="0"/>
          <w:cols w:space="708"/>
          <w:docGrid w:linePitch="360"/>
        </w:sectPr>
      </w:pPr>
    </w:p>
    <w:p w14:paraId="15879F10" w14:textId="06605E68" w:rsidR="00C72258" w:rsidRDefault="005A0765" w:rsidP="004637C7">
      <w:pPr>
        <w:pStyle w:val="Title5"/>
      </w:pPr>
      <w:r>
        <w:lastRenderedPageBreak/>
        <w:t>Evaluation des impacts résiduels</w:t>
      </w:r>
    </w:p>
    <w:bookmarkEnd w:id="429"/>
    <w:p w14:paraId="6C722E30" w14:textId="77777777" w:rsidR="00F61C75" w:rsidRDefault="00F61C75" w:rsidP="00F61C75">
      <w:r>
        <w:t>En phase d’exploitation, la présence d’infrastructures de gestion des eaux conformes aux normes environnementales garantit une stabilité durable de la qualité hydrique sur l’ensemble de la plateforme aéroportuaire.</w:t>
      </w:r>
    </w:p>
    <w:p w14:paraId="32AE23BA" w14:textId="77777777" w:rsidR="00F61C75" w:rsidRDefault="00F61C75" w:rsidP="00F61C75">
      <w:r>
        <w:t>Les séparateurs d’hydrocarbures, le réseau séparatif étanche, la station d’épuration en fonctionnement et le plan de maintenance préventive des installations permettent de limiter à un niveau négligeable les risques de pollution chronique des eaux souterraines. Le rejet des eaux pluviales huileuses est précédé d’un traitement systématique, et des analyses de conformité sont effectuées selon un plan de contrôle régulier. L’altération ponctuelle de la qualité des eaux pluviales devient dès lors faible et maîtrisée, limitée à des phénomènes localisés en période de fortes pluies.</w:t>
      </w:r>
    </w:p>
    <w:p w14:paraId="0582CB84" w14:textId="1E93B0B3" w:rsidR="00F61C75" w:rsidRDefault="00F61C75" w:rsidP="00716FFF">
      <w:r>
        <w:t xml:space="preserve">Les risques accidentels de déversement d’hydrocarbures ou de produits chimiques sont fortement réduits grâce aux procédures de stockage sur dalles étanches, à la présence de bacs de rétention et au plan d’urgence environnementale intégré au système de management HSE de l’aéroport. En cas d’incident, les dispositifs d’intervention rapide assurent le confinement immédiat et la récupération des produits déversés, évitant tout transfert vers la nappe du </w:t>
      </w:r>
      <w:r w:rsidR="00716FFF">
        <w:t>Haouz</w:t>
      </w:r>
      <w:r>
        <w:t xml:space="preserve">. </w:t>
      </w:r>
    </w:p>
    <w:p w14:paraId="7514F588" w14:textId="7B6A7DDD" w:rsidR="00C72258" w:rsidRPr="009D0A59" w:rsidRDefault="00F61C75" w:rsidP="004637C7">
      <w:r>
        <w:t>Ainsi, les impacts hydriques restants en phase d’exploitation sont négligeables, stables et sous contrôle permanent. Ils ne présentent aucune menace durable pour la ressource souterraine ni pour la qualité des eaux superficielles.</w:t>
      </w:r>
    </w:p>
    <w:p w14:paraId="2D95AD8C" w14:textId="77777777" w:rsidR="002459B4" w:rsidRPr="00F36AA0" w:rsidRDefault="002459B4" w:rsidP="002459B4">
      <w:pPr>
        <w:pStyle w:val="Title3"/>
      </w:pPr>
      <w:bookmarkStart w:id="432" w:name="_Toc215131878"/>
      <w:r w:rsidRPr="00F36AA0">
        <w:t>Gestion des eaux usées</w:t>
      </w:r>
      <w:bookmarkEnd w:id="432"/>
    </w:p>
    <w:p w14:paraId="622FA169" w14:textId="207990D0" w:rsidR="002459B4" w:rsidRPr="00BD2EBD" w:rsidRDefault="002459B4" w:rsidP="002459B4">
      <w:pPr>
        <w:pStyle w:val="Title4"/>
        <w:tabs>
          <w:tab w:val="clear" w:pos="1134"/>
          <w:tab w:val="left" w:pos="851"/>
        </w:tabs>
      </w:pPr>
      <w:r w:rsidRPr="00BD2EBD">
        <w:t xml:space="preserve">Phase construction </w:t>
      </w:r>
    </w:p>
    <w:p w14:paraId="585012E8" w14:textId="72B549C9" w:rsidR="002459B4" w:rsidRDefault="00866D71" w:rsidP="00866D71">
      <w:pPr>
        <w:pStyle w:val="Title5"/>
      </w:pPr>
      <w:r>
        <w:t>Identification et évaluation des impacts et risques</w:t>
      </w:r>
    </w:p>
    <w:p w14:paraId="31053A05" w14:textId="44B1AB59" w:rsidR="002C5D18" w:rsidRDefault="00454F16" w:rsidP="0001633E">
      <w:pPr>
        <w:pStyle w:val="AltTitle2"/>
        <w:numPr>
          <w:ilvl w:val="0"/>
          <w:numId w:val="106"/>
        </w:numPr>
      </w:pPr>
      <w:bookmarkStart w:id="433" w:name="_Hlk210987433"/>
      <w:r w:rsidRPr="00454F16">
        <w:t>Dégradation de la qualité du sol et des eaux souterraines par infiltration d’eaux usées</w:t>
      </w:r>
    </w:p>
    <w:p w14:paraId="09D4900C" w14:textId="77777777" w:rsidR="00DD40EF" w:rsidRDefault="00DD40EF" w:rsidP="00DD40EF">
      <w:r>
        <w:t>Durant les travaux, les activités humaines sur le chantier peuvent générer des eaux usées domestiques. Ces effluents, composés d’eaux grises et noires, présentent une charge organique et microbienne qui, en cas de confinement insuffisant, pourraient altérer la qualité du sol ou de la nappe phréatique.</w:t>
      </w:r>
    </w:p>
    <w:p w14:paraId="3AA6D11C" w14:textId="77777777" w:rsidR="00DD40EF" w:rsidRDefault="00DD40EF" w:rsidP="00DD40EF">
      <w:r>
        <w:t>L’impact est direct et localisé, circonscrit aux zones d’occupation temporaire ou aux installations sanitaires prévues à cet effet. Sa durée est temporaire, limitée à la période de chantier, et sa fréquence continue durant les activités de construction.</w:t>
      </w:r>
    </w:p>
    <w:p w14:paraId="28889D87" w14:textId="77777777" w:rsidR="00A92ED0" w:rsidRDefault="00DD40EF" w:rsidP="00DD40EF">
      <w:r>
        <w:t xml:space="preserve">L’intensité est jugée faible à moyenne, dans la mesure où la gestion des effluents sera confiée à un prestataire agréé, garantissant l’absence de rejet direct dans le milieu naturel. </w:t>
      </w:r>
    </w:p>
    <w:p w14:paraId="034F582D" w14:textId="3DB10CAC" w:rsidR="002C5D18" w:rsidRDefault="00DD40EF" w:rsidP="00DD40EF">
      <w:r>
        <w:t xml:space="preserve">La sensibilité du milieu récepteur est forte, du fait de la vulnérabilité de la nappe du </w:t>
      </w:r>
      <w:r w:rsidR="008C1850">
        <w:t>Haouz</w:t>
      </w:r>
      <w:r>
        <w:t xml:space="preserve"> et de la perméabilité des sols de la plaine du </w:t>
      </w:r>
      <w:r w:rsidR="008C1850">
        <w:t>Haouz</w:t>
      </w:r>
      <w:r>
        <w:t>.</w:t>
      </w:r>
    </w:p>
    <w:tbl>
      <w:tblPr>
        <w:tblStyle w:val="TableauGrille1Clair-Accentuation111"/>
        <w:tblW w:w="0" w:type="auto"/>
        <w:tblLook w:val="04A0" w:firstRow="1" w:lastRow="0" w:firstColumn="1" w:lastColumn="0" w:noHBand="0" w:noVBand="1"/>
      </w:tblPr>
      <w:tblGrid>
        <w:gridCol w:w="792"/>
        <w:gridCol w:w="1479"/>
        <w:gridCol w:w="1417"/>
        <w:gridCol w:w="3756"/>
        <w:gridCol w:w="1347"/>
      </w:tblGrid>
      <w:tr w:rsidR="00240E7E" w:rsidRPr="00B95A9D" w14:paraId="3BCE37C1" w14:textId="77777777" w:rsidTr="004637C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1EA9FFB6" w14:textId="77777777" w:rsidR="00240E7E" w:rsidRPr="00B95A9D" w:rsidRDefault="00240E7E" w:rsidP="000A3EA4">
            <w:pPr>
              <w:rPr>
                <w:rFonts w:asciiTheme="minorHAnsi" w:hAnsiTheme="minorHAnsi" w:cstheme="minorHAnsi"/>
                <w:szCs w:val="20"/>
                <w:lang w:eastAsia="fr-FR" w:bidi="ar-SA"/>
              </w:rPr>
            </w:pPr>
            <w:r w:rsidRPr="00B95A9D">
              <w:rPr>
                <w:rFonts w:asciiTheme="minorHAnsi" w:hAnsiTheme="minorHAnsi" w:cstheme="minorHAnsi"/>
                <w:szCs w:val="20"/>
                <w:lang w:eastAsia="fr-FR" w:bidi="ar-SA"/>
              </w:rPr>
              <w:t>Impact</w:t>
            </w:r>
          </w:p>
        </w:tc>
        <w:tc>
          <w:tcPr>
            <w:tcW w:w="1479" w:type="dxa"/>
            <w:hideMark/>
          </w:tcPr>
          <w:p w14:paraId="7AC3AD13" w14:textId="77777777" w:rsidR="00240E7E" w:rsidRPr="00B95A9D" w:rsidRDefault="00240E7E" w:rsidP="000A3EA4">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sidRPr="00B95A9D">
              <w:rPr>
                <w:rFonts w:asciiTheme="minorHAnsi" w:hAnsiTheme="minorHAnsi" w:cstheme="minorHAnsi"/>
                <w:szCs w:val="20"/>
                <w:lang w:eastAsia="fr-FR" w:bidi="ar-SA"/>
              </w:rPr>
              <w:t>Activités génératrices</w:t>
            </w:r>
          </w:p>
        </w:tc>
        <w:tc>
          <w:tcPr>
            <w:tcW w:w="1417" w:type="dxa"/>
            <w:hideMark/>
          </w:tcPr>
          <w:p w14:paraId="3FD3A870" w14:textId="77777777" w:rsidR="00240E7E" w:rsidRPr="00B95A9D" w:rsidRDefault="00240E7E" w:rsidP="000A3EA4">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sidRPr="00B95A9D">
              <w:rPr>
                <w:rFonts w:asciiTheme="minorHAnsi" w:hAnsiTheme="minorHAnsi" w:cstheme="minorHAnsi"/>
                <w:szCs w:val="20"/>
                <w:lang w:eastAsia="fr-FR" w:bidi="ar-SA"/>
              </w:rPr>
              <w:t>Critère</w:t>
            </w:r>
          </w:p>
        </w:tc>
        <w:tc>
          <w:tcPr>
            <w:tcW w:w="3756" w:type="dxa"/>
            <w:hideMark/>
          </w:tcPr>
          <w:p w14:paraId="35F1B850" w14:textId="77777777" w:rsidR="00240E7E" w:rsidRPr="00B95A9D" w:rsidRDefault="00240E7E" w:rsidP="000A3EA4">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sidRPr="00B95A9D">
              <w:rPr>
                <w:rFonts w:asciiTheme="minorHAnsi" w:hAnsiTheme="minorHAnsi" w:cstheme="minorHAnsi"/>
                <w:szCs w:val="20"/>
                <w:lang w:eastAsia="fr-FR" w:bidi="ar-SA"/>
              </w:rPr>
              <w:t>Justification</w:t>
            </w:r>
          </w:p>
        </w:tc>
        <w:tc>
          <w:tcPr>
            <w:tcW w:w="1347" w:type="dxa"/>
            <w:hideMark/>
          </w:tcPr>
          <w:p w14:paraId="1538B6EC" w14:textId="77777777" w:rsidR="00240E7E" w:rsidRPr="00B95A9D" w:rsidRDefault="00240E7E" w:rsidP="000A3EA4">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sidRPr="00B95A9D">
              <w:rPr>
                <w:rFonts w:asciiTheme="minorHAnsi" w:hAnsiTheme="minorHAnsi" w:cstheme="minorHAnsi"/>
                <w:szCs w:val="20"/>
                <w:lang w:eastAsia="fr-FR" w:bidi="ar-SA"/>
              </w:rPr>
              <w:t>Niveau</w:t>
            </w:r>
          </w:p>
        </w:tc>
      </w:tr>
      <w:tr w:rsidR="009F64B7" w:rsidRPr="00B95A9D" w14:paraId="1E6D8760" w14:textId="77777777" w:rsidTr="004637C7">
        <w:tc>
          <w:tcPr>
            <w:cnfStyle w:val="001000000000" w:firstRow="0" w:lastRow="0" w:firstColumn="1" w:lastColumn="0" w:oddVBand="0" w:evenVBand="0" w:oddHBand="0" w:evenHBand="0" w:firstRowFirstColumn="0" w:firstRowLastColumn="0" w:lastRowFirstColumn="0" w:lastRowLastColumn="0"/>
            <w:tcW w:w="0" w:type="auto"/>
            <w:vMerge w:val="restart"/>
            <w:textDirection w:val="tbRl"/>
            <w:vAlign w:val="center"/>
          </w:tcPr>
          <w:p w14:paraId="713DAD8B" w14:textId="48F08ECF" w:rsidR="009F64B7" w:rsidRPr="00B95A9D" w:rsidRDefault="009F64B7" w:rsidP="004637C7">
            <w:pPr>
              <w:ind w:left="113" w:right="113"/>
              <w:jc w:val="center"/>
              <w:rPr>
                <w:rFonts w:asciiTheme="minorHAnsi" w:hAnsiTheme="minorHAnsi" w:cstheme="minorHAnsi"/>
                <w:szCs w:val="20"/>
                <w:lang w:eastAsia="fr-FR" w:bidi="ar-SA"/>
              </w:rPr>
            </w:pPr>
            <w:r w:rsidRPr="005748FD">
              <w:t>Dégradation localisée de la qualité du sol et des eaux souterraines par infiltration d’eaux usées</w:t>
            </w:r>
          </w:p>
        </w:tc>
        <w:tc>
          <w:tcPr>
            <w:tcW w:w="0" w:type="dxa"/>
            <w:vMerge w:val="restart"/>
          </w:tcPr>
          <w:p w14:paraId="6637A3CE" w14:textId="3F20E7A0" w:rsidR="009F64B7" w:rsidRPr="00B95A9D" w:rsidRDefault="009F64B7" w:rsidP="009F64B7">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sidRPr="005748FD">
              <w:t xml:space="preserve">Utilisation de sanitaires temporaires, collecte et transfert des effluents </w:t>
            </w:r>
          </w:p>
        </w:tc>
        <w:tc>
          <w:tcPr>
            <w:tcW w:w="0" w:type="dxa"/>
            <w:hideMark/>
          </w:tcPr>
          <w:p w14:paraId="7F940ED7" w14:textId="77777777" w:rsidR="009F64B7" w:rsidRPr="00B95A9D" w:rsidRDefault="009F64B7" w:rsidP="009F64B7">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Cs w:val="20"/>
                <w:lang w:eastAsia="fr-FR" w:bidi="ar-SA"/>
              </w:rPr>
            </w:pPr>
            <w:r w:rsidRPr="00B95A9D">
              <w:rPr>
                <w:rFonts w:asciiTheme="minorHAnsi" w:hAnsiTheme="minorHAnsi" w:cstheme="minorHAnsi"/>
                <w:b/>
                <w:bCs/>
                <w:szCs w:val="20"/>
                <w:lang w:eastAsia="fr-FR" w:bidi="ar-SA"/>
              </w:rPr>
              <w:t>Nature</w:t>
            </w:r>
          </w:p>
        </w:tc>
        <w:tc>
          <w:tcPr>
            <w:tcW w:w="0" w:type="dxa"/>
            <w:gridSpan w:val="2"/>
          </w:tcPr>
          <w:p w14:paraId="6E0A5BB8" w14:textId="079A824B" w:rsidR="009F64B7" w:rsidRPr="00B95A9D" w:rsidRDefault="009F64B7" w:rsidP="009F64B7">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Pr>
                <w:rFonts w:asciiTheme="minorHAnsi" w:hAnsiTheme="minorHAnsi" w:cstheme="minorHAnsi"/>
                <w:szCs w:val="20"/>
                <w:lang w:eastAsia="fr-FR" w:bidi="ar-SA"/>
              </w:rPr>
              <w:t>Direct négatif</w:t>
            </w:r>
          </w:p>
        </w:tc>
      </w:tr>
      <w:tr w:rsidR="00363ED9" w:rsidRPr="00B95A9D" w14:paraId="0CD7B1A3" w14:textId="77777777" w:rsidTr="000A3EA4">
        <w:tc>
          <w:tcPr>
            <w:cnfStyle w:val="001000000000" w:firstRow="0" w:lastRow="0" w:firstColumn="1" w:lastColumn="0" w:oddVBand="0" w:evenVBand="0" w:oddHBand="0" w:evenHBand="0" w:firstRowFirstColumn="0" w:firstRowLastColumn="0" w:lastRowFirstColumn="0" w:lastRowLastColumn="0"/>
            <w:tcW w:w="0" w:type="auto"/>
            <w:vMerge/>
            <w:hideMark/>
          </w:tcPr>
          <w:p w14:paraId="6AEF2625" w14:textId="77777777" w:rsidR="00363ED9" w:rsidRPr="00B95A9D" w:rsidRDefault="00363ED9" w:rsidP="000A3EA4">
            <w:pPr>
              <w:rPr>
                <w:rFonts w:asciiTheme="minorHAnsi" w:hAnsiTheme="minorHAnsi" w:cstheme="minorHAnsi"/>
                <w:szCs w:val="20"/>
                <w:lang w:eastAsia="fr-FR" w:bidi="ar-SA"/>
              </w:rPr>
            </w:pPr>
          </w:p>
        </w:tc>
        <w:tc>
          <w:tcPr>
            <w:tcW w:w="1479" w:type="dxa"/>
            <w:vMerge/>
            <w:hideMark/>
          </w:tcPr>
          <w:p w14:paraId="73974316" w14:textId="77777777" w:rsidR="00363ED9" w:rsidRPr="00B95A9D" w:rsidRDefault="00363ED9" w:rsidP="000A3EA4">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p>
        </w:tc>
        <w:tc>
          <w:tcPr>
            <w:tcW w:w="1417" w:type="dxa"/>
            <w:hideMark/>
          </w:tcPr>
          <w:p w14:paraId="0CF5A7B2" w14:textId="77777777" w:rsidR="00363ED9" w:rsidRPr="00B95A9D" w:rsidRDefault="00363ED9" w:rsidP="000A3EA4">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Cs w:val="20"/>
                <w:lang w:eastAsia="fr-FR" w:bidi="ar-SA"/>
              </w:rPr>
            </w:pPr>
            <w:r w:rsidRPr="00B95A9D">
              <w:rPr>
                <w:rFonts w:asciiTheme="minorHAnsi" w:hAnsiTheme="minorHAnsi" w:cstheme="minorHAnsi"/>
                <w:b/>
                <w:bCs/>
                <w:szCs w:val="20"/>
                <w:lang w:eastAsia="fr-FR" w:bidi="ar-SA"/>
              </w:rPr>
              <w:t>Étendue</w:t>
            </w:r>
          </w:p>
        </w:tc>
        <w:tc>
          <w:tcPr>
            <w:tcW w:w="3756" w:type="dxa"/>
          </w:tcPr>
          <w:p w14:paraId="472EFF27" w14:textId="4FBA0D6A" w:rsidR="00363ED9" w:rsidRPr="00B95A9D" w:rsidRDefault="009E2F9B" w:rsidP="000A3EA4">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sidRPr="009E2F9B">
              <w:rPr>
                <w:rFonts w:asciiTheme="minorHAnsi" w:hAnsiTheme="minorHAnsi" w:cstheme="minorHAnsi"/>
                <w:szCs w:val="20"/>
                <w:lang w:eastAsia="fr-FR" w:bidi="ar-SA"/>
              </w:rPr>
              <w:t>L’impact est limité aux zones de chantier et d’installation temporaire.</w:t>
            </w:r>
          </w:p>
        </w:tc>
        <w:tc>
          <w:tcPr>
            <w:tcW w:w="1347" w:type="dxa"/>
          </w:tcPr>
          <w:p w14:paraId="70FF4A70" w14:textId="0090962C" w:rsidR="00363ED9" w:rsidRPr="00B95A9D" w:rsidRDefault="009F64B7" w:rsidP="000A3EA4">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Cs w:val="20"/>
                <w:lang w:eastAsia="fr-FR" w:bidi="ar-SA"/>
              </w:rPr>
            </w:pPr>
            <w:r>
              <w:rPr>
                <w:rFonts w:asciiTheme="minorHAnsi" w:hAnsiTheme="minorHAnsi" w:cstheme="minorHAnsi"/>
                <w:b/>
                <w:bCs/>
                <w:szCs w:val="20"/>
                <w:lang w:eastAsia="fr-FR" w:bidi="ar-SA"/>
              </w:rPr>
              <w:t>Local</w:t>
            </w:r>
            <w:r w:rsidR="009E2F9B">
              <w:rPr>
                <w:rFonts w:asciiTheme="minorHAnsi" w:hAnsiTheme="minorHAnsi" w:cstheme="minorHAnsi"/>
                <w:b/>
                <w:bCs/>
                <w:szCs w:val="20"/>
                <w:lang w:eastAsia="fr-FR" w:bidi="ar-SA"/>
              </w:rPr>
              <w:t>e</w:t>
            </w:r>
          </w:p>
        </w:tc>
      </w:tr>
      <w:tr w:rsidR="00363ED9" w:rsidRPr="00B95A9D" w14:paraId="2DE1C952" w14:textId="77777777" w:rsidTr="000A3EA4">
        <w:tc>
          <w:tcPr>
            <w:cnfStyle w:val="001000000000" w:firstRow="0" w:lastRow="0" w:firstColumn="1" w:lastColumn="0" w:oddVBand="0" w:evenVBand="0" w:oddHBand="0" w:evenHBand="0" w:firstRowFirstColumn="0" w:firstRowLastColumn="0" w:lastRowFirstColumn="0" w:lastRowLastColumn="0"/>
            <w:tcW w:w="0" w:type="auto"/>
            <w:vMerge/>
            <w:hideMark/>
          </w:tcPr>
          <w:p w14:paraId="49C672EF" w14:textId="77777777" w:rsidR="00363ED9" w:rsidRPr="00B95A9D" w:rsidRDefault="00363ED9" w:rsidP="000A3EA4">
            <w:pPr>
              <w:rPr>
                <w:rFonts w:asciiTheme="minorHAnsi" w:hAnsiTheme="minorHAnsi" w:cstheme="minorHAnsi"/>
                <w:szCs w:val="20"/>
                <w:lang w:eastAsia="fr-FR" w:bidi="ar-SA"/>
              </w:rPr>
            </w:pPr>
          </w:p>
        </w:tc>
        <w:tc>
          <w:tcPr>
            <w:tcW w:w="1479" w:type="dxa"/>
            <w:vMerge/>
            <w:hideMark/>
          </w:tcPr>
          <w:p w14:paraId="5D3427EB" w14:textId="77777777" w:rsidR="00363ED9" w:rsidRPr="00B95A9D" w:rsidRDefault="00363ED9" w:rsidP="000A3EA4">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p>
        </w:tc>
        <w:tc>
          <w:tcPr>
            <w:tcW w:w="1417" w:type="dxa"/>
            <w:hideMark/>
          </w:tcPr>
          <w:p w14:paraId="34EC4E32" w14:textId="77777777" w:rsidR="00363ED9" w:rsidRPr="00B95A9D" w:rsidRDefault="00363ED9" w:rsidP="000A3EA4">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Cs w:val="20"/>
                <w:lang w:eastAsia="fr-FR" w:bidi="ar-SA"/>
              </w:rPr>
            </w:pPr>
            <w:r w:rsidRPr="00B95A9D">
              <w:rPr>
                <w:rFonts w:asciiTheme="minorHAnsi" w:hAnsiTheme="minorHAnsi" w:cstheme="minorHAnsi"/>
                <w:b/>
                <w:bCs/>
                <w:szCs w:val="20"/>
                <w:lang w:eastAsia="fr-FR" w:bidi="ar-SA"/>
              </w:rPr>
              <w:t>Durée</w:t>
            </w:r>
          </w:p>
        </w:tc>
        <w:tc>
          <w:tcPr>
            <w:tcW w:w="3756" w:type="dxa"/>
          </w:tcPr>
          <w:p w14:paraId="68809640" w14:textId="17413D2C" w:rsidR="00363ED9" w:rsidRPr="00B95A9D" w:rsidRDefault="009E2F9B" w:rsidP="000A3EA4">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sidRPr="009E2F9B">
              <w:rPr>
                <w:rFonts w:asciiTheme="minorHAnsi" w:hAnsiTheme="minorHAnsi" w:cstheme="minorHAnsi"/>
                <w:szCs w:val="20"/>
                <w:lang w:eastAsia="fr-FR" w:bidi="ar-SA"/>
              </w:rPr>
              <w:t>L’impact cessera avec la fin des travaux et la désinstallation des sanitaires.</w:t>
            </w:r>
          </w:p>
        </w:tc>
        <w:tc>
          <w:tcPr>
            <w:tcW w:w="1347" w:type="dxa"/>
          </w:tcPr>
          <w:p w14:paraId="2810F709" w14:textId="45CA2969" w:rsidR="00363ED9" w:rsidRPr="00B95A9D" w:rsidRDefault="009E2F9B" w:rsidP="000A3EA4">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Cs w:val="20"/>
                <w:lang w:eastAsia="fr-FR" w:bidi="ar-SA"/>
              </w:rPr>
            </w:pPr>
            <w:r>
              <w:rPr>
                <w:rFonts w:asciiTheme="minorHAnsi" w:hAnsiTheme="minorHAnsi" w:cstheme="minorHAnsi"/>
                <w:b/>
                <w:bCs/>
                <w:szCs w:val="20"/>
                <w:lang w:eastAsia="fr-FR" w:bidi="ar-SA"/>
              </w:rPr>
              <w:t>Court terme</w:t>
            </w:r>
          </w:p>
        </w:tc>
      </w:tr>
      <w:tr w:rsidR="00363ED9" w:rsidRPr="00B95A9D" w14:paraId="2C197D25" w14:textId="77777777" w:rsidTr="000A3EA4">
        <w:tc>
          <w:tcPr>
            <w:cnfStyle w:val="001000000000" w:firstRow="0" w:lastRow="0" w:firstColumn="1" w:lastColumn="0" w:oddVBand="0" w:evenVBand="0" w:oddHBand="0" w:evenHBand="0" w:firstRowFirstColumn="0" w:firstRowLastColumn="0" w:lastRowFirstColumn="0" w:lastRowLastColumn="0"/>
            <w:tcW w:w="0" w:type="auto"/>
            <w:vMerge/>
            <w:hideMark/>
          </w:tcPr>
          <w:p w14:paraId="49F51958" w14:textId="77777777" w:rsidR="00363ED9" w:rsidRPr="00B95A9D" w:rsidRDefault="00363ED9" w:rsidP="000A3EA4">
            <w:pPr>
              <w:rPr>
                <w:rFonts w:asciiTheme="minorHAnsi" w:hAnsiTheme="minorHAnsi" w:cstheme="minorHAnsi"/>
                <w:szCs w:val="20"/>
                <w:lang w:eastAsia="fr-FR" w:bidi="ar-SA"/>
              </w:rPr>
            </w:pPr>
          </w:p>
        </w:tc>
        <w:tc>
          <w:tcPr>
            <w:tcW w:w="1479" w:type="dxa"/>
            <w:vMerge/>
            <w:hideMark/>
          </w:tcPr>
          <w:p w14:paraId="5ADA148B" w14:textId="77777777" w:rsidR="00363ED9" w:rsidRPr="00B95A9D" w:rsidRDefault="00363ED9" w:rsidP="000A3EA4">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p>
        </w:tc>
        <w:tc>
          <w:tcPr>
            <w:tcW w:w="1417" w:type="dxa"/>
            <w:hideMark/>
          </w:tcPr>
          <w:p w14:paraId="7B52EE96" w14:textId="77777777" w:rsidR="00363ED9" w:rsidRPr="00B95A9D" w:rsidRDefault="00363ED9" w:rsidP="000A3EA4">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Cs w:val="20"/>
                <w:lang w:eastAsia="fr-FR" w:bidi="ar-SA"/>
              </w:rPr>
            </w:pPr>
            <w:r w:rsidRPr="00B95A9D">
              <w:rPr>
                <w:rFonts w:asciiTheme="minorHAnsi" w:hAnsiTheme="minorHAnsi" w:cstheme="minorHAnsi"/>
                <w:b/>
                <w:bCs/>
                <w:szCs w:val="20"/>
                <w:lang w:eastAsia="fr-FR" w:bidi="ar-SA"/>
              </w:rPr>
              <w:t>Fréquence</w:t>
            </w:r>
          </w:p>
        </w:tc>
        <w:tc>
          <w:tcPr>
            <w:tcW w:w="3756" w:type="dxa"/>
          </w:tcPr>
          <w:p w14:paraId="3797E562" w14:textId="62CE945E" w:rsidR="00363ED9" w:rsidRPr="00911A3C" w:rsidRDefault="009E2F9B" w:rsidP="000A3EA4">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sidRPr="009E2F9B">
              <w:rPr>
                <w:rFonts w:asciiTheme="minorHAnsi" w:hAnsiTheme="minorHAnsi" w:cstheme="minorHAnsi"/>
                <w:szCs w:val="20"/>
                <w:lang w:eastAsia="fr-FR" w:bidi="ar-SA"/>
              </w:rPr>
              <w:t>Généré tant que les activités humaines sont présentes sur site.</w:t>
            </w:r>
          </w:p>
        </w:tc>
        <w:tc>
          <w:tcPr>
            <w:tcW w:w="1347" w:type="dxa"/>
          </w:tcPr>
          <w:p w14:paraId="5947A1DD" w14:textId="5C20FB64" w:rsidR="00363ED9" w:rsidRPr="00B95A9D" w:rsidRDefault="009E2F9B" w:rsidP="000A3EA4">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Cs w:val="20"/>
                <w:lang w:eastAsia="fr-FR" w:bidi="ar-SA"/>
              </w:rPr>
            </w:pPr>
            <w:r>
              <w:rPr>
                <w:rFonts w:asciiTheme="minorHAnsi" w:hAnsiTheme="minorHAnsi" w:cstheme="minorHAnsi"/>
                <w:b/>
                <w:bCs/>
                <w:szCs w:val="20"/>
                <w:lang w:eastAsia="fr-FR" w:bidi="ar-SA"/>
              </w:rPr>
              <w:t>Continue</w:t>
            </w:r>
          </w:p>
        </w:tc>
      </w:tr>
      <w:tr w:rsidR="00363ED9" w:rsidRPr="00B95A9D" w14:paraId="74C5D45C" w14:textId="77777777" w:rsidTr="000A3EA4">
        <w:tc>
          <w:tcPr>
            <w:cnfStyle w:val="001000000000" w:firstRow="0" w:lastRow="0" w:firstColumn="1" w:lastColumn="0" w:oddVBand="0" w:evenVBand="0" w:oddHBand="0" w:evenHBand="0" w:firstRowFirstColumn="0" w:firstRowLastColumn="0" w:lastRowFirstColumn="0" w:lastRowLastColumn="0"/>
            <w:tcW w:w="0" w:type="auto"/>
            <w:vMerge/>
            <w:hideMark/>
          </w:tcPr>
          <w:p w14:paraId="68E2B075" w14:textId="77777777" w:rsidR="00363ED9" w:rsidRPr="00B95A9D" w:rsidRDefault="00363ED9" w:rsidP="000A3EA4">
            <w:pPr>
              <w:rPr>
                <w:rFonts w:asciiTheme="minorHAnsi" w:hAnsiTheme="minorHAnsi" w:cstheme="minorHAnsi"/>
                <w:szCs w:val="20"/>
                <w:lang w:eastAsia="fr-FR" w:bidi="ar-SA"/>
              </w:rPr>
            </w:pPr>
          </w:p>
        </w:tc>
        <w:tc>
          <w:tcPr>
            <w:tcW w:w="1479" w:type="dxa"/>
            <w:vMerge/>
            <w:hideMark/>
          </w:tcPr>
          <w:p w14:paraId="5B98654C" w14:textId="77777777" w:rsidR="00363ED9" w:rsidRPr="00B95A9D" w:rsidRDefault="00363ED9" w:rsidP="000A3EA4">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p>
        </w:tc>
        <w:tc>
          <w:tcPr>
            <w:tcW w:w="1417" w:type="dxa"/>
            <w:shd w:val="clear" w:color="auto" w:fill="D9E2F3"/>
            <w:hideMark/>
          </w:tcPr>
          <w:p w14:paraId="00730AED" w14:textId="77777777" w:rsidR="00363ED9" w:rsidRPr="00B95A9D" w:rsidRDefault="00363ED9" w:rsidP="000A3EA4">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Cs w:val="20"/>
                <w:lang w:eastAsia="fr-FR" w:bidi="ar-SA"/>
              </w:rPr>
            </w:pPr>
            <w:r w:rsidRPr="00B95A9D">
              <w:rPr>
                <w:rFonts w:asciiTheme="minorHAnsi" w:hAnsiTheme="minorHAnsi" w:cstheme="minorHAnsi"/>
                <w:b/>
                <w:bCs/>
                <w:szCs w:val="20"/>
                <w:lang w:eastAsia="fr-FR" w:bidi="ar-SA"/>
              </w:rPr>
              <w:t>Intensité</w:t>
            </w:r>
          </w:p>
        </w:tc>
        <w:tc>
          <w:tcPr>
            <w:tcW w:w="3756" w:type="dxa"/>
            <w:shd w:val="clear" w:color="auto" w:fill="D9E2F3"/>
          </w:tcPr>
          <w:p w14:paraId="5876D24E" w14:textId="06B310BE" w:rsidR="00363ED9" w:rsidRPr="00B95A9D" w:rsidRDefault="009E2F9B" w:rsidP="000A3EA4">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sidRPr="009E2F9B">
              <w:rPr>
                <w:rFonts w:asciiTheme="minorHAnsi" w:hAnsiTheme="minorHAnsi" w:cstheme="minorHAnsi"/>
                <w:szCs w:val="20"/>
                <w:lang w:eastAsia="fr-FR" w:bidi="ar-SA"/>
              </w:rPr>
              <w:t>Les volumes en jeu sont réduits mais peuvent affecter localement la qualité du sol.</w:t>
            </w:r>
          </w:p>
        </w:tc>
        <w:tc>
          <w:tcPr>
            <w:tcW w:w="1347" w:type="dxa"/>
            <w:shd w:val="clear" w:color="auto" w:fill="D9E2F3"/>
          </w:tcPr>
          <w:p w14:paraId="616EDA9E" w14:textId="264559B2" w:rsidR="00363ED9" w:rsidRPr="00B95A9D" w:rsidRDefault="009E2F9B" w:rsidP="000A3EA4">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Cs w:val="20"/>
                <w:lang w:eastAsia="fr-FR" w:bidi="ar-SA"/>
              </w:rPr>
            </w:pPr>
            <w:r>
              <w:rPr>
                <w:rFonts w:asciiTheme="minorHAnsi" w:hAnsiTheme="minorHAnsi" w:cstheme="minorHAnsi"/>
                <w:b/>
                <w:bCs/>
                <w:szCs w:val="20"/>
                <w:lang w:eastAsia="fr-FR" w:bidi="ar-SA"/>
              </w:rPr>
              <w:t>Faible à moyenne</w:t>
            </w:r>
          </w:p>
        </w:tc>
      </w:tr>
      <w:tr w:rsidR="00363ED9" w:rsidRPr="00B95A9D" w14:paraId="49F1EB31" w14:textId="77777777" w:rsidTr="000A3EA4">
        <w:tc>
          <w:tcPr>
            <w:cnfStyle w:val="001000000000" w:firstRow="0" w:lastRow="0" w:firstColumn="1" w:lastColumn="0" w:oddVBand="0" w:evenVBand="0" w:oddHBand="0" w:evenHBand="0" w:firstRowFirstColumn="0" w:firstRowLastColumn="0" w:lastRowFirstColumn="0" w:lastRowLastColumn="0"/>
            <w:tcW w:w="0" w:type="auto"/>
            <w:vMerge/>
          </w:tcPr>
          <w:p w14:paraId="6470BC04" w14:textId="77777777" w:rsidR="00363ED9" w:rsidRPr="00B95A9D" w:rsidRDefault="00363ED9" w:rsidP="000A3EA4">
            <w:pPr>
              <w:rPr>
                <w:rFonts w:asciiTheme="minorHAnsi" w:hAnsiTheme="minorHAnsi" w:cstheme="minorHAnsi"/>
                <w:szCs w:val="20"/>
                <w:lang w:eastAsia="fr-FR" w:bidi="ar-SA"/>
              </w:rPr>
            </w:pPr>
          </w:p>
        </w:tc>
        <w:tc>
          <w:tcPr>
            <w:tcW w:w="7999" w:type="dxa"/>
            <w:gridSpan w:val="4"/>
          </w:tcPr>
          <w:p w14:paraId="53E9C330" w14:textId="77777777" w:rsidR="00363ED9" w:rsidRPr="00B95A9D" w:rsidRDefault="00363ED9" w:rsidP="000A3EA4">
            <w:pPr>
              <w:spacing w:before="0" w:after="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Cs w:val="20"/>
                <w:lang w:eastAsia="fr-FR" w:bidi="ar-SA"/>
              </w:rPr>
            </w:pPr>
          </w:p>
        </w:tc>
      </w:tr>
      <w:tr w:rsidR="00363ED9" w:rsidRPr="00B95A9D" w14:paraId="341A8D9A" w14:textId="77777777" w:rsidTr="000A3EA4">
        <w:tc>
          <w:tcPr>
            <w:cnfStyle w:val="001000000000" w:firstRow="0" w:lastRow="0" w:firstColumn="1" w:lastColumn="0" w:oddVBand="0" w:evenVBand="0" w:oddHBand="0" w:evenHBand="0" w:firstRowFirstColumn="0" w:firstRowLastColumn="0" w:lastRowFirstColumn="0" w:lastRowLastColumn="0"/>
            <w:tcW w:w="0" w:type="auto"/>
            <w:vMerge/>
          </w:tcPr>
          <w:p w14:paraId="60D8A013" w14:textId="77777777" w:rsidR="00363ED9" w:rsidRPr="00B95A9D" w:rsidRDefault="00363ED9" w:rsidP="000A3EA4">
            <w:pPr>
              <w:rPr>
                <w:rFonts w:asciiTheme="minorHAnsi" w:hAnsiTheme="minorHAnsi" w:cstheme="minorHAnsi"/>
                <w:szCs w:val="20"/>
                <w:lang w:eastAsia="fr-FR" w:bidi="ar-SA"/>
              </w:rPr>
            </w:pPr>
          </w:p>
        </w:tc>
        <w:tc>
          <w:tcPr>
            <w:tcW w:w="1479" w:type="dxa"/>
            <w:shd w:val="clear" w:color="auto" w:fill="B4C6E7" w:themeFill="accent1" w:themeFillTint="66"/>
            <w:vAlign w:val="center"/>
          </w:tcPr>
          <w:p w14:paraId="7181DA9B" w14:textId="77777777" w:rsidR="00363ED9" w:rsidRPr="00B95A9D" w:rsidRDefault="00363ED9" w:rsidP="000A3EA4">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sidRPr="00B95A9D">
              <w:rPr>
                <w:rFonts w:asciiTheme="minorHAnsi" w:hAnsiTheme="minorHAnsi" w:cstheme="minorHAnsi"/>
                <w:b/>
                <w:bCs/>
                <w:szCs w:val="20"/>
              </w:rPr>
              <w:t>Intensité de l’impact</w:t>
            </w:r>
          </w:p>
        </w:tc>
        <w:tc>
          <w:tcPr>
            <w:tcW w:w="1417" w:type="dxa"/>
            <w:shd w:val="clear" w:color="auto" w:fill="B4C6E7" w:themeFill="accent1" w:themeFillTint="66"/>
            <w:vAlign w:val="center"/>
          </w:tcPr>
          <w:p w14:paraId="1DAC671E" w14:textId="77777777" w:rsidR="00363ED9" w:rsidRPr="00B95A9D" w:rsidRDefault="00363ED9" w:rsidP="000A3EA4">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Cs w:val="20"/>
                <w:lang w:eastAsia="fr-FR" w:bidi="ar-SA"/>
              </w:rPr>
            </w:pPr>
            <w:r w:rsidRPr="00B95A9D">
              <w:rPr>
                <w:rFonts w:asciiTheme="minorHAnsi" w:hAnsiTheme="minorHAnsi" w:cstheme="minorHAnsi"/>
                <w:b/>
                <w:bCs/>
                <w:szCs w:val="20"/>
              </w:rPr>
              <w:t>Récepteurs</w:t>
            </w:r>
          </w:p>
        </w:tc>
        <w:tc>
          <w:tcPr>
            <w:tcW w:w="3756" w:type="dxa"/>
            <w:shd w:val="clear" w:color="auto" w:fill="B4C6E7" w:themeFill="accent1" w:themeFillTint="66"/>
            <w:vAlign w:val="center"/>
          </w:tcPr>
          <w:p w14:paraId="79FCB8A5" w14:textId="77777777" w:rsidR="00363ED9" w:rsidRPr="00B95A9D" w:rsidRDefault="00363ED9" w:rsidP="000A3EA4">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sidRPr="00B95A9D">
              <w:rPr>
                <w:rFonts w:asciiTheme="minorHAnsi" w:hAnsiTheme="minorHAnsi" w:cstheme="minorHAnsi"/>
                <w:b/>
                <w:bCs/>
                <w:szCs w:val="20"/>
              </w:rPr>
              <w:t>Sensibilité</w:t>
            </w:r>
          </w:p>
        </w:tc>
        <w:tc>
          <w:tcPr>
            <w:tcW w:w="1347" w:type="dxa"/>
            <w:shd w:val="clear" w:color="auto" w:fill="B4C6E7" w:themeFill="accent1" w:themeFillTint="66"/>
            <w:vAlign w:val="center"/>
          </w:tcPr>
          <w:p w14:paraId="6F448E78" w14:textId="77777777" w:rsidR="00363ED9" w:rsidRPr="00B95A9D" w:rsidRDefault="00363ED9" w:rsidP="000A3EA4">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Cs w:val="20"/>
                <w:lang w:eastAsia="fr-FR" w:bidi="ar-SA"/>
              </w:rPr>
            </w:pPr>
            <w:r w:rsidRPr="00B95A9D">
              <w:rPr>
                <w:rFonts w:asciiTheme="minorHAnsi" w:hAnsiTheme="minorHAnsi" w:cstheme="minorHAnsi"/>
                <w:b/>
                <w:bCs/>
                <w:szCs w:val="20"/>
              </w:rPr>
              <w:t>Importance de l’impact</w:t>
            </w:r>
          </w:p>
        </w:tc>
      </w:tr>
      <w:tr w:rsidR="00363ED9" w:rsidRPr="00B95A9D" w14:paraId="1390F77C" w14:textId="77777777" w:rsidTr="000A3EA4">
        <w:tc>
          <w:tcPr>
            <w:cnfStyle w:val="001000000000" w:firstRow="0" w:lastRow="0" w:firstColumn="1" w:lastColumn="0" w:oddVBand="0" w:evenVBand="0" w:oddHBand="0" w:evenHBand="0" w:firstRowFirstColumn="0" w:firstRowLastColumn="0" w:lastRowFirstColumn="0" w:lastRowLastColumn="0"/>
            <w:tcW w:w="0" w:type="auto"/>
            <w:vMerge/>
          </w:tcPr>
          <w:p w14:paraId="262F2615" w14:textId="77777777" w:rsidR="00363ED9" w:rsidRPr="00B95A9D" w:rsidRDefault="00363ED9" w:rsidP="000A3EA4">
            <w:pPr>
              <w:rPr>
                <w:rFonts w:asciiTheme="minorHAnsi" w:hAnsiTheme="minorHAnsi" w:cstheme="minorHAnsi"/>
                <w:szCs w:val="20"/>
                <w:lang w:eastAsia="fr-FR" w:bidi="ar-SA"/>
              </w:rPr>
            </w:pPr>
          </w:p>
        </w:tc>
        <w:tc>
          <w:tcPr>
            <w:tcW w:w="1479" w:type="dxa"/>
            <w:vAlign w:val="center"/>
          </w:tcPr>
          <w:p w14:paraId="79D4B856" w14:textId="23CE30DD" w:rsidR="00363ED9" w:rsidRDefault="009E2F9B" w:rsidP="000A3EA4">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Pr>
                <w:rFonts w:asciiTheme="minorHAnsi" w:hAnsiTheme="minorHAnsi" w:cstheme="minorHAnsi"/>
                <w:szCs w:val="20"/>
                <w:lang w:eastAsia="fr-FR" w:bidi="ar-SA"/>
              </w:rPr>
              <w:t>Faible à moyenne</w:t>
            </w:r>
          </w:p>
        </w:tc>
        <w:tc>
          <w:tcPr>
            <w:tcW w:w="1417" w:type="dxa"/>
            <w:vAlign w:val="center"/>
          </w:tcPr>
          <w:p w14:paraId="70B0AABC" w14:textId="74F71C4B" w:rsidR="00363ED9" w:rsidRDefault="009E2F9B" w:rsidP="000A3EA4">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Cs w:val="20"/>
                <w:lang w:eastAsia="fr-FR" w:bidi="ar-SA"/>
              </w:rPr>
            </w:pPr>
            <w:r w:rsidRPr="009E2F9B">
              <w:rPr>
                <w:rFonts w:asciiTheme="minorHAnsi" w:hAnsiTheme="minorHAnsi" w:cstheme="minorHAnsi"/>
                <w:b/>
                <w:bCs/>
                <w:szCs w:val="20"/>
                <w:lang w:eastAsia="fr-FR" w:bidi="ar-SA"/>
              </w:rPr>
              <w:t xml:space="preserve">La nappe du </w:t>
            </w:r>
            <w:r w:rsidR="008C1850">
              <w:rPr>
                <w:rFonts w:asciiTheme="minorHAnsi" w:hAnsiTheme="minorHAnsi" w:cstheme="minorHAnsi"/>
                <w:b/>
                <w:bCs/>
                <w:szCs w:val="20"/>
                <w:lang w:eastAsia="fr-FR" w:bidi="ar-SA"/>
              </w:rPr>
              <w:t>Haouz</w:t>
            </w:r>
            <w:r w:rsidRPr="009E2F9B">
              <w:rPr>
                <w:rFonts w:asciiTheme="minorHAnsi" w:hAnsiTheme="minorHAnsi" w:cstheme="minorHAnsi"/>
                <w:b/>
                <w:bCs/>
                <w:szCs w:val="20"/>
                <w:lang w:eastAsia="fr-FR" w:bidi="ar-SA"/>
              </w:rPr>
              <w:t xml:space="preserve"> </w:t>
            </w:r>
          </w:p>
        </w:tc>
        <w:tc>
          <w:tcPr>
            <w:tcW w:w="3756" w:type="dxa"/>
            <w:vAlign w:val="center"/>
          </w:tcPr>
          <w:p w14:paraId="4492D2ED" w14:textId="05F8A496" w:rsidR="00363ED9" w:rsidRDefault="009E2F9B" w:rsidP="000A3EA4">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Pr>
                <w:rFonts w:asciiTheme="minorHAnsi" w:hAnsiTheme="minorHAnsi" w:cstheme="minorHAnsi"/>
                <w:szCs w:val="20"/>
                <w:lang w:eastAsia="fr-FR" w:bidi="ar-SA"/>
              </w:rPr>
              <w:t>Forte :</w:t>
            </w:r>
            <w:r w:rsidRPr="009E2F9B">
              <w:rPr>
                <w:rFonts w:asciiTheme="minorHAnsi" w:hAnsiTheme="minorHAnsi" w:cstheme="minorHAnsi"/>
                <w:b/>
                <w:bCs/>
                <w:szCs w:val="20"/>
                <w:lang w:eastAsia="fr-FR" w:bidi="ar-SA"/>
              </w:rPr>
              <w:t xml:space="preserve"> </w:t>
            </w:r>
            <w:r w:rsidRPr="004637C7">
              <w:rPr>
                <w:rFonts w:asciiTheme="minorHAnsi" w:hAnsiTheme="minorHAnsi" w:cstheme="minorHAnsi"/>
                <w:szCs w:val="20"/>
                <w:lang w:eastAsia="fr-FR" w:bidi="ar-SA"/>
              </w:rPr>
              <w:t>la nappe est vulnérable à la contamination.</w:t>
            </w:r>
          </w:p>
        </w:tc>
        <w:tc>
          <w:tcPr>
            <w:tcW w:w="1347" w:type="dxa"/>
            <w:vAlign w:val="center"/>
          </w:tcPr>
          <w:p w14:paraId="4FB2A5D7" w14:textId="4D462769" w:rsidR="00363ED9" w:rsidRDefault="00A92ED0" w:rsidP="000A3EA4">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Cs w:val="20"/>
                <w:lang w:eastAsia="fr-FR" w:bidi="ar-SA"/>
              </w:rPr>
            </w:pPr>
            <w:r>
              <w:rPr>
                <w:rFonts w:asciiTheme="minorHAnsi" w:hAnsiTheme="minorHAnsi" w:cstheme="minorHAnsi"/>
                <w:b/>
                <w:bCs/>
                <w:szCs w:val="20"/>
                <w:lang w:eastAsia="fr-FR" w:bidi="ar-SA"/>
              </w:rPr>
              <w:t>Majeure</w:t>
            </w:r>
          </w:p>
        </w:tc>
      </w:tr>
    </w:tbl>
    <w:p w14:paraId="678C5459" w14:textId="476BBFC1" w:rsidR="00BD4EC7" w:rsidRPr="00BD4EC7" w:rsidRDefault="00DD40EF" w:rsidP="0001633E">
      <w:pPr>
        <w:pStyle w:val="AltTitle2"/>
        <w:numPr>
          <w:ilvl w:val="0"/>
          <w:numId w:val="106"/>
        </w:numPr>
      </w:pPr>
      <w:r w:rsidRPr="00DD40EF">
        <w:t>Nuisances olfactives ponctuelles à proximité des zones de travail</w:t>
      </w:r>
    </w:p>
    <w:p w14:paraId="638AC936" w14:textId="77777777" w:rsidR="00DD40EF" w:rsidRPr="004637C7" w:rsidRDefault="00DD40EF" w:rsidP="00DD40EF">
      <w:r w:rsidRPr="004637C7">
        <w:t>Le stockage temporaire des effluents sanitaires dans des cuves étanches ou des dispositifs similaires pourrait, en cas d’entretien insuffisant, engendrer des odeurs désagréables localisées dans les zones de travail.</w:t>
      </w:r>
    </w:p>
    <w:p w14:paraId="5E560B36" w14:textId="77777777" w:rsidR="00DD40EF" w:rsidRPr="004637C7" w:rsidRDefault="00DD40EF" w:rsidP="00DD40EF">
      <w:r w:rsidRPr="004637C7">
        <w:t>L’impact est direct, local, intermittent, et temporaire. L’intensité est faible, car les émissions sont confinées à l’intérieur du périmètre du chantier et leur durée est limitée.</w:t>
      </w:r>
    </w:p>
    <w:p w14:paraId="7576303D" w14:textId="25F8F45B" w:rsidR="00BD4EC7" w:rsidRDefault="00DD40EF" w:rsidP="00DD40EF">
      <w:r w:rsidRPr="004637C7">
        <w:t>La sensibilité des récepteurs humains est moyenne, car il s’agit essentiellement du personnel de chantier soumis à des conditions temporaires d’exposition.</w:t>
      </w:r>
    </w:p>
    <w:p w14:paraId="68CE5847" w14:textId="77777777" w:rsidR="00F36AA0" w:rsidRDefault="00F36AA0" w:rsidP="00DD40EF"/>
    <w:tbl>
      <w:tblPr>
        <w:tblStyle w:val="TableauGrille1Clair-Accentuation111"/>
        <w:tblW w:w="0" w:type="auto"/>
        <w:tblLook w:val="04A0" w:firstRow="1" w:lastRow="0" w:firstColumn="1" w:lastColumn="0" w:noHBand="0" w:noVBand="1"/>
      </w:tblPr>
      <w:tblGrid>
        <w:gridCol w:w="792"/>
        <w:gridCol w:w="1479"/>
        <w:gridCol w:w="1417"/>
        <w:gridCol w:w="3756"/>
        <w:gridCol w:w="1347"/>
      </w:tblGrid>
      <w:tr w:rsidR="007E4D6F" w:rsidRPr="00B95A9D" w14:paraId="4E0A9EFB" w14:textId="77777777" w:rsidTr="005A766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479FDEA7" w14:textId="77777777" w:rsidR="007E4D6F" w:rsidRPr="00B95A9D" w:rsidRDefault="007E4D6F" w:rsidP="005A7661">
            <w:pPr>
              <w:rPr>
                <w:rFonts w:asciiTheme="minorHAnsi" w:hAnsiTheme="minorHAnsi" w:cstheme="minorHAnsi"/>
                <w:szCs w:val="20"/>
                <w:lang w:eastAsia="fr-FR" w:bidi="ar-SA"/>
              </w:rPr>
            </w:pPr>
            <w:r w:rsidRPr="00B95A9D">
              <w:rPr>
                <w:rFonts w:asciiTheme="minorHAnsi" w:hAnsiTheme="minorHAnsi" w:cstheme="minorHAnsi"/>
                <w:szCs w:val="20"/>
                <w:lang w:eastAsia="fr-FR" w:bidi="ar-SA"/>
              </w:rPr>
              <w:t>Impact</w:t>
            </w:r>
          </w:p>
        </w:tc>
        <w:tc>
          <w:tcPr>
            <w:tcW w:w="1479" w:type="dxa"/>
            <w:hideMark/>
          </w:tcPr>
          <w:p w14:paraId="5B2D9292" w14:textId="77777777" w:rsidR="007E4D6F" w:rsidRPr="00B95A9D" w:rsidRDefault="007E4D6F" w:rsidP="005A7661">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sidRPr="00B95A9D">
              <w:rPr>
                <w:rFonts w:asciiTheme="minorHAnsi" w:hAnsiTheme="minorHAnsi" w:cstheme="minorHAnsi"/>
                <w:szCs w:val="20"/>
                <w:lang w:eastAsia="fr-FR" w:bidi="ar-SA"/>
              </w:rPr>
              <w:t>Activités génératrices</w:t>
            </w:r>
          </w:p>
        </w:tc>
        <w:tc>
          <w:tcPr>
            <w:tcW w:w="1417" w:type="dxa"/>
            <w:hideMark/>
          </w:tcPr>
          <w:p w14:paraId="7E5CC613" w14:textId="77777777" w:rsidR="007E4D6F" w:rsidRPr="00B95A9D" w:rsidRDefault="007E4D6F" w:rsidP="005A7661">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sidRPr="00B95A9D">
              <w:rPr>
                <w:rFonts w:asciiTheme="minorHAnsi" w:hAnsiTheme="minorHAnsi" w:cstheme="minorHAnsi"/>
                <w:szCs w:val="20"/>
                <w:lang w:eastAsia="fr-FR" w:bidi="ar-SA"/>
              </w:rPr>
              <w:t>Critère</w:t>
            </w:r>
          </w:p>
        </w:tc>
        <w:tc>
          <w:tcPr>
            <w:tcW w:w="3756" w:type="dxa"/>
            <w:hideMark/>
          </w:tcPr>
          <w:p w14:paraId="4827BB57" w14:textId="77777777" w:rsidR="007E4D6F" w:rsidRPr="00B95A9D" w:rsidRDefault="007E4D6F" w:rsidP="005A7661">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sidRPr="00B95A9D">
              <w:rPr>
                <w:rFonts w:asciiTheme="minorHAnsi" w:hAnsiTheme="minorHAnsi" w:cstheme="minorHAnsi"/>
                <w:szCs w:val="20"/>
                <w:lang w:eastAsia="fr-FR" w:bidi="ar-SA"/>
              </w:rPr>
              <w:t>Justification</w:t>
            </w:r>
          </w:p>
        </w:tc>
        <w:tc>
          <w:tcPr>
            <w:tcW w:w="1347" w:type="dxa"/>
            <w:hideMark/>
          </w:tcPr>
          <w:p w14:paraId="374ADCEF" w14:textId="77777777" w:rsidR="007E4D6F" w:rsidRPr="00B95A9D" w:rsidRDefault="007E4D6F" w:rsidP="005A7661">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sidRPr="00B95A9D">
              <w:rPr>
                <w:rFonts w:asciiTheme="minorHAnsi" w:hAnsiTheme="minorHAnsi" w:cstheme="minorHAnsi"/>
                <w:szCs w:val="20"/>
                <w:lang w:eastAsia="fr-FR" w:bidi="ar-SA"/>
              </w:rPr>
              <w:t>Niveau</w:t>
            </w:r>
          </w:p>
        </w:tc>
      </w:tr>
      <w:tr w:rsidR="009F5960" w:rsidRPr="00B95A9D" w14:paraId="59B42ADF" w14:textId="77777777" w:rsidTr="004637C7">
        <w:tc>
          <w:tcPr>
            <w:cnfStyle w:val="001000000000" w:firstRow="0" w:lastRow="0" w:firstColumn="1" w:lastColumn="0" w:oddVBand="0" w:evenVBand="0" w:oddHBand="0" w:evenHBand="0" w:firstRowFirstColumn="0" w:firstRowLastColumn="0" w:lastRowFirstColumn="0" w:lastRowLastColumn="0"/>
            <w:tcW w:w="0" w:type="auto"/>
            <w:vMerge w:val="restart"/>
            <w:textDirection w:val="tbRl"/>
            <w:vAlign w:val="center"/>
          </w:tcPr>
          <w:p w14:paraId="0881DB14" w14:textId="5F0A6F4D" w:rsidR="009F5960" w:rsidRPr="00B95A9D" w:rsidRDefault="009F5960" w:rsidP="004637C7">
            <w:pPr>
              <w:ind w:left="113" w:right="113"/>
              <w:jc w:val="center"/>
              <w:rPr>
                <w:rFonts w:asciiTheme="minorHAnsi" w:hAnsiTheme="minorHAnsi" w:cstheme="minorHAnsi"/>
                <w:szCs w:val="20"/>
                <w:lang w:eastAsia="fr-FR" w:bidi="ar-SA"/>
              </w:rPr>
            </w:pPr>
            <w:r w:rsidRPr="00A92ED0">
              <w:rPr>
                <w:rFonts w:asciiTheme="minorHAnsi" w:hAnsiTheme="minorHAnsi" w:cstheme="minorHAnsi"/>
                <w:szCs w:val="20"/>
                <w:lang w:eastAsia="fr-FR" w:bidi="ar-SA"/>
              </w:rPr>
              <w:t>Nuisances olfactives ponctuelles à proximité des zones de travail</w:t>
            </w:r>
          </w:p>
        </w:tc>
        <w:tc>
          <w:tcPr>
            <w:tcW w:w="0" w:type="dxa"/>
            <w:vMerge w:val="restart"/>
          </w:tcPr>
          <w:p w14:paraId="78BE4436" w14:textId="57DAA7B2" w:rsidR="009F5960" w:rsidRPr="00B95A9D" w:rsidRDefault="009F5960" w:rsidP="009F5960">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sidRPr="000B1ECC">
              <w:rPr>
                <w:rFonts w:asciiTheme="minorHAnsi" w:hAnsiTheme="minorHAnsi" w:cstheme="minorHAnsi"/>
                <w:szCs w:val="20"/>
                <w:lang w:eastAsia="fr-FR" w:bidi="ar-SA"/>
              </w:rPr>
              <w:t>Utilisation des latrines et stockage temporaire avant vidange</w:t>
            </w:r>
          </w:p>
        </w:tc>
        <w:tc>
          <w:tcPr>
            <w:tcW w:w="0" w:type="dxa"/>
            <w:hideMark/>
          </w:tcPr>
          <w:p w14:paraId="364BC36E" w14:textId="77777777" w:rsidR="009F5960" w:rsidRPr="00B95A9D" w:rsidRDefault="009F5960" w:rsidP="009F5960">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Cs w:val="20"/>
                <w:lang w:eastAsia="fr-FR" w:bidi="ar-SA"/>
              </w:rPr>
            </w:pPr>
            <w:r w:rsidRPr="00B95A9D">
              <w:rPr>
                <w:rFonts w:asciiTheme="minorHAnsi" w:hAnsiTheme="minorHAnsi" w:cstheme="minorHAnsi"/>
                <w:b/>
                <w:bCs/>
                <w:szCs w:val="20"/>
                <w:lang w:eastAsia="fr-FR" w:bidi="ar-SA"/>
              </w:rPr>
              <w:t>Nature</w:t>
            </w:r>
          </w:p>
        </w:tc>
        <w:tc>
          <w:tcPr>
            <w:tcW w:w="0" w:type="dxa"/>
            <w:gridSpan w:val="2"/>
          </w:tcPr>
          <w:p w14:paraId="13951786" w14:textId="60802671" w:rsidR="009F5960" w:rsidRPr="00B95A9D" w:rsidRDefault="009F5960" w:rsidP="009F5960">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Pr>
                <w:rFonts w:asciiTheme="minorHAnsi" w:hAnsiTheme="minorHAnsi" w:cstheme="minorHAnsi"/>
                <w:szCs w:val="20"/>
                <w:lang w:eastAsia="fr-FR" w:bidi="ar-SA"/>
              </w:rPr>
              <w:t>Direct négatif</w:t>
            </w:r>
          </w:p>
        </w:tc>
      </w:tr>
      <w:tr w:rsidR="009F5960" w:rsidRPr="00B95A9D" w14:paraId="742206CD" w14:textId="77777777" w:rsidTr="005A7661">
        <w:tc>
          <w:tcPr>
            <w:cnfStyle w:val="001000000000" w:firstRow="0" w:lastRow="0" w:firstColumn="1" w:lastColumn="0" w:oddVBand="0" w:evenVBand="0" w:oddHBand="0" w:evenHBand="0" w:firstRowFirstColumn="0" w:firstRowLastColumn="0" w:lastRowFirstColumn="0" w:lastRowLastColumn="0"/>
            <w:tcW w:w="0" w:type="auto"/>
            <w:vMerge/>
            <w:hideMark/>
          </w:tcPr>
          <w:p w14:paraId="6FDD99E1" w14:textId="77777777" w:rsidR="009F5960" w:rsidRPr="00B95A9D" w:rsidRDefault="009F5960" w:rsidP="009F5960">
            <w:pPr>
              <w:rPr>
                <w:rFonts w:asciiTheme="minorHAnsi" w:hAnsiTheme="minorHAnsi" w:cstheme="minorHAnsi"/>
                <w:szCs w:val="20"/>
                <w:lang w:eastAsia="fr-FR" w:bidi="ar-SA"/>
              </w:rPr>
            </w:pPr>
          </w:p>
        </w:tc>
        <w:tc>
          <w:tcPr>
            <w:tcW w:w="1479" w:type="dxa"/>
            <w:vMerge/>
            <w:hideMark/>
          </w:tcPr>
          <w:p w14:paraId="23654A05" w14:textId="77777777" w:rsidR="009F5960" w:rsidRPr="00B95A9D" w:rsidRDefault="009F5960" w:rsidP="009F5960">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p>
        </w:tc>
        <w:tc>
          <w:tcPr>
            <w:tcW w:w="1417" w:type="dxa"/>
            <w:hideMark/>
          </w:tcPr>
          <w:p w14:paraId="7FD57043" w14:textId="77777777" w:rsidR="009F5960" w:rsidRPr="00B95A9D" w:rsidRDefault="009F5960" w:rsidP="009F5960">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Cs w:val="20"/>
                <w:lang w:eastAsia="fr-FR" w:bidi="ar-SA"/>
              </w:rPr>
            </w:pPr>
            <w:r w:rsidRPr="00B95A9D">
              <w:rPr>
                <w:rFonts w:asciiTheme="minorHAnsi" w:hAnsiTheme="minorHAnsi" w:cstheme="minorHAnsi"/>
                <w:b/>
                <w:bCs/>
                <w:szCs w:val="20"/>
                <w:lang w:eastAsia="fr-FR" w:bidi="ar-SA"/>
              </w:rPr>
              <w:t>Étendue</w:t>
            </w:r>
          </w:p>
        </w:tc>
        <w:tc>
          <w:tcPr>
            <w:tcW w:w="3756" w:type="dxa"/>
          </w:tcPr>
          <w:p w14:paraId="3A40C15C" w14:textId="011D060C" w:rsidR="009F5960" w:rsidRPr="00B95A9D" w:rsidRDefault="009F5960" w:rsidP="009F5960">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Pr>
                <w:rFonts w:asciiTheme="minorHAnsi" w:hAnsiTheme="minorHAnsi" w:cstheme="minorHAnsi"/>
                <w:szCs w:val="20"/>
                <w:lang w:eastAsia="fr-FR" w:bidi="ar-SA"/>
              </w:rPr>
              <w:t>C</w:t>
            </w:r>
            <w:r w:rsidRPr="009F5960">
              <w:rPr>
                <w:rFonts w:asciiTheme="minorHAnsi" w:hAnsiTheme="minorHAnsi" w:cstheme="minorHAnsi"/>
                <w:szCs w:val="20"/>
                <w:lang w:eastAsia="fr-FR" w:bidi="ar-SA"/>
              </w:rPr>
              <w:t>irconscrite au périmètre du chantier</w:t>
            </w:r>
          </w:p>
        </w:tc>
        <w:tc>
          <w:tcPr>
            <w:tcW w:w="1347" w:type="dxa"/>
          </w:tcPr>
          <w:p w14:paraId="6146CC8C" w14:textId="07B956E5" w:rsidR="009F5960" w:rsidRPr="00B95A9D" w:rsidRDefault="009F5960" w:rsidP="009F5960">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Cs w:val="20"/>
                <w:lang w:eastAsia="fr-FR" w:bidi="ar-SA"/>
              </w:rPr>
            </w:pPr>
            <w:r>
              <w:rPr>
                <w:rFonts w:asciiTheme="minorHAnsi" w:hAnsiTheme="minorHAnsi" w:cstheme="minorHAnsi"/>
                <w:b/>
                <w:bCs/>
                <w:szCs w:val="20"/>
                <w:lang w:eastAsia="fr-FR" w:bidi="ar-SA"/>
              </w:rPr>
              <w:t>Locale</w:t>
            </w:r>
          </w:p>
        </w:tc>
      </w:tr>
      <w:tr w:rsidR="009F5960" w:rsidRPr="00B95A9D" w14:paraId="233E3EA9" w14:textId="77777777" w:rsidTr="005A7661">
        <w:tc>
          <w:tcPr>
            <w:cnfStyle w:val="001000000000" w:firstRow="0" w:lastRow="0" w:firstColumn="1" w:lastColumn="0" w:oddVBand="0" w:evenVBand="0" w:oddHBand="0" w:evenHBand="0" w:firstRowFirstColumn="0" w:firstRowLastColumn="0" w:lastRowFirstColumn="0" w:lastRowLastColumn="0"/>
            <w:tcW w:w="0" w:type="auto"/>
            <w:vMerge/>
            <w:hideMark/>
          </w:tcPr>
          <w:p w14:paraId="586BCE8C" w14:textId="77777777" w:rsidR="009F5960" w:rsidRPr="00B95A9D" w:rsidRDefault="009F5960" w:rsidP="009F5960">
            <w:pPr>
              <w:rPr>
                <w:rFonts w:asciiTheme="minorHAnsi" w:hAnsiTheme="minorHAnsi" w:cstheme="minorHAnsi"/>
                <w:szCs w:val="20"/>
                <w:lang w:eastAsia="fr-FR" w:bidi="ar-SA"/>
              </w:rPr>
            </w:pPr>
          </w:p>
        </w:tc>
        <w:tc>
          <w:tcPr>
            <w:tcW w:w="1479" w:type="dxa"/>
            <w:vMerge/>
            <w:hideMark/>
          </w:tcPr>
          <w:p w14:paraId="3ADFB63D" w14:textId="77777777" w:rsidR="009F5960" w:rsidRPr="00B95A9D" w:rsidRDefault="009F5960" w:rsidP="009F5960">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p>
        </w:tc>
        <w:tc>
          <w:tcPr>
            <w:tcW w:w="1417" w:type="dxa"/>
            <w:hideMark/>
          </w:tcPr>
          <w:p w14:paraId="335F12C9" w14:textId="77777777" w:rsidR="009F5960" w:rsidRPr="00B95A9D" w:rsidRDefault="009F5960" w:rsidP="009F5960">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Cs w:val="20"/>
                <w:lang w:eastAsia="fr-FR" w:bidi="ar-SA"/>
              </w:rPr>
            </w:pPr>
            <w:r w:rsidRPr="00B95A9D">
              <w:rPr>
                <w:rFonts w:asciiTheme="minorHAnsi" w:hAnsiTheme="minorHAnsi" w:cstheme="minorHAnsi"/>
                <w:b/>
                <w:bCs/>
                <w:szCs w:val="20"/>
                <w:lang w:eastAsia="fr-FR" w:bidi="ar-SA"/>
              </w:rPr>
              <w:t>Durée</w:t>
            </w:r>
          </w:p>
        </w:tc>
        <w:tc>
          <w:tcPr>
            <w:tcW w:w="3756" w:type="dxa"/>
          </w:tcPr>
          <w:p w14:paraId="61606D94" w14:textId="77350B5D" w:rsidR="009F5960" w:rsidRPr="00B95A9D" w:rsidRDefault="009F5960" w:rsidP="009F5960">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Pr>
                <w:rFonts w:asciiTheme="minorHAnsi" w:hAnsiTheme="minorHAnsi" w:cstheme="minorHAnsi"/>
                <w:szCs w:val="20"/>
                <w:lang w:eastAsia="fr-FR" w:bidi="ar-SA"/>
              </w:rPr>
              <w:t>D</w:t>
            </w:r>
            <w:r w:rsidRPr="009F5960">
              <w:rPr>
                <w:rFonts w:asciiTheme="minorHAnsi" w:hAnsiTheme="minorHAnsi" w:cstheme="minorHAnsi"/>
                <w:szCs w:val="20"/>
                <w:lang w:eastAsia="fr-FR" w:bidi="ar-SA"/>
              </w:rPr>
              <w:t>urant la présence des installations</w:t>
            </w:r>
            <w:r>
              <w:rPr>
                <w:rFonts w:asciiTheme="minorHAnsi" w:hAnsiTheme="minorHAnsi" w:cstheme="minorHAnsi"/>
                <w:szCs w:val="20"/>
                <w:lang w:eastAsia="fr-FR" w:bidi="ar-SA"/>
              </w:rPr>
              <w:t xml:space="preserve"> en phase construction</w:t>
            </w:r>
          </w:p>
        </w:tc>
        <w:tc>
          <w:tcPr>
            <w:tcW w:w="1347" w:type="dxa"/>
          </w:tcPr>
          <w:p w14:paraId="4B58A852" w14:textId="674BF37C" w:rsidR="009F5960" w:rsidRPr="00B95A9D" w:rsidRDefault="009F5960" w:rsidP="009F5960">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Cs w:val="20"/>
                <w:lang w:eastAsia="fr-FR" w:bidi="ar-SA"/>
              </w:rPr>
            </w:pPr>
            <w:r>
              <w:rPr>
                <w:rFonts w:asciiTheme="minorHAnsi" w:hAnsiTheme="minorHAnsi" w:cstheme="minorHAnsi"/>
                <w:b/>
                <w:bCs/>
                <w:szCs w:val="20"/>
                <w:lang w:eastAsia="fr-FR" w:bidi="ar-SA"/>
              </w:rPr>
              <w:t>Court terme</w:t>
            </w:r>
          </w:p>
        </w:tc>
      </w:tr>
      <w:tr w:rsidR="009F5960" w:rsidRPr="00B95A9D" w14:paraId="3593C234" w14:textId="77777777" w:rsidTr="005A7661">
        <w:tc>
          <w:tcPr>
            <w:cnfStyle w:val="001000000000" w:firstRow="0" w:lastRow="0" w:firstColumn="1" w:lastColumn="0" w:oddVBand="0" w:evenVBand="0" w:oddHBand="0" w:evenHBand="0" w:firstRowFirstColumn="0" w:firstRowLastColumn="0" w:lastRowFirstColumn="0" w:lastRowLastColumn="0"/>
            <w:tcW w:w="0" w:type="auto"/>
            <w:vMerge/>
            <w:hideMark/>
          </w:tcPr>
          <w:p w14:paraId="25F6B050" w14:textId="77777777" w:rsidR="009F5960" w:rsidRPr="00B95A9D" w:rsidRDefault="009F5960" w:rsidP="009F5960">
            <w:pPr>
              <w:rPr>
                <w:rFonts w:asciiTheme="minorHAnsi" w:hAnsiTheme="minorHAnsi" w:cstheme="minorHAnsi"/>
                <w:szCs w:val="20"/>
                <w:lang w:eastAsia="fr-FR" w:bidi="ar-SA"/>
              </w:rPr>
            </w:pPr>
          </w:p>
        </w:tc>
        <w:tc>
          <w:tcPr>
            <w:tcW w:w="1479" w:type="dxa"/>
            <w:vMerge/>
            <w:hideMark/>
          </w:tcPr>
          <w:p w14:paraId="03D6BB84" w14:textId="77777777" w:rsidR="009F5960" w:rsidRPr="00B95A9D" w:rsidRDefault="009F5960" w:rsidP="009F5960">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p>
        </w:tc>
        <w:tc>
          <w:tcPr>
            <w:tcW w:w="1417" w:type="dxa"/>
            <w:hideMark/>
          </w:tcPr>
          <w:p w14:paraId="5FE4713F" w14:textId="77777777" w:rsidR="009F5960" w:rsidRPr="00B95A9D" w:rsidRDefault="009F5960" w:rsidP="009F5960">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Cs w:val="20"/>
                <w:lang w:eastAsia="fr-FR" w:bidi="ar-SA"/>
              </w:rPr>
            </w:pPr>
            <w:r w:rsidRPr="00B95A9D">
              <w:rPr>
                <w:rFonts w:asciiTheme="minorHAnsi" w:hAnsiTheme="minorHAnsi" w:cstheme="minorHAnsi"/>
                <w:b/>
                <w:bCs/>
                <w:szCs w:val="20"/>
                <w:lang w:eastAsia="fr-FR" w:bidi="ar-SA"/>
              </w:rPr>
              <w:t>Fréquence</w:t>
            </w:r>
          </w:p>
        </w:tc>
        <w:tc>
          <w:tcPr>
            <w:tcW w:w="3756" w:type="dxa"/>
          </w:tcPr>
          <w:p w14:paraId="59D963DD" w14:textId="220A4317" w:rsidR="009F5960" w:rsidRPr="00911A3C" w:rsidRDefault="009F5960" w:rsidP="009F5960">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sidRPr="009F5960">
              <w:rPr>
                <w:rFonts w:asciiTheme="minorHAnsi" w:hAnsiTheme="minorHAnsi" w:cstheme="minorHAnsi"/>
                <w:szCs w:val="20"/>
                <w:lang w:eastAsia="fr-FR" w:bidi="ar-SA"/>
              </w:rPr>
              <w:t>Dépend des conditions climatiques et du rythme de vidange</w:t>
            </w:r>
          </w:p>
        </w:tc>
        <w:tc>
          <w:tcPr>
            <w:tcW w:w="1347" w:type="dxa"/>
          </w:tcPr>
          <w:p w14:paraId="03D8F74C" w14:textId="73F50C27" w:rsidR="009F5960" w:rsidRPr="00B95A9D" w:rsidRDefault="009F5960" w:rsidP="009F5960">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Cs w:val="20"/>
                <w:lang w:eastAsia="fr-FR" w:bidi="ar-SA"/>
              </w:rPr>
            </w:pPr>
            <w:r w:rsidRPr="009F5960">
              <w:rPr>
                <w:rFonts w:asciiTheme="minorHAnsi" w:hAnsiTheme="minorHAnsi" w:cstheme="minorHAnsi"/>
                <w:b/>
                <w:bCs/>
                <w:szCs w:val="20"/>
                <w:lang w:eastAsia="fr-FR" w:bidi="ar-SA"/>
              </w:rPr>
              <w:t>Intermittente</w:t>
            </w:r>
          </w:p>
        </w:tc>
      </w:tr>
      <w:tr w:rsidR="009F5960" w:rsidRPr="00B95A9D" w14:paraId="2A4894EC" w14:textId="77777777" w:rsidTr="005A7661">
        <w:tc>
          <w:tcPr>
            <w:cnfStyle w:val="001000000000" w:firstRow="0" w:lastRow="0" w:firstColumn="1" w:lastColumn="0" w:oddVBand="0" w:evenVBand="0" w:oddHBand="0" w:evenHBand="0" w:firstRowFirstColumn="0" w:firstRowLastColumn="0" w:lastRowFirstColumn="0" w:lastRowLastColumn="0"/>
            <w:tcW w:w="0" w:type="auto"/>
            <w:vMerge/>
            <w:hideMark/>
          </w:tcPr>
          <w:p w14:paraId="008E0316" w14:textId="77777777" w:rsidR="009F5960" w:rsidRPr="00B95A9D" w:rsidRDefault="009F5960" w:rsidP="009F5960">
            <w:pPr>
              <w:rPr>
                <w:rFonts w:asciiTheme="minorHAnsi" w:hAnsiTheme="minorHAnsi" w:cstheme="minorHAnsi"/>
                <w:szCs w:val="20"/>
                <w:lang w:eastAsia="fr-FR" w:bidi="ar-SA"/>
              </w:rPr>
            </w:pPr>
          </w:p>
        </w:tc>
        <w:tc>
          <w:tcPr>
            <w:tcW w:w="1479" w:type="dxa"/>
            <w:vMerge/>
            <w:hideMark/>
          </w:tcPr>
          <w:p w14:paraId="63190D53" w14:textId="77777777" w:rsidR="009F5960" w:rsidRPr="00B95A9D" w:rsidRDefault="009F5960" w:rsidP="009F5960">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p>
        </w:tc>
        <w:tc>
          <w:tcPr>
            <w:tcW w:w="1417" w:type="dxa"/>
            <w:shd w:val="clear" w:color="auto" w:fill="D9E2F3"/>
            <w:hideMark/>
          </w:tcPr>
          <w:p w14:paraId="53211B0B" w14:textId="77777777" w:rsidR="009F5960" w:rsidRPr="00B95A9D" w:rsidRDefault="009F5960" w:rsidP="009F5960">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Cs w:val="20"/>
                <w:lang w:eastAsia="fr-FR" w:bidi="ar-SA"/>
              </w:rPr>
            </w:pPr>
            <w:r w:rsidRPr="00B95A9D">
              <w:rPr>
                <w:rFonts w:asciiTheme="minorHAnsi" w:hAnsiTheme="minorHAnsi" w:cstheme="minorHAnsi"/>
                <w:b/>
                <w:bCs/>
                <w:szCs w:val="20"/>
                <w:lang w:eastAsia="fr-FR" w:bidi="ar-SA"/>
              </w:rPr>
              <w:t>Intensité</w:t>
            </w:r>
          </w:p>
        </w:tc>
        <w:tc>
          <w:tcPr>
            <w:tcW w:w="3756" w:type="dxa"/>
            <w:shd w:val="clear" w:color="auto" w:fill="D9E2F3"/>
          </w:tcPr>
          <w:p w14:paraId="38175DE6" w14:textId="3722DD63" w:rsidR="009F5960" w:rsidRPr="00B95A9D" w:rsidRDefault="009F5960" w:rsidP="009F5960">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Pr>
                <w:rFonts w:asciiTheme="minorHAnsi" w:hAnsiTheme="minorHAnsi" w:cstheme="minorHAnsi"/>
                <w:szCs w:val="20"/>
                <w:lang w:eastAsia="fr-FR" w:bidi="ar-SA"/>
              </w:rPr>
              <w:t>L</w:t>
            </w:r>
            <w:r w:rsidRPr="009F5960">
              <w:rPr>
                <w:rFonts w:asciiTheme="minorHAnsi" w:hAnsiTheme="minorHAnsi" w:cstheme="minorHAnsi"/>
                <w:szCs w:val="20"/>
                <w:lang w:eastAsia="fr-FR" w:bidi="ar-SA"/>
              </w:rPr>
              <w:t>es émissions sont confinées à l’intérieur du périmètre du chantier et leur durée est limitée.</w:t>
            </w:r>
          </w:p>
        </w:tc>
        <w:tc>
          <w:tcPr>
            <w:tcW w:w="1347" w:type="dxa"/>
            <w:shd w:val="clear" w:color="auto" w:fill="D9E2F3"/>
          </w:tcPr>
          <w:p w14:paraId="7379FF6B" w14:textId="2A570484" w:rsidR="009F5960" w:rsidRPr="00B95A9D" w:rsidRDefault="009F5960" w:rsidP="009F5960">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Cs w:val="20"/>
                <w:lang w:eastAsia="fr-FR" w:bidi="ar-SA"/>
              </w:rPr>
            </w:pPr>
            <w:r>
              <w:rPr>
                <w:rFonts w:asciiTheme="minorHAnsi" w:hAnsiTheme="minorHAnsi" w:cstheme="minorHAnsi"/>
                <w:b/>
                <w:bCs/>
                <w:szCs w:val="20"/>
                <w:lang w:eastAsia="fr-FR" w:bidi="ar-SA"/>
              </w:rPr>
              <w:t>Faible</w:t>
            </w:r>
          </w:p>
        </w:tc>
      </w:tr>
      <w:tr w:rsidR="009F5960" w:rsidRPr="00B95A9D" w14:paraId="0920751A" w14:textId="77777777" w:rsidTr="005A7661">
        <w:tc>
          <w:tcPr>
            <w:cnfStyle w:val="001000000000" w:firstRow="0" w:lastRow="0" w:firstColumn="1" w:lastColumn="0" w:oddVBand="0" w:evenVBand="0" w:oddHBand="0" w:evenHBand="0" w:firstRowFirstColumn="0" w:firstRowLastColumn="0" w:lastRowFirstColumn="0" w:lastRowLastColumn="0"/>
            <w:tcW w:w="0" w:type="auto"/>
            <w:vMerge/>
          </w:tcPr>
          <w:p w14:paraId="3D85EEB0" w14:textId="77777777" w:rsidR="009F5960" w:rsidRPr="00B95A9D" w:rsidRDefault="009F5960" w:rsidP="009F5960">
            <w:pPr>
              <w:rPr>
                <w:rFonts w:asciiTheme="minorHAnsi" w:hAnsiTheme="minorHAnsi" w:cstheme="minorHAnsi"/>
                <w:szCs w:val="20"/>
                <w:lang w:eastAsia="fr-FR" w:bidi="ar-SA"/>
              </w:rPr>
            </w:pPr>
          </w:p>
        </w:tc>
        <w:tc>
          <w:tcPr>
            <w:tcW w:w="7999" w:type="dxa"/>
            <w:gridSpan w:val="4"/>
          </w:tcPr>
          <w:p w14:paraId="56229E51" w14:textId="77777777" w:rsidR="009F5960" w:rsidRPr="00B95A9D" w:rsidRDefault="009F5960" w:rsidP="009F5960">
            <w:pPr>
              <w:spacing w:before="0" w:after="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Cs w:val="20"/>
                <w:lang w:eastAsia="fr-FR" w:bidi="ar-SA"/>
              </w:rPr>
            </w:pPr>
          </w:p>
        </w:tc>
      </w:tr>
      <w:tr w:rsidR="009F5960" w:rsidRPr="00B95A9D" w14:paraId="10429EA6" w14:textId="77777777" w:rsidTr="005A7661">
        <w:tc>
          <w:tcPr>
            <w:cnfStyle w:val="001000000000" w:firstRow="0" w:lastRow="0" w:firstColumn="1" w:lastColumn="0" w:oddVBand="0" w:evenVBand="0" w:oddHBand="0" w:evenHBand="0" w:firstRowFirstColumn="0" w:firstRowLastColumn="0" w:lastRowFirstColumn="0" w:lastRowLastColumn="0"/>
            <w:tcW w:w="0" w:type="auto"/>
            <w:vMerge/>
          </w:tcPr>
          <w:p w14:paraId="3D391A99" w14:textId="77777777" w:rsidR="009F5960" w:rsidRPr="00B95A9D" w:rsidRDefault="009F5960" w:rsidP="009F5960">
            <w:pPr>
              <w:rPr>
                <w:rFonts w:asciiTheme="minorHAnsi" w:hAnsiTheme="minorHAnsi" w:cstheme="minorHAnsi"/>
                <w:szCs w:val="20"/>
                <w:lang w:eastAsia="fr-FR" w:bidi="ar-SA"/>
              </w:rPr>
            </w:pPr>
          </w:p>
        </w:tc>
        <w:tc>
          <w:tcPr>
            <w:tcW w:w="1479" w:type="dxa"/>
            <w:shd w:val="clear" w:color="auto" w:fill="B4C6E7" w:themeFill="accent1" w:themeFillTint="66"/>
            <w:vAlign w:val="center"/>
          </w:tcPr>
          <w:p w14:paraId="52BE233E" w14:textId="77777777" w:rsidR="009F5960" w:rsidRPr="00B95A9D" w:rsidRDefault="009F5960" w:rsidP="009F5960">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sidRPr="00B95A9D">
              <w:rPr>
                <w:rFonts w:asciiTheme="minorHAnsi" w:hAnsiTheme="minorHAnsi" w:cstheme="minorHAnsi"/>
                <w:b/>
                <w:bCs/>
                <w:szCs w:val="20"/>
              </w:rPr>
              <w:t>Intensité de l’impact</w:t>
            </w:r>
          </w:p>
        </w:tc>
        <w:tc>
          <w:tcPr>
            <w:tcW w:w="1417" w:type="dxa"/>
            <w:shd w:val="clear" w:color="auto" w:fill="B4C6E7" w:themeFill="accent1" w:themeFillTint="66"/>
            <w:vAlign w:val="center"/>
          </w:tcPr>
          <w:p w14:paraId="635ADC2F" w14:textId="77777777" w:rsidR="009F5960" w:rsidRPr="00B95A9D" w:rsidRDefault="009F5960" w:rsidP="009F5960">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Cs w:val="20"/>
                <w:lang w:eastAsia="fr-FR" w:bidi="ar-SA"/>
              </w:rPr>
            </w:pPr>
            <w:r w:rsidRPr="00B95A9D">
              <w:rPr>
                <w:rFonts w:asciiTheme="minorHAnsi" w:hAnsiTheme="minorHAnsi" w:cstheme="minorHAnsi"/>
                <w:b/>
                <w:bCs/>
                <w:szCs w:val="20"/>
              </w:rPr>
              <w:t>Récepteurs</w:t>
            </w:r>
          </w:p>
        </w:tc>
        <w:tc>
          <w:tcPr>
            <w:tcW w:w="3756" w:type="dxa"/>
            <w:shd w:val="clear" w:color="auto" w:fill="B4C6E7" w:themeFill="accent1" w:themeFillTint="66"/>
            <w:vAlign w:val="center"/>
          </w:tcPr>
          <w:p w14:paraId="2FBDEF09" w14:textId="77777777" w:rsidR="009F5960" w:rsidRPr="00B95A9D" w:rsidRDefault="009F5960" w:rsidP="009F5960">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sidRPr="00B95A9D">
              <w:rPr>
                <w:rFonts w:asciiTheme="minorHAnsi" w:hAnsiTheme="minorHAnsi" w:cstheme="minorHAnsi"/>
                <w:b/>
                <w:bCs/>
                <w:szCs w:val="20"/>
              </w:rPr>
              <w:t>Sensibilité</w:t>
            </w:r>
          </w:p>
        </w:tc>
        <w:tc>
          <w:tcPr>
            <w:tcW w:w="1347" w:type="dxa"/>
            <w:shd w:val="clear" w:color="auto" w:fill="B4C6E7" w:themeFill="accent1" w:themeFillTint="66"/>
            <w:vAlign w:val="center"/>
          </w:tcPr>
          <w:p w14:paraId="2487FEB1" w14:textId="77777777" w:rsidR="009F5960" w:rsidRPr="00B95A9D" w:rsidRDefault="009F5960" w:rsidP="009F5960">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Cs w:val="20"/>
                <w:lang w:eastAsia="fr-FR" w:bidi="ar-SA"/>
              </w:rPr>
            </w:pPr>
            <w:r w:rsidRPr="00B95A9D">
              <w:rPr>
                <w:rFonts w:asciiTheme="minorHAnsi" w:hAnsiTheme="minorHAnsi" w:cstheme="minorHAnsi"/>
                <w:b/>
                <w:bCs/>
                <w:szCs w:val="20"/>
              </w:rPr>
              <w:t>Importance de l’impact</w:t>
            </w:r>
          </w:p>
        </w:tc>
      </w:tr>
      <w:tr w:rsidR="009F5960" w:rsidRPr="00B95A9D" w14:paraId="55EB7251" w14:textId="77777777" w:rsidTr="005A7661">
        <w:tc>
          <w:tcPr>
            <w:cnfStyle w:val="001000000000" w:firstRow="0" w:lastRow="0" w:firstColumn="1" w:lastColumn="0" w:oddVBand="0" w:evenVBand="0" w:oddHBand="0" w:evenHBand="0" w:firstRowFirstColumn="0" w:firstRowLastColumn="0" w:lastRowFirstColumn="0" w:lastRowLastColumn="0"/>
            <w:tcW w:w="0" w:type="auto"/>
            <w:vMerge/>
          </w:tcPr>
          <w:p w14:paraId="66CD11AE" w14:textId="77777777" w:rsidR="009F5960" w:rsidRPr="00B95A9D" w:rsidRDefault="009F5960" w:rsidP="009F5960">
            <w:pPr>
              <w:rPr>
                <w:rFonts w:asciiTheme="minorHAnsi" w:hAnsiTheme="minorHAnsi" w:cstheme="minorHAnsi"/>
                <w:szCs w:val="20"/>
                <w:lang w:eastAsia="fr-FR" w:bidi="ar-SA"/>
              </w:rPr>
            </w:pPr>
          </w:p>
        </w:tc>
        <w:tc>
          <w:tcPr>
            <w:tcW w:w="1479" w:type="dxa"/>
            <w:vAlign w:val="center"/>
          </w:tcPr>
          <w:p w14:paraId="642C3612" w14:textId="531E74AB" w:rsidR="009F5960" w:rsidRDefault="009F5960" w:rsidP="009F5960">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Pr>
                <w:rFonts w:asciiTheme="minorHAnsi" w:hAnsiTheme="minorHAnsi" w:cstheme="minorHAnsi"/>
                <w:szCs w:val="20"/>
                <w:lang w:eastAsia="fr-FR" w:bidi="ar-SA"/>
              </w:rPr>
              <w:t>Faible</w:t>
            </w:r>
          </w:p>
        </w:tc>
        <w:tc>
          <w:tcPr>
            <w:tcW w:w="1417" w:type="dxa"/>
            <w:vAlign w:val="center"/>
          </w:tcPr>
          <w:p w14:paraId="0F234608" w14:textId="5983FAF3" w:rsidR="009F5960" w:rsidRDefault="009F5960" w:rsidP="009F5960">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Cs w:val="20"/>
                <w:lang w:eastAsia="fr-FR" w:bidi="ar-SA"/>
              </w:rPr>
            </w:pPr>
            <w:r>
              <w:rPr>
                <w:rFonts w:asciiTheme="minorHAnsi" w:hAnsiTheme="minorHAnsi" w:cstheme="minorHAnsi"/>
                <w:b/>
                <w:bCs/>
                <w:szCs w:val="20"/>
                <w:lang w:eastAsia="fr-FR" w:bidi="ar-SA"/>
              </w:rPr>
              <w:t>Personnel du chantier</w:t>
            </w:r>
          </w:p>
        </w:tc>
        <w:tc>
          <w:tcPr>
            <w:tcW w:w="3756" w:type="dxa"/>
            <w:vAlign w:val="center"/>
          </w:tcPr>
          <w:p w14:paraId="57424D30" w14:textId="7B5813B3" w:rsidR="009F5960" w:rsidRDefault="009F5960" w:rsidP="009F5960">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Pr>
                <w:rFonts w:asciiTheme="minorHAnsi" w:hAnsiTheme="minorHAnsi" w:cstheme="minorHAnsi"/>
                <w:szCs w:val="20"/>
                <w:lang w:eastAsia="fr-FR" w:bidi="ar-SA"/>
              </w:rPr>
              <w:t>Moyenne</w:t>
            </w:r>
          </w:p>
        </w:tc>
        <w:tc>
          <w:tcPr>
            <w:tcW w:w="1347" w:type="dxa"/>
            <w:vAlign w:val="center"/>
          </w:tcPr>
          <w:p w14:paraId="259811B1" w14:textId="7F774DDA" w:rsidR="009F5960" w:rsidRDefault="009F5960" w:rsidP="009F5960">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Cs w:val="20"/>
                <w:lang w:eastAsia="fr-FR" w:bidi="ar-SA"/>
              </w:rPr>
            </w:pPr>
            <w:r>
              <w:rPr>
                <w:rFonts w:asciiTheme="minorHAnsi" w:hAnsiTheme="minorHAnsi" w:cstheme="minorHAnsi"/>
                <w:b/>
                <w:bCs/>
                <w:szCs w:val="20"/>
                <w:lang w:eastAsia="fr-FR" w:bidi="ar-SA"/>
              </w:rPr>
              <w:t>Mineure</w:t>
            </w:r>
          </w:p>
        </w:tc>
      </w:tr>
    </w:tbl>
    <w:p w14:paraId="374D35D6" w14:textId="41AB5CC1" w:rsidR="00DD40EF" w:rsidRPr="00DD40EF" w:rsidRDefault="00DD40EF" w:rsidP="0001633E">
      <w:pPr>
        <w:pStyle w:val="AltTitle2"/>
        <w:numPr>
          <w:ilvl w:val="0"/>
          <w:numId w:val="106"/>
        </w:numPr>
      </w:pPr>
      <w:r w:rsidRPr="00DD40EF">
        <w:t>Risque de pollution accidentelle du sol lors des opérations de vidange ou de transfert d’effluents</w:t>
      </w:r>
    </w:p>
    <w:p w14:paraId="1BA606D9" w14:textId="77777777" w:rsidR="00DD40EF" w:rsidRPr="004637C7" w:rsidRDefault="00DD40EF" w:rsidP="00DD40EF">
      <w:r w:rsidRPr="004637C7">
        <w:t>Des incidents techniques, tels qu’un débordement ou une fuite lors des opérations de transfert des effluents, pourraient entraîner un déversement accidentel sur le sol.</w:t>
      </w:r>
    </w:p>
    <w:p w14:paraId="4B616D20" w14:textId="77777777" w:rsidR="00DD40EF" w:rsidRPr="004637C7" w:rsidRDefault="00DD40EF" w:rsidP="00DD40EF">
      <w:r w:rsidRPr="004637C7">
        <w:t>La probabilité de survenue est occasionnelle, compte tenu du contrôle régulier des équipements et du recours à des prestataires spécialisés. La gravité est modérée, car tout déversement resterait localisé et serait récupéré par des moyens de confinement immédiats.</w:t>
      </w:r>
    </w:p>
    <w:p w14:paraId="36FCE449" w14:textId="7404E972" w:rsidR="00BD4EC7" w:rsidRPr="004637C7" w:rsidRDefault="00DD40EF" w:rsidP="00DD40EF">
      <w:r w:rsidRPr="004637C7">
        <w:t xml:space="preserve">La sensibilité du milieu est forte, en raison de la perméabilité naturelle du sol et de la présence de la nappe vulnérable du </w:t>
      </w:r>
      <w:r w:rsidR="008C1850">
        <w:t>Haouz</w:t>
      </w:r>
      <w:r w:rsidRPr="004637C7">
        <w:t>.</w:t>
      </w:r>
    </w:p>
    <w:tbl>
      <w:tblPr>
        <w:tblStyle w:val="TableauGrille1Clair-Accentuation111"/>
        <w:tblW w:w="0" w:type="auto"/>
        <w:tblLook w:val="04A0" w:firstRow="1" w:lastRow="0" w:firstColumn="1" w:lastColumn="0" w:noHBand="0" w:noVBand="1"/>
      </w:tblPr>
      <w:tblGrid>
        <w:gridCol w:w="1990"/>
        <w:gridCol w:w="1787"/>
        <w:gridCol w:w="1563"/>
        <w:gridCol w:w="2376"/>
        <w:gridCol w:w="1344"/>
      </w:tblGrid>
      <w:tr w:rsidR="00240E7E" w:rsidRPr="00B95A9D" w14:paraId="75CBAEB7" w14:textId="77777777" w:rsidTr="000A3EA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5DC247D4" w14:textId="77777777" w:rsidR="00240E7E" w:rsidRPr="00B95A9D" w:rsidRDefault="00240E7E" w:rsidP="000A3EA4">
            <w:pPr>
              <w:rPr>
                <w:szCs w:val="20"/>
              </w:rPr>
            </w:pPr>
            <w:r w:rsidRPr="002C2301">
              <w:rPr>
                <w:rFonts w:eastAsiaTheme="majorEastAsia"/>
                <w:szCs w:val="20"/>
              </w:rPr>
              <w:t>Risque</w:t>
            </w:r>
          </w:p>
        </w:tc>
        <w:tc>
          <w:tcPr>
            <w:tcW w:w="0" w:type="auto"/>
          </w:tcPr>
          <w:p w14:paraId="014A75D9" w14:textId="77777777" w:rsidR="00240E7E" w:rsidRPr="00B95A9D" w:rsidRDefault="00240E7E" w:rsidP="000A3EA4">
            <w:pPr>
              <w:cnfStyle w:val="100000000000" w:firstRow="1" w:lastRow="0" w:firstColumn="0" w:lastColumn="0" w:oddVBand="0" w:evenVBand="0" w:oddHBand="0" w:evenHBand="0" w:firstRowFirstColumn="0" w:firstRowLastColumn="0" w:lastRowFirstColumn="0" w:lastRowLastColumn="0"/>
              <w:rPr>
                <w:szCs w:val="20"/>
              </w:rPr>
            </w:pPr>
            <w:r w:rsidRPr="002C2301">
              <w:rPr>
                <w:rFonts w:eastAsiaTheme="majorEastAsia"/>
                <w:szCs w:val="20"/>
              </w:rPr>
              <w:t>Activités génératrices</w:t>
            </w:r>
          </w:p>
        </w:tc>
        <w:tc>
          <w:tcPr>
            <w:tcW w:w="0" w:type="auto"/>
          </w:tcPr>
          <w:p w14:paraId="2097B38A" w14:textId="77777777" w:rsidR="00240E7E" w:rsidRPr="00B95A9D" w:rsidRDefault="00240E7E" w:rsidP="000A3EA4">
            <w:pPr>
              <w:cnfStyle w:val="100000000000" w:firstRow="1" w:lastRow="0" w:firstColumn="0" w:lastColumn="0" w:oddVBand="0" w:evenVBand="0" w:oddHBand="0" w:evenHBand="0" w:firstRowFirstColumn="0" w:firstRowLastColumn="0" w:lastRowFirstColumn="0" w:lastRowLastColumn="0"/>
              <w:rPr>
                <w:szCs w:val="20"/>
              </w:rPr>
            </w:pPr>
            <w:r w:rsidRPr="002C2301">
              <w:rPr>
                <w:rFonts w:eastAsiaTheme="majorEastAsia"/>
                <w:szCs w:val="20"/>
              </w:rPr>
              <w:t>Critère</w:t>
            </w:r>
          </w:p>
        </w:tc>
        <w:tc>
          <w:tcPr>
            <w:tcW w:w="0" w:type="auto"/>
          </w:tcPr>
          <w:p w14:paraId="76CF8754" w14:textId="77777777" w:rsidR="00240E7E" w:rsidRPr="00B95A9D" w:rsidRDefault="00240E7E" w:rsidP="000A3EA4">
            <w:pPr>
              <w:cnfStyle w:val="100000000000" w:firstRow="1" w:lastRow="0" w:firstColumn="0" w:lastColumn="0" w:oddVBand="0" w:evenVBand="0" w:oddHBand="0" w:evenHBand="0" w:firstRowFirstColumn="0" w:firstRowLastColumn="0" w:lastRowFirstColumn="0" w:lastRowLastColumn="0"/>
              <w:rPr>
                <w:szCs w:val="20"/>
              </w:rPr>
            </w:pPr>
            <w:r w:rsidRPr="002C2301">
              <w:rPr>
                <w:rFonts w:eastAsiaTheme="majorEastAsia"/>
                <w:szCs w:val="20"/>
              </w:rPr>
              <w:t>Justification</w:t>
            </w:r>
          </w:p>
        </w:tc>
        <w:tc>
          <w:tcPr>
            <w:tcW w:w="0" w:type="auto"/>
          </w:tcPr>
          <w:p w14:paraId="128790D3" w14:textId="77777777" w:rsidR="00240E7E" w:rsidRPr="00B95A9D" w:rsidRDefault="00240E7E" w:rsidP="000A3EA4">
            <w:pPr>
              <w:cnfStyle w:val="100000000000" w:firstRow="1" w:lastRow="0" w:firstColumn="0" w:lastColumn="0" w:oddVBand="0" w:evenVBand="0" w:oddHBand="0" w:evenHBand="0" w:firstRowFirstColumn="0" w:firstRowLastColumn="0" w:lastRowFirstColumn="0" w:lastRowLastColumn="0"/>
              <w:rPr>
                <w:szCs w:val="20"/>
              </w:rPr>
            </w:pPr>
            <w:r w:rsidRPr="002C2301">
              <w:rPr>
                <w:rFonts w:eastAsiaTheme="majorEastAsia"/>
                <w:szCs w:val="20"/>
              </w:rPr>
              <w:t>Niveau</w:t>
            </w:r>
          </w:p>
        </w:tc>
      </w:tr>
      <w:tr w:rsidR="003445E9" w:rsidRPr="00B95A9D" w14:paraId="7A757627" w14:textId="77777777" w:rsidTr="000A3EA4">
        <w:tc>
          <w:tcPr>
            <w:cnfStyle w:val="001000000000" w:firstRow="0" w:lastRow="0" w:firstColumn="1" w:lastColumn="0" w:oddVBand="0" w:evenVBand="0" w:oddHBand="0" w:evenHBand="0" w:firstRowFirstColumn="0" w:firstRowLastColumn="0" w:lastRowFirstColumn="0" w:lastRowLastColumn="0"/>
            <w:tcW w:w="0" w:type="auto"/>
            <w:vMerge w:val="restart"/>
          </w:tcPr>
          <w:p w14:paraId="21FA87F0" w14:textId="729E23EE" w:rsidR="003445E9" w:rsidRPr="00B95A9D" w:rsidRDefault="009F5960" w:rsidP="003445E9">
            <w:pPr>
              <w:rPr>
                <w:szCs w:val="20"/>
              </w:rPr>
            </w:pPr>
            <w:r w:rsidRPr="009F5960">
              <w:rPr>
                <w:szCs w:val="20"/>
              </w:rPr>
              <w:t>Pollution accidentelle du sol lors de la vidange ou du transfert d’effluents</w:t>
            </w:r>
          </w:p>
        </w:tc>
        <w:tc>
          <w:tcPr>
            <w:tcW w:w="0" w:type="auto"/>
            <w:vMerge w:val="restart"/>
          </w:tcPr>
          <w:p w14:paraId="233DB391" w14:textId="1746CB0F" w:rsidR="003445E9" w:rsidRPr="00B95A9D" w:rsidRDefault="00E11714" w:rsidP="003445E9">
            <w:pPr>
              <w:cnfStyle w:val="000000000000" w:firstRow="0" w:lastRow="0" w:firstColumn="0" w:lastColumn="0" w:oddVBand="0" w:evenVBand="0" w:oddHBand="0" w:evenHBand="0" w:firstRowFirstColumn="0" w:firstRowLastColumn="0" w:lastRowFirstColumn="0" w:lastRowLastColumn="0"/>
              <w:rPr>
                <w:szCs w:val="20"/>
              </w:rPr>
            </w:pPr>
            <w:r w:rsidRPr="00E11714">
              <w:rPr>
                <w:szCs w:val="20"/>
              </w:rPr>
              <w:t>Opérations de vidange des cuves par prestataire externe</w:t>
            </w:r>
          </w:p>
        </w:tc>
        <w:tc>
          <w:tcPr>
            <w:tcW w:w="0" w:type="auto"/>
            <w:hideMark/>
          </w:tcPr>
          <w:p w14:paraId="111E900E" w14:textId="77777777" w:rsidR="003445E9" w:rsidRPr="00B95A9D" w:rsidRDefault="003445E9" w:rsidP="003445E9">
            <w:pPr>
              <w:cnfStyle w:val="000000000000" w:firstRow="0" w:lastRow="0" w:firstColumn="0" w:lastColumn="0" w:oddVBand="0" w:evenVBand="0" w:oddHBand="0" w:evenHBand="0" w:firstRowFirstColumn="0" w:firstRowLastColumn="0" w:lastRowFirstColumn="0" w:lastRowLastColumn="0"/>
              <w:rPr>
                <w:szCs w:val="20"/>
              </w:rPr>
            </w:pPr>
            <w:r w:rsidRPr="00B95A9D">
              <w:rPr>
                <w:rFonts w:eastAsiaTheme="majorEastAsia"/>
                <w:b/>
                <w:bCs/>
                <w:szCs w:val="20"/>
              </w:rPr>
              <w:t>Probabilité d’occurrence</w:t>
            </w:r>
          </w:p>
        </w:tc>
        <w:tc>
          <w:tcPr>
            <w:tcW w:w="0" w:type="auto"/>
          </w:tcPr>
          <w:p w14:paraId="5C891C69" w14:textId="2C06BCAA" w:rsidR="003445E9" w:rsidRPr="00B95A9D" w:rsidRDefault="00E11714" w:rsidP="003445E9">
            <w:pPr>
              <w:cnfStyle w:val="000000000000" w:firstRow="0" w:lastRow="0" w:firstColumn="0" w:lastColumn="0" w:oddVBand="0" w:evenVBand="0" w:oddHBand="0" w:evenHBand="0" w:firstRowFirstColumn="0" w:firstRowLastColumn="0" w:lastRowFirstColumn="0" w:lastRowLastColumn="0"/>
              <w:rPr>
                <w:szCs w:val="20"/>
              </w:rPr>
            </w:pPr>
            <w:r w:rsidRPr="00E11714">
              <w:rPr>
                <w:szCs w:val="20"/>
              </w:rPr>
              <w:t>Possible mais limitée aux opérations de maintenance</w:t>
            </w:r>
          </w:p>
        </w:tc>
        <w:tc>
          <w:tcPr>
            <w:tcW w:w="0" w:type="auto"/>
          </w:tcPr>
          <w:p w14:paraId="1313D23F" w14:textId="1BC16023" w:rsidR="003445E9" w:rsidRPr="00B95A9D" w:rsidRDefault="00E11714" w:rsidP="003445E9">
            <w:pPr>
              <w:cnfStyle w:val="000000000000" w:firstRow="0" w:lastRow="0" w:firstColumn="0" w:lastColumn="0" w:oddVBand="0" w:evenVBand="0" w:oddHBand="0" w:evenHBand="0" w:firstRowFirstColumn="0" w:firstRowLastColumn="0" w:lastRowFirstColumn="0" w:lastRowLastColumn="0"/>
              <w:rPr>
                <w:szCs w:val="20"/>
              </w:rPr>
            </w:pPr>
            <w:r w:rsidRPr="00E11714">
              <w:rPr>
                <w:szCs w:val="20"/>
              </w:rPr>
              <w:t xml:space="preserve">Occasionnelle </w:t>
            </w:r>
          </w:p>
        </w:tc>
      </w:tr>
      <w:tr w:rsidR="003445E9" w:rsidRPr="00B95A9D" w14:paraId="0AF71E22" w14:textId="77777777" w:rsidTr="000A3EA4">
        <w:tc>
          <w:tcPr>
            <w:cnfStyle w:val="001000000000" w:firstRow="0" w:lastRow="0" w:firstColumn="1" w:lastColumn="0" w:oddVBand="0" w:evenVBand="0" w:oddHBand="0" w:evenHBand="0" w:firstRowFirstColumn="0" w:firstRowLastColumn="0" w:lastRowFirstColumn="0" w:lastRowLastColumn="0"/>
            <w:tcW w:w="0" w:type="auto"/>
            <w:vMerge/>
          </w:tcPr>
          <w:p w14:paraId="0742AA03" w14:textId="77777777" w:rsidR="003445E9" w:rsidRPr="00B95A9D" w:rsidRDefault="003445E9" w:rsidP="003445E9">
            <w:pPr>
              <w:rPr>
                <w:szCs w:val="20"/>
              </w:rPr>
            </w:pPr>
          </w:p>
        </w:tc>
        <w:tc>
          <w:tcPr>
            <w:tcW w:w="0" w:type="auto"/>
            <w:vMerge/>
          </w:tcPr>
          <w:p w14:paraId="2380E1AD" w14:textId="77777777" w:rsidR="003445E9" w:rsidRPr="00B95A9D" w:rsidRDefault="003445E9" w:rsidP="003445E9">
            <w:pPr>
              <w:cnfStyle w:val="000000000000" w:firstRow="0" w:lastRow="0" w:firstColumn="0" w:lastColumn="0" w:oddVBand="0" w:evenVBand="0" w:oddHBand="0" w:evenHBand="0" w:firstRowFirstColumn="0" w:firstRowLastColumn="0" w:lastRowFirstColumn="0" w:lastRowLastColumn="0"/>
              <w:rPr>
                <w:szCs w:val="20"/>
              </w:rPr>
            </w:pPr>
          </w:p>
        </w:tc>
        <w:tc>
          <w:tcPr>
            <w:tcW w:w="0" w:type="auto"/>
            <w:hideMark/>
          </w:tcPr>
          <w:p w14:paraId="225E603F" w14:textId="77777777" w:rsidR="003445E9" w:rsidRPr="00B95A9D" w:rsidRDefault="003445E9" w:rsidP="003445E9">
            <w:pPr>
              <w:cnfStyle w:val="000000000000" w:firstRow="0" w:lastRow="0" w:firstColumn="0" w:lastColumn="0" w:oddVBand="0" w:evenVBand="0" w:oddHBand="0" w:evenHBand="0" w:firstRowFirstColumn="0" w:firstRowLastColumn="0" w:lastRowFirstColumn="0" w:lastRowLastColumn="0"/>
              <w:rPr>
                <w:szCs w:val="20"/>
              </w:rPr>
            </w:pPr>
            <w:r w:rsidRPr="00B95A9D">
              <w:rPr>
                <w:rFonts w:eastAsiaTheme="majorEastAsia"/>
                <w:b/>
                <w:bCs/>
                <w:szCs w:val="20"/>
              </w:rPr>
              <w:t>Gravité des conséquences</w:t>
            </w:r>
          </w:p>
        </w:tc>
        <w:tc>
          <w:tcPr>
            <w:tcW w:w="0" w:type="auto"/>
          </w:tcPr>
          <w:p w14:paraId="199F25C8" w14:textId="5456AE0A" w:rsidR="003445E9" w:rsidRPr="00B95A9D" w:rsidRDefault="00E11714" w:rsidP="003445E9">
            <w:pPr>
              <w:cnfStyle w:val="000000000000" w:firstRow="0" w:lastRow="0" w:firstColumn="0" w:lastColumn="0" w:oddVBand="0" w:evenVBand="0" w:oddHBand="0" w:evenHBand="0" w:firstRowFirstColumn="0" w:firstRowLastColumn="0" w:lastRowFirstColumn="0" w:lastRowLastColumn="0"/>
              <w:rPr>
                <w:szCs w:val="20"/>
              </w:rPr>
            </w:pPr>
            <w:r>
              <w:rPr>
                <w:szCs w:val="20"/>
              </w:rPr>
              <w:t>I</w:t>
            </w:r>
            <w:r w:rsidRPr="00E11714">
              <w:rPr>
                <w:szCs w:val="20"/>
              </w:rPr>
              <w:t>mpact localisé et réversible</w:t>
            </w:r>
          </w:p>
        </w:tc>
        <w:tc>
          <w:tcPr>
            <w:tcW w:w="0" w:type="auto"/>
          </w:tcPr>
          <w:p w14:paraId="09793BC8" w14:textId="40A77119" w:rsidR="003445E9" w:rsidRPr="00B95A9D" w:rsidRDefault="00E11714" w:rsidP="003445E9">
            <w:pPr>
              <w:cnfStyle w:val="000000000000" w:firstRow="0" w:lastRow="0" w:firstColumn="0" w:lastColumn="0" w:oddVBand="0" w:evenVBand="0" w:oddHBand="0" w:evenHBand="0" w:firstRowFirstColumn="0" w:firstRowLastColumn="0" w:lastRowFirstColumn="0" w:lastRowLastColumn="0"/>
              <w:rPr>
                <w:szCs w:val="20"/>
              </w:rPr>
            </w:pPr>
            <w:r w:rsidRPr="00E11714">
              <w:rPr>
                <w:szCs w:val="20"/>
              </w:rPr>
              <w:t>Modérée</w:t>
            </w:r>
          </w:p>
        </w:tc>
      </w:tr>
      <w:tr w:rsidR="003445E9" w:rsidRPr="00B95A9D" w14:paraId="6FE854BE" w14:textId="77777777" w:rsidTr="000A3EA4">
        <w:tc>
          <w:tcPr>
            <w:cnfStyle w:val="001000000000" w:firstRow="0" w:lastRow="0" w:firstColumn="1" w:lastColumn="0" w:oddVBand="0" w:evenVBand="0" w:oddHBand="0" w:evenHBand="0" w:firstRowFirstColumn="0" w:firstRowLastColumn="0" w:lastRowFirstColumn="0" w:lastRowLastColumn="0"/>
            <w:tcW w:w="0" w:type="auto"/>
            <w:vMerge/>
          </w:tcPr>
          <w:p w14:paraId="454BB3DA" w14:textId="77777777" w:rsidR="003445E9" w:rsidRPr="00B95A9D" w:rsidRDefault="003445E9" w:rsidP="003445E9">
            <w:pPr>
              <w:rPr>
                <w:szCs w:val="20"/>
              </w:rPr>
            </w:pPr>
          </w:p>
        </w:tc>
        <w:tc>
          <w:tcPr>
            <w:tcW w:w="0" w:type="auto"/>
            <w:vMerge/>
          </w:tcPr>
          <w:p w14:paraId="043F8033" w14:textId="77777777" w:rsidR="003445E9" w:rsidRPr="00B95A9D" w:rsidRDefault="003445E9" w:rsidP="003445E9">
            <w:pPr>
              <w:cnfStyle w:val="000000000000" w:firstRow="0" w:lastRow="0" w:firstColumn="0" w:lastColumn="0" w:oddVBand="0" w:evenVBand="0" w:oddHBand="0" w:evenHBand="0" w:firstRowFirstColumn="0" w:firstRowLastColumn="0" w:lastRowFirstColumn="0" w:lastRowLastColumn="0"/>
              <w:rPr>
                <w:szCs w:val="20"/>
              </w:rPr>
            </w:pPr>
          </w:p>
        </w:tc>
        <w:tc>
          <w:tcPr>
            <w:tcW w:w="0" w:type="auto"/>
            <w:hideMark/>
          </w:tcPr>
          <w:p w14:paraId="1325DB61" w14:textId="77777777" w:rsidR="003445E9" w:rsidRPr="00B95A9D" w:rsidRDefault="003445E9" w:rsidP="003445E9">
            <w:pPr>
              <w:cnfStyle w:val="000000000000" w:firstRow="0" w:lastRow="0" w:firstColumn="0" w:lastColumn="0" w:oddVBand="0" w:evenVBand="0" w:oddHBand="0" w:evenHBand="0" w:firstRowFirstColumn="0" w:firstRowLastColumn="0" w:lastRowFirstColumn="0" w:lastRowLastColumn="0"/>
              <w:rPr>
                <w:szCs w:val="20"/>
              </w:rPr>
            </w:pPr>
            <w:r w:rsidRPr="00B95A9D">
              <w:rPr>
                <w:rFonts w:eastAsiaTheme="majorEastAsia"/>
                <w:b/>
                <w:bCs/>
                <w:szCs w:val="20"/>
              </w:rPr>
              <w:t>Évaluation globale du risque</w:t>
            </w:r>
          </w:p>
        </w:tc>
        <w:tc>
          <w:tcPr>
            <w:tcW w:w="0" w:type="auto"/>
          </w:tcPr>
          <w:p w14:paraId="2E5DCA38" w14:textId="05D25986" w:rsidR="003445E9" w:rsidRPr="00B95A9D" w:rsidRDefault="00E11714" w:rsidP="003445E9">
            <w:pPr>
              <w:cnfStyle w:val="000000000000" w:firstRow="0" w:lastRow="0" w:firstColumn="0" w:lastColumn="0" w:oddVBand="0" w:evenVBand="0" w:oddHBand="0" w:evenHBand="0" w:firstRowFirstColumn="0" w:firstRowLastColumn="0" w:lastRowFirstColumn="0" w:lastRowLastColumn="0"/>
              <w:rPr>
                <w:szCs w:val="20"/>
              </w:rPr>
            </w:pPr>
            <w:r w:rsidRPr="00E11714">
              <w:rPr>
                <w:szCs w:val="20"/>
              </w:rPr>
              <w:t>Risque ponctuel maîtrisable par la présence de cuves étanches, bacs de rétention et prestataire agréé</w:t>
            </w:r>
          </w:p>
        </w:tc>
        <w:tc>
          <w:tcPr>
            <w:tcW w:w="0" w:type="auto"/>
          </w:tcPr>
          <w:p w14:paraId="5F237FBD" w14:textId="04B9F0A8" w:rsidR="003445E9" w:rsidRPr="00B95A9D" w:rsidRDefault="00E11714" w:rsidP="003445E9">
            <w:pPr>
              <w:cnfStyle w:val="000000000000" w:firstRow="0" w:lastRow="0" w:firstColumn="0" w:lastColumn="0" w:oddVBand="0" w:evenVBand="0" w:oddHBand="0" w:evenHBand="0" w:firstRowFirstColumn="0" w:firstRowLastColumn="0" w:lastRowFirstColumn="0" w:lastRowLastColumn="0"/>
              <w:rPr>
                <w:szCs w:val="20"/>
              </w:rPr>
            </w:pPr>
            <w:r>
              <w:rPr>
                <w:szCs w:val="20"/>
              </w:rPr>
              <w:t>Modéré</w:t>
            </w:r>
          </w:p>
        </w:tc>
      </w:tr>
    </w:tbl>
    <w:p w14:paraId="469EE681" w14:textId="6F8B680E" w:rsidR="0069211A" w:rsidRDefault="0069211A" w:rsidP="0001633E">
      <w:pPr>
        <w:pStyle w:val="AltTitle2"/>
        <w:numPr>
          <w:ilvl w:val="0"/>
          <w:numId w:val="106"/>
        </w:numPr>
      </w:pPr>
      <w:r>
        <w:t>Risque de contamination microbiologique du personnel de chantier</w:t>
      </w:r>
    </w:p>
    <w:p w14:paraId="40CCE39B" w14:textId="1ECF2CDB" w:rsidR="0069211A" w:rsidRPr="0069211A" w:rsidRDefault="0069211A" w:rsidP="004637C7">
      <w:r w:rsidRPr="0069211A">
        <w:t>La probabilité d’occurrence est probable, étant liée à la fréquence des interventions techniques, tandis que la gravité est majeure, en raison des effets sanitaires potentiels.</w:t>
      </w:r>
    </w:p>
    <w:p w14:paraId="7730C601" w14:textId="0844DC32" w:rsidR="00BD4EC7" w:rsidRPr="0069211A" w:rsidRDefault="00BD4EC7" w:rsidP="004637C7">
      <w:r w:rsidRPr="004637C7">
        <w:t xml:space="preserve">Risque </w:t>
      </w:r>
      <w:r w:rsidRPr="0069211A">
        <w:t>de c</w:t>
      </w:r>
      <w:r w:rsidRPr="004637C7">
        <w:t>ontamination croisée entre eaux usées et hydrocarbures</w:t>
      </w:r>
      <w:r w:rsidR="0069211A">
        <w:t>.</w:t>
      </w:r>
    </w:p>
    <w:tbl>
      <w:tblPr>
        <w:tblStyle w:val="TableauGrille1Clair-Accentuation111"/>
        <w:tblW w:w="0" w:type="auto"/>
        <w:tblLook w:val="04A0" w:firstRow="1" w:lastRow="0" w:firstColumn="1" w:lastColumn="0" w:noHBand="0" w:noVBand="1"/>
      </w:tblPr>
      <w:tblGrid>
        <w:gridCol w:w="2198"/>
        <w:gridCol w:w="1863"/>
        <w:gridCol w:w="1600"/>
        <w:gridCol w:w="2453"/>
        <w:gridCol w:w="946"/>
      </w:tblGrid>
      <w:tr w:rsidR="00240E7E" w:rsidRPr="00B95A9D" w14:paraId="3DA2C2AA" w14:textId="77777777" w:rsidTr="000A3EA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66AB590D" w14:textId="77777777" w:rsidR="00240E7E" w:rsidRPr="00B95A9D" w:rsidRDefault="00240E7E" w:rsidP="000A3EA4">
            <w:pPr>
              <w:rPr>
                <w:szCs w:val="20"/>
              </w:rPr>
            </w:pPr>
            <w:r w:rsidRPr="002C2301">
              <w:rPr>
                <w:rFonts w:eastAsiaTheme="majorEastAsia"/>
                <w:szCs w:val="20"/>
              </w:rPr>
              <w:t>Risque</w:t>
            </w:r>
          </w:p>
        </w:tc>
        <w:tc>
          <w:tcPr>
            <w:tcW w:w="0" w:type="auto"/>
          </w:tcPr>
          <w:p w14:paraId="568433EB" w14:textId="77777777" w:rsidR="00240E7E" w:rsidRPr="00B95A9D" w:rsidRDefault="00240E7E" w:rsidP="000A3EA4">
            <w:pPr>
              <w:cnfStyle w:val="100000000000" w:firstRow="1" w:lastRow="0" w:firstColumn="0" w:lastColumn="0" w:oddVBand="0" w:evenVBand="0" w:oddHBand="0" w:evenHBand="0" w:firstRowFirstColumn="0" w:firstRowLastColumn="0" w:lastRowFirstColumn="0" w:lastRowLastColumn="0"/>
              <w:rPr>
                <w:szCs w:val="20"/>
              </w:rPr>
            </w:pPr>
            <w:r w:rsidRPr="002C2301">
              <w:rPr>
                <w:rFonts w:eastAsiaTheme="majorEastAsia"/>
                <w:szCs w:val="20"/>
              </w:rPr>
              <w:t>Activités génératrices</w:t>
            </w:r>
          </w:p>
        </w:tc>
        <w:tc>
          <w:tcPr>
            <w:tcW w:w="0" w:type="auto"/>
          </w:tcPr>
          <w:p w14:paraId="28C8A34D" w14:textId="77777777" w:rsidR="00240E7E" w:rsidRPr="00B95A9D" w:rsidRDefault="00240E7E" w:rsidP="000A3EA4">
            <w:pPr>
              <w:cnfStyle w:val="100000000000" w:firstRow="1" w:lastRow="0" w:firstColumn="0" w:lastColumn="0" w:oddVBand="0" w:evenVBand="0" w:oddHBand="0" w:evenHBand="0" w:firstRowFirstColumn="0" w:firstRowLastColumn="0" w:lastRowFirstColumn="0" w:lastRowLastColumn="0"/>
              <w:rPr>
                <w:szCs w:val="20"/>
              </w:rPr>
            </w:pPr>
            <w:r w:rsidRPr="002C2301">
              <w:rPr>
                <w:rFonts w:eastAsiaTheme="majorEastAsia"/>
                <w:szCs w:val="20"/>
              </w:rPr>
              <w:t>Critère</w:t>
            </w:r>
          </w:p>
        </w:tc>
        <w:tc>
          <w:tcPr>
            <w:tcW w:w="0" w:type="auto"/>
          </w:tcPr>
          <w:p w14:paraId="342D8E26" w14:textId="77777777" w:rsidR="00240E7E" w:rsidRPr="00B95A9D" w:rsidRDefault="00240E7E" w:rsidP="000A3EA4">
            <w:pPr>
              <w:cnfStyle w:val="100000000000" w:firstRow="1" w:lastRow="0" w:firstColumn="0" w:lastColumn="0" w:oddVBand="0" w:evenVBand="0" w:oddHBand="0" w:evenHBand="0" w:firstRowFirstColumn="0" w:firstRowLastColumn="0" w:lastRowFirstColumn="0" w:lastRowLastColumn="0"/>
              <w:rPr>
                <w:szCs w:val="20"/>
              </w:rPr>
            </w:pPr>
            <w:r w:rsidRPr="002C2301">
              <w:rPr>
                <w:rFonts w:eastAsiaTheme="majorEastAsia"/>
                <w:szCs w:val="20"/>
              </w:rPr>
              <w:t>Justification</w:t>
            </w:r>
          </w:p>
        </w:tc>
        <w:tc>
          <w:tcPr>
            <w:tcW w:w="0" w:type="auto"/>
          </w:tcPr>
          <w:p w14:paraId="52B32517" w14:textId="77777777" w:rsidR="00240E7E" w:rsidRPr="00B95A9D" w:rsidRDefault="00240E7E" w:rsidP="000A3EA4">
            <w:pPr>
              <w:cnfStyle w:val="100000000000" w:firstRow="1" w:lastRow="0" w:firstColumn="0" w:lastColumn="0" w:oddVBand="0" w:evenVBand="0" w:oddHBand="0" w:evenHBand="0" w:firstRowFirstColumn="0" w:firstRowLastColumn="0" w:lastRowFirstColumn="0" w:lastRowLastColumn="0"/>
              <w:rPr>
                <w:szCs w:val="20"/>
              </w:rPr>
            </w:pPr>
            <w:r w:rsidRPr="002C2301">
              <w:rPr>
                <w:rFonts w:eastAsiaTheme="majorEastAsia"/>
                <w:szCs w:val="20"/>
              </w:rPr>
              <w:t>Niveau</w:t>
            </w:r>
          </w:p>
        </w:tc>
      </w:tr>
      <w:tr w:rsidR="00086FE1" w:rsidRPr="00B95A9D" w14:paraId="149B574C" w14:textId="77777777" w:rsidTr="000A3EA4">
        <w:tc>
          <w:tcPr>
            <w:cnfStyle w:val="001000000000" w:firstRow="0" w:lastRow="0" w:firstColumn="1" w:lastColumn="0" w:oddVBand="0" w:evenVBand="0" w:oddHBand="0" w:evenHBand="0" w:firstRowFirstColumn="0" w:firstRowLastColumn="0" w:lastRowFirstColumn="0" w:lastRowLastColumn="0"/>
            <w:tcW w:w="0" w:type="auto"/>
            <w:vMerge w:val="restart"/>
          </w:tcPr>
          <w:p w14:paraId="2812CF66" w14:textId="348964FB" w:rsidR="00086FE1" w:rsidRPr="00B95A9D" w:rsidRDefault="00E11714" w:rsidP="00086FE1">
            <w:pPr>
              <w:rPr>
                <w:szCs w:val="20"/>
              </w:rPr>
            </w:pPr>
            <w:r w:rsidRPr="00E11714">
              <w:rPr>
                <w:szCs w:val="20"/>
              </w:rPr>
              <w:t>Contamination microbiologique du personnel du chantie</w:t>
            </w:r>
            <w:r w:rsidR="008D7CD8">
              <w:rPr>
                <w:szCs w:val="20"/>
              </w:rPr>
              <w:t>r</w:t>
            </w:r>
          </w:p>
        </w:tc>
        <w:tc>
          <w:tcPr>
            <w:tcW w:w="0" w:type="auto"/>
            <w:vMerge w:val="restart"/>
          </w:tcPr>
          <w:p w14:paraId="74AB3526" w14:textId="0B78DD84" w:rsidR="00086FE1" w:rsidRPr="00B95A9D" w:rsidRDefault="00E11714" w:rsidP="00086FE1">
            <w:pPr>
              <w:cnfStyle w:val="000000000000" w:firstRow="0" w:lastRow="0" w:firstColumn="0" w:lastColumn="0" w:oddVBand="0" w:evenVBand="0" w:oddHBand="0" w:evenHBand="0" w:firstRowFirstColumn="0" w:firstRowLastColumn="0" w:lastRowFirstColumn="0" w:lastRowLastColumn="0"/>
              <w:rPr>
                <w:szCs w:val="20"/>
              </w:rPr>
            </w:pPr>
            <w:r w:rsidRPr="00E11714">
              <w:rPr>
                <w:szCs w:val="20"/>
              </w:rPr>
              <w:t>Entretien ou manipulation des dispositifs sanitaires</w:t>
            </w:r>
          </w:p>
        </w:tc>
        <w:tc>
          <w:tcPr>
            <w:tcW w:w="0" w:type="auto"/>
            <w:hideMark/>
          </w:tcPr>
          <w:p w14:paraId="6722DC60" w14:textId="77777777" w:rsidR="00086FE1" w:rsidRPr="00B95A9D" w:rsidRDefault="00086FE1" w:rsidP="00086FE1">
            <w:pPr>
              <w:cnfStyle w:val="000000000000" w:firstRow="0" w:lastRow="0" w:firstColumn="0" w:lastColumn="0" w:oddVBand="0" w:evenVBand="0" w:oddHBand="0" w:evenHBand="0" w:firstRowFirstColumn="0" w:firstRowLastColumn="0" w:lastRowFirstColumn="0" w:lastRowLastColumn="0"/>
              <w:rPr>
                <w:szCs w:val="20"/>
              </w:rPr>
            </w:pPr>
            <w:r w:rsidRPr="00B95A9D">
              <w:rPr>
                <w:rFonts w:eastAsiaTheme="majorEastAsia"/>
                <w:b/>
                <w:bCs/>
                <w:szCs w:val="20"/>
              </w:rPr>
              <w:t>Probabilité d’occurrence</w:t>
            </w:r>
          </w:p>
        </w:tc>
        <w:tc>
          <w:tcPr>
            <w:tcW w:w="0" w:type="auto"/>
          </w:tcPr>
          <w:p w14:paraId="3F6D4C88" w14:textId="29F0FAF3" w:rsidR="00086FE1" w:rsidRPr="00B95A9D" w:rsidRDefault="00E11714" w:rsidP="00086FE1">
            <w:pPr>
              <w:cnfStyle w:val="000000000000" w:firstRow="0" w:lastRow="0" w:firstColumn="0" w:lastColumn="0" w:oddVBand="0" w:evenVBand="0" w:oddHBand="0" w:evenHBand="0" w:firstRowFirstColumn="0" w:firstRowLastColumn="0" w:lastRowFirstColumn="0" w:lastRowLastColumn="0"/>
              <w:rPr>
                <w:szCs w:val="20"/>
              </w:rPr>
            </w:pPr>
            <w:r w:rsidRPr="00E11714">
              <w:rPr>
                <w:szCs w:val="20"/>
              </w:rPr>
              <w:t>Exposition possible en cas de contact direct</w:t>
            </w:r>
          </w:p>
        </w:tc>
        <w:tc>
          <w:tcPr>
            <w:tcW w:w="0" w:type="auto"/>
          </w:tcPr>
          <w:p w14:paraId="5F1DC855" w14:textId="09C8C56D" w:rsidR="00086FE1" w:rsidRPr="00B95A9D" w:rsidRDefault="00E11714" w:rsidP="00086FE1">
            <w:pPr>
              <w:cnfStyle w:val="000000000000" w:firstRow="0" w:lastRow="0" w:firstColumn="0" w:lastColumn="0" w:oddVBand="0" w:evenVBand="0" w:oddHBand="0" w:evenHBand="0" w:firstRowFirstColumn="0" w:firstRowLastColumn="0" w:lastRowFirstColumn="0" w:lastRowLastColumn="0"/>
              <w:rPr>
                <w:szCs w:val="20"/>
              </w:rPr>
            </w:pPr>
            <w:r>
              <w:rPr>
                <w:szCs w:val="20"/>
              </w:rPr>
              <w:t>Probable</w:t>
            </w:r>
          </w:p>
        </w:tc>
      </w:tr>
      <w:tr w:rsidR="00240E7E" w:rsidRPr="00B95A9D" w14:paraId="3A1FDAE0" w14:textId="77777777" w:rsidTr="000A3EA4">
        <w:tc>
          <w:tcPr>
            <w:cnfStyle w:val="001000000000" w:firstRow="0" w:lastRow="0" w:firstColumn="1" w:lastColumn="0" w:oddVBand="0" w:evenVBand="0" w:oddHBand="0" w:evenHBand="0" w:firstRowFirstColumn="0" w:firstRowLastColumn="0" w:lastRowFirstColumn="0" w:lastRowLastColumn="0"/>
            <w:tcW w:w="0" w:type="auto"/>
            <w:vMerge/>
          </w:tcPr>
          <w:p w14:paraId="2670C019" w14:textId="77777777" w:rsidR="00240E7E" w:rsidRPr="00B95A9D" w:rsidRDefault="00240E7E" w:rsidP="000A3EA4">
            <w:pPr>
              <w:rPr>
                <w:szCs w:val="20"/>
              </w:rPr>
            </w:pPr>
          </w:p>
        </w:tc>
        <w:tc>
          <w:tcPr>
            <w:tcW w:w="0" w:type="auto"/>
            <w:vMerge/>
          </w:tcPr>
          <w:p w14:paraId="4E864F7B" w14:textId="77777777" w:rsidR="00240E7E" w:rsidRPr="00B95A9D" w:rsidRDefault="00240E7E" w:rsidP="000A3EA4">
            <w:pPr>
              <w:cnfStyle w:val="000000000000" w:firstRow="0" w:lastRow="0" w:firstColumn="0" w:lastColumn="0" w:oddVBand="0" w:evenVBand="0" w:oddHBand="0" w:evenHBand="0" w:firstRowFirstColumn="0" w:firstRowLastColumn="0" w:lastRowFirstColumn="0" w:lastRowLastColumn="0"/>
              <w:rPr>
                <w:szCs w:val="20"/>
              </w:rPr>
            </w:pPr>
          </w:p>
        </w:tc>
        <w:tc>
          <w:tcPr>
            <w:tcW w:w="0" w:type="auto"/>
            <w:hideMark/>
          </w:tcPr>
          <w:p w14:paraId="11A3F7B4" w14:textId="77777777" w:rsidR="00240E7E" w:rsidRPr="00B95A9D" w:rsidRDefault="00240E7E" w:rsidP="000A3EA4">
            <w:pPr>
              <w:cnfStyle w:val="000000000000" w:firstRow="0" w:lastRow="0" w:firstColumn="0" w:lastColumn="0" w:oddVBand="0" w:evenVBand="0" w:oddHBand="0" w:evenHBand="0" w:firstRowFirstColumn="0" w:firstRowLastColumn="0" w:lastRowFirstColumn="0" w:lastRowLastColumn="0"/>
              <w:rPr>
                <w:szCs w:val="20"/>
              </w:rPr>
            </w:pPr>
            <w:r w:rsidRPr="00B95A9D">
              <w:rPr>
                <w:rFonts w:eastAsiaTheme="majorEastAsia"/>
                <w:b/>
                <w:bCs/>
                <w:szCs w:val="20"/>
              </w:rPr>
              <w:t>Gravité des conséquences</w:t>
            </w:r>
          </w:p>
        </w:tc>
        <w:tc>
          <w:tcPr>
            <w:tcW w:w="0" w:type="auto"/>
          </w:tcPr>
          <w:p w14:paraId="5A627BF2" w14:textId="069634F5" w:rsidR="00240E7E" w:rsidRPr="00B95A9D" w:rsidRDefault="00E11714" w:rsidP="000A3EA4">
            <w:pPr>
              <w:cnfStyle w:val="000000000000" w:firstRow="0" w:lastRow="0" w:firstColumn="0" w:lastColumn="0" w:oddVBand="0" w:evenVBand="0" w:oddHBand="0" w:evenHBand="0" w:firstRowFirstColumn="0" w:firstRowLastColumn="0" w:lastRowFirstColumn="0" w:lastRowLastColumn="0"/>
              <w:rPr>
                <w:szCs w:val="20"/>
              </w:rPr>
            </w:pPr>
            <w:r w:rsidRPr="00E11714">
              <w:rPr>
                <w:szCs w:val="20"/>
              </w:rPr>
              <w:t>Conséquences sanitaires possibles (infection, irritation)</w:t>
            </w:r>
          </w:p>
        </w:tc>
        <w:tc>
          <w:tcPr>
            <w:tcW w:w="0" w:type="auto"/>
          </w:tcPr>
          <w:p w14:paraId="0F39DEAA" w14:textId="36E6538B" w:rsidR="00240E7E" w:rsidRPr="00B95A9D" w:rsidRDefault="00E11714" w:rsidP="000A3EA4">
            <w:pPr>
              <w:cnfStyle w:val="000000000000" w:firstRow="0" w:lastRow="0" w:firstColumn="0" w:lastColumn="0" w:oddVBand="0" w:evenVBand="0" w:oddHBand="0" w:evenHBand="0" w:firstRowFirstColumn="0" w:firstRowLastColumn="0" w:lastRowFirstColumn="0" w:lastRowLastColumn="0"/>
              <w:rPr>
                <w:szCs w:val="20"/>
              </w:rPr>
            </w:pPr>
            <w:r>
              <w:rPr>
                <w:szCs w:val="20"/>
              </w:rPr>
              <w:t>Majeure</w:t>
            </w:r>
          </w:p>
        </w:tc>
      </w:tr>
      <w:tr w:rsidR="00240E7E" w:rsidRPr="00B95A9D" w14:paraId="504C4910" w14:textId="77777777" w:rsidTr="000A3EA4">
        <w:tc>
          <w:tcPr>
            <w:cnfStyle w:val="001000000000" w:firstRow="0" w:lastRow="0" w:firstColumn="1" w:lastColumn="0" w:oddVBand="0" w:evenVBand="0" w:oddHBand="0" w:evenHBand="0" w:firstRowFirstColumn="0" w:firstRowLastColumn="0" w:lastRowFirstColumn="0" w:lastRowLastColumn="0"/>
            <w:tcW w:w="0" w:type="auto"/>
            <w:vMerge/>
          </w:tcPr>
          <w:p w14:paraId="731CA946" w14:textId="77777777" w:rsidR="00240E7E" w:rsidRPr="00B95A9D" w:rsidRDefault="00240E7E" w:rsidP="000A3EA4">
            <w:pPr>
              <w:rPr>
                <w:szCs w:val="20"/>
              </w:rPr>
            </w:pPr>
          </w:p>
        </w:tc>
        <w:tc>
          <w:tcPr>
            <w:tcW w:w="0" w:type="auto"/>
            <w:vMerge/>
          </w:tcPr>
          <w:p w14:paraId="2D96E3D5" w14:textId="77777777" w:rsidR="00240E7E" w:rsidRPr="00B95A9D" w:rsidRDefault="00240E7E" w:rsidP="000A3EA4">
            <w:pPr>
              <w:cnfStyle w:val="000000000000" w:firstRow="0" w:lastRow="0" w:firstColumn="0" w:lastColumn="0" w:oddVBand="0" w:evenVBand="0" w:oddHBand="0" w:evenHBand="0" w:firstRowFirstColumn="0" w:firstRowLastColumn="0" w:lastRowFirstColumn="0" w:lastRowLastColumn="0"/>
              <w:rPr>
                <w:szCs w:val="20"/>
              </w:rPr>
            </w:pPr>
          </w:p>
        </w:tc>
        <w:tc>
          <w:tcPr>
            <w:tcW w:w="0" w:type="auto"/>
            <w:hideMark/>
          </w:tcPr>
          <w:p w14:paraId="10AF3088" w14:textId="77777777" w:rsidR="00240E7E" w:rsidRPr="00B95A9D" w:rsidRDefault="00240E7E" w:rsidP="000A3EA4">
            <w:pPr>
              <w:cnfStyle w:val="000000000000" w:firstRow="0" w:lastRow="0" w:firstColumn="0" w:lastColumn="0" w:oddVBand="0" w:evenVBand="0" w:oddHBand="0" w:evenHBand="0" w:firstRowFirstColumn="0" w:firstRowLastColumn="0" w:lastRowFirstColumn="0" w:lastRowLastColumn="0"/>
              <w:rPr>
                <w:szCs w:val="20"/>
              </w:rPr>
            </w:pPr>
            <w:r w:rsidRPr="00B95A9D">
              <w:rPr>
                <w:rFonts w:eastAsiaTheme="majorEastAsia"/>
                <w:b/>
                <w:bCs/>
                <w:szCs w:val="20"/>
              </w:rPr>
              <w:t>Évaluation globale du risque</w:t>
            </w:r>
          </w:p>
        </w:tc>
        <w:tc>
          <w:tcPr>
            <w:tcW w:w="0" w:type="auto"/>
          </w:tcPr>
          <w:p w14:paraId="2BE59631" w14:textId="79F7F5BD" w:rsidR="00240E7E" w:rsidRPr="00B95A9D" w:rsidRDefault="00E11714" w:rsidP="000A3EA4">
            <w:pPr>
              <w:cnfStyle w:val="000000000000" w:firstRow="0" w:lastRow="0" w:firstColumn="0" w:lastColumn="0" w:oddVBand="0" w:evenVBand="0" w:oddHBand="0" w:evenHBand="0" w:firstRowFirstColumn="0" w:firstRowLastColumn="0" w:lastRowFirstColumn="0" w:lastRowLastColumn="0"/>
              <w:rPr>
                <w:szCs w:val="20"/>
              </w:rPr>
            </w:pPr>
            <w:r w:rsidRPr="00E11714">
              <w:rPr>
                <w:szCs w:val="20"/>
              </w:rPr>
              <w:t>Risque sanitaire maîtrisable par EPI, lavage des mains, désinfection et procédures HSE</w:t>
            </w:r>
          </w:p>
        </w:tc>
        <w:tc>
          <w:tcPr>
            <w:tcW w:w="0" w:type="auto"/>
          </w:tcPr>
          <w:p w14:paraId="21BFA5E7" w14:textId="751196BD" w:rsidR="00240E7E" w:rsidRPr="00B95A9D" w:rsidRDefault="00E11714" w:rsidP="000A3EA4">
            <w:pPr>
              <w:cnfStyle w:val="000000000000" w:firstRow="0" w:lastRow="0" w:firstColumn="0" w:lastColumn="0" w:oddVBand="0" w:evenVBand="0" w:oddHBand="0" w:evenHBand="0" w:firstRowFirstColumn="0" w:firstRowLastColumn="0" w:lastRowFirstColumn="0" w:lastRowLastColumn="0"/>
              <w:rPr>
                <w:szCs w:val="20"/>
              </w:rPr>
            </w:pPr>
            <w:r>
              <w:rPr>
                <w:szCs w:val="20"/>
              </w:rPr>
              <w:t>Elevé</w:t>
            </w:r>
          </w:p>
        </w:tc>
      </w:tr>
      <w:bookmarkEnd w:id="433"/>
    </w:tbl>
    <w:p w14:paraId="0710A761" w14:textId="77777777" w:rsidR="00AB7976" w:rsidRDefault="00AB7976" w:rsidP="00866D71">
      <w:pPr>
        <w:pStyle w:val="Title5"/>
        <w:sectPr w:rsidR="00AB7976" w:rsidSect="004637C7">
          <w:headerReference w:type="default" r:id="rId120"/>
          <w:footerReference w:type="default" r:id="rId121"/>
          <w:pgSz w:w="11906" w:h="16838"/>
          <w:pgMar w:top="1843" w:right="1418" w:bottom="1276" w:left="1418" w:header="680" w:footer="680" w:gutter="0"/>
          <w:cols w:space="708"/>
          <w:docGrid w:linePitch="360"/>
        </w:sectPr>
      </w:pPr>
    </w:p>
    <w:p w14:paraId="394EEE34" w14:textId="77777777" w:rsidR="002459B4" w:rsidRPr="00BD2EBD" w:rsidRDefault="002459B4" w:rsidP="004637C7">
      <w:pPr>
        <w:pStyle w:val="Title5"/>
      </w:pPr>
      <w:r>
        <w:lastRenderedPageBreak/>
        <w:t>Mesures d’a</w:t>
      </w:r>
      <w:r w:rsidRPr="00BD2EBD">
        <w:t>tténuation</w:t>
      </w:r>
    </w:p>
    <w:p w14:paraId="05B12876" w14:textId="297815C0" w:rsidR="00AB7976" w:rsidRDefault="002459B4" w:rsidP="002459B4">
      <w:pPr>
        <w:pStyle w:val="Lgende"/>
        <w:rPr>
          <w:lang w:val="fr-FR"/>
        </w:rPr>
      </w:pPr>
      <w:bookmarkStart w:id="434" w:name="_Toc213404373"/>
      <w:r w:rsidRPr="002A0860">
        <w:rPr>
          <w:lang w:val="fr-FR"/>
        </w:rPr>
        <w:t xml:space="preserve">Tableau </w:t>
      </w:r>
      <w:r>
        <w:fldChar w:fldCharType="begin"/>
      </w:r>
      <w:r w:rsidRPr="002A0860">
        <w:rPr>
          <w:lang w:val="fr-FR"/>
        </w:rPr>
        <w:instrText xml:space="preserve"> SEQ Tableau \* ARABIC </w:instrText>
      </w:r>
      <w:r>
        <w:fldChar w:fldCharType="separate"/>
      </w:r>
      <w:r w:rsidR="00274E71">
        <w:rPr>
          <w:noProof/>
          <w:lang w:val="fr-FR"/>
        </w:rPr>
        <w:t>51</w:t>
      </w:r>
      <w:r>
        <w:fldChar w:fldCharType="end"/>
      </w:r>
      <w:r>
        <w:rPr>
          <w:noProof/>
          <w:lang w:val="fr-FR"/>
        </w:rPr>
        <w:t xml:space="preserve">: </w:t>
      </w:r>
      <w:r w:rsidRPr="002A0860">
        <w:rPr>
          <w:lang w:val="fr-FR"/>
        </w:rPr>
        <w:t>Gestion des eaux usées – Mesures d’atténuation en phases de construction</w:t>
      </w:r>
      <w:bookmarkEnd w:id="434"/>
      <w:r w:rsidRPr="002A0860">
        <w:rPr>
          <w:lang w:val="fr-FR"/>
        </w:rPr>
        <w:t xml:space="preserve"> </w:t>
      </w:r>
    </w:p>
    <w:tbl>
      <w:tblPr>
        <w:tblStyle w:val="TableauGrille1Clair-Accentuation111"/>
        <w:tblW w:w="0" w:type="auto"/>
        <w:tblLook w:val="04A0" w:firstRow="1" w:lastRow="0" w:firstColumn="1" w:lastColumn="0" w:noHBand="0" w:noVBand="1"/>
      </w:tblPr>
      <w:tblGrid>
        <w:gridCol w:w="1539"/>
        <w:gridCol w:w="1434"/>
        <w:gridCol w:w="3800"/>
        <w:gridCol w:w="1949"/>
        <w:gridCol w:w="1068"/>
        <w:gridCol w:w="1599"/>
        <w:gridCol w:w="749"/>
        <w:gridCol w:w="1996"/>
      </w:tblGrid>
      <w:tr w:rsidR="002E0EF5" w:rsidRPr="002E0EF5" w14:paraId="074F7BCC" w14:textId="1B08F7AA" w:rsidTr="00A01A66">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539" w:type="dxa"/>
          </w:tcPr>
          <w:p w14:paraId="1A79B074" w14:textId="5E3DAAF2" w:rsidR="00925BB1" w:rsidRPr="002E0EF5" w:rsidRDefault="00925BB1" w:rsidP="007D4572">
            <w:pPr>
              <w:rPr>
                <w:szCs w:val="20"/>
                <w:lang w:eastAsia="fr-FR" w:bidi="ar-SA"/>
              </w:rPr>
            </w:pPr>
            <w:r w:rsidRPr="002E0EF5">
              <w:rPr>
                <w:szCs w:val="20"/>
                <w:lang w:eastAsia="fr-FR" w:bidi="ar-SA"/>
              </w:rPr>
              <w:t>Impact/risque</w:t>
            </w:r>
          </w:p>
        </w:tc>
        <w:tc>
          <w:tcPr>
            <w:tcW w:w="1434" w:type="dxa"/>
            <w:hideMark/>
          </w:tcPr>
          <w:p w14:paraId="09F53274" w14:textId="31DD8665" w:rsidR="00925BB1" w:rsidRPr="007D4572" w:rsidRDefault="00925BB1" w:rsidP="007D4572">
            <w:pPr>
              <w:cnfStyle w:val="100000000000" w:firstRow="1" w:lastRow="0" w:firstColumn="0" w:lastColumn="0" w:oddVBand="0" w:evenVBand="0" w:oddHBand="0" w:evenHBand="0" w:firstRowFirstColumn="0" w:firstRowLastColumn="0" w:lastRowFirstColumn="0" w:lastRowLastColumn="0"/>
              <w:rPr>
                <w:szCs w:val="20"/>
                <w:lang w:eastAsia="fr-FR" w:bidi="ar-SA"/>
              </w:rPr>
            </w:pPr>
            <w:r w:rsidRPr="007D4572">
              <w:rPr>
                <w:szCs w:val="20"/>
                <w:lang w:eastAsia="fr-FR" w:bidi="ar-SA"/>
              </w:rPr>
              <w:t>Niveau d’atténuation</w:t>
            </w:r>
          </w:p>
        </w:tc>
        <w:tc>
          <w:tcPr>
            <w:tcW w:w="3800" w:type="dxa"/>
            <w:hideMark/>
          </w:tcPr>
          <w:p w14:paraId="1E9D526D" w14:textId="77777777" w:rsidR="00925BB1" w:rsidRPr="007D4572" w:rsidRDefault="00925BB1" w:rsidP="007D4572">
            <w:pPr>
              <w:cnfStyle w:val="100000000000" w:firstRow="1" w:lastRow="0" w:firstColumn="0" w:lastColumn="0" w:oddVBand="0" w:evenVBand="0" w:oddHBand="0" w:evenHBand="0" w:firstRowFirstColumn="0" w:firstRowLastColumn="0" w:lastRowFirstColumn="0" w:lastRowLastColumn="0"/>
              <w:rPr>
                <w:szCs w:val="20"/>
                <w:lang w:eastAsia="fr-FR" w:bidi="ar-SA"/>
              </w:rPr>
            </w:pPr>
            <w:r w:rsidRPr="007D4572">
              <w:rPr>
                <w:szCs w:val="20"/>
                <w:lang w:eastAsia="fr-FR" w:bidi="ar-SA"/>
              </w:rPr>
              <w:t>Mesures proposées</w:t>
            </w:r>
          </w:p>
        </w:tc>
        <w:tc>
          <w:tcPr>
            <w:tcW w:w="1949" w:type="dxa"/>
            <w:hideMark/>
          </w:tcPr>
          <w:p w14:paraId="146FE19D" w14:textId="77777777" w:rsidR="00925BB1" w:rsidRPr="007D4572" w:rsidRDefault="00925BB1" w:rsidP="007D4572">
            <w:pPr>
              <w:cnfStyle w:val="100000000000" w:firstRow="1" w:lastRow="0" w:firstColumn="0" w:lastColumn="0" w:oddVBand="0" w:evenVBand="0" w:oddHBand="0" w:evenHBand="0" w:firstRowFirstColumn="0" w:firstRowLastColumn="0" w:lastRowFirstColumn="0" w:lastRowLastColumn="0"/>
              <w:rPr>
                <w:szCs w:val="20"/>
                <w:lang w:eastAsia="fr-FR" w:bidi="ar-SA"/>
              </w:rPr>
            </w:pPr>
            <w:r w:rsidRPr="007D4572">
              <w:rPr>
                <w:szCs w:val="20"/>
                <w:lang w:eastAsia="fr-FR" w:bidi="ar-SA"/>
              </w:rPr>
              <w:t>Indicateurs / KPI</w:t>
            </w:r>
          </w:p>
        </w:tc>
        <w:tc>
          <w:tcPr>
            <w:tcW w:w="1068" w:type="dxa"/>
            <w:hideMark/>
          </w:tcPr>
          <w:p w14:paraId="232EF87D" w14:textId="77777777" w:rsidR="00925BB1" w:rsidRPr="007D4572" w:rsidRDefault="00925BB1" w:rsidP="007D4572">
            <w:pPr>
              <w:cnfStyle w:val="100000000000" w:firstRow="1" w:lastRow="0" w:firstColumn="0" w:lastColumn="0" w:oddVBand="0" w:evenVBand="0" w:oddHBand="0" w:evenHBand="0" w:firstRowFirstColumn="0" w:firstRowLastColumn="0" w:lastRowFirstColumn="0" w:lastRowLastColumn="0"/>
              <w:rPr>
                <w:szCs w:val="20"/>
                <w:lang w:eastAsia="fr-FR" w:bidi="ar-SA"/>
              </w:rPr>
            </w:pPr>
            <w:r w:rsidRPr="007D4572">
              <w:rPr>
                <w:szCs w:val="20"/>
                <w:lang w:eastAsia="fr-FR" w:bidi="ar-SA"/>
              </w:rPr>
              <w:t>Mise en œuvre</w:t>
            </w:r>
          </w:p>
        </w:tc>
        <w:tc>
          <w:tcPr>
            <w:tcW w:w="1599" w:type="dxa"/>
            <w:hideMark/>
          </w:tcPr>
          <w:p w14:paraId="5BFF8C94" w14:textId="77777777" w:rsidR="00925BB1" w:rsidRPr="007D4572" w:rsidRDefault="00925BB1" w:rsidP="007D4572">
            <w:pPr>
              <w:cnfStyle w:val="100000000000" w:firstRow="1" w:lastRow="0" w:firstColumn="0" w:lastColumn="0" w:oddVBand="0" w:evenVBand="0" w:oddHBand="0" w:evenHBand="0" w:firstRowFirstColumn="0" w:firstRowLastColumn="0" w:lastRowFirstColumn="0" w:lastRowLastColumn="0"/>
              <w:rPr>
                <w:szCs w:val="20"/>
                <w:lang w:eastAsia="fr-FR" w:bidi="ar-SA"/>
              </w:rPr>
            </w:pPr>
            <w:r w:rsidRPr="007D4572">
              <w:rPr>
                <w:szCs w:val="20"/>
                <w:lang w:eastAsia="fr-FR" w:bidi="ar-SA"/>
              </w:rPr>
              <w:t>Surveillance</w:t>
            </w:r>
          </w:p>
        </w:tc>
        <w:tc>
          <w:tcPr>
            <w:tcW w:w="749" w:type="dxa"/>
            <w:hideMark/>
          </w:tcPr>
          <w:p w14:paraId="75C0FA4E" w14:textId="77777777" w:rsidR="00925BB1" w:rsidRPr="007D4572" w:rsidRDefault="00925BB1" w:rsidP="007D4572">
            <w:pPr>
              <w:cnfStyle w:val="100000000000" w:firstRow="1" w:lastRow="0" w:firstColumn="0" w:lastColumn="0" w:oddVBand="0" w:evenVBand="0" w:oddHBand="0" w:evenHBand="0" w:firstRowFirstColumn="0" w:firstRowLastColumn="0" w:lastRowFirstColumn="0" w:lastRowLastColumn="0"/>
              <w:rPr>
                <w:szCs w:val="20"/>
                <w:lang w:eastAsia="fr-FR" w:bidi="ar-SA"/>
              </w:rPr>
            </w:pPr>
            <w:r w:rsidRPr="007D4572">
              <w:rPr>
                <w:szCs w:val="20"/>
                <w:lang w:eastAsia="fr-FR" w:bidi="ar-SA"/>
              </w:rPr>
              <w:t>Suivi</w:t>
            </w:r>
          </w:p>
        </w:tc>
        <w:tc>
          <w:tcPr>
            <w:tcW w:w="1996" w:type="dxa"/>
          </w:tcPr>
          <w:p w14:paraId="42120096" w14:textId="10532594" w:rsidR="00925BB1" w:rsidRPr="002E0EF5" w:rsidRDefault="00925BB1" w:rsidP="007D4572">
            <w:pPr>
              <w:cnfStyle w:val="100000000000" w:firstRow="1" w:lastRow="0" w:firstColumn="0" w:lastColumn="0" w:oddVBand="0" w:evenVBand="0" w:oddHBand="0" w:evenHBand="0" w:firstRowFirstColumn="0" w:firstRowLastColumn="0" w:lastRowFirstColumn="0" w:lastRowLastColumn="0"/>
              <w:rPr>
                <w:szCs w:val="20"/>
                <w:lang w:eastAsia="fr-FR" w:bidi="ar-SA"/>
              </w:rPr>
            </w:pPr>
            <w:r w:rsidRPr="002E0EF5">
              <w:rPr>
                <w:szCs w:val="20"/>
                <w:lang w:eastAsia="fr-FR" w:bidi="ar-SA"/>
              </w:rPr>
              <w:t>Coût</w:t>
            </w:r>
          </w:p>
        </w:tc>
      </w:tr>
      <w:tr w:rsidR="006F3D9E" w:rsidRPr="002E0EF5" w14:paraId="4FDD4195" w14:textId="47AD4D70" w:rsidTr="00A01A66">
        <w:trPr>
          <w:trHeight w:val="742"/>
        </w:trPr>
        <w:tc>
          <w:tcPr>
            <w:cnfStyle w:val="001000000000" w:firstRow="0" w:lastRow="0" w:firstColumn="1" w:lastColumn="0" w:oddVBand="0" w:evenVBand="0" w:oddHBand="0" w:evenHBand="0" w:firstRowFirstColumn="0" w:firstRowLastColumn="0" w:lastRowFirstColumn="0" w:lastRowLastColumn="0"/>
            <w:tcW w:w="1539" w:type="dxa"/>
            <w:vMerge w:val="restart"/>
          </w:tcPr>
          <w:p w14:paraId="5F9C6E2F" w14:textId="0681E4F9" w:rsidR="006F3D9E" w:rsidRPr="006F3D9E" w:rsidRDefault="006F3D9E" w:rsidP="00925BB1">
            <w:pPr>
              <w:rPr>
                <w:szCs w:val="20"/>
                <w:lang w:eastAsia="fr-FR" w:bidi="ar-SA"/>
              </w:rPr>
            </w:pPr>
            <w:r w:rsidRPr="002E0EF5">
              <w:rPr>
                <w:b w:val="0"/>
                <w:bCs w:val="0"/>
                <w:szCs w:val="20"/>
                <w:lang w:eastAsia="fr-FR" w:bidi="ar-SA"/>
              </w:rPr>
              <w:t>Dégradation de la qualité du sol et des eaux souterraines par infiltration d’eaux usées</w:t>
            </w:r>
          </w:p>
        </w:tc>
        <w:tc>
          <w:tcPr>
            <w:tcW w:w="1434" w:type="dxa"/>
            <w:vMerge w:val="restart"/>
            <w:hideMark/>
          </w:tcPr>
          <w:p w14:paraId="0F4D0586" w14:textId="4973193F" w:rsidR="006F3D9E" w:rsidRPr="007D4572" w:rsidRDefault="006F3D9E" w:rsidP="00925BB1">
            <w:pPr>
              <w:cnfStyle w:val="000000000000" w:firstRow="0" w:lastRow="0" w:firstColumn="0" w:lastColumn="0" w:oddVBand="0" w:evenVBand="0" w:oddHBand="0" w:evenHBand="0" w:firstRowFirstColumn="0" w:firstRowLastColumn="0" w:lastRowFirstColumn="0" w:lastRowLastColumn="0"/>
              <w:rPr>
                <w:szCs w:val="20"/>
                <w:lang w:eastAsia="fr-FR" w:bidi="ar-SA"/>
              </w:rPr>
            </w:pPr>
            <w:r w:rsidRPr="007D4572">
              <w:rPr>
                <w:b/>
                <w:bCs/>
                <w:szCs w:val="20"/>
                <w:lang w:eastAsia="fr-FR" w:bidi="ar-SA"/>
              </w:rPr>
              <w:t>Éviter</w:t>
            </w:r>
          </w:p>
        </w:tc>
        <w:tc>
          <w:tcPr>
            <w:tcW w:w="3800" w:type="dxa"/>
            <w:tcBorders>
              <w:bottom w:val="single" w:sz="4" w:space="0" w:color="B4C6E7" w:themeColor="accent1" w:themeTint="66"/>
            </w:tcBorders>
            <w:hideMark/>
          </w:tcPr>
          <w:p w14:paraId="18D992F0" w14:textId="3F379D7B" w:rsidR="006F3D9E" w:rsidRPr="007D4572" w:rsidRDefault="006F3D9E" w:rsidP="00925BB1">
            <w:pPr>
              <w:cnfStyle w:val="000000000000" w:firstRow="0" w:lastRow="0" w:firstColumn="0" w:lastColumn="0" w:oddVBand="0" w:evenVBand="0" w:oddHBand="0" w:evenHBand="0" w:firstRowFirstColumn="0" w:firstRowLastColumn="0" w:lastRowFirstColumn="0" w:lastRowLastColumn="0"/>
              <w:rPr>
                <w:szCs w:val="20"/>
                <w:lang w:eastAsia="fr-FR" w:bidi="ar-SA"/>
              </w:rPr>
            </w:pPr>
            <w:r w:rsidRPr="007D4572">
              <w:rPr>
                <w:szCs w:val="20"/>
                <w:lang w:eastAsia="fr-FR" w:bidi="ar-SA"/>
              </w:rPr>
              <w:t>Interdiction stricte de tout rejet d’eaux usées dans le milieu naturel.</w:t>
            </w:r>
          </w:p>
        </w:tc>
        <w:tc>
          <w:tcPr>
            <w:tcW w:w="1949" w:type="dxa"/>
            <w:vMerge w:val="restart"/>
            <w:hideMark/>
          </w:tcPr>
          <w:p w14:paraId="6DE6CFEF" w14:textId="77777777" w:rsidR="006F3D9E" w:rsidRPr="007D4572" w:rsidRDefault="006F3D9E" w:rsidP="00925BB1">
            <w:pPr>
              <w:cnfStyle w:val="000000000000" w:firstRow="0" w:lastRow="0" w:firstColumn="0" w:lastColumn="0" w:oddVBand="0" w:evenVBand="0" w:oddHBand="0" w:evenHBand="0" w:firstRowFirstColumn="0" w:firstRowLastColumn="0" w:lastRowFirstColumn="0" w:lastRowLastColumn="0"/>
              <w:rPr>
                <w:szCs w:val="20"/>
                <w:lang w:eastAsia="fr-FR" w:bidi="ar-SA"/>
              </w:rPr>
            </w:pPr>
            <w:r w:rsidRPr="007D4572">
              <w:rPr>
                <w:szCs w:val="20"/>
                <w:lang w:eastAsia="fr-FR" w:bidi="ar-SA"/>
              </w:rPr>
              <w:t>Présence d’un plan de gestion / absence de rejet observé</w:t>
            </w:r>
          </w:p>
        </w:tc>
        <w:tc>
          <w:tcPr>
            <w:tcW w:w="1068" w:type="dxa"/>
            <w:vMerge w:val="restart"/>
            <w:hideMark/>
          </w:tcPr>
          <w:p w14:paraId="4AC4005B" w14:textId="371CDEEB" w:rsidR="006F3D9E" w:rsidRPr="007D4572" w:rsidRDefault="006F3D9E" w:rsidP="00925BB1">
            <w:pPr>
              <w:cnfStyle w:val="000000000000" w:firstRow="0" w:lastRow="0" w:firstColumn="0" w:lastColumn="0" w:oddVBand="0" w:evenVBand="0" w:oddHBand="0" w:evenHBand="0" w:firstRowFirstColumn="0" w:firstRowLastColumn="0" w:lastRowFirstColumn="0" w:lastRowLastColumn="0"/>
              <w:rPr>
                <w:szCs w:val="20"/>
                <w:lang w:eastAsia="fr-FR" w:bidi="ar-SA"/>
              </w:rPr>
            </w:pPr>
            <w:r w:rsidRPr="002E0EF5">
              <w:rPr>
                <w:szCs w:val="20"/>
                <w:lang w:eastAsia="zh-CN" w:bidi="ar-SA"/>
              </w:rPr>
              <w:t>EPC / Sous-traitants</w:t>
            </w:r>
          </w:p>
        </w:tc>
        <w:tc>
          <w:tcPr>
            <w:tcW w:w="1599" w:type="dxa"/>
            <w:vMerge w:val="restart"/>
            <w:hideMark/>
          </w:tcPr>
          <w:p w14:paraId="5C4E78B3" w14:textId="54BE4E81" w:rsidR="006F3D9E" w:rsidRPr="007D4572" w:rsidRDefault="006F3D9E" w:rsidP="00925BB1">
            <w:pPr>
              <w:cnfStyle w:val="000000000000" w:firstRow="0" w:lastRow="0" w:firstColumn="0" w:lastColumn="0" w:oddVBand="0" w:evenVBand="0" w:oddHBand="0" w:evenHBand="0" w:firstRowFirstColumn="0" w:firstRowLastColumn="0" w:lastRowFirstColumn="0" w:lastRowLastColumn="0"/>
              <w:rPr>
                <w:szCs w:val="20"/>
                <w:lang w:eastAsia="fr-FR" w:bidi="ar-SA"/>
              </w:rPr>
            </w:pPr>
            <w:r w:rsidRPr="002E0EF5">
              <w:rPr>
                <w:szCs w:val="20"/>
                <w:lang w:eastAsia="zh-CN" w:bidi="ar-SA"/>
              </w:rPr>
              <w:t>Bureau de contrôle / Consultant mandaté par l’ONDA</w:t>
            </w:r>
          </w:p>
        </w:tc>
        <w:tc>
          <w:tcPr>
            <w:tcW w:w="749" w:type="dxa"/>
            <w:vMerge w:val="restart"/>
            <w:hideMark/>
          </w:tcPr>
          <w:p w14:paraId="49795C78" w14:textId="7A683FA2" w:rsidR="006F3D9E" w:rsidRPr="007D4572" w:rsidRDefault="006F3D9E" w:rsidP="00925BB1">
            <w:pPr>
              <w:cnfStyle w:val="000000000000" w:firstRow="0" w:lastRow="0" w:firstColumn="0" w:lastColumn="0" w:oddVBand="0" w:evenVBand="0" w:oddHBand="0" w:evenHBand="0" w:firstRowFirstColumn="0" w:firstRowLastColumn="0" w:lastRowFirstColumn="0" w:lastRowLastColumn="0"/>
              <w:rPr>
                <w:szCs w:val="20"/>
                <w:lang w:eastAsia="fr-FR" w:bidi="ar-SA"/>
              </w:rPr>
            </w:pPr>
            <w:r w:rsidRPr="002E0EF5">
              <w:rPr>
                <w:szCs w:val="20"/>
                <w:lang w:eastAsia="zh-CN" w:bidi="ar-SA"/>
              </w:rPr>
              <w:t>ONDA</w:t>
            </w:r>
          </w:p>
        </w:tc>
        <w:tc>
          <w:tcPr>
            <w:tcW w:w="1996" w:type="dxa"/>
            <w:tcBorders>
              <w:bottom w:val="single" w:sz="4" w:space="0" w:color="B4C6E7" w:themeColor="accent1" w:themeTint="66"/>
            </w:tcBorders>
          </w:tcPr>
          <w:p w14:paraId="5E809E72" w14:textId="3E2F5DC1" w:rsidR="006F3D9E" w:rsidRPr="002E0EF5" w:rsidRDefault="006F3D9E" w:rsidP="00925BB1">
            <w:pPr>
              <w:cnfStyle w:val="000000000000" w:firstRow="0" w:lastRow="0" w:firstColumn="0" w:lastColumn="0" w:oddVBand="0" w:evenVBand="0" w:oddHBand="0" w:evenHBand="0" w:firstRowFirstColumn="0" w:firstRowLastColumn="0" w:lastRowFirstColumn="0" w:lastRowLastColumn="0"/>
              <w:rPr>
                <w:szCs w:val="20"/>
                <w:lang w:eastAsia="fr-FR" w:bidi="ar-SA"/>
              </w:rPr>
            </w:pPr>
            <w:r>
              <w:rPr>
                <w:szCs w:val="20"/>
                <w:lang w:eastAsia="fr-FR" w:bidi="ar-SA"/>
              </w:rPr>
              <w:t>Aucun coût spécifique</w:t>
            </w:r>
          </w:p>
        </w:tc>
      </w:tr>
      <w:tr w:rsidR="006F3D9E" w:rsidRPr="002E0EF5" w14:paraId="2D539097" w14:textId="77777777" w:rsidTr="00A01A66">
        <w:trPr>
          <w:trHeight w:val="708"/>
        </w:trPr>
        <w:tc>
          <w:tcPr>
            <w:cnfStyle w:val="001000000000" w:firstRow="0" w:lastRow="0" w:firstColumn="1" w:lastColumn="0" w:oddVBand="0" w:evenVBand="0" w:oddHBand="0" w:evenHBand="0" w:firstRowFirstColumn="0" w:firstRowLastColumn="0" w:lastRowFirstColumn="0" w:lastRowLastColumn="0"/>
            <w:tcW w:w="1539" w:type="dxa"/>
            <w:vMerge/>
          </w:tcPr>
          <w:p w14:paraId="641DEAE6" w14:textId="77777777" w:rsidR="006F3D9E" w:rsidRPr="002E0EF5" w:rsidRDefault="006F3D9E" w:rsidP="00925BB1">
            <w:pPr>
              <w:rPr>
                <w:szCs w:val="20"/>
                <w:lang w:eastAsia="fr-FR" w:bidi="ar-SA"/>
              </w:rPr>
            </w:pPr>
          </w:p>
        </w:tc>
        <w:tc>
          <w:tcPr>
            <w:tcW w:w="1434" w:type="dxa"/>
            <w:vMerge/>
          </w:tcPr>
          <w:p w14:paraId="6AC96BAB" w14:textId="77777777" w:rsidR="006F3D9E" w:rsidRPr="007D4572" w:rsidRDefault="006F3D9E" w:rsidP="00925BB1">
            <w:pPr>
              <w:cnfStyle w:val="000000000000" w:firstRow="0" w:lastRow="0" w:firstColumn="0" w:lastColumn="0" w:oddVBand="0" w:evenVBand="0" w:oddHBand="0" w:evenHBand="0" w:firstRowFirstColumn="0" w:firstRowLastColumn="0" w:lastRowFirstColumn="0" w:lastRowLastColumn="0"/>
              <w:rPr>
                <w:b/>
                <w:bCs/>
                <w:szCs w:val="20"/>
                <w:lang w:eastAsia="fr-FR" w:bidi="ar-SA"/>
              </w:rPr>
            </w:pPr>
          </w:p>
        </w:tc>
        <w:tc>
          <w:tcPr>
            <w:tcW w:w="3800" w:type="dxa"/>
            <w:tcBorders>
              <w:top w:val="single" w:sz="4" w:space="0" w:color="B4C6E7" w:themeColor="accent1" w:themeTint="66"/>
              <w:bottom w:val="single" w:sz="4" w:space="0" w:color="B4C6E7" w:themeColor="accent1" w:themeTint="66"/>
            </w:tcBorders>
          </w:tcPr>
          <w:p w14:paraId="4C347176" w14:textId="59B18CCD" w:rsidR="006F3D9E" w:rsidRPr="007D4572" w:rsidRDefault="006F3D9E" w:rsidP="00AC0385">
            <w:pPr>
              <w:cnfStyle w:val="000000000000" w:firstRow="0" w:lastRow="0" w:firstColumn="0" w:lastColumn="0" w:oddVBand="0" w:evenVBand="0" w:oddHBand="0" w:evenHBand="0" w:firstRowFirstColumn="0" w:firstRowLastColumn="0" w:lastRowFirstColumn="0" w:lastRowLastColumn="0"/>
              <w:rPr>
                <w:szCs w:val="20"/>
                <w:lang w:eastAsia="fr-FR" w:bidi="ar-SA"/>
              </w:rPr>
            </w:pPr>
            <w:r w:rsidRPr="007D4572">
              <w:rPr>
                <w:szCs w:val="20"/>
                <w:lang w:eastAsia="fr-FR" w:bidi="ar-SA"/>
              </w:rPr>
              <w:t>Installation de sanitaires temporaires à cuves étanches situées à distance des zones sensibles.</w:t>
            </w:r>
          </w:p>
        </w:tc>
        <w:tc>
          <w:tcPr>
            <w:tcW w:w="1949" w:type="dxa"/>
            <w:vMerge/>
          </w:tcPr>
          <w:p w14:paraId="12F19CE7" w14:textId="77777777" w:rsidR="006F3D9E" w:rsidRPr="007D4572" w:rsidRDefault="006F3D9E" w:rsidP="00925BB1">
            <w:pPr>
              <w:cnfStyle w:val="000000000000" w:firstRow="0" w:lastRow="0" w:firstColumn="0" w:lastColumn="0" w:oddVBand="0" w:evenVBand="0" w:oddHBand="0" w:evenHBand="0" w:firstRowFirstColumn="0" w:firstRowLastColumn="0" w:lastRowFirstColumn="0" w:lastRowLastColumn="0"/>
              <w:rPr>
                <w:szCs w:val="20"/>
                <w:lang w:eastAsia="fr-FR" w:bidi="ar-SA"/>
              </w:rPr>
            </w:pPr>
          </w:p>
        </w:tc>
        <w:tc>
          <w:tcPr>
            <w:tcW w:w="1068" w:type="dxa"/>
            <w:vMerge/>
          </w:tcPr>
          <w:p w14:paraId="5A1D0602" w14:textId="77777777" w:rsidR="006F3D9E" w:rsidRPr="002E0EF5" w:rsidRDefault="006F3D9E" w:rsidP="00925BB1">
            <w:pPr>
              <w:cnfStyle w:val="000000000000" w:firstRow="0" w:lastRow="0" w:firstColumn="0" w:lastColumn="0" w:oddVBand="0" w:evenVBand="0" w:oddHBand="0" w:evenHBand="0" w:firstRowFirstColumn="0" w:firstRowLastColumn="0" w:lastRowFirstColumn="0" w:lastRowLastColumn="0"/>
              <w:rPr>
                <w:szCs w:val="20"/>
                <w:lang w:eastAsia="zh-CN" w:bidi="ar-SA"/>
              </w:rPr>
            </w:pPr>
          </w:p>
        </w:tc>
        <w:tc>
          <w:tcPr>
            <w:tcW w:w="1599" w:type="dxa"/>
            <w:vMerge/>
          </w:tcPr>
          <w:p w14:paraId="267C6E7E" w14:textId="77777777" w:rsidR="006F3D9E" w:rsidRPr="002E0EF5" w:rsidRDefault="006F3D9E" w:rsidP="00925BB1">
            <w:pPr>
              <w:cnfStyle w:val="000000000000" w:firstRow="0" w:lastRow="0" w:firstColumn="0" w:lastColumn="0" w:oddVBand="0" w:evenVBand="0" w:oddHBand="0" w:evenHBand="0" w:firstRowFirstColumn="0" w:firstRowLastColumn="0" w:lastRowFirstColumn="0" w:lastRowLastColumn="0"/>
              <w:rPr>
                <w:szCs w:val="20"/>
                <w:lang w:eastAsia="zh-CN" w:bidi="ar-SA"/>
              </w:rPr>
            </w:pPr>
          </w:p>
        </w:tc>
        <w:tc>
          <w:tcPr>
            <w:tcW w:w="749" w:type="dxa"/>
            <w:vMerge/>
          </w:tcPr>
          <w:p w14:paraId="0EA7A39B" w14:textId="77777777" w:rsidR="006F3D9E" w:rsidRPr="002E0EF5" w:rsidRDefault="006F3D9E" w:rsidP="00925BB1">
            <w:pPr>
              <w:cnfStyle w:val="000000000000" w:firstRow="0" w:lastRow="0" w:firstColumn="0" w:lastColumn="0" w:oddVBand="0" w:evenVBand="0" w:oddHBand="0" w:evenHBand="0" w:firstRowFirstColumn="0" w:firstRowLastColumn="0" w:lastRowFirstColumn="0" w:lastRowLastColumn="0"/>
              <w:rPr>
                <w:szCs w:val="20"/>
                <w:lang w:eastAsia="zh-CN" w:bidi="ar-SA"/>
              </w:rPr>
            </w:pPr>
          </w:p>
        </w:tc>
        <w:tc>
          <w:tcPr>
            <w:tcW w:w="1996" w:type="dxa"/>
            <w:tcBorders>
              <w:top w:val="single" w:sz="4" w:space="0" w:color="B4C6E7" w:themeColor="accent1" w:themeTint="66"/>
              <w:bottom w:val="single" w:sz="4" w:space="0" w:color="B4C6E7" w:themeColor="accent1" w:themeTint="66"/>
            </w:tcBorders>
          </w:tcPr>
          <w:p w14:paraId="503C1DE4" w14:textId="3A2C8D61" w:rsidR="006F3D9E" w:rsidRPr="002E0EF5" w:rsidRDefault="006F3D9E" w:rsidP="00925BB1">
            <w:pPr>
              <w:cnfStyle w:val="000000000000" w:firstRow="0" w:lastRow="0" w:firstColumn="0" w:lastColumn="0" w:oddVBand="0" w:evenVBand="0" w:oddHBand="0" w:evenHBand="0" w:firstRowFirstColumn="0" w:firstRowLastColumn="0" w:lastRowFirstColumn="0" w:lastRowLastColumn="0"/>
              <w:rPr>
                <w:szCs w:val="20"/>
                <w:lang w:eastAsia="fr-FR" w:bidi="ar-SA"/>
              </w:rPr>
            </w:pPr>
            <w:r>
              <w:rPr>
                <w:szCs w:val="20"/>
                <w:lang w:eastAsia="fr-FR" w:bidi="ar-SA"/>
              </w:rPr>
              <w:t>10 000 à 30 000 MAD (prix untaire)</w:t>
            </w:r>
          </w:p>
        </w:tc>
      </w:tr>
      <w:tr w:rsidR="006F3D9E" w:rsidRPr="002E0EF5" w14:paraId="581F9E70" w14:textId="77777777" w:rsidTr="00A01A66">
        <w:trPr>
          <w:trHeight w:val="764"/>
        </w:trPr>
        <w:tc>
          <w:tcPr>
            <w:cnfStyle w:val="001000000000" w:firstRow="0" w:lastRow="0" w:firstColumn="1" w:lastColumn="0" w:oddVBand="0" w:evenVBand="0" w:oddHBand="0" w:evenHBand="0" w:firstRowFirstColumn="0" w:firstRowLastColumn="0" w:lastRowFirstColumn="0" w:lastRowLastColumn="0"/>
            <w:tcW w:w="1539" w:type="dxa"/>
            <w:vMerge/>
          </w:tcPr>
          <w:p w14:paraId="17D4DB83" w14:textId="77777777" w:rsidR="006F3D9E" w:rsidRPr="002E0EF5" w:rsidRDefault="006F3D9E" w:rsidP="00925BB1">
            <w:pPr>
              <w:rPr>
                <w:szCs w:val="20"/>
                <w:lang w:eastAsia="fr-FR" w:bidi="ar-SA"/>
              </w:rPr>
            </w:pPr>
          </w:p>
        </w:tc>
        <w:tc>
          <w:tcPr>
            <w:tcW w:w="1434" w:type="dxa"/>
            <w:vMerge/>
          </w:tcPr>
          <w:p w14:paraId="5BF5E4AA" w14:textId="77777777" w:rsidR="006F3D9E" w:rsidRPr="007D4572" w:rsidRDefault="006F3D9E" w:rsidP="00925BB1">
            <w:pPr>
              <w:cnfStyle w:val="000000000000" w:firstRow="0" w:lastRow="0" w:firstColumn="0" w:lastColumn="0" w:oddVBand="0" w:evenVBand="0" w:oddHBand="0" w:evenHBand="0" w:firstRowFirstColumn="0" w:firstRowLastColumn="0" w:lastRowFirstColumn="0" w:lastRowLastColumn="0"/>
              <w:rPr>
                <w:b/>
                <w:bCs/>
                <w:szCs w:val="20"/>
                <w:lang w:eastAsia="fr-FR" w:bidi="ar-SA"/>
              </w:rPr>
            </w:pPr>
          </w:p>
        </w:tc>
        <w:tc>
          <w:tcPr>
            <w:tcW w:w="3800" w:type="dxa"/>
            <w:tcBorders>
              <w:top w:val="single" w:sz="4" w:space="0" w:color="B4C6E7" w:themeColor="accent1" w:themeTint="66"/>
            </w:tcBorders>
          </w:tcPr>
          <w:p w14:paraId="035230D1" w14:textId="77777777" w:rsidR="006F3D9E" w:rsidRPr="007D4572" w:rsidRDefault="006F3D9E" w:rsidP="006523C6">
            <w:pPr>
              <w:cnfStyle w:val="000000000000" w:firstRow="0" w:lastRow="0" w:firstColumn="0" w:lastColumn="0" w:oddVBand="0" w:evenVBand="0" w:oddHBand="0" w:evenHBand="0" w:firstRowFirstColumn="0" w:firstRowLastColumn="0" w:lastRowFirstColumn="0" w:lastRowLastColumn="0"/>
              <w:rPr>
                <w:szCs w:val="20"/>
                <w:lang w:eastAsia="fr-FR" w:bidi="ar-SA"/>
              </w:rPr>
            </w:pPr>
            <w:r w:rsidRPr="007D4572">
              <w:rPr>
                <w:szCs w:val="20"/>
                <w:lang w:eastAsia="fr-FR" w:bidi="ar-SA"/>
              </w:rPr>
              <w:t>Plan de gestion des effluents avant travaux, validé par l’ONDA.</w:t>
            </w:r>
          </w:p>
        </w:tc>
        <w:tc>
          <w:tcPr>
            <w:tcW w:w="1949" w:type="dxa"/>
            <w:vMerge/>
          </w:tcPr>
          <w:p w14:paraId="03277A5A" w14:textId="77777777" w:rsidR="006F3D9E" w:rsidRPr="007D4572" w:rsidRDefault="006F3D9E" w:rsidP="00925BB1">
            <w:pPr>
              <w:cnfStyle w:val="000000000000" w:firstRow="0" w:lastRow="0" w:firstColumn="0" w:lastColumn="0" w:oddVBand="0" w:evenVBand="0" w:oddHBand="0" w:evenHBand="0" w:firstRowFirstColumn="0" w:firstRowLastColumn="0" w:lastRowFirstColumn="0" w:lastRowLastColumn="0"/>
              <w:rPr>
                <w:szCs w:val="20"/>
                <w:lang w:eastAsia="fr-FR" w:bidi="ar-SA"/>
              </w:rPr>
            </w:pPr>
          </w:p>
        </w:tc>
        <w:tc>
          <w:tcPr>
            <w:tcW w:w="1068" w:type="dxa"/>
            <w:vMerge/>
          </w:tcPr>
          <w:p w14:paraId="1C8D798F" w14:textId="77777777" w:rsidR="006F3D9E" w:rsidRPr="002E0EF5" w:rsidRDefault="006F3D9E" w:rsidP="00925BB1">
            <w:pPr>
              <w:cnfStyle w:val="000000000000" w:firstRow="0" w:lastRow="0" w:firstColumn="0" w:lastColumn="0" w:oddVBand="0" w:evenVBand="0" w:oddHBand="0" w:evenHBand="0" w:firstRowFirstColumn="0" w:firstRowLastColumn="0" w:lastRowFirstColumn="0" w:lastRowLastColumn="0"/>
              <w:rPr>
                <w:szCs w:val="20"/>
                <w:lang w:eastAsia="zh-CN" w:bidi="ar-SA"/>
              </w:rPr>
            </w:pPr>
          </w:p>
        </w:tc>
        <w:tc>
          <w:tcPr>
            <w:tcW w:w="1599" w:type="dxa"/>
            <w:vMerge/>
          </w:tcPr>
          <w:p w14:paraId="7A7D2986" w14:textId="77777777" w:rsidR="006F3D9E" w:rsidRPr="002E0EF5" w:rsidRDefault="006F3D9E" w:rsidP="00925BB1">
            <w:pPr>
              <w:cnfStyle w:val="000000000000" w:firstRow="0" w:lastRow="0" w:firstColumn="0" w:lastColumn="0" w:oddVBand="0" w:evenVBand="0" w:oddHBand="0" w:evenHBand="0" w:firstRowFirstColumn="0" w:firstRowLastColumn="0" w:lastRowFirstColumn="0" w:lastRowLastColumn="0"/>
              <w:rPr>
                <w:szCs w:val="20"/>
                <w:lang w:eastAsia="zh-CN" w:bidi="ar-SA"/>
              </w:rPr>
            </w:pPr>
          </w:p>
        </w:tc>
        <w:tc>
          <w:tcPr>
            <w:tcW w:w="749" w:type="dxa"/>
            <w:vMerge/>
          </w:tcPr>
          <w:p w14:paraId="2EAEF649" w14:textId="77777777" w:rsidR="006F3D9E" w:rsidRPr="002E0EF5" w:rsidRDefault="006F3D9E" w:rsidP="00925BB1">
            <w:pPr>
              <w:cnfStyle w:val="000000000000" w:firstRow="0" w:lastRow="0" w:firstColumn="0" w:lastColumn="0" w:oddVBand="0" w:evenVBand="0" w:oddHBand="0" w:evenHBand="0" w:firstRowFirstColumn="0" w:firstRowLastColumn="0" w:lastRowFirstColumn="0" w:lastRowLastColumn="0"/>
              <w:rPr>
                <w:szCs w:val="20"/>
                <w:lang w:eastAsia="zh-CN" w:bidi="ar-SA"/>
              </w:rPr>
            </w:pPr>
          </w:p>
        </w:tc>
        <w:tc>
          <w:tcPr>
            <w:tcW w:w="1996" w:type="dxa"/>
            <w:tcBorders>
              <w:top w:val="single" w:sz="4" w:space="0" w:color="B4C6E7" w:themeColor="accent1" w:themeTint="66"/>
            </w:tcBorders>
          </w:tcPr>
          <w:p w14:paraId="092B2B0F" w14:textId="1A30D075" w:rsidR="006F3D9E" w:rsidRPr="002E0EF5" w:rsidRDefault="006F3D9E" w:rsidP="00925BB1">
            <w:pPr>
              <w:cnfStyle w:val="000000000000" w:firstRow="0" w:lastRow="0" w:firstColumn="0" w:lastColumn="0" w:oddVBand="0" w:evenVBand="0" w:oddHBand="0" w:evenHBand="0" w:firstRowFirstColumn="0" w:firstRowLastColumn="0" w:lastRowFirstColumn="0" w:lastRowLastColumn="0"/>
              <w:rPr>
                <w:szCs w:val="20"/>
                <w:lang w:eastAsia="fr-FR" w:bidi="ar-SA"/>
              </w:rPr>
            </w:pPr>
            <w:r w:rsidRPr="006523C6">
              <w:rPr>
                <w:szCs w:val="20"/>
                <w:lang w:eastAsia="fr-FR" w:bidi="ar-SA"/>
              </w:rPr>
              <w:t>≈ 3 000</w:t>
            </w:r>
            <w:r>
              <w:rPr>
                <w:szCs w:val="20"/>
                <w:lang w:eastAsia="fr-FR" w:bidi="ar-SA"/>
              </w:rPr>
              <w:t xml:space="preserve"> MAD</w:t>
            </w:r>
          </w:p>
        </w:tc>
      </w:tr>
      <w:tr w:rsidR="006F3D9E" w:rsidRPr="002E0EF5" w14:paraId="41D6C05A" w14:textId="77777777" w:rsidTr="00A01A66">
        <w:tc>
          <w:tcPr>
            <w:cnfStyle w:val="001000000000" w:firstRow="0" w:lastRow="0" w:firstColumn="1" w:lastColumn="0" w:oddVBand="0" w:evenVBand="0" w:oddHBand="0" w:evenHBand="0" w:firstRowFirstColumn="0" w:firstRowLastColumn="0" w:lastRowFirstColumn="0" w:lastRowLastColumn="0"/>
            <w:tcW w:w="1539" w:type="dxa"/>
            <w:vMerge/>
          </w:tcPr>
          <w:p w14:paraId="2774AE78" w14:textId="77777777" w:rsidR="006F3D9E" w:rsidRPr="002E0EF5" w:rsidRDefault="006F3D9E" w:rsidP="00925BB1">
            <w:pPr>
              <w:rPr>
                <w:b w:val="0"/>
                <w:bCs w:val="0"/>
                <w:szCs w:val="20"/>
                <w:lang w:eastAsia="fr-FR" w:bidi="ar-SA"/>
              </w:rPr>
            </w:pPr>
          </w:p>
        </w:tc>
        <w:tc>
          <w:tcPr>
            <w:tcW w:w="1434" w:type="dxa"/>
            <w:vMerge w:val="restart"/>
          </w:tcPr>
          <w:p w14:paraId="4255F52E" w14:textId="45D99FB5" w:rsidR="006F3D9E" w:rsidRPr="007D4572" w:rsidRDefault="006F3D9E" w:rsidP="00925BB1">
            <w:pPr>
              <w:cnfStyle w:val="000000000000" w:firstRow="0" w:lastRow="0" w:firstColumn="0" w:lastColumn="0" w:oddVBand="0" w:evenVBand="0" w:oddHBand="0" w:evenHBand="0" w:firstRowFirstColumn="0" w:firstRowLastColumn="0" w:lastRowFirstColumn="0" w:lastRowLastColumn="0"/>
              <w:rPr>
                <w:b/>
                <w:bCs/>
                <w:szCs w:val="20"/>
                <w:lang w:eastAsia="fr-FR" w:bidi="ar-SA"/>
              </w:rPr>
            </w:pPr>
            <w:r w:rsidRPr="007D4572">
              <w:rPr>
                <w:b/>
                <w:bCs/>
                <w:szCs w:val="20"/>
                <w:lang w:eastAsia="fr-FR" w:bidi="ar-SA"/>
              </w:rPr>
              <w:t>Réduire</w:t>
            </w:r>
          </w:p>
        </w:tc>
        <w:tc>
          <w:tcPr>
            <w:tcW w:w="3800" w:type="dxa"/>
          </w:tcPr>
          <w:p w14:paraId="76ABB967" w14:textId="688435AB" w:rsidR="006F3D9E" w:rsidRPr="007D4572" w:rsidRDefault="006F3D9E" w:rsidP="00925BB1">
            <w:pPr>
              <w:cnfStyle w:val="000000000000" w:firstRow="0" w:lastRow="0" w:firstColumn="0" w:lastColumn="0" w:oddVBand="0" w:evenVBand="0" w:oddHBand="0" w:evenHBand="0" w:firstRowFirstColumn="0" w:firstRowLastColumn="0" w:lastRowFirstColumn="0" w:lastRowLastColumn="0"/>
              <w:rPr>
                <w:szCs w:val="20"/>
                <w:lang w:eastAsia="fr-FR" w:bidi="ar-SA"/>
              </w:rPr>
            </w:pPr>
            <w:r w:rsidRPr="007D4572">
              <w:rPr>
                <w:szCs w:val="20"/>
                <w:lang w:eastAsia="fr-FR" w:bidi="ar-SA"/>
              </w:rPr>
              <w:t>Vidange régulière des cuves étanches par prestataire agréé.</w:t>
            </w:r>
          </w:p>
        </w:tc>
        <w:tc>
          <w:tcPr>
            <w:tcW w:w="1949" w:type="dxa"/>
            <w:vMerge w:val="restart"/>
          </w:tcPr>
          <w:p w14:paraId="5FC92681" w14:textId="77777777" w:rsidR="006F3D9E" w:rsidRDefault="006F3D9E" w:rsidP="00925BB1">
            <w:pPr>
              <w:cnfStyle w:val="000000000000" w:firstRow="0" w:lastRow="0" w:firstColumn="0" w:lastColumn="0" w:oddVBand="0" w:evenVBand="0" w:oddHBand="0" w:evenHBand="0" w:firstRowFirstColumn="0" w:firstRowLastColumn="0" w:lastRowFirstColumn="0" w:lastRowLastColumn="0"/>
              <w:rPr>
                <w:szCs w:val="20"/>
                <w:lang w:eastAsia="fr-FR" w:bidi="ar-SA"/>
              </w:rPr>
            </w:pPr>
            <w:r w:rsidRPr="007D4572">
              <w:rPr>
                <w:szCs w:val="20"/>
                <w:lang w:eastAsia="fr-FR" w:bidi="ar-SA"/>
              </w:rPr>
              <w:t>Nombre de vidanges / incidents d’étanchéité / registres disponibles</w:t>
            </w:r>
          </w:p>
          <w:p w14:paraId="34F4A080" w14:textId="3342E63B" w:rsidR="006F3D9E" w:rsidRPr="007D4572" w:rsidRDefault="006F3D9E" w:rsidP="00925BB1">
            <w:pPr>
              <w:cnfStyle w:val="000000000000" w:firstRow="0" w:lastRow="0" w:firstColumn="0" w:lastColumn="0" w:oddVBand="0" w:evenVBand="0" w:oddHBand="0" w:evenHBand="0" w:firstRowFirstColumn="0" w:firstRowLastColumn="0" w:lastRowFirstColumn="0" w:lastRowLastColumn="0"/>
              <w:rPr>
                <w:szCs w:val="20"/>
                <w:lang w:eastAsia="fr-FR" w:bidi="ar-SA"/>
              </w:rPr>
            </w:pPr>
          </w:p>
        </w:tc>
        <w:tc>
          <w:tcPr>
            <w:tcW w:w="1068" w:type="dxa"/>
            <w:vMerge w:val="restart"/>
          </w:tcPr>
          <w:p w14:paraId="27BE208C" w14:textId="7FB7244A" w:rsidR="006F3D9E" w:rsidRPr="002E0EF5" w:rsidRDefault="006F3D9E" w:rsidP="00925BB1">
            <w:pPr>
              <w:cnfStyle w:val="000000000000" w:firstRow="0" w:lastRow="0" w:firstColumn="0" w:lastColumn="0" w:oddVBand="0" w:evenVBand="0" w:oddHBand="0" w:evenHBand="0" w:firstRowFirstColumn="0" w:firstRowLastColumn="0" w:lastRowFirstColumn="0" w:lastRowLastColumn="0"/>
              <w:rPr>
                <w:szCs w:val="20"/>
                <w:lang w:eastAsia="zh-CN" w:bidi="ar-SA"/>
              </w:rPr>
            </w:pPr>
            <w:r w:rsidRPr="002E0EF5">
              <w:rPr>
                <w:szCs w:val="20"/>
                <w:lang w:eastAsia="zh-CN" w:bidi="ar-SA"/>
              </w:rPr>
              <w:t>EPC / Sous-traitants</w:t>
            </w:r>
          </w:p>
        </w:tc>
        <w:tc>
          <w:tcPr>
            <w:tcW w:w="1599" w:type="dxa"/>
            <w:vMerge w:val="restart"/>
          </w:tcPr>
          <w:p w14:paraId="43F370BA" w14:textId="15C70336" w:rsidR="006F3D9E" w:rsidRPr="002E0EF5" w:rsidRDefault="006F3D9E" w:rsidP="00925BB1">
            <w:pPr>
              <w:cnfStyle w:val="000000000000" w:firstRow="0" w:lastRow="0" w:firstColumn="0" w:lastColumn="0" w:oddVBand="0" w:evenVBand="0" w:oddHBand="0" w:evenHBand="0" w:firstRowFirstColumn="0" w:firstRowLastColumn="0" w:lastRowFirstColumn="0" w:lastRowLastColumn="0"/>
              <w:rPr>
                <w:szCs w:val="20"/>
                <w:lang w:eastAsia="zh-CN" w:bidi="ar-SA"/>
              </w:rPr>
            </w:pPr>
            <w:r w:rsidRPr="002E0EF5">
              <w:rPr>
                <w:szCs w:val="20"/>
                <w:lang w:eastAsia="zh-CN" w:bidi="ar-SA"/>
              </w:rPr>
              <w:t>Bureau de contrôle / Consultant mandaté par l’ONDA</w:t>
            </w:r>
          </w:p>
        </w:tc>
        <w:tc>
          <w:tcPr>
            <w:tcW w:w="749" w:type="dxa"/>
            <w:vMerge w:val="restart"/>
          </w:tcPr>
          <w:p w14:paraId="6D386F8D" w14:textId="3B8FB5CE" w:rsidR="006F3D9E" w:rsidRPr="002E0EF5" w:rsidRDefault="006F3D9E" w:rsidP="00925BB1">
            <w:pPr>
              <w:cnfStyle w:val="000000000000" w:firstRow="0" w:lastRow="0" w:firstColumn="0" w:lastColumn="0" w:oddVBand="0" w:evenVBand="0" w:oddHBand="0" w:evenHBand="0" w:firstRowFirstColumn="0" w:firstRowLastColumn="0" w:lastRowFirstColumn="0" w:lastRowLastColumn="0"/>
              <w:rPr>
                <w:szCs w:val="20"/>
                <w:lang w:eastAsia="zh-CN" w:bidi="ar-SA"/>
              </w:rPr>
            </w:pPr>
            <w:r w:rsidRPr="002E0EF5">
              <w:rPr>
                <w:szCs w:val="20"/>
                <w:lang w:eastAsia="zh-CN" w:bidi="ar-SA"/>
              </w:rPr>
              <w:t>ONDA</w:t>
            </w:r>
          </w:p>
        </w:tc>
        <w:tc>
          <w:tcPr>
            <w:tcW w:w="1996" w:type="dxa"/>
          </w:tcPr>
          <w:p w14:paraId="291C6837" w14:textId="5FE710AA" w:rsidR="006F3D9E" w:rsidRPr="002E0EF5" w:rsidDel="006523C6" w:rsidRDefault="006F3D9E" w:rsidP="00925BB1">
            <w:pPr>
              <w:cnfStyle w:val="000000000000" w:firstRow="0" w:lastRow="0" w:firstColumn="0" w:lastColumn="0" w:oddVBand="0" w:evenVBand="0" w:oddHBand="0" w:evenHBand="0" w:firstRowFirstColumn="0" w:firstRowLastColumn="0" w:lastRowFirstColumn="0" w:lastRowLastColumn="0"/>
              <w:rPr>
                <w:szCs w:val="20"/>
                <w:lang w:eastAsia="fr-FR" w:bidi="ar-SA"/>
              </w:rPr>
            </w:pPr>
            <w:r w:rsidRPr="001153BE">
              <w:rPr>
                <w:szCs w:val="20"/>
                <w:lang w:eastAsia="fr-FR" w:bidi="ar-SA"/>
              </w:rPr>
              <w:t>5</w:t>
            </w:r>
            <w:r>
              <w:rPr>
                <w:szCs w:val="20"/>
                <w:lang w:eastAsia="fr-FR" w:bidi="ar-SA"/>
              </w:rPr>
              <w:t xml:space="preserve"> </w:t>
            </w:r>
            <w:r w:rsidRPr="001153BE">
              <w:rPr>
                <w:szCs w:val="20"/>
                <w:lang w:eastAsia="fr-FR" w:bidi="ar-SA"/>
              </w:rPr>
              <w:t>000 MAD/vidange/latrine.</w:t>
            </w:r>
          </w:p>
        </w:tc>
      </w:tr>
      <w:tr w:rsidR="006F3D9E" w:rsidRPr="002E0EF5" w14:paraId="327CF338" w14:textId="77777777" w:rsidTr="00A01A66">
        <w:tc>
          <w:tcPr>
            <w:cnfStyle w:val="001000000000" w:firstRow="0" w:lastRow="0" w:firstColumn="1" w:lastColumn="0" w:oddVBand="0" w:evenVBand="0" w:oddHBand="0" w:evenHBand="0" w:firstRowFirstColumn="0" w:firstRowLastColumn="0" w:lastRowFirstColumn="0" w:lastRowLastColumn="0"/>
            <w:tcW w:w="1539" w:type="dxa"/>
            <w:vMerge/>
          </w:tcPr>
          <w:p w14:paraId="78B5F46E" w14:textId="77777777" w:rsidR="006F3D9E" w:rsidRPr="002E0EF5" w:rsidRDefault="006F3D9E" w:rsidP="00925BB1">
            <w:pPr>
              <w:rPr>
                <w:b w:val="0"/>
                <w:bCs w:val="0"/>
                <w:szCs w:val="20"/>
                <w:lang w:eastAsia="fr-FR" w:bidi="ar-SA"/>
              </w:rPr>
            </w:pPr>
          </w:p>
        </w:tc>
        <w:tc>
          <w:tcPr>
            <w:tcW w:w="1434" w:type="dxa"/>
            <w:vMerge/>
          </w:tcPr>
          <w:p w14:paraId="776F0DCE" w14:textId="77D7DCEF" w:rsidR="006F3D9E" w:rsidRPr="007D4572" w:rsidRDefault="006F3D9E" w:rsidP="00925BB1">
            <w:pPr>
              <w:cnfStyle w:val="000000000000" w:firstRow="0" w:lastRow="0" w:firstColumn="0" w:lastColumn="0" w:oddVBand="0" w:evenVBand="0" w:oddHBand="0" w:evenHBand="0" w:firstRowFirstColumn="0" w:firstRowLastColumn="0" w:lastRowFirstColumn="0" w:lastRowLastColumn="0"/>
              <w:rPr>
                <w:b/>
                <w:bCs/>
                <w:szCs w:val="20"/>
                <w:lang w:eastAsia="fr-FR" w:bidi="ar-SA"/>
              </w:rPr>
            </w:pPr>
          </w:p>
        </w:tc>
        <w:tc>
          <w:tcPr>
            <w:tcW w:w="3800" w:type="dxa"/>
          </w:tcPr>
          <w:p w14:paraId="7A717CC3" w14:textId="03FE5876" w:rsidR="006F3D9E" w:rsidRPr="007D4572" w:rsidRDefault="006F3D9E" w:rsidP="00925BB1">
            <w:pPr>
              <w:cnfStyle w:val="000000000000" w:firstRow="0" w:lastRow="0" w:firstColumn="0" w:lastColumn="0" w:oddVBand="0" w:evenVBand="0" w:oddHBand="0" w:evenHBand="0" w:firstRowFirstColumn="0" w:firstRowLastColumn="0" w:lastRowFirstColumn="0" w:lastRowLastColumn="0"/>
              <w:rPr>
                <w:szCs w:val="20"/>
                <w:lang w:eastAsia="fr-FR" w:bidi="ar-SA"/>
              </w:rPr>
            </w:pPr>
            <w:r w:rsidRPr="007D4572">
              <w:rPr>
                <w:szCs w:val="20"/>
                <w:lang w:eastAsia="fr-FR" w:bidi="ar-SA"/>
              </w:rPr>
              <w:t>Tenue d’un registre de vidange et traçabilité via bordereaux signés.</w:t>
            </w:r>
          </w:p>
        </w:tc>
        <w:tc>
          <w:tcPr>
            <w:tcW w:w="1949" w:type="dxa"/>
            <w:vMerge/>
          </w:tcPr>
          <w:p w14:paraId="6ECC3874" w14:textId="06A99843" w:rsidR="006F3D9E" w:rsidRPr="007D4572" w:rsidRDefault="006F3D9E" w:rsidP="00925BB1">
            <w:pPr>
              <w:cnfStyle w:val="000000000000" w:firstRow="0" w:lastRow="0" w:firstColumn="0" w:lastColumn="0" w:oddVBand="0" w:evenVBand="0" w:oddHBand="0" w:evenHBand="0" w:firstRowFirstColumn="0" w:firstRowLastColumn="0" w:lastRowFirstColumn="0" w:lastRowLastColumn="0"/>
              <w:rPr>
                <w:szCs w:val="20"/>
                <w:lang w:eastAsia="fr-FR" w:bidi="ar-SA"/>
              </w:rPr>
            </w:pPr>
          </w:p>
        </w:tc>
        <w:tc>
          <w:tcPr>
            <w:tcW w:w="1068" w:type="dxa"/>
            <w:vMerge/>
          </w:tcPr>
          <w:p w14:paraId="2B9E9E79" w14:textId="4A88DDF0" w:rsidR="006F3D9E" w:rsidRPr="002E0EF5" w:rsidRDefault="006F3D9E" w:rsidP="00925BB1">
            <w:pPr>
              <w:cnfStyle w:val="000000000000" w:firstRow="0" w:lastRow="0" w:firstColumn="0" w:lastColumn="0" w:oddVBand="0" w:evenVBand="0" w:oddHBand="0" w:evenHBand="0" w:firstRowFirstColumn="0" w:firstRowLastColumn="0" w:lastRowFirstColumn="0" w:lastRowLastColumn="0"/>
              <w:rPr>
                <w:szCs w:val="20"/>
                <w:lang w:eastAsia="zh-CN" w:bidi="ar-SA"/>
              </w:rPr>
            </w:pPr>
          </w:p>
        </w:tc>
        <w:tc>
          <w:tcPr>
            <w:tcW w:w="1599" w:type="dxa"/>
            <w:vMerge/>
          </w:tcPr>
          <w:p w14:paraId="7F3243D2" w14:textId="50D851CD" w:rsidR="006F3D9E" w:rsidRPr="002E0EF5" w:rsidRDefault="006F3D9E" w:rsidP="00925BB1">
            <w:pPr>
              <w:cnfStyle w:val="000000000000" w:firstRow="0" w:lastRow="0" w:firstColumn="0" w:lastColumn="0" w:oddVBand="0" w:evenVBand="0" w:oddHBand="0" w:evenHBand="0" w:firstRowFirstColumn="0" w:firstRowLastColumn="0" w:lastRowFirstColumn="0" w:lastRowLastColumn="0"/>
              <w:rPr>
                <w:szCs w:val="20"/>
                <w:lang w:eastAsia="zh-CN" w:bidi="ar-SA"/>
              </w:rPr>
            </w:pPr>
          </w:p>
        </w:tc>
        <w:tc>
          <w:tcPr>
            <w:tcW w:w="749" w:type="dxa"/>
            <w:vMerge/>
          </w:tcPr>
          <w:p w14:paraId="4660D483" w14:textId="1643A14D" w:rsidR="006F3D9E" w:rsidRPr="002E0EF5" w:rsidRDefault="006F3D9E" w:rsidP="00925BB1">
            <w:pPr>
              <w:cnfStyle w:val="000000000000" w:firstRow="0" w:lastRow="0" w:firstColumn="0" w:lastColumn="0" w:oddVBand="0" w:evenVBand="0" w:oddHBand="0" w:evenHBand="0" w:firstRowFirstColumn="0" w:firstRowLastColumn="0" w:lastRowFirstColumn="0" w:lastRowLastColumn="0"/>
              <w:rPr>
                <w:szCs w:val="20"/>
                <w:lang w:eastAsia="zh-CN" w:bidi="ar-SA"/>
              </w:rPr>
            </w:pPr>
          </w:p>
        </w:tc>
        <w:tc>
          <w:tcPr>
            <w:tcW w:w="1996" w:type="dxa"/>
          </w:tcPr>
          <w:p w14:paraId="0BC57DEF" w14:textId="6891F850" w:rsidR="006F3D9E" w:rsidRPr="002E0EF5" w:rsidDel="006523C6" w:rsidRDefault="006F3D9E" w:rsidP="00925BB1">
            <w:pPr>
              <w:cnfStyle w:val="000000000000" w:firstRow="0" w:lastRow="0" w:firstColumn="0" w:lastColumn="0" w:oddVBand="0" w:evenVBand="0" w:oddHBand="0" w:evenHBand="0" w:firstRowFirstColumn="0" w:firstRowLastColumn="0" w:lastRowFirstColumn="0" w:lastRowLastColumn="0"/>
              <w:rPr>
                <w:szCs w:val="20"/>
                <w:lang w:eastAsia="fr-FR" w:bidi="ar-SA"/>
              </w:rPr>
            </w:pPr>
            <w:r>
              <w:rPr>
                <w:szCs w:val="20"/>
                <w:lang w:eastAsia="fr-FR" w:bidi="ar-SA"/>
              </w:rPr>
              <w:t xml:space="preserve">Aucun coût spécifique - </w:t>
            </w:r>
            <w:r w:rsidRPr="00903924">
              <w:rPr>
                <w:szCs w:val="20"/>
                <w:lang w:eastAsia="fr-FR" w:bidi="ar-SA"/>
              </w:rPr>
              <w:t>Suivi administratif interne HSE.</w:t>
            </w:r>
          </w:p>
        </w:tc>
      </w:tr>
      <w:tr w:rsidR="006F3D9E" w:rsidRPr="002E0EF5" w14:paraId="23D5335F" w14:textId="77777777" w:rsidTr="00A01A66">
        <w:tc>
          <w:tcPr>
            <w:cnfStyle w:val="001000000000" w:firstRow="0" w:lastRow="0" w:firstColumn="1" w:lastColumn="0" w:oddVBand="0" w:evenVBand="0" w:oddHBand="0" w:evenHBand="0" w:firstRowFirstColumn="0" w:firstRowLastColumn="0" w:lastRowFirstColumn="0" w:lastRowLastColumn="0"/>
            <w:tcW w:w="1539" w:type="dxa"/>
            <w:vMerge/>
          </w:tcPr>
          <w:p w14:paraId="5DBCA9A6" w14:textId="77777777" w:rsidR="006F3D9E" w:rsidRPr="002E0EF5" w:rsidRDefault="006F3D9E" w:rsidP="00925BB1">
            <w:pPr>
              <w:rPr>
                <w:b w:val="0"/>
                <w:bCs w:val="0"/>
                <w:szCs w:val="20"/>
                <w:lang w:eastAsia="fr-FR" w:bidi="ar-SA"/>
              </w:rPr>
            </w:pPr>
          </w:p>
        </w:tc>
        <w:tc>
          <w:tcPr>
            <w:tcW w:w="1434" w:type="dxa"/>
            <w:vMerge/>
          </w:tcPr>
          <w:p w14:paraId="29C52AE9" w14:textId="42725071" w:rsidR="006F3D9E" w:rsidRPr="007D4572" w:rsidRDefault="006F3D9E" w:rsidP="00925BB1">
            <w:pPr>
              <w:cnfStyle w:val="000000000000" w:firstRow="0" w:lastRow="0" w:firstColumn="0" w:lastColumn="0" w:oddVBand="0" w:evenVBand="0" w:oddHBand="0" w:evenHBand="0" w:firstRowFirstColumn="0" w:firstRowLastColumn="0" w:lastRowFirstColumn="0" w:lastRowLastColumn="0"/>
              <w:rPr>
                <w:b/>
                <w:bCs/>
                <w:szCs w:val="20"/>
                <w:lang w:eastAsia="fr-FR" w:bidi="ar-SA"/>
              </w:rPr>
            </w:pPr>
          </w:p>
        </w:tc>
        <w:tc>
          <w:tcPr>
            <w:tcW w:w="3800" w:type="dxa"/>
          </w:tcPr>
          <w:p w14:paraId="0C0BEBD0" w14:textId="6455B70E" w:rsidR="006F3D9E" w:rsidRPr="007D4572" w:rsidRDefault="006F3D9E" w:rsidP="00925BB1">
            <w:pPr>
              <w:cnfStyle w:val="000000000000" w:firstRow="0" w:lastRow="0" w:firstColumn="0" w:lastColumn="0" w:oddVBand="0" w:evenVBand="0" w:oddHBand="0" w:evenHBand="0" w:firstRowFirstColumn="0" w:firstRowLastColumn="0" w:lastRowFirstColumn="0" w:lastRowLastColumn="0"/>
              <w:rPr>
                <w:szCs w:val="20"/>
                <w:lang w:eastAsia="fr-FR" w:bidi="ar-SA"/>
              </w:rPr>
            </w:pPr>
            <w:r w:rsidRPr="007D4572">
              <w:rPr>
                <w:szCs w:val="20"/>
                <w:lang w:eastAsia="fr-FR" w:bidi="ar-SA"/>
              </w:rPr>
              <w:t>Inspection hebdomadaire de l’étanchéité et des raccords.</w:t>
            </w:r>
          </w:p>
        </w:tc>
        <w:tc>
          <w:tcPr>
            <w:tcW w:w="1949" w:type="dxa"/>
            <w:vMerge/>
          </w:tcPr>
          <w:p w14:paraId="406242C2" w14:textId="4D561C72" w:rsidR="006F3D9E" w:rsidRPr="007D4572" w:rsidRDefault="006F3D9E" w:rsidP="00925BB1">
            <w:pPr>
              <w:cnfStyle w:val="000000000000" w:firstRow="0" w:lastRow="0" w:firstColumn="0" w:lastColumn="0" w:oddVBand="0" w:evenVBand="0" w:oddHBand="0" w:evenHBand="0" w:firstRowFirstColumn="0" w:firstRowLastColumn="0" w:lastRowFirstColumn="0" w:lastRowLastColumn="0"/>
              <w:rPr>
                <w:szCs w:val="20"/>
                <w:lang w:eastAsia="fr-FR" w:bidi="ar-SA"/>
              </w:rPr>
            </w:pPr>
          </w:p>
        </w:tc>
        <w:tc>
          <w:tcPr>
            <w:tcW w:w="1068" w:type="dxa"/>
            <w:vMerge/>
          </w:tcPr>
          <w:p w14:paraId="14A7EF29" w14:textId="19BBCDBD" w:rsidR="006F3D9E" w:rsidRPr="002E0EF5" w:rsidRDefault="006F3D9E" w:rsidP="00925BB1">
            <w:pPr>
              <w:cnfStyle w:val="000000000000" w:firstRow="0" w:lastRow="0" w:firstColumn="0" w:lastColumn="0" w:oddVBand="0" w:evenVBand="0" w:oddHBand="0" w:evenHBand="0" w:firstRowFirstColumn="0" w:firstRowLastColumn="0" w:lastRowFirstColumn="0" w:lastRowLastColumn="0"/>
              <w:rPr>
                <w:szCs w:val="20"/>
                <w:lang w:eastAsia="zh-CN" w:bidi="ar-SA"/>
              </w:rPr>
            </w:pPr>
          </w:p>
        </w:tc>
        <w:tc>
          <w:tcPr>
            <w:tcW w:w="1599" w:type="dxa"/>
            <w:vMerge/>
          </w:tcPr>
          <w:p w14:paraId="098EB3D7" w14:textId="2485DB0F" w:rsidR="006F3D9E" w:rsidRPr="002E0EF5" w:rsidRDefault="006F3D9E" w:rsidP="00925BB1">
            <w:pPr>
              <w:cnfStyle w:val="000000000000" w:firstRow="0" w:lastRow="0" w:firstColumn="0" w:lastColumn="0" w:oddVBand="0" w:evenVBand="0" w:oddHBand="0" w:evenHBand="0" w:firstRowFirstColumn="0" w:firstRowLastColumn="0" w:lastRowFirstColumn="0" w:lastRowLastColumn="0"/>
              <w:rPr>
                <w:szCs w:val="20"/>
                <w:lang w:eastAsia="zh-CN" w:bidi="ar-SA"/>
              </w:rPr>
            </w:pPr>
          </w:p>
        </w:tc>
        <w:tc>
          <w:tcPr>
            <w:tcW w:w="749" w:type="dxa"/>
            <w:vMerge/>
          </w:tcPr>
          <w:p w14:paraId="4295FE92" w14:textId="4DB3695D" w:rsidR="006F3D9E" w:rsidRPr="002E0EF5" w:rsidRDefault="006F3D9E" w:rsidP="00925BB1">
            <w:pPr>
              <w:cnfStyle w:val="000000000000" w:firstRow="0" w:lastRow="0" w:firstColumn="0" w:lastColumn="0" w:oddVBand="0" w:evenVBand="0" w:oddHBand="0" w:evenHBand="0" w:firstRowFirstColumn="0" w:firstRowLastColumn="0" w:lastRowFirstColumn="0" w:lastRowLastColumn="0"/>
              <w:rPr>
                <w:szCs w:val="20"/>
                <w:lang w:eastAsia="zh-CN" w:bidi="ar-SA"/>
              </w:rPr>
            </w:pPr>
          </w:p>
        </w:tc>
        <w:tc>
          <w:tcPr>
            <w:tcW w:w="1996" w:type="dxa"/>
          </w:tcPr>
          <w:p w14:paraId="0F53FB1D" w14:textId="61D9B11D" w:rsidR="006F3D9E" w:rsidRPr="002E0EF5" w:rsidDel="006523C6" w:rsidRDefault="006F3D9E" w:rsidP="00925BB1">
            <w:pPr>
              <w:cnfStyle w:val="000000000000" w:firstRow="0" w:lastRow="0" w:firstColumn="0" w:lastColumn="0" w:oddVBand="0" w:evenVBand="0" w:oddHBand="0" w:evenHBand="0" w:firstRowFirstColumn="0" w:firstRowLastColumn="0" w:lastRowFirstColumn="0" w:lastRowLastColumn="0"/>
              <w:rPr>
                <w:szCs w:val="20"/>
                <w:lang w:eastAsia="fr-FR" w:bidi="ar-SA"/>
              </w:rPr>
            </w:pPr>
            <w:r>
              <w:rPr>
                <w:szCs w:val="20"/>
                <w:lang w:eastAsia="fr-FR" w:bidi="ar-SA"/>
              </w:rPr>
              <w:t xml:space="preserve">Aucun coût spécifique – </w:t>
            </w:r>
            <w:r w:rsidRPr="00903924">
              <w:rPr>
                <w:szCs w:val="20"/>
                <w:lang w:eastAsia="fr-FR" w:bidi="ar-SA"/>
              </w:rPr>
              <w:t>Réalisée par l’équipe HSSE de l’EPC déjà en place sur site.</w:t>
            </w:r>
          </w:p>
        </w:tc>
      </w:tr>
      <w:tr w:rsidR="006F3D9E" w:rsidRPr="002E0EF5" w14:paraId="4987FDBA" w14:textId="074B76AD" w:rsidTr="00A01A66">
        <w:tc>
          <w:tcPr>
            <w:cnfStyle w:val="001000000000" w:firstRow="0" w:lastRow="0" w:firstColumn="1" w:lastColumn="0" w:oddVBand="0" w:evenVBand="0" w:oddHBand="0" w:evenHBand="0" w:firstRowFirstColumn="0" w:firstRowLastColumn="0" w:lastRowFirstColumn="0" w:lastRowLastColumn="0"/>
            <w:tcW w:w="1539" w:type="dxa"/>
            <w:vMerge/>
          </w:tcPr>
          <w:p w14:paraId="0B23DCD0" w14:textId="77777777" w:rsidR="006F3D9E" w:rsidRPr="002E0EF5" w:rsidRDefault="006F3D9E" w:rsidP="00925BB1">
            <w:pPr>
              <w:rPr>
                <w:b w:val="0"/>
                <w:bCs w:val="0"/>
                <w:szCs w:val="20"/>
                <w:lang w:eastAsia="fr-FR" w:bidi="ar-SA"/>
              </w:rPr>
            </w:pPr>
          </w:p>
        </w:tc>
        <w:tc>
          <w:tcPr>
            <w:tcW w:w="1434" w:type="dxa"/>
            <w:vMerge/>
            <w:hideMark/>
          </w:tcPr>
          <w:p w14:paraId="7629D0BC" w14:textId="5A175109" w:rsidR="006F3D9E" w:rsidRPr="007D4572" w:rsidRDefault="006F3D9E" w:rsidP="00925BB1">
            <w:pPr>
              <w:cnfStyle w:val="000000000000" w:firstRow="0" w:lastRow="0" w:firstColumn="0" w:lastColumn="0" w:oddVBand="0" w:evenVBand="0" w:oddHBand="0" w:evenHBand="0" w:firstRowFirstColumn="0" w:firstRowLastColumn="0" w:lastRowFirstColumn="0" w:lastRowLastColumn="0"/>
              <w:rPr>
                <w:szCs w:val="20"/>
                <w:lang w:eastAsia="fr-FR" w:bidi="ar-SA"/>
              </w:rPr>
            </w:pPr>
          </w:p>
        </w:tc>
        <w:tc>
          <w:tcPr>
            <w:tcW w:w="3800" w:type="dxa"/>
            <w:hideMark/>
          </w:tcPr>
          <w:p w14:paraId="3D39B3CF" w14:textId="19C3AEE3" w:rsidR="006F3D9E" w:rsidRPr="007D4572" w:rsidRDefault="006F3D9E" w:rsidP="00925BB1">
            <w:pPr>
              <w:cnfStyle w:val="000000000000" w:firstRow="0" w:lastRow="0" w:firstColumn="0" w:lastColumn="0" w:oddVBand="0" w:evenVBand="0" w:oddHBand="0" w:evenHBand="0" w:firstRowFirstColumn="0" w:firstRowLastColumn="0" w:lastRowFirstColumn="0" w:lastRowLastColumn="0"/>
              <w:rPr>
                <w:szCs w:val="20"/>
                <w:lang w:eastAsia="fr-FR" w:bidi="ar-SA"/>
              </w:rPr>
            </w:pPr>
            <w:r w:rsidRPr="007D4572">
              <w:rPr>
                <w:szCs w:val="20"/>
                <w:lang w:eastAsia="fr-FR" w:bidi="ar-SA"/>
              </w:rPr>
              <w:t>Formation HSE du personnel sur les règles d’hygiène et d’assainissement.</w:t>
            </w:r>
          </w:p>
        </w:tc>
        <w:tc>
          <w:tcPr>
            <w:tcW w:w="1949" w:type="dxa"/>
            <w:vMerge/>
            <w:hideMark/>
          </w:tcPr>
          <w:p w14:paraId="69B3DB3F" w14:textId="14B3E126" w:rsidR="006F3D9E" w:rsidRPr="007D4572" w:rsidRDefault="006F3D9E" w:rsidP="00925BB1">
            <w:pPr>
              <w:cnfStyle w:val="000000000000" w:firstRow="0" w:lastRow="0" w:firstColumn="0" w:lastColumn="0" w:oddVBand="0" w:evenVBand="0" w:oddHBand="0" w:evenHBand="0" w:firstRowFirstColumn="0" w:firstRowLastColumn="0" w:lastRowFirstColumn="0" w:lastRowLastColumn="0"/>
              <w:rPr>
                <w:szCs w:val="20"/>
                <w:lang w:eastAsia="fr-FR" w:bidi="ar-SA"/>
              </w:rPr>
            </w:pPr>
          </w:p>
        </w:tc>
        <w:tc>
          <w:tcPr>
            <w:tcW w:w="1068" w:type="dxa"/>
            <w:vMerge/>
            <w:hideMark/>
          </w:tcPr>
          <w:p w14:paraId="33EEF1EE" w14:textId="62165D0F" w:rsidR="006F3D9E" w:rsidRPr="007D4572" w:rsidRDefault="006F3D9E" w:rsidP="00925BB1">
            <w:pPr>
              <w:cnfStyle w:val="000000000000" w:firstRow="0" w:lastRow="0" w:firstColumn="0" w:lastColumn="0" w:oddVBand="0" w:evenVBand="0" w:oddHBand="0" w:evenHBand="0" w:firstRowFirstColumn="0" w:firstRowLastColumn="0" w:lastRowFirstColumn="0" w:lastRowLastColumn="0"/>
              <w:rPr>
                <w:szCs w:val="20"/>
                <w:lang w:eastAsia="fr-FR" w:bidi="ar-SA"/>
              </w:rPr>
            </w:pPr>
          </w:p>
        </w:tc>
        <w:tc>
          <w:tcPr>
            <w:tcW w:w="1599" w:type="dxa"/>
            <w:vMerge/>
            <w:hideMark/>
          </w:tcPr>
          <w:p w14:paraId="70C3FC78" w14:textId="1CCE91E9" w:rsidR="006F3D9E" w:rsidRPr="007D4572" w:rsidRDefault="006F3D9E" w:rsidP="00925BB1">
            <w:pPr>
              <w:cnfStyle w:val="000000000000" w:firstRow="0" w:lastRow="0" w:firstColumn="0" w:lastColumn="0" w:oddVBand="0" w:evenVBand="0" w:oddHBand="0" w:evenHBand="0" w:firstRowFirstColumn="0" w:firstRowLastColumn="0" w:lastRowFirstColumn="0" w:lastRowLastColumn="0"/>
              <w:rPr>
                <w:szCs w:val="20"/>
                <w:lang w:eastAsia="fr-FR" w:bidi="ar-SA"/>
              </w:rPr>
            </w:pPr>
          </w:p>
        </w:tc>
        <w:tc>
          <w:tcPr>
            <w:tcW w:w="749" w:type="dxa"/>
            <w:vMerge/>
            <w:hideMark/>
          </w:tcPr>
          <w:p w14:paraId="29B96C99" w14:textId="501788F3" w:rsidR="006F3D9E" w:rsidRPr="007D4572" w:rsidRDefault="006F3D9E" w:rsidP="00925BB1">
            <w:pPr>
              <w:cnfStyle w:val="000000000000" w:firstRow="0" w:lastRow="0" w:firstColumn="0" w:lastColumn="0" w:oddVBand="0" w:evenVBand="0" w:oddHBand="0" w:evenHBand="0" w:firstRowFirstColumn="0" w:firstRowLastColumn="0" w:lastRowFirstColumn="0" w:lastRowLastColumn="0"/>
              <w:rPr>
                <w:szCs w:val="20"/>
                <w:lang w:eastAsia="fr-FR" w:bidi="ar-SA"/>
              </w:rPr>
            </w:pPr>
          </w:p>
        </w:tc>
        <w:tc>
          <w:tcPr>
            <w:tcW w:w="1996" w:type="dxa"/>
          </w:tcPr>
          <w:p w14:paraId="7514769A" w14:textId="5A389B07" w:rsidR="006F3D9E" w:rsidRPr="002E0EF5" w:rsidRDefault="006F3D9E" w:rsidP="00925BB1">
            <w:pPr>
              <w:cnfStyle w:val="000000000000" w:firstRow="0" w:lastRow="0" w:firstColumn="0" w:lastColumn="0" w:oddVBand="0" w:evenVBand="0" w:oddHBand="0" w:evenHBand="0" w:firstRowFirstColumn="0" w:firstRowLastColumn="0" w:lastRowFirstColumn="0" w:lastRowLastColumn="0"/>
              <w:rPr>
                <w:szCs w:val="20"/>
                <w:lang w:eastAsia="fr-FR" w:bidi="ar-SA"/>
              </w:rPr>
            </w:pPr>
            <w:r>
              <w:rPr>
                <w:szCs w:val="20"/>
                <w:lang w:eastAsia="fr-FR" w:bidi="ar-SA"/>
              </w:rPr>
              <w:t xml:space="preserve">Aucun coût spécifique </w:t>
            </w:r>
            <w:r w:rsidRPr="00903924">
              <w:rPr>
                <w:szCs w:val="20"/>
                <w:lang w:eastAsia="fr-FR" w:bidi="ar-SA"/>
              </w:rPr>
              <w:t xml:space="preserve">Formation </w:t>
            </w:r>
            <w:r>
              <w:rPr>
                <w:szCs w:val="20"/>
                <w:lang w:eastAsia="fr-FR" w:bidi="ar-SA"/>
              </w:rPr>
              <w:t>- A</w:t>
            </w:r>
            <w:r w:rsidRPr="00903924">
              <w:rPr>
                <w:szCs w:val="20"/>
                <w:lang w:eastAsia="fr-FR" w:bidi="ar-SA"/>
              </w:rPr>
              <w:t xml:space="preserve">ssurée par le responsable </w:t>
            </w:r>
            <w:r w:rsidRPr="00903924">
              <w:rPr>
                <w:szCs w:val="20"/>
                <w:lang w:eastAsia="fr-FR" w:bidi="ar-SA"/>
              </w:rPr>
              <w:lastRenderedPageBreak/>
              <w:t>HSE du projet (sans formateur externe).</w:t>
            </w:r>
          </w:p>
        </w:tc>
      </w:tr>
      <w:tr w:rsidR="006F3D9E" w:rsidRPr="002E0EF5" w14:paraId="0D1B6223" w14:textId="2D16F525" w:rsidTr="00A01A66">
        <w:tc>
          <w:tcPr>
            <w:cnfStyle w:val="001000000000" w:firstRow="0" w:lastRow="0" w:firstColumn="1" w:lastColumn="0" w:oddVBand="0" w:evenVBand="0" w:oddHBand="0" w:evenHBand="0" w:firstRowFirstColumn="0" w:firstRowLastColumn="0" w:lastRowFirstColumn="0" w:lastRowLastColumn="0"/>
            <w:tcW w:w="1539" w:type="dxa"/>
            <w:vMerge/>
          </w:tcPr>
          <w:p w14:paraId="5D04A9C4" w14:textId="77777777" w:rsidR="006F3D9E" w:rsidRPr="002E0EF5" w:rsidRDefault="006F3D9E" w:rsidP="00925BB1">
            <w:pPr>
              <w:rPr>
                <w:b w:val="0"/>
                <w:bCs w:val="0"/>
                <w:szCs w:val="20"/>
                <w:lang w:eastAsia="fr-FR" w:bidi="ar-SA"/>
              </w:rPr>
            </w:pPr>
          </w:p>
        </w:tc>
        <w:tc>
          <w:tcPr>
            <w:tcW w:w="1434" w:type="dxa"/>
            <w:vMerge w:val="restart"/>
            <w:hideMark/>
          </w:tcPr>
          <w:p w14:paraId="011DA1BD" w14:textId="79DAE15D" w:rsidR="006F3D9E" w:rsidRPr="007D4572" w:rsidRDefault="006F3D9E" w:rsidP="00925BB1">
            <w:pPr>
              <w:cnfStyle w:val="000000000000" w:firstRow="0" w:lastRow="0" w:firstColumn="0" w:lastColumn="0" w:oddVBand="0" w:evenVBand="0" w:oddHBand="0" w:evenHBand="0" w:firstRowFirstColumn="0" w:firstRowLastColumn="0" w:lastRowFirstColumn="0" w:lastRowLastColumn="0"/>
              <w:rPr>
                <w:szCs w:val="20"/>
                <w:lang w:eastAsia="fr-FR" w:bidi="ar-SA"/>
              </w:rPr>
            </w:pPr>
            <w:r w:rsidRPr="007D4572">
              <w:rPr>
                <w:b/>
                <w:bCs/>
                <w:szCs w:val="20"/>
                <w:lang w:eastAsia="fr-FR" w:bidi="ar-SA"/>
              </w:rPr>
              <w:t>Atténuer</w:t>
            </w:r>
          </w:p>
        </w:tc>
        <w:tc>
          <w:tcPr>
            <w:tcW w:w="3800" w:type="dxa"/>
            <w:hideMark/>
          </w:tcPr>
          <w:p w14:paraId="68D288FA" w14:textId="7CD0D725" w:rsidR="006F3D9E" w:rsidRPr="007D4572" w:rsidRDefault="006F3D9E" w:rsidP="00A01A66">
            <w:pPr>
              <w:cnfStyle w:val="000000000000" w:firstRow="0" w:lastRow="0" w:firstColumn="0" w:lastColumn="0" w:oddVBand="0" w:evenVBand="0" w:oddHBand="0" w:evenHBand="0" w:firstRowFirstColumn="0" w:firstRowLastColumn="0" w:lastRowFirstColumn="0" w:lastRowLastColumn="0"/>
              <w:rPr>
                <w:szCs w:val="20"/>
                <w:lang w:eastAsia="fr-FR" w:bidi="ar-SA"/>
              </w:rPr>
            </w:pPr>
            <w:r w:rsidRPr="007D4572">
              <w:rPr>
                <w:szCs w:val="20"/>
                <w:lang w:eastAsia="fr-FR" w:bidi="ar-SA"/>
              </w:rPr>
              <w:t>Kit d’intervention (absorbants, pompe, sacs étanches) en cas de fuite.</w:t>
            </w:r>
          </w:p>
        </w:tc>
        <w:tc>
          <w:tcPr>
            <w:tcW w:w="1949" w:type="dxa"/>
            <w:vMerge w:val="restart"/>
            <w:hideMark/>
          </w:tcPr>
          <w:p w14:paraId="6FDDDD4C" w14:textId="77777777" w:rsidR="006F3D9E" w:rsidRPr="007D4572" w:rsidRDefault="006F3D9E" w:rsidP="00925BB1">
            <w:pPr>
              <w:cnfStyle w:val="000000000000" w:firstRow="0" w:lastRow="0" w:firstColumn="0" w:lastColumn="0" w:oddVBand="0" w:evenVBand="0" w:oddHBand="0" w:evenHBand="0" w:firstRowFirstColumn="0" w:firstRowLastColumn="0" w:lastRowFirstColumn="0" w:lastRowLastColumn="0"/>
              <w:rPr>
                <w:szCs w:val="20"/>
                <w:lang w:eastAsia="fr-FR" w:bidi="ar-SA"/>
              </w:rPr>
            </w:pPr>
            <w:r w:rsidRPr="007D4572">
              <w:rPr>
                <w:szCs w:val="20"/>
                <w:lang w:eastAsia="fr-FR" w:bidi="ar-SA"/>
              </w:rPr>
              <w:t>Temps de réaction / volume récupéré / nombre d’incidents clos</w:t>
            </w:r>
          </w:p>
        </w:tc>
        <w:tc>
          <w:tcPr>
            <w:tcW w:w="1068" w:type="dxa"/>
            <w:vMerge w:val="restart"/>
            <w:hideMark/>
          </w:tcPr>
          <w:p w14:paraId="2D7FA94B" w14:textId="6507183D" w:rsidR="006F3D9E" w:rsidRPr="007D4572" w:rsidRDefault="006F3D9E" w:rsidP="00925BB1">
            <w:pPr>
              <w:cnfStyle w:val="000000000000" w:firstRow="0" w:lastRow="0" w:firstColumn="0" w:lastColumn="0" w:oddVBand="0" w:evenVBand="0" w:oddHBand="0" w:evenHBand="0" w:firstRowFirstColumn="0" w:firstRowLastColumn="0" w:lastRowFirstColumn="0" w:lastRowLastColumn="0"/>
              <w:rPr>
                <w:szCs w:val="20"/>
                <w:lang w:eastAsia="fr-FR" w:bidi="ar-SA"/>
              </w:rPr>
            </w:pPr>
            <w:r w:rsidRPr="002E0EF5">
              <w:rPr>
                <w:szCs w:val="20"/>
                <w:lang w:eastAsia="zh-CN" w:bidi="ar-SA"/>
              </w:rPr>
              <w:t>EPC / Sous-traitants</w:t>
            </w:r>
          </w:p>
        </w:tc>
        <w:tc>
          <w:tcPr>
            <w:tcW w:w="1599" w:type="dxa"/>
            <w:vMerge w:val="restart"/>
            <w:hideMark/>
          </w:tcPr>
          <w:p w14:paraId="158E5F51" w14:textId="310FE13F" w:rsidR="006F3D9E" w:rsidRPr="007D4572" w:rsidRDefault="006F3D9E" w:rsidP="00925BB1">
            <w:pPr>
              <w:cnfStyle w:val="000000000000" w:firstRow="0" w:lastRow="0" w:firstColumn="0" w:lastColumn="0" w:oddVBand="0" w:evenVBand="0" w:oddHBand="0" w:evenHBand="0" w:firstRowFirstColumn="0" w:firstRowLastColumn="0" w:lastRowFirstColumn="0" w:lastRowLastColumn="0"/>
              <w:rPr>
                <w:szCs w:val="20"/>
                <w:lang w:eastAsia="fr-FR" w:bidi="ar-SA"/>
              </w:rPr>
            </w:pPr>
            <w:r w:rsidRPr="002E0EF5">
              <w:rPr>
                <w:szCs w:val="20"/>
                <w:lang w:eastAsia="zh-CN" w:bidi="ar-SA"/>
              </w:rPr>
              <w:t>Bureau de contrôle / Consultant mandaté par l’ONDA</w:t>
            </w:r>
          </w:p>
        </w:tc>
        <w:tc>
          <w:tcPr>
            <w:tcW w:w="749" w:type="dxa"/>
            <w:vMerge w:val="restart"/>
            <w:hideMark/>
          </w:tcPr>
          <w:p w14:paraId="11EB5B54" w14:textId="5B824264" w:rsidR="006F3D9E" w:rsidRPr="007D4572" w:rsidRDefault="006F3D9E" w:rsidP="00925BB1">
            <w:pPr>
              <w:cnfStyle w:val="000000000000" w:firstRow="0" w:lastRow="0" w:firstColumn="0" w:lastColumn="0" w:oddVBand="0" w:evenVBand="0" w:oddHBand="0" w:evenHBand="0" w:firstRowFirstColumn="0" w:firstRowLastColumn="0" w:lastRowFirstColumn="0" w:lastRowLastColumn="0"/>
              <w:rPr>
                <w:szCs w:val="20"/>
                <w:lang w:eastAsia="fr-FR" w:bidi="ar-SA"/>
              </w:rPr>
            </w:pPr>
            <w:r w:rsidRPr="002E0EF5">
              <w:rPr>
                <w:szCs w:val="20"/>
                <w:lang w:eastAsia="zh-CN" w:bidi="ar-SA"/>
              </w:rPr>
              <w:t>ONDA</w:t>
            </w:r>
          </w:p>
        </w:tc>
        <w:tc>
          <w:tcPr>
            <w:tcW w:w="1996" w:type="dxa"/>
          </w:tcPr>
          <w:p w14:paraId="64C76860" w14:textId="48A03EBF" w:rsidR="006F3D9E" w:rsidRPr="002E0EF5" w:rsidRDefault="006F3D9E" w:rsidP="00925BB1">
            <w:pPr>
              <w:cnfStyle w:val="000000000000" w:firstRow="0" w:lastRow="0" w:firstColumn="0" w:lastColumn="0" w:oddVBand="0" w:evenVBand="0" w:oddHBand="0" w:evenHBand="0" w:firstRowFirstColumn="0" w:firstRowLastColumn="0" w:lastRowFirstColumn="0" w:lastRowLastColumn="0"/>
              <w:rPr>
                <w:szCs w:val="20"/>
                <w:lang w:eastAsia="fr-FR" w:bidi="ar-SA"/>
              </w:rPr>
            </w:pPr>
            <w:r w:rsidRPr="002E0EF5">
              <w:rPr>
                <w:szCs w:val="20"/>
                <w:lang w:eastAsia="fr-FR" w:bidi="ar-SA"/>
              </w:rPr>
              <w:t>Kit 50litres à environ 1 200 MAD</w:t>
            </w:r>
          </w:p>
        </w:tc>
      </w:tr>
      <w:tr w:rsidR="006F3D9E" w:rsidRPr="002E0EF5" w14:paraId="02BFB921" w14:textId="77777777" w:rsidTr="00A01A66">
        <w:tc>
          <w:tcPr>
            <w:cnfStyle w:val="001000000000" w:firstRow="0" w:lastRow="0" w:firstColumn="1" w:lastColumn="0" w:oddVBand="0" w:evenVBand="0" w:oddHBand="0" w:evenHBand="0" w:firstRowFirstColumn="0" w:firstRowLastColumn="0" w:lastRowFirstColumn="0" w:lastRowLastColumn="0"/>
            <w:tcW w:w="1539" w:type="dxa"/>
            <w:vMerge/>
          </w:tcPr>
          <w:p w14:paraId="7DE4B3FA" w14:textId="77777777" w:rsidR="006F3D9E" w:rsidRPr="002E0EF5" w:rsidRDefault="006F3D9E" w:rsidP="00925BB1">
            <w:pPr>
              <w:rPr>
                <w:b w:val="0"/>
                <w:bCs w:val="0"/>
                <w:szCs w:val="20"/>
                <w:lang w:eastAsia="fr-FR" w:bidi="ar-SA"/>
              </w:rPr>
            </w:pPr>
          </w:p>
        </w:tc>
        <w:tc>
          <w:tcPr>
            <w:tcW w:w="1434" w:type="dxa"/>
            <w:vMerge/>
          </w:tcPr>
          <w:p w14:paraId="49D96F56" w14:textId="77777777" w:rsidR="006F3D9E" w:rsidRPr="007D4572" w:rsidRDefault="006F3D9E" w:rsidP="00925BB1">
            <w:pPr>
              <w:cnfStyle w:val="000000000000" w:firstRow="0" w:lastRow="0" w:firstColumn="0" w:lastColumn="0" w:oddVBand="0" w:evenVBand="0" w:oddHBand="0" w:evenHBand="0" w:firstRowFirstColumn="0" w:firstRowLastColumn="0" w:lastRowFirstColumn="0" w:lastRowLastColumn="0"/>
              <w:rPr>
                <w:b/>
                <w:bCs/>
                <w:szCs w:val="20"/>
                <w:lang w:eastAsia="fr-FR" w:bidi="ar-SA"/>
              </w:rPr>
            </w:pPr>
          </w:p>
        </w:tc>
        <w:tc>
          <w:tcPr>
            <w:tcW w:w="3800" w:type="dxa"/>
          </w:tcPr>
          <w:p w14:paraId="35911746" w14:textId="583D1F8D" w:rsidR="006F3D9E" w:rsidRPr="007D4572" w:rsidRDefault="006F3D9E" w:rsidP="00925BB1">
            <w:pPr>
              <w:cnfStyle w:val="000000000000" w:firstRow="0" w:lastRow="0" w:firstColumn="0" w:lastColumn="0" w:oddVBand="0" w:evenVBand="0" w:oddHBand="0" w:evenHBand="0" w:firstRowFirstColumn="0" w:firstRowLastColumn="0" w:lastRowFirstColumn="0" w:lastRowLastColumn="0"/>
              <w:rPr>
                <w:szCs w:val="20"/>
                <w:lang w:eastAsia="fr-FR" w:bidi="ar-SA"/>
              </w:rPr>
            </w:pPr>
            <w:r w:rsidRPr="007D4572">
              <w:rPr>
                <w:szCs w:val="20"/>
                <w:lang w:eastAsia="fr-FR" w:bidi="ar-SA"/>
              </w:rPr>
              <w:t>Confinement immédiat des effluents déversés et nettoyage de la zone affectée.</w:t>
            </w:r>
          </w:p>
        </w:tc>
        <w:tc>
          <w:tcPr>
            <w:tcW w:w="1949" w:type="dxa"/>
            <w:vMerge/>
          </w:tcPr>
          <w:p w14:paraId="1A36BAE3" w14:textId="77777777" w:rsidR="006F3D9E" w:rsidRPr="007D4572" w:rsidRDefault="006F3D9E" w:rsidP="00925BB1">
            <w:pPr>
              <w:cnfStyle w:val="000000000000" w:firstRow="0" w:lastRow="0" w:firstColumn="0" w:lastColumn="0" w:oddVBand="0" w:evenVBand="0" w:oddHBand="0" w:evenHBand="0" w:firstRowFirstColumn="0" w:firstRowLastColumn="0" w:lastRowFirstColumn="0" w:lastRowLastColumn="0"/>
              <w:rPr>
                <w:szCs w:val="20"/>
                <w:lang w:eastAsia="fr-FR" w:bidi="ar-SA"/>
              </w:rPr>
            </w:pPr>
          </w:p>
        </w:tc>
        <w:tc>
          <w:tcPr>
            <w:tcW w:w="1068" w:type="dxa"/>
            <w:vMerge/>
          </w:tcPr>
          <w:p w14:paraId="40AC63DE" w14:textId="77777777" w:rsidR="006F3D9E" w:rsidRPr="002E0EF5" w:rsidRDefault="006F3D9E" w:rsidP="00925BB1">
            <w:pPr>
              <w:cnfStyle w:val="000000000000" w:firstRow="0" w:lastRow="0" w:firstColumn="0" w:lastColumn="0" w:oddVBand="0" w:evenVBand="0" w:oddHBand="0" w:evenHBand="0" w:firstRowFirstColumn="0" w:firstRowLastColumn="0" w:lastRowFirstColumn="0" w:lastRowLastColumn="0"/>
              <w:rPr>
                <w:szCs w:val="20"/>
                <w:lang w:eastAsia="zh-CN" w:bidi="ar-SA"/>
              </w:rPr>
            </w:pPr>
          </w:p>
        </w:tc>
        <w:tc>
          <w:tcPr>
            <w:tcW w:w="1599" w:type="dxa"/>
            <w:vMerge/>
          </w:tcPr>
          <w:p w14:paraId="3080077A" w14:textId="77777777" w:rsidR="006F3D9E" w:rsidRPr="002E0EF5" w:rsidRDefault="006F3D9E" w:rsidP="00925BB1">
            <w:pPr>
              <w:cnfStyle w:val="000000000000" w:firstRow="0" w:lastRow="0" w:firstColumn="0" w:lastColumn="0" w:oddVBand="0" w:evenVBand="0" w:oddHBand="0" w:evenHBand="0" w:firstRowFirstColumn="0" w:firstRowLastColumn="0" w:lastRowFirstColumn="0" w:lastRowLastColumn="0"/>
              <w:rPr>
                <w:szCs w:val="20"/>
                <w:lang w:eastAsia="zh-CN" w:bidi="ar-SA"/>
              </w:rPr>
            </w:pPr>
          </w:p>
        </w:tc>
        <w:tc>
          <w:tcPr>
            <w:tcW w:w="749" w:type="dxa"/>
            <w:vMerge/>
          </w:tcPr>
          <w:p w14:paraId="3AABA644" w14:textId="77777777" w:rsidR="006F3D9E" w:rsidRPr="002E0EF5" w:rsidRDefault="006F3D9E" w:rsidP="00925BB1">
            <w:pPr>
              <w:cnfStyle w:val="000000000000" w:firstRow="0" w:lastRow="0" w:firstColumn="0" w:lastColumn="0" w:oddVBand="0" w:evenVBand="0" w:oddHBand="0" w:evenHBand="0" w:firstRowFirstColumn="0" w:firstRowLastColumn="0" w:lastRowFirstColumn="0" w:lastRowLastColumn="0"/>
              <w:rPr>
                <w:szCs w:val="20"/>
                <w:lang w:eastAsia="zh-CN" w:bidi="ar-SA"/>
              </w:rPr>
            </w:pPr>
          </w:p>
        </w:tc>
        <w:tc>
          <w:tcPr>
            <w:tcW w:w="1996" w:type="dxa"/>
          </w:tcPr>
          <w:p w14:paraId="66165B76" w14:textId="6808B377" w:rsidR="006F3D9E" w:rsidRPr="002E0EF5" w:rsidRDefault="006F3D9E" w:rsidP="00925BB1">
            <w:pPr>
              <w:cnfStyle w:val="000000000000" w:firstRow="0" w:lastRow="0" w:firstColumn="0" w:lastColumn="0" w:oddVBand="0" w:evenVBand="0" w:oddHBand="0" w:evenHBand="0" w:firstRowFirstColumn="0" w:firstRowLastColumn="0" w:lastRowFirstColumn="0" w:lastRowLastColumn="0"/>
              <w:rPr>
                <w:szCs w:val="20"/>
                <w:lang w:eastAsia="fr-FR" w:bidi="ar-SA"/>
              </w:rPr>
            </w:pPr>
            <w:r w:rsidRPr="00A01A66">
              <w:rPr>
                <w:szCs w:val="20"/>
                <w:lang w:eastAsia="fr-FR" w:bidi="ar-SA"/>
              </w:rPr>
              <w:t>≈ 800 MAD / incident</w:t>
            </w:r>
            <w:r>
              <w:rPr>
                <w:szCs w:val="20"/>
                <w:lang w:eastAsia="fr-FR" w:bidi="ar-SA"/>
              </w:rPr>
              <w:t xml:space="preserve"> – comprend sacs étanches et bacs d’élimination, produits nettoyants neutres et chiffons, serpillières, gants)</w:t>
            </w:r>
          </w:p>
        </w:tc>
      </w:tr>
      <w:tr w:rsidR="006F3D9E" w:rsidRPr="002E0EF5" w14:paraId="2357B694" w14:textId="77777777" w:rsidTr="00A01A66">
        <w:tc>
          <w:tcPr>
            <w:cnfStyle w:val="001000000000" w:firstRow="0" w:lastRow="0" w:firstColumn="1" w:lastColumn="0" w:oddVBand="0" w:evenVBand="0" w:oddHBand="0" w:evenHBand="0" w:firstRowFirstColumn="0" w:firstRowLastColumn="0" w:lastRowFirstColumn="0" w:lastRowLastColumn="0"/>
            <w:tcW w:w="1539" w:type="dxa"/>
            <w:vMerge/>
          </w:tcPr>
          <w:p w14:paraId="2BB9374C" w14:textId="77777777" w:rsidR="006F3D9E" w:rsidRPr="002E0EF5" w:rsidRDefault="006F3D9E" w:rsidP="00925BB1">
            <w:pPr>
              <w:rPr>
                <w:b w:val="0"/>
                <w:bCs w:val="0"/>
                <w:szCs w:val="20"/>
                <w:lang w:eastAsia="fr-FR" w:bidi="ar-SA"/>
              </w:rPr>
            </w:pPr>
          </w:p>
        </w:tc>
        <w:tc>
          <w:tcPr>
            <w:tcW w:w="1434" w:type="dxa"/>
            <w:vMerge/>
          </w:tcPr>
          <w:p w14:paraId="7B8B378C" w14:textId="77777777" w:rsidR="006F3D9E" w:rsidRPr="007D4572" w:rsidRDefault="006F3D9E" w:rsidP="00925BB1">
            <w:pPr>
              <w:cnfStyle w:val="000000000000" w:firstRow="0" w:lastRow="0" w:firstColumn="0" w:lastColumn="0" w:oddVBand="0" w:evenVBand="0" w:oddHBand="0" w:evenHBand="0" w:firstRowFirstColumn="0" w:firstRowLastColumn="0" w:lastRowFirstColumn="0" w:lastRowLastColumn="0"/>
              <w:rPr>
                <w:b/>
                <w:bCs/>
                <w:szCs w:val="20"/>
                <w:lang w:eastAsia="fr-FR" w:bidi="ar-SA"/>
              </w:rPr>
            </w:pPr>
          </w:p>
        </w:tc>
        <w:tc>
          <w:tcPr>
            <w:tcW w:w="3800" w:type="dxa"/>
          </w:tcPr>
          <w:p w14:paraId="26DEE701" w14:textId="5CE4A93F" w:rsidR="006F3D9E" w:rsidRPr="007D4572" w:rsidRDefault="006F3D9E" w:rsidP="00925BB1">
            <w:pPr>
              <w:cnfStyle w:val="000000000000" w:firstRow="0" w:lastRow="0" w:firstColumn="0" w:lastColumn="0" w:oddVBand="0" w:evenVBand="0" w:oddHBand="0" w:evenHBand="0" w:firstRowFirstColumn="0" w:firstRowLastColumn="0" w:lastRowFirstColumn="0" w:lastRowLastColumn="0"/>
              <w:rPr>
                <w:szCs w:val="20"/>
                <w:lang w:eastAsia="fr-FR" w:bidi="ar-SA"/>
              </w:rPr>
            </w:pPr>
            <w:r w:rsidRPr="007D4572">
              <w:rPr>
                <w:szCs w:val="20"/>
                <w:lang w:eastAsia="fr-FR" w:bidi="ar-SA"/>
              </w:rPr>
              <w:t>Désinfection locale avec produits adaptés (non corrosifs).</w:t>
            </w:r>
          </w:p>
        </w:tc>
        <w:tc>
          <w:tcPr>
            <w:tcW w:w="1949" w:type="dxa"/>
            <w:vMerge/>
          </w:tcPr>
          <w:p w14:paraId="5050CFA1" w14:textId="77777777" w:rsidR="006F3D9E" w:rsidRPr="007D4572" w:rsidRDefault="006F3D9E" w:rsidP="00925BB1">
            <w:pPr>
              <w:cnfStyle w:val="000000000000" w:firstRow="0" w:lastRow="0" w:firstColumn="0" w:lastColumn="0" w:oddVBand="0" w:evenVBand="0" w:oddHBand="0" w:evenHBand="0" w:firstRowFirstColumn="0" w:firstRowLastColumn="0" w:lastRowFirstColumn="0" w:lastRowLastColumn="0"/>
              <w:rPr>
                <w:szCs w:val="20"/>
                <w:lang w:eastAsia="fr-FR" w:bidi="ar-SA"/>
              </w:rPr>
            </w:pPr>
          </w:p>
        </w:tc>
        <w:tc>
          <w:tcPr>
            <w:tcW w:w="1068" w:type="dxa"/>
            <w:vMerge/>
          </w:tcPr>
          <w:p w14:paraId="473A2B27" w14:textId="77777777" w:rsidR="006F3D9E" w:rsidRPr="002E0EF5" w:rsidRDefault="006F3D9E" w:rsidP="00925BB1">
            <w:pPr>
              <w:cnfStyle w:val="000000000000" w:firstRow="0" w:lastRow="0" w:firstColumn="0" w:lastColumn="0" w:oddVBand="0" w:evenVBand="0" w:oddHBand="0" w:evenHBand="0" w:firstRowFirstColumn="0" w:firstRowLastColumn="0" w:lastRowFirstColumn="0" w:lastRowLastColumn="0"/>
              <w:rPr>
                <w:szCs w:val="20"/>
                <w:lang w:eastAsia="zh-CN" w:bidi="ar-SA"/>
              </w:rPr>
            </w:pPr>
          </w:p>
        </w:tc>
        <w:tc>
          <w:tcPr>
            <w:tcW w:w="1599" w:type="dxa"/>
            <w:vMerge/>
          </w:tcPr>
          <w:p w14:paraId="1D9664F1" w14:textId="77777777" w:rsidR="006F3D9E" w:rsidRPr="002E0EF5" w:rsidRDefault="006F3D9E" w:rsidP="00925BB1">
            <w:pPr>
              <w:cnfStyle w:val="000000000000" w:firstRow="0" w:lastRow="0" w:firstColumn="0" w:lastColumn="0" w:oddVBand="0" w:evenVBand="0" w:oddHBand="0" w:evenHBand="0" w:firstRowFirstColumn="0" w:firstRowLastColumn="0" w:lastRowFirstColumn="0" w:lastRowLastColumn="0"/>
              <w:rPr>
                <w:szCs w:val="20"/>
                <w:lang w:eastAsia="zh-CN" w:bidi="ar-SA"/>
              </w:rPr>
            </w:pPr>
          </w:p>
        </w:tc>
        <w:tc>
          <w:tcPr>
            <w:tcW w:w="749" w:type="dxa"/>
            <w:vMerge/>
          </w:tcPr>
          <w:p w14:paraId="2DAB2900" w14:textId="77777777" w:rsidR="006F3D9E" w:rsidRPr="002E0EF5" w:rsidRDefault="006F3D9E" w:rsidP="00925BB1">
            <w:pPr>
              <w:cnfStyle w:val="000000000000" w:firstRow="0" w:lastRow="0" w:firstColumn="0" w:lastColumn="0" w:oddVBand="0" w:evenVBand="0" w:oddHBand="0" w:evenHBand="0" w:firstRowFirstColumn="0" w:firstRowLastColumn="0" w:lastRowFirstColumn="0" w:lastRowLastColumn="0"/>
              <w:rPr>
                <w:szCs w:val="20"/>
                <w:lang w:eastAsia="zh-CN" w:bidi="ar-SA"/>
              </w:rPr>
            </w:pPr>
          </w:p>
        </w:tc>
        <w:tc>
          <w:tcPr>
            <w:tcW w:w="1996" w:type="dxa"/>
          </w:tcPr>
          <w:p w14:paraId="558F7E3E" w14:textId="77777777" w:rsidR="006F3D9E" w:rsidRDefault="006F3D9E" w:rsidP="00925BB1">
            <w:pPr>
              <w:cnfStyle w:val="000000000000" w:firstRow="0" w:lastRow="0" w:firstColumn="0" w:lastColumn="0" w:oddVBand="0" w:evenVBand="0" w:oddHBand="0" w:evenHBand="0" w:firstRowFirstColumn="0" w:firstRowLastColumn="0" w:lastRowFirstColumn="0" w:lastRowLastColumn="0"/>
              <w:rPr>
                <w:szCs w:val="20"/>
                <w:lang w:eastAsia="fr-FR" w:bidi="ar-SA"/>
              </w:rPr>
            </w:pPr>
            <w:r w:rsidRPr="00A01A66">
              <w:rPr>
                <w:szCs w:val="20"/>
                <w:lang w:eastAsia="fr-FR" w:bidi="ar-SA"/>
              </w:rPr>
              <w:t>≈</w:t>
            </w:r>
            <w:r>
              <w:rPr>
                <w:szCs w:val="20"/>
                <w:lang w:eastAsia="fr-FR" w:bidi="ar-SA"/>
              </w:rPr>
              <w:t xml:space="preserve"> 600 MAD/opération - </w:t>
            </w:r>
            <w:r w:rsidRPr="00AD5014">
              <w:rPr>
                <w:szCs w:val="20"/>
                <w:lang w:eastAsia="fr-FR" w:bidi="ar-SA"/>
              </w:rPr>
              <w:t xml:space="preserve">Couvre uniquement les produits de désinfection et leur application ponctuelle. </w:t>
            </w:r>
          </w:p>
          <w:p w14:paraId="1A50A85D" w14:textId="7212C7FF" w:rsidR="006F3D9E" w:rsidRPr="002E0EF5" w:rsidRDefault="006F3D9E" w:rsidP="00925BB1">
            <w:pPr>
              <w:cnfStyle w:val="000000000000" w:firstRow="0" w:lastRow="0" w:firstColumn="0" w:lastColumn="0" w:oddVBand="0" w:evenVBand="0" w:oddHBand="0" w:evenHBand="0" w:firstRowFirstColumn="0" w:firstRowLastColumn="0" w:lastRowFirstColumn="0" w:lastRowLastColumn="0"/>
              <w:rPr>
                <w:szCs w:val="20"/>
                <w:lang w:eastAsia="fr-FR" w:bidi="ar-SA"/>
              </w:rPr>
            </w:pPr>
            <w:r w:rsidRPr="00AD5014">
              <w:rPr>
                <w:szCs w:val="20"/>
                <w:lang w:eastAsia="fr-FR" w:bidi="ar-SA"/>
              </w:rPr>
              <w:t>Aucun prestataire externe requis.</w:t>
            </w:r>
          </w:p>
        </w:tc>
      </w:tr>
      <w:tr w:rsidR="006F3D9E" w:rsidRPr="002E0EF5" w14:paraId="56C0FC2D" w14:textId="50FC2635" w:rsidTr="00A01A66">
        <w:tc>
          <w:tcPr>
            <w:cnfStyle w:val="001000000000" w:firstRow="0" w:lastRow="0" w:firstColumn="1" w:lastColumn="0" w:oddVBand="0" w:evenVBand="0" w:oddHBand="0" w:evenHBand="0" w:firstRowFirstColumn="0" w:firstRowLastColumn="0" w:lastRowFirstColumn="0" w:lastRowLastColumn="0"/>
            <w:tcW w:w="1539" w:type="dxa"/>
            <w:vMerge/>
          </w:tcPr>
          <w:p w14:paraId="4E265F38" w14:textId="77777777" w:rsidR="006F3D9E" w:rsidRPr="002E0EF5" w:rsidRDefault="006F3D9E" w:rsidP="00925BB1">
            <w:pPr>
              <w:rPr>
                <w:b w:val="0"/>
                <w:bCs w:val="0"/>
                <w:szCs w:val="20"/>
                <w:lang w:eastAsia="fr-FR" w:bidi="ar-SA"/>
              </w:rPr>
            </w:pPr>
          </w:p>
        </w:tc>
        <w:tc>
          <w:tcPr>
            <w:tcW w:w="1434" w:type="dxa"/>
            <w:vMerge w:val="restart"/>
            <w:hideMark/>
          </w:tcPr>
          <w:p w14:paraId="6E908A2A" w14:textId="16F19D25" w:rsidR="006F3D9E" w:rsidRPr="007D4572" w:rsidRDefault="006F3D9E" w:rsidP="00925BB1">
            <w:pPr>
              <w:cnfStyle w:val="000000000000" w:firstRow="0" w:lastRow="0" w:firstColumn="0" w:lastColumn="0" w:oddVBand="0" w:evenVBand="0" w:oddHBand="0" w:evenHBand="0" w:firstRowFirstColumn="0" w:firstRowLastColumn="0" w:lastRowFirstColumn="0" w:lastRowLastColumn="0"/>
              <w:rPr>
                <w:szCs w:val="20"/>
                <w:lang w:eastAsia="fr-FR" w:bidi="ar-SA"/>
              </w:rPr>
            </w:pPr>
            <w:r w:rsidRPr="007D4572">
              <w:rPr>
                <w:b/>
                <w:bCs/>
                <w:szCs w:val="20"/>
                <w:lang w:eastAsia="fr-FR" w:bidi="ar-SA"/>
              </w:rPr>
              <w:t>Compenser</w:t>
            </w:r>
          </w:p>
        </w:tc>
        <w:tc>
          <w:tcPr>
            <w:tcW w:w="3800" w:type="dxa"/>
            <w:hideMark/>
          </w:tcPr>
          <w:p w14:paraId="3A1168F7" w14:textId="1F0BFFDD" w:rsidR="006F3D9E" w:rsidRPr="007D4572" w:rsidRDefault="006F3D9E" w:rsidP="00925BB1">
            <w:pPr>
              <w:cnfStyle w:val="000000000000" w:firstRow="0" w:lastRow="0" w:firstColumn="0" w:lastColumn="0" w:oddVBand="0" w:evenVBand="0" w:oddHBand="0" w:evenHBand="0" w:firstRowFirstColumn="0" w:firstRowLastColumn="0" w:lastRowFirstColumn="0" w:lastRowLastColumn="0"/>
              <w:rPr>
                <w:szCs w:val="20"/>
                <w:lang w:eastAsia="fr-FR" w:bidi="ar-SA"/>
              </w:rPr>
            </w:pPr>
            <w:r w:rsidRPr="007D4572">
              <w:rPr>
                <w:szCs w:val="20"/>
                <w:lang w:eastAsia="fr-FR" w:bidi="ar-SA"/>
              </w:rPr>
              <w:t>Réhabilitation du sol après retrait des installations sanitaires.</w:t>
            </w:r>
          </w:p>
        </w:tc>
        <w:tc>
          <w:tcPr>
            <w:tcW w:w="1949" w:type="dxa"/>
            <w:vMerge w:val="restart"/>
            <w:hideMark/>
          </w:tcPr>
          <w:p w14:paraId="48F4A160" w14:textId="77777777" w:rsidR="006F3D9E" w:rsidRPr="007D4572" w:rsidRDefault="006F3D9E" w:rsidP="00925BB1">
            <w:pPr>
              <w:cnfStyle w:val="000000000000" w:firstRow="0" w:lastRow="0" w:firstColumn="0" w:lastColumn="0" w:oddVBand="0" w:evenVBand="0" w:oddHBand="0" w:evenHBand="0" w:firstRowFirstColumn="0" w:firstRowLastColumn="0" w:lastRowFirstColumn="0" w:lastRowLastColumn="0"/>
              <w:rPr>
                <w:szCs w:val="20"/>
                <w:lang w:eastAsia="fr-FR" w:bidi="ar-SA"/>
              </w:rPr>
            </w:pPr>
            <w:r w:rsidRPr="007D4572">
              <w:rPr>
                <w:szCs w:val="20"/>
                <w:lang w:eastAsia="fr-FR" w:bidi="ar-SA"/>
              </w:rPr>
              <w:t>Rapport de remise en état validé</w:t>
            </w:r>
          </w:p>
        </w:tc>
        <w:tc>
          <w:tcPr>
            <w:tcW w:w="1068" w:type="dxa"/>
            <w:vMerge w:val="restart"/>
            <w:hideMark/>
          </w:tcPr>
          <w:p w14:paraId="6BDFAAF3" w14:textId="5BD9466A" w:rsidR="006F3D9E" w:rsidRPr="007D4572" w:rsidRDefault="006F3D9E" w:rsidP="00925BB1">
            <w:pPr>
              <w:cnfStyle w:val="000000000000" w:firstRow="0" w:lastRow="0" w:firstColumn="0" w:lastColumn="0" w:oddVBand="0" w:evenVBand="0" w:oddHBand="0" w:evenHBand="0" w:firstRowFirstColumn="0" w:firstRowLastColumn="0" w:lastRowFirstColumn="0" w:lastRowLastColumn="0"/>
              <w:rPr>
                <w:szCs w:val="20"/>
                <w:lang w:eastAsia="fr-FR" w:bidi="ar-SA"/>
              </w:rPr>
            </w:pPr>
            <w:r w:rsidRPr="002E0EF5">
              <w:rPr>
                <w:szCs w:val="20"/>
                <w:lang w:eastAsia="zh-CN" w:bidi="ar-SA"/>
              </w:rPr>
              <w:t>EPC / Sous-traitants</w:t>
            </w:r>
          </w:p>
        </w:tc>
        <w:tc>
          <w:tcPr>
            <w:tcW w:w="1599" w:type="dxa"/>
            <w:vMerge w:val="restart"/>
            <w:hideMark/>
          </w:tcPr>
          <w:p w14:paraId="7EAE2CA0" w14:textId="7CD19ACC" w:rsidR="006F3D9E" w:rsidRPr="007D4572" w:rsidRDefault="006F3D9E" w:rsidP="00925BB1">
            <w:pPr>
              <w:cnfStyle w:val="000000000000" w:firstRow="0" w:lastRow="0" w:firstColumn="0" w:lastColumn="0" w:oddVBand="0" w:evenVBand="0" w:oddHBand="0" w:evenHBand="0" w:firstRowFirstColumn="0" w:firstRowLastColumn="0" w:lastRowFirstColumn="0" w:lastRowLastColumn="0"/>
              <w:rPr>
                <w:szCs w:val="20"/>
                <w:lang w:eastAsia="fr-FR" w:bidi="ar-SA"/>
              </w:rPr>
            </w:pPr>
            <w:r w:rsidRPr="002E0EF5">
              <w:rPr>
                <w:szCs w:val="20"/>
                <w:lang w:eastAsia="zh-CN" w:bidi="ar-SA"/>
              </w:rPr>
              <w:t xml:space="preserve">Bureau de contrôle / Consultant </w:t>
            </w:r>
            <w:r w:rsidRPr="002E0EF5">
              <w:rPr>
                <w:szCs w:val="20"/>
                <w:lang w:eastAsia="zh-CN" w:bidi="ar-SA"/>
              </w:rPr>
              <w:lastRenderedPageBreak/>
              <w:t>mandaté par l’ONDA</w:t>
            </w:r>
          </w:p>
        </w:tc>
        <w:tc>
          <w:tcPr>
            <w:tcW w:w="749" w:type="dxa"/>
            <w:vMerge w:val="restart"/>
            <w:hideMark/>
          </w:tcPr>
          <w:p w14:paraId="7AF2FC2B" w14:textId="1597F180" w:rsidR="006F3D9E" w:rsidRPr="007D4572" w:rsidRDefault="006F3D9E" w:rsidP="00925BB1">
            <w:pPr>
              <w:cnfStyle w:val="000000000000" w:firstRow="0" w:lastRow="0" w:firstColumn="0" w:lastColumn="0" w:oddVBand="0" w:evenVBand="0" w:oddHBand="0" w:evenHBand="0" w:firstRowFirstColumn="0" w:firstRowLastColumn="0" w:lastRowFirstColumn="0" w:lastRowLastColumn="0"/>
              <w:rPr>
                <w:szCs w:val="20"/>
                <w:lang w:eastAsia="fr-FR" w:bidi="ar-SA"/>
              </w:rPr>
            </w:pPr>
            <w:r w:rsidRPr="002E0EF5">
              <w:rPr>
                <w:szCs w:val="20"/>
                <w:lang w:eastAsia="zh-CN" w:bidi="ar-SA"/>
              </w:rPr>
              <w:lastRenderedPageBreak/>
              <w:t>ONDA</w:t>
            </w:r>
          </w:p>
        </w:tc>
        <w:tc>
          <w:tcPr>
            <w:tcW w:w="1996" w:type="dxa"/>
          </w:tcPr>
          <w:p w14:paraId="74529857" w14:textId="2A637AD5" w:rsidR="006F3D9E" w:rsidRPr="002E0EF5" w:rsidRDefault="006F3D9E" w:rsidP="00925BB1">
            <w:pPr>
              <w:cnfStyle w:val="000000000000" w:firstRow="0" w:lastRow="0" w:firstColumn="0" w:lastColumn="0" w:oddVBand="0" w:evenVBand="0" w:oddHBand="0" w:evenHBand="0" w:firstRowFirstColumn="0" w:firstRowLastColumn="0" w:lastRowFirstColumn="0" w:lastRowLastColumn="0"/>
              <w:rPr>
                <w:szCs w:val="20"/>
                <w:lang w:eastAsia="fr-FR" w:bidi="ar-SA"/>
              </w:rPr>
            </w:pPr>
            <w:r w:rsidRPr="006F3D9E">
              <w:rPr>
                <w:szCs w:val="20"/>
                <w:lang w:eastAsia="fr-FR" w:bidi="ar-SA"/>
              </w:rPr>
              <w:t>≈ 3 000 – 4 000 MAD HT</w:t>
            </w:r>
            <w:r>
              <w:rPr>
                <w:szCs w:val="20"/>
                <w:lang w:eastAsia="fr-FR" w:bidi="ar-SA"/>
              </w:rPr>
              <w:t xml:space="preserve"> (</w:t>
            </w:r>
            <w:r w:rsidRPr="006F3D9E">
              <w:rPr>
                <w:szCs w:val="20"/>
                <w:lang w:eastAsia="fr-FR" w:bidi="ar-SA"/>
              </w:rPr>
              <w:t xml:space="preserve">Le coût couvre la main-d’œuvre, le petit matériel et le transport de </w:t>
            </w:r>
            <w:r w:rsidRPr="006F3D9E">
              <w:rPr>
                <w:szCs w:val="20"/>
                <w:lang w:eastAsia="fr-FR" w:bidi="ar-SA"/>
              </w:rPr>
              <w:lastRenderedPageBreak/>
              <w:t>matériaux sur une superficie limitée (≈ 100 m² maximum).</w:t>
            </w:r>
          </w:p>
        </w:tc>
      </w:tr>
      <w:tr w:rsidR="006F3D9E" w:rsidRPr="002E0EF5" w14:paraId="3D9A59A3" w14:textId="77777777" w:rsidTr="00A01A66">
        <w:tc>
          <w:tcPr>
            <w:cnfStyle w:val="001000000000" w:firstRow="0" w:lastRow="0" w:firstColumn="1" w:lastColumn="0" w:oddVBand="0" w:evenVBand="0" w:oddHBand="0" w:evenHBand="0" w:firstRowFirstColumn="0" w:firstRowLastColumn="0" w:lastRowFirstColumn="0" w:lastRowLastColumn="0"/>
            <w:tcW w:w="1539" w:type="dxa"/>
            <w:vMerge/>
          </w:tcPr>
          <w:p w14:paraId="1CF44A59" w14:textId="77777777" w:rsidR="006F3D9E" w:rsidRPr="002E0EF5" w:rsidRDefault="006F3D9E" w:rsidP="00925BB1">
            <w:pPr>
              <w:rPr>
                <w:b w:val="0"/>
                <w:bCs w:val="0"/>
                <w:szCs w:val="20"/>
                <w:lang w:eastAsia="fr-FR" w:bidi="ar-SA"/>
              </w:rPr>
            </w:pPr>
          </w:p>
        </w:tc>
        <w:tc>
          <w:tcPr>
            <w:tcW w:w="1434" w:type="dxa"/>
            <w:vMerge/>
          </w:tcPr>
          <w:p w14:paraId="62D4FC4A" w14:textId="77777777" w:rsidR="006F3D9E" w:rsidRPr="007D4572" w:rsidRDefault="006F3D9E" w:rsidP="00925BB1">
            <w:pPr>
              <w:cnfStyle w:val="000000000000" w:firstRow="0" w:lastRow="0" w:firstColumn="0" w:lastColumn="0" w:oddVBand="0" w:evenVBand="0" w:oddHBand="0" w:evenHBand="0" w:firstRowFirstColumn="0" w:firstRowLastColumn="0" w:lastRowFirstColumn="0" w:lastRowLastColumn="0"/>
              <w:rPr>
                <w:b/>
                <w:bCs/>
                <w:szCs w:val="20"/>
                <w:lang w:eastAsia="fr-FR" w:bidi="ar-SA"/>
              </w:rPr>
            </w:pPr>
          </w:p>
        </w:tc>
        <w:tc>
          <w:tcPr>
            <w:tcW w:w="3800" w:type="dxa"/>
          </w:tcPr>
          <w:p w14:paraId="1FDF996C" w14:textId="28931B62" w:rsidR="006F3D9E" w:rsidRPr="007D4572" w:rsidRDefault="007449F6" w:rsidP="00925BB1">
            <w:pPr>
              <w:cnfStyle w:val="000000000000" w:firstRow="0" w:lastRow="0" w:firstColumn="0" w:lastColumn="0" w:oddVBand="0" w:evenVBand="0" w:oddHBand="0" w:evenHBand="0" w:firstRowFirstColumn="0" w:firstRowLastColumn="0" w:lastRowFirstColumn="0" w:lastRowLastColumn="0"/>
              <w:rPr>
                <w:szCs w:val="20"/>
                <w:lang w:eastAsia="fr-FR" w:bidi="ar-SA"/>
              </w:rPr>
            </w:pPr>
            <w:r w:rsidRPr="007D4572">
              <w:rPr>
                <w:szCs w:val="20"/>
                <w:lang w:eastAsia="fr-FR" w:bidi="ar-SA"/>
              </w:rPr>
              <w:t>Rétablissement du drainage naturel et remise en état du site (nivellement, revégétalisation).</w:t>
            </w:r>
          </w:p>
        </w:tc>
        <w:tc>
          <w:tcPr>
            <w:tcW w:w="1949" w:type="dxa"/>
            <w:vMerge/>
          </w:tcPr>
          <w:p w14:paraId="600D8558" w14:textId="77777777" w:rsidR="006F3D9E" w:rsidRPr="007D4572" w:rsidRDefault="006F3D9E" w:rsidP="00925BB1">
            <w:pPr>
              <w:cnfStyle w:val="000000000000" w:firstRow="0" w:lastRow="0" w:firstColumn="0" w:lastColumn="0" w:oddVBand="0" w:evenVBand="0" w:oddHBand="0" w:evenHBand="0" w:firstRowFirstColumn="0" w:firstRowLastColumn="0" w:lastRowFirstColumn="0" w:lastRowLastColumn="0"/>
              <w:rPr>
                <w:szCs w:val="20"/>
                <w:lang w:eastAsia="fr-FR" w:bidi="ar-SA"/>
              </w:rPr>
            </w:pPr>
          </w:p>
        </w:tc>
        <w:tc>
          <w:tcPr>
            <w:tcW w:w="1068" w:type="dxa"/>
            <w:vMerge/>
          </w:tcPr>
          <w:p w14:paraId="01C17B41" w14:textId="77777777" w:rsidR="006F3D9E" w:rsidRPr="002E0EF5" w:rsidRDefault="006F3D9E" w:rsidP="00925BB1">
            <w:pPr>
              <w:cnfStyle w:val="000000000000" w:firstRow="0" w:lastRow="0" w:firstColumn="0" w:lastColumn="0" w:oddVBand="0" w:evenVBand="0" w:oddHBand="0" w:evenHBand="0" w:firstRowFirstColumn="0" w:firstRowLastColumn="0" w:lastRowFirstColumn="0" w:lastRowLastColumn="0"/>
              <w:rPr>
                <w:szCs w:val="20"/>
                <w:lang w:eastAsia="zh-CN" w:bidi="ar-SA"/>
              </w:rPr>
            </w:pPr>
          </w:p>
        </w:tc>
        <w:tc>
          <w:tcPr>
            <w:tcW w:w="1599" w:type="dxa"/>
            <w:vMerge/>
          </w:tcPr>
          <w:p w14:paraId="76A230DF" w14:textId="77777777" w:rsidR="006F3D9E" w:rsidRPr="002E0EF5" w:rsidRDefault="006F3D9E" w:rsidP="00925BB1">
            <w:pPr>
              <w:cnfStyle w:val="000000000000" w:firstRow="0" w:lastRow="0" w:firstColumn="0" w:lastColumn="0" w:oddVBand="0" w:evenVBand="0" w:oddHBand="0" w:evenHBand="0" w:firstRowFirstColumn="0" w:firstRowLastColumn="0" w:lastRowFirstColumn="0" w:lastRowLastColumn="0"/>
              <w:rPr>
                <w:szCs w:val="20"/>
                <w:lang w:eastAsia="zh-CN" w:bidi="ar-SA"/>
              </w:rPr>
            </w:pPr>
          </w:p>
        </w:tc>
        <w:tc>
          <w:tcPr>
            <w:tcW w:w="749" w:type="dxa"/>
            <w:vMerge/>
          </w:tcPr>
          <w:p w14:paraId="4739C710" w14:textId="77777777" w:rsidR="006F3D9E" w:rsidRPr="002E0EF5" w:rsidRDefault="006F3D9E" w:rsidP="00925BB1">
            <w:pPr>
              <w:cnfStyle w:val="000000000000" w:firstRow="0" w:lastRow="0" w:firstColumn="0" w:lastColumn="0" w:oddVBand="0" w:evenVBand="0" w:oddHBand="0" w:evenHBand="0" w:firstRowFirstColumn="0" w:firstRowLastColumn="0" w:lastRowFirstColumn="0" w:lastRowLastColumn="0"/>
              <w:rPr>
                <w:szCs w:val="20"/>
                <w:lang w:eastAsia="zh-CN" w:bidi="ar-SA"/>
              </w:rPr>
            </w:pPr>
          </w:p>
        </w:tc>
        <w:tc>
          <w:tcPr>
            <w:tcW w:w="1996" w:type="dxa"/>
          </w:tcPr>
          <w:p w14:paraId="0E967886" w14:textId="423E19BC" w:rsidR="006F3D9E" w:rsidRPr="006F3D9E" w:rsidRDefault="007449F6" w:rsidP="00925BB1">
            <w:pPr>
              <w:cnfStyle w:val="000000000000" w:firstRow="0" w:lastRow="0" w:firstColumn="0" w:lastColumn="0" w:oddVBand="0" w:evenVBand="0" w:oddHBand="0" w:evenHBand="0" w:firstRowFirstColumn="0" w:firstRowLastColumn="0" w:lastRowFirstColumn="0" w:lastRowLastColumn="0"/>
              <w:rPr>
                <w:szCs w:val="20"/>
                <w:lang w:eastAsia="fr-FR" w:bidi="ar-SA"/>
              </w:rPr>
            </w:pPr>
            <w:r w:rsidRPr="007449F6">
              <w:rPr>
                <w:szCs w:val="20"/>
                <w:lang w:eastAsia="fr-FR" w:bidi="ar-SA"/>
              </w:rPr>
              <w:t>≈ 4 000 – 5 000 MAD HT</w:t>
            </w:r>
            <w:r>
              <w:rPr>
                <w:szCs w:val="20"/>
                <w:lang w:eastAsia="fr-FR" w:bidi="ar-SA"/>
              </w:rPr>
              <w:t xml:space="preserve"> (</w:t>
            </w:r>
            <w:r w:rsidRPr="007449F6">
              <w:rPr>
                <w:szCs w:val="20"/>
                <w:lang w:eastAsia="fr-FR" w:bidi="ar-SA"/>
              </w:rPr>
              <w:t>Le coût couvre la main-d’œuvre, les semences locales, et les fournitures (râteau, pelle, engrais organique léger).</w:t>
            </w:r>
          </w:p>
        </w:tc>
      </w:tr>
      <w:tr w:rsidR="00A06D9C" w:rsidRPr="002E0EF5" w14:paraId="149F6DF7" w14:textId="5131D70A" w:rsidTr="00A06D9C">
        <w:trPr>
          <w:trHeight w:val="987"/>
        </w:trPr>
        <w:tc>
          <w:tcPr>
            <w:cnfStyle w:val="001000000000" w:firstRow="0" w:lastRow="0" w:firstColumn="1" w:lastColumn="0" w:oddVBand="0" w:evenVBand="0" w:oddHBand="0" w:evenHBand="0" w:firstRowFirstColumn="0" w:firstRowLastColumn="0" w:lastRowFirstColumn="0" w:lastRowLastColumn="0"/>
            <w:tcW w:w="1539" w:type="dxa"/>
            <w:vMerge w:val="restart"/>
          </w:tcPr>
          <w:p w14:paraId="5CCA364F" w14:textId="34C010CE" w:rsidR="00A06D9C" w:rsidRPr="002E0EF5" w:rsidRDefault="00A06D9C" w:rsidP="00925BB1">
            <w:pPr>
              <w:rPr>
                <w:b w:val="0"/>
                <w:bCs w:val="0"/>
                <w:szCs w:val="20"/>
                <w:lang w:eastAsia="fr-FR" w:bidi="ar-SA"/>
              </w:rPr>
            </w:pPr>
            <w:r w:rsidRPr="002E0EF5">
              <w:rPr>
                <w:b w:val="0"/>
                <w:bCs w:val="0"/>
                <w:szCs w:val="20"/>
                <w:lang w:eastAsia="fr-FR" w:bidi="ar-SA"/>
              </w:rPr>
              <w:t>Nuisances olfactives ponctuelles à proximité des zones de travail</w:t>
            </w:r>
          </w:p>
        </w:tc>
        <w:tc>
          <w:tcPr>
            <w:tcW w:w="1434" w:type="dxa"/>
            <w:vMerge w:val="restart"/>
            <w:hideMark/>
          </w:tcPr>
          <w:p w14:paraId="68F1E706" w14:textId="1182AA41" w:rsidR="00A06D9C" w:rsidRPr="007D4572" w:rsidRDefault="00A06D9C" w:rsidP="00925BB1">
            <w:pPr>
              <w:cnfStyle w:val="000000000000" w:firstRow="0" w:lastRow="0" w:firstColumn="0" w:lastColumn="0" w:oddVBand="0" w:evenVBand="0" w:oddHBand="0" w:evenHBand="0" w:firstRowFirstColumn="0" w:firstRowLastColumn="0" w:lastRowFirstColumn="0" w:lastRowLastColumn="0"/>
              <w:rPr>
                <w:b/>
                <w:bCs/>
                <w:szCs w:val="20"/>
                <w:lang w:eastAsia="fr-FR" w:bidi="ar-SA"/>
              </w:rPr>
            </w:pPr>
            <w:r w:rsidRPr="007D4572">
              <w:rPr>
                <w:b/>
                <w:bCs/>
                <w:szCs w:val="20"/>
                <w:lang w:eastAsia="fr-FR" w:bidi="ar-SA"/>
              </w:rPr>
              <w:t>Éviter</w:t>
            </w:r>
          </w:p>
        </w:tc>
        <w:tc>
          <w:tcPr>
            <w:tcW w:w="3800" w:type="dxa"/>
            <w:tcBorders>
              <w:bottom w:val="single" w:sz="4" w:space="0" w:color="B4C6E7" w:themeColor="accent1" w:themeTint="66"/>
            </w:tcBorders>
            <w:hideMark/>
          </w:tcPr>
          <w:p w14:paraId="2338C53F" w14:textId="075D5496" w:rsidR="00A06D9C" w:rsidRPr="007D4572" w:rsidRDefault="00A06D9C" w:rsidP="00925BB1">
            <w:pPr>
              <w:cnfStyle w:val="000000000000" w:firstRow="0" w:lastRow="0" w:firstColumn="0" w:lastColumn="0" w:oddVBand="0" w:evenVBand="0" w:oddHBand="0" w:evenHBand="0" w:firstRowFirstColumn="0" w:firstRowLastColumn="0" w:lastRowFirstColumn="0" w:lastRowLastColumn="0"/>
              <w:rPr>
                <w:szCs w:val="20"/>
                <w:lang w:eastAsia="fr-FR" w:bidi="ar-SA"/>
              </w:rPr>
            </w:pPr>
            <w:r w:rsidRPr="007D4572">
              <w:rPr>
                <w:szCs w:val="20"/>
                <w:lang w:eastAsia="fr-FR" w:bidi="ar-SA"/>
              </w:rPr>
              <w:t>Implantation des sanitaires à distance des zones de passage ou de rassemblement du personnel.</w:t>
            </w:r>
          </w:p>
        </w:tc>
        <w:tc>
          <w:tcPr>
            <w:tcW w:w="1949" w:type="dxa"/>
            <w:vMerge w:val="restart"/>
            <w:hideMark/>
          </w:tcPr>
          <w:p w14:paraId="53F3C339" w14:textId="77777777" w:rsidR="00A06D9C" w:rsidRPr="007D4572" w:rsidRDefault="00A06D9C" w:rsidP="00925BB1">
            <w:pPr>
              <w:cnfStyle w:val="000000000000" w:firstRow="0" w:lastRow="0" w:firstColumn="0" w:lastColumn="0" w:oddVBand="0" w:evenVBand="0" w:oddHBand="0" w:evenHBand="0" w:firstRowFirstColumn="0" w:firstRowLastColumn="0" w:lastRowFirstColumn="0" w:lastRowLastColumn="0"/>
              <w:rPr>
                <w:szCs w:val="20"/>
                <w:lang w:eastAsia="fr-FR" w:bidi="ar-SA"/>
              </w:rPr>
            </w:pPr>
            <w:r w:rsidRPr="007D4572">
              <w:rPr>
                <w:szCs w:val="20"/>
                <w:lang w:eastAsia="fr-FR" w:bidi="ar-SA"/>
              </w:rPr>
              <w:t>Localisation conforme / fréquence d’entretien</w:t>
            </w:r>
          </w:p>
        </w:tc>
        <w:tc>
          <w:tcPr>
            <w:tcW w:w="1068" w:type="dxa"/>
            <w:vMerge w:val="restart"/>
            <w:hideMark/>
          </w:tcPr>
          <w:p w14:paraId="49954A88" w14:textId="6608E774" w:rsidR="00A06D9C" w:rsidRPr="007D4572" w:rsidRDefault="00A06D9C" w:rsidP="00925BB1">
            <w:pPr>
              <w:cnfStyle w:val="000000000000" w:firstRow="0" w:lastRow="0" w:firstColumn="0" w:lastColumn="0" w:oddVBand="0" w:evenVBand="0" w:oddHBand="0" w:evenHBand="0" w:firstRowFirstColumn="0" w:firstRowLastColumn="0" w:lastRowFirstColumn="0" w:lastRowLastColumn="0"/>
              <w:rPr>
                <w:szCs w:val="20"/>
                <w:lang w:eastAsia="fr-FR" w:bidi="ar-SA"/>
              </w:rPr>
            </w:pPr>
            <w:r w:rsidRPr="002E0EF5">
              <w:rPr>
                <w:szCs w:val="20"/>
                <w:lang w:eastAsia="zh-CN" w:bidi="ar-SA"/>
              </w:rPr>
              <w:t>EPC / Sous-traitants</w:t>
            </w:r>
          </w:p>
        </w:tc>
        <w:tc>
          <w:tcPr>
            <w:tcW w:w="1599" w:type="dxa"/>
            <w:vMerge w:val="restart"/>
            <w:hideMark/>
          </w:tcPr>
          <w:p w14:paraId="7F5921AA" w14:textId="7D639B3A" w:rsidR="00A06D9C" w:rsidRPr="007D4572" w:rsidRDefault="00A06D9C" w:rsidP="00925BB1">
            <w:pPr>
              <w:cnfStyle w:val="000000000000" w:firstRow="0" w:lastRow="0" w:firstColumn="0" w:lastColumn="0" w:oddVBand="0" w:evenVBand="0" w:oddHBand="0" w:evenHBand="0" w:firstRowFirstColumn="0" w:firstRowLastColumn="0" w:lastRowFirstColumn="0" w:lastRowLastColumn="0"/>
              <w:rPr>
                <w:szCs w:val="20"/>
                <w:lang w:eastAsia="fr-FR" w:bidi="ar-SA"/>
              </w:rPr>
            </w:pPr>
            <w:r w:rsidRPr="002E0EF5">
              <w:rPr>
                <w:szCs w:val="20"/>
                <w:lang w:eastAsia="zh-CN" w:bidi="ar-SA"/>
              </w:rPr>
              <w:t>Bureau de contrôle / Consultant mandaté par l’ONDA</w:t>
            </w:r>
          </w:p>
        </w:tc>
        <w:tc>
          <w:tcPr>
            <w:tcW w:w="749" w:type="dxa"/>
            <w:vMerge w:val="restart"/>
            <w:hideMark/>
          </w:tcPr>
          <w:p w14:paraId="196D63EE" w14:textId="4C3E4B0A" w:rsidR="00A06D9C" w:rsidRPr="007D4572" w:rsidRDefault="00A06D9C" w:rsidP="00925BB1">
            <w:pPr>
              <w:cnfStyle w:val="000000000000" w:firstRow="0" w:lastRow="0" w:firstColumn="0" w:lastColumn="0" w:oddVBand="0" w:evenVBand="0" w:oddHBand="0" w:evenHBand="0" w:firstRowFirstColumn="0" w:firstRowLastColumn="0" w:lastRowFirstColumn="0" w:lastRowLastColumn="0"/>
              <w:rPr>
                <w:szCs w:val="20"/>
                <w:lang w:eastAsia="fr-FR" w:bidi="ar-SA"/>
              </w:rPr>
            </w:pPr>
            <w:r w:rsidRPr="002E0EF5">
              <w:rPr>
                <w:szCs w:val="20"/>
                <w:lang w:eastAsia="zh-CN" w:bidi="ar-SA"/>
              </w:rPr>
              <w:t>ONDA</w:t>
            </w:r>
          </w:p>
        </w:tc>
        <w:tc>
          <w:tcPr>
            <w:tcW w:w="1996" w:type="dxa"/>
            <w:tcBorders>
              <w:bottom w:val="single" w:sz="4" w:space="0" w:color="B4C6E7" w:themeColor="accent1" w:themeTint="66"/>
            </w:tcBorders>
          </w:tcPr>
          <w:p w14:paraId="0013899B" w14:textId="456C0409" w:rsidR="00A06D9C" w:rsidRPr="002E0EF5" w:rsidRDefault="00E50465" w:rsidP="00925BB1">
            <w:pPr>
              <w:cnfStyle w:val="000000000000" w:firstRow="0" w:lastRow="0" w:firstColumn="0" w:lastColumn="0" w:oddVBand="0" w:evenVBand="0" w:oddHBand="0" w:evenHBand="0" w:firstRowFirstColumn="0" w:firstRowLastColumn="0" w:lastRowFirstColumn="0" w:lastRowLastColumn="0"/>
              <w:rPr>
                <w:szCs w:val="20"/>
                <w:lang w:eastAsia="fr-FR" w:bidi="ar-SA"/>
              </w:rPr>
            </w:pPr>
            <w:r w:rsidRPr="00E50465">
              <w:rPr>
                <w:szCs w:val="20"/>
                <w:lang w:eastAsia="fr-FR" w:bidi="ar-SA"/>
              </w:rPr>
              <w:t>Aucun coût spécifique</w:t>
            </w:r>
          </w:p>
        </w:tc>
      </w:tr>
      <w:tr w:rsidR="00A06D9C" w:rsidRPr="002E0EF5" w14:paraId="79CF1016" w14:textId="77777777" w:rsidTr="00A06D9C">
        <w:trPr>
          <w:trHeight w:val="653"/>
        </w:trPr>
        <w:tc>
          <w:tcPr>
            <w:cnfStyle w:val="001000000000" w:firstRow="0" w:lastRow="0" w:firstColumn="1" w:lastColumn="0" w:oddVBand="0" w:evenVBand="0" w:oddHBand="0" w:evenHBand="0" w:firstRowFirstColumn="0" w:firstRowLastColumn="0" w:lastRowFirstColumn="0" w:lastRowLastColumn="0"/>
            <w:tcW w:w="1539" w:type="dxa"/>
            <w:vMerge/>
          </w:tcPr>
          <w:p w14:paraId="0FF28C9E" w14:textId="77777777" w:rsidR="00A06D9C" w:rsidRPr="002E0EF5" w:rsidRDefault="00A06D9C" w:rsidP="00925BB1">
            <w:pPr>
              <w:rPr>
                <w:szCs w:val="20"/>
                <w:lang w:eastAsia="fr-FR" w:bidi="ar-SA"/>
              </w:rPr>
            </w:pPr>
          </w:p>
        </w:tc>
        <w:tc>
          <w:tcPr>
            <w:tcW w:w="1434" w:type="dxa"/>
            <w:vMerge/>
          </w:tcPr>
          <w:p w14:paraId="67094364" w14:textId="77777777" w:rsidR="00A06D9C" w:rsidRPr="007D4572" w:rsidRDefault="00A06D9C" w:rsidP="00925BB1">
            <w:pPr>
              <w:cnfStyle w:val="000000000000" w:firstRow="0" w:lastRow="0" w:firstColumn="0" w:lastColumn="0" w:oddVBand="0" w:evenVBand="0" w:oddHBand="0" w:evenHBand="0" w:firstRowFirstColumn="0" w:firstRowLastColumn="0" w:lastRowFirstColumn="0" w:lastRowLastColumn="0"/>
              <w:rPr>
                <w:b/>
                <w:bCs/>
                <w:szCs w:val="20"/>
                <w:lang w:eastAsia="fr-FR" w:bidi="ar-SA"/>
              </w:rPr>
            </w:pPr>
          </w:p>
        </w:tc>
        <w:tc>
          <w:tcPr>
            <w:tcW w:w="3800" w:type="dxa"/>
            <w:tcBorders>
              <w:top w:val="single" w:sz="4" w:space="0" w:color="B4C6E7" w:themeColor="accent1" w:themeTint="66"/>
            </w:tcBorders>
          </w:tcPr>
          <w:p w14:paraId="696B43CB" w14:textId="77777777" w:rsidR="00A06D9C" w:rsidRPr="007D4572" w:rsidRDefault="00A06D9C" w:rsidP="00A06D9C">
            <w:pPr>
              <w:cnfStyle w:val="000000000000" w:firstRow="0" w:lastRow="0" w:firstColumn="0" w:lastColumn="0" w:oddVBand="0" w:evenVBand="0" w:oddHBand="0" w:evenHBand="0" w:firstRowFirstColumn="0" w:firstRowLastColumn="0" w:lastRowFirstColumn="0" w:lastRowLastColumn="0"/>
              <w:rPr>
                <w:szCs w:val="20"/>
                <w:lang w:eastAsia="fr-FR" w:bidi="ar-SA"/>
              </w:rPr>
            </w:pPr>
            <w:r w:rsidRPr="007D4572">
              <w:rPr>
                <w:szCs w:val="20"/>
                <w:lang w:eastAsia="fr-FR" w:bidi="ar-SA"/>
              </w:rPr>
              <w:t>Nettoyage et aération régulière des cuves.</w:t>
            </w:r>
          </w:p>
        </w:tc>
        <w:tc>
          <w:tcPr>
            <w:tcW w:w="1949" w:type="dxa"/>
            <w:vMerge/>
          </w:tcPr>
          <w:p w14:paraId="5314B53C" w14:textId="77777777" w:rsidR="00A06D9C" w:rsidRPr="007D4572" w:rsidRDefault="00A06D9C" w:rsidP="00925BB1">
            <w:pPr>
              <w:cnfStyle w:val="000000000000" w:firstRow="0" w:lastRow="0" w:firstColumn="0" w:lastColumn="0" w:oddVBand="0" w:evenVBand="0" w:oddHBand="0" w:evenHBand="0" w:firstRowFirstColumn="0" w:firstRowLastColumn="0" w:lastRowFirstColumn="0" w:lastRowLastColumn="0"/>
              <w:rPr>
                <w:szCs w:val="20"/>
                <w:lang w:eastAsia="fr-FR" w:bidi="ar-SA"/>
              </w:rPr>
            </w:pPr>
          </w:p>
        </w:tc>
        <w:tc>
          <w:tcPr>
            <w:tcW w:w="1068" w:type="dxa"/>
            <w:vMerge/>
          </w:tcPr>
          <w:p w14:paraId="5C79AD9D" w14:textId="77777777" w:rsidR="00A06D9C" w:rsidRPr="002E0EF5" w:rsidRDefault="00A06D9C" w:rsidP="00925BB1">
            <w:pPr>
              <w:cnfStyle w:val="000000000000" w:firstRow="0" w:lastRow="0" w:firstColumn="0" w:lastColumn="0" w:oddVBand="0" w:evenVBand="0" w:oddHBand="0" w:evenHBand="0" w:firstRowFirstColumn="0" w:firstRowLastColumn="0" w:lastRowFirstColumn="0" w:lastRowLastColumn="0"/>
              <w:rPr>
                <w:szCs w:val="20"/>
                <w:lang w:eastAsia="zh-CN" w:bidi="ar-SA"/>
              </w:rPr>
            </w:pPr>
          </w:p>
        </w:tc>
        <w:tc>
          <w:tcPr>
            <w:tcW w:w="1599" w:type="dxa"/>
            <w:vMerge/>
          </w:tcPr>
          <w:p w14:paraId="430652AD" w14:textId="77777777" w:rsidR="00A06D9C" w:rsidRPr="002E0EF5" w:rsidRDefault="00A06D9C" w:rsidP="00925BB1">
            <w:pPr>
              <w:cnfStyle w:val="000000000000" w:firstRow="0" w:lastRow="0" w:firstColumn="0" w:lastColumn="0" w:oddVBand="0" w:evenVBand="0" w:oddHBand="0" w:evenHBand="0" w:firstRowFirstColumn="0" w:firstRowLastColumn="0" w:lastRowFirstColumn="0" w:lastRowLastColumn="0"/>
              <w:rPr>
                <w:szCs w:val="20"/>
                <w:lang w:eastAsia="zh-CN" w:bidi="ar-SA"/>
              </w:rPr>
            </w:pPr>
          </w:p>
        </w:tc>
        <w:tc>
          <w:tcPr>
            <w:tcW w:w="749" w:type="dxa"/>
            <w:vMerge/>
          </w:tcPr>
          <w:p w14:paraId="649E8D3D" w14:textId="77777777" w:rsidR="00A06D9C" w:rsidRPr="002E0EF5" w:rsidRDefault="00A06D9C" w:rsidP="00925BB1">
            <w:pPr>
              <w:cnfStyle w:val="000000000000" w:firstRow="0" w:lastRow="0" w:firstColumn="0" w:lastColumn="0" w:oddVBand="0" w:evenVBand="0" w:oddHBand="0" w:evenHBand="0" w:firstRowFirstColumn="0" w:firstRowLastColumn="0" w:lastRowFirstColumn="0" w:lastRowLastColumn="0"/>
              <w:rPr>
                <w:szCs w:val="20"/>
                <w:lang w:eastAsia="zh-CN" w:bidi="ar-SA"/>
              </w:rPr>
            </w:pPr>
          </w:p>
        </w:tc>
        <w:tc>
          <w:tcPr>
            <w:tcW w:w="1996" w:type="dxa"/>
            <w:tcBorders>
              <w:top w:val="single" w:sz="4" w:space="0" w:color="B4C6E7" w:themeColor="accent1" w:themeTint="66"/>
            </w:tcBorders>
          </w:tcPr>
          <w:p w14:paraId="319D478F" w14:textId="054CA2BD" w:rsidR="00A06D9C" w:rsidRPr="002E0EF5" w:rsidRDefault="00E50465" w:rsidP="00925BB1">
            <w:pPr>
              <w:cnfStyle w:val="000000000000" w:firstRow="0" w:lastRow="0" w:firstColumn="0" w:lastColumn="0" w:oddVBand="0" w:evenVBand="0" w:oddHBand="0" w:evenHBand="0" w:firstRowFirstColumn="0" w:firstRowLastColumn="0" w:lastRowFirstColumn="0" w:lastRowLastColumn="0"/>
              <w:rPr>
                <w:szCs w:val="20"/>
                <w:lang w:eastAsia="fr-FR" w:bidi="ar-SA"/>
              </w:rPr>
            </w:pPr>
            <w:r w:rsidRPr="00E50465">
              <w:rPr>
                <w:szCs w:val="20"/>
                <w:lang w:eastAsia="fr-FR" w:bidi="ar-SA"/>
              </w:rPr>
              <w:t>5 000 MAD/vidange/latrine</w:t>
            </w:r>
          </w:p>
        </w:tc>
      </w:tr>
      <w:tr w:rsidR="008356CF" w:rsidRPr="002E0EF5" w14:paraId="0CABD16A" w14:textId="0892B32A" w:rsidTr="008356CF">
        <w:trPr>
          <w:trHeight w:val="707"/>
        </w:trPr>
        <w:tc>
          <w:tcPr>
            <w:cnfStyle w:val="001000000000" w:firstRow="0" w:lastRow="0" w:firstColumn="1" w:lastColumn="0" w:oddVBand="0" w:evenVBand="0" w:oddHBand="0" w:evenHBand="0" w:firstRowFirstColumn="0" w:firstRowLastColumn="0" w:lastRowFirstColumn="0" w:lastRowLastColumn="0"/>
            <w:tcW w:w="1539" w:type="dxa"/>
            <w:vMerge/>
          </w:tcPr>
          <w:p w14:paraId="0F4B6E3C" w14:textId="77777777" w:rsidR="008356CF" w:rsidRPr="002E0EF5" w:rsidRDefault="008356CF" w:rsidP="00925BB1">
            <w:pPr>
              <w:rPr>
                <w:b w:val="0"/>
                <w:bCs w:val="0"/>
                <w:szCs w:val="20"/>
                <w:lang w:eastAsia="fr-FR" w:bidi="ar-SA"/>
              </w:rPr>
            </w:pPr>
          </w:p>
        </w:tc>
        <w:tc>
          <w:tcPr>
            <w:tcW w:w="1434" w:type="dxa"/>
            <w:vMerge w:val="restart"/>
            <w:hideMark/>
          </w:tcPr>
          <w:p w14:paraId="434A61AA" w14:textId="54926577" w:rsidR="008356CF" w:rsidRPr="007D4572" w:rsidRDefault="008356CF" w:rsidP="00925BB1">
            <w:pPr>
              <w:cnfStyle w:val="000000000000" w:firstRow="0" w:lastRow="0" w:firstColumn="0" w:lastColumn="0" w:oddVBand="0" w:evenVBand="0" w:oddHBand="0" w:evenHBand="0" w:firstRowFirstColumn="0" w:firstRowLastColumn="0" w:lastRowFirstColumn="0" w:lastRowLastColumn="0"/>
              <w:rPr>
                <w:b/>
                <w:bCs/>
                <w:szCs w:val="20"/>
                <w:lang w:eastAsia="fr-FR" w:bidi="ar-SA"/>
              </w:rPr>
            </w:pPr>
            <w:r w:rsidRPr="007D4572">
              <w:rPr>
                <w:b/>
                <w:bCs/>
                <w:szCs w:val="20"/>
                <w:lang w:eastAsia="fr-FR" w:bidi="ar-SA"/>
              </w:rPr>
              <w:t>Réduire</w:t>
            </w:r>
          </w:p>
        </w:tc>
        <w:tc>
          <w:tcPr>
            <w:tcW w:w="3800" w:type="dxa"/>
            <w:tcBorders>
              <w:bottom w:val="single" w:sz="4" w:space="0" w:color="B4C6E7" w:themeColor="accent1" w:themeTint="66"/>
            </w:tcBorders>
            <w:hideMark/>
          </w:tcPr>
          <w:p w14:paraId="179194CC" w14:textId="3CC0F1D5" w:rsidR="008356CF" w:rsidRPr="007D4572" w:rsidRDefault="008356CF" w:rsidP="00925BB1">
            <w:pPr>
              <w:cnfStyle w:val="000000000000" w:firstRow="0" w:lastRow="0" w:firstColumn="0" w:lastColumn="0" w:oddVBand="0" w:evenVBand="0" w:oddHBand="0" w:evenHBand="0" w:firstRowFirstColumn="0" w:firstRowLastColumn="0" w:lastRowFirstColumn="0" w:lastRowLastColumn="0"/>
              <w:rPr>
                <w:szCs w:val="20"/>
                <w:lang w:eastAsia="fr-FR" w:bidi="ar-SA"/>
              </w:rPr>
            </w:pPr>
            <w:r w:rsidRPr="007D4572">
              <w:rPr>
                <w:szCs w:val="20"/>
                <w:lang w:eastAsia="fr-FR" w:bidi="ar-SA"/>
              </w:rPr>
              <w:t>Vidange hebdomadaire ou dès 80 % de remplissage.</w:t>
            </w:r>
          </w:p>
        </w:tc>
        <w:tc>
          <w:tcPr>
            <w:tcW w:w="1949" w:type="dxa"/>
            <w:vMerge w:val="restart"/>
            <w:hideMark/>
          </w:tcPr>
          <w:p w14:paraId="47060803" w14:textId="77777777" w:rsidR="008356CF" w:rsidRPr="007D4572" w:rsidRDefault="008356CF" w:rsidP="00925BB1">
            <w:pPr>
              <w:cnfStyle w:val="000000000000" w:firstRow="0" w:lastRow="0" w:firstColumn="0" w:lastColumn="0" w:oddVBand="0" w:evenVBand="0" w:oddHBand="0" w:evenHBand="0" w:firstRowFirstColumn="0" w:firstRowLastColumn="0" w:lastRowFirstColumn="0" w:lastRowLastColumn="0"/>
              <w:rPr>
                <w:szCs w:val="20"/>
                <w:lang w:eastAsia="fr-FR" w:bidi="ar-SA"/>
              </w:rPr>
            </w:pPr>
            <w:r w:rsidRPr="007D4572">
              <w:rPr>
                <w:szCs w:val="20"/>
                <w:lang w:eastAsia="fr-FR" w:bidi="ar-SA"/>
              </w:rPr>
              <w:t>Nombre de vidanges / absence d’odeur signalée</w:t>
            </w:r>
          </w:p>
        </w:tc>
        <w:tc>
          <w:tcPr>
            <w:tcW w:w="1068" w:type="dxa"/>
            <w:vMerge w:val="restart"/>
            <w:hideMark/>
          </w:tcPr>
          <w:p w14:paraId="4D6E33E1" w14:textId="5E4C3D37" w:rsidR="008356CF" w:rsidRPr="007D4572" w:rsidRDefault="008356CF" w:rsidP="00925BB1">
            <w:pPr>
              <w:cnfStyle w:val="000000000000" w:firstRow="0" w:lastRow="0" w:firstColumn="0" w:lastColumn="0" w:oddVBand="0" w:evenVBand="0" w:oddHBand="0" w:evenHBand="0" w:firstRowFirstColumn="0" w:firstRowLastColumn="0" w:lastRowFirstColumn="0" w:lastRowLastColumn="0"/>
              <w:rPr>
                <w:szCs w:val="20"/>
                <w:lang w:eastAsia="fr-FR" w:bidi="ar-SA"/>
              </w:rPr>
            </w:pPr>
            <w:r w:rsidRPr="002E0EF5">
              <w:rPr>
                <w:szCs w:val="20"/>
                <w:lang w:eastAsia="zh-CN" w:bidi="ar-SA"/>
              </w:rPr>
              <w:t>EPC / Sous-traitants</w:t>
            </w:r>
          </w:p>
        </w:tc>
        <w:tc>
          <w:tcPr>
            <w:tcW w:w="1599" w:type="dxa"/>
            <w:vMerge w:val="restart"/>
            <w:hideMark/>
          </w:tcPr>
          <w:p w14:paraId="17C921F2" w14:textId="6C942263" w:rsidR="008356CF" w:rsidRPr="007D4572" w:rsidRDefault="008356CF" w:rsidP="00925BB1">
            <w:pPr>
              <w:cnfStyle w:val="000000000000" w:firstRow="0" w:lastRow="0" w:firstColumn="0" w:lastColumn="0" w:oddVBand="0" w:evenVBand="0" w:oddHBand="0" w:evenHBand="0" w:firstRowFirstColumn="0" w:firstRowLastColumn="0" w:lastRowFirstColumn="0" w:lastRowLastColumn="0"/>
              <w:rPr>
                <w:szCs w:val="20"/>
                <w:lang w:eastAsia="fr-FR" w:bidi="ar-SA"/>
              </w:rPr>
            </w:pPr>
            <w:r w:rsidRPr="002E0EF5">
              <w:rPr>
                <w:szCs w:val="20"/>
                <w:lang w:eastAsia="zh-CN" w:bidi="ar-SA"/>
              </w:rPr>
              <w:t>Bureau de contrôle / Consultant mandaté par l’ONDA</w:t>
            </w:r>
          </w:p>
        </w:tc>
        <w:tc>
          <w:tcPr>
            <w:tcW w:w="749" w:type="dxa"/>
            <w:vMerge w:val="restart"/>
            <w:hideMark/>
          </w:tcPr>
          <w:p w14:paraId="1A280746" w14:textId="0C496DD4" w:rsidR="008356CF" w:rsidRPr="007D4572" w:rsidRDefault="008356CF" w:rsidP="00925BB1">
            <w:pPr>
              <w:cnfStyle w:val="000000000000" w:firstRow="0" w:lastRow="0" w:firstColumn="0" w:lastColumn="0" w:oddVBand="0" w:evenVBand="0" w:oddHBand="0" w:evenHBand="0" w:firstRowFirstColumn="0" w:firstRowLastColumn="0" w:lastRowFirstColumn="0" w:lastRowLastColumn="0"/>
              <w:rPr>
                <w:szCs w:val="20"/>
                <w:lang w:eastAsia="fr-FR" w:bidi="ar-SA"/>
              </w:rPr>
            </w:pPr>
            <w:r w:rsidRPr="002E0EF5">
              <w:rPr>
                <w:szCs w:val="20"/>
                <w:lang w:eastAsia="zh-CN" w:bidi="ar-SA"/>
              </w:rPr>
              <w:t>ONDA</w:t>
            </w:r>
          </w:p>
        </w:tc>
        <w:tc>
          <w:tcPr>
            <w:tcW w:w="1996" w:type="dxa"/>
            <w:tcBorders>
              <w:bottom w:val="single" w:sz="4" w:space="0" w:color="B4C6E7" w:themeColor="accent1" w:themeTint="66"/>
            </w:tcBorders>
          </w:tcPr>
          <w:p w14:paraId="7EEFFA0B" w14:textId="5BE3B21F" w:rsidR="008356CF" w:rsidRPr="002E0EF5" w:rsidRDefault="007D6040" w:rsidP="00925BB1">
            <w:pPr>
              <w:cnfStyle w:val="000000000000" w:firstRow="0" w:lastRow="0" w:firstColumn="0" w:lastColumn="0" w:oddVBand="0" w:evenVBand="0" w:oddHBand="0" w:evenHBand="0" w:firstRowFirstColumn="0" w:firstRowLastColumn="0" w:lastRowFirstColumn="0" w:lastRowLastColumn="0"/>
              <w:rPr>
                <w:szCs w:val="20"/>
                <w:lang w:eastAsia="fr-FR" w:bidi="ar-SA"/>
              </w:rPr>
            </w:pPr>
            <w:r w:rsidRPr="007D6040">
              <w:rPr>
                <w:szCs w:val="20"/>
                <w:lang w:eastAsia="fr-FR" w:bidi="ar-SA"/>
              </w:rPr>
              <w:t>5 000 MAD / vidange / latrine</w:t>
            </w:r>
          </w:p>
        </w:tc>
      </w:tr>
      <w:tr w:rsidR="008356CF" w:rsidRPr="002E0EF5" w14:paraId="238A650C" w14:textId="77777777" w:rsidTr="008356CF">
        <w:trPr>
          <w:trHeight w:val="723"/>
        </w:trPr>
        <w:tc>
          <w:tcPr>
            <w:cnfStyle w:val="001000000000" w:firstRow="0" w:lastRow="0" w:firstColumn="1" w:lastColumn="0" w:oddVBand="0" w:evenVBand="0" w:oddHBand="0" w:evenHBand="0" w:firstRowFirstColumn="0" w:firstRowLastColumn="0" w:lastRowFirstColumn="0" w:lastRowLastColumn="0"/>
            <w:tcW w:w="1539" w:type="dxa"/>
            <w:vMerge/>
          </w:tcPr>
          <w:p w14:paraId="38AC9838" w14:textId="77777777" w:rsidR="008356CF" w:rsidRPr="002E0EF5" w:rsidRDefault="008356CF" w:rsidP="00925BB1">
            <w:pPr>
              <w:rPr>
                <w:b w:val="0"/>
                <w:bCs w:val="0"/>
                <w:szCs w:val="20"/>
                <w:lang w:eastAsia="fr-FR" w:bidi="ar-SA"/>
              </w:rPr>
            </w:pPr>
          </w:p>
        </w:tc>
        <w:tc>
          <w:tcPr>
            <w:tcW w:w="1434" w:type="dxa"/>
            <w:vMerge/>
          </w:tcPr>
          <w:p w14:paraId="50587E6D" w14:textId="77777777" w:rsidR="008356CF" w:rsidRPr="007D4572" w:rsidRDefault="008356CF" w:rsidP="00925BB1">
            <w:pPr>
              <w:cnfStyle w:val="000000000000" w:firstRow="0" w:lastRow="0" w:firstColumn="0" w:lastColumn="0" w:oddVBand="0" w:evenVBand="0" w:oddHBand="0" w:evenHBand="0" w:firstRowFirstColumn="0" w:firstRowLastColumn="0" w:lastRowFirstColumn="0" w:lastRowLastColumn="0"/>
              <w:rPr>
                <w:b/>
                <w:bCs/>
                <w:szCs w:val="20"/>
                <w:lang w:eastAsia="fr-FR" w:bidi="ar-SA"/>
              </w:rPr>
            </w:pPr>
          </w:p>
        </w:tc>
        <w:tc>
          <w:tcPr>
            <w:tcW w:w="3800" w:type="dxa"/>
            <w:tcBorders>
              <w:top w:val="single" w:sz="4" w:space="0" w:color="B4C6E7" w:themeColor="accent1" w:themeTint="66"/>
              <w:bottom w:val="single" w:sz="4" w:space="0" w:color="B4C6E7" w:themeColor="accent1" w:themeTint="66"/>
            </w:tcBorders>
          </w:tcPr>
          <w:p w14:paraId="6DF6EC85" w14:textId="5FA486B9" w:rsidR="008356CF" w:rsidRPr="007D4572" w:rsidRDefault="008356CF" w:rsidP="008356CF">
            <w:pPr>
              <w:cnfStyle w:val="000000000000" w:firstRow="0" w:lastRow="0" w:firstColumn="0" w:lastColumn="0" w:oddVBand="0" w:evenVBand="0" w:oddHBand="0" w:evenHBand="0" w:firstRowFirstColumn="0" w:firstRowLastColumn="0" w:lastRowFirstColumn="0" w:lastRowLastColumn="0"/>
              <w:rPr>
                <w:szCs w:val="20"/>
                <w:lang w:eastAsia="fr-FR" w:bidi="ar-SA"/>
              </w:rPr>
            </w:pPr>
            <w:r w:rsidRPr="007D4572">
              <w:rPr>
                <w:szCs w:val="20"/>
                <w:lang w:eastAsia="fr-FR" w:bidi="ar-SA"/>
              </w:rPr>
              <w:t>Utilisation d’additifs désodorisants biodégradables dans les cuves.</w:t>
            </w:r>
          </w:p>
        </w:tc>
        <w:tc>
          <w:tcPr>
            <w:tcW w:w="1949" w:type="dxa"/>
            <w:vMerge/>
          </w:tcPr>
          <w:p w14:paraId="34DC8AC0" w14:textId="77777777" w:rsidR="008356CF" w:rsidRPr="007D4572" w:rsidRDefault="008356CF" w:rsidP="00925BB1">
            <w:pPr>
              <w:cnfStyle w:val="000000000000" w:firstRow="0" w:lastRow="0" w:firstColumn="0" w:lastColumn="0" w:oddVBand="0" w:evenVBand="0" w:oddHBand="0" w:evenHBand="0" w:firstRowFirstColumn="0" w:firstRowLastColumn="0" w:lastRowFirstColumn="0" w:lastRowLastColumn="0"/>
              <w:rPr>
                <w:szCs w:val="20"/>
                <w:lang w:eastAsia="fr-FR" w:bidi="ar-SA"/>
              </w:rPr>
            </w:pPr>
          </w:p>
        </w:tc>
        <w:tc>
          <w:tcPr>
            <w:tcW w:w="1068" w:type="dxa"/>
            <w:vMerge/>
          </w:tcPr>
          <w:p w14:paraId="0BC3B8E7" w14:textId="77777777" w:rsidR="008356CF" w:rsidRPr="002E0EF5" w:rsidRDefault="008356CF" w:rsidP="00925BB1">
            <w:pPr>
              <w:cnfStyle w:val="000000000000" w:firstRow="0" w:lastRow="0" w:firstColumn="0" w:lastColumn="0" w:oddVBand="0" w:evenVBand="0" w:oddHBand="0" w:evenHBand="0" w:firstRowFirstColumn="0" w:firstRowLastColumn="0" w:lastRowFirstColumn="0" w:lastRowLastColumn="0"/>
              <w:rPr>
                <w:szCs w:val="20"/>
                <w:lang w:eastAsia="zh-CN" w:bidi="ar-SA"/>
              </w:rPr>
            </w:pPr>
          </w:p>
        </w:tc>
        <w:tc>
          <w:tcPr>
            <w:tcW w:w="1599" w:type="dxa"/>
            <w:vMerge/>
          </w:tcPr>
          <w:p w14:paraId="6E991E87" w14:textId="77777777" w:rsidR="008356CF" w:rsidRPr="002E0EF5" w:rsidRDefault="008356CF" w:rsidP="00925BB1">
            <w:pPr>
              <w:cnfStyle w:val="000000000000" w:firstRow="0" w:lastRow="0" w:firstColumn="0" w:lastColumn="0" w:oddVBand="0" w:evenVBand="0" w:oddHBand="0" w:evenHBand="0" w:firstRowFirstColumn="0" w:firstRowLastColumn="0" w:lastRowFirstColumn="0" w:lastRowLastColumn="0"/>
              <w:rPr>
                <w:szCs w:val="20"/>
                <w:lang w:eastAsia="zh-CN" w:bidi="ar-SA"/>
              </w:rPr>
            </w:pPr>
          </w:p>
        </w:tc>
        <w:tc>
          <w:tcPr>
            <w:tcW w:w="749" w:type="dxa"/>
            <w:vMerge/>
          </w:tcPr>
          <w:p w14:paraId="03350C1F" w14:textId="77777777" w:rsidR="008356CF" w:rsidRPr="002E0EF5" w:rsidRDefault="008356CF" w:rsidP="00925BB1">
            <w:pPr>
              <w:cnfStyle w:val="000000000000" w:firstRow="0" w:lastRow="0" w:firstColumn="0" w:lastColumn="0" w:oddVBand="0" w:evenVBand="0" w:oddHBand="0" w:evenHBand="0" w:firstRowFirstColumn="0" w:firstRowLastColumn="0" w:lastRowFirstColumn="0" w:lastRowLastColumn="0"/>
              <w:rPr>
                <w:szCs w:val="20"/>
                <w:lang w:eastAsia="zh-CN" w:bidi="ar-SA"/>
              </w:rPr>
            </w:pPr>
          </w:p>
        </w:tc>
        <w:tc>
          <w:tcPr>
            <w:tcW w:w="1996" w:type="dxa"/>
            <w:tcBorders>
              <w:top w:val="single" w:sz="4" w:space="0" w:color="B4C6E7" w:themeColor="accent1" w:themeTint="66"/>
              <w:bottom w:val="single" w:sz="4" w:space="0" w:color="B4C6E7" w:themeColor="accent1" w:themeTint="66"/>
            </w:tcBorders>
          </w:tcPr>
          <w:p w14:paraId="251EA41B" w14:textId="28BE317A" w:rsidR="008356CF" w:rsidRPr="002E0EF5" w:rsidRDefault="007D6040" w:rsidP="00925BB1">
            <w:pPr>
              <w:cnfStyle w:val="000000000000" w:firstRow="0" w:lastRow="0" w:firstColumn="0" w:lastColumn="0" w:oddVBand="0" w:evenVBand="0" w:oddHBand="0" w:evenHBand="0" w:firstRowFirstColumn="0" w:firstRowLastColumn="0" w:lastRowFirstColumn="0" w:lastRowLastColumn="0"/>
              <w:rPr>
                <w:szCs w:val="20"/>
                <w:lang w:eastAsia="fr-FR" w:bidi="ar-SA"/>
              </w:rPr>
            </w:pPr>
            <w:r w:rsidRPr="007D6040">
              <w:rPr>
                <w:szCs w:val="20"/>
                <w:lang w:eastAsia="fr-FR" w:bidi="ar-SA"/>
              </w:rPr>
              <w:t>≈ 200 MAD / latrine / mois</w:t>
            </w:r>
          </w:p>
        </w:tc>
      </w:tr>
      <w:tr w:rsidR="008356CF" w:rsidRPr="002E0EF5" w14:paraId="519289BB" w14:textId="77777777" w:rsidTr="008356CF">
        <w:trPr>
          <w:trHeight w:val="747"/>
        </w:trPr>
        <w:tc>
          <w:tcPr>
            <w:cnfStyle w:val="001000000000" w:firstRow="0" w:lastRow="0" w:firstColumn="1" w:lastColumn="0" w:oddVBand="0" w:evenVBand="0" w:oddHBand="0" w:evenHBand="0" w:firstRowFirstColumn="0" w:firstRowLastColumn="0" w:lastRowFirstColumn="0" w:lastRowLastColumn="0"/>
            <w:tcW w:w="1539" w:type="dxa"/>
            <w:vMerge/>
          </w:tcPr>
          <w:p w14:paraId="3143D572" w14:textId="77777777" w:rsidR="008356CF" w:rsidRPr="002E0EF5" w:rsidRDefault="008356CF" w:rsidP="00925BB1">
            <w:pPr>
              <w:rPr>
                <w:b w:val="0"/>
                <w:bCs w:val="0"/>
                <w:szCs w:val="20"/>
                <w:lang w:eastAsia="fr-FR" w:bidi="ar-SA"/>
              </w:rPr>
            </w:pPr>
          </w:p>
        </w:tc>
        <w:tc>
          <w:tcPr>
            <w:tcW w:w="1434" w:type="dxa"/>
            <w:vMerge/>
          </w:tcPr>
          <w:p w14:paraId="12603FB2" w14:textId="77777777" w:rsidR="008356CF" w:rsidRPr="007D4572" w:rsidRDefault="008356CF" w:rsidP="00925BB1">
            <w:pPr>
              <w:cnfStyle w:val="000000000000" w:firstRow="0" w:lastRow="0" w:firstColumn="0" w:lastColumn="0" w:oddVBand="0" w:evenVBand="0" w:oddHBand="0" w:evenHBand="0" w:firstRowFirstColumn="0" w:firstRowLastColumn="0" w:lastRowFirstColumn="0" w:lastRowLastColumn="0"/>
              <w:rPr>
                <w:b/>
                <w:bCs/>
                <w:szCs w:val="20"/>
                <w:lang w:eastAsia="fr-FR" w:bidi="ar-SA"/>
              </w:rPr>
            </w:pPr>
          </w:p>
        </w:tc>
        <w:tc>
          <w:tcPr>
            <w:tcW w:w="3800" w:type="dxa"/>
            <w:tcBorders>
              <w:top w:val="single" w:sz="4" w:space="0" w:color="B4C6E7" w:themeColor="accent1" w:themeTint="66"/>
            </w:tcBorders>
          </w:tcPr>
          <w:p w14:paraId="11785BDF" w14:textId="77777777" w:rsidR="008356CF" w:rsidRPr="007D4572" w:rsidRDefault="008356CF" w:rsidP="008356CF">
            <w:pPr>
              <w:cnfStyle w:val="000000000000" w:firstRow="0" w:lastRow="0" w:firstColumn="0" w:lastColumn="0" w:oddVBand="0" w:evenVBand="0" w:oddHBand="0" w:evenHBand="0" w:firstRowFirstColumn="0" w:firstRowLastColumn="0" w:lastRowFirstColumn="0" w:lastRowLastColumn="0"/>
              <w:rPr>
                <w:szCs w:val="20"/>
                <w:lang w:eastAsia="fr-FR" w:bidi="ar-SA"/>
              </w:rPr>
            </w:pPr>
            <w:r w:rsidRPr="007D4572">
              <w:rPr>
                <w:szCs w:val="20"/>
                <w:lang w:eastAsia="fr-FR" w:bidi="ar-SA"/>
              </w:rPr>
              <w:t>Signalisation et maintenance préventive pour éviter le débordement.</w:t>
            </w:r>
          </w:p>
        </w:tc>
        <w:tc>
          <w:tcPr>
            <w:tcW w:w="1949" w:type="dxa"/>
            <w:vMerge/>
          </w:tcPr>
          <w:p w14:paraId="51692312" w14:textId="77777777" w:rsidR="008356CF" w:rsidRPr="007D4572" w:rsidRDefault="008356CF" w:rsidP="00925BB1">
            <w:pPr>
              <w:cnfStyle w:val="000000000000" w:firstRow="0" w:lastRow="0" w:firstColumn="0" w:lastColumn="0" w:oddVBand="0" w:evenVBand="0" w:oddHBand="0" w:evenHBand="0" w:firstRowFirstColumn="0" w:firstRowLastColumn="0" w:lastRowFirstColumn="0" w:lastRowLastColumn="0"/>
              <w:rPr>
                <w:szCs w:val="20"/>
                <w:lang w:eastAsia="fr-FR" w:bidi="ar-SA"/>
              </w:rPr>
            </w:pPr>
          </w:p>
        </w:tc>
        <w:tc>
          <w:tcPr>
            <w:tcW w:w="1068" w:type="dxa"/>
            <w:vMerge/>
          </w:tcPr>
          <w:p w14:paraId="4973580F" w14:textId="77777777" w:rsidR="008356CF" w:rsidRPr="002E0EF5" w:rsidRDefault="008356CF" w:rsidP="00925BB1">
            <w:pPr>
              <w:cnfStyle w:val="000000000000" w:firstRow="0" w:lastRow="0" w:firstColumn="0" w:lastColumn="0" w:oddVBand="0" w:evenVBand="0" w:oddHBand="0" w:evenHBand="0" w:firstRowFirstColumn="0" w:firstRowLastColumn="0" w:lastRowFirstColumn="0" w:lastRowLastColumn="0"/>
              <w:rPr>
                <w:szCs w:val="20"/>
                <w:lang w:eastAsia="zh-CN" w:bidi="ar-SA"/>
              </w:rPr>
            </w:pPr>
          </w:p>
        </w:tc>
        <w:tc>
          <w:tcPr>
            <w:tcW w:w="1599" w:type="dxa"/>
            <w:vMerge/>
          </w:tcPr>
          <w:p w14:paraId="69060E37" w14:textId="77777777" w:rsidR="008356CF" w:rsidRPr="002E0EF5" w:rsidRDefault="008356CF" w:rsidP="00925BB1">
            <w:pPr>
              <w:cnfStyle w:val="000000000000" w:firstRow="0" w:lastRow="0" w:firstColumn="0" w:lastColumn="0" w:oddVBand="0" w:evenVBand="0" w:oddHBand="0" w:evenHBand="0" w:firstRowFirstColumn="0" w:firstRowLastColumn="0" w:lastRowFirstColumn="0" w:lastRowLastColumn="0"/>
              <w:rPr>
                <w:szCs w:val="20"/>
                <w:lang w:eastAsia="zh-CN" w:bidi="ar-SA"/>
              </w:rPr>
            </w:pPr>
          </w:p>
        </w:tc>
        <w:tc>
          <w:tcPr>
            <w:tcW w:w="749" w:type="dxa"/>
            <w:vMerge/>
          </w:tcPr>
          <w:p w14:paraId="285C3ADC" w14:textId="77777777" w:rsidR="008356CF" w:rsidRPr="002E0EF5" w:rsidRDefault="008356CF" w:rsidP="00925BB1">
            <w:pPr>
              <w:cnfStyle w:val="000000000000" w:firstRow="0" w:lastRow="0" w:firstColumn="0" w:lastColumn="0" w:oddVBand="0" w:evenVBand="0" w:oddHBand="0" w:evenHBand="0" w:firstRowFirstColumn="0" w:firstRowLastColumn="0" w:lastRowFirstColumn="0" w:lastRowLastColumn="0"/>
              <w:rPr>
                <w:szCs w:val="20"/>
                <w:lang w:eastAsia="zh-CN" w:bidi="ar-SA"/>
              </w:rPr>
            </w:pPr>
          </w:p>
        </w:tc>
        <w:tc>
          <w:tcPr>
            <w:tcW w:w="1996" w:type="dxa"/>
            <w:tcBorders>
              <w:top w:val="single" w:sz="4" w:space="0" w:color="B4C6E7" w:themeColor="accent1" w:themeTint="66"/>
            </w:tcBorders>
          </w:tcPr>
          <w:p w14:paraId="754ACC75" w14:textId="2F135B14" w:rsidR="008356CF" w:rsidRPr="00D60FC9" w:rsidRDefault="007D6040" w:rsidP="007D604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bidi="ar-SA"/>
              </w:rPr>
            </w:pPr>
            <w:r>
              <w:rPr>
                <w:szCs w:val="20"/>
                <w:lang w:eastAsia="fr-FR" w:bidi="ar-SA"/>
              </w:rPr>
              <w:t>Aucun coût spécifique (</w:t>
            </w:r>
            <w:r>
              <w:t xml:space="preserve">Réalisé par le personnel EPC déjà en </w:t>
            </w:r>
            <w:r>
              <w:lastRenderedPageBreak/>
              <w:t>charge du suivi des installations.)</w:t>
            </w:r>
          </w:p>
        </w:tc>
      </w:tr>
      <w:tr w:rsidR="008356CF" w:rsidRPr="002E0EF5" w14:paraId="28E25C93" w14:textId="575870CC" w:rsidTr="008356CF">
        <w:trPr>
          <w:trHeight w:val="760"/>
        </w:trPr>
        <w:tc>
          <w:tcPr>
            <w:cnfStyle w:val="001000000000" w:firstRow="0" w:lastRow="0" w:firstColumn="1" w:lastColumn="0" w:oddVBand="0" w:evenVBand="0" w:oddHBand="0" w:evenHBand="0" w:firstRowFirstColumn="0" w:firstRowLastColumn="0" w:lastRowFirstColumn="0" w:lastRowLastColumn="0"/>
            <w:tcW w:w="1539" w:type="dxa"/>
            <w:vMerge/>
          </w:tcPr>
          <w:p w14:paraId="6F5A7257" w14:textId="77777777" w:rsidR="008356CF" w:rsidRPr="002E0EF5" w:rsidRDefault="008356CF" w:rsidP="00925BB1">
            <w:pPr>
              <w:rPr>
                <w:b w:val="0"/>
                <w:bCs w:val="0"/>
                <w:szCs w:val="20"/>
                <w:lang w:eastAsia="fr-FR" w:bidi="ar-SA"/>
              </w:rPr>
            </w:pPr>
          </w:p>
        </w:tc>
        <w:tc>
          <w:tcPr>
            <w:tcW w:w="1434" w:type="dxa"/>
            <w:vMerge w:val="restart"/>
            <w:hideMark/>
          </w:tcPr>
          <w:p w14:paraId="368D7FD6" w14:textId="5BD0ABC4" w:rsidR="008356CF" w:rsidRPr="007D4572" w:rsidRDefault="008356CF" w:rsidP="00925BB1">
            <w:pPr>
              <w:cnfStyle w:val="000000000000" w:firstRow="0" w:lastRow="0" w:firstColumn="0" w:lastColumn="0" w:oddVBand="0" w:evenVBand="0" w:oddHBand="0" w:evenHBand="0" w:firstRowFirstColumn="0" w:firstRowLastColumn="0" w:lastRowFirstColumn="0" w:lastRowLastColumn="0"/>
              <w:rPr>
                <w:b/>
                <w:bCs/>
                <w:szCs w:val="20"/>
                <w:lang w:eastAsia="fr-FR" w:bidi="ar-SA"/>
              </w:rPr>
            </w:pPr>
            <w:r w:rsidRPr="007D4572">
              <w:rPr>
                <w:b/>
                <w:bCs/>
                <w:szCs w:val="20"/>
                <w:lang w:eastAsia="fr-FR" w:bidi="ar-SA"/>
              </w:rPr>
              <w:t>Atténuer</w:t>
            </w:r>
          </w:p>
        </w:tc>
        <w:tc>
          <w:tcPr>
            <w:tcW w:w="3800" w:type="dxa"/>
            <w:tcBorders>
              <w:bottom w:val="single" w:sz="4" w:space="0" w:color="B4C6E7" w:themeColor="accent1" w:themeTint="66"/>
            </w:tcBorders>
            <w:hideMark/>
          </w:tcPr>
          <w:p w14:paraId="6D6E14A6" w14:textId="1911336F" w:rsidR="008356CF" w:rsidRPr="007D4572" w:rsidRDefault="008356CF" w:rsidP="00925BB1">
            <w:pPr>
              <w:cnfStyle w:val="000000000000" w:firstRow="0" w:lastRow="0" w:firstColumn="0" w:lastColumn="0" w:oddVBand="0" w:evenVBand="0" w:oddHBand="0" w:evenHBand="0" w:firstRowFirstColumn="0" w:firstRowLastColumn="0" w:lastRowFirstColumn="0" w:lastRowLastColumn="0"/>
              <w:rPr>
                <w:szCs w:val="20"/>
                <w:lang w:eastAsia="fr-FR" w:bidi="ar-SA"/>
              </w:rPr>
            </w:pPr>
            <w:r w:rsidRPr="007D4572">
              <w:rPr>
                <w:szCs w:val="20"/>
                <w:lang w:eastAsia="fr-FR" w:bidi="ar-SA"/>
              </w:rPr>
              <w:t>Désinfection régulière des abords des sanitaires avec produits neutres.</w:t>
            </w:r>
          </w:p>
        </w:tc>
        <w:tc>
          <w:tcPr>
            <w:tcW w:w="1949" w:type="dxa"/>
            <w:vMerge w:val="restart"/>
            <w:hideMark/>
          </w:tcPr>
          <w:p w14:paraId="331B1154" w14:textId="77777777" w:rsidR="008356CF" w:rsidRPr="007D4572" w:rsidRDefault="008356CF" w:rsidP="00925BB1">
            <w:pPr>
              <w:cnfStyle w:val="000000000000" w:firstRow="0" w:lastRow="0" w:firstColumn="0" w:lastColumn="0" w:oddVBand="0" w:evenVBand="0" w:oddHBand="0" w:evenHBand="0" w:firstRowFirstColumn="0" w:firstRowLastColumn="0" w:lastRowFirstColumn="0" w:lastRowLastColumn="0"/>
              <w:rPr>
                <w:szCs w:val="20"/>
                <w:lang w:eastAsia="fr-FR" w:bidi="ar-SA"/>
              </w:rPr>
            </w:pPr>
            <w:r w:rsidRPr="007D4572">
              <w:rPr>
                <w:szCs w:val="20"/>
                <w:lang w:eastAsia="fr-FR" w:bidi="ar-SA"/>
              </w:rPr>
              <w:t>Temps de réaction / rapport d’incident</w:t>
            </w:r>
          </w:p>
        </w:tc>
        <w:tc>
          <w:tcPr>
            <w:tcW w:w="1068" w:type="dxa"/>
            <w:vMerge w:val="restart"/>
            <w:hideMark/>
          </w:tcPr>
          <w:p w14:paraId="30748215" w14:textId="40A192AE" w:rsidR="008356CF" w:rsidRPr="007D4572" w:rsidRDefault="008356CF" w:rsidP="00925BB1">
            <w:pPr>
              <w:cnfStyle w:val="000000000000" w:firstRow="0" w:lastRow="0" w:firstColumn="0" w:lastColumn="0" w:oddVBand="0" w:evenVBand="0" w:oddHBand="0" w:evenHBand="0" w:firstRowFirstColumn="0" w:firstRowLastColumn="0" w:lastRowFirstColumn="0" w:lastRowLastColumn="0"/>
              <w:rPr>
                <w:szCs w:val="20"/>
                <w:lang w:eastAsia="fr-FR" w:bidi="ar-SA"/>
              </w:rPr>
            </w:pPr>
            <w:r w:rsidRPr="002E0EF5">
              <w:rPr>
                <w:szCs w:val="20"/>
                <w:lang w:eastAsia="zh-CN" w:bidi="ar-SA"/>
              </w:rPr>
              <w:t>EPC / Sous-traitants</w:t>
            </w:r>
          </w:p>
        </w:tc>
        <w:tc>
          <w:tcPr>
            <w:tcW w:w="1599" w:type="dxa"/>
            <w:vMerge w:val="restart"/>
            <w:hideMark/>
          </w:tcPr>
          <w:p w14:paraId="00AF2CCF" w14:textId="35CFB658" w:rsidR="008356CF" w:rsidRPr="007D4572" w:rsidRDefault="008356CF" w:rsidP="00925BB1">
            <w:pPr>
              <w:cnfStyle w:val="000000000000" w:firstRow="0" w:lastRow="0" w:firstColumn="0" w:lastColumn="0" w:oddVBand="0" w:evenVBand="0" w:oddHBand="0" w:evenHBand="0" w:firstRowFirstColumn="0" w:firstRowLastColumn="0" w:lastRowFirstColumn="0" w:lastRowLastColumn="0"/>
              <w:rPr>
                <w:szCs w:val="20"/>
                <w:lang w:eastAsia="fr-FR" w:bidi="ar-SA"/>
              </w:rPr>
            </w:pPr>
            <w:r w:rsidRPr="002E0EF5">
              <w:rPr>
                <w:szCs w:val="20"/>
                <w:lang w:eastAsia="zh-CN" w:bidi="ar-SA"/>
              </w:rPr>
              <w:t>Bureau de contrôle / Consultant mandaté par l’ONDA</w:t>
            </w:r>
          </w:p>
        </w:tc>
        <w:tc>
          <w:tcPr>
            <w:tcW w:w="749" w:type="dxa"/>
            <w:vMerge w:val="restart"/>
            <w:hideMark/>
          </w:tcPr>
          <w:p w14:paraId="5B56B81F" w14:textId="315D250D" w:rsidR="008356CF" w:rsidRPr="007D4572" w:rsidRDefault="008356CF" w:rsidP="00925BB1">
            <w:pPr>
              <w:cnfStyle w:val="000000000000" w:firstRow="0" w:lastRow="0" w:firstColumn="0" w:lastColumn="0" w:oddVBand="0" w:evenVBand="0" w:oddHBand="0" w:evenHBand="0" w:firstRowFirstColumn="0" w:firstRowLastColumn="0" w:lastRowFirstColumn="0" w:lastRowLastColumn="0"/>
              <w:rPr>
                <w:szCs w:val="20"/>
                <w:lang w:eastAsia="fr-FR" w:bidi="ar-SA"/>
              </w:rPr>
            </w:pPr>
            <w:r w:rsidRPr="002E0EF5">
              <w:rPr>
                <w:szCs w:val="20"/>
                <w:lang w:eastAsia="zh-CN" w:bidi="ar-SA"/>
              </w:rPr>
              <w:t>ONDA</w:t>
            </w:r>
          </w:p>
        </w:tc>
        <w:tc>
          <w:tcPr>
            <w:tcW w:w="1996" w:type="dxa"/>
            <w:tcBorders>
              <w:bottom w:val="single" w:sz="4" w:space="0" w:color="B4C6E7" w:themeColor="accent1" w:themeTint="66"/>
            </w:tcBorders>
          </w:tcPr>
          <w:p w14:paraId="76EC3306" w14:textId="49353BD5" w:rsidR="008356CF" w:rsidRPr="002E0EF5" w:rsidRDefault="007F232A" w:rsidP="00925BB1">
            <w:pPr>
              <w:cnfStyle w:val="000000000000" w:firstRow="0" w:lastRow="0" w:firstColumn="0" w:lastColumn="0" w:oddVBand="0" w:evenVBand="0" w:oddHBand="0" w:evenHBand="0" w:firstRowFirstColumn="0" w:firstRowLastColumn="0" w:lastRowFirstColumn="0" w:lastRowLastColumn="0"/>
              <w:rPr>
                <w:szCs w:val="20"/>
                <w:lang w:eastAsia="fr-FR" w:bidi="ar-SA"/>
              </w:rPr>
            </w:pPr>
            <w:r w:rsidRPr="007F232A">
              <w:rPr>
                <w:szCs w:val="20"/>
                <w:lang w:eastAsia="fr-FR" w:bidi="ar-SA"/>
              </w:rPr>
              <w:t xml:space="preserve">≈ </w:t>
            </w:r>
            <w:r w:rsidRPr="00D60FC9">
              <w:rPr>
                <w:szCs w:val="20"/>
                <w:lang w:eastAsia="fr-FR" w:bidi="ar-SA"/>
              </w:rPr>
              <w:t>600 MAD / opération</w:t>
            </w:r>
            <w:r w:rsidRPr="007F232A">
              <w:rPr>
                <w:szCs w:val="20"/>
                <w:lang w:eastAsia="fr-FR" w:bidi="ar-SA"/>
              </w:rPr>
              <w:t xml:space="preserve">, fréquence 4 fois/mois soit </w:t>
            </w:r>
            <w:r w:rsidRPr="00D60FC9">
              <w:rPr>
                <w:szCs w:val="20"/>
                <w:lang w:eastAsia="fr-FR" w:bidi="ar-SA"/>
              </w:rPr>
              <w:t>≈ 2 400 MAD/mois</w:t>
            </w:r>
            <w:r w:rsidRPr="007F232A">
              <w:rPr>
                <w:szCs w:val="20"/>
                <w:lang w:eastAsia="fr-FR" w:bidi="ar-SA"/>
              </w:rPr>
              <w:t xml:space="preserve"> </w:t>
            </w:r>
            <w:r w:rsidR="005A5BE0">
              <w:rPr>
                <w:szCs w:val="20"/>
                <w:lang w:eastAsia="fr-FR" w:bidi="ar-SA"/>
              </w:rPr>
              <w:t>(</w:t>
            </w:r>
            <w:r w:rsidR="005A5BE0" w:rsidRPr="005A5BE0">
              <w:rPr>
                <w:szCs w:val="20"/>
                <w:lang w:eastAsia="fr-FR" w:bidi="ar-SA"/>
              </w:rPr>
              <w:t xml:space="preserve">Inclut les produits et consommables </w:t>
            </w:r>
            <w:r w:rsidR="005A5BE0">
              <w:rPr>
                <w:szCs w:val="20"/>
                <w:lang w:eastAsia="fr-FR" w:bidi="ar-SA"/>
              </w:rPr>
              <w:t>(c</w:t>
            </w:r>
            <w:r w:rsidR="005A5BE0" w:rsidRPr="005A5BE0">
              <w:rPr>
                <w:szCs w:val="20"/>
                <w:lang w:eastAsia="fr-FR" w:bidi="ar-SA"/>
              </w:rPr>
              <w:t>hlore dilué, peroxyde, savon neutre</w:t>
            </w:r>
            <w:r w:rsidR="005A5BE0">
              <w:rPr>
                <w:szCs w:val="20"/>
                <w:lang w:eastAsia="fr-FR" w:bidi="ar-SA"/>
              </w:rPr>
              <w:t xml:space="preserve">) et </w:t>
            </w:r>
            <w:r w:rsidR="005A5BE0" w:rsidRPr="005A5BE0">
              <w:rPr>
                <w:szCs w:val="20"/>
                <w:lang w:eastAsia="fr-FR" w:bidi="ar-SA"/>
              </w:rPr>
              <w:t>aucun prestataire externe).</w:t>
            </w:r>
          </w:p>
        </w:tc>
      </w:tr>
      <w:tr w:rsidR="008356CF" w:rsidRPr="002E0EF5" w14:paraId="15B03951" w14:textId="77777777" w:rsidTr="008356CF">
        <w:trPr>
          <w:trHeight w:val="880"/>
        </w:trPr>
        <w:tc>
          <w:tcPr>
            <w:cnfStyle w:val="001000000000" w:firstRow="0" w:lastRow="0" w:firstColumn="1" w:lastColumn="0" w:oddVBand="0" w:evenVBand="0" w:oddHBand="0" w:evenHBand="0" w:firstRowFirstColumn="0" w:firstRowLastColumn="0" w:lastRowFirstColumn="0" w:lastRowLastColumn="0"/>
            <w:tcW w:w="1539" w:type="dxa"/>
            <w:vMerge/>
          </w:tcPr>
          <w:p w14:paraId="20550152" w14:textId="77777777" w:rsidR="008356CF" w:rsidRPr="002E0EF5" w:rsidRDefault="008356CF" w:rsidP="00925BB1">
            <w:pPr>
              <w:rPr>
                <w:b w:val="0"/>
                <w:bCs w:val="0"/>
                <w:szCs w:val="20"/>
                <w:lang w:eastAsia="fr-FR" w:bidi="ar-SA"/>
              </w:rPr>
            </w:pPr>
          </w:p>
        </w:tc>
        <w:tc>
          <w:tcPr>
            <w:tcW w:w="1434" w:type="dxa"/>
            <w:vMerge/>
          </w:tcPr>
          <w:p w14:paraId="78207CBB" w14:textId="77777777" w:rsidR="008356CF" w:rsidRPr="007D4572" w:rsidRDefault="008356CF" w:rsidP="00925BB1">
            <w:pPr>
              <w:cnfStyle w:val="000000000000" w:firstRow="0" w:lastRow="0" w:firstColumn="0" w:lastColumn="0" w:oddVBand="0" w:evenVBand="0" w:oddHBand="0" w:evenHBand="0" w:firstRowFirstColumn="0" w:firstRowLastColumn="0" w:lastRowFirstColumn="0" w:lastRowLastColumn="0"/>
              <w:rPr>
                <w:b/>
                <w:bCs/>
                <w:szCs w:val="20"/>
                <w:lang w:eastAsia="fr-FR" w:bidi="ar-SA"/>
              </w:rPr>
            </w:pPr>
          </w:p>
        </w:tc>
        <w:tc>
          <w:tcPr>
            <w:tcW w:w="3800" w:type="dxa"/>
            <w:tcBorders>
              <w:top w:val="single" w:sz="4" w:space="0" w:color="B4C6E7" w:themeColor="accent1" w:themeTint="66"/>
            </w:tcBorders>
          </w:tcPr>
          <w:p w14:paraId="115DF8E3" w14:textId="77777777" w:rsidR="008356CF" w:rsidRPr="007D4572" w:rsidRDefault="008356CF" w:rsidP="008356CF">
            <w:pPr>
              <w:cnfStyle w:val="000000000000" w:firstRow="0" w:lastRow="0" w:firstColumn="0" w:lastColumn="0" w:oddVBand="0" w:evenVBand="0" w:oddHBand="0" w:evenHBand="0" w:firstRowFirstColumn="0" w:firstRowLastColumn="0" w:lastRowFirstColumn="0" w:lastRowLastColumn="0"/>
              <w:rPr>
                <w:szCs w:val="20"/>
                <w:lang w:eastAsia="fr-FR" w:bidi="ar-SA"/>
              </w:rPr>
            </w:pPr>
            <w:r w:rsidRPr="007D4572">
              <w:rPr>
                <w:szCs w:val="20"/>
                <w:lang w:eastAsia="fr-FR" w:bidi="ar-SA"/>
              </w:rPr>
              <w:t>Curage immédiat en cas de débordement ou de défaillance.</w:t>
            </w:r>
          </w:p>
        </w:tc>
        <w:tc>
          <w:tcPr>
            <w:tcW w:w="1949" w:type="dxa"/>
            <w:vMerge/>
          </w:tcPr>
          <w:p w14:paraId="5D21E61E" w14:textId="77777777" w:rsidR="008356CF" w:rsidRPr="007D4572" w:rsidRDefault="008356CF" w:rsidP="00925BB1">
            <w:pPr>
              <w:cnfStyle w:val="000000000000" w:firstRow="0" w:lastRow="0" w:firstColumn="0" w:lastColumn="0" w:oddVBand="0" w:evenVBand="0" w:oddHBand="0" w:evenHBand="0" w:firstRowFirstColumn="0" w:firstRowLastColumn="0" w:lastRowFirstColumn="0" w:lastRowLastColumn="0"/>
              <w:rPr>
                <w:szCs w:val="20"/>
                <w:lang w:eastAsia="fr-FR" w:bidi="ar-SA"/>
              </w:rPr>
            </w:pPr>
          </w:p>
        </w:tc>
        <w:tc>
          <w:tcPr>
            <w:tcW w:w="1068" w:type="dxa"/>
            <w:vMerge/>
          </w:tcPr>
          <w:p w14:paraId="7885FBF0" w14:textId="77777777" w:rsidR="008356CF" w:rsidRPr="002E0EF5" w:rsidRDefault="008356CF" w:rsidP="00925BB1">
            <w:pPr>
              <w:cnfStyle w:val="000000000000" w:firstRow="0" w:lastRow="0" w:firstColumn="0" w:lastColumn="0" w:oddVBand="0" w:evenVBand="0" w:oddHBand="0" w:evenHBand="0" w:firstRowFirstColumn="0" w:firstRowLastColumn="0" w:lastRowFirstColumn="0" w:lastRowLastColumn="0"/>
              <w:rPr>
                <w:szCs w:val="20"/>
                <w:lang w:eastAsia="zh-CN" w:bidi="ar-SA"/>
              </w:rPr>
            </w:pPr>
          </w:p>
        </w:tc>
        <w:tc>
          <w:tcPr>
            <w:tcW w:w="1599" w:type="dxa"/>
            <w:vMerge/>
          </w:tcPr>
          <w:p w14:paraId="471F2DBC" w14:textId="77777777" w:rsidR="008356CF" w:rsidRPr="002E0EF5" w:rsidRDefault="008356CF" w:rsidP="00925BB1">
            <w:pPr>
              <w:cnfStyle w:val="000000000000" w:firstRow="0" w:lastRow="0" w:firstColumn="0" w:lastColumn="0" w:oddVBand="0" w:evenVBand="0" w:oddHBand="0" w:evenHBand="0" w:firstRowFirstColumn="0" w:firstRowLastColumn="0" w:lastRowFirstColumn="0" w:lastRowLastColumn="0"/>
              <w:rPr>
                <w:szCs w:val="20"/>
                <w:lang w:eastAsia="zh-CN" w:bidi="ar-SA"/>
              </w:rPr>
            </w:pPr>
          </w:p>
        </w:tc>
        <w:tc>
          <w:tcPr>
            <w:tcW w:w="749" w:type="dxa"/>
            <w:vMerge/>
          </w:tcPr>
          <w:p w14:paraId="122A4F67" w14:textId="77777777" w:rsidR="008356CF" w:rsidRPr="002E0EF5" w:rsidRDefault="008356CF" w:rsidP="00925BB1">
            <w:pPr>
              <w:cnfStyle w:val="000000000000" w:firstRow="0" w:lastRow="0" w:firstColumn="0" w:lastColumn="0" w:oddVBand="0" w:evenVBand="0" w:oddHBand="0" w:evenHBand="0" w:firstRowFirstColumn="0" w:firstRowLastColumn="0" w:lastRowFirstColumn="0" w:lastRowLastColumn="0"/>
              <w:rPr>
                <w:szCs w:val="20"/>
                <w:lang w:eastAsia="zh-CN" w:bidi="ar-SA"/>
              </w:rPr>
            </w:pPr>
          </w:p>
        </w:tc>
        <w:tc>
          <w:tcPr>
            <w:tcW w:w="1996" w:type="dxa"/>
            <w:tcBorders>
              <w:top w:val="single" w:sz="4" w:space="0" w:color="B4C6E7" w:themeColor="accent1" w:themeTint="66"/>
            </w:tcBorders>
          </w:tcPr>
          <w:p w14:paraId="746969A9" w14:textId="77777777" w:rsidR="008356CF" w:rsidRDefault="00294442" w:rsidP="00925BB1">
            <w:pPr>
              <w:cnfStyle w:val="000000000000" w:firstRow="0" w:lastRow="0" w:firstColumn="0" w:lastColumn="0" w:oddVBand="0" w:evenVBand="0" w:oddHBand="0" w:evenHBand="0" w:firstRowFirstColumn="0" w:firstRowLastColumn="0" w:lastRowFirstColumn="0" w:lastRowLastColumn="0"/>
              <w:rPr>
                <w:szCs w:val="20"/>
                <w:lang w:eastAsia="fr-FR" w:bidi="ar-SA"/>
              </w:rPr>
            </w:pPr>
            <w:r w:rsidRPr="00294442">
              <w:rPr>
                <w:szCs w:val="20"/>
                <w:lang w:eastAsia="fr-FR" w:bidi="ar-SA"/>
              </w:rPr>
              <w:t>≈ 800 MAD / incident, ponctuel</w:t>
            </w:r>
            <w:r>
              <w:rPr>
                <w:szCs w:val="20"/>
                <w:lang w:eastAsia="fr-FR" w:bidi="ar-SA"/>
              </w:rPr>
              <w:t xml:space="preserve"> </w:t>
            </w:r>
          </w:p>
          <w:p w14:paraId="7C34EE8B" w14:textId="40D69AA9" w:rsidR="00294442" w:rsidRPr="002E0EF5" w:rsidRDefault="00294442" w:rsidP="00925BB1">
            <w:pPr>
              <w:cnfStyle w:val="000000000000" w:firstRow="0" w:lastRow="0" w:firstColumn="0" w:lastColumn="0" w:oddVBand="0" w:evenVBand="0" w:oddHBand="0" w:evenHBand="0" w:firstRowFirstColumn="0" w:firstRowLastColumn="0" w:lastRowFirstColumn="0" w:lastRowLastColumn="0"/>
              <w:rPr>
                <w:szCs w:val="20"/>
                <w:lang w:eastAsia="fr-FR" w:bidi="ar-SA"/>
              </w:rPr>
            </w:pPr>
            <w:r w:rsidRPr="00294442">
              <w:rPr>
                <w:szCs w:val="20"/>
                <w:lang w:eastAsia="fr-FR" w:bidi="ar-SA"/>
              </w:rPr>
              <w:t>Intervention manuelle (bottes, gants nitrile, pompe portative, seaux étanches) suivie d’un nettoyage désinfectant.</w:t>
            </w:r>
          </w:p>
        </w:tc>
      </w:tr>
      <w:tr w:rsidR="002E0EF5" w:rsidRPr="002E0EF5" w14:paraId="41DA1FF6" w14:textId="5E6E631E" w:rsidTr="00A01A66">
        <w:tc>
          <w:tcPr>
            <w:cnfStyle w:val="001000000000" w:firstRow="0" w:lastRow="0" w:firstColumn="1" w:lastColumn="0" w:oddVBand="0" w:evenVBand="0" w:oddHBand="0" w:evenHBand="0" w:firstRowFirstColumn="0" w:firstRowLastColumn="0" w:lastRowFirstColumn="0" w:lastRowLastColumn="0"/>
            <w:tcW w:w="1539" w:type="dxa"/>
            <w:vMerge/>
          </w:tcPr>
          <w:p w14:paraId="1083FC36" w14:textId="77777777" w:rsidR="00925BB1" w:rsidRPr="002E0EF5" w:rsidRDefault="00925BB1" w:rsidP="00925BB1">
            <w:pPr>
              <w:rPr>
                <w:b w:val="0"/>
                <w:bCs w:val="0"/>
                <w:szCs w:val="20"/>
                <w:lang w:eastAsia="fr-FR" w:bidi="ar-SA"/>
              </w:rPr>
            </w:pPr>
          </w:p>
        </w:tc>
        <w:tc>
          <w:tcPr>
            <w:tcW w:w="1434" w:type="dxa"/>
            <w:hideMark/>
          </w:tcPr>
          <w:p w14:paraId="0F063425" w14:textId="7BE16245" w:rsidR="00925BB1" w:rsidRPr="007D4572" w:rsidRDefault="00925BB1" w:rsidP="00925BB1">
            <w:pPr>
              <w:cnfStyle w:val="000000000000" w:firstRow="0" w:lastRow="0" w:firstColumn="0" w:lastColumn="0" w:oddVBand="0" w:evenVBand="0" w:oddHBand="0" w:evenHBand="0" w:firstRowFirstColumn="0" w:firstRowLastColumn="0" w:lastRowFirstColumn="0" w:lastRowLastColumn="0"/>
              <w:rPr>
                <w:b/>
                <w:bCs/>
                <w:szCs w:val="20"/>
                <w:lang w:eastAsia="fr-FR" w:bidi="ar-SA"/>
              </w:rPr>
            </w:pPr>
            <w:r w:rsidRPr="007D4572">
              <w:rPr>
                <w:b/>
                <w:bCs/>
                <w:szCs w:val="20"/>
                <w:lang w:eastAsia="fr-FR" w:bidi="ar-SA"/>
              </w:rPr>
              <w:t>Compenser</w:t>
            </w:r>
          </w:p>
        </w:tc>
        <w:tc>
          <w:tcPr>
            <w:tcW w:w="3800" w:type="dxa"/>
            <w:hideMark/>
          </w:tcPr>
          <w:p w14:paraId="7C0B2084" w14:textId="1CC0A1CF" w:rsidR="00925BB1" w:rsidRPr="007D4572" w:rsidRDefault="00925BB1" w:rsidP="00925BB1">
            <w:pPr>
              <w:cnfStyle w:val="000000000000" w:firstRow="0" w:lastRow="0" w:firstColumn="0" w:lastColumn="0" w:oddVBand="0" w:evenVBand="0" w:oddHBand="0" w:evenHBand="0" w:firstRowFirstColumn="0" w:firstRowLastColumn="0" w:lastRowFirstColumn="0" w:lastRowLastColumn="0"/>
              <w:rPr>
                <w:szCs w:val="20"/>
                <w:lang w:eastAsia="fr-FR" w:bidi="ar-SA"/>
              </w:rPr>
            </w:pPr>
            <w:r w:rsidRPr="007D4572">
              <w:rPr>
                <w:szCs w:val="20"/>
                <w:lang w:eastAsia="fr-FR" w:bidi="ar-SA"/>
              </w:rPr>
              <w:t>Restauration du site après enlèvement des sanitaires (nettoyage, stabilisation).</w:t>
            </w:r>
          </w:p>
        </w:tc>
        <w:tc>
          <w:tcPr>
            <w:tcW w:w="1949" w:type="dxa"/>
            <w:hideMark/>
          </w:tcPr>
          <w:p w14:paraId="51EB672E" w14:textId="77777777" w:rsidR="00925BB1" w:rsidRPr="007D4572" w:rsidRDefault="00925BB1" w:rsidP="00925BB1">
            <w:pPr>
              <w:cnfStyle w:val="000000000000" w:firstRow="0" w:lastRow="0" w:firstColumn="0" w:lastColumn="0" w:oddVBand="0" w:evenVBand="0" w:oddHBand="0" w:evenHBand="0" w:firstRowFirstColumn="0" w:firstRowLastColumn="0" w:lastRowFirstColumn="0" w:lastRowLastColumn="0"/>
              <w:rPr>
                <w:szCs w:val="20"/>
                <w:lang w:eastAsia="fr-FR" w:bidi="ar-SA"/>
              </w:rPr>
            </w:pPr>
            <w:r w:rsidRPr="007D4572">
              <w:rPr>
                <w:szCs w:val="20"/>
                <w:lang w:eastAsia="fr-FR" w:bidi="ar-SA"/>
              </w:rPr>
              <w:t>Rapport de fin de chantier / photos avant-après</w:t>
            </w:r>
          </w:p>
        </w:tc>
        <w:tc>
          <w:tcPr>
            <w:tcW w:w="1068" w:type="dxa"/>
            <w:hideMark/>
          </w:tcPr>
          <w:p w14:paraId="4EE23A09" w14:textId="3EB4433B" w:rsidR="00925BB1" w:rsidRPr="007D4572" w:rsidRDefault="00925BB1" w:rsidP="00925BB1">
            <w:pPr>
              <w:cnfStyle w:val="000000000000" w:firstRow="0" w:lastRow="0" w:firstColumn="0" w:lastColumn="0" w:oddVBand="0" w:evenVBand="0" w:oddHBand="0" w:evenHBand="0" w:firstRowFirstColumn="0" w:firstRowLastColumn="0" w:lastRowFirstColumn="0" w:lastRowLastColumn="0"/>
              <w:rPr>
                <w:szCs w:val="20"/>
                <w:lang w:eastAsia="fr-FR" w:bidi="ar-SA"/>
              </w:rPr>
            </w:pPr>
            <w:r w:rsidRPr="002E0EF5">
              <w:rPr>
                <w:szCs w:val="20"/>
                <w:lang w:eastAsia="zh-CN" w:bidi="ar-SA"/>
              </w:rPr>
              <w:t>EPC / Sous-traitants</w:t>
            </w:r>
          </w:p>
        </w:tc>
        <w:tc>
          <w:tcPr>
            <w:tcW w:w="1599" w:type="dxa"/>
            <w:hideMark/>
          </w:tcPr>
          <w:p w14:paraId="57D93B71" w14:textId="7A775D7E" w:rsidR="00925BB1" w:rsidRPr="007D4572" w:rsidRDefault="00925BB1" w:rsidP="00925BB1">
            <w:pPr>
              <w:cnfStyle w:val="000000000000" w:firstRow="0" w:lastRow="0" w:firstColumn="0" w:lastColumn="0" w:oddVBand="0" w:evenVBand="0" w:oddHBand="0" w:evenHBand="0" w:firstRowFirstColumn="0" w:firstRowLastColumn="0" w:lastRowFirstColumn="0" w:lastRowLastColumn="0"/>
              <w:rPr>
                <w:szCs w:val="20"/>
                <w:lang w:eastAsia="fr-FR" w:bidi="ar-SA"/>
              </w:rPr>
            </w:pPr>
            <w:r w:rsidRPr="002E0EF5">
              <w:rPr>
                <w:szCs w:val="20"/>
                <w:lang w:eastAsia="zh-CN" w:bidi="ar-SA"/>
              </w:rPr>
              <w:t xml:space="preserve">Bureau de contrôle / Consultant </w:t>
            </w:r>
            <w:r w:rsidRPr="002E0EF5">
              <w:rPr>
                <w:szCs w:val="20"/>
                <w:lang w:eastAsia="zh-CN" w:bidi="ar-SA"/>
              </w:rPr>
              <w:lastRenderedPageBreak/>
              <w:t>mandaté par l’ONDA</w:t>
            </w:r>
          </w:p>
        </w:tc>
        <w:tc>
          <w:tcPr>
            <w:tcW w:w="749" w:type="dxa"/>
            <w:hideMark/>
          </w:tcPr>
          <w:p w14:paraId="43CA4587" w14:textId="59F01D30" w:rsidR="00925BB1" w:rsidRPr="007D4572" w:rsidRDefault="00925BB1" w:rsidP="00925BB1">
            <w:pPr>
              <w:cnfStyle w:val="000000000000" w:firstRow="0" w:lastRow="0" w:firstColumn="0" w:lastColumn="0" w:oddVBand="0" w:evenVBand="0" w:oddHBand="0" w:evenHBand="0" w:firstRowFirstColumn="0" w:firstRowLastColumn="0" w:lastRowFirstColumn="0" w:lastRowLastColumn="0"/>
              <w:rPr>
                <w:szCs w:val="20"/>
                <w:lang w:eastAsia="fr-FR" w:bidi="ar-SA"/>
              </w:rPr>
            </w:pPr>
            <w:r w:rsidRPr="002E0EF5">
              <w:rPr>
                <w:szCs w:val="20"/>
                <w:lang w:eastAsia="zh-CN" w:bidi="ar-SA"/>
              </w:rPr>
              <w:lastRenderedPageBreak/>
              <w:t>ONDA</w:t>
            </w:r>
          </w:p>
        </w:tc>
        <w:tc>
          <w:tcPr>
            <w:tcW w:w="1996" w:type="dxa"/>
          </w:tcPr>
          <w:p w14:paraId="4BDD4C24" w14:textId="1A453BCA" w:rsidR="00925BB1" w:rsidRPr="00294442" w:rsidRDefault="00294442" w:rsidP="00925BB1">
            <w:pPr>
              <w:cnfStyle w:val="000000000000" w:firstRow="0" w:lastRow="0" w:firstColumn="0" w:lastColumn="0" w:oddVBand="0" w:evenVBand="0" w:oddHBand="0" w:evenHBand="0" w:firstRowFirstColumn="0" w:firstRowLastColumn="0" w:lastRowFirstColumn="0" w:lastRowLastColumn="0"/>
              <w:rPr>
                <w:szCs w:val="20"/>
                <w:lang w:eastAsia="fr-FR" w:bidi="ar-SA"/>
              </w:rPr>
            </w:pPr>
            <w:r w:rsidRPr="00294442">
              <w:rPr>
                <w:szCs w:val="20"/>
                <w:lang w:eastAsia="fr-FR" w:bidi="ar-SA"/>
              </w:rPr>
              <w:t xml:space="preserve">≈ </w:t>
            </w:r>
            <w:r w:rsidRPr="00D60FC9">
              <w:rPr>
                <w:szCs w:val="20"/>
                <w:lang w:eastAsia="fr-FR" w:bidi="ar-SA"/>
              </w:rPr>
              <w:t>3 000 – 4 000 MAD / site</w:t>
            </w:r>
            <w:r>
              <w:rPr>
                <w:szCs w:val="20"/>
                <w:lang w:eastAsia="fr-FR" w:bidi="ar-SA"/>
              </w:rPr>
              <w:t xml:space="preserve"> (</w:t>
            </w:r>
            <w:r w:rsidRPr="00294442">
              <w:rPr>
                <w:szCs w:val="20"/>
                <w:lang w:eastAsia="fr-FR" w:bidi="ar-SA"/>
              </w:rPr>
              <w:t>Coût basé sur un terrain moyen de 100 m², incluant main-</w:t>
            </w:r>
            <w:r w:rsidRPr="00294442">
              <w:rPr>
                <w:szCs w:val="20"/>
                <w:lang w:eastAsia="fr-FR" w:bidi="ar-SA"/>
              </w:rPr>
              <w:lastRenderedPageBreak/>
              <w:t>d’œuvre et engin léger.</w:t>
            </w:r>
            <w:r>
              <w:rPr>
                <w:szCs w:val="20"/>
                <w:lang w:eastAsia="fr-FR" w:bidi="ar-SA"/>
              </w:rPr>
              <w:t>)</w:t>
            </w:r>
          </w:p>
        </w:tc>
      </w:tr>
      <w:tr w:rsidR="008356CF" w:rsidRPr="002E0EF5" w14:paraId="772E7E44" w14:textId="2E43688F" w:rsidTr="008356CF">
        <w:trPr>
          <w:trHeight w:val="747"/>
        </w:trPr>
        <w:tc>
          <w:tcPr>
            <w:cnfStyle w:val="001000000000" w:firstRow="0" w:lastRow="0" w:firstColumn="1" w:lastColumn="0" w:oddVBand="0" w:evenVBand="0" w:oddHBand="0" w:evenHBand="0" w:firstRowFirstColumn="0" w:firstRowLastColumn="0" w:lastRowFirstColumn="0" w:lastRowLastColumn="0"/>
            <w:tcW w:w="1539" w:type="dxa"/>
            <w:vMerge w:val="restart"/>
          </w:tcPr>
          <w:p w14:paraId="40462F2E" w14:textId="14B7FE45" w:rsidR="008356CF" w:rsidRPr="002E0EF5" w:rsidRDefault="008356CF" w:rsidP="00925BB1">
            <w:pPr>
              <w:rPr>
                <w:b w:val="0"/>
                <w:bCs w:val="0"/>
                <w:szCs w:val="20"/>
                <w:lang w:eastAsia="fr-FR" w:bidi="ar-SA"/>
              </w:rPr>
            </w:pPr>
            <w:r w:rsidRPr="002E0EF5">
              <w:rPr>
                <w:b w:val="0"/>
                <w:bCs w:val="0"/>
                <w:szCs w:val="20"/>
                <w:lang w:eastAsia="fr-FR" w:bidi="ar-SA"/>
              </w:rPr>
              <w:lastRenderedPageBreak/>
              <w:t>Risque de pollution accidentelle du sol lors des opérations de vidange ou de transfert d’effluents</w:t>
            </w:r>
          </w:p>
        </w:tc>
        <w:tc>
          <w:tcPr>
            <w:tcW w:w="1434" w:type="dxa"/>
            <w:vMerge w:val="restart"/>
            <w:hideMark/>
          </w:tcPr>
          <w:p w14:paraId="4ABD8DDF" w14:textId="24EA0172" w:rsidR="008356CF" w:rsidRPr="007D4572" w:rsidRDefault="008356CF" w:rsidP="00925BB1">
            <w:pPr>
              <w:cnfStyle w:val="000000000000" w:firstRow="0" w:lastRow="0" w:firstColumn="0" w:lastColumn="0" w:oddVBand="0" w:evenVBand="0" w:oddHBand="0" w:evenHBand="0" w:firstRowFirstColumn="0" w:firstRowLastColumn="0" w:lastRowFirstColumn="0" w:lastRowLastColumn="0"/>
              <w:rPr>
                <w:b/>
                <w:bCs/>
                <w:szCs w:val="20"/>
                <w:lang w:eastAsia="fr-FR" w:bidi="ar-SA"/>
              </w:rPr>
            </w:pPr>
            <w:r w:rsidRPr="007D4572">
              <w:rPr>
                <w:b/>
                <w:bCs/>
                <w:szCs w:val="20"/>
                <w:lang w:eastAsia="fr-FR" w:bidi="ar-SA"/>
              </w:rPr>
              <w:t>Éviter</w:t>
            </w:r>
          </w:p>
        </w:tc>
        <w:tc>
          <w:tcPr>
            <w:tcW w:w="3800" w:type="dxa"/>
            <w:tcBorders>
              <w:bottom w:val="single" w:sz="4" w:space="0" w:color="B4C6E7" w:themeColor="accent1" w:themeTint="66"/>
            </w:tcBorders>
            <w:hideMark/>
          </w:tcPr>
          <w:p w14:paraId="64F880B2" w14:textId="0A174661" w:rsidR="008356CF" w:rsidRPr="007D4572" w:rsidRDefault="008356CF" w:rsidP="00925BB1">
            <w:pPr>
              <w:cnfStyle w:val="000000000000" w:firstRow="0" w:lastRow="0" w:firstColumn="0" w:lastColumn="0" w:oddVBand="0" w:evenVBand="0" w:oddHBand="0" w:evenHBand="0" w:firstRowFirstColumn="0" w:firstRowLastColumn="0" w:lastRowFirstColumn="0" w:lastRowLastColumn="0"/>
              <w:rPr>
                <w:szCs w:val="20"/>
                <w:lang w:eastAsia="fr-FR" w:bidi="ar-SA"/>
              </w:rPr>
            </w:pPr>
            <w:r w:rsidRPr="007D4572">
              <w:rPr>
                <w:szCs w:val="20"/>
                <w:lang w:eastAsia="fr-FR" w:bidi="ar-SA"/>
              </w:rPr>
              <w:t>Vidange effectuée exclusivement par prestataire agréé.</w:t>
            </w:r>
          </w:p>
        </w:tc>
        <w:tc>
          <w:tcPr>
            <w:tcW w:w="1949" w:type="dxa"/>
            <w:vMerge w:val="restart"/>
            <w:hideMark/>
          </w:tcPr>
          <w:p w14:paraId="2C6E20F4" w14:textId="77777777" w:rsidR="008356CF" w:rsidRPr="007D4572" w:rsidRDefault="008356CF" w:rsidP="00925BB1">
            <w:pPr>
              <w:cnfStyle w:val="000000000000" w:firstRow="0" w:lastRow="0" w:firstColumn="0" w:lastColumn="0" w:oddVBand="0" w:evenVBand="0" w:oddHBand="0" w:evenHBand="0" w:firstRowFirstColumn="0" w:firstRowLastColumn="0" w:lastRowFirstColumn="0" w:lastRowLastColumn="0"/>
              <w:rPr>
                <w:szCs w:val="20"/>
                <w:lang w:eastAsia="fr-FR" w:bidi="ar-SA"/>
              </w:rPr>
            </w:pPr>
            <w:r w:rsidRPr="007D4572">
              <w:rPr>
                <w:szCs w:val="20"/>
                <w:lang w:eastAsia="fr-FR" w:bidi="ar-SA"/>
              </w:rPr>
              <w:t>Prestataire certifié / conformité visuelle / absence de fuite</w:t>
            </w:r>
          </w:p>
        </w:tc>
        <w:tc>
          <w:tcPr>
            <w:tcW w:w="1068" w:type="dxa"/>
            <w:vMerge w:val="restart"/>
            <w:hideMark/>
          </w:tcPr>
          <w:p w14:paraId="17F306E3" w14:textId="32173C5D" w:rsidR="008356CF" w:rsidRPr="007D4572" w:rsidRDefault="008356CF" w:rsidP="00925BB1">
            <w:pPr>
              <w:cnfStyle w:val="000000000000" w:firstRow="0" w:lastRow="0" w:firstColumn="0" w:lastColumn="0" w:oddVBand="0" w:evenVBand="0" w:oddHBand="0" w:evenHBand="0" w:firstRowFirstColumn="0" w:firstRowLastColumn="0" w:lastRowFirstColumn="0" w:lastRowLastColumn="0"/>
              <w:rPr>
                <w:szCs w:val="20"/>
                <w:lang w:eastAsia="fr-FR" w:bidi="ar-SA"/>
              </w:rPr>
            </w:pPr>
            <w:r w:rsidRPr="002E0EF5">
              <w:rPr>
                <w:szCs w:val="20"/>
                <w:lang w:eastAsia="zh-CN" w:bidi="ar-SA"/>
              </w:rPr>
              <w:t>EPC / Sous-traitants</w:t>
            </w:r>
          </w:p>
        </w:tc>
        <w:tc>
          <w:tcPr>
            <w:tcW w:w="1599" w:type="dxa"/>
            <w:vMerge w:val="restart"/>
            <w:hideMark/>
          </w:tcPr>
          <w:p w14:paraId="615BE890" w14:textId="28D07FE2" w:rsidR="008356CF" w:rsidRPr="007D4572" w:rsidRDefault="008356CF" w:rsidP="00925BB1">
            <w:pPr>
              <w:cnfStyle w:val="000000000000" w:firstRow="0" w:lastRow="0" w:firstColumn="0" w:lastColumn="0" w:oddVBand="0" w:evenVBand="0" w:oddHBand="0" w:evenHBand="0" w:firstRowFirstColumn="0" w:firstRowLastColumn="0" w:lastRowFirstColumn="0" w:lastRowLastColumn="0"/>
              <w:rPr>
                <w:szCs w:val="20"/>
                <w:lang w:eastAsia="fr-FR" w:bidi="ar-SA"/>
              </w:rPr>
            </w:pPr>
            <w:r w:rsidRPr="002E0EF5">
              <w:rPr>
                <w:szCs w:val="20"/>
                <w:lang w:eastAsia="zh-CN" w:bidi="ar-SA"/>
              </w:rPr>
              <w:t>Bureau de contrôle / Consultant mandaté par l’ONDA</w:t>
            </w:r>
          </w:p>
        </w:tc>
        <w:tc>
          <w:tcPr>
            <w:tcW w:w="749" w:type="dxa"/>
            <w:vMerge w:val="restart"/>
            <w:hideMark/>
          </w:tcPr>
          <w:p w14:paraId="1DF5BBB3" w14:textId="217467A2" w:rsidR="008356CF" w:rsidRPr="007D4572" w:rsidRDefault="008356CF" w:rsidP="00925BB1">
            <w:pPr>
              <w:cnfStyle w:val="000000000000" w:firstRow="0" w:lastRow="0" w:firstColumn="0" w:lastColumn="0" w:oddVBand="0" w:evenVBand="0" w:oddHBand="0" w:evenHBand="0" w:firstRowFirstColumn="0" w:firstRowLastColumn="0" w:lastRowFirstColumn="0" w:lastRowLastColumn="0"/>
              <w:rPr>
                <w:szCs w:val="20"/>
                <w:lang w:eastAsia="fr-FR" w:bidi="ar-SA"/>
              </w:rPr>
            </w:pPr>
            <w:r w:rsidRPr="002E0EF5">
              <w:rPr>
                <w:szCs w:val="20"/>
                <w:lang w:eastAsia="zh-CN" w:bidi="ar-SA"/>
              </w:rPr>
              <w:t>ONDA</w:t>
            </w:r>
          </w:p>
        </w:tc>
        <w:tc>
          <w:tcPr>
            <w:tcW w:w="1996" w:type="dxa"/>
            <w:tcBorders>
              <w:bottom w:val="single" w:sz="4" w:space="0" w:color="B4C6E7" w:themeColor="accent1" w:themeTint="66"/>
            </w:tcBorders>
          </w:tcPr>
          <w:p w14:paraId="6B0F1149" w14:textId="6D136CF4" w:rsidR="008356CF" w:rsidRPr="00294442" w:rsidRDefault="00294442" w:rsidP="00925BB1">
            <w:pPr>
              <w:cnfStyle w:val="000000000000" w:firstRow="0" w:lastRow="0" w:firstColumn="0" w:lastColumn="0" w:oddVBand="0" w:evenVBand="0" w:oddHBand="0" w:evenHBand="0" w:firstRowFirstColumn="0" w:firstRowLastColumn="0" w:lastRowFirstColumn="0" w:lastRowLastColumn="0"/>
              <w:rPr>
                <w:szCs w:val="20"/>
                <w:lang w:eastAsia="fr-FR" w:bidi="ar-SA"/>
              </w:rPr>
            </w:pPr>
            <w:r w:rsidRPr="00D60FC9">
              <w:rPr>
                <w:szCs w:val="20"/>
                <w:lang w:eastAsia="fr-FR" w:bidi="ar-SA"/>
              </w:rPr>
              <w:t>5 000 MAD / vidange / latrine</w:t>
            </w:r>
          </w:p>
        </w:tc>
      </w:tr>
      <w:tr w:rsidR="008356CF" w:rsidRPr="002E0EF5" w14:paraId="529D306A" w14:textId="77777777" w:rsidTr="008356CF">
        <w:trPr>
          <w:trHeight w:val="747"/>
        </w:trPr>
        <w:tc>
          <w:tcPr>
            <w:cnfStyle w:val="001000000000" w:firstRow="0" w:lastRow="0" w:firstColumn="1" w:lastColumn="0" w:oddVBand="0" w:evenVBand="0" w:oddHBand="0" w:evenHBand="0" w:firstRowFirstColumn="0" w:firstRowLastColumn="0" w:lastRowFirstColumn="0" w:lastRowLastColumn="0"/>
            <w:tcW w:w="1539" w:type="dxa"/>
            <w:vMerge/>
          </w:tcPr>
          <w:p w14:paraId="6CB29C08" w14:textId="77777777" w:rsidR="008356CF" w:rsidRPr="002E0EF5" w:rsidRDefault="008356CF" w:rsidP="00925BB1">
            <w:pPr>
              <w:rPr>
                <w:szCs w:val="20"/>
                <w:lang w:eastAsia="fr-FR" w:bidi="ar-SA"/>
              </w:rPr>
            </w:pPr>
          </w:p>
        </w:tc>
        <w:tc>
          <w:tcPr>
            <w:tcW w:w="1434" w:type="dxa"/>
            <w:vMerge/>
          </w:tcPr>
          <w:p w14:paraId="1B18D299" w14:textId="77777777" w:rsidR="008356CF" w:rsidRPr="007D4572" w:rsidRDefault="008356CF" w:rsidP="00925BB1">
            <w:pPr>
              <w:cnfStyle w:val="000000000000" w:firstRow="0" w:lastRow="0" w:firstColumn="0" w:lastColumn="0" w:oddVBand="0" w:evenVBand="0" w:oddHBand="0" w:evenHBand="0" w:firstRowFirstColumn="0" w:firstRowLastColumn="0" w:lastRowFirstColumn="0" w:lastRowLastColumn="0"/>
              <w:rPr>
                <w:b/>
                <w:bCs/>
                <w:szCs w:val="20"/>
                <w:lang w:eastAsia="fr-FR" w:bidi="ar-SA"/>
              </w:rPr>
            </w:pPr>
          </w:p>
        </w:tc>
        <w:tc>
          <w:tcPr>
            <w:tcW w:w="3800" w:type="dxa"/>
            <w:tcBorders>
              <w:top w:val="single" w:sz="4" w:space="0" w:color="B4C6E7" w:themeColor="accent1" w:themeTint="66"/>
              <w:bottom w:val="single" w:sz="4" w:space="0" w:color="B4C6E7" w:themeColor="accent1" w:themeTint="66"/>
            </w:tcBorders>
          </w:tcPr>
          <w:p w14:paraId="2253FC71" w14:textId="26659639" w:rsidR="008356CF" w:rsidRPr="007D4572" w:rsidRDefault="008356CF" w:rsidP="008356CF">
            <w:pPr>
              <w:cnfStyle w:val="000000000000" w:firstRow="0" w:lastRow="0" w:firstColumn="0" w:lastColumn="0" w:oddVBand="0" w:evenVBand="0" w:oddHBand="0" w:evenHBand="0" w:firstRowFirstColumn="0" w:firstRowLastColumn="0" w:lastRowFirstColumn="0" w:lastRowLastColumn="0"/>
              <w:rPr>
                <w:szCs w:val="20"/>
                <w:lang w:eastAsia="fr-FR" w:bidi="ar-SA"/>
              </w:rPr>
            </w:pPr>
            <w:r w:rsidRPr="007D4572">
              <w:rPr>
                <w:szCs w:val="20"/>
                <w:lang w:eastAsia="fr-FR" w:bidi="ar-SA"/>
              </w:rPr>
              <w:t>Utilisation de tuyauteries souples renforcées et raccords étanches.</w:t>
            </w:r>
          </w:p>
        </w:tc>
        <w:tc>
          <w:tcPr>
            <w:tcW w:w="1949" w:type="dxa"/>
            <w:vMerge/>
          </w:tcPr>
          <w:p w14:paraId="0B08521F" w14:textId="77777777" w:rsidR="008356CF" w:rsidRPr="007D4572" w:rsidRDefault="008356CF" w:rsidP="00925BB1">
            <w:pPr>
              <w:cnfStyle w:val="000000000000" w:firstRow="0" w:lastRow="0" w:firstColumn="0" w:lastColumn="0" w:oddVBand="0" w:evenVBand="0" w:oddHBand="0" w:evenHBand="0" w:firstRowFirstColumn="0" w:firstRowLastColumn="0" w:lastRowFirstColumn="0" w:lastRowLastColumn="0"/>
              <w:rPr>
                <w:szCs w:val="20"/>
                <w:lang w:eastAsia="fr-FR" w:bidi="ar-SA"/>
              </w:rPr>
            </w:pPr>
          </w:p>
        </w:tc>
        <w:tc>
          <w:tcPr>
            <w:tcW w:w="1068" w:type="dxa"/>
            <w:vMerge/>
          </w:tcPr>
          <w:p w14:paraId="59432549" w14:textId="77777777" w:rsidR="008356CF" w:rsidRPr="002E0EF5" w:rsidRDefault="008356CF" w:rsidP="00925BB1">
            <w:pPr>
              <w:cnfStyle w:val="000000000000" w:firstRow="0" w:lastRow="0" w:firstColumn="0" w:lastColumn="0" w:oddVBand="0" w:evenVBand="0" w:oddHBand="0" w:evenHBand="0" w:firstRowFirstColumn="0" w:firstRowLastColumn="0" w:lastRowFirstColumn="0" w:lastRowLastColumn="0"/>
              <w:rPr>
                <w:szCs w:val="20"/>
                <w:lang w:eastAsia="zh-CN" w:bidi="ar-SA"/>
              </w:rPr>
            </w:pPr>
          </w:p>
        </w:tc>
        <w:tc>
          <w:tcPr>
            <w:tcW w:w="1599" w:type="dxa"/>
            <w:vMerge/>
          </w:tcPr>
          <w:p w14:paraId="7FFA39EE" w14:textId="77777777" w:rsidR="008356CF" w:rsidRPr="002E0EF5" w:rsidRDefault="008356CF" w:rsidP="00925BB1">
            <w:pPr>
              <w:cnfStyle w:val="000000000000" w:firstRow="0" w:lastRow="0" w:firstColumn="0" w:lastColumn="0" w:oddVBand="0" w:evenVBand="0" w:oddHBand="0" w:evenHBand="0" w:firstRowFirstColumn="0" w:firstRowLastColumn="0" w:lastRowFirstColumn="0" w:lastRowLastColumn="0"/>
              <w:rPr>
                <w:szCs w:val="20"/>
                <w:lang w:eastAsia="zh-CN" w:bidi="ar-SA"/>
              </w:rPr>
            </w:pPr>
          </w:p>
        </w:tc>
        <w:tc>
          <w:tcPr>
            <w:tcW w:w="749" w:type="dxa"/>
            <w:vMerge/>
          </w:tcPr>
          <w:p w14:paraId="3D8D6C8D" w14:textId="77777777" w:rsidR="008356CF" w:rsidRPr="002E0EF5" w:rsidRDefault="008356CF" w:rsidP="00925BB1">
            <w:pPr>
              <w:cnfStyle w:val="000000000000" w:firstRow="0" w:lastRow="0" w:firstColumn="0" w:lastColumn="0" w:oddVBand="0" w:evenVBand="0" w:oddHBand="0" w:evenHBand="0" w:firstRowFirstColumn="0" w:firstRowLastColumn="0" w:lastRowFirstColumn="0" w:lastRowLastColumn="0"/>
              <w:rPr>
                <w:szCs w:val="20"/>
                <w:lang w:eastAsia="zh-CN" w:bidi="ar-SA"/>
              </w:rPr>
            </w:pPr>
          </w:p>
        </w:tc>
        <w:tc>
          <w:tcPr>
            <w:tcW w:w="1996" w:type="dxa"/>
            <w:tcBorders>
              <w:top w:val="single" w:sz="4" w:space="0" w:color="B4C6E7" w:themeColor="accent1" w:themeTint="66"/>
              <w:bottom w:val="single" w:sz="4" w:space="0" w:color="B4C6E7" w:themeColor="accent1" w:themeTint="66"/>
            </w:tcBorders>
          </w:tcPr>
          <w:p w14:paraId="758A3842" w14:textId="560B08F1" w:rsidR="008356CF" w:rsidRPr="002E0EF5" w:rsidRDefault="007D3336" w:rsidP="00925BB1">
            <w:pPr>
              <w:cnfStyle w:val="000000000000" w:firstRow="0" w:lastRow="0" w:firstColumn="0" w:lastColumn="0" w:oddVBand="0" w:evenVBand="0" w:oddHBand="0" w:evenHBand="0" w:firstRowFirstColumn="0" w:firstRowLastColumn="0" w:lastRowFirstColumn="0" w:lastRowLastColumn="0"/>
              <w:rPr>
                <w:szCs w:val="20"/>
                <w:lang w:eastAsia="fr-FR" w:bidi="ar-SA"/>
              </w:rPr>
            </w:pPr>
            <w:r w:rsidRPr="007D3336">
              <w:rPr>
                <w:szCs w:val="20"/>
                <w:lang w:eastAsia="fr-FR" w:bidi="ar-SA"/>
              </w:rPr>
              <w:t>Aucun coût spécifique</w:t>
            </w:r>
          </w:p>
        </w:tc>
      </w:tr>
      <w:tr w:rsidR="008356CF" w:rsidRPr="002E0EF5" w14:paraId="225375B4" w14:textId="77777777" w:rsidTr="008356CF">
        <w:trPr>
          <w:trHeight w:val="723"/>
        </w:trPr>
        <w:tc>
          <w:tcPr>
            <w:cnfStyle w:val="001000000000" w:firstRow="0" w:lastRow="0" w:firstColumn="1" w:lastColumn="0" w:oddVBand="0" w:evenVBand="0" w:oddHBand="0" w:evenHBand="0" w:firstRowFirstColumn="0" w:firstRowLastColumn="0" w:lastRowFirstColumn="0" w:lastRowLastColumn="0"/>
            <w:tcW w:w="1539" w:type="dxa"/>
            <w:vMerge/>
          </w:tcPr>
          <w:p w14:paraId="017F0E1B" w14:textId="77777777" w:rsidR="008356CF" w:rsidRPr="002E0EF5" w:rsidRDefault="008356CF" w:rsidP="00925BB1">
            <w:pPr>
              <w:rPr>
                <w:szCs w:val="20"/>
                <w:lang w:eastAsia="fr-FR" w:bidi="ar-SA"/>
              </w:rPr>
            </w:pPr>
          </w:p>
        </w:tc>
        <w:tc>
          <w:tcPr>
            <w:tcW w:w="1434" w:type="dxa"/>
            <w:vMerge/>
          </w:tcPr>
          <w:p w14:paraId="024CCCBF" w14:textId="77777777" w:rsidR="008356CF" w:rsidRPr="007D4572" w:rsidRDefault="008356CF" w:rsidP="00925BB1">
            <w:pPr>
              <w:cnfStyle w:val="000000000000" w:firstRow="0" w:lastRow="0" w:firstColumn="0" w:lastColumn="0" w:oddVBand="0" w:evenVBand="0" w:oddHBand="0" w:evenHBand="0" w:firstRowFirstColumn="0" w:firstRowLastColumn="0" w:lastRowFirstColumn="0" w:lastRowLastColumn="0"/>
              <w:rPr>
                <w:b/>
                <w:bCs/>
                <w:szCs w:val="20"/>
                <w:lang w:eastAsia="fr-FR" w:bidi="ar-SA"/>
              </w:rPr>
            </w:pPr>
          </w:p>
        </w:tc>
        <w:tc>
          <w:tcPr>
            <w:tcW w:w="3800" w:type="dxa"/>
            <w:tcBorders>
              <w:top w:val="single" w:sz="4" w:space="0" w:color="B4C6E7" w:themeColor="accent1" w:themeTint="66"/>
            </w:tcBorders>
          </w:tcPr>
          <w:p w14:paraId="575771EF" w14:textId="77777777" w:rsidR="008356CF" w:rsidRPr="007D4572" w:rsidRDefault="008356CF" w:rsidP="008356CF">
            <w:pPr>
              <w:cnfStyle w:val="000000000000" w:firstRow="0" w:lastRow="0" w:firstColumn="0" w:lastColumn="0" w:oddVBand="0" w:evenVBand="0" w:oddHBand="0" w:evenHBand="0" w:firstRowFirstColumn="0" w:firstRowLastColumn="0" w:lastRowFirstColumn="0" w:lastRowLastColumn="0"/>
              <w:rPr>
                <w:szCs w:val="20"/>
                <w:lang w:eastAsia="fr-FR" w:bidi="ar-SA"/>
              </w:rPr>
            </w:pPr>
            <w:r w:rsidRPr="007D4572">
              <w:rPr>
                <w:szCs w:val="20"/>
                <w:lang w:eastAsia="fr-FR" w:bidi="ar-SA"/>
              </w:rPr>
              <w:t>Aire de vidange aménagée avec cuvette de rétention.</w:t>
            </w:r>
          </w:p>
        </w:tc>
        <w:tc>
          <w:tcPr>
            <w:tcW w:w="1949" w:type="dxa"/>
            <w:vMerge/>
          </w:tcPr>
          <w:p w14:paraId="50BACC27" w14:textId="77777777" w:rsidR="008356CF" w:rsidRPr="007D4572" w:rsidRDefault="008356CF" w:rsidP="00925BB1">
            <w:pPr>
              <w:cnfStyle w:val="000000000000" w:firstRow="0" w:lastRow="0" w:firstColumn="0" w:lastColumn="0" w:oddVBand="0" w:evenVBand="0" w:oddHBand="0" w:evenHBand="0" w:firstRowFirstColumn="0" w:firstRowLastColumn="0" w:lastRowFirstColumn="0" w:lastRowLastColumn="0"/>
              <w:rPr>
                <w:szCs w:val="20"/>
                <w:lang w:eastAsia="fr-FR" w:bidi="ar-SA"/>
              </w:rPr>
            </w:pPr>
          </w:p>
        </w:tc>
        <w:tc>
          <w:tcPr>
            <w:tcW w:w="1068" w:type="dxa"/>
            <w:vMerge/>
          </w:tcPr>
          <w:p w14:paraId="2936DC18" w14:textId="77777777" w:rsidR="008356CF" w:rsidRPr="002E0EF5" w:rsidRDefault="008356CF" w:rsidP="00925BB1">
            <w:pPr>
              <w:cnfStyle w:val="000000000000" w:firstRow="0" w:lastRow="0" w:firstColumn="0" w:lastColumn="0" w:oddVBand="0" w:evenVBand="0" w:oddHBand="0" w:evenHBand="0" w:firstRowFirstColumn="0" w:firstRowLastColumn="0" w:lastRowFirstColumn="0" w:lastRowLastColumn="0"/>
              <w:rPr>
                <w:szCs w:val="20"/>
                <w:lang w:eastAsia="zh-CN" w:bidi="ar-SA"/>
              </w:rPr>
            </w:pPr>
          </w:p>
        </w:tc>
        <w:tc>
          <w:tcPr>
            <w:tcW w:w="1599" w:type="dxa"/>
            <w:vMerge/>
          </w:tcPr>
          <w:p w14:paraId="38A65C16" w14:textId="77777777" w:rsidR="008356CF" w:rsidRPr="002E0EF5" w:rsidRDefault="008356CF" w:rsidP="00925BB1">
            <w:pPr>
              <w:cnfStyle w:val="000000000000" w:firstRow="0" w:lastRow="0" w:firstColumn="0" w:lastColumn="0" w:oddVBand="0" w:evenVBand="0" w:oddHBand="0" w:evenHBand="0" w:firstRowFirstColumn="0" w:firstRowLastColumn="0" w:lastRowFirstColumn="0" w:lastRowLastColumn="0"/>
              <w:rPr>
                <w:szCs w:val="20"/>
                <w:lang w:eastAsia="zh-CN" w:bidi="ar-SA"/>
              </w:rPr>
            </w:pPr>
          </w:p>
        </w:tc>
        <w:tc>
          <w:tcPr>
            <w:tcW w:w="749" w:type="dxa"/>
            <w:vMerge/>
          </w:tcPr>
          <w:p w14:paraId="612789E3" w14:textId="77777777" w:rsidR="008356CF" w:rsidRPr="002E0EF5" w:rsidRDefault="008356CF" w:rsidP="00925BB1">
            <w:pPr>
              <w:cnfStyle w:val="000000000000" w:firstRow="0" w:lastRow="0" w:firstColumn="0" w:lastColumn="0" w:oddVBand="0" w:evenVBand="0" w:oddHBand="0" w:evenHBand="0" w:firstRowFirstColumn="0" w:firstRowLastColumn="0" w:lastRowFirstColumn="0" w:lastRowLastColumn="0"/>
              <w:rPr>
                <w:szCs w:val="20"/>
                <w:lang w:eastAsia="zh-CN" w:bidi="ar-SA"/>
              </w:rPr>
            </w:pPr>
          </w:p>
        </w:tc>
        <w:tc>
          <w:tcPr>
            <w:tcW w:w="1996" w:type="dxa"/>
            <w:tcBorders>
              <w:top w:val="single" w:sz="4" w:space="0" w:color="B4C6E7" w:themeColor="accent1" w:themeTint="66"/>
            </w:tcBorders>
          </w:tcPr>
          <w:p w14:paraId="44E1B7C2" w14:textId="0D79988A" w:rsidR="008356CF" w:rsidRPr="002E0EF5" w:rsidRDefault="007D3336" w:rsidP="00925BB1">
            <w:pPr>
              <w:cnfStyle w:val="000000000000" w:firstRow="0" w:lastRow="0" w:firstColumn="0" w:lastColumn="0" w:oddVBand="0" w:evenVBand="0" w:oddHBand="0" w:evenHBand="0" w:firstRowFirstColumn="0" w:firstRowLastColumn="0" w:lastRowFirstColumn="0" w:lastRowLastColumn="0"/>
              <w:rPr>
                <w:szCs w:val="20"/>
                <w:lang w:eastAsia="fr-FR" w:bidi="ar-SA"/>
              </w:rPr>
            </w:pPr>
            <w:r w:rsidRPr="007D3336">
              <w:rPr>
                <w:szCs w:val="20"/>
                <w:lang w:eastAsia="fr-FR" w:bidi="ar-SA"/>
              </w:rPr>
              <w:t>≈ 2 500 – 3 000 MAD / unité</w:t>
            </w:r>
            <w:r>
              <w:rPr>
                <w:szCs w:val="20"/>
                <w:lang w:eastAsia="fr-FR" w:bidi="ar-SA"/>
              </w:rPr>
              <w:t xml:space="preserve"> (</w:t>
            </w:r>
            <w:r w:rsidRPr="007D3336">
              <w:rPr>
                <w:szCs w:val="20"/>
                <w:lang w:eastAsia="fr-FR" w:bidi="ar-SA"/>
              </w:rPr>
              <w:t>Création d’une dalle béton étanche (10 m² × 250 MAD/m²</w:t>
            </w:r>
            <w:r>
              <w:rPr>
                <w:szCs w:val="20"/>
                <w:lang w:eastAsia="fr-FR" w:bidi="ar-SA"/>
              </w:rPr>
              <w:t>))</w:t>
            </w:r>
          </w:p>
        </w:tc>
      </w:tr>
      <w:tr w:rsidR="008356CF" w:rsidRPr="002E0EF5" w14:paraId="7712EAE5" w14:textId="3C170778" w:rsidTr="008356CF">
        <w:trPr>
          <w:trHeight w:val="747"/>
        </w:trPr>
        <w:tc>
          <w:tcPr>
            <w:cnfStyle w:val="001000000000" w:firstRow="0" w:lastRow="0" w:firstColumn="1" w:lastColumn="0" w:oddVBand="0" w:evenVBand="0" w:oddHBand="0" w:evenHBand="0" w:firstRowFirstColumn="0" w:firstRowLastColumn="0" w:lastRowFirstColumn="0" w:lastRowLastColumn="0"/>
            <w:tcW w:w="1539" w:type="dxa"/>
            <w:vMerge/>
          </w:tcPr>
          <w:p w14:paraId="3A18EB55" w14:textId="77777777" w:rsidR="008356CF" w:rsidRPr="002E0EF5" w:rsidRDefault="008356CF" w:rsidP="00925BB1">
            <w:pPr>
              <w:rPr>
                <w:b w:val="0"/>
                <w:bCs w:val="0"/>
                <w:szCs w:val="20"/>
                <w:lang w:eastAsia="fr-FR" w:bidi="ar-SA"/>
              </w:rPr>
            </w:pPr>
          </w:p>
        </w:tc>
        <w:tc>
          <w:tcPr>
            <w:tcW w:w="1434" w:type="dxa"/>
            <w:vMerge w:val="restart"/>
            <w:hideMark/>
          </w:tcPr>
          <w:p w14:paraId="4DAEF867" w14:textId="5F8CDD76" w:rsidR="008356CF" w:rsidRPr="007D4572" w:rsidRDefault="008356CF" w:rsidP="00925BB1">
            <w:pPr>
              <w:cnfStyle w:val="000000000000" w:firstRow="0" w:lastRow="0" w:firstColumn="0" w:lastColumn="0" w:oddVBand="0" w:evenVBand="0" w:oddHBand="0" w:evenHBand="0" w:firstRowFirstColumn="0" w:firstRowLastColumn="0" w:lastRowFirstColumn="0" w:lastRowLastColumn="0"/>
              <w:rPr>
                <w:b/>
                <w:bCs/>
                <w:szCs w:val="20"/>
                <w:lang w:eastAsia="fr-FR" w:bidi="ar-SA"/>
              </w:rPr>
            </w:pPr>
            <w:r w:rsidRPr="007D4572">
              <w:rPr>
                <w:b/>
                <w:bCs/>
                <w:szCs w:val="20"/>
                <w:lang w:eastAsia="fr-FR" w:bidi="ar-SA"/>
              </w:rPr>
              <w:t>Réduire</w:t>
            </w:r>
          </w:p>
        </w:tc>
        <w:tc>
          <w:tcPr>
            <w:tcW w:w="3800" w:type="dxa"/>
            <w:tcBorders>
              <w:bottom w:val="single" w:sz="4" w:space="0" w:color="B4C6E7" w:themeColor="accent1" w:themeTint="66"/>
            </w:tcBorders>
            <w:hideMark/>
          </w:tcPr>
          <w:p w14:paraId="4C7C7171" w14:textId="4513B991" w:rsidR="008356CF" w:rsidRPr="007D4572" w:rsidRDefault="008356CF" w:rsidP="00925BB1">
            <w:pPr>
              <w:cnfStyle w:val="000000000000" w:firstRow="0" w:lastRow="0" w:firstColumn="0" w:lastColumn="0" w:oddVBand="0" w:evenVBand="0" w:oddHBand="0" w:evenHBand="0" w:firstRowFirstColumn="0" w:firstRowLastColumn="0" w:lastRowFirstColumn="0" w:lastRowLastColumn="0"/>
              <w:rPr>
                <w:szCs w:val="20"/>
                <w:lang w:eastAsia="fr-FR" w:bidi="ar-SA"/>
              </w:rPr>
            </w:pPr>
            <w:r w:rsidRPr="007D4572">
              <w:rPr>
                <w:szCs w:val="20"/>
                <w:lang w:eastAsia="fr-FR" w:bidi="ar-SA"/>
              </w:rPr>
              <w:t>Surveillance visuelle pendant les opérations de vidange.</w:t>
            </w:r>
          </w:p>
        </w:tc>
        <w:tc>
          <w:tcPr>
            <w:tcW w:w="1949" w:type="dxa"/>
            <w:vMerge w:val="restart"/>
            <w:hideMark/>
          </w:tcPr>
          <w:p w14:paraId="5D18D6B6" w14:textId="77777777" w:rsidR="008356CF" w:rsidRPr="007D4572" w:rsidRDefault="008356CF" w:rsidP="00925BB1">
            <w:pPr>
              <w:cnfStyle w:val="000000000000" w:firstRow="0" w:lastRow="0" w:firstColumn="0" w:lastColumn="0" w:oddVBand="0" w:evenVBand="0" w:oddHBand="0" w:evenHBand="0" w:firstRowFirstColumn="0" w:firstRowLastColumn="0" w:lastRowFirstColumn="0" w:lastRowLastColumn="0"/>
              <w:rPr>
                <w:szCs w:val="20"/>
                <w:lang w:eastAsia="fr-FR" w:bidi="ar-SA"/>
              </w:rPr>
            </w:pPr>
            <w:r w:rsidRPr="007D4572">
              <w:rPr>
                <w:szCs w:val="20"/>
                <w:lang w:eastAsia="fr-FR" w:bidi="ar-SA"/>
              </w:rPr>
              <w:t>Nombre d’incidents signalés / temps de réaction</w:t>
            </w:r>
          </w:p>
        </w:tc>
        <w:tc>
          <w:tcPr>
            <w:tcW w:w="1068" w:type="dxa"/>
            <w:vMerge w:val="restart"/>
            <w:hideMark/>
          </w:tcPr>
          <w:p w14:paraId="1CF1FC14" w14:textId="7A4DB3F3" w:rsidR="008356CF" w:rsidRPr="007D4572" w:rsidRDefault="008356CF" w:rsidP="00925BB1">
            <w:pPr>
              <w:cnfStyle w:val="000000000000" w:firstRow="0" w:lastRow="0" w:firstColumn="0" w:lastColumn="0" w:oddVBand="0" w:evenVBand="0" w:oddHBand="0" w:evenHBand="0" w:firstRowFirstColumn="0" w:firstRowLastColumn="0" w:lastRowFirstColumn="0" w:lastRowLastColumn="0"/>
              <w:rPr>
                <w:szCs w:val="20"/>
                <w:lang w:eastAsia="fr-FR" w:bidi="ar-SA"/>
              </w:rPr>
            </w:pPr>
            <w:r w:rsidRPr="002E0EF5">
              <w:rPr>
                <w:szCs w:val="20"/>
                <w:lang w:eastAsia="zh-CN" w:bidi="ar-SA"/>
              </w:rPr>
              <w:t>EPC / Sous-traitants</w:t>
            </w:r>
          </w:p>
        </w:tc>
        <w:tc>
          <w:tcPr>
            <w:tcW w:w="1599" w:type="dxa"/>
            <w:vMerge w:val="restart"/>
            <w:hideMark/>
          </w:tcPr>
          <w:p w14:paraId="0A605DB1" w14:textId="4441DEA2" w:rsidR="008356CF" w:rsidRPr="007D4572" w:rsidRDefault="008356CF" w:rsidP="00925BB1">
            <w:pPr>
              <w:cnfStyle w:val="000000000000" w:firstRow="0" w:lastRow="0" w:firstColumn="0" w:lastColumn="0" w:oddVBand="0" w:evenVBand="0" w:oddHBand="0" w:evenHBand="0" w:firstRowFirstColumn="0" w:firstRowLastColumn="0" w:lastRowFirstColumn="0" w:lastRowLastColumn="0"/>
              <w:rPr>
                <w:szCs w:val="20"/>
                <w:lang w:eastAsia="fr-FR" w:bidi="ar-SA"/>
              </w:rPr>
            </w:pPr>
            <w:r w:rsidRPr="002E0EF5">
              <w:rPr>
                <w:szCs w:val="20"/>
                <w:lang w:eastAsia="zh-CN" w:bidi="ar-SA"/>
              </w:rPr>
              <w:t>Bureau de contrôle / Consultant mandaté par l’ONDA</w:t>
            </w:r>
          </w:p>
        </w:tc>
        <w:tc>
          <w:tcPr>
            <w:tcW w:w="749" w:type="dxa"/>
            <w:vMerge w:val="restart"/>
            <w:hideMark/>
          </w:tcPr>
          <w:p w14:paraId="2DF6FB49" w14:textId="54FE661A" w:rsidR="008356CF" w:rsidRPr="007D4572" w:rsidRDefault="008356CF" w:rsidP="00925BB1">
            <w:pPr>
              <w:cnfStyle w:val="000000000000" w:firstRow="0" w:lastRow="0" w:firstColumn="0" w:lastColumn="0" w:oddVBand="0" w:evenVBand="0" w:oddHBand="0" w:evenHBand="0" w:firstRowFirstColumn="0" w:firstRowLastColumn="0" w:lastRowFirstColumn="0" w:lastRowLastColumn="0"/>
              <w:rPr>
                <w:szCs w:val="20"/>
                <w:lang w:eastAsia="fr-FR" w:bidi="ar-SA"/>
              </w:rPr>
            </w:pPr>
            <w:r w:rsidRPr="002E0EF5">
              <w:rPr>
                <w:szCs w:val="20"/>
                <w:lang w:eastAsia="zh-CN" w:bidi="ar-SA"/>
              </w:rPr>
              <w:t>ONDA</w:t>
            </w:r>
          </w:p>
        </w:tc>
        <w:tc>
          <w:tcPr>
            <w:tcW w:w="1996" w:type="dxa"/>
            <w:tcBorders>
              <w:bottom w:val="single" w:sz="4" w:space="0" w:color="B4C6E7" w:themeColor="accent1" w:themeTint="66"/>
            </w:tcBorders>
          </w:tcPr>
          <w:p w14:paraId="5A865A70" w14:textId="1D47ABCD" w:rsidR="008356CF" w:rsidRPr="002E0EF5" w:rsidRDefault="007D3336" w:rsidP="00925BB1">
            <w:pPr>
              <w:cnfStyle w:val="000000000000" w:firstRow="0" w:lastRow="0" w:firstColumn="0" w:lastColumn="0" w:oddVBand="0" w:evenVBand="0" w:oddHBand="0" w:evenHBand="0" w:firstRowFirstColumn="0" w:firstRowLastColumn="0" w:lastRowFirstColumn="0" w:lastRowLastColumn="0"/>
              <w:rPr>
                <w:szCs w:val="20"/>
                <w:lang w:eastAsia="fr-FR" w:bidi="ar-SA"/>
              </w:rPr>
            </w:pPr>
            <w:r w:rsidRPr="007D3336">
              <w:rPr>
                <w:szCs w:val="20"/>
                <w:lang w:eastAsia="fr-FR" w:bidi="ar-SA"/>
              </w:rPr>
              <w:t>Aucun coût spécifique (temps inclus dans mission HSE)</w:t>
            </w:r>
          </w:p>
        </w:tc>
      </w:tr>
      <w:tr w:rsidR="008356CF" w:rsidRPr="002E0EF5" w14:paraId="01C84820" w14:textId="77777777" w:rsidTr="008356CF">
        <w:trPr>
          <w:trHeight w:val="427"/>
        </w:trPr>
        <w:tc>
          <w:tcPr>
            <w:cnfStyle w:val="001000000000" w:firstRow="0" w:lastRow="0" w:firstColumn="1" w:lastColumn="0" w:oddVBand="0" w:evenVBand="0" w:oddHBand="0" w:evenHBand="0" w:firstRowFirstColumn="0" w:firstRowLastColumn="0" w:lastRowFirstColumn="0" w:lastRowLastColumn="0"/>
            <w:tcW w:w="1539" w:type="dxa"/>
            <w:vMerge/>
          </w:tcPr>
          <w:p w14:paraId="08EF670F" w14:textId="77777777" w:rsidR="008356CF" w:rsidRPr="002E0EF5" w:rsidRDefault="008356CF" w:rsidP="00925BB1">
            <w:pPr>
              <w:rPr>
                <w:b w:val="0"/>
                <w:bCs w:val="0"/>
                <w:szCs w:val="20"/>
                <w:lang w:eastAsia="fr-FR" w:bidi="ar-SA"/>
              </w:rPr>
            </w:pPr>
          </w:p>
        </w:tc>
        <w:tc>
          <w:tcPr>
            <w:tcW w:w="1434" w:type="dxa"/>
            <w:vMerge/>
          </w:tcPr>
          <w:p w14:paraId="63515229" w14:textId="77777777" w:rsidR="008356CF" w:rsidRPr="007D4572" w:rsidRDefault="008356CF" w:rsidP="00925BB1">
            <w:pPr>
              <w:cnfStyle w:val="000000000000" w:firstRow="0" w:lastRow="0" w:firstColumn="0" w:lastColumn="0" w:oddVBand="0" w:evenVBand="0" w:oddHBand="0" w:evenHBand="0" w:firstRowFirstColumn="0" w:firstRowLastColumn="0" w:lastRowFirstColumn="0" w:lastRowLastColumn="0"/>
              <w:rPr>
                <w:b/>
                <w:bCs/>
                <w:szCs w:val="20"/>
                <w:lang w:eastAsia="fr-FR" w:bidi="ar-SA"/>
              </w:rPr>
            </w:pPr>
          </w:p>
        </w:tc>
        <w:tc>
          <w:tcPr>
            <w:tcW w:w="3800" w:type="dxa"/>
            <w:tcBorders>
              <w:top w:val="single" w:sz="4" w:space="0" w:color="B4C6E7" w:themeColor="accent1" w:themeTint="66"/>
              <w:bottom w:val="single" w:sz="4" w:space="0" w:color="B4C6E7" w:themeColor="accent1" w:themeTint="66"/>
            </w:tcBorders>
          </w:tcPr>
          <w:p w14:paraId="41C9D313" w14:textId="0FA0B397" w:rsidR="008356CF" w:rsidRPr="007D4572" w:rsidRDefault="008356CF" w:rsidP="008356CF">
            <w:pPr>
              <w:cnfStyle w:val="000000000000" w:firstRow="0" w:lastRow="0" w:firstColumn="0" w:lastColumn="0" w:oddVBand="0" w:evenVBand="0" w:oddHBand="0" w:evenHBand="0" w:firstRowFirstColumn="0" w:firstRowLastColumn="0" w:lastRowFirstColumn="0" w:lastRowLastColumn="0"/>
              <w:rPr>
                <w:szCs w:val="20"/>
                <w:lang w:eastAsia="fr-FR" w:bidi="ar-SA"/>
              </w:rPr>
            </w:pPr>
            <w:r w:rsidRPr="007D4572">
              <w:rPr>
                <w:szCs w:val="20"/>
                <w:lang w:eastAsia="fr-FR" w:bidi="ar-SA"/>
              </w:rPr>
              <w:t>Arrêt immédiat du pompage en cas de fuite.</w:t>
            </w:r>
          </w:p>
        </w:tc>
        <w:tc>
          <w:tcPr>
            <w:tcW w:w="1949" w:type="dxa"/>
            <w:vMerge/>
          </w:tcPr>
          <w:p w14:paraId="76B3541E" w14:textId="77777777" w:rsidR="008356CF" w:rsidRPr="007D4572" w:rsidRDefault="008356CF" w:rsidP="00925BB1">
            <w:pPr>
              <w:cnfStyle w:val="000000000000" w:firstRow="0" w:lastRow="0" w:firstColumn="0" w:lastColumn="0" w:oddVBand="0" w:evenVBand="0" w:oddHBand="0" w:evenHBand="0" w:firstRowFirstColumn="0" w:firstRowLastColumn="0" w:lastRowFirstColumn="0" w:lastRowLastColumn="0"/>
              <w:rPr>
                <w:szCs w:val="20"/>
                <w:lang w:eastAsia="fr-FR" w:bidi="ar-SA"/>
              </w:rPr>
            </w:pPr>
          </w:p>
        </w:tc>
        <w:tc>
          <w:tcPr>
            <w:tcW w:w="1068" w:type="dxa"/>
            <w:vMerge/>
          </w:tcPr>
          <w:p w14:paraId="58AF0965" w14:textId="77777777" w:rsidR="008356CF" w:rsidRPr="002E0EF5" w:rsidRDefault="008356CF" w:rsidP="00925BB1">
            <w:pPr>
              <w:cnfStyle w:val="000000000000" w:firstRow="0" w:lastRow="0" w:firstColumn="0" w:lastColumn="0" w:oddVBand="0" w:evenVBand="0" w:oddHBand="0" w:evenHBand="0" w:firstRowFirstColumn="0" w:firstRowLastColumn="0" w:lastRowFirstColumn="0" w:lastRowLastColumn="0"/>
              <w:rPr>
                <w:szCs w:val="20"/>
                <w:lang w:eastAsia="zh-CN" w:bidi="ar-SA"/>
              </w:rPr>
            </w:pPr>
          </w:p>
        </w:tc>
        <w:tc>
          <w:tcPr>
            <w:tcW w:w="1599" w:type="dxa"/>
            <w:vMerge/>
          </w:tcPr>
          <w:p w14:paraId="4E084354" w14:textId="77777777" w:rsidR="008356CF" w:rsidRPr="002E0EF5" w:rsidRDefault="008356CF" w:rsidP="00925BB1">
            <w:pPr>
              <w:cnfStyle w:val="000000000000" w:firstRow="0" w:lastRow="0" w:firstColumn="0" w:lastColumn="0" w:oddVBand="0" w:evenVBand="0" w:oddHBand="0" w:evenHBand="0" w:firstRowFirstColumn="0" w:firstRowLastColumn="0" w:lastRowFirstColumn="0" w:lastRowLastColumn="0"/>
              <w:rPr>
                <w:szCs w:val="20"/>
                <w:lang w:eastAsia="zh-CN" w:bidi="ar-SA"/>
              </w:rPr>
            </w:pPr>
          </w:p>
        </w:tc>
        <w:tc>
          <w:tcPr>
            <w:tcW w:w="749" w:type="dxa"/>
            <w:vMerge/>
          </w:tcPr>
          <w:p w14:paraId="2E0BCCFA" w14:textId="77777777" w:rsidR="008356CF" w:rsidRPr="002E0EF5" w:rsidRDefault="008356CF" w:rsidP="00925BB1">
            <w:pPr>
              <w:cnfStyle w:val="000000000000" w:firstRow="0" w:lastRow="0" w:firstColumn="0" w:lastColumn="0" w:oddVBand="0" w:evenVBand="0" w:oddHBand="0" w:evenHBand="0" w:firstRowFirstColumn="0" w:firstRowLastColumn="0" w:lastRowFirstColumn="0" w:lastRowLastColumn="0"/>
              <w:rPr>
                <w:szCs w:val="20"/>
                <w:lang w:eastAsia="zh-CN" w:bidi="ar-SA"/>
              </w:rPr>
            </w:pPr>
          </w:p>
        </w:tc>
        <w:tc>
          <w:tcPr>
            <w:tcW w:w="1996" w:type="dxa"/>
            <w:tcBorders>
              <w:top w:val="single" w:sz="4" w:space="0" w:color="B4C6E7" w:themeColor="accent1" w:themeTint="66"/>
              <w:bottom w:val="single" w:sz="4" w:space="0" w:color="B4C6E7" w:themeColor="accent1" w:themeTint="66"/>
            </w:tcBorders>
          </w:tcPr>
          <w:p w14:paraId="15C35609" w14:textId="72B72AE7" w:rsidR="008356CF" w:rsidRPr="002E0EF5" w:rsidRDefault="007D3336" w:rsidP="00925BB1">
            <w:pPr>
              <w:cnfStyle w:val="000000000000" w:firstRow="0" w:lastRow="0" w:firstColumn="0" w:lastColumn="0" w:oddVBand="0" w:evenVBand="0" w:oddHBand="0" w:evenHBand="0" w:firstRowFirstColumn="0" w:firstRowLastColumn="0" w:lastRowFirstColumn="0" w:lastRowLastColumn="0"/>
              <w:rPr>
                <w:szCs w:val="20"/>
                <w:lang w:eastAsia="fr-FR" w:bidi="ar-SA"/>
              </w:rPr>
            </w:pPr>
            <w:r w:rsidRPr="007D3336">
              <w:rPr>
                <w:szCs w:val="20"/>
                <w:lang w:eastAsia="fr-FR" w:bidi="ar-SA"/>
              </w:rPr>
              <w:t>Aucun coût spécifique</w:t>
            </w:r>
          </w:p>
        </w:tc>
      </w:tr>
      <w:tr w:rsidR="008356CF" w:rsidRPr="002E0EF5" w14:paraId="7F1D8A98" w14:textId="77777777" w:rsidTr="008356CF">
        <w:trPr>
          <w:trHeight w:val="493"/>
        </w:trPr>
        <w:tc>
          <w:tcPr>
            <w:cnfStyle w:val="001000000000" w:firstRow="0" w:lastRow="0" w:firstColumn="1" w:lastColumn="0" w:oddVBand="0" w:evenVBand="0" w:oddHBand="0" w:evenHBand="0" w:firstRowFirstColumn="0" w:firstRowLastColumn="0" w:lastRowFirstColumn="0" w:lastRowLastColumn="0"/>
            <w:tcW w:w="1539" w:type="dxa"/>
            <w:vMerge/>
          </w:tcPr>
          <w:p w14:paraId="212F0697" w14:textId="77777777" w:rsidR="008356CF" w:rsidRPr="002E0EF5" w:rsidRDefault="008356CF" w:rsidP="00925BB1">
            <w:pPr>
              <w:rPr>
                <w:b w:val="0"/>
                <w:bCs w:val="0"/>
                <w:szCs w:val="20"/>
                <w:lang w:eastAsia="fr-FR" w:bidi="ar-SA"/>
              </w:rPr>
            </w:pPr>
          </w:p>
        </w:tc>
        <w:tc>
          <w:tcPr>
            <w:tcW w:w="1434" w:type="dxa"/>
            <w:vMerge/>
          </w:tcPr>
          <w:p w14:paraId="241C8A47" w14:textId="77777777" w:rsidR="008356CF" w:rsidRPr="007D4572" w:rsidRDefault="008356CF" w:rsidP="00925BB1">
            <w:pPr>
              <w:cnfStyle w:val="000000000000" w:firstRow="0" w:lastRow="0" w:firstColumn="0" w:lastColumn="0" w:oddVBand="0" w:evenVBand="0" w:oddHBand="0" w:evenHBand="0" w:firstRowFirstColumn="0" w:firstRowLastColumn="0" w:lastRowFirstColumn="0" w:lastRowLastColumn="0"/>
              <w:rPr>
                <w:b/>
                <w:bCs/>
                <w:szCs w:val="20"/>
                <w:lang w:eastAsia="fr-FR" w:bidi="ar-SA"/>
              </w:rPr>
            </w:pPr>
          </w:p>
        </w:tc>
        <w:tc>
          <w:tcPr>
            <w:tcW w:w="3800" w:type="dxa"/>
            <w:tcBorders>
              <w:top w:val="single" w:sz="4" w:space="0" w:color="B4C6E7" w:themeColor="accent1" w:themeTint="66"/>
            </w:tcBorders>
          </w:tcPr>
          <w:p w14:paraId="75F17AD7" w14:textId="77777777" w:rsidR="008356CF" w:rsidRPr="007D4572" w:rsidRDefault="008356CF" w:rsidP="008356CF">
            <w:pPr>
              <w:cnfStyle w:val="000000000000" w:firstRow="0" w:lastRow="0" w:firstColumn="0" w:lastColumn="0" w:oddVBand="0" w:evenVBand="0" w:oddHBand="0" w:evenHBand="0" w:firstRowFirstColumn="0" w:firstRowLastColumn="0" w:lastRowFirstColumn="0" w:lastRowLastColumn="0"/>
              <w:rPr>
                <w:szCs w:val="20"/>
                <w:lang w:eastAsia="fr-FR" w:bidi="ar-SA"/>
              </w:rPr>
            </w:pPr>
            <w:r w:rsidRPr="007D4572">
              <w:rPr>
                <w:szCs w:val="20"/>
                <w:lang w:eastAsia="fr-FR" w:bidi="ar-SA"/>
              </w:rPr>
              <w:t>Bacs de rétention sous les raccords.</w:t>
            </w:r>
          </w:p>
        </w:tc>
        <w:tc>
          <w:tcPr>
            <w:tcW w:w="1949" w:type="dxa"/>
            <w:vMerge/>
          </w:tcPr>
          <w:p w14:paraId="4C027B06" w14:textId="77777777" w:rsidR="008356CF" w:rsidRPr="007D4572" w:rsidRDefault="008356CF" w:rsidP="00925BB1">
            <w:pPr>
              <w:cnfStyle w:val="000000000000" w:firstRow="0" w:lastRow="0" w:firstColumn="0" w:lastColumn="0" w:oddVBand="0" w:evenVBand="0" w:oddHBand="0" w:evenHBand="0" w:firstRowFirstColumn="0" w:firstRowLastColumn="0" w:lastRowFirstColumn="0" w:lastRowLastColumn="0"/>
              <w:rPr>
                <w:szCs w:val="20"/>
                <w:lang w:eastAsia="fr-FR" w:bidi="ar-SA"/>
              </w:rPr>
            </w:pPr>
          </w:p>
        </w:tc>
        <w:tc>
          <w:tcPr>
            <w:tcW w:w="1068" w:type="dxa"/>
            <w:vMerge/>
          </w:tcPr>
          <w:p w14:paraId="163664D5" w14:textId="77777777" w:rsidR="008356CF" w:rsidRPr="002E0EF5" w:rsidRDefault="008356CF" w:rsidP="00925BB1">
            <w:pPr>
              <w:cnfStyle w:val="000000000000" w:firstRow="0" w:lastRow="0" w:firstColumn="0" w:lastColumn="0" w:oddVBand="0" w:evenVBand="0" w:oddHBand="0" w:evenHBand="0" w:firstRowFirstColumn="0" w:firstRowLastColumn="0" w:lastRowFirstColumn="0" w:lastRowLastColumn="0"/>
              <w:rPr>
                <w:szCs w:val="20"/>
                <w:lang w:eastAsia="zh-CN" w:bidi="ar-SA"/>
              </w:rPr>
            </w:pPr>
          </w:p>
        </w:tc>
        <w:tc>
          <w:tcPr>
            <w:tcW w:w="1599" w:type="dxa"/>
            <w:vMerge/>
          </w:tcPr>
          <w:p w14:paraId="3FC6F614" w14:textId="77777777" w:rsidR="008356CF" w:rsidRPr="002E0EF5" w:rsidRDefault="008356CF" w:rsidP="00925BB1">
            <w:pPr>
              <w:cnfStyle w:val="000000000000" w:firstRow="0" w:lastRow="0" w:firstColumn="0" w:lastColumn="0" w:oddVBand="0" w:evenVBand="0" w:oddHBand="0" w:evenHBand="0" w:firstRowFirstColumn="0" w:firstRowLastColumn="0" w:lastRowFirstColumn="0" w:lastRowLastColumn="0"/>
              <w:rPr>
                <w:szCs w:val="20"/>
                <w:lang w:eastAsia="zh-CN" w:bidi="ar-SA"/>
              </w:rPr>
            </w:pPr>
          </w:p>
        </w:tc>
        <w:tc>
          <w:tcPr>
            <w:tcW w:w="749" w:type="dxa"/>
            <w:vMerge/>
          </w:tcPr>
          <w:p w14:paraId="4EDB27AB" w14:textId="77777777" w:rsidR="008356CF" w:rsidRPr="002E0EF5" w:rsidRDefault="008356CF" w:rsidP="00925BB1">
            <w:pPr>
              <w:cnfStyle w:val="000000000000" w:firstRow="0" w:lastRow="0" w:firstColumn="0" w:lastColumn="0" w:oddVBand="0" w:evenVBand="0" w:oddHBand="0" w:evenHBand="0" w:firstRowFirstColumn="0" w:firstRowLastColumn="0" w:lastRowFirstColumn="0" w:lastRowLastColumn="0"/>
              <w:rPr>
                <w:szCs w:val="20"/>
                <w:lang w:eastAsia="zh-CN" w:bidi="ar-SA"/>
              </w:rPr>
            </w:pPr>
          </w:p>
        </w:tc>
        <w:tc>
          <w:tcPr>
            <w:tcW w:w="1996" w:type="dxa"/>
            <w:tcBorders>
              <w:top w:val="single" w:sz="4" w:space="0" w:color="B4C6E7" w:themeColor="accent1" w:themeTint="66"/>
            </w:tcBorders>
          </w:tcPr>
          <w:p w14:paraId="488DB31F" w14:textId="50FED13B" w:rsidR="008356CF" w:rsidRPr="007D3336" w:rsidRDefault="007D3336" w:rsidP="00925BB1">
            <w:pPr>
              <w:cnfStyle w:val="000000000000" w:firstRow="0" w:lastRow="0" w:firstColumn="0" w:lastColumn="0" w:oddVBand="0" w:evenVBand="0" w:oddHBand="0" w:evenHBand="0" w:firstRowFirstColumn="0" w:firstRowLastColumn="0" w:lastRowFirstColumn="0" w:lastRowLastColumn="0"/>
              <w:rPr>
                <w:szCs w:val="20"/>
                <w:lang w:eastAsia="fr-FR" w:bidi="ar-SA"/>
              </w:rPr>
            </w:pPr>
            <w:r w:rsidRPr="00D60FC9">
              <w:rPr>
                <w:szCs w:val="20"/>
                <w:lang w:eastAsia="fr-FR" w:bidi="ar-SA"/>
              </w:rPr>
              <w:t>≈ 1 000 – 1 500 MAD / bac dev 50 litres</w:t>
            </w:r>
          </w:p>
        </w:tc>
      </w:tr>
      <w:tr w:rsidR="00780CEC" w:rsidRPr="002E0EF5" w14:paraId="1506EAB4" w14:textId="6F485E57" w:rsidTr="005A7661">
        <w:trPr>
          <w:trHeight w:val="707"/>
        </w:trPr>
        <w:tc>
          <w:tcPr>
            <w:cnfStyle w:val="001000000000" w:firstRow="0" w:lastRow="0" w:firstColumn="1" w:lastColumn="0" w:oddVBand="0" w:evenVBand="0" w:oddHBand="0" w:evenHBand="0" w:firstRowFirstColumn="0" w:firstRowLastColumn="0" w:lastRowFirstColumn="0" w:lastRowLastColumn="0"/>
            <w:tcW w:w="1539" w:type="dxa"/>
            <w:vMerge/>
          </w:tcPr>
          <w:p w14:paraId="17404B99" w14:textId="77777777" w:rsidR="00780CEC" w:rsidRPr="002E0EF5" w:rsidRDefault="00780CEC" w:rsidP="00925BB1">
            <w:pPr>
              <w:rPr>
                <w:b w:val="0"/>
                <w:bCs w:val="0"/>
                <w:szCs w:val="20"/>
                <w:lang w:eastAsia="fr-FR" w:bidi="ar-SA"/>
              </w:rPr>
            </w:pPr>
          </w:p>
        </w:tc>
        <w:tc>
          <w:tcPr>
            <w:tcW w:w="1434" w:type="dxa"/>
            <w:vMerge w:val="restart"/>
            <w:hideMark/>
          </w:tcPr>
          <w:p w14:paraId="2BCA490E" w14:textId="6908F232" w:rsidR="00780CEC" w:rsidRPr="007D4572" w:rsidRDefault="00780CEC" w:rsidP="00925BB1">
            <w:pPr>
              <w:cnfStyle w:val="000000000000" w:firstRow="0" w:lastRow="0" w:firstColumn="0" w:lastColumn="0" w:oddVBand="0" w:evenVBand="0" w:oddHBand="0" w:evenHBand="0" w:firstRowFirstColumn="0" w:firstRowLastColumn="0" w:lastRowFirstColumn="0" w:lastRowLastColumn="0"/>
              <w:rPr>
                <w:b/>
                <w:bCs/>
                <w:szCs w:val="20"/>
                <w:lang w:eastAsia="fr-FR" w:bidi="ar-SA"/>
              </w:rPr>
            </w:pPr>
            <w:r w:rsidRPr="007D4572">
              <w:rPr>
                <w:b/>
                <w:bCs/>
                <w:szCs w:val="20"/>
                <w:lang w:eastAsia="fr-FR" w:bidi="ar-SA"/>
              </w:rPr>
              <w:t>Atténuer</w:t>
            </w:r>
          </w:p>
        </w:tc>
        <w:tc>
          <w:tcPr>
            <w:tcW w:w="3800" w:type="dxa"/>
            <w:tcBorders>
              <w:bottom w:val="single" w:sz="4" w:space="0" w:color="B4C6E7" w:themeColor="accent1" w:themeTint="66"/>
            </w:tcBorders>
            <w:hideMark/>
          </w:tcPr>
          <w:p w14:paraId="0A616D4A" w14:textId="3667F1B6" w:rsidR="00780CEC" w:rsidRPr="007D4572" w:rsidRDefault="00780CEC" w:rsidP="00925BB1">
            <w:pPr>
              <w:cnfStyle w:val="000000000000" w:firstRow="0" w:lastRow="0" w:firstColumn="0" w:lastColumn="0" w:oddVBand="0" w:evenVBand="0" w:oddHBand="0" w:evenHBand="0" w:firstRowFirstColumn="0" w:firstRowLastColumn="0" w:lastRowFirstColumn="0" w:lastRowLastColumn="0"/>
              <w:rPr>
                <w:szCs w:val="20"/>
                <w:lang w:eastAsia="fr-FR" w:bidi="ar-SA"/>
              </w:rPr>
            </w:pPr>
            <w:r w:rsidRPr="002E0EF5">
              <w:rPr>
                <w:szCs w:val="20"/>
                <w:lang w:eastAsia="fr-FR" w:bidi="ar-SA"/>
              </w:rPr>
              <w:t>Décontamination</w:t>
            </w:r>
            <w:r w:rsidRPr="007D4572">
              <w:rPr>
                <w:szCs w:val="20"/>
                <w:lang w:eastAsia="fr-FR" w:bidi="ar-SA"/>
              </w:rPr>
              <w:t xml:space="preserve"> immédiat</w:t>
            </w:r>
            <w:r w:rsidRPr="002E0EF5">
              <w:rPr>
                <w:szCs w:val="20"/>
                <w:lang w:eastAsia="fr-FR" w:bidi="ar-SA"/>
              </w:rPr>
              <w:t>e</w:t>
            </w:r>
            <w:r w:rsidRPr="007D4572">
              <w:rPr>
                <w:szCs w:val="20"/>
                <w:lang w:eastAsia="fr-FR" w:bidi="ar-SA"/>
              </w:rPr>
              <w:t xml:space="preserve"> et pompage des effluents déversés.</w:t>
            </w:r>
          </w:p>
        </w:tc>
        <w:tc>
          <w:tcPr>
            <w:tcW w:w="1949" w:type="dxa"/>
            <w:vMerge w:val="restart"/>
            <w:hideMark/>
          </w:tcPr>
          <w:p w14:paraId="56AA6322" w14:textId="77777777" w:rsidR="00780CEC" w:rsidRPr="007D4572" w:rsidRDefault="00780CEC" w:rsidP="00925BB1">
            <w:pPr>
              <w:cnfStyle w:val="000000000000" w:firstRow="0" w:lastRow="0" w:firstColumn="0" w:lastColumn="0" w:oddVBand="0" w:evenVBand="0" w:oddHBand="0" w:evenHBand="0" w:firstRowFirstColumn="0" w:firstRowLastColumn="0" w:lastRowFirstColumn="0" w:lastRowLastColumn="0"/>
              <w:rPr>
                <w:szCs w:val="20"/>
                <w:lang w:eastAsia="fr-FR" w:bidi="ar-SA"/>
              </w:rPr>
            </w:pPr>
            <w:r w:rsidRPr="007D4572">
              <w:rPr>
                <w:szCs w:val="20"/>
                <w:lang w:eastAsia="fr-FR" w:bidi="ar-SA"/>
              </w:rPr>
              <w:t>Volume récupéré / délai de traitement / suivi d’incident</w:t>
            </w:r>
          </w:p>
        </w:tc>
        <w:tc>
          <w:tcPr>
            <w:tcW w:w="1068" w:type="dxa"/>
            <w:vMerge w:val="restart"/>
            <w:hideMark/>
          </w:tcPr>
          <w:p w14:paraId="61A9F27B" w14:textId="142014DB" w:rsidR="00780CEC" w:rsidRPr="007D4572" w:rsidRDefault="00780CEC" w:rsidP="00925BB1">
            <w:pPr>
              <w:cnfStyle w:val="000000000000" w:firstRow="0" w:lastRow="0" w:firstColumn="0" w:lastColumn="0" w:oddVBand="0" w:evenVBand="0" w:oddHBand="0" w:evenHBand="0" w:firstRowFirstColumn="0" w:firstRowLastColumn="0" w:lastRowFirstColumn="0" w:lastRowLastColumn="0"/>
              <w:rPr>
                <w:szCs w:val="20"/>
                <w:lang w:eastAsia="fr-FR" w:bidi="ar-SA"/>
              </w:rPr>
            </w:pPr>
            <w:r w:rsidRPr="002E0EF5">
              <w:rPr>
                <w:szCs w:val="20"/>
                <w:lang w:eastAsia="zh-CN" w:bidi="ar-SA"/>
              </w:rPr>
              <w:t>EPC / Sous-traitants</w:t>
            </w:r>
          </w:p>
        </w:tc>
        <w:tc>
          <w:tcPr>
            <w:tcW w:w="1599" w:type="dxa"/>
            <w:vMerge w:val="restart"/>
            <w:hideMark/>
          </w:tcPr>
          <w:p w14:paraId="4FC83E70" w14:textId="28739FF7" w:rsidR="00780CEC" w:rsidRPr="007D4572" w:rsidRDefault="00780CEC" w:rsidP="00925BB1">
            <w:pPr>
              <w:cnfStyle w:val="000000000000" w:firstRow="0" w:lastRow="0" w:firstColumn="0" w:lastColumn="0" w:oddVBand="0" w:evenVBand="0" w:oddHBand="0" w:evenHBand="0" w:firstRowFirstColumn="0" w:firstRowLastColumn="0" w:lastRowFirstColumn="0" w:lastRowLastColumn="0"/>
              <w:rPr>
                <w:szCs w:val="20"/>
                <w:lang w:eastAsia="fr-FR" w:bidi="ar-SA"/>
              </w:rPr>
            </w:pPr>
            <w:r w:rsidRPr="002E0EF5">
              <w:rPr>
                <w:szCs w:val="20"/>
                <w:lang w:eastAsia="zh-CN" w:bidi="ar-SA"/>
              </w:rPr>
              <w:t xml:space="preserve">Bureau de contrôle / Consultant </w:t>
            </w:r>
            <w:r w:rsidRPr="002E0EF5">
              <w:rPr>
                <w:szCs w:val="20"/>
                <w:lang w:eastAsia="zh-CN" w:bidi="ar-SA"/>
              </w:rPr>
              <w:lastRenderedPageBreak/>
              <w:t>mandaté par l’ONDA</w:t>
            </w:r>
          </w:p>
        </w:tc>
        <w:tc>
          <w:tcPr>
            <w:tcW w:w="749" w:type="dxa"/>
            <w:vMerge w:val="restart"/>
            <w:hideMark/>
          </w:tcPr>
          <w:p w14:paraId="50101BCA" w14:textId="1E3F6C01" w:rsidR="00780CEC" w:rsidRPr="007D4572" w:rsidRDefault="00780CEC" w:rsidP="00925BB1">
            <w:pPr>
              <w:cnfStyle w:val="000000000000" w:firstRow="0" w:lastRow="0" w:firstColumn="0" w:lastColumn="0" w:oddVBand="0" w:evenVBand="0" w:oddHBand="0" w:evenHBand="0" w:firstRowFirstColumn="0" w:firstRowLastColumn="0" w:lastRowFirstColumn="0" w:lastRowLastColumn="0"/>
              <w:rPr>
                <w:szCs w:val="20"/>
                <w:lang w:eastAsia="fr-FR" w:bidi="ar-SA"/>
              </w:rPr>
            </w:pPr>
            <w:r w:rsidRPr="002E0EF5">
              <w:rPr>
                <w:szCs w:val="20"/>
                <w:lang w:eastAsia="zh-CN" w:bidi="ar-SA"/>
              </w:rPr>
              <w:lastRenderedPageBreak/>
              <w:t>ONDA</w:t>
            </w:r>
          </w:p>
        </w:tc>
        <w:tc>
          <w:tcPr>
            <w:tcW w:w="1996" w:type="dxa"/>
            <w:vMerge w:val="restart"/>
          </w:tcPr>
          <w:p w14:paraId="46581FC6" w14:textId="24BBA62F" w:rsidR="00780CEC" w:rsidRPr="00CF3455" w:rsidRDefault="00780CEC" w:rsidP="00925BB1">
            <w:pPr>
              <w:cnfStyle w:val="000000000000" w:firstRow="0" w:lastRow="0" w:firstColumn="0" w:lastColumn="0" w:oddVBand="0" w:evenVBand="0" w:oddHBand="0" w:evenHBand="0" w:firstRowFirstColumn="0" w:firstRowLastColumn="0" w:lastRowFirstColumn="0" w:lastRowLastColumn="0"/>
              <w:rPr>
                <w:szCs w:val="20"/>
                <w:lang w:eastAsia="fr-FR" w:bidi="ar-SA"/>
              </w:rPr>
            </w:pPr>
            <w:r w:rsidRPr="00CF3455">
              <w:rPr>
                <w:szCs w:val="20"/>
                <w:lang w:eastAsia="fr-FR" w:bidi="ar-SA"/>
              </w:rPr>
              <w:t xml:space="preserve">≈ </w:t>
            </w:r>
            <w:r w:rsidRPr="00D60FC9">
              <w:rPr>
                <w:szCs w:val="20"/>
                <w:lang w:eastAsia="fr-FR" w:bidi="ar-SA"/>
              </w:rPr>
              <w:t>800 – 1 000 MAD / incident</w:t>
            </w:r>
          </w:p>
        </w:tc>
      </w:tr>
      <w:tr w:rsidR="00780CEC" w:rsidRPr="002E0EF5" w14:paraId="18970C0E" w14:textId="77777777" w:rsidTr="005A7661">
        <w:trPr>
          <w:trHeight w:val="760"/>
        </w:trPr>
        <w:tc>
          <w:tcPr>
            <w:cnfStyle w:val="001000000000" w:firstRow="0" w:lastRow="0" w:firstColumn="1" w:lastColumn="0" w:oddVBand="0" w:evenVBand="0" w:oddHBand="0" w:evenHBand="0" w:firstRowFirstColumn="0" w:firstRowLastColumn="0" w:lastRowFirstColumn="0" w:lastRowLastColumn="0"/>
            <w:tcW w:w="1539" w:type="dxa"/>
            <w:vMerge/>
          </w:tcPr>
          <w:p w14:paraId="5E9FB75B" w14:textId="77777777" w:rsidR="00780CEC" w:rsidRPr="002E0EF5" w:rsidRDefault="00780CEC" w:rsidP="00925BB1">
            <w:pPr>
              <w:rPr>
                <w:b w:val="0"/>
                <w:bCs w:val="0"/>
                <w:szCs w:val="20"/>
                <w:lang w:eastAsia="fr-FR" w:bidi="ar-SA"/>
              </w:rPr>
            </w:pPr>
          </w:p>
        </w:tc>
        <w:tc>
          <w:tcPr>
            <w:tcW w:w="1434" w:type="dxa"/>
            <w:vMerge/>
          </w:tcPr>
          <w:p w14:paraId="304A107A" w14:textId="77777777" w:rsidR="00780CEC" w:rsidRPr="007D4572" w:rsidRDefault="00780CEC" w:rsidP="00925BB1">
            <w:pPr>
              <w:cnfStyle w:val="000000000000" w:firstRow="0" w:lastRow="0" w:firstColumn="0" w:lastColumn="0" w:oddVBand="0" w:evenVBand="0" w:oddHBand="0" w:evenHBand="0" w:firstRowFirstColumn="0" w:firstRowLastColumn="0" w:lastRowFirstColumn="0" w:lastRowLastColumn="0"/>
              <w:rPr>
                <w:b/>
                <w:bCs/>
                <w:szCs w:val="20"/>
                <w:lang w:eastAsia="fr-FR" w:bidi="ar-SA"/>
              </w:rPr>
            </w:pPr>
          </w:p>
        </w:tc>
        <w:tc>
          <w:tcPr>
            <w:tcW w:w="3800" w:type="dxa"/>
            <w:tcBorders>
              <w:top w:val="single" w:sz="4" w:space="0" w:color="B4C6E7" w:themeColor="accent1" w:themeTint="66"/>
              <w:bottom w:val="single" w:sz="4" w:space="0" w:color="B4C6E7" w:themeColor="accent1" w:themeTint="66"/>
            </w:tcBorders>
          </w:tcPr>
          <w:p w14:paraId="2466D9CF" w14:textId="20445729" w:rsidR="00780CEC" w:rsidRPr="002E0EF5" w:rsidRDefault="00780CEC" w:rsidP="00DF23B5">
            <w:pPr>
              <w:cnfStyle w:val="000000000000" w:firstRow="0" w:lastRow="0" w:firstColumn="0" w:lastColumn="0" w:oddVBand="0" w:evenVBand="0" w:oddHBand="0" w:evenHBand="0" w:firstRowFirstColumn="0" w:firstRowLastColumn="0" w:lastRowFirstColumn="0" w:lastRowLastColumn="0"/>
              <w:rPr>
                <w:szCs w:val="20"/>
                <w:lang w:eastAsia="fr-FR" w:bidi="ar-SA"/>
              </w:rPr>
            </w:pPr>
            <w:r w:rsidRPr="007D4572">
              <w:rPr>
                <w:szCs w:val="20"/>
                <w:lang w:eastAsia="fr-FR" w:bidi="ar-SA"/>
              </w:rPr>
              <w:t>Nettoyage avec absorbants et neutralisation de la zone contaminée.</w:t>
            </w:r>
          </w:p>
        </w:tc>
        <w:tc>
          <w:tcPr>
            <w:tcW w:w="1949" w:type="dxa"/>
            <w:vMerge/>
          </w:tcPr>
          <w:p w14:paraId="18BEAA9A" w14:textId="77777777" w:rsidR="00780CEC" w:rsidRPr="007D4572" w:rsidRDefault="00780CEC" w:rsidP="00925BB1">
            <w:pPr>
              <w:cnfStyle w:val="000000000000" w:firstRow="0" w:lastRow="0" w:firstColumn="0" w:lastColumn="0" w:oddVBand="0" w:evenVBand="0" w:oddHBand="0" w:evenHBand="0" w:firstRowFirstColumn="0" w:firstRowLastColumn="0" w:lastRowFirstColumn="0" w:lastRowLastColumn="0"/>
              <w:rPr>
                <w:szCs w:val="20"/>
                <w:lang w:eastAsia="fr-FR" w:bidi="ar-SA"/>
              </w:rPr>
            </w:pPr>
          </w:p>
        </w:tc>
        <w:tc>
          <w:tcPr>
            <w:tcW w:w="1068" w:type="dxa"/>
            <w:vMerge/>
          </w:tcPr>
          <w:p w14:paraId="65A38599" w14:textId="77777777" w:rsidR="00780CEC" w:rsidRPr="002E0EF5" w:rsidRDefault="00780CEC" w:rsidP="00925BB1">
            <w:pPr>
              <w:cnfStyle w:val="000000000000" w:firstRow="0" w:lastRow="0" w:firstColumn="0" w:lastColumn="0" w:oddVBand="0" w:evenVBand="0" w:oddHBand="0" w:evenHBand="0" w:firstRowFirstColumn="0" w:firstRowLastColumn="0" w:lastRowFirstColumn="0" w:lastRowLastColumn="0"/>
              <w:rPr>
                <w:szCs w:val="20"/>
                <w:lang w:eastAsia="zh-CN" w:bidi="ar-SA"/>
              </w:rPr>
            </w:pPr>
          </w:p>
        </w:tc>
        <w:tc>
          <w:tcPr>
            <w:tcW w:w="1599" w:type="dxa"/>
            <w:vMerge/>
          </w:tcPr>
          <w:p w14:paraId="4D492C80" w14:textId="77777777" w:rsidR="00780CEC" w:rsidRPr="002E0EF5" w:rsidRDefault="00780CEC" w:rsidP="00925BB1">
            <w:pPr>
              <w:cnfStyle w:val="000000000000" w:firstRow="0" w:lastRow="0" w:firstColumn="0" w:lastColumn="0" w:oddVBand="0" w:evenVBand="0" w:oddHBand="0" w:evenHBand="0" w:firstRowFirstColumn="0" w:firstRowLastColumn="0" w:lastRowFirstColumn="0" w:lastRowLastColumn="0"/>
              <w:rPr>
                <w:szCs w:val="20"/>
                <w:lang w:eastAsia="zh-CN" w:bidi="ar-SA"/>
              </w:rPr>
            </w:pPr>
          </w:p>
        </w:tc>
        <w:tc>
          <w:tcPr>
            <w:tcW w:w="749" w:type="dxa"/>
            <w:vMerge/>
          </w:tcPr>
          <w:p w14:paraId="0B3D1640" w14:textId="77777777" w:rsidR="00780CEC" w:rsidRPr="002E0EF5" w:rsidRDefault="00780CEC" w:rsidP="00925BB1">
            <w:pPr>
              <w:cnfStyle w:val="000000000000" w:firstRow="0" w:lastRow="0" w:firstColumn="0" w:lastColumn="0" w:oddVBand="0" w:evenVBand="0" w:oddHBand="0" w:evenHBand="0" w:firstRowFirstColumn="0" w:firstRowLastColumn="0" w:lastRowFirstColumn="0" w:lastRowLastColumn="0"/>
              <w:rPr>
                <w:szCs w:val="20"/>
                <w:lang w:eastAsia="zh-CN" w:bidi="ar-SA"/>
              </w:rPr>
            </w:pPr>
          </w:p>
        </w:tc>
        <w:tc>
          <w:tcPr>
            <w:tcW w:w="1996" w:type="dxa"/>
            <w:vMerge/>
            <w:tcBorders>
              <w:bottom w:val="single" w:sz="4" w:space="0" w:color="B4C6E7" w:themeColor="accent1" w:themeTint="66"/>
            </w:tcBorders>
          </w:tcPr>
          <w:p w14:paraId="418B505E" w14:textId="77777777" w:rsidR="00780CEC" w:rsidRPr="002E0EF5" w:rsidRDefault="00780CEC" w:rsidP="00925BB1">
            <w:pPr>
              <w:cnfStyle w:val="000000000000" w:firstRow="0" w:lastRow="0" w:firstColumn="0" w:lastColumn="0" w:oddVBand="0" w:evenVBand="0" w:oddHBand="0" w:evenHBand="0" w:firstRowFirstColumn="0" w:firstRowLastColumn="0" w:lastRowFirstColumn="0" w:lastRowLastColumn="0"/>
              <w:rPr>
                <w:szCs w:val="20"/>
                <w:lang w:eastAsia="fr-FR" w:bidi="ar-SA"/>
              </w:rPr>
            </w:pPr>
          </w:p>
        </w:tc>
      </w:tr>
      <w:tr w:rsidR="00780CEC" w:rsidRPr="002E0EF5" w14:paraId="3DECD2E2" w14:textId="77777777" w:rsidTr="00DF23B5">
        <w:trPr>
          <w:trHeight w:val="429"/>
        </w:trPr>
        <w:tc>
          <w:tcPr>
            <w:cnfStyle w:val="001000000000" w:firstRow="0" w:lastRow="0" w:firstColumn="1" w:lastColumn="0" w:oddVBand="0" w:evenVBand="0" w:oddHBand="0" w:evenHBand="0" w:firstRowFirstColumn="0" w:firstRowLastColumn="0" w:lastRowFirstColumn="0" w:lastRowLastColumn="0"/>
            <w:tcW w:w="1539" w:type="dxa"/>
            <w:vMerge/>
          </w:tcPr>
          <w:p w14:paraId="3B15A8C1" w14:textId="77777777" w:rsidR="00780CEC" w:rsidRPr="002E0EF5" w:rsidRDefault="00780CEC" w:rsidP="00780CEC">
            <w:pPr>
              <w:rPr>
                <w:b w:val="0"/>
                <w:bCs w:val="0"/>
                <w:szCs w:val="20"/>
                <w:lang w:eastAsia="fr-FR" w:bidi="ar-SA"/>
              </w:rPr>
            </w:pPr>
          </w:p>
        </w:tc>
        <w:tc>
          <w:tcPr>
            <w:tcW w:w="1434" w:type="dxa"/>
            <w:vMerge/>
          </w:tcPr>
          <w:p w14:paraId="48F7DA51" w14:textId="77777777" w:rsidR="00780CEC" w:rsidRPr="007D4572" w:rsidRDefault="00780CEC" w:rsidP="00780CEC">
            <w:pPr>
              <w:cnfStyle w:val="000000000000" w:firstRow="0" w:lastRow="0" w:firstColumn="0" w:lastColumn="0" w:oddVBand="0" w:evenVBand="0" w:oddHBand="0" w:evenHBand="0" w:firstRowFirstColumn="0" w:firstRowLastColumn="0" w:lastRowFirstColumn="0" w:lastRowLastColumn="0"/>
              <w:rPr>
                <w:b/>
                <w:bCs/>
                <w:szCs w:val="20"/>
                <w:lang w:eastAsia="fr-FR" w:bidi="ar-SA"/>
              </w:rPr>
            </w:pPr>
          </w:p>
        </w:tc>
        <w:tc>
          <w:tcPr>
            <w:tcW w:w="3800" w:type="dxa"/>
            <w:tcBorders>
              <w:top w:val="single" w:sz="4" w:space="0" w:color="B4C6E7" w:themeColor="accent1" w:themeTint="66"/>
            </w:tcBorders>
          </w:tcPr>
          <w:p w14:paraId="677F25F9" w14:textId="77777777" w:rsidR="00780CEC" w:rsidRPr="007D4572" w:rsidRDefault="00780CEC" w:rsidP="00780CEC">
            <w:pPr>
              <w:cnfStyle w:val="000000000000" w:firstRow="0" w:lastRow="0" w:firstColumn="0" w:lastColumn="0" w:oddVBand="0" w:evenVBand="0" w:oddHBand="0" w:evenHBand="0" w:firstRowFirstColumn="0" w:firstRowLastColumn="0" w:lastRowFirstColumn="0" w:lastRowLastColumn="0"/>
              <w:rPr>
                <w:szCs w:val="20"/>
                <w:lang w:eastAsia="fr-FR" w:bidi="ar-SA"/>
              </w:rPr>
            </w:pPr>
            <w:r w:rsidRPr="007D4572">
              <w:rPr>
                <w:szCs w:val="20"/>
                <w:lang w:eastAsia="fr-FR" w:bidi="ar-SA"/>
              </w:rPr>
              <w:t>Rapport d’incident transmis sous 24 h.</w:t>
            </w:r>
          </w:p>
        </w:tc>
        <w:tc>
          <w:tcPr>
            <w:tcW w:w="1949" w:type="dxa"/>
            <w:vMerge/>
          </w:tcPr>
          <w:p w14:paraId="13E0A56A" w14:textId="77777777" w:rsidR="00780CEC" w:rsidRPr="007D4572" w:rsidRDefault="00780CEC" w:rsidP="00780CEC">
            <w:pPr>
              <w:cnfStyle w:val="000000000000" w:firstRow="0" w:lastRow="0" w:firstColumn="0" w:lastColumn="0" w:oddVBand="0" w:evenVBand="0" w:oddHBand="0" w:evenHBand="0" w:firstRowFirstColumn="0" w:firstRowLastColumn="0" w:lastRowFirstColumn="0" w:lastRowLastColumn="0"/>
              <w:rPr>
                <w:szCs w:val="20"/>
                <w:lang w:eastAsia="fr-FR" w:bidi="ar-SA"/>
              </w:rPr>
            </w:pPr>
          </w:p>
        </w:tc>
        <w:tc>
          <w:tcPr>
            <w:tcW w:w="1068" w:type="dxa"/>
            <w:vMerge/>
          </w:tcPr>
          <w:p w14:paraId="2C3692D3" w14:textId="77777777" w:rsidR="00780CEC" w:rsidRPr="002E0EF5" w:rsidRDefault="00780CEC" w:rsidP="00780CEC">
            <w:pPr>
              <w:cnfStyle w:val="000000000000" w:firstRow="0" w:lastRow="0" w:firstColumn="0" w:lastColumn="0" w:oddVBand="0" w:evenVBand="0" w:oddHBand="0" w:evenHBand="0" w:firstRowFirstColumn="0" w:firstRowLastColumn="0" w:lastRowFirstColumn="0" w:lastRowLastColumn="0"/>
              <w:rPr>
                <w:szCs w:val="20"/>
                <w:lang w:eastAsia="zh-CN" w:bidi="ar-SA"/>
              </w:rPr>
            </w:pPr>
          </w:p>
        </w:tc>
        <w:tc>
          <w:tcPr>
            <w:tcW w:w="1599" w:type="dxa"/>
            <w:vMerge/>
          </w:tcPr>
          <w:p w14:paraId="44AB6EC9" w14:textId="77777777" w:rsidR="00780CEC" w:rsidRPr="002E0EF5" w:rsidRDefault="00780CEC" w:rsidP="00780CEC">
            <w:pPr>
              <w:cnfStyle w:val="000000000000" w:firstRow="0" w:lastRow="0" w:firstColumn="0" w:lastColumn="0" w:oddVBand="0" w:evenVBand="0" w:oddHBand="0" w:evenHBand="0" w:firstRowFirstColumn="0" w:firstRowLastColumn="0" w:lastRowFirstColumn="0" w:lastRowLastColumn="0"/>
              <w:rPr>
                <w:szCs w:val="20"/>
                <w:lang w:eastAsia="zh-CN" w:bidi="ar-SA"/>
              </w:rPr>
            </w:pPr>
          </w:p>
        </w:tc>
        <w:tc>
          <w:tcPr>
            <w:tcW w:w="749" w:type="dxa"/>
            <w:vMerge/>
          </w:tcPr>
          <w:p w14:paraId="7FC5EF74" w14:textId="77777777" w:rsidR="00780CEC" w:rsidRPr="002E0EF5" w:rsidRDefault="00780CEC" w:rsidP="00780CEC">
            <w:pPr>
              <w:cnfStyle w:val="000000000000" w:firstRow="0" w:lastRow="0" w:firstColumn="0" w:lastColumn="0" w:oddVBand="0" w:evenVBand="0" w:oddHBand="0" w:evenHBand="0" w:firstRowFirstColumn="0" w:firstRowLastColumn="0" w:lastRowFirstColumn="0" w:lastRowLastColumn="0"/>
              <w:rPr>
                <w:szCs w:val="20"/>
                <w:lang w:eastAsia="zh-CN" w:bidi="ar-SA"/>
              </w:rPr>
            </w:pPr>
          </w:p>
        </w:tc>
        <w:tc>
          <w:tcPr>
            <w:tcW w:w="1996" w:type="dxa"/>
            <w:tcBorders>
              <w:top w:val="single" w:sz="4" w:space="0" w:color="B4C6E7" w:themeColor="accent1" w:themeTint="66"/>
            </w:tcBorders>
          </w:tcPr>
          <w:p w14:paraId="67803E8F" w14:textId="20B7F4C8" w:rsidR="00780CEC" w:rsidRPr="002E0EF5" w:rsidRDefault="00780CEC" w:rsidP="00780CEC">
            <w:pPr>
              <w:cnfStyle w:val="000000000000" w:firstRow="0" w:lastRow="0" w:firstColumn="0" w:lastColumn="0" w:oddVBand="0" w:evenVBand="0" w:oddHBand="0" w:evenHBand="0" w:firstRowFirstColumn="0" w:firstRowLastColumn="0" w:lastRowFirstColumn="0" w:lastRowLastColumn="0"/>
              <w:rPr>
                <w:szCs w:val="20"/>
                <w:lang w:eastAsia="fr-FR" w:bidi="ar-SA"/>
              </w:rPr>
            </w:pPr>
            <w:r w:rsidRPr="007D3336">
              <w:rPr>
                <w:szCs w:val="20"/>
                <w:lang w:eastAsia="fr-FR" w:bidi="ar-SA"/>
              </w:rPr>
              <w:t>Aucun coût spécifique</w:t>
            </w:r>
          </w:p>
        </w:tc>
      </w:tr>
      <w:tr w:rsidR="00780CEC" w:rsidRPr="002E0EF5" w14:paraId="2CA48FB3" w14:textId="3DC7C59F" w:rsidTr="00A01A66">
        <w:tc>
          <w:tcPr>
            <w:cnfStyle w:val="001000000000" w:firstRow="0" w:lastRow="0" w:firstColumn="1" w:lastColumn="0" w:oddVBand="0" w:evenVBand="0" w:oddHBand="0" w:evenHBand="0" w:firstRowFirstColumn="0" w:firstRowLastColumn="0" w:lastRowFirstColumn="0" w:lastRowLastColumn="0"/>
            <w:tcW w:w="1539" w:type="dxa"/>
            <w:vMerge/>
          </w:tcPr>
          <w:p w14:paraId="6EF70EA9" w14:textId="77777777" w:rsidR="00780CEC" w:rsidRPr="002E0EF5" w:rsidRDefault="00780CEC" w:rsidP="00780CEC">
            <w:pPr>
              <w:rPr>
                <w:b w:val="0"/>
                <w:bCs w:val="0"/>
                <w:szCs w:val="20"/>
                <w:lang w:eastAsia="fr-FR" w:bidi="ar-SA"/>
              </w:rPr>
            </w:pPr>
          </w:p>
        </w:tc>
        <w:tc>
          <w:tcPr>
            <w:tcW w:w="1434" w:type="dxa"/>
            <w:hideMark/>
          </w:tcPr>
          <w:p w14:paraId="4566B875" w14:textId="18A0E17C" w:rsidR="00780CEC" w:rsidRPr="007D4572" w:rsidRDefault="00780CEC" w:rsidP="00780CEC">
            <w:pPr>
              <w:cnfStyle w:val="000000000000" w:firstRow="0" w:lastRow="0" w:firstColumn="0" w:lastColumn="0" w:oddVBand="0" w:evenVBand="0" w:oddHBand="0" w:evenHBand="0" w:firstRowFirstColumn="0" w:firstRowLastColumn="0" w:lastRowFirstColumn="0" w:lastRowLastColumn="0"/>
              <w:rPr>
                <w:b/>
                <w:bCs/>
                <w:szCs w:val="20"/>
                <w:lang w:eastAsia="fr-FR" w:bidi="ar-SA"/>
              </w:rPr>
            </w:pPr>
            <w:r w:rsidRPr="007D4572">
              <w:rPr>
                <w:b/>
                <w:bCs/>
                <w:szCs w:val="20"/>
                <w:lang w:eastAsia="fr-FR" w:bidi="ar-SA"/>
              </w:rPr>
              <w:t>Compenser</w:t>
            </w:r>
          </w:p>
        </w:tc>
        <w:tc>
          <w:tcPr>
            <w:tcW w:w="3800" w:type="dxa"/>
            <w:hideMark/>
          </w:tcPr>
          <w:p w14:paraId="10BF3BC5" w14:textId="5A8B9F53" w:rsidR="00780CEC" w:rsidRPr="007D4572" w:rsidRDefault="00780CEC" w:rsidP="00780CEC">
            <w:pPr>
              <w:cnfStyle w:val="000000000000" w:firstRow="0" w:lastRow="0" w:firstColumn="0" w:lastColumn="0" w:oddVBand="0" w:evenVBand="0" w:oddHBand="0" w:evenHBand="0" w:firstRowFirstColumn="0" w:firstRowLastColumn="0" w:lastRowFirstColumn="0" w:lastRowLastColumn="0"/>
              <w:rPr>
                <w:szCs w:val="20"/>
                <w:lang w:eastAsia="fr-FR" w:bidi="ar-SA"/>
              </w:rPr>
            </w:pPr>
            <w:r w:rsidRPr="007D4572">
              <w:rPr>
                <w:szCs w:val="20"/>
                <w:lang w:eastAsia="fr-FR" w:bidi="ar-SA"/>
              </w:rPr>
              <w:t>Réhabilitation du sol après contamination (raclage, stabilisation, comblement).</w:t>
            </w:r>
          </w:p>
        </w:tc>
        <w:tc>
          <w:tcPr>
            <w:tcW w:w="1949" w:type="dxa"/>
            <w:hideMark/>
          </w:tcPr>
          <w:p w14:paraId="1364B130" w14:textId="77777777" w:rsidR="00780CEC" w:rsidRPr="007D4572" w:rsidRDefault="00780CEC" w:rsidP="00780CEC">
            <w:pPr>
              <w:cnfStyle w:val="000000000000" w:firstRow="0" w:lastRow="0" w:firstColumn="0" w:lastColumn="0" w:oddVBand="0" w:evenVBand="0" w:oddHBand="0" w:evenHBand="0" w:firstRowFirstColumn="0" w:firstRowLastColumn="0" w:lastRowFirstColumn="0" w:lastRowLastColumn="0"/>
              <w:rPr>
                <w:szCs w:val="20"/>
                <w:lang w:eastAsia="fr-FR" w:bidi="ar-SA"/>
              </w:rPr>
            </w:pPr>
            <w:r w:rsidRPr="007D4572">
              <w:rPr>
                <w:szCs w:val="20"/>
                <w:lang w:eastAsia="fr-FR" w:bidi="ar-SA"/>
              </w:rPr>
              <w:t>Conformité de la remise en état</w:t>
            </w:r>
          </w:p>
        </w:tc>
        <w:tc>
          <w:tcPr>
            <w:tcW w:w="1068" w:type="dxa"/>
            <w:hideMark/>
          </w:tcPr>
          <w:p w14:paraId="18EE2FE5" w14:textId="00E88480" w:rsidR="00780CEC" w:rsidRPr="007D4572" w:rsidRDefault="00780CEC" w:rsidP="00780CEC">
            <w:pPr>
              <w:cnfStyle w:val="000000000000" w:firstRow="0" w:lastRow="0" w:firstColumn="0" w:lastColumn="0" w:oddVBand="0" w:evenVBand="0" w:oddHBand="0" w:evenHBand="0" w:firstRowFirstColumn="0" w:firstRowLastColumn="0" w:lastRowFirstColumn="0" w:lastRowLastColumn="0"/>
              <w:rPr>
                <w:szCs w:val="20"/>
                <w:lang w:eastAsia="fr-FR" w:bidi="ar-SA"/>
              </w:rPr>
            </w:pPr>
            <w:r w:rsidRPr="002E0EF5">
              <w:rPr>
                <w:szCs w:val="20"/>
                <w:lang w:eastAsia="zh-CN" w:bidi="ar-SA"/>
              </w:rPr>
              <w:t>EPC / Sous-traitants</w:t>
            </w:r>
          </w:p>
        </w:tc>
        <w:tc>
          <w:tcPr>
            <w:tcW w:w="1599" w:type="dxa"/>
            <w:hideMark/>
          </w:tcPr>
          <w:p w14:paraId="04B0132D" w14:textId="0E4A73D2" w:rsidR="00780CEC" w:rsidRPr="007D4572" w:rsidRDefault="00780CEC" w:rsidP="00780CEC">
            <w:pPr>
              <w:cnfStyle w:val="000000000000" w:firstRow="0" w:lastRow="0" w:firstColumn="0" w:lastColumn="0" w:oddVBand="0" w:evenVBand="0" w:oddHBand="0" w:evenHBand="0" w:firstRowFirstColumn="0" w:firstRowLastColumn="0" w:lastRowFirstColumn="0" w:lastRowLastColumn="0"/>
              <w:rPr>
                <w:szCs w:val="20"/>
                <w:lang w:eastAsia="fr-FR" w:bidi="ar-SA"/>
              </w:rPr>
            </w:pPr>
            <w:r w:rsidRPr="002E0EF5">
              <w:rPr>
                <w:szCs w:val="20"/>
                <w:lang w:eastAsia="zh-CN" w:bidi="ar-SA"/>
              </w:rPr>
              <w:t>Bureau de contrôle / Consultant mandaté par l’ONDA</w:t>
            </w:r>
          </w:p>
        </w:tc>
        <w:tc>
          <w:tcPr>
            <w:tcW w:w="749" w:type="dxa"/>
            <w:hideMark/>
          </w:tcPr>
          <w:p w14:paraId="71DC548D" w14:textId="0360ACFC" w:rsidR="00780CEC" w:rsidRPr="007D4572" w:rsidRDefault="00780CEC" w:rsidP="00780CEC">
            <w:pPr>
              <w:cnfStyle w:val="000000000000" w:firstRow="0" w:lastRow="0" w:firstColumn="0" w:lastColumn="0" w:oddVBand="0" w:evenVBand="0" w:oddHBand="0" w:evenHBand="0" w:firstRowFirstColumn="0" w:firstRowLastColumn="0" w:lastRowFirstColumn="0" w:lastRowLastColumn="0"/>
              <w:rPr>
                <w:szCs w:val="20"/>
                <w:lang w:eastAsia="fr-FR" w:bidi="ar-SA"/>
              </w:rPr>
            </w:pPr>
            <w:r w:rsidRPr="002E0EF5">
              <w:rPr>
                <w:szCs w:val="20"/>
                <w:lang w:eastAsia="zh-CN" w:bidi="ar-SA"/>
              </w:rPr>
              <w:t>ONDA</w:t>
            </w:r>
          </w:p>
        </w:tc>
        <w:tc>
          <w:tcPr>
            <w:tcW w:w="1996" w:type="dxa"/>
          </w:tcPr>
          <w:p w14:paraId="33F544AC" w14:textId="4DE311CB" w:rsidR="00780CEC" w:rsidRPr="002E0EF5" w:rsidRDefault="00780CEC" w:rsidP="00780CEC">
            <w:pPr>
              <w:cnfStyle w:val="000000000000" w:firstRow="0" w:lastRow="0" w:firstColumn="0" w:lastColumn="0" w:oddVBand="0" w:evenVBand="0" w:oddHBand="0" w:evenHBand="0" w:firstRowFirstColumn="0" w:firstRowLastColumn="0" w:lastRowFirstColumn="0" w:lastRowLastColumn="0"/>
              <w:rPr>
                <w:szCs w:val="20"/>
                <w:lang w:eastAsia="fr-FR" w:bidi="ar-SA"/>
              </w:rPr>
            </w:pPr>
            <w:r w:rsidRPr="00780CEC">
              <w:rPr>
                <w:szCs w:val="20"/>
                <w:lang w:eastAsia="fr-FR" w:bidi="ar-SA"/>
              </w:rPr>
              <w:t>≈ 3 000 – 4 000 MAD / zone</w:t>
            </w:r>
            <w:r>
              <w:rPr>
                <w:szCs w:val="20"/>
                <w:lang w:eastAsia="fr-FR" w:bidi="ar-SA"/>
              </w:rPr>
              <w:t xml:space="preserve"> (</w:t>
            </w:r>
            <w:r w:rsidRPr="00780CEC">
              <w:rPr>
                <w:szCs w:val="20"/>
                <w:lang w:eastAsia="fr-FR" w:bidi="ar-SA"/>
              </w:rPr>
              <w:t>Nivellement, raclage de 10 à 20 cm du sol souillé, apport de matériau propre et compactage</w:t>
            </w:r>
            <w:r>
              <w:rPr>
                <w:szCs w:val="20"/>
                <w:lang w:eastAsia="fr-FR" w:bidi="ar-SA"/>
              </w:rPr>
              <w:t>)</w:t>
            </w:r>
          </w:p>
        </w:tc>
      </w:tr>
      <w:tr w:rsidR="00780CEC" w:rsidRPr="002E0EF5" w14:paraId="02E6B75C" w14:textId="4EF32508" w:rsidTr="00DF23B5">
        <w:trPr>
          <w:trHeight w:val="720"/>
        </w:trPr>
        <w:tc>
          <w:tcPr>
            <w:cnfStyle w:val="001000000000" w:firstRow="0" w:lastRow="0" w:firstColumn="1" w:lastColumn="0" w:oddVBand="0" w:evenVBand="0" w:oddHBand="0" w:evenHBand="0" w:firstRowFirstColumn="0" w:firstRowLastColumn="0" w:lastRowFirstColumn="0" w:lastRowLastColumn="0"/>
            <w:tcW w:w="1539" w:type="dxa"/>
            <w:vMerge w:val="restart"/>
          </w:tcPr>
          <w:p w14:paraId="479F5E1D" w14:textId="0A78290A" w:rsidR="00780CEC" w:rsidRPr="002E0EF5" w:rsidRDefault="00780CEC" w:rsidP="00780CEC">
            <w:pPr>
              <w:rPr>
                <w:b w:val="0"/>
                <w:bCs w:val="0"/>
                <w:szCs w:val="20"/>
                <w:lang w:eastAsia="fr-FR" w:bidi="ar-SA"/>
              </w:rPr>
            </w:pPr>
            <w:r w:rsidRPr="002E0EF5">
              <w:rPr>
                <w:b w:val="0"/>
                <w:bCs w:val="0"/>
                <w:szCs w:val="20"/>
                <w:lang w:eastAsia="fr-FR" w:bidi="ar-SA"/>
              </w:rPr>
              <w:t>Risque de contamination microbiologique du personnel de chantier</w:t>
            </w:r>
          </w:p>
        </w:tc>
        <w:tc>
          <w:tcPr>
            <w:tcW w:w="1434" w:type="dxa"/>
            <w:vMerge w:val="restart"/>
            <w:hideMark/>
          </w:tcPr>
          <w:p w14:paraId="565263B7" w14:textId="65213FF4" w:rsidR="00780CEC" w:rsidRPr="003E176B" w:rsidRDefault="00780CEC" w:rsidP="00780CEC">
            <w:pPr>
              <w:cnfStyle w:val="000000000000" w:firstRow="0" w:lastRow="0" w:firstColumn="0" w:lastColumn="0" w:oddVBand="0" w:evenVBand="0" w:oddHBand="0" w:evenHBand="0" w:firstRowFirstColumn="0" w:firstRowLastColumn="0" w:lastRowFirstColumn="0" w:lastRowLastColumn="0"/>
              <w:rPr>
                <w:b/>
                <w:bCs/>
                <w:szCs w:val="20"/>
                <w:lang w:eastAsia="fr-FR" w:bidi="ar-SA"/>
              </w:rPr>
            </w:pPr>
            <w:r w:rsidRPr="003E176B">
              <w:rPr>
                <w:b/>
                <w:bCs/>
                <w:szCs w:val="20"/>
                <w:lang w:eastAsia="fr-FR" w:bidi="ar-SA"/>
              </w:rPr>
              <w:t>Éviter</w:t>
            </w:r>
          </w:p>
        </w:tc>
        <w:tc>
          <w:tcPr>
            <w:tcW w:w="3800" w:type="dxa"/>
            <w:tcBorders>
              <w:bottom w:val="single" w:sz="4" w:space="0" w:color="B4C6E7" w:themeColor="accent1" w:themeTint="66"/>
            </w:tcBorders>
            <w:hideMark/>
          </w:tcPr>
          <w:p w14:paraId="31C840C4" w14:textId="5B45B840" w:rsidR="00780CEC" w:rsidRPr="003E176B" w:rsidRDefault="00780CEC" w:rsidP="00780CEC">
            <w:pPr>
              <w:cnfStyle w:val="000000000000" w:firstRow="0" w:lastRow="0" w:firstColumn="0" w:lastColumn="0" w:oddVBand="0" w:evenVBand="0" w:oddHBand="0" w:evenHBand="0" w:firstRowFirstColumn="0" w:firstRowLastColumn="0" w:lastRowFirstColumn="0" w:lastRowLastColumn="0"/>
              <w:rPr>
                <w:szCs w:val="20"/>
                <w:lang w:eastAsia="fr-FR" w:bidi="ar-SA"/>
              </w:rPr>
            </w:pPr>
            <w:r w:rsidRPr="003E176B">
              <w:rPr>
                <w:szCs w:val="20"/>
                <w:lang w:eastAsia="fr-FR" w:bidi="ar-SA"/>
              </w:rPr>
              <w:t>Accès restreint aux zones de vidange aux seuls opérateurs autorisés.</w:t>
            </w:r>
          </w:p>
        </w:tc>
        <w:tc>
          <w:tcPr>
            <w:tcW w:w="1949" w:type="dxa"/>
            <w:vMerge w:val="restart"/>
            <w:hideMark/>
          </w:tcPr>
          <w:p w14:paraId="6A697E82" w14:textId="77777777" w:rsidR="00780CEC" w:rsidRPr="003E176B" w:rsidRDefault="00780CEC" w:rsidP="00780CEC">
            <w:pPr>
              <w:cnfStyle w:val="000000000000" w:firstRow="0" w:lastRow="0" w:firstColumn="0" w:lastColumn="0" w:oddVBand="0" w:evenVBand="0" w:oddHBand="0" w:evenHBand="0" w:firstRowFirstColumn="0" w:firstRowLastColumn="0" w:lastRowFirstColumn="0" w:lastRowLastColumn="0"/>
              <w:rPr>
                <w:szCs w:val="20"/>
                <w:lang w:eastAsia="fr-FR" w:bidi="ar-SA"/>
              </w:rPr>
            </w:pPr>
            <w:r w:rsidRPr="003E176B">
              <w:rPr>
                <w:szCs w:val="20"/>
                <w:lang w:eastAsia="fr-FR" w:bidi="ar-SA"/>
              </w:rPr>
              <w:t>Conformité EPI / Fiches d’accès</w:t>
            </w:r>
          </w:p>
        </w:tc>
        <w:tc>
          <w:tcPr>
            <w:tcW w:w="1068" w:type="dxa"/>
            <w:vMerge w:val="restart"/>
            <w:hideMark/>
          </w:tcPr>
          <w:p w14:paraId="6C27433A" w14:textId="3C0BC3FD" w:rsidR="00780CEC" w:rsidRPr="003E176B" w:rsidRDefault="00780CEC" w:rsidP="00780CEC">
            <w:pPr>
              <w:cnfStyle w:val="000000000000" w:firstRow="0" w:lastRow="0" w:firstColumn="0" w:lastColumn="0" w:oddVBand="0" w:evenVBand="0" w:oddHBand="0" w:evenHBand="0" w:firstRowFirstColumn="0" w:firstRowLastColumn="0" w:lastRowFirstColumn="0" w:lastRowLastColumn="0"/>
              <w:rPr>
                <w:szCs w:val="20"/>
                <w:lang w:eastAsia="fr-FR" w:bidi="ar-SA"/>
              </w:rPr>
            </w:pPr>
            <w:r w:rsidRPr="002E0EF5">
              <w:rPr>
                <w:szCs w:val="20"/>
                <w:lang w:eastAsia="zh-CN" w:bidi="ar-SA"/>
              </w:rPr>
              <w:t>EPC / Sous-traitants</w:t>
            </w:r>
          </w:p>
        </w:tc>
        <w:tc>
          <w:tcPr>
            <w:tcW w:w="1599" w:type="dxa"/>
            <w:vMerge w:val="restart"/>
            <w:hideMark/>
          </w:tcPr>
          <w:p w14:paraId="394AE788" w14:textId="57F03BB6" w:rsidR="00780CEC" w:rsidRPr="003E176B" w:rsidRDefault="00780CEC" w:rsidP="00780CEC">
            <w:pPr>
              <w:cnfStyle w:val="000000000000" w:firstRow="0" w:lastRow="0" w:firstColumn="0" w:lastColumn="0" w:oddVBand="0" w:evenVBand="0" w:oddHBand="0" w:evenHBand="0" w:firstRowFirstColumn="0" w:firstRowLastColumn="0" w:lastRowFirstColumn="0" w:lastRowLastColumn="0"/>
              <w:rPr>
                <w:szCs w:val="20"/>
                <w:lang w:eastAsia="fr-FR" w:bidi="ar-SA"/>
              </w:rPr>
            </w:pPr>
            <w:r w:rsidRPr="002E0EF5">
              <w:rPr>
                <w:szCs w:val="20"/>
                <w:lang w:eastAsia="zh-CN" w:bidi="ar-SA"/>
              </w:rPr>
              <w:t>Bureau de contrôle / Consultant mandaté par l’ONDA</w:t>
            </w:r>
          </w:p>
        </w:tc>
        <w:tc>
          <w:tcPr>
            <w:tcW w:w="749" w:type="dxa"/>
            <w:vMerge w:val="restart"/>
            <w:hideMark/>
          </w:tcPr>
          <w:p w14:paraId="09A10FC5" w14:textId="5D0176D8" w:rsidR="00780CEC" w:rsidRPr="003E176B" w:rsidRDefault="00780CEC" w:rsidP="00780CEC">
            <w:pPr>
              <w:cnfStyle w:val="000000000000" w:firstRow="0" w:lastRow="0" w:firstColumn="0" w:lastColumn="0" w:oddVBand="0" w:evenVBand="0" w:oddHBand="0" w:evenHBand="0" w:firstRowFirstColumn="0" w:firstRowLastColumn="0" w:lastRowFirstColumn="0" w:lastRowLastColumn="0"/>
              <w:rPr>
                <w:szCs w:val="20"/>
                <w:lang w:eastAsia="fr-FR" w:bidi="ar-SA"/>
              </w:rPr>
            </w:pPr>
            <w:r w:rsidRPr="002E0EF5">
              <w:rPr>
                <w:szCs w:val="20"/>
                <w:lang w:eastAsia="zh-CN" w:bidi="ar-SA"/>
              </w:rPr>
              <w:t>ONDA</w:t>
            </w:r>
          </w:p>
        </w:tc>
        <w:tc>
          <w:tcPr>
            <w:tcW w:w="1996" w:type="dxa"/>
            <w:vMerge w:val="restart"/>
          </w:tcPr>
          <w:p w14:paraId="60E08550" w14:textId="1B2E85D8" w:rsidR="00780CEC" w:rsidRPr="002E0EF5" w:rsidRDefault="0080063F" w:rsidP="00780CEC">
            <w:pPr>
              <w:cnfStyle w:val="000000000000" w:firstRow="0" w:lastRow="0" w:firstColumn="0" w:lastColumn="0" w:oddVBand="0" w:evenVBand="0" w:oddHBand="0" w:evenHBand="0" w:firstRowFirstColumn="0" w:firstRowLastColumn="0" w:lastRowFirstColumn="0" w:lastRowLastColumn="0"/>
              <w:rPr>
                <w:szCs w:val="20"/>
                <w:lang w:eastAsia="fr-FR" w:bidi="ar-SA"/>
              </w:rPr>
            </w:pPr>
            <w:r w:rsidRPr="0080063F">
              <w:rPr>
                <w:szCs w:val="20"/>
                <w:lang w:eastAsia="fr-FR" w:bidi="ar-SA"/>
              </w:rPr>
              <w:t>≈</w:t>
            </w:r>
            <w:r>
              <w:rPr>
                <w:szCs w:val="20"/>
                <w:lang w:eastAsia="fr-FR" w:bidi="ar-SA"/>
              </w:rPr>
              <w:t xml:space="preserve"> 350 et 1000 MAD/kit selon </w:t>
            </w:r>
            <w:r w:rsidR="00C207D7">
              <w:rPr>
                <w:szCs w:val="20"/>
                <w:lang w:eastAsia="fr-FR" w:bidi="ar-SA"/>
              </w:rPr>
              <w:t>la qualité</w:t>
            </w:r>
          </w:p>
        </w:tc>
      </w:tr>
      <w:tr w:rsidR="00780CEC" w:rsidRPr="002E0EF5" w14:paraId="7C45A23E" w14:textId="77777777" w:rsidTr="00DF23B5">
        <w:trPr>
          <w:trHeight w:val="920"/>
        </w:trPr>
        <w:tc>
          <w:tcPr>
            <w:cnfStyle w:val="001000000000" w:firstRow="0" w:lastRow="0" w:firstColumn="1" w:lastColumn="0" w:oddVBand="0" w:evenVBand="0" w:oddHBand="0" w:evenHBand="0" w:firstRowFirstColumn="0" w:firstRowLastColumn="0" w:lastRowFirstColumn="0" w:lastRowLastColumn="0"/>
            <w:tcW w:w="1539" w:type="dxa"/>
            <w:vMerge/>
          </w:tcPr>
          <w:p w14:paraId="62E469DD" w14:textId="77777777" w:rsidR="00780CEC" w:rsidRPr="002E0EF5" w:rsidRDefault="00780CEC" w:rsidP="00780CEC">
            <w:pPr>
              <w:rPr>
                <w:szCs w:val="20"/>
                <w:lang w:eastAsia="fr-FR" w:bidi="ar-SA"/>
              </w:rPr>
            </w:pPr>
          </w:p>
        </w:tc>
        <w:tc>
          <w:tcPr>
            <w:tcW w:w="1434" w:type="dxa"/>
            <w:vMerge/>
          </w:tcPr>
          <w:p w14:paraId="6FBE1D45" w14:textId="77777777" w:rsidR="00780CEC" w:rsidRPr="003E176B" w:rsidRDefault="00780CEC" w:rsidP="00780CEC">
            <w:pPr>
              <w:cnfStyle w:val="000000000000" w:firstRow="0" w:lastRow="0" w:firstColumn="0" w:lastColumn="0" w:oddVBand="0" w:evenVBand="0" w:oddHBand="0" w:evenHBand="0" w:firstRowFirstColumn="0" w:firstRowLastColumn="0" w:lastRowFirstColumn="0" w:lastRowLastColumn="0"/>
              <w:rPr>
                <w:b/>
                <w:bCs/>
                <w:szCs w:val="20"/>
                <w:lang w:eastAsia="fr-FR" w:bidi="ar-SA"/>
              </w:rPr>
            </w:pPr>
          </w:p>
        </w:tc>
        <w:tc>
          <w:tcPr>
            <w:tcW w:w="3800" w:type="dxa"/>
            <w:tcBorders>
              <w:top w:val="single" w:sz="4" w:space="0" w:color="B4C6E7" w:themeColor="accent1" w:themeTint="66"/>
            </w:tcBorders>
          </w:tcPr>
          <w:p w14:paraId="6B75E609" w14:textId="77777777" w:rsidR="00780CEC" w:rsidRPr="003E176B" w:rsidRDefault="00780CEC" w:rsidP="00780CEC">
            <w:pPr>
              <w:cnfStyle w:val="000000000000" w:firstRow="0" w:lastRow="0" w:firstColumn="0" w:lastColumn="0" w:oddVBand="0" w:evenVBand="0" w:oddHBand="0" w:evenHBand="0" w:firstRowFirstColumn="0" w:firstRowLastColumn="0" w:lastRowFirstColumn="0" w:lastRowLastColumn="0"/>
              <w:rPr>
                <w:szCs w:val="20"/>
                <w:lang w:eastAsia="fr-FR" w:bidi="ar-SA"/>
              </w:rPr>
            </w:pPr>
            <w:r w:rsidRPr="003E176B">
              <w:rPr>
                <w:szCs w:val="20"/>
                <w:lang w:eastAsia="fr-FR" w:bidi="ar-SA"/>
              </w:rPr>
              <w:t>Port obligatoire d’EPI adaptés (gants nitrile, bottes, lunettes, combinaison).</w:t>
            </w:r>
          </w:p>
        </w:tc>
        <w:tc>
          <w:tcPr>
            <w:tcW w:w="1949" w:type="dxa"/>
            <w:vMerge/>
          </w:tcPr>
          <w:p w14:paraId="2506DEC8" w14:textId="77777777" w:rsidR="00780CEC" w:rsidRPr="003E176B" w:rsidRDefault="00780CEC" w:rsidP="00780CEC">
            <w:pPr>
              <w:cnfStyle w:val="000000000000" w:firstRow="0" w:lastRow="0" w:firstColumn="0" w:lastColumn="0" w:oddVBand="0" w:evenVBand="0" w:oddHBand="0" w:evenHBand="0" w:firstRowFirstColumn="0" w:firstRowLastColumn="0" w:lastRowFirstColumn="0" w:lastRowLastColumn="0"/>
              <w:rPr>
                <w:szCs w:val="20"/>
                <w:lang w:eastAsia="fr-FR" w:bidi="ar-SA"/>
              </w:rPr>
            </w:pPr>
          </w:p>
        </w:tc>
        <w:tc>
          <w:tcPr>
            <w:tcW w:w="1068" w:type="dxa"/>
            <w:vMerge/>
          </w:tcPr>
          <w:p w14:paraId="139D6DB5" w14:textId="77777777" w:rsidR="00780CEC" w:rsidRPr="002E0EF5" w:rsidRDefault="00780CEC" w:rsidP="00780CEC">
            <w:pPr>
              <w:cnfStyle w:val="000000000000" w:firstRow="0" w:lastRow="0" w:firstColumn="0" w:lastColumn="0" w:oddVBand="0" w:evenVBand="0" w:oddHBand="0" w:evenHBand="0" w:firstRowFirstColumn="0" w:firstRowLastColumn="0" w:lastRowFirstColumn="0" w:lastRowLastColumn="0"/>
              <w:rPr>
                <w:szCs w:val="20"/>
                <w:lang w:eastAsia="zh-CN" w:bidi="ar-SA"/>
              </w:rPr>
            </w:pPr>
          </w:p>
        </w:tc>
        <w:tc>
          <w:tcPr>
            <w:tcW w:w="1599" w:type="dxa"/>
            <w:vMerge/>
          </w:tcPr>
          <w:p w14:paraId="1986846F" w14:textId="77777777" w:rsidR="00780CEC" w:rsidRPr="002E0EF5" w:rsidRDefault="00780CEC" w:rsidP="00780CEC">
            <w:pPr>
              <w:cnfStyle w:val="000000000000" w:firstRow="0" w:lastRow="0" w:firstColumn="0" w:lastColumn="0" w:oddVBand="0" w:evenVBand="0" w:oddHBand="0" w:evenHBand="0" w:firstRowFirstColumn="0" w:firstRowLastColumn="0" w:lastRowFirstColumn="0" w:lastRowLastColumn="0"/>
              <w:rPr>
                <w:szCs w:val="20"/>
                <w:lang w:eastAsia="zh-CN" w:bidi="ar-SA"/>
              </w:rPr>
            </w:pPr>
          </w:p>
        </w:tc>
        <w:tc>
          <w:tcPr>
            <w:tcW w:w="749" w:type="dxa"/>
            <w:vMerge/>
          </w:tcPr>
          <w:p w14:paraId="58935B55" w14:textId="77777777" w:rsidR="00780CEC" w:rsidRPr="002E0EF5" w:rsidRDefault="00780CEC" w:rsidP="00780CEC">
            <w:pPr>
              <w:cnfStyle w:val="000000000000" w:firstRow="0" w:lastRow="0" w:firstColumn="0" w:lastColumn="0" w:oddVBand="0" w:evenVBand="0" w:oddHBand="0" w:evenHBand="0" w:firstRowFirstColumn="0" w:firstRowLastColumn="0" w:lastRowFirstColumn="0" w:lastRowLastColumn="0"/>
              <w:rPr>
                <w:szCs w:val="20"/>
                <w:lang w:eastAsia="zh-CN" w:bidi="ar-SA"/>
              </w:rPr>
            </w:pPr>
          </w:p>
        </w:tc>
        <w:tc>
          <w:tcPr>
            <w:tcW w:w="1996" w:type="dxa"/>
            <w:vMerge/>
          </w:tcPr>
          <w:p w14:paraId="2823B0E2" w14:textId="77777777" w:rsidR="00780CEC" w:rsidRPr="002E0EF5" w:rsidRDefault="00780CEC" w:rsidP="00780CEC">
            <w:pPr>
              <w:cnfStyle w:val="000000000000" w:firstRow="0" w:lastRow="0" w:firstColumn="0" w:lastColumn="0" w:oddVBand="0" w:evenVBand="0" w:oddHBand="0" w:evenHBand="0" w:firstRowFirstColumn="0" w:firstRowLastColumn="0" w:lastRowFirstColumn="0" w:lastRowLastColumn="0"/>
              <w:rPr>
                <w:szCs w:val="20"/>
                <w:lang w:eastAsia="fr-FR" w:bidi="ar-SA"/>
              </w:rPr>
            </w:pPr>
          </w:p>
        </w:tc>
      </w:tr>
      <w:tr w:rsidR="00780CEC" w:rsidRPr="002E0EF5" w14:paraId="4794F4FA" w14:textId="20672D00" w:rsidTr="00DF23B5">
        <w:trPr>
          <w:trHeight w:val="747"/>
        </w:trPr>
        <w:tc>
          <w:tcPr>
            <w:cnfStyle w:val="001000000000" w:firstRow="0" w:lastRow="0" w:firstColumn="1" w:lastColumn="0" w:oddVBand="0" w:evenVBand="0" w:oddHBand="0" w:evenHBand="0" w:firstRowFirstColumn="0" w:firstRowLastColumn="0" w:lastRowFirstColumn="0" w:lastRowLastColumn="0"/>
            <w:tcW w:w="1539" w:type="dxa"/>
            <w:vMerge/>
          </w:tcPr>
          <w:p w14:paraId="04F1052E" w14:textId="77777777" w:rsidR="00780CEC" w:rsidRPr="002E0EF5" w:rsidRDefault="00780CEC" w:rsidP="00780CEC">
            <w:pPr>
              <w:rPr>
                <w:b w:val="0"/>
                <w:bCs w:val="0"/>
                <w:szCs w:val="20"/>
                <w:lang w:eastAsia="fr-FR" w:bidi="ar-SA"/>
              </w:rPr>
            </w:pPr>
          </w:p>
        </w:tc>
        <w:tc>
          <w:tcPr>
            <w:tcW w:w="1434" w:type="dxa"/>
            <w:vMerge w:val="restart"/>
            <w:hideMark/>
          </w:tcPr>
          <w:p w14:paraId="68150023" w14:textId="47EA5CA5" w:rsidR="00780CEC" w:rsidRPr="003E176B" w:rsidRDefault="00780CEC" w:rsidP="00780CEC">
            <w:pPr>
              <w:cnfStyle w:val="000000000000" w:firstRow="0" w:lastRow="0" w:firstColumn="0" w:lastColumn="0" w:oddVBand="0" w:evenVBand="0" w:oddHBand="0" w:evenHBand="0" w:firstRowFirstColumn="0" w:firstRowLastColumn="0" w:lastRowFirstColumn="0" w:lastRowLastColumn="0"/>
              <w:rPr>
                <w:b/>
                <w:bCs/>
                <w:szCs w:val="20"/>
                <w:lang w:eastAsia="fr-FR" w:bidi="ar-SA"/>
              </w:rPr>
            </w:pPr>
            <w:r w:rsidRPr="003E176B">
              <w:rPr>
                <w:b/>
                <w:bCs/>
                <w:szCs w:val="20"/>
                <w:lang w:eastAsia="fr-FR" w:bidi="ar-SA"/>
              </w:rPr>
              <w:t>Réduire</w:t>
            </w:r>
          </w:p>
        </w:tc>
        <w:tc>
          <w:tcPr>
            <w:tcW w:w="3800" w:type="dxa"/>
            <w:tcBorders>
              <w:bottom w:val="single" w:sz="4" w:space="0" w:color="B4C6E7" w:themeColor="accent1" w:themeTint="66"/>
            </w:tcBorders>
            <w:hideMark/>
          </w:tcPr>
          <w:p w14:paraId="08B33602" w14:textId="0D8BA5C3" w:rsidR="00780CEC" w:rsidRPr="003E176B" w:rsidRDefault="00780CEC" w:rsidP="00780CEC">
            <w:pPr>
              <w:cnfStyle w:val="000000000000" w:firstRow="0" w:lastRow="0" w:firstColumn="0" w:lastColumn="0" w:oddVBand="0" w:evenVBand="0" w:oddHBand="0" w:evenHBand="0" w:firstRowFirstColumn="0" w:firstRowLastColumn="0" w:lastRowFirstColumn="0" w:lastRowLastColumn="0"/>
              <w:rPr>
                <w:szCs w:val="20"/>
                <w:lang w:eastAsia="fr-FR" w:bidi="ar-SA"/>
              </w:rPr>
            </w:pPr>
            <w:r w:rsidRPr="003E176B">
              <w:rPr>
                <w:szCs w:val="20"/>
                <w:lang w:eastAsia="fr-FR" w:bidi="ar-SA"/>
              </w:rPr>
              <w:t>Mise à disposition d’installations de lavage et désinfection des mains.</w:t>
            </w:r>
          </w:p>
        </w:tc>
        <w:tc>
          <w:tcPr>
            <w:tcW w:w="1949" w:type="dxa"/>
            <w:vMerge w:val="restart"/>
            <w:hideMark/>
          </w:tcPr>
          <w:p w14:paraId="5E2B956F" w14:textId="77777777" w:rsidR="00780CEC" w:rsidRPr="003E176B" w:rsidRDefault="00780CEC" w:rsidP="00780CEC">
            <w:pPr>
              <w:cnfStyle w:val="000000000000" w:firstRow="0" w:lastRow="0" w:firstColumn="0" w:lastColumn="0" w:oddVBand="0" w:evenVBand="0" w:oddHBand="0" w:evenHBand="0" w:firstRowFirstColumn="0" w:firstRowLastColumn="0" w:lastRowFirstColumn="0" w:lastRowLastColumn="0"/>
              <w:rPr>
                <w:szCs w:val="20"/>
                <w:lang w:eastAsia="fr-FR" w:bidi="ar-SA"/>
              </w:rPr>
            </w:pPr>
            <w:r w:rsidRPr="003E176B">
              <w:rPr>
                <w:szCs w:val="20"/>
                <w:lang w:eastAsia="fr-FR" w:bidi="ar-SA"/>
              </w:rPr>
              <w:t>Nombre de formations / Présence de stations de lavage</w:t>
            </w:r>
          </w:p>
        </w:tc>
        <w:tc>
          <w:tcPr>
            <w:tcW w:w="1068" w:type="dxa"/>
            <w:vMerge w:val="restart"/>
            <w:hideMark/>
          </w:tcPr>
          <w:p w14:paraId="4910B1B2" w14:textId="5489ECD6" w:rsidR="00780CEC" w:rsidRPr="003E176B" w:rsidRDefault="00780CEC" w:rsidP="00780CEC">
            <w:pPr>
              <w:cnfStyle w:val="000000000000" w:firstRow="0" w:lastRow="0" w:firstColumn="0" w:lastColumn="0" w:oddVBand="0" w:evenVBand="0" w:oddHBand="0" w:evenHBand="0" w:firstRowFirstColumn="0" w:firstRowLastColumn="0" w:lastRowFirstColumn="0" w:lastRowLastColumn="0"/>
              <w:rPr>
                <w:szCs w:val="20"/>
                <w:lang w:eastAsia="fr-FR" w:bidi="ar-SA"/>
              </w:rPr>
            </w:pPr>
            <w:r w:rsidRPr="002E0EF5">
              <w:rPr>
                <w:szCs w:val="20"/>
                <w:lang w:eastAsia="zh-CN" w:bidi="ar-SA"/>
              </w:rPr>
              <w:t>EPC / Sous-traitants</w:t>
            </w:r>
          </w:p>
        </w:tc>
        <w:tc>
          <w:tcPr>
            <w:tcW w:w="1599" w:type="dxa"/>
            <w:vMerge w:val="restart"/>
            <w:hideMark/>
          </w:tcPr>
          <w:p w14:paraId="207DC27F" w14:textId="6EEDB901" w:rsidR="00780CEC" w:rsidRPr="003E176B" w:rsidRDefault="00780CEC" w:rsidP="00780CEC">
            <w:pPr>
              <w:cnfStyle w:val="000000000000" w:firstRow="0" w:lastRow="0" w:firstColumn="0" w:lastColumn="0" w:oddVBand="0" w:evenVBand="0" w:oddHBand="0" w:evenHBand="0" w:firstRowFirstColumn="0" w:firstRowLastColumn="0" w:lastRowFirstColumn="0" w:lastRowLastColumn="0"/>
              <w:rPr>
                <w:szCs w:val="20"/>
                <w:lang w:eastAsia="fr-FR" w:bidi="ar-SA"/>
              </w:rPr>
            </w:pPr>
            <w:r w:rsidRPr="002E0EF5">
              <w:rPr>
                <w:szCs w:val="20"/>
                <w:lang w:eastAsia="zh-CN" w:bidi="ar-SA"/>
              </w:rPr>
              <w:t>Bureau de contrôle / Consultant mandaté par l’ONDA</w:t>
            </w:r>
          </w:p>
        </w:tc>
        <w:tc>
          <w:tcPr>
            <w:tcW w:w="749" w:type="dxa"/>
            <w:vMerge w:val="restart"/>
            <w:hideMark/>
          </w:tcPr>
          <w:p w14:paraId="139B4AE5" w14:textId="7F508EE4" w:rsidR="00780CEC" w:rsidRPr="003E176B" w:rsidRDefault="00780CEC" w:rsidP="00780CEC">
            <w:pPr>
              <w:cnfStyle w:val="000000000000" w:firstRow="0" w:lastRow="0" w:firstColumn="0" w:lastColumn="0" w:oddVBand="0" w:evenVBand="0" w:oddHBand="0" w:evenHBand="0" w:firstRowFirstColumn="0" w:firstRowLastColumn="0" w:lastRowFirstColumn="0" w:lastRowLastColumn="0"/>
              <w:rPr>
                <w:szCs w:val="20"/>
                <w:lang w:eastAsia="fr-FR" w:bidi="ar-SA"/>
              </w:rPr>
            </w:pPr>
            <w:r w:rsidRPr="002E0EF5">
              <w:rPr>
                <w:szCs w:val="20"/>
                <w:lang w:eastAsia="zh-CN" w:bidi="ar-SA"/>
              </w:rPr>
              <w:t>ONDA</w:t>
            </w:r>
          </w:p>
        </w:tc>
        <w:tc>
          <w:tcPr>
            <w:tcW w:w="1996" w:type="dxa"/>
            <w:tcBorders>
              <w:bottom w:val="single" w:sz="4" w:space="0" w:color="B4C6E7" w:themeColor="accent1" w:themeTint="66"/>
            </w:tcBorders>
          </w:tcPr>
          <w:p w14:paraId="313611CC" w14:textId="62D174ED" w:rsidR="00780CEC" w:rsidRPr="002E0EF5" w:rsidRDefault="00C207D7" w:rsidP="00780CEC">
            <w:pPr>
              <w:cnfStyle w:val="000000000000" w:firstRow="0" w:lastRow="0" w:firstColumn="0" w:lastColumn="0" w:oddVBand="0" w:evenVBand="0" w:oddHBand="0" w:evenHBand="0" w:firstRowFirstColumn="0" w:firstRowLastColumn="0" w:lastRowFirstColumn="0" w:lastRowLastColumn="0"/>
              <w:rPr>
                <w:szCs w:val="20"/>
                <w:lang w:eastAsia="fr-FR" w:bidi="ar-SA"/>
              </w:rPr>
            </w:pPr>
            <w:r w:rsidRPr="00C207D7">
              <w:rPr>
                <w:szCs w:val="20"/>
                <w:lang w:eastAsia="fr-FR" w:bidi="ar-SA"/>
              </w:rPr>
              <w:t>≈ 2 000 MAD / poste</w:t>
            </w:r>
            <w:r>
              <w:rPr>
                <w:szCs w:val="20"/>
                <w:lang w:eastAsia="fr-FR" w:bidi="ar-SA"/>
              </w:rPr>
              <w:t xml:space="preserve"> (</w:t>
            </w:r>
            <w:r w:rsidRPr="00C207D7">
              <w:rPr>
                <w:szCs w:val="20"/>
                <w:lang w:eastAsia="fr-FR" w:bidi="ar-SA"/>
              </w:rPr>
              <w:t>Poste de lavage autonome (cuve 60 L, savon, solution hydroalcoolique, papier)</w:t>
            </w:r>
          </w:p>
        </w:tc>
      </w:tr>
      <w:tr w:rsidR="00780CEC" w:rsidRPr="002E0EF5" w14:paraId="61A11025" w14:textId="77777777" w:rsidTr="00DF23B5">
        <w:trPr>
          <w:trHeight w:val="893"/>
        </w:trPr>
        <w:tc>
          <w:tcPr>
            <w:cnfStyle w:val="001000000000" w:firstRow="0" w:lastRow="0" w:firstColumn="1" w:lastColumn="0" w:oddVBand="0" w:evenVBand="0" w:oddHBand="0" w:evenHBand="0" w:firstRowFirstColumn="0" w:firstRowLastColumn="0" w:lastRowFirstColumn="0" w:lastRowLastColumn="0"/>
            <w:tcW w:w="1539" w:type="dxa"/>
            <w:vMerge/>
          </w:tcPr>
          <w:p w14:paraId="2D862469" w14:textId="77777777" w:rsidR="00780CEC" w:rsidRPr="002E0EF5" w:rsidRDefault="00780CEC" w:rsidP="00780CEC">
            <w:pPr>
              <w:rPr>
                <w:b w:val="0"/>
                <w:bCs w:val="0"/>
                <w:szCs w:val="20"/>
                <w:lang w:eastAsia="fr-FR" w:bidi="ar-SA"/>
              </w:rPr>
            </w:pPr>
          </w:p>
        </w:tc>
        <w:tc>
          <w:tcPr>
            <w:tcW w:w="1434" w:type="dxa"/>
            <w:vMerge/>
          </w:tcPr>
          <w:p w14:paraId="0E2F9A7A" w14:textId="77777777" w:rsidR="00780CEC" w:rsidRPr="003E176B" w:rsidRDefault="00780CEC" w:rsidP="00780CEC">
            <w:pPr>
              <w:cnfStyle w:val="000000000000" w:firstRow="0" w:lastRow="0" w:firstColumn="0" w:lastColumn="0" w:oddVBand="0" w:evenVBand="0" w:oddHBand="0" w:evenHBand="0" w:firstRowFirstColumn="0" w:firstRowLastColumn="0" w:lastRowFirstColumn="0" w:lastRowLastColumn="0"/>
              <w:rPr>
                <w:b/>
                <w:bCs/>
                <w:szCs w:val="20"/>
                <w:lang w:eastAsia="fr-FR" w:bidi="ar-SA"/>
              </w:rPr>
            </w:pPr>
          </w:p>
        </w:tc>
        <w:tc>
          <w:tcPr>
            <w:tcW w:w="3800" w:type="dxa"/>
            <w:tcBorders>
              <w:top w:val="single" w:sz="4" w:space="0" w:color="B4C6E7" w:themeColor="accent1" w:themeTint="66"/>
            </w:tcBorders>
          </w:tcPr>
          <w:p w14:paraId="5345F4FD" w14:textId="77777777" w:rsidR="00780CEC" w:rsidRPr="003E176B" w:rsidRDefault="00780CEC" w:rsidP="00780CEC">
            <w:pPr>
              <w:cnfStyle w:val="000000000000" w:firstRow="0" w:lastRow="0" w:firstColumn="0" w:lastColumn="0" w:oddVBand="0" w:evenVBand="0" w:oddHBand="0" w:evenHBand="0" w:firstRowFirstColumn="0" w:firstRowLastColumn="0" w:lastRowFirstColumn="0" w:lastRowLastColumn="0"/>
              <w:rPr>
                <w:szCs w:val="20"/>
                <w:lang w:eastAsia="fr-FR" w:bidi="ar-SA"/>
              </w:rPr>
            </w:pPr>
            <w:r w:rsidRPr="003E176B">
              <w:rPr>
                <w:szCs w:val="20"/>
                <w:lang w:eastAsia="fr-FR" w:bidi="ar-SA"/>
              </w:rPr>
              <w:t>Formation HSE sur les risques biologiques.</w:t>
            </w:r>
          </w:p>
        </w:tc>
        <w:tc>
          <w:tcPr>
            <w:tcW w:w="1949" w:type="dxa"/>
            <w:vMerge/>
          </w:tcPr>
          <w:p w14:paraId="3DD4705E" w14:textId="77777777" w:rsidR="00780CEC" w:rsidRPr="003E176B" w:rsidRDefault="00780CEC" w:rsidP="00780CEC">
            <w:pPr>
              <w:cnfStyle w:val="000000000000" w:firstRow="0" w:lastRow="0" w:firstColumn="0" w:lastColumn="0" w:oddVBand="0" w:evenVBand="0" w:oddHBand="0" w:evenHBand="0" w:firstRowFirstColumn="0" w:firstRowLastColumn="0" w:lastRowFirstColumn="0" w:lastRowLastColumn="0"/>
              <w:rPr>
                <w:szCs w:val="20"/>
                <w:lang w:eastAsia="fr-FR" w:bidi="ar-SA"/>
              </w:rPr>
            </w:pPr>
          </w:p>
        </w:tc>
        <w:tc>
          <w:tcPr>
            <w:tcW w:w="1068" w:type="dxa"/>
            <w:vMerge/>
          </w:tcPr>
          <w:p w14:paraId="19E7938D" w14:textId="77777777" w:rsidR="00780CEC" w:rsidRPr="002E0EF5" w:rsidRDefault="00780CEC" w:rsidP="00780CEC">
            <w:pPr>
              <w:cnfStyle w:val="000000000000" w:firstRow="0" w:lastRow="0" w:firstColumn="0" w:lastColumn="0" w:oddVBand="0" w:evenVBand="0" w:oddHBand="0" w:evenHBand="0" w:firstRowFirstColumn="0" w:firstRowLastColumn="0" w:lastRowFirstColumn="0" w:lastRowLastColumn="0"/>
              <w:rPr>
                <w:szCs w:val="20"/>
                <w:lang w:eastAsia="zh-CN" w:bidi="ar-SA"/>
              </w:rPr>
            </w:pPr>
          </w:p>
        </w:tc>
        <w:tc>
          <w:tcPr>
            <w:tcW w:w="1599" w:type="dxa"/>
            <w:vMerge/>
          </w:tcPr>
          <w:p w14:paraId="6414540C" w14:textId="77777777" w:rsidR="00780CEC" w:rsidRPr="002E0EF5" w:rsidRDefault="00780CEC" w:rsidP="00780CEC">
            <w:pPr>
              <w:cnfStyle w:val="000000000000" w:firstRow="0" w:lastRow="0" w:firstColumn="0" w:lastColumn="0" w:oddVBand="0" w:evenVBand="0" w:oddHBand="0" w:evenHBand="0" w:firstRowFirstColumn="0" w:firstRowLastColumn="0" w:lastRowFirstColumn="0" w:lastRowLastColumn="0"/>
              <w:rPr>
                <w:szCs w:val="20"/>
                <w:lang w:eastAsia="zh-CN" w:bidi="ar-SA"/>
              </w:rPr>
            </w:pPr>
          </w:p>
        </w:tc>
        <w:tc>
          <w:tcPr>
            <w:tcW w:w="749" w:type="dxa"/>
            <w:vMerge/>
          </w:tcPr>
          <w:p w14:paraId="7AE949AA" w14:textId="77777777" w:rsidR="00780CEC" w:rsidRPr="002E0EF5" w:rsidRDefault="00780CEC" w:rsidP="00780CEC">
            <w:pPr>
              <w:cnfStyle w:val="000000000000" w:firstRow="0" w:lastRow="0" w:firstColumn="0" w:lastColumn="0" w:oddVBand="0" w:evenVBand="0" w:oddHBand="0" w:evenHBand="0" w:firstRowFirstColumn="0" w:firstRowLastColumn="0" w:lastRowFirstColumn="0" w:lastRowLastColumn="0"/>
              <w:rPr>
                <w:szCs w:val="20"/>
                <w:lang w:eastAsia="zh-CN" w:bidi="ar-SA"/>
              </w:rPr>
            </w:pPr>
          </w:p>
        </w:tc>
        <w:tc>
          <w:tcPr>
            <w:tcW w:w="1996" w:type="dxa"/>
            <w:tcBorders>
              <w:top w:val="single" w:sz="4" w:space="0" w:color="B4C6E7" w:themeColor="accent1" w:themeTint="66"/>
            </w:tcBorders>
          </w:tcPr>
          <w:p w14:paraId="62BC01E1" w14:textId="536D0728" w:rsidR="00780CEC" w:rsidRPr="002E0EF5" w:rsidRDefault="00C207D7" w:rsidP="00780CEC">
            <w:pPr>
              <w:cnfStyle w:val="000000000000" w:firstRow="0" w:lastRow="0" w:firstColumn="0" w:lastColumn="0" w:oddVBand="0" w:evenVBand="0" w:oddHBand="0" w:evenHBand="0" w:firstRowFirstColumn="0" w:firstRowLastColumn="0" w:lastRowFirstColumn="0" w:lastRowLastColumn="0"/>
              <w:rPr>
                <w:szCs w:val="20"/>
                <w:lang w:eastAsia="fr-FR" w:bidi="ar-SA"/>
              </w:rPr>
            </w:pPr>
            <w:r w:rsidRPr="00C207D7">
              <w:rPr>
                <w:szCs w:val="20"/>
                <w:lang w:eastAsia="fr-FR" w:bidi="ar-SA"/>
              </w:rPr>
              <w:t>Aucun coût spécifique</w:t>
            </w:r>
            <w:r>
              <w:rPr>
                <w:szCs w:val="20"/>
                <w:lang w:eastAsia="fr-FR" w:bidi="ar-SA"/>
              </w:rPr>
              <w:t xml:space="preserve"> (</w:t>
            </w:r>
            <w:r w:rsidRPr="00C207D7">
              <w:rPr>
                <w:szCs w:val="20"/>
                <w:lang w:eastAsia="fr-FR" w:bidi="ar-SA"/>
              </w:rPr>
              <w:t>Formation interne par le H</w:t>
            </w:r>
            <w:r>
              <w:rPr>
                <w:szCs w:val="20"/>
                <w:lang w:eastAsia="fr-FR" w:bidi="ar-SA"/>
              </w:rPr>
              <w:t>SSE</w:t>
            </w:r>
            <w:r w:rsidRPr="00C207D7">
              <w:rPr>
                <w:szCs w:val="20"/>
                <w:lang w:eastAsia="fr-FR" w:bidi="ar-SA"/>
              </w:rPr>
              <w:t xml:space="preserve"> Manager</w:t>
            </w:r>
            <w:r>
              <w:rPr>
                <w:szCs w:val="20"/>
                <w:lang w:eastAsia="fr-FR" w:bidi="ar-SA"/>
              </w:rPr>
              <w:t>)</w:t>
            </w:r>
          </w:p>
        </w:tc>
      </w:tr>
      <w:tr w:rsidR="00780CEC" w:rsidRPr="002E0EF5" w14:paraId="6587E2BE" w14:textId="02558CD0" w:rsidTr="00DF23B5">
        <w:trPr>
          <w:trHeight w:val="773"/>
        </w:trPr>
        <w:tc>
          <w:tcPr>
            <w:cnfStyle w:val="001000000000" w:firstRow="0" w:lastRow="0" w:firstColumn="1" w:lastColumn="0" w:oddVBand="0" w:evenVBand="0" w:oddHBand="0" w:evenHBand="0" w:firstRowFirstColumn="0" w:firstRowLastColumn="0" w:lastRowFirstColumn="0" w:lastRowLastColumn="0"/>
            <w:tcW w:w="1539" w:type="dxa"/>
            <w:vMerge/>
          </w:tcPr>
          <w:p w14:paraId="65E9D108" w14:textId="77777777" w:rsidR="00780CEC" w:rsidRPr="002E0EF5" w:rsidRDefault="00780CEC" w:rsidP="00780CEC">
            <w:pPr>
              <w:rPr>
                <w:b w:val="0"/>
                <w:bCs w:val="0"/>
                <w:szCs w:val="20"/>
                <w:lang w:eastAsia="fr-FR" w:bidi="ar-SA"/>
              </w:rPr>
            </w:pPr>
          </w:p>
        </w:tc>
        <w:tc>
          <w:tcPr>
            <w:tcW w:w="1434" w:type="dxa"/>
            <w:vMerge w:val="restart"/>
            <w:hideMark/>
          </w:tcPr>
          <w:p w14:paraId="38870718" w14:textId="2D606405" w:rsidR="00780CEC" w:rsidRPr="003E176B" w:rsidRDefault="00780CEC" w:rsidP="00780CEC">
            <w:pPr>
              <w:cnfStyle w:val="000000000000" w:firstRow="0" w:lastRow="0" w:firstColumn="0" w:lastColumn="0" w:oddVBand="0" w:evenVBand="0" w:oddHBand="0" w:evenHBand="0" w:firstRowFirstColumn="0" w:firstRowLastColumn="0" w:lastRowFirstColumn="0" w:lastRowLastColumn="0"/>
              <w:rPr>
                <w:b/>
                <w:bCs/>
                <w:szCs w:val="20"/>
                <w:lang w:eastAsia="fr-FR" w:bidi="ar-SA"/>
              </w:rPr>
            </w:pPr>
            <w:r w:rsidRPr="003E176B">
              <w:rPr>
                <w:b/>
                <w:bCs/>
                <w:szCs w:val="20"/>
                <w:lang w:eastAsia="fr-FR" w:bidi="ar-SA"/>
              </w:rPr>
              <w:t>Atténuer</w:t>
            </w:r>
          </w:p>
        </w:tc>
        <w:tc>
          <w:tcPr>
            <w:tcW w:w="3800" w:type="dxa"/>
            <w:tcBorders>
              <w:bottom w:val="single" w:sz="4" w:space="0" w:color="B4C6E7" w:themeColor="accent1" w:themeTint="66"/>
            </w:tcBorders>
            <w:hideMark/>
          </w:tcPr>
          <w:p w14:paraId="2F27E941" w14:textId="1A8F7DC0" w:rsidR="00780CEC" w:rsidRPr="003E176B" w:rsidRDefault="00780CEC" w:rsidP="00780CEC">
            <w:pPr>
              <w:cnfStyle w:val="000000000000" w:firstRow="0" w:lastRow="0" w:firstColumn="0" w:lastColumn="0" w:oddVBand="0" w:evenVBand="0" w:oddHBand="0" w:evenHBand="0" w:firstRowFirstColumn="0" w:firstRowLastColumn="0" w:lastRowFirstColumn="0" w:lastRowLastColumn="0"/>
              <w:rPr>
                <w:szCs w:val="20"/>
                <w:lang w:eastAsia="fr-FR" w:bidi="ar-SA"/>
              </w:rPr>
            </w:pPr>
            <w:r w:rsidRPr="003E176B">
              <w:rPr>
                <w:szCs w:val="20"/>
                <w:lang w:eastAsia="fr-FR" w:bidi="ar-SA"/>
              </w:rPr>
              <w:t>Traitement immédiat et déclaration des cas</w:t>
            </w:r>
            <w:r w:rsidRPr="002E0EF5">
              <w:rPr>
                <w:szCs w:val="20"/>
                <w:lang w:eastAsia="fr-FR" w:bidi="ar-SA"/>
              </w:rPr>
              <w:t xml:space="preserve"> </w:t>
            </w:r>
            <w:r w:rsidRPr="003E176B">
              <w:rPr>
                <w:szCs w:val="20"/>
                <w:lang w:eastAsia="fr-FR" w:bidi="ar-SA"/>
              </w:rPr>
              <w:t>d’exposition accidentelle.</w:t>
            </w:r>
          </w:p>
        </w:tc>
        <w:tc>
          <w:tcPr>
            <w:tcW w:w="1949" w:type="dxa"/>
            <w:vMerge w:val="restart"/>
            <w:hideMark/>
          </w:tcPr>
          <w:p w14:paraId="292C2BAC" w14:textId="77777777" w:rsidR="00780CEC" w:rsidRPr="003E176B" w:rsidRDefault="00780CEC" w:rsidP="00780CEC">
            <w:pPr>
              <w:cnfStyle w:val="000000000000" w:firstRow="0" w:lastRow="0" w:firstColumn="0" w:lastColumn="0" w:oddVBand="0" w:evenVBand="0" w:oddHBand="0" w:evenHBand="0" w:firstRowFirstColumn="0" w:firstRowLastColumn="0" w:lastRowFirstColumn="0" w:lastRowLastColumn="0"/>
              <w:rPr>
                <w:szCs w:val="20"/>
                <w:lang w:eastAsia="fr-FR" w:bidi="ar-SA"/>
              </w:rPr>
            </w:pPr>
            <w:r w:rsidRPr="003E176B">
              <w:rPr>
                <w:szCs w:val="20"/>
                <w:lang w:eastAsia="fr-FR" w:bidi="ar-SA"/>
              </w:rPr>
              <w:t>Délai de déclaration / Nombre d’incidents traités</w:t>
            </w:r>
          </w:p>
        </w:tc>
        <w:tc>
          <w:tcPr>
            <w:tcW w:w="1068" w:type="dxa"/>
            <w:vMerge w:val="restart"/>
            <w:hideMark/>
          </w:tcPr>
          <w:p w14:paraId="1E941CC9" w14:textId="2DC971F3" w:rsidR="00780CEC" w:rsidRPr="003E176B" w:rsidRDefault="00780CEC" w:rsidP="00780CEC">
            <w:pPr>
              <w:cnfStyle w:val="000000000000" w:firstRow="0" w:lastRow="0" w:firstColumn="0" w:lastColumn="0" w:oddVBand="0" w:evenVBand="0" w:oddHBand="0" w:evenHBand="0" w:firstRowFirstColumn="0" w:firstRowLastColumn="0" w:lastRowFirstColumn="0" w:lastRowLastColumn="0"/>
              <w:rPr>
                <w:szCs w:val="20"/>
                <w:lang w:eastAsia="fr-FR" w:bidi="ar-SA"/>
              </w:rPr>
            </w:pPr>
            <w:r w:rsidRPr="002E0EF5">
              <w:rPr>
                <w:szCs w:val="20"/>
                <w:lang w:eastAsia="zh-CN" w:bidi="ar-SA"/>
              </w:rPr>
              <w:t>EPC / Sous-traitants</w:t>
            </w:r>
          </w:p>
        </w:tc>
        <w:tc>
          <w:tcPr>
            <w:tcW w:w="1599" w:type="dxa"/>
            <w:vMerge w:val="restart"/>
            <w:hideMark/>
          </w:tcPr>
          <w:p w14:paraId="33210072" w14:textId="44165B0F" w:rsidR="00780CEC" w:rsidRPr="003E176B" w:rsidRDefault="00780CEC" w:rsidP="00780CEC">
            <w:pPr>
              <w:cnfStyle w:val="000000000000" w:firstRow="0" w:lastRow="0" w:firstColumn="0" w:lastColumn="0" w:oddVBand="0" w:evenVBand="0" w:oddHBand="0" w:evenHBand="0" w:firstRowFirstColumn="0" w:firstRowLastColumn="0" w:lastRowFirstColumn="0" w:lastRowLastColumn="0"/>
              <w:rPr>
                <w:szCs w:val="20"/>
                <w:lang w:eastAsia="fr-FR" w:bidi="ar-SA"/>
              </w:rPr>
            </w:pPr>
            <w:r w:rsidRPr="002E0EF5">
              <w:rPr>
                <w:szCs w:val="20"/>
                <w:lang w:eastAsia="zh-CN" w:bidi="ar-SA"/>
              </w:rPr>
              <w:t>Bureau de contrôle / Consultant mandaté par l’ONDA</w:t>
            </w:r>
          </w:p>
        </w:tc>
        <w:tc>
          <w:tcPr>
            <w:tcW w:w="749" w:type="dxa"/>
            <w:vMerge w:val="restart"/>
            <w:hideMark/>
          </w:tcPr>
          <w:p w14:paraId="141ADC73" w14:textId="0609D2F6" w:rsidR="00780CEC" w:rsidRPr="003E176B" w:rsidRDefault="00780CEC" w:rsidP="00780CEC">
            <w:pPr>
              <w:cnfStyle w:val="000000000000" w:firstRow="0" w:lastRow="0" w:firstColumn="0" w:lastColumn="0" w:oddVBand="0" w:evenVBand="0" w:oddHBand="0" w:evenHBand="0" w:firstRowFirstColumn="0" w:firstRowLastColumn="0" w:lastRowFirstColumn="0" w:lastRowLastColumn="0"/>
              <w:rPr>
                <w:szCs w:val="20"/>
                <w:lang w:eastAsia="fr-FR" w:bidi="ar-SA"/>
              </w:rPr>
            </w:pPr>
            <w:r w:rsidRPr="002E0EF5">
              <w:rPr>
                <w:szCs w:val="20"/>
                <w:lang w:eastAsia="zh-CN" w:bidi="ar-SA"/>
              </w:rPr>
              <w:t>ONDA</w:t>
            </w:r>
          </w:p>
        </w:tc>
        <w:tc>
          <w:tcPr>
            <w:tcW w:w="1996" w:type="dxa"/>
            <w:tcBorders>
              <w:bottom w:val="single" w:sz="4" w:space="0" w:color="B4C6E7" w:themeColor="accent1" w:themeTint="66"/>
            </w:tcBorders>
          </w:tcPr>
          <w:p w14:paraId="2707C8E7" w14:textId="187F908D" w:rsidR="00780CEC" w:rsidRPr="002E0EF5" w:rsidRDefault="004B7BE0" w:rsidP="00780CEC">
            <w:pPr>
              <w:cnfStyle w:val="000000000000" w:firstRow="0" w:lastRow="0" w:firstColumn="0" w:lastColumn="0" w:oddVBand="0" w:evenVBand="0" w:oddHBand="0" w:evenHBand="0" w:firstRowFirstColumn="0" w:firstRowLastColumn="0" w:lastRowFirstColumn="0" w:lastRowLastColumn="0"/>
              <w:rPr>
                <w:szCs w:val="20"/>
                <w:lang w:eastAsia="fr-FR" w:bidi="ar-SA"/>
              </w:rPr>
            </w:pPr>
            <w:r w:rsidRPr="00C207D7">
              <w:rPr>
                <w:szCs w:val="20"/>
                <w:lang w:eastAsia="fr-FR" w:bidi="ar-SA"/>
              </w:rPr>
              <w:t>Aucun coût spécifique</w:t>
            </w:r>
          </w:p>
        </w:tc>
      </w:tr>
      <w:tr w:rsidR="00780CEC" w:rsidRPr="002E0EF5" w14:paraId="185E1DE3" w14:textId="77777777" w:rsidTr="00DF23B5">
        <w:trPr>
          <w:trHeight w:val="867"/>
        </w:trPr>
        <w:tc>
          <w:tcPr>
            <w:cnfStyle w:val="001000000000" w:firstRow="0" w:lastRow="0" w:firstColumn="1" w:lastColumn="0" w:oddVBand="0" w:evenVBand="0" w:oddHBand="0" w:evenHBand="0" w:firstRowFirstColumn="0" w:firstRowLastColumn="0" w:lastRowFirstColumn="0" w:lastRowLastColumn="0"/>
            <w:tcW w:w="1539" w:type="dxa"/>
            <w:vMerge/>
          </w:tcPr>
          <w:p w14:paraId="078A42AD" w14:textId="77777777" w:rsidR="00780CEC" w:rsidRPr="002E0EF5" w:rsidRDefault="00780CEC" w:rsidP="00780CEC">
            <w:pPr>
              <w:rPr>
                <w:b w:val="0"/>
                <w:bCs w:val="0"/>
                <w:szCs w:val="20"/>
                <w:lang w:eastAsia="fr-FR" w:bidi="ar-SA"/>
              </w:rPr>
            </w:pPr>
          </w:p>
        </w:tc>
        <w:tc>
          <w:tcPr>
            <w:tcW w:w="1434" w:type="dxa"/>
            <w:vMerge/>
          </w:tcPr>
          <w:p w14:paraId="5E2CAE54" w14:textId="77777777" w:rsidR="00780CEC" w:rsidRPr="003E176B" w:rsidRDefault="00780CEC" w:rsidP="00780CEC">
            <w:pPr>
              <w:cnfStyle w:val="000000000000" w:firstRow="0" w:lastRow="0" w:firstColumn="0" w:lastColumn="0" w:oddVBand="0" w:evenVBand="0" w:oddHBand="0" w:evenHBand="0" w:firstRowFirstColumn="0" w:firstRowLastColumn="0" w:lastRowFirstColumn="0" w:lastRowLastColumn="0"/>
              <w:rPr>
                <w:b/>
                <w:bCs/>
                <w:szCs w:val="20"/>
                <w:lang w:eastAsia="fr-FR" w:bidi="ar-SA"/>
              </w:rPr>
            </w:pPr>
          </w:p>
        </w:tc>
        <w:tc>
          <w:tcPr>
            <w:tcW w:w="3800" w:type="dxa"/>
            <w:tcBorders>
              <w:top w:val="single" w:sz="4" w:space="0" w:color="B4C6E7" w:themeColor="accent1" w:themeTint="66"/>
            </w:tcBorders>
          </w:tcPr>
          <w:p w14:paraId="7328B14B" w14:textId="77777777" w:rsidR="00780CEC" w:rsidRPr="003E176B" w:rsidRDefault="00780CEC" w:rsidP="00780CEC">
            <w:pPr>
              <w:cnfStyle w:val="000000000000" w:firstRow="0" w:lastRow="0" w:firstColumn="0" w:lastColumn="0" w:oddVBand="0" w:evenVBand="0" w:oddHBand="0" w:evenHBand="0" w:firstRowFirstColumn="0" w:firstRowLastColumn="0" w:lastRowFirstColumn="0" w:lastRowLastColumn="0"/>
              <w:rPr>
                <w:szCs w:val="20"/>
                <w:lang w:eastAsia="fr-FR" w:bidi="ar-SA"/>
              </w:rPr>
            </w:pPr>
            <w:r w:rsidRPr="003E176B">
              <w:rPr>
                <w:szCs w:val="20"/>
                <w:lang w:eastAsia="fr-FR" w:bidi="ar-SA"/>
              </w:rPr>
              <w:t>Prise en charge médicale selon protocole ONDA.</w:t>
            </w:r>
          </w:p>
        </w:tc>
        <w:tc>
          <w:tcPr>
            <w:tcW w:w="1949" w:type="dxa"/>
            <w:vMerge/>
          </w:tcPr>
          <w:p w14:paraId="7B266FD8" w14:textId="77777777" w:rsidR="00780CEC" w:rsidRPr="003E176B" w:rsidRDefault="00780CEC" w:rsidP="00780CEC">
            <w:pPr>
              <w:cnfStyle w:val="000000000000" w:firstRow="0" w:lastRow="0" w:firstColumn="0" w:lastColumn="0" w:oddVBand="0" w:evenVBand="0" w:oddHBand="0" w:evenHBand="0" w:firstRowFirstColumn="0" w:firstRowLastColumn="0" w:lastRowFirstColumn="0" w:lastRowLastColumn="0"/>
              <w:rPr>
                <w:szCs w:val="20"/>
                <w:lang w:eastAsia="fr-FR" w:bidi="ar-SA"/>
              </w:rPr>
            </w:pPr>
          </w:p>
        </w:tc>
        <w:tc>
          <w:tcPr>
            <w:tcW w:w="1068" w:type="dxa"/>
            <w:vMerge/>
          </w:tcPr>
          <w:p w14:paraId="0C9DBD5D" w14:textId="77777777" w:rsidR="00780CEC" w:rsidRPr="002E0EF5" w:rsidRDefault="00780CEC" w:rsidP="00780CEC">
            <w:pPr>
              <w:cnfStyle w:val="000000000000" w:firstRow="0" w:lastRow="0" w:firstColumn="0" w:lastColumn="0" w:oddVBand="0" w:evenVBand="0" w:oddHBand="0" w:evenHBand="0" w:firstRowFirstColumn="0" w:firstRowLastColumn="0" w:lastRowFirstColumn="0" w:lastRowLastColumn="0"/>
              <w:rPr>
                <w:szCs w:val="20"/>
                <w:lang w:eastAsia="zh-CN" w:bidi="ar-SA"/>
              </w:rPr>
            </w:pPr>
          </w:p>
        </w:tc>
        <w:tc>
          <w:tcPr>
            <w:tcW w:w="1599" w:type="dxa"/>
            <w:vMerge/>
          </w:tcPr>
          <w:p w14:paraId="1A76510F" w14:textId="77777777" w:rsidR="00780CEC" w:rsidRPr="002E0EF5" w:rsidRDefault="00780CEC" w:rsidP="00780CEC">
            <w:pPr>
              <w:cnfStyle w:val="000000000000" w:firstRow="0" w:lastRow="0" w:firstColumn="0" w:lastColumn="0" w:oddVBand="0" w:evenVBand="0" w:oddHBand="0" w:evenHBand="0" w:firstRowFirstColumn="0" w:firstRowLastColumn="0" w:lastRowFirstColumn="0" w:lastRowLastColumn="0"/>
              <w:rPr>
                <w:szCs w:val="20"/>
                <w:lang w:eastAsia="zh-CN" w:bidi="ar-SA"/>
              </w:rPr>
            </w:pPr>
          </w:p>
        </w:tc>
        <w:tc>
          <w:tcPr>
            <w:tcW w:w="749" w:type="dxa"/>
            <w:vMerge/>
          </w:tcPr>
          <w:p w14:paraId="48106FBC" w14:textId="77777777" w:rsidR="00780CEC" w:rsidRPr="002E0EF5" w:rsidRDefault="00780CEC" w:rsidP="00780CEC">
            <w:pPr>
              <w:cnfStyle w:val="000000000000" w:firstRow="0" w:lastRow="0" w:firstColumn="0" w:lastColumn="0" w:oddVBand="0" w:evenVBand="0" w:oddHBand="0" w:evenHBand="0" w:firstRowFirstColumn="0" w:firstRowLastColumn="0" w:lastRowFirstColumn="0" w:lastRowLastColumn="0"/>
              <w:rPr>
                <w:szCs w:val="20"/>
                <w:lang w:eastAsia="zh-CN" w:bidi="ar-SA"/>
              </w:rPr>
            </w:pPr>
          </w:p>
        </w:tc>
        <w:tc>
          <w:tcPr>
            <w:tcW w:w="1996" w:type="dxa"/>
            <w:tcBorders>
              <w:top w:val="single" w:sz="4" w:space="0" w:color="B4C6E7" w:themeColor="accent1" w:themeTint="66"/>
            </w:tcBorders>
          </w:tcPr>
          <w:p w14:paraId="399B5D7C" w14:textId="36D7CBE9" w:rsidR="00780CEC" w:rsidRPr="002E0EF5" w:rsidRDefault="005459D3" w:rsidP="00780CEC">
            <w:pPr>
              <w:cnfStyle w:val="000000000000" w:firstRow="0" w:lastRow="0" w:firstColumn="0" w:lastColumn="0" w:oddVBand="0" w:evenVBand="0" w:oddHBand="0" w:evenHBand="0" w:firstRowFirstColumn="0" w:firstRowLastColumn="0" w:lastRowFirstColumn="0" w:lastRowLastColumn="0"/>
              <w:rPr>
                <w:szCs w:val="20"/>
                <w:lang w:eastAsia="fr-FR" w:bidi="ar-SA"/>
              </w:rPr>
            </w:pPr>
            <w:r>
              <w:rPr>
                <w:szCs w:val="20"/>
                <w:lang w:eastAsia="fr-FR" w:bidi="ar-SA"/>
              </w:rPr>
              <w:t xml:space="preserve">Coût de mobilisation d’un médecin </w:t>
            </w:r>
            <w:r w:rsidR="00A73D43">
              <w:rPr>
                <w:szCs w:val="20"/>
                <w:lang w:eastAsia="fr-FR" w:bidi="ar-SA"/>
              </w:rPr>
              <w:t>à 18 000MAD/mois</w:t>
            </w:r>
            <w:r w:rsidR="005230C0">
              <w:rPr>
                <w:szCs w:val="20"/>
                <w:lang w:eastAsia="fr-FR" w:bidi="ar-SA"/>
              </w:rPr>
              <w:t xml:space="preserve"> </w:t>
            </w:r>
            <w:r w:rsidR="005230C0">
              <w:t xml:space="preserve">et </w:t>
            </w:r>
            <w:r w:rsidR="005230C0" w:rsidRPr="004446C3">
              <w:t xml:space="preserve"> d’un infirmier permanent</w:t>
            </w:r>
          </w:p>
        </w:tc>
      </w:tr>
      <w:tr w:rsidR="00780CEC" w:rsidRPr="002E0EF5" w14:paraId="78159168" w14:textId="70B30861" w:rsidTr="00A01A66">
        <w:tc>
          <w:tcPr>
            <w:cnfStyle w:val="001000000000" w:firstRow="0" w:lastRow="0" w:firstColumn="1" w:lastColumn="0" w:oddVBand="0" w:evenVBand="0" w:oddHBand="0" w:evenHBand="0" w:firstRowFirstColumn="0" w:firstRowLastColumn="0" w:lastRowFirstColumn="0" w:lastRowLastColumn="0"/>
            <w:tcW w:w="1539" w:type="dxa"/>
            <w:vMerge/>
          </w:tcPr>
          <w:p w14:paraId="1A3B2B8D" w14:textId="77777777" w:rsidR="00780CEC" w:rsidRPr="002E0EF5" w:rsidRDefault="00780CEC" w:rsidP="00780CEC">
            <w:pPr>
              <w:rPr>
                <w:b w:val="0"/>
                <w:bCs w:val="0"/>
                <w:szCs w:val="20"/>
                <w:lang w:eastAsia="fr-FR" w:bidi="ar-SA"/>
              </w:rPr>
            </w:pPr>
          </w:p>
        </w:tc>
        <w:tc>
          <w:tcPr>
            <w:tcW w:w="1434" w:type="dxa"/>
            <w:hideMark/>
          </w:tcPr>
          <w:p w14:paraId="2912915B" w14:textId="5605091B" w:rsidR="00780CEC" w:rsidRPr="003E176B" w:rsidRDefault="00780CEC" w:rsidP="00780CEC">
            <w:pPr>
              <w:cnfStyle w:val="000000000000" w:firstRow="0" w:lastRow="0" w:firstColumn="0" w:lastColumn="0" w:oddVBand="0" w:evenVBand="0" w:oddHBand="0" w:evenHBand="0" w:firstRowFirstColumn="0" w:firstRowLastColumn="0" w:lastRowFirstColumn="0" w:lastRowLastColumn="0"/>
              <w:rPr>
                <w:b/>
                <w:bCs/>
                <w:szCs w:val="20"/>
                <w:lang w:eastAsia="fr-FR" w:bidi="ar-SA"/>
              </w:rPr>
            </w:pPr>
            <w:r w:rsidRPr="003E176B">
              <w:rPr>
                <w:b/>
                <w:bCs/>
                <w:szCs w:val="20"/>
                <w:lang w:eastAsia="fr-FR" w:bidi="ar-SA"/>
              </w:rPr>
              <w:t>Compenser</w:t>
            </w:r>
          </w:p>
        </w:tc>
        <w:tc>
          <w:tcPr>
            <w:tcW w:w="3800" w:type="dxa"/>
            <w:hideMark/>
          </w:tcPr>
          <w:p w14:paraId="485F0CFA" w14:textId="2B3262AC" w:rsidR="00780CEC" w:rsidRPr="003E176B" w:rsidRDefault="00780CEC" w:rsidP="00780CEC">
            <w:pPr>
              <w:cnfStyle w:val="000000000000" w:firstRow="0" w:lastRow="0" w:firstColumn="0" w:lastColumn="0" w:oddVBand="0" w:evenVBand="0" w:oddHBand="0" w:evenHBand="0" w:firstRowFirstColumn="0" w:firstRowLastColumn="0" w:lastRowFirstColumn="0" w:lastRowLastColumn="0"/>
              <w:rPr>
                <w:szCs w:val="20"/>
                <w:lang w:eastAsia="fr-FR" w:bidi="ar-SA"/>
              </w:rPr>
            </w:pPr>
            <w:r w:rsidRPr="003E176B">
              <w:rPr>
                <w:szCs w:val="20"/>
                <w:lang w:eastAsia="fr-FR" w:bidi="ar-SA"/>
              </w:rPr>
              <w:t>Suivi médical annuel des travailleurs exposés.</w:t>
            </w:r>
          </w:p>
        </w:tc>
        <w:tc>
          <w:tcPr>
            <w:tcW w:w="1949" w:type="dxa"/>
            <w:hideMark/>
          </w:tcPr>
          <w:p w14:paraId="0181A027" w14:textId="77777777" w:rsidR="00780CEC" w:rsidRPr="003E176B" w:rsidRDefault="00780CEC" w:rsidP="00780CEC">
            <w:pPr>
              <w:cnfStyle w:val="000000000000" w:firstRow="0" w:lastRow="0" w:firstColumn="0" w:lastColumn="0" w:oddVBand="0" w:evenVBand="0" w:oddHBand="0" w:evenHBand="0" w:firstRowFirstColumn="0" w:firstRowLastColumn="0" w:lastRowFirstColumn="0" w:lastRowLastColumn="0"/>
              <w:rPr>
                <w:szCs w:val="20"/>
                <w:lang w:eastAsia="fr-FR" w:bidi="ar-SA"/>
              </w:rPr>
            </w:pPr>
            <w:r w:rsidRPr="003E176B">
              <w:rPr>
                <w:szCs w:val="20"/>
                <w:lang w:eastAsia="fr-FR" w:bidi="ar-SA"/>
              </w:rPr>
              <w:t>Fiches médicales / Rapport HSE annuel</w:t>
            </w:r>
          </w:p>
        </w:tc>
        <w:tc>
          <w:tcPr>
            <w:tcW w:w="1068" w:type="dxa"/>
            <w:hideMark/>
          </w:tcPr>
          <w:p w14:paraId="64E996A9" w14:textId="00CA7F1D" w:rsidR="00780CEC" w:rsidRPr="003E176B" w:rsidRDefault="00780CEC" w:rsidP="00780CEC">
            <w:pPr>
              <w:cnfStyle w:val="000000000000" w:firstRow="0" w:lastRow="0" w:firstColumn="0" w:lastColumn="0" w:oddVBand="0" w:evenVBand="0" w:oddHBand="0" w:evenHBand="0" w:firstRowFirstColumn="0" w:firstRowLastColumn="0" w:lastRowFirstColumn="0" w:lastRowLastColumn="0"/>
              <w:rPr>
                <w:szCs w:val="20"/>
                <w:lang w:eastAsia="fr-FR" w:bidi="ar-SA"/>
              </w:rPr>
            </w:pPr>
            <w:r w:rsidRPr="002E0EF5">
              <w:rPr>
                <w:szCs w:val="20"/>
                <w:lang w:eastAsia="zh-CN" w:bidi="ar-SA"/>
              </w:rPr>
              <w:t>EPC / Sous-traitants</w:t>
            </w:r>
          </w:p>
        </w:tc>
        <w:tc>
          <w:tcPr>
            <w:tcW w:w="1599" w:type="dxa"/>
            <w:hideMark/>
          </w:tcPr>
          <w:p w14:paraId="7045CED3" w14:textId="58121466" w:rsidR="00780CEC" w:rsidRPr="003E176B" w:rsidRDefault="00780CEC" w:rsidP="00780CEC">
            <w:pPr>
              <w:cnfStyle w:val="000000000000" w:firstRow="0" w:lastRow="0" w:firstColumn="0" w:lastColumn="0" w:oddVBand="0" w:evenVBand="0" w:oddHBand="0" w:evenHBand="0" w:firstRowFirstColumn="0" w:firstRowLastColumn="0" w:lastRowFirstColumn="0" w:lastRowLastColumn="0"/>
              <w:rPr>
                <w:szCs w:val="20"/>
                <w:lang w:eastAsia="fr-FR" w:bidi="ar-SA"/>
              </w:rPr>
            </w:pPr>
            <w:r w:rsidRPr="002E0EF5">
              <w:rPr>
                <w:szCs w:val="20"/>
                <w:lang w:eastAsia="zh-CN" w:bidi="ar-SA"/>
              </w:rPr>
              <w:t>Bureau de contrôle / Consultant mandaté par l’ONDA</w:t>
            </w:r>
          </w:p>
        </w:tc>
        <w:tc>
          <w:tcPr>
            <w:tcW w:w="749" w:type="dxa"/>
            <w:hideMark/>
          </w:tcPr>
          <w:p w14:paraId="411C5C81" w14:textId="0F435005" w:rsidR="00780CEC" w:rsidRPr="003E176B" w:rsidRDefault="00780CEC" w:rsidP="00780CEC">
            <w:pPr>
              <w:cnfStyle w:val="000000000000" w:firstRow="0" w:lastRow="0" w:firstColumn="0" w:lastColumn="0" w:oddVBand="0" w:evenVBand="0" w:oddHBand="0" w:evenHBand="0" w:firstRowFirstColumn="0" w:firstRowLastColumn="0" w:lastRowFirstColumn="0" w:lastRowLastColumn="0"/>
              <w:rPr>
                <w:szCs w:val="20"/>
                <w:lang w:eastAsia="fr-FR" w:bidi="ar-SA"/>
              </w:rPr>
            </w:pPr>
            <w:r w:rsidRPr="002E0EF5">
              <w:rPr>
                <w:szCs w:val="20"/>
                <w:lang w:eastAsia="zh-CN" w:bidi="ar-SA"/>
              </w:rPr>
              <w:t>ONDA</w:t>
            </w:r>
          </w:p>
        </w:tc>
        <w:tc>
          <w:tcPr>
            <w:tcW w:w="1996" w:type="dxa"/>
          </w:tcPr>
          <w:p w14:paraId="1F556681" w14:textId="70D92CA3" w:rsidR="00780CEC" w:rsidRPr="002E0EF5" w:rsidRDefault="002A6913" w:rsidP="00780CEC">
            <w:pPr>
              <w:cnfStyle w:val="000000000000" w:firstRow="0" w:lastRow="0" w:firstColumn="0" w:lastColumn="0" w:oddVBand="0" w:evenVBand="0" w:oddHBand="0" w:evenHBand="0" w:firstRowFirstColumn="0" w:firstRowLastColumn="0" w:lastRowFirstColumn="0" w:lastRowLastColumn="0"/>
              <w:rPr>
                <w:szCs w:val="20"/>
                <w:lang w:eastAsia="fr-FR" w:bidi="ar-SA"/>
              </w:rPr>
            </w:pPr>
            <w:r w:rsidRPr="002A6913">
              <w:rPr>
                <w:szCs w:val="20"/>
                <w:lang w:eastAsia="fr-FR" w:bidi="ar-SA"/>
              </w:rPr>
              <w:t xml:space="preserve">Assuré par le </w:t>
            </w:r>
            <w:r w:rsidRPr="00D60FC9">
              <w:rPr>
                <w:szCs w:val="20"/>
                <w:lang w:eastAsia="fr-FR" w:bidi="ar-SA"/>
              </w:rPr>
              <w:t>médecin du travail</w:t>
            </w:r>
            <w:r w:rsidRPr="002A6913">
              <w:rPr>
                <w:szCs w:val="20"/>
                <w:lang w:eastAsia="fr-FR" w:bidi="ar-SA"/>
              </w:rPr>
              <w:t xml:space="preserve"> désigné pour le chantier (déjà budgétisé à 18 000 MAD/mois</w:t>
            </w:r>
          </w:p>
        </w:tc>
      </w:tr>
    </w:tbl>
    <w:p w14:paraId="02BCA602" w14:textId="77777777" w:rsidR="00C80F0C" w:rsidRPr="00024224" w:rsidRDefault="00C80F0C" w:rsidP="004637C7">
      <w:pPr>
        <w:rPr>
          <w:b/>
          <w:bCs/>
        </w:rPr>
        <w:sectPr w:rsidR="00C80F0C" w:rsidRPr="00024224" w:rsidSect="004637C7">
          <w:pgSz w:w="16838" w:h="11906" w:orient="landscape"/>
          <w:pgMar w:top="1418" w:right="1418" w:bottom="1418" w:left="1276" w:header="680" w:footer="680" w:gutter="0"/>
          <w:cols w:space="708"/>
          <w:docGrid w:linePitch="360"/>
        </w:sectPr>
      </w:pPr>
    </w:p>
    <w:p w14:paraId="0A503310" w14:textId="77777777" w:rsidR="009F3163" w:rsidRDefault="009F3163">
      <w:pPr>
        <w:pStyle w:val="Title5"/>
      </w:pPr>
      <w:r>
        <w:lastRenderedPageBreak/>
        <w:t xml:space="preserve">Evaluation des impacts </w:t>
      </w:r>
      <w:r w:rsidRPr="009F3163">
        <w:t>résiduels</w:t>
      </w:r>
    </w:p>
    <w:p w14:paraId="60C67263" w14:textId="77777777" w:rsidR="0024121A" w:rsidRDefault="0024121A" w:rsidP="0024121A">
      <w:r>
        <w:t>Après la mise en œuvre des mesures d’évitement, de réduction et d’atténuation prévues dans le plan de gestion environnementale et sociale, les effets sur la qualité des eaux liés à la gestion des eaux usées seront fortement réduits et strictement maîtrisés à l’échelle du chantier.</w:t>
      </w:r>
    </w:p>
    <w:p w14:paraId="381F38E6" w14:textId="0244E74D" w:rsidR="0024121A" w:rsidRDefault="0024121A" w:rsidP="0024121A">
      <w:r>
        <w:t>Les installations sanitaires temporaires à cuves étanches, la collecte des effluents par prestataire agréé assureront une maîtrise totale du risque de rejet dans le sol ou le réseau pluvial.</w:t>
      </w:r>
    </w:p>
    <w:p w14:paraId="20D6AFD7" w14:textId="0F01D519" w:rsidR="0024121A" w:rsidRDefault="0024121A" w:rsidP="0024121A">
      <w:r>
        <w:t xml:space="preserve">Ainsi, la dégradation temporaire de la qualité du sol et des eaux souterraines devient faible, localisée et réversible, limitée aux zones d’installation des sanitaires et sans conséquence mesurable sur la nappe du </w:t>
      </w:r>
      <w:r w:rsidR="00A34016">
        <w:t>Haouz</w:t>
      </w:r>
      <w:r>
        <w:t>. La nature de l’impact reste directe, son étendue locale, sa durée temporaire, et sa fréquence intermittente selon les cycles de vidange. L’intensité est faible et la sensibilité du milieu forte, mais le risque d’exposition demeure nul.</w:t>
      </w:r>
    </w:p>
    <w:p w14:paraId="67248E3D" w14:textId="77777777" w:rsidR="0024121A" w:rsidRDefault="0024121A" w:rsidP="0024121A">
      <w:r>
        <w:t>L’importance globale de cet impact est donc mineure à négligeable.</w:t>
      </w:r>
    </w:p>
    <w:p w14:paraId="24976403" w14:textId="77777777" w:rsidR="0024121A" w:rsidRDefault="0024121A" w:rsidP="0024121A">
      <w:r>
        <w:t>De même, la contamination accidentelle du sol lors des opérations de vidange devient très improbable grâce à la mise en œuvre des procédures de transfert sécurisées, à la présence de kits de confinement et à la surveillance environnementale continue.</w:t>
      </w:r>
    </w:p>
    <w:p w14:paraId="027D78F8" w14:textId="77777777" w:rsidR="0024121A" w:rsidRDefault="0024121A" w:rsidP="0024121A">
      <w:r>
        <w:t>L’événement, s’il survenait, serait ponctuel, confiné et réversible, sans effet durable sur le milieu récepteur.</w:t>
      </w:r>
    </w:p>
    <w:p w14:paraId="7FCD635C" w14:textId="77777777" w:rsidR="0024121A" w:rsidRDefault="0024121A" w:rsidP="0024121A">
      <w:r>
        <w:t>Les nuisances olfactives issues des installations sanitaires seront réduites par l’entretien quotidien, la ventilation et l’utilisation de produits neutralisants. Ces effets, déjà faibles, seront limités spatialement et perceptibles uniquement à proximité immédiate des modules sanitaires, sans impact sur les travailleurs ni le voisinage.</w:t>
      </w:r>
    </w:p>
    <w:p w14:paraId="42AE274A" w14:textId="77777777" w:rsidR="0024121A" w:rsidRDefault="0024121A" w:rsidP="0024121A">
      <w:r>
        <w:t>Enfin, le risque microbiologique pour le personnel sera efficacement maîtrisé par le respect strict des consignes d’hygiène, le port d’équipements de protection individuels adaptés, et la formation HSE. La probabilité d’exposition devient très faible, et les conséquences potentielles sont mineures et temporaires, sans effet sur la santé.</w:t>
      </w:r>
    </w:p>
    <w:p w14:paraId="1FE4E63E" w14:textId="06AEFDA2" w:rsidR="008D7CD8" w:rsidRDefault="0024121A" w:rsidP="0024121A">
      <w:r>
        <w:t>En conclusion, les impacts et risques résiduels relatifs à la gestion des eaux usées durant la phase de construction sont mineurs à négligeables, strictement localisés, temporaires et réversibles, et ne présentent aucune atteinte à la qualité ou à la disponibilité des eaux souterraines et superficielles du site.</w:t>
      </w:r>
    </w:p>
    <w:p w14:paraId="173CD0C0" w14:textId="77777777" w:rsidR="002459B4" w:rsidRPr="009645F3" w:rsidRDefault="002459B4" w:rsidP="00AB1FBD">
      <w:pPr>
        <w:pStyle w:val="Title4"/>
      </w:pPr>
      <w:bookmarkStart w:id="435" w:name="_Hlk212121019"/>
      <w:r w:rsidRPr="009645F3">
        <w:t>Phase exploitation</w:t>
      </w:r>
    </w:p>
    <w:p w14:paraId="224314F8" w14:textId="77777777" w:rsidR="0069020B" w:rsidRDefault="0069020B" w:rsidP="00363ED9">
      <w:pPr>
        <w:pStyle w:val="Title5"/>
      </w:pPr>
      <w:bookmarkStart w:id="436" w:name="_Hlk210990864"/>
      <w:r>
        <w:t>Identification et évaluation des impacts et risques</w:t>
      </w:r>
    </w:p>
    <w:p w14:paraId="39F59FE0" w14:textId="77777777" w:rsidR="007E4D6F" w:rsidRPr="007E4D6F" w:rsidRDefault="007E4D6F" w:rsidP="0001633E">
      <w:pPr>
        <w:pStyle w:val="AltTitle2"/>
        <w:numPr>
          <w:ilvl w:val="0"/>
          <w:numId w:val="106"/>
        </w:numPr>
      </w:pPr>
      <w:r w:rsidRPr="007E4D6F">
        <w:t>Pollution localisée lors de la vidange des effluents des avions</w:t>
      </w:r>
    </w:p>
    <w:p w14:paraId="3EDB6ED6" w14:textId="77777777" w:rsidR="007E4D6F" w:rsidRPr="0024121A" w:rsidRDefault="007E4D6F" w:rsidP="007E4D6F">
      <w:r w:rsidRPr="007E4D6F">
        <w:t>Les opérations de vidange des toilettes d’avions, effectuées sur des aires étanches raccordées au réseau séparatif, pourraient, en cas d’incident technique, provoquer un déversement limité d’effluents concentrés.</w:t>
      </w:r>
    </w:p>
    <w:p w14:paraId="7845DD4F" w14:textId="2BEE2D0B" w:rsidR="007E4D6F" w:rsidRPr="0024121A" w:rsidRDefault="007E4D6F" w:rsidP="007E4D6F">
      <w:r w:rsidRPr="0024121A">
        <w:t>La probabilité est occasionnelle, et la gravité modérée, en raison du confinement des surfaces et de la récupération immédiate. Le niveau de risque est modéré.</w:t>
      </w:r>
    </w:p>
    <w:tbl>
      <w:tblPr>
        <w:tblStyle w:val="TableauGrille1Clair-Accentuation111"/>
        <w:tblW w:w="0" w:type="auto"/>
        <w:tblLook w:val="04A0" w:firstRow="1" w:lastRow="0" w:firstColumn="1" w:lastColumn="0" w:noHBand="0" w:noVBand="1"/>
      </w:tblPr>
      <w:tblGrid>
        <w:gridCol w:w="1911"/>
        <w:gridCol w:w="1794"/>
        <w:gridCol w:w="1643"/>
        <w:gridCol w:w="2368"/>
        <w:gridCol w:w="1344"/>
      </w:tblGrid>
      <w:tr w:rsidR="003445E9" w:rsidRPr="00B95A9D" w14:paraId="463EFD4D" w14:textId="77777777" w:rsidTr="000A3EA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79E1966C" w14:textId="77777777" w:rsidR="003445E9" w:rsidRPr="00B95A9D" w:rsidRDefault="003445E9" w:rsidP="000A3EA4">
            <w:pPr>
              <w:rPr>
                <w:szCs w:val="20"/>
              </w:rPr>
            </w:pPr>
            <w:r w:rsidRPr="002C2301">
              <w:rPr>
                <w:rFonts w:eastAsiaTheme="majorEastAsia"/>
                <w:szCs w:val="20"/>
              </w:rPr>
              <w:lastRenderedPageBreak/>
              <w:t>Risque</w:t>
            </w:r>
          </w:p>
        </w:tc>
        <w:tc>
          <w:tcPr>
            <w:tcW w:w="0" w:type="auto"/>
          </w:tcPr>
          <w:p w14:paraId="5E54A245" w14:textId="77777777" w:rsidR="003445E9" w:rsidRPr="00B95A9D" w:rsidRDefault="003445E9" w:rsidP="000A3EA4">
            <w:pPr>
              <w:cnfStyle w:val="100000000000" w:firstRow="1" w:lastRow="0" w:firstColumn="0" w:lastColumn="0" w:oddVBand="0" w:evenVBand="0" w:oddHBand="0" w:evenHBand="0" w:firstRowFirstColumn="0" w:firstRowLastColumn="0" w:lastRowFirstColumn="0" w:lastRowLastColumn="0"/>
              <w:rPr>
                <w:szCs w:val="20"/>
              </w:rPr>
            </w:pPr>
            <w:r w:rsidRPr="002C2301">
              <w:rPr>
                <w:rFonts w:eastAsiaTheme="majorEastAsia"/>
                <w:szCs w:val="20"/>
              </w:rPr>
              <w:t>Activités génératrices</w:t>
            </w:r>
          </w:p>
        </w:tc>
        <w:tc>
          <w:tcPr>
            <w:tcW w:w="0" w:type="auto"/>
          </w:tcPr>
          <w:p w14:paraId="6FE226C7" w14:textId="77777777" w:rsidR="003445E9" w:rsidRPr="00B95A9D" w:rsidRDefault="003445E9" w:rsidP="000A3EA4">
            <w:pPr>
              <w:cnfStyle w:val="100000000000" w:firstRow="1" w:lastRow="0" w:firstColumn="0" w:lastColumn="0" w:oddVBand="0" w:evenVBand="0" w:oddHBand="0" w:evenHBand="0" w:firstRowFirstColumn="0" w:firstRowLastColumn="0" w:lastRowFirstColumn="0" w:lastRowLastColumn="0"/>
              <w:rPr>
                <w:szCs w:val="20"/>
              </w:rPr>
            </w:pPr>
            <w:r w:rsidRPr="002C2301">
              <w:rPr>
                <w:rFonts w:eastAsiaTheme="majorEastAsia"/>
                <w:szCs w:val="20"/>
              </w:rPr>
              <w:t>Critère</w:t>
            </w:r>
          </w:p>
        </w:tc>
        <w:tc>
          <w:tcPr>
            <w:tcW w:w="0" w:type="auto"/>
          </w:tcPr>
          <w:p w14:paraId="51F687D8" w14:textId="77777777" w:rsidR="003445E9" w:rsidRPr="00B95A9D" w:rsidRDefault="003445E9" w:rsidP="000A3EA4">
            <w:pPr>
              <w:cnfStyle w:val="100000000000" w:firstRow="1" w:lastRow="0" w:firstColumn="0" w:lastColumn="0" w:oddVBand="0" w:evenVBand="0" w:oddHBand="0" w:evenHBand="0" w:firstRowFirstColumn="0" w:firstRowLastColumn="0" w:lastRowFirstColumn="0" w:lastRowLastColumn="0"/>
              <w:rPr>
                <w:szCs w:val="20"/>
              </w:rPr>
            </w:pPr>
            <w:r w:rsidRPr="002C2301">
              <w:rPr>
                <w:rFonts w:eastAsiaTheme="majorEastAsia"/>
                <w:szCs w:val="20"/>
              </w:rPr>
              <w:t>Justification</w:t>
            </w:r>
          </w:p>
        </w:tc>
        <w:tc>
          <w:tcPr>
            <w:tcW w:w="0" w:type="auto"/>
          </w:tcPr>
          <w:p w14:paraId="79C64481" w14:textId="77777777" w:rsidR="003445E9" w:rsidRPr="00B95A9D" w:rsidRDefault="003445E9" w:rsidP="000A3EA4">
            <w:pPr>
              <w:cnfStyle w:val="100000000000" w:firstRow="1" w:lastRow="0" w:firstColumn="0" w:lastColumn="0" w:oddVBand="0" w:evenVBand="0" w:oddHBand="0" w:evenHBand="0" w:firstRowFirstColumn="0" w:firstRowLastColumn="0" w:lastRowFirstColumn="0" w:lastRowLastColumn="0"/>
              <w:rPr>
                <w:szCs w:val="20"/>
              </w:rPr>
            </w:pPr>
            <w:r w:rsidRPr="002C2301">
              <w:rPr>
                <w:rFonts w:eastAsiaTheme="majorEastAsia"/>
                <w:szCs w:val="20"/>
              </w:rPr>
              <w:t>Niveau</w:t>
            </w:r>
          </w:p>
        </w:tc>
      </w:tr>
      <w:tr w:rsidR="00AB1FBD" w:rsidRPr="00B95A9D" w14:paraId="0B1F72C5" w14:textId="77777777" w:rsidTr="000A3EA4">
        <w:tc>
          <w:tcPr>
            <w:cnfStyle w:val="001000000000" w:firstRow="0" w:lastRow="0" w:firstColumn="1" w:lastColumn="0" w:oddVBand="0" w:evenVBand="0" w:oddHBand="0" w:evenHBand="0" w:firstRowFirstColumn="0" w:firstRowLastColumn="0" w:lastRowFirstColumn="0" w:lastRowLastColumn="0"/>
            <w:tcW w:w="0" w:type="auto"/>
            <w:vMerge w:val="restart"/>
          </w:tcPr>
          <w:p w14:paraId="7988574C" w14:textId="2404CB15" w:rsidR="00AB1FBD" w:rsidRPr="00B95A9D" w:rsidRDefault="00E11714" w:rsidP="00AB1FBD">
            <w:pPr>
              <w:rPr>
                <w:szCs w:val="20"/>
              </w:rPr>
            </w:pPr>
            <w:r w:rsidRPr="00E11714">
              <w:rPr>
                <w:szCs w:val="20"/>
              </w:rPr>
              <w:t>Pollution localisée lors de la vidange des effluents des avion</w:t>
            </w:r>
            <w:r>
              <w:rPr>
                <w:szCs w:val="20"/>
              </w:rPr>
              <w:t>s</w:t>
            </w:r>
          </w:p>
        </w:tc>
        <w:tc>
          <w:tcPr>
            <w:tcW w:w="0" w:type="auto"/>
            <w:vMerge w:val="restart"/>
          </w:tcPr>
          <w:p w14:paraId="7E8A0720" w14:textId="68878EF8" w:rsidR="00AB1FBD" w:rsidRPr="00B95A9D" w:rsidRDefault="00E11714" w:rsidP="00AB1FBD">
            <w:pPr>
              <w:cnfStyle w:val="000000000000" w:firstRow="0" w:lastRow="0" w:firstColumn="0" w:lastColumn="0" w:oddVBand="0" w:evenVBand="0" w:oddHBand="0" w:evenHBand="0" w:firstRowFirstColumn="0" w:firstRowLastColumn="0" w:lastRowFirstColumn="0" w:lastRowLastColumn="0"/>
              <w:rPr>
                <w:szCs w:val="20"/>
              </w:rPr>
            </w:pPr>
            <w:r w:rsidRPr="00E11714">
              <w:rPr>
                <w:szCs w:val="20"/>
              </w:rPr>
              <w:t>Aire de vidange et réseau séparatif étanche</w:t>
            </w:r>
          </w:p>
        </w:tc>
        <w:tc>
          <w:tcPr>
            <w:tcW w:w="0" w:type="auto"/>
            <w:hideMark/>
          </w:tcPr>
          <w:p w14:paraId="10405508" w14:textId="77777777" w:rsidR="00AB1FBD" w:rsidRPr="00B95A9D" w:rsidRDefault="00AB1FBD" w:rsidP="00AB1FBD">
            <w:pPr>
              <w:cnfStyle w:val="000000000000" w:firstRow="0" w:lastRow="0" w:firstColumn="0" w:lastColumn="0" w:oddVBand="0" w:evenVBand="0" w:oddHBand="0" w:evenHBand="0" w:firstRowFirstColumn="0" w:firstRowLastColumn="0" w:lastRowFirstColumn="0" w:lastRowLastColumn="0"/>
              <w:rPr>
                <w:szCs w:val="20"/>
              </w:rPr>
            </w:pPr>
            <w:r w:rsidRPr="00B95A9D">
              <w:rPr>
                <w:rFonts w:eastAsiaTheme="majorEastAsia"/>
                <w:b/>
                <w:bCs/>
                <w:szCs w:val="20"/>
              </w:rPr>
              <w:t>Probabilité d’occurrence</w:t>
            </w:r>
          </w:p>
        </w:tc>
        <w:tc>
          <w:tcPr>
            <w:tcW w:w="0" w:type="auto"/>
          </w:tcPr>
          <w:p w14:paraId="0F0AD7DF" w14:textId="2DB525A0" w:rsidR="00AB1FBD" w:rsidRPr="00B95A9D" w:rsidRDefault="00E11714" w:rsidP="00AB1FBD">
            <w:pPr>
              <w:cnfStyle w:val="000000000000" w:firstRow="0" w:lastRow="0" w:firstColumn="0" w:lastColumn="0" w:oddVBand="0" w:evenVBand="0" w:oddHBand="0" w:evenHBand="0" w:firstRowFirstColumn="0" w:firstRowLastColumn="0" w:lastRowFirstColumn="0" w:lastRowLastColumn="0"/>
              <w:rPr>
                <w:szCs w:val="20"/>
              </w:rPr>
            </w:pPr>
            <w:r>
              <w:rPr>
                <w:szCs w:val="20"/>
              </w:rPr>
              <w:t>E</w:t>
            </w:r>
            <w:r w:rsidRPr="00E11714">
              <w:rPr>
                <w:szCs w:val="20"/>
              </w:rPr>
              <w:t>n cas de mauvaise manipulation</w:t>
            </w:r>
          </w:p>
        </w:tc>
        <w:tc>
          <w:tcPr>
            <w:tcW w:w="0" w:type="auto"/>
          </w:tcPr>
          <w:p w14:paraId="2E082FD3" w14:textId="63C61016" w:rsidR="00AB1FBD" w:rsidRPr="00B95A9D" w:rsidRDefault="00E11714" w:rsidP="00AB1FBD">
            <w:pPr>
              <w:cnfStyle w:val="000000000000" w:firstRow="0" w:lastRow="0" w:firstColumn="0" w:lastColumn="0" w:oddVBand="0" w:evenVBand="0" w:oddHBand="0" w:evenHBand="0" w:firstRowFirstColumn="0" w:firstRowLastColumn="0" w:lastRowFirstColumn="0" w:lastRowLastColumn="0"/>
              <w:rPr>
                <w:szCs w:val="20"/>
              </w:rPr>
            </w:pPr>
            <w:r>
              <w:rPr>
                <w:szCs w:val="20"/>
              </w:rPr>
              <w:t>Occasionnelle</w:t>
            </w:r>
          </w:p>
        </w:tc>
      </w:tr>
      <w:tr w:rsidR="003445E9" w:rsidRPr="00B95A9D" w14:paraId="1AF45495" w14:textId="77777777" w:rsidTr="000A3EA4">
        <w:tc>
          <w:tcPr>
            <w:cnfStyle w:val="001000000000" w:firstRow="0" w:lastRow="0" w:firstColumn="1" w:lastColumn="0" w:oddVBand="0" w:evenVBand="0" w:oddHBand="0" w:evenHBand="0" w:firstRowFirstColumn="0" w:firstRowLastColumn="0" w:lastRowFirstColumn="0" w:lastRowLastColumn="0"/>
            <w:tcW w:w="0" w:type="auto"/>
            <w:vMerge/>
          </w:tcPr>
          <w:p w14:paraId="50829D1F" w14:textId="77777777" w:rsidR="003445E9" w:rsidRPr="00B95A9D" w:rsidRDefault="003445E9" w:rsidP="000A3EA4">
            <w:pPr>
              <w:rPr>
                <w:szCs w:val="20"/>
              </w:rPr>
            </w:pPr>
          </w:p>
        </w:tc>
        <w:tc>
          <w:tcPr>
            <w:tcW w:w="0" w:type="auto"/>
            <w:vMerge/>
          </w:tcPr>
          <w:p w14:paraId="3DD298E3" w14:textId="77777777" w:rsidR="003445E9" w:rsidRPr="00B95A9D" w:rsidRDefault="003445E9" w:rsidP="000A3EA4">
            <w:pPr>
              <w:cnfStyle w:val="000000000000" w:firstRow="0" w:lastRow="0" w:firstColumn="0" w:lastColumn="0" w:oddVBand="0" w:evenVBand="0" w:oddHBand="0" w:evenHBand="0" w:firstRowFirstColumn="0" w:firstRowLastColumn="0" w:lastRowFirstColumn="0" w:lastRowLastColumn="0"/>
              <w:rPr>
                <w:szCs w:val="20"/>
              </w:rPr>
            </w:pPr>
          </w:p>
        </w:tc>
        <w:tc>
          <w:tcPr>
            <w:tcW w:w="0" w:type="auto"/>
            <w:hideMark/>
          </w:tcPr>
          <w:p w14:paraId="53400226" w14:textId="77777777" w:rsidR="003445E9" w:rsidRPr="00B95A9D" w:rsidRDefault="003445E9" w:rsidP="000A3EA4">
            <w:pPr>
              <w:cnfStyle w:val="000000000000" w:firstRow="0" w:lastRow="0" w:firstColumn="0" w:lastColumn="0" w:oddVBand="0" w:evenVBand="0" w:oddHBand="0" w:evenHBand="0" w:firstRowFirstColumn="0" w:firstRowLastColumn="0" w:lastRowFirstColumn="0" w:lastRowLastColumn="0"/>
              <w:rPr>
                <w:szCs w:val="20"/>
              </w:rPr>
            </w:pPr>
            <w:r w:rsidRPr="00B95A9D">
              <w:rPr>
                <w:rFonts w:eastAsiaTheme="majorEastAsia"/>
                <w:b/>
                <w:bCs/>
                <w:szCs w:val="20"/>
              </w:rPr>
              <w:t>Gravité des conséquences</w:t>
            </w:r>
          </w:p>
        </w:tc>
        <w:tc>
          <w:tcPr>
            <w:tcW w:w="0" w:type="auto"/>
          </w:tcPr>
          <w:p w14:paraId="599F42CC" w14:textId="7F54D46F" w:rsidR="003445E9" w:rsidRPr="00B95A9D" w:rsidRDefault="00E11714" w:rsidP="000A3EA4">
            <w:pPr>
              <w:cnfStyle w:val="000000000000" w:firstRow="0" w:lastRow="0" w:firstColumn="0" w:lastColumn="0" w:oddVBand="0" w:evenVBand="0" w:oddHBand="0" w:evenHBand="0" w:firstRowFirstColumn="0" w:firstRowLastColumn="0" w:lastRowFirstColumn="0" w:lastRowLastColumn="0"/>
              <w:rPr>
                <w:szCs w:val="20"/>
              </w:rPr>
            </w:pPr>
            <w:r>
              <w:rPr>
                <w:szCs w:val="20"/>
              </w:rPr>
              <w:t>Impact local et limité</w:t>
            </w:r>
          </w:p>
        </w:tc>
        <w:tc>
          <w:tcPr>
            <w:tcW w:w="0" w:type="auto"/>
          </w:tcPr>
          <w:p w14:paraId="4DD26187" w14:textId="0C23856C" w:rsidR="003445E9" w:rsidRPr="00B95A9D" w:rsidRDefault="00E11714" w:rsidP="000A3EA4">
            <w:pPr>
              <w:cnfStyle w:val="000000000000" w:firstRow="0" w:lastRow="0" w:firstColumn="0" w:lastColumn="0" w:oddVBand="0" w:evenVBand="0" w:oddHBand="0" w:evenHBand="0" w:firstRowFirstColumn="0" w:firstRowLastColumn="0" w:lastRowFirstColumn="0" w:lastRowLastColumn="0"/>
              <w:rPr>
                <w:szCs w:val="20"/>
              </w:rPr>
            </w:pPr>
            <w:r>
              <w:rPr>
                <w:szCs w:val="20"/>
              </w:rPr>
              <w:t>Modéré</w:t>
            </w:r>
          </w:p>
        </w:tc>
      </w:tr>
      <w:tr w:rsidR="003445E9" w:rsidRPr="00B95A9D" w14:paraId="418BACE0" w14:textId="77777777" w:rsidTr="000A3EA4">
        <w:tc>
          <w:tcPr>
            <w:cnfStyle w:val="001000000000" w:firstRow="0" w:lastRow="0" w:firstColumn="1" w:lastColumn="0" w:oddVBand="0" w:evenVBand="0" w:oddHBand="0" w:evenHBand="0" w:firstRowFirstColumn="0" w:firstRowLastColumn="0" w:lastRowFirstColumn="0" w:lastRowLastColumn="0"/>
            <w:tcW w:w="0" w:type="auto"/>
            <w:vMerge/>
          </w:tcPr>
          <w:p w14:paraId="2A5D981F" w14:textId="77777777" w:rsidR="003445E9" w:rsidRPr="00B95A9D" w:rsidRDefault="003445E9" w:rsidP="000A3EA4">
            <w:pPr>
              <w:rPr>
                <w:szCs w:val="20"/>
              </w:rPr>
            </w:pPr>
          </w:p>
        </w:tc>
        <w:tc>
          <w:tcPr>
            <w:tcW w:w="0" w:type="auto"/>
            <w:vMerge/>
          </w:tcPr>
          <w:p w14:paraId="63A19562" w14:textId="77777777" w:rsidR="003445E9" w:rsidRPr="00B95A9D" w:rsidRDefault="003445E9" w:rsidP="000A3EA4">
            <w:pPr>
              <w:cnfStyle w:val="000000000000" w:firstRow="0" w:lastRow="0" w:firstColumn="0" w:lastColumn="0" w:oddVBand="0" w:evenVBand="0" w:oddHBand="0" w:evenHBand="0" w:firstRowFirstColumn="0" w:firstRowLastColumn="0" w:lastRowFirstColumn="0" w:lastRowLastColumn="0"/>
              <w:rPr>
                <w:szCs w:val="20"/>
              </w:rPr>
            </w:pPr>
          </w:p>
        </w:tc>
        <w:tc>
          <w:tcPr>
            <w:tcW w:w="0" w:type="auto"/>
            <w:hideMark/>
          </w:tcPr>
          <w:p w14:paraId="48ECAC50" w14:textId="77777777" w:rsidR="003445E9" w:rsidRPr="00B95A9D" w:rsidRDefault="003445E9" w:rsidP="000A3EA4">
            <w:pPr>
              <w:cnfStyle w:val="000000000000" w:firstRow="0" w:lastRow="0" w:firstColumn="0" w:lastColumn="0" w:oddVBand="0" w:evenVBand="0" w:oddHBand="0" w:evenHBand="0" w:firstRowFirstColumn="0" w:firstRowLastColumn="0" w:lastRowFirstColumn="0" w:lastRowLastColumn="0"/>
              <w:rPr>
                <w:szCs w:val="20"/>
              </w:rPr>
            </w:pPr>
            <w:r w:rsidRPr="00B95A9D">
              <w:rPr>
                <w:rFonts w:eastAsiaTheme="majorEastAsia"/>
                <w:b/>
                <w:bCs/>
                <w:szCs w:val="20"/>
              </w:rPr>
              <w:t>Évaluation globale du risque</w:t>
            </w:r>
          </w:p>
        </w:tc>
        <w:tc>
          <w:tcPr>
            <w:tcW w:w="0" w:type="auto"/>
          </w:tcPr>
          <w:p w14:paraId="3A9B5F7D" w14:textId="049C815F" w:rsidR="003445E9" w:rsidRPr="00B95A9D" w:rsidRDefault="00E11714" w:rsidP="000A3EA4">
            <w:pPr>
              <w:cnfStyle w:val="000000000000" w:firstRow="0" w:lastRow="0" w:firstColumn="0" w:lastColumn="0" w:oddVBand="0" w:evenVBand="0" w:oddHBand="0" w:evenHBand="0" w:firstRowFirstColumn="0" w:firstRowLastColumn="0" w:lastRowFirstColumn="0" w:lastRowLastColumn="0"/>
              <w:rPr>
                <w:szCs w:val="20"/>
              </w:rPr>
            </w:pPr>
            <w:r w:rsidRPr="00E11714">
              <w:rPr>
                <w:szCs w:val="20"/>
              </w:rPr>
              <w:t>Risque confiné à des surfaces étanches et procédures de contrôle strictes</w:t>
            </w:r>
          </w:p>
        </w:tc>
        <w:tc>
          <w:tcPr>
            <w:tcW w:w="0" w:type="auto"/>
          </w:tcPr>
          <w:p w14:paraId="75AB23DC" w14:textId="602606CF" w:rsidR="003445E9" w:rsidRPr="00B95A9D" w:rsidRDefault="00E11714" w:rsidP="000A3EA4">
            <w:pPr>
              <w:cnfStyle w:val="000000000000" w:firstRow="0" w:lastRow="0" w:firstColumn="0" w:lastColumn="0" w:oddVBand="0" w:evenVBand="0" w:oddHBand="0" w:evenHBand="0" w:firstRowFirstColumn="0" w:firstRowLastColumn="0" w:lastRowFirstColumn="0" w:lastRowLastColumn="0"/>
              <w:rPr>
                <w:szCs w:val="20"/>
              </w:rPr>
            </w:pPr>
            <w:r>
              <w:rPr>
                <w:szCs w:val="20"/>
              </w:rPr>
              <w:t>Modéré</w:t>
            </w:r>
          </w:p>
        </w:tc>
      </w:tr>
      <w:bookmarkEnd w:id="435"/>
    </w:tbl>
    <w:p w14:paraId="3BE2A988" w14:textId="77777777" w:rsidR="003445E9" w:rsidRPr="0077064F" w:rsidRDefault="003445E9" w:rsidP="0077064F"/>
    <w:p w14:paraId="5264D45B" w14:textId="77777777" w:rsidR="002459B4" w:rsidRDefault="002459B4" w:rsidP="004637C7">
      <w:pPr>
        <w:pStyle w:val="Style4"/>
        <w:numPr>
          <w:ilvl w:val="0"/>
          <w:numId w:val="0"/>
        </w:numPr>
        <w:spacing w:before="120" w:after="120"/>
        <w:sectPr w:rsidR="002459B4" w:rsidSect="002459B4">
          <w:pgSz w:w="11906" w:h="16838"/>
          <w:pgMar w:top="1418" w:right="1418" w:bottom="1276" w:left="1418" w:header="680" w:footer="680" w:gutter="0"/>
          <w:cols w:space="708"/>
          <w:docGrid w:linePitch="360"/>
        </w:sectPr>
      </w:pPr>
    </w:p>
    <w:bookmarkEnd w:id="436"/>
    <w:p w14:paraId="01338A1E" w14:textId="77777777" w:rsidR="002459B4" w:rsidRPr="00B97BD7" w:rsidRDefault="002459B4" w:rsidP="004637C7">
      <w:pPr>
        <w:pStyle w:val="Title5"/>
      </w:pPr>
      <w:r>
        <w:lastRenderedPageBreak/>
        <w:t>Mesures d’a</w:t>
      </w:r>
      <w:r w:rsidRPr="00B97BD7">
        <w:t>tténuation</w:t>
      </w:r>
    </w:p>
    <w:p w14:paraId="31465952" w14:textId="630BF92A" w:rsidR="002459B4" w:rsidRDefault="002459B4" w:rsidP="002459B4">
      <w:pPr>
        <w:pStyle w:val="Lgende"/>
        <w:rPr>
          <w:lang w:val="fr-FR"/>
        </w:rPr>
      </w:pPr>
      <w:bookmarkStart w:id="437" w:name="_Toc213404374"/>
      <w:r w:rsidRPr="002A0860">
        <w:rPr>
          <w:lang w:val="fr-FR"/>
        </w:rPr>
        <w:t xml:space="preserve">Tableau </w:t>
      </w:r>
      <w:r>
        <w:fldChar w:fldCharType="begin"/>
      </w:r>
      <w:r w:rsidRPr="002A0860">
        <w:rPr>
          <w:lang w:val="fr-FR"/>
        </w:rPr>
        <w:instrText xml:space="preserve"> SEQ Tableau \* ARABIC </w:instrText>
      </w:r>
      <w:r>
        <w:fldChar w:fldCharType="separate"/>
      </w:r>
      <w:r w:rsidR="00274E71">
        <w:rPr>
          <w:noProof/>
          <w:lang w:val="fr-FR"/>
        </w:rPr>
        <w:t>52</w:t>
      </w:r>
      <w:r>
        <w:fldChar w:fldCharType="end"/>
      </w:r>
      <w:r>
        <w:rPr>
          <w:noProof/>
          <w:lang w:val="fr-FR"/>
        </w:rPr>
        <w:t xml:space="preserve">: </w:t>
      </w:r>
      <w:r w:rsidRPr="002A0860">
        <w:rPr>
          <w:lang w:val="fr-FR"/>
        </w:rPr>
        <w:t>Gestion des eaux usées – Mesures d’atténuation en phase d’exploitation</w:t>
      </w:r>
      <w:bookmarkEnd w:id="437"/>
    </w:p>
    <w:tbl>
      <w:tblPr>
        <w:tblStyle w:val="TableauGrille1Clair-Accentuation111"/>
        <w:tblW w:w="15006" w:type="dxa"/>
        <w:tblLook w:val="04A0" w:firstRow="1" w:lastRow="0" w:firstColumn="1" w:lastColumn="0" w:noHBand="0" w:noVBand="1"/>
      </w:tblPr>
      <w:tblGrid>
        <w:gridCol w:w="1393"/>
        <w:gridCol w:w="1389"/>
        <w:gridCol w:w="4018"/>
        <w:gridCol w:w="1843"/>
        <w:gridCol w:w="1417"/>
        <w:gridCol w:w="1275"/>
        <w:gridCol w:w="851"/>
        <w:gridCol w:w="2820"/>
      </w:tblGrid>
      <w:tr w:rsidR="008F031A" w:rsidRPr="002E0EF5" w14:paraId="0B492248" w14:textId="03AACEB3" w:rsidTr="00D60FC9">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0" w:type="dxa"/>
          </w:tcPr>
          <w:p w14:paraId="519E3357" w14:textId="36B30989" w:rsidR="008F031A" w:rsidRPr="008F031A" w:rsidRDefault="008F031A" w:rsidP="002E0EF5">
            <w:pPr>
              <w:rPr>
                <w:lang w:eastAsia="fr-FR" w:bidi="ar-SA"/>
              </w:rPr>
            </w:pPr>
            <w:r w:rsidRPr="008F031A">
              <w:rPr>
                <w:lang w:eastAsia="fr-FR" w:bidi="ar-SA"/>
              </w:rPr>
              <w:t>Impact/risque</w:t>
            </w:r>
          </w:p>
        </w:tc>
        <w:tc>
          <w:tcPr>
            <w:tcW w:w="0" w:type="auto"/>
            <w:hideMark/>
          </w:tcPr>
          <w:p w14:paraId="685ED561" w14:textId="04191744" w:rsidR="008F031A" w:rsidRPr="002E0EF5" w:rsidRDefault="008F031A" w:rsidP="002E0EF5">
            <w:pPr>
              <w:cnfStyle w:val="100000000000" w:firstRow="1" w:lastRow="0" w:firstColumn="0" w:lastColumn="0" w:oddVBand="0" w:evenVBand="0" w:oddHBand="0" w:evenHBand="0" w:firstRowFirstColumn="0" w:firstRowLastColumn="0" w:lastRowFirstColumn="0" w:lastRowLastColumn="0"/>
              <w:rPr>
                <w:lang w:eastAsia="fr-FR" w:bidi="ar-SA"/>
              </w:rPr>
            </w:pPr>
            <w:r w:rsidRPr="002E0EF5">
              <w:rPr>
                <w:lang w:eastAsia="fr-FR" w:bidi="ar-SA"/>
              </w:rPr>
              <w:t>Niveau d’atténuation</w:t>
            </w:r>
          </w:p>
        </w:tc>
        <w:tc>
          <w:tcPr>
            <w:tcW w:w="4018" w:type="dxa"/>
            <w:hideMark/>
          </w:tcPr>
          <w:p w14:paraId="192CD2B1" w14:textId="77777777" w:rsidR="008F031A" w:rsidRPr="002E0EF5" w:rsidRDefault="008F031A" w:rsidP="002E0EF5">
            <w:pPr>
              <w:cnfStyle w:val="100000000000" w:firstRow="1" w:lastRow="0" w:firstColumn="0" w:lastColumn="0" w:oddVBand="0" w:evenVBand="0" w:oddHBand="0" w:evenHBand="0" w:firstRowFirstColumn="0" w:firstRowLastColumn="0" w:lastRowFirstColumn="0" w:lastRowLastColumn="0"/>
              <w:rPr>
                <w:lang w:eastAsia="fr-FR" w:bidi="ar-SA"/>
              </w:rPr>
            </w:pPr>
            <w:r w:rsidRPr="002E0EF5">
              <w:rPr>
                <w:lang w:eastAsia="fr-FR" w:bidi="ar-SA"/>
              </w:rPr>
              <w:t>Mesures proposées</w:t>
            </w:r>
          </w:p>
        </w:tc>
        <w:tc>
          <w:tcPr>
            <w:tcW w:w="1843" w:type="dxa"/>
            <w:hideMark/>
          </w:tcPr>
          <w:p w14:paraId="679B8BB8" w14:textId="77777777" w:rsidR="008F031A" w:rsidRPr="002E0EF5" w:rsidRDefault="008F031A" w:rsidP="002E0EF5">
            <w:pPr>
              <w:cnfStyle w:val="100000000000" w:firstRow="1" w:lastRow="0" w:firstColumn="0" w:lastColumn="0" w:oddVBand="0" w:evenVBand="0" w:oddHBand="0" w:evenHBand="0" w:firstRowFirstColumn="0" w:firstRowLastColumn="0" w:lastRowFirstColumn="0" w:lastRowLastColumn="0"/>
              <w:rPr>
                <w:lang w:eastAsia="fr-FR" w:bidi="ar-SA"/>
              </w:rPr>
            </w:pPr>
            <w:r w:rsidRPr="002E0EF5">
              <w:rPr>
                <w:lang w:eastAsia="fr-FR" w:bidi="ar-SA"/>
              </w:rPr>
              <w:t>Indicateurs / KPI</w:t>
            </w:r>
          </w:p>
        </w:tc>
        <w:tc>
          <w:tcPr>
            <w:tcW w:w="1417" w:type="dxa"/>
            <w:hideMark/>
          </w:tcPr>
          <w:p w14:paraId="554BED41" w14:textId="77777777" w:rsidR="008F031A" w:rsidRPr="002E0EF5" w:rsidRDefault="008F031A" w:rsidP="002E0EF5">
            <w:pPr>
              <w:cnfStyle w:val="100000000000" w:firstRow="1" w:lastRow="0" w:firstColumn="0" w:lastColumn="0" w:oddVBand="0" w:evenVBand="0" w:oddHBand="0" w:evenHBand="0" w:firstRowFirstColumn="0" w:firstRowLastColumn="0" w:lastRowFirstColumn="0" w:lastRowLastColumn="0"/>
              <w:rPr>
                <w:lang w:eastAsia="fr-FR" w:bidi="ar-SA"/>
              </w:rPr>
            </w:pPr>
            <w:r w:rsidRPr="002E0EF5">
              <w:rPr>
                <w:lang w:eastAsia="fr-FR" w:bidi="ar-SA"/>
              </w:rPr>
              <w:t>Mise en œuvre</w:t>
            </w:r>
          </w:p>
        </w:tc>
        <w:tc>
          <w:tcPr>
            <w:tcW w:w="1275" w:type="dxa"/>
            <w:hideMark/>
          </w:tcPr>
          <w:p w14:paraId="5CD9C787" w14:textId="77777777" w:rsidR="008F031A" w:rsidRPr="002E0EF5" w:rsidRDefault="008F031A" w:rsidP="002E0EF5">
            <w:pPr>
              <w:cnfStyle w:val="100000000000" w:firstRow="1" w:lastRow="0" w:firstColumn="0" w:lastColumn="0" w:oddVBand="0" w:evenVBand="0" w:oddHBand="0" w:evenHBand="0" w:firstRowFirstColumn="0" w:firstRowLastColumn="0" w:lastRowFirstColumn="0" w:lastRowLastColumn="0"/>
              <w:rPr>
                <w:lang w:eastAsia="fr-FR" w:bidi="ar-SA"/>
              </w:rPr>
            </w:pPr>
            <w:r w:rsidRPr="002E0EF5">
              <w:rPr>
                <w:lang w:eastAsia="fr-FR" w:bidi="ar-SA"/>
              </w:rPr>
              <w:t>Surveillance</w:t>
            </w:r>
          </w:p>
        </w:tc>
        <w:tc>
          <w:tcPr>
            <w:tcW w:w="851" w:type="dxa"/>
            <w:hideMark/>
          </w:tcPr>
          <w:p w14:paraId="29C87BFB" w14:textId="77777777" w:rsidR="008F031A" w:rsidRPr="002E0EF5" w:rsidRDefault="008F031A" w:rsidP="002E0EF5">
            <w:pPr>
              <w:cnfStyle w:val="100000000000" w:firstRow="1" w:lastRow="0" w:firstColumn="0" w:lastColumn="0" w:oddVBand="0" w:evenVBand="0" w:oddHBand="0" w:evenHBand="0" w:firstRowFirstColumn="0" w:firstRowLastColumn="0" w:lastRowFirstColumn="0" w:lastRowLastColumn="0"/>
              <w:rPr>
                <w:lang w:eastAsia="fr-FR" w:bidi="ar-SA"/>
              </w:rPr>
            </w:pPr>
            <w:r w:rsidRPr="002E0EF5">
              <w:rPr>
                <w:lang w:eastAsia="fr-FR" w:bidi="ar-SA"/>
              </w:rPr>
              <w:t>Suivi</w:t>
            </w:r>
          </w:p>
        </w:tc>
        <w:tc>
          <w:tcPr>
            <w:tcW w:w="2820" w:type="dxa"/>
          </w:tcPr>
          <w:p w14:paraId="4AC85B9B" w14:textId="524573CF" w:rsidR="008F031A" w:rsidRPr="008F031A" w:rsidRDefault="008F031A" w:rsidP="002E0EF5">
            <w:pPr>
              <w:cnfStyle w:val="100000000000" w:firstRow="1" w:lastRow="0" w:firstColumn="0" w:lastColumn="0" w:oddVBand="0" w:evenVBand="0" w:oddHBand="0" w:evenHBand="0" w:firstRowFirstColumn="0" w:firstRowLastColumn="0" w:lastRowFirstColumn="0" w:lastRowLastColumn="0"/>
              <w:rPr>
                <w:lang w:eastAsia="fr-FR" w:bidi="ar-SA"/>
              </w:rPr>
            </w:pPr>
            <w:r w:rsidRPr="008F031A">
              <w:rPr>
                <w:lang w:eastAsia="fr-FR" w:bidi="ar-SA"/>
              </w:rPr>
              <w:t>Coût</w:t>
            </w:r>
          </w:p>
        </w:tc>
      </w:tr>
      <w:tr w:rsidR="00D60FC9" w:rsidRPr="002E0EF5" w14:paraId="299C5FBF" w14:textId="036F1417" w:rsidTr="00D60FC9">
        <w:trPr>
          <w:trHeight w:val="693"/>
        </w:trPr>
        <w:tc>
          <w:tcPr>
            <w:cnfStyle w:val="001000000000" w:firstRow="0" w:lastRow="0" w:firstColumn="1" w:lastColumn="0" w:oddVBand="0" w:evenVBand="0" w:oddHBand="0" w:evenHBand="0" w:firstRowFirstColumn="0" w:firstRowLastColumn="0" w:lastRowFirstColumn="0" w:lastRowLastColumn="0"/>
            <w:tcW w:w="0" w:type="dxa"/>
            <w:vMerge w:val="restart"/>
          </w:tcPr>
          <w:p w14:paraId="3995C344" w14:textId="146806DB" w:rsidR="0016618C" w:rsidRPr="002E0EF5" w:rsidRDefault="0016618C" w:rsidP="002E0EF5">
            <w:pPr>
              <w:rPr>
                <w:b w:val="0"/>
                <w:bCs w:val="0"/>
                <w:lang w:eastAsia="fr-FR" w:bidi="ar-SA"/>
              </w:rPr>
            </w:pPr>
            <w:r w:rsidRPr="008F031A">
              <w:rPr>
                <w:b w:val="0"/>
                <w:bCs w:val="0"/>
                <w:lang w:eastAsia="fr-FR" w:bidi="ar-SA"/>
              </w:rPr>
              <w:t>Pollution localisée lors de la vidange des effluents des avions</w:t>
            </w:r>
          </w:p>
        </w:tc>
        <w:tc>
          <w:tcPr>
            <w:tcW w:w="0" w:type="auto"/>
            <w:vMerge w:val="restart"/>
            <w:hideMark/>
          </w:tcPr>
          <w:p w14:paraId="0FB4CC52" w14:textId="3D246DD1" w:rsidR="0016618C" w:rsidRPr="002E0EF5" w:rsidRDefault="0016618C" w:rsidP="002E0EF5">
            <w:pPr>
              <w:cnfStyle w:val="000000000000" w:firstRow="0" w:lastRow="0" w:firstColumn="0" w:lastColumn="0" w:oddVBand="0" w:evenVBand="0" w:oddHBand="0" w:evenHBand="0" w:firstRowFirstColumn="0" w:firstRowLastColumn="0" w:lastRowFirstColumn="0" w:lastRowLastColumn="0"/>
              <w:rPr>
                <w:lang w:eastAsia="fr-FR" w:bidi="ar-SA"/>
              </w:rPr>
            </w:pPr>
            <w:r w:rsidRPr="002E0EF5">
              <w:rPr>
                <w:b/>
                <w:bCs/>
                <w:lang w:eastAsia="fr-FR" w:bidi="ar-SA"/>
              </w:rPr>
              <w:t>Éviter</w:t>
            </w:r>
          </w:p>
        </w:tc>
        <w:tc>
          <w:tcPr>
            <w:tcW w:w="4018" w:type="dxa"/>
            <w:tcBorders>
              <w:bottom w:val="single" w:sz="4" w:space="0" w:color="B4C6E7" w:themeColor="accent1" w:themeTint="66"/>
            </w:tcBorders>
            <w:hideMark/>
          </w:tcPr>
          <w:p w14:paraId="260F270E" w14:textId="55BD9245" w:rsidR="0016618C" w:rsidRPr="002E0EF5" w:rsidRDefault="0016618C" w:rsidP="002E0EF5">
            <w:pPr>
              <w:cnfStyle w:val="000000000000" w:firstRow="0" w:lastRow="0" w:firstColumn="0" w:lastColumn="0" w:oddVBand="0" w:evenVBand="0" w:oddHBand="0" w:evenHBand="0" w:firstRowFirstColumn="0" w:firstRowLastColumn="0" w:lastRowFirstColumn="0" w:lastRowLastColumn="0"/>
              <w:rPr>
                <w:lang w:eastAsia="fr-FR" w:bidi="ar-SA"/>
              </w:rPr>
            </w:pPr>
            <w:r w:rsidRPr="002E0EF5">
              <w:rPr>
                <w:lang w:eastAsia="fr-FR" w:bidi="ar-SA"/>
              </w:rPr>
              <w:t>Maintien d’une aire de vidange totalement étanche, reliée au réseau séparatif.</w:t>
            </w:r>
          </w:p>
        </w:tc>
        <w:tc>
          <w:tcPr>
            <w:tcW w:w="1843" w:type="dxa"/>
            <w:vMerge w:val="restart"/>
            <w:hideMark/>
          </w:tcPr>
          <w:p w14:paraId="3E5DB91B" w14:textId="77777777" w:rsidR="0016618C" w:rsidRDefault="0016618C" w:rsidP="002E0EF5">
            <w:pPr>
              <w:cnfStyle w:val="000000000000" w:firstRow="0" w:lastRow="0" w:firstColumn="0" w:lastColumn="0" w:oddVBand="0" w:evenVBand="0" w:oddHBand="0" w:evenHBand="0" w:firstRowFirstColumn="0" w:firstRowLastColumn="0" w:lastRowFirstColumn="0" w:lastRowLastColumn="0"/>
              <w:rPr>
                <w:lang w:eastAsia="fr-FR" w:bidi="ar-SA"/>
              </w:rPr>
            </w:pPr>
            <w:r w:rsidRPr="002E0EF5">
              <w:rPr>
                <w:lang w:eastAsia="fr-FR" w:bidi="ar-SA"/>
              </w:rPr>
              <w:t xml:space="preserve">Aucune fuite constatée </w:t>
            </w:r>
          </w:p>
          <w:p w14:paraId="2E59FF95" w14:textId="634580B9" w:rsidR="0016618C" w:rsidRPr="002E0EF5" w:rsidRDefault="0016618C" w:rsidP="002E0EF5">
            <w:pPr>
              <w:cnfStyle w:val="000000000000" w:firstRow="0" w:lastRow="0" w:firstColumn="0" w:lastColumn="0" w:oddVBand="0" w:evenVBand="0" w:oddHBand="0" w:evenHBand="0" w:firstRowFirstColumn="0" w:firstRowLastColumn="0" w:lastRowFirstColumn="0" w:lastRowLastColumn="0"/>
              <w:rPr>
                <w:lang w:eastAsia="fr-FR" w:bidi="ar-SA"/>
              </w:rPr>
            </w:pPr>
            <w:r w:rsidRPr="002E0EF5">
              <w:rPr>
                <w:lang w:eastAsia="fr-FR" w:bidi="ar-SA"/>
              </w:rPr>
              <w:t xml:space="preserve">Conformité du réseau </w:t>
            </w:r>
          </w:p>
        </w:tc>
        <w:tc>
          <w:tcPr>
            <w:tcW w:w="1417" w:type="dxa"/>
            <w:vMerge w:val="restart"/>
            <w:hideMark/>
          </w:tcPr>
          <w:p w14:paraId="4DAEB325" w14:textId="77777777" w:rsidR="0016618C" w:rsidRPr="002E0EF5" w:rsidRDefault="0016618C" w:rsidP="002E0EF5">
            <w:pPr>
              <w:cnfStyle w:val="000000000000" w:firstRow="0" w:lastRow="0" w:firstColumn="0" w:lastColumn="0" w:oddVBand="0" w:evenVBand="0" w:oddHBand="0" w:evenHBand="0" w:firstRowFirstColumn="0" w:firstRowLastColumn="0" w:lastRowFirstColumn="0" w:lastRowLastColumn="0"/>
              <w:rPr>
                <w:lang w:eastAsia="fr-FR" w:bidi="ar-SA"/>
              </w:rPr>
            </w:pPr>
            <w:r w:rsidRPr="002E0EF5">
              <w:rPr>
                <w:lang w:eastAsia="fr-FR" w:bidi="ar-SA"/>
              </w:rPr>
              <w:t>ONDA / Exploitant</w:t>
            </w:r>
          </w:p>
        </w:tc>
        <w:tc>
          <w:tcPr>
            <w:tcW w:w="1275" w:type="dxa"/>
            <w:vMerge w:val="restart"/>
            <w:hideMark/>
          </w:tcPr>
          <w:p w14:paraId="421B7F3D" w14:textId="77777777" w:rsidR="0016618C" w:rsidRPr="002E0EF5" w:rsidRDefault="0016618C" w:rsidP="002E0EF5">
            <w:pPr>
              <w:cnfStyle w:val="000000000000" w:firstRow="0" w:lastRow="0" w:firstColumn="0" w:lastColumn="0" w:oddVBand="0" w:evenVBand="0" w:oddHBand="0" w:evenHBand="0" w:firstRowFirstColumn="0" w:firstRowLastColumn="0" w:lastRowFirstColumn="0" w:lastRowLastColumn="0"/>
              <w:rPr>
                <w:lang w:eastAsia="fr-FR" w:bidi="ar-SA"/>
              </w:rPr>
            </w:pPr>
            <w:r w:rsidRPr="002E0EF5">
              <w:rPr>
                <w:lang w:eastAsia="fr-FR" w:bidi="ar-SA"/>
              </w:rPr>
              <w:t>ONDA</w:t>
            </w:r>
          </w:p>
        </w:tc>
        <w:tc>
          <w:tcPr>
            <w:tcW w:w="851" w:type="dxa"/>
            <w:vMerge w:val="restart"/>
            <w:hideMark/>
          </w:tcPr>
          <w:p w14:paraId="33ED171C" w14:textId="77777777" w:rsidR="0016618C" w:rsidRPr="002E0EF5" w:rsidRDefault="0016618C" w:rsidP="002E0EF5">
            <w:pPr>
              <w:cnfStyle w:val="000000000000" w:firstRow="0" w:lastRow="0" w:firstColumn="0" w:lastColumn="0" w:oddVBand="0" w:evenVBand="0" w:oddHBand="0" w:evenHBand="0" w:firstRowFirstColumn="0" w:firstRowLastColumn="0" w:lastRowFirstColumn="0" w:lastRowLastColumn="0"/>
              <w:rPr>
                <w:lang w:eastAsia="fr-FR" w:bidi="ar-SA"/>
              </w:rPr>
            </w:pPr>
            <w:r w:rsidRPr="002E0EF5">
              <w:rPr>
                <w:lang w:eastAsia="fr-FR" w:bidi="ar-SA"/>
              </w:rPr>
              <w:t>ONDA</w:t>
            </w:r>
          </w:p>
        </w:tc>
        <w:tc>
          <w:tcPr>
            <w:tcW w:w="2820" w:type="dxa"/>
            <w:tcBorders>
              <w:bottom w:val="single" w:sz="4" w:space="0" w:color="B4C6E7" w:themeColor="accent1" w:themeTint="66"/>
            </w:tcBorders>
          </w:tcPr>
          <w:p w14:paraId="57627478" w14:textId="56926AFD" w:rsidR="0016618C" w:rsidRPr="002E0EF5" w:rsidRDefault="00D46418" w:rsidP="002E0EF5">
            <w:pPr>
              <w:cnfStyle w:val="000000000000" w:firstRow="0" w:lastRow="0" w:firstColumn="0" w:lastColumn="0" w:oddVBand="0" w:evenVBand="0" w:oddHBand="0" w:evenHBand="0" w:firstRowFirstColumn="0" w:firstRowLastColumn="0" w:lastRowFirstColumn="0" w:lastRowLastColumn="0"/>
              <w:rPr>
                <w:lang w:eastAsia="fr-FR" w:bidi="ar-SA"/>
              </w:rPr>
            </w:pPr>
            <w:r w:rsidRPr="00D46418">
              <w:rPr>
                <w:lang w:eastAsia="fr-FR" w:bidi="ar-SA"/>
              </w:rPr>
              <w:t>≈ 2 500 – 3 000 MAD/an</w:t>
            </w:r>
          </w:p>
        </w:tc>
      </w:tr>
      <w:tr w:rsidR="00D60FC9" w:rsidRPr="002E0EF5" w14:paraId="2AE073D7" w14:textId="77777777" w:rsidTr="00D60FC9">
        <w:trPr>
          <w:trHeight w:val="429"/>
        </w:trPr>
        <w:tc>
          <w:tcPr>
            <w:cnfStyle w:val="001000000000" w:firstRow="0" w:lastRow="0" w:firstColumn="1" w:lastColumn="0" w:oddVBand="0" w:evenVBand="0" w:oddHBand="0" w:evenHBand="0" w:firstRowFirstColumn="0" w:firstRowLastColumn="0" w:lastRowFirstColumn="0" w:lastRowLastColumn="0"/>
            <w:tcW w:w="0" w:type="dxa"/>
            <w:vMerge/>
          </w:tcPr>
          <w:p w14:paraId="43160335" w14:textId="77777777" w:rsidR="0016618C" w:rsidRPr="008F031A" w:rsidRDefault="0016618C" w:rsidP="002E0EF5">
            <w:pPr>
              <w:rPr>
                <w:lang w:eastAsia="fr-FR" w:bidi="ar-SA"/>
              </w:rPr>
            </w:pPr>
          </w:p>
        </w:tc>
        <w:tc>
          <w:tcPr>
            <w:tcW w:w="0" w:type="auto"/>
            <w:vMerge/>
          </w:tcPr>
          <w:p w14:paraId="3E85ED55" w14:textId="77777777" w:rsidR="0016618C" w:rsidRPr="002E0EF5" w:rsidRDefault="0016618C" w:rsidP="002E0EF5">
            <w:pPr>
              <w:cnfStyle w:val="000000000000" w:firstRow="0" w:lastRow="0" w:firstColumn="0" w:lastColumn="0" w:oddVBand="0" w:evenVBand="0" w:oddHBand="0" w:evenHBand="0" w:firstRowFirstColumn="0" w:firstRowLastColumn="0" w:lastRowFirstColumn="0" w:lastRowLastColumn="0"/>
              <w:rPr>
                <w:b/>
                <w:bCs/>
                <w:lang w:eastAsia="fr-FR" w:bidi="ar-SA"/>
              </w:rPr>
            </w:pPr>
          </w:p>
        </w:tc>
        <w:tc>
          <w:tcPr>
            <w:tcW w:w="4018" w:type="dxa"/>
            <w:tcBorders>
              <w:top w:val="single" w:sz="4" w:space="0" w:color="B4C6E7" w:themeColor="accent1" w:themeTint="66"/>
              <w:bottom w:val="single" w:sz="4" w:space="0" w:color="B4C6E7" w:themeColor="accent1" w:themeTint="66"/>
            </w:tcBorders>
          </w:tcPr>
          <w:p w14:paraId="32EEB0FE" w14:textId="6F011D9C" w:rsidR="0016618C" w:rsidRPr="002E0EF5" w:rsidRDefault="0016618C" w:rsidP="0016618C">
            <w:pPr>
              <w:cnfStyle w:val="000000000000" w:firstRow="0" w:lastRow="0" w:firstColumn="0" w:lastColumn="0" w:oddVBand="0" w:evenVBand="0" w:oddHBand="0" w:evenHBand="0" w:firstRowFirstColumn="0" w:firstRowLastColumn="0" w:lastRowFirstColumn="0" w:lastRowLastColumn="0"/>
              <w:rPr>
                <w:lang w:eastAsia="fr-FR" w:bidi="ar-SA"/>
              </w:rPr>
            </w:pPr>
            <w:r w:rsidRPr="002E0EF5">
              <w:rPr>
                <w:lang w:eastAsia="fr-FR" w:bidi="ar-SA"/>
              </w:rPr>
              <w:t>Interdiction de toute vidange en dehors de l’aire dédiée.</w:t>
            </w:r>
          </w:p>
        </w:tc>
        <w:tc>
          <w:tcPr>
            <w:tcW w:w="1843" w:type="dxa"/>
            <w:vMerge/>
          </w:tcPr>
          <w:p w14:paraId="0A08D552" w14:textId="77777777" w:rsidR="0016618C" w:rsidRPr="002E0EF5" w:rsidRDefault="0016618C" w:rsidP="002E0EF5">
            <w:pPr>
              <w:cnfStyle w:val="000000000000" w:firstRow="0" w:lastRow="0" w:firstColumn="0" w:lastColumn="0" w:oddVBand="0" w:evenVBand="0" w:oddHBand="0" w:evenHBand="0" w:firstRowFirstColumn="0" w:firstRowLastColumn="0" w:lastRowFirstColumn="0" w:lastRowLastColumn="0"/>
              <w:rPr>
                <w:lang w:eastAsia="fr-FR" w:bidi="ar-SA"/>
              </w:rPr>
            </w:pPr>
          </w:p>
        </w:tc>
        <w:tc>
          <w:tcPr>
            <w:tcW w:w="1417" w:type="dxa"/>
            <w:vMerge/>
          </w:tcPr>
          <w:p w14:paraId="0FEC647D" w14:textId="77777777" w:rsidR="0016618C" w:rsidRPr="002E0EF5" w:rsidRDefault="0016618C" w:rsidP="002E0EF5">
            <w:pPr>
              <w:cnfStyle w:val="000000000000" w:firstRow="0" w:lastRow="0" w:firstColumn="0" w:lastColumn="0" w:oddVBand="0" w:evenVBand="0" w:oddHBand="0" w:evenHBand="0" w:firstRowFirstColumn="0" w:firstRowLastColumn="0" w:lastRowFirstColumn="0" w:lastRowLastColumn="0"/>
              <w:rPr>
                <w:lang w:eastAsia="fr-FR" w:bidi="ar-SA"/>
              </w:rPr>
            </w:pPr>
          </w:p>
        </w:tc>
        <w:tc>
          <w:tcPr>
            <w:tcW w:w="1275" w:type="dxa"/>
            <w:vMerge/>
          </w:tcPr>
          <w:p w14:paraId="7AD7BDA3" w14:textId="77777777" w:rsidR="0016618C" w:rsidRPr="002E0EF5" w:rsidRDefault="0016618C" w:rsidP="002E0EF5">
            <w:pPr>
              <w:cnfStyle w:val="000000000000" w:firstRow="0" w:lastRow="0" w:firstColumn="0" w:lastColumn="0" w:oddVBand="0" w:evenVBand="0" w:oddHBand="0" w:evenHBand="0" w:firstRowFirstColumn="0" w:firstRowLastColumn="0" w:lastRowFirstColumn="0" w:lastRowLastColumn="0"/>
              <w:rPr>
                <w:lang w:eastAsia="fr-FR" w:bidi="ar-SA"/>
              </w:rPr>
            </w:pPr>
          </w:p>
        </w:tc>
        <w:tc>
          <w:tcPr>
            <w:tcW w:w="851" w:type="dxa"/>
            <w:vMerge/>
          </w:tcPr>
          <w:p w14:paraId="41931931" w14:textId="77777777" w:rsidR="0016618C" w:rsidRPr="002E0EF5" w:rsidRDefault="0016618C" w:rsidP="002E0EF5">
            <w:pPr>
              <w:cnfStyle w:val="000000000000" w:firstRow="0" w:lastRow="0" w:firstColumn="0" w:lastColumn="0" w:oddVBand="0" w:evenVBand="0" w:oddHBand="0" w:evenHBand="0" w:firstRowFirstColumn="0" w:firstRowLastColumn="0" w:lastRowFirstColumn="0" w:lastRowLastColumn="0"/>
              <w:rPr>
                <w:lang w:eastAsia="fr-FR" w:bidi="ar-SA"/>
              </w:rPr>
            </w:pPr>
          </w:p>
        </w:tc>
        <w:tc>
          <w:tcPr>
            <w:tcW w:w="2820" w:type="dxa"/>
            <w:tcBorders>
              <w:top w:val="single" w:sz="4" w:space="0" w:color="B4C6E7" w:themeColor="accent1" w:themeTint="66"/>
              <w:bottom w:val="single" w:sz="4" w:space="0" w:color="B4C6E7" w:themeColor="accent1" w:themeTint="66"/>
            </w:tcBorders>
          </w:tcPr>
          <w:p w14:paraId="433A33C2" w14:textId="03CAA7E5" w:rsidR="0016618C" w:rsidRDefault="00D46418" w:rsidP="002E0EF5">
            <w:pPr>
              <w:cnfStyle w:val="000000000000" w:firstRow="0" w:lastRow="0" w:firstColumn="0" w:lastColumn="0" w:oddVBand="0" w:evenVBand="0" w:oddHBand="0" w:evenHBand="0" w:firstRowFirstColumn="0" w:firstRowLastColumn="0" w:lastRowFirstColumn="0" w:lastRowLastColumn="0"/>
              <w:rPr>
                <w:lang w:eastAsia="fr-FR" w:bidi="ar-SA"/>
              </w:rPr>
            </w:pPr>
            <w:r w:rsidRPr="00D46418">
              <w:rPr>
                <w:lang w:eastAsia="fr-FR" w:bidi="ar-SA"/>
              </w:rPr>
              <w:t>Aucun coût spécifique (signalisation incluse dans plan HSE)</w:t>
            </w:r>
          </w:p>
        </w:tc>
      </w:tr>
      <w:tr w:rsidR="00D60FC9" w:rsidRPr="002E0EF5" w14:paraId="0F1EEF1B" w14:textId="77777777" w:rsidTr="00D60FC9">
        <w:trPr>
          <w:trHeight w:val="760"/>
        </w:trPr>
        <w:tc>
          <w:tcPr>
            <w:cnfStyle w:val="001000000000" w:firstRow="0" w:lastRow="0" w:firstColumn="1" w:lastColumn="0" w:oddVBand="0" w:evenVBand="0" w:oddHBand="0" w:evenHBand="0" w:firstRowFirstColumn="0" w:firstRowLastColumn="0" w:lastRowFirstColumn="0" w:lastRowLastColumn="0"/>
            <w:tcW w:w="0" w:type="dxa"/>
            <w:vMerge/>
          </w:tcPr>
          <w:p w14:paraId="64F5885B" w14:textId="77777777" w:rsidR="0016618C" w:rsidRPr="008F031A" w:rsidRDefault="0016618C" w:rsidP="002E0EF5">
            <w:pPr>
              <w:rPr>
                <w:lang w:eastAsia="fr-FR" w:bidi="ar-SA"/>
              </w:rPr>
            </w:pPr>
          </w:p>
        </w:tc>
        <w:tc>
          <w:tcPr>
            <w:tcW w:w="0" w:type="auto"/>
            <w:vMerge/>
          </w:tcPr>
          <w:p w14:paraId="3A7CFE99" w14:textId="77777777" w:rsidR="0016618C" w:rsidRPr="002E0EF5" w:rsidRDefault="0016618C" w:rsidP="002E0EF5">
            <w:pPr>
              <w:cnfStyle w:val="000000000000" w:firstRow="0" w:lastRow="0" w:firstColumn="0" w:lastColumn="0" w:oddVBand="0" w:evenVBand="0" w:oddHBand="0" w:evenHBand="0" w:firstRowFirstColumn="0" w:firstRowLastColumn="0" w:lastRowFirstColumn="0" w:lastRowLastColumn="0"/>
              <w:rPr>
                <w:b/>
                <w:bCs/>
                <w:lang w:eastAsia="fr-FR" w:bidi="ar-SA"/>
              </w:rPr>
            </w:pPr>
          </w:p>
        </w:tc>
        <w:tc>
          <w:tcPr>
            <w:tcW w:w="4018" w:type="dxa"/>
            <w:tcBorders>
              <w:top w:val="single" w:sz="4" w:space="0" w:color="B4C6E7" w:themeColor="accent1" w:themeTint="66"/>
            </w:tcBorders>
          </w:tcPr>
          <w:p w14:paraId="684010DE" w14:textId="77777777" w:rsidR="0016618C" w:rsidRPr="002E0EF5" w:rsidRDefault="0016618C" w:rsidP="0016618C">
            <w:pPr>
              <w:cnfStyle w:val="000000000000" w:firstRow="0" w:lastRow="0" w:firstColumn="0" w:lastColumn="0" w:oddVBand="0" w:evenVBand="0" w:oddHBand="0" w:evenHBand="0" w:firstRowFirstColumn="0" w:firstRowLastColumn="0" w:lastRowFirstColumn="0" w:lastRowLastColumn="0"/>
              <w:rPr>
                <w:lang w:eastAsia="fr-FR" w:bidi="ar-SA"/>
              </w:rPr>
            </w:pPr>
            <w:r w:rsidRPr="002E0EF5">
              <w:rPr>
                <w:lang w:eastAsia="fr-FR" w:bidi="ar-SA"/>
              </w:rPr>
              <w:t>Vérification de l’intégrité des raccords avant chaque opération.</w:t>
            </w:r>
          </w:p>
        </w:tc>
        <w:tc>
          <w:tcPr>
            <w:tcW w:w="1843" w:type="dxa"/>
            <w:vMerge/>
          </w:tcPr>
          <w:p w14:paraId="7CD3F3F4" w14:textId="77777777" w:rsidR="0016618C" w:rsidRPr="002E0EF5" w:rsidRDefault="0016618C" w:rsidP="002E0EF5">
            <w:pPr>
              <w:cnfStyle w:val="000000000000" w:firstRow="0" w:lastRow="0" w:firstColumn="0" w:lastColumn="0" w:oddVBand="0" w:evenVBand="0" w:oddHBand="0" w:evenHBand="0" w:firstRowFirstColumn="0" w:firstRowLastColumn="0" w:lastRowFirstColumn="0" w:lastRowLastColumn="0"/>
              <w:rPr>
                <w:lang w:eastAsia="fr-FR" w:bidi="ar-SA"/>
              </w:rPr>
            </w:pPr>
          </w:p>
        </w:tc>
        <w:tc>
          <w:tcPr>
            <w:tcW w:w="1417" w:type="dxa"/>
            <w:vMerge/>
          </w:tcPr>
          <w:p w14:paraId="6A42D9A4" w14:textId="77777777" w:rsidR="0016618C" w:rsidRPr="002E0EF5" w:rsidRDefault="0016618C" w:rsidP="002E0EF5">
            <w:pPr>
              <w:cnfStyle w:val="000000000000" w:firstRow="0" w:lastRow="0" w:firstColumn="0" w:lastColumn="0" w:oddVBand="0" w:evenVBand="0" w:oddHBand="0" w:evenHBand="0" w:firstRowFirstColumn="0" w:firstRowLastColumn="0" w:lastRowFirstColumn="0" w:lastRowLastColumn="0"/>
              <w:rPr>
                <w:lang w:eastAsia="fr-FR" w:bidi="ar-SA"/>
              </w:rPr>
            </w:pPr>
          </w:p>
        </w:tc>
        <w:tc>
          <w:tcPr>
            <w:tcW w:w="1275" w:type="dxa"/>
            <w:vMerge/>
          </w:tcPr>
          <w:p w14:paraId="21A4481D" w14:textId="77777777" w:rsidR="0016618C" w:rsidRPr="002E0EF5" w:rsidRDefault="0016618C" w:rsidP="002E0EF5">
            <w:pPr>
              <w:cnfStyle w:val="000000000000" w:firstRow="0" w:lastRow="0" w:firstColumn="0" w:lastColumn="0" w:oddVBand="0" w:evenVBand="0" w:oddHBand="0" w:evenHBand="0" w:firstRowFirstColumn="0" w:firstRowLastColumn="0" w:lastRowFirstColumn="0" w:lastRowLastColumn="0"/>
              <w:rPr>
                <w:lang w:eastAsia="fr-FR" w:bidi="ar-SA"/>
              </w:rPr>
            </w:pPr>
          </w:p>
        </w:tc>
        <w:tc>
          <w:tcPr>
            <w:tcW w:w="851" w:type="dxa"/>
            <w:vMerge/>
          </w:tcPr>
          <w:p w14:paraId="366F4AB7" w14:textId="77777777" w:rsidR="0016618C" w:rsidRPr="002E0EF5" w:rsidRDefault="0016618C" w:rsidP="002E0EF5">
            <w:pPr>
              <w:cnfStyle w:val="000000000000" w:firstRow="0" w:lastRow="0" w:firstColumn="0" w:lastColumn="0" w:oddVBand="0" w:evenVBand="0" w:oddHBand="0" w:evenHBand="0" w:firstRowFirstColumn="0" w:firstRowLastColumn="0" w:lastRowFirstColumn="0" w:lastRowLastColumn="0"/>
              <w:rPr>
                <w:lang w:eastAsia="fr-FR" w:bidi="ar-SA"/>
              </w:rPr>
            </w:pPr>
          </w:p>
        </w:tc>
        <w:tc>
          <w:tcPr>
            <w:tcW w:w="2820" w:type="dxa"/>
            <w:tcBorders>
              <w:top w:val="single" w:sz="4" w:space="0" w:color="B4C6E7" w:themeColor="accent1" w:themeTint="66"/>
            </w:tcBorders>
          </w:tcPr>
          <w:p w14:paraId="66922193" w14:textId="26088902" w:rsidR="0016618C" w:rsidRDefault="00585A80" w:rsidP="002E0EF5">
            <w:pPr>
              <w:cnfStyle w:val="000000000000" w:firstRow="0" w:lastRow="0" w:firstColumn="0" w:lastColumn="0" w:oddVBand="0" w:evenVBand="0" w:oddHBand="0" w:evenHBand="0" w:firstRowFirstColumn="0" w:firstRowLastColumn="0" w:lastRowFirstColumn="0" w:lastRowLastColumn="0"/>
              <w:rPr>
                <w:lang w:eastAsia="fr-FR" w:bidi="ar-SA"/>
              </w:rPr>
            </w:pPr>
            <w:r w:rsidRPr="00585A80">
              <w:rPr>
                <w:lang w:eastAsia="fr-FR" w:bidi="ar-SA"/>
              </w:rPr>
              <w:t>Aucun coût spécifique</w:t>
            </w:r>
            <w:r>
              <w:rPr>
                <w:lang w:eastAsia="fr-FR" w:bidi="ar-SA"/>
              </w:rPr>
              <w:t xml:space="preserve"> </w:t>
            </w:r>
            <w:r w:rsidRPr="00585A80">
              <w:rPr>
                <w:lang w:eastAsia="fr-FR" w:bidi="ar-SA"/>
              </w:rPr>
              <w:t>Mesures intégrées dans le programme d’exploitation et de maintenance de l’ONDA (contrat d’entretien du réseau séparatif et du matériel de vidange).</w:t>
            </w:r>
          </w:p>
        </w:tc>
      </w:tr>
      <w:tr w:rsidR="00D60FC9" w:rsidRPr="002E0EF5" w14:paraId="131E081D" w14:textId="771B0FAF" w:rsidTr="00D60FC9">
        <w:trPr>
          <w:trHeight w:val="733"/>
        </w:trPr>
        <w:tc>
          <w:tcPr>
            <w:cnfStyle w:val="001000000000" w:firstRow="0" w:lastRow="0" w:firstColumn="1" w:lastColumn="0" w:oddVBand="0" w:evenVBand="0" w:oddHBand="0" w:evenHBand="0" w:firstRowFirstColumn="0" w:firstRowLastColumn="0" w:lastRowFirstColumn="0" w:lastRowLastColumn="0"/>
            <w:tcW w:w="0" w:type="dxa"/>
            <w:vMerge/>
          </w:tcPr>
          <w:p w14:paraId="236C78F4" w14:textId="77777777" w:rsidR="0016618C" w:rsidRPr="002E0EF5" w:rsidRDefault="0016618C" w:rsidP="002E0EF5">
            <w:pPr>
              <w:rPr>
                <w:b w:val="0"/>
                <w:bCs w:val="0"/>
                <w:lang w:eastAsia="fr-FR" w:bidi="ar-SA"/>
              </w:rPr>
            </w:pPr>
          </w:p>
        </w:tc>
        <w:tc>
          <w:tcPr>
            <w:tcW w:w="0" w:type="auto"/>
            <w:vMerge w:val="restart"/>
            <w:hideMark/>
          </w:tcPr>
          <w:p w14:paraId="6F11DC4E" w14:textId="4170E776" w:rsidR="0016618C" w:rsidRPr="002E0EF5" w:rsidRDefault="0016618C" w:rsidP="002E0EF5">
            <w:pPr>
              <w:cnfStyle w:val="000000000000" w:firstRow="0" w:lastRow="0" w:firstColumn="0" w:lastColumn="0" w:oddVBand="0" w:evenVBand="0" w:oddHBand="0" w:evenHBand="0" w:firstRowFirstColumn="0" w:firstRowLastColumn="0" w:lastRowFirstColumn="0" w:lastRowLastColumn="0"/>
              <w:rPr>
                <w:lang w:eastAsia="fr-FR" w:bidi="ar-SA"/>
              </w:rPr>
            </w:pPr>
            <w:r w:rsidRPr="002E0EF5">
              <w:rPr>
                <w:b/>
                <w:bCs/>
                <w:lang w:eastAsia="fr-FR" w:bidi="ar-SA"/>
              </w:rPr>
              <w:t>Réduire</w:t>
            </w:r>
          </w:p>
        </w:tc>
        <w:tc>
          <w:tcPr>
            <w:tcW w:w="4018" w:type="dxa"/>
            <w:tcBorders>
              <w:bottom w:val="single" w:sz="4" w:space="0" w:color="B4C6E7" w:themeColor="accent1" w:themeTint="66"/>
            </w:tcBorders>
            <w:hideMark/>
          </w:tcPr>
          <w:p w14:paraId="1B3D85D6" w14:textId="65AEB832" w:rsidR="0016618C" w:rsidRPr="002E0EF5" w:rsidRDefault="0016618C" w:rsidP="002E0EF5">
            <w:pPr>
              <w:cnfStyle w:val="000000000000" w:firstRow="0" w:lastRow="0" w:firstColumn="0" w:lastColumn="0" w:oddVBand="0" w:evenVBand="0" w:oddHBand="0" w:evenHBand="0" w:firstRowFirstColumn="0" w:firstRowLastColumn="0" w:lastRowFirstColumn="0" w:lastRowLastColumn="0"/>
              <w:rPr>
                <w:lang w:eastAsia="fr-FR" w:bidi="ar-SA"/>
              </w:rPr>
            </w:pPr>
            <w:r>
              <w:rPr>
                <w:lang w:eastAsia="fr-FR" w:bidi="ar-SA"/>
              </w:rPr>
              <w:t>S</w:t>
            </w:r>
            <w:r w:rsidRPr="002E0EF5">
              <w:rPr>
                <w:lang w:eastAsia="fr-FR" w:bidi="ar-SA"/>
              </w:rPr>
              <w:t>upervision systématique de chaque opération par un agent formé.</w:t>
            </w:r>
          </w:p>
        </w:tc>
        <w:tc>
          <w:tcPr>
            <w:tcW w:w="1843" w:type="dxa"/>
            <w:vMerge w:val="restart"/>
            <w:hideMark/>
          </w:tcPr>
          <w:p w14:paraId="241075DD" w14:textId="77777777" w:rsidR="0016618C" w:rsidRDefault="0016618C" w:rsidP="002E0EF5">
            <w:pPr>
              <w:cnfStyle w:val="000000000000" w:firstRow="0" w:lastRow="0" w:firstColumn="0" w:lastColumn="0" w:oddVBand="0" w:evenVBand="0" w:oddHBand="0" w:evenHBand="0" w:firstRowFirstColumn="0" w:firstRowLastColumn="0" w:lastRowFirstColumn="0" w:lastRowLastColumn="0"/>
              <w:rPr>
                <w:lang w:eastAsia="fr-FR" w:bidi="ar-SA"/>
              </w:rPr>
            </w:pPr>
            <w:r w:rsidRPr="002E0EF5">
              <w:rPr>
                <w:lang w:eastAsia="fr-FR" w:bidi="ar-SA"/>
              </w:rPr>
              <w:t xml:space="preserve">Nombre d’inspections </w:t>
            </w:r>
          </w:p>
          <w:p w14:paraId="5BD5641B" w14:textId="246E3C0C" w:rsidR="0016618C" w:rsidRDefault="0016618C" w:rsidP="002E0EF5">
            <w:pPr>
              <w:cnfStyle w:val="000000000000" w:firstRow="0" w:lastRow="0" w:firstColumn="0" w:lastColumn="0" w:oddVBand="0" w:evenVBand="0" w:oddHBand="0" w:evenHBand="0" w:firstRowFirstColumn="0" w:firstRowLastColumn="0" w:lastRowFirstColumn="0" w:lastRowLastColumn="0"/>
              <w:rPr>
                <w:lang w:eastAsia="fr-FR" w:bidi="ar-SA"/>
              </w:rPr>
            </w:pPr>
            <w:r w:rsidRPr="002E0EF5">
              <w:rPr>
                <w:lang w:eastAsia="fr-FR" w:bidi="ar-SA"/>
              </w:rPr>
              <w:t xml:space="preserve"> Registre d’entretien </w:t>
            </w:r>
          </w:p>
          <w:p w14:paraId="224432FE" w14:textId="0F26BAB5" w:rsidR="0016618C" w:rsidRPr="002E0EF5" w:rsidRDefault="0016618C" w:rsidP="002E0EF5">
            <w:pPr>
              <w:cnfStyle w:val="000000000000" w:firstRow="0" w:lastRow="0" w:firstColumn="0" w:lastColumn="0" w:oddVBand="0" w:evenVBand="0" w:oddHBand="0" w:evenHBand="0" w:firstRowFirstColumn="0" w:firstRowLastColumn="0" w:lastRowFirstColumn="0" w:lastRowLastColumn="0"/>
              <w:rPr>
                <w:lang w:eastAsia="fr-FR" w:bidi="ar-SA"/>
              </w:rPr>
            </w:pPr>
            <w:r w:rsidRPr="002E0EF5">
              <w:rPr>
                <w:lang w:eastAsia="fr-FR" w:bidi="ar-SA"/>
              </w:rPr>
              <w:t>Taux d’incidents</w:t>
            </w:r>
          </w:p>
        </w:tc>
        <w:tc>
          <w:tcPr>
            <w:tcW w:w="1417" w:type="dxa"/>
            <w:vMerge w:val="restart"/>
            <w:hideMark/>
          </w:tcPr>
          <w:p w14:paraId="2D65025B" w14:textId="77777777" w:rsidR="0016618C" w:rsidRPr="002E0EF5" w:rsidRDefault="0016618C" w:rsidP="002E0EF5">
            <w:pPr>
              <w:cnfStyle w:val="000000000000" w:firstRow="0" w:lastRow="0" w:firstColumn="0" w:lastColumn="0" w:oddVBand="0" w:evenVBand="0" w:oddHBand="0" w:evenHBand="0" w:firstRowFirstColumn="0" w:firstRowLastColumn="0" w:lastRowFirstColumn="0" w:lastRowLastColumn="0"/>
              <w:rPr>
                <w:lang w:eastAsia="fr-FR" w:bidi="ar-SA"/>
              </w:rPr>
            </w:pPr>
            <w:r w:rsidRPr="002E0EF5">
              <w:rPr>
                <w:lang w:eastAsia="fr-FR" w:bidi="ar-SA"/>
              </w:rPr>
              <w:t>ONDA / Exploitant</w:t>
            </w:r>
          </w:p>
        </w:tc>
        <w:tc>
          <w:tcPr>
            <w:tcW w:w="1275" w:type="dxa"/>
            <w:vMerge w:val="restart"/>
            <w:hideMark/>
          </w:tcPr>
          <w:p w14:paraId="17182CDC" w14:textId="77777777" w:rsidR="0016618C" w:rsidRPr="002E0EF5" w:rsidRDefault="0016618C" w:rsidP="002E0EF5">
            <w:pPr>
              <w:cnfStyle w:val="000000000000" w:firstRow="0" w:lastRow="0" w:firstColumn="0" w:lastColumn="0" w:oddVBand="0" w:evenVBand="0" w:oddHBand="0" w:evenHBand="0" w:firstRowFirstColumn="0" w:firstRowLastColumn="0" w:lastRowFirstColumn="0" w:lastRowLastColumn="0"/>
              <w:rPr>
                <w:lang w:eastAsia="fr-FR" w:bidi="ar-SA"/>
              </w:rPr>
            </w:pPr>
            <w:r w:rsidRPr="002E0EF5">
              <w:rPr>
                <w:lang w:eastAsia="fr-FR" w:bidi="ar-SA"/>
              </w:rPr>
              <w:t>ONDA</w:t>
            </w:r>
          </w:p>
        </w:tc>
        <w:tc>
          <w:tcPr>
            <w:tcW w:w="851" w:type="dxa"/>
            <w:vMerge w:val="restart"/>
            <w:hideMark/>
          </w:tcPr>
          <w:p w14:paraId="157DB88F" w14:textId="77777777" w:rsidR="0016618C" w:rsidRPr="002E0EF5" w:rsidRDefault="0016618C" w:rsidP="002E0EF5">
            <w:pPr>
              <w:cnfStyle w:val="000000000000" w:firstRow="0" w:lastRow="0" w:firstColumn="0" w:lastColumn="0" w:oddVBand="0" w:evenVBand="0" w:oddHBand="0" w:evenHBand="0" w:firstRowFirstColumn="0" w:firstRowLastColumn="0" w:lastRowFirstColumn="0" w:lastRowLastColumn="0"/>
              <w:rPr>
                <w:lang w:eastAsia="fr-FR" w:bidi="ar-SA"/>
              </w:rPr>
            </w:pPr>
            <w:r w:rsidRPr="002E0EF5">
              <w:rPr>
                <w:lang w:eastAsia="fr-FR" w:bidi="ar-SA"/>
              </w:rPr>
              <w:t>ONDA</w:t>
            </w:r>
          </w:p>
        </w:tc>
        <w:tc>
          <w:tcPr>
            <w:tcW w:w="2820" w:type="dxa"/>
            <w:tcBorders>
              <w:bottom w:val="single" w:sz="4" w:space="0" w:color="B4C6E7" w:themeColor="accent1" w:themeTint="66"/>
            </w:tcBorders>
          </w:tcPr>
          <w:p w14:paraId="6435A296" w14:textId="4A1F5CD4" w:rsidR="0016618C" w:rsidRPr="002E0EF5" w:rsidRDefault="00585A80" w:rsidP="002E0EF5">
            <w:pPr>
              <w:cnfStyle w:val="000000000000" w:firstRow="0" w:lastRow="0" w:firstColumn="0" w:lastColumn="0" w:oddVBand="0" w:evenVBand="0" w:oddHBand="0" w:evenHBand="0" w:firstRowFirstColumn="0" w:firstRowLastColumn="0" w:lastRowFirstColumn="0" w:lastRowLastColumn="0"/>
              <w:rPr>
                <w:lang w:eastAsia="fr-FR" w:bidi="ar-SA"/>
              </w:rPr>
            </w:pPr>
            <w:r w:rsidRPr="00585A80">
              <w:rPr>
                <w:lang w:eastAsia="fr-FR" w:bidi="ar-SA"/>
              </w:rPr>
              <w:t>Aucun coût spécifique</w:t>
            </w:r>
            <w:r w:rsidR="00BE44F0">
              <w:rPr>
                <w:lang w:eastAsia="fr-FR" w:bidi="ar-SA"/>
              </w:rPr>
              <w:t xml:space="preserve"> (point focal</w:t>
            </w:r>
            <w:r w:rsidR="00BE44F0" w:rsidRPr="00BE44F0">
              <w:rPr>
                <w:lang w:eastAsia="fr-FR" w:bidi="ar-SA"/>
              </w:rPr>
              <w:t xml:space="preserve"> HS</w:t>
            </w:r>
            <w:r w:rsidR="00BE44F0">
              <w:rPr>
                <w:lang w:eastAsia="fr-FR" w:bidi="ar-SA"/>
              </w:rPr>
              <w:t>S</w:t>
            </w:r>
            <w:r w:rsidR="00BE44F0" w:rsidRPr="00BE44F0">
              <w:rPr>
                <w:lang w:eastAsia="fr-FR" w:bidi="ar-SA"/>
              </w:rPr>
              <w:t>E dédié</w:t>
            </w:r>
            <w:r w:rsidR="00BE44F0">
              <w:rPr>
                <w:lang w:eastAsia="fr-FR" w:bidi="ar-SA"/>
              </w:rPr>
              <w:t xml:space="preserve"> sur site)</w:t>
            </w:r>
          </w:p>
        </w:tc>
      </w:tr>
      <w:tr w:rsidR="00D60FC9" w:rsidRPr="002E0EF5" w14:paraId="528B441D" w14:textId="77777777" w:rsidTr="00D60FC9">
        <w:trPr>
          <w:trHeight w:val="670"/>
        </w:trPr>
        <w:tc>
          <w:tcPr>
            <w:cnfStyle w:val="001000000000" w:firstRow="0" w:lastRow="0" w:firstColumn="1" w:lastColumn="0" w:oddVBand="0" w:evenVBand="0" w:oddHBand="0" w:evenHBand="0" w:firstRowFirstColumn="0" w:firstRowLastColumn="0" w:lastRowFirstColumn="0" w:lastRowLastColumn="0"/>
            <w:tcW w:w="0" w:type="dxa"/>
            <w:vMerge/>
          </w:tcPr>
          <w:p w14:paraId="12E6178F" w14:textId="77777777" w:rsidR="0016618C" w:rsidRPr="002E0EF5" w:rsidRDefault="0016618C" w:rsidP="002E0EF5">
            <w:pPr>
              <w:rPr>
                <w:b w:val="0"/>
                <w:bCs w:val="0"/>
                <w:lang w:eastAsia="fr-FR" w:bidi="ar-SA"/>
              </w:rPr>
            </w:pPr>
          </w:p>
        </w:tc>
        <w:tc>
          <w:tcPr>
            <w:tcW w:w="0" w:type="auto"/>
            <w:vMerge/>
          </w:tcPr>
          <w:p w14:paraId="20228D10" w14:textId="77777777" w:rsidR="0016618C" w:rsidRPr="002E0EF5" w:rsidRDefault="0016618C" w:rsidP="002E0EF5">
            <w:pPr>
              <w:cnfStyle w:val="000000000000" w:firstRow="0" w:lastRow="0" w:firstColumn="0" w:lastColumn="0" w:oddVBand="0" w:evenVBand="0" w:oddHBand="0" w:evenHBand="0" w:firstRowFirstColumn="0" w:firstRowLastColumn="0" w:lastRowFirstColumn="0" w:lastRowLastColumn="0"/>
              <w:rPr>
                <w:b/>
                <w:bCs/>
                <w:lang w:eastAsia="fr-FR" w:bidi="ar-SA"/>
              </w:rPr>
            </w:pPr>
          </w:p>
        </w:tc>
        <w:tc>
          <w:tcPr>
            <w:tcW w:w="4018" w:type="dxa"/>
            <w:tcBorders>
              <w:top w:val="single" w:sz="4" w:space="0" w:color="B4C6E7" w:themeColor="accent1" w:themeTint="66"/>
              <w:bottom w:val="single" w:sz="4" w:space="0" w:color="B4C6E7" w:themeColor="accent1" w:themeTint="66"/>
            </w:tcBorders>
          </w:tcPr>
          <w:p w14:paraId="688A568F" w14:textId="4ED12448" w:rsidR="0016618C" w:rsidRDefault="0016618C" w:rsidP="0016618C">
            <w:pPr>
              <w:cnfStyle w:val="000000000000" w:firstRow="0" w:lastRow="0" w:firstColumn="0" w:lastColumn="0" w:oddVBand="0" w:evenVBand="0" w:oddHBand="0" w:evenHBand="0" w:firstRowFirstColumn="0" w:firstRowLastColumn="0" w:lastRowFirstColumn="0" w:lastRowLastColumn="0"/>
              <w:rPr>
                <w:lang w:eastAsia="fr-FR" w:bidi="ar-SA"/>
              </w:rPr>
            </w:pPr>
            <w:r w:rsidRPr="002E0EF5">
              <w:rPr>
                <w:lang w:eastAsia="fr-FR" w:bidi="ar-SA"/>
              </w:rPr>
              <w:t>Inspection trimestrielle du réseau séparatif et des cuves de réception.</w:t>
            </w:r>
          </w:p>
        </w:tc>
        <w:tc>
          <w:tcPr>
            <w:tcW w:w="1843" w:type="dxa"/>
            <w:vMerge/>
          </w:tcPr>
          <w:p w14:paraId="1E278B2F" w14:textId="77777777" w:rsidR="0016618C" w:rsidRPr="002E0EF5" w:rsidRDefault="0016618C" w:rsidP="002E0EF5">
            <w:pPr>
              <w:cnfStyle w:val="000000000000" w:firstRow="0" w:lastRow="0" w:firstColumn="0" w:lastColumn="0" w:oddVBand="0" w:evenVBand="0" w:oddHBand="0" w:evenHBand="0" w:firstRowFirstColumn="0" w:firstRowLastColumn="0" w:lastRowFirstColumn="0" w:lastRowLastColumn="0"/>
              <w:rPr>
                <w:lang w:eastAsia="fr-FR" w:bidi="ar-SA"/>
              </w:rPr>
            </w:pPr>
          </w:p>
        </w:tc>
        <w:tc>
          <w:tcPr>
            <w:tcW w:w="1417" w:type="dxa"/>
            <w:vMerge/>
          </w:tcPr>
          <w:p w14:paraId="6E135EBE" w14:textId="77777777" w:rsidR="0016618C" w:rsidRPr="002E0EF5" w:rsidRDefault="0016618C" w:rsidP="002E0EF5">
            <w:pPr>
              <w:cnfStyle w:val="000000000000" w:firstRow="0" w:lastRow="0" w:firstColumn="0" w:lastColumn="0" w:oddVBand="0" w:evenVBand="0" w:oddHBand="0" w:evenHBand="0" w:firstRowFirstColumn="0" w:firstRowLastColumn="0" w:lastRowFirstColumn="0" w:lastRowLastColumn="0"/>
              <w:rPr>
                <w:lang w:eastAsia="fr-FR" w:bidi="ar-SA"/>
              </w:rPr>
            </w:pPr>
          </w:p>
        </w:tc>
        <w:tc>
          <w:tcPr>
            <w:tcW w:w="1275" w:type="dxa"/>
            <w:vMerge/>
          </w:tcPr>
          <w:p w14:paraId="7826829A" w14:textId="77777777" w:rsidR="0016618C" w:rsidRPr="002E0EF5" w:rsidRDefault="0016618C" w:rsidP="002E0EF5">
            <w:pPr>
              <w:cnfStyle w:val="000000000000" w:firstRow="0" w:lastRow="0" w:firstColumn="0" w:lastColumn="0" w:oddVBand="0" w:evenVBand="0" w:oddHBand="0" w:evenHBand="0" w:firstRowFirstColumn="0" w:firstRowLastColumn="0" w:lastRowFirstColumn="0" w:lastRowLastColumn="0"/>
              <w:rPr>
                <w:lang w:eastAsia="fr-FR" w:bidi="ar-SA"/>
              </w:rPr>
            </w:pPr>
          </w:p>
        </w:tc>
        <w:tc>
          <w:tcPr>
            <w:tcW w:w="851" w:type="dxa"/>
            <w:vMerge/>
          </w:tcPr>
          <w:p w14:paraId="786D3737" w14:textId="77777777" w:rsidR="0016618C" w:rsidRPr="002E0EF5" w:rsidRDefault="0016618C" w:rsidP="002E0EF5">
            <w:pPr>
              <w:cnfStyle w:val="000000000000" w:firstRow="0" w:lastRow="0" w:firstColumn="0" w:lastColumn="0" w:oddVBand="0" w:evenVBand="0" w:oddHBand="0" w:evenHBand="0" w:firstRowFirstColumn="0" w:firstRowLastColumn="0" w:lastRowFirstColumn="0" w:lastRowLastColumn="0"/>
              <w:rPr>
                <w:lang w:eastAsia="fr-FR" w:bidi="ar-SA"/>
              </w:rPr>
            </w:pPr>
          </w:p>
        </w:tc>
        <w:tc>
          <w:tcPr>
            <w:tcW w:w="2820" w:type="dxa"/>
            <w:tcBorders>
              <w:top w:val="single" w:sz="4" w:space="0" w:color="B4C6E7" w:themeColor="accent1" w:themeTint="66"/>
              <w:bottom w:val="single" w:sz="4" w:space="0" w:color="B4C6E7" w:themeColor="accent1" w:themeTint="66"/>
            </w:tcBorders>
          </w:tcPr>
          <w:p w14:paraId="10EC4121" w14:textId="2B7865C8" w:rsidR="003A603B" w:rsidRPr="003A603B" w:rsidRDefault="003A603B" w:rsidP="002E0EF5">
            <w:pPr>
              <w:cnfStyle w:val="000000000000" w:firstRow="0" w:lastRow="0" w:firstColumn="0" w:lastColumn="0" w:oddVBand="0" w:evenVBand="0" w:oddHBand="0" w:evenHBand="0" w:firstRowFirstColumn="0" w:firstRowLastColumn="0" w:lastRowFirstColumn="0" w:lastRowLastColumn="0"/>
              <w:rPr>
                <w:lang w:eastAsia="fr-FR" w:bidi="ar-SA"/>
              </w:rPr>
            </w:pPr>
            <w:r w:rsidRPr="003A603B">
              <w:rPr>
                <w:lang w:eastAsia="fr-FR" w:bidi="ar-SA"/>
              </w:rPr>
              <w:t xml:space="preserve">Le coût moyen d’un contrôle avec rapport est </w:t>
            </w:r>
            <w:r w:rsidRPr="00D60FC9">
              <w:rPr>
                <w:lang w:eastAsia="fr-FR" w:bidi="ar-SA"/>
              </w:rPr>
              <w:t>≈ 5 000 MAD / inspection</w:t>
            </w:r>
            <w:r w:rsidRPr="003A603B">
              <w:rPr>
                <w:lang w:eastAsia="fr-FR" w:bidi="ar-SA"/>
              </w:rPr>
              <w:t xml:space="preserve">, soit </w:t>
            </w:r>
            <w:r w:rsidRPr="00D60FC9">
              <w:rPr>
                <w:lang w:eastAsia="fr-FR" w:bidi="ar-SA"/>
              </w:rPr>
              <w:t>≈ 20 000 MAD/an</w:t>
            </w:r>
          </w:p>
        </w:tc>
      </w:tr>
      <w:tr w:rsidR="00D60FC9" w:rsidRPr="002E0EF5" w14:paraId="0D67C386" w14:textId="77777777" w:rsidTr="00D60FC9">
        <w:trPr>
          <w:trHeight w:val="800"/>
        </w:trPr>
        <w:tc>
          <w:tcPr>
            <w:cnfStyle w:val="001000000000" w:firstRow="0" w:lastRow="0" w:firstColumn="1" w:lastColumn="0" w:oddVBand="0" w:evenVBand="0" w:oddHBand="0" w:evenHBand="0" w:firstRowFirstColumn="0" w:firstRowLastColumn="0" w:lastRowFirstColumn="0" w:lastRowLastColumn="0"/>
            <w:tcW w:w="0" w:type="dxa"/>
            <w:vMerge/>
          </w:tcPr>
          <w:p w14:paraId="454A4BFF" w14:textId="77777777" w:rsidR="0016618C" w:rsidRPr="002E0EF5" w:rsidRDefault="0016618C" w:rsidP="002E0EF5">
            <w:pPr>
              <w:rPr>
                <w:b w:val="0"/>
                <w:bCs w:val="0"/>
                <w:lang w:eastAsia="fr-FR" w:bidi="ar-SA"/>
              </w:rPr>
            </w:pPr>
          </w:p>
        </w:tc>
        <w:tc>
          <w:tcPr>
            <w:tcW w:w="0" w:type="auto"/>
            <w:vMerge/>
          </w:tcPr>
          <w:p w14:paraId="4E52412B" w14:textId="77777777" w:rsidR="0016618C" w:rsidRPr="002E0EF5" w:rsidRDefault="0016618C" w:rsidP="002E0EF5">
            <w:pPr>
              <w:cnfStyle w:val="000000000000" w:firstRow="0" w:lastRow="0" w:firstColumn="0" w:lastColumn="0" w:oddVBand="0" w:evenVBand="0" w:oddHBand="0" w:evenHBand="0" w:firstRowFirstColumn="0" w:firstRowLastColumn="0" w:lastRowFirstColumn="0" w:lastRowLastColumn="0"/>
              <w:rPr>
                <w:b/>
                <w:bCs/>
                <w:lang w:eastAsia="fr-FR" w:bidi="ar-SA"/>
              </w:rPr>
            </w:pPr>
          </w:p>
        </w:tc>
        <w:tc>
          <w:tcPr>
            <w:tcW w:w="4018" w:type="dxa"/>
            <w:tcBorders>
              <w:top w:val="single" w:sz="4" w:space="0" w:color="B4C6E7" w:themeColor="accent1" w:themeTint="66"/>
            </w:tcBorders>
          </w:tcPr>
          <w:p w14:paraId="449ADCB2" w14:textId="77777777" w:rsidR="0016618C" w:rsidRPr="002E0EF5" w:rsidRDefault="0016618C" w:rsidP="0016618C">
            <w:pPr>
              <w:cnfStyle w:val="000000000000" w:firstRow="0" w:lastRow="0" w:firstColumn="0" w:lastColumn="0" w:oddVBand="0" w:evenVBand="0" w:oddHBand="0" w:evenHBand="0" w:firstRowFirstColumn="0" w:firstRowLastColumn="0" w:lastRowFirstColumn="0" w:lastRowLastColumn="0"/>
              <w:rPr>
                <w:lang w:eastAsia="fr-FR" w:bidi="ar-SA"/>
              </w:rPr>
            </w:pPr>
            <w:r w:rsidRPr="002E0EF5">
              <w:rPr>
                <w:lang w:eastAsia="fr-FR" w:bidi="ar-SA"/>
              </w:rPr>
              <w:t>Entretien régulier du matériel de pompage et des véhicules de vidange.</w:t>
            </w:r>
          </w:p>
        </w:tc>
        <w:tc>
          <w:tcPr>
            <w:tcW w:w="1843" w:type="dxa"/>
            <w:vMerge/>
          </w:tcPr>
          <w:p w14:paraId="04117CD9" w14:textId="77777777" w:rsidR="0016618C" w:rsidRPr="002E0EF5" w:rsidRDefault="0016618C" w:rsidP="002E0EF5">
            <w:pPr>
              <w:cnfStyle w:val="000000000000" w:firstRow="0" w:lastRow="0" w:firstColumn="0" w:lastColumn="0" w:oddVBand="0" w:evenVBand="0" w:oddHBand="0" w:evenHBand="0" w:firstRowFirstColumn="0" w:firstRowLastColumn="0" w:lastRowFirstColumn="0" w:lastRowLastColumn="0"/>
              <w:rPr>
                <w:lang w:eastAsia="fr-FR" w:bidi="ar-SA"/>
              </w:rPr>
            </w:pPr>
          </w:p>
        </w:tc>
        <w:tc>
          <w:tcPr>
            <w:tcW w:w="1417" w:type="dxa"/>
            <w:vMerge/>
          </w:tcPr>
          <w:p w14:paraId="2DEF3EB1" w14:textId="77777777" w:rsidR="0016618C" w:rsidRPr="002E0EF5" w:rsidRDefault="0016618C" w:rsidP="002E0EF5">
            <w:pPr>
              <w:cnfStyle w:val="000000000000" w:firstRow="0" w:lastRow="0" w:firstColumn="0" w:lastColumn="0" w:oddVBand="0" w:evenVBand="0" w:oddHBand="0" w:evenHBand="0" w:firstRowFirstColumn="0" w:firstRowLastColumn="0" w:lastRowFirstColumn="0" w:lastRowLastColumn="0"/>
              <w:rPr>
                <w:lang w:eastAsia="fr-FR" w:bidi="ar-SA"/>
              </w:rPr>
            </w:pPr>
          </w:p>
        </w:tc>
        <w:tc>
          <w:tcPr>
            <w:tcW w:w="1275" w:type="dxa"/>
            <w:vMerge/>
          </w:tcPr>
          <w:p w14:paraId="4E44C612" w14:textId="77777777" w:rsidR="0016618C" w:rsidRPr="002E0EF5" w:rsidRDefault="0016618C" w:rsidP="002E0EF5">
            <w:pPr>
              <w:cnfStyle w:val="000000000000" w:firstRow="0" w:lastRow="0" w:firstColumn="0" w:lastColumn="0" w:oddVBand="0" w:evenVBand="0" w:oddHBand="0" w:evenHBand="0" w:firstRowFirstColumn="0" w:firstRowLastColumn="0" w:lastRowFirstColumn="0" w:lastRowLastColumn="0"/>
              <w:rPr>
                <w:lang w:eastAsia="fr-FR" w:bidi="ar-SA"/>
              </w:rPr>
            </w:pPr>
          </w:p>
        </w:tc>
        <w:tc>
          <w:tcPr>
            <w:tcW w:w="851" w:type="dxa"/>
            <w:vMerge/>
          </w:tcPr>
          <w:p w14:paraId="3F6F7C1A" w14:textId="77777777" w:rsidR="0016618C" w:rsidRPr="002E0EF5" w:rsidRDefault="0016618C" w:rsidP="002E0EF5">
            <w:pPr>
              <w:cnfStyle w:val="000000000000" w:firstRow="0" w:lastRow="0" w:firstColumn="0" w:lastColumn="0" w:oddVBand="0" w:evenVBand="0" w:oddHBand="0" w:evenHBand="0" w:firstRowFirstColumn="0" w:firstRowLastColumn="0" w:lastRowFirstColumn="0" w:lastRowLastColumn="0"/>
              <w:rPr>
                <w:lang w:eastAsia="fr-FR" w:bidi="ar-SA"/>
              </w:rPr>
            </w:pPr>
          </w:p>
        </w:tc>
        <w:tc>
          <w:tcPr>
            <w:tcW w:w="2820" w:type="dxa"/>
            <w:tcBorders>
              <w:top w:val="single" w:sz="4" w:space="0" w:color="B4C6E7" w:themeColor="accent1" w:themeTint="66"/>
            </w:tcBorders>
          </w:tcPr>
          <w:p w14:paraId="32F8C9F0" w14:textId="593B3EE6" w:rsidR="0016618C" w:rsidRDefault="003A603B" w:rsidP="002E0EF5">
            <w:pPr>
              <w:cnfStyle w:val="000000000000" w:firstRow="0" w:lastRow="0" w:firstColumn="0" w:lastColumn="0" w:oddVBand="0" w:evenVBand="0" w:oddHBand="0" w:evenHBand="0" w:firstRowFirstColumn="0" w:firstRowLastColumn="0" w:lastRowFirstColumn="0" w:lastRowLastColumn="0"/>
              <w:rPr>
                <w:lang w:eastAsia="fr-FR" w:bidi="ar-SA"/>
              </w:rPr>
            </w:pPr>
            <w:r w:rsidRPr="003A603B">
              <w:rPr>
                <w:lang w:eastAsia="fr-FR" w:bidi="ar-SA"/>
              </w:rPr>
              <w:t>Maintenance annuelle moyenne : ≈ 5 000 MAD/an</w:t>
            </w:r>
          </w:p>
        </w:tc>
      </w:tr>
      <w:tr w:rsidR="00D60FC9" w:rsidRPr="002E0EF5" w14:paraId="4365B965" w14:textId="78AB31A0" w:rsidTr="00D60FC9">
        <w:trPr>
          <w:trHeight w:val="733"/>
        </w:trPr>
        <w:tc>
          <w:tcPr>
            <w:cnfStyle w:val="001000000000" w:firstRow="0" w:lastRow="0" w:firstColumn="1" w:lastColumn="0" w:oddVBand="0" w:evenVBand="0" w:oddHBand="0" w:evenHBand="0" w:firstRowFirstColumn="0" w:firstRowLastColumn="0" w:lastRowFirstColumn="0" w:lastRowLastColumn="0"/>
            <w:tcW w:w="0" w:type="dxa"/>
            <w:vMerge/>
          </w:tcPr>
          <w:p w14:paraId="3BB3FB56" w14:textId="77777777" w:rsidR="0016618C" w:rsidRPr="002E0EF5" w:rsidRDefault="0016618C" w:rsidP="008F031A">
            <w:pPr>
              <w:rPr>
                <w:b w:val="0"/>
                <w:bCs w:val="0"/>
                <w:lang w:eastAsia="fr-FR" w:bidi="ar-SA"/>
              </w:rPr>
            </w:pPr>
          </w:p>
        </w:tc>
        <w:tc>
          <w:tcPr>
            <w:tcW w:w="0" w:type="auto"/>
            <w:vMerge w:val="restart"/>
            <w:hideMark/>
          </w:tcPr>
          <w:p w14:paraId="022A02ED" w14:textId="1368EF60" w:rsidR="0016618C" w:rsidRPr="002E0EF5" w:rsidRDefault="0016618C" w:rsidP="008F031A">
            <w:pPr>
              <w:cnfStyle w:val="000000000000" w:firstRow="0" w:lastRow="0" w:firstColumn="0" w:lastColumn="0" w:oddVBand="0" w:evenVBand="0" w:oddHBand="0" w:evenHBand="0" w:firstRowFirstColumn="0" w:firstRowLastColumn="0" w:lastRowFirstColumn="0" w:lastRowLastColumn="0"/>
              <w:rPr>
                <w:lang w:eastAsia="fr-FR" w:bidi="ar-SA"/>
              </w:rPr>
            </w:pPr>
            <w:r w:rsidRPr="002E0EF5">
              <w:rPr>
                <w:b/>
                <w:bCs/>
                <w:lang w:eastAsia="fr-FR" w:bidi="ar-SA"/>
              </w:rPr>
              <w:t>Atténuer</w:t>
            </w:r>
          </w:p>
        </w:tc>
        <w:tc>
          <w:tcPr>
            <w:tcW w:w="4018" w:type="dxa"/>
            <w:tcBorders>
              <w:bottom w:val="single" w:sz="4" w:space="0" w:color="B4C6E7" w:themeColor="accent1" w:themeTint="66"/>
            </w:tcBorders>
            <w:hideMark/>
          </w:tcPr>
          <w:p w14:paraId="20BEEF07" w14:textId="1FC9E56C" w:rsidR="0016618C" w:rsidRPr="002E0EF5" w:rsidRDefault="0016618C" w:rsidP="008F031A">
            <w:pPr>
              <w:cnfStyle w:val="000000000000" w:firstRow="0" w:lastRow="0" w:firstColumn="0" w:lastColumn="0" w:oddVBand="0" w:evenVBand="0" w:oddHBand="0" w:evenHBand="0" w:firstRowFirstColumn="0" w:firstRowLastColumn="0" w:lastRowFirstColumn="0" w:lastRowLastColumn="0"/>
              <w:rPr>
                <w:lang w:eastAsia="fr-FR" w:bidi="ar-SA"/>
              </w:rPr>
            </w:pPr>
            <w:r w:rsidRPr="002E0EF5">
              <w:rPr>
                <w:lang w:eastAsia="fr-FR" w:bidi="ar-SA"/>
              </w:rPr>
              <w:t>Mise en œuvre du plan d’urgence interne en cas de fuite (signalement, confinement, nettoyage, pompage).</w:t>
            </w:r>
          </w:p>
        </w:tc>
        <w:tc>
          <w:tcPr>
            <w:tcW w:w="1843" w:type="dxa"/>
            <w:vMerge w:val="restart"/>
            <w:hideMark/>
          </w:tcPr>
          <w:p w14:paraId="5EBA1254" w14:textId="77777777" w:rsidR="0016618C" w:rsidRDefault="0016618C" w:rsidP="008F031A">
            <w:pPr>
              <w:cnfStyle w:val="000000000000" w:firstRow="0" w:lastRow="0" w:firstColumn="0" w:lastColumn="0" w:oddVBand="0" w:evenVBand="0" w:oddHBand="0" w:evenHBand="0" w:firstRowFirstColumn="0" w:firstRowLastColumn="0" w:lastRowFirstColumn="0" w:lastRowLastColumn="0"/>
              <w:rPr>
                <w:lang w:eastAsia="fr-FR" w:bidi="ar-SA"/>
              </w:rPr>
            </w:pPr>
            <w:r w:rsidRPr="002E0EF5">
              <w:rPr>
                <w:lang w:eastAsia="fr-FR" w:bidi="ar-SA"/>
              </w:rPr>
              <w:t xml:space="preserve">Délai d’intervention </w:t>
            </w:r>
          </w:p>
          <w:p w14:paraId="67438E66" w14:textId="25BABFA4" w:rsidR="0016618C" w:rsidRDefault="0016618C" w:rsidP="008F031A">
            <w:pPr>
              <w:cnfStyle w:val="000000000000" w:firstRow="0" w:lastRow="0" w:firstColumn="0" w:lastColumn="0" w:oddVBand="0" w:evenVBand="0" w:oddHBand="0" w:evenHBand="0" w:firstRowFirstColumn="0" w:firstRowLastColumn="0" w:lastRowFirstColumn="0" w:lastRowLastColumn="0"/>
              <w:rPr>
                <w:lang w:eastAsia="fr-FR" w:bidi="ar-SA"/>
              </w:rPr>
            </w:pPr>
            <w:r w:rsidRPr="002E0EF5">
              <w:rPr>
                <w:lang w:eastAsia="fr-FR" w:bidi="ar-SA"/>
              </w:rPr>
              <w:t>Volume récupéré</w:t>
            </w:r>
          </w:p>
          <w:p w14:paraId="57E4AA79" w14:textId="0856AF3A" w:rsidR="0016618C" w:rsidRPr="002E0EF5" w:rsidRDefault="0016618C" w:rsidP="008F031A">
            <w:pPr>
              <w:cnfStyle w:val="000000000000" w:firstRow="0" w:lastRow="0" w:firstColumn="0" w:lastColumn="0" w:oddVBand="0" w:evenVBand="0" w:oddHBand="0" w:evenHBand="0" w:firstRowFirstColumn="0" w:firstRowLastColumn="0" w:lastRowFirstColumn="0" w:lastRowLastColumn="0"/>
              <w:rPr>
                <w:lang w:eastAsia="fr-FR" w:bidi="ar-SA"/>
              </w:rPr>
            </w:pPr>
            <w:r w:rsidRPr="002E0EF5">
              <w:rPr>
                <w:lang w:eastAsia="fr-FR" w:bidi="ar-SA"/>
              </w:rPr>
              <w:t>Rapport d’incident</w:t>
            </w:r>
          </w:p>
        </w:tc>
        <w:tc>
          <w:tcPr>
            <w:tcW w:w="1417" w:type="dxa"/>
            <w:vMerge w:val="restart"/>
            <w:hideMark/>
          </w:tcPr>
          <w:p w14:paraId="7A6CC702" w14:textId="77777777" w:rsidR="0016618C" w:rsidRPr="002E0EF5" w:rsidRDefault="0016618C" w:rsidP="008F031A">
            <w:pPr>
              <w:cnfStyle w:val="000000000000" w:firstRow="0" w:lastRow="0" w:firstColumn="0" w:lastColumn="0" w:oddVBand="0" w:evenVBand="0" w:oddHBand="0" w:evenHBand="0" w:firstRowFirstColumn="0" w:firstRowLastColumn="0" w:lastRowFirstColumn="0" w:lastRowLastColumn="0"/>
              <w:rPr>
                <w:lang w:eastAsia="fr-FR" w:bidi="ar-SA"/>
              </w:rPr>
            </w:pPr>
            <w:r w:rsidRPr="002E0EF5">
              <w:rPr>
                <w:lang w:eastAsia="fr-FR" w:bidi="ar-SA"/>
              </w:rPr>
              <w:t>ONDA / Exploitant</w:t>
            </w:r>
          </w:p>
        </w:tc>
        <w:tc>
          <w:tcPr>
            <w:tcW w:w="1275" w:type="dxa"/>
            <w:vMerge w:val="restart"/>
            <w:hideMark/>
          </w:tcPr>
          <w:p w14:paraId="3A1B9CE0" w14:textId="77777777" w:rsidR="0016618C" w:rsidRPr="002E0EF5" w:rsidRDefault="0016618C" w:rsidP="008F031A">
            <w:pPr>
              <w:cnfStyle w:val="000000000000" w:firstRow="0" w:lastRow="0" w:firstColumn="0" w:lastColumn="0" w:oddVBand="0" w:evenVBand="0" w:oddHBand="0" w:evenHBand="0" w:firstRowFirstColumn="0" w:firstRowLastColumn="0" w:lastRowFirstColumn="0" w:lastRowLastColumn="0"/>
              <w:rPr>
                <w:lang w:eastAsia="fr-FR" w:bidi="ar-SA"/>
              </w:rPr>
            </w:pPr>
            <w:r w:rsidRPr="002E0EF5">
              <w:rPr>
                <w:lang w:eastAsia="fr-FR" w:bidi="ar-SA"/>
              </w:rPr>
              <w:t>ONDA</w:t>
            </w:r>
          </w:p>
        </w:tc>
        <w:tc>
          <w:tcPr>
            <w:tcW w:w="851" w:type="dxa"/>
            <w:vMerge w:val="restart"/>
            <w:hideMark/>
          </w:tcPr>
          <w:p w14:paraId="505E0EAC" w14:textId="77777777" w:rsidR="0016618C" w:rsidRPr="002E0EF5" w:rsidRDefault="0016618C" w:rsidP="008F031A">
            <w:pPr>
              <w:cnfStyle w:val="000000000000" w:firstRow="0" w:lastRow="0" w:firstColumn="0" w:lastColumn="0" w:oddVBand="0" w:evenVBand="0" w:oddHBand="0" w:evenHBand="0" w:firstRowFirstColumn="0" w:firstRowLastColumn="0" w:lastRowFirstColumn="0" w:lastRowLastColumn="0"/>
              <w:rPr>
                <w:lang w:eastAsia="fr-FR" w:bidi="ar-SA"/>
              </w:rPr>
            </w:pPr>
            <w:r w:rsidRPr="002E0EF5">
              <w:rPr>
                <w:lang w:eastAsia="fr-FR" w:bidi="ar-SA"/>
              </w:rPr>
              <w:t>ONDA</w:t>
            </w:r>
          </w:p>
        </w:tc>
        <w:tc>
          <w:tcPr>
            <w:tcW w:w="2820" w:type="dxa"/>
            <w:tcBorders>
              <w:bottom w:val="single" w:sz="4" w:space="0" w:color="B4C6E7" w:themeColor="accent1" w:themeTint="66"/>
            </w:tcBorders>
          </w:tcPr>
          <w:p w14:paraId="5A9BBEDC" w14:textId="30390097" w:rsidR="0016618C" w:rsidRPr="002E0EF5" w:rsidRDefault="00A46F20" w:rsidP="008F031A">
            <w:pPr>
              <w:cnfStyle w:val="000000000000" w:firstRow="0" w:lastRow="0" w:firstColumn="0" w:lastColumn="0" w:oddVBand="0" w:evenVBand="0" w:oddHBand="0" w:evenHBand="0" w:firstRowFirstColumn="0" w:firstRowLastColumn="0" w:lastRowFirstColumn="0" w:lastRowLastColumn="0"/>
              <w:rPr>
                <w:lang w:eastAsia="fr-FR" w:bidi="ar-SA"/>
              </w:rPr>
            </w:pPr>
            <w:r w:rsidRPr="00A46F20">
              <w:rPr>
                <w:lang w:eastAsia="fr-FR" w:bidi="ar-SA"/>
              </w:rPr>
              <w:t>≈ 1 500 – 2 000 MAD / incident</w:t>
            </w:r>
          </w:p>
        </w:tc>
      </w:tr>
      <w:tr w:rsidR="00D60FC9" w:rsidRPr="002E0EF5" w14:paraId="03F8DE41" w14:textId="77777777" w:rsidTr="00D60FC9">
        <w:trPr>
          <w:trHeight w:val="587"/>
        </w:trPr>
        <w:tc>
          <w:tcPr>
            <w:cnfStyle w:val="001000000000" w:firstRow="0" w:lastRow="0" w:firstColumn="1" w:lastColumn="0" w:oddVBand="0" w:evenVBand="0" w:oddHBand="0" w:evenHBand="0" w:firstRowFirstColumn="0" w:firstRowLastColumn="0" w:lastRowFirstColumn="0" w:lastRowLastColumn="0"/>
            <w:tcW w:w="0" w:type="dxa"/>
            <w:vMerge/>
          </w:tcPr>
          <w:p w14:paraId="66D6435E" w14:textId="77777777" w:rsidR="0016618C" w:rsidRPr="002E0EF5" w:rsidRDefault="0016618C" w:rsidP="008F031A">
            <w:pPr>
              <w:rPr>
                <w:b w:val="0"/>
                <w:bCs w:val="0"/>
                <w:lang w:eastAsia="fr-FR" w:bidi="ar-SA"/>
              </w:rPr>
            </w:pPr>
          </w:p>
        </w:tc>
        <w:tc>
          <w:tcPr>
            <w:tcW w:w="0" w:type="auto"/>
            <w:vMerge/>
          </w:tcPr>
          <w:p w14:paraId="44E36CE7" w14:textId="77777777" w:rsidR="0016618C" w:rsidRPr="002E0EF5" w:rsidRDefault="0016618C" w:rsidP="008F031A">
            <w:pPr>
              <w:cnfStyle w:val="000000000000" w:firstRow="0" w:lastRow="0" w:firstColumn="0" w:lastColumn="0" w:oddVBand="0" w:evenVBand="0" w:oddHBand="0" w:evenHBand="0" w:firstRowFirstColumn="0" w:firstRowLastColumn="0" w:lastRowFirstColumn="0" w:lastRowLastColumn="0"/>
              <w:rPr>
                <w:b/>
                <w:bCs/>
                <w:lang w:eastAsia="fr-FR" w:bidi="ar-SA"/>
              </w:rPr>
            </w:pPr>
          </w:p>
        </w:tc>
        <w:tc>
          <w:tcPr>
            <w:tcW w:w="4018" w:type="dxa"/>
            <w:tcBorders>
              <w:top w:val="single" w:sz="4" w:space="0" w:color="B4C6E7" w:themeColor="accent1" w:themeTint="66"/>
            </w:tcBorders>
          </w:tcPr>
          <w:p w14:paraId="63D5A824" w14:textId="77777777" w:rsidR="0016618C" w:rsidRPr="002E0EF5" w:rsidRDefault="0016618C" w:rsidP="0016618C">
            <w:pPr>
              <w:cnfStyle w:val="000000000000" w:firstRow="0" w:lastRow="0" w:firstColumn="0" w:lastColumn="0" w:oddVBand="0" w:evenVBand="0" w:oddHBand="0" w:evenHBand="0" w:firstRowFirstColumn="0" w:firstRowLastColumn="0" w:lastRowFirstColumn="0" w:lastRowLastColumn="0"/>
              <w:rPr>
                <w:lang w:eastAsia="fr-FR" w:bidi="ar-SA"/>
              </w:rPr>
            </w:pPr>
            <w:r w:rsidRPr="002E0EF5">
              <w:rPr>
                <w:lang w:eastAsia="fr-FR" w:bidi="ar-SA"/>
              </w:rPr>
              <w:t>Nettoyage immédiat et suivi de l’efficacité du traitement.</w:t>
            </w:r>
          </w:p>
        </w:tc>
        <w:tc>
          <w:tcPr>
            <w:tcW w:w="1843" w:type="dxa"/>
            <w:vMerge/>
          </w:tcPr>
          <w:p w14:paraId="16A05F32" w14:textId="77777777" w:rsidR="0016618C" w:rsidRPr="002E0EF5" w:rsidRDefault="0016618C" w:rsidP="008F031A">
            <w:pPr>
              <w:cnfStyle w:val="000000000000" w:firstRow="0" w:lastRow="0" w:firstColumn="0" w:lastColumn="0" w:oddVBand="0" w:evenVBand="0" w:oddHBand="0" w:evenHBand="0" w:firstRowFirstColumn="0" w:firstRowLastColumn="0" w:lastRowFirstColumn="0" w:lastRowLastColumn="0"/>
              <w:rPr>
                <w:lang w:eastAsia="fr-FR" w:bidi="ar-SA"/>
              </w:rPr>
            </w:pPr>
          </w:p>
        </w:tc>
        <w:tc>
          <w:tcPr>
            <w:tcW w:w="1417" w:type="dxa"/>
            <w:vMerge/>
          </w:tcPr>
          <w:p w14:paraId="2170CD25" w14:textId="77777777" w:rsidR="0016618C" w:rsidRPr="002E0EF5" w:rsidRDefault="0016618C" w:rsidP="008F031A">
            <w:pPr>
              <w:cnfStyle w:val="000000000000" w:firstRow="0" w:lastRow="0" w:firstColumn="0" w:lastColumn="0" w:oddVBand="0" w:evenVBand="0" w:oddHBand="0" w:evenHBand="0" w:firstRowFirstColumn="0" w:firstRowLastColumn="0" w:lastRowFirstColumn="0" w:lastRowLastColumn="0"/>
              <w:rPr>
                <w:lang w:eastAsia="fr-FR" w:bidi="ar-SA"/>
              </w:rPr>
            </w:pPr>
          </w:p>
        </w:tc>
        <w:tc>
          <w:tcPr>
            <w:tcW w:w="1275" w:type="dxa"/>
            <w:vMerge/>
          </w:tcPr>
          <w:p w14:paraId="7F7ABEF5" w14:textId="77777777" w:rsidR="0016618C" w:rsidRPr="002E0EF5" w:rsidRDefault="0016618C" w:rsidP="008F031A">
            <w:pPr>
              <w:cnfStyle w:val="000000000000" w:firstRow="0" w:lastRow="0" w:firstColumn="0" w:lastColumn="0" w:oddVBand="0" w:evenVBand="0" w:oddHBand="0" w:evenHBand="0" w:firstRowFirstColumn="0" w:firstRowLastColumn="0" w:lastRowFirstColumn="0" w:lastRowLastColumn="0"/>
              <w:rPr>
                <w:lang w:eastAsia="fr-FR" w:bidi="ar-SA"/>
              </w:rPr>
            </w:pPr>
          </w:p>
        </w:tc>
        <w:tc>
          <w:tcPr>
            <w:tcW w:w="851" w:type="dxa"/>
            <w:vMerge/>
          </w:tcPr>
          <w:p w14:paraId="22FCB7E3" w14:textId="77777777" w:rsidR="0016618C" w:rsidRPr="002E0EF5" w:rsidRDefault="0016618C" w:rsidP="008F031A">
            <w:pPr>
              <w:cnfStyle w:val="000000000000" w:firstRow="0" w:lastRow="0" w:firstColumn="0" w:lastColumn="0" w:oddVBand="0" w:evenVBand="0" w:oddHBand="0" w:evenHBand="0" w:firstRowFirstColumn="0" w:firstRowLastColumn="0" w:lastRowFirstColumn="0" w:lastRowLastColumn="0"/>
              <w:rPr>
                <w:lang w:eastAsia="fr-FR" w:bidi="ar-SA"/>
              </w:rPr>
            </w:pPr>
          </w:p>
        </w:tc>
        <w:tc>
          <w:tcPr>
            <w:tcW w:w="2820" w:type="dxa"/>
            <w:tcBorders>
              <w:top w:val="single" w:sz="4" w:space="0" w:color="B4C6E7" w:themeColor="accent1" w:themeTint="66"/>
            </w:tcBorders>
          </w:tcPr>
          <w:p w14:paraId="5427551B" w14:textId="0092339E" w:rsidR="0016618C" w:rsidRDefault="00B94734" w:rsidP="008F031A">
            <w:pPr>
              <w:cnfStyle w:val="000000000000" w:firstRow="0" w:lastRow="0" w:firstColumn="0" w:lastColumn="0" w:oddVBand="0" w:evenVBand="0" w:oddHBand="0" w:evenHBand="0" w:firstRowFirstColumn="0" w:firstRowLastColumn="0" w:lastRowFirstColumn="0" w:lastRowLastColumn="0"/>
              <w:rPr>
                <w:lang w:eastAsia="fr-FR" w:bidi="ar-SA"/>
              </w:rPr>
            </w:pPr>
            <w:r w:rsidRPr="00A46F20">
              <w:rPr>
                <w:lang w:eastAsia="fr-FR" w:bidi="ar-SA"/>
              </w:rPr>
              <w:t>≈</w:t>
            </w:r>
            <w:r>
              <w:rPr>
                <w:lang w:eastAsia="fr-FR" w:bidi="ar-SA"/>
              </w:rPr>
              <w:t>5</w:t>
            </w:r>
            <w:r w:rsidRPr="00B94734">
              <w:rPr>
                <w:lang w:eastAsia="fr-FR" w:bidi="ar-SA"/>
              </w:rPr>
              <w:t>00 – 1 000 MAD selon l’étendue de la surface et la gravité de l’incident)</w:t>
            </w:r>
          </w:p>
        </w:tc>
      </w:tr>
      <w:tr w:rsidR="0016618C" w:rsidRPr="002E0EF5" w14:paraId="3E8E7110" w14:textId="23F5E1F4" w:rsidTr="00D60FC9">
        <w:trPr>
          <w:trHeight w:val="854"/>
        </w:trPr>
        <w:tc>
          <w:tcPr>
            <w:cnfStyle w:val="001000000000" w:firstRow="0" w:lastRow="0" w:firstColumn="1" w:lastColumn="0" w:oddVBand="0" w:evenVBand="0" w:oddHBand="0" w:evenHBand="0" w:firstRowFirstColumn="0" w:firstRowLastColumn="0" w:lastRowFirstColumn="0" w:lastRowLastColumn="0"/>
            <w:tcW w:w="0" w:type="dxa"/>
            <w:vMerge/>
          </w:tcPr>
          <w:p w14:paraId="47877C4C" w14:textId="77777777" w:rsidR="0016618C" w:rsidRPr="002E0EF5" w:rsidRDefault="0016618C" w:rsidP="008F031A">
            <w:pPr>
              <w:rPr>
                <w:b w:val="0"/>
                <w:bCs w:val="0"/>
                <w:lang w:eastAsia="fr-FR" w:bidi="ar-SA"/>
              </w:rPr>
            </w:pPr>
          </w:p>
        </w:tc>
        <w:tc>
          <w:tcPr>
            <w:tcW w:w="0" w:type="auto"/>
            <w:vMerge w:val="restart"/>
            <w:hideMark/>
          </w:tcPr>
          <w:p w14:paraId="30863A86" w14:textId="02BDD455" w:rsidR="0016618C" w:rsidRPr="002E0EF5" w:rsidRDefault="0016618C" w:rsidP="008F031A">
            <w:pPr>
              <w:cnfStyle w:val="000000000000" w:firstRow="0" w:lastRow="0" w:firstColumn="0" w:lastColumn="0" w:oddVBand="0" w:evenVBand="0" w:oddHBand="0" w:evenHBand="0" w:firstRowFirstColumn="0" w:firstRowLastColumn="0" w:lastRowFirstColumn="0" w:lastRowLastColumn="0"/>
              <w:rPr>
                <w:lang w:eastAsia="fr-FR" w:bidi="ar-SA"/>
              </w:rPr>
            </w:pPr>
            <w:r w:rsidRPr="002E0EF5">
              <w:rPr>
                <w:b/>
                <w:bCs/>
                <w:lang w:eastAsia="fr-FR" w:bidi="ar-SA"/>
              </w:rPr>
              <w:t>Compenser</w:t>
            </w:r>
          </w:p>
        </w:tc>
        <w:tc>
          <w:tcPr>
            <w:tcW w:w="4018" w:type="dxa"/>
            <w:vMerge w:val="restart"/>
            <w:hideMark/>
          </w:tcPr>
          <w:p w14:paraId="0B6BC654" w14:textId="77777777" w:rsidR="0016618C" w:rsidRDefault="0016618C" w:rsidP="008F031A">
            <w:pPr>
              <w:cnfStyle w:val="000000000000" w:firstRow="0" w:lastRow="0" w:firstColumn="0" w:lastColumn="0" w:oddVBand="0" w:evenVBand="0" w:oddHBand="0" w:evenHBand="0" w:firstRowFirstColumn="0" w:firstRowLastColumn="0" w:lastRowFirstColumn="0" w:lastRowLastColumn="0"/>
              <w:rPr>
                <w:lang w:eastAsia="fr-FR" w:bidi="ar-SA"/>
              </w:rPr>
            </w:pPr>
            <w:r w:rsidRPr="002E0EF5">
              <w:rPr>
                <w:lang w:eastAsia="fr-FR" w:bidi="ar-SA"/>
              </w:rPr>
              <w:t>Curage et réhabilitation des zones impactées si contamination du sol.</w:t>
            </w:r>
          </w:p>
          <w:p w14:paraId="287FF090" w14:textId="32D75F32" w:rsidR="0016618C" w:rsidRPr="002E0EF5" w:rsidRDefault="0016618C" w:rsidP="008F031A">
            <w:pPr>
              <w:cnfStyle w:val="000000000000" w:firstRow="0" w:lastRow="0" w:firstColumn="0" w:lastColumn="0" w:oddVBand="0" w:evenVBand="0" w:oddHBand="0" w:evenHBand="0" w:firstRowFirstColumn="0" w:firstRowLastColumn="0" w:lastRowFirstColumn="0" w:lastRowLastColumn="0"/>
              <w:rPr>
                <w:lang w:eastAsia="fr-FR" w:bidi="ar-SA"/>
              </w:rPr>
            </w:pPr>
            <w:r w:rsidRPr="002E0EF5">
              <w:rPr>
                <w:lang w:eastAsia="fr-FR" w:bidi="ar-SA"/>
              </w:rPr>
              <w:t>Suivi analytique du sol et des eaux souterraines après incident.</w:t>
            </w:r>
          </w:p>
        </w:tc>
        <w:tc>
          <w:tcPr>
            <w:tcW w:w="1843" w:type="dxa"/>
            <w:vMerge w:val="restart"/>
            <w:hideMark/>
          </w:tcPr>
          <w:p w14:paraId="2F9ADE0E" w14:textId="77777777" w:rsidR="0016618C" w:rsidRDefault="0016618C" w:rsidP="008F031A">
            <w:pPr>
              <w:cnfStyle w:val="000000000000" w:firstRow="0" w:lastRow="0" w:firstColumn="0" w:lastColumn="0" w:oddVBand="0" w:evenVBand="0" w:oddHBand="0" w:evenHBand="0" w:firstRowFirstColumn="0" w:firstRowLastColumn="0" w:lastRowFirstColumn="0" w:lastRowLastColumn="0"/>
              <w:rPr>
                <w:lang w:eastAsia="fr-FR" w:bidi="ar-SA"/>
              </w:rPr>
            </w:pPr>
            <w:r w:rsidRPr="002E0EF5">
              <w:rPr>
                <w:lang w:eastAsia="fr-FR" w:bidi="ar-SA"/>
              </w:rPr>
              <w:t xml:space="preserve">Résultats analytiques conformes </w:t>
            </w:r>
          </w:p>
          <w:p w14:paraId="4F3C7B89" w14:textId="69D51BDD" w:rsidR="0016618C" w:rsidRPr="002E0EF5" w:rsidRDefault="0016618C" w:rsidP="008F031A">
            <w:pPr>
              <w:cnfStyle w:val="000000000000" w:firstRow="0" w:lastRow="0" w:firstColumn="0" w:lastColumn="0" w:oddVBand="0" w:evenVBand="0" w:oddHBand="0" w:evenHBand="0" w:firstRowFirstColumn="0" w:firstRowLastColumn="0" w:lastRowFirstColumn="0" w:lastRowLastColumn="0"/>
              <w:rPr>
                <w:lang w:eastAsia="fr-FR" w:bidi="ar-SA"/>
              </w:rPr>
            </w:pPr>
            <w:r w:rsidRPr="002E0EF5">
              <w:rPr>
                <w:lang w:eastAsia="fr-FR" w:bidi="ar-SA"/>
              </w:rPr>
              <w:t>Fiche de réhabilitation</w:t>
            </w:r>
          </w:p>
        </w:tc>
        <w:tc>
          <w:tcPr>
            <w:tcW w:w="1417" w:type="dxa"/>
            <w:vMerge w:val="restart"/>
            <w:hideMark/>
          </w:tcPr>
          <w:p w14:paraId="5E5C0B96" w14:textId="77777777" w:rsidR="0016618C" w:rsidRPr="002E0EF5" w:rsidRDefault="0016618C" w:rsidP="008F031A">
            <w:pPr>
              <w:cnfStyle w:val="000000000000" w:firstRow="0" w:lastRow="0" w:firstColumn="0" w:lastColumn="0" w:oddVBand="0" w:evenVBand="0" w:oddHBand="0" w:evenHBand="0" w:firstRowFirstColumn="0" w:firstRowLastColumn="0" w:lastRowFirstColumn="0" w:lastRowLastColumn="0"/>
              <w:rPr>
                <w:lang w:eastAsia="fr-FR" w:bidi="ar-SA"/>
              </w:rPr>
            </w:pPr>
            <w:r w:rsidRPr="002E0EF5">
              <w:rPr>
                <w:lang w:eastAsia="fr-FR" w:bidi="ar-SA"/>
              </w:rPr>
              <w:t>ONDA / Exploitant</w:t>
            </w:r>
          </w:p>
        </w:tc>
        <w:tc>
          <w:tcPr>
            <w:tcW w:w="1275" w:type="dxa"/>
            <w:vMerge w:val="restart"/>
            <w:hideMark/>
          </w:tcPr>
          <w:p w14:paraId="0C356B03" w14:textId="77777777" w:rsidR="0016618C" w:rsidRPr="002E0EF5" w:rsidRDefault="0016618C" w:rsidP="008F031A">
            <w:pPr>
              <w:cnfStyle w:val="000000000000" w:firstRow="0" w:lastRow="0" w:firstColumn="0" w:lastColumn="0" w:oddVBand="0" w:evenVBand="0" w:oddHBand="0" w:evenHBand="0" w:firstRowFirstColumn="0" w:firstRowLastColumn="0" w:lastRowFirstColumn="0" w:lastRowLastColumn="0"/>
              <w:rPr>
                <w:lang w:eastAsia="fr-FR" w:bidi="ar-SA"/>
              </w:rPr>
            </w:pPr>
            <w:r w:rsidRPr="002E0EF5">
              <w:rPr>
                <w:lang w:eastAsia="fr-FR" w:bidi="ar-SA"/>
              </w:rPr>
              <w:t>ONDA</w:t>
            </w:r>
          </w:p>
        </w:tc>
        <w:tc>
          <w:tcPr>
            <w:tcW w:w="851" w:type="dxa"/>
            <w:vMerge w:val="restart"/>
            <w:hideMark/>
          </w:tcPr>
          <w:p w14:paraId="78570CAE" w14:textId="77777777" w:rsidR="0016618C" w:rsidRPr="002E0EF5" w:rsidRDefault="0016618C" w:rsidP="008F031A">
            <w:pPr>
              <w:cnfStyle w:val="000000000000" w:firstRow="0" w:lastRow="0" w:firstColumn="0" w:lastColumn="0" w:oddVBand="0" w:evenVBand="0" w:oddHBand="0" w:evenHBand="0" w:firstRowFirstColumn="0" w:firstRowLastColumn="0" w:lastRowFirstColumn="0" w:lastRowLastColumn="0"/>
              <w:rPr>
                <w:lang w:eastAsia="fr-FR" w:bidi="ar-SA"/>
              </w:rPr>
            </w:pPr>
            <w:r w:rsidRPr="002E0EF5">
              <w:rPr>
                <w:lang w:eastAsia="fr-FR" w:bidi="ar-SA"/>
              </w:rPr>
              <w:t>ONDA</w:t>
            </w:r>
          </w:p>
        </w:tc>
        <w:tc>
          <w:tcPr>
            <w:tcW w:w="2820" w:type="dxa"/>
            <w:tcBorders>
              <w:bottom w:val="single" w:sz="4" w:space="0" w:color="B4C6E7" w:themeColor="accent1" w:themeTint="66"/>
            </w:tcBorders>
          </w:tcPr>
          <w:p w14:paraId="2AEA13ED" w14:textId="15D876F3" w:rsidR="0016618C" w:rsidRPr="002E0EF5" w:rsidRDefault="00701E3B" w:rsidP="008F031A">
            <w:pPr>
              <w:cnfStyle w:val="000000000000" w:firstRow="0" w:lastRow="0" w:firstColumn="0" w:lastColumn="0" w:oddVBand="0" w:evenVBand="0" w:oddHBand="0" w:evenHBand="0" w:firstRowFirstColumn="0" w:firstRowLastColumn="0" w:lastRowFirstColumn="0" w:lastRowLastColumn="0"/>
              <w:rPr>
                <w:lang w:eastAsia="fr-FR" w:bidi="ar-SA"/>
              </w:rPr>
            </w:pPr>
            <w:r w:rsidRPr="00701E3B">
              <w:rPr>
                <w:lang w:eastAsia="fr-FR" w:bidi="ar-SA"/>
              </w:rPr>
              <w:t>250 – 300 MAD/m²</w:t>
            </w:r>
          </w:p>
        </w:tc>
      </w:tr>
      <w:tr w:rsidR="0016618C" w:rsidRPr="002E0EF5" w14:paraId="70F8D81D" w14:textId="77777777" w:rsidTr="00D60FC9">
        <w:trPr>
          <w:trHeight w:val="333"/>
        </w:trPr>
        <w:tc>
          <w:tcPr>
            <w:cnfStyle w:val="001000000000" w:firstRow="0" w:lastRow="0" w:firstColumn="1" w:lastColumn="0" w:oddVBand="0" w:evenVBand="0" w:oddHBand="0" w:evenHBand="0" w:firstRowFirstColumn="0" w:firstRowLastColumn="0" w:lastRowFirstColumn="0" w:lastRowLastColumn="0"/>
            <w:tcW w:w="0" w:type="dxa"/>
            <w:vMerge/>
          </w:tcPr>
          <w:p w14:paraId="5A07785C" w14:textId="77777777" w:rsidR="0016618C" w:rsidRPr="002E0EF5" w:rsidRDefault="0016618C" w:rsidP="008F031A">
            <w:pPr>
              <w:rPr>
                <w:b w:val="0"/>
                <w:bCs w:val="0"/>
                <w:lang w:eastAsia="fr-FR" w:bidi="ar-SA"/>
              </w:rPr>
            </w:pPr>
          </w:p>
        </w:tc>
        <w:tc>
          <w:tcPr>
            <w:tcW w:w="0" w:type="auto"/>
            <w:vMerge/>
          </w:tcPr>
          <w:p w14:paraId="6BA14D9E" w14:textId="77777777" w:rsidR="0016618C" w:rsidRPr="002E0EF5" w:rsidRDefault="0016618C" w:rsidP="008F031A">
            <w:pPr>
              <w:cnfStyle w:val="000000000000" w:firstRow="0" w:lastRow="0" w:firstColumn="0" w:lastColumn="0" w:oddVBand="0" w:evenVBand="0" w:oddHBand="0" w:evenHBand="0" w:firstRowFirstColumn="0" w:firstRowLastColumn="0" w:lastRowFirstColumn="0" w:lastRowLastColumn="0"/>
              <w:rPr>
                <w:b/>
                <w:bCs/>
                <w:lang w:eastAsia="fr-FR" w:bidi="ar-SA"/>
              </w:rPr>
            </w:pPr>
          </w:p>
        </w:tc>
        <w:tc>
          <w:tcPr>
            <w:tcW w:w="4018" w:type="dxa"/>
            <w:vMerge/>
          </w:tcPr>
          <w:p w14:paraId="262B8B54" w14:textId="77777777" w:rsidR="0016618C" w:rsidRPr="002E0EF5" w:rsidRDefault="0016618C" w:rsidP="008F031A">
            <w:pPr>
              <w:cnfStyle w:val="000000000000" w:firstRow="0" w:lastRow="0" w:firstColumn="0" w:lastColumn="0" w:oddVBand="0" w:evenVBand="0" w:oddHBand="0" w:evenHBand="0" w:firstRowFirstColumn="0" w:firstRowLastColumn="0" w:lastRowFirstColumn="0" w:lastRowLastColumn="0"/>
              <w:rPr>
                <w:lang w:eastAsia="fr-FR" w:bidi="ar-SA"/>
              </w:rPr>
            </w:pPr>
          </w:p>
        </w:tc>
        <w:tc>
          <w:tcPr>
            <w:tcW w:w="1843" w:type="dxa"/>
            <w:vMerge/>
          </w:tcPr>
          <w:p w14:paraId="6F8CE2C4" w14:textId="77777777" w:rsidR="0016618C" w:rsidRPr="002E0EF5" w:rsidRDefault="0016618C" w:rsidP="008F031A">
            <w:pPr>
              <w:cnfStyle w:val="000000000000" w:firstRow="0" w:lastRow="0" w:firstColumn="0" w:lastColumn="0" w:oddVBand="0" w:evenVBand="0" w:oddHBand="0" w:evenHBand="0" w:firstRowFirstColumn="0" w:firstRowLastColumn="0" w:lastRowFirstColumn="0" w:lastRowLastColumn="0"/>
              <w:rPr>
                <w:lang w:eastAsia="fr-FR" w:bidi="ar-SA"/>
              </w:rPr>
            </w:pPr>
          </w:p>
        </w:tc>
        <w:tc>
          <w:tcPr>
            <w:tcW w:w="1417" w:type="dxa"/>
            <w:vMerge/>
          </w:tcPr>
          <w:p w14:paraId="0AE45D76" w14:textId="77777777" w:rsidR="0016618C" w:rsidRPr="002E0EF5" w:rsidRDefault="0016618C" w:rsidP="008F031A">
            <w:pPr>
              <w:cnfStyle w:val="000000000000" w:firstRow="0" w:lastRow="0" w:firstColumn="0" w:lastColumn="0" w:oddVBand="0" w:evenVBand="0" w:oddHBand="0" w:evenHBand="0" w:firstRowFirstColumn="0" w:firstRowLastColumn="0" w:lastRowFirstColumn="0" w:lastRowLastColumn="0"/>
              <w:rPr>
                <w:lang w:eastAsia="fr-FR" w:bidi="ar-SA"/>
              </w:rPr>
            </w:pPr>
          </w:p>
        </w:tc>
        <w:tc>
          <w:tcPr>
            <w:tcW w:w="1275" w:type="dxa"/>
            <w:vMerge/>
          </w:tcPr>
          <w:p w14:paraId="75E22CD7" w14:textId="77777777" w:rsidR="0016618C" w:rsidRPr="002E0EF5" w:rsidRDefault="0016618C" w:rsidP="008F031A">
            <w:pPr>
              <w:cnfStyle w:val="000000000000" w:firstRow="0" w:lastRow="0" w:firstColumn="0" w:lastColumn="0" w:oddVBand="0" w:evenVBand="0" w:oddHBand="0" w:evenHBand="0" w:firstRowFirstColumn="0" w:firstRowLastColumn="0" w:lastRowFirstColumn="0" w:lastRowLastColumn="0"/>
              <w:rPr>
                <w:lang w:eastAsia="fr-FR" w:bidi="ar-SA"/>
              </w:rPr>
            </w:pPr>
          </w:p>
        </w:tc>
        <w:tc>
          <w:tcPr>
            <w:tcW w:w="851" w:type="dxa"/>
            <w:vMerge/>
          </w:tcPr>
          <w:p w14:paraId="00DF1E0F" w14:textId="77777777" w:rsidR="0016618C" w:rsidRPr="002E0EF5" w:rsidRDefault="0016618C" w:rsidP="008F031A">
            <w:pPr>
              <w:cnfStyle w:val="000000000000" w:firstRow="0" w:lastRow="0" w:firstColumn="0" w:lastColumn="0" w:oddVBand="0" w:evenVBand="0" w:oddHBand="0" w:evenHBand="0" w:firstRowFirstColumn="0" w:firstRowLastColumn="0" w:lastRowFirstColumn="0" w:lastRowLastColumn="0"/>
              <w:rPr>
                <w:lang w:eastAsia="fr-FR" w:bidi="ar-SA"/>
              </w:rPr>
            </w:pPr>
          </w:p>
        </w:tc>
        <w:tc>
          <w:tcPr>
            <w:tcW w:w="2820" w:type="dxa"/>
            <w:tcBorders>
              <w:top w:val="single" w:sz="4" w:space="0" w:color="B4C6E7" w:themeColor="accent1" w:themeTint="66"/>
            </w:tcBorders>
          </w:tcPr>
          <w:p w14:paraId="0A90D2EF" w14:textId="7B3D2166" w:rsidR="0016618C" w:rsidRDefault="00DF0C90" w:rsidP="008F031A">
            <w:pPr>
              <w:cnfStyle w:val="000000000000" w:firstRow="0" w:lastRow="0" w:firstColumn="0" w:lastColumn="0" w:oddVBand="0" w:evenVBand="0" w:oddHBand="0" w:evenHBand="0" w:firstRowFirstColumn="0" w:firstRowLastColumn="0" w:lastRowFirstColumn="0" w:lastRowLastColumn="0"/>
              <w:rPr>
                <w:lang w:eastAsia="fr-FR" w:bidi="ar-SA"/>
              </w:rPr>
            </w:pPr>
            <w:r w:rsidRPr="00DF0C90">
              <w:rPr>
                <w:lang w:eastAsia="fr-FR" w:bidi="ar-SA"/>
              </w:rPr>
              <w:t>≈ 1 500 MAD par échantillon</w:t>
            </w:r>
            <w:r>
              <w:rPr>
                <w:lang w:eastAsia="fr-FR" w:bidi="ar-SA"/>
              </w:rPr>
              <w:t xml:space="preserve"> </w:t>
            </w:r>
            <w:r w:rsidRPr="00DF0C90">
              <w:rPr>
                <w:lang w:eastAsia="fr-FR" w:bidi="ar-SA"/>
              </w:rPr>
              <w:t>(pH, COT, métaux lourds, hydrocarbures, etc.)</w:t>
            </w:r>
          </w:p>
        </w:tc>
      </w:tr>
    </w:tbl>
    <w:p w14:paraId="1B478659" w14:textId="77777777" w:rsidR="002E0EF5" w:rsidRDefault="002E0EF5" w:rsidP="002E0EF5">
      <w:pPr>
        <w:rPr>
          <w:lang w:eastAsia="fr-FR" w:bidi="ar-SA"/>
        </w:rPr>
      </w:pPr>
    </w:p>
    <w:p w14:paraId="34BD9446" w14:textId="77777777" w:rsidR="002459B4" w:rsidRDefault="002459B4" w:rsidP="008F031A">
      <w:pPr>
        <w:pStyle w:val="Title3"/>
        <w:numPr>
          <w:ilvl w:val="0"/>
          <w:numId w:val="0"/>
        </w:numPr>
        <w:sectPr w:rsidR="002459B4" w:rsidSect="002459B4">
          <w:headerReference w:type="default" r:id="rId122"/>
          <w:footerReference w:type="default" r:id="rId123"/>
          <w:pgSz w:w="16838" w:h="11906" w:orient="landscape"/>
          <w:pgMar w:top="1418" w:right="1418" w:bottom="1418" w:left="1276" w:header="510" w:footer="567" w:gutter="0"/>
          <w:cols w:space="708"/>
          <w:docGrid w:linePitch="360"/>
        </w:sectPr>
      </w:pPr>
    </w:p>
    <w:p w14:paraId="548476EB" w14:textId="497E359C" w:rsidR="00685D07" w:rsidRDefault="00685D07" w:rsidP="00685D07">
      <w:pPr>
        <w:pStyle w:val="Title5"/>
      </w:pPr>
      <w:r>
        <w:lastRenderedPageBreak/>
        <w:t>Evaluation des impacts résiduels</w:t>
      </w:r>
    </w:p>
    <w:p w14:paraId="285A200D" w14:textId="4547052B" w:rsidR="0024121A" w:rsidRDefault="0024121A" w:rsidP="00F8200C">
      <w:r>
        <w:t>En phase d’exploitation,</w:t>
      </w:r>
      <w:r w:rsidR="00FB2C43">
        <w:t xml:space="preserve"> l</w:t>
      </w:r>
      <w:r>
        <w:t>e risque de pollution lors des opérations de vidange des effluents des avions sera maîtrisé. L’aire de vidange est étanche et reliée à un réseau séparatif sécurisé, limitant tout rejet accidentel. En cas d’incident, les effluents seraient confinés, pompés et traités immédiatement.</w:t>
      </w:r>
    </w:p>
    <w:p w14:paraId="4691A004" w14:textId="015887DC" w:rsidR="0024121A" w:rsidRDefault="0024121A" w:rsidP="0024121A">
      <w:r>
        <w:t>Aucune altération durable de la qualité des eaux superficielles et souterraines n’est anticipée.</w:t>
      </w:r>
    </w:p>
    <w:p w14:paraId="3437F873" w14:textId="39EAF143" w:rsidR="008D7CD8" w:rsidRDefault="0024121A" w:rsidP="0024121A">
      <w:r>
        <w:t>En conclusion, la gestion des eaux usées en phase d’exploitation est jugée entièrement maîtrisée, les impacts et risques résiduels étant faibles, localisés et sans incidence significative sur les ressources hydriques du secteur.</w:t>
      </w:r>
    </w:p>
    <w:p w14:paraId="0B01DE06" w14:textId="75A111AE" w:rsidR="00685D07" w:rsidRDefault="00685D07" w:rsidP="00685D07">
      <w:pPr>
        <w:pStyle w:val="Title3"/>
      </w:pPr>
      <w:bookmarkStart w:id="438" w:name="_Toc215131879"/>
      <w:r w:rsidRPr="00F41DD6">
        <w:t xml:space="preserve">Gestion des déchets </w:t>
      </w:r>
      <w:r w:rsidR="0077178B">
        <w:t xml:space="preserve">dangereux et non dangereux </w:t>
      </w:r>
      <w:r w:rsidRPr="00F41DD6">
        <w:t>et matières dangereuses</w:t>
      </w:r>
      <w:bookmarkEnd w:id="438"/>
      <w:r w:rsidR="0077178B">
        <w:t xml:space="preserve"> </w:t>
      </w:r>
    </w:p>
    <w:p w14:paraId="4A377785" w14:textId="493E2D66" w:rsidR="003D3772" w:rsidRDefault="009B27CF" w:rsidP="003D3772">
      <w:pPr>
        <w:pStyle w:val="Title4"/>
      </w:pPr>
      <w:r>
        <w:t xml:space="preserve">Rappel du contexte de gestion </w:t>
      </w:r>
      <w:r w:rsidRPr="009B27CF">
        <w:t>des déchets dangereux et non dangereux et matières dangereuses</w:t>
      </w:r>
    </w:p>
    <w:p w14:paraId="6B5744FF" w14:textId="77777777" w:rsidR="0004206F" w:rsidRPr="00334979" w:rsidRDefault="0004206F" w:rsidP="004637C7">
      <w:pPr>
        <w:pStyle w:val="Title5"/>
      </w:pPr>
      <w:r w:rsidRPr="00334979">
        <w:t>Phase de construction et de démantèlement</w:t>
      </w:r>
    </w:p>
    <w:p w14:paraId="0DFECCDF" w14:textId="357545BC" w:rsidR="0004206F" w:rsidRPr="0004206F" w:rsidRDefault="0004206F" w:rsidP="004637C7">
      <w:r w:rsidRPr="0004206F">
        <w:t>Les activités de démolition, de terrassement, de génie civil, de montage et de maintenance temporaire généreront une diversité de déchets issus des matériaux de construction, des équipements de chantier et des opérations de maintenance des engins. Ces déchets se répartissent en deux grandes catégories</w:t>
      </w:r>
      <w:r w:rsidR="0056420D">
        <w:t xml:space="preserve"> </w:t>
      </w:r>
      <w:r w:rsidRPr="0004206F">
        <w:t>:</w:t>
      </w:r>
    </w:p>
    <w:p w14:paraId="03063F96" w14:textId="48ADF6C4" w:rsidR="0004206F" w:rsidRPr="009F2973" w:rsidRDefault="0004206F" w:rsidP="0001633E">
      <w:pPr>
        <w:pStyle w:val="AltTitle2"/>
        <w:numPr>
          <w:ilvl w:val="0"/>
          <w:numId w:val="106"/>
        </w:numPr>
      </w:pPr>
      <w:r w:rsidRPr="009F2973">
        <w:t>Déchets non dangereux</w:t>
      </w:r>
    </w:p>
    <w:p w14:paraId="21C2164A" w14:textId="77777777" w:rsidR="0004206F" w:rsidRPr="0086069C" w:rsidRDefault="0004206F" w:rsidP="004637C7">
      <w:r w:rsidRPr="0086069C">
        <w:t>Il s’agit principalement de déchets inertes ou assimilés, qui ne présentent pas de risque pour la santé ou l’environnement. On distingue :</w:t>
      </w:r>
    </w:p>
    <w:p w14:paraId="2DDDE296" w14:textId="77777777" w:rsidR="0004206F" w:rsidRPr="0004206F" w:rsidRDefault="0004206F" w:rsidP="0001633E">
      <w:pPr>
        <w:numPr>
          <w:ilvl w:val="0"/>
          <w:numId w:val="109"/>
        </w:numPr>
        <w:spacing w:before="0" w:after="0"/>
      </w:pPr>
      <w:r w:rsidRPr="0004206F">
        <w:t>Les gravats, déblais, béton, briques, céramiques et terres excavées ;</w:t>
      </w:r>
    </w:p>
    <w:p w14:paraId="344A6CD5" w14:textId="77777777" w:rsidR="0004206F" w:rsidRPr="0004206F" w:rsidRDefault="0004206F" w:rsidP="0001633E">
      <w:pPr>
        <w:numPr>
          <w:ilvl w:val="0"/>
          <w:numId w:val="109"/>
        </w:numPr>
        <w:spacing w:before="0" w:after="0"/>
      </w:pPr>
      <w:r w:rsidRPr="0004206F">
        <w:t>Les bois de coffrage, palettes, plastiques, films de protection, cartons, papiers ;</w:t>
      </w:r>
    </w:p>
    <w:p w14:paraId="263E0724" w14:textId="77777777" w:rsidR="0004206F" w:rsidRPr="0004206F" w:rsidRDefault="0004206F" w:rsidP="0001633E">
      <w:pPr>
        <w:numPr>
          <w:ilvl w:val="0"/>
          <w:numId w:val="109"/>
        </w:numPr>
        <w:spacing w:before="0" w:after="0"/>
      </w:pPr>
      <w:r w:rsidRPr="0004206F">
        <w:t>Les métaux non contaminés (profilés, ferraille, aluminium) issus de la découpe et de la manutention ;</w:t>
      </w:r>
    </w:p>
    <w:p w14:paraId="34A4A8CD" w14:textId="77777777" w:rsidR="0004206F" w:rsidRPr="0004206F" w:rsidRDefault="0004206F" w:rsidP="0001633E">
      <w:pPr>
        <w:numPr>
          <w:ilvl w:val="0"/>
          <w:numId w:val="109"/>
        </w:numPr>
        <w:spacing w:before="0" w:after="0"/>
      </w:pPr>
      <w:r w:rsidRPr="0004206F">
        <w:t>Les déchets d’emballages et de conditionnement des matériaux ;</w:t>
      </w:r>
    </w:p>
    <w:p w14:paraId="2BEC8735" w14:textId="77777777" w:rsidR="0004206F" w:rsidRPr="0004206F" w:rsidRDefault="0004206F" w:rsidP="0001633E">
      <w:pPr>
        <w:numPr>
          <w:ilvl w:val="0"/>
          <w:numId w:val="109"/>
        </w:numPr>
        <w:spacing w:before="0" w:after="0"/>
      </w:pPr>
      <w:r w:rsidRPr="0004206F">
        <w:t>Les déchets végétaux provenant du débroussaillage et de l’aménagement paysager.</w:t>
      </w:r>
    </w:p>
    <w:p w14:paraId="2C0BC1B7" w14:textId="77777777" w:rsidR="0004206F" w:rsidRPr="0086069C" w:rsidRDefault="0004206F" w:rsidP="004637C7">
      <w:r w:rsidRPr="0086069C">
        <w:t>Ces déchets seront collectés sélectivement sur site, puis dirigés vers des filières de valorisation ou vers des sites autorisés de dépôt selon leur nature (inertes, recyclables ou non recyclables).</w:t>
      </w:r>
    </w:p>
    <w:p w14:paraId="5A134B91" w14:textId="435F36D6" w:rsidR="0004206F" w:rsidRPr="009F2973" w:rsidRDefault="0004206F" w:rsidP="0001633E">
      <w:pPr>
        <w:pStyle w:val="AltTitle2"/>
        <w:numPr>
          <w:ilvl w:val="0"/>
          <w:numId w:val="106"/>
        </w:numPr>
      </w:pPr>
      <w:r w:rsidRPr="009F2973">
        <w:t>Déchets dangereux et matières dangereuses</w:t>
      </w:r>
    </w:p>
    <w:p w14:paraId="3146DB75" w14:textId="77777777" w:rsidR="0004206F" w:rsidRPr="0086069C" w:rsidRDefault="0004206F" w:rsidP="004637C7">
      <w:r w:rsidRPr="0086069C">
        <w:t>Les déchets dangereux proviendront des activités d’entretien, de maintenance ou de nettoyage, et comprendront :</w:t>
      </w:r>
    </w:p>
    <w:p w14:paraId="065DF2EC" w14:textId="77777777" w:rsidR="0004206F" w:rsidRPr="0086069C" w:rsidRDefault="0004206F" w:rsidP="0001633E">
      <w:pPr>
        <w:numPr>
          <w:ilvl w:val="0"/>
          <w:numId w:val="109"/>
        </w:numPr>
        <w:spacing w:before="0" w:after="0"/>
      </w:pPr>
      <w:r w:rsidRPr="0086069C">
        <w:t>Les huiles usagées (moteurs, hydrauliques, graisses) ;</w:t>
      </w:r>
    </w:p>
    <w:p w14:paraId="5D3CEBEC" w14:textId="77777777" w:rsidR="0004206F" w:rsidRPr="0086069C" w:rsidRDefault="0004206F" w:rsidP="0001633E">
      <w:pPr>
        <w:numPr>
          <w:ilvl w:val="0"/>
          <w:numId w:val="109"/>
        </w:numPr>
        <w:spacing w:before="0" w:after="0"/>
      </w:pPr>
      <w:r w:rsidRPr="0086069C">
        <w:t>Les filtres à huile et à carburant contaminés ;</w:t>
      </w:r>
    </w:p>
    <w:p w14:paraId="0533B2AD" w14:textId="77777777" w:rsidR="0004206F" w:rsidRPr="0086069C" w:rsidRDefault="0004206F" w:rsidP="0001633E">
      <w:pPr>
        <w:numPr>
          <w:ilvl w:val="0"/>
          <w:numId w:val="109"/>
        </w:numPr>
        <w:spacing w:before="0" w:after="0"/>
      </w:pPr>
      <w:r w:rsidRPr="0086069C">
        <w:t>Les solvants, peintures, vernis, diluants, produits de nettoyage contenant des composés organiques volatils (COV) ;</w:t>
      </w:r>
    </w:p>
    <w:p w14:paraId="2B5A4694" w14:textId="77777777" w:rsidR="0004206F" w:rsidRPr="0086069C" w:rsidRDefault="0004206F" w:rsidP="0001633E">
      <w:pPr>
        <w:numPr>
          <w:ilvl w:val="0"/>
          <w:numId w:val="109"/>
        </w:numPr>
        <w:spacing w:before="0" w:after="0"/>
      </w:pPr>
      <w:r w:rsidRPr="0086069C">
        <w:t>Les emballages souillés (bidons, seaux, chiffons imbibés) ;</w:t>
      </w:r>
    </w:p>
    <w:p w14:paraId="41526A4A" w14:textId="77777777" w:rsidR="0004206F" w:rsidRPr="0086069C" w:rsidRDefault="0004206F" w:rsidP="0001633E">
      <w:pPr>
        <w:numPr>
          <w:ilvl w:val="0"/>
          <w:numId w:val="109"/>
        </w:numPr>
        <w:spacing w:before="0" w:after="0"/>
      </w:pPr>
      <w:r w:rsidRPr="0086069C">
        <w:t>Les batteries, piles et accumulateurs ;</w:t>
      </w:r>
    </w:p>
    <w:p w14:paraId="11C48083" w14:textId="77777777" w:rsidR="0004206F" w:rsidRPr="0086069C" w:rsidRDefault="0004206F" w:rsidP="0001633E">
      <w:pPr>
        <w:numPr>
          <w:ilvl w:val="0"/>
          <w:numId w:val="109"/>
        </w:numPr>
        <w:spacing w:before="0" w:after="0"/>
      </w:pPr>
      <w:r w:rsidRPr="0086069C">
        <w:t>Les lampes fluorescentes, néons, tubes LED contenant du mercure ;</w:t>
      </w:r>
    </w:p>
    <w:p w14:paraId="3A82DD15" w14:textId="73881B56" w:rsidR="0004206F" w:rsidRPr="0086069C" w:rsidRDefault="0004206F" w:rsidP="0001633E">
      <w:pPr>
        <w:numPr>
          <w:ilvl w:val="0"/>
          <w:numId w:val="109"/>
        </w:numPr>
        <w:spacing w:before="0" w:after="0"/>
      </w:pPr>
      <w:r w:rsidRPr="0086069C">
        <w:t>Les équipements électriques et électroniques usagés ;</w:t>
      </w:r>
    </w:p>
    <w:p w14:paraId="49685102" w14:textId="77777777" w:rsidR="0004206F" w:rsidRPr="0086069C" w:rsidRDefault="0004206F" w:rsidP="0001633E">
      <w:pPr>
        <w:numPr>
          <w:ilvl w:val="0"/>
          <w:numId w:val="109"/>
        </w:numPr>
        <w:spacing w:before="0" w:after="0"/>
      </w:pPr>
      <w:r w:rsidRPr="0086069C">
        <w:t>Les absorbants, chiffons ou sciures contaminés par des hydrocarbures ou solvants ;</w:t>
      </w:r>
    </w:p>
    <w:p w14:paraId="41F8A686" w14:textId="77777777" w:rsidR="0004206F" w:rsidRPr="0086069C" w:rsidRDefault="0004206F" w:rsidP="0001633E">
      <w:pPr>
        <w:numPr>
          <w:ilvl w:val="0"/>
          <w:numId w:val="109"/>
        </w:numPr>
        <w:spacing w:before="0" w:after="0"/>
      </w:pPr>
      <w:r w:rsidRPr="0086069C">
        <w:lastRenderedPageBreak/>
        <w:t>Les résidus de carburant et autres produits inflammables ;</w:t>
      </w:r>
    </w:p>
    <w:p w14:paraId="7B1932A0" w14:textId="77777777" w:rsidR="0004206F" w:rsidRPr="0086069C" w:rsidRDefault="0004206F" w:rsidP="0001633E">
      <w:pPr>
        <w:numPr>
          <w:ilvl w:val="0"/>
          <w:numId w:val="109"/>
        </w:numPr>
        <w:spacing w:before="0" w:after="0"/>
      </w:pPr>
      <w:r w:rsidRPr="0086069C">
        <w:t>Les gaz comprimés (oxygène, acétylène, propane) utilisés pour les travaux de soudure.</w:t>
      </w:r>
    </w:p>
    <w:p w14:paraId="43D84E7F" w14:textId="77777777" w:rsidR="00CE5C04" w:rsidRPr="00A95837" w:rsidRDefault="00CE5C04" w:rsidP="00CE5C04">
      <w:r w:rsidRPr="00A95837">
        <w:t>D</w:t>
      </w:r>
      <w:r>
        <w:t>urant</w:t>
      </w:r>
      <w:r w:rsidRPr="00A95837">
        <w:t xml:space="preserve"> la phase de construction du projet, l’EPC mettra en œuvre une gestion rigoureuse des déchets solides du chantier, selon les principes suivants :</w:t>
      </w:r>
    </w:p>
    <w:p w14:paraId="5C482817" w14:textId="77777777" w:rsidR="00CE5C04" w:rsidRPr="00845587" w:rsidRDefault="00CE5C04" w:rsidP="00CE5C04">
      <w:pPr>
        <w:pStyle w:val="Puce10"/>
        <w:numPr>
          <w:ilvl w:val="0"/>
          <w:numId w:val="0"/>
        </w:numPr>
        <w:rPr>
          <w:rStyle w:val="AGTESIACar"/>
          <w:sz w:val="22"/>
          <w:szCs w:val="18"/>
        </w:rPr>
      </w:pPr>
      <w:r w:rsidRPr="00845587">
        <w:rPr>
          <w:rStyle w:val="AGTESIACar"/>
          <w:sz w:val="22"/>
          <w:szCs w:val="18"/>
        </w:rPr>
        <w:t>Séparation à la source</w:t>
      </w:r>
    </w:p>
    <w:p w14:paraId="5736DEE8" w14:textId="77777777" w:rsidR="00CE5C04" w:rsidRPr="00E67C1C" w:rsidRDefault="00CE5C04" w:rsidP="0001633E">
      <w:pPr>
        <w:numPr>
          <w:ilvl w:val="0"/>
          <w:numId w:val="109"/>
        </w:numPr>
        <w:spacing w:before="0" w:after="0"/>
      </w:pPr>
      <w:r w:rsidRPr="00E67C1C">
        <w:t>Mise en place de conteneurs distincts sur site pour les déchets non dangereux (gravats, métaux, bois, plastiques) et pour les déchets dangereux / matières dangereuses (huiles usagées, filtres, solvants, batteries, équipements électroniques, etc.).</w:t>
      </w:r>
    </w:p>
    <w:p w14:paraId="6F126157" w14:textId="77777777" w:rsidR="00CE5C04" w:rsidRPr="00E67C1C" w:rsidRDefault="00CE5C04" w:rsidP="0001633E">
      <w:pPr>
        <w:numPr>
          <w:ilvl w:val="0"/>
          <w:numId w:val="109"/>
        </w:numPr>
        <w:spacing w:before="0" w:after="0"/>
      </w:pPr>
      <w:r w:rsidRPr="00E67C1C">
        <w:t>Identification et étiquetage clair des contenants selon les catégories de déchets.</w:t>
      </w:r>
    </w:p>
    <w:p w14:paraId="2F2D387F" w14:textId="77777777" w:rsidR="00CE5C04" w:rsidRPr="00845587" w:rsidRDefault="00CE5C04" w:rsidP="00CE5C04">
      <w:pPr>
        <w:pStyle w:val="Puce10"/>
        <w:numPr>
          <w:ilvl w:val="0"/>
          <w:numId w:val="0"/>
        </w:numPr>
        <w:rPr>
          <w:rStyle w:val="AGTESIACar"/>
          <w:sz w:val="22"/>
          <w:szCs w:val="18"/>
        </w:rPr>
      </w:pPr>
      <w:r w:rsidRPr="00845587">
        <w:rPr>
          <w:rStyle w:val="AGTESIACar"/>
          <w:sz w:val="22"/>
          <w:szCs w:val="18"/>
        </w:rPr>
        <w:t>Stockage temporaire sécurisé</w:t>
      </w:r>
    </w:p>
    <w:p w14:paraId="74DD3D92" w14:textId="77777777" w:rsidR="00CE5C04" w:rsidRPr="00DB3916" w:rsidRDefault="00CE5C04" w:rsidP="0001633E">
      <w:pPr>
        <w:numPr>
          <w:ilvl w:val="0"/>
          <w:numId w:val="109"/>
        </w:numPr>
        <w:spacing w:before="0" w:after="0"/>
      </w:pPr>
      <w:r w:rsidRPr="00DB3916">
        <w:t>Emplacement dédié, clos et ventilé, pour les déchets dangereux, avec rétention secondaire (bac de rétention) pour éviter les fuites.</w:t>
      </w:r>
    </w:p>
    <w:p w14:paraId="668FF748" w14:textId="77777777" w:rsidR="00CE5C04" w:rsidRPr="00845587" w:rsidRDefault="00CE5C04" w:rsidP="00CE5C04">
      <w:pPr>
        <w:pStyle w:val="Puce10"/>
        <w:numPr>
          <w:ilvl w:val="0"/>
          <w:numId w:val="0"/>
        </w:numPr>
        <w:rPr>
          <w:rStyle w:val="AGTESIACar"/>
          <w:sz w:val="22"/>
          <w:szCs w:val="18"/>
        </w:rPr>
      </w:pPr>
      <w:r w:rsidRPr="00845587">
        <w:rPr>
          <w:rStyle w:val="AGTESIACar"/>
          <w:sz w:val="22"/>
          <w:szCs w:val="18"/>
        </w:rPr>
        <w:t>Collecte et évacuation régulières</w:t>
      </w:r>
    </w:p>
    <w:p w14:paraId="3C0E7F11" w14:textId="77777777" w:rsidR="00CE5C04" w:rsidRPr="00DB3916" w:rsidRDefault="00CE5C04" w:rsidP="0001633E">
      <w:pPr>
        <w:numPr>
          <w:ilvl w:val="0"/>
          <w:numId w:val="109"/>
        </w:numPr>
        <w:spacing w:before="0" w:after="0"/>
      </w:pPr>
      <w:r w:rsidRPr="00DB3916">
        <w:t>Un prestataire agréé sera contracté pour la collecte périodique des déchets dangereux, avec bordereaux de suivi et traçabilité.</w:t>
      </w:r>
    </w:p>
    <w:p w14:paraId="132D76F6" w14:textId="77777777" w:rsidR="00CE5C04" w:rsidRPr="00DB3916" w:rsidRDefault="00CE5C04" w:rsidP="0001633E">
      <w:pPr>
        <w:numPr>
          <w:ilvl w:val="0"/>
          <w:numId w:val="109"/>
        </w:numPr>
        <w:spacing w:before="0" w:after="0"/>
      </w:pPr>
      <w:r w:rsidRPr="00DB3916">
        <w:t>Les déchets non dangereux seront évacués vers les filières locales de valorisation ou de dépôt autorisé.</w:t>
      </w:r>
    </w:p>
    <w:p w14:paraId="52396F4B" w14:textId="77777777" w:rsidR="00CE5C04" w:rsidRPr="00845587" w:rsidRDefault="00CE5C04" w:rsidP="00CE5C04">
      <w:pPr>
        <w:pStyle w:val="Puce10"/>
        <w:numPr>
          <w:ilvl w:val="0"/>
          <w:numId w:val="0"/>
        </w:numPr>
        <w:rPr>
          <w:rStyle w:val="AGTESIACar"/>
          <w:sz w:val="22"/>
          <w:szCs w:val="18"/>
        </w:rPr>
      </w:pPr>
      <w:r w:rsidRPr="00845587">
        <w:rPr>
          <w:rStyle w:val="AGTESIACar"/>
          <w:sz w:val="22"/>
          <w:szCs w:val="18"/>
        </w:rPr>
        <w:t>Régime de traitement et valorisation</w:t>
      </w:r>
    </w:p>
    <w:p w14:paraId="006F655E" w14:textId="77777777" w:rsidR="00CE5C04" w:rsidRPr="00DB3916" w:rsidRDefault="00CE5C04" w:rsidP="0001633E">
      <w:pPr>
        <w:numPr>
          <w:ilvl w:val="0"/>
          <w:numId w:val="109"/>
        </w:numPr>
        <w:spacing w:before="0" w:after="0"/>
      </w:pPr>
      <w:r w:rsidRPr="00DB3916">
        <w:t>Recyclage des matériaux valorisables (métaux, bois, plastiques) quand les filières sont disponibles.</w:t>
      </w:r>
    </w:p>
    <w:p w14:paraId="4C9087D0" w14:textId="77777777" w:rsidR="00CE5C04" w:rsidRPr="00DB3916" w:rsidRDefault="00CE5C04" w:rsidP="0001633E">
      <w:pPr>
        <w:numPr>
          <w:ilvl w:val="0"/>
          <w:numId w:val="109"/>
        </w:numPr>
        <w:spacing w:before="0" w:after="0"/>
      </w:pPr>
      <w:r w:rsidRPr="00DB3916">
        <w:t xml:space="preserve">Pour les déchets dangereux, acheminement vers des installations agréées respectant la réglementation nationale (Décret 2-14-85, Loi </w:t>
      </w:r>
      <w:r>
        <w:t>23-12</w:t>
      </w:r>
      <w:r w:rsidRPr="00DB3916">
        <w:t>).</w:t>
      </w:r>
    </w:p>
    <w:p w14:paraId="5FB70709" w14:textId="77777777" w:rsidR="00CE5C04" w:rsidRPr="00DB3916" w:rsidRDefault="00CE5C04" w:rsidP="0001633E">
      <w:pPr>
        <w:numPr>
          <w:ilvl w:val="0"/>
          <w:numId w:val="109"/>
        </w:numPr>
        <w:spacing w:before="0" w:after="0"/>
      </w:pPr>
      <w:r w:rsidRPr="00DB3916">
        <w:t>Adoption de techniques de réduction à la source (réemploi de matériaux, limitation des emballages) dans la mesure du possible.</w:t>
      </w:r>
    </w:p>
    <w:p w14:paraId="0B95CCB9" w14:textId="77777777" w:rsidR="00CE5C04" w:rsidRPr="00845587" w:rsidRDefault="00CE5C04" w:rsidP="00CE5C04">
      <w:pPr>
        <w:pStyle w:val="Puce10"/>
        <w:numPr>
          <w:ilvl w:val="0"/>
          <w:numId w:val="0"/>
        </w:numPr>
        <w:rPr>
          <w:rStyle w:val="AGTESIACar"/>
          <w:sz w:val="22"/>
          <w:szCs w:val="18"/>
        </w:rPr>
      </w:pPr>
      <w:r w:rsidRPr="00845587">
        <w:rPr>
          <w:rStyle w:val="AGTESIACar"/>
          <w:sz w:val="22"/>
          <w:szCs w:val="18"/>
        </w:rPr>
        <w:t>Traçabilité et responsabilité environnementale</w:t>
      </w:r>
    </w:p>
    <w:p w14:paraId="0CDB90A1" w14:textId="77777777" w:rsidR="00CE5C04" w:rsidRPr="00DB3916" w:rsidRDefault="00CE5C04" w:rsidP="0001633E">
      <w:pPr>
        <w:numPr>
          <w:ilvl w:val="0"/>
          <w:numId w:val="109"/>
        </w:numPr>
        <w:spacing w:before="0" w:after="0"/>
      </w:pPr>
      <w:r w:rsidRPr="00DB3916">
        <w:t>Usage systématique de bordereaux de suivi de déchets dangereux pour chaque chargement.</w:t>
      </w:r>
    </w:p>
    <w:p w14:paraId="5E482589" w14:textId="77777777" w:rsidR="00CE5C04" w:rsidRPr="00DB3916" w:rsidRDefault="00CE5C04" w:rsidP="0001633E">
      <w:pPr>
        <w:numPr>
          <w:ilvl w:val="0"/>
          <w:numId w:val="109"/>
        </w:numPr>
        <w:spacing w:before="0" w:after="0"/>
      </w:pPr>
      <w:r w:rsidRPr="00DB3916">
        <w:t>Rapport périodique d’état des déchets générés, évacués et stockés pour l’ONDA et la mission de contrôle environnemental.</w:t>
      </w:r>
    </w:p>
    <w:p w14:paraId="10D4E9B1" w14:textId="77777777" w:rsidR="00CE5C04" w:rsidRPr="00DB3916" w:rsidRDefault="00CE5C04" w:rsidP="0001633E">
      <w:pPr>
        <w:numPr>
          <w:ilvl w:val="0"/>
          <w:numId w:val="109"/>
        </w:numPr>
        <w:spacing w:before="0" w:after="0"/>
      </w:pPr>
      <w:r w:rsidRPr="00DB3916">
        <w:t>Engagement contractuel de l’EPC à respecter la législation marocaine, notamment l’interdiction de mélange des déchets dangereux et la conformité des transporteurs.</w:t>
      </w:r>
    </w:p>
    <w:p w14:paraId="5315D483" w14:textId="77777777" w:rsidR="00CE5C04" w:rsidRPr="00845587" w:rsidRDefault="00CE5C04" w:rsidP="00CE5C04">
      <w:pPr>
        <w:pStyle w:val="Puce10"/>
        <w:numPr>
          <w:ilvl w:val="0"/>
          <w:numId w:val="0"/>
        </w:numPr>
        <w:rPr>
          <w:rStyle w:val="AGTESIACar"/>
          <w:sz w:val="22"/>
          <w:szCs w:val="18"/>
        </w:rPr>
      </w:pPr>
      <w:r w:rsidRPr="00845587">
        <w:rPr>
          <w:rStyle w:val="AGTESIACar"/>
          <w:sz w:val="22"/>
          <w:szCs w:val="18"/>
        </w:rPr>
        <w:t>Plan d’urgence et remédiation</w:t>
      </w:r>
    </w:p>
    <w:p w14:paraId="4FD8AC57" w14:textId="77777777" w:rsidR="00CE5C04" w:rsidRDefault="00CE5C04" w:rsidP="0001633E">
      <w:pPr>
        <w:numPr>
          <w:ilvl w:val="0"/>
          <w:numId w:val="109"/>
        </w:numPr>
        <w:spacing w:before="0" w:after="0"/>
      </w:pPr>
      <w:r w:rsidRPr="00216D98">
        <w:t>Dispositif de confinement immédiat en cas d’incident (fuite, débordement), avec matériel absorbant, bacs de rétention, pompage et nettoyage.</w:t>
      </w:r>
    </w:p>
    <w:p w14:paraId="053A5862" w14:textId="07C5F1C4" w:rsidR="00CE5C04" w:rsidRPr="004637C7" w:rsidRDefault="00CE5C04" w:rsidP="0001633E">
      <w:pPr>
        <w:numPr>
          <w:ilvl w:val="0"/>
          <w:numId w:val="109"/>
        </w:numPr>
        <w:spacing w:before="0" w:after="0"/>
      </w:pPr>
      <w:r w:rsidRPr="00216D98">
        <w:t>Réhabilitation rapide de la zone affectée et rapport d'incident détaillé transmis à l’ONDA.</w:t>
      </w:r>
    </w:p>
    <w:p w14:paraId="593388EF" w14:textId="7866D378" w:rsidR="00186993" w:rsidRDefault="00443B33" w:rsidP="004637C7">
      <w:pPr>
        <w:pStyle w:val="Title5"/>
      </w:pPr>
      <w:r w:rsidRPr="00443B33">
        <w:t>Phase exploitation</w:t>
      </w:r>
    </w:p>
    <w:p w14:paraId="57D50E22" w14:textId="5469C516" w:rsidR="00443B33" w:rsidRDefault="00443B33" w:rsidP="00443B33">
      <w:r w:rsidRPr="00443B33">
        <w:t>Durant la phase d’exploitation, les déchets seront principalement issus de la maintenance courante des équipements techniques, de la station d’épuration, des infrastructures électriques et des zones de service.</w:t>
      </w:r>
    </w:p>
    <w:p w14:paraId="45DE6973" w14:textId="77777777" w:rsidR="008535C6" w:rsidRPr="009F2973" w:rsidRDefault="008535C6" w:rsidP="0001633E">
      <w:pPr>
        <w:pStyle w:val="AltTitle2"/>
        <w:numPr>
          <w:ilvl w:val="0"/>
          <w:numId w:val="106"/>
        </w:numPr>
      </w:pPr>
      <w:r w:rsidRPr="009F2973">
        <w:t>Déchets non dangereux</w:t>
      </w:r>
    </w:p>
    <w:p w14:paraId="00804AA8" w14:textId="77777777" w:rsidR="008535C6" w:rsidRPr="008535C6" w:rsidRDefault="008535C6" w:rsidP="008535C6">
      <w:r w:rsidRPr="008535C6">
        <w:t>Ils regroupent :</w:t>
      </w:r>
    </w:p>
    <w:p w14:paraId="54BCB565" w14:textId="77777777" w:rsidR="008535C6" w:rsidRPr="00CE5C04" w:rsidRDefault="008535C6" w:rsidP="0001633E">
      <w:pPr>
        <w:numPr>
          <w:ilvl w:val="0"/>
          <w:numId w:val="110"/>
        </w:numPr>
      </w:pPr>
      <w:r w:rsidRPr="00CE5C04">
        <w:lastRenderedPageBreak/>
        <w:t xml:space="preserve">Les </w:t>
      </w:r>
      <w:r w:rsidRPr="004637C7">
        <w:t>déchets ménagers et assimilés</w:t>
      </w:r>
      <w:r w:rsidRPr="00CE5C04">
        <w:t xml:space="preserve"> (papiers, cartons, plastiques, restes alimentaires) générés par le personnel et les voyageurs ;</w:t>
      </w:r>
    </w:p>
    <w:p w14:paraId="6687BD88" w14:textId="77777777" w:rsidR="008535C6" w:rsidRPr="00CE5C04" w:rsidRDefault="008535C6" w:rsidP="0001633E">
      <w:pPr>
        <w:numPr>
          <w:ilvl w:val="0"/>
          <w:numId w:val="110"/>
        </w:numPr>
      </w:pPr>
      <w:r w:rsidRPr="00CE5C04">
        <w:t xml:space="preserve">Les </w:t>
      </w:r>
      <w:r w:rsidRPr="004637C7">
        <w:t>métaux et plastiques non souillés</w:t>
      </w:r>
      <w:r w:rsidRPr="00CE5C04">
        <w:t xml:space="preserve"> provenant des opérations de maintenance ;</w:t>
      </w:r>
    </w:p>
    <w:p w14:paraId="007EE78C" w14:textId="77777777" w:rsidR="008535C6" w:rsidRPr="00CE5C04" w:rsidRDefault="008535C6" w:rsidP="0001633E">
      <w:pPr>
        <w:numPr>
          <w:ilvl w:val="0"/>
          <w:numId w:val="110"/>
        </w:numPr>
      </w:pPr>
      <w:r w:rsidRPr="00CE5C04">
        <w:t xml:space="preserve">Les </w:t>
      </w:r>
      <w:r w:rsidRPr="004637C7">
        <w:t>boues d’épuration non contaminées</w:t>
      </w:r>
      <w:r w:rsidRPr="00CE5C04">
        <w:t xml:space="preserve"> issues de la STEP ;</w:t>
      </w:r>
    </w:p>
    <w:p w14:paraId="1F8590DF" w14:textId="77777777" w:rsidR="008535C6" w:rsidRPr="00CE5C04" w:rsidRDefault="008535C6" w:rsidP="0001633E">
      <w:pPr>
        <w:numPr>
          <w:ilvl w:val="0"/>
          <w:numId w:val="110"/>
        </w:numPr>
      </w:pPr>
      <w:r w:rsidRPr="00CE5C04">
        <w:t xml:space="preserve">Les </w:t>
      </w:r>
      <w:r w:rsidRPr="004637C7">
        <w:t>déchets verts</w:t>
      </w:r>
      <w:r w:rsidRPr="00CE5C04">
        <w:t xml:space="preserve"> liés à l’entretien des espaces verts ;</w:t>
      </w:r>
    </w:p>
    <w:p w14:paraId="62137887" w14:textId="77777777" w:rsidR="008535C6" w:rsidRPr="00CE5C04" w:rsidRDefault="008535C6" w:rsidP="0001633E">
      <w:pPr>
        <w:numPr>
          <w:ilvl w:val="0"/>
          <w:numId w:val="110"/>
        </w:numPr>
      </w:pPr>
      <w:r w:rsidRPr="00CE5C04">
        <w:t xml:space="preserve">Les </w:t>
      </w:r>
      <w:r w:rsidRPr="004637C7">
        <w:t>emballages recyclables</w:t>
      </w:r>
      <w:r w:rsidRPr="00CE5C04">
        <w:t xml:space="preserve"> collectés dans les bâtiments techniques et administratifs.</w:t>
      </w:r>
    </w:p>
    <w:p w14:paraId="0B54D2D4" w14:textId="77777777" w:rsidR="008535C6" w:rsidRPr="009F2973" w:rsidRDefault="008535C6" w:rsidP="0001633E">
      <w:pPr>
        <w:pStyle w:val="AltTitle2"/>
        <w:numPr>
          <w:ilvl w:val="0"/>
          <w:numId w:val="106"/>
        </w:numPr>
      </w:pPr>
      <w:r w:rsidRPr="009F2973">
        <w:t>Déchets dangereux</w:t>
      </w:r>
    </w:p>
    <w:p w14:paraId="5028C424" w14:textId="77777777" w:rsidR="008535C6" w:rsidRPr="008535C6" w:rsidRDefault="008535C6" w:rsidP="008535C6">
      <w:r w:rsidRPr="008535C6">
        <w:t>Ils concernent principalement les produits issus des opérations de maintenance et d’entretien technique :</w:t>
      </w:r>
    </w:p>
    <w:p w14:paraId="46F96A9A" w14:textId="77777777" w:rsidR="008535C6" w:rsidRPr="008535C6" w:rsidRDefault="008535C6" w:rsidP="0001633E">
      <w:pPr>
        <w:numPr>
          <w:ilvl w:val="0"/>
          <w:numId w:val="110"/>
        </w:numPr>
      </w:pPr>
      <w:r w:rsidRPr="008535C6">
        <w:t xml:space="preserve">Les </w:t>
      </w:r>
      <w:r w:rsidRPr="004637C7">
        <w:t>huiles usagées et fluides hydrauliques</w:t>
      </w:r>
      <w:r w:rsidRPr="008535C6">
        <w:t xml:space="preserve"> des groupes électrogènes, compresseurs et pompes ;</w:t>
      </w:r>
    </w:p>
    <w:p w14:paraId="697B6165" w14:textId="77777777" w:rsidR="008535C6" w:rsidRPr="008535C6" w:rsidRDefault="008535C6" w:rsidP="0001633E">
      <w:pPr>
        <w:numPr>
          <w:ilvl w:val="0"/>
          <w:numId w:val="110"/>
        </w:numPr>
      </w:pPr>
      <w:r w:rsidRPr="008535C6">
        <w:t xml:space="preserve">Les </w:t>
      </w:r>
      <w:r w:rsidRPr="004637C7">
        <w:t>filtres usés, chiffons et absorbants souillés</w:t>
      </w:r>
      <w:r w:rsidRPr="008535C6">
        <w:t xml:space="preserve"> ;</w:t>
      </w:r>
    </w:p>
    <w:p w14:paraId="3D545C86" w14:textId="77777777" w:rsidR="008535C6" w:rsidRPr="008535C6" w:rsidRDefault="008535C6" w:rsidP="0001633E">
      <w:pPr>
        <w:numPr>
          <w:ilvl w:val="0"/>
          <w:numId w:val="110"/>
        </w:numPr>
      </w:pPr>
      <w:r w:rsidRPr="008535C6">
        <w:t xml:space="preserve">Les </w:t>
      </w:r>
      <w:r w:rsidRPr="004637C7">
        <w:t>batteries et piles</w:t>
      </w:r>
      <w:r w:rsidRPr="008535C6">
        <w:t xml:space="preserve"> ;</w:t>
      </w:r>
    </w:p>
    <w:p w14:paraId="686E4BAE" w14:textId="78D7CFBE" w:rsidR="008535C6" w:rsidRPr="008535C6" w:rsidRDefault="008535C6" w:rsidP="0001633E">
      <w:pPr>
        <w:numPr>
          <w:ilvl w:val="0"/>
          <w:numId w:val="110"/>
        </w:numPr>
      </w:pPr>
      <w:r w:rsidRPr="008535C6">
        <w:t xml:space="preserve">Les </w:t>
      </w:r>
      <w:r w:rsidRPr="004637C7">
        <w:t>produits chimiques de traitement des eaux</w:t>
      </w:r>
      <w:r w:rsidRPr="008535C6">
        <w:t xml:space="preserve"> (chlore, acide sulfurique, soude, désinfectants)</w:t>
      </w:r>
      <w:r w:rsidR="00B80BEB">
        <w:t xml:space="preserve"> </w:t>
      </w:r>
      <w:r w:rsidRPr="008535C6">
        <w:t>;</w:t>
      </w:r>
    </w:p>
    <w:p w14:paraId="6A5A4B98" w14:textId="77777777" w:rsidR="008535C6" w:rsidRPr="008535C6" w:rsidRDefault="008535C6" w:rsidP="0001633E">
      <w:pPr>
        <w:numPr>
          <w:ilvl w:val="0"/>
          <w:numId w:val="110"/>
        </w:numPr>
      </w:pPr>
      <w:r w:rsidRPr="008535C6">
        <w:t xml:space="preserve">Les </w:t>
      </w:r>
      <w:r w:rsidRPr="004637C7">
        <w:t>emballages contaminés, solvants, peintures et vernis</w:t>
      </w:r>
      <w:r w:rsidRPr="008535C6">
        <w:t xml:space="preserve"> ;</w:t>
      </w:r>
    </w:p>
    <w:p w14:paraId="2512E9F3" w14:textId="77777777" w:rsidR="008535C6" w:rsidRPr="008535C6" w:rsidRDefault="008535C6" w:rsidP="0001633E">
      <w:pPr>
        <w:numPr>
          <w:ilvl w:val="0"/>
          <w:numId w:val="110"/>
        </w:numPr>
      </w:pPr>
      <w:r w:rsidRPr="008535C6">
        <w:t xml:space="preserve">Les </w:t>
      </w:r>
      <w:r w:rsidRPr="004637C7">
        <w:t>lampes et tubes fluorescents usagés</w:t>
      </w:r>
      <w:r w:rsidRPr="008535C6">
        <w:t xml:space="preserve"> ;</w:t>
      </w:r>
    </w:p>
    <w:p w14:paraId="778D014F" w14:textId="61E29B90" w:rsidR="008535C6" w:rsidRPr="00CE5C04" w:rsidRDefault="008535C6" w:rsidP="008535C6">
      <w:r w:rsidRPr="00CE5C04">
        <w:t xml:space="preserve">Les </w:t>
      </w:r>
      <w:r w:rsidRPr="004637C7">
        <w:t>matières dangereuses</w:t>
      </w:r>
      <w:r w:rsidRPr="00CE5C04">
        <w:t xml:space="preserve"> manipulées dans cette phase incluent :</w:t>
      </w:r>
    </w:p>
    <w:p w14:paraId="77783193" w14:textId="77777777" w:rsidR="008535C6" w:rsidRPr="008535C6" w:rsidRDefault="008535C6" w:rsidP="0001633E">
      <w:pPr>
        <w:numPr>
          <w:ilvl w:val="0"/>
          <w:numId w:val="110"/>
        </w:numPr>
      </w:pPr>
      <w:r w:rsidRPr="008535C6">
        <w:t xml:space="preserve">Les </w:t>
      </w:r>
      <w:r w:rsidRPr="004637C7">
        <w:t>carburants</w:t>
      </w:r>
      <w:r w:rsidRPr="008535C6">
        <w:t xml:space="preserve"> utilisés pour les groupes électrogènes et les véhicules de maintenance ;</w:t>
      </w:r>
    </w:p>
    <w:p w14:paraId="5912DA99" w14:textId="77777777" w:rsidR="008535C6" w:rsidRPr="008535C6" w:rsidRDefault="008535C6" w:rsidP="0001633E">
      <w:pPr>
        <w:numPr>
          <w:ilvl w:val="0"/>
          <w:numId w:val="110"/>
        </w:numPr>
      </w:pPr>
      <w:r w:rsidRPr="008535C6">
        <w:t xml:space="preserve">Les </w:t>
      </w:r>
      <w:r w:rsidRPr="004637C7">
        <w:t>produits chimiques de traitement des eaux et désinfectants</w:t>
      </w:r>
      <w:r w:rsidRPr="008535C6">
        <w:t xml:space="preserve"> ;</w:t>
      </w:r>
    </w:p>
    <w:p w14:paraId="435905B6" w14:textId="77777777" w:rsidR="008535C6" w:rsidRPr="008535C6" w:rsidRDefault="008535C6" w:rsidP="0001633E">
      <w:pPr>
        <w:numPr>
          <w:ilvl w:val="0"/>
          <w:numId w:val="110"/>
        </w:numPr>
      </w:pPr>
      <w:r w:rsidRPr="008535C6">
        <w:t xml:space="preserve">Les </w:t>
      </w:r>
      <w:r w:rsidRPr="004637C7">
        <w:t>gaz sous pression</w:t>
      </w:r>
      <w:r w:rsidRPr="008535C6">
        <w:t xml:space="preserve"> (azote, oxygène, propane) pour les travaux de maintenance.</w:t>
      </w:r>
    </w:p>
    <w:p w14:paraId="25AFE1BF" w14:textId="376F6BBA" w:rsidR="00FE2556" w:rsidRPr="00FE2556" w:rsidRDefault="00FE2556" w:rsidP="00FE2556">
      <w:r w:rsidRPr="00FE2556">
        <w:t xml:space="preserve">L’aéroport </w:t>
      </w:r>
      <w:r w:rsidR="00B80BEB">
        <w:t xml:space="preserve">Marrakech Ménara </w:t>
      </w:r>
      <w:r w:rsidRPr="00FE2556">
        <w:t>assure la gestion de ses déchets solides via un contrat de propreté confié à une société spécialisée, qui couvre les prestations suivantes :</w:t>
      </w:r>
    </w:p>
    <w:p w14:paraId="6774151B" w14:textId="6474C37D" w:rsidR="00FE2556" w:rsidRPr="00FE2556" w:rsidRDefault="00FE2556" w:rsidP="0001633E">
      <w:pPr>
        <w:numPr>
          <w:ilvl w:val="0"/>
          <w:numId w:val="109"/>
        </w:numPr>
      </w:pPr>
      <w:r w:rsidRPr="00FE2556">
        <w:t>Collecte régulière des ordures ménagères générées dans les bâtiments de l’aérogare (zoning passagers, halls, commerces)</w:t>
      </w:r>
      <w:r w:rsidR="00A95837">
        <w:t> ;</w:t>
      </w:r>
    </w:p>
    <w:p w14:paraId="6B5A99E7" w14:textId="49503605" w:rsidR="00FE2556" w:rsidRPr="00FE2556" w:rsidRDefault="00FE2556" w:rsidP="0001633E">
      <w:pPr>
        <w:numPr>
          <w:ilvl w:val="0"/>
          <w:numId w:val="109"/>
        </w:numPr>
      </w:pPr>
      <w:r w:rsidRPr="00FE2556">
        <w:t>Ramassage des débris, objets perdus ou fragments provenant des pistes et voies de circulation</w:t>
      </w:r>
      <w:r w:rsidR="00A95837">
        <w:t> ;</w:t>
      </w:r>
    </w:p>
    <w:p w14:paraId="0DCF1EBE" w14:textId="11FD583F" w:rsidR="00FE2556" w:rsidRPr="00FE2556" w:rsidRDefault="00FE2556" w:rsidP="0001633E">
      <w:pPr>
        <w:numPr>
          <w:ilvl w:val="0"/>
          <w:numId w:val="109"/>
        </w:numPr>
      </w:pPr>
      <w:r w:rsidRPr="00FE2556">
        <w:t>Nettoyage et entretien des voiries intérieures et des espaces publics de l’aéroport</w:t>
      </w:r>
      <w:r w:rsidR="00A95837">
        <w:t> ;</w:t>
      </w:r>
    </w:p>
    <w:p w14:paraId="5DDB212F" w14:textId="426880F9" w:rsidR="00FE2556" w:rsidRPr="00FE2556" w:rsidRDefault="00FE2556" w:rsidP="0001633E">
      <w:pPr>
        <w:numPr>
          <w:ilvl w:val="0"/>
          <w:numId w:val="109"/>
        </w:numPr>
      </w:pPr>
      <w:r w:rsidRPr="00FE2556">
        <w:t>Prise en charge des déchets dangereux ou assimilés (huiles usagées, filtres, produits chimiques) dans le cadre du contrat de propreté</w:t>
      </w:r>
      <w:r w:rsidR="00A95837">
        <w:t> ;</w:t>
      </w:r>
    </w:p>
    <w:p w14:paraId="75070D3E" w14:textId="77777777" w:rsidR="003D6677" w:rsidRDefault="00FE2556" w:rsidP="0001633E">
      <w:pPr>
        <w:numPr>
          <w:ilvl w:val="0"/>
          <w:numId w:val="109"/>
        </w:numPr>
      </w:pPr>
      <w:r w:rsidRPr="00FE2556">
        <w:t xml:space="preserve">Acheminement vers des filières locales de traitement ou valorisation, ou vers des installations agréées de traitement des déchets ; </w:t>
      </w:r>
    </w:p>
    <w:p w14:paraId="3A94F0D3" w14:textId="094F0F43" w:rsidR="00FE2556" w:rsidRPr="00FE2556" w:rsidRDefault="003D6677" w:rsidP="0001633E">
      <w:pPr>
        <w:numPr>
          <w:ilvl w:val="0"/>
          <w:numId w:val="109"/>
        </w:numPr>
      </w:pPr>
      <w:r>
        <w:t>L</w:t>
      </w:r>
      <w:r w:rsidR="00FE2556" w:rsidRPr="00FE2556">
        <w:t>a traçabilité et la conformité réglementaire (bordereaux, agréments) sont des exigences contractuelles.</w:t>
      </w:r>
    </w:p>
    <w:p w14:paraId="61AF4E90" w14:textId="3F302D88" w:rsidR="00685D07" w:rsidRDefault="00685D07" w:rsidP="00685D07">
      <w:pPr>
        <w:pStyle w:val="Title4"/>
        <w:tabs>
          <w:tab w:val="clear" w:pos="1134"/>
          <w:tab w:val="left" w:pos="851"/>
        </w:tabs>
      </w:pPr>
      <w:r w:rsidRPr="00F41DD6">
        <w:lastRenderedPageBreak/>
        <w:t xml:space="preserve">Phase construction </w:t>
      </w:r>
    </w:p>
    <w:p w14:paraId="21FF2827" w14:textId="77777777" w:rsidR="00AF6F81" w:rsidRDefault="00AF6F81" w:rsidP="00AF6F81">
      <w:pPr>
        <w:pStyle w:val="Title5"/>
      </w:pPr>
      <w:bookmarkStart w:id="439" w:name="_Hlk211347748"/>
      <w:bookmarkStart w:id="440" w:name="_Hlk211343270"/>
      <w:r>
        <w:t>Identification et évaluation des impacts et risques</w:t>
      </w:r>
    </w:p>
    <w:p w14:paraId="2B976A62" w14:textId="77777777" w:rsidR="000B6D2D" w:rsidRPr="004637C7" w:rsidRDefault="000B6D2D" w:rsidP="0001633E">
      <w:pPr>
        <w:pStyle w:val="AltTitle2"/>
        <w:numPr>
          <w:ilvl w:val="0"/>
          <w:numId w:val="106"/>
        </w:numPr>
      </w:pPr>
      <w:r w:rsidRPr="004637C7">
        <w:t>Dégradation locale du sol</w:t>
      </w:r>
    </w:p>
    <w:p w14:paraId="4488BED1" w14:textId="3A95059E" w:rsidR="000B6D2D" w:rsidRDefault="000B6D2D" w:rsidP="00D41C6D">
      <w:r>
        <w:t>Les travaux de terrassement et de mise en œuvre des structures produiront de</w:t>
      </w:r>
      <w:r w:rsidR="00475F9F">
        <w:t>s</w:t>
      </w:r>
      <w:r>
        <w:t xml:space="preserve"> déblais et de</w:t>
      </w:r>
      <w:r w:rsidR="00475F9F">
        <w:t>s</w:t>
      </w:r>
      <w:r>
        <w:t xml:space="preserve"> matériaux inertes (gravats, terres, béton). Leur dépôt temporaire dans les zones du chantier peut provoquer une déstructuration mécanique du sol : compactage, perte de perméabilité et réduction de la porosité. Ces effets restent confinés aux zones d’activité, sans risque de contamination chimique, puisque les matériaux sont inertes. La nature limono-sableuse du sol dans </w:t>
      </w:r>
      <w:r w:rsidR="00D41C6D">
        <w:t>la zone d’étude</w:t>
      </w:r>
      <w:r>
        <w:t xml:space="preserve">, combinée à un climat sec et à une végétation clairsemée, accroît cependant la durée de restauration physique. L’impact est </w:t>
      </w:r>
      <w:r w:rsidRPr="004637C7">
        <w:t>direct, local, temporaire et réversible</w:t>
      </w:r>
      <w:r>
        <w:t xml:space="preserve">, et son </w:t>
      </w:r>
      <w:r w:rsidRPr="004637C7">
        <w:t>intensité est jugée modérée</w:t>
      </w:r>
      <w:r>
        <w:t>.</w:t>
      </w:r>
    </w:p>
    <w:tbl>
      <w:tblPr>
        <w:tblStyle w:val="TableauGrille1Clair-Accentuation111"/>
        <w:tblW w:w="5000" w:type="pct"/>
        <w:tblLook w:val="04A0" w:firstRow="1" w:lastRow="0" w:firstColumn="1" w:lastColumn="0" w:noHBand="0" w:noVBand="1"/>
      </w:tblPr>
      <w:tblGrid>
        <w:gridCol w:w="866"/>
        <w:gridCol w:w="1707"/>
        <w:gridCol w:w="1509"/>
        <w:gridCol w:w="3617"/>
        <w:gridCol w:w="1361"/>
      </w:tblGrid>
      <w:tr w:rsidR="00D41C6D" w:rsidRPr="00B95A9D" w14:paraId="6DE87963" w14:textId="77777777" w:rsidTr="00D60FC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8" w:type="pct"/>
            <w:hideMark/>
          </w:tcPr>
          <w:p w14:paraId="60900BBA" w14:textId="77777777" w:rsidR="00D41C6D" w:rsidRPr="00B95A9D" w:rsidRDefault="00D41C6D" w:rsidP="005A7661">
            <w:pPr>
              <w:rPr>
                <w:rFonts w:asciiTheme="minorHAnsi" w:hAnsiTheme="minorHAnsi" w:cstheme="minorHAnsi"/>
                <w:szCs w:val="20"/>
                <w:lang w:eastAsia="fr-FR" w:bidi="ar-SA"/>
              </w:rPr>
            </w:pPr>
            <w:r w:rsidRPr="00B95A9D">
              <w:rPr>
                <w:rFonts w:asciiTheme="minorHAnsi" w:hAnsiTheme="minorHAnsi" w:cstheme="minorHAnsi"/>
                <w:szCs w:val="20"/>
                <w:lang w:eastAsia="fr-FR" w:bidi="ar-SA"/>
              </w:rPr>
              <w:t>Impact</w:t>
            </w:r>
          </w:p>
        </w:tc>
        <w:tc>
          <w:tcPr>
            <w:tcW w:w="942" w:type="pct"/>
            <w:hideMark/>
          </w:tcPr>
          <w:p w14:paraId="111EC227" w14:textId="77777777" w:rsidR="00D41C6D" w:rsidRPr="00B95A9D" w:rsidRDefault="00D41C6D" w:rsidP="005A7661">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sidRPr="00B95A9D">
              <w:rPr>
                <w:rFonts w:asciiTheme="minorHAnsi" w:hAnsiTheme="minorHAnsi" w:cstheme="minorHAnsi"/>
                <w:szCs w:val="20"/>
                <w:lang w:eastAsia="fr-FR" w:bidi="ar-SA"/>
              </w:rPr>
              <w:t>Activités génératrices</w:t>
            </w:r>
          </w:p>
        </w:tc>
        <w:tc>
          <w:tcPr>
            <w:tcW w:w="833" w:type="pct"/>
            <w:hideMark/>
          </w:tcPr>
          <w:p w14:paraId="640B1501" w14:textId="77777777" w:rsidR="00D41C6D" w:rsidRPr="00B95A9D" w:rsidRDefault="00D41C6D" w:rsidP="005A7661">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sidRPr="00B95A9D">
              <w:rPr>
                <w:rFonts w:asciiTheme="minorHAnsi" w:hAnsiTheme="minorHAnsi" w:cstheme="minorHAnsi"/>
                <w:szCs w:val="20"/>
                <w:lang w:eastAsia="fr-FR" w:bidi="ar-SA"/>
              </w:rPr>
              <w:t>Critère</w:t>
            </w:r>
          </w:p>
        </w:tc>
        <w:tc>
          <w:tcPr>
            <w:tcW w:w="1996" w:type="pct"/>
            <w:hideMark/>
          </w:tcPr>
          <w:p w14:paraId="1831A21B" w14:textId="77777777" w:rsidR="00D41C6D" w:rsidRPr="00B95A9D" w:rsidRDefault="00D41C6D" w:rsidP="005A7661">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sidRPr="00B95A9D">
              <w:rPr>
                <w:rFonts w:asciiTheme="minorHAnsi" w:hAnsiTheme="minorHAnsi" w:cstheme="minorHAnsi"/>
                <w:szCs w:val="20"/>
                <w:lang w:eastAsia="fr-FR" w:bidi="ar-SA"/>
              </w:rPr>
              <w:t>Justification</w:t>
            </w:r>
          </w:p>
        </w:tc>
        <w:tc>
          <w:tcPr>
            <w:tcW w:w="751" w:type="pct"/>
            <w:hideMark/>
          </w:tcPr>
          <w:p w14:paraId="43249803" w14:textId="77777777" w:rsidR="00D41C6D" w:rsidRPr="00B95A9D" w:rsidRDefault="00D41C6D" w:rsidP="005A7661">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sidRPr="00B95A9D">
              <w:rPr>
                <w:rFonts w:asciiTheme="minorHAnsi" w:hAnsiTheme="minorHAnsi" w:cstheme="minorHAnsi"/>
                <w:szCs w:val="20"/>
                <w:lang w:eastAsia="fr-FR" w:bidi="ar-SA"/>
              </w:rPr>
              <w:t>Niveau</w:t>
            </w:r>
          </w:p>
        </w:tc>
      </w:tr>
      <w:tr w:rsidR="004569EE" w:rsidRPr="00B95A9D" w14:paraId="197D8DC0" w14:textId="77777777" w:rsidTr="00D60FC9">
        <w:tc>
          <w:tcPr>
            <w:cnfStyle w:val="001000000000" w:firstRow="0" w:lastRow="0" w:firstColumn="1" w:lastColumn="0" w:oddVBand="0" w:evenVBand="0" w:oddHBand="0" w:evenHBand="0" w:firstRowFirstColumn="0" w:firstRowLastColumn="0" w:lastRowFirstColumn="0" w:lastRowLastColumn="0"/>
            <w:tcW w:w="478" w:type="pct"/>
            <w:vMerge w:val="restart"/>
            <w:textDirection w:val="tbRl"/>
          </w:tcPr>
          <w:p w14:paraId="0A85C40D" w14:textId="7E2557E2" w:rsidR="004569EE" w:rsidRPr="00B95A9D" w:rsidRDefault="004569EE" w:rsidP="00A649D3">
            <w:pPr>
              <w:ind w:left="113" w:right="113"/>
              <w:rPr>
                <w:rFonts w:asciiTheme="minorHAnsi" w:hAnsiTheme="minorHAnsi" w:cstheme="minorHAnsi"/>
                <w:szCs w:val="20"/>
                <w:lang w:eastAsia="fr-FR" w:bidi="ar-SA"/>
              </w:rPr>
            </w:pPr>
            <w:r w:rsidRPr="00C4321D">
              <w:rPr>
                <w:lang w:eastAsia="fr-FR" w:bidi="ar-SA"/>
              </w:rPr>
              <w:t>Dégradation locale du sol par dépôt temporaire de déblais ou déchets inertes</w:t>
            </w:r>
          </w:p>
        </w:tc>
        <w:tc>
          <w:tcPr>
            <w:tcW w:w="942" w:type="pct"/>
            <w:vMerge w:val="restart"/>
          </w:tcPr>
          <w:p w14:paraId="48BEEE94" w14:textId="54F56CF9" w:rsidR="004569EE" w:rsidRPr="00B95A9D" w:rsidRDefault="004F75BC" w:rsidP="004569EE">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sidRPr="004F75BC">
              <w:rPr>
                <w:lang w:eastAsia="fr-FR" w:bidi="ar-SA"/>
              </w:rPr>
              <w:t>Dépôts temporaires de déblais, gravats et matériaux inertes issus des terrassements. Compactage du sol et perte de perméabilité au droit des zones de stockage et de circulation des engins.</w:t>
            </w:r>
          </w:p>
        </w:tc>
        <w:tc>
          <w:tcPr>
            <w:tcW w:w="833" w:type="pct"/>
            <w:hideMark/>
          </w:tcPr>
          <w:p w14:paraId="5FD38505" w14:textId="77777777" w:rsidR="004569EE" w:rsidRPr="00B95A9D" w:rsidRDefault="004569EE" w:rsidP="004569EE">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Cs w:val="20"/>
                <w:lang w:eastAsia="fr-FR" w:bidi="ar-SA"/>
              </w:rPr>
            </w:pPr>
            <w:r w:rsidRPr="00B95A9D">
              <w:rPr>
                <w:rFonts w:asciiTheme="minorHAnsi" w:hAnsiTheme="minorHAnsi" w:cstheme="minorHAnsi"/>
                <w:b/>
                <w:bCs/>
                <w:szCs w:val="20"/>
                <w:lang w:eastAsia="fr-FR" w:bidi="ar-SA"/>
              </w:rPr>
              <w:t>Nature</w:t>
            </w:r>
          </w:p>
        </w:tc>
        <w:tc>
          <w:tcPr>
            <w:tcW w:w="2747" w:type="pct"/>
            <w:gridSpan w:val="2"/>
          </w:tcPr>
          <w:p w14:paraId="50A3082D" w14:textId="03348168" w:rsidR="004569EE" w:rsidRPr="00B95A9D" w:rsidRDefault="004569EE" w:rsidP="004569EE">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Pr>
                <w:rFonts w:asciiTheme="minorHAnsi" w:hAnsiTheme="minorHAnsi" w:cstheme="minorHAnsi"/>
                <w:szCs w:val="20"/>
                <w:lang w:eastAsia="fr-FR" w:bidi="ar-SA"/>
              </w:rPr>
              <w:t>Direct négatif</w:t>
            </w:r>
          </w:p>
        </w:tc>
      </w:tr>
      <w:tr w:rsidR="00D41C6D" w:rsidRPr="00B95A9D" w14:paraId="1F0FE725" w14:textId="77777777" w:rsidTr="00D60FC9">
        <w:tc>
          <w:tcPr>
            <w:cnfStyle w:val="001000000000" w:firstRow="0" w:lastRow="0" w:firstColumn="1" w:lastColumn="0" w:oddVBand="0" w:evenVBand="0" w:oddHBand="0" w:evenHBand="0" w:firstRowFirstColumn="0" w:firstRowLastColumn="0" w:lastRowFirstColumn="0" w:lastRowLastColumn="0"/>
            <w:tcW w:w="478" w:type="pct"/>
            <w:vMerge/>
            <w:hideMark/>
          </w:tcPr>
          <w:p w14:paraId="00B3CBB5" w14:textId="77777777" w:rsidR="00D41C6D" w:rsidRPr="00B95A9D" w:rsidRDefault="00D41C6D" w:rsidP="005A7661">
            <w:pPr>
              <w:rPr>
                <w:rFonts w:asciiTheme="minorHAnsi" w:hAnsiTheme="minorHAnsi" w:cstheme="minorHAnsi"/>
                <w:szCs w:val="20"/>
                <w:lang w:eastAsia="fr-FR" w:bidi="ar-SA"/>
              </w:rPr>
            </w:pPr>
          </w:p>
        </w:tc>
        <w:tc>
          <w:tcPr>
            <w:tcW w:w="942" w:type="pct"/>
            <w:vMerge/>
            <w:hideMark/>
          </w:tcPr>
          <w:p w14:paraId="0C9A80C6" w14:textId="77777777" w:rsidR="00D41C6D" w:rsidRPr="00B95A9D" w:rsidRDefault="00D41C6D" w:rsidP="005A766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p>
        </w:tc>
        <w:tc>
          <w:tcPr>
            <w:tcW w:w="833" w:type="pct"/>
            <w:hideMark/>
          </w:tcPr>
          <w:p w14:paraId="1E4AF13E" w14:textId="77777777" w:rsidR="00D41C6D" w:rsidRPr="00B95A9D" w:rsidRDefault="00D41C6D" w:rsidP="005A766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Cs w:val="20"/>
                <w:lang w:eastAsia="fr-FR" w:bidi="ar-SA"/>
              </w:rPr>
            </w:pPr>
            <w:r w:rsidRPr="00B95A9D">
              <w:rPr>
                <w:rFonts w:asciiTheme="minorHAnsi" w:hAnsiTheme="minorHAnsi" w:cstheme="minorHAnsi"/>
                <w:b/>
                <w:bCs/>
                <w:szCs w:val="20"/>
                <w:lang w:eastAsia="fr-FR" w:bidi="ar-SA"/>
              </w:rPr>
              <w:t>Étendue</w:t>
            </w:r>
          </w:p>
        </w:tc>
        <w:tc>
          <w:tcPr>
            <w:tcW w:w="1996" w:type="pct"/>
          </w:tcPr>
          <w:p w14:paraId="3C15972D" w14:textId="0DBE2A2E" w:rsidR="00D41C6D" w:rsidRPr="00B95A9D" w:rsidRDefault="00323BD6" w:rsidP="005A766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Pr>
                <w:rFonts w:asciiTheme="minorHAnsi" w:hAnsiTheme="minorHAnsi" w:cstheme="minorHAnsi"/>
                <w:szCs w:val="20"/>
                <w:lang w:eastAsia="fr-FR" w:bidi="ar-SA"/>
              </w:rPr>
              <w:t>E</w:t>
            </w:r>
            <w:r w:rsidRPr="00323BD6">
              <w:rPr>
                <w:rFonts w:asciiTheme="minorHAnsi" w:hAnsiTheme="minorHAnsi" w:cstheme="minorHAnsi"/>
                <w:szCs w:val="20"/>
                <w:lang w:eastAsia="fr-FR" w:bidi="ar-SA"/>
              </w:rPr>
              <w:t>ffets confinés aux zones de terrassement et de stockage temporaire des déblais, sans extension au-delà du périmètre du chantier.</w:t>
            </w:r>
          </w:p>
        </w:tc>
        <w:tc>
          <w:tcPr>
            <w:tcW w:w="751" w:type="pct"/>
          </w:tcPr>
          <w:p w14:paraId="23556BA9" w14:textId="5904D916" w:rsidR="00D41C6D" w:rsidRPr="00B95A9D" w:rsidRDefault="00323BD6" w:rsidP="005A766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Cs w:val="20"/>
                <w:lang w:eastAsia="fr-FR" w:bidi="ar-SA"/>
              </w:rPr>
            </w:pPr>
            <w:r>
              <w:rPr>
                <w:rFonts w:asciiTheme="minorHAnsi" w:hAnsiTheme="minorHAnsi" w:cstheme="minorHAnsi"/>
                <w:b/>
                <w:bCs/>
                <w:szCs w:val="20"/>
                <w:lang w:eastAsia="fr-FR" w:bidi="ar-SA"/>
              </w:rPr>
              <w:t>Locale</w:t>
            </w:r>
          </w:p>
        </w:tc>
      </w:tr>
      <w:tr w:rsidR="00D41C6D" w:rsidRPr="00B95A9D" w14:paraId="6C616DA5" w14:textId="77777777" w:rsidTr="00D60FC9">
        <w:tc>
          <w:tcPr>
            <w:cnfStyle w:val="001000000000" w:firstRow="0" w:lastRow="0" w:firstColumn="1" w:lastColumn="0" w:oddVBand="0" w:evenVBand="0" w:oddHBand="0" w:evenHBand="0" w:firstRowFirstColumn="0" w:firstRowLastColumn="0" w:lastRowFirstColumn="0" w:lastRowLastColumn="0"/>
            <w:tcW w:w="478" w:type="pct"/>
            <w:vMerge/>
            <w:hideMark/>
          </w:tcPr>
          <w:p w14:paraId="40234B7C" w14:textId="77777777" w:rsidR="00D41C6D" w:rsidRPr="00B95A9D" w:rsidRDefault="00D41C6D" w:rsidP="005A7661">
            <w:pPr>
              <w:rPr>
                <w:rFonts w:asciiTheme="minorHAnsi" w:hAnsiTheme="minorHAnsi" w:cstheme="minorHAnsi"/>
                <w:szCs w:val="20"/>
                <w:lang w:eastAsia="fr-FR" w:bidi="ar-SA"/>
              </w:rPr>
            </w:pPr>
          </w:p>
        </w:tc>
        <w:tc>
          <w:tcPr>
            <w:tcW w:w="942" w:type="pct"/>
            <w:vMerge/>
            <w:hideMark/>
          </w:tcPr>
          <w:p w14:paraId="2513B41B" w14:textId="77777777" w:rsidR="00D41C6D" w:rsidRPr="00B95A9D" w:rsidRDefault="00D41C6D" w:rsidP="005A766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p>
        </w:tc>
        <w:tc>
          <w:tcPr>
            <w:tcW w:w="833" w:type="pct"/>
            <w:hideMark/>
          </w:tcPr>
          <w:p w14:paraId="7FF14466" w14:textId="77777777" w:rsidR="00D41C6D" w:rsidRPr="00B95A9D" w:rsidRDefault="00D41C6D" w:rsidP="005A766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Cs w:val="20"/>
                <w:lang w:eastAsia="fr-FR" w:bidi="ar-SA"/>
              </w:rPr>
            </w:pPr>
            <w:r w:rsidRPr="00B95A9D">
              <w:rPr>
                <w:rFonts w:asciiTheme="minorHAnsi" w:hAnsiTheme="minorHAnsi" w:cstheme="minorHAnsi"/>
                <w:b/>
                <w:bCs/>
                <w:szCs w:val="20"/>
                <w:lang w:eastAsia="fr-FR" w:bidi="ar-SA"/>
              </w:rPr>
              <w:t>Durée</w:t>
            </w:r>
          </w:p>
        </w:tc>
        <w:tc>
          <w:tcPr>
            <w:tcW w:w="1996" w:type="pct"/>
          </w:tcPr>
          <w:p w14:paraId="65DA0007" w14:textId="7010028A" w:rsidR="00D41C6D" w:rsidRPr="00B95A9D" w:rsidRDefault="00726603" w:rsidP="005A766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Pr>
                <w:rFonts w:asciiTheme="minorHAnsi" w:hAnsiTheme="minorHAnsi" w:cstheme="minorHAnsi"/>
                <w:szCs w:val="20"/>
                <w:lang w:eastAsia="fr-FR" w:bidi="ar-SA"/>
              </w:rPr>
              <w:t>I</w:t>
            </w:r>
            <w:r w:rsidRPr="00726603">
              <w:rPr>
                <w:rFonts w:asciiTheme="minorHAnsi" w:hAnsiTheme="minorHAnsi" w:cstheme="minorHAnsi"/>
                <w:szCs w:val="20"/>
                <w:lang w:eastAsia="fr-FR" w:bidi="ar-SA"/>
              </w:rPr>
              <w:t>mpact limité à la durée des travaux</w:t>
            </w:r>
          </w:p>
        </w:tc>
        <w:tc>
          <w:tcPr>
            <w:tcW w:w="751" w:type="pct"/>
          </w:tcPr>
          <w:p w14:paraId="773FF9DC" w14:textId="68CD378C" w:rsidR="00D41C6D" w:rsidRPr="00B95A9D" w:rsidRDefault="00726603" w:rsidP="005A766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Cs w:val="20"/>
                <w:lang w:eastAsia="fr-FR" w:bidi="ar-SA"/>
              </w:rPr>
            </w:pPr>
            <w:r>
              <w:rPr>
                <w:rFonts w:asciiTheme="minorHAnsi" w:hAnsiTheme="minorHAnsi" w:cstheme="minorHAnsi"/>
                <w:b/>
                <w:bCs/>
                <w:szCs w:val="20"/>
                <w:lang w:eastAsia="fr-FR" w:bidi="ar-SA"/>
              </w:rPr>
              <w:t>Cout terme</w:t>
            </w:r>
          </w:p>
        </w:tc>
      </w:tr>
      <w:tr w:rsidR="00D41C6D" w:rsidRPr="00B95A9D" w14:paraId="13F15E95" w14:textId="77777777" w:rsidTr="00D60FC9">
        <w:tc>
          <w:tcPr>
            <w:cnfStyle w:val="001000000000" w:firstRow="0" w:lastRow="0" w:firstColumn="1" w:lastColumn="0" w:oddVBand="0" w:evenVBand="0" w:oddHBand="0" w:evenHBand="0" w:firstRowFirstColumn="0" w:firstRowLastColumn="0" w:lastRowFirstColumn="0" w:lastRowLastColumn="0"/>
            <w:tcW w:w="478" w:type="pct"/>
            <w:vMerge/>
            <w:hideMark/>
          </w:tcPr>
          <w:p w14:paraId="70B8558A" w14:textId="77777777" w:rsidR="00D41C6D" w:rsidRPr="00B95A9D" w:rsidRDefault="00D41C6D" w:rsidP="005A7661">
            <w:pPr>
              <w:rPr>
                <w:rFonts w:asciiTheme="minorHAnsi" w:hAnsiTheme="minorHAnsi" w:cstheme="minorHAnsi"/>
                <w:szCs w:val="20"/>
                <w:lang w:eastAsia="fr-FR" w:bidi="ar-SA"/>
              </w:rPr>
            </w:pPr>
          </w:p>
        </w:tc>
        <w:tc>
          <w:tcPr>
            <w:tcW w:w="942" w:type="pct"/>
            <w:vMerge/>
            <w:hideMark/>
          </w:tcPr>
          <w:p w14:paraId="6AB6800C" w14:textId="77777777" w:rsidR="00D41C6D" w:rsidRPr="00B95A9D" w:rsidRDefault="00D41C6D" w:rsidP="005A766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p>
        </w:tc>
        <w:tc>
          <w:tcPr>
            <w:tcW w:w="833" w:type="pct"/>
            <w:hideMark/>
          </w:tcPr>
          <w:p w14:paraId="765B425E" w14:textId="77777777" w:rsidR="00D41C6D" w:rsidRPr="00B95A9D" w:rsidRDefault="00D41C6D" w:rsidP="005A766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Cs w:val="20"/>
                <w:lang w:eastAsia="fr-FR" w:bidi="ar-SA"/>
              </w:rPr>
            </w:pPr>
            <w:r w:rsidRPr="00B95A9D">
              <w:rPr>
                <w:rFonts w:asciiTheme="minorHAnsi" w:hAnsiTheme="minorHAnsi" w:cstheme="minorHAnsi"/>
                <w:b/>
                <w:bCs/>
                <w:szCs w:val="20"/>
                <w:lang w:eastAsia="fr-FR" w:bidi="ar-SA"/>
              </w:rPr>
              <w:t>Fréquence</w:t>
            </w:r>
          </w:p>
        </w:tc>
        <w:tc>
          <w:tcPr>
            <w:tcW w:w="1996" w:type="pct"/>
          </w:tcPr>
          <w:p w14:paraId="260E1393" w14:textId="48309B87" w:rsidR="00D41C6D" w:rsidRPr="00911A3C" w:rsidRDefault="00726603" w:rsidP="005A766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Pr>
                <w:rFonts w:asciiTheme="minorHAnsi" w:hAnsiTheme="minorHAnsi" w:cstheme="minorHAnsi"/>
                <w:szCs w:val="20"/>
                <w:lang w:eastAsia="fr-FR" w:bidi="ar-SA"/>
              </w:rPr>
              <w:t>L</w:t>
            </w:r>
            <w:r w:rsidRPr="00726603">
              <w:rPr>
                <w:rFonts w:asciiTheme="minorHAnsi" w:hAnsiTheme="minorHAnsi" w:cstheme="minorHAnsi"/>
                <w:szCs w:val="20"/>
                <w:lang w:eastAsia="fr-FR" w:bidi="ar-SA"/>
              </w:rPr>
              <w:t>e dépôt et le compactage se produisent régulièrement durant la phase active de chantier.</w:t>
            </w:r>
          </w:p>
        </w:tc>
        <w:tc>
          <w:tcPr>
            <w:tcW w:w="751" w:type="pct"/>
          </w:tcPr>
          <w:p w14:paraId="0511B8F6" w14:textId="09CF7736" w:rsidR="00D41C6D" w:rsidRPr="00B95A9D" w:rsidRDefault="00726603" w:rsidP="005A766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Cs w:val="20"/>
                <w:lang w:eastAsia="fr-FR" w:bidi="ar-SA"/>
              </w:rPr>
            </w:pPr>
            <w:r>
              <w:rPr>
                <w:rFonts w:asciiTheme="minorHAnsi" w:hAnsiTheme="minorHAnsi" w:cstheme="minorHAnsi"/>
                <w:b/>
                <w:bCs/>
                <w:szCs w:val="20"/>
                <w:lang w:eastAsia="fr-FR" w:bidi="ar-SA"/>
              </w:rPr>
              <w:t>Continue</w:t>
            </w:r>
          </w:p>
        </w:tc>
      </w:tr>
      <w:tr w:rsidR="00D60FC9" w:rsidRPr="00B95A9D" w14:paraId="7DB2F02D" w14:textId="77777777" w:rsidTr="00D60FC9">
        <w:tc>
          <w:tcPr>
            <w:cnfStyle w:val="001000000000" w:firstRow="0" w:lastRow="0" w:firstColumn="1" w:lastColumn="0" w:oddVBand="0" w:evenVBand="0" w:oddHBand="0" w:evenHBand="0" w:firstRowFirstColumn="0" w:firstRowLastColumn="0" w:lastRowFirstColumn="0" w:lastRowLastColumn="0"/>
            <w:tcW w:w="478" w:type="pct"/>
            <w:vMerge/>
            <w:hideMark/>
          </w:tcPr>
          <w:p w14:paraId="2DC629DC" w14:textId="77777777" w:rsidR="00D41C6D" w:rsidRPr="00B95A9D" w:rsidRDefault="00D41C6D" w:rsidP="005A7661">
            <w:pPr>
              <w:rPr>
                <w:rFonts w:asciiTheme="minorHAnsi" w:hAnsiTheme="minorHAnsi" w:cstheme="minorHAnsi"/>
                <w:szCs w:val="20"/>
                <w:lang w:eastAsia="fr-FR" w:bidi="ar-SA"/>
              </w:rPr>
            </w:pPr>
          </w:p>
        </w:tc>
        <w:tc>
          <w:tcPr>
            <w:tcW w:w="942" w:type="pct"/>
            <w:vMerge/>
            <w:hideMark/>
          </w:tcPr>
          <w:p w14:paraId="2640AB73" w14:textId="77777777" w:rsidR="00D41C6D" w:rsidRPr="00B95A9D" w:rsidRDefault="00D41C6D" w:rsidP="005A766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p>
        </w:tc>
        <w:tc>
          <w:tcPr>
            <w:tcW w:w="833" w:type="pct"/>
            <w:shd w:val="clear" w:color="auto" w:fill="D9E2F3"/>
            <w:hideMark/>
          </w:tcPr>
          <w:p w14:paraId="19FE1C0B" w14:textId="77777777" w:rsidR="00D41C6D" w:rsidRPr="00B95A9D" w:rsidRDefault="00D41C6D" w:rsidP="005A766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Cs w:val="20"/>
                <w:lang w:eastAsia="fr-FR" w:bidi="ar-SA"/>
              </w:rPr>
            </w:pPr>
            <w:r w:rsidRPr="00B95A9D">
              <w:rPr>
                <w:rFonts w:asciiTheme="minorHAnsi" w:hAnsiTheme="minorHAnsi" w:cstheme="minorHAnsi"/>
                <w:b/>
                <w:bCs/>
                <w:szCs w:val="20"/>
                <w:lang w:eastAsia="fr-FR" w:bidi="ar-SA"/>
              </w:rPr>
              <w:t>Intensité</w:t>
            </w:r>
          </w:p>
        </w:tc>
        <w:tc>
          <w:tcPr>
            <w:tcW w:w="1996" w:type="pct"/>
            <w:shd w:val="clear" w:color="auto" w:fill="D9E2F3"/>
          </w:tcPr>
          <w:p w14:paraId="44868D7D" w14:textId="04A3F8CF" w:rsidR="00D41C6D" w:rsidRPr="004637C7" w:rsidRDefault="00726603" w:rsidP="005A766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vanish/>
                <w:szCs w:val="20"/>
                <w:lang w:eastAsia="fr-FR" w:bidi="ar-SA"/>
              </w:rPr>
            </w:pPr>
            <w:r w:rsidRPr="00726603">
              <w:rPr>
                <w:rFonts w:asciiTheme="minorHAnsi" w:hAnsiTheme="minorHAnsi" w:cstheme="minorHAnsi"/>
                <w:vanish/>
                <w:szCs w:val="20"/>
                <w:lang w:eastAsia="fr-FR" w:bidi="ar-SA"/>
              </w:rPr>
              <w:t>Les effets sur la structure du sol sont visibles mais réversibles après recompactage et remise en état. Aucune contamination chimique n’est attendue.</w:t>
            </w:r>
          </w:p>
        </w:tc>
        <w:tc>
          <w:tcPr>
            <w:tcW w:w="751" w:type="pct"/>
            <w:shd w:val="clear" w:color="auto" w:fill="D9E2F3"/>
          </w:tcPr>
          <w:p w14:paraId="78EED6CA" w14:textId="383CC0D1" w:rsidR="00D41C6D" w:rsidRPr="00B95A9D" w:rsidRDefault="00726603" w:rsidP="005A766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Cs w:val="20"/>
                <w:lang w:eastAsia="fr-FR" w:bidi="ar-SA"/>
              </w:rPr>
            </w:pPr>
            <w:r>
              <w:rPr>
                <w:rFonts w:asciiTheme="minorHAnsi" w:hAnsiTheme="minorHAnsi" w:cstheme="minorHAnsi"/>
                <w:b/>
                <w:bCs/>
                <w:szCs w:val="20"/>
                <w:lang w:eastAsia="fr-FR" w:bidi="ar-SA"/>
              </w:rPr>
              <w:t>Moyenne</w:t>
            </w:r>
          </w:p>
        </w:tc>
      </w:tr>
      <w:tr w:rsidR="00D41C6D" w:rsidRPr="00B95A9D" w14:paraId="4BE938E2" w14:textId="77777777" w:rsidTr="00D60FC9">
        <w:tc>
          <w:tcPr>
            <w:cnfStyle w:val="001000000000" w:firstRow="0" w:lastRow="0" w:firstColumn="1" w:lastColumn="0" w:oddVBand="0" w:evenVBand="0" w:oddHBand="0" w:evenHBand="0" w:firstRowFirstColumn="0" w:firstRowLastColumn="0" w:lastRowFirstColumn="0" w:lastRowLastColumn="0"/>
            <w:tcW w:w="478" w:type="pct"/>
            <w:vMerge/>
          </w:tcPr>
          <w:p w14:paraId="54B4E4A9" w14:textId="77777777" w:rsidR="00D41C6D" w:rsidRPr="00B95A9D" w:rsidRDefault="00D41C6D" w:rsidP="005A7661">
            <w:pPr>
              <w:rPr>
                <w:rFonts w:asciiTheme="minorHAnsi" w:hAnsiTheme="minorHAnsi" w:cstheme="minorHAnsi"/>
                <w:szCs w:val="20"/>
                <w:lang w:eastAsia="fr-FR" w:bidi="ar-SA"/>
              </w:rPr>
            </w:pPr>
          </w:p>
        </w:tc>
        <w:tc>
          <w:tcPr>
            <w:tcW w:w="4522" w:type="pct"/>
            <w:gridSpan w:val="4"/>
          </w:tcPr>
          <w:p w14:paraId="3AB4FA0B" w14:textId="77777777" w:rsidR="00D41C6D" w:rsidRPr="00B95A9D" w:rsidRDefault="00D41C6D" w:rsidP="005A7661">
            <w:pPr>
              <w:spacing w:before="0" w:after="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Cs w:val="20"/>
                <w:lang w:eastAsia="fr-FR" w:bidi="ar-SA"/>
              </w:rPr>
            </w:pPr>
          </w:p>
        </w:tc>
      </w:tr>
      <w:tr w:rsidR="00D60FC9" w:rsidRPr="00B95A9D" w14:paraId="08905C9B" w14:textId="77777777" w:rsidTr="00D60FC9">
        <w:tc>
          <w:tcPr>
            <w:cnfStyle w:val="001000000000" w:firstRow="0" w:lastRow="0" w:firstColumn="1" w:lastColumn="0" w:oddVBand="0" w:evenVBand="0" w:oddHBand="0" w:evenHBand="0" w:firstRowFirstColumn="0" w:firstRowLastColumn="0" w:lastRowFirstColumn="0" w:lastRowLastColumn="0"/>
            <w:tcW w:w="478" w:type="pct"/>
            <w:vMerge/>
          </w:tcPr>
          <w:p w14:paraId="4D381B7B" w14:textId="77777777" w:rsidR="00D41C6D" w:rsidRPr="00B95A9D" w:rsidRDefault="00D41C6D" w:rsidP="005A7661">
            <w:pPr>
              <w:rPr>
                <w:rFonts w:asciiTheme="minorHAnsi" w:hAnsiTheme="minorHAnsi" w:cstheme="minorHAnsi"/>
                <w:szCs w:val="20"/>
                <w:lang w:eastAsia="fr-FR" w:bidi="ar-SA"/>
              </w:rPr>
            </w:pPr>
          </w:p>
        </w:tc>
        <w:tc>
          <w:tcPr>
            <w:tcW w:w="942" w:type="pct"/>
            <w:shd w:val="clear" w:color="auto" w:fill="B4C6E7" w:themeFill="accent1" w:themeFillTint="66"/>
            <w:vAlign w:val="center"/>
          </w:tcPr>
          <w:p w14:paraId="7C830E4E" w14:textId="77777777" w:rsidR="00D41C6D" w:rsidRPr="00B95A9D" w:rsidRDefault="00D41C6D" w:rsidP="005A766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sidRPr="00B95A9D">
              <w:rPr>
                <w:rFonts w:asciiTheme="minorHAnsi" w:hAnsiTheme="minorHAnsi" w:cstheme="minorHAnsi"/>
                <w:b/>
                <w:bCs/>
                <w:szCs w:val="20"/>
              </w:rPr>
              <w:t>Intensité de l’impact</w:t>
            </w:r>
          </w:p>
        </w:tc>
        <w:tc>
          <w:tcPr>
            <w:tcW w:w="833" w:type="pct"/>
            <w:shd w:val="clear" w:color="auto" w:fill="B4C6E7" w:themeFill="accent1" w:themeFillTint="66"/>
            <w:vAlign w:val="center"/>
          </w:tcPr>
          <w:p w14:paraId="4AC8B142" w14:textId="77777777" w:rsidR="00D41C6D" w:rsidRPr="00B95A9D" w:rsidRDefault="00D41C6D" w:rsidP="005A766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Cs w:val="20"/>
                <w:lang w:eastAsia="fr-FR" w:bidi="ar-SA"/>
              </w:rPr>
            </w:pPr>
            <w:r w:rsidRPr="00B95A9D">
              <w:rPr>
                <w:rFonts w:asciiTheme="minorHAnsi" w:hAnsiTheme="minorHAnsi" w:cstheme="minorHAnsi"/>
                <w:b/>
                <w:bCs/>
                <w:szCs w:val="20"/>
              </w:rPr>
              <w:t>Récepteurs</w:t>
            </w:r>
          </w:p>
        </w:tc>
        <w:tc>
          <w:tcPr>
            <w:tcW w:w="1996" w:type="pct"/>
            <w:shd w:val="clear" w:color="auto" w:fill="B4C6E7" w:themeFill="accent1" w:themeFillTint="66"/>
            <w:vAlign w:val="center"/>
          </w:tcPr>
          <w:p w14:paraId="1045129D" w14:textId="77777777" w:rsidR="00D41C6D" w:rsidRPr="00B95A9D" w:rsidRDefault="00D41C6D" w:rsidP="005A766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sidRPr="00B95A9D">
              <w:rPr>
                <w:rFonts w:asciiTheme="minorHAnsi" w:hAnsiTheme="minorHAnsi" w:cstheme="minorHAnsi"/>
                <w:b/>
                <w:bCs/>
                <w:szCs w:val="20"/>
              </w:rPr>
              <w:t>Sensibilité</w:t>
            </w:r>
          </w:p>
        </w:tc>
        <w:tc>
          <w:tcPr>
            <w:tcW w:w="751" w:type="pct"/>
            <w:shd w:val="clear" w:color="auto" w:fill="B4C6E7" w:themeFill="accent1" w:themeFillTint="66"/>
            <w:vAlign w:val="center"/>
          </w:tcPr>
          <w:p w14:paraId="44E7B826" w14:textId="77777777" w:rsidR="00D41C6D" w:rsidRPr="00B95A9D" w:rsidRDefault="00D41C6D" w:rsidP="005A766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Cs w:val="20"/>
                <w:lang w:eastAsia="fr-FR" w:bidi="ar-SA"/>
              </w:rPr>
            </w:pPr>
            <w:r w:rsidRPr="00B95A9D">
              <w:rPr>
                <w:rFonts w:asciiTheme="minorHAnsi" w:hAnsiTheme="minorHAnsi" w:cstheme="minorHAnsi"/>
                <w:b/>
                <w:bCs/>
                <w:szCs w:val="20"/>
              </w:rPr>
              <w:t>Importance de l’impact</w:t>
            </w:r>
          </w:p>
        </w:tc>
      </w:tr>
      <w:tr w:rsidR="00D41C6D" w:rsidRPr="00B95A9D" w14:paraId="620024B5" w14:textId="77777777" w:rsidTr="00D60FC9">
        <w:tc>
          <w:tcPr>
            <w:cnfStyle w:val="001000000000" w:firstRow="0" w:lastRow="0" w:firstColumn="1" w:lastColumn="0" w:oddVBand="0" w:evenVBand="0" w:oddHBand="0" w:evenHBand="0" w:firstRowFirstColumn="0" w:firstRowLastColumn="0" w:lastRowFirstColumn="0" w:lastRowLastColumn="0"/>
            <w:tcW w:w="478" w:type="pct"/>
            <w:vMerge/>
          </w:tcPr>
          <w:p w14:paraId="253D4EC6" w14:textId="77777777" w:rsidR="00D41C6D" w:rsidRPr="00B95A9D" w:rsidRDefault="00D41C6D" w:rsidP="005A7661">
            <w:pPr>
              <w:rPr>
                <w:rFonts w:asciiTheme="minorHAnsi" w:hAnsiTheme="minorHAnsi" w:cstheme="minorHAnsi"/>
                <w:szCs w:val="20"/>
                <w:lang w:eastAsia="fr-FR" w:bidi="ar-SA"/>
              </w:rPr>
            </w:pPr>
          </w:p>
        </w:tc>
        <w:tc>
          <w:tcPr>
            <w:tcW w:w="942" w:type="pct"/>
            <w:vAlign w:val="center"/>
          </w:tcPr>
          <w:p w14:paraId="3C03B8B4" w14:textId="1C0F2201" w:rsidR="00D41C6D" w:rsidRPr="00B95A9D" w:rsidRDefault="00726603" w:rsidP="005A766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Pr>
                <w:rFonts w:asciiTheme="minorHAnsi" w:hAnsiTheme="minorHAnsi" w:cstheme="minorHAnsi"/>
                <w:szCs w:val="20"/>
                <w:lang w:eastAsia="fr-FR" w:bidi="ar-SA"/>
              </w:rPr>
              <w:t>Moyenne</w:t>
            </w:r>
          </w:p>
        </w:tc>
        <w:tc>
          <w:tcPr>
            <w:tcW w:w="833" w:type="pct"/>
            <w:vAlign w:val="center"/>
          </w:tcPr>
          <w:p w14:paraId="75D1A2C3" w14:textId="2152B299" w:rsidR="00D41C6D" w:rsidRPr="00B95A9D" w:rsidRDefault="00726603" w:rsidP="005A766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Cs w:val="20"/>
                <w:lang w:eastAsia="fr-FR" w:bidi="ar-SA"/>
              </w:rPr>
            </w:pPr>
            <w:r>
              <w:rPr>
                <w:rFonts w:asciiTheme="minorHAnsi" w:hAnsiTheme="minorHAnsi" w:cstheme="minorHAnsi"/>
                <w:b/>
                <w:bCs/>
                <w:szCs w:val="20"/>
                <w:lang w:eastAsia="fr-FR" w:bidi="ar-SA"/>
              </w:rPr>
              <w:t>Sol superficiel du site</w:t>
            </w:r>
          </w:p>
        </w:tc>
        <w:tc>
          <w:tcPr>
            <w:tcW w:w="1996" w:type="pct"/>
            <w:vAlign w:val="center"/>
          </w:tcPr>
          <w:p w14:paraId="065DF6B9" w14:textId="44259CED" w:rsidR="00D41C6D" w:rsidRPr="00B95A9D" w:rsidRDefault="00726603" w:rsidP="005A766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Pr>
                <w:rFonts w:asciiTheme="minorHAnsi" w:hAnsiTheme="minorHAnsi" w:cstheme="minorHAnsi"/>
                <w:szCs w:val="20"/>
                <w:lang w:eastAsia="fr-FR" w:bidi="ar-SA"/>
              </w:rPr>
              <w:t>Moyenne</w:t>
            </w:r>
          </w:p>
        </w:tc>
        <w:tc>
          <w:tcPr>
            <w:tcW w:w="751" w:type="pct"/>
            <w:vAlign w:val="center"/>
          </w:tcPr>
          <w:p w14:paraId="5DCECFA0" w14:textId="39924230" w:rsidR="00D41C6D" w:rsidRPr="00B95A9D" w:rsidRDefault="00726603" w:rsidP="005A766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Cs w:val="20"/>
                <w:lang w:eastAsia="fr-FR" w:bidi="ar-SA"/>
              </w:rPr>
            </w:pPr>
            <w:r>
              <w:rPr>
                <w:rFonts w:asciiTheme="minorHAnsi" w:hAnsiTheme="minorHAnsi" w:cstheme="minorHAnsi"/>
                <w:b/>
                <w:bCs/>
                <w:szCs w:val="20"/>
                <w:lang w:eastAsia="fr-FR" w:bidi="ar-SA"/>
              </w:rPr>
              <w:t>Modérée</w:t>
            </w:r>
          </w:p>
        </w:tc>
      </w:tr>
    </w:tbl>
    <w:p w14:paraId="6D60AB9A" w14:textId="77777777" w:rsidR="000B6D2D" w:rsidRDefault="000B6D2D" w:rsidP="0001633E">
      <w:pPr>
        <w:pStyle w:val="AltTitle2"/>
        <w:numPr>
          <w:ilvl w:val="0"/>
          <w:numId w:val="106"/>
        </w:numPr>
      </w:pPr>
      <w:r w:rsidRPr="004637C7">
        <w:t>Nuisances olfactives temporaires</w:t>
      </w:r>
    </w:p>
    <w:p w14:paraId="30A41ACC" w14:textId="77777777" w:rsidR="000B6D2D" w:rsidRDefault="000B6D2D" w:rsidP="00D41C6D">
      <w:r>
        <w:t xml:space="preserve">Les déchets ménagers générés par la base vie (restes alimentaires, plastiques, papiers souillés) peuvent, en période estivale, dégager des odeurs perceptibles. Ces effets demeurent limités aux abords immédiats de la zone de vie et n’affectent pas l’extérieur du chantier. La faible densité humaine à proximité du site réduit encore la portée de ces nuisances. Cet impact est </w:t>
      </w:r>
      <w:r w:rsidRPr="004637C7">
        <w:t>local, direct, temporaire et réversible</w:t>
      </w:r>
      <w:r>
        <w:t>, d’</w:t>
      </w:r>
      <w:r w:rsidRPr="004637C7">
        <w:t>intensité faible</w:t>
      </w:r>
      <w:r>
        <w:t>.</w:t>
      </w:r>
    </w:p>
    <w:tbl>
      <w:tblPr>
        <w:tblStyle w:val="TableauGrille1Clair-Accentuation111"/>
        <w:tblW w:w="0" w:type="auto"/>
        <w:tblLook w:val="04A0" w:firstRow="1" w:lastRow="0" w:firstColumn="1" w:lastColumn="0" w:noHBand="0" w:noVBand="1"/>
      </w:tblPr>
      <w:tblGrid>
        <w:gridCol w:w="792"/>
        <w:gridCol w:w="1244"/>
        <w:gridCol w:w="2479"/>
        <w:gridCol w:w="2778"/>
        <w:gridCol w:w="1681"/>
      </w:tblGrid>
      <w:tr w:rsidR="00D41C6D" w:rsidRPr="00B95A9D" w14:paraId="247F8765" w14:textId="77777777" w:rsidTr="002979F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325E37AF" w14:textId="77777777" w:rsidR="00D41C6D" w:rsidRPr="00B95A9D" w:rsidRDefault="00D41C6D" w:rsidP="005A7661">
            <w:pPr>
              <w:rPr>
                <w:rFonts w:asciiTheme="minorHAnsi" w:hAnsiTheme="minorHAnsi" w:cstheme="minorHAnsi"/>
                <w:szCs w:val="20"/>
                <w:lang w:eastAsia="fr-FR" w:bidi="ar-SA"/>
              </w:rPr>
            </w:pPr>
            <w:r w:rsidRPr="00B95A9D">
              <w:rPr>
                <w:rFonts w:asciiTheme="minorHAnsi" w:hAnsiTheme="minorHAnsi" w:cstheme="minorHAnsi"/>
                <w:szCs w:val="20"/>
                <w:lang w:eastAsia="fr-FR" w:bidi="ar-SA"/>
              </w:rPr>
              <w:t>Impact</w:t>
            </w:r>
          </w:p>
        </w:tc>
        <w:tc>
          <w:tcPr>
            <w:tcW w:w="887" w:type="dxa"/>
            <w:hideMark/>
          </w:tcPr>
          <w:p w14:paraId="638AF9BB" w14:textId="77777777" w:rsidR="00D41C6D" w:rsidRPr="00B95A9D" w:rsidRDefault="00D41C6D" w:rsidP="005A7661">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sidRPr="00B95A9D">
              <w:rPr>
                <w:rFonts w:asciiTheme="minorHAnsi" w:hAnsiTheme="minorHAnsi" w:cstheme="minorHAnsi"/>
                <w:szCs w:val="20"/>
                <w:lang w:eastAsia="fr-FR" w:bidi="ar-SA"/>
              </w:rPr>
              <w:t>Activités génératrices</w:t>
            </w:r>
          </w:p>
        </w:tc>
        <w:tc>
          <w:tcPr>
            <w:tcW w:w="2479" w:type="dxa"/>
            <w:hideMark/>
          </w:tcPr>
          <w:p w14:paraId="659B6DDF" w14:textId="77777777" w:rsidR="00D41C6D" w:rsidRPr="00B95A9D" w:rsidRDefault="00D41C6D" w:rsidP="005A7661">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sidRPr="00B95A9D">
              <w:rPr>
                <w:rFonts w:asciiTheme="minorHAnsi" w:hAnsiTheme="minorHAnsi" w:cstheme="minorHAnsi"/>
                <w:szCs w:val="20"/>
                <w:lang w:eastAsia="fr-FR" w:bidi="ar-SA"/>
              </w:rPr>
              <w:t>Critère</w:t>
            </w:r>
          </w:p>
        </w:tc>
        <w:tc>
          <w:tcPr>
            <w:tcW w:w="2778" w:type="dxa"/>
            <w:hideMark/>
          </w:tcPr>
          <w:p w14:paraId="16D2F648" w14:textId="77777777" w:rsidR="00D41C6D" w:rsidRPr="00B95A9D" w:rsidRDefault="00D41C6D" w:rsidP="005A7661">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sidRPr="00B95A9D">
              <w:rPr>
                <w:rFonts w:asciiTheme="minorHAnsi" w:hAnsiTheme="minorHAnsi" w:cstheme="minorHAnsi"/>
                <w:szCs w:val="20"/>
                <w:lang w:eastAsia="fr-FR" w:bidi="ar-SA"/>
              </w:rPr>
              <w:t>Justification</w:t>
            </w:r>
          </w:p>
        </w:tc>
        <w:tc>
          <w:tcPr>
            <w:tcW w:w="1681" w:type="dxa"/>
            <w:hideMark/>
          </w:tcPr>
          <w:p w14:paraId="363EDBB5" w14:textId="77777777" w:rsidR="00D41C6D" w:rsidRPr="00B95A9D" w:rsidRDefault="00D41C6D" w:rsidP="005A7661">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sidRPr="00B95A9D">
              <w:rPr>
                <w:rFonts w:asciiTheme="minorHAnsi" w:hAnsiTheme="minorHAnsi" w:cstheme="minorHAnsi"/>
                <w:szCs w:val="20"/>
                <w:lang w:eastAsia="fr-FR" w:bidi="ar-SA"/>
              </w:rPr>
              <w:t>Niveau</w:t>
            </w:r>
          </w:p>
        </w:tc>
      </w:tr>
      <w:tr w:rsidR="00D41C6D" w:rsidRPr="00B95A9D" w14:paraId="38A8DB39" w14:textId="77777777" w:rsidTr="00A649D3">
        <w:tc>
          <w:tcPr>
            <w:cnfStyle w:val="001000000000" w:firstRow="0" w:lastRow="0" w:firstColumn="1" w:lastColumn="0" w:oddVBand="0" w:evenVBand="0" w:oddHBand="0" w:evenHBand="0" w:firstRowFirstColumn="0" w:firstRowLastColumn="0" w:lastRowFirstColumn="0" w:lastRowLastColumn="0"/>
            <w:tcW w:w="0" w:type="auto"/>
            <w:vMerge w:val="restart"/>
            <w:textDirection w:val="tbRl"/>
          </w:tcPr>
          <w:p w14:paraId="4B7A02F6" w14:textId="38B288BA" w:rsidR="00D41C6D" w:rsidRPr="00B95A9D" w:rsidRDefault="00BC4218" w:rsidP="00A649D3">
            <w:pPr>
              <w:ind w:left="113" w:right="113"/>
              <w:rPr>
                <w:rFonts w:asciiTheme="minorHAnsi" w:hAnsiTheme="minorHAnsi" w:cstheme="minorHAnsi"/>
                <w:szCs w:val="20"/>
                <w:lang w:eastAsia="fr-FR" w:bidi="ar-SA"/>
              </w:rPr>
            </w:pPr>
            <w:r w:rsidRPr="00BC4218">
              <w:rPr>
                <w:rFonts w:asciiTheme="minorHAnsi" w:hAnsiTheme="minorHAnsi" w:cstheme="minorHAnsi"/>
                <w:szCs w:val="20"/>
                <w:lang w:eastAsia="fr-FR" w:bidi="ar-SA"/>
              </w:rPr>
              <w:t>Génération de nuisances olfactives temporaires (déchets organiques)</w:t>
            </w:r>
          </w:p>
        </w:tc>
        <w:tc>
          <w:tcPr>
            <w:tcW w:w="887" w:type="dxa"/>
            <w:vMerge w:val="restart"/>
          </w:tcPr>
          <w:p w14:paraId="22D065F8" w14:textId="4CD8431C" w:rsidR="00D41C6D" w:rsidRPr="00B95A9D" w:rsidRDefault="00BC4218" w:rsidP="005A766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sidRPr="00BC4218">
              <w:rPr>
                <w:rFonts w:asciiTheme="minorHAnsi" w:hAnsiTheme="minorHAnsi" w:cstheme="minorHAnsi"/>
                <w:szCs w:val="20"/>
                <w:lang w:eastAsia="fr-FR" w:bidi="ar-SA"/>
              </w:rPr>
              <w:t>Déchets ménagers et biodéchets produits dans la base vie du chantier, dégagement d’odeurs en période chaude avant collecte.</w:t>
            </w:r>
          </w:p>
        </w:tc>
        <w:tc>
          <w:tcPr>
            <w:tcW w:w="2479" w:type="dxa"/>
            <w:hideMark/>
          </w:tcPr>
          <w:p w14:paraId="2FE4A353" w14:textId="77777777" w:rsidR="00D41C6D" w:rsidRPr="00B95A9D" w:rsidRDefault="00D41C6D" w:rsidP="005A766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Cs w:val="20"/>
                <w:lang w:eastAsia="fr-FR" w:bidi="ar-SA"/>
              </w:rPr>
            </w:pPr>
            <w:r w:rsidRPr="00B95A9D">
              <w:rPr>
                <w:rFonts w:asciiTheme="minorHAnsi" w:hAnsiTheme="minorHAnsi" w:cstheme="minorHAnsi"/>
                <w:b/>
                <w:bCs/>
                <w:szCs w:val="20"/>
                <w:lang w:eastAsia="fr-FR" w:bidi="ar-SA"/>
              </w:rPr>
              <w:t>Nature</w:t>
            </w:r>
          </w:p>
        </w:tc>
        <w:tc>
          <w:tcPr>
            <w:tcW w:w="4459" w:type="dxa"/>
            <w:gridSpan w:val="2"/>
          </w:tcPr>
          <w:p w14:paraId="715A84E3" w14:textId="5FBC9E9E" w:rsidR="00D41C6D" w:rsidRPr="00B95A9D" w:rsidRDefault="00CB7418" w:rsidP="005A766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Pr>
                <w:rFonts w:asciiTheme="minorHAnsi" w:hAnsiTheme="minorHAnsi" w:cstheme="minorHAnsi"/>
                <w:szCs w:val="20"/>
                <w:lang w:eastAsia="fr-FR" w:bidi="ar-SA"/>
              </w:rPr>
              <w:t>Direct négatif</w:t>
            </w:r>
          </w:p>
        </w:tc>
      </w:tr>
      <w:tr w:rsidR="00D41C6D" w:rsidRPr="00B95A9D" w14:paraId="1126CA0F" w14:textId="77777777" w:rsidTr="002979F2">
        <w:tc>
          <w:tcPr>
            <w:cnfStyle w:val="001000000000" w:firstRow="0" w:lastRow="0" w:firstColumn="1" w:lastColumn="0" w:oddVBand="0" w:evenVBand="0" w:oddHBand="0" w:evenHBand="0" w:firstRowFirstColumn="0" w:firstRowLastColumn="0" w:lastRowFirstColumn="0" w:lastRowLastColumn="0"/>
            <w:tcW w:w="0" w:type="auto"/>
            <w:vMerge/>
            <w:hideMark/>
          </w:tcPr>
          <w:p w14:paraId="40EEDCC5" w14:textId="77777777" w:rsidR="00D41C6D" w:rsidRPr="00B95A9D" w:rsidRDefault="00D41C6D" w:rsidP="005A7661">
            <w:pPr>
              <w:rPr>
                <w:rFonts w:asciiTheme="minorHAnsi" w:hAnsiTheme="minorHAnsi" w:cstheme="minorHAnsi"/>
                <w:szCs w:val="20"/>
                <w:lang w:eastAsia="fr-FR" w:bidi="ar-SA"/>
              </w:rPr>
            </w:pPr>
          </w:p>
        </w:tc>
        <w:tc>
          <w:tcPr>
            <w:tcW w:w="887" w:type="dxa"/>
            <w:vMerge/>
            <w:hideMark/>
          </w:tcPr>
          <w:p w14:paraId="26983AD9" w14:textId="77777777" w:rsidR="00D41C6D" w:rsidRPr="00B95A9D" w:rsidRDefault="00D41C6D" w:rsidP="005A766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p>
        </w:tc>
        <w:tc>
          <w:tcPr>
            <w:tcW w:w="2479" w:type="dxa"/>
            <w:hideMark/>
          </w:tcPr>
          <w:p w14:paraId="39166309" w14:textId="77777777" w:rsidR="00D41C6D" w:rsidRPr="00B95A9D" w:rsidRDefault="00D41C6D" w:rsidP="005A766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Cs w:val="20"/>
                <w:lang w:eastAsia="fr-FR" w:bidi="ar-SA"/>
              </w:rPr>
            </w:pPr>
            <w:r w:rsidRPr="00B95A9D">
              <w:rPr>
                <w:rFonts w:asciiTheme="minorHAnsi" w:hAnsiTheme="minorHAnsi" w:cstheme="minorHAnsi"/>
                <w:b/>
                <w:bCs/>
                <w:szCs w:val="20"/>
                <w:lang w:eastAsia="fr-FR" w:bidi="ar-SA"/>
              </w:rPr>
              <w:t>Étendue</w:t>
            </w:r>
          </w:p>
        </w:tc>
        <w:tc>
          <w:tcPr>
            <w:tcW w:w="2778" w:type="dxa"/>
          </w:tcPr>
          <w:p w14:paraId="2AE21FB2" w14:textId="16D8A6F3" w:rsidR="00D41C6D" w:rsidRPr="00B95A9D" w:rsidRDefault="00CB7418" w:rsidP="005A766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sidRPr="00CB7418">
              <w:rPr>
                <w:rFonts w:asciiTheme="minorHAnsi" w:hAnsiTheme="minorHAnsi" w:cstheme="minorHAnsi"/>
                <w:szCs w:val="20"/>
                <w:lang w:eastAsia="fr-FR" w:bidi="ar-SA"/>
              </w:rPr>
              <w:t>Limité à la zone de vie et aux abords immédiats des points de stockage temporaire des déchets.</w:t>
            </w:r>
          </w:p>
        </w:tc>
        <w:tc>
          <w:tcPr>
            <w:tcW w:w="1681" w:type="dxa"/>
          </w:tcPr>
          <w:p w14:paraId="3FE6B7D2" w14:textId="0DA62D9F" w:rsidR="00D41C6D" w:rsidRPr="00B95A9D" w:rsidRDefault="00CB7418" w:rsidP="005A766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Cs w:val="20"/>
                <w:lang w:eastAsia="fr-FR" w:bidi="ar-SA"/>
              </w:rPr>
            </w:pPr>
            <w:r>
              <w:rPr>
                <w:rFonts w:asciiTheme="minorHAnsi" w:hAnsiTheme="minorHAnsi" w:cstheme="minorHAnsi"/>
                <w:b/>
                <w:bCs/>
                <w:szCs w:val="20"/>
                <w:lang w:eastAsia="fr-FR" w:bidi="ar-SA"/>
              </w:rPr>
              <w:t>Locale</w:t>
            </w:r>
          </w:p>
        </w:tc>
      </w:tr>
      <w:tr w:rsidR="00D41C6D" w:rsidRPr="00B95A9D" w14:paraId="7560842C" w14:textId="77777777" w:rsidTr="002979F2">
        <w:tc>
          <w:tcPr>
            <w:cnfStyle w:val="001000000000" w:firstRow="0" w:lastRow="0" w:firstColumn="1" w:lastColumn="0" w:oddVBand="0" w:evenVBand="0" w:oddHBand="0" w:evenHBand="0" w:firstRowFirstColumn="0" w:firstRowLastColumn="0" w:lastRowFirstColumn="0" w:lastRowLastColumn="0"/>
            <w:tcW w:w="0" w:type="auto"/>
            <w:vMerge/>
            <w:hideMark/>
          </w:tcPr>
          <w:p w14:paraId="182261F7" w14:textId="77777777" w:rsidR="00D41C6D" w:rsidRPr="00B95A9D" w:rsidRDefault="00D41C6D" w:rsidP="005A7661">
            <w:pPr>
              <w:rPr>
                <w:rFonts w:asciiTheme="minorHAnsi" w:hAnsiTheme="minorHAnsi" w:cstheme="minorHAnsi"/>
                <w:szCs w:val="20"/>
                <w:lang w:eastAsia="fr-FR" w:bidi="ar-SA"/>
              </w:rPr>
            </w:pPr>
          </w:p>
        </w:tc>
        <w:tc>
          <w:tcPr>
            <w:tcW w:w="887" w:type="dxa"/>
            <w:vMerge/>
            <w:hideMark/>
          </w:tcPr>
          <w:p w14:paraId="7A150343" w14:textId="77777777" w:rsidR="00D41C6D" w:rsidRPr="00B95A9D" w:rsidRDefault="00D41C6D" w:rsidP="005A766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p>
        </w:tc>
        <w:tc>
          <w:tcPr>
            <w:tcW w:w="2479" w:type="dxa"/>
            <w:hideMark/>
          </w:tcPr>
          <w:p w14:paraId="132B2CEF" w14:textId="77777777" w:rsidR="00D41C6D" w:rsidRPr="00B95A9D" w:rsidRDefault="00D41C6D" w:rsidP="005A766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Cs w:val="20"/>
                <w:lang w:eastAsia="fr-FR" w:bidi="ar-SA"/>
              </w:rPr>
            </w:pPr>
            <w:r w:rsidRPr="00B95A9D">
              <w:rPr>
                <w:rFonts w:asciiTheme="minorHAnsi" w:hAnsiTheme="minorHAnsi" w:cstheme="minorHAnsi"/>
                <w:b/>
                <w:bCs/>
                <w:szCs w:val="20"/>
                <w:lang w:eastAsia="fr-FR" w:bidi="ar-SA"/>
              </w:rPr>
              <w:t>Durée</w:t>
            </w:r>
          </w:p>
        </w:tc>
        <w:tc>
          <w:tcPr>
            <w:tcW w:w="2778" w:type="dxa"/>
          </w:tcPr>
          <w:p w14:paraId="7A678F95" w14:textId="7C210179" w:rsidR="00D41C6D" w:rsidRPr="00B95A9D" w:rsidRDefault="00CB7418" w:rsidP="005A766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Pr>
                <w:rFonts w:asciiTheme="minorHAnsi" w:hAnsiTheme="minorHAnsi" w:cstheme="minorHAnsi"/>
                <w:szCs w:val="20"/>
                <w:lang w:eastAsia="fr-FR" w:bidi="ar-SA"/>
              </w:rPr>
              <w:t>P</w:t>
            </w:r>
            <w:r w:rsidRPr="00CB7418">
              <w:rPr>
                <w:rFonts w:asciiTheme="minorHAnsi" w:hAnsiTheme="minorHAnsi" w:cstheme="minorHAnsi"/>
                <w:szCs w:val="20"/>
                <w:lang w:eastAsia="fr-FR" w:bidi="ar-SA"/>
              </w:rPr>
              <w:t>erceptible uniquement pendant la période de travaux et cessant dès la fin de la phase de chantier.</w:t>
            </w:r>
          </w:p>
        </w:tc>
        <w:tc>
          <w:tcPr>
            <w:tcW w:w="1681" w:type="dxa"/>
          </w:tcPr>
          <w:p w14:paraId="71FC4142" w14:textId="50F4387B" w:rsidR="00D41C6D" w:rsidRPr="00B95A9D" w:rsidRDefault="00CB7418" w:rsidP="005A766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Cs w:val="20"/>
                <w:lang w:eastAsia="fr-FR" w:bidi="ar-SA"/>
              </w:rPr>
            </w:pPr>
            <w:r>
              <w:rPr>
                <w:rFonts w:asciiTheme="minorHAnsi" w:hAnsiTheme="minorHAnsi" w:cstheme="minorHAnsi"/>
                <w:b/>
                <w:bCs/>
                <w:szCs w:val="20"/>
                <w:lang w:eastAsia="fr-FR" w:bidi="ar-SA"/>
              </w:rPr>
              <w:t>Court terme</w:t>
            </w:r>
          </w:p>
        </w:tc>
      </w:tr>
      <w:tr w:rsidR="00D41C6D" w:rsidRPr="00B95A9D" w14:paraId="5A602631" w14:textId="77777777" w:rsidTr="002979F2">
        <w:tc>
          <w:tcPr>
            <w:cnfStyle w:val="001000000000" w:firstRow="0" w:lastRow="0" w:firstColumn="1" w:lastColumn="0" w:oddVBand="0" w:evenVBand="0" w:oddHBand="0" w:evenHBand="0" w:firstRowFirstColumn="0" w:firstRowLastColumn="0" w:lastRowFirstColumn="0" w:lastRowLastColumn="0"/>
            <w:tcW w:w="0" w:type="auto"/>
            <w:vMerge/>
            <w:hideMark/>
          </w:tcPr>
          <w:p w14:paraId="12BB8E4A" w14:textId="77777777" w:rsidR="00D41C6D" w:rsidRPr="00B95A9D" w:rsidRDefault="00D41C6D" w:rsidP="005A7661">
            <w:pPr>
              <w:rPr>
                <w:rFonts w:asciiTheme="minorHAnsi" w:hAnsiTheme="minorHAnsi" w:cstheme="minorHAnsi"/>
                <w:szCs w:val="20"/>
                <w:lang w:eastAsia="fr-FR" w:bidi="ar-SA"/>
              </w:rPr>
            </w:pPr>
          </w:p>
        </w:tc>
        <w:tc>
          <w:tcPr>
            <w:tcW w:w="887" w:type="dxa"/>
            <w:vMerge/>
            <w:hideMark/>
          </w:tcPr>
          <w:p w14:paraId="404E5B90" w14:textId="77777777" w:rsidR="00D41C6D" w:rsidRPr="00B95A9D" w:rsidRDefault="00D41C6D" w:rsidP="005A766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p>
        </w:tc>
        <w:tc>
          <w:tcPr>
            <w:tcW w:w="2479" w:type="dxa"/>
            <w:hideMark/>
          </w:tcPr>
          <w:p w14:paraId="191B8360" w14:textId="77777777" w:rsidR="00D41C6D" w:rsidRPr="00B95A9D" w:rsidRDefault="00D41C6D" w:rsidP="005A766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Cs w:val="20"/>
                <w:lang w:eastAsia="fr-FR" w:bidi="ar-SA"/>
              </w:rPr>
            </w:pPr>
            <w:r w:rsidRPr="00B95A9D">
              <w:rPr>
                <w:rFonts w:asciiTheme="minorHAnsi" w:hAnsiTheme="minorHAnsi" w:cstheme="minorHAnsi"/>
                <w:b/>
                <w:bCs/>
                <w:szCs w:val="20"/>
                <w:lang w:eastAsia="fr-FR" w:bidi="ar-SA"/>
              </w:rPr>
              <w:t>Fréquence</w:t>
            </w:r>
          </w:p>
        </w:tc>
        <w:tc>
          <w:tcPr>
            <w:tcW w:w="2778" w:type="dxa"/>
          </w:tcPr>
          <w:p w14:paraId="4F8BA81B" w14:textId="292DDA6E" w:rsidR="00D41C6D" w:rsidRPr="00911A3C" w:rsidRDefault="00CB7418" w:rsidP="005A766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Pr>
                <w:rFonts w:asciiTheme="minorHAnsi" w:hAnsiTheme="minorHAnsi" w:cstheme="minorHAnsi"/>
                <w:szCs w:val="20"/>
                <w:lang w:eastAsia="fr-FR" w:bidi="ar-SA"/>
              </w:rPr>
              <w:t>D</w:t>
            </w:r>
            <w:r w:rsidRPr="00CB7418">
              <w:rPr>
                <w:rFonts w:asciiTheme="minorHAnsi" w:hAnsiTheme="minorHAnsi" w:cstheme="minorHAnsi"/>
                <w:szCs w:val="20"/>
                <w:lang w:eastAsia="fr-FR" w:bidi="ar-SA"/>
              </w:rPr>
              <w:t>épendante des cycles de production et de collecte des déchets ménagers et biodéchets.</w:t>
            </w:r>
          </w:p>
        </w:tc>
        <w:tc>
          <w:tcPr>
            <w:tcW w:w="1681" w:type="dxa"/>
          </w:tcPr>
          <w:p w14:paraId="3BBCF06C" w14:textId="6D2A94A3" w:rsidR="00D41C6D" w:rsidRPr="00B95A9D" w:rsidRDefault="00CB7418" w:rsidP="005A766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Cs w:val="20"/>
                <w:lang w:eastAsia="fr-FR" w:bidi="ar-SA"/>
              </w:rPr>
            </w:pPr>
            <w:r>
              <w:rPr>
                <w:rFonts w:asciiTheme="minorHAnsi" w:hAnsiTheme="minorHAnsi" w:cstheme="minorHAnsi"/>
                <w:b/>
                <w:bCs/>
                <w:szCs w:val="20"/>
                <w:lang w:eastAsia="fr-FR" w:bidi="ar-SA"/>
              </w:rPr>
              <w:t>Intermittente</w:t>
            </w:r>
          </w:p>
        </w:tc>
      </w:tr>
      <w:tr w:rsidR="002979F2" w:rsidRPr="00B95A9D" w14:paraId="500CC40C" w14:textId="77777777" w:rsidTr="002979F2">
        <w:tc>
          <w:tcPr>
            <w:cnfStyle w:val="001000000000" w:firstRow="0" w:lastRow="0" w:firstColumn="1" w:lastColumn="0" w:oddVBand="0" w:evenVBand="0" w:oddHBand="0" w:evenHBand="0" w:firstRowFirstColumn="0" w:firstRowLastColumn="0" w:lastRowFirstColumn="0" w:lastRowLastColumn="0"/>
            <w:tcW w:w="0" w:type="auto"/>
            <w:vMerge/>
            <w:hideMark/>
          </w:tcPr>
          <w:p w14:paraId="35A6002A" w14:textId="77777777" w:rsidR="00D41C6D" w:rsidRPr="00B95A9D" w:rsidRDefault="00D41C6D" w:rsidP="005A7661">
            <w:pPr>
              <w:rPr>
                <w:rFonts w:asciiTheme="minorHAnsi" w:hAnsiTheme="minorHAnsi" w:cstheme="minorHAnsi"/>
                <w:szCs w:val="20"/>
                <w:lang w:eastAsia="fr-FR" w:bidi="ar-SA"/>
              </w:rPr>
            </w:pPr>
          </w:p>
        </w:tc>
        <w:tc>
          <w:tcPr>
            <w:tcW w:w="887" w:type="dxa"/>
            <w:vMerge/>
            <w:hideMark/>
          </w:tcPr>
          <w:p w14:paraId="3C612758" w14:textId="77777777" w:rsidR="00D41C6D" w:rsidRPr="00B95A9D" w:rsidRDefault="00D41C6D" w:rsidP="005A766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p>
        </w:tc>
        <w:tc>
          <w:tcPr>
            <w:tcW w:w="2479" w:type="dxa"/>
            <w:shd w:val="clear" w:color="auto" w:fill="D9E2F3"/>
            <w:hideMark/>
          </w:tcPr>
          <w:p w14:paraId="762F3DDF" w14:textId="77777777" w:rsidR="00D41C6D" w:rsidRPr="00B95A9D" w:rsidRDefault="00D41C6D" w:rsidP="005A766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Cs w:val="20"/>
                <w:lang w:eastAsia="fr-FR" w:bidi="ar-SA"/>
              </w:rPr>
            </w:pPr>
            <w:r w:rsidRPr="00B95A9D">
              <w:rPr>
                <w:rFonts w:asciiTheme="minorHAnsi" w:hAnsiTheme="minorHAnsi" w:cstheme="minorHAnsi"/>
                <w:b/>
                <w:bCs/>
                <w:szCs w:val="20"/>
                <w:lang w:eastAsia="fr-FR" w:bidi="ar-SA"/>
              </w:rPr>
              <w:t>Intensité</w:t>
            </w:r>
          </w:p>
        </w:tc>
        <w:tc>
          <w:tcPr>
            <w:tcW w:w="2778" w:type="dxa"/>
            <w:shd w:val="clear" w:color="auto" w:fill="D9E2F3"/>
          </w:tcPr>
          <w:p w14:paraId="0D658B3A" w14:textId="6D89957A" w:rsidR="00D41C6D" w:rsidRPr="00B95A9D" w:rsidRDefault="00CB7418" w:rsidP="005A766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sidRPr="00CB7418">
              <w:rPr>
                <w:rFonts w:asciiTheme="minorHAnsi" w:hAnsiTheme="minorHAnsi" w:cstheme="minorHAnsi"/>
                <w:szCs w:val="20"/>
                <w:lang w:eastAsia="fr-FR" w:bidi="ar-SA"/>
              </w:rPr>
              <w:t>Odeurs perceptibles mais limitées spatialement, sans impact sanitaire ni propagation au-delà du site.</w:t>
            </w:r>
          </w:p>
        </w:tc>
        <w:tc>
          <w:tcPr>
            <w:tcW w:w="1681" w:type="dxa"/>
            <w:shd w:val="clear" w:color="auto" w:fill="D9E2F3"/>
          </w:tcPr>
          <w:p w14:paraId="0B9AE340" w14:textId="232FBD01" w:rsidR="00D41C6D" w:rsidRPr="00B95A9D" w:rsidRDefault="00CB7418" w:rsidP="005A766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Cs w:val="20"/>
                <w:lang w:eastAsia="fr-FR" w:bidi="ar-SA"/>
              </w:rPr>
            </w:pPr>
            <w:r>
              <w:rPr>
                <w:rFonts w:asciiTheme="minorHAnsi" w:hAnsiTheme="minorHAnsi" w:cstheme="minorHAnsi"/>
                <w:b/>
                <w:bCs/>
                <w:szCs w:val="20"/>
                <w:lang w:eastAsia="fr-FR" w:bidi="ar-SA"/>
              </w:rPr>
              <w:t>Faible</w:t>
            </w:r>
          </w:p>
        </w:tc>
      </w:tr>
      <w:tr w:rsidR="00D41C6D" w:rsidRPr="00B95A9D" w14:paraId="28520A85" w14:textId="77777777" w:rsidTr="002979F2">
        <w:tc>
          <w:tcPr>
            <w:cnfStyle w:val="001000000000" w:firstRow="0" w:lastRow="0" w:firstColumn="1" w:lastColumn="0" w:oddVBand="0" w:evenVBand="0" w:oddHBand="0" w:evenHBand="0" w:firstRowFirstColumn="0" w:firstRowLastColumn="0" w:lastRowFirstColumn="0" w:lastRowLastColumn="0"/>
            <w:tcW w:w="0" w:type="auto"/>
            <w:vMerge/>
          </w:tcPr>
          <w:p w14:paraId="14C9EA3C" w14:textId="77777777" w:rsidR="00D41C6D" w:rsidRPr="00B95A9D" w:rsidRDefault="00D41C6D" w:rsidP="005A7661">
            <w:pPr>
              <w:rPr>
                <w:rFonts w:asciiTheme="minorHAnsi" w:hAnsiTheme="minorHAnsi" w:cstheme="minorHAnsi"/>
                <w:szCs w:val="20"/>
                <w:lang w:eastAsia="fr-FR" w:bidi="ar-SA"/>
              </w:rPr>
            </w:pPr>
          </w:p>
        </w:tc>
        <w:tc>
          <w:tcPr>
            <w:tcW w:w="7825" w:type="dxa"/>
            <w:gridSpan w:val="4"/>
          </w:tcPr>
          <w:p w14:paraId="212BCC87" w14:textId="77777777" w:rsidR="00D41C6D" w:rsidRPr="00B95A9D" w:rsidRDefault="00D41C6D" w:rsidP="005A7661">
            <w:pPr>
              <w:spacing w:before="0" w:after="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Cs w:val="20"/>
                <w:lang w:eastAsia="fr-FR" w:bidi="ar-SA"/>
              </w:rPr>
            </w:pPr>
          </w:p>
        </w:tc>
      </w:tr>
      <w:tr w:rsidR="002979F2" w:rsidRPr="00B95A9D" w14:paraId="3E39E7BC" w14:textId="77777777" w:rsidTr="002979F2">
        <w:tc>
          <w:tcPr>
            <w:cnfStyle w:val="001000000000" w:firstRow="0" w:lastRow="0" w:firstColumn="1" w:lastColumn="0" w:oddVBand="0" w:evenVBand="0" w:oddHBand="0" w:evenHBand="0" w:firstRowFirstColumn="0" w:firstRowLastColumn="0" w:lastRowFirstColumn="0" w:lastRowLastColumn="0"/>
            <w:tcW w:w="0" w:type="auto"/>
            <w:vMerge/>
          </w:tcPr>
          <w:p w14:paraId="6E6A61FC" w14:textId="77777777" w:rsidR="00D41C6D" w:rsidRPr="00B95A9D" w:rsidRDefault="00D41C6D" w:rsidP="005A7661">
            <w:pPr>
              <w:rPr>
                <w:rFonts w:asciiTheme="minorHAnsi" w:hAnsiTheme="minorHAnsi" w:cstheme="minorHAnsi"/>
                <w:szCs w:val="20"/>
                <w:lang w:eastAsia="fr-FR" w:bidi="ar-SA"/>
              </w:rPr>
            </w:pPr>
          </w:p>
        </w:tc>
        <w:tc>
          <w:tcPr>
            <w:tcW w:w="887" w:type="dxa"/>
            <w:shd w:val="clear" w:color="auto" w:fill="B4C6E7" w:themeFill="accent1" w:themeFillTint="66"/>
            <w:vAlign w:val="center"/>
          </w:tcPr>
          <w:p w14:paraId="023E004E" w14:textId="77777777" w:rsidR="00D41C6D" w:rsidRPr="00B95A9D" w:rsidRDefault="00D41C6D" w:rsidP="005A766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sidRPr="00B95A9D">
              <w:rPr>
                <w:rFonts w:asciiTheme="minorHAnsi" w:hAnsiTheme="minorHAnsi" w:cstheme="minorHAnsi"/>
                <w:b/>
                <w:bCs/>
                <w:szCs w:val="20"/>
              </w:rPr>
              <w:t>Intensité de l’impact</w:t>
            </w:r>
          </w:p>
        </w:tc>
        <w:tc>
          <w:tcPr>
            <w:tcW w:w="2479" w:type="dxa"/>
            <w:shd w:val="clear" w:color="auto" w:fill="B4C6E7" w:themeFill="accent1" w:themeFillTint="66"/>
            <w:vAlign w:val="center"/>
          </w:tcPr>
          <w:p w14:paraId="1F9E5846" w14:textId="77777777" w:rsidR="00D41C6D" w:rsidRPr="00B95A9D" w:rsidRDefault="00D41C6D" w:rsidP="005A766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Cs w:val="20"/>
                <w:lang w:eastAsia="fr-FR" w:bidi="ar-SA"/>
              </w:rPr>
            </w:pPr>
            <w:r w:rsidRPr="00B95A9D">
              <w:rPr>
                <w:rFonts w:asciiTheme="minorHAnsi" w:hAnsiTheme="minorHAnsi" w:cstheme="minorHAnsi"/>
                <w:b/>
                <w:bCs/>
                <w:szCs w:val="20"/>
              </w:rPr>
              <w:t>Récepteurs</w:t>
            </w:r>
          </w:p>
        </w:tc>
        <w:tc>
          <w:tcPr>
            <w:tcW w:w="2778" w:type="dxa"/>
            <w:shd w:val="clear" w:color="auto" w:fill="B4C6E7" w:themeFill="accent1" w:themeFillTint="66"/>
            <w:vAlign w:val="center"/>
          </w:tcPr>
          <w:p w14:paraId="18AD4828" w14:textId="77777777" w:rsidR="00D41C6D" w:rsidRPr="00B95A9D" w:rsidRDefault="00D41C6D" w:rsidP="005A766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sidRPr="00B95A9D">
              <w:rPr>
                <w:rFonts w:asciiTheme="minorHAnsi" w:hAnsiTheme="minorHAnsi" w:cstheme="minorHAnsi"/>
                <w:b/>
                <w:bCs/>
                <w:szCs w:val="20"/>
              </w:rPr>
              <w:t>Sensibilité</w:t>
            </w:r>
          </w:p>
        </w:tc>
        <w:tc>
          <w:tcPr>
            <w:tcW w:w="1681" w:type="dxa"/>
            <w:shd w:val="clear" w:color="auto" w:fill="B4C6E7" w:themeFill="accent1" w:themeFillTint="66"/>
            <w:vAlign w:val="center"/>
          </w:tcPr>
          <w:p w14:paraId="4AB5DF07" w14:textId="77777777" w:rsidR="00D41C6D" w:rsidRPr="00B95A9D" w:rsidRDefault="00D41C6D" w:rsidP="005A766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Cs w:val="20"/>
                <w:lang w:eastAsia="fr-FR" w:bidi="ar-SA"/>
              </w:rPr>
            </w:pPr>
            <w:r w:rsidRPr="00B95A9D">
              <w:rPr>
                <w:rFonts w:asciiTheme="minorHAnsi" w:hAnsiTheme="minorHAnsi" w:cstheme="minorHAnsi"/>
                <w:b/>
                <w:bCs/>
                <w:szCs w:val="20"/>
              </w:rPr>
              <w:t>Importance de l’impact</w:t>
            </w:r>
          </w:p>
        </w:tc>
      </w:tr>
      <w:tr w:rsidR="00D41C6D" w:rsidRPr="00B95A9D" w14:paraId="14AE67B8" w14:textId="77777777" w:rsidTr="002979F2">
        <w:tc>
          <w:tcPr>
            <w:cnfStyle w:val="001000000000" w:firstRow="0" w:lastRow="0" w:firstColumn="1" w:lastColumn="0" w:oddVBand="0" w:evenVBand="0" w:oddHBand="0" w:evenHBand="0" w:firstRowFirstColumn="0" w:firstRowLastColumn="0" w:lastRowFirstColumn="0" w:lastRowLastColumn="0"/>
            <w:tcW w:w="0" w:type="auto"/>
            <w:vMerge/>
          </w:tcPr>
          <w:p w14:paraId="4E7BE91E" w14:textId="77777777" w:rsidR="00D41C6D" w:rsidRPr="00B95A9D" w:rsidRDefault="00D41C6D" w:rsidP="005A7661">
            <w:pPr>
              <w:rPr>
                <w:rFonts w:asciiTheme="minorHAnsi" w:hAnsiTheme="minorHAnsi" w:cstheme="minorHAnsi"/>
                <w:szCs w:val="20"/>
                <w:lang w:eastAsia="fr-FR" w:bidi="ar-SA"/>
              </w:rPr>
            </w:pPr>
          </w:p>
        </w:tc>
        <w:tc>
          <w:tcPr>
            <w:tcW w:w="887" w:type="dxa"/>
            <w:vMerge w:val="restart"/>
            <w:vAlign w:val="center"/>
          </w:tcPr>
          <w:p w14:paraId="02AB0B3B" w14:textId="62B935AE" w:rsidR="00D41C6D" w:rsidRPr="00B95A9D" w:rsidRDefault="00BC4218" w:rsidP="005A766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Pr>
                <w:rFonts w:asciiTheme="minorHAnsi" w:hAnsiTheme="minorHAnsi" w:cstheme="minorHAnsi"/>
                <w:szCs w:val="20"/>
                <w:lang w:eastAsia="fr-FR" w:bidi="ar-SA"/>
              </w:rPr>
              <w:t>Faible</w:t>
            </w:r>
          </w:p>
        </w:tc>
        <w:tc>
          <w:tcPr>
            <w:tcW w:w="2479" w:type="dxa"/>
            <w:vAlign w:val="center"/>
          </w:tcPr>
          <w:p w14:paraId="76DA760D" w14:textId="15392445" w:rsidR="00D41C6D" w:rsidRPr="00B95A9D" w:rsidRDefault="005B553D" w:rsidP="005A766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Cs w:val="20"/>
                <w:lang w:eastAsia="fr-FR" w:bidi="ar-SA"/>
              </w:rPr>
            </w:pPr>
            <w:r w:rsidRPr="005B553D">
              <w:rPr>
                <w:rFonts w:asciiTheme="minorHAnsi" w:hAnsiTheme="minorHAnsi" w:cstheme="minorHAnsi"/>
                <w:b/>
                <w:bCs/>
                <w:szCs w:val="20"/>
                <w:lang w:eastAsia="fr-FR" w:bidi="ar-SA"/>
              </w:rPr>
              <w:t>Travailleurs</w:t>
            </w:r>
            <w:r>
              <w:rPr>
                <w:rFonts w:asciiTheme="minorHAnsi" w:hAnsiTheme="minorHAnsi" w:cstheme="minorHAnsi"/>
                <w:b/>
                <w:bCs/>
                <w:szCs w:val="20"/>
                <w:lang w:eastAsia="fr-FR" w:bidi="ar-SA"/>
              </w:rPr>
              <w:t xml:space="preserve"> du chantier</w:t>
            </w:r>
          </w:p>
        </w:tc>
        <w:tc>
          <w:tcPr>
            <w:tcW w:w="2778" w:type="dxa"/>
            <w:vAlign w:val="center"/>
          </w:tcPr>
          <w:p w14:paraId="35EFC397" w14:textId="026D1C7D" w:rsidR="00D41C6D" w:rsidRPr="00B95A9D" w:rsidRDefault="00CB7418" w:rsidP="005A766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Pr>
                <w:rFonts w:asciiTheme="minorHAnsi" w:hAnsiTheme="minorHAnsi" w:cstheme="minorHAnsi"/>
                <w:szCs w:val="20"/>
                <w:lang w:eastAsia="fr-FR" w:bidi="ar-SA"/>
              </w:rPr>
              <w:t>Moyenne</w:t>
            </w:r>
          </w:p>
        </w:tc>
        <w:tc>
          <w:tcPr>
            <w:tcW w:w="1681" w:type="dxa"/>
            <w:vAlign w:val="center"/>
          </w:tcPr>
          <w:p w14:paraId="4A2F53CB" w14:textId="675CE38E" w:rsidR="00D41C6D" w:rsidRPr="00B95A9D" w:rsidRDefault="00BC4218" w:rsidP="005A766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Cs w:val="20"/>
                <w:lang w:eastAsia="fr-FR" w:bidi="ar-SA"/>
              </w:rPr>
            </w:pPr>
            <w:r>
              <w:rPr>
                <w:rFonts w:asciiTheme="minorHAnsi" w:hAnsiTheme="minorHAnsi" w:cstheme="minorHAnsi"/>
                <w:b/>
                <w:bCs/>
                <w:szCs w:val="20"/>
                <w:lang w:eastAsia="fr-FR" w:bidi="ar-SA"/>
              </w:rPr>
              <w:t>Mineure</w:t>
            </w:r>
          </w:p>
        </w:tc>
      </w:tr>
      <w:tr w:rsidR="00D41C6D" w:rsidRPr="00B95A9D" w14:paraId="592FB549" w14:textId="77777777" w:rsidTr="002979F2">
        <w:tc>
          <w:tcPr>
            <w:cnfStyle w:val="001000000000" w:firstRow="0" w:lastRow="0" w:firstColumn="1" w:lastColumn="0" w:oddVBand="0" w:evenVBand="0" w:oddHBand="0" w:evenHBand="0" w:firstRowFirstColumn="0" w:firstRowLastColumn="0" w:lastRowFirstColumn="0" w:lastRowLastColumn="0"/>
            <w:tcW w:w="0" w:type="auto"/>
            <w:vMerge/>
          </w:tcPr>
          <w:p w14:paraId="01CDB093" w14:textId="77777777" w:rsidR="00D41C6D" w:rsidRPr="00B95A9D" w:rsidRDefault="00D41C6D" w:rsidP="005A7661">
            <w:pPr>
              <w:rPr>
                <w:rFonts w:asciiTheme="minorHAnsi" w:hAnsiTheme="minorHAnsi" w:cstheme="minorHAnsi"/>
                <w:szCs w:val="20"/>
                <w:lang w:eastAsia="fr-FR" w:bidi="ar-SA"/>
              </w:rPr>
            </w:pPr>
          </w:p>
        </w:tc>
        <w:tc>
          <w:tcPr>
            <w:tcW w:w="887" w:type="dxa"/>
            <w:vMerge/>
            <w:vAlign w:val="center"/>
          </w:tcPr>
          <w:p w14:paraId="4AFBA9C1" w14:textId="77777777" w:rsidR="00D41C6D" w:rsidRDefault="00D41C6D" w:rsidP="005A766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p>
        </w:tc>
        <w:tc>
          <w:tcPr>
            <w:tcW w:w="2479" w:type="dxa"/>
            <w:vAlign w:val="center"/>
          </w:tcPr>
          <w:p w14:paraId="33AC2D5A" w14:textId="31D220B3" w:rsidR="00D41C6D" w:rsidRPr="00B95A9D" w:rsidRDefault="005B553D" w:rsidP="005A766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Cs w:val="20"/>
                <w:lang w:eastAsia="fr-FR" w:bidi="ar-SA"/>
              </w:rPr>
            </w:pPr>
            <w:r w:rsidRPr="005B553D">
              <w:rPr>
                <w:rFonts w:asciiTheme="minorHAnsi" w:hAnsiTheme="minorHAnsi" w:cstheme="minorHAnsi"/>
                <w:b/>
                <w:bCs/>
                <w:szCs w:val="20"/>
                <w:lang w:eastAsia="fr-FR" w:bidi="ar-SA"/>
              </w:rPr>
              <w:t>Personnel administratif ou technique en visite</w:t>
            </w:r>
          </w:p>
        </w:tc>
        <w:tc>
          <w:tcPr>
            <w:tcW w:w="2778" w:type="dxa"/>
            <w:vAlign w:val="center"/>
          </w:tcPr>
          <w:p w14:paraId="6F54B72D" w14:textId="20053F23" w:rsidR="00D41C6D" w:rsidRPr="00B95A9D" w:rsidRDefault="005B553D" w:rsidP="005A766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Pr>
                <w:rFonts w:asciiTheme="minorHAnsi" w:hAnsiTheme="minorHAnsi" w:cstheme="minorHAnsi"/>
                <w:szCs w:val="20"/>
                <w:lang w:eastAsia="fr-FR" w:bidi="ar-SA"/>
              </w:rPr>
              <w:t>Faible</w:t>
            </w:r>
          </w:p>
        </w:tc>
        <w:tc>
          <w:tcPr>
            <w:tcW w:w="1681" w:type="dxa"/>
            <w:vAlign w:val="center"/>
          </w:tcPr>
          <w:p w14:paraId="20041F41" w14:textId="1F0009C6" w:rsidR="00D41C6D" w:rsidRPr="00B95A9D" w:rsidRDefault="00BC4218" w:rsidP="005A766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Cs w:val="20"/>
                <w:lang w:eastAsia="fr-FR" w:bidi="ar-SA"/>
              </w:rPr>
            </w:pPr>
            <w:r>
              <w:rPr>
                <w:rFonts w:asciiTheme="minorHAnsi" w:hAnsiTheme="minorHAnsi" w:cstheme="minorHAnsi"/>
                <w:b/>
                <w:bCs/>
                <w:szCs w:val="20"/>
                <w:lang w:eastAsia="fr-FR" w:bidi="ar-SA"/>
              </w:rPr>
              <w:t>Négligeable</w:t>
            </w:r>
          </w:p>
        </w:tc>
      </w:tr>
      <w:tr w:rsidR="00D41C6D" w:rsidRPr="00B95A9D" w14:paraId="390D50F7" w14:textId="77777777" w:rsidTr="002979F2">
        <w:tc>
          <w:tcPr>
            <w:cnfStyle w:val="001000000000" w:firstRow="0" w:lastRow="0" w:firstColumn="1" w:lastColumn="0" w:oddVBand="0" w:evenVBand="0" w:oddHBand="0" w:evenHBand="0" w:firstRowFirstColumn="0" w:firstRowLastColumn="0" w:lastRowFirstColumn="0" w:lastRowLastColumn="0"/>
            <w:tcW w:w="0" w:type="auto"/>
            <w:vMerge/>
          </w:tcPr>
          <w:p w14:paraId="164AA5F6" w14:textId="77777777" w:rsidR="00D41C6D" w:rsidRPr="00B95A9D" w:rsidRDefault="00D41C6D" w:rsidP="005A7661">
            <w:pPr>
              <w:rPr>
                <w:rFonts w:asciiTheme="minorHAnsi" w:hAnsiTheme="minorHAnsi" w:cstheme="minorHAnsi"/>
                <w:szCs w:val="20"/>
                <w:lang w:eastAsia="fr-FR" w:bidi="ar-SA"/>
              </w:rPr>
            </w:pPr>
          </w:p>
        </w:tc>
        <w:tc>
          <w:tcPr>
            <w:tcW w:w="887" w:type="dxa"/>
            <w:vMerge/>
            <w:vAlign w:val="center"/>
          </w:tcPr>
          <w:p w14:paraId="48CD8C2F" w14:textId="77777777" w:rsidR="00D41C6D" w:rsidRDefault="00D41C6D" w:rsidP="005A766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p>
        </w:tc>
        <w:tc>
          <w:tcPr>
            <w:tcW w:w="2479" w:type="dxa"/>
            <w:vAlign w:val="center"/>
          </w:tcPr>
          <w:p w14:paraId="1087BB4C" w14:textId="209A89C6" w:rsidR="00D41C6D" w:rsidRPr="00B95A9D" w:rsidRDefault="00BC4218" w:rsidP="005A766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Cs w:val="20"/>
                <w:lang w:eastAsia="fr-FR" w:bidi="ar-SA"/>
              </w:rPr>
            </w:pPr>
            <w:r w:rsidRPr="00BC4218">
              <w:rPr>
                <w:rFonts w:asciiTheme="minorHAnsi" w:hAnsiTheme="minorHAnsi" w:cstheme="minorHAnsi"/>
                <w:b/>
                <w:bCs/>
                <w:szCs w:val="20"/>
                <w:lang w:eastAsia="fr-FR" w:bidi="ar-SA"/>
              </w:rPr>
              <w:t>Milieu récepteur externe (zones naturelles périphériques à l’aéroport)</w:t>
            </w:r>
          </w:p>
        </w:tc>
        <w:tc>
          <w:tcPr>
            <w:tcW w:w="2778" w:type="dxa"/>
            <w:vAlign w:val="center"/>
          </w:tcPr>
          <w:p w14:paraId="42290C61" w14:textId="63D36DBD" w:rsidR="00D41C6D" w:rsidRPr="00B95A9D" w:rsidRDefault="00BC4218" w:rsidP="005A766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Pr>
                <w:rFonts w:asciiTheme="minorHAnsi" w:hAnsiTheme="minorHAnsi" w:cstheme="minorHAnsi"/>
                <w:szCs w:val="20"/>
                <w:lang w:eastAsia="fr-FR" w:bidi="ar-SA"/>
              </w:rPr>
              <w:t>Insignifiant</w:t>
            </w:r>
          </w:p>
        </w:tc>
        <w:tc>
          <w:tcPr>
            <w:tcW w:w="1681" w:type="dxa"/>
            <w:vAlign w:val="center"/>
          </w:tcPr>
          <w:p w14:paraId="3BCCC0CD" w14:textId="38D03E8A" w:rsidR="00D41C6D" w:rsidRPr="00B95A9D" w:rsidRDefault="00BC4218" w:rsidP="005A766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Cs w:val="20"/>
                <w:lang w:eastAsia="fr-FR" w:bidi="ar-SA"/>
              </w:rPr>
            </w:pPr>
            <w:r>
              <w:rPr>
                <w:rFonts w:asciiTheme="minorHAnsi" w:hAnsiTheme="minorHAnsi" w:cstheme="minorHAnsi"/>
                <w:b/>
                <w:bCs/>
                <w:szCs w:val="20"/>
                <w:lang w:eastAsia="fr-FR" w:bidi="ar-SA"/>
              </w:rPr>
              <w:t>Insignifiant</w:t>
            </w:r>
          </w:p>
        </w:tc>
      </w:tr>
    </w:tbl>
    <w:p w14:paraId="287F14FD" w14:textId="77777777" w:rsidR="000B6D2D" w:rsidRDefault="000B6D2D" w:rsidP="0001633E">
      <w:pPr>
        <w:pStyle w:val="AltTitle2"/>
        <w:numPr>
          <w:ilvl w:val="0"/>
          <w:numId w:val="106"/>
        </w:numPr>
      </w:pPr>
      <w:r w:rsidRPr="004637C7">
        <w:t>Risque de pollution accidentelle du sol et du réseau pluvial</w:t>
      </w:r>
    </w:p>
    <w:p w14:paraId="2E54ED3A" w14:textId="77777777" w:rsidR="000B6D2D" w:rsidRDefault="000B6D2D" w:rsidP="00D41C6D">
      <w:r>
        <w:t xml:space="preserve">Les manipulations d’huiles, carburants et solvants pour l’entretien des engins comportent un risque de fuite ou de déversement accidentel. Ces substances peuvent souiller localement le sol ou, en cas de ruissellement, atteindre le réseau pluvial. Le site étant partiellement imperméabilisé et faiblement incliné, la dispersion serait limitée. Les récepteurs sensibles sont les sols superficiels et, dans une moindre mesure, le réseau interne de drainage. La </w:t>
      </w:r>
      <w:r w:rsidRPr="004637C7">
        <w:t>probabilité est occasionnelle</w:t>
      </w:r>
      <w:r>
        <w:t xml:space="preserve">, la </w:t>
      </w:r>
      <w:r w:rsidRPr="004637C7">
        <w:t>gravité modérée</w:t>
      </w:r>
      <w:r>
        <w:t xml:space="preserve">, et le </w:t>
      </w:r>
      <w:r w:rsidRPr="004637C7">
        <w:t>niveau de risque est évalué comme modéré</w:t>
      </w:r>
      <w:r>
        <w:t>.</w:t>
      </w:r>
    </w:p>
    <w:tbl>
      <w:tblPr>
        <w:tblStyle w:val="TableauGrille1Clair-Accentuation111"/>
        <w:tblW w:w="0" w:type="auto"/>
        <w:tblLook w:val="04A0" w:firstRow="1" w:lastRow="0" w:firstColumn="1" w:lastColumn="0" w:noHBand="0" w:noVBand="1"/>
      </w:tblPr>
      <w:tblGrid>
        <w:gridCol w:w="773"/>
        <w:gridCol w:w="2553"/>
        <w:gridCol w:w="1484"/>
        <w:gridCol w:w="2906"/>
        <w:gridCol w:w="1344"/>
      </w:tblGrid>
      <w:tr w:rsidR="0019046C" w:rsidRPr="00B95A9D" w14:paraId="2D9F9844" w14:textId="77777777" w:rsidTr="005A766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49FDFB32" w14:textId="77777777" w:rsidR="00D41C6D" w:rsidRPr="00B95A9D" w:rsidRDefault="00D41C6D" w:rsidP="005A7661">
            <w:pPr>
              <w:rPr>
                <w:szCs w:val="20"/>
              </w:rPr>
            </w:pPr>
            <w:r w:rsidRPr="002C2301">
              <w:rPr>
                <w:rFonts w:eastAsiaTheme="majorEastAsia"/>
                <w:szCs w:val="20"/>
              </w:rPr>
              <w:t>Risque</w:t>
            </w:r>
          </w:p>
        </w:tc>
        <w:tc>
          <w:tcPr>
            <w:tcW w:w="0" w:type="auto"/>
          </w:tcPr>
          <w:p w14:paraId="2F9A8894" w14:textId="77777777" w:rsidR="00D41C6D" w:rsidRPr="00B95A9D" w:rsidRDefault="00D41C6D" w:rsidP="005A7661">
            <w:pPr>
              <w:cnfStyle w:val="100000000000" w:firstRow="1" w:lastRow="0" w:firstColumn="0" w:lastColumn="0" w:oddVBand="0" w:evenVBand="0" w:oddHBand="0" w:evenHBand="0" w:firstRowFirstColumn="0" w:firstRowLastColumn="0" w:lastRowFirstColumn="0" w:lastRowLastColumn="0"/>
              <w:rPr>
                <w:szCs w:val="20"/>
              </w:rPr>
            </w:pPr>
            <w:r w:rsidRPr="002C2301">
              <w:rPr>
                <w:rFonts w:eastAsiaTheme="majorEastAsia"/>
                <w:szCs w:val="20"/>
              </w:rPr>
              <w:t>Activités génératrices</w:t>
            </w:r>
          </w:p>
        </w:tc>
        <w:tc>
          <w:tcPr>
            <w:tcW w:w="0" w:type="auto"/>
          </w:tcPr>
          <w:p w14:paraId="56766051" w14:textId="77777777" w:rsidR="00D41C6D" w:rsidRPr="00B95A9D" w:rsidRDefault="00D41C6D" w:rsidP="005A7661">
            <w:pPr>
              <w:cnfStyle w:val="100000000000" w:firstRow="1" w:lastRow="0" w:firstColumn="0" w:lastColumn="0" w:oddVBand="0" w:evenVBand="0" w:oddHBand="0" w:evenHBand="0" w:firstRowFirstColumn="0" w:firstRowLastColumn="0" w:lastRowFirstColumn="0" w:lastRowLastColumn="0"/>
              <w:rPr>
                <w:szCs w:val="20"/>
              </w:rPr>
            </w:pPr>
            <w:r w:rsidRPr="002C2301">
              <w:rPr>
                <w:rFonts w:eastAsiaTheme="majorEastAsia"/>
                <w:szCs w:val="20"/>
              </w:rPr>
              <w:t>Critère</w:t>
            </w:r>
          </w:p>
        </w:tc>
        <w:tc>
          <w:tcPr>
            <w:tcW w:w="0" w:type="auto"/>
          </w:tcPr>
          <w:p w14:paraId="1659F95E" w14:textId="77777777" w:rsidR="00D41C6D" w:rsidRPr="00B95A9D" w:rsidRDefault="00D41C6D" w:rsidP="005A7661">
            <w:pPr>
              <w:cnfStyle w:val="100000000000" w:firstRow="1" w:lastRow="0" w:firstColumn="0" w:lastColumn="0" w:oddVBand="0" w:evenVBand="0" w:oddHBand="0" w:evenHBand="0" w:firstRowFirstColumn="0" w:firstRowLastColumn="0" w:lastRowFirstColumn="0" w:lastRowLastColumn="0"/>
              <w:rPr>
                <w:szCs w:val="20"/>
              </w:rPr>
            </w:pPr>
            <w:r w:rsidRPr="002C2301">
              <w:rPr>
                <w:rFonts w:eastAsiaTheme="majorEastAsia"/>
                <w:szCs w:val="20"/>
              </w:rPr>
              <w:t>Justification</w:t>
            </w:r>
          </w:p>
        </w:tc>
        <w:tc>
          <w:tcPr>
            <w:tcW w:w="0" w:type="auto"/>
          </w:tcPr>
          <w:p w14:paraId="14C03AE1" w14:textId="77777777" w:rsidR="00D41C6D" w:rsidRPr="00B95A9D" w:rsidRDefault="00D41C6D" w:rsidP="005A7661">
            <w:pPr>
              <w:cnfStyle w:val="100000000000" w:firstRow="1" w:lastRow="0" w:firstColumn="0" w:lastColumn="0" w:oddVBand="0" w:evenVBand="0" w:oddHBand="0" w:evenHBand="0" w:firstRowFirstColumn="0" w:firstRowLastColumn="0" w:lastRowFirstColumn="0" w:lastRowLastColumn="0"/>
              <w:rPr>
                <w:szCs w:val="20"/>
              </w:rPr>
            </w:pPr>
            <w:r w:rsidRPr="002C2301">
              <w:rPr>
                <w:rFonts w:eastAsiaTheme="majorEastAsia"/>
                <w:szCs w:val="20"/>
              </w:rPr>
              <w:t>Niveau</w:t>
            </w:r>
          </w:p>
        </w:tc>
      </w:tr>
      <w:tr w:rsidR="0019046C" w:rsidRPr="00B95A9D" w14:paraId="27F8EA61" w14:textId="77777777" w:rsidTr="00F64DA8">
        <w:tc>
          <w:tcPr>
            <w:cnfStyle w:val="001000000000" w:firstRow="0" w:lastRow="0" w:firstColumn="1" w:lastColumn="0" w:oddVBand="0" w:evenVBand="0" w:oddHBand="0" w:evenHBand="0" w:firstRowFirstColumn="0" w:firstRowLastColumn="0" w:lastRowFirstColumn="0" w:lastRowLastColumn="0"/>
            <w:tcW w:w="0" w:type="auto"/>
            <w:vMerge w:val="restart"/>
            <w:textDirection w:val="tbRl"/>
          </w:tcPr>
          <w:p w14:paraId="5EA129F7" w14:textId="3F5B597C" w:rsidR="00D41C6D" w:rsidRPr="00B95A9D" w:rsidRDefault="004D719D" w:rsidP="00F64DA8">
            <w:pPr>
              <w:ind w:left="113" w:right="113"/>
              <w:rPr>
                <w:szCs w:val="20"/>
              </w:rPr>
            </w:pPr>
            <w:r w:rsidRPr="004D719D">
              <w:rPr>
                <w:szCs w:val="20"/>
              </w:rPr>
              <w:t>Risque de pollution accidentelle du sol et du réseau pluvia</w:t>
            </w:r>
            <w:r>
              <w:rPr>
                <w:szCs w:val="20"/>
              </w:rPr>
              <w:t>l</w:t>
            </w:r>
          </w:p>
        </w:tc>
        <w:tc>
          <w:tcPr>
            <w:tcW w:w="0" w:type="auto"/>
            <w:vMerge w:val="restart"/>
          </w:tcPr>
          <w:p w14:paraId="67D3CA96" w14:textId="2844B588" w:rsidR="00D41C6D" w:rsidRPr="00B95A9D" w:rsidRDefault="00B86F6E" w:rsidP="005A7661">
            <w:pPr>
              <w:cnfStyle w:val="000000000000" w:firstRow="0" w:lastRow="0" w:firstColumn="0" w:lastColumn="0" w:oddVBand="0" w:evenVBand="0" w:oddHBand="0" w:evenHBand="0" w:firstRowFirstColumn="0" w:firstRowLastColumn="0" w:lastRowFirstColumn="0" w:lastRowLastColumn="0"/>
              <w:rPr>
                <w:szCs w:val="20"/>
              </w:rPr>
            </w:pPr>
            <w:r w:rsidRPr="00B86F6E">
              <w:rPr>
                <w:szCs w:val="20"/>
              </w:rPr>
              <w:t xml:space="preserve">Manipulation de carburants, huiles, solvants et produits chimiques pour la maintenance des engins. Fuites ou débordements possibles lors des </w:t>
            </w:r>
            <w:r w:rsidRPr="00B86F6E">
              <w:rPr>
                <w:szCs w:val="20"/>
              </w:rPr>
              <w:lastRenderedPageBreak/>
              <w:t>ravitaillements ou du nettoyage.</w:t>
            </w:r>
          </w:p>
        </w:tc>
        <w:tc>
          <w:tcPr>
            <w:tcW w:w="0" w:type="auto"/>
            <w:hideMark/>
          </w:tcPr>
          <w:p w14:paraId="430FBEE0" w14:textId="77777777" w:rsidR="00D41C6D" w:rsidRPr="00B95A9D" w:rsidRDefault="00D41C6D" w:rsidP="005A7661">
            <w:pPr>
              <w:cnfStyle w:val="000000000000" w:firstRow="0" w:lastRow="0" w:firstColumn="0" w:lastColumn="0" w:oddVBand="0" w:evenVBand="0" w:oddHBand="0" w:evenHBand="0" w:firstRowFirstColumn="0" w:firstRowLastColumn="0" w:lastRowFirstColumn="0" w:lastRowLastColumn="0"/>
              <w:rPr>
                <w:szCs w:val="20"/>
              </w:rPr>
            </w:pPr>
            <w:r w:rsidRPr="00B95A9D">
              <w:rPr>
                <w:rFonts w:eastAsiaTheme="majorEastAsia"/>
                <w:b/>
                <w:bCs/>
                <w:szCs w:val="20"/>
              </w:rPr>
              <w:lastRenderedPageBreak/>
              <w:t>Probabilité d’occurrence</w:t>
            </w:r>
          </w:p>
        </w:tc>
        <w:tc>
          <w:tcPr>
            <w:tcW w:w="0" w:type="auto"/>
          </w:tcPr>
          <w:p w14:paraId="4E1A5DCF" w14:textId="33F57442" w:rsidR="00D41C6D" w:rsidRPr="00B95A9D" w:rsidRDefault="0019046C" w:rsidP="005A7661">
            <w:pPr>
              <w:cnfStyle w:val="000000000000" w:firstRow="0" w:lastRow="0" w:firstColumn="0" w:lastColumn="0" w:oddVBand="0" w:evenVBand="0" w:oddHBand="0" w:evenHBand="0" w:firstRowFirstColumn="0" w:firstRowLastColumn="0" w:lastRowFirstColumn="0" w:lastRowLastColumn="0"/>
              <w:rPr>
                <w:szCs w:val="20"/>
              </w:rPr>
            </w:pPr>
            <w:r>
              <w:rPr>
                <w:szCs w:val="20"/>
              </w:rPr>
              <w:t>D</w:t>
            </w:r>
            <w:r w:rsidRPr="0019046C">
              <w:rPr>
                <w:szCs w:val="20"/>
              </w:rPr>
              <w:t xml:space="preserve">es incidents peuvent se produire en cas de négligence, de défaillance ponctuelle du matériel ou d’erreur de manipulation, bien que les procédures de confinement et </w:t>
            </w:r>
            <w:r w:rsidRPr="0019046C">
              <w:rPr>
                <w:szCs w:val="20"/>
              </w:rPr>
              <w:lastRenderedPageBreak/>
              <w:t>les bacs de rétention soient prévus par l’EPC.</w:t>
            </w:r>
          </w:p>
        </w:tc>
        <w:tc>
          <w:tcPr>
            <w:tcW w:w="0" w:type="auto"/>
          </w:tcPr>
          <w:p w14:paraId="648D9E25" w14:textId="211849B5" w:rsidR="00D41C6D" w:rsidRPr="00B95A9D" w:rsidRDefault="0019046C" w:rsidP="005A7661">
            <w:pPr>
              <w:cnfStyle w:val="000000000000" w:firstRow="0" w:lastRow="0" w:firstColumn="0" w:lastColumn="0" w:oddVBand="0" w:evenVBand="0" w:oddHBand="0" w:evenHBand="0" w:firstRowFirstColumn="0" w:firstRowLastColumn="0" w:lastRowFirstColumn="0" w:lastRowLastColumn="0"/>
              <w:rPr>
                <w:szCs w:val="20"/>
              </w:rPr>
            </w:pPr>
            <w:r>
              <w:rPr>
                <w:szCs w:val="20"/>
              </w:rPr>
              <w:lastRenderedPageBreak/>
              <w:t>Occasionnelle</w:t>
            </w:r>
          </w:p>
        </w:tc>
      </w:tr>
      <w:tr w:rsidR="0019046C" w:rsidRPr="00B95A9D" w14:paraId="3B54E261" w14:textId="77777777" w:rsidTr="005A7661">
        <w:tc>
          <w:tcPr>
            <w:cnfStyle w:val="001000000000" w:firstRow="0" w:lastRow="0" w:firstColumn="1" w:lastColumn="0" w:oddVBand="0" w:evenVBand="0" w:oddHBand="0" w:evenHBand="0" w:firstRowFirstColumn="0" w:firstRowLastColumn="0" w:lastRowFirstColumn="0" w:lastRowLastColumn="0"/>
            <w:tcW w:w="0" w:type="auto"/>
            <w:vMerge/>
          </w:tcPr>
          <w:p w14:paraId="13444529" w14:textId="77777777" w:rsidR="00D41C6D" w:rsidRPr="00B95A9D" w:rsidRDefault="00D41C6D" w:rsidP="005A7661">
            <w:pPr>
              <w:rPr>
                <w:szCs w:val="20"/>
              </w:rPr>
            </w:pPr>
          </w:p>
        </w:tc>
        <w:tc>
          <w:tcPr>
            <w:tcW w:w="0" w:type="auto"/>
            <w:vMerge/>
          </w:tcPr>
          <w:p w14:paraId="3D1DF908" w14:textId="77777777" w:rsidR="00D41C6D" w:rsidRPr="00B95A9D" w:rsidRDefault="00D41C6D" w:rsidP="005A7661">
            <w:pPr>
              <w:cnfStyle w:val="000000000000" w:firstRow="0" w:lastRow="0" w:firstColumn="0" w:lastColumn="0" w:oddVBand="0" w:evenVBand="0" w:oddHBand="0" w:evenHBand="0" w:firstRowFirstColumn="0" w:firstRowLastColumn="0" w:lastRowFirstColumn="0" w:lastRowLastColumn="0"/>
              <w:rPr>
                <w:szCs w:val="20"/>
              </w:rPr>
            </w:pPr>
          </w:p>
        </w:tc>
        <w:tc>
          <w:tcPr>
            <w:tcW w:w="0" w:type="auto"/>
            <w:hideMark/>
          </w:tcPr>
          <w:p w14:paraId="41E77828" w14:textId="77777777" w:rsidR="00D41C6D" w:rsidRPr="00B95A9D" w:rsidRDefault="00D41C6D" w:rsidP="005A7661">
            <w:pPr>
              <w:cnfStyle w:val="000000000000" w:firstRow="0" w:lastRow="0" w:firstColumn="0" w:lastColumn="0" w:oddVBand="0" w:evenVBand="0" w:oddHBand="0" w:evenHBand="0" w:firstRowFirstColumn="0" w:firstRowLastColumn="0" w:lastRowFirstColumn="0" w:lastRowLastColumn="0"/>
              <w:rPr>
                <w:szCs w:val="20"/>
              </w:rPr>
            </w:pPr>
            <w:r w:rsidRPr="00B95A9D">
              <w:rPr>
                <w:rFonts w:eastAsiaTheme="majorEastAsia"/>
                <w:b/>
                <w:bCs/>
                <w:szCs w:val="20"/>
              </w:rPr>
              <w:t>Gravité des conséquences</w:t>
            </w:r>
          </w:p>
        </w:tc>
        <w:tc>
          <w:tcPr>
            <w:tcW w:w="0" w:type="auto"/>
          </w:tcPr>
          <w:p w14:paraId="67F95E9C" w14:textId="134C1EE7" w:rsidR="00D41C6D" w:rsidRPr="00B95A9D" w:rsidRDefault="0019046C" w:rsidP="005A7661">
            <w:pPr>
              <w:cnfStyle w:val="000000000000" w:firstRow="0" w:lastRow="0" w:firstColumn="0" w:lastColumn="0" w:oddVBand="0" w:evenVBand="0" w:oddHBand="0" w:evenHBand="0" w:firstRowFirstColumn="0" w:firstRowLastColumn="0" w:lastRowFirstColumn="0" w:lastRowLastColumn="0"/>
              <w:rPr>
                <w:szCs w:val="20"/>
              </w:rPr>
            </w:pPr>
            <w:r>
              <w:rPr>
                <w:szCs w:val="20"/>
              </w:rPr>
              <w:t>P</w:t>
            </w:r>
            <w:r w:rsidRPr="0019046C">
              <w:rPr>
                <w:szCs w:val="20"/>
              </w:rPr>
              <w:t>ollution localisée, limitée à la zone d’intervention. Les effets sont temporaires et maîtrisables par nettoyage, pompage ou retrait du sol contaminé.</w:t>
            </w:r>
          </w:p>
        </w:tc>
        <w:tc>
          <w:tcPr>
            <w:tcW w:w="0" w:type="auto"/>
          </w:tcPr>
          <w:p w14:paraId="64AF7CD5" w14:textId="4C3A866F" w:rsidR="00D41C6D" w:rsidRPr="00B95A9D" w:rsidRDefault="0019046C" w:rsidP="005A7661">
            <w:pPr>
              <w:cnfStyle w:val="000000000000" w:firstRow="0" w:lastRow="0" w:firstColumn="0" w:lastColumn="0" w:oddVBand="0" w:evenVBand="0" w:oddHBand="0" w:evenHBand="0" w:firstRowFirstColumn="0" w:firstRowLastColumn="0" w:lastRowFirstColumn="0" w:lastRowLastColumn="0"/>
              <w:rPr>
                <w:szCs w:val="20"/>
              </w:rPr>
            </w:pPr>
            <w:r>
              <w:rPr>
                <w:szCs w:val="20"/>
              </w:rPr>
              <w:t>Modérée</w:t>
            </w:r>
          </w:p>
        </w:tc>
      </w:tr>
      <w:tr w:rsidR="0019046C" w:rsidRPr="00B95A9D" w14:paraId="4CC0DA16" w14:textId="77777777" w:rsidTr="005A7661">
        <w:tc>
          <w:tcPr>
            <w:cnfStyle w:val="001000000000" w:firstRow="0" w:lastRow="0" w:firstColumn="1" w:lastColumn="0" w:oddVBand="0" w:evenVBand="0" w:oddHBand="0" w:evenHBand="0" w:firstRowFirstColumn="0" w:firstRowLastColumn="0" w:lastRowFirstColumn="0" w:lastRowLastColumn="0"/>
            <w:tcW w:w="0" w:type="auto"/>
            <w:vMerge/>
          </w:tcPr>
          <w:p w14:paraId="427D6566" w14:textId="77777777" w:rsidR="00D41C6D" w:rsidRPr="00B95A9D" w:rsidRDefault="00D41C6D" w:rsidP="005A7661">
            <w:pPr>
              <w:rPr>
                <w:szCs w:val="20"/>
              </w:rPr>
            </w:pPr>
          </w:p>
        </w:tc>
        <w:tc>
          <w:tcPr>
            <w:tcW w:w="0" w:type="auto"/>
            <w:vMerge/>
          </w:tcPr>
          <w:p w14:paraId="5FA7E2CE" w14:textId="77777777" w:rsidR="00D41C6D" w:rsidRPr="00B95A9D" w:rsidRDefault="00D41C6D" w:rsidP="005A7661">
            <w:pPr>
              <w:cnfStyle w:val="000000000000" w:firstRow="0" w:lastRow="0" w:firstColumn="0" w:lastColumn="0" w:oddVBand="0" w:evenVBand="0" w:oddHBand="0" w:evenHBand="0" w:firstRowFirstColumn="0" w:firstRowLastColumn="0" w:lastRowFirstColumn="0" w:lastRowLastColumn="0"/>
              <w:rPr>
                <w:szCs w:val="20"/>
              </w:rPr>
            </w:pPr>
          </w:p>
        </w:tc>
        <w:tc>
          <w:tcPr>
            <w:tcW w:w="0" w:type="auto"/>
            <w:hideMark/>
          </w:tcPr>
          <w:p w14:paraId="46B4D021" w14:textId="77777777" w:rsidR="00D41C6D" w:rsidRPr="00B95A9D" w:rsidRDefault="00D41C6D" w:rsidP="005A7661">
            <w:pPr>
              <w:cnfStyle w:val="000000000000" w:firstRow="0" w:lastRow="0" w:firstColumn="0" w:lastColumn="0" w:oddVBand="0" w:evenVBand="0" w:oddHBand="0" w:evenHBand="0" w:firstRowFirstColumn="0" w:firstRowLastColumn="0" w:lastRowFirstColumn="0" w:lastRowLastColumn="0"/>
              <w:rPr>
                <w:szCs w:val="20"/>
              </w:rPr>
            </w:pPr>
            <w:r w:rsidRPr="00B95A9D">
              <w:rPr>
                <w:rFonts w:eastAsiaTheme="majorEastAsia"/>
                <w:b/>
                <w:bCs/>
                <w:szCs w:val="20"/>
              </w:rPr>
              <w:t>Évaluation globale du risque</w:t>
            </w:r>
          </w:p>
        </w:tc>
        <w:tc>
          <w:tcPr>
            <w:tcW w:w="0" w:type="auto"/>
          </w:tcPr>
          <w:p w14:paraId="21A14CEB" w14:textId="1904D1B2" w:rsidR="00D41C6D" w:rsidRPr="00B95A9D" w:rsidRDefault="00292657" w:rsidP="005A7661">
            <w:pPr>
              <w:cnfStyle w:val="000000000000" w:firstRow="0" w:lastRow="0" w:firstColumn="0" w:lastColumn="0" w:oddVBand="0" w:evenVBand="0" w:oddHBand="0" w:evenHBand="0" w:firstRowFirstColumn="0" w:firstRowLastColumn="0" w:lastRowFirstColumn="0" w:lastRowLastColumn="0"/>
              <w:rPr>
                <w:szCs w:val="20"/>
              </w:rPr>
            </w:pPr>
            <w:r w:rsidRPr="00292657">
              <w:rPr>
                <w:szCs w:val="20"/>
              </w:rPr>
              <w:t xml:space="preserve">La probabilité occasionnelle associée à des conséquences modérées conduit à un </w:t>
            </w:r>
            <w:r w:rsidRPr="004637C7">
              <w:rPr>
                <w:szCs w:val="20"/>
              </w:rPr>
              <w:t>risque modéré</w:t>
            </w:r>
            <w:r w:rsidRPr="00292657">
              <w:rPr>
                <w:szCs w:val="20"/>
              </w:rPr>
              <w:t>. Ce risque demeure maîtrisable sous réserve du respect strict des procédures HSE et de la disponibilité des kits anti-déversement.</w:t>
            </w:r>
          </w:p>
        </w:tc>
        <w:tc>
          <w:tcPr>
            <w:tcW w:w="0" w:type="auto"/>
          </w:tcPr>
          <w:p w14:paraId="44109F6C" w14:textId="33C9500D" w:rsidR="00D41C6D" w:rsidRPr="00B95A9D" w:rsidRDefault="00292657" w:rsidP="005A7661">
            <w:pPr>
              <w:cnfStyle w:val="000000000000" w:firstRow="0" w:lastRow="0" w:firstColumn="0" w:lastColumn="0" w:oddVBand="0" w:evenVBand="0" w:oddHBand="0" w:evenHBand="0" w:firstRowFirstColumn="0" w:firstRowLastColumn="0" w:lastRowFirstColumn="0" w:lastRowLastColumn="0"/>
              <w:rPr>
                <w:szCs w:val="20"/>
              </w:rPr>
            </w:pPr>
            <w:r>
              <w:rPr>
                <w:szCs w:val="20"/>
              </w:rPr>
              <w:t>Modérée</w:t>
            </w:r>
          </w:p>
        </w:tc>
      </w:tr>
    </w:tbl>
    <w:p w14:paraId="0831F555" w14:textId="77777777" w:rsidR="000B6D2D" w:rsidRDefault="000B6D2D" w:rsidP="0001633E">
      <w:pPr>
        <w:pStyle w:val="AltTitle2"/>
        <w:numPr>
          <w:ilvl w:val="0"/>
          <w:numId w:val="106"/>
        </w:numPr>
      </w:pPr>
      <w:r w:rsidRPr="004637C7">
        <w:t>Risque de contamination croisée entre déchets dangereux et non dangereux</w:t>
      </w:r>
    </w:p>
    <w:p w14:paraId="7F9D7A91" w14:textId="77777777" w:rsidR="000B6D2D" w:rsidRDefault="000B6D2D" w:rsidP="00D41C6D">
      <w:r>
        <w:t xml:space="preserve">Un tri inadéquat peut entraîner le mélange de déchets dangereux (filtres, huiles) avec des déchets banals (bois, ferraille), rendant le recyclage impossible et créant une contamination ponctuelle. Ce risque dépend principalement de la rigueur du tri initial. La </w:t>
      </w:r>
      <w:r w:rsidRPr="004637C7">
        <w:t>probabilité est faible</w:t>
      </w:r>
      <w:r>
        <w:t xml:space="preserve">, la </w:t>
      </w:r>
      <w:r w:rsidRPr="004637C7">
        <w:t>gravité mineure</w:t>
      </w:r>
      <w:r>
        <w:t xml:space="preserve">, et le </w:t>
      </w:r>
      <w:r w:rsidRPr="004637C7">
        <w:t>niveau de risque est faible</w:t>
      </w:r>
      <w:r>
        <w:t>.</w:t>
      </w:r>
    </w:p>
    <w:tbl>
      <w:tblPr>
        <w:tblStyle w:val="TableauGrille1Clair-Accentuation111"/>
        <w:tblW w:w="0" w:type="auto"/>
        <w:tblLook w:val="04A0" w:firstRow="1" w:lastRow="0" w:firstColumn="1" w:lastColumn="0" w:noHBand="0" w:noVBand="1"/>
      </w:tblPr>
      <w:tblGrid>
        <w:gridCol w:w="773"/>
        <w:gridCol w:w="2667"/>
        <w:gridCol w:w="1503"/>
        <w:gridCol w:w="3205"/>
        <w:gridCol w:w="912"/>
      </w:tblGrid>
      <w:tr w:rsidR="00D41C6D" w:rsidRPr="00B95A9D" w14:paraId="43AC3CF5" w14:textId="77777777" w:rsidTr="005A766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6D17C313" w14:textId="77777777" w:rsidR="00D41C6D" w:rsidRPr="00B95A9D" w:rsidRDefault="00D41C6D" w:rsidP="005A7661">
            <w:pPr>
              <w:rPr>
                <w:szCs w:val="20"/>
              </w:rPr>
            </w:pPr>
            <w:r w:rsidRPr="002C2301">
              <w:rPr>
                <w:rFonts w:eastAsiaTheme="majorEastAsia"/>
                <w:szCs w:val="20"/>
              </w:rPr>
              <w:t>Risque</w:t>
            </w:r>
          </w:p>
        </w:tc>
        <w:tc>
          <w:tcPr>
            <w:tcW w:w="0" w:type="auto"/>
          </w:tcPr>
          <w:p w14:paraId="43A3A457" w14:textId="77777777" w:rsidR="00D41C6D" w:rsidRPr="00B95A9D" w:rsidRDefault="00D41C6D" w:rsidP="005A7661">
            <w:pPr>
              <w:cnfStyle w:val="100000000000" w:firstRow="1" w:lastRow="0" w:firstColumn="0" w:lastColumn="0" w:oddVBand="0" w:evenVBand="0" w:oddHBand="0" w:evenHBand="0" w:firstRowFirstColumn="0" w:firstRowLastColumn="0" w:lastRowFirstColumn="0" w:lastRowLastColumn="0"/>
              <w:rPr>
                <w:szCs w:val="20"/>
              </w:rPr>
            </w:pPr>
            <w:r w:rsidRPr="002C2301">
              <w:rPr>
                <w:rFonts w:eastAsiaTheme="majorEastAsia"/>
                <w:szCs w:val="20"/>
              </w:rPr>
              <w:t>Activités génératrices</w:t>
            </w:r>
          </w:p>
        </w:tc>
        <w:tc>
          <w:tcPr>
            <w:tcW w:w="0" w:type="auto"/>
          </w:tcPr>
          <w:p w14:paraId="77E481EE" w14:textId="77777777" w:rsidR="00D41C6D" w:rsidRPr="00B95A9D" w:rsidRDefault="00D41C6D" w:rsidP="005A7661">
            <w:pPr>
              <w:cnfStyle w:val="100000000000" w:firstRow="1" w:lastRow="0" w:firstColumn="0" w:lastColumn="0" w:oddVBand="0" w:evenVBand="0" w:oddHBand="0" w:evenHBand="0" w:firstRowFirstColumn="0" w:firstRowLastColumn="0" w:lastRowFirstColumn="0" w:lastRowLastColumn="0"/>
              <w:rPr>
                <w:szCs w:val="20"/>
              </w:rPr>
            </w:pPr>
            <w:r w:rsidRPr="002C2301">
              <w:rPr>
                <w:rFonts w:eastAsiaTheme="majorEastAsia"/>
                <w:szCs w:val="20"/>
              </w:rPr>
              <w:t>Critère</w:t>
            </w:r>
          </w:p>
        </w:tc>
        <w:tc>
          <w:tcPr>
            <w:tcW w:w="0" w:type="auto"/>
          </w:tcPr>
          <w:p w14:paraId="14598FFC" w14:textId="77777777" w:rsidR="00D41C6D" w:rsidRPr="00B95A9D" w:rsidRDefault="00D41C6D" w:rsidP="005A7661">
            <w:pPr>
              <w:cnfStyle w:val="100000000000" w:firstRow="1" w:lastRow="0" w:firstColumn="0" w:lastColumn="0" w:oddVBand="0" w:evenVBand="0" w:oddHBand="0" w:evenHBand="0" w:firstRowFirstColumn="0" w:firstRowLastColumn="0" w:lastRowFirstColumn="0" w:lastRowLastColumn="0"/>
              <w:rPr>
                <w:szCs w:val="20"/>
              </w:rPr>
            </w:pPr>
            <w:r w:rsidRPr="002C2301">
              <w:rPr>
                <w:rFonts w:eastAsiaTheme="majorEastAsia"/>
                <w:szCs w:val="20"/>
              </w:rPr>
              <w:t>Justification</w:t>
            </w:r>
          </w:p>
        </w:tc>
        <w:tc>
          <w:tcPr>
            <w:tcW w:w="0" w:type="auto"/>
          </w:tcPr>
          <w:p w14:paraId="4AF56839" w14:textId="77777777" w:rsidR="00D41C6D" w:rsidRPr="00B95A9D" w:rsidRDefault="00D41C6D" w:rsidP="005A7661">
            <w:pPr>
              <w:cnfStyle w:val="100000000000" w:firstRow="1" w:lastRow="0" w:firstColumn="0" w:lastColumn="0" w:oddVBand="0" w:evenVBand="0" w:oddHBand="0" w:evenHBand="0" w:firstRowFirstColumn="0" w:firstRowLastColumn="0" w:lastRowFirstColumn="0" w:lastRowLastColumn="0"/>
              <w:rPr>
                <w:szCs w:val="20"/>
              </w:rPr>
            </w:pPr>
            <w:r w:rsidRPr="002C2301">
              <w:rPr>
                <w:rFonts w:eastAsiaTheme="majorEastAsia"/>
                <w:szCs w:val="20"/>
              </w:rPr>
              <w:t>Niveau</w:t>
            </w:r>
          </w:p>
        </w:tc>
      </w:tr>
      <w:tr w:rsidR="00D41C6D" w:rsidRPr="00B95A9D" w14:paraId="2B5183BF" w14:textId="77777777" w:rsidTr="00F64DA8">
        <w:tc>
          <w:tcPr>
            <w:cnfStyle w:val="001000000000" w:firstRow="0" w:lastRow="0" w:firstColumn="1" w:lastColumn="0" w:oddVBand="0" w:evenVBand="0" w:oddHBand="0" w:evenHBand="0" w:firstRowFirstColumn="0" w:firstRowLastColumn="0" w:lastRowFirstColumn="0" w:lastRowLastColumn="0"/>
            <w:tcW w:w="0" w:type="auto"/>
            <w:vMerge w:val="restart"/>
            <w:textDirection w:val="tbRl"/>
            <w:vAlign w:val="center"/>
          </w:tcPr>
          <w:p w14:paraId="41AB4C36" w14:textId="5E11CC30" w:rsidR="00D41C6D" w:rsidRPr="00B95A9D" w:rsidRDefault="004D719D" w:rsidP="00F64DA8">
            <w:pPr>
              <w:ind w:left="113" w:right="113"/>
              <w:jc w:val="center"/>
              <w:rPr>
                <w:szCs w:val="20"/>
              </w:rPr>
            </w:pPr>
            <w:r w:rsidRPr="004D719D">
              <w:rPr>
                <w:szCs w:val="20"/>
              </w:rPr>
              <w:t>Risque de contamination croisée entre déchets dangereux et non dangereux</w:t>
            </w:r>
          </w:p>
        </w:tc>
        <w:tc>
          <w:tcPr>
            <w:tcW w:w="0" w:type="auto"/>
            <w:vMerge w:val="restart"/>
          </w:tcPr>
          <w:p w14:paraId="639778D9" w14:textId="65C77754" w:rsidR="00D41C6D" w:rsidRPr="00B95A9D" w:rsidRDefault="004D719D" w:rsidP="005A7661">
            <w:pPr>
              <w:cnfStyle w:val="000000000000" w:firstRow="0" w:lastRow="0" w:firstColumn="0" w:lastColumn="0" w:oddVBand="0" w:evenVBand="0" w:oddHBand="0" w:evenHBand="0" w:firstRowFirstColumn="0" w:firstRowLastColumn="0" w:lastRowFirstColumn="0" w:lastRowLastColumn="0"/>
              <w:rPr>
                <w:szCs w:val="20"/>
              </w:rPr>
            </w:pPr>
            <w:r w:rsidRPr="004D719D">
              <w:rPr>
                <w:szCs w:val="20"/>
              </w:rPr>
              <w:t>Tri inadéquat des flux de déchets (mélange d’huiles, filtres contaminés et matériaux recyclables), entraînant une contamination ponctuelle et une perte de valorisation.</w:t>
            </w:r>
          </w:p>
        </w:tc>
        <w:tc>
          <w:tcPr>
            <w:tcW w:w="0" w:type="auto"/>
            <w:hideMark/>
          </w:tcPr>
          <w:p w14:paraId="450416BE" w14:textId="77777777" w:rsidR="00D41C6D" w:rsidRPr="00B95A9D" w:rsidRDefault="00D41C6D" w:rsidP="005A7661">
            <w:pPr>
              <w:cnfStyle w:val="000000000000" w:firstRow="0" w:lastRow="0" w:firstColumn="0" w:lastColumn="0" w:oddVBand="0" w:evenVBand="0" w:oddHBand="0" w:evenHBand="0" w:firstRowFirstColumn="0" w:firstRowLastColumn="0" w:lastRowFirstColumn="0" w:lastRowLastColumn="0"/>
              <w:rPr>
                <w:szCs w:val="20"/>
              </w:rPr>
            </w:pPr>
            <w:r w:rsidRPr="00B95A9D">
              <w:rPr>
                <w:rFonts w:eastAsiaTheme="majorEastAsia"/>
                <w:b/>
                <w:bCs/>
                <w:szCs w:val="20"/>
              </w:rPr>
              <w:t>Probabilité d’occurrence</w:t>
            </w:r>
          </w:p>
        </w:tc>
        <w:tc>
          <w:tcPr>
            <w:tcW w:w="0" w:type="auto"/>
          </w:tcPr>
          <w:p w14:paraId="48E93ECE" w14:textId="668AD702" w:rsidR="00D41C6D" w:rsidRPr="00B95A9D" w:rsidRDefault="005E604A" w:rsidP="005A7661">
            <w:pPr>
              <w:cnfStyle w:val="000000000000" w:firstRow="0" w:lastRow="0" w:firstColumn="0" w:lastColumn="0" w:oddVBand="0" w:evenVBand="0" w:oddHBand="0" w:evenHBand="0" w:firstRowFirstColumn="0" w:firstRowLastColumn="0" w:lastRowFirstColumn="0" w:lastRowLastColumn="0"/>
              <w:rPr>
                <w:szCs w:val="20"/>
              </w:rPr>
            </w:pPr>
            <w:r>
              <w:rPr>
                <w:szCs w:val="20"/>
              </w:rPr>
              <w:t>L</w:t>
            </w:r>
            <w:r w:rsidRPr="005E604A">
              <w:rPr>
                <w:szCs w:val="20"/>
              </w:rPr>
              <w:t>es flux de déchets sont normalement séparés à la source, identifiés et stockés dans des conteneurs distincts. Cependant, une erreur humaine ou un tri insuffisant peut se produire ponctuellement.</w:t>
            </w:r>
          </w:p>
        </w:tc>
        <w:tc>
          <w:tcPr>
            <w:tcW w:w="0" w:type="auto"/>
          </w:tcPr>
          <w:p w14:paraId="371B3F20" w14:textId="166E25B6" w:rsidR="00D41C6D" w:rsidRPr="00B95A9D" w:rsidRDefault="005E604A" w:rsidP="005A7661">
            <w:pPr>
              <w:cnfStyle w:val="000000000000" w:firstRow="0" w:lastRow="0" w:firstColumn="0" w:lastColumn="0" w:oddVBand="0" w:evenVBand="0" w:oddHBand="0" w:evenHBand="0" w:firstRowFirstColumn="0" w:firstRowLastColumn="0" w:lastRowFirstColumn="0" w:lastRowLastColumn="0"/>
              <w:rPr>
                <w:szCs w:val="20"/>
              </w:rPr>
            </w:pPr>
            <w:r>
              <w:rPr>
                <w:szCs w:val="20"/>
              </w:rPr>
              <w:t>Rare</w:t>
            </w:r>
          </w:p>
        </w:tc>
      </w:tr>
      <w:tr w:rsidR="00D41C6D" w:rsidRPr="00B95A9D" w14:paraId="1BFA628B" w14:textId="77777777" w:rsidTr="005A7661">
        <w:tc>
          <w:tcPr>
            <w:cnfStyle w:val="001000000000" w:firstRow="0" w:lastRow="0" w:firstColumn="1" w:lastColumn="0" w:oddVBand="0" w:evenVBand="0" w:oddHBand="0" w:evenHBand="0" w:firstRowFirstColumn="0" w:firstRowLastColumn="0" w:lastRowFirstColumn="0" w:lastRowLastColumn="0"/>
            <w:tcW w:w="0" w:type="auto"/>
            <w:vMerge/>
          </w:tcPr>
          <w:p w14:paraId="7137F70C" w14:textId="77777777" w:rsidR="00D41C6D" w:rsidRPr="00B95A9D" w:rsidRDefault="00D41C6D" w:rsidP="005A7661">
            <w:pPr>
              <w:rPr>
                <w:szCs w:val="20"/>
              </w:rPr>
            </w:pPr>
          </w:p>
        </w:tc>
        <w:tc>
          <w:tcPr>
            <w:tcW w:w="0" w:type="auto"/>
            <w:vMerge/>
          </w:tcPr>
          <w:p w14:paraId="0B0D7E33" w14:textId="77777777" w:rsidR="00D41C6D" w:rsidRPr="00B95A9D" w:rsidRDefault="00D41C6D" w:rsidP="005A7661">
            <w:pPr>
              <w:cnfStyle w:val="000000000000" w:firstRow="0" w:lastRow="0" w:firstColumn="0" w:lastColumn="0" w:oddVBand="0" w:evenVBand="0" w:oddHBand="0" w:evenHBand="0" w:firstRowFirstColumn="0" w:firstRowLastColumn="0" w:lastRowFirstColumn="0" w:lastRowLastColumn="0"/>
              <w:rPr>
                <w:szCs w:val="20"/>
              </w:rPr>
            </w:pPr>
          </w:p>
        </w:tc>
        <w:tc>
          <w:tcPr>
            <w:tcW w:w="0" w:type="auto"/>
            <w:hideMark/>
          </w:tcPr>
          <w:p w14:paraId="1FAF214D" w14:textId="77777777" w:rsidR="00D41C6D" w:rsidRPr="00B95A9D" w:rsidRDefault="00D41C6D" w:rsidP="005A7661">
            <w:pPr>
              <w:cnfStyle w:val="000000000000" w:firstRow="0" w:lastRow="0" w:firstColumn="0" w:lastColumn="0" w:oddVBand="0" w:evenVBand="0" w:oddHBand="0" w:evenHBand="0" w:firstRowFirstColumn="0" w:firstRowLastColumn="0" w:lastRowFirstColumn="0" w:lastRowLastColumn="0"/>
              <w:rPr>
                <w:szCs w:val="20"/>
              </w:rPr>
            </w:pPr>
            <w:r w:rsidRPr="00B95A9D">
              <w:rPr>
                <w:rFonts w:eastAsiaTheme="majorEastAsia"/>
                <w:b/>
                <w:bCs/>
                <w:szCs w:val="20"/>
              </w:rPr>
              <w:t>Gravité des conséquences</w:t>
            </w:r>
          </w:p>
        </w:tc>
        <w:tc>
          <w:tcPr>
            <w:tcW w:w="0" w:type="auto"/>
          </w:tcPr>
          <w:p w14:paraId="1C9D5859" w14:textId="43549FA1" w:rsidR="00D41C6D" w:rsidRPr="00B95A9D" w:rsidRDefault="005E604A" w:rsidP="005A7661">
            <w:pPr>
              <w:cnfStyle w:val="000000000000" w:firstRow="0" w:lastRow="0" w:firstColumn="0" w:lastColumn="0" w:oddVBand="0" w:evenVBand="0" w:oddHBand="0" w:evenHBand="0" w:firstRowFirstColumn="0" w:firstRowLastColumn="0" w:lastRowFirstColumn="0" w:lastRowLastColumn="0"/>
              <w:rPr>
                <w:szCs w:val="20"/>
              </w:rPr>
            </w:pPr>
            <w:r>
              <w:rPr>
                <w:szCs w:val="20"/>
              </w:rPr>
              <w:t>C</w:t>
            </w:r>
            <w:r w:rsidRPr="005E604A">
              <w:rPr>
                <w:szCs w:val="20"/>
              </w:rPr>
              <w:t>ontamination limitée aux volumes concernés, sans atteinte au sol ni à la nappe ; seules les filières de recyclage seraient momentanément compromises.</w:t>
            </w:r>
          </w:p>
        </w:tc>
        <w:tc>
          <w:tcPr>
            <w:tcW w:w="0" w:type="auto"/>
          </w:tcPr>
          <w:p w14:paraId="5B530BD9" w14:textId="421D7FB2" w:rsidR="00D41C6D" w:rsidRPr="00B95A9D" w:rsidRDefault="00F51262" w:rsidP="005A7661">
            <w:pPr>
              <w:cnfStyle w:val="000000000000" w:firstRow="0" w:lastRow="0" w:firstColumn="0" w:lastColumn="0" w:oddVBand="0" w:evenVBand="0" w:oddHBand="0" w:evenHBand="0" w:firstRowFirstColumn="0" w:firstRowLastColumn="0" w:lastRowFirstColumn="0" w:lastRowLastColumn="0"/>
              <w:rPr>
                <w:szCs w:val="20"/>
              </w:rPr>
            </w:pPr>
            <w:r>
              <w:rPr>
                <w:szCs w:val="20"/>
              </w:rPr>
              <w:t>Mineure</w:t>
            </w:r>
          </w:p>
        </w:tc>
      </w:tr>
      <w:tr w:rsidR="00D41C6D" w:rsidRPr="00B95A9D" w14:paraId="549B587D" w14:textId="77777777" w:rsidTr="005A7661">
        <w:tc>
          <w:tcPr>
            <w:cnfStyle w:val="001000000000" w:firstRow="0" w:lastRow="0" w:firstColumn="1" w:lastColumn="0" w:oddVBand="0" w:evenVBand="0" w:oddHBand="0" w:evenHBand="0" w:firstRowFirstColumn="0" w:firstRowLastColumn="0" w:lastRowFirstColumn="0" w:lastRowLastColumn="0"/>
            <w:tcW w:w="0" w:type="auto"/>
            <w:vMerge/>
          </w:tcPr>
          <w:p w14:paraId="6FA338BF" w14:textId="77777777" w:rsidR="00D41C6D" w:rsidRPr="00B95A9D" w:rsidRDefault="00D41C6D" w:rsidP="005A7661">
            <w:pPr>
              <w:rPr>
                <w:szCs w:val="20"/>
              </w:rPr>
            </w:pPr>
          </w:p>
        </w:tc>
        <w:tc>
          <w:tcPr>
            <w:tcW w:w="0" w:type="auto"/>
            <w:vMerge/>
          </w:tcPr>
          <w:p w14:paraId="63C4F7D0" w14:textId="77777777" w:rsidR="00D41C6D" w:rsidRPr="00B95A9D" w:rsidRDefault="00D41C6D" w:rsidP="005A7661">
            <w:pPr>
              <w:cnfStyle w:val="000000000000" w:firstRow="0" w:lastRow="0" w:firstColumn="0" w:lastColumn="0" w:oddVBand="0" w:evenVBand="0" w:oddHBand="0" w:evenHBand="0" w:firstRowFirstColumn="0" w:firstRowLastColumn="0" w:lastRowFirstColumn="0" w:lastRowLastColumn="0"/>
              <w:rPr>
                <w:szCs w:val="20"/>
              </w:rPr>
            </w:pPr>
          </w:p>
        </w:tc>
        <w:tc>
          <w:tcPr>
            <w:tcW w:w="0" w:type="auto"/>
            <w:hideMark/>
          </w:tcPr>
          <w:p w14:paraId="1663CD4B" w14:textId="77777777" w:rsidR="00D41C6D" w:rsidRPr="00B95A9D" w:rsidRDefault="00D41C6D" w:rsidP="005A7661">
            <w:pPr>
              <w:cnfStyle w:val="000000000000" w:firstRow="0" w:lastRow="0" w:firstColumn="0" w:lastColumn="0" w:oddVBand="0" w:evenVBand="0" w:oddHBand="0" w:evenHBand="0" w:firstRowFirstColumn="0" w:firstRowLastColumn="0" w:lastRowFirstColumn="0" w:lastRowLastColumn="0"/>
              <w:rPr>
                <w:szCs w:val="20"/>
              </w:rPr>
            </w:pPr>
            <w:r w:rsidRPr="00B95A9D">
              <w:rPr>
                <w:rFonts w:eastAsiaTheme="majorEastAsia"/>
                <w:b/>
                <w:bCs/>
                <w:szCs w:val="20"/>
              </w:rPr>
              <w:t>Évaluation globale du risque</w:t>
            </w:r>
          </w:p>
        </w:tc>
        <w:tc>
          <w:tcPr>
            <w:tcW w:w="0" w:type="auto"/>
          </w:tcPr>
          <w:p w14:paraId="0DC76AD9" w14:textId="509E40DC" w:rsidR="00D41C6D" w:rsidRPr="00B95A9D" w:rsidRDefault="005E604A" w:rsidP="005A7661">
            <w:pPr>
              <w:cnfStyle w:val="000000000000" w:firstRow="0" w:lastRow="0" w:firstColumn="0" w:lastColumn="0" w:oddVBand="0" w:evenVBand="0" w:oddHBand="0" w:evenHBand="0" w:firstRowFirstColumn="0" w:firstRowLastColumn="0" w:lastRowFirstColumn="0" w:lastRowLastColumn="0"/>
              <w:rPr>
                <w:szCs w:val="20"/>
              </w:rPr>
            </w:pPr>
            <w:r w:rsidRPr="005E604A">
              <w:rPr>
                <w:szCs w:val="20"/>
              </w:rPr>
              <w:t xml:space="preserve">La combinaison d’une faible probabilité et de conséquences mineures conduit à un risque </w:t>
            </w:r>
            <w:r w:rsidRPr="005E604A">
              <w:rPr>
                <w:b/>
                <w:bCs/>
                <w:szCs w:val="20"/>
              </w:rPr>
              <w:t>faible</w:t>
            </w:r>
            <w:r w:rsidRPr="005E604A">
              <w:rPr>
                <w:szCs w:val="20"/>
              </w:rPr>
              <w:t>. Les procédures de gestion prévues et la supervision HSE limitent fortement la survenue de ce type d’incident.</w:t>
            </w:r>
          </w:p>
        </w:tc>
        <w:tc>
          <w:tcPr>
            <w:tcW w:w="0" w:type="auto"/>
          </w:tcPr>
          <w:p w14:paraId="365ACDF1" w14:textId="7D6FBE5A" w:rsidR="00D41C6D" w:rsidRPr="00B95A9D" w:rsidRDefault="00F51262" w:rsidP="005A7661">
            <w:pPr>
              <w:cnfStyle w:val="000000000000" w:firstRow="0" w:lastRow="0" w:firstColumn="0" w:lastColumn="0" w:oddVBand="0" w:evenVBand="0" w:oddHBand="0" w:evenHBand="0" w:firstRowFirstColumn="0" w:firstRowLastColumn="0" w:lastRowFirstColumn="0" w:lastRowLastColumn="0"/>
              <w:rPr>
                <w:szCs w:val="20"/>
              </w:rPr>
            </w:pPr>
            <w:r>
              <w:rPr>
                <w:szCs w:val="20"/>
              </w:rPr>
              <w:t>Faible</w:t>
            </w:r>
          </w:p>
        </w:tc>
      </w:tr>
    </w:tbl>
    <w:p w14:paraId="4279DC4B" w14:textId="77777777" w:rsidR="00E67280" w:rsidRPr="00F64DA8" w:rsidRDefault="00E67280" w:rsidP="0001633E">
      <w:pPr>
        <w:pStyle w:val="AltTitle2"/>
        <w:numPr>
          <w:ilvl w:val="0"/>
          <w:numId w:val="106"/>
        </w:numPr>
        <w:rPr>
          <w:b w:val="0"/>
        </w:rPr>
      </w:pPr>
      <w:r w:rsidRPr="00F64DA8">
        <w:t>Risque d’exposition à des produits dangereux (hydrocarbures, huiles, solvants et peintures)</w:t>
      </w:r>
    </w:p>
    <w:p w14:paraId="5805119F" w14:textId="77777777" w:rsidR="00E67280" w:rsidRPr="00F64DA8" w:rsidRDefault="00E67280" w:rsidP="00E67280">
      <w:r w:rsidRPr="00F64DA8">
        <w:lastRenderedPageBreak/>
        <w:t>La construction du parking avions et des voies de circulation implique l’utilisation de divers produits chimiques tels que les hydrocarbures, huiles de graissage, solvants, peintures routières et additifs bitumineux. Ces substances, manipulées pour l’entretien des engins, le nettoyage ou le marquage des chaussées, présentent un risque d’exposition chimique et toxicologique pour les travailleurs. Les opérations de remplissage de carburant, de mélange ou d’application manuelle de produits de signalisation peuvent entraîner des contacts cutanés, l’inhalation de vapeurs nocives ou des projections accidentelles.</w:t>
      </w:r>
    </w:p>
    <w:p w14:paraId="5581DB93" w14:textId="77777777" w:rsidR="00E67280" w:rsidRPr="00F64DA8" w:rsidRDefault="00E67280" w:rsidP="00E67280">
      <w:r w:rsidRPr="00F64DA8">
        <w:t>Les récepteurs sensibles sont les ouvriers chargés de la maintenance des engins, les opérateurs de marquage et de signalisation ainsi que les personnels de stockage et d’approvisionnement en carburant. Leur sensibilité est élevée, compte tenu de la toxicité potentielle des produits utilisés et des risques combinés d’irritation, de brûlure chimique ou d’intoxication. Les agents de supervision présentent une sensibilité moyenne, liée à une exposition occasionnelle.</w:t>
      </w:r>
    </w:p>
    <w:p w14:paraId="71D175EF" w14:textId="77777777" w:rsidR="00E67280" w:rsidRPr="00F64DA8" w:rsidRDefault="00E67280" w:rsidP="00E67280">
      <w:r w:rsidRPr="00F64DA8">
        <w:t>La probabilité d’occurrence de ce risque est probable, car la manipulation fréquente de produits chimiques sur le chantier multiplie les occasions de contact ou d’inhalation accidentelle, surtout en l’absence d’équipements adaptés ou de procédures normalisées. La gravité des conséquences est modérée à majeure, selon la substance en cause et le niveau d’exposition : certaines huiles ou solvants peuvent provoquer des réactions aiguës, tandis que les hydrocarbures et peintures contiennent des composés organiques volatils susceptibles d’affecter le système respiratoire.</w:t>
      </w:r>
    </w:p>
    <w:p w14:paraId="044CE366" w14:textId="36832254" w:rsidR="00D567F1" w:rsidRDefault="00E67280" w:rsidP="00FA3B70">
      <w:r w:rsidRPr="00F64DA8">
        <w:t xml:space="preserve">La criticité est évaluée comme élevée, en raison d’une probabilité récurrente et d’effets potentiellement graves sur la santé. </w:t>
      </w:r>
      <w:r w:rsidR="00D567F1">
        <w:br w:type="page"/>
      </w:r>
    </w:p>
    <w:p w14:paraId="5FC8BB5E" w14:textId="77777777" w:rsidR="00E67280" w:rsidRPr="00F64DA8" w:rsidRDefault="00E67280" w:rsidP="00FA3B70"/>
    <w:tbl>
      <w:tblPr>
        <w:tblStyle w:val="TableauGrille1Clair-Accentuation111"/>
        <w:tblW w:w="0" w:type="auto"/>
        <w:tblLook w:val="04A0" w:firstRow="1" w:lastRow="0" w:firstColumn="1" w:lastColumn="0" w:noHBand="0" w:noVBand="1"/>
      </w:tblPr>
      <w:tblGrid>
        <w:gridCol w:w="1592"/>
        <w:gridCol w:w="1805"/>
        <w:gridCol w:w="1843"/>
        <w:gridCol w:w="2476"/>
        <w:gridCol w:w="1344"/>
      </w:tblGrid>
      <w:tr w:rsidR="00D41C6D" w:rsidRPr="00B95A9D" w14:paraId="5FEBCDD9" w14:textId="77777777" w:rsidTr="004637C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2" w:type="dxa"/>
          </w:tcPr>
          <w:p w14:paraId="35F5E111" w14:textId="77777777" w:rsidR="00D41C6D" w:rsidRPr="00B95A9D" w:rsidRDefault="00D41C6D" w:rsidP="005A7661">
            <w:pPr>
              <w:rPr>
                <w:szCs w:val="20"/>
              </w:rPr>
            </w:pPr>
            <w:r w:rsidRPr="002C2301">
              <w:rPr>
                <w:rFonts w:eastAsiaTheme="majorEastAsia"/>
                <w:szCs w:val="20"/>
              </w:rPr>
              <w:t>Risque</w:t>
            </w:r>
          </w:p>
        </w:tc>
        <w:tc>
          <w:tcPr>
            <w:tcW w:w="1805" w:type="dxa"/>
          </w:tcPr>
          <w:p w14:paraId="34C8142E" w14:textId="77777777" w:rsidR="00D41C6D" w:rsidRPr="00B95A9D" w:rsidRDefault="00D41C6D" w:rsidP="005A7661">
            <w:pPr>
              <w:cnfStyle w:val="100000000000" w:firstRow="1" w:lastRow="0" w:firstColumn="0" w:lastColumn="0" w:oddVBand="0" w:evenVBand="0" w:oddHBand="0" w:evenHBand="0" w:firstRowFirstColumn="0" w:firstRowLastColumn="0" w:lastRowFirstColumn="0" w:lastRowLastColumn="0"/>
              <w:rPr>
                <w:szCs w:val="20"/>
              </w:rPr>
            </w:pPr>
            <w:r w:rsidRPr="002C2301">
              <w:rPr>
                <w:rFonts w:eastAsiaTheme="majorEastAsia"/>
                <w:szCs w:val="20"/>
              </w:rPr>
              <w:t>Activités génératrices</w:t>
            </w:r>
          </w:p>
        </w:tc>
        <w:tc>
          <w:tcPr>
            <w:tcW w:w="1843" w:type="dxa"/>
          </w:tcPr>
          <w:p w14:paraId="7ABAFBBA" w14:textId="77777777" w:rsidR="00D41C6D" w:rsidRPr="00B95A9D" w:rsidRDefault="00D41C6D" w:rsidP="005A7661">
            <w:pPr>
              <w:cnfStyle w:val="100000000000" w:firstRow="1" w:lastRow="0" w:firstColumn="0" w:lastColumn="0" w:oddVBand="0" w:evenVBand="0" w:oddHBand="0" w:evenHBand="0" w:firstRowFirstColumn="0" w:firstRowLastColumn="0" w:lastRowFirstColumn="0" w:lastRowLastColumn="0"/>
              <w:rPr>
                <w:szCs w:val="20"/>
              </w:rPr>
            </w:pPr>
            <w:r w:rsidRPr="002C2301">
              <w:rPr>
                <w:rFonts w:eastAsiaTheme="majorEastAsia"/>
                <w:szCs w:val="20"/>
              </w:rPr>
              <w:t>Critère</w:t>
            </w:r>
          </w:p>
        </w:tc>
        <w:tc>
          <w:tcPr>
            <w:tcW w:w="2476" w:type="dxa"/>
          </w:tcPr>
          <w:p w14:paraId="725818A9" w14:textId="77777777" w:rsidR="00D41C6D" w:rsidRPr="00B95A9D" w:rsidRDefault="00D41C6D" w:rsidP="005A7661">
            <w:pPr>
              <w:cnfStyle w:val="100000000000" w:firstRow="1" w:lastRow="0" w:firstColumn="0" w:lastColumn="0" w:oddVBand="0" w:evenVBand="0" w:oddHBand="0" w:evenHBand="0" w:firstRowFirstColumn="0" w:firstRowLastColumn="0" w:lastRowFirstColumn="0" w:lastRowLastColumn="0"/>
              <w:rPr>
                <w:szCs w:val="20"/>
              </w:rPr>
            </w:pPr>
            <w:r w:rsidRPr="002C2301">
              <w:rPr>
                <w:rFonts w:eastAsiaTheme="majorEastAsia"/>
                <w:szCs w:val="20"/>
              </w:rPr>
              <w:t>Justification</w:t>
            </w:r>
          </w:p>
        </w:tc>
        <w:tc>
          <w:tcPr>
            <w:tcW w:w="0" w:type="auto"/>
          </w:tcPr>
          <w:p w14:paraId="38B7029B" w14:textId="77777777" w:rsidR="00D41C6D" w:rsidRPr="00B95A9D" w:rsidRDefault="00D41C6D" w:rsidP="005A7661">
            <w:pPr>
              <w:cnfStyle w:val="100000000000" w:firstRow="1" w:lastRow="0" w:firstColumn="0" w:lastColumn="0" w:oddVBand="0" w:evenVBand="0" w:oddHBand="0" w:evenHBand="0" w:firstRowFirstColumn="0" w:firstRowLastColumn="0" w:lastRowFirstColumn="0" w:lastRowLastColumn="0"/>
              <w:rPr>
                <w:szCs w:val="20"/>
              </w:rPr>
            </w:pPr>
            <w:r w:rsidRPr="002C2301">
              <w:rPr>
                <w:rFonts w:eastAsiaTheme="majorEastAsia"/>
                <w:szCs w:val="20"/>
              </w:rPr>
              <w:t>Niveau</w:t>
            </w:r>
          </w:p>
        </w:tc>
      </w:tr>
      <w:tr w:rsidR="00D41C6D" w:rsidRPr="00B95A9D" w14:paraId="1A10598B" w14:textId="77777777" w:rsidTr="004637C7">
        <w:trPr>
          <w:hidden/>
        </w:trPr>
        <w:tc>
          <w:tcPr>
            <w:cnfStyle w:val="001000000000" w:firstRow="0" w:lastRow="0" w:firstColumn="1" w:lastColumn="0" w:oddVBand="0" w:evenVBand="0" w:oddHBand="0" w:evenHBand="0" w:firstRowFirstColumn="0" w:firstRowLastColumn="0" w:lastRowFirstColumn="0" w:lastRowLastColumn="0"/>
            <w:tcW w:w="1592" w:type="dxa"/>
            <w:vMerge w:val="restart"/>
          </w:tcPr>
          <w:p w14:paraId="7444D9FE" w14:textId="5C6B06E0" w:rsidR="00D41C6D" w:rsidRPr="004637C7" w:rsidRDefault="00D567F1" w:rsidP="005A7661">
            <w:pPr>
              <w:rPr>
                <w:vanish/>
                <w:szCs w:val="20"/>
              </w:rPr>
            </w:pPr>
            <w:r w:rsidRPr="00D567F1">
              <w:rPr>
                <w:vanish/>
                <w:szCs w:val="20"/>
              </w:rPr>
              <w:t>Risque d’exposition à des produits dangereux (hydrocarbures, huiles, solvants et peintures)</w:t>
            </w:r>
          </w:p>
        </w:tc>
        <w:tc>
          <w:tcPr>
            <w:tcW w:w="1805" w:type="dxa"/>
            <w:vMerge w:val="restart"/>
          </w:tcPr>
          <w:p w14:paraId="106BCF26" w14:textId="080DF6B0" w:rsidR="00D41C6D" w:rsidRPr="00B95A9D" w:rsidRDefault="00D567F1" w:rsidP="005A7661">
            <w:pPr>
              <w:cnfStyle w:val="000000000000" w:firstRow="0" w:lastRow="0" w:firstColumn="0" w:lastColumn="0" w:oddVBand="0" w:evenVBand="0" w:oddHBand="0" w:evenHBand="0" w:firstRowFirstColumn="0" w:firstRowLastColumn="0" w:lastRowFirstColumn="0" w:lastRowLastColumn="0"/>
              <w:rPr>
                <w:szCs w:val="20"/>
              </w:rPr>
            </w:pPr>
            <w:r w:rsidRPr="00D567F1">
              <w:rPr>
                <w:szCs w:val="20"/>
              </w:rPr>
              <w:t>Travaux de marquage et peinture routière ; opérations de maintenance des engins (graissage, remplissage) ; stockage et transfert de carburants et solvants.</w:t>
            </w:r>
          </w:p>
        </w:tc>
        <w:tc>
          <w:tcPr>
            <w:tcW w:w="1843" w:type="dxa"/>
            <w:hideMark/>
          </w:tcPr>
          <w:p w14:paraId="12F6B19C" w14:textId="77777777" w:rsidR="00D41C6D" w:rsidRPr="00B95A9D" w:rsidRDefault="00D41C6D" w:rsidP="005A7661">
            <w:pPr>
              <w:cnfStyle w:val="000000000000" w:firstRow="0" w:lastRow="0" w:firstColumn="0" w:lastColumn="0" w:oddVBand="0" w:evenVBand="0" w:oddHBand="0" w:evenHBand="0" w:firstRowFirstColumn="0" w:firstRowLastColumn="0" w:lastRowFirstColumn="0" w:lastRowLastColumn="0"/>
              <w:rPr>
                <w:szCs w:val="20"/>
              </w:rPr>
            </w:pPr>
            <w:r w:rsidRPr="00B95A9D">
              <w:rPr>
                <w:rFonts w:eastAsiaTheme="majorEastAsia"/>
                <w:b/>
                <w:bCs/>
                <w:szCs w:val="20"/>
              </w:rPr>
              <w:t>Probabilité d’occurrence</w:t>
            </w:r>
          </w:p>
        </w:tc>
        <w:tc>
          <w:tcPr>
            <w:tcW w:w="2476" w:type="dxa"/>
          </w:tcPr>
          <w:p w14:paraId="1D08681E" w14:textId="13783023" w:rsidR="00D41C6D" w:rsidRPr="00B95A9D" w:rsidRDefault="00D567F1" w:rsidP="005A7661">
            <w:pPr>
              <w:cnfStyle w:val="000000000000" w:firstRow="0" w:lastRow="0" w:firstColumn="0" w:lastColumn="0" w:oddVBand="0" w:evenVBand="0" w:oddHBand="0" w:evenHBand="0" w:firstRowFirstColumn="0" w:firstRowLastColumn="0" w:lastRowFirstColumn="0" w:lastRowLastColumn="0"/>
              <w:rPr>
                <w:szCs w:val="20"/>
              </w:rPr>
            </w:pPr>
            <w:r w:rsidRPr="00D567F1">
              <w:rPr>
                <w:szCs w:val="20"/>
              </w:rPr>
              <w:t>Le risque est probable car la manipulation fréquente de produits chimiques (peintures, hydrocarbures, solvants) multiplie les occasions de contact cutané ou d’inhalation accidentelle.</w:t>
            </w:r>
          </w:p>
        </w:tc>
        <w:tc>
          <w:tcPr>
            <w:tcW w:w="0" w:type="auto"/>
          </w:tcPr>
          <w:p w14:paraId="668F1472" w14:textId="210DB256" w:rsidR="00D41C6D" w:rsidRPr="00B95A9D" w:rsidRDefault="00D567F1" w:rsidP="005A7661">
            <w:pPr>
              <w:cnfStyle w:val="000000000000" w:firstRow="0" w:lastRow="0" w:firstColumn="0" w:lastColumn="0" w:oddVBand="0" w:evenVBand="0" w:oddHBand="0" w:evenHBand="0" w:firstRowFirstColumn="0" w:firstRowLastColumn="0" w:lastRowFirstColumn="0" w:lastRowLastColumn="0"/>
              <w:rPr>
                <w:szCs w:val="20"/>
              </w:rPr>
            </w:pPr>
            <w:r w:rsidRPr="00D567F1">
              <w:rPr>
                <w:szCs w:val="20"/>
              </w:rPr>
              <w:t>Probable</w:t>
            </w:r>
          </w:p>
        </w:tc>
      </w:tr>
      <w:tr w:rsidR="00D41C6D" w:rsidRPr="00B95A9D" w14:paraId="310CD388" w14:textId="77777777" w:rsidTr="004637C7">
        <w:tc>
          <w:tcPr>
            <w:cnfStyle w:val="001000000000" w:firstRow="0" w:lastRow="0" w:firstColumn="1" w:lastColumn="0" w:oddVBand="0" w:evenVBand="0" w:oddHBand="0" w:evenHBand="0" w:firstRowFirstColumn="0" w:firstRowLastColumn="0" w:lastRowFirstColumn="0" w:lastRowLastColumn="0"/>
            <w:tcW w:w="1592" w:type="dxa"/>
            <w:vMerge/>
          </w:tcPr>
          <w:p w14:paraId="0047F434" w14:textId="77777777" w:rsidR="00D41C6D" w:rsidRPr="00B95A9D" w:rsidRDefault="00D41C6D" w:rsidP="005A7661">
            <w:pPr>
              <w:rPr>
                <w:szCs w:val="20"/>
              </w:rPr>
            </w:pPr>
          </w:p>
        </w:tc>
        <w:tc>
          <w:tcPr>
            <w:tcW w:w="1805" w:type="dxa"/>
            <w:vMerge/>
          </w:tcPr>
          <w:p w14:paraId="63702609" w14:textId="77777777" w:rsidR="00D41C6D" w:rsidRPr="00B95A9D" w:rsidRDefault="00D41C6D" w:rsidP="005A7661">
            <w:pPr>
              <w:cnfStyle w:val="000000000000" w:firstRow="0" w:lastRow="0" w:firstColumn="0" w:lastColumn="0" w:oddVBand="0" w:evenVBand="0" w:oddHBand="0" w:evenHBand="0" w:firstRowFirstColumn="0" w:firstRowLastColumn="0" w:lastRowFirstColumn="0" w:lastRowLastColumn="0"/>
              <w:rPr>
                <w:szCs w:val="20"/>
              </w:rPr>
            </w:pPr>
          </w:p>
        </w:tc>
        <w:tc>
          <w:tcPr>
            <w:tcW w:w="1843" w:type="dxa"/>
            <w:hideMark/>
          </w:tcPr>
          <w:p w14:paraId="60701B7C" w14:textId="77777777" w:rsidR="00D41C6D" w:rsidRPr="00B95A9D" w:rsidRDefault="00D41C6D" w:rsidP="005A7661">
            <w:pPr>
              <w:cnfStyle w:val="000000000000" w:firstRow="0" w:lastRow="0" w:firstColumn="0" w:lastColumn="0" w:oddVBand="0" w:evenVBand="0" w:oddHBand="0" w:evenHBand="0" w:firstRowFirstColumn="0" w:firstRowLastColumn="0" w:lastRowFirstColumn="0" w:lastRowLastColumn="0"/>
              <w:rPr>
                <w:szCs w:val="20"/>
              </w:rPr>
            </w:pPr>
            <w:r w:rsidRPr="00B95A9D">
              <w:rPr>
                <w:rFonts w:eastAsiaTheme="majorEastAsia"/>
                <w:b/>
                <w:bCs/>
                <w:szCs w:val="20"/>
              </w:rPr>
              <w:t>Gravité des conséquences</w:t>
            </w:r>
          </w:p>
        </w:tc>
        <w:tc>
          <w:tcPr>
            <w:tcW w:w="2476" w:type="dxa"/>
          </w:tcPr>
          <w:p w14:paraId="47DB41B5" w14:textId="78ED6CE8" w:rsidR="00D41C6D" w:rsidRPr="00B95A9D" w:rsidRDefault="00D567F1" w:rsidP="005A7661">
            <w:pPr>
              <w:cnfStyle w:val="000000000000" w:firstRow="0" w:lastRow="0" w:firstColumn="0" w:lastColumn="0" w:oddVBand="0" w:evenVBand="0" w:oddHBand="0" w:evenHBand="0" w:firstRowFirstColumn="0" w:firstRowLastColumn="0" w:lastRowFirstColumn="0" w:lastRowLastColumn="0"/>
              <w:rPr>
                <w:szCs w:val="20"/>
              </w:rPr>
            </w:pPr>
            <w:r w:rsidRPr="00D567F1">
              <w:rPr>
                <w:szCs w:val="20"/>
              </w:rPr>
              <w:t>Les effets potentiels vont de simples irritations cutanées à des troubles respiratoires voire intoxications, selon la nature et la concentration des substances.</w:t>
            </w:r>
          </w:p>
        </w:tc>
        <w:tc>
          <w:tcPr>
            <w:tcW w:w="0" w:type="auto"/>
          </w:tcPr>
          <w:p w14:paraId="4174988B" w14:textId="625CB06A" w:rsidR="00D41C6D" w:rsidRPr="00B95A9D" w:rsidRDefault="00D567F1" w:rsidP="005A7661">
            <w:pPr>
              <w:cnfStyle w:val="000000000000" w:firstRow="0" w:lastRow="0" w:firstColumn="0" w:lastColumn="0" w:oddVBand="0" w:evenVBand="0" w:oddHBand="0" w:evenHBand="0" w:firstRowFirstColumn="0" w:firstRowLastColumn="0" w:lastRowFirstColumn="0" w:lastRowLastColumn="0"/>
              <w:rPr>
                <w:szCs w:val="20"/>
              </w:rPr>
            </w:pPr>
            <w:r w:rsidRPr="00D567F1">
              <w:rPr>
                <w:szCs w:val="20"/>
              </w:rPr>
              <w:t>Modérée à majeure</w:t>
            </w:r>
          </w:p>
        </w:tc>
      </w:tr>
      <w:tr w:rsidR="00D41C6D" w:rsidRPr="00B95A9D" w14:paraId="7690FFDF" w14:textId="77777777" w:rsidTr="004637C7">
        <w:tc>
          <w:tcPr>
            <w:cnfStyle w:val="001000000000" w:firstRow="0" w:lastRow="0" w:firstColumn="1" w:lastColumn="0" w:oddVBand="0" w:evenVBand="0" w:oddHBand="0" w:evenHBand="0" w:firstRowFirstColumn="0" w:firstRowLastColumn="0" w:lastRowFirstColumn="0" w:lastRowLastColumn="0"/>
            <w:tcW w:w="1592" w:type="dxa"/>
            <w:vMerge/>
          </w:tcPr>
          <w:p w14:paraId="541BC360" w14:textId="77777777" w:rsidR="00D41C6D" w:rsidRPr="00B95A9D" w:rsidRDefault="00D41C6D" w:rsidP="005A7661">
            <w:pPr>
              <w:rPr>
                <w:szCs w:val="20"/>
              </w:rPr>
            </w:pPr>
          </w:p>
        </w:tc>
        <w:tc>
          <w:tcPr>
            <w:tcW w:w="1805" w:type="dxa"/>
            <w:vMerge/>
          </w:tcPr>
          <w:p w14:paraId="482311D7" w14:textId="77777777" w:rsidR="00D41C6D" w:rsidRPr="00B95A9D" w:rsidRDefault="00D41C6D" w:rsidP="005A7661">
            <w:pPr>
              <w:cnfStyle w:val="000000000000" w:firstRow="0" w:lastRow="0" w:firstColumn="0" w:lastColumn="0" w:oddVBand="0" w:evenVBand="0" w:oddHBand="0" w:evenHBand="0" w:firstRowFirstColumn="0" w:firstRowLastColumn="0" w:lastRowFirstColumn="0" w:lastRowLastColumn="0"/>
              <w:rPr>
                <w:szCs w:val="20"/>
              </w:rPr>
            </w:pPr>
          </w:p>
        </w:tc>
        <w:tc>
          <w:tcPr>
            <w:tcW w:w="1843" w:type="dxa"/>
            <w:hideMark/>
          </w:tcPr>
          <w:p w14:paraId="04704864" w14:textId="77777777" w:rsidR="00D41C6D" w:rsidRPr="00B95A9D" w:rsidRDefault="00D41C6D" w:rsidP="005A7661">
            <w:pPr>
              <w:cnfStyle w:val="000000000000" w:firstRow="0" w:lastRow="0" w:firstColumn="0" w:lastColumn="0" w:oddVBand="0" w:evenVBand="0" w:oddHBand="0" w:evenHBand="0" w:firstRowFirstColumn="0" w:firstRowLastColumn="0" w:lastRowFirstColumn="0" w:lastRowLastColumn="0"/>
              <w:rPr>
                <w:szCs w:val="20"/>
              </w:rPr>
            </w:pPr>
            <w:r w:rsidRPr="00B95A9D">
              <w:rPr>
                <w:rFonts w:eastAsiaTheme="majorEastAsia"/>
                <w:b/>
                <w:bCs/>
                <w:szCs w:val="20"/>
              </w:rPr>
              <w:t>Évaluation globale du risque</w:t>
            </w:r>
          </w:p>
        </w:tc>
        <w:tc>
          <w:tcPr>
            <w:tcW w:w="2476" w:type="dxa"/>
          </w:tcPr>
          <w:p w14:paraId="6295CB4A" w14:textId="527E8C27" w:rsidR="00D41C6D" w:rsidRPr="00B95A9D" w:rsidRDefault="00D567F1" w:rsidP="005A7661">
            <w:pPr>
              <w:cnfStyle w:val="000000000000" w:firstRow="0" w:lastRow="0" w:firstColumn="0" w:lastColumn="0" w:oddVBand="0" w:evenVBand="0" w:oddHBand="0" w:evenHBand="0" w:firstRowFirstColumn="0" w:firstRowLastColumn="0" w:lastRowFirstColumn="0" w:lastRowLastColumn="0"/>
              <w:rPr>
                <w:szCs w:val="20"/>
              </w:rPr>
            </w:pPr>
            <w:r w:rsidRPr="00D567F1">
              <w:rPr>
                <w:szCs w:val="20"/>
              </w:rPr>
              <w:t>Le risque global est élevé, en raison de la fréquence des opérations de manipulation et du caractère toxique ou irritant de plusieurs produits. La mise en œuvre stricte des mesures de protection (EPI, formation, stockage sécurisé) est donc essentielle pour en réduire la criticité.</w:t>
            </w:r>
          </w:p>
        </w:tc>
        <w:tc>
          <w:tcPr>
            <w:tcW w:w="0" w:type="auto"/>
          </w:tcPr>
          <w:p w14:paraId="27A4C11B" w14:textId="6A32E6C3" w:rsidR="00D41C6D" w:rsidRPr="00B95A9D" w:rsidRDefault="00D567F1" w:rsidP="005A7661">
            <w:pPr>
              <w:cnfStyle w:val="000000000000" w:firstRow="0" w:lastRow="0" w:firstColumn="0" w:lastColumn="0" w:oddVBand="0" w:evenVBand="0" w:oddHBand="0" w:evenHBand="0" w:firstRowFirstColumn="0" w:firstRowLastColumn="0" w:lastRowFirstColumn="0" w:lastRowLastColumn="0"/>
              <w:rPr>
                <w:szCs w:val="20"/>
              </w:rPr>
            </w:pPr>
            <w:r w:rsidRPr="00D567F1">
              <w:rPr>
                <w:szCs w:val="20"/>
              </w:rPr>
              <w:t>Élevé</w:t>
            </w:r>
          </w:p>
        </w:tc>
      </w:tr>
    </w:tbl>
    <w:p w14:paraId="14A52FF3" w14:textId="77777777" w:rsidR="000B6D2D" w:rsidRDefault="000B6D2D" w:rsidP="0001633E">
      <w:pPr>
        <w:pStyle w:val="AltTitle2"/>
        <w:numPr>
          <w:ilvl w:val="0"/>
          <w:numId w:val="106"/>
        </w:numPr>
      </w:pPr>
      <w:r w:rsidRPr="004637C7">
        <w:t>Risque d’incendie ou d’explosion</w:t>
      </w:r>
    </w:p>
    <w:p w14:paraId="202D3480" w14:textId="4AA9FBB7" w:rsidR="000B6D2D" w:rsidRDefault="000B6D2D" w:rsidP="00D41C6D">
      <w:r>
        <w:t xml:space="preserve">La présence de produits inflammables (carburants, solvants, chiffons imbibés) dans les zones techniques peut provoquer un départ de feu en cas d’étincelle ou de chaleur excessive. Le climat chaud et sec </w:t>
      </w:r>
      <w:r w:rsidR="00140B85">
        <w:t>de Marrakech</w:t>
      </w:r>
      <w:r>
        <w:t xml:space="preserve"> augmente légèrement ce risque. La </w:t>
      </w:r>
      <w:r w:rsidRPr="004637C7">
        <w:t>probabilité est faible</w:t>
      </w:r>
      <w:r>
        <w:t xml:space="preserve">, mais la </w:t>
      </w:r>
      <w:r w:rsidRPr="004637C7">
        <w:t>gravité élevée</w:t>
      </w:r>
      <w:r>
        <w:t xml:space="preserve">, notamment pour les équipements et la sécurité du personnel. Le </w:t>
      </w:r>
      <w:r w:rsidRPr="004637C7">
        <w:t>niveau global du risque est modéré</w:t>
      </w:r>
      <w:r>
        <w:t>.</w:t>
      </w:r>
    </w:p>
    <w:tbl>
      <w:tblPr>
        <w:tblStyle w:val="TableauGrille1Clair-Accentuation111"/>
        <w:tblW w:w="0" w:type="auto"/>
        <w:tblLook w:val="04A0" w:firstRow="1" w:lastRow="0" w:firstColumn="1" w:lastColumn="0" w:noHBand="0" w:noVBand="1"/>
      </w:tblPr>
      <w:tblGrid>
        <w:gridCol w:w="1305"/>
        <w:gridCol w:w="2316"/>
        <w:gridCol w:w="1469"/>
        <w:gridCol w:w="2626"/>
        <w:gridCol w:w="1344"/>
      </w:tblGrid>
      <w:tr w:rsidR="00D41C6D" w:rsidRPr="00B95A9D" w14:paraId="706AA570" w14:textId="77777777" w:rsidTr="005A766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7EFBAFE4" w14:textId="77777777" w:rsidR="00D41C6D" w:rsidRPr="00B95A9D" w:rsidRDefault="00D41C6D" w:rsidP="005A7661">
            <w:pPr>
              <w:rPr>
                <w:szCs w:val="20"/>
              </w:rPr>
            </w:pPr>
            <w:r w:rsidRPr="002C2301">
              <w:rPr>
                <w:rFonts w:eastAsiaTheme="majorEastAsia"/>
                <w:szCs w:val="20"/>
              </w:rPr>
              <w:t>Risque</w:t>
            </w:r>
          </w:p>
        </w:tc>
        <w:tc>
          <w:tcPr>
            <w:tcW w:w="0" w:type="auto"/>
          </w:tcPr>
          <w:p w14:paraId="1897B172" w14:textId="77777777" w:rsidR="00D41C6D" w:rsidRPr="00B95A9D" w:rsidRDefault="00D41C6D" w:rsidP="005A7661">
            <w:pPr>
              <w:cnfStyle w:val="100000000000" w:firstRow="1" w:lastRow="0" w:firstColumn="0" w:lastColumn="0" w:oddVBand="0" w:evenVBand="0" w:oddHBand="0" w:evenHBand="0" w:firstRowFirstColumn="0" w:firstRowLastColumn="0" w:lastRowFirstColumn="0" w:lastRowLastColumn="0"/>
              <w:rPr>
                <w:szCs w:val="20"/>
              </w:rPr>
            </w:pPr>
            <w:r w:rsidRPr="002C2301">
              <w:rPr>
                <w:rFonts w:eastAsiaTheme="majorEastAsia"/>
                <w:szCs w:val="20"/>
              </w:rPr>
              <w:t>Activités génératrices</w:t>
            </w:r>
          </w:p>
        </w:tc>
        <w:tc>
          <w:tcPr>
            <w:tcW w:w="0" w:type="auto"/>
          </w:tcPr>
          <w:p w14:paraId="0E7F2062" w14:textId="77777777" w:rsidR="00D41C6D" w:rsidRPr="00B95A9D" w:rsidRDefault="00D41C6D" w:rsidP="005A7661">
            <w:pPr>
              <w:cnfStyle w:val="100000000000" w:firstRow="1" w:lastRow="0" w:firstColumn="0" w:lastColumn="0" w:oddVBand="0" w:evenVBand="0" w:oddHBand="0" w:evenHBand="0" w:firstRowFirstColumn="0" w:firstRowLastColumn="0" w:lastRowFirstColumn="0" w:lastRowLastColumn="0"/>
              <w:rPr>
                <w:szCs w:val="20"/>
              </w:rPr>
            </w:pPr>
            <w:r w:rsidRPr="002C2301">
              <w:rPr>
                <w:rFonts w:eastAsiaTheme="majorEastAsia"/>
                <w:szCs w:val="20"/>
              </w:rPr>
              <w:t>Critère</w:t>
            </w:r>
          </w:p>
        </w:tc>
        <w:tc>
          <w:tcPr>
            <w:tcW w:w="0" w:type="auto"/>
          </w:tcPr>
          <w:p w14:paraId="3E0A0B65" w14:textId="77777777" w:rsidR="00D41C6D" w:rsidRPr="00B95A9D" w:rsidRDefault="00D41C6D" w:rsidP="005A7661">
            <w:pPr>
              <w:cnfStyle w:val="100000000000" w:firstRow="1" w:lastRow="0" w:firstColumn="0" w:lastColumn="0" w:oddVBand="0" w:evenVBand="0" w:oddHBand="0" w:evenHBand="0" w:firstRowFirstColumn="0" w:firstRowLastColumn="0" w:lastRowFirstColumn="0" w:lastRowLastColumn="0"/>
              <w:rPr>
                <w:szCs w:val="20"/>
              </w:rPr>
            </w:pPr>
            <w:r w:rsidRPr="002C2301">
              <w:rPr>
                <w:rFonts w:eastAsiaTheme="majorEastAsia"/>
                <w:szCs w:val="20"/>
              </w:rPr>
              <w:t>Justification</w:t>
            </w:r>
          </w:p>
        </w:tc>
        <w:tc>
          <w:tcPr>
            <w:tcW w:w="0" w:type="auto"/>
          </w:tcPr>
          <w:p w14:paraId="2263F996" w14:textId="77777777" w:rsidR="00D41C6D" w:rsidRPr="00B95A9D" w:rsidRDefault="00D41C6D" w:rsidP="005A7661">
            <w:pPr>
              <w:cnfStyle w:val="100000000000" w:firstRow="1" w:lastRow="0" w:firstColumn="0" w:lastColumn="0" w:oddVBand="0" w:evenVBand="0" w:oddHBand="0" w:evenHBand="0" w:firstRowFirstColumn="0" w:firstRowLastColumn="0" w:lastRowFirstColumn="0" w:lastRowLastColumn="0"/>
              <w:rPr>
                <w:szCs w:val="20"/>
              </w:rPr>
            </w:pPr>
            <w:r w:rsidRPr="002C2301">
              <w:rPr>
                <w:rFonts w:eastAsiaTheme="majorEastAsia"/>
                <w:szCs w:val="20"/>
              </w:rPr>
              <w:t>Niveau</w:t>
            </w:r>
          </w:p>
        </w:tc>
      </w:tr>
      <w:tr w:rsidR="00D41C6D" w:rsidRPr="00B95A9D" w14:paraId="5658E2B6" w14:textId="77777777" w:rsidTr="005A7661">
        <w:tc>
          <w:tcPr>
            <w:cnfStyle w:val="001000000000" w:firstRow="0" w:lastRow="0" w:firstColumn="1" w:lastColumn="0" w:oddVBand="0" w:evenVBand="0" w:oddHBand="0" w:evenHBand="0" w:firstRowFirstColumn="0" w:firstRowLastColumn="0" w:lastRowFirstColumn="0" w:lastRowLastColumn="0"/>
            <w:tcW w:w="0" w:type="auto"/>
            <w:vMerge w:val="restart"/>
          </w:tcPr>
          <w:p w14:paraId="4659B17F" w14:textId="22211FAD" w:rsidR="00D41C6D" w:rsidRPr="00B95A9D" w:rsidRDefault="004D719D" w:rsidP="005A7661">
            <w:pPr>
              <w:rPr>
                <w:szCs w:val="20"/>
              </w:rPr>
            </w:pPr>
            <w:r w:rsidRPr="004D719D">
              <w:rPr>
                <w:szCs w:val="20"/>
              </w:rPr>
              <w:t>Risque d’incendie ou d’explosion</w:t>
            </w:r>
          </w:p>
        </w:tc>
        <w:tc>
          <w:tcPr>
            <w:tcW w:w="0" w:type="auto"/>
            <w:vMerge w:val="restart"/>
          </w:tcPr>
          <w:p w14:paraId="79FB400E" w14:textId="56D43A77" w:rsidR="00D41C6D" w:rsidRPr="00B95A9D" w:rsidRDefault="0032486A" w:rsidP="005A7661">
            <w:pPr>
              <w:cnfStyle w:val="000000000000" w:firstRow="0" w:lastRow="0" w:firstColumn="0" w:lastColumn="0" w:oddVBand="0" w:evenVBand="0" w:oddHBand="0" w:evenHBand="0" w:firstRowFirstColumn="0" w:firstRowLastColumn="0" w:lastRowFirstColumn="0" w:lastRowLastColumn="0"/>
              <w:rPr>
                <w:szCs w:val="20"/>
              </w:rPr>
            </w:pPr>
            <w:r w:rsidRPr="0032486A">
              <w:rPr>
                <w:szCs w:val="20"/>
              </w:rPr>
              <w:t xml:space="preserve">Présence de produits inflammables (carburants, solvants, gaz sous pression) dans les zones techniques. Travaux de soudure ou chaleur excessive </w:t>
            </w:r>
            <w:r w:rsidRPr="0032486A">
              <w:rPr>
                <w:szCs w:val="20"/>
              </w:rPr>
              <w:lastRenderedPageBreak/>
              <w:t>pouvant déclencher un départ de feu.</w:t>
            </w:r>
          </w:p>
        </w:tc>
        <w:tc>
          <w:tcPr>
            <w:tcW w:w="0" w:type="auto"/>
            <w:hideMark/>
          </w:tcPr>
          <w:p w14:paraId="36D56102" w14:textId="77777777" w:rsidR="00D41C6D" w:rsidRPr="00B95A9D" w:rsidRDefault="00D41C6D" w:rsidP="005A7661">
            <w:pPr>
              <w:cnfStyle w:val="000000000000" w:firstRow="0" w:lastRow="0" w:firstColumn="0" w:lastColumn="0" w:oddVBand="0" w:evenVBand="0" w:oddHBand="0" w:evenHBand="0" w:firstRowFirstColumn="0" w:firstRowLastColumn="0" w:lastRowFirstColumn="0" w:lastRowLastColumn="0"/>
              <w:rPr>
                <w:szCs w:val="20"/>
              </w:rPr>
            </w:pPr>
            <w:r w:rsidRPr="00B95A9D">
              <w:rPr>
                <w:rFonts w:eastAsiaTheme="majorEastAsia"/>
                <w:b/>
                <w:bCs/>
                <w:szCs w:val="20"/>
              </w:rPr>
              <w:lastRenderedPageBreak/>
              <w:t>Probabilité d’occurrence</w:t>
            </w:r>
          </w:p>
        </w:tc>
        <w:tc>
          <w:tcPr>
            <w:tcW w:w="0" w:type="auto"/>
          </w:tcPr>
          <w:p w14:paraId="32F75063" w14:textId="6467C45D" w:rsidR="00D41C6D" w:rsidRPr="00B95A9D" w:rsidRDefault="00AA0AE0" w:rsidP="005A7661">
            <w:pPr>
              <w:cnfStyle w:val="000000000000" w:firstRow="0" w:lastRow="0" w:firstColumn="0" w:lastColumn="0" w:oddVBand="0" w:evenVBand="0" w:oddHBand="0" w:evenHBand="0" w:firstRowFirstColumn="0" w:firstRowLastColumn="0" w:lastRowFirstColumn="0" w:lastRowLastColumn="0"/>
              <w:rPr>
                <w:szCs w:val="20"/>
              </w:rPr>
            </w:pPr>
            <w:r>
              <w:rPr>
                <w:szCs w:val="20"/>
              </w:rPr>
              <w:t>C</w:t>
            </w:r>
            <w:r w:rsidRPr="00AA0AE0">
              <w:rPr>
                <w:szCs w:val="20"/>
              </w:rPr>
              <w:t xml:space="preserve">e type d’événement peut survenir en cas de négligence, de fuite ou de mauvaise manipulation de produits inflammables, bien que les consignes de sécurité et la signalisation des zones à </w:t>
            </w:r>
            <w:r w:rsidRPr="00AA0AE0">
              <w:rPr>
                <w:szCs w:val="20"/>
              </w:rPr>
              <w:lastRenderedPageBreak/>
              <w:t>risque soient généralement appliquées.</w:t>
            </w:r>
          </w:p>
        </w:tc>
        <w:tc>
          <w:tcPr>
            <w:tcW w:w="0" w:type="auto"/>
          </w:tcPr>
          <w:p w14:paraId="54D3A474" w14:textId="52850C34" w:rsidR="00D41C6D" w:rsidRPr="00B95A9D" w:rsidRDefault="00AA0AE0" w:rsidP="005A7661">
            <w:pPr>
              <w:cnfStyle w:val="000000000000" w:firstRow="0" w:lastRow="0" w:firstColumn="0" w:lastColumn="0" w:oddVBand="0" w:evenVBand="0" w:oddHBand="0" w:evenHBand="0" w:firstRowFirstColumn="0" w:firstRowLastColumn="0" w:lastRowFirstColumn="0" w:lastRowLastColumn="0"/>
              <w:rPr>
                <w:szCs w:val="20"/>
              </w:rPr>
            </w:pPr>
            <w:r>
              <w:rPr>
                <w:szCs w:val="20"/>
              </w:rPr>
              <w:lastRenderedPageBreak/>
              <w:t>Occasionnelle</w:t>
            </w:r>
          </w:p>
        </w:tc>
      </w:tr>
      <w:tr w:rsidR="00D41C6D" w:rsidRPr="00B95A9D" w14:paraId="63B2C227" w14:textId="77777777" w:rsidTr="005A7661">
        <w:tc>
          <w:tcPr>
            <w:cnfStyle w:val="001000000000" w:firstRow="0" w:lastRow="0" w:firstColumn="1" w:lastColumn="0" w:oddVBand="0" w:evenVBand="0" w:oddHBand="0" w:evenHBand="0" w:firstRowFirstColumn="0" w:firstRowLastColumn="0" w:lastRowFirstColumn="0" w:lastRowLastColumn="0"/>
            <w:tcW w:w="0" w:type="auto"/>
            <w:vMerge/>
          </w:tcPr>
          <w:p w14:paraId="2AFE4187" w14:textId="77777777" w:rsidR="00D41C6D" w:rsidRPr="00B95A9D" w:rsidRDefault="00D41C6D" w:rsidP="005A7661">
            <w:pPr>
              <w:rPr>
                <w:szCs w:val="20"/>
              </w:rPr>
            </w:pPr>
          </w:p>
        </w:tc>
        <w:tc>
          <w:tcPr>
            <w:tcW w:w="0" w:type="auto"/>
            <w:vMerge/>
          </w:tcPr>
          <w:p w14:paraId="7724909C" w14:textId="77777777" w:rsidR="00D41C6D" w:rsidRPr="00B95A9D" w:rsidRDefault="00D41C6D" w:rsidP="005A7661">
            <w:pPr>
              <w:cnfStyle w:val="000000000000" w:firstRow="0" w:lastRow="0" w:firstColumn="0" w:lastColumn="0" w:oddVBand="0" w:evenVBand="0" w:oddHBand="0" w:evenHBand="0" w:firstRowFirstColumn="0" w:firstRowLastColumn="0" w:lastRowFirstColumn="0" w:lastRowLastColumn="0"/>
              <w:rPr>
                <w:szCs w:val="20"/>
              </w:rPr>
            </w:pPr>
          </w:p>
        </w:tc>
        <w:tc>
          <w:tcPr>
            <w:tcW w:w="0" w:type="auto"/>
            <w:hideMark/>
          </w:tcPr>
          <w:p w14:paraId="50CCB632" w14:textId="77777777" w:rsidR="00D41C6D" w:rsidRPr="00B95A9D" w:rsidRDefault="00D41C6D" w:rsidP="005A7661">
            <w:pPr>
              <w:cnfStyle w:val="000000000000" w:firstRow="0" w:lastRow="0" w:firstColumn="0" w:lastColumn="0" w:oddVBand="0" w:evenVBand="0" w:oddHBand="0" w:evenHBand="0" w:firstRowFirstColumn="0" w:firstRowLastColumn="0" w:lastRowFirstColumn="0" w:lastRowLastColumn="0"/>
              <w:rPr>
                <w:szCs w:val="20"/>
              </w:rPr>
            </w:pPr>
            <w:r w:rsidRPr="00B95A9D">
              <w:rPr>
                <w:rFonts w:eastAsiaTheme="majorEastAsia"/>
                <w:b/>
                <w:bCs/>
                <w:szCs w:val="20"/>
              </w:rPr>
              <w:t>Gravité des conséquences</w:t>
            </w:r>
          </w:p>
        </w:tc>
        <w:tc>
          <w:tcPr>
            <w:tcW w:w="0" w:type="auto"/>
          </w:tcPr>
          <w:p w14:paraId="58766A03" w14:textId="06E22634" w:rsidR="00D41C6D" w:rsidRPr="00B95A9D" w:rsidRDefault="00AA0AE0" w:rsidP="005A7661">
            <w:pPr>
              <w:cnfStyle w:val="000000000000" w:firstRow="0" w:lastRow="0" w:firstColumn="0" w:lastColumn="0" w:oddVBand="0" w:evenVBand="0" w:oddHBand="0" w:evenHBand="0" w:firstRowFirstColumn="0" w:firstRowLastColumn="0" w:lastRowFirstColumn="0" w:lastRowLastColumn="0"/>
              <w:rPr>
                <w:szCs w:val="20"/>
              </w:rPr>
            </w:pPr>
            <w:r>
              <w:rPr>
                <w:szCs w:val="20"/>
              </w:rPr>
              <w:t>U</w:t>
            </w:r>
            <w:r w:rsidRPr="00AA0AE0">
              <w:rPr>
                <w:szCs w:val="20"/>
              </w:rPr>
              <w:t>n incendie peut provoquer des blessures, des dégâts matériels importants et une interruption temporaire des activités.</w:t>
            </w:r>
          </w:p>
        </w:tc>
        <w:tc>
          <w:tcPr>
            <w:tcW w:w="0" w:type="auto"/>
          </w:tcPr>
          <w:p w14:paraId="51CDEABA" w14:textId="29CC8933" w:rsidR="00D41C6D" w:rsidRPr="00B95A9D" w:rsidRDefault="00AA0AE0" w:rsidP="005A7661">
            <w:pPr>
              <w:cnfStyle w:val="000000000000" w:firstRow="0" w:lastRow="0" w:firstColumn="0" w:lastColumn="0" w:oddVBand="0" w:evenVBand="0" w:oddHBand="0" w:evenHBand="0" w:firstRowFirstColumn="0" w:firstRowLastColumn="0" w:lastRowFirstColumn="0" w:lastRowLastColumn="0"/>
              <w:rPr>
                <w:szCs w:val="20"/>
              </w:rPr>
            </w:pPr>
            <w:r>
              <w:rPr>
                <w:szCs w:val="20"/>
              </w:rPr>
              <w:t>Mineure</w:t>
            </w:r>
          </w:p>
        </w:tc>
      </w:tr>
      <w:tr w:rsidR="00D41C6D" w:rsidRPr="00B95A9D" w14:paraId="6F681345" w14:textId="77777777" w:rsidTr="005A7661">
        <w:tc>
          <w:tcPr>
            <w:cnfStyle w:val="001000000000" w:firstRow="0" w:lastRow="0" w:firstColumn="1" w:lastColumn="0" w:oddVBand="0" w:evenVBand="0" w:oddHBand="0" w:evenHBand="0" w:firstRowFirstColumn="0" w:firstRowLastColumn="0" w:lastRowFirstColumn="0" w:lastRowLastColumn="0"/>
            <w:tcW w:w="0" w:type="auto"/>
            <w:vMerge/>
          </w:tcPr>
          <w:p w14:paraId="5BCF312D" w14:textId="77777777" w:rsidR="00D41C6D" w:rsidRPr="00B95A9D" w:rsidRDefault="00D41C6D" w:rsidP="005A7661">
            <w:pPr>
              <w:rPr>
                <w:szCs w:val="20"/>
              </w:rPr>
            </w:pPr>
          </w:p>
        </w:tc>
        <w:tc>
          <w:tcPr>
            <w:tcW w:w="0" w:type="auto"/>
            <w:vMerge/>
          </w:tcPr>
          <w:p w14:paraId="369E717A" w14:textId="77777777" w:rsidR="00D41C6D" w:rsidRPr="00B95A9D" w:rsidRDefault="00D41C6D" w:rsidP="005A7661">
            <w:pPr>
              <w:cnfStyle w:val="000000000000" w:firstRow="0" w:lastRow="0" w:firstColumn="0" w:lastColumn="0" w:oddVBand="0" w:evenVBand="0" w:oddHBand="0" w:evenHBand="0" w:firstRowFirstColumn="0" w:firstRowLastColumn="0" w:lastRowFirstColumn="0" w:lastRowLastColumn="0"/>
              <w:rPr>
                <w:szCs w:val="20"/>
              </w:rPr>
            </w:pPr>
          </w:p>
        </w:tc>
        <w:tc>
          <w:tcPr>
            <w:tcW w:w="0" w:type="auto"/>
            <w:hideMark/>
          </w:tcPr>
          <w:p w14:paraId="77741EE6" w14:textId="77777777" w:rsidR="00D41C6D" w:rsidRPr="00B95A9D" w:rsidRDefault="00D41C6D" w:rsidP="005A7661">
            <w:pPr>
              <w:cnfStyle w:val="000000000000" w:firstRow="0" w:lastRow="0" w:firstColumn="0" w:lastColumn="0" w:oddVBand="0" w:evenVBand="0" w:oddHBand="0" w:evenHBand="0" w:firstRowFirstColumn="0" w:firstRowLastColumn="0" w:lastRowFirstColumn="0" w:lastRowLastColumn="0"/>
              <w:rPr>
                <w:szCs w:val="20"/>
              </w:rPr>
            </w:pPr>
            <w:r w:rsidRPr="00B95A9D">
              <w:rPr>
                <w:rFonts w:eastAsiaTheme="majorEastAsia"/>
                <w:b/>
                <w:bCs/>
                <w:szCs w:val="20"/>
              </w:rPr>
              <w:t>Évaluation globale du risque</w:t>
            </w:r>
          </w:p>
        </w:tc>
        <w:tc>
          <w:tcPr>
            <w:tcW w:w="0" w:type="auto"/>
          </w:tcPr>
          <w:p w14:paraId="3CD245A1" w14:textId="084D1FAD" w:rsidR="00D41C6D" w:rsidRPr="00B95A9D" w:rsidRDefault="00AA0AE0" w:rsidP="005A7661">
            <w:pPr>
              <w:cnfStyle w:val="000000000000" w:firstRow="0" w:lastRow="0" w:firstColumn="0" w:lastColumn="0" w:oddVBand="0" w:evenVBand="0" w:oddHBand="0" w:evenHBand="0" w:firstRowFirstColumn="0" w:firstRowLastColumn="0" w:lastRowFirstColumn="0" w:lastRowLastColumn="0"/>
              <w:rPr>
                <w:szCs w:val="20"/>
              </w:rPr>
            </w:pPr>
            <w:r w:rsidRPr="00AA0AE0">
              <w:rPr>
                <w:szCs w:val="20"/>
              </w:rPr>
              <w:t>La combinaison d’une probabilité moyenne et de conséquences majeures conduit à un risque significatif nécessitant une vigilance accrue et une stricte application des protocoles de sécurité incendie.</w:t>
            </w:r>
          </w:p>
        </w:tc>
        <w:tc>
          <w:tcPr>
            <w:tcW w:w="0" w:type="auto"/>
          </w:tcPr>
          <w:p w14:paraId="69C616DD" w14:textId="1016A2ED" w:rsidR="00D41C6D" w:rsidRPr="00B95A9D" w:rsidRDefault="00AA0AE0" w:rsidP="005A7661">
            <w:pPr>
              <w:cnfStyle w:val="000000000000" w:firstRow="0" w:lastRow="0" w:firstColumn="0" w:lastColumn="0" w:oddVBand="0" w:evenVBand="0" w:oddHBand="0" w:evenHBand="0" w:firstRowFirstColumn="0" w:firstRowLastColumn="0" w:lastRowFirstColumn="0" w:lastRowLastColumn="0"/>
              <w:rPr>
                <w:szCs w:val="20"/>
              </w:rPr>
            </w:pPr>
            <w:r>
              <w:rPr>
                <w:szCs w:val="20"/>
              </w:rPr>
              <w:t>Faible</w:t>
            </w:r>
          </w:p>
        </w:tc>
      </w:tr>
    </w:tbl>
    <w:bookmarkEnd w:id="439"/>
    <w:p w14:paraId="643E6102" w14:textId="77777777" w:rsidR="00685D07" w:rsidRPr="00F702D4" w:rsidRDefault="00685D07" w:rsidP="004637C7">
      <w:pPr>
        <w:pStyle w:val="Title5"/>
      </w:pPr>
      <w:r w:rsidRPr="00F702D4">
        <w:t>Mesures d’atténuation</w:t>
      </w:r>
    </w:p>
    <w:p w14:paraId="7A791E11" w14:textId="77777777" w:rsidR="00685D07" w:rsidRDefault="00685D07" w:rsidP="00685D07">
      <w:pPr>
        <w:sectPr w:rsidR="00685D07" w:rsidSect="00685D07">
          <w:headerReference w:type="default" r:id="rId124"/>
          <w:footerReference w:type="default" r:id="rId125"/>
          <w:pgSz w:w="11906" w:h="16838"/>
          <w:pgMar w:top="1418" w:right="1418" w:bottom="1276" w:left="1418" w:header="680" w:footer="680" w:gutter="0"/>
          <w:cols w:space="708"/>
          <w:docGrid w:linePitch="360"/>
        </w:sectPr>
      </w:pPr>
    </w:p>
    <w:p w14:paraId="36125630" w14:textId="2C68FA00" w:rsidR="00685D07" w:rsidRDefault="00685D07" w:rsidP="00685D07">
      <w:pPr>
        <w:pStyle w:val="Lgende"/>
        <w:rPr>
          <w:rFonts w:asciiTheme="minorHAnsi" w:hAnsiTheme="minorHAnsi" w:cstheme="minorHAnsi"/>
          <w:spacing w:val="-2"/>
          <w:lang w:val="fr-FR"/>
        </w:rPr>
      </w:pPr>
      <w:bookmarkStart w:id="441" w:name="_Toc213404375"/>
      <w:r w:rsidRPr="002A0860">
        <w:rPr>
          <w:lang w:val="fr-FR"/>
        </w:rPr>
        <w:lastRenderedPageBreak/>
        <w:t xml:space="preserve">Tableau </w:t>
      </w:r>
      <w:r>
        <w:fldChar w:fldCharType="begin"/>
      </w:r>
      <w:r w:rsidRPr="002A0860">
        <w:rPr>
          <w:lang w:val="fr-FR"/>
        </w:rPr>
        <w:instrText xml:space="preserve"> SEQ Tableau \* ARABIC </w:instrText>
      </w:r>
      <w:r>
        <w:fldChar w:fldCharType="separate"/>
      </w:r>
      <w:r w:rsidR="00274E71">
        <w:rPr>
          <w:noProof/>
          <w:lang w:val="fr-FR"/>
        </w:rPr>
        <w:t>53</w:t>
      </w:r>
      <w:r>
        <w:fldChar w:fldCharType="end"/>
      </w:r>
      <w:r>
        <w:rPr>
          <w:noProof/>
          <w:lang w:val="fr-FR"/>
        </w:rPr>
        <w:t>:</w:t>
      </w:r>
      <w:r w:rsidR="0003486A" w:rsidRPr="0003486A">
        <w:t xml:space="preserve"> </w:t>
      </w:r>
      <w:r w:rsidR="0003486A">
        <w:rPr>
          <w:noProof/>
          <w:lang w:val="fr-FR" w:eastAsia="zh-CN"/>
        </w:rPr>
        <w:t>D</w:t>
      </w:r>
      <w:r w:rsidR="0003486A" w:rsidRPr="0003486A">
        <w:rPr>
          <w:noProof/>
          <w:lang w:val="fr-FR"/>
        </w:rPr>
        <w:t xml:space="preserve">échets dangereux et non dangereux et matières dangereuses </w:t>
      </w:r>
      <w:r w:rsidRPr="002A0860">
        <w:rPr>
          <w:rFonts w:asciiTheme="minorHAnsi" w:hAnsiTheme="minorHAnsi" w:cstheme="minorHAnsi"/>
          <w:lang w:val="fr-FR"/>
        </w:rPr>
        <w:t>–</w:t>
      </w:r>
      <w:r w:rsidRPr="002A0860">
        <w:rPr>
          <w:rFonts w:asciiTheme="minorHAnsi" w:hAnsiTheme="minorHAnsi" w:cstheme="minorHAnsi"/>
          <w:spacing w:val="16"/>
          <w:lang w:val="fr-FR"/>
        </w:rPr>
        <w:t xml:space="preserve"> </w:t>
      </w:r>
      <w:r w:rsidRPr="002A0860">
        <w:rPr>
          <w:rFonts w:asciiTheme="minorHAnsi" w:hAnsiTheme="minorHAnsi" w:cstheme="minorHAnsi"/>
          <w:lang w:val="fr-FR"/>
        </w:rPr>
        <w:t>Mesures</w:t>
      </w:r>
      <w:r w:rsidRPr="002A0860">
        <w:rPr>
          <w:rFonts w:asciiTheme="minorHAnsi" w:hAnsiTheme="minorHAnsi" w:cstheme="minorHAnsi"/>
          <w:spacing w:val="18"/>
          <w:lang w:val="fr-FR"/>
        </w:rPr>
        <w:t xml:space="preserve"> </w:t>
      </w:r>
      <w:r w:rsidRPr="002A0860">
        <w:rPr>
          <w:rFonts w:asciiTheme="minorHAnsi" w:hAnsiTheme="minorHAnsi" w:cstheme="minorHAnsi"/>
          <w:lang w:val="fr-FR"/>
        </w:rPr>
        <w:t>d’atténuation</w:t>
      </w:r>
      <w:r w:rsidRPr="002A0860">
        <w:rPr>
          <w:rFonts w:asciiTheme="minorHAnsi" w:hAnsiTheme="minorHAnsi" w:cstheme="minorHAnsi"/>
          <w:spacing w:val="19"/>
          <w:lang w:val="fr-FR"/>
        </w:rPr>
        <w:t xml:space="preserve"> </w:t>
      </w:r>
      <w:r w:rsidRPr="002A0860">
        <w:rPr>
          <w:rFonts w:asciiTheme="minorHAnsi" w:hAnsiTheme="minorHAnsi" w:cstheme="minorHAnsi"/>
          <w:lang w:val="fr-FR"/>
        </w:rPr>
        <w:t>en</w:t>
      </w:r>
      <w:r w:rsidRPr="002A0860">
        <w:rPr>
          <w:rFonts w:asciiTheme="minorHAnsi" w:hAnsiTheme="minorHAnsi" w:cstheme="minorHAnsi"/>
          <w:spacing w:val="13"/>
          <w:lang w:val="fr-FR"/>
        </w:rPr>
        <w:t xml:space="preserve"> </w:t>
      </w:r>
      <w:r w:rsidRPr="002A0860">
        <w:rPr>
          <w:rFonts w:asciiTheme="minorHAnsi" w:hAnsiTheme="minorHAnsi" w:cstheme="minorHAnsi"/>
          <w:lang w:val="fr-FR"/>
        </w:rPr>
        <w:t>phases</w:t>
      </w:r>
      <w:r w:rsidRPr="002A0860">
        <w:rPr>
          <w:rFonts w:asciiTheme="minorHAnsi" w:hAnsiTheme="minorHAnsi" w:cstheme="minorHAnsi"/>
          <w:spacing w:val="17"/>
          <w:lang w:val="fr-FR"/>
        </w:rPr>
        <w:t xml:space="preserve"> </w:t>
      </w:r>
      <w:r w:rsidRPr="002A0860">
        <w:rPr>
          <w:rFonts w:asciiTheme="minorHAnsi" w:hAnsiTheme="minorHAnsi" w:cstheme="minorHAnsi"/>
          <w:lang w:val="fr-FR"/>
        </w:rPr>
        <w:t>de</w:t>
      </w:r>
      <w:r w:rsidRPr="002A0860">
        <w:rPr>
          <w:rFonts w:asciiTheme="minorHAnsi" w:hAnsiTheme="minorHAnsi" w:cstheme="minorHAnsi"/>
          <w:spacing w:val="21"/>
          <w:lang w:val="fr-FR"/>
        </w:rPr>
        <w:t xml:space="preserve"> </w:t>
      </w:r>
      <w:r w:rsidRPr="002A0860">
        <w:rPr>
          <w:rFonts w:asciiTheme="minorHAnsi" w:hAnsiTheme="minorHAnsi" w:cstheme="minorHAnsi"/>
          <w:lang w:val="fr-FR"/>
        </w:rPr>
        <w:t>construction</w:t>
      </w:r>
      <w:bookmarkEnd w:id="441"/>
      <w:r w:rsidRPr="002A0860">
        <w:rPr>
          <w:rFonts w:asciiTheme="minorHAnsi" w:hAnsiTheme="minorHAnsi" w:cstheme="minorHAnsi"/>
          <w:spacing w:val="18"/>
          <w:lang w:val="fr-FR"/>
        </w:rPr>
        <w:t xml:space="preserve"> </w:t>
      </w:r>
    </w:p>
    <w:tbl>
      <w:tblPr>
        <w:tblStyle w:val="TableauGrille1Clair-Accentuation111"/>
        <w:tblW w:w="0" w:type="auto"/>
        <w:tblLook w:val="04A0" w:firstRow="1" w:lastRow="0" w:firstColumn="1" w:lastColumn="0" w:noHBand="0" w:noVBand="1"/>
      </w:tblPr>
      <w:tblGrid>
        <w:gridCol w:w="1876"/>
        <w:gridCol w:w="1394"/>
        <w:gridCol w:w="2481"/>
        <w:gridCol w:w="1550"/>
        <w:gridCol w:w="958"/>
        <w:gridCol w:w="1404"/>
        <w:gridCol w:w="717"/>
        <w:gridCol w:w="1563"/>
        <w:gridCol w:w="2191"/>
      </w:tblGrid>
      <w:tr w:rsidR="004F3ECE" w:rsidRPr="007A6057" w14:paraId="56E1CE6B" w14:textId="77777777" w:rsidTr="002A0CBE">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0" w:type="auto"/>
            <w:hideMark/>
          </w:tcPr>
          <w:p w14:paraId="16A18F9D" w14:textId="77777777" w:rsidR="00296614" w:rsidRPr="004637C7" w:rsidRDefault="00296614" w:rsidP="00296614">
            <w:pPr>
              <w:rPr>
                <w:rFonts w:asciiTheme="minorHAnsi" w:hAnsiTheme="minorHAnsi" w:cstheme="minorHAnsi"/>
                <w:szCs w:val="20"/>
                <w:lang w:eastAsia="fr-FR" w:bidi="ar-SA"/>
              </w:rPr>
            </w:pPr>
            <w:r w:rsidRPr="004637C7">
              <w:rPr>
                <w:rFonts w:asciiTheme="minorHAnsi" w:hAnsiTheme="minorHAnsi" w:cstheme="minorHAnsi"/>
                <w:szCs w:val="20"/>
                <w:lang w:eastAsia="fr-FR" w:bidi="ar-SA"/>
              </w:rPr>
              <w:t>Impact / Risque</w:t>
            </w:r>
          </w:p>
        </w:tc>
        <w:tc>
          <w:tcPr>
            <w:tcW w:w="0" w:type="auto"/>
            <w:hideMark/>
          </w:tcPr>
          <w:p w14:paraId="4F0F4197" w14:textId="77777777" w:rsidR="00296614" w:rsidRPr="004637C7" w:rsidRDefault="00296614" w:rsidP="00296614">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sidRPr="004637C7">
              <w:rPr>
                <w:rFonts w:asciiTheme="minorHAnsi" w:hAnsiTheme="minorHAnsi" w:cstheme="minorHAnsi"/>
                <w:szCs w:val="20"/>
                <w:lang w:eastAsia="fr-FR" w:bidi="ar-SA"/>
              </w:rPr>
              <w:t>Niveau d’atténuation</w:t>
            </w:r>
          </w:p>
        </w:tc>
        <w:tc>
          <w:tcPr>
            <w:tcW w:w="0" w:type="auto"/>
            <w:hideMark/>
          </w:tcPr>
          <w:p w14:paraId="1754299B" w14:textId="77777777" w:rsidR="00296614" w:rsidRPr="004637C7" w:rsidRDefault="00296614" w:rsidP="00296614">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sidRPr="004637C7">
              <w:rPr>
                <w:rFonts w:asciiTheme="minorHAnsi" w:hAnsiTheme="minorHAnsi" w:cstheme="minorHAnsi"/>
                <w:szCs w:val="20"/>
                <w:lang w:eastAsia="fr-FR" w:bidi="ar-SA"/>
              </w:rPr>
              <w:t>Mesure d’atténuation / de gestion</w:t>
            </w:r>
          </w:p>
        </w:tc>
        <w:tc>
          <w:tcPr>
            <w:tcW w:w="0" w:type="auto"/>
            <w:hideMark/>
          </w:tcPr>
          <w:p w14:paraId="12CCDA6E" w14:textId="77777777" w:rsidR="00296614" w:rsidRPr="004637C7" w:rsidRDefault="00296614" w:rsidP="00296614">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sidRPr="004637C7">
              <w:rPr>
                <w:rFonts w:asciiTheme="minorHAnsi" w:hAnsiTheme="minorHAnsi" w:cstheme="minorHAnsi"/>
                <w:szCs w:val="20"/>
                <w:lang w:eastAsia="fr-FR" w:bidi="ar-SA"/>
              </w:rPr>
              <w:t>Indicateurs de performance (KPI)</w:t>
            </w:r>
          </w:p>
        </w:tc>
        <w:tc>
          <w:tcPr>
            <w:tcW w:w="0" w:type="auto"/>
            <w:hideMark/>
          </w:tcPr>
          <w:p w14:paraId="57E46D80" w14:textId="77777777" w:rsidR="00296614" w:rsidRPr="004637C7" w:rsidRDefault="00296614" w:rsidP="00296614">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sidRPr="004637C7">
              <w:rPr>
                <w:rFonts w:asciiTheme="minorHAnsi" w:hAnsiTheme="minorHAnsi" w:cstheme="minorHAnsi"/>
                <w:szCs w:val="20"/>
                <w:lang w:eastAsia="fr-FR" w:bidi="ar-SA"/>
              </w:rPr>
              <w:t>Mise en œuvre</w:t>
            </w:r>
          </w:p>
        </w:tc>
        <w:tc>
          <w:tcPr>
            <w:tcW w:w="0" w:type="auto"/>
            <w:hideMark/>
          </w:tcPr>
          <w:p w14:paraId="7149A289" w14:textId="77777777" w:rsidR="00296614" w:rsidRPr="004637C7" w:rsidRDefault="00296614" w:rsidP="00296614">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sidRPr="004637C7">
              <w:rPr>
                <w:rFonts w:asciiTheme="minorHAnsi" w:hAnsiTheme="minorHAnsi" w:cstheme="minorHAnsi"/>
                <w:szCs w:val="20"/>
                <w:lang w:eastAsia="fr-FR" w:bidi="ar-SA"/>
              </w:rPr>
              <w:t>Surveillance</w:t>
            </w:r>
          </w:p>
        </w:tc>
        <w:tc>
          <w:tcPr>
            <w:tcW w:w="0" w:type="auto"/>
            <w:hideMark/>
          </w:tcPr>
          <w:p w14:paraId="30ED5636" w14:textId="77777777" w:rsidR="00296614" w:rsidRPr="004637C7" w:rsidRDefault="00296614" w:rsidP="00296614">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sidRPr="004637C7">
              <w:rPr>
                <w:rFonts w:asciiTheme="minorHAnsi" w:hAnsiTheme="minorHAnsi" w:cstheme="minorHAnsi"/>
                <w:szCs w:val="20"/>
                <w:lang w:eastAsia="fr-FR" w:bidi="ar-SA"/>
              </w:rPr>
              <w:t>Suivi</w:t>
            </w:r>
          </w:p>
        </w:tc>
        <w:tc>
          <w:tcPr>
            <w:tcW w:w="0" w:type="auto"/>
            <w:hideMark/>
          </w:tcPr>
          <w:p w14:paraId="1C111396" w14:textId="77777777" w:rsidR="00296614" w:rsidRPr="004637C7" w:rsidRDefault="00296614" w:rsidP="00296614">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sidRPr="004637C7">
              <w:rPr>
                <w:rFonts w:asciiTheme="minorHAnsi" w:hAnsiTheme="minorHAnsi" w:cstheme="minorHAnsi"/>
                <w:szCs w:val="20"/>
                <w:lang w:eastAsia="fr-FR" w:bidi="ar-SA"/>
              </w:rPr>
              <w:t>Calendrier</w:t>
            </w:r>
          </w:p>
        </w:tc>
        <w:tc>
          <w:tcPr>
            <w:tcW w:w="0" w:type="auto"/>
          </w:tcPr>
          <w:p w14:paraId="01E60F72" w14:textId="400BEF41" w:rsidR="00296614" w:rsidRPr="004637C7" w:rsidRDefault="00296614" w:rsidP="00296614">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sidRPr="004637C7">
              <w:rPr>
                <w:rFonts w:asciiTheme="minorHAnsi" w:hAnsiTheme="minorHAnsi" w:cstheme="minorHAnsi"/>
                <w:szCs w:val="20"/>
                <w:lang w:eastAsia="fr-FR" w:bidi="ar-SA"/>
              </w:rPr>
              <w:t>Coût</w:t>
            </w:r>
          </w:p>
        </w:tc>
      </w:tr>
      <w:tr w:rsidR="004F3ECE" w:rsidRPr="007A6057" w14:paraId="63A6757E" w14:textId="77777777" w:rsidTr="00296614">
        <w:tc>
          <w:tcPr>
            <w:cnfStyle w:val="001000000000" w:firstRow="0" w:lastRow="0" w:firstColumn="1" w:lastColumn="0" w:oddVBand="0" w:evenVBand="0" w:oddHBand="0" w:evenHBand="0" w:firstRowFirstColumn="0" w:firstRowLastColumn="0" w:lastRowFirstColumn="0" w:lastRowLastColumn="0"/>
            <w:tcW w:w="0" w:type="auto"/>
            <w:vMerge w:val="restart"/>
            <w:hideMark/>
          </w:tcPr>
          <w:p w14:paraId="0255516A" w14:textId="77777777" w:rsidR="00E2214E" w:rsidRPr="004637C7" w:rsidRDefault="00E2214E" w:rsidP="00E2214E">
            <w:pPr>
              <w:rPr>
                <w:rFonts w:asciiTheme="minorHAnsi" w:hAnsiTheme="minorHAnsi" w:cstheme="minorHAnsi"/>
                <w:szCs w:val="20"/>
                <w:lang w:eastAsia="fr-FR" w:bidi="ar-SA"/>
              </w:rPr>
            </w:pPr>
            <w:r w:rsidRPr="004637C7">
              <w:rPr>
                <w:rFonts w:asciiTheme="minorHAnsi" w:hAnsiTheme="minorHAnsi" w:cstheme="minorHAnsi"/>
                <w:szCs w:val="20"/>
                <w:lang w:eastAsia="fr-FR" w:bidi="ar-SA"/>
              </w:rPr>
              <w:t>Dégradation locale du sol par dépôt temporaire de déblais ou déchets inertes</w:t>
            </w:r>
          </w:p>
        </w:tc>
        <w:tc>
          <w:tcPr>
            <w:tcW w:w="0" w:type="auto"/>
            <w:hideMark/>
          </w:tcPr>
          <w:p w14:paraId="1E210575" w14:textId="77777777" w:rsidR="00E2214E" w:rsidRPr="004637C7" w:rsidRDefault="00E2214E" w:rsidP="00E2214E">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sidRPr="004637C7">
              <w:rPr>
                <w:rFonts w:asciiTheme="minorHAnsi" w:hAnsiTheme="minorHAnsi" w:cstheme="minorHAnsi"/>
                <w:szCs w:val="20"/>
                <w:lang w:eastAsia="fr-FR" w:bidi="ar-SA"/>
              </w:rPr>
              <w:t>Éviter</w:t>
            </w:r>
          </w:p>
        </w:tc>
        <w:tc>
          <w:tcPr>
            <w:tcW w:w="0" w:type="auto"/>
            <w:hideMark/>
          </w:tcPr>
          <w:p w14:paraId="73DB2AF3" w14:textId="453DE033" w:rsidR="00E2214E" w:rsidRPr="004637C7" w:rsidRDefault="00E2214E" w:rsidP="00E2214E">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sidRPr="004637C7">
              <w:rPr>
                <w:rFonts w:asciiTheme="minorHAnsi" w:hAnsiTheme="minorHAnsi" w:cstheme="minorHAnsi"/>
                <w:szCs w:val="20"/>
                <w:lang w:eastAsia="fr-FR" w:bidi="ar-SA"/>
              </w:rPr>
              <w:t>Etablir et mettre en œuvre un Plan de Gestion des déblais et remblais définissant les zones de stockage autorisées et interdisant tout dépôt hors emprise du chantier.</w:t>
            </w:r>
          </w:p>
        </w:tc>
        <w:tc>
          <w:tcPr>
            <w:tcW w:w="0" w:type="auto"/>
            <w:hideMark/>
          </w:tcPr>
          <w:p w14:paraId="3A0BAE21" w14:textId="64DA1557" w:rsidR="00E2214E" w:rsidRPr="004637C7" w:rsidRDefault="00E2214E" w:rsidP="00E2214E">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sidRPr="004637C7">
              <w:rPr>
                <w:rFonts w:asciiTheme="minorHAnsi" w:hAnsiTheme="minorHAnsi" w:cstheme="minorHAnsi"/>
                <w:szCs w:val="20"/>
                <w:lang w:eastAsia="fr-FR" w:bidi="ar-SA"/>
              </w:rPr>
              <w:t>Plan validé et diffusé</w:t>
            </w:r>
          </w:p>
        </w:tc>
        <w:tc>
          <w:tcPr>
            <w:tcW w:w="0" w:type="auto"/>
            <w:hideMark/>
          </w:tcPr>
          <w:p w14:paraId="6D23F995" w14:textId="23BDF6B1" w:rsidR="00E2214E" w:rsidRPr="004637C7" w:rsidRDefault="00E2214E" w:rsidP="00E2214E">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sidRPr="002E0EF5">
              <w:rPr>
                <w:szCs w:val="20"/>
                <w:lang w:eastAsia="zh-CN" w:bidi="ar-SA"/>
              </w:rPr>
              <w:t>EPC / Sous-traitants</w:t>
            </w:r>
          </w:p>
        </w:tc>
        <w:tc>
          <w:tcPr>
            <w:tcW w:w="0" w:type="auto"/>
            <w:hideMark/>
          </w:tcPr>
          <w:p w14:paraId="182AC1EB" w14:textId="26D1FA5E" w:rsidR="00E2214E" w:rsidRPr="004637C7" w:rsidRDefault="00E2214E" w:rsidP="00E2214E">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sidRPr="002E0EF5">
              <w:rPr>
                <w:szCs w:val="20"/>
                <w:lang w:eastAsia="zh-CN" w:bidi="ar-SA"/>
              </w:rPr>
              <w:t>Bureau de contrôle / Consultant mandaté par l’ONDA</w:t>
            </w:r>
          </w:p>
        </w:tc>
        <w:tc>
          <w:tcPr>
            <w:tcW w:w="0" w:type="auto"/>
            <w:hideMark/>
          </w:tcPr>
          <w:p w14:paraId="3B5E005B" w14:textId="778653DE" w:rsidR="00E2214E" w:rsidRPr="004637C7" w:rsidRDefault="00E2214E" w:rsidP="00E2214E">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sidRPr="002E0EF5">
              <w:rPr>
                <w:szCs w:val="20"/>
                <w:lang w:eastAsia="zh-CN" w:bidi="ar-SA"/>
              </w:rPr>
              <w:t>ONDA</w:t>
            </w:r>
          </w:p>
        </w:tc>
        <w:tc>
          <w:tcPr>
            <w:tcW w:w="0" w:type="auto"/>
            <w:hideMark/>
          </w:tcPr>
          <w:p w14:paraId="20406E70" w14:textId="77777777" w:rsidR="00E2214E" w:rsidRPr="004637C7" w:rsidRDefault="00E2214E" w:rsidP="00E2214E">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sidRPr="004637C7">
              <w:rPr>
                <w:rFonts w:asciiTheme="minorHAnsi" w:hAnsiTheme="minorHAnsi" w:cstheme="minorHAnsi"/>
                <w:szCs w:val="20"/>
                <w:lang w:eastAsia="fr-FR" w:bidi="ar-SA"/>
              </w:rPr>
              <w:t>Avant démarrage</w:t>
            </w:r>
          </w:p>
        </w:tc>
        <w:tc>
          <w:tcPr>
            <w:tcW w:w="0" w:type="auto"/>
          </w:tcPr>
          <w:p w14:paraId="68656B80" w14:textId="247F65DB" w:rsidR="00E2214E" w:rsidRPr="004637C7" w:rsidRDefault="00D6585A" w:rsidP="00E2214E">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sidRPr="00D6585A">
              <w:rPr>
                <w:rFonts w:asciiTheme="minorHAnsi" w:hAnsiTheme="minorHAnsi" w:cstheme="minorHAnsi"/>
                <w:szCs w:val="20"/>
                <w:lang w:eastAsia="fr-FR" w:bidi="ar-SA"/>
              </w:rPr>
              <w:t xml:space="preserve">10 000 – 20 000 </w:t>
            </w:r>
            <w:r>
              <w:rPr>
                <w:rFonts w:asciiTheme="minorHAnsi" w:hAnsiTheme="minorHAnsi" w:cstheme="minorHAnsi"/>
                <w:szCs w:val="20"/>
                <w:lang w:eastAsia="fr-FR" w:bidi="ar-SA"/>
              </w:rPr>
              <w:t xml:space="preserve">MAD </w:t>
            </w:r>
            <w:r w:rsidRPr="00D6585A">
              <w:rPr>
                <w:rFonts w:asciiTheme="minorHAnsi" w:hAnsiTheme="minorHAnsi" w:cstheme="minorHAnsi"/>
                <w:szCs w:val="20"/>
                <w:lang w:eastAsia="fr-FR" w:bidi="ar-SA"/>
              </w:rPr>
              <w:t>(forfait)</w:t>
            </w:r>
            <w:r>
              <w:rPr>
                <w:rFonts w:asciiTheme="minorHAnsi" w:hAnsiTheme="minorHAnsi" w:cstheme="minorHAnsi"/>
                <w:szCs w:val="20"/>
                <w:lang w:eastAsia="fr-FR" w:bidi="ar-SA"/>
              </w:rPr>
              <w:t xml:space="preserve"> (</w:t>
            </w:r>
            <w:r w:rsidRPr="00D6585A">
              <w:rPr>
                <w:rFonts w:asciiTheme="minorHAnsi" w:hAnsiTheme="minorHAnsi" w:cstheme="minorHAnsi"/>
                <w:szCs w:val="20"/>
                <w:lang w:eastAsia="fr-FR" w:bidi="ar-SA"/>
              </w:rPr>
              <w:t>Rédaction interne + validation par ONDA</w:t>
            </w:r>
            <w:r>
              <w:rPr>
                <w:rFonts w:asciiTheme="minorHAnsi" w:hAnsiTheme="minorHAnsi" w:cstheme="minorHAnsi"/>
                <w:szCs w:val="20"/>
                <w:lang w:eastAsia="fr-FR" w:bidi="ar-SA"/>
              </w:rPr>
              <w:t>)</w:t>
            </w:r>
          </w:p>
        </w:tc>
      </w:tr>
      <w:tr w:rsidR="004C54AD" w:rsidRPr="007A6057" w14:paraId="575D2E3F" w14:textId="77777777" w:rsidTr="009D0EF0">
        <w:trPr>
          <w:trHeight w:val="1560"/>
        </w:trPr>
        <w:tc>
          <w:tcPr>
            <w:cnfStyle w:val="001000000000" w:firstRow="0" w:lastRow="0" w:firstColumn="1" w:lastColumn="0" w:oddVBand="0" w:evenVBand="0" w:oddHBand="0" w:evenHBand="0" w:firstRowFirstColumn="0" w:firstRowLastColumn="0" w:lastRowFirstColumn="0" w:lastRowLastColumn="0"/>
            <w:tcW w:w="0" w:type="auto"/>
            <w:vMerge/>
            <w:hideMark/>
          </w:tcPr>
          <w:p w14:paraId="4F309690" w14:textId="77777777" w:rsidR="009D0EF0" w:rsidRPr="004637C7" w:rsidRDefault="009D0EF0" w:rsidP="00E2214E">
            <w:pPr>
              <w:rPr>
                <w:rFonts w:asciiTheme="minorHAnsi" w:hAnsiTheme="minorHAnsi" w:cstheme="minorHAnsi"/>
                <w:szCs w:val="20"/>
                <w:lang w:eastAsia="fr-FR" w:bidi="ar-SA"/>
              </w:rPr>
            </w:pPr>
          </w:p>
        </w:tc>
        <w:tc>
          <w:tcPr>
            <w:tcW w:w="0" w:type="auto"/>
            <w:vMerge w:val="restart"/>
            <w:hideMark/>
          </w:tcPr>
          <w:p w14:paraId="160CE4F6" w14:textId="77777777" w:rsidR="009D0EF0" w:rsidRPr="004637C7" w:rsidRDefault="009D0EF0" w:rsidP="00E2214E">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sidRPr="004637C7">
              <w:rPr>
                <w:rFonts w:asciiTheme="minorHAnsi" w:hAnsiTheme="minorHAnsi" w:cstheme="minorHAnsi"/>
                <w:szCs w:val="20"/>
                <w:lang w:eastAsia="fr-FR" w:bidi="ar-SA"/>
              </w:rPr>
              <w:t>Réduire</w:t>
            </w:r>
          </w:p>
        </w:tc>
        <w:tc>
          <w:tcPr>
            <w:tcW w:w="0" w:type="auto"/>
            <w:tcBorders>
              <w:bottom w:val="single" w:sz="4" w:space="0" w:color="B4C6E7" w:themeColor="accent1" w:themeTint="66"/>
            </w:tcBorders>
            <w:hideMark/>
          </w:tcPr>
          <w:p w14:paraId="07B87242" w14:textId="7E04175C" w:rsidR="009D0EF0" w:rsidRPr="004637C7" w:rsidRDefault="009D0EF0" w:rsidP="00E2214E">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sidRPr="004637C7">
              <w:rPr>
                <w:rFonts w:asciiTheme="minorHAnsi" w:hAnsiTheme="minorHAnsi" w:cstheme="minorHAnsi"/>
                <w:szCs w:val="20"/>
                <w:lang w:eastAsia="fr-FR" w:bidi="ar-SA"/>
              </w:rPr>
              <w:t>Couvrir les tas de déblais avec bâches légères ou filets fixés par sacs de sable pour éviter l’envol et le ruissellement ;</w:t>
            </w:r>
          </w:p>
        </w:tc>
        <w:tc>
          <w:tcPr>
            <w:tcW w:w="0" w:type="auto"/>
            <w:vMerge w:val="restart"/>
            <w:hideMark/>
          </w:tcPr>
          <w:p w14:paraId="4A040CFE" w14:textId="77777777" w:rsidR="009D0EF0" w:rsidRPr="004637C7" w:rsidRDefault="009D0EF0" w:rsidP="00E2214E">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sidRPr="004637C7">
              <w:rPr>
                <w:rFonts w:asciiTheme="minorHAnsi" w:hAnsiTheme="minorHAnsi" w:cstheme="minorHAnsi"/>
                <w:szCs w:val="20"/>
                <w:lang w:eastAsia="fr-FR" w:bidi="ar-SA"/>
              </w:rPr>
              <w:t>% de tas couverts ou stabilisés</w:t>
            </w:r>
          </w:p>
        </w:tc>
        <w:tc>
          <w:tcPr>
            <w:tcW w:w="0" w:type="auto"/>
            <w:vMerge w:val="restart"/>
            <w:hideMark/>
          </w:tcPr>
          <w:p w14:paraId="18733CE6" w14:textId="0F27867F" w:rsidR="009D0EF0" w:rsidRPr="004637C7" w:rsidRDefault="009D0EF0" w:rsidP="00E2214E">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sidRPr="002E0EF5">
              <w:rPr>
                <w:szCs w:val="20"/>
                <w:lang w:eastAsia="zh-CN" w:bidi="ar-SA"/>
              </w:rPr>
              <w:t>EPC / Sous-traitants</w:t>
            </w:r>
          </w:p>
        </w:tc>
        <w:tc>
          <w:tcPr>
            <w:tcW w:w="0" w:type="auto"/>
            <w:vMerge w:val="restart"/>
            <w:hideMark/>
          </w:tcPr>
          <w:p w14:paraId="17F4081E" w14:textId="396EFD31" w:rsidR="009D0EF0" w:rsidRPr="004637C7" w:rsidRDefault="009D0EF0" w:rsidP="00E2214E">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sidRPr="002E0EF5">
              <w:rPr>
                <w:szCs w:val="20"/>
                <w:lang w:eastAsia="zh-CN" w:bidi="ar-SA"/>
              </w:rPr>
              <w:t>Bureau de contrôle / Consultant mandaté par l’ONDA</w:t>
            </w:r>
          </w:p>
        </w:tc>
        <w:tc>
          <w:tcPr>
            <w:tcW w:w="0" w:type="auto"/>
            <w:vMerge w:val="restart"/>
            <w:hideMark/>
          </w:tcPr>
          <w:p w14:paraId="07E82218" w14:textId="3A2AF438" w:rsidR="009D0EF0" w:rsidRPr="004637C7" w:rsidRDefault="009D0EF0" w:rsidP="00E2214E">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sidRPr="002E0EF5">
              <w:rPr>
                <w:szCs w:val="20"/>
                <w:lang w:eastAsia="zh-CN" w:bidi="ar-SA"/>
              </w:rPr>
              <w:t>ONDA</w:t>
            </w:r>
          </w:p>
        </w:tc>
        <w:tc>
          <w:tcPr>
            <w:tcW w:w="0" w:type="auto"/>
            <w:vMerge w:val="restart"/>
            <w:hideMark/>
          </w:tcPr>
          <w:p w14:paraId="6F70B939" w14:textId="77777777" w:rsidR="009D0EF0" w:rsidRPr="004637C7" w:rsidRDefault="009D0EF0" w:rsidP="00E2214E">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sidRPr="004637C7">
              <w:rPr>
                <w:rFonts w:asciiTheme="minorHAnsi" w:hAnsiTheme="minorHAnsi" w:cstheme="minorHAnsi"/>
                <w:szCs w:val="20"/>
                <w:lang w:eastAsia="fr-FR" w:bidi="ar-SA"/>
              </w:rPr>
              <w:t>Permanent</w:t>
            </w:r>
          </w:p>
        </w:tc>
        <w:tc>
          <w:tcPr>
            <w:tcW w:w="0" w:type="auto"/>
            <w:tcBorders>
              <w:bottom w:val="single" w:sz="4" w:space="0" w:color="B4C6E7" w:themeColor="accent1" w:themeTint="66"/>
            </w:tcBorders>
          </w:tcPr>
          <w:p w14:paraId="193C2D12" w14:textId="78802FF9" w:rsidR="009D0EF0" w:rsidRDefault="009D0EF0" w:rsidP="00E2214E">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sidRPr="00FF3126">
              <w:rPr>
                <w:rFonts w:asciiTheme="minorHAnsi" w:hAnsiTheme="minorHAnsi" w:cstheme="minorHAnsi"/>
                <w:szCs w:val="20"/>
                <w:lang w:eastAsia="fr-FR" w:bidi="ar-SA"/>
              </w:rPr>
              <w:t xml:space="preserve">25 – 35 </w:t>
            </w:r>
            <w:r>
              <w:rPr>
                <w:rFonts w:asciiTheme="minorHAnsi" w:hAnsiTheme="minorHAnsi" w:cstheme="minorHAnsi"/>
                <w:szCs w:val="20"/>
                <w:lang w:eastAsia="fr-FR" w:bidi="ar-SA"/>
              </w:rPr>
              <w:t>MAD</w:t>
            </w:r>
            <w:r w:rsidRPr="00FF3126">
              <w:rPr>
                <w:rFonts w:asciiTheme="minorHAnsi" w:hAnsiTheme="minorHAnsi" w:cstheme="minorHAnsi"/>
                <w:szCs w:val="20"/>
                <w:lang w:eastAsia="fr-FR" w:bidi="ar-SA"/>
              </w:rPr>
              <w:t>/m² (bâche</w:t>
            </w:r>
            <w:r>
              <w:rPr>
                <w:rFonts w:asciiTheme="minorHAnsi" w:hAnsiTheme="minorHAnsi" w:cstheme="minorHAnsi"/>
                <w:szCs w:val="20"/>
                <w:lang w:eastAsia="fr-FR" w:bidi="ar-SA"/>
              </w:rPr>
              <w:t xml:space="preserve"> </w:t>
            </w:r>
            <w:r w:rsidRPr="00FF3126">
              <w:rPr>
                <w:rFonts w:asciiTheme="minorHAnsi" w:hAnsiTheme="minorHAnsi" w:cstheme="minorHAnsi"/>
                <w:szCs w:val="20"/>
                <w:lang w:eastAsia="fr-FR" w:bidi="ar-SA"/>
              </w:rPr>
              <w:t xml:space="preserve">PEHD 150 µm ou filets anti-poussière) </w:t>
            </w:r>
          </w:p>
          <w:p w14:paraId="37C4530B" w14:textId="46733C7A" w:rsidR="009D0EF0" w:rsidRDefault="009D0EF0" w:rsidP="00E2214E">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sidRPr="00FF3126">
              <w:rPr>
                <w:rFonts w:asciiTheme="minorHAnsi" w:hAnsiTheme="minorHAnsi" w:cstheme="minorHAnsi"/>
                <w:szCs w:val="20"/>
                <w:lang w:eastAsia="fr-FR" w:bidi="ar-SA"/>
              </w:rPr>
              <w:t xml:space="preserve">5 – 7 </w:t>
            </w:r>
            <w:r>
              <w:rPr>
                <w:rFonts w:asciiTheme="minorHAnsi" w:hAnsiTheme="minorHAnsi" w:cstheme="minorHAnsi"/>
                <w:szCs w:val="20"/>
                <w:lang w:eastAsia="fr-FR" w:bidi="ar-SA"/>
              </w:rPr>
              <w:t>MAD</w:t>
            </w:r>
            <w:r w:rsidRPr="00FF3126">
              <w:rPr>
                <w:rFonts w:asciiTheme="minorHAnsi" w:hAnsiTheme="minorHAnsi" w:cstheme="minorHAnsi"/>
                <w:szCs w:val="20"/>
                <w:lang w:eastAsia="fr-FR" w:bidi="ar-SA"/>
              </w:rPr>
              <w:t>/sac</w:t>
            </w:r>
            <w:r>
              <w:rPr>
                <w:rFonts w:asciiTheme="minorHAnsi" w:hAnsiTheme="minorHAnsi" w:cstheme="minorHAnsi"/>
                <w:szCs w:val="20"/>
                <w:lang w:eastAsia="fr-FR" w:bidi="ar-SA"/>
              </w:rPr>
              <w:t xml:space="preserve"> de sable</w:t>
            </w:r>
          </w:p>
          <w:p w14:paraId="66F0DF38" w14:textId="53ED294F" w:rsidR="009D0EF0" w:rsidRPr="004637C7" w:rsidRDefault="009D0EF0" w:rsidP="00E2214E">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p>
        </w:tc>
      </w:tr>
      <w:tr w:rsidR="004C54AD" w:rsidRPr="007A6057" w14:paraId="247DB0B7" w14:textId="77777777" w:rsidTr="009D0EF0">
        <w:trPr>
          <w:trHeight w:val="1040"/>
        </w:trPr>
        <w:tc>
          <w:tcPr>
            <w:cnfStyle w:val="001000000000" w:firstRow="0" w:lastRow="0" w:firstColumn="1" w:lastColumn="0" w:oddVBand="0" w:evenVBand="0" w:oddHBand="0" w:evenHBand="0" w:firstRowFirstColumn="0" w:firstRowLastColumn="0" w:lastRowFirstColumn="0" w:lastRowLastColumn="0"/>
            <w:tcW w:w="0" w:type="auto"/>
            <w:vMerge/>
          </w:tcPr>
          <w:p w14:paraId="0B881F39" w14:textId="77777777" w:rsidR="009D0EF0" w:rsidRPr="004637C7" w:rsidRDefault="009D0EF0" w:rsidP="00E2214E">
            <w:pPr>
              <w:rPr>
                <w:rFonts w:asciiTheme="minorHAnsi" w:hAnsiTheme="minorHAnsi" w:cstheme="minorHAnsi"/>
                <w:szCs w:val="20"/>
                <w:lang w:eastAsia="fr-FR" w:bidi="ar-SA"/>
              </w:rPr>
            </w:pPr>
          </w:p>
        </w:tc>
        <w:tc>
          <w:tcPr>
            <w:tcW w:w="0" w:type="auto"/>
            <w:vMerge/>
          </w:tcPr>
          <w:p w14:paraId="00228AB4" w14:textId="77777777" w:rsidR="009D0EF0" w:rsidRPr="004637C7" w:rsidRDefault="009D0EF0" w:rsidP="00E2214E">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p>
        </w:tc>
        <w:tc>
          <w:tcPr>
            <w:tcW w:w="0" w:type="auto"/>
            <w:tcBorders>
              <w:top w:val="single" w:sz="4" w:space="0" w:color="B4C6E7" w:themeColor="accent1" w:themeTint="66"/>
            </w:tcBorders>
          </w:tcPr>
          <w:p w14:paraId="482FC952" w14:textId="77777777" w:rsidR="009D0EF0" w:rsidRPr="004637C7" w:rsidRDefault="009D0EF0" w:rsidP="009D0EF0">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sidRPr="004637C7">
              <w:rPr>
                <w:rFonts w:asciiTheme="minorHAnsi" w:hAnsiTheme="minorHAnsi" w:cstheme="minorHAnsi"/>
                <w:szCs w:val="20"/>
                <w:lang w:eastAsia="fr-FR" w:bidi="ar-SA"/>
              </w:rPr>
              <w:t>Étaler les matériaux plutôt que d’en faire des tas hauts.</w:t>
            </w:r>
          </w:p>
        </w:tc>
        <w:tc>
          <w:tcPr>
            <w:tcW w:w="0" w:type="auto"/>
            <w:vMerge/>
          </w:tcPr>
          <w:p w14:paraId="6C4B35E4" w14:textId="77777777" w:rsidR="009D0EF0" w:rsidRPr="004637C7" w:rsidRDefault="009D0EF0" w:rsidP="00E2214E">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p>
        </w:tc>
        <w:tc>
          <w:tcPr>
            <w:tcW w:w="0" w:type="auto"/>
            <w:vMerge/>
          </w:tcPr>
          <w:p w14:paraId="1C5F51A8" w14:textId="77777777" w:rsidR="009D0EF0" w:rsidRPr="002E0EF5" w:rsidRDefault="009D0EF0" w:rsidP="00E2214E">
            <w:pPr>
              <w:cnfStyle w:val="000000000000" w:firstRow="0" w:lastRow="0" w:firstColumn="0" w:lastColumn="0" w:oddVBand="0" w:evenVBand="0" w:oddHBand="0" w:evenHBand="0" w:firstRowFirstColumn="0" w:firstRowLastColumn="0" w:lastRowFirstColumn="0" w:lastRowLastColumn="0"/>
              <w:rPr>
                <w:szCs w:val="20"/>
                <w:lang w:eastAsia="zh-CN" w:bidi="ar-SA"/>
              </w:rPr>
            </w:pPr>
          </w:p>
        </w:tc>
        <w:tc>
          <w:tcPr>
            <w:tcW w:w="0" w:type="auto"/>
            <w:vMerge/>
          </w:tcPr>
          <w:p w14:paraId="0FCC6E2E" w14:textId="77777777" w:rsidR="009D0EF0" w:rsidRPr="002E0EF5" w:rsidRDefault="009D0EF0" w:rsidP="00E2214E">
            <w:pPr>
              <w:cnfStyle w:val="000000000000" w:firstRow="0" w:lastRow="0" w:firstColumn="0" w:lastColumn="0" w:oddVBand="0" w:evenVBand="0" w:oddHBand="0" w:evenHBand="0" w:firstRowFirstColumn="0" w:firstRowLastColumn="0" w:lastRowFirstColumn="0" w:lastRowLastColumn="0"/>
              <w:rPr>
                <w:szCs w:val="20"/>
                <w:lang w:eastAsia="zh-CN" w:bidi="ar-SA"/>
              </w:rPr>
            </w:pPr>
          </w:p>
        </w:tc>
        <w:tc>
          <w:tcPr>
            <w:tcW w:w="0" w:type="auto"/>
            <w:vMerge/>
          </w:tcPr>
          <w:p w14:paraId="30AB8D83" w14:textId="77777777" w:rsidR="009D0EF0" w:rsidRPr="002E0EF5" w:rsidRDefault="009D0EF0" w:rsidP="00E2214E">
            <w:pPr>
              <w:cnfStyle w:val="000000000000" w:firstRow="0" w:lastRow="0" w:firstColumn="0" w:lastColumn="0" w:oddVBand="0" w:evenVBand="0" w:oddHBand="0" w:evenHBand="0" w:firstRowFirstColumn="0" w:firstRowLastColumn="0" w:lastRowFirstColumn="0" w:lastRowLastColumn="0"/>
              <w:rPr>
                <w:szCs w:val="20"/>
                <w:lang w:eastAsia="zh-CN" w:bidi="ar-SA"/>
              </w:rPr>
            </w:pPr>
          </w:p>
        </w:tc>
        <w:tc>
          <w:tcPr>
            <w:tcW w:w="0" w:type="auto"/>
            <w:vMerge/>
          </w:tcPr>
          <w:p w14:paraId="4060BA46" w14:textId="77777777" w:rsidR="009D0EF0" w:rsidRPr="004637C7" w:rsidRDefault="009D0EF0" w:rsidP="00E2214E">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p>
        </w:tc>
        <w:tc>
          <w:tcPr>
            <w:tcW w:w="0" w:type="auto"/>
            <w:tcBorders>
              <w:top w:val="single" w:sz="4" w:space="0" w:color="B4C6E7" w:themeColor="accent1" w:themeTint="66"/>
            </w:tcBorders>
          </w:tcPr>
          <w:p w14:paraId="59D6E78B" w14:textId="7C19B5C1" w:rsidR="009D0EF0" w:rsidRPr="00FF3126" w:rsidRDefault="009D0EF0" w:rsidP="00E2214E">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sidRPr="009D0EF0">
              <w:rPr>
                <w:rFonts w:asciiTheme="minorHAnsi" w:hAnsiTheme="minorHAnsi" w:cstheme="minorHAnsi"/>
                <w:szCs w:val="20"/>
                <w:lang w:eastAsia="fr-FR" w:bidi="ar-SA"/>
              </w:rPr>
              <w:t>Aucun coût spécifique</w:t>
            </w:r>
          </w:p>
        </w:tc>
      </w:tr>
      <w:tr w:rsidR="004F3ECE" w:rsidRPr="007A6057" w14:paraId="3BEE9805" w14:textId="77777777" w:rsidTr="00296614">
        <w:tc>
          <w:tcPr>
            <w:cnfStyle w:val="001000000000" w:firstRow="0" w:lastRow="0" w:firstColumn="1" w:lastColumn="0" w:oddVBand="0" w:evenVBand="0" w:oddHBand="0" w:evenHBand="0" w:firstRowFirstColumn="0" w:firstRowLastColumn="0" w:lastRowFirstColumn="0" w:lastRowLastColumn="0"/>
            <w:tcW w:w="0" w:type="auto"/>
            <w:vMerge/>
          </w:tcPr>
          <w:p w14:paraId="4761E650" w14:textId="77777777" w:rsidR="00E2214E" w:rsidRPr="004637C7" w:rsidRDefault="00E2214E" w:rsidP="00E2214E">
            <w:pPr>
              <w:rPr>
                <w:rFonts w:asciiTheme="minorHAnsi" w:hAnsiTheme="minorHAnsi" w:cstheme="minorHAnsi"/>
                <w:szCs w:val="20"/>
                <w:lang w:eastAsia="fr-FR" w:bidi="ar-SA"/>
              </w:rPr>
            </w:pPr>
          </w:p>
        </w:tc>
        <w:tc>
          <w:tcPr>
            <w:tcW w:w="0" w:type="auto"/>
            <w:vMerge/>
          </w:tcPr>
          <w:p w14:paraId="11CD52FF" w14:textId="77777777" w:rsidR="00E2214E" w:rsidRPr="004637C7" w:rsidRDefault="00E2214E" w:rsidP="00E2214E">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p>
        </w:tc>
        <w:tc>
          <w:tcPr>
            <w:tcW w:w="0" w:type="auto"/>
          </w:tcPr>
          <w:p w14:paraId="0CF5C281" w14:textId="7F6719C2" w:rsidR="00E2214E" w:rsidRPr="004637C7" w:rsidRDefault="00E2214E" w:rsidP="00E2214E">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sidRPr="004637C7">
              <w:rPr>
                <w:rFonts w:asciiTheme="minorHAnsi" w:hAnsiTheme="minorHAnsi" w:cstheme="minorHAnsi"/>
                <w:szCs w:val="20"/>
                <w:lang w:eastAsia="fr-FR" w:bidi="ar-SA"/>
              </w:rPr>
              <w:t xml:space="preserve">Réutiliser les déblais inertes pour les remblais ou nivellements internes du chantier (après contrôle de qualité) afin de réduire la </w:t>
            </w:r>
            <w:r w:rsidRPr="004637C7">
              <w:rPr>
                <w:rFonts w:asciiTheme="minorHAnsi" w:hAnsiTheme="minorHAnsi" w:cstheme="minorHAnsi"/>
                <w:szCs w:val="20"/>
                <w:lang w:eastAsia="fr-FR" w:bidi="ar-SA"/>
              </w:rPr>
              <w:lastRenderedPageBreak/>
              <w:t>quantité de déchets à évacuer.</w:t>
            </w:r>
          </w:p>
        </w:tc>
        <w:tc>
          <w:tcPr>
            <w:tcW w:w="0" w:type="auto"/>
          </w:tcPr>
          <w:p w14:paraId="4B02B99B" w14:textId="77777777" w:rsidR="00E2214E" w:rsidRPr="004637C7" w:rsidRDefault="00E2214E" w:rsidP="00E2214E">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sidRPr="004637C7">
              <w:rPr>
                <w:rFonts w:asciiTheme="minorHAnsi" w:hAnsiTheme="minorHAnsi" w:cstheme="minorHAnsi"/>
                <w:szCs w:val="20"/>
                <w:lang w:eastAsia="fr-FR" w:bidi="ar-SA"/>
              </w:rPr>
              <w:lastRenderedPageBreak/>
              <w:t>- % de déblais réutilisés sur site / volume total généré</w:t>
            </w:r>
          </w:p>
          <w:p w14:paraId="4B337560" w14:textId="2CF1958B" w:rsidR="00E2214E" w:rsidRPr="004637C7" w:rsidRDefault="00E2214E" w:rsidP="00E2214E">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sidRPr="004637C7">
              <w:rPr>
                <w:rFonts w:asciiTheme="minorHAnsi" w:hAnsiTheme="minorHAnsi" w:cstheme="minorHAnsi"/>
                <w:szCs w:val="20"/>
                <w:lang w:eastAsia="fr-FR" w:bidi="ar-SA"/>
              </w:rPr>
              <w:t xml:space="preserve">- Volume total de matériaux </w:t>
            </w:r>
            <w:r w:rsidRPr="004637C7">
              <w:rPr>
                <w:rFonts w:asciiTheme="minorHAnsi" w:hAnsiTheme="minorHAnsi" w:cstheme="minorHAnsi"/>
                <w:szCs w:val="20"/>
                <w:lang w:eastAsia="fr-FR" w:bidi="ar-SA"/>
              </w:rPr>
              <w:lastRenderedPageBreak/>
              <w:t>réutilisés (m³ ou tonnes)</w:t>
            </w:r>
          </w:p>
        </w:tc>
        <w:tc>
          <w:tcPr>
            <w:tcW w:w="0" w:type="auto"/>
          </w:tcPr>
          <w:p w14:paraId="102ACBA7" w14:textId="072D7321" w:rsidR="00E2214E" w:rsidRPr="004637C7" w:rsidRDefault="00E2214E" w:rsidP="00E2214E">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sidRPr="002E0EF5">
              <w:rPr>
                <w:szCs w:val="20"/>
                <w:lang w:eastAsia="zh-CN" w:bidi="ar-SA"/>
              </w:rPr>
              <w:lastRenderedPageBreak/>
              <w:t>EPC / Sous-traitants</w:t>
            </w:r>
          </w:p>
        </w:tc>
        <w:tc>
          <w:tcPr>
            <w:tcW w:w="0" w:type="auto"/>
          </w:tcPr>
          <w:p w14:paraId="54D38F19" w14:textId="0C7F2433" w:rsidR="00E2214E" w:rsidRPr="004637C7" w:rsidRDefault="00E2214E" w:rsidP="00E2214E">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sidRPr="002E0EF5">
              <w:rPr>
                <w:szCs w:val="20"/>
                <w:lang w:eastAsia="zh-CN" w:bidi="ar-SA"/>
              </w:rPr>
              <w:t>Bureau de contrôle / Consultant mandaté par l’ONDA</w:t>
            </w:r>
          </w:p>
        </w:tc>
        <w:tc>
          <w:tcPr>
            <w:tcW w:w="0" w:type="auto"/>
          </w:tcPr>
          <w:p w14:paraId="53258C38" w14:textId="00442FE7" w:rsidR="00E2214E" w:rsidRPr="004637C7" w:rsidRDefault="00E2214E" w:rsidP="00E2214E">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sidRPr="002E0EF5">
              <w:rPr>
                <w:szCs w:val="20"/>
                <w:lang w:eastAsia="zh-CN" w:bidi="ar-SA"/>
              </w:rPr>
              <w:t>ONDA</w:t>
            </w:r>
          </w:p>
        </w:tc>
        <w:tc>
          <w:tcPr>
            <w:tcW w:w="0" w:type="auto"/>
          </w:tcPr>
          <w:p w14:paraId="62812DE3" w14:textId="77F06A1A" w:rsidR="00E2214E" w:rsidRPr="004637C7" w:rsidRDefault="00E2214E" w:rsidP="00E2214E">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sidRPr="004637C7">
              <w:rPr>
                <w:rFonts w:asciiTheme="minorHAnsi" w:hAnsiTheme="minorHAnsi" w:cstheme="minorHAnsi"/>
                <w:szCs w:val="20"/>
                <w:lang w:eastAsia="fr-FR" w:bidi="ar-SA"/>
              </w:rPr>
              <w:t>Hebdomadaire (chantier) / Mensuel (rapport)</w:t>
            </w:r>
          </w:p>
        </w:tc>
        <w:tc>
          <w:tcPr>
            <w:tcW w:w="0" w:type="auto"/>
          </w:tcPr>
          <w:p w14:paraId="10CA4CBD" w14:textId="4DE3FDD2" w:rsidR="00E2214E" w:rsidRPr="004637C7" w:rsidRDefault="008E7E42" w:rsidP="00E2214E">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sidRPr="008E7E42">
              <w:rPr>
                <w:rFonts w:asciiTheme="minorHAnsi" w:hAnsiTheme="minorHAnsi" w:cstheme="minorHAnsi"/>
                <w:szCs w:val="20"/>
                <w:lang w:eastAsia="fr-FR" w:bidi="ar-SA"/>
              </w:rPr>
              <w:t>Aucun coût spécifique</w:t>
            </w:r>
          </w:p>
        </w:tc>
      </w:tr>
      <w:tr w:rsidR="004F3ECE" w:rsidRPr="007A6057" w14:paraId="6990127C" w14:textId="77777777" w:rsidTr="00296614">
        <w:tc>
          <w:tcPr>
            <w:cnfStyle w:val="001000000000" w:firstRow="0" w:lastRow="0" w:firstColumn="1" w:lastColumn="0" w:oddVBand="0" w:evenVBand="0" w:oddHBand="0" w:evenHBand="0" w:firstRowFirstColumn="0" w:firstRowLastColumn="0" w:lastRowFirstColumn="0" w:lastRowLastColumn="0"/>
            <w:tcW w:w="0" w:type="auto"/>
            <w:vMerge/>
            <w:hideMark/>
          </w:tcPr>
          <w:p w14:paraId="6325045C" w14:textId="77777777" w:rsidR="00E2214E" w:rsidRPr="004637C7" w:rsidRDefault="00E2214E" w:rsidP="00E2214E">
            <w:pPr>
              <w:rPr>
                <w:rFonts w:asciiTheme="minorHAnsi" w:hAnsiTheme="minorHAnsi" w:cstheme="minorHAnsi"/>
                <w:szCs w:val="20"/>
                <w:lang w:eastAsia="fr-FR" w:bidi="ar-SA"/>
              </w:rPr>
            </w:pPr>
          </w:p>
        </w:tc>
        <w:tc>
          <w:tcPr>
            <w:tcW w:w="0" w:type="auto"/>
            <w:hideMark/>
          </w:tcPr>
          <w:p w14:paraId="1E251E15" w14:textId="77777777" w:rsidR="00E2214E" w:rsidRPr="004637C7" w:rsidRDefault="00E2214E" w:rsidP="00E2214E">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sidRPr="004637C7">
              <w:rPr>
                <w:rFonts w:asciiTheme="minorHAnsi" w:hAnsiTheme="minorHAnsi" w:cstheme="minorHAnsi"/>
                <w:szCs w:val="20"/>
                <w:lang w:eastAsia="fr-FR" w:bidi="ar-SA"/>
              </w:rPr>
              <w:t>Atténuer</w:t>
            </w:r>
          </w:p>
        </w:tc>
        <w:tc>
          <w:tcPr>
            <w:tcW w:w="0" w:type="auto"/>
            <w:hideMark/>
          </w:tcPr>
          <w:p w14:paraId="29DF165D" w14:textId="77777777" w:rsidR="00E2214E" w:rsidRPr="004637C7" w:rsidRDefault="00E2214E" w:rsidP="00E2214E">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sidRPr="004637C7">
              <w:rPr>
                <w:rFonts w:asciiTheme="minorHAnsi" w:hAnsiTheme="minorHAnsi" w:cstheme="minorHAnsi"/>
                <w:szCs w:val="20"/>
                <w:lang w:eastAsia="fr-FR" w:bidi="ar-SA"/>
              </w:rPr>
              <w:t>Inspecter les zones de stockage chaque semaine et curer les fossés après pluie ;</w:t>
            </w:r>
          </w:p>
          <w:p w14:paraId="10FFCB3F" w14:textId="74C9EB66" w:rsidR="00E2214E" w:rsidRPr="004637C7" w:rsidRDefault="00E2214E" w:rsidP="00E2214E">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sidRPr="004637C7">
              <w:rPr>
                <w:rFonts w:asciiTheme="minorHAnsi" w:hAnsiTheme="minorHAnsi" w:cstheme="minorHAnsi"/>
                <w:szCs w:val="20"/>
                <w:lang w:eastAsia="fr-FR" w:bidi="ar-SA"/>
              </w:rPr>
              <w:t>Stocker la terre végétale séparément pour réutilisation.</w:t>
            </w:r>
          </w:p>
        </w:tc>
        <w:tc>
          <w:tcPr>
            <w:tcW w:w="0" w:type="auto"/>
            <w:hideMark/>
          </w:tcPr>
          <w:p w14:paraId="4024EB88" w14:textId="77777777" w:rsidR="00E2214E" w:rsidRPr="004637C7" w:rsidRDefault="00E2214E" w:rsidP="00E2214E">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sidRPr="004637C7">
              <w:rPr>
                <w:rFonts w:asciiTheme="minorHAnsi" w:hAnsiTheme="minorHAnsi" w:cstheme="minorHAnsi"/>
                <w:szCs w:val="20"/>
                <w:lang w:eastAsia="fr-FR" w:bidi="ar-SA"/>
              </w:rPr>
              <w:t>Nombre d’inspections / anomalies</w:t>
            </w:r>
          </w:p>
        </w:tc>
        <w:tc>
          <w:tcPr>
            <w:tcW w:w="0" w:type="auto"/>
            <w:hideMark/>
          </w:tcPr>
          <w:p w14:paraId="636C8A5C" w14:textId="65860DB3" w:rsidR="00E2214E" w:rsidRPr="004637C7" w:rsidRDefault="00E2214E" w:rsidP="00E2214E">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sidRPr="002E0EF5">
              <w:rPr>
                <w:szCs w:val="20"/>
                <w:lang w:eastAsia="zh-CN" w:bidi="ar-SA"/>
              </w:rPr>
              <w:t>EPC / Sous-traitants</w:t>
            </w:r>
          </w:p>
        </w:tc>
        <w:tc>
          <w:tcPr>
            <w:tcW w:w="0" w:type="auto"/>
            <w:hideMark/>
          </w:tcPr>
          <w:p w14:paraId="5604CFFA" w14:textId="3DFE5B8D" w:rsidR="00E2214E" w:rsidRPr="004637C7" w:rsidRDefault="00E2214E" w:rsidP="00E2214E">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sidRPr="002E0EF5">
              <w:rPr>
                <w:szCs w:val="20"/>
                <w:lang w:eastAsia="zh-CN" w:bidi="ar-SA"/>
              </w:rPr>
              <w:t>Bureau de contrôle / Consultant mandaté par l’ONDA</w:t>
            </w:r>
          </w:p>
        </w:tc>
        <w:tc>
          <w:tcPr>
            <w:tcW w:w="0" w:type="auto"/>
            <w:hideMark/>
          </w:tcPr>
          <w:p w14:paraId="11AB7A85" w14:textId="5DC72B63" w:rsidR="00E2214E" w:rsidRPr="004637C7" w:rsidRDefault="00E2214E" w:rsidP="00E2214E">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sidRPr="002E0EF5">
              <w:rPr>
                <w:szCs w:val="20"/>
                <w:lang w:eastAsia="zh-CN" w:bidi="ar-SA"/>
              </w:rPr>
              <w:t>ONDA</w:t>
            </w:r>
          </w:p>
        </w:tc>
        <w:tc>
          <w:tcPr>
            <w:tcW w:w="0" w:type="auto"/>
            <w:hideMark/>
          </w:tcPr>
          <w:p w14:paraId="7A880BD7" w14:textId="77777777" w:rsidR="00E2214E" w:rsidRPr="004637C7" w:rsidRDefault="00E2214E" w:rsidP="00E2214E">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sidRPr="004637C7">
              <w:rPr>
                <w:rFonts w:asciiTheme="minorHAnsi" w:hAnsiTheme="minorHAnsi" w:cstheme="minorHAnsi"/>
                <w:szCs w:val="20"/>
                <w:lang w:eastAsia="fr-FR" w:bidi="ar-SA"/>
              </w:rPr>
              <w:t>Hebdomadaire</w:t>
            </w:r>
          </w:p>
        </w:tc>
        <w:tc>
          <w:tcPr>
            <w:tcW w:w="0" w:type="auto"/>
          </w:tcPr>
          <w:p w14:paraId="24E65589" w14:textId="3E8D318A" w:rsidR="00E2214E" w:rsidRPr="004637C7" w:rsidRDefault="008E7E42" w:rsidP="00E2214E">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sidRPr="008E7E42">
              <w:rPr>
                <w:rFonts w:asciiTheme="minorHAnsi" w:hAnsiTheme="minorHAnsi" w:cstheme="minorHAnsi"/>
                <w:szCs w:val="20"/>
                <w:lang w:eastAsia="fr-FR" w:bidi="ar-SA"/>
              </w:rPr>
              <w:t>60 – 100</w:t>
            </w:r>
            <w:r>
              <w:rPr>
                <w:rFonts w:asciiTheme="minorHAnsi" w:hAnsiTheme="minorHAnsi" w:cstheme="minorHAnsi"/>
                <w:szCs w:val="20"/>
                <w:lang w:eastAsia="fr-FR" w:bidi="ar-SA"/>
              </w:rPr>
              <w:t xml:space="preserve"> MAD</w:t>
            </w:r>
            <w:r w:rsidRPr="008E7E42">
              <w:rPr>
                <w:rFonts w:asciiTheme="minorHAnsi" w:hAnsiTheme="minorHAnsi" w:cstheme="minorHAnsi"/>
                <w:szCs w:val="20"/>
                <w:lang w:eastAsia="fr-FR" w:bidi="ar-SA"/>
              </w:rPr>
              <w:t xml:space="preserve"> /ml (curage)</w:t>
            </w:r>
          </w:p>
        </w:tc>
      </w:tr>
      <w:tr w:rsidR="004F3ECE" w:rsidRPr="007A6057" w14:paraId="1112B357" w14:textId="77777777" w:rsidTr="00296614">
        <w:tc>
          <w:tcPr>
            <w:cnfStyle w:val="001000000000" w:firstRow="0" w:lastRow="0" w:firstColumn="1" w:lastColumn="0" w:oddVBand="0" w:evenVBand="0" w:oddHBand="0" w:evenHBand="0" w:firstRowFirstColumn="0" w:firstRowLastColumn="0" w:lastRowFirstColumn="0" w:lastRowLastColumn="0"/>
            <w:tcW w:w="0" w:type="auto"/>
            <w:vMerge/>
            <w:hideMark/>
          </w:tcPr>
          <w:p w14:paraId="0B4F9D3E" w14:textId="77777777" w:rsidR="00E2214E" w:rsidRPr="004637C7" w:rsidRDefault="00E2214E" w:rsidP="00E2214E">
            <w:pPr>
              <w:rPr>
                <w:rFonts w:asciiTheme="minorHAnsi" w:hAnsiTheme="minorHAnsi" w:cstheme="minorHAnsi"/>
                <w:szCs w:val="20"/>
                <w:lang w:eastAsia="fr-FR" w:bidi="ar-SA"/>
              </w:rPr>
            </w:pPr>
          </w:p>
        </w:tc>
        <w:tc>
          <w:tcPr>
            <w:tcW w:w="0" w:type="auto"/>
            <w:hideMark/>
          </w:tcPr>
          <w:p w14:paraId="08500787" w14:textId="77777777" w:rsidR="00E2214E" w:rsidRPr="004637C7" w:rsidRDefault="00E2214E" w:rsidP="00E2214E">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sidRPr="004637C7">
              <w:rPr>
                <w:rFonts w:asciiTheme="minorHAnsi" w:hAnsiTheme="minorHAnsi" w:cstheme="minorHAnsi"/>
                <w:szCs w:val="20"/>
                <w:lang w:eastAsia="fr-FR" w:bidi="ar-SA"/>
              </w:rPr>
              <w:t>Compenser</w:t>
            </w:r>
          </w:p>
        </w:tc>
        <w:tc>
          <w:tcPr>
            <w:tcW w:w="0" w:type="auto"/>
            <w:hideMark/>
          </w:tcPr>
          <w:p w14:paraId="013D7BC5" w14:textId="77777777" w:rsidR="00E2214E" w:rsidRPr="004637C7" w:rsidRDefault="00E2214E" w:rsidP="00E2214E">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sidRPr="004637C7">
              <w:rPr>
                <w:rFonts w:asciiTheme="minorHAnsi" w:hAnsiTheme="minorHAnsi" w:cstheme="minorHAnsi"/>
                <w:szCs w:val="20"/>
                <w:lang w:eastAsia="fr-FR" w:bidi="ar-SA"/>
              </w:rPr>
              <w:t>Reprofiler et replanter les zones affectées en fin de chantier, conformément au Plan de Réhabilitation Environnementale.</w:t>
            </w:r>
          </w:p>
        </w:tc>
        <w:tc>
          <w:tcPr>
            <w:tcW w:w="0" w:type="auto"/>
            <w:hideMark/>
          </w:tcPr>
          <w:p w14:paraId="2EC1F11C" w14:textId="77777777" w:rsidR="00E2214E" w:rsidRPr="004637C7" w:rsidRDefault="00E2214E" w:rsidP="00E2214E">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sidRPr="004637C7">
              <w:rPr>
                <w:rFonts w:asciiTheme="minorHAnsi" w:hAnsiTheme="minorHAnsi" w:cstheme="minorHAnsi"/>
                <w:szCs w:val="20"/>
                <w:lang w:eastAsia="fr-FR" w:bidi="ar-SA"/>
              </w:rPr>
              <w:t>Surface restaurée</w:t>
            </w:r>
          </w:p>
        </w:tc>
        <w:tc>
          <w:tcPr>
            <w:tcW w:w="0" w:type="auto"/>
            <w:hideMark/>
          </w:tcPr>
          <w:p w14:paraId="614B9005" w14:textId="52EF1403" w:rsidR="00E2214E" w:rsidRPr="004637C7" w:rsidRDefault="00E2214E" w:rsidP="00E2214E">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sidRPr="002E0EF5">
              <w:rPr>
                <w:szCs w:val="20"/>
                <w:lang w:eastAsia="zh-CN" w:bidi="ar-SA"/>
              </w:rPr>
              <w:t>EPC / Sous-traitants</w:t>
            </w:r>
          </w:p>
        </w:tc>
        <w:tc>
          <w:tcPr>
            <w:tcW w:w="0" w:type="auto"/>
            <w:hideMark/>
          </w:tcPr>
          <w:p w14:paraId="2AE0F4C9" w14:textId="7762829E" w:rsidR="00E2214E" w:rsidRPr="004637C7" w:rsidRDefault="00E2214E" w:rsidP="00E2214E">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sidRPr="002E0EF5">
              <w:rPr>
                <w:szCs w:val="20"/>
                <w:lang w:eastAsia="zh-CN" w:bidi="ar-SA"/>
              </w:rPr>
              <w:t>Bureau de contrôle / Consultant mandaté par l’ONDA</w:t>
            </w:r>
          </w:p>
        </w:tc>
        <w:tc>
          <w:tcPr>
            <w:tcW w:w="0" w:type="auto"/>
            <w:hideMark/>
          </w:tcPr>
          <w:p w14:paraId="131B8077" w14:textId="5A9F917C" w:rsidR="00E2214E" w:rsidRPr="004637C7" w:rsidRDefault="00E2214E" w:rsidP="00E2214E">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sidRPr="002E0EF5">
              <w:rPr>
                <w:szCs w:val="20"/>
                <w:lang w:eastAsia="zh-CN" w:bidi="ar-SA"/>
              </w:rPr>
              <w:t>ONDA</w:t>
            </w:r>
          </w:p>
        </w:tc>
        <w:tc>
          <w:tcPr>
            <w:tcW w:w="0" w:type="auto"/>
            <w:hideMark/>
          </w:tcPr>
          <w:p w14:paraId="211C069C" w14:textId="77777777" w:rsidR="00E2214E" w:rsidRPr="004637C7" w:rsidRDefault="00E2214E" w:rsidP="00E2214E">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sidRPr="004637C7">
              <w:rPr>
                <w:rFonts w:asciiTheme="minorHAnsi" w:hAnsiTheme="minorHAnsi" w:cstheme="minorHAnsi"/>
                <w:szCs w:val="20"/>
                <w:lang w:eastAsia="fr-FR" w:bidi="ar-SA"/>
              </w:rPr>
              <w:t>Fin de chantier</w:t>
            </w:r>
          </w:p>
        </w:tc>
        <w:tc>
          <w:tcPr>
            <w:tcW w:w="0" w:type="auto"/>
          </w:tcPr>
          <w:p w14:paraId="5ABFF24B" w14:textId="49B24337" w:rsidR="00E2214E" w:rsidRPr="004637C7" w:rsidRDefault="008E7E42" w:rsidP="00E2214E">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sidRPr="008E7E42">
              <w:rPr>
                <w:rFonts w:asciiTheme="minorHAnsi" w:hAnsiTheme="minorHAnsi" w:cstheme="minorHAnsi"/>
                <w:szCs w:val="20"/>
                <w:lang w:eastAsia="fr-FR" w:bidi="ar-SA"/>
              </w:rPr>
              <w:t xml:space="preserve">20 – 30 </w:t>
            </w:r>
            <w:r>
              <w:rPr>
                <w:rFonts w:asciiTheme="minorHAnsi" w:hAnsiTheme="minorHAnsi" w:cstheme="minorHAnsi"/>
                <w:szCs w:val="20"/>
                <w:lang w:eastAsia="fr-FR" w:bidi="ar-SA"/>
              </w:rPr>
              <w:t>MAD</w:t>
            </w:r>
            <w:r w:rsidRPr="008E7E42">
              <w:rPr>
                <w:rFonts w:asciiTheme="minorHAnsi" w:hAnsiTheme="minorHAnsi" w:cstheme="minorHAnsi"/>
                <w:szCs w:val="20"/>
                <w:lang w:eastAsia="fr-FR" w:bidi="ar-SA"/>
              </w:rPr>
              <w:t>/m²</w:t>
            </w:r>
          </w:p>
        </w:tc>
      </w:tr>
      <w:tr w:rsidR="004F3ECE" w:rsidRPr="007A6057" w14:paraId="3F57A4A6" w14:textId="77777777" w:rsidTr="00296614">
        <w:tc>
          <w:tcPr>
            <w:cnfStyle w:val="001000000000" w:firstRow="0" w:lastRow="0" w:firstColumn="1" w:lastColumn="0" w:oddVBand="0" w:evenVBand="0" w:oddHBand="0" w:evenHBand="0" w:firstRowFirstColumn="0" w:firstRowLastColumn="0" w:lastRowFirstColumn="0" w:lastRowLastColumn="0"/>
            <w:tcW w:w="0" w:type="auto"/>
            <w:vMerge w:val="restart"/>
            <w:hideMark/>
          </w:tcPr>
          <w:p w14:paraId="3FA0D081" w14:textId="77777777" w:rsidR="00E2214E" w:rsidRPr="004637C7" w:rsidRDefault="00E2214E" w:rsidP="00E2214E">
            <w:pPr>
              <w:rPr>
                <w:rFonts w:asciiTheme="minorHAnsi" w:hAnsiTheme="minorHAnsi" w:cstheme="minorHAnsi"/>
                <w:szCs w:val="20"/>
                <w:lang w:eastAsia="fr-FR" w:bidi="ar-SA"/>
              </w:rPr>
            </w:pPr>
            <w:r w:rsidRPr="004637C7">
              <w:rPr>
                <w:rFonts w:asciiTheme="minorHAnsi" w:hAnsiTheme="minorHAnsi" w:cstheme="minorHAnsi"/>
                <w:szCs w:val="20"/>
                <w:lang w:eastAsia="fr-FR" w:bidi="ar-SA"/>
              </w:rPr>
              <w:t>Génération de nuisances olfactives temporaires (déchets organiques)</w:t>
            </w:r>
          </w:p>
        </w:tc>
        <w:tc>
          <w:tcPr>
            <w:tcW w:w="0" w:type="auto"/>
            <w:hideMark/>
          </w:tcPr>
          <w:p w14:paraId="176BC659" w14:textId="77777777" w:rsidR="00E2214E" w:rsidRPr="004637C7" w:rsidRDefault="00E2214E" w:rsidP="00E2214E">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sidRPr="004637C7">
              <w:rPr>
                <w:rFonts w:asciiTheme="minorHAnsi" w:hAnsiTheme="minorHAnsi" w:cstheme="minorHAnsi"/>
                <w:szCs w:val="20"/>
                <w:lang w:eastAsia="fr-FR" w:bidi="ar-SA"/>
              </w:rPr>
              <w:t>Éviter</w:t>
            </w:r>
          </w:p>
        </w:tc>
        <w:tc>
          <w:tcPr>
            <w:tcW w:w="0" w:type="auto"/>
            <w:hideMark/>
          </w:tcPr>
          <w:p w14:paraId="1CA503E0" w14:textId="153698BF" w:rsidR="00E2214E" w:rsidRPr="004637C7" w:rsidRDefault="00E2214E" w:rsidP="00E2214E">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sidRPr="004637C7">
              <w:rPr>
                <w:rFonts w:asciiTheme="minorHAnsi" w:hAnsiTheme="minorHAnsi" w:cstheme="minorHAnsi"/>
                <w:szCs w:val="20"/>
                <w:lang w:eastAsia="fr-FR" w:bidi="ar-SA"/>
              </w:rPr>
              <w:t>Etablir et mettre en œuvre le Plan de Gestion des Déchets Ménagers et Assimilés (PGDMA) prévoyant des bacs hermétiques et l’interdiction de dépôt à l’air libre.</w:t>
            </w:r>
          </w:p>
        </w:tc>
        <w:tc>
          <w:tcPr>
            <w:tcW w:w="0" w:type="auto"/>
            <w:hideMark/>
          </w:tcPr>
          <w:p w14:paraId="01925D0E" w14:textId="77777777" w:rsidR="00E2214E" w:rsidRPr="004637C7" w:rsidRDefault="00E2214E" w:rsidP="00E2214E">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sidRPr="004637C7">
              <w:rPr>
                <w:rFonts w:asciiTheme="minorHAnsi" w:hAnsiTheme="minorHAnsi" w:cstheme="minorHAnsi"/>
                <w:szCs w:val="20"/>
                <w:lang w:eastAsia="fr-FR" w:bidi="ar-SA"/>
              </w:rPr>
              <w:t>PGDMA validé</w:t>
            </w:r>
          </w:p>
        </w:tc>
        <w:tc>
          <w:tcPr>
            <w:tcW w:w="0" w:type="auto"/>
            <w:hideMark/>
          </w:tcPr>
          <w:p w14:paraId="670889CC" w14:textId="6965CD17" w:rsidR="00E2214E" w:rsidRPr="004637C7" w:rsidRDefault="00E2214E" w:rsidP="00E2214E">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sidRPr="002E0EF5">
              <w:rPr>
                <w:szCs w:val="20"/>
                <w:lang w:eastAsia="zh-CN" w:bidi="ar-SA"/>
              </w:rPr>
              <w:t>EPC / Sous-traitants</w:t>
            </w:r>
          </w:p>
        </w:tc>
        <w:tc>
          <w:tcPr>
            <w:tcW w:w="0" w:type="auto"/>
            <w:hideMark/>
          </w:tcPr>
          <w:p w14:paraId="4D9B3B4A" w14:textId="3ABF3C1C" w:rsidR="00E2214E" w:rsidRPr="004637C7" w:rsidRDefault="00E2214E" w:rsidP="00E2214E">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sidRPr="002E0EF5">
              <w:rPr>
                <w:szCs w:val="20"/>
                <w:lang w:eastAsia="zh-CN" w:bidi="ar-SA"/>
              </w:rPr>
              <w:t>Bureau de contrôle / Consultant mandaté par l’ONDA</w:t>
            </w:r>
          </w:p>
        </w:tc>
        <w:tc>
          <w:tcPr>
            <w:tcW w:w="0" w:type="auto"/>
            <w:hideMark/>
          </w:tcPr>
          <w:p w14:paraId="573E6591" w14:textId="087C2AA1" w:rsidR="00E2214E" w:rsidRPr="004637C7" w:rsidRDefault="00E2214E" w:rsidP="00E2214E">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sidRPr="002E0EF5">
              <w:rPr>
                <w:szCs w:val="20"/>
                <w:lang w:eastAsia="zh-CN" w:bidi="ar-SA"/>
              </w:rPr>
              <w:t>ONDA</w:t>
            </w:r>
          </w:p>
        </w:tc>
        <w:tc>
          <w:tcPr>
            <w:tcW w:w="0" w:type="auto"/>
            <w:hideMark/>
          </w:tcPr>
          <w:p w14:paraId="0FCB43CB" w14:textId="77777777" w:rsidR="00E2214E" w:rsidRPr="004637C7" w:rsidRDefault="00E2214E" w:rsidP="00E2214E">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sidRPr="004637C7">
              <w:rPr>
                <w:rFonts w:asciiTheme="minorHAnsi" w:hAnsiTheme="minorHAnsi" w:cstheme="minorHAnsi"/>
                <w:szCs w:val="20"/>
                <w:lang w:eastAsia="fr-FR" w:bidi="ar-SA"/>
              </w:rPr>
              <w:t>Avant exploitation</w:t>
            </w:r>
          </w:p>
        </w:tc>
        <w:tc>
          <w:tcPr>
            <w:tcW w:w="0" w:type="auto"/>
          </w:tcPr>
          <w:p w14:paraId="0228CBB6" w14:textId="56C964C7" w:rsidR="00E2214E" w:rsidRPr="004637C7" w:rsidRDefault="008E7E42" w:rsidP="00E2214E">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sidRPr="008E7E42">
              <w:rPr>
                <w:rFonts w:asciiTheme="minorHAnsi" w:hAnsiTheme="minorHAnsi" w:cstheme="minorHAnsi"/>
                <w:szCs w:val="20"/>
                <w:lang w:eastAsia="fr-FR" w:bidi="ar-SA"/>
              </w:rPr>
              <w:t>Aucun coût spécifique</w:t>
            </w:r>
          </w:p>
        </w:tc>
      </w:tr>
      <w:tr w:rsidR="004F3ECE" w:rsidRPr="007A6057" w14:paraId="4EC9C923" w14:textId="77777777" w:rsidTr="00296614">
        <w:tc>
          <w:tcPr>
            <w:cnfStyle w:val="001000000000" w:firstRow="0" w:lastRow="0" w:firstColumn="1" w:lastColumn="0" w:oddVBand="0" w:evenVBand="0" w:oddHBand="0" w:evenHBand="0" w:firstRowFirstColumn="0" w:firstRowLastColumn="0" w:lastRowFirstColumn="0" w:lastRowLastColumn="0"/>
            <w:tcW w:w="0" w:type="auto"/>
            <w:vMerge/>
            <w:hideMark/>
          </w:tcPr>
          <w:p w14:paraId="57E91207" w14:textId="77777777" w:rsidR="00E2214E" w:rsidRPr="004637C7" w:rsidRDefault="00E2214E" w:rsidP="00E2214E">
            <w:pPr>
              <w:rPr>
                <w:rFonts w:asciiTheme="minorHAnsi" w:hAnsiTheme="minorHAnsi" w:cstheme="minorHAnsi"/>
                <w:szCs w:val="20"/>
                <w:lang w:eastAsia="fr-FR" w:bidi="ar-SA"/>
              </w:rPr>
            </w:pPr>
          </w:p>
        </w:tc>
        <w:tc>
          <w:tcPr>
            <w:tcW w:w="0" w:type="auto"/>
            <w:hideMark/>
          </w:tcPr>
          <w:p w14:paraId="23658284" w14:textId="77777777" w:rsidR="00E2214E" w:rsidRPr="004637C7" w:rsidRDefault="00E2214E" w:rsidP="00E2214E">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sidRPr="004637C7">
              <w:rPr>
                <w:rFonts w:asciiTheme="minorHAnsi" w:hAnsiTheme="minorHAnsi" w:cstheme="minorHAnsi"/>
                <w:szCs w:val="20"/>
                <w:lang w:eastAsia="fr-FR" w:bidi="ar-SA"/>
              </w:rPr>
              <w:t>Réduire</w:t>
            </w:r>
          </w:p>
        </w:tc>
        <w:tc>
          <w:tcPr>
            <w:tcW w:w="0" w:type="auto"/>
            <w:hideMark/>
          </w:tcPr>
          <w:p w14:paraId="153F885F" w14:textId="77777777" w:rsidR="00E2214E" w:rsidRPr="004637C7" w:rsidRDefault="00E2214E" w:rsidP="00E2214E">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sidRPr="004637C7">
              <w:rPr>
                <w:rFonts w:asciiTheme="minorHAnsi" w:hAnsiTheme="minorHAnsi" w:cstheme="minorHAnsi"/>
                <w:szCs w:val="20"/>
                <w:lang w:eastAsia="fr-FR" w:bidi="ar-SA"/>
              </w:rPr>
              <w:t xml:space="preserve">Collecter les déchets organiques quotidiennement et conserver les bacs à l’ombre ; </w:t>
            </w:r>
          </w:p>
          <w:p w14:paraId="084CD1FB" w14:textId="0F056880" w:rsidR="00E2214E" w:rsidRPr="004637C7" w:rsidRDefault="00E2214E" w:rsidP="00E2214E">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sidRPr="004637C7">
              <w:rPr>
                <w:rFonts w:asciiTheme="minorHAnsi" w:hAnsiTheme="minorHAnsi" w:cstheme="minorHAnsi"/>
                <w:szCs w:val="20"/>
                <w:lang w:eastAsia="fr-FR" w:bidi="ar-SA"/>
              </w:rPr>
              <w:t>Nettoyer les zones à chaque passage.</w:t>
            </w:r>
          </w:p>
        </w:tc>
        <w:tc>
          <w:tcPr>
            <w:tcW w:w="0" w:type="auto"/>
            <w:hideMark/>
          </w:tcPr>
          <w:p w14:paraId="06203D5D" w14:textId="77777777" w:rsidR="00E2214E" w:rsidRPr="004637C7" w:rsidRDefault="00E2214E" w:rsidP="00E2214E">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sidRPr="004637C7">
              <w:rPr>
                <w:rFonts w:asciiTheme="minorHAnsi" w:hAnsiTheme="minorHAnsi" w:cstheme="minorHAnsi"/>
                <w:szCs w:val="20"/>
                <w:lang w:eastAsia="fr-FR" w:bidi="ar-SA"/>
              </w:rPr>
              <w:t>Fréquence de collecte</w:t>
            </w:r>
          </w:p>
        </w:tc>
        <w:tc>
          <w:tcPr>
            <w:tcW w:w="0" w:type="auto"/>
            <w:hideMark/>
          </w:tcPr>
          <w:p w14:paraId="1DDECE96" w14:textId="1B6BBEFF" w:rsidR="00E2214E" w:rsidRPr="004637C7" w:rsidRDefault="00E2214E" w:rsidP="00E2214E">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sidRPr="002E0EF5">
              <w:rPr>
                <w:szCs w:val="20"/>
                <w:lang w:eastAsia="zh-CN" w:bidi="ar-SA"/>
              </w:rPr>
              <w:t>EPC / Sous-traitants</w:t>
            </w:r>
          </w:p>
        </w:tc>
        <w:tc>
          <w:tcPr>
            <w:tcW w:w="0" w:type="auto"/>
            <w:hideMark/>
          </w:tcPr>
          <w:p w14:paraId="07A81402" w14:textId="634C5620" w:rsidR="00E2214E" w:rsidRPr="004637C7" w:rsidRDefault="00E2214E" w:rsidP="00E2214E">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sidRPr="002E0EF5">
              <w:rPr>
                <w:szCs w:val="20"/>
                <w:lang w:eastAsia="zh-CN" w:bidi="ar-SA"/>
              </w:rPr>
              <w:t>Bureau de contrôle / Consultant mandaté par l’ONDA</w:t>
            </w:r>
          </w:p>
        </w:tc>
        <w:tc>
          <w:tcPr>
            <w:tcW w:w="0" w:type="auto"/>
            <w:hideMark/>
          </w:tcPr>
          <w:p w14:paraId="56143717" w14:textId="0B8CFCBE" w:rsidR="00E2214E" w:rsidRPr="004637C7" w:rsidRDefault="00E2214E" w:rsidP="00E2214E">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sidRPr="002E0EF5">
              <w:rPr>
                <w:szCs w:val="20"/>
                <w:lang w:eastAsia="zh-CN" w:bidi="ar-SA"/>
              </w:rPr>
              <w:t>ONDA</w:t>
            </w:r>
          </w:p>
        </w:tc>
        <w:tc>
          <w:tcPr>
            <w:tcW w:w="0" w:type="auto"/>
            <w:hideMark/>
          </w:tcPr>
          <w:p w14:paraId="60924731" w14:textId="77777777" w:rsidR="00E2214E" w:rsidRPr="004637C7" w:rsidRDefault="00E2214E" w:rsidP="00E2214E">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sidRPr="004637C7">
              <w:rPr>
                <w:rFonts w:asciiTheme="minorHAnsi" w:hAnsiTheme="minorHAnsi" w:cstheme="minorHAnsi"/>
                <w:szCs w:val="20"/>
                <w:lang w:eastAsia="fr-FR" w:bidi="ar-SA"/>
              </w:rPr>
              <w:t>Quotidien</w:t>
            </w:r>
          </w:p>
        </w:tc>
        <w:tc>
          <w:tcPr>
            <w:tcW w:w="0" w:type="auto"/>
          </w:tcPr>
          <w:p w14:paraId="7803AACE" w14:textId="072C114B" w:rsidR="00E2214E" w:rsidRDefault="008E7E42" w:rsidP="00E2214E">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sidRPr="008E7E42">
              <w:rPr>
                <w:rFonts w:asciiTheme="minorHAnsi" w:hAnsiTheme="minorHAnsi" w:cstheme="minorHAnsi"/>
                <w:szCs w:val="20"/>
                <w:lang w:eastAsia="fr-FR" w:bidi="ar-SA"/>
              </w:rPr>
              <w:t>500 – 800 /bac</w:t>
            </w:r>
            <w:r>
              <w:rPr>
                <w:rFonts w:asciiTheme="minorHAnsi" w:hAnsiTheme="minorHAnsi" w:cstheme="minorHAnsi"/>
                <w:szCs w:val="20"/>
                <w:lang w:eastAsia="fr-FR" w:bidi="ar-SA"/>
              </w:rPr>
              <w:t xml:space="preserve"> </w:t>
            </w:r>
            <w:r w:rsidR="000F7515" w:rsidRPr="000F7515">
              <w:rPr>
                <w:rFonts w:asciiTheme="minorHAnsi" w:hAnsiTheme="minorHAnsi" w:cstheme="minorHAnsi"/>
                <w:szCs w:val="20"/>
                <w:lang w:eastAsia="fr-FR" w:bidi="ar-SA"/>
              </w:rPr>
              <w:t>PEHD 240 L à couvercle</w:t>
            </w:r>
          </w:p>
          <w:p w14:paraId="2F0953ED" w14:textId="1D8DC4ED" w:rsidR="00196D7B" w:rsidRPr="004637C7" w:rsidRDefault="00196D7B" w:rsidP="00E2214E">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sidRPr="00196D7B">
              <w:rPr>
                <w:rFonts w:asciiTheme="minorHAnsi" w:hAnsiTheme="minorHAnsi" w:cstheme="minorHAnsi"/>
                <w:szCs w:val="20"/>
                <w:lang w:eastAsia="fr-FR" w:bidi="ar-SA"/>
              </w:rPr>
              <w:t>200</w:t>
            </w:r>
            <w:r>
              <w:rPr>
                <w:rFonts w:asciiTheme="minorHAnsi" w:hAnsiTheme="minorHAnsi" w:cstheme="minorHAnsi"/>
                <w:szCs w:val="20"/>
                <w:lang w:eastAsia="fr-FR" w:bidi="ar-SA"/>
              </w:rPr>
              <w:t xml:space="preserve"> MAD</w:t>
            </w:r>
            <w:r w:rsidRPr="00196D7B">
              <w:rPr>
                <w:rFonts w:asciiTheme="minorHAnsi" w:hAnsiTheme="minorHAnsi" w:cstheme="minorHAnsi"/>
                <w:szCs w:val="20"/>
                <w:lang w:eastAsia="fr-FR" w:bidi="ar-SA"/>
              </w:rPr>
              <w:t xml:space="preserve"> /tonne</w:t>
            </w:r>
            <w:r>
              <w:rPr>
                <w:rFonts w:asciiTheme="minorHAnsi" w:hAnsiTheme="minorHAnsi" w:cstheme="minorHAnsi"/>
                <w:szCs w:val="20"/>
                <w:lang w:eastAsia="fr-FR" w:bidi="ar-SA"/>
              </w:rPr>
              <w:t xml:space="preserve"> pour la collecte</w:t>
            </w:r>
          </w:p>
        </w:tc>
      </w:tr>
      <w:tr w:rsidR="004F3ECE" w:rsidRPr="007A6057" w14:paraId="44F01CE3" w14:textId="77777777" w:rsidTr="00296614">
        <w:tc>
          <w:tcPr>
            <w:cnfStyle w:val="001000000000" w:firstRow="0" w:lastRow="0" w:firstColumn="1" w:lastColumn="0" w:oddVBand="0" w:evenVBand="0" w:oddHBand="0" w:evenHBand="0" w:firstRowFirstColumn="0" w:firstRowLastColumn="0" w:lastRowFirstColumn="0" w:lastRowLastColumn="0"/>
            <w:tcW w:w="0" w:type="auto"/>
            <w:vMerge/>
            <w:hideMark/>
          </w:tcPr>
          <w:p w14:paraId="3F8C5D22" w14:textId="77777777" w:rsidR="00E2214E" w:rsidRPr="004637C7" w:rsidRDefault="00E2214E" w:rsidP="00E2214E">
            <w:pPr>
              <w:rPr>
                <w:rFonts w:asciiTheme="minorHAnsi" w:hAnsiTheme="minorHAnsi" w:cstheme="minorHAnsi"/>
                <w:szCs w:val="20"/>
                <w:lang w:eastAsia="fr-FR" w:bidi="ar-SA"/>
              </w:rPr>
            </w:pPr>
          </w:p>
        </w:tc>
        <w:tc>
          <w:tcPr>
            <w:tcW w:w="0" w:type="auto"/>
            <w:hideMark/>
          </w:tcPr>
          <w:p w14:paraId="06DDAF95" w14:textId="77777777" w:rsidR="00E2214E" w:rsidRPr="004637C7" w:rsidRDefault="00E2214E" w:rsidP="00E2214E">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sidRPr="004637C7">
              <w:rPr>
                <w:rFonts w:asciiTheme="minorHAnsi" w:hAnsiTheme="minorHAnsi" w:cstheme="minorHAnsi"/>
                <w:szCs w:val="20"/>
                <w:lang w:eastAsia="fr-FR" w:bidi="ar-SA"/>
              </w:rPr>
              <w:t>Atténuer</w:t>
            </w:r>
          </w:p>
        </w:tc>
        <w:tc>
          <w:tcPr>
            <w:tcW w:w="0" w:type="auto"/>
            <w:hideMark/>
          </w:tcPr>
          <w:p w14:paraId="01A58C86" w14:textId="77777777" w:rsidR="00E2214E" w:rsidRPr="004637C7" w:rsidRDefault="00E2214E" w:rsidP="00E2214E">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sidRPr="004637C7">
              <w:rPr>
                <w:rFonts w:asciiTheme="minorHAnsi" w:hAnsiTheme="minorHAnsi" w:cstheme="minorHAnsi"/>
                <w:szCs w:val="20"/>
                <w:lang w:eastAsia="fr-FR" w:bidi="ar-SA"/>
              </w:rPr>
              <w:t>Rincer et désinfecter les bacs hebdomadairement avec une solution biodégradable (vinaigre, bicarbonate).</w:t>
            </w:r>
          </w:p>
        </w:tc>
        <w:tc>
          <w:tcPr>
            <w:tcW w:w="0" w:type="auto"/>
            <w:hideMark/>
          </w:tcPr>
          <w:p w14:paraId="470C964B" w14:textId="77777777" w:rsidR="00E2214E" w:rsidRPr="004637C7" w:rsidRDefault="00E2214E" w:rsidP="00E2214E">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sidRPr="004637C7">
              <w:rPr>
                <w:rFonts w:asciiTheme="minorHAnsi" w:hAnsiTheme="minorHAnsi" w:cstheme="minorHAnsi"/>
                <w:szCs w:val="20"/>
                <w:lang w:eastAsia="fr-FR" w:bidi="ar-SA"/>
              </w:rPr>
              <w:t>Nb lavages / semaine</w:t>
            </w:r>
          </w:p>
        </w:tc>
        <w:tc>
          <w:tcPr>
            <w:tcW w:w="0" w:type="auto"/>
            <w:hideMark/>
          </w:tcPr>
          <w:p w14:paraId="48EE9C21" w14:textId="0FD44AC5" w:rsidR="00E2214E" w:rsidRPr="004637C7" w:rsidRDefault="00E2214E" w:rsidP="00E2214E">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sidRPr="002E0EF5">
              <w:rPr>
                <w:szCs w:val="20"/>
                <w:lang w:eastAsia="zh-CN" w:bidi="ar-SA"/>
              </w:rPr>
              <w:t>EPC / Sous-traitants</w:t>
            </w:r>
          </w:p>
        </w:tc>
        <w:tc>
          <w:tcPr>
            <w:tcW w:w="0" w:type="auto"/>
            <w:hideMark/>
          </w:tcPr>
          <w:p w14:paraId="04E87DFA" w14:textId="1F67216D" w:rsidR="00E2214E" w:rsidRPr="004637C7" w:rsidRDefault="00E2214E" w:rsidP="00E2214E">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sidRPr="002E0EF5">
              <w:rPr>
                <w:szCs w:val="20"/>
                <w:lang w:eastAsia="zh-CN" w:bidi="ar-SA"/>
              </w:rPr>
              <w:t>Bureau de contrôle / Consultant mandaté par l’ONDA</w:t>
            </w:r>
          </w:p>
        </w:tc>
        <w:tc>
          <w:tcPr>
            <w:tcW w:w="0" w:type="auto"/>
            <w:hideMark/>
          </w:tcPr>
          <w:p w14:paraId="66358715" w14:textId="2E929537" w:rsidR="00E2214E" w:rsidRPr="004637C7" w:rsidRDefault="00E2214E" w:rsidP="00E2214E">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sidRPr="002E0EF5">
              <w:rPr>
                <w:szCs w:val="20"/>
                <w:lang w:eastAsia="zh-CN" w:bidi="ar-SA"/>
              </w:rPr>
              <w:t>ONDA</w:t>
            </w:r>
          </w:p>
        </w:tc>
        <w:tc>
          <w:tcPr>
            <w:tcW w:w="0" w:type="auto"/>
            <w:hideMark/>
          </w:tcPr>
          <w:p w14:paraId="2E8C115D" w14:textId="77777777" w:rsidR="00E2214E" w:rsidRPr="004637C7" w:rsidRDefault="00E2214E" w:rsidP="00E2214E">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sidRPr="004637C7">
              <w:rPr>
                <w:rFonts w:asciiTheme="minorHAnsi" w:hAnsiTheme="minorHAnsi" w:cstheme="minorHAnsi"/>
                <w:szCs w:val="20"/>
                <w:lang w:eastAsia="fr-FR" w:bidi="ar-SA"/>
              </w:rPr>
              <w:t>Hebdomadaire</w:t>
            </w:r>
          </w:p>
        </w:tc>
        <w:tc>
          <w:tcPr>
            <w:tcW w:w="0" w:type="auto"/>
          </w:tcPr>
          <w:p w14:paraId="64721C28" w14:textId="40A02C68" w:rsidR="00E2214E" w:rsidRPr="004637C7" w:rsidRDefault="00196D7B" w:rsidP="00E2214E">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sidRPr="00196D7B">
              <w:rPr>
                <w:rFonts w:asciiTheme="minorHAnsi" w:hAnsiTheme="minorHAnsi" w:cstheme="minorHAnsi"/>
                <w:szCs w:val="20"/>
                <w:lang w:eastAsia="fr-FR" w:bidi="ar-SA"/>
              </w:rPr>
              <w:t xml:space="preserve">50 </w:t>
            </w:r>
            <w:r>
              <w:rPr>
                <w:rFonts w:asciiTheme="minorHAnsi" w:hAnsiTheme="minorHAnsi" w:cstheme="minorHAnsi"/>
                <w:szCs w:val="20"/>
                <w:lang w:eastAsia="fr-FR" w:bidi="ar-SA"/>
              </w:rPr>
              <w:t>MAD</w:t>
            </w:r>
            <w:r w:rsidRPr="00196D7B">
              <w:rPr>
                <w:rFonts w:asciiTheme="minorHAnsi" w:hAnsiTheme="minorHAnsi" w:cstheme="minorHAnsi"/>
                <w:szCs w:val="20"/>
                <w:lang w:eastAsia="fr-FR" w:bidi="ar-SA"/>
              </w:rPr>
              <w:t>/bac/semaine</w:t>
            </w:r>
            <w:r>
              <w:rPr>
                <w:rFonts w:asciiTheme="minorHAnsi" w:hAnsiTheme="minorHAnsi" w:cstheme="minorHAnsi"/>
                <w:szCs w:val="20"/>
                <w:lang w:eastAsia="fr-FR" w:bidi="ar-SA"/>
              </w:rPr>
              <w:t xml:space="preserve"> (</w:t>
            </w:r>
            <w:r w:rsidRPr="00196D7B">
              <w:rPr>
                <w:rFonts w:asciiTheme="minorHAnsi" w:hAnsiTheme="minorHAnsi" w:cstheme="minorHAnsi"/>
                <w:szCs w:val="20"/>
                <w:lang w:eastAsia="fr-FR" w:bidi="ar-SA"/>
              </w:rPr>
              <w:t>Coût des produits biodégradables</w:t>
            </w:r>
            <w:r>
              <w:rPr>
                <w:rFonts w:asciiTheme="minorHAnsi" w:hAnsiTheme="minorHAnsi" w:cstheme="minorHAnsi"/>
                <w:szCs w:val="20"/>
                <w:lang w:eastAsia="fr-FR" w:bidi="ar-SA"/>
              </w:rPr>
              <w:t>)</w:t>
            </w:r>
          </w:p>
        </w:tc>
      </w:tr>
      <w:tr w:rsidR="004F3ECE" w:rsidRPr="007A6057" w14:paraId="08F31D24" w14:textId="77777777" w:rsidTr="00296614">
        <w:tc>
          <w:tcPr>
            <w:cnfStyle w:val="001000000000" w:firstRow="0" w:lastRow="0" w:firstColumn="1" w:lastColumn="0" w:oddVBand="0" w:evenVBand="0" w:oddHBand="0" w:evenHBand="0" w:firstRowFirstColumn="0" w:firstRowLastColumn="0" w:lastRowFirstColumn="0" w:lastRowLastColumn="0"/>
            <w:tcW w:w="0" w:type="auto"/>
            <w:vMerge/>
            <w:hideMark/>
          </w:tcPr>
          <w:p w14:paraId="0E596B09" w14:textId="77777777" w:rsidR="00E2214E" w:rsidRPr="004637C7" w:rsidRDefault="00E2214E" w:rsidP="00E2214E">
            <w:pPr>
              <w:rPr>
                <w:rFonts w:asciiTheme="minorHAnsi" w:hAnsiTheme="minorHAnsi" w:cstheme="minorHAnsi"/>
                <w:szCs w:val="20"/>
                <w:lang w:eastAsia="fr-FR" w:bidi="ar-SA"/>
              </w:rPr>
            </w:pPr>
          </w:p>
        </w:tc>
        <w:tc>
          <w:tcPr>
            <w:tcW w:w="0" w:type="auto"/>
            <w:hideMark/>
          </w:tcPr>
          <w:p w14:paraId="176C029A" w14:textId="77777777" w:rsidR="00E2214E" w:rsidRPr="004637C7" w:rsidRDefault="00E2214E" w:rsidP="00E2214E">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sidRPr="004637C7">
              <w:rPr>
                <w:rFonts w:asciiTheme="minorHAnsi" w:hAnsiTheme="minorHAnsi" w:cstheme="minorHAnsi"/>
                <w:szCs w:val="20"/>
                <w:lang w:eastAsia="fr-FR" w:bidi="ar-SA"/>
              </w:rPr>
              <w:t>Compenser</w:t>
            </w:r>
          </w:p>
        </w:tc>
        <w:tc>
          <w:tcPr>
            <w:tcW w:w="0" w:type="auto"/>
            <w:hideMark/>
          </w:tcPr>
          <w:p w14:paraId="25AC889E" w14:textId="77777777" w:rsidR="00E2214E" w:rsidRPr="004637C7" w:rsidRDefault="00E2214E" w:rsidP="00E2214E">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sidRPr="004637C7">
              <w:rPr>
                <w:rFonts w:asciiTheme="minorHAnsi" w:hAnsiTheme="minorHAnsi" w:cstheme="minorHAnsi"/>
                <w:szCs w:val="20"/>
                <w:lang w:eastAsia="fr-FR" w:bidi="ar-SA"/>
              </w:rPr>
              <w:t>Déplacer les bacs sources d’odeur vers zone ventilée et effectuer un traitement neutralisant temporaire.</w:t>
            </w:r>
          </w:p>
        </w:tc>
        <w:tc>
          <w:tcPr>
            <w:tcW w:w="0" w:type="auto"/>
            <w:hideMark/>
          </w:tcPr>
          <w:p w14:paraId="6701D17D" w14:textId="77777777" w:rsidR="00E2214E" w:rsidRPr="004637C7" w:rsidRDefault="00E2214E" w:rsidP="00E2214E">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sidRPr="004637C7">
              <w:rPr>
                <w:rFonts w:asciiTheme="minorHAnsi" w:hAnsiTheme="minorHAnsi" w:cstheme="minorHAnsi"/>
                <w:szCs w:val="20"/>
                <w:lang w:eastAsia="fr-FR" w:bidi="ar-SA"/>
              </w:rPr>
              <w:t>Rapports de correction</w:t>
            </w:r>
          </w:p>
        </w:tc>
        <w:tc>
          <w:tcPr>
            <w:tcW w:w="0" w:type="auto"/>
            <w:hideMark/>
          </w:tcPr>
          <w:p w14:paraId="4BCE9C2D" w14:textId="02B7573F" w:rsidR="00E2214E" w:rsidRPr="004637C7" w:rsidRDefault="00E2214E" w:rsidP="00E2214E">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sidRPr="002E0EF5">
              <w:rPr>
                <w:szCs w:val="20"/>
                <w:lang w:eastAsia="zh-CN" w:bidi="ar-SA"/>
              </w:rPr>
              <w:t>EPC / Sous-traitants</w:t>
            </w:r>
          </w:p>
        </w:tc>
        <w:tc>
          <w:tcPr>
            <w:tcW w:w="0" w:type="auto"/>
            <w:hideMark/>
          </w:tcPr>
          <w:p w14:paraId="504A362D" w14:textId="2316542B" w:rsidR="00E2214E" w:rsidRPr="004637C7" w:rsidRDefault="00E2214E" w:rsidP="00E2214E">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sidRPr="002E0EF5">
              <w:rPr>
                <w:szCs w:val="20"/>
                <w:lang w:eastAsia="zh-CN" w:bidi="ar-SA"/>
              </w:rPr>
              <w:t>Bureau de contrôle / Consultant mandaté par l’ONDA</w:t>
            </w:r>
          </w:p>
        </w:tc>
        <w:tc>
          <w:tcPr>
            <w:tcW w:w="0" w:type="auto"/>
            <w:hideMark/>
          </w:tcPr>
          <w:p w14:paraId="4A0D2F4B" w14:textId="7D5C9242" w:rsidR="00E2214E" w:rsidRPr="004637C7" w:rsidRDefault="00E2214E" w:rsidP="00E2214E">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sidRPr="002E0EF5">
              <w:rPr>
                <w:szCs w:val="20"/>
                <w:lang w:eastAsia="zh-CN" w:bidi="ar-SA"/>
              </w:rPr>
              <w:t>ONDA</w:t>
            </w:r>
          </w:p>
        </w:tc>
        <w:tc>
          <w:tcPr>
            <w:tcW w:w="0" w:type="auto"/>
            <w:hideMark/>
          </w:tcPr>
          <w:p w14:paraId="76DC2D01" w14:textId="77777777" w:rsidR="00E2214E" w:rsidRPr="004637C7" w:rsidRDefault="00E2214E" w:rsidP="00E2214E">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sidRPr="004637C7">
              <w:rPr>
                <w:rFonts w:asciiTheme="minorHAnsi" w:hAnsiTheme="minorHAnsi" w:cstheme="minorHAnsi"/>
                <w:szCs w:val="20"/>
                <w:lang w:eastAsia="fr-FR" w:bidi="ar-SA"/>
              </w:rPr>
              <w:t>Selon besoin</w:t>
            </w:r>
          </w:p>
        </w:tc>
        <w:tc>
          <w:tcPr>
            <w:tcW w:w="0" w:type="auto"/>
          </w:tcPr>
          <w:p w14:paraId="3D308338" w14:textId="5BD47A88" w:rsidR="00E2214E" w:rsidRPr="004637C7" w:rsidRDefault="00196D7B" w:rsidP="00E2214E">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sidRPr="00196D7B">
              <w:rPr>
                <w:rFonts w:asciiTheme="minorHAnsi" w:hAnsiTheme="minorHAnsi" w:cstheme="minorHAnsi"/>
                <w:szCs w:val="20"/>
                <w:lang w:eastAsia="fr-FR" w:bidi="ar-SA"/>
              </w:rPr>
              <w:t>100</w:t>
            </w:r>
            <w:r>
              <w:rPr>
                <w:rFonts w:asciiTheme="minorHAnsi" w:hAnsiTheme="minorHAnsi" w:cstheme="minorHAnsi"/>
                <w:szCs w:val="20"/>
                <w:lang w:eastAsia="fr-FR" w:bidi="ar-SA"/>
              </w:rPr>
              <w:t xml:space="preserve"> MAD</w:t>
            </w:r>
            <w:r w:rsidRPr="00196D7B">
              <w:rPr>
                <w:rFonts w:asciiTheme="minorHAnsi" w:hAnsiTheme="minorHAnsi" w:cstheme="minorHAnsi"/>
                <w:szCs w:val="20"/>
                <w:lang w:eastAsia="fr-FR" w:bidi="ar-SA"/>
              </w:rPr>
              <w:t xml:space="preserve"> /intervention</w:t>
            </w:r>
          </w:p>
        </w:tc>
      </w:tr>
      <w:tr w:rsidR="004F3ECE" w:rsidRPr="007A6057" w14:paraId="0AB3A587" w14:textId="77777777" w:rsidTr="00296614">
        <w:tc>
          <w:tcPr>
            <w:cnfStyle w:val="001000000000" w:firstRow="0" w:lastRow="0" w:firstColumn="1" w:lastColumn="0" w:oddVBand="0" w:evenVBand="0" w:oddHBand="0" w:evenHBand="0" w:firstRowFirstColumn="0" w:firstRowLastColumn="0" w:lastRowFirstColumn="0" w:lastRowLastColumn="0"/>
            <w:tcW w:w="0" w:type="auto"/>
            <w:vMerge w:val="restart"/>
            <w:hideMark/>
          </w:tcPr>
          <w:p w14:paraId="54E7F7F5" w14:textId="77777777" w:rsidR="00E2214E" w:rsidRPr="004637C7" w:rsidRDefault="00E2214E" w:rsidP="00E2214E">
            <w:pPr>
              <w:rPr>
                <w:rFonts w:asciiTheme="minorHAnsi" w:hAnsiTheme="minorHAnsi" w:cstheme="minorHAnsi"/>
                <w:szCs w:val="20"/>
                <w:lang w:eastAsia="fr-FR" w:bidi="ar-SA"/>
              </w:rPr>
            </w:pPr>
            <w:r w:rsidRPr="004637C7">
              <w:rPr>
                <w:rFonts w:asciiTheme="minorHAnsi" w:hAnsiTheme="minorHAnsi" w:cstheme="minorHAnsi"/>
                <w:szCs w:val="20"/>
                <w:lang w:eastAsia="fr-FR" w:bidi="ar-SA"/>
              </w:rPr>
              <w:t>Risque de pollution accidentelle du sol et du réseau pluvial</w:t>
            </w:r>
          </w:p>
        </w:tc>
        <w:tc>
          <w:tcPr>
            <w:tcW w:w="0" w:type="auto"/>
            <w:hideMark/>
          </w:tcPr>
          <w:p w14:paraId="622055E2" w14:textId="77777777" w:rsidR="00E2214E" w:rsidRPr="004637C7" w:rsidRDefault="00E2214E" w:rsidP="00E2214E">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sidRPr="004637C7">
              <w:rPr>
                <w:rFonts w:asciiTheme="minorHAnsi" w:hAnsiTheme="minorHAnsi" w:cstheme="minorHAnsi"/>
                <w:szCs w:val="20"/>
                <w:lang w:eastAsia="fr-FR" w:bidi="ar-SA"/>
              </w:rPr>
              <w:t>Éviter</w:t>
            </w:r>
          </w:p>
        </w:tc>
        <w:tc>
          <w:tcPr>
            <w:tcW w:w="0" w:type="auto"/>
            <w:hideMark/>
          </w:tcPr>
          <w:p w14:paraId="0D8B9DD0" w14:textId="016D8AB4" w:rsidR="00E2214E" w:rsidRPr="004637C7" w:rsidRDefault="00E2214E" w:rsidP="00E2214E">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sidRPr="004637C7">
              <w:rPr>
                <w:rFonts w:asciiTheme="minorHAnsi" w:hAnsiTheme="minorHAnsi" w:cstheme="minorHAnsi"/>
                <w:szCs w:val="20"/>
                <w:lang w:eastAsia="fr-FR" w:bidi="ar-SA"/>
              </w:rPr>
              <w:t xml:space="preserve">Elaborer et mettre en </w:t>
            </w:r>
            <w:r w:rsidR="00196D7B" w:rsidRPr="004637C7">
              <w:rPr>
                <w:rFonts w:asciiTheme="minorHAnsi" w:hAnsiTheme="minorHAnsi" w:cstheme="minorHAnsi"/>
                <w:szCs w:val="20"/>
                <w:lang w:eastAsia="fr-FR" w:bidi="ar-SA"/>
              </w:rPr>
              <w:t>œuvre</w:t>
            </w:r>
            <w:r w:rsidRPr="004637C7">
              <w:rPr>
                <w:rFonts w:asciiTheme="minorHAnsi" w:hAnsiTheme="minorHAnsi" w:cstheme="minorHAnsi"/>
                <w:szCs w:val="20"/>
                <w:lang w:eastAsia="fr-FR" w:bidi="ar-SA"/>
              </w:rPr>
              <w:t xml:space="preserve"> le Plan de Gestion des Matières Dangereuses (PGMD) définissant le stockage, la manipulation et les protocoles d’urgence.</w:t>
            </w:r>
          </w:p>
        </w:tc>
        <w:tc>
          <w:tcPr>
            <w:tcW w:w="0" w:type="auto"/>
            <w:hideMark/>
          </w:tcPr>
          <w:p w14:paraId="4031FED1" w14:textId="77777777" w:rsidR="00E2214E" w:rsidRPr="004637C7" w:rsidRDefault="00E2214E" w:rsidP="00E2214E">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sidRPr="004637C7">
              <w:rPr>
                <w:rFonts w:asciiTheme="minorHAnsi" w:hAnsiTheme="minorHAnsi" w:cstheme="minorHAnsi"/>
                <w:szCs w:val="20"/>
                <w:lang w:eastAsia="fr-FR" w:bidi="ar-SA"/>
              </w:rPr>
              <w:t>PGMD validé</w:t>
            </w:r>
          </w:p>
        </w:tc>
        <w:tc>
          <w:tcPr>
            <w:tcW w:w="0" w:type="auto"/>
            <w:hideMark/>
          </w:tcPr>
          <w:p w14:paraId="590971FD" w14:textId="7571E287" w:rsidR="00E2214E" w:rsidRPr="004637C7" w:rsidRDefault="00E2214E" w:rsidP="00E2214E">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sidRPr="002E0EF5">
              <w:rPr>
                <w:szCs w:val="20"/>
                <w:lang w:eastAsia="zh-CN" w:bidi="ar-SA"/>
              </w:rPr>
              <w:t>EPC / Sous-traitants</w:t>
            </w:r>
          </w:p>
        </w:tc>
        <w:tc>
          <w:tcPr>
            <w:tcW w:w="0" w:type="auto"/>
            <w:hideMark/>
          </w:tcPr>
          <w:p w14:paraId="5A66DD7C" w14:textId="4BA5556D" w:rsidR="00E2214E" w:rsidRPr="004637C7" w:rsidRDefault="00E2214E" w:rsidP="00E2214E">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sidRPr="002E0EF5">
              <w:rPr>
                <w:szCs w:val="20"/>
                <w:lang w:eastAsia="zh-CN" w:bidi="ar-SA"/>
              </w:rPr>
              <w:t>Bureau de contrôle / Consultant mandaté par l’ONDA</w:t>
            </w:r>
          </w:p>
        </w:tc>
        <w:tc>
          <w:tcPr>
            <w:tcW w:w="0" w:type="auto"/>
            <w:hideMark/>
          </w:tcPr>
          <w:p w14:paraId="374BD170" w14:textId="29A705D6" w:rsidR="00E2214E" w:rsidRPr="004637C7" w:rsidRDefault="00E2214E" w:rsidP="00E2214E">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sidRPr="002E0EF5">
              <w:rPr>
                <w:szCs w:val="20"/>
                <w:lang w:eastAsia="zh-CN" w:bidi="ar-SA"/>
              </w:rPr>
              <w:t>ONDA</w:t>
            </w:r>
          </w:p>
        </w:tc>
        <w:tc>
          <w:tcPr>
            <w:tcW w:w="0" w:type="auto"/>
            <w:hideMark/>
          </w:tcPr>
          <w:p w14:paraId="72AE8509" w14:textId="77777777" w:rsidR="00E2214E" w:rsidRPr="004637C7" w:rsidRDefault="00E2214E" w:rsidP="00E2214E">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sidRPr="004637C7">
              <w:rPr>
                <w:rFonts w:asciiTheme="minorHAnsi" w:hAnsiTheme="minorHAnsi" w:cstheme="minorHAnsi"/>
                <w:szCs w:val="20"/>
                <w:lang w:eastAsia="fr-FR" w:bidi="ar-SA"/>
              </w:rPr>
              <w:t>Avant chantier</w:t>
            </w:r>
          </w:p>
        </w:tc>
        <w:tc>
          <w:tcPr>
            <w:tcW w:w="0" w:type="auto"/>
          </w:tcPr>
          <w:p w14:paraId="30ED07D6" w14:textId="626EBFF4" w:rsidR="00E2214E" w:rsidRPr="004637C7" w:rsidRDefault="00196D7B" w:rsidP="00E2214E">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sidRPr="00196D7B">
              <w:rPr>
                <w:rFonts w:asciiTheme="minorHAnsi" w:hAnsiTheme="minorHAnsi" w:cstheme="minorHAnsi"/>
                <w:szCs w:val="20"/>
                <w:lang w:eastAsia="fr-FR" w:bidi="ar-SA"/>
              </w:rPr>
              <w:t>Aucun coût spécifique</w:t>
            </w:r>
          </w:p>
        </w:tc>
      </w:tr>
      <w:tr w:rsidR="004F3ECE" w:rsidRPr="007A6057" w14:paraId="0ABF5D1D" w14:textId="77777777" w:rsidTr="00296614">
        <w:tc>
          <w:tcPr>
            <w:cnfStyle w:val="001000000000" w:firstRow="0" w:lastRow="0" w:firstColumn="1" w:lastColumn="0" w:oddVBand="0" w:evenVBand="0" w:oddHBand="0" w:evenHBand="0" w:firstRowFirstColumn="0" w:firstRowLastColumn="0" w:lastRowFirstColumn="0" w:lastRowLastColumn="0"/>
            <w:tcW w:w="0" w:type="auto"/>
            <w:vMerge/>
            <w:hideMark/>
          </w:tcPr>
          <w:p w14:paraId="2B110054" w14:textId="77777777" w:rsidR="00E2214E" w:rsidRPr="004637C7" w:rsidRDefault="00E2214E" w:rsidP="00E2214E">
            <w:pPr>
              <w:rPr>
                <w:rFonts w:asciiTheme="minorHAnsi" w:hAnsiTheme="minorHAnsi" w:cstheme="minorHAnsi"/>
                <w:szCs w:val="20"/>
                <w:lang w:eastAsia="fr-FR" w:bidi="ar-SA"/>
              </w:rPr>
            </w:pPr>
          </w:p>
        </w:tc>
        <w:tc>
          <w:tcPr>
            <w:tcW w:w="0" w:type="auto"/>
            <w:hideMark/>
          </w:tcPr>
          <w:p w14:paraId="46466497" w14:textId="77777777" w:rsidR="00E2214E" w:rsidRPr="004637C7" w:rsidRDefault="00E2214E" w:rsidP="00E2214E">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sidRPr="004637C7">
              <w:rPr>
                <w:rFonts w:asciiTheme="minorHAnsi" w:hAnsiTheme="minorHAnsi" w:cstheme="minorHAnsi"/>
                <w:szCs w:val="20"/>
                <w:lang w:eastAsia="fr-FR" w:bidi="ar-SA"/>
              </w:rPr>
              <w:t>Réduire</w:t>
            </w:r>
          </w:p>
        </w:tc>
        <w:tc>
          <w:tcPr>
            <w:tcW w:w="0" w:type="auto"/>
            <w:hideMark/>
          </w:tcPr>
          <w:p w14:paraId="28BB60B2" w14:textId="77777777" w:rsidR="00E2214E" w:rsidRPr="004637C7" w:rsidRDefault="00E2214E" w:rsidP="00E2214E">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sidRPr="004637C7">
              <w:rPr>
                <w:rFonts w:asciiTheme="minorHAnsi" w:hAnsiTheme="minorHAnsi" w:cstheme="minorHAnsi"/>
                <w:szCs w:val="20"/>
                <w:lang w:eastAsia="fr-FR" w:bidi="ar-SA"/>
              </w:rPr>
              <w:t xml:space="preserve">Entreposer les produits dangereux dans un local couvert, ventilé, avec bac de rétention ≥110 % ; </w:t>
            </w:r>
          </w:p>
          <w:p w14:paraId="158DD90A" w14:textId="2DECDA98" w:rsidR="00E2214E" w:rsidRPr="004637C7" w:rsidRDefault="00E2214E" w:rsidP="00E2214E">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sidRPr="004637C7">
              <w:rPr>
                <w:rFonts w:asciiTheme="minorHAnsi" w:hAnsiTheme="minorHAnsi" w:cstheme="minorHAnsi"/>
                <w:szCs w:val="20"/>
                <w:lang w:eastAsia="fr-FR" w:bidi="ar-SA"/>
              </w:rPr>
              <w:t>Utiliser uniquement des fûts étanches et étiquetés.</w:t>
            </w:r>
          </w:p>
        </w:tc>
        <w:tc>
          <w:tcPr>
            <w:tcW w:w="0" w:type="auto"/>
            <w:hideMark/>
          </w:tcPr>
          <w:p w14:paraId="7DCC027C" w14:textId="77777777" w:rsidR="00E2214E" w:rsidRPr="004637C7" w:rsidRDefault="00E2214E" w:rsidP="00E2214E">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sidRPr="004637C7">
              <w:rPr>
                <w:rFonts w:asciiTheme="minorHAnsi" w:hAnsiTheme="minorHAnsi" w:cstheme="minorHAnsi"/>
                <w:szCs w:val="20"/>
                <w:lang w:eastAsia="fr-FR" w:bidi="ar-SA"/>
              </w:rPr>
              <w:t>% zones conformes</w:t>
            </w:r>
          </w:p>
        </w:tc>
        <w:tc>
          <w:tcPr>
            <w:tcW w:w="0" w:type="auto"/>
            <w:hideMark/>
          </w:tcPr>
          <w:p w14:paraId="1688558C" w14:textId="5EBB04E2" w:rsidR="00E2214E" w:rsidRPr="004637C7" w:rsidRDefault="00E2214E" w:rsidP="00E2214E">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sidRPr="002E0EF5">
              <w:rPr>
                <w:szCs w:val="20"/>
                <w:lang w:eastAsia="zh-CN" w:bidi="ar-SA"/>
              </w:rPr>
              <w:t>EPC / Sous-traitants</w:t>
            </w:r>
          </w:p>
        </w:tc>
        <w:tc>
          <w:tcPr>
            <w:tcW w:w="0" w:type="auto"/>
            <w:hideMark/>
          </w:tcPr>
          <w:p w14:paraId="07469123" w14:textId="5B87926B" w:rsidR="00E2214E" w:rsidRPr="004637C7" w:rsidRDefault="00E2214E" w:rsidP="00E2214E">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sidRPr="002E0EF5">
              <w:rPr>
                <w:szCs w:val="20"/>
                <w:lang w:eastAsia="zh-CN" w:bidi="ar-SA"/>
              </w:rPr>
              <w:t>Bureau de contrôle / Consultant mandaté par l’ONDA</w:t>
            </w:r>
          </w:p>
        </w:tc>
        <w:tc>
          <w:tcPr>
            <w:tcW w:w="0" w:type="auto"/>
            <w:hideMark/>
          </w:tcPr>
          <w:p w14:paraId="393AA4D0" w14:textId="1FCFBAE7" w:rsidR="00E2214E" w:rsidRPr="004637C7" w:rsidRDefault="00E2214E" w:rsidP="00E2214E">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sidRPr="002E0EF5">
              <w:rPr>
                <w:szCs w:val="20"/>
                <w:lang w:eastAsia="zh-CN" w:bidi="ar-SA"/>
              </w:rPr>
              <w:t>ONDA</w:t>
            </w:r>
          </w:p>
        </w:tc>
        <w:tc>
          <w:tcPr>
            <w:tcW w:w="0" w:type="auto"/>
            <w:hideMark/>
          </w:tcPr>
          <w:p w14:paraId="19D182C7" w14:textId="77777777" w:rsidR="00E2214E" w:rsidRPr="004637C7" w:rsidRDefault="00E2214E" w:rsidP="00E2214E">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sidRPr="004637C7">
              <w:rPr>
                <w:rFonts w:asciiTheme="minorHAnsi" w:hAnsiTheme="minorHAnsi" w:cstheme="minorHAnsi"/>
                <w:szCs w:val="20"/>
                <w:lang w:eastAsia="fr-FR" w:bidi="ar-SA"/>
              </w:rPr>
              <w:t>Permanent</w:t>
            </w:r>
          </w:p>
        </w:tc>
        <w:tc>
          <w:tcPr>
            <w:tcW w:w="0" w:type="auto"/>
          </w:tcPr>
          <w:p w14:paraId="42F8ADB4" w14:textId="4DC6E60F" w:rsidR="00E2214E" w:rsidRPr="004637C7" w:rsidRDefault="004F3ECE" w:rsidP="00E2214E">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sidRPr="004F3ECE">
              <w:rPr>
                <w:rFonts w:asciiTheme="minorHAnsi" w:hAnsiTheme="minorHAnsi" w:cstheme="minorHAnsi"/>
                <w:szCs w:val="20"/>
                <w:lang w:eastAsia="fr-FR" w:bidi="ar-SA"/>
              </w:rPr>
              <w:t>1 200 – 1 500</w:t>
            </w:r>
            <w:r>
              <w:rPr>
                <w:rFonts w:asciiTheme="minorHAnsi" w:hAnsiTheme="minorHAnsi" w:cstheme="minorHAnsi"/>
                <w:szCs w:val="20"/>
                <w:lang w:eastAsia="fr-FR" w:bidi="ar-SA"/>
              </w:rPr>
              <w:t xml:space="preserve"> MAD</w:t>
            </w:r>
            <w:r w:rsidRPr="004F3ECE">
              <w:rPr>
                <w:rFonts w:asciiTheme="minorHAnsi" w:hAnsiTheme="minorHAnsi" w:cstheme="minorHAnsi"/>
                <w:szCs w:val="20"/>
                <w:lang w:eastAsia="fr-FR" w:bidi="ar-SA"/>
              </w:rPr>
              <w:t xml:space="preserve"> /m²</w:t>
            </w:r>
            <w:r>
              <w:rPr>
                <w:rFonts w:asciiTheme="minorHAnsi" w:hAnsiTheme="minorHAnsi" w:cstheme="minorHAnsi"/>
                <w:szCs w:val="20"/>
                <w:lang w:eastAsia="fr-FR" w:bidi="ar-SA"/>
              </w:rPr>
              <w:t xml:space="preserve"> (</w:t>
            </w:r>
            <w:r w:rsidRPr="004F3ECE">
              <w:rPr>
                <w:rFonts w:asciiTheme="minorHAnsi" w:hAnsiTheme="minorHAnsi" w:cstheme="minorHAnsi"/>
                <w:szCs w:val="20"/>
                <w:lang w:eastAsia="fr-FR" w:bidi="ar-SA"/>
              </w:rPr>
              <w:t>Construction légère, matériaux étanches</w:t>
            </w:r>
            <w:r>
              <w:rPr>
                <w:rFonts w:asciiTheme="minorHAnsi" w:hAnsiTheme="minorHAnsi" w:cstheme="minorHAnsi"/>
                <w:szCs w:val="20"/>
                <w:lang w:eastAsia="fr-FR" w:bidi="ar-SA"/>
              </w:rPr>
              <w:t>)</w:t>
            </w:r>
          </w:p>
        </w:tc>
      </w:tr>
      <w:tr w:rsidR="004F3ECE" w:rsidRPr="007A6057" w14:paraId="7BB81F23" w14:textId="77777777" w:rsidTr="00296614">
        <w:tc>
          <w:tcPr>
            <w:cnfStyle w:val="001000000000" w:firstRow="0" w:lastRow="0" w:firstColumn="1" w:lastColumn="0" w:oddVBand="0" w:evenVBand="0" w:oddHBand="0" w:evenHBand="0" w:firstRowFirstColumn="0" w:firstRowLastColumn="0" w:lastRowFirstColumn="0" w:lastRowLastColumn="0"/>
            <w:tcW w:w="0" w:type="auto"/>
            <w:vMerge/>
            <w:hideMark/>
          </w:tcPr>
          <w:p w14:paraId="396F1EC4" w14:textId="77777777" w:rsidR="00E2214E" w:rsidRPr="004637C7" w:rsidRDefault="00E2214E" w:rsidP="00E2214E">
            <w:pPr>
              <w:rPr>
                <w:rFonts w:asciiTheme="minorHAnsi" w:hAnsiTheme="minorHAnsi" w:cstheme="minorHAnsi"/>
                <w:szCs w:val="20"/>
                <w:lang w:eastAsia="fr-FR" w:bidi="ar-SA"/>
              </w:rPr>
            </w:pPr>
          </w:p>
        </w:tc>
        <w:tc>
          <w:tcPr>
            <w:tcW w:w="0" w:type="auto"/>
            <w:hideMark/>
          </w:tcPr>
          <w:p w14:paraId="76FC1560" w14:textId="77777777" w:rsidR="00E2214E" w:rsidRPr="004637C7" w:rsidRDefault="00E2214E" w:rsidP="00E2214E">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sidRPr="004637C7">
              <w:rPr>
                <w:rFonts w:asciiTheme="minorHAnsi" w:hAnsiTheme="minorHAnsi" w:cstheme="minorHAnsi"/>
                <w:szCs w:val="20"/>
                <w:lang w:eastAsia="fr-FR" w:bidi="ar-SA"/>
              </w:rPr>
              <w:t>Atténuer</w:t>
            </w:r>
          </w:p>
        </w:tc>
        <w:tc>
          <w:tcPr>
            <w:tcW w:w="0" w:type="auto"/>
            <w:hideMark/>
          </w:tcPr>
          <w:p w14:paraId="30F5A500" w14:textId="77777777" w:rsidR="00E2214E" w:rsidRPr="004637C7" w:rsidRDefault="00E2214E" w:rsidP="00E2214E">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sidRPr="004637C7">
              <w:rPr>
                <w:rFonts w:asciiTheme="minorHAnsi" w:hAnsiTheme="minorHAnsi" w:cstheme="minorHAnsi"/>
                <w:szCs w:val="20"/>
                <w:lang w:eastAsia="fr-FR" w:bidi="ar-SA"/>
              </w:rPr>
              <w:t xml:space="preserve">Fournir et entretenir des kits anti-déversement près des zones de stockage ; </w:t>
            </w:r>
          </w:p>
          <w:p w14:paraId="3FCCEB5A" w14:textId="3C6FEF9A" w:rsidR="00E2214E" w:rsidRPr="004637C7" w:rsidRDefault="00E2214E" w:rsidP="00E2214E">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sidRPr="004637C7">
              <w:rPr>
                <w:rFonts w:asciiTheme="minorHAnsi" w:hAnsiTheme="minorHAnsi" w:cstheme="minorHAnsi"/>
                <w:szCs w:val="20"/>
                <w:lang w:eastAsia="fr-FR" w:bidi="ar-SA"/>
              </w:rPr>
              <w:t>Former les opérateurs à leur usage.</w:t>
            </w:r>
          </w:p>
        </w:tc>
        <w:tc>
          <w:tcPr>
            <w:tcW w:w="0" w:type="auto"/>
            <w:hideMark/>
          </w:tcPr>
          <w:p w14:paraId="336DAFB1" w14:textId="77777777" w:rsidR="00E2214E" w:rsidRPr="004637C7" w:rsidRDefault="00E2214E" w:rsidP="00E2214E">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sidRPr="004637C7">
              <w:rPr>
                <w:rFonts w:asciiTheme="minorHAnsi" w:hAnsiTheme="minorHAnsi" w:cstheme="minorHAnsi"/>
                <w:szCs w:val="20"/>
                <w:lang w:eastAsia="fr-FR" w:bidi="ar-SA"/>
              </w:rPr>
              <w:t>Nb formations / kits fonctionnels</w:t>
            </w:r>
          </w:p>
        </w:tc>
        <w:tc>
          <w:tcPr>
            <w:tcW w:w="0" w:type="auto"/>
            <w:hideMark/>
          </w:tcPr>
          <w:p w14:paraId="11F9E488" w14:textId="437DD958" w:rsidR="00E2214E" w:rsidRPr="004637C7" w:rsidRDefault="00E2214E" w:rsidP="00E2214E">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sidRPr="002E0EF5">
              <w:rPr>
                <w:szCs w:val="20"/>
                <w:lang w:eastAsia="zh-CN" w:bidi="ar-SA"/>
              </w:rPr>
              <w:t>EPC / Sous-traitants</w:t>
            </w:r>
          </w:p>
        </w:tc>
        <w:tc>
          <w:tcPr>
            <w:tcW w:w="0" w:type="auto"/>
            <w:hideMark/>
          </w:tcPr>
          <w:p w14:paraId="3AC0F6F8" w14:textId="1E9CA124" w:rsidR="00E2214E" w:rsidRPr="004637C7" w:rsidRDefault="00E2214E" w:rsidP="00E2214E">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sidRPr="002E0EF5">
              <w:rPr>
                <w:szCs w:val="20"/>
                <w:lang w:eastAsia="zh-CN" w:bidi="ar-SA"/>
              </w:rPr>
              <w:t>Bureau de contrôle / Consultant mandaté par l’ONDA</w:t>
            </w:r>
          </w:p>
        </w:tc>
        <w:tc>
          <w:tcPr>
            <w:tcW w:w="0" w:type="auto"/>
            <w:hideMark/>
          </w:tcPr>
          <w:p w14:paraId="17CF5F77" w14:textId="6E2CF6F3" w:rsidR="00E2214E" w:rsidRPr="004637C7" w:rsidRDefault="00E2214E" w:rsidP="00E2214E">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sidRPr="002E0EF5">
              <w:rPr>
                <w:szCs w:val="20"/>
                <w:lang w:eastAsia="zh-CN" w:bidi="ar-SA"/>
              </w:rPr>
              <w:t>ONDA</w:t>
            </w:r>
          </w:p>
        </w:tc>
        <w:tc>
          <w:tcPr>
            <w:tcW w:w="0" w:type="auto"/>
            <w:hideMark/>
          </w:tcPr>
          <w:p w14:paraId="098E03C4" w14:textId="77777777" w:rsidR="00E2214E" w:rsidRPr="004637C7" w:rsidRDefault="00E2214E" w:rsidP="00E2214E">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sidRPr="004637C7">
              <w:rPr>
                <w:rFonts w:asciiTheme="minorHAnsi" w:hAnsiTheme="minorHAnsi" w:cstheme="minorHAnsi"/>
                <w:szCs w:val="20"/>
                <w:lang w:eastAsia="fr-FR" w:bidi="ar-SA"/>
              </w:rPr>
              <w:t>Trimestriel</w:t>
            </w:r>
          </w:p>
        </w:tc>
        <w:tc>
          <w:tcPr>
            <w:tcW w:w="0" w:type="auto"/>
          </w:tcPr>
          <w:p w14:paraId="5B567FF5" w14:textId="77777777" w:rsidR="00E2214E" w:rsidRPr="004637C7" w:rsidRDefault="00E2214E" w:rsidP="00E2214E">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zh-CN" w:bidi="ar-SA"/>
              </w:rPr>
            </w:pPr>
            <w:r w:rsidRPr="004637C7">
              <w:rPr>
                <w:rFonts w:asciiTheme="minorHAnsi" w:hAnsiTheme="minorHAnsi" w:cstheme="minorHAnsi"/>
                <w:szCs w:val="20"/>
                <w:lang w:eastAsia="zh-CN" w:bidi="ar-SA"/>
              </w:rPr>
              <w:t>1 200 à 1 300 MAD (capacité 50L)</w:t>
            </w:r>
          </w:p>
          <w:p w14:paraId="20A772D1" w14:textId="5D3C2930" w:rsidR="00E2214E" w:rsidRPr="004637C7" w:rsidRDefault="00E2214E" w:rsidP="00E2214E">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sidRPr="004637C7">
              <w:rPr>
                <w:rFonts w:asciiTheme="minorHAnsi" w:hAnsiTheme="minorHAnsi" w:cstheme="minorHAnsi"/>
                <w:szCs w:val="20"/>
                <w:lang w:eastAsia="fr-FR" w:bidi="ar-SA"/>
              </w:rPr>
              <w:t>4000 MAD/formateur/jour</w:t>
            </w:r>
          </w:p>
        </w:tc>
      </w:tr>
      <w:tr w:rsidR="004F3ECE" w:rsidRPr="007A6057" w14:paraId="06796420" w14:textId="77777777" w:rsidTr="00296614">
        <w:tc>
          <w:tcPr>
            <w:cnfStyle w:val="001000000000" w:firstRow="0" w:lastRow="0" w:firstColumn="1" w:lastColumn="0" w:oddVBand="0" w:evenVBand="0" w:oddHBand="0" w:evenHBand="0" w:firstRowFirstColumn="0" w:firstRowLastColumn="0" w:lastRowFirstColumn="0" w:lastRowLastColumn="0"/>
            <w:tcW w:w="0" w:type="auto"/>
            <w:vMerge/>
            <w:hideMark/>
          </w:tcPr>
          <w:p w14:paraId="50E38693" w14:textId="77777777" w:rsidR="00E2214E" w:rsidRPr="004637C7" w:rsidRDefault="00E2214E" w:rsidP="00E2214E">
            <w:pPr>
              <w:rPr>
                <w:rFonts w:asciiTheme="minorHAnsi" w:hAnsiTheme="minorHAnsi" w:cstheme="minorHAnsi"/>
                <w:szCs w:val="20"/>
                <w:lang w:eastAsia="fr-FR" w:bidi="ar-SA"/>
              </w:rPr>
            </w:pPr>
          </w:p>
        </w:tc>
        <w:tc>
          <w:tcPr>
            <w:tcW w:w="0" w:type="auto"/>
            <w:hideMark/>
          </w:tcPr>
          <w:p w14:paraId="43AEA8A4" w14:textId="77777777" w:rsidR="00E2214E" w:rsidRPr="004637C7" w:rsidRDefault="00E2214E" w:rsidP="00E2214E">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sidRPr="004637C7">
              <w:rPr>
                <w:rFonts w:asciiTheme="minorHAnsi" w:hAnsiTheme="minorHAnsi" w:cstheme="minorHAnsi"/>
                <w:szCs w:val="20"/>
                <w:lang w:eastAsia="fr-FR" w:bidi="ar-SA"/>
              </w:rPr>
              <w:t>Compenser</w:t>
            </w:r>
          </w:p>
        </w:tc>
        <w:tc>
          <w:tcPr>
            <w:tcW w:w="0" w:type="auto"/>
            <w:hideMark/>
          </w:tcPr>
          <w:p w14:paraId="55F635BE" w14:textId="77777777" w:rsidR="00E2214E" w:rsidRPr="004637C7" w:rsidRDefault="00E2214E" w:rsidP="00E2214E">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sidRPr="004637C7">
              <w:rPr>
                <w:rFonts w:asciiTheme="minorHAnsi" w:hAnsiTheme="minorHAnsi" w:cstheme="minorHAnsi"/>
                <w:szCs w:val="20"/>
                <w:lang w:eastAsia="fr-FR" w:bidi="ar-SA"/>
              </w:rPr>
              <w:t xml:space="preserve">Excaver les sols souillés et les remettre à un opérateur agréé ; </w:t>
            </w:r>
          </w:p>
          <w:p w14:paraId="1E88835B" w14:textId="0E0D2763" w:rsidR="00E2214E" w:rsidRPr="004637C7" w:rsidRDefault="00E2214E" w:rsidP="00E2214E">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sidRPr="004637C7">
              <w:rPr>
                <w:rFonts w:asciiTheme="minorHAnsi" w:hAnsiTheme="minorHAnsi" w:cstheme="minorHAnsi"/>
                <w:szCs w:val="20"/>
                <w:lang w:eastAsia="fr-FR" w:bidi="ar-SA"/>
              </w:rPr>
              <w:t>Tenir un registre d’incidents environnementaux.</w:t>
            </w:r>
          </w:p>
        </w:tc>
        <w:tc>
          <w:tcPr>
            <w:tcW w:w="0" w:type="auto"/>
            <w:hideMark/>
          </w:tcPr>
          <w:p w14:paraId="7624037C" w14:textId="77777777" w:rsidR="00E2214E" w:rsidRPr="004637C7" w:rsidRDefault="00E2214E" w:rsidP="00E2214E">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sidRPr="004637C7">
              <w:rPr>
                <w:rFonts w:asciiTheme="minorHAnsi" w:hAnsiTheme="minorHAnsi" w:cstheme="minorHAnsi"/>
                <w:szCs w:val="20"/>
                <w:lang w:eastAsia="fr-FR" w:bidi="ar-SA"/>
              </w:rPr>
              <w:t>Registre tenu à jour</w:t>
            </w:r>
          </w:p>
        </w:tc>
        <w:tc>
          <w:tcPr>
            <w:tcW w:w="0" w:type="auto"/>
            <w:hideMark/>
          </w:tcPr>
          <w:p w14:paraId="5EA6AC8C" w14:textId="0CCB7EAE" w:rsidR="00E2214E" w:rsidRPr="004637C7" w:rsidRDefault="00E2214E" w:rsidP="00E2214E">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sidRPr="002E0EF5">
              <w:rPr>
                <w:szCs w:val="20"/>
                <w:lang w:eastAsia="zh-CN" w:bidi="ar-SA"/>
              </w:rPr>
              <w:t>EPC / Sous-traitants</w:t>
            </w:r>
          </w:p>
        </w:tc>
        <w:tc>
          <w:tcPr>
            <w:tcW w:w="0" w:type="auto"/>
            <w:hideMark/>
          </w:tcPr>
          <w:p w14:paraId="3B36647B" w14:textId="0164C505" w:rsidR="00E2214E" w:rsidRPr="004637C7" w:rsidRDefault="00E2214E" w:rsidP="00E2214E">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sidRPr="002E0EF5">
              <w:rPr>
                <w:szCs w:val="20"/>
                <w:lang w:eastAsia="zh-CN" w:bidi="ar-SA"/>
              </w:rPr>
              <w:t>Bureau de contrôle / Consultant mandaté par l’ONDA</w:t>
            </w:r>
          </w:p>
        </w:tc>
        <w:tc>
          <w:tcPr>
            <w:tcW w:w="0" w:type="auto"/>
            <w:hideMark/>
          </w:tcPr>
          <w:p w14:paraId="30B9928F" w14:textId="691AA635" w:rsidR="00E2214E" w:rsidRPr="004637C7" w:rsidRDefault="00E2214E" w:rsidP="00E2214E">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sidRPr="002E0EF5">
              <w:rPr>
                <w:szCs w:val="20"/>
                <w:lang w:eastAsia="zh-CN" w:bidi="ar-SA"/>
              </w:rPr>
              <w:t>ONDA</w:t>
            </w:r>
          </w:p>
        </w:tc>
        <w:tc>
          <w:tcPr>
            <w:tcW w:w="0" w:type="auto"/>
            <w:hideMark/>
          </w:tcPr>
          <w:p w14:paraId="5A38438D" w14:textId="77777777" w:rsidR="00E2214E" w:rsidRPr="004637C7" w:rsidRDefault="00E2214E" w:rsidP="00E2214E">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sidRPr="004637C7">
              <w:rPr>
                <w:rFonts w:asciiTheme="minorHAnsi" w:hAnsiTheme="minorHAnsi" w:cstheme="minorHAnsi"/>
                <w:szCs w:val="20"/>
                <w:lang w:eastAsia="fr-FR" w:bidi="ar-SA"/>
              </w:rPr>
              <w:t>Après incident</w:t>
            </w:r>
          </w:p>
        </w:tc>
        <w:tc>
          <w:tcPr>
            <w:tcW w:w="0" w:type="auto"/>
          </w:tcPr>
          <w:p w14:paraId="55A27B42" w14:textId="62749A66" w:rsidR="00E2214E" w:rsidRPr="004F3ECE" w:rsidRDefault="004F3ECE" w:rsidP="00E2214E">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sidRPr="00D60FC9">
              <w:rPr>
                <w:rFonts w:asciiTheme="minorHAnsi" w:hAnsiTheme="minorHAnsi" w:cstheme="minorHAnsi"/>
                <w:szCs w:val="20"/>
                <w:lang w:eastAsia="fr-FR" w:bidi="ar-SA"/>
              </w:rPr>
              <w:t>500 MAD /m³ (excavation)</w:t>
            </w:r>
            <w:r w:rsidRPr="004F3ECE">
              <w:rPr>
                <w:rFonts w:asciiTheme="minorHAnsi" w:hAnsiTheme="minorHAnsi" w:cstheme="minorHAnsi"/>
                <w:szCs w:val="20"/>
                <w:lang w:eastAsia="fr-FR" w:bidi="ar-SA"/>
              </w:rPr>
              <w:t xml:space="preserve"> + </w:t>
            </w:r>
            <w:r w:rsidRPr="00D60FC9">
              <w:rPr>
                <w:rFonts w:asciiTheme="minorHAnsi" w:hAnsiTheme="minorHAnsi" w:cstheme="minorHAnsi"/>
                <w:szCs w:val="20"/>
                <w:lang w:eastAsia="fr-FR" w:bidi="ar-SA"/>
              </w:rPr>
              <w:t>20 MAD/kg (traitement)</w:t>
            </w:r>
          </w:p>
        </w:tc>
      </w:tr>
      <w:tr w:rsidR="004F3ECE" w:rsidRPr="007A6057" w14:paraId="50917A02" w14:textId="77777777" w:rsidTr="00296614">
        <w:tc>
          <w:tcPr>
            <w:cnfStyle w:val="001000000000" w:firstRow="0" w:lastRow="0" w:firstColumn="1" w:lastColumn="0" w:oddVBand="0" w:evenVBand="0" w:oddHBand="0" w:evenHBand="0" w:firstRowFirstColumn="0" w:firstRowLastColumn="0" w:lastRowFirstColumn="0" w:lastRowLastColumn="0"/>
            <w:tcW w:w="0" w:type="auto"/>
            <w:vMerge w:val="restart"/>
            <w:hideMark/>
          </w:tcPr>
          <w:p w14:paraId="5FE24F3F" w14:textId="77777777" w:rsidR="00E2214E" w:rsidRPr="004637C7" w:rsidRDefault="00E2214E" w:rsidP="00E2214E">
            <w:pPr>
              <w:rPr>
                <w:rFonts w:asciiTheme="minorHAnsi" w:hAnsiTheme="minorHAnsi" w:cstheme="minorHAnsi"/>
                <w:szCs w:val="20"/>
                <w:lang w:eastAsia="fr-FR" w:bidi="ar-SA"/>
              </w:rPr>
            </w:pPr>
            <w:r w:rsidRPr="004637C7">
              <w:rPr>
                <w:rFonts w:asciiTheme="minorHAnsi" w:hAnsiTheme="minorHAnsi" w:cstheme="minorHAnsi"/>
                <w:szCs w:val="20"/>
                <w:lang w:eastAsia="fr-FR" w:bidi="ar-SA"/>
              </w:rPr>
              <w:t>Risque de contamination croisée entre déchets dangereux et non dangereux</w:t>
            </w:r>
          </w:p>
        </w:tc>
        <w:tc>
          <w:tcPr>
            <w:tcW w:w="0" w:type="auto"/>
            <w:hideMark/>
          </w:tcPr>
          <w:p w14:paraId="08071E06" w14:textId="77777777" w:rsidR="00E2214E" w:rsidRPr="004637C7" w:rsidRDefault="00E2214E" w:rsidP="00E2214E">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sidRPr="004637C7">
              <w:rPr>
                <w:rFonts w:asciiTheme="minorHAnsi" w:hAnsiTheme="minorHAnsi" w:cstheme="minorHAnsi"/>
                <w:szCs w:val="20"/>
                <w:lang w:eastAsia="fr-FR" w:bidi="ar-SA"/>
              </w:rPr>
              <w:t>Éviter</w:t>
            </w:r>
          </w:p>
        </w:tc>
        <w:tc>
          <w:tcPr>
            <w:tcW w:w="0" w:type="auto"/>
            <w:hideMark/>
          </w:tcPr>
          <w:p w14:paraId="14178281" w14:textId="77777777" w:rsidR="00E2214E" w:rsidRPr="004637C7" w:rsidRDefault="00E2214E" w:rsidP="00E2214E">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sidRPr="004637C7">
              <w:rPr>
                <w:rFonts w:asciiTheme="minorHAnsi" w:hAnsiTheme="minorHAnsi" w:cstheme="minorHAnsi"/>
                <w:szCs w:val="20"/>
                <w:lang w:eastAsia="fr-FR" w:bidi="ar-SA"/>
              </w:rPr>
              <w:t>Intégrer des zones distinctes d’entreposage et de tri dès la conception (couleurs, panneaux).</w:t>
            </w:r>
          </w:p>
        </w:tc>
        <w:tc>
          <w:tcPr>
            <w:tcW w:w="0" w:type="auto"/>
            <w:hideMark/>
          </w:tcPr>
          <w:p w14:paraId="64F65CC9" w14:textId="77777777" w:rsidR="00E2214E" w:rsidRPr="004637C7" w:rsidRDefault="00E2214E" w:rsidP="00E2214E">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sidRPr="004637C7">
              <w:rPr>
                <w:rFonts w:asciiTheme="minorHAnsi" w:hAnsiTheme="minorHAnsi" w:cstheme="minorHAnsi"/>
                <w:szCs w:val="20"/>
                <w:lang w:eastAsia="fr-FR" w:bidi="ar-SA"/>
              </w:rPr>
              <w:t>% zones séparées</w:t>
            </w:r>
          </w:p>
        </w:tc>
        <w:tc>
          <w:tcPr>
            <w:tcW w:w="0" w:type="auto"/>
            <w:hideMark/>
          </w:tcPr>
          <w:p w14:paraId="5A5287A0" w14:textId="16C2B245" w:rsidR="00E2214E" w:rsidRPr="004637C7" w:rsidRDefault="00E2214E" w:rsidP="00E2214E">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sidRPr="002E0EF5">
              <w:rPr>
                <w:szCs w:val="20"/>
                <w:lang w:eastAsia="zh-CN" w:bidi="ar-SA"/>
              </w:rPr>
              <w:t>EPC / Sous-traitants</w:t>
            </w:r>
          </w:p>
        </w:tc>
        <w:tc>
          <w:tcPr>
            <w:tcW w:w="0" w:type="auto"/>
            <w:hideMark/>
          </w:tcPr>
          <w:p w14:paraId="2B29E197" w14:textId="476F53BD" w:rsidR="00E2214E" w:rsidRPr="004637C7" w:rsidRDefault="00E2214E" w:rsidP="00E2214E">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sidRPr="002E0EF5">
              <w:rPr>
                <w:szCs w:val="20"/>
                <w:lang w:eastAsia="zh-CN" w:bidi="ar-SA"/>
              </w:rPr>
              <w:t>Bureau de contrôle / Consultant mandaté par l’ONDA</w:t>
            </w:r>
          </w:p>
        </w:tc>
        <w:tc>
          <w:tcPr>
            <w:tcW w:w="0" w:type="auto"/>
            <w:hideMark/>
          </w:tcPr>
          <w:p w14:paraId="00C016E1" w14:textId="48F02B4F" w:rsidR="00E2214E" w:rsidRPr="004637C7" w:rsidRDefault="00E2214E" w:rsidP="00E2214E">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sidRPr="002E0EF5">
              <w:rPr>
                <w:szCs w:val="20"/>
                <w:lang w:eastAsia="zh-CN" w:bidi="ar-SA"/>
              </w:rPr>
              <w:t>ONDA</w:t>
            </w:r>
          </w:p>
        </w:tc>
        <w:tc>
          <w:tcPr>
            <w:tcW w:w="0" w:type="auto"/>
            <w:hideMark/>
          </w:tcPr>
          <w:p w14:paraId="643A71FB" w14:textId="77777777" w:rsidR="00E2214E" w:rsidRPr="004637C7" w:rsidRDefault="00E2214E" w:rsidP="00E2214E">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sidRPr="004637C7">
              <w:rPr>
                <w:rFonts w:asciiTheme="minorHAnsi" w:hAnsiTheme="minorHAnsi" w:cstheme="minorHAnsi"/>
                <w:szCs w:val="20"/>
                <w:lang w:eastAsia="fr-FR" w:bidi="ar-SA"/>
              </w:rPr>
              <w:t>Avant chantier</w:t>
            </w:r>
          </w:p>
        </w:tc>
        <w:tc>
          <w:tcPr>
            <w:tcW w:w="0" w:type="auto"/>
          </w:tcPr>
          <w:p w14:paraId="4AF5078B" w14:textId="28DC0783" w:rsidR="00E2214E" w:rsidRPr="004637C7" w:rsidRDefault="00E2214E" w:rsidP="00E2214E">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sidRPr="004637C7">
              <w:rPr>
                <w:rFonts w:asciiTheme="minorHAnsi" w:hAnsiTheme="minorHAnsi" w:cstheme="minorHAnsi"/>
                <w:szCs w:val="20"/>
                <w:lang w:eastAsia="fr-FR" w:bidi="ar-SA"/>
              </w:rPr>
              <w:t>Aucun coût spécifique</w:t>
            </w:r>
          </w:p>
        </w:tc>
      </w:tr>
      <w:tr w:rsidR="004F3ECE" w:rsidRPr="007A6057" w14:paraId="33B67F08" w14:textId="77777777" w:rsidTr="00296614">
        <w:tc>
          <w:tcPr>
            <w:cnfStyle w:val="001000000000" w:firstRow="0" w:lastRow="0" w:firstColumn="1" w:lastColumn="0" w:oddVBand="0" w:evenVBand="0" w:oddHBand="0" w:evenHBand="0" w:firstRowFirstColumn="0" w:firstRowLastColumn="0" w:lastRowFirstColumn="0" w:lastRowLastColumn="0"/>
            <w:tcW w:w="0" w:type="auto"/>
            <w:vMerge/>
            <w:hideMark/>
          </w:tcPr>
          <w:p w14:paraId="209634BB" w14:textId="77777777" w:rsidR="00E2214E" w:rsidRPr="004637C7" w:rsidRDefault="00E2214E" w:rsidP="00E2214E">
            <w:pPr>
              <w:rPr>
                <w:rFonts w:asciiTheme="minorHAnsi" w:hAnsiTheme="minorHAnsi" w:cstheme="minorHAnsi"/>
                <w:szCs w:val="20"/>
                <w:lang w:eastAsia="fr-FR" w:bidi="ar-SA"/>
              </w:rPr>
            </w:pPr>
          </w:p>
        </w:tc>
        <w:tc>
          <w:tcPr>
            <w:tcW w:w="0" w:type="auto"/>
            <w:hideMark/>
          </w:tcPr>
          <w:p w14:paraId="3D71B59D" w14:textId="77777777" w:rsidR="00E2214E" w:rsidRPr="004637C7" w:rsidRDefault="00E2214E" w:rsidP="00E2214E">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sidRPr="004637C7">
              <w:rPr>
                <w:rFonts w:asciiTheme="minorHAnsi" w:hAnsiTheme="minorHAnsi" w:cstheme="minorHAnsi"/>
                <w:szCs w:val="20"/>
                <w:lang w:eastAsia="fr-FR" w:bidi="ar-SA"/>
              </w:rPr>
              <w:t>Réduire</w:t>
            </w:r>
          </w:p>
        </w:tc>
        <w:tc>
          <w:tcPr>
            <w:tcW w:w="0" w:type="auto"/>
            <w:hideMark/>
          </w:tcPr>
          <w:p w14:paraId="4E510D0B" w14:textId="77777777" w:rsidR="00E2214E" w:rsidRPr="004637C7" w:rsidRDefault="00E2214E" w:rsidP="00E2214E">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sidRPr="004637C7">
              <w:rPr>
                <w:rFonts w:asciiTheme="minorHAnsi" w:hAnsiTheme="minorHAnsi" w:cstheme="minorHAnsi"/>
                <w:szCs w:val="20"/>
                <w:lang w:eastAsia="fr-FR" w:bidi="ar-SA"/>
              </w:rPr>
              <w:t>Tenir à jour le Registre de Suivi des Déchets précisant les volumes, la filière et la destination finale.</w:t>
            </w:r>
          </w:p>
        </w:tc>
        <w:tc>
          <w:tcPr>
            <w:tcW w:w="0" w:type="auto"/>
            <w:hideMark/>
          </w:tcPr>
          <w:p w14:paraId="166E4401" w14:textId="77777777" w:rsidR="00E2214E" w:rsidRPr="004637C7" w:rsidRDefault="00E2214E" w:rsidP="00E2214E">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sidRPr="004637C7">
              <w:rPr>
                <w:rFonts w:asciiTheme="minorHAnsi" w:hAnsiTheme="minorHAnsi" w:cstheme="minorHAnsi"/>
                <w:szCs w:val="20"/>
                <w:lang w:eastAsia="fr-FR" w:bidi="ar-SA"/>
              </w:rPr>
              <w:t>Registre conforme</w:t>
            </w:r>
          </w:p>
        </w:tc>
        <w:tc>
          <w:tcPr>
            <w:tcW w:w="0" w:type="auto"/>
            <w:hideMark/>
          </w:tcPr>
          <w:p w14:paraId="1F338826" w14:textId="48FCD69D" w:rsidR="00E2214E" w:rsidRPr="004637C7" w:rsidRDefault="00E2214E" w:rsidP="00E2214E">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sidRPr="002E0EF5">
              <w:rPr>
                <w:szCs w:val="20"/>
                <w:lang w:eastAsia="zh-CN" w:bidi="ar-SA"/>
              </w:rPr>
              <w:t>EPC / Sous-traitants</w:t>
            </w:r>
          </w:p>
        </w:tc>
        <w:tc>
          <w:tcPr>
            <w:tcW w:w="0" w:type="auto"/>
            <w:hideMark/>
          </w:tcPr>
          <w:p w14:paraId="16FACC9C" w14:textId="7DAEE57F" w:rsidR="00E2214E" w:rsidRPr="004637C7" w:rsidRDefault="00E2214E" w:rsidP="00E2214E">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sidRPr="002E0EF5">
              <w:rPr>
                <w:szCs w:val="20"/>
                <w:lang w:eastAsia="zh-CN" w:bidi="ar-SA"/>
              </w:rPr>
              <w:t>Bureau de contrôle / Consultant mandaté par l’ONDA</w:t>
            </w:r>
          </w:p>
        </w:tc>
        <w:tc>
          <w:tcPr>
            <w:tcW w:w="0" w:type="auto"/>
            <w:hideMark/>
          </w:tcPr>
          <w:p w14:paraId="2E8835FE" w14:textId="5D21E971" w:rsidR="00E2214E" w:rsidRPr="004637C7" w:rsidRDefault="00E2214E" w:rsidP="00E2214E">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sidRPr="002E0EF5">
              <w:rPr>
                <w:szCs w:val="20"/>
                <w:lang w:eastAsia="zh-CN" w:bidi="ar-SA"/>
              </w:rPr>
              <w:t>ONDA</w:t>
            </w:r>
          </w:p>
        </w:tc>
        <w:tc>
          <w:tcPr>
            <w:tcW w:w="0" w:type="auto"/>
            <w:hideMark/>
          </w:tcPr>
          <w:p w14:paraId="3A8C2964" w14:textId="77777777" w:rsidR="00E2214E" w:rsidRPr="004637C7" w:rsidRDefault="00E2214E" w:rsidP="00E2214E">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sidRPr="004637C7">
              <w:rPr>
                <w:rFonts w:asciiTheme="minorHAnsi" w:hAnsiTheme="minorHAnsi" w:cstheme="minorHAnsi"/>
                <w:szCs w:val="20"/>
                <w:lang w:eastAsia="fr-FR" w:bidi="ar-SA"/>
              </w:rPr>
              <w:t>Permanent</w:t>
            </w:r>
          </w:p>
        </w:tc>
        <w:tc>
          <w:tcPr>
            <w:tcW w:w="0" w:type="auto"/>
          </w:tcPr>
          <w:p w14:paraId="6FC2E965" w14:textId="27AE342E" w:rsidR="00E2214E" w:rsidRPr="004637C7" w:rsidRDefault="00E2214E" w:rsidP="00E2214E">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sidRPr="004637C7">
              <w:rPr>
                <w:rFonts w:asciiTheme="minorHAnsi" w:hAnsiTheme="minorHAnsi" w:cstheme="minorHAnsi"/>
                <w:szCs w:val="20"/>
                <w:lang w:eastAsia="fr-FR" w:bidi="ar-SA"/>
              </w:rPr>
              <w:t>Aucun coût spécifique</w:t>
            </w:r>
          </w:p>
        </w:tc>
      </w:tr>
      <w:tr w:rsidR="004F3ECE" w:rsidRPr="007A6057" w14:paraId="7BA4DFBD" w14:textId="77777777" w:rsidTr="00296614">
        <w:tc>
          <w:tcPr>
            <w:cnfStyle w:val="001000000000" w:firstRow="0" w:lastRow="0" w:firstColumn="1" w:lastColumn="0" w:oddVBand="0" w:evenVBand="0" w:oddHBand="0" w:evenHBand="0" w:firstRowFirstColumn="0" w:firstRowLastColumn="0" w:lastRowFirstColumn="0" w:lastRowLastColumn="0"/>
            <w:tcW w:w="0" w:type="auto"/>
            <w:vMerge/>
            <w:hideMark/>
          </w:tcPr>
          <w:p w14:paraId="1D064C29" w14:textId="77777777" w:rsidR="00E2214E" w:rsidRPr="004637C7" w:rsidRDefault="00E2214E" w:rsidP="00E2214E">
            <w:pPr>
              <w:rPr>
                <w:rFonts w:asciiTheme="minorHAnsi" w:hAnsiTheme="minorHAnsi" w:cstheme="minorHAnsi"/>
                <w:szCs w:val="20"/>
                <w:lang w:eastAsia="fr-FR" w:bidi="ar-SA"/>
              </w:rPr>
            </w:pPr>
          </w:p>
        </w:tc>
        <w:tc>
          <w:tcPr>
            <w:tcW w:w="0" w:type="auto"/>
            <w:hideMark/>
          </w:tcPr>
          <w:p w14:paraId="15A48681" w14:textId="77777777" w:rsidR="00E2214E" w:rsidRPr="004637C7" w:rsidRDefault="00E2214E" w:rsidP="00E2214E">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sidRPr="004637C7">
              <w:rPr>
                <w:rFonts w:asciiTheme="minorHAnsi" w:hAnsiTheme="minorHAnsi" w:cstheme="minorHAnsi"/>
                <w:szCs w:val="20"/>
                <w:lang w:eastAsia="fr-FR" w:bidi="ar-SA"/>
              </w:rPr>
              <w:t>Atténuer</w:t>
            </w:r>
          </w:p>
        </w:tc>
        <w:tc>
          <w:tcPr>
            <w:tcW w:w="0" w:type="auto"/>
            <w:hideMark/>
          </w:tcPr>
          <w:p w14:paraId="4F36E54C" w14:textId="77777777" w:rsidR="00E2214E" w:rsidRPr="004637C7" w:rsidRDefault="00E2214E" w:rsidP="00E2214E">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sidRPr="004637C7">
              <w:rPr>
                <w:rFonts w:asciiTheme="minorHAnsi" w:hAnsiTheme="minorHAnsi" w:cstheme="minorHAnsi"/>
                <w:szCs w:val="20"/>
                <w:lang w:eastAsia="fr-FR" w:bidi="ar-SA"/>
              </w:rPr>
              <w:t xml:space="preserve">Former le personnel sur le tri et la classification des déchets ; </w:t>
            </w:r>
          </w:p>
          <w:p w14:paraId="63C8D2E3" w14:textId="0F86858F" w:rsidR="00E2214E" w:rsidRPr="004637C7" w:rsidRDefault="00E2214E" w:rsidP="00E2214E">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sidRPr="004637C7">
              <w:rPr>
                <w:rFonts w:asciiTheme="minorHAnsi" w:hAnsiTheme="minorHAnsi" w:cstheme="minorHAnsi"/>
                <w:szCs w:val="20"/>
                <w:lang w:eastAsia="fr-FR" w:bidi="ar-SA"/>
              </w:rPr>
              <w:t>Afficher les consignes visuelles sur chaque bac.</w:t>
            </w:r>
          </w:p>
        </w:tc>
        <w:tc>
          <w:tcPr>
            <w:tcW w:w="0" w:type="auto"/>
            <w:hideMark/>
          </w:tcPr>
          <w:p w14:paraId="2A4F2801" w14:textId="77777777" w:rsidR="00E2214E" w:rsidRPr="004637C7" w:rsidRDefault="00E2214E" w:rsidP="00E2214E">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sidRPr="004637C7">
              <w:rPr>
                <w:rFonts w:asciiTheme="minorHAnsi" w:hAnsiTheme="minorHAnsi" w:cstheme="minorHAnsi"/>
                <w:szCs w:val="20"/>
                <w:lang w:eastAsia="fr-FR" w:bidi="ar-SA"/>
              </w:rPr>
              <w:t>% personnel formé</w:t>
            </w:r>
          </w:p>
        </w:tc>
        <w:tc>
          <w:tcPr>
            <w:tcW w:w="0" w:type="auto"/>
            <w:hideMark/>
          </w:tcPr>
          <w:p w14:paraId="39BE8A87" w14:textId="75F78E1D" w:rsidR="00E2214E" w:rsidRPr="004637C7" w:rsidRDefault="00E2214E" w:rsidP="00E2214E">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sidRPr="002E0EF5">
              <w:rPr>
                <w:szCs w:val="20"/>
                <w:lang w:eastAsia="zh-CN" w:bidi="ar-SA"/>
              </w:rPr>
              <w:t>EPC / Sous-traitants</w:t>
            </w:r>
          </w:p>
        </w:tc>
        <w:tc>
          <w:tcPr>
            <w:tcW w:w="0" w:type="auto"/>
            <w:hideMark/>
          </w:tcPr>
          <w:p w14:paraId="5DD5208D" w14:textId="586A1E07" w:rsidR="00E2214E" w:rsidRPr="004637C7" w:rsidRDefault="00E2214E" w:rsidP="00E2214E">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sidRPr="002E0EF5">
              <w:rPr>
                <w:szCs w:val="20"/>
                <w:lang w:eastAsia="zh-CN" w:bidi="ar-SA"/>
              </w:rPr>
              <w:t>Bureau de contrôle / Consultant mandaté par l’ONDA</w:t>
            </w:r>
          </w:p>
        </w:tc>
        <w:tc>
          <w:tcPr>
            <w:tcW w:w="0" w:type="auto"/>
            <w:hideMark/>
          </w:tcPr>
          <w:p w14:paraId="544EB450" w14:textId="25C93182" w:rsidR="00E2214E" w:rsidRPr="004637C7" w:rsidRDefault="00E2214E" w:rsidP="00E2214E">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sidRPr="002E0EF5">
              <w:rPr>
                <w:szCs w:val="20"/>
                <w:lang w:eastAsia="zh-CN" w:bidi="ar-SA"/>
              </w:rPr>
              <w:t>ONDA</w:t>
            </w:r>
          </w:p>
        </w:tc>
        <w:tc>
          <w:tcPr>
            <w:tcW w:w="0" w:type="auto"/>
            <w:hideMark/>
          </w:tcPr>
          <w:p w14:paraId="6A683AE6" w14:textId="77777777" w:rsidR="00E2214E" w:rsidRPr="004637C7" w:rsidRDefault="00E2214E" w:rsidP="00E2214E">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sidRPr="004637C7">
              <w:rPr>
                <w:rFonts w:asciiTheme="minorHAnsi" w:hAnsiTheme="minorHAnsi" w:cstheme="minorHAnsi"/>
                <w:szCs w:val="20"/>
                <w:lang w:eastAsia="fr-FR" w:bidi="ar-SA"/>
              </w:rPr>
              <w:t>Mensuel</w:t>
            </w:r>
          </w:p>
        </w:tc>
        <w:tc>
          <w:tcPr>
            <w:tcW w:w="0" w:type="auto"/>
          </w:tcPr>
          <w:p w14:paraId="1BF7CB2B" w14:textId="2E5429CD" w:rsidR="00E2214E" w:rsidRPr="004637C7" w:rsidRDefault="004F3ECE" w:rsidP="00E2214E">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Pr>
                <w:rFonts w:asciiTheme="minorHAnsi" w:hAnsiTheme="minorHAnsi" w:cstheme="minorHAnsi"/>
                <w:szCs w:val="20"/>
                <w:lang w:eastAsia="fr-FR" w:bidi="ar-SA"/>
              </w:rPr>
              <w:t>Aucun coût spécifique (Formation réalisée par responsable HSSE de l’EPC)</w:t>
            </w:r>
          </w:p>
        </w:tc>
      </w:tr>
      <w:tr w:rsidR="004F3ECE" w:rsidRPr="007A6057" w14:paraId="7F2ACD98" w14:textId="77777777" w:rsidTr="00296614">
        <w:tc>
          <w:tcPr>
            <w:cnfStyle w:val="001000000000" w:firstRow="0" w:lastRow="0" w:firstColumn="1" w:lastColumn="0" w:oddVBand="0" w:evenVBand="0" w:oddHBand="0" w:evenHBand="0" w:firstRowFirstColumn="0" w:firstRowLastColumn="0" w:lastRowFirstColumn="0" w:lastRowLastColumn="0"/>
            <w:tcW w:w="0" w:type="auto"/>
            <w:vMerge/>
            <w:hideMark/>
          </w:tcPr>
          <w:p w14:paraId="4A80573F" w14:textId="77777777" w:rsidR="00E2214E" w:rsidRPr="004637C7" w:rsidRDefault="00E2214E" w:rsidP="00E2214E">
            <w:pPr>
              <w:rPr>
                <w:rFonts w:asciiTheme="minorHAnsi" w:hAnsiTheme="minorHAnsi" w:cstheme="minorHAnsi"/>
                <w:szCs w:val="20"/>
                <w:lang w:eastAsia="fr-FR" w:bidi="ar-SA"/>
              </w:rPr>
            </w:pPr>
          </w:p>
        </w:tc>
        <w:tc>
          <w:tcPr>
            <w:tcW w:w="0" w:type="auto"/>
            <w:hideMark/>
          </w:tcPr>
          <w:p w14:paraId="389FDA1D" w14:textId="77777777" w:rsidR="00E2214E" w:rsidRPr="004637C7" w:rsidRDefault="00E2214E" w:rsidP="00E2214E">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sidRPr="004637C7">
              <w:rPr>
                <w:rFonts w:asciiTheme="minorHAnsi" w:hAnsiTheme="minorHAnsi" w:cstheme="minorHAnsi"/>
                <w:szCs w:val="20"/>
                <w:lang w:eastAsia="fr-FR" w:bidi="ar-SA"/>
              </w:rPr>
              <w:t>Compenser</w:t>
            </w:r>
          </w:p>
        </w:tc>
        <w:tc>
          <w:tcPr>
            <w:tcW w:w="0" w:type="auto"/>
            <w:hideMark/>
          </w:tcPr>
          <w:p w14:paraId="677F5649" w14:textId="77777777" w:rsidR="00E2214E" w:rsidRPr="004637C7" w:rsidRDefault="00E2214E" w:rsidP="00E2214E">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sidRPr="004637C7">
              <w:rPr>
                <w:rFonts w:asciiTheme="minorHAnsi" w:hAnsiTheme="minorHAnsi" w:cstheme="minorHAnsi"/>
                <w:szCs w:val="20"/>
                <w:lang w:eastAsia="fr-FR" w:bidi="ar-SA"/>
              </w:rPr>
              <w:t>Évacuer tout mélange constaté vers filière agréée et désinfecter la zone d’entreposage.</w:t>
            </w:r>
          </w:p>
        </w:tc>
        <w:tc>
          <w:tcPr>
            <w:tcW w:w="0" w:type="auto"/>
            <w:hideMark/>
          </w:tcPr>
          <w:p w14:paraId="1B1E20DD" w14:textId="77777777" w:rsidR="00E2214E" w:rsidRPr="004637C7" w:rsidRDefault="00E2214E" w:rsidP="00E2214E">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sidRPr="004637C7">
              <w:rPr>
                <w:rFonts w:asciiTheme="minorHAnsi" w:hAnsiTheme="minorHAnsi" w:cstheme="minorHAnsi"/>
                <w:szCs w:val="20"/>
                <w:lang w:eastAsia="fr-FR" w:bidi="ar-SA"/>
              </w:rPr>
              <w:t>Rapport incident</w:t>
            </w:r>
          </w:p>
        </w:tc>
        <w:tc>
          <w:tcPr>
            <w:tcW w:w="0" w:type="auto"/>
            <w:hideMark/>
          </w:tcPr>
          <w:p w14:paraId="6DDF78CD" w14:textId="2C4A3788" w:rsidR="00E2214E" w:rsidRPr="004637C7" w:rsidRDefault="00E2214E" w:rsidP="00E2214E">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sidRPr="002E0EF5">
              <w:rPr>
                <w:szCs w:val="20"/>
                <w:lang w:eastAsia="zh-CN" w:bidi="ar-SA"/>
              </w:rPr>
              <w:t>EPC / Sous-traitants</w:t>
            </w:r>
          </w:p>
        </w:tc>
        <w:tc>
          <w:tcPr>
            <w:tcW w:w="0" w:type="auto"/>
            <w:hideMark/>
          </w:tcPr>
          <w:p w14:paraId="312A4B5B" w14:textId="7A8F3150" w:rsidR="00E2214E" w:rsidRPr="004637C7" w:rsidRDefault="00E2214E" w:rsidP="00E2214E">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sidRPr="002E0EF5">
              <w:rPr>
                <w:szCs w:val="20"/>
                <w:lang w:eastAsia="zh-CN" w:bidi="ar-SA"/>
              </w:rPr>
              <w:t>Bureau de contrôle / Consultant mandaté par l’ONDA</w:t>
            </w:r>
          </w:p>
        </w:tc>
        <w:tc>
          <w:tcPr>
            <w:tcW w:w="0" w:type="auto"/>
            <w:hideMark/>
          </w:tcPr>
          <w:p w14:paraId="3E99B7B4" w14:textId="265F6664" w:rsidR="00E2214E" w:rsidRPr="004637C7" w:rsidRDefault="00E2214E" w:rsidP="00E2214E">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sidRPr="002E0EF5">
              <w:rPr>
                <w:szCs w:val="20"/>
                <w:lang w:eastAsia="zh-CN" w:bidi="ar-SA"/>
              </w:rPr>
              <w:t>ONDA</w:t>
            </w:r>
          </w:p>
        </w:tc>
        <w:tc>
          <w:tcPr>
            <w:tcW w:w="0" w:type="auto"/>
            <w:hideMark/>
          </w:tcPr>
          <w:p w14:paraId="2A293F78" w14:textId="77777777" w:rsidR="00E2214E" w:rsidRPr="004637C7" w:rsidRDefault="00E2214E" w:rsidP="00E2214E">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sidRPr="004637C7">
              <w:rPr>
                <w:rFonts w:asciiTheme="minorHAnsi" w:hAnsiTheme="minorHAnsi" w:cstheme="minorHAnsi"/>
                <w:szCs w:val="20"/>
                <w:lang w:eastAsia="fr-FR" w:bidi="ar-SA"/>
              </w:rPr>
              <w:t>Après constat</w:t>
            </w:r>
          </w:p>
        </w:tc>
        <w:tc>
          <w:tcPr>
            <w:tcW w:w="0" w:type="auto"/>
          </w:tcPr>
          <w:p w14:paraId="2682A724" w14:textId="6DD462C7" w:rsidR="00E2214E" w:rsidRPr="004637C7" w:rsidRDefault="004F3ECE" w:rsidP="00E2214E">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Pr>
                <w:rFonts w:asciiTheme="minorHAnsi" w:hAnsiTheme="minorHAnsi" w:cstheme="minorHAnsi"/>
                <w:szCs w:val="20"/>
                <w:lang w:eastAsia="fr-FR" w:bidi="ar-SA"/>
              </w:rPr>
              <w:t>20 MAD/kg</w:t>
            </w:r>
          </w:p>
        </w:tc>
      </w:tr>
      <w:tr w:rsidR="004F3ECE" w:rsidRPr="007A6057" w14:paraId="1B52B457" w14:textId="77777777" w:rsidTr="00296614">
        <w:tc>
          <w:tcPr>
            <w:cnfStyle w:val="001000000000" w:firstRow="0" w:lastRow="0" w:firstColumn="1" w:lastColumn="0" w:oddVBand="0" w:evenVBand="0" w:oddHBand="0" w:evenHBand="0" w:firstRowFirstColumn="0" w:firstRowLastColumn="0" w:lastRowFirstColumn="0" w:lastRowLastColumn="0"/>
            <w:tcW w:w="0" w:type="auto"/>
            <w:vMerge w:val="restart"/>
            <w:hideMark/>
          </w:tcPr>
          <w:p w14:paraId="17DA0BBD" w14:textId="3D8077D6" w:rsidR="00E2214E" w:rsidRPr="004637C7" w:rsidRDefault="003B1D47" w:rsidP="00E2214E">
            <w:pPr>
              <w:rPr>
                <w:rFonts w:asciiTheme="minorHAnsi" w:hAnsiTheme="minorHAnsi" w:cstheme="minorHAnsi"/>
                <w:szCs w:val="20"/>
                <w:lang w:eastAsia="fr-FR" w:bidi="ar-SA"/>
              </w:rPr>
            </w:pPr>
            <w:r w:rsidRPr="003B1D47">
              <w:rPr>
                <w:rFonts w:asciiTheme="minorHAnsi" w:hAnsiTheme="minorHAnsi" w:cstheme="minorHAnsi"/>
                <w:szCs w:val="20"/>
                <w:lang w:eastAsia="fr-FR" w:bidi="ar-SA"/>
              </w:rPr>
              <w:t>Risque d’exposition à des produits dangereux (hydrocarbures, huiles, solvants et peintures)</w:t>
            </w:r>
          </w:p>
        </w:tc>
        <w:tc>
          <w:tcPr>
            <w:tcW w:w="0" w:type="auto"/>
            <w:hideMark/>
          </w:tcPr>
          <w:p w14:paraId="230122CF" w14:textId="77777777" w:rsidR="00E2214E" w:rsidRPr="004637C7" w:rsidRDefault="00E2214E" w:rsidP="00E2214E">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sidRPr="004637C7">
              <w:rPr>
                <w:rFonts w:asciiTheme="minorHAnsi" w:hAnsiTheme="minorHAnsi" w:cstheme="minorHAnsi"/>
                <w:szCs w:val="20"/>
                <w:lang w:eastAsia="fr-FR" w:bidi="ar-SA"/>
              </w:rPr>
              <w:t>Éviter</w:t>
            </w:r>
          </w:p>
        </w:tc>
        <w:tc>
          <w:tcPr>
            <w:tcW w:w="0" w:type="auto"/>
            <w:hideMark/>
          </w:tcPr>
          <w:p w14:paraId="7DA12E2C" w14:textId="77777777" w:rsidR="00E2214E" w:rsidRPr="004637C7" w:rsidRDefault="00E2214E" w:rsidP="00E2214E">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sidRPr="004637C7">
              <w:rPr>
                <w:rFonts w:asciiTheme="minorHAnsi" w:hAnsiTheme="minorHAnsi" w:cstheme="minorHAnsi"/>
                <w:szCs w:val="20"/>
                <w:lang w:eastAsia="fr-FR" w:bidi="ar-SA"/>
              </w:rPr>
              <w:t>Appliquer le Plan de Santé et Sécurité au Travail (PSST) incluant les règles d’exposition et d’accès restreint aux produits chimiques.</w:t>
            </w:r>
          </w:p>
        </w:tc>
        <w:tc>
          <w:tcPr>
            <w:tcW w:w="0" w:type="auto"/>
            <w:hideMark/>
          </w:tcPr>
          <w:p w14:paraId="2B75390F" w14:textId="77777777" w:rsidR="00E2214E" w:rsidRPr="004637C7" w:rsidRDefault="00E2214E" w:rsidP="00E2214E">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sidRPr="004637C7">
              <w:rPr>
                <w:rFonts w:asciiTheme="minorHAnsi" w:hAnsiTheme="minorHAnsi" w:cstheme="minorHAnsi"/>
                <w:szCs w:val="20"/>
                <w:lang w:eastAsia="fr-FR" w:bidi="ar-SA"/>
              </w:rPr>
              <w:t>PSST validé</w:t>
            </w:r>
          </w:p>
        </w:tc>
        <w:tc>
          <w:tcPr>
            <w:tcW w:w="0" w:type="auto"/>
            <w:hideMark/>
          </w:tcPr>
          <w:p w14:paraId="4B1ABDA7" w14:textId="3ACAE99A" w:rsidR="00E2214E" w:rsidRPr="004637C7" w:rsidRDefault="00E2214E" w:rsidP="00E2214E">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sidRPr="002E0EF5">
              <w:rPr>
                <w:szCs w:val="20"/>
                <w:lang w:eastAsia="zh-CN" w:bidi="ar-SA"/>
              </w:rPr>
              <w:t>EPC / Sous-traitants</w:t>
            </w:r>
          </w:p>
        </w:tc>
        <w:tc>
          <w:tcPr>
            <w:tcW w:w="0" w:type="auto"/>
            <w:hideMark/>
          </w:tcPr>
          <w:p w14:paraId="5BEA9B43" w14:textId="19716991" w:rsidR="00E2214E" w:rsidRPr="004637C7" w:rsidRDefault="00E2214E" w:rsidP="00E2214E">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sidRPr="002E0EF5">
              <w:rPr>
                <w:szCs w:val="20"/>
                <w:lang w:eastAsia="zh-CN" w:bidi="ar-SA"/>
              </w:rPr>
              <w:t>Bureau de contrôle / Consultant mandaté par l’ONDA</w:t>
            </w:r>
          </w:p>
        </w:tc>
        <w:tc>
          <w:tcPr>
            <w:tcW w:w="0" w:type="auto"/>
            <w:hideMark/>
          </w:tcPr>
          <w:p w14:paraId="5253533F" w14:textId="20701A36" w:rsidR="00E2214E" w:rsidRPr="004637C7" w:rsidRDefault="00E2214E" w:rsidP="00E2214E">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sidRPr="002E0EF5">
              <w:rPr>
                <w:szCs w:val="20"/>
                <w:lang w:eastAsia="zh-CN" w:bidi="ar-SA"/>
              </w:rPr>
              <w:t>ONDA</w:t>
            </w:r>
          </w:p>
        </w:tc>
        <w:tc>
          <w:tcPr>
            <w:tcW w:w="0" w:type="auto"/>
            <w:hideMark/>
          </w:tcPr>
          <w:p w14:paraId="61AD8608" w14:textId="77777777" w:rsidR="00E2214E" w:rsidRPr="004637C7" w:rsidRDefault="00E2214E" w:rsidP="00E2214E">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sidRPr="004637C7">
              <w:rPr>
                <w:rFonts w:asciiTheme="minorHAnsi" w:hAnsiTheme="minorHAnsi" w:cstheme="minorHAnsi"/>
                <w:szCs w:val="20"/>
                <w:lang w:eastAsia="fr-FR" w:bidi="ar-SA"/>
              </w:rPr>
              <w:t>Avant chantier</w:t>
            </w:r>
          </w:p>
        </w:tc>
        <w:tc>
          <w:tcPr>
            <w:tcW w:w="0" w:type="auto"/>
          </w:tcPr>
          <w:p w14:paraId="6D60F685" w14:textId="07DE6D2C" w:rsidR="00E2214E" w:rsidRPr="004637C7" w:rsidRDefault="006A04ED" w:rsidP="00E2214E">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Pr>
                <w:rFonts w:asciiTheme="minorHAnsi" w:hAnsiTheme="minorHAnsi" w:cstheme="minorHAnsi"/>
                <w:szCs w:val="20"/>
                <w:lang w:eastAsia="fr-FR" w:bidi="ar-SA"/>
              </w:rPr>
              <w:t>Aucun coût spécifique</w:t>
            </w:r>
          </w:p>
        </w:tc>
      </w:tr>
      <w:tr w:rsidR="004F3ECE" w:rsidRPr="007A6057" w14:paraId="001C989D" w14:textId="77777777" w:rsidTr="00296614">
        <w:tc>
          <w:tcPr>
            <w:cnfStyle w:val="001000000000" w:firstRow="0" w:lastRow="0" w:firstColumn="1" w:lastColumn="0" w:oddVBand="0" w:evenVBand="0" w:oddHBand="0" w:evenHBand="0" w:firstRowFirstColumn="0" w:firstRowLastColumn="0" w:lastRowFirstColumn="0" w:lastRowLastColumn="0"/>
            <w:tcW w:w="0" w:type="auto"/>
            <w:vMerge/>
            <w:hideMark/>
          </w:tcPr>
          <w:p w14:paraId="4C494248" w14:textId="77777777" w:rsidR="00E2214E" w:rsidRPr="004637C7" w:rsidRDefault="00E2214E" w:rsidP="00E2214E">
            <w:pPr>
              <w:rPr>
                <w:rFonts w:asciiTheme="minorHAnsi" w:hAnsiTheme="minorHAnsi" w:cstheme="minorHAnsi"/>
                <w:szCs w:val="20"/>
                <w:lang w:eastAsia="fr-FR" w:bidi="ar-SA"/>
              </w:rPr>
            </w:pPr>
          </w:p>
        </w:tc>
        <w:tc>
          <w:tcPr>
            <w:tcW w:w="0" w:type="auto"/>
            <w:hideMark/>
          </w:tcPr>
          <w:p w14:paraId="3180AB2F" w14:textId="77777777" w:rsidR="00E2214E" w:rsidRPr="004637C7" w:rsidRDefault="00E2214E" w:rsidP="00E2214E">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sidRPr="004637C7">
              <w:rPr>
                <w:rFonts w:asciiTheme="minorHAnsi" w:hAnsiTheme="minorHAnsi" w:cstheme="minorHAnsi"/>
                <w:szCs w:val="20"/>
                <w:lang w:eastAsia="fr-FR" w:bidi="ar-SA"/>
              </w:rPr>
              <w:t>Réduire</w:t>
            </w:r>
          </w:p>
        </w:tc>
        <w:tc>
          <w:tcPr>
            <w:tcW w:w="0" w:type="auto"/>
            <w:hideMark/>
          </w:tcPr>
          <w:p w14:paraId="3033FA8C" w14:textId="77777777" w:rsidR="00E2214E" w:rsidRPr="004637C7" w:rsidRDefault="00E2214E" w:rsidP="00E2214E">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sidRPr="004637C7">
              <w:rPr>
                <w:rFonts w:asciiTheme="minorHAnsi" w:hAnsiTheme="minorHAnsi" w:cstheme="minorHAnsi"/>
                <w:szCs w:val="20"/>
                <w:lang w:eastAsia="fr-FR" w:bidi="ar-SA"/>
              </w:rPr>
              <w:t>Fournir les EPI adaptés (gants, masques, lunettes) et assurer leur port obligatoire.</w:t>
            </w:r>
          </w:p>
        </w:tc>
        <w:tc>
          <w:tcPr>
            <w:tcW w:w="0" w:type="auto"/>
            <w:hideMark/>
          </w:tcPr>
          <w:p w14:paraId="551FA9D8" w14:textId="77777777" w:rsidR="00E2214E" w:rsidRPr="004637C7" w:rsidRDefault="00E2214E" w:rsidP="00E2214E">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sidRPr="004637C7">
              <w:rPr>
                <w:rFonts w:asciiTheme="minorHAnsi" w:hAnsiTheme="minorHAnsi" w:cstheme="minorHAnsi"/>
                <w:szCs w:val="20"/>
                <w:lang w:eastAsia="fr-FR" w:bidi="ar-SA"/>
              </w:rPr>
              <w:t>% travailleurs équipés</w:t>
            </w:r>
          </w:p>
        </w:tc>
        <w:tc>
          <w:tcPr>
            <w:tcW w:w="0" w:type="auto"/>
            <w:hideMark/>
          </w:tcPr>
          <w:p w14:paraId="3AC3AD45" w14:textId="2A0D66D9" w:rsidR="00E2214E" w:rsidRPr="004637C7" w:rsidRDefault="00E2214E" w:rsidP="00E2214E">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sidRPr="002E0EF5">
              <w:rPr>
                <w:szCs w:val="20"/>
                <w:lang w:eastAsia="zh-CN" w:bidi="ar-SA"/>
              </w:rPr>
              <w:t>EPC / Sous-traitants</w:t>
            </w:r>
          </w:p>
        </w:tc>
        <w:tc>
          <w:tcPr>
            <w:tcW w:w="0" w:type="auto"/>
            <w:hideMark/>
          </w:tcPr>
          <w:p w14:paraId="7FDAF5D2" w14:textId="36ED90BD" w:rsidR="00E2214E" w:rsidRPr="004637C7" w:rsidRDefault="00E2214E" w:rsidP="00E2214E">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sidRPr="002E0EF5">
              <w:rPr>
                <w:szCs w:val="20"/>
                <w:lang w:eastAsia="zh-CN" w:bidi="ar-SA"/>
              </w:rPr>
              <w:t>Bureau de contrôle / Consultant mandaté par l’ONDA</w:t>
            </w:r>
          </w:p>
        </w:tc>
        <w:tc>
          <w:tcPr>
            <w:tcW w:w="0" w:type="auto"/>
            <w:hideMark/>
          </w:tcPr>
          <w:p w14:paraId="0E157D9E" w14:textId="07E37E27" w:rsidR="00E2214E" w:rsidRPr="004637C7" w:rsidRDefault="00E2214E" w:rsidP="00E2214E">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sidRPr="002E0EF5">
              <w:rPr>
                <w:szCs w:val="20"/>
                <w:lang w:eastAsia="zh-CN" w:bidi="ar-SA"/>
              </w:rPr>
              <w:t>ONDA</w:t>
            </w:r>
          </w:p>
        </w:tc>
        <w:tc>
          <w:tcPr>
            <w:tcW w:w="0" w:type="auto"/>
            <w:hideMark/>
          </w:tcPr>
          <w:p w14:paraId="6980C17B" w14:textId="77777777" w:rsidR="00E2214E" w:rsidRPr="004637C7" w:rsidRDefault="00E2214E" w:rsidP="00E2214E">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sidRPr="004637C7">
              <w:rPr>
                <w:rFonts w:asciiTheme="minorHAnsi" w:hAnsiTheme="minorHAnsi" w:cstheme="minorHAnsi"/>
                <w:szCs w:val="20"/>
                <w:lang w:eastAsia="fr-FR" w:bidi="ar-SA"/>
              </w:rPr>
              <w:t>Quotidien</w:t>
            </w:r>
          </w:p>
        </w:tc>
        <w:tc>
          <w:tcPr>
            <w:tcW w:w="0" w:type="auto"/>
          </w:tcPr>
          <w:p w14:paraId="57F135AB" w14:textId="349E4BA4" w:rsidR="00E2214E" w:rsidRPr="004637C7" w:rsidRDefault="00E2214E" w:rsidP="00E2214E">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sidRPr="004637C7">
              <w:rPr>
                <w:rFonts w:asciiTheme="minorHAnsi" w:hAnsiTheme="minorHAnsi" w:cstheme="minorHAnsi"/>
                <w:szCs w:val="20"/>
                <w:lang w:eastAsia="fr-FR" w:bidi="ar-SA"/>
              </w:rPr>
              <w:t>250MAD/kits</w:t>
            </w:r>
          </w:p>
        </w:tc>
      </w:tr>
      <w:tr w:rsidR="006A04ED" w:rsidRPr="007A6057" w14:paraId="3C03321B" w14:textId="77777777" w:rsidTr="00296614">
        <w:tc>
          <w:tcPr>
            <w:cnfStyle w:val="001000000000" w:firstRow="0" w:lastRow="0" w:firstColumn="1" w:lastColumn="0" w:oddVBand="0" w:evenVBand="0" w:oddHBand="0" w:evenHBand="0" w:firstRowFirstColumn="0" w:firstRowLastColumn="0" w:lastRowFirstColumn="0" w:lastRowLastColumn="0"/>
            <w:tcW w:w="0" w:type="auto"/>
            <w:vMerge/>
            <w:hideMark/>
          </w:tcPr>
          <w:p w14:paraId="004F1A00" w14:textId="77777777" w:rsidR="006A04ED" w:rsidRPr="004637C7" w:rsidRDefault="006A04ED" w:rsidP="006A04ED">
            <w:pPr>
              <w:rPr>
                <w:rFonts w:asciiTheme="minorHAnsi" w:hAnsiTheme="minorHAnsi" w:cstheme="minorHAnsi"/>
                <w:szCs w:val="20"/>
                <w:lang w:eastAsia="fr-FR" w:bidi="ar-SA"/>
              </w:rPr>
            </w:pPr>
          </w:p>
        </w:tc>
        <w:tc>
          <w:tcPr>
            <w:tcW w:w="0" w:type="auto"/>
            <w:hideMark/>
          </w:tcPr>
          <w:p w14:paraId="75A51643" w14:textId="77777777" w:rsidR="006A04ED" w:rsidRPr="004637C7" w:rsidRDefault="006A04ED" w:rsidP="006A04E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sidRPr="004637C7">
              <w:rPr>
                <w:rFonts w:asciiTheme="minorHAnsi" w:hAnsiTheme="minorHAnsi" w:cstheme="minorHAnsi"/>
                <w:szCs w:val="20"/>
                <w:lang w:eastAsia="fr-FR" w:bidi="ar-SA"/>
              </w:rPr>
              <w:t>Atténuer</w:t>
            </w:r>
          </w:p>
        </w:tc>
        <w:tc>
          <w:tcPr>
            <w:tcW w:w="0" w:type="auto"/>
            <w:hideMark/>
          </w:tcPr>
          <w:p w14:paraId="5954053F" w14:textId="77777777" w:rsidR="006A04ED" w:rsidRPr="004637C7" w:rsidRDefault="006A04ED" w:rsidP="006A04E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sidRPr="004637C7">
              <w:rPr>
                <w:rFonts w:asciiTheme="minorHAnsi" w:hAnsiTheme="minorHAnsi" w:cstheme="minorHAnsi"/>
                <w:szCs w:val="20"/>
                <w:lang w:eastAsia="fr-FR" w:bidi="ar-SA"/>
              </w:rPr>
              <w:t>Former tout le personnel à la lecture des FDS et aux gestes d’urgence (brûlures, projections).</w:t>
            </w:r>
          </w:p>
        </w:tc>
        <w:tc>
          <w:tcPr>
            <w:tcW w:w="0" w:type="auto"/>
            <w:hideMark/>
          </w:tcPr>
          <w:p w14:paraId="075A2253" w14:textId="77777777" w:rsidR="006A04ED" w:rsidRPr="004637C7" w:rsidRDefault="006A04ED" w:rsidP="006A04E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sidRPr="004637C7">
              <w:rPr>
                <w:rFonts w:asciiTheme="minorHAnsi" w:hAnsiTheme="minorHAnsi" w:cstheme="minorHAnsi"/>
                <w:szCs w:val="20"/>
                <w:lang w:eastAsia="fr-FR" w:bidi="ar-SA"/>
              </w:rPr>
              <w:t>% personnel formé</w:t>
            </w:r>
          </w:p>
        </w:tc>
        <w:tc>
          <w:tcPr>
            <w:tcW w:w="0" w:type="auto"/>
            <w:hideMark/>
          </w:tcPr>
          <w:p w14:paraId="27E374DD" w14:textId="58B21DEA" w:rsidR="006A04ED" w:rsidRPr="004637C7" w:rsidRDefault="006A04ED" w:rsidP="006A04E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sidRPr="002E0EF5">
              <w:rPr>
                <w:szCs w:val="20"/>
                <w:lang w:eastAsia="zh-CN" w:bidi="ar-SA"/>
              </w:rPr>
              <w:t>EPC / Sous-traitants</w:t>
            </w:r>
          </w:p>
        </w:tc>
        <w:tc>
          <w:tcPr>
            <w:tcW w:w="0" w:type="auto"/>
            <w:hideMark/>
          </w:tcPr>
          <w:p w14:paraId="5C070A4A" w14:textId="60D4E382" w:rsidR="006A04ED" w:rsidRPr="004637C7" w:rsidRDefault="006A04ED" w:rsidP="006A04E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sidRPr="002E0EF5">
              <w:rPr>
                <w:szCs w:val="20"/>
                <w:lang w:eastAsia="zh-CN" w:bidi="ar-SA"/>
              </w:rPr>
              <w:t>Bureau de contrôle / Consultant mandaté par l’ONDA</w:t>
            </w:r>
          </w:p>
        </w:tc>
        <w:tc>
          <w:tcPr>
            <w:tcW w:w="0" w:type="auto"/>
            <w:hideMark/>
          </w:tcPr>
          <w:p w14:paraId="1522A814" w14:textId="5470FF98" w:rsidR="006A04ED" w:rsidRPr="004637C7" w:rsidRDefault="006A04ED" w:rsidP="006A04E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sidRPr="002E0EF5">
              <w:rPr>
                <w:szCs w:val="20"/>
                <w:lang w:eastAsia="zh-CN" w:bidi="ar-SA"/>
              </w:rPr>
              <w:t>ONDA</w:t>
            </w:r>
          </w:p>
        </w:tc>
        <w:tc>
          <w:tcPr>
            <w:tcW w:w="0" w:type="auto"/>
            <w:hideMark/>
          </w:tcPr>
          <w:p w14:paraId="6D96D005" w14:textId="77777777" w:rsidR="006A04ED" w:rsidRPr="004637C7" w:rsidRDefault="006A04ED" w:rsidP="006A04E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sidRPr="004637C7">
              <w:rPr>
                <w:rFonts w:asciiTheme="minorHAnsi" w:hAnsiTheme="minorHAnsi" w:cstheme="minorHAnsi"/>
                <w:szCs w:val="20"/>
                <w:lang w:eastAsia="fr-FR" w:bidi="ar-SA"/>
              </w:rPr>
              <w:t>Trimestriel</w:t>
            </w:r>
          </w:p>
        </w:tc>
        <w:tc>
          <w:tcPr>
            <w:tcW w:w="0" w:type="auto"/>
          </w:tcPr>
          <w:p w14:paraId="5C2C03F0" w14:textId="7B0EF4A4" w:rsidR="006A04ED" w:rsidRPr="004637C7" w:rsidRDefault="006A04ED" w:rsidP="006A04E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Pr>
                <w:rFonts w:asciiTheme="minorHAnsi" w:hAnsiTheme="minorHAnsi" w:cstheme="minorHAnsi"/>
                <w:szCs w:val="20"/>
                <w:lang w:eastAsia="fr-FR" w:bidi="ar-SA"/>
              </w:rPr>
              <w:t>Aucun coût spécifique (Formation réalisée par responsable HSSE de l’EPC)</w:t>
            </w:r>
          </w:p>
        </w:tc>
      </w:tr>
      <w:tr w:rsidR="004F3ECE" w:rsidRPr="007A6057" w14:paraId="63707C91" w14:textId="77777777" w:rsidTr="00296614">
        <w:tc>
          <w:tcPr>
            <w:cnfStyle w:val="001000000000" w:firstRow="0" w:lastRow="0" w:firstColumn="1" w:lastColumn="0" w:oddVBand="0" w:evenVBand="0" w:oddHBand="0" w:evenHBand="0" w:firstRowFirstColumn="0" w:firstRowLastColumn="0" w:lastRowFirstColumn="0" w:lastRowLastColumn="0"/>
            <w:tcW w:w="0" w:type="auto"/>
            <w:vMerge/>
            <w:hideMark/>
          </w:tcPr>
          <w:p w14:paraId="08EAEB28" w14:textId="77777777" w:rsidR="00E2214E" w:rsidRPr="004637C7" w:rsidRDefault="00E2214E" w:rsidP="00E2214E">
            <w:pPr>
              <w:rPr>
                <w:rFonts w:asciiTheme="minorHAnsi" w:hAnsiTheme="minorHAnsi" w:cstheme="minorHAnsi"/>
                <w:szCs w:val="20"/>
                <w:lang w:eastAsia="fr-FR" w:bidi="ar-SA"/>
              </w:rPr>
            </w:pPr>
          </w:p>
        </w:tc>
        <w:tc>
          <w:tcPr>
            <w:tcW w:w="0" w:type="auto"/>
            <w:hideMark/>
          </w:tcPr>
          <w:p w14:paraId="374C0AA4" w14:textId="77777777" w:rsidR="00E2214E" w:rsidRPr="004637C7" w:rsidRDefault="00E2214E" w:rsidP="00E2214E">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sidRPr="004637C7">
              <w:rPr>
                <w:rFonts w:asciiTheme="minorHAnsi" w:hAnsiTheme="minorHAnsi" w:cstheme="minorHAnsi"/>
                <w:szCs w:val="20"/>
                <w:lang w:eastAsia="fr-FR" w:bidi="ar-SA"/>
              </w:rPr>
              <w:t>Compenser</w:t>
            </w:r>
          </w:p>
        </w:tc>
        <w:tc>
          <w:tcPr>
            <w:tcW w:w="0" w:type="auto"/>
            <w:hideMark/>
          </w:tcPr>
          <w:p w14:paraId="7B40F663" w14:textId="77777777" w:rsidR="00E2214E" w:rsidRPr="004637C7" w:rsidRDefault="00E2214E" w:rsidP="00E2214E">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sidRPr="004637C7">
              <w:rPr>
                <w:rFonts w:asciiTheme="minorHAnsi" w:hAnsiTheme="minorHAnsi" w:cstheme="minorHAnsi"/>
                <w:szCs w:val="20"/>
                <w:lang w:eastAsia="fr-FR" w:bidi="ar-SA"/>
              </w:rPr>
              <w:t>Assurer le suivi médical des travailleurs exposés et enregistrer les cas d’incidents dans le registre HSE.</w:t>
            </w:r>
          </w:p>
        </w:tc>
        <w:tc>
          <w:tcPr>
            <w:tcW w:w="0" w:type="auto"/>
            <w:hideMark/>
          </w:tcPr>
          <w:p w14:paraId="063938BE" w14:textId="77777777" w:rsidR="00E2214E" w:rsidRPr="004637C7" w:rsidRDefault="00E2214E" w:rsidP="00E2214E">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sidRPr="004637C7">
              <w:rPr>
                <w:rFonts w:asciiTheme="minorHAnsi" w:hAnsiTheme="minorHAnsi" w:cstheme="minorHAnsi"/>
                <w:szCs w:val="20"/>
                <w:lang w:eastAsia="fr-FR" w:bidi="ar-SA"/>
              </w:rPr>
              <w:t>Nb cas / suivi médical</w:t>
            </w:r>
          </w:p>
        </w:tc>
        <w:tc>
          <w:tcPr>
            <w:tcW w:w="0" w:type="auto"/>
            <w:hideMark/>
          </w:tcPr>
          <w:p w14:paraId="5C427F67" w14:textId="7748C036" w:rsidR="00E2214E" w:rsidRPr="004637C7" w:rsidRDefault="00E2214E" w:rsidP="00E2214E">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sidRPr="002E0EF5">
              <w:rPr>
                <w:szCs w:val="20"/>
                <w:lang w:eastAsia="zh-CN" w:bidi="ar-SA"/>
              </w:rPr>
              <w:t>EPC / Sous-traitants</w:t>
            </w:r>
          </w:p>
        </w:tc>
        <w:tc>
          <w:tcPr>
            <w:tcW w:w="0" w:type="auto"/>
            <w:hideMark/>
          </w:tcPr>
          <w:p w14:paraId="7E1E7CF6" w14:textId="2EAEA12D" w:rsidR="00E2214E" w:rsidRPr="004637C7" w:rsidRDefault="00E2214E" w:rsidP="00E2214E">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sidRPr="002E0EF5">
              <w:rPr>
                <w:szCs w:val="20"/>
                <w:lang w:eastAsia="zh-CN" w:bidi="ar-SA"/>
              </w:rPr>
              <w:t>Bureau de contrôle / Consultant mandaté par l’ONDA</w:t>
            </w:r>
          </w:p>
        </w:tc>
        <w:tc>
          <w:tcPr>
            <w:tcW w:w="0" w:type="auto"/>
            <w:hideMark/>
          </w:tcPr>
          <w:p w14:paraId="72ACF4CE" w14:textId="0ACA5A7C" w:rsidR="00E2214E" w:rsidRPr="004637C7" w:rsidRDefault="00E2214E" w:rsidP="00E2214E">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sidRPr="002E0EF5">
              <w:rPr>
                <w:szCs w:val="20"/>
                <w:lang w:eastAsia="zh-CN" w:bidi="ar-SA"/>
              </w:rPr>
              <w:t>ONDA</w:t>
            </w:r>
          </w:p>
        </w:tc>
        <w:tc>
          <w:tcPr>
            <w:tcW w:w="0" w:type="auto"/>
            <w:hideMark/>
          </w:tcPr>
          <w:p w14:paraId="70388462" w14:textId="77777777" w:rsidR="00E2214E" w:rsidRPr="004637C7" w:rsidRDefault="00E2214E" w:rsidP="00E2214E">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sidRPr="004637C7">
              <w:rPr>
                <w:rFonts w:asciiTheme="minorHAnsi" w:hAnsiTheme="minorHAnsi" w:cstheme="minorHAnsi"/>
                <w:szCs w:val="20"/>
                <w:lang w:eastAsia="fr-FR" w:bidi="ar-SA"/>
              </w:rPr>
              <w:t>Semestriel</w:t>
            </w:r>
          </w:p>
        </w:tc>
        <w:tc>
          <w:tcPr>
            <w:tcW w:w="0" w:type="auto"/>
          </w:tcPr>
          <w:p w14:paraId="3DF1F0A4" w14:textId="07CC389C" w:rsidR="004C54AD" w:rsidRDefault="006A04ED" w:rsidP="00E2214E">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Pr>
                <w:rFonts w:asciiTheme="minorHAnsi" w:hAnsiTheme="minorHAnsi" w:cstheme="minorHAnsi"/>
                <w:szCs w:val="20"/>
                <w:lang w:eastAsia="fr-FR" w:bidi="ar-SA"/>
              </w:rPr>
              <w:t>C</w:t>
            </w:r>
            <w:r w:rsidR="004C54AD">
              <w:rPr>
                <w:rFonts w:asciiTheme="minorHAnsi" w:hAnsiTheme="minorHAnsi" w:cstheme="minorHAnsi"/>
                <w:szCs w:val="20"/>
                <w:lang w:eastAsia="fr-FR" w:bidi="ar-SA"/>
              </w:rPr>
              <w:t>oût de mobilisation d’u médecin de travail sur le chantier : 18 000MAD/mois</w:t>
            </w:r>
          </w:p>
          <w:p w14:paraId="59499007" w14:textId="52DDA710" w:rsidR="00E2214E" w:rsidRPr="004637C7" w:rsidRDefault="004C54AD" w:rsidP="00E2214E">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Pr>
                <w:rFonts w:asciiTheme="minorHAnsi" w:hAnsiTheme="minorHAnsi" w:cstheme="minorHAnsi"/>
                <w:szCs w:val="20"/>
                <w:lang w:eastAsia="fr-FR" w:bidi="ar-SA"/>
              </w:rPr>
              <w:t xml:space="preserve">Désignation d’un infirmier permanent : 8 000 MAD/mois </w:t>
            </w:r>
          </w:p>
        </w:tc>
      </w:tr>
      <w:tr w:rsidR="004F3ECE" w:rsidRPr="007A6057" w14:paraId="31A850C3" w14:textId="77777777" w:rsidTr="00296614">
        <w:tc>
          <w:tcPr>
            <w:cnfStyle w:val="001000000000" w:firstRow="0" w:lastRow="0" w:firstColumn="1" w:lastColumn="0" w:oddVBand="0" w:evenVBand="0" w:oddHBand="0" w:evenHBand="0" w:firstRowFirstColumn="0" w:firstRowLastColumn="0" w:lastRowFirstColumn="0" w:lastRowLastColumn="0"/>
            <w:tcW w:w="0" w:type="auto"/>
            <w:vMerge w:val="restart"/>
            <w:hideMark/>
          </w:tcPr>
          <w:p w14:paraId="625E23B3" w14:textId="77777777" w:rsidR="00E2214E" w:rsidRPr="004637C7" w:rsidRDefault="00E2214E" w:rsidP="00E2214E">
            <w:pPr>
              <w:rPr>
                <w:rFonts w:asciiTheme="minorHAnsi" w:hAnsiTheme="minorHAnsi" w:cstheme="minorHAnsi"/>
                <w:szCs w:val="20"/>
                <w:lang w:eastAsia="fr-FR" w:bidi="ar-SA"/>
              </w:rPr>
            </w:pPr>
            <w:r w:rsidRPr="004637C7">
              <w:rPr>
                <w:rFonts w:asciiTheme="minorHAnsi" w:hAnsiTheme="minorHAnsi" w:cstheme="minorHAnsi"/>
                <w:szCs w:val="20"/>
                <w:lang w:eastAsia="fr-FR" w:bidi="ar-SA"/>
              </w:rPr>
              <w:t>Risque d’incendie ou d’explosion dans les zones techniques</w:t>
            </w:r>
          </w:p>
        </w:tc>
        <w:tc>
          <w:tcPr>
            <w:tcW w:w="0" w:type="auto"/>
            <w:hideMark/>
          </w:tcPr>
          <w:p w14:paraId="508C8835" w14:textId="77777777" w:rsidR="00E2214E" w:rsidRPr="004637C7" w:rsidRDefault="00E2214E" w:rsidP="00E2214E">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sidRPr="004637C7">
              <w:rPr>
                <w:rFonts w:asciiTheme="minorHAnsi" w:hAnsiTheme="minorHAnsi" w:cstheme="minorHAnsi"/>
                <w:szCs w:val="20"/>
                <w:lang w:eastAsia="fr-FR" w:bidi="ar-SA"/>
              </w:rPr>
              <w:t>Éviter</w:t>
            </w:r>
          </w:p>
        </w:tc>
        <w:tc>
          <w:tcPr>
            <w:tcW w:w="0" w:type="auto"/>
            <w:hideMark/>
          </w:tcPr>
          <w:p w14:paraId="3A522E99" w14:textId="77777777" w:rsidR="00E2214E" w:rsidRPr="004637C7" w:rsidRDefault="00E2214E" w:rsidP="00E2214E">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sidRPr="004637C7">
              <w:rPr>
                <w:rFonts w:asciiTheme="minorHAnsi" w:hAnsiTheme="minorHAnsi" w:cstheme="minorHAnsi"/>
                <w:szCs w:val="20"/>
                <w:lang w:eastAsia="fr-FR" w:bidi="ar-SA"/>
              </w:rPr>
              <w:t>Appliquer le Plan de Prévention des Incendies (PPI) et interdire les fumeurs dans les zones à risques.</w:t>
            </w:r>
          </w:p>
        </w:tc>
        <w:tc>
          <w:tcPr>
            <w:tcW w:w="0" w:type="auto"/>
            <w:hideMark/>
          </w:tcPr>
          <w:p w14:paraId="7DD27926" w14:textId="77777777" w:rsidR="00E2214E" w:rsidRPr="004637C7" w:rsidRDefault="00E2214E" w:rsidP="00E2214E">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sidRPr="004637C7">
              <w:rPr>
                <w:rFonts w:asciiTheme="minorHAnsi" w:hAnsiTheme="minorHAnsi" w:cstheme="minorHAnsi"/>
                <w:szCs w:val="20"/>
                <w:lang w:eastAsia="fr-FR" w:bidi="ar-SA"/>
              </w:rPr>
              <w:t>PPI validé et diffusé</w:t>
            </w:r>
          </w:p>
        </w:tc>
        <w:tc>
          <w:tcPr>
            <w:tcW w:w="0" w:type="auto"/>
            <w:hideMark/>
          </w:tcPr>
          <w:p w14:paraId="0E7E9148" w14:textId="20CDD255" w:rsidR="00E2214E" w:rsidRPr="004637C7" w:rsidRDefault="00E2214E" w:rsidP="00E2214E">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sidRPr="002E0EF5">
              <w:rPr>
                <w:szCs w:val="20"/>
                <w:lang w:eastAsia="zh-CN" w:bidi="ar-SA"/>
              </w:rPr>
              <w:t>EPC / Sous-traitants</w:t>
            </w:r>
          </w:p>
        </w:tc>
        <w:tc>
          <w:tcPr>
            <w:tcW w:w="0" w:type="auto"/>
            <w:hideMark/>
          </w:tcPr>
          <w:p w14:paraId="28982EFB" w14:textId="1FF1EBD5" w:rsidR="00E2214E" w:rsidRPr="004637C7" w:rsidRDefault="00E2214E" w:rsidP="00E2214E">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sidRPr="002E0EF5">
              <w:rPr>
                <w:szCs w:val="20"/>
                <w:lang w:eastAsia="zh-CN" w:bidi="ar-SA"/>
              </w:rPr>
              <w:t>Bureau de contrôle / Consultant mandaté par l’ONDA</w:t>
            </w:r>
          </w:p>
        </w:tc>
        <w:tc>
          <w:tcPr>
            <w:tcW w:w="0" w:type="auto"/>
            <w:hideMark/>
          </w:tcPr>
          <w:p w14:paraId="714F1305" w14:textId="21FC218E" w:rsidR="00E2214E" w:rsidRPr="004637C7" w:rsidRDefault="00E2214E" w:rsidP="00E2214E">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sidRPr="002E0EF5">
              <w:rPr>
                <w:szCs w:val="20"/>
                <w:lang w:eastAsia="zh-CN" w:bidi="ar-SA"/>
              </w:rPr>
              <w:t>ONDA</w:t>
            </w:r>
          </w:p>
        </w:tc>
        <w:tc>
          <w:tcPr>
            <w:tcW w:w="0" w:type="auto"/>
            <w:hideMark/>
          </w:tcPr>
          <w:p w14:paraId="01999DBB" w14:textId="77777777" w:rsidR="00E2214E" w:rsidRPr="004637C7" w:rsidRDefault="00E2214E" w:rsidP="00E2214E">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sidRPr="004637C7">
              <w:rPr>
                <w:rFonts w:asciiTheme="minorHAnsi" w:hAnsiTheme="minorHAnsi" w:cstheme="minorHAnsi"/>
                <w:szCs w:val="20"/>
                <w:lang w:eastAsia="fr-FR" w:bidi="ar-SA"/>
              </w:rPr>
              <w:t>Avant travaux</w:t>
            </w:r>
          </w:p>
        </w:tc>
        <w:tc>
          <w:tcPr>
            <w:tcW w:w="0" w:type="auto"/>
          </w:tcPr>
          <w:p w14:paraId="593E80B2" w14:textId="40A4640E" w:rsidR="00E2214E" w:rsidRPr="004637C7" w:rsidRDefault="00B458FF" w:rsidP="00E2214E">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Pr>
                <w:rFonts w:asciiTheme="minorHAnsi" w:hAnsiTheme="minorHAnsi" w:cstheme="minorHAnsi"/>
                <w:szCs w:val="20"/>
                <w:lang w:eastAsia="fr-FR" w:bidi="ar-SA"/>
              </w:rPr>
              <w:t>Aucun coût spécifique</w:t>
            </w:r>
          </w:p>
        </w:tc>
      </w:tr>
      <w:tr w:rsidR="004F3ECE" w:rsidRPr="007A6057" w14:paraId="394C5F7B" w14:textId="77777777" w:rsidTr="00296614">
        <w:tc>
          <w:tcPr>
            <w:cnfStyle w:val="001000000000" w:firstRow="0" w:lastRow="0" w:firstColumn="1" w:lastColumn="0" w:oddVBand="0" w:evenVBand="0" w:oddHBand="0" w:evenHBand="0" w:firstRowFirstColumn="0" w:firstRowLastColumn="0" w:lastRowFirstColumn="0" w:lastRowLastColumn="0"/>
            <w:tcW w:w="0" w:type="auto"/>
            <w:vMerge/>
            <w:hideMark/>
          </w:tcPr>
          <w:p w14:paraId="5369F63A" w14:textId="77777777" w:rsidR="00E2214E" w:rsidRPr="004637C7" w:rsidRDefault="00E2214E" w:rsidP="00E2214E">
            <w:pPr>
              <w:rPr>
                <w:rFonts w:asciiTheme="minorHAnsi" w:hAnsiTheme="minorHAnsi" w:cstheme="minorHAnsi"/>
                <w:szCs w:val="20"/>
                <w:lang w:eastAsia="fr-FR" w:bidi="ar-SA"/>
              </w:rPr>
            </w:pPr>
          </w:p>
        </w:tc>
        <w:tc>
          <w:tcPr>
            <w:tcW w:w="0" w:type="auto"/>
            <w:hideMark/>
          </w:tcPr>
          <w:p w14:paraId="231802FD" w14:textId="77777777" w:rsidR="00E2214E" w:rsidRPr="004637C7" w:rsidRDefault="00E2214E" w:rsidP="00E2214E">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sidRPr="004637C7">
              <w:rPr>
                <w:rFonts w:asciiTheme="minorHAnsi" w:hAnsiTheme="minorHAnsi" w:cstheme="minorHAnsi"/>
                <w:szCs w:val="20"/>
                <w:lang w:eastAsia="fr-FR" w:bidi="ar-SA"/>
              </w:rPr>
              <w:t>Réduire</w:t>
            </w:r>
          </w:p>
        </w:tc>
        <w:tc>
          <w:tcPr>
            <w:tcW w:w="0" w:type="auto"/>
            <w:hideMark/>
          </w:tcPr>
          <w:p w14:paraId="6B37574F" w14:textId="77777777" w:rsidR="00E2214E" w:rsidRPr="004637C7" w:rsidRDefault="00E2214E" w:rsidP="00E2214E">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sidRPr="004637C7">
              <w:rPr>
                <w:rFonts w:asciiTheme="minorHAnsi" w:hAnsiTheme="minorHAnsi" w:cstheme="minorHAnsi"/>
                <w:szCs w:val="20"/>
                <w:lang w:eastAsia="fr-FR" w:bidi="ar-SA"/>
              </w:rPr>
              <w:t>Installer des extincteurs, signalétique claire et ventilation adéquate dans les ateliers ; contrôler les bouteilles de gaz.</w:t>
            </w:r>
          </w:p>
        </w:tc>
        <w:tc>
          <w:tcPr>
            <w:tcW w:w="0" w:type="auto"/>
            <w:hideMark/>
          </w:tcPr>
          <w:p w14:paraId="451D62C4" w14:textId="77777777" w:rsidR="00E2214E" w:rsidRPr="004637C7" w:rsidRDefault="00E2214E" w:rsidP="00E2214E">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sidRPr="004637C7">
              <w:rPr>
                <w:rFonts w:asciiTheme="minorHAnsi" w:hAnsiTheme="minorHAnsi" w:cstheme="minorHAnsi"/>
                <w:szCs w:val="20"/>
                <w:lang w:eastAsia="fr-FR" w:bidi="ar-SA"/>
              </w:rPr>
              <w:t>% équipements vérifiés</w:t>
            </w:r>
          </w:p>
        </w:tc>
        <w:tc>
          <w:tcPr>
            <w:tcW w:w="0" w:type="auto"/>
            <w:hideMark/>
          </w:tcPr>
          <w:p w14:paraId="1362D6CB" w14:textId="7715ABCA" w:rsidR="00E2214E" w:rsidRPr="004637C7" w:rsidRDefault="00E2214E" w:rsidP="00E2214E">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sidRPr="002E0EF5">
              <w:rPr>
                <w:szCs w:val="20"/>
                <w:lang w:eastAsia="zh-CN" w:bidi="ar-SA"/>
              </w:rPr>
              <w:t>EPC / Sous-traitants</w:t>
            </w:r>
          </w:p>
        </w:tc>
        <w:tc>
          <w:tcPr>
            <w:tcW w:w="0" w:type="auto"/>
            <w:hideMark/>
          </w:tcPr>
          <w:p w14:paraId="51D6D833" w14:textId="76900BF3" w:rsidR="00E2214E" w:rsidRPr="004637C7" w:rsidRDefault="00E2214E" w:rsidP="00E2214E">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sidRPr="002E0EF5">
              <w:rPr>
                <w:szCs w:val="20"/>
                <w:lang w:eastAsia="zh-CN" w:bidi="ar-SA"/>
              </w:rPr>
              <w:t>Bureau de contrôle / Consultant mandaté par l’ONDA</w:t>
            </w:r>
          </w:p>
        </w:tc>
        <w:tc>
          <w:tcPr>
            <w:tcW w:w="0" w:type="auto"/>
            <w:hideMark/>
          </w:tcPr>
          <w:p w14:paraId="3A310E0B" w14:textId="7306E7E2" w:rsidR="00E2214E" w:rsidRPr="004637C7" w:rsidRDefault="00E2214E" w:rsidP="00E2214E">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sidRPr="002E0EF5">
              <w:rPr>
                <w:szCs w:val="20"/>
                <w:lang w:eastAsia="zh-CN" w:bidi="ar-SA"/>
              </w:rPr>
              <w:t>ONDA</w:t>
            </w:r>
          </w:p>
        </w:tc>
        <w:tc>
          <w:tcPr>
            <w:tcW w:w="0" w:type="auto"/>
            <w:hideMark/>
          </w:tcPr>
          <w:p w14:paraId="06F49CF5" w14:textId="77777777" w:rsidR="00E2214E" w:rsidRPr="004637C7" w:rsidRDefault="00E2214E" w:rsidP="00E2214E">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sidRPr="004637C7">
              <w:rPr>
                <w:rFonts w:asciiTheme="minorHAnsi" w:hAnsiTheme="minorHAnsi" w:cstheme="minorHAnsi"/>
                <w:szCs w:val="20"/>
                <w:lang w:eastAsia="fr-FR" w:bidi="ar-SA"/>
              </w:rPr>
              <w:t>Mensuel</w:t>
            </w:r>
          </w:p>
        </w:tc>
        <w:tc>
          <w:tcPr>
            <w:tcW w:w="0" w:type="auto"/>
          </w:tcPr>
          <w:p w14:paraId="0DEF4928" w14:textId="7D9F4D71" w:rsidR="00E2214E" w:rsidRPr="004637C7" w:rsidRDefault="00B458FF" w:rsidP="00E2214E">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sidRPr="00B458FF">
              <w:rPr>
                <w:rFonts w:asciiTheme="minorHAnsi" w:hAnsiTheme="minorHAnsi" w:cstheme="minorHAnsi"/>
                <w:szCs w:val="20"/>
                <w:lang w:eastAsia="fr-FR" w:bidi="ar-SA"/>
              </w:rPr>
              <w:t>400 – 600</w:t>
            </w:r>
            <w:r>
              <w:rPr>
                <w:rFonts w:asciiTheme="minorHAnsi" w:hAnsiTheme="minorHAnsi" w:cstheme="minorHAnsi"/>
                <w:szCs w:val="20"/>
                <w:lang w:eastAsia="fr-FR" w:bidi="ar-SA"/>
              </w:rPr>
              <w:t xml:space="preserve"> MAD</w:t>
            </w:r>
            <w:r w:rsidRPr="00B458FF">
              <w:rPr>
                <w:rFonts w:asciiTheme="minorHAnsi" w:hAnsiTheme="minorHAnsi" w:cstheme="minorHAnsi"/>
                <w:szCs w:val="20"/>
                <w:lang w:eastAsia="fr-FR" w:bidi="ar-SA"/>
              </w:rPr>
              <w:t xml:space="preserve"> /unité</w:t>
            </w:r>
          </w:p>
        </w:tc>
      </w:tr>
      <w:tr w:rsidR="004F3ECE" w:rsidRPr="007A6057" w14:paraId="6E09A9B0" w14:textId="77777777" w:rsidTr="00296614">
        <w:tc>
          <w:tcPr>
            <w:cnfStyle w:val="001000000000" w:firstRow="0" w:lastRow="0" w:firstColumn="1" w:lastColumn="0" w:oddVBand="0" w:evenVBand="0" w:oddHBand="0" w:evenHBand="0" w:firstRowFirstColumn="0" w:firstRowLastColumn="0" w:lastRowFirstColumn="0" w:lastRowLastColumn="0"/>
            <w:tcW w:w="0" w:type="auto"/>
            <w:vMerge/>
            <w:hideMark/>
          </w:tcPr>
          <w:p w14:paraId="43487B83" w14:textId="77777777" w:rsidR="00E2214E" w:rsidRPr="004637C7" w:rsidRDefault="00E2214E" w:rsidP="00E2214E">
            <w:pPr>
              <w:rPr>
                <w:rFonts w:asciiTheme="minorHAnsi" w:hAnsiTheme="minorHAnsi" w:cstheme="minorHAnsi"/>
                <w:szCs w:val="20"/>
                <w:lang w:eastAsia="fr-FR" w:bidi="ar-SA"/>
              </w:rPr>
            </w:pPr>
          </w:p>
        </w:tc>
        <w:tc>
          <w:tcPr>
            <w:tcW w:w="0" w:type="auto"/>
            <w:hideMark/>
          </w:tcPr>
          <w:p w14:paraId="4EB71C0B" w14:textId="77777777" w:rsidR="00E2214E" w:rsidRPr="004637C7" w:rsidRDefault="00E2214E" w:rsidP="00E2214E">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sidRPr="004637C7">
              <w:rPr>
                <w:rFonts w:asciiTheme="minorHAnsi" w:hAnsiTheme="minorHAnsi" w:cstheme="minorHAnsi"/>
                <w:szCs w:val="20"/>
                <w:lang w:eastAsia="fr-FR" w:bidi="ar-SA"/>
              </w:rPr>
              <w:t>Atténuer</w:t>
            </w:r>
          </w:p>
        </w:tc>
        <w:tc>
          <w:tcPr>
            <w:tcW w:w="0" w:type="auto"/>
            <w:hideMark/>
          </w:tcPr>
          <w:p w14:paraId="61BBA876" w14:textId="77777777" w:rsidR="00E2214E" w:rsidRPr="004637C7" w:rsidRDefault="00E2214E" w:rsidP="00E2214E">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sidRPr="004637C7">
              <w:rPr>
                <w:rFonts w:asciiTheme="minorHAnsi" w:hAnsiTheme="minorHAnsi" w:cstheme="minorHAnsi"/>
                <w:szCs w:val="20"/>
                <w:lang w:eastAsia="fr-FR" w:bidi="ar-SA"/>
              </w:rPr>
              <w:t>Former le personnel au maniement des extincteurs et organiser un exercice d’évacuation par semestre.</w:t>
            </w:r>
          </w:p>
        </w:tc>
        <w:tc>
          <w:tcPr>
            <w:tcW w:w="0" w:type="auto"/>
            <w:hideMark/>
          </w:tcPr>
          <w:p w14:paraId="773AA83B" w14:textId="77777777" w:rsidR="00E2214E" w:rsidRPr="004637C7" w:rsidRDefault="00E2214E" w:rsidP="00E2214E">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sidRPr="004637C7">
              <w:rPr>
                <w:rFonts w:asciiTheme="minorHAnsi" w:hAnsiTheme="minorHAnsi" w:cstheme="minorHAnsi"/>
                <w:szCs w:val="20"/>
                <w:lang w:eastAsia="fr-FR" w:bidi="ar-SA"/>
              </w:rPr>
              <w:t>Nb exercices réalisés</w:t>
            </w:r>
          </w:p>
        </w:tc>
        <w:tc>
          <w:tcPr>
            <w:tcW w:w="0" w:type="auto"/>
            <w:hideMark/>
          </w:tcPr>
          <w:p w14:paraId="2054D8D2" w14:textId="3023BD04" w:rsidR="00E2214E" w:rsidRPr="004637C7" w:rsidRDefault="00E2214E" w:rsidP="00E2214E">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sidRPr="002E0EF5">
              <w:rPr>
                <w:szCs w:val="20"/>
                <w:lang w:eastAsia="zh-CN" w:bidi="ar-SA"/>
              </w:rPr>
              <w:t>EPC / Sous-traitants</w:t>
            </w:r>
          </w:p>
        </w:tc>
        <w:tc>
          <w:tcPr>
            <w:tcW w:w="0" w:type="auto"/>
            <w:hideMark/>
          </w:tcPr>
          <w:p w14:paraId="720EADA7" w14:textId="1CD0DB83" w:rsidR="00E2214E" w:rsidRPr="004637C7" w:rsidRDefault="00E2214E" w:rsidP="00E2214E">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sidRPr="002E0EF5">
              <w:rPr>
                <w:szCs w:val="20"/>
                <w:lang w:eastAsia="zh-CN" w:bidi="ar-SA"/>
              </w:rPr>
              <w:t>Bureau de contrôle / Consultant mandaté par l’ONDA</w:t>
            </w:r>
          </w:p>
        </w:tc>
        <w:tc>
          <w:tcPr>
            <w:tcW w:w="0" w:type="auto"/>
            <w:hideMark/>
          </w:tcPr>
          <w:p w14:paraId="3828D6CE" w14:textId="796D6DF7" w:rsidR="00E2214E" w:rsidRPr="004637C7" w:rsidRDefault="00E2214E" w:rsidP="00E2214E">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sidRPr="002E0EF5">
              <w:rPr>
                <w:szCs w:val="20"/>
                <w:lang w:eastAsia="zh-CN" w:bidi="ar-SA"/>
              </w:rPr>
              <w:t>ONDA</w:t>
            </w:r>
          </w:p>
        </w:tc>
        <w:tc>
          <w:tcPr>
            <w:tcW w:w="0" w:type="auto"/>
            <w:hideMark/>
          </w:tcPr>
          <w:p w14:paraId="11C56F7C" w14:textId="77777777" w:rsidR="00E2214E" w:rsidRPr="004637C7" w:rsidRDefault="00E2214E" w:rsidP="00E2214E">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sidRPr="004637C7">
              <w:rPr>
                <w:rFonts w:asciiTheme="minorHAnsi" w:hAnsiTheme="minorHAnsi" w:cstheme="minorHAnsi"/>
                <w:szCs w:val="20"/>
                <w:lang w:eastAsia="fr-FR" w:bidi="ar-SA"/>
              </w:rPr>
              <w:t>Semestriel</w:t>
            </w:r>
          </w:p>
        </w:tc>
        <w:tc>
          <w:tcPr>
            <w:tcW w:w="0" w:type="auto"/>
          </w:tcPr>
          <w:p w14:paraId="4B1CB5F6" w14:textId="2234720F" w:rsidR="00E2214E" w:rsidRPr="004637C7" w:rsidRDefault="00E2214E" w:rsidP="00E2214E">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sidRPr="004637C7">
              <w:rPr>
                <w:rFonts w:asciiTheme="minorHAnsi" w:hAnsiTheme="minorHAnsi" w:cstheme="minorHAnsi"/>
                <w:szCs w:val="20"/>
                <w:lang w:eastAsia="fr-FR" w:bidi="ar-SA"/>
              </w:rPr>
              <w:t>4000 MAD/formateur/jour</w:t>
            </w:r>
          </w:p>
        </w:tc>
      </w:tr>
      <w:tr w:rsidR="004F3ECE" w:rsidRPr="007A6057" w14:paraId="4F26CB13" w14:textId="77777777" w:rsidTr="00296614">
        <w:tc>
          <w:tcPr>
            <w:cnfStyle w:val="001000000000" w:firstRow="0" w:lastRow="0" w:firstColumn="1" w:lastColumn="0" w:oddVBand="0" w:evenVBand="0" w:oddHBand="0" w:evenHBand="0" w:firstRowFirstColumn="0" w:firstRowLastColumn="0" w:lastRowFirstColumn="0" w:lastRowLastColumn="0"/>
            <w:tcW w:w="0" w:type="auto"/>
            <w:vMerge/>
            <w:hideMark/>
          </w:tcPr>
          <w:p w14:paraId="2427BE34" w14:textId="77777777" w:rsidR="00E2214E" w:rsidRPr="004637C7" w:rsidRDefault="00E2214E" w:rsidP="00E2214E">
            <w:pPr>
              <w:rPr>
                <w:rFonts w:asciiTheme="minorHAnsi" w:hAnsiTheme="minorHAnsi" w:cstheme="minorHAnsi"/>
                <w:szCs w:val="20"/>
                <w:lang w:eastAsia="fr-FR" w:bidi="ar-SA"/>
              </w:rPr>
            </w:pPr>
          </w:p>
        </w:tc>
        <w:tc>
          <w:tcPr>
            <w:tcW w:w="0" w:type="auto"/>
            <w:hideMark/>
          </w:tcPr>
          <w:p w14:paraId="23B8A184" w14:textId="77777777" w:rsidR="00E2214E" w:rsidRPr="004637C7" w:rsidRDefault="00E2214E" w:rsidP="00E2214E">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sidRPr="004637C7">
              <w:rPr>
                <w:rFonts w:asciiTheme="minorHAnsi" w:hAnsiTheme="minorHAnsi" w:cstheme="minorHAnsi"/>
                <w:szCs w:val="20"/>
                <w:lang w:eastAsia="fr-FR" w:bidi="ar-SA"/>
              </w:rPr>
              <w:t>Compenser</w:t>
            </w:r>
          </w:p>
        </w:tc>
        <w:tc>
          <w:tcPr>
            <w:tcW w:w="0" w:type="auto"/>
            <w:hideMark/>
          </w:tcPr>
          <w:p w14:paraId="7D190982" w14:textId="77777777" w:rsidR="00E2214E" w:rsidRPr="004637C7" w:rsidRDefault="00E2214E" w:rsidP="00E2214E">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sidRPr="004637C7">
              <w:rPr>
                <w:rFonts w:asciiTheme="minorHAnsi" w:hAnsiTheme="minorHAnsi" w:cstheme="minorHAnsi"/>
                <w:szCs w:val="20"/>
                <w:lang w:eastAsia="fr-FR" w:bidi="ar-SA"/>
              </w:rPr>
              <w:t>Réaliser une analyse post-incident et mettre à jour le PPI et le plan HSE en conséquence.</w:t>
            </w:r>
          </w:p>
        </w:tc>
        <w:tc>
          <w:tcPr>
            <w:tcW w:w="0" w:type="auto"/>
            <w:hideMark/>
          </w:tcPr>
          <w:p w14:paraId="448EC826" w14:textId="77777777" w:rsidR="00E2214E" w:rsidRPr="004637C7" w:rsidRDefault="00E2214E" w:rsidP="00E2214E">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sidRPr="004637C7">
              <w:rPr>
                <w:rFonts w:asciiTheme="minorHAnsi" w:hAnsiTheme="minorHAnsi" w:cstheme="minorHAnsi"/>
                <w:szCs w:val="20"/>
                <w:lang w:eastAsia="fr-FR" w:bidi="ar-SA"/>
              </w:rPr>
              <w:t>Rapport post-incident</w:t>
            </w:r>
          </w:p>
        </w:tc>
        <w:tc>
          <w:tcPr>
            <w:tcW w:w="0" w:type="auto"/>
            <w:hideMark/>
          </w:tcPr>
          <w:p w14:paraId="34A12077" w14:textId="7622971E" w:rsidR="00E2214E" w:rsidRPr="004637C7" w:rsidRDefault="00E2214E" w:rsidP="00E2214E">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sidRPr="002E0EF5">
              <w:rPr>
                <w:szCs w:val="20"/>
                <w:lang w:eastAsia="zh-CN" w:bidi="ar-SA"/>
              </w:rPr>
              <w:t>EPC / Sous-traitants</w:t>
            </w:r>
          </w:p>
        </w:tc>
        <w:tc>
          <w:tcPr>
            <w:tcW w:w="0" w:type="auto"/>
            <w:hideMark/>
          </w:tcPr>
          <w:p w14:paraId="246733B9" w14:textId="7DAFC031" w:rsidR="00E2214E" w:rsidRPr="004637C7" w:rsidRDefault="00E2214E" w:rsidP="00E2214E">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sidRPr="002E0EF5">
              <w:rPr>
                <w:szCs w:val="20"/>
                <w:lang w:eastAsia="zh-CN" w:bidi="ar-SA"/>
              </w:rPr>
              <w:t>Bureau de contrôle / Consultant mandaté par l’ONDA</w:t>
            </w:r>
          </w:p>
        </w:tc>
        <w:tc>
          <w:tcPr>
            <w:tcW w:w="0" w:type="auto"/>
            <w:hideMark/>
          </w:tcPr>
          <w:p w14:paraId="2638066B" w14:textId="23CEEC40" w:rsidR="00E2214E" w:rsidRPr="004637C7" w:rsidRDefault="00E2214E" w:rsidP="00E2214E">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sidRPr="002E0EF5">
              <w:rPr>
                <w:szCs w:val="20"/>
                <w:lang w:eastAsia="zh-CN" w:bidi="ar-SA"/>
              </w:rPr>
              <w:t>ONDA</w:t>
            </w:r>
          </w:p>
        </w:tc>
        <w:tc>
          <w:tcPr>
            <w:tcW w:w="0" w:type="auto"/>
            <w:hideMark/>
          </w:tcPr>
          <w:p w14:paraId="4E5AF1EA" w14:textId="77777777" w:rsidR="00E2214E" w:rsidRPr="004637C7" w:rsidRDefault="00E2214E" w:rsidP="00E2214E">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sidRPr="004637C7">
              <w:rPr>
                <w:rFonts w:asciiTheme="minorHAnsi" w:hAnsiTheme="minorHAnsi" w:cstheme="minorHAnsi"/>
                <w:szCs w:val="20"/>
                <w:lang w:eastAsia="fr-FR" w:bidi="ar-SA"/>
              </w:rPr>
              <w:t>Après incident</w:t>
            </w:r>
          </w:p>
        </w:tc>
        <w:tc>
          <w:tcPr>
            <w:tcW w:w="0" w:type="auto"/>
          </w:tcPr>
          <w:p w14:paraId="16A9B633" w14:textId="636AD884" w:rsidR="00E2214E" w:rsidRPr="004637C7" w:rsidRDefault="00B458FF" w:rsidP="00E2214E">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Pr>
                <w:rFonts w:asciiTheme="minorHAnsi" w:hAnsiTheme="minorHAnsi" w:cstheme="minorHAnsi"/>
                <w:szCs w:val="20"/>
                <w:lang w:eastAsia="fr-FR" w:bidi="ar-SA"/>
              </w:rPr>
              <w:t>Aucun coût spécifique</w:t>
            </w:r>
          </w:p>
        </w:tc>
      </w:tr>
      <w:tr w:rsidR="003F5174" w:rsidRPr="007A6057" w14:paraId="4ABD18E3" w14:textId="77777777" w:rsidTr="00296614">
        <w:tc>
          <w:tcPr>
            <w:cnfStyle w:val="001000000000" w:firstRow="0" w:lastRow="0" w:firstColumn="1" w:lastColumn="0" w:oddVBand="0" w:evenVBand="0" w:oddHBand="0" w:evenHBand="0" w:firstRowFirstColumn="0" w:firstRowLastColumn="0" w:lastRowFirstColumn="0" w:lastRowLastColumn="0"/>
            <w:tcW w:w="0" w:type="auto"/>
            <w:vMerge w:val="restart"/>
          </w:tcPr>
          <w:p w14:paraId="7C5E5B6F" w14:textId="1BEB2788" w:rsidR="003F5174" w:rsidRPr="004637C7" w:rsidRDefault="003F5174" w:rsidP="003F5174">
            <w:pPr>
              <w:rPr>
                <w:rFonts w:asciiTheme="minorHAnsi" w:hAnsiTheme="minorHAnsi" w:cstheme="minorHAnsi"/>
                <w:szCs w:val="20"/>
                <w:lang w:eastAsia="fr-FR" w:bidi="ar-SA"/>
              </w:rPr>
            </w:pPr>
            <w:r w:rsidRPr="004637C7">
              <w:rPr>
                <w:rFonts w:asciiTheme="minorHAnsi" w:hAnsiTheme="minorHAnsi" w:cstheme="minorHAnsi"/>
                <w:szCs w:val="20"/>
                <w:lang w:eastAsia="fr-FR" w:bidi="ar-SA"/>
              </w:rPr>
              <w:t>Tous impacts liés aux déchets et matières dangereuses</w:t>
            </w:r>
          </w:p>
        </w:tc>
        <w:tc>
          <w:tcPr>
            <w:tcW w:w="0" w:type="auto"/>
            <w:vMerge w:val="restart"/>
          </w:tcPr>
          <w:p w14:paraId="4AE6AD8E" w14:textId="3491B910" w:rsidR="003F5174" w:rsidRPr="004637C7" w:rsidRDefault="003F5174" w:rsidP="003F5174">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sidRPr="004637C7">
              <w:rPr>
                <w:rFonts w:asciiTheme="minorHAnsi" w:hAnsiTheme="minorHAnsi" w:cstheme="minorHAnsi"/>
                <w:szCs w:val="20"/>
                <w:lang w:eastAsia="fr-FR" w:bidi="ar-SA"/>
              </w:rPr>
              <w:t>Réduire / Atténuer</w:t>
            </w:r>
          </w:p>
        </w:tc>
        <w:tc>
          <w:tcPr>
            <w:tcW w:w="0" w:type="auto"/>
          </w:tcPr>
          <w:p w14:paraId="0E9D00B9" w14:textId="6EDAA142" w:rsidR="003F5174" w:rsidRPr="004637C7" w:rsidRDefault="003F5174" w:rsidP="003F5174">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sidRPr="004637C7">
              <w:rPr>
                <w:rFonts w:asciiTheme="minorHAnsi" w:hAnsiTheme="minorHAnsi" w:cstheme="minorHAnsi"/>
                <w:szCs w:val="20"/>
                <w:lang w:eastAsia="fr-FR" w:bidi="ar-SA"/>
              </w:rPr>
              <w:t>Assurer la traçabilité complète des déchets via un registre et des bordereaux normalisés.</w:t>
            </w:r>
          </w:p>
        </w:tc>
        <w:tc>
          <w:tcPr>
            <w:tcW w:w="0" w:type="auto"/>
          </w:tcPr>
          <w:p w14:paraId="38316E68" w14:textId="68222BAF" w:rsidR="003F5174" w:rsidRPr="004637C7" w:rsidRDefault="003F5174" w:rsidP="003F5174">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sidRPr="004637C7">
              <w:rPr>
                <w:rFonts w:asciiTheme="minorHAnsi" w:hAnsiTheme="minorHAnsi" w:cstheme="minorHAnsi"/>
                <w:szCs w:val="20"/>
                <w:lang w:eastAsia="fr-FR" w:bidi="ar-SA"/>
              </w:rPr>
              <w:t>% de déchets tracés ; nombre de bordereaux validés</w:t>
            </w:r>
          </w:p>
        </w:tc>
        <w:tc>
          <w:tcPr>
            <w:tcW w:w="0" w:type="auto"/>
          </w:tcPr>
          <w:p w14:paraId="5B656445" w14:textId="69F100D4" w:rsidR="003F5174" w:rsidRPr="004637C7" w:rsidRDefault="003F5174" w:rsidP="003F5174">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2E0EF5">
              <w:rPr>
                <w:szCs w:val="20"/>
                <w:lang w:eastAsia="zh-CN" w:bidi="ar-SA"/>
              </w:rPr>
              <w:t>EPC / Sous-traitants</w:t>
            </w:r>
          </w:p>
        </w:tc>
        <w:tc>
          <w:tcPr>
            <w:tcW w:w="0" w:type="auto"/>
          </w:tcPr>
          <w:p w14:paraId="5BC498C3" w14:textId="359FC2C4" w:rsidR="003F5174" w:rsidRPr="004637C7" w:rsidRDefault="003F5174" w:rsidP="003F5174">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2E0EF5">
              <w:rPr>
                <w:szCs w:val="20"/>
                <w:lang w:eastAsia="zh-CN" w:bidi="ar-SA"/>
              </w:rPr>
              <w:t>Bureau de contrôle / Consultant mandaté par l’ONDA</w:t>
            </w:r>
          </w:p>
        </w:tc>
        <w:tc>
          <w:tcPr>
            <w:tcW w:w="0" w:type="auto"/>
          </w:tcPr>
          <w:p w14:paraId="202547AF" w14:textId="06511805" w:rsidR="003F5174" w:rsidRPr="008F04DD" w:rsidRDefault="003F5174" w:rsidP="003F5174">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sidRPr="002E0EF5">
              <w:rPr>
                <w:szCs w:val="20"/>
                <w:lang w:eastAsia="zh-CN" w:bidi="ar-SA"/>
              </w:rPr>
              <w:t>ONDA</w:t>
            </w:r>
          </w:p>
        </w:tc>
        <w:tc>
          <w:tcPr>
            <w:tcW w:w="0" w:type="auto"/>
          </w:tcPr>
          <w:p w14:paraId="513BCC0E" w14:textId="6811B9C7" w:rsidR="003F5174" w:rsidRPr="004637C7" w:rsidRDefault="003F5174" w:rsidP="003F5174">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sidRPr="004637C7">
              <w:rPr>
                <w:rFonts w:asciiTheme="minorHAnsi" w:hAnsiTheme="minorHAnsi" w:cstheme="minorHAnsi"/>
                <w:szCs w:val="20"/>
                <w:lang w:eastAsia="fr-FR" w:bidi="ar-SA"/>
              </w:rPr>
              <w:t>Mensuel</w:t>
            </w:r>
          </w:p>
        </w:tc>
        <w:tc>
          <w:tcPr>
            <w:tcW w:w="0" w:type="auto"/>
          </w:tcPr>
          <w:p w14:paraId="7E1019DC" w14:textId="15013285" w:rsidR="003F5174" w:rsidRPr="004637C7" w:rsidRDefault="003F5174" w:rsidP="003F5174">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Pr>
                <w:rFonts w:asciiTheme="minorHAnsi" w:hAnsiTheme="minorHAnsi" w:cstheme="minorHAnsi"/>
                <w:szCs w:val="20"/>
                <w:lang w:eastAsia="fr-FR" w:bidi="ar-SA"/>
              </w:rPr>
              <w:t>Aucun coût spécifique</w:t>
            </w:r>
          </w:p>
        </w:tc>
      </w:tr>
      <w:tr w:rsidR="003F5174" w:rsidRPr="007A6057" w14:paraId="1AD551F6" w14:textId="77777777" w:rsidTr="00296614">
        <w:tc>
          <w:tcPr>
            <w:cnfStyle w:val="001000000000" w:firstRow="0" w:lastRow="0" w:firstColumn="1" w:lastColumn="0" w:oddVBand="0" w:evenVBand="0" w:oddHBand="0" w:evenHBand="0" w:firstRowFirstColumn="0" w:firstRowLastColumn="0" w:lastRowFirstColumn="0" w:lastRowLastColumn="0"/>
            <w:tcW w:w="0" w:type="auto"/>
            <w:vMerge/>
          </w:tcPr>
          <w:p w14:paraId="1F2959B3" w14:textId="77777777" w:rsidR="003F5174" w:rsidRPr="004637C7" w:rsidRDefault="003F5174" w:rsidP="003F5174">
            <w:pPr>
              <w:rPr>
                <w:rFonts w:asciiTheme="minorHAnsi" w:hAnsiTheme="minorHAnsi" w:cstheme="minorHAnsi"/>
                <w:szCs w:val="20"/>
                <w:lang w:eastAsia="fr-FR" w:bidi="ar-SA"/>
              </w:rPr>
            </w:pPr>
          </w:p>
        </w:tc>
        <w:tc>
          <w:tcPr>
            <w:tcW w:w="0" w:type="auto"/>
            <w:vMerge/>
          </w:tcPr>
          <w:p w14:paraId="1062D98F" w14:textId="77777777" w:rsidR="003F5174" w:rsidRPr="004637C7" w:rsidRDefault="003F5174" w:rsidP="003F5174">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p>
        </w:tc>
        <w:tc>
          <w:tcPr>
            <w:tcW w:w="0" w:type="auto"/>
          </w:tcPr>
          <w:p w14:paraId="3B40F8E6" w14:textId="24D77428" w:rsidR="003F5174" w:rsidRPr="004637C7" w:rsidRDefault="003F5174" w:rsidP="003F5174">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sidRPr="004637C7">
              <w:rPr>
                <w:rFonts w:asciiTheme="minorHAnsi" w:hAnsiTheme="minorHAnsi" w:cstheme="minorHAnsi"/>
                <w:szCs w:val="20"/>
                <w:lang w:eastAsia="fr-FR" w:bidi="ar-SA"/>
              </w:rPr>
              <w:t xml:space="preserve">Appliquer la hiérarchie de gestion : réduction à la source, réutilisation, </w:t>
            </w:r>
            <w:r w:rsidRPr="004637C7">
              <w:rPr>
                <w:rFonts w:asciiTheme="minorHAnsi" w:hAnsiTheme="minorHAnsi" w:cstheme="minorHAnsi"/>
                <w:szCs w:val="20"/>
                <w:lang w:eastAsia="fr-FR" w:bidi="ar-SA"/>
              </w:rPr>
              <w:lastRenderedPageBreak/>
              <w:t>recyclage, valorisation, élimination.</w:t>
            </w:r>
          </w:p>
        </w:tc>
        <w:tc>
          <w:tcPr>
            <w:tcW w:w="0" w:type="auto"/>
          </w:tcPr>
          <w:p w14:paraId="46996100" w14:textId="16983BFE" w:rsidR="003F5174" w:rsidRPr="004637C7" w:rsidRDefault="003F5174" w:rsidP="003F5174">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sidRPr="004637C7">
              <w:rPr>
                <w:rFonts w:asciiTheme="minorHAnsi" w:hAnsiTheme="minorHAnsi" w:cstheme="minorHAnsi"/>
                <w:szCs w:val="20"/>
                <w:lang w:eastAsia="fr-FR" w:bidi="ar-SA"/>
              </w:rPr>
              <w:lastRenderedPageBreak/>
              <w:t xml:space="preserve">% de déchets valorisés / total généré ; % de </w:t>
            </w:r>
            <w:r w:rsidRPr="004637C7">
              <w:rPr>
                <w:rFonts w:asciiTheme="minorHAnsi" w:hAnsiTheme="minorHAnsi" w:cstheme="minorHAnsi"/>
                <w:szCs w:val="20"/>
                <w:lang w:eastAsia="fr-FR" w:bidi="ar-SA"/>
              </w:rPr>
              <w:lastRenderedPageBreak/>
              <w:t>déchets éliminés hors filière</w:t>
            </w:r>
          </w:p>
        </w:tc>
        <w:tc>
          <w:tcPr>
            <w:tcW w:w="0" w:type="auto"/>
          </w:tcPr>
          <w:p w14:paraId="052B27DA" w14:textId="2AAFEB13" w:rsidR="003F5174" w:rsidRPr="004637C7" w:rsidRDefault="003F5174" w:rsidP="003F5174">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2E0EF5">
              <w:rPr>
                <w:szCs w:val="20"/>
                <w:lang w:eastAsia="zh-CN" w:bidi="ar-SA"/>
              </w:rPr>
              <w:lastRenderedPageBreak/>
              <w:t>EPC / Sous-traitants</w:t>
            </w:r>
          </w:p>
        </w:tc>
        <w:tc>
          <w:tcPr>
            <w:tcW w:w="0" w:type="auto"/>
          </w:tcPr>
          <w:p w14:paraId="63A48A6B" w14:textId="7BBF9086" w:rsidR="003F5174" w:rsidRPr="004637C7" w:rsidRDefault="003F5174" w:rsidP="003F5174">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2E0EF5">
              <w:rPr>
                <w:szCs w:val="20"/>
                <w:lang w:eastAsia="zh-CN" w:bidi="ar-SA"/>
              </w:rPr>
              <w:t xml:space="preserve">Bureau de contrôle / Consultant </w:t>
            </w:r>
            <w:r w:rsidRPr="002E0EF5">
              <w:rPr>
                <w:szCs w:val="20"/>
                <w:lang w:eastAsia="zh-CN" w:bidi="ar-SA"/>
              </w:rPr>
              <w:lastRenderedPageBreak/>
              <w:t>mandaté par l’ONDA</w:t>
            </w:r>
          </w:p>
        </w:tc>
        <w:tc>
          <w:tcPr>
            <w:tcW w:w="0" w:type="auto"/>
          </w:tcPr>
          <w:p w14:paraId="3A5F1BDD" w14:textId="63A9DD74" w:rsidR="003F5174" w:rsidRPr="008F04DD" w:rsidRDefault="003F5174" w:rsidP="003F5174">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sidRPr="002E0EF5">
              <w:rPr>
                <w:szCs w:val="20"/>
                <w:lang w:eastAsia="zh-CN" w:bidi="ar-SA"/>
              </w:rPr>
              <w:lastRenderedPageBreak/>
              <w:t>ONDA</w:t>
            </w:r>
          </w:p>
        </w:tc>
        <w:tc>
          <w:tcPr>
            <w:tcW w:w="0" w:type="auto"/>
          </w:tcPr>
          <w:p w14:paraId="6DBCC3D3" w14:textId="2BD7AD64" w:rsidR="003F5174" w:rsidRPr="004637C7" w:rsidRDefault="003F5174" w:rsidP="003F5174">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sidRPr="004637C7">
              <w:rPr>
                <w:rFonts w:asciiTheme="minorHAnsi" w:hAnsiTheme="minorHAnsi" w:cstheme="minorHAnsi"/>
                <w:szCs w:val="20"/>
                <w:lang w:eastAsia="fr-FR" w:bidi="ar-SA"/>
              </w:rPr>
              <w:t>Trimestriel</w:t>
            </w:r>
          </w:p>
        </w:tc>
        <w:tc>
          <w:tcPr>
            <w:tcW w:w="0" w:type="auto"/>
          </w:tcPr>
          <w:p w14:paraId="7DB16DFC" w14:textId="69FBE7BD" w:rsidR="003F5174" w:rsidRPr="004637C7" w:rsidRDefault="003F5174" w:rsidP="003F5174">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Pr>
                <w:rFonts w:asciiTheme="minorHAnsi" w:hAnsiTheme="minorHAnsi" w:cstheme="minorHAnsi"/>
                <w:szCs w:val="20"/>
                <w:lang w:eastAsia="fr-FR" w:bidi="ar-SA"/>
              </w:rPr>
              <w:t>Aucun coût spécifique</w:t>
            </w:r>
          </w:p>
        </w:tc>
      </w:tr>
    </w:tbl>
    <w:p w14:paraId="280BB78C" w14:textId="77777777" w:rsidR="008A1A0D" w:rsidRDefault="008A1A0D" w:rsidP="00FF0FA2">
      <w:pPr>
        <w:rPr>
          <w:lang w:eastAsia="fr-FR" w:bidi="ar-SA"/>
        </w:rPr>
        <w:sectPr w:rsidR="008A1A0D" w:rsidSect="00685D07">
          <w:headerReference w:type="default" r:id="rId126"/>
          <w:footerReference w:type="default" r:id="rId127"/>
          <w:pgSz w:w="16838" w:h="11906" w:orient="landscape"/>
          <w:pgMar w:top="1418" w:right="1418" w:bottom="1418" w:left="1276" w:header="680" w:footer="680" w:gutter="0"/>
          <w:cols w:space="708"/>
          <w:docGrid w:linePitch="360"/>
        </w:sectPr>
      </w:pPr>
    </w:p>
    <w:p w14:paraId="1C471C1C" w14:textId="456B1CDF" w:rsidR="00685D07" w:rsidRPr="00B73B44" w:rsidRDefault="00685D07" w:rsidP="004637C7">
      <w:pPr>
        <w:pStyle w:val="Title5"/>
      </w:pPr>
      <w:r w:rsidRPr="00B73B44">
        <w:lastRenderedPageBreak/>
        <w:t>Évaluation de</w:t>
      </w:r>
      <w:r w:rsidR="00FF0FA2">
        <w:t>s</w:t>
      </w:r>
      <w:r w:rsidRPr="00B73B44">
        <w:t xml:space="preserve"> impact</w:t>
      </w:r>
      <w:r w:rsidR="00FF0FA2">
        <w:t>s</w:t>
      </w:r>
      <w:r w:rsidRPr="00B73B44">
        <w:t xml:space="preserve"> résiduel</w:t>
      </w:r>
      <w:r w:rsidR="00FF0FA2">
        <w:t>s</w:t>
      </w:r>
    </w:p>
    <w:p w14:paraId="47D858FF" w14:textId="77777777" w:rsidR="003E68FF" w:rsidRDefault="003E68FF" w:rsidP="003E68FF">
      <w:r>
        <w:t>Après la mise en œuvre de l’ensemble des mesures d’évitement, de réduction et d’atténuation prévues dans le plan de gestion environnementale et sociale, les effets sur le milieu liés à la gestion des déchets dangereux, non dangereux et des matières dangereuses seront considérablement atténués. L’application stricte des plans spécifiques – Plan de Gestion des Déchets (PGD), Plan de Gestion des Matières Dangereuses (PGMD), et Plan Santé, Sécurité au Travail (PSST) – permettra de maintenir les risques à un niveau faible et maîtrisé tout au long des travaux.</w:t>
      </w:r>
    </w:p>
    <w:p w14:paraId="5917F68E" w14:textId="77777777" w:rsidR="003E68FF" w:rsidRDefault="003E68FF" w:rsidP="003E68FF">
      <w:r>
        <w:t>Les dispositifs de stockage temporaire, les zones de tri distinctes et les bacs de rétention mis en place permettront d’éviter toute fuite ou infiltration vers le sol et le réseau pluvial. Les déchets inertes (gravats, terres, béton) seront stockés sur des surfaces stabilisées, à distance des points de ruissellement, et régulièrement nivelés. Ainsi, la dégradation physique du sol initialement identifiée sera limitée à des effets ponctuels et localisés, strictement réversibles à court terme. Les zones de dépôt seront réhabilitées à la fin des travaux, ce qui réduira les altérations à un niveau négligeable.</w:t>
      </w:r>
    </w:p>
    <w:p w14:paraId="363BE5BE" w14:textId="77777777" w:rsidR="003E68FF" w:rsidRDefault="003E68FF" w:rsidP="003E68FF">
      <w:r>
        <w:t>Les nuisances olfactives générées par la base vie ou les déchets ménagers seront réduites par la collecte quotidienne, la désinfection régulière des bacs et le stockage à l’abri de la chaleur. Ces émissions d’odeurs resteront confinées à l’intérieur du chantier, sans incidence sur le confort du personnel ni sur les zones extérieures. L’impact résiduel sur la qualité de l’air ambiant ou sur les conditions de travail est donc considéré comme faible et temporaire.</w:t>
      </w:r>
    </w:p>
    <w:p w14:paraId="44C4D7D3" w14:textId="77777777" w:rsidR="003E68FF" w:rsidRDefault="003E68FF" w:rsidP="003E68FF">
      <w:r>
        <w:t>De même, le risque de pollution accidentelle du sol ou du réseau pluvial par hydrocarbures, huiles ou solvants est désormais très faible, grâce à la présence permanente de bacs de rétention, de kits anti-déversement et à la formation du personnel sur les gestes de confinement. Les volumes stockés étant réduits et les produits manipulés dans des zones couvertes et ventilées, tout incident éventuel serait rapidement circonscrit, sans propagation vers le milieu naturel. Les effets potentiels seraient ponctuels, réversibles et maîtrisables par des actions correctives simples (pompage, nettoyage, retrait des sols souillés).</w:t>
      </w:r>
    </w:p>
    <w:p w14:paraId="50C91EA4" w14:textId="77777777" w:rsidR="003E68FF" w:rsidRDefault="003E68FF" w:rsidP="003E68FF">
      <w:r>
        <w:t>Les risques de contamination croisée entre déchets dangereux et non dangereux seront maîtrisés par la séparation stricte des flux, l’étiquetage clair des conteneurs et le contrôle continu par la supervision HSE. Les erreurs de tri demeureront exceptionnelles et sans conséquence sur l’environnement, les volumes concernés étant minimes et aisément réorientés vers les filières agréées. Le risque résiduel est donc mineur et limité aux aspects organisationnels.</w:t>
      </w:r>
    </w:p>
    <w:p w14:paraId="5053E8A8" w14:textId="77777777" w:rsidR="003E68FF" w:rsidRDefault="003E68FF" w:rsidP="003E68FF">
      <w:r>
        <w:t>Quant aux risques d’exposition à des produits dangereux – hydrocarbures, huiles, solvants et peintures – ils seront strictement encadrés par les mesures du PSST. Le port d’EPI adaptés, la formation à la lecture des Fiches de Données de Sécurité (FDS) et les procédures d’accès restreint aux zones de stockage garantiront une exposition quasi nulle. Les éventuels contacts cutanés ou inhalations accidentelles resteront isolés et rapidement traités, sans effet durable sur la santé des travailleurs. De même, le risque d’incendie ou d’explosion dans les zones techniques sera réduit à un niveau négligeable grâce à la mise en œuvre du Plan de Prévention Incendie (PPI), à la disponibilité d’extincteurs et à la formation du personnel à la manipulation sécurisée des gaz et solvants.</w:t>
      </w:r>
    </w:p>
    <w:p w14:paraId="6F0E1A1D" w14:textId="3873398A" w:rsidR="00685D07" w:rsidRPr="00B73B44" w:rsidRDefault="003E68FF" w:rsidP="003E68FF">
      <w:r>
        <w:t xml:space="preserve">Dans l’ensemble, les impacts et risques résiduels liés à la gestion des déchets et matières dangereuses en phase de construction sont jugés mineurs à négligeables, localisés, temporaires et totalement réversibles. Ils ne présentent aucune atteinte significative à la qualité du sol, de l’air ou des eaux, ni aux conditions de santé et de sécurité des travailleurs. Les dispositifs de prévention et de suivi </w:t>
      </w:r>
      <w:r>
        <w:lastRenderedPageBreak/>
        <w:t>environnemental prévus garantissent la conformité du chantier aux exigences nationales et aux standards de performance des bailleurs de fonds.</w:t>
      </w:r>
    </w:p>
    <w:p w14:paraId="4249167E" w14:textId="77777777" w:rsidR="00685D07" w:rsidRDefault="00685D07" w:rsidP="00685D07">
      <w:pPr>
        <w:pStyle w:val="Title4"/>
        <w:tabs>
          <w:tab w:val="clear" w:pos="1134"/>
          <w:tab w:val="left" w:pos="851"/>
        </w:tabs>
      </w:pPr>
      <w:bookmarkStart w:id="442" w:name="_Hlk211347770"/>
      <w:bookmarkEnd w:id="440"/>
      <w:r w:rsidRPr="006354D8">
        <w:t>Phase exploitation</w:t>
      </w:r>
    </w:p>
    <w:p w14:paraId="60DA00F0" w14:textId="77777777" w:rsidR="00AF6F81" w:rsidRDefault="00AF6F81" w:rsidP="00AF6F81">
      <w:pPr>
        <w:pStyle w:val="Title5"/>
      </w:pPr>
      <w:bookmarkStart w:id="443" w:name="_Hlk211343299"/>
      <w:r>
        <w:t>Identification et évaluation des impacts et risques</w:t>
      </w:r>
    </w:p>
    <w:p w14:paraId="68EE72E8" w14:textId="77777777" w:rsidR="0005245D" w:rsidRPr="0005245D" w:rsidRDefault="0005245D" w:rsidP="0001633E">
      <w:pPr>
        <w:pStyle w:val="AltTitle2"/>
        <w:numPr>
          <w:ilvl w:val="0"/>
          <w:numId w:val="106"/>
        </w:numPr>
      </w:pPr>
      <w:r w:rsidRPr="0005245D">
        <w:t>Risque de pollution accidentelle du sol et du réseau pluvial</w:t>
      </w:r>
    </w:p>
    <w:p w14:paraId="0B9777E1" w14:textId="77777777" w:rsidR="0005245D" w:rsidRPr="0005245D" w:rsidRDefault="0005245D" w:rsidP="0005245D">
      <w:r w:rsidRPr="0005245D">
        <w:t>Les opérations d’entretien des équipements techniques et des groupes électrogènes nécessitent la manipulation régulière de carburants, d’huiles et de produits chimiques. Ces pratiques exposent à un risque ponctuel de pollution accidentelle du sol ou du réseau pluvial interne, notamment en cas de fuite, de débordement ou de rupture de confinement.</w:t>
      </w:r>
    </w:p>
    <w:p w14:paraId="4CDEBB32" w14:textId="77777777" w:rsidR="0005245D" w:rsidRPr="0005245D" w:rsidRDefault="0005245D" w:rsidP="0005245D">
      <w:r w:rsidRPr="0005245D">
        <w:t>La probabilité d’occurrence de ce risque est jugée occasionnelle : de petits incidents peuvent se produire en cas de négligence ou de défaillance technique, bien que leur fréquence demeure faible grâce à la mise en œuvre de procédures HSE et à la formation du personnel. La gravité des conséquences est modérée, car un déversement localisé pourrait temporairement souiller les surfaces ou le réseau de drainage interne sans provoquer d’atteinte durable à la nappe phréatique. Le niveau global de criticité est donc modéré, la combinaison d’une probabilité occasionnelle et de conséquences limitées traduisant un risque maîtrisable sous réserve du maintien des dispositifs de confinement, des kits absorbants et d’une inspection périodique des installations.</w:t>
      </w:r>
    </w:p>
    <w:p w14:paraId="61A02EB4" w14:textId="17C03972" w:rsidR="005D2181" w:rsidRDefault="0005245D" w:rsidP="0005245D">
      <w:r w:rsidRPr="0005245D">
        <w:t>Les récepteurs sensibles sont les sols superficiels des zones techniques, dont la capacité d’absorption est moyenne, ainsi que le réseau de drainage interne, susceptible de relayer ponctuellement la pollution. En définitive, le risque de pollution accidentelle est évalué comme modéré, local et temporaire, maîtrisable à court terme grâce à une surveillance continue et à des dispositifs de prévention adaptés.</w:t>
      </w:r>
    </w:p>
    <w:tbl>
      <w:tblPr>
        <w:tblStyle w:val="TableauGrille1Clair-Accentuation111"/>
        <w:tblW w:w="0" w:type="auto"/>
        <w:tblLook w:val="04A0" w:firstRow="1" w:lastRow="0" w:firstColumn="1" w:lastColumn="0" w:noHBand="0" w:noVBand="1"/>
      </w:tblPr>
      <w:tblGrid>
        <w:gridCol w:w="1431"/>
        <w:gridCol w:w="2156"/>
        <w:gridCol w:w="1467"/>
        <w:gridCol w:w="2662"/>
        <w:gridCol w:w="1344"/>
      </w:tblGrid>
      <w:tr w:rsidR="0034020B" w:rsidRPr="0034020B" w14:paraId="231EC382" w14:textId="77777777" w:rsidTr="0034020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345F5B88" w14:textId="77777777" w:rsidR="0034020B" w:rsidRPr="0034020B" w:rsidRDefault="0034020B" w:rsidP="0034020B">
            <w:r w:rsidRPr="0034020B">
              <w:t>Risque</w:t>
            </w:r>
          </w:p>
        </w:tc>
        <w:tc>
          <w:tcPr>
            <w:tcW w:w="0" w:type="auto"/>
            <w:hideMark/>
          </w:tcPr>
          <w:p w14:paraId="4947520A" w14:textId="77777777" w:rsidR="0034020B" w:rsidRPr="0034020B" w:rsidRDefault="0034020B" w:rsidP="0034020B">
            <w:pPr>
              <w:cnfStyle w:val="100000000000" w:firstRow="1" w:lastRow="0" w:firstColumn="0" w:lastColumn="0" w:oddVBand="0" w:evenVBand="0" w:oddHBand="0" w:evenHBand="0" w:firstRowFirstColumn="0" w:firstRowLastColumn="0" w:lastRowFirstColumn="0" w:lastRowLastColumn="0"/>
            </w:pPr>
            <w:r w:rsidRPr="0034020B">
              <w:t>Activités génératrices</w:t>
            </w:r>
          </w:p>
        </w:tc>
        <w:tc>
          <w:tcPr>
            <w:tcW w:w="0" w:type="auto"/>
            <w:hideMark/>
          </w:tcPr>
          <w:p w14:paraId="5023171C" w14:textId="77777777" w:rsidR="0034020B" w:rsidRPr="0034020B" w:rsidRDefault="0034020B" w:rsidP="0034020B">
            <w:pPr>
              <w:cnfStyle w:val="100000000000" w:firstRow="1" w:lastRow="0" w:firstColumn="0" w:lastColumn="0" w:oddVBand="0" w:evenVBand="0" w:oddHBand="0" w:evenHBand="0" w:firstRowFirstColumn="0" w:firstRowLastColumn="0" w:lastRowFirstColumn="0" w:lastRowLastColumn="0"/>
            </w:pPr>
            <w:r w:rsidRPr="0034020B">
              <w:t>Critère</w:t>
            </w:r>
          </w:p>
        </w:tc>
        <w:tc>
          <w:tcPr>
            <w:tcW w:w="0" w:type="auto"/>
            <w:hideMark/>
          </w:tcPr>
          <w:p w14:paraId="6D3A5FF7" w14:textId="77777777" w:rsidR="0034020B" w:rsidRPr="0034020B" w:rsidRDefault="0034020B" w:rsidP="0034020B">
            <w:pPr>
              <w:cnfStyle w:val="100000000000" w:firstRow="1" w:lastRow="0" w:firstColumn="0" w:lastColumn="0" w:oddVBand="0" w:evenVBand="0" w:oddHBand="0" w:evenHBand="0" w:firstRowFirstColumn="0" w:firstRowLastColumn="0" w:lastRowFirstColumn="0" w:lastRowLastColumn="0"/>
            </w:pPr>
            <w:r w:rsidRPr="0034020B">
              <w:t>Justification</w:t>
            </w:r>
          </w:p>
        </w:tc>
        <w:tc>
          <w:tcPr>
            <w:tcW w:w="0" w:type="auto"/>
            <w:hideMark/>
          </w:tcPr>
          <w:p w14:paraId="73807BEA" w14:textId="77777777" w:rsidR="0034020B" w:rsidRPr="0034020B" w:rsidRDefault="0034020B" w:rsidP="0034020B">
            <w:pPr>
              <w:cnfStyle w:val="100000000000" w:firstRow="1" w:lastRow="0" w:firstColumn="0" w:lastColumn="0" w:oddVBand="0" w:evenVBand="0" w:oddHBand="0" w:evenHBand="0" w:firstRowFirstColumn="0" w:firstRowLastColumn="0" w:lastRowFirstColumn="0" w:lastRowLastColumn="0"/>
            </w:pPr>
            <w:r w:rsidRPr="0034020B">
              <w:t>Niveau</w:t>
            </w:r>
          </w:p>
        </w:tc>
      </w:tr>
      <w:tr w:rsidR="0034020B" w:rsidRPr="0034020B" w14:paraId="70A3575E" w14:textId="77777777" w:rsidTr="0034020B">
        <w:tc>
          <w:tcPr>
            <w:cnfStyle w:val="001000000000" w:firstRow="0" w:lastRow="0" w:firstColumn="1" w:lastColumn="0" w:oddVBand="0" w:evenVBand="0" w:oddHBand="0" w:evenHBand="0" w:firstRowFirstColumn="0" w:firstRowLastColumn="0" w:lastRowFirstColumn="0" w:lastRowLastColumn="0"/>
            <w:tcW w:w="0" w:type="auto"/>
            <w:vMerge w:val="restart"/>
            <w:hideMark/>
          </w:tcPr>
          <w:p w14:paraId="3DF6730A" w14:textId="77777777" w:rsidR="0034020B" w:rsidRDefault="0034020B" w:rsidP="0034020B">
            <w:pPr>
              <w:rPr>
                <w:b w:val="0"/>
                <w:bCs w:val="0"/>
              </w:rPr>
            </w:pPr>
            <w:r w:rsidRPr="0034020B">
              <w:t>Pollution accidentelle du sol et du réseau pluvial</w:t>
            </w:r>
          </w:p>
          <w:p w14:paraId="6E3F23AC" w14:textId="77777777" w:rsidR="0034020B" w:rsidRPr="0034020B" w:rsidRDefault="0034020B" w:rsidP="0034020B"/>
        </w:tc>
        <w:tc>
          <w:tcPr>
            <w:tcW w:w="0" w:type="auto"/>
            <w:vMerge w:val="restart"/>
            <w:hideMark/>
          </w:tcPr>
          <w:p w14:paraId="07486856" w14:textId="77777777" w:rsidR="0034020B" w:rsidRPr="0034020B" w:rsidRDefault="0034020B" w:rsidP="0034020B">
            <w:pPr>
              <w:cnfStyle w:val="000000000000" w:firstRow="0" w:lastRow="0" w:firstColumn="0" w:lastColumn="0" w:oddVBand="0" w:evenVBand="0" w:oddHBand="0" w:evenHBand="0" w:firstRowFirstColumn="0" w:firstRowLastColumn="0" w:lastRowFirstColumn="0" w:lastRowLastColumn="0"/>
            </w:pPr>
            <w:r w:rsidRPr="0034020B">
              <w:t>Manipulation et stockage de carburants, huiles, solvants et produits chimiques pour la maintenance des équipements techniques et des groupes électrogènes.</w:t>
            </w:r>
          </w:p>
        </w:tc>
        <w:tc>
          <w:tcPr>
            <w:tcW w:w="0" w:type="auto"/>
            <w:hideMark/>
          </w:tcPr>
          <w:p w14:paraId="7FD75F9D" w14:textId="77777777" w:rsidR="0034020B" w:rsidRPr="0034020B" w:rsidRDefault="0034020B" w:rsidP="0034020B">
            <w:pPr>
              <w:cnfStyle w:val="000000000000" w:firstRow="0" w:lastRow="0" w:firstColumn="0" w:lastColumn="0" w:oddVBand="0" w:evenVBand="0" w:oddHBand="0" w:evenHBand="0" w:firstRowFirstColumn="0" w:firstRowLastColumn="0" w:lastRowFirstColumn="0" w:lastRowLastColumn="0"/>
            </w:pPr>
            <w:r w:rsidRPr="0034020B">
              <w:rPr>
                <w:b/>
                <w:bCs/>
              </w:rPr>
              <w:t>Probabilité d’occurrence</w:t>
            </w:r>
          </w:p>
        </w:tc>
        <w:tc>
          <w:tcPr>
            <w:tcW w:w="0" w:type="auto"/>
            <w:hideMark/>
          </w:tcPr>
          <w:p w14:paraId="047C08F8" w14:textId="77777777" w:rsidR="0034020B" w:rsidRPr="0034020B" w:rsidRDefault="0034020B" w:rsidP="0034020B">
            <w:pPr>
              <w:cnfStyle w:val="000000000000" w:firstRow="0" w:lastRow="0" w:firstColumn="0" w:lastColumn="0" w:oddVBand="0" w:evenVBand="0" w:oddHBand="0" w:evenHBand="0" w:firstRowFirstColumn="0" w:firstRowLastColumn="0" w:lastRowFirstColumn="0" w:lastRowLastColumn="0"/>
            </w:pPr>
            <w:r w:rsidRPr="0034020B">
              <w:t>Des incidents de fuite ou de débordement peuvent se produire ponctuellement lors du remplissage ou du transfert de produits dangereux, malgré la présence de bacs de rétention et de procédures de manipulation.</w:t>
            </w:r>
          </w:p>
        </w:tc>
        <w:tc>
          <w:tcPr>
            <w:tcW w:w="0" w:type="auto"/>
            <w:hideMark/>
          </w:tcPr>
          <w:p w14:paraId="2570BA2F" w14:textId="77777777" w:rsidR="0034020B" w:rsidRPr="0034020B" w:rsidRDefault="0034020B" w:rsidP="0034020B">
            <w:pPr>
              <w:cnfStyle w:val="000000000000" w:firstRow="0" w:lastRow="0" w:firstColumn="0" w:lastColumn="0" w:oddVBand="0" w:evenVBand="0" w:oddHBand="0" w:evenHBand="0" w:firstRowFirstColumn="0" w:firstRowLastColumn="0" w:lastRowFirstColumn="0" w:lastRowLastColumn="0"/>
            </w:pPr>
            <w:r w:rsidRPr="0034020B">
              <w:t>Occasionnelle</w:t>
            </w:r>
          </w:p>
        </w:tc>
      </w:tr>
      <w:tr w:rsidR="0034020B" w:rsidRPr="0034020B" w14:paraId="597A9B70" w14:textId="77777777" w:rsidTr="0034020B">
        <w:tc>
          <w:tcPr>
            <w:cnfStyle w:val="001000000000" w:firstRow="0" w:lastRow="0" w:firstColumn="1" w:lastColumn="0" w:oddVBand="0" w:evenVBand="0" w:oddHBand="0" w:evenHBand="0" w:firstRowFirstColumn="0" w:firstRowLastColumn="0" w:lastRowFirstColumn="0" w:lastRowLastColumn="0"/>
            <w:tcW w:w="0" w:type="auto"/>
            <w:vMerge/>
            <w:hideMark/>
          </w:tcPr>
          <w:p w14:paraId="455B9720" w14:textId="77777777" w:rsidR="0034020B" w:rsidRPr="0034020B" w:rsidRDefault="0034020B" w:rsidP="0034020B"/>
        </w:tc>
        <w:tc>
          <w:tcPr>
            <w:tcW w:w="0" w:type="auto"/>
            <w:vMerge/>
            <w:hideMark/>
          </w:tcPr>
          <w:p w14:paraId="65C188B4" w14:textId="77777777" w:rsidR="0034020B" w:rsidRPr="0034020B" w:rsidRDefault="0034020B" w:rsidP="0034020B">
            <w:pPr>
              <w:cnfStyle w:val="000000000000" w:firstRow="0" w:lastRow="0" w:firstColumn="0" w:lastColumn="0" w:oddVBand="0" w:evenVBand="0" w:oddHBand="0" w:evenHBand="0" w:firstRowFirstColumn="0" w:firstRowLastColumn="0" w:lastRowFirstColumn="0" w:lastRowLastColumn="0"/>
            </w:pPr>
          </w:p>
        </w:tc>
        <w:tc>
          <w:tcPr>
            <w:tcW w:w="0" w:type="auto"/>
            <w:hideMark/>
          </w:tcPr>
          <w:p w14:paraId="4CA658AD" w14:textId="77777777" w:rsidR="0034020B" w:rsidRPr="0034020B" w:rsidRDefault="0034020B" w:rsidP="0034020B">
            <w:pPr>
              <w:cnfStyle w:val="000000000000" w:firstRow="0" w:lastRow="0" w:firstColumn="0" w:lastColumn="0" w:oddVBand="0" w:evenVBand="0" w:oddHBand="0" w:evenHBand="0" w:firstRowFirstColumn="0" w:firstRowLastColumn="0" w:lastRowFirstColumn="0" w:lastRowLastColumn="0"/>
            </w:pPr>
            <w:r w:rsidRPr="0034020B">
              <w:rPr>
                <w:b/>
                <w:bCs/>
              </w:rPr>
              <w:t>Gravité des conséquences</w:t>
            </w:r>
          </w:p>
        </w:tc>
        <w:tc>
          <w:tcPr>
            <w:tcW w:w="0" w:type="auto"/>
            <w:hideMark/>
          </w:tcPr>
          <w:p w14:paraId="24A4C548" w14:textId="77777777" w:rsidR="0034020B" w:rsidRPr="0034020B" w:rsidRDefault="0034020B" w:rsidP="0034020B">
            <w:pPr>
              <w:cnfStyle w:val="000000000000" w:firstRow="0" w:lastRow="0" w:firstColumn="0" w:lastColumn="0" w:oddVBand="0" w:evenVBand="0" w:oddHBand="0" w:evenHBand="0" w:firstRowFirstColumn="0" w:firstRowLastColumn="0" w:lastRowFirstColumn="0" w:lastRowLastColumn="0"/>
            </w:pPr>
            <w:r w:rsidRPr="0034020B">
              <w:t>Pollution localisée du sol ou du réseau pluvial interne, sans extension majeure ni impact durable sur la nappe phréatique ; effets maîtrisables par nettoyage et confinement rapide.</w:t>
            </w:r>
          </w:p>
        </w:tc>
        <w:tc>
          <w:tcPr>
            <w:tcW w:w="0" w:type="auto"/>
            <w:hideMark/>
          </w:tcPr>
          <w:p w14:paraId="60312C3A" w14:textId="77777777" w:rsidR="0034020B" w:rsidRPr="0034020B" w:rsidRDefault="0034020B" w:rsidP="0034020B">
            <w:pPr>
              <w:cnfStyle w:val="000000000000" w:firstRow="0" w:lastRow="0" w:firstColumn="0" w:lastColumn="0" w:oddVBand="0" w:evenVBand="0" w:oddHBand="0" w:evenHBand="0" w:firstRowFirstColumn="0" w:firstRowLastColumn="0" w:lastRowFirstColumn="0" w:lastRowLastColumn="0"/>
            </w:pPr>
            <w:r w:rsidRPr="0034020B">
              <w:t>Modérée</w:t>
            </w:r>
          </w:p>
        </w:tc>
      </w:tr>
      <w:tr w:rsidR="0034020B" w:rsidRPr="0034020B" w14:paraId="75AD0F30" w14:textId="77777777" w:rsidTr="0034020B">
        <w:tc>
          <w:tcPr>
            <w:cnfStyle w:val="001000000000" w:firstRow="0" w:lastRow="0" w:firstColumn="1" w:lastColumn="0" w:oddVBand="0" w:evenVBand="0" w:oddHBand="0" w:evenHBand="0" w:firstRowFirstColumn="0" w:firstRowLastColumn="0" w:lastRowFirstColumn="0" w:lastRowLastColumn="0"/>
            <w:tcW w:w="0" w:type="auto"/>
            <w:vMerge/>
            <w:hideMark/>
          </w:tcPr>
          <w:p w14:paraId="4FAA06E1" w14:textId="77777777" w:rsidR="0034020B" w:rsidRPr="0034020B" w:rsidRDefault="0034020B" w:rsidP="0034020B"/>
        </w:tc>
        <w:tc>
          <w:tcPr>
            <w:tcW w:w="0" w:type="auto"/>
            <w:vMerge/>
            <w:hideMark/>
          </w:tcPr>
          <w:p w14:paraId="48D6D4DB" w14:textId="77777777" w:rsidR="0034020B" w:rsidRPr="0034020B" w:rsidRDefault="0034020B" w:rsidP="0034020B">
            <w:pPr>
              <w:cnfStyle w:val="000000000000" w:firstRow="0" w:lastRow="0" w:firstColumn="0" w:lastColumn="0" w:oddVBand="0" w:evenVBand="0" w:oddHBand="0" w:evenHBand="0" w:firstRowFirstColumn="0" w:firstRowLastColumn="0" w:lastRowFirstColumn="0" w:lastRowLastColumn="0"/>
            </w:pPr>
          </w:p>
        </w:tc>
        <w:tc>
          <w:tcPr>
            <w:tcW w:w="0" w:type="auto"/>
            <w:hideMark/>
          </w:tcPr>
          <w:p w14:paraId="74B0BDB5" w14:textId="77777777" w:rsidR="0034020B" w:rsidRPr="0034020B" w:rsidRDefault="0034020B" w:rsidP="0034020B">
            <w:pPr>
              <w:cnfStyle w:val="000000000000" w:firstRow="0" w:lastRow="0" w:firstColumn="0" w:lastColumn="0" w:oddVBand="0" w:evenVBand="0" w:oddHBand="0" w:evenHBand="0" w:firstRowFirstColumn="0" w:firstRowLastColumn="0" w:lastRowFirstColumn="0" w:lastRowLastColumn="0"/>
            </w:pPr>
            <w:r w:rsidRPr="0034020B">
              <w:rPr>
                <w:b/>
                <w:bCs/>
              </w:rPr>
              <w:t>Évaluation globale du risque</w:t>
            </w:r>
          </w:p>
        </w:tc>
        <w:tc>
          <w:tcPr>
            <w:tcW w:w="0" w:type="auto"/>
            <w:hideMark/>
          </w:tcPr>
          <w:p w14:paraId="3B6AB507" w14:textId="77777777" w:rsidR="0034020B" w:rsidRPr="0034020B" w:rsidRDefault="0034020B" w:rsidP="0034020B">
            <w:pPr>
              <w:cnfStyle w:val="000000000000" w:firstRow="0" w:lastRow="0" w:firstColumn="0" w:lastColumn="0" w:oddVBand="0" w:evenVBand="0" w:oddHBand="0" w:evenHBand="0" w:firstRowFirstColumn="0" w:firstRowLastColumn="0" w:lastRowFirstColumn="0" w:lastRowLastColumn="0"/>
            </w:pPr>
            <w:r w:rsidRPr="0034020B">
              <w:t>La combinaison d’une probabilité occasionnelle et de conséquences modérées conduit à un risque global modéré, maîtrisable grâce aux mesures de prévention et d’urgence en place.</w:t>
            </w:r>
          </w:p>
        </w:tc>
        <w:tc>
          <w:tcPr>
            <w:tcW w:w="0" w:type="auto"/>
            <w:hideMark/>
          </w:tcPr>
          <w:p w14:paraId="07AF9328" w14:textId="77777777" w:rsidR="0034020B" w:rsidRPr="0034020B" w:rsidRDefault="0034020B" w:rsidP="0034020B">
            <w:pPr>
              <w:cnfStyle w:val="000000000000" w:firstRow="0" w:lastRow="0" w:firstColumn="0" w:lastColumn="0" w:oddVBand="0" w:evenVBand="0" w:oddHBand="0" w:evenHBand="0" w:firstRowFirstColumn="0" w:firstRowLastColumn="0" w:lastRowFirstColumn="0" w:lastRowLastColumn="0"/>
            </w:pPr>
            <w:r w:rsidRPr="0034020B">
              <w:t>Modérée</w:t>
            </w:r>
          </w:p>
        </w:tc>
      </w:tr>
    </w:tbl>
    <w:p w14:paraId="3D5ED915" w14:textId="77777777" w:rsidR="0034020B" w:rsidRDefault="0034020B" w:rsidP="0005245D"/>
    <w:p w14:paraId="35CB3F6C" w14:textId="77777777" w:rsidR="00A51C6B" w:rsidRPr="00A51C6B" w:rsidRDefault="00A51C6B" w:rsidP="0001633E">
      <w:pPr>
        <w:pStyle w:val="AltTitle2"/>
        <w:numPr>
          <w:ilvl w:val="0"/>
          <w:numId w:val="106"/>
        </w:numPr>
      </w:pPr>
      <w:r w:rsidRPr="00A51C6B">
        <w:t xml:space="preserve">Risque d’exposition du personnel à des produits dangereux </w:t>
      </w:r>
    </w:p>
    <w:p w14:paraId="7A1C19C3" w14:textId="77777777" w:rsidR="00A51C6B" w:rsidRDefault="00A51C6B" w:rsidP="00A51C6B">
      <w:r>
        <w:t>Les opérations de maintenance, de stockage ou de nettoyage impliquent l’usage régulier de produits chimiques tels que des hydrocarbures, solvants, peintures, graisses ou aérosols. Ces substances présentent un risque d’exposition cutanée, respiratoire ou oculaire pour le personnel manipulant ces produits.</w:t>
      </w:r>
    </w:p>
    <w:p w14:paraId="23154248" w14:textId="77777777" w:rsidR="00A51C6B" w:rsidRDefault="00A51C6B" w:rsidP="00A51C6B">
      <w:r>
        <w:t>La probabilité d’occurrence de ce risque est considérée comme probable, car la manipulation régulière de produits chimiques accroît les occasions d’exposition, notamment en cas de port incorrect des équipements de protection individuelle. La gravité des conséquences est modérée à majeure selon la substance en cause, les effets pouvant aller d’une simple irritation cutanée à des troubles respiratoires ou à une intoxication aiguë. Le niveau de criticité est élevé, la fréquence potentielle d’exposition combinée à la toxicité de certains produits justifiant un risque sanitaire significatif en l’absence de mesures adaptées.</w:t>
      </w:r>
    </w:p>
    <w:p w14:paraId="1CE7FE00" w14:textId="019C8220" w:rsidR="005D2181" w:rsidRDefault="00A51C6B" w:rsidP="00A51C6B">
      <w:r>
        <w:t>Les récepteurs sensibles sont les ouvriers de maintenance et les agents d’entretien directement exposés aux produits, dont la sensibilité est élevée, ainsi que le personnel de supervision, faiblement exposé mais à sensibilité moyenne. L’importance du risque est élevée, mais il demeure maîtrisable grâce à l’application stricte du Plan de Santé et Sécurité au Travail (PSST), au port obligatoire des équipements de protection, à la formation du personnel et au suivi médical régulier. Le risque d’exposition chimique est donc classé comme élevé mais sous contrôle permanent.</w:t>
      </w:r>
    </w:p>
    <w:tbl>
      <w:tblPr>
        <w:tblStyle w:val="TableauGrille1Clair-Accentuation111"/>
        <w:tblW w:w="0" w:type="auto"/>
        <w:tblLook w:val="04A0" w:firstRow="1" w:lastRow="0" w:firstColumn="1" w:lastColumn="0" w:noHBand="0" w:noVBand="1"/>
      </w:tblPr>
      <w:tblGrid>
        <w:gridCol w:w="2026"/>
        <w:gridCol w:w="2048"/>
        <w:gridCol w:w="1469"/>
        <w:gridCol w:w="2487"/>
        <w:gridCol w:w="1030"/>
      </w:tblGrid>
      <w:tr w:rsidR="0034020B" w:rsidRPr="0034020B" w14:paraId="7424BF4F" w14:textId="77777777" w:rsidTr="0034020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729B8F33" w14:textId="77777777" w:rsidR="0034020B" w:rsidRPr="0034020B" w:rsidRDefault="0034020B" w:rsidP="0034020B">
            <w:r w:rsidRPr="0034020B">
              <w:t>Risque</w:t>
            </w:r>
          </w:p>
        </w:tc>
        <w:tc>
          <w:tcPr>
            <w:tcW w:w="0" w:type="auto"/>
            <w:hideMark/>
          </w:tcPr>
          <w:p w14:paraId="54D19196" w14:textId="77777777" w:rsidR="0034020B" w:rsidRPr="0034020B" w:rsidRDefault="0034020B" w:rsidP="0034020B">
            <w:pPr>
              <w:cnfStyle w:val="100000000000" w:firstRow="1" w:lastRow="0" w:firstColumn="0" w:lastColumn="0" w:oddVBand="0" w:evenVBand="0" w:oddHBand="0" w:evenHBand="0" w:firstRowFirstColumn="0" w:firstRowLastColumn="0" w:lastRowFirstColumn="0" w:lastRowLastColumn="0"/>
            </w:pPr>
            <w:r w:rsidRPr="0034020B">
              <w:t>Activités génératrices</w:t>
            </w:r>
          </w:p>
        </w:tc>
        <w:tc>
          <w:tcPr>
            <w:tcW w:w="0" w:type="auto"/>
            <w:hideMark/>
          </w:tcPr>
          <w:p w14:paraId="06CAFD4A" w14:textId="77777777" w:rsidR="0034020B" w:rsidRPr="0034020B" w:rsidRDefault="0034020B" w:rsidP="0034020B">
            <w:pPr>
              <w:cnfStyle w:val="100000000000" w:firstRow="1" w:lastRow="0" w:firstColumn="0" w:lastColumn="0" w:oddVBand="0" w:evenVBand="0" w:oddHBand="0" w:evenHBand="0" w:firstRowFirstColumn="0" w:firstRowLastColumn="0" w:lastRowFirstColumn="0" w:lastRowLastColumn="0"/>
            </w:pPr>
            <w:r w:rsidRPr="0034020B">
              <w:t>Critère</w:t>
            </w:r>
          </w:p>
        </w:tc>
        <w:tc>
          <w:tcPr>
            <w:tcW w:w="0" w:type="auto"/>
            <w:hideMark/>
          </w:tcPr>
          <w:p w14:paraId="3463B289" w14:textId="77777777" w:rsidR="0034020B" w:rsidRPr="0034020B" w:rsidRDefault="0034020B" w:rsidP="0034020B">
            <w:pPr>
              <w:cnfStyle w:val="100000000000" w:firstRow="1" w:lastRow="0" w:firstColumn="0" w:lastColumn="0" w:oddVBand="0" w:evenVBand="0" w:oddHBand="0" w:evenHBand="0" w:firstRowFirstColumn="0" w:firstRowLastColumn="0" w:lastRowFirstColumn="0" w:lastRowLastColumn="0"/>
            </w:pPr>
            <w:r w:rsidRPr="0034020B">
              <w:t>Justification</w:t>
            </w:r>
          </w:p>
        </w:tc>
        <w:tc>
          <w:tcPr>
            <w:tcW w:w="0" w:type="auto"/>
            <w:hideMark/>
          </w:tcPr>
          <w:p w14:paraId="6FC50384" w14:textId="77777777" w:rsidR="0034020B" w:rsidRPr="0034020B" w:rsidRDefault="0034020B" w:rsidP="0034020B">
            <w:pPr>
              <w:cnfStyle w:val="100000000000" w:firstRow="1" w:lastRow="0" w:firstColumn="0" w:lastColumn="0" w:oddVBand="0" w:evenVBand="0" w:oddHBand="0" w:evenHBand="0" w:firstRowFirstColumn="0" w:firstRowLastColumn="0" w:lastRowFirstColumn="0" w:lastRowLastColumn="0"/>
            </w:pPr>
            <w:r w:rsidRPr="0034020B">
              <w:t>Niveau</w:t>
            </w:r>
          </w:p>
        </w:tc>
      </w:tr>
      <w:tr w:rsidR="0034020B" w:rsidRPr="0034020B" w14:paraId="670C829E" w14:textId="77777777" w:rsidTr="0034020B">
        <w:tc>
          <w:tcPr>
            <w:cnfStyle w:val="001000000000" w:firstRow="0" w:lastRow="0" w:firstColumn="1" w:lastColumn="0" w:oddVBand="0" w:evenVBand="0" w:oddHBand="0" w:evenHBand="0" w:firstRowFirstColumn="0" w:firstRowLastColumn="0" w:lastRowFirstColumn="0" w:lastRowLastColumn="0"/>
            <w:tcW w:w="0" w:type="auto"/>
            <w:vMerge w:val="restart"/>
            <w:hideMark/>
          </w:tcPr>
          <w:p w14:paraId="40CC2A51" w14:textId="77777777" w:rsidR="0034020B" w:rsidRPr="0034020B" w:rsidRDefault="0034020B" w:rsidP="0034020B">
            <w:r w:rsidRPr="0034020B">
              <w:t>Exposition du personnel à des produits dangereux (hydrocarbures, solvants, peintures, graisses)</w:t>
            </w:r>
          </w:p>
        </w:tc>
        <w:tc>
          <w:tcPr>
            <w:tcW w:w="0" w:type="auto"/>
            <w:vMerge w:val="restart"/>
            <w:hideMark/>
          </w:tcPr>
          <w:p w14:paraId="73803F90" w14:textId="77777777" w:rsidR="0034020B" w:rsidRPr="0034020B" w:rsidRDefault="0034020B" w:rsidP="0034020B">
            <w:pPr>
              <w:cnfStyle w:val="000000000000" w:firstRow="0" w:lastRow="0" w:firstColumn="0" w:lastColumn="0" w:oddVBand="0" w:evenVBand="0" w:oddHBand="0" w:evenHBand="0" w:firstRowFirstColumn="0" w:firstRowLastColumn="0" w:lastRowFirstColumn="0" w:lastRowLastColumn="0"/>
            </w:pPr>
            <w:r w:rsidRPr="0034020B">
              <w:t>Manipulation, application ou transfert de produits chimiques dans les zones techniques (maintenance, stockage, nettoyage).</w:t>
            </w:r>
          </w:p>
        </w:tc>
        <w:tc>
          <w:tcPr>
            <w:tcW w:w="0" w:type="auto"/>
            <w:hideMark/>
          </w:tcPr>
          <w:p w14:paraId="1A1364DC" w14:textId="77777777" w:rsidR="0034020B" w:rsidRPr="0034020B" w:rsidRDefault="0034020B" w:rsidP="0034020B">
            <w:pPr>
              <w:cnfStyle w:val="000000000000" w:firstRow="0" w:lastRow="0" w:firstColumn="0" w:lastColumn="0" w:oddVBand="0" w:evenVBand="0" w:oddHBand="0" w:evenHBand="0" w:firstRowFirstColumn="0" w:firstRowLastColumn="0" w:lastRowFirstColumn="0" w:lastRowLastColumn="0"/>
            </w:pPr>
            <w:r w:rsidRPr="0034020B">
              <w:rPr>
                <w:b/>
                <w:bCs/>
              </w:rPr>
              <w:t>Probabilité d’occurrence</w:t>
            </w:r>
          </w:p>
        </w:tc>
        <w:tc>
          <w:tcPr>
            <w:tcW w:w="0" w:type="auto"/>
            <w:hideMark/>
          </w:tcPr>
          <w:p w14:paraId="751114F9" w14:textId="77777777" w:rsidR="0034020B" w:rsidRPr="0034020B" w:rsidRDefault="0034020B" w:rsidP="0034020B">
            <w:pPr>
              <w:cnfStyle w:val="000000000000" w:firstRow="0" w:lastRow="0" w:firstColumn="0" w:lastColumn="0" w:oddVBand="0" w:evenVBand="0" w:oddHBand="0" w:evenHBand="0" w:firstRowFirstColumn="0" w:firstRowLastColumn="0" w:lastRowFirstColumn="0" w:lastRowLastColumn="0"/>
            </w:pPr>
            <w:r w:rsidRPr="0034020B">
              <w:t>La manipulation régulière de produits chimiques accroît la probabilité d’exposition, notamment en cas de port incomplet des EPI ou d’absence de ventilation suffisante.</w:t>
            </w:r>
          </w:p>
        </w:tc>
        <w:tc>
          <w:tcPr>
            <w:tcW w:w="0" w:type="auto"/>
            <w:hideMark/>
          </w:tcPr>
          <w:p w14:paraId="2B5E987B" w14:textId="77777777" w:rsidR="0034020B" w:rsidRPr="0034020B" w:rsidRDefault="0034020B" w:rsidP="0034020B">
            <w:pPr>
              <w:cnfStyle w:val="000000000000" w:firstRow="0" w:lastRow="0" w:firstColumn="0" w:lastColumn="0" w:oddVBand="0" w:evenVBand="0" w:oddHBand="0" w:evenHBand="0" w:firstRowFirstColumn="0" w:firstRowLastColumn="0" w:lastRowFirstColumn="0" w:lastRowLastColumn="0"/>
            </w:pPr>
            <w:r w:rsidRPr="0034020B">
              <w:t>Probable</w:t>
            </w:r>
          </w:p>
        </w:tc>
      </w:tr>
      <w:tr w:rsidR="0034020B" w:rsidRPr="0034020B" w14:paraId="685B79A7" w14:textId="77777777" w:rsidTr="0034020B">
        <w:tc>
          <w:tcPr>
            <w:cnfStyle w:val="001000000000" w:firstRow="0" w:lastRow="0" w:firstColumn="1" w:lastColumn="0" w:oddVBand="0" w:evenVBand="0" w:oddHBand="0" w:evenHBand="0" w:firstRowFirstColumn="0" w:firstRowLastColumn="0" w:lastRowFirstColumn="0" w:lastRowLastColumn="0"/>
            <w:tcW w:w="0" w:type="auto"/>
            <w:vMerge/>
            <w:hideMark/>
          </w:tcPr>
          <w:p w14:paraId="65FBE2BA" w14:textId="77777777" w:rsidR="0034020B" w:rsidRPr="0034020B" w:rsidRDefault="0034020B" w:rsidP="0034020B"/>
        </w:tc>
        <w:tc>
          <w:tcPr>
            <w:tcW w:w="0" w:type="auto"/>
            <w:vMerge/>
            <w:hideMark/>
          </w:tcPr>
          <w:p w14:paraId="0B35F907" w14:textId="77777777" w:rsidR="0034020B" w:rsidRPr="0034020B" w:rsidRDefault="0034020B" w:rsidP="0034020B">
            <w:pPr>
              <w:cnfStyle w:val="000000000000" w:firstRow="0" w:lastRow="0" w:firstColumn="0" w:lastColumn="0" w:oddVBand="0" w:evenVBand="0" w:oddHBand="0" w:evenHBand="0" w:firstRowFirstColumn="0" w:firstRowLastColumn="0" w:lastRowFirstColumn="0" w:lastRowLastColumn="0"/>
            </w:pPr>
          </w:p>
        </w:tc>
        <w:tc>
          <w:tcPr>
            <w:tcW w:w="0" w:type="auto"/>
            <w:hideMark/>
          </w:tcPr>
          <w:p w14:paraId="309F33E5" w14:textId="77777777" w:rsidR="0034020B" w:rsidRPr="0034020B" w:rsidRDefault="0034020B" w:rsidP="0034020B">
            <w:pPr>
              <w:cnfStyle w:val="000000000000" w:firstRow="0" w:lastRow="0" w:firstColumn="0" w:lastColumn="0" w:oddVBand="0" w:evenVBand="0" w:oddHBand="0" w:evenHBand="0" w:firstRowFirstColumn="0" w:firstRowLastColumn="0" w:lastRowFirstColumn="0" w:lastRowLastColumn="0"/>
            </w:pPr>
            <w:r w:rsidRPr="0034020B">
              <w:rPr>
                <w:b/>
                <w:bCs/>
              </w:rPr>
              <w:t>Gravité des conséquences</w:t>
            </w:r>
          </w:p>
        </w:tc>
        <w:tc>
          <w:tcPr>
            <w:tcW w:w="0" w:type="auto"/>
            <w:hideMark/>
          </w:tcPr>
          <w:p w14:paraId="6696B46D" w14:textId="77777777" w:rsidR="0034020B" w:rsidRPr="0034020B" w:rsidRDefault="0034020B" w:rsidP="0034020B">
            <w:pPr>
              <w:cnfStyle w:val="000000000000" w:firstRow="0" w:lastRow="0" w:firstColumn="0" w:lastColumn="0" w:oddVBand="0" w:evenVBand="0" w:oddHBand="0" w:evenHBand="0" w:firstRowFirstColumn="0" w:firstRowLastColumn="0" w:lastRowFirstColumn="0" w:lastRowLastColumn="0"/>
            </w:pPr>
            <w:r w:rsidRPr="0034020B">
              <w:t xml:space="preserve">Les effets varient selon la substance : irritations cutanées, brûlures chimiques, troubles respiratoires ou intoxications, pouvant </w:t>
            </w:r>
            <w:r w:rsidRPr="0034020B">
              <w:lastRenderedPageBreak/>
              <w:t>affecter la santé des travailleurs.</w:t>
            </w:r>
          </w:p>
        </w:tc>
        <w:tc>
          <w:tcPr>
            <w:tcW w:w="0" w:type="auto"/>
            <w:hideMark/>
          </w:tcPr>
          <w:p w14:paraId="3E94AA71" w14:textId="77777777" w:rsidR="0034020B" w:rsidRPr="0034020B" w:rsidRDefault="0034020B" w:rsidP="0034020B">
            <w:pPr>
              <w:cnfStyle w:val="000000000000" w:firstRow="0" w:lastRow="0" w:firstColumn="0" w:lastColumn="0" w:oddVBand="0" w:evenVBand="0" w:oddHBand="0" w:evenHBand="0" w:firstRowFirstColumn="0" w:firstRowLastColumn="0" w:lastRowFirstColumn="0" w:lastRowLastColumn="0"/>
            </w:pPr>
            <w:r w:rsidRPr="0034020B">
              <w:lastRenderedPageBreak/>
              <w:t>Modérée à majeure</w:t>
            </w:r>
          </w:p>
        </w:tc>
      </w:tr>
      <w:tr w:rsidR="0034020B" w:rsidRPr="0034020B" w14:paraId="016C34FD" w14:textId="77777777" w:rsidTr="0034020B">
        <w:tc>
          <w:tcPr>
            <w:cnfStyle w:val="001000000000" w:firstRow="0" w:lastRow="0" w:firstColumn="1" w:lastColumn="0" w:oddVBand="0" w:evenVBand="0" w:oddHBand="0" w:evenHBand="0" w:firstRowFirstColumn="0" w:firstRowLastColumn="0" w:lastRowFirstColumn="0" w:lastRowLastColumn="0"/>
            <w:tcW w:w="0" w:type="auto"/>
            <w:vMerge/>
            <w:hideMark/>
          </w:tcPr>
          <w:p w14:paraId="1856FC3F" w14:textId="77777777" w:rsidR="0034020B" w:rsidRPr="0034020B" w:rsidRDefault="0034020B" w:rsidP="0034020B"/>
        </w:tc>
        <w:tc>
          <w:tcPr>
            <w:tcW w:w="0" w:type="auto"/>
            <w:vMerge/>
            <w:hideMark/>
          </w:tcPr>
          <w:p w14:paraId="5C17CB09" w14:textId="77777777" w:rsidR="0034020B" w:rsidRPr="0034020B" w:rsidRDefault="0034020B" w:rsidP="0034020B">
            <w:pPr>
              <w:cnfStyle w:val="000000000000" w:firstRow="0" w:lastRow="0" w:firstColumn="0" w:lastColumn="0" w:oddVBand="0" w:evenVBand="0" w:oddHBand="0" w:evenHBand="0" w:firstRowFirstColumn="0" w:firstRowLastColumn="0" w:lastRowFirstColumn="0" w:lastRowLastColumn="0"/>
            </w:pPr>
          </w:p>
        </w:tc>
        <w:tc>
          <w:tcPr>
            <w:tcW w:w="0" w:type="auto"/>
            <w:hideMark/>
          </w:tcPr>
          <w:p w14:paraId="17D5036B" w14:textId="77777777" w:rsidR="0034020B" w:rsidRPr="0034020B" w:rsidRDefault="0034020B" w:rsidP="0034020B">
            <w:pPr>
              <w:cnfStyle w:val="000000000000" w:firstRow="0" w:lastRow="0" w:firstColumn="0" w:lastColumn="0" w:oddVBand="0" w:evenVBand="0" w:oddHBand="0" w:evenHBand="0" w:firstRowFirstColumn="0" w:firstRowLastColumn="0" w:lastRowFirstColumn="0" w:lastRowLastColumn="0"/>
            </w:pPr>
            <w:r w:rsidRPr="0034020B">
              <w:rPr>
                <w:b/>
                <w:bCs/>
              </w:rPr>
              <w:t>Évaluation globale du risque</w:t>
            </w:r>
          </w:p>
        </w:tc>
        <w:tc>
          <w:tcPr>
            <w:tcW w:w="0" w:type="auto"/>
            <w:hideMark/>
          </w:tcPr>
          <w:p w14:paraId="61F0EFF8" w14:textId="77777777" w:rsidR="0034020B" w:rsidRPr="0034020B" w:rsidRDefault="0034020B" w:rsidP="0034020B">
            <w:pPr>
              <w:cnfStyle w:val="000000000000" w:firstRow="0" w:lastRow="0" w:firstColumn="0" w:lastColumn="0" w:oddVBand="0" w:evenVBand="0" w:oddHBand="0" w:evenHBand="0" w:firstRowFirstColumn="0" w:firstRowLastColumn="0" w:lastRowFirstColumn="0" w:lastRowLastColumn="0"/>
            </w:pPr>
            <w:r w:rsidRPr="0034020B">
              <w:t>Le risque est élevé du fait de la fréquence des manipulations et de la toxicité de certaines substances. Son niveau reste acceptable sous réserve d’application stricte du PSST et de l’usage d’EPI adaptés.</w:t>
            </w:r>
          </w:p>
        </w:tc>
        <w:tc>
          <w:tcPr>
            <w:tcW w:w="0" w:type="auto"/>
            <w:hideMark/>
          </w:tcPr>
          <w:p w14:paraId="7332DD99" w14:textId="77777777" w:rsidR="0034020B" w:rsidRPr="0034020B" w:rsidRDefault="0034020B" w:rsidP="0034020B">
            <w:pPr>
              <w:cnfStyle w:val="000000000000" w:firstRow="0" w:lastRow="0" w:firstColumn="0" w:lastColumn="0" w:oddVBand="0" w:evenVBand="0" w:oddHBand="0" w:evenHBand="0" w:firstRowFirstColumn="0" w:firstRowLastColumn="0" w:lastRowFirstColumn="0" w:lastRowLastColumn="0"/>
            </w:pPr>
            <w:r w:rsidRPr="0034020B">
              <w:t>Élevé</w:t>
            </w:r>
          </w:p>
        </w:tc>
      </w:tr>
    </w:tbl>
    <w:p w14:paraId="15098E4F" w14:textId="77777777" w:rsidR="0034020B" w:rsidRDefault="0034020B" w:rsidP="00A51C6B"/>
    <w:p w14:paraId="4C81A8EA" w14:textId="7313807B" w:rsidR="005D2181" w:rsidRPr="004637C7" w:rsidRDefault="005D2181" w:rsidP="0001633E">
      <w:pPr>
        <w:pStyle w:val="AltTitle2"/>
        <w:numPr>
          <w:ilvl w:val="0"/>
          <w:numId w:val="106"/>
        </w:numPr>
        <w:rPr>
          <w:b w:val="0"/>
        </w:rPr>
      </w:pPr>
      <w:r w:rsidRPr="004569EE">
        <w:t xml:space="preserve">Risque d’incendie ou d’explosion </w:t>
      </w:r>
    </w:p>
    <w:p w14:paraId="5809461E" w14:textId="74693ABB" w:rsidR="00A51C6B" w:rsidRDefault="00A51C6B" w:rsidP="00A51C6B">
      <w:r>
        <w:t xml:space="preserve">Les produits inflammables, tels que les hydrocarbures, solvants, gaz sous pression et chiffons imbibés de carburant, stockés dans les locaux techniques, présentent un risque d’incendie ou d’explosion en cas de contact avec une source d’étincelle, une flamme ou une chaleur excessive. Le climat chaud et sec de la région </w:t>
      </w:r>
      <w:r w:rsidR="00650F62">
        <w:t xml:space="preserve">de Marrakech </w:t>
      </w:r>
      <w:r>
        <w:t>accroît légèrement la vulnérabilité à ce type d’événement.</w:t>
      </w:r>
    </w:p>
    <w:p w14:paraId="76D3D44C" w14:textId="77777777" w:rsidR="00A51C6B" w:rsidRDefault="00A51C6B" w:rsidP="00A51C6B">
      <w:r>
        <w:t>La probabilité d’occurrence est faible, car les produits sont entreposés dans des zones ventilées, couvertes, signalées et équipées de systèmes d’extinction conformes aux normes de sécurité. En revanche, la gravité des conséquences est majeure, un incendie pouvant causer des blessures, des dégâts matériels importants et une interruption temporaire de l’exploitation. Le niveau global de criticité est modéré, la faible probabilité atténuant la sévérité potentielle, mais imposant néanmoins une vigilance accrue.</w:t>
      </w:r>
    </w:p>
    <w:p w14:paraId="2539F087" w14:textId="37845AED" w:rsidR="005D2181" w:rsidRDefault="00A51C6B" w:rsidP="00A51C6B">
      <w:r>
        <w:t>Les récepteurs sensibles sont les travailleurs présents dans les zones techniques, ainsi que les infrastructures à proximité immédiate, telles que les locaux de maintenance et les parkings avions. Ce risque est donc évalué comme modéré, local et ponctuel, maîtrisable grâce à la mise en œuvre du Plan de Prévention des Incendies (PPI), à la vérification régulière des équipements et à la formation du personnel à la gestion d’urgence.</w:t>
      </w:r>
    </w:p>
    <w:tbl>
      <w:tblPr>
        <w:tblStyle w:val="TableauGrille1Clair-Accentuation111"/>
        <w:tblW w:w="0" w:type="auto"/>
        <w:tblLook w:val="04A0" w:firstRow="1" w:lastRow="0" w:firstColumn="1" w:lastColumn="0" w:noHBand="0" w:noVBand="1"/>
      </w:tblPr>
      <w:tblGrid>
        <w:gridCol w:w="1127"/>
        <w:gridCol w:w="2485"/>
        <w:gridCol w:w="1512"/>
        <w:gridCol w:w="2970"/>
        <w:gridCol w:w="966"/>
      </w:tblGrid>
      <w:tr w:rsidR="002004C8" w:rsidRPr="002004C8" w14:paraId="0351EDF5" w14:textId="77777777" w:rsidTr="002004C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1C8C7CB3" w14:textId="77777777" w:rsidR="002004C8" w:rsidRPr="002004C8" w:rsidRDefault="002004C8" w:rsidP="002004C8">
            <w:r w:rsidRPr="002004C8">
              <w:t>Risque</w:t>
            </w:r>
          </w:p>
        </w:tc>
        <w:tc>
          <w:tcPr>
            <w:tcW w:w="0" w:type="auto"/>
            <w:hideMark/>
          </w:tcPr>
          <w:p w14:paraId="549894C0" w14:textId="77777777" w:rsidR="002004C8" w:rsidRPr="002004C8" w:rsidRDefault="002004C8" w:rsidP="002004C8">
            <w:pPr>
              <w:cnfStyle w:val="100000000000" w:firstRow="1" w:lastRow="0" w:firstColumn="0" w:lastColumn="0" w:oddVBand="0" w:evenVBand="0" w:oddHBand="0" w:evenHBand="0" w:firstRowFirstColumn="0" w:firstRowLastColumn="0" w:lastRowFirstColumn="0" w:lastRowLastColumn="0"/>
            </w:pPr>
            <w:r w:rsidRPr="002004C8">
              <w:t>Activités génératrices</w:t>
            </w:r>
          </w:p>
        </w:tc>
        <w:tc>
          <w:tcPr>
            <w:tcW w:w="0" w:type="auto"/>
            <w:hideMark/>
          </w:tcPr>
          <w:p w14:paraId="7C8F6CA7" w14:textId="77777777" w:rsidR="002004C8" w:rsidRPr="002004C8" w:rsidRDefault="002004C8" w:rsidP="002004C8">
            <w:pPr>
              <w:cnfStyle w:val="100000000000" w:firstRow="1" w:lastRow="0" w:firstColumn="0" w:lastColumn="0" w:oddVBand="0" w:evenVBand="0" w:oddHBand="0" w:evenHBand="0" w:firstRowFirstColumn="0" w:firstRowLastColumn="0" w:lastRowFirstColumn="0" w:lastRowLastColumn="0"/>
            </w:pPr>
            <w:r w:rsidRPr="002004C8">
              <w:t>Critère</w:t>
            </w:r>
          </w:p>
        </w:tc>
        <w:tc>
          <w:tcPr>
            <w:tcW w:w="0" w:type="auto"/>
            <w:hideMark/>
          </w:tcPr>
          <w:p w14:paraId="254839E1" w14:textId="77777777" w:rsidR="002004C8" w:rsidRPr="002004C8" w:rsidRDefault="002004C8" w:rsidP="002004C8">
            <w:pPr>
              <w:cnfStyle w:val="100000000000" w:firstRow="1" w:lastRow="0" w:firstColumn="0" w:lastColumn="0" w:oddVBand="0" w:evenVBand="0" w:oddHBand="0" w:evenHBand="0" w:firstRowFirstColumn="0" w:firstRowLastColumn="0" w:lastRowFirstColumn="0" w:lastRowLastColumn="0"/>
            </w:pPr>
            <w:r w:rsidRPr="002004C8">
              <w:t>Justification</w:t>
            </w:r>
          </w:p>
        </w:tc>
        <w:tc>
          <w:tcPr>
            <w:tcW w:w="0" w:type="auto"/>
            <w:hideMark/>
          </w:tcPr>
          <w:p w14:paraId="5EE14647" w14:textId="77777777" w:rsidR="002004C8" w:rsidRPr="002004C8" w:rsidRDefault="002004C8" w:rsidP="002004C8">
            <w:pPr>
              <w:cnfStyle w:val="100000000000" w:firstRow="1" w:lastRow="0" w:firstColumn="0" w:lastColumn="0" w:oddVBand="0" w:evenVBand="0" w:oddHBand="0" w:evenHBand="0" w:firstRowFirstColumn="0" w:firstRowLastColumn="0" w:lastRowFirstColumn="0" w:lastRowLastColumn="0"/>
            </w:pPr>
            <w:r w:rsidRPr="002004C8">
              <w:t>Niveau</w:t>
            </w:r>
          </w:p>
        </w:tc>
      </w:tr>
      <w:tr w:rsidR="002004C8" w:rsidRPr="002004C8" w14:paraId="70C46E4E" w14:textId="77777777" w:rsidTr="002004C8">
        <w:tc>
          <w:tcPr>
            <w:cnfStyle w:val="001000000000" w:firstRow="0" w:lastRow="0" w:firstColumn="1" w:lastColumn="0" w:oddVBand="0" w:evenVBand="0" w:oddHBand="0" w:evenHBand="0" w:firstRowFirstColumn="0" w:firstRowLastColumn="0" w:lastRowFirstColumn="0" w:lastRowLastColumn="0"/>
            <w:tcW w:w="0" w:type="auto"/>
            <w:vMerge w:val="restart"/>
            <w:hideMark/>
          </w:tcPr>
          <w:p w14:paraId="79229383" w14:textId="77777777" w:rsidR="002004C8" w:rsidRPr="002004C8" w:rsidRDefault="002004C8" w:rsidP="002004C8">
            <w:r w:rsidRPr="002004C8">
              <w:t>Incendie ou explosion</w:t>
            </w:r>
          </w:p>
        </w:tc>
        <w:tc>
          <w:tcPr>
            <w:tcW w:w="0" w:type="auto"/>
            <w:vMerge w:val="restart"/>
            <w:hideMark/>
          </w:tcPr>
          <w:p w14:paraId="3E81FBAF" w14:textId="77777777" w:rsidR="002004C8" w:rsidRPr="002004C8" w:rsidRDefault="002004C8" w:rsidP="002004C8">
            <w:pPr>
              <w:cnfStyle w:val="000000000000" w:firstRow="0" w:lastRow="0" w:firstColumn="0" w:lastColumn="0" w:oddVBand="0" w:evenVBand="0" w:oddHBand="0" w:evenHBand="0" w:firstRowFirstColumn="0" w:firstRowLastColumn="0" w:lastRowFirstColumn="0" w:lastRowLastColumn="0"/>
            </w:pPr>
            <w:r w:rsidRPr="002004C8">
              <w:t>Stockage et utilisation de produits inflammables (carburants, solvants, gaz sous pression) dans les locaux techniques et ateliers de maintenance.</w:t>
            </w:r>
          </w:p>
        </w:tc>
        <w:tc>
          <w:tcPr>
            <w:tcW w:w="0" w:type="auto"/>
            <w:hideMark/>
          </w:tcPr>
          <w:p w14:paraId="1BA13321" w14:textId="77777777" w:rsidR="002004C8" w:rsidRPr="002004C8" w:rsidRDefault="002004C8" w:rsidP="002004C8">
            <w:pPr>
              <w:cnfStyle w:val="000000000000" w:firstRow="0" w:lastRow="0" w:firstColumn="0" w:lastColumn="0" w:oddVBand="0" w:evenVBand="0" w:oddHBand="0" w:evenHBand="0" w:firstRowFirstColumn="0" w:firstRowLastColumn="0" w:lastRowFirstColumn="0" w:lastRowLastColumn="0"/>
            </w:pPr>
            <w:r w:rsidRPr="002004C8">
              <w:rPr>
                <w:b/>
                <w:bCs/>
              </w:rPr>
              <w:t>Probabilité d’occurrence</w:t>
            </w:r>
          </w:p>
        </w:tc>
        <w:tc>
          <w:tcPr>
            <w:tcW w:w="0" w:type="auto"/>
            <w:hideMark/>
          </w:tcPr>
          <w:p w14:paraId="12334891" w14:textId="77777777" w:rsidR="002004C8" w:rsidRPr="002004C8" w:rsidRDefault="002004C8" w:rsidP="002004C8">
            <w:pPr>
              <w:cnfStyle w:val="000000000000" w:firstRow="0" w:lastRow="0" w:firstColumn="0" w:lastColumn="0" w:oddVBand="0" w:evenVBand="0" w:oddHBand="0" w:evenHBand="0" w:firstRowFirstColumn="0" w:firstRowLastColumn="0" w:lastRowFirstColumn="0" w:lastRowLastColumn="0"/>
            </w:pPr>
            <w:r w:rsidRPr="002004C8">
              <w:t>Le risque est faible grâce à la présence de zones ventilées, d’extincteurs, de signalisation et de procédures de sécurité, mais non nul en cas de défaillance humaine.</w:t>
            </w:r>
          </w:p>
        </w:tc>
        <w:tc>
          <w:tcPr>
            <w:tcW w:w="0" w:type="auto"/>
            <w:hideMark/>
          </w:tcPr>
          <w:p w14:paraId="54739267" w14:textId="77777777" w:rsidR="002004C8" w:rsidRPr="002004C8" w:rsidRDefault="002004C8" w:rsidP="002004C8">
            <w:pPr>
              <w:cnfStyle w:val="000000000000" w:firstRow="0" w:lastRow="0" w:firstColumn="0" w:lastColumn="0" w:oddVBand="0" w:evenVBand="0" w:oddHBand="0" w:evenHBand="0" w:firstRowFirstColumn="0" w:firstRowLastColumn="0" w:lastRowFirstColumn="0" w:lastRowLastColumn="0"/>
            </w:pPr>
            <w:r w:rsidRPr="002004C8">
              <w:t>Faible</w:t>
            </w:r>
          </w:p>
        </w:tc>
      </w:tr>
      <w:tr w:rsidR="002004C8" w:rsidRPr="002004C8" w14:paraId="22D298D2" w14:textId="77777777" w:rsidTr="002004C8">
        <w:tc>
          <w:tcPr>
            <w:cnfStyle w:val="001000000000" w:firstRow="0" w:lastRow="0" w:firstColumn="1" w:lastColumn="0" w:oddVBand="0" w:evenVBand="0" w:oddHBand="0" w:evenHBand="0" w:firstRowFirstColumn="0" w:firstRowLastColumn="0" w:lastRowFirstColumn="0" w:lastRowLastColumn="0"/>
            <w:tcW w:w="0" w:type="auto"/>
            <w:vMerge/>
            <w:hideMark/>
          </w:tcPr>
          <w:p w14:paraId="3AC88DF6" w14:textId="77777777" w:rsidR="002004C8" w:rsidRPr="002004C8" w:rsidRDefault="002004C8" w:rsidP="002004C8"/>
        </w:tc>
        <w:tc>
          <w:tcPr>
            <w:tcW w:w="0" w:type="auto"/>
            <w:vMerge/>
            <w:hideMark/>
          </w:tcPr>
          <w:p w14:paraId="3AFAF84D" w14:textId="77777777" w:rsidR="002004C8" w:rsidRPr="002004C8" w:rsidRDefault="002004C8" w:rsidP="002004C8">
            <w:pPr>
              <w:cnfStyle w:val="000000000000" w:firstRow="0" w:lastRow="0" w:firstColumn="0" w:lastColumn="0" w:oddVBand="0" w:evenVBand="0" w:oddHBand="0" w:evenHBand="0" w:firstRowFirstColumn="0" w:firstRowLastColumn="0" w:lastRowFirstColumn="0" w:lastRowLastColumn="0"/>
            </w:pPr>
          </w:p>
        </w:tc>
        <w:tc>
          <w:tcPr>
            <w:tcW w:w="0" w:type="auto"/>
            <w:hideMark/>
          </w:tcPr>
          <w:p w14:paraId="491464F5" w14:textId="77777777" w:rsidR="002004C8" w:rsidRPr="002004C8" w:rsidRDefault="002004C8" w:rsidP="002004C8">
            <w:pPr>
              <w:cnfStyle w:val="000000000000" w:firstRow="0" w:lastRow="0" w:firstColumn="0" w:lastColumn="0" w:oddVBand="0" w:evenVBand="0" w:oddHBand="0" w:evenHBand="0" w:firstRowFirstColumn="0" w:firstRowLastColumn="0" w:lastRowFirstColumn="0" w:lastRowLastColumn="0"/>
            </w:pPr>
            <w:r w:rsidRPr="002004C8">
              <w:rPr>
                <w:b/>
                <w:bCs/>
              </w:rPr>
              <w:t>Gravité des conséquences</w:t>
            </w:r>
          </w:p>
        </w:tc>
        <w:tc>
          <w:tcPr>
            <w:tcW w:w="0" w:type="auto"/>
            <w:hideMark/>
          </w:tcPr>
          <w:p w14:paraId="2E71F3AE" w14:textId="77777777" w:rsidR="002004C8" w:rsidRPr="002004C8" w:rsidRDefault="002004C8" w:rsidP="002004C8">
            <w:pPr>
              <w:cnfStyle w:val="000000000000" w:firstRow="0" w:lastRow="0" w:firstColumn="0" w:lastColumn="0" w:oddVBand="0" w:evenVBand="0" w:oddHBand="0" w:evenHBand="0" w:firstRowFirstColumn="0" w:firstRowLastColumn="0" w:lastRowFirstColumn="0" w:lastRowLastColumn="0"/>
            </w:pPr>
            <w:r w:rsidRPr="002004C8">
              <w:t>Un incendie pourrait causer des blessures, des dommages matériels importants et une interruption temporaire de l’exploitation.</w:t>
            </w:r>
          </w:p>
        </w:tc>
        <w:tc>
          <w:tcPr>
            <w:tcW w:w="0" w:type="auto"/>
            <w:hideMark/>
          </w:tcPr>
          <w:p w14:paraId="649E2A88" w14:textId="77777777" w:rsidR="002004C8" w:rsidRPr="002004C8" w:rsidRDefault="002004C8" w:rsidP="002004C8">
            <w:pPr>
              <w:cnfStyle w:val="000000000000" w:firstRow="0" w:lastRow="0" w:firstColumn="0" w:lastColumn="0" w:oddVBand="0" w:evenVBand="0" w:oddHBand="0" w:evenHBand="0" w:firstRowFirstColumn="0" w:firstRowLastColumn="0" w:lastRowFirstColumn="0" w:lastRowLastColumn="0"/>
            </w:pPr>
            <w:r w:rsidRPr="002004C8">
              <w:t>Majeure</w:t>
            </w:r>
          </w:p>
        </w:tc>
      </w:tr>
      <w:tr w:rsidR="002004C8" w:rsidRPr="002004C8" w14:paraId="4BB3AC63" w14:textId="77777777" w:rsidTr="002004C8">
        <w:tc>
          <w:tcPr>
            <w:cnfStyle w:val="001000000000" w:firstRow="0" w:lastRow="0" w:firstColumn="1" w:lastColumn="0" w:oddVBand="0" w:evenVBand="0" w:oddHBand="0" w:evenHBand="0" w:firstRowFirstColumn="0" w:firstRowLastColumn="0" w:lastRowFirstColumn="0" w:lastRowLastColumn="0"/>
            <w:tcW w:w="0" w:type="auto"/>
            <w:vMerge/>
            <w:hideMark/>
          </w:tcPr>
          <w:p w14:paraId="043D7BF8" w14:textId="77777777" w:rsidR="002004C8" w:rsidRPr="002004C8" w:rsidRDefault="002004C8" w:rsidP="002004C8"/>
        </w:tc>
        <w:tc>
          <w:tcPr>
            <w:tcW w:w="0" w:type="auto"/>
            <w:vMerge/>
            <w:hideMark/>
          </w:tcPr>
          <w:p w14:paraId="45C99E1A" w14:textId="77777777" w:rsidR="002004C8" w:rsidRPr="002004C8" w:rsidRDefault="002004C8" w:rsidP="002004C8">
            <w:pPr>
              <w:cnfStyle w:val="000000000000" w:firstRow="0" w:lastRow="0" w:firstColumn="0" w:lastColumn="0" w:oddVBand="0" w:evenVBand="0" w:oddHBand="0" w:evenHBand="0" w:firstRowFirstColumn="0" w:firstRowLastColumn="0" w:lastRowFirstColumn="0" w:lastRowLastColumn="0"/>
            </w:pPr>
          </w:p>
        </w:tc>
        <w:tc>
          <w:tcPr>
            <w:tcW w:w="0" w:type="auto"/>
            <w:hideMark/>
          </w:tcPr>
          <w:p w14:paraId="62C33072" w14:textId="77777777" w:rsidR="002004C8" w:rsidRPr="002004C8" w:rsidRDefault="002004C8" w:rsidP="002004C8">
            <w:pPr>
              <w:cnfStyle w:val="000000000000" w:firstRow="0" w:lastRow="0" w:firstColumn="0" w:lastColumn="0" w:oddVBand="0" w:evenVBand="0" w:oddHBand="0" w:evenHBand="0" w:firstRowFirstColumn="0" w:firstRowLastColumn="0" w:lastRowFirstColumn="0" w:lastRowLastColumn="0"/>
            </w:pPr>
            <w:r w:rsidRPr="002004C8">
              <w:rPr>
                <w:b/>
                <w:bCs/>
              </w:rPr>
              <w:t>Évaluation globale du risque</w:t>
            </w:r>
          </w:p>
        </w:tc>
        <w:tc>
          <w:tcPr>
            <w:tcW w:w="0" w:type="auto"/>
            <w:hideMark/>
          </w:tcPr>
          <w:p w14:paraId="75267FEB" w14:textId="77777777" w:rsidR="002004C8" w:rsidRPr="002004C8" w:rsidRDefault="002004C8" w:rsidP="002004C8">
            <w:pPr>
              <w:cnfStyle w:val="000000000000" w:firstRow="0" w:lastRow="0" w:firstColumn="0" w:lastColumn="0" w:oddVBand="0" w:evenVBand="0" w:oddHBand="0" w:evenHBand="0" w:firstRowFirstColumn="0" w:firstRowLastColumn="0" w:lastRowFirstColumn="0" w:lastRowLastColumn="0"/>
            </w:pPr>
            <w:r w:rsidRPr="002004C8">
              <w:t>La probabilité faible combinée à des conséquences majeures conduit à un risque modéré nécessitant une surveillance continue et une application stricte du Plan de Prévention des Incendies (PPI).</w:t>
            </w:r>
          </w:p>
        </w:tc>
        <w:tc>
          <w:tcPr>
            <w:tcW w:w="0" w:type="auto"/>
            <w:hideMark/>
          </w:tcPr>
          <w:p w14:paraId="610659E6" w14:textId="77777777" w:rsidR="002004C8" w:rsidRPr="002004C8" w:rsidRDefault="002004C8" w:rsidP="002004C8">
            <w:pPr>
              <w:cnfStyle w:val="000000000000" w:firstRow="0" w:lastRow="0" w:firstColumn="0" w:lastColumn="0" w:oddVBand="0" w:evenVBand="0" w:oddHBand="0" w:evenHBand="0" w:firstRowFirstColumn="0" w:firstRowLastColumn="0" w:lastRowFirstColumn="0" w:lastRowLastColumn="0"/>
            </w:pPr>
            <w:r w:rsidRPr="002004C8">
              <w:t>Modérée</w:t>
            </w:r>
          </w:p>
        </w:tc>
      </w:tr>
    </w:tbl>
    <w:p w14:paraId="6AFE9BA4" w14:textId="75BE124D" w:rsidR="005D2181" w:rsidRPr="004637C7" w:rsidRDefault="005D2181" w:rsidP="0001633E">
      <w:pPr>
        <w:pStyle w:val="AltTitle2"/>
        <w:numPr>
          <w:ilvl w:val="0"/>
          <w:numId w:val="106"/>
        </w:numPr>
        <w:rPr>
          <w:b w:val="0"/>
        </w:rPr>
      </w:pPr>
      <w:r w:rsidRPr="004569EE">
        <w:lastRenderedPageBreak/>
        <w:t>Risque de nuisances olfactives</w:t>
      </w:r>
    </w:p>
    <w:p w14:paraId="5B2B9572" w14:textId="77777777" w:rsidR="00A51C6B" w:rsidRDefault="00A51C6B" w:rsidP="00A51C6B">
      <w:r>
        <w:t>Les déchets ménagers et assimilés générés dans les zones de service du terminal, des parkings et des espaces administratifs peuvent dégager des odeurs désagréables ou des nuisances visuelles avant leur collecte. Ces nuisances demeurent très localisées et temporairement perceptibles, sans incidence sur les zones externes.</w:t>
      </w:r>
    </w:p>
    <w:p w14:paraId="32110AB6" w14:textId="77777777" w:rsidR="00A51C6B" w:rsidRDefault="00A51C6B" w:rsidP="00A51C6B">
      <w:r>
        <w:t>L’impact est de nature directe et négative, lié à la décomposition des déchets organiques ou à la présence ponctuelle d’emballages en attente d’évacuation. Son étendue est locale, limitée aux abords immédiats des points de stockage et de collecte. Sa durée est courte, puisqu’elle cesse dès le passage du prestataire chargé de la collecte, et sa fréquence est intermittente, dépendant des cycles de production et de ramassage des déchets. L’intensité est faible, les volumes produits étant maîtrisés et la gestion assurée de manière régulière.</w:t>
      </w:r>
    </w:p>
    <w:p w14:paraId="44A5CB8D" w14:textId="52D4A8DB" w:rsidR="005D2181" w:rsidRDefault="00A51C6B" w:rsidP="00A51C6B">
      <w:r>
        <w:t>Les récepteurs sensibles sont le personnel technique et les usagers du parking ou du terminal, dont la sensibilité est faible à moyenne. L’importance globale de cet impact est mineure à négligeable, car les nuisances sont réversibles, localisées et limitées dans le temps. Globalement, l’impact sur le confort olfactif et visuel est considéré comme mineur et sans effet durable sur la qualité du cadre de travail ou l’expérience des passagers.</w:t>
      </w:r>
    </w:p>
    <w:tbl>
      <w:tblPr>
        <w:tblStyle w:val="TableauGrille1Clair-Accentuation111"/>
        <w:tblW w:w="0" w:type="auto"/>
        <w:tblLook w:val="04A0" w:firstRow="1" w:lastRow="0" w:firstColumn="1" w:lastColumn="0" w:noHBand="0" w:noVBand="1"/>
      </w:tblPr>
      <w:tblGrid>
        <w:gridCol w:w="1271"/>
        <w:gridCol w:w="2046"/>
        <w:gridCol w:w="1444"/>
        <w:gridCol w:w="2955"/>
        <w:gridCol w:w="1344"/>
      </w:tblGrid>
      <w:tr w:rsidR="002004C8" w:rsidRPr="002004C8" w14:paraId="1F4A20A8" w14:textId="77777777" w:rsidTr="002004C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bookmarkEnd w:id="442"/>
          <w:bookmarkEnd w:id="443"/>
          <w:p w14:paraId="64480F0D" w14:textId="77777777" w:rsidR="002004C8" w:rsidRPr="002004C8" w:rsidRDefault="002004C8" w:rsidP="002004C8">
            <w:r w:rsidRPr="002004C8">
              <w:t>Risque</w:t>
            </w:r>
          </w:p>
        </w:tc>
        <w:tc>
          <w:tcPr>
            <w:tcW w:w="0" w:type="auto"/>
            <w:hideMark/>
          </w:tcPr>
          <w:p w14:paraId="3B765897" w14:textId="77777777" w:rsidR="002004C8" w:rsidRPr="002004C8" w:rsidRDefault="002004C8" w:rsidP="002004C8">
            <w:pPr>
              <w:cnfStyle w:val="100000000000" w:firstRow="1" w:lastRow="0" w:firstColumn="0" w:lastColumn="0" w:oddVBand="0" w:evenVBand="0" w:oddHBand="0" w:evenHBand="0" w:firstRowFirstColumn="0" w:firstRowLastColumn="0" w:lastRowFirstColumn="0" w:lastRowLastColumn="0"/>
            </w:pPr>
            <w:r w:rsidRPr="002004C8">
              <w:t>Activités génératrices</w:t>
            </w:r>
          </w:p>
        </w:tc>
        <w:tc>
          <w:tcPr>
            <w:tcW w:w="0" w:type="auto"/>
            <w:hideMark/>
          </w:tcPr>
          <w:p w14:paraId="46315DCA" w14:textId="77777777" w:rsidR="002004C8" w:rsidRPr="002004C8" w:rsidRDefault="002004C8" w:rsidP="002004C8">
            <w:pPr>
              <w:cnfStyle w:val="100000000000" w:firstRow="1" w:lastRow="0" w:firstColumn="0" w:lastColumn="0" w:oddVBand="0" w:evenVBand="0" w:oddHBand="0" w:evenHBand="0" w:firstRowFirstColumn="0" w:firstRowLastColumn="0" w:lastRowFirstColumn="0" w:lastRowLastColumn="0"/>
            </w:pPr>
            <w:r w:rsidRPr="002004C8">
              <w:t>Critère</w:t>
            </w:r>
          </w:p>
        </w:tc>
        <w:tc>
          <w:tcPr>
            <w:tcW w:w="2955" w:type="dxa"/>
            <w:hideMark/>
          </w:tcPr>
          <w:p w14:paraId="6EE7EC6A" w14:textId="77777777" w:rsidR="002004C8" w:rsidRPr="002004C8" w:rsidRDefault="002004C8" w:rsidP="002004C8">
            <w:pPr>
              <w:cnfStyle w:val="100000000000" w:firstRow="1" w:lastRow="0" w:firstColumn="0" w:lastColumn="0" w:oddVBand="0" w:evenVBand="0" w:oddHBand="0" w:evenHBand="0" w:firstRowFirstColumn="0" w:firstRowLastColumn="0" w:lastRowFirstColumn="0" w:lastRowLastColumn="0"/>
            </w:pPr>
            <w:r w:rsidRPr="002004C8">
              <w:t>Justification</w:t>
            </w:r>
          </w:p>
        </w:tc>
        <w:tc>
          <w:tcPr>
            <w:tcW w:w="985" w:type="dxa"/>
            <w:hideMark/>
          </w:tcPr>
          <w:p w14:paraId="52659D23" w14:textId="77777777" w:rsidR="002004C8" w:rsidRPr="002004C8" w:rsidRDefault="002004C8" w:rsidP="002004C8">
            <w:pPr>
              <w:cnfStyle w:val="100000000000" w:firstRow="1" w:lastRow="0" w:firstColumn="0" w:lastColumn="0" w:oddVBand="0" w:evenVBand="0" w:oddHBand="0" w:evenHBand="0" w:firstRowFirstColumn="0" w:firstRowLastColumn="0" w:lastRowFirstColumn="0" w:lastRowLastColumn="0"/>
            </w:pPr>
            <w:r w:rsidRPr="002004C8">
              <w:t>Niveau</w:t>
            </w:r>
          </w:p>
        </w:tc>
      </w:tr>
      <w:tr w:rsidR="002004C8" w:rsidRPr="002004C8" w14:paraId="4A6CFD89" w14:textId="77777777" w:rsidTr="002004C8">
        <w:tc>
          <w:tcPr>
            <w:cnfStyle w:val="001000000000" w:firstRow="0" w:lastRow="0" w:firstColumn="1" w:lastColumn="0" w:oddVBand="0" w:evenVBand="0" w:oddHBand="0" w:evenHBand="0" w:firstRowFirstColumn="0" w:firstRowLastColumn="0" w:lastRowFirstColumn="0" w:lastRowLastColumn="0"/>
            <w:tcW w:w="0" w:type="auto"/>
            <w:vMerge w:val="restart"/>
            <w:hideMark/>
          </w:tcPr>
          <w:p w14:paraId="79D397CE" w14:textId="77777777" w:rsidR="002004C8" w:rsidRPr="002004C8" w:rsidRDefault="002004C8" w:rsidP="002004C8">
            <w:r w:rsidRPr="002004C8">
              <w:t>Nuisances olfactives liées aux déchets ménagers et assimilés</w:t>
            </w:r>
          </w:p>
        </w:tc>
        <w:tc>
          <w:tcPr>
            <w:tcW w:w="0" w:type="auto"/>
            <w:vMerge w:val="restart"/>
            <w:hideMark/>
          </w:tcPr>
          <w:p w14:paraId="4573C4AE" w14:textId="77777777" w:rsidR="002004C8" w:rsidRPr="002004C8" w:rsidRDefault="002004C8" w:rsidP="002004C8">
            <w:pPr>
              <w:cnfStyle w:val="000000000000" w:firstRow="0" w:lastRow="0" w:firstColumn="0" w:lastColumn="0" w:oddVBand="0" w:evenVBand="0" w:oddHBand="0" w:evenHBand="0" w:firstRowFirstColumn="0" w:firstRowLastColumn="0" w:lastRowFirstColumn="0" w:lastRowLastColumn="0"/>
            </w:pPr>
            <w:r w:rsidRPr="002004C8">
              <w:t>Production et stockage temporaire de déchets organiques et emballages dans les zones de service du terminal, parkings et espaces administratifs avant enlèvement par le prestataire.</w:t>
            </w:r>
          </w:p>
        </w:tc>
        <w:tc>
          <w:tcPr>
            <w:tcW w:w="0" w:type="auto"/>
            <w:hideMark/>
          </w:tcPr>
          <w:p w14:paraId="054D1105" w14:textId="77777777" w:rsidR="002004C8" w:rsidRPr="002004C8" w:rsidRDefault="002004C8" w:rsidP="002004C8">
            <w:pPr>
              <w:cnfStyle w:val="000000000000" w:firstRow="0" w:lastRow="0" w:firstColumn="0" w:lastColumn="0" w:oddVBand="0" w:evenVBand="0" w:oddHBand="0" w:evenHBand="0" w:firstRowFirstColumn="0" w:firstRowLastColumn="0" w:lastRowFirstColumn="0" w:lastRowLastColumn="0"/>
            </w:pPr>
            <w:r w:rsidRPr="002004C8">
              <w:rPr>
                <w:b/>
                <w:bCs/>
              </w:rPr>
              <w:t>Probabilité d’occurrence</w:t>
            </w:r>
          </w:p>
        </w:tc>
        <w:tc>
          <w:tcPr>
            <w:tcW w:w="2955" w:type="dxa"/>
            <w:hideMark/>
          </w:tcPr>
          <w:p w14:paraId="78929D11" w14:textId="77777777" w:rsidR="002004C8" w:rsidRPr="002004C8" w:rsidRDefault="002004C8" w:rsidP="002004C8">
            <w:pPr>
              <w:cnfStyle w:val="000000000000" w:firstRow="0" w:lastRow="0" w:firstColumn="0" w:lastColumn="0" w:oddVBand="0" w:evenVBand="0" w:oddHBand="0" w:evenHBand="0" w:firstRowFirstColumn="0" w:firstRowLastColumn="0" w:lastRowFirstColumn="0" w:lastRowLastColumn="0"/>
            </w:pPr>
            <w:r w:rsidRPr="002004C8">
              <w:t>Les nuisances peuvent survenir ponctuellement avant la collecte, notamment en période chaude ou en cas de retard de ramassage.</w:t>
            </w:r>
          </w:p>
        </w:tc>
        <w:tc>
          <w:tcPr>
            <w:tcW w:w="985" w:type="dxa"/>
            <w:hideMark/>
          </w:tcPr>
          <w:p w14:paraId="2BA0947B" w14:textId="77777777" w:rsidR="002004C8" w:rsidRPr="002004C8" w:rsidRDefault="002004C8" w:rsidP="002004C8">
            <w:pPr>
              <w:cnfStyle w:val="000000000000" w:firstRow="0" w:lastRow="0" w:firstColumn="0" w:lastColumn="0" w:oddVBand="0" w:evenVBand="0" w:oddHBand="0" w:evenHBand="0" w:firstRowFirstColumn="0" w:firstRowLastColumn="0" w:lastRowFirstColumn="0" w:lastRowLastColumn="0"/>
            </w:pPr>
            <w:r w:rsidRPr="002004C8">
              <w:t>Occasionnelle</w:t>
            </w:r>
          </w:p>
        </w:tc>
      </w:tr>
      <w:tr w:rsidR="002004C8" w:rsidRPr="002004C8" w14:paraId="2C0E1985" w14:textId="77777777" w:rsidTr="002004C8">
        <w:tc>
          <w:tcPr>
            <w:cnfStyle w:val="001000000000" w:firstRow="0" w:lastRow="0" w:firstColumn="1" w:lastColumn="0" w:oddVBand="0" w:evenVBand="0" w:oddHBand="0" w:evenHBand="0" w:firstRowFirstColumn="0" w:firstRowLastColumn="0" w:lastRowFirstColumn="0" w:lastRowLastColumn="0"/>
            <w:tcW w:w="0" w:type="auto"/>
            <w:vMerge/>
            <w:hideMark/>
          </w:tcPr>
          <w:p w14:paraId="52475C37" w14:textId="77777777" w:rsidR="002004C8" w:rsidRPr="002004C8" w:rsidRDefault="002004C8" w:rsidP="002004C8"/>
        </w:tc>
        <w:tc>
          <w:tcPr>
            <w:tcW w:w="0" w:type="auto"/>
            <w:vMerge/>
            <w:hideMark/>
          </w:tcPr>
          <w:p w14:paraId="16A995F4" w14:textId="77777777" w:rsidR="002004C8" w:rsidRPr="002004C8" w:rsidRDefault="002004C8" w:rsidP="002004C8">
            <w:pPr>
              <w:cnfStyle w:val="000000000000" w:firstRow="0" w:lastRow="0" w:firstColumn="0" w:lastColumn="0" w:oddVBand="0" w:evenVBand="0" w:oddHBand="0" w:evenHBand="0" w:firstRowFirstColumn="0" w:firstRowLastColumn="0" w:lastRowFirstColumn="0" w:lastRowLastColumn="0"/>
            </w:pPr>
          </w:p>
        </w:tc>
        <w:tc>
          <w:tcPr>
            <w:tcW w:w="0" w:type="auto"/>
            <w:hideMark/>
          </w:tcPr>
          <w:p w14:paraId="02EA81AB" w14:textId="77777777" w:rsidR="002004C8" w:rsidRPr="002004C8" w:rsidRDefault="002004C8" w:rsidP="002004C8">
            <w:pPr>
              <w:cnfStyle w:val="000000000000" w:firstRow="0" w:lastRow="0" w:firstColumn="0" w:lastColumn="0" w:oddVBand="0" w:evenVBand="0" w:oddHBand="0" w:evenHBand="0" w:firstRowFirstColumn="0" w:firstRowLastColumn="0" w:lastRowFirstColumn="0" w:lastRowLastColumn="0"/>
            </w:pPr>
            <w:r w:rsidRPr="002004C8">
              <w:rPr>
                <w:b/>
                <w:bCs/>
              </w:rPr>
              <w:t>Gravité des conséquences</w:t>
            </w:r>
          </w:p>
        </w:tc>
        <w:tc>
          <w:tcPr>
            <w:tcW w:w="2955" w:type="dxa"/>
            <w:hideMark/>
          </w:tcPr>
          <w:p w14:paraId="797D304B" w14:textId="77777777" w:rsidR="002004C8" w:rsidRPr="002004C8" w:rsidRDefault="002004C8" w:rsidP="002004C8">
            <w:pPr>
              <w:cnfStyle w:val="000000000000" w:firstRow="0" w:lastRow="0" w:firstColumn="0" w:lastColumn="0" w:oddVBand="0" w:evenVBand="0" w:oddHBand="0" w:evenHBand="0" w:firstRowFirstColumn="0" w:firstRowLastColumn="0" w:lastRowFirstColumn="0" w:lastRowLastColumn="0"/>
            </w:pPr>
            <w:r w:rsidRPr="002004C8">
              <w:t>Odeurs désagréables perçues localement par les employés et usagers ; absence d’impact sanitaire ou environnemental.</w:t>
            </w:r>
          </w:p>
        </w:tc>
        <w:tc>
          <w:tcPr>
            <w:tcW w:w="985" w:type="dxa"/>
            <w:hideMark/>
          </w:tcPr>
          <w:p w14:paraId="52B2AFC6" w14:textId="77777777" w:rsidR="002004C8" w:rsidRPr="002004C8" w:rsidRDefault="002004C8" w:rsidP="002004C8">
            <w:pPr>
              <w:cnfStyle w:val="000000000000" w:firstRow="0" w:lastRow="0" w:firstColumn="0" w:lastColumn="0" w:oddVBand="0" w:evenVBand="0" w:oddHBand="0" w:evenHBand="0" w:firstRowFirstColumn="0" w:firstRowLastColumn="0" w:lastRowFirstColumn="0" w:lastRowLastColumn="0"/>
            </w:pPr>
            <w:r w:rsidRPr="002004C8">
              <w:t>Faible</w:t>
            </w:r>
          </w:p>
        </w:tc>
      </w:tr>
      <w:tr w:rsidR="002004C8" w:rsidRPr="002004C8" w14:paraId="730BB8C1" w14:textId="77777777" w:rsidTr="002004C8">
        <w:tc>
          <w:tcPr>
            <w:cnfStyle w:val="001000000000" w:firstRow="0" w:lastRow="0" w:firstColumn="1" w:lastColumn="0" w:oddVBand="0" w:evenVBand="0" w:oddHBand="0" w:evenHBand="0" w:firstRowFirstColumn="0" w:firstRowLastColumn="0" w:lastRowFirstColumn="0" w:lastRowLastColumn="0"/>
            <w:tcW w:w="0" w:type="auto"/>
            <w:vMerge/>
            <w:hideMark/>
          </w:tcPr>
          <w:p w14:paraId="33F5CDF2" w14:textId="77777777" w:rsidR="002004C8" w:rsidRPr="002004C8" w:rsidRDefault="002004C8" w:rsidP="002004C8"/>
        </w:tc>
        <w:tc>
          <w:tcPr>
            <w:tcW w:w="0" w:type="auto"/>
            <w:vMerge/>
            <w:hideMark/>
          </w:tcPr>
          <w:p w14:paraId="77EA9374" w14:textId="77777777" w:rsidR="002004C8" w:rsidRPr="002004C8" w:rsidRDefault="002004C8" w:rsidP="002004C8">
            <w:pPr>
              <w:cnfStyle w:val="000000000000" w:firstRow="0" w:lastRow="0" w:firstColumn="0" w:lastColumn="0" w:oddVBand="0" w:evenVBand="0" w:oddHBand="0" w:evenHBand="0" w:firstRowFirstColumn="0" w:firstRowLastColumn="0" w:lastRowFirstColumn="0" w:lastRowLastColumn="0"/>
            </w:pPr>
          </w:p>
        </w:tc>
        <w:tc>
          <w:tcPr>
            <w:tcW w:w="0" w:type="auto"/>
            <w:hideMark/>
          </w:tcPr>
          <w:p w14:paraId="7D27C179" w14:textId="77777777" w:rsidR="002004C8" w:rsidRPr="002004C8" w:rsidRDefault="002004C8" w:rsidP="002004C8">
            <w:pPr>
              <w:cnfStyle w:val="000000000000" w:firstRow="0" w:lastRow="0" w:firstColumn="0" w:lastColumn="0" w:oddVBand="0" w:evenVBand="0" w:oddHBand="0" w:evenHBand="0" w:firstRowFirstColumn="0" w:firstRowLastColumn="0" w:lastRowFirstColumn="0" w:lastRowLastColumn="0"/>
            </w:pPr>
            <w:r w:rsidRPr="002004C8">
              <w:rPr>
                <w:b/>
                <w:bCs/>
              </w:rPr>
              <w:t>Évaluation globale du risque</w:t>
            </w:r>
          </w:p>
        </w:tc>
        <w:tc>
          <w:tcPr>
            <w:tcW w:w="2955" w:type="dxa"/>
            <w:hideMark/>
          </w:tcPr>
          <w:p w14:paraId="7936345E" w14:textId="77777777" w:rsidR="002004C8" w:rsidRPr="002004C8" w:rsidRDefault="002004C8" w:rsidP="002004C8">
            <w:pPr>
              <w:cnfStyle w:val="000000000000" w:firstRow="0" w:lastRow="0" w:firstColumn="0" w:lastColumn="0" w:oddVBand="0" w:evenVBand="0" w:oddHBand="0" w:evenHBand="0" w:firstRowFirstColumn="0" w:firstRowLastColumn="0" w:lastRowFirstColumn="0" w:lastRowLastColumn="0"/>
            </w:pPr>
            <w:r w:rsidRPr="002004C8">
              <w:t>La combinaison d’une probabilité occasionnelle et d’une gravité faible conduit à un risque global faible, limité spatialement et maîtrisable par une bonne organisation de la collecte.</w:t>
            </w:r>
          </w:p>
        </w:tc>
        <w:tc>
          <w:tcPr>
            <w:tcW w:w="985" w:type="dxa"/>
            <w:hideMark/>
          </w:tcPr>
          <w:p w14:paraId="2F83EC44" w14:textId="77777777" w:rsidR="002004C8" w:rsidRPr="002004C8" w:rsidRDefault="002004C8" w:rsidP="002004C8">
            <w:pPr>
              <w:cnfStyle w:val="000000000000" w:firstRow="0" w:lastRow="0" w:firstColumn="0" w:lastColumn="0" w:oddVBand="0" w:evenVBand="0" w:oddHBand="0" w:evenHBand="0" w:firstRowFirstColumn="0" w:firstRowLastColumn="0" w:lastRowFirstColumn="0" w:lastRowLastColumn="0"/>
            </w:pPr>
            <w:r w:rsidRPr="002004C8">
              <w:t>Faible</w:t>
            </w:r>
          </w:p>
        </w:tc>
      </w:tr>
    </w:tbl>
    <w:p w14:paraId="1A3CD134" w14:textId="77777777" w:rsidR="00685D07" w:rsidRDefault="00685D07" w:rsidP="00685D07">
      <w:pPr>
        <w:sectPr w:rsidR="00685D07" w:rsidSect="00685D07">
          <w:headerReference w:type="default" r:id="rId128"/>
          <w:footerReference w:type="default" r:id="rId129"/>
          <w:pgSz w:w="11906" w:h="16838"/>
          <w:pgMar w:top="1418" w:right="1418" w:bottom="1276" w:left="1418" w:header="680" w:footer="680" w:gutter="0"/>
          <w:cols w:space="708"/>
          <w:docGrid w:linePitch="360"/>
        </w:sectPr>
      </w:pPr>
    </w:p>
    <w:p w14:paraId="2A328046" w14:textId="77777777" w:rsidR="00685D07" w:rsidRDefault="00685D07" w:rsidP="004637C7">
      <w:pPr>
        <w:pStyle w:val="Title5"/>
      </w:pPr>
      <w:r>
        <w:lastRenderedPageBreak/>
        <w:t>Mesures d’atténuation</w:t>
      </w:r>
    </w:p>
    <w:p w14:paraId="6E6FC2BC" w14:textId="0DC174C6" w:rsidR="00685D07" w:rsidRPr="002A0860" w:rsidRDefault="00685D07" w:rsidP="00685D07">
      <w:pPr>
        <w:pStyle w:val="Lgende"/>
        <w:spacing w:before="120" w:after="0"/>
        <w:rPr>
          <w:rFonts w:eastAsia="Carlito"/>
          <w:b w:val="0"/>
          <w:bCs w:val="0"/>
          <w:lang w:val="fr-FR"/>
        </w:rPr>
      </w:pPr>
      <w:bookmarkStart w:id="444" w:name="_Toc213404376"/>
      <w:r w:rsidRPr="002A0860">
        <w:rPr>
          <w:lang w:val="fr-FR"/>
        </w:rPr>
        <w:t xml:space="preserve">Tableau </w:t>
      </w:r>
      <w:r>
        <w:fldChar w:fldCharType="begin"/>
      </w:r>
      <w:r w:rsidRPr="002A0860">
        <w:rPr>
          <w:lang w:val="fr-FR"/>
        </w:rPr>
        <w:instrText xml:space="preserve"> SEQ Tableau \* ARABIC </w:instrText>
      </w:r>
      <w:r>
        <w:fldChar w:fldCharType="separate"/>
      </w:r>
      <w:r w:rsidR="00274E71">
        <w:rPr>
          <w:noProof/>
          <w:lang w:val="fr-FR"/>
        </w:rPr>
        <w:t>54</w:t>
      </w:r>
      <w:r>
        <w:fldChar w:fldCharType="end"/>
      </w:r>
      <w:r>
        <w:rPr>
          <w:noProof/>
          <w:lang w:val="fr-FR"/>
        </w:rPr>
        <w:t xml:space="preserve">: </w:t>
      </w:r>
      <w:r w:rsidR="00E5580F">
        <w:rPr>
          <w:noProof/>
          <w:lang w:val="fr-FR" w:eastAsia="zh-CN"/>
        </w:rPr>
        <w:t>D</w:t>
      </w:r>
      <w:r w:rsidR="00E5580F" w:rsidRPr="0003486A">
        <w:rPr>
          <w:noProof/>
          <w:lang w:val="fr-FR"/>
        </w:rPr>
        <w:t xml:space="preserve">échets dangereux et non dangereux et matières dangereuses </w:t>
      </w:r>
      <w:r w:rsidRPr="002A0860">
        <w:rPr>
          <w:rFonts w:eastAsia="Carlito"/>
          <w:lang w:val="fr-FR"/>
        </w:rPr>
        <w:t>–</w:t>
      </w:r>
      <w:r w:rsidRPr="002A0860">
        <w:rPr>
          <w:rFonts w:eastAsia="Carlito"/>
          <w:spacing w:val="12"/>
          <w:lang w:val="fr-FR"/>
        </w:rPr>
        <w:t xml:space="preserve"> </w:t>
      </w:r>
      <w:r w:rsidRPr="002A0860">
        <w:rPr>
          <w:rFonts w:eastAsia="Carlito"/>
          <w:lang w:val="fr-FR"/>
        </w:rPr>
        <w:t>Mesures</w:t>
      </w:r>
      <w:r w:rsidRPr="002A0860">
        <w:rPr>
          <w:rFonts w:eastAsia="Carlito"/>
          <w:spacing w:val="14"/>
          <w:lang w:val="fr-FR"/>
        </w:rPr>
        <w:t xml:space="preserve"> </w:t>
      </w:r>
      <w:r w:rsidRPr="002A0860">
        <w:rPr>
          <w:rFonts w:eastAsia="Carlito"/>
          <w:lang w:val="fr-FR"/>
        </w:rPr>
        <w:t>d’atténuation</w:t>
      </w:r>
      <w:r w:rsidRPr="002A0860">
        <w:rPr>
          <w:rFonts w:eastAsia="Carlito"/>
          <w:spacing w:val="13"/>
          <w:lang w:val="fr-FR"/>
        </w:rPr>
        <w:t xml:space="preserve"> </w:t>
      </w:r>
      <w:r w:rsidRPr="002A0860">
        <w:rPr>
          <w:rFonts w:eastAsia="Carlito"/>
          <w:lang w:val="fr-FR"/>
        </w:rPr>
        <w:t>en</w:t>
      </w:r>
      <w:r w:rsidRPr="002A0860">
        <w:rPr>
          <w:rFonts w:eastAsia="Carlito"/>
          <w:spacing w:val="14"/>
          <w:lang w:val="fr-FR"/>
        </w:rPr>
        <w:t xml:space="preserve"> </w:t>
      </w:r>
      <w:r w:rsidRPr="002A0860">
        <w:rPr>
          <w:rFonts w:eastAsia="Carlito"/>
          <w:lang w:val="fr-FR"/>
        </w:rPr>
        <w:t>phase</w:t>
      </w:r>
      <w:r w:rsidRPr="002A0860">
        <w:rPr>
          <w:rFonts w:eastAsia="Carlito"/>
          <w:spacing w:val="13"/>
          <w:lang w:val="fr-FR"/>
        </w:rPr>
        <w:t xml:space="preserve"> </w:t>
      </w:r>
      <w:r w:rsidRPr="002A0860">
        <w:rPr>
          <w:rFonts w:eastAsia="Carlito"/>
          <w:spacing w:val="-2"/>
          <w:lang w:val="fr-FR"/>
        </w:rPr>
        <w:t>d’exploitation</w:t>
      </w:r>
      <w:bookmarkEnd w:id="444"/>
    </w:p>
    <w:tbl>
      <w:tblPr>
        <w:tblStyle w:val="TableauGrille1Clair-Accentuation111"/>
        <w:tblW w:w="0" w:type="auto"/>
        <w:tblLook w:val="04A0" w:firstRow="1" w:lastRow="0" w:firstColumn="1" w:lastColumn="0" w:noHBand="0" w:noVBand="1"/>
      </w:tblPr>
      <w:tblGrid>
        <w:gridCol w:w="1748"/>
        <w:gridCol w:w="1360"/>
        <w:gridCol w:w="1981"/>
        <w:gridCol w:w="1505"/>
        <w:gridCol w:w="1616"/>
        <w:gridCol w:w="1340"/>
        <w:gridCol w:w="717"/>
        <w:gridCol w:w="1398"/>
        <w:gridCol w:w="2469"/>
      </w:tblGrid>
      <w:tr w:rsidR="006A1231" w:rsidRPr="00CA63D5" w14:paraId="03926A49" w14:textId="3AD16131" w:rsidTr="00D60FC9">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0" w:type="auto"/>
            <w:hideMark/>
          </w:tcPr>
          <w:p w14:paraId="525FBCDC" w14:textId="77777777" w:rsidR="00B9493B" w:rsidRPr="004637C7" w:rsidRDefault="00B9493B" w:rsidP="00B9493B">
            <w:pPr>
              <w:spacing w:before="0" w:after="0" w:line="240" w:lineRule="auto"/>
              <w:jc w:val="center"/>
              <w:rPr>
                <w:rFonts w:asciiTheme="minorHAnsi" w:hAnsiTheme="minorHAnsi" w:cstheme="minorHAnsi"/>
                <w:szCs w:val="20"/>
                <w:lang w:eastAsia="fr-FR" w:bidi="ar-SA"/>
              </w:rPr>
            </w:pPr>
            <w:r w:rsidRPr="004637C7">
              <w:rPr>
                <w:rFonts w:asciiTheme="minorHAnsi" w:hAnsiTheme="minorHAnsi" w:cstheme="minorHAnsi"/>
                <w:szCs w:val="20"/>
                <w:lang w:eastAsia="fr-FR" w:bidi="ar-SA"/>
              </w:rPr>
              <w:t>Impact ou Risque</w:t>
            </w:r>
          </w:p>
        </w:tc>
        <w:tc>
          <w:tcPr>
            <w:tcW w:w="1360" w:type="dxa"/>
            <w:hideMark/>
          </w:tcPr>
          <w:p w14:paraId="3DDD2B79" w14:textId="77777777" w:rsidR="00B9493B" w:rsidRPr="004637C7" w:rsidRDefault="00B9493B" w:rsidP="00B9493B">
            <w:pPr>
              <w:spacing w:before="0"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sidRPr="004637C7">
              <w:rPr>
                <w:rFonts w:asciiTheme="minorHAnsi" w:hAnsiTheme="minorHAnsi" w:cstheme="minorHAnsi"/>
                <w:szCs w:val="20"/>
                <w:lang w:eastAsia="fr-FR" w:bidi="ar-SA"/>
              </w:rPr>
              <w:t>Niveau d’atténuation</w:t>
            </w:r>
          </w:p>
        </w:tc>
        <w:tc>
          <w:tcPr>
            <w:tcW w:w="1981" w:type="dxa"/>
            <w:hideMark/>
          </w:tcPr>
          <w:p w14:paraId="68D99BD8" w14:textId="77777777" w:rsidR="00B9493B" w:rsidRPr="004637C7" w:rsidRDefault="00B9493B" w:rsidP="00B9493B">
            <w:pPr>
              <w:spacing w:before="0"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sidRPr="004637C7">
              <w:rPr>
                <w:rFonts w:asciiTheme="minorHAnsi" w:hAnsiTheme="minorHAnsi" w:cstheme="minorHAnsi"/>
                <w:szCs w:val="20"/>
                <w:lang w:eastAsia="fr-FR" w:bidi="ar-SA"/>
              </w:rPr>
              <w:t>Mesure d’atténuation / de gestion</w:t>
            </w:r>
          </w:p>
        </w:tc>
        <w:tc>
          <w:tcPr>
            <w:tcW w:w="1505" w:type="dxa"/>
            <w:hideMark/>
          </w:tcPr>
          <w:p w14:paraId="7F3C93F8" w14:textId="77777777" w:rsidR="00B9493B" w:rsidRPr="004637C7" w:rsidRDefault="00B9493B" w:rsidP="00B9493B">
            <w:pPr>
              <w:spacing w:before="0"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sidRPr="004637C7">
              <w:rPr>
                <w:rFonts w:asciiTheme="minorHAnsi" w:hAnsiTheme="minorHAnsi" w:cstheme="minorHAnsi"/>
                <w:szCs w:val="20"/>
                <w:lang w:eastAsia="fr-FR" w:bidi="ar-SA"/>
              </w:rPr>
              <w:t>Indicateurs de performance (KPI)</w:t>
            </w:r>
          </w:p>
        </w:tc>
        <w:tc>
          <w:tcPr>
            <w:tcW w:w="0" w:type="auto"/>
          </w:tcPr>
          <w:p w14:paraId="0E93FFED" w14:textId="50CE886B" w:rsidR="00B9493B" w:rsidRPr="00CA63D5" w:rsidRDefault="00B9493B" w:rsidP="00B9493B">
            <w:pPr>
              <w:spacing w:before="0"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szCs w:val="20"/>
                <w:lang w:eastAsia="fr-FR" w:bidi="ar-SA"/>
              </w:rPr>
            </w:pPr>
            <w:r w:rsidRPr="004946D8">
              <w:rPr>
                <w:rFonts w:asciiTheme="minorHAnsi" w:hAnsiTheme="minorHAnsi" w:cstheme="minorHAnsi"/>
                <w:szCs w:val="20"/>
                <w:lang w:eastAsia="fr-FR" w:bidi="ar-SA"/>
              </w:rPr>
              <w:t>Mise en œuvre</w:t>
            </w:r>
          </w:p>
        </w:tc>
        <w:tc>
          <w:tcPr>
            <w:tcW w:w="0" w:type="auto"/>
          </w:tcPr>
          <w:p w14:paraId="6E9D318F" w14:textId="1E5446E4" w:rsidR="00B9493B" w:rsidRPr="00CA63D5" w:rsidRDefault="00B9493B" w:rsidP="00B9493B">
            <w:pPr>
              <w:spacing w:before="0"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szCs w:val="20"/>
                <w:lang w:eastAsia="fr-FR" w:bidi="ar-SA"/>
              </w:rPr>
            </w:pPr>
            <w:r w:rsidRPr="004946D8">
              <w:rPr>
                <w:rFonts w:asciiTheme="minorHAnsi" w:hAnsiTheme="minorHAnsi" w:cstheme="minorHAnsi"/>
                <w:szCs w:val="20"/>
                <w:lang w:eastAsia="fr-FR" w:bidi="ar-SA"/>
              </w:rPr>
              <w:t>Surveillance</w:t>
            </w:r>
          </w:p>
        </w:tc>
        <w:tc>
          <w:tcPr>
            <w:tcW w:w="0" w:type="auto"/>
          </w:tcPr>
          <w:p w14:paraId="2BB3D103" w14:textId="22306063" w:rsidR="00B9493B" w:rsidRPr="00CA63D5" w:rsidRDefault="00B9493B" w:rsidP="00B9493B">
            <w:pPr>
              <w:spacing w:before="0"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szCs w:val="20"/>
                <w:lang w:eastAsia="fr-FR" w:bidi="ar-SA"/>
              </w:rPr>
            </w:pPr>
            <w:r w:rsidRPr="004946D8">
              <w:rPr>
                <w:rFonts w:asciiTheme="minorHAnsi" w:hAnsiTheme="minorHAnsi" w:cstheme="minorHAnsi"/>
                <w:szCs w:val="20"/>
                <w:lang w:eastAsia="fr-FR" w:bidi="ar-SA"/>
              </w:rPr>
              <w:t>Suivi</w:t>
            </w:r>
          </w:p>
        </w:tc>
        <w:tc>
          <w:tcPr>
            <w:tcW w:w="0" w:type="auto"/>
          </w:tcPr>
          <w:p w14:paraId="186D0DBD" w14:textId="6FB92848" w:rsidR="00B9493B" w:rsidRPr="00CA63D5" w:rsidRDefault="00B9493B" w:rsidP="00B9493B">
            <w:pPr>
              <w:spacing w:before="0"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szCs w:val="20"/>
                <w:lang w:eastAsia="fr-FR" w:bidi="ar-SA"/>
              </w:rPr>
            </w:pPr>
            <w:r w:rsidRPr="004946D8">
              <w:rPr>
                <w:rFonts w:asciiTheme="minorHAnsi" w:hAnsiTheme="minorHAnsi" w:cstheme="minorHAnsi"/>
                <w:szCs w:val="20"/>
                <w:lang w:eastAsia="fr-FR" w:bidi="ar-SA"/>
              </w:rPr>
              <w:t>Calendrier</w:t>
            </w:r>
          </w:p>
        </w:tc>
        <w:tc>
          <w:tcPr>
            <w:tcW w:w="0" w:type="auto"/>
          </w:tcPr>
          <w:p w14:paraId="0D8A553E" w14:textId="2D4B45D9" w:rsidR="00B9493B" w:rsidRPr="00CA63D5" w:rsidRDefault="00B9493B" w:rsidP="00B9493B">
            <w:pPr>
              <w:spacing w:before="0"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szCs w:val="20"/>
                <w:lang w:eastAsia="fr-FR" w:bidi="ar-SA"/>
              </w:rPr>
            </w:pPr>
            <w:r w:rsidRPr="004946D8">
              <w:rPr>
                <w:rFonts w:asciiTheme="minorHAnsi" w:hAnsiTheme="minorHAnsi" w:cstheme="minorHAnsi"/>
                <w:szCs w:val="20"/>
                <w:lang w:eastAsia="fr-FR" w:bidi="ar-SA"/>
              </w:rPr>
              <w:t>Coût</w:t>
            </w:r>
          </w:p>
        </w:tc>
      </w:tr>
      <w:tr w:rsidR="006A1231" w:rsidRPr="006F74CC" w14:paraId="4D5DBF47" w14:textId="0EF4E718" w:rsidTr="00D60FC9">
        <w:tc>
          <w:tcPr>
            <w:cnfStyle w:val="001000000000" w:firstRow="0" w:lastRow="0" w:firstColumn="1" w:lastColumn="0" w:oddVBand="0" w:evenVBand="0" w:oddHBand="0" w:evenHBand="0" w:firstRowFirstColumn="0" w:firstRowLastColumn="0" w:lastRowFirstColumn="0" w:lastRowLastColumn="0"/>
            <w:tcW w:w="0" w:type="auto"/>
            <w:vMerge w:val="restart"/>
            <w:hideMark/>
          </w:tcPr>
          <w:p w14:paraId="23042672" w14:textId="77777777" w:rsidR="006A1231" w:rsidRPr="004637C7" w:rsidRDefault="006A1231" w:rsidP="006A1231">
            <w:pPr>
              <w:spacing w:before="0" w:after="0" w:line="240" w:lineRule="auto"/>
              <w:jc w:val="left"/>
              <w:rPr>
                <w:rFonts w:asciiTheme="minorHAnsi" w:hAnsiTheme="minorHAnsi" w:cstheme="minorHAnsi"/>
                <w:szCs w:val="20"/>
                <w:lang w:eastAsia="fr-FR" w:bidi="ar-SA"/>
              </w:rPr>
            </w:pPr>
            <w:r w:rsidRPr="004637C7">
              <w:rPr>
                <w:rFonts w:asciiTheme="minorHAnsi" w:hAnsiTheme="minorHAnsi" w:cstheme="minorHAnsi"/>
                <w:szCs w:val="20"/>
                <w:lang w:eastAsia="fr-FR" w:bidi="ar-SA"/>
              </w:rPr>
              <w:t>Accumulation temporaire de déchets solides non dangereux (aspect visuel et hygiénique)</w:t>
            </w:r>
          </w:p>
        </w:tc>
        <w:tc>
          <w:tcPr>
            <w:tcW w:w="1360" w:type="dxa"/>
            <w:hideMark/>
          </w:tcPr>
          <w:p w14:paraId="7143B888" w14:textId="77777777" w:rsidR="006A1231" w:rsidRPr="004637C7" w:rsidRDefault="006A1231" w:rsidP="006A1231">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sidRPr="004637C7">
              <w:rPr>
                <w:rFonts w:asciiTheme="minorHAnsi" w:hAnsiTheme="minorHAnsi" w:cstheme="minorHAnsi"/>
                <w:szCs w:val="20"/>
                <w:lang w:eastAsia="fr-FR" w:bidi="ar-SA"/>
              </w:rPr>
              <w:t>Réduire</w:t>
            </w:r>
          </w:p>
        </w:tc>
        <w:tc>
          <w:tcPr>
            <w:tcW w:w="1981" w:type="dxa"/>
            <w:hideMark/>
          </w:tcPr>
          <w:p w14:paraId="4E0B206F" w14:textId="77777777" w:rsidR="006A1231" w:rsidRPr="004637C7" w:rsidRDefault="006A1231" w:rsidP="006A1231">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sidRPr="004637C7">
              <w:rPr>
                <w:rFonts w:asciiTheme="minorHAnsi" w:hAnsiTheme="minorHAnsi" w:cstheme="minorHAnsi"/>
                <w:szCs w:val="20"/>
                <w:lang w:eastAsia="fr-FR" w:bidi="ar-SA"/>
              </w:rPr>
              <w:t>Mettre en place un système de collecte sélective avec bacs identifiés, couverts et entretenus quotidiennement dans toutes les zones d’exploitation.</w:t>
            </w:r>
          </w:p>
        </w:tc>
        <w:tc>
          <w:tcPr>
            <w:tcW w:w="1505" w:type="dxa"/>
            <w:hideMark/>
          </w:tcPr>
          <w:p w14:paraId="1BE812E0" w14:textId="77777777" w:rsidR="006A1231" w:rsidRPr="004637C7" w:rsidRDefault="006A1231" w:rsidP="006A1231">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sidRPr="004637C7">
              <w:rPr>
                <w:rFonts w:asciiTheme="minorHAnsi" w:hAnsiTheme="minorHAnsi" w:cstheme="minorHAnsi"/>
                <w:szCs w:val="20"/>
                <w:lang w:eastAsia="fr-FR" w:bidi="ar-SA"/>
              </w:rPr>
              <w:t>% de bacs couverts opérationnels ; fréquence moyenne de collecte (jours/semaine) ; nombre d’incidents de débordement</w:t>
            </w:r>
          </w:p>
        </w:tc>
        <w:tc>
          <w:tcPr>
            <w:tcW w:w="0" w:type="auto"/>
          </w:tcPr>
          <w:p w14:paraId="1BA5BB4D" w14:textId="784FD02A" w:rsidR="006A1231" w:rsidRPr="00CA63D5" w:rsidRDefault="006A1231" w:rsidP="006A1231">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sidRPr="00F247B0">
              <w:rPr>
                <w:rFonts w:asciiTheme="minorHAnsi" w:hAnsiTheme="minorHAnsi" w:cstheme="minorHAnsi"/>
                <w:szCs w:val="20"/>
              </w:rPr>
              <w:t>ONDA</w:t>
            </w:r>
            <w:r>
              <w:rPr>
                <w:rFonts w:asciiTheme="minorHAnsi" w:hAnsiTheme="minorHAnsi" w:cstheme="minorHAnsi"/>
                <w:szCs w:val="20"/>
              </w:rPr>
              <w:t>/Exploitant</w:t>
            </w:r>
          </w:p>
        </w:tc>
        <w:tc>
          <w:tcPr>
            <w:tcW w:w="0" w:type="auto"/>
          </w:tcPr>
          <w:p w14:paraId="072B083C" w14:textId="247DEB0E" w:rsidR="006A1231" w:rsidRPr="00CA63D5" w:rsidRDefault="006A1231" w:rsidP="006A1231">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Pr>
                <w:rFonts w:asciiTheme="minorHAnsi" w:hAnsiTheme="minorHAnsi" w:cstheme="minorHAnsi"/>
                <w:szCs w:val="20"/>
              </w:rPr>
              <w:t>ONDA</w:t>
            </w:r>
          </w:p>
        </w:tc>
        <w:tc>
          <w:tcPr>
            <w:tcW w:w="0" w:type="auto"/>
          </w:tcPr>
          <w:p w14:paraId="68A3D2D0" w14:textId="6AABD847" w:rsidR="006A1231" w:rsidRPr="00CA63D5" w:rsidRDefault="006A1231" w:rsidP="006A1231">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sidRPr="00F247B0">
              <w:rPr>
                <w:rFonts w:asciiTheme="minorHAnsi" w:hAnsiTheme="minorHAnsi" w:cstheme="minorHAnsi"/>
                <w:szCs w:val="20"/>
              </w:rPr>
              <w:t>ONDA</w:t>
            </w:r>
          </w:p>
        </w:tc>
        <w:tc>
          <w:tcPr>
            <w:tcW w:w="0" w:type="auto"/>
          </w:tcPr>
          <w:p w14:paraId="778AA00B" w14:textId="0DE97C24" w:rsidR="006A1231" w:rsidRPr="00CA63D5" w:rsidRDefault="006A1231" w:rsidP="006A1231">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Pr>
                <w:rFonts w:asciiTheme="minorHAnsi" w:hAnsiTheme="minorHAnsi" w:cstheme="minorHAnsi"/>
                <w:szCs w:val="20"/>
                <w:lang w:eastAsia="fr-FR" w:bidi="ar-SA"/>
              </w:rPr>
              <w:t>Tout au long de la phase d’exploitation</w:t>
            </w:r>
          </w:p>
        </w:tc>
        <w:tc>
          <w:tcPr>
            <w:tcW w:w="0" w:type="auto"/>
          </w:tcPr>
          <w:p w14:paraId="645246B4" w14:textId="1A9D725D" w:rsidR="006A1231" w:rsidRPr="00D60FC9" w:rsidRDefault="00930E01" w:rsidP="006A1231">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val="en-US" w:eastAsia="fr-FR" w:bidi="ar-SA"/>
              </w:rPr>
            </w:pPr>
            <w:r w:rsidRPr="00D60FC9">
              <w:rPr>
                <w:rFonts w:asciiTheme="minorHAnsi" w:hAnsiTheme="minorHAnsi" w:cstheme="minorHAnsi"/>
                <w:szCs w:val="20"/>
                <w:lang w:val="en-US"/>
              </w:rPr>
              <w:t>600 – 800 MAD /bac (PEHD 240 L) + 50 MAD/bac/semaine (nettoyage)</w:t>
            </w:r>
          </w:p>
        </w:tc>
      </w:tr>
      <w:tr w:rsidR="006A1231" w:rsidRPr="00CA63D5" w14:paraId="63A3994D" w14:textId="436F5011" w:rsidTr="00D60FC9">
        <w:tc>
          <w:tcPr>
            <w:cnfStyle w:val="001000000000" w:firstRow="0" w:lastRow="0" w:firstColumn="1" w:lastColumn="0" w:oddVBand="0" w:evenVBand="0" w:oddHBand="0" w:evenHBand="0" w:firstRowFirstColumn="0" w:firstRowLastColumn="0" w:lastRowFirstColumn="0" w:lastRowLastColumn="0"/>
            <w:tcW w:w="0" w:type="auto"/>
            <w:vMerge/>
            <w:hideMark/>
          </w:tcPr>
          <w:p w14:paraId="207FE13C" w14:textId="77777777" w:rsidR="006A1231" w:rsidRPr="00D60FC9" w:rsidRDefault="006A1231" w:rsidP="006A1231">
            <w:pPr>
              <w:spacing w:before="0" w:after="0" w:line="240" w:lineRule="auto"/>
              <w:jc w:val="left"/>
              <w:rPr>
                <w:rFonts w:asciiTheme="minorHAnsi" w:hAnsiTheme="minorHAnsi" w:cstheme="minorHAnsi"/>
                <w:szCs w:val="20"/>
                <w:lang w:val="en-US" w:eastAsia="fr-FR" w:bidi="ar-SA"/>
              </w:rPr>
            </w:pPr>
          </w:p>
        </w:tc>
        <w:tc>
          <w:tcPr>
            <w:tcW w:w="1360" w:type="dxa"/>
            <w:hideMark/>
          </w:tcPr>
          <w:p w14:paraId="64F0777D" w14:textId="77777777" w:rsidR="006A1231" w:rsidRPr="004637C7" w:rsidRDefault="006A1231" w:rsidP="006A1231">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sidRPr="004637C7">
              <w:rPr>
                <w:rFonts w:asciiTheme="minorHAnsi" w:hAnsiTheme="minorHAnsi" w:cstheme="minorHAnsi"/>
                <w:szCs w:val="20"/>
                <w:lang w:eastAsia="fr-FR" w:bidi="ar-SA"/>
              </w:rPr>
              <w:t>Atténuer</w:t>
            </w:r>
          </w:p>
        </w:tc>
        <w:tc>
          <w:tcPr>
            <w:tcW w:w="1981" w:type="dxa"/>
            <w:hideMark/>
          </w:tcPr>
          <w:p w14:paraId="7824D531" w14:textId="77777777" w:rsidR="006A1231" w:rsidRPr="004637C7" w:rsidRDefault="006A1231" w:rsidP="006A1231">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sidRPr="004637C7">
              <w:rPr>
                <w:rFonts w:asciiTheme="minorHAnsi" w:hAnsiTheme="minorHAnsi" w:cstheme="minorHAnsi"/>
                <w:szCs w:val="20"/>
                <w:lang w:eastAsia="fr-FR" w:bidi="ar-SA"/>
              </w:rPr>
              <w:t>Assurer le tri à la source et la valorisation des déchets recyclables (plastiques, cartons, métaux) via filières agréées.</w:t>
            </w:r>
          </w:p>
        </w:tc>
        <w:tc>
          <w:tcPr>
            <w:tcW w:w="1505" w:type="dxa"/>
            <w:hideMark/>
          </w:tcPr>
          <w:p w14:paraId="3813B063" w14:textId="77777777" w:rsidR="006A1231" w:rsidRPr="004637C7" w:rsidRDefault="006A1231" w:rsidP="006A1231">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sidRPr="004637C7">
              <w:rPr>
                <w:rFonts w:asciiTheme="minorHAnsi" w:hAnsiTheme="minorHAnsi" w:cstheme="minorHAnsi"/>
                <w:szCs w:val="20"/>
                <w:lang w:eastAsia="fr-FR" w:bidi="ar-SA"/>
              </w:rPr>
              <w:t>% de déchets valorisés / total collecté ; nombre de transferts vers filières agréées</w:t>
            </w:r>
          </w:p>
        </w:tc>
        <w:tc>
          <w:tcPr>
            <w:tcW w:w="0" w:type="auto"/>
          </w:tcPr>
          <w:p w14:paraId="207C9136" w14:textId="622F4798" w:rsidR="006A1231" w:rsidRPr="00CA63D5" w:rsidRDefault="006A1231" w:rsidP="006A1231">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sidRPr="00F247B0">
              <w:rPr>
                <w:rFonts w:asciiTheme="minorHAnsi" w:hAnsiTheme="minorHAnsi" w:cstheme="minorHAnsi"/>
                <w:szCs w:val="20"/>
              </w:rPr>
              <w:t>ONDA</w:t>
            </w:r>
            <w:r>
              <w:rPr>
                <w:rFonts w:asciiTheme="minorHAnsi" w:hAnsiTheme="minorHAnsi" w:cstheme="minorHAnsi"/>
                <w:szCs w:val="20"/>
              </w:rPr>
              <w:t>/Exploitant</w:t>
            </w:r>
          </w:p>
        </w:tc>
        <w:tc>
          <w:tcPr>
            <w:tcW w:w="0" w:type="auto"/>
          </w:tcPr>
          <w:p w14:paraId="069F933D" w14:textId="168E2950" w:rsidR="006A1231" w:rsidRPr="00CA63D5" w:rsidRDefault="006A1231" w:rsidP="006A1231">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Pr>
                <w:rFonts w:asciiTheme="minorHAnsi" w:hAnsiTheme="minorHAnsi" w:cstheme="minorHAnsi"/>
                <w:szCs w:val="20"/>
              </w:rPr>
              <w:t>ONDA</w:t>
            </w:r>
          </w:p>
        </w:tc>
        <w:tc>
          <w:tcPr>
            <w:tcW w:w="0" w:type="auto"/>
          </w:tcPr>
          <w:p w14:paraId="4DB83A9D" w14:textId="34F48F85" w:rsidR="006A1231" w:rsidRPr="00CA63D5" w:rsidRDefault="006A1231" w:rsidP="006A1231">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sidRPr="00F247B0">
              <w:rPr>
                <w:rFonts w:asciiTheme="minorHAnsi" w:hAnsiTheme="minorHAnsi" w:cstheme="minorHAnsi"/>
                <w:szCs w:val="20"/>
              </w:rPr>
              <w:t>ONDA</w:t>
            </w:r>
          </w:p>
        </w:tc>
        <w:tc>
          <w:tcPr>
            <w:tcW w:w="0" w:type="auto"/>
          </w:tcPr>
          <w:p w14:paraId="2C39AFEF" w14:textId="6346E6FD" w:rsidR="006A1231" w:rsidRPr="00CA63D5" w:rsidRDefault="006A1231" w:rsidP="006A1231">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Pr>
                <w:rFonts w:asciiTheme="minorHAnsi" w:hAnsiTheme="minorHAnsi" w:cstheme="minorHAnsi"/>
                <w:szCs w:val="20"/>
                <w:lang w:eastAsia="fr-FR" w:bidi="ar-SA"/>
              </w:rPr>
              <w:t>Tout au long de la phase d’exploitation</w:t>
            </w:r>
          </w:p>
        </w:tc>
        <w:tc>
          <w:tcPr>
            <w:tcW w:w="0" w:type="auto"/>
          </w:tcPr>
          <w:p w14:paraId="205F6C80" w14:textId="25392AB6" w:rsidR="006A1231" w:rsidRPr="00CA63D5" w:rsidRDefault="00930E01" w:rsidP="006A1231">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sidRPr="00930E01">
              <w:rPr>
                <w:rFonts w:asciiTheme="minorHAnsi" w:hAnsiTheme="minorHAnsi" w:cstheme="minorHAnsi"/>
                <w:szCs w:val="20"/>
              </w:rPr>
              <w:t xml:space="preserve">200 </w:t>
            </w:r>
            <w:r>
              <w:rPr>
                <w:rFonts w:asciiTheme="minorHAnsi" w:hAnsiTheme="minorHAnsi" w:cstheme="minorHAnsi"/>
                <w:szCs w:val="20"/>
              </w:rPr>
              <w:t>MAD</w:t>
            </w:r>
            <w:r w:rsidRPr="00930E01">
              <w:rPr>
                <w:rFonts w:asciiTheme="minorHAnsi" w:hAnsiTheme="minorHAnsi" w:cstheme="minorHAnsi"/>
                <w:szCs w:val="20"/>
              </w:rPr>
              <w:t>/tonne (collecte et tri)</w:t>
            </w:r>
          </w:p>
        </w:tc>
      </w:tr>
      <w:tr w:rsidR="00930E01" w:rsidRPr="00CA63D5" w14:paraId="03F4C392" w14:textId="07D2398E" w:rsidTr="00D60FC9">
        <w:tc>
          <w:tcPr>
            <w:cnfStyle w:val="001000000000" w:firstRow="0" w:lastRow="0" w:firstColumn="1" w:lastColumn="0" w:oddVBand="0" w:evenVBand="0" w:oddHBand="0" w:evenHBand="0" w:firstRowFirstColumn="0" w:firstRowLastColumn="0" w:lastRowFirstColumn="0" w:lastRowLastColumn="0"/>
            <w:tcW w:w="0" w:type="auto"/>
            <w:vMerge/>
            <w:hideMark/>
          </w:tcPr>
          <w:p w14:paraId="163D0028" w14:textId="77777777" w:rsidR="00930E01" w:rsidRPr="004637C7" w:rsidRDefault="00930E01" w:rsidP="00930E01">
            <w:pPr>
              <w:spacing w:before="0" w:after="0" w:line="240" w:lineRule="auto"/>
              <w:jc w:val="left"/>
              <w:rPr>
                <w:rFonts w:asciiTheme="minorHAnsi" w:hAnsiTheme="minorHAnsi" w:cstheme="minorHAnsi"/>
                <w:szCs w:val="20"/>
                <w:lang w:eastAsia="fr-FR" w:bidi="ar-SA"/>
              </w:rPr>
            </w:pPr>
          </w:p>
        </w:tc>
        <w:tc>
          <w:tcPr>
            <w:tcW w:w="1360" w:type="dxa"/>
            <w:hideMark/>
          </w:tcPr>
          <w:p w14:paraId="3D3BC890" w14:textId="77777777" w:rsidR="00930E01" w:rsidRPr="004637C7" w:rsidRDefault="00930E01" w:rsidP="00930E01">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sidRPr="004637C7">
              <w:rPr>
                <w:rFonts w:asciiTheme="minorHAnsi" w:hAnsiTheme="minorHAnsi" w:cstheme="minorHAnsi"/>
                <w:szCs w:val="20"/>
                <w:lang w:eastAsia="fr-FR" w:bidi="ar-SA"/>
              </w:rPr>
              <w:t>Atténuer</w:t>
            </w:r>
          </w:p>
        </w:tc>
        <w:tc>
          <w:tcPr>
            <w:tcW w:w="1981" w:type="dxa"/>
            <w:hideMark/>
          </w:tcPr>
          <w:p w14:paraId="398A0179" w14:textId="77777777" w:rsidR="00930E01" w:rsidRPr="004637C7" w:rsidRDefault="00930E01" w:rsidP="00930E01">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sidRPr="004637C7">
              <w:rPr>
                <w:rFonts w:asciiTheme="minorHAnsi" w:hAnsiTheme="minorHAnsi" w:cstheme="minorHAnsi"/>
                <w:szCs w:val="20"/>
                <w:lang w:eastAsia="fr-FR" w:bidi="ar-SA"/>
              </w:rPr>
              <w:t>Tenir un registre de gestion des déchets (type, quantité, destination finale).</w:t>
            </w:r>
          </w:p>
        </w:tc>
        <w:tc>
          <w:tcPr>
            <w:tcW w:w="1505" w:type="dxa"/>
            <w:hideMark/>
          </w:tcPr>
          <w:p w14:paraId="7E674B88" w14:textId="77777777" w:rsidR="00930E01" w:rsidRPr="004637C7" w:rsidRDefault="00930E01" w:rsidP="00930E01">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sidRPr="004637C7">
              <w:rPr>
                <w:rFonts w:asciiTheme="minorHAnsi" w:hAnsiTheme="minorHAnsi" w:cstheme="minorHAnsi"/>
                <w:szCs w:val="20"/>
                <w:lang w:eastAsia="fr-FR" w:bidi="ar-SA"/>
              </w:rPr>
              <w:t>% de registres mis à jour ; conformité documentaire lors des audits</w:t>
            </w:r>
          </w:p>
        </w:tc>
        <w:tc>
          <w:tcPr>
            <w:tcW w:w="0" w:type="auto"/>
          </w:tcPr>
          <w:p w14:paraId="321925AE" w14:textId="3B5E8B5E" w:rsidR="00930E01" w:rsidRPr="00CA63D5" w:rsidRDefault="00930E01" w:rsidP="00930E01">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sidRPr="00F247B0">
              <w:rPr>
                <w:rFonts w:asciiTheme="minorHAnsi" w:hAnsiTheme="minorHAnsi" w:cstheme="minorHAnsi"/>
                <w:szCs w:val="20"/>
              </w:rPr>
              <w:t>ONDA</w:t>
            </w:r>
            <w:r>
              <w:rPr>
                <w:rFonts w:asciiTheme="minorHAnsi" w:hAnsiTheme="minorHAnsi" w:cstheme="minorHAnsi"/>
                <w:szCs w:val="20"/>
              </w:rPr>
              <w:t>/Exploitant</w:t>
            </w:r>
          </w:p>
        </w:tc>
        <w:tc>
          <w:tcPr>
            <w:tcW w:w="0" w:type="auto"/>
          </w:tcPr>
          <w:p w14:paraId="5D43423E" w14:textId="5E1CA0CE" w:rsidR="00930E01" w:rsidRPr="00CA63D5" w:rsidRDefault="00930E01" w:rsidP="00930E01">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Pr>
                <w:rFonts w:asciiTheme="minorHAnsi" w:hAnsiTheme="minorHAnsi" w:cstheme="minorHAnsi"/>
                <w:szCs w:val="20"/>
              </w:rPr>
              <w:t>ONDA</w:t>
            </w:r>
          </w:p>
        </w:tc>
        <w:tc>
          <w:tcPr>
            <w:tcW w:w="0" w:type="auto"/>
          </w:tcPr>
          <w:p w14:paraId="2B1FD86E" w14:textId="501AA6B3" w:rsidR="00930E01" w:rsidRPr="00CA63D5" w:rsidRDefault="00930E01" w:rsidP="00930E01">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sidRPr="00F247B0">
              <w:rPr>
                <w:rFonts w:asciiTheme="minorHAnsi" w:hAnsiTheme="minorHAnsi" w:cstheme="minorHAnsi"/>
                <w:szCs w:val="20"/>
              </w:rPr>
              <w:t>ONDA</w:t>
            </w:r>
          </w:p>
        </w:tc>
        <w:tc>
          <w:tcPr>
            <w:tcW w:w="0" w:type="auto"/>
          </w:tcPr>
          <w:p w14:paraId="12FB320C" w14:textId="6D8B9BD0" w:rsidR="00930E01" w:rsidRPr="00CA63D5" w:rsidRDefault="00930E01" w:rsidP="00930E01">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Pr>
                <w:rFonts w:asciiTheme="minorHAnsi" w:hAnsiTheme="minorHAnsi" w:cstheme="minorHAnsi"/>
                <w:szCs w:val="20"/>
                <w:lang w:eastAsia="fr-FR" w:bidi="ar-SA"/>
              </w:rPr>
              <w:t>Tout au long de la phase d’exploitation</w:t>
            </w:r>
          </w:p>
        </w:tc>
        <w:tc>
          <w:tcPr>
            <w:tcW w:w="0" w:type="auto"/>
          </w:tcPr>
          <w:p w14:paraId="26F6A1E7" w14:textId="1D284230" w:rsidR="00930E01" w:rsidRPr="00CA63D5" w:rsidRDefault="00930E01" w:rsidP="00930E01">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Pr>
                <w:rFonts w:asciiTheme="minorHAnsi" w:hAnsiTheme="minorHAnsi" w:cstheme="minorHAnsi"/>
                <w:szCs w:val="20"/>
              </w:rPr>
              <w:t>Aucun coût spécifique</w:t>
            </w:r>
          </w:p>
        </w:tc>
      </w:tr>
      <w:tr w:rsidR="006A1231" w:rsidRPr="00CA63D5" w14:paraId="594CB638" w14:textId="5EADDFED" w:rsidTr="00D60FC9">
        <w:tc>
          <w:tcPr>
            <w:cnfStyle w:val="001000000000" w:firstRow="0" w:lastRow="0" w:firstColumn="1" w:lastColumn="0" w:oddVBand="0" w:evenVBand="0" w:oddHBand="0" w:evenHBand="0" w:firstRowFirstColumn="0" w:firstRowLastColumn="0" w:lastRowFirstColumn="0" w:lastRowLastColumn="0"/>
            <w:tcW w:w="0" w:type="auto"/>
            <w:vMerge w:val="restart"/>
            <w:hideMark/>
          </w:tcPr>
          <w:p w14:paraId="5FFF62D2" w14:textId="77777777" w:rsidR="006A1231" w:rsidRPr="004637C7" w:rsidRDefault="006A1231" w:rsidP="006A1231">
            <w:pPr>
              <w:spacing w:before="0" w:after="0" w:line="240" w:lineRule="auto"/>
              <w:jc w:val="left"/>
              <w:rPr>
                <w:rFonts w:asciiTheme="minorHAnsi" w:hAnsiTheme="minorHAnsi" w:cstheme="minorHAnsi"/>
                <w:szCs w:val="20"/>
                <w:lang w:eastAsia="fr-FR" w:bidi="ar-SA"/>
              </w:rPr>
            </w:pPr>
            <w:r w:rsidRPr="004637C7">
              <w:rPr>
                <w:rFonts w:asciiTheme="minorHAnsi" w:hAnsiTheme="minorHAnsi" w:cstheme="minorHAnsi"/>
                <w:szCs w:val="20"/>
                <w:lang w:eastAsia="fr-FR" w:bidi="ar-SA"/>
              </w:rPr>
              <w:t>Altération locale du cadre visuel dans les zones techniques</w:t>
            </w:r>
          </w:p>
        </w:tc>
        <w:tc>
          <w:tcPr>
            <w:tcW w:w="1360" w:type="dxa"/>
            <w:hideMark/>
          </w:tcPr>
          <w:p w14:paraId="637F07A0" w14:textId="77777777" w:rsidR="006A1231" w:rsidRPr="004637C7" w:rsidRDefault="006A1231" w:rsidP="006A1231">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sidRPr="004637C7">
              <w:rPr>
                <w:rFonts w:asciiTheme="minorHAnsi" w:hAnsiTheme="minorHAnsi" w:cstheme="minorHAnsi"/>
                <w:szCs w:val="20"/>
                <w:lang w:eastAsia="fr-FR" w:bidi="ar-SA"/>
              </w:rPr>
              <w:t>Réduire</w:t>
            </w:r>
          </w:p>
        </w:tc>
        <w:tc>
          <w:tcPr>
            <w:tcW w:w="1981" w:type="dxa"/>
            <w:hideMark/>
          </w:tcPr>
          <w:p w14:paraId="1B547033" w14:textId="77777777" w:rsidR="006A1231" w:rsidRPr="004637C7" w:rsidRDefault="006A1231" w:rsidP="006A1231">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sidRPr="004637C7">
              <w:rPr>
                <w:rFonts w:asciiTheme="minorHAnsi" w:hAnsiTheme="minorHAnsi" w:cstheme="minorHAnsi"/>
                <w:szCs w:val="20"/>
                <w:lang w:eastAsia="fr-FR" w:bidi="ar-SA"/>
              </w:rPr>
              <w:t>Organiser les zones techniques et d’entreposage pour éviter les accumulations de déchets visibles.</w:t>
            </w:r>
          </w:p>
        </w:tc>
        <w:tc>
          <w:tcPr>
            <w:tcW w:w="1505" w:type="dxa"/>
            <w:hideMark/>
          </w:tcPr>
          <w:p w14:paraId="11611DA9" w14:textId="77777777" w:rsidR="006A1231" w:rsidRPr="004637C7" w:rsidRDefault="006A1231" w:rsidP="006A1231">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sidRPr="004637C7">
              <w:rPr>
                <w:rFonts w:asciiTheme="minorHAnsi" w:hAnsiTheme="minorHAnsi" w:cstheme="minorHAnsi"/>
                <w:szCs w:val="20"/>
                <w:lang w:eastAsia="fr-FR" w:bidi="ar-SA"/>
              </w:rPr>
              <w:t>% de zones conformes aux plans d’ordre et propreté ; résultats d’audits visuels</w:t>
            </w:r>
          </w:p>
        </w:tc>
        <w:tc>
          <w:tcPr>
            <w:tcW w:w="0" w:type="auto"/>
          </w:tcPr>
          <w:p w14:paraId="413EE115" w14:textId="1207D4D1" w:rsidR="006A1231" w:rsidRPr="00CA63D5" w:rsidRDefault="006A1231" w:rsidP="006A1231">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sidRPr="00F247B0">
              <w:rPr>
                <w:rFonts w:asciiTheme="minorHAnsi" w:hAnsiTheme="minorHAnsi" w:cstheme="minorHAnsi"/>
                <w:szCs w:val="20"/>
              </w:rPr>
              <w:t>ONDA</w:t>
            </w:r>
            <w:r>
              <w:rPr>
                <w:rFonts w:asciiTheme="minorHAnsi" w:hAnsiTheme="minorHAnsi" w:cstheme="minorHAnsi"/>
                <w:szCs w:val="20"/>
              </w:rPr>
              <w:t>/Exploitant</w:t>
            </w:r>
          </w:p>
        </w:tc>
        <w:tc>
          <w:tcPr>
            <w:tcW w:w="0" w:type="auto"/>
          </w:tcPr>
          <w:p w14:paraId="5D2BAEC1" w14:textId="5DE0F74B" w:rsidR="006A1231" w:rsidRPr="00CA63D5" w:rsidRDefault="006A1231" w:rsidP="006A1231">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Pr>
                <w:rFonts w:asciiTheme="minorHAnsi" w:hAnsiTheme="minorHAnsi" w:cstheme="minorHAnsi"/>
                <w:szCs w:val="20"/>
              </w:rPr>
              <w:t>ONDA</w:t>
            </w:r>
          </w:p>
        </w:tc>
        <w:tc>
          <w:tcPr>
            <w:tcW w:w="0" w:type="auto"/>
          </w:tcPr>
          <w:p w14:paraId="52B3E822" w14:textId="3EC33341" w:rsidR="006A1231" w:rsidRPr="00CA63D5" w:rsidRDefault="006A1231" w:rsidP="006A1231">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sidRPr="00F247B0">
              <w:rPr>
                <w:rFonts w:asciiTheme="minorHAnsi" w:hAnsiTheme="minorHAnsi" w:cstheme="minorHAnsi"/>
                <w:szCs w:val="20"/>
              </w:rPr>
              <w:t>ONDA</w:t>
            </w:r>
          </w:p>
        </w:tc>
        <w:tc>
          <w:tcPr>
            <w:tcW w:w="0" w:type="auto"/>
          </w:tcPr>
          <w:p w14:paraId="42D0817D" w14:textId="3D5F3418" w:rsidR="006A1231" w:rsidRPr="00CA63D5" w:rsidRDefault="006A1231" w:rsidP="006A1231">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Pr>
                <w:rFonts w:asciiTheme="minorHAnsi" w:hAnsiTheme="minorHAnsi" w:cstheme="minorHAnsi"/>
                <w:szCs w:val="20"/>
                <w:lang w:eastAsia="fr-FR" w:bidi="ar-SA"/>
              </w:rPr>
              <w:t>Tout au long de la phase d’exploitation</w:t>
            </w:r>
          </w:p>
        </w:tc>
        <w:tc>
          <w:tcPr>
            <w:tcW w:w="0" w:type="auto"/>
          </w:tcPr>
          <w:p w14:paraId="4F746C1A" w14:textId="2C7FFC83" w:rsidR="006A1231" w:rsidRPr="00CA63D5" w:rsidRDefault="00930E01" w:rsidP="006A1231">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sidRPr="00930E01">
              <w:rPr>
                <w:rFonts w:asciiTheme="minorHAnsi" w:hAnsiTheme="minorHAnsi" w:cstheme="minorHAnsi"/>
                <w:szCs w:val="20"/>
              </w:rPr>
              <w:t xml:space="preserve">2 000 – 3 000 </w:t>
            </w:r>
            <w:r>
              <w:rPr>
                <w:rFonts w:asciiTheme="minorHAnsi" w:hAnsiTheme="minorHAnsi" w:cstheme="minorHAnsi"/>
                <w:szCs w:val="20"/>
              </w:rPr>
              <w:t>MAD</w:t>
            </w:r>
            <w:r w:rsidRPr="00930E01">
              <w:rPr>
                <w:rFonts w:asciiTheme="minorHAnsi" w:hAnsiTheme="minorHAnsi" w:cstheme="minorHAnsi"/>
                <w:szCs w:val="20"/>
              </w:rPr>
              <w:t>/zone (signalétique, marquage)</w:t>
            </w:r>
          </w:p>
        </w:tc>
      </w:tr>
      <w:tr w:rsidR="006A1231" w:rsidRPr="00CA63D5" w14:paraId="5738D864" w14:textId="4063F597" w:rsidTr="00D60FC9">
        <w:tc>
          <w:tcPr>
            <w:cnfStyle w:val="001000000000" w:firstRow="0" w:lastRow="0" w:firstColumn="1" w:lastColumn="0" w:oddVBand="0" w:evenVBand="0" w:oddHBand="0" w:evenHBand="0" w:firstRowFirstColumn="0" w:firstRowLastColumn="0" w:lastRowFirstColumn="0" w:lastRowLastColumn="0"/>
            <w:tcW w:w="0" w:type="auto"/>
            <w:vMerge/>
            <w:hideMark/>
          </w:tcPr>
          <w:p w14:paraId="6EF76027" w14:textId="77777777" w:rsidR="006A1231" w:rsidRPr="004637C7" w:rsidRDefault="006A1231" w:rsidP="006A1231">
            <w:pPr>
              <w:spacing w:before="0" w:after="0" w:line="240" w:lineRule="auto"/>
              <w:jc w:val="left"/>
              <w:rPr>
                <w:rFonts w:asciiTheme="minorHAnsi" w:hAnsiTheme="minorHAnsi" w:cstheme="minorHAnsi"/>
                <w:szCs w:val="20"/>
                <w:lang w:eastAsia="fr-FR" w:bidi="ar-SA"/>
              </w:rPr>
            </w:pPr>
          </w:p>
        </w:tc>
        <w:tc>
          <w:tcPr>
            <w:tcW w:w="1360" w:type="dxa"/>
            <w:hideMark/>
          </w:tcPr>
          <w:p w14:paraId="2330A1E5" w14:textId="77777777" w:rsidR="006A1231" w:rsidRPr="004637C7" w:rsidRDefault="006A1231" w:rsidP="006A1231">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sidRPr="004637C7">
              <w:rPr>
                <w:rFonts w:asciiTheme="minorHAnsi" w:hAnsiTheme="minorHAnsi" w:cstheme="minorHAnsi"/>
                <w:szCs w:val="20"/>
                <w:lang w:eastAsia="fr-FR" w:bidi="ar-SA"/>
              </w:rPr>
              <w:t>Atténuer</w:t>
            </w:r>
          </w:p>
        </w:tc>
        <w:tc>
          <w:tcPr>
            <w:tcW w:w="1981" w:type="dxa"/>
            <w:hideMark/>
          </w:tcPr>
          <w:p w14:paraId="1BBF8D0F" w14:textId="77777777" w:rsidR="006A1231" w:rsidRPr="004637C7" w:rsidRDefault="006A1231" w:rsidP="006A1231">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sidRPr="004637C7">
              <w:rPr>
                <w:rFonts w:asciiTheme="minorHAnsi" w:hAnsiTheme="minorHAnsi" w:cstheme="minorHAnsi"/>
                <w:szCs w:val="20"/>
                <w:lang w:eastAsia="fr-FR" w:bidi="ar-SA"/>
              </w:rPr>
              <w:t>Évacuer régulièrement les déchets volumineux et encombrants des hangars et zones techniques.</w:t>
            </w:r>
          </w:p>
        </w:tc>
        <w:tc>
          <w:tcPr>
            <w:tcW w:w="1505" w:type="dxa"/>
            <w:hideMark/>
          </w:tcPr>
          <w:p w14:paraId="1E933B23" w14:textId="77777777" w:rsidR="006A1231" w:rsidRPr="004637C7" w:rsidRDefault="006A1231" w:rsidP="006A1231">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sidRPr="004637C7">
              <w:rPr>
                <w:rFonts w:asciiTheme="minorHAnsi" w:hAnsiTheme="minorHAnsi" w:cstheme="minorHAnsi"/>
                <w:szCs w:val="20"/>
                <w:lang w:eastAsia="fr-FR" w:bidi="ar-SA"/>
              </w:rPr>
              <w:t>Volume moyen de déchets évacués / mois ; délai d’évacuation moyen (jours)</w:t>
            </w:r>
          </w:p>
        </w:tc>
        <w:tc>
          <w:tcPr>
            <w:tcW w:w="0" w:type="auto"/>
          </w:tcPr>
          <w:p w14:paraId="56B9C874" w14:textId="4CFF143F" w:rsidR="006A1231" w:rsidRPr="00CA63D5" w:rsidRDefault="006A1231" w:rsidP="006A1231">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sidRPr="00F247B0">
              <w:rPr>
                <w:rFonts w:asciiTheme="minorHAnsi" w:hAnsiTheme="minorHAnsi" w:cstheme="minorHAnsi"/>
                <w:szCs w:val="20"/>
              </w:rPr>
              <w:t>ONDA</w:t>
            </w:r>
            <w:r>
              <w:rPr>
                <w:rFonts w:asciiTheme="minorHAnsi" w:hAnsiTheme="minorHAnsi" w:cstheme="minorHAnsi"/>
                <w:szCs w:val="20"/>
              </w:rPr>
              <w:t>/Exploitant</w:t>
            </w:r>
          </w:p>
        </w:tc>
        <w:tc>
          <w:tcPr>
            <w:tcW w:w="0" w:type="auto"/>
          </w:tcPr>
          <w:p w14:paraId="68153203" w14:textId="74EFD8BD" w:rsidR="006A1231" w:rsidRPr="00CA63D5" w:rsidRDefault="006A1231" w:rsidP="006A1231">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Pr>
                <w:rFonts w:asciiTheme="minorHAnsi" w:hAnsiTheme="minorHAnsi" w:cstheme="minorHAnsi"/>
                <w:szCs w:val="20"/>
              </w:rPr>
              <w:t>ONDA</w:t>
            </w:r>
          </w:p>
        </w:tc>
        <w:tc>
          <w:tcPr>
            <w:tcW w:w="0" w:type="auto"/>
          </w:tcPr>
          <w:p w14:paraId="7264CE9C" w14:textId="08272331" w:rsidR="006A1231" w:rsidRPr="00CA63D5" w:rsidRDefault="006A1231" w:rsidP="006A1231">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sidRPr="00F247B0">
              <w:rPr>
                <w:rFonts w:asciiTheme="minorHAnsi" w:hAnsiTheme="minorHAnsi" w:cstheme="minorHAnsi"/>
                <w:szCs w:val="20"/>
              </w:rPr>
              <w:t>ONDA</w:t>
            </w:r>
          </w:p>
        </w:tc>
        <w:tc>
          <w:tcPr>
            <w:tcW w:w="0" w:type="auto"/>
          </w:tcPr>
          <w:p w14:paraId="47A309D0" w14:textId="261D1E45" w:rsidR="006A1231" w:rsidRPr="00CA63D5" w:rsidRDefault="006A1231" w:rsidP="006A1231">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Pr>
                <w:rFonts w:asciiTheme="minorHAnsi" w:hAnsiTheme="minorHAnsi" w:cstheme="minorHAnsi"/>
                <w:szCs w:val="20"/>
                <w:lang w:eastAsia="fr-FR" w:bidi="ar-SA"/>
              </w:rPr>
              <w:t>Tout au long de la phase d’exploitation</w:t>
            </w:r>
          </w:p>
        </w:tc>
        <w:tc>
          <w:tcPr>
            <w:tcW w:w="0" w:type="auto"/>
          </w:tcPr>
          <w:p w14:paraId="55D17B05" w14:textId="4506F599" w:rsidR="006A1231" w:rsidRPr="00CA63D5" w:rsidRDefault="00930E01" w:rsidP="006A1231">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sidRPr="00930E01">
              <w:rPr>
                <w:rFonts w:asciiTheme="minorHAnsi" w:hAnsiTheme="minorHAnsi" w:cstheme="minorHAnsi"/>
                <w:szCs w:val="20"/>
              </w:rPr>
              <w:t xml:space="preserve">300 – 400 </w:t>
            </w:r>
            <w:r>
              <w:rPr>
                <w:rFonts w:asciiTheme="minorHAnsi" w:hAnsiTheme="minorHAnsi" w:cstheme="minorHAnsi"/>
                <w:szCs w:val="20"/>
              </w:rPr>
              <w:t>MAD</w:t>
            </w:r>
            <w:r w:rsidRPr="00930E01">
              <w:rPr>
                <w:rFonts w:asciiTheme="minorHAnsi" w:hAnsiTheme="minorHAnsi" w:cstheme="minorHAnsi"/>
                <w:szCs w:val="20"/>
              </w:rPr>
              <w:t>/m³</w:t>
            </w:r>
          </w:p>
        </w:tc>
      </w:tr>
      <w:tr w:rsidR="00740869" w:rsidRPr="00CA63D5" w14:paraId="2F21DA4B" w14:textId="60694E80" w:rsidTr="00190929">
        <w:tc>
          <w:tcPr>
            <w:cnfStyle w:val="001000000000" w:firstRow="0" w:lastRow="0" w:firstColumn="1" w:lastColumn="0" w:oddVBand="0" w:evenVBand="0" w:oddHBand="0" w:evenHBand="0" w:firstRowFirstColumn="0" w:firstRowLastColumn="0" w:lastRowFirstColumn="0" w:lastRowLastColumn="0"/>
            <w:tcW w:w="0" w:type="auto"/>
            <w:vMerge w:val="restart"/>
            <w:hideMark/>
          </w:tcPr>
          <w:p w14:paraId="3AD24E18" w14:textId="77777777" w:rsidR="00740869" w:rsidRPr="004637C7" w:rsidRDefault="00740869" w:rsidP="006A1231">
            <w:pPr>
              <w:spacing w:before="0" w:after="0" w:line="240" w:lineRule="auto"/>
              <w:jc w:val="left"/>
              <w:rPr>
                <w:rFonts w:asciiTheme="minorHAnsi" w:hAnsiTheme="minorHAnsi" w:cstheme="minorHAnsi"/>
                <w:szCs w:val="20"/>
                <w:lang w:eastAsia="fr-FR" w:bidi="ar-SA"/>
              </w:rPr>
            </w:pPr>
            <w:r w:rsidRPr="004637C7">
              <w:rPr>
                <w:rFonts w:asciiTheme="minorHAnsi" w:hAnsiTheme="minorHAnsi" w:cstheme="minorHAnsi"/>
                <w:szCs w:val="20"/>
                <w:lang w:eastAsia="fr-FR" w:bidi="ar-SA"/>
              </w:rPr>
              <w:lastRenderedPageBreak/>
              <w:t>Risque de pollution chimique du sol ou des surfaces techniques</w:t>
            </w:r>
          </w:p>
        </w:tc>
        <w:tc>
          <w:tcPr>
            <w:tcW w:w="1360" w:type="dxa"/>
            <w:hideMark/>
          </w:tcPr>
          <w:p w14:paraId="310AB96C" w14:textId="77777777" w:rsidR="00740869" w:rsidRPr="004637C7" w:rsidRDefault="00740869" w:rsidP="006A1231">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sidRPr="004637C7">
              <w:rPr>
                <w:rFonts w:asciiTheme="minorHAnsi" w:hAnsiTheme="minorHAnsi" w:cstheme="minorHAnsi"/>
                <w:szCs w:val="20"/>
                <w:lang w:eastAsia="fr-FR" w:bidi="ar-SA"/>
              </w:rPr>
              <w:t>Éviter</w:t>
            </w:r>
          </w:p>
        </w:tc>
        <w:tc>
          <w:tcPr>
            <w:tcW w:w="1981" w:type="dxa"/>
            <w:hideMark/>
          </w:tcPr>
          <w:p w14:paraId="54B96514" w14:textId="77777777" w:rsidR="00740869" w:rsidRDefault="00740869" w:rsidP="006A1231">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sidRPr="004637C7">
              <w:rPr>
                <w:rFonts w:asciiTheme="minorHAnsi" w:hAnsiTheme="minorHAnsi" w:cstheme="minorHAnsi"/>
                <w:szCs w:val="20"/>
                <w:lang w:eastAsia="fr-FR" w:bidi="ar-SA"/>
              </w:rPr>
              <w:t>Entreposer les produits chimiques et huiles dans des zones couvertes, ventilées et munies de bacs de rétention.</w:t>
            </w:r>
          </w:p>
          <w:p w14:paraId="037841C0" w14:textId="4AAE9C38" w:rsidR="00740869" w:rsidRPr="004637C7" w:rsidRDefault="00740869" w:rsidP="006A1231">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sidRPr="009806ED">
              <w:rPr>
                <w:rFonts w:asciiTheme="minorHAnsi" w:hAnsiTheme="minorHAnsi" w:cstheme="minorHAnsi"/>
                <w:szCs w:val="20"/>
                <w:lang w:eastAsia="fr-FR" w:bidi="ar-SA"/>
              </w:rPr>
              <w:t>Limiter la durée de stockage des produits dangereux et tenir un inventaire permanent (registre matières dangereuses).</w:t>
            </w:r>
          </w:p>
        </w:tc>
        <w:tc>
          <w:tcPr>
            <w:tcW w:w="1505" w:type="dxa"/>
            <w:hideMark/>
          </w:tcPr>
          <w:p w14:paraId="254CD82A" w14:textId="77777777" w:rsidR="00740869" w:rsidRDefault="00740869" w:rsidP="006A1231">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sidRPr="004637C7">
              <w:rPr>
                <w:rFonts w:asciiTheme="minorHAnsi" w:hAnsiTheme="minorHAnsi" w:cstheme="minorHAnsi"/>
                <w:szCs w:val="20"/>
                <w:lang w:eastAsia="fr-FR" w:bidi="ar-SA"/>
              </w:rPr>
              <w:t>% de zones conformes ; volume de rétention / volume stocké</w:t>
            </w:r>
          </w:p>
          <w:p w14:paraId="377F0A3D" w14:textId="73FDDEDE" w:rsidR="00740869" w:rsidRPr="004637C7" w:rsidRDefault="00740869" w:rsidP="006A1231">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sidRPr="009806ED">
              <w:rPr>
                <w:rFonts w:asciiTheme="minorHAnsi" w:hAnsiTheme="minorHAnsi" w:cstheme="minorHAnsi"/>
                <w:szCs w:val="20"/>
                <w:lang w:eastAsia="fr-FR" w:bidi="ar-SA"/>
              </w:rPr>
              <w:t>Durée moyenne de stockage (jours) ; % de produits périmés / total stocké</w:t>
            </w:r>
          </w:p>
        </w:tc>
        <w:tc>
          <w:tcPr>
            <w:tcW w:w="0" w:type="auto"/>
          </w:tcPr>
          <w:p w14:paraId="6A98644D" w14:textId="754AD017" w:rsidR="00740869" w:rsidRPr="00CA63D5" w:rsidRDefault="00740869" w:rsidP="006A1231">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sidRPr="00F247B0">
              <w:rPr>
                <w:rFonts w:asciiTheme="minorHAnsi" w:hAnsiTheme="minorHAnsi" w:cstheme="minorHAnsi"/>
                <w:szCs w:val="20"/>
              </w:rPr>
              <w:t>ONDA</w:t>
            </w:r>
            <w:r>
              <w:rPr>
                <w:rFonts w:asciiTheme="minorHAnsi" w:hAnsiTheme="minorHAnsi" w:cstheme="minorHAnsi"/>
                <w:szCs w:val="20"/>
              </w:rPr>
              <w:t>/Exploitant</w:t>
            </w:r>
          </w:p>
        </w:tc>
        <w:tc>
          <w:tcPr>
            <w:tcW w:w="0" w:type="auto"/>
          </w:tcPr>
          <w:p w14:paraId="1A8F9870" w14:textId="6272E48E" w:rsidR="00740869" w:rsidRPr="00CA63D5" w:rsidRDefault="00740869" w:rsidP="006A1231">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Pr>
                <w:rFonts w:asciiTheme="minorHAnsi" w:hAnsiTheme="minorHAnsi" w:cstheme="minorHAnsi"/>
                <w:szCs w:val="20"/>
              </w:rPr>
              <w:t>ONDA</w:t>
            </w:r>
          </w:p>
        </w:tc>
        <w:tc>
          <w:tcPr>
            <w:tcW w:w="0" w:type="auto"/>
          </w:tcPr>
          <w:p w14:paraId="4C3A489F" w14:textId="503DF8E0" w:rsidR="00740869" w:rsidRPr="00CA63D5" w:rsidRDefault="00740869" w:rsidP="006A1231">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sidRPr="00F247B0">
              <w:rPr>
                <w:rFonts w:asciiTheme="minorHAnsi" w:hAnsiTheme="minorHAnsi" w:cstheme="minorHAnsi"/>
                <w:szCs w:val="20"/>
              </w:rPr>
              <w:t>ONDA</w:t>
            </w:r>
          </w:p>
        </w:tc>
        <w:tc>
          <w:tcPr>
            <w:tcW w:w="0" w:type="auto"/>
          </w:tcPr>
          <w:p w14:paraId="568202F6" w14:textId="0561BD54" w:rsidR="00740869" w:rsidRPr="00CA63D5" w:rsidRDefault="00740869" w:rsidP="006A1231">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Pr>
                <w:rFonts w:asciiTheme="minorHAnsi" w:hAnsiTheme="minorHAnsi" w:cstheme="minorHAnsi"/>
                <w:szCs w:val="20"/>
                <w:lang w:eastAsia="fr-FR" w:bidi="ar-SA"/>
              </w:rPr>
              <w:t>Tout au long de la phase d’exploitation</w:t>
            </w:r>
          </w:p>
        </w:tc>
        <w:tc>
          <w:tcPr>
            <w:tcW w:w="0" w:type="auto"/>
          </w:tcPr>
          <w:p w14:paraId="42F55C9E" w14:textId="3708B76A" w:rsidR="00740869" w:rsidRPr="00CA63D5" w:rsidRDefault="00740869" w:rsidP="006A1231">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Pr>
                <w:rFonts w:asciiTheme="minorHAnsi" w:hAnsiTheme="minorHAnsi" w:cstheme="minorHAnsi"/>
                <w:szCs w:val="20"/>
              </w:rPr>
              <w:t>1200 – 1500 MAD/m</w:t>
            </w:r>
            <w:r w:rsidRPr="00D60FC9">
              <w:rPr>
                <w:rFonts w:asciiTheme="minorHAnsi" w:hAnsiTheme="minorHAnsi" w:cstheme="minorHAnsi"/>
                <w:szCs w:val="20"/>
                <w:vertAlign w:val="superscript"/>
              </w:rPr>
              <w:t>2</w:t>
            </w:r>
          </w:p>
        </w:tc>
      </w:tr>
      <w:tr w:rsidR="00740869" w:rsidRPr="00CA63D5" w14:paraId="6A34D5A4" w14:textId="59EEE440" w:rsidTr="00190929">
        <w:trPr>
          <w:trHeight w:val="1370"/>
        </w:trPr>
        <w:tc>
          <w:tcPr>
            <w:cnfStyle w:val="001000000000" w:firstRow="0" w:lastRow="0" w:firstColumn="1" w:lastColumn="0" w:oddVBand="0" w:evenVBand="0" w:oddHBand="0" w:evenHBand="0" w:firstRowFirstColumn="0" w:firstRowLastColumn="0" w:lastRowFirstColumn="0" w:lastRowLastColumn="0"/>
            <w:tcW w:w="0" w:type="auto"/>
            <w:vMerge/>
            <w:hideMark/>
          </w:tcPr>
          <w:p w14:paraId="40C02F03" w14:textId="77777777" w:rsidR="00740869" w:rsidRPr="004637C7" w:rsidRDefault="00740869" w:rsidP="006A1231">
            <w:pPr>
              <w:spacing w:before="0" w:after="0" w:line="240" w:lineRule="auto"/>
              <w:jc w:val="left"/>
              <w:rPr>
                <w:rFonts w:asciiTheme="minorHAnsi" w:hAnsiTheme="minorHAnsi" w:cstheme="minorHAnsi"/>
                <w:szCs w:val="20"/>
                <w:lang w:eastAsia="fr-FR" w:bidi="ar-SA"/>
              </w:rPr>
            </w:pPr>
          </w:p>
        </w:tc>
        <w:tc>
          <w:tcPr>
            <w:tcW w:w="1360" w:type="dxa"/>
            <w:vMerge w:val="restart"/>
            <w:hideMark/>
          </w:tcPr>
          <w:p w14:paraId="27D84FAC" w14:textId="77777777" w:rsidR="00740869" w:rsidRPr="004637C7" w:rsidRDefault="00740869" w:rsidP="006A1231">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sidRPr="004637C7">
              <w:rPr>
                <w:rFonts w:asciiTheme="minorHAnsi" w:hAnsiTheme="minorHAnsi" w:cstheme="minorHAnsi"/>
                <w:szCs w:val="20"/>
                <w:lang w:eastAsia="fr-FR" w:bidi="ar-SA"/>
              </w:rPr>
              <w:t>Réduire</w:t>
            </w:r>
          </w:p>
        </w:tc>
        <w:tc>
          <w:tcPr>
            <w:tcW w:w="1981" w:type="dxa"/>
            <w:tcBorders>
              <w:bottom w:val="single" w:sz="4" w:space="0" w:color="B4C6E7" w:themeColor="accent1" w:themeTint="66"/>
            </w:tcBorders>
            <w:hideMark/>
          </w:tcPr>
          <w:p w14:paraId="30753B33" w14:textId="1A4667AF" w:rsidR="00740869" w:rsidRPr="004637C7" w:rsidRDefault="00740869" w:rsidP="006A1231">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sidRPr="004637C7">
              <w:rPr>
                <w:rFonts w:asciiTheme="minorHAnsi" w:hAnsiTheme="minorHAnsi" w:cstheme="minorHAnsi"/>
                <w:szCs w:val="20"/>
                <w:lang w:eastAsia="fr-FR" w:bidi="ar-SA"/>
              </w:rPr>
              <w:t>Former le personnel de maintenance à la manipulation sécurisée des produits chimiques et à la gestion des déversements.</w:t>
            </w:r>
          </w:p>
        </w:tc>
        <w:tc>
          <w:tcPr>
            <w:tcW w:w="1505" w:type="dxa"/>
            <w:vMerge w:val="restart"/>
            <w:hideMark/>
          </w:tcPr>
          <w:p w14:paraId="48D5C9A7" w14:textId="77777777" w:rsidR="00740869" w:rsidRDefault="00740869" w:rsidP="006A1231">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sidRPr="004637C7">
              <w:rPr>
                <w:rFonts w:asciiTheme="minorHAnsi" w:hAnsiTheme="minorHAnsi" w:cstheme="minorHAnsi"/>
                <w:szCs w:val="20"/>
                <w:lang w:eastAsia="fr-FR" w:bidi="ar-SA"/>
              </w:rPr>
              <w:t>% de personnel formé ; nombre d’incidents rapportés</w:t>
            </w:r>
          </w:p>
          <w:p w14:paraId="1C6CD278" w14:textId="5FCA4022" w:rsidR="00740869" w:rsidRPr="004637C7" w:rsidRDefault="00740869" w:rsidP="006A1231">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sidRPr="009806ED">
              <w:rPr>
                <w:rFonts w:asciiTheme="minorHAnsi" w:hAnsiTheme="minorHAnsi" w:cstheme="minorHAnsi"/>
                <w:szCs w:val="20"/>
                <w:lang w:eastAsia="fr-FR" w:bidi="ar-SA"/>
              </w:rPr>
              <w:t>Existence du plan validé ; % de produits gérés selon procédures</w:t>
            </w:r>
          </w:p>
        </w:tc>
        <w:tc>
          <w:tcPr>
            <w:tcW w:w="0" w:type="auto"/>
            <w:vMerge w:val="restart"/>
          </w:tcPr>
          <w:p w14:paraId="653989EF" w14:textId="6A830405" w:rsidR="00740869" w:rsidRPr="00CA63D5" w:rsidRDefault="00740869" w:rsidP="006A1231">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sidRPr="00F247B0">
              <w:rPr>
                <w:rFonts w:asciiTheme="minorHAnsi" w:hAnsiTheme="minorHAnsi" w:cstheme="minorHAnsi"/>
                <w:szCs w:val="20"/>
              </w:rPr>
              <w:t>ONDA</w:t>
            </w:r>
            <w:r>
              <w:rPr>
                <w:rFonts w:asciiTheme="minorHAnsi" w:hAnsiTheme="minorHAnsi" w:cstheme="minorHAnsi"/>
                <w:szCs w:val="20"/>
              </w:rPr>
              <w:t>/Exploitant</w:t>
            </w:r>
          </w:p>
        </w:tc>
        <w:tc>
          <w:tcPr>
            <w:tcW w:w="0" w:type="auto"/>
            <w:vMerge w:val="restart"/>
          </w:tcPr>
          <w:p w14:paraId="1D8EA542" w14:textId="41FAC7E2" w:rsidR="00740869" w:rsidRPr="00CA63D5" w:rsidRDefault="00740869" w:rsidP="006A1231">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Pr>
                <w:rFonts w:asciiTheme="minorHAnsi" w:hAnsiTheme="minorHAnsi" w:cstheme="minorHAnsi"/>
                <w:szCs w:val="20"/>
              </w:rPr>
              <w:t>ONDA</w:t>
            </w:r>
          </w:p>
        </w:tc>
        <w:tc>
          <w:tcPr>
            <w:tcW w:w="0" w:type="auto"/>
            <w:vMerge w:val="restart"/>
          </w:tcPr>
          <w:p w14:paraId="045C8C1C" w14:textId="113DB079" w:rsidR="00740869" w:rsidRPr="00CA63D5" w:rsidRDefault="00740869" w:rsidP="006A1231">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sidRPr="00F247B0">
              <w:rPr>
                <w:rFonts w:asciiTheme="minorHAnsi" w:hAnsiTheme="minorHAnsi" w:cstheme="minorHAnsi"/>
                <w:szCs w:val="20"/>
              </w:rPr>
              <w:t>ONDA</w:t>
            </w:r>
          </w:p>
        </w:tc>
        <w:tc>
          <w:tcPr>
            <w:tcW w:w="0" w:type="auto"/>
            <w:vMerge w:val="restart"/>
          </w:tcPr>
          <w:p w14:paraId="422C77D1" w14:textId="0E402B38" w:rsidR="00740869" w:rsidRPr="00CA63D5" w:rsidRDefault="00740869" w:rsidP="006A1231">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sidRPr="004946D8">
              <w:rPr>
                <w:rFonts w:asciiTheme="minorHAnsi" w:hAnsiTheme="minorHAnsi" w:cstheme="minorHAnsi"/>
                <w:szCs w:val="20"/>
                <w:lang w:eastAsia="fr-FR" w:bidi="ar-SA"/>
              </w:rPr>
              <w:t>Trimestriel</w:t>
            </w:r>
          </w:p>
        </w:tc>
        <w:tc>
          <w:tcPr>
            <w:tcW w:w="0" w:type="auto"/>
            <w:tcBorders>
              <w:bottom w:val="single" w:sz="4" w:space="0" w:color="B4C6E7" w:themeColor="accent1" w:themeTint="66"/>
            </w:tcBorders>
          </w:tcPr>
          <w:p w14:paraId="3CB756B3" w14:textId="55693A5B" w:rsidR="00740869" w:rsidRPr="00CA63D5" w:rsidRDefault="00740869" w:rsidP="006A1231">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Pr>
                <w:rFonts w:asciiTheme="minorHAnsi" w:hAnsiTheme="minorHAnsi" w:cstheme="minorHAnsi"/>
                <w:szCs w:val="20"/>
                <w:lang w:eastAsia="fr-FR" w:bidi="ar-SA"/>
              </w:rPr>
              <w:t>4000MAD/Formateur/jour</w:t>
            </w:r>
          </w:p>
        </w:tc>
      </w:tr>
      <w:tr w:rsidR="00740869" w:rsidRPr="00CA63D5" w14:paraId="37734100" w14:textId="77777777" w:rsidTr="00190929">
        <w:trPr>
          <w:trHeight w:val="1310"/>
        </w:trPr>
        <w:tc>
          <w:tcPr>
            <w:cnfStyle w:val="001000000000" w:firstRow="0" w:lastRow="0" w:firstColumn="1" w:lastColumn="0" w:oddVBand="0" w:evenVBand="0" w:oddHBand="0" w:evenHBand="0" w:firstRowFirstColumn="0" w:firstRowLastColumn="0" w:lastRowFirstColumn="0" w:lastRowLastColumn="0"/>
            <w:tcW w:w="0" w:type="auto"/>
            <w:vMerge/>
          </w:tcPr>
          <w:p w14:paraId="4D05A781" w14:textId="77777777" w:rsidR="00740869" w:rsidRPr="004637C7" w:rsidRDefault="00740869" w:rsidP="006A1231">
            <w:pPr>
              <w:spacing w:before="0" w:after="0" w:line="240" w:lineRule="auto"/>
              <w:jc w:val="left"/>
              <w:rPr>
                <w:rFonts w:asciiTheme="minorHAnsi" w:hAnsiTheme="minorHAnsi" w:cstheme="minorHAnsi"/>
                <w:szCs w:val="20"/>
                <w:lang w:eastAsia="fr-FR" w:bidi="ar-SA"/>
              </w:rPr>
            </w:pPr>
          </w:p>
        </w:tc>
        <w:tc>
          <w:tcPr>
            <w:tcW w:w="1360" w:type="dxa"/>
            <w:vMerge/>
          </w:tcPr>
          <w:p w14:paraId="6CF7F01A" w14:textId="77777777" w:rsidR="00740869" w:rsidRPr="004637C7" w:rsidRDefault="00740869" w:rsidP="006A1231">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p>
        </w:tc>
        <w:tc>
          <w:tcPr>
            <w:tcW w:w="1981" w:type="dxa"/>
            <w:tcBorders>
              <w:top w:val="single" w:sz="4" w:space="0" w:color="B4C6E7" w:themeColor="accent1" w:themeTint="66"/>
            </w:tcBorders>
          </w:tcPr>
          <w:p w14:paraId="7EC31964" w14:textId="77777777" w:rsidR="00740869" w:rsidRPr="004637C7" w:rsidRDefault="00740869" w:rsidP="00740869">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sidRPr="009806ED">
              <w:rPr>
                <w:rFonts w:asciiTheme="minorHAnsi" w:hAnsiTheme="minorHAnsi" w:cstheme="minorHAnsi"/>
                <w:szCs w:val="20"/>
                <w:lang w:eastAsia="fr-FR" w:bidi="ar-SA"/>
              </w:rPr>
              <w:t xml:space="preserve">Mettre en œuvre le Plan de Gestion des Matières Dangereuses (PGMD) incluant suivi, étiquetage et </w:t>
            </w:r>
            <w:r w:rsidRPr="009806ED">
              <w:rPr>
                <w:rFonts w:asciiTheme="minorHAnsi" w:hAnsiTheme="minorHAnsi" w:cstheme="minorHAnsi"/>
                <w:szCs w:val="20"/>
                <w:lang w:eastAsia="fr-FR" w:bidi="ar-SA"/>
              </w:rPr>
              <w:lastRenderedPageBreak/>
              <w:t>élimination conforme.</w:t>
            </w:r>
          </w:p>
        </w:tc>
        <w:tc>
          <w:tcPr>
            <w:tcW w:w="1505" w:type="dxa"/>
            <w:vMerge/>
          </w:tcPr>
          <w:p w14:paraId="1DB20C96" w14:textId="77777777" w:rsidR="00740869" w:rsidRPr="004637C7" w:rsidRDefault="00740869" w:rsidP="006A1231">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p>
        </w:tc>
        <w:tc>
          <w:tcPr>
            <w:tcW w:w="0" w:type="auto"/>
            <w:vMerge/>
          </w:tcPr>
          <w:p w14:paraId="5299A8B0" w14:textId="77777777" w:rsidR="00740869" w:rsidRPr="00F247B0" w:rsidRDefault="00740869" w:rsidP="006A1231">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p>
        </w:tc>
        <w:tc>
          <w:tcPr>
            <w:tcW w:w="0" w:type="auto"/>
            <w:vMerge/>
          </w:tcPr>
          <w:p w14:paraId="6BE94BBD" w14:textId="77777777" w:rsidR="00740869" w:rsidRDefault="00740869" w:rsidP="006A1231">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p>
        </w:tc>
        <w:tc>
          <w:tcPr>
            <w:tcW w:w="0" w:type="auto"/>
            <w:vMerge/>
          </w:tcPr>
          <w:p w14:paraId="700B8FC3" w14:textId="77777777" w:rsidR="00740869" w:rsidRPr="00F247B0" w:rsidRDefault="00740869" w:rsidP="006A1231">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p>
        </w:tc>
        <w:tc>
          <w:tcPr>
            <w:tcW w:w="0" w:type="auto"/>
            <w:vMerge/>
          </w:tcPr>
          <w:p w14:paraId="069720A8" w14:textId="77777777" w:rsidR="00740869" w:rsidRPr="004946D8" w:rsidRDefault="00740869" w:rsidP="006A1231">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p>
        </w:tc>
        <w:tc>
          <w:tcPr>
            <w:tcW w:w="0" w:type="auto"/>
            <w:tcBorders>
              <w:top w:val="single" w:sz="4" w:space="0" w:color="B4C6E7" w:themeColor="accent1" w:themeTint="66"/>
            </w:tcBorders>
          </w:tcPr>
          <w:p w14:paraId="6ECC8766" w14:textId="126B241E" w:rsidR="00740869" w:rsidRDefault="00740869" w:rsidP="006A1231">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Pr>
                <w:rFonts w:asciiTheme="minorHAnsi" w:hAnsiTheme="minorHAnsi" w:cstheme="minorHAnsi"/>
                <w:szCs w:val="20"/>
                <w:lang w:eastAsia="fr-FR" w:bidi="ar-SA"/>
              </w:rPr>
              <w:t>Aucun coût spécifique</w:t>
            </w:r>
          </w:p>
        </w:tc>
      </w:tr>
      <w:tr w:rsidR="00740869" w:rsidRPr="00CA63D5" w14:paraId="136F0F44" w14:textId="6085D6A2" w:rsidTr="00190929">
        <w:trPr>
          <w:trHeight w:val="1100"/>
        </w:trPr>
        <w:tc>
          <w:tcPr>
            <w:cnfStyle w:val="001000000000" w:firstRow="0" w:lastRow="0" w:firstColumn="1" w:lastColumn="0" w:oddVBand="0" w:evenVBand="0" w:oddHBand="0" w:evenHBand="0" w:firstRowFirstColumn="0" w:firstRowLastColumn="0" w:lastRowFirstColumn="0" w:lastRowLastColumn="0"/>
            <w:tcW w:w="0" w:type="auto"/>
            <w:vMerge/>
            <w:hideMark/>
          </w:tcPr>
          <w:p w14:paraId="07F4E4F9" w14:textId="77777777" w:rsidR="00740869" w:rsidRPr="004637C7" w:rsidRDefault="00740869" w:rsidP="006A1231">
            <w:pPr>
              <w:spacing w:before="0" w:after="0" w:line="240" w:lineRule="auto"/>
              <w:jc w:val="left"/>
              <w:rPr>
                <w:rFonts w:asciiTheme="minorHAnsi" w:hAnsiTheme="minorHAnsi" w:cstheme="minorHAnsi"/>
                <w:szCs w:val="20"/>
                <w:lang w:eastAsia="fr-FR" w:bidi="ar-SA"/>
              </w:rPr>
            </w:pPr>
          </w:p>
        </w:tc>
        <w:tc>
          <w:tcPr>
            <w:tcW w:w="1360" w:type="dxa"/>
            <w:vMerge w:val="restart"/>
            <w:hideMark/>
          </w:tcPr>
          <w:p w14:paraId="5900E99D" w14:textId="77777777" w:rsidR="00740869" w:rsidRPr="004637C7" w:rsidRDefault="00740869" w:rsidP="006A1231">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sidRPr="004637C7">
              <w:rPr>
                <w:rFonts w:asciiTheme="minorHAnsi" w:hAnsiTheme="minorHAnsi" w:cstheme="minorHAnsi"/>
                <w:szCs w:val="20"/>
                <w:lang w:eastAsia="fr-FR" w:bidi="ar-SA"/>
              </w:rPr>
              <w:t>Atténuer</w:t>
            </w:r>
          </w:p>
        </w:tc>
        <w:tc>
          <w:tcPr>
            <w:tcW w:w="1981" w:type="dxa"/>
            <w:tcBorders>
              <w:bottom w:val="single" w:sz="4" w:space="0" w:color="B4C6E7" w:themeColor="accent1" w:themeTint="66"/>
            </w:tcBorders>
            <w:hideMark/>
          </w:tcPr>
          <w:p w14:paraId="130F1EFA" w14:textId="3B3BF7BB" w:rsidR="00740869" w:rsidRPr="004637C7" w:rsidRDefault="00740869" w:rsidP="006A1231">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sidRPr="004637C7">
              <w:rPr>
                <w:rFonts w:asciiTheme="minorHAnsi" w:hAnsiTheme="minorHAnsi" w:cstheme="minorHAnsi"/>
                <w:szCs w:val="20"/>
                <w:lang w:eastAsia="fr-FR" w:bidi="ar-SA"/>
              </w:rPr>
              <w:t>Installer un kit anti-déversement et un plan d’urgence spécifique aux fuites chimiques</w:t>
            </w:r>
            <w:r>
              <w:rPr>
                <w:rFonts w:asciiTheme="minorHAnsi" w:hAnsiTheme="minorHAnsi" w:cstheme="minorHAnsi"/>
                <w:szCs w:val="20"/>
                <w:lang w:eastAsia="fr-FR" w:bidi="ar-SA"/>
              </w:rPr>
              <w:t>.</w:t>
            </w:r>
          </w:p>
        </w:tc>
        <w:tc>
          <w:tcPr>
            <w:tcW w:w="1505" w:type="dxa"/>
            <w:vMerge w:val="restart"/>
            <w:hideMark/>
          </w:tcPr>
          <w:p w14:paraId="1B23CF4D" w14:textId="77777777" w:rsidR="00740869" w:rsidRDefault="00740869" w:rsidP="006A1231">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sidRPr="004637C7">
              <w:rPr>
                <w:rFonts w:asciiTheme="minorHAnsi" w:hAnsiTheme="minorHAnsi" w:cstheme="minorHAnsi"/>
                <w:szCs w:val="20"/>
                <w:lang w:eastAsia="fr-FR" w:bidi="ar-SA"/>
              </w:rPr>
              <w:t>Nombre de kits disponibles ; délai moyen d’intervention (minutes)</w:t>
            </w:r>
          </w:p>
          <w:p w14:paraId="462428B9" w14:textId="1BB221CE" w:rsidR="00740869" w:rsidRPr="004637C7" w:rsidRDefault="00740869" w:rsidP="006A1231">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sidRPr="009806ED">
              <w:rPr>
                <w:rFonts w:asciiTheme="minorHAnsi" w:hAnsiTheme="minorHAnsi" w:cstheme="minorHAnsi"/>
                <w:szCs w:val="20"/>
                <w:lang w:eastAsia="fr-FR" w:bidi="ar-SA"/>
              </w:rPr>
              <w:t>% de contenants réutilisés ; conformité des étiquetages</w:t>
            </w:r>
          </w:p>
        </w:tc>
        <w:tc>
          <w:tcPr>
            <w:tcW w:w="0" w:type="auto"/>
            <w:vMerge w:val="restart"/>
          </w:tcPr>
          <w:p w14:paraId="636F7B40" w14:textId="4D817677" w:rsidR="00740869" w:rsidRPr="00CA63D5" w:rsidRDefault="00740869" w:rsidP="006A1231">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sidRPr="00F247B0">
              <w:rPr>
                <w:rFonts w:asciiTheme="minorHAnsi" w:hAnsiTheme="minorHAnsi" w:cstheme="minorHAnsi"/>
                <w:szCs w:val="20"/>
              </w:rPr>
              <w:t>ONDA</w:t>
            </w:r>
            <w:r>
              <w:rPr>
                <w:rFonts w:asciiTheme="minorHAnsi" w:hAnsiTheme="minorHAnsi" w:cstheme="minorHAnsi"/>
                <w:szCs w:val="20"/>
              </w:rPr>
              <w:t>/Exploitant</w:t>
            </w:r>
          </w:p>
        </w:tc>
        <w:tc>
          <w:tcPr>
            <w:tcW w:w="0" w:type="auto"/>
            <w:vMerge w:val="restart"/>
          </w:tcPr>
          <w:p w14:paraId="6C8D9BCF" w14:textId="543BFF35" w:rsidR="00740869" w:rsidRPr="00CA63D5" w:rsidRDefault="00740869" w:rsidP="006A1231">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Pr>
                <w:rFonts w:asciiTheme="minorHAnsi" w:hAnsiTheme="minorHAnsi" w:cstheme="minorHAnsi"/>
                <w:szCs w:val="20"/>
              </w:rPr>
              <w:t>ONDA</w:t>
            </w:r>
          </w:p>
        </w:tc>
        <w:tc>
          <w:tcPr>
            <w:tcW w:w="0" w:type="auto"/>
            <w:vMerge w:val="restart"/>
          </w:tcPr>
          <w:p w14:paraId="261ED10C" w14:textId="6F4089E1" w:rsidR="00740869" w:rsidRPr="00CA63D5" w:rsidRDefault="00740869" w:rsidP="006A1231">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sidRPr="00F247B0">
              <w:rPr>
                <w:rFonts w:asciiTheme="minorHAnsi" w:hAnsiTheme="minorHAnsi" w:cstheme="minorHAnsi"/>
                <w:szCs w:val="20"/>
              </w:rPr>
              <w:t>ONDA</w:t>
            </w:r>
          </w:p>
        </w:tc>
        <w:tc>
          <w:tcPr>
            <w:tcW w:w="0" w:type="auto"/>
            <w:vMerge w:val="restart"/>
          </w:tcPr>
          <w:p w14:paraId="17B8BD45" w14:textId="4EC6C5BB" w:rsidR="00740869" w:rsidRPr="00CA63D5" w:rsidRDefault="00740869" w:rsidP="006A1231">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sidRPr="004946D8">
              <w:rPr>
                <w:rFonts w:asciiTheme="minorHAnsi" w:hAnsiTheme="minorHAnsi" w:cstheme="minorHAnsi"/>
                <w:szCs w:val="20"/>
                <w:lang w:eastAsia="fr-FR" w:bidi="ar-SA"/>
              </w:rPr>
              <w:t>À chaque incident / Mensuel</w:t>
            </w:r>
          </w:p>
        </w:tc>
        <w:tc>
          <w:tcPr>
            <w:tcW w:w="0" w:type="auto"/>
            <w:tcBorders>
              <w:bottom w:val="single" w:sz="4" w:space="0" w:color="B4C6E7" w:themeColor="accent1" w:themeTint="66"/>
            </w:tcBorders>
          </w:tcPr>
          <w:p w14:paraId="0987FB3E" w14:textId="52296A39" w:rsidR="00740869" w:rsidRPr="00CA63D5" w:rsidRDefault="00740869" w:rsidP="006A1231">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sidRPr="00740869">
              <w:rPr>
                <w:rFonts w:asciiTheme="minorHAnsi" w:hAnsiTheme="minorHAnsi" w:cstheme="minorHAnsi"/>
                <w:szCs w:val="20"/>
              </w:rPr>
              <w:t xml:space="preserve">1 200 </w:t>
            </w:r>
            <w:r w:rsidR="00270862">
              <w:rPr>
                <w:rFonts w:asciiTheme="minorHAnsi" w:hAnsiTheme="minorHAnsi" w:cstheme="minorHAnsi"/>
                <w:szCs w:val="20"/>
              </w:rPr>
              <w:t>MAD</w:t>
            </w:r>
            <w:r w:rsidRPr="00740869">
              <w:rPr>
                <w:rFonts w:asciiTheme="minorHAnsi" w:hAnsiTheme="minorHAnsi" w:cstheme="minorHAnsi"/>
                <w:szCs w:val="20"/>
              </w:rPr>
              <w:t>/kit (50 L)</w:t>
            </w:r>
          </w:p>
        </w:tc>
      </w:tr>
      <w:tr w:rsidR="00740869" w:rsidRPr="00CA63D5" w14:paraId="68AF116A" w14:textId="77777777" w:rsidTr="00190929">
        <w:trPr>
          <w:trHeight w:val="850"/>
        </w:trPr>
        <w:tc>
          <w:tcPr>
            <w:cnfStyle w:val="001000000000" w:firstRow="0" w:lastRow="0" w:firstColumn="1" w:lastColumn="0" w:oddVBand="0" w:evenVBand="0" w:oddHBand="0" w:evenHBand="0" w:firstRowFirstColumn="0" w:firstRowLastColumn="0" w:lastRowFirstColumn="0" w:lastRowLastColumn="0"/>
            <w:tcW w:w="0" w:type="auto"/>
            <w:vMerge/>
          </w:tcPr>
          <w:p w14:paraId="15AC2E7D" w14:textId="77777777" w:rsidR="00740869" w:rsidRPr="004637C7" w:rsidRDefault="00740869" w:rsidP="006A1231">
            <w:pPr>
              <w:spacing w:before="0" w:after="0" w:line="240" w:lineRule="auto"/>
              <w:jc w:val="left"/>
              <w:rPr>
                <w:rFonts w:asciiTheme="minorHAnsi" w:hAnsiTheme="minorHAnsi" w:cstheme="minorHAnsi"/>
                <w:szCs w:val="20"/>
                <w:lang w:eastAsia="fr-FR" w:bidi="ar-SA"/>
              </w:rPr>
            </w:pPr>
          </w:p>
        </w:tc>
        <w:tc>
          <w:tcPr>
            <w:tcW w:w="1360" w:type="dxa"/>
            <w:vMerge/>
          </w:tcPr>
          <w:p w14:paraId="09802C9B" w14:textId="77777777" w:rsidR="00740869" w:rsidRPr="004637C7" w:rsidRDefault="00740869" w:rsidP="006A1231">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p>
        </w:tc>
        <w:tc>
          <w:tcPr>
            <w:tcW w:w="1981" w:type="dxa"/>
            <w:tcBorders>
              <w:top w:val="single" w:sz="4" w:space="0" w:color="B4C6E7" w:themeColor="accent1" w:themeTint="66"/>
            </w:tcBorders>
          </w:tcPr>
          <w:p w14:paraId="153BFCD2" w14:textId="77777777" w:rsidR="00740869" w:rsidRPr="004637C7" w:rsidRDefault="00740869" w:rsidP="00740869">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sidRPr="009806ED">
              <w:rPr>
                <w:rFonts w:asciiTheme="minorHAnsi" w:hAnsiTheme="minorHAnsi" w:cstheme="minorHAnsi"/>
                <w:szCs w:val="20"/>
                <w:lang w:eastAsia="fr-FR" w:bidi="ar-SA"/>
              </w:rPr>
              <w:t>Réutiliser les fûts vides nettoyés et certifiés pour stockage temporaire de produits compatibles.</w:t>
            </w:r>
          </w:p>
        </w:tc>
        <w:tc>
          <w:tcPr>
            <w:tcW w:w="1505" w:type="dxa"/>
            <w:vMerge/>
          </w:tcPr>
          <w:p w14:paraId="395EB4D8" w14:textId="77777777" w:rsidR="00740869" w:rsidRPr="004637C7" w:rsidRDefault="00740869" w:rsidP="006A1231">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p>
        </w:tc>
        <w:tc>
          <w:tcPr>
            <w:tcW w:w="0" w:type="auto"/>
            <w:vMerge/>
          </w:tcPr>
          <w:p w14:paraId="014C90EC" w14:textId="77777777" w:rsidR="00740869" w:rsidRPr="00F247B0" w:rsidRDefault="00740869" w:rsidP="006A1231">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p>
        </w:tc>
        <w:tc>
          <w:tcPr>
            <w:tcW w:w="0" w:type="auto"/>
            <w:vMerge/>
          </w:tcPr>
          <w:p w14:paraId="71606807" w14:textId="77777777" w:rsidR="00740869" w:rsidRDefault="00740869" w:rsidP="006A1231">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p>
        </w:tc>
        <w:tc>
          <w:tcPr>
            <w:tcW w:w="0" w:type="auto"/>
            <w:vMerge/>
          </w:tcPr>
          <w:p w14:paraId="1A83BA86" w14:textId="77777777" w:rsidR="00740869" w:rsidRPr="00F247B0" w:rsidRDefault="00740869" w:rsidP="006A1231">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p>
        </w:tc>
        <w:tc>
          <w:tcPr>
            <w:tcW w:w="0" w:type="auto"/>
            <w:vMerge/>
          </w:tcPr>
          <w:p w14:paraId="4A976DF0" w14:textId="77777777" w:rsidR="00740869" w:rsidRPr="004946D8" w:rsidRDefault="00740869" w:rsidP="006A1231">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p>
        </w:tc>
        <w:tc>
          <w:tcPr>
            <w:tcW w:w="0" w:type="auto"/>
            <w:tcBorders>
              <w:top w:val="single" w:sz="4" w:space="0" w:color="B4C6E7" w:themeColor="accent1" w:themeTint="66"/>
            </w:tcBorders>
          </w:tcPr>
          <w:p w14:paraId="2E616010" w14:textId="069B9CB9" w:rsidR="00740869" w:rsidRPr="00740869" w:rsidRDefault="00270862" w:rsidP="006A1231">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270862">
              <w:rPr>
                <w:rFonts w:asciiTheme="minorHAnsi" w:hAnsiTheme="minorHAnsi" w:cstheme="minorHAnsi"/>
                <w:szCs w:val="20"/>
              </w:rPr>
              <w:t>300</w:t>
            </w:r>
            <w:r>
              <w:rPr>
                <w:rFonts w:asciiTheme="minorHAnsi" w:hAnsiTheme="minorHAnsi" w:cstheme="minorHAnsi"/>
                <w:szCs w:val="20"/>
              </w:rPr>
              <w:t xml:space="preserve"> MAD</w:t>
            </w:r>
            <w:r w:rsidRPr="00270862">
              <w:rPr>
                <w:rFonts w:asciiTheme="minorHAnsi" w:hAnsiTheme="minorHAnsi" w:cstheme="minorHAnsi"/>
                <w:szCs w:val="20"/>
              </w:rPr>
              <w:t xml:space="preserve"> /fût</w:t>
            </w:r>
          </w:p>
        </w:tc>
      </w:tr>
      <w:tr w:rsidR="00190929" w:rsidRPr="00CA63D5" w14:paraId="10CD254E" w14:textId="77777777" w:rsidTr="005A7661">
        <w:tc>
          <w:tcPr>
            <w:cnfStyle w:val="001000000000" w:firstRow="0" w:lastRow="0" w:firstColumn="1" w:lastColumn="0" w:oddVBand="0" w:evenVBand="0" w:oddHBand="0" w:evenHBand="0" w:firstRowFirstColumn="0" w:firstRowLastColumn="0" w:lastRowFirstColumn="0" w:lastRowLastColumn="0"/>
            <w:tcW w:w="0" w:type="auto"/>
            <w:vMerge w:val="restart"/>
          </w:tcPr>
          <w:p w14:paraId="6F2CDCBC" w14:textId="2C02D75C" w:rsidR="00190929" w:rsidRPr="004637C7" w:rsidRDefault="00190929" w:rsidP="006A1231">
            <w:pPr>
              <w:spacing w:before="0" w:after="0" w:line="240" w:lineRule="auto"/>
              <w:jc w:val="left"/>
              <w:rPr>
                <w:rFonts w:asciiTheme="minorHAnsi" w:hAnsiTheme="minorHAnsi" w:cstheme="minorHAnsi"/>
                <w:szCs w:val="20"/>
                <w:lang w:eastAsia="fr-FR" w:bidi="ar-SA"/>
              </w:rPr>
            </w:pPr>
            <w:r w:rsidRPr="005C548C">
              <w:rPr>
                <w:rFonts w:asciiTheme="minorHAnsi" w:hAnsiTheme="minorHAnsi" w:cstheme="minorHAnsi"/>
                <w:szCs w:val="20"/>
                <w:lang w:eastAsia="fr-FR" w:bidi="ar-SA"/>
              </w:rPr>
              <w:t>Risque d’exposition du personnel à des produits dangereux (hydrocarbures, solvants, peintures, graisses, aérosols)</w:t>
            </w:r>
          </w:p>
        </w:tc>
        <w:tc>
          <w:tcPr>
            <w:tcW w:w="1360" w:type="dxa"/>
          </w:tcPr>
          <w:p w14:paraId="271D0FF6" w14:textId="7EA96FB8" w:rsidR="00190929" w:rsidRPr="004637C7" w:rsidRDefault="00190929" w:rsidP="006A1231">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Pr>
                <w:rFonts w:asciiTheme="minorHAnsi" w:hAnsiTheme="minorHAnsi" w:cstheme="minorHAnsi"/>
                <w:szCs w:val="20"/>
                <w:lang w:eastAsia="fr-FR" w:bidi="ar-SA"/>
              </w:rPr>
              <w:t>Eviter</w:t>
            </w:r>
          </w:p>
        </w:tc>
        <w:tc>
          <w:tcPr>
            <w:tcW w:w="1981" w:type="dxa"/>
          </w:tcPr>
          <w:p w14:paraId="20FA06FE" w14:textId="2D9D46EA" w:rsidR="00190929" w:rsidRPr="004637C7" w:rsidRDefault="00190929" w:rsidP="006A1231">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sidRPr="006A1231">
              <w:rPr>
                <w:rFonts w:asciiTheme="minorHAnsi" w:hAnsiTheme="minorHAnsi" w:cstheme="minorHAnsi"/>
                <w:szCs w:val="20"/>
                <w:lang w:eastAsia="fr-FR" w:bidi="ar-SA"/>
              </w:rPr>
              <w:t>Mettre en œuvre le Plan de Santé et Sécurité au Travail (PSST) intégrant la gestion des produits chimiques, la limitation d’accès aux zones à risque et la signalisation normalisée.</w:t>
            </w:r>
          </w:p>
        </w:tc>
        <w:tc>
          <w:tcPr>
            <w:tcW w:w="1505" w:type="dxa"/>
          </w:tcPr>
          <w:p w14:paraId="32EB01B6" w14:textId="224E703E" w:rsidR="00190929" w:rsidRPr="004637C7" w:rsidRDefault="00190929" w:rsidP="006A1231">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sidRPr="006A1231">
              <w:rPr>
                <w:rFonts w:asciiTheme="minorHAnsi" w:hAnsiTheme="minorHAnsi" w:cstheme="minorHAnsi"/>
                <w:szCs w:val="20"/>
                <w:lang w:eastAsia="fr-FR" w:bidi="ar-SA"/>
              </w:rPr>
              <w:t>PSST validé et diffusé à l’ensemble du personnel concerné</w:t>
            </w:r>
          </w:p>
        </w:tc>
        <w:tc>
          <w:tcPr>
            <w:tcW w:w="0" w:type="auto"/>
          </w:tcPr>
          <w:p w14:paraId="7CAD68DF" w14:textId="2EBFDE5B" w:rsidR="00190929" w:rsidRPr="00F247B0" w:rsidRDefault="00190929" w:rsidP="006A1231">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F247B0">
              <w:rPr>
                <w:rFonts w:asciiTheme="minorHAnsi" w:hAnsiTheme="minorHAnsi" w:cstheme="minorHAnsi"/>
                <w:szCs w:val="20"/>
              </w:rPr>
              <w:t>ONDA</w:t>
            </w:r>
          </w:p>
        </w:tc>
        <w:tc>
          <w:tcPr>
            <w:tcW w:w="0" w:type="auto"/>
          </w:tcPr>
          <w:p w14:paraId="239D3756" w14:textId="22F6BE55" w:rsidR="00190929" w:rsidRDefault="00190929" w:rsidP="006A1231">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Pr>
                <w:rFonts w:asciiTheme="minorHAnsi" w:hAnsiTheme="minorHAnsi" w:cstheme="minorHAnsi"/>
                <w:szCs w:val="20"/>
              </w:rPr>
              <w:t>ONDA</w:t>
            </w:r>
          </w:p>
        </w:tc>
        <w:tc>
          <w:tcPr>
            <w:tcW w:w="0" w:type="auto"/>
          </w:tcPr>
          <w:p w14:paraId="6160AFB0" w14:textId="6EF07681" w:rsidR="00190929" w:rsidRPr="00F247B0" w:rsidRDefault="00190929" w:rsidP="006A1231">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F247B0">
              <w:rPr>
                <w:rFonts w:asciiTheme="minorHAnsi" w:hAnsiTheme="minorHAnsi" w:cstheme="minorHAnsi"/>
                <w:szCs w:val="20"/>
              </w:rPr>
              <w:t>ONDA</w:t>
            </w:r>
          </w:p>
        </w:tc>
        <w:tc>
          <w:tcPr>
            <w:tcW w:w="0" w:type="auto"/>
          </w:tcPr>
          <w:p w14:paraId="5540DDC9" w14:textId="3C6C7323" w:rsidR="00190929" w:rsidRDefault="00190929" w:rsidP="006A1231">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sidRPr="006A1231">
              <w:rPr>
                <w:rFonts w:asciiTheme="minorHAnsi" w:hAnsiTheme="minorHAnsi" w:cstheme="minorHAnsi"/>
                <w:szCs w:val="20"/>
                <w:lang w:eastAsia="fr-FR" w:bidi="ar-SA"/>
              </w:rPr>
              <w:t>Avant démarrage de l’exploitation</w:t>
            </w:r>
          </w:p>
        </w:tc>
        <w:tc>
          <w:tcPr>
            <w:tcW w:w="0" w:type="auto"/>
          </w:tcPr>
          <w:p w14:paraId="3489429C" w14:textId="1AD82C3E" w:rsidR="00190929" w:rsidRDefault="00190929" w:rsidP="006A1231">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Pr>
                <w:rFonts w:asciiTheme="minorHAnsi" w:hAnsiTheme="minorHAnsi" w:cstheme="minorHAnsi"/>
                <w:szCs w:val="20"/>
              </w:rPr>
              <w:t>Aucun coût spécifique</w:t>
            </w:r>
          </w:p>
        </w:tc>
      </w:tr>
      <w:tr w:rsidR="00190929" w:rsidRPr="00CA63D5" w14:paraId="46B69965" w14:textId="77777777" w:rsidTr="005A7661">
        <w:tc>
          <w:tcPr>
            <w:cnfStyle w:val="001000000000" w:firstRow="0" w:lastRow="0" w:firstColumn="1" w:lastColumn="0" w:oddVBand="0" w:evenVBand="0" w:oddHBand="0" w:evenHBand="0" w:firstRowFirstColumn="0" w:firstRowLastColumn="0" w:lastRowFirstColumn="0" w:lastRowLastColumn="0"/>
            <w:tcW w:w="0" w:type="auto"/>
            <w:vMerge/>
          </w:tcPr>
          <w:p w14:paraId="291CD184" w14:textId="77777777" w:rsidR="00190929" w:rsidRPr="004637C7" w:rsidRDefault="00190929" w:rsidP="00AA78EE">
            <w:pPr>
              <w:spacing w:before="0" w:after="0" w:line="240" w:lineRule="auto"/>
              <w:jc w:val="left"/>
              <w:rPr>
                <w:rFonts w:asciiTheme="minorHAnsi" w:hAnsiTheme="minorHAnsi" w:cstheme="minorHAnsi"/>
                <w:szCs w:val="20"/>
                <w:lang w:eastAsia="fr-FR" w:bidi="ar-SA"/>
              </w:rPr>
            </w:pPr>
          </w:p>
        </w:tc>
        <w:tc>
          <w:tcPr>
            <w:tcW w:w="1360" w:type="dxa"/>
          </w:tcPr>
          <w:p w14:paraId="519E86ED" w14:textId="48E00949" w:rsidR="00190929" w:rsidRPr="004637C7" w:rsidRDefault="00190929" w:rsidP="00AA78EE">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Pr>
                <w:rFonts w:asciiTheme="minorHAnsi" w:hAnsiTheme="minorHAnsi" w:cstheme="minorHAnsi"/>
                <w:szCs w:val="20"/>
                <w:lang w:eastAsia="fr-FR" w:bidi="ar-SA"/>
              </w:rPr>
              <w:t>Réduire</w:t>
            </w:r>
          </w:p>
        </w:tc>
        <w:tc>
          <w:tcPr>
            <w:tcW w:w="1981" w:type="dxa"/>
          </w:tcPr>
          <w:p w14:paraId="49AB00FF" w14:textId="026358C5" w:rsidR="00190929" w:rsidRPr="004637C7" w:rsidRDefault="00190929" w:rsidP="00AA78EE">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sidRPr="006A1231">
              <w:rPr>
                <w:rFonts w:asciiTheme="minorHAnsi" w:hAnsiTheme="minorHAnsi" w:cstheme="minorHAnsi"/>
                <w:szCs w:val="20"/>
                <w:lang w:eastAsia="fr-FR" w:bidi="ar-SA"/>
              </w:rPr>
              <w:t xml:space="preserve">Fournir des Équipements de Protection Individuelle (EPI) adaptés (gants nitrile, masques </w:t>
            </w:r>
            <w:r w:rsidRPr="006A1231">
              <w:rPr>
                <w:rFonts w:asciiTheme="minorHAnsi" w:hAnsiTheme="minorHAnsi" w:cstheme="minorHAnsi"/>
                <w:szCs w:val="20"/>
                <w:lang w:eastAsia="fr-FR" w:bidi="ar-SA"/>
              </w:rPr>
              <w:lastRenderedPageBreak/>
              <w:t>filtrants, lunettes, combinaisons) et en assurer le port obligatoire et l’entretien périodique.</w:t>
            </w:r>
          </w:p>
        </w:tc>
        <w:tc>
          <w:tcPr>
            <w:tcW w:w="1505" w:type="dxa"/>
          </w:tcPr>
          <w:p w14:paraId="40521ABE" w14:textId="1BECE1BD" w:rsidR="00190929" w:rsidRPr="004637C7" w:rsidRDefault="00190929" w:rsidP="00AA78EE">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sidRPr="006A1231">
              <w:rPr>
                <w:rFonts w:asciiTheme="minorHAnsi" w:hAnsiTheme="minorHAnsi" w:cstheme="minorHAnsi"/>
                <w:szCs w:val="20"/>
                <w:lang w:eastAsia="fr-FR" w:bidi="ar-SA"/>
              </w:rPr>
              <w:lastRenderedPageBreak/>
              <w:t>% de personnel équipé / contrôles HSE positifs</w:t>
            </w:r>
          </w:p>
        </w:tc>
        <w:tc>
          <w:tcPr>
            <w:tcW w:w="0" w:type="auto"/>
          </w:tcPr>
          <w:p w14:paraId="28D8B847" w14:textId="292E440E" w:rsidR="00190929" w:rsidRPr="00F247B0" w:rsidRDefault="00190929" w:rsidP="00AA78EE">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F247B0">
              <w:rPr>
                <w:rFonts w:asciiTheme="minorHAnsi" w:hAnsiTheme="minorHAnsi" w:cstheme="minorHAnsi"/>
                <w:szCs w:val="20"/>
              </w:rPr>
              <w:t>ONDA</w:t>
            </w:r>
            <w:r>
              <w:rPr>
                <w:rFonts w:asciiTheme="minorHAnsi" w:hAnsiTheme="minorHAnsi" w:cstheme="minorHAnsi"/>
                <w:szCs w:val="20"/>
              </w:rPr>
              <w:t>/Exploitant</w:t>
            </w:r>
          </w:p>
        </w:tc>
        <w:tc>
          <w:tcPr>
            <w:tcW w:w="0" w:type="auto"/>
          </w:tcPr>
          <w:p w14:paraId="1D2239B0" w14:textId="6EF59D68" w:rsidR="00190929" w:rsidRDefault="00190929" w:rsidP="00AA78EE">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Pr>
                <w:rFonts w:asciiTheme="minorHAnsi" w:hAnsiTheme="minorHAnsi" w:cstheme="minorHAnsi"/>
                <w:szCs w:val="20"/>
              </w:rPr>
              <w:t>ONDA</w:t>
            </w:r>
          </w:p>
        </w:tc>
        <w:tc>
          <w:tcPr>
            <w:tcW w:w="0" w:type="auto"/>
          </w:tcPr>
          <w:p w14:paraId="450BC9C3" w14:textId="5FA49431" w:rsidR="00190929" w:rsidRPr="00F247B0" w:rsidRDefault="00190929" w:rsidP="00AA78EE">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F247B0">
              <w:rPr>
                <w:rFonts w:asciiTheme="minorHAnsi" w:hAnsiTheme="minorHAnsi" w:cstheme="minorHAnsi"/>
                <w:szCs w:val="20"/>
              </w:rPr>
              <w:t>ONDA</w:t>
            </w:r>
          </w:p>
        </w:tc>
        <w:tc>
          <w:tcPr>
            <w:tcW w:w="0" w:type="auto"/>
          </w:tcPr>
          <w:p w14:paraId="704819D9" w14:textId="04F865BF" w:rsidR="00190929" w:rsidRDefault="00190929" w:rsidP="00AA78EE">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sidRPr="00AA78EE">
              <w:rPr>
                <w:rFonts w:asciiTheme="minorHAnsi" w:hAnsiTheme="minorHAnsi" w:cstheme="minorHAnsi"/>
                <w:szCs w:val="20"/>
                <w:lang w:eastAsia="fr-FR" w:bidi="ar-SA"/>
              </w:rPr>
              <w:t>Quotidien</w:t>
            </w:r>
          </w:p>
        </w:tc>
        <w:tc>
          <w:tcPr>
            <w:tcW w:w="0" w:type="auto"/>
          </w:tcPr>
          <w:p w14:paraId="19149C23" w14:textId="7226017D" w:rsidR="00190929" w:rsidRDefault="00190929" w:rsidP="00AA78EE">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sidRPr="004F2E8F">
              <w:rPr>
                <w:rFonts w:asciiTheme="minorHAnsi" w:hAnsiTheme="minorHAnsi" w:cstheme="minorHAnsi"/>
                <w:szCs w:val="20"/>
              </w:rPr>
              <w:t xml:space="preserve">150 – 200 </w:t>
            </w:r>
            <w:r>
              <w:rPr>
                <w:rFonts w:asciiTheme="minorHAnsi" w:hAnsiTheme="minorHAnsi" w:cstheme="minorHAnsi"/>
                <w:szCs w:val="20"/>
              </w:rPr>
              <w:t>MAD</w:t>
            </w:r>
            <w:r w:rsidRPr="004F2E8F">
              <w:rPr>
                <w:rFonts w:asciiTheme="minorHAnsi" w:hAnsiTheme="minorHAnsi" w:cstheme="minorHAnsi"/>
                <w:szCs w:val="20"/>
              </w:rPr>
              <w:t>/kit/personne</w:t>
            </w:r>
          </w:p>
        </w:tc>
      </w:tr>
      <w:tr w:rsidR="00190929" w:rsidRPr="00CA63D5" w14:paraId="66D80B1D" w14:textId="77777777" w:rsidTr="005A7661">
        <w:tc>
          <w:tcPr>
            <w:cnfStyle w:val="001000000000" w:firstRow="0" w:lastRow="0" w:firstColumn="1" w:lastColumn="0" w:oddVBand="0" w:evenVBand="0" w:oddHBand="0" w:evenHBand="0" w:firstRowFirstColumn="0" w:firstRowLastColumn="0" w:lastRowFirstColumn="0" w:lastRowLastColumn="0"/>
            <w:tcW w:w="0" w:type="auto"/>
            <w:vMerge/>
          </w:tcPr>
          <w:p w14:paraId="71357E2B" w14:textId="77777777" w:rsidR="00190929" w:rsidRPr="004637C7" w:rsidRDefault="00190929" w:rsidP="00AE233A">
            <w:pPr>
              <w:spacing w:before="0" w:after="0" w:line="240" w:lineRule="auto"/>
              <w:jc w:val="left"/>
              <w:rPr>
                <w:rFonts w:asciiTheme="minorHAnsi" w:hAnsiTheme="minorHAnsi" w:cstheme="minorHAnsi"/>
                <w:szCs w:val="20"/>
                <w:lang w:eastAsia="fr-FR" w:bidi="ar-SA"/>
              </w:rPr>
            </w:pPr>
          </w:p>
        </w:tc>
        <w:tc>
          <w:tcPr>
            <w:tcW w:w="1360" w:type="dxa"/>
          </w:tcPr>
          <w:p w14:paraId="2C361C67" w14:textId="67FC51EA" w:rsidR="00190929" w:rsidRPr="004637C7" w:rsidRDefault="00190929" w:rsidP="00AE233A">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Pr>
                <w:rFonts w:asciiTheme="minorHAnsi" w:hAnsiTheme="minorHAnsi" w:cstheme="minorHAnsi"/>
                <w:szCs w:val="20"/>
                <w:lang w:eastAsia="fr-FR" w:bidi="ar-SA"/>
              </w:rPr>
              <w:t xml:space="preserve">Atténuer </w:t>
            </w:r>
          </w:p>
        </w:tc>
        <w:tc>
          <w:tcPr>
            <w:tcW w:w="1981" w:type="dxa"/>
          </w:tcPr>
          <w:p w14:paraId="32EC5ABC" w14:textId="742EDAA9" w:rsidR="00190929" w:rsidRPr="004637C7" w:rsidRDefault="00190929" w:rsidP="00AE233A">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sidRPr="006A1231">
              <w:rPr>
                <w:rFonts w:asciiTheme="minorHAnsi" w:hAnsiTheme="minorHAnsi" w:cstheme="minorHAnsi"/>
                <w:szCs w:val="20"/>
                <w:lang w:eastAsia="fr-FR" w:bidi="ar-SA"/>
              </w:rPr>
              <w:t>Organiser des sessions de formation trimestrielles sur la manipulation sécurisée des produits chimiques, la lecture des Fiches de Données de Sécurité (FDS), et les procédures d’urgence en cas d’exposition.</w:t>
            </w:r>
          </w:p>
        </w:tc>
        <w:tc>
          <w:tcPr>
            <w:tcW w:w="1505" w:type="dxa"/>
          </w:tcPr>
          <w:p w14:paraId="3061A46E" w14:textId="50EA0317" w:rsidR="00190929" w:rsidRPr="004637C7" w:rsidRDefault="00190929" w:rsidP="00AE233A">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sidRPr="006A1231">
              <w:rPr>
                <w:rFonts w:asciiTheme="minorHAnsi" w:hAnsiTheme="minorHAnsi" w:cstheme="minorHAnsi"/>
                <w:szCs w:val="20"/>
                <w:lang w:eastAsia="fr-FR" w:bidi="ar-SA"/>
              </w:rPr>
              <w:t>% du personnel formé / Nb sessions par trimestre</w:t>
            </w:r>
          </w:p>
        </w:tc>
        <w:tc>
          <w:tcPr>
            <w:tcW w:w="0" w:type="auto"/>
          </w:tcPr>
          <w:p w14:paraId="2CEDEA67" w14:textId="02D9B9F9" w:rsidR="00190929" w:rsidRPr="00F247B0" w:rsidRDefault="00190929" w:rsidP="00AE233A">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F247B0">
              <w:rPr>
                <w:rFonts w:asciiTheme="minorHAnsi" w:hAnsiTheme="minorHAnsi" w:cstheme="minorHAnsi"/>
                <w:szCs w:val="20"/>
              </w:rPr>
              <w:t>ONDA</w:t>
            </w:r>
            <w:r>
              <w:rPr>
                <w:rFonts w:asciiTheme="minorHAnsi" w:hAnsiTheme="minorHAnsi" w:cstheme="minorHAnsi"/>
                <w:szCs w:val="20"/>
              </w:rPr>
              <w:t>/Exploitant</w:t>
            </w:r>
          </w:p>
        </w:tc>
        <w:tc>
          <w:tcPr>
            <w:tcW w:w="0" w:type="auto"/>
          </w:tcPr>
          <w:p w14:paraId="3E462E1C" w14:textId="75C02FF0" w:rsidR="00190929" w:rsidRDefault="00190929" w:rsidP="00AE233A">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Pr>
                <w:rFonts w:asciiTheme="minorHAnsi" w:hAnsiTheme="minorHAnsi" w:cstheme="minorHAnsi"/>
                <w:szCs w:val="20"/>
              </w:rPr>
              <w:t>ONDA</w:t>
            </w:r>
          </w:p>
        </w:tc>
        <w:tc>
          <w:tcPr>
            <w:tcW w:w="0" w:type="auto"/>
          </w:tcPr>
          <w:p w14:paraId="2563C6F5" w14:textId="68FC0A04" w:rsidR="00190929" w:rsidRPr="00F247B0" w:rsidRDefault="00190929" w:rsidP="00AE233A">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F247B0">
              <w:rPr>
                <w:rFonts w:asciiTheme="minorHAnsi" w:hAnsiTheme="minorHAnsi" w:cstheme="minorHAnsi"/>
                <w:szCs w:val="20"/>
              </w:rPr>
              <w:t>ONDA</w:t>
            </w:r>
          </w:p>
        </w:tc>
        <w:tc>
          <w:tcPr>
            <w:tcW w:w="0" w:type="auto"/>
          </w:tcPr>
          <w:p w14:paraId="7FD47639" w14:textId="57750341" w:rsidR="00190929" w:rsidRDefault="00190929" w:rsidP="00AE233A">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sidRPr="00AA78EE">
              <w:rPr>
                <w:rFonts w:asciiTheme="minorHAnsi" w:hAnsiTheme="minorHAnsi" w:cstheme="minorHAnsi"/>
                <w:szCs w:val="20"/>
                <w:lang w:eastAsia="fr-FR" w:bidi="ar-SA"/>
              </w:rPr>
              <w:t>Trimestriel</w:t>
            </w:r>
          </w:p>
        </w:tc>
        <w:tc>
          <w:tcPr>
            <w:tcW w:w="0" w:type="auto"/>
          </w:tcPr>
          <w:p w14:paraId="14C86504" w14:textId="371416BD" w:rsidR="00190929" w:rsidRDefault="00190929" w:rsidP="00AE233A">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Pr>
                <w:rFonts w:asciiTheme="minorHAnsi" w:hAnsiTheme="minorHAnsi" w:cstheme="minorHAnsi"/>
                <w:szCs w:val="20"/>
                <w:lang w:eastAsia="fr-FR" w:bidi="ar-SA"/>
              </w:rPr>
              <w:t>4000MAD/Formateur/jour</w:t>
            </w:r>
          </w:p>
        </w:tc>
      </w:tr>
      <w:tr w:rsidR="00190929" w:rsidRPr="00CA63D5" w14:paraId="4E39B785" w14:textId="77777777" w:rsidTr="00190929">
        <w:trPr>
          <w:trHeight w:val="1660"/>
        </w:trPr>
        <w:tc>
          <w:tcPr>
            <w:cnfStyle w:val="001000000000" w:firstRow="0" w:lastRow="0" w:firstColumn="1" w:lastColumn="0" w:oddVBand="0" w:evenVBand="0" w:oddHBand="0" w:evenHBand="0" w:firstRowFirstColumn="0" w:firstRowLastColumn="0" w:lastRowFirstColumn="0" w:lastRowLastColumn="0"/>
            <w:tcW w:w="0" w:type="auto"/>
            <w:vMerge/>
          </w:tcPr>
          <w:p w14:paraId="458C2FED" w14:textId="77777777" w:rsidR="00190929" w:rsidRPr="004637C7" w:rsidRDefault="00190929" w:rsidP="00AE233A">
            <w:pPr>
              <w:spacing w:before="0" w:after="0" w:line="240" w:lineRule="auto"/>
              <w:jc w:val="left"/>
              <w:rPr>
                <w:rFonts w:asciiTheme="minorHAnsi" w:hAnsiTheme="minorHAnsi" w:cstheme="minorHAnsi"/>
                <w:szCs w:val="20"/>
                <w:lang w:eastAsia="fr-FR" w:bidi="ar-SA"/>
              </w:rPr>
            </w:pPr>
          </w:p>
        </w:tc>
        <w:tc>
          <w:tcPr>
            <w:tcW w:w="1360" w:type="dxa"/>
            <w:vMerge w:val="restart"/>
          </w:tcPr>
          <w:p w14:paraId="2E178279" w14:textId="36E2C64C" w:rsidR="00190929" w:rsidRPr="004637C7" w:rsidRDefault="00190929" w:rsidP="00AE233A">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Pr>
                <w:rFonts w:asciiTheme="minorHAnsi" w:hAnsiTheme="minorHAnsi" w:cstheme="minorHAnsi"/>
                <w:szCs w:val="20"/>
                <w:lang w:eastAsia="fr-FR" w:bidi="ar-SA"/>
              </w:rPr>
              <w:t>Compenser</w:t>
            </w:r>
          </w:p>
        </w:tc>
        <w:tc>
          <w:tcPr>
            <w:tcW w:w="1981" w:type="dxa"/>
            <w:tcBorders>
              <w:bottom w:val="single" w:sz="4" w:space="0" w:color="B4C6E7" w:themeColor="accent1" w:themeTint="66"/>
            </w:tcBorders>
          </w:tcPr>
          <w:p w14:paraId="56F53199" w14:textId="738CE868" w:rsidR="00190929" w:rsidRPr="004637C7" w:rsidRDefault="00190929" w:rsidP="00AE233A">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sidRPr="00AA78EE">
              <w:rPr>
                <w:rFonts w:asciiTheme="minorHAnsi" w:hAnsiTheme="minorHAnsi" w:cstheme="minorHAnsi"/>
                <w:szCs w:val="20"/>
                <w:lang w:eastAsia="fr-FR" w:bidi="ar-SA"/>
              </w:rPr>
              <w:t xml:space="preserve">Assurer un suivi médical régulier des travailleurs exposés (visite semestrielle, test respiratoire, bilan biologique). </w:t>
            </w:r>
          </w:p>
        </w:tc>
        <w:tc>
          <w:tcPr>
            <w:tcW w:w="1505" w:type="dxa"/>
            <w:vMerge w:val="restart"/>
          </w:tcPr>
          <w:p w14:paraId="177CAC07" w14:textId="28BA6CBD" w:rsidR="00190929" w:rsidRPr="004637C7" w:rsidRDefault="00190929" w:rsidP="00AE233A">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sidRPr="006A1231">
              <w:rPr>
                <w:rFonts w:asciiTheme="minorHAnsi" w:hAnsiTheme="minorHAnsi" w:cstheme="minorHAnsi"/>
                <w:szCs w:val="20"/>
                <w:lang w:eastAsia="fr-FR" w:bidi="ar-SA"/>
              </w:rPr>
              <w:t>Nombre de suivis médicaux effectués / Registre HSE mis à jour</w:t>
            </w:r>
          </w:p>
        </w:tc>
        <w:tc>
          <w:tcPr>
            <w:tcW w:w="0" w:type="auto"/>
            <w:vMerge w:val="restart"/>
          </w:tcPr>
          <w:p w14:paraId="24E03C2C" w14:textId="281927BA" w:rsidR="00190929" w:rsidRPr="00F247B0" w:rsidRDefault="00190929" w:rsidP="00AE233A">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F247B0">
              <w:rPr>
                <w:rFonts w:asciiTheme="minorHAnsi" w:hAnsiTheme="minorHAnsi" w:cstheme="minorHAnsi"/>
                <w:szCs w:val="20"/>
              </w:rPr>
              <w:t>ONDA</w:t>
            </w:r>
            <w:r>
              <w:rPr>
                <w:rFonts w:asciiTheme="minorHAnsi" w:hAnsiTheme="minorHAnsi" w:cstheme="minorHAnsi"/>
                <w:szCs w:val="20"/>
              </w:rPr>
              <w:t>/Exploitant</w:t>
            </w:r>
          </w:p>
        </w:tc>
        <w:tc>
          <w:tcPr>
            <w:tcW w:w="0" w:type="auto"/>
            <w:vMerge w:val="restart"/>
          </w:tcPr>
          <w:p w14:paraId="49711D3B" w14:textId="6815D01A" w:rsidR="00190929" w:rsidRDefault="00190929" w:rsidP="00AE233A">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Pr>
                <w:rFonts w:asciiTheme="minorHAnsi" w:hAnsiTheme="minorHAnsi" w:cstheme="minorHAnsi"/>
                <w:szCs w:val="20"/>
              </w:rPr>
              <w:t>ONDA</w:t>
            </w:r>
          </w:p>
        </w:tc>
        <w:tc>
          <w:tcPr>
            <w:tcW w:w="0" w:type="auto"/>
            <w:vMerge w:val="restart"/>
          </w:tcPr>
          <w:p w14:paraId="137B3195" w14:textId="27DD64DE" w:rsidR="00190929" w:rsidRPr="00F247B0" w:rsidRDefault="00190929" w:rsidP="00AE233A">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F247B0">
              <w:rPr>
                <w:rFonts w:asciiTheme="minorHAnsi" w:hAnsiTheme="minorHAnsi" w:cstheme="minorHAnsi"/>
                <w:szCs w:val="20"/>
              </w:rPr>
              <w:t>ONDA</w:t>
            </w:r>
          </w:p>
        </w:tc>
        <w:tc>
          <w:tcPr>
            <w:tcW w:w="0" w:type="auto"/>
            <w:vMerge w:val="restart"/>
          </w:tcPr>
          <w:p w14:paraId="7829F01A" w14:textId="4B99AAF6" w:rsidR="00190929" w:rsidRDefault="00190929" w:rsidP="00AE233A">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Pr>
                <w:rFonts w:asciiTheme="minorHAnsi" w:hAnsiTheme="minorHAnsi" w:cstheme="minorHAnsi"/>
                <w:szCs w:val="20"/>
                <w:lang w:eastAsia="fr-FR" w:bidi="ar-SA"/>
              </w:rPr>
              <w:t>Semestriel</w:t>
            </w:r>
          </w:p>
        </w:tc>
        <w:tc>
          <w:tcPr>
            <w:tcW w:w="0" w:type="auto"/>
            <w:tcBorders>
              <w:bottom w:val="single" w:sz="4" w:space="0" w:color="B4C6E7" w:themeColor="accent1" w:themeTint="66"/>
            </w:tcBorders>
          </w:tcPr>
          <w:p w14:paraId="7BED0084" w14:textId="775BA247" w:rsidR="00190929" w:rsidRDefault="00190929" w:rsidP="00AE233A">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sidRPr="00AE233A">
              <w:rPr>
                <w:rFonts w:asciiTheme="minorHAnsi" w:hAnsiTheme="minorHAnsi" w:cstheme="minorHAnsi"/>
                <w:szCs w:val="20"/>
              </w:rPr>
              <w:t>Tarifs médecins du travail agréés ONDA</w:t>
            </w:r>
          </w:p>
        </w:tc>
      </w:tr>
      <w:tr w:rsidR="00190929" w:rsidRPr="00CA63D5" w14:paraId="7BCBC1D2" w14:textId="77777777" w:rsidTr="00190929">
        <w:trPr>
          <w:trHeight w:val="1020"/>
        </w:trPr>
        <w:tc>
          <w:tcPr>
            <w:cnfStyle w:val="001000000000" w:firstRow="0" w:lastRow="0" w:firstColumn="1" w:lastColumn="0" w:oddVBand="0" w:evenVBand="0" w:oddHBand="0" w:evenHBand="0" w:firstRowFirstColumn="0" w:firstRowLastColumn="0" w:lastRowFirstColumn="0" w:lastRowLastColumn="0"/>
            <w:tcW w:w="0" w:type="auto"/>
            <w:vMerge/>
          </w:tcPr>
          <w:p w14:paraId="31305ACC" w14:textId="77777777" w:rsidR="00190929" w:rsidRPr="004637C7" w:rsidRDefault="00190929" w:rsidP="00AE233A">
            <w:pPr>
              <w:spacing w:before="0" w:after="0" w:line="240" w:lineRule="auto"/>
              <w:jc w:val="left"/>
              <w:rPr>
                <w:rFonts w:asciiTheme="minorHAnsi" w:hAnsiTheme="minorHAnsi" w:cstheme="minorHAnsi"/>
                <w:szCs w:val="20"/>
                <w:lang w:eastAsia="fr-FR" w:bidi="ar-SA"/>
              </w:rPr>
            </w:pPr>
          </w:p>
        </w:tc>
        <w:tc>
          <w:tcPr>
            <w:tcW w:w="1360" w:type="dxa"/>
            <w:vMerge/>
          </w:tcPr>
          <w:p w14:paraId="27180A18" w14:textId="77777777" w:rsidR="00190929" w:rsidRDefault="00190929" w:rsidP="00AE233A">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p>
        </w:tc>
        <w:tc>
          <w:tcPr>
            <w:tcW w:w="1981" w:type="dxa"/>
            <w:tcBorders>
              <w:top w:val="single" w:sz="4" w:space="0" w:color="B4C6E7" w:themeColor="accent1" w:themeTint="66"/>
            </w:tcBorders>
          </w:tcPr>
          <w:p w14:paraId="60480738" w14:textId="77777777" w:rsidR="00190929" w:rsidRPr="00AA78EE" w:rsidRDefault="00190929" w:rsidP="00190929">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sidRPr="00AA78EE">
              <w:rPr>
                <w:rFonts w:asciiTheme="minorHAnsi" w:hAnsiTheme="minorHAnsi" w:cstheme="minorHAnsi"/>
                <w:szCs w:val="20"/>
                <w:lang w:eastAsia="fr-FR" w:bidi="ar-SA"/>
              </w:rPr>
              <w:t>Tenir un registre HSE consignant les incidents ou expositions.</w:t>
            </w:r>
          </w:p>
        </w:tc>
        <w:tc>
          <w:tcPr>
            <w:tcW w:w="1505" w:type="dxa"/>
            <w:vMerge/>
          </w:tcPr>
          <w:p w14:paraId="4649DAA4" w14:textId="77777777" w:rsidR="00190929" w:rsidRPr="006A1231" w:rsidRDefault="00190929" w:rsidP="00AE233A">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p>
        </w:tc>
        <w:tc>
          <w:tcPr>
            <w:tcW w:w="0" w:type="auto"/>
            <w:vMerge/>
          </w:tcPr>
          <w:p w14:paraId="1A55A39E" w14:textId="77777777" w:rsidR="00190929" w:rsidRPr="00F247B0" w:rsidRDefault="00190929" w:rsidP="00AE233A">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p>
        </w:tc>
        <w:tc>
          <w:tcPr>
            <w:tcW w:w="0" w:type="auto"/>
            <w:vMerge/>
          </w:tcPr>
          <w:p w14:paraId="6272964D" w14:textId="77777777" w:rsidR="00190929" w:rsidRDefault="00190929" w:rsidP="00AE233A">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p>
        </w:tc>
        <w:tc>
          <w:tcPr>
            <w:tcW w:w="0" w:type="auto"/>
            <w:vMerge/>
          </w:tcPr>
          <w:p w14:paraId="60FCE0C3" w14:textId="77777777" w:rsidR="00190929" w:rsidRPr="00F247B0" w:rsidRDefault="00190929" w:rsidP="00AE233A">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p>
        </w:tc>
        <w:tc>
          <w:tcPr>
            <w:tcW w:w="0" w:type="auto"/>
            <w:vMerge/>
          </w:tcPr>
          <w:p w14:paraId="60477C0B" w14:textId="77777777" w:rsidR="00190929" w:rsidRDefault="00190929" w:rsidP="00AE233A">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p>
        </w:tc>
        <w:tc>
          <w:tcPr>
            <w:tcW w:w="0" w:type="auto"/>
            <w:tcBorders>
              <w:top w:val="single" w:sz="4" w:space="0" w:color="B4C6E7" w:themeColor="accent1" w:themeTint="66"/>
            </w:tcBorders>
          </w:tcPr>
          <w:p w14:paraId="316E9EB8" w14:textId="18B93418" w:rsidR="00190929" w:rsidRPr="00AE233A" w:rsidRDefault="00190929" w:rsidP="00AE233A">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Pr>
                <w:rFonts w:asciiTheme="minorHAnsi" w:hAnsiTheme="minorHAnsi" w:cstheme="minorHAnsi"/>
                <w:szCs w:val="20"/>
              </w:rPr>
              <w:t>Aucun coût spécifique</w:t>
            </w:r>
          </w:p>
        </w:tc>
      </w:tr>
      <w:tr w:rsidR="00AE233A" w:rsidRPr="00CA63D5" w14:paraId="58BAE1DE" w14:textId="77A26CA0" w:rsidTr="00D60FC9">
        <w:tc>
          <w:tcPr>
            <w:cnfStyle w:val="001000000000" w:firstRow="0" w:lastRow="0" w:firstColumn="1" w:lastColumn="0" w:oddVBand="0" w:evenVBand="0" w:oddHBand="0" w:evenHBand="0" w:firstRowFirstColumn="0" w:firstRowLastColumn="0" w:lastRowFirstColumn="0" w:lastRowLastColumn="0"/>
            <w:tcW w:w="0" w:type="auto"/>
            <w:vMerge w:val="restart"/>
            <w:hideMark/>
          </w:tcPr>
          <w:p w14:paraId="540B5EA5" w14:textId="77777777" w:rsidR="00AE233A" w:rsidRPr="004637C7" w:rsidRDefault="00AE233A" w:rsidP="00AE233A">
            <w:pPr>
              <w:spacing w:before="0" w:after="0" w:line="240" w:lineRule="auto"/>
              <w:jc w:val="left"/>
              <w:rPr>
                <w:rFonts w:asciiTheme="minorHAnsi" w:hAnsiTheme="minorHAnsi" w:cstheme="minorHAnsi"/>
                <w:szCs w:val="20"/>
                <w:lang w:eastAsia="fr-FR" w:bidi="ar-SA"/>
              </w:rPr>
            </w:pPr>
            <w:r w:rsidRPr="004637C7">
              <w:rPr>
                <w:rFonts w:asciiTheme="minorHAnsi" w:hAnsiTheme="minorHAnsi" w:cstheme="minorHAnsi"/>
                <w:szCs w:val="20"/>
                <w:lang w:eastAsia="fr-FR" w:bidi="ar-SA"/>
              </w:rPr>
              <w:t xml:space="preserve">Risque d’incendie ou d’explosion </w:t>
            </w:r>
            <w:r w:rsidRPr="004637C7">
              <w:rPr>
                <w:rFonts w:asciiTheme="minorHAnsi" w:hAnsiTheme="minorHAnsi" w:cstheme="minorHAnsi"/>
                <w:szCs w:val="20"/>
                <w:lang w:eastAsia="fr-FR" w:bidi="ar-SA"/>
              </w:rPr>
              <w:lastRenderedPageBreak/>
              <w:t>dans les locaux techniques</w:t>
            </w:r>
          </w:p>
        </w:tc>
        <w:tc>
          <w:tcPr>
            <w:tcW w:w="1360" w:type="dxa"/>
            <w:hideMark/>
          </w:tcPr>
          <w:p w14:paraId="533AB535" w14:textId="77777777" w:rsidR="00AE233A" w:rsidRPr="004637C7" w:rsidRDefault="00AE233A" w:rsidP="00AE233A">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sidRPr="004637C7">
              <w:rPr>
                <w:rFonts w:asciiTheme="minorHAnsi" w:hAnsiTheme="minorHAnsi" w:cstheme="minorHAnsi"/>
                <w:szCs w:val="20"/>
                <w:lang w:eastAsia="fr-FR" w:bidi="ar-SA"/>
              </w:rPr>
              <w:lastRenderedPageBreak/>
              <w:t>Éviter</w:t>
            </w:r>
          </w:p>
        </w:tc>
        <w:tc>
          <w:tcPr>
            <w:tcW w:w="1981" w:type="dxa"/>
            <w:hideMark/>
          </w:tcPr>
          <w:p w14:paraId="0E46A738" w14:textId="77777777" w:rsidR="00AE233A" w:rsidRPr="004637C7" w:rsidRDefault="00AE233A" w:rsidP="00AE233A">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sidRPr="004637C7">
              <w:rPr>
                <w:rFonts w:asciiTheme="minorHAnsi" w:hAnsiTheme="minorHAnsi" w:cstheme="minorHAnsi"/>
                <w:szCs w:val="20"/>
                <w:lang w:eastAsia="fr-FR" w:bidi="ar-SA"/>
              </w:rPr>
              <w:t xml:space="preserve">Séparer les zones de stockage de produits inflammables des </w:t>
            </w:r>
            <w:r w:rsidRPr="004637C7">
              <w:rPr>
                <w:rFonts w:asciiTheme="minorHAnsi" w:hAnsiTheme="minorHAnsi" w:cstheme="minorHAnsi"/>
                <w:szCs w:val="20"/>
                <w:lang w:eastAsia="fr-FR" w:bidi="ar-SA"/>
              </w:rPr>
              <w:lastRenderedPageBreak/>
              <w:t>autres locaux et interdire tout accès non autorisé.</w:t>
            </w:r>
          </w:p>
        </w:tc>
        <w:tc>
          <w:tcPr>
            <w:tcW w:w="1505" w:type="dxa"/>
            <w:hideMark/>
          </w:tcPr>
          <w:p w14:paraId="4789D793" w14:textId="77777777" w:rsidR="00AE233A" w:rsidRPr="004637C7" w:rsidRDefault="00AE233A" w:rsidP="00AE233A">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sidRPr="004637C7">
              <w:rPr>
                <w:rFonts w:asciiTheme="minorHAnsi" w:hAnsiTheme="minorHAnsi" w:cstheme="minorHAnsi"/>
                <w:szCs w:val="20"/>
                <w:lang w:eastAsia="fr-FR" w:bidi="ar-SA"/>
              </w:rPr>
              <w:lastRenderedPageBreak/>
              <w:t xml:space="preserve">% de zones sécurisées ; nombre </w:t>
            </w:r>
            <w:r w:rsidRPr="004637C7">
              <w:rPr>
                <w:rFonts w:asciiTheme="minorHAnsi" w:hAnsiTheme="minorHAnsi" w:cstheme="minorHAnsi"/>
                <w:szCs w:val="20"/>
                <w:lang w:eastAsia="fr-FR" w:bidi="ar-SA"/>
              </w:rPr>
              <w:lastRenderedPageBreak/>
              <w:t>d’inspections conformes</w:t>
            </w:r>
          </w:p>
        </w:tc>
        <w:tc>
          <w:tcPr>
            <w:tcW w:w="0" w:type="auto"/>
          </w:tcPr>
          <w:p w14:paraId="3C3E8D6A" w14:textId="5AB738FA" w:rsidR="00AE233A" w:rsidRPr="00CA63D5" w:rsidRDefault="00AE233A" w:rsidP="00AE233A">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sidRPr="00F247B0">
              <w:rPr>
                <w:rFonts w:asciiTheme="minorHAnsi" w:hAnsiTheme="minorHAnsi" w:cstheme="minorHAnsi"/>
                <w:szCs w:val="20"/>
              </w:rPr>
              <w:lastRenderedPageBreak/>
              <w:t>ONDA</w:t>
            </w:r>
          </w:p>
        </w:tc>
        <w:tc>
          <w:tcPr>
            <w:tcW w:w="0" w:type="auto"/>
          </w:tcPr>
          <w:p w14:paraId="38449579" w14:textId="00AD2888" w:rsidR="00AE233A" w:rsidRPr="00CA63D5" w:rsidRDefault="00AE233A" w:rsidP="00AE233A">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Pr>
                <w:rFonts w:asciiTheme="minorHAnsi" w:hAnsiTheme="minorHAnsi" w:cstheme="minorHAnsi"/>
                <w:szCs w:val="20"/>
              </w:rPr>
              <w:t>ONDA</w:t>
            </w:r>
          </w:p>
        </w:tc>
        <w:tc>
          <w:tcPr>
            <w:tcW w:w="0" w:type="auto"/>
          </w:tcPr>
          <w:p w14:paraId="07DD6EDD" w14:textId="3F17D82C" w:rsidR="00AE233A" w:rsidRPr="00CA63D5" w:rsidRDefault="00AE233A" w:rsidP="00AE233A">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sidRPr="00F247B0">
              <w:rPr>
                <w:rFonts w:asciiTheme="minorHAnsi" w:hAnsiTheme="minorHAnsi" w:cstheme="minorHAnsi"/>
                <w:szCs w:val="20"/>
              </w:rPr>
              <w:t>ONDA</w:t>
            </w:r>
          </w:p>
        </w:tc>
        <w:tc>
          <w:tcPr>
            <w:tcW w:w="0" w:type="auto"/>
          </w:tcPr>
          <w:p w14:paraId="78120270" w14:textId="78FF6318" w:rsidR="00AE233A" w:rsidRPr="00CA63D5" w:rsidRDefault="00AE233A" w:rsidP="00AE233A">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Pr>
                <w:rFonts w:asciiTheme="minorHAnsi" w:hAnsiTheme="minorHAnsi" w:cstheme="minorHAnsi"/>
                <w:szCs w:val="20"/>
                <w:lang w:eastAsia="fr-FR" w:bidi="ar-SA"/>
              </w:rPr>
              <w:t>Tout au long de la phase d’exploitation</w:t>
            </w:r>
          </w:p>
        </w:tc>
        <w:tc>
          <w:tcPr>
            <w:tcW w:w="0" w:type="auto"/>
          </w:tcPr>
          <w:p w14:paraId="2D2E2ACA" w14:textId="55ADE111" w:rsidR="00AE233A" w:rsidRPr="00CA63D5" w:rsidRDefault="00AE233A" w:rsidP="00AE233A">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Pr>
                <w:rFonts w:asciiTheme="minorHAnsi" w:hAnsiTheme="minorHAnsi" w:cstheme="minorHAnsi"/>
                <w:szCs w:val="20"/>
                <w:lang w:eastAsia="fr-FR" w:bidi="ar-SA"/>
              </w:rPr>
              <w:t>Aucun coût spécifique</w:t>
            </w:r>
          </w:p>
        </w:tc>
      </w:tr>
      <w:tr w:rsidR="00AE233A" w:rsidRPr="00CA63D5" w14:paraId="2865A354" w14:textId="5F2C5A2D" w:rsidTr="00D60FC9">
        <w:tc>
          <w:tcPr>
            <w:cnfStyle w:val="001000000000" w:firstRow="0" w:lastRow="0" w:firstColumn="1" w:lastColumn="0" w:oddVBand="0" w:evenVBand="0" w:oddHBand="0" w:evenHBand="0" w:firstRowFirstColumn="0" w:firstRowLastColumn="0" w:lastRowFirstColumn="0" w:lastRowLastColumn="0"/>
            <w:tcW w:w="0" w:type="auto"/>
            <w:vMerge/>
            <w:hideMark/>
          </w:tcPr>
          <w:p w14:paraId="1477E36F" w14:textId="77777777" w:rsidR="00AE233A" w:rsidRPr="004637C7" w:rsidRDefault="00AE233A" w:rsidP="00AE233A">
            <w:pPr>
              <w:spacing w:before="0" w:after="0" w:line="240" w:lineRule="auto"/>
              <w:jc w:val="left"/>
              <w:rPr>
                <w:rFonts w:asciiTheme="minorHAnsi" w:hAnsiTheme="minorHAnsi" w:cstheme="minorHAnsi"/>
                <w:szCs w:val="20"/>
                <w:lang w:eastAsia="fr-FR" w:bidi="ar-SA"/>
              </w:rPr>
            </w:pPr>
          </w:p>
        </w:tc>
        <w:tc>
          <w:tcPr>
            <w:tcW w:w="1360" w:type="dxa"/>
            <w:hideMark/>
          </w:tcPr>
          <w:p w14:paraId="565CCE5F" w14:textId="77777777" w:rsidR="00AE233A" w:rsidRPr="004637C7" w:rsidRDefault="00AE233A" w:rsidP="00AE233A">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sidRPr="004637C7">
              <w:rPr>
                <w:rFonts w:asciiTheme="minorHAnsi" w:hAnsiTheme="minorHAnsi" w:cstheme="minorHAnsi"/>
                <w:szCs w:val="20"/>
                <w:lang w:eastAsia="fr-FR" w:bidi="ar-SA"/>
              </w:rPr>
              <w:t>Réduire</w:t>
            </w:r>
          </w:p>
        </w:tc>
        <w:tc>
          <w:tcPr>
            <w:tcW w:w="1981" w:type="dxa"/>
            <w:hideMark/>
          </w:tcPr>
          <w:p w14:paraId="4166036E" w14:textId="77777777" w:rsidR="00AE233A" w:rsidRPr="004637C7" w:rsidRDefault="00AE233A" w:rsidP="00AE233A">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sidRPr="004637C7">
              <w:rPr>
                <w:rFonts w:asciiTheme="minorHAnsi" w:hAnsiTheme="minorHAnsi" w:cstheme="minorHAnsi"/>
                <w:szCs w:val="20"/>
                <w:lang w:eastAsia="fr-FR" w:bidi="ar-SA"/>
              </w:rPr>
              <w:t>Installer détecteurs, extincteurs, panneaux de signalisation et système de ventilation conforme.</w:t>
            </w:r>
          </w:p>
        </w:tc>
        <w:tc>
          <w:tcPr>
            <w:tcW w:w="1505" w:type="dxa"/>
            <w:hideMark/>
          </w:tcPr>
          <w:p w14:paraId="019E628A" w14:textId="77777777" w:rsidR="00AE233A" w:rsidRPr="004637C7" w:rsidRDefault="00AE233A" w:rsidP="00AE233A">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sidRPr="004637C7">
              <w:rPr>
                <w:rFonts w:asciiTheme="minorHAnsi" w:hAnsiTheme="minorHAnsi" w:cstheme="minorHAnsi"/>
                <w:szCs w:val="20"/>
                <w:lang w:eastAsia="fr-FR" w:bidi="ar-SA"/>
              </w:rPr>
              <w:t>Nombre d’équipements vérifiés ; % de maintenance préventive réalisée</w:t>
            </w:r>
          </w:p>
        </w:tc>
        <w:tc>
          <w:tcPr>
            <w:tcW w:w="0" w:type="auto"/>
          </w:tcPr>
          <w:p w14:paraId="656BF73A" w14:textId="10CCEBDA" w:rsidR="00AE233A" w:rsidRPr="00CA63D5" w:rsidRDefault="00AE233A" w:rsidP="00AE233A">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sidRPr="00F247B0">
              <w:rPr>
                <w:rFonts w:asciiTheme="minorHAnsi" w:hAnsiTheme="minorHAnsi" w:cstheme="minorHAnsi"/>
                <w:szCs w:val="20"/>
              </w:rPr>
              <w:t>ONDA</w:t>
            </w:r>
          </w:p>
        </w:tc>
        <w:tc>
          <w:tcPr>
            <w:tcW w:w="0" w:type="auto"/>
          </w:tcPr>
          <w:p w14:paraId="06EDADCA" w14:textId="17454928" w:rsidR="00AE233A" w:rsidRPr="00CA63D5" w:rsidRDefault="00AE233A" w:rsidP="00AE233A">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Pr>
                <w:rFonts w:asciiTheme="minorHAnsi" w:hAnsiTheme="minorHAnsi" w:cstheme="minorHAnsi"/>
                <w:szCs w:val="20"/>
              </w:rPr>
              <w:t>ONDA</w:t>
            </w:r>
          </w:p>
        </w:tc>
        <w:tc>
          <w:tcPr>
            <w:tcW w:w="0" w:type="auto"/>
          </w:tcPr>
          <w:p w14:paraId="02FA1D97" w14:textId="04331598" w:rsidR="00AE233A" w:rsidRPr="00CA63D5" w:rsidRDefault="00AE233A" w:rsidP="00AE233A">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sidRPr="00F247B0">
              <w:rPr>
                <w:rFonts w:asciiTheme="minorHAnsi" w:hAnsiTheme="minorHAnsi" w:cstheme="minorHAnsi"/>
                <w:szCs w:val="20"/>
              </w:rPr>
              <w:t>ONDA</w:t>
            </w:r>
          </w:p>
        </w:tc>
        <w:tc>
          <w:tcPr>
            <w:tcW w:w="0" w:type="auto"/>
          </w:tcPr>
          <w:p w14:paraId="6C7722CD" w14:textId="3810D7B2" w:rsidR="00AE233A" w:rsidRPr="00CA63D5" w:rsidRDefault="00AE233A" w:rsidP="00AE233A">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Pr>
                <w:rFonts w:asciiTheme="minorHAnsi" w:hAnsiTheme="minorHAnsi" w:cstheme="minorHAnsi"/>
                <w:szCs w:val="20"/>
                <w:lang w:eastAsia="fr-FR" w:bidi="ar-SA"/>
              </w:rPr>
              <w:t>Tout au long de la phase d’exploitation</w:t>
            </w:r>
          </w:p>
        </w:tc>
        <w:tc>
          <w:tcPr>
            <w:tcW w:w="0" w:type="auto"/>
          </w:tcPr>
          <w:p w14:paraId="331A7A54" w14:textId="77777777" w:rsidR="009B48F0" w:rsidRDefault="009B48F0" w:rsidP="00AE233A">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9B48F0">
              <w:rPr>
                <w:rFonts w:asciiTheme="minorHAnsi" w:hAnsiTheme="minorHAnsi" w:cstheme="minorHAnsi"/>
                <w:szCs w:val="20"/>
              </w:rPr>
              <w:t xml:space="preserve">600 </w:t>
            </w:r>
            <w:r>
              <w:rPr>
                <w:rFonts w:asciiTheme="minorHAnsi" w:hAnsiTheme="minorHAnsi" w:cstheme="minorHAnsi"/>
                <w:szCs w:val="20"/>
              </w:rPr>
              <w:t>MAD</w:t>
            </w:r>
            <w:r w:rsidRPr="009B48F0">
              <w:rPr>
                <w:rFonts w:asciiTheme="minorHAnsi" w:hAnsiTheme="minorHAnsi" w:cstheme="minorHAnsi"/>
                <w:szCs w:val="20"/>
              </w:rPr>
              <w:t xml:space="preserve">/extincteur, </w:t>
            </w:r>
          </w:p>
          <w:p w14:paraId="121A0220" w14:textId="77777777" w:rsidR="009B48F0" w:rsidRDefault="009B48F0" w:rsidP="00AE233A">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9B48F0">
              <w:rPr>
                <w:rFonts w:asciiTheme="minorHAnsi" w:hAnsiTheme="minorHAnsi" w:cstheme="minorHAnsi"/>
                <w:szCs w:val="20"/>
              </w:rPr>
              <w:t xml:space="preserve">250 </w:t>
            </w:r>
            <w:r>
              <w:rPr>
                <w:rFonts w:asciiTheme="minorHAnsi" w:hAnsiTheme="minorHAnsi" w:cstheme="minorHAnsi"/>
                <w:szCs w:val="20"/>
              </w:rPr>
              <w:t>MAD</w:t>
            </w:r>
            <w:r w:rsidRPr="009B48F0">
              <w:rPr>
                <w:rFonts w:asciiTheme="minorHAnsi" w:hAnsiTheme="minorHAnsi" w:cstheme="minorHAnsi"/>
                <w:szCs w:val="20"/>
              </w:rPr>
              <w:t xml:space="preserve">/panneau, </w:t>
            </w:r>
          </w:p>
          <w:p w14:paraId="438C6589" w14:textId="1410319F" w:rsidR="00AE233A" w:rsidRPr="00CA63D5" w:rsidRDefault="009B48F0" w:rsidP="00AE233A">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sidRPr="009B48F0">
              <w:rPr>
                <w:rFonts w:asciiTheme="minorHAnsi" w:hAnsiTheme="minorHAnsi" w:cstheme="minorHAnsi"/>
                <w:szCs w:val="20"/>
              </w:rPr>
              <w:t xml:space="preserve">1 200 </w:t>
            </w:r>
            <w:r>
              <w:rPr>
                <w:rFonts w:asciiTheme="minorHAnsi" w:hAnsiTheme="minorHAnsi" w:cstheme="minorHAnsi"/>
                <w:szCs w:val="20"/>
              </w:rPr>
              <w:t>MAD</w:t>
            </w:r>
            <w:r w:rsidRPr="009B48F0">
              <w:rPr>
                <w:rFonts w:asciiTheme="minorHAnsi" w:hAnsiTheme="minorHAnsi" w:cstheme="minorHAnsi"/>
                <w:szCs w:val="20"/>
              </w:rPr>
              <w:t>/détecteur</w:t>
            </w:r>
          </w:p>
        </w:tc>
      </w:tr>
      <w:tr w:rsidR="00AE233A" w:rsidRPr="00CA63D5" w14:paraId="1504E827" w14:textId="7C2015E7" w:rsidTr="00D60FC9">
        <w:tc>
          <w:tcPr>
            <w:cnfStyle w:val="001000000000" w:firstRow="0" w:lastRow="0" w:firstColumn="1" w:lastColumn="0" w:oddVBand="0" w:evenVBand="0" w:oddHBand="0" w:evenHBand="0" w:firstRowFirstColumn="0" w:firstRowLastColumn="0" w:lastRowFirstColumn="0" w:lastRowLastColumn="0"/>
            <w:tcW w:w="0" w:type="auto"/>
            <w:vMerge/>
            <w:hideMark/>
          </w:tcPr>
          <w:p w14:paraId="5E3797B1" w14:textId="77777777" w:rsidR="00AE233A" w:rsidRPr="004637C7" w:rsidRDefault="00AE233A" w:rsidP="00AE233A">
            <w:pPr>
              <w:spacing w:before="0" w:after="0" w:line="240" w:lineRule="auto"/>
              <w:jc w:val="left"/>
              <w:rPr>
                <w:rFonts w:asciiTheme="minorHAnsi" w:hAnsiTheme="minorHAnsi" w:cstheme="minorHAnsi"/>
                <w:szCs w:val="20"/>
                <w:lang w:eastAsia="fr-FR" w:bidi="ar-SA"/>
              </w:rPr>
            </w:pPr>
          </w:p>
        </w:tc>
        <w:tc>
          <w:tcPr>
            <w:tcW w:w="1360" w:type="dxa"/>
            <w:hideMark/>
          </w:tcPr>
          <w:p w14:paraId="15C35AC3" w14:textId="77777777" w:rsidR="00AE233A" w:rsidRPr="004637C7" w:rsidRDefault="00AE233A" w:rsidP="00AE233A">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sidRPr="004637C7">
              <w:rPr>
                <w:rFonts w:asciiTheme="minorHAnsi" w:hAnsiTheme="minorHAnsi" w:cstheme="minorHAnsi"/>
                <w:szCs w:val="20"/>
                <w:lang w:eastAsia="fr-FR" w:bidi="ar-SA"/>
              </w:rPr>
              <w:t>Atténuer</w:t>
            </w:r>
          </w:p>
        </w:tc>
        <w:tc>
          <w:tcPr>
            <w:tcW w:w="1981" w:type="dxa"/>
            <w:hideMark/>
          </w:tcPr>
          <w:p w14:paraId="027DAF2E" w14:textId="77777777" w:rsidR="00AE233A" w:rsidRPr="004637C7" w:rsidRDefault="00AE233A" w:rsidP="00AE233A">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sidRPr="004637C7">
              <w:rPr>
                <w:rFonts w:asciiTheme="minorHAnsi" w:hAnsiTheme="minorHAnsi" w:cstheme="minorHAnsi"/>
                <w:szCs w:val="20"/>
                <w:lang w:eastAsia="fr-FR" w:bidi="ar-SA"/>
              </w:rPr>
              <w:t>Tenir un Plan de Prévention et Réponse aux Incendies (PPRI) mis à jour et testé annuellement.</w:t>
            </w:r>
          </w:p>
        </w:tc>
        <w:tc>
          <w:tcPr>
            <w:tcW w:w="1505" w:type="dxa"/>
            <w:hideMark/>
          </w:tcPr>
          <w:p w14:paraId="2AB61E00" w14:textId="77777777" w:rsidR="00AE233A" w:rsidRPr="004637C7" w:rsidRDefault="00AE233A" w:rsidP="00AE233A">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sidRPr="004637C7">
              <w:rPr>
                <w:rFonts w:asciiTheme="minorHAnsi" w:hAnsiTheme="minorHAnsi" w:cstheme="minorHAnsi"/>
                <w:szCs w:val="20"/>
                <w:lang w:eastAsia="fr-FR" w:bidi="ar-SA"/>
              </w:rPr>
              <w:t>Date du dernier exercice ; taux de participation du personnel (%)</w:t>
            </w:r>
          </w:p>
        </w:tc>
        <w:tc>
          <w:tcPr>
            <w:tcW w:w="0" w:type="auto"/>
          </w:tcPr>
          <w:p w14:paraId="493F1809" w14:textId="36D01A32" w:rsidR="00AE233A" w:rsidRPr="00CA63D5" w:rsidRDefault="00AE233A" w:rsidP="00AE233A">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sidRPr="00F247B0">
              <w:rPr>
                <w:rFonts w:asciiTheme="minorHAnsi" w:hAnsiTheme="minorHAnsi" w:cstheme="minorHAnsi"/>
                <w:szCs w:val="20"/>
              </w:rPr>
              <w:t>ONDA</w:t>
            </w:r>
          </w:p>
        </w:tc>
        <w:tc>
          <w:tcPr>
            <w:tcW w:w="0" w:type="auto"/>
          </w:tcPr>
          <w:p w14:paraId="566B7C8B" w14:textId="1985355D" w:rsidR="00AE233A" w:rsidRPr="00CA63D5" w:rsidRDefault="00AE233A" w:rsidP="00AE233A">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Pr>
                <w:rFonts w:asciiTheme="minorHAnsi" w:hAnsiTheme="minorHAnsi" w:cstheme="minorHAnsi"/>
                <w:szCs w:val="20"/>
              </w:rPr>
              <w:t>ONDA</w:t>
            </w:r>
          </w:p>
        </w:tc>
        <w:tc>
          <w:tcPr>
            <w:tcW w:w="0" w:type="auto"/>
          </w:tcPr>
          <w:p w14:paraId="56DA6FEC" w14:textId="09FA6FD2" w:rsidR="00AE233A" w:rsidRPr="00CA63D5" w:rsidRDefault="00AE233A" w:rsidP="00AE233A">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sidRPr="00F247B0">
              <w:rPr>
                <w:rFonts w:asciiTheme="minorHAnsi" w:hAnsiTheme="minorHAnsi" w:cstheme="minorHAnsi"/>
                <w:szCs w:val="20"/>
              </w:rPr>
              <w:t>ONDA</w:t>
            </w:r>
          </w:p>
        </w:tc>
        <w:tc>
          <w:tcPr>
            <w:tcW w:w="0" w:type="auto"/>
          </w:tcPr>
          <w:p w14:paraId="72752E98" w14:textId="332C775E" w:rsidR="00AE233A" w:rsidRPr="00CA63D5" w:rsidRDefault="00AE233A" w:rsidP="00AE233A">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Pr>
                <w:rFonts w:asciiTheme="minorHAnsi" w:hAnsiTheme="minorHAnsi" w:cstheme="minorHAnsi"/>
                <w:szCs w:val="20"/>
                <w:lang w:eastAsia="fr-FR" w:bidi="ar-SA"/>
              </w:rPr>
              <w:t>Avant début d’exploitation</w:t>
            </w:r>
          </w:p>
        </w:tc>
        <w:tc>
          <w:tcPr>
            <w:tcW w:w="0" w:type="auto"/>
          </w:tcPr>
          <w:p w14:paraId="75F536A7" w14:textId="4C4C5D61" w:rsidR="00AE233A" w:rsidRPr="00CA63D5" w:rsidRDefault="009B48F0" w:rsidP="00AE233A">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sidRPr="009B48F0">
              <w:rPr>
                <w:rFonts w:asciiTheme="minorHAnsi" w:hAnsiTheme="minorHAnsi" w:cstheme="minorHAnsi"/>
                <w:szCs w:val="20"/>
              </w:rPr>
              <w:t xml:space="preserve">2 000 – 3 000 </w:t>
            </w:r>
            <w:r>
              <w:rPr>
                <w:rFonts w:asciiTheme="minorHAnsi" w:hAnsiTheme="minorHAnsi" w:cstheme="minorHAnsi"/>
                <w:szCs w:val="20"/>
              </w:rPr>
              <w:t>MAD</w:t>
            </w:r>
            <w:r w:rsidRPr="009B48F0">
              <w:rPr>
                <w:rFonts w:asciiTheme="minorHAnsi" w:hAnsiTheme="minorHAnsi" w:cstheme="minorHAnsi"/>
                <w:szCs w:val="20"/>
              </w:rPr>
              <w:t>/exercice annuel</w:t>
            </w:r>
          </w:p>
        </w:tc>
      </w:tr>
      <w:tr w:rsidR="00AE233A" w:rsidRPr="00CA63D5" w14:paraId="0B94CBC0" w14:textId="5B3E88B2" w:rsidTr="00D60FC9">
        <w:tc>
          <w:tcPr>
            <w:cnfStyle w:val="001000000000" w:firstRow="0" w:lastRow="0" w:firstColumn="1" w:lastColumn="0" w:oddVBand="0" w:evenVBand="0" w:oddHBand="0" w:evenHBand="0" w:firstRowFirstColumn="0" w:firstRowLastColumn="0" w:lastRowFirstColumn="0" w:lastRowLastColumn="0"/>
            <w:tcW w:w="0" w:type="auto"/>
            <w:vMerge w:val="restart"/>
            <w:hideMark/>
          </w:tcPr>
          <w:p w14:paraId="784ACC5F" w14:textId="1A7BEA5D" w:rsidR="00AE233A" w:rsidRPr="004637C7" w:rsidRDefault="00AE233A" w:rsidP="00AE233A">
            <w:pPr>
              <w:spacing w:before="0" w:after="0" w:line="240" w:lineRule="auto"/>
              <w:jc w:val="left"/>
              <w:rPr>
                <w:rFonts w:asciiTheme="minorHAnsi" w:hAnsiTheme="minorHAnsi" w:cstheme="minorHAnsi"/>
                <w:szCs w:val="20"/>
                <w:lang w:eastAsia="fr-FR" w:bidi="ar-SA"/>
              </w:rPr>
            </w:pPr>
            <w:r w:rsidRPr="004637C7">
              <w:rPr>
                <w:rFonts w:asciiTheme="minorHAnsi" w:hAnsiTheme="minorHAnsi" w:cstheme="minorHAnsi"/>
                <w:szCs w:val="20"/>
                <w:lang w:eastAsia="fr-FR" w:bidi="ar-SA"/>
              </w:rPr>
              <w:t xml:space="preserve">Risque sanitaire et olfactif </w:t>
            </w:r>
          </w:p>
        </w:tc>
        <w:tc>
          <w:tcPr>
            <w:tcW w:w="1360" w:type="dxa"/>
            <w:hideMark/>
          </w:tcPr>
          <w:p w14:paraId="688F5F28" w14:textId="77777777" w:rsidR="00AE233A" w:rsidRPr="004637C7" w:rsidRDefault="00AE233A" w:rsidP="00AE233A">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sidRPr="004637C7">
              <w:rPr>
                <w:rFonts w:asciiTheme="minorHAnsi" w:hAnsiTheme="minorHAnsi" w:cstheme="minorHAnsi"/>
                <w:szCs w:val="20"/>
                <w:lang w:eastAsia="fr-FR" w:bidi="ar-SA"/>
              </w:rPr>
              <w:t>Réduire</w:t>
            </w:r>
          </w:p>
        </w:tc>
        <w:tc>
          <w:tcPr>
            <w:tcW w:w="1981" w:type="dxa"/>
            <w:hideMark/>
          </w:tcPr>
          <w:p w14:paraId="5F426B1B" w14:textId="77777777" w:rsidR="00AE233A" w:rsidRPr="004637C7" w:rsidRDefault="00AE233A" w:rsidP="00AE233A">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sidRPr="004637C7">
              <w:rPr>
                <w:rFonts w:asciiTheme="minorHAnsi" w:hAnsiTheme="minorHAnsi" w:cstheme="minorHAnsi"/>
                <w:szCs w:val="20"/>
                <w:lang w:eastAsia="fr-FR" w:bidi="ar-SA"/>
              </w:rPr>
              <w:t>Mettre en place un système de collecte quotidienne des biodéchets avec bacs fermés et évacuation rapide.</w:t>
            </w:r>
          </w:p>
        </w:tc>
        <w:tc>
          <w:tcPr>
            <w:tcW w:w="1505" w:type="dxa"/>
            <w:hideMark/>
          </w:tcPr>
          <w:p w14:paraId="1213C207" w14:textId="77777777" w:rsidR="00AE233A" w:rsidRPr="004637C7" w:rsidRDefault="00AE233A" w:rsidP="00AE233A">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sidRPr="004637C7">
              <w:rPr>
                <w:rFonts w:asciiTheme="minorHAnsi" w:hAnsiTheme="minorHAnsi" w:cstheme="minorHAnsi"/>
                <w:szCs w:val="20"/>
                <w:lang w:eastAsia="fr-FR" w:bidi="ar-SA"/>
              </w:rPr>
              <w:t>% de bacs fermés ; délai moyen d’évacuation (heures)</w:t>
            </w:r>
          </w:p>
        </w:tc>
        <w:tc>
          <w:tcPr>
            <w:tcW w:w="0" w:type="auto"/>
          </w:tcPr>
          <w:p w14:paraId="08867470" w14:textId="67A09205" w:rsidR="00AE233A" w:rsidRPr="00CA63D5" w:rsidRDefault="00AE233A" w:rsidP="00AE233A">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sidRPr="00F247B0">
              <w:rPr>
                <w:rFonts w:asciiTheme="minorHAnsi" w:hAnsiTheme="minorHAnsi" w:cstheme="minorHAnsi"/>
                <w:szCs w:val="20"/>
              </w:rPr>
              <w:t>ONDA</w:t>
            </w:r>
          </w:p>
        </w:tc>
        <w:tc>
          <w:tcPr>
            <w:tcW w:w="0" w:type="auto"/>
          </w:tcPr>
          <w:p w14:paraId="2EB2CB92" w14:textId="6702DD2B" w:rsidR="00AE233A" w:rsidRPr="00CA63D5" w:rsidRDefault="00AE233A" w:rsidP="00AE233A">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Pr>
                <w:rFonts w:asciiTheme="minorHAnsi" w:hAnsiTheme="minorHAnsi" w:cstheme="minorHAnsi"/>
                <w:szCs w:val="20"/>
              </w:rPr>
              <w:t>ONDA</w:t>
            </w:r>
          </w:p>
        </w:tc>
        <w:tc>
          <w:tcPr>
            <w:tcW w:w="0" w:type="auto"/>
          </w:tcPr>
          <w:p w14:paraId="6BB4EA85" w14:textId="4D5B16AA" w:rsidR="00AE233A" w:rsidRPr="00CA63D5" w:rsidRDefault="00AE233A" w:rsidP="00AE233A">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sidRPr="00F247B0">
              <w:rPr>
                <w:rFonts w:asciiTheme="minorHAnsi" w:hAnsiTheme="minorHAnsi" w:cstheme="minorHAnsi"/>
                <w:szCs w:val="20"/>
              </w:rPr>
              <w:t>ONDA</w:t>
            </w:r>
          </w:p>
        </w:tc>
        <w:tc>
          <w:tcPr>
            <w:tcW w:w="0" w:type="auto"/>
          </w:tcPr>
          <w:p w14:paraId="79D40798" w14:textId="00FCF770" w:rsidR="00AE233A" w:rsidRPr="00CA63D5" w:rsidRDefault="00AE233A" w:rsidP="00AE233A">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Pr>
                <w:rFonts w:asciiTheme="minorHAnsi" w:hAnsiTheme="minorHAnsi" w:cstheme="minorHAnsi"/>
                <w:szCs w:val="20"/>
                <w:lang w:eastAsia="fr-FR" w:bidi="ar-SA"/>
              </w:rPr>
              <w:t>Tout au long de la phase d’exploitation</w:t>
            </w:r>
          </w:p>
        </w:tc>
        <w:tc>
          <w:tcPr>
            <w:tcW w:w="0" w:type="auto"/>
          </w:tcPr>
          <w:p w14:paraId="090F0164" w14:textId="28A72A0E" w:rsidR="00AE233A" w:rsidRPr="00CA63D5" w:rsidRDefault="009B48F0" w:rsidP="00AE233A">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sidRPr="009B48F0">
              <w:rPr>
                <w:rFonts w:asciiTheme="minorHAnsi" w:hAnsiTheme="minorHAnsi" w:cstheme="minorHAnsi"/>
                <w:szCs w:val="20"/>
              </w:rPr>
              <w:t>600 – 800</w:t>
            </w:r>
            <w:r>
              <w:rPr>
                <w:rFonts w:asciiTheme="minorHAnsi" w:hAnsiTheme="minorHAnsi" w:cstheme="minorHAnsi"/>
                <w:szCs w:val="20"/>
              </w:rPr>
              <w:t>,MAD</w:t>
            </w:r>
            <w:r w:rsidRPr="009B48F0">
              <w:rPr>
                <w:rFonts w:asciiTheme="minorHAnsi" w:hAnsiTheme="minorHAnsi" w:cstheme="minorHAnsi"/>
                <w:szCs w:val="20"/>
              </w:rPr>
              <w:t xml:space="preserve"> /bac (PEHD 240 L)</w:t>
            </w:r>
          </w:p>
        </w:tc>
      </w:tr>
      <w:tr w:rsidR="00AE233A" w:rsidRPr="00CA63D5" w14:paraId="220C7CDC" w14:textId="1FB4FBF3" w:rsidTr="00D60FC9">
        <w:tc>
          <w:tcPr>
            <w:cnfStyle w:val="001000000000" w:firstRow="0" w:lastRow="0" w:firstColumn="1" w:lastColumn="0" w:oddVBand="0" w:evenVBand="0" w:oddHBand="0" w:evenHBand="0" w:firstRowFirstColumn="0" w:firstRowLastColumn="0" w:lastRowFirstColumn="0" w:lastRowLastColumn="0"/>
            <w:tcW w:w="0" w:type="auto"/>
            <w:vMerge/>
            <w:hideMark/>
          </w:tcPr>
          <w:p w14:paraId="6659324F" w14:textId="77777777" w:rsidR="00AE233A" w:rsidRPr="004637C7" w:rsidRDefault="00AE233A" w:rsidP="00AE233A">
            <w:pPr>
              <w:spacing w:before="0" w:after="0" w:line="240" w:lineRule="auto"/>
              <w:jc w:val="left"/>
              <w:rPr>
                <w:rFonts w:asciiTheme="minorHAnsi" w:hAnsiTheme="minorHAnsi" w:cstheme="minorHAnsi"/>
                <w:szCs w:val="20"/>
                <w:lang w:eastAsia="fr-FR" w:bidi="ar-SA"/>
              </w:rPr>
            </w:pPr>
          </w:p>
        </w:tc>
        <w:tc>
          <w:tcPr>
            <w:tcW w:w="1360" w:type="dxa"/>
            <w:hideMark/>
          </w:tcPr>
          <w:p w14:paraId="06EBDBF5" w14:textId="77777777" w:rsidR="00AE233A" w:rsidRPr="004637C7" w:rsidRDefault="00AE233A" w:rsidP="00AE233A">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sidRPr="004637C7">
              <w:rPr>
                <w:rFonts w:asciiTheme="minorHAnsi" w:hAnsiTheme="minorHAnsi" w:cstheme="minorHAnsi"/>
                <w:szCs w:val="20"/>
                <w:lang w:eastAsia="fr-FR" w:bidi="ar-SA"/>
              </w:rPr>
              <w:t>Réduire</w:t>
            </w:r>
          </w:p>
        </w:tc>
        <w:tc>
          <w:tcPr>
            <w:tcW w:w="1981" w:type="dxa"/>
            <w:hideMark/>
          </w:tcPr>
          <w:p w14:paraId="2161F356" w14:textId="77777777" w:rsidR="00AE233A" w:rsidRPr="004637C7" w:rsidRDefault="00AE233A" w:rsidP="00AE233A">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sidRPr="004637C7">
              <w:rPr>
                <w:rFonts w:asciiTheme="minorHAnsi" w:hAnsiTheme="minorHAnsi" w:cstheme="minorHAnsi"/>
                <w:szCs w:val="20"/>
                <w:lang w:eastAsia="fr-FR" w:bidi="ar-SA"/>
              </w:rPr>
              <w:t>Séparer les biodéchets des autres déchets et favoriser la valorisation organique (compostage, méthanisation).</w:t>
            </w:r>
          </w:p>
        </w:tc>
        <w:tc>
          <w:tcPr>
            <w:tcW w:w="1505" w:type="dxa"/>
            <w:hideMark/>
          </w:tcPr>
          <w:p w14:paraId="45C0FFF6" w14:textId="77777777" w:rsidR="00AE233A" w:rsidRPr="004637C7" w:rsidRDefault="00AE233A" w:rsidP="00AE233A">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sidRPr="004637C7">
              <w:rPr>
                <w:rFonts w:asciiTheme="minorHAnsi" w:hAnsiTheme="minorHAnsi" w:cstheme="minorHAnsi"/>
                <w:szCs w:val="20"/>
                <w:lang w:eastAsia="fr-FR" w:bidi="ar-SA"/>
              </w:rPr>
              <w:t>% de biodéchets valorisés ; volume moyen composté</w:t>
            </w:r>
          </w:p>
        </w:tc>
        <w:tc>
          <w:tcPr>
            <w:tcW w:w="0" w:type="auto"/>
          </w:tcPr>
          <w:p w14:paraId="54161792" w14:textId="3A81598A" w:rsidR="00AE233A" w:rsidRPr="00CA63D5" w:rsidRDefault="00AE233A" w:rsidP="00AE233A">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sidRPr="00F247B0">
              <w:rPr>
                <w:rFonts w:asciiTheme="minorHAnsi" w:hAnsiTheme="minorHAnsi" w:cstheme="minorHAnsi"/>
                <w:szCs w:val="20"/>
              </w:rPr>
              <w:t>ONDA</w:t>
            </w:r>
          </w:p>
        </w:tc>
        <w:tc>
          <w:tcPr>
            <w:tcW w:w="0" w:type="auto"/>
          </w:tcPr>
          <w:p w14:paraId="3CD987B9" w14:textId="0F54DE8C" w:rsidR="00AE233A" w:rsidRPr="00CA63D5" w:rsidRDefault="00AE233A" w:rsidP="00AE233A">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sidRPr="00F247B0">
              <w:rPr>
                <w:rFonts w:asciiTheme="minorHAnsi" w:hAnsiTheme="minorHAnsi" w:cstheme="minorHAnsi"/>
                <w:szCs w:val="20"/>
              </w:rPr>
              <w:t>Bureau de contrôle / Consultant de supervision mandaté par l’ONDA</w:t>
            </w:r>
          </w:p>
        </w:tc>
        <w:tc>
          <w:tcPr>
            <w:tcW w:w="0" w:type="auto"/>
          </w:tcPr>
          <w:p w14:paraId="0CD7E281" w14:textId="45EA6B6A" w:rsidR="00AE233A" w:rsidRPr="00CA63D5" w:rsidRDefault="00AE233A" w:rsidP="00AE233A">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sidRPr="00F247B0">
              <w:rPr>
                <w:rFonts w:asciiTheme="minorHAnsi" w:hAnsiTheme="minorHAnsi" w:cstheme="minorHAnsi"/>
                <w:szCs w:val="20"/>
              </w:rPr>
              <w:t>ONDA</w:t>
            </w:r>
          </w:p>
        </w:tc>
        <w:tc>
          <w:tcPr>
            <w:tcW w:w="0" w:type="auto"/>
          </w:tcPr>
          <w:p w14:paraId="3213D67F" w14:textId="285DAA18" w:rsidR="00AE233A" w:rsidRPr="00CA63D5" w:rsidRDefault="00AE233A" w:rsidP="00AE233A">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Pr>
                <w:rFonts w:asciiTheme="minorHAnsi" w:hAnsiTheme="minorHAnsi" w:cstheme="minorHAnsi"/>
                <w:szCs w:val="20"/>
                <w:lang w:eastAsia="fr-FR" w:bidi="ar-SA"/>
              </w:rPr>
              <w:t>Tout au long de la phase d’exploitation</w:t>
            </w:r>
          </w:p>
        </w:tc>
        <w:tc>
          <w:tcPr>
            <w:tcW w:w="0" w:type="auto"/>
          </w:tcPr>
          <w:p w14:paraId="7D32499A" w14:textId="3005306E" w:rsidR="00AE233A" w:rsidRPr="00CA63D5" w:rsidRDefault="009B48F0" w:rsidP="00AE233A">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sidRPr="009B48F0">
              <w:rPr>
                <w:rFonts w:asciiTheme="minorHAnsi" w:hAnsiTheme="minorHAnsi" w:cstheme="minorHAnsi"/>
                <w:szCs w:val="20"/>
              </w:rPr>
              <w:t>150</w:t>
            </w:r>
            <w:r>
              <w:rPr>
                <w:rFonts w:asciiTheme="minorHAnsi" w:hAnsiTheme="minorHAnsi" w:cstheme="minorHAnsi"/>
                <w:szCs w:val="20"/>
              </w:rPr>
              <w:t xml:space="preserve"> MAD</w:t>
            </w:r>
            <w:r w:rsidRPr="009B48F0">
              <w:rPr>
                <w:rFonts w:asciiTheme="minorHAnsi" w:hAnsiTheme="minorHAnsi" w:cstheme="minorHAnsi"/>
                <w:szCs w:val="20"/>
              </w:rPr>
              <w:t xml:space="preserve"> /tonne (traitement organique)</w:t>
            </w:r>
          </w:p>
        </w:tc>
      </w:tr>
      <w:tr w:rsidR="00AE233A" w:rsidRPr="00CA63D5" w14:paraId="331DC71D" w14:textId="0D3E9F38" w:rsidTr="00D60FC9">
        <w:tc>
          <w:tcPr>
            <w:cnfStyle w:val="001000000000" w:firstRow="0" w:lastRow="0" w:firstColumn="1" w:lastColumn="0" w:oddVBand="0" w:evenVBand="0" w:oddHBand="0" w:evenHBand="0" w:firstRowFirstColumn="0" w:firstRowLastColumn="0" w:lastRowFirstColumn="0" w:lastRowLastColumn="0"/>
            <w:tcW w:w="0" w:type="auto"/>
            <w:vMerge/>
            <w:hideMark/>
          </w:tcPr>
          <w:p w14:paraId="541ED18C" w14:textId="77777777" w:rsidR="00AE233A" w:rsidRPr="004637C7" w:rsidRDefault="00AE233A" w:rsidP="00AE233A">
            <w:pPr>
              <w:spacing w:before="0" w:after="0" w:line="240" w:lineRule="auto"/>
              <w:jc w:val="left"/>
              <w:rPr>
                <w:rFonts w:asciiTheme="minorHAnsi" w:hAnsiTheme="minorHAnsi" w:cstheme="minorHAnsi"/>
                <w:szCs w:val="20"/>
                <w:lang w:eastAsia="fr-FR" w:bidi="ar-SA"/>
              </w:rPr>
            </w:pPr>
          </w:p>
        </w:tc>
        <w:tc>
          <w:tcPr>
            <w:tcW w:w="1360" w:type="dxa"/>
            <w:hideMark/>
          </w:tcPr>
          <w:p w14:paraId="3D59C898" w14:textId="77777777" w:rsidR="00AE233A" w:rsidRPr="004637C7" w:rsidRDefault="00AE233A" w:rsidP="00AE233A">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sidRPr="004637C7">
              <w:rPr>
                <w:rFonts w:asciiTheme="minorHAnsi" w:hAnsiTheme="minorHAnsi" w:cstheme="minorHAnsi"/>
                <w:szCs w:val="20"/>
                <w:lang w:eastAsia="fr-FR" w:bidi="ar-SA"/>
              </w:rPr>
              <w:t>Atténuer</w:t>
            </w:r>
          </w:p>
        </w:tc>
        <w:tc>
          <w:tcPr>
            <w:tcW w:w="1981" w:type="dxa"/>
            <w:hideMark/>
          </w:tcPr>
          <w:p w14:paraId="387135CD" w14:textId="77777777" w:rsidR="00AE233A" w:rsidRPr="004637C7" w:rsidRDefault="00AE233A" w:rsidP="00AE233A">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sidRPr="004637C7">
              <w:rPr>
                <w:rFonts w:asciiTheme="minorHAnsi" w:hAnsiTheme="minorHAnsi" w:cstheme="minorHAnsi"/>
                <w:szCs w:val="20"/>
                <w:lang w:eastAsia="fr-FR" w:bidi="ar-SA"/>
              </w:rPr>
              <w:t xml:space="preserve">Effectuer des nettoyages et désinfections régulières des zones </w:t>
            </w:r>
            <w:r w:rsidRPr="004637C7">
              <w:rPr>
                <w:rFonts w:asciiTheme="minorHAnsi" w:hAnsiTheme="minorHAnsi" w:cstheme="minorHAnsi"/>
                <w:szCs w:val="20"/>
                <w:lang w:eastAsia="fr-FR" w:bidi="ar-SA"/>
              </w:rPr>
              <w:lastRenderedPageBreak/>
              <w:t>de préparation et stockage.</w:t>
            </w:r>
          </w:p>
        </w:tc>
        <w:tc>
          <w:tcPr>
            <w:tcW w:w="1505" w:type="dxa"/>
            <w:hideMark/>
          </w:tcPr>
          <w:p w14:paraId="01730D2E" w14:textId="77777777" w:rsidR="00AE233A" w:rsidRDefault="00AE233A" w:rsidP="00AE233A">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sidRPr="004637C7">
              <w:rPr>
                <w:rFonts w:asciiTheme="minorHAnsi" w:hAnsiTheme="minorHAnsi" w:cstheme="minorHAnsi"/>
                <w:szCs w:val="20"/>
                <w:lang w:eastAsia="fr-FR" w:bidi="ar-SA"/>
              </w:rPr>
              <w:lastRenderedPageBreak/>
              <w:t xml:space="preserve">% de surfaces conformes à l’audit hygiène ; </w:t>
            </w:r>
          </w:p>
          <w:p w14:paraId="6A29D75B" w14:textId="434D2436" w:rsidR="00AE233A" w:rsidRPr="004637C7" w:rsidRDefault="00AE233A" w:rsidP="00AE233A">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sidRPr="004637C7">
              <w:rPr>
                <w:rFonts w:asciiTheme="minorHAnsi" w:hAnsiTheme="minorHAnsi" w:cstheme="minorHAnsi"/>
                <w:szCs w:val="20"/>
                <w:lang w:eastAsia="fr-FR" w:bidi="ar-SA"/>
              </w:rPr>
              <w:lastRenderedPageBreak/>
              <w:t>nombre d’interventions de désinfection</w:t>
            </w:r>
          </w:p>
        </w:tc>
        <w:tc>
          <w:tcPr>
            <w:tcW w:w="0" w:type="auto"/>
          </w:tcPr>
          <w:p w14:paraId="1C67A2A7" w14:textId="4D279115" w:rsidR="00AE233A" w:rsidRPr="00CA63D5" w:rsidRDefault="00AE233A" w:rsidP="00AE233A">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sidRPr="00F247B0">
              <w:rPr>
                <w:rFonts w:asciiTheme="minorHAnsi" w:hAnsiTheme="minorHAnsi" w:cstheme="minorHAnsi"/>
                <w:szCs w:val="20"/>
              </w:rPr>
              <w:lastRenderedPageBreak/>
              <w:t>ONDA</w:t>
            </w:r>
          </w:p>
        </w:tc>
        <w:tc>
          <w:tcPr>
            <w:tcW w:w="0" w:type="auto"/>
          </w:tcPr>
          <w:p w14:paraId="157BD666" w14:textId="01F5A8BA" w:rsidR="00AE233A" w:rsidRPr="00CA63D5" w:rsidRDefault="00AE233A" w:rsidP="00AE233A">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sidRPr="00F247B0">
              <w:rPr>
                <w:rFonts w:asciiTheme="minorHAnsi" w:hAnsiTheme="minorHAnsi" w:cstheme="minorHAnsi"/>
                <w:szCs w:val="20"/>
              </w:rPr>
              <w:t xml:space="preserve">Bureau de contrôle / Consultant de </w:t>
            </w:r>
            <w:r w:rsidRPr="00F247B0">
              <w:rPr>
                <w:rFonts w:asciiTheme="minorHAnsi" w:hAnsiTheme="minorHAnsi" w:cstheme="minorHAnsi"/>
                <w:szCs w:val="20"/>
              </w:rPr>
              <w:lastRenderedPageBreak/>
              <w:t>supervision mandaté par l’ONDA</w:t>
            </w:r>
          </w:p>
        </w:tc>
        <w:tc>
          <w:tcPr>
            <w:tcW w:w="0" w:type="auto"/>
          </w:tcPr>
          <w:p w14:paraId="4CA61102" w14:textId="48568FBB" w:rsidR="00AE233A" w:rsidRPr="00CA63D5" w:rsidRDefault="00AE233A" w:rsidP="00AE233A">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sidRPr="00F247B0">
              <w:rPr>
                <w:rFonts w:asciiTheme="minorHAnsi" w:hAnsiTheme="minorHAnsi" w:cstheme="minorHAnsi"/>
                <w:szCs w:val="20"/>
              </w:rPr>
              <w:lastRenderedPageBreak/>
              <w:t>ONDA</w:t>
            </w:r>
          </w:p>
        </w:tc>
        <w:tc>
          <w:tcPr>
            <w:tcW w:w="0" w:type="auto"/>
          </w:tcPr>
          <w:p w14:paraId="4D8DDBBB" w14:textId="409C2C87" w:rsidR="00AE233A" w:rsidRPr="00CA63D5" w:rsidRDefault="00AE233A" w:rsidP="00AE233A">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sidRPr="004946D8">
              <w:rPr>
                <w:rFonts w:asciiTheme="minorHAnsi" w:hAnsiTheme="minorHAnsi" w:cstheme="minorHAnsi"/>
                <w:szCs w:val="20"/>
                <w:lang w:eastAsia="fr-FR" w:bidi="ar-SA"/>
              </w:rPr>
              <w:t>Mensuel</w:t>
            </w:r>
          </w:p>
        </w:tc>
        <w:tc>
          <w:tcPr>
            <w:tcW w:w="0" w:type="auto"/>
          </w:tcPr>
          <w:p w14:paraId="366EEE01" w14:textId="521FC187" w:rsidR="00AE233A" w:rsidRPr="00CA63D5" w:rsidRDefault="002C124E" w:rsidP="00AE233A">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sidRPr="002C124E">
              <w:rPr>
                <w:rFonts w:asciiTheme="minorHAnsi" w:hAnsiTheme="minorHAnsi" w:cstheme="minorHAnsi"/>
                <w:szCs w:val="20"/>
              </w:rPr>
              <w:t xml:space="preserve">100 </w:t>
            </w:r>
            <w:r>
              <w:rPr>
                <w:rFonts w:asciiTheme="minorHAnsi" w:hAnsiTheme="minorHAnsi" w:cstheme="minorHAnsi"/>
                <w:szCs w:val="20"/>
              </w:rPr>
              <w:t>MAD</w:t>
            </w:r>
            <w:r w:rsidRPr="002C124E">
              <w:rPr>
                <w:rFonts w:asciiTheme="minorHAnsi" w:hAnsiTheme="minorHAnsi" w:cstheme="minorHAnsi"/>
                <w:szCs w:val="20"/>
              </w:rPr>
              <w:t>/m² /mois</w:t>
            </w:r>
          </w:p>
        </w:tc>
      </w:tr>
    </w:tbl>
    <w:p w14:paraId="4E82AF09" w14:textId="77777777" w:rsidR="00685D07" w:rsidRDefault="00685D07" w:rsidP="00685D07">
      <w:pPr>
        <w:pStyle w:val="Style4"/>
        <w:numPr>
          <w:ilvl w:val="0"/>
          <w:numId w:val="0"/>
        </w:numPr>
        <w:ind w:left="720" w:hanging="360"/>
        <w:sectPr w:rsidR="00685D07" w:rsidSect="00685D07">
          <w:headerReference w:type="default" r:id="rId130"/>
          <w:footerReference w:type="default" r:id="rId131"/>
          <w:pgSz w:w="16838" w:h="11906" w:orient="landscape"/>
          <w:pgMar w:top="1418" w:right="1418" w:bottom="1418" w:left="1276" w:header="680" w:footer="680" w:gutter="0"/>
          <w:cols w:space="708"/>
          <w:docGrid w:linePitch="360"/>
        </w:sectPr>
      </w:pPr>
    </w:p>
    <w:p w14:paraId="39CF1797" w14:textId="337B8070" w:rsidR="008F04DD" w:rsidRDefault="008F04DD" w:rsidP="008F04DD">
      <w:pPr>
        <w:pStyle w:val="Title5"/>
      </w:pPr>
      <w:r>
        <w:lastRenderedPageBreak/>
        <w:t>Evaluation des impacts résiduels</w:t>
      </w:r>
    </w:p>
    <w:p w14:paraId="402C2A5A" w14:textId="77777777" w:rsidR="00B06F79" w:rsidRDefault="00B06F79" w:rsidP="00B06F79">
      <w:r>
        <w:t>Après la mise en œuvre des mesures d’évitement, de réduction et d’atténuation définies dans le Plan de Gestion Environnementale et Sociale, les risques identifiés durant la phase d’exploitation seront considérablement atténués. Les dispositifs prévus — notamment les plans de gestion des déchets et des matières dangereuses, le Plan Santé et Sécurité au Travail (PSST), le Plan de Prévention des Incendies (PPI) et la maintenance régulière des installations — permettent de réduire la probabilité d’incident et la gravité des effets sur les travailleurs et l’environnement immédiat.</w:t>
      </w:r>
    </w:p>
    <w:p w14:paraId="30C96A12" w14:textId="3EF416A9" w:rsidR="00B06F79" w:rsidRDefault="00B06F79" w:rsidP="00B06F79">
      <w:r>
        <w:t xml:space="preserve">Le risque de pollution accidentelle du sol et du réseau pluvial sera fortement réduit grâce au stockage sécurisé des produits chimiques et hydrocarbures dans des zones confinées, ventilées et munies de bacs de rétention. La probabilité d’occurrence devient faible, les inspections périodiques et la formation du personnel limitant les risques de fuite. En cas d’incident mineur, la présence de kits absorbants et de procédures de confinement garantit une intervention rapide. Ainsi, la pollution potentielle demeure localisée, temporaire et facilement réversible par nettoyage ou enlèvement des sols souillés. L’intensité de l’effet est faible, les récepteurs — sols superficiels et réseau interne — présentant une sensibilité moyenne. Le risque résiduel est jugé mineur et maîtrisé, sans impact durable sur la nappe du </w:t>
      </w:r>
      <w:r w:rsidR="00650F62">
        <w:t>Haouz</w:t>
      </w:r>
      <w:r>
        <w:t xml:space="preserve"> ni sur les milieux externes.</w:t>
      </w:r>
    </w:p>
    <w:p w14:paraId="552BF9B4" w14:textId="77777777" w:rsidR="00B06F79" w:rsidRDefault="00B06F79" w:rsidP="00B06F79">
      <w:r>
        <w:t>Concernant le risque d’exposition du personnel à des produits dangereux, les mesures de prévention (PSST, port obligatoire des EPI, formation à la lecture des Fiches de Données de Sécurité, ventilation des locaux, suivi médical régulier) assurent un contrôle strict de l’exposition. La probabilité d’occurrence devient rare à occasionnelle, limitée à des situations ponctuelles de non-conformité individuelle. La gravité des conséquences, initialement modérée à majeure, est réduite à un niveau faible à modéré grâce à la prévention systématique et à la disponibilité de moyens d’urgence. Les travailleurs les plus exposés (agents de maintenance et d’entretien) sont protégés par un encadrement permanent et une surveillance HSE rigoureuse. Le risque résiduel est donc faible à modéré, considéré comme acceptable et sous contrôle permanent.</w:t>
      </w:r>
    </w:p>
    <w:p w14:paraId="00E9FDB6" w14:textId="77777777" w:rsidR="00B06F79" w:rsidRDefault="00B06F79" w:rsidP="00B06F79">
      <w:r>
        <w:t>Le risque d’incendie ou d’explosion dans les zones techniques est désormais maîtrisé grâce à l’application du Plan de Prévention et Réponse aux Incendies (PPRI), au respect des règles de stockage des produits inflammables et à la vérification régulière des dispositifs d’extinction. La probabilité devient très faible, les conditions de stockage (ventilation, éloignement des sources de chaleur, signalisation) réduisant considérablement les risques de départ de feu. En cas d’événement, les conséquences seraient limitées par la réactivité du personnel formé et la disponibilité d’équipements conformes aux normes. L’intensité des effets est donc faible à modérée, localisée et temporaire, et le risque résiduel est évalué comme mineur et maîtrisé.</w:t>
      </w:r>
    </w:p>
    <w:p w14:paraId="2167BB2C" w14:textId="77777777" w:rsidR="00B06F79" w:rsidRDefault="00B06F79" w:rsidP="00B06F79">
      <w:r>
        <w:t>Enfin, le risque de nuisances olfactives liées aux déchets ménagers et biodéchets est quasi éliminé grâce à la mise en œuvre du système de collecte sélective quotidienne avec bacs fermés, à la séparation des flux organiques et à la désinfection régulière des aires de stockage. Les odeurs résiduelles sont ponctuelles, limitées spatialement et sans impact sanitaire ni environnemental. La probabilité d’occurrence devient rare, la gravité négligeable, et l’importance de l’effet sur le confort olfactif ou visuel des usagers est très faible. Le risque résiduel est donc négligeable, sans conséquence notable sur la qualité du cadre de travail ni sur l’expérience des passagers.</w:t>
      </w:r>
    </w:p>
    <w:p w14:paraId="4C448B53" w14:textId="23B397BE" w:rsidR="001116B9" w:rsidRDefault="00B06F79" w:rsidP="00B06F79">
      <w:r>
        <w:t xml:space="preserve">En conclusion, après mise en œuvre des mesures prévues, les risques résiduels en phase d’exploitation sont mineurs à négligeables. Ils demeurent localisés, réversibles et sous contrôle permanent, </w:t>
      </w:r>
      <w:r>
        <w:lastRenderedPageBreak/>
        <w:t>confirmant la conformité du système de gestion environnementale et sociale avec les exigences des bailleurs de fonds, notamment la Stratégie de Sauvegarde Intégrée (SSI, BAD 2023).</w:t>
      </w:r>
    </w:p>
    <w:p w14:paraId="00C875DB" w14:textId="319B9C7C" w:rsidR="00B77115" w:rsidRPr="00B77115" w:rsidRDefault="00B77115" w:rsidP="00B77115">
      <w:pPr>
        <w:pStyle w:val="Title3"/>
      </w:pPr>
      <w:bookmarkStart w:id="445" w:name="_Toc215131880"/>
      <w:r w:rsidRPr="00B77115">
        <w:t>Paysage, Impact visuel</w:t>
      </w:r>
      <w:bookmarkEnd w:id="416"/>
      <w:bookmarkEnd w:id="445"/>
    </w:p>
    <w:p w14:paraId="2689DE1B" w14:textId="503DCC94" w:rsidR="00B77115" w:rsidRPr="00B77115" w:rsidRDefault="00B77115" w:rsidP="00B77115">
      <w:pPr>
        <w:pStyle w:val="Title4"/>
        <w:tabs>
          <w:tab w:val="clear" w:pos="1134"/>
          <w:tab w:val="left" w:pos="851"/>
        </w:tabs>
      </w:pPr>
      <w:r w:rsidRPr="00B77115">
        <w:t xml:space="preserve">Phase construction </w:t>
      </w:r>
    </w:p>
    <w:p w14:paraId="121A8549" w14:textId="7F19D6B1" w:rsidR="00B77115" w:rsidRDefault="00E97F00" w:rsidP="00E97F00">
      <w:pPr>
        <w:pStyle w:val="Title5"/>
      </w:pPr>
      <w:r>
        <w:t>Identification et évaluation des i</w:t>
      </w:r>
      <w:r w:rsidR="00B77115" w:rsidRPr="00B77115">
        <w:t>mpact</w:t>
      </w:r>
      <w:r>
        <w:t>s et risques</w:t>
      </w:r>
    </w:p>
    <w:p w14:paraId="4EB43D15" w14:textId="1AA873FC" w:rsidR="009B2CD9" w:rsidRPr="004637C7" w:rsidRDefault="009B2CD9" w:rsidP="0001633E">
      <w:pPr>
        <w:pStyle w:val="AltTitle2"/>
        <w:numPr>
          <w:ilvl w:val="0"/>
          <w:numId w:val="106"/>
        </w:numPr>
      </w:pPr>
      <w:r w:rsidRPr="004637C7">
        <w:t xml:space="preserve">Dégradation temporaire du cadre visuel </w:t>
      </w:r>
    </w:p>
    <w:p w14:paraId="2073BFE8" w14:textId="743903DC" w:rsidR="008941CB" w:rsidRDefault="008941CB" w:rsidP="008941CB">
      <w:r>
        <w:t>L’extension du parking avions ainsi que la création d’une bretelle de liaison, nécessiteront des travaux de terrassement, de nivellement, de pose d’enrobés, de stockage de matériaux et de circulation d’engins sur le périmètre est de la plateforme aéroportuaire. Ces activités provoqueront une altération temporaire du cadre visuel local, caractérisé par un relief plat, des espaces ouverts, et une végétation steppique clairsemée typique des plaines semi-arides de la région</w:t>
      </w:r>
      <w:r w:rsidR="007C4641">
        <w:t xml:space="preserve"> de Marrakech</w:t>
      </w:r>
      <w:r>
        <w:t>. Durant les travaux, la présence d’engins de chantier, de clôtures métalliques, de tas de matériaux et, ponctuellement, d’une grue de levage pour la manutention d’éléments techniques, introduira dans le paysage des formes, des volumes et des couleurs artificiels contrastant avec l’homogénéité visuelle du site actuel.</w:t>
      </w:r>
    </w:p>
    <w:p w14:paraId="7CED5B78" w14:textId="0F78F93C" w:rsidR="008941CB" w:rsidRDefault="008941CB" w:rsidP="008941CB">
      <w:r>
        <w:t xml:space="preserve">L’environnement du projet est déjà anthropisé par la présence de la plateforme aéroportuaire existante, des voies d’accès et des surfaces bétonnées du terminal et des pistes. Toutefois, la zone d’extension, bien que située dans le périmètre clôturé, est actuellement nue et visuellement ouverte depuis certains axes environnants, notamment la Route </w:t>
      </w:r>
      <w:r w:rsidR="00286C8B">
        <w:t>Régionale</w:t>
      </w:r>
      <w:r>
        <w:t xml:space="preserve"> </w:t>
      </w:r>
      <w:r w:rsidR="00A710D1">
        <w:t>R212</w:t>
      </w:r>
      <w:r>
        <w:t>. Depuis cette route, les zones de stockage, les engins et éventuellement la silhouette de la grue pourraient être visibles à certaines heures de la journée, surtout lors des conditions de forte luminosité ou en fin de journée.</w:t>
      </w:r>
    </w:p>
    <w:p w14:paraId="42F86B5C" w14:textId="6E6301A9" w:rsidR="008941CB" w:rsidRDefault="008941CB" w:rsidP="008941CB">
      <w:r>
        <w:t>À l’intérieur du site, les usagers de l’aéroport (passagers, visiteurs, personnel de piste) sont les récepteurs les plus exposés : ils constateront directement la présence des chantiers, des clôtures et des mouvements d’engins, altérant temporairement la perception ordonnée du cadre aéroportuaire et l’image de qualité du service.</w:t>
      </w:r>
    </w:p>
    <w:p w14:paraId="2E6676FF" w14:textId="77777777" w:rsidR="00765089" w:rsidRDefault="00765089" w:rsidP="00765089">
      <w:r w:rsidRPr="00765089">
        <w:t xml:space="preserve">L’impact est de </w:t>
      </w:r>
      <w:r w:rsidRPr="004637C7">
        <w:t>type négatif et direct</w:t>
      </w:r>
      <w:r w:rsidRPr="00765089">
        <w:t>, puisqu’il résulte immédiatement des activités de construction, sans interaction indirecte ou cumulative.</w:t>
      </w:r>
    </w:p>
    <w:p w14:paraId="59DBDCD5" w14:textId="42CE8C75" w:rsidR="000E2814" w:rsidRPr="00320091" w:rsidRDefault="00765089" w:rsidP="00765089">
      <w:r w:rsidRPr="00320091">
        <w:t xml:space="preserve">Son </w:t>
      </w:r>
      <w:r w:rsidRPr="004637C7">
        <w:t>étendue spatiale</w:t>
      </w:r>
      <w:r w:rsidRPr="00320091">
        <w:t xml:space="preserve"> est </w:t>
      </w:r>
      <w:r w:rsidRPr="004637C7">
        <w:t>locale</w:t>
      </w:r>
      <w:r w:rsidRPr="00320091">
        <w:t>, limitée au périmètre de l’aéroport et à ses abords immédiats, principalement la R</w:t>
      </w:r>
      <w:r w:rsidR="00176484">
        <w:t>212</w:t>
      </w:r>
      <w:r w:rsidRPr="00320091">
        <w:t xml:space="preserve">. La </w:t>
      </w:r>
      <w:r w:rsidRPr="004637C7">
        <w:t>platitude du terrain</w:t>
      </w:r>
      <w:r w:rsidRPr="00320091">
        <w:t xml:space="preserve"> amplifie légèrement la visibilité des engins et des zones de dépôt depuis certains points hauts de la route, mais l’absence de relief marqué et la présence d’infrastructures existantes limitent l’effet à courte distance.</w:t>
      </w:r>
    </w:p>
    <w:p w14:paraId="066B1DFF" w14:textId="6690E414" w:rsidR="000E2814" w:rsidRPr="00320091" w:rsidRDefault="00765089" w:rsidP="00765089">
      <w:r w:rsidRPr="00320091">
        <w:t xml:space="preserve">La </w:t>
      </w:r>
      <w:r w:rsidRPr="004637C7">
        <w:t>durée</w:t>
      </w:r>
      <w:r w:rsidRPr="00320091">
        <w:t xml:space="preserve"> de cet impact est </w:t>
      </w:r>
      <w:r w:rsidRPr="004637C7">
        <w:t>temporaire</w:t>
      </w:r>
      <w:r w:rsidRPr="00320091">
        <w:t>, correspondant à la période de travaux, et cessera après la remise en état des lieux.</w:t>
      </w:r>
    </w:p>
    <w:p w14:paraId="7A005539" w14:textId="427B11EA" w:rsidR="00765089" w:rsidRPr="00320091" w:rsidRDefault="00765089" w:rsidP="00765089">
      <w:r w:rsidRPr="00320091">
        <w:t xml:space="preserve">Sa </w:t>
      </w:r>
      <w:r w:rsidRPr="004637C7">
        <w:t>fréquence</w:t>
      </w:r>
      <w:r w:rsidRPr="00320091">
        <w:t xml:space="preserve"> est </w:t>
      </w:r>
      <w:r w:rsidRPr="004637C7">
        <w:t>continue</w:t>
      </w:r>
      <w:r w:rsidRPr="00320091">
        <w:t xml:space="preserve"> durant la période du chantier, avec des pics visuels plus marqués pendant les phases de terrassement et d’élévation ponctuelle (montage de la grue), puis décroissants lors des finitions.</w:t>
      </w:r>
    </w:p>
    <w:p w14:paraId="2F10B646" w14:textId="77777777" w:rsidR="000E2814" w:rsidRPr="00320091" w:rsidRDefault="00765089" w:rsidP="00765089">
      <w:r w:rsidRPr="00320091">
        <w:t>L’</w:t>
      </w:r>
      <w:r w:rsidRPr="004637C7">
        <w:t>intensité</w:t>
      </w:r>
      <w:r w:rsidRPr="00320091">
        <w:t xml:space="preserve"> est évaluée comme </w:t>
      </w:r>
      <w:r w:rsidRPr="004637C7">
        <w:t>moyenne</w:t>
      </w:r>
      <w:r w:rsidRPr="00320091">
        <w:t>, car la perturbation visuelle est réelle et perceptible par les récepteurs proches, mais elle demeure cohérente avec la vocation technique et industrielle du site.</w:t>
      </w:r>
    </w:p>
    <w:p w14:paraId="79D25295" w14:textId="56BD1663" w:rsidR="00765089" w:rsidRPr="00320091" w:rsidRDefault="00765089" w:rsidP="00765089">
      <w:r w:rsidRPr="00320091">
        <w:t xml:space="preserve">La </w:t>
      </w:r>
      <w:r w:rsidRPr="004637C7">
        <w:t>sensibilité</w:t>
      </w:r>
      <w:r w:rsidRPr="00320091">
        <w:t xml:space="preserve"> des récepteurs est différenciée :</w:t>
      </w:r>
    </w:p>
    <w:p w14:paraId="14B7071B" w14:textId="77777777" w:rsidR="00765089" w:rsidRPr="00320091" w:rsidRDefault="00765089" w:rsidP="0001633E">
      <w:pPr>
        <w:numPr>
          <w:ilvl w:val="0"/>
          <w:numId w:val="111"/>
        </w:numPr>
      </w:pPr>
      <w:r w:rsidRPr="004637C7">
        <w:lastRenderedPageBreak/>
        <w:t>Forte</w:t>
      </w:r>
      <w:r w:rsidRPr="00320091">
        <w:t xml:space="preserve"> pour les </w:t>
      </w:r>
      <w:r w:rsidRPr="004637C7">
        <w:t>usagers et employés</w:t>
      </w:r>
      <w:r w:rsidRPr="00320091">
        <w:t xml:space="preserve"> de l’aéroport, directement exposés et attentifs à la qualité visuelle du cadre immédiat ;</w:t>
      </w:r>
    </w:p>
    <w:p w14:paraId="4C985CB7" w14:textId="2861020F" w:rsidR="00765089" w:rsidRPr="00320091" w:rsidRDefault="000E2814" w:rsidP="0001633E">
      <w:pPr>
        <w:numPr>
          <w:ilvl w:val="0"/>
          <w:numId w:val="111"/>
        </w:numPr>
      </w:pPr>
      <w:r w:rsidRPr="004637C7">
        <w:t>Faible</w:t>
      </w:r>
      <w:r w:rsidR="00765089" w:rsidRPr="00320091">
        <w:t xml:space="preserve"> pour les </w:t>
      </w:r>
      <w:r w:rsidR="00765089" w:rsidRPr="004637C7">
        <w:t xml:space="preserve">usagers de la </w:t>
      </w:r>
      <w:r w:rsidR="00A136AA">
        <w:t>R212</w:t>
      </w:r>
      <w:r w:rsidR="00765089" w:rsidRPr="00320091">
        <w:t>, exposés de manière ponctuelle et en mouvement ;</w:t>
      </w:r>
    </w:p>
    <w:p w14:paraId="657490E5" w14:textId="77777777" w:rsidR="000E2814" w:rsidRPr="00320091" w:rsidRDefault="00765089" w:rsidP="00765089">
      <w:r w:rsidRPr="00320091">
        <w:t xml:space="preserve">La combinaison d’une </w:t>
      </w:r>
      <w:r w:rsidRPr="004637C7">
        <w:t>intensité moyenne</w:t>
      </w:r>
      <w:r w:rsidRPr="00320091">
        <w:t xml:space="preserve"> et d’une </w:t>
      </w:r>
      <w:r w:rsidRPr="004637C7">
        <w:t xml:space="preserve">sensibilité </w:t>
      </w:r>
      <w:r w:rsidR="000E2814" w:rsidRPr="004637C7">
        <w:t>faible</w:t>
      </w:r>
      <w:r w:rsidRPr="004637C7">
        <w:t xml:space="preserve"> à forte</w:t>
      </w:r>
      <w:r w:rsidRPr="00320091">
        <w:t xml:space="preserve"> conduit à un </w:t>
      </w:r>
      <w:r w:rsidRPr="004637C7">
        <w:t xml:space="preserve">impact d’importance </w:t>
      </w:r>
      <w:r w:rsidR="000E2814" w:rsidRPr="004637C7">
        <w:t>mineure à majeure selon les récepteurs</w:t>
      </w:r>
      <w:r w:rsidRPr="00320091">
        <w:t>, temporaire et entièrement réversible à la fin des travaux.</w:t>
      </w:r>
    </w:p>
    <w:p w14:paraId="395F864B" w14:textId="7BB00D5A" w:rsidR="007A2E0D" w:rsidRDefault="00765089" w:rsidP="00765089">
      <w:r w:rsidRPr="00320091">
        <w:t>Cet effet n’altère pas la structure paysagère globale du site, mais il engendre une gêne visuelle temporaire liée à la perception d’un environnement encombré et artificiel, notamment pour les observateurs proches.</w:t>
      </w:r>
      <w:r w:rsidR="007A2E0D">
        <w:br w:type="page"/>
      </w:r>
    </w:p>
    <w:p w14:paraId="2BFD1D8C" w14:textId="77777777" w:rsidR="00765089" w:rsidRPr="00320091" w:rsidRDefault="00765089" w:rsidP="00765089"/>
    <w:tbl>
      <w:tblPr>
        <w:tblStyle w:val="TableauGrille1Clair-Accentuation111"/>
        <w:tblW w:w="0" w:type="auto"/>
        <w:tblLayout w:type="fixed"/>
        <w:tblLook w:val="04A0" w:firstRow="1" w:lastRow="0" w:firstColumn="1" w:lastColumn="0" w:noHBand="0" w:noVBand="1"/>
      </w:tblPr>
      <w:tblGrid>
        <w:gridCol w:w="792"/>
        <w:gridCol w:w="2747"/>
        <w:gridCol w:w="1843"/>
        <w:gridCol w:w="2436"/>
        <w:gridCol w:w="1242"/>
      </w:tblGrid>
      <w:tr w:rsidR="00322FD9" w:rsidRPr="00B95A9D" w14:paraId="31122683" w14:textId="77777777" w:rsidTr="004637C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2" w:type="dxa"/>
            <w:hideMark/>
          </w:tcPr>
          <w:p w14:paraId="2FC1DD93" w14:textId="77777777" w:rsidR="00322FD9" w:rsidRPr="00B95A9D" w:rsidRDefault="00322FD9" w:rsidP="005A7661">
            <w:pPr>
              <w:rPr>
                <w:rFonts w:asciiTheme="minorHAnsi" w:hAnsiTheme="minorHAnsi" w:cstheme="minorHAnsi"/>
                <w:szCs w:val="20"/>
                <w:lang w:eastAsia="fr-FR" w:bidi="ar-SA"/>
              </w:rPr>
            </w:pPr>
            <w:r w:rsidRPr="00B95A9D">
              <w:rPr>
                <w:rFonts w:asciiTheme="minorHAnsi" w:hAnsiTheme="minorHAnsi" w:cstheme="minorHAnsi"/>
                <w:szCs w:val="20"/>
                <w:lang w:eastAsia="fr-FR" w:bidi="ar-SA"/>
              </w:rPr>
              <w:t>Impact</w:t>
            </w:r>
          </w:p>
        </w:tc>
        <w:tc>
          <w:tcPr>
            <w:tcW w:w="2747" w:type="dxa"/>
            <w:hideMark/>
          </w:tcPr>
          <w:p w14:paraId="3B5E218D" w14:textId="77777777" w:rsidR="00322FD9" w:rsidRPr="00B95A9D" w:rsidRDefault="00322FD9" w:rsidP="005A7661">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sidRPr="00B95A9D">
              <w:rPr>
                <w:rFonts w:asciiTheme="minorHAnsi" w:hAnsiTheme="minorHAnsi" w:cstheme="minorHAnsi"/>
                <w:szCs w:val="20"/>
                <w:lang w:eastAsia="fr-FR" w:bidi="ar-SA"/>
              </w:rPr>
              <w:t>Activités génératrices</w:t>
            </w:r>
          </w:p>
        </w:tc>
        <w:tc>
          <w:tcPr>
            <w:tcW w:w="1843" w:type="dxa"/>
            <w:hideMark/>
          </w:tcPr>
          <w:p w14:paraId="2539ED33" w14:textId="77777777" w:rsidR="00322FD9" w:rsidRPr="00B95A9D" w:rsidRDefault="00322FD9" w:rsidP="005A7661">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sidRPr="00B95A9D">
              <w:rPr>
                <w:rFonts w:asciiTheme="minorHAnsi" w:hAnsiTheme="minorHAnsi" w:cstheme="minorHAnsi"/>
                <w:szCs w:val="20"/>
                <w:lang w:eastAsia="fr-FR" w:bidi="ar-SA"/>
              </w:rPr>
              <w:t>Critère</w:t>
            </w:r>
          </w:p>
        </w:tc>
        <w:tc>
          <w:tcPr>
            <w:tcW w:w="2436" w:type="dxa"/>
            <w:hideMark/>
          </w:tcPr>
          <w:p w14:paraId="3A4D823D" w14:textId="77777777" w:rsidR="00322FD9" w:rsidRPr="00B95A9D" w:rsidRDefault="00322FD9" w:rsidP="005A7661">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sidRPr="00B95A9D">
              <w:rPr>
                <w:rFonts w:asciiTheme="minorHAnsi" w:hAnsiTheme="minorHAnsi" w:cstheme="minorHAnsi"/>
                <w:szCs w:val="20"/>
                <w:lang w:eastAsia="fr-FR" w:bidi="ar-SA"/>
              </w:rPr>
              <w:t>Justification</w:t>
            </w:r>
          </w:p>
        </w:tc>
        <w:tc>
          <w:tcPr>
            <w:tcW w:w="1242" w:type="dxa"/>
            <w:hideMark/>
          </w:tcPr>
          <w:p w14:paraId="4A8A274A" w14:textId="77777777" w:rsidR="00322FD9" w:rsidRPr="00B95A9D" w:rsidRDefault="00322FD9" w:rsidP="005A7661">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sidRPr="00B95A9D">
              <w:rPr>
                <w:rFonts w:asciiTheme="minorHAnsi" w:hAnsiTheme="minorHAnsi" w:cstheme="minorHAnsi"/>
                <w:szCs w:val="20"/>
                <w:lang w:eastAsia="fr-FR" w:bidi="ar-SA"/>
              </w:rPr>
              <w:t>Niveau</w:t>
            </w:r>
          </w:p>
        </w:tc>
      </w:tr>
      <w:tr w:rsidR="00080D3F" w:rsidRPr="00B95A9D" w14:paraId="21BF1DCE" w14:textId="77777777" w:rsidTr="00522011">
        <w:tc>
          <w:tcPr>
            <w:cnfStyle w:val="001000000000" w:firstRow="0" w:lastRow="0" w:firstColumn="1" w:lastColumn="0" w:oddVBand="0" w:evenVBand="0" w:oddHBand="0" w:evenHBand="0" w:firstRowFirstColumn="0" w:firstRowLastColumn="0" w:lastRowFirstColumn="0" w:lastRowLastColumn="0"/>
            <w:tcW w:w="792" w:type="dxa"/>
            <w:vMerge w:val="restart"/>
            <w:textDirection w:val="btLr"/>
            <w:vAlign w:val="center"/>
          </w:tcPr>
          <w:p w14:paraId="205C4742" w14:textId="3B69E815" w:rsidR="00080D3F" w:rsidRPr="00B95A9D" w:rsidRDefault="00080D3F" w:rsidP="004637C7">
            <w:pPr>
              <w:ind w:left="113" w:right="113"/>
              <w:jc w:val="center"/>
              <w:rPr>
                <w:rFonts w:asciiTheme="minorHAnsi" w:hAnsiTheme="minorHAnsi" w:cstheme="minorHAnsi"/>
                <w:szCs w:val="20"/>
                <w:lang w:eastAsia="fr-FR" w:bidi="ar-SA"/>
              </w:rPr>
            </w:pPr>
            <w:r w:rsidRPr="005F1A5D">
              <w:rPr>
                <w:rFonts w:asciiTheme="minorHAnsi" w:hAnsiTheme="minorHAnsi" w:cstheme="minorHAnsi"/>
                <w:szCs w:val="20"/>
                <w:lang w:eastAsia="fr-FR" w:bidi="ar-SA"/>
              </w:rPr>
              <w:t>Dégradation temporaire du cadre visue</w:t>
            </w:r>
            <w:r>
              <w:rPr>
                <w:rFonts w:asciiTheme="minorHAnsi" w:hAnsiTheme="minorHAnsi" w:cstheme="minorHAnsi"/>
                <w:szCs w:val="20"/>
                <w:lang w:eastAsia="fr-FR" w:bidi="ar-SA"/>
              </w:rPr>
              <w:t>l</w:t>
            </w:r>
          </w:p>
        </w:tc>
        <w:tc>
          <w:tcPr>
            <w:tcW w:w="2747" w:type="dxa"/>
            <w:vMerge w:val="restart"/>
          </w:tcPr>
          <w:p w14:paraId="62D1EE12" w14:textId="7A2387AB" w:rsidR="00653729" w:rsidRDefault="00080D3F" w:rsidP="005A766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sidRPr="005F1A5D">
              <w:rPr>
                <w:rFonts w:asciiTheme="minorHAnsi" w:hAnsiTheme="minorHAnsi" w:cstheme="minorHAnsi"/>
                <w:szCs w:val="20"/>
                <w:lang w:eastAsia="fr-FR" w:bidi="ar-SA"/>
              </w:rPr>
              <w:t xml:space="preserve">Travaux de terrassement et de nivellement </w:t>
            </w:r>
            <w:r w:rsidR="00653729">
              <w:rPr>
                <w:rFonts w:asciiTheme="minorHAnsi" w:hAnsiTheme="minorHAnsi" w:cstheme="minorHAnsi"/>
                <w:szCs w:val="20"/>
                <w:lang w:eastAsia="fr-FR" w:bidi="ar-SA"/>
              </w:rPr>
              <w:t>;</w:t>
            </w:r>
          </w:p>
          <w:p w14:paraId="16D2ECD4" w14:textId="77777777" w:rsidR="00653729" w:rsidRDefault="00080D3F" w:rsidP="005A766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sidRPr="005F1A5D">
              <w:rPr>
                <w:rFonts w:asciiTheme="minorHAnsi" w:hAnsiTheme="minorHAnsi" w:cstheme="minorHAnsi"/>
                <w:szCs w:val="20"/>
                <w:lang w:eastAsia="fr-FR" w:bidi="ar-SA"/>
              </w:rPr>
              <w:t>Stockage temporaire de matériaux et déblais</w:t>
            </w:r>
            <w:r w:rsidRPr="005F1A5D">
              <w:rPr>
                <w:rFonts w:asciiTheme="minorHAnsi" w:hAnsiTheme="minorHAnsi" w:cstheme="minorHAnsi"/>
                <w:szCs w:val="20"/>
                <w:lang w:eastAsia="fr-FR" w:bidi="ar-SA"/>
              </w:rPr>
              <w:br/>
              <w:t>Circulation d’engins et d’équipements</w:t>
            </w:r>
            <w:r w:rsidR="00653729">
              <w:rPr>
                <w:rFonts w:asciiTheme="minorHAnsi" w:hAnsiTheme="minorHAnsi" w:cstheme="minorHAnsi"/>
                <w:szCs w:val="20"/>
                <w:lang w:eastAsia="fr-FR" w:bidi="ar-SA"/>
              </w:rPr>
              <w:t> ;</w:t>
            </w:r>
          </w:p>
          <w:p w14:paraId="6615C444" w14:textId="46EFB88A" w:rsidR="00653729" w:rsidRDefault="00080D3F" w:rsidP="005A766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sidRPr="005F1A5D">
              <w:rPr>
                <w:rFonts w:asciiTheme="minorHAnsi" w:hAnsiTheme="minorHAnsi" w:cstheme="minorHAnsi"/>
                <w:szCs w:val="20"/>
                <w:lang w:eastAsia="fr-FR" w:bidi="ar-SA"/>
              </w:rPr>
              <w:t>Présence ponctuelle d’une grue de levage</w:t>
            </w:r>
            <w:r w:rsidR="00653729">
              <w:rPr>
                <w:rFonts w:asciiTheme="minorHAnsi" w:hAnsiTheme="minorHAnsi" w:cstheme="minorHAnsi"/>
                <w:szCs w:val="20"/>
                <w:lang w:eastAsia="fr-FR" w:bidi="ar-SA"/>
              </w:rPr>
              <w:t> ;</w:t>
            </w:r>
          </w:p>
          <w:p w14:paraId="0F267663" w14:textId="4D166D37" w:rsidR="00080D3F" w:rsidRPr="00B95A9D" w:rsidRDefault="00080D3F" w:rsidP="005A766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sidRPr="005F1A5D">
              <w:rPr>
                <w:rFonts w:asciiTheme="minorHAnsi" w:hAnsiTheme="minorHAnsi" w:cstheme="minorHAnsi"/>
                <w:szCs w:val="20"/>
                <w:lang w:eastAsia="fr-FR" w:bidi="ar-SA"/>
              </w:rPr>
              <w:t xml:space="preserve">Clôtures et installations de chantier visibles depuis la </w:t>
            </w:r>
            <w:r w:rsidR="004A4AF4">
              <w:rPr>
                <w:rFonts w:asciiTheme="minorHAnsi" w:hAnsiTheme="minorHAnsi" w:cstheme="minorHAnsi"/>
                <w:szCs w:val="20"/>
                <w:lang w:eastAsia="fr-FR" w:bidi="ar-SA"/>
              </w:rPr>
              <w:t>R212</w:t>
            </w:r>
            <w:r w:rsidR="00653729">
              <w:rPr>
                <w:rFonts w:asciiTheme="minorHAnsi" w:hAnsiTheme="minorHAnsi" w:cstheme="minorHAnsi"/>
                <w:szCs w:val="20"/>
                <w:lang w:eastAsia="fr-FR" w:bidi="ar-SA"/>
              </w:rPr>
              <w:t>.</w:t>
            </w:r>
          </w:p>
        </w:tc>
        <w:tc>
          <w:tcPr>
            <w:tcW w:w="1843" w:type="dxa"/>
            <w:hideMark/>
          </w:tcPr>
          <w:p w14:paraId="51986B69" w14:textId="77777777" w:rsidR="00080D3F" w:rsidRPr="00B95A9D" w:rsidRDefault="00080D3F" w:rsidP="005A766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Cs w:val="20"/>
                <w:lang w:eastAsia="fr-FR" w:bidi="ar-SA"/>
              </w:rPr>
            </w:pPr>
            <w:r w:rsidRPr="00B95A9D">
              <w:rPr>
                <w:rFonts w:asciiTheme="minorHAnsi" w:hAnsiTheme="minorHAnsi" w:cstheme="minorHAnsi"/>
                <w:b/>
                <w:bCs/>
                <w:szCs w:val="20"/>
                <w:lang w:eastAsia="fr-FR" w:bidi="ar-SA"/>
              </w:rPr>
              <w:t>Nature</w:t>
            </w:r>
          </w:p>
        </w:tc>
        <w:tc>
          <w:tcPr>
            <w:tcW w:w="3678" w:type="dxa"/>
            <w:gridSpan w:val="2"/>
          </w:tcPr>
          <w:p w14:paraId="5F5D84DE" w14:textId="77777777" w:rsidR="00080D3F" w:rsidRPr="00B95A9D" w:rsidRDefault="00080D3F" w:rsidP="005A766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Pr>
                <w:rFonts w:asciiTheme="minorHAnsi" w:hAnsiTheme="minorHAnsi" w:cstheme="minorHAnsi"/>
                <w:szCs w:val="20"/>
                <w:lang w:eastAsia="fr-FR" w:bidi="ar-SA"/>
              </w:rPr>
              <w:t>Direct négatif</w:t>
            </w:r>
          </w:p>
        </w:tc>
      </w:tr>
      <w:tr w:rsidR="00080D3F" w:rsidRPr="00B95A9D" w14:paraId="06AFBDC8" w14:textId="77777777" w:rsidTr="00522011">
        <w:tc>
          <w:tcPr>
            <w:cnfStyle w:val="001000000000" w:firstRow="0" w:lastRow="0" w:firstColumn="1" w:lastColumn="0" w:oddVBand="0" w:evenVBand="0" w:oddHBand="0" w:evenHBand="0" w:firstRowFirstColumn="0" w:firstRowLastColumn="0" w:lastRowFirstColumn="0" w:lastRowLastColumn="0"/>
            <w:tcW w:w="792" w:type="dxa"/>
            <w:vMerge/>
            <w:hideMark/>
          </w:tcPr>
          <w:p w14:paraId="3BE7238E" w14:textId="77777777" w:rsidR="00080D3F" w:rsidRPr="00B95A9D" w:rsidRDefault="00080D3F" w:rsidP="005A7661">
            <w:pPr>
              <w:rPr>
                <w:rFonts w:asciiTheme="minorHAnsi" w:hAnsiTheme="minorHAnsi" w:cstheme="minorHAnsi"/>
                <w:szCs w:val="20"/>
                <w:lang w:eastAsia="fr-FR" w:bidi="ar-SA"/>
              </w:rPr>
            </w:pPr>
          </w:p>
        </w:tc>
        <w:tc>
          <w:tcPr>
            <w:tcW w:w="2747" w:type="dxa"/>
            <w:vMerge/>
            <w:hideMark/>
          </w:tcPr>
          <w:p w14:paraId="2D4BCF83" w14:textId="77777777" w:rsidR="00080D3F" w:rsidRPr="00B95A9D" w:rsidRDefault="00080D3F" w:rsidP="005A766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p>
        </w:tc>
        <w:tc>
          <w:tcPr>
            <w:tcW w:w="1843" w:type="dxa"/>
            <w:hideMark/>
          </w:tcPr>
          <w:p w14:paraId="50648EA9" w14:textId="77777777" w:rsidR="00080D3F" w:rsidRPr="00B95A9D" w:rsidRDefault="00080D3F" w:rsidP="005A766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Cs w:val="20"/>
                <w:lang w:eastAsia="fr-FR" w:bidi="ar-SA"/>
              </w:rPr>
            </w:pPr>
            <w:r w:rsidRPr="00B95A9D">
              <w:rPr>
                <w:rFonts w:asciiTheme="minorHAnsi" w:hAnsiTheme="minorHAnsi" w:cstheme="minorHAnsi"/>
                <w:b/>
                <w:bCs/>
                <w:szCs w:val="20"/>
                <w:lang w:eastAsia="fr-FR" w:bidi="ar-SA"/>
              </w:rPr>
              <w:t>Étendue</w:t>
            </w:r>
          </w:p>
        </w:tc>
        <w:tc>
          <w:tcPr>
            <w:tcW w:w="2436" w:type="dxa"/>
          </w:tcPr>
          <w:p w14:paraId="3CC1BA78" w14:textId="5E3D9A06" w:rsidR="00080D3F" w:rsidRPr="00B95A9D" w:rsidRDefault="00080D3F" w:rsidP="005A766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Pr>
                <w:rFonts w:asciiTheme="minorHAnsi" w:hAnsiTheme="minorHAnsi" w:cstheme="minorHAnsi"/>
                <w:szCs w:val="20"/>
                <w:lang w:eastAsia="fr-FR" w:bidi="ar-SA"/>
              </w:rPr>
              <w:t>P</w:t>
            </w:r>
            <w:r w:rsidRPr="005F1A5D">
              <w:rPr>
                <w:rFonts w:asciiTheme="minorHAnsi" w:hAnsiTheme="minorHAnsi" w:cstheme="minorHAnsi"/>
                <w:szCs w:val="20"/>
                <w:lang w:eastAsia="fr-FR" w:bidi="ar-SA"/>
              </w:rPr>
              <w:t xml:space="preserve">erceptible depuis la </w:t>
            </w:r>
            <w:r w:rsidR="004A4AF4">
              <w:rPr>
                <w:rFonts w:asciiTheme="minorHAnsi" w:hAnsiTheme="minorHAnsi" w:cstheme="minorHAnsi"/>
                <w:szCs w:val="20"/>
                <w:lang w:eastAsia="fr-FR" w:bidi="ar-SA"/>
              </w:rPr>
              <w:t>R212</w:t>
            </w:r>
            <w:r w:rsidR="00B95058">
              <w:rPr>
                <w:rFonts w:asciiTheme="minorHAnsi" w:hAnsiTheme="minorHAnsi" w:cstheme="minorHAnsi"/>
                <w:szCs w:val="20"/>
                <w:lang w:eastAsia="fr-FR" w:bidi="ar-SA"/>
              </w:rPr>
              <w:t>,</w:t>
            </w:r>
            <w:r w:rsidRPr="005F1A5D">
              <w:rPr>
                <w:rFonts w:asciiTheme="minorHAnsi" w:hAnsiTheme="minorHAnsi" w:cstheme="minorHAnsi"/>
                <w:szCs w:val="20"/>
                <w:lang w:eastAsia="fr-FR" w:bidi="ar-SA"/>
              </w:rPr>
              <w:t xml:space="preserve"> mais confinée à l’intérieur du périmètre aéroportuaire.</w:t>
            </w:r>
          </w:p>
        </w:tc>
        <w:tc>
          <w:tcPr>
            <w:tcW w:w="1242" w:type="dxa"/>
          </w:tcPr>
          <w:p w14:paraId="6F1B5599" w14:textId="15BA77E8" w:rsidR="00080D3F" w:rsidRPr="00B95A9D" w:rsidRDefault="00080D3F" w:rsidP="005A766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Cs w:val="20"/>
                <w:lang w:eastAsia="fr-FR" w:bidi="ar-SA"/>
              </w:rPr>
            </w:pPr>
            <w:r>
              <w:rPr>
                <w:rFonts w:asciiTheme="minorHAnsi" w:hAnsiTheme="minorHAnsi" w:cstheme="minorHAnsi"/>
                <w:b/>
                <w:bCs/>
                <w:szCs w:val="20"/>
                <w:lang w:eastAsia="fr-FR" w:bidi="ar-SA"/>
              </w:rPr>
              <w:t>Locale</w:t>
            </w:r>
          </w:p>
        </w:tc>
      </w:tr>
      <w:tr w:rsidR="00080D3F" w:rsidRPr="00B95A9D" w14:paraId="220826D1" w14:textId="77777777" w:rsidTr="00522011">
        <w:tc>
          <w:tcPr>
            <w:cnfStyle w:val="001000000000" w:firstRow="0" w:lastRow="0" w:firstColumn="1" w:lastColumn="0" w:oddVBand="0" w:evenVBand="0" w:oddHBand="0" w:evenHBand="0" w:firstRowFirstColumn="0" w:firstRowLastColumn="0" w:lastRowFirstColumn="0" w:lastRowLastColumn="0"/>
            <w:tcW w:w="792" w:type="dxa"/>
            <w:vMerge/>
            <w:hideMark/>
          </w:tcPr>
          <w:p w14:paraId="1F10440D" w14:textId="77777777" w:rsidR="00080D3F" w:rsidRPr="00B95A9D" w:rsidRDefault="00080D3F" w:rsidP="005A7661">
            <w:pPr>
              <w:rPr>
                <w:rFonts w:asciiTheme="minorHAnsi" w:hAnsiTheme="minorHAnsi" w:cstheme="minorHAnsi"/>
                <w:szCs w:val="20"/>
                <w:lang w:eastAsia="fr-FR" w:bidi="ar-SA"/>
              </w:rPr>
            </w:pPr>
          </w:p>
        </w:tc>
        <w:tc>
          <w:tcPr>
            <w:tcW w:w="2747" w:type="dxa"/>
            <w:vMerge/>
            <w:hideMark/>
          </w:tcPr>
          <w:p w14:paraId="4E0F6882" w14:textId="77777777" w:rsidR="00080D3F" w:rsidRPr="00B95A9D" w:rsidRDefault="00080D3F" w:rsidP="005A766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p>
        </w:tc>
        <w:tc>
          <w:tcPr>
            <w:tcW w:w="1843" w:type="dxa"/>
            <w:hideMark/>
          </w:tcPr>
          <w:p w14:paraId="40292F80" w14:textId="77777777" w:rsidR="00080D3F" w:rsidRPr="00B95A9D" w:rsidRDefault="00080D3F" w:rsidP="005A766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Cs w:val="20"/>
                <w:lang w:eastAsia="fr-FR" w:bidi="ar-SA"/>
              </w:rPr>
            </w:pPr>
            <w:r w:rsidRPr="00B95A9D">
              <w:rPr>
                <w:rFonts w:asciiTheme="minorHAnsi" w:hAnsiTheme="minorHAnsi" w:cstheme="minorHAnsi"/>
                <w:b/>
                <w:bCs/>
                <w:szCs w:val="20"/>
                <w:lang w:eastAsia="fr-FR" w:bidi="ar-SA"/>
              </w:rPr>
              <w:t>Durée</w:t>
            </w:r>
          </w:p>
        </w:tc>
        <w:tc>
          <w:tcPr>
            <w:tcW w:w="2436" w:type="dxa"/>
          </w:tcPr>
          <w:p w14:paraId="0710070A" w14:textId="1C550BA5" w:rsidR="00080D3F" w:rsidRPr="00B95A9D" w:rsidRDefault="00080D3F" w:rsidP="005A766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Pr>
                <w:rFonts w:asciiTheme="minorHAnsi" w:hAnsiTheme="minorHAnsi" w:cstheme="minorHAnsi"/>
                <w:szCs w:val="20"/>
                <w:lang w:eastAsia="fr-FR" w:bidi="ar-SA"/>
              </w:rPr>
              <w:t>L</w:t>
            </w:r>
            <w:r w:rsidRPr="00080D3F">
              <w:rPr>
                <w:rFonts w:asciiTheme="minorHAnsi" w:hAnsiTheme="minorHAnsi" w:cstheme="minorHAnsi"/>
                <w:szCs w:val="20"/>
                <w:lang w:eastAsia="fr-FR" w:bidi="ar-SA"/>
              </w:rPr>
              <w:t>imitée à la période de chantier</w:t>
            </w:r>
          </w:p>
        </w:tc>
        <w:tc>
          <w:tcPr>
            <w:tcW w:w="1242" w:type="dxa"/>
          </w:tcPr>
          <w:p w14:paraId="0CEAAD54" w14:textId="4D4643DF" w:rsidR="00080D3F" w:rsidRPr="00B95A9D" w:rsidRDefault="00080D3F" w:rsidP="005A766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Cs w:val="20"/>
                <w:lang w:eastAsia="fr-FR" w:bidi="ar-SA"/>
              </w:rPr>
            </w:pPr>
            <w:r>
              <w:rPr>
                <w:rFonts w:asciiTheme="minorHAnsi" w:hAnsiTheme="minorHAnsi" w:cstheme="minorHAnsi"/>
                <w:b/>
                <w:bCs/>
                <w:szCs w:val="20"/>
                <w:lang w:eastAsia="fr-FR" w:bidi="ar-SA"/>
              </w:rPr>
              <w:t>Temporaire</w:t>
            </w:r>
          </w:p>
        </w:tc>
      </w:tr>
      <w:tr w:rsidR="00080D3F" w:rsidRPr="00B95A9D" w14:paraId="36251AEE" w14:textId="77777777" w:rsidTr="00522011">
        <w:tc>
          <w:tcPr>
            <w:cnfStyle w:val="001000000000" w:firstRow="0" w:lastRow="0" w:firstColumn="1" w:lastColumn="0" w:oddVBand="0" w:evenVBand="0" w:oddHBand="0" w:evenHBand="0" w:firstRowFirstColumn="0" w:firstRowLastColumn="0" w:lastRowFirstColumn="0" w:lastRowLastColumn="0"/>
            <w:tcW w:w="792" w:type="dxa"/>
            <w:vMerge/>
            <w:hideMark/>
          </w:tcPr>
          <w:p w14:paraId="2DC5D55A" w14:textId="77777777" w:rsidR="00080D3F" w:rsidRPr="00B95A9D" w:rsidRDefault="00080D3F" w:rsidP="005A7661">
            <w:pPr>
              <w:rPr>
                <w:rFonts w:asciiTheme="minorHAnsi" w:hAnsiTheme="minorHAnsi" w:cstheme="minorHAnsi"/>
                <w:szCs w:val="20"/>
                <w:lang w:eastAsia="fr-FR" w:bidi="ar-SA"/>
              </w:rPr>
            </w:pPr>
          </w:p>
        </w:tc>
        <w:tc>
          <w:tcPr>
            <w:tcW w:w="2747" w:type="dxa"/>
            <w:vMerge/>
            <w:hideMark/>
          </w:tcPr>
          <w:p w14:paraId="1996A4BB" w14:textId="77777777" w:rsidR="00080D3F" w:rsidRPr="00B95A9D" w:rsidRDefault="00080D3F" w:rsidP="005A766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p>
        </w:tc>
        <w:tc>
          <w:tcPr>
            <w:tcW w:w="1843" w:type="dxa"/>
            <w:hideMark/>
          </w:tcPr>
          <w:p w14:paraId="433A54E7" w14:textId="77777777" w:rsidR="00080D3F" w:rsidRPr="00B95A9D" w:rsidRDefault="00080D3F" w:rsidP="005A766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Cs w:val="20"/>
                <w:lang w:eastAsia="fr-FR" w:bidi="ar-SA"/>
              </w:rPr>
            </w:pPr>
            <w:r w:rsidRPr="00B95A9D">
              <w:rPr>
                <w:rFonts w:asciiTheme="minorHAnsi" w:hAnsiTheme="minorHAnsi" w:cstheme="minorHAnsi"/>
                <w:b/>
                <w:bCs/>
                <w:szCs w:val="20"/>
                <w:lang w:eastAsia="fr-FR" w:bidi="ar-SA"/>
              </w:rPr>
              <w:t>Fréquence</w:t>
            </w:r>
          </w:p>
        </w:tc>
        <w:tc>
          <w:tcPr>
            <w:tcW w:w="2436" w:type="dxa"/>
          </w:tcPr>
          <w:p w14:paraId="2FD7F9E3" w14:textId="5A779089" w:rsidR="00080D3F" w:rsidRPr="00911A3C" w:rsidRDefault="00080D3F" w:rsidP="005A766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Pr>
                <w:rFonts w:asciiTheme="minorHAnsi" w:hAnsiTheme="minorHAnsi" w:cstheme="minorHAnsi"/>
                <w:szCs w:val="20"/>
                <w:lang w:eastAsia="fr-FR" w:bidi="ar-SA"/>
              </w:rPr>
              <w:t>P</w:t>
            </w:r>
            <w:r w:rsidRPr="00080D3F">
              <w:rPr>
                <w:rFonts w:asciiTheme="minorHAnsi" w:hAnsiTheme="minorHAnsi" w:cstheme="minorHAnsi"/>
                <w:szCs w:val="20"/>
                <w:lang w:eastAsia="fr-FR" w:bidi="ar-SA"/>
              </w:rPr>
              <w:t>résence visuelle constante durant les travaux, avec des pics lors des terrassements.</w:t>
            </w:r>
          </w:p>
        </w:tc>
        <w:tc>
          <w:tcPr>
            <w:tcW w:w="1242" w:type="dxa"/>
          </w:tcPr>
          <w:p w14:paraId="0B9A3663" w14:textId="46332339" w:rsidR="00080D3F" w:rsidRPr="00B95A9D" w:rsidRDefault="00080D3F" w:rsidP="005A766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Cs w:val="20"/>
                <w:lang w:eastAsia="fr-FR" w:bidi="ar-SA"/>
              </w:rPr>
            </w:pPr>
            <w:r>
              <w:rPr>
                <w:rFonts w:asciiTheme="minorHAnsi" w:hAnsiTheme="minorHAnsi" w:cstheme="minorHAnsi"/>
                <w:b/>
                <w:bCs/>
                <w:szCs w:val="20"/>
                <w:lang w:eastAsia="fr-FR" w:bidi="ar-SA"/>
              </w:rPr>
              <w:t>Continue</w:t>
            </w:r>
          </w:p>
        </w:tc>
      </w:tr>
      <w:tr w:rsidR="00080D3F" w:rsidRPr="00B95A9D" w14:paraId="52F1C260" w14:textId="77777777" w:rsidTr="00522011">
        <w:tc>
          <w:tcPr>
            <w:cnfStyle w:val="001000000000" w:firstRow="0" w:lastRow="0" w:firstColumn="1" w:lastColumn="0" w:oddVBand="0" w:evenVBand="0" w:oddHBand="0" w:evenHBand="0" w:firstRowFirstColumn="0" w:firstRowLastColumn="0" w:lastRowFirstColumn="0" w:lastRowLastColumn="0"/>
            <w:tcW w:w="792" w:type="dxa"/>
            <w:vMerge/>
            <w:hideMark/>
          </w:tcPr>
          <w:p w14:paraId="4886E152" w14:textId="77777777" w:rsidR="00080D3F" w:rsidRPr="00B95A9D" w:rsidRDefault="00080D3F" w:rsidP="005A7661">
            <w:pPr>
              <w:rPr>
                <w:rFonts w:asciiTheme="minorHAnsi" w:hAnsiTheme="minorHAnsi" w:cstheme="minorHAnsi"/>
                <w:szCs w:val="20"/>
                <w:lang w:eastAsia="fr-FR" w:bidi="ar-SA"/>
              </w:rPr>
            </w:pPr>
          </w:p>
        </w:tc>
        <w:tc>
          <w:tcPr>
            <w:tcW w:w="2747" w:type="dxa"/>
            <w:vMerge/>
            <w:hideMark/>
          </w:tcPr>
          <w:p w14:paraId="797EDDDA" w14:textId="77777777" w:rsidR="00080D3F" w:rsidRPr="00B95A9D" w:rsidRDefault="00080D3F" w:rsidP="005A766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p>
        </w:tc>
        <w:tc>
          <w:tcPr>
            <w:tcW w:w="1843" w:type="dxa"/>
            <w:shd w:val="clear" w:color="auto" w:fill="D9E2F3"/>
            <w:hideMark/>
          </w:tcPr>
          <w:p w14:paraId="1311F6F3" w14:textId="77777777" w:rsidR="00080D3F" w:rsidRPr="00B95A9D" w:rsidRDefault="00080D3F" w:rsidP="005A766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Cs w:val="20"/>
                <w:lang w:eastAsia="fr-FR" w:bidi="ar-SA"/>
              </w:rPr>
            </w:pPr>
            <w:r w:rsidRPr="00B95A9D">
              <w:rPr>
                <w:rFonts w:asciiTheme="minorHAnsi" w:hAnsiTheme="minorHAnsi" w:cstheme="minorHAnsi"/>
                <w:b/>
                <w:bCs/>
                <w:szCs w:val="20"/>
                <w:lang w:eastAsia="fr-FR" w:bidi="ar-SA"/>
              </w:rPr>
              <w:t>Intensité</w:t>
            </w:r>
          </w:p>
        </w:tc>
        <w:tc>
          <w:tcPr>
            <w:tcW w:w="2436" w:type="dxa"/>
            <w:shd w:val="clear" w:color="auto" w:fill="D9E2F3"/>
          </w:tcPr>
          <w:p w14:paraId="333B7A68" w14:textId="7AF68508" w:rsidR="00080D3F" w:rsidRPr="00B95A9D" w:rsidRDefault="00080D3F" w:rsidP="005A766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Pr>
                <w:rFonts w:asciiTheme="minorHAnsi" w:hAnsiTheme="minorHAnsi" w:cstheme="minorHAnsi"/>
                <w:szCs w:val="20"/>
                <w:lang w:eastAsia="fr-FR" w:bidi="ar-SA"/>
              </w:rPr>
              <w:t>A</w:t>
            </w:r>
            <w:r w:rsidRPr="00080D3F">
              <w:rPr>
                <w:rFonts w:asciiTheme="minorHAnsi" w:hAnsiTheme="minorHAnsi" w:cstheme="minorHAnsi"/>
                <w:szCs w:val="20"/>
                <w:lang w:eastAsia="fr-FR" w:bidi="ar-SA"/>
              </w:rPr>
              <w:t>ltération visuelle réelle mais compatible avec le caractère déjà artificialisé du site</w:t>
            </w:r>
          </w:p>
        </w:tc>
        <w:tc>
          <w:tcPr>
            <w:tcW w:w="1242" w:type="dxa"/>
            <w:shd w:val="clear" w:color="auto" w:fill="D9E2F3"/>
          </w:tcPr>
          <w:p w14:paraId="0BD3AF1E" w14:textId="2D767F1A" w:rsidR="00080D3F" w:rsidRPr="00B95A9D" w:rsidRDefault="00080D3F" w:rsidP="005A766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Cs w:val="20"/>
                <w:lang w:eastAsia="fr-FR" w:bidi="ar-SA"/>
              </w:rPr>
            </w:pPr>
            <w:r>
              <w:rPr>
                <w:rFonts w:asciiTheme="minorHAnsi" w:hAnsiTheme="minorHAnsi" w:cstheme="minorHAnsi"/>
                <w:b/>
                <w:bCs/>
                <w:szCs w:val="20"/>
                <w:lang w:eastAsia="fr-FR" w:bidi="ar-SA"/>
              </w:rPr>
              <w:t>Moyenne</w:t>
            </w:r>
          </w:p>
        </w:tc>
      </w:tr>
      <w:tr w:rsidR="00080D3F" w:rsidRPr="00B95A9D" w14:paraId="014C8E5E" w14:textId="77777777" w:rsidTr="005A7661">
        <w:tc>
          <w:tcPr>
            <w:cnfStyle w:val="001000000000" w:firstRow="0" w:lastRow="0" w:firstColumn="1" w:lastColumn="0" w:oddVBand="0" w:evenVBand="0" w:oddHBand="0" w:evenHBand="0" w:firstRowFirstColumn="0" w:firstRowLastColumn="0" w:lastRowFirstColumn="0" w:lastRowLastColumn="0"/>
            <w:tcW w:w="792" w:type="dxa"/>
            <w:vMerge/>
          </w:tcPr>
          <w:p w14:paraId="1FBACAB9" w14:textId="77777777" w:rsidR="00080D3F" w:rsidRPr="00B95A9D" w:rsidRDefault="00080D3F" w:rsidP="005A7661">
            <w:pPr>
              <w:rPr>
                <w:rFonts w:asciiTheme="minorHAnsi" w:hAnsiTheme="minorHAnsi" w:cstheme="minorHAnsi"/>
                <w:szCs w:val="20"/>
                <w:lang w:eastAsia="fr-FR" w:bidi="ar-SA"/>
              </w:rPr>
            </w:pPr>
          </w:p>
        </w:tc>
        <w:tc>
          <w:tcPr>
            <w:tcW w:w="8268" w:type="dxa"/>
            <w:gridSpan w:val="4"/>
          </w:tcPr>
          <w:p w14:paraId="5BFFD99F" w14:textId="77777777" w:rsidR="00080D3F" w:rsidRPr="00B95A9D" w:rsidRDefault="00080D3F" w:rsidP="005A7661">
            <w:pPr>
              <w:spacing w:before="0" w:after="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Cs w:val="20"/>
                <w:lang w:eastAsia="fr-FR" w:bidi="ar-SA"/>
              </w:rPr>
            </w:pPr>
          </w:p>
        </w:tc>
      </w:tr>
      <w:tr w:rsidR="00080D3F" w:rsidRPr="00B95A9D" w14:paraId="6E536AA6" w14:textId="77777777" w:rsidTr="00522011">
        <w:tc>
          <w:tcPr>
            <w:cnfStyle w:val="001000000000" w:firstRow="0" w:lastRow="0" w:firstColumn="1" w:lastColumn="0" w:oddVBand="0" w:evenVBand="0" w:oddHBand="0" w:evenHBand="0" w:firstRowFirstColumn="0" w:firstRowLastColumn="0" w:lastRowFirstColumn="0" w:lastRowLastColumn="0"/>
            <w:tcW w:w="792" w:type="dxa"/>
            <w:vMerge/>
          </w:tcPr>
          <w:p w14:paraId="70FE6B4F" w14:textId="77777777" w:rsidR="00080D3F" w:rsidRPr="00B95A9D" w:rsidRDefault="00080D3F" w:rsidP="005A7661">
            <w:pPr>
              <w:rPr>
                <w:rFonts w:asciiTheme="minorHAnsi" w:hAnsiTheme="minorHAnsi" w:cstheme="minorHAnsi"/>
                <w:szCs w:val="20"/>
                <w:lang w:eastAsia="fr-FR" w:bidi="ar-SA"/>
              </w:rPr>
            </w:pPr>
          </w:p>
        </w:tc>
        <w:tc>
          <w:tcPr>
            <w:tcW w:w="2747" w:type="dxa"/>
            <w:shd w:val="clear" w:color="auto" w:fill="B4C6E7" w:themeFill="accent1" w:themeFillTint="66"/>
            <w:vAlign w:val="center"/>
          </w:tcPr>
          <w:p w14:paraId="6B67BA9F" w14:textId="77777777" w:rsidR="00080D3F" w:rsidRPr="00B95A9D" w:rsidRDefault="00080D3F" w:rsidP="005A766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sidRPr="00B95A9D">
              <w:rPr>
                <w:rFonts w:asciiTheme="minorHAnsi" w:hAnsiTheme="minorHAnsi" w:cstheme="minorHAnsi"/>
                <w:b/>
                <w:bCs/>
                <w:szCs w:val="20"/>
              </w:rPr>
              <w:t>Intensité de l’impact</w:t>
            </w:r>
          </w:p>
        </w:tc>
        <w:tc>
          <w:tcPr>
            <w:tcW w:w="1843" w:type="dxa"/>
            <w:shd w:val="clear" w:color="auto" w:fill="B4C6E7" w:themeFill="accent1" w:themeFillTint="66"/>
            <w:vAlign w:val="center"/>
          </w:tcPr>
          <w:p w14:paraId="056F53FC" w14:textId="77777777" w:rsidR="00080D3F" w:rsidRPr="00B95A9D" w:rsidRDefault="00080D3F" w:rsidP="005A766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Cs w:val="20"/>
                <w:lang w:eastAsia="fr-FR" w:bidi="ar-SA"/>
              </w:rPr>
            </w:pPr>
            <w:r w:rsidRPr="00B95A9D">
              <w:rPr>
                <w:rFonts w:asciiTheme="minorHAnsi" w:hAnsiTheme="minorHAnsi" w:cstheme="minorHAnsi"/>
                <w:b/>
                <w:bCs/>
                <w:szCs w:val="20"/>
              </w:rPr>
              <w:t>Récepteurs</w:t>
            </w:r>
          </w:p>
        </w:tc>
        <w:tc>
          <w:tcPr>
            <w:tcW w:w="2436" w:type="dxa"/>
            <w:shd w:val="clear" w:color="auto" w:fill="B4C6E7" w:themeFill="accent1" w:themeFillTint="66"/>
            <w:vAlign w:val="center"/>
          </w:tcPr>
          <w:p w14:paraId="1AF5A585" w14:textId="77777777" w:rsidR="00080D3F" w:rsidRPr="00B95A9D" w:rsidRDefault="00080D3F" w:rsidP="005A766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sidRPr="00B95A9D">
              <w:rPr>
                <w:rFonts w:asciiTheme="minorHAnsi" w:hAnsiTheme="minorHAnsi" w:cstheme="minorHAnsi"/>
                <w:b/>
                <w:bCs/>
                <w:szCs w:val="20"/>
              </w:rPr>
              <w:t>Sensibilité</w:t>
            </w:r>
          </w:p>
        </w:tc>
        <w:tc>
          <w:tcPr>
            <w:tcW w:w="1242" w:type="dxa"/>
            <w:shd w:val="clear" w:color="auto" w:fill="B4C6E7" w:themeFill="accent1" w:themeFillTint="66"/>
            <w:vAlign w:val="center"/>
          </w:tcPr>
          <w:p w14:paraId="5CDB90EB" w14:textId="77777777" w:rsidR="00080D3F" w:rsidRPr="00B95A9D" w:rsidRDefault="00080D3F" w:rsidP="005A766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Cs w:val="20"/>
                <w:lang w:eastAsia="fr-FR" w:bidi="ar-SA"/>
              </w:rPr>
            </w:pPr>
            <w:r w:rsidRPr="00B95A9D">
              <w:rPr>
                <w:rFonts w:asciiTheme="minorHAnsi" w:hAnsiTheme="minorHAnsi" w:cstheme="minorHAnsi"/>
                <w:b/>
                <w:bCs/>
                <w:szCs w:val="20"/>
              </w:rPr>
              <w:t>Importance de l’impact</w:t>
            </w:r>
          </w:p>
        </w:tc>
      </w:tr>
      <w:tr w:rsidR="00080D3F" w:rsidRPr="00B95A9D" w14:paraId="4E37F9FB" w14:textId="77777777" w:rsidTr="00522011">
        <w:tc>
          <w:tcPr>
            <w:cnfStyle w:val="001000000000" w:firstRow="0" w:lastRow="0" w:firstColumn="1" w:lastColumn="0" w:oddVBand="0" w:evenVBand="0" w:oddHBand="0" w:evenHBand="0" w:firstRowFirstColumn="0" w:firstRowLastColumn="0" w:lastRowFirstColumn="0" w:lastRowLastColumn="0"/>
            <w:tcW w:w="792" w:type="dxa"/>
            <w:vMerge/>
          </w:tcPr>
          <w:p w14:paraId="112F55FF" w14:textId="77777777" w:rsidR="00080D3F" w:rsidRPr="00B95A9D" w:rsidRDefault="00080D3F" w:rsidP="00080D3F">
            <w:pPr>
              <w:rPr>
                <w:rFonts w:asciiTheme="minorHAnsi" w:hAnsiTheme="minorHAnsi" w:cstheme="minorHAnsi"/>
                <w:szCs w:val="20"/>
                <w:lang w:eastAsia="fr-FR" w:bidi="ar-SA"/>
              </w:rPr>
            </w:pPr>
          </w:p>
        </w:tc>
        <w:tc>
          <w:tcPr>
            <w:tcW w:w="2747" w:type="dxa"/>
            <w:vMerge w:val="restart"/>
            <w:vAlign w:val="center"/>
          </w:tcPr>
          <w:p w14:paraId="6002DC7F" w14:textId="45E08059" w:rsidR="00080D3F" w:rsidRPr="00B95A9D" w:rsidRDefault="00080D3F" w:rsidP="00080D3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Pr>
                <w:rFonts w:asciiTheme="minorHAnsi" w:hAnsiTheme="minorHAnsi" w:cstheme="minorHAnsi"/>
                <w:szCs w:val="20"/>
                <w:lang w:eastAsia="fr-FR" w:bidi="ar-SA"/>
              </w:rPr>
              <w:t>Moyenne</w:t>
            </w:r>
          </w:p>
        </w:tc>
        <w:tc>
          <w:tcPr>
            <w:tcW w:w="1843" w:type="dxa"/>
            <w:vAlign w:val="center"/>
          </w:tcPr>
          <w:p w14:paraId="68D1CB34" w14:textId="07FB886A" w:rsidR="00080D3F" w:rsidRPr="00B95A9D" w:rsidRDefault="00080D3F" w:rsidP="00080D3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Cs w:val="20"/>
                <w:lang w:eastAsia="fr-FR" w:bidi="ar-SA"/>
              </w:rPr>
            </w:pPr>
            <w:r w:rsidRPr="00D72C6A">
              <w:rPr>
                <w:rFonts w:asciiTheme="minorHAnsi" w:hAnsiTheme="minorHAnsi" w:cstheme="minorHAnsi"/>
                <w:b/>
                <w:bCs/>
                <w:szCs w:val="20"/>
                <w:lang w:eastAsia="fr-FR" w:bidi="ar-SA"/>
              </w:rPr>
              <w:t>Usagers et employés de l’aéroport</w:t>
            </w:r>
          </w:p>
        </w:tc>
        <w:tc>
          <w:tcPr>
            <w:tcW w:w="2436" w:type="dxa"/>
            <w:vAlign w:val="center"/>
          </w:tcPr>
          <w:p w14:paraId="536D6647" w14:textId="7427B48C" w:rsidR="00080D3F" w:rsidRPr="00B95A9D" w:rsidRDefault="00080D3F" w:rsidP="00080D3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sidRPr="004637C7">
              <w:rPr>
                <w:rFonts w:asciiTheme="minorHAnsi" w:hAnsiTheme="minorHAnsi" w:cstheme="minorHAnsi"/>
                <w:b/>
                <w:bCs/>
                <w:szCs w:val="20"/>
                <w:lang w:eastAsia="fr-FR" w:bidi="ar-SA"/>
              </w:rPr>
              <w:t>Forte :</w:t>
            </w:r>
            <w:r>
              <w:rPr>
                <w:rFonts w:asciiTheme="minorHAnsi" w:hAnsiTheme="minorHAnsi" w:cstheme="minorHAnsi"/>
                <w:szCs w:val="20"/>
                <w:lang w:eastAsia="fr-FR" w:bidi="ar-SA"/>
              </w:rPr>
              <w:t xml:space="preserve"> exposition directe et intérêt élevé pour la qualité visuelle du cadre</w:t>
            </w:r>
          </w:p>
        </w:tc>
        <w:tc>
          <w:tcPr>
            <w:tcW w:w="1242" w:type="dxa"/>
            <w:vAlign w:val="center"/>
          </w:tcPr>
          <w:p w14:paraId="26F98A36" w14:textId="52C182AB" w:rsidR="00080D3F" w:rsidRPr="00B95A9D" w:rsidRDefault="00080D3F" w:rsidP="00080D3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Cs w:val="20"/>
                <w:lang w:eastAsia="fr-FR" w:bidi="ar-SA"/>
              </w:rPr>
            </w:pPr>
            <w:r>
              <w:rPr>
                <w:rFonts w:asciiTheme="minorHAnsi" w:hAnsiTheme="minorHAnsi" w:cstheme="minorHAnsi"/>
                <w:b/>
                <w:bCs/>
                <w:szCs w:val="20"/>
                <w:lang w:eastAsia="fr-FR" w:bidi="ar-SA"/>
              </w:rPr>
              <w:t>Majeure</w:t>
            </w:r>
          </w:p>
        </w:tc>
      </w:tr>
      <w:tr w:rsidR="00080D3F" w:rsidRPr="00B95A9D" w14:paraId="3F55CA28" w14:textId="77777777" w:rsidTr="00522011">
        <w:tc>
          <w:tcPr>
            <w:cnfStyle w:val="001000000000" w:firstRow="0" w:lastRow="0" w:firstColumn="1" w:lastColumn="0" w:oddVBand="0" w:evenVBand="0" w:oddHBand="0" w:evenHBand="0" w:firstRowFirstColumn="0" w:firstRowLastColumn="0" w:lastRowFirstColumn="0" w:lastRowLastColumn="0"/>
            <w:tcW w:w="792" w:type="dxa"/>
            <w:vMerge/>
          </w:tcPr>
          <w:p w14:paraId="547DED25" w14:textId="77777777" w:rsidR="00080D3F" w:rsidRPr="00B95A9D" w:rsidRDefault="00080D3F" w:rsidP="00080D3F">
            <w:pPr>
              <w:rPr>
                <w:rFonts w:asciiTheme="minorHAnsi" w:hAnsiTheme="minorHAnsi" w:cstheme="minorHAnsi"/>
                <w:szCs w:val="20"/>
                <w:lang w:eastAsia="fr-FR" w:bidi="ar-SA"/>
              </w:rPr>
            </w:pPr>
          </w:p>
        </w:tc>
        <w:tc>
          <w:tcPr>
            <w:tcW w:w="2747" w:type="dxa"/>
            <w:vMerge/>
            <w:vAlign w:val="center"/>
          </w:tcPr>
          <w:p w14:paraId="7DFF91E8" w14:textId="77777777" w:rsidR="00080D3F" w:rsidRDefault="00080D3F" w:rsidP="00080D3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p>
        </w:tc>
        <w:tc>
          <w:tcPr>
            <w:tcW w:w="1843" w:type="dxa"/>
            <w:vAlign w:val="center"/>
          </w:tcPr>
          <w:p w14:paraId="508D7FF2" w14:textId="5CBDC1E5" w:rsidR="00080D3F" w:rsidRPr="00B95A9D" w:rsidRDefault="00080D3F" w:rsidP="00080D3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Cs w:val="20"/>
                <w:lang w:eastAsia="fr-FR" w:bidi="ar-SA"/>
              </w:rPr>
            </w:pPr>
            <w:r w:rsidRPr="00D72C6A">
              <w:rPr>
                <w:rFonts w:asciiTheme="minorHAnsi" w:hAnsiTheme="minorHAnsi" w:cstheme="minorHAnsi"/>
                <w:b/>
                <w:bCs/>
                <w:szCs w:val="20"/>
                <w:lang w:eastAsia="fr-FR" w:bidi="ar-SA"/>
              </w:rPr>
              <w:t xml:space="preserve">Usagers de la </w:t>
            </w:r>
            <w:r w:rsidR="00682C86">
              <w:rPr>
                <w:rFonts w:asciiTheme="minorHAnsi" w:hAnsiTheme="minorHAnsi" w:cstheme="minorHAnsi"/>
                <w:b/>
                <w:bCs/>
                <w:szCs w:val="20"/>
                <w:lang w:eastAsia="fr-FR" w:bidi="ar-SA"/>
              </w:rPr>
              <w:t>RR212</w:t>
            </w:r>
          </w:p>
        </w:tc>
        <w:tc>
          <w:tcPr>
            <w:tcW w:w="2436" w:type="dxa"/>
            <w:vAlign w:val="center"/>
          </w:tcPr>
          <w:p w14:paraId="5F723AC2" w14:textId="6062243F" w:rsidR="00080D3F" w:rsidRPr="00B95A9D" w:rsidRDefault="00080D3F" w:rsidP="00080D3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sidRPr="004637C7">
              <w:rPr>
                <w:rFonts w:asciiTheme="minorHAnsi" w:hAnsiTheme="minorHAnsi" w:cstheme="minorHAnsi"/>
                <w:b/>
                <w:bCs/>
                <w:szCs w:val="20"/>
                <w:lang w:eastAsia="fr-FR" w:bidi="ar-SA"/>
              </w:rPr>
              <w:t>Faible :</w:t>
            </w:r>
            <w:r>
              <w:rPr>
                <w:rFonts w:asciiTheme="minorHAnsi" w:hAnsiTheme="minorHAnsi" w:cstheme="minorHAnsi"/>
                <w:szCs w:val="20"/>
                <w:lang w:eastAsia="fr-FR" w:bidi="ar-SA"/>
              </w:rPr>
              <w:t xml:space="preserve"> Perception ponctuelle en mouvement</w:t>
            </w:r>
          </w:p>
        </w:tc>
        <w:tc>
          <w:tcPr>
            <w:tcW w:w="1242" w:type="dxa"/>
            <w:vAlign w:val="center"/>
          </w:tcPr>
          <w:p w14:paraId="3C450822" w14:textId="6238344C" w:rsidR="00080D3F" w:rsidRPr="00B95A9D" w:rsidRDefault="00080D3F" w:rsidP="00080D3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Cs w:val="20"/>
                <w:lang w:eastAsia="fr-FR" w:bidi="ar-SA"/>
              </w:rPr>
            </w:pPr>
            <w:r>
              <w:rPr>
                <w:rFonts w:asciiTheme="minorHAnsi" w:hAnsiTheme="minorHAnsi" w:cstheme="minorHAnsi"/>
                <w:b/>
                <w:bCs/>
                <w:szCs w:val="20"/>
                <w:lang w:eastAsia="fr-FR" w:bidi="ar-SA"/>
              </w:rPr>
              <w:t>Mineure</w:t>
            </w:r>
          </w:p>
        </w:tc>
      </w:tr>
    </w:tbl>
    <w:p w14:paraId="403DA837" w14:textId="06B88BDA" w:rsidR="00322FD9" w:rsidRDefault="00322FD9" w:rsidP="0001633E">
      <w:pPr>
        <w:pStyle w:val="AltTitle2"/>
        <w:numPr>
          <w:ilvl w:val="0"/>
          <w:numId w:val="106"/>
        </w:numPr>
      </w:pPr>
      <w:r w:rsidRPr="00322FD9">
        <w:t>Altération temporaire du cadre nocturne (pollution lumineuse du chantier)</w:t>
      </w:r>
    </w:p>
    <w:p w14:paraId="1576E863" w14:textId="77777777" w:rsidR="00320091" w:rsidRPr="00320091" w:rsidRDefault="00320091" w:rsidP="004637C7">
      <w:pPr>
        <w:rPr>
          <w:lang w:eastAsia="fr-FR" w:bidi="ar-SA"/>
        </w:rPr>
      </w:pPr>
      <w:r w:rsidRPr="00320091">
        <w:rPr>
          <w:lang w:eastAsia="fr-FR" w:bidi="ar-SA"/>
        </w:rPr>
        <w:t xml:space="preserve">Dans le cadre des travaux d’extension, certaines opérations de chantier, notamment le levage d’éléments structuraux et la pose de dispositifs techniques, pourront nécessiter l’utilisation </w:t>
      </w:r>
      <w:r w:rsidRPr="004637C7">
        <w:rPr>
          <w:lang w:eastAsia="fr-FR" w:bidi="ar-SA"/>
        </w:rPr>
        <w:t>ponctuelle d’une grue de levage</w:t>
      </w:r>
      <w:r w:rsidRPr="00320091">
        <w:rPr>
          <w:lang w:eastAsia="fr-FR" w:bidi="ar-SA"/>
        </w:rPr>
        <w:t>.</w:t>
      </w:r>
    </w:p>
    <w:p w14:paraId="7DAC2BF8" w14:textId="77777777" w:rsidR="00320091" w:rsidRPr="00320091" w:rsidRDefault="00320091" w:rsidP="004637C7">
      <w:pPr>
        <w:rPr>
          <w:lang w:eastAsia="fr-FR" w:bidi="ar-SA"/>
        </w:rPr>
      </w:pPr>
      <w:r w:rsidRPr="00320091">
        <w:rPr>
          <w:lang w:eastAsia="fr-FR" w:bidi="ar-SA"/>
        </w:rPr>
        <w:t xml:space="preserve">L’ensemble des activités de nuit nécessitera la mise en place d’un </w:t>
      </w:r>
      <w:r w:rsidRPr="004637C7">
        <w:rPr>
          <w:lang w:eastAsia="fr-FR" w:bidi="ar-SA"/>
        </w:rPr>
        <w:t>éclairage artificiel temporaire</w:t>
      </w:r>
      <w:r w:rsidRPr="00320091">
        <w:rPr>
          <w:lang w:eastAsia="fr-FR" w:bidi="ar-SA"/>
        </w:rPr>
        <w:t xml:space="preserve"> destiné à garantir la sécurité des travailleurs et la bonne visibilité des zones d’intervention.</w:t>
      </w:r>
    </w:p>
    <w:p w14:paraId="20B29E1B" w14:textId="2F021353" w:rsidR="00320091" w:rsidRPr="00320091" w:rsidRDefault="00320091" w:rsidP="004637C7">
      <w:pPr>
        <w:rPr>
          <w:lang w:eastAsia="fr-FR" w:bidi="ar-SA"/>
        </w:rPr>
      </w:pPr>
      <w:r w:rsidRPr="00320091">
        <w:rPr>
          <w:lang w:eastAsia="fr-FR" w:bidi="ar-SA"/>
        </w:rPr>
        <w:t xml:space="preserve">Cet éclairage, combiné à la possible présence d’une grue équipée de feux de signalisation aéronautique (obligatoires dans le périmètre aéroportuaire), engendrera une </w:t>
      </w:r>
      <w:r w:rsidRPr="004637C7">
        <w:rPr>
          <w:lang w:eastAsia="fr-FR" w:bidi="ar-SA"/>
        </w:rPr>
        <w:t>pollution lumineuse ponctuelle et localisée</w:t>
      </w:r>
      <w:r w:rsidRPr="00320091">
        <w:rPr>
          <w:lang w:eastAsia="fr-FR" w:bidi="ar-SA"/>
        </w:rPr>
        <w:t>, susceptible d’altérer temporairement la qualité du cadre nocturne autour du site.</w:t>
      </w:r>
    </w:p>
    <w:p w14:paraId="1FA87B4C" w14:textId="77777777" w:rsidR="007145B5" w:rsidRDefault="007145B5" w:rsidP="004637C7">
      <w:pPr>
        <w:rPr>
          <w:lang w:eastAsia="fr-FR" w:bidi="ar-SA"/>
        </w:rPr>
      </w:pPr>
    </w:p>
    <w:p w14:paraId="0DF81620" w14:textId="77777777" w:rsidR="007145B5" w:rsidRDefault="007145B5" w:rsidP="004637C7">
      <w:pPr>
        <w:rPr>
          <w:lang w:eastAsia="fr-FR" w:bidi="ar-SA"/>
        </w:rPr>
      </w:pPr>
    </w:p>
    <w:p w14:paraId="7C004EB4" w14:textId="1D8EE51C" w:rsidR="00320091" w:rsidRPr="004637C7" w:rsidRDefault="00320091" w:rsidP="004637C7">
      <w:pPr>
        <w:rPr>
          <w:lang w:eastAsia="fr-FR" w:bidi="ar-SA"/>
        </w:rPr>
      </w:pPr>
      <w:r w:rsidRPr="004637C7">
        <w:rPr>
          <w:lang w:eastAsia="fr-FR" w:bidi="ar-SA"/>
        </w:rPr>
        <w:lastRenderedPageBreak/>
        <w:t>Le contexte paysager du projet se caractérise par une topographie plane et une faible densité d’occupation du sol.</w:t>
      </w:r>
    </w:p>
    <w:p w14:paraId="0891B846" w14:textId="04FBBC3C" w:rsidR="00320091" w:rsidRPr="004637C7" w:rsidRDefault="00320091" w:rsidP="004637C7">
      <w:pPr>
        <w:rPr>
          <w:lang w:eastAsia="fr-FR" w:bidi="ar-SA"/>
        </w:rPr>
      </w:pPr>
      <w:r w:rsidRPr="004637C7">
        <w:rPr>
          <w:lang w:eastAsia="fr-FR" w:bidi="ar-SA"/>
        </w:rPr>
        <w:t xml:space="preserve">Le site est implanté dans une plaine semi-aride à végétation basse, où les sources lumineuses artificielles sont limitées à l’aéroport lui-même et à la Route </w:t>
      </w:r>
      <w:r w:rsidR="007145B5">
        <w:rPr>
          <w:lang w:eastAsia="fr-FR" w:bidi="ar-SA"/>
        </w:rPr>
        <w:t>régionale</w:t>
      </w:r>
      <w:r w:rsidRPr="004637C7">
        <w:rPr>
          <w:lang w:eastAsia="fr-FR" w:bidi="ar-SA"/>
        </w:rPr>
        <w:t xml:space="preserve"> </w:t>
      </w:r>
      <w:r w:rsidR="007145B5">
        <w:rPr>
          <w:lang w:eastAsia="fr-FR" w:bidi="ar-SA"/>
        </w:rPr>
        <w:t>RR212</w:t>
      </w:r>
      <w:r w:rsidRPr="004637C7">
        <w:rPr>
          <w:lang w:eastAsia="fr-FR" w:bidi="ar-SA"/>
        </w:rPr>
        <w:t>.</w:t>
      </w:r>
    </w:p>
    <w:p w14:paraId="73E93E54" w14:textId="77777777" w:rsidR="00320091" w:rsidRPr="004637C7" w:rsidRDefault="00320091" w:rsidP="004637C7">
      <w:pPr>
        <w:rPr>
          <w:lang w:eastAsia="fr-FR" w:bidi="ar-SA"/>
        </w:rPr>
      </w:pPr>
      <w:r w:rsidRPr="004637C7">
        <w:rPr>
          <w:lang w:eastAsia="fr-FR" w:bidi="ar-SA"/>
        </w:rPr>
        <w:t>Dans ces conditions, toute source lumineuse supplémentaire, même de faible intensité, devient plus perceptible dans l’obscurité, en particulier lors des nuits claires ou poussiéreuses.</w:t>
      </w:r>
    </w:p>
    <w:p w14:paraId="3966FE3C" w14:textId="77777777" w:rsidR="00320091" w:rsidRPr="00320091" w:rsidRDefault="00320091" w:rsidP="00320091">
      <w:pPr>
        <w:rPr>
          <w:lang w:eastAsia="fr-FR" w:bidi="ar-SA"/>
        </w:rPr>
      </w:pPr>
      <w:r w:rsidRPr="004637C7">
        <w:rPr>
          <w:lang w:eastAsia="fr-FR" w:bidi="ar-SA"/>
        </w:rPr>
        <w:t>Cependant, la diffusion horizontale du halo lumineux restera contenue, grâce à la faible puissance des projecteurs de chantier et à leur orientation vers le sol.</w:t>
      </w:r>
    </w:p>
    <w:p w14:paraId="7F682B0D" w14:textId="39F91CCC" w:rsidR="00320091" w:rsidRPr="004637C7" w:rsidRDefault="00320091" w:rsidP="004637C7">
      <w:pPr>
        <w:rPr>
          <w:lang w:eastAsia="fr-FR" w:bidi="ar-SA"/>
        </w:rPr>
      </w:pPr>
      <w:r w:rsidRPr="004637C7">
        <w:rPr>
          <w:lang w:eastAsia="fr-FR" w:bidi="ar-SA"/>
        </w:rPr>
        <w:t>La grue, si elle est utilisée, ne constituera pas un élément dominant : elle sera temporaire, de hauteur modérée (souvent inférieure à 30 m) et équipée uniquement de feux fixes réglementaires de faible intensité (lumière rouge d’avertissement).</w:t>
      </w:r>
      <w:r w:rsidRPr="00320091">
        <w:rPr>
          <w:lang w:eastAsia="fr-FR" w:bidi="ar-SA"/>
        </w:rPr>
        <w:t xml:space="preserve"> </w:t>
      </w:r>
      <w:r w:rsidRPr="004637C7">
        <w:rPr>
          <w:lang w:eastAsia="fr-FR" w:bidi="ar-SA"/>
        </w:rPr>
        <w:t xml:space="preserve">Sa visibilité restera ponctuelle, depuis certains points dégagés le long de la </w:t>
      </w:r>
      <w:r w:rsidR="00CE2F51">
        <w:rPr>
          <w:lang w:eastAsia="fr-FR" w:bidi="ar-SA"/>
        </w:rPr>
        <w:t>RR212</w:t>
      </w:r>
      <w:r w:rsidRPr="004637C7">
        <w:rPr>
          <w:lang w:eastAsia="fr-FR" w:bidi="ar-SA"/>
        </w:rPr>
        <w:t>, sans générer de gêne notable.</w:t>
      </w:r>
    </w:p>
    <w:p w14:paraId="7CC305E7" w14:textId="77777777" w:rsidR="00206530" w:rsidRPr="004637C7" w:rsidRDefault="00320091" w:rsidP="004637C7">
      <w:pPr>
        <w:rPr>
          <w:lang w:eastAsia="fr-FR" w:bidi="ar-SA"/>
        </w:rPr>
      </w:pPr>
      <w:r w:rsidRPr="004637C7">
        <w:rPr>
          <w:lang w:eastAsia="fr-FR" w:bidi="ar-SA"/>
        </w:rPr>
        <w:t>Les usagers et employés de l’aéroport constituent les récepteurs internes les plus sensibles à cet impact, car ils travaillent sur la plateforme et percevront directement les variations lumineuses du chantier.</w:t>
      </w:r>
    </w:p>
    <w:p w14:paraId="2BFFC8C6" w14:textId="6F64394F" w:rsidR="00903670" w:rsidRPr="004637C7" w:rsidRDefault="00320091" w:rsidP="004637C7">
      <w:pPr>
        <w:rPr>
          <w:lang w:eastAsia="fr-FR" w:bidi="ar-SA"/>
        </w:rPr>
      </w:pPr>
      <w:r w:rsidRPr="004637C7">
        <w:rPr>
          <w:lang w:eastAsia="fr-FR" w:bidi="ar-SA"/>
        </w:rPr>
        <w:t xml:space="preserve">Les usagers de la </w:t>
      </w:r>
      <w:r w:rsidR="00D84A6A">
        <w:rPr>
          <w:lang w:eastAsia="fr-FR" w:bidi="ar-SA"/>
        </w:rPr>
        <w:t>RR212</w:t>
      </w:r>
      <w:r w:rsidRPr="004637C7">
        <w:rPr>
          <w:lang w:eastAsia="fr-FR" w:bidi="ar-SA"/>
        </w:rPr>
        <w:t>, quant à eux, pourront apercevoir à distance la lueur diffuse du chantier et éventuellement le point lumineux de la grue</w:t>
      </w:r>
      <w:r w:rsidR="00A733CD">
        <w:rPr>
          <w:lang w:eastAsia="fr-FR" w:bidi="ar-SA"/>
        </w:rPr>
        <w:t>.</w:t>
      </w:r>
    </w:p>
    <w:p w14:paraId="6A49D4FA" w14:textId="77777777" w:rsidR="00903670" w:rsidRPr="004637C7" w:rsidRDefault="00320091" w:rsidP="004637C7">
      <w:pPr>
        <w:rPr>
          <w:lang w:eastAsia="fr-FR" w:bidi="ar-SA"/>
        </w:rPr>
      </w:pPr>
      <w:r w:rsidRPr="004637C7">
        <w:rPr>
          <w:lang w:eastAsia="fr-FR" w:bidi="ar-SA"/>
        </w:rPr>
        <w:t>Cet impact est de type négatif et direct, car il découle immédiatement des activités du chantier et des dispositifs d’éclairage sans médiation indirecte.</w:t>
      </w:r>
    </w:p>
    <w:p w14:paraId="0D14E3DC" w14:textId="77777777" w:rsidR="00903670" w:rsidRPr="004637C7" w:rsidRDefault="00320091" w:rsidP="004637C7">
      <w:pPr>
        <w:rPr>
          <w:lang w:eastAsia="fr-FR" w:bidi="ar-SA"/>
        </w:rPr>
      </w:pPr>
      <w:r w:rsidRPr="004637C7">
        <w:rPr>
          <w:lang w:eastAsia="fr-FR" w:bidi="ar-SA"/>
        </w:rPr>
        <w:t>Son étendue spatiale est locale, généralement limitée à un rayon de 2 à 3 km, la visibilité décroissant rapidement avec la distance et les conditions atmosphériques.</w:t>
      </w:r>
    </w:p>
    <w:p w14:paraId="1197921F" w14:textId="7C77A7FA" w:rsidR="00903670" w:rsidRPr="004637C7" w:rsidRDefault="00320091" w:rsidP="004637C7">
      <w:pPr>
        <w:rPr>
          <w:lang w:eastAsia="fr-FR" w:bidi="ar-SA"/>
        </w:rPr>
      </w:pPr>
      <w:r w:rsidRPr="004637C7">
        <w:rPr>
          <w:lang w:eastAsia="fr-FR" w:bidi="ar-SA"/>
        </w:rPr>
        <w:t>La durée de l’effet est temporaire, confinée à la période de construction et à la présence effective d’équipements lumineux.</w:t>
      </w:r>
    </w:p>
    <w:p w14:paraId="2EA38494" w14:textId="77777777" w:rsidR="00903670" w:rsidRPr="004637C7" w:rsidRDefault="00320091" w:rsidP="004637C7">
      <w:pPr>
        <w:rPr>
          <w:lang w:eastAsia="fr-FR" w:bidi="ar-SA"/>
        </w:rPr>
      </w:pPr>
      <w:r w:rsidRPr="004637C7">
        <w:rPr>
          <w:lang w:eastAsia="fr-FR" w:bidi="ar-SA"/>
        </w:rPr>
        <w:t>La fréquence est intermittente, car l’éclairage sera activé uniquement lors des opérations nocturnes ou pour des raisons de sécurité.</w:t>
      </w:r>
    </w:p>
    <w:p w14:paraId="1748BA74" w14:textId="77777777" w:rsidR="00903670" w:rsidRPr="004637C7" w:rsidRDefault="00320091" w:rsidP="004637C7">
      <w:pPr>
        <w:rPr>
          <w:lang w:eastAsia="fr-FR" w:bidi="ar-SA"/>
        </w:rPr>
      </w:pPr>
      <w:r w:rsidRPr="004637C7">
        <w:rPr>
          <w:lang w:eastAsia="fr-FR" w:bidi="ar-SA"/>
        </w:rPr>
        <w:t>L’intensité de la nuisance visuelle est faible à moyenne : faible pour les zones éclairées au sol, mais légèrement renforcée de manière ponctuelle par la présence d’une grue signalée.</w:t>
      </w:r>
    </w:p>
    <w:p w14:paraId="2BC591D9" w14:textId="064B715D" w:rsidR="00320091" w:rsidRPr="004637C7" w:rsidRDefault="00320091" w:rsidP="004637C7">
      <w:pPr>
        <w:rPr>
          <w:lang w:eastAsia="fr-FR" w:bidi="ar-SA"/>
        </w:rPr>
      </w:pPr>
      <w:r w:rsidRPr="004637C7">
        <w:rPr>
          <w:lang w:eastAsia="fr-FR" w:bidi="ar-SA"/>
        </w:rPr>
        <w:t>La sensibilité des récepteurs varie :</w:t>
      </w:r>
    </w:p>
    <w:p w14:paraId="5578FD82" w14:textId="2AB92701" w:rsidR="00320091" w:rsidRPr="004637C7" w:rsidRDefault="00320091" w:rsidP="0001633E">
      <w:pPr>
        <w:numPr>
          <w:ilvl w:val="0"/>
          <w:numId w:val="112"/>
        </w:numPr>
        <w:spacing w:before="100" w:beforeAutospacing="1" w:after="100" w:afterAutospacing="1" w:line="240" w:lineRule="auto"/>
        <w:rPr>
          <w:rFonts w:asciiTheme="minorHAnsi" w:hAnsiTheme="minorHAnsi" w:cstheme="minorHAnsi"/>
          <w:lang w:eastAsia="fr-FR" w:bidi="ar-SA"/>
        </w:rPr>
      </w:pPr>
      <w:r w:rsidRPr="004637C7">
        <w:rPr>
          <w:rFonts w:asciiTheme="minorHAnsi" w:hAnsiTheme="minorHAnsi" w:cstheme="minorHAnsi"/>
          <w:lang w:eastAsia="fr-FR" w:bidi="ar-SA"/>
        </w:rPr>
        <w:t>Moyenne pour les usagers et employés de l’aéroport, directement exposés et proches de la source lumineuse ;</w:t>
      </w:r>
    </w:p>
    <w:p w14:paraId="1DA24F9A" w14:textId="76C0CFFA" w:rsidR="00320091" w:rsidRPr="004637C7" w:rsidRDefault="00903670" w:rsidP="0001633E">
      <w:pPr>
        <w:numPr>
          <w:ilvl w:val="0"/>
          <w:numId w:val="112"/>
        </w:numPr>
        <w:spacing w:before="100" w:beforeAutospacing="1" w:after="100" w:afterAutospacing="1" w:line="240" w:lineRule="auto"/>
        <w:rPr>
          <w:rFonts w:asciiTheme="minorHAnsi" w:hAnsiTheme="minorHAnsi" w:cstheme="minorHAnsi"/>
          <w:lang w:eastAsia="fr-FR" w:bidi="ar-SA"/>
        </w:rPr>
      </w:pPr>
      <w:r w:rsidRPr="004637C7">
        <w:rPr>
          <w:rFonts w:asciiTheme="minorHAnsi" w:hAnsiTheme="minorHAnsi" w:cstheme="minorHAnsi"/>
          <w:lang w:eastAsia="fr-FR" w:bidi="ar-SA"/>
        </w:rPr>
        <w:t>Faible</w:t>
      </w:r>
      <w:r w:rsidR="00320091" w:rsidRPr="004637C7">
        <w:rPr>
          <w:rFonts w:asciiTheme="minorHAnsi" w:hAnsiTheme="minorHAnsi" w:cstheme="minorHAnsi"/>
          <w:lang w:eastAsia="fr-FR" w:bidi="ar-SA"/>
        </w:rPr>
        <w:t xml:space="preserve"> pour les usagers de la </w:t>
      </w:r>
      <w:r w:rsidR="00A733CD">
        <w:rPr>
          <w:rFonts w:asciiTheme="minorHAnsi" w:hAnsiTheme="minorHAnsi" w:cstheme="minorHAnsi"/>
          <w:lang w:eastAsia="fr-FR" w:bidi="ar-SA"/>
        </w:rPr>
        <w:t>RR212,</w:t>
      </w:r>
      <w:r w:rsidR="00320091" w:rsidRPr="004637C7">
        <w:rPr>
          <w:rFonts w:asciiTheme="minorHAnsi" w:hAnsiTheme="minorHAnsi" w:cstheme="minorHAnsi"/>
          <w:lang w:eastAsia="fr-FR" w:bidi="ar-SA"/>
        </w:rPr>
        <w:t xml:space="preserve"> exposés de manière passagère </w:t>
      </w:r>
      <w:r w:rsidRPr="004637C7">
        <w:rPr>
          <w:rFonts w:asciiTheme="minorHAnsi" w:hAnsiTheme="minorHAnsi" w:cstheme="minorHAnsi"/>
          <w:lang w:eastAsia="fr-FR" w:bidi="ar-SA"/>
        </w:rPr>
        <w:t>et éloignés.</w:t>
      </w:r>
    </w:p>
    <w:p w14:paraId="52159FA3" w14:textId="7C70AF23" w:rsidR="00320091" w:rsidRPr="004637C7" w:rsidRDefault="00903670" w:rsidP="004637C7">
      <w:pPr>
        <w:rPr>
          <w:lang w:eastAsia="fr-FR" w:bidi="ar-SA"/>
        </w:rPr>
      </w:pPr>
      <w:r w:rsidRPr="004637C7">
        <w:rPr>
          <w:lang w:eastAsia="fr-FR" w:bidi="ar-SA"/>
        </w:rPr>
        <w:t>L</w:t>
      </w:r>
      <w:r w:rsidR="00320091" w:rsidRPr="004637C7">
        <w:rPr>
          <w:lang w:eastAsia="fr-FR" w:bidi="ar-SA"/>
        </w:rPr>
        <w:t xml:space="preserve">a combinaison d’une intensité faible à moyenne et d’une sensibilité </w:t>
      </w:r>
      <w:r w:rsidRPr="004637C7">
        <w:rPr>
          <w:lang w:eastAsia="fr-FR" w:bidi="ar-SA"/>
        </w:rPr>
        <w:t>f</w:t>
      </w:r>
      <w:r w:rsidR="00D824B5">
        <w:rPr>
          <w:lang w:eastAsia="fr-FR" w:bidi="ar-SA"/>
        </w:rPr>
        <w:t xml:space="preserve"> </w:t>
      </w:r>
      <w:r w:rsidRPr="004637C7">
        <w:rPr>
          <w:lang w:eastAsia="fr-FR" w:bidi="ar-SA"/>
        </w:rPr>
        <w:t>aible à moyenne</w:t>
      </w:r>
      <w:r w:rsidR="00320091" w:rsidRPr="004637C7">
        <w:rPr>
          <w:lang w:eastAsia="fr-FR" w:bidi="ar-SA"/>
        </w:rPr>
        <w:t xml:space="preserve"> conduit à un impact d’importance </w:t>
      </w:r>
      <w:r w:rsidRPr="004637C7">
        <w:rPr>
          <w:lang w:eastAsia="fr-FR" w:bidi="ar-SA"/>
        </w:rPr>
        <w:t>négligeable</w:t>
      </w:r>
      <w:r w:rsidR="00320091" w:rsidRPr="004637C7">
        <w:rPr>
          <w:lang w:eastAsia="fr-FR" w:bidi="ar-SA"/>
        </w:rPr>
        <w:t xml:space="preserve"> à modérée, temporaire et totalement réversible à la fin des travaux.</w:t>
      </w:r>
    </w:p>
    <w:tbl>
      <w:tblPr>
        <w:tblStyle w:val="TableauGrille1Clair-Accentuation111"/>
        <w:tblW w:w="0" w:type="auto"/>
        <w:tblLook w:val="04A0" w:firstRow="1" w:lastRow="0" w:firstColumn="1" w:lastColumn="0" w:noHBand="0" w:noVBand="1"/>
      </w:tblPr>
      <w:tblGrid>
        <w:gridCol w:w="792"/>
        <w:gridCol w:w="2615"/>
        <w:gridCol w:w="1150"/>
        <w:gridCol w:w="3156"/>
        <w:gridCol w:w="1347"/>
      </w:tblGrid>
      <w:tr w:rsidR="00C30CBC" w:rsidRPr="00B95A9D" w14:paraId="19B5D07A" w14:textId="77777777" w:rsidTr="00C30CB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635D0366" w14:textId="77777777" w:rsidR="00AF3867" w:rsidRPr="00B95A9D" w:rsidRDefault="00AF3867" w:rsidP="005A7661">
            <w:pPr>
              <w:rPr>
                <w:rFonts w:asciiTheme="minorHAnsi" w:hAnsiTheme="minorHAnsi" w:cstheme="minorHAnsi"/>
                <w:szCs w:val="20"/>
                <w:lang w:eastAsia="fr-FR" w:bidi="ar-SA"/>
              </w:rPr>
            </w:pPr>
            <w:r w:rsidRPr="00B95A9D">
              <w:rPr>
                <w:rFonts w:asciiTheme="minorHAnsi" w:hAnsiTheme="minorHAnsi" w:cstheme="minorHAnsi"/>
                <w:szCs w:val="20"/>
                <w:lang w:eastAsia="fr-FR" w:bidi="ar-SA"/>
              </w:rPr>
              <w:t>Impact</w:t>
            </w:r>
          </w:p>
        </w:tc>
        <w:tc>
          <w:tcPr>
            <w:tcW w:w="2615" w:type="dxa"/>
            <w:hideMark/>
          </w:tcPr>
          <w:p w14:paraId="02583999" w14:textId="77777777" w:rsidR="00AF3867" w:rsidRPr="00B95A9D" w:rsidRDefault="00AF3867" w:rsidP="005A7661">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sidRPr="00B95A9D">
              <w:rPr>
                <w:rFonts w:asciiTheme="minorHAnsi" w:hAnsiTheme="minorHAnsi" w:cstheme="minorHAnsi"/>
                <w:szCs w:val="20"/>
                <w:lang w:eastAsia="fr-FR" w:bidi="ar-SA"/>
              </w:rPr>
              <w:t>Activités génératrices</w:t>
            </w:r>
          </w:p>
        </w:tc>
        <w:tc>
          <w:tcPr>
            <w:tcW w:w="1150" w:type="dxa"/>
            <w:hideMark/>
          </w:tcPr>
          <w:p w14:paraId="0DA65862" w14:textId="77777777" w:rsidR="00AF3867" w:rsidRPr="00B95A9D" w:rsidRDefault="00AF3867" w:rsidP="005A7661">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sidRPr="00B95A9D">
              <w:rPr>
                <w:rFonts w:asciiTheme="minorHAnsi" w:hAnsiTheme="minorHAnsi" w:cstheme="minorHAnsi"/>
                <w:szCs w:val="20"/>
                <w:lang w:eastAsia="fr-FR" w:bidi="ar-SA"/>
              </w:rPr>
              <w:t>Critère</w:t>
            </w:r>
          </w:p>
        </w:tc>
        <w:tc>
          <w:tcPr>
            <w:tcW w:w="3156" w:type="dxa"/>
            <w:hideMark/>
          </w:tcPr>
          <w:p w14:paraId="41996B1D" w14:textId="77777777" w:rsidR="00AF3867" w:rsidRPr="00B95A9D" w:rsidRDefault="00AF3867" w:rsidP="005A7661">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sidRPr="00B95A9D">
              <w:rPr>
                <w:rFonts w:asciiTheme="minorHAnsi" w:hAnsiTheme="minorHAnsi" w:cstheme="minorHAnsi"/>
                <w:szCs w:val="20"/>
                <w:lang w:eastAsia="fr-FR" w:bidi="ar-SA"/>
              </w:rPr>
              <w:t>Justification</w:t>
            </w:r>
          </w:p>
        </w:tc>
        <w:tc>
          <w:tcPr>
            <w:tcW w:w="1347" w:type="dxa"/>
            <w:hideMark/>
          </w:tcPr>
          <w:p w14:paraId="35AF1B44" w14:textId="77777777" w:rsidR="00AF3867" w:rsidRPr="00B95A9D" w:rsidRDefault="00AF3867" w:rsidP="005A7661">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sidRPr="00B95A9D">
              <w:rPr>
                <w:rFonts w:asciiTheme="minorHAnsi" w:hAnsiTheme="minorHAnsi" w:cstheme="minorHAnsi"/>
                <w:szCs w:val="20"/>
                <w:lang w:eastAsia="fr-FR" w:bidi="ar-SA"/>
              </w:rPr>
              <w:t>Niveau</w:t>
            </w:r>
          </w:p>
        </w:tc>
      </w:tr>
      <w:tr w:rsidR="00DE2F95" w:rsidRPr="00B95A9D" w14:paraId="259CCF03" w14:textId="77777777" w:rsidTr="004637C7">
        <w:tc>
          <w:tcPr>
            <w:cnfStyle w:val="001000000000" w:firstRow="0" w:lastRow="0" w:firstColumn="1" w:lastColumn="0" w:oddVBand="0" w:evenVBand="0" w:oddHBand="0" w:evenHBand="0" w:firstRowFirstColumn="0" w:firstRowLastColumn="0" w:lastRowFirstColumn="0" w:lastRowLastColumn="0"/>
            <w:tcW w:w="0" w:type="auto"/>
            <w:vMerge w:val="restart"/>
            <w:textDirection w:val="btLr"/>
            <w:vAlign w:val="center"/>
          </w:tcPr>
          <w:p w14:paraId="6F0BAAD0" w14:textId="455409E3" w:rsidR="00DE2F95" w:rsidRPr="00B95A9D" w:rsidRDefault="00C30CBC" w:rsidP="004637C7">
            <w:pPr>
              <w:ind w:left="113" w:right="113"/>
              <w:jc w:val="center"/>
              <w:rPr>
                <w:rFonts w:asciiTheme="minorHAnsi" w:hAnsiTheme="minorHAnsi" w:cstheme="minorHAnsi"/>
                <w:szCs w:val="20"/>
                <w:lang w:eastAsia="fr-FR" w:bidi="ar-SA"/>
              </w:rPr>
            </w:pPr>
            <w:r w:rsidRPr="00322FD9">
              <w:t>Altération temporaire du cadre nocturne</w:t>
            </w:r>
          </w:p>
        </w:tc>
        <w:tc>
          <w:tcPr>
            <w:tcW w:w="2615" w:type="dxa"/>
            <w:vMerge w:val="restart"/>
          </w:tcPr>
          <w:p w14:paraId="2CE9BE48" w14:textId="1BF5F541" w:rsidR="00C30CBC" w:rsidRPr="00C30CBC" w:rsidRDefault="00C30CBC" w:rsidP="00C30CBC">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sidRPr="00C30CBC">
              <w:rPr>
                <w:rFonts w:asciiTheme="minorHAnsi" w:hAnsiTheme="minorHAnsi" w:cstheme="minorHAnsi"/>
                <w:szCs w:val="20"/>
                <w:lang w:eastAsia="fr-FR" w:bidi="ar-SA"/>
              </w:rPr>
              <w:t>Éclairage nocturne des zones de travaux et voies internes</w:t>
            </w:r>
            <w:r w:rsidR="00653729">
              <w:rPr>
                <w:rFonts w:asciiTheme="minorHAnsi" w:hAnsiTheme="minorHAnsi" w:cstheme="minorHAnsi"/>
                <w:szCs w:val="20"/>
                <w:lang w:eastAsia="fr-FR" w:bidi="ar-SA"/>
              </w:rPr>
              <w:t> ;</w:t>
            </w:r>
          </w:p>
          <w:p w14:paraId="1E35A67A" w14:textId="7CE81C06" w:rsidR="00C30CBC" w:rsidRPr="00C30CBC" w:rsidRDefault="00C30CBC" w:rsidP="00C30CBC">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sidRPr="00C30CBC">
              <w:rPr>
                <w:rFonts w:asciiTheme="minorHAnsi" w:hAnsiTheme="minorHAnsi" w:cstheme="minorHAnsi"/>
                <w:szCs w:val="20"/>
                <w:lang w:eastAsia="fr-FR" w:bidi="ar-SA"/>
              </w:rPr>
              <w:t>Éclairage de sécurité</w:t>
            </w:r>
            <w:r w:rsidR="00653729">
              <w:rPr>
                <w:rFonts w:asciiTheme="minorHAnsi" w:hAnsiTheme="minorHAnsi" w:cstheme="minorHAnsi"/>
                <w:szCs w:val="20"/>
                <w:lang w:eastAsia="fr-FR" w:bidi="ar-SA"/>
              </w:rPr>
              <w:t> ;</w:t>
            </w:r>
          </w:p>
          <w:p w14:paraId="2DA4ED3E" w14:textId="675ED281" w:rsidR="00DE2F95" w:rsidRPr="00B95A9D" w:rsidRDefault="00C30CBC" w:rsidP="00C30CBC">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sidRPr="00C30CBC">
              <w:rPr>
                <w:rFonts w:asciiTheme="minorHAnsi" w:hAnsiTheme="minorHAnsi" w:cstheme="minorHAnsi"/>
                <w:szCs w:val="20"/>
                <w:lang w:eastAsia="fr-FR" w:bidi="ar-SA"/>
              </w:rPr>
              <w:t>Présence ponctuelle d’une grue équipée de feux d’avertissement réglementaires</w:t>
            </w:r>
            <w:r w:rsidR="00653729">
              <w:rPr>
                <w:rFonts w:asciiTheme="minorHAnsi" w:hAnsiTheme="minorHAnsi" w:cstheme="minorHAnsi"/>
                <w:szCs w:val="20"/>
                <w:lang w:eastAsia="fr-FR" w:bidi="ar-SA"/>
              </w:rPr>
              <w:t>.</w:t>
            </w:r>
          </w:p>
        </w:tc>
        <w:tc>
          <w:tcPr>
            <w:tcW w:w="1150" w:type="dxa"/>
            <w:hideMark/>
          </w:tcPr>
          <w:p w14:paraId="2B2E2AC8" w14:textId="77777777" w:rsidR="00DE2F95" w:rsidRPr="00B95A9D" w:rsidRDefault="00DE2F95" w:rsidP="005A766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Cs w:val="20"/>
                <w:lang w:eastAsia="fr-FR" w:bidi="ar-SA"/>
              </w:rPr>
            </w:pPr>
            <w:r w:rsidRPr="00B95A9D">
              <w:rPr>
                <w:rFonts w:asciiTheme="minorHAnsi" w:hAnsiTheme="minorHAnsi" w:cstheme="minorHAnsi"/>
                <w:b/>
                <w:bCs/>
                <w:szCs w:val="20"/>
                <w:lang w:eastAsia="fr-FR" w:bidi="ar-SA"/>
              </w:rPr>
              <w:t>Nature</w:t>
            </w:r>
          </w:p>
        </w:tc>
        <w:tc>
          <w:tcPr>
            <w:tcW w:w="4503" w:type="dxa"/>
            <w:gridSpan w:val="2"/>
          </w:tcPr>
          <w:p w14:paraId="252C0A88" w14:textId="77777777" w:rsidR="00DE2F95" w:rsidRPr="00B95A9D" w:rsidRDefault="00DE2F95" w:rsidP="005A766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Pr>
                <w:rFonts w:asciiTheme="minorHAnsi" w:hAnsiTheme="minorHAnsi" w:cstheme="minorHAnsi"/>
                <w:szCs w:val="20"/>
                <w:lang w:eastAsia="fr-FR" w:bidi="ar-SA"/>
              </w:rPr>
              <w:t>Direct négatif</w:t>
            </w:r>
          </w:p>
        </w:tc>
      </w:tr>
      <w:tr w:rsidR="00DE2F95" w:rsidRPr="00B95A9D" w14:paraId="183F15ED" w14:textId="77777777" w:rsidTr="004637C7">
        <w:tc>
          <w:tcPr>
            <w:cnfStyle w:val="001000000000" w:firstRow="0" w:lastRow="0" w:firstColumn="1" w:lastColumn="0" w:oddVBand="0" w:evenVBand="0" w:oddHBand="0" w:evenHBand="0" w:firstRowFirstColumn="0" w:firstRowLastColumn="0" w:lastRowFirstColumn="0" w:lastRowLastColumn="0"/>
            <w:tcW w:w="0" w:type="auto"/>
            <w:vMerge/>
            <w:hideMark/>
          </w:tcPr>
          <w:p w14:paraId="0BBE6422" w14:textId="77777777" w:rsidR="00DE2F95" w:rsidRPr="00B95A9D" w:rsidRDefault="00DE2F95" w:rsidP="005A7661">
            <w:pPr>
              <w:rPr>
                <w:rFonts w:asciiTheme="minorHAnsi" w:hAnsiTheme="minorHAnsi" w:cstheme="minorHAnsi"/>
                <w:szCs w:val="20"/>
                <w:lang w:eastAsia="fr-FR" w:bidi="ar-SA"/>
              </w:rPr>
            </w:pPr>
          </w:p>
        </w:tc>
        <w:tc>
          <w:tcPr>
            <w:tcW w:w="2615" w:type="dxa"/>
            <w:vMerge/>
            <w:hideMark/>
          </w:tcPr>
          <w:p w14:paraId="22142F1D" w14:textId="77777777" w:rsidR="00DE2F95" w:rsidRPr="00B95A9D" w:rsidRDefault="00DE2F95" w:rsidP="005A766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p>
        </w:tc>
        <w:tc>
          <w:tcPr>
            <w:tcW w:w="1150" w:type="dxa"/>
            <w:hideMark/>
          </w:tcPr>
          <w:p w14:paraId="7B603F4D" w14:textId="77777777" w:rsidR="00DE2F95" w:rsidRPr="00B95A9D" w:rsidRDefault="00DE2F95" w:rsidP="005A766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Cs w:val="20"/>
                <w:lang w:eastAsia="fr-FR" w:bidi="ar-SA"/>
              </w:rPr>
            </w:pPr>
            <w:r w:rsidRPr="00B95A9D">
              <w:rPr>
                <w:rFonts w:asciiTheme="minorHAnsi" w:hAnsiTheme="minorHAnsi" w:cstheme="minorHAnsi"/>
                <w:b/>
                <w:bCs/>
                <w:szCs w:val="20"/>
                <w:lang w:eastAsia="fr-FR" w:bidi="ar-SA"/>
              </w:rPr>
              <w:t>Étendue</w:t>
            </w:r>
          </w:p>
        </w:tc>
        <w:tc>
          <w:tcPr>
            <w:tcW w:w="3156" w:type="dxa"/>
          </w:tcPr>
          <w:p w14:paraId="36697006" w14:textId="09FBDAD6" w:rsidR="00DE2F95" w:rsidRPr="00B95A9D" w:rsidRDefault="00C30CBC" w:rsidP="005A766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Pr>
                <w:rFonts w:asciiTheme="minorHAnsi" w:hAnsiTheme="minorHAnsi" w:cstheme="minorHAnsi"/>
                <w:szCs w:val="20"/>
                <w:lang w:eastAsia="fr-FR" w:bidi="ar-SA"/>
              </w:rPr>
              <w:t>Perceptible dans un rayon de 2 à 3</w:t>
            </w:r>
            <w:r w:rsidR="00D824B5">
              <w:rPr>
                <w:rFonts w:asciiTheme="minorHAnsi" w:hAnsiTheme="minorHAnsi" w:cstheme="minorHAnsi"/>
                <w:szCs w:val="20"/>
                <w:lang w:eastAsia="fr-FR" w:bidi="ar-SA"/>
              </w:rPr>
              <w:t xml:space="preserve"> </w:t>
            </w:r>
            <w:r>
              <w:rPr>
                <w:rFonts w:asciiTheme="minorHAnsi" w:hAnsiTheme="minorHAnsi" w:cstheme="minorHAnsi"/>
                <w:szCs w:val="20"/>
                <w:lang w:eastAsia="fr-FR" w:bidi="ar-SA"/>
              </w:rPr>
              <w:t>km autour de la plateforme</w:t>
            </w:r>
          </w:p>
        </w:tc>
        <w:tc>
          <w:tcPr>
            <w:tcW w:w="1347" w:type="dxa"/>
          </w:tcPr>
          <w:p w14:paraId="05FB642F" w14:textId="06745054" w:rsidR="00DE2F95" w:rsidRPr="00B95A9D" w:rsidRDefault="00C30CBC" w:rsidP="005A766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Cs w:val="20"/>
                <w:lang w:eastAsia="fr-FR" w:bidi="ar-SA"/>
              </w:rPr>
            </w:pPr>
            <w:r>
              <w:rPr>
                <w:rFonts w:asciiTheme="minorHAnsi" w:hAnsiTheme="minorHAnsi" w:cstheme="minorHAnsi"/>
                <w:b/>
                <w:bCs/>
                <w:szCs w:val="20"/>
                <w:lang w:eastAsia="fr-FR" w:bidi="ar-SA"/>
              </w:rPr>
              <w:t>Locale</w:t>
            </w:r>
          </w:p>
        </w:tc>
      </w:tr>
      <w:tr w:rsidR="00DE2F95" w:rsidRPr="00B95A9D" w14:paraId="6AF52EF7" w14:textId="77777777" w:rsidTr="004637C7">
        <w:tc>
          <w:tcPr>
            <w:cnfStyle w:val="001000000000" w:firstRow="0" w:lastRow="0" w:firstColumn="1" w:lastColumn="0" w:oddVBand="0" w:evenVBand="0" w:oddHBand="0" w:evenHBand="0" w:firstRowFirstColumn="0" w:firstRowLastColumn="0" w:lastRowFirstColumn="0" w:lastRowLastColumn="0"/>
            <w:tcW w:w="0" w:type="auto"/>
            <w:vMerge/>
            <w:hideMark/>
          </w:tcPr>
          <w:p w14:paraId="4738D713" w14:textId="77777777" w:rsidR="00DE2F95" w:rsidRPr="00B95A9D" w:rsidRDefault="00DE2F95" w:rsidP="005A7661">
            <w:pPr>
              <w:rPr>
                <w:rFonts w:asciiTheme="minorHAnsi" w:hAnsiTheme="minorHAnsi" w:cstheme="minorHAnsi"/>
                <w:szCs w:val="20"/>
                <w:lang w:eastAsia="fr-FR" w:bidi="ar-SA"/>
              </w:rPr>
            </w:pPr>
          </w:p>
        </w:tc>
        <w:tc>
          <w:tcPr>
            <w:tcW w:w="2615" w:type="dxa"/>
            <w:vMerge/>
            <w:hideMark/>
          </w:tcPr>
          <w:p w14:paraId="6A9FD3A9" w14:textId="77777777" w:rsidR="00DE2F95" w:rsidRPr="00B95A9D" w:rsidRDefault="00DE2F95" w:rsidP="005A766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p>
        </w:tc>
        <w:tc>
          <w:tcPr>
            <w:tcW w:w="1150" w:type="dxa"/>
            <w:hideMark/>
          </w:tcPr>
          <w:p w14:paraId="1087D97B" w14:textId="77777777" w:rsidR="00DE2F95" w:rsidRPr="00B95A9D" w:rsidRDefault="00DE2F95" w:rsidP="005A766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Cs w:val="20"/>
                <w:lang w:eastAsia="fr-FR" w:bidi="ar-SA"/>
              </w:rPr>
            </w:pPr>
            <w:r w:rsidRPr="00B95A9D">
              <w:rPr>
                <w:rFonts w:asciiTheme="minorHAnsi" w:hAnsiTheme="minorHAnsi" w:cstheme="minorHAnsi"/>
                <w:b/>
                <w:bCs/>
                <w:szCs w:val="20"/>
                <w:lang w:eastAsia="fr-FR" w:bidi="ar-SA"/>
              </w:rPr>
              <w:t>Durée</w:t>
            </w:r>
          </w:p>
        </w:tc>
        <w:tc>
          <w:tcPr>
            <w:tcW w:w="3156" w:type="dxa"/>
          </w:tcPr>
          <w:p w14:paraId="46AF0A6A" w14:textId="544280C1" w:rsidR="00DE2F95" w:rsidRPr="00B95A9D" w:rsidRDefault="00C30CBC" w:rsidP="005A766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Pr>
                <w:rFonts w:asciiTheme="minorHAnsi" w:hAnsiTheme="minorHAnsi" w:cstheme="minorHAnsi"/>
                <w:szCs w:val="20"/>
                <w:lang w:eastAsia="fr-FR" w:bidi="ar-SA"/>
              </w:rPr>
              <w:t>Limitée à la période du chantier</w:t>
            </w:r>
          </w:p>
        </w:tc>
        <w:tc>
          <w:tcPr>
            <w:tcW w:w="1347" w:type="dxa"/>
          </w:tcPr>
          <w:p w14:paraId="442F7054" w14:textId="23A1F914" w:rsidR="00DE2F95" w:rsidRPr="00B95A9D" w:rsidRDefault="00C30CBC" w:rsidP="005A766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Cs w:val="20"/>
                <w:lang w:eastAsia="fr-FR" w:bidi="ar-SA"/>
              </w:rPr>
            </w:pPr>
            <w:r>
              <w:rPr>
                <w:rFonts w:asciiTheme="minorHAnsi" w:hAnsiTheme="minorHAnsi" w:cstheme="minorHAnsi"/>
                <w:b/>
                <w:bCs/>
                <w:szCs w:val="20"/>
                <w:lang w:eastAsia="fr-FR" w:bidi="ar-SA"/>
              </w:rPr>
              <w:t>Temporaire</w:t>
            </w:r>
          </w:p>
        </w:tc>
      </w:tr>
      <w:tr w:rsidR="00DE2F95" w:rsidRPr="00B95A9D" w14:paraId="62C3569E" w14:textId="77777777" w:rsidTr="004637C7">
        <w:tc>
          <w:tcPr>
            <w:cnfStyle w:val="001000000000" w:firstRow="0" w:lastRow="0" w:firstColumn="1" w:lastColumn="0" w:oddVBand="0" w:evenVBand="0" w:oddHBand="0" w:evenHBand="0" w:firstRowFirstColumn="0" w:firstRowLastColumn="0" w:lastRowFirstColumn="0" w:lastRowLastColumn="0"/>
            <w:tcW w:w="0" w:type="auto"/>
            <w:vMerge/>
            <w:hideMark/>
          </w:tcPr>
          <w:p w14:paraId="5B179B83" w14:textId="77777777" w:rsidR="00DE2F95" w:rsidRPr="00B95A9D" w:rsidRDefault="00DE2F95" w:rsidP="005A7661">
            <w:pPr>
              <w:rPr>
                <w:rFonts w:asciiTheme="minorHAnsi" w:hAnsiTheme="minorHAnsi" w:cstheme="minorHAnsi"/>
                <w:szCs w:val="20"/>
                <w:lang w:eastAsia="fr-FR" w:bidi="ar-SA"/>
              </w:rPr>
            </w:pPr>
          </w:p>
        </w:tc>
        <w:tc>
          <w:tcPr>
            <w:tcW w:w="2615" w:type="dxa"/>
            <w:vMerge/>
            <w:hideMark/>
          </w:tcPr>
          <w:p w14:paraId="33B5CC14" w14:textId="77777777" w:rsidR="00DE2F95" w:rsidRPr="00B95A9D" w:rsidRDefault="00DE2F95" w:rsidP="005A766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p>
        </w:tc>
        <w:tc>
          <w:tcPr>
            <w:tcW w:w="1150" w:type="dxa"/>
            <w:hideMark/>
          </w:tcPr>
          <w:p w14:paraId="6062ECC9" w14:textId="77777777" w:rsidR="00DE2F95" w:rsidRPr="00B95A9D" w:rsidRDefault="00DE2F95" w:rsidP="005A766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Cs w:val="20"/>
                <w:lang w:eastAsia="fr-FR" w:bidi="ar-SA"/>
              </w:rPr>
            </w:pPr>
            <w:r w:rsidRPr="00B95A9D">
              <w:rPr>
                <w:rFonts w:asciiTheme="minorHAnsi" w:hAnsiTheme="minorHAnsi" w:cstheme="minorHAnsi"/>
                <w:b/>
                <w:bCs/>
                <w:szCs w:val="20"/>
                <w:lang w:eastAsia="fr-FR" w:bidi="ar-SA"/>
              </w:rPr>
              <w:t>Fréquence</w:t>
            </w:r>
          </w:p>
        </w:tc>
        <w:tc>
          <w:tcPr>
            <w:tcW w:w="3156" w:type="dxa"/>
          </w:tcPr>
          <w:p w14:paraId="4E22CCD6" w14:textId="6BE742B7" w:rsidR="00DE2F95" w:rsidRPr="00911A3C" w:rsidRDefault="00C30CBC" w:rsidP="005A766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Pr>
                <w:rFonts w:asciiTheme="minorHAnsi" w:hAnsiTheme="minorHAnsi" w:cstheme="minorHAnsi"/>
                <w:szCs w:val="20"/>
                <w:lang w:eastAsia="fr-FR" w:bidi="ar-SA"/>
              </w:rPr>
              <w:t>Uniquement lors des travaux nocturnes</w:t>
            </w:r>
          </w:p>
        </w:tc>
        <w:tc>
          <w:tcPr>
            <w:tcW w:w="1347" w:type="dxa"/>
          </w:tcPr>
          <w:p w14:paraId="28190436" w14:textId="73BC9470" w:rsidR="00DE2F95" w:rsidRPr="00B95A9D" w:rsidRDefault="00C30CBC" w:rsidP="005A766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Cs w:val="20"/>
                <w:lang w:eastAsia="fr-FR" w:bidi="ar-SA"/>
              </w:rPr>
            </w:pPr>
            <w:r>
              <w:rPr>
                <w:rFonts w:asciiTheme="minorHAnsi" w:hAnsiTheme="minorHAnsi" w:cstheme="minorHAnsi"/>
                <w:b/>
                <w:bCs/>
                <w:szCs w:val="20"/>
                <w:lang w:eastAsia="fr-FR" w:bidi="ar-SA"/>
              </w:rPr>
              <w:t>Intermittente</w:t>
            </w:r>
          </w:p>
        </w:tc>
      </w:tr>
      <w:tr w:rsidR="00DE2F95" w:rsidRPr="00B95A9D" w14:paraId="56657208" w14:textId="77777777" w:rsidTr="004637C7">
        <w:tc>
          <w:tcPr>
            <w:cnfStyle w:val="001000000000" w:firstRow="0" w:lastRow="0" w:firstColumn="1" w:lastColumn="0" w:oddVBand="0" w:evenVBand="0" w:oddHBand="0" w:evenHBand="0" w:firstRowFirstColumn="0" w:firstRowLastColumn="0" w:lastRowFirstColumn="0" w:lastRowLastColumn="0"/>
            <w:tcW w:w="0" w:type="auto"/>
            <w:vMerge/>
            <w:hideMark/>
          </w:tcPr>
          <w:p w14:paraId="7ADEE4C7" w14:textId="77777777" w:rsidR="00DE2F95" w:rsidRPr="00B95A9D" w:rsidRDefault="00DE2F95" w:rsidP="005A7661">
            <w:pPr>
              <w:rPr>
                <w:rFonts w:asciiTheme="minorHAnsi" w:hAnsiTheme="minorHAnsi" w:cstheme="minorHAnsi"/>
                <w:szCs w:val="20"/>
                <w:lang w:eastAsia="fr-FR" w:bidi="ar-SA"/>
              </w:rPr>
            </w:pPr>
          </w:p>
        </w:tc>
        <w:tc>
          <w:tcPr>
            <w:tcW w:w="2615" w:type="dxa"/>
            <w:vMerge/>
            <w:hideMark/>
          </w:tcPr>
          <w:p w14:paraId="53FBB063" w14:textId="77777777" w:rsidR="00DE2F95" w:rsidRPr="00B95A9D" w:rsidRDefault="00DE2F95" w:rsidP="005A766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p>
        </w:tc>
        <w:tc>
          <w:tcPr>
            <w:tcW w:w="1150" w:type="dxa"/>
            <w:shd w:val="clear" w:color="auto" w:fill="D9E2F3"/>
            <w:hideMark/>
          </w:tcPr>
          <w:p w14:paraId="79AA96CF" w14:textId="77777777" w:rsidR="00DE2F95" w:rsidRPr="00B95A9D" w:rsidRDefault="00DE2F95" w:rsidP="005A766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Cs w:val="20"/>
                <w:lang w:eastAsia="fr-FR" w:bidi="ar-SA"/>
              </w:rPr>
            </w:pPr>
            <w:r w:rsidRPr="00B95A9D">
              <w:rPr>
                <w:rFonts w:asciiTheme="minorHAnsi" w:hAnsiTheme="minorHAnsi" w:cstheme="minorHAnsi"/>
                <w:b/>
                <w:bCs/>
                <w:szCs w:val="20"/>
                <w:lang w:eastAsia="fr-FR" w:bidi="ar-SA"/>
              </w:rPr>
              <w:t>Intensité</w:t>
            </w:r>
          </w:p>
        </w:tc>
        <w:tc>
          <w:tcPr>
            <w:tcW w:w="3156" w:type="dxa"/>
            <w:shd w:val="clear" w:color="auto" w:fill="D9E2F3"/>
          </w:tcPr>
          <w:p w14:paraId="20688307" w14:textId="46D19F94" w:rsidR="00DE2F95" w:rsidRPr="00B95A9D" w:rsidRDefault="00C30CBC" w:rsidP="005A766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Pr>
                <w:rFonts w:asciiTheme="minorHAnsi" w:hAnsiTheme="minorHAnsi" w:cstheme="minorHAnsi"/>
                <w:szCs w:val="20"/>
                <w:lang w:eastAsia="fr-FR" w:bidi="ar-SA"/>
              </w:rPr>
              <w:t>Sources lumineuses dirigées vers le sol, faible diffusion latérale, mais présence ponctuelle d’un point lumineux en hauteur (grue)</w:t>
            </w:r>
          </w:p>
        </w:tc>
        <w:tc>
          <w:tcPr>
            <w:tcW w:w="1347" w:type="dxa"/>
            <w:shd w:val="clear" w:color="auto" w:fill="D9E2F3"/>
          </w:tcPr>
          <w:p w14:paraId="647778E2" w14:textId="0354271A" w:rsidR="00DE2F95" w:rsidRPr="00B95A9D" w:rsidRDefault="00DE2F95" w:rsidP="005A766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Cs w:val="20"/>
                <w:lang w:eastAsia="fr-FR" w:bidi="ar-SA"/>
              </w:rPr>
            </w:pPr>
            <w:r>
              <w:rPr>
                <w:rFonts w:asciiTheme="minorHAnsi" w:hAnsiTheme="minorHAnsi" w:cstheme="minorHAnsi"/>
                <w:b/>
                <w:bCs/>
                <w:szCs w:val="20"/>
                <w:lang w:eastAsia="fr-FR" w:bidi="ar-SA"/>
              </w:rPr>
              <w:t>Faible à moyenne</w:t>
            </w:r>
          </w:p>
        </w:tc>
      </w:tr>
      <w:tr w:rsidR="00DE2F95" w:rsidRPr="00B95A9D" w14:paraId="38E19F91" w14:textId="77777777" w:rsidTr="00C30CBC">
        <w:tc>
          <w:tcPr>
            <w:cnfStyle w:val="001000000000" w:firstRow="0" w:lastRow="0" w:firstColumn="1" w:lastColumn="0" w:oddVBand="0" w:evenVBand="0" w:oddHBand="0" w:evenHBand="0" w:firstRowFirstColumn="0" w:firstRowLastColumn="0" w:lastRowFirstColumn="0" w:lastRowLastColumn="0"/>
            <w:tcW w:w="0" w:type="auto"/>
            <w:vMerge/>
          </w:tcPr>
          <w:p w14:paraId="0CD48762" w14:textId="77777777" w:rsidR="00DE2F95" w:rsidRPr="00B95A9D" w:rsidRDefault="00DE2F95" w:rsidP="005A7661">
            <w:pPr>
              <w:rPr>
                <w:rFonts w:asciiTheme="minorHAnsi" w:hAnsiTheme="minorHAnsi" w:cstheme="minorHAnsi"/>
                <w:szCs w:val="20"/>
                <w:lang w:eastAsia="fr-FR" w:bidi="ar-SA"/>
              </w:rPr>
            </w:pPr>
          </w:p>
        </w:tc>
        <w:tc>
          <w:tcPr>
            <w:tcW w:w="8268" w:type="dxa"/>
            <w:gridSpan w:val="4"/>
          </w:tcPr>
          <w:p w14:paraId="505A7259" w14:textId="77777777" w:rsidR="00DE2F95" w:rsidRPr="00B95A9D" w:rsidRDefault="00DE2F95" w:rsidP="005A7661">
            <w:pPr>
              <w:spacing w:before="0" w:after="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Cs w:val="20"/>
                <w:lang w:eastAsia="fr-FR" w:bidi="ar-SA"/>
              </w:rPr>
            </w:pPr>
          </w:p>
        </w:tc>
      </w:tr>
      <w:tr w:rsidR="00DE2F95" w:rsidRPr="00B95A9D" w14:paraId="4DD0E1AA" w14:textId="77777777" w:rsidTr="004637C7">
        <w:tc>
          <w:tcPr>
            <w:cnfStyle w:val="001000000000" w:firstRow="0" w:lastRow="0" w:firstColumn="1" w:lastColumn="0" w:oddVBand="0" w:evenVBand="0" w:oddHBand="0" w:evenHBand="0" w:firstRowFirstColumn="0" w:firstRowLastColumn="0" w:lastRowFirstColumn="0" w:lastRowLastColumn="0"/>
            <w:tcW w:w="0" w:type="auto"/>
            <w:vMerge/>
          </w:tcPr>
          <w:p w14:paraId="42B35258" w14:textId="77777777" w:rsidR="00DE2F95" w:rsidRPr="00B95A9D" w:rsidRDefault="00DE2F95" w:rsidP="005A7661">
            <w:pPr>
              <w:rPr>
                <w:rFonts w:asciiTheme="minorHAnsi" w:hAnsiTheme="minorHAnsi" w:cstheme="minorHAnsi"/>
                <w:szCs w:val="20"/>
                <w:lang w:eastAsia="fr-FR" w:bidi="ar-SA"/>
              </w:rPr>
            </w:pPr>
          </w:p>
        </w:tc>
        <w:tc>
          <w:tcPr>
            <w:tcW w:w="2615" w:type="dxa"/>
            <w:shd w:val="clear" w:color="auto" w:fill="B4C6E7" w:themeFill="accent1" w:themeFillTint="66"/>
            <w:vAlign w:val="center"/>
          </w:tcPr>
          <w:p w14:paraId="746ADD8C" w14:textId="77777777" w:rsidR="00DE2F95" w:rsidRPr="00B95A9D" w:rsidRDefault="00DE2F95" w:rsidP="005A766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sidRPr="00B95A9D">
              <w:rPr>
                <w:rFonts w:asciiTheme="minorHAnsi" w:hAnsiTheme="minorHAnsi" w:cstheme="minorHAnsi"/>
                <w:b/>
                <w:bCs/>
                <w:szCs w:val="20"/>
              </w:rPr>
              <w:t>Intensité de l’impact</w:t>
            </w:r>
          </w:p>
        </w:tc>
        <w:tc>
          <w:tcPr>
            <w:tcW w:w="1150" w:type="dxa"/>
            <w:shd w:val="clear" w:color="auto" w:fill="B4C6E7" w:themeFill="accent1" w:themeFillTint="66"/>
            <w:vAlign w:val="center"/>
          </w:tcPr>
          <w:p w14:paraId="42C22D0F" w14:textId="77777777" w:rsidR="00DE2F95" w:rsidRPr="00B95A9D" w:rsidRDefault="00DE2F95" w:rsidP="005A766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Cs w:val="20"/>
                <w:lang w:eastAsia="fr-FR" w:bidi="ar-SA"/>
              </w:rPr>
            </w:pPr>
            <w:r w:rsidRPr="00B95A9D">
              <w:rPr>
                <w:rFonts w:asciiTheme="minorHAnsi" w:hAnsiTheme="minorHAnsi" w:cstheme="minorHAnsi"/>
                <w:b/>
                <w:bCs/>
                <w:szCs w:val="20"/>
              </w:rPr>
              <w:t>Récepteurs</w:t>
            </w:r>
          </w:p>
        </w:tc>
        <w:tc>
          <w:tcPr>
            <w:tcW w:w="3156" w:type="dxa"/>
            <w:shd w:val="clear" w:color="auto" w:fill="B4C6E7" w:themeFill="accent1" w:themeFillTint="66"/>
            <w:vAlign w:val="center"/>
          </w:tcPr>
          <w:p w14:paraId="2E477330" w14:textId="77777777" w:rsidR="00DE2F95" w:rsidRPr="00B95A9D" w:rsidRDefault="00DE2F95" w:rsidP="005A766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sidRPr="00B95A9D">
              <w:rPr>
                <w:rFonts w:asciiTheme="minorHAnsi" w:hAnsiTheme="minorHAnsi" w:cstheme="minorHAnsi"/>
                <w:b/>
                <w:bCs/>
                <w:szCs w:val="20"/>
              </w:rPr>
              <w:t>Sensibilité</w:t>
            </w:r>
          </w:p>
        </w:tc>
        <w:tc>
          <w:tcPr>
            <w:tcW w:w="1347" w:type="dxa"/>
            <w:shd w:val="clear" w:color="auto" w:fill="B4C6E7" w:themeFill="accent1" w:themeFillTint="66"/>
            <w:vAlign w:val="center"/>
          </w:tcPr>
          <w:p w14:paraId="061AD102" w14:textId="77777777" w:rsidR="00DE2F95" w:rsidRPr="00B95A9D" w:rsidRDefault="00DE2F95" w:rsidP="005A766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Cs w:val="20"/>
                <w:lang w:eastAsia="fr-FR" w:bidi="ar-SA"/>
              </w:rPr>
            </w:pPr>
            <w:r w:rsidRPr="00B95A9D">
              <w:rPr>
                <w:rFonts w:asciiTheme="minorHAnsi" w:hAnsiTheme="minorHAnsi" w:cstheme="minorHAnsi"/>
                <w:b/>
                <w:bCs/>
                <w:szCs w:val="20"/>
              </w:rPr>
              <w:t>Importance de l’impact</w:t>
            </w:r>
          </w:p>
        </w:tc>
      </w:tr>
      <w:tr w:rsidR="00DE2F95" w:rsidRPr="00B95A9D" w14:paraId="277CDA8A" w14:textId="77777777" w:rsidTr="004637C7">
        <w:tc>
          <w:tcPr>
            <w:cnfStyle w:val="001000000000" w:firstRow="0" w:lastRow="0" w:firstColumn="1" w:lastColumn="0" w:oddVBand="0" w:evenVBand="0" w:oddHBand="0" w:evenHBand="0" w:firstRowFirstColumn="0" w:firstRowLastColumn="0" w:lastRowFirstColumn="0" w:lastRowLastColumn="0"/>
            <w:tcW w:w="0" w:type="auto"/>
            <w:vMerge/>
          </w:tcPr>
          <w:p w14:paraId="616E097A" w14:textId="77777777" w:rsidR="00DE2F95" w:rsidRPr="00B95A9D" w:rsidRDefault="00DE2F95" w:rsidP="00DE2F95">
            <w:pPr>
              <w:rPr>
                <w:rFonts w:asciiTheme="minorHAnsi" w:hAnsiTheme="minorHAnsi" w:cstheme="minorHAnsi"/>
                <w:szCs w:val="20"/>
                <w:lang w:eastAsia="fr-FR" w:bidi="ar-SA"/>
              </w:rPr>
            </w:pPr>
          </w:p>
        </w:tc>
        <w:tc>
          <w:tcPr>
            <w:tcW w:w="2615" w:type="dxa"/>
            <w:vMerge w:val="restart"/>
            <w:vAlign w:val="center"/>
          </w:tcPr>
          <w:p w14:paraId="556E7B8A" w14:textId="3A6B3071" w:rsidR="00DE2F95" w:rsidRPr="00B95A9D" w:rsidRDefault="00DE2F95" w:rsidP="00DE2F9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Pr>
                <w:rFonts w:asciiTheme="minorHAnsi" w:hAnsiTheme="minorHAnsi" w:cstheme="minorHAnsi"/>
                <w:szCs w:val="20"/>
                <w:lang w:eastAsia="fr-FR" w:bidi="ar-SA"/>
              </w:rPr>
              <w:t>Faible à moyenne</w:t>
            </w:r>
          </w:p>
        </w:tc>
        <w:tc>
          <w:tcPr>
            <w:tcW w:w="1150" w:type="dxa"/>
            <w:vAlign w:val="center"/>
          </w:tcPr>
          <w:p w14:paraId="0A863E65" w14:textId="638CE562" w:rsidR="00DE2F95" w:rsidRPr="00B95A9D" w:rsidRDefault="00DE2F95" w:rsidP="00DE2F9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Cs w:val="20"/>
                <w:lang w:eastAsia="fr-FR" w:bidi="ar-SA"/>
              </w:rPr>
            </w:pPr>
            <w:r w:rsidRPr="00D72C6A">
              <w:rPr>
                <w:rFonts w:asciiTheme="minorHAnsi" w:hAnsiTheme="minorHAnsi" w:cstheme="minorHAnsi"/>
                <w:b/>
                <w:bCs/>
                <w:szCs w:val="20"/>
                <w:lang w:eastAsia="fr-FR" w:bidi="ar-SA"/>
              </w:rPr>
              <w:t>Usagers et employés de l’aéroport</w:t>
            </w:r>
          </w:p>
        </w:tc>
        <w:tc>
          <w:tcPr>
            <w:tcW w:w="3156" w:type="dxa"/>
            <w:vAlign w:val="center"/>
          </w:tcPr>
          <w:p w14:paraId="5B145353" w14:textId="1ACA7789" w:rsidR="00DE2F95" w:rsidRPr="00B95A9D" w:rsidRDefault="00C30CBC" w:rsidP="00DE2F9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sidRPr="004637C7">
              <w:rPr>
                <w:rFonts w:asciiTheme="minorHAnsi" w:hAnsiTheme="minorHAnsi" w:cstheme="minorHAnsi"/>
                <w:b/>
                <w:bCs/>
                <w:szCs w:val="20"/>
                <w:lang w:eastAsia="fr-FR" w:bidi="ar-SA"/>
              </w:rPr>
              <w:t>Moyenne :</w:t>
            </w:r>
            <w:r>
              <w:rPr>
                <w:rFonts w:asciiTheme="minorHAnsi" w:hAnsiTheme="minorHAnsi" w:cstheme="minorHAnsi"/>
                <w:szCs w:val="20"/>
                <w:lang w:eastAsia="fr-FR" w:bidi="ar-SA"/>
              </w:rPr>
              <w:t xml:space="preserve"> Exposition directe aux contrastes lumineux sur site.</w:t>
            </w:r>
          </w:p>
        </w:tc>
        <w:tc>
          <w:tcPr>
            <w:tcW w:w="1347" w:type="dxa"/>
            <w:vAlign w:val="center"/>
          </w:tcPr>
          <w:p w14:paraId="35CD7E8E" w14:textId="1EC0B723" w:rsidR="00DE2F95" w:rsidRPr="00B95A9D" w:rsidRDefault="00C30CBC" w:rsidP="00DE2F9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Cs w:val="20"/>
                <w:lang w:eastAsia="fr-FR" w:bidi="ar-SA"/>
              </w:rPr>
            </w:pPr>
            <w:r>
              <w:rPr>
                <w:rFonts w:asciiTheme="minorHAnsi" w:hAnsiTheme="minorHAnsi" w:cstheme="minorHAnsi"/>
                <w:b/>
                <w:bCs/>
                <w:szCs w:val="20"/>
                <w:lang w:eastAsia="fr-FR" w:bidi="ar-SA"/>
              </w:rPr>
              <w:t>Mineure à modérée</w:t>
            </w:r>
          </w:p>
        </w:tc>
      </w:tr>
      <w:tr w:rsidR="00C30CBC" w:rsidRPr="00B95A9D" w14:paraId="6C0A6786" w14:textId="77777777" w:rsidTr="004637C7">
        <w:tc>
          <w:tcPr>
            <w:cnfStyle w:val="001000000000" w:firstRow="0" w:lastRow="0" w:firstColumn="1" w:lastColumn="0" w:oddVBand="0" w:evenVBand="0" w:oddHBand="0" w:evenHBand="0" w:firstRowFirstColumn="0" w:firstRowLastColumn="0" w:lastRowFirstColumn="0" w:lastRowLastColumn="0"/>
            <w:tcW w:w="0" w:type="auto"/>
            <w:vMerge/>
          </w:tcPr>
          <w:p w14:paraId="7BD8A883" w14:textId="77777777" w:rsidR="00C30CBC" w:rsidRPr="00B95A9D" w:rsidRDefault="00C30CBC" w:rsidP="00C30CBC">
            <w:pPr>
              <w:rPr>
                <w:rFonts w:asciiTheme="minorHAnsi" w:hAnsiTheme="minorHAnsi" w:cstheme="minorHAnsi"/>
                <w:szCs w:val="20"/>
                <w:lang w:eastAsia="fr-FR" w:bidi="ar-SA"/>
              </w:rPr>
            </w:pPr>
          </w:p>
        </w:tc>
        <w:tc>
          <w:tcPr>
            <w:tcW w:w="2615" w:type="dxa"/>
            <w:vMerge/>
            <w:vAlign w:val="center"/>
          </w:tcPr>
          <w:p w14:paraId="41C59543" w14:textId="77777777" w:rsidR="00C30CBC" w:rsidRDefault="00C30CBC" w:rsidP="00C30CBC">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p>
        </w:tc>
        <w:tc>
          <w:tcPr>
            <w:tcW w:w="1150" w:type="dxa"/>
            <w:vAlign w:val="center"/>
          </w:tcPr>
          <w:p w14:paraId="53FC05ED" w14:textId="24EAC90C" w:rsidR="00C30CBC" w:rsidRPr="00B95A9D" w:rsidRDefault="00C30CBC" w:rsidP="00C30CBC">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Cs w:val="20"/>
                <w:lang w:eastAsia="fr-FR" w:bidi="ar-SA"/>
              </w:rPr>
            </w:pPr>
            <w:r w:rsidRPr="00D72C6A">
              <w:rPr>
                <w:rFonts w:asciiTheme="minorHAnsi" w:hAnsiTheme="minorHAnsi" w:cstheme="minorHAnsi"/>
                <w:b/>
                <w:bCs/>
                <w:szCs w:val="20"/>
                <w:lang w:eastAsia="fr-FR" w:bidi="ar-SA"/>
              </w:rPr>
              <w:t xml:space="preserve">Usagers de la </w:t>
            </w:r>
            <w:r w:rsidR="00000F82">
              <w:rPr>
                <w:rFonts w:asciiTheme="minorHAnsi" w:hAnsiTheme="minorHAnsi" w:cstheme="minorHAnsi"/>
                <w:b/>
                <w:bCs/>
                <w:szCs w:val="20"/>
                <w:lang w:eastAsia="fr-FR" w:bidi="ar-SA"/>
              </w:rPr>
              <w:t>RR212</w:t>
            </w:r>
          </w:p>
        </w:tc>
        <w:tc>
          <w:tcPr>
            <w:tcW w:w="3156" w:type="dxa"/>
            <w:vAlign w:val="center"/>
          </w:tcPr>
          <w:p w14:paraId="067C4618" w14:textId="7D35E1B7" w:rsidR="00C30CBC" w:rsidRPr="00B95A9D" w:rsidRDefault="00C30CBC" w:rsidP="00C30CBC">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sidRPr="004637C7">
              <w:rPr>
                <w:rFonts w:asciiTheme="minorHAnsi" w:hAnsiTheme="minorHAnsi" w:cstheme="minorHAnsi"/>
                <w:b/>
                <w:bCs/>
                <w:szCs w:val="20"/>
                <w:lang w:eastAsia="fr-FR" w:bidi="ar-SA"/>
              </w:rPr>
              <w:t>Faible :</w:t>
            </w:r>
            <w:r>
              <w:rPr>
                <w:rFonts w:asciiTheme="minorHAnsi" w:hAnsiTheme="minorHAnsi" w:cstheme="minorHAnsi"/>
                <w:szCs w:val="20"/>
                <w:lang w:eastAsia="fr-FR" w:bidi="ar-SA"/>
              </w:rPr>
              <w:t xml:space="preserve"> Visibilité passagère et atténuée par la distance.</w:t>
            </w:r>
          </w:p>
        </w:tc>
        <w:tc>
          <w:tcPr>
            <w:tcW w:w="1347" w:type="dxa"/>
            <w:vAlign w:val="center"/>
          </w:tcPr>
          <w:p w14:paraId="6899B6E5" w14:textId="77A85401" w:rsidR="00C30CBC" w:rsidRPr="00B95A9D" w:rsidRDefault="00C30CBC" w:rsidP="00C30CBC">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Cs w:val="20"/>
                <w:lang w:eastAsia="fr-FR" w:bidi="ar-SA"/>
              </w:rPr>
            </w:pPr>
            <w:r>
              <w:rPr>
                <w:rFonts w:asciiTheme="minorHAnsi" w:hAnsiTheme="minorHAnsi" w:cstheme="minorHAnsi"/>
                <w:b/>
                <w:bCs/>
                <w:szCs w:val="20"/>
                <w:lang w:eastAsia="fr-FR" w:bidi="ar-SA"/>
              </w:rPr>
              <w:t>Négligeable à mineure</w:t>
            </w:r>
          </w:p>
        </w:tc>
      </w:tr>
    </w:tbl>
    <w:p w14:paraId="3FF71090" w14:textId="77777777" w:rsidR="00EA716F" w:rsidRDefault="00EA716F" w:rsidP="00EA716F">
      <w:pPr>
        <w:pStyle w:val="Title5"/>
        <w:sectPr w:rsidR="00EA716F" w:rsidSect="006C1613">
          <w:pgSz w:w="11906" w:h="16838"/>
          <w:pgMar w:top="1418" w:right="1418" w:bottom="1276" w:left="1418" w:header="680" w:footer="680" w:gutter="0"/>
          <w:cols w:space="708"/>
          <w:docGrid w:linePitch="360"/>
        </w:sectPr>
      </w:pPr>
    </w:p>
    <w:p w14:paraId="029A04D9" w14:textId="00D99DAA" w:rsidR="0071443C" w:rsidRPr="0071443C" w:rsidRDefault="0071443C" w:rsidP="004637C7">
      <w:pPr>
        <w:pStyle w:val="Title5"/>
      </w:pPr>
      <w:r>
        <w:lastRenderedPageBreak/>
        <w:t>Mesures d’a</w:t>
      </w:r>
      <w:r w:rsidRPr="0071443C">
        <w:t>tténuation</w:t>
      </w:r>
    </w:p>
    <w:p w14:paraId="3B388A71" w14:textId="255D07A5" w:rsidR="00AD0BC0" w:rsidRPr="00DD6097" w:rsidRDefault="00AD0BC0" w:rsidP="510FA643">
      <w:pPr>
        <w:pStyle w:val="Corpsdetexte"/>
        <w:spacing w:before="49"/>
        <w:ind w:left="120"/>
        <w:rPr>
          <w:lang w:val="fr-FR" w:eastAsia="zh-CN"/>
        </w:rPr>
      </w:pPr>
      <w:r w:rsidRPr="510FA643">
        <w:rPr>
          <w:spacing w:val="-4"/>
          <w:lang w:val="fr-FR" w:eastAsia="zh-CN"/>
        </w:rPr>
        <w:t>Les</w:t>
      </w:r>
      <w:r w:rsidRPr="510FA643">
        <w:rPr>
          <w:lang w:val="fr-FR" w:eastAsia="zh-CN"/>
        </w:rPr>
        <w:t xml:space="preserve"> </w:t>
      </w:r>
      <w:r w:rsidRPr="510FA643">
        <w:rPr>
          <w:spacing w:val="-4"/>
          <w:lang w:val="fr-FR" w:eastAsia="zh-CN"/>
        </w:rPr>
        <w:t>mesures</w:t>
      </w:r>
      <w:r w:rsidRPr="510FA643">
        <w:rPr>
          <w:spacing w:val="2"/>
          <w:lang w:val="fr-FR" w:eastAsia="zh-CN"/>
        </w:rPr>
        <w:t xml:space="preserve"> </w:t>
      </w:r>
      <w:r w:rsidRPr="510FA643">
        <w:rPr>
          <w:spacing w:val="-4"/>
          <w:lang w:val="fr-FR" w:eastAsia="zh-CN"/>
        </w:rPr>
        <w:t>d’atténuation</w:t>
      </w:r>
      <w:r w:rsidRPr="510FA643">
        <w:rPr>
          <w:spacing w:val="1"/>
          <w:lang w:val="fr-FR" w:eastAsia="zh-CN"/>
        </w:rPr>
        <w:t xml:space="preserve"> </w:t>
      </w:r>
      <w:r w:rsidRPr="510FA643">
        <w:rPr>
          <w:spacing w:val="-4"/>
          <w:lang w:val="fr-FR" w:eastAsia="zh-CN"/>
        </w:rPr>
        <w:t>proposées</w:t>
      </w:r>
      <w:r w:rsidRPr="510FA643">
        <w:rPr>
          <w:spacing w:val="2"/>
          <w:lang w:val="fr-FR" w:eastAsia="zh-CN"/>
        </w:rPr>
        <w:t xml:space="preserve"> </w:t>
      </w:r>
      <w:r w:rsidRPr="510FA643">
        <w:rPr>
          <w:spacing w:val="-4"/>
          <w:lang w:val="fr-FR" w:eastAsia="zh-CN"/>
        </w:rPr>
        <w:t>pour</w:t>
      </w:r>
      <w:r w:rsidRPr="510FA643">
        <w:rPr>
          <w:spacing w:val="1"/>
          <w:lang w:val="fr-FR" w:eastAsia="zh-CN"/>
        </w:rPr>
        <w:t xml:space="preserve"> </w:t>
      </w:r>
      <w:r w:rsidRPr="510FA643">
        <w:rPr>
          <w:spacing w:val="-4"/>
          <w:lang w:val="fr-FR" w:eastAsia="zh-CN"/>
        </w:rPr>
        <w:t>l’impact</w:t>
      </w:r>
      <w:r w:rsidRPr="510FA643">
        <w:rPr>
          <w:spacing w:val="2"/>
          <w:lang w:val="fr-FR" w:eastAsia="zh-CN"/>
        </w:rPr>
        <w:t xml:space="preserve"> </w:t>
      </w:r>
      <w:r w:rsidRPr="510FA643">
        <w:rPr>
          <w:spacing w:val="-4"/>
          <w:lang w:val="fr-FR" w:eastAsia="zh-CN"/>
        </w:rPr>
        <w:t>visuel</w:t>
      </w:r>
      <w:r w:rsidRPr="510FA643">
        <w:rPr>
          <w:spacing w:val="1"/>
          <w:lang w:val="fr-FR" w:eastAsia="zh-CN"/>
        </w:rPr>
        <w:t xml:space="preserve"> </w:t>
      </w:r>
      <w:r w:rsidRPr="510FA643">
        <w:rPr>
          <w:spacing w:val="-4"/>
          <w:lang w:val="fr-FR" w:eastAsia="zh-CN"/>
        </w:rPr>
        <w:t>et</w:t>
      </w:r>
      <w:r w:rsidRPr="510FA643">
        <w:rPr>
          <w:spacing w:val="2"/>
          <w:lang w:val="fr-FR" w:eastAsia="zh-CN"/>
        </w:rPr>
        <w:t xml:space="preserve"> </w:t>
      </w:r>
      <w:r w:rsidRPr="510FA643">
        <w:rPr>
          <w:spacing w:val="-4"/>
          <w:lang w:val="fr-FR" w:eastAsia="zh-CN"/>
        </w:rPr>
        <w:t>paysager</w:t>
      </w:r>
      <w:r w:rsidRPr="510FA643">
        <w:rPr>
          <w:lang w:val="fr-FR" w:eastAsia="zh-CN"/>
        </w:rPr>
        <w:t xml:space="preserve"> </w:t>
      </w:r>
      <w:r w:rsidRPr="510FA643">
        <w:rPr>
          <w:spacing w:val="-4"/>
          <w:lang w:val="fr-FR" w:eastAsia="zh-CN"/>
        </w:rPr>
        <w:t>en</w:t>
      </w:r>
      <w:r w:rsidRPr="510FA643">
        <w:rPr>
          <w:spacing w:val="2"/>
          <w:lang w:val="fr-FR" w:eastAsia="zh-CN"/>
        </w:rPr>
        <w:t xml:space="preserve"> </w:t>
      </w:r>
      <w:r w:rsidRPr="510FA643">
        <w:rPr>
          <w:spacing w:val="-4"/>
          <w:lang w:val="fr-FR" w:eastAsia="zh-CN"/>
        </w:rPr>
        <w:t>phase</w:t>
      </w:r>
      <w:r w:rsidRPr="510FA643">
        <w:rPr>
          <w:spacing w:val="2"/>
          <w:lang w:val="fr-FR" w:eastAsia="zh-CN"/>
        </w:rPr>
        <w:t xml:space="preserve"> </w:t>
      </w:r>
      <w:r w:rsidRPr="510FA643">
        <w:rPr>
          <w:spacing w:val="-4"/>
          <w:lang w:val="fr-FR" w:eastAsia="zh-CN"/>
        </w:rPr>
        <w:t>de</w:t>
      </w:r>
      <w:r w:rsidRPr="510FA643">
        <w:rPr>
          <w:spacing w:val="2"/>
          <w:lang w:val="fr-FR" w:eastAsia="zh-CN"/>
        </w:rPr>
        <w:t xml:space="preserve"> </w:t>
      </w:r>
      <w:r w:rsidRPr="510FA643">
        <w:rPr>
          <w:spacing w:val="-4"/>
          <w:lang w:val="fr-FR" w:eastAsia="zh-CN"/>
        </w:rPr>
        <w:t>travaux</w:t>
      </w:r>
      <w:r w:rsidRPr="510FA643">
        <w:rPr>
          <w:lang w:val="fr-FR" w:eastAsia="zh-CN"/>
        </w:rPr>
        <w:t xml:space="preserve"> </w:t>
      </w:r>
      <w:r w:rsidRPr="510FA643">
        <w:rPr>
          <w:spacing w:val="-5"/>
          <w:lang w:val="fr-FR" w:eastAsia="zh-CN"/>
        </w:rPr>
        <w:t>se</w:t>
      </w:r>
      <w:r w:rsidR="00495725" w:rsidRPr="510FA643">
        <w:rPr>
          <w:spacing w:val="-5"/>
          <w:lang w:val="fr-FR" w:eastAsia="zh-CN"/>
        </w:rPr>
        <w:t xml:space="preserve"> </w:t>
      </w:r>
      <w:r w:rsidRPr="510FA643">
        <w:rPr>
          <w:w w:val="90"/>
          <w:lang w:val="fr-FR" w:eastAsia="zh-CN"/>
        </w:rPr>
        <w:t>présentent</w:t>
      </w:r>
      <w:r w:rsidRPr="510FA643">
        <w:rPr>
          <w:spacing w:val="-7"/>
          <w:lang w:val="fr-FR" w:eastAsia="zh-CN"/>
        </w:rPr>
        <w:t xml:space="preserve"> </w:t>
      </w:r>
      <w:r w:rsidRPr="510FA643">
        <w:rPr>
          <w:w w:val="90"/>
          <w:lang w:val="fr-FR" w:eastAsia="zh-CN"/>
        </w:rPr>
        <w:t>comme</w:t>
      </w:r>
      <w:r w:rsidRPr="510FA643">
        <w:rPr>
          <w:spacing w:val="-2"/>
          <w:lang w:val="fr-FR" w:eastAsia="zh-CN"/>
        </w:rPr>
        <w:t xml:space="preserve"> </w:t>
      </w:r>
      <w:r w:rsidRPr="510FA643">
        <w:rPr>
          <w:w w:val="90"/>
          <w:lang w:val="fr-FR" w:eastAsia="zh-CN"/>
        </w:rPr>
        <w:t>suit</w:t>
      </w:r>
      <w:r w:rsidRPr="510FA643">
        <w:rPr>
          <w:spacing w:val="-5"/>
          <w:lang w:val="fr-FR" w:eastAsia="zh-CN"/>
        </w:rPr>
        <w:t xml:space="preserve"> </w:t>
      </w:r>
      <w:r w:rsidRPr="510FA643">
        <w:rPr>
          <w:spacing w:val="-10"/>
          <w:w w:val="90"/>
          <w:lang w:val="fr-FR" w:eastAsia="zh-CN"/>
        </w:rPr>
        <w:t>:</w:t>
      </w:r>
    </w:p>
    <w:p w14:paraId="561936E3" w14:textId="1F7CB543" w:rsidR="00D956F5" w:rsidRDefault="00D956F5" w:rsidP="004637C7">
      <w:pPr>
        <w:pStyle w:val="Lgende"/>
        <w:keepNext/>
      </w:pPr>
      <w:bookmarkStart w:id="446" w:name="_Toc213404377"/>
      <w:r>
        <w:t xml:space="preserve">Tableau </w:t>
      </w:r>
      <w:r>
        <w:fldChar w:fldCharType="begin"/>
      </w:r>
      <w:r>
        <w:instrText xml:space="preserve"> SEQ Tableau \* ARABIC </w:instrText>
      </w:r>
      <w:r>
        <w:fldChar w:fldCharType="separate"/>
      </w:r>
      <w:r w:rsidR="00274E71">
        <w:rPr>
          <w:noProof/>
        </w:rPr>
        <w:t>55</w:t>
      </w:r>
      <w:r>
        <w:fldChar w:fldCharType="end"/>
      </w:r>
      <w:r>
        <w:rPr>
          <w:lang w:val="fr-FR"/>
        </w:rPr>
        <w:t xml:space="preserve"> : Impacts visuels et paysagers - </w:t>
      </w:r>
      <w:r w:rsidRPr="004B2041">
        <w:rPr>
          <w:lang w:val="fr-FR"/>
        </w:rPr>
        <w:t>Mesures d’atténuation en phases de construction</w:t>
      </w:r>
      <w:bookmarkEnd w:id="446"/>
      <w:r w:rsidRPr="004B2041">
        <w:rPr>
          <w:lang w:val="fr-FR"/>
        </w:rPr>
        <w:t xml:space="preserve"> </w:t>
      </w:r>
    </w:p>
    <w:tbl>
      <w:tblPr>
        <w:tblStyle w:val="TableauGrille1Clair-Accentuation111"/>
        <w:tblW w:w="14743" w:type="dxa"/>
        <w:tblLook w:val="04A0" w:firstRow="1" w:lastRow="0" w:firstColumn="1" w:lastColumn="0" w:noHBand="0" w:noVBand="1"/>
      </w:tblPr>
      <w:tblGrid>
        <w:gridCol w:w="1348"/>
        <w:gridCol w:w="1415"/>
        <w:gridCol w:w="2492"/>
        <w:gridCol w:w="2280"/>
        <w:gridCol w:w="996"/>
        <w:gridCol w:w="1626"/>
        <w:gridCol w:w="717"/>
        <w:gridCol w:w="1568"/>
        <w:gridCol w:w="2301"/>
      </w:tblGrid>
      <w:tr w:rsidR="00286629" w:rsidRPr="00D956F5" w14:paraId="05177D79" w14:textId="77777777" w:rsidTr="00C40C47">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348" w:type="dxa"/>
          </w:tcPr>
          <w:p w14:paraId="2F9F8403" w14:textId="7B3AC2FE" w:rsidR="003420DE" w:rsidRPr="004637C7" w:rsidRDefault="003420DE" w:rsidP="003420DE">
            <w:pPr>
              <w:pStyle w:val="Corpsdetexte"/>
              <w:spacing w:before="129"/>
              <w:rPr>
                <w:rFonts w:asciiTheme="minorHAnsi" w:hAnsiTheme="minorHAnsi" w:cstheme="minorHAnsi"/>
                <w:szCs w:val="20"/>
                <w:lang w:val="fr-FR" w:eastAsia="zh-CN"/>
              </w:rPr>
            </w:pPr>
            <w:r w:rsidRPr="004637C7">
              <w:rPr>
                <w:rFonts w:asciiTheme="minorHAnsi" w:hAnsiTheme="minorHAnsi" w:cstheme="minorHAnsi"/>
                <w:szCs w:val="20"/>
                <w:lang w:val="fr-FR" w:eastAsia="zh-CN"/>
              </w:rPr>
              <w:t>Impact</w:t>
            </w:r>
          </w:p>
        </w:tc>
        <w:tc>
          <w:tcPr>
            <w:tcW w:w="0" w:type="auto"/>
            <w:hideMark/>
          </w:tcPr>
          <w:p w14:paraId="200A0BF0" w14:textId="72367E7D" w:rsidR="003420DE" w:rsidRPr="004637C7" w:rsidRDefault="003420DE" w:rsidP="003420DE">
            <w:pPr>
              <w:pStyle w:val="Corpsdetexte"/>
              <w:spacing w:before="129"/>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Cs w:val="20"/>
                <w:lang w:eastAsia="zh-CN"/>
              </w:rPr>
            </w:pPr>
            <w:r w:rsidRPr="004637C7">
              <w:rPr>
                <w:rFonts w:asciiTheme="minorHAnsi" w:hAnsiTheme="minorHAnsi" w:cstheme="minorHAnsi"/>
                <w:szCs w:val="20"/>
                <w:lang w:eastAsia="zh-CN"/>
              </w:rPr>
              <w:t>Niveau d’atténuation</w:t>
            </w:r>
          </w:p>
        </w:tc>
        <w:tc>
          <w:tcPr>
            <w:tcW w:w="0" w:type="auto"/>
            <w:hideMark/>
          </w:tcPr>
          <w:p w14:paraId="3C78B773" w14:textId="77777777" w:rsidR="003420DE" w:rsidRPr="004637C7" w:rsidRDefault="003420DE" w:rsidP="003420DE">
            <w:pPr>
              <w:pStyle w:val="Corpsdetexte"/>
              <w:spacing w:before="129"/>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Cs w:val="20"/>
                <w:lang w:eastAsia="zh-CN"/>
              </w:rPr>
            </w:pPr>
            <w:r w:rsidRPr="004637C7">
              <w:rPr>
                <w:rFonts w:asciiTheme="minorHAnsi" w:hAnsiTheme="minorHAnsi" w:cstheme="minorHAnsi"/>
                <w:szCs w:val="20"/>
                <w:lang w:eastAsia="zh-CN"/>
              </w:rPr>
              <w:t>Mesure d’atténuation / de gestion</w:t>
            </w:r>
          </w:p>
        </w:tc>
        <w:tc>
          <w:tcPr>
            <w:tcW w:w="0" w:type="auto"/>
            <w:hideMark/>
          </w:tcPr>
          <w:p w14:paraId="7E2298A1" w14:textId="77777777" w:rsidR="003420DE" w:rsidRPr="004637C7" w:rsidRDefault="003420DE" w:rsidP="003420DE">
            <w:pPr>
              <w:pStyle w:val="Corpsdetexte"/>
              <w:spacing w:before="129"/>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Cs w:val="20"/>
                <w:lang w:eastAsia="zh-CN"/>
              </w:rPr>
            </w:pPr>
            <w:r w:rsidRPr="004637C7">
              <w:rPr>
                <w:rFonts w:asciiTheme="minorHAnsi" w:hAnsiTheme="minorHAnsi" w:cstheme="minorHAnsi"/>
                <w:szCs w:val="20"/>
                <w:lang w:eastAsia="zh-CN"/>
              </w:rPr>
              <w:t>Indicateurs de performance (KPI)</w:t>
            </w:r>
          </w:p>
        </w:tc>
        <w:tc>
          <w:tcPr>
            <w:tcW w:w="0" w:type="auto"/>
            <w:hideMark/>
          </w:tcPr>
          <w:p w14:paraId="1046613C" w14:textId="77777777" w:rsidR="003420DE" w:rsidRPr="004637C7" w:rsidRDefault="003420DE" w:rsidP="003420DE">
            <w:pPr>
              <w:pStyle w:val="Corpsdetexte"/>
              <w:spacing w:before="129"/>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Cs w:val="20"/>
                <w:lang w:eastAsia="zh-CN"/>
              </w:rPr>
            </w:pPr>
            <w:r w:rsidRPr="004637C7">
              <w:rPr>
                <w:rFonts w:asciiTheme="minorHAnsi" w:hAnsiTheme="minorHAnsi" w:cstheme="minorHAnsi"/>
                <w:szCs w:val="20"/>
                <w:lang w:eastAsia="zh-CN"/>
              </w:rPr>
              <w:t>Mise en œuvre</w:t>
            </w:r>
          </w:p>
        </w:tc>
        <w:tc>
          <w:tcPr>
            <w:tcW w:w="0" w:type="auto"/>
            <w:hideMark/>
          </w:tcPr>
          <w:p w14:paraId="770D014D" w14:textId="77777777" w:rsidR="003420DE" w:rsidRPr="004637C7" w:rsidRDefault="003420DE" w:rsidP="003420DE">
            <w:pPr>
              <w:pStyle w:val="Corpsdetexte"/>
              <w:spacing w:before="129"/>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Cs w:val="20"/>
                <w:lang w:eastAsia="zh-CN"/>
              </w:rPr>
            </w:pPr>
            <w:r w:rsidRPr="004637C7">
              <w:rPr>
                <w:rFonts w:asciiTheme="minorHAnsi" w:hAnsiTheme="minorHAnsi" w:cstheme="minorHAnsi"/>
                <w:szCs w:val="20"/>
                <w:lang w:eastAsia="zh-CN"/>
              </w:rPr>
              <w:t>Surveillance</w:t>
            </w:r>
          </w:p>
        </w:tc>
        <w:tc>
          <w:tcPr>
            <w:tcW w:w="0" w:type="auto"/>
            <w:hideMark/>
          </w:tcPr>
          <w:p w14:paraId="48F7E441" w14:textId="77777777" w:rsidR="003420DE" w:rsidRPr="004637C7" w:rsidRDefault="003420DE" w:rsidP="003420DE">
            <w:pPr>
              <w:pStyle w:val="Corpsdetexte"/>
              <w:spacing w:before="129"/>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Cs w:val="20"/>
                <w:lang w:eastAsia="zh-CN"/>
              </w:rPr>
            </w:pPr>
            <w:r w:rsidRPr="004637C7">
              <w:rPr>
                <w:rFonts w:asciiTheme="minorHAnsi" w:hAnsiTheme="minorHAnsi" w:cstheme="minorHAnsi"/>
                <w:szCs w:val="20"/>
                <w:lang w:eastAsia="zh-CN"/>
              </w:rPr>
              <w:t>Suivi</w:t>
            </w:r>
          </w:p>
        </w:tc>
        <w:tc>
          <w:tcPr>
            <w:tcW w:w="0" w:type="auto"/>
            <w:hideMark/>
          </w:tcPr>
          <w:p w14:paraId="68FC6010" w14:textId="77777777" w:rsidR="003420DE" w:rsidRPr="004637C7" w:rsidRDefault="003420DE" w:rsidP="003420DE">
            <w:pPr>
              <w:pStyle w:val="Corpsdetexte"/>
              <w:spacing w:before="129"/>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Cs w:val="20"/>
                <w:lang w:eastAsia="zh-CN"/>
              </w:rPr>
            </w:pPr>
            <w:r w:rsidRPr="004637C7">
              <w:rPr>
                <w:rFonts w:asciiTheme="minorHAnsi" w:hAnsiTheme="minorHAnsi" w:cstheme="minorHAnsi"/>
                <w:szCs w:val="20"/>
                <w:lang w:eastAsia="zh-CN"/>
              </w:rPr>
              <w:t>Calendrier</w:t>
            </w:r>
          </w:p>
        </w:tc>
        <w:tc>
          <w:tcPr>
            <w:tcW w:w="0" w:type="auto"/>
            <w:hideMark/>
          </w:tcPr>
          <w:p w14:paraId="34FE2679" w14:textId="77777777" w:rsidR="003420DE" w:rsidRPr="004637C7" w:rsidRDefault="003420DE" w:rsidP="003420DE">
            <w:pPr>
              <w:pStyle w:val="Corpsdetexte"/>
              <w:spacing w:before="129"/>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Cs w:val="20"/>
                <w:lang w:eastAsia="zh-CN"/>
              </w:rPr>
            </w:pPr>
            <w:r w:rsidRPr="004637C7">
              <w:rPr>
                <w:rFonts w:asciiTheme="minorHAnsi" w:hAnsiTheme="minorHAnsi" w:cstheme="minorHAnsi"/>
                <w:szCs w:val="20"/>
                <w:lang w:eastAsia="zh-CN"/>
              </w:rPr>
              <w:t>Coût</w:t>
            </w:r>
          </w:p>
        </w:tc>
      </w:tr>
      <w:tr w:rsidR="00C40C47" w:rsidRPr="0032619C" w14:paraId="03BFCC14" w14:textId="77777777" w:rsidTr="00C40C47">
        <w:tc>
          <w:tcPr>
            <w:cnfStyle w:val="001000000000" w:firstRow="0" w:lastRow="0" w:firstColumn="1" w:lastColumn="0" w:oddVBand="0" w:evenVBand="0" w:oddHBand="0" w:evenHBand="0" w:firstRowFirstColumn="0" w:firstRowLastColumn="0" w:lastRowFirstColumn="0" w:lastRowLastColumn="0"/>
            <w:tcW w:w="1348" w:type="dxa"/>
            <w:vMerge w:val="restart"/>
            <w:vAlign w:val="center"/>
          </w:tcPr>
          <w:p w14:paraId="0AB55685" w14:textId="38627EFD" w:rsidR="00C40C47" w:rsidRPr="004637C7" w:rsidRDefault="00C40C47" w:rsidP="00C40C47">
            <w:pPr>
              <w:pStyle w:val="Corpsdetexte"/>
              <w:spacing w:before="129"/>
              <w:rPr>
                <w:rFonts w:asciiTheme="minorHAnsi" w:hAnsiTheme="minorHAnsi" w:cstheme="minorHAnsi"/>
                <w:b w:val="0"/>
                <w:bCs w:val="0"/>
                <w:szCs w:val="20"/>
                <w:lang w:val="fr-FR" w:eastAsia="zh-CN"/>
              </w:rPr>
            </w:pPr>
            <w:r w:rsidRPr="004637C7">
              <w:rPr>
                <w:rFonts w:asciiTheme="minorHAnsi" w:hAnsiTheme="minorHAnsi" w:cstheme="minorHAnsi"/>
                <w:szCs w:val="20"/>
                <w:lang w:eastAsia="zh-CN"/>
              </w:rPr>
              <w:t xml:space="preserve">Dégradation temporaire du cadre visuel </w:t>
            </w:r>
          </w:p>
        </w:tc>
        <w:tc>
          <w:tcPr>
            <w:tcW w:w="0" w:type="auto"/>
            <w:vAlign w:val="center"/>
            <w:hideMark/>
          </w:tcPr>
          <w:p w14:paraId="225A560C" w14:textId="159831A5" w:rsidR="00C40C47" w:rsidRPr="004637C7" w:rsidRDefault="00C40C47" w:rsidP="00C40C47">
            <w:pPr>
              <w:pStyle w:val="Corpsdetexte"/>
              <w:spacing w:before="129"/>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zh-CN"/>
              </w:rPr>
            </w:pPr>
            <w:r w:rsidRPr="004637C7">
              <w:rPr>
                <w:rFonts w:asciiTheme="minorHAnsi" w:hAnsiTheme="minorHAnsi" w:cstheme="minorHAnsi"/>
                <w:szCs w:val="20"/>
                <w:lang w:eastAsia="zh-CN"/>
              </w:rPr>
              <w:t>Éviter</w:t>
            </w:r>
          </w:p>
        </w:tc>
        <w:tc>
          <w:tcPr>
            <w:tcW w:w="0" w:type="auto"/>
            <w:hideMark/>
          </w:tcPr>
          <w:p w14:paraId="7EA3D44F" w14:textId="77777777" w:rsidR="00C40C47" w:rsidRPr="004637C7" w:rsidRDefault="00C40C47" w:rsidP="00C40C47">
            <w:pPr>
              <w:pStyle w:val="Corpsdetexte"/>
              <w:spacing w:before="129"/>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zh-CN"/>
              </w:rPr>
            </w:pPr>
            <w:r w:rsidRPr="004637C7">
              <w:rPr>
                <w:rFonts w:asciiTheme="minorHAnsi" w:hAnsiTheme="minorHAnsi" w:cstheme="minorHAnsi"/>
                <w:szCs w:val="20"/>
                <w:lang w:eastAsia="zh-CN"/>
              </w:rPr>
              <w:t>Délimiter précisément la zone d’intervention et éviter tout empiètement hors du périmètre autorisé.</w:t>
            </w:r>
          </w:p>
        </w:tc>
        <w:tc>
          <w:tcPr>
            <w:tcW w:w="0" w:type="auto"/>
            <w:hideMark/>
          </w:tcPr>
          <w:p w14:paraId="6E14E59D" w14:textId="77777777" w:rsidR="00C40C47" w:rsidRPr="004637C7" w:rsidRDefault="00C40C47" w:rsidP="00C40C47">
            <w:pPr>
              <w:pStyle w:val="Corpsdetexte"/>
              <w:spacing w:before="129"/>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zh-CN"/>
              </w:rPr>
            </w:pPr>
            <w:r w:rsidRPr="004637C7">
              <w:rPr>
                <w:rFonts w:asciiTheme="minorHAnsi" w:hAnsiTheme="minorHAnsi" w:cstheme="minorHAnsi"/>
                <w:szCs w:val="20"/>
                <w:lang w:eastAsia="zh-CN"/>
              </w:rPr>
              <w:t>Aucune activité observée hors zone balisée (0 incident).</w:t>
            </w:r>
          </w:p>
        </w:tc>
        <w:tc>
          <w:tcPr>
            <w:tcW w:w="0" w:type="auto"/>
            <w:hideMark/>
          </w:tcPr>
          <w:p w14:paraId="32B9AF3F" w14:textId="2D8AF9A9" w:rsidR="00C40C47" w:rsidRPr="004637C7" w:rsidRDefault="00C40C47" w:rsidP="00C40C47">
            <w:pPr>
              <w:pStyle w:val="Corpsdetexte"/>
              <w:spacing w:before="129"/>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zh-CN"/>
              </w:rPr>
            </w:pPr>
            <w:r w:rsidRPr="004637C7">
              <w:rPr>
                <w:rFonts w:asciiTheme="minorHAnsi" w:hAnsiTheme="minorHAnsi" w:cstheme="minorHAnsi"/>
                <w:szCs w:val="20"/>
              </w:rPr>
              <w:t>EPC et sous-traitants</w:t>
            </w:r>
          </w:p>
        </w:tc>
        <w:tc>
          <w:tcPr>
            <w:tcW w:w="0" w:type="auto"/>
            <w:hideMark/>
          </w:tcPr>
          <w:p w14:paraId="1884DD6E" w14:textId="40E31F87" w:rsidR="00C40C47" w:rsidRPr="004637C7" w:rsidRDefault="00C40C47" w:rsidP="00C40C47">
            <w:pPr>
              <w:pStyle w:val="Corpsdetexte"/>
              <w:spacing w:before="129"/>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zh-CN"/>
              </w:rPr>
            </w:pPr>
            <w:r w:rsidRPr="00BC1745">
              <w:rPr>
                <w:szCs w:val="20"/>
              </w:rPr>
              <w:t>Bureau de contrôle / Consultant de supervision mandaté par l’ONDA</w:t>
            </w:r>
          </w:p>
        </w:tc>
        <w:tc>
          <w:tcPr>
            <w:tcW w:w="0" w:type="auto"/>
            <w:hideMark/>
          </w:tcPr>
          <w:p w14:paraId="3C2F7AC3" w14:textId="4F7BEF1E" w:rsidR="00C40C47" w:rsidRPr="00C40C47" w:rsidRDefault="00C40C47" w:rsidP="00C40C47">
            <w:pPr>
              <w:pStyle w:val="Corpsdetexte"/>
              <w:spacing w:before="129"/>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val="fr-FR" w:eastAsia="zh-CN"/>
              </w:rPr>
            </w:pPr>
            <w:r>
              <w:rPr>
                <w:rFonts w:asciiTheme="minorHAnsi" w:hAnsiTheme="minorHAnsi" w:cstheme="minorHAnsi"/>
                <w:szCs w:val="20"/>
                <w:lang w:val="fr-FR" w:eastAsia="zh-CN"/>
              </w:rPr>
              <w:t>ONDA</w:t>
            </w:r>
          </w:p>
        </w:tc>
        <w:tc>
          <w:tcPr>
            <w:tcW w:w="0" w:type="auto"/>
            <w:hideMark/>
          </w:tcPr>
          <w:p w14:paraId="04854E5B" w14:textId="77777777" w:rsidR="00C40C47" w:rsidRPr="004637C7" w:rsidRDefault="00C40C47" w:rsidP="00C40C47">
            <w:pPr>
              <w:pStyle w:val="Corpsdetexte"/>
              <w:spacing w:before="129"/>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zh-CN"/>
              </w:rPr>
            </w:pPr>
            <w:r w:rsidRPr="004637C7">
              <w:rPr>
                <w:rFonts w:asciiTheme="minorHAnsi" w:hAnsiTheme="minorHAnsi" w:cstheme="minorHAnsi"/>
                <w:szCs w:val="20"/>
                <w:lang w:eastAsia="zh-CN"/>
              </w:rPr>
              <w:t>Avant et pendant les travaux de terrassement</w:t>
            </w:r>
          </w:p>
        </w:tc>
        <w:tc>
          <w:tcPr>
            <w:tcW w:w="0" w:type="auto"/>
            <w:hideMark/>
          </w:tcPr>
          <w:p w14:paraId="091B9F6D" w14:textId="29BAD7BB" w:rsidR="00C40C47" w:rsidRPr="004637C7" w:rsidRDefault="00C40C47" w:rsidP="00C40C47">
            <w:pPr>
              <w:pStyle w:val="Corpsdetexte"/>
              <w:spacing w:before="129"/>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val="fr-FR" w:eastAsia="zh-CN"/>
              </w:rPr>
            </w:pPr>
            <w:r w:rsidRPr="004637C7">
              <w:rPr>
                <w:rFonts w:asciiTheme="minorHAnsi" w:hAnsiTheme="minorHAnsi" w:cstheme="minorHAnsi"/>
                <w:szCs w:val="20"/>
                <w:lang w:val="fr-FR" w:eastAsia="zh-CN"/>
              </w:rPr>
              <w:t xml:space="preserve">Aucun coût </w:t>
            </w:r>
            <w:r w:rsidRPr="0032619C">
              <w:rPr>
                <w:rFonts w:asciiTheme="minorHAnsi" w:hAnsiTheme="minorHAnsi" w:cstheme="minorHAnsi"/>
                <w:szCs w:val="20"/>
                <w:lang w:val="fr-FR" w:eastAsia="zh-CN"/>
              </w:rPr>
              <w:t>spécifique</w:t>
            </w:r>
          </w:p>
        </w:tc>
      </w:tr>
      <w:tr w:rsidR="00C40C47" w:rsidRPr="0032619C" w14:paraId="5FF84863" w14:textId="77777777" w:rsidTr="00C40C47">
        <w:tc>
          <w:tcPr>
            <w:cnfStyle w:val="001000000000" w:firstRow="0" w:lastRow="0" w:firstColumn="1" w:lastColumn="0" w:oddVBand="0" w:evenVBand="0" w:oddHBand="0" w:evenHBand="0" w:firstRowFirstColumn="0" w:firstRowLastColumn="0" w:lastRowFirstColumn="0" w:lastRowLastColumn="0"/>
            <w:tcW w:w="1348" w:type="dxa"/>
            <w:vMerge/>
          </w:tcPr>
          <w:p w14:paraId="403A86E2" w14:textId="77777777" w:rsidR="00C40C47" w:rsidRPr="004637C7" w:rsidRDefault="00C40C47" w:rsidP="00C40C47">
            <w:pPr>
              <w:pStyle w:val="Corpsdetexte"/>
              <w:spacing w:before="129"/>
              <w:rPr>
                <w:rFonts w:asciiTheme="minorHAnsi" w:hAnsiTheme="minorHAnsi" w:cstheme="minorHAnsi"/>
                <w:b w:val="0"/>
                <w:bCs w:val="0"/>
                <w:szCs w:val="20"/>
                <w:lang w:eastAsia="zh-CN"/>
              </w:rPr>
            </w:pPr>
          </w:p>
        </w:tc>
        <w:tc>
          <w:tcPr>
            <w:tcW w:w="0" w:type="auto"/>
            <w:vAlign w:val="center"/>
            <w:hideMark/>
          </w:tcPr>
          <w:p w14:paraId="7004C692" w14:textId="69C4DC0B" w:rsidR="00C40C47" w:rsidRPr="004637C7" w:rsidRDefault="00C40C47" w:rsidP="00C40C47">
            <w:pPr>
              <w:pStyle w:val="Corpsdetexte"/>
              <w:spacing w:before="129"/>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zh-CN"/>
              </w:rPr>
            </w:pPr>
            <w:r w:rsidRPr="004637C7">
              <w:rPr>
                <w:rFonts w:asciiTheme="minorHAnsi" w:hAnsiTheme="minorHAnsi" w:cstheme="minorHAnsi"/>
                <w:szCs w:val="20"/>
                <w:lang w:eastAsia="zh-CN"/>
              </w:rPr>
              <w:t>Réduire</w:t>
            </w:r>
          </w:p>
        </w:tc>
        <w:tc>
          <w:tcPr>
            <w:tcW w:w="0" w:type="auto"/>
            <w:hideMark/>
          </w:tcPr>
          <w:p w14:paraId="0242CECC" w14:textId="77777777" w:rsidR="00C40C47" w:rsidRPr="004637C7" w:rsidRDefault="00C40C47" w:rsidP="00C40C47">
            <w:pPr>
              <w:pStyle w:val="Corpsdetexte"/>
              <w:spacing w:before="129"/>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zh-CN"/>
              </w:rPr>
            </w:pPr>
            <w:r w:rsidRPr="004637C7">
              <w:rPr>
                <w:rFonts w:asciiTheme="minorHAnsi" w:hAnsiTheme="minorHAnsi" w:cstheme="minorHAnsi"/>
                <w:szCs w:val="20"/>
                <w:lang w:eastAsia="zh-CN"/>
              </w:rPr>
              <w:t>Organiser le stockage des matériaux de manière ordonnée, limiter la hauteur des tas de déblais (&lt;2 m), et réduire la durée des phases de terrassement.</w:t>
            </w:r>
          </w:p>
        </w:tc>
        <w:tc>
          <w:tcPr>
            <w:tcW w:w="0" w:type="auto"/>
            <w:hideMark/>
          </w:tcPr>
          <w:p w14:paraId="5804100C" w14:textId="45777EAF" w:rsidR="00C40C47" w:rsidRPr="004637C7" w:rsidRDefault="00C40C47" w:rsidP="00C40C47">
            <w:pPr>
              <w:pStyle w:val="Corpsdetexte"/>
              <w:spacing w:before="129"/>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zh-CN"/>
              </w:rPr>
            </w:pPr>
            <w:r w:rsidRPr="004637C7">
              <w:rPr>
                <w:rFonts w:asciiTheme="minorHAnsi" w:hAnsiTheme="minorHAnsi" w:cstheme="minorHAnsi"/>
                <w:szCs w:val="20"/>
                <w:lang w:eastAsia="zh-CN"/>
              </w:rPr>
              <w:t>Zones de stockage conformes, absence de déblais excessifs.</w:t>
            </w:r>
          </w:p>
        </w:tc>
        <w:tc>
          <w:tcPr>
            <w:tcW w:w="0" w:type="auto"/>
            <w:hideMark/>
          </w:tcPr>
          <w:p w14:paraId="2EE86F15" w14:textId="1FC05205" w:rsidR="00C40C47" w:rsidRPr="004637C7" w:rsidRDefault="00C40C47" w:rsidP="00C40C47">
            <w:pPr>
              <w:pStyle w:val="Corpsdetexte"/>
              <w:spacing w:before="129"/>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zh-CN"/>
              </w:rPr>
            </w:pPr>
            <w:r w:rsidRPr="004637C7">
              <w:rPr>
                <w:rFonts w:asciiTheme="minorHAnsi" w:hAnsiTheme="minorHAnsi" w:cstheme="minorHAnsi"/>
                <w:szCs w:val="20"/>
              </w:rPr>
              <w:t>EPC et sous-traitants</w:t>
            </w:r>
          </w:p>
        </w:tc>
        <w:tc>
          <w:tcPr>
            <w:tcW w:w="0" w:type="auto"/>
            <w:hideMark/>
          </w:tcPr>
          <w:p w14:paraId="25FA577D" w14:textId="069CF7AA" w:rsidR="00C40C47" w:rsidRPr="004637C7" w:rsidRDefault="00C40C47" w:rsidP="00C40C47">
            <w:pPr>
              <w:pStyle w:val="Corpsdetexte"/>
              <w:spacing w:before="129"/>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zh-CN"/>
              </w:rPr>
            </w:pPr>
            <w:r w:rsidRPr="00BC1745">
              <w:rPr>
                <w:szCs w:val="20"/>
              </w:rPr>
              <w:t>Bureau de contrôle / Consultant de supervision mandaté par l’ONDA</w:t>
            </w:r>
          </w:p>
        </w:tc>
        <w:tc>
          <w:tcPr>
            <w:tcW w:w="0" w:type="auto"/>
            <w:hideMark/>
          </w:tcPr>
          <w:p w14:paraId="0FFB2E9B" w14:textId="233E65B1" w:rsidR="00C40C47" w:rsidRPr="004637C7" w:rsidRDefault="00C40C47" w:rsidP="00C40C47">
            <w:pPr>
              <w:pStyle w:val="Corpsdetexte"/>
              <w:spacing w:before="129"/>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zh-CN"/>
              </w:rPr>
            </w:pPr>
            <w:r>
              <w:rPr>
                <w:rFonts w:asciiTheme="minorHAnsi" w:hAnsiTheme="minorHAnsi" w:cstheme="minorHAnsi"/>
                <w:szCs w:val="20"/>
                <w:lang w:val="fr-FR" w:eastAsia="zh-CN"/>
              </w:rPr>
              <w:t>ONDA</w:t>
            </w:r>
          </w:p>
        </w:tc>
        <w:tc>
          <w:tcPr>
            <w:tcW w:w="0" w:type="auto"/>
            <w:hideMark/>
          </w:tcPr>
          <w:p w14:paraId="32379BC5" w14:textId="77777777" w:rsidR="00C40C47" w:rsidRPr="004637C7" w:rsidRDefault="00C40C47" w:rsidP="00C40C47">
            <w:pPr>
              <w:pStyle w:val="Corpsdetexte"/>
              <w:spacing w:before="129"/>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zh-CN"/>
              </w:rPr>
            </w:pPr>
            <w:r w:rsidRPr="004637C7">
              <w:rPr>
                <w:rFonts w:asciiTheme="minorHAnsi" w:hAnsiTheme="minorHAnsi" w:cstheme="minorHAnsi"/>
                <w:szCs w:val="20"/>
                <w:lang w:eastAsia="zh-CN"/>
              </w:rPr>
              <w:t>Durant les travaux de terrassement et gros œuvre</w:t>
            </w:r>
          </w:p>
        </w:tc>
        <w:tc>
          <w:tcPr>
            <w:tcW w:w="0" w:type="auto"/>
            <w:hideMark/>
          </w:tcPr>
          <w:p w14:paraId="1A5F9588" w14:textId="53FAAC5A" w:rsidR="00C40C47" w:rsidRPr="004637C7" w:rsidRDefault="00C40C47" w:rsidP="00C40C47">
            <w:pPr>
              <w:pStyle w:val="Corpsdetexte"/>
              <w:spacing w:before="129"/>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zh-CN"/>
              </w:rPr>
            </w:pPr>
            <w:r w:rsidRPr="004637C7">
              <w:rPr>
                <w:rFonts w:asciiTheme="minorHAnsi" w:hAnsiTheme="minorHAnsi" w:cstheme="minorHAnsi"/>
                <w:szCs w:val="20"/>
                <w:lang w:val="fr-FR" w:eastAsia="zh-CN"/>
              </w:rPr>
              <w:t xml:space="preserve">Aucun coût </w:t>
            </w:r>
            <w:r w:rsidRPr="0032619C">
              <w:rPr>
                <w:rFonts w:asciiTheme="minorHAnsi" w:hAnsiTheme="minorHAnsi" w:cstheme="minorHAnsi"/>
                <w:szCs w:val="20"/>
                <w:lang w:val="fr-FR" w:eastAsia="zh-CN"/>
              </w:rPr>
              <w:t>spécifique</w:t>
            </w:r>
          </w:p>
        </w:tc>
      </w:tr>
      <w:tr w:rsidR="00C40C47" w:rsidRPr="0032619C" w14:paraId="57FD605C" w14:textId="77777777" w:rsidTr="00C40C47">
        <w:tc>
          <w:tcPr>
            <w:cnfStyle w:val="001000000000" w:firstRow="0" w:lastRow="0" w:firstColumn="1" w:lastColumn="0" w:oddVBand="0" w:evenVBand="0" w:oddHBand="0" w:evenHBand="0" w:firstRowFirstColumn="0" w:firstRowLastColumn="0" w:lastRowFirstColumn="0" w:lastRowLastColumn="0"/>
            <w:tcW w:w="1348" w:type="dxa"/>
            <w:vMerge/>
          </w:tcPr>
          <w:p w14:paraId="0945886E" w14:textId="77777777" w:rsidR="00C40C47" w:rsidRPr="004637C7" w:rsidRDefault="00C40C47" w:rsidP="00C40C47">
            <w:pPr>
              <w:pStyle w:val="Corpsdetexte"/>
              <w:spacing w:before="129"/>
              <w:rPr>
                <w:rFonts w:asciiTheme="minorHAnsi" w:hAnsiTheme="minorHAnsi" w:cstheme="minorHAnsi"/>
                <w:b w:val="0"/>
                <w:bCs w:val="0"/>
                <w:szCs w:val="20"/>
                <w:lang w:eastAsia="zh-CN"/>
              </w:rPr>
            </w:pPr>
          </w:p>
        </w:tc>
        <w:tc>
          <w:tcPr>
            <w:tcW w:w="0" w:type="auto"/>
            <w:vAlign w:val="center"/>
            <w:hideMark/>
          </w:tcPr>
          <w:p w14:paraId="52FDF0D4" w14:textId="205573BB" w:rsidR="00C40C47" w:rsidRPr="004637C7" w:rsidRDefault="00C40C47" w:rsidP="00C40C47">
            <w:pPr>
              <w:pStyle w:val="Corpsdetexte"/>
              <w:spacing w:before="129"/>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zh-CN"/>
              </w:rPr>
            </w:pPr>
            <w:r w:rsidRPr="004637C7">
              <w:rPr>
                <w:rFonts w:asciiTheme="minorHAnsi" w:hAnsiTheme="minorHAnsi" w:cstheme="minorHAnsi"/>
                <w:szCs w:val="20"/>
                <w:lang w:eastAsia="zh-CN"/>
              </w:rPr>
              <w:t>Atténuer</w:t>
            </w:r>
          </w:p>
        </w:tc>
        <w:tc>
          <w:tcPr>
            <w:tcW w:w="0" w:type="auto"/>
            <w:hideMark/>
          </w:tcPr>
          <w:p w14:paraId="730CE04F" w14:textId="11B5EBAA" w:rsidR="00C40C47" w:rsidRPr="004637C7" w:rsidRDefault="00C40C47" w:rsidP="00C40C47">
            <w:pPr>
              <w:pStyle w:val="Corpsdetexte"/>
              <w:spacing w:before="129"/>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zh-CN"/>
              </w:rPr>
            </w:pPr>
            <w:r w:rsidRPr="004637C7">
              <w:rPr>
                <w:rFonts w:asciiTheme="minorHAnsi" w:hAnsiTheme="minorHAnsi" w:cstheme="minorHAnsi"/>
                <w:szCs w:val="20"/>
                <w:lang w:eastAsia="zh-CN"/>
              </w:rPr>
              <w:t xml:space="preserve">Installer des clôtures opaques de teinte neutre autour </w:t>
            </w:r>
            <w:r w:rsidRPr="004637C7">
              <w:rPr>
                <w:rFonts w:asciiTheme="minorHAnsi" w:hAnsiTheme="minorHAnsi" w:cstheme="minorHAnsi"/>
                <w:szCs w:val="20"/>
                <w:lang w:val="fr-FR" w:eastAsia="zh-CN"/>
              </w:rPr>
              <w:t>du chantier</w:t>
            </w:r>
            <w:r w:rsidRPr="004637C7">
              <w:rPr>
                <w:rFonts w:asciiTheme="minorHAnsi" w:hAnsiTheme="minorHAnsi" w:cstheme="minorHAnsi"/>
                <w:szCs w:val="20"/>
                <w:lang w:eastAsia="zh-CN"/>
              </w:rPr>
              <w:t>, entretenir régulièrement le chantier et évacuer les déchets visuels.</w:t>
            </w:r>
          </w:p>
        </w:tc>
        <w:tc>
          <w:tcPr>
            <w:tcW w:w="0" w:type="auto"/>
            <w:hideMark/>
          </w:tcPr>
          <w:p w14:paraId="50063B19" w14:textId="77777777" w:rsidR="00C40C47" w:rsidRPr="004637C7" w:rsidRDefault="00C40C47" w:rsidP="00C40C47">
            <w:pPr>
              <w:pStyle w:val="Corpsdetexte"/>
              <w:spacing w:before="129"/>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zh-CN"/>
              </w:rPr>
            </w:pPr>
            <w:r w:rsidRPr="004637C7">
              <w:rPr>
                <w:rFonts w:asciiTheme="minorHAnsi" w:hAnsiTheme="minorHAnsi" w:cstheme="minorHAnsi"/>
                <w:szCs w:val="20"/>
                <w:lang w:eastAsia="zh-CN"/>
              </w:rPr>
              <w:t>80 % des zones exposées protégées par écran visuel, propreté du chantier satisfaisante (audits hebdomadaires).</w:t>
            </w:r>
          </w:p>
        </w:tc>
        <w:tc>
          <w:tcPr>
            <w:tcW w:w="0" w:type="auto"/>
            <w:hideMark/>
          </w:tcPr>
          <w:p w14:paraId="1A16066D" w14:textId="7DEDA678" w:rsidR="00C40C47" w:rsidRPr="004637C7" w:rsidRDefault="00C40C47" w:rsidP="00C40C47">
            <w:pPr>
              <w:pStyle w:val="Corpsdetexte"/>
              <w:spacing w:before="129"/>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zh-CN"/>
              </w:rPr>
            </w:pPr>
            <w:r w:rsidRPr="004637C7">
              <w:rPr>
                <w:rFonts w:asciiTheme="minorHAnsi" w:hAnsiTheme="minorHAnsi" w:cstheme="minorHAnsi"/>
                <w:szCs w:val="20"/>
              </w:rPr>
              <w:t>EPC et sous-traitants</w:t>
            </w:r>
          </w:p>
        </w:tc>
        <w:tc>
          <w:tcPr>
            <w:tcW w:w="0" w:type="auto"/>
            <w:hideMark/>
          </w:tcPr>
          <w:p w14:paraId="5A013CFE" w14:textId="38A94D54" w:rsidR="00C40C47" w:rsidRPr="004637C7" w:rsidRDefault="00C40C47" w:rsidP="00C40C47">
            <w:pPr>
              <w:pStyle w:val="Corpsdetexte"/>
              <w:spacing w:before="129"/>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zh-CN"/>
              </w:rPr>
            </w:pPr>
            <w:r w:rsidRPr="00BC1745">
              <w:rPr>
                <w:szCs w:val="20"/>
              </w:rPr>
              <w:t>Bureau de contrôle / Consultant de supervision mandaté par l’ONDA</w:t>
            </w:r>
          </w:p>
        </w:tc>
        <w:tc>
          <w:tcPr>
            <w:tcW w:w="0" w:type="auto"/>
            <w:hideMark/>
          </w:tcPr>
          <w:p w14:paraId="7C8DBB5B" w14:textId="66AA5535" w:rsidR="00C40C47" w:rsidRPr="004637C7" w:rsidRDefault="00C40C47" w:rsidP="00C40C47">
            <w:pPr>
              <w:pStyle w:val="Corpsdetexte"/>
              <w:spacing w:before="129"/>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zh-CN"/>
              </w:rPr>
            </w:pPr>
            <w:r>
              <w:rPr>
                <w:rFonts w:asciiTheme="minorHAnsi" w:hAnsiTheme="minorHAnsi" w:cstheme="minorHAnsi"/>
                <w:szCs w:val="20"/>
                <w:lang w:val="fr-FR" w:eastAsia="zh-CN"/>
              </w:rPr>
              <w:t>ONDA</w:t>
            </w:r>
          </w:p>
        </w:tc>
        <w:tc>
          <w:tcPr>
            <w:tcW w:w="0" w:type="auto"/>
            <w:hideMark/>
          </w:tcPr>
          <w:p w14:paraId="64597F27" w14:textId="77777777" w:rsidR="00C40C47" w:rsidRPr="004637C7" w:rsidRDefault="00C40C47" w:rsidP="00C40C47">
            <w:pPr>
              <w:pStyle w:val="Corpsdetexte"/>
              <w:spacing w:before="129"/>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zh-CN"/>
              </w:rPr>
            </w:pPr>
            <w:r w:rsidRPr="004637C7">
              <w:rPr>
                <w:rFonts w:asciiTheme="minorHAnsi" w:hAnsiTheme="minorHAnsi" w:cstheme="minorHAnsi"/>
                <w:szCs w:val="20"/>
                <w:lang w:eastAsia="zh-CN"/>
              </w:rPr>
              <w:t>Toute la durée du chantier</w:t>
            </w:r>
          </w:p>
        </w:tc>
        <w:tc>
          <w:tcPr>
            <w:tcW w:w="0" w:type="auto"/>
            <w:hideMark/>
          </w:tcPr>
          <w:p w14:paraId="586FE6FD" w14:textId="404AFD1F" w:rsidR="00C40C47" w:rsidRPr="004637C7" w:rsidRDefault="00C40C47" w:rsidP="00C40C47">
            <w:pPr>
              <w:pStyle w:val="Corpsdetexte"/>
              <w:spacing w:before="129"/>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val="fr-FR" w:eastAsia="zh-CN"/>
              </w:rPr>
            </w:pPr>
            <w:r w:rsidRPr="00286629">
              <w:rPr>
                <w:rFonts w:asciiTheme="minorHAnsi" w:hAnsiTheme="minorHAnsi" w:cstheme="minorHAnsi"/>
                <w:szCs w:val="20"/>
                <w:lang w:val="fr-FR" w:eastAsia="zh-CN"/>
              </w:rPr>
              <w:t xml:space="preserve">250 – 350 </w:t>
            </w:r>
            <w:r>
              <w:rPr>
                <w:rFonts w:asciiTheme="minorHAnsi" w:hAnsiTheme="minorHAnsi" w:cstheme="minorHAnsi"/>
                <w:szCs w:val="20"/>
                <w:lang w:val="fr-FR" w:eastAsia="zh-CN"/>
              </w:rPr>
              <w:t>MAD</w:t>
            </w:r>
            <w:r w:rsidRPr="00286629">
              <w:rPr>
                <w:rFonts w:asciiTheme="minorHAnsi" w:hAnsiTheme="minorHAnsi" w:cstheme="minorHAnsi"/>
                <w:szCs w:val="20"/>
                <w:lang w:val="fr-FR" w:eastAsia="zh-CN"/>
              </w:rPr>
              <w:t>/m linéaire</w:t>
            </w:r>
            <w:r>
              <w:rPr>
                <w:rFonts w:asciiTheme="minorHAnsi" w:hAnsiTheme="minorHAnsi" w:cstheme="minorHAnsi"/>
                <w:szCs w:val="20"/>
                <w:lang w:val="fr-FR" w:eastAsia="zh-CN"/>
              </w:rPr>
              <w:t xml:space="preserve"> (</w:t>
            </w:r>
            <w:r w:rsidRPr="00286629">
              <w:rPr>
                <w:rFonts w:asciiTheme="minorHAnsi" w:hAnsiTheme="minorHAnsi" w:cstheme="minorHAnsi"/>
                <w:szCs w:val="20"/>
                <w:lang w:val="fr-FR" w:eastAsia="zh-CN"/>
              </w:rPr>
              <w:t>Clôture métallique ou en PVC rigide teintée gris/sable</w:t>
            </w:r>
            <w:r>
              <w:rPr>
                <w:rFonts w:asciiTheme="minorHAnsi" w:hAnsiTheme="minorHAnsi" w:cstheme="minorHAnsi"/>
                <w:szCs w:val="20"/>
                <w:lang w:val="fr-FR" w:eastAsia="zh-CN"/>
              </w:rPr>
              <w:t>)</w:t>
            </w:r>
          </w:p>
        </w:tc>
      </w:tr>
      <w:tr w:rsidR="00C40C47" w:rsidRPr="0032619C" w14:paraId="71060021" w14:textId="77777777" w:rsidTr="00C40C47">
        <w:tc>
          <w:tcPr>
            <w:cnfStyle w:val="001000000000" w:firstRow="0" w:lastRow="0" w:firstColumn="1" w:lastColumn="0" w:oddVBand="0" w:evenVBand="0" w:oddHBand="0" w:evenHBand="0" w:firstRowFirstColumn="0" w:firstRowLastColumn="0" w:lastRowFirstColumn="0" w:lastRowLastColumn="0"/>
            <w:tcW w:w="1348" w:type="dxa"/>
            <w:vMerge/>
          </w:tcPr>
          <w:p w14:paraId="5FF9269D" w14:textId="77777777" w:rsidR="00C40C47" w:rsidRPr="004637C7" w:rsidRDefault="00C40C47" w:rsidP="00C40C47">
            <w:pPr>
              <w:pStyle w:val="Corpsdetexte"/>
              <w:spacing w:before="129"/>
              <w:rPr>
                <w:rFonts w:asciiTheme="minorHAnsi" w:hAnsiTheme="minorHAnsi" w:cstheme="minorHAnsi"/>
                <w:b w:val="0"/>
                <w:bCs w:val="0"/>
                <w:szCs w:val="20"/>
                <w:lang w:eastAsia="zh-CN"/>
              </w:rPr>
            </w:pPr>
          </w:p>
        </w:tc>
        <w:tc>
          <w:tcPr>
            <w:tcW w:w="0" w:type="auto"/>
            <w:vAlign w:val="center"/>
            <w:hideMark/>
          </w:tcPr>
          <w:p w14:paraId="2E668B34" w14:textId="4B8F9FFA" w:rsidR="00C40C47" w:rsidRPr="004637C7" w:rsidRDefault="00C40C47" w:rsidP="00C40C47">
            <w:pPr>
              <w:pStyle w:val="Corpsdetexte"/>
              <w:spacing w:before="129"/>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zh-CN"/>
              </w:rPr>
            </w:pPr>
            <w:r w:rsidRPr="004637C7">
              <w:rPr>
                <w:rFonts w:asciiTheme="minorHAnsi" w:hAnsiTheme="minorHAnsi" w:cstheme="minorHAnsi"/>
                <w:szCs w:val="20"/>
                <w:lang w:eastAsia="zh-CN"/>
              </w:rPr>
              <w:t>Compenser</w:t>
            </w:r>
          </w:p>
        </w:tc>
        <w:tc>
          <w:tcPr>
            <w:tcW w:w="0" w:type="auto"/>
            <w:hideMark/>
          </w:tcPr>
          <w:p w14:paraId="2EF7254E" w14:textId="77777777" w:rsidR="00C40C47" w:rsidRPr="004637C7" w:rsidRDefault="00C40C47" w:rsidP="00C40C47">
            <w:pPr>
              <w:pStyle w:val="Corpsdetexte"/>
              <w:spacing w:before="129"/>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zh-CN"/>
              </w:rPr>
            </w:pPr>
            <w:r w:rsidRPr="004637C7">
              <w:rPr>
                <w:rFonts w:asciiTheme="minorHAnsi" w:hAnsiTheme="minorHAnsi" w:cstheme="minorHAnsi"/>
                <w:szCs w:val="20"/>
                <w:lang w:eastAsia="zh-CN"/>
              </w:rPr>
              <w:t>Réhabiliter visuellement le terrain à la fin des travaux (nivellement, revégétalisation avec espèces locales).</w:t>
            </w:r>
          </w:p>
        </w:tc>
        <w:tc>
          <w:tcPr>
            <w:tcW w:w="0" w:type="auto"/>
            <w:hideMark/>
          </w:tcPr>
          <w:p w14:paraId="5A5EEBE3" w14:textId="77777777" w:rsidR="00C40C47" w:rsidRPr="004637C7" w:rsidRDefault="00C40C47" w:rsidP="00C40C47">
            <w:pPr>
              <w:pStyle w:val="Corpsdetexte"/>
              <w:spacing w:before="129"/>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zh-CN"/>
              </w:rPr>
            </w:pPr>
            <w:r w:rsidRPr="004637C7">
              <w:rPr>
                <w:rFonts w:asciiTheme="minorHAnsi" w:hAnsiTheme="minorHAnsi" w:cstheme="minorHAnsi"/>
                <w:szCs w:val="20"/>
                <w:lang w:eastAsia="zh-CN"/>
              </w:rPr>
              <w:t>Taux de remise en état &gt; 95 % en fin de chantier.</w:t>
            </w:r>
          </w:p>
        </w:tc>
        <w:tc>
          <w:tcPr>
            <w:tcW w:w="0" w:type="auto"/>
            <w:hideMark/>
          </w:tcPr>
          <w:p w14:paraId="068C5968" w14:textId="7B8B13A8" w:rsidR="00C40C47" w:rsidRPr="004637C7" w:rsidRDefault="00C40C47" w:rsidP="00C40C47">
            <w:pPr>
              <w:pStyle w:val="Corpsdetexte"/>
              <w:spacing w:before="129"/>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zh-CN"/>
              </w:rPr>
            </w:pPr>
            <w:r w:rsidRPr="004637C7">
              <w:rPr>
                <w:rFonts w:asciiTheme="minorHAnsi" w:hAnsiTheme="minorHAnsi" w:cstheme="minorHAnsi"/>
                <w:szCs w:val="20"/>
              </w:rPr>
              <w:t>EPC et sous-traitants</w:t>
            </w:r>
          </w:p>
        </w:tc>
        <w:tc>
          <w:tcPr>
            <w:tcW w:w="0" w:type="auto"/>
            <w:hideMark/>
          </w:tcPr>
          <w:p w14:paraId="514E9A83" w14:textId="79969919" w:rsidR="00C40C47" w:rsidRPr="004637C7" w:rsidRDefault="00C40C47" w:rsidP="00C40C47">
            <w:pPr>
              <w:pStyle w:val="Corpsdetexte"/>
              <w:spacing w:before="129"/>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zh-CN"/>
              </w:rPr>
            </w:pPr>
            <w:r w:rsidRPr="00BC1745">
              <w:rPr>
                <w:szCs w:val="20"/>
              </w:rPr>
              <w:t>Bureau de contrôle / Consultant de supervision mandaté par l’ONDA</w:t>
            </w:r>
          </w:p>
        </w:tc>
        <w:tc>
          <w:tcPr>
            <w:tcW w:w="0" w:type="auto"/>
            <w:hideMark/>
          </w:tcPr>
          <w:p w14:paraId="4F8A621D" w14:textId="08EE8C22" w:rsidR="00C40C47" w:rsidRPr="004637C7" w:rsidRDefault="00C40C47" w:rsidP="00C40C47">
            <w:pPr>
              <w:pStyle w:val="Corpsdetexte"/>
              <w:spacing w:before="129"/>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zh-CN"/>
              </w:rPr>
            </w:pPr>
            <w:r>
              <w:rPr>
                <w:rFonts w:asciiTheme="minorHAnsi" w:hAnsiTheme="minorHAnsi" w:cstheme="minorHAnsi"/>
                <w:szCs w:val="20"/>
                <w:lang w:val="fr-FR" w:eastAsia="zh-CN"/>
              </w:rPr>
              <w:t>ONDA</w:t>
            </w:r>
          </w:p>
        </w:tc>
        <w:tc>
          <w:tcPr>
            <w:tcW w:w="0" w:type="auto"/>
            <w:hideMark/>
          </w:tcPr>
          <w:p w14:paraId="0AE2DA2A" w14:textId="77777777" w:rsidR="00C40C47" w:rsidRPr="004637C7" w:rsidRDefault="00C40C47" w:rsidP="00C40C47">
            <w:pPr>
              <w:pStyle w:val="Corpsdetexte"/>
              <w:spacing w:before="129"/>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zh-CN"/>
              </w:rPr>
            </w:pPr>
            <w:r w:rsidRPr="004637C7">
              <w:rPr>
                <w:rFonts w:asciiTheme="minorHAnsi" w:hAnsiTheme="minorHAnsi" w:cstheme="minorHAnsi"/>
                <w:szCs w:val="20"/>
                <w:lang w:eastAsia="zh-CN"/>
              </w:rPr>
              <w:t>Fin du chantier</w:t>
            </w:r>
          </w:p>
        </w:tc>
        <w:tc>
          <w:tcPr>
            <w:tcW w:w="0" w:type="auto"/>
            <w:hideMark/>
          </w:tcPr>
          <w:p w14:paraId="3BD838C0" w14:textId="17DD5B37" w:rsidR="00C40C47" w:rsidRPr="004637C7" w:rsidRDefault="00C40C47" w:rsidP="00C40C47">
            <w:pPr>
              <w:pStyle w:val="Corpsdetexte"/>
              <w:spacing w:before="129"/>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zh-CN"/>
              </w:rPr>
            </w:pPr>
            <w:r w:rsidRPr="00286629">
              <w:rPr>
                <w:rFonts w:asciiTheme="minorHAnsi" w:hAnsiTheme="minorHAnsi" w:cstheme="minorHAnsi"/>
                <w:szCs w:val="20"/>
                <w:lang w:val="fr-FR" w:eastAsia="zh-CN"/>
              </w:rPr>
              <w:t>20 – 30 /m²</w:t>
            </w:r>
            <w:r>
              <w:rPr>
                <w:rFonts w:asciiTheme="minorHAnsi" w:hAnsiTheme="minorHAnsi" w:cstheme="minorHAnsi"/>
                <w:szCs w:val="20"/>
                <w:lang w:val="fr-FR" w:eastAsia="zh-CN"/>
              </w:rPr>
              <w:t xml:space="preserve"> (</w:t>
            </w:r>
            <w:r w:rsidRPr="00286629">
              <w:rPr>
                <w:rFonts w:asciiTheme="minorHAnsi" w:hAnsiTheme="minorHAnsi" w:cstheme="minorHAnsi"/>
                <w:szCs w:val="20"/>
                <w:lang w:val="fr-FR" w:eastAsia="zh-CN"/>
              </w:rPr>
              <w:t>Nivellement du sol, restitution de la morphologie initiale et plantation d’espèces locales</w:t>
            </w:r>
            <w:r>
              <w:rPr>
                <w:rFonts w:asciiTheme="minorHAnsi" w:hAnsiTheme="minorHAnsi" w:cstheme="minorHAnsi"/>
                <w:szCs w:val="20"/>
                <w:lang w:val="fr-FR" w:eastAsia="zh-CN"/>
              </w:rPr>
              <w:t>)</w:t>
            </w:r>
          </w:p>
        </w:tc>
      </w:tr>
      <w:tr w:rsidR="00C40C47" w:rsidRPr="0032619C" w14:paraId="597C7C8D" w14:textId="77777777" w:rsidTr="00C40C47">
        <w:tc>
          <w:tcPr>
            <w:cnfStyle w:val="001000000000" w:firstRow="0" w:lastRow="0" w:firstColumn="1" w:lastColumn="0" w:oddVBand="0" w:evenVBand="0" w:oddHBand="0" w:evenHBand="0" w:firstRowFirstColumn="0" w:firstRowLastColumn="0" w:lastRowFirstColumn="0" w:lastRowLastColumn="0"/>
            <w:tcW w:w="1348" w:type="dxa"/>
            <w:vMerge w:val="restart"/>
            <w:vAlign w:val="center"/>
          </w:tcPr>
          <w:p w14:paraId="1DC2A1A2" w14:textId="6FD0D818" w:rsidR="00C40C47" w:rsidRPr="004637C7" w:rsidRDefault="00C40C47" w:rsidP="00C40C47">
            <w:pPr>
              <w:pStyle w:val="Corpsdetexte"/>
              <w:spacing w:before="129"/>
              <w:rPr>
                <w:rFonts w:asciiTheme="minorHAnsi" w:hAnsiTheme="minorHAnsi" w:cstheme="minorHAnsi"/>
                <w:b w:val="0"/>
                <w:bCs w:val="0"/>
                <w:szCs w:val="20"/>
                <w:lang w:eastAsia="zh-CN"/>
              </w:rPr>
            </w:pPr>
            <w:r w:rsidRPr="0032619C">
              <w:rPr>
                <w:rFonts w:asciiTheme="minorHAnsi" w:hAnsiTheme="minorHAnsi" w:cstheme="minorHAnsi"/>
                <w:szCs w:val="20"/>
              </w:rPr>
              <w:lastRenderedPageBreak/>
              <w:t>Altération temporaire du cadre nocturne</w:t>
            </w:r>
          </w:p>
        </w:tc>
        <w:tc>
          <w:tcPr>
            <w:tcW w:w="0" w:type="auto"/>
            <w:vAlign w:val="center"/>
          </w:tcPr>
          <w:p w14:paraId="4EBF955F" w14:textId="3BD4C52A" w:rsidR="00C40C47" w:rsidRPr="004637C7" w:rsidRDefault="00C40C47" w:rsidP="00C40C47">
            <w:pPr>
              <w:pStyle w:val="Corpsdetexte"/>
              <w:spacing w:before="129"/>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zh-CN"/>
              </w:rPr>
            </w:pPr>
            <w:r w:rsidRPr="004637C7">
              <w:rPr>
                <w:rFonts w:asciiTheme="minorHAnsi" w:hAnsiTheme="minorHAnsi" w:cstheme="minorHAnsi"/>
                <w:szCs w:val="20"/>
                <w:lang w:bidi="en-US"/>
              </w:rPr>
              <w:t>Éviter</w:t>
            </w:r>
          </w:p>
        </w:tc>
        <w:tc>
          <w:tcPr>
            <w:tcW w:w="0" w:type="auto"/>
          </w:tcPr>
          <w:p w14:paraId="26D24F54" w14:textId="6C9CA409" w:rsidR="00C40C47" w:rsidRPr="004637C7" w:rsidRDefault="00C40C47" w:rsidP="00C40C47">
            <w:pPr>
              <w:pStyle w:val="Corpsdetexte"/>
              <w:spacing w:before="129"/>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zh-CN"/>
              </w:rPr>
            </w:pPr>
            <w:r w:rsidRPr="004637C7">
              <w:rPr>
                <w:rFonts w:asciiTheme="minorHAnsi" w:hAnsiTheme="minorHAnsi" w:cstheme="minorHAnsi"/>
                <w:szCs w:val="20"/>
                <w:lang w:bidi="en-US"/>
              </w:rPr>
              <w:t>Planifier les opérations nécessitant un fort éclairage (levage, manutention) en journée.</w:t>
            </w:r>
          </w:p>
        </w:tc>
        <w:tc>
          <w:tcPr>
            <w:tcW w:w="0" w:type="auto"/>
          </w:tcPr>
          <w:p w14:paraId="6D3A1FFB" w14:textId="504DEDEC" w:rsidR="00C40C47" w:rsidRPr="004637C7" w:rsidRDefault="00C40C47" w:rsidP="00C40C47">
            <w:pPr>
              <w:pStyle w:val="Corpsdetexte"/>
              <w:spacing w:before="129"/>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zh-CN"/>
              </w:rPr>
            </w:pPr>
            <w:r w:rsidRPr="004637C7">
              <w:rPr>
                <w:rFonts w:asciiTheme="minorHAnsi" w:hAnsiTheme="minorHAnsi" w:cstheme="minorHAnsi"/>
                <w:szCs w:val="20"/>
                <w:lang w:bidi="en-US"/>
              </w:rPr>
              <w:t>100 % des opérations lumineuses planifiées de jour.</w:t>
            </w:r>
          </w:p>
        </w:tc>
        <w:tc>
          <w:tcPr>
            <w:tcW w:w="0" w:type="auto"/>
          </w:tcPr>
          <w:p w14:paraId="69E9D18C" w14:textId="3B2755EB" w:rsidR="00C40C47" w:rsidRPr="004637C7" w:rsidRDefault="00C40C47" w:rsidP="00C40C47">
            <w:pPr>
              <w:pStyle w:val="Corpsdetexte"/>
              <w:spacing w:before="129"/>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zh-CN"/>
              </w:rPr>
            </w:pPr>
            <w:r w:rsidRPr="004637C7">
              <w:rPr>
                <w:rFonts w:asciiTheme="minorHAnsi" w:hAnsiTheme="minorHAnsi" w:cstheme="minorHAnsi"/>
                <w:szCs w:val="20"/>
              </w:rPr>
              <w:t>EPC et sous-traitants</w:t>
            </w:r>
          </w:p>
        </w:tc>
        <w:tc>
          <w:tcPr>
            <w:tcW w:w="0" w:type="auto"/>
          </w:tcPr>
          <w:p w14:paraId="4A18E151" w14:textId="03078690" w:rsidR="00C40C47" w:rsidRPr="004637C7" w:rsidRDefault="00C40C47" w:rsidP="00C40C47">
            <w:pPr>
              <w:pStyle w:val="Corpsdetexte"/>
              <w:spacing w:before="129"/>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val="fr-FR" w:eastAsia="zh-CN"/>
              </w:rPr>
            </w:pPr>
            <w:r w:rsidRPr="00BC1745">
              <w:rPr>
                <w:szCs w:val="20"/>
              </w:rPr>
              <w:t>Bureau de contrôle / Consultant de supervision mandaté par l’ONDA</w:t>
            </w:r>
          </w:p>
        </w:tc>
        <w:tc>
          <w:tcPr>
            <w:tcW w:w="0" w:type="auto"/>
          </w:tcPr>
          <w:p w14:paraId="3788CB20" w14:textId="2A675670" w:rsidR="00C40C47" w:rsidRPr="004637C7" w:rsidRDefault="00C40C47" w:rsidP="00C40C47">
            <w:pPr>
              <w:pStyle w:val="Corpsdetexte"/>
              <w:spacing w:before="129"/>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zh-CN"/>
              </w:rPr>
            </w:pPr>
            <w:r>
              <w:rPr>
                <w:rFonts w:asciiTheme="minorHAnsi" w:hAnsiTheme="minorHAnsi" w:cstheme="minorHAnsi"/>
                <w:szCs w:val="20"/>
                <w:lang w:val="fr-FR" w:eastAsia="zh-CN"/>
              </w:rPr>
              <w:t>ONDA</w:t>
            </w:r>
          </w:p>
        </w:tc>
        <w:tc>
          <w:tcPr>
            <w:tcW w:w="0" w:type="auto"/>
          </w:tcPr>
          <w:p w14:paraId="15E55748" w14:textId="793039E6" w:rsidR="00C40C47" w:rsidRPr="004637C7" w:rsidRDefault="00C40C47" w:rsidP="00C40C47">
            <w:pPr>
              <w:pStyle w:val="Corpsdetexte"/>
              <w:spacing w:before="129"/>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zh-CN"/>
              </w:rPr>
            </w:pPr>
            <w:r w:rsidRPr="004637C7">
              <w:rPr>
                <w:rFonts w:asciiTheme="minorHAnsi" w:hAnsiTheme="minorHAnsi" w:cstheme="minorHAnsi"/>
                <w:szCs w:val="20"/>
                <w:lang w:bidi="en-US"/>
              </w:rPr>
              <w:t>Phase de planification et d’exécution</w:t>
            </w:r>
          </w:p>
        </w:tc>
        <w:tc>
          <w:tcPr>
            <w:tcW w:w="0" w:type="auto"/>
          </w:tcPr>
          <w:p w14:paraId="1A5211AB" w14:textId="02C815ED" w:rsidR="00C40C47" w:rsidRPr="004637C7" w:rsidRDefault="00C40C47" w:rsidP="00C40C47">
            <w:pPr>
              <w:pStyle w:val="Corpsdetexte"/>
              <w:spacing w:before="129"/>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val="fr-FR" w:eastAsia="zh-CN"/>
              </w:rPr>
            </w:pPr>
            <w:r w:rsidRPr="0032619C">
              <w:rPr>
                <w:rFonts w:asciiTheme="minorHAnsi" w:hAnsiTheme="minorHAnsi" w:cstheme="minorHAnsi"/>
                <w:szCs w:val="20"/>
                <w:lang w:bidi="en-US"/>
              </w:rPr>
              <w:t>Aucun coût spécifique</w:t>
            </w:r>
          </w:p>
        </w:tc>
      </w:tr>
      <w:tr w:rsidR="00C40C47" w:rsidRPr="0032619C" w14:paraId="0F5FFCF4" w14:textId="77777777" w:rsidTr="00C40C47">
        <w:tc>
          <w:tcPr>
            <w:cnfStyle w:val="001000000000" w:firstRow="0" w:lastRow="0" w:firstColumn="1" w:lastColumn="0" w:oddVBand="0" w:evenVBand="0" w:oddHBand="0" w:evenHBand="0" w:firstRowFirstColumn="0" w:firstRowLastColumn="0" w:lastRowFirstColumn="0" w:lastRowLastColumn="0"/>
            <w:tcW w:w="1348" w:type="dxa"/>
            <w:vMerge/>
          </w:tcPr>
          <w:p w14:paraId="15D34983" w14:textId="77777777" w:rsidR="00C40C47" w:rsidRPr="004637C7" w:rsidRDefault="00C40C47" w:rsidP="00C40C47">
            <w:pPr>
              <w:pStyle w:val="Corpsdetexte"/>
              <w:spacing w:before="129"/>
              <w:rPr>
                <w:rFonts w:asciiTheme="minorHAnsi" w:hAnsiTheme="minorHAnsi" w:cstheme="minorHAnsi"/>
                <w:b w:val="0"/>
                <w:bCs w:val="0"/>
                <w:szCs w:val="20"/>
                <w:lang w:eastAsia="zh-CN"/>
              </w:rPr>
            </w:pPr>
          </w:p>
        </w:tc>
        <w:tc>
          <w:tcPr>
            <w:tcW w:w="0" w:type="auto"/>
            <w:vAlign w:val="center"/>
          </w:tcPr>
          <w:p w14:paraId="65B7DDBC" w14:textId="4B214CF8" w:rsidR="00C40C47" w:rsidRPr="004637C7" w:rsidRDefault="00C40C47" w:rsidP="00C40C47">
            <w:pPr>
              <w:pStyle w:val="Corpsdetexte"/>
              <w:spacing w:before="129"/>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zh-CN"/>
              </w:rPr>
            </w:pPr>
            <w:r w:rsidRPr="004637C7">
              <w:rPr>
                <w:rFonts w:asciiTheme="minorHAnsi" w:hAnsiTheme="minorHAnsi" w:cstheme="minorHAnsi"/>
                <w:szCs w:val="20"/>
                <w:lang w:bidi="en-US"/>
              </w:rPr>
              <w:t>Réduire</w:t>
            </w:r>
          </w:p>
        </w:tc>
        <w:tc>
          <w:tcPr>
            <w:tcW w:w="0" w:type="auto"/>
          </w:tcPr>
          <w:p w14:paraId="09A7283B" w14:textId="16815D78" w:rsidR="00C40C47" w:rsidRPr="0032619C" w:rsidRDefault="00C40C47" w:rsidP="00C40C47">
            <w:pPr>
              <w:pStyle w:val="Corpsdetexte"/>
              <w:spacing w:before="129"/>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val="fr-FR" w:bidi="en-US"/>
              </w:rPr>
            </w:pPr>
            <w:r w:rsidRPr="004637C7">
              <w:rPr>
                <w:rFonts w:asciiTheme="minorHAnsi" w:hAnsiTheme="minorHAnsi" w:cstheme="minorHAnsi"/>
                <w:szCs w:val="20"/>
                <w:lang w:bidi="en-US"/>
              </w:rPr>
              <w:t>Utiliser des projecteurs à faisceau dirigé vers le sol</w:t>
            </w:r>
            <w:r>
              <w:rPr>
                <w:rFonts w:asciiTheme="minorHAnsi" w:hAnsiTheme="minorHAnsi" w:cstheme="minorHAnsi"/>
                <w:szCs w:val="20"/>
                <w:lang w:bidi="en-US"/>
              </w:rPr>
              <w:t> </w:t>
            </w:r>
            <w:r>
              <w:rPr>
                <w:rFonts w:asciiTheme="minorHAnsi" w:hAnsiTheme="minorHAnsi" w:cstheme="minorHAnsi"/>
                <w:szCs w:val="20"/>
                <w:lang w:val="fr-FR" w:bidi="en-US"/>
              </w:rPr>
              <w:t>;</w:t>
            </w:r>
          </w:p>
          <w:p w14:paraId="59C26982" w14:textId="42920CFA" w:rsidR="00C40C47" w:rsidRPr="004637C7" w:rsidRDefault="00C40C47" w:rsidP="00C40C47">
            <w:pPr>
              <w:pStyle w:val="Corpsdetexte"/>
              <w:spacing w:before="129"/>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zh-CN"/>
              </w:rPr>
            </w:pPr>
            <w:r>
              <w:rPr>
                <w:rFonts w:asciiTheme="minorHAnsi" w:hAnsiTheme="minorHAnsi" w:cstheme="minorHAnsi"/>
                <w:szCs w:val="20"/>
                <w:lang w:val="fr-FR" w:bidi="en-US"/>
              </w:rPr>
              <w:t>L</w:t>
            </w:r>
            <w:r w:rsidRPr="004637C7">
              <w:rPr>
                <w:rFonts w:asciiTheme="minorHAnsi" w:hAnsiTheme="minorHAnsi" w:cstheme="minorHAnsi"/>
                <w:szCs w:val="20"/>
                <w:lang w:bidi="en-US"/>
              </w:rPr>
              <w:t>imiter la hauteur des mâts et éteindre les dispositifs non essentiels.</w:t>
            </w:r>
          </w:p>
        </w:tc>
        <w:tc>
          <w:tcPr>
            <w:tcW w:w="0" w:type="auto"/>
          </w:tcPr>
          <w:p w14:paraId="125695DE" w14:textId="30FFAF20" w:rsidR="00C40C47" w:rsidRPr="004637C7" w:rsidRDefault="00C40C47" w:rsidP="00C40C47">
            <w:pPr>
              <w:pStyle w:val="Corpsdetexte"/>
              <w:spacing w:before="129"/>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zh-CN"/>
              </w:rPr>
            </w:pPr>
            <w:r w:rsidRPr="004637C7">
              <w:rPr>
                <w:rFonts w:asciiTheme="minorHAnsi" w:hAnsiTheme="minorHAnsi" w:cstheme="minorHAnsi"/>
                <w:szCs w:val="20"/>
                <w:lang w:bidi="en-US"/>
              </w:rPr>
              <w:t xml:space="preserve">Luminance </w:t>
            </w:r>
            <w:r w:rsidRPr="004637C7">
              <w:rPr>
                <w:rFonts w:asciiTheme="minorHAnsi" w:hAnsiTheme="minorHAnsi" w:cstheme="minorHAnsi" w:hint="eastAsia"/>
                <w:szCs w:val="20"/>
                <w:lang w:bidi="en-US"/>
              </w:rPr>
              <w:t>≤</w:t>
            </w:r>
            <w:r w:rsidRPr="004637C7">
              <w:rPr>
                <w:rFonts w:asciiTheme="minorHAnsi" w:hAnsiTheme="minorHAnsi" w:cstheme="minorHAnsi"/>
                <w:szCs w:val="20"/>
                <w:lang w:bidi="en-US"/>
              </w:rPr>
              <w:t xml:space="preserve"> 20 lux à 50 m du périmètre, 0 plainte lumineuse recensée.</w:t>
            </w:r>
          </w:p>
        </w:tc>
        <w:tc>
          <w:tcPr>
            <w:tcW w:w="0" w:type="auto"/>
          </w:tcPr>
          <w:p w14:paraId="1EC01FDF" w14:textId="65688783" w:rsidR="00C40C47" w:rsidRPr="004637C7" w:rsidRDefault="00C40C47" w:rsidP="00C40C47">
            <w:pPr>
              <w:pStyle w:val="Corpsdetexte"/>
              <w:spacing w:before="129"/>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zh-CN"/>
              </w:rPr>
            </w:pPr>
            <w:r w:rsidRPr="004637C7">
              <w:rPr>
                <w:rFonts w:asciiTheme="minorHAnsi" w:hAnsiTheme="minorHAnsi" w:cstheme="minorHAnsi"/>
                <w:szCs w:val="20"/>
              </w:rPr>
              <w:t>EPC et sous-traitants</w:t>
            </w:r>
          </w:p>
        </w:tc>
        <w:tc>
          <w:tcPr>
            <w:tcW w:w="0" w:type="auto"/>
          </w:tcPr>
          <w:p w14:paraId="4B9366A8" w14:textId="4E16A28B" w:rsidR="00C40C47" w:rsidRPr="004637C7" w:rsidRDefault="00C40C47" w:rsidP="00C40C47">
            <w:pPr>
              <w:pStyle w:val="Corpsdetexte"/>
              <w:spacing w:before="129"/>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zh-CN"/>
              </w:rPr>
            </w:pPr>
            <w:r w:rsidRPr="00BC1745">
              <w:rPr>
                <w:szCs w:val="20"/>
              </w:rPr>
              <w:t>Bureau de contrôle / Consultant de supervision mandaté par l’ONDA</w:t>
            </w:r>
          </w:p>
        </w:tc>
        <w:tc>
          <w:tcPr>
            <w:tcW w:w="0" w:type="auto"/>
          </w:tcPr>
          <w:p w14:paraId="70D62128" w14:textId="18836462" w:rsidR="00C40C47" w:rsidRPr="004637C7" w:rsidRDefault="00C40C47" w:rsidP="00C40C47">
            <w:pPr>
              <w:pStyle w:val="Corpsdetexte"/>
              <w:spacing w:before="129"/>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zh-CN"/>
              </w:rPr>
            </w:pPr>
            <w:r>
              <w:rPr>
                <w:rFonts w:asciiTheme="minorHAnsi" w:hAnsiTheme="minorHAnsi" w:cstheme="minorHAnsi"/>
                <w:szCs w:val="20"/>
                <w:lang w:val="fr-FR" w:eastAsia="zh-CN"/>
              </w:rPr>
              <w:t>ONDA</w:t>
            </w:r>
          </w:p>
        </w:tc>
        <w:tc>
          <w:tcPr>
            <w:tcW w:w="0" w:type="auto"/>
          </w:tcPr>
          <w:p w14:paraId="61C2EB79" w14:textId="6E1AC014" w:rsidR="00C40C47" w:rsidRPr="004637C7" w:rsidRDefault="00C40C47" w:rsidP="00C40C47">
            <w:pPr>
              <w:pStyle w:val="Corpsdetexte"/>
              <w:spacing w:before="129"/>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zh-CN"/>
              </w:rPr>
            </w:pPr>
            <w:r w:rsidRPr="004637C7">
              <w:rPr>
                <w:rFonts w:asciiTheme="minorHAnsi" w:hAnsiTheme="minorHAnsi" w:cstheme="minorHAnsi"/>
                <w:szCs w:val="20"/>
                <w:lang w:bidi="en-US"/>
              </w:rPr>
              <w:t>Travaux nocturnes</w:t>
            </w:r>
          </w:p>
        </w:tc>
        <w:tc>
          <w:tcPr>
            <w:tcW w:w="0" w:type="auto"/>
          </w:tcPr>
          <w:p w14:paraId="0DD06930" w14:textId="2201155D" w:rsidR="00C40C47" w:rsidRPr="004637C7" w:rsidRDefault="00C40C47" w:rsidP="00C40C47">
            <w:pPr>
              <w:pStyle w:val="Corpsdetexte"/>
              <w:spacing w:before="129"/>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val="fr-FR" w:eastAsia="zh-CN"/>
              </w:rPr>
            </w:pPr>
            <w:r w:rsidRPr="00286629">
              <w:rPr>
                <w:rFonts w:asciiTheme="minorHAnsi" w:hAnsiTheme="minorHAnsi" w:cstheme="minorHAnsi"/>
                <w:szCs w:val="20"/>
                <w:lang w:bidi="en-US"/>
              </w:rPr>
              <w:t xml:space="preserve">3 000 – 4 000 </w:t>
            </w:r>
            <w:r>
              <w:rPr>
                <w:rFonts w:asciiTheme="minorHAnsi" w:hAnsiTheme="minorHAnsi" w:cstheme="minorHAnsi"/>
                <w:szCs w:val="20"/>
                <w:lang w:val="fr-FR" w:bidi="en-US"/>
              </w:rPr>
              <w:t>MAD</w:t>
            </w:r>
            <w:r w:rsidRPr="00286629">
              <w:rPr>
                <w:rFonts w:asciiTheme="minorHAnsi" w:hAnsiTheme="minorHAnsi" w:cstheme="minorHAnsi"/>
                <w:szCs w:val="20"/>
                <w:lang w:bidi="en-US"/>
              </w:rPr>
              <w:t>/projecteur orientable</w:t>
            </w:r>
            <w:r>
              <w:rPr>
                <w:rFonts w:asciiTheme="minorHAnsi" w:hAnsiTheme="minorHAnsi" w:cstheme="minorHAnsi"/>
                <w:szCs w:val="20"/>
                <w:lang w:val="fr-FR" w:bidi="en-US"/>
              </w:rPr>
              <w:t xml:space="preserve"> (</w:t>
            </w:r>
            <w:r w:rsidRPr="00286629">
              <w:rPr>
                <w:rFonts w:asciiTheme="minorHAnsi" w:hAnsiTheme="minorHAnsi" w:cstheme="minorHAnsi"/>
                <w:szCs w:val="20"/>
                <w:lang w:val="fr-FR" w:bidi="en-US"/>
              </w:rPr>
              <w:t>Projecteurs LED 150–200 W avec inclinaison réglable et faisceau dirigé au sol</w:t>
            </w:r>
            <w:r>
              <w:rPr>
                <w:rFonts w:asciiTheme="minorHAnsi" w:hAnsiTheme="minorHAnsi" w:cstheme="minorHAnsi"/>
                <w:szCs w:val="20"/>
                <w:lang w:val="fr-FR" w:bidi="en-US"/>
              </w:rPr>
              <w:t>)</w:t>
            </w:r>
          </w:p>
        </w:tc>
      </w:tr>
      <w:tr w:rsidR="00C40C47" w:rsidRPr="0032619C" w14:paraId="38B3C995" w14:textId="77777777" w:rsidTr="00C40C47">
        <w:tc>
          <w:tcPr>
            <w:cnfStyle w:val="001000000000" w:firstRow="0" w:lastRow="0" w:firstColumn="1" w:lastColumn="0" w:oddVBand="0" w:evenVBand="0" w:oddHBand="0" w:evenHBand="0" w:firstRowFirstColumn="0" w:firstRowLastColumn="0" w:lastRowFirstColumn="0" w:lastRowLastColumn="0"/>
            <w:tcW w:w="1348" w:type="dxa"/>
            <w:vMerge/>
          </w:tcPr>
          <w:p w14:paraId="33373465" w14:textId="77777777" w:rsidR="00C40C47" w:rsidRPr="004637C7" w:rsidRDefault="00C40C47" w:rsidP="00C40C47">
            <w:pPr>
              <w:pStyle w:val="Corpsdetexte"/>
              <w:spacing w:before="129"/>
              <w:rPr>
                <w:rFonts w:asciiTheme="minorHAnsi" w:hAnsiTheme="minorHAnsi" w:cstheme="minorHAnsi"/>
                <w:b w:val="0"/>
                <w:bCs w:val="0"/>
                <w:szCs w:val="20"/>
                <w:lang w:eastAsia="zh-CN"/>
              </w:rPr>
            </w:pPr>
          </w:p>
        </w:tc>
        <w:tc>
          <w:tcPr>
            <w:tcW w:w="0" w:type="auto"/>
            <w:vAlign w:val="center"/>
          </w:tcPr>
          <w:p w14:paraId="67E1D1D8" w14:textId="406CC8A7" w:rsidR="00C40C47" w:rsidRPr="004637C7" w:rsidRDefault="00C40C47" w:rsidP="00C40C47">
            <w:pPr>
              <w:pStyle w:val="Corpsdetexte"/>
              <w:spacing w:before="129"/>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zh-CN"/>
              </w:rPr>
            </w:pPr>
            <w:r w:rsidRPr="004637C7">
              <w:rPr>
                <w:rFonts w:asciiTheme="minorHAnsi" w:hAnsiTheme="minorHAnsi" w:cstheme="minorHAnsi"/>
                <w:szCs w:val="20"/>
                <w:lang w:bidi="en-US"/>
              </w:rPr>
              <w:t>Atténuer</w:t>
            </w:r>
          </w:p>
        </w:tc>
        <w:tc>
          <w:tcPr>
            <w:tcW w:w="0" w:type="auto"/>
          </w:tcPr>
          <w:p w14:paraId="5D3C2C6D" w14:textId="285A9685" w:rsidR="00C40C47" w:rsidRPr="004637C7" w:rsidRDefault="00C40C47" w:rsidP="00C40C47">
            <w:pPr>
              <w:pStyle w:val="Corpsdetexte"/>
              <w:spacing w:before="129"/>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zh-CN"/>
              </w:rPr>
            </w:pPr>
            <w:r w:rsidRPr="004637C7">
              <w:rPr>
                <w:rFonts w:asciiTheme="minorHAnsi" w:hAnsiTheme="minorHAnsi" w:cstheme="minorHAnsi"/>
                <w:szCs w:val="20"/>
                <w:lang w:bidi="en-US"/>
              </w:rPr>
              <w:t xml:space="preserve">Installer des capots réflecteurs sur les lampes et employer des sources lumineuses </w:t>
            </w:r>
            <w:r w:rsidRPr="004637C7">
              <w:rPr>
                <w:rFonts w:asciiTheme="minorHAnsi" w:hAnsiTheme="minorHAnsi" w:cstheme="minorHAnsi" w:hint="eastAsia"/>
                <w:szCs w:val="20"/>
                <w:lang w:bidi="en-US"/>
              </w:rPr>
              <w:t>≤</w:t>
            </w:r>
            <w:r w:rsidRPr="004637C7">
              <w:rPr>
                <w:rFonts w:asciiTheme="minorHAnsi" w:hAnsiTheme="minorHAnsi" w:cstheme="minorHAnsi"/>
                <w:szCs w:val="20"/>
                <w:lang w:bidi="en-US"/>
              </w:rPr>
              <w:t xml:space="preserve"> 3000 K.</w:t>
            </w:r>
          </w:p>
        </w:tc>
        <w:tc>
          <w:tcPr>
            <w:tcW w:w="0" w:type="auto"/>
          </w:tcPr>
          <w:p w14:paraId="68812D15" w14:textId="364D3CB7" w:rsidR="00C40C47" w:rsidRPr="004637C7" w:rsidRDefault="00C40C47" w:rsidP="00C40C47">
            <w:pPr>
              <w:pStyle w:val="Corpsdetexte"/>
              <w:spacing w:before="129"/>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zh-CN"/>
              </w:rPr>
            </w:pPr>
            <w:r w:rsidRPr="004637C7">
              <w:rPr>
                <w:rFonts w:asciiTheme="minorHAnsi" w:hAnsiTheme="minorHAnsi" w:cstheme="minorHAnsi"/>
                <w:szCs w:val="20"/>
                <w:lang w:bidi="en-US"/>
              </w:rPr>
              <w:t>100 % des lampes équipées, conformité thermique validée.</w:t>
            </w:r>
          </w:p>
        </w:tc>
        <w:tc>
          <w:tcPr>
            <w:tcW w:w="0" w:type="auto"/>
          </w:tcPr>
          <w:p w14:paraId="3EAB7684" w14:textId="5A639315" w:rsidR="00C40C47" w:rsidRPr="004637C7" w:rsidRDefault="00C40C47" w:rsidP="00C40C47">
            <w:pPr>
              <w:pStyle w:val="Corpsdetexte"/>
              <w:spacing w:before="129"/>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zh-CN"/>
              </w:rPr>
            </w:pPr>
            <w:r w:rsidRPr="004637C7">
              <w:rPr>
                <w:rFonts w:asciiTheme="minorHAnsi" w:hAnsiTheme="minorHAnsi" w:cstheme="minorHAnsi"/>
                <w:szCs w:val="20"/>
              </w:rPr>
              <w:t>EPC et sous-traitants</w:t>
            </w:r>
          </w:p>
        </w:tc>
        <w:tc>
          <w:tcPr>
            <w:tcW w:w="0" w:type="auto"/>
          </w:tcPr>
          <w:p w14:paraId="52EE7168" w14:textId="7D3AE4B0" w:rsidR="00C40C47" w:rsidRPr="004637C7" w:rsidRDefault="00C40C47" w:rsidP="00C40C47">
            <w:pPr>
              <w:pStyle w:val="Corpsdetexte"/>
              <w:spacing w:before="129"/>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zh-CN"/>
              </w:rPr>
            </w:pPr>
            <w:r w:rsidRPr="00BC1745">
              <w:rPr>
                <w:szCs w:val="20"/>
              </w:rPr>
              <w:t>Bureau de contrôle / Consultant de supervision mandaté par l’ONDA</w:t>
            </w:r>
          </w:p>
        </w:tc>
        <w:tc>
          <w:tcPr>
            <w:tcW w:w="0" w:type="auto"/>
          </w:tcPr>
          <w:p w14:paraId="20817940" w14:textId="1A97F7F0" w:rsidR="00C40C47" w:rsidRPr="004637C7" w:rsidRDefault="00C40C47" w:rsidP="00C40C47">
            <w:pPr>
              <w:pStyle w:val="Corpsdetexte"/>
              <w:spacing w:before="129"/>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zh-CN"/>
              </w:rPr>
            </w:pPr>
            <w:r>
              <w:rPr>
                <w:rFonts w:asciiTheme="minorHAnsi" w:hAnsiTheme="minorHAnsi" w:cstheme="minorHAnsi"/>
                <w:szCs w:val="20"/>
                <w:lang w:val="fr-FR" w:eastAsia="zh-CN"/>
              </w:rPr>
              <w:t>ONDA</w:t>
            </w:r>
          </w:p>
        </w:tc>
        <w:tc>
          <w:tcPr>
            <w:tcW w:w="0" w:type="auto"/>
          </w:tcPr>
          <w:p w14:paraId="22155741" w14:textId="627AACDC" w:rsidR="00C40C47" w:rsidRPr="004637C7" w:rsidRDefault="00C40C47" w:rsidP="00C40C47">
            <w:pPr>
              <w:pStyle w:val="Corpsdetexte"/>
              <w:spacing w:before="129"/>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zh-CN"/>
              </w:rPr>
            </w:pPr>
            <w:r w:rsidRPr="004637C7">
              <w:rPr>
                <w:rFonts w:asciiTheme="minorHAnsi" w:hAnsiTheme="minorHAnsi" w:cstheme="minorHAnsi"/>
                <w:szCs w:val="20"/>
                <w:lang w:bidi="en-US"/>
              </w:rPr>
              <w:t>Travaux nocturnes</w:t>
            </w:r>
          </w:p>
        </w:tc>
        <w:tc>
          <w:tcPr>
            <w:tcW w:w="0" w:type="auto"/>
          </w:tcPr>
          <w:p w14:paraId="27C12BA3" w14:textId="1E9D5619" w:rsidR="00C40C47" w:rsidRPr="004637C7" w:rsidRDefault="00C40C47" w:rsidP="00C40C47">
            <w:pPr>
              <w:pStyle w:val="Corpsdetexte"/>
              <w:spacing w:before="129"/>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val="fr-FR" w:eastAsia="zh-CN"/>
              </w:rPr>
            </w:pPr>
            <w:r w:rsidRPr="00286629">
              <w:rPr>
                <w:rFonts w:asciiTheme="minorHAnsi" w:hAnsiTheme="minorHAnsi" w:cstheme="minorHAnsi"/>
                <w:szCs w:val="20"/>
                <w:lang w:bidi="en-US"/>
              </w:rPr>
              <w:t xml:space="preserve">200 – 300 </w:t>
            </w:r>
            <w:r>
              <w:rPr>
                <w:rFonts w:asciiTheme="minorHAnsi" w:hAnsiTheme="minorHAnsi" w:cstheme="minorHAnsi"/>
                <w:szCs w:val="20"/>
                <w:lang w:val="fr-FR" w:bidi="en-US"/>
              </w:rPr>
              <w:t>MAD</w:t>
            </w:r>
            <w:r w:rsidRPr="00286629">
              <w:rPr>
                <w:rFonts w:asciiTheme="minorHAnsi" w:hAnsiTheme="minorHAnsi" w:cstheme="minorHAnsi"/>
                <w:szCs w:val="20"/>
                <w:lang w:bidi="en-US"/>
              </w:rPr>
              <w:t>/capot réflecteur</w:t>
            </w:r>
          </w:p>
        </w:tc>
      </w:tr>
      <w:tr w:rsidR="00286629" w:rsidRPr="0032619C" w14:paraId="4F302272" w14:textId="77777777" w:rsidTr="00C40C47">
        <w:tc>
          <w:tcPr>
            <w:cnfStyle w:val="001000000000" w:firstRow="0" w:lastRow="0" w:firstColumn="1" w:lastColumn="0" w:oddVBand="0" w:evenVBand="0" w:oddHBand="0" w:evenHBand="0" w:firstRowFirstColumn="0" w:firstRowLastColumn="0" w:lastRowFirstColumn="0" w:lastRowLastColumn="0"/>
            <w:tcW w:w="1348" w:type="dxa"/>
            <w:vMerge/>
          </w:tcPr>
          <w:p w14:paraId="644929E6" w14:textId="77777777" w:rsidR="0032619C" w:rsidRPr="004637C7" w:rsidRDefault="0032619C" w:rsidP="0032619C">
            <w:pPr>
              <w:pStyle w:val="Corpsdetexte"/>
              <w:spacing w:before="129"/>
              <w:rPr>
                <w:rFonts w:asciiTheme="minorHAnsi" w:hAnsiTheme="minorHAnsi" w:cstheme="minorHAnsi"/>
                <w:b w:val="0"/>
                <w:bCs w:val="0"/>
                <w:szCs w:val="20"/>
                <w:lang w:eastAsia="zh-CN"/>
              </w:rPr>
            </w:pPr>
          </w:p>
        </w:tc>
        <w:tc>
          <w:tcPr>
            <w:tcW w:w="0" w:type="auto"/>
            <w:vAlign w:val="center"/>
          </w:tcPr>
          <w:p w14:paraId="65D95569" w14:textId="00F0CEB2" w:rsidR="0032619C" w:rsidRPr="004637C7" w:rsidRDefault="0032619C" w:rsidP="0032619C">
            <w:pPr>
              <w:pStyle w:val="Corpsdetexte"/>
              <w:spacing w:before="129"/>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zh-CN"/>
              </w:rPr>
            </w:pPr>
            <w:r w:rsidRPr="004637C7">
              <w:rPr>
                <w:rFonts w:asciiTheme="minorHAnsi" w:hAnsiTheme="minorHAnsi" w:cstheme="minorHAnsi"/>
                <w:szCs w:val="20"/>
                <w:lang w:bidi="en-US"/>
              </w:rPr>
              <w:t>Compenser</w:t>
            </w:r>
          </w:p>
        </w:tc>
        <w:tc>
          <w:tcPr>
            <w:tcW w:w="0" w:type="auto"/>
          </w:tcPr>
          <w:p w14:paraId="5DAE9CD2" w14:textId="31362A61" w:rsidR="0032619C" w:rsidRPr="004637C7" w:rsidRDefault="0032619C" w:rsidP="0032619C">
            <w:pPr>
              <w:pStyle w:val="Corpsdetexte"/>
              <w:spacing w:before="129"/>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zh-CN"/>
              </w:rPr>
            </w:pPr>
            <w:r w:rsidRPr="004637C7">
              <w:rPr>
                <w:rFonts w:asciiTheme="minorHAnsi" w:hAnsiTheme="minorHAnsi" w:cstheme="minorHAnsi"/>
                <w:szCs w:val="20"/>
                <w:lang w:bidi="en-US"/>
              </w:rPr>
              <w:t>Non applicable (impact temporaire et réversible).</w:t>
            </w:r>
          </w:p>
        </w:tc>
        <w:tc>
          <w:tcPr>
            <w:tcW w:w="0" w:type="auto"/>
            <w:vAlign w:val="center"/>
          </w:tcPr>
          <w:p w14:paraId="0EC311EA" w14:textId="0604890F" w:rsidR="0032619C" w:rsidRPr="004637C7" w:rsidRDefault="0032619C" w:rsidP="004637C7">
            <w:pPr>
              <w:pStyle w:val="Corpsdetexte"/>
              <w:spacing w:before="129"/>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zh-CN"/>
              </w:rPr>
            </w:pPr>
            <w:r w:rsidRPr="004637C7">
              <w:rPr>
                <w:rFonts w:asciiTheme="minorHAnsi" w:hAnsiTheme="minorHAnsi" w:cstheme="minorHAnsi"/>
                <w:szCs w:val="20"/>
                <w:lang w:bidi="en-US"/>
              </w:rPr>
              <w:t>—</w:t>
            </w:r>
          </w:p>
        </w:tc>
        <w:tc>
          <w:tcPr>
            <w:tcW w:w="0" w:type="auto"/>
            <w:vAlign w:val="center"/>
          </w:tcPr>
          <w:p w14:paraId="6C92E784" w14:textId="770ABDCE" w:rsidR="0032619C" w:rsidRPr="004637C7" w:rsidRDefault="0032619C" w:rsidP="004637C7">
            <w:pPr>
              <w:pStyle w:val="Corpsdetexte"/>
              <w:spacing w:before="129"/>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zh-CN"/>
              </w:rPr>
            </w:pPr>
            <w:r w:rsidRPr="004637C7">
              <w:rPr>
                <w:rFonts w:asciiTheme="minorHAnsi" w:hAnsiTheme="minorHAnsi" w:cstheme="minorHAnsi"/>
                <w:szCs w:val="20"/>
                <w:lang w:bidi="en-US"/>
              </w:rPr>
              <w:t>—</w:t>
            </w:r>
          </w:p>
        </w:tc>
        <w:tc>
          <w:tcPr>
            <w:tcW w:w="0" w:type="auto"/>
            <w:vAlign w:val="center"/>
          </w:tcPr>
          <w:p w14:paraId="5AC8A4EB" w14:textId="7220769D" w:rsidR="0032619C" w:rsidRPr="004637C7" w:rsidRDefault="0032619C" w:rsidP="004637C7">
            <w:pPr>
              <w:pStyle w:val="Corpsdetexte"/>
              <w:spacing w:before="129"/>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zh-CN"/>
              </w:rPr>
            </w:pPr>
            <w:r w:rsidRPr="004637C7">
              <w:rPr>
                <w:rFonts w:asciiTheme="minorHAnsi" w:hAnsiTheme="minorHAnsi" w:cstheme="minorHAnsi"/>
                <w:szCs w:val="20"/>
                <w:lang w:bidi="en-US"/>
              </w:rPr>
              <w:t>—</w:t>
            </w:r>
          </w:p>
        </w:tc>
        <w:tc>
          <w:tcPr>
            <w:tcW w:w="0" w:type="auto"/>
            <w:vAlign w:val="center"/>
          </w:tcPr>
          <w:p w14:paraId="5E6BAFD9" w14:textId="6273677C" w:rsidR="0032619C" w:rsidRPr="004637C7" w:rsidRDefault="0032619C" w:rsidP="004637C7">
            <w:pPr>
              <w:pStyle w:val="Corpsdetexte"/>
              <w:spacing w:before="129"/>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zh-CN"/>
              </w:rPr>
            </w:pPr>
            <w:r w:rsidRPr="004637C7">
              <w:rPr>
                <w:rFonts w:asciiTheme="minorHAnsi" w:hAnsiTheme="minorHAnsi" w:cstheme="minorHAnsi"/>
                <w:szCs w:val="20"/>
                <w:lang w:bidi="en-US"/>
              </w:rPr>
              <w:t>—</w:t>
            </w:r>
          </w:p>
        </w:tc>
        <w:tc>
          <w:tcPr>
            <w:tcW w:w="0" w:type="auto"/>
            <w:vAlign w:val="center"/>
          </w:tcPr>
          <w:p w14:paraId="644607EC" w14:textId="0055E308" w:rsidR="0032619C" w:rsidRPr="004637C7" w:rsidRDefault="0032619C" w:rsidP="004637C7">
            <w:pPr>
              <w:pStyle w:val="Corpsdetexte"/>
              <w:spacing w:before="129"/>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zh-CN"/>
              </w:rPr>
            </w:pPr>
            <w:r w:rsidRPr="004637C7">
              <w:rPr>
                <w:rFonts w:asciiTheme="minorHAnsi" w:hAnsiTheme="minorHAnsi" w:cstheme="minorHAnsi"/>
                <w:szCs w:val="20"/>
                <w:lang w:bidi="en-US"/>
              </w:rPr>
              <w:t>—</w:t>
            </w:r>
          </w:p>
        </w:tc>
        <w:tc>
          <w:tcPr>
            <w:tcW w:w="0" w:type="auto"/>
            <w:vAlign w:val="center"/>
          </w:tcPr>
          <w:p w14:paraId="6DAADEBE" w14:textId="79F35B5B" w:rsidR="0032619C" w:rsidRPr="004637C7" w:rsidRDefault="0032619C" w:rsidP="004637C7">
            <w:pPr>
              <w:pStyle w:val="Corpsdetexte"/>
              <w:spacing w:before="129"/>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val="fr-FR" w:eastAsia="zh-CN"/>
              </w:rPr>
            </w:pPr>
            <w:r w:rsidRPr="004637C7">
              <w:rPr>
                <w:rFonts w:asciiTheme="minorHAnsi" w:hAnsiTheme="minorHAnsi" w:cstheme="minorHAnsi"/>
                <w:szCs w:val="20"/>
                <w:lang w:bidi="en-US"/>
              </w:rPr>
              <w:t>—</w:t>
            </w:r>
          </w:p>
        </w:tc>
      </w:tr>
    </w:tbl>
    <w:p w14:paraId="3D71BFF8" w14:textId="77777777" w:rsidR="002957DD" w:rsidRDefault="002957DD" w:rsidP="00AD0BC0">
      <w:pPr>
        <w:pStyle w:val="Corpsdetexte"/>
        <w:spacing w:before="129"/>
        <w:rPr>
          <w:lang w:val="fr-FR" w:eastAsia="zh-CN"/>
        </w:rPr>
        <w:sectPr w:rsidR="002957DD" w:rsidSect="00372BDE">
          <w:pgSz w:w="16838" w:h="11906" w:orient="landscape"/>
          <w:pgMar w:top="1418" w:right="1418" w:bottom="1418" w:left="1276" w:header="680" w:footer="680" w:gutter="0"/>
          <w:cols w:space="708"/>
          <w:docGrid w:linePitch="360"/>
        </w:sectPr>
      </w:pPr>
    </w:p>
    <w:p w14:paraId="159AAB9F" w14:textId="17B0ABD2" w:rsidR="00AD0BC0" w:rsidRPr="002A0860" w:rsidRDefault="00AD0BC0" w:rsidP="00B12EA4">
      <w:pPr>
        <w:pStyle w:val="Lgende"/>
        <w:rPr>
          <w:rFonts w:asciiTheme="minorHAnsi" w:hAnsiTheme="minorHAnsi" w:cstheme="minorHAnsi"/>
          <w:b w:val="0"/>
          <w:bCs w:val="0"/>
          <w:lang w:val="fr-FR"/>
        </w:rPr>
      </w:pPr>
    </w:p>
    <w:p w14:paraId="0D0A3771" w14:textId="1AAE0BFD" w:rsidR="00AD0BC0" w:rsidRDefault="00AD0BC0" w:rsidP="004637C7">
      <w:pPr>
        <w:pStyle w:val="Title5"/>
      </w:pPr>
      <w:r>
        <w:t>Évaluation</w:t>
      </w:r>
      <w:r>
        <w:rPr>
          <w:spacing w:val="-7"/>
        </w:rPr>
        <w:t xml:space="preserve"> </w:t>
      </w:r>
      <w:r w:rsidR="00A72EEA">
        <w:t>des impacts résiduels</w:t>
      </w:r>
    </w:p>
    <w:p w14:paraId="1D621446" w14:textId="220EA800" w:rsidR="008B06E3" w:rsidRDefault="008B06E3" w:rsidP="00AD0BC0">
      <w:pPr>
        <w:rPr>
          <w:rFonts w:asciiTheme="minorHAnsi" w:eastAsia="Calibri" w:hAnsiTheme="minorHAnsi" w:cstheme="minorHAnsi"/>
          <w:spacing w:val="-4"/>
          <w:lang w:bidi="ar-SA"/>
        </w:rPr>
      </w:pPr>
      <w:r w:rsidRPr="008B06E3">
        <w:rPr>
          <w:rFonts w:asciiTheme="minorHAnsi" w:eastAsia="Calibri" w:hAnsiTheme="minorHAnsi" w:cstheme="minorHAnsi"/>
          <w:spacing w:val="-4"/>
          <w:lang w:bidi="ar-SA"/>
        </w:rPr>
        <w:t xml:space="preserve">Après la mise en œuvre des mesures d’atténuation (clôtures opaques, organisation du stockage, entretien régulier, réhabilitation du site), l’effet visuel temporaire du chantier devient </w:t>
      </w:r>
      <w:r w:rsidRPr="004637C7">
        <w:rPr>
          <w:rFonts w:asciiTheme="minorHAnsi" w:eastAsia="Calibri" w:hAnsiTheme="minorHAnsi" w:cstheme="minorHAnsi"/>
          <w:spacing w:val="-4"/>
          <w:lang w:bidi="ar-SA"/>
        </w:rPr>
        <w:t>largement maîtrisé</w:t>
      </w:r>
      <w:r w:rsidRPr="003E23EE">
        <w:rPr>
          <w:rFonts w:asciiTheme="minorHAnsi" w:eastAsia="Calibri" w:hAnsiTheme="minorHAnsi" w:cstheme="minorHAnsi"/>
          <w:spacing w:val="-4"/>
          <w:lang w:bidi="ar-SA"/>
        </w:rPr>
        <w:t>.</w:t>
      </w:r>
    </w:p>
    <w:p w14:paraId="5BFDA0BF" w14:textId="3EFA6E0F" w:rsidR="00AD0BC0" w:rsidRDefault="008B06E3" w:rsidP="00AD0BC0">
      <w:pPr>
        <w:rPr>
          <w:rFonts w:asciiTheme="minorHAnsi" w:eastAsia="Calibri" w:hAnsiTheme="minorHAnsi" w:cstheme="minorHAnsi"/>
          <w:spacing w:val="-4"/>
          <w:lang w:bidi="ar-SA"/>
        </w:rPr>
      </w:pPr>
      <w:r w:rsidRPr="008B06E3">
        <w:rPr>
          <w:rFonts w:asciiTheme="minorHAnsi" w:eastAsia="Calibri" w:hAnsiTheme="minorHAnsi" w:cstheme="minorHAnsi"/>
          <w:spacing w:val="-4"/>
          <w:lang w:bidi="ar-SA"/>
        </w:rPr>
        <w:t xml:space="preserve">Les éléments générateurs de nuisance visuelle (tas de matériaux, engins, clôtures métalliques) seront limités dans l’espace et dans le temps, et masqués depuis la </w:t>
      </w:r>
      <w:r w:rsidR="00DF0933">
        <w:rPr>
          <w:rFonts w:asciiTheme="minorHAnsi" w:eastAsia="Calibri" w:hAnsiTheme="minorHAnsi" w:cstheme="minorHAnsi"/>
          <w:spacing w:val="-4"/>
          <w:lang w:bidi="ar-SA"/>
        </w:rPr>
        <w:t>RR212</w:t>
      </w:r>
      <w:r w:rsidRPr="008B06E3">
        <w:rPr>
          <w:rFonts w:asciiTheme="minorHAnsi" w:eastAsia="Calibri" w:hAnsiTheme="minorHAnsi" w:cstheme="minorHAnsi"/>
          <w:spacing w:val="-4"/>
          <w:lang w:bidi="ar-SA"/>
        </w:rPr>
        <w:t xml:space="preserve"> par des écrans visuels.</w:t>
      </w:r>
      <w:r w:rsidRPr="008B06E3">
        <w:rPr>
          <w:rFonts w:asciiTheme="minorHAnsi" w:eastAsia="Calibri" w:hAnsiTheme="minorHAnsi" w:cstheme="minorHAnsi"/>
          <w:spacing w:val="-4"/>
          <w:lang w:bidi="ar-SA"/>
        </w:rPr>
        <w:br/>
        <w:t>Les usagers internes (employés et voyageurs) percevront toujours la présence du chantier, mais dans un environnement visuellement ordonné et entretenu.</w:t>
      </w:r>
    </w:p>
    <w:p w14:paraId="2864D1DD" w14:textId="67529843" w:rsidR="008B06E3" w:rsidRPr="008B06E3" w:rsidRDefault="008B06E3" w:rsidP="008B06E3">
      <w:pPr>
        <w:rPr>
          <w:rFonts w:asciiTheme="minorHAnsi" w:eastAsia="Calibri" w:hAnsiTheme="minorHAnsi" w:cstheme="minorHAnsi"/>
          <w:spacing w:val="-4"/>
          <w:lang w:bidi="ar-SA"/>
        </w:rPr>
      </w:pPr>
      <w:r w:rsidRPr="008B06E3">
        <w:rPr>
          <w:rFonts w:asciiTheme="minorHAnsi" w:eastAsia="Calibri" w:hAnsiTheme="minorHAnsi" w:cstheme="minorHAnsi"/>
          <w:spacing w:val="-4"/>
          <w:lang w:bidi="ar-SA"/>
        </w:rPr>
        <w:t xml:space="preserve">Les observateurs externes (usagers de la </w:t>
      </w:r>
      <w:r w:rsidR="00DF0933">
        <w:rPr>
          <w:rFonts w:asciiTheme="minorHAnsi" w:eastAsia="Calibri" w:hAnsiTheme="minorHAnsi" w:cstheme="minorHAnsi"/>
          <w:spacing w:val="-4"/>
          <w:lang w:bidi="ar-SA"/>
        </w:rPr>
        <w:t>RR212</w:t>
      </w:r>
      <w:r w:rsidRPr="008B06E3">
        <w:rPr>
          <w:rFonts w:asciiTheme="minorHAnsi" w:eastAsia="Calibri" w:hAnsiTheme="minorHAnsi" w:cstheme="minorHAnsi"/>
          <w:spacing w:val="-4"/>
          <w:lang w:bidi="ar-SA"/>
        </w:rPr>
        <w:t>) ne distingueront que partiellement les zones d’activités.</w:t>
      </w:r>
    </w:p>
    <w:p w14:paraId="0F7C209C" w14:textId="0193A435" w:rsidR="008B06E3" w:rsidRPr="008B06E3" w:rsidRDefault="008B06E3" w:rsidP="008B06E3">
      <w:pPr>
        <w:rPr>
          <w:rFonts w:asciiTheme="minorHAnsi" w:eastAsia="Calibri" w:hAnsiTheme="minorHAnsi" w:cstheme="minorHAnsi"/>
          <w:spacing w:val="-4"/>
          <w:lang w:bidi="ar-SA"/>
        </w:rPr>
      </w:pPr>
      <w:r>
        <w:rPr>
          <w:rFonts w:asciiTheme="minorHAnsi" w:eastAsia="Calibri" w:hAnsiTheme="minorHAnsi" w:cstheme="minorHAnsi"/>
          <w:spacing w:val="-4"/>
          <w:lang w:bidi="ar-SA"/>
        </w:rPr>
        <w:t>Ainsi, l</w:t>
      </w:r>
      <w:r w:rsidRPr="008B06E3">
        <w:rPr>
          <w:rFonts w:asciiTheme="minorHAnsi" w:eastAsia="Calibri" w:hAnsiTheme="minorHAnsi" w:cstheme="minorHAnsi"/>
          <w:spacing w:val="-4"/>
          <w:lang w:bidi="ar-SA"/>
        </w:rPr>
        <w:t>es mesures de planification (travaux nocturnes limités, orientation des projecteurs, intensité contrôlée, extinction automatique hors activités) permettent de réduire considérablement la perception lumineuse externe.</w:t>
      </w:r>
    </w:p>
    <w:p w14:paraId="27FBB486" w14:textId="77777777" w:rsidR="008B06E3" w:rsidRPr="008B06E3" w:rsidRDefault="008B06E3" w:rsidP="008B06E3">
      <w:pPr>
        <w:rPr>
          <w:rFonts w:asciiTheme="minorHAnsi" w:eastAsia="Calibri" w:hAnsiTheme="minorHAnsi" w:cstheme="minorHAnsi"/>
          <w:spacing w:val="-4"/>
          <w:lang w:bidi="ar-SA"/>
        </w:rPr>
      </w:pPr>
      <w:r w:rsidRPr="008B06E3">
        <w:rPr>
          <w:rFonts w:asciiTheme="minorHAnsi" w:eastAsia="Calibri" w:hAnsiTheme="minorHAnsi" w:cstheme="minorHAnsi"/>
          <w:spacing w:val="-4"/>
          <w:lang w:bidi="ar-SA"/>
        </w:rPr>
        <w:t>La diffusion horizontale du halo lumineux sera quasi nulle, même en présence ponctuelle d’une grue signalée.</w:t>
      </w:r>
    </w:p>
    <w:p w14:paraId="2A84FF39" w14:textId="77777777" w:rsidR="00B03E48" w:rsidRDefault="00B03E48" w:rsidP="00B03E48">
      <w:pPr>
        <w:pStyle w:val="Title4"/>
      </w:pPr>
      <w:r w:rsidRPr="00B03E48">
        <w:t>Phase exploitation</w:t>
      </w:r>
    </w:p>
    <w:p w14:paraId="0A41B077" w14:textId="3D7132FE" w:rsidR="00F1718F" w:rsidRPr="00B03E48" w:rsidRDefault="00F1718F" w:rsidP="004637C7">
      <w:pPr>
        <w:pStyle w:val="Title5"/>
      </w:pPr>
      <w:r>
        <w:t>Identification et évaluation des i</w:t>
      </w:r>
      <w:r w:rsidRPr="00B77115">
        <w:t>mpact</w:t>
      </w:r>
      <w:r>
        <w:t>s et risques</w:t>
      </w:r>
    </w:p>
    <w:p w14:paraId="4B3FEF45" w14:textId="274FDF98" w:rsidR="00B03E48" w:rsidRPr="00B03E48" w:rsidRDefault="00F1718F" w:rsidP="0001633E">
      <w:pPr>
        <w:pStyle w:val="AltTitle2"/>
        <w:numPr>
          <w:ilvl w:val="0"/>
          <w:numId w:val="106"/>
        </w:numPr>
      </w:pPr>
      <w:r>
        <w:t>Modification du cadre visuel</w:t>
      </w:r>
    </w:p>
    <w:p w14:paraId="0E6B3F61" w14:textId="5BEB2F62" w:rsidR="000A5BE3" w:rsidRDefault="000A5BE3" w:rsidP="000A5BE3">
      <w:pPr>
        <w:rPr>
          <w:lang w:eastAsia="zh-CN"/>
        </w:rPr>
      </w:pPr>
      <w:r w:rsidRPr="000A5BE3">
        <w:rPr>
          <w:lang w:eastAsia="zh-CN"/>
        </w:rPr>
        <w:t>La mise en service de l’extension du parking avions entraîner</w:t>
      </w:r>
      <w:r w:rsidR="00A20A3E">
        <w:rPr>
          <w:lang w:eastAsia="zh-CN"/>
        </w:rPr>
        <w:t>a</w:t>
      </w:r>
      <w:r w:rsidRPr="000A5BE3">
        <w:rPr>
          <w:lang w:eastAsia="zh-CN"/>
        </w:rPr>
        <w:t xml:space="preserve"> une </w:t>
      </w:r>
      <w:r w:rsidRPr="004637C7">
        <w:rPr>
          <w:lang w:eastAsia="zh-CN"/>
        </w:rPr>
        <w:t>modification durable du cadre visuel</w:t>
      </w:r>
      <w:r w:rsidRPr="000A5BE3">
        <w:rPr>
          <w:lang w:eastAsia="zh-CN"/>
        </w:rPr>
        <w:t xml:space="preserve"> de la plateforme aéroportuaire.</w:t>
      </w:r>
    </w:p>
    <w:p w14:paraId="2C3F0E09" w14:textId="0F58623E" w:rsidR="000A5BE3" w:rsidRPr="000A5BE3" w:rsidRDefault="000A5BE3" w:rsidP="000A5BE3">
      <w:pPr>
        <w:rPr>
          <w:lang w:eastAsia="zh-CN"/>
        </w:rPr>
      </w:pPr>
      <w:r w:rsidRPr="000A5BE3">
        <w:rPr>
          <w:lang w:eastAsia="zh-CN"/>
        </w:rPr>
        <w:t>L’ajout de nouvelles surfaces asphaltées, l’augmentation du nombre de postes de stationnement et la présence régulière d’aéronefs stationnés modifieront la composition visuelle du site.</w:t>
      </w:r>
      <w:r>
        <w:rPr>
          <w:lang w:eastAsia="zh-CN"/>
        </w:rPr>
        <w:t xml:space="preserve"> </w:t>
      </w:r>
      <w:r w:rsidRPr="000A5BE3">
        <w:rPr>
          <w:lang w:eastAsia="zh-CN"/>
        </w:rPr>
        <w:t xml:space="preserve">Ces aménagements renforceront l’aspect </w:t>
      </w:r>
      <w:r w:rsidRPr="004637C7">
        <w:rPr>
          <w:lang w:eastAsia="zh-CN"/>
        </w:rPr>
        <w:t>infrastructurel et fonctionnel</w:t>
      </w:r>
      <w:r w:rsidRPr="000A5BE3">
        <w:rPr>
          <w:lang w:eastAsia="zh-CN"/>
        </w:rPr>
        <w:t xml:space="preserve"> de l’aéroport, mais sans introduire de rupture majeure dans la perception du paysage : ils s’inscrivent dans la continuité du terminal, des pistes et des parkings existants.</w:t>
      </w:r>
    </w:p>
    <w:p w14:paraId="0A300572" w14:textId="77777777" w:rsidR="000A5BE3" w:rsidRPr="00E160C3" w:rsidRDefault="000A5BE3" w:rsidP="000A5BE3">
      <w:pPr>
        <w:rPr>
          <w:lang w:eastAsia="zh-CN"/>
        </w:rPr>
      </w:pPr>
      <w:r w:rsidRPr="000A5BE3">
        <w:rPr>
          <w:lang w:eastAsia="zh-CN"/>
        </w:rPr>
        <w:t>Le paysage environnant, caracté</w:t>
      </w:r>
      <w:r w:rsidRPr="00E160C3">
        <w:rPr>
          <w:lang w:eastAsia="zh-CN"/>
        </w:rPr>
        <w:t xml:space="preserve">risé par un </w:t>
      </w:r>
      <w:r w:rsidRPr="004637C7">
        <w:rPr>
          <w:lang w:eastAsia="zh-CN"/>
        </w:rPr>
        <w:t>relief plat</w:t>
      </w:r>
      <w:r w:rsidRPr="00E160C3">
        <w:rPr>
          <w:lang w:eastAsia="zh-CN"/>
        </w:rPr>
        <w:t xml:space="preserve">, une </w:t>
      </w:r>
      <w:r w:rsidRPr="004637C7">
        <w:rPr>
          <w:lang w:eastAsia="zh-CN"/>
        </w:rPr>
        <w:t>végétation steppique clairsemée</w:t>
      </w:r>
      <w:r w:rsidRPr="00E160C3">
        <w:rPr>
          <w:lang w:eastAsia="zh-CN"/>
        </w:rPr>
        <w:t xml:space="preserve"> et de larges espaces ouverts, ne présente pas de valeur paysagère ou patrimoniale particulière.</w:t>
      </w:r>
    </w:p>
    <w:p w14:paraId="0A0A45AA" w14:textId="6E6B22F5" w:rsidR="000A5BE3" w:rsidRPr="00F52B7A" w:rsidRDefault="000A5BE3" w:rsidP="000A5BE3">
      <w:pPr>
        <w:rPr>
          <w:lang w:eastAsia="zh-CN"/>
        </w:rPr>
      </w:pPr>
      <w:r w:rsidRPr="00E160C3">
        <w:rPr>
          <w:lang w:eastAsia="zh-CN"/>
        </w:rPr>
        <w:t xml:space="preserve">Le site </w:t>
      </w:r>
      <w:r w:rsidRPr="00F52B7A">
        <w:rPr>
          <w:lang w:eastAsia="zh-CN"/>
        </w:rPr>
        <w:t xml:space="preserve">est déjà marqué par la </w:t>
      </w:r>
      <w:r w:rsidRPr="004637C7">
        <w:rPr>
          <w:lang w:eastAsia="zh-CN"/>
        </w:rPr>
        <w:t>dominance de l’infrastructure aéroportuaire</w:t>
      </w:r>
      <w:r w:rsidRPr="00F52B7A">
        <w:rPr>
          <w:lang w:eastAsia="zh-CN"/>
        </w:rPr>
        <w:t xml:space="preserve">, visible depuis la </w:t>
      </w:r>
      <w:r w:rsidRPr="004637C7">
        <w:rPr>
          <w:lang w:eastAsia="zh-CN"/>
        </w:rPr>
        <w:t xml:space="preserve">Route </w:t>
      </w:r>
      <w:r w:rsidR="007B481F">
        <w:rPr>
          <w:lang w:eastAsia="zh-CN"/>
        </w:rPr>
        <w:t>régionale</w:t>
      </w:r>
      <w:r w:rsidRPr="004637C7">
        <w:rPr>
          <w:lang w:eastAsia="zh-CN"/>
        </w:rPr>
        <w:t xml:space="preserve"> </w:t>
      </w:r>
      <w:r w:rsidR="007B481F">
        <w:rPr>
          <w:lang w:eastAsia="zh-CN"/>
        </w:rPr>
        <w:t>R212</w:t>
      </w:r>
      <w:r w:rsidRPr="00F52B7A">
        <w:rPr>
          <w:lang w:eastAsia="zh-CN"/>
        </w:rPr>
        <w:t xml:space="preserve">, qui constitue le principal axe de perception externe. Ainsi, bien que la nouvelle aire de stationnement accroisse légèrement la surface bâtie et imperméabilisée, l’effet visuel restera </w:t>
      </w:r>
      <w:r w:rsidRPr="004637C7">
        <w:rPr>
          <w:lang w:eastAsia="zh-CN"/>
        </w:rPr>
        <w:t>cohérent avec la morphologie du site existant</w:t>
      </w:r>
      <w:r w:rsidRPr="00F52B7A">
        <w:rPr>
          <w:lang w:eastAsia="zh-CN"/>
        </w:rPr>
        <w:t xml:space="preserve"> et </w:t>
      </w:r>
      <w:r w:rsidRPr="004637C7">
        <w:rPr>
          <w:lang w:eastAsia="zh-CN"/>
        </w:rPr>
        <w:t>compatible avec la vocation technique du lieu</w:t>
      </w:r>
      <w:r w:rsidRPr="00F52B7A">
        <w:rPr>
          <w:lang w:eastAsia="zh-CN"/>
        </w:rPr>
        <w:t>.</w:t>
      </w:r>
    </w:p>
    <w:p w14:paraId="22C385DD" w14:textId="77777777" w:rsidR="00E160C3" w:rsidRPr="00F52B7A" w:rsidRDefault="000A5BE3" w:rsidP="000A5BE3">
      <w:pPr>
        <w:rPr>
          <w:lang w:eastAsia="zh-CN"/>
        </w:rPr>
      </w:pPr>
      <w:r w:rsidRPr="00F52B7A">
        <w:rPr>
          <w:lang w:eastAsia="zh-CN"/>
        </w:rPr>
        <w:t xml:space="preserve">L’impact est de </w:t>
      </w:r>
      <w:r w:rsidRPr="004637C7">
        <w:rPr>
          <w:lang w:eastAsia="zh-CN"/>
        </w:rPr>
        <w:t>type négatif et direct</w:t>
      </w:r>
      <w:r w:rsidRPr="00F52B7A">
        <w:rPr>
          <w:lang w:eastAsia="zh-CN"/>
        </w:rPr>
        <w:t>, puisqu’il découle de la transformation permanente du paysage par la présence d’infrastructures nouvelles.</w:t>
      </w:r>
    </w:p>
    <w:p w14:paraId="1D807395" w14:textId="200EA959" w:rsidR="00E160C3" w:rsidRPr="00F52B7A" w:rsidRDefault="000A5BE3" w:rsidP="000A5BE3">
      <w:pPr>
        <w:rPr>
          <w:lang w:eastAsia="zh-CN"/>
        </w:rPr>
      </w:pPr>
      <w:r w:rsidRPr="00F52B7A">
        <w:rPr>
          <w:lang w:eastAsia="zh-CN"/>
        </w:rPr>
        <w:t>L’</w:t>
      </w:r>
      <w:r w:rsidRPr="004637C7">
        <w:rPr>
          <w:lang w:eastAsia="zh-CN"/>
        </w:rPr>
        <w:t>étendue</w:t>
      </w:r>
      <w:r w:rsidRPr="00F52B7A">
        <w:rPr>
          <w:lang w:eastAsia="zh-CN"/>
        </w:rPr>
        <w:t xml:space="preserve"> est </w:t>
      </w:r>
      <w:r w:rsidRPr="004637C7">
        <w:rPr>
          <w:lang w:eastAsia="zh-CN"/>
        </w:rPr>
        <w:t>locale</w:t>
      </w:r>
      <w:r w:rsidRPr="00F52B7A">
        <w:rPr>
          <w:lang w:eastAsia="zh-CN"/>
        </w:rPr>
        <w:t xml:space="preserve">, perceptible essentiellement depuis la </w:t>
      </w:r>
      <w:r w:rsidR="007B481F">
        <w:rPr>
          <w:lang w:eastAsia="zh-CN"/>
        </w:rPr>
        <w:t>RR212</w:t>
      </w:r>
      <w:r w:rsidRPr="00F52B7A">
        <w:rPr>
          <w:lang w:eastAsia="zh-CN"/>
        </w:rPr>
        <w:t xml:space="preserve"> et quelques zones dégagées au</w:t>
      </w:r>
      <w:r w:rsidR="00E160C3" w:rsidRPr="00F52B7A">
        <w:rPr>
          <w:lang w:eastAsia="zh-CN"/>
        </w:rPr>
        <w:t>tour du site</w:t>
      </w:r>
      <w:r w:rsidRPr="00F52B7A">
        <w:rPr>
          <w:lang w:eastAsia="zh-CN"/>
        </w:rPr>
        <w:t>.</w:t>
      </w:r>
    </w:p>
    <w:p w14:paraId="63DDC9BC" w14:textId="77777777" w:rsidR="00E160C3" w:rsidRPr="00F52B7A" w:rsidRDefault="000A5BE3" w:rsidP="000A5BE3">
      <w:pPr>
        <w:rPr>
          <w:lang w:eastAsia="zh-CN"/>
        </w:rPr>
      </w:pPr>
      <w:r w:rsidRPr="00F52B7A">
        <w:rPr>
          <w:lang w:eastAsia="zh-CN"/>
        </w:rPr>
        <w:t xml:space="preserve">La </w:t>
      </w:r>
      <w:r w:rsidRPr="004637C7">
        <w:rPr>
          <w:lang w:eastAsia="zh-CN"/>
        </w:rPr>
        <w:t>durée</w:t>
      </w:r>
      <w:r w:rsidRPr="00F52B7A">
        <w:rPr>
          <w:lang w:eastAsia="zh-CN"/>
        </w:rPr>
        <w:t xml:space="preserve"> est </w:t>
      </w:r>
      <w:r w:rsidRPr="004637C7">
        <w:rPr>
          <w:lang w:eastAsia="zh-CN"/>
        </w:rPr>
        <w:t>permanente</w:t>
      </w:r>
      <w:r w:rsidRPr="00F52B7A">
        <w:rPr>
          <w:lang w:eastAsia="zh-CN"/>
        </w:rPr>
        <w:t>, correspondant à la durée de vie de l’infrastructure.</w:t>
      </w:r>
      <w:r w:rsidR="00E160C3" w:rsidRPr="00F52B7A">
        <w:rPr>
          <w:lang w:eastAsia="zh-CN"/>
        </w:rPr>
        <w:t xml:space="preserve"> </w:t>
      </w:r>
    </w:p>
    <w:p w14:paraId="57FFDA4E" w14:textId="77777777" w:rsidR="00E160C3" w:rsidRPr="00F52B7A" w:rsidRDefault="000A5BE3" w:rsidP="000A5BE3">
      <w:pPr>
        <w:rPr>
          <w:lang w:eastAsia="zh-CN"/>
        </w:rPr>
      </w:pPr>
      <w:r w:rsidRPr="00F52B7A">
        <w:rPr>
          <w:lang w:eastAsia="zh-CN"/>
        </w:rPr>
        <w:t xml:space="preserve">La </w:t>
      </w:r>
      <w:r w:rsidRPr="004637C7">
        <w:rPr>
          <w:lang w:eastAsia="zh-CN"/>
        </w:rPr>
        <w:t>fréquence</w:t>
      </w:r>
      <w:r w:rsidRPr="00F52B7A">
        <w:rPr>
          <w:lang w:eastAsia="zh-CN"/>
        </w:rPr>
        <w:t xml:space="preserve"> est </w:t>
      </w:r>
      <w:r w:rsidRPr="004637C7">
        <w:rPr>
          <w:lang w:eastAsia="zh-CN"/>
        </w:rPr>
        <w:t>continue</w:t>
      </w:r>
      <w:r w:rsidRPr="00F52B7A">
        <w:rPr>
          <w:lang w:eastAsia="zh-CN"/>
        </w:rPr>
        <w:t>, l’effet étant présent de manière constante dans le champ visuel diurne.</w:t>
      </w:r>
    </w:p>
    <w:p w14:paraId="68F94D71" w14:textId="77777777" w:rsidR="007B481F" w:rsidRDefault="007B481F" w:rsidP="000A5BE3">
      <w:pPr>
        <w:rPr>
          <w:lang w:eastAsia="zh-CN"/>
        </w:rPr>
      </w:pPr>
    </w:p>
    <w:p w14:paraId="52601EC9" w14:textId="77777777" w:rsidR="007B481F" w:rsidRDefault="007B481F" w:rsidP="000A5BE3">
      <w:pPr>
        <w:rPr>
          <w:lang w:eastAsia="zh-CN"/>
        </w:rPr>
      </w:pPr>
    </w:p>
    <w:p w14:paraId="254B53BF" w14:textId="3F1CE3E8" w:rsidR="00E160C3" w:rsidRPr="00F52B7A" w:rsidRDefault="000A5BE3" w:rsidP="000A5BE3">
      <w:pPr>
        <w:rPr>
          <w:lang w:eastAsia="zh-CN"/>
        </w:rPr>
      </w:pPr>
      <w:r w:rsidRPr="00F52B7A">
        <w:rPr>
          <w:lang w:eastAsia="zh-CN"/>
        </w:rPr>
        <w:t>L’</w:t>
      </w:r>
      <w:r w:rsidRPr="004637C7">
        <w:rPr>
          <w:lang w:eastAsia="zh-CN"/>
        </w:rPr>
        <w:t>intensité</w:t>
      </w:r>
      <w:r w:rsidRPr="00F52B7A">
        <w:rPr>
          <w:lang w:eastAsia="zh-CN"/>
        </w:rPr>
        <w:t xml:space="preserve"> est évaluée comme </w:t>
      </w:r>
      <w:r w:rsidRPr="004637C7">
        <w:rPr>
          <w:lang w:eastAsia="zh-CN"/>
        </w:rPr>
        <w:t>faible</w:t>
      </w:r>
      <w:r w:rsidRPr="00F52B7A">
        <w:rPr>
          <w:lang w:eastAsia="zh-CN"/>
        </w:rPr>
        <w:t>, car la modification du cadre visuel est réelle mais limitée à l’intérieur d’un site déjà fortement anthropisé.</w:t>
      </w:r>
    </w:p>
    <w:p w14:paraId="471F4ECB" w14:textId="3ED24FC7" w:rsidR="000A5BE3" w:rsidRPr="00F52B7A" w:rsidRDefault="000A5BE3" w:rsidP="000A5BE3">
      <w:pPr>
        <w:rPr>
          <w:lang w:eastAsia="zh-CN"/>
        </w:rPr>
      </w:pPr>
      <w:r w:rsidRPr="00F52B7A">
        <w:rPr>
          <w:lang w:eastAsia="zh-CN"/>
        </w:rPr>
        <w:t xml:space="preserve">La </w:t>
      </w:r>
      <w:r w:rsidRPr="004637C7">
        <w:rPr>
          <w:lang w:eastAsia="zh-CN"/>
        </w:rPr>
        <w:t>sensibilité des récepteurs</w:t>
      </w:r>
      <w:r w:rsidRPr="00F52B7A">
        <w:rPr>
          <w:lang w:eastAsia="zh-CN"/>
        </w:rPr>
        <w:t xml:space="preserve"> est </w:t>
      </w:r>
      <w:r w:rsidRPr="004637C7">
        <w:rPr>
          <w:lang w:eastAsia="zh-CN"/>
        </w:rPr>
        <w:t>variable</w:t>
      </w:r>
      <w:r w:rsidRPr="00F52B7A">
        <w:rPr>
          <w:lang w:eastAsia="zh-CN"/>
        </w:rPr>
        <w:t xml:space="preserve"> :</w:t>
      </w:r>
    </w:p>
    <w:p w14:paraId="171E98E4" w14:textId="77777777" w:rsidR="000A5BE3" w:rsidRPr="00F52B7A" w:rsidRDefault="000A5BE3" w:rsidP="0001633E">
      <w:pPr>
        <w:numPr>
          <w:ilvl w:val="0"/>
          <w:numId w:val="113"/>
        </w:numPr>
        <w:rPr>
          <w:lang w:eastAsia="zh-CN"/>
        </w:rPr>
      </w:pPr>
      <w:r w:rsidRPr="004637C7">
        <w:rPr>
          <w:lang w:eastAsia="zh-CN"/>
        </w:rPr>
        <w:t>Moyenne</w:t>
      </w:r>
      <w:r w:rsidRPr="00F52B7A">
        <w:rPr>
          <w:lang w:eastAsia="zh-CN"/>
        </w:rPr>
        <w:t xml:space="preserve"> pour les </w:t>
      </w:r>
      <w:r w:rsidRPr="004637C7">
        <w:rPr>
          <w:lang w:eastAsia="zh-CN"/>
        </w:rPr>
        <w:t>usagers de l’aéroport</w:t>
      </w:r>
      <w:r w:rsidRPr="00F52B7A">
        <w:rPr>
          <w:lang w:eastAsia="zh-CN"/>
        </w:rPr>
        <w:t>, qui évoluent dans un cadre visuellement structuré et adapté à la fonction aéronautique ;</w:t>
      </w:r>
    </w:p>
    <w:p w14:paraId="0BDC1FD3" w14:textId="7AEE1C45" w:rsidR="000A5BE3" w:rsidRPr="00F52B7A" w:rsidRDefault="00E160C3" w:rsidP="0001633E">
      <w:pPr>
        <w:numPr>
          <w:ilvl w:val="0"/>
          <w:numId w:val="113"/>
        </w:numPr>
        <w:rPr>
          <w:lang w:eastAsia="zh-CN"/>
        </w:rPr>
      </w:pPr>
      <w:r w:rsidRPr="004637C7">
        <w:rPr>
          <w:lang w:eastAsia="zh-CN"/>
        </w:rPr>
        <w:t>F</w:t>
      </w:r>
      <w:r w:rsidR="000A5BE3" w:rsidRPr="004637C7">
        <w:rPr>
          <w:lang w:eastAsia="zh-CN"/>
        </w:rPr>
        <w:t>aible</w:t>
      </w:r>
      <w:r w:rsidR="000A5BE3" w:rsidRPr="00F52B7A">
        <w:rPr>
          <w:lang w:eastAsia="zh-CN"/>
        </w:rPr>
        <w:t xml:space="preserve"> pour les </w:t>
      </w:r>
      <w:r w:rsidR="000A5BE3" w:rsidRPr="004637C7">
        <w:rPr>
          <w:lang w:eastAsia="zh-CN"/>
        </w:rPr>
        <w:t xml:space="preserve">usagers de la </w:t>
      </w:r>
      <w:r w:rsidR="007B481F">
        <w:rPr>
          <w:lang w:eastAsia="zh-CN"/>
        </w:rPr>
        <w:t>RR212</w:t>
      </w:r>
      <w:r w:rsidR="000A5BE3" w:rsidRPr="00F52B7A">
        <w:rPr>
          <w:lang w:eastAsia="zh-CN"/>
        </w:rPr>
        <w:t>, exposés de manière ponctuelle et en mouvement ;</w:t>
      </w:r>
    </w:p>
    <w:p w14:paraId="22EB3059" w14:textId="65CE8FCE" w:rsidR="00F52B7A" w:rsidRPr="004637C7" w:rsidRDefault="000A5BE3" w:rsidP="000A5BE3">
      <w:pPr>
        <w:rPr>
          <w:lang w:eastAsia="zh-CN"/>
        </w:rPr>
      </w:pPr>
      <w:r w:rsidRPr="00F52B7A">
        <w:rPr>
          <w:lang w:eastAsia="zh-CN"/>
        </w:rPr>
        <w:t xml:space="preserve">La combinaison d’une </w:t>
      </w:r>
      <w:r w:rsidRPr="004637C7">
        <w:rPr>
          <w:lang w:eastAsia="zh-CN"/>
        </w:rPr>
        <w:t xml:space="preserve">intensité faible </w:t>
      </w:r>
      <w:r w:rsidRPr="00F52B7A">
        <w:rPr>
          <w:lang w:eastAsia="zh-CN"/>
        </w:rPr>
        <w:t xml:space="preserve">et d’une </w:t>
      </w:r>
      <w:r w:rsidRPr="004637C7">
        <w:rPr>
          <w:lang w:eastAsia="zh-CN"/>
        </w:rPr>
        <w:t>sensibilité faible à moyenne</w:t>
      </w:r>
      <w:r w:rsidRPr="00F52B7A">
        <w:rPr>
          <w:lang w:eastAsia="zh-CN"/>
        </w:rPr>
        <w:t xml:space="preserve"> conduit à un </w:t>
      </w:r>
      <w:r w:rsidRPr="004637C7">
        <w:rPr>
          <w:lang w:eastAsia="zh-CN"/>
        </w:rPr>
        <w:t xml:space="preserve">impact d’importance </w:t>
      </w:r>
      <w:r w:rsidR="00F52B7A" w:rsidRPr="004637C7">
        <w:rPr>
          <w:lang w:eastAsia="zh-CN"/>
        </w:rPr>
        <w:t>Négligeable</w:t>
      </w:r>
      <w:r w:rsidRPr="004637C7">
        <w:rPr>
          <w:lang w:eastAsia="zh-CN"/>
        </w:rPr>
        <w:t xml:space="preserve"> à </w:t>
      </w:r>
      <w:r w:rsidR="00F52B7A" w:rsidRPr="004637C7">
        <w:rPr>
          <w:lang w:eastAsia="zh-CN"/>
        </w:rPr>
        <w:t>mineure.</w:t>
      </w:r>
    </w:p>
    <w:p w14:paraId="013A2E3C" w14:textId="460F85A5" w:rsidR="000A5BE3" w:rsidRDefault="000A5BE3" w:rsidP="000A5BE3">
      <w:pPr>
        <w:rPr>
          <w:lang w:eastAsia="zh-CN"/>
        </w:rPr>
      </w:pPr>
      <w:r w:rsidRPr="00F52B7A">
        <w:rPr>
          <w:lang w:eastAsia="zh-CN"/>
        </w:rPr>
        <w:t>L’effet est visuellement perceptible mais non déstructurant, et il s’intègre de façon logique dans le paysage fonctionnel du complexe aéroportuaire.</w:t>
      </w:r>
    </w:p>
    <w:tbl>
      <w:tblPr>
        <w:tblStyle w:val="TableauGrille1Clair-Accentuation111"/>
        <w:tblW w:w="0" w:type="auto"/>
        <w:tblLook w:val="04A0" w:firstRow="1" w:lastRow="0" w:firstColumn="1" w:lastColumn="0" w:noHBand="0" w:noVBand="1"/>
      </w:tblPr>
      <w:tblGrid>
        <w:gridCol w:w="792"/>
        <w:gridCol w:w="1563"/>
        <w:gridCol w:w="1382"/>
        <w:gridCol w:w="3310"/>
        <w:gridCol w:w="1366"/>
      </w:tblGrid>
      <w:tr w:rsidR="006078CF" w:rsidRPr="00B95A9D" w14:paraId="555A3B35" w14:textId="77777777" w:rsidTr="00A2498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04035BF3" w14:textId="77777777" w:rsidR="006771EF" w:rsidRPr="00B95A9D" w:rsidRDefault="006771EF" w:rsidP="004637C7">
            <w:pPr>
              <w:jc w:val="center"/>
              <w:rPr>
                <w:rFonts w:asciiTheme="minorHAnsi" w:hAnsiTheme="minorHAnsi" w:cstheme="minorHAnsi"/>
                <w:szCs w:val="20"/>
                <w:lang w:eastAsia="fr-FR" w:bidi="ar-SA"/>
              </w:rPr>
            </w:pPr>
            <w:r w:rsidRPr="00B95A9D">
              <w:rPr>
                <w:rFonts w:asciiTheme="minorHAnsi" w:hAnsiTheme="minorHAnsi" w:cstheme="minorHAnsi"/>
                <w:szCs w:val="20"/>
                <w:lang w:eastAsia="fr-FR" w:bidi="ar-SA"/>
              </w:rPr>
              <w:t>Impact</w:t>
            </w:r>
          </w:p>
        </w:tc>
        <w:tc>
          <w:tcPr>
            <w:tcW w:w="1563" w:type="dxa"/>
            <w:vAlign w:val="center"/>
            <w:hideMark/>
          </w:tcPr>
          <w:p w14:paraId="0FEB2E41" w14:textId="77777777" w:rsidR="006771EF" w:rsidRPr="00B95A9D" w:rsidRDefault="006771EF" w:rsidP="004637C7">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sidRPr="00B95A9D">
              <w:rPr>
                <w:rFonts w:asciiTheme="minorHAnsi" w:hAnsiTheme="minorHAnsi" w:cstheme="minorHAnsi"/>
                <w:szCs w:val="20"/>
                <w:lang w:eastAsia="fr-FR" w:bidi="ar-SA"/>
              </w:rPr>
              <w:t>Activités génératrices</w:t>
            </w:r>
          </w:p>
        </w:tc>
        <w:tc>
          <w:tcPr>
            <w:tcW w:w="1382" w:type="dxa"/>
            <w:vAlign w:val="center"/>
            <w:hideMark/>
          </w:tcPr>
          <w:p w14:paraId="4C5A3733" w14:textId="77777777" w:rsidR="006771EF" w:rsidRPr="00B95A9D" w:rsidRDefault="006771EF" w:rsidP="004637C7">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sidRPr="00B95A9D">
              <w:rPr>
                <w:rFonts w:asciiTheme="minorHAnsi" w:hAnsiTheme="minorHAnsi" w:cstheme="minorHAnsi"/>
                <w:szCs w:val="20"/>
                <w:lang w:eastAsia="fr-FR" w:bidi="ar-SA"/>
              </w:rPr>
              <w:t>Critère</w:t>
            </w:r>
          </w:p>
        </w:tc>
        <w:tc>
          <w:tcPr>
            <w:tcW w:w="3310" w:type="dxa"/>
            <w:vAlign w:val="center"/>
            <w:hideMark/>
          </w:tcPr>
          <w:p w14:paraId="3C047339" w14:textId="77777777" w:rsidR="006771EF" w:rsidRPr="00B95A9D" w:rsidRDefault="006771EF" w:rsidP="004637C7">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sidRPr="00B95A9D">
              <w:rPr>
                <w:rFonts w:asciiTheme="minorHAnsi" w:hAnsiTheme="minorHAnsi" w:cstheme="minorHAnsi"/>
                <w:szCs w:val="20"/>
                <w:lang w:eastAsia="fr-FR" w:bidi="ar-SA"/>
              </w:rPr>
              <w:t>Justification</w:t>
            </w:r>
          </w:p>
        </w:tc>
        <w:tc>
          <w:tcPr>
            <w:tcW w:w="1366" w:type="dxa"/>
            <w:vAlign w:val="center"/>
            <w:hideMark/>
          </w:tcPr>
          <w:p w14:paraId="11C5276E" w14:textId="77777777" w:rsidR="006771EF" w:rsidRPr="00B95A9D" w:rsidRDefault="006771EF" w:rsidP="004637C7">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sidRPr="00B95A9D">
              <w:rPr>
                <w:rFonts w:asciiTheme="minorHAnsi" w:hAnsiTheme="minorHAnsi" w:cstheme="minorHAnsi"/>
                <w:szCs w:val="20"/>
                <w:lang w:eastAsia="fr-FR" w:bidi="ar-SA"/>
              </w:rPr>
              <w:t>Niveau</w:t>
            </w:r>
          </w:p>
        </w:tc>
      </w:tr>
      <w:tr w:rsidR="00D72C6A" w:rsidRPr="00B95A9D" w14:paraId="59BCC06C" w14:textId="77777777" w:rsidTr="005A7661">
        <w:tc>
          <w:tcPr>
            <w:cnfStyle w:val="001000000000" w:firstRow="0" w:lastRow="0" w:firstColumn="1" w:lastColumn="0" w:oddVBand="0" w:evenVBand="0" w:oddHBand="0" w:evenHBand="0" w:firstRowFirstColumn="0" w:firstRowLastColumn="0" w:lastRowFirstColumn="0" w:lastRowLastColumn="0"/>
            <w:tcW w:w="0" w:type="auto"/>
            <w:vMerge w:val="restart"/>
            <w:textDirection w:val="btLr"/>
            <w:vAlign w:val="center"/>
          </w:tcPr>
          <w:p w14:paraId="631D59CF" w14:textId="53B01092" w:rsidR="00D72C6A" w:rsidRPr="00B95A9D" w:rsidRDefault="00D72C6A" w:rsidP="004637C7">
            <w:pPr>
              <w:ind w:left="113" w:right="113"/>
              <w:jc w:val="center"/>
              <w:rPr>
                <w:rFonts w:asciiTheme="minorHAnsi" w:hAnsiTheme="minorHAnsi" w:cstheme="minorHAnsi"/>
                <w:szCs w:val="20"/>
                <w:lang w:eastAsia="fr-FR" w:bidi="ar-SA"/>
              </w:rPr>
            </w:pPr>
            <w:r>
              <w:rPr>
                <w:rFonts w:asciiTheme="minorHAnsi" w:hAnsiTheme="minorHAnsi" w:cstheme="minorHAnsi"/>
                <w:szCs w:val="20"/>
                <w:lang w:eastAsia="fr-FR" w:bidi="ar-SA"/>
              </w:rPr>
              <w:t>Modification du cadre visuel</w:t>
            </w:r>
          </w:p>
        </w:tc>
        <w:tc>
          <w:tcPr>
            <w:tcW w:w="1563" w:type="dxa"/>
            <w:vMerge w:val="restart"/>
          </w:tcPr>
          <w:p w14:paraId="0F0E8336" w14:textId="08DA4695" w:rsidR="00D72C6A" w:rsidRPr="006771EF" w:rsidRDefault="00D72C6A" w:rsidP="006771E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sidRPr="006771EF">
              <w:rPr>
                <w:rFonts w:asciiTheme="minorHAnsi" w:hAnsiTheme="minorHAnsi" w:cstheme="minorHAnsi"/>
                <w:szCs w:val="20"/>
                <w:lang w:eastAsia="fr-FR" w:bidi="ar-SA"/>
              </w:rPr>
              <w:t xml:space="preserve">Présence permanente du nouveau parking avions </w:t>
            </w:r>
          </w:p>
          <w:p w14:paraId="3ACC6730" w14:textId="38D27FB9" w:rsidR="00D72C6A" w:rsidRPr="006771EF" w:rsidRDefault="00D72C6A" w:rsidP="006771E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sidRPr="006771EF">
              <w:rPr>
                <w:rFonts w:asciiTheme="minorHAnsi" w:hAnsiTheme="minorHAnsi" w:cstheme="minorHAnsi"/>
                <w:szCs w:val="20"/>
                <w:lang w:eastAsia="fr-FR" w:bidi="ar-SA"/>
              </w:rPr>
              <w:t xml:space="preserve">-Stationnement simultané d’aéronefs </w:t>
            </w:r>
          </w:p>
          <w:p w14:paraId="780B3A2E" w14:textId="4E1BD0F7" w:rsidR="00D72C6A" w:rsidRPr="00B95A9D" w:rsidRDefault="00D72C6A" w:rsidP="006771E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sidRPr="006771EF">
              <w:rPr>
                <w:rFonts w:asciiTheme="minorHAnsi" w:hAnsiTheme="minorHAnsi" w:cstheme="minorHAnsi"/>
                <w:szCs w:val="20"/>
                <w:lang w:eastAsia="fr-FR" w:bidi="ar-SA"/>
              </w:rPr>
              <w:t>Création d’une bretelle de liaison reliant les pistes au parking</w:t>
            </w:r>
          </w:p>
        </w:tc>
        <w:tc>
          <w:tcPr>
            <w:tcW w:w="1382" w:type="dxa"/>
            <w:hideMark/>
          </w:tcPr>
          <w:p w14:paraId="61C3EAB3" w14:textId="77777777" w:rsidR="00D72C6A" w:rsidRPr="00B95A9D" w:rsidRDefault="00D72C6A" w:rsidP="005A766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Cs w:val="20"/>
                <w:lang w:eastAsia="fr-FR" w:bidi="ar-SA"/>
              </w:rPr>
            </w:pPr>
            <w:r w:rsidRPr="00B95A9D">
              <w:rPr>
                <w:rFonts w:asciiTheme="minorHAnsi" w:hAnsiTheme="minorHAnsi" w:cstheme="minorHAnsi"/>
                <w:b/>
                <w:bCs/>
                <w:szCs w:val="20"/>
                <w:lang w:eastAsia="fr-FR" w:bidi="ar-SA"/>
              </w:rPr>
              <w:t>Nature</w:t>
            </w:r>
          </w:p>
        </w:tc>
        <w:tc>
          <w:tcPr>
            <w:tcW w:w="4676" w:type="dxa"/>
            <w:gridSpan w:val="2"/>
          </w:tcPr>
          <w:p w14:paraId="340FB5C3" w14:textId="77777777" w:rsidR="00D72C6A" w:rsidRPr="00B95A9D" w:rsidRDefault="00D72C6A" w:rsidP="005A766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Pr>
                <w:rFonts w:asciiTheme="minorHAnsi" w:hAnsiTheme="minorHAnsi" w:cstheme="minorHAnsi"/>
                <w:szCs w:val="20"/>
                <w:lang w:eastAsia="fr-FR" w:bidi="ar-SA"/>
              </w:rPr>
              <w:t>Direct négatif</w:t>
            </w:r>
          </w:p>
        </w:tc>
      </w:tr>
      <w:tr w:rsidR="00D72C6A" w:rsidRPr="00B95A9D" w14:paraId="6CD7EC48" w14:textId="77777777" w:rsidTr="005A7661">
        <w:tc>
          <w:tcPr>
            <w:cnfStyle w:val="001000000000" w:firstRow="0" w:lastRow="0" w:firstColumn="1" w:lastColumn="0" w:oddVBand="0" w:evenVBand="0" w:oddHBand="0" w:evenHBand="0" w:firstRowFirstColumn="0" w:firstRowLastColumn="0" w:lastRowFirstColumn="0" w:lastRowLastColumn="0"/>
            <w:tcW w:w="0" w:type="auto"/>
            <w:vMerge/>
            <w:hideMark/>
          </w:tcPr>
          <w:p w14:paraId="392ECD1F" w14:textId="77777777" w:rsidR="00D72C6A" w:rsidRPr="00B95A9D" w:rsidRDefault="00D72C6A" w:rsidP="005A7661">
            <w:pPr>
              <w:rPr>
                <w:rFonts w:asciiTheme="minorHAnsi" w:hAnsiTheme="minorHAnsi" w:cstheme="minorHAnsi"/>
                <w:szCs w:val="20"/>
                <w:lang w:eastAsia="fr-FR" w:bidi="ar-SA"/>
              </w:rPr>
            </w:pPr>
          </w:p>
        </w:tc>
        <w:tc>
          <w:tcPr>
            <w:tcW w:w="1563" w:type="dxa"/>
            <w:vMerge/>
            <w:hideMark/>
          </w:tcPr>
          <w:p w14:paraId="537FE897" w14:textId="77777777" w:rsidR="00D72C6A" w:rsidRPr="00B95A9D" w:rsidRDefault="00D72C6A" w:rsidP="005A766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p>
        </w:tc>
        <w:tc>
          <w:tcPr>
            <w:tcW w:w="1382" w:type="dxa"/>
            <w:hideMark/>
          </w:tcPr>
          <w:p w14:paraId="6D0AC9E3" w14:textId="77777777" w:rsidR="00D72C6A" w:rsidRPr="00B95A9D" w:rsidRDefault="00D72C6A" w:rsidP="005A766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Cs w:val="20"/>
                <w:lang w:eastAsia="fr-FR" w:bidi="ar-SA"/>
              </w:rPr>
            </w:pPr>
            <w:r w:rsidRPr="00B95A9D">
              <w:rPr>
                <w:rFonts w:asciiTheme="minorHAnsi" w:hAnsiTheme="minorHAnsi" w:cstheme="minorHAnsi"/>
                <w:b/>
                <w:bCs/>
                <w:szCs w:val="20"/>
                <w:lang w:eastAsia="fr-FR" w:bidi="ar-SA"/>
              </w:rPr>
              <w:t>Étendue</w:t>
            </w:r>
          </w:p>
        </w:tc>
        <w:tc>
          <w:tcPr>
            <w:tcW w:w="3310" w:type="dxa"/>
          </w:tcPr>
          <w:p w14:paraId="51EFEBEB" w14:textId="498EDDA8" w:rsidR="00D72C6A" w:rsidRPr="00B95A9D" w:rsidRDefault="00D72C6A" w:rsidP="005A766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Pr>
                <w:rFonts w:asciiTheme="minorHAnsi" w:hAnsiTheme="minorHAnsi" w:cstheme="minorHAnsi"/>
                <w:szCs w:val="20"/>
                <w:lang w:eastAsia="fr-FR" w:bidi="ar-SA"/>
              </w:rPr>
              <w:t>I</w:t>
            </w:r>
            <w:r w:rsidRPr="006771EF">
              <w:rPr>
                <w:rFonts w:asciiTheme="minorHAnsi" w:hAnsiTheme="minorHAnsi" w:cstheme="minorHAnsi"/>
                <w:szCs w:val="20"/>
                <w:lang w:eastAsia="fr-FR" w:bidi="ar-SA"/>
              </w:rPr>
              <w:t xml:space="preserve">mpact perceptible depuis la </w:t>
            </w:r>
            <w:r w:rsidR="00063036">
              <w:rPr>
                <w:rFonts w:asciiTheme="minorHAnsi" w:hAnsiTheme="minorHAnsi" w:cstheme="minorHAnsi"/>
                <w:szCs w:val="20"/>
                <w:lang w:eastAsia="fr-FR" w:bidi="ar-SA"/>
              </w:rPr>
              <w:t>RR212</w:t>
            </w:r>
            <w:r w:rsidR="00ED4E57">
              <w:rPr>
                <w:rFonts w:asciiTheme="minorHAnsi" w:hAnsiTheme="minorHAnsi" w:cstheme="minorHAnsi"/>
                <w:szCs w:val="20"/>
                <w:lang w:eastAsia="fr-FR" w:bidi="ar-SA"/>
              </w:rPr>
              <w:t xml:space="preserve">   </w:t>
            </w:r>
            <w:r w:rsidRPr="006771EF">
              <w:rPr>
                <w:rFonts w:asciiTheme="minorHAnsi" w:hAnsiTheme="minorHAnsi" w:cstheme="minorHAnsi"/>
                <w:szCs w:val="20"/>
                <w:lang w:eastAsia="fr-FR" w:bidi="ar-SA"/>
              </w:rPr>
              <w:t xml:space="preserve"> et </w:t>
            </w:r>
            <w:r>
              <w:rPr>
                <w:rFonts w:asciiTheme="minorHAnsi" w:hAnsiTheme="minorHAnsi" w:cstheme="minorHAnsi"/>
                <w:szCs w:val="20"/>
                <w:lang w:eastAsia="fr-FR" w:bidi="ar-SA"/>
              </w:rPr>
              <w:t>les terrains entourant le site</w:t>
            </w:r>
            <w:r w:rsidRPr="006771EF">
              <w:rPr>
                <w:rFonts w:asciiTheme="minorHAnsi" w:hAnsiTheme="minorHAnsi" w:cstheme="minorHAnsi"/>
                <w:szCs w:val="20"/>
                <w:lang w:eastAsia="fr-FR" w:bidi="ar-SA"/>
              </w:rPr>
              <w:t>, mais contenu dans le périmètre aéroportuaire.</w:t>
            </w:r>
          </w:p>
        </w:tc>
        <w:tc>
          <w:tcPr>
            <w:tcW w:w="1366" w:type="dxa"/>
          </w:tcPr>
          <w:p w14:paraId="7C3A8A48" w14:textId="34561844" w:rsidR="00D72C6A" w:rsidRPr="00B95A9D" w:rsidRDefault="00D72C6A" w:rsidP="005A766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Cs w:val="20"/>
                <w:lang w:eastAsia="fr-FR" w:bidi="ar-SA"/>
              </w:rPr>
            </w:pPr>
            <w:r>
              <w:rPr>
                <w:rFonts w:asciiTheme="minorHAnsi" w:hAnsiTheme="minorHAnsi" w:cstheme="minorHAnsi"/>
                <w:b/>
                <w:bCs/>
                <w:szCs w:val="20"/>
                <w:lang w:eastAsia="fr-FR" w:bidi="ar-SA"/>
              </w:rPr>
              <w:t>Locale</w:t>
            </w:r>
          </w:p>
        </w:tc>
      </w:tr>
      <w:tr w:rsidR="00D72C6A" w:rsidRPr="00B95A9D" w14:paraId="51A54E0A" w14:textId="77777777" w:rsidTr="005A7661">
        <w:tc>
          <w:tcPr>
            <w:cnfStyle w:val="001000000000" w:firstRow="0" w:lastRow="0" w:firstColumn="1" w:lastColumn="0" w:oddVBand="0" w:evenVBand="0" w:oddHBand="0" w:evenHBand="0" w:firstRowFirstColumn="0" w:firstRowLastColumn="0" w:lastRowFirstColumn="0" w:lastRowLastColumn="0"/>
            <w:tcW w:w="0" w:type="auto"/>
            <w:vMerge/>
            <w:hideMark/>
          </w:tcPr>
          <w:p w14:paraId="32907760" w14:textId="77777777" w:rsidR="00D72C6A" w:rsidRPr="00B95A9D" w:rsidRDefault="00D72C6A" w:rsidP="005A7661">
            <w:pPr>
              <w:rPr>
                <w:rFonts w:asciiTheme="minorHAnsi" w:hAnsiTheme="minorHAnsi" w:cstheme="minorHAnsi"/>
                <w:szCs w:val="20"/>
                <w:lang w:eastAsia="fr-FR" w:bidi="ar-SA"/>
              </w:rPr>
            </w:pPr>
          </w:p>
        </w:tc>
        <w:tc>
          <w:tcPr>
            <w:tcW w:w="1563" w:type="dxa"/>
            <w:vMerge/>
            <w:hideMark/>
          </w:tcPr>
          <w:p w14:paraId="6B406308" w14:textId="77777777" w:rsidR="00D72C6A" w:rsidRPr="00B95A9D" w:rsidRDefault="00D72C6A" w:rsidP="005A766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p>
        </w:tc>
        <w:tc>
          <w:tcPr>
            <w:tcW w:w="1382" w:type="dxa"/>
            <w:hideMark/>
          </w:tcPr>
          <w:p w14:paraId="20241CD9" w14:textId="77777777" w:rsidR="00D72C6A" w:rsidRPr="00B95A9D" w:rsidRDefault="00D72C6A" w:rsidP="005A766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Cs w:val="20"/>
                <w:lang w:eastAsia="fr-FR" w:bidi="ar-SA"/>
              </w:rPr>
            </w:pPr>
            <w:r w:rsidRPr="00B95A9D">
              <w:rPr>
                <w:rFonts w:asciiTheme="minorHAnsi" w:hAnsiTheme="minorHAnsi" w:cstheme="minorHAnsi"/>
                <w:b/>
                <w:bCs/>
                <w:szCs w:val="20"/>
                <w:lang w:eastAsia="fr-FR" w:bidi="ar-SA"/>
              </w:rPr>
              <w:t>Durée</w:t>
            </w:r>
          </w:p>
        </w:tc>
        <w:tc>
          <w:tcPr>
            <w:tcW w:w="3310" w:type="dxa"/>
          </w:tcPr>
          <w:p w14:paraId="24737CE3" w14:textId="05F2C732" w:rsidR="00D72C6A" w:rsidRPr="00B95A9D" w:rsidRDefault="00D72C6A" w:rsidP="005A766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Pr>
                <w:rFonts w:asciiTheme="minorHAnsi" w:hAnsiTheme="minorHAnsi" w:cstheme="minorHAnsi"/>
                <w:szCs w:val="20"/>
                <w:lang w:eastAsia="fr-FR" w:bidi="ar-SA"/>
              </w:rPr>
              <w:t>M</w:t>
            </w:r>
            <w:r w:rsidRPr="006771EF">
              <w:rPr>
                <w:rFonts w:asciiTheme="minorHAnsi" w:hAnsiTheme="minorHAnsi" w:cstheme="minorHAnsi"/>
                <w:szCs w:val="20"/>
                <w:lang w:eastAsia="fr-FR" w:bidi="ar-SA"/>
              </w:rPr>
              <w:t>odification durable du paysage tant que l’infrastructure reste en service</w:t>
            </w:r>
          </w:p>
        </w:tc>
        <w:tc>
          <w:tcPr>
            <w:tcW w:w="1366" w:type="dxa"/>
          </w:tcPr>
          <w:p w14:paraId="7D8AD1F3" w14:textId="0E325FB5" w:rsidR="00D72C6A" w:rsidRPr="00B95A9D" w:rsidRDefault="00D72C6A" w:rsidP="005A766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Cs w:val="20"/>
                <w:lang w:eastAsia="fr-FR" w:bidi="ar-SA"/>
              </w:rPr>
            </w:pPr>
            <w:r>
              <w:rPr>
                <w:rFonts w:asciiTheme="minorHAnsi" w:hAnsiTheme="minorHAnsi" w:cstheme="minorHAnsi"/>
                <w:b/>
                <w:bCs/>
                <w:szCs w:val="20"/>
                <w:lang w:eastAsia="fr-FR" w:bidi="ar-SA"/>
              </w:rPr>
              <w:t>Long terme (Permanente)</w:t>
            </w:r>
          </w:p>
        </w:tc>
      </w:tr>
      <w:tr w:rsidR="00D72C6A" w:rsidRPr="00B95A9D" w14:paraId="272332B4" w14:textId="77777777" w:rsidTr="005A7661">
        <w:tc>
          <w:tcPr>
            <w:cnfStyle w:val="001000000000" w:firstRow="0" w:lastRow="0" w:firstColumn="1" w:lastColumn="0" w:oddVBand="0" w:evenVBand="0" w:oddHBand="0" w:evenHBand="0" w:firstRowFirstColumn="0" w:firstRowLastColumn="0" w:lastRowFirstColumn="0" w:lastRowLastColumn="0"/>
            <w:tcW w:w="0" w:type="auto"/>
            <w:vMerge/>
            <w:hideMark/>
          </w:tcPr>
          <w:p w14:paraId="4DAFABBA" w14:textId="77777777" w:rsidR="00D72C6A" w:rsidRPr="00B95A9D" w:rsidRDefault="00D72C6A" w:rsidP="005A7661">
            <w:pPr>
              <w:rPr>
                <w:rFonts w:asciiTheme="minorHAnsi" w:hAnsiTheme="minorHAnsi" w:cstheme="minorHAnsi"/>
                <w:szCs w:val="20"/>
                <w:lang w:eastAsia="fr-FR" w:bidi="ar-SA"/>
              </w:rPr>
            </w:pPr>
          </w:p>
        </w:tc>
        <w:tc>
          <w:tcPr>
            <w:tcW w:w="1563" w:type="dxa"/>
            <w:vMerge/>
            <w:hideMark/>
          </w:tcPr>
          <w:p w14:paraId="675BCD18" w14:textId="77777777" w:rsidR="00D72C6A" w:rsidRPr="00B95A9D" w:rsidRDefault="00D72C6A" w:rsidP="005A766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p>
        </w:tc>
        <w:tc>
          <w:tcPr>
            <w:tcW w:w="1382" w:type="dxa"/>
            <w:hideMark/>
          </w:tcPr>
          <w:p w14:paraId="47D7F958" w14:textId="77777777" w:rsidR="00D72C6A" w:rsidRPr="00B95A9D" w:rsidRDefault="00D72C6A" w:rsidP="005A766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Cs w:val="20"/>
                <w:lang w:eastAsia="fr-FR" w:bidi="ar-SA"/>
              </w:rPr>
            </w:pPr>
            <w:r w:rsidRPr="00B95A9D">
              <w:rPr>
                <w:rFonts w:asciiTheme="minorHAnsi" w:hAnsiTheme="minorHAnsi" w:cstheme="minorHAnsi"/>
                <w:b/>
                <w:bCs/>
                <w:szCs w:val="20"/>
                <w:lang w:eastAsia="fr-FR" w:bidi="ar-SA"/>
              </w:rPr>
              <w:t>Fréquence</w:t>
            </w:r>
          </w:p>
        </w:tc>
        <w:tc>
          <w:tcPr>
            <w:tcW w:w="3310" w:type="dxa"/>
          </w:tcPr>
          <w:p w14:paraId="438586D3" w14:textId="2DCE7026" w:rsidR="00D72C6A" w:rsidRPr="00911A3C" w:rsidRDefault="00D72C6A" w:rsidP="005A766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Pr>
                <w:rFonts w:asciiTheme="minorHAnsi" w:hAnsiTheme="minorHAnsi" w:cstheme="minorHAnsi"/>
                <w:szCs w:val="20"/>
                <w:lang w:eastAsia="fr-FR" w:bidi="ar-SA"/>
              </w:rPr>
              <w:t>L</w:t>
            </w:r>
            <w:r w:rsidRPr="00D72C6A">
              <w:rPr>
                <w:rFonts w:asciiTheme="minorHAnsi" w:hAnsiTheme="minorHAnsi" w:cstheme="minorHAnsi"/>
                <w:szCs w:val="20"/>
                <w:lang w:eastAsia="fr-FR" w:bidi="ar-SA"/>
              </w:rPr>
              <w:t>a modification visuelle est présente en permanence en phase d’exploitation.</w:t>
            </w:r>
          </w:p>
        </w:tc>
        <w:tc>
          <w:tcPr>
            <w:tcW w:w="1366" w:type="dxa"/>
          </w:tcPr>
          <w:p w14:paraId="74922F08" w14:textId="4320FD9A" w:rsidR="00D72C6A" w:rsidRPr="00B95A9D" w:rsidRDefault="00D72C6A" w:rsidP="005A766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Cs w:val="20"/>
                <w:lang w:eastAsia="fr-FR" w:bidi="ar-SA"/>
              </w:rPr>
            </w:pPr>
            <w:r>
              <w:rPr>
                <w:rFonts w:asciiTheme="minorHAnsi" w:hAnsiTheme="minorHAnsi" w:cstheme="minorHAnsi"/>
                <w:b/>
                <w:bCs/>
                <w:szCs w:val="20"/>
                <w:lang w:eastAsia="fr-FR" w:bidi="ar-SA"/>
              </w:rPr>
              <w:t>Continue</w:t>
            </w:r>
          </w:p>
        </w:tc>
      </w:tr>
      <w:tr w:rsidR="00D72C6A" w:rsidRPr="00B95A9D" w14:paraId="5DC938FA" w14:textId="77777777" w:rsidTr="005A7661">
        <w:tc>
          <w:tcPr>
            <w:cnfStyle w:val="001000000000" w:firstRow="0" w:lastRow="0" w:firstColumn="1" w:lastColumn="0" w:oddVBand="0" w:evenVBand="0" w:oddHBand="0" w:evenHBand="0" w:firstRowFirstColumn="0" w:firstRowLastColumn="0" w:lastRowFirstColumn="0" w:lastRowLastColumn="0"/>
            <w:tcW w:w="0" w:type="auto"/>
            <w:vMerge/>
            <w:hideMark/>
          </w:tcPr>
          <w:p w14:paraId="0C5CF358" w14:textId="77777777" w:rsidR="00D72C6A" w:rsidRPr="00B95A9D" w:rsidRDefault="00D72C6A" w:rsidP="005A7661">
            <w:pPr>
              <w:rPr>
                <w:rFonts w:asciiTheme="minorHAnsi" w:hAnsiTheme="minorHAnsi" w:cstheme="minorHAnsi"/>
                <w:szCs w:val="20"/>
                <w:lang w:eastAsia="fr-FR" w:bidi="ar-SA"/>
              </w:rPr>
            </w:pPr>
          </w:p>
        </w:tc>
        <w:tc>
          <w:tcPr>
            <w:tcW w:w="1563" w:type="dxa"/>
            <w:vMerge/>
            <w:hideMark/>
          </w:tcPr>
          <w:p w14:paraId="64F0232D" w14:textId="77777777" w:rsidR="00D72C6A" w:rsidRPr="00B95A9D" w:rsidRDefault="00D72C6A" w:rsidP="005A766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p>
        </w:tc>
        <w:tc>
          <w:tcPr>
            <w:tcW w:w="1382" w:type="dxa"/>
            <w:shd w:val="clear" w:color="auto" w:fill="D9E2F3"/>
            <w:hideMark/>
          </w:tcPr>
          <w:p w14:paraId="6B8255A1" w14:textId="77777777" w:rsidR="00D72C6A" w:rsidRPr="00B95A9D" w:rsidRDefault="00D72C6A" w:rsidP="005A766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Cs w:val="20"/>
                <w:lang w:eastAsia="fr-FR" w:bidi="ar-SA"/>
              </w:rPr>
            </w:pPr>
            <w:r w:rsidRPr="00B95A9D">
              <w:rPr>
                <w:rFonts w:asciiTheme="minorHAnsi" w:hAnsiTheme="minorHAnsi" w:cstheme="minorHAnsi"/>
                <w:b/>
                <w:bCs/>
                <w:szCs w:val="20"/>
                <w:lang w:eastAsia="fr-FR" w:bidi="ar-SA"/>
              </w:rPr>
              <w:t>Intensité</w:t>
            </w:r>
          </w:p>
        </w:tc>
        <w:tc>
          <w:tcPr>
            <w:tcW w:w="3310" w:type="dxa"/>
            <w:shd w:val="clear" w:color="auto" w:fill="D9E2F3"/>
          </w:tcPr>
          <w:p w14:paraId="021BEAFE" w14:textId="28690440" w:rsidR="00D72C6A" w:rsidRPr="00B95A9D" w:rsidRDefault="00D72C6A" w:rsidP="005A766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Pr>
                <w:rFonts w:asciiTheme="minorHAnsi" w:hAnsiTheme="minorHAnsi" w:cstheme="minorHAnsi"/>
                <w:szCs w:val="20"/>
                <w:lang w:eastAsia="fr-FR" w:bidi="ar-SA"/>
              </w:rPr>
              <w:t>L</w:t>
            </w:r>
            <w:r w:rsidRPr="00D72C6A">
              <w:rPr>
                <w:rFonts w:asciiTheme="minorHAnsi" w:hAnsiTheme="minorHAnsi" w:cstheme="minorHAnsi"/>
                <w:szCs w:val="20"/>
                <w:lang w:eastAsia="fr-FR" w:bidi="ar-SA"/>
              </w:rPr>
              <w:t>égère augmentation des surfaces imperméabilisées et du nombre d’aéronefs visibles, mais cohérence avec la morphologie du site et sa vocation technique</w:t>
            </w:r>
          </w:p>
        </w:tc>
        <w:tc>
          <w:tcPr>
            <w:tcW w:w="1366" w:type="dxa"/>
            <w:shd w:val="clear" w:color="auto" w:fill="D9E2F3"/>
          </w:tcPr>
          <w:p w14:paraId="0412BC2A" w14:textId="67EC1C2C" w:rsidR="00D72C6A" w:rsidRPr="00B95A9D" w:rsidRDefault="00D72C6A" w:rsidP="005A766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Cs w:val="20"/>
                <w:lang w:eastAsia="fr-FR" w:bidi="ar-SA"/>
              </w:rPr>
            </w:pPr>
            <w:r>
              <w:rPr>
                <w:rFonts w:asciiTheme="minorHAnsi" w:hAnsiTheme="minorHAnsi" w:cstheme="minorHAnsi"/>
                <w:b/>
                <w:bCs/>
                <w:szCs w:val="20"/>
                <w:lang w:eastAsia="fr-FR" w:bidi="ar-SA"/>
              </w:rPr>
              <w:t>Faible</w:t>
            </w:r>
          </w:p>
        </w:tc>
      </w:tr>
      <w:tr w:rsidR="00D72C6A" w:rsidRPr="00B95A9D" w14:paraId="79736C75" w14:textId="77777777" w:rsidTr="005A7661">
        <w:tc>
          <w:tcPr>
            <w:cnfStyle w:val="001000000000" w:firstRow="0" w:lastRow="0" w:firstColumn="1" w:lastColumn="0" w:oddVBand="0" w:evenVBand="0" w:oddHBand="0" w:evenHBand="0" w:firstRowFirstColumn="0" w:firstRowLastColumn="0" w:lastRowFirstColumn="0" w:lastRowLastColumn="0"/>
            <w:tcW w:w="0" w:type="auto"/>
            <w:vMerge/>
          </w:tcPr>
          <w:p w14:paraId="0B9BB59E" w14:textId="77777777" w:rsidR="00D72C6A" w:rsidRPr="00B95A9D" w:rsidRDefault="00D72C6A" w:rsidP="005A7661">
            <w:pPr>
              <w:rPr>
                <w:rFonts w:asciiTheme="minorHAnsi" w:hAnsiTheme="minorHAnsi" w:cstheme="minorHAnsi"/>
                <w:szCs w:val="20"/>
                <w:lang w:eastAsia="fr-FR" w:bidi="ar-SA"/>
              </w:rPr>
            </w:pPr>
          </w:p>
        </w:tc>
        <w:tc>
          <w:tcPr>
            <w:tcW w:w="7621" w:type="dxa"/>
            <w:gridSpan w:val="4"/>
          </w:tcPr>
          <w:p w14:paraId="6F931AAE" w14:textId="77777777" w:rsidR="00D72C6A" w:rsidRPr="00B95A9D" w:rsidRDefault="00D72C6A" w:rsidP="005A7661">
            <w:pPr>
              <w:spacing w:before="0" w:after="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Cs w:val="20"/>
                <w:lang w:eastAsia="fr-FR" w:bidi="ar-SA"/>
              </w:rPr>
            </w:pPr>
          </w:p>
        </w:tc>
      </w:tr>
      <w:tr w:rsidR="00D72C6A" w:rsidRPr="00B95A9D" w14:paraId="2A057938" w14:textId="77777777" w:rsidTr="005A7661">
        <w:tc>
          <w:tcPr>
            <w:cnfStyle w:val="001000000000" w:firstRow="0" w:lastRow="0" w:firstColumn="1" w:lastColumn="0" w:oddVBand="0" w:evenVBand="0" w:oddHBand="0" w:evenHBand="0" w:firstRowFirstColumn="0" w:firstRowLastColumn="0" w:lastRowFirstColumn="0" w:lastRowLastColumn="0"/>
            <w:tcW w:w="0" w:type="auto"/>
            <w:vMerge/>
          </w:tcPr>
          <w:p w14:paraId="5C14D065" w14:textId="77777777" w:rsidR="00D72C6A" w:rsidRPr="00B95A9D" w:rsidRDefault="00D72C6A" w:rsidP="005A7661">
            <w:pPr>
              <w:rPr>
                <w:rFonts w:asciiTheme="minorHAnsi" w:hAnsiTheme="minorHAnsi" w:cstheme="minorHAnsi"/>
                <w:szCs w:val="20"/>
                <w:lang w:eastAsia="fr-FR" w:bidi="ar-SA"/>
              </w:rPr>
            </w:pPr>
          </w:p>
        </w:tc>
        <w:tc>
          <w:tcPr>
            <w:tcW w:w="1563" w:type="dxa"/>
            <w:shd w:val="clear" w:color="auto" w:fill="B4C6E7" w:themeFill="accent1" w:themeFillTint="66"/>
            <w:vAlign w:val="center"/>
          </w:tcPr>
          <w:p w14:paraId="258B9154" w14:textId="77777777" w:rsidR="00D72C6A" w:rsidRPr="00B95A9D" w:rsidRDefault="00D72C6A" w:rsidP="005A766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sidRPr="00B95A9D">
              <w:rPr>
                <w:rFonts w:asciiTheme="minorHAnsi" w:hAnsiTheme="minorHAnsi" w:cstheme="minorHAnsi"/>
                <w:b/>
                <w:bCs/>
                <w:szCs w:val="20"/>
              </w:rPr>
              <w:t>Intensité de l’impact</w:t>
            </w:r>
          </w:p>
        </w:tc>
        <w:tc>
          <w:tcPr>
            <w:tcW w:w="1382" w:type="dxa"/>
            <w:shd w:val="clear" w:color="auto" w:fill="B4C6E7" w:themeFill="accent1" w:themeFillTint="66"/>
            <w:vAlign w:val="center"/>
          </w:tcPr>
          <w:p w14:paraId="765306CC" w14:textId="77777777" w:rsidR="00D72C6A" w:rsidRPr="00B95A9D" w:rsidRDefault="00D72C6A" w:rsidP="005A766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Cs w:val="20"/>
                <w:lang w:eastAsia="fr-FR" w:bidi="ar-SA"/>
              </w:rPr>
            </w:pPr>
            <w:r w:rsidRPr="00B95A9D">
              <w:rPr>
                <w:rFonts w:asciiTheme="minorHAnsi" w:hAnsiTheme="minorHAnsi" w:cstheme="minorHAnsi"/>
                <w:b/>
                <w:bCs/>
                <w:szCs w:val="20"/>
              </w:rPr>
              <w:t>Récepteurs</w:t>
            </w:r>
          </w:p>
        </w:tc>
        <w:tc>
          <w:tcPr>
            <w:tcW w:w="3310" w:type="dxa"/>
            <w:shd w:val="clear" w:color="auto" w:fill="B4C6E7" w:themeFill="accent1" w:themeFillTint="66"/>
            <w:vAlign w:val="center"/>
          </w:tcPr>
          <w:p w14:paraId="6A38C4A8" w14:textId="77777777" w:rsidR="00D72C6A" w:rsidRPr="00B95A9D" w:rsidRDefault="00D72C6A" w:rsidP="005A766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sidRPr="00B95A9D">
              <w:rPr>
                <w:rFonts w:asciiTheme="minorHAnsi" w:hAnsiTheme="minorHAnsi" w:cstheme="minorHAnsi"/>
                <w:b/>
                <w:bCs/>
                <w:szCs w:val="20"/>
              </w:rPr>
              <w:t>Sensibilité</w:t>
            </w:r>
          </w:p>
        </w:tc>
        <w:tc>
          <w:tcPr>
            <w:tcW w:w="1366" w:type="dxa"/>
            <w:shd w:val="clear" w:color="auto" w:fill="B4C6E7" w:themeFill="accent1" w:themeFillTint="66"/>
            <w:vAlign w:val="center"/>
          </w:tcPr>
          <w:p w14:paraId="1EDD4750" w14:textId="77777777" w:rsidR="00D72C6A" w:rsidRPr="00B95A9D" w:rsidRDefault="00D72C6A" w:rsidP="005A766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Cs w:val="20"/>
                <w:lang w:eastAsia="fr-FR" w:bidi="ar-SA"/>
              </w:rPr>
            </w:pPr>
            <w:r w:rsidRPr="00B95A9D">
              <w:rPr>
                <w:rFonts w:asciiTheme="minorHAnsi" w:hAnsiTheme="minorHAnsi" w:cstheme="minorHAnsi"/>
                <w:b/>
                <w:bCs/>
                <w:szCs w:val="20"/>
              </w:rPr>
              <w:t>Importance de l’impact</w:t>
            </w:r>
          </w:p>
        </w:tc>
      </w:tr>
      <w:tr w:rsidR="00D72C6A" w:rsidRPr="00B95A9D" w14:paraId="79EAF401" w14:textId="77777777" w:rsidTr="005A7661">
        <w:tc>
          <w:tcPr>
            <w:cnfStyle w:val="001000000000" w:firstRow="0" w:lastRow="0" w:firstColumn="1" w:lastColumn="0" w:oddVBand="0" w:evenVBand="0" w:oddHBand="0" w:evenHBand="0" w:firstRowFirstColumn="0" w:firstRowLastColumn="0" w:lastRowFirstColumn="0" w:lastRowLastColumn="0"/>
            <w:tcW w:w="0" w:type="auto"/>
            <w:vMerge/>
          </w:tcPr>
          <w:p w14:paraId="2F0812D1" w14:textId="77777777" w:rsidR="00D72C6A" w:rsidRPr="00B95A9D" w:rsidRDefault="00D72C6A" w:rsidP="005A7661">
            <w:pPr>
              <w:rPr>
                <w:rFonts w:asciiTheme="minorHAnsi" w:hAnsiTheme="minorHAnsi" w:cstheme="minorHAnsi"/>
                <w:szCs w:val="20"/>
                <w:lang w:eastAsia="fr-FR" w:bidi="ar-SA"/>
              </w:rPr>
            </w:pPr>
          </w:p>
        </w:tc>
        <w:tc>
          <w:tcPr>
            <w:tcW w:w="1563" w:type="dxa"/>
            <w:vMerge w:val="restart"/>
            <w:vAlign w:val="center"/>
          </w:tcPr>
          <w:p w14:paraId="63C69B9D" w14:textId="11792A44" w:rsidR="00D72C6A" w:rsidRPr="00B95A9D" w:rsidRDefault="00D72C6A" w:rsidP="005A766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Pr>
                <w:rFonts w:asciiTheme="minorHAnsi" w:hAnsiTheme="minorHAnsi" w:cstheme="minorHAnsi"/>
                <w:szCs w:val="20"/>
                <w:lang w:eastAsia="fr-FR" w:bidi="ar-SA"/>
              </w:rPr>
              <w:t>Faible</w:t>
            </w:r>
          </w:p>
        </w:tc>
        <w:tc>
          <w:tcPr>
            <w:tcW w:w="1382" w:type="dxa"/>
            <w:vAlign w:val="center"/>
          </w:tcPr>
          <w:p w14:paraId="554CBF02" w14:textId="0C85C9A6" w:rsidR="00D72C6A" w:rsidRPr="00B95A9D" w:rsidRDefault="00D72C6A" w:rsidP="005A766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Cs w:val="20"/>
                <w:lang w:eastAsia="fr-FR" w:bidi="ar-SA"/>
              </w:rPr>
            </w:pPr>
            <w:r w:rsidRPr="00D72C6A">
              <w:rPr>
                <w:rFonts w:asciiTheme="minorHAnsi" w:hAnsiTheme="minorHAnsi" w:cstheme="minorHAnsi"/>
                <w:b/>
                <w:bCs/>
                <w:szCs w:val="20"/>
                <w:lang w:eastAsia="fr-FR" w:bidi="ar-SA"/>
              </w:rPr>
              <w:t>Usagers et employés de l’aéroport</w:t>
            </w:r>
          </w:p>
        </w:tc>
        <w:tc>
          <w:tcPr>
            <w:tcW w:w="3310" w:type="dxa"/>
            <w:vAlign w:val="center"/>
          </w:tcPr>
          <w:p w14:paraId="7C489BEB" w14:textId="5688B5BC" w:rsidR="00D72C6A" w:rsidRPr="00B95A9D" w:rsidRDefault="00D72C6A" w:rsidP="005A766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sidRPr="004637C7">
              <w:rPr>
                <w:rFonts w:asciiTheme="minorHAnsi" w:hAnsiTheme="minorHAnsi" w:cstheme="minorHAnsi"/>
                <w:b/>
                <w:bCs/>
                <w:szCs w:val="20"/>
                <w:lang w:eastAsia="fr-FR" w:bidi="ar-SA"/>
              </w:rPr>
              <w:t>Moyenne :</w:t>
            </w:r>
            <w:r w:rsidRPr="00D72C6A">
              <w:rPr>
                <w:rFonts w:asciiTheme="minorHAnsi" w:hAnsiTheme="minorHAnsi" w:cstheme="minorHAnsi"/>
                <w:szCs w:val="20"/>
                <w:lang w:eastAsia="fr-FR" w:bidi="ar-SA"/>
              </w:rPr>
              <w:t xml:space="preserve"> récepteurs directement exposés mais habitués à un environnement technique et structuré.</w:t>
            </w:r>
          </w:p>
        </w:tc>
        <w:tc>
          <w:tcPr>
            <w:tcW w:w="1366" w:type="dxa"/>
            <w:vAlign w:val="center"/>
          </w:tcPr>
          <w:p w14:paraId="089291AB" w14:textId="577CB34C" w:rsidR="00D72C6A" w:rsidRPr="00B95A9D" w:rsidRDefault="00D72C6A" w:rsidP="005A766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Cs w:val="20"/>
                <w:lang w:eastAsia="fr-FR" w:bidi="ar-SA"/>
              </w:rPr>
            </w:pPr>
            <w:r>
              <w:rPr>
                <w:rFonts w:asciiTheme="minorHAnsi" w:hAnsiTheme="minorHAnsi" w:cstheme="minorHAnsi"/>
                <w:b/>
                <w:bCs/>
                <w:szCs w:val="20"/>
                <w:lang w:eastAsia="fr-FR" w:bidi="ar-SA"/>
              </w:rPr>
              <w:t>Mineure</w:t>
            </w:r>
          </w:p>
        </w:tc>
      </w:tr>
      <w:tr w:rsidR="00D72C6A" w:rsidRPr="00B95A9D" w14:paraId="0762FBFB" w14:textId="77777777" w:rsidTr="005A7661">
        <w:tc>
          <w:tcPr>
            <w:cnfStyle w:val="001000000000" w:firstRow="0" w:lastRow="0" w:firstColumn="1" w:lastColumn="0" w:oddVBand="0" w:evenVBand="0" w:oddHBand="0" w:evenHBand="0" w:firstRowFirstColumn="0" w:firstRowLastColumn="0" w:lastRowFirstColumn="0" w:lastRowLastColumn="0"/>
            <w:tcW w:w="0" w:type="auto"/>
            <w:vMerge/>
          </w:tcPr>
          <w:p w14:paraId="459FD4FB" w14:textId="77777777" w:rsidR="00D72C6A" w:rsidRPr="00B95A9D" w:rsidRDefault="00D72C6A" w:rsidP="005A7661">
            <w:pPr>
              <w:rPr>
                <w:rFonts w:asciiTheme="minorHAnsi" w:hAnsiTheme="minorHAnsi" w:cstheme="minorHAnsi"/>
                <w:szCs w:val="20"/>
                <w:lang w:eastAsia="fr-FR" w:bidi="ar-SA"/>
              </w:rPr>
            </w:pPr>
          </w:p>
        </w:tc>
        <w:tc>
          <w:tcPr>
            <w:tcW w:w="1563" w:type="dxa"/>
            <w:vMerge/>
            <w:vAlign w:val="center"/>
          </w:tcPr>
          <w:p w14:paraId="1FBA7C86" w14:textId="77777777" w:rsidR="00D72C6A" w:rsidRDefault="00D72C6A" w:rsidP="005A766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p>
        </w:tc>
        <w:tc>
          <w:tcPr>
            <w:tcW w:w="1382" w:type="dxa"/>
            <w:vAlign w:val="center"/>
          </w:tcPr>
          <w:p w14:paraId="5047E444" w14:textId="73519037" w:rsidR="00D72C6A" w:rsidRPr="00B95A9D" w:rsidRDefault="00D72C6A" w:rsidP="005A766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Cs w:val="20"/>
                <w:lang w:eastAsia="fr-FR" w:bidi="ar-SA"/>
              </w:rPr>
            </w:pPr>
            <w:r w:rsidRPr="00D72C6A">
              <w:rPr>
                <w:rFonts w:asciiTheme="minorHAnsi" w:hAnsiTheme="minorHAnsi" w:cstheme="minorHAnsi"/>
                <w:b/>
                <w:bCs/>
                <w:szCs w:val="20"/>
                <w:lang w:eastAsia="fr-FR" w:bidi="ar-SA"/>
              </w:rPr>
              <w:t xml:space="preserve">Usagers de la </w:t>
            </w:r>
            <w:r w:rsidR="00000F82">
              <w:rPr>
                <w:rFonts w:asciiTheme="minorHAnsi" w:hAnsiTheme="minorHAnsi" w:cstheme="minorHAnsi"/>
                <w:b/>
                <w:bCs/>
                <w:szCs w:val="20"/>
                <w:lang w:eastAsia="fr-FR" w:bidi="ar-SA"/>
              </w:rPr>
              <w:t>RR212</w:t>
            </w:r>
          </w:p>
        </w:tc>
        <w:tc>
          <w:tcPr>
            <w:tcW w:w="3310" w:type="dxa"/>
            <w:vAlign w:val="center"/>
          </w:tcPr>
          <w:p w14:paraId="710CD865" w14:textId="390CDAC8" w:rsidR="00D72C6A" w:rsidRPr="00B95A9D" w:rsidRDefault="00D72C6A" w:rsidP="005A766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sidRPr="004637C7">
              <w:rPr>
                <w:rFonts w:asciiTheme="minorHAnsi" w:hAnsiTheme="minorHAnsi" w:cstheme="minorHAnsi"/>
                <w:b/>
                <w:bCs/>
                <w:szCs w:val="20"/>
                <w:lang w:eastAsia="fr-FR" w:bidi="ar-SA"/>
              </w:rPr>
              <w:t>Faible :</w:t>
            </w:r>
            <w:r>
              <w:rPr>
                <w:rFonts w:asciiTheme="minorHAnsi" w:hAnsiTheme="minorHAnsi" w:cstheme="minorHAnsi"/>
                <w:szCs w:val="20"/>
                <w:lang w:eastAsia="fr-FR" w:bidi="ar-SA"/>
              </w:rPr>
              <w:t xml:space="preserve"> </w:t>
            </w:r>
            <w:r w:rsidRPr="00D72C6A">
              <w:rPr>
                <w:rFonts w:asciiTheme="minorHAnsi" w:hAnsiTheme="minorHAnsi" w:cstheme="minorHAnsi"/>
                <w:szCs w:val="20"/>
                <w:lang w:eastAsia="fr-FR" w:bidi="ar-SA"/>
              </w:rPr>
              <w:t>perception ponctuelle en mouvement sur un axe déjà bordé d’infrastructures.</w:t>
            </w:r>
          </w:p>
        </w:tc>
        <w:tc>
          <w:tcPr>
            <w:tcW w:w="1366" w:type="dxa"/>
            <w:vAlign w:val="center"/>
          </w:tcPr>
          <w:p w14:paraId="14D696C7" w14:textId="21E03483" w:rsidR="00D72C6A" w:rsidRPr="00B95A9D" w:rsidRDefault="00D72C6A" w:rsidP="005A766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Cs w:val="20"/>
                <w:lang w:eastAsia="fr-FR" w:bidi="ar-SA"/>
              </w:rPr>
            </w:pPr>
            <w:r>
              <w:rPr>
                <w:rFonts w:asciiTheme="minorHAnsi" w:hAnsiTheme="minorHAnsi" w:cstheme="minorHAnsi"/>
                <w:b/>
                <w:bCs/>
                <w:szCs w:val="20"/>
                <w:lang w:eastAsia="fr-FR" w:bidi="ar-SA"/>
              </w:rPr>
              <w:t>Négligeable</w:t>
            </w:r>
          </w:p>
        </w:tc>
      </w:tr>
    </w:tbl>
    <w:p w14:paraId="5B1F9D74" w14:textId="0EF383F6" w:rsidR="00F52B7A" w:rsidRDefault="00F52B7A" w:rsidP="0001633E">
      <w:pPr>
        <w:pStyle w:val="AltTitle2"/>
        <w:numPr>
          <w:ilvl w:val="0"/>
          <w:numId w:val="106"/>
        </w:numPr>
      </w:pPr>
      <w:r>
        <w:lastRenderedPageBreak/>
        <w:t xml:space="preserve">Halo lumineux nocturne permanent </w:t>
      </w:r>
    </w:p>
    <w:p w14:paraId="77F8BF5C" w14:textId="77777777" w:rsidR="00F52B7A" w:rsidRDefault="00F52B7A" w:rsidP="00F52B7A">
      <w:pPr>
        <w:rPr>
          <w:lang w:eastAsia="zh-CN"/>
        </w:rPr>
      </w:pPr>
      <w:r>
        <w:rPr>
          <w:lang w:eastAsia="zh-CN"/>
        </w:rPr>
        <w:t>L’exploitation du nouveau parking avions impliquera l’installation d’un éclairage permanent destiné à la sécurité, à la navigation au sol et aux opérations de maintenance nocturnes.</w:t>
      </w:r>
    </w:p>
    <w:p w14:paraId="1CD23000" w14:textId="77777777" w:rsidR="00F52B7A" w:rsidRDefault="00F52B7A" w:rsidP="00F52B7A">
      <w:pPr>
        <w:rPr>
          <w:lang w:eastAsia="zh-CN"/>
        </w:rPr>
      </w:pPr>
      <w:r>
        <w:rPr>
          <w:lang w:eastAsia="zh-CN"/>
        </w:rPr>
        <w:t>Ce dispositif, constitué de mâts d’éclairage et de balises aéronautiques, contribuera à un halo lumineux nocturne permanent au-dessus du site, visible depuis certains points dégagés des alentours.</w:t>
      </w:r>
    </w:p>
    <w:p w14:paraId="468821FA" w14:textId="77777777" w:rsidR="00F52B7A" w:rsidRDefault="00F52B7A" w:rsidP="00F52B7A">
      <w:pPr>
        <w:rPr>
          <w:lang w:eastAsia="zh-CN"/>
        </w:rPr>
      </w:pPr>
      <w:r>
        <w:rPr>
          <w:lang w:eastAsia="zh-CN"/>
        </w:rPr>
        <w:t>Cependant, la plateforme aéroportuaire dispose déjà d’un éclairage important (piste principale, terminal, parkings, voies d’accès), ce qui fait que la nouvelle contribution restera marginale par rapport au niveau lumineux existant.</w:t>
      </w:r>
    </w:p>
    <w:p w14:paraId="756F33D9" w14:textId="77777777" w:rsidR="00F52B7A" w:rsidRDefault="00F52B7A" w:rsidP="00F52B7A">
      <w:pPr>
        <w:rPr>
          <w:lang w:eastAsia="zh-CN"/>
        </w:rPr>
      </w:pPr>
      <w:r>
        <w:rPr>
          <w:lang w:eastAsia="zh-CN"/>
        </w:rPr>
        <w:t>Le relief plat du terrain ne crée pas de zones d’ombre ni d’amplification de la diffusion lumineuse.</w:t>
      </w:r>
    </w:p>
    <w:p w14:paraId="4624F901" w14:textId="77777777" w:rsidR="00F52B7A" w:rsidRDefault="00F52B7A" w:rsidP="00F52B7A">
      <w:pPr>
        <w:rPr>
          <w:lang w:eastAsia="zh-CN"/>
        </w:rPr>
      </w:pPr>
      <w:r>
        <w:rPr>
          <w:lang w:eastAsia="zh-CN"/>
        </w:rPr>
        <w:t>Le périmètre aéroportuaire est isolé au sein d’une zone à faible densité d’habitat, ce qui limite les récepteurs sensibles.</w:t>
      </w:r>
    </w:p>
    <w:p w14:paraId="137167DE" w14:textId="2B42D8BE" w:rsidR="00F52B7A" w:rsidRDefault="00F52B7A" w:rsidP="00F52B7A">
      <w:pPr>
        <w:rPr>
          <w:lang w:eastAsia="zh-CN"/>
        </w:rPr>
      </w:pPr>
      <w:r>
        <w:rPr>
          <w:lang w:eastAsia="zh-CN"/>
        </w:rPr>
        <w:t xml:space="preserve">Les usagers et employés de l’aéroport percevront cet éclairage comme un élément fonctionnel et nécessaire, tandis que les usagers de la </w:t>
      </w:r>
      <w:r w:rsidR="00ED4E57">
        <w:rPr>
          <w:lang w:eastAsia="zh-CN"/>
        </w:rPr>
        <w:t>RR212</w:t>
      </w:r>
      <w:r>
        <w:rPr>
          <w:lang w:eastAsia="zh-CN"/>
        </w:rPr>
        <w:t xml:space="preserve"> pourront distinguer à distance une lueur diffuse et constante, surtout lors des nuits dégagées.</w:t>
      </w:r>
    </w:p>
    <w:p w14:paraId="00AA7496" w14:textId="77777777" w:rsidR="00F52B7A" w:rsidRDefault="00F52B7A" w:rsidP="00F52B7A">
      <w:pPr>
        <w:rPr>
          <w:lang w:eastAsia="zh-CN"/>
        </w:rPr>
      </w:pPr>
      <w:r>
        <w:rPr>
          <w:lang w:eastAsia="zh-CN"/>
        </w:rPr>
        <w:t>L’effet visuel restera toutefois stable, maîtrisé et compatible avec la vocation opérationnelle du site.</w:t>
      </w:r>
    </w:p>
    <w:p w14:paraId="19C16187" w14:textId="77777777" w:rsidR="00F52B7A" w:rsidRDefault="00F52B7A" w:rsidP="00F52B7A">
      <w:pPr>
        <w:rPr>
          <w:lang w:eastAsia="zh-CN"/>
        </w:rPr>
      </w:pPr>
      <w:r>
        <w:rPr>
          <w:lang w:eastAsia="zh-CN"/>
        </w:rPr>
        <w:t>L’impact est de type négatif, direct et permanent, découlant de la présence continue de sources lumineuses.</w:t>
      </w:r>
    </w:p>
    <w:p w14:paraId="2AC735F9" w14:textId="77777777" w:rsidR="00F52B7A" w:rsidRDefault="00F52B7A" w:rsidP="00F52B7A">
      <w:pPr>
        <w:rPr>
          <w:lang w:eastAsia="zh-CN"/>
        </w:rPr>
      </w:pPr>
      <w:r>
        <w:rPr>
          <w:lang w:eastAsia="zh-CN"/>
        </w:rPr>
        <w:t>Son étendue est locale à moyenne, perceptible dans un rayon de 3 à 5 km selon les conditions atmosphériques.</w:t>
      </w:r>
    </w:p>
    <w:p w14:paraId="376E5CF3" w14:textId="77777777" w:rsidR="00F52B7A" w:rsidRDefault="00F52B7A" w:rsidP="00F52B7A">
      <w:pPr>
        <w:rPr>
          <w:lang w:eastAsia="zh-CN"/>
        </w:rPr>
      </w:pPr>
      <w:r>
        <w:rPr>
          <w:lang w:eastAsia="zh-CN"/>
        </w:rPr>
        <w:t>La durée est permanente, et la fréquence continue durant les heures nocturnes.</w:t>
      </w:r>
    </w:p>
    <w:p w14:paraId="1FF09D0D" w14:textId="77777777" w:rsidR="00F52B7A" w:rsidRDefault="00F52B7A" w:rsidP="00F52B7A">
      <w:pPr>
        <w:rPr>
          <w:lang w:eastAsia="zh-CN"/>
        </w:rPr>
      </w:pPr>
      <w:r>
        <w:rPr>
          <w:lang w:eastAsia="zh-CN"/>
        </w:rPr>
        <w:t>L’intensité est faible, les dispositifs lumineux étant réglementés et orientés vers le sol pour éviter toute diffusion latérale.</w:t>
      </w:r>
    </w:p>
    <w:p w14:paraId="6CC5B185" w14:textId="77777777" w:rsidR="00F52B7A" w:rsidRDefault="00F52B7A" w:rsidP="00F52B7A">
      <w:pPr>
        <w:rPr>
          <w:lang w:eastAsia="zh-CN"/>
        </w:rPr>
      </w:pPr>
      <w:r>
        <w:rPr>
          <w:lang w:eastAsia="zh-CN"/>
        </w:rPr>
        <w:t>La sensibilité des récepteurs est faible à moyenne :</w:t>
      </w:r>
    </w:p>
    <w:p w14:paraId="3FF7959A" w14:textId="0EDF86EB" w:rsidR="00F52B7A" w:rsidRDefault="005F1A5D" w:rsidP="0001633E">
      <w:pPr>
        <w:pStyle w:val="Paragraphedeliste"/>
        <w:numPr>
          <w:ilvl w:val="0"/>
          <w:numId w:val="21"/>
        </w:numPr>
        <w:rPr>
          <w:lang w:eastAsia="zh-CN"/>
        </w:rPr>
      </w:pPr>
      <w:r>
        <w:rPr>
          <w:lang w:eastAsia="zh-CN"/>
        </w:rPr>
        <w:t>Moyenne</w:t>
      </w:r>
      <w:r w:rsidR="00F52B7A">
        <w:rPr>
          <w:lang w:eastAsia="zh-CN"/>
        </w:rPr>
        <w:t xml:space="preserve"> pour les usagers internes habitués à cet environnement lumineux ;</w:t>
      </w:r>
    </w:p>
    <w:p w14:paraId="7AD93A88" w14:textId="35D373C7" w:rsidR="00F52B7A" w:rsidRDefault="005F1A5D" w:rsidP="0001633E">
      <w:pPr>
        <w:pStyle w:val="Paragraphedeliste"/>
        <w:numPr>
          <w:ilvl w:val="0"/>
          <w:numId w:val="21"/>
        </w:numPr>
        <w:rPr>
          <w:lang w:eastAsia="zh-CN"/>
        </w:rPr>
      </w:pPr>
      <w:r>
        <w:rPr>
          <w:lang w:eastAsia="zh-CN"/>
        </w:rPr>
        <w:t>Faible</w:t>
      </w:r>
      <w:r w:rsidR="00F52B7A">
        <w:rPr>
          <w:lang w:eastAsia="zh-CN"/>
        </w:rPr>
        <w:t xml:space="preserve"> pour les observateurs extérieurs (</w:t>
      </w:r>
      <w:r w:rsidR="00ED4E57">
        <w:rPr>
          <w:lang w:eastAsia="zh-CN"/>
        </w:rPr>
        <w:t>RR212)</w:t>
      </w:r>
      <w:r w:rsidR="00F52B7A">
        <w:rPr>
          <w:lang w:eastAsia="zh-CN"/>
        </w:rPr>
        <w:t xml:space="preserve"> exposés de manière occasionnelle.</w:t>
      </w:r>
    </w:p>
    <w:p w14:paraId="2A90745E" w14:textId="2B86DD4B" w:rsidR="00F1718F" w:rsidRDefault="00F52B7A" w:rsidP="00F52B7A">
      <w:pPr>
        <w:rPr>
          <w:lang w:eastAsia="zh-CN"/>
        </w:rPr>
      </w:pPr>
      <w:r>
        <w:rPr>
          <w:lang w:eastAsia="zh-CN"/>
        </w:rPr>
        <w:t xml:space="preserve">La combinaison d’une intensité faible et d’une sensibilité faible à moyenne correspond à un impact d’importance </w:t>
      </w:r>
      <w:r w:rsidR="00677A01">
        <w:rPr>
          <w:lang w:eastAsia="zh-CN"/>
        </w:rPr>
        <w:t xml:space="preserve">négligeable à </w:t>
      </w:r>
      <w:r>
        <w:rPr>
          <w:lang w:eastAsia="zh-CN"/>
        </w:rPr>
        <w:t>mineure, stable et non évolutif dans le temps.</w:t>
      </w:r>
    </w:p>
    <w:tbl>
      <w:tblPr>
        <w:tblStyle w:val="TableauGrille1Clair-Accentuation111"/>
        <w:tblW w:w="0" w:type="auto"/>
        <w:tblLook w:val="04A0" w:firstRow="1" w:lastRow="0" w:firstColumn="1" w:lastColumn="0" w:noHBand="0" w:noVBand="1"/>
      </w:tblPr>
      <w:tblGrid>
        <w:gridCol w:w="792"/>
        <w:gridCol w:w="1563"/>
        <w:gridCol w:w="1382"/>
        <w:gridCol w:w="3310"/>
        <w:gridCol w:w="1366"/>
      </w:tblGrid>
      <w:tr w:rsidR="00372BDE" w:rsidRPr="00B95A9D" w14:paraId="351C57F1" w14:textId="77777777" w:rsidTr="00B67AF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31FBB348" w14:textId="77777777" w:rsidR="004D444B" w:rsidRPr="00B95A9D" w:rsidRDefault="004D444B" w:rsidP="004637C7">
            <w:pPr>
              <w:jc w:val="center"/>
              <w:rPr>
                <w:rFonts w:asciiTheme="minorHAnsi" w:hAnsiTheme="minorHAnsi" w:cstheme="minorHAnsi"/>
                <w:szCs w:val="20"/>
                <w:lang w:eastAsia="fr-FR" w:bidi="ar-SA"/>
              </w:rPr>
            </w:pPr>
            <w:r w:rsidRPr="00B95A9D">
              <w:rPr>
                <w:rFonts w:asciiTheme="minorHAnsi" w:hAnsiTheme="minorHAnsi" w:cstheme="minorHAnsi"/>
                <w:szCs w:val="20"/>
                <w:lang w:eastAsia="fr-FR" w:bidi="ar-SA"/>
              </w:rPr>
              <w:t>Impact</w:t>
            </w:r>
          </w:p>
        </w:tc>
        <w:tc>
          <w:tcPr>
            <w:tcW w:w="1563" w:type="dxa"/>
            <w:vAlign w:val="center"/>
            <w:hideMark/>
          </w:tcPr>
          <w:p w14:paraId="2019A83A" w14:textId="77777777" w:rsidR="004D444B" w:rsidRPr="00B95A9D" w:rsidRDefault="004D444B" w:rsidP="004637C7">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sidRPr="00B95A9D">
              <w:rPr>
                <w:rFonts w:asciiTheme="minorHAnsi" w:hAnsiTheme="minorHAnsi" w:cstheme="minorHAnsi"/>
                <w:szCs w:val="20"/>
                <w:lang w:eastAsia="fr-FR" w:bidi="ar-SA"/>
              </w:rPr>
              <w:t>Activités génératrices</w:t>
            </w:r>
          </w:p>
        </w:tc>
        <w:tc>
          <w:tcPr>
            <w:tcW w:w="1382" w:type="dxa"/>
            <w:vAlign w:val="center"/>
            <w:hideMark/>
          </w:tcPr>
          <w:p w14:paraId="13576F19" w14:textId="77777777" w:rsidR="004D444B" w:rsidRPr="00B95A9D" w:rsidRDefault="004D444B" w:rsidP="004637C7">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sidRPr="00B95A9D">
              <w:rPr>
                <w:rFonts w:asciiTheme="minorHAnsi" w:hAnsiTheme="minorHAnsi" w:cstheme="minorHAnsi"/>
                <w:szCs w:val="20"/>
                <w:lang w:eastAsia="fr-FR" w:bidi="ar-SA"/>
              </w:rPr>
              <w:t>Critère</w:t>
            </w:r>
          </w:p>
        </w:tc>
        <w:tc>
          <w:tcPr>
            <w:tcW w:w="3310" w:type="dxa"/>
            <w:vAlign w:val="center"/>
            <w:hideMark/>
          </w:tcPr>
          <w:p w14:paraId="1C4DC423" w14:textId="77777777" w:rsidR="004D444B" w:rsidRPr="00B95A9D" w:rsidRDefault="004D444B" w:rsidP="004637C7">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sidRPr="00B95A9D">
              <w:rPr>
                <w:rFonts w:asciiTheme="minorHAnsi" w:hAnsiTheme="minorHAnsi" w:cstheme="minorHAnsi"/>
                <w:szCs w:val="20"/>
                <w:lang w:eastAsia="fr-FR" w:bidi="ar-SA"/>
              </w:rPr>
              <w:t>Justification</w:t>
            </w:r>
          </w:p>
        </w:tc>
        <w:tc>
          <w:tcPr>
            <w:tcW w:w="1366" w:type="dxa"/>
            <w:vAlign w:val="center"/>
            <w:hideMark/>
          </w:tcPr>
          <w:p w14:paraId="6E6A3313" w14:textId="77777777" w:rsidR="004D444B" w:rsidRPr="00B95A9D" w:rsidRDefault="004D444B" w:rsidP="004637C7">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sidRPr="00B95A9D">
              <w:rPr>
                <w:rFonts w:asciiTheme="minorHAnsi" w:hAnsiTheme="minorHAnsi" w:cstheme="minorHAnsi"/>
                <w:szCs w:val="20"/>
                <w:lang w:eastAsia="fr-FR" w:bidi="ar-SA"/>
              </w:rPr>
              <w:t>Niveau</w:t>
            </w:r>
          </w:p>
        </w:tc>
      </w:tr>
      <w:tr w:rsidR="004D444B" w:rsidRPr="00B95A9D" w14:paraId="48AA210D" w14:textId="77777777" w:rsidTr="005A7661">
        <w:tc>
          <w:tcPr>
            <w:cnfStyle w:val="001000000000" w:firstRow="0" w:lastRow="0" w:firstColumn="1" w:lastColumn="0" w:oddVBand="0" w:evenVBand="0" w:oddHBand="0" w:evenHBand="0" w:firstRowFirstColumn="0" w:firstRowLastColumn="0" w:lastRowFirstColumn="0" w:lastRowLastColumn="0"/>
            <w:tcW w:w="0" w:type="auto"/>
            <w:vMerge w:val="restart"/>
            <w:textDirection w:val="btLr"/>
            <w:vAlign w:val="center"/>
          </w:tcPr>
          <w:p w14:paraId="703CDBB0" w14:textId="3AAC2E7B" w:rsidR="004D444B" w:rsidRPr="00B95A9D" w:rsidRDefault="005F1A5D" w:rsidP="005A7661">
            <w:pPr>
              <w:ind w:left="113" w:right="113"/>
              <w:jc w:val="center"/>
              <w:rPr>
                <w:rFonts w:asciiTheme="minorHAnsi" w:hAnsiTheme="minorHAnsi" w:cstheme="minorHAnsi"/>
                <w:szCs w:val="20"/>
                <w:lang w:eastAsia="fr-FR" w:bidi="ar-SA"/>
              </w:rPr>
            </w:pPr>
            <w:r w:rsidRPr="005F1A5D">
              <w:rPr>
                <w:rFonts w:asciiTheme="minorHAnsi" w:hAnsiTheme="minorHAnsi" w:cstheme="minorHAnsi"/>
                <w:szCs w:val="20"/>
                <w:lang w:eastAsia="fr-FR" w:bidi="ar-SA"/>
              </w:rPr>
              <w:t>Halo lumineux nocturn</w:t>
            </w:r>
            <w:r>
              <w:rPr>
                <w:rFonts w:asciiTheme="minorHAnsi" w:hAnsiTheme="minorHAnsi" w:cstheme="minorHAnsi"/>
                <w:szCs w:val="20"/>
                <w:lang w:eastAsia="fr-FR" w:bidi="ar-SA"/>
              </w:rPr>
              <w:t>e permanant</w:t>
            </w:r>
          </w:p>
        </w:tc>
        <w:tc>
          <w:tcPr>
            <w:tcW w:w="1563" w:type="dxa"/>
            <w:vMerge w:val="restart"/>
          </w:tcPr>
          <w:p w14:paraId="3B28659C" w14:textId="7F4C245D" w:rsidR="005F1A5D" w:rsidRPr="005F1A5D" w:rsidRDefault="005F1A5D" w:rsidP="005F1A5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sidRPr="005F1A5D">
              <w:rPr>
                <w:rFonts w:asciiTheme="minorHAnsi" w:hAnsiTheme="minorHAnsi" w:cstheme="minorHAnsi"/>
                <w:szCs w:val="20"/>
                <w:lang w:eastAsia="fr-FR" w:bidi="ar-SA"/>
              </w:rPr>
              <w:t xml:space="preserve">Éclairage permanent du nouveau parking </w:t>
            </w:r>
            <w:r w:rsidRPr="005F1A5D">
              <w:rPr>
                <w:rFonts w:asciiTheme="minorHAnsi" w:hAnsiTheme="minorHAnsi" w:cstheme="minorHAnsi"/>
                <w:szCs w:val="20"/>
                <w:lang w:eastAsia="fr-FR" w:bidi="ar-SA"/>
              </w:rPr>
              <w:lastRenderedPageBreak/>
              <w:t>avions et de la bretelle</w:t>
            </w:r>
          </w:p>
          <w:p w14:paraId="09922A72" w14:textId="0A1738E3" w:rsidR="004D444B" w:rsidRPr="00B95A9D" w:rsidRDefault="005F1A5D" w:rsidP="005F1A5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sidRPr="005F1A5D">
              <w:rPr>
                <w:rFonts w:asciiTheme="minorHAnsi" w:hAnsiTheme="minorHAnsi" w:cstheme="minorHAnsi"/>
                <w:szCs w:val="20"/>
                <w:lang w:eastAsia="fr-FR" w:bidi="ar-SA"/>
              </w:rPr>
              <w:t>Maintien de l’éclairage de sécurité et du balisage aéronautique</w:t>
            </w:r>
          </w:p>
        </w:tc>
        <w:tc>
          <w:tcPr>
            <w:tcW w:w="1382" w:type="dxa"/>
            <w:hideMark/>
          </w:tcPr>
          <w:p w14:paraId="4773166E" w14:textId="77777777" w:rsidR="004D444B" w:rsidRPr="00B95A9D" w:rsidRDefault="004D444B" w:rsidP="005A766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Cs w:val="20"/>
                <w:lang w:eastAsia="fr-FR" w:bidi="ar-SA"/>
              </w:rPr>
            </w:pPr>
            <w:r w:rsidRPr="00B95A9D">
              <w:rPr>
                <w:rFonts w:asciiTheme="minorHAnsi" w:hAnsiTheme="minorHAnsi" w:cstheme="minorHAnsi"/>
                <w:b/>
                <w:bCs/>
                <w:szCs w:val="20"/>
                <w:lang w:eastAsia="fr-FR" w:bidi="ar-SA"/>
              </w:rPr>
              <w:lastRenderedPageBreak/>
              <w:t>Nature</w:t>
            </w:r>
          </w:p>
        </w:tc>
        <w:tc>
          <w:tcPr>
            <w:tcW w:w="4676" w:type="dxa"/>
            <w:gridSpan w:val="2"/>
          </w:tcPr>
          <w:p w14:paraId="25304A96" w14:textId="37D17B38" w:rsidR="004D444B" w:rsidRPr="00B95A9D" w:rsidRDefault="005F1A5D" w:rsidP="005A766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Pr>
                <w:rFonts w:asciiTheme="minorHAnsi" w:hAnsiTheme="minorHAnsi" w:cstheme="minorHAnsi"/>
                <w:szCs w:val="20"/>
                <w:lang w:eastAsia="fr-FR" w:bidi="ar-SA"/>
              </w:rPr>
              <w:t>Négatif direct</w:t>
            </w:r>
          </w:p>
        </w:tc>
      </w:tr>
      <w:tr w:rsidR="004D444B" w:rsidRPr="00B95A9D" w14:paraId="7BBB3AAE" w14:textId="77777777" w:rsidTr="005A7661">
        <w:tc>
          <w:tcPr>
            <w:cnfStyle w:val="001000000000" w:firstRow="0" w:lastRow="0" w:firstColumn="1" w:lastColumn="0" w:oddVBand="0" w:evenVBand="0" w:oddHBand="0" w:evenHBand="0" w:firstRowFirstColumn="0" w:firstRowLastColumn="0" w:lastRowFirstColumn="0" w:lastRowLastColumn="0"/>
            <w:tcW w:w="0" w:type="auto"/>
            <w:vMerge/>
            <w:hideMark/>
          </w:tcPr>
          <w:p w14:paraId="41C2D148" w14:textId="77777777" w:rsidR="004D444B" w:rsidRPr="00B95A9D" w:rsidRDefault="004D444B" w:rsidP="005A7661">
            <w:pPr>
              <w:rPr>
                <w:rFonts w:asciiTheme="minorHAnsi" w:hAnsiTheme="minorHAnsi" w:cstheme="minorHAnsi"/>
                <w:szCs w:val="20"/>
                <w:lang w:eastAsia="fr-FR" w:bidi="ar-SA"/>
              </w:rPr>
            </w:pPr>
          </w:p>
        </w:tc>
        <w:tc>
          <w:tcPr>
            <w:tcW w:w="1563" w:type="dxa"/>
            <w:vMerge/>
            <w:hideMark/>
          </w:tcPr>
          <w:p w14:paraId="69E37DA9" w14:textId="77777777" w:rsidR="004D444B" w:rsidRPr="00B95A9D" w:rsidRDefault="004D444B" w:rsidP="005A766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p>
        </w:tc>
        <w:tc>
          <w:tcPr>
            <w:tcW w:w="1382" w:type="dxa"/>
            <w:hideMark/>
          </w:tcPr>
          <w:p w14:paraId="5758B9AC" w14:textId="77777777" w:rsidR="004D444B" w:rsidRPr="00B95A9D" w:rsidRDefault="004D444B" w:rsidP="005A766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Cs w:val="20"/>
                <w:lang w:eastAsia="fr-FR" w:bidi="ar-SA"/>
              </w:rPr>
            </w:pPr>
            <w:r w:rsidRPr="00B95A9D">
              <w:rPr>
                <w:rFonts w:asciiTheme="minorHAnsi" w:hAnsiTheme="minorHAnsi" w:cstheme="minorHAnsi"/>
                <w:b/>
                <w:bCs/>
                <w:szCs w:val="20"/>
                <w:lang w:eastAsia="fr-FR" w:bidi="ar-SA"/>
              </w:rPr>
              <w:t>Étendue</w:t>
            </w:r>
          </w:p>
        </w:tc>
        <w:tc>
          <w:tcPr>
            <w:tcW w:w="3310" w:type="dxa"/>
          </w:tcPr>
          <w:p w14:paraId="01D7F04D" w14:textId="61C16376" w:rsidR="004D444B" w:rsidRPr="00B95A9D" w:rsidRDefault="005F1A5D" w:rsidP="005A766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Pr>
                <w:rFonts w:asciiTheme="minorHAnsi" w:hAnsiTheme="minorHAnsi" w:cstheme="minorHAnsi"/>
                <w:szCs w:val="20"/>
                <w:lang w:eastAsia="fr-FR" w:bidi="ar-SA"/>
              </w:rPr>
              <w:t>Halo lumineux perceptible dans un rayon de 3 à 5 km selon les conditions atmosphériques</w:t>
            </w:r>
          </w:p>
        </w:tc>
        <w:tc>
          <w:tcPr>
            <w:tcW w:w="1366" w:type="dxa"/>
          </w:tcPr>
          <w:p w14:paraId="542A7444" w14:textId="46DFD963" w:rsidR="004D444B" w:rsidRPr="00B95A9D" w:rsidRDefault="005F1A5D" w:rsidP="005A766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Cs w:val="20"/>
                <w:lang w:eastAsia="fr-FR" w:bidi="ar-SA"/>
              </w:rPr>
            </w:pPr>
            <w:r>
              <w:rPr>
                <w:rFonts w:asciiTheme="minorHAnsi" w:hAnsiTheme="minorHAnsi" w:cstheme="minorHAnsi"/>
                <w:b/>
                <w:bCs/>
                <w:szCs w:val="20"/>
                <w:lang w:eastAsia="fr-FR" w:bidi="ar-SA"/>
              </w:rPr>
              <w:t>Locale</w:t>
            </w:r>
          </w:p>
        </w:tc>
      </w:tr>
      <w:tr w:rsidR="004D444B" w:rsidRPr="00B95A9D" w14:paraId="0587307E" w14:textId="77777777" w:rsidTr="005A7661">
        <w:tc>
          <w:tcPr>
            <w:cnfStyle w:val="001000000000" w:firstRow="0" w:lastRow="0" w:firstColumn="1" w:lastColumn="0" w:oddVBand="0" w:evenVBand="0" w:oddHBand="0" w:evenHBand="0" w:firstRowFirstColumn="0" w:firstRowLastColumn="0" w:lastRowFirstColumn="0" w:lastRowLastColumn="0"/>
            <w:tcW w:w="0" w:type="auto"/>
            <w:vMerge/>
            <w:hideMark/>
          </w:tcPr>
          <w:p w14:paraId="58C71E38" w14:textId="77777777" w:rsidR="004D444B" w:rsidRPr="00B95A9D" w:rsidRDefault="004D444B" w:rsidP="005A7661">
            <w:pPr>
              <w:rPr>
                <w:rFonts w:asciiTheme="minorHAnsi" w:hAnsiTheme="minorHAnsi" w:cstheme="minorHAnsi"/>
                <w:szCs w:val="20"/>
                <w:lang w:eastAsia="fr-FR" w:bidi="ar-SA"/>
              </w:rPr>
            </w:pPr>
          </w:p>
        </w:tc>
        <w:tc>
          <w:tcPr>
            <w:tcW w:w="1563" w:type="dxa"/>
            <w:vMerge/>
            <w:hideMark/>
          </w:tcPr>
          <w:p w14:paraId="69DF31AB" w14:textId="77777777" w:rsidR="004D444B" w:rsidRPr="00B95A9D" w:rsidRDefault="004D444B" w:rsidP="005A766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p>
        </w:tc>
        <w:tc>
          <w:tcPr>
            <w:tcW w:w="1382" w:type="dxa"/>
            <w:hideMark/>
          </w:tcPr>
          <w:p w14:paraId="32815978" w14:textId="77777777" w:rsidR="004D444B" w:rsidRPr="00B95A9D" w:rsidRDefault="004D444B" w:rsidP="005A766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Cs w:val="20"/>
                <w:lang w:eastAsia="fr-FR" w:bidi="ar-SA"/>
              </w:rPr>
            </w:pPr>
            <w:r w:rsidRPr="00B95A9D">
              <w:rPr>
                <w:rFonts w:asciiTheme="minorHAnsi" w:hAnsiTheme="minorHAnsi" w:cstheme="minorHAnsi"/>
                <w:b/>
                <w:bCs/>
                <w:szCs w:val="20"/>
                <w:lang w:eastAsia="fr-FR" w:bidi="ar-SA"/>
              </w:rPr>
              <w:t>Durée</w:t>
            </w:r>
          </w:p>
        </w:tc>
        <w:tc>
          <w:tcPr>
            <w:tcW w:w="3310" w:type="dxa"/>
          </w:tcPr>
          <w:p w14:paraId="27521D19" w14:textId="5ED0104E" w:rsidR="004D444B" w:rsidRPr="00B95A9D" w:rsidRDefault="005F1A5D" w:rsidP="005A766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Pr>
                <w:rFonts w:asciiTheme="minorHAnsi" w:hAnsiTheme="minorHAnsi" w:cstheme="minorHAnsi"/>
                <w:szCs w:val="20"/>
                <w:lang w:eastAsia="fr-FR" w:bidi="ar-SA"/>
              </w:rPr>
              <w:t>Durant toute la phase d’exploitation</w:t>
            </w:r>
          </w:p>
        </w:tc>
        <w:tc>
          <w:tcPr>
            <w:tcW w:w="1366" w:type="dxa"/>
          </w:tcPr>
          <w:p w14:paraId="14330D05" w14:textId="0E1132E2" w:rsidR="004D444B" w:rsidRPr="00B95A9D" w:rsidRDefault="005F1A5D" w:rsidP="005A766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Cs w:val="20"/>
                <w:lang w:eastAsia="fr-FR" w:bidi="ar-SA"/>
              </w:rPr>
            </w:pPr>
            <w:r>
              <w:rPr>
                <w:rFonts w:asciiTheme="minorHAnsi" w:hAnsiTheme="minorHAnsi" w:cstheme="minorHAnsi"/>
                <w:b/>
                <w:bCs/>
                <w:szCs w:val="20"/>
                <w:lang w:eastAsia="fr-FR" w:bidi="ar-SA"/>
              </w:rPr>
              <w:t>Long terme (Permanente)</w:t>
            </w:r>
          </w:p>
        </w:tc>
      </w:tr>
      <w:tr w:rsidR="004D444B" w:rsidRPr="00B95A9D" w14:paraId="3D845438" w14:textId="77777777" w:rsidTr="005A7661">
        <w:tc>
          <w:tcPr>
            <w:cnfStyle w:val="001000000000" w:firstRow="0" w:lastRow="0" w:firstColumn="1" w:lastColumn="0" w:oddVBand="0" w:evenVBand="0" w:oddHBand="0" w:evenHBand="0" w:firstRowFirstColumn="0" w:firstRowLastColumn="0" w:lastRowFirstColumn="0" w:lastRowLastColumn="0"/>
            <w:tcW w:w="0" w:type="auto"/>
            <w:vMerge/>
            <w:hideMark/>
          </w:tcPr>
          <w:p w14:paraId="2E5C03AD" w14:textId="77777777" w:rsidR="004D444B" w:rsidRPr="00B95A9D" w:rsidRDefault="004D444B" w:rsidP="005A7661">
            <w:pPr>
              <w:rPr>
                <w:rFonts w:asciiTheme="minorHAnsi" w:hAnsiTheme="minorHAnsi" w:cstheme="minorHAnsi"/>
                <w:szCs w:val="20"/>
                <w:lang w:eastAsia="fr-FR" w:bidi="ar-SA"/>
              </w:rPr>
            </w:pPr>
          </w:p>
        </w:tc>
        <w:tc>
          <w:tcPr>
            <w:tcW w:w="1563" w:type="dxa"/>
            <w:vMerge/>
            <w:hideMark/>
          </w:tcPr>
          <w:p w14:paraId="1B05DCA4" w14:textId="77777777" w:rsidR="004D444B" w:rsidRPr="00B95A9D" w:rsidRDefault="004D444B" w:rsidP="005A766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p>
        </w:tc>
        <w:tc>
          <w:tcPr>
            <w:tcW w:w="1382" w:type="dxa"/>
            <w:hideMark/>
          </w:tcPr>
          <w:p w14:paraId="4AEE3C6B" w14:textId="77777777" w:rsidR="004D444B" w:rsidRPr="00B95A9D" w:rsidRDefault="004D444B" w:rsidP="005A766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Cs w:val="20"/>
                <w:lang w:eastAsia="fr-FR" w:bidi="ar-SA"/>
              </w:rPr>
            </w:pPr>
            <w:r w:rsidRPr="00B95A9D">
              <w:rPr>
                <w:rFonts w:asciiTheme="minorHAnsi" w:hAnsiTheme="minorHAnsi" w:cstheme="minorHAnsi"/>
                <w:b/>
                <w:bCs/>
                <w:szCs w:val="20"/>
                <w:lang w:eastAsia="fr-FR" w:bidi="ar-SA"/>
              </w:rPr>
              <w:t>Fréquence</w:t>
            </w:r>
          </w:p>
        </w:tc>
        <w:tc>
          <w:tcPr>
            <w:tcW w:w="3310" w:type="dxa"/>
          </w:tcPr>
          <w:p w14:paraId="3090C198" w14:textId="08073AAB" w:rsidR="004D444B" w:rsidRPr="00911A3C" w:rsidRDefault="005F1A5D" w:rsidP="005A766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Pr>
                <w:rFonts w:asciiTheme="minorHAnsi" w:hAnsiTheme="minorHAnsi" w:cstheme="minorHAnsi"/>
                <w:szCs w:val="20"/>
                <w:lang w:eastAsia="fr-FR" w:bidi="ar-SA"/>
              </w:rPr>
              <w:t>Perceptible chaque nuit</w:t>
            </w:r>
          </w:p>
        </w:tc>
        <w:tc>
          <w:tcPr>
            <w:tcW w:w="1366" w:type="dxa"/>
          </w:tcPr>
          <w:p w14:paraId="3C5FAD33" w14:textId="2EC36BCA" w:rsidR="004D444B" w:rsidRPr="00B95A9D" w:rsidRDefault="005F1A5D" w:rsidP="005A766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Cs w:val="20"/>
                <w:lang w:eastAsia="fr-FR" w:bidi="ar-SA"/>
              </w:rPr>
            </w:pPr>
            <w:r>
              <w:rPr>
                <w:rFonts w:asciiTheme="minorHAnsi" w:hAnsiTheme="minorHAnsi" w:cstheme="minorHAnsi"/>
                <w:b/>
                <w:bCs/>
                <w:szCs w:val="20"/>
                <w:lang w:eastAsia="fr-FR" w:bidi="ar-SA"/>
              </w:rPr>
              <w:t>Continue</w:t>
            </w:r>
          </w:p>
        </w:tc>
      </w:tr>
      <w:tr w:rsidR="004D444B" w:rsidRPr="00B95A9D" w14:paraId="4F2A69F0" w14:textId="77777777" w:rsidTr="005A7661">
        <w:tc>
          <w:tcPr>
            <w:cnfStyle w:val="001000000000" w:firstRow="0" w:lastRow="0" w:firstColumn="1" w:lastColumn="0" w:oddVBand="0" w:evenVBand="0" w:oddHBand="0" w:evenHBand="0" w:firstRowFirstColumn="0" w:firstRowLastColumn="0" w:lastRowFirstColumn="0" w:lastRowLastColumn="0"/>
            <w:tcW w:w="0" w:type="auto"/>
            <w:vMerge/>
            <w:hideMark/>
          </w:tcPr>
          <w:p w14:paraId="189FC841" w14:textId="77777777" w:rsidR="004D444B" w:rsidRPr="00B95A9D" w:rsidRDefault="004D444B" w:rsidP="005A7661">
            <w:pPr>
              <w:rPr>
                <w:rFonts w:asciiTheme="minorHAnsi" w:hAnsiTheme="minorHAnsi" w:cstheme="minorHAnsi"/>
                <w:szCs w:val="20"/>
                <w:lang w:eastAsia="fr-FR" w:bidi="ar-SA"/>
              </w:rPr>
            </w:pPr>
          </w:p>
        </w:tc>
        <w:tc>
          <w:tcPr>
            <w:tcW w:w="1563" w:type="dxa"/>
            <w:vMerge/>
            <w:hideMark/>
          </w:tcPr>
          <w:p w14:paraId="44D22C45" w14:textId="77777777" w:rsidR="004D444B" w:rsidRPr="00B95A9D" w:rsidRDefault="004D444B" w:rsidP="005A766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p>
        </w:tc>
        <w:tc>
          <w:tcPr>
            <w:tcW w:w="1382" w:type="dxa"/>
            <w:shd w:val="clear" w:color="auto" w:fill="D9E2F3"/>
            <w:hideMark/>
          </w:tcPr>
          <w:p w14:paraId="4DF937EB" w14:textId="77777777" w:rsidR="004D444B" w:rsidRPr="00B95A9D" w:rsidRDefault="004D444B" w:rsidP="005A766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Cs w:val="20"/>
                <w:lang w:eastAsia="fr-FR" w:bidi="ar-SA"/>
              </w:rPr>
            </w:pPr>
            <w:r w:rsidRPr="00B95A9D">
              <w:rPr>
                <w:rFonts w:asciiTheme="minorHAnsi" w:hAnsiTheme="minorHAnsi" w:cstheme="minorHAnsi"/>
                <w:b/>
                <w:bCs/>
                <w:szCs w:val="20"/>
                <w:lang w:eastAsia="fr-FR" w:bidi="ar-SA"/>
              </w:rPr>
              <w:t>Intensité</w:t>
            </w:r>
          </w:p>
        </w:tc>
        <w:tc>
          <w:tcPr>
            <w:tcW w:w="3310" w:type="dxa"/>
            <w:shd w:val="clear" w:color="auto" w:fill="D9E2F3"/>
          </w:tcPr>
          <w:p w14:paraId="6CE31EF1" w14:textId="4E6B894D" w:rsidR="004D444B" w:rsidRPr="00B95A9D" w:rsidRDefault="005F1A5D" w:rsidP="005A766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Pr>
                <w:rFonts w:asciiTheme="minorHAnsi" w:hAnsiTheme="minorHAnsi" w:cstheme="minorHAnsi"/>
                <w:szCs w:val="20"/>
                <w:lang w:eastAsia="fr-FR" w:bidi="ar-SA"/>
              </w:rPr>
              <w:t>Eclairage dirigé vers le sol, conforme aux normes aéronautiques, diffusion lumineuse maîtrisée</w:t>
            </w:r>
          </w:p>
        </w:tc>
        <w:tc>
          <w:tcPr>
            <w:tcW w:w="1366" w:type="dxa"/>
            <w:shd w:val="clear" w:color="auto" w:fill="D9E2F3"/>
          </w:tcPr>
          <w:p w14:paraId="6026E4F5" w14:textId="41C19495" w:rsidR="005F1A5D" w:rsidRPr="00B95A9D" w:rsidRDefault="005F1A5D" w:rsidP="005A766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Cs w:val="20"/>
                <w:lang w:eastAsia="fr-FR" w:bidi="ar-SA"/>
              </w:rPr>
            </w:pPr>
            <w:r>
              <w:rPr>
                <w:rFonts w:asciiTheme="minorHAnsi" w:hAnsiTheme="minorHAnsi" w:cstheme="minorHAnsi"/>
                <w:b/>
                <w:bCs/>
                <w:szCs w:val="20"/>
                <w:lang w:eastAsia="fr-FR" w:bidi="ar-SA"/>
              </w:rPr>
              <w:t>Faible</w:t>
            </w:r>
          </w:p>
        </w:tc>
      </w:tr>
      <w:tr w:rsidR="004D444B" w:rsidRPr="00B95A9D" w14:paraId="1F17419C" w14:textId="77777777" w:rsidTr="005A7661">
        <w:tc>
          <w:tcPr>
            <w:cnfStyle w:val="001000000000" w:firstRow="0" w:lastRow="0" w:firstColumn="1" w:lastColumn="0" w:oddVBand="0" w:evenVBand="0" w:oddHBand="0" w:evenHBand="0" w:firstRowFirstColumn="0" w:firstRowLastColumn="0" w:lastRowFirstColumn="0" w:lastRowLastColumn="0"/>
            <w:tcW w:w="0" w:type="auto"/>
            <w:vMerge/>
          </w:tcPr>
          <w:p w14:paraId="292EFB59" w14:textId="77777777" w:rsidR="004D444B" w:rsidRPr="00B95A9D" w:rsidRDefault="004D444B" w:rsidP="005A7661">
            <w:pPr>
              <w:rPr>
                <w:rFonts w:asciiTheme="minorHAnsi" w:hAnsiTheme="minorHAnsi" w:cstheme="minorHAnsi"/>
                <w:szCs w:val="20"/>
                <w:lang w:eastAsia="fr-FR" w:bidi="ar-SA"/>
              </w:rPr>
            </w:pPr>
          </w:p>
        </w:tc>
        <w:tc>
          <w:tcPr>
            <w:tcW w:w="7621" w:type="dxa"/>
            <w:gridSpan w:val="4"/>
          </w:tcPr>
          <w:p w14:paraId="0A6D5309" w14:textId="77777777" w:rsidR="004D444B" w:rsidRPr="00B95A9D" w:rsidRDefault="004D444B" w:rsidP="005A7661">
            <w:pPr>
              <w:spacing w:before="0" w:after="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Cs w:val="20"/>
                <w:lang w:eastAsia="fr-FR" w:bidi="ar-SA"/>
              </w:rPr>
            </w:pPr>
          </w:p>
        </w:tc>
      </w:tr>
      <w:tr w:rsidR="004D444B" w:rsidRPr="00B95A9D" w14:paraId="175C227A" w14:textId="77777777" w:rsidTr="005A7661">
        <w:tc>
          <w:tcPr>
            <w:cnfStyle w:val="001000000000" w:firstRow="0" w:lastRow="0" w:firstColumn="1" w:lastColumn="0" w:oddVBand="0" w:evenVBand="0" w:oddHBand="0" w:evenHBand="0" w:firstRowFirstColumn="0" w:firstRowLastColumn="0" w:lastRowFirstColumn="0" w:lastRowLastColumn="0"/>
            <w:tcW w:w="0" w:type="auto"/>
            <w:vMerge/>
          </w:tcPr>
          <w:p w14:paraId="5A3CC022" w14:textId="77777777" w:rsidR="004D444B" w:rsidRPr="00B95A9D" w:rsidRDefault="004D444B" w:rsidP="005A7661">
            <w:pPr>
              <w:rPr>
                <w:rFonts w:asciiTheme="minorHAnsi" w:hAnsiTheme="minorHAnsi" w:cstheme="minorHAnsi"/>
                <w:szCs w:val="20"/>
                <w:lang w:eastAsia="fr-FR" w:bidi="ar-SA"/>
              </w:rPr>
            </w:pPr>
          </w:p>
        </w:tc>
        <w:tc>
          <w:tcPr>
            <w:tcW w:w="1563" w:type="dxa"/>
            <w:shd w:val="clear" w:color="auto" w:fill="B4C6E7" w:themeFill="accent1" w:themeFillTint="66"/>
            <w:vAlign w:val="center"/>
          </w:tcPr>
          <w:p w14:paraId="67A3B69C" w14:textId="77777777" w:rsidR="004D444B" w:rsidRPr="00B95A9D" w:rsidRDefault="004D444B" w:rsidP="005A766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sidRPr="00B95A9D">
              <w:rPr>
                <w:rFonts w:asciiTheme="minorHAnsi" w:hAnsiTheme="minorHAnsi" w:cstheme="minorHAnsi"/>
                <w:b/>
                <w:bCs/>
                <w:szCs w:val="20"/>
              </w:rPr>
              <w:t>Intensité de l’impact</w:t>
            </w:r>
          </w:p>
        </w:tc>
        <w:tc>
          <w:tcPr>
            <w:tcW w:w="1382" w:type="dxa"/>
            <w:shd w:val="clear" w:color="auto" w:fill="B4C6E7" w:themeFill="accent1" w:themeFillTint="66"/>
            <w:vAlign w:val="center"/>
          </w:tcPr>
          <w:p w14:paraId="0EA16BD9" w14:textId="77777777" w:rsidR="004D444B" w:rsidRPr="00B95A9D" w:rsidRDefault="004D444B" w:rsidP="005A766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Cs w:val="20"/>
                <w:lang w:eastAsia="fr-FR" w:bidi="ar-SA"/>
              </w:rPr>
            </w:pPr>
            <w:r w:rsidRPr="00B95A9D">
              <w:rPr>
                <w:rFonts w:asciiTheme="minorHAnsi" w:hAnsiTheme="minorHAnsi" w:cstheme="minorHAnsi"/>
                <w:b/>
                <w:bCs/>
                <w:szCs w:val="20"/>
              </w:rPr>
              <w:t>Récepteurs</w:t>
            </w:r>
          </w:p>
        </w:tc>
        <w:tc>
          <w:tcPr>
            <w:tcW w:w="3310" w:type="dxa"/>
            <w:shd w:val="clear" w:color="auto" w:fill="B4C6E7" w:themeFill="accent1" w:themeFillTint="66"/>
            <w:vAlign w:val="center"/>
          </w:tcPr>
          <w:p w14:paraId="61B309E5" w14:textId="77777777" w:rsidR="004D444B" w:rsidRPr="00B95A9D" w:rsidRDefault="004D444B" w:rsidP="005A766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sidRPr="00B95A9D">
              <w:rPr>
                <w:rFonts w:asciiTheme="minorHAnsi" w:hAnsiTheme="minorHAnsi" w:cstheme="minorHAnsi"/>
                <w:b/>
                <w:bCs/>
                <w:szCs w:val="20"/>
              </w:rPr>
              <w:t>Sensibilité</w:t>
            </w:r>
          </w:p>
        </w:tc>
        <w:tc>
          <w:tcPr>
            <w:tcW w:w="1366" w:type="dxa"/>
            <w:shd w:val="clear" w:color="auto" w:fill="B4C6E7" w:themeFill="accent1" w:themeFillTint="66"/>
            <w:vAlign w:val="center"/>
          </w:tcPr>
          <w:p w14:paraId="2C8F7A86" w14:textId="77777777" w:rsidR="004D444B" w:rsidRPr="00B95A9D" w:rsidRDefault="004D444B" w:rsidP="005A766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Cs w:val="20"/>
                <w:lang w:eastAsia="fr-FR" w:bidi="ar-SA"/>
              </w:rPr>
            </w:pPr>
            <w:r w:rsidRPr="00B95A9D">
              <w:rPr>
                <w:rFonts w:asciiTheme="minorHAnsi" w:hAnsiTheme="minorHAnsi" w:cstheme="minorHAnsi"/>
                <w:b/>
                <w:bCs/>
                <w:szCs w:val="20"/>
              </w:rPr>
              <w:t>Importance de l’impact</w:t>
            </w:r>
          </w:p>
        </w:tc>
      </w:tr>
      <w:tr w:rsidR="004D444B" w:rsidRPr="00B95A9D" w14:paraId="1DD9674D" w14:textId="77777777" w:rsidTr="005A7661">
        <w:tc>
          <w:tcPr>
            <w:cnfStyle w:val="001000000000" w:firstRow="0" w:lastRow="0" w:firstColumn="1" w:lastColumn="0" w:oddVBand="0" w:evenVBand="0" w:oddHBand="0" w:evenHBand="0" w:firstRowFirstColumn="0" w:firstRowLastColumn="0" w:lastRowFirstColumn="0" w:lastRowLastColumn="0"/>
            <w:tcW w:w="0" w:type="auto"/>
            <w:vMerge/>
          </w:tcPr>
          <w:p w14:paraId="44A353D9" w14:textId="77777777" w:rsidR="004D444B" w:rsidRPr="00B95A9D" w:rsidRDefault="004D444B" w:rsidP="005A7661">
            <w:pPr>
              <w:rPr>
                <w:rFonts w:asciiTheme="minorHAnsi" w:hAnsiTheme="minorHAnsi" w:cstheme="minorHAnsi"/>
                <w:szCs w:val="20"/>
                <w:lang w:eastAsia="fr-FR" w:bidi="ar-SA"/>
              </w:rPr>
            </w:pPr>
          </w:p>
        </w:tc>
        <w:tc>
          <w:tcPr>
            <w:tcW w:w="1563" w:type="dxa"/>
            <w:vMerge w:val="restart"/>
            <w:vAlign w:val="center"/>
          </w:tcPr>
          <w:p w14:paraId="48D48825" w14:textId="4FF7DFCB" w:rsidR="004D444B" w:rsidRPr="00B95A9D" w:rsidRDefault="005F1A5D" w:rsidP="005A766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Pr>
                <w:rFonts w:asciiTheme="minorHAnsi" w:hAnsiTheme="minorHAnsi" w:cstheme="minorHAnsi"/>
                <w:szCs w:val="20"/>
                <w:lang w:eastAsia="fr-FR" w:bidi="ar-SA"/>
              </w:rPr>
              <w:t>Faible</w:t>
            </w:r>
          </w:p>
        </w:tc>
        <w:tc>
          <w:tcPr>
            <w:tcW w:w="1382" w:type="dxa"/>
            <w:vAlign w:val="center"/>
          </w:tcPr>
          <w:p w14:paraId="1C77C4E4" w14:textId="60815DFD" w:rsidR="004D444B" w:rsidRPr="00B95A9D" w:rsidRDefault="005F1A5D" w:rsidP="005A766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Cs w:val="20"/>
                <w:lang w:eastAsia="fr-FR" w:bidi="ar-SA"/>
              </w:rPr>
            </w:pPr>
            <w:r>
              <w:rPr>
                <w:rFonts w:asciiTheme="minorHAnsi" w:hAnsiTheme="minorHAnsi" w:cstheme="minorHAnsi"/>
                <w:b/>
                <w:bCs/>
                <w:szCs w:val="20"/>
                <w:lang w:eastAsia="fr-FR" w:bidi="ar-SA"/>
              </w:rPr>
              <w:t>Usagers et employés de l’aéroport</w:t>
            </w:r>
          </w:p>
        </w:tc>
        <w:tc>
          <w:tcPr>
            <w:tcW w:w="3310" w:type="dxa"/>
            <w:vAlign w:val="center"/>
          </w:tcPr>
          <w:p w14:paraId="39C92350" w14:textId="789FCEBD" w:rsidR="004D444B" w:rsidRPr="00B95A9D" w:rsidRDefault="005F1A5D" w:rsidP="005A766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sidRPr="004637C7">
              <w:rPr>
                <w:rFonts w:asciiTheme="minorHAnsi" w:hAnsiTheme="minorHAnsi" w:cstheme="minorHAnsi"/>
                <w:b/>
                <w:bCs/>
                <w:szCs w:val="20"/>
                <w:lang w:eastAsia="fr-FR" w:bidi="ar-SA"/>
              </w:rPr>
              <w:t>Moyenne</w:t>
            </w:r>
            <w:r w:rsidRPr="005F1A5D">
              <w:rPr>
                <w:rFonts w:asciiTheme="minorHAnsi" w:hAnsiTheme="minorHAnsi" w:cstheme="minorHAnsi"/>
                <w:szCs w:val="20"/>
                <w:lang w:eastAsia="fr-FR" w:bidi="ar-SA"/>
              </w:rPr>
              <w:t xml:space="preserve"> : habitués à l’environnement lumineux du site.</w:t>
            </w:r>
          </w:p>
        </w:tc>
        <w:tc>
          <w:tcPr>
            <w:tcW w:w="1366" w:type="dxa"/>
            <w:vAlign w:val="center"/>
          </w:tcPr>
          <w:p w14:paraId="745C8EA6" w14:textId="0784F26B" w:rsidR="004D444B" w:rsidRPr="00B95A9D" w:rsidRDefault="005F1A5D" w:rsidP="005A766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Cs w:val="20"/>
                <w:lang w:eastAsia="fr-FR" w:bidi="ar-SA"/>
              </w:rPr>
            </w:pPr>
            <w:r>
              <w:rPr>
                <w:rFonts w:asciiTheme="minorHAnsi" w:hAnsiTheme="minorHAnsi" w:cstheme="minorHAnsi"/>
                <w:b/>
                <w:bCs/>
                <w:szCs w:val="20"/>
                <w:lang w:eastAsia="fr-FR" w:bidi="ar-SA"/>
              </w:rPr>
              <w:t>Mineure</w:t>
            </w:r>
          </w:p>
        </w:tc>
      </w:tr>
      <w:tr w:rsidR="004D444B" w:rsidRPr="00B95A9D" w14:paraId="566EDBA9" w14:textId="77777777" w:rsidTr="005A7661">
        <w:tc>
          <w:tcPr>
            <w:cnfStyle w:val="001000000000" w:firstRow="0" w:lastRow="0" w:firstColumn="1" w:lastColumn="0" w:oddVBand="0" w:evenVBand="0" w:oddHBand="0" w:evenHBand="0" w:firstRowFirstColumn="0" w:firstRowLastColumn="0" w:lastRowFirstColumn="0" w:lastRowLastColumn="0"/>
            <w:tcW w:w="0" w:type="auto"/>
            <w:vMerge/>
          </w:tcPr>
          <w:p w14:paraId="385CA527" w14:textId="77777777" w:rsidR="004D444B" w:rsidRPr="00B95A9D" w:rsidRDefault="004D444B" w:rsidP="005A7661">
            <w:pPr>
              <w:rPr>
                <w:rFonts w:asciiTheme="minorHAnsi" w:hAnsiTheme="minorHAnsi" w:cstheme="minorHAnsi"/>
                <w:szCs w:val="20"/>
                <w:lang w:eastAsia="fr-FR" w:bidi="ar-SA"/>
              </w:rPr>
            </w:pPr>
          </w:p>
        </w:tc>
        <w:tc>
          <w:tcPr>
            <w:tcW w:w="1563" w:type="dxa"/>
            <w:vMerge/>
            <w:vAlign w:val="center"/>
          </w:tcPr>
          <w:p w14:paraId="55389B23" w14:textId="77777777" w:rsidR="004D444B" w:rsidRDefault="004D444B" w:rsidP="005A766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p>
        </w:tc>
        <w:tc>
          <w:tcPr>
            <w:tcW w:w="1382" w:type="dxa"/>
            <w:vAlign w:val="center"/>
          </w:tcPr>
          <w:p w14:paraId="77A482F9" w14:textId="15616F40" w:rsidR="004D444B" w:rsidRPr="00B95A9D" w:rsidRDefault="005F1A5D" w:rsidP="005A766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Cs w:val="20"/>
                <w:lang w:eastAsia="fr-FR" w:bidi="ar-SA"/>
              </w:rPr>
            </w:pPr>
            <w:r>
              <w:rPr>
                <w:rFonts w:asciiTheme="minorHAnsi" w:hAnsiTheme="minorHAnsi" w:cstheme="minorHAnsi"/>
                <w:b/>
                <w:bCs/>
                <w:szCs w:val="20"/>
                <w:lang w:eastAsia="fr-FR" w:bidi="ar-SA"/>
              </w:rPr>
              <w:t xml:space="preserve">Usagers de la </w:t>
            </w:r>
            <w:r w:rsidR="00B67AFD">
              <w:rPr>
                <w:rFonts w:asciiTheme="minorHAnsi" w:hAnsiTheme="minorHAnsi" w:cstheme="minorHAnsi"/>
                <w:b/>
                <w:bCs/>
                <w:szCs w:val="20"/>
                <w:lang w:eastAsia="fr-FR" w:bidi="ar-SA"/>
              </w:rPr>
              <w:t>RR212</w:t>
            </w:r>
          </w:p>
        </w:tc>
        <w:tc>
          <w:tcPr>
            <w:tcW w:w="3310" w:type="dxa"/>
            <w:vAlign w:val="center"/>
          </w:tcPr>
          <w:p w14:paraId="7D4194EC" w14:textId="75BC526E" w:rsidR="004D444B" w:rsidRPr="00B95A9D" w:rsidRDefault="005F1A5D" w:rsidP="005A766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sidRPr="004637C7">
              <w:rPr>
                <w:rFonts w:asciiTheme="minorHAnsi" w:hAnsiTheme="minorHAnsi" w:cstheme="minorHAnsi"/>
                <w:b/>
                <w:bCs/>
                <w:szCs w:val="20"/>
                <w:lang w:eastAsia="fr-FR" w:bidi="ar-SA"/>
              </w:rPr>
              <w:t>Faible</w:t>
            </w:r>
            <w:r>
              <w:rPr>
                <w:rFonts w:asciiTheme="minorHAnsi" w:hAnsiTheme="minorHAnsi" w:cstheme="minorHAnsi"/>
                <w:szCs w:val="20"/>
                <w:lang w:eastAsia="fr-FR" w:bidi="ar-SA"/>
              </w:rPr>
              <w:t> : Halo perçu à distance mais sans gêne</w:t>
            </w:r>
          </w:p>
        </w:tc>
        <w:tc>
          <w:tcPr>
            <w:tcW w:w="1366" w:type="dxa"/>
            <w:vAlign w:val="center"/>
          </w:tcPr>
          <w:p w14:paraId="57FB1559" w14:textId="005AC625" w:rsidR="004D444B" w:rsidRPr="00B95A9D" w:rsidRDefault="005F1A5D" w:rsidP="005A766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Cs w:val="20"/>
                <w:lang w:eastAsia="fr-FR" w:bidi="ar-SA"/>
              </w:rPr>
            </w:pPr>
            <w:r>
              <w:rPr>
                <w:rFonts w:asciiTheme="minorHAnsi" w:hAnsiTheme="minorHAnsi" w:cstheme="minorHAnsi"/>
                <w:b/>
                <w:bCs/>
                <w:szCs w:val="20"/>
                <w:lang w:eastAsia="fr-FR" w:bidi="ar-SA"/>
              </w:rPr>
              <w:t>Négligeable</w:t>
            </w:r>
          </w:p>
        </w:tc>
      </w:tr>
    </w:tbl>
    <w:p w14:paraId="461677EF" w14:textId="692B60A9" w:rsidR="00155D4B" w:rsidRPr="00155D4B" w:rsidRDefault="007E01B6" w:rsidP="004637C7">
      <w:pPr>
        <w:pStyle w:val="Title5"/>
        <w:rPr>
          <w:lang w:eastAsia="zh-CN"/>
        </w:rPr>
      </w:pPr>
      <w:r>
        <w:rPr>
          <w:lang w:eastAsia="zh-CN"/>
        </w:rPr>
        <w:t>Mesures d’a</w:t>
      </w:r>
      <w:r w:rsidR="00155D4B" w:rsidRPr="00155D4B">
        <w:rPr>
          <w:lang w:eastAsia="zh-CN"/>
        </w:rPr>
        <w:t>tténuation</w:t>
      </w:r>
    </w:p>
    <w:p w14:paraId="1735109C" w14:textId="77777777" w:rsidR="00A72EEA" w:rsidRDefault="00155D4B" w:rsidP="00155D4B">
      <w:pPr>
        <w:tabs>
          <w:tab w:val="left" w:pos="1269"/>
        </w:tabs>
        <w:rPr>
          <w:lang w:eastAsia="zh-CN"/>
        </w:rPr>
        <w:sectPr w:rsidR="00A72EEA" w:rsidSect="002957DD">
          <w:pgSz w:w="11906" w:h="16838"/>
          <w:pgMar w:top="1418" w:right="1418" w:bottom="1276" w:left="1418" w:header="680" w:footer="680" w:gutter="0"/>
          <w:cols w:space="708"/>
          <w:docGrid w:linePitch="360"/>
        </w:sectPr>
      </w:pPr>
      <w:r w:rsidRPr="00155D4B">
        <w:rPr>
          <w:lang w:eastAsia="zh-CN"/>
        </w:rPr>
        <w:t>Les mesures d’atténuation et de compensation proposées pour l’impact visuel et paysager en phase d’exploitation se présentent comme suit :</w:t>
      </w:r>
    </w:p>
    <w:p w14:paraId="2C1A9451" w14:textId="6344FCED" w:rsidR="002F7349" w:rsidRPr="002A0860" w:rsidRDefault="00341128" w:rsidP="00341128">
      <w:pPr>
        <w:pStyle w:val="Lgende"/>
        <w:rPr>
          <w:b w:val="0"/>
          <w:bCs w:val="0"/>
          <w:lang w:val="fr-FR" w:eastAsia="zh-CN"/>
        </w:rPr>
      </w:pPr>
      <w:bookmarkStart w:id="447" w:name="_Toc213404378"/>
      <w:r w:rsidRPr="002A0860">
        <w:rPr>
          <w:lang w:val="fr-FR"/>
        </w:rPr>
        <w:lastRenderedPageBreak/>
        <w:t xml:space="preserve">Tableau </w:t>
      </w:r>
      <w:r>
        <w:fldChar w:fldCharType="begin"/>
      </w:r>
      <w:r w:rsidRPr="002A0860">
        <w:rPr>
          <w:lang w:val="fr-FR"/>
        </w:rPr>
        <w:instrText xml:space="preserve"> SEQ Tableau \* ARABIC </w:instrText>
      </w:r>
      <w:r>
        <w:fldChar w:fldCharType="separate"/>
      </w:r>
      <w:r w:rsidR="00274E71">
        <w:rPr>
          <w:noProof/>
          <w:lang w:val="fr-FR"/>
        </w:rPr>
        <w:t>56</w:t>
      </w:r>
      <w:r>
        <w:fldChar w:fldCharType="end"/>
      </w:r>
      <w:r w:rsidR="00CC6026">
        <w:rPr>
          <w:lang w:val="fr-FR"/>
        </w:rPr>
        <w:t xml:space="preserve">: Impacts visuels et paysagers - </w:t>
      </w:r>
      <w:r w:rsidR="00CC6026" w:rsidRPr="004B2041">
        <w:rPr>
          <w:lang w:val="fr-FR"/>
        </w:rPr>
        <w:t xml:space="preserve">Mesures d’atténuation en phases </w:t>
      </w:r>
      <w:r w:rsidR="00CC6026">
        <w:rPr>
          <w:lang w:val="fr-FR"/>
        </w:rPr>
        <w:t>d’exploitation</w:t>
      </w:r>
      <w:bookmarkEnd w:id="447"/>
    </w:p>
    <w:tbl>
      <w:tblPr>
        <w:tblStyle w:val="TableauGrille1Clair-Accentuation111"/>
        <w:tblW w:w="0" w:type="auto"/>
        <w:tblLook w:val="04A0" w:firstRow="1" w:lastRow="0" w:firstColumn="1" w:lastColumn="0" w:noHBand="0" w:noVBand="1"/>
      </w:tblPr>
      <w:tblGrid>
        <w:gridCol w:w="1524"/>
        <w:gridCol w:w="1440"/>
        <w:gridCol w:w="2632"/>
        <w:gridCol w:w="1893"/>
        <w:gridCol w:w="1123"/>
        <w:gridCol w:w="1223"/>
        <w:gridCol w:w="717"/>
        <w:gridCol w:w="1307"/>
        <w:gridCol w:w="2275"/>
      </w:tblGrid>
      <w:tr w:rsidR="00C40C47" w:rsidRPr="00CC6026" w14:paraId="505DBCA8" w14:textId="77777777" w:rsidTr="004637C7">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0" w:type="auto"/>
          </w:tcPr>
          <w:p w14:paraId="76327528" w14:textId="5CB7B70B" w:rsidR="00A72EEA" w:rsidRPr="004637C7" w:rsidRDefault="00A72EEA" w:rsidP="00A72EEA">
            <w:pPr>
              <w:rPr>
                <w:rFonts w:asciiTheme="minorHAnsi" w:hAnsiTheme="minorHAnsi" w:cstheme="minorHAnsi"/>
                <w:szCs w:val="20"/>
              </w:rPr>
            </w:pPr>
            <w:r w:rsidRPr="004637C7">
              <w:rPr>
                <w:rFonts w:asciiTheme="minorHAnsi" w:hAnsiTheme="minorHAnsi" w:cstheme="minorHAnsi"/>
                <w:szCs w:val="20"/>
              </w:rPr>
              <w:t>Impact</w:t>
            </w:r>
          </w:p>
        </w:tc>
        <w:tc>
          <w:tcPr>
            <w:tcW w:w="0" w:type="auto"/>
            <w:hideMark/>
          </w:tcPr>
          <w:p w14:paraId="0A7E9CDC" w14:textId="752DB981" w:rsidR="00A72EEA" w:rsidRPr="004637C7" w:rsidRDefault="00A72EEA" w:rsidP="00A72EEA">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4637C7">
              <w:rPr>
                <w:rFonts w:asciiTheme="minorHAnsi" w:hAnsiTheme="minorHAnsi" w:cstheme="minorHAnsi"/>
                <w:szCs w:val="20"/>
              </w:rPr>
              <w:t>Niveau d’atténuation</w:t>
            </w:r>
          </w:p>
        </w:tc>
        <w:tc>
          <w:tcPr>
            <w:tcW w:w="0" w:type="auto"/>
            <w:hideMark/>
          </w:tcPr>
          <w:p w14:paraId="365447D0" w14:textId="77777777" w:rsidR="00A72EEA" w:rsidRPr="004637C7" w:rsidRDefault="00A72EEA" w:rsidP="00A72EEA">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4637C7">
              <w:rPr>
                <w:rFonts w:asciiTheme="minorHAnsi" w:hAnsiTheme="minorHAnsi" w:cstheme="minorHAnsi"/>
                <w:szCs w:val="20"/>
              </w:rPr>
              <w:t>Mesure d’atténuation / de gestion</w:t>
            </w:r>
          </w:p>
        </w:tc>
        <w:tc>
          <w:tcPr>
            <w:tcW w:w="0" w:type="auto"/>
            <w:hideMark/>
          </w:tcPr>
          <w:p w14:paraId="5A53D0A0" w14:textId="77777777" w:rsidR="00A72EEA" w:rsidRPr="004637C7" w:rsidRDefault="00A72EEA" w:rsidP="00A72EEA">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4637C7">
              <w:rPr>
                <w:rFonts w:asciiTheme="minorHAnsi" w:hAnsiTheme="minorHAnsi" w:cstheme="minorHAnsi"/>
                <w:szCs w:val="20"/>
              </w:rPr>
              <w:t>Indicateurs de performance (KPI)</w:t>
            </w:r>
          </w:p>
        </w:tc>
        <w:tc>
          <w:tcPr>
            <w:tcW w:w="0" w:type="auto"/>
            <w:hideMark/>
          </w:tcPr>
          <w:p w14:paraId="5C7770B3" w14:textId="77777777" w:rsidR="00A72EEA" w:rsidRPr="004637C7" w:rsidRDefault="00A72EEA" w:rsidP="00A72EEA">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4637C7">
              <w:rPr>
                <w:rFonts w:asciiTheme="minorHAnsi" w:hAnsiTheme="minorHAnsi" w:cstheme="minorHAnsi"/>
                <w:szCs w:val="20"/>
              </w:rPr>
              <w:t>Mise en œuvre</w:t>
            </w:r>
          </w:p>
        </w:tc>
        <w:tc>
          <w:tcPr>
            <w:tcW w:w="0" w:type="auto"/>
            <w:hideMark/>
          </w:tcPr>
          <w:p w14:paraId="6D2B766A" w14:textId="77777777" w:rsidR="00A72EEA" w:rsidRPr="004637C7" w:rsidRDefault="00A72EEA" w:rsidP="00A72EEA">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4637C7">
              <w:rPr>
                <w:rFonts w:asciiTheme="minorHAnsi" w:hAnsiTheme="minorHAnsi" w:cstheme="minorHAnsi"/>
                <w:szCs w:val="20"/>
              </w:rPr>
              <w:t>Surveillance</w:t>
            </w:r>
          </w:p>
        </w:tc>
        <w:tc>
          <w:tcPr>
            <w:tcW w:w="0" w:type="auto"/>
            <w:hideMark/>
          </w:tcPr>
          <w:p w14:paraId="376AB639" w14:textId="77777777" w:rsidR="00A72EEA" w:rsidRPr="004637C7" w:rsidRDefault="00A72EEA" w:rsidP="00A72EEA">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4637C7">
              <w:rPr>
                <w:rFonts w:asciiTheme="minorHAnsi" w:hAnsiTheme="minorHAnsi" w:cstheme="minorHAnsi"/>
                <w:szCs w:val="20"/>
              </w:rPr>
              <w:t>Suivi</w:t>
            </w:r>
          </w:p>
        </w:tc>
        <w:tc>
          <w:tcPr>
            <w:tcW w:w="0" w:type="auto"/>
            <w:hideMark/>
          </w:tcPr>
          <w:p w14:paraId="13DD69F9" w14:textId="77777777" w:rsidR="00A72EEA" w:rsidRPr="004637C7" w:rsidRDefault="00A72EEA" w:rsidP="00A72EEA">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4637C7">
              <w:rPr>
                <w:rFonts w:asciiTheme="minorHAnsi" w:hAnsiTheme="minorHAnsi" w:cstheme="minorHAnsi"/>
                <w:szCs w:val="20"/>
              </w:rPr>
              <w:t>Calendrier</w:t>
            </w:r>
          </w:p>
        </w:tc>
        <w:tc>
          <w:tcPr>
            <w:tcW w:w="0" w:type="auto"/>
            <w:hideMark/>
          </w:tcPr>
          <w:p w14:paraId="303730F4" w14:textId="77777777" w:rsidR="00A72EEA" w:rsidRPr="004637C7" w:rsidRDefault="00A72EEA" w:rsidP="00A72EEA">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4637C7">
              <w:rPr>
                <w:rFonts w:asciiTheme="minorHAnsi" w:hAnsiTheme="minorHAnsi" w:cstheme="minorHAnsi"/>
                <w:szCs w:val="20"/>
              </w:rPr>
              <w:t>Coût</w:t>
            </w:r>
          </w:p>
        </w:tc>
      </w:tr>
      <w:tr w:rsidR="00DD7C08" w:rsidRPr="00CC6026" w14:paraId="0F1FDCC4" w14:textId="77777777" w:rsidTr="00A72EEA">
        <w:tc>
          <w:tcPr>
            <w:cnfStyle w:val="001000000000" w:firstRow="0" w:lastRow="0" w:firstColumn="1" w:lastColumn="0" w:oddVBand="0" w:evenVBand="0" w:oddHBand="0" w:evenHBand="0" w:firstRowFirstColumn="0" w:firstRowLastColumn="0" w:lastRowFirstColumn="0" w:lastRowLastColumn="0"/>
            <w:tcW w:w="0" w:type="auto"/>
            <w:vMerge w:val="restart"/>
            <w:vAlign w:val="center"/>
          </w:tcPr>
          <w:p w14:paraId="1C6319CE" w14:textId="089AB05F" w:rsidR="00DD7C08" w:rsidRPr="004637C7" w:rsidRDefault="00DD7C08" w:rsidP="00DD7C08">
            <w:pPr>
              <w:jc w:val="left"/>
              <w:rPr>
                <w:rFonts w:asciiTheme="minorHAnsi" w:hAnsiTheme="minorHAnsi" w:cstheme="minorHAnsi"/>
                <w:szCs w:val="20"/>
              </w:rPr>
            </w:pPr>
            <w:r w:rsidRPr="004637C7">
              <w:rPr>
                <w:rFonts w:asciiTheme="minorHAnsi" w:hAnsiTheme="minorHAnsi" w:cstheme="minorHAnsi"/>
                <w:szCs w:val="20"/>
              </w:rPr>
              <w:t>Modification du cadre visuel</w:t>
            </w:r>
          </w:p>
        </w:tc>
        <w:tc>
          <w:tcPr>
            <w:tcW w:w="0" w:type="auto"/>
            <w:hideMark/>
          </w:tcPr>
          <w:p w14:paraId="371B65D4" w14:textId="08C583EF" w:rsidR="00DD7C08" w:rsidRPr="004637C7" w:rsidRDefault="00DD7C08" w:rsidP="00DD7C08">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4637C7">
              <w:rPr>
                <w:rFonts w:asciiTheme="minorHAnsi" w:hAnsiTheme="minorHAnsi" w:cstheme="minorHAnsi"/>
                <w:b/>
                <w:bCs/>
                <w:szCs w:val="20"/>
              </w:rPr>
              <w:t>Éviter</w:t>
            </w:r>
          </w:p>
        </w:tc>
        <w:tc>
          <w:tcPr>
            <w:tcW w:w="0" w:type="auto"/>
            <w:hideMark/>
          </w:tcPr>
          <w:p w14:paraId="311E45F7" w14:textId="77777777" w:rsidR="00DD7C08" w:rsidRPr="004637C7" w:rsidRDefault="00DD7C08" w:rsidP="00DD7C08">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4637C7">
              <w:rPr>
                <w:rFonts w:asciiTheme="minorHAnsi" w:hAnsiTheme="minorHAnsi" w:cstheme="minorHAnsi"/>
                <w:szCs w:val="20"/>
              </w:rPr>
              <w:t>Maintenir la conception dans les alignements visuels existants et éviter toute surélévation inutile.</w:t>
            </w:r>
          </w:p>
        </w:tc>
        <w:tc>
          <w:tcPr>
            <w:tcW w:w="0" w:type="auto"/>
            <w:hideMark/>
          </w:tcPr>
          <w:p w14:paraId="716EE74C" w14:textId="2DB2A101" w:rsidR="00DD7C08" w:rsidRPr="004637C7" w:rsidRDefault="00DD7C08" w:rsidP="00DD7C08">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4637C7">
              <w:rPr>
                <w:rFonts w:asciiTheme="minorHAnsi" w:hAnsiTheme="minorHAnsi" w:cstheme="minorHAnsi"/>
                <w:szCs w:val="20"/>
              </w:rPr>
              <w:t>Conformité du design validée (% des alignements respectés).</w:t>
            </w:r>
          </w:p>
        </w:tc>
        <w:tc>
          <w:tcPr>
            <w:tcW w:w="0" w:type="auto"/>
            <w:hideMark/>
          </w:tcPr>
          <w:p w14:paraId="46AC5541" w14:textId="4BC2B6BF" w:rsidR="00DD7C08" w:rsidRPr="004637C7" w:rsidRDefault="00DD7C08" w:rsidP="00DD7C08">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4637C7">
              <w:rPr>
                <w:rFonts w:asciiTheme="minorHAnsi" w:hAnsiTheme="minorHAnsi" w:cstheme="minorHAnsi"/>
                <w:szCs w:val="20"/>
              </w:rPr>
              <w:t>ONDA / Exploitant</w:t>
            </w:r>
          </w:p>
        </w:tc>
        <w:tc>
          <w:tcPr>
            <w:tcW w:w="0" w:type="auto"/>
            <w:hideMark/>
          </w:tcPr>
          <w:p w14:paraId="5C4F8830" w14:textId="25FCAD86" w:rsidR="00DD7C08" w:rsidRPr="004637C7" w:rsidRDefault="00DD7C08" w:rsidP="00DD7C08">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Pr>
                <w:rFonts w:asciiTheme="minorHAnsi" w:hAnsiTheme="minorHAnsi" w:cstheme="minorHAnsi"/>
                <w:szCs w:val="20"/>
              </w:rPr>
              <w:t>ONDA</w:t>
            </w:r>
          </w:p>
        </w:tc>
        <w:tc>
          <w:tcPr>
            <w:tcW w:w="0" w:type="auto"/>
            <w:hideMark/>
          </w:tcPr>
          <w:p w14:paraId="722870A7" w14:textId="465246FF" w:rsidR="00DD7C08" w:rsidRPr="004637C7" w:rsidRDefault="00DD7C08" w:rsidP="00DD7C08">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Pr>
                <w:rFonts w:asciiTheme="minorHAnsi" w:hAnsiTheme="minorHAnsi" w:cstheme="minorHAnsi"/>
                <w:szCs w:val="20"/>
                <w:lang w:eastAsia="zh-CN"/>
              </w:rPr>
              <w:t>ONDA</w:t>
            </w:r>
          </w:p>
        </w:tc>
        <w:tc>
          <w:tcPr>
            <w:tcW w:w="0" w:type="auto"/>
            <w:hideMark/>
          </w:tcPr>
          <w:p w14:paraId="1476A0FF" w14:textId="77777777" w:rsidR="00DD7C08" w:rsidRPr="004637C7" w:rsidRDefault="00DD7C08" w:rsidP="00DD7C08">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4637C7">
              <w:rPr>
                <w:rFonts w:asciiTheme="minorHAnsi" w:hAnsiTheme="minorHAnsi" w:cstheme="minorHAnsi"/>
                <w:szCs w:val="20"/>
              </w:rPr>
              <w:t>Phase de conception</w:t>
            </w:r>
          </w:p>
        </w:tc>
        <w:tc>
          <w:tcPr>
            <w:tcW w:w="0" w:type="auto"/>
            <w:hideMark/>
          </w:tcPr>
          <w:p w14:paraId="260B0086" w14:textId="00EDD29B" w:rsidR="00DD7C08" w:rsidRPr="004637C7" w:rsidRDefault="00DD7C08" w:rsidP="00DD7C08">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AA22F2">
              <w:rPr>
                <w:rFonts w:asciiTheme="minorHAnsi" w:hAnsiTheme="minorHAnsi" w:cstheme="minorHAnsi"/>
                <w:szCs w:val="20"/>
              </w:rPr>
              <w:t>Aucun coût spécifique</w:t>
            </w:r>
          </w:p>
        </w:tc>
      </w:tr>
      <w:tr w:rsidR="00DD7C08" w:rsidRPr="00CC6026" w14:paraId="144F76F3" w14:textId="77777777" w:rsidTr="005A7661">
        <w:tc>
          <w:tcPr>
            <w:cnfStyle w:val="001000000000" w:firstRow="0" w:lastRow="0" w:firstColumn="1" w:lastColumn="0" w:oddVBand="0" w:evenVBand="0" w:oddHBand="0" w:evenHBand="0" w:firstRowFirstColumn="0" w:firstRowLastColumn="0" w:lastRowFirstColumn="0" w:lastRowLastColumn="0"/>
            <w:tcW w:w="0" w:type="auto"/>
            <w:vMerge/>
          </w:tcPr>
          <w:p w14:paraId="0CBF8F85" w14:textId="77777777" w:rsidR="00DD7C08" w:rsidRPr="004637C7" w:rsidRDefault="00DD7C08" w:rsidP="00DD7C08">
            <w:pPr>
              <w:rPr>
                <w:rFonts w:asciiTheme="minorHAnsi" w:hAnsiTheme="minorHAnsi" w:cstheme="minorHAnsi"/>
                <w:b w:val="0"/>
                <w:bCs w:val="0"/>
                <w:szCs w:val="20"/>
              </w:rPr>
            </w:pPr>
          </w:p>
        </w:tc>
        <w:tc>
          <w:tcPr>
            <w:tcW w:w="0" w:type="auto"/>
            <w:hideMark/>
          </w:tcPr>
          <w:p w14:paraId="5464F4A3" w14:textId="20E1AD3C" w:rsidR="00DD7C08" w:rsidRPr="004637C7" w:rsidRDefault="00DD7C08" w:rsidP="00DD7C08">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4637C7">
              <w:rPr>
                <w:rFonts w:asciiTheme="minorHAnsi" w:hAnsiTheme="minorHAnsi" w:cstheme="minorHAnsi"/>
                <w:b/>
                <w:bCs/>
                <w:szCs w:val="20"/>
              </w:rPr>
              <w:t>Réduire</w:t>
            </w:r>
          </w:p>
        </w:tc>
        <w:tc>
          <w:tcPr>
            <w:tcW w:w="0" w:type="auto"/>
            <w:hideMark/>
          </w:tcPr>
          <w:p w14:paraId="4009FC36" w14:textId="77777777" w:rsidR="00DD7C08" w:rsidRPr="004637C7" w:rsidRDefault="00DD7C08" w:rsidP="00DD7C08">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4637C7">
              <w:rPr>
                <w:rFonts w:asciiTheme="minorHAnsi" w:hAnsiTheme="minorHAnsi" w:cstheme="minorHAnsi"/>
                <w:szCs w:val="20"/>
              </w:rPr>
              <w:t>Employer des matériaux et teintes homogènes avec les bâtiments existants (asphalte foncé, signalétique sobre).</w:t>
            </w:r>
          </w:p>
        </w:tc>
        <w:tc>
          <w:tcPr>
            <w:tcW w:w="0" w:type="auto"/>
            <w:hideMark/>
          </w:tcPr>
          <w:p w14:paraId="5A1D8C24" w14:textId="1193B8DC" w:rsidR="00DD7C08" w:rsidRPr="004637C7" w:rsidRDefault="00DD7C08" w:rsidP="00DD7C08">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4637C7">
              <w:rPr>
                <w:rFonts w:asciiTheme="minorHAnsi" w:hAnsiTheme="minorHAnsi" w:cstheme="minorHAnsi"/>
                <w:szCs w:val="20"/>
              </w:rPr>
              <w:t>% des teintes conformes au plan d’intégration visuelle.</w:t>
            </w:r>
          </w:p>
        </w:tc>
        <w:tc>
          <w:tcPr>
            <w:tcW w:w="0" w:type="auto"/>
            <w:hideMark/>
          </w:tcPr>
          <w:p w14:paraId="3A9629D4" w14:textId="3E5BAB1D" w:rsidR="00DD7C08" w:rsidRPr="004637C7" w:rsidRDefault="00DD7C08" w:rsidP="00DD7C08">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4637C7">
              <w:rPr>
                <w:rFonts w:asciiTheme="minorHAnsi" w:hAnsiTheme="minorHAnsi" w:cstheme="minorHAnsi"/>
                <w:szCs w:val="20"/>
              </w:rPr>
              <w:t>ONDA / Exploitant</w:t>
            </w:r>
          </w:p>
        </w:tc>
        <w:tc>
          <w:tcPr>
            <w:tcW w:w="0" w:type="auto"/>
            <w:hideMark/>
          </w:tcPr>
          <w:p w14:paraId="2DCF814F" w14:textId="374C128C" w:rsidR="00DD7C08" w:rsidRPr="004637C7" w:rsidRDefault="00DD7C08" w:rsidP="00DD7C08">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Pr>
                <w:rFonts w:asciiTheme="minorHAnsi" w:hAnsiTheme="minorHAnsi" w:cstheme="minorHAnsi"/>
                <w:szCs w:val="20"/>
              </w:rPr>
              <w:t>ONDA</w:t>
            </w:r>
          </w:p>
        </w:tc>
        <w:tc>
          <w:tcPr>
            <w:tcW w:w="0" w:type="auto"/>
            <w:hideMark/>
          </w:tcPr>
          <w:p w14:paraId="0CA07EA2" w14:textId="7B3629FE" w:rsidR="00DD7C08" w:rsidRPr="004637C7" w:rsidRDefault="00DD7C08" w:rsidP="00DD7C08">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Pr>
                <w:rFonts w:asciiTheme="minorHAnsi" w:hAnsiTheme="minorHAnsi" w:cstheme="minorHAnsi"/>
                <w:szCs w:val="20"/>
                <w:lang w:eastAsia="zh-CN"/>
              </w:rPr>
              <w:t>ONDA</w:t>
            </w:r>
          </w:p>
        </w:tc>
        <w:tc>
          <w:tcPr>
            <w:tcW w:w="0" w:type="auto"/>
            <w:hideMark/>
          </w:tcPr>
          <w:p w14:paraId="0426B28B" w14:textId="77777777" w:rsidR="00DD7C08" w:rsidRPr="004637C7" w:rsidRDefault="00DD7C08" w:rsidP="00DD7C08">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4637C7">
              <w:rPr>
                <w:rFonts w:asciiTheme="minorHAnsi" w:hAnsiTheme="minorHAnsi" w:cstheme="minorHAnsi"/>
                <w:szCs w:val="20"/>
              </w:rPr>
              <w:t>Dès mise en service</w:t>
            </w:r>
          </w:p>
        </w:tc>
        <w:tc>
          <w:tcPr>
            <w:tcW w:w="0" w:type="auto"/>
            <w:hideMark/>
          </w:tcPr>
          <w:p w14:paraId="5B9C3FFB" w14:textId="4312C70C" w:rsidR="00DD7C08" w:rsidRPr="004637C7" w:rsidRDefault="00DD7C08" w:rsidP="00DD7C08">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8D378F">
              <w:rPr>
                <w:rFonts w:asciiTheme="minorHAnsi" w:hAnsiTheme="minorHAnsi" w:cstheme="minorHAnsi"/>
                <w:szCs w:val="20"/>
              </w:rPr>
              <w:t>400 – 600</w:t>
            </w:r>
            <w:r>
              <w:rPr>
                <w:rFonts w:asciiTheme="minorHAnsi" w:hAnsiTheme="minorHAnsi" w:cstheme="minorHAnsi"/>
                <w:szCs w:val="20"/>
              </w:rPr>
              <w:t xml:space="preserve"> MAD</w:t>
            </w:r>
            <w:r w:rsidRPr="008D378F">
              <w:rPr>
                <w:rFonts w:asciiTheme="minorHAnsi" w:hAnsiTheme="minorHAnsi" w:cstheme="minorHAnsi"/>
                <w:szCs w:val="20"/>
              </w:rPr>
              <w:t xml:space="preserve"> /m² (revêtement et finition visuelle)</w:t>
            </w:r>
          </w:p>
        </w:tc>
      </w:tr>
      <w:tr w:rsidR="00DD7C08" w:rsidRPr="00CC6026" w14:paraId="17E24F56" w14:textId="77777777" w:rsidTr="005A7661">
        <w:tc>
          <w:tcPr>
            <w:cnfStyle w:val="001000000000" w:firstRow="0" w:lastRow="0" w:firstColumn="1" w:lastColumn="0" w:oddVBand="0" w:evenVBand="0" w:oddHBand="0" w:evenHBand="0" w:firstRowFirstColumn="0" w:firstRowLastColumn="0" w:lastRowFirstColumn="0" w:lastRowLastColumn="0"/>
            <w:tcW w:w="0" w:type="auto"/>
            <w:vMerge/>
          </w:tcPr>
          <w:p w14:paraId="70C8C02E" w14:textId="77777777" w:rsidR="00DD7C08" w:rsidRPr="004637C7" w:rsidRDefault="00DD7C08" w:rsidP="00DD7C08">
            <w:pPr>
              <w:rPr>
                <w:rFonts w:asciiTheme="minorHAnsi" w:hAnsiTheme="minorHAnsi" w:cstheme="minorHAnsi"/>
                <w:b w:val="0"/>
                <w:bCs w:val="0"/>
                <w:szCs w:val="20"/>
              </w:rPr>
            </w:pPr>
          </w:p>
        </w:tc>
        <w:tc>
          <w:tcPr>
            <w:tcW w:w="0" w:type="auto"/>
            <w:hideMark/>
          </w:tcPr>
          <w:p w14:paraId="4792F7EE" w14:textId="2BF1A80D" w:rsidR="00DD7C08" w:rsidRPr="004637C7" w:rsidRDefault="00DD7C08" w:rsidP="00DD7C08">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4637C7">
              <w:rPr>
                <w:rFonts w:asciiTheme="minorHAnsi" w:hAnsiTheme="minorHAnsi" w:cstheme="minorHAnsi"/>
                <w:b/>
                <w:bCs/>
                <w:szCs w:val="20"/>
              </w:rPr>
              <w:t>Atténuer</w:t>
            </w:r>
          </w:p>
        </w:tc>
        <w:tc>
          <w:tcPr>
            <w:tcW w:w="0" w:type="auto"/>
            <w:hideMark/>
          </w:tcPr>
          <w:p w14:paraId="6C3E5361" w14:textId="77777777" w:rsidR="00DD7C08" w:rsidRPr="004637C7" w:rsidRDefault="00DD7C08" w:rsidP="00DD7C08">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4637C7">
              <w:rPr>
                <w:rFonts w:asciiTheme="minorHAnsi" w:hAnsiTheme="minorHAnsi" w:cstheme="minorHAnsi"/>
                <w:szCs w:val="20"/>
              </w:rPr>
              <w:t>Mettre en place des aménagements de transition (talus, haies basses, stabilisation des abords).</w:t>
            </w:r>
          </w:p>
        </w:tc>
        <w:tc>
          <w:tcPr>
            <w:tcW w:w="0" w:type="auto"/>
            <w:hideMark/>
          </w:tcPr>
          <w:p w14:paraId="2E119BFD" w14:textId="5BE80F39" w:rsidR="00DD7C08" w:rsidRPr="004637C7" w:rsidRDefault="00DD7C08" w:rsidP="00DD7C08">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4637C7">
              <w:rPr>
                <w:rFonts w:asciiTheme="minorHAnsi" w:hAnsiTheme="minorHAnsi" w:cstheme="minorHAnsi"/>
                <w:szCs w:val="20"/>
              </w:rPr>
              <w:t>% des zones périphériques aménagées et entretenues.</w:t>
            </w:r>
          </w:p>
        </w:tc>
        <w:tc>
          <w:tcPr>
            <w:tcW w:w="0" w:type="auto"/>
            <w:hideMark/>
          </w:tcPr>
          <w:p w14:paraId="7499F42D" w14:textId="61C01C1A" w:rsidR="00DD7C08" w:rsidRPr="004637C7" w:rsidRDefault="00DD7C08" w:rsidP="00DD7C08">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4637C7">
              <w:rPr>
                <w:rFonts w:asciiTheme="minorHAnsi" w:hAnsiTheme="minorHAnsi" w:cstheme="minorHAnsi"/>
                <w:szCs w:val="20"/>
              </w:rPr>
              <w:t>ONDA / Exploitant</w:t>
            </w:r>
          </w:p>
        </w:tc>
        <w:tc>
          <w:tcPr>
            <w:tcW w:w="0" w:type="auto"/>
            <w:hideMark/>
          </w:tcPr>
          <w:p w14:paraId="51395630" w14:textId="65343F40" w:rsidR="00DD7C08" w:rsidRPr="004637C7" w:rsidRDefault="00DD7C08" w:rsidP="00DD7C08">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Pr>
                <w:rFonts w:asciiTheme="minorHAnsi" w:hAnsiTheme="minorHAnsi" w:cstheme="minorHAnsi"/>
                <w:szCs w:val="20"/>
              </w:rPr>
              <w:t>ONDA</w:t>
            </w:r>
          </w:p>
        </w:tc>
        <w:tc>
          <w:tcPr>
            <w:tcW w:w="0" w:type="auto"/>
            <w:hideMark/>
          </w:tcPr>
          <w:p w14:paraId="1FAC4263" w14:textId="52B08F11" w:rsidR="00DD7C08" w:rsidRPr="004637C7" w:rsidRDefault="00DD7C08" w:rsidP="00DD7C08">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Pr>
                <w:rFonts w:asciiTheme="minorHAnsi" w:hAnsiTheme="minorHAnsi" w:cstheme="minorHAnsi"/>
                <w:szCs w:val="20"/>
                <w:lang w:eastAsia="zh-CN"/>
              </w:rPr>
              <w:t>ONDA</w:t>
            </w:r>
          </w:p>
        </w:tc>
        <w:tc>
          <w:tcPr>
            <w:tcW w:w="0" w:type="auto"/>
            <w:hideMark/>
          </w:tcPr>
          <w:p w14:paraId="2E7B865D" w14:textId="77777777" w:rsidR="00DD7C08" w:rsidRPr="004637C7" w:rsidRDefault="00DD7C08" w:rsidP="00DD7C08">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4637C7">
              <w:rPr>
                <w:rFonts w:asciiTheme="minorHAnsi" w:hAnsiTheme="minorHAnsi" w:cstheme="minorHAnsi"/>
                <w:szCs w:val="20"/>
              </w:rPr>
              <w:t>Continue</w:t>
            </w:r>
          </w:p>
        </w:tc>
        <w:tc>
          <w:tcPr>
            <w:tcW w:w="0" w:type="auto"/>
            <w:hideMark/>
          </w:tcPr>
          <w:p w14:paraId="53DE72AE" w14:textId="426AEDE7" w:rsidR="00DD7C08" w:rsidRPr="004637C7" w:rsidRDefault="00DD7C08" w:rsidP="00DD7C08">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8D378F">
              <w:rPr>
                <w:rFonts w:asciiTheme="minorHAnsi" w:hAnsiTheme="minorHAnsi" w:cstheme="minorHAnsi"/>
                <w:szCs w:val="20"/>
              </w:rPr>
              <w:t xml:space="preserve">25 – 35 </w:t>
            </w:r>
            <w:r>
              <w:rPr>
                <w:rFonts w:asciiTheme="minorHAnsi" w:hAnsiTheme="minorHAnsi" w:cstheme="minorHAnsi"/>
                <w:szCs w:val="20"/>
              </w:rPr>
              <w:t xml:space="preserve">MAD </w:t>
            </w:r>
            <w:r w:rsidRPr="008D378F">
              <w:rPr>
                <w:rFonts w:asciiTheme="minorHAnsi" w:hAnsiTheme="minorHAnsi" w:cstheme="minorHAnsi"/>
                <w:szCs w:val="20"/>
              </w:rPr>
              <w:t>/m²</w:t>
            </w:r>
          </w:p>
        </w:tc>
      </w:tr>
      <w:tr w:rsidR="00DD7C08" w:rsidRPr="00CC6026" w14:paraId="3A3528ED" w14:textId="77777777" w:rsidTr="005A7661">
        <w:tc>
          <w:tcPr>
            <w:cnfStyle w:val="001000000000" w:firstRow="0" w:lastRow="0" w:firstColumn="1" w:lastColumn="0" w:oddVBand="0" w:evenVBand="0" w:oddHBand="0" w:evenHBand="0" w:firstRowFirstColumn="0" w:firstRowLastColumn="0" w:lastRowFirstColumn="0" w:lastRowLastColumn="0"/>
            <w:tcW w:w="0" w:type="auto"/>
            <w:vMerge/>
          </w:tcPr>
          <w:p w14:paraId="65113FD3" w14:textId="77777777" w:rsidR="00DD7C08" w:rsidRPr="004637C7" w:rsidRDefault="00DD7C08" w:rsidP="00DD7C08">
            <w:pPr>
              <w:rPr>
                <w:rFonts w:asciiTheme="minorHAnsi" w:hAnsiTheme="minorHAnsi" w:cstheme="minorHAnsi"/>
                <w:b w:val="0"/>
                <w:bCs w:val="0"/>
                <w:szCs w:val="20"/>
              </w:rPr>
            </w:pPr>
          </w:p>
        </w:tc>
        <w:tc>
          <w:tcPr>
            <w:tcW w:w="0" w:type="auto"/>
            <w:hideMark/>
          </w:tcPr>
          <w:p w14:paraId="600A4CB7" w14:textId="60818D29" w:rsidR="00DD7C08" w:rsidRPr="004637C7" w:rsidRDefault="00DD7C08" w:rsidP="00DD7C08">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4637C7">
              <w:rPr>
                <w:rFonts w:asciiTheme="minorHAnsi" w:hAnsiTheme="minorHAnsi" w:cstheme="minorHAnsi"/>
                <w:b/>
                <w:bCs/>
                <w:szCs w:val="20"/>
              </w:rPr>
              <w:t>Compenser</w:t>
            </w:r>
          </w:p>
        </w:tc>
        <w:tc>
          <w:tcPr>
            <w:tcW w:w="0" w:type="auto"/>
            <w:hideMark/>
          </w:tcPr>
          <w:p w14:paraId="062DE459" w14:textId="77777777" w:rsidR="00DD7C08" w:rsidRPr="004637C7" w:rsidRDefault="00DD7C08" w:rsidP="00DD7C08">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4637C7">
              <w:rPr>
                <w:rFonts w:asciiTheme="minorHAnsi" w:hAnsiTheme="minorHAnsi" w:cstheme="minorHAnsi"/>
                <w:szCs w:val="20"/>
              </w:rPr>
              <w:t>Intégrer un programme d’embellissement visuel de la plateforme (signalétique uniforme, entretien régulier).</w:t>
            </w:r>
          </w:p>
        </w:tc>
        <w:tc>
          <w:tcPr>
            <w:tcW w:w="0" w:type="auto"/>
            <w:hideMark/>
          </w:tcPr>
          <w:p w14:paraId="299DD1F9" w14:textId="30257B3E" w:rsidR="00DD7C08" w:rsidRPr="004637C7" w:rsidRDefault="00DD7C08" w:rsidP="00DD7C08">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4637C7">
              <w:rPr>
                <w:rFonts w:asciiTheme="minorHAnsi" w:hAnsiTheme="minorHAnsi" w:cstheme="minorHAnsi"/>
                <w:szCs w:val="20"/>
              </w:rPr>
              <w:t>Indice de propreté</w:t>
            </w:r>
            <w:r w:rsidRPr="00AA22F2">
              <w:rPr>
                <w:rFonts w:asciiTheme="minorHAnsi" w:hAnsiTheme="minorHAnsi" w:cstheme="minorHAnsi"/>
                <w:szCs w:val="20"/>
              </w:rPr>
              <w:t xml:space="preserve"> (pourcentage)</w:t>
            </w:r>
            <w:r w:rsidRPr="004637C7">
              <w:rPr>
                <w:rFonts w:asciiTheme="minorHAnsi" w:hAnsiTheme="minorHAnsi" w:cstheme="minorHAnsi"/>
                <w:szCs w:val="20"/>
              </w:rPr>
              <w:t>, entretien annuel vérifié.</w:t>
            </w:r>
          </w:p>
        </w:tc>
        <w:tc>
          <w:tcPr>
            <w:tcW w:w="0" w:type="auto"/>
            <w:hideMark/>
          </w:tcPr>
          <w:p w14:paraId="268CF44E" w14:textId="31754F2F" w:rsidR="00DD7C08" w:rsidRPr="004637C7" w:rsidRDefault="00DD7C08" w:rsidP="00DD7C08">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4637C7">
              <w:rPr>
                <w:rFonts w:asciiTheme="minorHAnsi" w:hAnsiTheme="minorHAnsi" w:cstheme="minorHAnsi"/>
                <w:szCs w:val="20"/>
              </w:rPr>
              <w:t>ONDA / Exploitant</w:t>
            </w:r>
          </w:p>
        </w:tc>
        <w:tc>
          <w:tcPr>
            <w:tcW w:w="0" w:type="auto"/>
            <w:hideMark/>
          </w:tcPr>
          <w:p w14:paraId="08852CAE" w14:textId="4634233E" w:rsidR="00DD7C08" w:rsidRPr="004637C7" w:rsidRDefault="00DD7C08" w:rsidP="00DD7C08">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Pr>
                <w:rFonts w:asciiTheme="minorHAnsi" w:hAnsiTheme="minorHAnsi" w:cstheme="minorHAnsi"/>
                <w:szCs w:val="20"/>
              </w:rPr>
              <w:t>ONDA</w:t>
            </w:r>
          </w:p>
        </w:tc>
        <w:tc>
          <w:tcPr>
            <w:tcW w:w="0" w:type="auto"/>
            <w:hideMark/>
          </w:tcPr>
          <w:p w14:paraId="780FC89A" w14:textId="73056A52" w:rsidR="00DD7C08" w:rsidRPr="004637C7" w:rsidRDefault="00DD7C08" w:rsidP="00DD7C08">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Pr>
                <w:rFonts w:asciiTheme="minorHAnsi" w:hAnsiTheme="minorHAnsi" w:cstheme="minorHAnsi"/>
                <w:szCs w:val="20"/>
                <w:lang w:eastAsia="zh-CN"/>
              </w:rPr>
              <w:t>ONDA</w:t>
            </w:r>
          </w:p>
        </w:tc>
        <w:tc>
          <w:tcPr>
            <w:tcW w:w="0" w:type="auto"/>
            <w:hideMark/>
          </w:tcPr>
          <w:p w14:paraId="108FC165" w14:textId="77777777" w:rsidR="00DD7C08" w:rsidRPr="004637C7" w:rsidRDefault="00DD7C08" w:rsidP="00DD7C08">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4637C7">
              <w:rPr>
                <w:rFonts w:asciiTheme="minorHAnsi" w:hAnsiTheme="minorHAnsi" w:cstheme="minorHAnsi"/>
                <w:szCs w:val="20"/>
              </w:rPr>
              <w:t>Permanente</w:t>
            </w:r>
          </w:p>
        </w:tc>
        <w:tc>
          <w:tcPr>
            <w:tcW w:w="0" w:type="auto"/>
            <w:hideMark/>
          </w:tcPr>
          <w:p w14:paraId="75FB067F" w14:textId="1B3588E4" w:rsidR="00DD7C08" w:rsidRPr="004637C7" w:rsidRDefault="00DD7C08" w:rsidP="00DD7C08">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F8414C">
              <w:rPr>
                <w:rFonts w:asciiTheme="minorHAnsi" w:hAnsiTheme="minorHAnsi" w:cstheme="minorHAnsi"/>
                <w:szCs w:val="20"/>
              </w:rPr>
              <w:t>1 500 – 2 000</w:t>
            </w:r>
            <w:r>
              <w:rPr>
                <w:rFonts w:asciiTheme="minorHAnsi" w:hAnsiTheme="minorHAnsi" w:cstheme="minorHAnsi"/>
                <w:szCs w:val="20"/>
              </w:rPr>
              <w:t xml:space="preserve"> MAD</w:t>
            </w:r>
            <w:r w:rsidRPr="00F8414C">
              <w:rPr>
                <w:rFonts w:asciiTheme="minorHAnsi" w:hAnsiTheme="minorHAnsi" w:cstheme="minorHAnsi"/>
                <w:szCs w:val="20"/>
              </w:rPr>
              <w:t xml:space="preserve"> /panneau de signalétique + 10 000</w:t>
            </w:r>
            <w:r>
              <w:rPr>
                <w:rFonts w:asciiTheme="minorHAnsi" w:hAnsiTheme="minorHAnsi" w:cstheme="minorHAnsi"/>
                <w:szCs w:val="20"/>
              </w:rPr>
              <w:t xml:space="preserve"> MAD</w:t>
            </w:r>
            <w:r w:rsidRPr="00F8414C">
              <w:rPr>
                <w:rFonts w:asciiTheme="minorHAnsi" w:hAnsiTheme="minorHAnsi" w:cstheme="minorHAnsi"/>
                <w:szCs w:val="20"/>
              </w:rPr>
              <w:t xml:space="preserve"> /an (entretien esthétique)</w:t>
            </w:r>
          </w:p>
        </w:tc>
      </w:tr>
      <w:tr w:rsidR="00DD7C08" w:rsidRPr="003E23EE" w14:paraId="55074842" w14:textId="77777777" w:rsidTr="005A7661">
        <w:tc>
          <w:tcPr>
            <w:cnfStyle w:val="001000000000" w:firstRow="0" w:lastRow="0" w:firstColumn="1" w:lastColumn="0" w:oddVBand="0" w:evenVBand="0" w:oddHBand="0" w:evenHBand="0" w:firstRowFirstColumn="0" w:firstRowLastColumn="0" w:lastRowFirstColumn="0" w:lastRowLastColumn="0"/>
            <w:tcW w:w="0" w:type="auto"/>
            <w:vMerge w:val="restart"/>
          </w:tcPr>
          <w:p w14:paraId="2D77C7AD" w14:textId="1B21229E" w:rsidR="00DD7C08" w:rsidRPr="004637C7" w:rsidRDefault="00DD7C08" w:rsidP="00DD7C08">
            <w:pPr>
              <w:jc w:val="left"/>
              <w:rPr>
                <w:rFonts w:asciiTheme="minorHAnsi" w:hAnsiTheme="minorHAnsi" w:cstheme="minorHAnsi"/>
                <w:szCs w:val="20"/>
              </w:rPr>
            </w:pPr>
            <w:r w:rsidRPr="004637C7">
              <w:rPr>
                <w:rFonts w:asciiTheme="minorHAnsi" w:hAnsiTheme="minorHAnsi" w:cstheme="minorHAnsi"/>
                <w:szCs w:val="20"/>
              </w:rPr>
              <w:t xml:space="preserve">Halo lumineux nocturne permanent </w:t>
            </w:r>
          </w:p>
        </w:tc>
        <w:tc>
          <w:tcPr>
            <w:tcW w:w="0" w:type="auto"/>
            <w:hideMark/>
          </w:tcPr>
          <w:p w14:paraId="3E1FDC86" w14:textId="61CA6B00" w:rsidR="00DD7C08" w:rsidRPr="004637C7" w:rsidRDefault="00DD7C08" w:rsidP="00DD7C08">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sidRPr="004637C7">
              <w:rPr>
                <w:rFonts w:asciiTheme="minorHAnsi" w:hAnsiTheme="minorHAnsi" w:cstheme="minorHAnsi"/>
                <w:b/>
                <w:bCs/>
                <w:szCs w:val="20"/>
                <w:lang w:eastAsia="fr-FR" w:bidi="ar-SA"/>
              </w:rPr>
              <w:t>Éviter</w:t>
            </w:r>
          </w:p>
        </w:tc>
        <w:tc>
          <w:tcPr>
            <w:tcW w:w="0" w:type="auto"/>
            <w:hideMark/>
          </w:tcPr>
          <w:p w14:paraId="675BC8E9" w14:textId="77777777" w:rsidR="00DD7C08" w:rsidRPr="004637C7" w:rsidRDefault="00DD7C08" w:rsidP="00DD7C08">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sidRPr="004637C7">
              <w:rPr>
                <w:rFonts w:asciiTheme="minorHAnsi" w:hAnsiTheme="minorHAnsi" w:cstheme="minorHAnsi"/>
                <w:szCs w:val="20"/>
                <w:lang w:eastAsia="fr-FR" w:bidi="ar-SA"/>
              </w:rPr>
              <w:t>Limiter le nombre de mâts lumineux au strict nécessaire dès la conception.</w:t>
            </w:r>
          </w:p>
        </w:tc>
        <w:tc>
          <w:tcPr>
            <w:tcW w:w="0" w:type="auto"/>
            <w:hideMark/>
          </w:tcPr>
          <w:p w14:paraId="47377061" w14:textId="03FF61A6" w:rsidR="00DD7C08" w:rsidRPr="004637C7" w:rsidRDefault="00DD7C08" w:rsidP="00DD7C08">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sidRPr="004637C7">
              <w:rPr>
                <w:rFonts w:asciiTheme="minorHAnsi" w:hAnsiTheme="minorHAnsi" w:cstheme="minorHAnsi"/>
                <w:szCs w:val="20"/>
                <w:lang w:eastAsia="fr-FR" w:bidi="ar-SA"/>
              </w:rPr>
              <w:t>Ratio de mâts.</w:t>
            </w:r>
          </w:p>
        </w:tc>
        <w:tc>
          <w:tcPr>
            <w:tcW w:w="0" w:type="auto"/>
            <w:hideMark/>
          </w:tcPr>
          <w:p w14:paraId="34DF1BFF" w14:textId="15B283F1" w:rsidR="00DD7C08" w:rsidRPr="004637C7" w:rsidRDefault="00DD7C08" w:rsidP="00DD7C08">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sidRPr="004637C7">
              <w:rPr>
                <w:rFonts w:asciiTheme="minorHAnsi" w:hAnsiTheme="minorHAnsi" w:cstheme="minorHAnsi"/>
                <w:szCs w:val="20"/>
              </w:rPr>
              <w:t>ONDA / Exploitant</w:t>
            </w:r>
          </w:p>
        </w:tc>
        <w:tc>
          <w:tcPr>
            <w:tcW w:w="0" w:type="auto"/>
            <w:hideMark/>
          </w:tcPr>
          <w:p w14:paraId="6E41C88C" w14:textId="4CAF7AB4" w:rsidR="00DD7C08" w:rsidRPr="004637C7" w:rsidRDefault="00DD7C08" w:rsidP="00DD7C08">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Pr>
                <w:rFonts w:asciiTheme="minorHAnsi" w:hAnsiTheme="minorHAnsi" w:cstheme="minorHAnsi"/>
                <w:szCs w:val="20"/>
              </w:rPr>
              <w:t>ONDA</w:t>
            </w:r>
          </w:p>
        </w:tc>
        <w:tc>
          <w:tcPr>
            <w:tcW w:w="0" w:type="auto"/>
            <w:hideMark/>
          </w:tcPr>
          <w:p w14:paraId="6CB78490" w14:textId="2D307DA8" w:rsidR="00DD7C08" w:rsidRPr="004637C7" w:rsidRDefault="00DD7C08" w:rsidP="00DD7C08">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Pr>
                <w:rFonts w:asciiTheme="minorHAnsi" w:hAnsiTheme="minorHAnsi" w:cstheme="minorHAnsi"/>
                <w:szCs w:val="20"/>
                <w:lang w:eastAsia="zh-CN"/>
              </w:rPr>
              <w:t>ONDA</w:t>
            </w:r>
          </w:p>
        </w:tc>
        <w:tc>
          <w:tcPr>
            <w:tcW w:w="0" w:type="auto"/>
            <w:hideMark/>
          </w:tcPr>
          <w:p w14:paraId="5765831E" w14:textId="77777777" w:rsidR="00DD7C08" w:rsidRPr="004637C7" w:rsidRDefault="00DD7C08" w:rsidP="00DD7C08">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sidRPr="004637C7">
              <w:rPr>
                <w:rFonts w:asciiTheme="minorHAnsi" w:hAnsiTheme="minorHAnsi" w:cstheme="minorHAnsi"/>
                <w:szCs w:val="20"/>
                <w:lang w:eastAsia="fr-FR" w:bidi="ar-SA"/>
              </w:rPr>
              <w:t>Phase de conception</w:t>
            </w:r>
          </w:p>
        </w:tc>
        <w:tc>
          <w:tcPr>
            <w:tcW w:w="0" w:type="auto"/>
            <w:hideMark/>
          </w:tcPr>
          <w:p w14:paraId="6C640B02" w14:textId="6FD161BA" w:rsidR="00DD7C08" w:rsidRPr="004637C7" w:rsidRDefault="00DD7C08" w:rsidP="00DD7C08">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Pr>
                <w:rFonts w:asciiTheme="minorHAnsi" w:hAnsiTheme="minorHAnsi" w:cstheme="minorHAnsi"/>
                <w:szCs w:val="20"/>
              </w:rPr>
              <w:t>Aucun coût spécifique</w:t>
            </w:r>
          </w:p>
        </w:tc>
      </w:tr>
      <w:tr w:rsidR="00DD7C08" w:rsidRPr="003E23EE" w14:paraId="2E5DDE5E" w14:textId="77777777" w:rsidTr="005A7661">
        <w:tc>
          <w:tcPr>
            <w:cnfStyle w:val="001000000000" w:firstRow="0" w:lastRow="0" w:firstColumn="1" w:lastColumn="0" w:oddVBand="0" w:evenVBand="0" w:oddHBand="0" w:evenHBand="0" w:firstRowFirstColumn="0" w:firstRowLastColumn="0" w:lastRowFirstColumn="0" w:lastRowLastColumn="0"/>
            <w:tcW w:w="0" w:type="auto"/>
            <w:vMerge/>
          </w:tcPr>
          <w:p w14:paraId="522A4F08" w14:textId="77777777" w:rsidR="00DD7C08" w:rsidRPr="004637C7" w:rsidRDefault="00DD7C08" w:rsidP="00DD7C08">
            <w:pPr>
              <w:spacing w:before="0" w:after="0" w:line="240" w:lineRule="auto"/>
              <w:jc w:val="left"/>
              <w:rPr>
                <w:rFonts w:asciiTheme="minorHAnsi" w:hAnsiTheme="minorHAnsi" w:cstheme="minorHAnsi"/>
                <w:b w:val="0"/>
                <w:bCs w:val="0"/>
                <w:szCs w:val="20"/>
                <w:lang w:eastAsia="fr-FR" w:bidi="ar-SA"/>
              </w:rPr>
            </w:pPr>
          </w:p>
        </w:tc>
        <w:tc>
          <w:tcPr>
            <w:tcW w:w="0" w:type="auto"/>
            <w:hideMark/>
          </w:tcPr>
          <w:p w14:paraId="136BE19F" w14:textId="6734082B" w:rsidR="00DD7C08" w:rsidRPr="004637C7" w:rsidRDefault="00DD7C08" w:rsidP="00DD7C08">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sidRPr="004637C7">
              <w:rPr>
                <w:rFonts w:asciiTheme="minorHAnsi" w:hAnsiTheme="minorHAnsi" w:cstheme="minorHAnsi"/>
                <w:b/>
                <w:bCs/>
                <w:szCs w:val="20"/>
                <w:lang w:eastAsia="fr-FR" w:bidi="ar-SA"/>
              </w:rPr>
              <w:t>Réduire</w:t>
            </w:r>
          </w:p>
        </w:tc>
        <w:tc>
          <w:tcPr>
            <w:tcW w:w="0" w:type="auto"/>
            <w:hideMark/>
          </w:tcPr>
          <w:p w14:paraId="2CBB5BD7" w14:textId="77777777" w:rsidR="00DD7C08" w:rsidRPr="004637C7" w:rsidRDefault="00DD7C08" w:rsidP="00DD7C08">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sidRPr="004637C7">
              <w:rPr>
                <w:rFonts w:asciiTheme="minorHAnsi" w:hAnsiTheme="minorHAnsi" w:cstheme="minorHAnsi"/>
                <w:szCs w:val="20"/>
                <w:lang w:eastAsia="fr-FR" w:bidi="ar-SA"/>
              </w:rPr>
              <w:t>Installer des luminaires dirigés vers le sol avec gradation automatique et ampoules ≤ 3000 K.</w:t>
            </w:r>
          </w:p>
        </w:tc>
        <w:tc>
          <w:tcPr>
            <w:tcW w:w="0" w:type="auto"/>
            <w:hideMark/>
          </w:tcPr>
          <w:p w14:paraId="2ABF2119" w14:textId="45C5F6A9" w:rsidR="00DD7C08" w:rsidRPr="004637C7" w:rsidRDefault="00DD7C08" w:rsidP="00DD7C08">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sidRPr="004637C7">
              <w:rPr>
                <w:rFonts w:asciiTheme="minorHAnsi" w:hAnsiTheme="minorHAnsi" w:cstheme="minorHAnsi"/>
                <w:szCs w:val="20"/>
                <w:lang w:eastAsia="fr-FR" w:bidi="ar-SA"/>
              </w:rPr>
              <w:t xml:space="preserve">% de conformité du système lumineux </w:t>
            </w:r>
          </w:p>
        </w:tc>
        <w:tc>
          <w:tcPr>
            <w:tcW w:w="0" w:type="auto"/>
            <w:hideMark/>
          </w:tcPr>
          <w:p w14:paraId="01657555" w14:textId="553507F5" w:rsidR="00DD7C08" w:rsidRPr="004637C7" w:rsidRDefault="00DD7C08" w:rsidP="00DD7C08">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sidRPr="004637C7">
              <w:rPr>
                <w:rFonts w:asciiTheme="minorHAnsi" w:hAnsiTheme="minorHAnsi" w:cstheme="minorHAnsi"/>
                <w:szCs w:val="20"/>
              </w:rPr>
              <w:t>ONDA / Exploitant</w:t>
            </w:r>
          </w:p>
        </w:tc>
        <w:tc>
          <w:tcPr>
            <w:tcW w:w="0" w:type="auto"/>
            <w:hideMark/>
          </w:tcPr>
          <w:p w14:paraId="2C52E8AA" w14:textId="1DEE988C" w:rsidR="00DD7C08" w:rsidRPr="004637C7" w:rsidRDefault="00DD7C08" w:rsidP="00DD7C08">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Pr>
                <w:rFonts w:asciiTheme="minorHAnsi" w:hAnsiTheme="minorHAnsi" w:cstheme="minorHAnsi"/>
                <w:szCs w:val="20"/>
              </w:rPr>
              <w:t>ONDA</w:t>
            </w:r>
          </w:p>
        </w:tc>
        <w:tc>
          <w:tcPr>
            <w:tcW w:w="0" w:type="auto"/>
            <w:hideMark/>
          </w:tcPr>
          <w:p w14:paraId="03B490BD" w14:textId="07A86109" w:rsidR="00DD7C08" w:rsidRPr="004637C7" w:rsidRDefault="00DD7C08" w:rsidP="00DD7C08">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Pr>
                <w:rFonts w:asciiTheme="minorHAnsi" w:hAnsiTheme="minorHAnsi" w:cstheme="minorHAnsi"/>
                <w:szCs w:val="20"/>
                <w:lang w:eastAsia="zh-CN"/>
              </w:rPr>
              <w:t>ONDA</w:t>
            </w:r>
          </w:p>
        </w:tc>
        <w:tc>
          <w:tcPr>
            <w:tcW w:w="0" w:type="auto"/>
            <w:hideMark/>
          </w:tcPr>
          <w:p w14:paraId="41214C82" w14:textId="77777777" w:rsidR="00DD7C08" w:rsidRPr="004637C7" w:rsidRDefault="00DD7C08" w:rsidP="00DD7C08">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sidRPr="004637C7">
              <w:rPr>
                <w:rFonts w:asciiTheme="minorHAnsi" w:hAnsiTheme="minorHAnsi" w:cstheme="minorHAnsi"/>
                <w:szCs w:val="20"/>
                <w:lang w:eastAsia="fr-FR" w:bidi="ar-SA"/>
              </w:rPr>
              <w:t>Continue</w:t>
            </w:r>
          </w:p>
        </w:tc>
        <w:tc>
          <w:tcPr>
            <w:tcW w:w="0" w:type="auto"/>
            <w:hideMark/>
          </w:tcPr>
          <w:p w14:paraId="3580EF02" w14:textId="4E9F00AD" w:rsidR="00DD7C08" w:rsidRPr="004637C7" w:rsidRDefault="00DD7C08" w:rsidP="00DD7C08">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sidRPr="00BE34AF">
              <w:rPr>
                <w:rFonts w:asciiTheme="minorHAnsi" w:hAnsiTheme="minorHAnsi" w:cstheme="minorHAnsi"/>
                <w:szCs w:val="20"/>
              </w:rPr>
              <w:t xml:space="preserve">3 500 – 4 000 </w:t>
            </w:r>
            <w:r>
              <w:rPr>
                <w:rFonts w:asciiTheme="minorHAnsi" w:hAnsiTheme="minorHAnsi" w:cstheme="minorHAnsi"/>
                <w:szCs w:val="20"/>
              </w:rPr>
              <w:t>MAD</w:t>
            </w:r>
            <w:r w:rsidRPr="00BE34AF">
              <w:rPr>
                <w:rFonts w:asciiTheme="minorHAnsi" w:hAnsiTheme="minorHAnsi" w:cstheme="minorHAnsi"/>
                <w:szCs w:val="20"/>
              </w:rPr>
              <w:t>/luminaires LED orientables</w:t>
            </w:r>
          </w:p>
        </w:tc>
      </w:tr>
      <w:tr w:rsidR="00DD7C08" w:rsidRPr="003E23EE" w14:paraId="77CBA81A" w14:textId="77777777" w:rsidTr="005A7661">
        <w:tc>
          <w:tcPr>
            <w:cnfStyle w:val="001000000000" w:firstRow="0" w:lastRow="0" w:firstColumn="1" w:lastColumn="0" w:oddVBand="0" w:evenVBand="0" w:oddHBand="0" w:evenHBand="0" w:firstRowFirstColumn="0" w:firstRowLastColumn="0" w:lastRowFirstColumn="0" w:lastRowLastColumn="0"/>
            <w:tcW w:w="0" w:type="auto"/>
            <w:vMerge/>
          </w:tcPr>
          <w:p w14:paraId="39374A49" w14:textId="77777777" w:rsidR="00DD7C08" w:rsidRPr="004637C7" w:rsidRDefault="00DD7C08" w:rsidP="00DD7C08">
            <w:pPr>
              <w:spacing w:before="0" w:after="0" w:line="240" w:lineRule="auto"/>
              <w:jc w:val="left"/>
              <w:rPr>
                <w:rFonts w:asciiTheme="minorHAnsi" w:hAnsiTheme="minorHAnsi" w:cstheme="minorHAnsi"/>
                <w:b w:val="0"/>
                <w:bCs w:val="0"/>
                <w:szCs w:val="20"/>
                <w:lang w:eastAsia="fr-FR" w:bidi="ar-SA"/>
              </w:rPr>
            </w:pPr>
          </w:p>
        </w:tc>
        <w:tc>
          <w:tcPr>
            <w:tcW w:w="0" w:type="auto"/>
            <w:hideMark/>
          </w:tcPr>
          <w:p w14:paraId="6228904B" w14:textId="3C26D7F3" w:rsidR="00DD7C08" w:rsidRPr="004637C7" w:rsidRDefault="00DD7C08" w:rsidP="00DD7C08">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sidRPr="004637C7">
              <w:rPr>
                <w:rFonts w:asciiTheme="minorHAnsi" w:hAnsiTheme="minorHAnsi" w:cstheme="minorHAnsi"/>
                <w:b/>
                <w:bCs/>
                <w:szCs w:val="20"/>
                <w:lang w:eastAsia="fr-FR" w:bidi="ar-SA"/>
              </w:rPr>
              <w:t>Atténuer</w:t>
            </w:r>
          </w:p>
        </w:tc>
        <w:tc>
          <w:tcPr>
            <w:tcW w:w="0" w:type="auto"/>
            <w:hideMark/>
          </w:tcPr>
          <w:p w14:paraId="49346669" w14:textId="77777777" w:rsidR="00DD7C08" w:rsidRPr="004637C7" w:rsidRDefault="00DD7C08" w:rsidP="00DD7C08">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sidRPr="004637C7">
              <w:rPr>
                <w:rFonts w:asciiTheme="minorHAnsi" w:hAnsiTheme="minorHAnsi" w:cstheme="minorHAnsi"/>
                <w:szCs w:val="20"/>
                <w:lang w:eastAsia="fr-FR" w:bidi="ar-SA"/>
              </w:rPr>
              <w:t>Synchroniser l’éclairage avec les heures d’exploitation et éteindre les zones inactives.</w:t>
            </w:r>
          </w:p>
        </w:tc>
        <w:tc>
          <w:tcPr>
            <w:tcW w:w="0" w:type="auto"/>
            <w:hideMark/>
          </w:tcPr>
          <w:p w14:paraId="7A49A9D3" w14:textId="5179F4FF" w:rsidR="00DD7C08" w:rsidRPr="004637C7" w:rsidRDefault="00DD7C08" w:rsidP="00DD7C08">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sidRPr="004637C7">
              <w:rPr>
                <w:rFonts w:asciiTheme="minorHAnsi" w:hAnsiTheme="minorHAnsi" w:cstheme="minorHAnsi"/>
                <w:szCs w:val="20"/>
                <w:lang w:eastAsia="fr-FR" w:bidi="ar-SA"/>
              </w:rPr>
              <w:t>% des zones non utilisées éteintes hors trafic.</w:t>
            </w:r>
          </w:p>
        </w:tc>
        <w:tc>
          <w:tcPr>
            <w:tcW w:w="0" w:type="auto"/>
            <w:hideMark/>
          </w:tcPr>
          <w:p w14:paraId="77050221" w14:textId="35F70068" w:rsidR="00DD7C08" w:rsidRPr="004637C7" w:rsidRDefault="00DD7C08" w:rsidP="00DD7C08">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sidRPr="004637C7">
              <w:rPr>
                <w:rFonts w:asciiTheme="minorHAnsi" w:hAnsiTheme="minorHAnsi" w:cstheme="minorHAnsi"/>
                <w:szCs w:val="20"/>
              </w:rPr>
              <w:t>ONDA / Exploitant</w:t>
            </w:r>
          </w:p>
        </w:tc>
        <w:tc>
          <w:tcPr>
            <w:tcW w:w="0" w:type="auto"/>
            <w:hideMark/>
          </w:tcPr>
          <w:p w14:paraId="162F9D35" w14:textId="647AD41B" w:rsidR="00DD7C08" w:rsidRPr="004637C7" w:rsidRDefault="00DD7C08" w:rsidP="00DD7C08">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Pr>
                <w:rFonts w:asciiTheme="minorHAnsi" w:hAnsiTheme="minorHAnsi" w:cstheme="minorHAnsi"/>
                <w:szCs w:val="20"/>
              </w:rPr>
              <w:t>ONDA</w:t>
            </w:r>
          </w:p>
        </w:tc>
        <w:tc>
          <w:tcPr>
            <w:tcW w:w="0" w:type="auto"/>
            <w:hideMark/>
          </w:tcPr>
          <w:p w14:paraId="3BAEBF6A" w14:textId="36D89651" w:rsidR="00DD7C08" w:rsidRPr="004637C7" w:rsidRDefault="00DD7C08" w:rsidP="00DD7C08">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Pr>
                <w:rFonts w:asciiTheme="minorHAnsi" w:hAnsiTheme="minorHAnsi" w:cstheme="minorHAnsi"/>
                <w:szCs w:val="20"/>
                <w:lang w:eastAsia="zh-CN"/>
              </w:rPr>
              <w:t>ONDA</w:t>
            </w:r>
          </w:p>
        </w:tc>
        <w:tc>
          <w:tcPr>
            <w:tcW w:w="0" w:type="auto"/>
            <w:hideMark/>
          </w:tcPr>
          <w:p w14:paraId="39F21216" w14:textId="77777777" w:rsidR="00DD7C08" w:rsidRPr="004637C7" w:rsidRDefault="00DD7C08" w:rsidP="00DD7C08">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sidRPr="004637C7">
              <w:rPr>
                <w:rFonts w:asciiTheme="minorHAnsi" w:hAnsiTheme="minorHAnsi" w:cstheme="minorHAnsi"/>
                <w:szCs w:val="20"/>
                <w:lang w:eastAsia="fr-FR" w:bidi="ar-SA"/>
              </w:rPr>
              <w:t>Continue</w:t>
            </w:r>
          </w:p>
        </w:tc>
        <w:tc>
          <w:tcPr>
            <w:tcW w:w="0" w:type="auto"/>
            <w:hideMark/>
          </w:tcPr>
          <w:p w14:paraId="16ACA1E6" w14:textId="44E9BA19" w:rsidR="00DD7C08" w:rsidRPr="004637C7" w:rsidRDefault="00DD7C08" w:rsidP="00DD7C08">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sidRPr="004637C7">
              <w:rPr>
                <w:rFonts w:asciiTheme="minorHAnsi" w:hAnsiTheme="minorHAnsi" w:cstheme="minorHAnsi"/>
                <w:szCs w:val="20"/>
                <w:lang w:eastAsia="fr-FR" w:bidi="ar-SA"/>
              </w:rPr>
              <w:t>Aucun coût spécifique</w:t>
            </w:r>
          </w:p>
        </w:tc>
      </w:tr>
      <w:tr w:rsidR="00C40C47" w:rsidRPr="003E23EE" w14:paraId="0D9799FC" w14:textId="77777777" w:rsidTr="005A7661">
        <w:tc>
          <w:tcPr>
            <w:cnfStyle w:val="001000000000" w:firstRow="0" w:lastRow="0" w:firstColumn="1" w:lastColumn="0" w:oddVBand="0" w:evenVBand="0" w:oddHBand="0" w:evenHBand="0" w:firstRowFirstColumn="0" w:firstRowLastColumn="0" w:lastRowFirstColumn="0" w:lastRowLastColumn="0"/>
            <w:tcW w:w="0" w:type="auto"/>
            <w:vMerge/>
          </w:tcPr>
          <w:p w14:paraId="707263D2" w14:textId="77777777" w:rsidR="00A72EEA" w:rsidRPr="004637C7" w:rsidRDefault="00A72EEA" w:rsidP="00A72EEA">
            <w:pPr>
              <w:spacing w:before="0" w:after="0" w:line="240" w:lineRule="auto"/>
              <w:jc w:val="left"/>
              <w:rPr>
                <w:rFonts w:asciiTheme="minorHAnsi" w:hAnsiTheme="minorHAnsi" w:cstheme="minorHAnsi"/>
                <w:b w:val="0"/>
                <w:bCs w:val="0"/>
                <w:szCs w:val="20"/>
                <w:lang w:eastAsia="fr-FR" w:bidi="ar-SA"/>
              </w:rPr>
            </w:pPr>
          </w:p>
        </w:tc>
        <w:tc>
          <w:tcPr>
            <w:tcW w:w="0" w:type="auto"/>
            <w:hideMark/>
          </w:tcPr>
          <w:p w14:paraId="5AFCEC73" w14:textId="1929B787" w:rsidR="00A72EEA" w:rsidRPr="004637C7" w:rsidRDefault="00A72EEA" w:rsidP="00A72EEA">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sidRPr="004637C7">
              <w:rPr>
                <w:rFonts w:asciiTheme="minorHAnsi" w:hAnsiTheme="minorHAnsi" w:cstheme="minorHAnsi"/>
                <w:b/>
                <w:bCs/>
                <w:szCs w:val="20"/>
                <w:lang w:eastAsia="fr-FR" w:bidi="ar-SA"/>
              </w:rPr>
              <w:t>Compenser</w:t>
            </w:r>
          </w:p>
        </w:tc>
        <w:tc>
          <w:tcPr>
            <w:tcW w:w="0" w:type="auto"/>
            <w:hideMark/>
          </w:tcPr>
          <w:p w14:paraId="3407CD1F" w14:textId="77777777" w:rsidR="00A72EEA" w:rsidRPr="004637C7" w:rsidRDefault="00A72EEA" w:rsidP="00A72EEA">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sidRPr="004637C7">
              <w:rPr>
                <w:rFonts w:asciiTheme="minorHAnsi" w:hAnsiTheme="minorHAnsi" w:cstheme="minorHAnsi"/>
                <w:szCs w:val="20"/>
                <w:lang w:eastAsia="fr-FR" w:bidi="ar-SA"/>
              </w:rPr>
              <w:t>Non applicable (impact mineur).</w:t>
            </w:r>
          </w:p>
        </w:tc>
        <w:tc>
          <w:tcPr>
            <w:tcW w:w="0" w:type="auto"/>
            <w:hideMark/>
          </w:tcPr>
          <w:p w14:paraId="2A54F3D5" w14:textId="77777777" w:rsidR="00A72EEA" w:rsidRPr="004637C7" w:rsidRDefault="00A72EEA" w:rsidP="00A72EEA">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sidRPr="004637C7">
              <w:rPr>
                <w:rFonts w:asciiTheme="minorHAnsi" w:hAnsiTheme="minorHAnsi" w:cstheme="minorHAnsi"/>
                <w:szCs w:val="20"/>
                <w:lang w:eastAsia="fr-FR" w:bidi="ar-SA"/>
              </w:rPr>
              <w:t>—</w:t>
            </w:r>
          </w:p>
        </w:tc>
        <w:tc>
          <w:tcPr>
            <w:tcW w:w="0" w:type="auto"/>
            <w:hideMark/>
          </w:tcPr>
          <w:p w14:paraId="181AF67E" w14:textId="77777777" w:rsidR="00A72EEA" w:rsidRPr="004637C7" w:rsidRDefault="00A72EEA" w:rsidP="00A72EEA">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sidRPr="004637C7">
              <w:rPr>
                <w:rFonts w:asciiTheme="minorHAnsi" w:hAnsiTheme="minorHAnsi" w:cstheme="minorHAnsi"/>
                <w:szCs w:val="20"/>
                <w:lang w:eastAsia="fr-FR" w:bidi="ar-SA"/>
              </w:rPr>
              <w:t>—</w:t>
            </w:r>
          </w:p>
        </w:tc>
        <w:tc>
          <w:tcPr>
            <w:tcW w:w="0" w:type="auto"/>
            <w:hideMark/>
          </w:tcPr>
          <w:p w14:paraId="5D6EF785" w14:textId="77777777" w:rsidR="00A72EEA" w:rsidRPr="004637C7" w:rsidRDefault="00A72EEA" w:rsidP="00A72EEA">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sidRPr="004637C7">
              <w:rPr>
                <w:rFonts w:asciiTheme="minorHAnsi" w:hAnsiTheme="minorHAnsi" w:cstheme="minorHAnsi"/>
                <w:szCs w:val="20"/>
                <w:lang w:eastAsia="fr-FR" w:bidi="ar-SA"/>
              </w:rPr>
              <w:t>—</w:t>
            </w:r>
          </w:p>
        </w:tc>
        <w:tc>
          <w:tcPr>
            <w:tcW w:w="0" w:type="auto"/>
            <w:hideMark/>
          </w:tcPr>
          <w:p w14:paraId="051A888E" w14:textId="77777777" w:rsidR="00A72EEA" w:rsidRPr="004637C7" w:rsidRDefault="00A72EEA" w:rsidP="00A72EEA">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sidRPr="004637C7">
              <w:rPr>
                <w:rFonts w:asciiTheme="minorHAnsi" w:hAnsiTheme="minorHAnsi" w:cstheme="minorHAnsi"/>
                <w:szCs w:val="20"/>
                <w:lang w:eastAsia="fr-FR" w:bidi="ar-SA"/>
              </w:rPr>
              <w:t>—</w:t>
            </w:r>
          </w:p>
        </w:tc>
        <w:tc>
          <w:tcPr>
            <w:tcW w:w="0" w:type="auto"/>
            <w:hideMark/>
          </w:tcPr>
          <w:p w14:paraId="65F55DE4" w14:textId="77777777" w:rsidR="00A72EEA" w:rsidRPr="004637C7" w:rsidRDefault="00A72EEA" w:rsidP="00A72EEA">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sidRPr="004637C7">
              <w:rPr>
                <w:rFonts w:asciiTheme="minorHAnsi" w:hAnsiTheme="minorHAnsi" w:cstheme="minorHAnsi"/>
                <w:szCs w:val="20"/>
                <w:lang w:eastAsia="fr-FR" w:bidi="ar-SA"/>
              </w:rPr>
              <w:t>—</w:t>
            </w:r>
          </w:p>
        </w:tc>
        <w:tc>
          <w:tcPr>
            <w:tcW w:w="0" w:type="auto"/>
            <w:hideMark/>
          </w:tcPr>
          <w:p w14:paraId="111FD769" w14:textId="77777777" w:rsidR="00A72EEA" w:rsidRPr="004637C7" w:rsidRDefault="00A72EEA" w:rsidP="00A72EEA">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sidRPr="004637C7">
              <w:rPr>
                <w:rFonts w:asciiTheme="minorHAnsi" w:hAnsiTheme="minorHAnsi" w:cstheme="minorHAnsi"/>
                <w:szCs w:val="20"/>
                <w:lang w:eastAsia="fr-FR" w:bidi="ar-SA"/>
              </w:rPr>
              <w:t>—</w:t>
            </w:r>
          </w:p>
        </w:tc>
      </w:tr>
    </w:tbl>
    <w:p w14:paraId="61B9BBF7" w14:textId="77777777" w:rsidR="00A72EEA" w:rsidRDefault="00A72EEA" w:rsidP="004637C7"/>
    <w:p w14:paraId="651ABE41" w14:textId="77777777" w:rsidR="00A72EEA" w:rsidRDefault="00A72EEA" w:rsidP="00A72EEA">
      <w:pPr>
        <w:pStyle w:val="Style4"/>
        <w:numPr>
          <w:ilvl w:val="0"/>
          <w:numId w:val="0"/>
        </w:numPr>
        <w:spacing w:before="120" w:after="120"/>
        <w:ind w:left="720" w:hanging="360"/>
      </w:pPr>
    </w:p>
    <w:p w14:paraId="60F607E3" w14:textId="77777777" w:rsidR="00A72EEA" w:rsidRDefault="00A72EEA" w:rsidP="004637C7">
      <w:pPr>
        <w:pStyle w:val="Style4"/>
        <w:numPr>
          <w:ilvl w:val="0"/>
          <w:numId w:val="0"/>
        </w:numPr>
        <w:spacing w:before="120" w:after="120"/>
        <w:ind w:left="720" w:hanging="360"/>
        <w:sectPr w:rsidR="00A72EEA" w:rsidSect="004637C7">
          <w:pgSz w:w="16838" w:h="11906" w:orient="landscape"/>
          <w:pgMar w:top="1418" w:right="1418" w:bottom="1418" w:left="1276" w:header="680" w:footer="680" w:gutter="0"/>
          <w:cols w:space="708"/>
          <w:docGrid w:linePitch="360"/>
        </w:sectPr>
      </w:pPr>
    </w:p>
    <w:p w14:paraId="149068A0" w14:textId="79D6ED58" w:rsidR="004F07ED" w:rsidRDefault="004F07ED" w:rsidP="004637C7">
      <w:pPr>
        <w:pStyle w:val="Title5"/>
      </w:pPr>
      <w:r>
        <w:lastRenderedPageBreak/>
        <w:t>Évaluation</w:t>
      </w:r>
      <w:r>
        <w:rPr>
          <w:spacing w:val="-7"/>
        </w:rPr>
        <w:t xml:space="preserve"> </w:t>
      </w:r>
      <w:r>
        <w:t>de</w:t>
      </w:r>
      <w:r w:rsidR="00CC6026">
        <w:rPr>
          <w:spacing w:val="-8"/>
        </w:rPr>
        <w:t>s impacts résiduels</w:t>
      </w:r>
    </w:p>
    <w:p w14:paraId="7B837575" w14:textId="77777777" w:rsidR="00073640" w:rsidRPr="00073640" w:rsidRDefault="00073640" w:rsidP="004637C7">
      <w:pPr>
        <w:rPr>
          <w:lang w:eastAsia="zh-CN"/>
        </w:rPr>
      </w:pPr>
      <w:r w:rsidRPr="00073640">
        <w:rPr>
          <w:lang w:eastAsia="zh-CN"/>
        </w:rPr>
        <w:t>Après la mise en service, les aménagements du parking et de la bretelle s’intègrent visuellement et fonctionnellement dans l’ensemble de la plateforme aéroportuaire.</w:t>
      </w:r>
    </w:p>
    <w:p w14:paraId="7D3DF0FA" w14:textId="77777777" w:rsidR="00073640" w:rsidRPr="00073640" w:rsidRDefault="00073640" w:rsidP="004637C7">
      <w:pPr>
        <w:rPr>
          <w:lang w:eastAsia="zh-CN"/>
        </w:rPr>
      </w:pPr>
      <w:r w:rsidRPr="00073640">
        <w:rPr>
          <w:lang w:eastAsia="zh-CN"/>
        </w:rPr>
        <w:t>Les mesures d’intégration (choix des teintes, cohérence architecturale, aménagements de transition) assurent une continuité avec l’existant.</w:t>
      </w:r>
    </w:p>
    <w:p w14:paraId="7356381C" w14:textId="73E237FE" w:rsidR="00073640" w:rsidRDefault="00073640" w:rsidP="004637C7">
      <w:pPr>
        <w:rPr>
          <w:lang w:eastAsia="zh-CN"/>
        </w:rPr>
      </w:pPr>
      <w:r w:rsidRPr="00073640">
        <w:rPr>
          <w:lang w:eastAsia="zh-CN"/>
        </w:rPr>
        <w:t xml:space="preserve">Depuis la </w:t>
      </w:r>
      <w:r w:rsidR="006A37AE">
        <w:rPr>
          <w:lang w:eastAsia="zh-CN"/>
        </w:rPr>
        <w:t>RR212</w:t>
      </w:r>
      <w:r w:rsidRPr="00073640">
        <w:rPr>
          <w:lang w:eastAsia="zh-CN"/>
        </w:rPr>
        <w:t>, la perception du site reste similaire à celle actuelle, dominée par les infrastructures techniques et les surfaces asphaltées.</w:t>
      </w:r>
      <w:bookmarkStart w:id="448" w:name="_Toc181619034"/>
    </w:p>
    <w:p w14:paraId="31FA78B4" w14:textId="77777777" w:rsidR="00073640" w:rsidRDefault="00073640" w:rsidP="009C7887">
      <w:pPr>
        <w:rPr>
          <w:lang w:eastAsia="zh-CN"/>
        </w:rPr>
      </w:pPr>
      <w:r w:rsidRPr="00073640">
        <w:rPr>
          <w:lang w:eastAsia="zh-CN"/>
        </w:rPr>
        <w:t>L’éclairage du nouveau parking, calibré selon les normes aéronautiques et muni de luminaires à faisceau dirigé, produit un halo lumineux stable et contenu.</w:t>
      </w:r>
    </w:p>
    <w:p w14:paraId="4B1921B2" w14:textId="77777777" w:rsidR="00073640" w:rsidRDefault="00073640" w:rsidP="009C7887">
      <w:pPr>
        <w:rPr>
          <w:lang w:eastAsia="zh-CN"/>
        </w:rPr>
      </w:pPr>
      <w:r w:rsidRPr="00073640">
        <w:rPr>
          <w:lang w:eastAsia="zh-CN"/>
        </w:rPr>
        <w:t>Les nouvelles sources n’augmentent que marginalement la luminance globale de la plateforme.</w:t>
      </w:r>
    </w:p>
    <w:p w14:paraId="024A4CCF" w14:textId="5A31FF39" w:rsidR="00073640" w:rsidRDefault="00073640" w:rsidP="009C7887">
      <w:pPr>
        <w:rPr>
          <w:lang w:eastAsia="zh-CN"/>
        </w:rPr>
      </w:pPr>
      <w:r w:rsidRPr="00073640">
        <w:rPr>
          <w:lang w:eastAsia="zh-CN"/>
        </w:rPr>
        <w:t>Les observateurs extérieurs perçoivent une lueur uniforme, identique à celle d’un aéroport fonctionnel standard, sans gêne ni pollution lumineuse excessive.</w:t>
      </w:r>
    </w:p>
    <w:p w14:paraId="2B7C90C1" w14:textId="31530DCF" w:rsidR="001E722F" w:rsidRDefault="001E722F" w:rsidP="009C7887">
      <w:pPr>
        <w:rPr>
          <w:lang w:eastAsia="zh-CN"/>
        </w:rPr>
      </w:pPr>
      <w:r>
        <w:rPr>
          <w:lang w:eastAsia="zh-CN"/>
        </w:rPr>
        <w:t>Les impacts résiduels démeurent donc négligeables avec la mise en œuvre des mesures proposées.</w:t>
      </w:r>
    </w:p>
    <w:p w14:paraId="762CA399" w14:textId="77777777" w:rsidR="00314890" w:rsidRDefault="00314890" w:rsidP="009C7887">
      <w:pPr>
        <w:rPr>
          <w:lang w:eastAsia="zh-CN"/>
        </w:rPr>
      </w:pPr>
    </w:p>
    <w:p w14:paraId="252557A6" w14:textId="77777777" w:rsidR="00314890" w:rsidRDefault="00314890" w:rsidP="009C7887">
      <w:pPr>
        <w:rPr>
          <w:lang w:eastAsia="zh-CN"/>
        </w:rPr>
      </w:pPr>
    </w:p>
    <w:p w14:paraId="6F6E1853" w14:textId="298D19D9" w:rsidR="00B32757" w:rsidRDefault="00B32757" w:rsidP="009C7887">
      <w:pPr>
        <w:rPr>
          <w:lang w:eastAsia="zh-CN"/>
        </w:rPr>
      </w:pPr>
      <w:r>
        <w:rPr>
          <w:lang w:eastAsia="zh-CN"/>
        </w:rPr>
        <w:br w:type="page"/>
      </w:r>
    </w:p>
    <w:p w14:paraId="7002B591" w14:textId="6A4754B1" w:rsidR="003208D0" w:rsidRPr="003208D0" w:rsidRDefault="00FF487D" w:rsidP="003208D0">
      <w:pPr>
        <w:pStyle w:val="Title3"/>
      </w:pPr>
      <w:bookmarkStart w:id="449" w:name="_bookmark177"/>
      <w:bookmarkStart w:id="450" w:name="_bookmark178"/>
      <w:bookmarkStart w:id="451" w:name="_bookmark179"/>
      <w:bookmarkStart w:id="452" w:name="_Toc181619038"/>
      <w:bookmarkStart w:id="453" w:name="_Toc215131881"/>
      <w:bookmarkEnd w:id="448"/>
      <w:bookmarkEnd w:id="449"/>
      <w:bookmarkEnd w:id="450"/>
      <w:bookmarkEnd w:id="451"/>
      <w:r>
        <w:lastRenderedPageBreak/>
        <w:t>B</w:t>
      </w:r>
      <w:r w:rsidR="003208D0" w:rsidRPr="003208D0">
        <w:t>iodiversité</w:t>
      </w:r>
      <w:bookmarkEnd w:id="452"/>
      <w:bookmarkEnd w:id="453"/>
    </w:p>
    <w:p w14:paraId="303E8733" w14:textId="77777777" w:rsidR="003208D0" w:rsidRDefault="003208D0" w:rsidP="005139CD">
      <w:pPr>
        <w:pStyle w:val="Title4"/>
        <w:tabs>
          <w:tab w:val="clear" w:pos="1134"/>
          <w:tab w:val="left" w:pos="851"/>
        </w:tabs>
      </w:pPr>
      <w:r w:rsidRPr="003208D0">
        <w:t>Phase construction</w:t>
      </w:r>
    </w:p>
    <w:p w14:paraId="5CDEFFDE" w14:textId="7A490D64" w:rsidR="001D73A2" w:rsidRPr="003208D0" w:rsidRDefault="001D73A2" w:rsidP="004637C7">
      <w:pPr>
        <w:pStyle w:val="Title5"/>
      </w:pPr>
      <w:r>
        <w:t>Identification et évaluation des impacts et risques</w:t>
      </w:r>
    </w:p>
    <w:p w14:paraId="02313470" w14:textId="73F29322" w:rsidR="001D73A2" w:rsidRDefault="001D73A2" w:rsidP="0001633E">
      <w:pPr>
        <w:pStyle w:val="AltTitle2"/>
        <w:numPr>
          <w:ilvl w:val="0"/>
          <w:numId w:val="106"/>
        </w:numPr>
      </w:pPr>
      <w:r w:rsidRPr="001D73A2">
        <w:t>Destruction de la flore rudérale</w:t>
      </w:r>
    </w:p>
    <w:p w14:paraId="50AE3D4C" w14:textId="60250194" w:rsidR="001D73A2" w:rsidRDefault="00065997" w:rsidP="00C92313">
      <w:r w:rsidRPr="00065997">
        <w:t>L’extension du parking avions</w:t>
      </w:r>
      <w:r w:rsidR="00E74479">
        <w:t>,</w:t>
      </w:r>
      <w:r w:rsidRPr="00065997">
        <w:t xml:space="preserve"> accompagnée de la création d’une bretelle de liaison, impliquera des travaux de </w:t>
      </w:r>
      <w:r w:rsidRPr="004637C7">
        <w:t>décapage, nivellement et mise en œuvre d’enrobés</w:t>
      </w:r>
      <w:r w:rsidRPr="00065997">
        <w:t xml:space="preserve">. Ces activités engendreront la </w:t>
      </w:r>
      <w:r w:rsidRPr="004637C7">
        <w:t>destruction ponctuelle du couvert végétal rudéral</w:t>
      </w:r>
      <w:r w:rsidRPr="00065997">
        <w:t xml:space="preserve"> occupant actuellement la frange est de la plateforme aéroportuaire. </w:t>
      </w:r>
    </w:p>
    <w:p w14:paraId="14D23D14" w14:textId="4CBBE247" w:rsidR="00065997" w:rsidRDefault="00065997" w:rsidP="001D73A2">
      <w:r w:rsidRPr="00065997">
        <w:t xml:space="preserve">Le secteur d’implantation correspond ainsi à un </w:t>
      </w:r>
      <w:r w:rsidRPr="004637C7">
        <w:t>habitat modifié</w:t>
      </w:r>
      <w:r w:rsidRPr="00065997">
        <w:t xml:space="preserve">, dont les fonctions écologiques primaires ont été altérées par l’urbanisation et les infrastructures existantes (piste, voies d’accès, zones de maintenance). Aucun </w:t>
      </w:r>
      <w:r w:rsidRPr="004637C7">
        <w:t xml:space="preserve">habitat naturel ou critique </w:t>
      </w:r>
      <w:r w:rsidRPr="00065997">
        <w:t>n’a été identifié dans le périmètre du projet ou ses abords immédiats.</w:t>
      </w:r>
    </w:p>
    <w:p w14:paraId="2732497A" w14:textId="77777777" w:rsidR="00065997" w:rsidRDefault="00065997" w:rsidP="001D73A2">
      <w:r w:rsidRPr="00065997">
        <w:t xml:space="preserve">Cet impact est </w:t>
      </w:r>
      <w:r w:rsidRPr="004637C7">
        <w:t>direct et négatif</w:t>
      </w:r>
      <w:r w:rsidRPr="00065997">
        <w:t xml:space="preserve">, car il découle immédiatement de l’emprise des travaux sur le milieu naturel. </w:t>
      </w:r>
    </w:p>
    <w:p w14:paraId="1496894D" w14:textId="77777777" w:rsidR="00065997" w:rsidRPr="00065997" w:rsidRDefault="00065997" w:rsidP="001D73A2">
      <w:r w:rsidRPr="00065997">
        <w:t xml:space="preserve">Son </w:t>
      </w:r>
      <w:r w:rsidRPr="004637C7">
        <w:t>étendue spatiale</w:t>
      </w:r>
      <w:r w:rsidRPr="00065997">
        <w:t xml:space="preserve"> est </w:t>
      </w:r>
      <w:r w:rsidRPr="004637C7">
        <w:t>locale</w:t>
      </w:r>
      <w:r w:rsidRPr="00065997">
        <w:t>, limitée à la zone d’aménagement située à l’intérieur du périmètre clôturé de l’aéroport.</w:t>
      </w:r>
    </w:p>
    <w:p w14:paraId="509CB5C7" w14:textId="77777777" w:rsidR="00065997" w:rsidRPr="00065997" w:rsidRDefault="00065997" w:rsidP="001D73A2">
      <w:r w:rsidRPr="00065997">
        <w:t xml:space="preserve">Sa </w:t>
      </w:r>
      <w:r w:rsidRPr="004637C7">
        <w:t>durée</w:t>
      </w:r>
      <w:r w:rsidRPr="00065997">
        <w:t xml:space="preserve"> est </w:t>
      </w:r>
      <w:r w:rsidRPr="004637C7">
        <w:t>temporaire</w:t>
      </w:r>
      <w:r w:rsidRPr="00065997">
        <w:t xml:space="preserve">, restreinte à la phase de construction, et sa </w:t>
      </w:r>
      <w:r w:rsidRPr="004637C7">
        <w:t>fréquence</w:t>
      </w:r>
      <w:r w:rsidRPr="00065997">
        <w:t xml:space="preserve"> est </w:t>
      </w:r>
      <w:r w:rsidRPr="004637C7">
        <w:t>continue durant les heures diurnes de travail</w:t>
      </w:r>
      <w:r w:rsidRPr="00065997">
        <w:t xml:space="preserve">. </w:t>
      </w:r>
    </w:p>
    <w:p w14:paraId="7B1A699D" w14:textId="155DACD8" w:rsidR="00065997" w:rsidRDefault="00065997" w:rsidP="001D73A2">
      <w:r w:rsidRPr="00065997">
        <w:t>L’</w:t>
      </w:r>
      <w:r w:rsidRPr="004637C7">
        <w:t>intensité</w:t>
      </w:r>
      <w:r w:rsidRPr="00065997">
        <w:t xml:space="preserve"> est jugée </w:t>
      </w:r>
      <w:r w:rsidRPr="004637C7">
        <w:t>faible</w:t>
      </w:r>
      <w:r w:rsidRPr="00065997">
        <w:t>, puisque les perturbations, bien que réelles, concernent un milieu déjà anthropisé et aisément réhabilitable.</w:t>
      </w:r>
    </w:p>
    <w:p w14:paraId="04213437" w14:textId="77777777" w:rsidR="00065997" w:rsidRPr="00065997" w:rsidRDefault="00065997" w:rsidP="001D73A2">
      <w:r w:rsidRPr="00065997">
        <w:t xml:space="preserve">La </w:t>
      </w:r>
      <w:r w:rsidRPr="004637C7">
        <w:t>sensibilité écologique du récepteur</w:t>
      </w:r>
      <w:r w:rsidRPr="00065997">
        <w:t xml:space="preserve"> est </w:t>
      </w:r>
      <w:r w:rsidRPr="004637C7">
        <w:t>faible</w:t>
      </w:r>
      <w:r w:rsidRPr="00065997">
        <w:t xml:space="preserve">, le couvert végétal concerné ne présentant ni rôle écologique majeur ni fonction de corridor biologique. </w:t>
      </w:r>
    </w:p>
    <w:p w14:paraId="638739BF" w14:textId="0FB7596E" w:rsidR="00065997" w:rsidRDefault="00065997" w:rsidP="001D73A2">
      <w:r w:rsidRPr="00065997">
        <w:t xml:space="preserve">La </w:t>
      </w:r>
      <w:r w:rsidRPr="004637C7">
        <w:t>combinaison d’une intensité faible et d’une sensibilité faible</w:t>
      </w:r>
      <w:r w:rsidRPr="00065997">
        <w:t xml:space="preserve"> conduit à un </w:t>
      </w:r>
      <w:r w:rsidRPr="004637C7">
        <w:t>impact d’importance faible</w:t>
      </w:r>
      <w:r w:rsidRPr="00065997">
        <w:t xml:space="preserve">. </w:t>
      </w:r>
    </w:p>
    <w:tbl>
      <w:tblPr>
        <w:tblStyle w:val="TableauGrille1Clair-Accentuation111"/>
        <w:tblW w:w="0" w:type="auto"/>
        <w:tblLayout w:type="fixed"/>
        <w:tblLook w:val="04A0" w:firstRow="1" w:lastRow="0" w:firstColumn="1" w:lastColumn="0" w:noHBand="0" w:noVBand="1"/>
      </w:tblPr>
      <w:tblGrid>
        <w:gridCol w:w="792"/>
        <w:gridCol w:w="2747"/>
        <w:gridCol w:w="1843"/>
        <w:gridCol w:w="2436"/>
        <w:gridCol w:w="1242"/>
      </w:tblGrid>
      <w:tr w:rsidR="0034543A" w:rsidRPr="00B95A9D" w14:paraId="05453F62" w14:textId="77777777" w:rsidTr="005A766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2" w:type="dxa"/>
            <w:hideMark/>
          </w:tcPr>
          <w:p w14:paraId="73E9C27A" w14:textId="77777777" w:rsidR="0034543A" w:rsidRPr="00B95A9D" w:rsidRDefault="0034543A" w:rsidP="005A7661">
            <w:pPr>
              <w:rPr>
                <w:rFonts w:asciiTheme="minorHAnsi" w:hAnsiTheme="minorHAnsi" w:cstheme="minorHAnsi"/>
                <w:szCs w:val="20"/>
                <w:lang w:eastAsia="fr-FR" w:bidi="ar-SA"/>
              </w:rPr>
            </w:pPr>
            <w:r w:rsidRPr="00B95A9D">
              <w:rPr>
                <w:rFonts w:asciiTheme="minorHAnsi" w:hAnsiTheme="minorHAnsi" w:cstheme="minorHAnsi"/>
                <w:szCs w:val="20"/>
                <w:lang w:eastAsia="fr-FR" w:bidi="ar-SA"/>
              </w:rPr>
              <w:t>Impact</w:t>
            </w:r>
          </w:p>
        </w:tc>
        <w:tc>
          <w:tcPr>
            <w:tcW w:w="2747" w:type="dxa"/>
            <w:hideMark/>
          </w:tcPr>
          <w:p w14:paraId="69D6B82E" w14:textId="77777777" w:rsidR="0034543A" w:rsidRPr="00B95A9D" w:rsidRDefault="0034543A" w:rsidP="005A7661">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sidRPr="00B95A9D">
              <w:rPr>
                <w:rFonts w:asciiTheme="minorHAnsi" w:hAnsiTheme="minorHAnsi" w:cstheme="minorHAnsi"/>
                <w:szCs w:val="20"/>
                <w:lang w:eastAsia="fr-FR" w:bidi="ar-SA"/>
              </w:rPr>
              <w:t>Activités génératrices</w:t>
            </w:r>
          </w:p>
        </w:tc>
        <w:tc>
          <w:tcPr>
            <w:tcW w:w="1843" w:type="dxa"/>
            <w:hideMark/>
          </w:tcPr>
          <w:p w14:paraId="6D64B245" w14:textId="77777777" w:rsidR="0034543A" w:rsidRPr="00B95A9D" w:rsidRDefault="0034543A" w:rsidP="005A7661">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sidRPr="00B95A9D">
              <w:rPr>
                <w:rFonts w:asciiTheme="minorHAnsi" w:hAnsiTheme="minorHAnsi" w:cstheme="minorHAnsi"/>
                <w:szCs w:val="20"/>
                <w:lang w:eastAsia="fr-FR" w:bidi="ar-SA"/>
              </w:rPr>
              <w:t>Critère</w:t>
            </w:r>
          </w:p>
        </w:tc>
        <w:tc>
          <w:tcPr>
            <w:tcW w:w="2436" w:type="dxa"/>
            <w:hideMark/>
          </w:tcPr>
          <w:p w14:paraId="4B18010B" w14:textId="77777777" w:rsidR="0034543A" w:rsidRPr="00B95A9D" w:rsidRDefault="0034543A" w:rsidP="005A7661">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sidRPr="00B95A9D">
              <w:rPr>
                <w:rFonts w:asciiTheme="minorHAnsi" w:hAnsiTheme="minorHAnsi" w:cstheme="minorHAnsi"/>
                <w:szCs w:val="20"/>
                <w:lang w:eastAsia="fr-FR" w:bidi="ar-SA"/>
              </w:rPr>
              <w:t>Justification</w:t>
            </w:r>
          </w:p>
        </w:tc>
        <w:tc>
          <w:tcPr>
            <w:tcW w:w="1242" w:type="dxa"/>
            <w:hideMark/>
          </w:tcPr>
          <w:p w14:paraId="72ECE620" w14:textId="77777777" w:rsidR="0034543A" w:rsidRPr="00B95A9D" w:rsidRDefault="0034543A" w:rsidP="005A7661">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sidRPr="00B95A9D">
              <w:rPr>
                <w:rFonts w:asciiTheme="minorHAnsi" w:hAnsiTheme="minorHAnsi" w:cstheme="minorHAnsi"/>
                <w:szCs w:val="20"/>
                <w:lang w:eastAsia="fr-FR" w:bidi="ar-SA"/>
              </w:rPr>
              <w:t>Niveau</w:t>
            </w:r>
          </w:p>
        </w:tc>
      </w:tr>
      <w:tr w:rsidR="0034543A" w:rsidRPr="00B95A9D" w14:paraId="272D9E0B" w14:textId="77777777" w:rsidTr="005A7661">
        <w:tc>
          <w:tcPr>
            <w:cnfStyle w:val="001000000000" w:firstRow="0" w:lastRow="0" w:firstColumn="1" w:lastColumn="0" w:oddVBand="0" w:evenVBand="0" w:oddHBand="0" w:evenHBand="0" w:firstRowFirstColumn="0" w:firstRowLastColumn="0" w:lastRowFirstColumn="0" w:lastRowLastColumn="0"/>
            <w:tcW w:w="792" w:type="dxa"/>
            <w:vMerge w:val="restart"/>
            <w:textDirection w:val="btLr"/>
            <w:vAlign w:val="center"/>
          </w:tcPr>
          <w:p w14:paraId="4C9D397D" w14:textId="7A4F8F9D" w:rsidR="0034543A" w:rsidRPr="00B95A9D" w:rsidRDefault="00950710" w:rsidP="005A7661">
            <w:pPr>
              <w:ind w:left="113" w:right="113"/>
              <w:jc w:val="center"/>
              <w:rPr>
                <w:rFonts w:asciiTheme="minorHAnsi" w:hAnsiTheme="minorHAnsi" w:cstheme="minorHAnsi"/>
                <w:szCs w:val="20"/>
                <w:lang w:eastAsia="fr-FR" w:bidi="ar-SA"/>
              </w:rPr>
            </w:pPr>
            <w:r w:rsidRPr="00950710">
              <w:rPr>
                <w:rFonts w:asciiTheme="minorHAnsi" w:hAnsiTheme="minorHAnsi" w:cstheme="minorHAnsi"/>
                <w:szCs w:val="20"/>
                <w:lang w:eastAsia="fr-FR" w:bidi="ar-SA"/>
              </w:rPr>
              <w:t>Destruction pe la flore rudérale</w:t>
            </w:r>
          </w:p>
        </w:tc>
        <w:tc>
          <w:tcPr>
            <w:tcW w:w="2747" w:type="dxa"/>
            <w:vMerge w:val="restart"/>
          </w:tcPr>
          <w:p w14:paraId="46DF3B09" w14:textId="1A5E3477" w:rsidR="0034543A" w:rsidRPr="00B95A9D" w:rsidRDefault="00950710" w:rsidP="005A766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sidRPr="00950710">
              <w:rPr>
                <w:rFonts w:asciiTheme="minorHAnsi" w:hAnsiTheme="minorHAnsi" w:cstheme="minorHAnsi"/>
                <w:szCs w:val="20"/>
                <w:lang w:eastAsia="fr-FR" w:bidi="ar-SA"/>
              </w:rPr>
              <w:t>Décapage du sol, nivellement, terrassement, circulation des engins, pose d’enrobés</w:t>
            </w:r>
          </w:p>
        </w:tc>
        <w:tc>
          <w:tcPr>
            <w:tcW w:w="1843" w:type="dxa"/>
            <w:hideMark/>
          </w:tcPr>
          <w:p w14:paraId="7CE89D3C" w14:textId="77777777" w:rsidR="0034543A" w:rsidRPr="00B95A9D" w:rsidRDefault="0034543A" w:rsidP="005A766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Cs w:val="20"/>
                <w:lang w:eastAsia="fr-FR" w:bidi="ar-SA"/>
              </w:rPr>
            </w:pPr>
            <w:r w:rsidRPr="00B95A9D">
              <w:rPr>
                <w:rFonts w:asciiTheme="minorHAnsi" w:hAnsiTheme="minorHAnsi" w:cstheme="minorHAnsi"/>
                <w:b/>
                <w:bCs/>
                <w:szCs w:val="20"/>
                <w:lang w:eastAsia="fr-FR" w:bidi="ar-SA"/>
              </w:rPr>
              <w:t>Nature</w:t>
            </w:r>
          </w:p>
        </w:tc>
        <w:tc>
          <w:tcPr>
            <w:tcW w:w="3678" w:type="dxa"/>
            <w:gridSpan w:val="2"/>
          </w:tcPr>
          <w:p w14:paraId="02E50641" w14:textId="77777777" w:rsidR="0034543A" w:rsidRPr="00B95A9D" w:rsidRDefault="0034543A" w:rsidP="005A766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Pr>
                <w:rFonts w:asciiTheme="minorHAnsi" w:hAnsiTheme="minorHAnsi" w:cstheme="minorHAnsi"/>
                <w:szCs w:val="20"/>
                <w:lang w:eastAsia="fr-FR" w:bidi="ar-SA"/>
              </w:rPr>
              <w:t>Direct négatif</w:t>
            </w:r>
          </w:p>
        </w:tc>
      </w:tr>
      <w:tr w:rsidR="0034543A" w:rsidRPr="00B95A9D" w14:paraId="433D05B0" w14:textId="77777777" w:rsidTr="005A7661">
        <w:tc>
          <w:tcPr>
            <w:cnfStyle w:val="001000000000" w:firstRow="0" w:lastRow="0" w:firstColumn="1" w:lastColumn="0" w:oddVBand="0" w:evenVBand="0" w:oddHBand="0" w:evenHBand="0" w:firstRowFirstColumn="0" w:firstRowLastColumn="0" w:lastRowFirstColumn="0" w:lastRowLastColumn="0"/>
            <w:tcW w:w="792" w:type="dxa"/>
            <w:vMerge/>
            <w:hideMark/>
          </w:tcPr>
          <w:p w14:paraId="1C14C8D8" w14:textId="77777777" w:rsidR="0034543A" w:rsidRPr="00B95A9D" w:rsidRDefault="0034543A" w:rsidP="005A7661">
            <w:pPr>
              <w:rPr>
                <w:rFonts w:asciiTheme="minorHAnsi" w:hAnsiTheme="minorHAnsi" w:cstheme="minorHAnsi"/>
                <w:szCs w:val="20"/>
                <w:lang w:eastAsia="fr-FR" w:bidi="ar-SA"/>
              </w:rPr>
            </w:pPr>
          </w:p>
        </w:tc>
        <w:tc>
          <w:tcPr>
            <w:tcW w:w="2747" w:type="dxa"/>
            <w:vMerge/>
            <w:hideMark/>
          </w:tcPr>
          <w:p w14:paraId="6469BD77" w14:textId="77777777" w:rsidR="0034543A" w:rsidRPr="00B95A9D" w:rsidRDefault="0034543A" w:rsidP="005A766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p>
        </w:tc>
        <w:tc>
          <w:tcPr>
            <w:tcW w:w="1843" w:type="dxa"/>
            <w:hideMark/>
          </w:tcPr>
          <w:p w14:paraId="47966482" w14:textId="77777777" w:rsidR="0034543A" w:rsidRPr="00B95A9D" w:rsidRDefault="0034543A" w:rsidP="005A766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Cs w:val="20"/>
                <w:lang w:eastAsia="fr-FR" w:bidi="ar-SA"/>
              </w:rPr>
            </w:pPr>
            <w:r w:rsidRPr="00B95A9D">
              <w:rPr>
                <w:rFonts w:asciiTheme="minorHAnsi" w:hAnsiTheme="minorHAnsi" w:cstheme="minorHAnsi"/>
                <w:b/>
                <w:bCs/>
                <w:szCs w:val="20"/>
                <w:lang w:eastAsia="fr-FR" w:bidi="ar-SA"/>
              </w:rPr>
              <w:t>Étendue</w:t>
            </w:r>
          </w:p>
        </w:tc>
        <w:tc>
          <w:tcPr>
            <w:tcW w:w="2436" w:type="dxa"/>
          </w:tcPr>
          <w:p w14:paraId="6F9AA6BD" w14:textId="4A40A89C" w:rsidR="0034543A" w:rsidRPr="00B95A9D" w:rsidRDefault="00950710" w:rsidP="005A766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sidRPr="00950710">
              <w:rPr>
                <w:rFonts w:asciiTheme="minorHAnsi" w:hAnsiTheme="minorHAnsi" w:cstheme="minorHAnsi"/>
                <w:szCs w:val="20"/>
                <w:lang w:eastAsia="fr-FR" w:bidi="ar-SA"/>
              </w:rPr>
              <w:t>L’impact est localisé à l’intérieur du périmètre de l’aéroport, limité à la zone d’emprise du projet.</w:t>
            </w:r>
          </w:p>
        </w:tc>
        <w:tc>
          <w:tcPr>
            <w:tcW w:w="1242" w:type="dxa"/>
          </w:tcPr>
          <w:p w14:paraId="1AFBA6DC" w14:textId="25BBB44C" w:rsidR="0034543A" w:rsidRPr="00B95A9D" w:rsidRDefault="00950710" w:rsidP="005A766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Cs w:val="20"/>
                <w:lang w:eastAsia="fr-FR" w:bidi="ar-SA"/>
              </w:rPr>
            </w:pPr>
            <w:r>
              <w:rPr>
                <w:rFonts w:asciiTheme="minorHAnsi" w:hAnsiTheme="minorHAnsi" w:cstheme="minorHAnsi"/>
                <w:b/>
                <w:bCs/>
                <w:szCs w:val="20"/>
                <w:lang w:eastAsia="fr-FR" w:bidi="ar-SA"/>
              </w:rPr>
              <w:t>Locale</w:t>
            </w:r>
          </w:p>
        </w:tc>
      </w:tr>
      <w:tr w:rsidR="0034543A" w:rsidRPr="00B95A9D" w14:paraId="7AB35C89" w14:textId="77777777" w:rsidTr="005A7661">
        <w:tc>
          <w:tcPr>
            <w:cnfStyle w:val="001000000000" w:firstRow="0" w:lastRow="0" w:firstColumn="1" w:lastColumn="0" w:oddVBand="0" w:evenVBand="0" w:oddHBand="0" w:evenHBand="0" w:firstRowFirstColumn="0" w:firstRowLastColumn="0" w:lastRowFirstColumn="0" w:lastRowLastColumn="0"/>
            <w:tcW w:w="792" w:type="dxa"/>
            <w:vMerge/>
            <w:hideMark/>
          </w:tcPr>
          <w:p w14:paraId="170FFA85" w14:textId="77777777" w:rsidR="0034543A" w:rsidRPr="00B95A9D" w:rsidRDefault="0034543A" w:rsidP="005A7661">
            <w:pPr>
              <w:rPr>
                <w:rFonts w:asciiTheme="minorHAnsi" w:hAnsiTheme="minorHAnsi" w:cstheme="minorHAnsi"/>
                <w:szCs w:val="20"/>
                <w:lang w:eastAsia="fr-FR" w:bidi="ar-SA"/>
              </w:rPr>
            </w:pPr>
          </w:p>
        </w:tc>
        <w:tc>
          <w:tcPr>
            <w:tcW w:w="2747" w:type="dxa"/>
            <w:vMerge/>
            <w:hideMark/>
          </w:tcPr>
          <w:p w14:paraId="5B0A8207" w14:textId="77777777" w:rsidR="0034543A" w:rsidRPr="00B95A9D" w:rsidRDefault="0034543A" w:rsidP="005A766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p>
        </w:tc>
        <w:tc>
          <w:tcPr>
            <w:tcW w:w="1843" w:type="dxa"/>
            <w:hideMark/>
          </w:tcPr>
          <w:p w14:paraId="3D2B2BD9" w14:textId="77777777" w:rsidR="0034543A" w:rsidRPr="00B95A9D" w:rsidRDefault="0034543A" w:rsidP="005A766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Cs w:val="20"/>
                <w:lang w:eastAsia="fr-FR" w:bidi="ar-SA"/>
              </w:rPr>
            </w:pPr>
            <w:r w:rsidRPr="00B95A9D">
              <w:rPr>
                <w:rFonts w:asciiTheme="minorHAnsi" w:hAnsiTheme="minorHAnsi" w:cstheme="minorHAnsi"/>
                <w:b/>
                <w:bCs/>
                <w:szCs w:val="20"/>
                <w:lang w:eastAsia="fr-FR" w:bidi="ar-SA"/>
              </w:rPr>
              <w:t>Durée</w:t>
            </w:r>
          </w:p>
        </w:tc>
        <w:tc>
          <w:tcPr>
            <w:tcW w:w="2436" w:type="dxa"/>
          </w:tcPr>
          <w:p w14:paraId="3C3DED7D" w14:textId="50E535F3" w:rsidR="0034543A" w:rsidRPr="00B95A9D" w:rsidRDefault="00950710" w:rsidP="005A766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sidRPr="00950710">
              <w:rPr>
                <w:rFonts w:asciiTheme="minorHAnsi" w:hAnsiTheme="minorHAnsi" w:cstheme="minorHAnsi"/>
                <w:szCs w:val="20"/>
                <w:lang w:eastAsia="fr-FR" w:bidi="ar-SA"/>
              </w:rPr>
              <w:t>Temporaire, limitée à la phase de construction et réversible après remise en état.</w:t>
            </w:r>
          </w:p>
        </w:tc>
        <w:tc>
          <w:tcPr>
            <w:tcW w:w="1242" w:type="dxa"/>
          </w:tcPr>
          <w:p w14:paraId="2ECC9D18" w14:textId="4FC9401F" w:rsidR="0034543A" w:rsidRPr="00B95A9D" w:rsidRDefault="00950710" w:rsidP="005A766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Cs w:val="20"/>
                <w:lang w:eastAsia="fr-FR" w:bidi="ar-SA"/>
              </w:rPr>
            </w:pPr>
            <w:r>
              <w:rPr>
                <w:rFonts w:asciiTheme="minorHAnsi" w:hAnsiTheme="minorHAnsi" w:cstheme="minorHAnsi"/>
                <w:b/>
                <w:bCs/>
                <w:szCs w:val="20"/>
                <w:lang w:eastAsia="fr-FR" w:bidi="ar-SA"/>
              </w:rPr>
              <w:t>Court terme (temporaire)</w:t>
            </w:r>
          </w:p>
        </w:tc>
      </w:tr>
      <w:tr w:rsidR="0034543A" w:rsidRPr="00B95A9D" w14:paraId="157A8945" w14:textId="77777777" w:rsidTr="005A7661">
        <w:tc>
          <w:tcPr>
            <w:cnfStyle w:val="001000000000" w:firstRow="0" w:lastRow="0" w:firstColumn="1" w:lastColumn="0" w:oddVBand="0" w:evenVBand="0" w:oddHBand="0" w:evenHBand="0" w:firstRowFirstColumn="0" w:firstRowLastColumn="0" w:lastRowFirstColumn="0" w:lastRowLastColumn="0"/>
            <w:tcW w:w="792" w:type="dxa"/>
            <w:vMerge/>
            <w:hideMark/>
          </w:tcPr>
          <w:p w14:paraId="4DF1E429" w14:textId="77777777" w:rsidR="0034543A" w:rsidRPr="00B95A9D" w:rsidRDefault="0034543A" w:rsidP="005A7661">
            <w:pPr>
              <w:rPr>
                <w:rFonts w:asciiTheme="minorHAnsi" w:hAnsiTheme="minorHAnsi" w:cstheme="minorHAnsi"/>
                <w:szCs w:val="20"/>
                <w:lang w:eastAsia="fr-FR" w:bidi="ar-SA"/>
              </w:rPr>
            </w:pPr>
          </w:p>
        </w:tc>
        <w:tc>
          <w:tcPr>
            <w:tcW w:w="2747" w:type="dxa"/>
            <w:vMerge/>
            <w:hideMark/>
          </w:tcPr>
          <w:p w14:paraId="53CAE46A" w14:textId="77777777" w:rsidR="0034543A" w:rsidRPr="00B95A9D" w:rsidRDefault="0034543A" w:rsidP="005A766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p>
        </w:tc>
        <w:tc>
          <w:tcPr>
            <w:tcW w:w="1843" w:type="dxa"/>
            <w:hideMark/>
          </w:tcPr>
          <w:p w14:paraId="29A9A973" w14:textId="77777777" w:rsidR="0034543A" w:rsidRPr="00B95A9D" w:rsidRDefault="0034543A" w:rsidP="005A766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Cs w:val="20"/>
                <w:lang w:eastAsia="fr-FR" w:bidi="ar-SA"/>
              </w:rPr>
            </w:pPr>
            <w:r w:rsidRPr="00B95A9D">
              <w:rPr>
                <w:rFonts w:asciiTheme="minorHAnsi" w:hAnsiTheme="minorHAnsi" w:cstheme="minorHAnsi"/>
                <w:b/>
                <w:bCs/>
                <w:szCs w:val="20"/>
                <w:lang w:eastAsia="fr-FR" w:bidi="ar-SA"/>
              </w:rPr>
              <w:t>Fréquence</w:t>
            </w:r>
          </w:p>
        </w:tc>
        <w:tc>
          <w:tcPr>
            <w:tcW w:w="2436" w:type="dxa"/>
          </w:tcPr>
          <w:p w14:paraId="6CD66CAD" w14:textId="2B93C3D0" w:rsidR="0034543A" w:rsidRPr="00911A3C" w:rsidRDefault="00950710" w:rsidP="005A766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sidRPr="00950710">
              <w:rPr>
                <w:rFonts w:asciiTheme="minorHAnsi" w:hAnsiTheme="minorHAnsi" w:cstheme="minorHAnsi"/>
                <w:szCs w:val="20"/>
                <w:lang w:eastAsia="fr-FR" w:bidi="ar-SA"/>
              </w:rPr>
              <w:t>Continue pendant la période des travaux.</w:t>
            </w:r>
          </w:p>
        </w:tc>
        <w:tc>
          <w:tcPr>
            <w:tcW w:w="1242" w:type="dxa"/>
          </w:tcPr>
          <w:p w14:paraId="7914291F" w14:textId="3E532024" w:rsidR="0034543A" w:rsidRPr="00B95A9D" w:rsidRDefault="00950710" w:rsidP="005A766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Cs w:val="20"/>
                <w:lang w:eastAsia="fr-FR" w:bidi="ar-SA"/>
              </w:rPr>
            </w:pPr>
            <w:r>
              <w:rPr>
                <w:rFonts w:asciiTheme="minorHAnsi" w:hAnsiTheme="minorHAnsi" w:cstheme="minorHAnsi"/>
                <w:b/>
                <w:bCs/>
                <w:szCs w:val="20"/>
                <w:lang w:eastAsia="fr-FR" w:bidi="ar-SA"/>
              </w:rPr>
              <w:t>Continue</w:t>
            </w:r>
          </w:p>
        </w:tc>
      </w:tr>
      <w:tr w:rsidR="0034543A" w:rsidRPr="00B95A9D" w14:paraId="30387E4E" w14:textId="77777777" w:rsidTr="005A7661">
        <w:tc>
          <w:tcPr>
            <w:cnfStyle w:val="001000000000" w:firstRow="0" w:lastRow="0" w:firstColumn="1" w:lastColumn="0" w:oddVBand="0" w:evenVBand="0" w:oddHBand="0" w:evenHBand="0" w:firstRowFirstColumn="0" w:firstRowLastColumn="0" w:lastRowFirstColumn="0" w:lastRowLastColumn="0"/>
            <w:tcW w:w="792" w:type="dxa"/>
            <w:vMerge/>
            <w:hideMark/>
          </w:tcPr>
          <w:p w14:paraId="18F0CB0D" w14:textId="77777777" w:rsidR="0034543A" w:rsidRPr="00B95A9D" w:rsidRDefault="0034543A" w:rsidP="005A7661">
            <w:pPr>
              <w:rPr>
                <w:rFonts w:asciiTheme="minorHAnsi" w:hAnsiTheme="minorHAnsi" w:cstheme="minorHAnsi"/>
                <w:szCs w:val="20"/>
                <w:lang w:eastAsia="fr-FR" w:bidi="ar-SA"/>
              </w:rPr>
            </w:pPr>
          </w:p>
        </w:tc>
        <w:tc>
          <w:tcPr>
            <w:tcW w:w="2747" w:type="dxa"/>
            <w:vMerge/>
            <w:hideMark/>
          </w:tcPr>
          <w:p w14:paraId="68AA60ED" w14:textId="77777777" w:rsidR="0034543A" w:rsidRPr="00B95A9D" w:rsidRDefault="0034543A" w:rsidP="005A766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p>
        </w:tc>
        <w:tc>
          <w:tcPr>
            <w:tcW w:w="1843" w:type="dxa"/>
            <w:shd w:val="clear" w:color="auto" w:fill="D9E2F3"/>
            <w:hideMark/>
          </w:tcPr>
          <w:p w14:paraId="6B554E92" w14:textId="77777777" w:rsidR="0034543A" w:rsidRPr="00B95A9D" w:rsidRDefault="0034543A" w:rsidP="005A766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Cs w:val="20"/>
                <w:lang w:eastAsia="fr-FR" w:bidi="ar-SA"/>
              </w:rPr>
            </w:pPr>
            <w:r w:rsidRPr="00B95A9D">
              <w:rPr>
                <w:rFonts w:asciiTheme="minorHAnsi" w:hAnsiTheme="minorHAnsi" w:cstheme="minorHAnsi"/>
                <w:b/>
                <w:bCs/>
                <w:szCs w:val="20"/>
                <w:lang w:eastAsia="fr-FR" w:bidi="ar-SA"/>
              </w:rPr>
              <w:t>Intensité</w:t>
            </w:r>
          </w:p>
        </w:tc>
        <w:tc>
          <w:tcPr>
            <w:tcW w:w="2436" w:type="dxa"/>
            <w:shd w:val="clear" w:color="auto" w:fill="D9E2F3"/>
          </w:tcPr>
          <w:p w14:paraId="42B41526" w14:textId="12CA4D26" w:rsidR="0034543A" w:rsidRPr="00B95A9D" w:rsidRDefault="00950710" w:rsidP="005A766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sidRPr="00950710">
              <w:rPr>
                <w:rFonts w:asciiTheme="minorHAnsi" w:hAnsiTheme="minorHAnsi" w:cstheme="minorHAnsi"/>
                <w:szCs w:val="20"/>
                <w:lang w:eastAsia="fr-FR" w:bidi="ar-SA"/>
              </w:rPr>
              <w:t>Perturbation réelle mais limitée à un milieu anthropisé et aisément restaurable.</w:t>
            </w:r>
          </w:p>
        </w:tc>
        <w:tc>
          <w:tcPr>
            <w:tcW w:w="1242" w:type="dxa"/>
            <w:shd w:val="clear" w:color="auto" w:fill="D9E2F3"/>
          </w:tcPr>
          <w:p w14:paraId="119C320B" w14:textId="1A36B759" w:rsidR="0034543A" w:rsidRPr="00B95A9D" w:rsidRDefault="00950710" w:rsidP="005A766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Cs w:val="20"/>
                <w:lang w:eastAsia="fr-FR" w:bidi="ar-SA"/>
              </w:rPr>
            </w:pPr>
            <w:r>
              <w:rPr>
                <w:rFonts w:asciiTheme="minorHAnsi" w:hAnsiTheme="minorHAnsi" w:cstheme="minorHAnsi"/>
                <w:b/>
                <w:bCs/>
                <w:szCs w:val="20"/>
                <w:lang w:eastAsia="fr-FR" w:bidi="ar-SA"/>
              </w:rPr>
              <w:t>Faible</w:t>
            </w:r>
          </w:p>
        </w:tc>
      </w:tr>
      <w:tr w:rsidR="0034543A" w:rsidRPr="00B95A9D" w14:paraId="1327B6FA" w14:textId="77777777" w:rsidTr="005A7661">
        <w:tc>
          <w:tcPr>
            <w:cnfStyle w:val="001000000000" w:firstRow="0" w:lastRow="0" w:firstColumn="1" w:lastColumn="0" w:oddVBand="0" w:evenVBand="0" w:oddHBand="0" w:evenHBand="0" w:firstRowFirstColumn="0" w:firstRowLastColumn="0" w:lastRowFirstColumn="0" w:lastRowLastColumn="0"/>
            <w:tcW w:w="792" w:type="dxa"/>
            <w:vMerge/>
          </w:tcPr>
          <w:p w14:paraId="0252338E" w14:textId="77777777" w:rsidR="0034543A" w:rsidRPr="00B95A9D" w:rsidRDefault="0034543A" w:rsidP="005A7661">
            <w:pPr>
              <w:rPr>
                <w:rFonts w:asciiTheme="minorHAnsi" w:hAnsiTheme="minorHAnsi" w:cstheme="minorHAnsi"/>
                <w:szCs w:val="20"/>
                <w:lang w:eastAsia="fr-FR" w:bidi="ar-SA"/>
              </w:rPr>
            </w:pPr>
          </w:p>
        </w:tc>
        <w:tc>
          <w:tcPr>
            <w:tcW w:w="8268" w:type="dxa"/>
            <w:gridSpan w:val="4"/>
          </w:tcPr>
          <w:p w14:paraId="2690916D" w14:textId="77777777" w:rsidR="0034543A" w:rsidRPr="00B95A9D" w:rsidRDefault="0034543A" w:rsidP="005A7661">
            <w:pPr>
              <w:spacing w:before="0" w:after="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Cs w:val="20"/>
                <w:lang w:eastAsia="fr-FR" w:bidi="ar-SA"/>
              </w:rPr>
            </w:pPr>
          </w:p>
        </w:tc>
      </w:tr>
      <w:tr w:rsidR="0034543A" w:rsidRPr="00B95A9D" w14:paraId="221D7E3C" w14:textId="77777777" w:rsidTr="005A7661">
        <w:tc>
          <w:tcPr>
            <w:cnfStyle w:val="001000000000" w:firstRow="0" w:lastRow="0" w:firstColumn="1" w:lastColumn="0" w:oddVBand="0" w:evenVBand="0" w:oddHBand="0" w:evenHBand="0" w:firstRowFirstColumn="0" w:firstRowLastColumn="0" w:lastRowFirstColumn="0" w:lastRowLastColumn="0"/>
            <w:tcW w:w="792" w:type="dxa"/>
            <w:vMerge/>
          </w:tcPr>
          <w:p w14:paraId="75A35E06" w14:textId="77777777" w:rsidR="0034543A" w:rsidRPr="00B95A9D" w:rsidRDefault="0034543A" w:rsidP="005A7661">
            <w:pPr>
              <w:rPr>
                <w:rFonts w:asciiTheme="minorHAnsi" w:hAnsiTheme="minorHAnsi" w:cstheme="minorHAnsi"/>
                <w:szCs w:val="20"/>
                <w:lang w:eastAsia="fr-FR" w:bidi="ar-SA"/>
              </w:rPr>
            </w:pPr>
          </w:p>
        </w:tc>
        <w:tc>
          <w:tcPr>
            <w:tcW w:w="2747" w:type="dxa"/>
            <w:shd w:val="clear" w:color="auto" w:fill="B4C6E7" w:themeFill="accent1" w:themeFillTint="66"/>
            <w:vAlign w:val="center"/>
          </w:tcPr>
          <w:p w14:paraId="175AF7C8" w14:textId="77777777" w:rsidR="0034543A" w:rsidRPr="00B95A9D" w:rsidRDefault="0034543A" w:rsidP="005A766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sidRPr="00B95A9D">
              <w:rPr>
                <w:rFonts w:asciiTheme="minorHAnsi" w:hAnsiTheme="minorHAnsi" w:cstheme="minorHAnsi"/>
                <w:b/>
                <w:bCs/>
                <w:szCs w:val="20"/>
              </w:rPr>
              <w:t>Intensité de l’impact</w:t>
            </w:r>
          </w:p>
        </w:tc>
        <w:tc>
          <w:tcPr>
            <w:tcW w:w="1843" w:type="dxa"/>
            <w:shd w:val="clear" w:color="auto" w:fill="B4C6E7" w:themeFill="accent1" w:themeFillTint="66"/>
            <w:vAlign w:val="center"/>
          </w:tcPr>
          <w:p w14:paraId="17E060D7" w14:textId="77777777" w:rsidR="0034543A" w:rsidRPr="00B95A9D" w:rsidRDefault="0034543A" w:rsidP="005A766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Cs w:val="20"/>
                <w:lang w:eastAsia="fr-FR" w:bidi="ar-SA"/>
              </w:rPr>
            </w:pPr>
            <w:r w:rsidRPr="00B95A9D">
              <w:rPr>
                <w:rFonts w:asciiTheme="minorHAnsi" w:hAnsiTheme="minorHAnsi" w:cstheme="minorHAnsi"/>
                <w:b/>
                <w:bCs/>
                <w:szCs w:val="20"/>
              </w:rPr>
              <w:t>Récepteurs</w:t>
            </w:r>
          </w:p>
        </w:tc>
        <w:tc>
          <w:tcPr>
            <w:tcW w:w="2436" w:type="dxa"/>
            <w:shd w:val="clear" w:color="auto" w:fill="B4C6E7" w:themeFill="accent1" w:themeFillTint="66"/>
            <w:vAlign w:val="center"/>
          </w:tcPr>
          <w:p w14:paraId="15EFDFE4" w14:textId="77777777" w:rsidR="0034543A" w:rsidRPr="00B95A9D" w:rsidRDefault="0034543A" w:rsidP="005A766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sidRPr="00B95A9D">
              <w:rPr>
                <w:rFonts w:asciiTheme="minorHAnsi" w:hAnsiTheme="minorHAnsi" w:cstheme="minorHAnsi"/>
                <w:b/>
                <w:bCs/>
                <w:szCs w:val="20"/>
              </w:rPr>
              <w:t>Sensibilité</w:t>
            </w:r>
          </w:p>
        </w:tc>
        <w:tc>
          <w:tcPr>
            <w:tcW w:w="1242" w:type="dxa"/>
            <w:shd w:val="clear" w:color="auto" w:fill="B4C6E7" w:themeFill="accent1" w:themeFillTint="66"/>
            <w:vAlign w:val="center"/>
          </w:tcPr>
          <w:p w14:paraId="2E6CE1C1" w14:textId="77777777" w:rsidR="0034543A" w:rsidRPr="00B95A9D" w:rsidRDefault="0034543A" w:rsidP="005A766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Cs w:val="20"/>
                <w:lang w:eastAsia="fr-FR" w:bidi="ar-SA"/>
              </w:rPr>
            </w:pPr>
            <w:r w:rsidRPr="00B95A9D">
              <w:rPr>
                <w:rFonts w:asciiTheme="minorHAnsi" w:hAnsiTheme="minorHAnsi" w:cstheme="minorHAnsi"/>
                <w:b/>
                <w:bCs/>
                <w:szCs w:val="20"/>
              </w:rPr>
              <w:t>Importance de l’impact</w:t>
            </w:r>
          </w:p>
        </w:tc>
      </w:tr>
      <w:tr w:rsidR="0034543A" w:rsidRPr="00B95A9D" w14:paraId="29C3C86B" w14:textId="77777777" w:rsidTr="005A7661">
        <w:tc>
          <w:tcPr>
            <w:cnfStyle w:val="001000000000" w:firstRow="0" w:lastRow="0" w:firstColumn="1" w:lastColumn="0" w:oddVBand="0" w:evenVBand="0" w:oddHBand="0" w:evenHBand="0" w:firstRowFirstColumn="0" w:firstRowLastColumn="0" w:lastRowFirstColumn="0" w:lastRowLastColumn="0"/>
            <w:tcW w:w="792" w:type="dxa"/>
            <w:vMerge/>
          </w:tcPr>
          <w:p w14:paraId="60808475" w14:textId="77777777" w:rsidR="0034543A" w:rsidRPr="00B95A9D" w:rsidRDefault="0034543A" w:rsidP="005A7661">
            <w:pPr>
              <w:rPr>
                <w:rFonts w:asciiTheme="minorHAnsi" w:hAnsiTheme="minorHAnsi" w:cstheme="minorHAnsi"/>
                <w:szCs w:val="20"/>
                <w:lang w:eastAsia="fr-FR" w:bidi="ar-SA"/>
              </w:rPr>
            </w:pPr>
          </w:p>
        </w:tc>
        <w:tc>
          <w:tcPr>
            <w:tcW w:w="2747" w:type="dxa"/>
            <w:vAlign w:val="center"/>
          </w:tcPr>
          <w:p w14:paraId="3D667357" w14:textId="448DC085" w:rsidR="0034543A" w:rsidRPr="00B95A9D" w:rsidRDefault="00950710" w:rsidP="005A766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Pr>
                <w:rFonts w:asciiTheme="minorHAnsi" w:hAnsiTheme="minorHAnsi" w:cstheme="minorHAnsi"/>
                <w:szCs w:val="20"/>
                <w:lang w:eastAsia="fr-FR" w:bidi="ar-SA"/>
              </w:rPr>
              <w:t>Faible</w:t>
            </w:r>
          </w:p>
        </w:tc>
        <w:tc>
          <w:tcPr>
            <w:tcW w:w="1843" w:type="dxa"/>
            <w:vAlign w:val="center"/>
          </w:tcPr>
          <w:p w14:paraId="1E63AD98" w14:textId="06BA7AA3" w:rsidR="0034543A" w:rsidRPr="004637C7" w:rsidRDefault="00950710" w:rsidP="005A766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sidRPr="004637C7">
              <w:rPr>
                <w:rFonts w:asciiTheme="minorHAnsi" w:hAnsiTheme="minorHAnsi" w:cstheme="minorHAnsi"/>
                <w:szCs w:val="20"/>
                <w:lang w:eastAsia="fr-FR" w:bidi="ar-SA"/>
              </w:rPr>
              <w:t>Flore rudérale (espèces communes et pionnières)</w:t>
            </w:r>
          </w:p>
        </w:tc>
        <w:tc>
          <w:tcPr>
            <w:tcW w:w="2436" w:type="dxa"/>
            <w:vAlign w:val="center"/>
          </w:tcPr>
          <w:p w14:paraId="710763A7" w14:textId="4E99B4E1" w:rsidR="0034543A" w:rsidRPr="00B95A9D" w:rsidRDefault="00950710" w:rsidP="005A766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Pr>
                <w:rFonts w:asciiTheme="minorHAnsi" w:hAnsiTheme="minorHAnsi" w:cstheme="minorHAnsi"/>
                <w:szCs w:val="20"/>
                <w:lang w:eastAsia="fr-FR" w:bidi="ar-SA"/>
              </w:rPr>
              <w:t>Faible</w:t>
            </w:r>
          </w:p>
        </w:tc>
        <w:tc>
          <w:tcPr>
            <w:tcW w:w="1242" w:type="dxa"/>
            <w:vAlign w:val="center"/>
          </w:tcPr>
          <w:p w14:paraId="4386E9CA" w14:textId="60D8E8C9" w:rsidR="0034543A" w:rsidRPr="00B95A9D" w:rsidRDefault="00950710" w:rsidP="005A766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Cs w:val="20"/>
                <w:lang w:eastAsia="fr-FR" w:bidi="ar-SA"/>
              </w:rPr>
            </w:pPr>
            <w:r>
              <w:rPr>
                <w:rFonts w:asciiTheme="minorHAnsi" w:hAnsiTheme="minorHAnsi" w:cstheme="minorHAnsi"/>
                <w:b/>
                <w:bCs/>
                <w:szCs w:val="20"/>
                <w:lang w:eastAsia="fr-FR" w:bidi="ar-SA"/>
              </w:rPr>
              <w:t>Négligeable</w:t>
            </w:r>
          </w:p>
        </w:tc>
      </w:tr>
    </w:tbl>
    <w:p w14:paraId="1AECFF58" w14:textId="520B59C0" w:rsidR="00A82E71" w:rsidRPr="004637C7" w:rsidRDefault="00A82E71" w:rsidP="0001633E">
      <w:pPr>
        <w:pStyle w:val="AltTitle2"/>
        <w:numPr>
          <w:ilvl w:val="0"/>
          <w:numId w:val="106"/>
        </w:numPr>
        <w:rPr>
          <w:b w:val="0"/>
        </w:rPr>
      </w:pPr>
      <w:r>
        <w:t>Perturbation temporaire de la faune terrestre et aviaire</w:t>
      </w:r>
    </w:p>
    <w:p w14:paraId="0CDDD0E1" w14:textId="0FCF663E" w:rsidR="00A82E71" w:rsidRDefault="00A82E71" w:rsidP="00C92313">
      <w:r w:rsidRPr="00A82E71">
        <w:t xml:space="preserve">Les travaux de terrassement, la circulation des engins, les vibrations et le bruit généré par les équipements de chantier induiront une </w:t>
      </w:r>
      <w:r w:rsidRPr="004637C7">
        <w:t>perturbation comportementale temporaire</w:t>
      </w:r>
      <w:r w:rsidRPr="00A82E71">
        <w:t xml:space="preserve"> de la petite faune terrestre et aviaire présente dans la zone d’étude. Cette faune, déjà adaptée à l’environnement aéroportuaire, est composée d’espèces </w:t>
      </w:r>
      <w:r w:rsidRPr="004637C7">
        <w:t>communes, ubiquistes et tolérantes</w:t>
      </w:r>
      <w:r w:rsidRPr="00A82E71">
        <w:t xml:space="preserve"> aux activités</w:t>
      </w:r>
      <w:r w:rsidR="00C92313">
        <w:t>.</w:t>
      </w:r>
    </w:p>
    <w:p w14:paraId="34F5DF4D" w14:textId="68F76F5B" w:rsidR="00A82E71" w:rsidRPr="00FF7714" w:rsidRDefault="00A82E71" w:rsidP="00A82E71">
      <w:r w:rsidRPr="00A82E71">
        <w:t xml:space="preserve">Aucune espèce menacée selon la </w:t>
      </w:r>
      <w:r w:rsidRPr="004637C7">
        <w:t>liste rouge de l’UICN</w:t>
      </w:r>
      <w:r w:rsidRPr="00A82E71">
        <w:t xml:space="preserve"> ou considérée comme vulnérable au niveau national n’a été recensée sur le site ou ses abords. Le projet se situe </w:t>
      </w:r>
      <w:r w:rsidRPr="004637C7">
        <w:t>hors des corridors migratoires majeurs</w:t>
      </w:r>
      <w:r w:rsidRPr="00A82E71">
        <w:t xml:space="preserve">. Ainsi, l’extension du parking n’interfère avec </w:t>
      </w:r>
      <w:r w:rsidRPr="004637C7">
        <w:t>aucun habitat critique ni zone de conservation d’importance internationale</w:t>
      </w:r>
      <w:r w:rsidRPr="00FF7714">
        <w:t>.</w:t>
      </w:r>
    </w:p>
    <w:p w14:paraId="429A7164" w14:textId="77777777" w:rsidR="00FF7714" w:rsidRPr="00FF7714" w:rsidRDefault="0079508E" w:rsidP="0079508E">
      <w:r w:rsidRPr="00FF7714">
        <w:t xml:space="preserve">L’impact est </w:t>
      </w:r>
      <w:r w:rsidRPr="004637C7">
        <w:t>de nature négative et directe</w:t>
      </w:r>
      <w:r w:rsidRPr="00FF7714">
        <w:t>, d’</w:t>
      </w:r>
      <w:r w:rsidRPr="004637C7">
        <w:t>étendue locale</w:t>
      </w:r>
      <w:r w:rsidRPr="00FF7714">
        <w:t xml:space="preserve">, limité à la frange est du site. Sa </w:t>
      </w:r>
      <w:r w:rsidRPr="004637C7">
        <w:t>durée</w:t>
      </w:r>
      <w:r w:rsidRPr="00FF7714">
        <w:t xml:space="preserve"> est </w:t>
      </w:r>
      <w:r w:rsidRPr="004637C7">
        <w:t>temporaire</w:t>
      </w:r>
      <w:r w:rsidRPr="00FF7714">
        <w:t xml:space="preserve">, restreinte à la phase de chantier, et sa </w:t>
      </w:r>
      <w:r w:rsidRPr="004637C7">
        <w:t>fréquence</w:t>
      </w:r>
      <w:r w:rsidRPr="00FF7714">
        <w:t xml:space="preserve"> est </w:t>
      </w:r>
      <w:r w:rsidRPr="004637C7">
        <w:t>intermittente</w:t>
      </w:r>
      <w:r w:rsidRPr="00FF7714">
        <w:t xml:space="preserve">, avec des pics liés aux périodes d’activité intensive (terrassements, transport de matériaux). </w:t>
      </w:r>
    </w:p>
    <w:p w14:paraId="5906D611" w14:textId="77777777" w:rsidR="00FF7714" w:rsidRPr="00FF7714" w:rsidRDefault="0079508E" w:rsidP="0079508E">
      <w:r w:rsidRPr="00FF7714">
        <w:t>L’</w:t>
      </w:r>
      <w:r w:rsidRPr="004637C7">
        <w:t>intensité</w:t>
      </w:r>
      <w:r w:rsidRPr="00FF7714">
        <w:t xml:space="preserve"> de la perturbation est </w:t>
      </w:r>
      <w:r w:rsidRPr="004637C7">
        <w:t>faible</w:t>
      </w:r>
      <w:r w:rsidRPr="00FF7714">
        <w:t xml:space="preserve">, car les nuisances sonores et visuelles sont comparables à celles du fonctionnement normal de l’aéroport. </w:t>
      </w:r>
    </w:p>
    <w:p w14:paraId="4B796146" w14:textId="1D3A1A12" w:rsidR="0079508E" w:rsidRPr="00FF7714" w:rsidRDefault="0079508E" w:rsidP="0079508E">
      <w:r w:rsidRPr="00FF7714">
        <w:t xml:space="preserve">La </w:t>
      </w:r>
      <w:r w:rsidRPr="004637C7">
        <w:t>sensibilité des récepteurs faunistiques</w:t>
      </w:r>
      <w:r w:rsidRPr="00FF7714">
        <w:t xml:space="preserve"> est </w:t>
      </w:r>
      <w:r w:rsidRPr="004637C7">
        <w:t>faible à moyenne</w:t>
      </w:r>
      <w:r w:rsidRPr="00FF7714">
        <w:t>, les espèces concernées présentant une grande plasticité comportementale.</w:t>
      </w:r>
    </w:p>
    <w:p w14:paraId="0A95A6DB" w14:textId="2E025DC1" w:rsidR="0079508E" w:rsidRDefault="0079508E" w:rsidP="0079508E">
      <w:r w:rsidRPr="00FF7714">
        <w:t xml:space="preserve">La combinaison d’une </w:t>
      </w:r>
      <w:r w:rsidRPr="004637C7">
        <w:t>intensité faible</w:t>
      </w:r>
      <w:r w:rsidRPr="00FF7714">
        <w:t xml:space="preserve"> et d’une </w:t>
      </w:r>
      <w:r w:rsidRPr="004637C7">
        <w:t>sensibilité faible à moyenne</w:t>
      </w:r>
      <w:r w:rsidRPr="00FF7714">
        <w:t xml:space="preserve"> conduit à un </w:t>
      </w:r>
      <w:r w:rsidRPr="004637C7">
        <w:t xml:space="preserve">impact d’importance </w:t>
      </w:r>
      <w:r w:rsidR="00FF7714" w:rsidRPr="004637C7">
        <w:t>mineure</w:t>
      </w:r>
      <w:r w:rsidRPr="00FF7714">
        <w:t xml:space="preserve">. Cet effet est </w:t>
      </w:r>
      <w:r w:rsidRPr="004637C7">
        <w:t>temporaire, localisé et entièrement réversible</w:t>
      </w:r>
      <w:r w:rsidRPr="00FF7714">
        <w:t xml:space="preserve"> dès la fin des travaux, les animaux recolonisant rapidement les espaces périphériques une fois les activités humaines réduites.</w:t>
      </w:r>
    </w:p>
    <w:tbl>
      <w:tblPr>
        <w:tblStyle w:val="TableauGrille1Clair-Accentuation111"/>
        <w:tblW w:w="0" w:type="auto"/>
        <w:tblLayout w:type="fixed"/>
        <w:tblLook w:val="04A0" w:firstRow="1" w:lastRow="0" w:firstColumn="1" w:lastColumn="0" w:noHBand="0" w:noVBand="1"/>
      </w:tblPr>
      <w:tblGrid>
        <w:gridCol w:w="792"/>
        <w:gridCol w:w="2747"/>
        <w:gridCol w:w="1843"/>
        <w:gridCol w:w="2436"/>
        <w:gridCol w:w="1242"/>
      </w:tblGrid>
      <w:tr w:rsidR="0034543A" w:rsidRPr="00B95A9D" w14:paraId="038F3B4F" w14:textId="77777777" w:rsidTr="005A766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2" w:type="dxa"/>
            <w:hideMark/>
          </w:tcPr>
          <w:p w14:paraId="604B28CF" w14:textId="77777777" w:rsidR="0034543A" w:rsidRPr="00B95A9D" w:rsidRDefault="0034543A" w:rsidP="005A7661">
            <w:pPr>
              <w:rPr>
                <w:rFonts w:asciiTheme="minorHAnsi" w:hAnsiTheme="minorHAnsi" w:cstheme="minorHAnsi"/>
                <w:szCs w:val="20"/>
                <w:lang w:eastAsia="fr-FR" w:bidi="ar-SA"/>
              </w:rPr>
            </w:pPr>
            <w:r w:rsidRPr="00B95A9D">
              <w:rPr>
                <w:rFonts w:asciiTheme="minorHAnsi" w:hAnsiTheme="minorHAnsi" w:cstheme="minorHAnsi"/>
                <w:szCs w:val="20"/>
                <w:lang w:eastAsia="fr-FR" w:bidi="ar-SA"/>
              </w:rPr>
              <w:t>Impact</w:t>
            </w:r>
          </w:p>
        </w:tc>
        <w:tc>
          <w:tcPr>
            <w:tcW w:w="2747" w:type="dxa"/>
            <w:hideMark/>
          </w:tcPr>
          <w:p w14:paraId="3E696624" w14:textId="77777777" w:rsidR="0034543A" w:rsidRPr="00B95A9D" w:rsidRDefault="0034543A" w:rsidP="005A7661">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sidRPr="00B95A9D">
              <w:rPr>
                <w:rFonts w:asciiTheme="minorHAnsi" w:hAnsiTheme="minorHAnsi" w:cstheme="minorHAnsi"/>
                <w:szCs w:val="20"/>
                <w:lang w:eastAsia="fr-FR" w:bidi="ar-SA"/>
              </w:rPr>
              <w:t>Activités génératrices</w:t>
            </w:r>
          </w:p>
        </w:tc>
        <w:tc>
          <w:tcPr>
            <w:tcW w:w="1843" w:type="dxa"/>
            <w:hideMark/>
          </w:tcPr>
          <w:p w14:paraId="6C803DDB" w14:textId="77777777" w:rsidR="0034543A" w:rsidRPr="00B95A9D" w:rsidRDefault="0034543A" w:rsidP="005A7661">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sidRPr="00B95A9D">
              <w:rPr>
                <w:rFonts w:asciiTheme="minorHAnsi" w:hAnsiTheme="minorHAnsi" w:cstheme="minorHAnsi"/>
                <w:szCs w:val="20"/>
                <w:lang w:eastAsia="fr-FR" w:bidi="ar-SA"/>
              </w:rPr>
              <w:t>Critère</w:t>
            </w:r>
          </w:p>
        </w:tc>
        <w:tc>
          <w:tcPr>
            <w:tcW w:w="2436" w:type="dxa"/>
            <w:hideMark/>
          </w:tcPr>
          <w:p w14:paraId="0ED1DF0A" w14:textId="77777777" w:rsidR="0034543A" w:rsidRPr="00B95A9D" w:rsidRDefault="0034543A" w:rsidP="005A7661">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sidRPr="00B95A9D">
              <w:rPr>
                <w:rFonts w:asciiTheme="minorHAnsi" w:hAnsiTheme="minorHAnsi" w:cstheme="minorHAnsi"/>
                <w:szCs w:val="20"/>
                <w:lang w:eastAsia="fr-FR" w:bidi="ar-SA"/>
              </w:rPr>
              <w:t>Justification</w:t>
            </w:r>
          </w:p>
        </w:tc>
        <w:tc>
          <w:tcPr>
            <w:tcW w:w="1242" w:type="dxa"/>
            <w:hideMark/>
          </w:tcPr>
          <w:p w14:paraId="24664C70" w14:textId="77777777" w:rsidR="0034543A" w:rsidRPr="00B95A9D" w:rsidRDefault="0034543A" w:rsidP="005A7661">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sidRPr="00B95A9D">
              <w:rPr>
                <w:rFonts w:asciiTheme="minorHAnsi" w:hAnsiTheme="minorHAnsi" w:cstheme="minorHAnsi"/>
                <w:szCs w:val="20"/>
                <w:lang w:eastAsia="fr-FR" w:bidi="ar-SA"/>
              </w:rPr>
              <w:t>Niveau</w:t>
            </w:r>
          </w:p>
        </w:tc>
      </w:tr>
      <w:tr w:rsidR="002237B6" w:rsidRPr="00B95A9D" w14:paraId="7878BF01" w14:textId="77777777" w:rsidTr="005A7661">
        <w:tc>
          <w:tcPr>
            <w:cnfStyle w:val="001000000000" w:firstRow="0" w:lastRow="0" w:firstColumn="1" w:lastColumn="0" w:oddVBand="0" w:evenVBand="0" w:oddHBand="0" w:evenHBand="0" w:firstRowFirstColumn="0" w:firstRowLastColumn="0" w:lastRowFirstColumn="0" w:lastRowLastColumn="0"/>
            <w:tcW w:w="792" w:type="dxa"/>
            <w:vMerge w:val="restart"/>
            <w:textDirection w:val="btLr"/>
            <w:vAlign w:val="center"/>
          </w:tcPr>
          <w:p w14:paraId="28E2F847" w14:textId="4DF2B80A" w:rsidR="002237B6" w:rsidRPr="00B95A9D" w:rsidRDefault="002237B6" w:rsidP="005A7661">
            <w:pPr>
              <w:ind w:left="113" w:right="113"/>
              <w:jc w:val="center"/>
              <w:rPr>
                <w:rFonts w:asciiTheme="minorHAnsi" w:hAnsiTheme="minorHAnsi" w:cstheme="minorHAnsi"/>
                <w:szCs w:val="20"/>
                <w:lang w:eastAsia="fr-FR" w:bidi="ar-SA"/>
              </w:rPr>
            </w:pPr>
            <w:r w:rsidRPr="00950710">
              <w:rPr>
                <w:rFonts w:asciiTheme="minorHAnsi" w:hAnsiTheme="minorHAnsi" w:cstheme="minorHAnsi"/>
                <w:szCs w:val="20"/>
                <w:lang w:eastAsia="fr-FR" w:bidi="ar-SA"/>
              </w:rPr>
              <w:t>Perturbation temporaire de la faune terrestre et aviaire</w:t>
            </w:r>
          </w:p>
        </w:tc>
        <w:tc>
          <w:tcPr>
            <w:tcW w:w="2747" w:type="dxa"/>
            <w:vMerge w:val="restart"/>
          </w:tcPr>
          <w:p w14:paraId="265B8693" w14:textId="715FC863" w:rsidR="002237B6" w:rsidRPr="00B95A9D" w:rsidRDefault="002237B6" w:rsidP="005A766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sidRPr="00950710">
              <w:rPr>
                <w:rFonts w:asciiTheme="minorHAnsi" w:hAnsiTheme="minorHAnsi" w:cstheme="minorHAnsi"/>
                <w:szCs w:val="20"/>
                <w:lang w:eastAsia="fr-FR" w:bidi="ar-SA"/>
              </w:rPr>
              <w:t>Travaux de terrassement, circulation d’engins, émissions sonores, vibrations, présence humaine</w:t>
            </w:r>
          </w:p>
        </w:tc>
        <w:tc>
          <w:tcPr>
            <w:tcW w:w="1843" w:type="dxa"/>
            <w:hideMark/>
          </w:tcPr>
          <w:p w14:paraId="20467385" w14:textId="77777777" w:rsidR="002237B6" w:rsidRPr="00B95A9D" w:rsidRDefault="002237B6" w:rsidP="005A766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Cs w:val="20"/>
                <w:lang w:eastAsia="fr-FR" w:bidi="ar-SA"/>
              </w:rPr>
            </w:pPr>
            <w:r w:rsidRPr="00B95A9D">
              <w:rPr>
                <w:rFonts w:asciiTheme="minorHAnsi" w:hAnsiTheme="minorHAnsi" w:cstheme="minorHAnsi"/>
                <w:b/>
                <w:bCs/>
                <w:szCs w:val="20"/>
                <w:lang w:eastAsia="fr-FR" w:bidi="ar-SA"/>
              </w:rPr>
              <w:t>Nature</w:t>
            </w:r>
          </w:p>
        </w:tc>
        <w:tc>
          <w:tcPr>
            <w:tcW w:w="3678" w:type="dxa"/>
            <w:gridSpan w:val="2"/>
          </w:tcPr>
          <w:p w14:paraId="49CA7F0C" w14:textId="77777777" w:rsidR="002237B6" w:rsidRPr="00B95A9D" w:rsidRDefault="002237B6" w:rsidP="005A766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Pr>
                <w:rFonts w:asciiTheme="minorHAnsi" w:hAnsiTheme="minorHAnsi" w:cstheme="minorHAnsi"/>
                <w:szCs w:val="20"/>
                <w:lang w:eastAsia="fr-FR" w:bidi="ar-SA"/>
              </w:rPr>
              <w:t>Direct négatif</w:t>
            </w:r>
          </w:p>
        </w:tc>
      </w:tr>
      <w:tr w:rsidR="002237B6" w:rsidRPr="00B95A9D" w14:paraId="68D2B7F5" w14:textId="77777777" w:rsidTr="005A7661">
        <w:tc>
          <w:tcPr>
            <w:cnfStyle w:val="001000000000" w:firstRow="0" w:lastRow="0" w:firstColumn="1" w:lastColumn="0" w:oddVBand="0" w:evenVBand="0" w:oddHBand="0" w:evenHBand="0" w:firstRowFirstColumn="0" w:firstRowLastColumn="0" w:lastRowFirstColumn="0" w:lastRowLastColumn="0"/>
            <w:tcW w:w="792" w:type="dxa"/>
            <w:vMerge/>
            <w:hideMark/>
          </w:tcPr>
          <w:p w14:paraId="4B448CCA" w14:textId="77777777" w:rsidR="002237B6" w:rsidRPr="00B95A9D" w:rsidRDefault="002237B6" w:rsidP="00950710">
            <w:pPr>
              <w:rPr>
                <w:rFonts w:asciiTheme="minorHAnsi" w:hAnsiTheme="minorHAnsi" w:cstheme="minorHAnsi"/>
                <w:szCs w:val="20"/>
                <w:lang w:eastAsia="fr-FR" w:bidi="ar-SA"/>
              </w:rPr>
            </w:pPr>
          </w:p>
        </w:tc>
        <w:tc>
          <w:tcPr>
            <w:tcW w:w="2747" w:type="dxa"/>
            <w:vMerge/>
            <w:hideMark/>
          </w:tcPr>
          <w:p w14:paraId="1FD9EBF0" w14:textId="77777777" w:rsidR="002237B6" w:rsidRPr="00B95A9D" w:rsidRDefault="002237B6" w:rsidP="00950710">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p>
        </w:tc>
        <w:tc>
          <w:tcPr>
            <w:tcW w:w="1843" w:type="dxa"/>
            <w:hideMark/>
          </w:tcPr>
          <w:p w14:paraId="063D25C4" w14:textId="77777777" w:rsidR="002237B6" w:rsidRPr="00B95A9D" w:rsidRDefault="002237B6" w:rsidP="00950710">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Cs w:val="20"/>
                <w:lang w:eastAsia="fr-FR" w:bidi="ar-SA"/>
              </w:rPr>
            </w:pPr>
            <w:r w:rsidRPr="00B95A9D">
              <w:rPr>
                <w:rFonts w:asciiTheme="minorHAnsi" w:hAnsiTheme="minorHAnsi" w:cstheme="minorHAnsi"/>
                <w:b/>
                <w:bCs/>
                <w:szCs w:val="20"/>
                <w:lang w:eastAsia="fr-FR" w:bidi="ar-SA"/>
              </w:rPr>
              <w:t>Étendue</w:t>
            </w:r>
          </w:p>
        </w:tc>
        <w:tc>
          <w:tcPr>
            <w:tcW w:w="2436" w:type="dxa"/>
          </w:tcPr>
          <w:p w14:paraId="72DE7FEE" w14:textId="5D80BE13" w:rsidR="002237B6" w:rsidRPr="00B95A9D" w:rsidRDefault="002237B6" w:rsidP="00950710">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sidRPr="005650CC">
              <w:rPr>
                <w:rFonts w:asciiTheme="minorHAnsi" w:hAnsiTheme="minorHAnsi" w:cstheme="minorHAnsi"/>
                <w:szCs w:val="20"/>
                <w:lang w:eastAsia="fr-FR" w:bidi="ar-SA"/>
              </w:rPr>
              <w:t>Locale, limitée à la frange est du site et aux abords immédiats de l’aéroport.</w:t>
            </w:r>
          </w:p>
        </w:tc>
        <w:tc>
          <w:tcPr>
            <w:tcW w:w="1242" w:type="dxa"/>
          </w:tcPr>
          <w:p w14:paraId="5CDEC259" w14:textId="7999489E" w:rsidR="002237B6" w:rsidRPr="00B95A9D" w:rsidRDefault="002237B6" w:rsidP="00950710">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Cs w:val="20"/>
                <w:lang w:eastAsia="fr-FR" w:bidi="ar-SA"/>
              </w:rPr>
            </w:pPr>
            <w:r>
              <w:rPr>
                <w:rFonts w:asciiTheme="minorHAnsi" w:hAnsiTheme="minorHAnsi" w:cstheme="minorHAnsi"/>
                <w:b/>
                <w:bCs/>
                <w:szCs w:val="20"/>
                <w:lang w:eastAsia="fr-FR" w:bidi="ar-SA"/>
              </w:rPr>
              <w:t>Locale</w:t>
            </w:r>
          </w:p>
        </w:tc>
      </w:tr>
      <w:tr w:rsidR="002237B6" w:rsidRPr="00B95A9D" w14:paraId="05BBD32B" w14:textId="77777777" w:rsidTr="005A7661">
        <w:tc>
          <w:tcPr>
            <w:cnfStyle w:val="001000000000" w:firstRow="0" w:lastRow="0" w:firstColumn="1" w:lastColumn="0" w:oddVBand="0" w:evenVBand="0" w:oddHBand="0" w:evenHBand="0" w:firstRowFirstColumn="0" w:firstRowLastColumn="0" w:lastRowFirstColumn="0" w:lastRowLastColumn="0"/>
            <w:tcW w:w="792" w:type="dxa"/>
            <w:vMerge/>
            <w:hideMark/>
          </w:tcPr>
          <w:p w14:paraId="76E813DB" w14:textId="77777777" w:rsidR="002237B6" w:rsidRPr="00B95A9D" w:rsidRDefault="002237B6" w:rsidP="00950710">
            <w:pPr>
              <w:rPr>
                <w:rFonts w:asciiTheme="minorHAnsi" w:hAnsiTheme="minorHAnsi" w:cstheme="minorHAnsi"/>
                <w:szCs w:val="20"/>
                <w:lang w:eastAsia="fr-FR" w:bidi="ar-SA"/>
              </w:rPr>
            </w:pPr>
          </w:p>
        </w:tc>
        <w:tc>
          <w:tcPr>
            <w:tcW w:w="2747" w:type="dxa"/>
            <w:vMerge/>
            <w:hideMark/>
          </w:tcPr>
          <w:p w14:paraId="404EC14E" w14:textId="77777777" w:rsidR="002237B6" w:rsidRPr="00B95A9D" w:rsidRDefault="002237B6" w:rsidP="00950710">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p>
        </w:tc>
        <w:tc>
          <w:tcPr>
            <w:tcW w:w="1843" w:type="dxa"/>
            <w:hideMark/>
          </w:tcPr>
          <w:p w14:paraId="285A93D8" w14:textId="77777777" w:rsidR="002237B6" w:rsidRPr="00B95A9D" w:rsidRDefault="002237B6" w:rsidP="00950710">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Cs w:val="20"/>
                <w:lang w:eastAsia="fr-FR" w:bidi="ar-SA"/>
              </w:rPr>
            </w:pPr>
            <w:r w:rsidRPr="00B95A9D">
              <w:rPr>
                <w:rFonts w:asciiTheme="minorHAnsi" w:hAnsiTheme="minorHAnsi" w:cstheme="minorHAnsi"/>
                <w:b/>
                <w:bCs/>
                <w:szCs w:val="20"/>
                <w:lang w:eastAsia="fr-FR" w:bidi="ar-SA"/>
              </w:rPr>
              <w:t>Durée</w:t>
            </w:r>
          </w:p>
        </w:tc>
        <w:tc>
          <w:tcPr>
            <w:tcW w:w="2436" w:type="dxa"/>
          </w:tcPr>
          <w:p w14:paraId="35E69C63" w14:textId="10BCAAD3" w:rsidR="002237B6" w:rsidRPr="00B95A9D" w:rsidRDefault="002237B6" w:rsidP="00950710">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sidRPr="005650CC">
              <w:rPr>
                <w:rFonts w:asciiTheme="minorHAnsi" w:hAnsiTheme="minorHAnsi" w:cstheme="minorHAnsi"/>
                <w:szCs w:val="20"/>
                <w:lang w:eastAsia="fr-FR" w:bidi="ar-SA"/>
              </w:rPr>
              <w:t>Temporaire, restreinte à la période de chantier.</w:t>
            </w:r>
          </w:p>
        </w:tc>
        <w:tc>
          <w:tcPr>
            <w:tcW w:w="1242" w:type="dxa"/>
          </w:tcPr>
          <w:p w14:paraId="6B0A506A" w14:textId="0883BF6D" w:rsidR="002237B6" w:rsidRPr="00B95A9D" w:rsidRDefault="002237B6" w:rsidP="00950710">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Cs w:val="20"/>
                <w:lang w:eastAsia="fr-FR" w:bidi="ar-SA"/>
              </w:rPr>
            </w:pPr>
            <w:r>
              <w:rPr>
                <w:rFonts w:asciiTheme="minorHAnsi" w:hAnsiTheme="minorHAnsi" w:cstheme="minorHAnsi"/>
                <w:b/>
                <w:bCs/>
                <w:szCs w:val="20"/>
                <w:lang w:eastAsia="fr-FR" w:bidi="ar-SA"/>
              </w:rPr>
              <w:t>Court terme (temporaire)</w:t>
            </w:r>
          </w:p>
        </w:tc>
      </w:tr>
      <w:tr w:rsidR="002237B6" w:rsidRPr="00B95A9D" w14:paraId="389C20CE" w14:textId="77777777" w:rsidTr="005A7661">
        <w:tc>
          <w:tcPr>
            <w:cnfStyle w:val="001000000000" w:firstRow="0" w:lastRow="0" w:firstColumn="1" w:lastColumn="0" w:oddVBand="0" w:evenVBand="0" w:oddHBand="0" w:evenHBand="0" w:firstRowFirstColumn="0" w:firstRowLastColumn="0" w:lastRowFirstColumn="0" w:lastRowLastColumn="0"/>
            <w:tcW w:w="792" w:type="dxa"/>
            <w:vMerge/>
            <w:hideMark/>
          </w:tcPr>
          <w:p w14:paraId="11A0D863" w14:textId="77777777" w:rsidR="002237B6" w:rsidRPr="00B95A9D" w:rsidRDefault="002237B6" w:rsidP="00950710">
            <w:pPr>
              <w:rPr>
                <w:rFonts w:asciiTheme="minorHAnsi" w:hAnsiTheme="minorHAnsi" w:cstheme="minorHAnsi"/>
                <w:szCs w:val="20"/>
                <w:lang w:eastAsia="fr-FR" w:bidi="ar-SA"/>
              </w:rPr>
            </w:pPr>
          </w:p>
        </w:tc>
        <w:tc>
          <w:tcPr>
            <w:tcW w:w="2747" w:type="dxa"/>
            <w:vMerge/>
            <w:hideMark/>
          </w:tcPr>
          <w:p w14:paraId="629A178B" w14:textId="77777777" w:rsidR="002237B6" w:rsidRPr="00B95A9D" w:rsidRDefault="002237B6" w:rsidP="00950710">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p>
        </w:tc>
        <w:tc>
          <w:tcPr>
            <w:tcW w:w="1843" w:type="dxa"/>
            <w:hideMark/>
          </w:tcPr>
          <w:p w14:paraId="4C861792" w14:textId="77777777" w:rsidR="002237B6" w:rsidRPr="00B95A9D" w:rsidRDefault="002237B6" w:rsidP="00950710">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Cs w:val="20"/>
                <w:lang w:eastAsia="fr-FR" w:bidi="ar-SA"/>
              </w:rPr>
            </w:pPr>
            <w:r w:rsidRPr="00B95A9D">
              <w:rPr>
                <w:rFonts w:asciiTheme="minorHAnsi" w:hAnsiTheme="minorHAnsi" w:cstheme="minorHAnsi"/>
                <w:b/>
                <w:bCs/>
                <w:szCs w:val="20"/>
                <w:lang w:eastAsia="fr-FR" w:bidi="ar-SA"/>
              </w:rPr>
              <w:t>Fréquence</w:t>
            </w:r>
          </w:p>
        </w:tc>
        <w:tc>
          <w:tcPr>
            <w:tcW w:w="2436" w:type="dxa"/>
          </w:tcPr>
          <w:p w14:paraId="4F432157" w14:textId="6A61A8D2" w:rsidR="002237B6" w:rsidRPr="00911A3C" w:rsidRDefault="002237B6" w:rsidP="00950710">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sidRPr="005650CC">
              <w:rPr>
                <w:rFonts w:asciiTheme="minorHAnsi" w:hAnsiTheme="minorHAnsi" w:cstheme="minorHAnsi"/>
                <w:szCs w:val="20"/>
                <w:lang w:eastAsia="fr-FR" w:bidi="ar-SA"/>
              </w:rPr>
              <w:t>Intermittente, avec pics liés aux phases d’activité intense (terrassements, transport).</w:t>
            </w:r>
          </w:p>
        </w:tc>
        <w:tc>
          <w:tcPr>
            <w:tcW w:w="1242" w:type="dxa"/>
          </w:tcPr>
          <w:p w14:paraId="5D62F69F" w14:textId="37FE9887" w:rsidR="002237B6" w:rsidRPr="00B95A9D" w:rsidRDefault="002237B6" w:rsidP="00950710">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Cs w:val="20"/>
                <w:lang w:eastAsia="fr-FR" w:bidi="ar-SA"/>
              </w:rPr>
            </w:pPr>
            <w:r>
              <w:rPr>
                <w:rFonts w:asciiTheme="minorHAnsi" w:hAnsiTheme="minorHAnsi" w:cstheme="minorHAnsi"/>
                <w:b/>
                <w:bCs/>
                <w:szCs w:val="20"/>
                <w:lang w:eastAsia="fr-FR" w:bidi="ar-SA"/>
              </w:rPr>
              <w:t>Intermittente</w:t>
            </w:r>
          </w:p>
        </w:tc>
      </w:tr>
      <w:tr w:rsidR="002237B6" w:rsidRPr="00B95A9D" w14:paraId="4B6FB5FF" w14:textId="77777777" w:rsidTr="005A7661">
        <w:tc>
          <w:tcPr>
            <w:cnfStyle w:val="001000000000" w:firstRow="0" w:lastRow="0" w:firstColumn="1" w:lastColumn="0" w:oddVBand="0" w:evenVBand="0" w:oddHBand="0" w:evenHBand="0" w:firstRowFirstColumn="0" w:firstRowLastColumn="0" w:lastRowFirstColumn="0" w:lastRowLastColumn="0"/>
            <w:tcW w:w="792" w:type="dxa"/>
            <w:vMerge/>
            <w:hideMark/>
          </w:tcPr>
          <w:p w14:paraId="58A36004" w14:textId="77777777" w:rsidR="002237B6" w:rsidRPr="00B95A9D" w:rsidRDefault="002237B6" w:rsidP="00950710">
            <w:pPr>
              <w:rPr>
                <w:rFonts w:asciiTheme="minorHAnsi" w:hAnsiTheme="minorHAnsi" w:cstheme="minorHAnsi"/>
                <w:szCs w:val="20"/>
                <w:lang w:eastAsia="fr-FR" w:bidi="ar-SA"/>
              </w:rPr>
            </w:pPr>
          </w:p>
        </w:tc>
        <w:tc>
          <w:tcPr>
            <w:tcW w:w="2747" w:type="dxa"/>
            <w:vMerge/>
            <w:hideMark/>
          </w:tcPr>
          <w:p w14:paraId="0EA769D9" w14:textId="77777777" w:rsidR="002237B6" w:rsidRPr="00B95A9D" w:rsidRDefault="002237B6" w:rsidP="00950710">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p>
        </w:tc>
        <w:tc>
          <w:tcPr>
            <w:tcW w:w="1843" w:type="dxa"/>
            <w:shd w:val="clear" w:color="auto" w:fill="D9E2F3"/>
            <w:hideMark/>
          </w:tcPr>
          <w:p w14:paraId="47946EFE" w14:textId="77777777" w:rsidR="002237B6" w:rsidRPr="00B95A9D" w:rsidRDefault="002237B6" w:rsidP="00950710">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Cs w:val="20"/>
                <w:lang w:eastAsia="fr-FR" w:bidi="ar-SA"/>
              </w:rPr>
            </w:pPr>
            <w:r w:rsidRPr="00B95A9D">
              <w:rPr>
                <w:rFonts w:asciiTheme="minorHAnsi" w:hAnsiTheme="minorHAnsi" w:cstheme="minorHAnsi"/>
                <w:b/>
                <w:bCs/>
                <w:szCs w:val="20"/>
                <w:lang w:eastAsia="fr-FR" w:bidi="ar-SA"/>
              </w:rPr>
              <w:t>Intensité</w:t>
            </w:r>
          </w:p>
        </w:tc>
        <w:tc>
          <w:tcPr>
            <w:tcW w:w="2436" w:type="dxa"/>
            <w:shd w:val="clear" w:color="auto" w:fill="D9E2F3"/>
          </w:tcPr>
          <w:p w14:paraId="2472D2DA" w14:textId="2F9CB467" w:rsidR="002237B6" w:rsidRPr="00B95A9D" w:rsidRDefault="002237B6" w:rsidP="00950710">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sidRPr="005650CC">
              <w:rPr>
                <w:rFonts w:asciiTheme="minorHAnsi" w:hAnsiTheme="minorHAnsi" w:cstheme="minorHAnsi"/>
                <w:szCs w:val="20"/>
                <w:lang w:eastAsia="fr-FR" w:bidi="ar-SA"/>
              </w:rPr>
              <w:t>Faible, comparable aux nuisances déjà présentes dans le milieu aéroportuaire.</w:t>
            </w:r>
          </w:p>
        </w:tc>
        <w:tc>
          <w:tcPr>
            <w:tcW w:w="1242" w:type="dxa"/>
            <w:shd w:val="clear" w:color="auto" w:fill="D9E2F3"/>
          </w:tcPr>
          <w:p w14:paraId="640FC119" w14:textId="38886506" w:rsidR="002237B6" w:rsidRPr="00B95A9D" w:rsidRDefault="002237B6" w:rsidP="00950710">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Cs w:val="20"/>
                <w:lang w:eastAsia="fr-FR" w:bidi="ar-SA"/>
              </w:rPr>
            </w:pPr>
            <w:r>
              <w:rPr>
                <w:rFonts w:asciiTheme="minorHAnsi" w:hAnsiTheme="minorHAnsi" w:cstheme="minorHAnsi"/>
                <w:b/>
                <w:bCs/>
                <w:szCs w:val="20"/>
                <w:lang w:eastAsia="fr-FR" w:bidi="ar-SA"/>
              </w:rPr>
              <w:t>Faible</w:t>
            </w:r>
          </w:p>
        </w:tc>
      </w:tr>
      <w:tr w:rsidR="002237B6" w:rsidRPr="00B95A9D" w14:paraId="1A4C796A" w14:textId="77777777" w:rsidTr="005A7661">
        <w:tc>
          <w:tcPr>
            <w:cnfStyle w:val="001000000000" w:firstRow="0" w:lastRow="0" w:firstColumn="1" w:lastColumn="0" w:oddVBand="0" w:evenVBand="0" w:oddHBand="0" w:evenHBand="0" w:firstRowFirstColumn="0" w:firstRowLastColumn="0" w:lastRowFirstColumn="0" w:lastRowLastColumn="0"/>
            <w:tcW w:w="792" w:type="dxa"/>
            <w:vMerge/>
          </w:tcPr>
          <w:p w14:paraId="17A5D048" w14:textId="77777777" w:rsidR="002237B6" w:rsidRPr="00B95A9D" w:rsidRDefault="002237B6" w:rsidP="00950710">
            <w:pPr>
              <w:rPr>
                <w:rFonts w:asciiTheme="minorHAnsi" w:hAnsiTheme="minorHAnsi" w:cstheme="minorHAnsi"/>
                <w:szCs w:val="20"/>
                <w:lang w:eastAsia="fr-FR" w:bidi="ar-SA"/>
              </w:rPr>
            </w:pPr>
          </w:p>
        </w:tc>
        <w:tc>
          <w:tcPr>
            <w:tcW w:w="8268" w:type="dxa"/>
            <w:gridSpan w:val="4"/>
          </w:tcPr>
          <w:p w14:paraId="4F340910" w14:textId="77777777" w:rsidR="002237B6" w:rsidRPr="00B95A9D" w:rsidRDefault="002237B6" w:rsidP="00950710">
            <w:pPr>
              <w:spacing w:before="0" w:after="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Cs w:val="20"/>
                <w:lang w:eastAsia="fr-FR" w:bidi="ar-SA"/>
              </w:rPr>
            </w:pPr>
          </w:p>
        </w:tc>
      </w:tr>
      <w:tr w:rsidR="002237B6" w:rsidRPr="00B95A9D" w14:paraId="081F11D3" w14:textId="77777777" w:rsidTr="005A7661">
        <w:tc>
          <w:tcPr>
            <w:cnfStyle w:val="001000000000" w:firstRow="0" w:lastRow="0" w:firstColumn="1" w:lastColumn="0" w:oddVBand="0" w:evenVBand="0" w:oddHBand="0" w:evenHBand="0" w:firstRowFirstColumn="0" w:firstRowLastColumn="0" w:lastRowFirstColumn="0" w:lastRowLastColumn="0"/>
            <w:tcW w:w="792" w:type="dxa"/>
            <w:vMerge/>
          </w:tcPr>
          <w:p w14:paraId="02DA9FBE" w14:textId="77777777" w:rsidR="002237B6" w:rsidRPr="00B95A9D" w:rsidRDefault="002237B6" w:rsidP="00950710">
            <w:pPr>
              <w:rPr>
                <w:rFonts w:asciiTheme="minorHAnsi" w:hAnsiTheme="minorHAnsi" w:cstheme="minorHAnsi"/>
                <w:szCs w:val="20"/>
                <w:lang w:eastAsia="fr-FR" w:bidi="ar-SA"/>
              </w:rPr>
            </w:pPr>
          </w:p>
        </w:tc>
        <w:tc>
          <w:tcPr>
            <w:tcW w:w="2747" w:type="dxa"/>
            <w:shd w:val="clear" w:color="auto" w:fill="B4C6E7" w:themeFill="accent1" w:themeFillTint="66"/>
            <w:vAlign w:val="center"/>
          </w:tcPr>
          <w:p w14:paraId="182EF366" w14:textId="77777777" w:rsidR="002237B6" w:rsidRPr="00B95A9D" w:rsidRDefault="002237B6" w:rsidP="00950710">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sidRPr="00B95A9D">
              <w:rPr>
                <w:rFonts w:asciiTheme="minorHAnsi" w:hAnsiTheme="minorHAnsi" w:cstheme="minorHAnsi"/>
                <w:b/>
                <w:bCs/>
                <w:szCs w:val="20"/>
              </w:rPr>
              <w:t>Intensité de l’impact</w:t>
            </w:r>
          </w:p>
        </w:tc>
        <w:tc>
          <w:tcPr>
            <w:tcW w:w="1843" w:type="dxa"/>
            <w:shd w:val="clear" w:color="auto" w:fill="B4C6E7" w:themeFill="accent1" w:themeFillTint="66"/>
            <w:vAlign w:val="center"/>
          </w:tcPr>
          <w:p w14:paraId="5C3C4C73" w14:textId="77777777" w:rsidR="002237B6" w:rsidRPr="00B95A9D" w:rsidRDefault="002237B6" w:rsidP="00950710">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Cs w:val="20"/>
                <w:lang w:eastAsia="fr-FR" w:bidi="ar-SA"/>
              </w:rPr>
            </w:pPr>
            <w:r w:rsidRPr="00B95A9D">
              <w:rPr>
                <w:rFonts w:asciiTheme="minorHAnsi" w:hAnsiTheme="minorHAnsi" w:cstheme="minorHAnsi"/>
                <w:b/>
                <w:bCs/>
                <w:szCs w:val="20"/>
              </w:rPr>
              <w:t>Récepteurs</w:t>
            </w:r>
          </w:p>
        </w:tc>
        <w:tc>
          <w:tcPr>
            <w:tcW w:w="2436" w:type="dxa"/>
            <w:shd w:val="clear" w:color="auto" w:fill="B4C6E7" w:themeFill="accent1" w:themeFillTint="66"/>
            <w:vAlign w:val="center"/>
          </w:tcPr>
          <w:p w14:paraId="104DB1B2" w14:textId="77777777" w:rsidR="002237B6" w:rsidRPr="00B95A9D" w:rsidRDefault="002237B6" w:rsidP="00950710">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sidRPr="00B95A9D">
              <w:rPr>
                <w:rFonts w:asciiTheme="minorHAnsi" w:hAnsiTheme="minorHAnsi" w:cstheme="minorHAnsi"/>
                <w:b/>
                <w:bCs/>
                <w:szCs w:val="20"/>
              </w:rPr>
              <w:t>Sensibilité</w:t>
            </w:r>
          </w:p>
        </w:tc>
        <w:tc>
          <w:tcPr>
            <w:tcW w:w="1242" w:type="dxa"/>
            <w:shd w:val="clear" w:color="auto" w:fill="B4C6E7" w:themeFill="accent1" w:themeFillTint="66"/>
            <w:vAlign w:val="center"/>
          </w:tcPr>
          <w:p w14:paraId="0FA6ABF2" w14:textId="77777777" w:rsidR="002237B6" w:rsidRPr="00B95A9D" w:rsidRDefault="002237B6" w:rsidP="00950710">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Cs w:val="20"/>
                <w:lang w:eastAsia="fr-FR" w:bidi="ar-SA"/>
              </w:rPr>
            </w:pPr>
            <w:r w:rsidRPr="00B95A9D">
              <w:rPr>
                <w:rFonts w:asciiTheme="minorHAnsi" w:hAnsiTheme="minorHAnsi" w:cstheme="minorHAnsi"/>
                <w:b/>
                <w:bCs/>
                <w:szCs w:val="20"/>
              </w:rPr>
              <w:t>Importance de l’impact</w:t>
            </w:r>
          </w:p>
        </w:tc>
      </w:tr>
      <w:tr w:rsidR="002237B6" w:rsidRPr="00B95A9D" w14:paraId="370FAE97" w14:textId="77777777" w:rsidTr="005A7661">
        <w:tc>
          <w:tcPr>
            <w:cnfStyle w:val="001000000000" w:firstRow="0" w:lastRow="0" w:firstColumn="1" w:lastColumn="0" w:oddVBand="0" w:evenVBand="0" w:oddHBand="0" w:evenHBand="0" w:firstRowFirstColumn="0" w:firstRowLastColumn="0" w:lastRowFirstColumn="0" w:lastRowLastColumn="0"/>
            <w:tcW w:w="792" w:type="dxa"/>
            <w:vMerge/>
          </w:tcPr>
          <w:p w14:paraId="2AFB73E4" w14:textId="77777777" w:rsidR="002237B6" w:rsidRPr="00B95A9D" w:rsidRDefault="002237B6" w:rsidP="00950710">
            <w:pPr>
              <w:rPr>
                <w:rFonts w:asciiTheme="minorHAnsi" w:hAnsiTheme="minorHAnsi" w:cstheme="minorHAnsi"/>
                <w:szCs w:val="20"/>
                <w:lang w:eastAsia="fr-FR" w:bidi="ar-SA"/>
              </w:rPr>
            </w:pPr>
          </w:p>
        </w:tc>
        <w:tc>
          <w:tcPr>
            <w:tcW w:w="2747" w:type="dxa"/>
            <w:vMerge w:val="restart"/>
            <w:vAlign w:val="center"/>
          </w:tcPr>
          <w:p w14:paraId="0B99BA10" w14:textId="020043BE" w:rsidR="002237B6" w:rsidRPr="00B95A9D" w:rsidRDefault="002237B6" w:rsidP="00950710">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Pr>
                <w:rFonts w:asciiTheme="minorHAnsi" w:hAnsiTheme="minorHAnsi" w:cstheme="minorHAnsi"/>
                <w:szCs w:val="20"/>
                <w:lang w:eastAsia="fr-FR" w:bidi="ar-SA"/>
              </w:rPr>
              <w:t>Faible</w:t>
            </w:r>
          </w:p>
        </w:tc>
        <w:tc>
          <w:tcPr>
            <w:tcW w:w="1843" w:type="dxa"/>
            <w:vAlign w:val="center"/>
          </w:tcPr>
          <w:p w14:paraId="2383AF30" w14:textId="7777DB49" w:rsidR="002237B6" w:rsidRPr="004637C7" w:rsidRDefault="002237B6" w:rsidP="00950710">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Pr>
                <w:rFonts w:asciiTheme="minorHAnsi" w:hAnsiTheme="minorHAnsi" w:cstheme="minorHAnsi"/>
                <w:szCs w:val="20"/>
                <w:lang w:eastAsia="fr-FR" w:bidi="ar-SA"/>
              </w:rPr>
              <w:t xml:space="preserve">Avifaune : </w:t>
            </w:r>
            <w:r w:rsidRPr="00725B74">
              <w:rPr>
                <w:rFonts w:asciiTheme="minorHAnsi" w:hAnsiTheme="minorHAnsi" w:cstheme="minorHAnsi"/>
                <w:szCs w:val="20"/>
                <w:lang w:eastAsia="fr-FR" w:bidi="ar-SA"/>
              </w:rPr>
              <w:t xml:space="preserve">oiseaux urbains et opportunistes </w:t>
            </w:r>
          </w:p>
        </w:tc>
        <w:tc>
          <w:tcPr>
            <w:tcW w:w="2436" w:type="dxa"/>
            <w:vAlign w:val="center"/>
          </w:tcPr>
          <w:p w14:paraId="0DE480D5" w14:textId="3620450B" w:rsidR="002237B6" w:rsidRPr="00B95A9D" w:rsidRDefault="002237B6" w:rsidP="00950710">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sidRPr="004637C7">
              <w:rPr>
                <w:rFonts w:asciiTheme="minorHAnsi" w:hAnsiTheme="minorHAnsi" w:cstheme="minorHAnsi"/>
                <w:b/>
                <w:bCs/>
                <w:szCs w:val="20"/>
                <w:lang w:eastAsia="fr-FR" w:bidi="ar-SA"/>
              </w:rPr>
              <w:t>Faible </w:t>
            </w:r>
            <w:r>
              <w:rPr>
                <w:rFonts w:asciiTheme="minorHAnsi" w:hAnsiTheme="minorHAnsi" w:cstheme="minorHAnsi"/>
                <w:szCs w:val="20"/>
                <w:lang w:eastAsia="fr-FR" w:bidi="ar-SA"/>
              </w:rPr>
              <w:t xml:space="preserve">: </w:t>
            </w:r>
            <w:r w:rsidRPr="00725B74">
              <w:rPr>
                <w:rFonts w:asciiTheme="minorHAnsi" w:hAnsiTheme="minorHAnsi" w:cstheme="minorHAnsi"/>
                <w:szCs w:val="20"/>
                <w:lang w:eastAsia="fr-FR" w:bidi="ar-SA"/>
              </w:rPr>
              <w:t>espèces ubiquistes, bien adaptées au bruit et à la présence humaine</w:t>
            </w:r>
          </w:p>
        </w:tc>
        <w:tc>
          <w:tcPr>
            <w:tcW w:w="1242" w:type="dxa"/>
            <w:vAlign w:val="center"/>
          </w:tcPr>
          <w:p w14:paraId="122F2E4B" w14:textId="2E34F19F" w:rsidR="002237B6" w:rsidRPr="00B95A9D" w:rsidRDefault="002237B6" w:rsidP="00950710">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Cs w:val="20"/>
                <w:lang w:eastAsia="fr-FR" w:bidi="ar-SA"/>
              </w:rPr>
            </w:pPr>
            <w:r>
              <w:rPr>
                <w:rFonts w:asciiTheme="minorHAnsi" w:hAnsiTheme="minorHAnsi" w:cstheme="minorHAnsi"/>
                <w:b/>
                <w:bCs/>
                <w:szCs w:val="20"/>
                <w:lang w:eastAsia="fr-FR" w:bidi="ar-SA"/>
              </w:rPr>
              <w:t>Négligeable</w:t>
            </w:r>
          </w:p>
        </w:tc>
      </w:tr>
      <w:tr w:rsidR="002237B6" w:rsidRPr="00B95A9D" w14:paraId="500910EF" w14:textId="77777777" w:rsidTr="005A7661">
        <w:tc>
          <w:tcPr>
            <w:cnfStyle w:val="001000000000" w:firstRow="0" w:lastRow="0" w:firstColumn="1" w:lastColumn="0" w:oddVBand="0" w:evenVBand="0" w:oddHBand="0" w:evenHBand="0" w:firstRowFirstColumn="0" w:firstRowLastColumn="0" w:lastRowFirstColumn="0" w:lastRowLastColumn="0"/>
            <w:tcW w:w="792" w:type="dxa"/>
            <w:vMerge/>
          </w:tcPr>
          <w:p w14:paraId="6FA9AB4C" w14:textId="77777777" w:rsidR="002237B6" w:rsidRPr="00B95A9D" w:rsidRDefault="002237B6" w:rsidP="00950710">
            <w:pPr>
              <w:rPr>
                <w:rFonts w:asciiTheme="minorHAnsi" w:hAnsiTheme="minorHAnsi" w:cstheme="minorHAnsi"/>
                <w:szCs w:val="20"/>
                <w:lang w:eastAsia="fr-FR" w:bidi="ar-SA"/>
              </w:rPr>
            </w:pPr>
          </w:p>
        </w:tc>
        <w:tc>
          <w:tcPr>
            <w:tcW w:w="2747" w:type="dxa"/>
            <w:vMerge/>
            <w:vAlign w:val="center"/>
          </w:tcPr>
          <w:p w14:paraId="5B1D77A5" w14:textId="77777777" w:rsidR="002237B6" w:rsidRDefault="002237B6" w:rsidP="00950710">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p>
        </w:tc>
        <w:tc>
          <w:tcPr>
            <w:tcW w:w="1843" w:type="dxa"/>
            <w:vAlign w:val="center"/>
          </w:tcPr>
          <w:p w14:paraId="1483EAA8" w14:textId="4C246892" w:rsidR="002237B6" w:rsidRPr="004637C7" w:rsidRDefault="002237B6" w:rsidP="00950710">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sidRPr="004637C7">
              <w:rPr>
                <w:rFonts w:asciiTheme="minorHAnsi" w:hAnsiTheme="minorHAnsi" w:cstheme="minorHAnsi"/>
                <w:szCs w:val="20"/>
                <w:lang w:eastAsia="fr-FR" w:bidi="ar-SA"/>
              </w:rPr>
              <w:t xml:space="preserve">Avifaune : petits passereaux et oiseaux nicheurs au sol </w:t>
            </w:r>
          </w:p>
        </w:tc>
        <w:tc>
          <w:tcPr>
            <w:tcW w:w="2436" w:type="dxa"/>
            <w:vAlign w:val="center"/>
          </w:tcPr>
          <w:p w14:paraId="23CDF039" w14:textId="4FAD7D88" w:rsidR="002237B6" w:rsidRPr="00B95A9D" w:rsidRDefault="002237B6" w:rsidP="00950710">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sidRPr="004637C7">
              <w:rPr>
                <w:rFonts w:asciiTheme="minorHAnsi" w:hAnsiTheme="minorHAnsi" w:cstheme="minorHAnsi"/>
                <w:b/>
                <w:bCs/>
                <w:szCs w:val="20"/>
                <w:lang w:eastAsia="fr-FR" w:bidi="ar-SA"/>
              </w:rPr>
              <w:t>Moyenne</w:t>
            </w:r>
            <w:r>
              <w:rPr>
                <w:rFonts w:asciiTheme="minorHAnsi" w:hAnsiTheme="minorHAnsi" w:cstheme="minorHAnsi"/>
                <w:szCs w:val="20"/>
                <w:lang w:eastAsia="fr-FR" w:bidi="ar-SA"/>
              </w:rPr>
              <w:t xml:space="preserve"> : </w:t>
            </w:r>
            <w:r w:rsidRPr="00725B74">
              <w:rPr>
                <w:rFonts w:asciiTheme="minorHAnsi" w:hAnsiTheme="minorHAnsi" w:cstheme="minorHAnsi"/>
                <w:szCs w:val="20"/>
                <w:lang w:eastAsia="fr-FR" w:bidi="ar-SA"/>
              </w:rPr>
              <w:t>espèces sensibles au dérangement mais à forte capacité d’adaptation</w:t>
            </w:r>
          </w:p>
        </w:tc>
        <w:tc>
          <w:tcPr>
            <w:tcW w:w="1242" w:type="dxa"/>
            <w:vAlign w:val="center"/>
          </w:tcPr>
          <w:p w14:paraId="2E856F3C" w14:textId="37791E21" w:rsidR="002237B6" w:rsidRPr="00B95A9D" w:rsidRDefault="002237B6" w:rsidP="00950710">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Cs w:val="20"/>
                <w:lang w:eastAsia="fr-FR" w:bidi="ar-SA"/>
              </w:rPr>
            </w:pPr>
            <w:r>
              <w:rPr>
                <w:rFonts w:asciiTheme="minorHAnsi" w:hAnsiTheme="minorHAnsi" w:cstheme="minorHAnsi"/>
                <w:b/>
                <w:bCs/>
                <w:szCs w:val="20"/>
                <w:lang w:eastAsia="fr-FR" w:bidi="ar-SA"/>
              </w:rPr>
              <w:t>Mineure</w:t>
            </w:r>
          </w:p>
        </w:tc>
      </w:tr>
      <w:tr w:rsidR="002237B6" w:rsidRPr="00B95A9D" w14:paraId="113E2D30" w14:textId="77777777" w:rsidTr="005A7661">
        <w:tc>
          <w:tcPr>
            <w:cnfStyle w:val="001000000000" w:firstRow="0" w:lastRow="0" w:firstColumn="1" w:lastColumn="0" w:oddVBand="0" w:evenVBand="0" w:oddHBand="0" w:evenHBand="0" w:firstRowFirstColumn="0" w:firstRowLastColumn="0" w:lastRowFirstColumn="0" w:lastRowLastColumn="0"/>
            <w:tcW w:w="792" w:type="dxa"/>
            <w:vMerge/>
          </w:tcPr>
          <w:p w14:paraId="06DB8D40" w14:textId="77777777" w:rsidR="002237B6" w:rsidRPr="00B95A9D" w:rsidRDefault="002237B6" w:rsidP="00950710">
            <w:pPr>
              <w:rPr>
                <w:rFonts w:asciiTheme="minorHAnsi" w:hAnsiTheme="minorHAnsi" w:cstheme="minorHAnsi"/>
                <w:szCs w:val="20"/>
                <w:lang w:eastAsia="fr-FR" w:bidi="ar-SA"/>
              </w:rPr>
            </w:pPr>
          </w:p>
        </w:tc>
        <w:tc>
          <w:tcPr>
            <w:tcW w:w="2747" w:type="dxa"/>
            <w:vMerge/>
            <w:vAlign w:val="center"/>
          </w:tcPr>
          <w:p w14:paraId="2FC67D5C" w14:textId="77777777" w:rsidR="002237B6" w:rsidRDefault="002237B6" w:rsidP="00950710">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p>
        </w:tc>
        <w:tc>
          <w:tcPr>
            <w:tcW w:w="1843" w:type="dxa"/>
            <w:vAlign w:val="center"/>
          </w:tcPr>
          <w:p w14:paraId="6CC3F33C" w14:textId="2BCC75FE" w:rsidR="002237B6" w:rsidRPr="004637C7" w:rsidRDefault="002237B6" w:rsidP="00950710">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sidRPr="004637C7">
              <w:rPr>
                <w:rFonts w:asciiTheme="minorHAnsi" w:hAnsiTheme="minorHAnsi" w:cstheme="minorHAnsi"/>
                <w:szCs w:val="20"/>
                <w:lang w:eastAsia="fr-FR" w:bidi="ar-SA"/>
              </w:rPr>
              <w:t xml:space="preserve">Herpétofaune </w:t>
            </w:r>
          </w:p>
        </w:tc>
        <w:tc>
          <w:tcPr>
            <w:tcW w:w="2436" w:type="dxa"/>
            <w:vAlign w:val="center"/>
          </w:tcPr>
          <w:p w14:paraId="34572335" w14:textId="27D446A6" w:rsidR="002237B6" w:rsidRPr="00B95A9D" w:rsidRDefault="002237B6" w:rsidP="00950710">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sidRPr="004637C7">
              <w:rPr>
                <w:rFonts w:asciiTheme="minorHAnsi" w:hAnsiTheme="minorHAnsi" w:cstheme="minorHAnsi"/>
                <w:b/>
                <w:bCs/>
                <w:szCs w:val="20"/>
                <w:lang w:eastAsia="fr-FR" w:bidi="ar-SA"/>
              </w:rPr>
              <w:t>Faible à moyenne</w:t>
            </w:r>
            <w:r>
              <w:rPr>
                <w:rFonts w:asciiTheme="minorHAnsi" w:hAnsiTheme="minorHAnsi" w:cstheme="minorHAnsi"/>
                <w:szCs w:val="20"/>
                <w:lang w:eastAsia="fr-FR" w:bidi="ar-SA"/>
              </w:rPr>
              <w:t xml:space="preserve"> : </w:t>
            </w:r>
            <w:r w:rsidRPr="00725B74">
              <w:rPr>
                <w:rFonts w:asciiTheme="minorHAnsi" w:hAnsiTheme="minorHAnsi" w:cstheme="minorHAnsi"/>
                <w:szCs w:val="20"/>
                <w:lang w:eastAsia="fr-FR" w:bidi="ar-SA"/>
              </w:rPr>
              <w:t>déplacements limités, possibilité de fuite vers zones périphériques non impactées</w:t>
            </w:r>
          </w:p>
        </w:tc>
        <w:tc>
          <w:tcPr>
            <w:tcW w:w="1242" w:type="dxa"/>
            <w:vAlign w:val="center"/>
          </w:tcPr>
          <w:p w14:paraId="0DEE7D00" w14:textId="0671F7F1" w:rsidR="002237B6" w:rsidRPr="00B95A9D" w:rsidRDefault="002237B6" w:rsidP="00950710">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Cs w:val="20"/>
                <w:lang w:eastAsia="fr-FR" w:bidi="ar-SA"/>
              </w:rPr>
            </w:pPr>
            <w:r>
              <w:rPr>
                <w:rFonts w:asciiTheme="minorHAnsi" w:hAnsiTheme="minorHAnsi" w:cstheme="minorHAnsi"/>
                <w:b/>
                <w:bCs/>
                <w:szCs w:val="20"/>
                <w:lang w:eastAsia="fr-FR" w:bidi="ar-SA"/>
              </w:rPr>
              <w:t>Négligeable à mineure</w:t>
            </w:r>
          </w:p>
        </w:tc>
      </w:tr>
      <w:tr w:rsidR="002237B6" w:rsidRPr="00B95A9D" w14:paraId="1680C4F8" w14:textId="77777777" w:rsidTr="005A7661">
        <w:tc>
          <w:tcPr>
            <w:cnfStyle w:val="001000000000" w:firstRow="0" w:lastRow="0" w:firstColumn="1" w:lastColumn="0" w:oddVBand="0" w:evenVBand="0" w:oddHBand="0" w:evenHBand="0" w:firstRowFirstColumn="0" w:firstRowLastColumn="0" w:lastRowFirstColumn="0" w:lastRowLastColumn="0"/>
            <w:tcW w:w="792" w:type="dxa"/>
            <w:vMerge/>
          </w:tcPr>
          <w:p w14:paraId="4CF7828E" w14:textId="77777777" w:rsidR="002237B6" w:rsidRPr="00B95A9D" w:rsidRDefault="002237B6" w:rsidP="00950710">
            <w:pPr>
              <w:rPr>
                <w:rFonts w:asciiTheme="minorHAnsi" w:hAnsiTheme="minorHAnsi" w:cstheme="minorHAnsi"/>
                <w:szCs w:val="20"/>
                <w:lang w:eastAsia="fr-FR" w:bidi="ar-SA"/>
              </w:rPr>
            </w:pPr>
          </w:p>
        </w:tc>
        <w:tc>
          <w:tcPr>
            <w:tcW w:w="2747" w:type="dxa"/>
            <w:vMerge/>
            <w:vAlign w:val="center"/>
          </w:tcPr>
          <w:p w14:paraId="4E58501C" w14:textId="77777777" w:rsidR="002237B6" w:rsidRDefault="002237B6" w:rsidP="00950710">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p>
        </w:tc>
        <w:tc>
          <w:tcPr>
            <w:tcW w:w="1843" w:type="dxa"/>
            <w:vAlign w:val="center"/>
          </w:tcPr>
          <w:p w14:paraId="2D0629CD" w14:textId="5DD759A7" w:rsidR="002237B6" w:rsidRPr="004637C7" w:rsidRDefault="002237B6" w:rsidP="00950710">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sidRPr="004637C7">
              <w:rPr>
                <w:rFonts w:asciiTheme="minorHAnsi" w:hAnsiTheme="minorHAnsi" w:cstheme="minorHAnsi"/>
                <w:szCs w:val="20"/>
                <w:lang w:eastAsia="fr-FR" w:bidi="ar-SA"/>
              </w:rPr>
              <w:t xml:space="preserve">Micromammifères </w:t>
            </w:r>
          </w:p>
        </w:tc>
        <w:tc>
          <w:tcPr>
            <w:tcW w:w="2436" w:type="dxa"/>
            <w:vAlign w:val="center"/>
          </w:tcPr>
          <w:p w14:paraId="607E58F7" w14:textId="79F89850" w:rsidR="002237B6" w:rsidRPr="00B95A9D" w:rsidRDefault="002237B6" w:rsidP="00950710">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sidRPr="004637C7">
              <w:rPr>
                <w:rFonts w:asciiTheme="minorHAnsi" w:hAnsiTheme="minorHAnsi" w:cstheme="minorHAnsi"/>
                <w:b/>
                <w:bCs/>
                <w:szCs w:val="20"/>
                <w:lang w:eastAsia="fr-FR" w:bidi="ar-SA"/>
              </w:rPr>
              <w:t>Faible</w:t>
            </w:r>
            <w:r>
              <w:rPr>
                <w:rFonts w:asciiTheme="minorHAnsi" w:hAnsiTheme="minorHAnsi" w:cstheme="minorHAnsi"/>
                <w:szCs w:val="20"/>
                <w:lang w:eastAsia="fr-FR" w:bidi="ar-SA"/>
              </w:rPr>
              <w:t xml:space="preserve"> : </w:t>
            </w:r>
            <w:r w:rsidRPr="00725B74">
              <w:rPr>
                <w:rFonts w:asciiTheme="minorHAnsi" w:hAnsiTheme="minorHAnsi" w:cstheme="minorHAnsi"/>
                <w:szCs w:val="20"/>
                <w:lang w:eastAsia="fr-FR" w:bidi="ar-SA"/>
              </w:rPr>
              <w:t>faune opportuniste, abondante et tolérante aux milieux anthropisés</w:t>
            </w:r>
          </w:p>
        </w:tc>
        <w:tc>
          <w:tcPr>
            <w:tcW w:w="1242" w:type="dxa"/>
            <w:vAlign w:val="center"/>
          </w:tcPr>
          <w:p w14:paraId="6A27DE1C" w14:textId="357A152C" w:rsidR="002237B6" w:rsidRPr="00B95A9D" w:rsidRDefault="002237B6" w:rsidP="00950710">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Cs w:val="20"/>
                <w:lang w:eastAsia="fr-FR" w:bidi="ar-SA"/>
              </w:rPr>
            </w:pPr>
            <w:r>
              <w:rPr>
                <w:rFonts w:asciiTheme="minorHAnsi" w:hAnsiTheme="minorHAnsi" w:cstheme="minorHAnsi"/>
                <w:b/>
                <w:bCs/>
                <w:szCs w:val="20"/>
                <w:lang w:eastAsia="fr-FR" w:bidi="ar-SA"/>
              </w:rPr>
              <w:t>Négligeable</w:t>
            </w:r>
          </w:p>
        </w:tc>
      </w:tr>
    </w:tbl>
    <w:p w14:paraId="65FF3E6C" w14:textId="37069756" w:rsidR="00C53B08" w:rsidRDefault="00C53B08" w:rsidP="0001633E">
      <w:pPr>
        <w:pStyle w:val="AltTitle2"/>
        <w:numPr>
          <w:ilvl w:val="0"/>
          <w:numId w:val="106"/>
        </w:numPr>
      </w:pPr>
      <w:r>
        <w:t>Risque d’i</w:t>
      </w:r>
      <w:r w:rsidRPr="00C53B08">
        <w:t>ntroduction d’espèces exotiques envahissantes</w:t>
      </w:r>
    </w:p>
    <w:p w14:paraId="4A5010FF" w14:textId="0B076767" w:rsidR="00DA3AC4" w:rsidRDefault="00DA3AC4" w:rsidP="00DA3AC4">
      <w:r>
        <w:t>L’importation de matériaux de remblais, de terre végétale ou de semences provenant de zones extérieures au périmètre aéroportuaire comporte un risque d’introduction d’espèces végétales non autochtones, voire potentiellement envahissantes</w:t>
      </w:r>
      <w:r w:rsidR="0026235A">
        <w:t xml:space="preserve">. </w:t>
      </w:r>
      <w:r>
        <w:t>Ces espèces, adaptées aux milieux arides, pourraient se développer sur les zones de stockage ou les talus fraîchement remaniés, supplantant progressivement la flore xérophile locale caractéristique du site.</w:t>
      </w:r>
    </w:p>
    <w:p w14:paraId="4FC03994" w14:textId="7CA8E771" w:rsidR="00DA3AC4" w:rsidRDefault="00DA3AC4" w:rsidP="00F1159D">
      <w:r>
        <w:t>Une telle introduction modifierait la composition floristique et les équilibres écologiques, et pourrait à terme altérer la structure végétale du site si aucune mesure de contrôle n’est mise en œuvre.</w:t>
      </w:r>
    </w:p>
    <w:p w14:paraId="0F9CA463" w14:textId="77777777" w:rsidR="00F1159D" w:rsidRDefault="00F1159D" w:rsidP="00F1159D">
      <w:r w:rsidRPr="00F1159D">
        <w:lastRenderedPageBreak/>
        <w:t xml:space="preserve">La </w:t>
      </w:r>
      <w:r w:rsidRPr="004637C7">
        <w:t>probabilité d’occurrence</w:t>
      </w:r>
      <w:r w:rsidRPr="00F1159D">
        <w:t xml:space="preserve"> de ce risque est jugée </w:t>
      </w:r>
      <w:r w:rsidRPr="004637C7">
        <w:t>occasionnelle</w:t>
      </w:r>
      <w:r w:rsidRPr="00F1159D">
        <w:t>, car l’introduction involontaire peut survenir lors du transport ou du dépôt de matériaux, surtout si la chaîne d’approvisionnement n’est pas rigoureusement contrôlée.</w:t>
      </w:r>
    </w:p>
    <w:p w14:paraId="235A1AB5" w14:textId="77777777" w:rsidR="00F1159D" w:rsidRDefault="00F1159D" w:rsidP="00F1159D">
      <w:r w:rsidRPr="00F1159D">
        <w:t xml:space="preserve">La </w:t>
      </w:r>
      <w:r w:rsidRPr="004637C7">
        <w:t>gravité potentielle</w:t>
      </w:r>
      <w:r w:rsidRPr="00F1159D">
        <w:t xml:space="preserve"> est </w:t>
      </w:r>
      <w:r w:rsidRPr="004637C7">
        <w:t>modérée</w:t>
      </w:r>
      <w:r w:rsidRPr="00F1159D">
        <w:t xml:space="preserve">, dans la mesure où la prolifération d’espèces envahissantes pourrait nécessiter des </w:t>
      </w:r>
      <w:r w:rsidRPr="004637C7">
        <w:t>actions de gestion corrective prolongées</w:t>
      </w:r>
      <w:r w:rsidRPr="00F1159D">
        <w:t xml:space="preserve"> (arrachage, restauration, revégétalisation).</w:t>
      </w:r>
    </w:p>
    <w:p w14:paraId="4CF7178D" w14:textId="614DD434" w:rsidR="00F1159D" w:rsidRDefault="00F1159D" w:rsidP="00F1159D">
      <w:r w:rsidRPr="00F1159D">
        <w:t xml:space="preserve">En croisant ces deux critères, le </w:t>
      </w:r>
      <w:r w:rsidRPr="004637C7">
        <w:t>niveau de risque</w:t>
      </w:r>
      <w:r w:rsidRPr="00F1159D">
        <w:t xml:space="preserve"> est évalué comme </w:t>
      </w:r>
      <w:r w:rsidRPr="004637C7">
        <w:t>modéré.</w:t>
      </w:r>
    </w:p>
    <w:tbl>
      <w:tblPr>
        <w:tblStyle w:val="TableauGrille1Clair-Accentuation111"/>
        <w:tblW w:w="0" w:type="auto"/>
        <w:tblLook w:val="04A0" w:firstRow="1" w:lastRow="0" w:firstColumn="1" w:lastColumn="0" w:noHBand="0" w:noVBand="1"/>
      </w:tblPr>
      <w:tblGrid>
        <w:gridCol w:w="1549"/>
        <w:gridCol w:w="2106"/>
        <w:gridCol w:w="1449"/>
        <w:gridCol w:w="2612"/>
        <w:gridCol w:w="1344"/>
      </w:tblGrid>
      <w:tr w:rsidR="0075348F" w:rsidRPr="00B95A9D" w14:paraId="5E655F5A" w14:textId="77777777" w:rsidTr="005A766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6784ACF1" w14:textId="77777777" w:rsidR="0034543A" w:rsidRPr="00B95A9D" w:rsidRDefault="0034543A" w:rsidP="005A7661">
            <w:pPr>
              <w:rPr>
                <w:szCs w:val="20"/>
              </w:rPr>
            </w:pPr>
            <w:r w:rsidRPr="002C2301">
              <w:rPr>
                <w:rFonts w:eastAsiaTheme="majorEastAsia"/>
                <w:szCs w:val="20"/>
              </w:rPr>
              <w:t>Risque</w:t>
            </w:r>
          </w:p>
        </w:tc>
        <w:tc>
          <w:tcPr>
            <w:tcW w:w="0" w:type="auto"/>
          </w:tcPr>
          <w:p w14:paraId="67EB90D6" w14:textId="77777777" w:rsidR="0034543A" w:rsidRPr="00B95A9D" w:rsidRDefault="0034543A" w:rsidP="005A7661">
            <w:pPr>
              <w:cnfStyle w:val="100000000000" w:firstRow="1" w:lastRow="0" w:firstColumn="0" w:lastColumn="0" w:oddVBand="0" w:evenVBand="0" w:oddHBand="0" w:evenHBand="0" w:firstRowFirstColumn="0" w:firstRowLastColumn="0" w:lastRowFirstColumn="0" w:lastRowLastColumn="0"/>
              <w:rPr>
                <w:szCs w:val="20"/>
              </w:rPr>
            </w:pPr>
            <w:r w:rsidRPr="002C2301">
              <w:rPr>
                <w:rFonts w:eastAsiaTheme="majorEastAsia"/>
                <w:szCs w:val="20"/>
              </w:rPr>
              <w:t>Activités génératrices</w:t>
            </w:r>
          </w:p>
        </w:tc>
        <w:tc>
          <w:tcPr>
            <w:tcW w:w="0" w:type="auto"/>
          </w:tcPr>
          <w:p w14:paraId="5320422D" w14:textId="77777777" w:rsidR="0034543A" w:rsidRPr="00B95A9D" w:rsidRDefault="0034543A" w:rsidP="005A7661">
            <w:pPr>
              <w:cnfStyle w:val="100000000000" w:firstRow="1" w:lastRow="0" w:firstColumn="0" w:lastColumn="0" w:oddVBand="0" w:evenVBand="0" w:oddHBand="0" w:evenHBand="0" w:firstRowFirstColumn="0" w:firstRowLastColumn="0" w:lastRowFirstColumn="0" w:lastRowLastColumn="0"/>
              <w:rPr>
                <w:szCs w:val="20"/>
              </w:rPr>
            </w:pPr>
            <w:r w:rsidRPr="002C2301">
              <w:rPr>
                <w:rFonts w:eastAsiaTheme="majorEastAsia"/>
                <w:szCs w:val="20"/>
              </w:rPr>
              <w:t>Critère</w:t>
            </w:r>
          </w:p>
        </w:tc>
        <w:tc>
          <w:tcPr>
            <w:tcW w:w="0" w:type="auto"/>
          </w:tcPr>
          <w:p w14:paraId="1797896C" w14:textId="77777777" w:rsidR="0034543A" w:rsidRPr="00B95A9D" w:rsidRDefault="0034543A" w:rsidP="005A7661">
            <w:pPr>
              <w:cnfStyle w:val="100000000000" w:firstRow="1" w:lastRow="0" w:firstColumn="0" w:lastColumn="0" w:oddVBand="0" w:evenVBand="0" w:oddHBand="0" w:evenHBand="0" w:firstRowFirstColumn="0" w:firstRowLastColumn="0" w:lastRowFirstColumn="0" w:lastRowLastColumn="0"/>
              <w:rPr>
                <w:szCs w:val="20"/>
              </w:rPr>
            </w:pPr>
            <w:r w:rsidRPr="002C2301">
              <w:rPr>
                <w:rFonts w:eastAsiaTheme="majorEastAsia"/>
                <w:szCs w:val="20"/>
              </w:rPr>
              <w:t>Justification</w:t>
            </w:r>
          </w:p>
        </w:tc>
        <w:tc>
          <w:tcPr>
            <w:tcW w:w="0" w:type="auto"/>
          </w:tcPr>
          <w:p w14:paraId="2B7FBC3E" w14:textId="77777777" w:rsidR="0034543A" w:rsidRPr="00B95A9D" w:rsidRDefault="0034543A" w:rsidP="005A7661">
            <w:pPr>
              <w:cnfStyle w:val="100000000000" w:firstRow="1" w:lastRow="0" w:firstColumn="0" w:lastColumn="0" w:oddVBand="0" w:evenVBand="0" w:oddHBand="0" w:evenHBand="0" w:firstRowFirstColumn="0" w:firstRowLastColumn="0" w:lastRowFirstColumn="0" w:lastRowLastColumn="0"/>
              <w:rPr>
                <w:szCs w:val="20"/>
              </w:rPr>
            </w:pPr>
            <w:r w:rsidRPr="002C2301">
              <w:rPr>
                <w:rFonts w:eastAsiaTheme="majorEastAsia"/>
                <w:szCs w:val="20"/>
              </w:rPr>
              <w:t>Niveau</w:t>
            </w:r>
          </w:p>
        </w:tc>
      </w:tr>
      <w:tr w:rsidR="0075348F" w:rsidRPr="00B95A9D" w14:paraId="2E8F8E6A" w14:textId="77777777" w:rsidTr="005A7661">
        <w:tc>
          <w:tcPr>
            <w:cnfStyle w:val="001000000000" w:firstRow="0" w:lastRow="0" w:firstColumn="1" w:lastColumn="0" w:oddVBand="0" w:evenVBand="0" w:oddHBand="0" w:evenHBand="0" w:firstRowFirstColumn="0" w:firstRowLastColumn="0" w:lastRowFirstColumn="0" w:lastRowLastColumn="0"/>
            <w:tcW w:w="0" w:type="auto"/>
            <w:vMerge w:val="restart"/>
          </w:tcPr>
          <w:p w14:paraId="7207EED0" w14:textId="215D5AA9" w:rsidR="0034543A" w:rsidRPr="00B95A9D" w:rsidRDefault="0075348F" w:rsidP="005A7661">
            <w:pPr>
              <w:rPr>
                <w:szCs w:val="20"/>
              </w:rPr>
            </w:pPr>
            <w:r w:rsidRPr="0075348F">
              <w:rPr>
                <w:szCs w:val="20"/>
              </w:rPr>
              <w:t>Introduction d’espèces exotiques envahissantes</w:t>
            </w:r>
          </w:p>
        </w:tc>
        <w:tc>
          <w:tcPr>
            <w:tcW w:w="0" w:type="auto"/>
            <w:vMerge w:val="restart"/>
          </w:tcPr>
          <w:p w14:paraId="356189B7" w14:textId="31C263ED" w:rsidR="0034543A" w:rsidRPr="00B95A9D" w:rsidRDefault="0075348F" w:rsidP="005A7661">
            <w:pPr>
              <w:cnfStyle w:val="000000000000" w:firstRow="0" w:lastRow="0" w:firstColumn="0" w:lastColumn="0" w:oddVBand="0" w:evenVBand="0" w:oddHBand="0" w:evenHBand="0" w:firstRowFirstColumn="0" w:firstRowLastColumn="0" w:lastRowFirstColumn="0" w:lastRowLastColumn="0"/>
              <w:rPr>
                <w:szCs w:val="20"/>
              </w:rPr>
            </w:pPr>
            <w:r w:rsidRPr="0075348F">
              <w:rPr>
                <w:szCs w:val="20"/>
              </w:rPr>
              <w:t>Importation de matériaux de remblais, terre végétale, ou substrats de revégétalisation provenant de sites externes au périmètre aéroportuaire</w:t>
            </w:r>
          </w:p>
        </w:tc>
        <w:tc>
          <w:tcPr>
            <w:tcW w:w="0" w:type="auto"/>
            <w:hideMark/>
          </w:tcPr>
          <w:p w14:paraId="79ECF789" w14:textId="77777777" w:rsidR="0034543A" w:rsidRPr="00B95A9D" w:rsidRDefault="0034543A" w:rsidP="005A7661">
            <w:pPr>
              <w:cnfStyle w:val="000000000000" w:firstRow="0" w:lastRow="0" w:firstColumn="0" w:lastColumn="0" w:oddVBand="0" w:evenVBand="0" w:oddHBand="0" w:evenHBand="0" w:firstRowFirstColumn="0" w:firstRowLastColumn="0" w:lastRowFirstColumn="0" w:lastRowLastColumn="0"/>
              <w:rPr>
                <w:szCs w:val="20"/>
              </w:rPr>
            </w:pPr>
            <w:r w:rsidRPr="00B95A9D">
              <w:rPr>
                <w:rFonts w:eastAsiaTheme="majorEastAsia"/>
                <w:b/>
                <w:bCs/>
                <w:szCs w:val="20"/>
              </w:rPr>
              <w:t>Probabilité d’occurrence</w:t>
            </w:r>
          </w:p>
        </w:tc>
        <w:tc>
          <w:tcPr>
            <w:tcW w:w="0" w:type="auto"/>
          </w:tcPr>
          <w:p w14:paraId="12E13C9B" w14:textId="5232041C" w:rsidR="0034543A" w:rsidRPr="00B95A9D" w:rsidRDefault="0075348F" w:rsidP="005A7661">
            <w:pPr>
              <w:cnfStyle w:val="000000000000" w:firstRow="0" w:lastRow="0" w:firstColumn="0" w:lastColumn="0" w:oddVBand="0" w:evenVBand="0" w:oddHBand="0" w:evenHBand="0" w:firstRowFirstColumn="0" w:firstRowLastColumn="0" w:lastRowFirstColumn="0" w:lastRowLastColumn="0"/>
              <w:rPr>
                <w:szCs w:val="20"/>
              </w:rPr>
            </w:pPr>
            <w:r w:rsidRPr="0075348F">
              <w:rPr>
                <w:szCs w:val="20"/>
              </w:rPr>
              <w:t>L’introduction accidentelle d’espèces exotiques ou envahissantes peut se produire lors du transport ou du dépôt de matériaux contenant des graines ou fragments végétatifs. Ce risque reste occasionnel, car il dépend de la provenance et du contrôle phytosanitaire des matériaux.</w:t>
            </w:r>
          </w:p>
        </w:tc>
        <w:tc>
          <w:tcPr>
            <w:tcW w:w="0" w:type="auto"/>
          </w:tcPr>
          <w:p w14:paraId="65DEC745" w14:textId="4D467C1D" w:rsidR="0034543A" w:rsidRPr="00B95A9D" w:rsidRDefault="0075348F" w:rsidP="005A7661">
            <w:pPr>
              <w:cnfStyle w:val="000000000000" w:firstRow="0" w:lastRow="0" w:firstColumn="0" w:lastColumn="0" w:oddVBand="0" w:evenVBand="0" w:oddHBand="0" w:evenHBand="0" w:firstRowFirstColumn="0" w:firstRowLastColumn="0" w:lastRowFirstColumn="0" w:lastRowLastColumn="0"/>
              <w:rPr>
                <w:szCs w:val="20"/>
              </w:rPr>
            </w:pPr>
            <w:r>
              <w:rPr>
                <w:szCs w:val="20"/>
              </w:rPr>
              <w:t>Occasionnelle</w:t>
            </w:r>
          </w:p>
        </w:tc>
      </w:tr>
      <w:tr w:rsidR="0075348F" w:rsidRPr="00B95A9D" w14:paraId="4D100821" w14:textId="77777777" w:rsidTr="005A7661">
        <w:tc>
          <w:tcPr>
            <w:cnfStyle w:val="001000000000" w:firstRow="0" w:lastRow="0" w:firstColumn="1" w:lastColumn="0" w:oddVBand="0" w:evenVBand="0" w:oddHBand="0" w:evenHBand="0" w:firstRowFirstColumn="0" w:firstRowLastColumn="0" w:lastRowFirstColumn="0" w:lastRowLastColumn="0"/>
            <w:tcW w:w="0" w:type="auto"/>
            <w:vMerge/>
          </w:tcPr>
          <w:p w14:paraId="54574502" w14:textId="77777777" w:rsidR="0034543A" w:rsidRPr="00B95A9D" w:rsidRDefault="0034543A" w:rsidP="005A7661">
            <w:pPr>
              <w:rPr>
                <w:szCs w:val="20"/>
              </w:rPr>
            </w:pPr>
          </w:p>
        </w:tc>
        <w:tc>
          <w:tcPr>
            <w:tcW w:w="0" w:type="auto"/>
            <w:vMerge/>
          </w:tcPr>
          <w:p w14:paraId="32FF4906" w14:textId="77777777" w:rsidR="0034543A" w:rsidRPr="00B95A9D" w:rsidRDefault="0034543A" w:rsidP="005A7661">
            <w:pPr>
              <w:cnfStyle w:val="000000000000" w:firstRow="0" w:lastRow="0" w:firstColumn="0" w:lastColumn="0" w:oddVBand="0" w:evenVBand="0" w:oddHBand="0" w:evenHBand="0" w:firstRowFirstColumn="0" w:firstRowLastColumn="0" w:lastRowFirstColumn="0" w:lastRowLastColumn="0"/>
              <w:rPr>
                <w:szCs w:val="20"/>
              </w:rPr>
            </w:pPr>
          </w:p>
        </w:tc>
        <w:tc>
          <w:tcPr>
            <w:tcW w:w="0" w:type="auto"/>
            <w:hideMark/>
          </w:tcPr>
          <w:p w14:paraId="06A14938" w14:textId="77777777" w:rsidR="0034543A" w:rsidRPr="00B95A9D" w:rsidRDefault="0034543A" w:rsidP="005A7661">
            <w:pPr>
              <w:cnfStyle w:val="000000000000" w:firstRow="0" w:lastRow="0" w:firstColumn="0" w:lastColumn="0" w:oddVBand="0" w:evenVBand="0" w:oddHBand="0" w:evenHBand="0" w:firstRowFirstColumn="0" w:firstRowLastColumn="0" w:lastRowFirstColumn="0" w:lastRowLastColumn="0"/>
              <w:rPr>
                <w:szCs w:val="20"/>
              </w:rPr>
            </w:pPr>
            <w:r w:rsidRPr="00B95A9D">
              <w:rPr>
                <w:rFonts w:eastAsiaTheme="majorEastAsia"/>
                <w:b/>
                <w:bCs/>
                <w:szCs w:val="20"/>
              </w:rPr>
              <w:t>Gravité des conséquences</w:t>
            </w:r>
          </w:p>
        </w:tc>
        <w:tc>
          <w:tcPr>
            <w:tcW w:w="0" w:type="auto"/>
          </w:tcPr>
          <w:p w14:paraId="74829B3E" w14:textId="19122A17" w:rsidR="0034543A" w:rsidRPr="00B95A9D" w:rsidRDefault="0075348F" w:rsidP="005A7661">
            <w:pPr>
              <w:cnfStyle w:val="000000000000" w:firstRow="0" w:lastRow="0" w:firstColumn="0" w:lastColumn="0" w:oddVBand="0" w:evenVBand="0" w:oddHBand="0" w:evenHBand="0" w:firstRowFirstColumn="0" w:firstRowLastColumn="0" w:lastRowFirstColumn="0" w:lastRowLastColumn="0"/>
              <w:rPr>
                <w:szCs w:val="20"/>
              </w:rPr>
            </w:pPr>
            <w:r w:rsidRPr="0075348F">
              <w:rPr>
                <w:szCs w:val="20"/>
              </w:rPr>
              <w:t>L’implantation d’espèces envahissantes pourrait perturber la flore locale et nécessiter des opérations d’éradication ou de restauration écologique sur le long terme. Les conséquences sont jugées modérées, sans atteinte majeure à la biodiversité régionale.</w:t>
            </w:r>
          </w:p>
        </w:tc>
        <w:tc>
          <w:tcPr>
            <w:tcW w:w="0" w:type="auto"/>
          </w:tcPr>
          <w:p w14:paraId="518A98AD" w14:textId="49779D08" w:rsidR="0034543A" w:rsidRPr="00B95A9D" w:rsidRDefault="0075348F" w:rsidP="005A7661">
            <w:pPr>
              <w:cnfStyle w:val="000000000000" w:firstRow="0" w:lastRow="0" w:firstColumn="0" w:lastColumn="0" w:oddVBand="0" w:evenVBand="0" w:oddHBand="0" w:evenHBand="0" w:firstRowFirstColumn="0" w:firstRowLastColumn="0" w:lastRowFirstColumn="0" w:lastRowLastColumn="0"/>
              <w:rPr>
                <w:szCs w:val="20"/>
              </w:rPr>
            </w:pPr>
            <w:r>
              <w:rPr>
                <w:szCs w:val="20"/>
              </w:rPr>
              <w:t>Modérée</w:t>
            </w:r>
          </w:p>
        </w:tc>
      </w:tr>
      <w:tr w:rsidR="0075348F" w:rsidRPr="00B95A9D" w14:paraId="5A44CB2C" w14:textId="77777777" w:rsidTr="005A7661">
        <w:tc>
          <w:tcPr>
            <w:cnfStyle w:val="001000000000" w:firstRow="0" w:lastRow="0" w:firstColumn="1" w:lastColumn="0" w:oddVBand="0" w:evenVBand="0" w:oddHBand="0" w:evenHBand="0" w:firstRowFirstColumn="0" w:firstRowLastColumn="0" w:lastRowFirstColumn="0" w:lastRowLastColumn="0"/>
            <w:tcW w:w="0" w:type="auto"/>
            <w:vMerge/>
          </w:tcPr>
          <w:p w14:paraId="7B14A750" w14:textId="77777777" w:rsidR="0034543A" w:rsidRPr="00B95A9D" w:rsidRDefault="0034543A" w:rsidP="005A7661">
            <w:pPr>
              <w:rPr>
                <w:szCs w:val="20"/>
              </w:rPr>
            </w:pPr>
          </w:p>
        </w:tc>
        <w:tc>
          <w:tcPr>
            <w:tcW w:w="0" w:type="auto"/>
            <w:vMerge/>
          </w:tcPr>
          <w:p w14:paraId="62639348" w14:textId="77777777" w:rsidR="0034543A" w:rsidRPr="00B95A9D" w:rsidRDefault="0034543A" w:rsidP="005A7661">
            <w:pPr>
              <w:cnfStyle w:val="000000000000" w:firstRow="0" w:lastRow="0" w:firstColumn="0" w:lastColumn="0" w:oddVBand="0" w:evenVBand="0" w:oddHBand="0" w:evenHBand="0" w:firstRowFirstColumn="0" w:firstRowLastColumn="0" w:lastRowFirstColumn="0" w:lastRowLastColumn="0"/>
              <w:rPr>
                <w:szCs w:val="20"/>
              </w:rPr>
            </w:pPr>
          </w:p>
        </w:tc>
        <w:tc>
          <w:tcPr>
            <w:tcW w:w="0" w:type="auto"/>
            <w:hideMark/>
          </w:tcPr>
          <w:p w14:paraId="21162EAA" w14:textId="77777777" w:rsidR="0034543A" w:rsidRPr="00B95A9D" w:rsidRDefault="0034543A" w:rsidP="005A7661">
            <w:pPr>
              <w:cnfStyle w:val="000000000000" w:firstRow="0" w:lastRow="0" w:firstColumn="0" w:lastColumn="0" w:oddVBand="0" w:evenVBand="0" w:oddHBand="0" w:evenHBand="0" w:firstRowFirstColumn="0" w:firstRowLastColumn="0" w:lastRowFirstColumn="0" w:lastRowLastColumn="0"/>
              <w:rPr>
                <w:szCs w:val="20"/>
              </w:rPr>
            </w:pPr>
            <w:r w:rsidRPr="00B95A9D">
              <w:rPr>
                <w:rFonts w:eastAsiaTheme="majorEastAsia"/>
                <w:b/>
                <w:bCs/>
                <w:szCs w:val="20"/>
              </w:rPr>
              <w:t>Évaluation globale du risque</w:t>
            </w:r>
          </w:p>
        </w:tc>
        <w:tc>
          <w:tcPr>
            <w:tcW w:w="0" w:type="auto"/>
          </w:tcPr>
          <w:p w14:paraId="6B08ECBF" w14:textId="735A53DB" w:rsidR="0034543A" w:rsidRPr="00B95A9D" w:rsidRDefault="0075348F" w:rsidP="005A7661">
            <w:pPr>
              <w:cnfStyle w:val="000000000000" w:firstRow="0" w:lastRow="0" w:firstColumn="0" w:lastColumn="0" w:oddVBand="0" w:evenVBand="0" w:oddHBand="0" w:evenHBand="0" w:firstRowFirstColumn="0" w:firstRowLastColumn="0" w:lastRowFirstColumn="0" w:lastRowLastColumn="0"/>
              <w:rPr>
                <w:szCs w:val="20"/>
              </w:rPr>
            </w:pPr>
            <w:r w:rsidRPr="0075348F">
              <w:rPr>
                <w:szCs w:val="20"/>
              </w:rPr>
              <w:t>En croisant la probabilité occasionnelle et la gravité modérée, le risque est évalué modéré selon la matrice de criticité. Il requiert des mesures de prévention et un suivi post-travaux.</w:t>
            </w:r>
          </w:p>
        </w:tc>
        <w:tc>
          <w:tcPr>
            <w:tcW w:w="0" w:type="auto"/>
          </w:tcPr>
          <w:p w14:paraId="506F560B" w14:textId="70E0859C" w:rsidR="0034543A" w:rsidRPr="00B95A9D" w:rsidRDefault="0075348F" w:rsidP="005A7661">
            <w:pPr>
              <w:cnfStyle w:val="000000000000" w:firstRow="0" w:lastRow="0" w:firstColumn="0" w:lastColumn="0" w:oddVBand="0" w:evenVBand="0" w:oddHBand="0" w:evenHBand="0" w:firstRowFirstColumn="0" w:firstRowLastColumn="0" w:lastRowFirstColumn="0" w:lastRowLastColumn="0"/>
              <w:rPr>
                <w:szCs w:val="20"/>
              </w:rPr>
            </w:pPr>
            <w:r>
              <w:rPr>
                <w:szCs w:val="20"/>
              </w:rPr>
              <w:t>Modérée</w:t>
            </w:r>
          </w:p>
        </w:tc>
      </w:tr>
    </w:tbl>
    <w:p w14:paraId="45BC01CA" w14:textId="7F47A530" w:rsidR="00F1159D" w:rsidRDefault="00F1159D" w:rsidP="0001633E">
      <w:pPr>
        <w:pStyle w:val="AltTitle2"/>
        <w:numPr>
          <w:ilvl w:val="0"/>
          <w:numId w:val="106"/>
        </w:numPr>
      </w:pPr>
      <w:r>
        <w:t>Risque de m</w:t>
      </w:r>
      <w:r w:rsidRPr="00F1159D">
        <w:t>ortalité accidentelle de petits vertébrés et reptiles</w:t>
      </w:r>
    </w:p>
    <w:p w14:paraId="20EE120B" w14:textId="6143BEE7" w:rsidR="00F1159D" w:rsidRDefault="0027338D" w:rsidP="00F1159D">
      <w:r w:rsidRPr="0027338D">
        <w:t xml:space="preserve">Les travaux de décapage, de terrassement et de circulation d’engins lourds sur le périmètre d’extension peuvent entraîner la mort accidentelle de petits vertébrés (notamment reptiles, micromammifères et hérissons) qui occupent les zones périphériques partiellement végétalisées. Ces </w:t>
      </w:r>
      <w:r w:rsidRPr="0027338D">
        <w:lastRenderedPageBreak/>
        <w:t>animaux peuvent être écrasés, ensevelis ou dérangés pendant les opérations de préparation du sol, particulièrement dans les espaces encore partiellement couverts de végétation rudérale.</w:t>
      </w:r>
    </w:p>
    <w:p w14:paraId="04C09CAC" w14:textId="68E586B3" w:rsidR="0027338D" w:rsidRDefault="0027338D" w:rsidP="00F1159D">
      <w:r w:rsidRPr="0027338D">
        <w:t xml:space="preserve">Le risque reste cependant limité, car la faune présente est composée d’espèces </w:t>
      </w:r>
      <w:r w:rsidRPr="004637C7">
        <w:t>communes et bien adaptées aux milieux</w:t>
      </w:r>
      <w:r w:rsidRPr="0027338D">
        <w:t xml:space="preserve">. Aucune espèce menacée selon la </w:t>
      </w:r>
      <w:r w:rsidRPr="004637C7">
        <w:t>liste rouge de l’UICN</w:t>
      </w:r>
      <w:r w:rsidRPr="0027338D">
        <w:t xml:space="preserve"> ni espèce protégée au niveau national n’a été identifiée dans la zone.</w:t>
      </w:r>
    </w:p>
    <w:p w14:paraId="7FDE543C" w14:textId="77777777" w:rsidR="0027338D" w:rsidRDefault="0027338D" w:rsidP="00F1159D">
      <w:r w:rsidRPr="0027338D">
        <w:t xml:space="preserve">La </w:t>
      </w:r>
      <w:r w:rsidRPr="004637C7">
        <w:t>probabilité d’occurrence</w:t>
      </w:r>
      <w:r w:rsidRPr="0027338D">
        <w:t xml:space="preserve"> de ce risque est jugée </w:t>
      </w:r>
      <w:r w:rsidRPr="004637C7">
        <w:t>probable</w:t>
      </w:r>
      <w:r w:rsidRPr="0027338D">
        <w:t>, car la mobilité restreinte de certains individus et la fréquence élevée des manœuvres d’engins augmentent la probabilité d’interactions accidentelles.</w:t>
      </w:r>
    </w:p>
    <w:p w14:paraId="2A299B20" w14:textId="3DABB8D3" w:rsidR="0027338D" w:rsidRPr="0027338D" w:rsidRDefault="0027338D" w:rsidP="00F1159D">
      <w:r w:rsidRPr="0027338D">
        <w:t xml:space="preserve">La </w:t>
      </w:r>
      <w:r w:rsidRPr="004637C7">
        <w:t>gravité des conséquences</w:t>
      </w:r>
      <w:r w:rsidRPr="0027338D">
        <w:t xml:space="preserve"> est évaluée comme </w:t>
      </w:r>
      <w:r w:rsidRPr="004637C7">
        <w:t>mineure</w:t>
      </w:r>
      <w:r w:rsidRPr="0027338D">
        <w:t>, puisque les effets concernent quelques individus isolés et n’affectent pas la structure des populations ni les fonctions écologiques locales.</w:t>
      </w:r>
    </w:p>
    <w:p w14:paraId="367E91C6" w14:textId="7FC0FFFD" w:rsidR="0027338D" w:rsidRDefault="0027338D" w:rsidP="00F1159D">
      <w:r w:rsidRPr="0027338D">
        <w:t xml:space="preserve">L’évaluation croisée de ces deux critères conduit à un </w:t>
      </w:r>
      <w:r w:rsidRPr="004637C7">
        <w:t>niveau de risque modéré.</w:t>
      </w:r>
    </w:p>
    <w:tbl>
      <w:tblPr>
        <w:tblStyle w:val="TableauGrille1Clair-Accentuation111"/>
        <w:tblW w:w="0" w:type="auto"/>
        <w:tblLook w:val="04A0" w:firstRow="1" w:lastRow="0" w:firstColumn="1" w:lastColumn="0" w:noHBand="0" w:noVBand="1"/>
      </w:tblPr>
      <w:tblGrid>
        <w:gridCol w:w="1515"/>
        <w:gridCol w:w="1944"/>
        <w:gridCol w:w="1488"/>
        <w:gridCol w:w="3147"/>
        <w:gridCol w:w="966"/>
      </w:tblGrid>
      <w:tr w:rsidR="0025632E" w:rsidRPr="00B95A9D" w14:paraId="3FA55C01" w14:textId="77777777" w:rsidTr="005A766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4E4FCFBE" w14:textId="77777777" w:rsidR="0034543A" w:rsidRPr="00B95A9D" w:rsidRDefault="0034543A" w:rsidP="005A7661">
            <w:pPr>
              <w:rPr>
                <w:szCs w:val="20"/>
              </w:rPr>
            </w:pPr>
            <w:r w:rsidRPr="002C2301">
              <w:rPr>
                <w:rFonts w:eastAsiaTheme="majorEastAsia"/>
                <w:szCs w:val="20"/>
              </w:rPr>
              <w:t>Risque</w:t>
            </w:r>
          </w:p>
        </w:tc>
        <w:tc>
          <w:tcPr>
            <w:tcW w:w="0" w:type="auto"/>
          </w:tcPr>
          <w:p w14:paraId="66E19B97" w14:textId="77777777" w:rsidR="0034543A" w:rsidRPr="00B95A9D" w:rsidRDefault="0034543A" w:rsidP="005A7661">
            <w:pPr>
              <w:cnfStyle w:val="100000000000" w:firstRow="1" w:lastRow="0" w:firstColumn="0" w:lastColumn="0" w:oddVBand="0" w:evenVBand="0" w:oddHBand="0" w:evenHBand="0" w:firstRowFirstColumn="0" w:firstRowLastColumn="0" w:lastRowFirstColumn="0" w:lastRowLastColumn="0"/>
              <w:rPr>
                <w:szCs w:val="20"/>
              </w:rPr>
            </w:pPr>
            <w:r w:rsidRPr="002C2301">
              <w:rPr>
                <w:rFonts w:eastAsiaTheme="majorEastAsia"/>
                <w:szCs w:val="20"/>
              </w:rPr>
              <w:t>Activités génératrices</w:t>
            </w:r>
          </w:p>
        </w:tc>
        <w:tc>
          <w:tcPr>
            <w:tcW w:w="0" w:type="auto"/>
          </w:tcPr>
          <w:p w14:paraId="781ADB73" w14:textId="77777777" w:rsidR="0034543A" w:rsidRPr="00B95A9D" w:rsidRDefault="0034543A" w:rsidP="005A7661">
            <w:pPr>
              <w:cnfStyle w:val="100000000000" w:firstRow="1" w:lastRow="0" w:firstColumn="0" w:lastColumn="0" w:oddVBand="0" w:evenVBand="0" w:oddHBand="0" w:evenHBand="0" w:firstRowFirstColumn="0" w:firstRowLastColumn="0" w:lastRowFirstColumn="0" w:lastRowLastColumn="0"/>
              <w:rPr>
                <w:szCs w:val="20"/>
              </w:rPr>
            </w:pPr>
            <w:r w:rsidRPr="002C2301">
              <w:rPr>
                <w:rFonts w:eastAsiaTheme="majorEastAsia"/>
                <w:szCs w:val="20"/>
              </w:rPr>
              <w:t>Critère</w:t>
            </w:r>
          </w:p>
        </w:tc>
        <w:tc>
          <w:tcPr>
            <w:tcW w:w="0" w:type="auto"/>
          </w:tcPr>
          <w:p w14:paraId="3961C4B0" w14:textId="77777777" w:rsidR="0034543A" w:rsidRPr="00B95A9D" w:rsidRDefault="0034543A" w:rsidP="005A7661">
            <w:pPr>
              <w:cnfStyle w:val="100000000000" w:firstRow="1" w:lastRow="0" w:firstColumn="0" w:lastColumn="0" w:oddVBand="0" w:evenVBand="0" w:oddHBand="0" w:evenHBand="0" w:firstRowFirstColumn="0" w:firstRowLastColumn="0" w:lastRowFirstColumn="0" w:lastRowLastColumn="0"/>
              <w:rPr>
                <w:szCs w:val="20"/>
              </w:rPr>
            </w:pPr>
            <w:r w:rsidRPr="002C2301">
              <w:rPr>
                <w:rFonts w:eastAsiaTheme="majorEastAsia"/>
                <w:szCs w:val="20"/>
              </w:rPr>
              <w:t>Justification</w:t>
            </w:r>
          </w:p>
        </w:tc>
        <w:tc>
          <w:tcPr>
            <w:tcW w:w="0" w:type="auto"/>
          </w:tcPr>
          <w:p w14:paraId="76C35BCA" w14:textId="77777777" w:rsidR="0034543A" w:rsidRPr="00B95A9D" w:rsidRDefault="0034543A" w:rsidP="005A7661">
            <w:pPr>
              <w:cnfStyle w:val="100000000000" w:firstRow="1" w:lastRow="0" w:firstColumn="0" w:lastColumn="0" w:oddVBand="0" w:evenVBand="0" w:oddHBand="0" w:evenHBand="0" w:firstRowFirstColumn="0" w:firstRowLastColumn="0" w:lastRowFirstColumn="0" w:lastRowLastColumn="0"/>
              <w:rPr>
                <w:szCs w:val="20"/>
              </w:rPr>
            </w:pPr>
            <w:r w:rsidRPr="002C2301">
              <w:rPr>
                <w:rFonts w:eastAsiaTheme="majorEastAsia"/>
                <w:szCs w:val="20"/>
              </w:rPr>
              <w:t>Niveau</w:t>
            </w:r>
          </w:p>
        </w:tc>
      </w:tr>
      <w:tr w:rsidR="0025632E" w:rsidRPr="00B95A9D" w14:paraId="5B72FFFF" w14:textId="77777777" w:rsidTr="005A7661">
        <w:tc>
          <w:tcPr>
            <w:cnfStyle w:val="001000000000" w:firstRow="0" w:lastRow="0" w:firstColumn="1" w:lastColumn="0" w:oddVBand="0" w:evenVBand="0" w:oddHBand="0" w:evenHBand="0" w:firstRowFirstColumn="0" w:firstRowLastColumn="0" w:lastRowFirstColumn="0" w:lastRowLastColumn="0"/>
            <w:tcW w:w="0" w:type="auto"/>
            <w:vMerge w:val="restart"/>
          </w:tcPr>
          <w:p w14:paraId="45C76383" w14:textId="5949ABCA" w:rsidR="0034543A" w:rsidRPr="00B95A9D" w:rsidRDefault="0075348F" w:rsidP="005A7661">
            <w:pPr>
              <w:rPr>
                <w:szCs w:val="20"/>
              </w:rPr>
            </w:pPr>
            <w:r w:rsidRPr="0075348F">
              <w:rPr>
                <w:szCs w:val="20"/>
              </w:rPr>
              <w:t>Mortalité accidentelle de petits vertébrés et reptiles</w:t>
            </w:r>
          </w:p>
        </w:tc>
        <w:tc>
          <w:tcPr>
            <w:tcW w:w="0" w:type="auto"/>
            <w:vMerge w:val="restart"/>
          </w:tcPr>
          <w:p w14:paraId="0D416791" w14:textId="06E2B165" w:rsidR="0034543A" w:rsidRPr="00B95A9D" w:rsidRDefault="0075348F" w:rsidP="005A7661">
            <w:pPr>
              <w:cnfStyle w:val="000000000000" w:firstRow="0" w:lastRow="0" w:firstColumn="0" w:lastColumn="0" w:oddVBand="0" w:evenVBand="0" w:oddHBand="0" w:evenHBand="0" w:firstRowFirstColumn="0" w:firstRowLastColumn="0" w:lastRowFirstColumn="0" w:lastRowLastColumn="0"/>
              <w:rPr>
                <w:szCs w:val="20"/>
              </w:rPr>
            </w:pPr>
            <w:r w:rsidRPr="0075348F">
              <w:rPr>
                <w:szCs w:val="20"/>
              </w:rPr>
              <w:t>Travaux de décapage, terrassement, nivellement et circulation d’engins sur la zone d’extension</w:t>
            </w:r>
          </w:p>
        </w:tc>
        <w:tc>
          <w:tcPr>
            <w:tcW w:w="0" w:type="auto"/>
            <w:hideMark/>
          </w:tcPr>
          <w:p w14:paraId="212EEA63" w14:textId="77777777" w:rsidR="0034543A" w:rsidRPr="00B95A9D" w:rsidRDefault="0034543A" w:rsidP="005A7661">
            <w:pPr>
              <w:cnfStyle w:val="000000000000" w:firstRow="0" w:lastRow="0" w:firstColumn="0" w:lastColumn="0" w:oddVBand="0" w:evenVBand="0" w:oddHBand="0" w:evenHBand="0" w:firstRowFirstColumn="0" w:firstRowLastColumn="0" w:lastRowFirstColumn="0" w:lastRowLastColumn="0"/>
              <w:rPr>
                <w:szCs w:val="20"/>
              </w:rPr>
            </w:pPr>
            <w:r w:rsidRPr="00B95A9D">
              <w:rPr>
                <w:rFonts w:eastAsiaTheme="majorEastAsia"/>
                <w:b/>
                <w:bCs/>
                <w:szCs w:val="20"/>
              </w:rPr>
              <w:t>Probabilité d’occurrence</w:t>
            </w:r>
          </w:p>
        </w:tc>
        <w:tc>
          <w:tcPr>
            <w:tcW w:w="0" w:type="auto"/>
          </w:tcPr>
          <w:p w14:paraId="1FE2A119" w14:textId="5260E741" w:rsidR="0034543A" w:rsidRPr="00B95A9D" w:rsidRDefault="0025632E" w:rsidP="005A7661">
            <w:pPr>
              <w:cnfStyle w:val="000000000000" w:firstRow="0" w:lastRow="0" w:firstColumn="0" w:lastColumn="0" w:oddVBand="0" w:evenVBand="0" w:oddHBand="0" w:evenHBand="0" w:firstRowFirstColumn="0" w:firstRowLastColumn="0" w:lastRowFirstColumn="0" w:lastRowLastColumn="0"/>
              <w:rPr>
                <w:szCs w:val="20"/>
              </w:rPr>
            </w:pPr>
            <w:r w:rsidRPr="0025632E">
              <w:rPr>
                <w:szCs w:val="20"/>
              </w:rPr>
              <w:t>La survenue du risque est probable, car les travaux impliquent des engins lourds circulant dans des zones encore partiellement végétalisées où peuvent se réfugier des micromammifères et reptiles.</w:t>
            </w:r>
          </w:p>
        </w:tc>
        <w:tc>
          <w:tcPr>
            <w:tcW w:w="0" w:type="auto"/>
          </w:tcPr>
          <w:p w14:paraId="544AFA59" w14:textId="7BB966B2" w:rsidR="0034543A" w:rsidRPr="00B95A9D" w:rsidRDefault="0075348F" w:rsidP="005A7661">
            <w:pPr>
              <w:cnfStyle w:val="000000000000" w:firstRow="0" w:lastRow="0" w:firstColumn="0" w:lastColumn="0" w:oddVBand="0" w:evenVBand="0" w:oddHBand="0" w:evenHBand="0" w:firstRowFirstColumn="0" w:firstRowLastColumn="0" w:lastRowFirstColumn="0" w:lastRowLastColumn="0"/>
              <w:rPr>
                <w:szCs w:val="20"/>
              </w:rPr>
            </w:pPr>
            <w:r>
              <w:rPr>
                <w:szCs w:val="20"/>
              </w:rPr>
              <w:t>Probable</w:t>
            </w:r>
          </w:p>
        </w:tc>
      </w:tr>
      <w:tr w:rsidR="0025632E" w:rsidRPr="00B95A9D" w14:paraId="4B59F9CE" w14:textId="77777777" w:rsidTr="005A7661">
        <w:tc>
          <w:tcPr>
            <w:cnfStyle w:val="001000000000" w:firstRow="0" w:lastRow="0" w:firstColumn="1" w:lastColumn="0" w:oddVBand="0" w:evenVBand="0" w:oddHBand="0" w:evenHBand="0" w:firstRowFirstColumn="0" w:firstRowLastColumn="0" w:lastRowFirstColumn="0" w:lastRowLastColumn="0"/>
            <w:tcW w:w="0" w:type="auto"/>
            <w:vMerge/>
          </w:tcPr>
          <w:p w14:paraId="65D3C768" w14:textId="77777777" w:rsidR="0034543A" w:rsidRPr="00B95A9D" w:rsidRDefault="0034543A" w:rsidP="005A7661">
            <w:pPr>
              <w:rPr>
                <w:szCs w:val="20"/>
              </w:rPr>
            </w:pPr>
          </w:p>
        </w:tc>
        <w:tc>
          <w:tcPr>
            <w:tcW w:w="0" w:type="auto"/>
            <w:vMerge/>
          </w:tcPr>
          <w:p w14:paraId="0895BE98" w14:textId="77777777" w:rsidR="0034543A" w:rsidRPr="00B95A9D" w:rsidRDefault="0034543A" w:rsidP="005A7661">
            <w:pPr>
              <w:cnfStyle w:val="000000000000" w:firstRow="0" w:lastRow="0" w:firstColumn="0" w:lastColumn="0" w:oddVBand="0" w:evenVBand="0" w:oddHBand="0" w:evenHBand="0" w:firstRowFirstColumn="0" w:firstRowLastColumn="0" w:lastRowFirstColumn="0" w:lastRowLastColumn="0"/>
              <w:rPr>
                <w:szCs w:val="20"/>
              </w:rPr>
            </w:pPr>
          </w:p>
        </w:tc>
        <w:tc>
          <w:tcPr>
            <w:tcW w:w="0" w:type="auto"/>
            <w:hideMark/>
          </w:tcPr>
          <w:p w14:paraId="73BD9094" w14:textId="77777777" w:rsidR="0034543A" w:rsidRPr="00B95A9D" w:rsidRDefault="0034543A" w:rsidP="005A7661">
            <w:pPr>
              <w:cnfStyle w:val="000000000000" w:firstRow="0" w:lastRow="0" w:firstColumn="0" w:lastColumn="0" w:oddVBand="0" w:evenVBand="0" w:oddHBand="0" w:evenHBand="0" w:firstRowFirstColumn="0" w:firstRowLastColumn="0" w:lastRowFirstColumn="0" w:lastRowLastColumn="0"/>
              <w:rPr>
                <w:szCs w:val="20"/>
              </w:rPr>
            </w:pPr>
            <w:r w:rsidRPr="00B95A9D">
              <w:rPr>
                <w:rFonts w:eastAsiaTheme="majorEastAsia"/>
                <w:b/>
                <w:bCs/>
                <w:szCs w:val="20"/>
              </w:rPr>
              <w:t>Gravité des conséquences</w:t>
            </w:r>
          </w:p>
        </w:tc>
        <w:tc>
          <w:tcPr>
            <w:tcW w:w="0" w:type="auto"/>
          </w:tcPr>
          <w:p w14:paraId="4A6062EB" w14:textId="1E572EBA" w:rsidR="0034543A" w:rsidRPr="00B95A9D" w:rsidRDefault="0025632E" w:rsidP="005A7661">
            <w:pPr>
              <w:cnfStyle w:val="000000000000" w:firstRow="0" w:lastRow="0" w:firstColumn="0" w:lastColumn="0" w:oddVBand="0" w:evenVBand="0" w:oddHBand="0" w:evenHBand="0" w:firstRowFirstColumn="0" w:firstRowLastColumn="0" w:lastRowFirstColumn="0" w:lastRowLastColumn="0"/>
              <w:rPr>
                <w:szCs w:val="20"/>
              </w:rPr>
            </w:pPr>
            <w:r w:rsidRPr="0025632E">
              <w:rPr>
                <w:szCs w:val="20"/>
              </w:rPr>
              <w:t>Les effets concernent quelques individus isolés appartenant à des espèces communes et ubiquistes</w:t>
            </w:r>
            <w:r w:rsidR="0026235A">
              <w:rPr>
                <w:szCs w:val="20"/>
              </w:rPr>
              <w:t xml:space="preserve">. </w:t>
            </w:r>
            <w:r w:rsidRPr="0025632E">
              <w:rPr>
                <w:szCs w:val="20"/>
              </w:rPr>
              <w:t>Les conséquences sont mineures, n’affectant ni la viabilité des populations ni la fonctionnalité de l’habitat.</w:t>
            </w:r>
          </w:p>
        </w:tc>
        <w:tc>
          <w:tcPr>
            <w:tcW w:w="0" w:type="auto"/>
          </w:tcPr>
          <w:p w14:paraId="6EBFB399" w14:textId="66BD0027" w:rsidR="0034543A" w:rsidRPr="00B95A9D" w:rsidRDefault="0075348F" w:rsidP="005A7661">
            <w:pPr>
              <w:cnfStyle w:val="000000000000" w:firstRow="0" w:lastRow="0" w:firstColumn="0" w:lastColumn="0" w:oddVBand="0" w:evenVBand="0" w:oddHBand="0" w:evenHBand="0" w:firstRowFirstColumn="0" w:firstRowLastColumn="0" w:lastRowFirstColumn="0" w:lastRowLastColumn="0"/>
              <w:rPr>
                <w:szCs w:val="20"/>
              </w:rPr>
            </w:pPr>
            <w:r>
              <w:rPr>
                <w:szCs w:val="20"/>
              </w:rPr>
              <w:t>Mineure</w:t>
            </w:r>
          </w:p>
        </w:tc>
      </w:tr>
      <w:tr w:rsidR="0025632E" w:rsidRPr="00B95A9D" w14:paraId="3E27101D" w14:textId="77777777" w:rsidTr="005A7661">
        <w:tc>
          <w:tcPr>
            <w:cnfStyle w:val="001000000000" w:firstRow="0" w:lastRow="0" w:firstColumn="1" w:lastColumn="0" w:oddVBand="0" w:evenVBand="0" w:oddHBand="0" w:evenHBand="0" w:firstRowFirstColumn="0" w:firstRowLastColumn="0" w:lastRowFirstColumn="0" w:lastRowLastColumn="0"/>
            <w:tcW w:w="0" w:type="auto"/>
            <w:vMerge/>
          </w:tcPr>
          <w:p w14:paraId="55D12C2D" w14:textId="77777777" w:rsidR="0034543A" w:rsidRPr="00B95A9D" w:rsidRDefault="0034543A" w:rsidP="005A7661">
            <w:pPr>
              <w:rPr>
                <w:szCs w:val="20"/>
              </w:rPr>
            </w:pPr>
          </w:p>
        </w:tc>
        <w:tc>
          <w:tcPr>
            <w:tcW w:w="0" w:type="auto"/>
            <w:vMerge/>
          </w:tcPr>
          <w:p w14:paraId="54989A1B" w14:textId="77777777" w:rsidR="0034543A" w:rsidRPr="00B95A9D" w:rsidRDefault="0034543A" w:rsidP="005A7661">
            <w:pPr>
              <w:cnfStyle w:val="000000000000" w:firstRow="0" w:lastRow="0" w:firstColumn="0" w:lastColumn="0" w:oddVBand="0" w:evenVBand="0" w:oddHBand="0" w:evenHBand="0" w:firstRowFirstColumn="0" w:firstRowLastColumn="0" w:lastRowFirstColumn="0" w:lastRowLastColumn="0"/>
              <w:rPr>
                <w:szCs w:val="20"/>
              </w:rPr>
            </w:pPr>
          </w:p>
        </w:tc>
        <w:tc>
          <w:tcPr>
            <w:tcW w:w="0" w:type="auto"/>
            <w:hideMark/>
          </w:tcPr>
          <w:p w14:paraId="7D5CDCE4" w14:textId="77777777" w:rsidR="0034543A" w:rsidRPr="00B95A9D" w:rsidRDefault="0034543A" w:rsidP="005A7661">
            <w:pPr>
              <w:cnfStyle w:val="000000000000" w:firstRow="0" w:lastRow="0" w:firstColumn="0" w:lastColumn="0" w:oddVBand="0" w:evenVBand="0" w:oddHBand="0" w:evenHBand="0" w:firstRowFirstColumn="0" w:firstRowLastColumn="0" w:lastRowFirstColumn="0" w:lastRowLastColumn="0"/>
              <w:rPr>
                <w:szCs w:val="20"/>
              </w:rPr>
            </w:pPr>
            <w:r w:rsidRPr="00B95A9D">
              <w:rPr>
                <w:rFonts w:eastAsiaTheme="majorEastAsia"/>
                <w:b/>
                <w:bCs/>
                <w:szCs w:val="20"/>
              </w:rPr>
              <w:t>Évaluation globale du risque</w:t>
            </w:r>
          </w:p>
        </w:tc>
        <w:tc>
          <w:tcPr>
            <w:tcW w:w="0" w:type="auto"/>
          </w:tcPr>
          <w:p w14:paraId="6E9303EC" w14:textId="64CBEC26" w:rsidR="0034543A" w:rsidRPr="00B95A9D" w:rsidRDefault="0025632E" w:rsidP="005A7661">
            <w:pPr>
              <w:cnfStyle w:val="000000000000" w:firstRow="0" w:lastRow="0" w:firstColumn="0" w:lastColumn="0" w:oddVBand="0" w:evenVBand="0" w:oddHBand="0" w:evenHBand="0" w:firstRowFirstColumn="0" w:firstRowLastColumn="0" w:lastRowFirstColumn="0" w:lastRowLastColumn="0"/>
              <w:rPr>
                <w:szCs w:val="20"/>
              </w:rPr>
            </w:pPr>
            <w:r w:rsidRPr="0025632E">
              <w:rPr>
                <w:szCs w:val="20"/>
              </w:rPr>
              <w:t>En combinant une probabilité probable et une gravité mineure, le risque est modéré selon la matrice de criticité. Il peut être maîtrisé par des mesures préventives (inspection écologique, sensibilisation du personnel).</w:t>
            </w:r>
          </w:p>
        </w:tc>
        <w:tc>
          <w:tcPr>
            <w:tcW w:w="0" w:type="auto"/>
          </w:tcPr>
          <w:p w14:paraId="190A608F" w14:textId="18BBBAE7" w:rsidR="0034543A" w:rsidRPr="00B95A9D" w:rsidRDefault="0075348F" w:rsidP="005A7661">
            <w:pPr>
              <w:cnfStyle w:val="000000000000" w:firstRow="0" w:lastRow="0" w:firstColumn="0" w:lastColumn="0" w:oddVBand="0" w:evenVBand="0" w:oddHBand="0" w:evenHBand="0" w:firstRowFirstColumn="0" w:firstRowLastColumn="0" w:lastRowFirstColumn="0" w:lastRowLastColumn="0"/>
              <w:rPr>
                <w:szCs w:val="20"/>
              </w:rPr>
            </w:pPr>
            <w:r>
              <w:rPr>
                <w:szCs w:val="20"/>
              </w:rPr>
              <w:t>Modérée</w:t>
            </w:r>
          </w:p>
        </w:tc>
      </w:tr>
    </w:tbl>
    <w:p w14:paraId="763F4ECC" w14:textId="4BA775C6" w:rsidR="00DC5C3E" w:rsidRPr="00DC5C3E" w:rsidRDefault="00DC5C3E" w:rsidP="004637C7">
      <w:pPr>
        <w:pStyle w:val="Title5"/>
      </w:pPr>
      <w:bookmarkStart w:id="454" w:name="_bookmark194"/>
      <w:bookmarkEnd w:id="454"/>
      <w:r>
        <w:t>Mesures d’a</w:t>
      </w:r>
      <w:r w:rsidRPr="00DC5C3E">
        <w:t>tténuation</w:t>
      </w:r>
    </w:p>
    <w:p w14:paraId="33D56592" w14:textId="6513D7E3" w:rsidR="00DC5C3E" w:rsidRPr="00DC5C3E" w:rsidRDefault="00DC5C3E" w:rsidP="00DC5C3E">
      <w:r w:rsidRPr="00DC5C3E">
        <w:t>Les mesures d’atténuation pour la biodiversité se présentent comme suit :</w:t>
      </w:r>
    </w:p>
    <w:p w14:paraId="1D786696" w14:textId="77777777" w:rsidR="006466DB" w:rsidRDefault="006466DB" w:rsidP="00DF5E7A">
      <w:pPr>
        <w:pStyle w:val="Lgende"/>
        <w:rPr>
          <w:lang w:val="fr-FR"/>
        </w:rPr>
        <w:sectPr w:rsidR="006466DB" w:rsidSect="00FB08CF">
          <w:headerReference w:type="default" r:id="rId132"/>
          <w:footerReference w:type="default" r:id="rId133"/>
          <w:pgSz w:w="11906" w:h="16838"/>
          <w:pgMar w:top="1418" w:right="1418" w:bottom="1276" w:left="1418" w:header="680" w:footer="680" w:gutter="0"/>
          <w:cols w:space="708"/>
          <w:docGrid w:linePitch="360"/>
        </w:sectPr>
      </w:pPr>
      <w:bookmarkStart w:id="455" w:name="_bookmark195"/>
      <w:bookmarkEnd w:id="455"/>
    </w:p>
    <w:p w14:paraId="1CA670FA" w14:textId="3D4B76A2" w:rsidR="00DC5C3E" w:rsidRPr="002A0860" w:rsidRDefault="00BC4380" w:rsidP="00BC4380">
      <w:pPr>
        <w:pStyle w:val="Lgende"/>
        <w:rPr>
          <w:b w:val="0"/>
          <w:bCs w:val="0"/>
          <w:lang w:val="fr-FR"/>
        </w:rPr>
      </w:pPr>
      <w:bookmarkStart w:id="456" w:name="_Toc213404379"/>
      <w:r>
        <w:lastRenderedPageBreak/>
        <w:t xml:space="preserve">Tableau </w:t>
      </w:r>
      <w:r>
        <w:fldChar w:fldCharType="begin"/>
      </w:r>
      <w:r>
        <w:instrText xml:space="preserve"> SEQ Tableau \* ARABIC </w:instrText>
      </w:r>
      <w:r>
        <w:fldChar w:fldCharType="separate"/>
      </w:r>
      <w:r w:rsidR="00274E71">
        <w:rPr>
          <w:noProof/>
        </w:rPr>
        <w:t>57</w:t>
      </w:r>
      <w:r>
        <w:fldChar w:fldCharType="end"/>
      </w:r>
      <w:r>
        <w:rPr>
          <w:lang w:val="fr-FR"/>
        </w:rPr>
        <w:t xml:space="preserve"> : </w:t>
      </w:r>
      <w:r w:rsidRPr="00CD05B3">
        <w:rPr>
          <w:lang w:val="fr-FR"/>
        </w:rPr>
        <w:t>Biodiversité – Mesures d'atténuation en phase construction</w:t>
      </w:r>
      <w:bookmarkEnd w:id="456"/>
    </w:p>
    <w:tbl>
      <w:tblPr>
        <w:tblStyle w:val="TableauGrille1Clair-Accentuation111"/>
        <w:tblW w:w="0" w:type="auto"/>
        <w:tblLook w:val="04A0" w:firstRow="1" w:lastRow="0" w:firstColumn="1" w:lastColumn="0" w:noHBand="0" w:noVBand="1"/>
      </w:tblPr>
      <w:tblGrid>
        <w:gridCol w:w="1700"/>
        <w:gridCol w:w="1411"/>
        <w:gridCol w:w="2208"/>
        <w:gridCol w:w="1801"/>
        <w:gridCol w:w="988"/>
        <w:gridCol w:w="1592"/>
        <w:gridCol w:w="717"/>
        <w:gridCol w:w="2021"/>
        <w:gridCol w:w="1696"/>
      </w:tblGrid>
      <w:tr w:rsidR="0098223F" w:rsidRPr="00A36BE7" w14:paraId="6E4F2DF8" w14:textId="77777777" w:rsidTr="00A36BE7">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0" w:type="auto"/>
            <w:hideMark/>
          </w:tcPr>
          <w:p w14:paraId="5FE8A7DF" w14:textId="77777777" w:rsidR="00A36BE7" w:rsidRPr="00A36BE7" w:rsidRDefault="00A36BE7" w:rsidP="00A36BE7">
            <w:r w:rsidRPr="00A36BE7">
              <w:t>Impact / Risque</w:t>
            </w:r>
          </w:p>
        </w:tc>
        <w:tc>
          <w:tcPr>
            <w:tcW w:w="0" w:type="auto"/>
            <w:hideMark/>
          </w:tcPr>
          <w:p w14:paraId="7B7D0E45" w14:textId="77777777" w:rsidR="00A36BE7" w:rsidRPr="00A36BE7" w:rsidRDefault="00A36BE7" w:rsidP="00A36BE7">
            <w:pPr>
              <w:cnfStyle w:val="100000000000" w:firstRow="1" w:lastRow="0" w:firstColumn="0" w:lastColumn="0" w:oddVBand="0" w:evenVBand="0" w:oddHBand="0" w:evenHBand="0" w:firstRowFirstColumn="0" w:firstRowLastColumn="0" w:lastRowFirstColumn="0" w:lastRowLastColumn="0"/>
            </w:pPr>
            <w:r w:rsidRPr="00A36BE7">
              <w:t>Niveau d’atténuation</w:t>
            </w:r>
          </w:p>
        </w:tc>
        <w:tc>
          <w:tcPr>
            <w:tcW w:w="0" w:type="auto"/>
            <w:hideMark/>
          </w:tcPr>
          <w:p w14:paraId="07995B5D" w14:textId="77777777" w:rsidR="00A36BE7" w:rsidRPr="00A36BE7" w:rsidRDefault="00A36BE7" w:rsidP="00A36BE7">
            <w:pPr>
              <w:cnfStyle w:val="100000000000" w:firstRow="1" w:lastRow="0" w:firstColumn="0" w:lastColumn="0" w:oddVBand="0" w:evenVBand="0" w:oddHBand="0" w:evenHBand="0" w:firstRowFirstColumn="0" w:firstRowLastColumn="0" w:lastRowFirstColumn="0" w:lastRowLastColumn="0"/>
            </w:pPr>
            <w:r w:rsidRPr="00A36BE7">
              <w:t>Mesure d’atténuation / de gestion</w:t>
            </w:r>
          </w:p>
        </w:tc>
        <w:tc>
          <w:tcPr>
            <w:tcW w:w="0" w:type="auto"/>
            <w:hideMark/>
          </w:tcPr>
          <w:p w14:paraId="2152C0A6" w14:textId="77777777" w:rsidR="00A36BE7" w:rsidRPr="00A36BE7" w:rsidRDefault="00A36BE7" w:rsidP="00A36BE7">
            <w:pPr>
              <w:cnfStyle w:val="100000000000" w:firstRow="1" w:lastRow="0" w:firstColumn="0" w:lastColumn="0" w:oddVBand="0" w:evenVBand="0" w:oddHBand="0" w:evenHBand="0" w:firstRowFirstColumn="0" w:firstRowLastColumn="0" w:lastRowFirstColumn="0" w:lastRowLastColumn="0"/>
            </w:pPr>
            <w:r w:rsidRPr="00A36BE7">
              <w:t>Indicateurs de performance (KPI)</w:t>
            </w:r>
          </w:p>
        </w:tc>
        <w:tc>
          <w:tcPr>
            <w:tcW w:w="0" w:type="auto"/>
            <w:hideMark/>
          </w:tcPr>
          <w:p w14:paraId="7EB56D2D" w14:textId="77777777" w:rsidR="00A36BE7" w:rsidRPr="00A36BE7" w:rsidRDefault="00A36BE7" w:rsidP="00A36BE7">
            <w:pPr>
              <w:cnfStyle w:val="100000000000" w:firstRow="1" w:lastRow="0" w:firstColumn="0" w:lastColumn="0" w:oddVBand="0" w:evenVBand="0" w:oddHBand="0" w:evenHBand="0" w:firstRowFirstColumn="0" w:firstRowLastColumn="0" w:lastRowFirstColumn="0" w:lastRowLastColumn="0"/>
            </w:pPr>
            <w:r w:rsidRPr="00A36BE7">
              <w:t>Mise en œuvre</w:t>
            </w:r>
          </w:p>
        </w:tc>
        <w:tc>
          <w:tcPr>
            <w:tcW w:w="0" w:type="auto"/>
            <w:hideMark/>
          </w:tcPr>
          <w:p w14:paraId="112A657D" w14:textId="77777777" w:rsidR="00A36BE7" w:rsidRPr="00A36BE7" w:rsidRDefault="00A36BE7" w:rsidP="00A36BE7">
            <w:pPr>
              <w:cnfStyle w:val="100000000000" w:firstRow="1" w:lastRow="0" w:firstColumn="0" w:lastColumn="0" w:oddVBand="0" w:evenVBand="0" w:oddHBand="0" w:evenHBand="0" w:firstRowFirstColumn="0" w:firstRowLastColumn="0" w:lastRowFirstColumn="0" w:lastRowLastColumn="0"/>
            </w:pPr>
            <w:r w:rsidRPr="00A36BE7">
              <w:t>Surveillance</w:t>
            </w:r>
          </w:p>
        </w:tc>
        <w:tc>
          <w:tcPr>
            <w:tcW w:w="0" w:type="auto"/>
            <w:hideMark/>
          </w:tcPr>
          <w:p w14:paraId="228435EB" w14:textId="77777777" w:rsidR="00A36BE7" w:rsidRPr="00A36BE7" w:rsidRDefault="00A36BE7" w:rsidP="00A36BE7">
            <w:pPr>
              <w:cnfStyle w:val="100000000000" w:firstRow="1" w:lastRow="0" w:firstColumn="0" w:lastColumn="0" w:oddVBand="0" w:evenVBand="0" w:oddHBand="0" w:evenHBand="0" w:firstRowFirstColumn="0" w:firstRowLastColumn="0" w:lastRowFirstColumn="0" w:lastRowLastColumn="0"/>
            </w:pPr>
            <w:r w:rsidRPr="00A36BE7">
              <w:t>Suivi</w:t>
            </w:r>
          </w:p>
        </w:tc>
        <w:tc>
          <w:tcPr>
            <w:tcW w:w="0" w:type="auto"/>
            <w:hideMark/>
          </w:tcPr>
          <w:p w14:paraId="4515331D" w14:textId="77777777" w:rsidR="00A36BE7" w:rsidRPr="00A36BE7" w:rsidRDefault="00A36BE7" w:rsidP="00A36BE7">
            <w:pPr>
              <w:cnfStyle w:val="100000000000" w:firstRow="1" w:lastRow="0" w:firstColumn="0" w:lastColumn="0" w:oddVBand="0" w:evenVBand="0" w:oddHBand="0" w:evenHBand="0" w:firstRowFirstColumn="0" w:firstRowLastColumn="0" w:lastRowFirstColumn="0" w:lastRowLastColumn="0"/>
            </w:pPr>
            <w:r w:rsidRPr="00A36BE7">
              <w:t>Calendrier</w:t>
            </w:r>
          </w:p>
        </w:tc>
        <w:tc>
          <w:tcPr>
            <w:tcW w:w="0" w:type="auto"/>
            <w:hideMark/>
          </w:tcPr>
          <w:p w14:paraId="5956C8F5" w14:textId="77777777" w:rsidR="00A36BE7" w:rsidRPr="00A36BE7" w:rsidRDefault="00A36BE7" w:rsidP="00A36BE7">
            <w:pPr>
              <w:cnfStyle w:val="100000000000" w:firstRow="1" w:lastRow="0" w:firstColumn="0" w:lastColumn="0" w:oddVBand="0" w:evenVBand="0" w:oddHBand="0" w:evenHBand="0" w:firstRowFirstColumn="0" w:firstRowLastColumn="0" w:lastRowFirstColumn="0" w:lastRowLastColumn="0"/>
            </w:pPr>
            <w:r w:rsidRPr="00A36BE7">
              <w:t>Coût</w:t>
            </w:r>
          </w:p>
        </w:tc>
      </w:tr>
      <w:tr w:rsidR="0098223F" w:rsidRPr="00A36BE7" w14:paraId="1E5595E3" w14:textId="77777777" w:rsidTr="00A36BE7">
        <w:tc>
          <w:tcPr>
            <w:cnfStyle w:val="001000000000" w:firstRow="0" w:lastRow="0" w:firstColumn="1" w:lastColumn="0" w:oddVBand="0" w:evenVBand="0" w:oddHBand="0" w:evenHBand="0" w:firstRowFirstColumn="0" w:firstRowLastColumn="0" w:lastRowFirstColumn="0" w:lastRowLastColumn="0"/>
            <w:tcW w:w="0" w:type="auto"/>
            <w:vMerge w:val="restart"/>
            <w:hideMark/>
          </w:tcPr>
          <w:p w14:paraId="499E0282" w14:textId="77777777" w:rsidR="00C40C47" w:rsidRPr="00A36BE7" w:rsidRDefault="00C40C47" w:rsidP="00C40C47">
            <w:r w:rsidRPr="00A36BE7">
              <w:t>Destruction ponctuelle de la flore rudérale</w:t>
            </w:r>
          </w:p>
        </w:tc>
        <w:tc>
          <w:tcPr>
            <w:tcW w:w="0" w:type="auto"/>
            <w:hideMark/>
          </w:tcPr>
          <w:p w14:paraId="4DD304BA" w14:textId="77777777" w:rsidR="00C40C47" w:rsidRPr="00A36BE7" w:rsidRDefault="00C40C47" w:rsidP="00C40C47">
            <w:pPr>
              <w:cnfStyle w:val="000000000000" w:firstRow="0" w:lastRow="0" w:firstColumn="0" w:lastColumn="0" w:oddVBand="0" w:evenVBand="0" w:oddHBand="0" w:evenHBand="0" w:firstRowFirstColumn="0" w:firstRowLastColumn="0" w:lastRowFirstColumn="0" w:lastRowLastColumn="0"/>
            </w:pPr>
            <w:r w:rsidRPr="00A36BE7">
              <w:rPr>
                <w:b/>
                <w:bCs/>
              </w:rPr>
              <w:t>Éviter</w:t>
            </w:r>
          </w:p>
        </w:tc>
        <w:tc>
          <w:tcPr>
            <w:tcW w:w="0" w:type="auto"/>
            <w:hideMark/>
          </w:tcPr>
          <w:p w14:paraId="336922B2" w14:textId="77777777" w:rsidR="00C40C47" w:rsidRPr="00A36BE7" w:rsidRDefault="00C40C47" w:rsidP="00C40C47">
            <w:pPr>
              <w:cnfStyle w:val="000000000000" w:firstRow="0" w:lastRow="0" w:firstColumn="0" w:lastColumn="0" w:oddVBand="0" w:evenVBand="0" w:oddHBand="0" w:evenHBand="0" w:firstRowFirstColumn="0" w:firstRowLastColumn="0" w:lastRowFirstColumn="0" w:lastRowLastColumn="0"/>
            </w:pPr>
            <w:r w:rsidRPr="00A36BE7">
              <w:t>Délimiter strictement les zones de terrassement et interdire toute emprise en dehors des limites de chantier.</w:t>
            </w:r>
          </w:p>
        </w:tc>
        <w:tc>
          <w:tcPr>
            <w:tcW w:w="0" w:type="auto"/>
            <w:hideMark/>
          </w:tcPr>
          <w:p w14:paraId="6364D94F" w14:textId="658C74C4" w:rsidR="00C40C47" w:rsidRPr="00A36BE7" w:rsidRDefault="00C40C47" w:rsidP="00C40C47">
            <w:pPr>
              <w:cnfStyle w:val="000000000000" w:firstRow="0" w:lastRow="0" w:firstColumn="0" w:lastColumn="0" w:oddVBand="0" w:evenVBand="0" w:oddHBand="0" w:evenHBand="0" w:firstRowFirstColumn="0" w:firstRowLastColumn="0" w:lastRowFirstColumn="0" w:lastRowLastColumn="0"/>
            </w:pPr>
            <w:r w:rsidRPr="00A36BE7">
              <w:t xml:space="preserve">Surface défrichée </w:t>
            </w:r>
          </w:p>
        </w:tc>
        <w:tc>
          <w:tcPr>
            <w:tcW w:w="0" w:type="auto"/>
            <w:hideMark/>
          </w:tcPr>
          <w:p w14:paraId="2EF192F4" w14:textId="13477BBF" w:rsidR="00C40C47" w:rsidRPr="00A36BE7" w:rsidRDefault="00C40C47" w:rsidP="00C40C47">
            <w:pPr>
              <w:cnfStyle w:val="000000000000" w:firstRow="0" w:lastRow="0" w:firstColumn="0" w:lastColumn="0" w:oddVBand="0" w:evenVBand="0" w:oddHBand="0" w:evenHBand="0" w:firstRowFirstColumn="0" w:firstRowLastColumn="0" w:lastRowFirstColumn="0" w:lastRowLastColumn="0"/>
            </w:pPr>
            <w:r w:rsidRPr="004637C7">
              <w:rPr>
                <w:rFonts w:asciiTheme="minorHAnsi" w:hAnsiTheme="minorHAnsi" w:cstheme="minorHAnsi"/>
                <w:szCs w:val="20"/>
                <w:lang w:eastAsia="fr-FR" w:bidi="ar-SA"/>
              </w:rPr>
              <w:t>EPC et sous-traitants</w:t>
            </w:r>
          </w:p>
        </w:tc>
        <w:tc>
          <w:tcPr>
            <w:tcW w:w="0" w:type="auto"/>
            <w:hideMark/>
          </w:tcPr>
          <w:p w14:paraId="049F59A9" w14:textId="4C6BC1F0" w:rsidR="00C40C47" w:rsidRPr="00A36BE7" w:rsidRDefault="00C40C47" w:rsidP="00C40C47">
            <w:pPr>
              <w:cnfStyle w:val="000000000000" w:firstRow="0" w:lastRow="0" w:firstColumn="0" w:lastColumn="0" w:oddVBand="0" w:evenVBand="0" w:oddHBand="0" w:evenHBand="0" w:firstRowFirstColumn="0" w:firstRowLastColumn="0" w:lastRowFirstColumn="0" w:lastRowLastColumn="0"/>
            </w:pPr>
            <w:r w:rsidRPr="00BC1745">
              <w:rPr>
                <w:szCs w:val="20"/>
              </w:rPr>
              <w:t>Bureau de contrôle / Consultant de supervision mandaté par l’ONDA</w:t>
            </w:r>
          </w:p>
        </w:tc>
        <w:tc>
          <w:tcPr>
            <w:tcW w:w="0" w:type="auto"/>
            <w:hideMark/>
          </w:tcPr>
          <w:p w14:paraId="703F52A7" w14:textId="294585EA" w:rsidR="00C40C47" w:rsidRPr="00A36BE7" w:rsidRDefault="00C40C47" w:rsidP="00C40C47">
            <w:pPr>
              <w:cnfStyle w:val="000000000000" w:firstRow="0" w:lastRow="0" w:firstColumn="0" w:lastColumn="0" w:oddVBand="0" w:evenVBand="0" w:oddHBand="0" w:evenHBand="0" w:firstRowFirstColumn="0" w:firstRowLastColumn="0" w:lastRowFirstColumn="0" w:lastRowLastColumn="0"/>
            </w:pPr>
            <w:r>
              <w:rPr>
                <w:rFonts w:asciiTheme="minorHAnsi" w:hAnsiTheme="minorHAnsi" w:cstheme="minorHAnsi"/>
                <w:szCs w:val="20"/>
                <w:lang w:eastAsia="zh-CN"/>
              </w:rPr>
              <w:t>ONDA</w:t>
            </w:r>
          </w:p>
        </w:tc>
        <w:tc>
          <w:tcPr>
            <w:tcW w:w="0" w:type="auto"/>
            <w:hideMark/>
          </w:tcPr>
          <w:p w14:paraId="4852BB97" w14:textId="77777777" w:rsidR="00C40C47" w:rsidRPr="00A36BE7" w:rsidRDefault="00C40C47" w:rsidP="00C40C47">
            <w:pPr>
              <w:cnfStyle w:val="000000000000" w:firstRow="0" w:lastRow="0" w:firstColumn="0" w:lastColumn="0" w:oddVBand="0" w:evenVBand="0" w:oddHBand="0" w:evenHBand="0" w:firstRowFirstColumn="0" w:firstRowLastColumn="0" w:lastRowFirstColumn="0" w:lastRowLastColumn="0"/>
            </w:pPr>
            <w:r w:rsidRPr="00A36BE7">
              <w:t>Avant et pendant les travaux</w:t>
            </w:r>
          </w:p>
        </w:tc>
        <w:tc>
          <w:tcPr>
            <w:tcW w:w="0" w:type="auto"/>
            <w:hideMark/>
          </w:tcPr>
          <w:p w14:paraId="28F3717D" w14:textId="2AF2FAF9" w:rsidR="00C40C47" w:rsidRPr="00A36BE7" w:rsidRDefault="00006C74" w:rsidP="00C40C47">
            <w:pPr>
              <w:cnfStyle w:val="000000000000" w:firstRow="0" w:lastRow="0" w:firstColumn="0" w:lastColumn="0" w:oddVBand="0" w:evenVBand="0" w:oddHBand="0" w:evenHBand="0" w:firstRowFirstColumn="0" w:firstRowLastColumn="0" w:lastRowFirstColumn="0" w:lastRowLastColumn="0"/>
            </w:pPr>
            <w:r w:rsidRPr="00006C74">
              <w:t xml:space="preserve">10 – 15 </w:t>
            </w:r>
            <w:r w:rsidR="0098223F">
              <w:t>MAD</w:t>
            </w:r>
            <w:r w:rsidRPr="00006C74">
              <w:t>/m linéaire (rubalise + piquets)</w:t>
            </w:r>
          </w:p>
        </w:tc>
      </w:tr>
      <w:tr w:rsidR="0098223F" w:rsidRPr="00A36BE7" w14:paraId="001A9642" w14:textId="77777777" w:rsidTr="00A36BE7">
        <w:tc>
          <w:tcPr>
            <w:cnfStyle w:val="001000000000" w:firstRow="0" w:lastRow="0" w:firstColumn="1" w:lastColumn="0" w:oddVBand="0" w:evenVBand="0" w:oddHBand="0" w:evenHBand="0" w:firstRowFirstColumn="0" w:firstRowLastColumn="0" w:lastRowFirstColumn="0" w:lastRowLastColumn="0"/>
            <w:tcW w:w="0" w:type="auto"/>
            <w:vMerge/>
            <w:hideMark/>
          </w:tcPr>
          <w:p w14:paraId="5463F842" w14:textId="279C4FFB" w:rsidR="00C40C47" w:rsidRPr="00A36BE7" w:rsidRDefault="00C40C47" w:rsidP="00C40C47"/>
        </w:tc>
        <w:tc>
          <w:tcPr>
            <w:tcW w:w="0" w:type="auto"/>
            <w:hideMark/>
          </w:tcPr>
          <w:p w14:paraId="1A37F12B" w14:textId="77777777" w:rsidR="00C40C47" w:rsidRPr="00A36BE7" w:rsidRDefault="00C40C47" w:rsidP="00C40C47">
            <w:pPr>
              <w:cnfStyle w:val="000000000000" w:firstRow="0" w:lastRow="0" w:firstColumn="0" w:lastColumn="0" w:oddVBand="0" w:evenVBand="0" w:oddHBand="0" w:evenHBand="0" w:firstRowFirstColumn="0" w:firstRowLastColumn="0" w:lastRowFirstColumn="0" w:lastRowLastColumn="0"/>
            </w:pPr>
            <w:r w:rsidRPr="00A36BE7">
              <w:rPr>
                <w:b/>
                <w:bCs/>
              </w:rPr>
              <w:t>Réduire</w:t>
            </w:r>
          </w:p>
        </w:tc>
        <w:tc>
          <w:tcPr>
            <w:tcW w:w="0" w:type="auto"/>
            <w:hideMark/>
          </w:tcPr>
          <w:p w14:paraId="6F2BB564" w14:textId="02BEE384" w:rsidR="00C40C47" w:rsidRPr="00A36BE7" w:rsidRDefault="00C40C47" w:rsidP="00C40C47">
            <w:pPr>
              <w:cnfStyle w:val="000000000000" w:firstRow="0" w:lastRow="0" w:firstColumn="0" w:lastColumn="0" w:oddVBand="0" w:evenVBand="0" w:oddHBand="0" w:evenHBand="0" w:firstRowFirstColumn="0" w:firstRowLastColumn="0" w:lastRowFirstColumn="0" w:lastRowLastColumn="0"/>
            </w:pPr>
            <w:r w:rsidRPr="00A36BE7">
              <w:t>Retirer et stocker la couche de sol végétal (topsoil) pour réutilisation lors de la revégétalisation.</w:t>
            </w:r>
          </w:p>
        </w:tc>
        <w:tc>
          <w:tcPr>
            <w:tcW w:w="0" w:type="auto"/>
            <w:hideMark/>
          </w:tcPr>
          <w:p w14:paraId="7ADAB50F" w14:textId="3EAAAAB1" w:rsidR="00C40C47" w:rsidRPr="00A36BE7" w:rsidRDefault="00C40C47" w:rsidP="00C40C47">
            <w:pPr>
              <w:cnfStyle w:val="000000000000" w:firstRow="0" w:lastRow="0" w:firstColumn="0" w:lastColumn="0" w:oddVBand="0" w:evenVBand="0" w:oddHBand="0" w:evenHBand="0" w:firstRowFirstColumn="0" w:firstRowLastColumn="0" w:lastRowFirstColumn="0" w:lastRowLastColumn="0"/>
            </w:pPr>
            <w:r w:rsidRPr="00A36BE7">
              <w:t xml:space="preserve">Volume de topsoil stocké / volume théorique </w:t>
            </w:r>
          </w:p>
        </w:tc>
        <w:tc>
          <w:tcPr>
            <w:tcW w:w="0" w:type="auto"/>
            <w:hideMark/>
          </w:tcPr>
          <w:p w14:paraId="33610AD8" w14:textId="46CAC105" w:rsidR="00C40C47" w:rsidRPr="00A36BE7" w:rsidRDefault="00C40C47" w:rsidP="00C40C47">
            <w:pPr>
              <w:cnfStyle w:val="000000000000" w:firstRow="0" w:lastRow="0" w:firstColumn="0" w:lastColumn="0" w:oddVBand="0" w:evenVBand="0" w:oddHBand="0" w:evenHBand="0" w:firstRowFirstColumn="0" w:firstRowLastColumn="0" w:lastRowFirstColumn="0" w:lastRowLastColumn="0"/>
            </w:pPr>
            <w:r w:rsidRPr="004637C7">
              <w:rPr>
                <w:rFonts w:asciiTheme="minorHAnsi" w:hAnsiTheme="minorHAnsi" w:cstheme="minorHAnsi"/>
                <w:szCs w:val="20"/>
                <w:lang w:eastAsia="fr-FR" w:bidi="ar-SA"/>
              </w:rPr>
              <w:t>EPC et sous-traitants</w:t>
            </w:r>
          </w:p>
        </w:tc>
        <w:tc>
          <w:tcPr>
            <w:tcW w:w="0" w:type="auto"/>
            <w:hideMark/>
          </w:tcPr>
          <w:p w14:paraId="2CE9C6D4" w14:textId="365055AA" w:rsidR="00C40C47" w:rsidRPr="00A36BE7" w:rsidRDefault="00C40C47" w:rsidP="00C40C47">
            <w:pPr>
              <w:cnfStyle w:val="000000000000" w:firstRow="0" w:lastRow="0" w:firstColumn="0" w:lastColumn="0" w:oddVBand="0" w:evenVBand="0" w:oddHBand="0" w:evenHBand="0" w:firstRowFirstColumn="0" w:firstRowLastColumn="0" w:lastRowFirstColumn="0" w:lastRowLastColumn="0"/>
            </w:pPr>
            <w:r w:rsidRPr="00BC1745">
              <w:rPr>
                <w:szCs w:val="20"/>
              </w:rPr>
              <w:t>Bureau de contrôle / Consultant de supervision mandaté par l’ONDA</w:t>
            </w:r>
          </w:p>
        </w:tc>
        <w:tc>
          <w:tcPr>
            <w:tcW w:w="0" w:type="auto"/>
            <w:hideMark/>
          </w:tcPr>
          <w:p w14:paraId="1F7D7C00" w14:textId="0D4BAEB0" w:rsidR="00C40C47" w:rsidRPr="00A36BE7" w:rsidRDefault="00C40C47" w:rsidP="00C40C47">
            <w:pPr>
              <w:cnfStyle w:val="000000000000" w:firstRow="0" w:lastRow="0" w:firstColumn="0" w:lastColumn="0" w:oddVBand="0" w:evenVBand="0" w:oddHBand="0" w:evenHBand="0" w:firstRowFirstColumn="0" w:firstRowLastColumn="0" w:lastRowFirstColumn="0" w:lastRowLastColumn="0"/>
            </w:pPr>
            <w:r>
              <w:rPr>
                <w:rFonts w:asciiTheme="minorHAnsi" w:hAnsiTheme="minorHAnsi" w:cstheme="minorHAnsi"/>
                <w:szCs w:val="20"/>
                <w:lang w:eastAsia="zh-CN"/>
              </w:rPr>
              <w:t>ONDA</w:t>
            </w:r>
          </w:p>
        </w:tc>
        <w:tc>
          <w:tcPr>
            <w:tcW w:w="0" w:type="auto"/>
            <w:hideMark/>
          </w:tcPr>
          <w:p w14:paraId="2C0ABC55" w14:textId="77777777" w:rsidR="00C40C47" w:rsidRPr="00A36BE7" w:rsidRDefault="00C40C47" w:rsidP="00C40C47">
            <w:pPr>
              <w:cnfStyle w:val="000000000000" w:firstRow="0" w:lastRow="0" w:firstColumn="0" w:lastColumn="0" w:oddVBand="0" w:evenVBand="0" w:oddHBand="0" w:evenHBand="0" w:firstRowFirstColumn="0" w:firstRowLastColumn="0" w:lastRowFirstColumn="0" w:lastRowLastColumn="0"/>
            </w:pPr>
            <w:r w:rsidRPr="00A36BE7">
              <w:t>Début du chantier</w:t>
            </w:r>
          </w:p>
        </w:tc>
        <w:tc>
          <w:tcPr>
            <w:tcW w:w="0" w:type="auto"/>
            <w:hideMark/>
          </w:tcPr>
          <w:p w14:paraId="32E7C26D" w14:textId="4692FE65" w:rsidR="00C40C47" w:rsidRPr="00A36BE7" w:rsidRDefault="0098223F" w:rsidP="00C40C47">
            <w:pPr>
              <w:cnfStyle w:val="000000000000" w:firstRow="0" w:lastRow="0" w:firstColumn="0" w:lastColumn="0" w:oddVBand="0" w:evenVBand="0" w:oddHBand="0" w:evenHBand="0" w:firstRowFirstColumn="0" w:firstRowLastColumn="0" w:lastRowFirstColumn="0" w:lastRowLastColumn="0"/>
            </w:pPr>
            <w:r>
              <w:t>Aucun coût spécifique</w:t>
            </w:r>
          </w:p>
        </w:tc>
      </w:tr>
      <w:tr w:rsidR="0098223F" w:rsidRPr="00A36BE7" w14:paraId="7CF3A22E" w14:textId="77777777" w:rsidTr="00A36BE7">
        <w:tc>
          <w:tcPr>
            <w:cnfStyle w:val="001000000000" w:firstRow="0" w:lastRow="0" w:firstColumn="1" w:lastColumn="0" w:oddVBand="0" w:evenVBand="0" w:oddHBand="0" w:evenHBand="0" w:firstRowFirstColumn="0" w:firstRowLastColumn="0" w:lastRowFirstColumn="0" w:lastRowLastColumn="0"/>
            <w:tcW w:w="0" w:type="auto"/>
            <w:vMerge/>
            <w:hideMark/>
          </w:tcPr>
          <w:p w14:paraId="17032078" w14:textId="77777777" w:rsidR="00C40C47" w:rsidRPr="00A36BE7" w:rsidRDefault="00C40C47" w:rsidP="00C40C47"/>
        </w:tc>
        <w:tc>
          <w:tcPr>
            <w:tcW w:w="0" w:type="auto"/>
            <w:hideMark/>
          </w:tcPr>
          <w:p w14:paraId="6E0161CD" w14:textId="77777777" w:rsidR="00C40C47" w:rsidRPr="00A36BE7" w:rsidRDefault="00C40C47" w:rsidP="00C40C47">
            <w:pPr>
              <w:cnfStyle w:val="000000000000" w:firstRow="0" w:lastRow="0" w:firstColumn="0" w:lastColumn="0" w:oddVBand="0" w:evenVBand="0" w:oddHBand="0" w:evenHBand="0" w:firstRowFirstColumn="0" w:firstRowLastColumn="0" w:lastRowFirstColumn="0" w:lastRowLastColumn="0"/>
            </w:pPr>
            <w:r w:rsidRPr="00A36BE7">
              <w:rPr>
                <w:b/>
                <w:bCs/>
              </w:rPr>
              <w:t>Atténuer</w:t>
            </w:r>
          </w:p>
        </w:tc>
        <w:tc>
          <w:tcPr>
            <w:tcW w:w="0" w:type="auto"/>
            <w:hideMark/>
          </w:tcPr>
          <w:p w14:paraId="4611E53F" w14:textId="1F7DF38C" w:rsidR="00C40C47" w:rsidRPr="00A36BE7" w:rsidRDefault="00C40C47" w:rsidP="00C40C47">
            <w:pPr>
              <w:cnfStyle w:val="000000000000" w:firstRow="0" w:lastRow="0" w:firstColumn="0" w:lastColumn="0" w:oddVBand="0" w:evenVBand="0" w:oddHBand="0" w:evenHBand="0" w:firstRowFirstColumn="0" w:firstRowLastColumn="0" w:lastRowFirstColumn="0" w:lastRowLastColumn="0"/>
            </w:pPr>
            <w:r w:rsidRPr="00A36BE7">
              <w:t>Revégétaliser les zones dénudées et talus après travaux avec des espèces locales</w:t>
            </w:r>
          </w:p>
        </w:tc>
        <w:tc>
          <w:tcPr>
            <w:tcW w:w="0" w:type="auto"/>
            <w:hideMark/>
          </w:tcPr>
          <w:p w14:paraId="379483F8" w14:textId="0135C084" w:rsidR="00C40C47" w:rsidRPr="00A36BE7" w:rsidRDefault="00C40C47" w:rsidP="00C40C47">
            <w:pPr>
              <w:cnfStyle w:val="000000000000" w:firstRow="0" w:lastRow="0" w:firstColumn="0" w:lastColumn="0" w:oddVBand="0" w:evenVBand="0" w:oddHBand="0" w:evenHBand="0" w:firstRowFirstColumn="0" w:firstRowLastColumn="0" w:lastRowFirstColumn="0" w:lastRowLastColumn="0"/>
            </w:pPr>
            <w:r w:rsidRPr="00A36BE7">
              <w:t xml:space="preserve">Taux de reprise végétale </w:t>
            </w:r>
          </w:p>
        </w:tc>
        <w:tc>
          <w:tcPr>
            <w:tcW w:w="0" w:type="auto"/>
            <w:hideMark/>
          </w:tcPr>
          <w:p w14:paraId="57979204" w14:textId="059D759F" w:rsidR="00C40C47" w:rsidRPr="00A36BE7" w:rsidRDefault="00C40C47" w:rsidP="00C40C47">
            <w:pPr>
              <w:cnfStyle w:val="000000000000" w:firstRow="0" w:lastRow="0" w:firstColumn="0" w:lastColumn="0" w:oddVBand="0" w:evenVBand="0" w:oddHBand="0" w:evenHBand="0" w:firstRowFirstColumn="0" w:firstRowLastColumn="0" w:lastRowFirstColumn="0" w:lastRowLastColumn="0"/>
            </w:pPr>
            <w:r w:rsidRPr="004637C7">
              <w:rPr>
                <w:rFonts w:asciiTheme="minorHAnsi" w:hAnsiTheme="minorHAnsi" w:cstheme="minorHAnsi"/>
                <w:szCs w:val="20"/>
                <w:lang w:eastAsia="fr-FR" w:bidi="ar-SA"/>
              </w:rPr>
              <w:t>EPC et sous-traitants</w:t>
            </w:r>
          </w:p>
        </w:tc>
        <w:tc>
          <w:tcPr>
            <w:tcW w:w="0" w:type="auto"/>
            <w:hideMark/>
          </w:tcPr>
          <w:p w14:paraId="6CC983E2" w14:textId="57CB4DCB" w:rsidR="00C40C47" w:rsidRPr="00A36BE7" w:rsidRDefault="00C40C47" w:rsidP="00C40C47">
            <w:pPr>
              <w:cnfStyle w:val="000000000000" w:firstRow="0" w:lastRow="0" w:firstColumn="0" w:lastColumn="0" w:oddVBand="0" w:evenVBand="0" w:oddHBand="0" w:evenHBand="0" w:firstRowFirstColumn="0" w:firstRowLastColumn="0" w:lastRowFirstColumn="0" w:lastRowLastColumn="0"/>
            </w:pPr>
            <w:r w:rsidRPr="00BC1745">
              <w:rPr>
                <w:szCs w:val="20"/>
              </w:rPr>
              <w:t>Bureau de contrôle / Consultant de supervision mandaté par l’ONDA</w:t>
            </w:r>
          </w:p>
        </w:tc>
        <w:tc>
          <w:tcPr>
            <w:tcW w:w="0" w:type="auto"/>
            <w:hideMark/>
          </w:tcPr>
          <w:p w14:paraId="09D56C8A" w14:textId="6A8E904F" w:rsidR="00C40C47" w:rsidRPr="00A36BE7" w:rsidRDefault="00C40C47" w:rsidP="00C40C47">
            <w:pPr>
              <w:cnfStyle w:val="000000000000" w:firstRow="0" w:lastRow="0" w:firstColumn="0" w:lastColumn="0" w:oddVBand="0" w:evenVBand="0" w:oddHBand="0" w:evenHBand="0" w:firstRowFirstColumn="0" w:firstRowLastColumn="0" w:lastRowFirstColumn="0" w:lastRowLastColumn="0"/>
            </w:pPr>
            <w:r>
              <w:rPr>
                <w:rFonts w:asciiTheme="minorHAnsi" w:hAnsiTheme="minorHAnsi" w:cstheme="minorHAnsi"/>
                <w:szCs w:val="20"/>
                <w:lang w:eastAsia="zh-CN"/>
              </w:rPr>
              <w:t>ONDA</w:t>
            </w:r>
          </w:p>
        </w:tc>
        <w:tc>
          <w:tcPr>
            <w:tcW w:w="0" w:type="auto"/>
            <w:hideMark/>
          </w:tcPr>
          <w:p w14:paraId="5BB1B24A" w14:textId="77777777" w:rsidR="00C40C47" w:rsidRPr="00A36BE7" w:rsidRDefault="00C40C47" w:rsidP="00C40C47">
            <w:pPr>
              <w:cnfStyle w:val="000000000000" w:firstRow="0" w:lastRow="0" w:firstColumn="0" w:lastColumn="0" w:oddVBand="0" w:evenVBand="0" w:oddHBand="0" w:evenHBand="0" w:firstRowFirstColumn="0" w:firstRowLastColumn="0" w:lastRowFirstColumn="0" w:lastRowLastColumn="0"/>
            </w:pPr>
            <w:r w:rsidRPr="00A36BE7">
              <w:t>Fin des travaux</w:t>
            </w:r>
          </w:p>
        </w:tc>
        <w:tc>
          <w:tcPr>
            <w:tcW w:w="0" w:type="auto"/>
            <w:hideMark/>
          </w:tcPr>
          <w:p w14:paraId="4B1197A6" w14:textId="10363DAA" w:rsidR="00C40C47" w:rsidRPr="00A36BE7" w:rsidRDefault="0098223F" w:rsidP="00C40C47">
            <w:pPr>
              <w:cnfStyle w:val="000000000000" w:firstRow="0" w:lastRow="0" w:firstColumn="0" w:lastColumn="0" w:oddVBand="0" w:evenVBand="0" w:oddHBand="0" w:evenHBand="0" w:firstRowFirstColumn="0" w:firstRowLastColumn="0" w:lastRowFirstColumn="0" w:lastRowLastColumn="0"/>
            </w:pPr>
            <w:r w:rsidRPr="0098223F">
              <w:t xml:space="preserve">25 – 35 </w:t>
            </w:r>
            <w:r>
              <w:t>MAD</w:t>
            </w:r>
            <w:r w:rsidRPr="0098223F">
              <w:t>/m²</w:t>
            </w:r>
            <w:r>
              <w:t xml:space="preserve"> (</w:t>
            </w:r>
            <w:r w:rsidRPr="0098223F">
              <w:t>Inclut préparation, semis, paillage, arrosage initial</w:t>
            </w:r>
            <w:r>
              <w:t>)</w:t>
            </w:r>
          </w:p>
        </w:tc>
      </w:tr>
      <w:tr w:rsidR="0098223F" w:rsidRPr="00A36BE7" w14:paraId="41625810" w14:textId="77777777" w:rsidTr="00A36BE7">
        <w:tc>
          <w:tcPr>
            <w:cnfStyle w:val="001000000000" w:firstRow="0" w:lastRow="0" w:firstColumn="1" w:lastColumn="0" w:oddVBand="0" w:evenVBand="0" w:oddHBand="0" w:evenHBand="0" w:firstRowFirstColumn="0" w:firstRowLastColumn="0" w:lastRowFirstColumn="0" w:lastRowLastColumn="0"/>
            <w:tcW w:w="0" w:type="auto"/>
            <w:vMerge/>
            <w:hideMark/>
          </w:tcPr>
          <w:p w14:paraId="29A1A79D" w14:textId="77777777" w:rsidR="00C40C47" w:rsidRPr="00A36BE7" w:rsidRDefault="00C40C47" w:rsidP="00C40C47"/>
        </w:tc>
        <w:tc>
          <w:tcPr>
            <w:tcW w:w="0" w:type="auto"/>
            <w:hideMark/>
          </w:tcPr>
          <w:p w14:paraId="39A7F0E7" w14:textId="77777777" w:rsidR="00C40C47" w:rsidRPr="00A36BE7" w:rsidRDefault="00C40C47" w:rsidP="00C40C47">
            <w:pPr>
              <w:cnfStyle w:val="000000000000" w:firstRow="0" w:lastRow="0" w:firstColumn="0" w:lastColumn="0" w:oddVBand="0" w:evenVBand="0" w:oddHBand="0" w:evenHBand="0" w:firstRowFirstColumn="0" w:firstRowLastColumn="0" w:lastRowFirstColumn="0" w:lastRowLastColumn="0"/>
            </w:pPr>
            <w:r w:rsidRPr="00A36BE7">
              <w:rPr>
                <w:b/>
                <w:bCs/>
              </w:rPr>
              <w:t>Compenser</w:t>
            </w:r>
          </w:p>
        </w:tc>
        <w:tc>
          <w:tcPr>
            <w:tcW w:w="0" w:type="auto"/>
            <w:hideMark/>
          </w:tcPr>
          <w:p w14:paraId="7AD1909A" w14:textId="77777777" w:rsidR="00C40C47" w:rsidRPr="00A36BE7" w:rsidRDefault="00C40C47" w:rsidP="00C40C47">
            <w:pPr>
              <w:cnfStyle w:val="000000000000" w:firstRow="0" w:lastRow="0" w:firstColumn="0" w:lastColumn="0" w:oddVBand="0" w:evenVBand="0" w:oddHBand="0" w:evenHBand="0" w:firstRowFirstColumn="0" w:firstRowLastColumn="0" w:lastRowFirstColumn="0" w:lastRowLastColumn="0"/>
            </w:pPr>
            <w:r w:rsidRPr="00A36BE7">
              <w:t xml:space="preserve">En cas de perte de végétation, restaurer une surface équivalente en périphérie du site </w:t>
            </w:r>
            <w:r w:rsidRPr="00A36BE7">
              <w:lastRenderedPageBreak/>
              <w:t>avec espèces autochtones.</w:t>
            </w:r>
          </w:p>
        </w:tc>
        <w:tc>
          <w:tcPr>
            <w:tcW w:w="0" w:type="auto"/>
            <w:hideMark/>
          </w:tcPr>
          <w:p w14:paraId="54A5571C" w14:textId="77777777" w:rsidR="00C40C47" w:rsidRPr="00A36BE7" w:rsidRDefault="00C40C47" w:rsidP="00C40C47">
            <w:pPr>
              <w:cnfStyle w:val="000000000000" w:firstRow="0" w:lastRow="0" w:firstColumn="0" w:lastColumn="0" w:oddVBand="0" w:evenVBand="0" w:oddHBand="0" w:evenHBand="0" w:firstRowFirstColumn="0" w:firstRowLastColumn="0" w:lastRowFirstColumn="0" w:lastRowLastColumn="0"/>
            </w:pPr>
            <w:r w:rsidRPr="00A36BE7">
              <w:lastRenderedPageBreak/>
              <w:t>Surface compensée = surface défrichée</w:t>
            </w:r>
          </w:p>
        </w:tc>
        <w:tc>
          <w:tcPr>
            <w:tcW w:w="0" w:type="auto"/>
            <w:hideMark/>
          </w:tcPr>
          <w:p w14:paraId="660BAE0D" w14:textId="6368E5EF" w:rsidR="00C40C47" w:rsidRPr="00A36BE7" w:rsidRDefault="00C40C47" w:rsidP="00C40C47">
            <w:pPr>
              <w:cnfStyle w:val="000000000000" w:firstRow="0" w:lastRow="0" w:firstColumn="0" w:lastColumn="0" w:oddVBand="0" w:evenVBand="0" w:oddHBand="0" w:evenHBand="0" w:firstRowFirstColumn="0" w:firstRowLastColumn="0" w:lastRowFirstColumn="0" w:lastRowLastColumn="0"/>
            </w:pPr>
            <w:r w:rsidRPr="004637C7">
              <w:rPr>
                <w:rFonts w:asciiTheme="minorHAnsi" w:hAnsiTheme="minorHAnsi" w:cstheme="minorHAnsi"/>
                <w:szCs w:val="20"/>
                <w:lang w:eastAsia="fr-FR" w:bidi="ar-SA"/>
              </w:rPr>
              <w:t>EPC et sous-traitants</w:t>
            </w:r>
          </w:p>
        </w:tc>
        <w:tc>
          <w:tcPr>
            <w:tcW w:w="0" w:type="auto"/>
            <w:hideMark/>
          </w:tcPr>
          <w:p w14:paraId="6921239A" w14:textId="0FECC9E1" w:rsidR="00C40C47" w:rsidRPr="00A36BE7" w:rsidRDefault="00C40C47" w:rsidP="00C40C47">
            <w:pPr>
              <w:cnfStyle w:val="000000000000" w:firstRow="0" w:lastRow="0" w:firstColumn="0" w:lastColumn="0" w:oddVBand="0" w:evenVBand="0" w:oddHBand="0" w:evenHBand="0" w:firstRowFirstColumn="0" w:firstRowLastColumn="0" w:lastRowFirstColumn="0" w:lastRowLastColumn="0"/>
            </w:pPr>
            <w:r w:rsidRPr="00BC1745">
              <w:rPr>
                <w:szCs w:val="20"/>
              </w:rPr>
              <w:t xml:space="preserve">Bureau de contrôle / Consultant de supervision </w:t>
            </w:r>
            <w:r w:rsidRPr="00BC1745">
              <w:rPr>
                <w:szCs w:val="20"/>
              </w:rPr>
              <w:lastRenderedPageBreak/>
              <w:t>mandaté par l’ONDA</w:t>
            </w:r>
          </w:p>
        </w:tc>
        <w:tc>
          <w:tcPr>
            <w:tcW w:w="0" w:type="auto"/>
            <w:hideMark/>
          </w:tcPr>
          <w:p w14:paraId="375FC6F4" w14:textId="7D777ABE" w:rsidR="00C40C47" w:rsidRPr="00A36BE7" w:rsidRDefault="00C40C47" w:rsidP="00C40C47">
            <w:pPr>
              <w:cnfStyle w:val="000000000000" w:firstRow="0" w:lastRow="0" w:firstColumn="0" w:lastColumn="0" w:oddVBand="0" w:evenVBand="0" w:oddHBand="0" w:evenHBand="0" w:firstRowFirstColumn="0" w:firstRowLastColumn="0" w:lastRowFirstColumn="0" w:lastRowLastColumn="0"/>
            </w:pPr>
            <w:r>
              <w:rPr>
                <w:rFonts w:asciiTheme="minorHAnsi" w:hAnsiTheme="minorHAnsi" w:cstheme="minorHAnsi"/>
                <w:szCs w:val="20"/>
                <w:lang w:eastAsia="zh-CN"/>
              </w:rPr>
              <w:lastRenderedPageBreak/>
              <w:t>ONDA</w:t>
            </w:r>
          </w:p>
        </w:tc>
        <w:tc>
          <w:tcPr>
            <w:tcW w:w="0" w:type="auto"/>
            <w:hideMark/>
          </w:tcPr>
          <w:p w14:paraId="706049B7" w14:textId="77777777" w:rsidR="00C40C47" w:rsidRPr="00A36BE7" w:rsidRDefault="00C40C47" w:rsidP="00C40C47">
            <w:pPr>
              <w:cnfStyle w:val="000000000000" w:firstRow="0" w:lastRow="0" w:firstColumn="0" w:lastColumn="0" w:oddVBand="0" w:evenVBand="0" w:oddHBand="0" w:evenHBand="0" w:firstRowFirstColumn="0" w:firstRowLastColumn="0" w:lastRowFirstColumn="0" w:lastRowLastColumn="0"/>
            </w:pPr>
            <w:r w:rsidRPr="00A36BE7">
              <w:t>Après chantier</w:t>
            </w:r>
          </w:p>
        </w:tc>
        <w:tc>
          <w:tcPr>
            <w:tcW w:w="0" w:type="auto"/>
            <w:hideMark/>
          </w:tcPr>
          <w:p w14:paraId="38F8F1D5" w14:textId="39BFB3F1" w:rsidR="00C40C47" w:rsidRPr="00A36BE7" w:rsidRDefault="00C40C47" w:rsidP="00C40C47">
            <w:pPr>
              <w:cnfStyle w:val="000000000000" w:firstRow="0" w:lastRow="0" w:firstColumn="0" w:lastColumn="0" w:oddVBand="0" w:evenVBand="0" w:oddHBand="0" w:evenHBand="0" w:firstRowFirstColumn="0" w:firstRowLastColumn="0" w:lastRowFirstColumn="0" w:lastRowLastColumn="0"/>
            </w:pPr>
            <w:r>
              <w:t>Variable selon les espèces</w:t>
            </w:r>
          </w:p>
        </w:tc>
      </w:tr>
      <w:tr w:rsidR="0098223F" w:rsidRPr="00A36BE7" w14:paraId="55C74005" w14:textId="77777777" w:rsidTr="00A36BE7">
        <w:tc>
          <w:tcPr>
            <w:cnfStyle w:val="001000000000" w:firstRow="0" w:lastRow="0" w:firstColumn="1" w:lastColumn="0" w:oddVBand="0" w:evenVBand="0" w:oddHBand="0" w:evenHBand="0" w:firstRowFirstColumn="0" w:firstRowLastColumn="0" w:lastRowFirstColumn="0" w:lastRowLastColumn="0"/>
            <w:tcW w:w="0" w:type="auto"/>
            <w:vMerge w:val="restart"/>
            <w:hideMark/>
          </w:tcPr>
          <w:p w14:paraId="62353C72" w14:textId="77777777" w:rsidR="00C40C47" w:rsidRPr="00A36BE7" w:rsidRDefault="00C40C47" w:rsidP="00C40C47">
            <w:r w:rsidRPr="00A36BE7">
              <w:rPr>
                <w:b w:val="0"/>
                <w:bCs w:val="0"/>
              </w:rPr>
              <w:lastRenderedPageBreak/>
              <w:t>Perturbation temporaire de la faune terrestre et aviaire</w:t>
            </w:r>
          </w:p>
        </w:tc>
        <w:tc>
          <w:tcPr>
            <w:tcW w:w="0" w:type="auto"/>
            <w:hideMark/>
          </w:tcPr>
          <w:p w14:paraId="2F5CD601" w14:textId="77777777" w:rsidR="00C40C47" w:rsidRPr="00A36BE7" w:rsidRDefault="00C40C47" w:rsidP="00C40C47">
            <w:pPr>
              <w:cnfStyle w:val="000000000000" w:firstRow="0" w:lastRow="0" w:firstColumn="0" w:lastColumn="0" w:oddVBand="0" w:evenVBand="0" w:oddHBand="0" w:evenHBand="0" w:firstRowFirstColumn="0" w:firstRowLastColumn="0" w:lastRowFirstColumn="0" w:lastRowLastColumn="0"/>
              <w:rPr>
                <w:b/>
                <w:bCs/>
              </w:rPr>
            </w:pPr>
            <w:r w:rsidRPr="00A36BE7">
              <w:rPr>
                <w:b/>
                <w:bCs/>
              </w:rPr>
              <w:t>Éviter</w:t>
            </w:r>
          </w:p>
        </w:tc>
        <w:tc>
          <w:tcPr>
            <w:tcW w:w="0" w:type="auto"/>
            <w:hideMark/>
          </w:tcPr>
          <w:p w14:paraId="178AB01E" w14:textId="77777777" w:rsidR="00C40C47" w:rsidRPr="00A36BE7" w:rsidRDefault="00C40C47" w:rsidP="00C40C47">
            <w:pPr>
              <w:cnfStyle w:val="000000000000" w:firstRow="0" w:lastRow="0" w:firstColumn="0" w:lastColumn="0" w:oddVBand="0" w:evenVBand="0" w:oddHBand="0" w:evenHBand="0" w:firstRowFirstColumn="0" w:firstRowLastColumn="0" w:lastRowFirstColumn="0" w:lastRowLastColumn="0"/>
            </w:pPr>
            <w:r w:rsidRPr="00A36BE7">
              <w:t>Délimiter les zones d’intervention et interdire l’accès en dehors des emprises autorisées.</w:t>
            </w:r>
          </w:p>
        </w:tc>
        <w:tc>
          <w:tcPr>
            <w:tcW w:w="0" w:type="auto"/>
            <w:hideMark/>
          </w:tcPr>
          <w:p w14:paraId="3E933AE0" w14:textId="77777777" w:rsidR="00C40C47" w:rsidRPr="00A36BE7" w:rsidRDefault="00C40C47" w:rsidP="00C40C47">
            <w:pPr>
              <w:cnfStyle w:val="000000000000" w:firstRow="0" w:lastRow="0" w:firstColumn="0" w:lastColumn="0" w:oddVBand="0" w:evenVBand="0" w:oddHBand="0" w:evenHBand="0" w:firstRowFirstColumn="0" w:firstRowLastColumn="0" w:lastRowFirstColumn="0" w:lastRowLastColumn="0"/>
            </w:pPr>
            <w:r w:rsidRPr="00A36BE7">
              <w:t>Absence de traces ou d’activités hors zone balisée</w:t>
            </w:r>
          </w:p>
        </w:tc>
        <w:tc>
          <w:tcPr>
            <w:tcW w:w="0" w:type="auto"/>
            <w:hideMark/>
          </w:tcPr>
          <w:p w14:paraId="31468442" w14:textId="14393C33" w:rsidR="00C40C47" w:rsidRPr="00A36BE7" w:rsidRDefault="00C40C47" w:rsidP="00C40C47">
            <w:pPr>
              <w:cnfStyle w:val="000000000000" w:firstRow="0" w:lastRow="0" w:firstColumn="0" w:lastColumn="0" w:oddVBand="0" w:evenVBand="0" w:oddHBand="0" w:evenHBand="0" w:firstRowFirstColumn="0" w:firstRowLastColumn="0" w:lastRowFirstColumn="0" w:lastRowLastColumn="0"/>
            </w:pPr>
            <w:r w:rsidRPr="004637C7">
              <w:rPr>
                <w:rFonts w:asciiTheme="minorHAnsi" w:hAnsiTheme="minorHAnsi" w:cstheme="minorHAnsi"/>
                <w:szCs w:val="20"/>
                <w:lang w:eastAsia="fr-FR" w:bidi="ar-SA"/>
              </w:rPr>
              <w:t>EPC et sous-traitants</w:t>
            </w:r>
          </w:p>
        </w:tc>
        <w:tc>
          <w:tcPr>
            <w:tcW w:w="0" w:type="auto"/>
            <w:hideMark/>
          </w:tcPr>
          <w:p w14:paraId="794CAC7E" w14:textId="5D60E4A9" w:rsidR="00C40C47" w:rsidRPr="00A36BE7" w:rsidRDefault="00C40C47" w:rsidP="00C40C47">
            <w:pPr>
              <w:cnfStyle w:val="000000000000" w:firstRow="0" w:lastRow="0" w:firstColumn="0" w:lastColumn="0" w:oddVBand="0" w:evenVBand="0" w:oddHBand="0" w:evenHBand="0" w:firstRowFirstColumn="0" w:firstRowLastColumn="0" w:lastRowFirstColumn="0" w:lastRowLastColumn="0"/>
            </w:pPr>
            <w:r w:rsidRPr="00BC1745">
              <w:rPr>
                <w:szCs w:val="20"/>
              </w:rPr>
              <w:t>Bureau de contrôle / Consultant de supervision mandaté par l’ONDA</w:t>
            </w:r>
          </w:p>
        </w:tc>
        <w:tc>
          <w:tcPr>
            <w:tcW w:w="0" w:type="auto"/>
            <w:hideMark/>
          </w:tcPr>
          <w:p w14:paraId="0D8259C8" w14:textId="5C101CA2" w:rsidR="00C40C47" w:rsidRPr="00A36BE7" w:rsidRDefault="00C40C47" w:rsidP="00C40C47">
            <w:pPr>
              <w:cnfStyle w:val="000000000000" w:firstRow="0" w:lastRow="0" w:firstColumn="0" w:lastColumn="0" w:oddVBand="0" w:evenVBand="0" w:oddHBand="0" w:evenHBand="0" w:firstRowFirstColumn="0" w:firstRowLastColumn="0" w:lastRowFirstColumn="0" w:lastRowLastColumn="0"/>
            </w:pPr>
            <w:r>
              <w:rPr>
                <w:rFonts w:asciiTheme="minorHAnsi" w:hAnsiTheme="minorHAnsi" w:cstheme="minorHAnsi"/>
                <w:szCs w:val="20"/>
                <w:lang w:eastAsia="zh-CN"/>
              </w:rPr>
              <w:t>ONDA</w:t>
            </w:r>
          </w:p>
        </w:tc>
        <w:tc>
          <w:tcPr>
            <w:tcW w:w="0" w:type="auto"/>
            <w:hideMark/>
          </w:tcPr>
          <w:p w14:paraId="5CBB18CF" w14:textId="77777777" w:rsidR="00C40C47" w:rsidRPr="00A36BE7" w:rsidRDefault="00C40C47" w:rsidP="00C40C47">
            <w:pPr>
              <w:cnfStyle w:val="000000000000" w:firstRow="0" w:lastRow="0" w:firstColumn="0" w:lastColumn="0" w:oddVBand="0" w:evenVBand="0" w:oddHBand="0" w:evenHBand="0" w:firstRowFirstColumn="0" w:firstRowLastColumn="0" w:lastRowFirstColumn="0" w:lastRowLastColumn="0"/>
            </w:pPr>
            <w:r w:rsidRPr="00A36BE7">
              <w:t>Avant et pendant les travaux</w:t>
            </w:r>
          </w:p>
        </w:tc>
        <w:tc>
          <w:tcPr>
            <w:tcW w:w="0" w:type="auto"/>
            <w:hideMark/>
          </w:tcPr>
          <w:p w14:paraId="10B39E29" w14:textId="0BE8557D" w:rsidR="00C40C47" w:rsidRPr="00A36BE7" w:rsidRDefault="00147EB5" w:rsidP="00C40C47">
            <w:pPr>
              <w:cnfStyle w:val="000000000000" w:firstRow="0" w:lastRow="0" w:firstColumn="0" w:lastColumn="0" w:oddVBand="0" w:evenVBand="0" w:oddHBand="0" w:evenHBand="0" w:firstRowFirstColumn="0" w:firstRowLastColumn="0" w:lastRowFirstColumn="0" w:lastRowLastColumn="0"/>
            </w:pPr>
            <w:r w:rsidRPr="00147EB5">
              <w:t>10 – 15 MAD/m linéaire (rubalise + piquets)</w:t>
            </w:r>
          </w:p>
        </w:tc>
      </w:tr>
      <w:tr w:rsidR="0098223F" w:rsidRPr="00A36BE7" w14:paraId="7B61B2EF" w14:textId="77777777" w:rsidTr="00A36BE7">
        <w:tc>
          <w:tcPr>
            <w:cnfStyle w:val="001000000000" w:firstRow="0" w:lastRow="0" w:firstColumn="1" w:lastColumn="0" w:oddVBand="0" w:evenVBand="0" w:oddHBand="0" w:evenHBand="0" w:firstRowFirstColumn="0" w:firstRowLastColumn="0" w:lastRowFirstColumn="0" w:lastRowLastColumn="0"/>
            <w:tcW w:w="0" w:type="auto"/>
            <w:vMerge/>
            <w:hideMark/>
          </w:tcPr>
          <w:p w14:paraId="57EFD156" w14:textId="77777777" w:rsidR="00C40C47" w:rsidRPr="00A36BE7" w:rsidRDefault="00C40C47" w:rsidP="00C40C47"/>
        </w:tc>
        <w:tc>
          <w:tcPr>
            <w:tcW w:w="0" w:type="auto"/>
            <w:hideMark/>
          </w:tcPr>
          <w:p w14:paraId="263EC20F" w14:textId="77777777" w:rsidR="00C40C47" w:rsidRPr="00A36BE7" w:rsidRDefault="00C40C47" w:rsidP="00C40C47">
            <w:pPr>
              <w:cnfStyle w:val="000000000000" w:firstRow="0" w:lastRow="0" w:firstColumn="0" w:lastColumn="0" w:oddVBand="0" w:evenVBand="0" w:oddHBand="0" w:evenHBand="0" w:firstRowFirstColumn="0" w:firstRowLastColumn="0" w:lastRowFirstColumn="0" w:lastRowLastColumn="0"/>
              <w:rPr>
                <w:b/>
                <w:bCs/>
              </w:rPr>
            </w:pPr>
            <w:r w:rsidRPr="00A36BE7">
              <w:rPr>
                <w:b/>
                <w:bCs/>
              </w:rPr>
              <w:t>Réduire</w:t>
            </w:r>
          </w:p>
        </w:tc>
        <w:tc>
          <w:tcPr>
            <w:tcW w:w="0" w:type="auto"/>
            <w:hideMark/>
          </w:tcPr>
          <w:p w14:paraId="50A78FEA" w14:textId="77777777" w:rsidR="00C40C47" w:rsidRPr="00A36BE7" w:rsidRDefault="00C40C47" w:rsidP="00C40C47">
            <w:pPr>
              <w:cnfStyle w:val="000000000000" w:firstRow="0" w:lastRow="0" w:firstColumn="0" w:lastColumn="0" w:oddVBand="0" w:evenVBand="0" w:oddHBand="0" w:evenHBand="0" w:firstRowFirstColumn="0" w:firstRowLastColumn="0" w:lastRowFirstColumn="0" w:lastRowLastColumn="0"/>
            </w:pPr>
            <w:r w:rsidRPr="00A36BE7">
              <w:t>Limiter les travaux bruyants aux horaires diurnes (7h–19h) et sensibiliser les opérateurs à la faune locale.</w:t>
            </w:r>
          </w:p>
        </w:tc>
        <w:tc>
          <w:tcPr>
            <w:tcW w:w="0" w:type="auto"/>
            <w:hideMark/>
          </w:tcPr>
          <w:p w14:paraId="4748F560" w14:textId="7DFC3FC3" w:rsidR="00C40C47" w:rsidRPr="00A36BE7" w:rsidRDefault="00C40C47" w:rsidP="00C40C47">
            <w:pPr>
              <w:cnfStyle w:val="000000000000" w:firstRow="0" w:lastRow="0" w:firstColumn="0" w:lastColumn="0" w:oddVBand="0" w:evenVBand="0" w:oddHBand="0" w:evenHBand="0" w:firstRowFirstColumn="0" w:firstRowLastColumn="0" w:lastRowFirstColumn="0" w:lastRowLastColumn="0"/>
            </w:pPr>
            <w:r w:rsidRPr="00A36BE7">
              <w:t>% personnel formé %</w:t>
            </w:r>
          </w:p>
        </w:tc>
        <w:tc>
          <w:tcPr>
            <w:tcW w:w="0" w:type="auto"/>
            <w:hideMark/>
          </w:tcPr>
          <w:p w14:paraId="54FA36E5" w14:textId="1D05730D" w:rsidR="00C40C47" w:rsidRPr="00A36BE7" w:rsidRDefault="00C40C47" w:rsidP="00C40C47">
            <w:pPr>
              <w:cnfStyle w:val="000000000000" w:firstRow="0" w:lastRow="0" w:firstColumn="0" w:lastColumn="0" w:oddVBand="0" w:evenVBand="0" w:oddHBand="0" w:evenHBand="0" w:firstRowFirstColumn="0" w:firstRowLastColumn="0" w:lastRowFirstColumn="0" w:lastRowLastColumn="0"/>
            </w:pPr>
            <w:r w:rsidRPr="004637C7">
              <w:rPr>
                <w:rFonts w:asciiTheme="minorHAnsi" w:hAnsiTheme="minorHAnsi" w:cstheme="minorHAnsi"/>
                <w:szCs w:val="20"/>
                <w:lang w:eastAsia="fr-FR" w:bidi="ar-SA"/>
              </w:rPr>
              <w:t>EPC et sous-traitants</w:t>
            </w:r>
          </w:p>
        </w:tc>
        <w:tc>
          <w:tcPr>
            <w:tcW w:w="0" w:type="auto"/>
            <w:hideMark/>
          </w:tcPr>
          <w:p w14:paraId="1E18D2EC" w14:textId="39E83BCD" w:rsidR="00C40C47" w:rsidRPr="00A36BE7" w:rsidRDefault="00C40C47" w:rsidP="00C40C47">
            <w:pPr>
              <w:cnfStyle w:val="000000000000" w:firstRow="0" w:lastRow="0" w:firstColumn="0" w:lastColumn="0" w:oddVBand="0" w:evenVBand="0" w:oddHBand="0" w:evenHBand="0" w:firstRowFirstColumn="0" w:firstRowLastColumn="0" w:lastRowFirstColumn="0" w:lastRowLastColumn="0"/>
            </w:pPr>
            <w:r w:rsidRPr="00BC1745">
              <w:rPr>
                <w:szCs w:val="20"/>
              </w:rPr>
              <w:t>Bureau de contrôle / Consultant de supervision mandaté par l’ONDA</w:t>
            </w:r>
          </w:p>
        </w:tc>
        <w:tc>
          <w:tcPr>
            <w:tcW w:w="0" w:type="auto"/>
            <w:hideMark/>
          </w:tcPr>
          <w:p w14:paraId="39607882" w14:textId="0D680073" w:rsidR="00C40C47" w:rsidRPr="00A36BE7" w:rsidRDefault="00C40C47" w:rsidP="00C40C47">
            <w:pPr>
              <w:cnfStyle w:val="000000000000" w:firstRow="0" w:lastRow="0" w:firstColumn="0" w:lastColumn="0" w:oddVBand="0" w:evenVBand="0" w:oddHBand="0" w:evenHBand="0" w:firstRowFirstColumn="0" w:firstRowLastColumn="0" w:lastRowFirstColumn="0" w:lastRowLastColumn="0"/>
            </w:pPr>
            <w:r>
              <w:rPr>
                <w:rFonts w:asciiTheme="minorHAnsi" w:hAnsiTheme="minorHAnsi" w:cstheme="minorHAnsi"/>
                <w:szCs w:val="20"/>
                <w:lang w:eastAsia="zh-CN"/>
              </w:rPr>
              <w:t>ONDA</w:t>
            </w:r>
          </w:p>
        </w:tc>
        <w:tc>
          <w:tcPr>
            <w:tcW w:w="0" w:type="auto"/>
            <w:hideMark/>
          </w:tcPr>
          <w:p w14:paraId="44FBE5B9" w14:textId="77777777" w:rsidR="00C40C47" w:rsidRPr="00A36BE7" w:rsidRDefault="00C40C47" w:rsidP="00C40C47">
            <w:pPr>
              <w:cnfStyle w:val="000000000000" w:firstRow="0" w:lastRow="0" w:firstColumn="0" w:lastColumn="0" w:oddVBand="0" w:evenVBand="0" w:oddHBand="0" w:evenHBand="0" w:firstRowFirstColumn="0" w:firstRowLastColumn="0" w:lastRowFirstColumn="0" w:lastRowLastColumn="0"/>
            </w:pPr>
            <w:r w:rsidRPr="00A36BE7">
              <w:t>Permanent</w:t>
            </w:r>
          </w:p>
        </w:tc>
        <w:tc>
          <w:tcPr>
            <w:tcW w:w="0" w:type="auto"/>
            <w:hideMark/>
          </w:tcPr>
          <w:p w14:paraId="0EA8C386" w14:textId="0DD78E94" w:rsidR="00C40C47" w:rsidRPr="00A36BE7" w:rsidRDefault="00C40C47" w:rsidP="00C40C47">
            <w:pPr>
              <w:cnfStyle w:val="000000000000" w:firstRow="0" w:lastRow="0" w:firstColumn="0" w:lastColumn="0" w:oddVBand="0" w:evenVBand="0" w:oddHBand="0" w:evenHBand="0" w:firstRowFirstColumn="0" w:firstRowLastColumn="0" w:lastRowFirstColumn="0" w:lastRowLastColumn="0"/>
            </w:pPr>
            <w:r>
              <w:t>Aucun coût spécifique</w:t>
            </w:r>
          </w:p>
        </w:tc>
      </w:tr>
      <w:tr w:rsidR="0098223F" w:rsidRPr="00A36BE7" w14:paraId="330A5246" w14:textId="77777777" w:rsidTr="00A36BE7">
        <w:tc>
          <w:tcPr>
            <w:cnfStyle w:val="001000000000" w:firstRow="0" w:lastRow="0" w:firstColumn="1" w:lastColumn="0" w:oddVBand="0" w:evenVBand="0" w:oddHBand="0" w:evenHBand="0" w:firstRowFirstColumn="0" w:firstRowLastColumn="0" w:lastRowFirstColumn="0" w:lastRowLastColumn="0"/>
            <w:tcW w:w="0" w:type="auto"/>
            <w:vMerge/>
            <w:hideMark/>
          </w:tcPr>
          <w:p w14:paraId="6E1A710F" w14:textId="77777777" w:rsidR="00C40C47" w:rsidRPr="00A36BE7" w:rsidRDefault="00C40C47" w:rsidP="00C40C47"/>
        </w:tc>
        <w:tc>
          <w:tcPr>
            <w:tcW w:w="0" w:type="auto"/>
            <w:hideMark/>
          </w:tcPr>
          <w:p w14:paraId="07703E92" w14:textId="77777777" w:rsidR="00C40C47" w:rsidRPr="00A36BE7" w:rsidRDefault="00C40C47" w:rsidP="00C40C47">
            <w:pPr>
              <w:cnfStyle w:val="000000000000" w:firstRow="0" w:lastRow="0" w:firstColumn="0" w:lastColumn="0" w:oddVBand="0" w:evenVBand="0" w:oddHBand="0" w:evenHBand="0" w:firstRowFirstColumn="0" w:firstRowLastColumn="0" w:lastRowFirstColumn="0" w:lastRowLastColumn="0"/>
              <w:rPr>
                <w:b/>
                <w:bCs/>
              </w:rPr>
            </w:pPr>
            <w:r w:rsidRPr="00A36BE7">
              <w:rPr>
                <w:b/>
                <w:bCs/>
              </w:rPr>
              <w:t>Atténuer</w:t>
            </w:r>
          </w:p>
        </w:tc>
        <w:tc>
          <w:tcPr>
            <w:tcW w:w="0" w:type="auto"/>
            <w:hideMark/>
          </w:tcPr>
          <w:p w14:paraId="781D0CBA" w14:textId="77777777" w:rsidR="00C40C47" w:rsidRPr="00A36BE7" w:rsidRDefault="00C40C47" w:rsidP="00C40C47">
            <w:pPr>
              <w:cnfStyle w:val="000000000000" w:firstRow="0" w:lastRow="0" w:firstColumn="0" w:lastColumn="0" w:oddVBand="0" w:evenVBand="0" w:oddHBand="0" w:evenHBand="0" w:firstRowFirstColumn="0" w:firstRowLastColumn="0" w:lastRowFirstColumn="0" w:lastRowLastColumn="0"/>
            </w:pPr>
            <w:r w:rsidRPr="00A36BE7">
              <w:t>Effectuer une inspection écologique avant terrassement (déplacement éventuel d’animaux).</w:t>
            </w:r>
          </w:p>
        </w:tc>
        <w:tc>
          <w:tcPr>
            <w:tcW w:w="0" w:type="auto"/>
            <w:hideMark/>
          </w:tcPr>
          <w:p w14:paraId="0D7E236D" w14:textId="77777777" w:rsidR="00C40C47" w:rsidRPr="00A36BE7" w:rsidRDefault="00C40C47" w:rsidP="00C40C47">
            <w:pPr>
              <w:cnfStyle w:val="000000000000" w:firstRow="0" w:lastRow="0" w:firstColumn="0" w:lastColumn="0" w:oddVBand="0" w:evenVBand="0" w:oddHBand="0" w:evenHBand="0" w:firstRowFirstColumn="0" w:firstRowLastColumn="0" w:lastRowFirstColumn="0" w:lastRowLastColumn="0"/>
            </w:pPr>
            <w:r w:rsidRPr="00A36BE7">
              <w:t>Nombre d’inspections effectuées / absence de mortalité observée</w:t>
            </w:r>
          </w:p>
        </w:tc>
        <w:tc>
          <w:tcPr>
            <w:tcW w:w="0" w:type="auto"/>
            <w:hideMark/>
          </w:tcPr>
          <w:p w14:paraId="3B21B6C8" w14:textId="60C63402" w:rsidR="00C40C47" w:rsidRPr="00A36BE7" w:rsidRDefault="00C40C47" w:rsidP="00C40C47">
            <w:pPr>
              <w:cnfStyle w:val="000000000000" w:firstRow="0" w:lastRow="0" w:firstColumn="0" w:lastColumn="0" w:oddVBand="0" w:evenVBand="0" w:oddHBand="0" w:evenHBand="0" w:firstRowFirstColumn="0" w:firstRowLastColumn="0" w:lastRowFirstColumn="0" w:lastRowLastColumn="0"/>
            </w:pPr>
            <w:r w:rsidRPr="004637C7">
              <w:rPr>
                <w:rFonts w:asciiTheme="minorHAnsi" w:hAnsiTheme="minorHAnsi" w:cstheme="minorHAnsi"/>
                <w:szCs w:val="20"/>
                <w:lang w:eastAsia="fr-FR" w:bidi="ar-SA"/>
              </w:rPr>
              <w:t>EPC et sous-traitants</w:t>
            </w:r>
          </w:p>
        </w:tc>
        <w:tc>
          <w:tcPr>
            <w:tcW w:w="0" w:type="auto"/>
            <w:hideMark/>
          </w:tcPr>
          <w:p w14:paraId="176DFA9D" w14:textId="0386B531" w:rsidR="00C40C47" w:rsidRPr="00A36BE7" w:rsidRDefault="00C40C47" w:rsidP="00C40C47">
            <w:pPr>
              <w:cnfStyle w:val="000000000000" w:firstRow="0" w:lastRow="0" w:firstColumn="0" w:lastColumn="0" w:oddVBand="0" w:evenVBand="0" w:oddHBand="0" w:evenHBand="0" w:firstRowFirstColumn="0" w:firstRowLastColumn="0" w:lastRowFirstColumn="0" w:lastRowLastColumn="0"/>
            </w:pPr>
            <w:r w:rsidRPr="00BC1745">
              <w:rPr>
                <w:szCs w:val="20"/>
              </w:rPr>
              <w:t>Bureau de contrôle / Consultant de supervision mandaté par l’ONDA</w:t>
            </w:r>
          </w:p>
        </w:tc>
        <w:tc>
          <w:tcPr>
            <w:tcW w:w="0" w:type="auto"/>
            <w:hideMark/>
          </w:tcPr>
          <w:p w14:paraId="71341859" w14:textId="144915F0" w:rsidR="00C40C47" w:rsidRPr="00A36BE7" w:rsidRDefault="00C40C47" w:rsidP="00C40C47">
            <w:pPr>
              <w:cnfStyle w:val="000000000000" w:firstRow="0" w:lastRow="0" w:firstColumn="0" w:lastColumn="0" w:oddVBand="0" w:evenVBand="0" w:oddHBand="0" w:evenHBand="0" w:firstRowFirstColumn="0" w:firstRowLastColumn="0" w:lastRowFirstColumn="0" w:lastRowLastColumn="0"/>
            </w:pPr>
            <w:r>
              <w:rPr>
                <w:rFonts w:asciiTheme="minorHAnsi" w:hAnsiTheme="minorHAnsi" w:cstheme="minorHAnsi"/>
                <w:szCs w:val="20"/>
                <w:lang w:eastAsia="zh-CN"/>
              </w:rPr>
              <w:t>ONDA</w:t>
            </w:r>
          </w:p>
        </w:tc>
        <w:tc>
          <w:tcPr>
            <w:tcW w:w="0" w:type="auto"/>
            <w:hideMark/>
          </w:tcPr>
          <w:p w14:paraId="7696FAD3" w14:textId="77777777" w:rsidR="00C40C47" w:rsidRPr="00A36BE7" w:rsidRDefault="00C40C47" w:rsidP="00C40C47">
            <w:pPr>
              <w:cnfStyle w:val="000000000000" w:firstRow="0" w:lastRow="0" w:firstColumn="0" w:lastColumn="0" w:oddVBand="0" w:evenVBand="0" w:oddHBand="0" w:evenHBand="0" w:firstRowFirstColumn="0" w:firstRowLastColumn="0" w:lastRowFirstColumn="0" w:lastRowLastColumn="0"/>
            </w:pPr>
            <w:r w:rsidRPr="00A36BE7">
              <w:t>Avant terrassement</w:t>
            </w:r>
          </w:p>
        </w:tc>
        <w:tc>
          <w:tcPr>
            <w:tcW w:w="0" w:type="auto"/>
            <w:hideMark/>
          </w:tcPr>
          <w:p w14:paraId="19217175" w14:textId="6B244EC2" w:rsidR="00C40C47" w:rsidRPr="00A36BE7" w:rsidRDefault="00147EB5" w:rsidP="00C40C47">
            <w:pPr>
              <w:cnfStyle w:val="000000000000" w:firstRow="0" w:lastRow="0" w:firstColumn="0" w:lastColumn="0" w:oddVBand="0" w:evenVBand="0" w:oddHBand="0" w:evenHBand="0" w:firstRowFirstColumn="0" w:firstRowLastColumn="0" w:lastRowFirstColumn="0" w:lastRowLastColumn="0"/>
            </w:pPr>
            <w:r w:rsidRPr="00147EB5">
              <w:t xml:space="preserve">2 000 – 3 000 </w:t>
            </w:r>
            <w:r>
              <w:t>MAD</w:t>
            </w:r>
            <w:r w:rsidRPr="00147EB5">
              <w:t>/journée écologue</w:t>
            </w:r>
          </w:p>
        </w:tc>
      </w:tr>
      <w:tr w:rsidR="0098223F" w:rsidRPr="00A36BE7" w14:paraId="434231E8" w14:textId="77777777" w:rsidTr="00A36BE7">
        <w:tc>
          <w:tcPr>
            <w:cnfStyle w:val="001000000000" w:firstRow="0" w:lastRow="0" w:firstColumn="1" w:lastColumn="0" w:oddVBand="0" w:evenVBand="0" w:oddHBand="0" w:evenHBand="0" w:firstRowFirstColumn="0" w:firstRowLastColumn="0" w:lastRowFirstColumn="0" w:lastRowLastColumn="0"/>
            <w:tcW w:w="0" w:type="auto"/>
            <w:vMerge w:val="restart"/>
            <w:hideMark/>
          </w:tcPr>
          <w:p w14:paraId="4327520A" w14:textId="33D1575B" w:rsidR="00C40C47" w:rsidRPr="00A36BE7" w:rsidRDefault="00C40C47" w:rsidP="00C40C47">
            <w:r w:rsidRPr="00A36BE7">
              <w:rPr>
                <w:b w:val="0"/>
                <w:bCs w:val="0"/>
              </w:rPr>
              <w:t xml:space="preserve">Risque d’introduction d’espèces </w:t>
            </w:r>
            <w:r w:rsidRPr="00A36BE7">
              <w:rPr>
                <w:b w:val="0"/>
                <w:bCs w:val="0"/>
              </w:rPr>
              <w:lastRenderedPageBreak/>
              <w:t xml:space="preserve">exotiques envahissantes </w:t>
            </w:r>
          </w:p>
        </w:tc>
        <w:tc>
          <w:tcPr>
            <w:tcW w:w="0" w:type="auto"/>
            <w:hideMark/>
          </w:tcPr>
          <w:p w14:paraId="568316A8" w14:textId="77777777" w:rsidR="00C40C47" w:rsidRPr="00A36BE7" w:rsidRDefault="00C40C47" w:rsidP="00C40C47">
            <w:pPr>
              <w:cnfStyle w:val="000000000000" w:firstRow="0" w:lastRow="0" w:firstColumn="0" w:lastColumn="0" w:oddVBand="0" w:evenVBand="0" w:oddHBand="0" w:evenHBand="0" w:firstRowFirstColumn="0" w:firstRowLastColumn="0" w:lastRowFirstColumn="0" w:lastRowLastColumn="0"/>
              <w:rPr>
                <w:b/>
                <w:bCs/>
              </w:rPr>
            </w:pPr>
            <w:r w:rsidRPr="00A36BE7">
              <w:rPr>
                <w:b/>
                <w:bCs/>
              </w:rPr>
              <w:lastRenderedPageBreak/>
              <w:t>Éviter</w:t>
            </w:r>
          </w:p>
        </w:tc>
        <w:tc>
          <w:tcPr>
            <w:tcW w:w="0" w:type="auto"/>
            <w:hideMark/>
          </w:tcPr>
          <w:p w14:paraId="7E0920BD" w14:textId="77777777" w:rsidR="00C40C47" w:rsidRPr="00A36BE7" w:rsidRDefault="00C40C47" w:rsidP="00C40C47">
            <w:pPr>
              <w:cnfStyle w:val="000000000000" w:firstRow="0" w:lastRow="0" w:firstColumn="0" w:lastColumn="0" w:oddVBand="0" w:evenVBand="0" w:oddHBand="0" w:evenHBand="0" w:firstRowFirstColumn="0" w:firstRowLastColumn="0" w:lastRowFirstColumn="0" w:lastRowLastColumn="0"/>
            </w:pPr>
            <w:r w:rsidRPr="00A36BE7">
              <w:t>Utiliser exclusivement des matériaux et semences d’origine locale certifiée.</w:t>
            </w:r>
          </w:p>
        </w:tc>
        <w:tc>
          <w:tcPr>
            <w:tcW w:w="0" w:type="auto"/>
            <w:hideMark/>
          </w:tcPr>
          <w:p w14:paraId="3F3A0093" w14:textId="77777777" w:rsidR="00C40C47" w:rsidRPr="00A36BE7" w:rsidRDefault="00C40C47" w:rsidP="00C40C47">
            <w:pPr>
              <w:cnfStyle w:val="000000000000" w:firstRow="0" w:lastRow="0" w:firstColumn="0" w:lastColumn="0" w:oddVBand="0" w:evenVBand="0" w:oddHBand="0" w:evenHBand="0" w:firstRowFirstColumn="0" w:firstRowLastColumn="0" w:lastRowFirstColumn="0" w:lastRowLastColumn="0"/>
            </w:pPr>
            <w:r w:rsidRPr="00A36BE7">
              <w:t>Origine contrôlée / documentation fournisseur</w:t>
            </w:r>
          </w:p>
        </w:tc>
        <w:tc>
          <w:tcPr>
            <w:tcW w:w="0" w:type="auto"/>
            <w:hideMark/>
          </w:tcPr>
          <w:p w14:paraId="2F34E271" w14:textId="16DA775F" w:rsidR="00C40C47" w:rsidRPr="00A36BE7" w:rsidRDefault="00C40C47" w:rsidP="00C40C47">
            <w:pPr>
              <w:cnfStyle w:val="000000000000" w:firstRow="0" w:lastRow="0" w:firstColumn="0" w:lastColumn="0" w:oddVBand="0" w:evenVBand="0" w:oddHBand="0" w:evenHBand="0" w:firstRowFirstColumn="0" w:firstRowLastColumn="0" w:lastRowFirstColumn="0" w:lastRowLastColumn="0"/>
            </w:pPr>
            <w:r w:rsidRPr="004637C7">
              <w:rPr>
                <w:rFonts w:asciiTheme="minorHAnsi" w:hAnsiTheme="minorHAnsi" w:cstheme="minorHAnsi"/>
                <w:szCs w:val="20"/>
                <w:lang w:eastAsia="fr-FR" w:bidi="ar-SA"/>
              </w:rPr>
              <w:t>EPC et sous-traitants</w:t>
            </w:r>
          </w:p>
        </w:tc>
        <w:tc>
          <w:tcPr>
            <w:tcW w:w="0" w:type="auto"/>
            <w:hideMark/>
          </w:tcPr>
          <w:p w14:paraId="1ADFD721" w14:textId="78A41466" w:rsidR="00C40C47" w:rsidRPr="00A36BE7" w:rsidRDefault="00C40C47" w:rsidP="00C40C47">
            <w:pPr>
              <w:cnfStyle w:val="000000000000" w:firstRow="0" w:lastRow="0" w:firstColumn="0" w:lastColumn="0" w:oddVBand="0" w:evenVBand="0" w:oddHBand="0" w:evenHBand="0" w:firstRowFirstColumn="0" w:firstRowLastColumn="0" w:lastRowFirstColumn="0" w:lastRowLastColumn="0"/>
            </w:pPr>
            <w:r w:rsidRPr="00BC1745">
              <w:rPr>
                <w:szCs w:val="20"/>
              </w:rPr>
              <w:t xml:space="preserve">Bureau de contrôle / Consultant de supervision </w:t>
            </w:r>
            <w:r w:rsidRPr="00BC1745">
              <w:rPr>
                <w:szCs w:val="20"/>
              </w:rPr>
              <w:lastRenderedPageBreak/>
              <w:t>mandaté par l’ONDA</w:t>
            </w:r>
          </w:p>
        </w:tc>
        <w:tc>
          <w:tcPr>
            <w:tcW w:w="0" w:type="auto"/>
            <w:hideMark/>
          </w:tcPr>
          <w:p w14:paraId="184CCACF" w14:textId="7DF48A78" w:rsidR="00C40C47" w:rsidRPr="00A36BE7" w:rsidRDefault="00C40C47" w:rsidP="00C40C47">
            <w:pPr>
              <w:cnfStyle w:val="000000000000" w:firstRow="0" w:lastRow="0" w:firstColumn="0" w:lastColumn="0" w:oddVBand="0" w:evenVBand="0" w:oddHBand="0" w:evenHBand="0" w:firstRowFirstColumn="0" w:firstRowLastColumn="0" w:lastRowFirstColumn="0" w:lastRowLastColumn="0"/>
            </w:pPr>
            <w:r>
              <w:rPr>
                <w:rFonts w:asciiTheme="minorHAnsi" w:hAnsiTheme="minorHAnsi" w:cstheme="minorHAnsi"/>
                <w:szCs w:val="20"/>
                <w:lang w:eastAsia="zh-CN"/>
              </w:rPr>
              <w:lastRenderedPageBreak/>
              <w:t>ONDA</w:t>
            </w:r>
          </w:p>
        </w:tc>
        <w:tc>
          <w:tcPr>
            <w:tcW w:w="0" w:type="auto"/>
            <w:hideMark/>
          </w:tcPr>
          <w:p w14:paraId="550D150E" w14:textId="77777777" w:rsidR="00C40C47" w:rsidRPr="00A36BE7" w:rsidRDefault="00C40C47" w:rsidP="00C40C47">
            <w:pPr>
              <w:cnfStyle w:val="000000000000" w:firstRow="0" w:lastRow="0" w:firstColumn="0" w:lastColumn="0" w:oddVBand="0" w:evenVBand="0" w:oddHBand="0" w:evenHBand="0" w:firstRowFirstColumn="0" w:firstRowLastColumn="0" w:lastRowFirstColumn="0" w:lastRowLastColumn="0"/>
            </w:pPr>
            <w:r w:rsidRPr="00A36BE7">
              <w:t>Avant la revégétalisation</w:t>
            </w:r>
          </w:p>
        </w:tc>
        <w:tc>
          <w:tcPr>
            <w:tcW w:w="0" w:type="auto"/>
            <w:hideMark/>
          </w:tcPr>
          <w:p w14:paraId="71ED9A37" w14:textId="223FA94A" w:rsidR="00C40C47" w:rsidRPr="00A36BE7" w:rsidRDefault="00C40C47" w:rsidP="00C40C47">
            <w:pPr>
              <w:cnfStyle w:val="000000000000" w:firstRow="0" w:lastRow="0" w:firstColumn="0" w:lastColumn="0" w:oddVBand="0" w:evenVBand="0" w:oddHBand="0" w:evenHBand="0" w:firstRowFirstColumn="0" w:firstRowLastColumn="0" w:lastRowFirstColumn="0" w:lastRowLastColumn="0"/>
            </w:pPr>
            <w:r>
              <w:t>Aucun coût spécifique</w:t>
            </w:r>
          </w:p>
        </w:tc>
      </w:tr>
      <w:tr w:rsidR="0098223F" w:rsidRPr="00A36BE7" w14:paraId="4F5AE39C" w14:textId="77777777" w:rsidTr="00A36BE7">
        <w:tc>
          <w:tcPr>
            <w:cnfStyle w:val="001000000000" w:firstRow="0" w:lastRow="0" w:firstColumn="1" w:lastColumn="0" w:oddVBand="0" w:evenVBand="0" w:oddHBand="0" w:evenHBand="0" w:firstRowFirstColumn="0" w:firstRowLastColumn="0" w:lastRowFirstColumn="0" w:lastRowLastColumn="0"/>
            <w:tcW w:w="0" w:type="auto"/>
            <w:vMerge/>
            <w:hideMark/>
          </w:tcPr>
          <w:p w14:paraId="5D8169EC" w14:textId="77777777" w:rsidR="00C40C47" w:rsidRPr="00A36BE7" w:rsidRDefault="00C40C47" w:rsidP="00C40C47"/>
        </w:tc>
        <w:tc>
          <w:tcPr>
            <w:tcW w:w="0" w:type="auto"/>
            <w:hideMark/>
          </w:tcPr>
          <w:p w14:paraId="48C95801" w14:textId="77777777" w:rsidR="00C40C47" w:rsidRPr="00A36BE7" w:rsidRDefault="00C40C47" w:rsidP="00C40C47">
            <w:pPr>
              <w:cnfStyle w:val="000000000000" w:firstRow="0" w:lastRow="0" w:firstColumn="0" w:lastColumn="0" w:oddVBand="0" w:evenVBand="0" w:oddHBand="0" w:evenHBand="0" w:firstRowFirstColumn="0" w:firstRowLastColumn="0" w:lastRowFirstColumn="0" w:lastRowLastColumn="0"/>
              <w:rPr>
                <w:b/>
                <w:bCs/>
              </w:rPr>
            </w:pPr>
            <w:r w:rsidRPr="00A36BE7">
              <w:rPr>
                <w:b/>
                <w:bCs/>
              </w:rPr>
              <w:t>Réduire</w:t>
            </w:r>
          </w:p>
        </w:tc>
        <w:tc>
          <w:tcPr>
            <w:tcW w:w="0" w:type="auto"/>
            <w:hideMark/>
          </w:tcPr>
          <w:p w14:paraId="6F41ECF6" w14:textId="77777777" w:rsidR="00C40C47" w:rsidRPr="00A36BE7" w:rsidRDefault="00C40C47" w:rsidP="00C40C47">
            <w:pPr>
              <w:cnfStyle w:val="000000000000" w:firstRow="0" w:lastRow="0" w:firstColumn="0" w:lastColumn="0" w:oddVBand="0" w:evenVBand="0" w:oddHBand="0" w:evenHBand="0" w:firstRowFirstColumn="0" w:firstRowLastColumn="0" w:lastRowFirstColumn="0" w:lastRowLastColumn="0"/>
            </w:pPr>
            <w:r w:rsidRPr="00A36BE7">
              <w:t>Contrôler visuellement les matériaux végétaux, remblais et terre végétale avant leur utilisation.</w:t>
            </w:r>
          </w:p>
        </w:tc>
        <w:tc>
          <w:tcPr>
            <w:tcW w:w="0" w:type="auto"/>
            <w:hideMark/>
          </w:tcPr>
          <w:p w14:paraId="4F2C87F6" w14:textId="30A058D2" w:rsidR="00C40C47" w:rsidRPr="00A36BE7" w:rsidRDefault="00C40C47" w:rsidP="00C40C47">
            <w:pPr>
              <w:cnfStyle w:val="000000000000" w:firstRow="0" w:lastRow="0" w:firstColumn="0" w:lastColumn="0" w:oddVBand="0" w:evenVBand="0" w:oddHBand="0" w:evenHBand="0" w:firstRowFirstColumn="0" w:firstRowLastColumn="0" w:lastRowFirstColumn="0" w:lastRowLastColumn="0"/>
            </w:pPr>
            <w:r w:rsidRPr="00A36BE7">
              <w:t>% lots vérifiés</w:t>
            </w:r>
          </w:p>
        </w:tc>
        <w:tc>
          <w:tcPr>
            <w:tcW w:w="0" w:type="auto"/>
            <w:hideMark/>
          </w:tcPr>
          <w:p w14:paraId="7A68C619" w14:textId="6B1EF8F0" w:rsidR="00C40C47" w:rsidRPr="00A36BE7" w:rsidRDefault="00C40C47" w:rsidP="00C40C47">
            <w:pPr>
              <w:cnfStyle w:val="000000000000" w:firstRow="0" w:lastRow="0" w:firstColumn="0" w:lastColumn="0" w:oddVBand="0" w:evenVBand="0" w:oddHBand="0" w:evenHBand="0" w:firstRowFirstColumn="0" w:firstRowLastColumn="0" w:lastRowFirstColumn="0" w:lastRowLastColumn="0"/>
            </w:pPr>
            <w:r w:rsidRPr="004637C7">
              <w:rPr>
                <w:rFonts w:asciiTheme="minorHAnsi" w:hAnsiTheme="minorHAnsi" w:cstheme="minorHAnsi"/>
                <w:szCs w:val="20"/>
                <w:lang w:eastAsia="fr-FR" w:bidi="ar-SA"/>
              </w:rPr>
              <w:t>EPC et sous-traitants</w:t>
            </w:r>
          </w:p>
        </w:tc>
        <w:tc>
          <w:tcPr>
            <w:tcW w:w="0" w:type="auto"/>
            <w:hideMark/>
          </w:tcPr>
          <w:p w14:paraId="2084B634" w14:textId="3BE21BBC" w:rsidR="00C40C47" w:rsidRPr="00A36BE7" w:rsidRDefault="00C40C47" w:rsidP="00C40C47">
            <w:pPr>
              <w:cnfStyle w:val="000000000000" w:firstRow="0" w:lastRow="0" w:firstColumn="0" w:lastColumn="0" w:oddVBand="0" w:evenVBand="0" w:oddHBand="0" w:evenHBand="0" w:firstRowFirstColumn="0" w:firstRowLastColumn="0" w:lastRowFirstColumn="0" w:lastRowLastColumn="0"/>
            </w:pPr>
            <w:r w:rsidRPr="00BC1745">
              <w:rPr>
                <w:szCs w:val="20"/>
              </w:rPr>
              <w:t>Bureau de contrôle / Consultant de supervision mandaté par l’ONDA</w:t>
            </w:r>
          </w:p>
        </w:tc>
        <w:tc>
          <w:tcPr>
            <w:tcW w:w="0" w:type="auto"/>
            <w:hideMark/>
          </w:tcPr>
          <w:p w14:paraId="1E4EABF4" w14:textId="714F26EC" w:rsidR="00C40C47" w:rsidRPr="00A36BE7" w:rsidRDefault="00C40C47" w:rsidP="00C40C47">
            <w:pPr>
              <w:cnfStyle w:val="000000000000" w:firstRow="0" w:lastRow="0" w:firstColumn="0" w:lastColumn="0" w:oddVBand="0" w:evenVBand="0" w:oddHBand="0" w:evenHBand="0" w:firstRowFirstColumn="0" w:firstRowLastColumn="0" w:lastRowFirstColumn="0" w:lastRowLastColumn="0"/>
            </w:pPr>
            <w:r>
              <w:rPr>
                <w:rFonts w:asciiTheme="minorHAnsi" w:hAnsiTheme="minorHAnsi" w:cstheme="minorHAnsi"/>
                <w:szCs w:val="20"/>
                <w:lang w:eastAsia="zh-CN"/>
              </w:rPr>
              <w:t>ONDA</w:t>
            </w:r>
          </w:p>
        </w:tc>
        <w:tc>
          <w:tcPr>
            <w:tcW w:w="0" w:type="auto"/>
            <w:hideMark/>
          </w:tcPr>
          <w:p w14:paraId="4B2778EC" w14:textId="77777777" w:rsidR="00C40C47" w:rsidRPr="00A36BE7" w:rsidRDefault="00C40C47" w:rsidP="00C40C47">
            <w:pPr>
              <w:cnfStyle w:val="000000000000" w:firstRow="0" w:lastRow="0" w:firstColumn="0" w:lastColumn="0" w:oddVBand="0" w:evenVBand="0" w:oddHBand="0" w:evenHBand="0" w:firstRowFirstColumn="0" w:firstRowLastColumn="0" w:lastRowFirstColumn="0" w:lastRowLastColumn="0"/>
            </w:pPr>
            <w:r w:rsidRPr="00A36BE7">
              <w:t>Durant les approvisionnements</w:t>
            </w:r>
          </w:p>
        </w:tc>
        <w:tc>
          <w:tcPr>
            <w:tcW w:w="0" w:type="auto"/>
            <w:hideMark/>
          </w:tcPr>
          <w:p w14:paraId="4456C1F0" w14:textId="6EA9D8AF" w:rsidR="00C40C47" w:rsidRPr="00A36BE7" w:rsidRDefault="001F31AD" w:rsidP="00C40C47">
            <w:pPr>
              <w:cnfStyle w:val="000000000000" w:firstRow="0" w:lastRow="0" w:firstColumn="0" w:lastColumn="0" w:oddVBand="0" w:evenVBand="0" w:oddHBand="0" w:evenHBand="0" w:firstRowFirstColumn="0" w:firstRowLastColumn="0" w:lastRowFirstColumn="0" w:lastRowLastColumn="0"/>
            </w:pPr>
            <w:r w:rsidRPr="001F31AD">
              <w:t>Aucun coût spécifique</w:t>
            </w:r>
          </w:p>
        </w:tc>
      </w:tr>
      <w:tr w:rsidR="0098223F" w:rsidRPr="00A36BE7" w14:paraId="5B4596C6" w14:textId="77777777" w:rsidTr="00A36BE7">
        <w:tc>
          <w:tcPr>
            <w:cnfStyle w:val="001000000000" w:firstRow="0" w:lastRow="0" w:firstColumn="1" w:lastColumn="0" w:oddVBand="0" w:evenVBand="0" w:oddHBand="0" w:evenHBand="0" w:firstRowFirstColumn="0" w:firstRowLastColumn="0" w:lastRowFirstColumn="0" w:lastRowLastColumn="0"/>
            <w:tcW w:w="0" w:type="auto"/>
            <w:vMerge/>
            <w:hideMark/>
          </w:tcPr>
          <w:p w14:paraId="6CDAC630" w14:textId="77777777" w:rsidR="00C40C47" w:rsidRPr="00A36BE7" w:rsidRDefault="00C40C47" w:rsidP="00C40C47"/>
        </w:tc>
        <w:tc>
          <w:tcPr>
            <w:tcW w:w="0" w:type="auto"/>
            <w:hideMark/>
          </w:tcPr>
          <w:p w14:paraId="1FF21C92" w14:textId="77777777" w:rsidR="00C40C47" w:rsidRPr="00A36BE7" w:rsidRDefault="00C40C47" w:rsidP="00C40C47">
            <w:pPr>
              <w:cnfStyle w:val="000000000000" w:firstRow="0" w:lastRow="0" w:firstColumn="0" w:lastColumn="0" w:oddVBand="0" w:evenVBand="0" w:oddHBand="0" w:evenHBand="0" w:firstRowFirstColumn="0" w:firstRowLastColumn="0" w:lastRowFirstColumn="0" w:lastRowLastColumn="0"/>
              <w:rPr>
                <w:b/>
                <w:bCs/>
              </w:rPr>
            </w:pPr>
            <w:r w:rsidRPr="00A36BE7">
              <w:rPr>
                <w:b/>
                <w:bCs/>
              </w:rPr>
              <w:t>Atténuer</w:t>
            </w:r>
          </w:p>
        </w:tc>
        <w:tc>
          <w:tcPr>
            <w:tcW w:w="0" w:type="auto"/>
            <w:hideMark/>
          </w:tcPr>
          <w:p w14:paraId="263ECDB4" w14:textId="77777777" w:rsidR="00C40C47" w:rsidRPr="00A36BE7" w:rsidRDefault="00C40C47" w:rsidP="00C40C47">
            <w:pPr>
              <w:cnfStyle w:val="000000000000" w:firstRow="0" w:lastRow="0" w:firstColumn="0" w:lastColumn="0" w:oddVBand="0" w:evenVBand="0" w:oddHBand="0" w:evenHBand="0" w:firstRowFirstColumn="0" w:firstRowLastColumn="0" w:lastRowFirstColumn="0" w:lastRowLastColumn="0"/>
            </w:pPr>
            <w:r w:rsidRPr="00A36BE7">
              <w:t>Surveiller les zones réaménagées et éliminer toute plante invasive identifiée.</w:t>
            </w:r>
          </w:p>
        </w:tc>
        <w:tc>
          <w:tcPr>
            <w:tcW w:w="0" w:type="auto"/>
            <w:hideMark/>
          </w:tcPr>
          <w:p w14:paraId="526642DD" w14:textId="35CF7241" w:rsidR="00C40C47" w:rsidRPr="00A36BE7" w:rsidRDefault="00C40C47" w:rsidP="00C40C47">
            <w:pPr>
              <w:cnfStyle w:val="000000000000" w:firstRow="0" w:lastRow="0" w:firstColumn="0" w:lastColumn="0" w:oddVBand="0" w:evenVBand="0" w:oddHBand="0" w:evenHBand="0" w:firstRowFirstColumn="0" w:firstRowLastColumn="0" w:lastRowFirstColumn="0" w:lastRowLastColumn="0"/>
            </w:pPr>
            <w:r w:rsidRPr="00A36BE7">
              <w:t xml:space="preserve">Fréquence des inspections / nb d’espèces exotiques détectées </w:t>
            </w:r>
          </w:p>
        </w:tc>
        <w:tc>
          <w:tcPr>
            <w:tcW w:w="0" w:type="auto"/>
            <w:hideMark/>
          </w:tcPr>
          <w:p w14:paraId="381FF546" w14:textId="6B091882" w:rsidR="00C40C47" w:rsidRPr="00A36BE7" w:rsidRDefault="00C40C47" w:rsidP="00C40C47">
            <w:pPr>
              <w:cnfStyle w:val="000000000000" w:firstRow="0" w:lastRow="0" w:firstColumn="0" w:lastColumn="0" w:oddVBand="0" w:evenVBand="0" w:oddHBand="0" w:evenHBand="0" w:firstRowFirstColumn="0" w:firstRowLastColumn="0" w:lastRowFirstColumn="0" w:lastRowLastColumn="0"/>
            </w:pPr>
            <w:r w:rsidRPr="004637C7">
              <w:rPr>
                <w:rFonts w:asciiTheme="minorHAnsi" w:hAnsiTheme="minorHAnsi" w:cstheme="minorHAnsi"/>
                <w:szCs w:val="20"/>
                <w:lang w:eastAsia="fr-FR" w:bidi="ar-SA"/>
              </w:rPr>
              <w:t>EPC et sous-traitants</w:t>
            </w:r>
          </w:p>
        </w:tc>
        <w:tc>
          <w:tcPr>
            <w:tcW w:w="0" w:type="auto"/>
            <w:hideMark/>
          </w:tcPr>
          <w:p w14:paraId="3D1141DE" w14:textId="6CCC2589" w:rsidR="00C40C47" w:rsidRPr="00A36BE7" w:rsidRDefault="00C40C47" w:rsidP="00C40C47">
            <w:pPr>
              <w:cnfStyle w:val="000000000000" w:firstRow="0" w:lastRow="0" w:firstColumn="0" w:lastColumn="0" w:oddVBand="0" w:evenVBand="0" w:oddHBand="0" w:evenHBand="0" w:firstRowFirstColumn="0" w:firstRowLastColumn="0" w:lastRowFirstColumn="0" w:lastRowLastColumn="0"/>
            </w:pPr>
            <w:r w:rsidRPr="00BC1745">
              <w:rPr>
                <w:szCs w:val="20"/>
              </w:rPr>
              <w:t>Bureau de contrôle / Consultant de supervision mandaté par l’ONDA</w:t>
            </w:r>
          </w:p>
        </w:tc>
        <w:tc>
          <w:tcPr>
            <w:tcW w:w="0" w:type="auto"/>
            <w:hideMark/>
          </w:tcPr>
          <w:p w14:paraId="5A18A768" w14:textId="69700BC2" w:rsidR="00C40C47" w:rsidRPr="00A36BE7" w:rsidRDefault="00C40C47" w:rsidP="00C40C47">
            <w:pPr>
              <w:cnfStyle w:val="000000000000" w:firstRow="0" w:lastRow="0" w:firstColumn="0" w:lastColumn="0" w:oddVBand="0" w:evenVBand="0" w:oddHBand="0" w:evenHBand="0" w:firstRowFirstColumn="0" w:firstRowLastColumn="0" w:lastRowFirstColumn="0" w:lastRowLastColumn="0"/>
            </w:pPr>
            <w:r>
              <w:rPr>
                <w:rFonts w:asciiTheme="minorHAnsi" w:hAnsiTheme="minorHAnsi" w:cstheme="minorHAnsi"/>
                <w:szCs w:val="20"/>
                <w:lang w:eastAsia="zh-CN"/>
              </w:rPr>
              <w:t>ONDA</w:t>
            </w:r>
          </w:p>
        </w:tc>
        <w:tc>
          <w:tcPr>
            <w:tcW w:w="0" w:type="auto"/>
            <w:hideMark/>
          </w:tcPr>
          <w:p w14:paraId="7EDB1EBD" w14:textId="77777777" w:rsidR="00C40C47" w:rsidRPr="00A36BE7" w:rsidRDefault="00C40C47" w:rsidP="00C40C47">
            <w:pPr>
              <w:cnfStyle w:val="000000000000" w:firstRow="0" w:lastRow="0" w:firstColumn="0" w:lastColumn="0" w:oddVBand="0" w:evenVBand="0" w:oddHBand="0" w:evenHBand="0" w:firstRowFirstColumn="0" w:firstRowLastColumn="0" w:lastRowFirstColumn="0" w:lastRowLastColumn="0"/>
            </w:pPr>
            <w:r w:rsidRPr="00A36BE7">
              <w:t>Mensuel pendant travaux et 6 mois après</w:t>
            </w:r>
          </w:p>
        </w:tc>
        <w:tc>
          <w:tcPr>
            <w:tcW w:w="0" w:type="auto"/>
            <w:hideMark/>
          </w:tcPr>
          <w:p w14:paraId="37373052" w14:textId="5BB59478" w:rsidR="00C40C47" w:rsidRPr="00A36BE7" w:rsidRDefault="00C40C47" w:rsidP="00C40C47">
            <w:pPr>
              <w:cnfStyle w:val="000000000000" w:firstRow="0" w:lastRow="0" w:firstColumn="0" w:lastColumn="0" w:oddVBand="0" w:evenVBand="0" w:oddHBand="0" w:evenHBand="0" w:firstRowFirstColumn="0" w:firstRowLastColumn="0" w:lastRowFirstColumn="0" w:lastRowLastColumn="0"/>
            </w:pPr>
            <w:r>
              <w:t>Aucun coût spécifique</w:t>
            </w:r>
          </w:p>
        </w:tc>
      </w:tr>
      <w:tr w:rsidR="0098223F" w:rsidRPr="00A36BE7" w14:paraId="04534522" w14:textId="77777777" w:rsidTr="00A36BE7">
        <w:tc>
          <w:tcPr>
            <w:cnfStyle w:val="001000000000" w:firstRow="0" w:lastRow="0" w:firstColumn="1" w:lastColumn="0" w:oddVBand="0" w:evenVBand="0" w:oddHBand="0" w:evenHBand="0" w:firstRowFirstColumn="0" w:firstRowLastColumn="0" w:lastRowFirstColumn="0" w:lastRowLastColumn="0"/>
            <w:tcW w:w="0" w:type="auto"/>
            <w:vMerge/>
            <w:hideMark/>
          </w:tcPr>
          <w:p w14:paraId="17B613BB" w14:textId="77777777" w:rsidR="00C40C47" w:rsidRPr="00A36BE7" w:rsidRDefault="00C40C47" w:rsidP="00C40C47"/>
        </w:tc>
        <w:tc>
          <w:tcPr>
            <w:tcW w:w="0" w:type="auto"/>
            <w:hideMark/>
          </w:tcPr>
          <w:p w14:paraId="3F1FB2B1" w14:textId="77777777" w:rsidR="00C40C47" w:rsidRPr="00A36BE7" w:rsidRDefault="00C40C47" w:rsidP="00C40C47">
            <w:pPr>
              <w:cnfStyle w:val="000000000000" w:firstRow="0" w:lastRow="0" w:firstColumn="0" w:lastColumn="0" w:oddVBand="0" w:evenVBand="0" w:oddHBand="0" w:evenHBand="0" w:firstRowFirstColumn="0" w:firstRowLastColumn="0" w:lastRowFirstColumn="0" w:lastRowLastColumn="0"/>
              <w:rPr>
                <w:b/>
                <w:bCs/>
              </w:rPr>
            </w:pPr>
            <w:r w:rsidRPr="00A36BE7">
              <w:rPr>
                <w:b/>
                <w:bCs/>
              </w:rPr>
              <w:t>Compenser</w:t>
            </w:r>
          </w:p>
        </w:tc>
        <w:tc>
          <w:tcPr>
            <w:tcW w:w="0" w:type="auto"/>
            <w:hideMark/>
          </w:tcPr>
          <w:p w14:paraId="3E170E43" w14:textId="77777777" w:rsidR="00C40C47" w:rsidRPr="00A36BE7" w:rsidRDefault="00C40C47" w:rsidP="00C40C47">
            <w:pPr>
              <w:cnfStyle w:val="000000000000" w:firstRow="0" w:lastRow="0" w:firstColumn="0" w:lastColumn="0" w:oddVBand="0" w:evenVBand="0" w:oddHBand="0" w:evenHBand="0" w:firstRowFirstColumn="0" w:firstRowLastColumn="0" w:lastRowFirstColumn="0" w:lastRowLastColumn="0"/>
            </w:pPr>
            <w:r w:rsidRPr="00A36BE7">
              <w:t>En cas d’apparition, renforcer la plantation d’espèces locales autochtones sur les zones concernées.</w:t>
            </w:r>
          </w:p>
        </w:tc>
        <w:tc>
          <w:tcPr>
            <w:tcW w:w="0" w:type="auto"/>
            <w:hideMark/>
          </w:tcPr>
          <w:p w14:paraId="158AF1A4" w14:textId="77777777" w:rsidR="00C40C47" w:rsidRPr="00A36BE7" w:rsidRDefault="00C40C47" w:rsidP="00C40C47">
            <w:pPr>
              <w:cnfStyle w:val="000000000000" w:firstRow="0" w:lastRow="0" w:firstColumn="0" w:lastColumn="0" w:oddVBand="0" w:evenVBand="0" w:oddHBand="0" w:evenHBand="0" w:firstRowFirstColumn="0" w:firstRowLastColumn="0" w:lastRowFirstColumn="0" w:lastRowLastColumn="0"/>
            </w:pPr>
            <w:r w:rsidRPr="00A36BE7">
              <w:t>Nb de zones renforcées / surface totale ≥ 100 %</w:t>
            </w:r>
          </w:p>
        </w:tc>
        <w:tc>
          <w:tcPr>
            <w:tcW w:w="0" w:type="auto"/>
            <w:hideMark/>
          </w:tcPr>
          <w:p w14:paraId="0E64D721" w14:textId="2E26E43D" w:rsidR="00C40C47" w:rsidRPr="00A36BE7" w:rsidRDefault="00C40C47" w:rsidP="00C40C47">
            <w:pPr>
              <w:cnfStyle w:val="000000000000" w:firstRow="0" w:lastRow="0" w:firstColumn="0" w:lastColumn="0" w:oddVBand="0" w:evenVBand="0" w:oddHBand="0" w:evenHBand="0" w:firstRowFirstColumn="0" w:firstRowLastColumn="0" w:lastRowFirstColumn="0" w:lastRowLastColumn="0"/>
            </w:pPr>
            <w:r w:rsidRPr="004637C7">
              <w:rPr>
                <w:rFonts w:asciiTheme="minorHAnsi" w:hAnsiTheme="minorHAnsi" w:cstheme="minorHAnsi"/>
                <w:szCs w:val="20"/>
                <w:lang w:eastAsia="fr-FR" w:bidi="ar-SA"/>
              </w:rPr>
              <w:t>EPC et sous-traitants</w:t>
            </w:r>
          </w:p>
        </w:tc>
        <w:tc>
          <w:tcPr>
            <w:tcW w:w="0" w:type="auto"/>
            <w:hideMark/>
          </w:tcPr>
          <w:p w14:paraId="4D9DC974" w14:textId="42733481" w:rsidR="00C40C47" w:rsidRPr="00A36BE7" w:rsidRDefault="00C40C47" w:rsidP="00C40C47">
            <w:pPr>
              <w:cnfStyle w:val="000000000000" w:firstRow="0" w:lastRow="0" w:firstColumn="0" w:lastColumn="0" w:oddVBand="0" w:evenVBand="0" w:oddHBand="0" w:evenHBand="0" w:firstRowFirstColumn="0" w:firstRowLastColumn="0" w:lastRowFirstColumn="0" w:lastRowLastColumn="0"/>
            </w:pPr>
            <w:r w:rsidRPr="00BC1745">
              <w:rPr>
                <w:szCs w:val="20"/>
              </w:rPr>
              <w:t>Bureau de contrôle / Consultant de supervision mandaté par l’ONDA</w:t>
            </w:r>
          </w:p>
        </w:tc>
        <w:tc>
          <w:tcPr>
            <w:tcW w:w="0" w:type="auto"/>
            <w:hideMark/>
          </w:tcPr>
          <w:p w14:paraId="39465762" w14:textId="6C2188B2" w:rsidR="00C40C47" w:rsidRPr="00A36BE7" w:rsidRDefault="00C40C47" w:rsidP="00C40C47">
            <w:pPr>
              <w:cnfStyle w:val="000000000000" w:firstRow="0" w:lastRow="0" w:firstColumn="0" w:lastColumn="0" w:oddVBand="0" w:evenVBand="0" w:oddHBand="0" w:evenHBand="0" w:firstRowFirstColumn="0" w:firstRowLastColumn="0" w:lastRowFirstColumn="0" w:lastRowLastColumn="0"/>
            </w:pPr>
            <w:r>
              <w:rPr>
                <w:rFonts w:asciiTheme="minorHAnsi" w:hAnsiTheme="minorHAnsi" w:cstheme="minorHAnsi"/>
                <w:szCs w:val="20"/>
                <w:lang w:eastAsia="zh-CN"/>
              </w:rPr>
              <w:t>ONDA</w:t>
            </w:r>
          </w:p>
        </w:tc>
        <w:tc>
          <w:tcPr>
            <w:tcW w:w="0" w:type="auto"/>
            <w:hideMark/>
          </w:tcPr>
          <w:p w14:paraId="5A932830" w14:textId="77777777" w:rsidR="00C40C47" w:rsidRPr="00A36BE7" w:rsidRDefault="00C40C47" w:rsidP="00C40C47">
            <w:pPr>
              <w:cnfStyle w:val="000000000000" w:firstRow="0" w:lastRow="0" w:firstColumn="0" w:lastColumn="0" w:oddVBand="0" w:evenVBand="0" w:oddHBand="0" w:evenHBand="0" w:firstRowFirstColumn="0" w:firstRowLastColumn="0" w:lastRowFirstColumn="0" w:lastRowLastColumn="0"/>
            </w:pPr>
            <w:r w:rsidRPr="00A36BE7">
              <w:t>Après détection d’espèce invasive</w:t>
            </w:r>
          </w:p>
        </w:tc>
        <w:tc>
          <w:tcPr>
            <w:tcW w:w="0" w:type="auto"/>
            <w:hideMark/>
          </w:tcPr>
          <w:p w14:paraId="5A798E41" w14:textId="6AEE6B13" w:rsidR="00C40C47" w:rsidRPr="00A36BE7" w:rsidRDefault="00174B00" w:rsidP="00C40C47">
            <w:pPr>
              <w:cnfStyle w:val="000000000000" w:firstRow="0" w:lastRow="0" w:firstColumn="0" w:lastColumn="0" w:oddVBand="0" w:evenVBand="0" w:oddHBand="0" w:evenHBand="0" w:firstRowFirstColumn="0" w:firstRowLastColumn="0" w:lastRowFirstColumn="0" w:lastRowLastColumn="0"/>
            </w:pPr>
            <w:r w:rsidRPr="00174B00">
              <w:t xml:space="preserve">25 – 35 </w:t>
            </w:r>
            <w:r>
              <w:t>MAD</w:t>
            </w:r>
            <w:r w:rsidRPr="00174B00">
              <w:t>/m²</w:t>
            </w:r>
          </w:p>
        </w:tc>
      </w:tr>
      <w:tr w:rsidR="0098223F" w:rsidRPr="00A36BE7" w14:paraId="56506AC6" w14:textId="77777777" w:rsidTr="00A36BE7">
        <w:tc>
          <w:tcPr>
            <w:cnfStyle w:val="001000000000" w:firstRow="0" w:lastRow="0" w:firstColumn="1" w:lastColumn="0" w:oddVBand="0" w:evenVBand="0" w:oddHBand="0" w:evenHBand="0" w:firstRowFirstColumn="0" w:firstRowLastColumn="0" w:lastRowFirstColumn="0" w:lastRowLastColumn="0"/>
            <w:tcW w:w="0" w:type="auto"/>
            <w:vMerge w:val="restart"/>
            <w:hideMark/>
          </w:tcPr>
          <w:p w14:paraId="0321D4FB" w14:textId="77777777" w:rsidR="00C40C47" w:rsidRPr="00A36BE7" w:rsidRDefault="00C40C47" w:rsidP="00C40C47">
            <w:r w:rsidRPr="00A36BE7">
              <w:rPr>
                <w:b w:val="0"/>
                <w:bCs w:val="0"/>
              </w:rPr>
              <w:t xml:space="preserve">Risque de mortalité accidentelle de </w:t>
            </w:r>
            <w:r w:rsidRPr="00A36BE7">
              <w:rPr>
                <w:b w:val="0"/>
                <w:bCs w:val="0"/>
              </w:rPr>
              <w:lastRenderedPageBreak/>
              <w:t>petits vertébrés et reptiles</w:t>
            </w:r>
          </w:p>
        </w:tc>
        <w:tc>
          <w:tcPr>
            <w:tcW w:w="0" w:type="auto"/>
            <w:hideMark/>
          </w:tcPr>
          <w:p w14:paraId="43F45AA7" w14:textId="77777777" w:rsidR="00C40C47" w:rsidRPr="00A36BE7" w:rsidRDefault="00C40C47" w:rsidP="00C40C47">
            <w:pPr>
              <w:cnfStyle w:val="000000000000" w:firstRow="0" w:lastRow="0" w:firstColumn="0" w:lastColumn="0" w:oddVBand="0" w:evenVBand="0" w:oddHBand="0" w:evenHBand="0" w:firstRowFirstColumn="0" w:firstRowLastColumn="0" w:lastRowFirstColumn="0" w:lastRowLastColumn="0"/>
              <w:rPr>
                <w:b/>
                <w:bCs/>
              </w:rPr>
            </w:pPr>
            <w:r w:rsidRPr="00A36BE7">
              <w:rPr>
                <w:b/>
                <w:bCs/>
              </w:rPr>
              <w:lastRenderedPageBreak/>
              <w:t>Éviter</w:t>
            </w:r>
          </w:p>
        </w:tc>
        <w:tc>
          <w:tcPr>
            <w:tcW w:w="0" w:type="auto"/>
            <w:hideMark/>
          </w:tcPr>
          <w:p w14:paraId="10469EBA" w14:textId="77777777" w:rsidR="00C40C47" w:rsidRPr="00A36BE7" w:rsidRDefault="00C40C47" w:rsidP="00C40C47">
            <w:pPr>
              <w:cnfStyle w:val="000000000000" w:firstRow="0" w:lastRow="0" w:firstColumn="0" w:lastColumn="0" w:oddVBand="0" w:evenVBand="0" w:oddHBand="0" w:evenHBand="0" w:firstRowFirstColumn="0" w:firstRowLastColumn="0" w:lastRowFirstColumn="0" w:lastRowLastColumn="0"/>
            </w:pPr>
            <w:r w:rsidRPr="00A36BE7">
              <w:t>Inspection écologique préalable des zones à défricher avant démarrage des travaux.</w:t>
            </w:r>
          </w:p>
        </w:tc>
        <w:tc>
          <w:tcPr>
            <w:tcW w:w="0" w:type="auto"/>
            <w:hideMark/>
          </w:tcPr>
          <w:p w14:paraId="0043F8D3" w14:textId="46E67831" w:rsidR="00C40C47" w:rsidRPr="00A36BE7" w:rsidRDefault="00C40C47" w:rsidP="00C40C47">
            <w:pPr>
              <w:cnfStyle w:val="000000000000" w:firstRow="0" w:lastRow="0" w:firstColumn="0" w:lastColumn="0" w:oddVBand="0" w:evenVBand="0" w:oddHBand="0" w:evenHBand="0" w:firstRowFirstColumn="0" w:firstRowLastColumn="0" w:lastRowFirstColumn="0" w:lastRowLastColumn="0"/>
            </w:pPr>
            <w:r w:rsidRPr="00A36BE7">
              <w:t>Nombre d’inspections / zones validées</w:t>
            </w:r>
          </w:p>
        </w:tc>
        <w:tc>
          <w:tcPr>
            <w:tcW w:w="0" w:type="auto"/>
            <w:hideMark/>
          </w:tcPr>
          <w:p w14:paraId="4AAD736B" w14:textId="6EDA5F35" w:rsidR="00C40C47" w:rsidRPr="00A36BE7" w:rsidRDefault="00C40C47" w:rsidP="00C40C47">
            <w:pPr>
              <w:cnfStyle w:val="000000000000" w:firstRow="0" w:lastRow="0" w:firstColumn="0" w:lastColumn="0" w:oddVBand="0" w:evenVBand="0" w:oddHBand="0" w:evenHBand="0" w:firstRowFirstColumn="0" w:firstRowLastColumn="0" w:lastRowFirstColumn="0" w:lastRowLastColumn="0"/>
            </w:pPr>
            <w:r w:rsidRPr="004637C7">
              <w:rPr>
                <w:rFonts w:asciiTheme="minorHAnsi" w:hAnsiTheme="minorHAnsi" w:cstheme="minorHAnsi"/>
                <w:szCs w:val="20"/>
                <w:lang w:eastAsia="fr-FR" w:bidi="ar-SA"/>
              </w:rPr>
              <w:t>EPC et sous-traitants</w:t>
            </w:r>
          </w:p>
        </w:tc>
        <w:tc>
          <w:tcPr>
            <w:tcW w:w="0" w:type="auto"/>
            <w:hideMark/>
          </w:tcPr>
          <w:p w14:paraId="7B31B59F" w14:textId="2CBC04D8" w:rsidR="00C40C47" w:rsidRPr="00A36BE7" w:rsidRDefault="00C40C47" w:rsidP="00C40C47">
            <w:pPr>
              <w:cnfStyle w:val="000000000000" w:firstRow="0" w:lastRow="0" w:firstColumn="0" w:lastColumn="0" w:oddVBand="0" w:evenVBand="0" w:oddHBand="0" w:evenHBand="0" w:firstRowFirstColumn="0" w:firstRowLastColumn="0" w:lastRowFirstColumn="0" w:lastRowLastColumn="0"/>
            </w:pPr>
            <w:r w:rsidRPr="00BC1745">
              <w:rPr>
                <w:szCs w:val="20"/>
              </w:rPr>
              <w:t xml:space="preserve">Bureau de contrôle / Consultant de supervision </w:t>
            </w:r>
            <w:r w:rsidRPr="00BC1745">
              <w:rPr>
                <w:szCs w:val="20"/>
              </w:rPr>
              <w:lastRenderedPageBreak/>
              <w:t>mandaté par l’ONDA</w:t>
            </w:r>
          </w:p>
        </w:tc>
        <w:tc>
          <w:tcPr>
            <w:tcW w:w="0" w:type="auto"/>
            <w:hideMark/>
          </w:tcPr>
          <w:p w14:paraId="3D11969D" w14:textId="77B6AA30" w:rsidR="00C40C47" w:rsidRPr="00A36BE7" w:rsidRDefault="00C40C47" w:rsidP="00C40C47">
            <w:pPr>
              <w:cnfStyle w:val="000000000000" w:firstRow="0" w:lastRow="0" w:firstColumn="0" w:lastColumn="0" w:oddVBand="0" w:evenVBand="0" w:oddHBand="0" w:evenHBand="0" w:firstRowFirstColumn="0" w:firstRowLastColumn="0" w:lastRowFirstColumn="0" w:lastRowLastColumn="0"/>
            </w:pPr>
            <w:r>
              <w:rPr>
                <w:rFonts w:asciiTheme="minorHAnsi" w:hAnsiTheme="minorHAnsi" w:cstheme="minorHAnsi"/>
                <w:szCs w:val="20"/>
                <w:lang w:eastAsia="zh-CN"/>
              </w:rPr>
              <w:lastRenderedPageBreak/>
              <w:t>ONDA</w:t>
            </w:r>
          </w:p>
        </w:tc>
        <w:tc>
          <w:tcPr>
            <w:tcW w:w="0" w:type="auto"/>
            <w:hideMark/>
          </w:tcPr>
          <w:p w14:paraId="66CBD6A1" w14:textId="77777777" w:rsidR="00C40C47" w:rsidRPr="00A36BE7" w:rsidRDefault="00C40C47" w:rsidP="00C40C47">
            <w:pPr>
              <w:cnfStyle w:val="000000000000" w:firstRow="0" w:lastRow="0" w:firstColumn="0" w:lastColumn="0" w:oddVBand="0" w:evenVBand="0" w:oddHBand="0" w:evenHBand="0" w:firstRowFirstColumn="0" w:firstRowLastColumn="0" w:lastRowFirstColumn="0" w:lastRowLastColumn="0"/>
            </w:pPr>
            <w:r w:rsidRPr="00A36BE7">
              <w:t>Avant terrassement</w:t>
            </w:r>
          </w:p>
        </w:tc>
        <w:tc>
          <w:tcPr>
            <w:tcW w:w="0" w:type="auto"/>
            <w:hideMark/>
          </w:tcPr>
          <w:p w14:paraId="34F5D746" w14:textId="6823AAD4" w:rsidR="00C40C47" w:rsidRPr="00A36BE7" w:rsidRDefault="00C40C47" w:rsidP="00C40C47">
            <w:pPr>
              <w:cnfStyle w:val="000000000000" w:firstRow="0" w:lastRow="0" w:firstColumn="0" w:lastColumn="0" w:oddVBand="0" w:evenVBand="0" w:oddHBand="0" w:evenHBand="0" w:firstRowFirstColumn="0" w:firstRowLastColumn="0" w:lastRowFirstColumn="0" w:lastRowLastColumn="0"/>
            </w:pPr>
            <w:r w:rsidRPr="00A36BE7">
              <w:t>Aucun coût spécifique</w:t>
            </w:r>
          </w:p>
        </w:tc>
      </w:tr>
      <w:tr w:rsidR="0098223F" w:rsidRPr="00A36BE7" w14:paraId="325C00AE" w14:textId="77777777" w:rsidTr="00A36BE7">
        <w:tc>
          <w:tcPr>
            <w:cnfStyle w:val="001000000000" w:firstRow="0" w:lastRow="0" w:firstColumn="1" w:lastColumn="0" w:oddVBand="0" w:evenVBand="0" w:oddHBand="0" w:evenHBand="0" w:firstRowFirstColumn="0" w:firstRowLastColumn="0" w:lastRowFirstColumn="0" w:lastRowLastColumn="0"/>
            <w:tcW w:w="0" w:type="auto"/>
            <w:vMerge/>
            <w:hideMark/>
          </w:tcPr>
          <w:p w14:paraId="661D1FAB" w14:textId="77777777" w:rsidR="00C40C47" w:rsidRPr="00A36BE7" w:rsidRDefault="00C40C47" w:rsidP="00C40C47"/>
        </w:tc>
        <w:tc>
          <w:tcPr>
            <w:tcW w:w="0" w:type="auto"/>
            <w:hideMark/>
          </w:tcPr>
          <w:p w14:paraId="0654D8FD" w14:textId="77777777" w:rsidR="00C40C47" w:rsidRPr="00A36BE7" w:rsidRDefault="00C40C47" w:rsidP="00C40C47">
            <w:pPr>
              <w:cnfStyle w:val="000000000000" w:firstRow="0" w:lastRow="0" w:firstColumn="0" w:lastColumn="0" w:oddVBand="0" w:evenVBand="0" w:oddHBand="0" w:evenHBand="0" w:firstRowFirstColumn="0" w:firstRowLastColumn="0" w:lastRowFirstColumn="0" w:lastRowLastColumn="0"/>
              <w:rPr>
                <w:b/>
                <w:bCs/>
              </w:rPr>
            </w:pPr>
            <w:r w:rsidRPr="00A36BE7">
              <w:rPr>
                <w:b/>
                <w:bCs/>
              </w:rPr>
              <w:t>Réduire</w:t>
            </w:r>
          </w:p>
        </w:tc>
        <w:tc>
          <w:tcPr>
            <w:tcW w:w="0" w:type="auto"/>
            <w:hideMark/>
          </w:tcPr>
          <w:p w14:paraId="00150AAD" w14:textId="77777777" w:rsidR="00C40C47" w:rsidRPr="00A36BE7" w:rsidRDefault="00C40C47" w:rsidP="00C40C47">
            <w:pPr>
              <w:cnfStyle w:val="000000000000" w:firstRow="0" w:lastRow="0" w:firstColumn="0" w:lastColumn="0" w:oddVBand="0" w:evenVBand="0" w:oddHBand="0" w:evenHBand="0" w:firstRowFirstColumn="0" w:firstRowLastColumn="0" w:lastRowFirstColumn="0" w:lastRowLastColumn="0"/>
            </w:pPr>
            <w:r w:rsidRPr="00A36BE7">
              <w:t>Suspendre immédiatement les travaux en cas de découverte d’un animal et prévenir l’écologue.</w:t>
            </w:r>
          </w:p>
        </w:tc>
        <w:tc>
          <w:tcPr>
            <w:tcW w:w="0" w:type="auto"/>
            <w:hideMark/>
          </w:tcPr>
          <w:p w14:paraId="42473B21" w14:textId="77777777" w:rsidR="00C40C47" w:rsidRPr="00A36BE7" w:rsidRDefault="00C40C47" w:rsidP="00C40C47">
            <w:pPr>
              <w:cnfStyle w:val="000000000000" w:firstRow="0" w:lastRow="0" w:firstColumn="0" w:lastColumn="0" w:oddVBand="0" w:evenVBand="0" w:oddHBand="0" w:evenHBand="0" w:firstRowFirstColumn="0" w:firstRowLastColumn="0" w:lastRowFirstColumn="0" w:lastRowLastColumn="0"/>
            </w:pPr>
            <w:r w:rsidRPr="00A36BE7">
              <w:t>Taux de conformité des arrêts / signalements = 100 %</w:t>
            </w:r>
          </w:p>
        </w:tc>
        <w:tc>
          <w:tcPr>
            <w:tcW w:w="0" w:type="auto"/>
            <w:hideMark/>
          </w:tcPr>
          <w:p w14:paraId="41B4483E" w14:textId="1C073D43" w:rsidR="00C40C47" w:rsidRPr="00A36BE7" w:rsidRDefault="00C40C47" w:rsidP="00C40C47">
            <w:pPr>
              <w:cnfStyle w:val="000000000000" w:firstRow="0" w:lastRow="0" w:firstColumn="0" w:lastColumn="0" w:oddVBand="0" w:evenVBand="0" w:oddHBand="0" w:evenHBand="0" w:firstRowFirstColumn="0" w:firstRowLastColumn="0" w:lastRowFirstColumn="0" w:lastRowLastColumn="0"/>
            </w:pPr>
            <w:r w:rsidRPr="004637C7">
              <w:rPr>
                <w:rFonts w:asciiTheme="minorHAnsi" w:hAnsiTheme="minorHAnsi" w:cstheme="minorHAnsi"/>
                <w:szCs w:val="20"/>
                <w:lang w:eastAsia="fr-FR" w:bidi="ar-SA"/>
              </w:rPr>
              <w:t>EPC et sous-traitants</w:t>
            </w:r>
          </w:p>
        </w:tc>
        <w:tc>
          <w:tcPr>
            <w:tcW w:w="0" w:type="auto"/>
            <w:hideMark/>
          </w:tcPr>
          <w:p w14:paraId="3C443F2D" w14:textId="2FAA8C4C" w:rsidR="00C40C47" w:rsidRPr="00A36BE7" w:rsidRDefault="00C40C47" w:rsidP="00C40C47">
            <w:pPr>
              <w:cnfStyle w:val="000000000000" w:firstRow="0" w:lastRow="0" w:firstColumn="0" w:lastColumn="0" w:oddVBand="0" w:evenVBand="0" w:oddHBand="0" w:evenHBand="0" w:firstRowFirstColumn="0" w:firstRowLastColumn="0" w:lastRowFirstColumn="0" w:lastRowLastColumn="0"/>
            </w:pPr>
            <w:r w:rsidRPr="00BC1745">
              <w:rPr>
                <w:szCs w:val="20"/>
              </w:rPr>
              <w:t>Bureau de contrôle / Consultant de supervision mandaté par l’ONDA</w:t>
            </w:r>
          </w:p>
        </w:tc>
        <w:tc>
          <w:tcPr>
            <w:tcW w:w="0" w:type="auto"/>
            <w:hideMark/>
          </w:tcPr>
          <w:p w14:paraId="21387438" w14:textId="20A04D0C" w:rsidR="00C40C47" w:rsidRPr="00A36BE7" w:rsidRDefault="00C40C47" w:rsidP="00C40C47">
            <w:pPr>
              <w:cnfStyle w:val="000000000000" w:firstRow="0" w:lastRow="0" w:firstColumn="0" w:lastColumn="0" w:oddVBand="0" w:evenVBand="0" w:oddHBand="0" w:evenHBand="0" w:firstRowFirstColumn="0" w:firstRowLastColumn="0" w:lastRowFirstColumn="0" w:lastRowLastColumn="0"/>
            </w:pPr>
            <w:r>
              <w:rPr>
                <w:rFonts w:asciiTheme="minorHAnsi" w:hAnsiTheme="minorHAnsi" w:cstheme="minorHAnsi"/>
                <w:szCs w:val="20"/>
                <w:lang w:eastAsia="zh-CN"/>
              </w:rPr>
              <w:t>ONDA</w:t>
            </w:r>
          </w:p>
        </w:tc>
        <w:tc>
          <w:tcPr>
            <w:tcW w:w="0" w:type="auto"/>
            <w:hideMark/>
          </w:tcPr>
          <w:p w14:paraId="0DCF5E24" w14:textId="77777777" w:rsidR="00C40C47" w:rsidRPr="00A36BE7" w:rsidRDefault="00C40C47" w:rsidP="00C40C47">
            <w:pPr>
              <w:cnfStyle w:val="000000000000" w:firstRow="0" w:lastRow="0" w:firstColumn="0" w:lastColumn="0" w:oddVBand="0" w:evenVBand="0" w:oddHBand="0" w:evenHBand="0" w:firstRowFirstColumn="0" w:firstRowLastColumn="0" w:lastRowFirstColumn="0" w:lastRowLastColumn="0"/>
            </w:pPr>
            <w:r w:rsidRPr="00A36BE7">
              <w:t>Permanent</w:t>
            </w:r>
          </w:p>
        </w:tc>
        <w:tc>
          <w:tcPr>
            <w:tcW w:w="0" w:type="auto"/>
            <w:hideMark/>
          </w:tcPr>
          <w:p w14:paraId="675B3DBA" w14:textId="69D07AD4" w:rsidR="00C40C47" w:rsidRPr="00A36BE7" w:rsidRDefault="00C40C47" w:rsidP="00C40C47">
            <w:pPr>
              <w:cnfStyle w:val="000000000000" w:firstRow="0" w:lastRow="0" w:firstColumn="0" w:lastColumn="0" w:oddVBand="0" w:evenVBand="0" w:oddHBand="0" w:evenHBand="0" w:firstRowFirstColumn="0" w:firstRowLastColumn="0" w:lastRowFirstColumn="0" w:lastRowLastColumn="0"/>
            </w:pPr>
            <w:r w:rsidRPr="00F42022">
              <w:t>Aucun coût spécifique</w:t>
            </w:r>
          </w:p>
        </w:tc>
      </w:tr>
      <w:tr w:rsidR="0098223F" w:rsidRPr="00A36BE7" w14:paraId="169D4963" w14:textId="77777777" w:rsidTr="00A36BE7">
        <w:tc>
          <w:tcPr>
            <w:cnfStyle w:val="001000000000" w:firstRow="0" w:lastRow="0" w:firstColumn="1" w:lastColumn="0" w:oddVBand="0" w:evenVBand="0" w:oddHBand="0" w:evenHBand="0" w:firstRowFirstColumn="0" w:firstRowLastColumn="0" w:lastRowFirstColumn="0" w:lastRowLastColumn="0"/>
            <w:tcW w:w="0" w:type="auto"/>
            <w:vMerge/>
            <w:hideMark/>
          </w:tcPr>
          <w:p w14:paraId="0E92F392" w14:textId="77777777" w:rsidR="00C40C47" w:rsidRPr="00A36BE7" w:rsidRDefault="00C40C47" w:rsidP="00C40C47"/>
        </w:tc>
        <w:tc>
          <w:tcPr>
            <w:tcW w:w="0" w:type="auto"/>
            <w:hideMark/>
          </w:tcPr>
          <w:p w14:paraId="3696F225" w14:textId="77777777" w:rsidR="00C40C47" w:rsidRPr="00A36BE7" w:rsidRDefault="00C40C47" w:rsidP="00C40C47">
            <w:pPr>
              <w:cnfStyle w:val="000000000000" w:firstRow="0" w:lastRow="0" w:firstColumn="0" w:lastColumn="0" w:oddVBand="0" w:evenVBand="0" w:oddHBand="0" w:evenHBand="0" w:firstRowFirstColumn="0" w:firstRowLastColumn="0" w:lastRowFirstColumn="0" w:lastRowLastColumn="0"/>
              <w:rPr>
                <w:b/>
                <w:bCs/>
              </w:rPr>
            </w:pPr>
            <w:r w:rsidRPr="00A36BE7">
              <w:rPr>
                <w:b/>
                <w:bCs/>
              </w:rPr>
              <w:t>Atténuer</w:t>
            </w:r>
          </w:p>
        </w:tc>
        <w:tc>
          <w:tcPr>
            <w:tcW w:w="0" w:type="auto"/>
            <w:hideMark/>
          </w:tcPr>
          <w:p w14:paraId="57D44191" w14:textId="77777777" w:rsidR="00C40C47" w:rsidRPr="00A36BE7" w:rsidRDefault="00C40C47" w:rsidP="00C40C47">
            <w:pPr>
              <w:cnfStyle w:val="000000000000" w:firstRow="0" w:lastRow="0" w:firstColumn="0" w:lastColumn="0" w:oddVBand="0" w:evenVBand="0" w:oddHBand="0" w:evenHBand="0" w:firstRowFirstColumn="0" w:firstRowLastColumn="0" w:lastRowFirstColumn="0" w:lastRowLastColumn="0"/>
            </w:pPr>
            <w:r w:rsidRPr="00A36BE7">
              <w:t>Relocaliser les animaux vivants vers un habitat sûr sous supervision de l’écologue de chantier.</w:t>
            </w:r>
          </w:p>
        </w:tc>
        <w:tc>
          <w:tcPr>
            <w:tcW w:w="0" w:type="auto"/>
            <w:hideMark/>
          </w:tcPr>
          <w:p w14:paraId="04E44680" w14:textId="77777777" w:rsidR="00C40C47" w:rsidRPr="00A36BE7" w:rsidRDefault="00C40C47" w:rsidP="00C40C47">
            <w:pPr>
              <w:cnfStyle w:val="000000000000" w:firstRow="0" w:lastRow="0" w:firstColumn="0" w:lastColumn="0" w:oddVBand="0" w:evenVBand="0" w:oddHBand="0" w:evenHBand="0" w:firstRowFirstColumn="0" w:firstRowLastColumn="0" w:lastRowFirstColumn="0" w:lastRowLastColumn="0"/>
            </w:pPr>
            <w:r w:rsidRPr="00A36BE7">
              <w:t>Nombre d’individus déplacés / mortalité = 0</w:t>
            </w:r>
          </w:p>
        </w:tc>
        <w:tc>
          <w:tcPr>
            <w:tcW w:w="0" w:type="auto"/>
            <w:hideMark/>
          </w:tcPr>
          <w:p w14:paraId="4471426A" w14:textId="53D9DDFF" w:rsidR="00C40C47" w:rsidRPr="00A36BE7" w:rsidRDefault="00C40C47" w:rsidP="00C40C47">
            <w:pPr>
              <w:cnfStyle w:val="000000000000" w:firstRow="0" w:lastRow="0" w:firstColumn="0" w:lastColumn="0" w:oddVBand="0" w:evenVBand="0" w:oddHBand="0" w:evenHBand="0" w:firstRowFirstColumn="0" w:firstRowLastColumn="0" w:lastRowFirstColumn="0" w:lastRowLastColumn="0"/>
            </w:pPr>
            <w:r w:rsidRPr="004637C7">
              <w:rPr>
                <w:rFonts w:asciiTheme="minorHAnsi" w:hAnsiTheme="minorHAnsi" w:cstheme="minorHAnsi"/>
                <w:szCs w:val="20"/>
                <w:lang w:eastAsia="fr-FR" w:bidi="ar-SA"/>
              </w:rPr>
              <w:t>EPC et sous-traitants</w:t>
            </w:r>
          </w:p>
        </w:tc>
        <w:tc>
          <w:tcPr>
            <w:tcW w:w="0" w:type="auto"/>
            <w:hideMark/>
          </w:tcPr>
          <w:p w14:paraId="480DB2E6" w14:textId="2182D7A9" w:rsidR="00C40C47" w:rsidRPr="00A36BE7" w:rsidRDefault="00C40C47" w:rsidP="00C40C47">
            <w:pPr>
              <w:cnfStyle w:val="000000000000" w:firstRow="0" w:lastRow="0" w:firstColumn="0" w:lastColumn="0" w:oddVBand="0" w:evenVBand="0" w:oddHBand="0" w:evenHBand="0" w:firstRowFirstColumn="0" w:firstRowLastColumn="0" w:lastRowFirstColumn="0" w:lastRowLastColumn="0"/>
            </w:pPr>
            <w:r w:rsidRPr="00BC1745">
              <w:rPr>
                <w:szCs w:val="20"/>
              </w:rPr>
              <w:t>Bureau de contrôle / Consultant de supervision mandaté par l’ONDA</w:t>
            </w:r>
          </w:p>
        </w:tc>
        <w:tc>
          <w:tcPr>
            <w:tcW w:w="0" w:type="auto"/>
            <w:hideMark/>
          </w:tcPr>
          <w:p w14:paraId="50950BF4" w14:textId="211122BC" w:rsidR="00C40C47" w:rsidRPr="00A36BE7" w:rsidRDefault="00C40C47" w:rsidP="00C40C47">
            <w:pPr>
              <w:cnfStyle w:val="000000000000" w:firstRow="0" w:lastRow="0" w:firstColumn="0" w:lastColumn="0" w:oddVBand="0" w:evenVBand="0" w:oddHBand="0" w:evenHBand="0" w:firstRowFirstColumn="0" w:firstRowLastColumn="0" w:lastRowFirstColumn="0" w:lastRowLastColumn="0"/>
            </w:pPr>
            <w:r>
              <w:rPr>
                <w:rFonts w:asciiTheme="minorHAnsi" w:hAnsiTheme="minorHAnsi" w:cstheme="minorHAnsi"/>
                <w:szCs w:val="20"/>
                <w:lang w:eastAsia="zh-CN"/>
              </w:rPr>
              <w:t>ONDA</w:t>
            </w:r>
          </w:p>
        </w:tc>
        <w:tc>
          <w:tcPr>
            <w:tcW w:w="0" w:type="auto"/>
            <w:hideMark/>
          </w:tcPr>
          <w:p w14:paraId="00F866C9" w14:textId="77777777" w:rsidR="00C40C47" w:rsidRPr="00A36BE7" w:rsidRDefault="00C40C47" w:rsidP="00C40C47">
            <w:pPr>
              <w:cnfStyle w:val="000000000000" w:firstRow="0" w:lastRow="0" w:firstColumn="0" w:lastColumn="0" w:oddVBand="0" w:evenVBand="0" w:oddHBand="0" w:evenHBand="0" w:firstRowFirstColumn="0" w:firstRowLastColumn="0" w:lastRowFirstColumn="0" w:lastRowLastColumn="0"/>
            </w:pPr>
            <w:r w:rsidRPr="00A36BE7">
              <w:t>Durant les travaux</w:t>
            </w:r>
          </w:p>
        </w:tc>
        <w:tc>
          <w:tcPr>
            <w:tcW w:w="0" w:type="auto"/>
            <w:hideMark/>
          </w:tcPr>
          <w:p w14:paraId="548BEA03" w14:textId="7852D445" w:rsidR="00C40C47" w:rsidRPr="00A36BE7" w:rsidRDefault="00C40C47" w:rsidP="00C40C47">
            <w:pPr>
              <w:cnfStyle w:val="000000000000" w:firstRow="0" w:lastRow="0" w:firstColumn="0" w:lastColumn="0" w:oddVBand="0" w:evenVBand="0" w:oddHBand="0" w:evenHBand="0" w:firstRowFirstColumn="0" w:firstRowLastColumn="0" w:lastRowFirstColumn="0" w:lastRowLastColumn="0"/>
            </w:pPr>
            <w:r w:rsidRPr="00F42022">
              <w:t>Aucun coût spécifique</w:t>
            </w:r>
          </w:p>
        </w:tc>
      </w:tr>
      <w:tr w:rsidR="0098223F" w:rsidRPr="00A36BE7" w14:paraId="0DEA0ED1" w14:textId="77777777" w:rsidTr="00A36BE7">
        <w:tc>
          <w:tcPr>
            <w:cnfStyle w:val="001000000000" w:firstRow="0" w:lastRow="0" w:firstColumn="1" w:lastColumn="0" w:oddVBand="0" w:evenVBand="0" w:oddHBand="0" w:evenHBand="0" w:firstRowFirstColumn="0" w:firstRowLastColumn="0" w:lastRowFirstColumn="0" w:lastRowLastColumn="0"/>
            <w:tcW w:w="0" w:type="auto"/>
            <w:vMerge/>
            <w:hideMark/>
          </w:tcPr>
          <w:p w14:paraId="2B15272B" w14:textId="77777777" w:rsidR="00C40C47" w:rsidRPr="00A36BE7" w:rsidRDefault="00C40C47" w:rsidP="00C40C47"/>
        </w:tc>
        <w:tc>
          <w:tcPr>
            <w:tcW w:w="0" w:type="auto"/>
            <w:hideMark/>
          </w:tcPr>
          <w:p w14:paraId="658C6C0B" w14:textId="77777777" w:rsidR="00C40C47" w:rsidRPr="00A36BE7" w:rsidRDefault="00C40C47" w:rsidP="00C40C47">
            <w:pPr>
              <w:cnfStyle w:val="000000000000" w:firstRow="0" w:lastRow="0" w:firstColumn="0" w:lastColumn="0" w:oddVBand="0" w:evenVBand="0" w:oddHBand="0" w:evenHBand="0" w:firstRowFirstColumn="0" w:firstRowLastColumn="0" w:lastRowFirstColumn="0" w:lastRowLastColumn="0"/>
              <w:rPr>
                <w:b/>
                <w:bCs/>
              </w:rPr>
            </w:pPr>
            <w:r w:rsidRPr="00A36BE7">
              <w:rPr>
                <w:b/>
                <w:bCs/>
              </w:rPr>
              <w:t>Compenser</w:t>
            </w:r>
          </w:p>
        </w:tc>
        <w:tc>
          <w:tcPr>
            <w:tcW w:w="0" w:type="auto"/>
            <w:hideMark/>
          </w:tcPr>
          <w:p w14:paraId="5719D084" w14:textId="09992F0D" w:rsidR="00C40C47" w:rsidRPr="00A36BE7" w:rsidRDefault="00C40C47" w:rsidP="00C40C47">
            <w:pPr>
              <w:cnfStyle w:val="000000000000" w:firstRow="0" w:lastRow="0" w:firstColumn="0" w:lastColumn="0" w:oddVBand="0" w:evenVBand="0" w:oddHBand="0" w:evenHBand="0" w:firstRowFirstColumn="0" w:firstRowLastColumn="0" w:lastRowFirstColumn="0" w:lastRowLastColumn="0"/>
            </w:pPr>
            <w:r w:rsidRPr="00A36BE7">
              <w:t>Installer des abris de substitu</w:t>
            </w:r>
            <w:r>
              <w:t>tion</w:t>
            </w:r>
          </w:p>
        </w:tc>
        <w:tc>
          <w:tcPr>
            <w:tcW w:w="0" w:type="auto"/>
            <w:hideMark/>
          </w:tcPr>
          <w:p w14:paraId="14612EB9" w14:textId="6A39F2AB" w:rsidR="00C40C47" w:rsidRPr="00A36BE7" w:rsidRDefault="00C40C47" w:rsidP="00C40C47">
            <w:pPr>
              <w:cnfStyle w:val="000000000000" w:firstRow="0" w:lastRow="0" w:firstColumn="0" w:lastColumn="0" w:oddVBand="0" w:evenVBand="0" w:oddHBand="0" w:evenHBand="0" w:firstRowFirstColumn="0" w:firstRowLastColumn="0" w:lastRowFirstColumn="0" w:lastRowLastColumn="0"/>
            </w:pPr>
            <w:r w:rsidRPr="00F42022">
              <w:t>Nombre d’abris installés / zone</w:t>
            </w:r>
          </w:p>
        </w:tc>
        <w:tc>
          <w:tcPr>
            <w:tcW w:w="0" w:type="auto"/>
            <w:hideMark/>
          </w:tcPr>
          <w:p w14:paraId="6F4A2FB8" w14:textId="1F6CDE21" w:rsidR="00C40C47" w:rsidRPr="00A36BE7" w:rsidRDefault="00C40C47" w:rsidP="00C40C47">
            <w:pPr>
              <w:cnfStyle w:val="000000000000" w:firstRow="0" w:lastRow="0" w:firstColumn="0" w:lastColumn="0" w:oddVBand="0" w:evenVBand="0" w:oddHBand="0" w:evenHBand="0" w:firstRowFirstColumn="0" w:firstRowLastColumn="0" w:lastRowFirstColumn="0" w:lastRowLastColumn="0"/>
            </w:pPr>
            <w:r w:rsidRPr="004637C7">
              <w:rPr>
                <w:rFonts w:asciiTheme="minorHAnsi" w:hAnsiTheme="minorHAnsi" w:cstheme="minorHAnsi"/>
                <w:szCs w:val="20"/>
                <w:lang w:eastAsia="fr-FR" w:bidi="ar-SA"/>
              </w:rPr>
              <w:t>EPC et sous-traitants</w:t>
            </w:r>
          </w:p>
        </w:tc>
        <w:tc>
          <w:tcPr>
            <w:tcW w:w="0" w:type="auto"/>
            <w:hideMark/>
          </w:tcPr>
          <w:p w14:paraId="0C158EBF" w14:textId="3FD5A9D7" w:rsidR="00C40C47" w:rsidRPr="00A36BE7" w:rsidRDefault="00C40C47" w:rsidP="00C40C47">
            <w:pPr>
              <w:cnfStyle w:val="000000000000" w:firstRow="0" w:lastRow="0" w:firstColumn="0" w:lastColumn="0" w:oddVBand="0" w:evenVBand="0" w:oddHBand="0" w:evenHBand="0" w:firstRowFirstColumn="0" w:firstRowLastColumn="0" w:lastRowFirstColumn="0" w:lastRowLastColumn="0"/>
            </w:pPr>
            <w:r w:rsidRPr="00BC1745">
              <w:rPr>
                <w:szCs w:val="20"/>
              </w:rPr>
              <w:t>Bureau de contrôle / Consultant de supervision mandaté par l’ONDA</w:t>
            </w:r>
          </w:p>
        </w:tc>
        <w:tc>
          <w:tcPr>
            <w:tcW w:w="0" w:type="auto"/>
            <w:hideMark/>
          </w:tcPr>
          <w:p w14:paraId="3211F441" w14:textId="04FE8EDB" w:rsidR="00C40C47" w:rsidRPr="00A36BE7" w:rsidRDefault="00C40C47" w:rsidP="00C40C47">
            <w:pPr>
              <w:cnfStyle w:val="000000000000" w:firstRow="0" w:lastRow="0" w:firstColumn="0" w:lastColumn="0" w:oddVBand="0" w:evenVBand="0" w:oddHBand="0" w:evenHBand="0" w:firstRowFirstColumn="0" w:firstRowLastColumn="0" w:lastRowFirstColumn="0" w:lastRowLastColumn="0"/>
            </w:pPr>
            <w:r>
              <w:rPr>
                <w:rFonts w:asciiTheme="minorHAnsi" w:hAnsiTheme="minorHAnsi" w:cstheme="minorHAnsi"/>
                <w:szCs w:val="20"/>
                <w:lang w:eastAsia="zh-CN"/>
              </w:rPr>
              <w:t>ONDA</w:t>
            </w:r>
          </w:p>
        </w:tc>
        <w:tc>
          <w:tcPr>
            <w:tcW w:w="0" w:type="auto"/>
            <w:hideMark/>
          </w:tcPr>
          <w:p w14:paraId="75D4244C" w14:textId="591CD830" w:rsidR="00C40C47" w:rsidRPr="00A36BE7" w:rsidRDefault="00C40C47" w:rsidP="00C40C47">
            <w:pPr>
              <w:cnfStyle w:val="000000000000" w:firstRow="0" w:lastRow="0" w:firstColumn="0" w:lastColumn="0" w:oddVBand="0" w:evenVBand="0" w:oddHBand="0" w:evenHBand="0" w:firstRowFirstColumn="0" w:firstRowLastColumn="0" w:lastRowFirstColumn="0" w:lastRowLastColumn="0"/>
            </w:pPr>
            <w:r w:rsidRPr="00F42022">
              <w:t>Pendant et après terrassement</w:t>
            </w:r>
          </w:p>
        </w:tc>
        <w:tc>
          <w:tcPr>
            <w:tcW w:w="0" w:type="auto"/>
            <w:hideMark/>
          </w:tcPr>
          <w:p w14:paraId="66816AC6" w14:textId="578EA8D1" w:rsidR="00C40C47" w:rsidRPr="00A36BE7" w:rsidRDefault="00174B00" w:rsidP="00C40C47">
            <w:pPr>
              <w:cnfStyle w:val="000000000000" w:firstRow="0" w:lastRow="0" w:firstColumn="0" w:lastColumn="0" w:oddVBand="0" w:evenVBand="0" w:oddHBand="0" w:evenHBand="0" w:firstRowFirstColumn="0" w:firstRowLastColumn="0" w:lastRowFirstColumn="0" w:lastRowLastColumn="0"/>
            </w:pPr>
            <w:r w:rsidRPr="00174B00">
              <w:t xml:space="preserve">300 – 500 </w:t>
            </w:r>
            <w:r>
              <w:t>MAD</w:t>
            </w:r>
            <w:r w:rsidRPr="00174B00">
              <w:t>/abri</w:t>
            </w:r>
          </w:p>
        </w:tc>
      </w:tr>
    </w:tbl>
    <w:p w14:paraId="4D30C35E" w14:textId="77777777" w:rsidR="006466DB" w:rsidRDefault="006466DB" w:rsidP="004637C7"/>
    <w:p w14:paraId="2F5D757B" w14:textId="77777777" w:rsidR="00F42FC2" w:rsidRDefault="00F42FC2" w:rsidP="004637C7"/>
    <w:p w14:paraId="36FA6231" w14:textId="77777777" w:rsidR="00F42FC2" w:rsidRDefault="00F42FC2" w:rsidP="004637C7">
      <w:pPr>
        <w:pStyle w:val="Style4"/>
        <w:numPr>
          <w:ilvl w:val="0"/>
          <w:numId w:val="0"/>
        </w:numPr>
        <w:spacing w:before="120" w:after="120"/>
        <w:ind w:left="720" w:hanging="360"/>
        <w:sectPr w:rsidR="00F42FC2" w:rsidSect="004637C7">
          <w:pgSz w:w="16838" w:h="11906" w:orient="landscape"/>
          <w:pgMar w:top="1418" w:right="1418" w:bottom="1418" w:left="1276" w:header="680" w:footer="680" w:gutter="0"/>
          <w:cols w:space="708"/>
          <w:docGrid w:linePitch="360"/>
        </w:sectPr>
      </w:pPr>
    </w:p>
    <w:p w14:paraId="26018329" w14:textId="0871136A" w:rsidR="00DC5C3E" w:rsidRPr="00DC5C3E" w:rsidRDefault="00DC5C3E" w:rsidP="004637C7">
      <w:pPr>
        <w:pStyle w:val="Title5"/>
      </w:pPr>
      <w:r w:rsidRPr="00DC5C3E">
        <w:lastRenderedPageBreak/>
        <w:t xml:space="preserve">Évaluation </w:t>
      </w:r>
      <w:r w:rsidR="00170479">
        <w:t xml:space="preserve">des impacts </w:t>
      </w:r>
      <w:r w:rsidR="00B85080">
        <w:t xml:space="preserve">et risques </w:t>
      </w:r>
      <w:r w:rsidR="00170479">
        <w:t>résiduels</w:t>
      </w:r>
    </w:p>
    <w:p w14:paraId="56A697E7" w14:textId="77777777" w:rsidR="00AA4687" w:rsidRPr="00AA4687" w:rsidRDefault="00AA4687" w:rsidP="004637C7">
      <w:r w:rsidRPr="00AA4687">
        <w:t>À l’issue de la mise en œuvre des mesures d’atténuation et de gestion prévues dans le PGES, les impacts sur les composantes biologiques du site sont considérablement réduits.</w:t>
      </w:r>
    </w:p>
    <w:p w14:paraId="501E6EEE" w14:textId="77777777" w:rsidR="00AA4687" w:rsidRPr="00AA4687" w:rsidRDefault="00AA4687" w:rsidP="004637C7">
      <w:r w:rsidRPr="00AA4687">
        <w:t>Les actions d’évitement (délimitation des emprises, inspection écologique préalable) et de réduction (limitation du défrichement, gestion du topsoil, planification des travaux diurnes, sensibilisation du personnel) permettent de prévenir toute atteinte significative à la faune et à la flore locales.</w:t>
      </w:r>
    </w:p>
    <w:p w14:paraId="3A927D86" w14:textId="77777777" w:rsidR="00AA4687" w:rsidRPr="00AA4687" w:rsidRDefault="00AA4687" w:rsidP="004637C7">
      <w:r w:rsidRPr="00AA4687">
        <w:t>La zone du projet, déjà partiellement anthropisée par les infrastructures aéroportuaires existantes, présente une faible valeur écologique, dominée par une végétation rudérale et une faune commune adaptée aux milieux ouverts.</w:t>
      </w:r>
    </w:p>
    <w:p w14:paraId="20E64816" w14:textId="77777777" w:rsidR="00AA4687" w:rsidRPr="00AA4687" w:rsidRDefault="00AA4687" w:rsidP="004637C7">
      <w:r w:rsidRPr="00AA4687">
        <w:t>Après application des mesures, les effets résiduels se limitent à des perturbations localisées et temporaires, sans perte durable de biodiversité ni altération des fonctions écologiques.</w:t>
      </w:r>
    </w:p>
    <w:p w14:paraId="61DE3FD2" w14:textId="77777777" w:rsidR="00AA4687" w:rsidRPr="00AA4687" w:rsidRDefault="00AA4687" w:rsidP="004637C7">
      <w:r w:rsidRPr="00AA4687">
        <w:t>Les principaux constats sont les suivants :</w:t>
      </w:r>
    </w:p>
    <w:p w14:paraId="3E3143A7" w14:textId="77777777" w:rsidR="00AA4687" w:rsidRDefault="00AA4687" w:rsidP="0001633E">
      <w:pPr>
        <w:pStyle w:val="Paragraphedeliste"/>
        <w:numPr>
          <w:ilvl w:val="0"/>
          <w:numId w:val="21"/>
        </w:numPr>
      </w:pPr>
      <w:r w:rsidRPr="00AA4687">
        <w:t>La destruction de la flore rudérale demeure faible et réversible grâce aux opérations de revégétalisation.</w:t>
      </w:r>
    </w:p>
    <w:p w14:paraId="1C6CBFE5" w14:textId="77777777" w:rsidR="00AA4687" w:rsidRDefault="00AA4687" w:rsidP="0001633E">
      <w:pPr>
        <w:pStyle w:val="Paragraphedeliste"/>
        <w:numPr>
          <w:ilvl w:val="0"/>
          <w:numId w:val="21"/>
        </w:numPr>
      </w:pPr>
      <w:r w:rsidRPr="00AA4687">
        <w:t>La perturbation temporaire de la faune terrestre et aviaire reste limitée dans le temps et dans l’espace, sans effet notable sur les populations locales.</w:t>
      </w:r>
    </w:p>
    <w:p w14:paraId="5EAAFD41" w14:textId="77777777" w:rsidR="00AA4687" w:rsidRDefault="00AA4687" w:rsidP="0001633E">
      <w:pPr>
        <w:pStyle w:val="Paragraphedeliste"/>
        <w:numPr>
          <w:ilvl w:val="0"/>
          <w:numId w:val="21"/>
        </w:numPr>
      </w:pPr>
      <w:r w:rsidRPr="00AA4687">
        <w:t>Le risque d’introduction d’espèces exotiques envahissantes est maîtrisé par la traçabilité des matériaux et la surveillance écologique continue.</w:t>
      </w:r>
    </w:p>
    <w:p w14:paraId="70698A37" w14:textId="07B8FC12" w:rsidR="00AA4687" w:rsidRPr="00AA4687" w:rsidRDefault="00AA4687" w:rsidP="0001633E">
      <w:pPr>
        <w:pStyle w:val="Paragraphedeliste"/>
        <w:numPr>
          <w:ilvl w:val="0"/>
          <w:numId w:val="21"/>
        </w:numPr>
      </w:pPr>
      <w:r w:rsidRPr="00AA4687">
        <w:t>Le risque de mortalité accidentelle de petits vertébrés et reptiles est très réduit grâce à la présence d’un écologue sur site et à la relocalisation des individus identifiés.</w:t>
      </w:r>
    </w:p>
    <w:p w14:paraId="380A52EF" w14:textId="77777777" w:rsidR="00AA4687" w:rsidRPr="00AA4687" w:rsidRDefault="00AA4687" w:rsidP="004637C7">
      <w:r w:rsidRPr="00AA4687">
        <w:t>Globalement, aucun impact significatif n’est attendu sur les composantes floristiques et faunistiques du site.</w:t>
      </w:r>
    </w:p>
    <w:p w14:paraId="742E8487" w14:textId="5435A94D" w:rsidR="00DC5C3E" w:rsidRPr="00DC5C3E" w:rsidRDefault="00AA4687" w:rsidP="004637C7">
      <w:r w:rsidRPr="00AA4687">
        <w:t xml:space="preserve">L’importance résiduelle des effets est jugée négligeable, confirmant la conformité du projet avec la </w:t>
      </w:r>
      <w:r>
        <w:t>SO</w:t>
      </w:r>
      <w:r w:rsidRPr="00AA4687">
        <w:t>6 et la SO1 de la BAD.</w:t>
      </w:r>
    </w:p>
    <w:p w14:paraId="6EA28FB3" w14:textId="77777777" w:rsidR="00DC5C3E" w:rsidRPr="00DC5C3E" w:rsidRDefault="00DC5C3E" w:rsidP="00DC5C3E">
      <w:pPr>
        <w:pStyle w:val="Title4"/>
        <w:tabs>
          <w:tab w:val="clear" w:pos="1134"/>
          <w:tab w:val="left" w:pos="851"/>
        </w:tabs>
      </w:pPr>
      <w:r w:rsidRPr="00DC5C3E">
        <w:t>Phase exploitation</w:t>
      </w:r>
    </w:p>
    <w:p w14:paraId="7FDF6C2A" w14:textId="29ACC810" w:rsidR="00966D45" w:rsidRDefault="00A261E3" w:rsidP="00A261E3">
      <w:pPr>
        <w:pStyle w:val="Title5"/>
      </w:pPr>
      <w:r>
        <w:t>Identification et évaluation des impacts et risques</w:t>
      </w:r>
    </w:p>
    <w:p w14:paraId="353405AD" w14:textId="6ADE2D36" w:rsidR="00030787" w:rsidRDefault="00021D91" w:rsidP="0001633E">
      <w:pPr>
        <w:pStyle w:val="AltTitle2"/>
        <w:numPr>
          <w:ilvl w:val="0"/>
          <w:numId w:val="106"/>
        </w:numPr>
      </w:pPr>
      <w:r w:rsidRPr="00021D91">
        <w:t>Absence d’habitat biologique fonctionnel</w:t>
      </w:r>
    </w:p>
    <w:p w14:paraId="2DF0787C" w14:textId="77777777" w:rsidR="00A41CF6" w:rsidRDefault="00A41CF6" w:rsidP="00A41CF6">
      <w:r w:rsidRPr="004637C7">
        <w:t>À la mise en service du parking avions et de la bretelle de liaison, la zone concernée sera intégralement stabilisée, imperméabilisée et intégrée au fonctionnement aéroportuaire.</w:t>
      </w:r>
    </w:p>
    <w:p w14:paraId="398C2AD1" w14:textId="1E70F6F2" w:rsidR="00A41CF6" w:rsidRPr="004637C7" w:rsidRDefault="00A41CF6" w:rsidP="004637C7">
      <w:r>
        <w:t>L</w:t>
      </w:r>
      <w:r w:rsidRPr="004637C7">
        <w:t>es habitats rudéraux modifiés identifiés en phase initiale auront disparu à la suite des terrassements et enrobés, et les surfaces exploitées n’offriront plus de conditions écologiques favorables à la flore ou à la faune.</w:t>
      </w:r>
    </w:p>
    <w:p w14:paraId="0A794D5A" w14:textId="77777777" w:rsidR="00A41CF6" w:rsidRDefault="00A41CF6" w:rsidP="00A41CF6">
      <w:r w:rsidRPr="004637C7">
        <w:t>L’impact en phase d’exploitation ne réside donc pas dans une destruction nouvelle d’habitats, mais dans la permanence d’un état artificiel empêchant la recolonisation naturelle.</w:t>
      </w:r>
    </w:p>
    <w:p w14:paraId="553A2477" w14:textId="77777777" w:rsidR="00A41CF6" w:rsidRDefault="00A41CF6" w:rsidP="00A41CF6">
      <w:r w:rsidRPr="004637C7">
        <w:t>L’effet est de nature négative indirecte, local et permanent, mais son intensité est faible, car le milieu affecté a déjà perdu toute valeur écologique lors de la phase travaux.</w:t>
      </w:r>
    </w:p>
    <w:p w14:paraId="2E39954F" w14:textId="7106C0D5" w:rsidR="00A41CF6" w:rsidRDefault="00A41CF6" w:rsidP="00A41CF6">
      <w:r w:rsidRPr="00746338">
        <w:lastRenderedPageBreak/>
        <w:t>Cet effet traduit uniquement la stabilisation d’un état anthropisé, sans nouvelle atteinte à la biodiversité.</w:t>
      </w:r>
    </w:p>
    <w:p w14:paraId="51536A64" w14:textId="2D4ECA8F" w:rsidR="00A41CF6" w:rsidRDefault="00A41CF6" w:rsidP="00A41CF6">
      <w:r w:rsidRPr="004637C7">
        <w:t xml:space="preserve">La sensibilité du récepteur est donc </w:t>
      </w:r>
      <w:r>
        <w:t>insignifiante</w:t>
      </w:r>
      <w:r w:rsidRPr="004637C7">
        <w:t>, en l’absence d’espèces dépendantes ou de fonctions écologiques actives.</w:t>
      </w:r>
    </w:p>
    <w:tbl>
      <w:tblPr>
        <w:tblStyle w:val="TableauGrille1Clair-Accentuation111"/>
        <w:tblW w:w="0" w:type="auto"/>
        <w:tblLayout w:type="fixed"/>
        <w:tblLook w:val="04A0" w:firstRow="1" w:lastRow="0" w:firstColumn="1" w:lastColumn="0" w:noHBand="0" w:noVBand="1"/>
      </w:tblPr>
      <w:tblGrid>
        <w:gridCol w:w="792"/>
        <w:gridCol w:w="2747"/>
        <w:gridCol w:w="1843"/>
        <w:gridCol w:w="2436"/>
        <w:gridCol w:w="1242"/>
      </w:tblGrid>
      <w:tr w:rsidR="005B3289" w:rsidRPr="00B95A9D" w14:paraId="0429A8F9" w14:textId="77777777" w:rsidTr="005A766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2" w:type="dxa"/>
            <w:hideMark/>
          </w:tcPr>
          <w:p w14:paraId="3E51B1D4" w14:textId="77777777" w:rsidR="005B3289" w:rsidRPr="00B95A9D" w:rsidRDefault="005B3289" w:rsidP="005A7661">
            <w:pPr>
              <w:rPr>
                <w:rFonts w:asciiTheme="minorHAnsi" w:hAnsiTheme="minorHAnsi" w:cstheme="minorHAnsi"/>
                <w:szCs w:val="20"/>
                <w:lang w:eastAsia="fr-FR" w:bidi="ar-SA"/>
              </w:rPr>
            </w:pPr>
            <w:r w:rsidRPr="00B95A9D">
              <w:rPr>
                <w:rFonts w:asciiTheme="minorHAnsi" w:hAnsiTheme="minorHAnsi" w:cstheme="minorHAnsi"/>
                <w:szCs w:val="20"/>
                <w:lang w:eastAsia="fr-FR" w:bidi="ar-SA"/>
              </w:rPr>
              <w:t>Impact</w:t>
            </w:r>
          </w:p>
        </w:tc>
        <w:tc>
          <w:tcPr>
            <w:tcW w:w="2747" w:type="dxa"/>
            <w:hideMark/>
          </w:tcPr>
          <w:p w14:paraId="5F1FFA2A" w14:textId="77777777" w:rsidR="005B3289" w:rsidRPr="00B95A9D" w:rsidRDefault="005B3289" w:rsidP="005A7661">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sidRPr="00B95A9D">
              <w:rPr>
                <w:rFonts w:asciiTheme="minorHAnsi" w:hAnsiTheme="minorHAnsi" w:cstheme="minorHAnsi"/>
                <w:szCs w:val="20"/>
                <w:lang w:eastAsia="fr-FR" w:bidi="ar-SA"/>
              </w:rPr>
              <w:t>Activités génératrices</w:t>
            </w:r>
          </w:p>
        </w:tc>
        <w:tc>
          <w:tcPr>
            <w:tcW w:w="1843" w:type="dxa"/>
            <w:hideMark/>
          </w:tcPr>
          <w:p w14:paraId="68CD0987" w14:textId="77777777" w:rsidR="005B3289" w:rsidRPr="00B95A9D" w:rsidRDefault="005B3289" w:rsidP="005A7661">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sidRPr="00B95A9D">
              <w:rPr>
                <w:rFonts w:asciiTheme="minorHAnsi" w:hAnsiTheme="minorHAnsi" w:cstheme="minorHAnsi"/>
                <w:szCs w:val="20"/>
                <w:lang w:eastAsia="fr-FR" w:bidi="ar-SA"/>
              </w:rPr>
              <w:t>Critère</w:t>
            </w:r>
          </w:p>
        </w:tc>
        <w:tc>
          <w:tcPr>
            <w:tcW w:w="2436" w:type="dxa"/>
            <w:hideMark/>
          </w:tcPr>
          <w:p w14:paraId="1CF36BF1" w14:textId="77777777" w:rsidR="005B3289" w:rsidRPr="00B95A9D" w:rsidRDefault="005B3289" w:rsidP="005A7661">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sidRPr="00B95A9D">
              <w:rPr>
                <w:rFonts w:asciiTheme="minorHAnsi" w:hAnsiTheme="minorHAnsi" w:cstheme="minorHAnsi"/>
                <w:szCs w:val="20"/>
                <w:lang w:eastAsia="fr-FR" w:bidi="ar-SA"/>
              </w:rPr>
              <w:t>Justification</w:t>
            </w:r>
          </w:p>
        </w:tc>
        <w:tc>
          <w:tcPr>
            <w:tcW w:w="1242" w:type="dxa"/>
            <w:hideMark/>
          </w:tcPr>
          <w:p w14:paraId="4180C59B" w14:textId="77777777" w:rsidR="005B3289" w:rsidRPr="00B95A9D" w:rsidRDefault="005B3289" w:rsidP="005A7661">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sidRPr="00B95A9D">
              <w:rPr>
                <w:rFonts w:asciiTheme="minorHAnsi" w:hAnsiTheme="minorHAnsi" w:cstheme="minorHAnsi"/>
                <w:szCs w:val="20"/>
                <w:lang w:eastAsia="fr-FR" w:bidi="ar-SA"/>
              </w:rPr>
              <w:t>Niveau</w:t>
            </w:r>
          </w:p>
        </w:tc>
      </w:tr>
      <w:tr w:rsidR="0039310E" w:rsidRPr="00B95A9D" w14:paraId="1F65156B" w14:textId="77777777" w:rsidTr="005A7661">
        <w:tc>
          <w:tcPr>
            <w:cnfStyle w:val="001000000000" w:firstRow="0" w:lastRow="0" w:firstColumn="1" w:lastColumn="0" w:oddVBand="0" w:evenVBand="0" w:oddHBand="0" w:evenHBand="0" w:firstRowFirstColumn="0" w:firstRowLastColumn="0" w:lastRowFirstColumn="0" w:lastRowLastColumn="0"/>
            <w:tcW w:w="792" w:type="dxa"/>
            <w:vMerge w:val="restart"/>
            <w:textDirection w:val="btLr"/>
            <w:vAlign w:val="center"/>
          </w:tcPr>
          <w:p w14:paraId="4D440DE1" w14:textId="7D0F58F9" w:rsidR="0039310E" w:rsidRPr="00B95A9D" w:rsidRDefault="0039310E" w:rsidP="005A7661">
            <w:pPr>
              <w:ind w:left="113" w:right="113"/>
              <w:jc w:val="center"/>
              <w:rPr>
                <w:rFonts w:asciiTheme="minorHAnsi" w:hAnsiTheme="minorHAnsi" w:cstheme="minorHAnsi"/>
                <w:szCs w:val="20"/>
                <w:lang w:eastAsia="fr-FR" w:bidi="ar-SA"/>
              </w:rPr>
            </w:pPr>
            <w:r w:rsidRPr="00331860">
              <w:rPr>
                <w:rFonts w:asciiTheme="minorHAnsi" w:hAnsiTheme="minorHAnsi" w:cstheme="minorHAnsi"/>
                <w:szCs w:val="20"/>
                <w:lang w:eastAsia="fr-FR" w:bidi="ar-SA"/>
              </w:rPr>
              <w:t>Absence d’habitat biologique fonctionnel au sein des surfaces exploitées</w:t>
            </w:r>
          </w:p>
        </w:tc>
        <w:tc>
          <w:tcPr>
            <w:tcW w:w="2747" w:type="dxa"/>
            <w:vMerge w:val="restart"/>
          </w:tcPr>
          <w:p w14:paraId="46D55E22" w14:textId="7D4E3B02" w:rsidR="0039310E" w:rsidRPr="00B95A9D" w:rsidRDefault="0039310E" w:rsidP="005A766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sidRPr="0039310E">
              <w:rPr>
                <w:rFonts w:asciiTheme="minorHAnsi" w:hAnsiTheme="minorHAnsi" w:cstheme="minorHAnsi"/>
                <w:szCs w:val="20"/>
                <w:lang w:eastAsia="fr-FR" w:bidi="ar-SA"/>
              </w:rPr>
              <w:t>Exploitation du parking avions et de la bretelle de liaison (stationnement, circulation, maintenance, entretien des aires et zones bétonnées)</w:t>
            </w:r>
          </w:p>
        </w:tc>
        <w:tc>
          <w:tcPr>
            <w:tcW w:w="1843" w:type="dxa"/>
            <w:hideMark/>
          </w:tcPr>
          <w:p w14:paraId="02891FB0" w14:textId="77777777" w:rsidR="0039310E" w:rsidRPr="00B95A9D" w:rsidRDefault="0039310E" w:rsidP="005A766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Cs w:val="20"/>
                <w:lang w:eastAsia="fr-FR" w:bidi="ar-SA"/>
              </w:rPr>
            </w:pPr>
            <w:r w:rsidRPr="00B95A9D">
              <w:rPr>
                <w:rFonts w:asciiTheme="minorHAnsi" w:hAnsiTheme="minorHAnsi" w:cstheme="minorHAnsi"/>
                <w:b/>
                <w:bCs/>
                <w:szCs w:val="20"/>
                <w:lang w:eastAsia="fr-FR" w:bidi="ar-SA"/>
              </w:rPr>
              <w:t>Nature</w:t>
            </w:r>
          </w:p>
        </w:tc>
        <w:tc>
          <w:tcPr>
            <w:tcW w:w="3678" w:type="dxa"/>
            <w:gridSpan w:val="2"/>
          </w:tcPr>
          <w:p w14:paraId="6191548A" w14:textId="77777777" w:rsidR="0039310E" w:rsidRPr="00B95A9D" w:rsidRDefault="0039310E" w:rsidP="005A766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Pr>
                <w:rFonts w:asciiTheme="minorHAnsi" w:hAnsiTheme="minorHAnsi" w:cstheme="minorHAnsi"/>
                <w:szCs w:val="20"/>
                <w:lang w:eastAsia="fr-FR" w:bidi="ar-SA"/>
              </w:rPr>
              <w:t>Direct négatif</w:t>
            </w:r>
          </w:p>
        </w:tc>
      </w:tr>
      <w:tr w:rsidR="0039310E" w:rsidRPr="00B95A9D" w14:paraId="61A15360" w14:textId="77777777" w:rsidTr="005A7661">
        <w:tc>
          <w:tcPr>
            <w:cnfStyle w:val="001000000000" w:firstRow="0" w:lastRow="0" w:firstColumn="1" w:lastColumn="0" w:oddVBand="0" w:evenVBand="0" w:oddHBand="0" w:evenHBand="0" w:firstRowFirstColumn="0" w:firstRowLastColumn="0" w:lastRowFirstColumn="0" w:lastRowLastColumn="0"/>
            <w:tcW w:w="792" w:type="dxa"/>
            <w:vMerge/>
            <w:hideMark/>
          </w:tcPr>
          <w:p w14:paraId="03F367D7" w14:textId="77777777" w:rsidR="0039310E" w:rsidRPr="00B95A9D" w:rsidRDefault="0039310E" w:rsidP="005A7661">
            <w:pPr>
              <w:rPr>
                <w:rFonts w:asciiTheme="minorHAnsi" w:hAnsiTheme="minorHAnsi" w:cstheme="minorHAnsi"/>
                <w:szCs w:val="20"/>
                <w:lang w:eastAsia="fr-FR" w:bidi="ar-SA"/>
              </w:rPr>
            </w:pPr>
          </w:p>
        </w:tc>
        <w:tc>
          <w:tcPr>
            <w:tcW w:w="2747" w:type="dxa"/>
            <w:vMerge/>
            <w:hideMark/>
          </w:tcPr>
          <w:p w14:paraId="2BE35EE6" w14:textId="77777777" w:rsidR="0039310E" w:rsidRPr="00B95A9D" w:rsidRDefault="0039310E" w:rsidP="005A766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p>
        </w:tc>
        <w:tc>
          <w:tcPr>
            <w:tcW w:w="1843" w:type="dxa"/>
            <w:hideMark/>
          </w:tcPr>
          <w:p w14:paraId="4CBC7572" w14:textId="77777777" w:rsidR="0039310E" w:rsidRPr="00B95A9D" w:rsidRDefault="0039310E" w:rsidP="005A766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Cs w:val="20"/>
                <w:lang w:eastAsia="fr-FR" w:bidi="ar-SA"/>
              </w:rPr>
            </w:pPr>
            <w:r w:rsidRPr="00B95A9D">
              <w:rPr>
                <w:rFonts w:asciiTheme="minorHAnsi" w:hAnsiTheme="minorHAnsi" w:cstheme="minorHAnsi"/>
                <w:b/>
                <w:bCs/>
                <w:szCs w:val="20"/>
                <w:lang w:eastAsia="fr-FR" w:bidi="ar-SA"/>
              </w:rPr>
              <w:t>Étendue</w:t>
            </w:r>
          </w:p>
        </w:tc>
        <w:tc>
          <w:tcPr>
            <w:tcW w:w="2436" w:type="dxa"/>
          </w:tcPr>
          <w:p w14:paraId="74F272B9" w14:textId="7DA8BFD6" w:rsidR="0039310E" w:rsidRPr="00B95A9D" w:rsidRDefault="0039310E" w:rsidP="005A766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Pr>
                <w:rFonts w:asciiTheme="minorHAnsi" w:hAnsiTheme="minorHAnsi" w:cstheme="minorHAnsi"/>
                <w:szCs w:val="20"/>
                <w:lang w:eastAsia="fr-FR" w:bidi="ar-SA"/>
              </w:rPr>
              <w:t>L</w:t>
            </w:r>
            <w:r w:rsidRPr="0039310E">
              <w:rPr>
                <w:rFonts w:asciiTheme="minorHAnsi" w:hAnsiTheme="minorHAnsi" w:cstheme="minorHAnsi"/>
                <w:szCs w:val="20"/>
                <w:lang w:eastAsia="fr-FR" w:bidi="ar-SA"/>
              </w:rPr>
              <w:t>imitée à l’intérieur de la plateforme aéroportuaire. Les surfaces concernées sont entièrement artificialisées et imperméabilisées</w:t>
            </w:r>
          </w:p>
        </w:tc>
        <w:tc>
          <w:tcPr>
            <w:tcW w:w="1242" w:type="dxa"/>
          </w:tcPr>
          <w:p w14:paraId="14281B05" w14:textId="5102F52B" w:rsidR="0039310E" w:rsidRPr="00B95A9D" w:rsidRDefault="0039310E" w:rsidP="005A766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Cs w:val="20"/>
                <w:lang w:eastAsia="fr-FR" w:bidi="ar-SA"/>
              </w:rPr>
            </w:pPr>
            <w:r>
              <w:rPr>
                <w:rFonts w:asciiTheme="minorHAnsi" w:hAnsiTheme="minorHAnsi" w:cstheme="minorHAnsi"/>
                <w:b/>
                <w:bCs/>
                <w:szCs w:val="20"/>
                <w:lang w:eastAsia="fr-FR" w:bidi="ar-SA"/>
              </w:rPr>
              <w:t>Locale</w:t>
            </w:r>
          </w:p>
        </w:tc>
      </w:tr>
      <w:tr w:rsidR="0039310E" w:rsidRPr="00B95A9D" w14:paraId="0DE194CA" w14:textId="77777777" w:rsidTr="005A7661">
        <w:tc>
          <w:tcPr>
            <w:cnfStyle w:val="001000000000" w:firstRow="0" w:lastRow="0" w:firstColumn="1" w:lastColumn="0" w:oddVBand="0" w:evenVBand="0" w:oddHBand="0" w:evenHBand="0" w:firstRowFirstColumn="0" w:firstRowLastColumn="0" w:lastRowFirstColumn="0" w:lastRowLastColumn="0"/>
            <w:tcW w:w="792" w:type="dxa"/>
            <w:vMerge/>
            <w:hideMark/>
          </w:tcPr>
          <w:p w14:paraId="05086B70" w14:textId="77777777" w:rsidR="0039310E" w:rsidRPr="00B95A9D" w:rsidRDefault="0039310E" w:rsidP="005A7661">
            <w:pPr>
              <w:rPr>
                <w:rFonts w:asciiTheme="minorHAnsi" w:hAnsiTheme="minorHAnsi" w:cstheme="minorHAnsi"/>
                <w:szCs w:val="20"/>
                <w:lang w:eastAsia="fr-FR" w:bidi="ar-SA"/>
              </w:rPr>
            </w:pPr>
          </w:p>
        </w:tc>
        <w:tc>
          <w:tcPr>
            <w:tcW w:w="2747" w:type="dxa"/>
            <w:vMerge/>
            <w:hideMark/>
          </w:tcPr>
          <w:p w14:paraId="2F0E47D5" w14:textId="77777777" w:rsidR="0039310E" w:rsidRPr="00B95A9D" w:rsidRDefault="0039310E" w:rsidP="005A766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p>
        </w:tc>
        <w:tc>
          <w:tcPr>
            <w:tcW w:w="1843" w:type="dxa"/>
            <w:hideMark/>
          </w:tcPr>
          <w:p w14:paraId="51E68D4C" w14:textId="77777777" w:rsidR="0039310E" w:rsidRPr="00B95A9D" w:rsidRDefault="0039310E" w:rsidP="005A766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Cs w:val="20"/>
                <w:lang w:eastAsia="fr-FR" w:bidi="ar-SA"/>
              </w:rPr>
            </w:pPr>
            <w:r w:rsidRPr="00B95A9D">
              <w:rPr>
                <w:rFonts w:asciiTheme="minorHAnsi" w:hAnsiTheme="minorHAnsi" w:cstheme="minorHAnsi"/>
                <w:b/>
                <w:bCs/>
                <w:szCs w:val="20"/>
                <w:lang w:eastAsia="fr-FR" w:bidi="ar-SA"/>
              </w:rPr>
              <w:t>Durée</w:t>
            </w:r>
          </w:p>
        </w:tc>
        <w:tc>
          <w:tcPr>
            <w:tcW w:w="2436" w:type="dxa"/>
          </w:tcPr>
          <w:p w14:paraId="14C76B10" w14:textId="02D56A09" w:rsidR="0039310E" w:rsidRPr="00B95A9D" w:rsidRDefault="0039310E" w:rsidP="005A766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Pr>
                <w:rFonts w:asciiTheme="minorHAnsi" w:hAnsiTheme="minorHAnsi" w:cstheme="minorHAnsi"/>
                <w:szCs w:val="20"/>
                <w:lang w:eastAsia="fr-FR" w:bidi="ar-SA"/>
              </w:rPr>
              <w:t>E</w:t>
            </w:r>
            <w:r w:rsidRPr="0039310E">
              <w:rPr>
                <w:rFonts w:asciiTheme="minorHAnsi" w:hAnsiTheme="minorHAnsi" w:cstheme="minorHAnsi"/>
                <w:szCs w:val="20"/>
                <w:lang w:eastAsia="fr-FR" w:bidi="ar-SA"/>
              </w:rPr>
              <w:t>tat artificiel stabilisé empêchant toute recolonisation naturelle.</w:t>
            </w:r>
          </w:p>
        </w:tc>
        <w:tc>
          <w:tcPr>
            <w:tcW w:w="1242" w:type="dxa"/>
          </w:tcPr>
          <w:p w14:paraId="4162FF1B" w14:textId="6CBE0161" w:rsidR="0039310E" w:rsidRPr="00B95A9D" w:rsidRDefault="0039310E" w:rsidP="005A766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Cs w:val="20"/>
                <w:lang w:eastAsia="fr-FR" w:bidi="ar-SA"/>
              </w:rPr>
            </w:pPr>
            <w:r>
              <w:rPr>
                <w:rFonts w:asciiTheme="minorHAnsi" w:hAnsiTheme="minorHAnsi" w:cstheme="minorHAnsi"/>
                <w:b/>
                <w:bCs/>
                <w:szCs w:val="20"/>
                <w:lang w:eastAsia="fr-FR" w:bidi="ar-SA"/>
              </w:rPr>
              <w:t>Long terme (permanent)</w:t>
            </w:r>
          </w:p>
        </w:tc>
      </w:tr>
      <w:tr w:rsidR="0039310E" w:rsidRPr="00B95A9D" w14:paraId="6F3FD97A" w14:textId="77777777" w:rsidTr="005A7661">
        <w:tc>
          <w:tcPr>
            <w:cnfStyle w:val="001000000000" w:firstRow="0" w:lastRow="0" w:firstColumn="1" w:lastColumn="0" w:oddVBand="0" w:evenVBand="0" w:oddHBand="0" w:evenHBand="0" w:firstRowFirstColumn="0" w:firstRowLastColumn="0" w:lastRowFirstColumn="0" w:lastRowLastColumn="0"/>
            <w:tcW w:w="792" w:type="dxa"/>
            <w:vMerge/>
            <w:hideMark/>
          </w:tcPr>
          <w:p w14:paraId="2215C507" w14:textId="77777777" w:rsidR="0039310E" w:rsidRPr="00B95A9D" w:rsidRDefault="0039310E" w:rsidP="005A7661">
            <w:pPr>
              <w:rPr>
                <w:rFonts w:asciiTheme="minorHAnsi" w:hAnsiTheme="minorHAnsi" w:cstheme="minorHAnsi"/>
                <w:szCs w:val="20"/>
                <w:lang w:eastAsia="fr-FR" w:bidi="ar-SA"/>
              </w:rPr>
            </w:pPr>
          </w:p>
        </w:tc>
        <w:tc>
          <w:tcPr>
            <w:tcW w:w="2747" w:type="dxa"/>
            <w:vMerge/>
            <w:hideMark/>
          </w:tcPr>
          <w:p w14:paraId="3834677F" w14:textId="77777777" w:rsidR="0039310E" w:rsidRPr="00B95A9D" w:rsidRDefault="0039310E" w:rsidP="005A766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p>
        </w:tc>
        <w:tc>
          <w:tcPr>
            <w:tcW w:w="1843" w:type="dxa"/>
            <w:hideMark/>
          </w:tcPr>
          <w:p w14:paraId="4D7357B1" w14:textId="77777777" w:rsidR="0039310E" w:rsidRPr="00B95A9D" w:rsidRDefault="0039310E" w:rsidP="005A766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Cs w:val="20"/>
                <w:lang w:eastAsia="fr-FR" w:bidi="ar-SA"/>
              </w:rPr>
            </w:pPr>
            <w:r w:rsidRPr="00B95A9D">
              <w:rPr>
                <w:rFonts w:asciiTheme="minorHAnsi" w:hAnsiTheme="minorHAnsi" w:cstheme="minorHAnsi"/>
                <w:b/>
                <w:bCs/>
                <w:szCs w:val="20"/>
                <w:lang w:eastAsia="fr-FR" w:bidi="ar-SA"/>
              </w:rPr>
              <w:t>Fréquence</w:t>
            </w:r>
          </w:p>
        </w:tc>
        <w:tc>
          <w:tcPr>
            <w:tcW w:w="2436" w:type="dxa"/>
          </w:tcPr>
          <w:p w14:paraId="5CF7F1FF" w14:textId="624C7CD3" w:rsidR="0039310E" w:rsidRPr="00911A3C" w:rsidRDefault="0039310E" w:rsidP="005A766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Pr>
                <w:rFonts w:asciiTheme="minorHAnsi" w:hAnsiTheme="minorHAnsi" w:cstheme="minorHAnsi"/>
                <w:szCs w:val="20"/>
                <w:lang w:eastAsia="fr-FR" w:bidi="ar-SA"/>
              </w:rPr>
              <w:t>O</w:t>
            </w:r>
            <w:r w:rsidRPr="0039310E">
              <w:rPr>
                <w:rFonts w:asciiTheme="minorHAnsi" w:hAnsiTheme="minorHAnsi" w:cstheme="minorHAnsi"/>
                <w:szCs w:val="20"/>
                <w:lang w:eastAsia="fr-FR" w:bidi="ar-SA"/>
              </w:rPr>
              <w:t>ccupation et utilisation constantes des zones aménagées.</w:t>
            </w:r>
          </w:p>
        </w:tc>
        <w:tc>
          <w:tcPr>
            <w:tcW w:w="1242" w:type="dxa"/>
          </w:tcPr>
          <w:p w14:paraId="2F0BB587" w14:textId="4891EAE0" w:rsidR="0039310E" w:rsidRPr="00B95A9D" w:rsidRDefault="0039310E" w:rsidP="005A766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Cs w:val="20"/>
                <w:lang w:eastAsia="fr-FR" w:bidi="ar-SA"/>
              </w:rPr>
            </w:pPr>
            <w:r>
              <w:rPr>
                <w:rFonts w:asciiTheme="minorHAnsi" w:hAnsiTheme="minorHAnsi" w:cstheme="minorHAnsi"/>
                <w:b/>
                <w:bCs/>
                <w:szCs w:val="20"/>
                <w:lang w:eastAsia="fr-FR" w:bidi="ar-SA"/>
              </w:rPr>
              <w:t>Continue</w:t>
            </w:r>
          </w:p>
        </w:tc>
      </w:tr>
      <w:tr w:rsidR="0039310E" w:rsidRPr="00B95A9D" w14:paraId="2FF8FB90" w14:textId="77777777" w:rsidTr="005A7661">
        <w:tc>
          <w:tcPr>
            <w:cnfStyle w:val="001000000000" w:firstRow="0" w:lastRow="0" w:firstColumn="1" w:lastColumn="0" w:oddVBand="0" w:evenVBand="0" w:oddHBand="0" w:evenHBand="0" w:firstRowFirstColumn="0" w:firstRowLastColumn="0" w:lastRowFirstColumn="0" w:lastRowLastColumn="0"/>
            <w:tcW w:w="792" w:type="dxa"/>
            <w:vMerge/>
            <w:hideMark/>
          </w:tcPr>
          <w:p w14:paraId="7F870A90" w14:textId="77777777" w:rsidR="0039310E" w:rsidRPr="00B95A9D" w:rsidRDefault="0039310E" w:rsidP="005A7661">
            <w:pPr>
              <w:rPr>
                <w:rFonts w:asciiTheme="minorHAnsi" w:hAnsiTheme="minorHAnsi" w:cstheme="minorHAnsi"/>
                <w:szCs w:val="20"/>
                <w:lang w:eastAsia="fr-FR" w:bidi="ar-SA"/>
              </w:rPr>
            </w:pPr>
          </w:p>
        </w:tc>
        <w:tc>
          <w:tcPr>
            <w:tcW w:w="2747" w:type="dxa"/>
            <w:vMerge/>
            <w:hideMark/>
          </w:tcPr>
          <w:p w14:paraId="7AAD3038" w14:textId="77777777" w:rsidR="0039310E" w:rsidRPr="00B95A9D" w:rsidRDefault="0039310E" w:rsidP="005A766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p>
        </w:tc>
        <w:tc>
          <w:tcPr>
            <w:tcW w:w="1843" w:type="dxa"/>
            <w:shd w:val="clear" w:color="auto" w:fill="D9E2F3"/>
            <w:hideMark/>
          </w:tcPr>
          <w:p w14:paraId="611FC290" w14:textId="77777777" w:rsidR="0039310E" w:rsidRPr="00B95A9D" w:rsidRDefault="0039310E" w:rsidP="005A766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Cs w:val="20"/>
                <w:lang w:eastAsia="fr-FR" w:bidi="ar-SA"/>
              </w:rPr>
            </w:pPr>
            <w:r w:rsidRPr="00B95A9D">
              <w:rPr>
                <w:rFonts w:asciiTheme="minorHAnsi" w:hAnsiTheme="minorHAnsi" w:cstheme="minorHAnsi"/>
                <w:b/>
                <w:bCs/>
                <w:szCs w:val="20"/>
                <w:lang w:eastAsia="fr-FR" w:bidi="ar-SA"/>
              </w:rPr>
              <w:t>Intensité</w:t>
            </w:r>
          </w:p>
        </w:tc>
        <w:tc>
          <w:tcPr>
            <w:tcW w:w="2436" w:type="dxa"/>
            <w:shd w:val="clear" w:color="auto" w:fill="D9E2F3"/>
          </w:tcPr>
          <w:p w14:paraId="1A77EFA6" w14:textId="49EDB162" w:rsidR="0039310E" w:rsidRPr="00B95A9D" w:rsidRDefault="0039310E" w:rsidP="005A766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Pr>
                <w:rFonts w:asciiTheme="minorHAnsi" w:hAnsiTheme="minorHAnsi" w:cstheme="minorHAnsi"/>
                <w:szCs w:val="20"/>
                <w:lang w:eastAsia="fr-FR" w:bidi="ar-SA"/>
              </w:rPr>
              <w:t>A</w:t>
            </w:r>
            <w:r w:rsidRPr="0039310E">
              <w:rPr>
                <w:rFonts w:asciiTheme="minorHAnsi" w:hAnsiTheme="minorHAnsi" w:cstheme="minorHAnsi"/>
                <w:szCs w:val="20"/>
                <w:lang w:eastAsia="fr-FR" w:bidi="ar-SA"/>
              </w:rPr>
              <w:t>ucune fonction écologique active, absence de flore naturelle et de faune inféodée.</w:t>
            </w:r>
          </w:p>
        </w:tc>
        <w:tc>
          <w:tcPr>
            <w:tcW w:w="1242" w:type="dxa"/>
            <w:shd w:val="clear" w:color="auto" w:fill="D9E2F3"/>
          </w:tcPr>
          <w:p w14:paraId="063164E9" w14:textId="11C34EBF" w:rsidR="0039310E" w:rsidRPr="00B95A9D" w:rsidRDefault="0039310E" w:rsidP="005A766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Cs w:val="20"/>
                <w:lang w:eastAsia="fr-FR" w:bidi="ar-SA"/>
              </w:rPr>
            </w:pPr>
            <w:r>
              <w:rPr>
                <w:rFonts w:asciiTheme="minorHAnsi" w:hAnsiTheme="minorHAnsi" w:cstheme="minorHAnsi"/>
                <w:b/>
                <w:bCs/>
                <w:szCs w:val="20"/>
                <w:lang w:eastAsia="fr-FR" w:bidi="ar-SA"/>
              </w:rPr>
              <w:t>Faible</w:t>
            </w:r>
          </w:p>
        </w:tc>
      </w:tr>
      <w:tr w:rsidR="0039310E" w:rsidRPr="00B95A9D" w14:paraId="664EA7D4" w14:textId="77777777" w:rsidTr="005A7661">
        <w:tc>
          <w:tcPr>
            <w:cnfStyle w:val="001000000000" w:firstRow="0" w:lastRow="0" w:firstColumn="1" w:lastColumn="0" w:oddVBand="0" w:evenVBand="0" w:oddHBand="0" w:evenHBand="0" w:firstRowFirstColumn="0" w:firstRowLastColumn="0" w:lastRowFirstColumn="0" w:lastRowLastColumn="0"/>
            <w:tcW w:w="792" w:type="dxa"/>
            <w:vMerge/>
          </w:tcPr>
          <w:p w14:paraId="7DD790A3" w14:textId="77777777" w:rsidR="0039310E" w:rsidRPr="00B95A9D" w:rsidRDefault="0039310E" w:rsidP="005A7661">
            <w:pPr>
              <w:rPr>
                <w:rFonts w:asciiTheme="minorHAnsi" w:hAnsiTheme="minorHAnsi" w:cstheme="minorHAnsi"/>
                <w:szCs w:val="20"/>
                <w:lang w:eastAsia="fr-FR" w:bidi="ar-SA"/>
              </w:rPr>
            </w:pPr>
          </w:p>
        </w:tc>
        <w:tc>
          <w:tcPr>
            <w:tcW w:w="8268" w:type="dxa"/>
            <w:gridSpan w:val="4"/>
          </w:tcPr>
          <w:p w14:paraId="51D4A870" w14:textId="77777777" w:rsidR="0039310E" w:rsidRPr="00B95A9D" w:rsidRDefault="0039310E" w:rsidP="005A7661">
            <w:pPr>
              <w:spacing w:before="0" w:after="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Cs w:val="20"/>
                <w:lang w:eastAsia="fr-FR" w:bidi="ar-SA"/>
              </w:rPr>
            </w:pPr>
          </w:p>
        </w:tc>
      </w:tr>
      <w:tr w:rsidR="0039310E" w:rsidRPr="00B95A9D" w14:paraId="7493AA12" w14:textId="77777777" w:rsidTr="005A7661">
        <w:tc>
          <w:tcPr>
            <w:cnfStyle w:val="001000000000" w:firstRow="0" w:lastRow="0" w:firstColumn="1" w:lastColumn="0" w:oddVBand="0" w:evenVBand="0" w:oddHBand="0" w:evenHBand="0" w:firstRowFirstColumn="0" w:firstRowLastColumn="0" w:lastRowFirstColumn="0" w:lastRowLastColumn="0"/>
            <w:tcW w:w="792" w:type="dxa"/>
            <w:vMerge/>
          </w:tcPr>
          <w:p w14:paraId="7289535E" w14:textId="77777777" w:rsidR="0039310E" w:rsidRPr="00B95A9D" w:rsidRDefault="0039310E" w:rsidP="005A7661">
            <w:pPr>
              <w:rPr>
                <w:rFonts w:asciiTheme="minorHAnsi" w:hAnsiTheme="minorHAnsi" w:cstheme="minorHAnsi"/>
                <w:szCs w:val="20"/>
                <w:lang w:eastAsia="fr-FR" w:bidi="ar-SA"/>
              </w:rPr>
            </w:pPr>
          </w:p>
        </w:tc>
        <w:tc>
          <w:tcPr>
            <w:tcW w:w="2747" w:type="dxa"/>
            <w:shd w:val="clear" w:color="auto" w:fill="B4C6E7" w:themeFill="accent1" w:themeFillTint="66"/>
            <w:vAlign w:val="center"/>
          </w:tcPr>
          <w:p w14:paraId="195037CF" w14:textId="77777777" w:rsidR="0039310E" w:rsidRPr="00B95A9D" w:rsidRDefault="0039310E" w:rsidP="005A766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sidRPr="00B95A9D">
              <w:rPr>
                <w:rFonts w:asciiTheme="minorHAnsi" w:hAnsiTheme="minorHAnsi" w:cstheme="minorHAnsi"/>
                <w:b/>
                <w:bCs/>
                <w:szCs w:val="20"/>
              </w:rPr>
              <w:t>Intensité de l’impact</w:t>
            </w:r>
          </w:p>
        </w:tc>
        <w:tc>
          <w:tcPr>
            <w:tcW w:w="1843" w:type="dxa"/>
            <w:shd w:val="clear" w:color="auto" w:fill="B4C6E7" w:themeFill="accent1" w:themeFillTint="66"/>
            <w:vAlign w:val="center"/>
          </w:tcPr>
          <w:p w14:paraId="3579C103" w14:textId="77777777" w:rsidR="0039310E" w:rsidRPr="00B95A9D" w:rsidRDefault="0039310E" w:rsidP="005A766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Cs w:val="20"/>
                <w:lang w:eastAsia="fr-FR" w:bidi="ar-SA"/>
              </w:rPr>
            </w:pPr>
            <w:r w:rsidRPr="00B95A9D">
              <w:rPr>
                <w:rFonts w:asciiTheme="minorHAnsi" w:hAnsiTheme="minorHAnsi" w:cstheme="minorHAnsi"/>
                <w:b/>
                <w:bCs/>
                <w:szCs w:val="20"/>
              </w:rPr>
              <w:t>Récepteurs</w:t>
            </w:r>
          </w:p>
        </w:tc>
        <w:tc>
          <w:tcPr>
            <w:tcW w:w="2436" w:type="dxa"/>
            <w:shd w:val="clear" w:color="auto" w:fill="B4C6E7" w:themeFill="accent1" w:themeFillTint="66"/>
            <w:vAlign w:val="center"/>
          </w:tcPr>
          <w:p w14:paraId="1AEE6E81" w14:textId="77777777" w:rsidR="0039310E" w:rsidRPr="00B95A9D" w:rsidRDefault="0039310E" w:rsidP="005A766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sidRPr="00B95A9D">
              <w:rPr>
                <w:rFonts w:asciiTheme="minorHAnsi" w:hAnsiTheme="minorHAnsi" w:cstheme="minorHAnsi"/>
                <w:b/>
                <w:bCs/>
                <w:szCs w:val="20"/>
              </w:rPr>
              <w:t>Sensibilité</w:t>
            </w:r>
          </w:p>
        </w:tc>
        <w:tc>
          <w:tcPr>
            <w:tcW w:w="1242" w:type="dxa"/>
            <w:shd w:val="clear" w:color="auto" w:fill="B4C6E7" w:themeFill="accent1" w:themeFillTint="66"/>
            <w:vAlign w:val="center"/>
          </w:tcPr>
          <w:p w14:paraId="4811F93E" w14:textId="77777777" w:rsidR="0039310E" w:rsidRPr="00B95A9D" w:rsidRDefault="0039310E" w:rsidP="005A766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Cs w:val="20"/>
                <w:lang w:eastAsia="fr-FR" w:bidi="ar-SA"/>
              </w:rPr>
            </w:pPr>
            <w:r w:rsidRPr="00B95A9D">
              <w:rPr>
                <w:rFonts w:asciiTheme="minorHAnsi" w:hAnsiTheme="minorHAnsi" w:cstheme="minorHAnsi"/>
                <w:b/>
                <w:bCs/>
                <w:szCs w:val="20"/>
              </w:rPr>
              <w:t>Importance de l’impact</w:t>
            </w:r>
          </w:p>
        </w:tc>
      </w:tr>
      <w:tr w:rsidR="0039310E" w:rsidRPr="00B95A9D" w14:paraId="01DDCC4B" w14:textId="77777777" w:rsidTr="005A7661">
        <w:tc>
          <w:tcPr>
            <w:cnfStyle w:val="001000000000" w:firstRow="0" w:lastRow="0" w:firstColumn="1" w:lastColumn="0" w:oddVBand="0" w:evenVBand="0" w:oddHBand="0" w:evenHBand="0" w:firstRowFirstColumn="0" w:firstRowLastColumn="0" w:lastRowFirstColumn="0" w:lastRowLastColumn="0"/>
            <w:tcW w:w="792" w:type="dxa"/>
            <w:vMerge/>
          </w:tcPr>
          <w:p w14:paraId="5FF0599E" w14:textId="77777777" w:rsidR="0039310E" w:rsidRPr="00B95A9D" w:rsidRDefault="0039310E" w:rsidP="005A7661">
            <w:pPr>
              <w:rPr>
                <w:rFonts w:asciiTheme="minorHAnsi" w:hAnsiTheme="minorHAnsi" w:cstheme="minorHAnsi"/>
                <w:szCs w:val="20"/>
                <w:lang w:eastAsia="fr-FR" w:bidi="ar-SA"/>
              </w:rPr>
            </w:pPr>
          </w:p>
        </w:tc>
        <w:tc>
          <w:tcPr>
            <w:tcW w:w="2747" w:type="dxa"/>
            <w:vMerge w:val="restart"/>
            <w:vAlign w:val="center"/>
          </w:tcPr>
          <w:p w14:paraId="22AADD97" w14:textId="643794CE" w:rsidR="0039310E" w:rsidRPr="00B95A9D" w:rsidRDefault="0039310E" w:rsidP="005A766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Pr>
                <w:rFonts w:asciiTheme="minorHAnsi" w:hAnsiTheme="minorHAnsi" w:cstheme="minorHAnsi"/>
                <w:szCs w:val="20"/>
                <w:lang w:eastAsia="fr-FR" w:bidi="ar-SA"/>
              </w:rPr>
              <w:t>Faible</w:t>
            </w:r>
          </w:p>
        </w:tc>
        <w:tc>
          <w:tcPr>
            <w:tcW w:w="1843" w:type="dxa"/>
            <w:vAlign w:val="center"/>
          </w:tcPr>
          <w:p w14:paraId="10039F82" w14:textId="5E8B3B7C" w:rsidR="0039310E" w:rsidRPr="00CF0282" w:rsidRDefault="0039310E" w:rsidP="005A766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sidRPr="0039310E">
              <w:rPr>
                <w:rFonts w:asciiTheme="minorHAnsi" w:hAnsiTheme="minorHAnsi" w:cstheme="minorHAnsi"/>
                <w:szCs w:val="20"/>
                <w:lang w:eastAsia="fr-FR" w:bidi="ar-SA"/>
              </w:rPr>
              <w:t>Flore rudérale (espèces pionnières résiduelles en bordure)</w:t>
            </w:r>
          </w:p>
        </w:tc>
        <w:tc>
          <w:tcPr>
            <w:tcW w:w="2436" w:type="dxa"/>
            <w:vAlign w:val="center"/>
          </w:tcPr>
          <w:p w14:paraId="760AF3CC" w14:textId="6286353E" w:rsidR="0039310E" w:rsidRPr="00B95A9D" w:rsidRDefault="0039310E" w:rsidP="005A766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sidRPr="004637C7">
              <w:rPr>
                <w:rFonts w:asciiTheme="minorHAnsi" w:hAnsiTheme="minorHAnsi" w:cstheme="minorHAnsi"/>
                <w:b/>
                <w:bCs/>
                <w:szCs w:val="20"/>
                <w:lang w:eastAsia="fr-FR" w:bidi="ar-SA"/>
              </w:rPr>
              <w:t>Insignifiant </w:t>
            </w:r>
            <w:r>
              <w:rPr>
                <w:rFonts w:asciiTheme="minorHAnsi" w:hAnsiTheme="minorHAnsi" w:cstheme="minorHAnsi"/>
                <w:szCs w:val="20"/>
                <w:lang w:eastAsia="fr-FR" w:bidi="ar-SA"/>
              </w:rPr>
              <w:t xml:space="preserve">: </w:t>
            </w:r>
            <w:r w:rsidRPr="0039310E">
              <w:rPr>
                <w:rFonts w:asciiTheme="minorHAnsi" w:hAnsiTheme="minorHAnsi" w:cstheme="minorHAnsi"/>
                <w:szCs w:val="20"/>
                <w:lang w:eastAsia="fr-FR" w:bidi="ar-SA"/>
              </w:rPr>
              <w:t>Ces espèces sont banales, largement répandues et adaptées aux milieux perturbés et secs.</w:t>
            </w:r>
          </w:p>
        </w:tc>
        <w:tc>
          <w:tcPr>
            <w:tcW w:w="1242" w:type="dxa"/>
            <w:vAlign w:val="center"/>
          </w:tcPr>
          <w:p w14:paraId="1D37D472" w14:textId="4741955E" w:rsidR="0039310E" w:rsidRPr="00B95A9D" w:rsidRDefault="00A2498A" w:rsidP="005A766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Cs w:val="20"/>
                <w:lang w:eastAsia="fr-FR" w:bidi="ar-SA"/>
              </w:rPr>
            </w:pPr>
            <w:r>
              <w:rPr>
                <w:rFonts w:asciiTheme="minorHAnsi" w:hAnsiTheme="minorHAnsi" w:cstheme="minorHAnsi"/>
                <w:b/>
                <w:bCs/>
                <w:szCs w:val="20"/>
                <w:lang w:eastAsia="fr-FR" w:bidi="ar-SA"/>
              </w:rPr>
              <w:t xml:space="preserve">Insignifiant </w:t>
            </w:r>
          </w:p>
        </w:tc>
      </w:tr>
      <w:tr w:rsidR="0039310E" w:rsidRPr="00B95A9D" w14:paraId="147A3305" w14:textId="77777777" w:rsidTr="005A7661">
        <w:tc>
          <w:tcPr>
            <w:cnfStyle w:val="001000000000" w:firstRow="0" w:lastRow="0" w:firstColumn="1" w:lastColumn="0" w:oddVBand="0" w:evenVBand="0" w:oddHBand="0" w:evenHBand="0" w:firstRowFirstColumn="0" w:firstRowLastColumn="0" w:lastRowFirstColumn="0" w:lastRowLastColumn="0"/>
            <w:tcW w:w="792" w:type="dxa"/>
            <w:vMerge/>
          </w:tcPr>
          <w:p w14:paraId="3227BDE7" w14:textId="77777777" w:rsidR="0039310E" w:rsidRPr="00B95A9D" w:rsidRDefault="0039310E" w:rsidP="005A7661">
            <w:pPr>
              <w:rPr>
                <w:rFonts w:asciiTheme="minorHAnsi" w:hAnsiTheme="minorHAnsi" w:cstheme="minorHAnsi"/>
                <w:szCs w:val="20"/>
                <w:lang w:eastAsia="fr-FR" w:bidi="ar-SA"/>
              </w:rPr>
            </w:pPr>
          </w:p>
        </w:tc>
        <w:tc>
          <w:tcPr>
            <w:tcW w:w="2747" w:type="dxa"/>
            <w:vMerge/>
            <w:vAlign w:val="center"/>
          </w:tcPr>
          <w:p w14:paraId="39AD1837" w14:textId="77777777" w:rsidR="0039310E" w:rsidRDefault="0039310E" w:rsidP="005A766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p>
        </w:tc>
        <w:tc>
          <w:tcPr>
            <w:tcW w:w="1843" w:type="dxa"/>
            <w:vAlign w:val="center"/>
          </w:tcPr>
          <w:p w14:paraId="4086D2E4" w14:textId="14DB68AC" w:rsidR="0039310E" w:rsidRPr="00CF0282" w:rsidRDefault="0039310E" w:rsidP="005A766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sidRPr="0039310E">
              <w:rPr>
                <w:rFonts w:asciiTheme="minorHAnsi" w:hAnsiTheme="minorHAnsi" w:cstheme="minorHAnsi"/>
                <w:szCs w:val="20"/>
                <w:lang w:eastAsia="fr-FR" w:bidi="ar-SA"/>
              </w:rPr>
              <w:t>Habitats artificialisés (zones enrobées, abords stabilisés)</w:t>
            </w:r>
          </w:p>
        </w:tc>
        <w:tc>
          <w:tcPr>
            <w:tcW w:w="2436" w:type="dxa"/>
            <w:vAlign w:val="center"/>
          </w:tcPr>
          <w:p w14:paraId="0F5557A9" w14:textId="27CFBCD2" w:rsidR="0039310E" w:rsidRPr="00B95A9D" w:rsidRDefault="006B7B62" w:rsidP="005A766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sidRPr="004637C7">
              <w:rPr>
                <w:rFonts w:asciiTheme="minorHAnsi" w:hAnsiTheme="minorHAnsi" w:cstheme="minorHAnsi"/>
                <w:b/>
                <w:bCs/>
                <w:szCs w:val="20"/>
                <w:lang w:eastAsia="fr-FR" w:bidi="ar-SA"/>
              </w:rPr>
              <w:t>Insignifiant</w:t>
            </w:r>
            <w:r>
              <w:rPr>
                <w:rFonts w:asciiTheme="minorHAnsi" w:hAnsiTheme="minorHAnsi" w:cstheme="minorHAnsi"/>
                <w:szCs w:val="20"/>
                <w:lang w:eastAsia="fr-FR" w:bidi="ar-SA"/>
              </w:rPr>
              <w:t xml:space="preserve"> : </w:t>
            </w:r>
            <w:r w:rsidRPr="006B7B62">
              <w:rPr>
                <w:rFonts w:asciiTheme="minorHAnsi" w:hAnsiTheme="minorHAnsi" w:cstheme="minorHAnsi"/>
                <w:szCs w:val="20"/>
                <w:lang w:eastAsia="fr-FR" w:bidi="ar-SA"/>
              </w:rPr>
              <w:t>Aucun enjeu écologique ; milieu imperméabilisé et stérile.</w:t>
            </w:r>
          </w:p>
        </w:tc>
        <w:tc>
          <w:tcPr>
            <w:tcW w:w="1242" w:type="dxa"/>
            <w:vAlign w:val="center"/>
          </w:tcPr>
          <w:p w14:paraId="5810B846" w14:textId="13E6D2B1" w:rsidR="0039310E" w:rsidRPr="00B95A9D" w:rsidRDefault="004041C3" w:rsidP="005A766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Cs w:val="20"/>
                <w:lang w:eastAsia="fr-FR" w:bidi="ar-SA"/>
              </w:rPr>
            </w:pPr>
            <w:r w:rsidRPr="004041C3">
              <w:rPr>
                <w:rFonts w:asciiTheme="minorHAnsi" w:hAnsiTheme="minorHAnsi" w:cstheme="minorHAnsi"/>
                <w:b/>
                <w:bCs/>
                <w:szCs w:val="20"/>
                <w:lang w:eastAsia="fr-FR" w:bidi="ar-SA"/>
              </w:rPr>
              <w:t>Insignifiant</w:t>
            </w:r>
          </w:p>
        </w:tc>
      </w:tr>
    </w:tbl>
    <w:p w14:paraId="53E81425" w14:textId="0E51E573" w:rsidR="007D0F91" w:rsidRDefault="007D0F91" w:rsidP="0001633E">
      <w:pPr>
        <w:pStyle w:val="AltTitle2"/>
        <w:numPr>
          <w:ilvl w:val="0"/>
          <w:numId w:val="106"/>
        </w:numPr>
      </w:pPr>
      <w:r w:rsidRPr="007D0F91">
        <w:t>Perturbation indirecte de la faune périphérique</w:t>
      </w:r>
    </w:p>
    <w:p w14:paraId="6D247423" w14:textId="77777777" w:rsidR="007D0F91" w:rsidRDefault="007D0F91" w:rsidP="007D0F91">
      <w:r w:rsidRPr="004637C7">
        <w:t>Les activités d’exploitation du parking avions et de la bretelle (stationnement, maintenance, circulation de véhicules de service, éclairage nocturne) peuvent générer une gêne ponctuelle pour la faune périphérique fréquentant les abords du site.</w:t>
      </w:r>
    </w:p>
    <w:p w14:paraId="6367AEB8" w14:textId="1804E794" w:rsidR="007D0F91" w:rsidRPr="004637C7" w:rsidRDefault="007D0F91" w:rsidP="004637C7">
      <w:r w:rsidRPr="004637C7">
        <w:lastRenderedPageBreak/>
        <w:t>Cette faune est composée d’espèces communes et tolérantes aux milieux artificialisés, déjà présentes dans le voisinage immédiat</w:t>
      </w:r>
      <w:r w:rsidR="009F1C32">
        <w:t>.</w:t>
      </w:r>
    </w:p>
    <w:p w14:paraId="53181667" w14:textId="77777777" w:rsidR="007D0F91" w:rsidRDefault="007D0F91" w:rsidP="007D0F91">
      <w:r w:rsidRPr="004637C7">
        <w:t>L’impact est direct et négatif, d’étendue locale, limité à la frange externe de la plateforme.</w:t>
      </w:r>
    </w:p>
    <w:p w14:paraId="2395C427" w14:textId="77777777" w:rsidR="007D0F91" w:rsidRDefault="007D0F91" w:rsidP="007D0F91">
      <w:r w:rsidRPr="004637C7">
        <w:t>Sa durée est permanente, mais sa fréquence est régulière et stable, sans augmentation notable du niveau de nuisance par rapport à la situation de référence.</w:t>
      </w:r>
    </w:p>
    <w:p w14:paraId="7E4B9990" w14:textId="77777777" w:rsidR="007D0F91" w:rsidRDefault="007D0F91" w:rsidP="007D0F91">
      <w:r w:rsidRPr="004637C7">
        <w:t>L’intensité est faible, les espèces concernées s’étant déjà adaptées au bruit et à la lumière de l’aéroport.</w:t>
      </w:r>
    </w:p>
    <w:p w14:paraId="1BA6AE73" w14:textId="1A4C5AFF" w:rsidR="007D0F91" w:rsidRPr="004637C7" w:rsidRDefault="007D0F91" w:rsidP="004637C7">
      <w:r w:rsidRPr="004637C7">
        <w:t>La sensibilité de ces récepteurs est faible à moyenne : certaines espèces peuvent subir un dérangement ponctuel nocturne, sans conséquence sur leur survie ni leur reproduction.</w:t>
      </w:r>
    </w:p>
    <w:p w14:paraId="412F30EF" w14:textId="764BED5B" w:rsidR="007D0F91" w:rsidRDefault="00740DB9" w:rsidP="007D0F91">
      <w:r>
        <w:t xml:space="preserve">L’impact est d’une importance négligeable à mineure. </w:t>
      </w:r>
      <w:r w:rsidRPr="004637C7">
        <w:t>Il s’agit d’un effet local, continu mais non cumulatif, typique d’un environnement aéroportuaire en fonctionnement, sans incidence mesurable sur la biodiversité.</w:t>
      </w:r>
    </w:p>
    <w:tbl>
      <w:tblPr>
        <w:tblStyle w:val="TableauGrille1Clair-Accentuation111"/>
        <w:tblW w:w="0" w:type="auto"/>
        <w:tblLayout w:type="fixed"/>
        <w:tblLook w:val="04A0" w:firstRow="1" w:lastRow="0" w:firstColumn="1" w:lastColumn="0" w:noHBand="0" w:noVBand="1"/>
      </w:tblPr>
      <w:tblGrid>
        <w:gridCol w:w="792"/>
        <w:gridCol w:w="2747"/>
        <w:gridCol w:w="1843"/>
        <w:gridCol w:w="2436"/>
        <w:gridCol w:w="1242"/>
      </w:tblGrid>
      <w:tr w:rsidR="005B3289" w:rsidRPr="00B95A9D" w14:paraId="11CE6735" w14:textId="77777777" w:rsidTr="005A766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2" w:type="dxa"/>
            <w:hideMark/>
          </w:tcPr>
          <w:p w14:paraId="7675AD8B" w14:textId="77777777" w:rsidR="005B3289" w:rsidRPr="00B95A9D" w:rsidRDefault="005B3289" w:rsidP="005A7661">
            <w:pPr>
              <w:rPr>
                <w:rFonts w:asciiTheme="minorHAnsi" w:hAnsiTheme="minorHAnsi" w:cstheme="minorHAnsi"/>
                <w:szCs w:val="20"/>
                <w:lang w:eastAsia="fr-FR" w:bidi="ar-SA"/>
              </w:rPr>
            </w:pPr>
            <w:r w:rsidRPr="00B95A9D">
              <w:rPr>
                <w:rFonts w:asciiTheme="minorHAnsi" w:hAnsiTheme="minorHAnsi" w:cstheme="minorHAnsi"/>
                <w:szCs w:val="20"/>
                <w:lang w:eastAsia="fr-FR" w:bidi="ar-SA"/>
              </w:rPr>
              <w:t>Impact</w:t>
            </w:r>
          </w:p>
        </w:tc>
        <w:tc>
          <w:tcPr>
            <w:tcW w:w="2747" w:type="dxa"/>
            <w:hideMark/>
          </w:tcPr>
          <w:p w14:paraId="1B8F919A" w14:textId="77777777" w:rsidR="005B3289" w:rsidRPr="00B95A9D" w:rsidRDefault="005B3289" w:rsidP="005A7661">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sidRPr="00B95A9D">
              <w:rPr>
                <w:rFonts w:asciiTheme="minorHAnsi" w:hAnsiTheme="minorHAnsi" w:cstheme="minorHAnsi"/>
                <w:szCs w:val="20"/>
                <w:lang w:eastAsia="fr-FR" w:bidi="ar-SA"/>
              </w:rPr>
              <w:t>Activités génératrices</w:t>
            </w:r>
          </w:p>
        </w:tc>
        <w:tc>
          <w:tcPr>
            <w:tcW w:w="1843" w:type="dxa"/>
            <w:hideMark/>
          </w:tcPr>
          <w:p w14:paraId="6DD18E32" w14:textId="77777777" w:rsidR="005B3289" w:rsidRPr="00B95A9D" w:rsidRDefault="005B3289" w:rsidP="005A7661">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sidRPr="00B95A9D">
              <w:rPr>
                <w:rFonts w:asciiTheme="minorHAnsi" w:hAnsiTheme="minorHAnsi" w:cstheme="minorHAnsi"/>
                <w:szCs w:val="20"/>
                <w:lang w:eastAsia="fr-FR" w:bidi="ar-SA"/>
              </w:rPr>
              <w:t>Critère</w:t>
            </w:r>
          </w:p>
        </w:tc>
        <w:tc>
          <w:tcPr>
            <w:tcW w:w="2436" w:type="dxa"/>
            <w:hideMark/>
          </w:tcPr>
          <w:p w14:paraId="1B48F86C" w14:textId="77777777" w:rsidR="005B3289" w:rsidRPr="00B95A9D" w:rsidRDefault="005B3289" w:rsidP="005A7661">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sidRPr="00B95A9D">
              <w:rPr>
                <w:rFonts w:asciiTheme="minorHAnsi" w:hAnsiTheme="minorHAnsi" w:cstheme="minorHAnsi"/>
                <w:szCs w:val="20"/>
                <w:lang w:eastAsia="fr-FR" w:bidi="ar-SA"/>
              </w:rPr>
              <w:t>Justification</w:t>
            </w:r>
          </w:p>
        </w:tc>
        <w:tc>
          <w:tcPr>
            <w:tcW w:w="1242" w:type="dxa"/>
            <w:hideMark/>
          </w:tcPr>
          <w:p w14:paraId="596EFC35" w14:textId="77777777" w:rsidR="005B3289" w:rsidRPr="00B95A9D" w:rsidRDefault="005B3289" w:rsidP="005A7661">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sidRPr="00B95A9D">
              <w:rPr>
                <w:rFonts w:asciiTheme="minorHAnsi" w:hAnsiTheme="minorHAnsi" w:cstheme="minorHAnsi"/>
                <w:szCs w:val="20"/>
                <w:lang w:eastAsia="fr-FR" w:bidi="ar-SA"/>
              </w:rPr>
              <w:t>Niveau</w:t>
            </w:r>
          </w:p>
        </w:tc>
      </w:tr>
      <w:tr w:rsidR="00FD32D5" w:rsidRPr="00B95A9D" w14:paraId="798A671B" w14:textId="77777777" w:rsidTr="005A7661">
        <w:tc>
          <w:tcPr>
            <w:cnfStyle w:val="001000000000" w:firstRow="0" w:lastRow="0" w:firstColumn="1" w:lastColumn="0" w:oddVBand="0" w:evenVBand="0" w:oddHBand="0" w:evenHBand="0" w:firstRowFirstColumn="0" w:firstRowLastColumn="0" w:lastRowFirstColumn="0" w:lastRowLastColumn="0"/>
            <w:tcW w:w="792" w:type="dxa"/>
            <w:vMerge w:val="restart"/>
            <w:textDirection w:val="btLr"/>
            <w:vAlign w:val="center"/>
          </w:tcPr>
          <w:p w14:paraId="365A0996" w14:textId="2BE8B600" w:rsidR="00FD32D5" w:rsidRPr="00B95A9D" w:rsidRDefault="00FD32D5" w:rsidP="005A7661">
            <w:pPr>
              <w:ind w:left="113" w:right="113"/>
              <w:jc w:val="center"/>
              <w:rPr>
                <w:rFonts w:asciiTheme="minorHAnsi" w:hAnsiTheme="minorHAnsi" w:cstheme="minorHAnsi"/>
                <w:szCs w:val="20"/>
                <w:lang w:eastAsia="fr-FR" w:bidi="ar-SA"/>
              </w:rPr>
            </w:pPr>
            <w:r w:rsidRPr="004D67EF">
              <w:rPr>
                <w:rFonts w:asciiTheme="minorHAnsi" w:hAnsiTheme="minorHAnsi" w:cstheme="minorHAnsi"/>
                <w:szCs w:val="20"/>
                <w:lang w:eastAsia="fr-FR" w:bidi="ar-SA"/>
              </w:rPr>
              <w:t>Perturbation de la faune périphérique</w:t>
            </w:r>
          </w:p>
        </w:tc>
        <w:tc>
          <w:tcPr>
            <w:tcW w:w="2747" w:type="dxa"/>
            <w:vMerge w:val="restart"/>
          </w:tcPr>
          <w:p w14:paraId="372E9536" w14:textId="3B777435" w:rsidR="00FD32D5" w:rsidRPr="00B95A9D" w:rsidRDefault="00FD32D5" w:rsidP="005A766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sidRPr="004D67EF">
              <w:rPr>
                <w:rFonts w:asciiTheme="minorHAnsi" w:hAnsiTheme="minorHAnsi" w:cstheme="minorHAnsi"/>
                <w:szCs w:val="20"/>
                <w:lang w:eastAsia="fr-FR" w:bidi="ar-SA"/>
              </w:rPr>
              <w:t>Fonctionnement du parking avions, circulation des véhicules, éclairage nocturne, opérations de maintenance</w:t>
            </w:r>
          </w:p>
        </w:tc>
        <w:tc>
          <w:tcPr>
            <w:tcW w:w="1843" w:type="dxa"/>
            <w:hideMark/>
          </w:tcPr>
          <w:p w14:paraId="111F0AAB" w14:textId="77777777" w:rsidR="00FD32D5" w:rsidRPr="00B95A9D" w:rsidRDefault="00FD32D5" w:rsidP="005A766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Cs w:val="20"/>
                <w:lang w:eastAsia="fr-FR" w:bidi="ar-SA"/>
              </w:rPr>
            </w:pPr>
            <w:r w:rsidRPr="00B95A9D">
              <w:rPr>
                <w:rFonts w:asciiTheme="minorHAnsi" w:hAnsiTheme="minorHAnsi" w:cstheme="minorHAnsi"/>
                <w:b/>
                <w:bCs/>
                <w:szCs w:val="20"/>
                <w:lang w:eastAsia="fr-FR" w:bidi="ar-SA"/>
              </w:rPr>
              <w:t>Nature</w:t>
            </w:r>
          </w:p>
        </w:tc>
        <w:tc>
          <w:tcPr>
            <w:tcW w:w="3678" w:type="dxa"/>
            <w:gridSpan w:val="2"/>
          </w:tcPr>
          <w:p w14:paraId="6EE8F1A0" w14:textId="57112763" w:rsidR="00FD32D5" w:rsidRPr="00B95A9D" w:rsidRDefault="00FD32D5" w:rsidP="005A766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Pr>
                <w:rFonts w:asciiTheme="minorHAnsi" w:hAnsiTheme="minorHAnsi" w:cstheme="minorHAnsi"/>
                <w:szCs w:val="20"/>
                <w:lang w:eastAsia="fr-FR" w:bidi="ar-SA"/>
              </w:rPr>
              <w:t>Indirect négatif</w:t>
            </w:r>
          </w:p>
        </w:tc>
      </w:tr>
      <w:tr w:rsidR="00FD32D5" w:rsidRPr="00B95A9D" w14:paraId="691ED74E" w14:textId="77777777" w:rsidTr="005A7661">
        <w:tc>
          <w:tcPr>
            <w:cnfStyle w:val="001000000000" w:firstRow="0" w:lastRow="0" w:firstColumn="1" w:lastColumn="0" w:oddVBand="0" w:evenVBand="0" w:oddHBand="0" w:evenHBand="0" w:firstRowFirstColumn="0" w:firstRowLastColumn="0" w:lastRowFirstColumn="0" w:lastRowLastColumn="0"/>
            <w:tcW w:w="792" w:type="dxa"/>
            <w:vMerge/>
            <w:hideMark/>
          </w:tcPr>
          <w:p w14:paraId="4DA26ADF" w14:textId="77777777" w:rsidR="00FD32D5" w:rsidRPr="00B95A9D" w:rsidRDefault="00FD32D5" w:rsidP="005A7661">
            <w:pPr>
              <w:rPr>
                <w:rFonts w:asciiTheme="minorHAnsi" w:hAnsiTheme="minorHAnsi" w:cstheme="minorHAnsi"/>
                <w:szCs w:val="20"/>
                <w:lang w:eastAsia="fr-FR" w:bidi="ar-SA"/>
              </w:rPr>
            </w:pPr>
          </w:p>
        </w:tc>
        <w:tc>
          <w:tcPr>
            <w:tcW w:w="2747" w:type="dxa"/>
            <w:vMerge/>
            <w:hideMark/>
          </w:tcPr>
          <w:p w14:paraId="6AEAD4C9" w14:textId="77777777" w:rsidR="00FD32D5" w:rsidRPr="00B95A9D" w:rsidRDefault="00FD32D5" w:rsidP="005A766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p>
        </w:tc>
        <w:tc>
          <w:tcPr>
            <w:tcW w:w="1843" w:type="dxa"/>
            <w:hideMark/>
          </w:tcPr>
          <w:p w14:paraId="4DF212D0" w14:textId="77777777" w:rsidR="00FD32D5" w:rsidRPr="00B95A9D" w:rsidRDefault="00FD32D5" w:rsidP="005A766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Cs w:val="20"/>
                <w:lang w:eastAsia="fr-FR" w:bidi="ar-SA"/>
              </w:rPr>
            </w:pPr>
            <w:r w:rsidRPr="00B95A9D">
              <w:rPr>
                <w:rFonts w:asciiTheme="minorHAnsi" w:hAnsiTheme="minorHAnsi" w:cstheme="minorHAnsi"/>
                <w:b/>
                <w:bCs/>
                <w:szCs w:val="20"/>
                <w:lang w:eastAsia="fr-FR" w:bidi="ar-SA"/>
              </w:rPr>
              <w:t>Étendue</w:t>
            </w:r>
          </w:p>
        </w:tc>
        <w:tc>
          <w:tcPr>
            <w:tcW w:w="2436" w:type="dxa"/>
          </w:tcPr>
          <w:p w14:paraId="5AC88FB3" w14:textId="0A526A91" w:rsidR="00FD32D5" w:rsidRPr="00B95A9D" w:rsidRDefault="00FD32D5" w:rsidP="005A766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Pr>
                <w:rFonts w:asciiTheme="minorHAnsi" w:hAnsiTheme="minorHAnsi" w:cstheme="minorHAnsi"/>
                <w:szCs w:val="20"/>
                <w:lang w:eastAsia="fr-FR" w:bidi="ar-SA"/>
              </w:rPr>
              <w:t>L</w:t>
            </w:r>
            <w:r w:rsidRPr="004D67EF">
              <w:rPr>
                <w:rFonts w:asciiTheme="minorHAnsi" w:hAnsiTheme="minorHAnsi" w:cstheme="minorHAnsi"/>
                <w:szCs w:val="20"/>
                <w:lang w:eastAsia="fr-FR" w:bidi="ar-SA"/>
              </w:rPr>
              <w:t>imitée à la frange périphérique et aux abords immédiats de la plateforme.</w:t>
            </w:r>
          </w:p>
        </w:tc>
        <w:tc>
          <w:tcPr>
            <w:tcW w:w="1242" w:type="dxa"/>
          </w:tcPr>
          <w:p w14:paraId="5B3DB392" w14:textId="27934B4B" w:rsidR="00FD32D5" w:rsidRPr="00B95A9D" w:rsidRDefault="00FD32D5" w:rsidP="005A766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Cs w:val="20"/>
                <w:lang w:eastAsia="fr-FR" w:bidi="ar-SA"/>
              </w:rPr>
            </w:pPr>
            <w:r>
              <w:rPr>
                <w:rFonts w:asciiTheme="minorHAnsi" w:hAnsiTheme="minorHAnsi" w:cstheme="minorHAnsi"/>
                <w:b/>
                <w:bCs/>
                <w:szCs w:val="20"/>
                <w:lang w:eastAsia="fr-FR" w:bidi="ar-SA"/>
              </w:rPr>
              <w:t>Locale</w:t>
            </w:r>
          </w:p>
        </w:tc>
      </w:tr>
      <w:tr w:rsidR="00FD32D5" w:rsidRPr="00B95A9D" w14:paraId="74715356" w14:textId="77777777" w:rsidTr="005A7661">
        <w:tc>
          <w:tcPr>
            <w:cnfStyle w:val="001000000000" w:firstRow="0" w:lastRow="0" w:firstColumn="1" w:lastColumn="0" w:oddVBand="0" w:evenVBand="0" w:oddHBand="0" w:evenHBand="0" w:firstRowFirstColumn="0" w:firstRowLastColumn="0" w:lastRowFirstColumn="0" w:lastRowLastColumn="0"/>
            <w:tcW w:w="792" w:type="dxa"/>
            <w:vMerge/>
            <w:hideMark/>
          </w:tcPr>
          <w:p w14:paraId="5F36C16C" w14:textId="77777777" w:rsidR="00FD32D5" w:rsidRPr="00B95A9D" w:rsidRDefault="00FD32D5" w:rsidP="005A7661">
            <w:pPr>
              <w:rPr>
                <w:rFonts w:asciiTheme="minorHAnsi" w:hAnsiTheme="minorHAnsi" w:cstheme="minorHAnsi"/>
                <w:szCs w:val="20"/>
                <w:lang w:eastAsia="fr-FR" w:bidi="ar-SA"/>
              </w:rPr>
            </w:pPr>
          </w:p>
        </w:tc>
        <w:tc>
          <w:tcPr>
            <w:tcW w:w="2747" w:type="dxa"/>
            <w:vMerge/>
            <w:hideMark/>
          </w:tcPr>
          <w:p w14:paraId="52A73043" w14:textId="77777777" w:rsidR="00FD32D5" w:rsidRPr="00B95A9D" w:rsidRDefault="00FD32D5" w:rsidP="005A766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p>
        </w:tc>
        <w:tc>
          <w:tcPr>
            <w:tcW w:w="1843" w:type="dxa"/>
            <w:hideMark/>
          </w:tcPr>
          <w:p w14:paraId="72F366FC" w14:textId="77777777" w:rsidR="00FD32D5" w:rsidRPr="00B95A9D" w:rsidRDefault="00FD32D5" w:rsidP="005A766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Cs w:val="20"/>
                <w:lang w:eastAsia="fr-FR" w:bidi="ar-SA"/>
              </w:rPr>
            </w:pPr>
            <w:r w:rsidRPr="00B95A9D">
              <w:rPr>
                <w:rFonts w:asciiTheme="minorHAnsi" w:hAnsiTheme="minorHAnsi" w:cstheme="minorHAnsi"/>
                <w:b/>
                <w:bCs/>
                <w:szCs w:val="20"/>
                <w:lang w:eastAsia="fr-FR" w:bidi="ar-SA"/>
              </w:rPr>
              <w:t>Durée</w:t>
            </w:r>
          </w:p>
        </w:tc>
        <w:tc>
          <w:tcPr>
            <w:tcW w:w="2436" w:type="dxa"/>
          </w:tcPr>
          <w:p w14:paraId="7EC2B9EB" w14:textId="6B01F0E2" w:rsidR="00FD32D5" w:rsidRPr="00B95A9D" w:rsidRDefault="00FD32D5" w:rsidP="005A766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Pr>
                <w:rFonts w:asciiTheme="minorHAnsi" w:hAnsiTheme="minorHAnsi" w:cstheme="minorHAnsi"/>
                <w:szCs w:val="20"/>
                <w:lang w:eastAsia="fr-FR" w:bidi="ar-SA"/>
              </w:rPr>
              <w:t>L</w:t>
            </w:r>
            <w:r w:rsidRPr="004D67EF">
              <w:rPr>
                <w:rFonts w:asciiTheme="minorHAnsi" w:hAnsiTheme="minorHAnsi" w:cstheme="minorHAnsi"/>
                <w:szCs w:val="20"/>
                <w:lang w:eastAsia="fr-FR" w:bidi="ar-SA"/>
              </w:rPr>
              <w:t>iée à l’exploitation continue des zones aéronautiques.</w:t>
            </w:r>
          </w:p>
        </w:tc>
        <w:tc>
          <w:tcPr>
            <w:tcW w:w="1242" w:type="dxa"/>
          </w:tcPr>
          <w:p w14:paraId="0F636DA0" w14:textId="18F49D06" w:rsidR="00FD32D5" w:rsidRPr="00B95A9D" w:rsidRDefault="00FD32D5" w:rsidP="005A766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Cs w:val="20"/>
                <w:lang w:eastAsia="fr-FR" w:bidi="ar-SA"/>
              </w:rPr>
            </w:pPr>
            <w:r>
              <w:rPr>
                <w:rFonts w:asciiTheme="minorHAnsi" w:hAnsiTheme="minorHAnsi" w:cstheme="minorHAnsi"/>
                <w:b/>
                <w:bCs/>
                <w:szCs w:val="20"/>
                <w:lang w:eastAsia="fr-FR" w:bidi="ar-SA"/>
              </w:rPr>
              <w:t>Long terme (permanent)</w:t>
            </w:r>
          </w:p>
        </w:tc>
      </w:tr>
      <w:tr w:rsidR="00FD32D5" w:rsidRPr="00B95A9D" w14:paraId="3609A78B" w14:textId="77777777" w:rsidTr="005A7661">
        <w:tc>
          <w:tcPr>
            <w:cnfStyle w:val="001000000000" w:firstRow="0" w:lastRow="0" w:firstColumn="1" w:lastColumn="0" w:oddVBand="0" w:evenVBand="0" w:oddHBand="0" w:evenHBand="0" w:firstRowFirstColumn="0" w:firstRowLastColumn="0" w:lastRowFirstColumn="0" w:lastRowLastColumn="0"/>
            <w:tcW w:w="792" w:type="dxa"/>
            <w:vMerge/>
            <w:hideMark/>
          </w:tcPr>
          <w:p w14:paraId="3A96FDA2" w14:textId="77777777" w:rsidR="00FD32D5" w:rsidRPr="00B95A9D" w:rsidRDefault="00FD32D5" w:rsidP="005A7661">
            <w:pPr>
              <w:rPr>
                <w:rFonts w:asciiTheme="minorHAnsi" w:hAnsiTheme="minorHAnsi" w:cstheme="minorHAnsi"/>
                <w:szCs w:val="20"/>
                <w:lang w:eastAsia="fr-FR" w:bidi="ar-SA"/>
              </w:rPr>
            </w:pPr>
          </w:p>
        </w:tc>
        <w:tc>
          <w:tcPr>
            <w:tcW w:w="2747" w:type="dxa"/>
            <w:vMerge/>
            <w:hideMark/>
          </w:tcPr>
          <w:p w14:paraId="4D8CFF33" w14:textId="77777777" w:rsidR="00FD32D5" w:rsidRPr="00B95A9D" w:rsidRDefault="00FD32D5" w:rsidP="005A766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p>
        </w:tc>
        <w:tc>
          <w:tcPr>
            <w:tcW w:w="1843" w:type="dxa"/>
            <w:hideMark/>
          </w:tcPr>
          <w:p w14:paraId="35272F14" w14:textId="77777777" w:rsidR="00FD32D5" w:rsidRPr="00B95A9D" w:rsidRDefault="00FD32D5" w:rsidP="005A766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Cs w:val="20"/>
                <w:lang w:eastAsia="fr-FR" w:bidi="ar-SA"/>
              </w:rPr>
            </w:pPr>
            <w:r w:rsidRPr="00B95A9D">
              <w:rPr>
                <w:rFonts w:asciiTheme="minorHAnsi" w:hAnsiTheme="minorHAnsi" w:cstheme="minorHAnsi"/>
                <w:b/>
                <w:bCs/>
                <w:szCs w:val="20"/>
                <w:lang w:eastAsia="fr-FR" w:bidi="ar-SA"/>
              </w:rPr>
              <w:t>Fréquence</w:t>
            </w:r>
          </w:p>
        </w:tc>
        <w:tc>
          <w:tcPr>
            <w:tcW w:w="2436" w:type="dxa"/>
          </w:tcPr>
          <w:p w14:paraId="3B45ED27" w14:textId="75EDFA2D" w:rsidR="00FD32D5" w:rsidRPr="00911A3C" w:rsidRDefault="00FD32D5" w:rsidP="005A766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Pr>
                <w:rFonts w:asciiTheme="minorHAnsi" w:hAnsiTheme="minorHAnsi" w:cstheme="minorHAnsi"/>
                <w:szCs w:val="20"/>
                <w:lang w:eastAsia="fr-FR" w:bidi="ar-SA"/>
              </w:rPr>
              <w:t>N</w:t>
            </w:r>
            <w:r w:rsidRPr="004D67EF">
              <w:rPr>
                <w:rFonts w:asciiTheme="minorHAnsi" w:hAnsiTheme="minorHAnsi" w:cstheme="minorHAnsi"/>
                <w:szCs w:val="20"/>
                <w:lang w:eastAsia="fr-FR" w:bidi="ar-SA"/>
              </w:rPr>
              <w:t>uisances sonores et lumineuses quotidiennes.</w:t>
            </w:r>
          </w:p>
        </w:tc>
        <w:tc>
          <w:tcPr>
            <w:tcW w:w="1242" w:type="dxa"/>
          </w:tcPr>
          <w:p w14:paraId="04A7D7AC" w14:textId="7C4F0A6B" w:rsidR="00FD32D5" w:rsidRPr="00B95A9D" w:rsidRDefault="00FD32D5" w:rsidP="005A766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Cs w:val="20"/>
                <w:lang w:eastAsia="fr-FR" w:bidi="ar-SA"/>
              </w:rPr>
            </w:pPr>
            <w:r>
              <w:rPr>
                <w:rFonts w:asciiTheme="minorHAnsi" w:hAnsiTheme="minorHAnsi" w:cstheme="minorHAnsi"/>
                <w:b/>
                <w:bCs/>
                <w:szCs w:val="20"/>
                <w:lang w:eastAsia="fr-FR" w:bidi="ar-SA"/>
              </w:rPr>
              <w:t>Continue</w:t>
            </w:r>
          </w:p>
        </w:tc>
      </w:tr>
      <w:tr w:rsidR="00FD32D5" w:rsidRPr="00B95A9D" w14:paraId="63B29A93" w14:textId="77777777" w:rsidTr="005A7661">
        <w:tc>
          <w:tcPr>
            <w:cnfStyle w:val="001000000000" w:firstRow="0" w:lastRow="0" w:firstColumn="1" w:lastColumn="0" w:oddVBand="0" w:evenVBand="0" w:oddHBand="0" w:evenHBand="0" w:firstRowFirstColumn="0" w:firstRowLastColumn="0" w:lastRowFirstColumn="0" w:lastRowLastColumn="0"/>
            <w:tcW w:w="792" w:type="dxa"/>
            <w:vMerge/>
            <w:hideMark/>
          </w:tcPr>
          <w:p w14:paraId="2B6D52F8" w14:textId="77777777" w:rsidR="00FD32D5" w:rsidRPr="00B95A9D" w:rsidRDefault="00FD32D5" w:rsidP="005A7661">
            <w:pPr>
              <w:rPr>
                <w:rFonts w:asciiTheme="minorHAnsi" w:hAnsiTheme="minorHAnsi" w:cstheme="minorHAnsi"/>
                <w:szCs w:val="20"/>
                <w:lang w:eastAsia="fr-FR" w:bidi="ar-SA"/>
              </w:rPr>
            </w:pPr>
          </w:p>
        </w:tc>
        <w:tc>
          <w:tcPr>
            <w:tcW w:w="2747" w:type="dxa"/>
            <w:vMerge/>
            <w:hideMark/>
          </w:tcPr>
          <w:p w14:paraId="1C14B4E9" w14:textId="77777777" w:rsidR="00FD32D5" w:rsidRPr="00B95A9D" w:rsidRDefault="00FD32D5" w:rsidP="005A766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p>
        </w:tc>
        <w:tc>
          <w:tcPr>
            <w:tcW w:w="1843" w:type="dxa"/>
            <w:shd w:val="clear" w:color="auto" w:fill="D9E2F3"/>
            <w:hideMark/>
          </w:tcPr>
          <w:p w14:paraId="616D06B0" w14:textId="77777777" w:rsidR="00FD32D5" w:rsidRPr="00B95A9D" w:rsidRDefault="00FD32D5" w:rsidP="005A766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Cs w:val="20"/>
                <w:lang w:eastAsia="fr-FR" w:bidi="ar-SA"/>
              </w:rPr>
            </w:pPr>
            <w:r w:rsidRPr="00B95A9D">
              <w:rPr>
                <w:rFonts w:asciiTheme="minorHAnsi" w:hAnsiTheme="minorHAnsi" w:cstheme="minorHAnsi"/>
                <w:b/>
                <w:bCs/>
                <w:szCs w:val="20"/>
                <w:lang w:eastAsia="fr-FR" w:bidi="ar-SA"/>
              </w:rPr>
              <w:t>Intensité</w:t>
            </w:r>
          </w:p>
        </w:tc>
        <w:tc>
          <w:tcPr>
            <w:tcW w:w="2436" w:type="dxa"/>
            <w:shd w:val="clear" w:color="auto" w:fill="D9E2F3"/>
          </w:tcPr>
          <w:p w14:paraId="2EA6890C" w14:textId="32379BC5" w:rsidR="00FD32D5" w:rsidRPr="00B95A9D" w:rsidRDefault="00FD32D5" w:rsidP="005A766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Pr>
                <w:rFonts w:asciiTheme="minorHAnsi" w:hAnsiTheme="minorHAnsi" w:cstheme="minorHAnsi"/>
                <w:szCs w:val="20"/>
                <w:lang w:eastAsia="fr-FR" w:bidi="ar-SA"/>
              </w:rPr>
              <w:t>P</w:t>
            </w:r>
            <w:r w:rsidRPr="004D67EF">
              <w:rPr>
                <w:rFonts w:asciiTheme="minorHAnsi" w:hAnsiTheme="minorHAnsi" w:cstheme="minorHAnsi"/>
                <w:szCs w:val="20"/>
                <w:lang w:eastAsia="fr-FR" w:bidi="ar-SA"/>
              </w:rPr>
              <w:t>erturbations comportementales ponctuelles sans incidence sur la survie ou la reproduction des espèces.</w:t>
            </w:r>
          </w:p>
        </w:tc>
        <w:tc>
          <w:tcPr>
            <w:tcW w:w="1242" w:type="dxa"/>
            <w:shd w:val="clear" w:color="auto" w:fill="D9E2F3"/>
          </w:tcPr>
          <w:p w14:paraId="45E4558B" w14:textId="427D46D1" w:rsidR="00FD32D5" w:rsidRPr="00B95A9D" w:rsidRDefault="00FD32D5" w:rsidP="005A766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Cs w:val="20"/>
                <w:lang w:eastAsia="fr-FR" w:bidi="ar-SA"/>
              </w:rPr>
            </w:pPr>
            <w:r>
              <w:rPr>
                <w:rFonts w:asciiTheme="minorHAnsi" w:hAnsiTheme="minorHAnsi" w:cstheme="minorHAnsi"/>
                <w:b/>
                <w:bCs/>
                <w:szCs w:val="20"/>
                <w:lang w:eastAsia="fr-FR" w:bidi="ar-SA"/>
              </w:rPr>
              <w:t>Faible</w:t>
            </w:r>
          </w:p>
        </w:tc>
      </w:tr>
      <w:tr w:rsidR="00FD32D5" w:rsidRPr="00B95A9D" w14:paraId="633E36B1" w14:textId="77777777" w:rsidTr="005A7661">
        <w:tc>
          <w:tcPr>
            <w:cnfStyle w:val="001000000000" w:firstRow="0" w:lastRow="0" w:firstColumn="1" w:lastColumn="0" w:oddVBand="0" w:evenVBand="0" w:oddHBand="0" w:evenHBand="0" w:firstRowFirstColumn="0" w:firstRowLastColumn="0" w:lastRowFirstColumn="0" w:lastRowLastColumn="0"/>
            <w:tcW w:w="792" w:type="dxa"/>
            <w:vMerge/>
          </w:tcPr>
          <w:p w14:paraId="55E0D484" w14:textId="77777777" w:rsidR="00FD32D5" w:rsidRPr="00B95A9D" w:rsidRDefault="00FD32D5" w:rsidP="005A7661">
            <w:pPr>
              <w:rPr>
                <w:rFonts w:asciiTheme="minorHAnsi" w:hAnsiTheme="minorHAnsi" w:cstheme="minorHAnsi"/>
                <w:szCs w:val="20"/>
                <w:lang w:eastAsia="fr-FR" w:bidi="ar-SA"/>
              </w:rPr>
            </w:pPr>
          </w:p>
        </w:tc>
        <w:tc>
          <w:tcPr>
            <w:tcW w:w="8268" w:type="dxa"/>
            <w:gridSpan w:val="4"/>
          </w:tcPr>
          <w:p w14:paraId="2D45A100" w14:textId="77777777" w:rsidR="00FD32D5" w:rsidRPr="00B95A9D" w:rsidRDefault="00FD32D5" w:rsidP="005A7661">
            <w:pPr>
              <w:spacing w:before="0" w:after="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Cs w:val="20"/>
                <w:lang w:eastAsia="fr-FR" w:bidi="ar-SA"/>
              </w:rPr>
            </w:pPr>
          </w:p>
        </w:tc>
      </w:tr>
      <w:tr w:rsidR="00FD32D5" w:rsidRPr="00B95A9D" w14:paraId="21AB9ADF" w14:textId="77777777" w:rsidTr="005A7661">
        <w:tc>
          <w:tcPr>
            <w:cnfStyle w:val="001000000000" w:firstRow="0" w:lastRow="0" w:firstColumn="1" w:lastColumn="0" w:oddVBand="0" w:evenVBand="0" w:oddHBand="0" w:evenHBand="0" w:firstRowFirstColumn="0" w:firstRowLastColumn="0" w:lastRowFirstColumn="0" w:lastRowLastColumn="0"/>
            <w:tcW w:w="792" w:type="dxa"/>
            <w:vMerge/>
          </w:tcPr>
          <w:p w14:paraId="64C51F42" w14:textId="77777777" w:rsidR="00FD32D5" w:rsidRPr="00B95A9D" w:rsidRDefault="00FD32D5" w:rsidP="005A7661">
            <w:pPr>
              <w:rPr>
                <w:rFonts w:asciiTheme="minorHAnsi" w:hAnsiTheme="minorHAnsi" w:cstheme="minorHAnsi"/>
                <w:szCs w:val="20"/>
                <w:lang w:eastAsia="fr-FR" w:bidi="ar-SA"/>
              </w:rPr>
            </w:pPr>
          </w:p>
        </w:tc>
        <w:tc>
          <w:tcPr>
            <w:tcW w:w="2747" w:type="dxa"/>
            <w:shd w:val="clear" w:color="auto" w:fill="B4C6E7" w:themeFill="accent1" w:themeFillTint="66"/>
            <w:vAlign w:val="center"/>
          </w:tcPr>
          <w:p w14:paraId="794D0396" w14:textId="77777777" w:rsidR="00FD32D5" w:rsidRPr="00B95A9D" w:rsidRDefault="00FD32D5" w:rsidP="005A766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sidRPr="00B95A9D">
              <w:rPr>
                <w:rFonts w:asciiTheme="minorHAnsi" w:hAnsiTheme="minorHAnsi" w:cstheme="minorHAnsi"/>
                <w:b/>
                <w:bCs/>
                <w:szCs w:val="20"/>
              </w:rPr>
              <w:t>Intensité de l’impact</w:t>
            </w:r>
          </w:p>
        </w:tc>
        <w:tc>
          <w:tcPr>
            <w:tcW w:w="1843" w:type="dxa"/>
            <w:shd w:val="clear" w:color="auto" w:fill="B4C6E7" w:themeFill="accent1" w:themeFillTint="66"/>
            <w:vAlign w:val="center"/>
          </w:tcPr>
          <w:p w14:paraId="1A8F7ED1" w14:textId="77777777" w:rsidR="00FD32D5" w:rsidRPr="00B95A9D" w:rsidRDefault="00FD32D5" w:rsidP="005A766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Cs w:val="20"/>
                <w:lang w:eastAsia="fr-FR" w:bidi="ar-SA"/>
              </w:rPr>
            </w:pPr>
            <w:r w:rsidRPr="00B95A9D">
              <w:rPr>
                <w:rFonts w:asciiTheme="minorHAnsi" w:hAnsiTheme="minorHAnsi" w:cstheme="minorHAnsi"/>
                <w:b/>
                <w:bCs/>
                <w:szCs w:val="20"/>
              </w:rPr>
              <w:t>Récepteurs</w:t>
            </w:r>
          </w:p>
        </w:tc>
        <w:tc>
          <w:tcPr>
            <w:tcW w:w="2436" w:type="dxa"/>
            <w:shd w:val="clear" w:color="auto" w:fill="B4C6E7" w:themeFill="accent1" w:themeFillTint="66"/>
            <w:vAlign w:val="center"/>
          </w:tcPr>
          <w:p w14:paraId="0E00CC01" w14:textId="77777777" w:rsidR="00FD32D5" w:rsidRPr="00B95A9D" w:rsidRDefault="00FD32D5" w:rsidP="005A766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sidRPr="00B95A9D">
              <w:rPr>
                <w:rFonts w:asciiTheme="minorHAnsi" w:hAnsiTheme="minorHAnsi" w:cstheme="minorHAnsi"/>
                <w:b/>
                <w:bCs/>
                <w:szCs w:val="20"/>
              </w:rPr>
              <w:t>Sensibilité</w:t>
            </w:r>
          </w:p>
        </w:tc>
        <w:tc>
          <w:tcPr>
            <w:tcW w:w="1242" w:type="dxa"/>
            <w:shd w:val="clear" w:color="auto" w:fill="B4C6E7" w:themeFill="accent1" w:themeFillTint="66"/>
            <w:vAlign w:val="center"/>
          </w:tcPr>
          <w:p w14:paraId="4F9EFF0E" w14:textId="77777777" w:rsidR="00FD32D5" w:rsidRPr="00B95A9D" w:rsidRDefault="00FD32D5" w:rsidP="005A766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Cs w:val="20"/>
                <w:lang w:eastAsia="fr-FR" w:bidi="ar-SA"/>
              </w:rPr>
            </w:pPr>
            <w:r w:rsidRPr="00B95A9D">
              <w:rPr>
                <w:rFonts w:asciiTheme="minorHAnsi" w:hAnsiTheme="minorHAnsi" w:cstheme="minorHAnsi"/>
                <w:b/>
                <w:bCs/>
                <w:szCs w:val="20"/>
              </w:rPr>
              <w:t>Importance de l’impact</w:t>
            </w:r>
          </w:p>
        </w:tc>
      </w:tr>
      <w:tr w:rsidR="00FD32D5" w:rsidRPr="00B95A9D" w14:paraId="5ADFC695" w14:textId="77777777" w:rsidTr="005A7661">
        <w:tc>
          <w:tcPr>
            <w:cnfStyle w:val="001000000000" w:firstRow="0" w:lastRow="0" w:firstColumn="1" w:lastColumn="0" w:oddVBand="0" w:evenVBand="0" w:oddHBand="0" w:evenHBand="0" w:firstRowFirstColumn="0" w:firstRowLastColumn="0" w:lastRowFirstColumn="0" w:lastRowLastColumn="0"/>
            <w:tcW w:w="792" w:type="dxa"/>
            <w:vMerge/>
          </w:tcPr>
          <w:p w14:paraId="4F612E3C" w14:textId="77777777" w:rsidR="00FD32D5" w:rsidRPr="00B95A9D" w:rsidRDefault="00FD32D5" w:rsidP="005A7661">
            <w:pPr>
              <w:rPr>
                <w:rFonts w:asciiTheme="minorHAnsi" w:hAnsiTheme="minorHAnsi" w:cstheme="minorHAnsi"/>
                <w:szCs w:val="20"/>
                <w:lang w:eastAsia="fr-FR" w:bidi="ar-SA"/>
              </w:rPr>
            </w:pPr>
          </w:p>
        </w:tc>
        <w:tc>
          <w:tcPr>
            <w:tcW w:w="2747" w:type="dxa"/>
            <w:vMerge w:val="restart"/>
            <w:vAlign w:val="center"/>
          </w:tcPr>
          <w:p w14:paraId="5E3789BD" w14:textId="60375866" w:rsidR="00FD32D5" w:rsidRPr="00B95A9D" w:rsidRDefault="00FD32D5" w:rsidP="005A766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Pr>
                <w:rFonts w:asciiTheme="minorHAnsi" w:hAnsiTheme="minorHAnsi" w:cstheme="minorHAnsi"/>
                <w:szCs w:val="20"/>
                <w:lang w:eastAsia="fr-FR" w:bidi="ar-SA"/>
              </w:rPr>
              <w:t>Faible</w:t>
            </w:r>
          </w:p>
        </w:tc>
        <w:tc>
          <w:tcPr>
            <w:tcW w:w="1843" w:type="dxa"/>
            <w:vAlign w:val="center"/>
          </w:tcPr>
          <w:p w14:paraId="13ABFE9D" w14:textId="0F34DD41" w:rsidR="00FD32D5" w:rsidRPr="00CF0282" w:rsidRDefault="00FD32D5" w:rsidP="005A766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sidRPr="00FD32D5">
              <w:rPr>
                <w:rFonts w:asciiTheme="minorHAnsi" w:hAnsiTheme="minorHAnsi" w:cstheme="minorHAnsi"/>
                <w:szCs w:val="20"/>
                <w:lang w:eastAsia="fr-FR" w:bidi="ar-SA"/>
              </w:rPr>
              <w:t xml:space="preserve">Avifaune commune </w:t>
            </w:r>
          </w:p>
        </w:tc>
        <w:tc>
          <w:tcPr>
            <w:tcW w:w="2436" w:type="dxa"/>
            <w:vAlign w:val="center"/>
          </w:tcPr>
          <w:p w14:paraId="4853968A" w14:textId="4C4EBE40" w:rsidR="00FD32D5" w:rsidRPr="00B95A9D" w:rsidRDefault="00FD32D5" w:rsidP="005A766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Pr>
                <w:rFonts w:asciiTheme="minorHAnsi" w:hAnsiTheme="minorHAnsi" w:cstheme="minorHAnsi"/>
                <w:szCs w:val="20"/>
                <w:lang w:eastAsia="fr-FR" w:bidi="ar-SA"/>
              </w:rPr>
              <w:t>Faible à moyenne</w:t>
            </w:r>
          </w:p>
        </w:tc>
        <w:tc>
          <w:tcPr>
            <w:tcW w:w="1242" w:type="dxa"/>
            <w:vAlign w:val="center"/>
          </w:tcPr>
          <w:p w14:paraId="49C30D3D" w14:textId="030243DE" w:rsidR="00FD32D5" w:rsidRPr="00B95A9D" w:rsidRDefault="00FD32D5" w:rsidP="005A766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Cs w:val="20"/>
                <w:lang w:eastAsia="fr-FR" w:bidi="ar-SA"/>
              </w:rPr>
            </w:pPr>
            <w:r>
              <w:rPr>
                <w:rFonts w:asciiTheme="minorHAnsi" w:hAnsiTheme="minorHAnsi" w:cstheme="minorHAnsi"/>
                <w:b/>
                <w:bCs/>
                <w:szCs w:val="20"/>
                <w:lang w:eastAsia="fr-FR" w:bidi="ar-SA"/>
              </w:rPr>
              <w:t>Négligeable à mineure</w:t>
            </w:r>
          </w:p>
        </w:tc>
      </w:tr>
      <w:tr w:rsidR="00FD32D5" w:rsidRPr="00B95A9D" w14:paraId="18236046" w14:textId="77777777" w:rsidTr="005A7661">
        <w:tc>
          <w:tcPr>
            <w:cnfStyle w:val="001000000000" w:firstRow="0" w:lastRow="0" w:firstColumn="1" w:lastColumn="0" w:oddVBand="0" w:evenVBand="0" w:oddHBand="0" w:evenHBand="0" w:firstRowFirstColumn="0" w:firstRowLastColumn="0" w:lastRowFirstColumn="0" w:lastRowLastColumn="0"/>
            <w:tcW w:w="792" w:type="dxa"/>
            <w:vMerge/>
          </w:tcPr>
          <w:p w14:paraId="303ACAF5" w14:textId="77777777" w:rsidR="00FD32D5" w:rsidRPr="00B95A9D" w:rsidRDefault="00FD32D5" w:rsidP="005A7661">
            <w:pPr>
              <w:rPr>
                <w:rFonts w:asciiTheme="minorHAnsi" w:hAnsiTheme="minorHAnsi" w:cstheme="minorHAnsi"/>
                <w:szCs w:val="20"/>
                <w:lang w:eastAsia="fr-FR" w:bidi="ar-SA"/>
              </w:rPr>
            </w:pPr>
          </w:p>
        </w:tc>
        <w:tc>
          <w:tcPr>
            <w:tcW w:w="2747" w:type="dxa"/>
            <w:vMerge/>
            <w:vAlign w:val="center"/>
          </w:tcPr>
          <w:p w14:paraId="5A88E880" w14:textId="77777777" w:rsidR="00FD32D5" w:rsidRDefault="00FD32D5" w:rsidP="005A766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p>
        </w:tc>
        <w:tc>
          <w:tcPr>
            <w:tcW w:w="1843" w:type="dxa"/>
            <w:vAlign w:val="center"/>
          </w:tcPr>
          <w:p w14:paraId="514C6BFD" w14:textId="41F5749F" w:rsidR="00FD32D5" w:rsidRPr="00CF0282" w:rsidRDefault="00FD32D5" w:rsidP="005A766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sidRPr="00FD32D5">
              <w:rPr>
                <w:rFonts w:asciiTheme="minorHAnsi" w:hAnsiTheme="minorHAnsi" w:cstheme="minorHAnsi"/>
                <w:szCs w:val="20"/>
                <w:lang w:eastAsia="fr-FR" w:bidi="ar-SA"/>
              </w:rPr>
              <w:t xml:space="preserve">Faune terrestre (petits </w:t>
            </w:r>
            <w:r w:rsidRPr="00FD32D5">
              <w:rPr>
                <w:rFonts w:asciiTheme="minorHAnsi" w:hAnsiTheme="minorHAnsi" w:cstheme="minorHAnsi"/>
                <w:szCs w:val="20"/>
                <w:lang w:eastAsia="fr-FR" w:bidi="ar-SA"/>
              </w:rPr>
              <w:lastRenderedPageBreak/>
              <w:t>mammifères, hérissons, reptiles)</w:t>
            </w:r>
          </w:p>
        </w:tc>
        <w:tc>
          <w:tcPr>
            <w:tcW w:w="2436" w:type="dxa"/>
            <w:vAlign w:val="center"/>
          </w:tcPr>
          <w:p w14:paraId="7BD79B8E" w14:textId="75390820" w:rsidR="00FD32D5" w:rsidRPr="00B95A9D" w:rsidRDefault="00FD32D5" w:rsidP="005A766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Pr>
                <w:rFonts w:asciiTheme="minorHAnsi" w:hAnsiTheme="minorHAnsi" w:cstheme="minorHAnsi"/>
                <w:szCs w:val="20"/>
                <w:lang w:eastAsia="fr-FR" w:bidi="ar-SA"/>
              </w:rPr>
              <w:lastRenderedPageBreak/>
              <w:t>Faible</w:t>
            </w:r>
          </w:p>
        </w:tc>
        <w:tc>
          <w:tcPr>
            <w:tcW w:w="1242" w:type="dxa"/>
            <w:vAlign w:val="center"/>
          </w:tcPr>
          <w:p w14:paraId="19777DD7" w14:textId="50797466" w:rsidR="00FD32D5" w:rsidRPr="00B95A9D" w:rsidRDefault="00FD32D5" w:rsidP="005A766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Cs w:val="20"/>
                <w:lang w:eastAsia="fr-FR" w:bidi="ar-SA"/>
              </w:rPr>
            </w:pPr>
            <w:r>
              <w:rPr>
                <w:rFonts w:asciiTheme="minorHAnsi" w:hAnsiTheme="minorHAnsi" w:cstheme="minorHAnsi"/>
                <w:b/>
                <w:bCs/>
                <w:szCs w:val="20"/>
                <w:lang w:eastAsia="fr-FR" w:bidi="ar-SA"/>
              </w:rPr>
              <w:t>Négligeable</w:t>
            </w:r>
          </w:p>
        </w:tc>
      </w:tr>
    </w:tbl>
    <w:p w14:paraId="0D2AD131" w14:textId="5566936C" w:rsidR="00740DB9" w:rsidRPr="00740DB9" w:rsidRDefault="00740DB9" w:rsidP="0001633E">
      <w:pPr>
        <w:pStyle w:val="AltTitle2"/>
        <w:numPr>
          <w:ilvl w:val="0"/>
          <w:numId w:val="106"/>
        </w:numPr>
      </w:pPr>
      <w:r>
        <w:lastRenderedPageBreak/>
        <w:t>Risque d’a</w:t>
      </w:r>
      <w:r w:rsidRPr="00740DB9">
        <w:t>ttraction de la faune opportuniste (oiseaux, rongeurs)</w:t>
      </w:r>
    </w:p>
    <w:p w14:paraId="0711593A" w14:textId="2A2C2E9A" w:rsidR="00740DB9" w:rsidRDefault="00740DB9" w:rsidP="00740DB9">
      <w:r w:rsidRPr="00740DB9">
        <w:t xml:space="preserve">Les espaces ouverts et les éventuelles sources de nourriture ou d’eau résiduelle peuvent </w:t>
      </w:r>
      <w:r w:rsidRPr="004637C7">
        <w:t>attirer des espèces opportunistes</w:t>
      </w:r>
      <w:r w:rsidRPr="00740DB9">
        <w:t xml:space="preserve"> telles que pigeons, moineaux, corneilles, rats ou hérissons.</w:t>
      </w:r>
    </w:p>
    <w:p w14:paraId="3EA7FEB9" w14:textId="32D3EBFF" w:rsidR="00740DB9" w:rsidRPr="00740DB9" w:rsidRDefault="00740DB9" w:rsidP="00740DB9">
      <w:r w:rsidRPr="00740DB9">
        <w:t xml:space="preserve">Dans un environnement déjà exploité, ce phénomène peut </w:t>
      </w:r>
      <w:r w:rsidRPr="004637C7">
        <w:t>favoriser une surreprésentation d’espèces généralistes</w:t>
      </w:r>
      <w:r w:rsidRPr="00740DB9">
        <w:t>, sans valeur écologique mais pouvant interférer avec les activités aéroportuaires.</w:t>
      </w:r>
    </w:p>
    <w:p w14:paraId="57AE81E9" w14:textId="77777777" w:rsidR="00740DB9" w:rsidRPr="00740DB9" w:rsidRDefault="00740DB9" w:rsidP="00740DB9">
      <w:r w:rsidRPr="00740DB9">
        <w:t xml:space="preserve">La </w:t>
      </w:r>
      <w:r w:rsidRPr="004637C7">
        <w:t>probabilité d’occurrence</w:t>
      </w:r>
      <w:r w:rsidRPr="00740DB9">
        <w:t xml:space="preserve"> est </w:t>
      </w:r>
      <w:r w:rsidRPr="004637C7">
        <w:t>probable</w:t>
      </w:r>
      <w:r w:rsidRPr="00740DB9">
        <w:t xml:space="preserve">, et la </w:t>
      </w:r>
      <w:r w:rsidRPr="004637C7">
        <w:t>gravité des conséquences</w:t>
      </w:r>
      <w:r w:rsidRPr="00740DB9">
        <w:t xml:space="preserve"> est </w:t>
      </w:r>
      <w:r w:rsidRPr="004637C7">
        <w:t>modérée</w:t>
      </w:r>
      <w:r w:rsidRPr="00740DB9">
        <w:t>, en raison du risque d’encombrement ou de nuisance au sein des zones de service.</w:t>
      </w:r>
    </w:p>
    <w:p w14:paraId="4DE3C258" w14:textId="6B91E942" w:rsidR="00740DB9" w:rsidRDefault="00740DB9" w:rsidP="00740DB9">
      <w:r w:rsidRPr="00740DB9">
        <w:t>L’</w:t>
      </w:r>
      <w:r w:rsidRPr="004637C7">
        <w:t>évaluation globale du risque</w:t>
      </w:r>
      <w:r w:rsidRPr="00740DB9">
        <w:t xml:space="preserve"> est donc </w:t>
      </w:r>
      <w:r w:rsidRPr="004637C7">
        <w:t>modérée</w:t>
      </w:r>
      <w:r w:rsidRPr="00740DB9">
        <w:t>.</w:t>
      </w:r>
    </w:p>
    <w:tbl>
      <w:tblPr>
        <w:tblStyle w:val="TableauGrille1Clair-Accentuation111"/>
        <w:tblW w:w="0" w:type="auto"/>
        <w:tblLook w:val="04A0" w:firstRow="1" w:lastRow="0" w:firstColumn="1" w:lastColumn="0" w:noHBand="0" w:noVBand="1"/>
      </w:tblPr>
      <w:tblGrid>
        <w:gridCol w:w="1616"/>
        <w:gridCol w:w="2379"/>
        <w:gridCol w:w="1583"/>
        <w:gridCol w:w="2516"/>
        <w:gridCol w:w="966"/>
      </w:tblGrid>
      <w:tr w:rsidR="00936919" w:rsidRPr="00B95A9D" w14:paraId="6826A6EA" w14:textId="77777777" w:rsidTr="005A766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70FE3282" w14:textId="77777777" w:rsidR="005B3289" w:rsidRPr="00B95A9D" w:rsidRDefault="005B3289" w:rsidP="005A7661">
            <w:pPr>
              <w:rPr>
                <w:szCs w:val="20"/>
              </w:rPr>
            </w:pPr>
            <w:r w:rsidRPr="002C2301">
              <w:rPr>
                <w:rFonts w:eastAsiaTheme="majorEastAsia"/>
                <w:szCs w:val="20"/>
              </w:rPr>
              <w:t>Risque</w:t>
            </w:r>
          </w:p>
        </w:tc>
        <w:tc>
          <w:tcPr>
            <w:tcW w:w="0" w:type="auto"/>
          </w:tcPr>
          <w:p w14:paraId="62E4AC2C" w14:textId="77777777" w:rsidR="005B3289" w:rsidRPr="00B95A9D" w:rsidRDefault="005B3289" w:rsidP="005A7661">
            <w:pPr>
              <w:cnfStyle w:val="100000000000" w:firstRow="1" w:lastRow="0" w:firstColumn="0" w:lastColumn="0" w:oddVBand="0" w:evenVBand="0" w:oddHBand="0" w:evenHBand="0" w:firstRowFirstColumn="0" w:firstRowLastColumn="0" w:lastRowFirstColumn="0" w:lastRowLastColumn="0"/>
              <w:rPr>
                <w:szCs w:val="20"/>
              </w:rPr>
            </w:pPr>
            <w:r w:rsidRPr="002C2301">
              <w:rPr>
                <w:rFonts w:eastAsiaTheme="majorEastAsia"/>
                <w:szCs w:val="20"/>
              </w:rPr>
              <w:t>Activités génératrices</w:t>
            </w:r>
          </w:p>
        </w:tc>
        <w:tc>
          <w:tcPr>
            <w:tcW w:w="0" w:type="auto"/>
          </w:tcPr>
          <w:p w14:paraId="79ADF311" w14:textId="77777777" w:rsidR="005B3289" w:rsidRPr="00B95A9D" w:rsidRDefault="005B3289" w:rsidP="005A7661">
            <w:pPr>
              <w:cnfStyle w:val="100000000000" w:firstRow="1" w:lastRow="0" w:firstColumn="0" w:lastColumn="0" w:oddVBand="0" w:evenVBand="0" w:oddHBand="0" w:evenHBand="0" w:firstRowFirstColumn="0" w:firstRowLastColumn="0" w:lastRowFirstColumn="0" w:lastRowLastColumn="0"/>
              <w:rPr>
                <w:szCs w:val="20"/>
              </w:rPr>
            </w:pPr>
            <w:r w:rsidRPr="002C2301">
              <w:rPr>
                <w:rFonts w:eastAsiaTheme="majorEastAsia"/>
                <w:szCs w:val="20"/>
              </w:rPr>
              <w:t>Critère</w:t>
            </w:r>
          </w:p>
        </w:tc>
        <w:tc>
          <w:tcPr>
            <w:tcW w:w="0" w:type="auto"/>
          </w:tcPr>
          <w:p w14:paraId="2152C046" w14:textId="77777777" w:rsidR="005B3289" w:rsidRPr="00B95A9D" w:rsidRDefault="005B3289" w:rsidP="005A7661">
            <w:pPr>
              <w:cnfStyle w:val="100000000000" w:firstRow="1" w:lastRow="0" w:firstColumn="0" w:lastColumn="0" w:oddVBand="0" w:evenVBand="0" w:oddHBand="0" w:evenHBand="0" w:firstRowFirstColumn="0" w:firstRowLastColumn="0" w:lastRowFirstColumn="0" w:lastRowLastColumn="0"/>
              <w:rPr>
                <w:szCs w:val="20"/>
              </w:rPr>
            </w:pPr>
            <w:r w:rsidRPr="002C2301">
              <w:rPr>
                <w:rFonts w:eastAsiaTheme="majorEastAsia"/>
                <w:szCs w:val="20"/>
              </w:rPr>
              <w:t>Justification</w:t>
            </w:r>
          </w:p>
        </w:tc>
        <w:tc>
          <w:tcPr>
            <w:tcW w:w="0" w:type="auto"/>
          </w:tcPr>
          <w:p w14:paraId="7EA702E2" w14:textId="77777777" w:rsidR="005B3289" w:rsidRPr="00B95A9D" w:rsidRDefault="005B3289" w:rsidP="005A7661">
            <w:pPr>
              <w:cnfStyle w:val="100000000000" w:firstRow="1" w:lastRow="0" w:firstColumn="0" w:lastColumn="0" w:oddVBand="0" w:evenVBand="0" w:oddHBand="0" w:evenHBand="0" w:firstRowFirstColumn="0" w:firstRowLastColumn="0" w:lastRowFirstColumn="0" w:lastRowLastColumn="0"/>
              <w:rPr>
                <w:szCs w:val="20"/>
              </w:rPr>
            </w:pPr>
            <w:r w:rsidRPr="002C2301">
              <w:rPr>
                <w:rFonts w:eastAsiaTheme="majorEastAsia"/>
                <w:szCs w:val="20"/>
              </w:rPr>
              <w:t>Niveau</w:t>
            </w:r>
          </w:p>
        </w:tc>
      </w:tr>
      <w:tr w:rsidR="00936919" w:rsidRPr="00B95A9D" w14:paraId="4D782BCB" w14:textId="77777777" w:rsidTr="005A7661">
        <w:tc>
          <w:tcPr>
            <w:cnfStyle w:val="001000000000" w:firstRow="0" w:lastRow="0" w:firstColumn="1" w:lastColumn="0" w:oddVBand="0" w:evenVBand="0" w:oddHBand="0" w:evenHBand="0" w:firstRowFirstColumn="0" w:firstRowLastColumn="0" w:lastRowFirstColumn="0" w:lastRowLastColumn="0"/>
            <w:tcW w:w="0" w:type="auto"/>
            <w:vMerge w:val="restart"/>
          </w:tcPr>
          <w:p w14:paraId="2DDE40F1" w14:textId="76F69339" w:rsidR="005B3289" w:rsidRPr="00B95A9D" w:rsidRDefault="00936919" w:rsidP="005A7661">
            <w:pPr>
              <w:rPr>
                <w:szCs w:val="20"/>
              </w:rPr>
            </w:pPr>
            <w:r w:rsidRPr="00936919">
              <w:rPr>
                <w:szCs w:val="20"/>
              </w:rPr>
              <w:t xml:space="preserve">Attraction de la faune opportuniste </w:t>
            </w:r>
          </w:p>
        </w:tc>
        <w:tc>
          <w:tcPr>
            <w:tcW w:w="0" w:type="auto"/>
            <w:vMerge w:val="restart"/>
          </w:tcPr>
          <w:p w14:paraId="426E2089" w14:textId="29699A68" w:rsidR="005B3289" w:rsidRPr="00B95A9D" w:rsidRDefault="00936919" w:rsidP="005A7661">
            <w:pPr>
              <w:cnfStyle w:val="000000000000" w:firstRow="0" w:lastRow="0" w:firstColumn="0" w:lastColumn="0" w:oddVBand="0" w:evenVBand="0" w:oddHBand="0" w:evenHBand="0" w:firstRowFirstColumn="0" w:firstRowLastColumn="0" w:lastRowFirstColumn="0" w:lastRowLastColumn="0"/>
              <w:rPr>
                <w:szCs w:val="20"/>
              </w:rPr>
            </w:pPr>
            <w:r w:rsidRPr="00936919">
              <w:rPr>
                <w:szCs w:val="20"/>
              </w:rPr>
              <w:t>Entretien des zones, gestion des déchets, présence d’eau stagnante ou de nourriture résiduelle</w:t>
            </w:r>
          </w:p>
        </w:tc>
        <w:tc>
          <w:tcPr>
            <w:tcW w:w="0" w:type="auto"/>
            <w:hideMark/>
          </w:tcPr>
          <w:p w14:paraId="15E31072" w14:textId="77777777" w:rsidR="005B3289" w:rsidRPr="00B95A9D" w:rsidRDefault="005B3289" w:rsidP="005A7661">
            <w:pPr>
              <w:cnfStyle w:val="000000000000" w:firstRow="0" w:lastRow="0" w:firstColumn="0" w:lastColumn="0" w:oddVBand="0" w:evenVBand="0" w:oddHBand="0" w:evenHBand="0" w:firstRowFirstColumn="0" w:firstRowLastColumn="0" w:lastRowFirstColumn="0" w:lastRowLastColumn="0"/>
              <w:rPr>
                <w:szCs w:val="20"/>
              </w:rPr>
            </w:pPr>
            <w:r w:rsidRPr="00B95A9D">
              <w:rPr>
                <w:rFonts w:eastAsiaTheme="majorEastAsia"/>
                <w:b/>
                <w:bCs/>
                <w:szCs w:val="20"/>
              </w:rPr>
              <w:t>Probabilité d’occurrence</w:t>
            </w:r>
          </w:p>
        </w:tc>
        <w:tc>
          <w:tcPr>
            <w:tcW w:w="0" w:type="auto"/>
          </w:tcPr>
          <w:p w14:paraId="42FAB5BD" w14:textId="7DEC9F21" w:rsidR="005B3289" w:rsidRPr="00B95A9D" w:rsidRDefault="00936919" w:rsidP="005A7661">
            <w:pPr>
              <w:cnfStyle w:val="000000000000" w:firstRow="0" w:lastRow="0" w:firstColumn="0" w:lastColumn="0" w:oddVBand="0" w:evenVBand="0" w:oddHBand="0" w:evenHBand="0" w:firstRowFirstColumn="0" w:firstRowLastColumn="0" w:lastRowFirstColumn="0" w:lastRowLastColumn="0"/>
              <w:rPr>
                <w:szCs w:val="20"/>
              </w:rPr>
            </w:pPr>
            <w:r>
              <w:rPr>
                <w:szCs w:val="20"/>
              </w:rPr>
              <w:t>C</w:t>
            </w:r>
            <w:r w:rsidRPr="00936919">
              <w:rPr>
                <w:szCs w:val="20"/>
              </w:rPr>
              <w:t>es espèces colonisent aisément les environnements anthropisés.</w:t>
            </w:r>
          </w:p>
        </w:tc>
        <w:tc>
          <w:tcPr>
            <w:tcW w:w="0" w:type="auto"/>
          </w:tcPr>
          <w:p w14:paraId="271AE2B6" w14:textId="54F30662" w:rsidR="005B3289" w:rsidRPr="00B95A9D" w:rsidRDefault="00936919" w:rsidP="005A7661">
            <w:pPr>
              <w:cnfStyle w:val="000000000000" w:firstRow="0" w:lastRow="0" w:firstColumn="0" w:lastColumn="0" w:oddVBand="0" w:evenVBand="0" w:oddHBand="0" w:evenHBand="0" w:firstRowFirstColumn="0" w:firstRowLastColumn="0" w:lastRowFirstColumn="0" w:lastRowLastColumn="0"/>
              <w:rPr>
                <w:szCs w:val="20"/>
              </w:rPr>
            </w:pPr>
            <w:r>
              <w:rPr>
                <w:szCs w:val="20"/>
              </w:rPr>
              <w:t>Probable</w:t>
            </w:r>
          </w:p>
        </w:tc>
      </w:tr>
      <w:tr w:rsidR="00936919" w:rsidRPr="00B95A9D" w14:paraId="659EE3FA" w14:textId="77777777" w:rsidTr="005A7661">
        <w:tc>
          <w:tcPr>
            <w:cnfStyle w:val="001000000000" w:firstRow="0" w:lastRow="0" w:firstColumn="1" w:lastColumn="0" w:oddVBand="0" w:evenVBand="0" w:oddHBand="0" w:evenHBand="0" w:firstRowFirstColumn="0" w:firstRowLastColumn="0" w:lastRowFirstColumn="0" w:lastRowLastColumn="0"/>
            <w:tcW w:w="0" w:type="auto"/>
            <w:vMerge/>
          </w:tcPr>
          <w:p w14:paraId="1634F61F" w14:textId="77777777" w:rsidR="005B3289" w:rsidRPr="00B95A9D" w:rsidRDefault="005B3289" w:rsidP="005A7661">
            <w:pPr>
              <w:rPr>
                <w:szCs w:val="20"/>
              </w:rPr>
            </w:pPr>
          </w:p>
        </w:tc>
        <w:tc>
          <w:tcPr>
            <w:tcW w:w="0" w:type="auto"/>
            <w:vMerge/>
          </w:tcPr>
          <w:p w14:paraId="08D2C1E8" w14:textId="77777777" w:rsidR="005B3289" w:rsidRPr="00B95A9D" w:rsidRDefault="005B3289" w:rsidP="005A7661">
            <w:pPr>
              <w:cnfStyle w:val="000000000000" w:firstRow="0" w:lastRow="0" w:firstColumn="0" w:lastColumn="0" w:oddVBand="0" w:evenVBand="0" w:oddHBand="0" w:evenHBand="0" w:firstRowFirstColumn="0" w:firstRowLastColumn="0" w:lastRowFirstColumn="0" w:lastRowLastColumn="0"/>
              <w:rPr>
                <w:szCs w:val="20"/>
              </w:rPr>
            </w:pPr>
          </w:p>
        </w:tc>
        <w:tc>
          <w:tcPr>
            <w:tcW w:w="0" w:type="auto"/>
            <w:hideMark/>
          </w:tcPr>
          <w:p w14:paraId="18658F11" w14:textId="77777777" w:rsidR="005B3289" w:rsidRPr="00B95A9D" w:rsidRDefault="005B3289" w:rsidP="005A7661">
            <w:pPr>
              <w:cnfStyle w:val="000000000000" w:firstRow="0" w:lastRow="0" w:firstColumn="0" w:lastColumn="0" w:oddVBand="0" w:evenVBand="0" w:oddHBand="0" w:evenHBand="0" w:firstRowFirstColumn="0" w:firstRowLastColumn="0" w:lastRowFirstColumn="0" w:lastRowLastColumn="0"/>
              <w:rPr>
                <w:szCs w:val="20"/>
              </w:rPr>
            </w:pPr>
            <w:r w:rsidRPr="00B95A9D">
              <w:rPr>
                <w:rFonts w:eastAsiaTheme="majorEastAsia"/>
                <w:b/>
                <w:bCs/>
                <w:szCs w:val="20"/>
              </w:rPr>
              <w:t>Gravité des conséquences</w:t>
            </w:r>
          </w:p>
        </w:tc>
        <w:tc>
          <w:tcPr>
            <w:tcW w:w="0" w:type="auto"/>
          </w:tcPr>
          <w:p w14:paraId="0B2E31FB" w14:textId="78DA4857" w:rsidR="005B3289" w:rsidRPr="00B95A9D" w:rsidRDefault="004D67EF" w:rsidP="005A7661">
            <w:pPr>
              <w:cnfStyle w:val="000000000000" w:firstRow="0" w:lastRow="0" w:firstColumn="0" w:lastColumn="0" w:oddVBand="0" w:evenVBand="0" w:oddHBand="0" w:evenHBand="0" w:firstRowFirstColumn="0" w:firstRowLastColumn="0" w:lastRowFirstColumn="0" w:lastRowLastColumn="0"/>
              <w:rPr>
                <w:szCs w:val="20"/>
              </w:rPr>
            </w:pPr>
            <w:r w:rsidRPr="00936919">
              <w:rPr>
                <w:szCs w:val="20"/>
              </w:rPr>
              <w:t>Déséquilibre</w:t>
            </w:r>
            <w:r w:rsidR="00936919" w:rsidRPr="00936919">
              <w:rPr>
                <w:szCs w:val="20"/>
              </w:rPr>
              <w:t xml:space="preserve"> faunistique local, risque sanitaire mineur, gêne opérationnelle possible.</w:t>
            </w:r>
          </w:p>
        </w:tc>
        <w:tc>
          <w:tcPr>
            <w:tcW w:w="0" w:type="auto"/>
          </w:tcPr>
          <w:p w14:paraId="06402382" w14:textId="577CEBA2" w:rsidR="005B3289" w:rsidRPr="00B95A9D" w:rsidRDefault="00936919" w:rsidP="005A7661">
            <w:pPr>
              <w:cnfStyle w:val="000000000000" w:firstRow="0" w:lastRow="0" w:firstColumn="0" w:lastColumn="0" w:oddVBand="0" w:evenVBand="0" w:oddHBand="0" w:evenHBand="0" w:firstRowFirstColumn="0" w:firstRowLastColumn="0" w:lastRowFirstColumn="0" w:lastRowLastColumn="0"/>
              <w:rPr>
                <w:szCs w:val="20"/>
              </w:rPr>
            </w:pPr>
            <w:r>
              <w:rPr>
                <w:szCs w:val="20"/>
              </w:rPr>
              <w:t>Modérée</w:t>
            </w:r>
          </w:p>
        </w:tc>
      </w:tr>
      <w:tr w:rsidR="00936919" w:rsidRPr="00B95A9D" w14:paraId="58E9BD08" w14:textId="77777777" w:rsidTr="005A7661">
        <w:tc>
          <w:tcPr>
            <w:cnfStyle w:val="001000000000" w:firstRow="0" w:lastRow="0" w:firstColumn="1" w:lastColumn="0" w:oddVBand="0" w:evenVBand="0" w:oddHBand="0" w:evenHBand="0" w:firstRowFirstColumn="0" w:firstRowLastColumn="0" w:lastRowFirstColumn="0" w:lastRowLastColumn="0"/>
            <w:tcW w:w="0" w:type="auto"/>
            <w:vMerge/>
          </w:tcPr>
          <w:p w14:paraId="1B9CDF0A" w14:textId="77777777" w:rsidR="005B3289" w:rsidRPr="00B95A9D" w:rsidRDefault="005B3289" w:rsidP="005A7661">
            <w:pPr>
              <w:rPr>
                <w:szCs w:val="20"/>
              </w:rPr>
            </w:pPr>
          </w:p>
        </w:tc>
        <w:tc>
          <w:tcPr>
            <w:tcW w:w="0" w:type="auto"/>
            <w:vMerge/>
          </w:tcPr>
          <w:p w14:paraId="6C2547B7" w14:textId="77777777" w:rsidR="005B3289" w:rsidRPr="00B95A9D" w:rsidRDefault="005B3289" w:rsidP="005A7661">
            <w:pPr>
              <w:cnfStyle w:val="000000000000" w:firstRow="0" w:lastRow="0" w:firstColumn="0" w:lastColumn="0" w:oddVBand="0" w:evenVBand="0" w:oddHBand="0" w:evenHBand="0" w:firstRowFirstColumn="0" w:firstRowLastColumn="0" w:lastRowFirstColumn="0" w:lastRowLastColumn="0"/>
              <w:rPr>
                <w:szCs w:val="20"/>
              </w:rPr>
            </w:pPr>
          </w:p>
        </w:tc>
        <w:tc>
          <w:tcPr>
            <w:tcW w:w="0" w:type="auto"/>
            <w:hideMark/>
          </w:tcPr>
          <w:p w14:paraId="6D3D2373" w14:textId="77777777" w:rsidR="005B3289" w:rsidRPr="00B95A9D" w:rsidRDefault="005B3289" w:rsidP="005A7661">
            <w:pPr>
              <w:cnfStyle w:val="000000000000" w:firstRow="0" w:lastRow="0" w:firstColumn="0" w:lastColumn="0" w:oddVBand="0" w:evenVBand="0" w:oddHBand="0" w:evenHBand="0" w:firstRowFirstColumn="0" w:firstRowLastColumn="0" w:lastRowFirstColumn="0" w:lastRowLastColumn="0"/>
              <w:rPr>
                <w:szCs w:val="20"/>
              </w:rPr>
            </w:pPr>
            <w:r w:rsidRPr="00B95A9D">
              <w:rPr>
                <w:rFonts w:eastAsiaTheme="majorEastAsia"/>
                <w:b/>
                <w:bCs/>
                <w:szCs w:val="20"/>
              </w:rPr>
              <w:t>Évaluation globale du risque</w:t>
            </w:r>
          </w:p>
        </w:tc>
        <w:tc>
          <w:tcPr>
            <w:tcW w:w="0" w:type="auto"/>
          </w:tcPr>
          <w:p w14:paraId="5D85E93D" w14:textId="261C5F99" w:rsidR="005B3289" w:rsidRPr="00B95A9D" w:rsidRDefault="00936919" w:rsidP="005A7661">
            <w:pPr>
              <w:cnfStyle w:val="000000000000" w:firstRow="0" w:lastRow="0" w:firstColumn="0" w:lastColumn="0" w:oddVBand="0" w:evenVBand="0" w:oddHBand="0" w:evenHBand="0" w:firstRowFirstColumn="0" w:firstRowLastColumn="0" w:lastRowFirstColumn="0" w:lastRowLastColumn="0"/>
              <w:rPr>
                <w:szCs w:val="20"/>
              </w:rPr>
            </w:pPr>
            <w:r w:rsidRPr="00936919">
              <w:rPr>
                <w:szCs w:val="20"/>
              </w:rPr>
              <w:t>Ce risque est courant mais maîtrisable via un plan de gestion de la faune opportuniste.</w:t>
            </w:r>
          </w:p>
        </w:tc>
        <w:tc>
          <w:tcPr>
            <w:tcW w:w="0" w:type="auto"/>
          </w:tcPr>
          <w:p w14:paraId="7551A9BD" w14:textId="0D61FCB8" w:rsidR="005B3289" w:rsidRPr="00B95A9D" w:rsidRDefault="00936919" w:rsidP="005A7661">
            <w:pPr>
              <w:cnfStyle w:val="000000000000" w:firstRow="0" w:lastRow="0" w:firstColumn="0" w:lastColumn="0" w:oddVBand="0" w:evenVBand="0" w:oddHBand="0" w:evenHBand="0" w:firstRowFirstColumn="0" w:firstRowLastColumn="0" w:lastRowFirstColumn="0" w:lastRowLastColumn="0"/>
              <w:rPr>
                <w:szCs w:val="20"/>
              </w:rPr>
            </w:pPr>
            <w:r>
              <w:rPr>
                <w:szCs w:val="20"/>
              </w:rPr>
              <w:t>Modérée</w:t>
            </w:r>
          </w:p>
        </w:tc>
      </w:tr>
    </w:tbl>
    <w:p w14:paraId="36D51378" w14:textId="50B55D6E" w:rsidR="00740DB9" w:rsidRDefault="00740DB9" w:rsidP="0001633E">
      <w:pPr>
        <w:pStyle w:val="AltTitle2"/>
        <w:numPr>
          <w:ilvl w:val="0"/>
          <w:numId w:val="106"/>
        </w:numPr>
      </w:pPr>
      <w:r>
        <w:t>Risque de c</w:t>
      </w:r>
      <w:r w:rsidRPr="00740DB9">
        <w:t>ollisions aviaires ponctuelle</w:t>
      </w:r>
    </w:p>
    <w:p w14:paraId="290EF276" w14:textId="77777777" w:rsidR="00740DB9" w:rsidRPr="00740DB9" w:rsidRDefault="00740DB9" w:rsidP="00740DB9">
      <w:r w:rsidRPr="00740DB9">
        <w:t xml:space="preserve">Comme pour toute infrastructure aéroportuaire, un </w:t>
      </w:r>
      <w:r w:rsidRPr="004637C7">
        <w:t>risque résiduel de collisions entre oiseaux et aéronefs</w:t>
      </w:r>
      <w:r w:rsidRPr="00740DB9">
        <w:t xml:space="preserve"> subsiste.</w:t>
      </w:r>
    </w:p>
    <w:p w14:paraId="0F1005FF" w14:textId="29363033" w:rsidR="00740DB9" w:rsidRPr="00740DB9" w:rsidRDefault="00740DB9" w:rsidP="00740DB9">
      <w:r w:rsidRPr="00740DB9">
        <w:t xml:space="preserve">Les espèces les plus concernées sont les </w:t>
      </w:r>
      <w:r w:rsidRPr="004637C7">
        <w:t>oiseaux de taille moyenne</w:t>
      </w:r>
      <w:r w:rsidR="001902D0">
        <w:t>.</w:t>
      </w:r>
    </w:p>
    <w:p w14:paraId="030425CC" w14:textId="04717131" w:rsidR="00740DB9" w:rsidRPr="00740DB9" w:rsidRDefault="00740DB9" w:rsidP="00740DB9">
      <w:r w:rsidRPr="00740DB9">
        <w:t xml:space="preserve">Ce risque est </w:t>
      </w:r>
      <w:r w:rsidRPr="004637C7">
        <w:t>accidentel, direct et localisé</w:t>
      </w:r>
      <w:r w:rsidRPr="00740DB9">
        <w:t xml:space="preserve"> au niveau des pistes et de leurs abords immédiats.</w:t>
      </w:r>
    </w:p>
    <w:p w14:paraId="3A1CCA81" w14:textId="77777777" w:rsidR="00740DB9" w:rsidRPr="00740DB9" w:rsidRDefault="00740DB9" w:rsidP="00740DB9">
      <w:r w:rsidRPr="00740DB9">
        <w:t xml:space="preserve">La </w:t>
      </w:r>
      <w:r w:rsidRPr="004637C7">
        <w:t>probabilité d’occurrence</w:t>
      </w:r>
      <w:r w:rsidRPr="00740DB9">
        <w:t xml:space="preserve"> est </w:t>
      </w:r>
      <w:r w:rsidRPr="004637C7">
        <w:t>occasionnelle</w:t>
      </w:r>
      <w:r w:rsidRPr="00740DB9">
        <w:t>, grâce aux dispositifs d’effarouchement et de surveillance déjà opérationnels sur le site.</w:t>
      </w:r>
    </w:p>
    <w:p w14:paraId="748D906C" w14:textId="77777777" w:rsidR="00740DB9" w:rsidRPr="00740DB9" w:rsidRDefault="00740DB9" w:rsidP="00740DB9">
      <w:r w:rsidRPr="00740DB9">
        <w:t xml:space="preserve">La </w:t>
      </w:r>
      <w:r w:rsidRPr="004637C7">
        <w:t>gravité</w:t>
      </w:r>
      <w:r w:rsidRPr="00740DB9">
        <w:t xml:space="preserve"> est </w:t>
      </w:r>
      <w:r w:rsidRPr="004637C7">
        <w:t>majeure</w:t>
      </w:r>
      <w:r w:rsidRPr="00740DB9">
        <w:t>, compte tenu de l’enjeu de sécurité aérienne.</w:t>
      </w:r>
    </w:p>
    <w:p w14:paraId="512AB7DC" w14:textId="4B76B910" w:rsidR="00740DB9" w:rsidRPr="00740DB9" w:rsidRDefault="00740DB9" w:rsidP="00740DB9">
      <w:r w:rsidRPr="00740DB9">
        <w:t xml:space="preserve">Le </w:t>
      </w:r>
      <w:r w:rsidRPr="004637C7">
        <w:t>niveau global du risque</w:t>
      </w:r>
      <w:r w:rsidRPr="00740DB9">
        <w:t xml:space="preserve"> est donc </w:t>
      </w:r>
      <w:r w:rsidRPr="004637C7">
        <w:t>élevé</w:t>
      </w:r>
      <w:r w:rsidRPr="00740DB9">
        <w:t xml:space="preserve">, mais </w:t>
      </w:r>
      <w:r w:rsidRPr="004637C7">
        <w:t>maîtrisé</w:t>
      </w:r>
      <w:r w:rsidRPr="00740DB9">
        <w:t xml:space="preserve"> dans le cadre du </w:t>
      </w:r>
      <w:r w:rsidRPr="004637C7">
        <w:t>Plan de gestion du risque aviaire</w:t>
      </w:r>
      <w:r w:rsidRPr="00740DB9">
        <w:t>, déjà intégré à la gestion environnementale de l’aéroport.</w:t>
      </w:r>
    </w:p>
    <w:p w14:paraId="6EDC47F7" w14:textId="77777777" w:rsidR="00740DB9" w:rsidRDefault="00740DB9" w:rsidP="00740DB9">
      <w:r w:rsidRPr="00740DB9">
        <w:t xml:space="preserve">Ce risque ne relève pas d’un impact écologique significatif, mais d’un </w:t>
      </w:r>
      <w:r w:rsidRPr="004637C7">
        <w:t>enjeu de cohabitation faune/infrastructure</w:t>
      </w:r>
      <w:r w:rsidRPr="00740DB9">
        <w:t xml:space="preserve"> géré de manière permanente par le service environnement et la direction d’exploitation.</w:t>
      </w:r>
    </w:p>
    <w:tbl>
      <w:tblPr>
        <w:tblStyle w:val="TableauGrille1Clair-Accentuation111"/>
        <w:tblW w:w="0" w:type="auto"/>
        <w:tblLook w:val="04A0" w:firstRow="1" w:lastRow="0" w:firstColumn="1" w:lastColumn="0" w:noHBand="0" w:noVBand="1"/>
      </w:tblPr>
      <w:tblGrid>
        <w:gridCol w:w="1319"/>
        <w:gridCol w:w="2259"/>
        <w:gridCol w:w="1575"/>
        <w:gridCol w:w="2563"/>
        <w:gridCol w:w="1344"/>
      </w:tblGrid>
      <w:tr w:rsidR="002B6F4F" w:rsidRPr="00B95A9D" w14:paraId="62F76D79" w14:textId="77777777" w:rsidTr="005A766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5CA5E8E5" w14:textId="77777777" w:rsidR="005B3289" w:rsidRPr="00B95A9D" w:rsidRDefault="005B3289" w:rsidP="005A7661">
            <w:pPr>
              <w:rPr>
                <w:szCs w:val="20"/>
              </w:rPr>
            </w:pPr>
            <w:r w:rsidRPr="002C2301">
              <w:rPr>
                <w:rFonts w:eastAsiaTheme="majorEastAsia"/>
                <w:szCs w:val="20"/>
              </w:rPr>
              <w:lastRenderedPageBreak/>
              <w:t>Risque</w:t>
            </w:r>
          </w:p>
        </w:tc>
        <w:tc>
          <w:tcPr>
            <w:tcW w:w="0" w:type="auto"/>
          </w:tcPr>
          <w:p w14:paraId="63E48C0E" w14:textId="77777777" w:rsidR="005B3289" w:rsidRPr="00B95A9D" w:rsidRDefault="005B3289" w:rsidP="005A7661">
            <w:pPr>
              <w:cnfStyle w:val="100000000000" w:firstRow="1" w:lastRow="0" w:firstColumn="0" w:lastColumn="0" w:oddVBand="0" w:evenVBand="0" w:oddHBand="0" w:evenHBand="0" w:firstRowFirstColumn="0" w:firstRowLastColumn="0" w:lastRowFirstColumn="0" w:lastRowLastColumn="0"/>
              <w:rPr>
                <w:szCs w:val="20"/>
              </w:rPr>
            </w:pPr>
            <w:r w:rsidRPr="002C2301">
              <w:rPr>
                <w:rFonts w:eastAsiaTheme="majorEastAsia"/>
                <w:szCs w:val="20"/>
              </w:rPr>
              <w:t>Activités génératrices</w:t>
            </w:r>
          </w:p>
        </w:tc>
        <w:tc>
          <w:tcPr>
            <w:tcW w:w="0" w:type="auto"/>
          </w:tcPr>
          <w:p w14:paraId="51DDE062" w14:textId="77777777" w:rsidR="005B3289" w:rsidRPr="00B95A9D" w:rsidRDefault="005B3289" w:rsidP="005A7661">
            <w:pPr>
              <w:cnfStyle w:val="100000000000" w:firstRow="1" w:lastRow="0" w:firstColumn="0" w:lastColumn="0" w:oddVBand="0" w:evenVBand="0" w:oddHBand="0" w:evenHBand="0" w:firstRowFirstColumn="0" w:firstRowLastColumn="0" w:lastRowFirstColumn="0" w:lastRowLastColumn="0"/>
              <w:rPr>
                <w:szCs w:val="20"/>
              </w:rPr>
            </w:pPr>
            <w:r w:rsidRPr="002C2301">
              <w:rPr>
                <w:rFonts w:eastAsiaTheme="majorEastAsia"/>
                <w:szCs w:val="20"/>
              </w:rPr>
              <w:t>Critère</w:t>
            </w:r>
          </w:p>
        </w:tc>
        <w:tc>
          <w:tcPr>
            <w:tcW w:w="0" w:type="auto"/>
          </w:tcPr>
          <w:p w14:paraId="47F5EDA3" w14:textId="77777777" w:rsidR="005B3289" w:rsidRPr="00B95A9D" w:rsidRDefault="005B3289" w:rsidP="005A7661">
            <w:pPr>
              <w:cnfStyle w:val="100000000000" w:firstRow="1" w:lastRow="0" w:firstColumn="0" w:lastColumn="0" w:oddVBand="0" w:evenVBand="0" w:oddHBand="0" w:evenHBand="0" w:firstRowFirstColumn="0" w:firstRowLastColumn="0" w:lastRowFirstColumn="0" w:lastRowLastColumn="0"/>
              <w:rPr>
                <w:szCs w:val="20"/>
              </w:rPr>
            </w:pPr>
            <w:r w:rsidRPr="002C2301">
              <w:rPr>
                <w:rFonts w:eastAsiaTheme="majorEastAsia"/>
                <w:szCs w:val="20"/>
              </w:rPr>
              <w:t>Justification</w:t>
            </w:r>
          </w:p>
        </w:tc>
        <w:tc>
          <w:tcPr>
            <w:tcW w:w="0" w:type="auto"/>
          </w:tcPr>
          <w:p w14:paraId="40AA5E7B" w14:textId="77777777" w:rsidR="005B3289" w:rsidRPr="00B95A9D" w:rsidRDefault="005B3289" w:rsidP="005A7661">
            <w:pPr>
              <w:cnfStyle w:val="100000000000" w:firstRow="1" w:lastRow="0" w:firstColumn="0" w:lastColumn="0" w:oddVBand="0" w:evenVBand="0" w:oddHBand="0" w:evenHBand="0" w:firstRowFirstColumn="0" w:firstRowLastColumn="0" w:lastRowFirstColumn="0" w:lastRowLastColumn="0"/>
              <w:rPr>
                <w:szCs w:val="20"/>
              </w:rPr>
            </w:pPr>
            <w:r w:rsidRPr="002C2301">
              <w:rPr>
                <w:rFonts w:eastAsiaTheme="majorEastAsia"/>
                <w:szCs w:val="20"/>
              </w:rPr>
              <w:t>Niveau</w:t>
            </w:r>
          </w:p>
        </w:tc>
      </w:tr>
      <w:tr w:rsidR="002B6F4F" w:rsidRPr="00B95A9D" w14:paraId="5845312B" w14:textId="77777777" w:rsidTr="005A7661">
        <w:tc>
          <w:tcPr>
            <w:cnfStyle w:val="001000000000" w:firstRow="0" w:lastRow="0" w:firstColumn="1" w:lastColumn="0" w:oddVBand="0" w:evenVBand="0" w:oddHBand="0" w:evenHBand="0" w:firstRowFirstColumn="0" w:firstRowLastColumn="0" w:lastRowFirstColumn="0" w:lastRowLastColumn="0"/>
            <w:tcW w:w="0" w:type="auto"/>
            <w:vMerge w:val="restart"/>
          </w:tcPr>
          <w:p w14:paraId="492F9E29" w14:textId="7045739C" w:rsidR="005B3289" w:rsidRPr="00B95A9D" w:rsidRDefault="002B6F4F" w:rsidP="005A7661">
            <w:pPr>
              <w:rPr>
                <w:szCs w:val="20"/>
              </w:rPr>
            </w:pPr>
            <w:r w:rsidRPr="002B6F4F">
              <w:rPr>
                <w:szCs w:val="20"/>
              </w:rPr>
              <w:t>Collision aviaire ponctuelle</w:t>
            </w:r>
          </w:p>
        </w:tc>
        <w:tc>
          <w:tcPr>
            <w:tcW w:w="0" w:type="auto"/>
            <w:vMerge w:val="restart"/>
          </w:tcPr>
          <w:p w14:paraId="42D3779E" w14:textId="4AA9E526" w:rsidR="005B3289" w:rsidRPr="00B95A9D" w:rsidRDefault="002B6F4F" w:rsidP="005A7661">
            <w:pPr>
              <w:cnfStyle w:val="000000000000" w:firstRow="0" w:lastRow="0" w:firstColumn="0" w:lastColumn="0" w:oddVBand="0" w:evenVBand="0" w:oddHBand="0" w:evenHBand="0" w:firstRowFirstColumn="0" w:firstRowLastColumn="0" w:lastRowFirstColumn="0" w:lastRowLastColumn="0"/>
              <w:rPr>
                <w:szCs w:val="20"/>
              </w:rPr>
            </w:pPr>
            <w:r w:rsidRPr="002B6F4F">
              <w:rPr>
                <w:szCs w:val="20"/>
              </w:rPr>
              <w:t>Mouvement des aéronefs lors des décollages, roulages et stationnements</w:t>
            </w:r>
          </w:p>
        </w:tc>
        <w:tc>
          <w:tcPr>
            <w:tcW w:w="0" w:type="auto"/>
            <w:hideMark/>
          </w:tcPr>
          <w:p w14:paraId="45A0B161" w14:textId="77777777" w:rsidR="005B3289" w:rsidRPr="00B95A9D" w:rsidRDefault="005B3289" w:rsidP="005A7661">
            <w:pPr>
              <w:cnfStyle w:val="000000000000" w:firstRow="0" w:lastRow="0" w:firstColumn="0" w:lastColumn="0" w:oddVBand="0" w:evenVBand="0" w:oddHBand="0" w:evenHBand="0" w:firstRowFirstColumn="0" w:firstRowLastColumn="0" w:lastRowFirstColumn="0" w:lastRowLastColumn="0"/>
              <w:rPr>
                <w:szCs w:val="20"/>
              </w:rPr>
            </w:pPr>
            <w:r w:rsidRPr="00B95A9D">
              <w:rPr>
                <w:rFonts w:eastAsiaTheme="majorEastAsia"/>
                <w:b/>
                <w:bCs/>
                <w:szCs w:val="20"/>
              </w:rPr>
              <w:t>Probabilité d’occurrence</w:t>
            </w:r>
          </w:p>
        </w:tc>
        <w:tc>
          <w:tcPr>
            <w:tcW w:w="0" w:type="auto"/>
          </w:tcPr>
          <w:p w14:paraId="40C1ACEE" w14:textId="239391B0" w:rsidR="005B3289" w:rsidRPr="00B95A9D" w:rsidRDefault="002B6F4F" w:rsidP="005A7661">
            <w:pPr>
              <w:cnfStyle w:val="000000000000" w:firstRow="0" w:lastRow="0" w:firstColumn="0" w:lastColumn="0" w:oddVBand="0" w:evenVBand="0" w:oddHBand="0" w:evenHBand="0" w:firstRowFirstColumn="0" w:firstRowLastColumn="0" w:lastRowFirstColumn="0" w:lastRowLastColumn="0"/>
              <w:rPr>
                <w:szCs w:val="20"/>
              </w:rPr>
            </w:pPr>
            <w:r>
              <w:rPr>
                <w:szCs w:val="20"/>
              </w:rPr>
              <w:t>P</w:t>
            </w:r>
            <w:r w:rsidRPr="002B6F4F">
              <w:rPr>
                <w:szCs w:val="20"/>
              </w:rPr>
              <w:t>résence d’oiseaux régulière mais contrôlée par les dispositifs d’effarouchement.</w:t>
            </w:r>
          </w:p>
        </w:tc>
        <w:tc>
          <w:tcPr>
            <w:tcW w:w="0" w:type="auto"/>
          </w:tcPr>
          <w:p w14:paraId="6114065E" w14:textId="2588B46B" w:rsidR="005B3289" w:rsidRPr="00B95A9D" w:rsidRDefault="002B6F4F" w:rsidP="005A7661">
            <w:pPr>
              <w:cnfStyle w:val="000000000000" w:firstRow="0" w:lastRow="0" w:firstColumn="0" w:lastColumn="0" w:oddVBand="0" w:evenVBand="0" w:oddHBand="0" w:evenHBand="0" w:firstRowFirstColumn="0" w:firstRowLastColumn="0" w:lastRowFirstColumn="0" w:lastRowLastColumn="0"/>
              <w:rPr>
                <w:szCs w:val="20"/>
              </w:rPr>
            </w:pPr>
            <w:r>
              <w:rPr>
                <w:szCs w:val="20"/>
              </w:rPr>
              <w:t>Occasionnelle</w:t>
            </w:r>
          </w:p>
        </w:tc>
      </w:tr>
      <w:tr w:rsidR="002B6F4F" w:rsidRPr="00B95A9D" w14:paraId="3B6DFDB2" w14:textId="77777777" w:rsidTr="005A7661">
        <w:tc>
          <w:tcPr>
            <w:cnfStyle w:val="001000000000" w:firstRow="0" w:lastRow="0" w:firstColumn="1" w:lastColumn="0" w:oddVBand="0" w:evenVBand="0" w:oddHBand="0" w:evenHBand="0" w:firstRowFirstColumn="0" w:firstRowLastColumn="0" w:lastRowFirstColumn="0" w:lastRowLastColumn="0"/>
            <w:tcW w:w="0" w:type="auto"/>
            <w:vMerge/>
          </w:tcPr>
          <w:p w14:paraId="717C2379" w14:textId="77777777" w:rsidR="005B3289" w:rsidRPr="00B95A9D" w:rsidRDefault="005B3289" w:rsidP="005A7661">
            <w:pPr>
              <w:rPr>
                <w:szCs w:val="20"/>
              </w:rPr>
            </w:pPr>
          </w:p>
        </w:tc>
        <w:tc>
          <w:tcPr>
            <w:tcW w:w="0" w:type="auto"/>
            <w:vMerge/>
          </w:tcPr>
          <w:p w14:paraId="4269C587" w14:textId="77777777" w:rsidR="005B3289" w:rsidRPr="00B95A9D" w:rsidRDefault="005B3289" w:rsidP="005A7661">
            <w:pPr>
              <w:cnfStyle w:val="000000000000" w:firstRow="0" w:lastRow="0" w:firstColumn="0" w:lastColumn="0" w:oddVBand="0" w:evenVBand="0" w:oddHBand="0" w:evenHBand="0" w:firstRowFirstColumn="0" w:firstRowLastColumn="0" w:lastRowFirstColumn="0" w:lastRowLastColumn="0"/>
              <w:rPr>
                <w:szCs w:val="20"/>
              </w:rPr>
            </w:pPr>
          </w:p>
        </w:tc>
        <w:tc>
          <w:tcPr>
            <w:tcW w:w="0" w:type="auto"/>
            <w:hideMark/>
          </w:tcPr>
          <w:p w14:paraId="6ECBAD86" w14:textId="77777777" w:rsidR="005B3289" w:rsidRPr="00B95A9D" w:rsidRDefault="005B3289" w:rsidP="005A7661">
            <w:pPr>
              <w:cnfStyle w:val="000000000000" w:firstRow="0" w:lastRow="0" w:firstColumn="0" w:lastColumn="0" w:oddVBand="0" w:evenVBand="0" w:oddHBand="0" w:evenHBand="0" w:firstRowFirstColumn="0" w:firstRowLastColumn="0" w:lastRowFirstColumn="0" w:lastRowLastColumn="0"/>
              <w:rPr>
                <w:szCs w:val="20"/>
              </w:rPr>
            </w:pPr>
            <w:r w:rsidRPr="00B95A9D">
              <w:rPr>
                <w:rFonts w:eastAsiaTheme="majorEastAsia"/>
                <w:b/>
                <w:bCs/>
                <w:szCs w:val="20"/>
              </w:rPr>
              <w:t>Gravité des conséquences</w:t>
            </w:r>
          </w:p>
        </w:tc>
        <w:tc>
          <w:tcPr>
            <w:tcW w:w="0" w:type="auto"/>
          </w:tcPr>
          <w:p w14:paraId="16CCD396" w14:textId="0FA6E3D7" w:rsidR="005B3289" w:rsidRPr="00B95A9D" w:rsidRDefault="002B6F4F" w:rsidP="005A7661">
            <w:pPr>
              <w:cnfStyle w:val="000000000000" w:firstRow="0" w:lastRow="0" w:firstColumn="0" w:lastColumn="0" w:oddVBand="0" w:evenVBand="0" w:oddHBand="0" w:evenHBand="0" w:firstRowFirstColumn="0" w:firstRowLastColumn="0" w:lastRowFirstColumn="0" w:lastRowLastColumn="0"/>
              <w:rPr>
                <w:szCs w:val="20"/>
              </w:rPr>
            </w:pPr>
            <w:r>
              <w:rPr>
                <w:szCs w:val="20"/>
              </w:rPr>
              <w:t>E</w:t>
            </w:r>
            <w:r w:rsidRPr="002B6F4F">
              <w:rPr>
                <w:szCs w:val="20"/>
              </w:rPr>
              <w:t>njeu de sécurité aérienne et mortalité d’oiseaux possible.</w:t>
            </w:r>
          </w:p>
        </w:tc>
        <w:tc>
          <w:tcPr>
            <w:tcW w:w="0" w:type="auto"/>
          </w:tcPr>
          <w:p w14:paraId="4ADDD62B" w14:textId="3232BB11" w:rsidR="005B3289" w:rsidRPr="00B95A9D" w:rsidRDefault="002B6F4F" w:rsidP="005A7661">
            <w:pPr>
              <w:cnfStyle w:val="000000000000" w:firstRow="0" w:lastRow="0" w:firstColumn="0" w:lastColumn="0" w:oddVBand="0" w:evenVBand="0" w:oddHBand="0" w:evenHBand="0" w:firstRowFirstColumn="0" w:firstRowLastColumn="0" w:lastRowFirstColumn="0" w:lastRowLastColumn="0"/>
              <w:rPr>
                <w:szCs w:val="20"/>
              </w:rPr>
            </w:pPr>
            <w:r>
              <w:rPr>
                <w:szCs w:val="20"/>
              </w:rPr>
              <w:t>Majeure</w:t>
            </w:r>
          </w:p>
        </w:tc>
      </w:tr>
      <w:tr w:rsidR="002B6F4F" w:rsidRPr="00B95A9D" w14:paraId="461C6669" w14:textId="77777777" w:rsidTr="005A7661">
        <w:tc>
          <w:tcPr>
            <w:cnfStyle w:val="001000000000" w:firstRow="0" w:lastRow="0" w:firstColumn="1" w:lastColumn="0" w:oddVBand="0" w:evenVBand="0" w:oddHBand="0" w:evenHBand="0" w:firstRowFirstColumn="0" w:firstRowLastColumn="0" w:lastRowFirstColumn="0" w:lastRowLastColumn="0"/>
            <w:tcW w:w="0" w:type="auto"/>
            <w:vMerge/>
          </w:tcPr>
          <w:p w14:paraId="05AA79D9" w14:textId="77777777" w:rsidR="005B3289" w:rsidRPr="00B95A9D" w:rsidRDefault="005B3289" w:rsidP="005A7661">
            <w:pPr>
              <w:rPr>
                <w:szCs w:val="20"/>
              </w:rPr>
            </w:pPr>
          </w:p>
        </w:tc>
        <w:tc>
          <w:tcPr>
            <w:tcW w:w="0" w:type="auto"/>
            <w:vMerge/>
          </w:tcPr>
          <w:p w14:paraId="781127AF" w14:textId="77777777" w:rsidR="005B3289" w:rsidRPr="00B95A9D" w:rsidRDefault="005B3289" w:rsidP="005A7661">
            <w:pPr>
              <w:cnfStyle w:val="000000000000" w:firstRow="0" w:lastRow="0" w:firstColumn="0" w:lastColumn="0" w:oddVBand="0" w:evenVBand="0" w:oddHBand="0" w:evenHBand="0" w:firstRowFirstColumn="0" w:firstRowLastColumn="0" w:lastRowFirstColumn="0" w:lastRowLastColumn="0"/>
              <w:rPr>
                <w:szCs w:val="20"/>
              </w:rPr>
            </w:pPr>
          </w:p>
        </w:tc>
        <w:tc>
          <w:tcPr>
            <w:tcW w:w="0" w:type="auto"/>
            <w:hideMark/>
          </w:tcPr>
          <w:p w14:paraId="452C6B12" w14:textId="77777777" w:rsidR="005B3289" w:rsidRPr="00B95A9D" w:rsidRDefault="005B3289" w:rsidP="005A7661">
            <w:pPr>
              <w:cnfStyle w:val="000000000000" w:firstRow="0" w:lastRow="0" w:firstColumn="0" w:lastColumn="0" w:oddVBand="0" w:evenVBand="0" w:oddHBand="0" w:evenHBand="0" w:firstRowFirstColumn="0" w:firstRowLastColumn="0" w:lastRowFirstColumn="0" w:lastRowLastColumn="0"/>
              <w:rPr>
                <w:szCs w:val="20"/>
              </w:rPr>
            </w:pPr>
            <w:r w:rsidRPr="00B95A9D">
              <w:rPr>
                <w:rFonts w:eastAsiaTheme="majorEastAsia"/>
                <w:b/>
                <w:bCs/>
                <w:szCs w:val="20"/>
              </w:rPr>
              <w:t>Évaluation globale du risque</w:t>
            </w:r>
          </w:p>
        </w:tc>
        <w:tc>
          <w:tcPr>
            <w:tcW w:w="0" w:type="auto"/>
          </w:tcPr>
          <w:p w14:paraId="54146D2D" w14:textId="09F698C6" w:rsidR="005B3289" w:rsidRPr="00B95A9D" w:rsidRDefault="0088250D" w:rsidP="005A7661">
            <w:pPr>
              <w:cnfStyle w:val="000000000000" w:firstRow="0" w:lastRow="0" w:firstColumn="0" w:lastColumn="0" w:oddVBand="0" w:evenVBand="0" w:oddHBand="0" w:evenHBand="0" w:firstRowFirstColumn="0" w:firstRowLastColumn="0" w:lastRowFirstColumn="0" w:lastRowLastColumn="0"/>
              <w:rPr>
                <w:szCs w:val="20"/>
              </w:rPr>
            </w:pPr>
            <w:r w:rsidRPr="0088250D">
              <w:rPr>
                <w:szCs w:val="20"/>
              </w:rPr>
              <w:t>Risque permanent, mais géré par le Bird Hazard Management Plan.</w:t>
            </w:r>
          </w:p>
        </w:tc>
        <w:tc>
          <w:tcPr>
            <w:tcW w:w="0" w:type="auto"/>
          </w:tcPr>
          <w:p w14:paraId="2EAD36CF" w14:textId="5FF642BE" w:rsidR="005B3289" w:rsidRPr="00B95A9D" w:rsidRDefault="0088250D" w:rsidP="005A7661">
            <w:pPr>
              <w:cnfStyle w:val="000000000000" w:firstRow="0" w:lastRow="0" w:firstColumn="0" w:lastColumn="0" w:oddVBand="0" w:evenVBand="0" w:oddHBand="0" w:evenHBand="0" w:firstRowFirstColumn="0" w:firstRowLastColumn="0" w:lastRowFirstColumn="0" w:lastRowLastColumn="0"/>
              <w:rPr>
                <w:szCs w:val="20"/>
              </w:rPr>
            </w:pPr>
            <w:r>
              <w:rPr>
                <w:szCs w:val="20"/>
              </w:rPr>
              <w:t>Elevé</w:t>
            </w:r>
          </w:p>
        </w:tc>
      </w:tr>
    </w:tbl>
    <w:p w14:paraId="52695CDB" w14:textId="41DDB607" w:rsidR="00740DB9" w:rsidRDefault="00760471" w:rsidP="0001633E">
      <w:pPr>
        <w:pStyle w:val="AltTitle2"/>
        <w:numPr>
          <w:ilvl w:val="0"/>
          <w:numId w:val="106"/>
        </w:numPr>
      </w:pPr>
      <w:r>
        <w:t>Risque de c</w:t>
      </w:r>
      <w:r w:rsidRPr="00760471">
        <w:t>ollision avec la faune terrestre</w:t>
      </w:r>
    </w:p>
    <w:p w14:paraId="3A19EBEF" w14:textId="77777777" w:rsidR="006A5260" w:rsidRDefault="006A5260" w:rsidP="006A5260">
      <w:r>
        <w:t>Pendant la phase d’exploitation, les véhicules de service, de maintenance et d’approvisionnement circuleront quotidiennement sur les voies internes, les parkings techniques et les zones périphériques.</w:t>
      </w:r>
    </w:p>
    <w:p w14:paraId="0F7CFEF4" w14:textId="77777777" w:rsidR="006A5260" w:rsidRDefault="006A5260" w:rsidP="006A5260">
      <w:r>
        <w:t>Malgré la clôture complète de la plateforme, de petits animaux terrestres (hérissons, lézards, petits rongeurs, parfois serpents non venimeux) peuvent pénétrer accidentellement dans l’emprise aéroportuaire par les ouvertures de drainage, fossés ou portails techniques.</w:t>
      </w:r>
    </w:p>
    <w:p w14:paraId="3DA47EFC" w14:textId="77777777" w:rsidR="006A5260" w:rsidRDefault="006A5260" w:rsidP="006A5260">
      <w:r>
        <w:t>Le risque principal est la collision accidentelle avec ces animaux lors des déplacements de véhicules ou d’équipements mobiles.</w:t>
      </w:r>
    </w:p>
    <w:p w14:paraId="39CC3CF4" w14:textId="6AA86EEC" w:rsidR="00740DB9" w:rsidRDefault="006A5260" w:rsidP="006A5260">
      <w:r>
        <w:t>Ce type d’incident, bien que rare, entraîne la mortalité d’individus isolés et reflète un enjeu de bien-être animal et de gestion écologique du site.</w:t>
      </w:r>
    </w:p>
    <w:tbl>
      <w:tblPr>
        <w:tblStyle w:val="TableauGrille1Clair-Accentuation111"/>
        <w:tblW w:w="0" w:type="auto"/>
        <w:tblLook w:val="04A0" w:firstRow="1" w:lastRow="0" w:firstColumn="1" w:lastColumn="0" w:noHBand="0" w:noVBand="1"/>
      </w:tblPr>
      <w:tblGrid>
        <w:gridCol w:w="2127"/>
        <w:gridCol w:w="1672"/>
        <w:gridCol w:w="1476"/>
        <w:gridCol w:w="2441"/>
        <w:gridCol w:w="1344"/>
      </w:tblGrid>
      <w:tr w:rsidR="002B6F4F" w:rsidRPr="00B95A9D" w14:paraId="3D00FC41" w14:textId="77777777" w:rsidTr="005A766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2098EA2E" w14:textId="77777777" w:rsidR="005B3289" w:rsidRPr="00B95A9D" w:rsidRDefault="005B3289" w:rsidP="005A7661">
            <w:pPr>
              <w:rPr>
                <w:szCs w:val="20"/>
              </w:rPr>
            </w:pPr>
            <w:r w:rsidRPr="002C2301">
              <w:rPr>
                <w:rFonts w:eastAsiaTheme="majorEastAsia"/>
                <w:szCs w:val="20"/>
              </w:rPr>
              <w:t>Risque</w:t>
            </w:r>
          </w:p>
        </w:tc>
        <w:tc>
          <w:tcPr>
            <w:tcW w:w="0" w:type="auto"/>
          </w:tcPr>
          <w:p w14:paraId="255CA2F5" w14:textId="77777777" w:rsidR="005B3289" w:rsidRPr="00B95A9D" w:rsidRDefault="005B3289" w:rsidP="005A7661">
            <w:pPr>
              <w:cnfStyle w:val="100000000000" w:firstRow="1" w:lastRow="0" w:firstColumn="0" w:lastColumn="0" w:oddVBand="0" w:evenVBand="0" w:oddHBand="0" w:evenHBand="0" w:firstRowFirstColumn="0" w:firstRowLastColumn="0" w:lastRowFirstColumn="0" w:lastRowLastColumn="0"/>
              <w:rPr>
                <w:szCs w:val="20"/>
              </w:rPr>
            </w:pPr>
            <w:r w:rsidRPr="002C2301">
              <w:rPr>
                <w:rFonts w:eastAsiaTheme="majorEastAsia"/>
                <w:szCs w:val="20"/>
              </w:rPr>
              <w:t>Activités génératrices</w:t>
            </w:r>
          </w:p>
        </w:tc>
        <w:tc>
          <w:tcPr>
            <w:tcW w:w="0" w:type="auto"/>
          </w:tcPr>
          <w:p w14:paraId="6DE45CFB" w14:textId="77777777" w:rsidR="005B3289" w:rsidRPr="00B95A9D" w:rsidRDefault="005B3289" w:rsidP="005A7661">
            <w:pPr>
              <w:cnfStyle w:val="100000000000" w:firstRow="1" w:lastRow="0" w:firstColumn="0" w:lastColumn="0" w:oddVBand="0" w:evenVBand="0" w:oddHBand="0" w:evenHBand="0" w:firstRowFirstColumn="0" w:firstRowLastColumn="0" w:lastRowFirstColumn="0" w:lastRowLastColumn="0"/>
              <w:rPr>
                <w:szCs w:val="20"/>
              </w:rPr>
            </w:pPr>
            <w:r w:rsidRPr="002C2301">
              <w:rPr>
                <w:rFonts w:eastAsiaTheme="majorEastAsia"/>
                <w:szCs w:val="20"/>
              </w:rPr>
              <w:t>Critère</w:t>
            </w:r>
          </w:p>
        </w:tc>
        <w:tc>
          <w:tcPr>
            <w:tcW w:w="0" w:type="auto"/>
          </w:tcPr>
          <w:p w14:paraId="6CCFEA10" w14:textId="77777777" w:rsidR="005B3289" w:rsidRPr="00B95A9D" w:rsidRDefault="005B3289" w:rsidP="005A7661">
            <w:pPr>
              <w:cnfStyle w:val="100000000000" w:firstRow="1" w:lastRow="0" w:firstColumn="0" w:lastColumn="0" w:oddVBand="0" w:evenVBand="0" w:oddHBand="0" w:evenHBand="0" w:firstRowFirstColumn="0" w:firstRowLastColumn="0" w:lastRowFirstColumn="0" w:lastRowLastColumn="0"/>
              <w:rPr>
                <w:szCs w:val="20"/>
              </w:rPr>
            </w:pPr>
            <w:r w:rsidRPr="002C2301">
              <w:rPr>
                <w:rFonts w:eastAsiaTheme="majorEastAsia"/>
                <w:szCs w:val="20"/>
              </w:rPr>
              <w:t>Justification</w:t>
            </w:r>
          </w:p>
        </w:tc>
        <w:tc>
          <w:tcPr>
            <w:tcW w:w="0" w:type="auto"/>
          </w:tcPr>
          <w:p w14:paraId="7F5362C4" w14:textId="77777777" w:rsidR="005B3289" w:rsidRPr="00B95A9D" w:rsidRDefault="005B3289" w:rsidP="005A7661">
            <w:pPr>
              <w:cnfStyle w:val="100000000000" w:firstRow="1" w:lastRow="0" w:firstColumn="0" w:lastColumn="0" w:oddVBand="0" w:evenVBand="0" w:oddHBand="0" w:evenHBand="0" w:firstRowFirstColumn="0" w:firstRowLastColumn="0" w:lastRowFirstColumn="0" w:lastRowLastColumn="0"/>
              <w:rPr>
                <w:szCs w:val="20"/>
              </w:rPr>
            </w:pPr>
            <w:r w:rsidRPr="002C2301">
              <w:rPr>
                <w:rFonts w:eastAsiaTheme="majorEastAsia"/>
                <w:szCs w:val="20"/>
              </w:rPr>
              <w:t>Niveau</w:t>
            </w:r>
          </w:p>
        </w:tc>
      </w:tr>
      <w:tr w:rsidR="002B6F4F" w:rsidRPr="00B95A9D" w14:paraId="5A591638" w14:textId="77777777" w:rsidTr="005A7661">
        <w:tc>
          <w:tcPr>
            <w:cnfStyle w:val="001000000000" w:firstRow="0" w:lastRow="0" w:firstColumn="1" w:lastColumn="0" w:oddVBand="0" w:evenVBand="0" w:oddHBand="0" w:evenHBand="0" w:firstRowFirstColumn="0" w:firstRowLastColumn="0" w:lastRowFirstColumn="0" w:lastRowLastColumn="0"/>
            <w:tcW w:w="0" w:type="auto"/>
            <w:vMerge w:val="restart"/>
          </w:tcPr>
          <w:p w14:paraId="69DA179D" w14:textId="396DC131" w:rsidR="005B3289" w:rsidRPr="00B95A9D" w:rsidRDefault="00331860" w:rsidP="005A7661">
            <w:pPr>
              <w:rPr>
                <w:szCs w:val="20"/>
              </w:rPr>
            </w:pPr>
            <w:r w:rsidRPr="00331860">
              <w:rPr>
                <w:szCs w:val="20"/>
              </w:rPr>
              <w:t>Collision avec la faune terrestre (micromammifères, reptiles)</w:t>
            </w:r>
          </w:p>
        </w:tc>
        <w:tc>
          <w:tcPr>
            <w:tcW w:w="0" w:type="auto"/>
            <w:vMerge w:val="restart"/>
          </w:tcPr>
          <w:p w14:paraId="6EC8BF3E" w14:textId="6C0EC358" w:rsidR="005B3289" w:rsidRPr="00B95A9D" w:rsidRDefault="00331860" w:rsidP="005A7661">
            <w:pPr>
              <w:cnfStyle w:val="000000000000" w:firstRow="0" w:lastRow="0" w:firstColumn="0" w:lastColumn="0" w:oddVBand="0" w:evenVBand="0" w:oddHBand="0" w:evenHBand="0" w:firstRowFirstColumn="0" w:firstRowLastColumn="0" w:lastRowFirstColumn="0" w:lastRowLastColumn="0"/>
              <w:rPr>
                <w:szCs w:val="20"/>
              </w:rPr>
            </w:pPr>
            <w:r w:rsidRPr="00331860">
              <w:rPr>
                <w:szCs w:val="20"/>
              </w:rPr>
              <w:t>Circulation de véhicules et d’engins dans les voies internes et zones techniques</w:t>
            </w:r>
          </w:p>
        </w:tc>
        <w:tc>
          <w:tcPr>
            <w:tcW w:w="0" w:type="auto"/>
            <w:hideMark/>
          </w:tcPr>
          <w:p w14:paraId="265DAC3B" w14:textId="77777777" w:rsidR="005B3289" w:rsidRPr="00B95A9D" w:rsidRDefault="005B3289" w:rsidP="005A7661">
            <w:pPr>
              <w:cnfStyle w:val="000000000000" w:firstRow="0" w:lastRow="0" w:firstColumn="0" w:lastColumn="0" w:oddVBand="0" w:evenVBand="0" w:oddHBand="0" w:evenHBand="0" w:firstRowFirstColumn="0" w:firstRowLastColumn="0" w:lastRowFirstColumn="0" w:lastRowLastColumn="0"/>
              <w:rPr>
                <w:szCs w:val="20"/>
              </w:rPr>
            </w:pPr>
            <w:r w:rsidRPr="00B95A9D">
              <w:rPr>
                <w:rFonts w:eastAsiaTheme="majorEastAsia"/>
                <w:b/>
                <w:bCs/>
                <w:szCs w:val="20"/>
              </w:rPr>
              <w:t>Probabilité d’occurrence</w:t>
            </w:r>
          </w:p>
        </w:tc>
        <w:tc>
          <w:tcPr>
            <w:tcW w:w="0" w:type="auto"/>
          </w:tcPr>
          <w:p w14:paraId="72A50CE7" w14:textId="3EDC55DB" w:rsidR="005B3289" w:rsidRPr="00B95A9D" w:rsidRDefault="00331860" w:rsidP="005A7661">
            <w:pPr>
              <w:cnfStyle w:val="000000000000" w:firstRow="0" w:lastRow="0" w:firstColumn="0" w:lastColumn="0" w:oddVBand="0" w:evenVBand="0" w:oddHBand="0" w:evenHBand="0" w:firstRowFirstColumn="0" w:firstRowLastColumn="0" w:lastRowFirstColumn="0" w:lastRowLastColumn="0"/>
              <w:rPr>
                <w:szCs w:val="20"/>
              </w:rPr>
            </w:pPr>
            <w:r>
              <w:rPr>
                <w:szCs w:val="20"/>
              </w:rPr>
              <w:t>Q</w:t>
            </w:r>
            <w:r w:rsidRPr="00331860">
              <w:rPr>
                <w:szCs w:val="20"/>
              </w:rPr>
              <w:t>uelques incursions possibles par les fossés ou orifices de drainage.</w:t>
            </w:r>
          </w:p>
        </w:tc>
        <w:tc>
          <w:tcPr>
            <w:tcW w:w="0" w:type="auto"/>
          </w:tcPr>
          <w:p w14:paraId="40ECDFF8" w14:textId="72074923" w:rsidR="005B3289" w:rsidRPr="00B95A9D" w:rsidRDefault="00331860" w:rsidP="005A7661">
            <w:pPr>
              <w:cnfStyle w:val="000000000000" w:firstRow="0" w:lastRow="0" w:firstColumn="0" w:lastColumn="0" w:oddVBand="0" w:evenVBand="0" w:oddHBand="0" w:evenHBand="0" w:firstRowFirstColumn="0" w:firstRowLastColumn="0" w:lastRowFirstColumn="0" w:lastRowLastColumn="0"/>
              <w:rPr>
                <w:szCs w:val="20"/>
              </w:rPr>
            </w:pPr>
            <w:r>
              <w:rPr>
                <w:szCs w:val="20"/>
              </w:rPr>
              <w:t>Occasionnelle</w:t>
            </w:r>
          </w:p>
        </w:tc>
      </w:tr>
      <w:tr w:rsidR="002B6F4F" w:rsidRPr="00B95A9D" w14:paraId="76DB0517" w14:textId="77777777" w:rsidTr="005A7661">
        <w:tc>
          <w:tcPr>
            <w:cnfStyle w:val="001000000000" w:firstRow="0" w:lastRow="0" w:firstColumn="1" w:lastColumn="0" w:oddVBand="0" w:evenVBand="0" w:oddHBand="0" w:evenHBand="0" w:firstRowFirstColumn="0" w:firstRowLastColumn="0" w:lastRowFirstColumn="0" w:lastRowLastColumn="0"/>
            <w:tcW w:w="0" w:type="auto"/>
            <w:vMerge/>
          </w:tcPr>
          <w:p w14:paraId="26B6361E" w14:textId="77777777" w:rsidR="005B3289" w:rsidRPr="00B95A9D" w:rsidRDefault="005B3289" w:rsidP="005A7661">
            <w:pPr>
              <w:rPr>
                <w:szCs w:val="20"/>
              </w:rPr>
            </w:pPr>
          </w:p>
        </w:tc>
        <w:tc>
          <w:tcPr>
            <w:tcW w:w="0" w:type="auto"/>
            <w:vMerge/>
          </w:tcPr>
          <w:p w14:paraId="3746D339" w14:textId="77777777" w:rsidR="005B3289" w:rsidRPr="00B95A9D" w:rsidRDefault="005B3289" w:rsidP="005A7661">
            <w:pPr>
              <w:cnfStyle w:val="000000000000" w:firstRow="0" w:lastRow="0" w:firstColumn="0" w:lastColumn="0" w:oddVBand="0" w:evenVBand="0" w:oddHBand="0" w:evenHBand="0" w:firstRowFirstColumn="0" w:firstRowLastColumn="0" w:lastRowFirstColumn="0" w:lastRowLastColumn="0"/>
              <w:rPr>
                <w:szCs w:val="20"/>
              </w:rPr>
            </w:pPr>
          </w:p>
        </w:tc>
        <w:tc>
          <w:tcPr>
            <w:tcW w:w="0" w:type="auto"/>
            <w:hideMark/>
          </w:tcPr>
          <w:p w14:paraId="3321FFA2" w14:textId="77777777" w:rsidR="005B3289" w:rsidRPr="00B95A9D" w:rsidRDefault="005B3289" w:rsidP="005A7661">
            <w:pPr>
              <w:cnfStyle w:val="000000000000" w:firstRow="0" w:lastRow="0" w:firstColumn="0" w:lastColumn="0" w:oddVBand="0" w:evenVBand="0" w:oddHBand="0" w:evenHBand="0" w:firstRowFirstColumn="0" w:firstRowLastColumn="0" w:lastRowFirstColumn="0" w:lastRowLastColumn="0"/>
              <w:rPr>
                <w:szCs w:val="20"/>
              </w:rPr>
            </w:pPr>
            <w:r w:rsidRPr="00B95A9D">
              <w:rPr>
                <w:rFonts w:eastAsiaTheme="majorEastAsia"/>
                <w:b/>
                <w:bCs/>
                <w:szCs w:val="20"/>
              </w:rPr>
              <w:t>Gravité des conséquences</w:t>
            </w:r>
          </w:p>
        </w:tc>
        <w:tc>
          <w:tcPr>
            <w:tcW w:w="0" w:type="auto"/>
          </w:tcPr>
          <w:p w14:paraId="3A58C018" w14:textId="486D4666" w:rsidR="005B3289" w:rsidRPr="00B95A9D" w:rsidRDefault="00331860" w:rsidP="005A7661">
            <w:pPr>
              <w:cnfStyle w:val="000000000000" w:firstRow="0" w:lastRow="0" w:firstColumn="0" w:lastColumn="0" w:oddVBand="0" w:evenVBand="0" w:oddHBand="0" w:evenHBand="0" w:firstRowFirstColumn="0" w:firstRowLastColumn="0" w:lastRowFirstColumn="0" w:lastRowLastColumn="0"/>
              <w:rPr>
                <w:szCs w:val="20"/>
              </w:rPr>
            </w:pPr>
            <w:r>
              <w:rPr>
                <w:szCs w:val="20"/>
              </w:rPr>
              <w:t>M</w:t>
            </w:r>
            <w:r w:rsidRPr="00331860">
              <w:rPr>
                <w:szCs w:val="20"/>
              </w:rPr>
              <w:t>ortalité d’individus isolés d’espèces communes, sans effet populationnel.</w:t>
            </w:r>
          </w:p>
        </w:tc>
        <w:tc>
          <w:tcPr>
            <w:tcW w:w="0" w:type="auto"/>
          </w:tcPr>
          <w:p w14:paraId="79CE352D" w14:textId="7E9D9D01" w:rsidR="005B3289" w:rsidRPr="00B95A9D" w:rsidRDefault="00331860" w:rsidP="005A7661">
            <w:pPr>
              <w:cnfStyle w:val="000000000000" w:firstRow="0" w:lastRow="0" w:firstColumn="0" w:lastColumn="0" w:oddVBand="0" w:evenVBand="0" w:oddHBand="0" w:evenHBand="0" w:firstRowFirstColumn="0" w:firstRowLastColumn="0" w:lastRowFirstColumn="0" w:lastRowLastColumn="0"/>
              <w:rPr>
                <w:szCs w:val="20"/>
              </w:rPr>
            </w:pPr>
            <w:r>
              <w:rPr>
                <w:szCs w:val="20"/>
              </w:rPr>
              <w:t>Mineure</w:t>
            </w:r>
          </w:p>
        </w:tc>
      </w:tr>
      <w:tr w:rsidR="002B6F4F" w:rsidRPr="00B95A9D" w14:paraId="3A2032B9" w14:textId="77777777" w:rsidTr="005A7661">
        <w:tc>
          <w:tcPr>
            <w:cnfStyle w:val="001000000000" w:firstRow="0" w:lastRow="0" w:firstColumn="1" w:lastColumn="0" w:oddVBand="0" w:evenVBand="0" w:oddHBand="0" w:evenHBand="0" w:firstRowFirstColumn="0" w:firstRowLastColumn="0" w:lastRowFirstColumn="0" w:lastRowLastColumn="0"/>
            <w:tcW w:w="0" w:type="auto"/>
            <w:vMerge/>
          </w:tcPr>
          <w:p w14:paraId="4B5F4C66" w14:textId="77777777" w:rsidR="005B3289" w:rsidRPr="00B95A9D" w:rsidRDefault="005B3289" w:rsidP="005A7661">
            <w:pPr>
              <w:rPr>
                <w:szCs w:val="20"/>
              </w:rPr>
            </w:pPr>
          </w:p>
        </w:tc>
        <w:tc>
          <w:tcPr>
            <w:tcW w:w="0" w:type="auto"/>
            <w:vMerge/>
          </w:tcPr>
          <w:p w14:paraId="2202C770" w14:textId="77777777" w:rsidR="005B3289" w:rsidRPr="00B95A9D" w:rsidRDefault="005B3289" w:rsidP="005A7661">
            <w:pPr>
              <w:cnfStyle w:val="000000000000" w:firstRow="0" w:lastRow="0" w:firstColumn="0" w:lastColumn="0" w:oddVBand="0" w:evenVBand="0" w:oddHBand="0" w:evenHBand="0" w:firstRowFirstColumn="0" w:firstRowLastColumn="0" w:lastRowFirstColumn="0" w:lastRowLastColumn="0"/>
              <w:rPr>
                <w:szCs w:val="20"/>
              </w:rPr>
            </w:pPr>
          </w:p>
        </w:tc>
        <w:tc>
          <w:tcPr>
            <w:tcW w:w="0" w:type="auto"/>
            <w:hideMark/>
          </w:tcPr>
          <w:p w14:paraId="5FA9DA1E" w14:textId="77777777" w:rsidR="005B3289" w:rsidRPr="00B95A9D" w:rsidRDefault="005B3289" w:rsidP="005A7661">
            <w:pPr>
              <w:cnfStyle w:val="000000000000" w:firstRow="0" w:lastRow="0" w:firstColumn="0" w:lastColumn="0" w:oddVBand="0" w:evenVBand="0" w:oddHBand="0" w:evenHBand="0" w:firstRowFirstColumn="0" w:firstRowLastColumn="0" w:lastRowFirstColumn="0" w:lastRowLastColumn="0"/>
              <w:rPr>
                <w:szCs w:val="20"/>
              </w:rPr>
            </w:pPr>
            <w:r w:rsidRPr="00B95A9D">
              <w:rPr>
                <w:rFonts w:eastAsiaTheme="majorEastAsia"/>
                <w:b/>
                <w:bCs/>
                <w:szCs w:val="20"/>
              </w:rPr>
              <w:t>Évaluation globale du risque</w:t>
            </w:r>
          </w:p>
        </w:tc>
        <w:tc>
          <w:tcPr>
            <w:tcW w:w="0" w:type="auto"/>
          </w:tcPr>
          <w:p w14:paraId="1221A737" w14:textId="48C286F1" w:rsidR="005B3289" w:rsidRPr="00B95A9D" w:rsidRDefault="002B6F4F" w:rsidP="005A7661">
            <w:pPr>
              <w:cnfStyle w:val="000000000000" w:firstRow="0" w:lastRow="0" w:firstColumn="0" w:lastColumn="0" w:oddVBand="0" w:evenVBand="0" w:oddHBand="0" w:evenHBand="0" w:firstRowFirstColumn="0" w:firstRowLastColumn="0" w:lastRowFirstColumn="0" w:lastRowLastColumn="0"/>
              <w:rPr>
                <w:szCs w:val="20"/>
              </w:rPr>
            </w:pPr>
            <w:r w:rsidRPr="002B6F4F">
              <w:rPr>
                <w:szCs w:val="20"/>
              </w:rPr>
              <w:t xml:space="preserve">En combinant une probabilité </w:t>
            </w:r>
            <w:r>
              <w:rPr>
                <w:szCs w:val="20"/>
              </w:rPr>
              <w:t>occasionnelle</w:t>
            </w:r>
            <w:r w:rsidRPr="002B6F4F">
              <w:rPr>
                <w:szCs w:val="20"/>
              </w:rPr>
              <w:t xml:space="preserve"> et une gravité mineure, le risque est </w:t>
            </w:r>
            <w:r>
              <w:rPr>
                <w:szCs w:val="20"/>
              </w:rPr>
              <w:t xml:space="preserve">faible </w:t>
            </w:r>
            <w:r w:rsidRPr="002B6F4F">
              <w:rPr>
                <w:szCs w:val="20"/>
              </w:rPr>
              <w:t>selon la matrice de criticité. Il peut être maîtrisé par clôtures et inspections périodiques.</w:t>
            </w:r>
          </w:p>
        </w:tc>
        <w:tc>
          <w:tcPr>
            <w:tcW w:w="0" w:type="auto"/>
          </w:tcPr>
          <w:p w14:paraId="30189531" w14:textId="4D69AD3A" w:rsidR="005B3289" w:rsidRPr="00B95A9D" w:rsidRDefault="00331860" w:rsidP="005A7661">
            <w:pPr>
              <w:cnfStyle w:val="000000000000" w:firstRow="0" w:lastRow="0" w:firstColumn="0" w:lastColumn="0" w:oddVBand="0" w:evenVBand="0" w:oddHBand="0" w:evenHBand="0" w:firstRowFirstColumn="0" w:firstRowLastColumn="0" w:lastRowFirstColumn="0" w:lastRowLastColumn="0"/>
              <w:rPr>
                <w:szCs w:val="20"/>
              </w:rPr>
            </w:pPr>
            <w:r>
              <w:rPr>
                <w:szCs w:val="20"/>
              </w:rPr>
              <w:t>Faible</w:t>
            </w:r>
          </w:p>
        </w:tc>
      </w:tr>
    </w:tbl>
    <w:p w14:paraId="2AC77C6C" w14:textId="5F0DE0C2" w:rsidR="00E114F6" w:rsidRPr="00E114F6" w:rsidRDefault="00B62E99" w:rsidP="004637C7">
      <w:pPr>
        <w:pStyle w:val="Title5"/>
      </w:pPr>
      <w:bookmarkStart w:id="457" w:name="_bookmark196"/>
      <w:bookmarkEnd w:id="457"/>
      <w:r>
        <w:t>Mesures d’a</w:t>
      </w:r>
      <w:r w:rsidR="00E114F6" w:rsidRPr="00E114F6">
        <w:t>tténuation</w:t>
      </w:r>
    </w:p>
    <w:p w14:paraId="579853CF" w14:textId="77777777" w:rsidR="006078CF" w:rsidRDefault="00E114F6" w:rsidP="00B62E99">
      <w:r w:rsidRPr="00E114F6">
        <w:t>Les mesures d’atténuation pour la biodiversité de présentent en phase d’exploitation comme suit :</w:t>
      </w:r>
    </w:p>
    <w:p w14:paraId="022ED8DF" w14:textId="77777777" w:rsidR="006078CF" w:rsidRDefault="006078CF" w:rsidP="00B62E99"/>
    <w:p w14:paraId="6EB9D1B8" w14:textId="77777777" w:rsidR="006078CF" w:rsidRDefault="006078CF" w:rsidP="00B62E99">
      <w:pPr>
        <w:sectPr w:rsidR="006078CF" w:rsidSect="00FB08CF">
          <w:pgSz w:w="11906" w:h="16838"/>
          <w:pgMar w:top="1418" w:right="1418" w:bottom="1276" w:left="1418" w:header="680" w:footer="680" w:gutter="0"/>
          <w:cols w:space="708"/>
          <w:docGrid w:linePitch="360"/>
        </w:sectPr>
      </w:pPr>
    </w:p>
    <w:p w14:paraId="1611850C" w14:textId="4F8EDD7B" w:rsidR="00E114F6" w:rsidRPr="002A0860" w:rsidRDefault="00DF5E7A" w:rsidP="00DF5E7A">
      <w:pPr>
        <w:pStyle w:val="Lgende"/>
        <w:rPr>
          <w:b w:val="0"/>
          <w:bCs w:val="0"/>
          <w:lang w:val="fr-FR"/>
        </w:rPr>
      </w:pPr>
      <w:bookmarkStart w:id="458" w:name="_bookmark197"/>
      <w:bookmarkStart w:id="459" w:name="_Toc213404380"/>
      <w:bookmarkEnd w:id="458"/>
      <w:r w:rsidRPr="002A0860">
        <w:rPr>
          <w:lang w:val="fr-FR"/>
        </w:rPr>
        <w:lastRenderedPageBreak/>
        <w:t xml:space="preserve">Tableau </w:t>
      </w:r>
      <w:r>
        <w:fldChar w:fldCharType="begin"/>
      </w:r>
      <w:r w:rsidRPr="002A0860">
        <w:rPr>
          <w:lang w:val="fr-FR"/>
        </w:rPr>
        <w:instrText xml:space="preserve"> SEQ Tableau \* ARABIC </w:instrText>
      </w:r>
      <w:r>
        <w:fldChar w:fldCharType="separate"/>
      </w:r>
      <w:r w:rsidR="00274E71">
        <w:rPr>
          <w:noProof/>
          <w:lang w:val="fr-FR"/>
        </w:rPr>
        <w:t>58</w:t>
      </w:r>
      <w:r>
        <w:fldChar w:fldCharType="end"/>
      </w:r>
      <w:r>
        <w:rPr>
          <w:noProof/>
          <w:lang w:val="fr-FR"/>
        </w:rPr>
        <w:t xml:space="preserve">: </w:t>
      </w:r>
      <w:r w:rsidR="00CD5766" w:rsidRPr="002A0860">
        <w:rPr>
          <w:lang w:val="fr-FR"/>
        </w:rPr>
        <w:t xml:space="preserve">Biodiversité </w:t>
      </w:r>
      <w:r w:rsidR="00CD5766" w:rsidRPr="002A0860">
        <w:rPr>
          <w:rFonts w:eastAsia="Carlito"/>
          <w:lang w:val="fr-FR"/>
        </w:rPr>
        <w:t>–</w:t>
      </w:r>
      <w:r w:rsidR="00CD5766" w:rsidRPr="002A0860">
        <w:rPr>
          <w:rFonts w:eastAsia="Carlito"/>
          <w:spacing w:val="12"/>
          <w:lang w:val="fr-FR"/>
        </w:rPr>
        <w:t xml:space="preserve"> </w:t>
      </w:r>
      <w:r w:rsidR="00CD5766" w:rsidRPr="002A0860">
        <w:rPr>
          <w:lang w:val="fr-FR"/>
        </w:rPr>
        <w:t>Mesures d'atténuation en phase d’exploitation</w:t>
      </w:r>
      <w:bookmarkEnd w:id="459"/>
    </w:p>
    <w:tbl>
      <w:tblPr>
        <w:tblStyle w:val="TableauGrille1Clair-Accentuation111"/>
        <w:tblW w:w="0" w:type="auto"/>
        <w:tblLook w:val="04A0" w:firstRow="1" w:lastRow="0" w:firstColumn="1" w:lastColumn="0" w:noHBand="0" w:noVBand="1"/>
      </w:tblPr>
      <w:tblGrid>
        <w:gridCol w:w="2164"/>
        <w:gridCol w:w="1402"/>
        <w:gridCol w:w="2179"/>
        <w:gridCol w:w="1738"/>
        <w:gridCol w:w="1083"/>
        <w:gridCol w:w="1223"/>
        <w:gridCol w:w="717"/>
        <w:gridCol w:w="1476"/>
        <w:gridCol w:w="2152"/>
      </w:tblGrid>
      <w:tr w:rsidR="00BD1B0B" w:rsidRPr="006078CF" w14:paraId="1929284E" w14:textId="77777777" w:rsidTr="00D60FC9">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0" w:type="auto"/>
            <w:hideMark/>
          </w:tcPr>
          <w:p w14:paraId="5A0C9F41" w14:textId="77777777" w:rsidR="006078CF" w:rsidRPr="006078CF" w:rsidRDefault="006078CF" w:rsidP="006078CF">
            <w:r w:rsidRPr="006078CF">
              <w:t>Impact / Risque</w:t>
            </w:r>
          </w:p>
        </w:tc>
        <w:tc>
          <w:tcPr>
            <w:tcW w:w="0" w:type="auto"/>
            <w:hideMark/>
          </w:tcPr>
          <w:p w14:paraId="314660E6" w14:textId="77777777" w:rsidR="006078CF" w:rsidRPr="006078CF" w:rsidRDefault="006078CF" w:rsidP="006078CF">
            <w:pPr>
              <w:cnfStyle w:val="100000000000" w:firstRow="1" w:lastRow="0" w:firstColumn="0" w:lastColumn="0" w:oddVBand="0" w:evenVBand="0" w:oddHBand="0" w:evenHBand="0" w:firstRowFirstColumn="0" w:firstRowLastColumn="0" w:lastRowFirstColumn="0" w:lastRowLastColumn="0"/>
            </w:pPr>
            <w:r w:rsidRPr="006078CF">
              <w:t>Niveau d’atténuation</w:t>
            </w:r>
          </w:p>
        </w:tc>
        <w:tc>
          <w:tcPr>
            <w:tcW w:w="2179" w:type="dxa"/>
            <w:hideMark/>
          </w:tcPr>
          <w:p w14:paraId="74001AB0" w14:textId="77777777" w:rsidR="006078CF" w:rsidRPr="006078CF" w:rsidRDefault="006078CF" w:rsidP="006078CF">
            <w:pPr>
              <w:cnfStyle w:val="100000000000" w:firstRow="1" w:lastRow="0" w:firstColumn="0" w:lastColumn="0" w:oddVBand="0" w:evenVBand="0" w:oddHBand="0" w:evenHBand="0" w:firstRowFirstColumn="0" w:firstRowLastColumn="0" w:lastRowFirstColumn="0" w:lastRowLastColumn="0"/>
            </w:pPr>
            <w:r w:rsidRPr="006078CF">
              <w:t>Mesure d’atténuation / de gestion</w:t>
            </w:r>
          </w:p>
        </w:tc>
        <w:tc>
          <w:tcPr>
            <w:tcW w:w="1738" w:type="dxa"/>
            <w:hideMark/>
          </w:tcPr>
          <w:p w14:paraId="430CC88D" w14:textId="77777777" w:rsidR="006078CF" w:rsidRPr="006078CF" w:rsidRDefault="006078CF" w:rsidP="006078CF">
            <w:pPr>
              <w:cnfStyle w:val="100000000000" w:firstRow="1" w:lastRow="0" w:firstColumn="0" w:lastColumn="0" w:oddVBand="0" w:evenVBand="0" w:oddHBand="0" w:evenHBand="0" w:firstRowFirstColumn="0" w:firstRowLastColumn="0" w:lastRowFirstColumn="0" w:lastRowLastColumn="0"/>
            </w:pPr>
            <w:r w:rsidRPr="006078CF">
              <w:t>Indicateurs de performance (KPI)</w:t>
            </w:r>
          </w:p>
        </w:tc>
        <w:tc>
          <w:tcPr>
            <w:tcW w:w="0" w:type="auto"/>
            <w:hideMark/>
          </w:tcPr>
          <w:p w14:paraId="5C769161" w14:textId="77777777" w:rsidR="006078CF" w:rsidRPr="006078CF" w:rsidRDefault="006078CF" w:rsidP="006078CF">
            <w:pPr>
              <w:cnfStyle w:val="100000000000" w:firstRow="1" w:lastRow="0" w:firstColumn="0" w:lastColumn="0" w:oddVBand="0" w:evenVBand="0" w:oddHBand="0" w:evenHBand="0" w:firstRowFirstColumn="0" w:firstRowLastColumn="0" w:lastRowFirstColumn="0" w:lastRowLastColumn="0"/>
            </w:pPr>
            <w:r w:rsidRPr="006078CF">
              <w:t>Mise en œuvre</w:t>
            </w:r>
          </w:p>
        </w:tc>
        <w:tc>
          <w:tcPr>
            <w:tcW w:w="0" w:type="auto"/>
            <w:hideMark/>
          </w:tcPr>
          <w:p w14:paraId="4BB40D01" w14:textId="77777777" w:rsidR="006078CF" w:rsidRPr="006078CF" w:rsidRDefault="006078CF" w:rsidP="006078CF">
            <w:pPr>
              <w:cnfStyle w:val="100000000000" w:firstRow="1" w:lastRow="0" w:firstColumn="0" w:lastColumn="0" w:oddVBand="0" w:evenVBand="0" w:oddHBand="0" w:evenHBand="0" w:firstRowFirstColumn="0" w:firstRowLastColumn="0" w:lastRowFirstColumn="0" w:lastRowLastColumn="0"/>
            </w:pPr>
            <w:r w:rsidRPr="006078CF">
              <w:t>Surveillance</w:t>
            </w:r>
          </w:p>
        </w:tc>
        <w:tc>
          <w:tcPr>
            <w:tcW w:w="0" w:type="auto"/>
            <w:hideMark/>
          </w:tcPr>
          <w:p w14:paraId="5563C63D" w14:textId="77777777" w:rsidR="006078CF" w:rsidRPr="006078CF" w:rsidRDefault="006078CF" w:rsidP="006078CF">
            <w:pPr>
              <w:cnfStyle w:val="100000000000" w:firstRow="1" w:lastRow="0" w:firstColumn="0" w:lastColumn="0" w:oddVBand="0" w:evenVBand="0" w:oddHBand="0" w:evenHBand="0" w:firstRowFirstColumn="0" w:firstRowLastColumn="0" w:lastRowFirstColumn="0" w:lastRowLastColumn="0"/>
            </w:pPr>
            <w:r w:rsidRPr="006078CF">
              <w:t>Suivi</w:t>
            </w:r>
          </w:p>
        </w:tc>
        <w:tc>
          <w:tcPr>
            <w:tcW w:w="0" w:type="auto"/>
            <w:hideMark/>
          </w:tcPr>
          <w:p w14:paraId="6FB8FB0F" w14:textId="77777777" w:rsidR="006078CF" w:rsidRPr="006078CF" w:rsidRDefault="006078CF" w:rsidP="006078CF">
            <w:pPr>
              <w:cnfStyle w:val="100000000000" w:firstRow="1" w:lastRow="0" w:firstColumn="0" w:lastColumn="0" w:oddVBand="0" w:evenVBand="0" w:oddHBand="0" w:evenHBand="0" w:firstRowFirstColumn="0" w:firstRowLastColumn="0" w:lastRowFirstColumn="0" w:lastRowLastColumn="0"/>
            </w:pPr>
            <w:r w:rsidRPr="006078CF">
              <w:t>Calendrier</w:t>
            </w:r>
          </w:p>
        </w:tc>
        <w:tc>
          <w:tcPr>
            <w:tcW w:w="0" w:type="auto"/>
            <w:hideMark/>
          </w:tcPr>
          <w:p w14:paraId="268453AE" w14:textId="77777777" w:rsidR="006078CF" w:rsidRPr="006078CF" w:rsidRDefault="006078CF" w:rsidP="006078CF">
            <w:pPr>
              <w:cnfStyle w:val="100000000000" w:firstRow="1" w:lastRow="0" w:firstColumn="0" w:lastColumn="0" w:oddVBand="0" w:evenVBand="0" w:oddHBand="0" w:evenHBand="0" w:firstRowFirstColumn="0" w:firstRowLastColumn="0" w:lastRowFirstColumn="0" w:lastRowLastColumn="0"/>
            </w:pPr>
            <w:r w:rsidRPr="006078CF">
              <w:t>Coût</w:t>
            </w:r>
          </w:p>
        </w:tc>
      </w:tr>
      <w:tr w:rsidR="00DD7C08" w:rsidRPr="006078CF" w14:paraId="27A7C547" w14:textId="77777777" w:rsidTr="00D60FC9">
        <w:tc>
          <w:tcPr>
            <w:cnfStyle w:val="001000000000" w:firstRow="0" w:lastRow="0" w:firstColumn="1" w:lastColumn="0" w:oddVBand="0" w:evenVBand="0" w:oddHBand="0" w:evenHBand="0" w:firstRowFirstColumn="0" w:firstRowLastColumn="0" w:lastRowFirstColumn="0" w:lastRowLastColumn="0"/>
            <w:tcW w:w="0" w:type="auto"/>
            <w:vMerge w:val="restart"/>
            <w:hideMark/>
          </w:tcPr>
          <w:p w14:paraId="1817B03B" w14:textId="77777777" w:rsidR="00DD7C08" w:rsidRPr="006078CF" w:rsidRDefault="00DD7C08" w:rsidP="00DD7C08">
            <w:r w:rsidRPr="006078CF">
              <w:t>Absence d’habitat biologique fonctionnel au sein des surfaces exploitées</w:t>
            </w:r>
          </w:p>
        </w:tc>
        <w:tc>
          <w:tcPr>
            <w:tcW w:w="0" w:type="auto"/>
            <w:hideMark/>
          </w:tcPr>
          <w:p w14:paraId="5FD07DC1" w14:textId="77777777" w:rsidR="00DD7C08" w:rsidRPr="006078CF" w:rsidRDefault="00DD7C08" w:rsidP="00DD7C08">
            <w:pPr>
              <w:cnfStyle w:val="000000000000" w:firstRow="0" w:lastRow="0" w:firstColumn="0" w:lastColumn="0" w:oddVBand="0" w:evenVBand="0" w:oddHBand="0" w:evenHBand="0" w:firstRowFirstColumn="0" w:firstRowLastColumn="0" w:lastRowFirstColumn="0" w:lastRowLastColumn="0"/>
            </w:pPr>
            <w:r w:rsidRPr="006078CF">
              <w:rPr>
                <w:b/>
                <w:bCs/>
              </w:rPr>
              <w:t>Éviter</w:t>
            </w:r>
          </w:p>
        </w:tc>
        <w:tc>
          <w:tcPr>
            <w:tcW w:w="2179" w:type="dxa"/>
            <w:hideMark/>
          </w:tcPr>
          <w:p w14:paraId="5C754967" w14:textId="77777777" w:rsidR="00DD7C08" w:rsidRPr="006078CF" w:rsidRDefault="00DD7C08" w:rsidP="00DD7C08">
            <w:pPr>
              <w:cnfStyle w:val="000000000000" w:firstRow="0" w:lastRow="0" w:firstColumn="0" w:lastColumn="0" w:oddVBand="0" w:evenVBand="0" w:oddHBand="0" w:evenHBand="0" w:firstRowFirstColumn="0" w:firstRowLastColumn="0" w:lastRowFirstColumn="0" w:lastRowLastColumn="0"/>
            </w:pPr>
            <w:r w:rsidRPr="006078CF">
              <w:t>Maintenir le périmètre d’exploitation strictement confiné aux zones artificialisées existantes sans extension vers les franges naturelles.</w:t>
            </w:r>
          </w:p>
        </w:tc>
        <w:tc>
          <w:tcPr>
            <w:tcW w:w="1738" w:type="dxa"/>
            <w:hideMark/>
          </w:tcPr>
          <w:p w14:paraId="1A8DCAAA" w14:textId="77777777" w:rsidR="00DD7C08" w:rsidRPr="006078CF" w:rsidRDefault="00DD7C08" w:rsidP="00DD7C08">
            <w:pPr>
              <w:cnfStyle w:val="000000000000" w:firstRow="0" w:lastRow="0" w:firstColumn="0" w:lastColumn="0" w:oddVBand="0" w:evenVBand="0" w:oddHBand="0" w:evenHBand="0" w:firstRowFirstColumn="0" w:firstRowLastColumn="0" w:lastRowFirstColumn="0" w:lastRowLastColumn="0"/>
            </w:pPr>
            <w:r w:rsidRPr="006078CF">
              <w:t>Aucune occupation ou empiètement hors zones autorisées</w:t>
            </w:r>
          </w:p>
        </w:tc>
        <w:tc>
          <w:tcPr>
            <w:tcW w:w="0" w:type="auto"/>
            <w:hideMark/>
          </w:tcPr>
          <w:p w14:paraId="4CA491DB" w14:textId="535D19FD" w:rsidR="00DD7C08" w:rsidRPr="006078CF" w:rsidRDefault="00DD7C08" w:rsidP="00DD7C08">
            <w:pPr>
              <w:cnfStyle w:val="000000000000" w:firstRow="0" w:lastRow="0" w:firstColumn="0" w:lastColumn="0" w:oddVBand="0" w:evenVBand="0" w:oddHBand="0" w:evenHBand="0" w:firstRowFirstColumn="0" w:firstRowLastColumn="0" w:lastRowFirstColumn="0" w:lastRowLastColumn="0"/>
            </w:pPr>
            <w:r w:rsidRPr="00AA22F2">
              <w:rPr>
                <w:szCs w:val="20"/>
                <w:lang w:eastAsia="fr-FR" w:bidi="ar-SA"/>
              </w:rPr>
              <w:t>ONDA / Exploitant</w:t>
            </w:r>
          </w:p>
        </w:tc>
        <w:tc>
          <w:tcPr>
            <w:tcW w:w="0" w:type="auto"/>
            <w:hideMark/>
          </w:tcPr>
          <w:p w14:paraId="607C5DF1" w14:textId="5E6D14A6" w:rsidR="00DD7C08" w:rsidRPr="006078CF" w:rsidRDefault="00DD7C08" w:rsidP="00DD7C08">
            <w:pPr>
              <w:cnfStyle w:val="000000000000" w:firstRow="0" w:lastRow="0" w:firstColumn="0" w:lastColumn="0" w:oddVBand="0" w:evenVBand="0" w:oddHBand="0" w:evenHBand="0" w:firstRowFirstColumn="0" w:firstRowLastColumn="0" w:lastRowFirstColumn="0" w:lastRowLastColumn="0"/>
            </w:pPr>
            <w:r w:rsidRPr="00AA22F2">
              <w:rPr>
                <w:szCs w:val="20"/>
                <w:lang w:eastAsia="fr-FR" w:bidi="ar-SA"/>
              </w:rPr>
              <w:t>ONDA</w:t>
            </w:r>
          </w:p>
        </w:tc>
        <w:tc>
          <w:tcPr>
            <w:tcW w:w="0" w:type="auto"/>
            <w:hideMark/>
          </w:tcPr>
          <w:p w14:paraId="1E2CC929" w14:textId="2D1E5153" w:rsidR="00DD7C08" w:rsidRPr="006078CF" w:rsidRDefault="00DD7C08" w:rsidP="00DD7C08">
            <w:pPr>
              <w:cnfStyle w:val="000000000000" w:firstRow="0" w:lastRow="0" w:firstColumn="0" w:lastColumn="0" w:oddVBand="0" w:evenVBand="0" w:oddHBand="0" w:evenHBand="0" w:firstRowFirstColumn="0" w:firstRowLastColumn="0" w:lastRowFirstColumn="0" w:lastRowLastColumn="0"/>
            </w:pPr>
            <w:r w:rsidRPr="00AA22F2">
              <w:rPr>
                <w:szCs w:val="20"/>
                <w:lang w:eastAsia="fr-FR" w:bidi="ar-SA"/>
              </w:rPr>
              <w:t>ONDA</w:t>
            </w:r>
          </w:p>
        </w:tc>
        <w:tc>
          <w:tcPr>
            <w:tcW w:w="0" w:type="auto"/>
            <w:hideMark/>
          </w:tcPr>
          <w:p w14:paraId="372DDEDF" w14:textId="276A4985" w:rsidR="00DD7C08" w:rsidRPr="006078CF" w:rsidRDefault="00DD7C08" w:rsidP="00DD7C08">
            <w:pPr>
              <w:cnfStyle w:val="000000000000" w:firstRow="0" w:lastRow="0" w:firstColumn="0" w:lastColumn="0" w:oddVBand="0" w:evenVBand="0" w:oddHBand="0" w:evenHBand="0" w:firstRowFirstColumn="0" w:firstRowLastColumn="0" w:lastRowFirstColumn="0" w:lastRowLastColumn="0"/>
            </w:pPr>
            <w:r>
              <w:t>Durant</w:t>
            </w:r>
            <w:r w:rsidRPr="006078CF">
              <w:t xml:space="preserve"> exploitation</w:t>
            </w:r>
          </w:p>
        </w:tc>
        <w:tc>
          <w:tcPr>
            <w:tcW w:w="0" w:type="auto"/>
            <w:hideMark/>
          </w:tcPr>
          <w:p w14:paraId="75CBD498" w14:textId="302721CD" w:rsidR="00DD7C08" w:rsidRPr="006078CF" w:rsidRDefault="00DD7C08" w:rsidP="00DD7C08">
            <w:pPr>
              <w:cnfStyle w:val="000000000000" w:firstRow="0" w:lastRow="0" w:firstColumn="0" w:lastColumn="0" w:oddVBand="0" w:evenVBand="0" w:oddHBand="0" w:evenHBand="0" w:firstRowFirstColumn="0" w:firstRowLastColumn="0" w:lastRowFirstColumn="0" w:lastRowLastColumn="0"/>
            </w:pPr>
            <w:r>
              <w:t>Aucun coût spécifique</w:t>
            </w:r>
          </w:p>
        </w:tc>
      </w:tr>
      <w:tr w:rsidR="00DD7C08" w:rsidRPr="006078CF" w14:paraId="665CF1FE" w14:textId="77777777" w:rsidTr="00D60FC9">
        <w:tc>
          <w:tcPr>
            <w:cnfStyle w:val="001000000000" w:firstRow="0" w:lastRow="0" w:firstColumn="1" w:lastColumn="0" w:oddVBand="0" w:evenVBand="0" w:oddHBand="0" w:evenHBand="0" w:firstRowFirstColumn="0" w:firstRowLastColumn="0" w:lastRowFirstColumn="0" w:lastRowLastColumn="0"/>
            <w:tcW w:w="0" w:type="auto"/>
            <w:vMerge/>
            <w:hideMark/>
          </w:tcPr>
          <w:p w14:paraId="6A480A95" w14:textId="77777777" w:rsidR="00DD7C08" w:rsidRPr="006078CF" w:rsidRDefault="00DD7C08" w:rsidP="00DD7C08"/>
        </w:tc>
        <w:tc>
          <w:tcPr>
            <w:tcW w:w="0" w:type="auto"/>
            <w:hideMark/>
          </w:tcPr>
          <w:p w14:paraId="68CAF581" w14:textId="77777777" w:rsidR="00DD7C08" w:rsidRPr="006078CF" w:rsidRDefault="00DD7C08" w:rsidP="00DD7C08">
            <w:pPr>
              <w:cnfStyle w:val="000000000000" w:firstRow="0" w:lastRow="0" w:firstColumn="0" w:lastColumn="0" w:oddVBand="0" w:evenVBand="0" w:oddHBand="0" w:evenHBand="0" w:firstRowFirstColumn="0" w:firstRowLastColumn="0" w:lastRowFirstColumn="0" w:lastRowLastColumn="0"/>
            </w:pPr>
            <w:r w:rsidRPr="006078CF">
              <w:rPr>
                <w:b/>
                <w:bCs/>
              </w:rPr>
              <w:t>Réduire</w:t>
            </w:r>
          </w:p>
        </w:tc>
        <w:tc>
          <w:tcPr>
            <w:tcW w:w="2179" w:type="dxa"/>
            <w:hideMark/>
          </w:tcPr>
          <w:p w14:paraId="4D394DF9" w14:textId="77777777" w:rsidR="00DD7C08" w:rsidRPr="006078CF" w:rsidRDefault="00DD7C08" w:rsidP="00DD7C08">
            <w:pPr>
              <w:cnfStyle w:val="000000000000" w:firstRow="0" w:lastRow="0" w:firstColumn="0" w:lastColumn="0" w:oddVBand="0" w:evenVBand="0" w:oddHBand="0" w:evenHBand="0" w:firstRowFirstColumn="0" w:firstRowLastColumn="0" w:lastRowFirstColumn="0" w:lastRowLastColumn="0"/>
            </w:pPr>
            <w:r w:rsidRPr="006078CF">
              <w:t>Favoriser la revégétalisation contrôlée des talus et des abords extérieurs (espèces locales rustiques).</w:t>
            </w:r>
          </w:p>
        </w:tc>
        <w:tc>
          <w:tcPr>
            <w:tcW w:w="1738" w:type="dxa"/>
            <w:hideMark/>
          </w:tcPr>
          <w:p w14:paraId="2A7129D1" w14:textId="2178E8CC" w:rsidR="00DD7C08" w:rsidRPr="006078CF" w:rsidRDefault="00DD7C08" w:rsidP="00DD7C08">
            <w:pPr>
              <w:cnfStyle w:val="000000000000" w:firstRow="0" w:lastRow="0" w:firstColumn="0" w:lastColumn="0" w:oddVBand="0" w:evenVBand="0" w:oddHBand="0" w:evenHBand="0" w:firstRowFirstColumn="0" w:firstRowLastColumn="0" w:lastRowFirstColumn="0" w:lastRowLastColumn="0"/>
            </w:pPr>
            <w:r>
              <w:t>%</w:t>
            </w:r>
            <w:r w:rsidRPr="006078CF">
              <w:t xml:space="preserve"> de surface périphérique végétalisée avec espèces autochtones</w:t>
            </w:r>
          </w:p>
        </w:tc>
        <w:tc>
          <w:tcPr>
            <w:tcW w:w="0" w:type="auto"/>
            <w:hideMark/>
          </w:tcPr>
          <w:p w14:paraId="525E0107" w14:textId="6FB3B863" w:rsidR="00DD7C08" w:rsidRPr="006078CF" w:rsidRDefault="00DD7C08" w:rsidP="00DD7C08">
            <w:pPr>
              <w:cnfStyle w:val="000000000000" w:firstRow="0" w:lastRow="0" w:firstColumn="0" w:lastColumn="0" w:oddVBand="0" w:evenVBand="0" w:oddHBand="0" w:evenHBand="0" w:firstRowFirstColumn="0" w:firstRowLastColumn="0" w:lastRowFirstColumn="0" w:lastRowLastColumn="0"/>
            </w:pPr>
            <w:r w:rsidRPr="00AA22F2">
              <w:rPr>
                <w:szCs w:val="20"/>
                <w:lang w:eastAsia="fr-FR" w:bidi="ar-SA"/>
              </w:rPr>
              <w:t>ONDA / Exploitant</w:t>
            </w:r>
          </w:p>
        </w:tc>
        <w:tc>
          <w:tcPr>
            <w:tcW w:w="0" w:type="auto"/>
            <w:hideMark/>
          </w:tcPr>
          <w:p w14:paraId="7B5A5C08" w14:textId="3CD6E82F" w:rsidR="00DD7C08" w:rsidRPr="006078CF" w:rsidRDefault="00DD7C08" w:rsidP="00DD7C08">
            <w:pPr>
              <w:cnfStyle w:val="000000000000" w:firstRow="0" w:lastRow="0" w:firstColumn="0" w:lastColumn="0" w:oddVBand="0" w:evenVBand="0" w:oddHBand="0" w:evenHBand="0" w:firstRowFirstColumn="0" w:firstRowLastColumn="0" w:lastRowFirstColumn="0" w:lastRowLastColumn="0"/>
            </w:pPr>
            <w:r w:rsidRPr="00AA22F2">
              <w:rPr>
                <w:szCs w:val="20"/>
                <w:lang w:eastAsia="fr-FR" w:bidi="ar-SA"/>
              </w:rPr>
              <w:t>ONDA</w:t>
            </w:r>
          </w:p>
        </w:tc>
        <w:tc>
          <w:tcPr>
            <w:tcW w:w="0" w:type="auto"/>
            <w:hideMark/>
          </w:tcPr>
          <w:p w14:paraId="54898DB9" w14:textId="6B993AED" w:rsidR="00DD7C08" w:rsidRPr="006078CF" w:rsidRDefault="00DD7C08" w:rsidP="00DD7C08">
            <w:pPr>
              <w:cnfStyle w:val="000000000000" w:firstRow="0" w:lastRow="0" w:firstColumn="0" w:lastColumn="0" w:oddVBand="0" w:evenVBand="0" w:oddHBand="0" w:evenHBand="0" w:firstRowFirstColumn="0" w:firstRowLastColumn="0" w:lastRowFirstColumn="0" w:lastRowLastColumn="0"/>
            </w:pPr>
            <w:r w:rsidRPr="00AA22F2">
              <w:rPr>
                <w:szCs w:val="20"/>
                <w:lang w:eastAsia="fr-FR" w:bidi="ar-SA"/>
              </w:rPr>
              <w:t>ONDA</w:t>
            </w:r>
          </w:p>
        </w:tc>
        <w:tc>
          <w:tcPr>
            <w:tcW w:w="0" w:type="auto"/>
            <w:hideMark/>
          </w:tcPr>
          <w:p w14:paraId="3C0EE4EC" w14:textId="77777777" w:rsidR="00DD7C08" w:rsidRPr="006078CF" w:rsidRDefault="00DD7C08" w:rsidP="00DD7C08">
            <w:pPr>
              <w:cnfStyle w:val="000000000000" w:firstRow="0" w:lastRow="0" w:firstColumn="0" w:lastColumn="0" w:oddVBand="0" w:evenVBand="0" w:oddHBand="0" w:evenHBand="0" w:firstRowFirstColumn="0" w:firstRowLastColumn="0" w:lastRowFirstColumn="0" w:lastRowLastColumn="0"/>
            </w:pPr>
            <w:r w:rsidRPr="006078CF">
              <w:t>Durant première année d’exploitation</w:t>
            </w:r>
          </w:p>
        </w:tc>
        <w:tc>
          <w:tcPr>
            <w:tcW w:w="0" w:type="auto"/>
            <w:hideMark/>
          </w:tcPr>
          <w:p w14:paraId="22710F19" w14:textId="16EF4FF1" w:rsidR="00DD7C08" w:rsidRPr="006078CF" w:rsidRDefault="00DD7C08" w:rsidP="00DD7C08">
            <w:pPr>
              <w:cnfStyle w:val="000000000000" w:firstRow="0" w:lastRow="0" w:firstColumn="0" w:lastColumn="0" w:oddVBand="0" w:evenVBand="0" w:oddHBand="0" w:evenHBand="0" w:firstRowFirstColumn="0" w:firstRowLastColumn="0" w:lastRowFirstColumn="0" w:lastRowLastColumn="0"/>
            </w:pPr>
            <w:r w:rsidRPr="00BD1B0B">
              <w:t xml:space="preserve">25 – 35 </w:t>
            </w:r>
            <w:r>
              <w:t>MAD</w:t>
            </w:r>
            <w:r w:rsidRPr="00BD1B0B">
              <w:t>/m²</w:t>
            </w:r>
            <w:r>
              <w:t xml:space="preserve"> (</w:t>
            </w:r>
            <w:r w:rsidRPr="00BD1B0B">
              <w:t>Semis de graminées locales et Artemisia herba-alba</w:t>
            </w:r>
            <w:r>
              <w:t>)</w:t>
            </w:r>
          </w:p>
        </w:tc>
      </w:tr>
      <w:tr w:rsidR="00DD7C08" w:rsidRPr="006078CF" w14:paraId="403E296A" w14:textId="77777777" w:rsidTr="00D60FC9">
        <w:tc>
          <w:tcPr>
            <w:cnfStyle w:val="001000000000" w:firstRow="0" w:lastRow="0" w:firstColumn="1" w:lastColumn="0" w:oddVBand="0" w:evenVBand="0" w:oddHBand="0" w:evenHBand="0" w:firstRowFirstColumn="0" w:firstRowLastColumn="0" w:lastRowFirstColumn="0" w:lastRowLastColumn="0"/>
            <w:tcW w:w="0" w:type="auto"/>
            <w:vMerge/>
            <w:hideMark/>
          </w:tcPr>
          <w:p w14:paraId="16BC9B28" w14:textId="77777777" w:rsidR="00DD7C08" w:rsidRPr="006078CF" w:rsidRDefault="00DD7C08" w:rsidP="00DD7C08"/>
        </w:tc>
        <w:tc>
          <w:tcPr>
            <w:tcW w:w="0" w:type="auto"/>
            <w:hideMark/>
          </w:tcPr>
          <w:p w14:paraId="5C990700" w14:textId="77777777" w:rsidR="00DD7C08" w:rsidRPr="006078CF" w:rsidRDefault="00DD7C08" w:rsidP="00DD7C08">
            <w:pPr>
              <w:cnfStyle w:val="000000000000" w:firstRow="0" w:lastRow="0" w:firstColumn="0" w:lastColumn="0" w:oddVBand="0" w:evenVBand="0" w:oddHBand="0" w:evenHBand="0" w:firstRowFirstColumn="0" w:firstRowLastColumn="0" w:lastRowFirstColumn="0" w:lastRowLastColumn="0"/>
            </w:pPr>
            <w:r w:rsidRPr="006078CF">
              <w:rPr>
                <w:b/>
                <w:bCs/>
              </w:rPr>
              <w:t>Atténuer</w:t>
            </w:r>
          </w:p>
        </w:tc>
        <w:tc>
          <w:tcPr>
            <w:tcW w:w="2179" w:type="dxa"/>
            <w:hideMark/>
          </w:tcPr>
          <w:p w14:paraId="75AE710D" w14:textId="24CFD0C7" w:rsidR="00DD7C08" w:rsidRPr="006078CF" w:rsidRDefault="00DD7C08" w:rsidP="00DD7C08">
            <w:pPr>
              <w:cnfStyle w:val="000000000000" w:firstRow="0" w:lastRow="0" w:firstColumn="0" w:lastColumn="0" w:oddVBand="0" w:evenVBand="0" w:oddHBand="0" w:evenHBand="0" w:firstRowFirstColumn="0" w:firstRowLastColumn="0" w:lastRowFirstColumn="0" w:lastRowLastColumn="0"/>
            </w:pPr>
            <w:r w:rsidRPr="006078CF">
              <w:t>Intégrer des zones tampons visuelles et écologiques</w:t>
            </w:r>
            <w:r w:rsidR="001902D0">
              <w:t xml:space="preserve"> </w:t>
            </w:r>
            <w:r w:rsidRPr="006078CF">
              <w:t>favorisant la stabilisation des sols et la microfaune.</w:t>
            </w:r>
          </w:p>
        </w:tc>
        <w:tc>
          <w:tcPr>
            <w:tcW w:w="1738" w:type="dxa"/>
            <w:hideMark/>
          </w:tcPr>
          <w:p w14:paraId="4033E8B3" w14:textId="75CE5D17" w:rsidR="00DD7C08" w:rsidRPr="006078CF" w:rsidRDefault="00DD7C08" w:rsidP="00DD7C08">
            <w:pPr>
              <w:cnfStyle w:val="000000000000" w:firstRow="0" w:lastRow="0" w:firstColumn="0" w:lastColumn="0" w:oddVBand="0" w:evenVBand="0" w:oddHBand="0" w:evenHBand="0" w:firstRowFirstColumn="0" w:firstRowLastColumn="0" w:lastRowFirstColumn="0" w:lastRowLastColumn="0"/>
            </w:pPr>
            <w:r>
              <w:t>% de la c</w:t>
            </w:r>
            <w:r w:rsidRPr="006078CF">
              <w:t>ouverture végétale sur les abords</w:t>
            </w:r>
          </w:p>
        </w:tc>
        <w:tc>
          <w:tcPr>
            <w:tcW w:w="0" w:type="auto"/>
            <w:hideMark/>
          </w:tcPr>
          <w:p w14:paraId="2272E0F0" w14:textId="0FB60234" w:rsidR="00DD7C08" w:rsidRPr="006078CF" w:rsidRDefault="00DD7C08" w:rsidP="00DD7C08">
            <w:pPr>
              <w:cnfStyle w:val="000000000000" w:firstRow="0" w:lastRow="0" w:firstColumn="0" w:lastColumn="0" w:oddVBand="0" w:evenVBand="0" w:oddHBand="0" w:evenHBand="0" w:firstRowFirstColumn="0" w:firstRowLastColumn="0" w:lastRowFirstColumn="0" w:lastRowLastColumn="0"/>
            </w:pPr>
            <w:r w:rsidRPr="00AA22F2">
              <w:rPr>
                <w:szCs w:val="20"/>
                <w:lang w:eastAsia="fr-FR" w:bidi="ar-SA"/>
              </w:rPr>
              <w:t>ONDA / Exploitant</w:t>
            </w:r>
          </w:p>
        </w:tc>
        <w:tc>
          <w:tcPr>
            <w:tcW w:w="0" w:type="auto"/>
            <w:hideMark/>
          </w:tcPr>
          <w:p w14:paraId="2C2C1CB9" w14:textId="3190A994" w:rsidR="00DD7C08" w:rsidRPr="006078CF" w:rsidRDefault="00DD7C08" w:rsidP="00DD7C08">
            <w:pPr>
              <w:cnfStyle w:val="000000000000" w:firstRow="0" w:lastRow="0" w:firstColumn="0" w:lastColumn="0" w:oddVBand="0" w:evenVBand="0" w:oddHBand="0" w:evenHBand="0" w:firstRowFirstColumn="0" w:firstRowLastColumn="0" w:lastRowFirstColumn="0" w:lastRowLastColumn="0"/>
            </w:pPr>
            <w:r w:rsidRPr="00AA22F2">
              <w:rPr>
                <w:szCs w:val="20"/>
                <w:lang w:eastAsia="fr-FR" w:bidi="ar-SA"/>
              </w:rPr>
              <w:t>ONDA</w:t>
            </w:r>
          </w:p>
        </w:tc>
        <w:tc>
          <w:tcPr>
            <w:tcW w:w="0" w:type="auto"/>
            <w:hideMark/>
          </w:tcPr>
          <w:p w14:paraId="3356AE43" w14:textId="7572A84F" w:rsidR="00DD7C08" w:rsidRPr="006078CF" w:rsidRDefault="00DD7C08" w:rsidP="00DD7C08">
            <w:pPr>
              <w:cnfStyle w:val="000000000000" w:firstRow="0" w:lastRow="0" w:firstColumn="0" w:lastColumn="0" w:oddVBand="0" w:evenVBand="0" w:oddHBand="0" w:evenHBand="0" w:firstRowFirstColumn="0" w:firstRowLastColumn="0" w:lastRowFirstColumn="0" w:lastRowLastColumn="0"/>
            </w:pPr>
            <w:r w:rsidRPr="00AA22F2">
              <w:rPr>
                <w:szCs w:val="20"/>
                <w:lang w:eastAsia="fr-FR" w:bidi="ar-SA"/>
              </w:rPr>
              <w:t>ONDA</w:t>
            </w:r>
          </w:p>
        </w:tc>
        <w:tc>
          <w:tcPr>
            <w:tcW w:w="0" w:type="auto"/>
            <w:hideMark/>
          </w:tcPr>
          <w:p w14:paraId="1F681E01" w14:textId="77777777" w:rsidR="00DD7C08" w:rsidRPr="006078CF" w:rsidRDefault="00DD7C08" w:rsidP="00DD7C08">
            <w:pPr>
              <w:cnfStyle w:val="000000000000" w:firstRow="0" w:lastRow="0" w:firstColumn="0" w:lastColumn="0" w:oddVBand="0" w:evenVBand="0" w:oddHBand="0" w:evenHBand="0" w:firstRowFirstColumn="0" w:firstRowLastColumn="0" w:lastRowFirstColumn="0" w:lastRowLastColumn="0"/>
            </w:pPr>
            <w:r w:rsidRPr="006078CF">
              <w:t>Année 1-2</w:t>
            </w:r>
          </w:p>
        </w:tc>
        <w:tc>
          <w:tcPr>
            <w:tcW w:w="0" w:type="auto"/>
            <w:hideMark/>
          </w:tcPr>
          <w:p w14:paraId="7853C1C9" w14:textId="75DA873F" w:rsidR="00DD7C08" w:rsidRPr="006078CF" w:rsidRDefault="00DD7C08" w:rsidP="00DD7C08">
            <w:pPr>
              <w:cnfStyle w:val="000000000000" w:firstRow="0" w:lastRow="0" w:firstColumn="0" w:lastColumn="0" w:oddVBand="0" w:evenVBand="0" w:oddHBand="0" w:evenHBand="0" w:firstRowFirstColumn="0" w:firstRowLastColumn="0" w:lastRowFirstColumn="0" w:lastRowLastColumn="0"/>
            </w:pPr>
            <w:r w:rsidRPr="00BD1B0B">
              <w:t>30 – 40 /m²</w:t>
            </w:r>
            <w:r>
              <w:t xml:space="preserve"> </w:t>
            </w:r>
          </w:p>
        </w:tc>
      </w:tr>
      <w:tr w:rsidR="00DD7C08" w:rsidRPr="006078CF" w14:paraId="18288765" w14:textId="77777777" w:rsidTr="00D60FC9">
        <w:tc>
          <w:tcPr>
            <w:cnfStyle w:val="001000000000" w:firstRow="0" w:lastRow="0" w:firstColumn="1" w:lastColumn="0" w:oddVBand="0" w:evenVBand="0" w:oddHBand="0" w:evenHBand="0" w:firstRowFirstColumn="0" w:firstRowLastColumn="0" w:lastRowFirstColumn="0" w:lastRowLastColumn="0"/>
            <w:tcW w:w="0" w:type="auto"/>
            <w:vMerge w:val="restart"/>
            <w:hideMark/>
          </w:tcPr>
          <w:p w14:paraId="527A3378" w14:textId="77777777" w:rsidR="00DD7C08" w:rsidRPr="006078CF" w:rsidRDefault="00DD7C08" w:rsidP="00DD7C08">
            <w:r w:rsidRPr="006078CF">
              <w:rPr>
                <w:b w:val="0"/>
                <w:bCs w:val="0"/>
              </w:rPr>
              <w:t>Perturbation de la faune périphérique (bruit, lumière, mouvements)</w:t>
            </w:r>
          </w:p>
        </w:tc>
        <w:tc>
          <w:tcPr>
            <w:tcW w:w="0" w:type="auto"/>
            <w:hideMark/>
          </w:tcPr>
          <w:p w14:paraId="351552D8" w14:textId="77777777" w:rsidR="00DD7C08" w:rsidRPr="006078CF" w:rsidRDefault="00DD7C08" w:rsidP="00DD7C08">
            <w:pPr>
              <w:cnfStyle w:val="000000000000" w:firstRow="0" w:lastRow="0" w:firstColumn="0" w:lastColumn="0" w:oddVBand="0" w:evenVBand="0" w:oddHBand="0" w:evenHBand="0" w:firstRowFirstColumn="0" w:firstRowLastColumn="0" w:lastRowFirstColumn="0" w:lastRowLastColumn="0"/>
              <w:rPr>
                <w:b/>
                <w:bCs/>
              </w:rPr>
            </w:pPr>
            <w:r w:rsidRPr="006078CF">
              <w:rPr>
                <w:b/>
                <w:bCs/>
              </w:rPr>
              <w:t>Éviter</w:t>
            </w:r>
          </w:p>
        </w:tc>
        <w:tc>
          <w:tcPr>
            <w:tcW w:w="2179" w:type="dxa"/>
            <w:hideMark/>
          </w:tcPr>
          <w:p w14:paraId="0E17F08E" w14:textId="77777777" w:rsidR="00DD7C08" w:rsidRPr="006078CF" w:rsidRDefault="00DD7C08" w:rsidP="00DD7C08">
            <w:pPr>
              <w:cnfStyle w:val="000000000000" w:firstRow="0" w:lastRow="0" w:firstColumn="0" w:lastColumn="0" w:oddVBand="0" w:evenVBand="0" w:oddHBand="0" w:evenHBand="0" w:firstRowFirstColumn="0" w:firstRowLastColumn="0" w:lastRowFirstColumn="0" w:lastRowLastColumn="0"/>
            </w:pPr>
            <w:r w:rsidRPr="006078CF">
              <w:t>Éviter l’implantation de sources lumineuses orientées vers l’extérieur de la plateforme.</w:t>
            </w:r>
          </w:p>
        </w:tc>
        <w:tc>
          <w:tcPr>
            <w:tcW w:w="1738" w:type="dxa"/>
            <w:hideMark/>
          </w:tcPr>
          <w:p w14:paraId="47742105" w14:textId="77777777" w:rsidR="00DD7C08" w:rsidRPr="006078CF" w:rsidRDefault="00DD7C08" w:rsidP="00DD7C08">
            <w:pPr>
              <w:cnfStyle w:val="000000000000" w:firstRow="0" w:lastRow="0" w:firstColumn="0" w:lastColumn="0" w:oddVBand="0" w:evenVBand="0" w:oddHBand="0" w:evenHBand="0" w:firstRowFirstColumn="0" w:firstRowLastColumn="0" w:lastRowFirstColumn="0" w:lastRowLastColumn="0"/>
            </w:pPr>
            <w:r w:rsidRPr="006078CF">
              <w:t>Absence de halos lumineux en dehors de la clôture</w:t>
            </w:r>
          </w:p>
        </w:tc>
        <w:tc>
          <w:tcPr>
            <w:tcW w:w="0" w:type="auto"/>
            <w:hideMark/>
          </w:tcPr>
          <w:p w14:paraId="4D23A7D0" w14:textId="57212002" w:rsidR="00DD7C08" w:rsidRPr="006078CF" w:rsidRDefault="00DD7C08" w:rsidP="00DD7C08">
            <w:pPr>
              <w:cnfStyle w:val="000000000000" w:firstRow="0" w:lastRow="0" w:firstColumn="0" w:lastColumn="0" w:oddVBand="0" w:evenVBand="0" w:oddHBand="0" w:evenHBand="0" w:firstRowFirstColumn="0" w:firstRowLastColumn="0" w:lastRowFirstColumn="0" w:lastRowLastColumn="0"/>
            </w:pPr>
            <w:r w:rsidRPr="00AA22F2">
              <w:rPr>
                <w:szCs w:val="20"/>
                <w:lang w:eastAsia="fr-FR" w:bidi="ar-SA"/>
              </w:rPr>
              <w:t>ONDA / Exploitant</w:t>
            </w:r>
          </w:p>
        </w:tc>
        <w:tc>
          <w:tcPr>
            <w:tcW w:w="0" w:type="auto"/>
            <w:hideMark/>
          </w:tcPr>
          <w:p w14:paraId="6BE9BF16" w14:textId="249367C9" w:rsidR="00DD7C08" w:rsidRPr="006078CF" w:rsidRDefault="00DD7C08" w:rsidP="00DD7C08">
            <w:pPr>
              <w:cnfStyle w:val="000000000000" w:firstRow="0" w:lastRow="0" w:firstColumn="0" w:lastColumn="0" w:oddVBand="0" w:evenVBand="0" w:oddHBand="0" w:evenHBand="0" w:firstRowFirstColumn="0" w:firstRowLastColumn="0" w:lastRowFirstColumn="0" w:lastRowLastColumn="0"/>
            </w:pPr>
            <w:r w:rsidRPr="00AA22F2">
              <w:rPr>
                <w:szCs w:val="20"/>
                <w:lang w:eastAsia="fr-FR" w:bidi="ar-SA"/>
              </w:rPr>
              <w:t>ONDA</w:t>
            </w:r>
          </w:p>
        </w:tc>
        <w:tc>
          <w:tcPr>
            <w:tcW w:w="0" w:type="auto"/>
            <w:hideMark/>
          </w:tcPr>
          <w:p w14:paraId="015497BF" w14:textId="388CE3B7" w:rsidR="00DD7C08" w:rsidRPr="006078CF" w:rsidRDefault="00DD7C08" w:rsidP="00DD7C08">
            <w:pPr>
              <w:cnfStyle w:val="000000000000" w:firstRow="0" w:lastRow="0" w:firstColumn="0" w:lastColumn="0" w:oddVBand="0" w:evenVBand="0" w:oddHBand="0" w:evenHBand="0" w:firstRowFirstColumn="0" w:firstRowLastColumn="0" w:lastRowFirstColumn="0" w:lastRowLastColumn="0"/>
            </w:pPr>
            <w:r w:rsidRPr="00AA22F2">
              <w:rPr>
                <w:szCs w:val="20"/>
                <w:lang w:eastAsia="fr-FR" w:bidi="ar-SA"/>
              </w:rPr>
              <w:t>ONDA</w:t>
            </w:r>
          </w:p>
        </w:tc>
        <w:tc>
          <w:tcPr>
            <w:tcW w:w="0" w:type="auto"/>
            <w:hideMark/>
          </w:tcPr>
          <w:p w14:paraId="254E2B77" w14:textId="77777777" w:rsidR="00DD7C08" w:rsidRPr="006078CF" w:rsidRDefault="00DD7C08" w:rsidP="00DD7C08">
            <w:pPr>
              <w:cnfStyle w:val="000000000000" w:firstRow="0" w:lastRow="0" w:firstColumn="0" w:lastColumn="0" w:oddVBand="0" w:evenVBand="0" w:oddHBand="0" w:evenHBand="0" w:firstRowFirstColumn="0" w:firstRowLastColumn="0" w:lastRowFirstColumn="0" w:lastRowLastColumn="0"/>
            </w:pPr>
            <w:r w:rsidRPr="006078CF">
              <w:t>Dès la conception et en continu</w:t>
            </w:r>
          </w:p>
        </w:tc>
        <w:tc>
          <w:tcPr>
            <w:tcW w:w="0" w:type="auto"/>
            <w:hideMark/>
          </w:tcPr>
          <w:p w14:paraId="42E64D19" w14:textId="5EDD2642" w:rsidR="00DD7C08" w:rsidRPr="006078CF" w:rsidRDefault="00DD7C08" w:rsidP="00DD7C08">
            <w:pPr>
              <w:cnfStyle w:val="000000000000" w:firstRow="0" w:lastRow="0" w:firstColumn="0" w:lastColumn="0" w:oddVBand="0" w:evenVBand="0" w:oddHBand="0" w:evenHBand="0" w:firstRowFirstColumn="0" w:firstRowLastColumn="0" w:lastRowFirstColumn="0" w:lastRowLastColumn="0"/>
            </w:pPr>
            <w:r>
              <w:t>Aucun coût spécifique</w:t>
            </w:r>
          </w:p>
        </w:tc>
      </w:tr>
      <w:tr w:rsidR="00DD7C08" w:rsidRPr="006078CF" w14:paraId="24D6624F" w14:textId="77777777" w:rsidTr="00D60FC9">
        <w:tc>
          <w:tcPr>
            <w:cnfStyle w:val="001000000000" w:firstRow="0" w:lastRow="0" w:firstColumn="1" w:lastColumn="0" w:oddVBand="0" w:evenVBand="0" w:oddHBand="0" w:evenHBand="0" w:firstRowFirstColumn="0" w:firstRowLastColumn="0" w:lastRowFirstColumn="0" w:lastRowLastColumn="0"/>
            <w:tcW w:w="0" w:type="auto"/>
            <w:vMerge/>
            <w:hideMark/>
          </w:tcPr>
          <w:p w14:paraId="65DEFE9D" w14:textId="77777777" w:rsidR="00DD7C08" w:rsidRPr="006078CF" w:rsidRDefault="00DD7C08" w:rsidP="00DD7C08"/>
        </w:tc>
        <w:tc>
          <w:tcPr>
            <w:tcW w:w="0" w:type="auto"/>
            <w:hideMark/>
          </w:tcPr>
          <w:p w14:paraId="36DAAD78" w14:textId="77777777" w:rsidR="00DD7C08" w:rsidRPr="006078CF" w:rsidRDefault="00DD7C08" w:rsidP="00DD7C08">
            <w:pPr>
              <w:cnfStyle w:val="000000000000" w:firstRow="0" w:lastRow="0" w:firstColumn="0" w:lastColumn="0" w:oddVBand="0" w:evenVBand="0" w:oddHBand="0" w:evenHBand="0" w:firstRowFirstColumn="0" w:firstRowLastColumn="0" w:lastRowFirstColumn="0" w:lastRowLastColumn="0"/>
              <w:rPr>
                <w:b/>
                <w:bCs/>
              </w:rPr>
            </w:pPr>
            <w:r w:rsidRPr="006078CF">
              <w:rPr>
                <w:b/>
                <w:bCs/>
              </w:rPr>
              <w:t>Réduire</w:t>
            </w:r>
          </w:p>
        </w:tc>
        <w:tc>
          <w:tcPr>
            <w:tcW w:w="2179" w:type="dxa"/>
            <w:hideMark/>
          </w:tcPr>
          <w:p w14:paraId="7E3DA5AA" w14:textId="77777777" w:rsidR="00DD7C08" w:rsidRPr="006078CF" w:rsidRDefault="00DD7C08" w:rsidP="00DD7C08">
            <w:pPr>
              <w:cnfStyle w:val="000000000000" w:firstRow="0" w:lastRow="0" w:firstColumn="0" w:lastColumn="0" w:oddVBand="0" w:evenVBand="0" w:oddHBand="0" w:evenHBand="0" w:firstRowFirstColumn="0" w:firstRowLastColumn="0" w:lastRowFirstColumn="0" w:lastRowLastColumn="0"/>
            </w:pPr>
            <w:r w:rsidRPr="006078CF">
              <w:t>Installer des luminaires à LED orientables, à intensité modulable (≤3000K) limitant la dispersion du flux lumineux.</w:t>
            </w:r>
          </w:p>
        </w:tc>
        <w:tc>
          <w:tcPr>
            <w:tcW w:w="1738" w:type="dxa"/>
            <w:hideMark/>
          </w:tcPr>
          <w:p w14:paraId="1E095921" w14:textId="77777777" w:rsidR="00DD7C08" w:rsidRPr="006078CF" w:rsidRDefault="00DD7C08" w:rsidP="00DD7C08">
            <w:pPr>
              <w:cnfStyle w:val="000000000000" w:firstRow="0" w:lastRow="0" w:firstColumn="0" w:lastColumn="0" w:oddVBand="0" w:evenVBand="0" w:oddHBand="0" w:evenHBand="0" w:firstRowFirstColumn="0" w:firstRowLastColumn="0" w:lastRowFirstColumn="0" w:lastRowLastColumn="0"/>
            </w:pPr>
            <w:r w:rsidRPr="006078CF">
              <w:t>Conformité des luminaires aux spécifications techniques</w:t>
            </w:r>
          </w:p>
        </w:tc>
        <w:tc>
          <w:tcPr>
            <w:tcW w:w="0" w:type="auto"/>
            <w:hideMark/>
          </w:tcPr>
          <w:p w14:paraId="67AD0FE4" w14:textId="38C459D0" w:rsidR="00DD7C08" w:rsidRPr="006078CF" w:rsidRDefault="00DD7C08" w:rsidP="00DD7C08">
            <w:pPr>
              <w:cnfStyle w:val="000000000000" w:firstRow="0" w:lastRow="0" w:firstColumn="0" w:lastColumn="0" w:oddVBand="0" w:evenVBand="0" w:oddHBand="0" w:evenHBand="0" w:firstRowFirstColumn="0" w:firstRowLastColumn="0" w:lastRowFirstColumn="0" w:lastRowLastColumn="0"/>
            </w:pPr>
            <w:r w:rsidRPr="00AA22F2">
              <w:rPr>
                <w:szCs w:val="20"/>
                <w:lang w:eastAsia="fr-FR" w:bidi="ar-SA"/>
              </w:rPr>
              <w:t>ONDA / Exploitant</w:t>
            </w:r>
          </w:p>
        </w:tc>
        <w:tc>
          <w:tcPr>
            <w:tcW w:w="0" w:type="auto"/>
            <w:hideMark/>
          </w:tcPr>
          <w:p w14:paraId="754793EA" w14:textId="7346811C" w:rsidR="00DD7C08" w:rsidRPr="006078CF" w:rsidRDefault="00DD7C08" w:rsidP="00DD7C08">
            <w:pPr>
              <w:cnfStyle w:val="000000000000" w:firstRow="0" w:lastRow="0" w:firstColumn="0" w:lastColumn="0" w:oddVBand="0" w:evenVBand="0" w:oddHBand="0" w:evenHBand="0" w:firstRowFirstColumn="0" w:firstRowLastColumn="0" w:lastRowFirstColumn="0" w:lastRowLastColumn="0"/>
            </w:pPr>
            <w:r w:rsidRPr="00AA22F2">
              <w:rPr>
                <w:szCs w:val="20"/>
                <w:lang w:eastAsia="fr-FR" w:bidi="ar-SA"/>
              </w:rPr>
              <w:t>ONDA</w:t>
            </w:r>
          </w:p>
        </w:tc>
        <w:tc>
          <w:tcPr>
            <w:tcW w:w="0" w:type="auto"/>
            <w:hideMark/>
          </w:tcPr>
          <w:p w14:paraId="56025C09" w14:textId="4CB203CC" w:rsidR="00DD7C08" w:rsidRPr="006078CF" w:rsidRDefault="00DD7C08" w:rsidP="00DD7C08">
            <w:pPr>
              <w:cnfStyle w:val="000000000000" w:firstRow="0" w:lastRow="0" w:firstColumn="0" w:lastColumn="0" w:oddVBand="0" w:evenVBand="0" w:oddHBand="0" w:evenHBand="0" w:firstRowFirstColumn="0" w:firstRowLastColumn="0" w:lastRowFirstColumn="0" w:lastRowLastColumn="0"/>
            </w:pPr>
            <w:r w:rsidRPr="00AA22F2">
              <w:rPr>
                <w:szCs w:val="20"/>
                <w:lang w:eastAsia="fr-FR" w:bidi="ar-SA"/>
              </w:rPr>
              <w:t>ONDA</w:t>
            </w:r>
          </w:p>
        </w:tc>
        <w:tc>
          <w:tcPr>
            <w:tcW w:w="0" w:type="auto"/>
            <w:hideMark/>
          </w:tcPr>
          <w:p w14:paraId="3391B1FE" w14:textId="77777777" w:rsidR="00DD7C08" w:rsidRPr="006078CF" w:rsidRDefault="00DD7C08" w:rsidP="00DD7C08">
            <w:pPr>
              <w:cnfStyle w:val="000000000000" w:firstRow="0" w:lastRow="0" w:firstColumn="0" w:lastColumn="0" w:oddVBand="0" w:evenVBand="0" w:oddHBand="0" w:evenHBand="0" w:firstRowFirstColumn="0" w:firstRowLastColumn="0" w:lastRowFirstColumn="0" w:lastRowLastColumn="0"/>
            </w:pPr>
            <w:r w:rsidRPr="006078CF">
              <w:t>Phase exploitation</w:t>
            </w:r>
          </w:p>
        </w:tc>
        <w:tc>
          <w:tcPr>
            <w:tcW w:w="0" w:type="auto"/>
            <w:hideMark/>
          </w:tcPr>
          <w:p w14:paraId="77662640" w14:textId="5B836CA7" w:rsidR="00DD7C08" w:rsidRPr="006078CF" w:rsidRDefault="00DD7C08" w:rsidP="00DD7C08">
            <w:pPr>
              <w:cnfStyle w:val="000000000000" w:firstRow="0" w:lastRow="0" w:firstColumn="0" w:lastColumn="0" w:oddVBand="0" w:evenVBand="0" w:oddHBand="0" w:evenHBand="0" w:firstRowFirstColumn="0" w:firstRowLastColumn="0" w:lastRowFirstColumn="0" w:lastRowLastColumn="0"/>
            </w:pPr>
            <w:r w:rsidRPr="00C757C7">
              <w:t xml:space="preserve">3 500 – 4 000 </w:t>
            </w:r>
            <w:r>
              <w:t>MAD</w:t>
            </w:r>
            <w:r w:rsidRPr="00C757C7">
              <w:t>/luminaire</w:t>
            </w:r>
          </w:p>
        </w:tc>
      </w:tr>
      <w:tr w:rsidR="00DD7C08" w:rsidRPr="006078CF" w14:paraId="70945BD9" w14:textId="77777777" w:rsidTr="00D60FC9">
        <w:tc>
          <w:tcPr>
            <w:cnfStyle w:val="001000000000" w:firstRow="0" w:lastRow="0" w:firstColumn="1" w:lastColumn="0" w:oddVBand="0" w:evenVBand="0" w:oddHBand="0" w:evenHBand="0" w:firstRowFirstColumn="0" w:firstRowLastColumn="0" w:lastRowFirstColumn="0" w:lastRowLastColumn="0"/>
            <w:tcW w:w="0" w:type="auto"/>
            <w:vMerge/>
            <w:hideMark/>
          </w:tcPr>
          <w:p w14:paraId="4F862A52" w14:textId="77777777" w:rsidR="00DD7C08" w:rsidRPr="006078CF" w:rsidRDefault="00DD7C08" w:rsidP="00DD7C08"/>
        </w:tc>
        <w:tc>
          <w:tcPr>
            <w:tcW w:w="0" w:type="auto"/>
            <w:hideMark/>
          </w:tcPr>
          <w:p w14:paraId="6912596A" w14:textId="77777777" w:rsidR="00DD7C08" w:rsidRPr="006078CF" w:rsidRDefault="00DD7C08" w:rsidP="00DD7C08">
            <w:pPr>
              <w:cnfStyle w:val="000000000000" w:firstRow="0" w:lastRow="0" w:firstColumn="0" w:lastColumn="0" w:oddVBand="0" w:evenVBand="0" w:oddHBand="0" w:evenHBand="0" w:firstRowFirstColumn="0" w:firstRowLastColumn="0" w:lastRowFirstColumn="0" w:lastRowLastColumn="0"/>
              <w:rPr>
                <w:b/>
                <w:bCs/>
              </w:rPr>
            </w:pPr>
            <w:r w:rsidRPr="006078CF">
              <w:rPr>
                <w:b/>
                <w:bCs/>
              </w:rPr>
              <w:t>Atténuer</w:t>
            </w:r>
          </w:p>
        </w:tc>
        <w:tc>
          <w:tcPr>
            <w:tcW w:w="2179" w:type="dxa"/>
            <w:hideMark/>
          </w:tcPr>
          <w:p w14:paraId="7FFD183D" w14:textId="77777777" w:rsidR="00DD7C08" w:rsidRPr="006078CF" w:rsidRDefault="00DD7C08" w:rsidP="00DD7C08">
            <w:pPr>
              <w:cnfStyle w:val="000000000000" w:firstRow="0" w:lastRow="0" w:firstColumn="0" w:lastColumn="0" w:oddVBand="0" w:evenVBand="0" w:oddHBand="0" w:evenHBand="0" w:firstRowFirstColumn="0" w:firstRowLastColumn="0" w:lastRowFirstColumn="0" w:lastRowLastColumn="0"/>
            </w:pPr>
            <w:r w:rsidRPr="006078CF">
              <w:t>Programmer l’extinction partielle ou la réduction automatique de l’éclairage en période nocturne faible trafic.</w:t>
            </w:r>
          </w:p>
        </w:tc>
        <w:tc>
          <w:tcPr>
            <w:tcW w:w="1738" w:type="dxa"/>
            <w:hideMark/>
          </w:tcPr>
          <w:p w14:paraId="2B97C91C" w14:textId="59C5D819" w:rsidR="00DD7C08" w:rsidRPr="006078CF" w:rsidRDefault="00DD7C08" w:rsidP="00DD7C08">
            <w:pPr>
              <w:cnfStyle w:val="000000000000" w:firstRow="0" w:lastRow="0" w:firstColumn="0" w:lastColumn="0" w:oddVBand="0" w:evenVBand="0" w:oddHBand="0" w:evenHBand="0" w:firstRowFirstColumn="0" w:firstRowLastColumn="0" w:lastRowFirstColumn="0" w:lastRowLastColumn="0"/>
            </w:pPr>
            <w:r w:rsidRPr="006078CF">
              <w:t xml:space="preserve">% </w:t>
            </w:r>
            <w:r>
              <w:t xml:space="preserve">réduit </w:t>
            </w:r>
            <w:r w:rsidRPr="006078CF">
              <w:t>du flux lumineux hors heures de pointe</w:t>
            </w:r>
          </w:p>
        </w:tc>
        <w:tc>
          <w:tcPr>
            <w:tcW w:w="0" w:type="auto"/>
            <w:hideMark/>
          </w:tcPr>
          <w:p w14:paraId="790AEED7" w14:textId="4C1C7E3A" w:rsidR="00DD7C08" w:rsidRPr="006078CF" w:rsidRDefault="00DD7C08" w:rsidP="00DD7C08">
            <w:pPr>
              <w:cnfStyle w:val="000000000000" w:firstRow="0" w:lastRow="0" w:firstColumn="0" w:lastColumn="0" w:oddVBand="0" w:evenVBand="0" w:oddHBand="0" w:evenHBand="0" w:firstRowFirstColumn="0" w:firstRowLastColumn="0" w:lastRowFirstColumn="0" w:lastRowLastColumn="0"/>
            </w:pPr>
            <w:r w:rsidRPr="00AA22F2">
              <w:rPr>
                <w:szCs w:val="20"/>
                <w:lang w:eastAsia="fr-FR" w:bidi="ar-SA"/>
              </w:rPr>
              <w:t>ONDA / Exploitant</w:t>
            </w:r>
          </w:p>
        </w:tc>
        <w:tc>
          <w:tcPr>
            <w:tcW w:w="0" w:type="auto"/>
            <w:hideMark/>
          </w:tcPr>
          <w:p w14:paraId="3379ACBC" w14:textId="711A955E" w:rsidR="00DD7C08" w:rsidRPr="006078CF" w:rsidRDefault="00DD7C08" w:rsidP="00DD7C08">
            <w:pPr>
              <w:cnfStyle w:val="000000000000" w:firstRow="0" w:lastRow="0" w:firstColumn="0" w:lastColumn="0" w:oddVBand="0" w:evenVBand="0" w:oddHBand="0" w:evenHBand="0" w:firstRowFirstColumn="0" w:firstRowLastColumn="0" w:lastRowFirstColumn="0" w:lastRowLastColumn="0"/>
            </w:pPr>
            <w:r w:rsidRPr="00AA22F2">
              <w:rPr>
                <w:szCs w:val="20"/>
                <w:lang w:eastAsia="fr-FR" w:bidi="ar-SA"/>
              </w:rPr>
              <w:t>ONDA</w:t>
            </w:r>
          </w:p>
        </w:tc>
        <w:tc>
          <w:tcPr>
            <w:tcW w:w="0" w:type="auto"/>
            <w:hideMark/>
          </w:tcPr>
          <w:p w14:paraId="5DE4813C" w14:textId="0F40EA09" w:rsidR="00DD7C08" w:rsidRPr="006078CF" w:rsidRDefault="00DD7C08" w:rsidP="00DD7C08">
            <w:pPr>
              <w:cnfStyle w:val="000000000000" w:firstRow="0" w:lastRow="0" w:firstColumn="0" w:lastColumn="0" w:oddVBand="0" w:evenVBand="0" w:oddHBand="0" w:evenHBand="0" w:firstRowFirstColumn="0" w:firstRowLastColumn="0" w:lastRowFirstColumn="0" w:lastRowLastColumn="0"/>
            </w:pPr>
            <w:r w:rsidRPr="00AA22F2">
              <w:rPr>
                <w:szCs w:val="20"/>
                <w:lang w:eastAsia="fr-FR" w:bidi="ar-SA"/>
              </w:rPr>
              <w:t>ONDA</w:t>
            </w:r>
          </w:p>
        </w:tc>
        <w:tc>
          <w:tcPr>
            <w:tcW w:w="0" w:type="auto"/>
            <w:hideMark/>
          </w:tcPr>
          <w:p w14:paraId="223ECBF1" w14:textId="77777777" w:rsidR="00DD7C08" w:rsidRPr="006078CF" w:rsidRDefault="00DD7C08" w:rsidP="00DD7C08">
            <w:pPr>
              <w:cnfStyle w:val="000000000000" w:firstRow="0" w:lastRow="0" w:firstColumn="0" w:lastColumn="0" w:oddVBand="0" w:evenVBand="0" w:oddHBand="0" w:evenHBand="0" w:firstRowFirstColumn="0" w:firstRowLastColumn="0" w:lastRowFirstColumn="0" w:lastRowLastColumn="0"/>
            </w:pPr>
            <w:r w:rsidRPr="006078CF">
              <w:t>En exploitation</w:t>
            </w:r>
          </w:p>
        </w:tc>
        <w:tc>
          <w:tcPr>
            <w:tcW w:w="0" w:type="auto"/>
            <w:hideMark/>
          </w:tcPr>
          <w:p w14:paraId="5E229AAA" w14:textId="5BEC2ABE" w:rsidR="00DD7C08" w:rsidRPr="006078CF" w:rsidRDefault="00DD7C08" w:rsidP="00DD7C08">
            <w:pPr>
              <w:cnfStyle w:val="000000000000" w:firstRow="0" w:lastRow="0" w:firstColumn="0" w:lastColumn="0" w:oddVBand="0" w:evenVBand="0" w:oddHBand="0" w:evenHBand="0" w:firstRowFirstColumn="0" w:firstRowLastColumn="0" w:lastRowFirstColumn="0" w:lastRowLastColumn="0"/>
            </w:pPr>
            <w:r w:rsidRPr="0034740C">
              <w:t>2 000 – 3 000</w:t>
            </w:r>
            <w:r>
              <w:t xml:space="preserve"> MAD</w:t>
            </w:r>
            <w:r w:rsidRPr="0034740C">
              <w:t xml:space="preserve"> /automate programmable ou détecteur crépusculaire</w:t>
            </w:r>
          </w:p>
        </w:tc>
      </w:tr>
      <w:tr w:rsidR="00DD7C08" w:rsidRPr="006078CF" w14:paraId="0C4B5138" w14:textId="77777777" w:rsidTr="00D60FC9">
        <w:tc>
          <w:tcPr>
            <w:cnfStyle w:val="001000000000" w:firstRow="0" w:lastRow="0" w:firstColumn="1" w:lastColumn="0" w:oddVBand="0" w:evenVBand="0" w:oddHBand="0" w:evenHBand="0" w:firstRowFirstColumn="0" w:firstRowLastColumn="0" w:lastRowFirstColumn="0" w:lastRowLastColumn="0"/>
            <w:tcW w:w="0" w:type="auto"/>
            <w:vMerge/>
            <w:hideMark/>
          </w:tcPr>
          <w:p w14:paraId="069489D9" w14:textId="77777777" w:rsidR="00DD7C08" w:rsidRPr="006078CF" w:rsidRDefault="00DD7C08" w:rsidP="00DD7C08"/>
        </w:tc>
        <w:tc>
          <w:tcPr>
            <w:tcW w:w="0" w:type="auto"/>
            <w:hideMark/>
          </w:tcPr>
          <w:p w14:paraId="0B79009C" w14:textId="77777777" w:rsidR="00DD7C08" w:rsidRPr="006078CF" w:rsidRDefault="00DD7C08" w:rsidP="00DD7C08">
            <w:pPr>
              <w:cnfStyle w:val="000000000000" w:firstRow="0" w:lastRow="0" w:firstColumn="0" w:lastColumn="0" w:oddVBand="0" w:evenVBand="0" w:oddHBand="0" w:evenHBand="0" w:firstRowFirstColumn="0" w:firstRowLastColumn="0" w:lastRowFirstColumn="0" w:lastRowLastColumn="0"/>
              <w:rPr>
                <w:b/>
                <w:bCs/>
              </w:rPr>
            </w:pPr>
            <w:r w:rsidRPr="006078CF">
              <w:rPr>
                <w:b/>
                <w:bCs/>
              </w:rPr>
              <w:t>Compenser</w:t>
            </w:r>
          </w:p>
        </w:tc>
        <w:tc>
          <w:tcPr>
            <w:tcW w:w="2179" w:type="dxa"/>
            <w:hideMark/>
          </w:tcPr>
          <w:p w14:paraId="3C190BAE" w14:textId="77777777" w:rsidR="00DD7C08" w:rsidRPr="006078CF" w:rsidRDefault="00DD7C08" w:rsidP="00DD7C08">
            <w:pPr>
              <w:cnfStyle w:val="000000000000" w:firstRow="0" w:lastRow="0" w:firstColumn="0" w:lastColumn="0" w:oddVBand="0" w:evenVBand="0" w:oddHBand="0" w:evenHBand="0" w:firstRowFirstColumn="0" w:firstRowLastColumn="0" w:lastRowFirstColumn="0" w:lastRowLastColumn="0"/>
            </w:pPr>
            <w:r w:rsidRPr="006078CF">
              <w:t>Favoriser l’installation de haies ou bandes végétalisées filtrantes en périphérie pour atténuer la diffusion lumineuse.</w:t>
            </w:r>
          </w:p>
        </w:tc>
        <w:tc>
          <w:tcPr>
            <w:tcW w:w="1738" w:type="dxa"/>
            <w:hideMark/>
          </w:tcPr>
          <w:p w14:paraId="27E1F618" w14:textId="77777777" w:rsidR="00DD7C08" w:rsidRPr="006078CF" w:rsidRDefault="00DD7C08" w:rsidP="00DD7C08">
            <w:pPr>
              <w:cnfStyle w:val="000000000000" w:firstRow="0" w:lastRow="0" w:firstColumn="0" w:lastColumn="0" w:oddVBand="0" w:evenVBand="0" w:oddHBand="0" w:evenHBand="0" w:firstRowFirstColumn="0" w:firstRowLastColumn="0" w:lastRowFirstColumn="0" w:lastRowLastColumn="0"/>
            </w:pPr>
            <w:r w:rsidRPr="006078CF">
              <w:t>Haies plantées et entretenues sur les zones sensibles</w:t>
            </w:r>
          </w:p>
        </w:tc>
        <w:tc>
          <w:tcPr>
            <w:tcW w:w="0" w:type="auto"/>
            <w:hideMark/>
          </w:tcPr>
          <w:p w14:paraId="22AAAF11" w14:textId="03271728" w:rsidR="00DD7C08" w:rsidRPr="006078CF" w:rsidRDefault="00DD7C08" w:rsidP="00DD7C08">
            <w:pPr>
              <w:cnfStyle w:val="000000000000" w:firstRow="0" w:lastRow="0" w:firstColumn="0" w:lastColumn="0" w:oddVBand="0" w:evenVBand="0" w:oddHBand="0" w:evenHBand="0" w:firstRowFirstColumn="0" w:firstRowLastColumn="0" w:lastRowFirstColumn="0" w:lastRowLastColumn="0"/>
            </w:pPr>
            <w:r w:rsidRPr="00AA22F2">
              <w:rPr>
                <w:szCs w:val="20"/>
                <w:lang w:eastAsia="fr-FR" w:bidi="ar-SA"/>
              </w:rPr>
              <w:t>ONDA / Exploitant</w:t>
            </w:r>
          </w:p>
        </w:tc>
        <w:tc>
          <w:tcPr>
            <w:tcW w:w="0" w:type="auto"/>
            <w:hideMark/>
          </w:tcPr>
          <w:p w14:paraId="090AE96F" w14:textId="34A54646" w:rsidR="00DD7C08" w:rsidRPr="006078CF" w:rsidRDefault="00DD7C08" w:rsidP="00DD7C08">
            <w:pPr>
              <w:cnfStyle w:val="000000000000" w:firstRow="0" w:lastRow="0" w:firstColumn="0" w:lastColumn="0" w:oddVBand="0" w:evenVBand="0" w:oddHBand="0" w:evenHBand="0" w:firstRowFirstColumn="0" w:firstRowLastColumn="0" w:lastRowFirstColumn="0" w:lastRowLastColumn="0"/>
            </w:pPr>
            <w:r w:rsidRPr="00AA22F2">
              <w:rPr>
                <w:szCs w:val="20"/>
                <w:lang w:eastAsia="fr-FR" w:bidi="ar-SA"/>
              </w:rPr>
              <w:t>ONDA</w:t>
            </w:r>
          </w:p>
        </w:tc>
        <w:tc>
          <w:tcPr>
            <w:tcW w:w="0" w:type="auto"/>
            <w:hideMark/>
          </w:tcPr>
          <w:p w14:paraId="02A9FB07" w14:textId="7D977D9D" w:rsidR="00DD7C08" w:rsidRPr="006078CF" w:rsidRDefault="00DD7C08" w:rsidP="00DD7C08">
            <w:pPr>
              <w:cnfStyle w:val="000000000000" w:firstRow="0" w:lastRow="0" w:firstColumn="0" w:lastColumn="0" w:oddVBand="0" w:evenVBand="0" w:oddHBand="0" w:evenHBand="0" w:firstRowFirstColumn="0" w:firstRowLastColumn="0" w:lastRowFirstColumn="0" w:lastRowLastColumn="0"/>
            </w:pPr>
            <w:r w:rsidRPr="00AA22F2">
              <w:rPr>
                <w:szCs w:val="20"/>
                <w:lang w:eastAsia="fr-FR" w:bidi="ar-SA"/>
              </w:rPr>
              <w:t>ONDA</w:t>
            </w:r>
          </w:p>
        </w:tc>
        <w:tc>
          <w:tcPr>
            <w:tcW w:w="0" w:type="auto"/>
            <w:hideMark/>
          </w:tcPr>
          <w:p w14:paraId="4E0FFBC2" w14:textId="77777777" w:rsidR="00DD7C08" w:rsidRPr="006078CF" w:rsidRDefault="00DD7C08" w:rsidP="00DD7C08">
            <w:pPr>
              <w:cnfStyle w:val="000000000000" w:firstRow="0" w:lastRow="0" w:firstColumn="0" w:lastColumn="0" w:oddVBand="0" w:evenVBand="0" w:oddHBand="0" w:evenHBand="0" w:firstRowFirstColumn="0" w:firstRowLastColumn="0" w:lastRowFirstColumn="0" w:lastRowLastColumn="0"/>
            </w:pPr>
            <w:r w:rsidRPr="006078CF">
              <w:t>Année 1</w:t>
            </w:r>
          </w:p>
        </w:tc>
        <w:tc>
          <w:tcPr>
            <w:tcW w:w="0" w:type="auto"/>
            <w:hideMark/>
          </w:tcPr>
          <w:p w14:paraId="563A0E81" w14:textId="0E30A054" w:rsidR="00DD7C08" w:rsidRPr="006078CF" w:rsidRDefault="00DD7C08" w:rsidP="00DD7C08">
            <w:pPr>
              <w:cnfStyle w:val="000000000000" w:firstRow="0" w:lastRow="0" w:firstColumn="0" w:lastColumn="0" w:oddVBand="0" w:evenVBand="0" w:oddHBand="0" w:evenHBand="0" w:firstRowFirstColumn="0" w:firstRowLastColumn="0" w:lastRowFirstColumn="0" w:lastRowLastColumn="0"/>
            </w:pPr>
            <w:r w:rsidRPr="00C757C7">
              <w:t xml:space="preserve">35 – 45 </w:t>
            </w:r>
            <w:r>
              <w:t>MAD</w:t>
            </w:r>
            <w:r w:rsidRPr="00C757C7">
              <w:t>/m²</w:t>
            </w:r>
            <w:r>
              <w:t xml:space="preserve"> </w:t>
            </w:r>
          </w:p>
        </w:tc>
      </w:tr>
      <w:tr w:rsidR="00DD7C08" w:rsidRPr="006078CF" w14:paraId="56CF1287" w14:textId="77777777" w:rsidTr="00D60FC9">
        <w:tc>
          <w:tcPr>
            <w:cnfStyle w:val="001000000000" w:firstRow="0" w:lastRow="0" w:firstColumn="1" w:lastColumn="0" w:oddVBand="0" w:evenVBand="0" w:oddHBand="0" w:evenHBand="0" w:firstRowFirstColumn="0" w:firstRowLastColumn="0" w:lastRowFirstColumn="0" w:lastRowLastColumn="0"/>
            <w:tcW w:w="0" w:type="auto"/>
            <w:vMerge w:val="restart"/>
            <w:hideMark/>
          </w:tcPr>
          <w:p w14:paraId="52CED7B8" w14:textId="77777777" w:rsidR="00DD7C08" w:rsidRPr="006078CF" w:rsidRDefault="00DD7C08" w:rsidP="00DD7C08">
            <w:r w:rsidRPr="006078CF">
              <w:rPr>
                <w:b w:val="0"/>
                <w:bCs w:val="0"/>
              </w:rPr>
              <w:t>Risque d’attraction de la faune opportuniste (rongeurs, renards, oiseaux communs)</w:t>
            </w:r>
          </w:p>
        </w:tc>
        <w:tc>
          <w:tcPr>
            <w:tcW w:w="0" w:type="auto"/>
            <w:hideMark/>
          </w:tcPr>
          <w:p w14:paraId="643693E5" w14:textId="77777777" w:rsidR="00DD7C08" w:rsidRPr="006078CF" w:rsidRDefault="00DD7C08" w:rsidP="00DD7C08">
            <w:pPr>
              <w:cnfStyle w:val="000000000000" w:firstRow="0" w:lastRow="0" w:firstColumn="0" w:lastColumn="0" w:oddVBand="0" w:evenVBand="0" w:oddHBand="0" w:evenHBand="0" w:firstRowFirstColumn="0" w:firstRowLastColumn="0" w:lastRowFirstColumn="0" w:lastRowLastColumn="0"/>
              <w:rPr>
                <w:b/>
                <w:bCs/>
              </w:rPr>
            </w:pPr>
            <w:r w:rsidRPr="006078CF">
              <w:rPr>
                <w:b/>
                <w:bCs/>
              </w:rPr>
              <w:t>Éviter</w:t>
            </w:r>
          </w:p>
        </w:tc>
        <w:tc>
          <w:tcPr>
            <w:tcW w:w="2179" w:type="dxa"/>
            <w:hideMark/>
          </w:tcPr>
          <w:p w14:paraId="29E69101" w14:textId="77777777" w:rsidR="00DD7C08" w:rsidRDefault="00DD7C08" w:rsidP="00DD7C08">
            <w:pPr>
              <w:cnfStyle w:val="000000000000" w:firstRow="0" w:lastRow="0" w:firstColumn="0" w:lastColumn="0" w:oddVBand="0" w:evenVBand="0" w:oddHBand="0" w:evenHBand="0" w:firstRowFirstColumn="0" w:firstRowLastColumn="0" w:lastRowFirstColumn="0" w:lastRowLastColumn="0"/>
            </w:pPr>
            <w:r w:rsidRPr="006078CF">
              <w:t xml:space="preserve">Interdire tout dépôt de déchets organiques ou alimentaires sur site ; </w:t>
            </w:r>
          </w:p>
          <w:p w14:paraId="1CD4A12B" w14:textId="7A83802B" w:rsidR="00DD7C08" w:rsidRPr="006078CF" w:rsidRDefault="00DD7C08" w:rsidP="00DD7C08">
            <w:pPr>
              <w:cnfStyle w:val="000000000000" w:firstRow="0" w:lastRow="0" w:firstColumn="0" w:lastColumn="0" w:oddVBand="0" w:evenVBand="0" w:oddHBand="0" w:evenHBand="0" w:firstRowFirstColumn="0" w:firstRowLastColumn="0" w:lastRowFirstColumn="0" w:lastRowLastColumn="0"/>
            </w:pPr>
            <w:r>
              <w:t>N</w:t>
            </w:r>
            <w:r w:rsidRPr="006078CF">
              <w:t>ettoyage régulier des aires de maintenance et restauration.</w:t>
            </w:r>
          </w:p>
        </w:tc>
        <w:tc>
          <w:tcPr>
            <w:tcW w:w="1738" w:type="dxa"/>
            <w:hideMark/>
          </w:tcPr>
          <w:p w14:paraId="2437B475" w14:textId="6A767F5C" w:rsidR="00DD7C08" w:rsidRPr="006078CF" w:rsidRDefault="00DD7C08" w:rsidP="00DD7C08">
            <w:pPr>
              <w:cnfStyle w:val="000000000000" w:firstRow="0" w:lastRow="0" w:firstColumn="0" w:lastColumn="0" w:oddVBand="0" w:evenVBand="0" w:oddHBand="0" w:evenHBand="0" w:firstRowFirstColumn="0" w:firstRowLastColumn="0" w:lastRowFirstColumn="0" w:lastRowLastColumn="0"/>
            </w:pPr>
            <w:r w:rsidRPr="006078CF">
              <w:t xml:space="preserve">Taux de non-conformité en propreté </w:t>
            </w:r>
          </w:p>
        </w:tc>
        <w:tc>
          <w:tcPr>
            <w:tcW w:w="0" w:type="auto"/>
            <w:hideMark/>
          </w:tcPr>
          <w:p w14:paraId="0812AB13" w14:textId="17AB46D1" w:rsidR="00DD7C08" w:rsidRPr="006078CF" w:rsidRDefault="00DD7C08" w:rsidP="00DD7C08">
            <w:pPr>
              <w:cnfStyle w:val="000000000000" w:firstRow="0" w:lastRow="0" w:firstColumn="0" w:lastColumn="0" w:oddVBand="0" w:evenVBand="0" w:oddHBand="0" w:evenHBand="0" w:firstRowFirstColumn="0" w:firstRowLastColumn="0" w:lastRowFirstColumn="0" w:lastRowLastColumn="0"/>
            </w:pPr>
            <w:r w:rsidRPr="00AA22F2">
              <w:rPr>
                <w:szCs w:val="20"/>
                <w:lang w:eastAsia="fr-FR" w:bidi="ar-SA"/>
              </w:rPr>
              <w:t>ONDA / Exploitant</w:t>
            </w:r>
          </w:p>
        </w:tc>
        <w:tc>
          <w:tcPr>
            <w:tcW w:w="0" w:type="auto"/>
            <w:hideMark/>
          </w:tcPr>
          <w:p w14:paraId="4F399EB7" w14:textId="43D5158A" w:rsidR="00DD7C08" w:rsidRPr="006078CF" w:rsidRDefault="00DD7C08" w:rsidP="00DD7C08">
            <w:pPr>
              <w:cnfStyle w:val="000000000000" w:firstRow="0" w:lastRow="0" w:firstColumn="0" w:lastColumn="0" w:oddVBand="0" w:evenVBand="0" w:oddHBand="0" w:evenHBand="0" w:firstRowFirstColumn="0" w:firstRowLastColumn="0" w:lastRowFirstColumn="0" w:lastRowLastColumn="0"/>
            </w:pPr>
            <w:r w:rsidRPr="00AA22F2">
              <w:rPr>
                <w:szCs w:val="20"/>
                <w:lang w:eastAsia="fr-FR" w:bidi="ar-SA"/>
              </w:rPr>
              <w:t>ONDA</w:t>
            </w:r>
          </w:p>
        </w:tc>
        <w:tc>
          <w:tcPr>
            <w:tcW w:w="0" w:type="auto"/>
            <w:hideMark/>
          </w:tcPr>
          <w:p w14:paraId="708AAFC3" w14:textId="2F245F87" w:rsidR="00DD7C08" w:rsidRPr="006078CF" w:rsidRDefault="00DD7C08" w:rsidP="00DD7C08">
            <w:pPr>
              <w:cnfStyle w:val="000000000000" w:firstRow="0" w:lastRow="0" w:firstColumn="0" w:lastColumn="0" w:oddVBand="0" w:evenVBand="0" w:oddHBand="0" w:evenHBand="0" w:firstRowFirstColumn="0" w:firstRowLastColumn="0" w:lastRowFirstColumn="0" w:lastRowLastColumn="0"/>
            </w:pPr>
            <w:r w:rsidRPr="00AA22F2">
              <w:rPr>
                <w:szCs w:val="20"/>
                <w:lang w:eastAsia="fr-FR" w:bidi="ar-SA"/>
              </w:rPr>
              <w:t>ONDA</w:t>
            </w:r>
          </w:p>
        </w:tc>
        <w:tc>
          <w:tcPr>
            <w:tcW w:w="0" w:type="auto"/>
            <w:hideMark/>
          </w:tcPr>
          <w:p w14:paraId="1385D184" w14:textId="77777777" w:rsidR="00DD7C08" w:rsidRPr="006078CF" w:rsidRDefault="00DD7C08" w:rsidP="00DD7C08">
            <w:pPr>
              <w:cnfStyle w:val="000000000000" w:firstRow="0" w:lastRow="0" w:firstColumn="0" w:lastColumn="0" w:oddVBand="0" w:evenVBand="0" w:oddHBand="0" w:evenHBand="0" w:firstRowFirstColumn="0" w:firstRowLastColumn="0" w:lastRowFirstColumn="0" w:lastRowLastColumn="0"/>
            </w:pPr>
            <w:r w:rsidRPr="006078CF">
              <w:t>Permanent</w:t>
            </w:r>
          </w:p>
        </w:tc>
        <w:tc>
          <w:tcPr>
            <w:tcW w:w="0" w:type="auto"/>
            <w:hideMark/>
          </w:tcPr>
          <w:p w14:paraId="0FC36A3B" w14:textId="2A3580C2" w:rsidR="00DD7C08" w:rsidRPr="006078CF" w:rsidRDefault="00DD7C08" w:rsidP="00DD7C08">
            <w:pPr>
              <w:cnfStyle w:val="000000000000" w:firstRow="0" w:lastRow="0" w:firstColumn="0" w:lastColumn="0" w:oddVBand="0" w:evenVBand="0" w:oddHBand="0" w:evenHBand="0" w:firstRowFirstColumn="0" w:firstRowLastColumn="0" w:lastRowFirstColumn="0" w:lastRowLastColumn="0"/>
            </w:pPr>
            <w:r>
              <w:t>Aucun coût spécifique</w:t>
            </w:r>
          </w:p>
        </w:tc>
      </w:tr>
      <w:tr w:rsidR="00DD7C08" w:rsidRPr="006078CF" w14:paraId="3633D4DD" w14:textId="77777777" w:rsidTr="00D60FC9">
        <w:tc>
          <w:tcPr>
            <w:cnfStyle w:val="001000000000" w:firstRow="0" w:lastRow="0" w:firstColumn="1" w:lastColumn="0" w:oddVBand="0" w:evenVBand="0" w:oddHBand="0" w:evenHBand="0" w:firstRowFirstColumn="0" w:firstRowLastColumn="0" w:lastRowFirstColumn="0" w:lastRowLastColumn="0"/>
            <w:tcW w:w="0" w:type="auto"/>
            <w:vMerge/>
            <w:hideMark/>
          </w:tcPr>
          <w:p w14:paraId="6106AE9E" w14:textId="77777777" w:rsidR="00DD7C08" w:rsidRPr="006078CF" w:rsidRDefault="00DD7C08" w:rsidP="00DD7C08"/>
        </w:tc>
        <w:tc>
          <w:tcPr>
            <w:tcW w:w="0" w:type="auto"/>
            <w:hideMark/>
          </w:tcPr>
          <w:p w14:paraId="5865BA9D" w14:textId="77777777" w:rsidR="00DD7C08" w:rsidRPr="006078CF" w:rsidRDefault="00DD7C08" w:rsidP="00DD7C08">
            <w:pPr>
              <w:cnfStyle w:val="000000000000" w:firstRow="0" w:lastRow="0" w:firstColumn="0" w:lastColumn="0" w:oddVBand="0" w:evenVBand="0" w:oddHBand="0" w:evenHBand="0" w:firstRowFirstColumn="0" w:firstRowLastColumn="0" w:lastRowFirstColumn="0" w:lastRowLastColumn="0"/>
              <w:rPr>
                <w:b/>
                <w:bCs/>
              </w:rPr>
            </w:pPr>
            <w:r w:rsidRPr="006078CF">
              <w:rPr>
                <w:b/>
                <w:bCs/>
              </w:rPr>
              <w:t>Réduire</w:t>
            </w:r>
          </w:p>
        </w:tc>
        <w:tc>
          <w:tcPr>
            <w:tcW w:w="2179" w:type="dxa"/>
            <w:hideMark/>
          </w:tcPr>
          <w:p w14:paraId="51B5035C" w14:textId="77777777" w:rsidR="00DD7C08" w:rsidRPr="006078CF" w:rsidRDefault="00DD7C08" w:rsidP="00DD7C08">
            <w:pPr>
              <w:cnfStyle w:val="000000000000" w:firstRow="0" w:lastRow="0" w:firstColumn="0" w:lastColumn="0" w:oddVBand="0" w:evenVBand="0" w:oddHBand="0" w:evenHBand="0" w:firstRowFirstColumn="0" w:firstRowLastColumn="0" w:lastRowFirstColumn="0" w:lastRowLastColumn="0"/>
            </w:pPr>
            <w:r w:rsidRPr="006078CF">
              <w:t>Assurer la gestion rigoureuse des poubelles (fermeture hermétique, collecte quotidienne).</w:t>
            </w:r>
          </w:p>
        </w:tc>
        <w:tc>
          <w:tcPr>
            <w:tcW w:w="1738" w:type="dxa"/>
            <w:hideMark/>
          </w:tcPr>
          <w:p w14:paraId="284EB099" w14:textId="77777777" w:rsidR="00DD7C08" w:rsidRPr="006078CF" w:rsidRDefault="00DD7C08" w:rsidP="00DD7C08">
            <w:pPr>
              <w:cnfStyle w:val="000000000000" w:firstRow="0" w:lastRow="0" w:firstColumn="0" w:lastColumn="0" w:oddVBand="0" w:evenVBand="0" w:oddHBand="0" w:evenHBand="0" w:firstRowFirstColumn="0" w:firstRowLastColumn="0" w:lastRowFirstColumn="0" w:lastRowLastColumn="0"/>
            </w:pPr>
            <w:r w:rsidRPr="006078CF">
              <w:t>Absence d’activité faunistique opportuniste observée</w:t>
            </w:r>
          </w:p>
        </w:tc>
        <w:tc>
          <w:tcPr>
            <w:tcW w:w="0" w:type="auto"/>
            <w:hideMark/>
          </w:tcPr>
          <w:p w14:paraId="6DD99EB1" w14:textId="3701F868" w:rsidR="00DD7C08" w:rsidRPr="006078CF" w:rsidRDefault="00DD7C08" w:rsidP="00DD7C08">
            <w:pPr>
              <w:cnfStyle w:val="000000000000" w:firstRow="0" w:lastRow="0" w:firstColumn="0" w:lastColumn="0" w:oddVBand="0" w:evenVBand="0" w:oddHBand="0" w:evenHBand="0" w:firstRowFirstColumn="0" w:firstRowLastColumn="0" w:lastRowFirstColumn="0" w:lastRowLastColumn="0"/>
            </w:pPr>
            <w:r w:rsidRPr="00AA22F2">
              <w:rPr>
                <w:szCs w:val="20"/>
                <w:lang w:eastAsia="fr-FR" w:bidi="ar-SA"/>
              </w:rPr>
              <w:t>ONDA / Exploitant</w:t>
            </w:r>
          </w:p>
        </w:tc>
        <w:tc>
          <w:tcPr>
            <w:tcW w:w="0" w:type="auto"/>
            <w:hideMark/>
          </w:tcPr>
          <w:p w14:paraId="50A9E695" w14:textId="584C1F4E" w:rsidR="00DD7C08" w:rsidRPr="006078CF" w:rsidRDefault="00DD7C08" w:rsidP="00DD7C08">
            <w:pPr>
              <w:cnfStyle w:val="000000000000" w:firstRow="0" w:lastRow="0" w:firstColumn="0" w:lastColumn="0" w:oddVBand="0" w:evenVBand="0" w:oddHBand="0" w:evenHBand="0" w:firstRowFirstColumn="0" w:firstRowLastColumn="0" w:lastRowFirstColumn="0" w:lastRowLastColumn="0"/>
            </w:pPr>
            <w:r w:rsidRPr="00AA22F2">
              <w:rPr>
                <w:szCs w:val="20"/>
                <w:lang w:eastAsia="fr-FR" w:bidi="ar-SA"/>
              </w:rPr>
              <w:t>ONDA</w:t>
            </w:r>
          </w:p>
        </w:tc>
        <w:tc>
          <w:tcPr>
            <w:tcW w:w="0" w:type="auto"/>
            <w:hideMark/>
          </w:tcPr>
          <w:p w14:paraId="20FFCCC1" w14:textId="41181263" w:rsidR="00DD7C08" w:rsidRPr="006078CF" w:rsidRDefault="00DD7C08" w:rsidP="00DD7C08">
            <w:pPr>
              <w:cnfStyle w:val="000000000000" w:firstRow="0" w:lastRow="0" w:firstColumn="0" w:lastColumn="0" w:oddVBand="0" w:evenVBand="0" w:oddHBand="0" w:evenHBand="0" w:firstRowFirstColumn="0" w:firstRowLastColumn="0" w:lastRowFirstColumn="0" w:lastRowLastColumn="0"/>
            </w:pPr>
            <w:r w:rsidRPr="00AA22F2">
              <w:rPr>
                <w:szCs w:val="20"/>
                <w:lang w:eastAsia="fr-FR" w:bidi="ar-SA"/>
              </w:rPr>
              <w:t>ONDA</w:t>
            </w:r>
          </w:p>
        </w:tc>
        <w:tc>
          <w:tcPr>
            <w:tcW w:w="0" w:type="auto"/>
            <w:hideMark/>
          </w:tcPr>
          <w:p w14:paraId="105ECDCD" w14:textId="77777777" w:rsidR="00DD7C08" w:rsidRPr="006078CF" w:rsidRDefault="00DD7C08" w:rsidP="00DD7C08">
            <w:pPr>
              <w:cnfStyle w:val="000000000000" w:firstRow="0" w:lastRow="0" w:firstColumn="0" w:lastColumn="0" w:oddVBand="0" w:evenVBand="0" w:oddHBand="0" w:evenHBand="0" w:firstRowFirstColumn="0" w:firstRowLastColumn="0" w:lastRowFirstColumn="0" w:lastRowLastColumn="0"/>
            </w:pPr>
            <w:r w:rsidRPr="006078CF">
              <w:t>Permanent</w:t>
            </w:r>
          </w:p>
        </w:tc>
        <w:tc>
          <w:tcPr>
            <w:tcW w:w="0" w:type="auto"/>
            <w:hideMark/>
          </w:tcPr>
          <w:p w14:paraId="2009E21A" w14:textId="21D8E0AB" w:rsidR="00DD7C08" w:rsidRPr="006078CF" w:rsidRDefault="00DD7C08" w:rsidP="00DD7C08">
            <w:pPr>
              <w:cnfStyle w:val="000000000000" w:firstRow="0" w:lastRow="0" w:firstColumn="0" w:lastColumn="0" w:oddVBand="0" w:evenVBand="0" w:oddHBand="0" w:evenHBand="0" w:firstRowFirstColumn="0" w:firstRowLastColumn="0" w:lastRowFirstColumn="0" w:lastRowLastColumn="0"/>
            </w:pPr>
            <w:r w:rsidRPr="0034740C">
              <w:t xml:space="preserve">1 500 – 2 000 </w:t>
            </w:r>
            <w:r>
              <w:t>MAD</w:t>
            </w:r>
            <w:r w:rsidRPr="0034740C">
              <w:t>/bac métallique hermétique</w:t>
            </w:r>
          </w:p>
        </w:tc>
      </w:tr>
      <w:tr w:rsidR="00DD7C08" w:rsidRPr="006078CF" w14:paraId="0EC98B44" w14:textId="77777777" w:rsidTr="00D60FC9">
        <w:tc>
          <w:tcPr>
            <w:cnfStyle w:val="001000000000" w:firstRow="0" w:lastRow="0" w:firstColumn="1" w:lastColumn="0" w:oddVBand="0" w:evenVBand="0" w:oddHBand="0" w:evenHBand="0" w:firstRowFirstColumn="0" w:firstRowLastColumn="0" w:lastRowFirstColumn="0" w:lastRowLastColumn="0"/>
            <w:tcW w:w="0" w:type="auto"/>
            <w:vMerge/>
            <w:hideMark/>
          </w:tcPr>
          <w:p w14:paraId="7D79FED1" w14:textId="77777777" w:rsidR="00DD7C08" w:rsidRPr="006078CF" w:rsidRDefault="00DD7C08" w:rsidP="00DD7C08"/>
        </w:tc>
        <w:tc>
          <w:tcPr>
            <w:tcW w:w="0" w:type="auto"/>
            <w:hideMark/>
          </w:tcPr>
          <w:p w14:paraId="4C31A4A4" w14:textId="77777777" w:rsidR="00DD7C08" w:rsidRPr="006078CF" w:rsidRDefault="00DD7C08" w:rsidP="00DD7C08">
            <w:pPr>
              <w:cnfStyle w:val="000000000000" w:firstRow="0" w:lastRow="0" w:firstColumn="0" w:lastColumn="0" w:oddVBand="0" w:evenVBand="0" w:oddHBand="0" w:evenHBand="0" w:firstRowFirstColumn="0" w:firstRowLastColumn="0" w:lastRowFirstColumn="0" w:lastRowLastColumn="0"/>
              <w:rPr>
                <w:b/>
                <w:bCs/>
              </w:rPr>
            </w:pPr>
            <w:r w:rsidRPr="006078CF">
              <w:rPr>
                <w:b/>
                <w:bCs/>
              </w:rPr>
              <w:t>Atténuer</w:t>
            </w:r>
          </w:p>
        </w:tc>
        <w:tc>
          <w:tcPr>
            <w:tcW w:w="2179" w:type="dxa"/>
            <w:hideMark/>
          </w:tcPr>
          <w:p w14:paraId="27860637" w14:textId="77777777" w:rsidR="00DD7C08" w:rsidRPr="006078CF" w:rsidRDefault="00DD7C08" w:rsidP="00DD7C08">
            <w:pPr>
              <w:cnfStyle w:val="000000000000" w:firstRow="0" w:lastRow="0" w:firstColumn="0" w:lastColumn="0" w:oddVBand="0" w:evenVBand="0" w:oddHBand="0" w:evenHBand="0" w:firstRowFirstColumn="0" w:firstRowLastColumn="0" w:lastRowFirstColumn="0" w:lastRowLastColumn="0"/>
            </w:pPr>
            <w:r w:rsidRPr="006078CF">
              <w:t>Maintenir la tonte régulière des herbes périphériques pour éviter la nidification opportuniste.</w:t>
            </w:r>
          </w:p>
        </w:tc>
        <w:tc>
          <w:tcPr>
            <w:tcW w:w="1738" w:type="dxa"/>
            <w:hideMark/>
          </w:tcPr>
          <w:p w14:paraId="5BA92F44" w14:textId="5E98765A" w:rsidR="00DD7C08" w:rsidRPr="006078CF" w:rsidRDefault="00DD7C08" w:rsidP="00DD7C08">
            <w:pPr>
              <w:cnfStyle w:val="000000000000" w:firstRow="0" w:lastRow="0" w:firstColumn="0" w:lastColumn="0" w:oddVBand="0" w:evenVBand="0" w:oddHBand="0" w:evenHBand="0" w:firstRowFirstColumn="0" w:firstRowLastColumn="0" w:lastRowFirstColumn="0" w:lastRowLastColumn="0"/>
            </w:pPr>
            <w:r w:rsidRPr="006078CF">
              <w:t xml:space="preserve">Hauteur de végétation </w:t>
            </w:r>
          </w:p>
        </w:tc>
        <w:tc>
          <w:tcPr>
            <w:tcW w:w="0" w:type="auto"/>
            <w:hideMark/>
          </w:tcPr>
          <w:p w14:paraId="048721E4" w14:textId="607E18D5" w:rsidR="00DD7C08" w:rsidRPr="006078CF" w:rsidRDefault="00DD7C08" w:rsidP="00DD7C08">
            <w:pPr>
              <w:cnfStyle w:val="000000000000" w:firstRow="0" w:lastRow="0" w:firstColumn="0" w:lastColumn="0" w:oddVBand="0" w:evenVBand="0" w:oddHBand="0" w:evenHBand="0" w:firstRowFirstColumn="0" w:firstRowLastColumn="0" w:lastRowFirstColumn="0" w:lastRowLastColumn="0"/>
            </w:pPr>
            <w:r w:rsidRPr="00AA22F2">
              <w:rPr>
                <w:szCs w:val="20"/>
                <w:lang w:eastAsia="fr-FR" w:bidi="ar-SA"/>
              </w:rPr>
              <w:t>ONDA / Exploitant</w:t>
            </w:r>
          </w:p>
        </w:tc>
        <w:tc>
          <w:tcPr>
            <w:tcW w:w="0" w:type="auto"/>
            <w:hideMark/>
          </w:tcPr>
          <w:p w14:paraId="4F2BE7AB" w14:textId="64F6007E" w:rsidR="00DD7C08" w:rsidRPr="006078CF" w:rsidRDefault="00DD7C08" w:rsidP="00DD7C08">
            <w:pPr>
              <w:cnfStyle w:val="000000000000" w:firstRow="0" w:lastRow="0" w:firstColumn="0" w:lastColumn="0" w:oddVBand="0" w:evenVBand="0" w:oddHBand="0" w:evenHBand="0" w:firstRowFirstColumn="0" w:firstRowLastColumn="0" w:lastRowFirstColumn="0" w:lastRowLastColumn="0"/>
            </w:pPr>
            <w:r w:rsidRPr="00AA22F2">
              <w:rPr>
                <w:szCs w:val="20"/>
                <w:lang w:eastAsia="fr-FR" w:bidi="ar-SA"/>
              </w:rPr>
              <w:t>ONDA</w:t>
            </w:r>
          </w:p>
        </w:tc>
        <w:tc>
          <w:tcPr>
            <w:tcW w:w="0" w:type="auto"/>
            <w:hideMark/>
          </w:tcPr>
          <w:p w14:paraId="62635BAB" w14:textId="123C5D8D" w:rsidR="00DD7C08" w:rsidRPr="006078CF" w:rsidRDefault="00DD7C08" w:rsidP="00DD7C08">
            <w:pPr>
              <w:cnfStyle w:val="000000000000" w:firstRow="0" w:lastRow="0" w:firstColumn="0" w:lastColumn="0" w:oddVBand="0" w:evenVBand="0" w:oddHBand="0" w:evenHBand="0" w:firstRowFirstColumn="0" w:firstRowLastColumn="0" w:lastRowFirstColumn="0" w:lastRowLastColumn="0"/>
            </w:pPr>
            <w:r w:rsidRPr="00AA22F2">
              <w:rPr>
                <w:szCs w:val="20"/>
                <w:lang w:eastAsia="fr-FR" w:bidi="ar-SA"/>
              </w:rPr>
              <w:t>ONDA</w:t>
            </w:r>
          </w:p>
        </w:tc>
        <w:tc>
          <w:tcPr>
            <w:tcW w:w="0" w:type="auto"/>
            <w:hideMark/>
          </w:tcPr>
          <w:p w14:paraId="18C09314" w14:textId="77777777" w:rsidR="00DD7C08" w:rsidRPr="006078CF" w:rsidRDefault="00DD7C08" w:rsidP="00DD7C08">
            <w:pPr>
              <w:cnfStyle w:val="000000000000" w:firstRow="0" w:lastRow="0" w:firstColumn="0" w:lastColumn="0" w:oddVBand="0" w:evenVBand="0" w:oddHBand="0" w:evenHBand="0" w:firstRowFirstColumn="0" w:firstRowLastColumn="0" w:lastRowFirstColumn="0" w:lastRowLastColumn="0"/>
            </w:pPr>
            <w:r w:rsidRPr="006078CF">
              <w:t>Biannuel</w:t>
            </w:r>
          </w:p>
        </w:tc>
        <w:tc>
          <w:tcPr>
            <w:tcW w:w="0" w:type="auto"/>
            <w:hideMark/>
          </w:tcPr>
          <w:p w14:paraId="2ED72595" w14:textId="182FBB18" w:rsidR="00DD7C08" w:rsidRPr="006078CF" w:rsidRDefault="00DD7C08" w:rsidP="00DD7C08">
            <w:pPr>
              <w:cnfStyle w:val="000000000000" w:firstRow="0" w:lastRow="0" w:firstColumn="0" w:lastColumn="0" w:oddVBand="0" w:evenVBand="0" w:oddHBand="0" w:evenHBand="0" w:firstRowFirstColumn="0" w:firstRowLastColumn="0" w:lastRowFirstColumn="0" w:lastRowLastColumn="0"/>
            </w:pPr>
            <w:r w:rsidRPr="0034740C">
              <w:t xml:space="preserve">1,5 – 2 </w:t>
            </w:r>
            <w:r>
              <w:t>MAD</w:t>
            </w:r>
            <w:r w:rsidRPr="0034740C">
              <w:t>/m² (2 à 3 tontes/an)</w:t>
            </w:r>
          </w:p>
        </w:tc>
      </w:tr>
      <w:tr w:rsidR="00DD7C08" w:rsidRPr="006078CF" w14:paraId="2FCF3619" w14:textId="77777777" w:rsidTr="00D60FC9">
        <w:tc>
          <w:tcPr>
            <w:cnfStyle w:val="001000000000" w:firstRow="0" w:lastRow="0" w:firstColumn="1" w:lastColumn="0" w:oddVBand="0" w:evenVBand="0" w:oddHBand="0" w:evenHBand="0" w:firstRowFirstColumn="0" w:firstRowLastColumn="0" w:lastRowFirstColumn="0" w:lastRowLastColumn="0"/>
            <w:tcW w:w="0" w:type="auto"/>
            <w:vMerge/>
            <w:hideMark/>
          </w:tcPr>
          <w:p w14:paraId="64F063C7" w14:textId="77777777" w:rsidR="00DD7C08" w:rsidRPr="006078CF" w:rsidRDefault="00DD7C08" w:rsidP="00DD7C08"/>
        </w:tc>
        <w:tc>
          <w:tcPr>
            <w:tcW w:w="0" w:type="auto"/>
            <w:hideMark/>
          </w:tcPr>
          <w:p w14:paraId="7530AC58" w14:textId="77777777" w:rsidR="00DD7C08" w:rsidRPr="006078CF" w:rsidRDefault="00DD7C08" w:rsidP="00DD7C08">
            <w:pPr>
              <w:cnfStyle w:val="000000000000" w:firstRow="0" w:lastRow="0" w:firstColumn="0" w:lastColumn="0" w:oddVBand="0" w:evenVBand="0" w:oddHBand="0" w:evenHBand="0" w:firstRowFirstColumn="0" w:firstRowLastColumn="0" w:lastRowFirstColumn="0" w:lastRowLastColumn="0"/>
              <w:rPr>
                <w:b/>
                <w:bCs/>
              </w:rPr>
            </w:pPr>
            <w:r w:rsidRPr="006078CF">
              <w:rPr>
                <w:b/>
                <w:bCs/>
              </w:rPr>
              <w:t>Compenser</w:t>
            </w:r>
          </w:p>
        </w:tc>
        <w:tc>
          <w:tcPr>
            <w:tcW w:w="2179" w:type="dxa"/>
            <w:hideMark/>
          </w:tcPr>
          <w:p w14:paraId="6750B11D" w14:textId="77777777" w:rsidR="00DD7C08" w:rsidRPr="006078CF" w:rsidRDefault="00DD7C08" w:rsidP="00DD7C08">
            <w:pPr>
              <w:cnfStyle w:val="000000000000" w:firstRow="0" w:lastRow="0" w:firstColumn="0" w:lastColumn="0" w:oddVBand="0" w:evenVBand="0" w:oddHBand="0" w:evenHBand="0" w:firstRowFirstColumn="0" w:firstRowLastColumn="0" w:lastRowFirstColumn="0" w:lastRowLastColumn="0"/>
            </w:pPr>
            <w:r w:rsidRPr="006078CF">
              <w:t>Appuyer localement des actions de gestion écologique (nichoirs pour espèces non opportunistes).</w:t>
            </w:r>
          </w:p>
        </w:tc>
        <w:tc>
          <w:tcPr>
            <w:tcW w:w="1738" w:type="dxa"/>
            <w:hideMark/>
          </w:tcPr>
          <w:p w14:paraId="1DA79D33" w14:textId="77777777" w:rsidR="00DD7C08" w:rsidRPr="006078CF" w:rsidRDefault="00DD7C08" w:rsidP="00DD7C08">
            <w:pPr>
              <w:cnfStyle w:val="000000000000" w:firstRow="0" w:lastRow="0" w:firstColumn="0" w:lastColumn="0" w:oddVBand="0" w:evenVBand="0" w:oddHBand="0" w:evenHBand="0" w:firstRowFirstColumn="0" w:firstRowLastColumn="0" w:lastRowFirstColumn="0" w:lastRowLastColumn="0"/>
            </w:pPr>
            <w:r w:rsidRPr="006078CF">
              <w:t>Nombre de dispositifs installés</w:t>
            </w:r>
          </w:p>
        </w:tc>
        <w:tc>
          <w:tcPr>
            <w:tcW w:w="0" w:type="auto"/>
            <w:hideMark/>
          </w:tcPr>
          <w:p w14:paraId="42466413" w14:textId="40C9AFC5" w:rsidR="00DD7C08" w:rsidRPr="006078CF" w:rsidRDefault="00DD7C08" w:rsidP="00DD7C08">
            <w:pPr>
              <w:cnfStyle w:val="000000000000" w:firstRow="0" w:lastRow="0" w:firstColumn="0" w:lastColumn="0" w:oddVBand="0" w:evenVBand="0" w:oddHBand="0" w:evenHBand="0" w:firstRowFirstColumn="0" w:firstRowLastColumn="0" w:lastRowFirstColumn="0" w:lastRowLastColumn="0"/>
            </w:pPr>
            <w:r w:rsidRPr="00AA22F2">
              <w:rPr>
                <w:szCs w:val="20"/>
                <w:lang w:eastAsia="fr-FR" w:bidi="ar-SA"/>
              </w:rPr>
              <w:t>ONDA / Exploitant</w:t>
            </w:r>
          </w:p>
        </w:tc>
        <w:tc>
          <w:tcPr>
            <w:tcW w:w="0" w:type="auto"/>
            <w:hideMark/>
          </w:tcPr>
          <w:p w14:paraId="217A0FBC" w14:textId="177924DB" w:rsidR="00DD7C08" w:rsidRPr="006078CF" w:rsidRDefault="00DD7C08" w:rsidP="00DD7C08">
            <w:pPr>
              <w:cnfStyle w:val="000000000000" w:firstRow="0" w:lastRow="0" w:firstColumn="0" w:lastColumn="0" w:oddVBand="0" w:evenVBand="0" w:oddHBand="0" w:evenHBand="0" w:firstRowFirstColumn="0" w:firstRowLastColumn="0" w:lastRowFirstColumn="0" w:lastRowLastColumn="0"/>
            </w:pPr>
            <w:r w:rsidRPr="00AA22F2">
              <w:rPr>
                <w:szCs w:val="20"/>
                <w:lang w:eastAsia="fr-FR" w:bidi="ar-SA"/>
              </w:rPr>
              <w:t>ONDA</w:t>
            </w:r>
          </w:p>
        </w:tc>
        <w:tc>
          <w:tcPr>
            <w:tcW w:w="0" w:type="auto"/>
            <w:hideMark/>
          </w:tcPr>
          <w:p w14:paraId="62BA692D" w14:textId="769C3937" w:rsidR="00DD7C08" w:rsidRPr="006078CF" w:rsidRDefault="00DD7C08" w:rsidP="00DD7C08">
            <w:pPr>
              <w:cnfStyle w:val="000000000000" w:firstRow="0" w:lastRow="0" w:firstColumn="0" w:lastColumn="0" w:oddVBand="0" w:evenVBand="0" w:oddHBand="0" w:evenHBand="0" w:firstRowFirstColumn="0" w:firstRowLastColumn="0" w:lastRowFirstColumn="0" w:lastRowLastColumn="0"/>
            </w:pPr>
            <w:r w:rsidRPr="00AA22F2">
              <w:rPr>
                <w:szCs w:val="20"/>
                <w:lang w:eastAsia="fr-FR" w:bidi="ar-SA"/>
              </w:rPr>
              <w:t>ONDA</w:t>
            </w:r>
          </w:p>
        </w:tc>
        <w:tc>
          <w:tcPr>
            <w:tcW w:w="0" w:type="auto"/>
            <w:hideMark/>
          </w:tcPr>
          <w:p w14:paraId="2461C0EF" w14:textId="77777777" w:rsidR="00DD7C08" w:rsidRPr="006078CF" w:rsidRDefault="00DD7C08" w:rsidP="00DD7C08">
            <w:pPr>
              <w:cnfStyle w:val="000000000000" w:firstRow="0" w:lastRow="0" w:firstColumn="0" w:lastColumn="0" w:oddVBand="0" w:evenVBand="0" w:oddHBand="0" w:evenHBand="0" w:firstRowFirstColumn="0" w:firstRowLastColumn="0" w:lastRowFirstColumn="0" w:lastRowLastColumn="0"/>
            </w:pPr>
            <w:r w:rsidRPr="006078CF">
              <w:t>Si besoin</w:t>
            </w:r>
          </w:p>
        </w:tc>
        <w:tc>
          <w:tcPr>
            <w:tcW w:w="0" w:type="auto"/>
            <w:hideMark/>
          </w:tcPr>
          <w:p w14:paraId="553365A4" w14:textId="7A293951" w:rsidR="00DD7C08" w:rsidRPr="006078CF" w:rsidRDefault="00DD7C08" w:rsidP="00DD7C08">
            <w:pPr>
              <w:cnfStyle w:val="000000000000" w:firstRow="0" w:lastRow="0" w:firstColumn="0" w:lastColumn="0" w:oddVBand="0" w:evenVBand="0" w:oddHBand="0" w:evenHBand="0" w:firstRowFirstColumn="0" w:firstRowLastColumn="0" w:lastRowFirstColumn="0" w:lastRowLastColumn="0"/>
            </w:pPr>
            <w:r w:rsidRPr="005B131D">
              <w:t xml:space="preserve">500 – 700 </w:t>
            </w:r>
            <w:r>
              <w:t>MAD</w:t>
            </w:r>
            <w:r w:rsidRPr="005B131D">
              <w:t>/nichoir</w:t>
            </w:r>
          </w:p>
        </w:tc>
      </w:tr>
      <w:tr w:rsidR="00DD7C08" w:rsidRPr="006078CF" w14:paraId="0583B471" w14:textId="77777777" w:rsidTr="00D60FC9">
        <w:tc>
          <w:tcPr>
            <w:cnfStyle w:val="001000000000" w:firstRow="0" w:lastRow="0" w:firstColumn="1" w:lastColumn="0" w:oddVBand="0" w:evenVBand="0" w:oddHBand="0" w:evenHBand="0" w:firstRowFirstColumn="0" w:firstRowLastColumn="0" w:lastRowFirstColumn="0" w:lastRowLastColumn="0"/>
            <w:tcW w:w="0" w:type="auto"/>
            <w:vMerge w:val="restart"/>
            <w:hideMark/>
          </w:tcPr>
          <w:p w14:paraId="2DB1CA36" w14:textId="1A88E212" w:rsidR="00DD7C08" w:rsidRPr="006078CF" w:rsidRDefault="00DD7C08" w:rsidP="00DD7C08">
            <w:r>
              <w:rPr>
                <w:b w:val="0"/>
                <w:bCs w:val="0"/>
              </w:rPr>
              <w:t>MA</w:t>
            </w:r>
          </w:p>
        </w:tc>
        <w:tc>
          <w:tcPr>
            <w:tcW w:w="0" w:type="auto"/>
            <w:hideMark/>
          </w:tcPr>
          <w:p w14:paraId="18A73304" w14:textId="77777777" w:rsidR="00DD7C08" w:rsidRPr="006078CF" w:rsidRDefault="00DD7C08" w:rsidP="00DD7C08">
            <w:pPr>
              <w:cnfStyle w:val="000000000000" w:firstRow="0" w:lastRow="0" w:firstColumn="0" w:lastColumn="0" w:oddVBand="0" w:evenVBand="0" w:oddHBand="0" w:evenHBand="0" w:firstRowFirstColumn="0" w:firstRowLastColumn="0" w:lastRowFirstColumn="0" w:lastRowLastColumn="0"/>
              <w:rPr>
                <w:b/>
                <w:bCs/>
              </w:rPr>
            </w:pPr>
            <w:r w:rsidRPr="006078CF">
              <w:rPr>
                <w:b/>
                <w:bCs/>
              </w:rPr>
              <w:t>Éviter</w:t>
            </w:r>
          </w:p>
        </w:tc>
        <w:tc>
          <w:tcPr>
            <w:tcW w:w="2179" w:type="dxa"/>
            <w:hideMark/>
          </w:tcPr>
          <w:p w14:paraId="615CD92C" w14:textId="77777777" w:rsidR="00DD7C08" w:rsidRPr="006078CF" w:rsidRDefault="00DD7C08" w:rsidP="00DD7C08">
            <w:pPr>
              <w:cnfStyle w:val="000000000000" w:firstRow="0" w:lastRow="0" w:firstColumn="0" w:lastColumn="0" w:oddVBand="0" w:evenVBand="0" w:oddHBand="0" w:evenHBand="0" w:firstRowFirstColumn="0" w:firstRowLastColumn="0" w:lastRowFirstColumn="0" w:lastRowLastColumn="0"/>
            </w:pPr>
            <w:r w:rsidRPr="006078CF">
              <w:t>Maintenir les zones attractives pour l’avifaune (eaux stagnantes, dépôts organiques) hors du périmètre aéroportuaire.</w:t>
            </w:r>
          </w:p>
        </w:tc>
        <w:tc>
          <w:tcPr>
            <w:tcW w:w="1738" w:type="dxa"/>
            <w:hideMark/>
          </w:tcPr>
          <w:p w14:paraId="42045A15" w14:textId="77777777" w:rsidR="00DD7C08" w:rsidRPr="006078CF" w:rsidRDefault="00DD7C08" w:rsidP="00DD7C08">
            <w:pPr>
              <w:cnfStyle w:val="000000000000" w:firstRow="0" w:lastRow="0" w:firstColumn="0" w:lastColumn="0" w:oddVBand="0" w:evenVBand="0" w:oddHBand="0" w:evenHBand="0" w:firstRowFirstColumn="0" w:firstRowLastColumn="0" w:lastRowFirstColumn="0" w:lastRowLastColumn="0"/>
            </w:pPr>
            <w:r w:rsidRPr="006078CF">
              <w:t>Absence de points d’eau stagnante</w:t>
            </w:r>
          </w:p>
        </w:tc>
        <w:tc>
          <w:tcPr>
            <w:tcW w:w="0" w:type="auto"/>
            <w:hideMark/>
          </w:tcPr>
          <w:p w14:paraId="3C009D17" w14:textId="134D8B66" w:rsidR="00DD7C08" w:rsidRPr="006078CF" w:rsidRDefault="00DD7C08" w:rsidP="00DD7C08">
            <w:pPr>
              <w:cnfStyle w:val="000000000000" w:firstRow="0" w:lastRow="0" w:firstColumn="0" w:lastColumn="0" w:oddVBand="0" w:evenVBand="0" w:oddHBand="0" w:evenHBand="0" w:firstRowFirstColumn="0" w:firstRowLastColumn="0" w:lastRowFirstColumn="0" w:lastRowLastColumn="0"/>
            </w:pPr>
            <w:r w:rsidRPr="00AA22F2">
              <w:rPr>
                <w:szCs w:val="20"/>
                <w:lang w:eastAsia="fr-FR" w:bidi="ar-SA"/>
              </w:rPr>
              <w:t>ONDA / Exploitant</w:t>
            </w:r>
          </w:p>
        </w:tc>
        <w:tc>
          <w:tcPr>
            <w:tcW w:w="0" w:type="auto"/>
            <w:hideMark/>
          </w:tcPr>
          <w:p w14:paraId="7E973D70" w14:textId="38713F5D" w:rsidR="00DD7C08" w:rsidRPr="006078CF" w:rsidRDefault="00DD7C08" w:rsidP="00DD7C08">
            <w:pPr>
              <w:cnfStyle w:val="000000000000" w:firstRow="0" w:lastRow="0" w:firstColumn="0" w:lastColumn="0" w:oddVBand="0" w:evenVBand="0" w:oddHBand="0" w:evenHBand="0" w:firstRowFirstColumn="0" w:firstRowLastColumn="0" w:lastRowFirstColumn="0" w:lastRowLastColumn="0"/>
            </w:pPr>
            <w:r w:rsidRPr="00AA22F2">
              <w:rPr>
                <w:szCs w:val="20"/>
                <w:lang w:eastAsia="fr-FR" w:bidi="ar-SA"/>
              </w:rPr>
              <w:t>ONDA</w:t>
            </w:r>
          </w:p>
        </w:tc>
        <w:tc>
          <w:tcPr>
            <w:tcW w:w="0" w:type="auto"/>
            <w:hideMark/>
          </w:tcPr>
          <w:p w14:paraId="0B1CF9D6" w14:textId="59997983" w:rsidR="00DD7C08" w:rsidRPr="006078CF" w:rsidRDefault="00DD7C08" w:rsidP="00DD7C08">
            <w:pPr>
              <w:cnfStyle w:val="000000000000" w:firstRow="0" w:lastRow="0" w:firstColumn="0" w:lastColumn="0" w:oddVBand="0" w:evenVBand="0" w:oddHBand="0" w:evenHBand="0" w:firstRowFirstColumn="0" w:firstRowLastColumn="0" w:lastRowFirstColumn="0" w:lastRowLastColumn="0"/>
            </w:pPr>
            <w:r w:rsidRPr="00AA22F2">
              <w:rPr>
                <w:szCs w:val="20"/>
                <w:lang w:eastAsia="fr-FR" w:bidi="ar-SA"/>
              </w:rPr>
              <w:t>ONDA</w:t>
            </w:r>
          </w:p>
        </w:tc>
        <w:tc>
          <w:tcPr>
            <w:tcW w:w="0" w:type="auto"/>
            <w:hideMark/>
          </w:tcPr>
          <w:p w14:paraId="71A93BDD" w14:textId="77777777" w:rsidR="00DD7C08" w:rsidRPr="006078CF" w:rsidRDefault="00DD7C08" w:rsidP="00DD7C08">
            <w:pPr>
              <w:cnfStyle w:val="000000000000" w:firstRow="0" w:lastRow="0" w:firstColumn="0" w:lastColumn="0" w:oddVBand="0" w:evenVBand="0" w:oddHBand="0" w:evenHBand="0" w:firstRowFirstColumn="0" w:firstRowLastColumn="0" w:lastRowFirstColumn="0" w:lastRowLastColumn="0"/>
            </w:pPr>
            <w:r w:rsidRPr="006078CF">
              <w:t>Continu</w:t>
            </w:r>
          </w:p>
        </w:tc>
        <w:tc>
          <w:tcPr>
            <w:tcW w:w="0" w:type="auto"/>
            <w:hideMark/>
          </w:tcPr>
          <w:p w14:paraId="046A852D" w14:textId="74C9913B" w:rsidR="00DD7C08" w:rsidRPr="006078CF" w:rsidRDefault="00DD7C08" w:rsidP="00DD7C08">
            <w:pPr>
              <w:cnfStyle w:val="000000000000" w:firstRow="0" w:lastRow="0" w:firstColumn="0" w:lastColumn="0" w:oddVBand="0" w:evenVBand="0" w:oddHBand="0" w:evenHBand="0" w:firstRowFirstColumn="0" w:firstRowLastColumn="0" w:lastRowFirstColumn="0" w:lastRowLastColumn="0"/>
            </w:pPr>
            <w:r>
              <w:t>Aucun coût spécifique</w:t>
            </w:r>
          </w:p>
        </w:tc>
      </w:tr>
      <w:tr w:rsidR="00DD7C08" w:rsidRPr="006078CF" w14:paraId="50AE0B67" w14:textId="77777777" w:rsidTr="00D60FC9">
        <w:tc>
          <w:tcPr>
            <w:cnfStyle w:val="001000000000" w:firstRow="0" w:lastRow="0" w:firstColumn="1" w:lastColumn="0" w:oddVBand="0" w:evenVBand="0" w:oddHBand="0" w:evenHBand="0" w:firstRowFirstColumn="0" w:firstRowLastColumn="0" w:lastRowFirstColumn="0" w:lastRowLastColumn="0"/>
            <w:tcW w:w="0" w:type="auto"/>
            <w:vMerge/>
            <w:hideMark/>
          </w:tcPr>
          <w:p w14:paraId="28AE0328" w14:textId="77777777" w:rsidR="00DD7C08" w:rsidRPr="006078CF" w:rsidRDefault="00DD7C08" w:rsidP="00DD7C08"/>
        </w:tc>
        <w:tc>
          <w:tcPr>
            <w:tcW w:w="0" w:type="auto"/>
            <w:hideMark/>
          </w:tcPr>
          <w:p w14:paraId="36BBE089" w14:textId="77777777" w:rsidR="00DD7C08" w:rsidRPr="006078CF" w:rsidRDefault="00DD7C08" w:rsidP="00DD7C08">
            <w:pPr>
              <w:cnfStyle w:val="000000000000" w:firstRow="0" w:lastRow="0" w:firstColumn="0" w:lastColumn="0" w:oddVBand="0" w:evenVBand="0" w:oddHBand="0" w:evenHBand="0" w:firstRowFirstColumn="0" w:firstRowLastColumn="0" w:lastRowFirstColumn="0" w:lastRowLastColumn="0"/>
              <w:rPr>
                <w:b/>
                <w:bCs/>
              </w:rPr>
            </w:pPr>
            <w:r w:rsidRPr="006078CF">
              <w:rPr>
                <w:b/>
                <w:bCs/>
              </w:rPr>
              <w:t>Réduire</w:t>
            </w:r>
          </w:p>
        </w:tc>
        <w:tc>
          <w:tcPr>
            <w:tcW w:w="2179" w:type="dxa"/>
            <w:hideMark/>
          </w:tcPr>
          <w:p w14:paraId="60A1BACA" w14:textId="77777777" w:rsidR="00DD7C08" w:rsidRPr="006078CF" w:rsidRDefault="00DD7C08" w:rsidP="00DD7C08">
            <w:pPr>
              <w:cnfStyle w:val="000000000000" w:firstRow="0" w:lastRow="0" w:firstColumn="0" w:lastColumn="0" w:oddVBand="0" w:evenVBand="0" w:oddHBand="0" w:evenHBand="0" w:firstRowFirstColumn="0" w:firstRowLastColumn="0" w:lastRowFirstColumn="0" w:lastRowLastColumn="0"/>
            </w:pPr>
            <w:r w:rsidRPr="006078CF">
              <w:t>Poursuivre le programme d’effarouchement aviaire (Bird Hazard Management Plan).</w:t>
            </w:r>
          </w:p>
        </w:tc>
        <w:tc>
          <w:tcPr>
            <w:tcW w:w="1738" w:type="dxa"/>
            <w:hideMark/>
          </w:tcPr>
          <w:p w14:paraId="3787BB1D" w14:textId="77777777" w:rsidR="00DD7C08" w:rsidRPr="006078CF" w:rsidRDefault="00DD7C08" w:rsidP="00DD7C08">
            <w:pPr>
              <w:cnfStyle w:val="000000000000" w:firstRow="0" w:lastRow="0" w:firstColumn="0" w:lastColumn="0" w:oddVBand="0" w:evenVBand="0" w:oddHBand="0" w:evenHBand="0" w:firstRowFirstColumn="0" w:firstRowLastColumn="0" w:lastRowFirstColumn="0" w:lastRowLastColumn="0"/>
            </w:pPr>
            <w:r w:rsidRPr="006078CF">
              <w:t>Nombre d’incidents aviaires/an</w:t>
            </w:r>
          </w:p>
        </w:tc>
        <w:tc>
          <w:tcPr>
            <w:tcW w:w="0" w:type="auto"/>
            <w:hideMark/>
          </w:tcPr>
          <w:p w14:paraId="6D22184E" w14:textId="2A78C1C8" w:rsidR="00DD7C08" w:rsidRPr="006078CF" w:rsidRDefault="00DD7C08" w:rsidP="00DD7C08">
            <w:pPr>
              <w:cnfStyle w:val="000000000000" w:firstRow="0" w:lastRow="0" w:firstColumn="0" w:lastColumn="0" w:oddVBand="0" w:evenVBand="0" w:oddHBand="0" w:evenHBand="0" w:firstRowFirstColumn="0" w:firstRowLastColumn="0" w:lastRowFirstColumn="0" w:lastRowLastColumn="0"/>
            </w:pPr>
            <w:r w:rsidRPr="00AA22F2">
              <w:rPr>
                <w:szCs w:val="20"/>
                <w:lang w:eastAsia="fr-FR" w:bidi="ar-SA"/>
              </w:rPr>
              <w:t>ONDA / Exploitant</w:t>
            </w:r>
          </w:p>
        </w:tc>
        <w:tc>
          <w:tcPr>
            <w:tcW w:w="0" w:type="auto"/>
            <w:hideMark/>
          </w:tcPr>
          <w:p w14:paraId="500B6132" w14:textId="4FF091CC" w:rsidR="00DD7C08" w:rsidRPr="006078CF" w:rsidRDefault="00DD7C08" w:rsidP="00DD7C08">
            <w:pPr>
              <w:cnfStyle w:val="000000000000" w:firstRow="0" w:lastRow="0" w:firstColumn="0" w:lastColumn="0" w:oddVBand="0" w:evenVBand="0" w:oddHBand="0" w:evenHBand="0" w:firstRowFirstColumn="0" w:firstRowLastColumn="0" w:lastRowFirstColumn="0" w:lastRowLastColumn="0"/>
            </w:pPr>
            <w:r w:rsidRPr="00AA22F2">
              <w:rPr>
                <w:szCs w:val="20"/>
                <w:lang w:eastAsia="fr-FR" w:bidi="ar-SA"/>
              </w:rPr>
              <w:t>ONDA</w:t>
            </w:r>
          </w:p>
        </w:tc>
        <w:tc>
          <w:tcPr>
            <w:tcW w:w="0" w:type="auto"/>
            <w:hideMark/>
          </w:tcPr>
          <w:p w14:paraId="5F9C948D" w14:textId="781E8716" w:rsidR="00DD7C08" w:rsidRPr="006078CF" w:rsidRDefault="00DD7C08" w:rsidP="00DD7C08">
            <w:pPr>
              <w:cnfStyle w:val="000000000000" w:firstRow="0" w:lastRow="0" w:firstColumn="0" w:lastColumn="0" w:oddVBand="0" w:evenVBand="0" w:oddHBand="0" w:evenHBand="0" w:firstRowFirstColumn="0" w:firstRowLastColumn="0" w:lastRowFirstColumn="0" w:lastRowLastColumn="0"/>
            </w:pPr>
            <w:r w:rsidRPr="00AA22F2">
              <w:rPr>
                <w:szCs w:val="20"/>
                <w:lang w:eastAsia="fr-FR" w:bidi="ar-SA"/>
              </w:rPr>
              <w:t>ONDA</w:t>
            </w:r>
          </w:p>
        </w:tc>
        <w:tc>
          <w:tcPr>
            <w:tcW w:w="0" w:type="auto"/>
            <w:hideMark/>
          </w:tcPr>
          <w:p w14:paraId="14FBD9D0" w14:textId="77777777" w:rsidR="00DD7C08" w:rsidRPr="006078CF" w:rsidRDefault="00DD7C08" w:rsidP="00DD7C08">
            <w:pPr>
              <w:cnfStyle w:val="000000000000" w:firstRow="0" w:lastRow="0" w:firstColumn="0" w:lastColumn="0" w:oddVBand="0" w:evenVBand="0" w:oddHBand="0" w:evenHBand="0" w:firstRowFirstColumn="0" w:firstRowLastColumn="0" w:lastRowFirstColumn="0" w:lastRowLastColumn="0"/>
            </w:pPr>
            <w:r w:rsidRPr="006078CF">
              <w:t>Permanent</w:t>
            </w:r>
          </w:p>
        </w:tc>
        <w:tc>
          <w:tcPr>
            <w:tcW w:w="0" w:type="auto"/>
            <w:hideMark/>
          </w:tcPr>
          <w:p w14:paraId="1CDFCC51" w14:textId="105599F1" w:rsidR="00DD7C08" w:rsidRPr="006078CF" w:rsidRDefault="00DD7C08" w:rsidP="00DD7C08">
            <w:pPr>
              <w:cnfStyle w:val="000000000000" w:firstRow="0" w:lastRow="0" w:firstColumn="0" w:lastColumn="0" w:oddVBand="0" w:evenVBand="0" w:oddHBand="0" w:evenHBand="0" w:firstRowFirstColumn="0" w:firstRowLastColumn="0" w:lastRowFirstColumn="0" w:lastRowLastColumn="0"/>
            </w:pPr>
            <w:r w:rsidRPr="005B131D">
              <w:t xml:space="preserve">50 000 – 70 000 </w:t>
            </w:r>
            <w:r>
              <w:t>MAD</w:t>
            </w:r>
            <w:r w:rsidRPr="005B131D">
              <w:t>/an (forfait)</w:t>
            </w:r>
            <w:r>
              <w:t xml:space="preserve"> (</w:t>
            </w:r>
            <w:r w:rsidRPr="005B131D">
              <w:t>Inclut suivi ornithologique, effaroucheurs sonores, leurres visuels et maintenance du matériel</w:t>
            </w:r>
            <w:r>
              <w:t>)</w:t>
            </w:r>
          </w:p>
        </w:tc>
      </w:tr>
      <w:tr w:rsidR="00DD7C08" w:rsidRPr="006078CF" w14:paraId="04EF98D6" w14:textId="77777777" w:rsidTr="00D60FC9">
        <w:tc>
          <w:tcPr>
            <w:cnfStyle w:val="001000000000" w:firstRow="0" w:lastRow="0" w:firstColumn="1" w:lastColumn="0" w:oddVBand="0" w:evenVBand="0" w:oddHBand="0" w:evenHBand="0" w:firstRowFirstColumn="0" w:firstRowLastColumn="0" w:lastRowFirstColumn="0" w:lastRowLastColumn="0"/>
            <w:tcW w:w="0" w:type="auto"/>
            <w:vMerge/>
            <w:hideMark/>
          </w:tcPr>
          <w:p w14:paraId="3FF84F4D" w14:textId="77777777" w:rsidR="00DD7C08" w:rsidRPr="006078CF" w:rsidRDefault="00DD7C08" w:rsidP="00DD7C08"/>
        </w:tc>
        <w:tc>
          <w:tcPr>
            <w:tcW w:w="0" w:type="auto"/>
            <w:hideMark/>
          </w:tcPr>
          <w:p w14:paraId="3407117E" w14:textId="77777777" w:rsidR="00DD7C08" w:rsidRPr="006078CF" w:rsidRDefault="00DD7C08" w:rsidP="00DD7C08">
            <w:pPr>
              <w:cnfStyle w:val="000000000000" w:firstRow="0" w:lastRow="0" w:firstColumn="0" w:lastColumn="0" w:oddVBand="0" w:evenVBand="0" w:oddHBand="0" w:evenHBand="0" w:firstRowFirstColumn="0" w:firstRowLastColumn="0" w:lastRowFirstColumn="0" w:lastRowLastColumn="0"/>
              <w:rPr>
                <w:b/>
                <w:bCs/>
              </w:rPr>
            </w:pPr>
            <w:r w:rsidRPr="006078CF">
              <w:rPr>
                <w:b/>
                <w:bCs/>
              </w:rPr>
              <w:t>Atténuer</w:t>
            </w:r>
          </w:p>
        </w:tc>
        <w:tc>
          <w:tcPr>
            <w:tcW w:w="2179" w:type="dxa"/>
            <w:hideMark/>
          </w:tcPr>
          <w:p w14:paraId="0E36E46B" w14:textId="5FEBDFCD" w:rsidR="00DD7C08" w:rsidRPr="006078CF" w:rsidRDefault="00DD7C08" w:rsidP="00DD7C08">
            <w:pPr>
              <w:cnfStyle w:val="000000000000" w:firstRow="0" w:lastRow="0" w:firstColumn="0" w:lastColumn="0" w:oddVBand="0" w:evenVBand="0" w:oddHBand="0" w:evenHBand="0" w:firstRowFirstColumn="0" w:firstRowLastColumn="0" w:lastRowFirstColumn="0" w:lastRowLastColumn="0"/>
            </w:pPr>
            <w:r w:rsidRPr="006078CF">
              <w:t>Maintenir la collaboration avec les autorités locales (</w:t>
            </w:r>
            <w:r>
              <w:t>ANEF</w:t>
            </w:r>
            <w:r w:rsidRPr="006078CF">
              <w:t>) pour la gestion de la faune aviaire.</w:t>
            </w:r>
          </w:p>
        </w:tc>
        <w:tc>
          <w:tcPr>
            <w:tcW w:w="1738" w:type="dxa"/>
            <w:hideMark/>
          </w:tcPr>
          <w:p w14:paraId="6AE5A7F2" w14:textId="77777777" w:rsidR="00DD7C08" w:rsidRPr="006078CF" w:rsidRDefault="00DD7C08" w:rsidP="00DD7C08">
            <w:pPr>
              <w:cnfStyle w:val="000000000000" w:firstRow="0" w:lastRow="0" w:firstColumn="0" w:lastColumn="0" w:oddVBand="0" w:evenVBand="0" w:oddHBand="0" w:evenHBand="0" w:firstRowFirstColumn="0" w:firstRowLastColumn="0" w:lastRowFirstColumn="0" w:lastRowLastColumn="0"/>
            </w:pPr>
            <w:r w:rsidRPr="006078CF">
              <w:t>Réunions / rapports de coordination annuels</w:t>
            </w:r>
          </w:p>
        </w:tc>
        <w:tc>
          <w:tcPr>
            <w:tcW w:w="0" w:type="auto"/>
            <w:hideMark/>
          </w:tcPr>
          <w:p w14:paraId="0768EF45" w14:textId="0B3944B4" w:rsidR="00DD7C08" w:rsidRPr="006078CF" w:rsidRDefault="00DD7C08" w:rsidP="00DD7C08">
            <w:pPr>
              <w:cnfStyle w:val="000000000000" w:firstRow="0" w:lastRow="0" w:firstColumn="0" w:lastColumn="0" w:oddVBand="0" w:evenVBand="0" w:oddHBand="0" w:evenHBand="0" w:firstRowFirstColumn="0" w:firstRowLastColumn="0" w:lastRowFirstColumn="0" w:lastRowLastColumn="0"/>
            </w:pPr>
            <w:r w:rsidRPr="006078CF">
              <w:t xml:space="preserve">ONDA / </w:t>
            </w:r>
            <w:r>
              <w:t>ANEF</w:t>
            </w:r>
          </w:p>
        </w:tc>
        <w:tc>
          <w:tcPr>
            <w:tcW w:w="0" w:type="auto"/>
            <w:hideMark/>
          </w:tcPr>
          <w:p w14:paraId="5FAFE363" w14:textId="7AF6EAEC" w:rsidR="00DD7C08" w:rsidRPr="006078CF" w:rsidRDefault="00DD7C08" w:rsidP="00DD7C08">
            <w:pPr>
              <w:cnfStyle w:val="000000000000" w:firstRow="0" w:lastRow="0" w:firstColumn="0" w:lastColumn="0" w:oddVBand="0" w:evenVBand="0" w:oddHBand="0" w:evenHBand="0" w:firstRowFirstColumn="0" w:firstRowLastColumn="0" w:lastRowFirstColumn="0" w:lastRowLastColumn="0"/>
            </w:pPr>
            <w:r w:rsidRPr="00AA22F2">
              <w:rPr>
                <w:szCs w:val="20"/>
                <w:lang w:eastAsia="fr-FR" w:bidi="ar-SA"/>
              </w:rPr>
              <w:t>ONDA</w:t>
            </w:r>
          </w:p>
        </w:tc>
        <w:tc>
          <w:tcPr>
            <w:tcW w:w="0" w:type="auto"/>
            <w:hideMark/>
          </w:tcPr>
          <w:p w14:paraId="79B32514" w14:textId="1721C113" w:rsidR="00DD7C08" w:rsidRPr="006078CF" w:rsidRDefault="00DD7C08" w:rsidP="00DD7C08">
            <w:pPr>
              <w:cnfStyle w:val="000000000000" w:firstRow="0" w:lastRow="0" w:firstColumn="0" w:lastColumn="0" w:oddVBand="0" w:evenVBand="0" w:oddHBand="0" w:evenHBand="0" w:firstRowFirstColumn="0" w:firstRowLastColumn="0" w:lastRowFirstColumn="0" w:lastRowLastColumn="0"/>
            </w:pPr>
            <w:r w:rsidRPr="00AA22F2">
              <w:rPr>
                <w:szCs w:val="20"/>
                <w:lang w:eastAsia="fr-FR" w:bidi="ar-SA"/>
              </w:rPr>
              <w:t>ONDA</w:t>
            </w:r>
          </w:p>
        </w:tc>
        <w:tc>
          <w:tcPr>
            <w:tcW w:w="0" w:type="auto"/>
            <w:hideMark/>
          </w:tcPr>
          <w:p w14:paraId="68A2617B" w14:textId="77777777" w:rsidR="00DD7C08" w:rsidRPr="006078CF" w:rsidRDefault="00DD7C08" w:rsidP="00DD7C08">
            <w:pPr>
              <w:cnfStyle w:val="000000000000" w:firstRow="0" w:lastRow="0" w:firstColumn="0" w:lastColumn="0" w:oddVBand="0" w:evenVBand="0" w:oddHBand="0" w:evenHBand="0" w:firstRowFirstColumn="0" w:firstRowLastColumn="0" w:lastRowFirstColumn="0" w:lastRowLastColumn="0"/>
            </w:pPr>
            <w:r w:rsidRPr="006078CF">
              <w:t>Annuel</w:t>
            </w:r>
          </w:p>
        </w:tc>
        <w:tc>
          <w:tcPr>
            <w:tcW w:w="0" w:type="auto"/>
            <w:hideMark/>
          </w:tcPr>
          <w:p w14:paraId="38829735" w14:textId="4C3C7060" w:rsidR="00DD7C08" w:rsidRPr="006078CF" w:rsidRDefault="00DD7C08" w:rsidP="00DD7C08">
            <w:pPr>
              <w:cnfStyle w:val="000000000000" w:firstRow="0" w:lastRow="0" w:firstColumn="0" w:lastColumn="0" w:oddVBand="0" w:evenVBand="0" w:oddHBand="0" w:evenHBand="0" w:firstRowFirstColumn="0" w:firstRowLastColumn="0" w:lastRowFirstColumn="0" w:lastRowLastColumn="0"/>
            </w:pPr>
            <w:r>
              <w:t>Aucun coût spécifique</w:t>
            </w:r>
          </w:p>
        </w:tc>
      </w:tr>
      <w:tr w:rsidR="00DD7C08" w:rsidRPr="006078CF" w14:paraId="0956A899" w14:textId="77777777" w:rsidTr="00D60FC9">
        <w:tc>
          <w:tcPr>
            <w:cnfStyle w:val="001000000000" w:firstRow="0" w:lastRow="0" w:firstColumn="1" w:lastColumn="0" w:oddVBand="0" w:evenVBand="0" w:oddHBand="0" w:evenHBand="0" w:firstRowFirstColumn="0" w:firstRowLastColumn="0" w:lastRowFirstColumn="0" w:lastRowLastColumn="0"/>
            <w:tcW w:w="0" w:type="auto"/>
            <w:vMerge/>
            <w:hideMark/>
          </w:tcPr>
          <w:p w14:paraId="76C6EF47" w14:textId="77777777" w:rsidR="00DD7C08" w:rsidRPr="006078CF" w:rsidRDefault="00DD7C08" w:rsidP="00DD7C08"/>
        </w:tc>
        <w:tc>
          <w:tcPr>
            <w:tcW w:w="0" w:type="auto"/>
            <w:hideMark/>
          </w:tcPr>
          <w:p w14:paraId="48D67712" w14:textId="77777777" w:rsidR="00DD7C08" w:rsidRPr="006078CF" w:rsidRDefault="00DD7C08" w:rsidP="00DD7C08">
            <w:pPr>
              <w:cnfStyle w:val="000000000000" w:firstRow="0" w:lastRow="0" w:firstColumn="0" w:lastColumn="0" w:oddVBand="0" w:evenVBand="0" w:oddHBand="0" w:evenHBand="0" w:firstRowFirstColumn="0" w:firstRowLastColumn="0" w:lastRowFirstColumn="0" w:lastRowLastColumn="0"/>
              <w:rPr>
                <w:b/>
                <w:bCs/>
              </w:rPr>
            </w:pPr>
            <w:r w:rsidRPr="006078CF">
              <w:rPr>
                <w:b/>
                <w:bCs/>
              </w:rPr>
              <w:t>Compenser</w:t>
            </w:r>
          </w:p>
        </w:tc>
        <w:tc>
          <w:tcPr>
            <w:tcW w:w="2179" w:type="dxa"/>
            <w:hideMark/>
          </w:tcPr>
          <w:p w14:paraId="66A2C62D" w14:textId="77777777" w:rsidR="00DD7C08" w:rsidRPr="006078CF" w:rsidRDefault="00DD7C08" w:rsidP="00DD7C08">
            <w:pPr>
              <w:cnfStyle w:val="000000000000" w:firstRow="0" w:lastRow="0" w:firstColumn="0" w:lastColumn="0" w:oddVBand="0" w:evenVBand="0" w:oddHBand="0" w:evenHBand="0" w:firstRowFirstColumn="0" w:firstRowLastColumn="0" w:lastRowFirstColumn="0" w:lastRowLastColumn="0"/>
            </w:pPr>
            <w:r w:rsidRPr="006078CF">
              <w:t>Si mortalités aviaires significatives : financement de suivis ornithologiques locaux.</w:t>
            </w:r>
          </w:p>
        </w:tc>
        <w:tc>
          <w:tcPr>
            <w:tcW w:w="1738" w:type="dxa"/>
            <w:hideMark/>
          </w:tcPr>
          <w:p w14:paraId="0D99A7FC" w14:textId="77777777" w:rsidR="00DD7C08" w:rsidRPr="006078CF" w:rsidRDefault="00DD7C08" w:rsidP="00DD7C08">
            <w:pPr>
              <w:cnfStyle w:val="000000000000" w:firstRow="0" w:lastRow="0" w:firstColumn="0" w:lastColumn="0" w:oddVBand="0" w:evenVBand="0" w:oddHBand="0" w:evenHBand="0" w:firstRowFirstColumn="0" w:firstRowLastColumn="0" w:lastRowFirstColumn="0" w:lastRowLastColumn="0"/>
            </w:pPr>
            <w:r w:rsidRPr="006078CF">
              <w:t>Rapport de suivi transmis annuellement</w:t>
            </w:r>
          </w:p>
        </w:tc>
        <w:tc>
          <w:tcPr>
            <w:tcW w:w="0" w:type="auto"/>
            <w:hideMark/>
          </w:tcPr>
          <w:p w14:paraId="5ACE16C8" w14:textId="7F362B2D" w:rsidR="00DD7C08" w:rsidRPr="006078CF" w:rsidRDefault="00DD7C08" w:rsidP="00DD7C08">
            <w:pPr>
              <w:cnfStyle w:val="000000000000" w:firstRow="0" w:lastRow="0" w:firstColumn="0" w:lastColumn="0" w:oddVBand="0" w:evenVBand="0" w:oddHBand="0" w:evenHBand="0" w:firstRowFirstColumn="0" w:firstRowLastColumn="0" w:lastRowFirstColumn="0" w:lastRowLastColumn="0"/>
            </w:pPr>
            <w:r w:rsidRPr="006078CF">
              <w:t xml:space="preserve">ONDA / </w:t>
            </w:r>
            <w:r>
              <w:t>ANEF</w:t>
            </w:r>
          </w:p>
        </w:tc>
        <w:tc>
          <w:tcPr>
            <w:tcW w:w="0" w:type="auto"/>
            <w:hideMark/>
          </w:tcPr>
          <w:p w14:paraId="2F4CE540" w14:textId="65EC5AD4" w:rsidR="00DD7C08" w:rsidRPr="006078CF" w:rsidRDefault="00DD7C08" w:rsidP="00DD7C08">
            <w:pPr>
              <w:cnfStyle w:val="000000000000" w:firstRow="0" w:lastRow="0" w:firstColumn="0" w:lastColumn="0" w:oddVBand="0" w:evenVBand="0" w:oddHBand="0" w:evenHBand="0" w:firstRowFirstColumn="0" w:firstRowLastColumn="0" w:lastRowFirstColumn="0" w:lastRowLastColumn="0"/>
            </w:pPr>
            <w:r w:rsidRPr="00AA22F2">
              <w:rPr>
                <w:szCs w:val="20"/>
                <w:lang w:eastAsia="fr-FR" w:bidi="ar-SA"/>
              </w:rPr>
              <w:t>ONDA</w:t>
            </w:r>
          </w:p>
        </w:tc>
        <w:tc>
          <w:tcPr>
            <w:tcW w:w="0" w:type="auto"/>
            <w:hideMark/>
          </w:tcPr>
          <w:p w14:paraId="3403A5FD" w14:textId="46CA1CFC" w:rsidR="00DD7C08" w:rsidRPr="006078CF" w:rsidRDefault="00DD7C08" w:rsidP="00DD7C08">
            <w:pPr>
              <w:cnfStyle w:val="000000000000" w:firstRow="0" w:lastRow="0" w:firstColumn="0" w:lastColumn="0" w:oddVBand="0" w:evenVBand="0" w:oddHBand="0" w:evenHBand="0" w:firstRowFirstColumn="0" w:firstRowLastColumn="0" w:lastRowFirstColumn="0" w:lastRowLastColumn="0"/>
            </w:pPr>
            <w:r w:rsidRPr="00AA22F2">
              <w:rPr>
                <w:szCs w:val="20"/>
                <w:lang w:eastAsia="fr-FR" w:bidi="ar-SA"/>
              </w:rPr>
              <w:t>ONDA</w:t>
            </w:r>
          </w:p>
        </w:tc>
        <w:tc>
          <w:tcPr>
            <w:tcW w:w="0" w:type="auto"/>
            <w:hideMark/>
          </w:tcPr>
          <w:p w14:paraId="0B03974E" w14:textId="77777777" w:rsidR="00DD7C08" w:rsidRPr="006078CF" w:rsidRDefault="00DD7C08" w:rsidP="00DD7C08">
            <w:pPr>
              <w:cnfStyle w:val="000000000000" w:firstRow="0" w:lastRow="0" w:firstColumn="0" w:lastColumn="0" w:oddVBand="0" w:evenVBand="0" w:oddHBand="0" w:evenHBand="0" w:firstRowFirstColumn="0" w:firstRowLastColumn="0" w:lastRowFirstColumn="0" w:lastRowLastColumn="0"/>
            </w:pPr>
            <w:r w:rsidRPr="006078CF">
              <w:t>Selon besoin</w:t>
            </w:r>
          </w:p>
        </w:tc>
        <w:tc>
          <w:tcPr>
            <w:tcW w:w="0" w:type="auto"/>
            <w:hideMark/>
          </w:tcPr>
          <w:p w14:paraId="23D04E40" w14:textId="3EFF7E61" w:rsidR="00DD7C08" w:rsidRPr="006078CF" w:rsidRDefault="00DD7C08" w:rsidP="00DD7C08">
            <w:pPr>
              <w:cnfStyle w:val="000000000000" w:firstRow="0" w:lastRow="0" w:firstColumn="0" w:lastColumn="0" w:oddVBand="0" w:evenVBand="0" w:oddHBand="0" w:evenHBand="0" w:firstRowFirstColumn="0" w:firstRowLastColumn="0" w:lastRowFirstColumn="0" w:lastRowLastColumn="0"/>
            </w:pPr>
            <w:r w:rsidRPr="000E18C4">
              <w:t xml:space="preserve">20 000 – 30 000 </w:t>
            </w:r>
            <w:r>
              <w:t>MAD</w:t>
            </w:r>
            <w:r w:rsidRPr="000E18C4">
              <w:t>/campagne annuelle</w:t>
            </w:r>
          </w:p>
        </w:tc>
      </w:tr>
      <w:tr w:rsidR="00DD7C08" w:rsidRPr="006078CF" w14:paraId="32D6A6FA" w14:textId="77777777" w:rsidTr="00D60FC9">
        <w:tc>
          <w:tcPr>
            <w:cnfStyle w:val="001000000000" w:firstRow="0" w:lastRow="0" w:firstColumn="1" w:lastColumn="0" w:oddVBand="0" w:evenVBand="0" w:oddHBand="0" w:evenHBand="0" w:firstRowFirstColumn="0" w:firstRowLastColumn="0" w:lastRowFirstColumn="0" w:lastRowLastColumn="0"/>
            <w:tcW w:w="0" w:type="auto"/>
            <w:vMerge w:val="restart"/>
            <w:hideMark/>
          </w:tcPr>
          <w:p w14:paraId="497F3DBB" w14:textId="77777777" w:rsidR="00DD7C08" w:rsidRPr="006078CF" w:rsidRDefault="00DD7C08" w:rsidP="00DD7C08">
            <w:r w:rsidRPr="006078CF">
              <w:rPr>
                <w:b w:val="0"/>
                <w:bCs w:val="0"/>
              </w:rPr>
              <w:t>Risque de collision avec la faune terrestre (micromammifères, reptiles)</w:t>
            </w:r>
          </w:p>
        </w:tc>
        <w:tc>
          <w:tcPr>
            <w:tcW w:w="0" w:type="auto"/>
            <w:hideMark/>
          </w:tcPr>
          <w:p w14:paraId="316FFAB0" w14:textId="77777777" w:rsidR="00DD7C08" w:rsidRPr="006078CF" w:rsidRDefault="00DD7C08" w:rsidP="00DD7C08">
            <w:pPr>
              <w:cnfStyle w:val="000000000000" w:firstRow="0" w:lastRow="0" w:firstColumn="0" w:lastColumn="0" w:oddVBand="0" w:evenVBand="0" w:oddHBand="0" w:evenHBand="0" w:firstRowFirstColumn="0" w:firstRowLastColumn="0" w:lastRowFirstColumn="0" w:lastRowLastColumn="0"/>
              <w:rPr>
                <w:b/>
                <w:bCs/>
              </w:rPr>
            </w:pPr>
            <w:r w:rsidRPr="006078CF">
              <w:rPr>
                <w:b/>
                <w:bCs/>
              </w:rPr>
              <w:t>Éviter</w:t>
            </w:r>
          </w:p>
        </w:tc>
        <w:tc>
          <w:tcPr>
            <w:tcW w:w="2179" w:type="dxa"/>
            <w:hideMark/>
          </w:tcPr>
          <w:p w14:paraId="2FF0FDEB" w14:textId="77777777" w:rsidR="00DD7C08" w:rsidRPr="006078CF" w:rsidRDefault="00DD7C08" w:rsidP="00DD7C08">
            <w:pPr>
              <w:cnfStyle w:val="000000000000" w:firstRow="0" w:lastRow="0" w:firstColumn="0" w:lastColumn="0" w:oddVBand="0" w:evenVBand="0" w:oddHBand="0" w:evenHBand="0" w:firstRowFirstColumn="0" w:firstRowLastColumn="0" w:lastRowFirstColumn="0" w:lastRowLastColumn="0"/>
            </w:pPr>
            <w:r w:rsidRPr="006078CF">
              <w:t>Maintenir l’intégrité des clôtures périphériques et obturer les passages de drainage susceptibles de servir d’accès.</w:t>
            </w:r>
          </w:p>
        </w:tc>
        <w:tc>
          <w:tcPr>
            <w:tcW w:w="1738" w:type="dxa"/>
            <w:hideMark/>
          </w:tcPr>
          <w:p w14:paraId="4B49DAE4" w14:textId="77777777" w:rsidR="00DD7C08" w:rsidRPr="006078CF" w:rsidRDefault="00DD7C08" w:rsidP="00DD7C08">
            <w:pPr>
              <w:cnfStyle w:val="000000000000" w:firstRow="0" w:lastRow="0" w:firstColumn="0" w:lastColumn="0" w:oddVBand="0" w:evenVBand="0" w:oddHBand="0" w:evenHBand="0" w:firstRowFirstColumn="0" w:firstRowLastColumn="0" w:lastRowFirstColumn="0" w:lastRowLastColumn="0"/>
            </w:pPr>
            <w:r w:rsidRPr="006078CF">
              <w:t>Taux de non-conformité clôture = 0</w:t>
            </w:r>
          </w:p>
        </w:tc>
        <w:tc>
          <w:tcPr>
            <w:tcW w:w="0" w:type="auto"/>
            <w:hideMark/>
          </w:tcPr>
          <w:p w14:paraId="6B5F3158" w14:textId="0E947B5C" w:rsidR="00DD7C08" w:rsidRPr="006078CF" w:rsidRDefault="00DD7C08" w:rsidP="00DD7C08">
            <w:pPr>
              <w:cnfStyle w:val="000000000000" w:firstRow="0" w:lastRow="0" w:firstColumn="0" w:lastColumn="0" w:oddVBand="0" w:evenVBand="0" w:oddHBand="0" w:evenHBand="0" w:firstRowFirstColumn="0" w:firstRowLastColumn="0" w:lastRowFirstColumn="0" w:lastRowLastColumn="0"/>
            </w:pPr>
            <w:r w:rsidRPr="00AA22F2">
              <w:rPr>
                <w:szCs w:val="20"/>
                <w:lang w:eastAsia="fr-FR" w:bidi="ar-SA"/>
              </w:rPr>
              <w:t>ONDA / Exploitant</w:t>
            </w:r>
          </w:p>
        </w:tc>
        <w:tc>
          <w:tcPr>
            <w:tcW w:w="0" w:type="auto"/>
            <w:hideMark/>
          </w:tcPr>
          <w:p w14:paraId="3DF4F8FA" w14:textId="3219CAC1" w:rsidR="00DD7C08" w:rsidRPr="006078CF" w:rsidRDefault="00DD7C08" w:rsidP="00DD7C08">
            <w:pPr>
              <w:cnfStyle w:val="000000000000" w:firstRow="0" w:lastRow="0" w:firstColumn="0" w:lastColumn="0" w:oddVBand="0" w:evenVBand="0" w:oddHBand="0" w:evenHBand="0" w:firstRowFirstColumn="0" w:firstRowLastColumn="0" w:lastRowFirstColumn="0" w:lastRowLastColumn="0"/>
            </w:pPr>
            <w:r w:rsidRPr="00AA22F2">
              <w:rPr>
                <w:szCs w:val="20"/>
                <w:lang w:eastAsia="fr-FR" w:bidi="ar-SA"/>
              </w:rPr>
              <w:t>ONDA</w:t>
            </w:r>
          </w:p>
        </w:tc>
        <w:tc>
          <w:tcPr>
            <w:tcW w:w="0" w:type="auto"/>
            <w:hideMark/>
          </w:tcPr>
          <w:p w14:paraId="7A0059F8" w14:textId="421797A9" w:rsidR="00DD7C08" w:rsidRPr="006078CF" w:rsidRDefault="00DD7C08" w:rsidP="00DD7C08">
            <w:pPr>
              <w:cnfStyle w:val="000000000000" w:firstRow="0" w:lastRow="0" w:firstColumn="0" w:lastColumn="0" w:oddVBand="0" w:evenVBand="0" w:oddHBand="0" w:evenHBand="0" w:firstRowFirstColumn="0" w:firstRowLastColumn="0" w:lastRowFirstColumn="0" w:lastRowLastColumn="0"/>
            </w:pPr>
            <w:r w:rsidRPr="00AA22F2">
              <w:rPr>
                <w:szCs w:val="20"/>
                <w:lang w:eastAsia="fr-FR" w:bidi="ar-SA"/>
              </w:rPr>
              <w:t>ONDA</w:t>
            </w:r>
          </w:p>
        </w:tc>
        <w:tc>
          <w:tcPr>
            <w:tcW w:w="0" w:type="auto"/>
            <w:hideMark/>
          </w:tcPr>
          <w:p w14:paraId="7A888669" w14:textId="77777777" w:rsidR="00DD7C08" w:rsidRPr="006078CF" w:rsidRDefault="00DD7C08" w:rsidP="00DD7C08">
            <w:pPr>
              <w:cnfStyle w:val="000000000000" w:firstRow="0" w:lastRow="0" w:firstColumn="0" w:lastColumn="0" w:oddVBand="0" w:evenVBand="0" w:oddHBand="0" w:evenHBand="0" w:firstRowFirstColumn="0" w:firstRowLastColumn="0" w:lastRowFirstColumn="0" w:lastRowLastColumn="0"/>
            </w:pPr>
            <w:r w:rsidRPr="006078CF">
              <w:t>Permanent</w:t>
            </w:r>
          </w:p>
        </w:tc>
        <w:tc>
          <w:tcPr>
            <w:tcW w:w="0" w:type="auto"/>
            <w:hideMark/>
          </w:tcPr>
          <w:p w14:paraId="62996C25" w14:textId="6AA0222E" w:rsidR="00DD7C08" w:rsidRPr="006078CF" w:rsidRDefault="00DD7C08" w:rsidP="00DD7C08">
            <w:pPr>
              <w:cnfStyle w:val="000000000000" w:firstRow="0" w:lastRow="0" w:firstColumn="0" w:lastColumn="0" w:oddVBand="0" w:evenVBand="0" w:oddHBand="0" w:evenHBand="0" w:firstRowFirstColumn="0" w:firstRowLastColumn="0" w:lastRowFirstColumn="0" w:lastRowLastColumn="0"/>
            </w:pPr>
            <w:r w:rsidRPr="000E18C4">
              <w:t>150 – 200</w:t>
            </w:r>
            <w:r>
              <w:t xml:space="preserve"> MAD</w:t>
            </w:r>
            <w:r w:rsidRPr="000E18C4">
              <w:t xml:space="preserve"> /m linéaire (réparation ponctuelle)</w:t>
            </w:r>
            <w:r>
              <w:t xml:space="preserve"> (</w:t>
            </w:r>
            <w:r w:rsidRPr="000E18C4">
              <w:t>Clôture métallique galvanisée avec grillage anti-intrusion</w:t>
            </w:r>
            <w:r>
              <w:t>)</w:t>
            </w:r>
          </w:p>
        </w:tc>
      </w:tr>
      <w:tr w:rsidR="00DD7C08" w:rsidRPr="006078CF" w14:paraId="136CD1C9" w14:textId="77777777" w:rsidTr="00D60FC9">
        <w:tc>
          <w:tcPr>
            <w:cnfStyle w:val="001000000000" w:firstRow="0" w:lastRow="0" w:firstColumn="1" w:lastColumn="0" w:oddVBand="0" w:evenVBand="0" w:oddHBand="0" w:evenHBand="0" w:firstRowFirstColumn="0" w:firstRowLastColumn="0" w:lastRowFirstColumn="0" w:lastRowLastColumn="0"/>
            <w:tcW w:w="0" w:type="auto"/>
            <w:vMerge/>
            <w:hideMark/>
          </w:tcPr>
          <w:p w14:paraId="6FD08EFF" w14:textId="77777777" w:rsidR="00DD7C08" w:rsidRPr="006078CF" w:rsidRDefault="00DD7C08" w:rsidP="00DD7C08"/>
        </w:tc>
        <w:tc>
          <w:tcPr>
            <w:tcW w:w="0" w:type="auto"/>
            <w:hideMark/>
          </w:tcPr>
          <w:p w14:paraId="2F0AC619" w14:textId="77777777" w:rsidR="00DD7C08" w:rsidRPr="006078CF" w:rsidRDefault="00DD7C08" w:rsidP="00DD7C08">
            <w:pPr>
              <w:cnfStyle w:val="000000000000" w:firstRow="0" w:lastRow="0" w:firstColumn="0" w:lastColumn="0" w:oddVBand="0" w:evenVBand="0" w:oddHBand="0" w:evenHBand="0" w:firstRowFirstColumn="0" w:firstRowLastColumn="0" w:lastRowFirstColumn="0" w:lastRowLastColumn="0"/>
              <w:rPr>
                <w:b/>
                <w:bCs/>
              </w:rPr>
            </w:pPr>
            <w:r w:rsidRPr="006078CF">
              <w:rPr>
                <w:b/>
                <w:bCs/>
              </w:rPr>
              <w:t>Réduire</w:t>
            </w:r>
          </w:p>
        </w:tc>
        <w:tc>
          <w:tcPr>
            <w:tcW w:w="2179" w:type="dxa"/>
            <w:hideMark/>
          </w:tcPr>
          <w:p w14:paraId="4B5E717E" w14:textId="77777777" w:rsidR="00DD7C08" w:rsidRPr="006078CF" w:rsidRDefault="00DD7C08" w:rsidP="00DD7C08">
            <w:pPr>
              <w:cnfStyle w:val="000000000000" w:firstRow="0" w:lastRow="0" w:firstColumn="0" w:lastColumn="0" w:oddVBand="0" w:evenVBand="0" w:oddHBand="0" w:evenHBand="0" w:firstRowFirstColumn="0" w:firstRowLastColumn="0" w:lastRowFirstColumn="0" w:lastRowLastColumn="0"/>
            </w:pPr>
            <w:r w:rsidRPr="006078CF">
              <w:t>Inspection visuelle périodique des voies internes et fossés avant le début des opérations.</w:t>
            </w:r>
          </w:p>
        </w:tc>
        <w:tc>
          <w:tcPr>
            <w:tcW w:w="1738" w:type="dxa"/>
            <w:hideMark/>
          </w:tcPr>
          <w:p w14:paraId="0134C266" w14:textId="77777777" w:rsidR="00DD7C08" w:rsidRPr="006078CF" w:rsidRDefault="00DD7C08" w:rsidP="00DD7C08">
            <w:pPr>
              <w:cnfStyle w:val="000000000000" w:firstRow="0" w:lastRow="0" w:firstColumn="0" w:lastColumn="0" w:oddVBand="0" w:evenVBand="0" w:oddHBand="0" w:evenHBand="0" w:firstRowFirstColumn="0" w:firstRowLastColumn="0" w:lastRowFirstColumn="0" w:lastRowLastColumn="0"/>
            </w:pPr>
            <w:r w:rsidRPr="006078CF">
              <w:t>Nombre d’incursions/faune = 0</w:t>
            </w:r>
          </w:p>
        </w:tc>
        <w:tc>
          <w:tcPr>
            <w:tcW w:w="0" w:type="auto"/>
            <w:hideMark/>
          </w:tcPr>
          <w:p w14:paraId="60126B70" w14:textId="3B9685D4" w:rsidR="00DD7C08" w:rsidRPr="006078CF" w:rsidRDefault="00DD7C08" w:rsidP="00DD7C08">
            <w:pPr>
              <w:cnfStyle w:val="000000000000" w:firstRow="0" w:lastRow="0" w:firstColumn="0" w:lastColumn="0" w:oddVBand="0" w:evenVBand="0" w:oddHBand="0" w:evenHBand="0" w:firstRowFirstColumn="0" w:firstRowLastColumn="0" w:lastRowFirstColumn="0" w:lastRowLastColumn="0"/>
            </w:pPr>
            <w:r w:rsidRPr="00AA22F2">
              <w:rPr>
                <w:szCs w:val="20"/>
                <w:lang w:eastAsia="fr-FR" w:bidi="ar-SA"/>
              </w:rPr>
              <w:t>ONDA / Exploitant</w:t>
            </w:r>
          </w:p>
        </w:tc>
        <w:tc>
          <w:tcPr>
            <w:tcW w:w="0" w:type="auto"/>
            <w:hideMark/>
          </w:tcPr>
          <w:p w14:paraId="3DB0A438" w14:textId="45E20CC2" w:rsidR="00DD7C08" w:rsidRPr="006078CF" w:rsidRDefault="00DD7C08" w:rsidP="00DD7C08">
            <w:pPr>
              <w:cnfStyle w:val="000000000000" w:firstRow="0" w:lastRow="0" w:firstColumn="0" w:lastColumn="0" w:oddVBand="0" w:evenVBand="0" w:oddHBand="0" w:evenHBand="0" w:firstRowFirstColumn="0" w:firstRowLastColumn="0" w:lastRowFirstColumn="0" w:lastRowLastColumn="0"/>
            </w:pPr>
            <w:r w:rsidRPr="00AA22F2">
              <w:rPr>
                <w:szCs w:val="20"/>
                <w:lang w:eastAsia="fr-FR" w:bidi="ar-SA"/>
              </w:rPr>
              <w:t>ONDA</w:t>
            </w:r>
          </w:p>
        </w:tc>
        <w:tc>
          <w:tcPr>
            <w:tcW w:w="0" w:type="auto"/>
            <w:hideMark/>
          </w:tcPr>
          <w:p w14:paraId="3C98D94D" w14:textId="67AD5D5B" w:rsidR="00DD7C08" w:rsidRPr="006078CF" w:rsidRDefault="00DD7C08" w:rsidP="00DD7C08">
            <w:pPr>
              <w:cnfStyle w:val="000000000000" w:firstRow="0" w:lastRow="0" w:firstColumn="0" w:lastColumn="0" w:oddVBand="0" w:evenVBand="0" w:oddHBand="0" w:evenHBand="0" w:firstRowFirstColumn="0" w:firstRowLastColumn="0" w:lastRowFirstColumn="0" w:lastRowLastColumn="0"/>
            </w:pPr>
            <w:r w:rsidRPr="00AA22F2">
              <w:rPr>
                <w:szCs w:val="20"/>
                <w:lang w:eastAsia="fr-FR" w:bidi="ar-SA"/>
              </w:rPr>
              <w:t>ONDA</w:t>
            </w:r>
          </w:p>
        </w:tc>
        <w:tc>
          <w:tcPr>
            <w:tcW w:w="0" w:type="auto"/>
            <w:hideMark/>
          </w:tcPr>
          <w:p w14:paraId="4ED53A76" w14:textId="77777777" w:rsidR="00DD7C08" w:rsidRPr="006078CF" w:rsidRDefault="00DD7C08" w:rsidP="00DD7C08">
            <w:pPr>
              <w:cnfStyle w:val="000000000000" w:firstRow="0" w:lastRow="0" w:firstColumn="0" w:lastColumn="0" w:oddVBand="0" w:evenVBand="0" w:oddHBand="0" w:evenHBand="0" w:firstRowFirstColumn="0" w:firstRowLastColumn="0" w:lastRowFirstColumn="0" w:lastRowLastColumn="0"/>
            </w:pPr>
            <w:r w:rsidRPr="006078CF">
              <w:t>Mensuel</w:t>
            </w:r>
          </w:p>
        </w:tc>
        <w:tc>
          <w:tcPr>
            <w:tcW w:w="0" w:type="auto"/>
            <w:hideMark/>
          </w:tcPr>
          <w:p w14:paraId="65309263" w14:textId="1C4C41D7" w:rsidR="00DD7C08" w:rsidRPr="006078CF" w:rsidRDefault="00DD7C08" w:rsidP="00DD7C08">
            <w:pPr>
              <w:cnfStyle w:val="000000000000" w:firstRow="0" w:lastRow="0" w:firstColumn="0" w:lastColumn="0" w:oddVBand="0" w:evenVBand="0" w:oddHBand="0" w:evenHBand="0" w:firstRowFirstColumn="0" w:firstRowLastColumn="0" w:lastRowFirstColumn="0" w:lastRowLastColumn="0"/>
            </w:pPr>
            <w:r>
              <w:t>Aucun coût spécifique (Réalisée par l’équipe HSSE de l’ONDA)</w:t>
            </w:r>
          </w:p>
        </w:tc>
      </w:tr>
      <w:tr w:rsidR="00DD7C08" w:rsidRPr="006078CF" w14:paraId="06E7CED1" w14:textId="77777777" w:rsidTr="00D60FC9">
        <w:tc>
          <w:tcPr>
            <w:cnfStyle w:val="001000000000" w:firstRow="0" w:lastRow="0" w:firstColumn="1" w:lastColumn="0" w:oddVBand="0" w:evenVBand="0" w:oddHBand="0" w:evenHBand="0" w:firstRowFirstColumn="0" w:firstRowLastColumn="0" w:lastRowFirstColumn="0" w:lastRowLastColumn="0"/>
            <w:tcW w:w="0" w:type="auto"/>
            <w:vMerge/>
            <w:hideMark/>
          </w:tcPr>
          <w:p w14:paraId="50B8BC1F" w14:textId="77777777" w:rsidR="00DD7C08" w:rsidRPr="006078CF" w:rsidRDefault="00DD7C08" w:rsidP="00DD7C08"/>
        </w:tc>
        <w:tc>
          <w:tcPr>
            <w:tcW w:w="0" w:type="auto"/>
            <w:hideMark/>
          </w:tcPr>
          <w:p w14:paraId="5A15E2A1" w14:textId="77777777" w:rsidR="00DD7C08" w:rsidRPr="006078CF" w:rsidRDefault="00DD7C08" w:rsidP="00DD7C08">
            <w:pPr>
              <w:cnfStyle w:val="000000000000" w:firstRow="0" w:lastRow="0" w:firstColumn="0" w:lastColumn="0" w:oddVBand="0" w:evenVBand="0" w:oddHBand="0" w:evenHBand="0" w:firstRowFirstColumn="0" w:firstRowLastColumn="0" w:lastRowFirstColumn="0" w:lastRowLastColumn="0"/>
              <w:rPr>
                <w:b/>
                <w:bCs/>
              </w:rPr>
            </w:pPr>
            <w:r w:rsidRPr="006078CF">
              <w:rPr>
                <w:b/>
                <w:bCs/>
              </w:rPr>
              <w:t>Atténuer</w:t>
            </w:r>
          </w:p>
        </w:tc>
        <w:tc>
          <w:tcPr>
            <w:tcW w:w="2179" w:type="dxa"/>
            <w:hideMark/>
          </w:tcPr>
          <w:p w14:paraId="14A40D83" w14:textId="77777777" w:rsidR="00DD7C08" w:rsidRPr="006078CF" w:rsidRDefault="00DD7C08" w:rsidP="00DD7C08">
            <w:pPr>
              <w:cnfStyle w:val="000000000000" w:firstRow="0" w:lastRow="0" w:firstColumn="0" w:lastColumn="0" w:oddVBand="0" w:evenVBand="0" w:oddHBand="0" w:evenHBand="0" w:firstRowFirstColumn="0" w:firstRowLastColumn="0" w:lastRowFirstColumn="0" w:lastRowLastColumn="0"/>
            </w:pPr>
            <w:r w:rsidRPr="006078CF">
              <w:t>Installation de rampes de sortie ou grilles anti-faune dans les fossés et bassins.</w:t>
            </w:r>
          </w:p>
        </w:tc>
        <w:tc>
          <w:tcPr>
            <w:tcW w:w="1738" w:type="dxa"/>
            <w:hideMark/>
          </w:tcPr>
          <w:p w14:paraId="74A717F4" w14:textId="77777777" w:rsidR="00DD7C08" w:rsidRPr="006078CF" w:rsidRDefault="00DD7C08" w:rsidP="00DD7C08">
            <w:pPr>
              <w:cnfStyle w:val="000000000000" w:firstRow="0" w:lastRow="0" w:firstColumn="0" w:lastColumn="0" w:oddVBand="0" w:evenVBand="0" w:oddHBand="0" w:evenHBand="0" w:firstRowFirstColumn="0" w:firstRowLastColumn="0" w:lastRowFirstColumn="0" w:lastRowLastColumn="0"/>
            </w:pPr>
            <w:r w:rsidRPr="006078CF">
              <w:t>Nombre de dispositifs installés</w:t>
            </w:r>
          </w:p>
        </w:tc>
        <w:tc>
          <w:tcPr>
            <w:tcW w:w="0" w:type="auto"/>
            <w:hideMark/>
          </w:tcPr>
          <w:p w14:paraId="494EE2C7" w14:textId="3AD81D07" w:rsidR="00DD7C08" w:rsidRPr="006078CF" w:rsidRDefault="00DD7C08" w:rsidP="00DD7C08">
            <w:pPr>
              <w:cnfStyle w:val="000000000000" w:firstRow="0" w:lastRow="0" w:firstColumn="0" w:lastColumn="0" w:oddVBand="0" w:evenVBand="0" w:oddHBand="0" w:evenHBand="0" w:firstRowFirstColumn="0" w:firstRowLastColumn="0" w:lastRowFirstColumn="0" w:lastRowLastColumn="0"/>
            </w:pPr>
            <w:r w:rsidRPr="00AA22F2">
              <w:rPr>
                <w:szCs w:val="20"/>
                <w:lang w:eastAsia="fr-FR" w:bidi="ar-SA"/>
              </w:rPr>
              <w:t>ONDA / Exploitant</w:t>
            </w:r>
          </w:p>
        </w:tc>
        <w:tc>
          <w:tcPr>
            <w:tcW w:w="0" w:type="auto"/>
            <w:hideMark/>
          </w:tcPr>
          <w:p w14:paraId="725EBEF0" w14:textId="2B284CC7" w:rsidR="00DD7C08" w:rsidRPr="006078CF" w:rsidRDefault="00DD7C08" w:rsidP="00DD7C08">
            <w:pPr>
              <w:cnfStyle w:val="000000000000" w:firstRow="0" w:lastRow="0" w:firstColumn="0" w:lastColumn="0" w:oddVBand="0" w:evenVBand="0" w:oddHBand="0" w:evenHBand="0" w:firstRowFirstColumn="0" w:firstRowLastColumn="0" w:lastRowFirstColumn="0" w:lastRowLastColumn="0"/>
            </w:pPr>
            <w:r w:rsidRPr="00AA22F2">
              <w:rPr>
                <w:szCs w:val="20"/>
                <w:lang w:eastAsia="fr-FR" w:bidi="ar-SA"/>
              </w:rPr>
              <w:t>ONDA</w:t>
            </w:r>
          </w:p>
        </w:tc>
        <w:tc>
          <w:tcPr>
            <w:tcW w:w="0" w:type="auto"/>
            <w:hideMark/>
          </w:tcPr>
          <w:p w14:paraId="37CFE471" w14:textId="24CBE9AF" w:rsidR="00DD7C08" w:rsidRPr="006078CF" w:rsidRDefault="00DD7C08" w:rsidP="00DD7C08">
            <w:pPr>
              <w:cnfStyle w:val="000000000000" w:firstRow="0" w:lastRow="0" w:firstColumn="0" w:lastColumn="0" w:oddVBand="0" w:evenVBand="0" w:oddHBand="0" w:evenHBand="0" w:firstRowFirstColumn="0" w:firstRowLastColumn="0" w:lastRowFirstColumn="0" w:lastRowLastColumn="0"/>
            </w:pPr>
            <w:r w:rsidRPr="00AA22F2">
              <w:rPr>
                <w:szCs w:val="20"/>
                <w:lang w:eastAsia="fr-FR" w:bidi="ar-SA"/>
              </w:rPr>
              <w:t>ONDA</w:t>
            </w:r>
          </w:p>
        </w:tc>
        <w:tc>
          <w:tcPr>
            <w:tcW w:w="0" w:type="auto"/>
            <w:hideMark/>
          </w:tcPr>
          <w:p w14:paraId="3D7B8237" w14:textId="77777777" w:rsidR="00DD7C08" w:rsidRPr="006078CF" w:rsidRDefault="00DD7C08" w:rsidP="00DD7C08">
            <w:pPr>
              <w:cnfStyle w:val="000000000000" w:firstRow="0" w:lastRow="0" w:firstColumn="0" w:lastColumn="0" w:oddVBand="0" w:evenVBand="0" w:oddHBand="0" w:evenHBand="0" w:firstRowFirstColumn="0" w:firstRowLastColumn="0" w:lastRowFirstColumn="0" w:lastRowLastColumn="0"/>
            </w:pPr>
            <w:r w:rsidRPr="006078CF">
              <w:t>Année 1</w:t>
            </w:r>
          </w:p>
        </w:tc>
        <w:tc>
          <w:tcPr>
            <w:tcW w:w="0" w:type="auto"/>
            <w:hideMark/>
          </w:tcPr>
          <w:p w14:paraId="463F568A" w14:textId="348683A3" w:rsidR="00DD7C08" w:rsidRPr="006078CF" w:rsidRDefault="00DD7C08" w:rsidP="00DD7C08">
            <w:pPr>
              <w:cnfStyle w:val="000000000000" w:firstRow="0" w:lastRow="0" w:firstColumn="0" w:lastColumn="0" w:oddVBand="0" w:evenVBand="0" w:oddHBand="0" w:evenHBand="0" w:firstRowFirstColumn="0" w:firstRowLastColumn="0" w:lastRowFirstColumn="0" w:lastRowLastColumn="0"/>
            </w:pPr>
            <w:r w:rsidRPr="000E18C4">
              <w:t>800 – 1 200</w:t>
            </w:r>
            <w:r>
              <w:t xml:space="preserve"> MAD</w:t>
            </w:r>
            <w:r w:rsidRPr="000E18C4">
              <w:t xml:space="preserve"> /grille</w:t>
            </w:r>
          </w:p>
        </w:tc>
      </w:tr>
    </w:tbl>
    <w:p w14:paraId="7D3E9202" w14:textId="77777777" w:rsidR="006078CF" w:rsidRDefault="006078CF">
      <w:pPr>
        <w:pStyle w:val="Style4"/>
        <w:numPr>
          <w:ilvl w:val="0"/>
          <w:numId w:val="0"/>
        </w:numPr>
        <w:spacing w:before="120" w:after="120"/>
        <w:sectPr w:rsidR="006078CF" w:rsidSect="004637C7">
          <w:pgSz w:w="16838" w:h="11906" w:orient="landscape"/>
          <w:pgMar w:top="1418" w:right="1418" w:bottom="1418" w:left="1276" w:header="680" w:footer="680" w:gutter="0"/>
          <w:cols w:space="708"/>
          <w:docGrid w:linePitch="360"/>
        </w:sectPr>
      </w:pPr>
    </w:p>
    <w:p w14:paraId="33AA7B5C" w14:textId="7B047C5E" w:rsidR="00F34946" w:rsidRPr="00F34946" w:rsidRDefault="00F34946" w:rsidP="004637C7">
      <w:pPr>
        <w:pStyle w:val="Title5"/>
      </w:pPr>
      <w:r w:rsidRPr="00F34946">
        <w:lastRenderedPageBreak/>
        <w:t>Évaluation de</w:t>
      </w:r>
      <w:r w:rsidR="001E722F">
        <w:t>s impacts résiduels</w:t>
      </w:r>
    </w:p>
    <w:p w14:paraId="0B19E6A9" w14:textId="433170E7" w:rsidR="00E946E4" w:rsidRPr="00E946E4" w:rsidRDefault="00E946E4" w:rsidP="004637C7">
      <w:r w:rsidRPr="00E946E4">
        <w:t xml:space="preserve">À l’issue de la mise en œuvre des mesures de gestion environnementale et écologique prévues dans </w:t>
      </w:r>
      <w:r>
        <w:t>l’EIES</w:t>
      </w:r>
      <w:r w:rsidRPr="00E946E4">
        <w:t xml:space="preserve">, les impacts et risques sur les composantes biologiques du site en phase d’exploitation demeurent </w:t>
      </w:r>
      <w:r>
        <w:t>négligeable</w:t>
      </w:r>
      <w:r w:rsidRPr="00E946E4">
        <w:t xml:space="preserve"> et pleinement maîtrisés.</w:t>
      </w:r>
    </w:p>
    <w:p w14:paraId="7BB28EE0" w14:textId="44FAD09D" w:rsidR="00E946E4" w:rsidRPr="00E946E4" w:rsidRDefault="00E946E4" w:rsidP="004637C7">
      <w:r w:rsidRPr="00E946E4">
        <w:t xml:space="preserve">Les zones concernées par le projet </w:t>
      </w:r>
      <w:r>
        <w:t>(</w:t>
      </w:r>
      <w:r w:rsidRPr="00E946E4">
        <w:t>le parking avions et la bretelle de liaison</w:t>
      </w:r>
      <w:r>
        <w:t>)</w:t>
      </w:r>
      <w:r w:rsidRPr="00E946E4">
        <w:t xml:space="preserve"> sont situées à l’intérieur d’une emprise entièrement artificialisée, dépourvue d’habitats naturels fonctionnels. Les activités d’exploitation n’entraînent donc aucune pression directe supplémentaire sur la faune et la flore locales.</w:t>
      </w:r>
    </w:p>
    <w:p w14:paraId="47C61812" w14:textId="4095EC34" w:rsidR="00E946E4" w:rsidRPr="00E946E4" w:rsidRDefault="00E946E4" w:rsidP="004637C7">
      <w:r w:rsidRPr="00E946E4">
        <w:t xml:space="preserve">Les mesures d’atténuation mises en œuvre </w:t>
      </w:r>
      <w:r>
        <w:t>(</w:t>
      </w:r>
      <w:r w:rsidRPr="00E946E4">
        <w:t>notamment la gestion de l’éclairage nocturne, la prévention de l’attraction de la faune opportuniste, la surveillance du risque aviaire (Bird Hazard Management Plan) et le maintien des clôtures périphériques permettent de réduire à un niveau résiduel minimal les éventuelles interactions entre l’exploitation aéroportuaire et le milieu biologique.</w:t>
      </w:r>
    </w:p>
    <w:p w14:paraId="4128EAA5" w14:textId="77777777" w:rsidR="00E946E4" w:rsidRPr="00E946E4" w:rsidRDefault="00E946E4" w:rsidP="004637C7">
      <w:r w:rsidRPr="00E946E4">
        <w:t>L’impact résiduel sur la flore rudérale est négligeable, les surfaces exploitées étant entièrement minéralisées.</w:t>
      </w:r>
    </w:p>
    <w:p w14:paraId="59BE806D" w14:textId="0B3B271D" w:rsidR="00E946E4" w:rsidRPr="00E946E4" w:rsidRDefault="00E946E4" w:rsidP="004637C7">
      <w:r w:rsidRPr="00E946E4">
        <w:t xml:space="preserve">La perturbation de la faune périphérique est </w:t>
      </w:r>
      <w:r>
        <w:t>négligeable</w:t>
      </w:r>
      <w:r w:rsidRPr="00E946E4">
        <w:t>, localisée et constante dans un environnement déjà marqué par les activités aéronautiques.</w:t>
      </w:r>
    </w:p>
    <w:p w14:paraId="7C51B02F" w14:textId="77777777" w:rsidR="00E946E4" w:rsidRPr="00E946E4" w:rsidRDefault="00E946E4" w:rsidP="004637C7">
      <w:r w:rsidRPr="00E946E4">
        <w:t>Le risque d’attraction de la faune opportuniste est maîtrisé grâce à la propreté du site et à la gestion rigoureuse des déchets organiques.</w:t>
      </w:r>
    </w:p>
    <w:p w14:paraId="64E0EC10" w14:textId="46509669" w:rsidR="00E946E4" w:rsidRPr="00E946E4" w:rsidRDefault="00E946E4" w:rsidP="004637C7">
      <w:r w:rsidRPr="00E946E4">
        <w:t>Le risque de collision aviaire reste structurel mais contrôlé et le risque de collision terrestre est quasi nul grâce au maintien des clôtures et à l’entretien des voies internes.</w:t>
      </w:r>
    </w:p>
    <w:p w14:paraId="0F204AD2" w14:textId="77777777" w:rsidR="00E946E4" w:rsidRPr="00E946E4" w:rsidRDefault="00E946E4" w:rsidP="004637C7">
      <w:r w:rsidRPr="00E946E4">
        <w:t>Ainsi, les impacts et risques résiduels observés en phase d’exploitation sont :</w:t>
      </w:r>
    </w:p>
    <w:p w14:paraId="73F03CC1" w14:textId="77777777" w:rsidR="00E946E4" w:rsidRPr="00E946E4" w:rsidRDefault="00E946E4" w:rsidP="0001633E">
      <w:pPr>
        <w:pStyle w:val="Paragraphedeliste"/>
        <w:numPr>
          <w:ilvl w:val="0"/>
          <w:numId w:val="114"/>
        </w:numPr>
      </w:pPr>
      <w:r w:rsidRPr="00E946E4">
        <w:t>Directs et négatifs, mais limités à la zone aéroportuaire ;</w:t>
      </w:r>
    </w:p>
    <w:p w14:paraId="5863E2E6" w14:textId="77777777" w:rsidR="00E946E4" w:rsidRPr="00E946E4" w:rsidRDefault="00E946E4" w:rsidP="0001633E">
      <w:pPr>
        <w:pStyle w:val="Paragraphedeliste"/>
        <w:numPr>
          <w:ilvl w:val="0"/>
          <w:numId w:val="114"/>
        </w:numPr>
      </w:pPr>
      <w:r w:rsidRPr="00E946E4">
        <w:t>Permanents, mais faiblement perceptibles sur le plan écologique ;</w:t>
      </w:r>
    </w:p>
    <w:p w14:paraId="44D7E502" w14:textId="2D9759E7" w:rsidR="00E946E4" w:rsidRPr="00E946E4" w:rsidRDefault="00E946E4" w:rsidP="0001633E">
      <w:pPr>
        <w:pStyle w:val="Paragraphedeliste"/>
        <w:numPr>
          <w:ilvl w:val="0"/>
          <w:numId w:val="114"/>
        </w:numPr>
      </w:pPr>
      <w:r w:rsidRPr="00E946E4">
        <w:t xml:space="preserve">D’intensité </w:t>
      </w:r>
      <w:r>
        <w:t>négligeable</w:t>
      </w:r>
      <w:r w:rsidRPr="00E946E4">
        <w:t>, en raison du caractère industriel du site et de la mise en œuvre de mesures correctives continues</w:t>
      </w:r>
      <w:r>
        <w:t>.</w:t>
      </w:r>
    </w:p>
    <w:p w14:paraId="17134EE2" w14:textId="4F6C286B" w:rsidR="00F34946" w:rsidRPr="00F34946" w:rsidRDefault="00F34946" w:rsidP="00F34946">
      <w:pPr>
        <w:pStyle w:val="Title3"/>
      </w:pPr>
      <w:bookmarkStart w:id="460" w:name="_bookmark198"/>
      <w:bookmarkStart w:id="461" w:name="_Toc181619039"/>
      <w:bookmarkStart w:id="462" w:name="_Toc215131882"/>
      <w:bookmarkEnd w:id="460"/>
      <w:r w:rsidRPr="00F34946">
        <w:t>Usages fonciers</w:t>
      </w:r>
      <w:bookmarkEnd w:id="461"/>
      <w:bookmarkEnd w:id="462"/>
    </w:p>
    <w:p w14:paraId="5AC5E507" w14:textId="32D55830" w:rsidR="00F34946" w:rsidRPr="00F34946" w:rsidRDefault="00F34946" w:rsidP="004637C7">
      <w:pPr>
        <w:pStyle w:val="Title4"/>
      </w:pPr>
      <w:r w:rsidRPr="00F34946">
        <w:t>Contexte</w:t>
      </w:r>
      <w:r w:rsidR="006C029E">
        <w:t xml:space="preserve"> et situation foncière</w:t>
      </w:r>
    </w:p>
    <w:p w14:paraId="26504A53" w14:textId="6A09DA0D" w:rsidR="002B29F6" w:rsidRDefault="002B29F6" w:rsidP="002B29F6">
      <w:r>
        <w:t xml:space="preserve">L’extension du parking avions, ainsi que la création de la bretelle de liaison, seront réalisées au sein du domaine foncier existant de l’aéroport </w:t>
      </w:r>
      <w:r w:rsidR="001902D0">
        <w:t>Marrakech Ménara</w:t>
      </w:r>
      <w:r>
        <w:t>.</w:t>
      </w:r>
    </w:p>
    <w:p w14:paraId="7140283E" w14:textId="25D00C03" w:rsidR="002B29F6" w:rsidRDefault="002B29F6" w:rsidP="002B29F6">
      <w:r>
        <w:t>Ce terrain appartient déjà à l’ONDA et est classé dans le périmètre d’utilité publique réservé aux infrastructures aéronautiques.</w:t>
      </w:r>
    </w:p>
    <w:p w14:paraId="4554C769" w14:textId="77777777" w:rsidR="002B29F6" w:rsidRDefault="002B29F6" w:rsidP="002B29F6">
      <w:r>
        <w:t>Aucune acquisition foncière, ni expropriation, ni relocalisation physique ou économique n’est donc requise pour la mise en œuvre du projet.</w:t>
      </w:r>
    </w:p>
    <w:p w14:paraId="0FE75BD5" w14:textId="163DB7F7" w:rsidR="00943852" w:rsidRDefault="004B753D" w:rsidP="004637C7">
      <w:pPr>
        <w:pStyle w:val="Title4"/>
      </w:pPr>
      <w:r>
        <w:t>Identification et évaluation des impacts et risques</w:t>
      </w:r>
    </w:p>
    <w:p w14:paraId="20CE93B6" w14:textId="78F6E6C7" w:rsidR="00CD2670" w:rsidRPr="00CD2670" w:rsidRDefault="00CD2670" w:rsidP="00CD2670">
      <w:pPr>
        <w:rPr>
          <w:rFonts w:eastAsia="Calibri"/>
          <w:lang w:val="fr-MA" w:bidi="ar-SA"/>
        </w:rPr>
      </w:pPr>
      <w:r w:rsidRPr="00CD2670">
        <w:rPr>
          <w:rFonts w:eastAsia="Calibri"/>
          <w:lang w:val="fr-MA" w:bidi="ar-SA"/>
        </w:rPr>
        <w:t>En conformité avec les exigences de la SO5, les travaux et les nouvelles installations se situent à l'intérieur de la clôture aéroportuaire. Le projet </w:t>
      </w:r>
      <w:r w:rsidRPr="00CD2670">
        <w:rPr>
          <w:rFonts w:eastAsia="Calibri"/>
          <w:b/>
          <w:bCs/>
          <w:lang w:val="fr-MA" w:bidi="ar-SA"/>
        </w:rPr>
        <w:t xml:space="preserve">n'implique pas la création de nouvelles restrictions </w:t>
      </w:r>
      <w:r w:rsidRPr="00CD2670">
        <w:rPr>
          <w:rFonts w:eastAsia="Calibri"/>
          <w:b/>
          <w:bCs/>
          <w:lang w:val="fr-MA" w:bidi="ar-SA"/>
        </w:rPr>
        <w:lastRenderedPageBreak/>
        <w:t>d'accès ou d'utilisation</w:t>
      </w:r>
      <w:r w:rsidRPr="00CD2670">
        <w:rPr>
          <w:rFonts w:eastAsia="Calibri"/>
          <w:lang w:val="fr-MA" w:bidi="ar-SA"/>
        </w:rPr>
        <w:t> sur des terres ou des ressources naturelles </w:t>
      </w:r>
      <w:r w:rsidRPr="00CD2670">
        <w:rPr>
          <w:rFonts w:eastAsia="Calibri"/>
          <w:i/>
          <w:iCs/>
          <w:lang w:val="fr-MA" w:bidi="ar-SA"/>
        </w:rPr>
        <w:t>extérieures</w:t>
      </w:r>
      <w:r w:rsidRPr="00CD2670">
        <w:rPr>
          <w:rFonts w:eastAsia="Calibri"/>
          <w:lang w:val="fr-MA" w:bidi="ar-SA"/>
        </w:rPr>
        <w:t> à l'aéroport qui pourraient affecter les moyens de subsistance des communautés locales ou de groupes spécifiques. Les impacts liés à de telles restrictions sont donc considérés comme </w:t>
      </w:r>
      <w:r w:rsidRPr="00CD2670">
        <w:rPr>
          <w:rFonts w:eastAsia="Calibri"/>
          <w:b/>
          <w:bCs/>
          <w:lang w:val="fr-MA" w:bidi="ar-SA"/>
        </w:rPr>
        <w:t>nuls</w:t>
      </w:r>
      <w:r w:rsidRPr="00CD2670">
        <w:rPr>
          <w:rFonts w:eastAsia="Calibri"/>
          <w:lang w:val="fr-MA" w:bidi="ar-SA"/>
        </w:rPr>
        <w:t> pour ce projet.</w:t>
      </w:r>
    </w:p>
    <w:p w14:paraId="300564CA" w14:textId="77777777" w:rsidR="00CD2670" w:rsidRPr="00CD2670" w:rsidRDefault="00CD2670" w:rsidP="0001633E">
      <w:pPr>
        <w:pStyle w:val="Paragraphedeliste"/>
        <w:numPr>
          <w:ilvl w:val="0"/>
          <w:numId w:val="34"/>
        </w:numPr>
        <w:rPr>
          <w:rFonts w:eastAsia="Calibri"/>
          <w:lang w:bidi="ar-SA"/>
        </w:rPr>
      </w:pPr>
      <w:r w:rsidRPr="00CD2670">
        <w:rPr>
          <w:rFonts w:eastAsia="Calibri"/>
          <w:lang w:bidi="ar-SA"/>
        </w:rPr>
        <w:t>Aucune structure résidentielle n'est située dans la zone d'intervention du projet à l'intérieur de l'aéroport. Par conséquent, </w:t>
      </w:r>
      <w:r w:rsidRPr="00CD2670">
        <w:rPr>
          <w:rFonts w:eastAsia="Calibri"/>
          <w:b/>
          <w:bCs/>
          <w:lang w:bidi="ar-SA"/>
        </w:rPr>
        <w:t>aucun déplacement physique</w:t>
      </w:r>
      <w:r w:rsidRPr="00CD2670">
        <w:rPr>
          <w:rFonts w:eastAsia="Calibri"/>
          <w:lang w:bidi="ar-SA"/>
        </w:rPr>
        <w:t> de ménages ou d'individus n'est requis ou anticipé.</w:t>
      </w:r>
    </w:p>
    <w:p w14:paraId="59F871A6" w14:textId="77777777" w:rsidR="00CD2670" w:rsidRPr="00CD2670" w:rsidRDefault="00CD2670" w:rsidP="0001633E">
      <w:pPr>
        <w:pStyle w:val="Paragraphedeliste"/>
        <w:numPr>
          <w:ilvl w:val="0"/>
          <w:numId w:val="34"/>
        </w:numPr>
        <w:rPr>
          <w:rFonts w:eastAsia="Calibri"/>
          <w:lang w:bidi="ar-SA"/>
        </w:rPr>
      </w:pPr>
      <w:r w:rsidRPr="00CD2670">
        <w:rPr>
          <w:rFonts w:eastAsia="Calibri"/>
          <w:lang w:bidi="ar-SA"/>
        </w:rPr>
        <w:t>Étant donné qu'il n'y a ni acquisition de terres externes ni restrictions nouvelles sur l'accès/utilisation de ressources externes affectant les revenus, </w:t>
      </w:r>
      <w:r w:rsidRPr="00CD2670">
        <w:rPr>
          <w:rFonts w:eastAsia="Calibri"/>
          <w:b/>
          <w:bCs/>
          <w:lang w:bidi="ar-SA"/>
        </w:rPr>
        <w:t>aucun déplacement économique, tel que défini et déclenché par les mécanismes de la SO5, n'est prévu</w:t>
      </w:r>
      <w:r w:rsidRPr="00CD2670">
        <w:rPr>
          <w:rFonts w:eastAsia="Calibri"/>
          <w:lang w:bidi="ar-SA"/>
        </w:rPr>
        <w:t xml:space="preserve">. Il est important de noter que des réorganisations internes à l'aéroport (ex : déplacement de concessionnaires, réaffectation d'espaces) peuvent avoir lieu, mais celles-ci relèvent de la gestion contractuelle et opérationnelle de l'ONDA et non des exigences de réinstallation de la SO5, car elles ne résultent pas d'une acquisition de terre ou d'une restriction d'accès au sens de cette sauvegarde. </w:t>
      </w:r>
    </w:p>
    <w:p w14:paraId="2B2CC619" w14:textId="77777777" w:rsidR="00CD2670" w:rsidRPr="00CD2670" w:rsidRDefault="00CD2670" w:rsidP="004637C7">
      <w:pPr>
        <w:pStyle w:val="Title4"/>
        <w:rPr>
          <w:lang w:val="fr-MA"/>
        </w:rPr>
      </w:pPr>
      <w:r w:rsidRPr="00CD2670">
        <w:rPr>
          <w:lang w:val="fr-MA"/>
        </w:rPr>
        <w:t>Mesures d’atténuation</w:t>
      </w:r>
    </w:p>
    <w:p w14:paraId="6FB869EC" w14:textId="77777777" w:rsidR="00CD2670" w:rsidRPr="00CD2670" w:rsidRDefault="00CD2670" w:rsidP="00CD2670">
      <w:pPr>
        <w:rPr>
          <w:rFonts w:eastAsia="Calibri"/>
          <w:lang w:val="fr-MA" w:bidi="ar-SA"/>
        </w:rPr>
      </w:pPr>
      <w:r w:rsidRPr="00CD2670">
        <w:rPr>
          <w:rFonts w:eastAsia="Calibri"/>
          <w:lang w:val="fr-MA" w:bidi="ar-SA"/>
        </w:rPr>
        <w:t>La principale mesure d'atténuation concernant les impacts relevant de la SO5 est inhérente à la conception même du projet, qui a été planifié pour se dérouler exclusivement sur les terrains appartenant déjà à l'ONDA et compris dans l'emprise aéroportuaire. Cette approche conceptuelle permet d'éviter les impacts majeurs (acquisition de terres et réinstallation involontaire) couverts par la SO5.</w:t>
      </w:r>
    </w:p>
    <w:p w14:paraId="10C46F75" w14:textId="77777777" w:rsidR="00CD2670" w:rsidRPr="00E82C3C" w:rsidRDefault="00CD2670" w:rsidP="00CD2670">
      <w:pPr>
        <w:rPr>
          <w:rFonts w:eastAsia="Calibri"/>
          <w:b/>
          <w:bCs/>
          <w:lang w:val="fr-MA" w:bidi="ar-SA"/>
        </w:rPr>
      </w:pPr>
      <w:r w:rsidRPr="00E82C3C">
        <w:rPr>
          <w:rFonts w:eastAsia="Calibri"/>
          <w:b/>
          <w:bCs/>
          <w:lang w:val="fr-MA" w:bidi="ar-SA"/>
        </w:rPr>
        <w:t>Aucune mesure d'atténuation spécifique au titre de la SO5 (comme un Plan d'Action de Réinstallation - PAR, ou un Plan de Restauration des Moyens d'Existence - PRME) n'est donc requise.</w:t>
      </w:r>
    </w:p>
    <w:p w14:paraId="4C3E60BC" w14:textId="77777777" w:rsidR="00D8702A" w:rsidRPr="007D6C6B" w:rsidRDefault="00D8702A" w:rsidP="00CD2670"/>
    <w:p w14:paraId="6DD1CAF2" w14:textId="77777777" w:rsidR="00121579" w:rsidRPr="00696575" w:rsidRDefault="00121579" w:rsidP="00121579">
      <w:pPr>
        <w:pStyle w:val="Title3"/>
      </w:pPr>
      <w:bookmarkStart w:id="463" w:name="_bookmark199"/>
      <w:bookmarkStart w:id="464" w:name="_Toc181619040"/>
      <w:bookmarkStart w:id="465" w:name="_Toc215131883"/>
      <w:bookmarkEnd w:id="463"/>
      <w:r w:rsidRPr="00696575">
        <w:t>Utilisation et l’accès aux ressources</w:t>
      </w:r>
      <w:bookmarkEnd w:id="465"/>
    </w:p>
    <w:p w14:paraId="0A9C4E69" w14:textId="23C38293" w:rsidR="00613525" w:rsidRDefault="00613525" w:rsidP="004637C7">
      <w:pPr>
        <w:pStyle w:val="Title4"/>
      </w:pPr>
      <w:r>
        <w:t>Contexte et cadre d’analyse</w:t>
      </w:r>
    </w:p>
    <w:p w14:paraId="49F639D3" w14:textId="62601A25" w:rsidR="00B2447C" w:rsidRPr="00B2447C" w:rsidRDefault="00B2447C" w:rsidP="004637C7">
      <w:r w:rsidRPr="00B2447C">
        <w:t>Ce chapitre évalue les effets du projet sur la consommation et l’accès aux ressources naturelles conformément à la SO3 de la BAD relative à l’utilisation efficiente des ressources et à la prévention de la pollution.</w:t>
      </w:r>
    </w:p>
    <w:p w14:paraId="061527A7" w14:textId="77777777" w:rsidR="00B2447C" w:rsidRPr="00B2447C" w:rsidRDefault="00B2447C" w:rsidP="004637C7">
      <w:r w:rsidRPr="00B2447C">
        <w:t>La SO3 vise à garantir que les projets utilisent les ressources naturelles (eau, énergie, matières premières, hydrocarbures) de manière durable, tout en limitant les risques de gaspillage et de pollution.</w:t>
      </w:r>
    </w:p>
    <w:p w14:paraId="0C990756" w14:textId="45DCCB7A" w:rsidR="00B2447C" w:rsidRPr="00B2447C" w:rsidRDefault="00B2447C" w:rsidP="004637C7">
      <w:r w:rsidRPr="00B2447C">
        <w:t xml:space="preserve">Le projet d’extension du parking </w:t>
      </w:r>
      <w:r w:rsidR="00145F40">
        <w:t>avions</w:t>
      </w:r>
      <w:r w:rsidRPr="00B2447C">
        <w:t xml:space="preserve"> constitue une infrastructure technique interne à la plateforme aéroportuaire existante.</w:t>
      </w:r>
    </w:p>
    <w:p w14:paraId="2463A1C6" w14:textId="7B5871D3" w:rsidR="00121579" w:rsidRDefault="003429AB" w:rsidP="004637C7">
      <w:r w:rsidRPr="003429AB">
        <w:t>Aucune nouvelle infrastructure d’approvisionnement en eau ou en énergie n’est nécessaire, et le projet ne prévoit aucun prélèvement d’eau souterraine ni de pression accrue sur les réseaux externes.</w:t>
      </w:r>
    </w:p>
    <w:p w14:paraId="48E22EE5" w14:textId="47434ECF" w:rsidR="00613525" w:rsidRDefault="009A037A" w:rsidP="00613525">
      <w:pPr>
        <w:pStyle w:val="Title4"/>
      </w:pPr>
      <w:r w:rsidRPr="009A037A">
        <w:lastRenderedPageBreak/>
        <w:t>Sources et modalités d’approvisionnement en ressources</w:t>
      </w:r>
    </w:p>
    <w:p w14:paraId="5912B84D" w14:textId="58F31C28" w:rsidR="00613525" w:rsidRDefault="00613525" w:rsidP="00613525">
      <w:r w:rsidRPr="00613525">
        <w:t>Bien qu’aucune donnée quantitative ne soit actuellement disponible, les sources de consommation de ressources liées au projet peuvent être identifiées qualitativement comme suit :</w:t>
      </w:r>
    </w:p>
    <w:tbl>
      <w:tblPr>
        <w:tblStyle w:val="TableauGrille1Clair-Accentuation111"/>
        <w:tblW w:w="0" w:type="auto"/>
        <w:tblLook w:val="04A0" w:firstRow="1" w:lastRow="0" w:firstColumn="1" w:lastColumn="0" w:noHBand="0" w:noVBand="1"/>
      </w:tblPr>
      <w:tblGrid>
        <w:gridCol w:w="1745"/>
        <w:gridCol w:w="1422"/>
        <w:gridCol w:w="5893"/>
      </w:tblGrid>
      <w:tr w:rsidR="00477E3E" w:rsidRPr="00570885" w14:paraId="6B43EC64" w14:textId="77777777" w:rsidTr="004A670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7CFB8C3C" w14:textId="77777777" w:rsidR="00477E3E" w:rsidRPr="00AA22F2" w:rsidRDefault="00477E3E" w:rsidP="009A037A">
            <w:pPr>
              <w:rPr>
                <w:szCs w:val="20"/>
              </w:rPr>
            </w:pPr>
            <w:r w:rsidRPr="00AA22F2">
              <w:rPr>
                <w:szCs w:val="20"/>
              </w:rPr>
              <w:t>Type de ressource</w:t>
            </w:r>
          </w:p>
        </w:tc>
        <w:tc>
          <w:tcPr>
            <w:tcW w:w="0" w:type="auto"/>
            <w:hideMark/>
          </w:tcPr>
          <w:p w14:paraId="593FE7A3" w14:textId="77777777" w:rsidR="00477E3E" w:rsidRPr="00AA22F2" w:rsidRDefault="00477E3E" w:rsidP="009A037A">
            <w:pPr>
              <w:cnfStyle w:val="100000000000" w:firstRow="1" w:lastRow="0" w:firstColumn="0" w:lastColumn="0" w:oddVBand="0" w:evenVBand="0" w:oddHBand="0" w:evenHBand="0" w:firstRowFirstColumn="0" w:firstRowLastColumn="0" w:lastRowFirstColumn="0" w:lastRowLastColumn="0"/>
              <w:rPr>
                <w:szCs w:val="20"/>
              </w:rPr>
            </w:pPr>
            <w:r w:rsidRPr="00AA22F2">
              <w:rPr>
                <w:szCs w:val="20"/>
              </w:rPr>
              <w:t>Phase concernée</w:t>
            </w:r>
          </w:p>
        </w:tc>
        <w:tc>
          <w:tcPr>
            <w:tcW w:w="0" w:type="auto"/>
            <w:hideMark/>
          </w:tcPr>
          <w:p w14:paraId="03A62C37" w14:textId="77777777" w:rsidR="00477E3E" w:rsidRPr="00AA22F2" w:rsidRDefault="00477E3E" w:rsidP="009A037A">
            <w:pPr>
              <w:cnfStyle w:val="100000000000" w:firstRow="1" w:lastRow="0" w:firstColumn="0" w:lastColumn="0" w:oddVBand="0" w:evenVBand="0" w:oddHBand="0" w:evenHBand="0" w:firstRowFirstColumn="0" w:firstRowLastColumn="0" w:lastRowFirstColumn="0" w:lastRowLastColumn="0"/>
              <w:rPr>
                <w:szCs w:val="20"/>
              </w:rPr>
            </w:pPr>
            <w:r w:rsidRPr="00AA22F2">
              <w:rPr>
                <w:szCs w:val="20"/>
              </w:rPr>
              <w:t>Source / Mode d’approvisionnement</w:t>
            </w:r>
          </w:p>
        </w:tc>
      </w:tr>
      <w:tr w:rsidR="00477E3E" w:rsidRPr="00570885" w14:paraId="5CD68AF5" w14:textId="77777777" w:rsidTr="005A7661">
        <w:tc>
          <w:tcPr>
            <w:cnfStyle w:val="001000000000" w:firstRow="0" w:lastRow="0" w:firstColumn="1" w:lastColumn="0" w:oddVBand="0" w:evenVBand="0" w:oddHBand="0" w:evenHBand="0" w:firstRowFirstColumn="0" w:firstRowLastColumn="0" w:lastRowFirstColumn="0" w:lastRowLastColumn="0"/>
            <w:tcW w:w="0" w:type="auto"/>
            <w:vMerge w:val="restart"/>
            <w:hideMark/>
          </w:tcPr>
          <w:p w14:paraId="27D0B60F" w14:textId="77777777" w:rsidR="00477E3E" w:rsidRPr="00AA22F2" w:rsidRDefault="00477E3E" w:rsidP="009A037A">
            <w:pPr>
              <w:rPr>
                <w:szCs w:val="20"/>
              </w:rPr>
            </w:pPr>
            <w:r w:rsidRPr="00AA22F2">
              <w:rPr>
                <w:szCs w:val="20"/>
              </w:rPr>
              <w:t>Eau</w:t>
            </w:r>
          </w:p>
        </w:tc>
        <w:tc>
          <w:tcPr>
            <w:tcW w:w="0" w:type="auto"/>
            <w:hideMark/>
          </w:tcPr>
          <w:p w14:paraId="0CE52F80" w14:textId="77777777" w:rsidR="00477E3E" w:rsidRPr="00AA22F2" w:rsidRDefault="00477E3E" w:rsidP="009A037A">
            <w:pPr>
              <w:cnfStyle w:val="000000000000" w:firstRow="0" w:lastRow="0" w:firstColumn="0" w:lastColumn="0" w:oddVBand="0" w:evenVBand="0" w:oddHBand="0" w:evenHBand="0" w:firstRowFirstColumn="0" w:firstRowLastColumn="0" w:lastRowFirstColumn="0" w:lastRowLastColumn="0"/>
              <w:rPr>
                <w:szCs w:val="20"/>
              </w:rPr>
            </w:pPr>
            <w:r w:rsidRPr="00AA22F2">
              <w:rPr>
                <w:b/>
                <w:bCs/>
                <w:szCs w:val="20"/>
              </w:rPr>
              <w:t>Construction</w:t>
            </w:r>
          </w:p>
        </w:tc>
        <w:tc>
          <w:tcPr>
            <w:tcW w:w="0" w:type="auto"/>
            <w:hideMark/>
          </w:tcPr>
          <w:p w14:paraId="1A270DAD" w14:textId="77777777" w:rsidR="00477E3E" w:rsidRPr="00AA22F2" w:rsidRDefault="00477E3E" w:rsidP="009A037A">
            <w:pPr>
              <w:cnfStyle w:val="000000000000" w:firstRow="0" w:lastRow="0" w:firstColumn="0" w:lastColumn="0" w:oddVBand="0" w:evenVBand="0" w:oddHBand="0" w:evenHBand="0" w:firstRowFirstColumn="0" w:firstRowLastColumn="0" w:lastRowFirstColumn="0" w:lastRowLastColumn="0"/>
              <w:rPr>
                <w:szCs w:val="20"/>
              </w:rPr>
            </w:pPr>
            <w:r w:rsidRPr="00AA22F2">
              <w:rPr>
                <w:szCs w:val="20"/>
              </w:rPr>
              <w:t xml:space="preserve">Citernes gérées par l’EPC, remplies depuis des points de puisage autorisés </w:t>
            </w:r>
          </w:p>
          <w:p w14:paraId="4F5BF101" w14:textId="17CC7812" w:rsidR="00477E3E" w:rsidRPr="00AA22F2" w:rsidRDefault="00477E3E" w:rsidP="009A037A">
            <w:pPr>
              <w:cnfStyle w:val="000000000000" w:firstRow="0" w:lastRow="0" w:firstColumn="0" w:lastColumn="0" w:oddVBand="0" w:evenVBand="0" w:oddHBand="0" w:evenHBand="0" w:firstRowFirstColumn="0" w:firstRowLastColumn="0" w:lastRowFirstColumn="0" w:lastRowLastColumn="0"/>
              <w:rPr>
                <w:szCs w:val="20"/>
              </w:rPr>
            </w:pPr>
            <w:r w:rsidRPr="00AA22F2">
              <w:rPr>
                <w:szCs w:val="20"/>
              </w:rPr>
              <w:t>Aucun prélèvement d’eau souterraine</w:t>
            </w:r>
          </w:p>
        </w:tc>
      </w:tr>
      <w:tr w:rsidR="00477E3E" w:rsidRPr="00570885" w14:paraId="39D59EFD" w14:textId="77777777" w:rsidTr="005A7661">
        <w:tc>
          <w:tcPr>
            <w:cnfStyle w:val="001000000000" w:firstRow="0" w:lastRow="0" w:firstColumn="1" w:lastColumn="0" w:oddVBand="0" w:evenVBand="0" w:oddHBand="0" w:evenHBand="0" w:firstRowFirstColumn="0" w:firstRowLastColumn="0" w:lastRowFirstColumn="0" w:lastRowLastColumn="0"/>
            <w:tcW w:w="0" w:type="auto"/>
            <w:vMerge/>
            <w:hideMark/>
          </w:tcPr>
          <w:p w14:paraId="2D9DB9BD" w14:textId="77777777" w:rsidR="00477E3E" w:rsidRPr="00AA22F2" w:rsidRDefault="00477E3E" w:rsidP="009A037A">
            <w:pPr>
              <w:rPr>
                <w:szCs w:val="20"/>
              </w:rPr>
            </w:pPr>
          </w:p>
        </w:tc>
        <w:tc>
          <w:tcPr>
            <w:tcW w:w="0" w:type="auto"/>
            <w:hideMark/>
          </w:tcPr>
          <w:p w14:paraId="16EB4E3F" w14:textId="77777777" w:rsidR="00477E3E" w:rsidRPr="00AA22F2" w:rsidRDefault="00477E3E" w:rsidP="009A037A">
            <w:pPr>
              <w:cnfStyle w:val="000000000000" w:firstRow="0" w:lastRow="0" w:firstColumn="0" w:lastColumn="0" w:oddVBand="0" w:evenVBand="0" w:oddHBand="0" w:evenHBand="0" w:firstRowFirstColumn="0" w:firstRowLastColumn="0" w:lastRowFirstColumn="0" w:lastRowLastColumn="0"/>
              <w:rPr>
                <w:szCs w:val="20"/>
              </w:rPr>
            </w:pPr>
            <w:r w:rsidRPr="00AA22F2">
              <w:rPr>
                <w:b/>
                <w:bCs/>
                <w:szCs w:val="20"/>
              </w:rPr>
              <w:t>Exploitation</w:t>
            </w:r>
          </w:p>
        </w:tc>
        <w:tc>
          <w:tcPr>
            <w:tcW w:w="0" w:type="auto"/>
            <w:hideMark/>
          </w:tcPr>
          <w:p w14:paraId="7B42F80E" w14:textId="77777777" w:rsidR="00477E3E" w:rsidRPr="00AA22F2" w:rsidRDefault="00477E3E" w:rsidP="009A037A">
            <w:pPr>
              <w:cnfStyle w:val="000000000000" w:firstRow="0" w:lastRow="0" w:firstColumn="0" w:lastColumn="0" w:oddVBand="0" w:evenVBand="0" w:oddHBand="0" w:evenHBand="0" w:firstRowFirstColumn="0" w:firstRowLastColumn="0" w:lastRowFirstColumn="0" w:lastRowLastColumn="0"/>
              <w:rPr>
                <w:szCs w:val="20"/>
              </w:rPr>
            </w:pPr>
            <w:r w:rsidRPr="00AA22F2">
              <w:rPr>
                <w:szCs w:val="20"/>
              </w:rPr>
              <w:t>Réseaux internes de l’aéroport alimentés par le réseau public, avec réutilisation des eaux traitées internes pour les usages non sanitaires</w:t>
            </w:r>
          </w:p>
          <w:p w14:paraId="5C257E68" w14:textId="5F64B87B" w:rsidR="00477E3E" w:rsidRPr="00AA22F2" w:rsidRDefault="00477E3E" w:rsidP="009A037A">
            <w:pPr>
              <w:cnfStyle w:val="000000000000" w:firstRow="0" w:lastRow="0" w:firstColumn="0" w:lastColumn="0" w:oddVBand="0" w:evenVBand="0" w:oddHBand="0" w:evenHBand="0" w:firstRowFirstColumn="0" w:firstRowLastColumn="0" w:lastRowFirstColumn="0" w:lastRowLastColumn="0"/>
              <w:rPr>
                <w:szCs w:val="20"/>
              </w:rPr>
            </w:pPr>
            <w:r w:rsidRPr="00AA22F2">
              <w:rPr>
                <w:szCs w:val="20"/>
              </w:rPr>
              <w:t>Pas de pression sur la ressource hydrique régionale.</w:t>
            </w:r>
          </w:p>
        </w:tc>
      </w:tr>
      <w:tr w:rsidR="00477E3E" w:rsidRPr="00570885" w14:paraId="629463E1" w14:textId="77777777" w:rsidTr="004A670A">
        <w:tc>
          <w:tcPr>
            <w:cnfStyle w:val="001000000000" w:firstRow="0" w:lastRow="0" w:firstColumn="1" w:lastColumn="0" w:oddVBand="0" w:evenVBand="0" w:oddHBand="0" w:evenHBand="0" w:firstRowFirstColumn="0" w:firstRowLastColumn="0" w:lastRowFirstColumn="0" w:lastRowLastColumn="0"/>
            <w:tcW w:w="0" w:type="auto"/>
            <w:vMerge w:val="restart"/>
            <w:hideMark/>
          </w:tcPr>
          <w:p w14:paraId="5341325D" w14:textId="77777777" w:rsidR="00477E3E" w:rsidRPr="00AA22F2" w:rsidRDefault="00477E3E" w:rsidP="009A037A">
            <w:pPr>
              <w:rPr>
                <w:szCs w:val="20"/>
              </w:rPr>
            </w:pPr>
            <w:r w:rsidRPr="00AA22F2">
              <w:rPr>
                <w:szCs w:val="20"/>
              </w:rPr>
              <w:t>Électricité</w:t>
            </w:r>
          </w:p>
        </w:tc>
        <w:tc>
          <w:tcPr>
            <w:tcW w:w="0" w:type="auto"/>
            <w:hideMark/>
          </w:tcPr>
          <w:p w14:paraId="07360D8E" w14:textId="77777777" w:rsidR="00477E3E" w:rsidRPr="00AA22F2" w:rsidRDefault="00477E3E" w:rsidP="009A037A">
            <w:pPr>
              <w:cnfStyle w:val="000000000000" w:firstRow="0" w:lastRow="0" w:firstColumn="0" w:lastColumn="0" w:oddVBand="0" w:evenVBand="0" w:oddHBand="0" w:evenHBand="0" w:firstRowFirstColumn="0" w:firstRowLastColumn="0" w:lastRowFirstColumn="0" w:lastRowLastColumn="0"/>
              <w:rPr>
                <w:szCs w:val="20"/>
              </w:rPr>
            </w:pPr>
            <w:r w:rsidRPr="00AA22F2">
              <w:rPr>
                <w:b/>
                <w:bCs/>
                <w:szCs w:val="20"/>
              </w:rPr>
              <w:t>Construction</w:t>
            </w:r>
          </w:p>
        </w:tc>
        <w:tc>
          <w:tcPr>
            <w:tcW w:w="0" w:type="auto"/>
            <w:hideMark/>
          </w:tcPr>
          <w:p w14:paraId="3FB2A60D" w14:textId="7763F0DE" w:rsidR="00477E3E" w:rsidRPr="00AA22F2" w:rsidRDefault="00477E3E" w:rsidP="009A037A">
            <w:pPr>
              <w:cnfStyle w:val="000000000000" w:firstRow="0" w:lastRow="0" w:firstColumn="0" w:lastColumn="0" w:oddVBand="0" w:evenVBand="0" w:oddHBand="0" w:evenHBand="0" w:firstRowFirstColumn="0" w:firstRowLastColumn="0" w:lastRowFirstColumn="0" w:lastRowLastColumn="0"/>
              <w:rPr>
                <w:szCs w:val="20"/>
              </w:rPr>
            </w:pPr>
            <w:r w:rsidRPr="00AA22F2">
              <w:rPr>
                <w:szCs w:val="20"/>
              </w:rPr>
              <w:t xml:space="preserve">Branchement provisoire sur le réseau public </w:t>
            </w:r>
          </w:p>
        </w:tc>
      </w:tr>
      <w:tr w:rsidR="00477E3E" w:rsidRPr="00570885" w14:paraId="7CB69218" w14:textId="77777777" w:rsidTr="004A670A">
        <w:tc>
          <w:tcPr>
            <w:cnfStyle w:val="001000000000" w:firstRow="0" w:lastRow="0" w:firstColumn="1" w:lastColumn="0" w:oddVBand="0" w:evenVBand="0" w:oddHBand="0" w:evenHBand="0" w:firstRowFirstColumn="0" w:firstRowLastColumn="0" w:lastRowFirstColumn="0" w:lastRowLastColumn="0"/>
            <w:tcW w:w="0" w:type="auto"/>
            <w:vMerge/>
            <w:hideMark/>
          </w:tcPr>
          <w:p w14:paraId="71C8A9FE" w14:textId="77777777" w:rsidR="00477E3E" w:rsidRPr="00AA22F2" w:rsidRDefault="00477E3E" w:rsidP="009A037A">
            <w:pPr>
              <w:rPr>
                <w:szCs w:val="20"/>
              </w:rPr>
            </w:pPr>
          </w:p>
        </w:tc>
        <w:tc>
          <w:tcPr>
            <w:tcW w:w="0" w:type="auto"/>
            <w:hideMark/>
          </w:tcPr>
          <w:p w14:paraId="3A2E6DC2" w14:textId="77777777" w:rsidR="00477E3E" w:rsidRPr="00AA22F2" w:rsidRDefault="00477E3E" w:rsidP="009A037A">
            <w:pPr>
              <w:cnfStyle w:val="000000000000" w:firstRow="0" w:lastRow="0" w:firstColumn="0" w:lastColumn="0" w:oddVBand="0" w:evenVBand="0" w:oddHBand="0" w:evenHBand="0" w:firstRowFirstColumn="0" w:firstRowLastColumn="0" w:lastRowFirstColumn="0" w:lastRowLastColumn="0"/>
              <w:rPr>
                <w:szCs w:val="20"/>
              </w:rPr>
            </w:pPr>
            <w:r w:rsidRPr="00AA22F2">
              <w:rPr>
                <w:b/>
                <w:bCs/>
                <w:szCs w:val="20"/>
              </w:rPr>
              <w:t>Exploitation</w:t>
            </w:r>
          </w:p>
        </w:tc>
        <w:tc>
          <w:tcPr>
            <w:tcW w:w="0" w:type="auto"/>
            <w:hideMark/>
          </w:tcPr>
          <w:p w14:paraId="22358851" w14:textId="77777777" w:rsidR="00477E3E" w:rsidRPr="00AA22F2" w:rsidRDefault="00477E3E" w:rsidP="009A037A">
            <w:pPr>
              <w:cnfStyle w:val="000000000000" w:firstRow="0" w:lastRow="0" w:firstColumn="0" w:lastColumn="0" w:oddVBand="0" w:evenVBand="0" w:oddHBand="0" w:evenHBand="0" w:firstRowFirstColumn="0" w:firstRowLastColumn="0" w:lastRowFirstColumn="0" w:lastRowLastColumn="0"/>
              <w:rPr>
                <w:szCs w:val="20"/>
              </w:rPr>
            </w:pPr>
            <w:r w:rsidRPr="00AA22F2">
              <w:rPr>
                <w:szCs w:val="20"/>
              </w:rPr>
              <w:t>Raccordement permanent au réseau électrique de l’aéroport ; groupes électrogènes existants en secours</w:t>
            </w:r>
          </w:p>
        </w:tc>
      </w:tr>
      <w:tr w:rsidR="00477E3E" w:rsidRPr="00570885" w14:paraId="1CE775CD" w14:textId="77777777" w:rsidTr="004A670A">
        <w:tc>
          <w:tcPr>
            <w:cnfStyle w:val="001000000000" w:firstRow="0" w:lastRow="0" w:firstColumn="1" w:lastColumn="0" w:oddVBand="0" w:evenVBand="0" w:oddHBand="0" w:evenHBand="0" w:firstRowFirstColumn="0" w:firstRowLastColumn="0" w:lastRowFirstColumn="0" w:lastRowLastColumn="0"/>
            <w:tcW w:w="0" w:type="auto"/>
            <w:hideMark/>
          </w:tcPr>
          <w:p w14:paraId="7991D117" w14:textId="77777777" w:rsidR="00477E3E" w:rsidRPr="00AA22F2" w:rsidRDefault="00477E3E" w:rsidP="009A037A">
            <w:pPr>
              <w:rPr>
                <w:szCs w:val="20"/>
              </w:rPr>
            </w:pPr>
            <w:r w:rsidRPr="00AA22F2">
              <w:rPr>
                <w:szCs w:val="20"/>
              </w:rPr>
              <w:t>Matériaux de construction</w:t>
            </w:r>
          </w:p>
        </w:tc>
        <w:tc>
          <w:tcPr>
            <w:tcW w:w="0" w:type="auto"/>
            <w:hideMark/>
          </w:tcPr>
          <w:p w14:paraId="6A0F4F72" w14:textId="77777777" w:rsidR="00477E3E" w:rsidRPr="00AA22F2" w:rsidRDefault="00477E3E" w:rsidP="009A037A">
            <w:pPr>
              <w:cnfStyle w:val="000000000000" w:firstRow="0" w:lastRow="0" w:firstColumn="0" w:lastColumn="0" w:oddVBand="0" w:evenVBand="0" w:oddHBand="0" w:evenHBand="0" w:firstRowFirstColumn="0" w:firstRowLastColumn="0" w:lastRowFirstColumn="0" w:lastRowLastColumn="0"/>
              <w:rPr>
                <w:szCs w:val="20"/>
              </w:rPr>
            </w:pPr>
            <w:r w:rsidRPr="00AA22F2">
              <w:rPr>
                <w:b/>
                <w:bCs/>
                <w:szCs w:val="20"/>
              </w:rPr>
              <w:t>Construction</w:t>
            </w:r>
          </w:p>
        </w:tc>
        <w:tc>
          <w:tcPr>
            <w:tcW w:w="0" w:type="auto"/>
            <w:hideMark/>
          </w:tcPr>
          <w:p w14:paraId="6867BE6D" w14:textId="7E847C8C" w:rsidR="00477E3E" w:rsidRPr="00AA22F2" w:rsidRDefault="00477E3E" w:rsidP="009A037A">
            <w:pPr>
              <w:cnfStyle w:val="000000000000" w:firstRow="0" w:lastRow="0" w:firstColumn="0" w:lastColumn="0" w:oddVBand="0" w:evenVBand="0" w:oddHBand="0" w:evenHBand="0" w:firstRowFirstColumn="0" w:firstRowLastColumn="0" w:lastRowFirstColumn="0" w:lastRowLastColumn="0"/>
              <w:rPr>
                <w:szCs w:val="20"/>
              </w:rPr>
            </w:pPr>
            <w:r w:rsidRPr="00AA22F2">
              <w:rPr>
                <w:szCs w:val="20"/>
              </w:rPr>
              <w:t>Fournisseurs et carrières agréés (granulats, bitume, béton, acier)</w:t>
            </w:r>
          </w:p>
        </w:tc>
      </w:tr>
    </w:tbl>
    <w:p w14:paraId="1D41E626" w14:textId="77777777" w:rsidR="00121579" w:rsidRPr="00AD426B" w:rsidRDefault="00121579" w:rsidP="00121579">
      <w:pPr>
        <w:pStyle w:val="Title4"/>
        <w:tabs>
          <w:tab w:val="clear" w:pos="1134"/>
          <w:tab w:val="left" w:pos="993"/>
        </w:tabs>
      </w:pPr>
      <w:r w:rsidRPr="00AD426B">
        <w:t>Phase construction et démantèlement</w:t>
      </w:r>
    </w:p>
    <w:p w14:paraId="042702A5" w14:textId="0B13A796" w:rsidR="00121579" w:rsidRPr="00AD426B" w:rsidRDefault="00621327" w:rsidP="004637C7">
      <w:pPr>
        <w:pStyle w:val="Title5"/>
      </w:pPr>
      <w:r>
        <w:t>Identification et évaluation des impacts et risques</w:t>
      </w:r>
    </w:p>
    <w:p w14:paraId="2F110649" w14:textId="75F052F3" w:rsidR="00621327" w:rsidRDefault="00547F05" w:rsidP="0001633E">
      <w:pPr>
        <w:pStyle w:val="AltTitle2"/>
        <w:numPr>
          <w:ilvl w:val="0"/>
          <w:numId w:val="106"/>
        </w:numPr>
      </w:pPr>
      <w:r>
        <w:t>Utilisation de l’eau</w:t>
      </w:r>
    </w:p>
    <w:p w14:paraId="5D59D984" w14:textId="78C529A0" w:rsidR="004543C4" w:rsidRDefault="004543C4" w:rsidP="004543C4">
      <w:r>
        <w:t xml:space="preserve">Les besoins en eau pendant la phase de construction du projet d’extension du parking avions </w:t>
      </w:r>
      <w:r w:rsidR="00145F40">
        <w:t xml:space="preserve">Marrakech Ménara </w:t>
      </w:r>
      <w:r>
        <w:t>resteront limités aux usages de bétonnage, arrosage anti-poussière et nettoyage des engins.</w:t>
      </w:r>
    </w:p>
    <w:p w14:paraId="5AFA7BF6" w14:textId="77777777" w:rsidR="004543C4" w:rsidRDefault="004543C4" w:rsidP="004543C4">
      <w:r>
        <w:t>L’EPC utilisera des citernes mobiles remplies dans des points de puisage autorisés sous le contrôle de l’ONDA.</w:t>
      </w:r>
    </w:p>
    <w:p w14:paraId="5672727E" w14:textId="77777777" w:rsidR="004543C4" w:rsidRDefault="004543C4" w:rsidP="004543C4">
      <w:r>
        <w:t>Aucun raccordement temporaire au réseau public ne sera effectué et aucun prélèvement d’eau souterraine n’est envisagé.</w:t>
      </w:r>
    </w:p>
    <w:p w14:paraId="7F9F3BB6" w14:textId="2C61FEF4" w:rsidR="004543C4" w:rsidRDefault="004543C4" w:rsidP="004543C4">
      <w:r>
        <w:t>L’eau potable destinée au personnel de chantier sera fournie sous forme de bonbonnes scellées, assurant la qualité sanitaire sans solliciter les ressources hydriques locales.</w:t>
      </w:r>
    </w:p>
    <w:p w14:paraId="69921F4A" w14:textId="4F573B76" w:rsidR="004543C4" w:rsidRDefault="00C52126" w:rsidP="004543C4">
      <w:r>
        <w:t>L’impact</w:t>
      </w:r>
      <w:r w:rsidR="004543C4">
        <w:t xml:space="preserve"> est nul, puisque le projet n’exerce aucune pression sur les ressources souterraines ni sur les réseaux d’alimentation publics.</w:t>
      </w:r>
    </w:p>
    <w:tbl>
      <w:tblPr>
        <w:tblStyle w:val="TableauGrille1Clair-Accentuation111"/>
        <w:tblW w:w="0" w:type="auto"/>
        <w:tblLayout w:type="fixed"/>
        <w:tblLook w:val="04A0" w:firstRow="1" w:lastRow="0" w:firstColumn="1" w:lastColumn="0" w:noHBand="0" w:noVBand="1"/>
      </w:tblPr>
      <w:tblGrid>
        <w:gridCol w:w="792"/>
        <w:gridCol w:w="2747"/>
        <w:gridCol w:w="1843"/>
        <w:gridCol w:w="2436"/>
        <w:gridCol w:w="1242"/>
      </w:tblGrid>
      <w:tr w:rsidR="008C7CF0" w:rsidRPr="00B95A9D" w14:paraId="345BB3DF" w14:textId="77777777" w:rsidTr="005A766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2" w:type="dxa"/>
            <w:hideMark/>
          </w:tcPr>
          <w:p w14:paraId="47CE01DA" w14:textId="77777777" w:rsidR="008C7CF0" w:rsidRPr="00B95A9D" w:rsidRDefault="008C7CF0" w:rsidP="005A7661">
            <w:pPr>
              <w:rPr>
                <w:rFonts w:asciiTheme="minorHAnsi" w:hAnsiTheme="minorHAnsi" w:cstheme="minorHAnsi"/>
                <w:szCs w:val="20"/>
                <w:lang w:eastAsia="fr-FR" w:bidi="ar-SA"/>
              </w:rPr>
            </w:pPr>
            <w:r w:rsidRPr="00B95A9D">
              <w:rPr>
                <w:rFonts w:asciiTheme="minorHAnsi" w:hAnsiTheme="minorHAnsi" w:cstheme="minorHAnsi"/>
                <w:szCs w:val="20"/>
                <w:lang w:eastAsia="fr-FR" w:bidi="ar-SA"/>
              </w:rPr>
              <w:t>Impact</w:t>
            </w:r>
          </w:p>
        </w:tc>
        <w:tc>
          <w:tcPr>
            <w:tcW w:w="2747" w:type="dxa"/>
            <w:hideMark/>
          </w:tcPr>
          <w:p w14:paraId="4529DF90" w14:textId="77777777" w:rsidR="008C7CF0" w:rsidRPr="00B95A9D" w:rsidRDefault="008C7CF0" w:rsidP="005A7661">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sidRPr="00B95A9D">
              <w:rPr>
                <w:rFonts w:asciiTheme="minorHAnsi" w:hAnsiTheme="minorHAnsi" w:cstheme="minorHAnsi"/>
                <w:szCs w:val="20"/>
                <w:lang w:eastAsia="fr-FR" w:bidi="ar-SA"/>
              </w:rPr>
              <w:t>Activités génératrices</w:t>
            </w:r>
          </w:p>
        </w:tc>
        <w:tc>
          <w:tcPr>
            <w:tcW w:w="1843" w:type="dxa"/>
            <w:hideMark/>
          </w:tcPr>
          <w:p w14:paraId="72726935" w14:textId="77777777" w:rsidR="008C7CF0" w:rsidRPr="00B95A9D" w:rsidRDefault="008C7CF0" w:rsidP="005A7661">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sidRPr="00B95A9D">
              <w:rPr>
                <w:rFonts w:asciiTheme="minorHAnsi" w:hAnsiTheme="minorHAnsi" w:cstheme="minorHAnsi"/>
                <w:szCs w:val="20"/>
                <w:lang w:eastAsia="fr-FR" w:bidi="ar-SA"/>
              </w:rPr>
              <w:t>Critère</w:t>
            </w:r>
          </w:p>
        </w:tc>
        <w:tc>
          <w:tcPr>
            <w:tcW w:w="2436" w:type="dxa"/>
            <w:hideMark/>
          </w:tcPr>
          <w:p w14:paraId="2A3B048D" w14:textId="77777777" w:rsidR="008C7CF0" w:rsidRPr="00B95A9D" w:rsidRDefault="008C7CF0" w:rsidP="005A7661">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sidRPr="00B95A9D">
              <w:rPr>
                <w:rFonts w:asciiTheme="minorHAnsi" w:hAnsiTheme="minorHAnsi" w:cstheme="minorHAnsi"/>
                <w:szCs w:val="20"/>
                <w:lang w:eastAsia="fr-FR" w:bidi="ar-SA"/>
              </w:rPr>
              <w:t>Justification</w:t>
            </w:r>
          </w:p>
        </w:tc>
        <w:tc>
          <w:tcPr>
            <w:tcW w:w="1242" w:type="dxa"/>
            <w:hideMark/>
          </w:tcPr>
          <w:p w14:paraId="352A5716" w14:textId="77777777" w:rsidR="008C7CF0" w:rsidRPr="00B95A9D" w:rsidRDefault="008C7CF0" w:rsidP="005A7661">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sidRPr="00B95A9D">
              <w:rPr>
                <w:rFonts w:asciiTheme="minorHAnsi" w:hAnsiTheme="minorHAnsi" w:cstheme="minorHAnsi"/>
                <w:szCs w:val="20"/>
                <w:lang w:eastAsia="fr-FR" w:bidi="ar-SA"/>
              </w:rPr>
              <w:t>Niveau</w:t>
            </w:r>
          </w:p>
        </w:tc>
      </w:tr>
      <w:tr w:rsidR="008C7CF0" w:rsidRPr="00B95A9D" w14:paraId="7094AF61" w14:textId="77777777" w:rsidTr="005A7661">
        <w:tc>
          <w:tcPr>
            <w:cnfStyle w:val="001000000000" w:firstRow="0" w:lastRow="0" w:firstColumn="1" w:lastColumn="0" w:oddVBand="0" w:evenVBand="0" w:oddHBand="0" w:evenHBand="0" w:firstRowFirstColumn="0" w:firstRowLastColumn="0" w:lastRowFirstColumn="0" w:lastRowLastColumn="0"/>
            <w:tcW w:w="792" w:type="dxa"/>
            <w:vMerge w:val="restart"/>
            <w:textDirection w:val="btLr"/>
            <w:vAlign w:val="center"/>
          </w:tcPr>
          <w:p w14:paraId="3D10336D" w14:textId="247CF8FB" w:rsidR="008C7CF0" w:rsidRPr="00B95A9D" w:rsidRDefault="00DE5CF5" w:rsidP="005A7661">
            <w:pPr>
              <w:ind w:left="113" w:right="113"/>
              <w:jc w:val="center"/>
              <w:rPr>
                <w:rFonts w:asciiTheme="minorHAnsi" w:hAnsiTheme="minorHAnsi" w:cstheme="minorHAnsi"/>
                <w:szCs w:val="20"/>
                <w:lang w:eastAsia="fr-FR" w:bidi="ar-SA"/>
              </w:rPr>
            </w:pPr>
            <w:r>
              <w:rPr>
                <w:rFonts w:asciiTheme="minorHAnsi" w:hAnsiTheme="minorHAnsi" w:cstheme="minorHAnsi"/>
                <w:szCs w:val="20"/>
                <w:lang w:eastAsia="fr-FR" w:bidi="ar-SA"/>
              </w:rPr>
              <w:t>Utilisation de l’eau</w:t>
            </w:r>
          </w:p>
        </w:tc>
        <w:tc>
          <w:tcPr>
            <w:tcW w:w="2747" w:type="dxa"/>
            <w:vMerge w:val="restart"/>
          </w:tcPr>
          <w:p w14:paraId="3191A607" w14:textId="186B9BA1" w:rsidR="008C7CF0" w:rsidRPr="00B95A9D" w:rsidRDefault="00DE5CF5" w:rsidP="005A766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sidRPr="00DE5CF5">
              <w:rPr>
                <w:rFonts w:asciiTheme="minorHAnsi" w:hAnsiTheme="minorHAnsi" w:cstheme="minorHAnsi"/>
                <w:szCs w:val="20"/>
                <w:lang w:eastAsia="fr-FR" w:bidi="ar-SA"/>
              </w:rPr>
              <w:t>Bétonnage et arrosage anti-poussière</w:t>
            </w:r>
            <w:r>
              <w:rPr>
                <w:rFonts w:asciiTheme="minorHAnsi" w:hAnsiTheme="minorHAnsi" w:cstheme="minorHAnsi"/>
                <w:szCs w:val="20"/>
                <w:lang w:eastAsia="fr-FR" w:bidi="ar-SA"/>
              </w:rPr>
              <w:t>, n</w:t>
            </w:r>
            <w:r w:rsidRPr="00DE5CF5">
              <w:rPr>
                <w:rFonts w:asciiTheme="minorHAnsi" w:hAnsiTheme="minorHAnsi" w:cstheme="minorHAnsi"/>
                <w:szCs w:val="20"/>
                <w:lang w:eastAsia="fr-FR" w:bidi="ar-SA"/>
              </w:rPr>
              <w:t>ettoyage ponctuel des engins</w:t>
            </w:r>
            <w:r>
              <w:rPr>
                <w:rFonts w:asciiTheme="minorHAnsi" w:hAnsiTheme="minorHAnsi" w:cstheme="minorHAnsi"/>
                <w:szCs w:val="20"/>
                <w:lang w:eastAsia="fr-FR" w:bidi="ar-SA"/>
              </w:rPr>
              <w:t>, a</w:t>
            </w:r>
            <w:r w:rsidRPr="00DE5CF5">
              <w:rPr>
                <w:rFonts w:asciiTheme="minorHAnsi" w:hAnsiTheme="minorHAnsi" w:cstheme="minorHAnsi"/>
                <w:szCs w:val="20"/>
                <w:lang w:eastAsia="fr-FR" w:bidi="ar-SA"/>
              </w:rPr>
              <w:t>limentation en eau potable pour le personnel</w:t>
            </w:r>
          </w:p>
        </w:tc>
        <w:tc>
          <w:tcPr>
            <w:tcW w:w="1843" w:type="dxa"/>
            <w:hideMark/>
          </w:tcPr>
          <w:p w14:paraId="3B9B34AF" w14:textId="77777777" w:rsidR="008C7CF0" w:rsidRPr="00B95A9D" w:rsidRDefault="008C7CF0" w:rsidP="005A766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Cs w:val="20"/>
                <w:lang w:eastAsia="fr-FR" w:bidi="ar-SA"/>
              </w:rPr>
            </w:pPr>
            <w:r w:rsidRPr="00B95A9D">
              <w:rPr>
                <w:rFonts w:asciiTheme="minorHAnsi" w:hAnsiTheme="minorHAnsi" w:cstheme="minorHAnsi"/>
                <w:b/>
                <w:bCs/>
                <w:szCs w:val="20"/>
                <w:lang w:eastAsia="fr-FR" w:bidi="ar-SA"/>
              </w:rPr>
              <w:t>Nature</w:t>
            </w:r>
          </w:p>
        </w:tc>
        <w:tc>
          <w:tcPr>
            <w:tcW w:w="3678" w:type="dxa"/>
            <w:gridSpan w:val="2"/>
          </w:tcPr>
          <w:p w14:paraId="4C40E4C1" w14:textId="77777777" w:rsidR="008C7CF0" w:rsidRPr="00B95A9D" w:rsidRDefault="008C7CF0" w:rsidP="005A766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Pr>
                <w:rFonts w:asciiTheme="minorHAnsi" w:hAnsiTheme="minorHAnsi" w:cstheme="minorHAnsi"/>
                <w:szCs w:val="20"/>
                <w:lang w:eastAsia="fr-FR" w:bidi="ar-SA"/>
              </w:rPr>
              <w:t>Direct négatif</w:t>
            </w:r>
          </w:p>
        </w:tc>
      </w:tr>
      <w:tr w:rsidR="008C7CF0" w:rsidRPr="00B95A9D" w14:paraId="545EFD3F" w14:textId="77777777" w:rsidTr="004637C7">
        <w:tc>
          <w:tcPr>
            <w:cnfStyle w:val="001000000000" w:firstRow="0" w:lastRow="0" w:firstColumn="1" w:lastColumn="0" w:oddVBand="0" w:evenVBand="0" w:oddHBand="0" w:evenHBand="0" w:firstRowFirstColumn="0" w:firstRowLastColumn="0" w:lastRowFirstColumn="0" w:lastRowLastColumn="0"/>
            <w:tcW w:w="0" w:type="dxa"/>
            <w:vMerge/>
            <w:hideMark/>
          </w:tcPr>
          <w:p w14:paraId="13191254" w14:textId="77777777" w:rsidR="008C7CF0" w:rsidRPr="00B95A9D" w:rsidRDefault="008C7CF0" w:rsidP="005A7661">
            <w:pPr>
              <w:rPr>
                <w:rFonts w:asciiTheme="minorHAnsi" w:hAnsiTheme="minorHAnsi" w:cstheme="minorHAnsi"/>
                <w:szCs w:val="20"/>
                <w:lang w:eastAsia="fr-FR" w:bidi="ar-SA"/>
              </w:rPr>
            </w:pPr>
          </w:p>
        </w:tc>
        <w:tc>
          <w:tcPr>
            <w:tcW w:w="0" w:type="dxa"/>
            <w:vMerge/>
            <w:hideMark/>
          </w:tcPr>
          <w:p w14:paraId="43E0DE2F" w14:textId="77777777" w:rsidR="008C7CF0" w:rsidRPr="00B95A9D" w:rsidRDefault="008C7CF0" w:rsidP="005A766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p>
        </w:tc>
        <w:tc>
          <w:tcPr>
            <w:tcW w:w="0" w:type="dxa"/>
            <w:hideMark/>
          </w:tcPr>
          <w:p w14:paraId="24B8775C" w14:textId="77777777" w:rsidR="008C7CF0" w:rsidRPr="00B95A9D" w:rsidRDefault="008C7CF0" w:rsidP="005A766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Cs w:val="20"/>
                <w:lang w:eastAsia="fr-FR" w:bidi="ar-SA"/>
              </w:rPr>
            </w:pPr>
            <w:r w:rsidRPr="00B95A9D">
              <w:rPr>
                <w:rFonts w:asciiTheme="minorHAnsi" w:hAnsiTheme="minorHAnsi" w:cstheme="minorHAnsi"/>
                <w:b/>
                <w:bCs/>
                <w:szCs w:val="20"/>
                <w:lang w:eastAsia="fr-FR" w:bidi="ar-SA"/>
              </w:rPr>
              <w:t>Étendue</w:t>
            </w:r>
          </w:p>
        </w:tc>
        <w:tc>
          <w:tcPr>
            <w:tcW w:w="0" w:type="dxa"/>
            <w:vAlign w:val="center"/>
          </w:tcPr>
          <w:p w14:paraId="53C7C66F" w14:textId="40DA4432" w:rsidR="008C7CF0" w:rsidRPr="00B95A9D" w:rsidRDefault="00411755" w:rsidP="004637C7">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Pr>
                <w:rFonts w:asciiTheme="minorHAnsi" w:hAnsiTheme="minorHAnsi" w:cstheme="minorHAnsi"/>
                <w:szCs w:val="20"/>
                <w:lang w:eastAsia="fr-FR" w:bidi="ar-SA"/>
              </w:rPr>
              <w:t>-</w:t>
            </w:r>
          </w:p>
        </w:tc>
        <w:tc>
          <w:tcPr>
            <w:tcW w:w="0" w:type="dxa"/>
            <w:vAlign w:val="center"/>
          </w:tcPr>
          <w:p w14:paraId="32146B23" w14:textId="5DFF07B9" w:rsidR="008C7CF0" w:rsidRPr="00B95A9D" w:rsidRDefault="00411755" w:rsidP="004637C7">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Cs w:val="20"/>
                <w:lang w:eastAsia="fr-FR" w:bidi="ar-SA"/>
              </w:rPr>
            </w:pPr>
            <w:r>
              <w:rPr>
                <w:rFonts w:asciiTheme="minorHAnsi" w:hAnsiTheme="minorHAnsi" w:cstheme="minorHAnsi"/>
                <w:b/>
                <w:bCs/>
                <w:szCs w:val="20"/>
                <w:lang w:eastAsia="fr-FR" w:bidi="ar-SA"/>
              </w:rPr>
              <w:t>-</w:t>
            </w:r>
          </w:p>
        </w:tc>
      </w:tr>
      <w:tr w:rsidR="008C7CF0" w:rsidRPr="00B95A9D" w14:paraId="612BA0DA" w14:textId="77777777" w:rsidTr="004637C7">
        <w:tc>
          <w:tcPr>
            <w:cnfStyle w:val="001000000000" w:firstRow="0" w:lastRow="0" w:firstColumn="1" w:lastColumn="0" w:oddVBand="0" w:evenVBand="0" w:oddHBand="0" w:evenHBand="0" w:firstRowFirstColumn="0" w:firstRowLastColumn="0" w:lastRowFirstColumn="0" w:lastRowLastColumn="0"/>
            <w:tcW w:w="0" w:type="dxa"/>
            <w:vMerge/>
            <w:hideMark/>
          </w:tcPr>
          <w:p w14:paraId="5B264A6D" w14:textId="77777777" w:rsidR="008C7CF0" w:rsidRPr="00B95A9D" w:rsidRDefault="008C7CF0" w:rsidP="005A7661">
            <w:pPr>
              <w:rPr>
                <w:rFonts w:asciiTheme="minorHAnsi" w:hAnsiTheme="minorHAnsi" w:cstheme="minorHAnsi"/>
                <w:szCs w:val="20"/>
                <w:lang w:eastAsia="fr-FR" w:bidi="ar-SA"/>
              </w:rPr>
            </w:pPr>
          </w:p>
        </w:tc>
        <w:tc>
          <w:tcPr>
            <w:tcW w:w="0" w:type="dxa"/>
            <w:vMerge/>
            <w:hideMark/>
          </w:tcPr>
          <w:p w14:paraId="6702310E" w14:textId="77777777" w:rsidR="008C7CF0" w:rsidRPr="00B95A9D" w:rsidRDefault="008C7CF0" w:rsidP="005A766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p>
        </w:tc>
        <w:tc>
          <w:tcPr>
            <w:tcW w:w="0" w:type="dxa"/>
            <w:hideMark/>
          </w:tcPr>
          <w:p w14:paraId="5A20D0C8" w14:textId="77777777" w:rsidR="008C7CF0" w:rsidRPr="00B95A9D" w:rsidRDefault="008C7CF0" w:rsidP="005A766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Cs w:val="20"/>
                <w:lang w:eastAsia="fr-FR" w:bidi="ar-SA"/>
              </w:rPr>
            </w:pPr>
            <w:r w:rsidRPr="00B95A9D">
              <w:rPr>
                <w:rFonts w:asciiTheme="minorHAnsi" w:hAnsiTheme="minorHAnsi" w:cstheme="minorHAnsi"/>
                <w:b/>
                <w:bCs/>
                <w:szCs w:val="20"/>
                <w:lang w:eastAsia="fr-FR" w:bidi="ar-SA"/>
              </w:rPr>
              <w:t>Durée</w:t>
            </w:r>
          </w:p>
        </w:tc>
        <w:tc>
          <w:tcPr>
            <w:tcW w:w="0" w:type="dxa"/>
            <w:vAlign w:val="center"/>
          </w:tcPr>
          <w:p w14:paraId="37F67BAC" w14:textId="32354619" w:rsidR="008C7CF0" w:rsidRPr="00B95A9D" w:rsidRDefault="00411755" w:rsidP="004637C7">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Pr>
                <w:rFonts w:asciiTheme="minorHAnsi" w:hAnsiTheme="minorHAnsi" w:cstheme="minorHAnsi"/>
                <w:szCs w:val="20"/>
                <w:lang w:eastAsia="fr-FR" w:bidi="ar-SA"/>
              </w:rPr>
              <w:t>-</w:t>
            </w:r>
          </w:p>
        </w:tc>
        <w:tc>
          <w:tcPr>
            <w:tcW w:w="0" w:type="dxa"/>
            <w:vAlign w:val="center"/>
          </w:tcPr>
          <w:p w14:paraId="05F3485C" w14:textId="0BE1C1FC" w:rsidR="008C7CF0" w:rsidRPr="00B95A9D" w:rsidRDefault="00411755" w:rsidP="004637C7">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Cs w:val="20"/>
                <w:lang w:eastAsia="fr-FR" w:bidi="ar-SA"/>
              </w:rPr>
            </w:pPr>
            <w:r>
              <w:rPr>
                <w:rFonts w:asciiTheme="minorHAnsi" w:hAnsiTheme="minorHAnsi" w:cstheme="minorHAnsi"/>
                <w:b/>
                <w:bCs/>
                <w:szCs w:val="20"/>
                <w:lang w:eastAsia="fr-FR" w:bidi="ar-SA"/>
              </w:rPr>
              <w:t>-</w:t>
            </w:r>
          </w:p>
        </w:tc>
      </w:tr>
      <w:tr w:rsidR="008C7CF0" w:rsidRPr="00B95A9D" w14:paraId="1C2E7A5E" w14:textId="77777777" w:rsidTr="004637C7">
        <w:tc>
          <w:tcPr>
            <w:cnfStyle w:val="001000000000" w:firstRow="0" w:lastRow="0" w:firstColumn="1" w:lastColumn="0" w:oddVBand="0" w:evenVBand="0" w:oddHBand="0" w:evenHBand="0" w:firstRowFirstColumn="0" w:firstRowLastColumn="0" w:lastRowFirstColumn="0" w:lastRowLastColumn="0"/>
            <w:tcW w:w="0" w:type="dxa"/>
            <w:vMerge/>
            <w:hideMark/>
          </w:tcPr>
          <w:p w14:paraId="61C6A435" w14:textId="77777777" w:rsidR="008C7CF0" w:rsidRPr="00B95A9D" w:rsidRDefault="008C7CF0" w:rsidP="005A7661">
            <w:pPr>
              <w:rPr>
                <w:rFonts w:asciiTheme="minorHAnsi" w:hAnsiTheme="minorHAnsi" w:cstheme="minorHAnsi"/>
                <w:szCs w:val="20"/>
                <w:lang w:eastAsia="fr-FR" w:bidi="ar-SA"/>
              </w:rPr>
            </w:pPr>
          </w:p>
        </w:tc>
        <w:tc>
          <w:tcPr>
            <w:tcW w:w="0" w:type="dxa"/>
            <w:vMerge/>
            <w:hideMark/>
          </w:tcPr>
          <w:p w14:paraId="1C967D5E" w14:textId="77777777" w:rsidR="008C7CF0" w:rsidRPr="00B95A9D" w:rsidRDefault="008C7CF0" w:rsidP="005A766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p>
        </w:tc>
        <w:tc>
          <w:tcPr>
            <w:tcW w:w="0" w:type="dxa"/>
            <w:hideMark/>
          </w:tcPr>
          <w:p w14:paraId="54543924" w14:textId="77777777" w:rsidR="008C7CF0" w:rsidRPr="00B95A9D" w:rsidRDefault="008C7CF0" w:rsidP="005A766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Cs w:val="20"/>
                <w:lang w:eastAsia="fr-FR" w:bidi="ar-SA"/>
              </w:rPr>
            </w:pPr>
            <w:r w:rsidRPr="00B95A9D">
              <w:rPr>
                <w:rFonts w:asciiTheme="minorHAnsi" w:hAnsiTheme="minorHAnsi" w:cstheme="minorHAnsi"/>
                <w:b/>
                <w:bCs/>
                <w:szCs w:val="20"/>
                <w:lang w:eastAsia="fr-FR" w:bidi="ar-SA"/>
              </w:rPr>
              <w:t>Fréquence</w:t>
            </w:r>
          </w:p>
        </w:tc>
        <w:tc>
          <w:tcPr>
            <w:tcW w:w="0" w:type="dxa"/>
            <w:vAlign w:val="center"/>
          </w:tcPr>
          <w:p w14:paraId="3E210A8C" w14:textId="27C8C6E0" w:rsidR="008C7CF0" w:rsidRPr="00911A3C" w:rsidRDefault="00411755" w:rsidP="004637C7">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Pr>
                <w:rFonts w:asciiTheme="minorHAnsi" w:hAnsiTheme="minorHAnsi" w:cstheme="minorHAnsi"/>
                <w:szCs w:val="20"/>
                <w:lang w:eastAsia="fr-FR" w:bidi="ar-SA"/>
              </w:rPr>
              <w:t>-</w:t>
            </w:r>
          </w:p>
        </w:tc>
        <w:tc>
          <w:tcPr>
            <w:tcW w:w="0" w:type="dxa"/>
            <w:vAlign w:val="center"/>
          </w:tcPr>
          <w:p w14:paraId="149E68FD" w14:textId="10D17C00" w:rsidR="008C7CF0" w:rsidRPr="00B95A9D" w:rsidRDefault="00411755" w:rsidP="004637C7">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Cs w:val="20"/>
                <w:lang w:eastAsia="fr-FR" w:bidi="ar-SA"/>
              </w:rPr>
            </w:pPr>
            <w:r>
              <w:rPr>
                <w:rFonts w:asciiTheme="minorHAnsi" w:hAnsiTheme="minorHAnsi" w:cstheme="minorHAnsi"/>
                <w:b/>
                <w:bCs/>
                <w:szCs w:val="20"/>
                <w:lang w:eastAsia="fr-FR" w:bidi="ar-SA"/>
              </w:rPr>
              <w:t>-</w:t>
            </w:r>
          </w:p>
        </w:tc>
      </w:tr>
      <w:tr w:rsidR="008C7CF0" w:rsidRPr="00B95A9D" w14:paraId="4DDF6A08" w14:textId="77777777" w:rsidTr="004637C7">
        <w:tc>
          <w:tcPr>
            <w:cnfStyle w:val="001000000000" w:firstRow="0" w:lastRow="0" w:firstColumn="1" w:lastColumn="0" w:oddVBand="0" w:evenVBand="0" w:oddHBand="0" w:evenHBand="0" w:firstRowFirstColumn="0" w:firstRowLastColumn="0" w:lastRowFirstColumn="0" w:lastRowLastColumn="0"/>
            <w:tcW w:w="0" w:type="dxa"/>
            <w:vMerge/>
            <w:hideMark/>
          </w:tcPr>
          <w:p w14:paraId="3E19346D" w14:textId="77777777" w:rsidR="008C7CF0" w:rsidRPr="00B95A9D" w:rsidRDefault="008C7CF0" w:rsidP="005A7661">
            <w:pPr>
              <w:rPr>
                <w:rFonts w:asciiTheme="minorHAnsi" w:hAnsiTheme="minorHAnsi" w:cstheme="minorHAnsi"/>
                <w:szCs w:val="20"/>
                <w:lang w:eastAsia="fr-FR" w:bidi="ar-SA"/>
              </w:rPr>
            </w:pPr>
          </w:p>
        </w:tc>
        <w:tc>
          <w:tcPr>
            <w:tcW w:w="0" w:type="dxa"/>
            <w:vMerge/>
            <w:hideMark/>
          </w:tcPr>
          <w:p w14:paraId="67FD0FFD" w14:textId="77777777" w:rsidR="008C7CF0" w:rsidRPr="00B95A9D" w:rsidRDefault="008C7CF0" w:rsidP="005A766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p>
        </w:tc>
        <w:tc>
          <w:tcPr>
            <w:tcW w:w="0" w:type="dxa"/>
            <w:shd w:val="clear" w:color="auto" w:fill="D9E2F3"/>
            <w:hideMark/>
          </w:tcPr>
          <w:p w14:paraId="725B474E" w14:textId="77777777" w:rsidR="008C7CF0" w:rsidRPr="00B95A9D" w:rsidRDefault="008C7CF0" w:rsidP="005A766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Cs w:val="20"/>
                <w:lang w:eastAsia="fr-FR" w:bidi="ar-SA"/>
              </w:rPr>
            </w:pPr>
            <w:r w:rsidRPr="00B95A9D">
              <w:rPr>
                <w:rFonts w:asciiTheme="minorHAnsi" w:hAnsiTheme="minorHAnsi" w:cstheme="minorHAnsi"/>
                <w:b/>
                <w:bCs/>
                <w:szCs w:val="20"/>
                <w:lang w:eastAsia="fr-FR" w:bidi="ar-SA"/>
              </w:rPr>
              <w:t>Intensité</w:t>
            </w:r>
          </w:p>
        </w:tc>
        <w:tc>
          <w:tcPr>
            <w:tcW w:w="0" w:type="dxa"/>
            <w:shd w:val="clear" w:color="auto" w:fill="D9E2F3"/>
            <w:vAlign w:val="center"/>
          </w:tcPr>
          <w:p w14:paraId="32CB78D8" w14:textId="37DD8AB8" w:rsidR="008C7CF0" w:rsidRPr="00B95A9D" w:rsidRDefault="00411755" w:rsidP="004637C7">
            <w:pPr>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sidRPr="00411755">
              <w:rPr>
                <w:rFonts w:asciiTheme="minorHAnsi" w:hAnsiTheme="minorHAnsi" w:cstheme="minorHAnsi"/>
                <w:szCs w:val="20"/>
                <w:lang w:eastAsia="fr-FR" w:bidi="ar-SA"/>
              </w:rPr>
              <w:t>Nulle, aucun prélèvement d’eau souterraine ni raccordement au réseau public ; utilisation de citernes et bonbonnes scellées</w:t>
            </w:r>
          </w:p>
        </w:tc>
        <w:tc>
          <w:tcPr>
            <w:tcW w:w="0" w:type="dxa"/>
            <w:shd w:val="clear" w:color="auto" w:fill="D9E2F3"/>
            <w:vAlign w:val="center"/>
          </w:tcPr>
          <w:p w14:paraId="42E7B389" w14:textId="3D1BB2A1" w:rsidR="008C7CF0" w:rsidRPr="004637C7" w:rsidRDefault="00411755" w:rsidP="004637C7">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sidRPr="004637C7">
              <w:rPr>
                <w:rFonts w:asciiTheme="minorHAnsi" w:hAnsiTheme="minorHAnsi" w:cstheme="minorHAnsi"/>
                <w:szCs w:val="20"/>
                <w:lang w:eastAsia="fr-FR" w:bidi="ar-SA"/>
              </w:rPr>
              <w:t>Nulle-</w:t>
            </w:r>
          </w:p>
        </w:tc>
      </w:tr>
      <w:tr w:rsidR="008C7CF0" w:rsidRPr="00B95A9D" w14:paraId="2C821A80" w14:textId="77777777" w:rsidTr="005A7661">
        <w:tc>
          <w:tcPr>
            <w:cnfStyle w:val="001000000000" w:firstRow="0" w:lastRow="0" w:firstColumn="1" w:lastColumn="0" w:oddVBand="0" w:evenVBand="0" w:oddHBand="0" w:evenHBand="0" w:firstRowFirstColumn="0" w:firstRowLastColumn="0" w:lastRowFirstColumn="0" w:lastRowLastColumn="0"/>
            <w:tcW w:w="792" w:type="dxa"/>
            <w:vMerge/>
          </w:tcPr>
          <w:p w14:paraId="0EF397E4" w14:textId="77777777" w:rsidR="008C7CF0" w:rsidRPr="00B95A9D" w:rsidRDefault="008C7CF0" w:rsidP="005A7661">
            <w:pPr>
              <w:rPr>
                <w:rFonts w:asciiTheme="minorHAnsi" w:hAnsiTheme="minorHAnsi" w:cstheme="minorHAnsi"/>
                <w:szCs w:val="20"/>
                <w:lang w:eastAsia="fr-FR" w:bidi="ar-SA"/>
              </w:rPr>
            </w:pPr>
          </w:p>
        </w:tc>
        <w:tc>
          <w:tcPr>
            <w:tcW w:w="8268" w:type="dxa"/>
            <w:gridSpan w:val="4"/>
          </w:tcPr>
          <w:p w14:paraId="3216B748" w14:textId="77777777" w:rsidR="008C7CF0" w:rsidRPr="00B95A9D" w:rsidRDefault="008C7CF0" w:rsidP="005A7661">
            <w:pPr>
              <w:spacing w:before="0" w:after="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Cs w:val="20"/>
                <w:lang w:eastAsia="fr-FR" w:bidi="ar-SA"/>
              </w:rPr>
            </w:pPr>
          </w:p>
        </w:tc>
      </w:tr>
      <w:tr w:rsidR="008C7CF0" w:rsidRPr="00B95A9D" w14:paraId="335535E2" w14:textId="77777777" w:rsidTr="005A7661">
        <w:tc>
          <w:tcPr>
            <w:cnfStyle w:val="001000000000" w:firstRow="0" w:lastRow="0" w:firstColumn="1" w:lastColumn="0" w:oddVBand="0" w:evenVBand="0" w:oddHBand="0" w:evenHBand="0" w:firstRowFirstColumn="0" w:firstRowLastColumn="0" w:lastRowFirstColumn="0" w:lastRowLastColumn="0"/>
            <w:tcW w:w="792" w:type="dxa"/>
            <w:vMerge/>
          </w:tcPr>
          <w:p w14:paraId="163F7612" w14:textId="77777777" w:rsidR="008C7CF0" w:rsidRPr="00B95A9D" w:rsidRDefault="008C7CF0" w:rsidP="005A7661">
            <w:pPr>
              <w:rPr>
                <w:rFonts w:asciiTheme="minorHAnsi" w:hAnsiTheme="minorHAnsi" w:cstheme="minorHAnsi"/>
                <w:szCs w:val="20"/>
                <w:lang w:eastAsia="fr-FR" w:bidi="ar-SA"/>
              </w:rPr>
            </w:pPr>
          </w:p>
        </w:tc>
        <w:tc>
          <w:tcPr>
            <w:tcW w:w="2747" w:type="dxa"/>
            <w:shd w:val="clear" w:color="auto" w:fill="B4C6E7" w:themeFill="accent1" w:themeFillTint="66"/>
            <w:vAlign w:val="center"/>
          </w:tcPr>
          <w:p w14:paraId="1BA154A7" w14:textId="77777777" w:rsidR="008C7CF0" w:rsidRPr="00B95A9D" w:rsidRDefault="008C7CF0" w:rsidP="005A766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sidRPr="00B95A9D">
              <w:rPr>
                <w:rFonts w:asciiTheme="minorHAnsi" w:hAnsiTheme="minorHAnsi" w:cstheme="minorHAnsi"/>
                <w:b/>
                <w:bCs/>
                <w:szCs w:val="20"/>
              </w:rPr>
              <w:t>Intensité de l’impact</w:t>
            </w:r>
          </w:p>
        </w:tc>
        <w:tc>
          <w:tcPr>
            <w:tcW w:w="1843" w:type="dxa"/>
            <w:shd w:val="clear" w:color="auto" w:fill="B4C6E7" w:themeFill="accent1" w:themeFillTint="66"/>
            <w:vAlign w:val="center"/>
          </w:tcPr>
          <w:p w14:paraId="1739426B" w14:textId="77777777" w:rsidR="008C7CF0" w:rsidRPr="00B95A9D" w:rsidRDefault="008C7CF0" w:rsidP="005A766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Cs w:val="20"/>
                <w:lang w:eastAsia="fr-FR" w:bidi="ar-SA"/>
              </w:rPr>
            </w:pPr>
            <w:r w:rsidRPr="00B95A9D">
              <w:rPr>
                <w:rFonts w:asciiTheme="minorHAnsi" w:hAnsiTheme="minorHAnsi" w:cstheme="minorHAnsi"/>
                <w:b/>
                <w:bCs/>
                <w:szCs w:val="20"/>
              </w:rPr>
              <w:t>Récepteurs</w:t>
            </w:r>
          </w:p>
        </w:tc>
        <w:tc>
          <w:tcPr>
            <w:tcW w:w="2436" w:type="dxa"/>
            <w:shd w:val="clear" w:color="auto" w:fill="B4C6E7" w:themeFill="accent1" w:themeFillTint="66"/>
            <w:vAlign w:val="center"/>
          </w:tcPr>
          <w:p w14:paraId="0AB5BBBF" w14:textId="77777777" w:rsidR="008C7CF0" w:rsidRPr="00B95A9D" w:rsidRDefault="008C7CF0" w:rsidP="005A766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sidRPr="00B95A9D">
              <w:rPr>
                <w:rFonts w:asciiTheme="minorHAnsi" w:hAnsiTheme="minorHAnsi" w:cstheme="minorHAnsi"/>
                <w:b/>
                <w:bCs/>
                <w:szCs w:val="20"/>
              </w:rPr>
              <w:t>Sensibilité</w:t>
            </w:r>
          </w:p>
        </w:tc>
        <w:tc>
          <w:tcPr>
            <w:tcW w:w="1242" w:type="dxa"/>
            <w:shd w:val="clear" w:color="auto" w:fill="B4C6E7" w:themeFill="accent1" w:themeFillTint="66"/>
            <w:vAlign w:val="center"/>
          </w:tcPr>
          <w:p w14:paraId="78F03CB0" w14:textId="77777777" w:rsidR="008C7CF0" w:rsidRPr="00B95A9D" w:rsidRDefault="008C7CF0" w:rsidP="005A766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Cs w:val="20"/>
                <w:lang w:eastAsia="fr-FR" w:bidi="ar-SA"/>
              </w:rPr>
            </w:pPr>
            <w:r w:rsidRPr="00B95A9D">
              <w:rPr>
                <w:rFonts w:asciiTheme="minorHAnsi" w:hAnsiTheme="minorHAnsi" w:cstheme="minorHAnsi"/>
                <w:b/>
                <w:bCs/>
                <w:szCs w:val="20"/>
              </w:rPr>
              <w:t>Importance de l’impact</w:t>
            </w:r>
          </w:p>
        </w:tc>
      </w:tr>
      <w:tr w:rsidR="008C7CF0" w:rsidRPr="00B95A9D" w14:paraId="4AA56EBF" w14:textId="77777777" w:rsidTr="005A7661">
        <w:tc>
          <w:tcPr>
            <w:cnfStyle w:val="001000000000" w:firstRow="0" w:lastRow="0" w:firstColumn="1" w:lastColumn="0" w:oddVBand="0" w:evenVBand="0" w:oddHBand="0" w:evenHBand="0" w:firstRowFirstColumn="0" w:firstRowLastColumn="0" w:lastRowFirstColumn="0" w:lastRowLastColumn="0"/>
            <w:tcW w:w="792" w:type="dxa"/>
            <w:vMerge/>
          </w:tcPr>
          <w:p w14:paraId="6700E203" w14:textId="77777777" w:rsidR="008C7CF0" w:rsidRPr="00B95A9D" w:rsidRDefault="008C7CF0" w:rsidP="005A7661">
            <w:pPr>
              <w:rPr>
                <w:rFonts w:asciiTheme="minorHAnsi" w:hAnsiTheme="minorHAnsi" w:cstheme="minorHAnsi"/>
                <w:szCs w:val="20"/>
                <w:lang w:eastAsia="fr-FR" w:bidi="ar-SA"/>
              </w:rPr>
            </w:pPr>
          </w:p>
        </w:tc>
        <w:tc>
          <w:tcPr>
            <w:tcW w:w="2747" w:type="dxa"/>
            <w:vAlign w:val="center"/>
          </w:tcPr>
          <w:p w14:paraId="27EB6ECC" w14:textId="0C16F972" w:rsidR="008C7CF0" w:rsidRPr="00B95A9D" w:rsidRDefault="00411755" w:rsidP="005A766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Pr>
                <w:rFonts w:asciiTheme="minorHAnsi" w:hAnsiTheme="minorHAnsi" w:cstheme="minorHAnsi"/>
                <w:szCs w:val="20"/>
                <w:lang w:eastAsia="fr-FR" w:bidi="ar-SA"/>
              </w:rPr>
              <w:t>Nulle</w:t>
            </w:r>
          </w:p>
        </w:tc>
        <w:tc>
          <w:tcPr>
            <w:tcW w:w="1843" w:type="dxa"/>
            <w:vAlign w:val="center"/>
          </w:tcPr>
          <w:p w14:paraId="0E065C8F" w14:textId="7750EC07" w:rsidR="008C7CF0" w:rsidRPr="00CF0282" w:rsidRDefault="00411755" w:rsidP="004637C7">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Pr>
                <w:rFonts w:asciiTheme="minorHAnsi" w:hAnsiTheme="minorHAnsi" w:cstheme="minorHAnsi"/>
                <w:szCs w:val="20"/>
                <w:lang w:eastAsia="fr-FR" w:bidi="ar-SA"/>
              </w:rPr>
              <w:t>-</w:t>
            </w:r>
          </w:p>
        </w:tc>
        <w:tc>
          <w:tcPr>
            <w:tcW w:w="2436" w:type="dxa"/>
            <w:vAlign w:val="center"/>
          </w:tcPr>
          <w:p w14:paraId="25198243" w14:textId="0F1AA1DD" w:rsidR="008C7CF0" w:rsidRPr="00B95A9D" w:rsidRDefault="00411755" w:rsidP="004637C7">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Pr>
                <w:rFonts w:asciiTheme="minorHAnsi" w:hAnsiTheme="minorHAnsi" w:cstheme="minorHAnsi"/>
                <w:szCs w:val="20"/>
                <w:lang w:eastAsia="fr-FR" w:bidi="ar-SA"/>
              </w:rPr>
              <w:t>-</w:t>
            </w:r>
          </w:p>
        </w:tc>
        <w:tc>
          <w:tcPr>
            <w:tcW w:w="1242" w:type="dxa"/>
            <w:vAlign w:val="center"/>
          </w:tcPr>
          <w:p w14:paraId="5EA7138A" w14:textId="7C107A83" w:rsidR="008C7CF0" w:rsidRPr="00B95A9D" w:rsidRDefault="00411755" w:rsidP="005A766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Cs w:val="20"/>
                <w:lang w:eastAsia="fr-FR" w:bidi="ar-SA"/>
              </w:rPr>
            </w:pPr>
            <w:r w:rsidRPr="00411755">
              <w:rPr>
                <w:rFonts w:asciiTheme="minorHAnsi" w:hAnsiTheme="minorHAnsi" w:cstheme="minorHAnsi"/>
                <w:b/>
                <w:bCs/>
                <w:szCs w:val="20"/>
                <w:lang w:eastAsia="fr-FR" w:bidi="ar-SA"/>
              </w:rPr>
              <w:t xml:space="preserve">Impact nul </w:t>
            </w:r>
          </w:p>
        </w:tc>
      </w:tr>
    </w:tbl>
    <w:p w14:paraId="1AC2C38F" w14:textId="695A7D84" w:rsidR="004543C4" w:rsidRDefault="00547F05" w:rsidP="0001633E">
      <w:pPr>
        <w:pStyle w:val="AltTitle2"/>
        <w:numPr>
          <w:ilvl w:val="0"/>
          <w:numId w:val="106"/>
        </w:numPr>
      </w:pPr>
      <w:r>
        <w:t>Utilisation</w:t>
      </w:r>
      <w:r w:rsidR="0079608B">
        <w:t xml:space="preserve"> de l’énergie</w:t>
      </w:r>
    </w:p>
    <w:p w14:paraId="4BD11CEF" w14:textId="67B0BF43" w:rsidR="002C651D" w:rsidRDefault="002C651D" w:rsidP="00D81041">
      <w:r w:rsidRPr="002C651D">
        <w:t>Durant la phase de construction</w:t>
      </w:r>
      <w:r>
        <w:t xml:space="preserve">, </w:t>
      </w:r>
      <w:r w:rsidRPr="002C651D">
        <w:t xml:space="preserve">l’alimentation énergétique sera assurée par un branchement provisoire au réseau public de </w:t>
      </w:r>
      <w:r>
        <w:t>l’</w:t>
      </w:r>
      <w:r w:rsidRPr="002C651D">
        <w:t>ONEE.</w:t>
      </w:r>
    </w:p>
    <w:p w14:paraId="6ECE481E" w14:textId="4D017422" w:rsidR="002C651D" w:rsidRDefault="002C651D" w:rsidP="00D81041">
      <w:r w:rsidRPr="002C651D">
        <w:t>Ce raccordement temporaire permettra d’alimenter les équipements de chantier, les centrales à béton mobiles, les conteneurs de base-vie et les outils de manutention.</w:t>
      </w:r>
      <w:r>
        <w:t xml:space="preserve"> </w:t>
      </w:r>
    </w:p>
    <w:p w14:paraId="6AC6930A" w14:textId="1CB129EA" w:rsidR="002C651D" w:rsidRPr="002C651D" w:rsidRDefault="00AC7EA1" w:rsidP="00D81041">
      <w:r w:rsidRPr="00AC7EA1">
        <w:t xml:space="preserve">En complément, des </w:t>
      </w:r>
      <w:r w:rsidRPr="004637C7">
        <w:t>groupes électrogènes</w:t>
      </w:r>
      <w:r w:rsidRPr="00AC7EA1">
        <w:t xml:space="preserve"> seront installés pour assurer un </w:t>
      </w:r>
      <w:r w:rsidRPr="004637C7">
        <w:t>secours ponctuel</w:t>
      </w:r>
      <w:r w:rsidRPr="00AC7EA1">
        <w:t>, principalement en cas d’interruption du réseau ou pour les zones non couvertes temporairement par le raccordement.</w:t>
      </w:r>
      <w:r>
        <w:t xml:space="preserve"> </w:t>
      </w:r>
      <w:r w:rsidRPr="00AC7EA1">
        <w:t>Leur utilisation restera limitée à des durées courtes et maîtrisées.</w:t>
      </w:r>
    </w:p>
    <w:p w14:paraId="73678432" w14:textId="7FE456CB" w:rsidR="009F175B" w:rsidRDefault="000A756F" w:rsidP="00121579">
      <w:r>
        <w:t>Le chantier étant intégré dans un environnement déjà électrifié, aucune infrastructure nouvelle de transport ou de stockage d’énergie n’est prévue. Les besoins énergétiques resteront modérés, en cohérence avec la taille limitée de l’emprise</w:t>
      </w:r>
      <w:r w:rsidR="009F175B">
        <w:t>.</w:t>
      </w:r>
    </w:p>
    <w:p w14:paraId="691C0D5B" w14:textId="77777777" w:rsidR="009F175B" w:rsidRDefault="009F175B" w:rsidP="000A756F">
      <w:r w:rsidRPr="009F175B">
        <w:t xml:space="preserve">L’impact est de </w:t>
      </w:r>
      <w:r w:rsidRPr="004637C7">
        <w:t>type direct et négatif</w:t>
      </w:r>
      <w:r w:rsidRPr="009F175B">
        <w:t>, résultant de la consommation d’électricité et de carburant.</w:t>
      </w:r>
      <w:r>
        <w:t xml:space="preserve"> </w:t>
      </w:r>
    </w:p>
    <w:p w14:paraId="1C532E6B" w14:textId="77777777" w:rsidR="009F175B" w:rsidRPr="007B27AA" w:rsidRDefault="009F175B" w:rsidP="000A756F">
      <w:r w:rsidRPr="007B27AA">
        <w:t xml:space="preserve">Son </w:t>
      </w:r>
      <w:r w:rsidRPr="004637C7">
        <w:t>étendue spatiale</w:t>
      </w:r>
      <w:r w:rsidRPr="007B27AA">
        <w:t xml:space="preserve"> est </w:t>
      </w:r>
      <w:r w:rsidRPr="004637C7">
        <w:t>locale</w:t>
      </w:r>
      <w:r w:rsidRPr="007B27AA">
        <w:t>, confinée à l’intérieur du périmètre aéroportuaire.</w:t>
      </w:r>
    </w:p>
    <w:p w14:paraId="314755AE" w14:textId="77777777" w:rsidR="009F175B" w:rsidRPr="007B27AA" w:rsidRDefault="009F175B" w:rsidP="000A756F">
      <w:r w:rsidRPr="007B27AA">
        <w:t xml:space="preserve">Sa </w:t>
      </w:r>
      <w:r w:rsidRPr="004637C7">
        <w:t>durée</w:t>
      </w:r>
      <w:r w:rsidRPr="007B27AA">
        <w:t xml:space="preserve"> est </w:t>
      </w:r>
      <w:r w:rsidRPr="004637C7">
        <w:t>temporaire</w:t>
      </w:r>
      <w:r w:rsidRPr="007B27AA">
        <w:t>, correspondant à la durée des travaux (quelques mois).</w:t>
      </w:r>
    </w:p>
    <w:p w14:paraId="6B39D9B4" w14:textId="77777777" w:rsidR="009F175B" w:rsidRPr="007B27AA" w:rsidRDefault="009F175B" w:rsidP="000A756F">
      <w:r w:rsidRPr="007B27AA">
        <w:t xml:space="preserve">La </w:t>
      </w:r>
      <w:r w:rsidRPr="004637C7">
        <w:t>fréquence</w:t>
      </w:r>
      <w:r w:rsidRPr="007B27AA">
        <w:t xml:space="preserve"> est </w:t>
      </w:r>
      <w:r w:rsidRPr="004637C7">
        <w:t>continue</w:t>
      </w:r>
      <w:r w:rsidRPr="007B27AA">
        <w:t>, mais limitée aux heures diurnes d’activité.</w:t>
      </w:r>
    </w:p>
    <w:p w14:paraId="53177AFA" w14:textId="77777777" w:rsidR="009F175B" w:rsidRPr="007B27AA" w:rsidRDefault="009F175B" w:rsidP="000A756F">
      <w:r w:rsidRPr="007B27AA">
        <w:t>L’</w:t>
      </w:r>
      <w:r w:rsidRPr="004637C7">
        <w:t>intensité</w:t>
      </w:r>
      <w:r w:rsidRPr="007B27AA">
        <w:t xml:space="preserve"> est </w:t>
      </w:r>
      <w:r w:rsidRPr="004637C7">
        <w:t>faible</w:t>
      </w:r>
      <w:r w:rsidRPr="007B27AA">
        <w:t>, le chantier n’impliquant ni travaux lourds en continu ni activité industrielle énergivore.</w:t>
      </w:r>
    </w:p>
    <w:p w14:paraId="4D3EFD33" w14:textId="097B8794" w:rsidR="009F175B" w:rsidRPr="007B27AA" w:rsidRDefault="009F175B" w:rsidP="000A756F">
      <w:r w:rsidRPr="007B27AA">
        <w:t xml:space="preserve">La </w:t>
      </w:r>
      <w:r w:rsidRPr="004637C7">
        <w:t>sensibilité</w:t>
      </w:r>
      <w:r w:rsidRPr="007B27AA">
        <w:t xml:space="preserve"> du milieu est </w:t>
      </w:r>
      <w:r w:rsidRPr="004637C7">
        <w:t>faible</w:t>
      </w:r>
      <w:r w:rsidRPr="007B27AA">
        <w:t>, le réseau électrique de l’ONEE étant fiable et la zone déjà équipée en infrastructures énergétiques.</w:t>
      </w:r>
    </w:p>
    <w:p w14:paraId="65DCC4DE" w14:textId="133165F1" w:rsidR="007B27AA" w:rsidRDefault="007B27AA" w:rsidP="00121579">
      <w:r w:rsidRPr="004637C7">
        <w:t>L’importance de l’impact est jugée faible</w:t>
      </w:r>
      <w:r w:rsidRPr="007B27AA">
        <w:t>, en raison de la consommation limitée, du recours à un réseau public stable. Aucune pression significative sur les ressources énergétiques régionales n’est attendue.</w:t>
      </w:r>
    </w:p>
    <w:tbl>
      <w:tblPr>
        <w:tblStyle w:val="TableauGrille1Clair-Accentuation111"/>
        <w:tblW w:w="0" w:type="auto"/>
        <w:tblLayout w:type="fixed"/>
        <w:tblLook w:val="04A0" w:firstRow="1" w:lastRow="0" w:firstColumn="1" w:lastColumn="0" w:noHBand="0" w:noVBand="1"/>
      </w:tblPr>
      <w:tblGrid>
        <w:gridCol w:w="792"/>
        <w:gridCol w:w="2747"/>
        <w:gridCol w:w="1843"/>
        <w:gridCol w:w="2436"/>
        <w:gridCol w:w="1242"/>
      </w:tblGrid>
      <w:tr w:rsidR="008C7CF0" w:rsidRPr="00B95A9D" w14:paraId="413B9F48" w14:textId="77777777" w:rsidTr="005A766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2" w:type="dxa"/>
            <w:hideMark/>
          </w:tcPr>
          <w:p w14:paraId="4E351A25" w14:textId="77777777" w:rsidR="008C7CF0" w:rsidRPr="00B95A9D" w:rsidRDefault="008C7CF0" w:rsidP="005A7661">
            <w:pPr>
              <w:rPr>
                <w:rFonts w:asciiTheme="minorHAnsi" w:hAnsiTheme="minorHAnsi" w:cstheme="minorHAnsi"/>
                <w:szCs w:val="20"/>
                <w:lang w:eastAsia="fr-FR" w:bidi="ar-SA"/>
              </w:rPr>
            </w:pPr>
            <w:r w:rsidRPr="00B95A9D">
              <w:rPr>
                <w:rFonts w:asciiTheme="minorHAnsi" w:hAnsiTheme="minorHAnsi" w:cstheme="minorHAnsi"/>
                <w:szCs w:val="20"/>
                <w:lang w:eastAsia="fr-FR" w:bidi="ar-SA"/>
              </w:rPr>
              <w:lastRenderedPageBreak/>
              <w:t>Impact</w:t>
            </w:r>
          </w:p>
        </w:tc>
        <w:tc>
          <w:tcPr>
            <w:tcW w:w="2747" w:type="dxa"/>
            <w:hideMark/>
          </w:tcPr>
          <w:p w14:paraId="6638DFF8" w14:textId="77777777" w:rsidR="008C7CF0" w:rsidRPr="00B95A9D" w:rsidRDefault="008C7CF0" w:rsidP="005A7661">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sidRPr="00B95A9D">
              <w:rPr>
                <w:rFonts w:asciiTheme="minorHAnsi" w:hAnsiTheme="minorHAnsi" w:cstheme="minorHAnsi"/>
                <w:szCs w:val="20"/>
                <w:lang w:eastAsia="fr-FR" w:bidi="ar-SA"/>
              </w:rPr>
              <w:t>Activités génératrices</w:t>
            </w:r>
          </w:p>
        </w:tc>
        <w:tc>
          <w:tcPr>
            <w:tcW w:w="1843" w:type="dxa"/>
            <w:hideMark/>
          </w:tcPr>
          <w:p w14:paraId="2EF527D4" w14:textId="77777777" w:rsidR="008C7CF0" w:rsidRPr="00B95A9D" w:rsidRDefault="008C7CF0" w:rsidP="005A7661">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sidRPr="00B95A9D">
              <w:rPr>
                <w:rFonts w:asciiTheme="minorHAnsi" w:hAnsiTheme="minorHAnsi" w:cstheme="minorHAnsi"/>
                <w:szCs w:val="20"/>
                <w:lang w:eastAsia="fr-FR" w:bidi="ar-SA"/>
              </w:rPr>
              <w:t>Critère</w:t>
            </w:r>
          </w:p>
        </w:tc>
        <w:tc>
          <w:tcPr>
            <w:tcW w:w="2436" w:type="dxa"/>
            <w:hideMark/>
          </w:tcPr>
          <w:p w14:paraId="0E05B7BA" w14:textId="77777777" w:rsidR="008C7CF0" w:rsidRPr="00B95A9D" w:rsidRDefault="008C7CF0" w:rsidP="005A7661">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sidRPr="00B95A9D">
              <w:rPr>
                <w:rFonts w:asciiTheme="minorHAnsi" w:hAnsiTheme="minorHAnsi" w:cstheme="minorHAnsi"/>
                <w:szCs w:val="20"/>
                <w:lang w:eastAsia="fr-FR" w:bidi="ar-SA"/>
              </w:rPr>
              <w:t>Justification</w:t>
            </w:r>
          </w:p>
        </w:tc>
        <w:tc>
          <w:tcPr>
            <w:tcW w:w="1242" w:type="dxa"/>
            <w:hideMark/>
          </w:tcPr>
          <w:p w14:paraId="0C660788" w14:textId="77777777" w:rsidR="008C7CF0" w:rsidRPr="00B95A9D" w:rsidRDefault="008C7CF0" w:rsidP="005A7661">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sidRPr="00B95A9D">
              <w:rPr>
                <w:rFonts w:asciiTheme="minorHAnsi" w:hAnsiTheme="minorHAnsi" w:cstheme="minorHAnsi"/>
                <w:szCs w:val="20"/>
                <w:lang w:eastAsia="fr-FR" w:bidi="ar-SA"/>
              </w:rPr>
              <w:t>Niveau</w:t>
            </w:r>
          </w:p>
        </w:tc>
      </w:tr>
      <w:tr w:rsidR="008C7CF0" w:rsidRPr="00B95A9D" w14:paraId="5562DA0E" w14:textId="77777777" w:rsidTr="005A7661">
        <w:tc>
          <w:tcPr>
            <w:cnfStyle w:val="001000000000" w:firstRow="0" w:lastRow="0" w:firstColumn="1" w:lastColumn="0" w:oddVBand="0" w:evenVBand="0" w:oddHBand="0" w:evenHBand="0" w:firstRowFirstColumn="0" w:firstRowLastColumn="0" w:lastRowFirstColumn="0" w:lastRowLastColumn="0"/>
            <w:tcW w:w="792" w:type="dxa"/>
            <w:vMerge w:val="restart"/>
            <w:textDirection w:val="btLr"/>
            <w:vAlign w:val="center"/>
          </w:tcPr>
          <w:p w14:paraId="275A73CF" w14:textId="4F1FCDD2" w:rsidR="008C7CF0" w:rsidRPr="00B95A9D" w:rsidRDefault="00411755" w:rsidP="005A7661">
            <w:pPr>
              <w:ind w:left="113" w:right="113"/>
              <w:jc w:val="center"/>
              <w:rPr>
                <w:rFonts w:asciiTheme="minorHAnsi" w:hAnsiTheme="minorHAnsi" w:cstheme="minorHAnsi"/>
                <w:szCs w:val="20"/>
                <w:lang w:eastAsia="fr-FR" w:bidi="ar-SA"/>
              </w:rPr>
            </w:pPr>
            <w:r>
              <w:rPr>
                <w:rFonts w:asciiTheme="minorHAnsi" w:hAnsiTheme="minorHAnsi" w:cstheme="minorHAnsi"/>
                <w:szCs w:val="20"/>
                <w:lang w:eastAsia="fr-FR" w:bidi="ar-SA"/>
              </w:rPr>
              <w:t>Utilisation de l</w:t>
            </w:r>
            <w:r w:rsidR="00F16B6B">
              <w:rPr>
                <w:rFonts w:asciiTheme="minorHAnsi" w:hAnsiTheme="minorHAnsi" w:cstheme="minorHAnsi"/>
                <w:szCs w:val="20"/>
                <w:lang w:eastAsia="fr-FR" w:bidi="ar-SA"/>
              </w:rPr>
              <w:t>’</w:t>
            </w:r>
            <w:r>
              <w:rPr>
                <w:rFonts w:asciiTheme="minorHAnsi" w:hAnsiTheme="minorHAnsi" w:cstheme="minorHAnsi"/>
                <w:szCs w:val="20"/>
                <w:lang w:eastAsia="fr-FR" w:bidi="ar-SA"/>
              </w:rPr>
              <w:t>énergie</w:t>
            </w:r>
          </w:p>
        </w:tc>
        <w:tc>
          <w:tcPr>
            <w:tcW w:w="2747" w:type="dxa"/>
            <w:vMerge w:val="restart"/>
          </w:tcPr>
          <w:p w14:paraId="5419A031" w14:textId="50F1C05A" w:rsidR="008C7CF0" w:rsidRPr="00B95A9D" w:rsidRDefault="00411755" w:rsidP="0050793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sidRPr="00411755">
              <w:rPr>
                <w:rFonts w:asciiTheme="minorHAnsi" w:hAnsiTheme="minorHAnsi" w:cstheme="minorHAnsi"/>
                <w:szCs w:val="20"/>
                <w:lang w:eastAsia="fr-FR" w:bidi="ar-SA"/>
              </w:rPr>
              <w:t>Alimentation électrique du chantier par branchement provisoire à l’ONEE</w:t>
            </w:r>
            <w:r>
              <w:rPr>
                <w:rFonts w:asciiTheme="minorHAnsi" w:hAnsiTheme="minorHAnsi" w:cstheme="minorHAnsi"/>
                <w:szCs w:val="20"/>
                <w:lang w:eastAsia="fr-FR" w:bidi="ar-SA"/>
              </w:rPr>
              <w:t>, u</w:t>
            </w:r>
            <w:r w:rsidRPr="00411755">
              <w:rPr>
                <w:rFonts w:asciiTheme="minorHAnsi" w:hAnsiTheme="minorHAnsi" w:cstheme="minorHAnsi"/>
                <w:szCs w:val="20"/>
                <w:lang w:eastAsia="fr-FR" w:bidi="ar-SA"/>
              </w:rPr>
              <w:t>tilisation ponctuelle de groupes électrogènes</w:t>
            </w:r>
          </w:p>
        </w:tc>
        <w:tc>
          <w:tcPr>
            <w:tcW w:w="1843" w:type="dxa"/>
            <w:hideMark/>
          </w:tcPr>
          <w:p w14:paraId="76236964" w14:textId="77777777" w:rsidR="008C7CF0" w:rsidRPr="00B95A9D" w:rsidRDefault="008C7CF0" w:rsidP="005A766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Cs w:val="20"/>
                <w:lang w:eastAsia="fr-FR" w:bidi="ar-SA"/>
              </w:rPr>
            </w:pPr>
            <w:r w:rsidRPr="00B95A9D">
              <w:rPr>
                <w:rFonts w:asciiTheme="minorHAnsi" w:hAnsiTheme="minorHAnsi" w:cstheme="minorHAnsi"/>
                <w:b/>
                <w:bCs/>
                <w:szCs w:val="20"/>
                <w:lang w:eastAsia="fr-FR" w:bidi="ar-SA"/>
              </w:rPr>
              <w:t>Nature</w:t>
            </w:r>
          </w:p>
        </w:tc>
        <w:tc>
          <w:tcPr>
            <w:tcW w:w="3678" w:type="dxa"/>
            <w:gridSpan w:val="2"/>
          </w:tcPr>
          <w:p w14:paraId="478F0941" w14:textId="77777777" w:rsidR="008C7CF0" w:rsidRPr="00B95A9D" w:rsidRDefault="008C7CF0" w:rsidP="005A766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Pr>
                <w:rFonts w:asciiTheme="minorHAnsi" w:hAnsiTheme="minorHAnsi" w:cstheme="minorHAnsi"/>
                <w:szCs w:val="20"/>
                <w:lang w:eastAsia="fr-FR" w:bidi="ar-SA"/>
              </w:rPr>
              <w:t>Direct négatif</w:t>
            </w:r>
          </w:p>
        </w:tc>
      </w:tr>
      <w:tr w:rsidR="008C7CF0" w:rsidRPr="00B95A9D" w14:paraId="6B47AA93" w14:textId="77777777" w:rsidTr="005A7661">
        <w:tc>
          <w:tcPr>
            <w:cnfStyle w:val="001000000000" w:firstRow="0" w:lastRow="0" w:firstColumn="1" w:lastColumn="0" w:oddVBand="0" w:evenVBand="0" w:oddHBand="0" w:evenHBand="0" w:firstRowFirstColumn="0" w:firstRowLastColumn="0" w:lastRowFirstColumn="0" w:lastRowLastColumn="0"/>
            <w:tcW w:w="792" w:type="dxa"/>
            <w:vMerge/>
            <w:hideMark/>
          </w:tcPr>
          <w:p w14:paraId="4C5423F3" w14:textId="77777777" w:rsidR="008C7CF0" w:rsidRPr="00B95A9D" w:rsidRDefault="008C7CF0" w:rsidP="005A7661">
            <w:pPr>
              <w:rPr>
                <w:rFonts w:asciiTheme="minorHAnsi" w:hAnsiTheme="minorHAnsi" w:cstheme="minorHAnsi"/>
                <w:szCs w:val="20"/>
                <w:lang w:eastAsia="fr-FR" w:bidi="ar-SA"/>
              </w:rPr>
            </w:pPr>
          </w:p>
        </w:tc>
        <w:tc>
          <w:tcPr>
            <w:tcW w:w="2747" w:type="dxa"/>
            <w:vMerge/>
            <w:hideMark/>
          </w:tcPr>
          <w:p w14:paraId="52F40B73" w14:textId="77777777" w:rsidR="008C7CF0" w:rsidRPr="00B95A9D" w:rsidRDefault="008C7CF0" w:rsidP="005A766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p>
        </w:tc>
        <w:tc>
          <w:tcPr>
            <w:tcW w:w="1843" w:type="dxa"/>
            <w:hideMark/>
          </w:tcPr>
          <w:p w14:paraId="77682360" w14:textId="77777777" w:rsidR="008C7CF0" w:rsidRPr="00B95A9D" w:rsidRDefault="008C7CF0" w:rsidP="005A766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Cs w:val="20"/>
                <w:lang w:eastAsia="fr-FR" w:bidi="ar-SA"/>
              </w:rPr>
            </w:pPr>
            <w:r w:rsidRPr="00B95A9D">
              <w:rPr>
                <w:rFonts w:asciiTheme="minorHAnsi" w:hAnsiTheme="minorHAnsi" w:cstheme="minorHAnsi"/>
                <w:b/>
                <w:bCs/>
                <w:szCs w:val="20"/>
                <w:lang w:eastAsia="fr-FR" w:bidi="ar-SA"/>
              </w:rPr>
              <w:t>Étendue</w:t>
            </w:r>
          </w:p>
        </w:tc>
        <w:tc>
          <w:tcPr>
            <w:tcW w:w="2436" w:type="dxa"/>
          </w:tcPr>
          <w:p w14:paraId="71220997" w14:textId="47EAC8D4" w:rsidR="008C7CF0" w:rsidRPr="00B95A9D" w:rsidRDefault="00507931" w:rsidP="005A766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Pr>
                <w:rFonts w:asciiTheme="minorHAnsi" w:hAnsiTheme="minorHAnsi" w:cstheme="minorHAnsi"/>
                <w:szCs w:val="20"/>
                <w:lang w:eastAsia="fr-FR" w:bidi="ar-SA"/>
              </w:rPr>
              <w:t>L</w:t>
            </w:r>
            <w:r w:rsidRPr="00507931">
              <w:rPr>
                <w:rFonts w:asciiTheme="minorHAnsi" w:hAnsiTheme="minorHAnsi" w:cstheme="minorHAnsi"/>
                <w:szCs w:val="20"/>
                <w:lang w:eastAsia="fr-FR" w:bidi="ar-SA"/>
              </w:rPr>
              <w:t>imitée au périmètre du chantier et aux installations temporaires</w:t>
            </w:r>
          </w:p>
        </w:tc>
        <w:tc>
          <w:tcPr>
            <w:tcW w:w="1242" w:type="dxa"/>
          </w:tcPr>
          <w:p w14:paraId="41D6DF77" w14:textId="6AD60963" w:rsidR="008C7CF0" w:rsidRPr="00B95A9D" w:rsidRDefault="00507931" w:rsidP="005A766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Cs w:val="20"/>
                <w:lang w:eastAsia="fr-FR" w:bidi="ar-SA"/>
              </w:rPr>
            </w:pPr>
            <w:r>
              <w:rPr>
                <w:rFonts w:asciiTheme="minorHAnsi" w:hAnsiTheme="minorHAnsi" w:cstheme="minorHAnsi"/>
                <w:b/>
                <w:bCs/>
                <w:szCs w:val="20"/>
                <w:lang w:eastAsia="fr-FR" w:bidi="ar-SA"/>
              </w:rPr>
              <w:t>Locale</w:t>
            </w:r>
          </w:p>
        </w:tc>
      </w:tr>
      <w:tr w:rsidR="008C7CF0" w:rsidRPr="00B95A9D" w14:paraId="3B02AB4C" w14:textId="77777777" w:rsidTr="005A7661">
        <w:tc>
          <w:tcPr>
            <w:cnfStyle w:val="001000000000" w:firstRow="0" w:lastRow="0" w:firstColumn="1" w:lastColumn="0" w:oddVBand="0" w:evenVBand="0" w:oddHBand="0" w:evenHBand="0" w:firstRowFirstColumn="0" w:firstRowLastColumn="0" w:lastRowFirstColumn="0" w:lastRowLastColumn="0"/>
            <w:tcW w:w="792" w:type="dxa"/>
            <w:vMerge/>
            <w:hideMark/>
          </w:tcPr>
          <w:p w14:paraId="3767BB25" w14:textId="77777777" w:rsidR="008C7CF0" w:rsidRPr="00B95A9D" w:rsidRDefault="008C7CF0" w:rsidP="005A7661">
            <w:pPr>
              <w:rPr>
                <w:rFonts w:asciiTheme="minorHAnsi" w:hAnsiTheme="minorHAnsi" w:cstheme="minorHAnsi"/>
                <w:szCs w:val="20"/>
                <w:lang w:eastAsia="fr-FR" w:bidi="ar-SA"/>
              </w:rPr>
            </w:pPr>
          </w:p>
        </w:tc>
        <w:tc>
          <w:tcPr>
            <w:tcW w:w="2747" w:type="dxa"/>
            <w:vMerge/>
            <w:hideMark/>
          </w:tcPr>
          <w:p w14:paraId="21834A18" w14:textId="77777777" w:rsidR="008C7CF0" w:rsidRPr="00B95A9D" w:rsidRDefault="008C7CF0" w:rsidP="005A766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p>
        </w:tc>
        <w:tc>
          <w:tcPr>
            <w:tcW w:w="1843" w:type="dxa"/>
            <w:hideMark/>
          </w:tcPr>
          <w:p w14:paraId="44BE316B" w14:textId="77777777" w:rsidR="008C7CF0" w:rsidRPr="00B95A9D" w:rsidRDefault="008C7CF0" w:rsidP="005A766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Cs w:val="20"/>
                <w:lang w:eastAsia="fr-FR" w:bidi="ar-SA"/>
              </w:rPr>
            </w:pPr>
            <w:r w:rsidRPr="00B95A9D">
              <w:rPr>
                <w:rFonts w:asciiTheme="minorHAnsi" w:hAnsiTheme="minorHAnsi" w:cstheme="minorHAnsi"/>
                <w:b/>
                <w:bCs/>
                <w:szCs w:val="20"/>
                <w:lang w:eastAsia="fr-FR" w:bidi="ar-SA"/>
              </w:rPr>
              <w:t>Durée</w:t>
            </w:r>
          </w:p>
        </w:tc>
        <w:tc>
          <w:tcPr>
            <w:tcW w:w="2436" w:type="dxa"/>
          </w:tcPr>
          <w:p w14:paraId="4F7AA046" w14:textId="081DC193" w:rsidR="008C7CF0" w:rsidRPr="00B95A9D" w:rsidRDefault="00507931" w:rsidP="005A766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sidRPr="00507931">
              <w:rPr>
                <w:rFonts w:asciiTheme="minorHAnsi" w:hAnsiTheme="minorHAnsi" w:cstheme="minorHAnsi"/>
                <w:szCs w:val="20"/>
                <w:lang w:eastAsia="fr-FR" w:bidi="ar-SA"/>
              </w:rPr>
              <w:t>Temporaire, limitée à la durée des travaux</w:t>
            </w:r>
          </w:p>
        </w:tc>
        <w:tc>
          <w:tcPr>
            <w:tcW w:w="1242" w:type="dxa"/>
          </w:tcPr>
          <w:p w14:paraId="2E63856E" w14:textId="4501C40F" w:rsidR="008C7CF0" w:rsidRPr="00B95A9D" w:rsidRDefault="00507931" w:rsidP="005A766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Cs w:val="20"/>
                <w:lang w:eastAsia="fr-FR" w:bidi="ar-SA"/>
              </w:rPr>
            </w:pPr>
            <w:r>
              <w:rPr>
                <w:rFonts w:asciiTheme="minorHAnsi" w:hAnsiTheme="minorHAnsi" w:cstheme="minorHAnsi"/>
                <w:b/>
                <w:bCs/>
                <w:szCs w:val="20"/>
                <w:lang w:eastAsia="fr-FR" w:bidi="ar-SA"/>
              </w:rPr>
              <w:t>Court terme</w:t>
            </w:r>
          </w:p>
        </w:tc>
      </w:tr>
      <w:tr w:rsidR="008C7CF0" w:rsidRPr="00B95A9D" w14:paraId="658F857F" w14:textId="77777777" w:rsidTr="005A7661">
        <w:tc>
          <w:tcPr>
            <w:cnfStyle w:val="001000000000" w:firstRow="0" w:lastRow="0" w:firstColumn="1" w:lastColumn="0" w:oddVBand="0" w:evenVBand="0" w:oddHBand="0" w:evenHBand="0" w:firstRowFirstColumn="0" w:firstRowLastColumn="0" w:lastRowFirstColumn="0" w:lastRowLastColumn="0"/>
            <w:tcW w:w="792" w:type="dxa"/>
            <w:vMerge/>
            <w:hideMark/>
          </w:tcPr>
          <w:p w14:paraId="70725062" w14:textId="77777777" w:rsidR="008C7CF0" w:rsidRPr="00B95A9D" w:rsidRDefault="008C7CF0" w:rsidP="005A7661">
            <w:pPr>
              <w:rPr>
                <w:rFonts w:asciiTheme="minorHAnsi" w:hAnsiTheme="minorHAnsi" w:cstheme="minorHAnsi"/>
                <w:szCs w:val="20"/>
                <w:lang w:eastAsia="fr-FR" w:bidi="ar-SA"/>
              </w:rPr>
            </w:pPr>
          </w:p>
        </w:tc>
        <w:tc>
          <w:tcPr>
            <w:tcW w:w="2747" w:type="dxa"/>
            <w:vMerge/>
            <w:hideMark/>
          </w:tcPr>
          <w:p w14:paraId="6C82AE45" w14:textId="77777777" w:rsidR="008C7CF0" w:rsidRPr="00B95A9D" w:rsidRDefault="008C7CF0" w:rsidP="005A766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p>
        </w:tc>
        <w:tc>
          <w:tcPr>
            <w:tcW w:w="1843" w:type="dxa"/>
            <w:hideMark/>
          </w:tcPr>
          <w:p w14:paraId="6C6471D8" w14:textId="77777777" w:rsidR="008C7CF0" w:rsidRPr="00B95A9D" w:rsidRDefault="008C7CF0" w:rsidP="005A766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Cs w:val="20"/>
                <w:lang w:eastAsia="fr-FR" w:bidi="ar-SA"/>
              </w:rPr>
            </w:pPr>
            <w:r w:rsidRPr="00B95A9D">
              <w:rPr>
                <w:rFonts w:asciiTheme="minorHAnsi" w:hAnsiTheme="minorHAnsi" w:cstheme="minorHAnsi"/>
                <w:b/>
                <w:bCs/>
                <w:szCs w:val="20"/>
                <w:lang w:eastAsia="fr-FR" w:bidi="ar-SA"/>
              </w:rPr>
              <w:t>Fréquence</w:t>
            </w:r>
          </w:p>
        </w:tc>
        <w:tc>
          <w:tcPr>
            <w:tcW w:w="2436" w:type="dxa"/>
          </w:tcPr>
          <w:p w14:paraId="64705125" w14:textId="7D8F8889" w:rsidR="008C7CF0" w:rsidRPr="00911A3C" w:rsidRDefault="00507931" w:rsidP="005A766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Pr>
                <w:rFonts w:asciiTheme="minorHAnsi" w:hAnsiTheme="minorHAnsi" w:cstheme="minorHAnsi"/>
                <w:szCs w:val="20"/>
                <w:lang w:eastAsia="fr-FR" w:bidi="ar-SA"/>
              </w:rPr>
              <w:t>Besoin énergétique tout au long de la phase de construction</w:t>
            </w:r>
          </w:p>
        </w:tc>
        <w:tc>
          <w:tcPr>
            <w:tcW w:w="1242" w:type="dxa"/>
          </w:tcPr>
          <w:p w14:paraId="43E5E503" w14:textId="108387EA" w:rsidR="008C7CF0" w:rsidRPr="00B95A9D" w:rsidRDefault="00507931" w:rsidP="005A766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Cs w:val="20"/>
                <w:lang w:eastAsia="fr-FR" w:bidi="ar-SA"/>
              </w:rPr>
            </w:pPr>
            <w:r>
              <w:rPr>
                <w:rFonts w:asciiTheme="minorHAnsi" w:hAnsiTheme="minorHAnsi" w:cstheme="minorHAnsi"/>
                <w:b/>
                <w:bCs/>
                <w:szCs w:val="20"/>
                <w:lang w:eastAsia="fr-FR" w:bidi="ar-SA"/>
              </w:rPr>
              <w:t>Continue</w:t>
            </w:r>
          </w:p>
        </w:tc>
      </w:tr>
      <w:tr w:rsidR="008C7CF0" w:rsidRPr="00B95A9D" w14:paraId="50FD8416" w14:textId="77777777" w:rsidTr="005A7661">
        <w:tc>
          <w:tcPr>
            <w:cnfStyle w:val="001000000000" w:firstRow="0" w:lastRow="0" w:firstColumn="1" w:lastColumn="0" w:oddVBand="0" w:evenVBand="0" w:oddHBand="0" w:evenHBand="0" w:firstRowFirstColumn="0" w:firstRowLastColumn="0" w:lastRowFirstColumn="0" w:lastRowLastColumn="0"/>
            <w:tcW w:w="792" w:type="dxa"/>
            <w:vMerge/>
            <w:hideMark/>
          </w:tcPr>
          <w:p w14:paraId="4E013812" w14:textId="77777777" w:rsidR="008C7CF0" w:rsidRPr="00B95A9D" w:rsidRDefault="008C7CF0" w:rsidP="005A7661">
            <w:pPr>
              <w:rPr>
                <w:rFonts w:asciiTheme="minorHAnsi" w:hAnsiTheme="minorHAnsi" w:cstheme="minorHAnsi"/>
                <w:szCs w:val="20"/>
                <w:lang w:eastAsia="fr-FR" w:bidi="ar-SA"/>
              </w:rPr>
            </w:pPr>
          </w:p>
        </w:tc>
        <w:tc>
          <w:tcPr>
            <w:tcW w:w="2747" w:type="dxa"/>
            <w:vMerge/>
            <w:hideMark/>
          </w:tcPr>
          <w:p w14:paraId="1FD0E9B3" w14:textId="77777777" w:rsidR="008C7CF0" w:rsidRPr="00B95A9D" w:rsidRDefault="008C7CF0" w:rsidP="005A766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p>
        </w:tc>
        <w:tc>
          <w:tcPr>
            <w:tcW w:w="1843" w:type="dxa"/>
            <w:shd w:val="clear" w:color="auto" w:fill="D9E2F3"/>
            <w:hideMark/>
          </w:tcPr>
          <w:p w14:paraId="2CA245BB" w14:textId="77777777" w:rsidR="008C7CF0" w:rsidRPr="00B95A9D" w:rsidRDefault="008C7CF0" w:rsidP="005A766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Cs w:val="20"/>
                <w:lang w:eastAsia="fr-FR" w:bidi="ar-SA"/>
              </w:rPr>
            </w:pPr>
            <w:r w:rsidRPr="00B95A9D">
              <w:rPr>
                <w:rFonts w:asciiTheme="minorHAnsi" w:hAnsiTheme="minorHAnsi" w:cstheme="minorHAnsi"/>
                <w:b/>
                <w:bCs/>
                <w:szCs w:val="20"/>
                <w:lang w:eastAsia="fr-FR" w:bidi="ar-SA"/>
              </w:rPr>
              <w:t>Intensité</w:t>
            </w:r>
          </w:p>
        </w:tc>
        <w:tc>
          <w:tcPr>
            <w:tcW w:w="2436" w:type="dxa"/>
            <w:shd w:val="clear" w:color="auto" w:fill="D9E2F3"/>
          </w:tcPr>
          <w:p w14:paraId="6859D845" w14:textId="67CB7D01" w:rsidR="008C7CF0" w:rsidRPr="00B95A9D" w:rsidRDefault="00662F07" w:rsidP="005A766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Pr>
                <w:rFonts w:asciiTheme="minorHAnsi" w:hAnsiTheme="minorHAnsi" w:cstheme="minorHAnsi"/>
                <w:szCs w:val="20"/>
                <w:lang w:eastAsia="fr-FR" w:bidi="ar-SA"/>
              </w:rPr>
              <w:t>L</w:t>
            </w:r>
            <w:r w:rsidRPr="00662F07">
              <w:rPr>
                <w:rFonts w:asciiTheme="minorHAnsi" w:hAnsiTheme="minorHAnsi" w:cstheme="minorHAnsi"/>
                <w:szCs w:val="20"/>
                <w:lang w:eastAsia="fr-FR" w:bidi="ar-SA"/>
              </w:rPr>
              <w:t>es besoins énergétiques étant modérés et les sources d’approvisionnement maîtrisées</w:t>
            </w:r>
          </w:p>
        </w:tc>
        <w:tc>
          <w:tcPr>
            <w:tcW w:w="1242" w:type="dxa"/>
            <w:shd w:val="clear" w:color="auto" w:fill="D9E2F3"/>
          </w:tcPr>
          <w:p w14:paraId="59CAB7E4" w14:textId="6EA4940B" w:rsidR="008C7CF0" w:rsidRPr="00B95A9D" w:rsidRDefault="00662F07" w:rsidP="005A766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Cs w:val="20"/>
                <w:lang w:eastAsia="fr-FR" w:bidi="ar-SA"/>
              </w:rPr>
            </w:pPr>
            <w:r>
              <w:rPr>
                <w:rFonts w:asciiTheme="minorHAnsi" w:hAnsiTheme="minorHAnsi" w:cstheme="minorHAnsi"/>
                <w:b/>
                <w:bCs/>
                <w:szCs w:val="20"/>
                <w:lang w:eastAsia="fr-FR" w:bidi="ar-SA"/>
              </w:rPr>
              <w:t>Faible</w:t>
            </w:r>
          </w:p>
        </w:tc>
      </w:tr>
      <w:tr w:rsidR="008C7CF0" w:rsidRPr="00B95A9D" w14:paraId="7765CDE6" w14:textId="77777777" w:rsidTr="005A7661">
        <w:tc>
          <w:tcPr>
            <w:cnfStyle w:val="001000000000" w:firstRow="0" w:lastRow="0" w:firstColumn="1" w:lastColumn="0" w:oddVBand="0" w:evenVBand="0" w:oddHBand="0" w:evenHBand="0" w:firstRowFirstColumn="0" w:firstRowLastColumn="0" w:lastRowFirstColumn="0" w:lastRowLastColumn="0"/>
            <w:tcW w:w="792" w:type="dxa"/>
            <w:vMerge/>
          </w:tcPr>
          <w:p w14:paraId="28C12D2A" w14:textId="77777777" w:rsidR="008C7CF0" w:rsidRPr="00B95A9D" w:rsidRDefault="008C7CF0" w:rsidP="005A7661">
            <w:pPr>
              <w:rPr>
                <w:rFonts w:asciiTheme="minorHAnsi" w:hAnsiTheme="minorHAnsi" w:cstheme="minorHAnsi"/>
                <w:szCs w:val="20"/>
                <w:lang w:eastAsia="fr-FR" w:bidi="ar-SA"/>
              </w:rPr>
            </w:pPr>
          </w:p>
        </w:tc>
        <w:tc>
          <w:tcPr>
            <w:tcW w:w="8268" w:type="dxa"/>
            <w:gridSpan w:val="4"/>
          </w:tcPr>
          <w:p w14:paraId="15EE70B0" w14:textId="77777777" w:rsidR="008C7CF0" w:rsidRPr="00B95A9D" w:rsidRDefault="008C7CF0" w:rsidP="005A7661">
            <w:pPr>
              <w:spacing w:before="0" w:after="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Cs w:val="20"/>
                <w:lang w:eastAsia="fr-FR" w:bidi="ar-SA"/>
              </w:rPr>
            </w:pPr>
          </w:p>
        </w:tc>
      </w:tr>
      <w:tr w:rsidR="008C7CF0" w:rsidRPr="00B95A9D" w14:paraId="5E3618F6" w14:textId="77777777" w:rsidTr="005A7661">
        <w:tc>
          <w:tcPr>
            <w:cnfStyle w:val="001000000000" w:firstRow="0" w:lastRow="0" w:firstColumn="1" w:lastColumn="0" w:oddVBand="0" w:evenVBand="0" w:oddHBand="0" w:evenHBand="0" w:firstRowFirstColumn="0" w:firstRowLastColumn="0" w:lastRowFirstColumn="0" w:lastRowLastColumn="0"/>
            <w:tcW w:w="792" w:type="dxa"/>
            <w:vMerge/>
          </w:tcPr>
          <w:p w14:paraId="1798F914" w14:textId="77777777" w:rsidR="008C7CF0" w:rsidRPr="00B95A9D" w:rsidRDefault="008C7CF0" w:rsidP="005A7661">
            <w:pPr>
              <w:rPr>
                <w:rFonts w:asciiTheme="minorHAnsi" w:hAnsiTheme="minorHAnsi" w:cstheme="minorHAnsi"/>
                <w:szCs w:val="20"/>
                <w:lang w:eastAsia="fr-FR" w:bidi="ar-SA"/>
              </w:rPr>
            </w:pPr>
          </w:p>
        </w:tc>
        <w:tc>
          <w:tcPr>
            <w:tcW w:w="2747" w:type="dxa"/>
            <w:shd w:val="clear" w:color="auto" w:fill="B4C6E7" w:themeFill="accent1" w:themeFillTint="66"/>
            <w:vAlign w:val="center"/>
          </w:tcPr>
          <w:p w14:paraId="629825F1" w14:textId="77777777" w:rsidR="008C7CF0" w:rsidRPr="00B95A9D" w:rsidRDefault="008C7CF0" w:rsidP="005A766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sidRPr="00B95A9D">
              <w:rPr>
                <w:rFonts w:asciiTheme="minorHAnsi" w:hAnsiTheme="minorHAnsi" w:cstheme="minorHAnsi"/>
                <w:b/>
                <w:bCs/>
                <w:szCs w:val="20"/>
              </w:rPr>
              <w:t>Intensité de l’impact</w:t>
            </w:r>
          </w:p>
        </w:tc>
        <w:tc>
          <w:tcPr>
            <w:tcW w:w="1843" w:type="dxa"/>
            <w:shd w:val="clear" w:color="auto" w:fill="B4C6E7" w:themeFill="accent1" w:themeFillTint="66"/>
            <w:vAlign w:val="center"/>
          </w:tcPr>
          <w:p w14:paraId="01F478CE" w14:textId="77777777" w:rsidR="008C7CF0" w:rsidRPr="00B95A9D" w:rsidRDefault="008C7CF0" w:rsidP="005A766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Cs w:val="20"/>
                <w:lang w:eastAsia="fr-FR" w:bidi="ar-SA"/>
              </w:rPr>
            </w:pPr>
            <w:r w:rsidRPr="00B95A9D">
              <w:rPr>
                <w:rFonts w:asciiTheme="minorHAnsi" w:hAnsiTheme="minorHAnsi" w:cstheme="minorHAnsi"/>
                <w:b/>
                <w:bCs/>
                <w:szCs w:val="20"/>
              </w:rPr>
              <w:t>Récepteurs</w:t>
            </w:r>
          </w:p>
        </w:tc>
        <w:tc>
          <w:tcPr>
            <w:tcW w:w="2436" w:type="dxa"/>
            <w:shd w:val="clear" w:color="auto" w:fill="B4C6E7" w:themeFill="accent1" w:themeFillTint="66"/>
            <w:vAlign w:val="center"/>
          </w:tcPr>
          <w:p w14:paraId="1ACB19AE" w14:textId="77777777" w:rsidR="008C7CF0" w:rsidRPr="00B95A9D" w:rsidRDefault="008C7CF0" w:rsidP="005A766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sidRPr="00B95A9D">
              <w:rPr>
                <w:rFonts w:asciiTheme="minorHAnsi" w:hAnsiTheme="minorHAnsi" w:cstheme="minorHAnsi"/>
                <w:b/>
                <w:bCs/>
                <w:szCs w:val="20"/>
              </w:rPr>
              <w:t>Sensibilité</w:t>
            </w:r>
          </w:p>
        </w:tc>
        <w:tc>
          <w:tcPr>
            <w:tcW w:w="1242" w:type="dxa"/>
            <w:shd w:val="clear" w:color="auto" w:fill="B4C6E7" w:themeFill="accent1" w:themeFillTint="66"/>
            <w:vAlign w:val="center"/>
          </w:tcPr>
          <w:p w14:paraId="7CA4ED72" w14:textId="77777777" w:rsidR="008C7CF0" w:rsidRPr="00B95A9D" w:rsidRDefault="008C7CF0" w:rsidP="005A766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Cs w:val="20"/>
                <w:lang w:eastAsia="fr-FR" w:bidi="ar-SA"/>
              </w:rPr>
            </w:pPr>
            <w:r w:rsidRPr="00B95A9D">
              <w:rPr>
                <w:rFonts w:asciiTheme="minorHAnsi" w:hAnsiTheme="minorHAnsi" w:cstheme="minorHAnsi"/>
                <w:b/>
                <w:bCs/>
                <w:szCs w:val="20"/>
              </w:rPr>
              <w:t>Importance de l’impact</w:t>
            </w:r>
          </w:p>
        </w:tc>
      </w:tr>
      <w:tr w:rsidR="008C7CF0" w:rsidRPr="00B95A9D" w14:paraId="23738EDA" w14:textId="77777777" w:rsidTr="005A7661">
        <w:tc>
          <w:tcPr>
            <w:cnfStyle w:val="001000000000" w:firstRow="0" w:lastRow="0" w:firstColumn="1" w:lastColumn="0" w:oddVBand="0" w:evenVBand="0" w:oddHBand="0" w:evenHBand="0" w:firstRowFirstColumn="0" w:firstRowLastColumn="0" w:lastRowFirstColumn="0" w:lastRowLastColumn="0"/>
            <w:tcW w:w="792" w:type="dxa"/>
            <w:vMerge/>
          </w:tcPr>
          <w:p w14:paraId="5C687A98" w14:textId="77777777" w:rsidR="008C7CF0" w:rsidRPr="00B95A9D" w:rsidRDefault="008C7CF0" w:rsidP="005A7661">
            <w:pPr>
              <w:rPr>
                <w:rFonts w:asciiTheme="minorHAnsi" w:hAnsiTheme="minorHAnsi" w:cstheme="minorHAnsi"/>
                <w:szCs w:val="20"/>
                <w:lang w:eastAsia="fr-FR" w:bidi="ar-SA"/>
              </w:rPr>
            </w:pPr>
          </w:p>
        </w:tc>
        <w:tc>
          <w:tcPr>
            <w:tcW w:w="2747" w:type="dxa"/>
            <w:vAlign w:val="center"/>
          </w:tcPr>
          <w:p w14:paraId="2F340245" w14:textId="3E8A9C26" w:rsidR="008C7CF0" w:rsidRPr="00B95A9D" w:rsidRDefault="00662F07" w:rsidP="005A766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Pr>
                <w:rFonts w:asciiTheme="minorHAnsi" w:hAnsiTheme="minorHAnsi" w:cstheme="minorHAnsi"/>
                <w:szCs w:val="20"/>
                <w:lang w:eastAsia="fr-FR" w:bidi="ar-SA"/>
              </w:rPr>
              <w:t>Faible</w:t>
            </w:r>
          </w:p>
        </w:tc>
        <w:tc>
          <w:tcPr>
            <w:tcW w:w="1843" w:type="dxa"/>
            <w:vAlign w:val="center"/>
          </w:tcPr>
          <w:p w14:paraId="7947DDDD" w14:textId="054B8D3D" w:rsidR="008C7CF0" w:rsidRPr="00CF0282" w:rsidRDefault="00662F07" w:rsidP="005A766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sidRPr="00662F07">
              <w:rPr>
                <w:rFonts w:asciiTheme="minorHAnsi" w:hAnsiTheme="minorHAnsi" w:cstheme="minorHAnsi"/>
                <w:szCs w:val="20"/>
                <w:lang w:eastAsia="fr-FR" w:bidi="ar-SA"/>
              </w:rPr>
              <w:t>Réseau public de l’ONEE</w:t>
            </w:r>
          </w:p>
        </w:tc>
        <w:tc>
          <w:tcPr>
            <w:tcW w:w="2436" w:type="dxa"/>
            <w:vAlign w:val="center"/>
          </w:tcPr>
          <w:p w14:paraId="55176E74" w14:textId="4516CE88" w:rsidR="008C7CF0" w:rsidRPr="00B95A9D" w:rsidRDefault="00662F07" w:rsidP="005A766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sidRPr="004637C7">
              <w:rPr>
                <w:rFonts w:asciiTheme="minorHAnsi" w:hAnsiTheme="minorHAnsi" w:cstheme="minorHAnsi"/>
                <w:b/>
                <w:bCs/>
                <w:szCs w:val="20"/>
                <w:lang w:eastAsia="fr-FR" w:bidi="ar-SA"/>
              </w:rPr>
              <w:t>Faible</w:t>
            </w:r>
            <w:r>
              <w:rPr>
                <w:rFonts w:asciiTheme="minorHAnsi" w:hAnsiTheme="minorHAnsi" w:cstheme="minorHAnsi"/>
                <w:szCs w:val="20"/>
                <w:lang w:eastAsia="fr-FR" w:bidi="ar-SA"/>
              </w:rPr>
              <w:t xml:space="preserve"> : </w:t>
            </w:r>
            <w:r w:rsidRPr="00662F07">
              <w:rPr>
                <w:rFonts w:asciiTheme="minorHAnsi" w:hAnsiTheme="minorHAnsi" w:cstheme="minorHAnsi"/>
                <w:szCs w:val="20"/>
                <w:lang w:eastAsia="fr-FR" w:bidi="ar-SA"/>
              </w:rPr>
              <w:t>zone déjà électrifiée et dotée d’infrastructures énergétiques</w:t>
            </w:r>
          </w:p>
        </w:tc>
        <w:tc>
          <w:tcPr>
            <w:tcW w:w="1242" w:type="dxa"/>
            <w:vAlign w:val="center"/>
          </w:tcPr>
          <w:p w14:paraId="7EF54C0D" w14:textId="388244AC" w:rsidR="008C7CF0" w:rsidRPr="00B95A9D" w:rsidRDefault="00662F07" w:rsidP="005A766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Cs w:val="20"/>
                <w:lang w:eastAsia="fr-FR" w:bidi="ar-SA"/>
              </w:rPr>
            </w:pPr>
            <w:r>
              <w:rPr>
                <w:rFonts w:asciiTheme="minorHAnsi" w:hAnsiTheme="minorHAnsi" w:cstheme="minorHAnsi"/>
                <w:b/>
                <w:bCs/>
                <w:szCs w:val="20"/>
                <w:lang w:eastAsia="fr-FR" w:bidi="ar-SA"/>
              </w:rPr>
              <w:t>Négligeable</w:t>
            </w:r>
          </w:p>
        </w:tc>
      </w:tr>
    </w:tbl>
    <w:p w14:paraId="712B7F7B" w14:textId="77777777" w:rsidR="009657FF" w:rsidRPr="00335AAA" w:rsidRDefault="009657FF" w:rsidP="004637C7"/>
    <w:p w14:paraId="3A4FFD8E" w14:textId="209EC768" w:rsidR="00CC534E" w:rsidRPr="00AD426B" w:rsidRDefault="00C7714E" w:rsidP="0001633E">
      <w:pPr>
        <w:pStyle w:val="AltTitle2"/>
        <w:numPr>
          <w:ilvl w:val="0"/>
          <w:numId w:val="106"/>
        </w:numPr>
      </w:pPr>
      <w:r w:rsidRPr="00CC534E">
        <w:t>Utilisation de matières premières</w:t>
      </w:r>
    </w:p>
    <w:p w14:paraId="0AF09E93" w14:textId="79FE62D4" w:rsidR="000B5708" w:rsidRPr="000B5708" w:rsidRDefault="000B5708" w:rsidP="004637C7">
      <w:r w:rsidRPr="000B5708">
        <w:t xml:space="preserve">Les travaux d’extension du parking </w:t>
      </w:r>
      <w:r w:rsidR="00FD5B8F" w:rsidRPr="000B5708">
        <w:t>avaient nécessité</w:t>
      </w:r>
      <w:r w:rsidRPr="000B5708">
        <w:t xml:space="preserve"> l’utilisation de matériaux de construction classiques : granulats, sable, ciment, bitume et acier.</w:t>
      </w:r>
    </w:p>
    <w:p w14:paraId="4BCF5B1F" w14:textId="06549529" w:rsidR="00121579" w:rsidRDefault="000B5708" w:rsidP="004637C7">
      <w:r w:rsidRPr="000B5708">
        <w:t>Ces matériaux seront approvisionnés exclusivement auprès de carrières et fournisseurs agréés, conformément à la réglementation nationale relative à l’exploitation des carrières</w:t>
      </w:r>
      <w:r>
        <w:t>.</w:t>
      </w:r>
    </w:p>
    <w:p w14:paraId="3BFA4F38" w14:textId="77777777" w:rsidR="006D1649" w:rsidRDefault="000B5708" w:rsidP="000B5708">
      <w:r w:rsidRPr="000B5708">
        <w:t xml:space="preserve">Aucune </w:t>
      </w:r>
      <w:r w:rsidRPr="004637C7">
        <w:t>extraction locale</w:t>
      </w:r>
      <w:r w:rsidRPr="000B5708">
        <w:t xml:space="preserve">, </w:t>
      </w:r>
      <w:r w:rsidRPr="004637C7">
        <w:t>ouverture de carrière temporaire</w:t>
      </w:r>
      <w:r w:rsidRPr="000B5708">
        <w:t xml:space="preserve"> ni </w:t>
      </w:r>
      <w:r w:rsidRPr="004637C7">
        <w:t>prélèvement de ressources naturelles sur site</w:t>
      </w:r>
      <w:r w:rsidRPr="000B5708">
        <w:t xml:space="preserve"> n’est envisagée.</w:t>
      </w:r>
    </w:p>
    <w:p w14:paraId="6BE685B8" w14:textId="5B893D5E" w:rsidR="000B5708" w:rsidRDefault="00FD5B8F" w:rsidP="000B5708">
      <w:r w:rsidRPr="00FD5B8F">
        <w:t>Compte tenu de la configuration plane du site, de la nature limitée des terrassements et de l’absence de structures en hauteur, les quantités de matériaux à mobiliser resteront faibles et proportionnées à l’échelle du projet</w:t>
      </w:r>
      <w:r>
        <w:t>.</w:t>
      </w:r>
    </w:p>
    <w:p w14:paraId="0BAC8778" w14:textId="61764ED1" w:rsidR="00C96DE9" w:rsidRPr="00C96DE9" w:rsidRDefault="00C96DE9" w:rsidP="000B5708">
      <w:r w:rsidRPr="00C96DE9">
        <w:t xml:space="preserve">L’impact est de </w:t>
      </w:r>
      <w:r w:rsidRPr="004637C7">
        <w:t>type indirect et négatif</w:t>
      </w:r>
      <w:r w:rsidRPr="00C96DE9">
        <w:t>, car il résulte de l’extraction des matières premières.</w:t>
      </w:r>
    </w:p>
    <w:p w14:paraId="4D945FC4" w14:textId="1FFE8302" w:rsidR="00C96DE9" w:rsidRPr="00C96DE9" w:rsidRDefault="00C96DE9" w:rsidP="000B5708">
      <w:r w:rsidRPr="00C96DE9">
        <w:t xml:space="preserve">Son </w:t>
      </w:r>
      <w:r w:rsidRPr="004637C7">
        <w:t>étendue spatiale</w:t>
      </w:r>
      <w:r w:rsidRPr="00C96DE9">
        <w:t xml:space="preserve"> est </w:t>
      </w:r>
      <w:r w:rsidRPr="004637C7">
        <w:t>régionale</w:t>
      </w:r>
      <w:r w:rsidRPr="00C96DE9">
        <w:t>, limitée à la zone d’approvisionnement.</w:t>
      </w:r>
    </w:p>
    <w:p w14:paraId="3D1C0112" w14:textId="77777777" w:rsidR="00C96DE9" w:rsidRPr="00C96DE9" w:rsidRDefault="00C96DE9" w:rsidP="000B5708">
      <w:r w:rsidRPr="00C96DE9">
        <w:lastRenderedPageBreak/>
        <w:t xml:space="preserve">Sa </w:t>
      </w:r>
      <w:r w:rsidRPr="004637C7">
        <w:t>durée</w:t>
      </w:r>
      <w:r w:rsidRPr="00C96DE9">
        <w:t xml:space="preserve"> est </w:t>
      </w:r>
      <w:r w:rsidRPr="004637C7">
        <w:t>temporaire</w:t>
      </w:r>
      <w:r w:rsidRPr="00C96DE9">
        <w:t>, restreinte à la période du chantier.</w:t>
      </w:r>
    </w:p>
    <w:p w14:paraId="148C4368" w14:textId="77777777" w:rsidR="00C96DE9" w:rsidRPr="00C96DE9" w:rsidRDefault="00C96DE9" w:rsidP="000B5708">
      <w:r w:rsidRPr="00C96DE9">
        <w:t xml:space="preserve">Sa </w:t>
      </w:r>
      <w:r w:rsidRPr="004637C7">
        <w:t>fréquence</w:t>
      </w:r>
      <w:r w:rsidRPr="00C96DE9">
        <w:t xml:space="preserve"> est </w:t>
      </w:r>
      <w:r w:rsidRPr="004637C7">
        <w:t>intermittente</w:t>
      </w:r>
      <w:r w:rsidRPr="00C96DE9">
        <w:t>, selon le calendrier de livraison et d’avancement des travaux.</w:t>
      </w:r>
    </w:p>
    <w:p w14:paraId="32FD63A7" w14:textId="77777777" w:rsidR="00C96DE9" w:rsidRPr="00C96DE9" w:rsidRDefault="00C96DE9" w:rsidP="000B5708">
      <w:r w:rsidRPr="00C96DE9">
        <w:t>L’</w:t>
      </w:r>
      <w:r w:rsidRPr="004637C7">
        <w:t>intensité</w:t>
      </w:r>
      <w:r w:rsidRPr="00C96DE9">
        <w:t xml:space="preserve"> est </w:t>
      </w:r>
      <w:r w:rsidRPr="004637C7">
        <w:t>faible</w:t>
      </w:r>
      <w:r w:rsidRPr="00C96DE9">
        <w:t>, car les volumes nécessaires sont réduits et proviennent de filières légales déjà opérationnelles.</w:t>
      </w:r>
    </w:p>
    <w:p w14:paraId="4E590A33" w14:textId="2CCC9C89" w:rsidR="00335AAA" w:rsidRDefault="00C96DE9" w:rsidP="000B5708">
      <w:r w:rsidRPr="00C96DE9">
        <w:t>La sensibilité du milieu reste moyenne, dans la mesure où les carrières régionales sont déjà encadrées par des autorisations administratives.</w:t>
      </w:r>
      <w:r w:rsidR="00335AAA">
        <w:br w:type="page"/>
      </w:r>
    </w:p>
    <w:p w14:paraId="409E0046" w14:textId="77777777" w:rsidR="00C96DE9" w:rsidRDefault="00C96DE9" w:rsidP="000B5708"/>
    <w:tbl>
      <w:tblPr>
        <w:tblStyle w:val="TableauGrille1Clair-Accentuation111"/>
        <w:tblW w:w="0" w:type="auto"/>
        <w:tblLayout w:type="fixed"/>
        <w:tblLook w:val="04A0" w:firstRow="1" w:lastRow="0" w:firstColumn="1" w:lastColumn="0" w:noHBand="0" w:noVBand="1"/>
      </w:tblPr>
      <w:tblGrid>
        <w:gridCol w:w="792"/>
        <w:gridCol w:w="2747"/>
        <w:gridCol w:w="1843"/>
        <w:gridCol w:w="2436"/>
        <w:gridCol w:w="1242"/>
      </w:tblGrid>
      <w:tr w:rsidR="008C7CF0" w:rsidRPr="00B95A9D" w14:paraId="2871C20C" w14:textId="77777777" w:rsidTr="005A766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2" w:type="dxa"/>
            <w:hideMark/>
          </w:tcPr>
          <w:p w14:paraId="61939D0C" w14:textId="77777777" w:rsidR="008C7CF0" w:rsidRPr="00B95A9D" w:rsidRDefault="008C7CF0" w:rsidP="005A7661">
            <w:pPr>
              <w:rPr>
                <w:rFonts w:asciiTheme="minorHAnsi" w:hAnsiTheme="minorHAnsi" w:cstheme="minorHAnsi"/>
                <w:szCs w:val="20"/>
                <w:lang w:eastAsia="fr-FR" w:bidi="ar-SA"/>
              </w:rPr>
            </w:pPr>
            <w:r w:rsidRPr="00B95A9D">
              <w:rPr>
                <w:rFonts w:asciiTheme="minorHAnsi" w:hAnsiTheme="minorHAnsi" w:cstheme="minorHAnsi"/>
                <w:szCs w:val="20"/>
                <w:lang w:eastAsia="fr-FR" w:bidi="ar-SA"/>
              </w:rPr>
              <w:t>Impact</w:t>
            </w:r>
          </w:p>
        </w:tc>
        <w:tc>
          <w:tcPr>
            <w:tcW w:w="2747" w:type="dxa"/>
            <w:hideMark/>
          </w:tcPr>
          <w:p w14:paraId="76FCCF44" w14:textId="77777777" w:rsidR="008C7CF0" w:rsidRPr="00B95A9D" w:rsidRDefault="008C7CF0" w:rsidP="005A7661">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sidRPr="00B95A9D">
              <w:rPr>
                <w:rFonts w:asciiTheme="minorHAnsi" w:hAnsiTheme="minorHAnsi" w:cstheme="minorHAnsi"/>
                <w:szCs w:val="20"/>
                <w:lang w:eastAsia="fr-FR" w:bidi="ar-SA"/>
              </w:rPr>
              <w:t>Activités génératrices</w:t>
            </w:r>
          </w:p>
        </w:tc>
        <w:tc>
          <w:tcPr>
            <w:tcW w:w="1843" w:type="dxa"/>
            <w:hideMark/>
          </w:tcPr>
          <w:p w14:paraId="5BA851D9" w14:textId="77777777" w:rsidR="008C7CF0" w:rsidRPr="00B95A9D" w:rsidRDefault="008C7CF0" w:rsidP="005A7661">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sidRPr="00B95A9D">
              <w:rPr>
                <w:rFonts w:asciiTheme="minorHAnsi" w:hAnsiTheme="minorHAnsi" w:cstheme="minorHAnsi"/>
                <w:szCs w:val="20"/>
                <w:lang w:eastAsia="fr-FR" w:bidi="ar-SA"/>
              </w:rPr>
              <w:t>Critère</w:t>
            </w:r>
          </w:p>
        </w:tc>
        <w:tc>
          <w:tcPr>
            <w:tcW w:w="2436" w:type="dxa"/>
            <w:hideMark/>
          </w:tcPr>
          <w:p w14:paraId="6358CC45" w14:textId="77777777" w:rsidR="008C7CF0" w:rsidRPr="00B95A9D" w:rsidRDefault="008C7CF0" w:rsidP="005A7661">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sidRPr="00B95A9D">
              <w:rPr>
                <w:rFonts w:asciiTheme="minorHAnsi" w:hAnsiTheme="minorHAnsi" w:cstheme="minorHAnsi"/>
                <w:szCs w:val="20"/>
                <w:lang w:eastAsia="fr-FR" w:bidi="ar-SA"/>
              </w:rPr>
              <w:t>Justification</w:t>
            </w:r>
          </w:p>
        </w:tc>
        <w:tc>
          <w:tcPr>
            <w:tcW w:w="1242" w:type="dxa"/>
            <w:hideMark/>
          </w:tcPr>
          <w:p w14:paraId="60A1561F" w14:textId="77777777" w:rsidR="008C7CF0" w:rsidRPr="00B95A9D" w:rsidRDefault="008C7CF0" w:rsidP="005A7661">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sidRPr="00B95A9D">
              <w:rPr>
                <w:rFonts w:asciiTheme="minorHAnsi" w:hAnsiTheme="minorHAnsi" w:cstheme="minorHAnsi"/>
                <w:szCs w:val="20"/>
                <w:lang w:eastAsia="fr-FR" w:bidi="ar-SA"/>
              </w:rPr>
              <w:t>Niveau</w:t>
            </w:r>
          </w:p>
        </w:tc>
      </w:tr>
      <w:tr w:rsidR="008C7CF0" w:rsidRPr="00B95A9D" w14:paraId="21905DE7" w14:textId="77777777" w:rsidTr="005A7661">
        <w:tc>
          <w:tcPr>
            <w:cnfStyle w:val="001000000000" w:firstRow="0" w:lastRow="0" w:firstColumn="1" w:lastColumn="0" w:oddVBand="0" w:evenVBand="0" w:oddHBand="0" w:evenHBand="0" w:firstRowFirstColumn="0" w:firstRowLastColumn="0" w:lastRowFirstColumn="0" w:lastRowLastColumn="0"/>
            <w:tcW w:w="792" w:type="dxa"/>
            <w:vMerge w:val="restart"/>
            <w:textDirection w:val="btLr"/>
            <w:vAlign w:val="center"/>
          </w:tcPr>
          <w:p w14:paraId="2F2E1795" w14:textId="4BD37A71" w:rsidR="008C7CF0" w:rsidRPr="00B95A9D" w:rsidRDefault="00662F07" w:rsidP="005A7661">
            <w:pPr>
              <w:ind w:left="113" w:right="113"/>
              <w:jc w:val="center"/>
              <w:rPr>
                <w:rFonts w:asciiTheme="minorHAnsi" w:hAnsiTheme="minorHAnsi" w:cstheme="minorHAnsi"/>
                <w:szCs w:val="20"/>
                <w:lang w:eastAsia="fr-FR" w:bidi="ar-SA"/>
              </w:rPr>
            </w:pPr>
            <w:r>
              <w:rPr>
                <w:rFonts w:asciiTheme="minorHAnsi" w:hAnsiTheme="minorHAnsi" w:cstheme="minorHAnsi"/>
                <w:szCs w:val="20"/>
                <w:lang w:eastAsia="fr-FR" w:bidi="ar-SA"/>
              </w:rPr>
              <w:t>Utilisation de matières premières</w:t>
            </w:r>
          </w:p>
        </w:tc>
        <w:tc>
          <w:tcPr>
            <w:tcW w:w="2747" w:type="dxa"/>
            <w:vMerge w:val="restart"/>
          </w:tcPr>
          <w:p w14:paraId="164B8513" w14:textId="7D6075F0" w:rsidR="008C7CF0" w:rsidRPr="00B95A9D" w:rsidRDefault="00662F07" w:rsidP="005A766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sidRPr="00662F07">
              <w:rPr>
                <w:rFonts w:asciiTheme="minorHAnsi" w:hAnsiTheme="minorHAnsi" w:cstheme="minorHAnsi"/>
                <w:szCs w:val="20"/>
                <w:lang w:eastAsia="fr-FR" w:bidi="ar-SA"/>
              </w:rPr>
              <w:t>Approvisionnement en granulats, sable, ciment, bitume et acier auprès de fournisseurs agréés</w:t>
            </w:r>
          </w:p>
        </w:tc>
        <w:tc>
          <w:tcPr>
            <w:tcW w:w="1843" w:type="dxa"/>
            <w:hideMark/>
          </w:tcPr>
          <w:p w14:paraId="6A3CEA7D" w14:textId="77777777" w:rsidR="008C7CF0" w:rsidRPr="00B95A9D" w:rsidRDefault="008C7CF0" w:rsidP="005A766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Cs w:val="20"/>
                <w:lang w:eastAsia="fr-FR" w:bidi="ar-SA"/>
              </w:rPr>
            </w:pPr>
            <w:r w:rsidRPr="00B95A9D">
              <w:rPr>
                <w:rFonts w:asciiTheme="minorHAnsi" w:hAnsiTheme="minorHAnsi" w:cstheme="minorHAnsi"/>
                <w:b/>
                <w:bCs/>
                <w:szCs w:val="20"/>
                <w:lang w:eastAsia="fr-FR" w:bidi="ar-SA"/>
              </w:rPr>
              <w:t>Nature</w:t>
            </w:r>
          </w:p>
        </w:tc>
        <w:tc>
          <w:tcPr>
            <w:tcW w:w="3678" w:type="dxa"/>
            <w:gridSpan w:val="2"/>
          </w:tcPr>
          <w:p w14:paraId="3DFCAD47" w14:textId="2FB50F42" w:rsidR="008C7CF0" w:rsidRPr="00B95A9D" w:rsidRDefault="00662F07" w:rsidP="005A766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Pr>
                <w:rFonts w:asciiTheme="minorHAnsi" w:hAnsiTheme="minorHAnsi" w:cstheme="minorHAnsi"/>
                <w:szCs w:val="20"/>
                <w:lang w:eastAsia="fr-FR" w:bidi="ar-SA"/>
              </w:rPr>
              <w:t>Ind</w:t>
            </w:r>
            <w:r w:rsidR="008C7CF0">
              <w:rPr>
                <w:rFonts w:asciiTheme="minorHAnsi" w:hAnsiTheme="minorHAnsi" w:cstheme="minorHAnsi"/>
                <w:szCs w:val="20"/>
                <w:lang w:eastAsia="fr-FR" w:bidi="ar-SA"/>
              </w:rPr>
              <w:t>irect négatif</w:t>
            </w:r>
          </w:p>
        </w:tc>
      </w:tr>
      <w:tr w:rsidR="008C7CF0" w:rsidRPr="00B95A9D" w14:paraId="7655F8A9" w14:textId="77777777" w:rsidTr="005A7661">
        <w:tc>
          <w:tcPr>
            <w:cnfStyle w:val="001000000000" w:firstRow="0" w:lastRow="0" w:firstColumn="1" w:lastColumn="0" w:oddVBand="0" w:evenVBand="0" w:oddHBand="0" w:evenHBand="0" w:firstRowFirstColumn="0" w:firstRowLastColumn="0" w:lastRowFirstColumn="0" w:lastRowLastColumn="0"/>
            <w:tcW w:w="792" w:type="dxa"/>
            <w:vMerge/>
            <w:hideMark/>
          </w:tcPr>
          <w:p w14:paraId="3A6F29FB" w14:textId="77777777" w:rsidR="008C7CF0" w:rsidRPr="00B95A9D" w:rsidRDefault="008C7CF0" w:rsidP="005A7661">
            <w:pPr>
              <w:rPr>
                <w:rFonts w:asciiTheme="minorHAnsi" w:hAnsiTheme="minorHAnsi" w:cstheme="minorHAnsi"/>
                <w:szCs w:val="20"/>
                <w:lang w:eastAsia="fr-FR" w:bidi="ar-SA"/>
              </w:rPr>
            </w:pPr>
          </w:p>
        </w:tc>
        <w:tc>
          <w:tcPr>
            <w:tcW w:w="2747" w:type="dxa"/>
            <w:vMerge/>
            <w:hideMark/>
          </w:tcPr>
          <w:p w14:paraId="55AA4B76" w14:textId="77777777" w:rsidR="008C7CF0" w:rsidRPr="00B95A9D" w:rsidRDefault="008C7CF0" w:rsidP="005A766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p>
        </w:tc>
        <w:tc>
          <w:tcPr>
            <w:tcW w:w="1843" w:type="dxa"/>
            <w:hideMark/>
          </w:tcPr>
          <w:p w14:paraId="011DE070" w14:textId="77777777" w:rsidR="008C7CF0" w:rsidRPr="00B95A9D" w:rsidRDefault="008C7CF0" w:rsidP="005A766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Cs w:val="20"/>
                <w:lang w:eastAsia="fr-FR" w:bidi="ar-SA"/>
              </w:rPr>
            </w:pPr>
            <w:r w:rsidRPr="00B95A9D">
              <w:rPr>
                <w:rFonts w:asciiTheme="minorHAnsi" w:hAnsiTheme="minorHAnsi" w:cstheme="minorHAnsi"/>
                <w:b/>
                <w:bCs/>
                <w:szCs w:val="20"/>
                <w:lang w:eastAsia="fr-FR" w:bidi="ar-SA"/>
              </w:rPr>
              <w:t>Étendue</w:t>
            </w:r>
          </w:p>
        </w:tc>
        <w:tc>
          <w:tcPr>
            <w:tcW w:w="2436" w:type="dxa"/>
          </w:tcPr>
          <w:p w14:paraId="7237D1BF" w14:textId="18CAE3FD" w:rsidR="008C7CF0" w:rsidRPr="00B95A9D" w:rsidRDefault="00204E82" w:rsidP="005A766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Pr>
                <w:rFonts w:asciiTheme="minorHAnsi" w:hAnsiTheme="minorHAnsi" w:cstheme="minorHAnsi"/>
                <w:szCs w:val="20"/>
                <w:lang w:eastAsia="fr-FR" w:bidi="ar-SA"/>
              </w:rPr>
              <w:t>C</w:t>
            </w:r>
            <w:r w:rsidRPr="00204E82">
              <w:rPr>
                <w:rFonts w:asciiTheme="minorHAnsi" w:hAnsiTheme="minorHAnsi" w:cstheme="minorHAnsi"/>
                <w:szCs w:val="20"/>
                <w:lang w:eastAsia="fr-FR" w:bidi="ar-SA"/>
              </w:rPr>
              <w:t>orrespondant au périmètre d’approvisionnement en matériaux auprès des carrières et fournisseurs agréés de la région.</w:t>
            </w:r>
          </w:p>
        </w:tc>
        <w:tc>
          <w:tcPr>
            <w:tcW w:w="1242" w:type="dxa"/>
          </w:tcPr>
          <w:p w14:paraId="62767AE8" w14:textId="13F7ACB8" w:rsidR="008C7CF0" w:rsidRPr="00B95A9D" w:rsidRDefault="00FA260E" w:rsidP="005A766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Cs w:val="20"/>
                <w:lang w:eastAsia="fr-FR" w:bidi="ar-SA"/>
              </w:rPr>
            </w:pPr>
            <w:r>
              <w:rPr>
                <w:rFonts w:asciiTheme="minorHAnsi" w:hAnsiTheme="minorHAnsi" w:cstheme="minorHAnsi"/>
                <w:b/>
                <w:bCs/>
                <w:szCs w:val="20"/>
                <w:lang w:eastAsia="fr-FR" w:bidi="ar-SA"/>
              </w:rPr>
              <w:t>Régionale</w:t>
            </w:r>
          </w:p>
        </w:tc>
      </w:tr>
      <w:tr w:rsidR="008C7CF0" w:rsidRPr="00B95A9D" w14:paraId="50A93CE1" w14:textId="77777777" w:rsidTr="005A7661">
        <w:tc>
          <w:tcPr>
            <w:cnfStyle w:val="001000000000" w:firstRow="0" w:lastRow="0" w:firstColumn="1" w:lastColumn="0" w:oddVBand="0" w:evenVBand="0" w:oddHBand="0" w:evenHBand="0" w:firstRowFirstColumn="0" w:firstRowLastColumn="0" w:lastRowFirstColumn="0" w:lastRowLastColumn="0"/>
            <w:tcW w:w="792" w:type="dxa"/>
            <w:vMerge/>
            <w:hideMark/>
          </w:tcPr>
          <w:p w14:paraId="5B315830" w14:textId="77777777" w:rsidR="008C7CF0" w:rsidRPr="00B95A9D" w:rsidRDefault="008C7CF0" w:rsidP="005A7661">
            <w:pPr>
              <w:rPr>
                <w:rFonts w:asciiTheme="minorHAnsi" w:hAnsiTheme="minorHAnsi" w:cstheme="minorHAnsi"/>
                <w:szCs w:val="20"/>
                <w:lang w:eastAsia="fr-FR" w:bidi="ar-SA"/>
              </w:rPr>
            </w:pPr>
          </w:p>
        </w:tc>
        <w:tc>
          <w:tcPr>
            <w:tcW w:w="2747" w:type="dxa"/>
            <w:vMerge/>
            <w:hideMark/>
          </w:tcPr>
          <w:p w14:paraId="0F111FC1" w14:textId="77777777" w:rsidR="008C7CF0" w:rsidRPr="00B95A9D" w:rsidRDefault="008C7CF0" w:rsidP="005A766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p>
        </w:tc>
        <w:tc>
          <w:tcPr>
            <w:tcW w:w="1843" w:type="dxa"/>
            <w:hideMark/>
          </w:tcPr>
          <w:p w14:paraId="1EFBDB53" w14:textId="77777777" w:rsidR="008C7CF0" w:rsidRPr="00B95A9D" w:rsidRDefault="008C7CF0" w:rsidP="005A766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Cs w:val="20"/>
                <w:lang w:eastAsia="fr-FR" w:bidi="ar-SA"/>
              </w:rPr>
            </w:pPr>
            <w:r w:rsidRPr="00B95A9D">
              <w:rPr>
                <w:rFonts w:asciiTheme="minorHAnsi" w:hAnsiTheme="minorHAnsi" w:cstheme="minorHAnsi"/>
                <w:b/>
                <w:bCs/>
                <w:szCs w:val="20"/>
                <w:lang w:eastAsia="fr-FR" w:bidi="ar-SA"/>
              </w:rPr>
              <w:t>Durée</w:t>
            </w:r>
          </w:p>
        </w:tc>
        <w:tc>
          <w:tcPr>
            <w:tcW w:w="2436" w:type="dxa"/>
          </w:tcPr>
          <w:p w14:paraId="3F19B913" w14:textId="60E146DC" w:rsidR="008C7CF0" w:rsidRPr="00B95A9D" w:rsidRDefault="00204E82" w:rsidP="005A766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sidRPr="00204E82">
              <w:rPr>
                <w:rFonts w:asciiTheme="minorHAnsi" w:hAnsiTheme="minorHAnsi" w:cstheme="minorHAnsi"/>
                <w:szCs w:val="20"/>
                <w:lang w:eastAsia="fr-FR" w:bidi="ar-SA"/>
              </w:rPr>
              <w:t>Temporaire, correspondant à la période de construction</w:t>
            </w:r>
          </w:p>
        </w:tc>
        <w:tc>
          <w:tcPr>
            <w:tcW w:w="1242" w:type="dxa"/>
          </w:tcPr>
          <w:p w14:paraId="58DDD109" w14:textId="78DACE0E" w:rsidR="008C7CF0" w:rsidRPr="00B95A9D" w:rsidRDefault="00204E82" w:rsidP="005A766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Cs w:val="20"/>
                <w:lang w:eastAsia="fr-FR" w:bidi="ar-SA"/>
              </w:rPr>
            </w:pPr>
            <w:r>
              <w:rPr>
                <w:rFonts w:asciiTheme="minorHAnsi" w:hAnsiTheme="minorHAnsi" w:cstheme="minorHAnsi"/>
                <w:b/>
                <w:bCs/>
                <w:szCs w:val="20"/>
                <w:lang w:eastAsia="fr-FR" w:bidi="ar-SA"/>
              </w:rPr>
              <w:t>Court terme</w:t>
            </w:r>
          </w:p>
        </w:tc>
      </w:tr>
      <w:tr w:rsidR="008C7CF0" w:rsidRPr="00B95A9D" w14:paraId="141A264B" w14:textId="77777777" w:rsidTr="005A7661">
        <w:tc>
          <w:tcPr>
            <w:cnfStyle w:val="001000000000" w:firstRow="0" w:lastRow="0" w:firstColumn="1" w:lastColumn="0" w:oddVBand="0" w:evenVBand="0" w:oddHBand="0" w:evenHBand="0" w:firstRowFirstColumn="0" w:firstRowLastColumn="0" w:lastRowFirstColumn="0" w:lastRowLastColumn="0"/>
            <w:tcW w:w="792" w:type="dxa"/>
            <w:vMerge/>
            <w:hideMark/>
          </w:tcPr>
          <w:p w14:paraId="07917230" w14:textId="77777777" w:rsidR="008C7CF0" w:rsidRPr="00B95A9D" w:rsidRDefault="008C7CF0" w:rsidP="005A7661">
            <w:pPr>
              <w:rPr>
                <w:rFonts w:asciiTheme="minorHAnsi" w:hAnsiTheme="minorHAnsi" w:cstheme="minorHAnsi"/>
                <w:szCs w:val="20"/>
                <w:lang w:eastAsia="fr-FR" w:bidi="ar-SA"/>
              </w:rPr>
            </w:pPr>
          </w:p>
        </w:tc>
        <w:tc>
          <w:tcPr>
            <w:tcW w:w="2747" w:type="dxa"/>
            <w:vMerge/>
            <w:hideMark/>
          </w:tcPr>
          <w:p w14:paraId="71D644DF" w14:textId="77777777" w:rsidR="008C7CF0" w:rsidRPr="00B95A9D" w:rsidRDefault="008C7CF0" w:rsidP="005A766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p>
        </w:tc>
        <w:tc>
          <w:tcPr>
            <w:tcW w:w="1843" w:type="dxa"/>
            <w:hideMark/>
          </w:tcPr>
          <w:p w14:paraId="441D0A02" w14:textId="77777777" w:rsidR="008C7CF0" w:rsidRPr="00B95A9D" w:rsidRDefault="008C7CF0" w:rsidP="005A766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Cs w:val="20"/>
                <w:lang w:eastAsia="fr-FR" w:bidi="ar-SA"/>
              </w:rPr>
            </w:pPr>
            <w:r w:rsidRPr="00B95A9D">
              <w:rPr>
                <w:rFonts w:asciiTheme="minorHAnsi" w:hAnsiTheme="minorHAnsi" w:cstheme="minorHAnsi"/>
                <w:b/>
                <w:bCs/>
                <w:szCs w:val="20"/>
                <w:lang w:eastAsia="fr-FR" w:bidi="ar-SA"/>
              </w:rPr>
              <w:t>Fréquence</w:t>
            </w:r>
          </w:p>
        </w:tc>
        <w:tc>
          <w:tcPr>
            <w:tcW w:w="2436" w:type="dxa"/>
          </w:tcPr>
          <w:p w14:paraId="2915D741" w14:textId="31E0E85F" w:rsidR="008C7CF0" w:rsidRPr="00911A3C" w:rsidRDefault="00204E82" w:rsidP="005A766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Pr>
                <w:rFonts w:asciiTheme="minorHAnsi" w:hAnsiTheme="minorHAnsi" w:cstheme="minorHAnsi"/>
                <w:szCs w:val="20"/>
                <w:lang w:eastAsia="fr-FR" w:bidi="ar-SA"/>
              </w:rPr>
              <w:t>S</w:t>
            </w:r>
            <w:r w:rsidRPr="00204E82">
              <w:rPr>
                <w:rFonts w:asciiTheme="minorHAnsi" w:hAnsiTheme="minorHAnsi" w:cstheme="minorHAnsi"/>
                <w:szCs w:val="20"/>
                <w:lang w:eastAsia="fr-FR" w:bidi="ar-SA"/>
              </w:rPr>
              <w:t>elon le calendrier de livraison et l’avancement du chantier</w:t>
            </w:r>
          </w:p>
        </w:tc>
        <w:tc>
          <w:tcPr>
            <w:tcW w:w="1242" w:type="dxa"/>
          </w:tcPr>
          <w:p w14:paraId="45EF9B00" w14:textId="6347EC7A" w:rsidR="008C7CF0" w:rsidRPr="00B95A9D" w:rsidRDefault="00204E82" w:rsidP="005A766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Cs w:val="20"/>
                <w:lang w:eastAsia="fr-FR" w:bidi="ar-SA"/>
              </w:rPr>
            </w:pPr>
            <w:r>
              <w:rPr>
                <w:rFonts w:asciiTheme="minorHAnsi" w:hAnsiTheme="minorHAnsi" w:cstheme="minorHAnsi"/>
                <w:b/>
                <w:bCs/>
                <w:szCs w:val="20"/>
                <w:lang w:eastAsia="fr-FR" w:bidi="ar-SA"/>
              </w:rPr>
              <w:t>Intermittente</w:t>
            </w:r>
          </w:p>
        </w:tc>
      </w:tr>
      <w:tr w:rsidR="008C7CF0" w:rsidRPr="00B95A9D" w14:paraId="7310E3A4" w14:textId="77777777" w:rsidTr="005A7661">
        <w:tc>
          <w:tcPr>
            <w:cnfStyle w:val="001000000000" w:firstRow="0" w:lastRow="0" w:firstColumn="1" w:lastColumn="0" w:oddVBand="0" w:evenVBand="0" w:oddHBand="0" w:evenHBand="0" w:firstRowFirstColumn="0" w:firstRowLastColumn="0" w:lastRowFirstColumn="0" w:lastRowLastColumn="0"/>
            <w:tcW w:w="792" w:type="dxa"/>
            <w:vMerge/>
            <w:hideMark/>
          </w:tcPr>
          <w:p w14:paraId="4A3BD62D" w14:textId="77777777" w:rsidR="008C7CF0" w:rsidRPr="00B95A9D" w:rsidRDefault="008C7CF0" w:rsidP="005A7661">
            <w:pPr>
              <w:rPr>
                <w:rFonts w:asciiTheme="minorHAnsi" w:hAnsiTheme="minorHAnsi" w:cstheme="minorHAnsi"/>
                <w:szCs w:val="20"/>
                <w:lang w:eastAsia="fr-FR" w:bidi="ar-SA"/>
              </w:rPr>
            </w:pPr>
          </w:p>
        </w:tc>
        <w:tc>
          <w:tcPr>
            <w:tcW w:w="2747" w:type="dxa"/>
            <w:vMerge/>
            <w:hideMark/>
          </w:tcPr>
          <w:p w14:paraId="74944866" w14:textId="77777777" w:rsidR="008C7CF0" w:rsidRPr="00B95A9D" w:rsidRDefault="008C7CF0" w:rsidP="005A766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p>
        </w:tc>
        <w:tc>
          <w:tcPr>
            <w:tcW w:w="1843" w:type="dxa"/>
            <w:shd w:val="clear" w:color="auto" w:fill="D9E2F3"/>
            <w:hideMark/>
          </w:tcPr>
          <w:p w14:paraId="77AA58E7" w14:textId="77777777" w:rsidR="008C7CF0" w:rsidRPr="00B95A9D" w:rsidRDefault="008C7CF0" w:rsidP="005A766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Cs w:val="20"/>
                <w:lang w:eastAsia="fr-FR" w:bidi="ar-SA"/>
              </w:rPr>
            </w:pPr>
            <w:r w:rsidRPr="00B95A9D">
              <w:rPr>
                <w:rFonts w:asciiTheme="minorHAnsi" w:hAnsiTheme="minorHAnsi" w:cstheme="minorHAnsi"/>
                <w:b/>
                <w:bCs/>
                <w:szCs w:val="20"/>
                <w:lang w:eastAsia="fr-FR" w:bidi="ar-SA"/>
              </w:rPr>
              <w:t>Intensité</w:t>
            </w:r>
          </w:p>
        </w:tc>
        <w:tc>
          <w:tcPr>
            <w:tcW w:w="2436" w:type="dxa"/>
            <w:shd w:val="clear" w:color="auto" w:fill="D9E2F3"/>
          </w:tcPr>
          <w:p w14:paraId="5D218CD4" w14:textId="1E1371B5" w:rsidR="008C7CF0" w:rsidRPr="00B95A9D" w:rsidRDefault="005F44A9" w:rsidP="005A766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Pr>
                <w:rFonts w:asciiTheme="minorHAnsi" w:hAnsiTheme="minorHAnsi" w:cstheme="minorHAnsi"/>
                <w:szCs w:val="20"/>
                <w:lang w:eastAsia="fr-FR" w:bidi="ar-SA"/>
              </w:rPr>
              <w:t>R</w:t>
            </w:r>
            <w:r w:rsidRPr="005F44A9">
              <w:rPr>
                <w:rFonts w:asciiTheme="minorHAnsi" w:hAnsiTheme="minorHAnsi" w:cstheme="minorHAnsi"/>
                <w:szCs w:val="20"/>
                <w:lang w:eastAsia="fr-FR" w:bidi="ar-SA"/>
              </w:rPr>
              <w:t>ecours à des filières légales déjà opérationnelles</w:t>
            </w:r>
          </w:p>
        </w:tc>
        <w:tc>
          <w:tcPr>
            <w:tcW w:w="1242" w:type="dxa"/>
            <w:shd w:val="clear" w:color="auto" w:fill="D9E2F3"/>
          </w:tcPr>
          <w:p w14:paraId="6B24850B" w14:textId="3BE9AB55" w:rsidR="008C7CF0" w:rsidRPr="00B95A9D" w:rsidRDefault="005F44A9" w:rsidP="005A766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Cs w:val="20"/>
                <w:lang w:eastAsia="fr-FR" w:bidi="ar-SA"/>
              </w:rPr>
            </w:pPr>
            <w:r>
              <w:rPr>
                <w:rFonts w:asciiTheme="minorHAnsi" w:hAnsiTheme="minorHAnsi" w:cstheme="minorHAnsi"/>
                <w:b/>
                <w:bCs/>
                <w:szCs w:val="20"/>
                <w:lang w:eastAsia="fr-FR" w:bidi="ar-SA"/>
              </w:rPr>
              <w:t>Faible</w:t>
            </w:r>
          </w:p>
        </w:tc>
      </w:tr>
      <w:tr w:rsidR="008C7CF0" w:rsidRPr="00B95A9D" w14:paraId="796CD653" w14:textId="77777777" w:rsidTr="005A7661">
        <w:tc>
          <w:tcPr>
            <w:cnfStyle w:val="001000000000" w:firstRow="0" w:lastRow="0" w:firstColumn="1" w:lastColumn="0" w:oddVBand="0" w:evenVBand="0" w:oddHBand="0" w:evenHBand="0" w:firstRowFirstColumn="0" w:firstRowLastColumn="0" w:lastRowFirstColumn="0" w:lastRowLastColumn="0"/>
            <w:tcW w:w="792" w:type="dxa"/>
            <w:vMerge/>
          </w:tcPr>
          <w:p w14:paraId="69F9F31A" w14:textId="77777777" w:rsidR="008C7CF0" w:rsidRPr="00B95A9D" w:rsidRDefault="008C7CF0" w:rsidP="005A7661">
            <w:pPr>
              <w:rPr>
                <w:rFonts w:asciiTheme="minorHAnsi" w:hAnsiTheme="minorHAnsi" w:cstheme="minorHAnsi"/>
                <w:szCs w:val="20"/>
                <w:lang w:eastAsia="fr-FR" w:bidi="ar-SA"/>
              </w:rPr>
            </w:pPr>
          </w:p>
        </w:tc>
        <w:tc>
          <w:tcPr>
            <w:tcW w:w="8268" w:type="dxa"/>
            <w:gridSpan w:val="4"/>
          </w:tcPr>
          <w:p w14:paraId="34F01545" w14:textId="77777777" w:rsidR="008C7CF0" w:rsidRPr="00B95A9D" w:rsidRDefault="008C7CF0" w:rsidP="005A7661">
            <w:pPr>
              <w:spacing w:before="0" w:after="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Cs w:val="20"/>
                <w:lang w:eastAsia="fr-FR" w:bidi="ar-SA"/>
              </w:rPr>
            </w:pPr>
          </w:p>
        </w:tc>
      </w:tr>
      <w:tr w:rsidR="008C7CF0" w:rsidRPr="00B95A9D" w14:paraId="43F12889" w14:textId="77777777" w:rsidTr="005A7661">
        <w:tc>
          <w:tcPr>
            <w:cnfStyle w:val="001000000000" w:firstRow="0" w:lastRow="0" w:firstColumn="1" w:lastColumn="0" w:oddVBand="0" w:evenVBand="0" w:oddHBand="0" w:evenHBand="0" w:firstRowFirstColumn="0" w:firstRowLastColumn="0" w:lastRowFirstColumn="0" w:lastRowLastColumn="0"/>
            <w:tcW w:w="792" w:type="dxa"/>
            <w:vMerge/>
          </w:tcPr>
          <w:p w14:paraId="5F671B52" w14:textId="77777777" w:rsidR="008C7CF0" w:rsidRPr="00B95A9D" w:rsidRDefault="008C7CF0" w:rsidP="005A7661">
            <w:pPr>
              <w:rPr>
                <w:rFonts w:asciiTheme="minorHAnsi" w:hAnsiTheme="minorHAnsi" w:cstheme="minorHAnsi"/>
                <w:szCs w:val="20"/>
                <w:lang w:eastAsia="fr-FR" w:bidi="ar-SA"/>
              </w:rPr>
            </w:pPr>
          </w:p>
        </w:tc>
        <w:tc>
          <w:tcPr>
            <w:tcW w:w="2747" w:type="dxa"/>
            <w:shd w:val="clear" w:color="auto" w:fill="B4C6E7" w:themeFill="accent1" w:themeFillTint="66"/>
            <w:vAlign w:val="center"/>
          </w:tcPr>
          <w:p w14:paraId="11900BA8" w14:textId="77777777" w:rsidR="008C7CF0" w:rsidRPr="00B95A9D" w:rsidRDefault="008C7CF0" w:rsidP="005A766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sidRPr="00B95A9D">
              <w:rPr>
                <w:rFonts w:asciiTheme="minorHAnsi" w:hAnsiTheme="minorHAnsi" w:cstheme="minorHAnsi"/>
                <w:b/>
                <w:bCs/>
                <w:szCs w:val="20"/>
              </w:rPr>
              <w:t>Intensité de l’impact</w:t>
            </w:r>
          </w:p>
        </w:tc>
        <w:tc>
          <w:tcPr>
            <w:tcW w:w="1843" w:type="dxa"/>
            <w:shd w:val="clear" w:color="auto" w:fill="B4C6E7" w:themeFill="accent1" w:themeFillTint="66"/>
            <w:vAlign w:val="center"/>
          </w:tcPr>
          <w:p w14:paraId="5E1BF0F7" w14:textId="77777777" w:rsidR="008C7CF0" w:rsidRPr="00B95A9D" w:rsidRDefault="008C7CF0" w:rsidP="005A766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Cs w:val="20"/>
                <w:lang w:eastAsia="fr-FR" w:bidi="ar-SA"/>
              </w:rPr>
            </w:pPr>
            <w:r w:rsidRPr="00B95A9D">
              <w:rPr>
                <w:rFonts w:asciiTheme="minorHAnsi" w:hAnsiTheme="minorHAnsi" w:cstheme="minorHAnsi"/>
                <w:b/>
                <w:bCs/>
                <w:szCs w:val="20"/>
              </w:rPr>
              <w:t>Récepteurs</w:t>
            </w:r>
          </w:p>
        </w:tc>
        <w:tc>
          <w:tcPr>
            <w:tcW w:w="2436" w:type="dxa"/>
            <w:shd w:val="clear" w:color="auto" w:fill="B4C6E7" w:themeFill="accent1" w:themeFillTint="66"/>
            <w:vAlign w:val="center"/>
          </w:tcPr>
          <w:p w14:paraId="70F811C3" w14:textId="77777777" w:rsidR="008C7CF0" w:rsidRPr="00B95A9D" w:rsidRDefault="008C7CF0" w:rsidP="005A766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sidRPr="00B95A9D">
              <w:rPr>
                <w:rFonts w:asciiTheme="minorHAnsi" w:hAnsiTheme="minorHAnsi" w:cstheme="minorHAnsi"/>
                <w:b/>
                <w:bCs/>
                <w:szCs w:val="20"/>
              </w:rPr>
              <w:t>Sensibilité</w:t>
            </w:r>
          </w:p>
        </w:tc>
        <w:tc>
          <w:tcPr>
            <w:tcW w:w="1242" w:type="dxa"/>
            <w:shd w:val="clear" w:color="auto" w:fill="B4C6E7" w:themeFill="accent1" w:themeFillTint="66"/>
            <w:vAlign w:val="center"/>
          </w:tcPr>
          <w:p w14:paraId="77CE6477" w14:textId="77777777" w:rsidR="008C7CF0" w:rsidRPr="00B95A9D" w:rsidRDefault="008C7CF0" w:rsidP="005A766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Cs w:val="20"/>
                <w:lang w:eastAsia="fr-FR" w:bidi="ar-SA"/>
              </w:rPr>
            </w:pPr>
            <w:r w:rsidRPr="00B95A9D">
              <w:rPr>
                <w:rFonts w:asciiTheme="minorHAnsi" w:hAnsiTheme="minorHAnsi" w:cstheme="minorHAnsi"/>
                <w:b/>
                <w:bCs/>
                <w:szCs w:val="20"/>
              </w:rPr>
              <w:t>Importance de l’impact</w:t>
            </w:r>
          </w:p>
        </w:tc>
      </w:tr>
      <w:tr w:rsidR="008C7CF0" w:rsidRPr="00B95A9D" w14:paraId="3E228524" w14:textId="77777777" w:rsidTr="005A7661">
        <w:tc>
          <w:tcPr>
            <w:cnfStyle w:val="001000000000" w:firstRow="0" w:lastRow="0" w:firstColumn="1" w:lastColumn="0" w:oddVBand="0" w:evenVBand="0" w:oddHBand="0" w:evenHBand="0" w:firstRowFirstColumn="0" w:firstRowLastColumn="0" w:lastRowFirstColumn="0" w:lastRowLastColumn="0"/>
            <w:tcW w:w="792" w:type="dxa"/>
            <w:vMerge/>
          </w:tcPr>
          <w:p w14:paraId="15ACDAA0" w14:textId="77777777" w:rsidR="008C7CF0" w:rsidRPr="00B95A9D" w:rsidRDefault="008C7CF0" w:rsidP="005A7661">
            <w:pPr>
              <w:rPr>
                <w:rFonts w:asciiTheme="minorHAnsi" w:hAnsiTheme="minorHAnsi" w:cstheme="minorHAnsi"/>
                <w:szCs w:val="20"/>
                <w:lang w:eastAsia="fr-FR" w:bidi="ar-SA"/>
              </w:rPr>
            </w:pPr>
          </w:p>
        </w:tc>
        <w:tc>
          <w:tcPr>
            <w:tcW w:w="2747" w:type="dxa"/>
            <w:vAlign w:val="center"/>
          </w:tcPr>
          <w:p w14:paraId="234BF136" w14:textId="56922E13" w:rsidR="008C7CF0" w:rsidRPr="00B95A9D" w:rsidRDefault="005F44A9" w:rsidP="005A766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Pr>
                <w:rFonts w:asciiTheme="minorHAnsi" w:hAnsiTheme="minorHAnsi" w:cstheme="minorHAnsi"/>
                <w:szCs w:val="20"/>
                <w:lang w:eastAsia="fr-FR" w:bidi="ar-SA"/>
              </w:rPr>
              <w:t>Faible</w:t>
            </w:r>
          </w:p>
        </w:tc>
        <w:tc>
          <w:tcPr>
            <w:tcW w:w="1843" w:type="dxa"/>
            <w:vAlign w:val="center"/>
          </w:tcPr>
          <w:p w14:paraId="33716A3A" w14:textId="0D6800EA" w:rsidR="008C7CF0" w:rsidRPr="00CF0282" w:rsidRDefault="005F44A9" w:rsidP="005A766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sidRPr="005F44A9">
              <w:rPr>
                <w:rFonts w:asciiTheme="minorHAnsi" w:hAnsiTheme="minorHAnsi" w:cstheme="minorHAnsi"/>
                <w:szCs w:val="20"/>
                <w:lang w:eastAsia="fr-FR" w:bidi="ar-SA"/>
              </w:rPr>
              <w:t>Ressources naturelles (carrières agréées)</w:t>
            </w:r>
          </w:p>
        </w:tc>
        <w:tc>
          <w:tcPr>
            <w:tcW w:w="2436" w:type="dxa"/>
            <w:vAlign w:val="center"/>
          </w:tcPr>
          <w:p w14:paraId="21050319" w14:textId="1586840A" w:rsidR="008C7CF0" w:rsidRPr="00B95A9D" w:rsidRDefault="005F44A9" w:rsidP="005A766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sidRPr="004637C7">
              <w:rPr>
                <w:rFonts w:asciiTheme="minorHAnsi" w:hAnsiTheme="minorHAnsi" w:cstheme="minorHAnsi"/>
                <w:b/>
                <w:bCs/>
                <w:szCs w:val="20"/>
                <w:lang w:eastAsia="fr-FR" w:bidi="ar-SA"/>
              </w:rPr>
              <w:t>Moyenne </w:t>
            </w:r>
            <w:r>
              <w:rPr>
                <w:rFonts w:asciiTheme="minorHAnsi" w:hAnsiTheme="minorHAnsi" w:cstheme="minorHAnsi"/>
                <w:szCs w:val="20"/>
                <w:lang w:eastAsia="fr-FR" w:bidi="ar-SA"/>
              </w:rPr>
              <w:t xml:space="preserve">: </w:t>
            </w:r>
            <w:r w:rsidRPr="005F44A9">
              <w:rPr>
                <w:rFonts w:asciiTheme="minorHAnsi" w:hAnsiTheme="minorHAnsi" w:cstheme="minorHAnsi"/>
                <w:szCs w:val="20"/>
                <w:lang w:eastAsia="fr-FR" w:bidi="ar-SA"/>
              </w:rPr>
              <w:t>car les carrières régionales sont encadrées administrativement</w:t>
            </w:r>
          </w:p>
        </w:tc>
        <w:tc>
          <w:tcPr>
            <w:tcW w:w="1242" w:type="dxa"/>
            <w:vAlign w:val="center"/>
          </w:tcPr>
          <w:p w14:paraId="58548942" w14:textId="4D1E0470" w:rsidR="008C7CF0" w:rsidRPr="00B95A9D" w:rsidRDefault="005F44A9" w:rsidP="005A766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Cs w:val="20"/>
                <w:lang w:eastAsia="fr-FR" w:bidi="ar-SA"/>
              </w:rPr>
            </w:pPr>
            <w:r>
              <w:rPr>
                <w:rFonts w:asciiTheme="minorHAnsi" w:hAnsiTheme="minorHAnsi" w:cstheme="minorHAnsi"/>
                <w:b/>
                <w:bCs/>
                <w:szCs w:val="20"/>
                <w:lang w:eastAsia="fr-FR" w:bidi="ar-SA"/>
              </w:rPr>
              <w:t>Mineure</w:t>
            </w:r>
          </w:p>
        </w:tc>
      </w:tr>
    </w:tbl>
    <w:p w14:paraId="387848E5" w14:textId="77777777" w:rsidR="00C57A0C" w:rsidRDefault="00C57A0C" w:rsidP="0001633E">
      <w:pPr>
        <w:pStyle w:val="AltTitle2"/>
        <w:numPr>
          <w:ilvl w:val="0"/>
          <w:numId w:val="106"/>
        </w:numPr>
        <w:sectPr w:rsidR="00C57A0C" w:rsidSect="00FB08CF">
          <w:pgSz w:w="11906" w:h="16838"/>
          <w:pgMar w:top="1418" w:right="1418" w:bottom="1276" w:left="1418" w:header="680" w:footer="680" w:gutter="0"/>
          <w:cols w:space="708"/>
          <w:docGrid w:linePitch="360"/>
        </w:sectPr>
      </w:pPr>
    </w:p>
    <w:p w14:paraId="680B823E" w14:textId="77777777" w:rsidR="00121579" w:rsidRPr="00E15648" w:rsidRDefault="00121579" w:rsidP="004637C7">
      <w:pPr>
        <w:pStyle w:val="Title5"/>
      </w:pPr>
      <w:r>
        <w:lastRenderedPageBreak/>
        <w:t xml:space="preserve">Mesures d’atténuation </w:t>
      </w:r>
    </w:p>
    <w:p w14:paraId="1C9081CE" w14:textId="388D67D9" w:rsidR="00121579" w:rsidRPr="002A0860" w:rsidRDefault="00121579" w:rsidP="00121579">
      <w:pPr>
        <w:pStyle w:val="Lgende"/>
        <w:keepNext/>
        <w:rPr>
          <w:lang w:val="fr-FR"/>
        </w:rPr>
      </w:pPr>
      <w:bookmarkStart w:id="466" w:name="_Toc213404381"/>
      <w:r w:rsidRPr="002A0860">
        <w:rPr>
          <w:lang w:val="fr-FR"/>
        </w:rPr>
        <w:t xml:space="preserve">Tableau </w:t>
      </w:r>
      <w:r>
        <w:fldChar w:fldCharType="begin"/>
      </w:r>
      <w:r w:rsidRPr="002A0860">
        <w:rPr>
          <w:lang w:val="fr-FR"/>
        </w:rPr>
        <w:instrText xml:space="preserve"> SEQ Tableau \* ARABIC </w:instrText>
      </w:r>
      <w:r>
        <w:fldChar w:fldCharType="separate"/>
      </w:r>
      <w:r w:rsidR="00274E71">
        <w:rPr>
          <w:noProof/>
          <w:lang w:val="fr-FR"/>
        </w:rPr>
        <w:t>59</w:t>
      </w:r>
      <w:r>
        <w:fldChar w:fldCharType="end"/>
      </w:r>
      <w:r>
        <w:rPr>
          <w:noProof/>
          <w:lang w:val="fr-FR"/>
        </w:rPr>
        <w:t xml:space="preserve">: </w:t>
      </w:r>
      <w:r w:rsidRPr="002A0860">
        <w:rPr>
          <w:lang w:val="fr-FR"/>
        </w:rPr>
        <w:t xml:space="preserve">Utilisation et accès aux ressources – Mesures d’atténuation en phase </w:t>
      </w:r>
      <w:r w:rsidR="003E1C5F">
        <w:rPr>
          <w:lang w:val="fr-FR"/>
        </w:rPr>
        <w:t>construction</w:t>
      </w:r>
      <w:bookmarkEnd w:id="466"/>
    </w:p>
    <w:tbl>
      <w:tblPr>
        <w:tblStyle w:val="TableauGrille1Clair-Accentuation111"/>
        <w:tblW w:w="0" w:type="auto"/>
        <w:tblLook w:val="04A0" w:firstRow="1" w:lastRow="0" w:firstColumn="1" w:lastColumn="0" w:noHBand="0" w:noVBand="1"/>
      </w:tblPr>
      <w:tblGrid>
        <w:gridCol w:w="1237"/>
        <w:gridCol w:w="1350"/>
        <w:gridCol w:w="3084"/>
        <w:gridCol w:w="1844"/>
        <w:gridCol w:w="992"/>
        <w:gridCol w:w="1608"/>
        <w:gridCol w:w="717"/>
        <w:gridCol w:w="1468"/>
        <w:gridCol w:w="1834"/>
      </w:tblGrid>
      <w:tr w:rsidR="00C04241" w:rsidRPr="00B40D36" w14:paraId="48A287CE" w14:textId="77777777" w:rsidTr="003D4343">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0" w:type="auto"/>
            <w:hideMark/>
          </w:tcPr>
          <w:p w14:paraId="69E8612C" w14:textId="77777777" w:rsidR="004E1F67" w:rsidRPr="00AA22F2" w:rsidRDefault="004E1F67" w:rsidP="004E1F67">
            <w:pPr>
              <w:rPr>
                <w:szCs w:val="20"/>
              </w:rPr>
            </w:pPr>
            <w:r w:rsidRPr="00AA22F2">
              <w:rPr>
                <w:szCs w:val="20"/>
              </w:rPr>
              <w:t>Impact / Risque</w:t>
            </w:r>
          </w:p>
        </w:tc>
        <w:tc>
          <w:tcPr>
            <w:tcW w:w="0" w:type="auto"/>
            <w:hideMark/>
          </w:tcPr>
          <w:p w14:paraId="12E4C468" w14:textId="77777777" w:rsidR="004E1F67" w:rsidRPr="00AA22F2" w:rsidRDefault="004E1F67" w:rsidP="004E1F67">
            <w:pPr>
              <w:cnfStyle w:val="100000000000" w:firstRow="1" w:lastRow="0" w:firstColumn="0" w:lastColumn="0" w:oddVBand="0" w:evenVBand="0" w:oddHBand="0" w:evenHBand="0" w:firstRowFirstColumn="0" w:firstRowLastColumn="0" w:lastRowFirstColumn="0" w:lastRowLastColumn="0"/>
              <w:rPr>
                <w:szCs w:val="20"/>
              </w:rPr>
            </w:pPr>
            <w:r w:rsidRPr="00AA22F2">
              <w:rPr>
                <w:szCs w:val="20"/>
              </w:rPr>
              <w:t>Niveau hiérarchique</w:t>
            </w:r>
          </w:p>
        </w:tc>
        <w:tc>
          <w:tcPr>
            <w:tcW w:w="0" w:type="auto"/>
            <w:hideMark/>
          </w:tcPr>
          <w:p w14:paraId="6D4F8113" w14:textId="77777777" w:rsidR="004E1F67" w:rsidRPr="00AA22F2" w:rsidRDefault="004E1F67" w:rsidP="004E1F67">
            <w:pPr>
              <w:cnfStyle w:val="100000000000" w:firstRow="1" w:lastRow="0" w:firstColumn="0" w:lastColumn="0" w:oddVBand="0" w:evenVBand="0" w:oddHBand="0" w:evenHBand="0" w:firstRowFirstColumn="0" w:firstRowLastColumn="0" w:lastRowFirstColumn="0" w:lastRowLastColumn="0"/>
              <w:rPr>
                <w:szCs w:val="20"/>
              </w:rPr>
            </w:pPr>
            <w:r w:rsidRPr="00AA22F2">
              <w:rPr>
                <w:szCs w:val="20"/>
              </w:rPr>
              <w:t>Mesure d’atténuation / de gestion</w:t>
            </w:r>
          </w:p>
        </w:tc>
        <w:tc>
          <w:tcPr>
            <w:tcW w:w="0" w:type="auto"/>
            <w:hideMark/>
          </w:tcPr>
          <w:p w14:paraId="1E17B80E" w14:textId="77777777" w:rsidR="004E1F67" w:rsidRPr="00AA22F2" w:rsidRDefault="004E1F67" w:rsidP="004E1F67">
            <w:pPr>
              <w:cnfStyle w:val="100000000000" w:firstRow="1" w:lastRow="0" w:firstColumn="0" w:lastColumn="0" w:oddVBand="0" w:evenVBand="0" w:oddHBand="0" w:evenHBand="0" w:firstRowFirstColumn="0" w:firstRowLastColumn="0" w:lastRowFirstColumn="0" w:lastRowLastColumn="0"/>
              <w:rPr>
                <w:szCs w:val="20"/>
              </w:rPr>
            </w:pPr>
            <w:r w:rsidRPr="00AA22F2">
              <w:rPr>
                <w:szCs w:val="20"/>
              </w:rPr>
              <w:t>Indicateurs de performance (KPI)</w:t>
            </w:r>
          </w:p>
        </w:tc>
        <w:tc>
          <w:tcPr>
            <w:tcW w:w="0" w:type="auto"/>
            <w:hideMark/>
          </w:tcPr>
          <w:p w14:paraId="0EFCB832" w14:textId="77777777" w:rsidR="004E1F67" w:rsidRPr="00AA22F2" w:rsidRDefault="004E1F67" w:rsidP="004E1F67">
            <w:pPr>
              <w:cnfStyle w:val="100000000000" w:firstRow="1" w:lastRow="0" w:firstColumn="0" w:lastColumn="0" w:oddVBand="0" w:evenVBand="0" w:oddHBand="0" w:evenHBand="0" w:firstRowFirstColumn="0" w:firstRowLastColumn="0" w:lastRowFirstColumn="0" w:lastRowLastColumn="0"/>
              <w:rPr>
                <w:szCs w:val="20"/>
              </w:rPr>
            </w:pPr>
            <w:r w:rsidRPr="00AA22F2">
              <w:rPr>
                <w:szCs w:val="20"/>
              </w:rPr>
              <w:t>Mise en œuvre</w:t>
            </w:r>
          </w:p>
        </w:tc>
        <w:tc>
          <w:tcPr>
            <w:tcW w:w="0" w:type="auto"/>
            <w:hideMark/>
          </w:tcPr>
          <w:p w14:paraId="1033181B" w14:textId="77777777" w:rsidR="004E1F67" w:rsidRPr="00AA22F2" w:rsidRDefault="004E1F67" w:rsidP="004E1F67">
            <w:pPr>
              <w:cnfStyle w:val="100000000000" w:firstRow="1" w:lastRow="0" w:firstColumn="0" w:lastColumn="0" w:oddVBand="0" w:evenVBand="0" w:oddHBand="0" w:evenHBand="0" w:firstRowFirstColumn="0" w:firstRowLastColumn="0" w:lastRowFirstColumn="0" w:lastRowLastColumn="0"/>
              <w:rPr>
                <w:szCs w:val="20"/>
              </w:rPr>
            </w:pPr>
            <w:r w:rsidRPr="00AA22F2">
              <w:rPr>
                <w:szCs w:val="20"/>
              </w:rPr>
              <w:t>Surveillance</w:t>
            </w:r>
          </w:p>
        </w:tc>
        <w:tc>
          <w:tcPr>
            <w:tcW w:w="0" w:type="auto"/>
            <w:hideMark/>
          </w:tcPr>
          <w:p w14:paraId="1330714B" w14:textId="77777777" w:rsidR="004E1F67" w:rsidRPr="00AA22F2" w:rsidRDefault="004E1F67" w:rsidP="004E1F67">
            <w:pPr>
              <w:cnfStyle w:val="100000000000" w:firstRow="1" w:lastRow="0" w:firstColumn="0" w:lastColumn="0" w:oddVBand="0" w:evenVBand="0" w:oddHBand="0" w:evenHBand="0" w:firstRowFirstColumn="0" w:firstRowLastColumn="0" w:lastRowFirstColumn="0" w:lastRowLastColumn="0"/>
              <w:rPr>
                <w:szCs w:val="20"/>
              </w:rPr>
            </w:pPr>
            <w:r w:rsidRPr="00AA22F2">
              <w:rPr>
                <w:szCs w:val="20"/>
              </w:rPr>
              <w:t>Suivi</w:t>
            </w:r>
          </w:p>
        </w:tc>
        <w:tc>
          <w:tcPr>
            <w:tcW w:w="0" w:type="auto"/>
            <w:hideMark/>
          </w:tcPr>
          <w:p w14:paraId="4477078A" w14:textId="77777777" w:rsidR="004E1F67" w:rsidRPr="00AA22F2" w:rsidRDefault="004E1F67" w:rsidP="004E1F67">
            <w:pPr>
              <w:cnfStyle w:val="100000000000" w:firstRow="1" w:lastRow="0" w:firstColumn="0" w:lastColumn="0" w:oddVBand="0" w:evenVBand="0" w:oddHBand="0" w:evenHBand="0" w:firstRowFirstColumn="0" w:firstRowLastColumn="0" w:lastRowFirstColumn="0" w:lastRowLastColumn="0"/>
              <w:rPr>
                <w:szCs w:val="20"/>
              </w:rPr>
            </w:pPr>
            <w:r w:rsidRPr="00AA22F2">
              <w:rPr>
                <w:szCs w:val="20"/>
              </w:rPr>
              <w:t>Calendrier</w:t>
            </w:r>
          </w:p>
        </w:tc>
        <w:tc>
          <w:tcPr>
            <w:tcW w:w="0" w:type="auto"/>
            <w:hideMark/>
          </w:tcPr>
          <w:p w14:paraId="256902F0" w14:textId="77777777" w:rsidR="004E1F67" w:rsidRPr="00AA22F2" w:rsidRDefault="004E1F67" w:rsidP="004E1F67">
            <w:pPr>
              <w:cnfStyle w:val="100000000000" w:firstRow="1" w:lastRow="0" w:firstColumn="0" w:lastColumn="0" w:oddVBand="0" w:evenVBand="0" w:oddHBand="0" w:evenHBand="0" w:firstRowFirstColumn="0" w:firstRowLastColumn="0" w:lastRowFirstColumn="0" w:lastRowLastColumn="0"/>
              <w:rPr>
                <w:szCs w:val="20"/>
              </w:rPr>
            </w:pPr>
            <w:r w:rsidRPr="00AA22F2">
              <w:rPr>
                <w:szCs w:val="20"/>
              </w:rPr>
              <w:t>Coût</w:t>
            </w:r>
          </w:p>
        </w:tc>
      </w:tr>
      <w:tr w:rsidR="00C04241" w:rsidRPr="00B40D36" w14:paraId="57174C34" w14:textId="77777777" w:rsidTr="004E1F67">
        <w:tc>
          <w:tcPr>
            <w:cnfStyle w:val="001000000000" w:firstRow="0" w:lastRow="0" w:firstColumn="1" w:lastColumn="0" w:oddVBand="0" w:evenVBand="0" w:oddHBand="0" w:evenHBand="0" w:firstRowFirstColumn="0" w:firstRowLastColumn="0" w:lastRowFirstColumn="0" w:lastRowLastColumn="0"/>
            <w:tcW w:w="0" w:type="auto"/>
            <w:vMerge w:val="restart"/>
            <w:hideMark/>
          </w:tcPr>
          <w:p w14:paraId="1E40C2C7" w14:textId="30AB732B" w:rsidR="00C40C47" w:rsidRPr="00AA22F2" w:rsidRDefault="00C40C47" w:rsidP="00C40C47">
            <w:pPr>
              <w:rPr>
                <w:szCs w:val="20"/>
              </w:rPr>
            </w:pPr>
            <w:r w:rsidRPr="00AA22F2">
              <w:rPr>
                <w:szCs w:val="20"/>
              </w:rPr>
              <w:t xml:space="preserve">Utilisation de l’eau </w:t>
            </w:r>
          </w:p>
        </w:tc>
        <w:tc>
          <w:tcPr>
            <w:tcW w:w="0" w:type="auto"/>
            <w:hideMark/>
          </w:tcPr>
          <w:p w14:paraId="357D1713" w14:textId="77777777" w:rsidR="00C40C47" w:rsidRPr="00AA22F2" w:rsidRDefault="00C40C47" w:rsidP="00C40C47">
            <w:pPr>
              <w:cnfStyle w:val="000000000000" w:firstRow="0" w:lastRow="0" w:firstColumn="0" w:lastColumn="0" w:oddVBand="0" w:evenVBand="0" w:oddHBand="0" w:evenHBand="0" w:firstRowFirstColumn="0" w:firstRowLastColumn="0" w:lastRowFirstColumn="0" w:lastRowLastColumn="0"/>
              <w:rPr>
                <w:szCs w:val="20"/>
              </w:rPr>
            </w:pPr>
            <w:r w:rsidRPr="00AA22F2">
              <w:rPr>
                <w:b/>
                <w:bCs/>
                <w:szCs w:val="20"/>
              </w:rPr>
              <w:t>Éviter</w:t>
            </w:r>
          </w:p>
        </w:tc>
        <w:tc>
          <w:tcPr>
            <w:tcW w:w="0" w:type="auto"/>
            <w:hideMark/>
          </w:tcPr>
          <w:p w14:paraId="3E73AB22" w14:textId="77777777" w:rsidR="00C40C47" w:rsidRPr="00AA22F2" w:rsidRDefault="00C40C47" w:rsidP="00C40C47">
            <w:pPr>
              <w:cnfStyle w:val="000000000000" w:firstRow="0" w:lastRow="0" w:firstColumn="0" w:lastColumn="0" w:oddVBand="0" w:evenVBand="0" w:oddHBand="0" w:evenHBand="0" w:firstRowFirstColumn="0" w:firstRowLastColumn="0" w:lastRowFirstColumn="0" w:lastRowLastColumn="0"/>
              <w:rPr>
                <w:szCs w:val="20"/>
              </w:rPr>
            </w:pPr>
            <w:r w:rsidRPr="00AA22F2">
              <w:rPr>
                <w:szCs w:val="20"/>
              </w:rPr>
              <w:t xml:space="preserve">Aucun prélèvement d’eau souterraine ni raccordement au réseau public ; </w:t>
            </w:r>
          </w:p>
          <w:p w14:paraId="1AEAF205" w14:textId="5D0D4803" w:rsidR="00C40C47" w:rsidRPr="00AA22F2" w:rsidRDefault="00C40C47" w:rsidP="00C40C47">
            <w:pPr>
              <w:cnfStyle w:val="000000000000" w:firstRow="0" w:lastRow="0" w:firstColumn="0" w:lastColumn="0" w:oddVBand="0" w:evenVBand="0" w:oddHBand="0" w:evenHBand="0" w:firstRowFirstColumn="0" w:firstRowLastColumn="0" w:lastRowFirstColumn="0" w:lastRowLastColumn="0"/>
              <w:rPr>
                <w:szCs w:val="20"/>
              </w:rPr>
            </w:pPr>
            <w:r w:rsidRPr="00AA22F2">
              <w:rPr>
                <w:szCs w:val="20"/>
              </w:rPr>
              <w:t>Approvisionnement par citernes mobiles provenant de points de puisage autorisés.</w:t>
            </w:r>
          </w:p>
        </w:tc>
        <w:tc>
          <w:tcPr>
            <w:tcW w:w="0" w:type="auto"/>
            <w:hideMark/>
          </w:tcPr>
          <w:p w14:paraId="09F6409D" w14:textId="77777777" w:rsidR="00C40C47" w:rsidRPr="00AA22F2" w:rsidRDefault="00C40C47" w:rsidP="00C40C47">
            <w:pPr>
              <w:cnfStyle w:val="000000000000" w:firstRow="0" w:lastRow="0" w:firstColumn="0" w:lastColumn="0" w:oddVBand="0" w:evenVBand="0" w:oddHBand="0" w:evenHBand="0" w:firstRowFirstColumn="0" w:firstRowLastColumn="0" w:lastRowFirstColumn="0" w:lastRowLastColumn="0"/>
              <w:rPr>
                <w:szCs w:val="20"/>
              </w:rPr>
            </w:pPr>
            <w:r w:rsidRPr="00AA22F2">
              <w:rPr>
                <w:szCs w:val="20"/>
              </w:rPr>
              <w:t xml:space="preserve">Existence d’autorisations de puisage ; </w:t>
            </w:r>
          </w:p>
          <w:p w14:paraId="4253738C" w14:textId="4BCC6D7E" w:rsidR="00C40C47" w:rsidRPr="00AA22F2" w:rsidRDefault="00C40C47" w:rsidP="00C40C47">
            <w:pPr>
              <w:cnfStyle w:val="000000000000" w:firstRow="0" w:lastRow="0" w:firstColumn="0" w:lastColumn="0" w:oddVBand="0" w:evenVBand="0" w:oddHBand="0" w:evenHBand="0" w:firstRowFirstColumn="0" w:firstRowLastColumn="0" w:lastRowFirstColumn="0" w:lastRowLastColumn="0"/>
              <w:rPr>
                <w:szCs w:val="20"/>
              </w:rPr>
            </w:pPr>
            <w:r w:rsidRPr="00AA22F2">
              <w:rPr>
                <w:szCs w:val="20"/>
              </w:rPr>
              <w:t>Absence de forage non autorisé.</w:t>
            </w:r>
          </w:p>
        </w:tc>
        <w:tc>
          <w:tcPr>
            <w:tcW w:w="0" w:type="auto"/>
            <w:hideMark/>
          </w:tcPr>
          <w:p w14:paraId="16849183" w14:textId="25289D6C" w:rsidR="00C40C47" w:rsidRPr="00AA22F2" w:rsidRDefault="00C40C47" w:rsidP="00C40C47">
            <w:pPr>
              <w:cnfStyle w:val="000000000000" w:firstRow="0" w:lastRow="0" w:firstColumn="0" w:lastColumn="0" w:oddVBand="0" w:evenVBand="0" w:oddHBand="0" w:evenHBand="0" w:firstRowFirstColumn="0" w:firstRowLastColumn="0" w:lastRowFirstColumn="0" w:lastRowLastColumn="0"/>
              <w:rPr>
                <w:szCs w:val="20"/>
              </w:rPr>
            </w:pPr>
            <w:r w:rsidRPr="004637C7">
              <w:rPr>
                <w:rFonts w:asciiTheme="minorHAnsi" w:hAnsiTheme="minorHAnsi" w:cstheme="minorHAnsi"/>
                <w:szCs w:val="20"/>
                <w:lang w:eastAsia="fr-FR" w:bidi="ar-SA"/>
              </w:rPr>
              <w:t>EPC et sous-traitants</w:t>
            </w:r>
          </w:p>
        </w:tc>
        <w:tc>
          <w:tcPr>
            <w:tcW w:w="0" w:type="auto"/>
            <w:hideMark/>
          </w:tcPr>
          <w:p w14:paraId="76CF0549" w14:textId="0F709812" w:rsidR="00C40C47" w:rsidRPr="00AA22F2" w:rsidRDefault="00C40C47" w:rsidP="00C40C47">
            <w:pPr>
              <w:cnfStyle w:val="000000000000" w:firstRow="0" w:lastRow="0" w:firstColumn="0" w:lastColumn="0" w:oddVBand="0" w:evenVBand="0" w:oddHBand="0" w:evenHBand="0" w:firstRowFirstColumn="0" w:firstRowLastColumn="0" w:lastRowFirstColumn="0" w:lastRowLastColumn="0"/>
              <w:rPr>
                <w:szCs w:val="20"/>
              </w:rPr>
            </w:pPr>
            <w:r w:rsidRPr="00BC1745">
              <w:rPr>
                <w:szCs w:val="20"/>
              </w:rPr>
              <w:t>Bureau de contrôle / Consultant de supervision mandaté par l’ONDA</w:t>
            </w:r>
          </w:p>
        </w:tc>
        <w:tc>
          <w:tcPr>
            <w:tcW w:w="0" w:type="auto"/>
            <w:hideMark/>
          </w:tcPr>
          <w:p w14:paraId="7F0AB248" w14:textId="565FE8DC" w:rsidR="00C40C47" w:rsidRPr="00AA22F2" w:rsidRDefault="00C40C47" w:rsidP="00C40C47">
            <w:pPr>
              <w:cnfStyle w:val="000000000000" w:firstRow="0" w:lastRow="0" w:firstColumn="0" w:lastColumn="0" w:oddVBand="0" w:evenVBand="0" w:oddHBand="0" w:evenHBand="0" w:firstRowFirstColumn="0" w:firstRowLastColumn="0" w:lastRowFirstColumn="0" w:lastRowLastColumn="0"/>
              <w:rPr>
                <w:szCs w:val="20"/>
              </w:rPr>
            </w:pPr>
            <w:r>
              <w:rPr>
                <w:rFonts w:asciiTheme="minorHAnsi" w:hAnsiTheme="minorHAnsi" w:cstheme="minorHAnsi"/>
                <w:szCs w:val="20"/>
                <w:lang w:eastAsia="zh-CN"/>
              </w:rPr>
              <w:t>ONDA</w:t>
            </w:r>
          </w:p>
        </w:tc>
        <w:tc>
          <w:tcPr>
            <w:tcW w:w="0" w:type="auto"/>
            <w:hideMark/>
          </w:tcPr>
          <w:p w14:paraId="58668298" w14:textId="77777777" w:rsidR="00C40C47" w:rsidRPr="00AA22F2" w:rsidRDefault="00C40C47" w:rsidP="00C40C47">
            <w:pPr>
              <w:cnfStyle w:val="000000000000" w:firstRow="0" w:lastRow="0" w:firstColumn="0" w:lastColumn="0" w:oddVBand="0" w:evenVBand="0" w:oddHBand="0" w:evenHBand="0" w:firstRowFirstColumn="0" w:firstRowLastColumn="0" w:lastRowFirstColumn="0" w:lastRowLastColumn="0"/>
              <w:rPr>
                <w:szCs w:val="20"/>
              </w:rPr>
            </w:pPr>
            <w:r w:rsidRPr="00AA22F2">
              <w:rPr>
                <w:szCs w:val="20"/>
              </w:rPr>
              <w:t>Phase travaux</w:t>
            </w:r>
          </w:p>
        </w:tc>
        <w:tc>
          <w:tcPr>
            <w:tcW w:w="0" w:type="auto"/>
            <w:hideMark/>
          </w:tcPr>
          <w:p w14:paraId="0501CFED" w14:textId="77777777" w:rsidR="00C40C47" w:rsidRDefault="00C40C47" w:rsidP="00C40C47">
            <w:pPr>
              <w:cnfStyle w:val="000000000000" w:firstRow="0" w:lastRow="0" w:firstColumn="0" w:lastColumn="0" w:oddVBand="0" w:evenVBand="0" w:oddHBand="0" w:evenHBand="0" w:firstRowFirstColumn="0" w:firstRowLastColumn="0" w:lastRowFirstColumn="0" w:lastRowLastColumn="0"/>
              <w:rPr>
                <w:szCs w:val="20"/>
              </w:rPr>
            </w:pPr>
            <w:r w:rsidRPr="00AA22F2">
              <w:rPr>
                <w:szCs w:val="20"/>
              </w:rPr>
              <w:t>Aucun coût spécifique</w:t>
            </w:r>
          </w:p>
          <w:p w14:paraId="6FACE698" w14:textId="43EBFF48" w:rsidR="00870B0B" w:rsidRPr="00AA22F2" w:rsidRDefault="00870B0B" w:rsidP="00C40C47">
            <w:pPr>
              <w:cnfStyle w:val="000000000000" w:firstRow="0" w:lastRow="0" w:firstColumn="0" w:lastColumn="0" w:oddVBand="0" w:evenVBand="0" w:oddHBand="0" w:evenHBand="0" w:firstRowFirstColumn="0" w:firstRowLastColumn="0" w:lastRowFirstColumn="0" w:lastRowLastColumn="0"/>
              <w:rPr>
                <w:szCs w:val="20"/>
              </w:rPr>
            </w:pPr>
            <w:r w:rsidRPr="00870B0B">
              <w:rPr>
                <w:szCs w:val="20"/>
              </w:rPr>
              <w:t xml:space="preserve">350 – 500 </w:t>
            </w:r>
            <w:r>
              <w:rPr>
                <w:szCs w:val="20"/>
              </w:rPr>
              <w:t>MAD</w:t>
            </w:r>
            <w:r w:rsidRPr="00870B0B">
              <w:rPr>
                <w:szCs w:val="20"/>
              </w:rPr>
              <w:t>/m³ (transport + remplissage)</w:t>
            </w:r>
          </w:p>
        </w:tc>
      </w:tr>
      <w:tr w:rsidR="00C04241" w:rsidRPr="00B40D36" w14:paraId="34ECBF88" w14:textId="77777777" w:rsidTr="004E1F67">
        <w:tc>
          <w:tcPr>
            <w:cnfStyle w:val="001000000000" w:firstRow="0" w:lastRow="0" w:firstColumn="1" w:lastColumn="0" w:oddVBand="0" w:evenVBand="0" w:oddHBand="0" w:evenHBand="0" w:firstRowFirstColumn="0" w:firstRowLastColumn="0" w:lastRowFirstColumn="0" w:lastRowLastColumn="0"/>
            <w:tcW w:w="0" w:type="auto"/>
            <w:vMerge/>
            <w:hideMark/>
          </w:tcPr>
          <w:p w14:paraId="33D351D0" w14:textId="77777777" w:rsidR="00C40C47" w:rsidRPr="00AA22F2" w:rsidRDefault="00C40C47" w:rsidP="00C40C47">
            <w:pPr>
              <w:rPr>
                <w:szCs w:val="20"/>
              </w:rPr>
            </w:pPr>
          </w:p>
        </w:tc>
        <w:tc>
          <w:tcPr>
            <w:tcW w:w="0" w:type="auto"/>
            <w:hideMark/>
          </w:tcPr>
          <w:p w14:paraId="4CF67A1E" w14:textId="77777777" w:rsidR="00C40C47" w:rsidRPr="00AA22F2" w:rsidRDefault="00C40C47" w:rsidP="00C40C47">
            <w:pPr>
              <w:cnfStyle w:val="000000000000" w:firstRow="0" w:lastRow="0" w:firstColumn="0" w:lastColumn="0" w:oddVBand="0" w:evenVBand="0" w:oddHBand="0" w:evenHBand="0" w:firstRowFirstColumn="0" w:firstRowLastColumn="0" w:lastRowFirstColumn="0" w:lastRowLastColumn="0"/>
              <w:rPr>
                <w:szCs w:val="20"/>
              </w:rPr>
            </w:pPr>
            <w:r w:rsidRPr="00AA22F2">
              <w:rPr>
                <w:b/>
                <w:bCs/>
                <w:szCs w:val="20"/>
              </w:rPr>
              <w:t>Réduire</w:t>
            </w:r>
          </w:p>
        </w:tc>
        <w:tc>
          <w:tcPr>
            <w:tcW w:w="0" w:type="auto"/>
            <w:hideMark/>
          </w:tcPr>
          <w:p w14:paraId="26B7BDC5" w14:textId="77777777" w:rsidR="00C40C47" w:rsidRPr="00AA22F2" w:rsidRDefault="00C40C47" w:rsidP="00C40C47">
            <w:pPr>
              <w:cnfStyle w:val="000000000000" w:firstRow="0" w:lastRow="0" w:firstColumn="0" w:lastColumn="0" w:oddVBand="0" w:evenVBand="0" w:oddHBand="0" w:evenHBand="0" w:firstRowFirstColumn="0" w:firstRowLastColumn="0" w:lastRowFirstColumn="0" w:lastRowLastColumn="0"/>
              <w:rPr>
                <w:szCs w:val="20"/>
              </w:rPr>
            </w:pPr>
            <w:r w:rsidRPr="00AA22F2">
              <w:rPr>
                <w:szCs w:val="20"/>
              </w:rPr>
              <w:t>Utilisation rationnelle de l’eau sur chantier (lavage et arrosage limités, nettoyage optimisé des engins).</w:t>
            </w:r>
          </w:p>
        </w:tc>
        <w:tc>
          <w:tcPr>
            <w:tcW w:w="0" w:type="auto"/>
            <w:hideMark/>
          </w:tcPr>
          <w:p w14:paraId="71F8057B" w14:textId="77777777" w:rsidR="00C40C47" w:rsidRPr="00AA22F2" w:rsidRDefault="00C40C47" w:rsidP="00C40C47">
            <w:pPr>
              <w:cnfStyle w:val="000000000000" w:firstRow="0" w:lastRow="0" w:firstColumn="0" w:lastColumn="0" w:oddVBand="0" w:evenVBand="0" w:oddHBand="0" w:evenHBand="0" w:firstRowFirstColumn="0" w:firstRowLastColumn="0" w:lastRowFirstColumn="0" w:lastRowLastColumn="0"/>
              <w:rPr>
                <w:szCs w:val="20"/>
              </w:rPr>
            </w:pPr>
            <w:r w:rsidRPr="00AA22F2">
              <w:rPr>
                <w:szCs w:val="20"/>
              </w:rPr>
              <w:t>Volume d’eau utilisé (m³/mois).</w:t>
            </w:r>
          </w:p>
        </w:tc>
        <w:tc>
          <w:tcPr>
            <w:tcW w:w="0" w:type="auto"/>
            <w:hideMark/>
          </w:tcPr>
          <w:p w14:paraId="52F7347F" w14:textId="5FC4F87F" w:rsidR="00C40C47" w:rsidRPr="00AA22F2" w:rsidRDefault="00C40C47" w:rsidP="00C40C47">
            <w:pPr>
              <w:cnfStyle w:val="000000000000" w:firstRow="0" w:lastRow="0" w:firstColumn="0" w:lastColumn="0" w:oddVBand="0" w:evenVBand="0" w:oddHBand="0" w:evenHBand="0" w:firstRowFirstColumn="0" w:firstRowLastColumn="0" w:lastRowFirstColumn="0" w:lastRowLastColumn="0"/>
              <w:rPr>
                <w:szCs w:val="20"/>
              </w:rPr>
            </w:pPr>
            <w:r w:rsidRPr="004637C7">
              <w:rPr>
                <w:rFonts w:asciiTheme="minorHAnsi" w:hAnsiTheme="minorHAnsi" w:cstheme="minorHAnsi"/>
                <w:szCs w:val="20"/>
                <w:lang w:eastAsia="fr-FR" w:bidi="ar-SA"/>
              </w:rPr>
              <w:t>EPC et sous-traitants</w:t>
            </w:r>
          </w:p>
        </w:tc>
        <w:tc>
          <w:tcPr>
            <w:tcW w:w="0" w:type="auto"/>
            <w:hideMark/>
          </w:tcPr>
          <w:p w14:paraId="70A5CCDE" w14:textId="569275FD" w:rsidR="00C40C47" w:rsidRPr="00AA22F2" w:rsidRDefault="00C40C47" w:rsidP="00C40C47">
            <w:pPr>
              <w:cnfStyle w:val="000000000000" w:firstRow="0" w:lastRow="0" w:firstColumn="0" w:lastColumn="0" w:oddVBand="0" w:evenVBand="0" w:oddHBand="0" w:evenHBand="0" w:firstRowFirstColumn="0" w:firstRowLastColumn="0" w:lastRowFirstColumn="0" w:lastRowLastColumn="0"/>
              <w:rPr>
                <w:szCs w:val="20"/>
              </w:rPr>
            </w:pPr>
            <w:r w:rsidRPr="00BC1745">
              <w:rPr>
                <w:szCs w:val="20"/>
              </w:rPr>
              <w:t>Bureau de contrôle / Consultant de supervision mandaté par l’ONDA</w:t>
            </w:r>
          </w:p>
        </w:tc>
        <w:tc>
          <w:tcPr>
            <w:tcW w:w="0" w:type="auto"/>
            <w:hideMark/>
          </w:tcPr>
          <w:p w14:paraId="23B14D99" w14:textId="01D423B6" w:rsidR="00C40C47" w:rsidRPr="00AA22F2" w:rsidRDefault="00C40C47" w:rsidP="00C40C47">
            <w:pPr>
              <w:cnfStyle w:val="000000000000" w:firstRow="0" w:lastRow="0" w:firstColumn="0" w:lastColumn="0" w:oddVBand="0" w:evenVBand="0" w:oddHBand="0" w:evenHBand="0" w:firstRowFirstColumn="0" w:firstRowLastColumn="0" w:lastRowFirstColumn="0" w:lastRowLastColumn="0"/>
              <w:rPr>
                <w:szCs w:val="20"/>
              </w:rPr>
            </w:pPr>
            <w:r>
              <w:rPr>
                <w:rFonts w:asciiTheme="minorHAnsi" w:hAnsiTheme="minorHAnsi" w:cstheme="minorHAnsi"/>
                <w:szCs w:val="20"/>
                <w:lang w:eastAsia="zh-CN"/>
              </w:rPr>
              <w:t>ONDA</w:t>
            </w:r>
          </w:p>
        </w:tc>
        <w:tc>
          <w:tcPr>
            <w:tcW w:w="0" w:type="auto"/>
            <w:hideMark/>
          </w:tcPr>
          <w:p w14:paraId="63FA9E40" w14:textId="77777777" w:rsidR="00C40C47" w:rsidRPr="00AA22F2" w:rsidRDefault="00C40C47" w:rsidP="00C40C47">
            <w:pPr>
              <w:cnfStyle w:val="000000000000" w:firstRow="0" w:lastRow="0" w:firstColumn="0" w:lastColumn="0" w:oddVBand="0" w:evenVBand="0" w:oddHBand="0" w:evenHBand="0" w:firstRowFirstColumn="0" w:firstRowLastColumn="0" w:lastRowFirstColumn="0" w:lastRowLastColumn="0"/>
              <w:rPr>
                <w:szCs w:val="20"/>
              </w:rPr>
            </w:pPr>
            <w:r w:rsidRPr="00AA22F2">
              <w:rPr>
                <w:szCs w:val="20"/>
              </w:rPr>
              <w:t>Phase travaux</w:t>
            </w:r>
          </w:p>
        </w:tc>
        <w:tc>
          <w:tcPr>
            <w:tcW w:w="0" w:type="auto"/>
            <w:hideMark/>
          </w:tcPr>
          <w:p w14:paraId="2095FBE2" w14:textId="4A1E931F" w:rsidR="00C40C47" w:rsidRPr="00AA22F2" w:rsidRDefault="00870B0B" w:rsidP="00870B0B">
            <w:pPr>
              <w:cnfStyle w:val="000000000000" w:firstRow="0" w:lastRow="0" w:firstColumn="0" w:lastColumn="0" w:oddVBand="0" w:evenVBand="0" w:oddHBand="0" w:evenHBand="0" w:firstRowFirstColumn="0" w:firstRowLastColumn="0" w:lastRowFirstColumn="0" w:lastRowLastColumn="0"/>
              <w:rPr>
                <w:szCs w:val="20"/>
              </w:rPr>
            </w:pPr>
            <w:r w:rsidRPr="00AA22F2">
              <w:rPr>
                <w:szCs w:val="20"/>
              </w:rPr>
              <w:t>Aucun coût spécifique</w:t>
            </w:r>
          </w:p>
        </w:tc>
      </w:tr>
      <w:tr w:rsidR="00C04241" w:rsidRPr="00B40D36" w14:paraId="1D4C69C0" w14:textId="77777777" w:rsidTr="004E1F67">
        <w:tc>
          <w:tcPr>
            <w:cnfStyle w:val="001000000000" w:firstRow="0" w:lastRow="0" w:firstColumn="1" w:lastColumn="0" w:oddVBand="0" w:evenVBand="0" w:oddHBand="0" w:evenHBand="0" w:firstRowFirstColumn="0" w:firstRowLastColumn="0" w:lastRowFirstColumn="0" w:lastRowLastColumn="0"/>
            <w:tcW w:w="0" w:type="auto"/>
            <w:vMerge/>
            <w:hideMark/>
          </w:tcPr>
          <w:p w14:paraId="797C813F" w14:textId="77777777" w:rsidR="00C40C47" w:rsidRPr="00AA22F2" w:rsidRDefault="00C40C47" w:rsidP="00C40C47">
            <w:pPr>
              <w:rPr>
                <w:szCs w:val="20"/>
              </w:rPr>
            </w:pPr>
          </w:p>
        </w:tc>
        <w:tc>
          <w:tcPr>
            <w:tcW w:w="0" w:type="auto"/>
            <w:hideMark/>
          </w:tcPr>
          <w:p w14:paraId="38773A9C" w14:textId="77777777" w:rsidR="00C40C47" w:rsidRPr="00AA22F2" w:rsidRDefault="00C40C47" w:rsidP="00C40C47">
            <w:pPr>
              <w:cnfStyle w:val="000000000000" w:firstRow="0" w:lastRow="0" w:firstColumn="0" w:lastColumn="0" w:oddVBand="0" w:evenVBand="0" w:oddHBand="0" w:evenHBand="0" w:firstRowFirstColumn="0" w:firstRowLastColumn="0" w:lastRowFirstColumn="0" w:lastRowLastColumn="0"/>
              <w:rPr>
                <w:szCs w:val="20"/>
              </w:rPr>
            </w:pPr>
            <w:r w:rsidRPr="00AA22F2">
              <w:rPr>
                <w:b/>
                <w:bCs/>
                <w:szCs w:val="20"/>
              </w:rPr>
              <w:t>Atténuer</w:t>
            </w:r>
          </w:p>
        </w:tc>
        <w:tc>
          <w:tcPr>
            <w:tcW w:w="0" w:type="auto"/>
            <w:hideMark/>
          </w:tcPr>
          <w:p w14:paraId="51103BBA" w14:textId="77777777" w:rsidR="00C40C47" w:rsidRPr="00AA22F2" w:rsidRDefault="00C40C47" w:rsidP="00C40C47">
            <w:pPr>
              <w:cnfStyle w:val="000000000000" w:firstRow="0" w:lastRow="0" w:firstColumn="0" w:lastColumn="0" w:oddVBand="0" w:evenVBand="0" w:oddHBand="0" w:evenHBand="0" w:firstRowFirstColumn="0" w:firstRowLastColumn="0" w:lastRowFirstColumn="0" w:lastRowLastColumn="0"/>
              <w:rPr>
                <w:szCs w:val="20"/>
              </w:rPr>
            </w:pPr>
            <w:r w:rsidRPr="00AA22F2">
              <w:rPr>
                <w:szCs w:val="20"/>
              </w:rPr>
              <w:t>Fourniture d’eau potable en bonbonnes scellées pour le personnel afin d’éviter la sollicitation des ressources locales.</w:t>
            </w:r>
          </w:p>
        </w:tc>
        <w:tc>
          <w:tcPr>
            <w:tcW w:w="0" w:type="auto"/>
            <w:hideMark/>
          </w:tcPr>
          <w:p w14:paraId="76D02C3A" w14:textId="77777777" w:rsidR="00C40C47" w:rsidRPr="00AA22F2" w:rsidRDefault="00C40C47" w:rsidP="00C40C47">
            <w:pPr>
              <w:cnfStyle w:val="000000000000" w:firstRow="0" w:lastRow="0" w:firstColumn="0" w:lastColumn="0" w:oddVBand="0" w:evenVBand="0" w:oddHBand="0" w:evenHBand="0" w:firstRowFirstColumn="0" w:firstRowLastColumn="0" w:lastRowFirstColumn="0" w:lastRowLastColumn="0"/>
              <w:rPr>
                <w:szCs w:val="20"/>
              </w:rPr>
            </w:pPr>
            <w:r w:rsidRPr="00AA22F2">
              <w:rPr>
                <w:szCs w:val="20"/>
              </w:rPr>
              <w:t>Nombre de bonbonnes livrées / mois ; conformité fournisseur.</w:t>
            </w:r>
          </w:p>
        </w:tc>
        <w:tc>
          <w:tcPr>
            <w:tcW w:w="0" w:type="auto"/>
            <w:hideMark/>
          </w:tcPr>
          <w:p w14:paraId="2B3DAF39" w14:textId="6E46993E" w:rsidR="00C40C47" w:rsidRPr="00AA22F2" w:rsidRDefault="00C40C47" w:rsidP="00C40C47">
            <w:pPr>
              <w:cnfStyle w:val="000000000000" w:firstRow="0" w:lastRow="0" w:firstColumn="0" w:lastColumn="0" w:oddVBand="0" w:evenVBand="0" w:oddHBand="0" w:evenHBand="0" w:firstRowFirstColumn="0" w:firstRowLastColumn="0" w:lastRowFirstColumn="0" w:lastRowLastColumn="0"/>
              <w:rPr>
                <w:szCs w:val="20"/>
              </w:rPr>
            </w:pPr>
            <w:r w:rsidRPr="004637C7">
              <w:rPr>
                <w:rFonts w:asciiTheme="minorHAnsi" w:hAnsiTheme="minorHAnsi" w:cstheme="minorHAnsi"/>
                <w:szCs w:val="20"/>
                <w:lang w:eastAsia="fr-FR" w:bidi="ar-SA"/>
              </w:rPr>
              <w:t>EPC et sous-traitants</w:t>
            </w:r>
          </w:p>
        </w:tc>
        <w:tc>
          <w:tcPr>
            <w:tcW w:w="0" w:type="auto"/>
            <w:hideMark/>
          </w:tcPr>
          <w:p w14:paraId="7877E4D0" w14:textId="18A7221A" w:rsidR="00C40C47" w:rsidRPr="00AA22F2" w:rsidRDefault="00C40C47" w:rsidP="00C40C47">
            <w:pPr>
              <w:cnfStyle w:val="000000000000" w:firstRow="0" w:lastRow="0" w:firstColumn="0" w:lastColumn="0" w:oddVBand="0" w:evenVBand="0" w:oddHBand="0" w:evenHBand="0" w:firstRowFirstColumn="0" w:firstRowLastColumn="0" w:lastRowFirstColumn="0" w:lastRowLastColumn="0"/>
              <w:rPr>
                <w:szCs w:val="20"/>
              </w:rPr>
            </w:pPr>
            <w:r w:rsidRPr="00BC1745">
              <w:rPr>
                <w:szCs w:val="20"/>
              </w:rPr>
              <w:t>Bureau de contrôle / Consultant de supervision mandaté par l’ONDA</w:t>
            </w:r>
          </w:p>
        </w:tc>
        <w:tc>
          <w:tcPr>
            <w:tcW w:w="0" w:type="auto"/>
            <w:hideMark/>
          </w:tcPr>
          <w:p w14:paraId="2A91E7DD" w14:textId="11677002" w:rsidR="00C40C47" w:rsidRPr="00AA22F2" w:rsidRDefault="00C40C47" w:rsidP="00C40C47">
            <w:pPr>
              <w:cnfStyle w:val="000000000000" w:firstRow="0" w:lastRow="0" w:firstColumn="0" w:lastColumn="0" w:oddVBand="0" w:evenVBand="0" w:oddHBand="0" w:evenHBand="0" w:firstRowFirstColumn="0" w:firstRowLastColumn="0" w:lastRowFirstColumn="0" w:lastRowLastColumn="0"/>
              <w:rPr>
                <w:szCs w:val="20"/>
              </w:rPr>
            </w:pPr>
            <w:r>
              <w:rPr>
                <w:rFonts w:asciiTheme="minorHAnsi" w:hAnsiTheme="minorHAnsi" w:cstheme="minorHAnsi"/>
                <w:szCs w:val="20"/>
                <w:lang w:eastAsia="zh-CN"/>
              </w:rPr>
              <w:t>ONDA</w:t>
            </w:r>
          </w:p>
        </w:tc>
        <w:tc>
          <w:tcPr>
            <w:tcW w:w="0" w:type="auto"/>
            <w:hideMark/>
          </w:tcPr>
          <w:p w14:paraId="3A78DD21" w14:textId="77777777" w:rsidR="00C40C47" w:rsidRPr="00AA22F2" w:rsidRDefault="00C40C47" w:rsidP="00C40C47">
            <w:pPr>
              <w:cnfStyle w:val="000000000000" w:firstRow="0" w:lastRow="0" w:firstColumn="0" w:lastColumn="0" w:oddVBand="0" w:evenVBand="0" w:oddHBand="0" w:evenHBand="0" w:firstRowFirstColumn="0" w:firstRowLastColumn="0" w:lastRowFirstColumn="0" w:lastRowLastColumn="0"/>
              <w:rPr>
                <w:szCs w:val="20"/>
              </w:rPr>
            </w:pPr>
            <w:r w:rsidRPr="00AA22F2">
              <w:rPr>
                <w:szCs w:val="20"/>
              </w:rPr>
              <w:t>Phase travaux</w:t>
            </w:r>
          </w:p>
        </w:tc>
        <w:tc>
          <w:tcPr>
            <w:tcW w:w="0" w:type="auto"/>
            <w:hideMark/>
          </w:tcPr>
          <w:p w14:paraId="49C81EA5" w14:textId="11FEE49B" w:rsidR="00C40C47" w:rsidRPr="00AA22F2" w:rsidRDefault="00870B0B" w:rsidP="00C40C47">
            <w:pPr>
              <w:cnfStyle w:val="000000000000" w:firstRow="0" w:lastRow="0" w:firstColumn="0" w:lastColumn="0" w:oddVBand="0" w:evenVBand="0" w:oddHBand="0" w:evenHBand="0" w:firstRowFirstColumn="0" w:firstRowLastColumn="0" w:lastRowFirstColumn="0" w:lastRowLastColumn="0"/>
              <w:rPr>
                <w:szCs w:val="20"/>
              </w:rPr>
            </w:pPr>
            <w:r w:rsidRPr="00870B0B">
              <w:rPr>
                <w:szCs w:val="20"/>
              </w:rPr>
              <w:t xml:space="preserve">35 – 45 </w:t>
            </w:r>
            <w:r>
              <w:rPr>
                <w:szCs w:val="20"/>
              </w:rPr>
              <w:t>MAD</w:t>
            </w:r>
            <w:r w:rsidRPr="00870B0B">
              <w:rPr>
                <w:szCs w:val="20"/>
              </w:rPr>
              <w:t>/bonbonne de 20 L</w:t>
            </w:r>
          </w:p>
        </w:tc>
      </w:tr>
      <w:tr w:rsidR="00C04241" w:rsidRPr="00B40D36" w14:paraId="3EEC01C4" w14:textId="77777777" w:rsidTr="00F16B6B">
        <w:tc>
          <w:tcPr>
            <w:cnfStyle w:val="001000000000" w:firstRow="0" w:lastRow="0" w:firstColumn="1" w:lastColumn="0" w:oddVBand="0" w:evenVBand="0" w:oddHBand="0" w:evenHBand="0" w:firstRowFirstColumn="0" w:firstRowLastColumn="0" w:lastRowFirstColumn="0" w:lastRowLastColumn="0"/>
            <w:tcW w:w="0" w:type="auto"/>
            <w:vMerge w:val="restart"/>
            <w:hideMark/>
          </w:tcPr>
          <w:p w14:paraId="491BEB57" w14:textId="452413FC" w:rsidR="00C40C47" w:rsidRPr="004637C7" w:rsidRDefault="00C40C47" w:rsidP="00C40C47">
            <w:pPr>
              <w:spacing w:before="0" w:after="0" w:line="240" w:lineRule="auto"/>
              <w:jc w:val="left"/>
              <w:rPr>
                <w:rFonts w:asciiTheme="minorHAnsi" w:hAnsiTheme="minorHAnsi" w:cstheme="minorHAnsi"/>
                <w:szCs w:val="20"/>
                <w:lang w:eastAsia="fr-FR" w:bidi="ar-SA"/>
              </w:rPr>
            </w:pPr>
            <w:r w:rsidRPr="004637C7">
              <w:rPr>
                <w:rFonts w:asciiTheme="minorHAnsi" w:hAnsiTheme="minorHAnsi" w:cstheme="minorHAnsi"/>
                <w:szCs w:val="20"/>
                <w:lang w:eastAsia="fr-FR" w:bidi="ar-SA"/>
              </w:rPr>
              <w:t>Utilisation de l’énergie</w:t>
            </w:r>
          </w:p>
        </w:tc>
        <w:tc>
          <w:tcPr>
            <w:tcW w:w="0" w:type="auto"/>
            <w:hideMark/>
          </w:tcPr>
          <w:p w14:paraId="4F204404" w14:textId="77777777" w:rsidR="00C40C47" w:rsidRPr="004637C7" w:rsidRDefault="00C40C47" w:rsidP="00C40C47">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sidRPr="004637C7">
              <w:rPr>
                <w:rFonts w:asciiTheme="minorHAnsi" w:hAnsiTheme="minorHAnsi" w:cstheme="minorHAnsi"/>
                <w:b/>
                <w:bCs/>
                <w:szCs w:val="20"/>
                <w:lang w:eastAsia="fr-FR" w:bidi="ar-SA"/>
              </w:rPr>
              <w:t>Éviter</w:t>
            </w:r>
          </w:p>
        </w:tc>
        <w:tc>
          <w:tcPr>
            <w:tcW w:w="0" w:type="auto"/>
            <w:hideMark/>
          </w:tcPr>
          <w:p w14:paraId="23DE3E5F" w14:textId="77777777" w:rsidR="00C40C47" w:rsidRPr="004637C7" w:rsidRDefault="00C40C47" w:rsidP="00C40C47">
            <w:pPr>
              <w:spacing w:before="0"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sidRPr="004637C7">
              <w:rPr>
                <w:rFonts w:asciiTheme="minorHAnsi" w:hAnsiTheme="minorHAnsi" w:cstheme="minorHAnsi"/>
                <w:szCs w:val="20"/>
                <w:lang w:eastAsia="fr-FR" w:bidi="ar-SA"/>
              </w:rPr>
              <w:t xml:space="preserve">Favoriser l’électrification temporaire du chantier par branchement provisoire au réseau public de l’ONEE, afin d’éviter le </w:t>
            </w:r>
            <w:r w:rsidRPr="004637C7">
              <w:rPr>
                <w:rFonts w:asciiTheme="minorHAnsi" w:hAnsiTheme="minorHAnsi" w:cstheme="minorHAnsi"/>
                <w:szCs w:val="20"/>
                <w:lang w:eastAsia="fr-FR" w:bidi="ar-SA"/>
              </w:rPr>
              <w:lastRenderedPageBreak/>
              <w:t>recours systématique à des sources d’énergie fossile (groupes électrogènes).</w:t>
            </w:r>
          </w:p>
        </w:tc>
        <w:tc>
          <w:tcPr>
            <w:tcW w:w="0" w:type="auto"/>
            <w:hideMark/>
          </w:tcPr>
          <w:p w14:paraId="200B9216" w14:textId="77777777" w:rsidR="00C40C47" w:rsidRPr="004637C7" w:rsidRDefault="00C40C47" w:rsidP="00C40C47">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sidRPr="004637C7">
              <w:rPr>
                <w:rFonts w:asciiTheme="minorHAnsi" w:hAnsiTheme="minorHAnsi" w:cstheme="minorHAnsi"/>
                <w:szCs w:val="20"/>
                <w:lang w:eastAsia="fr-FR" w:bidi="ar-SA"/>
              </w:rPr>
              <w:lastRenderedPageBreak/>
              <w:t>Taux d’alimentation électrique assurée par le réseau public (%)</w:t>
            </w:r>
          </w:p>
        </w:tc>
        <w:tc>
          <w:tcPr>
            <w:tcW w:w="0" w:type="auto"/>
            <w:hideMark/>
          </w:tcPr>
          <w:p w14:paraId="76F02C15" w14:textId="084F11A9" w:rsidR="00C40C47" w:rsidRPr="004637C7" w:rsidRDefault="00C40C47" w:rsidP="00C40C47">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sidRPr="004637C7">
              <w:rPr>
                <w:rFonts w:asciiTheme="minorHAnsi" w:hAnsiTheme="minorHAnsi" w:cstheme="minorHAnsi"/>
                <w:szCs w:val="20"/>
                <w:lang w:eastAsia="fr-FR" w:bidi="ar-SA"/>
              </w:rPr>
              <w:t>EPC et sous-traitants</w:t>
            </w:r>
          </w:p>
        </w:tc>
        <w:tc>
          <w:tcPr>
            <w:tcW w:w="0" w:type="auto"/>
            <w:hideMark/>
          </w:tcPr>
          <w:p w14:paraId="76D81684" w14:textId="333B8FE6" w:rsidR="00C40C47" w:rsidRPr="004637C7" w:rsidRDefault="00C40C47" w:rsidP="00C40C47">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sidRPr="00BC1745">
              <w:rPr>
                <w:szCs w:val="20"/>
              </w:rPr>
              <w:t xml:space="preserve">Bureau de contrôle / Consultant de supervision </w:t>
            </w:r>
            <w:r w:rsidRPr="00BC1745">
              <w:rPr>
                <w:szCs w:val="20"/>
              </w:rPr>
              <w:lastRenderedPageBreak/>
              <w:t>mandaté par l’ONDA</w:t>
            </w:r>
          </w:p>
        </w:tc>
        <w:tc>
          <w:tcPr>
            <w:tcW w:w="0" w:type="auto"/>
            <w:hideMark/>
          </w:tcPr>
          <w:p w14:paraId="5AE4AD94" w14:textId="778EABB6" w:rsidR="00C40C47" w:rsidRPr="004637C7" w:rsidRDefault="00C40C47" w:rsidP="00C40C47">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Pr>
                <w:rFonts w:asciiTheme="minorHAnsi" w:hAnsiTheme="minorHAnsi" w:cstheme="minorHAnsi"/>
                <w:szCs w:val="20"/>
                <w:lang w:eastAsia="zh-CN"/>
              </w:rPr>
              <w:lastRenderedPageBreak/>
              <w:t>ONDA</w:t>
            </w:r>
          </w:p>
        </w:tc>
        <w:tc>
          <w:tcPr>
            <w:tcW w:w="0" w:type="auto"/>
            <w:hideMark/>
          </w:tcPr>
          <w:p w14:paraId="11E3E8B3" w14:textId="77777777" w:rsidR="00C40C47" w:rsidRPr="004637C7" w:rsidRDefault="00C40C47" w:rsidP="00C40C47">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sidRPr="004637C7">
              <w:rPr>
                <w:rFonts w:asciiTheme="minorHAnsi" w:hAnsiTheme="minorHAnsi" w:cstheme="minorHAnsi"/>
                <w:szCs w:val="20"/>
                <w:lang w:eastAsia="fr-FR" w:bidi="ar-SA"/>
              </w:rPr>
              <w:t>Phase de mobilisation et installation du chantier</w:t>
            </w:r>
          </w:p>
        </w:tc>
        <w:tc>
          <w:tcPr>
            <w:tcW w:w="0" w:type="auto"/>
            <w:hideMark/>
          </w:tcPr>
          <w:p w14:paraId="6F62DE03" w14:textId="7A94C7B3" w:rsidR="00C40C47" w:rsidRPr="004637C7" w:rsidRDefault="00C04241" w:rsidP="00C40C47">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sidRPr="00C04241">
              <w:rPr>
                <w:rFonts w:asciiTheme="minorHAnsi" w:hAnsiTheme="minorHAnsi" w:cstheme="minorHAnsi"/>
                <w:szCs w:val="20"/>
                <w:lang w:eastAsia="fr-FR" w:bidi="ar-SA"/>
              </w:rPr>
              <w:t xml:space="preserve">30 000 – 50 000 </w:t>
            </w:r>
            <w:r>
              <w:rPr>
                <w:rFonts w:asciiTheme="minorHAnsi" w:hAnsiTheme="minorHAnsi" w:cstheme="minorHAnsi"/>
                <w:szCs w:val="20"/>
                <w:lang w:eastAsia="fr-FR" w:bidi="ar-SA"/>
              </w:rPr>
              <w:t>MAD</w:t>
            </w:r>
            <w:r w:rsidRPr="00C04241">
              <w:rPr>
                <w:rFonts w:asciiTheme="minorHAnsi" w:hAnsiTheme="minorHAnsi" w:cstheme="minorHAnsi"/>
                <w:szCs w:val="20"/>
                <w:lang w:eastAsia="fr-FR" w:bidi="ar-SA"/>
              </w:rPr>
              <w:t>/installation provisoire</w:t>
            </w:r>
          </w:p>
        </w:tc>
      </w:tr>
      <w:tr w:rsidR="00C04241" w:rsidRPr="006F74CC" w14:paraId="77EA3BF5" w14:textId="77777777" w:rsidTr="00F16B6B">
        <w:tc>
          <w:tcPr>
            <w:cnfStyle w:val="001000000000" w:firstRow="0" w:lastRow="0" w:firstColumn="1" w:lastColumn="0" w:oddVBand="0" w:evenVBand="0" w:oddHBand="0" w:evenHBand="0" w:firstRowFirstColumn="0" w:firstRowLastColumn="0" w:lastRowFirstColumn="0" w:lastRowLastColumn="0"/>
            <w:tcW w:w="0" w:type="auto"/>
            <w:vMerge/>
            <w:hideMark/>
          </w:tcPr>
          <w:p w14:paraId="7F0C8C99" w14:textId="77777777" w:rsidR="00C40C47" w:rsidRPr="004637C7" w:rsidRDefault="00C40C47" w:rsidP="00C40C47">
            <w:pPr>
              <w:spacing w:before="0" w:after="0" w:line="240" w:lineRule="auto"/>
              <w:jc w:val="left"/>
              <w:rPr>
                <w:rFonts w:asciiTheme="minorHAnsi" w:hAnsiTheme="minorHAnsi" w:cstheme="minorHAnsi"/>
                <w:szCs w:val="20"/>
                <w:lang w:eastAsia="fr-FR" w:bidi="ar-SA"/>
              </w:rPr>
            </w:pPr>
          </w:p>
        </w:tc>
        <w:tc>
          <w:tcPr>
            <w:tcW w:w="0" w:type="auto"/>
            <w:hideMark/>
          </w:tcPr>
          <w:p w14:paraId="1F7AC5F7" w14:textId="77777777" w:rsidR="00C40C47" w:rsidRPr="004637C7" w:rsidRDefault="00C40C47" w:rsidP="00C40C47">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sidRPr="004637C7">
              <w:rPr>
                <w:rFonts w:asciiTheme="minorHAnsi" w:hAnsiTheme="minorHAnsi" w:cstheme="minorHAnsi"/>
                <w:b/>
                <w:bCs/>
                <w:szCs w:val="20"/>
                <w:lang w:eastAsia="fr-FR" w:bidi="ar-SA"/>
              </w:rPr>
              <w:t>Réduire</w:t>
            </w:r>
          </w:p>
        </w:tc>
        <w:tc>
          <w:tcPr>
            <w:tcW w:w="0" w:type="auto"/>
            <w:hideMark/>
          </w:tcPr>
          <w:p w14:paraId="44095C49" w14:textId="77777777" w:rsidR="00C40C47" w:rsidRPr="004637C7" w:rsidRDefault="00C40C47" w:rsidP="00C40C47">
            <w:pPr>
              <w:spacing w:before="0"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sidRPr="004637C7">
              <w:rPr>
                <w:rFonts w:asciiTheme="minorHAnsi" w:hAnsiTheme="minorHAnsi" w:cstheme="minorHAnsi"/>
                <w:szCs w:val="20"/>
                <w:lang w:eastAsia="fr-FR" w:bidi="ar-SA"/>
              </w:rPr>
              <w:t>Mettre en œuvre une gestion rationnelle de l’énergie : extinction automatique de l’éclairage hors horaires de travail, mutualisation des équipements électriques, et choix d’appareils basse consommation.</w:t>
            </w:r>
          </w:p>
        </w:tc>
        <w:tc>
          <w:tcPr>
            <w:tcW w:w="0" w:type="auto"/>
            <w:hideMark/>
          </w:tcPr>
          <w:p w14:paraId="36264844" w14:textId="77777777" w:rsidR="00C40C47" w:rsidRPr="004637C7" w:rsidRDefault="00C40C47" w:rsidP="00C40C47">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sidRPr="004637C7">
              <w:rPr>
                <w:rFonts w:asciiTheme="minorHAnsi" w:hAnsiTheme="minorHAnsi" w:cstheme="minorHAnsi"/>
                <w:szCs w:val="20"/>
                <w:lang w:eastAsia="fr-FR" w:bidi="ar-SA"/>
              </w:rPr>
              <w:t>Suivi mensuel de la consommation électrique (kWh) / m² de chantier</w:t>
            </w:r>
          </w:p>
        </w:tc>
        <w:tc>
          <w:tcPr>
            <w:tcW w:w="0" w:type="auto"/>
            <w:hideMark/>
          </w:tcPr>
          <w:p w14:paraId="75AF3A2F" w14:textId="79E65AE6" w:rsidR="00C40C47" w:rsidRPr="004637C7" w:rsidRDefault="00C40C47" w:rsidP="00C40C47">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sidRPr="004637C7">
              <w:rPr>
                <w:rFonts w:asciiTheme="minorHAnsi" w:hAnsiTheme="minorHAnsi" w:cstheme="minorHAnsi"/>
                <w:szCs w:val="20"/>
                <w:lang w:eastAsia="fr-FR" w:bidi="ar-SA"/>
              </w:rPr>
              <w:t>EPC et sous-traitants</w:t>
            </w:r>
          </w:p>
        </w:tc>
        <w:tc>
          <w:tcPr>
            <w:tcW w:w="0" w:type="auto"/>
            <w:hideMark/>
          </w:tcPr>
          <w:p w14:paraId="5E5802FA" w14:textId="7301ED90" w:rsidR="00C40C47" w:rsidRPr="004637C7" w:rsidRDefault="00C40C47" w:rsidP="00C40C47">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sidRPr="00BC1745">
              <w:rPr>
                <w:szCs w:val="20"/>
              </w:rPr>
              <w:t>Bureau de contrôle / Consultant de supervision mandaté par l’ONDA</w:t>
            </w:r>
          </w:p>
        </w:tc>
        <w:tc>
          <w:tcPr>
            <w:tcW w:w="0" w:type="auto"/>
            <w:hideMark/>
          </w:tcPr>
          <w:p w14:paraId="71770BDB" w14:textId="0FC65498" w:rsidR="00C40C47" w:rsidRPr="004637C7" w:rsidRDefault="00C40C47" w:rsidP="00C40C47">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Pr>
                <w:rFonts w:asciiTheme="minorHAnsi" w:hAnsiTheme="minorHAnsi" w:cstheme="minorHAnsi"/>
                <w:szCs w:val="20"/>
                <w:lang w:eastAsia="zh-CN"/>
              </w:rPr>
              <w:t>ONDA</w:t>
            </w:r>
          </w:p>
        </w:tc>
        <w:tc>
          <w:tcPr>
            <w:tcW w:w="0" w:type="auto"/>
            <w:hideMark/>
          </w:tcPr>
          <w:p w14:paraId="7F0EC4FE" w14:textId="77777777" w:rsidR="00C40C47" w:rsidRPr="004637C7" w:rsidRDefault="00C40C47" w:rsidP="00C40C47">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sidRPr="004637C7">
              <w:rPr>
                <w:rFonts w:asciiTheme="minorHAnsi" w:hAnsiTheme="minorHAnsi" w:cstheme="minorHAnsi"/>
                <w:szCs w:val="20"/>
                <w:lang w:eastAsia="fr-FR" w:bidi="ar-SA"/>
              </w:rPr>
              <w:t>Pendant toute la phase travaux</w:t>
            </w:r>
          </w:p>
        </w:tc>
        <w:tc>
          <w:tcPr>
            <w:tcW w:w="0" w:type="auto"/>
            <w:hideMark/>
          </w:tcPr>
          <w:p w14:paraId="74A84EF6" w14:textId="38BE237A" w:rsidR="00C40C47" w:rsidRPr="00D60FC9" w:rsidRDefault="002D7E5F" w:rsidP="00C40C47">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val="en-US" w:eastAsia="fr-FR" w:bidi="ar-SA"/>
              </w:rPr>
            </w:pPr>
            <w:r w:rsidRPr="00D60FC9">
              <w:rPr>
                <w:rFonts w:asciiTheme="minorHAnsi" w:hAnsiTheme="minorHAnsi" w:cstheme="minorHAnsi"/>
                <w:szCs w:val="20"/>
                <w:lang w:val="en-US" w:eastAsia="fr-FR" w:bidi="ar-SA"/>
              </w:rPr>
              <w:t>2 000 – 3 000 MAD/lot (capteurs, minuteries, LED)</w:t>
            </w:r>
          </w:p>
        </w:tc>
      </w:tr>
      <w:tr w:rsidR="00C04241" w:rsidRPr="00B40D36" w14:paraId="002A17C3" w14:textId="77777777" w:rsidTr="00F16B6B">
        <w:tc>
          <w:tcPr>
            <w:cnfStyle w:val="001000000000" w:firstRow="0" w:lastRow="0" w:firstColumn="1" w:lastColumn="0" w:oddVBand="0" w:evenVBand="0" w:oddHBand="0" w:evenHBand="0" w:firstRowFirstColumn="0" w:firstRowLastColumn="0" w:lastRowFirstColumn="0" w:lastRowLastColumn="0"/>
            <w:tcW w:w="0" w:type="auto"/>
            <w:vMerge/>
            <w:hideMark/>
          </w:tcPr>
          <w:p w14:paraId="700B2B4C" w14:textId="77777777" w:rsidR="00C40C47" w:rsidRPr="00D60FC9" w:rsidRDefault="00C40C47" w:rsidP="00C40C47">
            <w:pPr>
              <w:spacing w:before="0" w:after="0" w:line="240" w:lineRule="auto"/>
              <w:jc w:val="left"/>
              <w:rPr>
                <w:rFonts w:asciiTheme="minorHAnsi" w:hAnsiTheme="minorHAnsi" w:cstheme="minorHAnsi"/>
                <w:szCs w:val="20"/>
                <w:lang w:val="en-US" w:eastAsia="fr-FR" w:bidi="ar-SA"/>
              </w:rPr>
            </w:pPr>
          </w:p>
        </w:tc>
        <w:tc>
          <w:tcPr>
            <w:tcW w:w="0" w:type="auto"/>
            <w:hideMark/>
          </w:tcPr>
          <w:p w14:paraId="77890834" w14:textId="77777777" w:rsidR="00C40C47" w:rsidRPr="004637C7" w:rsidRDefault="00C40C47" w:rsidP="00C40C47">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sidRPr="004637C7">
              <w:rPr>
                <w:rFonts w:asciiTheme="minorHAnsi" w:hAnsiTheme="minorHAnsi" w:cstheme="minorHAnsi"/>
                <w:b/>
                <w:bCs/>
                <w:szCs w:val="20"/>
                <w:lang w:eastAsia="fr-FR" w:bidi="ar-SA"/>
              </w:rPr>
              <w:t>Atténuer</w:t>
            </w:r>
          </w:p>
        </w:tc>
        <w:tc>
          <w:tcPr>
            <w:tcW w:w="0" w:type="auto"/>
            <w:hideMark/>
          </w:tcPr>
          <w:p w14:paraId="5F0CADFF" w14:textId="77777777" w:rsidR="00C40C47" w:rsidRPr="004637C7" w:rsidRDefault="00C40C47" w:rsidP="00C40C47">
            <w:pPr>
              <w:spacing w:before="0"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sidRPr="004637C7">
              <w:rPr>
                <w:rFonts w:asciiTheme="minorHAnsi" w:hAnsiTheme="minorHAnsi" w:cstheme="minorHAnsi"/>
                <w:szCs w:val="20"/>
                <w:lang w:eastAsia="fr-FR" w:bidi="ar-SA"/>
              </w:rPr>
              <w:t>Assurer la maintenance préventive des installations électriques et du poste de raccordement temporaire pour limiter les pertes de rendement et les risques de court-circuit.</w:t>
            </w:r>
          </w:p>
        </w:tc>
        <w:tc>
          <w:tcPr>
            <w:tcW w:w="0" w:type="auto"/>
            <w:hideMark/>
          </w:tcPr>
          <w:p w14:paraId="047BFA43" w14:textId="77777777" w:rsidR="00C40C47" w:rsidRPr="004637C7" w:rsidRDefault="00C40C47" w:rsidP="00C40C47">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sidRPr="004637C7">
              <w:rPr>
                <w:rFonts w:asciiTheme="minorHAnsi" w:hAnsiTheme="minorHAnsi" w:cstheme="minorHAnsi"/>
                <w:szCs w:val="20"/>
                <w:lang w:eastAsia="fr-FR" w:bidi="ar-SA"/>
              </w:rPr>
              <w:t>Rapport de maintenance trimestriel ; absence d’incident électrique signalé</w:t>
            </w:r>
          </w:p>
        </w:tc>
        <w:tc>
          <w:tcPr>
            <w:tcW w:w="0" w:type="auto"/>
            <w:hideMark/>
          </w:tcPr>
          <w:p w14:paraId="233CA206" w14:textId="238C19A2" w:rsidR="00C40C47" w:rsidRPr="004637C7" w:rsidRDefault="00C40C47" w:rsidP="00C40C47">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sidRPr="004637C7">
              <w:rPr>
                <w:rFonts w:asciiTheme="minorHAnsi" w:hAnsiTheme="minorHAnsi" w:cstheme="minorHAnsi"/>
                <w:szCs w:val="20"/>
                <w:lang w:eastAsia="fr-FR" w:bidi="ar-SA"/>
              </w:rPr>
              <w:t>EPC et sous-traitants</w:t>
            </w:r>
          </w:p>
        </w:tc>
        <w:tc>
          <w:tcPr>
            <w:tcW w:w="0" w:type="auto"/>
            <w:hideMark/>
          </w:tcPr>
          <w:p w14:paraId="6820972B" w14:textId="735AF836" w:rsidR="00C40C47" w:rsidRPr="004637C7" w:rsidRDefault="00C40C47" w:rsidP="00C40C47">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sidRPr="00BC1745">
              <w:rPr>
                <w:szCs w:val="20"/>
              </w:rPr>
              <w:t>Bureau de contrôle / Consultant de supervision mandaté par l’ONDA</w:t>
            </w:r>
          </w:p>
        </w:tc>
        <w:tc>
          <w:tcPr>
            <w:tcW w:w="0" w:type="auto"/>
            <w:hideMark/>
          </w:tcPr>
          <w:p w14:paraId="45544867" w14:textId="35E88414" w:rsidR="00C40C47" w:rsidRPr="004637C7" w:rsidRDefault="00C40C47" w:rsidP="00C40C47">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Pr>
                <w:rFonts w:asciiTheme="minorHAnsi" w:hAnsiTheme="minorHAnsi" w:cstheme="minorHAnsi"/>
                <w:szCs w:val="20"/>
                <w:lang w:eastAsia="zh-CN"/>
              </w:rPr>
              <w:t>ONDA</w:t>
            </w:r>
          </w:p>
        </w:tc>
        <w:tc>
          <w:tcPr>
            <w:tcW w:w="0" w:type="auto"/>
            <w:hideMark/>
          </w:tcPr>
          <w:p w14:paraId="4D6A73F4" w14:textId="77777777" w:rsidR="00C40C47" w:rsidRPr="004637C7" w:rsidRDefault="00C40C47" w:rsidP="00C40C47">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sidRPr="004637C7">
              <w:rPr>
                <w:rFonts w:asciiTheme="minorHAnsi" w:hAnsiTheme="minorHAnsi" w:cstheme="minorHAnsi"/>
                <w:szCs w:val="20"/>
                <w:lang w:eastAsia="fr-FR" w:bidi="ar-SA"/>
              </w:rPr>
              <w:t>Périodique – trimestriel</w:t>
            </w:r>
          </w:p>
        </w:tc>
        <w:tc>
          <w:tcPr>
            <w:tcW w:w="0" w:type="auto"/>
            <w:hideMark/>
          </w:tcPr>
          <w:p w14:paraId="07EF3DFF" w14:textId="7163C620" w:rsidR="00C40C47" w:rsidRPr="004637C7" w:rsidRDefault="002D7E5F" w:rsidP="00C40C47">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sidRPr="002D7E5F">
              <w:rPr>
                <w:szCs w:val="20"/>
              </w:rPr>
              <w:t xml:space="preserve">4 000 – 5 000 </w:t>
            </w:r>
            <w:r>
              <w:rPr>
                <w:szCs w:val="20"/>
              </w:rPr>
              <w:t>MAD</w:t>
            </w:r>
            <w:r w:rsidRPr="002D7E5F">
              <w:rPr>
                <w:szCs w:val="20"/>
              </w:rPr>
              <w:t>/an (forfait)</w:t>
            </w:r>
          </w:p>
        </w:tc>
      </w:tr>
      <w:tr w:rsidR="00C04241" w:rsidRPr="00B40D36" w14:paraId="09B08771" w14:textId="77777777" w:rsidTr="00F16B6B">
        <w:tc>
          <w:tcPr>
            <w:cnfStyle w:val="001000000000" w:firstRow="0" w:lastRow="0" w:firstColumn="1" w:lastColumn="0" w:oddVBand="0" w:evenVBand="0" w:oddHBand="0" w:evenHBand="0" w:firstRowFirstColumn="0" w:firstRowLastColumn="0" w:lastRowFirstColumn="0" w:lastRowLastColumn="0"/>
            <w:tcW w:w="0" w:type="auto"/>
            <w:vMerge/>
            <w:hideMark/>
          </w:tcPr>
          <w:p w14:paraId="13CCA6A6" w14:textId="77777777" w:rsidR="00EF743A" w:rsidRPr="004637C7" w:rsidRDefault="00EF743A" w:rsidP="00F16B6B">
            <w:pPr>
              <w:spacing w:before="0" w:after="0" w:line="240" w:lineRule="auto"/>
              <w:jc w:val="left"/>
              <w:rPr>
                <w:rFonts w:asciiTheme="minorHAnsi" w:hAnsiTheme="minorHAnsi" w:cstheme="minorHAnsi"/>
                <w:szCs w:val="20"/>
                <w:lang w:eastAsia="fr-FR" w:bidi="ar-SA"/>
              </w:rPr>
            </w:pPr>
          </w:p>
        </w:tc>
        <w:tc>
          <w:tcPr>
            <w:tcW w:w="0" w:type="auto"/>
            <w:hideMark/>
          </w:tcPr>
          <w:p w14:paraId="2D21E7A0" w14:textId="77777777" w:rsidR="00EF743A" w:rsidRPr="004637C7" w:rsidRDefault="00EF743A" w:rsidP="00F16B6B">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sidRPr="004637C7">
              <w:rPr>
                <w:rFonts w:asciiTheme="minorHAnsi" w:hAnsiTheme="minorHAnsi" w:cstheme="minorHAnsi"/>
                <w:b/>
                <w:bCs/>
                <w:szCs w:val="20"/>
                <w:lang w:eastAsia="fr-FR" w:bidi="ar-SA"/>
              </w:rPr>
              <w:t>Compenser (non requis)</w:t>
            </w:r>
          </w:p>
        </w:tc>
        <w:tc>
          <w:tcPr>
            <w:tcW w:w="0" w:type="auto"/>
            <w:hideMark/>
          </w:tcPr>
          <w:p w14:paraId="08BFBD3F" w14:textId="77777777" w:rsidR="00EF743A" w:rsidRPr="004637C7" w:rsidRDefault="00EF743A" w:rsidP="00F16B6B">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sidRPr="004637C7">
              <w:rPr>
                <w:rFonts w:asciiTheme="minorHAnsi" w:hAnsiTheme="minorHAnsi" w:cstheme="minorHAnsi"/>
                <w:szCs w:val="20"/>
                <w:lang w:eastAsia="fr-FR" w:bidi="ar-SA"/>
              </w:rPr>
              <w:t>Aucun dispositif compensatoire requis : les impacts énergétiques sont temporaires et de faible intensité.</w:t>
            </w:r>
          </w:p>
        </w:tc>
        <w:tc>
          <w:tcPr>
            <w:tcW w:w="0" w:type="auto"/>
            <w:hideMark/>
          </w:tcPr>
          <w:p w14:paraId="3ECBBE61" w14:textId="77777777" w:rsidR="00EF743A" w:rsidRPr="004637C7" w:rsidRDefault="00EF743A" w:rsidP="00F16B6B">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sidRPr="004637C7">
              <w:rPr>
                <w:rFonts w:asciiTheme="minorHAnsi" w:hAnsiTheme="minorHAnsi" w:cstheme="minorHAnsi"/>
                <w:szCs w:val="20"/>
                <w:lang w:eastAsia="fr-FR" w:bidi="ar-SA"/>
              </w:rPr>
              <w:t>—</w:t>
            </w:r>
          </w:p>
        </w:tc>
        <w:tc>
          <w:tcPr>
            <w:tcW w:w="0" w:type="auto"/>
            <w:hideMark/>
          </w:tcPr>
          <w:p w14:paraId="29535453" w14:textId="77777777" w:rsidR="00EF743A" w:rsidRPr="004637C7" w:rsidRDefault="00EF743A" w:rsidP="00F16B6B">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sidRPr="004637C7">
              <w:rPr>
                <w:rFonts w:asciiTheme="minorHAnsi" w:hAnsiTheme="minorHAnsi" w:cstheme="minorHAnsi"/>
                <w:szCs w:val="20"/>
                <w:lang w:eastAsia="fr-FR" w:bidi="ar-SA"/>
              </w:rPr>
              <w:t>—</w:t>
            </w:r>
          </w:p>
        </w:tc>
        <w:tc>
          <w:tcPr>
            <w:tcW w:w="0" w:type="auto"/>
            <w:hideMark/>
          </w:tcPr>
          <w:p w14:paraId="7CD6B9C2" w14:textId="77777777" w:rsidR="00EF743A" w:rsidRPr="004637C7" w:rsidRDefault="00EF743A" w:rsidP="00F16B6B">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sidRPr="004637C7">
              <w:rPr>
                <w:rFonts w:asciiTheme="minorHAnsi" w:hAnsiTheme="minorHAnsi" w:cstheme="minorHAnsi"/>
                <w:szCs w:val="20"/>
                <w:lang w:eastAsia="fr-FR" w:bidi="ar-SA"/>
              </w:rPr>
              <w:t>—</w:t>
            </w:r>
          </w:p>
        </w:tc>
        <w:tc>
          <w:tcPr>
            <w:tcW w:w="0" w:type="auto"/>
            <w:hideMark/>
          </w:tcPr>
          <w:p w14:paraId="54A13DDD" w14:textId="77777777" w:rsidR="00EF743A" w:rsidRPr="004637C7" w:rsidRDefault="00EF743A" w:rsidP="00F16B6B">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sidRPr="004637C7">
              <w:rPr>
                <w:rFonts w:asciiTheme="minorHAnsi" w:hAnsiTheme="minorHAnsi" w:cstheme="minorHAnsi"/>
                <w:szCs w:val="20"/>
                <w:lang w:eastAsia="fr-FR" w:bidi="ar-SA"/>
              </w:rPr>
              <w:t>—</w:t>
            </w:r>
          </w:p>
        </w:tc>
        <w:tc>
          <w:tcPr>
            <w:tcW w:w="0" w:type="auto"/>
            <w:hideMark/>
          </w:tcPr>
          <w:p w14:paraId="48CF20D3" w14:textId="77777777" w:rsidR="00EF743A" w:rsidRPr="004637C7" w:rsidRDefault="00EF743A" w:rsidP="00F16B6B">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sidRPr="004637C7">
              <w:rPr>
                <w:rFonts w:asciiTheme="minorHAnsi" w:hAnsiTheme="minorHAnsi" w:cstheme="minorHAnsi"/>
                <w:szCs w:val="20"/>
                <w:lang w:eastAsia="fr-FR" w:bidi="ar-SA"/>
              </w:rPr>
              <w:t>—</w:t>
            </w:r>
          </w:p>
        </w:tc>
        <w:tc>
          <w:tcPr>
            <w:tcW w:w="0" w:type="auto"/>
            <w:hideMark/>
          </w:tcPr>
          <w:p w14:paraId="4D2B1AD0" w14:textId="77777777" w:rsidR="00EF743A" w:rsidRPr="004637C7" w:rsidRDefault="00EF743A" w:rsidP="00F16B6B">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sidRPr="004637C7">
              <w:rPr>
                <w:rFonts w:asciiTheme="minorHAnsi" w:hAnsiTheme="minorHAnsi" w:cstheme="minorHAnsi"/>
                <w:szCs w:val="20"/>
                <w:lang w:eastAsia="fr-FR" w:bidi="ar-SA"/>
              </w:rPr>
              <w:t>—</w:t>
            </w:r>
          </w:p>
        </w:tc>
      </w:tr>
      <w:tr w:rsidR="00C04241" w:rsidRPr="00B40D36" w14:paraId="04723882" w14:textId="77777777" w:rsidTr="00F16B6B">
        <w:tc>
          <w:tcPr>
            <w:cnfStyle w:val="001000000000" w:firstRow="0" w:lastRow="0" w:firstColumn="1" w:lastColumn="0" w:oddVBand="0" w:evenVBand="0" w:oddHBand="0" w:evenHBand="0" w:firstRowFirstColumn="0" w:firstRowLastColumn="0" w:lastRowFirstColumn="0" w:lastRowLastColumn="0"/>
            <w:tcW w:w="0" w:type="auto"/>
            <w:vMerge w:val="restart"/>
          </w:tcPr>
          <w:p w14:paraId="384B0690" w14:textId="71F0D8C0" w:rsidR="00C40C47" w:rsidRPr="00AA22F2" w:rsidRDefault="00C40C47" w:rsidP="00C40C47">
            <w:pPr>
              <w:spacing w:before="0" w:after="0" w:line="240" w:lineRule="auto"/>
              <w:jc w:val="left"/>
              <w:rPr>
                <w:rFonts w:asciiTheme="minorHAnsi" w:hAnsiTheme="minorHAnsi" w:cstheme="minorHAnsi"/>
                <w:szCs w:val="20"/>
                <w:lang w:eastAsia="fr-FR" w:bidi="ar-SA"/>
              </w:rPr>
            </w:pPr>
            <w:r w:rsidRPr="00AA22F2">
              <w:rPr>
                <w:szCs w:val="20"/>
              </w:rPr>
              <w:t xml:space="preserve">Utilisation de matières premières </w:t>
            </w:r>
          </w:p>
        </w:tc>
        <w:tc>
          <w:tcPr>
            <w:tcW w:w="0" w:type="auto"/>
          </w:tcPr>
          <w:p w14:paraId="31479782" w14:textId="603EDAD9" w:rsidR="00C40C47" w:rsidRPr="00AA22F2" w:rsidRDefault="00C40C47" w:rsidP="00C40C47">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Cs w:val="20"/>
                <w:lang w:eastAsia="fr-FR" w:bidi="ar-SA"/>
              </w:rPr>
            </w:pPr>
            <w:r w:rsidRPr="00AA22F2">
              <w:rPr>
                <w:b/>
                <w:bCs/>
                <w:szCs w:val="20"/>
              </w:rPr>
              <w:t>Éviter</w:t>
            </w:r>
          </w:p>
        </w:tc>
        <w:tc>
          <w:tcPr>
            <w:tcW w:w="0" w:type="auto"/>
          </w:tcPr>
          <w:p w14:paraId="228C1DDC" w14:textId="665EA07B" w:rsidR="00C40C47" w:rsidRPr="00AA22F2" w:rsidRDefault="00C40C47" w:rsidP="00C40C47">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sidRPr="00AA22F2">
              <w:rPr>
                <w:szCs w:val="20"/>
              </w:rPr>
              <w:t>Aucun prélèvement local de matériaux ni ouverture de carrière temporaire.</w:t>
            </w:r>
          </w:p>
        </w:tc>
        <w:tc>
          <w:tcPr>
            <w:tcW w:w="0" w:type="auto"/>
          </w:tcPr>
          <w:p w14:paraId="74624D45" w14:textId="573F6CDE" w:rsidR="00C40C47" w:rsidRPr="00AA22F2" w:rsidRDefault="00C40C47" w:rsidP="00C40C47">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sidRPr="00AA22F2">
              <w:rPr>
                <w:szCs w:val="20"/>
              </w:rPr>
              <w:t>Traçabilité des fournisseurs ; absence de site d’extraction local.</w:t>
            </w:r>
          </w:p>
        </w:tc>
        <w:tc>
          <w:tcPr>
            <w:tcW w:w="0" w:type="auto"/>
          </w:tcPr>
          <w:p w14:paraId="7A3B53CA" w14:textId="6BD6381C" w:rsidR="00C40C47" w:rsidRPr="00AA22F2" w:rsidRDefault="00C40C47" w:rsidP="00C40C47">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sidRPr="004637C7">
              <w:rPr>
                <w:rFonts w:asciiTheme="minorHAnsi" w:hAnsiTheme="minorHAnsi" w:cstheme="minorHAnsi"/>
                <w:szCs w:val="20"/>
                <w:lang w:eastAsia="fr-FR" w:bidi="ar-SA"/>
              </w:rPr>
              <w:t>EPC et sous-traitants</w:t>
            </w:r>
          </w:p>
        </w:tc>
        <w:tc>
          <w:tcPr>
            <w:tcW w:w="0" w:type="auto"/>
          </w:tcPr>
          <w:p w14:paraId="510A52CF" w14:textId="13E3C994" w:rsidR="00C40C47" w:rsidRPr="00AA22F2" w:rsidRDefault="00C40C47" w:rsidP="00C40C47">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sidRPr="00BC1745">
              <w:rPr>
                <w:szCs w:val="20"/>
              </w:rPr>
              <w:t>Bureau de contrôle / Consultant de supervision mandaté par l’ONDA</w:t>
            </w:r>
          </w:p>
        </w:tc>
        <w:tc>
          <w:tcPr>
            <w:tcW w:w="0" w:type="auto"/>
          </w:tcPr>
          <w:p w14:paraId="1417B4BB" w14:textId="7DB6ED6C" w:rsidR="00C40C47" w:rsidRPr="00AA22F2" w:rsidRDefault="00C40C47" w:rsidP="00C40C47">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Pr>
                <w:rFonts w:asciiTheme="minorHAnsi" w:hAnsiTheme="minorHAnsi" w:cstheme="minorHAnsi"/>
                <w:szCs w:val="20"/>
                <w:lang w:eastAsia="zh-CN"/>
              </w:rPr>
              <w:t>ONDA</w:t>
            </w:r>
          </w:p>
        </w:tc>
        <w:tc>
          <w:tcPr>
            <w:tcW w:w="0" w:type="auto"/>
          </w:tcPr>
          <w:p w14:paraId="6C7D2221" w14:textId="42575980" w:rsidR="00C40C47" w:rsidRPr="00AA22F2" w:rsidRDefault="00C40C47" w:rsidP="00C40C47">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sidRPr="00AA22F2">
              <w:rPr>
                <w:szCs w:val="20"/>
              </w:rPr>
              <w:t>Phase travaux</w:t>
            </w:r>
          </w:p>
        </w:tc>
        <w:tc>
          <w:tcPr>
            <w:tcW w:w="0" w:type="auto"/>
          </w:tcPr>
          <w:p w14:paraId="17932EAC" w14:textId="1BB4AC6B" w:rsidR="00C40C47" w:rsidRPr="00AA22F2" w:rsidRDefault="002D7E5F" w:rsidP="00C40C47">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Pr>
                <w:szCs w:val="20"/>
              </w:rPr>
              <w:t>Aucun coût spécifique</w:t>
            </w:r>
          </w:p>
        </w:tc>
      </w:tr>
      <w:tr w:rsidR="00C04241" w:rsidRPr="00B40D36" w14:paraId="4230DADB" w14:textId="77777777" w:rsidTr="00F16B6B">
        <w:tc>
          <w:tcPr>
            <w:cnfStyle w:val="001000000000" w:firstRow="0" w:lastRow="0" w:firstColumn="1" w:lastColumn="0" w:oddVBand="0" w:evenVBand="0" w:oddHBand="0" w:evenHBand="0" w:firstRowFirstColumn="0" w:firstRowLastColumn="0" w:lastRowFirstColumn="0" w:lastRowLastColumn="0"/>
            <w:tcW w:w="0" w:type="auto"/>
            <w:vMerge/>
          </w:tcPr>
          <w:p w14:paraId="6C577C6E" w14:textId="77777777" w:rsidR="00C40C47" w:rsidRPr="00AA22F2" w:rsidRDefault="00C40C47" w:rsidP="00C40C47">
            <w:pPr>
              <w:spacing w:before="0" w:after="0" w:line="240" w:lineRule="auto"/>
              <w:jc w:val="left"/>
              <w:rPr>
                <w:rFonts w:asciiTheme="minorHAnsi" w:hAnsiTheme="minorHAnsi" w:cstheme="minorHAnsi"/>
                <w:szCs w:val="20"/>
                <w:lang w:eastAsia="fr-FR" w:bidi="ar-SA"/>
              </w:rPr>
            </w:pPr>
          </w:p>
        </w:tc>
        <w:tc>
          <w:tcPr>
            <w:tcW w:w="0" w:type="auto"/>
          </w:tcPr>
          <w:p w14:paraId="734D7F05" w14:textId="50911F9D" w:rsidR="00C40C47" w:rsidRPr="00AA22F2" w:rsidRDefault="00C40C47" w:rsidP="00C40C47">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Cs w:val="20"/>
                <w:lang w:eastAsia="fr-FR" w:bidi="ar-SA"/>
              </w:rPr>
            </w:pPr>
            <w:r w:rsidRPr="00AA22F2">
              <w:rPr>
                <w:b/>
                <w:bCs/>
                <w:szCs w:val="20"/>
              </w:rPr>
              <w:t>Réduire</w:t>
            </w:r>
          </w:p>
        </w:tc>
        <w:tc>
          <w:tcPr>
            <w:tcW w:w="0" w:type="auto"/>
          </w:tcPr>
          <w:p w14:paraId="7F0ED4C7" w14:textId="548C8369" w:rsidR="00C40C47" w:rsidRPr="00AA22F2" w:rsidRDefault="00C40C47" w:rsidP="00C40C47">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sidRPr="00AA22F2">
              <w:rPr>
                <w:szCs w:val="20"/>
              </w:rPr>
              <w:t>Approvisionnement auprès de carrières agréées.</w:t>
            </w:r>
          </w:p>
        </w:tc>
        <w:tc>
          <w:tcPr>
            <w:tcW w:w="0" w:type="auto"/>
          </w:tcPr>
          <w:p w14:paraId="7705E122" w14:textId="6C03B73B" w:rsidR="00C40C47" w:rsidRPr="00AA22F2" w:rsidRDefault="00C40C47" w:rsidP="00C40C47">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sidRPr="00AA22F2">
              <w:rPr>
                <w:szCs w:val="20"/>
              </w:rPr>
              <w:t xml:space="preserve">% de matériaux provenant de carrières autorisées ; </w:t>
            </w:r>
          </w:p>
        </w:tc>
        <w:tc>
          <w:tcPr>
            <w:tcW w:w="0" w:type="auto"/>
          </w:tcPr>
          <w:p w14:paraId="379AC585" w14:textId="673CE979" w:rsidR="00C40C47" w:rsidRPr="00AA22F2" w:rsidRDefault="00C40C47" w:rsidP="00C40C47">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sidRPr="004637C7">
              <w:rPr>
                <w:rFonts w:asciiTheme="minorHAnsi" w:hAnsiTheme="minorHAnsi" w:cstheme="minorHAnsi"/>
                <w:szCs w:val="20"/>
                <w:lang w:eastAsia="fr-FR" w:bidi="ar-SA"/>
              </w:rPr>
              <w:t>EPC et sous-traitants</w:t>
            </w:r>
          </w:p>
        </w:tc>
        <w:tc>
          <w:tcPr>
            <w:tcW w:w="0" w:type="auto"/>
          </w:tcPr>
          <w:p w14:paraId="47985602" w14:textId="712F6E1C" w:rsidR="00C40C47" w:rsidRPr="00AA22F2" w:rsidRDefault="00C40C47" w:rsidP="00C40C47">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sidRPr="00BC1745">
              <w:rPr>
                <w:szCs w:val="20"/>
              </w:rPr>
              <w:t>Bureau de contrôle / Consultant de supervision mandaté par l’ONDA</w:t>
            </w:r>
          </w:p>
        </w:tc>
        <w:tc>
          <w:tcPr>
            <w:tcW w:w="0" w:type="auto"/>
          </w:tcPr>
          <w:p w14:paraId="3A286AA3" w14:textId="5CD2334D" w:rsidR="00C40C47" w:rsidRPr="00AA22F2" w:rsidRDefault="00C40C47" w:rsidP="00C40C47">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Pr>
                <w:rFonts w:asciiTheme="minorHAnsi" w:hAnsiTheme="minorHAnsi" w:cstheme="minorHAnsi"/>
                <w:szCs w:val="20"/>
                <w:lang w:eastAsia="zh-CN"/>
              </w:rPr>
              <w:t>ONDA</w:t>
            </w:r>
          </w:p>
        </w:tc>
        <w:tc>
          <w:tcPr>
            <w:tcW w:w="0" w:type="auto"/>
          </w:tcPr>
          <w:p w14:paraId="3B8FB5DF" w14:textId="659E7EE8" w:rsidR="00C40C47" w:rsidRPr="00AA22F2" w:rsidRDefault="00C40C47" w:rsidP="00C40C47">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sidRPr="00AA22F2">
              <w:rPr>
                <w:szCs w:val="20"/>
              </w:rPr>
              <w:t>Phase travaux</w:t>
            </w:r>
          </w:p>
        </w:tc>
        <w:tc>
          <w:tcPr>
            <w:tcW w:w="0" w:type="auto"/>
          </w:tcPr>
          <w:p w14:paraId="134110DE" w14:textId="7D4742D5" w:rsidR="00C40C47" w:rsidRPr="00AA22F2" w:rsidRDefault="002D7E5F" w:rsidP="00C40C47">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sidRPr="002D7E5F">
              <w:rPr>
                <w:sz w:val="22"/>
              </w:rPr>
              <w:t xml:space="preserve"> </w:t>
            </w:r>
            <w:r w:rsidRPr="002D7E5F">
              <w:rPr>
                <w:szCs w:val="20"/>
              </w:rPr>
              <w:t xml:space="preserve">150 – 200 </w:t>
            </w:r>
            <w:r>
              <w:rPr>
                <w:szCs w:val="20"/>
              </w:rPr>
              <w:t>MAD</w:t>
            </w:r>
            <w:r w:rsidRPr="002D7E5F">
              <w:rPr>
                <w:szCs w:val="20"/>
              </w:rPr>
              <w:t>/m³ (granulats livrés)</w:t>
            </w:r>
          </w:p>
        </w:tc>
      </w:tr>
      <w:tr w:rsidR="00C04241" w:rsidRPr="00B40D36" w14:paraId="3ECC4288" w14:textId="77777777" w:rsidTr="00F16B6B">
        <w:tc>
          <w:tcPr>
            <w:cnfStyle w:val="001000000000" w:firstRow="0" w:lastRow="0" w:firstColumn="1" w:lastColumn="0" w:oddVBand="0" w:evenVBand="0" w:oddHBand="0" w:evenHBand="0" w:firstRowFirstColumn="0" w:firstRowLastColumn="0" w:lastRowFirstColumn="0" w:lastRowLastColumn="0"/>
            <w:tcW w:w="0" w:type="auto"/>
            <w:vMerge/>
          </w:tcPr>
          <w:p w14:paraId="10B0F08F" w14:textId="77777777" w:rsidR="00C40C47" w:rsidRPr="00AA22F2" w:rsidRDefault="00C40C47" w:rsidP="00C40C47">
            <w:pPr>
              <w:spacing w:before="0" w:after="0" w:line="240" w:lineRule="auto"/>
              <w:jc w:val="left"/>
              <w:rPr>
                <w:rFonts w:asciiTheme="minorHAnsi" w:hAnsiTheme="minorHAnsi" w:cstheme="minorHAnsi"/>
                <w:szCs w:val="20"/>
                <w:lang w:eastAsia="fr-FR" w:bidi="ar-SA"/>
              </w:rPr>
            </w:pPr>
          </w:p>
        </w:tc>
        <w:tc>
          <w:tcPr>
            <w:tcW w:w="0" w:type="auto"/>
          </w:tcPr>
          <w:p w14:paraId="6F09601C" w14:textId="47B34248" w:rsidR="00C40C47" w:rsidRPr="00AA22F2" w:rsidRDefault="00C40C47" w:rsidP="00C40C47">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Cs w:val="20"/>
                <w:lang w:eastAsia="fr-FR" w:bidi="ar-SA"/>
              </w:rPr>
            </w:pPr>
            <w:r w:rsidRPr="00AA22F2">
              <w:rPr>
                <w:b/>
                <w:bCs/>
                <w:szCs w:val="20"/>
              </w:rPr>
              <w:t>Atténuer / Compenser</w:t>
            </w:r>
          </w:p>
        </w:tc>
        <w:tc>
          <w:tcPr>
            <w:tcW w:w="0" w:type="auto"/>
          </w:tcPr>
          <w:p w14:paraId="55B8FAEC" w14:textId="43029F92" w:rsidR="00C40C47" w:rsidRPr="00AA22F2" w:rsidRDefault="00C40C47" w:rsidP="00C40C47">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sidRPr="00AA22F2">
              <w:rPr>
                <w:szCs w:val="20"/>
              </w:rPr>
              <w:t>Recyclage interne des matériaux inertes (béton, remblais) et réutilisation du topsoil pour la remise en état.</w:t>
            </w:r>
          </w:p>
        </w:tc>
        <w:tc>
          <w:tcPr>
            <w:tcW w:w="0" w:type="auto"/>
          </w:tcPr>
          <w:p w14:paraId="347F072D" w14:textId="56B06E97" w:rsidR="00C40C47" w:rsidRPr="00AA22F2" w:rsidRDefault="00C40C47" w:rsidP="00C40C47">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sidRPr="00AA22F2">
              <w:rPr>
                <w:szCs w:val="20"/>
              </w:rPr>
              <w:t>% de matériaux recyclés ou réemployés.</w:t>
            </w:r>
          </w:p>
        </w:tc>
        <w:tc>
          <w:tcPr>
            <w:tcW w:w="0" w:type="auto"/>
          </w:tcPr>
          <w:p w14:paraId="08432237" w14:textId="6ED2C3BB" w:rsidR="00C40C47" w:rsidRPr="00AA22F2" w:rsidRDefault="00C40C47" w:rsidP="00C40C47">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sidRPr="004637C7">
              <w:rPr>
                <w:rFonts w:asciiTheme="minorHAnsi" w:hAnsiTheme="minorHAnsi" w:cstheme="minorHAnsi"/>
                <w:szCs w:val="20"/>
                <w:lang w:eastAsia="fr-FR" w:bidi="ar-SA"/>
              </w:rPr>
              <w:t>EPC et sous-traitants</w:t>
            </w:r>
          </w:p>
        </w:tc>
        <w:tc>
          <w:tcPr>
            <w:tcW w:w="0" w:type="auto"/>
          </w:tcPr>
          <w:p w14:paraId="12845BCB" w14:textId="27A61830" w:rsidR="00C40C47" w:rsidRPr="00AA22F2" w:rsidRDefault="00C40C47" w:rsidP="00C40C47">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sidRPr="00BC1745">
              <w:rPr>
                <w:szCs w:val="20"/>
              </w:rPr>
              <w:t>Bureau de contrôle / Consultant de supervision mandaté par l’ONDA</w:t>
            </w:r>
          </w:p>
        </w:tc>
        <w:tc>
          <w:tcPr>
            <w:tcW w:w="0" w:type="auto"/>
          </w:tcPr>
          <w:p w14:paraId="7AC23CFB" w14:textId="24C0AACD" w:rsidR="00C40C47" w:rsidRPr="00AA22F2" w:rsidRDefault="00C40C47" w:rsidP="00C40C47">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Pr>
                <w:rFonts w:asciiTheme="minorHAnsi" w:hAnsiTheme="minorHAnsi" w:cstheme="minorHAnsi"/>
                <w:szCs w:val="20"/>
                <w:lang w:eastAsia="zh-CN"/>
              </w:rPr>
              <w:t>ONDA</w:t>
            </w:r>
          </w:p>
        </w:tc>
        <w:tc>
          <w:tcPr>
            <w:tcW w:w="0" w:type="auto"/>
          </w:tcPr>
          <w:p w14:paraId="08AA58E8" w14:textId="6584FB1D" w:rsidR="00C40C47" w:rsidRPr="00AA22F2" w:rsidRDefault="00C40C47" w:rsidP="00C40C47">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sidRPr="00AA22F2">
              <w:rPr>
                <w:szCs w:val="20"/>
              </w:rPr>
              <w:t>Fin de travaux</w:t>
            </w:r>
          </w:p>
        </w:tc>
        <w:tc>
          <w:tcPr>
            <w:tcW w:w="0" w:type="auto"/>
          </w:tcPr>
          <w:p w14:paraId="11E0E12A" w14:textId="31DBEDE6" w:rsidR="00C40C47" w:rsidRDefault="002D7E5F" w:rsidP="00C40C47">
            <w:pPr>
              <w:spacing w:before="0" w:after="0" w:line="240" w:lineRule="auto"/>
              <w:jc w:val="left"/>
              <w:cnfStyle w:val="000000000000" w:firstRow="0" w:lastRow="0" w:firstColumn="0" w:lastColumn="0" w:oddVBand="0" w:evenVBand="0" w:oddHBand="0" w:evenHBand="0" w:firstRowFirstColumn="0" w:firstRowLastColumn="0" w:lastRowFirstColumn="0" w:lastRowLastColumn="0"/>
              <w:rPr>
                <w:szCs w:val="20"/>
              </w:rPr>
            </w:pPr>
            <w:r w:rsidRPr="002D7E5F">
              <w:rPr>
                <w:szCs w:val="20"/>
              </w:rPr>
              <w:t>20 – 30</w:t>
            </w:r>
            <w:r>
              <w:rPr>
                <w:szCs w:val="20"/>
              </w:rPr>
              <w:t xml:space="preserve"> MAD</w:t>
            </w:r>
            <w:r w:rsidRPr="002D7E5F">
              <w:rPr>
                <w:szCs w:val="20"/>
              </w:rPr>
              <w:t xml:space="preserve"> /m³ traité</w:t>
            </w:r>
          </w:p>
          <w:p w14:paraId="4B09344E" w14:textId="77777777" w:rsidR="002D7E5F" w:rsidRDefault="002D7E5F" w:rsidP="00C40C47">
            <w:pPr>
              <w:spacing w:before="0" w:after="0" w:line="240" w:lineRule="auto"/>
              <w:jc w:val="left"/>
              <w:cnfStyle w:val="000000000000" w:firstRow="0" w:lastRow="0" w:firstColumn="0" w:lastColumn="0" w:oddVBand="0" w:evenVBand="0" w:oddHBand="0" w:evenHBand="0" w:firstRowFirstColumn="0" w:firstRowLastColumn="0" w:lastRowFirstColumn="0" w:lastRowLastColumn="0"/>
              <w:rPr>
                <w:szCs w:val="20"/>
              </w:rPr>
            </w:pPr>
          </w:p>
          <w:p w14:paraId="0A21692B" w14:textId="0826ACF9" w:rsidR="002D7E5F" w:rsidRPr="00AA22F2" w:rsidRDefault="002D7E5F" w:rsidP="00C40C47">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sidRPr="002D7E5F">
              <w:rPr>
                <w:rFonts w:asciiTheme="minorHAnsi" w:hAnsiTheme="minorHAnsi" w:cstheme="minorHAnsi"/>
                <w:szCs w:val="20"/>
                <w:lang w:eastAsia="fr-FR" w:bidi="ar-SA"/>
              </w:rPr>
              <w:t>15 – 20</w:t>
            </w:r>
            <w:r>
              <w:rPr>
                <w:rFonts w:asciiTheme="minorHAnsi" w:hAnsiTheme="minorHAnsi" w:cstheme="minorHAnsi"/>
                <w:szCs w:val="20"/>
                <w:lang w:eastAsia="fr-FR" w:bidi="ar-SA"/>
              </w:rPr>
              <w:t xml:space="preserve"> MAD</w:t>
            </w:r>
            <w:r w:rsidRPr="002D7E5F">
              <w:rPr>
                <w:rFonts w:asciiTheme="minorHAnsi" w:hAnsiTheme="minorHAnsi" w:cstheme="minorHAnsi"/>
                <w:szCs w:val="20"/>
                <w:lang w:eastAsia="fr-FR" w:bidi="ar-SA"/>
              </w:rPr>
              <w:t xml:space="preserve"> /m³ stocké et remis en place</w:t>
            </w:r>
          </w:p>
        </w:tc>
      </w:tr>
    </w:tbl>
    <w:p w14:paraId="498E6187" w14:textId="4DEF111D" w:rsidR="00F16B6B" w:rsidRDefault="00F16B6B"/>
    <w:p w14:paraId="4D48E648" w14:textId="77777777" w:rsidR="00C57A0C" w:rsidRDefault="00C57A0C" w:rsidP="00C57A0C"/>
    <w:p w14:paraId="3214EACD" w14:textId="77777777" w:rsidR="00C57A0C" w:rsidRDefault="00C57A0C" w:rsidP="00C57A0C"/>
    <w:p w14:paraId="233AA153" w14:textId="77777777" w:rsidR="00C57A0C" w:rsidRDefault="00C57A0C" w:rsidP="004637C7">
      <w:pPr>
        <w:sectPr w:rsidR="00C57A0C" w:rsidSect="004637C7">
          <w:pgSz w:w="16838" w:h="11906" w:orient="landscape"/>
          <w:pgMar w:top="1418" w:right="1418" w:bottom="1418" w:left="1276" w:header="680" w:footer="680" w:gutter="0"/>
          <w:cols w:space="708"/>
          <w:docGrid w:linePitch="360"/>
        </w:sectPr>
      </w:pPr>
    </w:p>
    <w:p w14:paraId="6FD69E53" w14:textId="53C22AA8" w:rsidR="005000F8" w:rsidRDefault="005000F8" w:rsidP="005000F8">
      <w:pPr>
        <w:pStyle w:val="Title5"/>
      </w:pPr>
      <w:r>
        <w:lastRenderedPageBreak/>
        <w:t>Evaluation des impacts résiduels</w:t>
      </w:r>
    </w:p>
    <w:p w14:paraId="4FF8BE1E" w14:textId="2A8C20D7" w:rsidR="00522319" w:rsidRDefault="00522319" w:rsidP="0001633E">
      <w:pPr>
        <w:pStyle w:val="AltTitle2"/>
        <w:numPr>
          <w:ilvl w:val="0"/>
          <w:numId w:val="106"/>
        </w:numPr>
      </w:pPr>
      <w:r>
        <w:t xml:space="preserve">Utilisation de l’eau </w:t>
      </w:r>
    </w:p>
    <w:p w14:paraId="35C59710" w14:textId="77777777" w:rsidR="00522319" w:rsidRDefault="00522319" w:rsidP="00522319">
      <w:r>
        <w:t>Dès la conception du projet, les mesures d’évitement ont été intégrées, garantissant l’absence totale de prélèvement d’eau souterraine et de raccordement au réseau public.</w:t>
      </w:r>
    </w:p>
    <w:p w14:paraId="784119F9" w14:textId="77777777" w:rsidR="00522319" w:rsidRPr="00E47BA6" w:rsidRDefault="00522319" w:rsidP="00522319">
      <w:r w:rsidRPr="00E47BA6">
        <w:t>L’approvisionnement est réalisé par citernes mobiles autorisées et bonbonnes d’eau potable scellées, ce qui élimine tout risque de pression sur la ressource hydrique locale.</w:t>
      </w:r>
    </w:p>
    <w:p w14:paraId="16BF0C0F" w14:textId="77777777" w:rsidR="00522319" w:rsidRPr="00E47BA6" w:rsidRDefault="00522319" w:rsidP="00522319">
      <w:r w:rsidRPr="00E47BA6">
        <w:t>Ainsi, l’impact initial est nul, et les mesures prévues n’ont qu’un rôle de maintien du statu quo.</w:t>
      </w:r>
    </w:p>
    <w:p w14:paraId="008F4AA0" w14:textId="77777777" w:rsidR="008436E8" w:rsidRDefault="00522319" w:rsidP="00522319">
      <w:r w:rsidRPr="00E47BA6">
        <w:t>L’impact est direct, mais sans effet mesurable sur les nappes phréatiques ni sur les réseaux publics.</w:t>
      </w:r>
    </w:p>
    <w:p w14:paraId="1FB6EE98" w14:textId="4430007B" w:rsidR="005000F8" w:rsidRDefault="00B135BF" w:rsidP="00522319">
      <w:r w:rsidRPr="004637C7">
        <w:t>L’importance résiduelle de l’impact est nulle</w:t>
      </w:r>
      <w:r w:rsidRPr="00E47BA6">
        <w:t xml:space="preserve">, confirmant que le projet ne génère </w:t>
      </w:r>
      <w:r w:rsidRPr="004637C7">
        <w:t>aucune pression hydrique directe ou indirecte</w:t>
      </w:r>
      <w:r w:rsidRPr="00E47BA6">
        <w:t>.</w:t>
      </w:r>
    </w:p>
    <w:p w14:paraId="10B03706" w14:textId="77777777" w:rsidR="008436E8" w:rsidRDefault="008436E8" w:rsidP="0001633E">
      <w:pPr>
        <w:pStyle w:val="AltTitle2"/>
        <w:numPr>
          <w:ilvl w:val="0"/>
          <w:numId w:val="106"/>
        </w:numPr>
      </w:pPr>
      <w:r>
        <w:t>Utilisation de l’énergie</w:t>
      </w:r>
    </w:p>
    <w:p w14:paraId="789F7B50" w14:textId="280C6D5A" w:rsidR="00B135BF" w:rsidRDefault="008436E8" w:rsidP="00522319">
      <w:r w:rsidRPr="008436E8">
        <w:t>L’alimentation énergétique du chantier est assurée par un branchement provisoire au réseau public de l’ONEE, complété par l’usage ponctuel de groupes électrogènes pour les besoins de secours ou d’alimentation temporaire.</w:t>
      </w:r>
      <w:r>
        <w:t xml:space="preserve"> </w:t>
      </w:r>
    </w:p>
    <w:p w14:paraId="6B90A1E8" w14:textId="5D376D76" w:rsidR="00A06D6C" w:rsidRDefault="00A06D6C" w:rsidP="00522319">
      <w:r w:rsidRPr="00A06D6C">
        <w:t xml:space="preserve">L’impact, initialement faible, est </w:t>
      </w:r>
      <w:r w:rsidRPr="004637C7">
        <w:t>fortement réduit après application des mesures de gestion. L’importance de l’impact résiduel est négligeable</w:t>
      </w:r>
      <w:r w:rsidRPr="00A06D6C">
        <w:t xml:space="preserve">, car la consommation d’énergie du chantier ne représente qu’une fraction </w:t>
      </w:r>
      <w:r>
        <w:t>minime</w:t>
      </w:r>
      <w:r w:rsidRPr="00A06D6C">
        <w:t xml:space="preserve"> de la capacité disponible et n’entraîne aucune perturbation du réseau.</w:t>
      </w:r>
    </w:p>
    <w:p w14:paraId="47B018A6" w14:textId="6472A49F" w:rsidR="00A06D6C" w:rsidRDefault="001D420D" w:rsidP="0001633E">
      <w:pPr>
        <w:pStyle w:val="AltTitle2"/>
        <w:numPr>
          <w:ilvl w:val="0"/>
          <w:numId w:val="106"/>
        </w:numPr>
      </w:pPr>
      <w:r>
        <w:t>Utilisation des matières premières</w:t>
      </w:r>
    </w:p>
    <w:p w14:paraId="2EE7D4F7" w14:textId="77777777" w:rsidR="00E66334" w:rsidRPr="004637C7" w:rsidRDefault="00E66334" w:rsidP="00E66334">
      <w:pPr>
        <w:rPr>
          <w:bCs/>
        </w:rPr>
      </w:pPr>
      <w:r w:rsidRPr="004637C7">
        <w:rPr>
          <w:bCs/>
        </w:rPr>
        <w:t>L’approvisionnement en matériaux (granulats, sable, ciment, bitume, acier) est réalisé exclusivement auprès de carrières et fournisseurs agréés, conformément à la loi n°27-13 sur les carrières et à la réglementation environnementale nationale.</w:t>
      </w:r>
    </w:p>
    <w:p w14:paraId="0EE1E07D" w14:textId="77777777" w:rsidR="00E66334" w:rsidRPr="004637C7" w:rsidRDefault="00E66334" w:rsidP="00E66334">
      <w:pPr>
        <w:rPr>
          <w:bCs/>
        </w:rPr>
      </w:pPr>
      <w:r w:rsidRPr="004637C7">
        <w:rPr>
          <w:bCs/>
        </w:rPr>
        <w:t>Aucune ouverture de carrière temporaire ni extraction locale n’est prévue, ce qui réduit fortement les effets directs sur les ressources naturelles.</w:t>
      </w:r>
    </w:p>
    <w:p w14:paraId="491D99AB" w14:textId="6E6A617E" w:rsidR="001D420D" w:rsidRPr="00E66334" w:rsidRDefault="00E66334" w:rsidP="004637C7">
      <w:r w:rsidRPr="00E66334">
        <w:rPr>
          <w:bCs/>
        </w:rPr>
        <w:t>Les mesures d’atténuation</w:t>
      </w:r>
      <w:r>
        <w:rPr>
          <w:bCs/>
        </w:rPr>
        <w:t xml:space="preserve"> proposées </w:t>
      </w:r>
      <w:r w:rsidRPr="00E66334">
        <w:rPr>
          <w:bCs/>
        </w:rPr>
        <w:t xml:space="preserve">permettent de </w:t>
      </w:r>
      <w:r w:rsidR="00DF18AA">
        <w:rPr>
          <w:bCs/>
        </w:rPr>
        <w:t>rendre</w:t>
      </w:r>
      <w:r w:rsidRPr="00E66334">
        <w:rPr>
          <w:bCs/>
        </w:rPr>
        <w:t xml:space="preserve"> les effets indirects</w:t>
      </w:r>
      <w:r>
        <w:rPr>
          <w:bCs/>
        </w:rPr>
        <w:t xml:space="preserve"> </w:t>
      </w:r>
      <w:r w:rsidR="00DF18AA">
        <w:rPr>
          <w:bCs/>
        </w:rPr>
        <w:t>négligeable.</w:t>
      </w:r>
    </w:p>
    <w:p w14:paraId="7FFD6A2F" w14:textId="0E1FAA58" w:rsidR="00121579" w:rsidRPr="00232C0D" w:rsidRDefault="00121579" w:rsidP="00C57A0C">
      <w:pPr>
        <w:pStyle w:val="Title4"/>
        <w:tabs>
          <w:tab w:val="clear" w:pos="1134"/>
          <w:tab w:val="left" w:pos="993"/>
        </w:tabs>
      </w:pPr>
      <w:r w:rsidRPr="00232C0D">
        <w:t>Phase exploitation</w:t>
      </w:r>
    </w:p>
    <w:p w14:paraId="27F40E2B" w14:textId="36E903F3" w:rsidR="00036867" w:rsidRDefault="00036867" w:rsidP="00547F05">
      <w:pPr>
        <w:pStyle w:val="Title5"/>
      </w:pPr>
      <w:r>
        <w:t>Identification et évaluation des impacts et risques</w:t>
      </w:r>
    </w:p>
    <w:p w14:paraId="3B4D36B7" w14:textId="630E305E" w:rsidR="00C7714E" w:rsidRDefault="00C7714E" w:rsidP="0001633E">
      <w:pPr>
        <w:pStyle w:val="AltTitle2"/>
        <w:numPr>
          <w:ilvl w:val="0"/>
          <w:numId w:val="106"/>
        </w:numPr>
      </w:pPr>
      <w:r>
        <w:t>Utilisation de l’eau</w:t>
      </w:r>
    </w:p>
    <w:p w14:paraId="3EECEFC8" w14:textId="34076D08" w:rsidR="0078503B" w:rsidRDefault="0078503B" w:rsidP="0078503B">
      <w:r>
        <w:t xml:space="preserve">Durant la phase d’exploitation, les besoins en eau du nouveau parking avions seront couverts par les réseaux internes de distribution déjà en place au sein de l’aéroport </w:t>
      </w:r>
      <w:r w:rsidR="00EF4165">
        <w:t>Marrakech Ménara</w:t>
      </w:r>
      <w:r>
        <w:t xml:space="preserve">, alimentés par le réseau public de </w:t>
      </w:r>
      <w:r w:rsidR="00AB12E8">
        <w:t>l’</w:t>
      </w:r>
      <w:r>
        <w:t>ONEE</w:t>
      </w:r>
      <w:r w:rsidR="00AB12E8">
        <w:t>.</w:t>
      </w:r>
    </w:p>
    <w:p w14:paraId="22B7AC2A" w14:textId="77777777" w:rsidR="0078503B" w:rsidRDefault="0078503B" w:rsidP="0078503B">
      <w:r>
        <w:t>Aucun nouveau prélèvement d’eau souterraine n’est envisagé et aucune infrastructure de captage ou de stockage additionnelle ne sera mise en œuvre.</w:t>
      </w:r>
    </w:p>
    <w:p w14:paraId="7B549F4C" w14:textId="77777777" w:rsidR="0078503B" w:rsidRDefault="0078503B" w:rsidP="0078503B">
      <w:r>
        <w:t>L’approvisionnement en eau potable et technique restera donc pleinement intégré dans le système d’alimentation existant de la plateforme aéroportuaire.</w:t>
      </w:r>
    </w:p>
    <w:p w14:paraId="237C4F77" w14:textId="77777777" w:rsidR="00CC797B" w:rsidRPr="0057718A" w:rsidRDefault="007C1082" w:rsidP="007C1082">
      <w:r w:rsidRPr="007C1082">
        <w:lastRenderedPageBreak/>
        <w:t xml:space="preserve">L’impact est de </w:t>
      </w:r>
      <w:r w:rsidRPr="004637C7">
        <w:t>type direct et négatif</w:t>
      </w:r>
      <w:r w:rsidRPr="0057718A">
        <w:t>, puisqu’il découle de la consommation d’eau issue du réseau public.</w:t>
      </w:r>
    </w:p>
    <w:p w14:paraId="6B64B4E6" w14:textId="77777777" w:rsidR="00CC797B" w:rsidRPr="0057718A" w:rsidRDefault="007C1082" w:rsidP="007C1082">
      <w:r w:rsidRPr="0057718A">
        <w:t xml:space="preserve">Son </w:t>
      </w:r>
      <w:r w:rsidRPr="004637C7">
        <w:t>étendue spatiale</w:t>
      </w:r>
      <w:r w:rsidRPr="0057718A">
        <w:t xml:space="preserve"> est </w:t>
      </w:r>
      <w:r w:rsidRPr="004637C7">
        <w:t>locale</w:t>
      </w:r>
      <w:r w:rsidRPr="0057718A">
        <w:t>, limitée à l’emprise de l’aéroport et à ses réseaux internes.</w:t>
      </w:r>
    </w:p>
    <w:p w14:paraId="4CE44337" w14:textId="77777777" w:rsidR="00CC797B" w:rsidRPr="0057718A" w:rsidRDefault="007C1082" w:rsidP="007C1082">
      <w:r w:rsidRPr="0057718A">
        <w:t xml:space="preserve">Sa </w:t>
      </w:r>
      <w:r w:rsidRPr="004637C7">
        <w:t>durée</w:t>
      </w:r>
      <w:r w:rsidRPr="0057718A">
        <w:t xml:space="preserve"> est </w:t>
      </w:r>
      <w:r w:rsidRPr="004637C7">
        <w:t>permanente</w:t>
      </w:r>
      <w:r w:rsidRPr="0057718A">
        <w:t>, correspondant à la période d’exploitation des installations.</w:t>
      </w:r>
    </w:p>
    <w:p w14:paraId="485A5C89" w14:textId="77777777" w:rsidR="00CC797B" w:rsidRPr="0057718A" w:rsidRDefault="007C1082" w:rsidP="007C1082">
      <w:r w:rsidRPr="0057718A">
        <w:t xml:space="preserve">Sa </w:t>
      </w:r>
      <w:r w:rsidRPr="004637C7">
        <w:t>fréquence</w:t>
      </w:r>
      <w:r w:rsidRPr="0057718A">
        <w:t xml:space="preserve"> est </w:t>
      </w:r>
      <w:r w:rsidRPr="004637C7">
        <w:t>régulière</w:t>
      </w:r>
      <w:r w:rsidRPr="0057718A">
        <w:t>, liée aux cycles de maintenance et de nettoyage.</w:t>
      </w:r>
    </w:p>
    <w:p w14:paraId="4EF2B1E7" w14:textId="77777777" w:rsidR="0057718A" w:rsidRPr="0057718A" w:rsidRDefault="007C1082" w:rsidP="007C1082">
      <w:r w:rsidRPr="0057718A">
        <w:t>L’</w:t>
      </w:r>
      <w:r w:rsidRPr="004637C7">
        <w:t>intensité</w:t>
      </w:r>
      <w:r w:rsidRPr="0057718A">
        <w:t xml:space="preserve"> est </w:t>
      </w:r>
      <w:r w:rsidRPr="004637C7">
        <w:t>faible</w:t>
      </w:r>
      <w:r w:rsidRPr="0057718A">
        <w:t xml:space="preserve">, la consommation additionnelle restant </w:t>
      </w:r>
      <w:r w:rsidR="0057718A" w:rsidRPr="0057718A">
        <w:t>minime</w:t>
      </w:r>
      <w:r w:rsidRPr="0057718A">
        <w:t xml:space="preserve"> par rapport aux volumes déjà utilisés par l’aéroport.</w:t>
      </w:r>
    </w:p>
    <w:p w14:paraId="6F87DF2C" w14:textId="03467336" w:rsidR="007C1082" w:rsidRDefault="007C1082" w:rsidP="007C1082">
      <w:r w:rsidRPr="007C1082">
        <w:t xml:space="preserve">La </w:t>
      </w:r>
      <w:r w:rsidRPr="0057718A">
        <w:t>sensibilité du milieu est moyenne, la région</w:t>
      </w:r>
      <w:r w:rsidRPr="007C1082">
        <w:t xml:space="preserve"> du </w:t>
      </w:r>
      <w:r w:rsidR="004C1FBC">
        <w:t>Haouz</w:t>
      </w:r>
      <w:r w:rsidRPr="007C1082">
        <w:t xml:space="preserve"> étant soumise à un stress hydrique structurel, mais cette contrainte est </w:t>
      </w:r>
      <w:r w:rsidRPr="0057718A">
        <w:t>fortement atténuée par la réutilisation interne des eaux traitées</w:t>
      </w:r>
      <w:r w:rsidRPr="007C1082">
        <w:t xml:space="preserve"> et par la stabilité de l’approvisionnement via le réseau de l’ONEE.</w:t>
      </w:r>
    </w:p>
    <w:tbl>
      <w:tblPr>
        <w:tblStyle w:val="TableauGrille1Clair-Accentuation111"/>
        <w:tblW w:w="0" w:type="auto"/>
        <w:tblLayout w:type="fixed"/>
        <w:tblLook w:val="04A0" w:firstRow="1" w:lastRow="0" w:firstColumn="1" w:lastColumn="0" w:noHBand="0" w:noVBand="1"/>
      </w:tblPr>
      <w:tblGrid>
        <w:gridCol w:w="792"/>
        <w:gridCol w:w="2747"/>
        <w:gridCol w:w="1843"/>
        <w:gridCol w:w="2436"/>
        <w:gridCol w:w="1242"/>
      </w:tblGrid>
      <w:tr w:rsidR="008C7CF0" w:rsidRPr="00B95A9D" w14:paraId="69352817" w14:textId="77777777" w:rsidTr="005A766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2" w:type="dxa"/>
            <w:hideMark/>
          </w:tcPr>
          <w:p w14:paraId="55FB774C" w14:textId="77777777" w:rsidR="008C7CF0" w:rsidRPr="00B95A9D" w:rsidRDefault="008C7CF0" w:rsidP="005A7661">
            <w:pPr>
              <w:rPr>
                <w:rFonts w:asciiTheme="minorHAnsi" w:hAnsiTheme="minorHAnsi" w:cstheme="minorHAnsi"/>
                <w:szCs w:val="20"/>
                <w:lang w:eastAsia="fr-FR" w:bidi="ar-SA"/>
              </w:rPr>
            </w:pPr>
            <w:r w:rsidRPr="00B95A9D">
              <w:rPr>
                <w:rFonts w:asciiTheme="minorHAnsi" w:hAnsiTheme="minorHAnsi" w:cstheme="minorHAnsi"/>
                <w:szCs w:val="20"/>
                <w:lang w:eastAsia="fr-FR" w:bidi="ar-SA"/>
              </w:rPr>
              <w:t>Impact</w:t>
            </w:r>
          </w:p>
        </w:tc>
        <w:tc>
          <w:tcPr>
            <w:tcW w:w="2747" w:type="dxa"/>
            <w:hideMark/>
          </w:tcPr>
          <w:p w14:paraId="2B1C7EE5" w14:textId="77777777" w:rsidR="008C7CF0" w:rsidRPr="00B95A9D" w:rsidRDefault="008C7CF0" w:rsidP="005A7661">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sidRPr="00B95A9D">
              <w:rPr>
                <w:rFonts w:asciiTheme="minorHAnsi" w:hAnsiTheme="minorHAnsi" w:cstheme="minorHAnsi"/>
                <w:szCs w:val="20"/>
                <w:lang w:eastAsia="fr-FR" w:bidi="ar-SA"/>
              </w:rPr>
              <w:t>Activités génératrices</w:t>
            </w:r>
          </w:p>
        </w:tc>
        <w:tc>
          <w:tcPr>
            <w:tcW w:w="1843" w:type="dxa"/>
            <w:hideMark/>
          </w:tcPr>
          <w:p w14:paraId="7F3CE7F6" w14:textId="77777777" w:rsidR="008C7CF0" w:rsidRPr="00B95A9D" w:rsidRDefault="008C7CF0" w:rsidP="005A7661">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sidRPr="00B95A9D">
              <w:rPr>
                <w:rFonts w:asciiTheme="minorHAnsi" w:hAnsiTheme="minorHAnsi" w:cstheme="minorHAnsi"/>
                <w:szCs w:val="20"/>
                <w:lang w:eastAsia="fr-FR" w:bidi="ar-SA"/>
              </w:rPr>
              <w:t>Critère</w:t>
            </w:r>
          </w:p>
        </w:tc>
        <w:tc>
          <w:tcPr>
            <w:tcW w:w="2436" w:type="dxa"/>
            <w:hideMark/>
          </w:tcPr>
          <w:p w14:paraId="5E9BC13A" w14:textId="77777777" w:rsidR="008C7CF0" w:rsidRPr="00B95A9D" w:rsidRDefault="008C7CF0" w:rsidP="005A7661">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sidRPr="00B95A9D">
              <w:rPr>
                <w:rFonts w:asciiTheme="minorHAnsi" w:hAnsiTheme="minorHAnsi" w:cstheme="minorHAnsi"/>
                <w:szCs w:val="20"/>
                <w:lang w:eastAsia="fr-FR" w:bidi="ar-SA"/>
              </w:rPr>
              <w:t>Justification</w:t>
            </w:r>
          </w:p>
        </w:tc>
        <w:tc>
          <w:tcPr>
            <w:tcW w:w="1242" w:type="dxa"/>
            <w:hideMark/>
          </w:tcPr>
          <w:p w14:paraId="1850A776" w14:textId="77777777" w:rsidR="008C7CF0" w:rsidRPr="00B95A9D" w:rsidRDefault="008C7CF0" w:rsidP="005A7661">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sidRPr="00B95A9D">
              <w:rPr>
                <w:rFonts w:asciiTheme="minorHAnsi" w:hAnsiTheme="minorHAnsi" w:cstheme="minorHAnsi"/>
                <w:szCs w:val="20"/>
                <w:lang w:eastAsia="fr-FR" w:bidi="ar-SA"/>
              </w:rPr>
              <w:t>Niveau</w:t>
            </w:r>
          </w:p>
        </w:tc>
      </w:tr>
      <w:tr w:rsidR="008C7CF0" w:rsidRPr="00B95A9D" w14:paraId="19B13D13" w14:textId="77777777" w:rsidTr="005A7661">
        <w:tc>
          <w:tcPr>
            <w:cnfStyle w:val="001000000000" w:firstRow="0" w:lastRow="0" w:firstColumn="1" w:lastColumn="0" w:oddVBand="0" w:evenVBand="0" w:oddHBand="0" w:evenHBand="0" w:firstRowFirstColumn="0" w:firstRowLastColumn="0" w:lastRowFirstColumn="0" w:lastRowLastColumn="0"/>
            <w:tcW w:w="792" w:type="dxa"/>
            <w:vMerge w:val="restart"/>
            <w:textDirection w:val="btLr"/>
            <w:vAlign w:val="center"/>
          </w:tcPr>
          <w:p w14:paraId="374FEC79" w14:textId="3CC7DAF3" w:rsidR="008C7CF0" w:rsidRPr="00B95A9D" w:rsidRDefault="00C95694" w:rsidP="005A7661">
            <w:pPr>
              <w:ind w:left="113" w:right="113"/>
              <w:jc w:val="center"/>
              <w:rPr>
                <w:rFonts w:asciiTheme="minorHAnsi" w:hAnsiTheme="minorHAnsi" w:cstheme="minorHAnsi"/>
                <w:szCs w:val="20"/>
                <w:lang w:eastAsia="fr-FR" w:bidi="ar-SA"/>
              </w:rPr>
            </w:pPr>
            <w:r>
              <w:rPr>
                <w:rFonts w:asciiTheme="minorHAnsi" w:hAnsiTheme="minorHAnsi" w:cstheme="minorHAnsi"/>
                <w:szCs w:val="20"/>
                <w:lang w:eastAsia="fr-FR" w:bidi="ar-SA"/>
              </w:rPr>
              <w:t>Utilisation de l’eau</w:t>
            </w:r>
          </w:p>
        </w:tc>
        <w:tc>
          <w:tcPr>
            <w:tcW w:w="2747" w:type="dxa"/>
            <w:vMerge w:val="restart"/>
          </w:tcPr>
          <w:p w14:paraId="102FA9F0" w14:textId="1478E373" w:rsidR="008C7CF0" w:rsidRPr="00B95A9D" w:rsidRDefault="00C95694" w:rsidP="005A766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sidRPr="00C95694">
              <w:rPr>
                <w:rFonts w:asciiTheme="minorHAnsi" w:hAnsiTheme="minorHAnsi" w:cstheme="minorHAnsi"/>
                <w:szCs w:val="20"/>
                <w:lang w:eastAsia="fr-FR" w:bidi="ar-SA"/>
              </w:rPr>
              <w:t>Alimentation en eau pour le nettoyage, l’arrosage ponctuel et la maintenance des aires de stationnement</w:t>
            </w:r>
          </w:p>
        </w:tc>
        <w:tc>
          <w:tcPr>
            <w:tcW w:w="1843" w:type="dxa"/>
            <w:hideMark/>
          </w:tcPr>
          <w:p w14:paraId="0F9716B6" w14:textId="77777777" w:rsidR="008C7CF0" w:rsidRPr="00B95A9D" w:rsidRDefault="008C7CF0" w:rsidP="005A766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Cs w:val="20"/>
                <w:lang w:eastAsia="fr-FR" w:bidi="ar-SA"/>
              </w:rPr>
            </w:pPr>
            <w:r w:rsidRPr="00B95A9D">
              <w:rPr>
                <w:rFonts w:asciiTheme="minorHAnsi" w:hAnsiTheme="minorHAnsi" w:cstheme="minorHAnsi"/>
                <w:b/>
                <w:bCs/>
                <w:szCs w:val="20"/>
                <w:lang w:eastAsia="fr-FR" w:bidi="ar-SA"/>
              </w:rPr>
              <w:t>Nature</w:t>
            </w:r>
          </w:p>
        </w:tc>
        <w:tc>
          <w:tcPr>
            <w:tcW w:w="3678" w:type="dxa"/>
            <w:gridSpan w:val="2"/>
          </w:tcPr>
          <w:p w14:paraId="324EF246" w14:textId="77777777" w:rsidR="008C7CF0" w:rsidRPr="00B95A9D" w:rsidRDefault="008C7CF0" w:rsidP="005A766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Pr>
                <w:rFonts w:asciiTheme="minorHAnsi" w:hAnsiTheme="minorHAnsi" w:cstheme="minorHAnsi"/>
                <w:szCs w:val="20"/>
                <w:lang w:eastAsia="fr-FR" w:bidi="ar-SA"/>
              </w:rPr>
              <w:t>Direct négatif</w:t>
            </w:r>
          </w:p>
        </w:tc>
      </w:tr>
      <w:tr w:rsidR="008C7CF0" w:rsidRPr="00B95A9D" w14:paraId="2B796F56" w14:textId="77777777" w:rsidTr="005A7661">
        <w:tc>
          <w:tcPr>
            <w:cnfStyle w:val="001000000000" w:firstRow="0" w:lastRow="0" w:firstColumn="1" w:lastColumn="0" w:oddVBand="0" w:evenVBand="0" w:oddHBand="0" w:evenHBand="0" w:firstRowFirstColumn="0" w:firstRowLastColumn="0" w:lastRowFirstColumn="0" w:lastRowLastColumn="0"/>
            <w:tcW w:w="792" w:type="dxa"/>
            <w:vMerge/>
            <w:hideMark/>
          </w:tcPr>
          <w:p w14:paraId="3F80CCFB" w14:textId="77777777" w:rsidR="008C7CF0" w:rsidRPr="00B95A9D" w:rsidRDefault="008C7CF0" w:rsidP="005A7661">
            <w:pPr>
              <w:rPr>
                <w:rFonts w:asciiTheme="minorHAnsi" w:hAnsiTheme="minorHAnsi" w:cstheme="minorHAnsi"/>
                <w:szCs w:val="20"/>
                <w:lang w:eastAsia="fr-FR" w:bidi="ar-SA"/>
              </w:rPr>
            </w:pPr>
          </w:p>
        </w:tc>
        <w:tc>
          <w:tcPr>
            <w:tcW w:w="2747" w:type="dxa"/>
            <w:vMerge/>
            <w:hideMark/>
          </w:tcPr>
          <w:p w14:paraId="4B44932C" w14:textId="77777777" w:rsidR="008C7CF0" w:rsidRPr="00B95A9D" w:rsidRDefault="008C7CF0" w:rsidP="005A766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p>
        </w:tc>
        <w:tc>
          <w:tcPr>
            <w:tcW w:w="1843" w:type="dxa"/>
            <w:hideMark/>
          </w:tcPr>
          <w:p w14:paraId="20CEDE98" w14:textId="77777777" w:rsidR="008C7CF0" w:rsidRPr="00B95A9D" w:rsidRDefault="008C7CF0" w:rsidP="005A766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Cs w:val="20"/>
                <w:lang w:eastAsia="fr-FR" w:bidi="ar-SA"/>
              </w:rPr>
            </w:pPr>
            <w:r w:rsidRPr="00B95A9D">
              <w:rPr>
                <w:rFonts w:asciiTheme="minorHAnsi" w:hAnsiTheme="minorHAnsi" w:cstheme="minorHAnsi"/>
                <w:b/>
                <w:bCs/>
                <w:szCs w:val="20"/>
                <w:lang w:eastAsia="fr-FR" w:bidi="ar-SA"/>
              </w:rPr>
              <w:t>Étendue</w:t>
            </w:r>
          </w:p>
        </w:tc>
        <w:tc>
          <w:tcPr>
            <w:tcW w:w="2436" w:type="dxa"/>
          </w:tcPr>
          <w:p w14:paraId="3B3E3E5E" w14:textId="2CD1ABBB" w:rsidR="008C7CF0" w:rsidRPr="00B95A9D" w:rsidRDefault="00C95694" w:rsidP="005A766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sidRPr="00C95694">
              <w:rPr>
                <w:rFonts w:asciiTheme="minorHAnsi" w:hAnsiTheme="minorHAnsi" w:cstheme="minorHAnsi"/>
                <w:szCs w:val="20"/>
                <w:lang w:eastAsia="fr-FR" w:bidi="ar-SA"/>
              </w:rPr>
              <w:t>Correspondant à l’emprise aéroportuaire et à ses réseaux hydrauliques internes</w:t>
            </w:r>
          </w:p>
        </w:tc>
        <w:tc>
          <w:tcPr>
            <w:tcW w:w="1242" w:type="dxa"/>
          </w:tcPr>
          <w:p w14:paraId="5DEB6B1F" w14:textId="0A5B94B9" w:rsidR="008C7CF0" w:rsidRPr="00B95A9D" w:rsidRDefault="00C95694" w:rsidP="005A766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Cs w:val="20"/>
                <w:lang w:eastAsia="fr-FR" w:bidi="ar-SA"/>
              </w:rPr>
            </w:pPr>
            <w:r>
              <w:rPr>
                <w:rFonts w:asciiTheme="minorHAnsi" w:hAnsiTheme="minorHAnsi" w:cstheme="minorHAnsi"/>
                <w:szCs w:val="20"/>
                <w:lang w:eastAsia="fr-FR" w:bidi="ar-SA"/>
              </w:rPr>
              <w:t>Locale</w:t>
            </w:r>
          </w:p>
        </w:tc>
      </w:tr>
      <w:tr w:rsidR="008C7CF0" w:rsidRPr="00B95A9D" w14:paraId="3A954C83" w14:textId="77777777" w:rsidTr="005A7661">
        <w:tc>
          <w:tcPr>
            <w:cnfStyle w:val="001000000000" w:firstRow="0" w:lastRow="0" w:firstColumn="1" w:lastColumn="0" w:oddVBand="0" w:evenVBand="0" w:oddHBand="0" w:evenHBand="0" w:firstRowFirstColumn="0" w:firstRowLastColumn="0" w:lastRowFirstColumn="0" w:lastRowLastColumn="0"/>
            <w:tcW w:w="792" w:type="dxa"/>
            <w:vMerge/>
            <w:hideMark/>
          </w:tcPr>
          <w:p w14:paraId="6CB0FF5F" w14:textId="77777777" w:rsidR="008C7CF0" w:rsidRPr="00B95A9D" w:rsidRDefault="008C7CF0" w:rsidP="005A7661">
            <w:pPr>
              <w:rPr>
                <w:rFonts w:asciiTheme="minorHAnsi" w:hAnsiTheme="minorHAnsi" w:cstheme="minorHAnsi"/>
                <w:szCs w:val="20"/>
                <w:lang w:eastAsia="fr-FR" w:bidi="ar-SA"/>
              </w:rPr>
            </w:pPr>
          </w:p>
        </w:tc>
        <w:tc>
          <w:tcPr>
            <w:tcW w:w="2747" w:type="dxa"/>
            <w:vMerge/>
            <w:hideMark/>
          </w:tcPr>
          <w:p w14:paraId="5D41C424" w14:textId="77777777" w:rsidR="008C7CF0" w:rsidRPr="00B95A9D" w:rsidRDefault="008C7CF0" w:rsidP="005A766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p>
        </w:tc>
        <w:tc>
          <w:tcPr>
            <w:tcW w:w="1843" w:type="dxa"/>
            <w:hideMark/>
          </w:tcPr>
          <w:p w14:paraId="3F0E70D2" w14:textId="77777777" w:rsidR="008C7CF0" w:rsidRPr="00B95A9D" w:rsidRDefault="008C7CF0" w:rsidP="005A766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Cs w:val="20"/>
                <w:lang w:eastAsia="fr-FR" w:bidi="ar-SA"/>
              </w:rPr>
            </w:pPr>
            <w:r w:rsidRPr="00B95A9D">
              <w:rPr>
                <w:rFonts w:asciiTheme="minorHAnsi" w:hAnsiTheme="minorHAnsi" w:cstheme="minorHAnsi"/>
                <w:b/>
                <w:bCs/>
                <w:szCs w:val="20"/>
                <w:lang w:eastAsia="fr-FR" w:bidi="ar-SA"/>
              </w:rPr>
              <w:t>Durée</w:t>
            </w:r>
          </w:p>
        </w:tc>
        <w:tc>
          <w:tcPr>
            <w:tcW w:w="2436" w:type="dxa"/>
          </w:tcPr>
          <w:p w14:paraId="280AF6AA" w14:textId="6CE34B26" w:rsidR="008C7CF0" w:rsidRPr="00B95A9D" w:rsidRDefault="00C95694" w:rsidP="005A766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sidRPr="00C95694">
              <w:rPr>
                <w:rFonts w:asciiTheme="minorHAnsi" w:hAnsiTheme="minorHAnsi" w:cstheme="minorHAnsi"/>
                <w:szCs w:val="20"/>
                <w:lang w:eastAsia="fr-FR" w:bidi="ar-SA"/>
              </w:rPr>
              <w:t>Permanente, durant toute la phase d’exploitation</w:t>
            </w:r>
          </w:p>
        </w:tc>
        <w:tc>
          <w:tcPr>
            <w:tcW w:w="1242" w:type="dxa"/>
          </w:tcPr>
          <w:p w14:paraId="47A5B172" w14:textId="1ADC44ED" w:rsidR="008C7CF0" w:rsidRPr="00B95A9D" w:rsidRDefault="00C95694" w:rsidP="005A766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Cs w:val="20"/>
                <w:lang w:eastAsia="fr-FR" w:bidi="ar-SA"/>
              </w:rPr>
            </w:pPr>
            <w:r>
              <w:rPr>
                <w:rFonts w:asciiTheme="minorHAnsi" w:hAnsiTheme="minorHAnsi" w:cstheme="minorHAnsi"/>
                <w:b/>
                <w:bCs/>
                <w:szCs w:val="20"/>
                <w:lang w:eastAsia="fr-FR" w:bidi="ar-SA"/>
              </w:rPr>
              <w:t>Long terme</w:t>
            </w:r>
          </w:p>
        </w:tc>
      </w:tr>
      <w:tr w:rsidR="008C7CF0" w:rsidRPr="00B95A9D" w14:paraId="13B69C1D" w14:textId="77777777" w:rsidTr="005A7661">
        <w:tc>
          <w:tcPr>
            <w:cnfStyle w:val="001000000000" w:firstRow="0" w:lastRow="0" w:firstColumn="1" w:lastColumn="0" w:oddVBand="0" w:evenVBand="0" w:oddHBand="0" w:evenHBand="0" w:firstRowFirstColumn="0" w:firstRowLastColumn="0" w:lastRowFirstColumn="0" w:lastRowLastColumn="0"/>
            <w:tcW w:w="792" w:type="dxa"/>
            <w:vMerge/>
            <w:hideMark/>
          </w:tcPr>
          <w:p w14:paraId="0CA51F3A" w14:textId="77777777" w:rsidR="008C7CF0" w:rsidRPr="00B95A9D" w:rsidRDefault="008C7CF0" w:rsidP="005A7661">
            <w:pPr>
              <w:rPr>
                <w:rFonts w:asciiTheme="minorHAnsi" w:hAnsiTheme="minorHAnsi" w:cstheme="minorHAnsi"/>
                <w:szCs w:val="20"/>
                <w:lang w:eastAsia="fr-FR" w:bidi="ar-SA"/>
              </w:rPr>
            </w:pPr>
          </w:p>
        </w:tc>
        <w:tc>
          <w:tcPr>
            <w:tcW w:w="2747" w:type="dxa"/>
            <w:vMerge/>
            <w:hideMark/>
          </w:tcPr>
          <w:p w14:paraId="35AB9B2F" w14:textId="77777777" w:rsidR="008C7CF0" w:rsidRPr="00B95A9D" w:rsidRDefault="008C7CF0" w:rsidP="005A766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p>
        </w:tc>
        <w:tc>
          <w:tcPr>
            <w:tcW w:w="1843" w:type="dxa"/>
            <w:hideMark/>
          </w:tcPr>
          <w:p w14:paraId="136D2CDF" w14:textId="77777777" w:rsidR="008C7CF0" w:rsidRPr="00B95A9D" w:rsidRDefault="008C7CF0" w:rsidP="005A766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Cs w:val="20"/>
                <w:lang w:eastAsia="fr-FR" w:bidi="ar-SA"/>
              </w:rPr>
            </w:pPr>
            <w:r w:rsidRPr="00B95A9D">
              <w:rPr>
                <w:rFonts w:asciiTheme="minorHAnsi" w:hAnsiTheme="minorHAnsi" w:cstheme="minorHAnsi"/>
                <w:b/>
                <w:bCs/>
                <w:szCs w:val="20"/>
                <w:lang w:eastAsia="fr-FR" w:bidi="ar-SA"/>
              </w:rPr>
              <w:t>Fréquence</w:t>
            </w:r>
          </w:p>
        </w:tc>
        <w:tc>
          <w:tcPr>
            <w:tcW w:w="2436" w:type="dxa"/>
          </w:tcPr>
          <w:p w14:paraId="5E5F35D6" w14:textId="26137877" w:rsidR="008C7CF0" w:rsidRPr="00911A3C" w:rsidRDefault="00C95694" w:rsidP="005A766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Pr>
                <w:rFonts w:asciiTheme="minorHAnsi" w:hAnsiTheme="minorHAnsi" w:cstheme="minorHAnsi"/>
                <w:szCs w:val="20"/>
                <w:lang w:eastAsia="fr-FR" w:bidi="ar-SA"/>
              </w:rPr>
              <w:t>E</w:t>
            </w:r>
            <w:r w:rsidRPr="00C95694">
              <w:rPr>
                <w:rFonts w:asciiTheme="minorHAnsi" w:hAnsiTheme="minorHAnsi" w:cstheme="minorHAnsi"/>
                <w:szCs w:val="20"/>
                <w:lang w:eastAsia="fr-FR" w:bidi="ar-SA"/>
              </w:rPr>
              <w:t>n lien avec les opérations de maintenance et de nettoyage</w:t>
            </w:r>
          </w:p>
        </w:tc>
        <w:tc>
          <w:tcPr>
            <w:tcW w:w="1242" w:type="dxa"/>
          </w:tcPr>
          <w:p w14:paraId="05A12FE2" w14:textId="77FF5C77" w:rsidR="008C7CF0" w:rsidRPr="00B95A9D" w:rsidRDefault="00C95694" w:rsidP="005A766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Cs w:val="20"/>
                <w:lang w:eastAsia="fr-FR" w:bidi="ar-SA"/>
              </w:rPr>
            </w:pPr>
            <w:r>
              <w:rPr>
                <w:rFonts w:asciiTheme="minorHAnsi" w:hAnsiTheme="minorHAnsi" w:cstheme="minorHAnsi"/>
                <w:b/>
                <w:bCs/>
                <w:szCs w:val="20"/>
                <w:lang w:eastAsia="fr-FR" w:bidi="ar-SA"/>
              </w:rPr>
              <w:t>Continue</w:t>
            </w:r>
          </w:p>
        </w:tc>
      </w:tr>
      <w:tr w:rsidR="008C7CF0" w:rsidRPr="00B95A9D" w14:paraId="1B1C893F" w14:textId="77777777" w:rsidTr="005A7661">
        <w:tc>
          <w:tcPr>
            <w:cnfStyle w:val="001000000000" w:firstRow="0" w:lastRow="0" w:firstColumn="1" w:lastColumn="0" w:oddVBand="0" w:evenVBand="0" w:oddHBand="0" w:evenHBand="0" w:firstRowFirstColumn="0" w:firstRowLastColumn="0" w:lastRowFirstColumn="0" w:lastRowLastColumn="0"/>
            <w:tcW w:w="792" w:type="dxa"/>
            <w:vMerge/>
            <w:hideMark/>
          </w:tcPr>
          <w:p w14:paraId="5F8FC20D" w14:textId="77777777" w:rsidR="008C7CF0" w:rsidRPr="00B95A9D" w:rsidRDefault="008C7CF0" w:rsidP="005A7661">
            <w:pPr>
              <w:rPr>
                <w:rFonts w:asciiTheme="minorHAnsi" w:hAnsiTheme="minorHAnsi" w:cstheme="minorHAnsi"/>
                <w:szCs w:val="20"/>
                <w:lang w:eastAsia="fr-FR" w:bidi="ar-SA"/>
              </w:rPr>
            </w:pPr>
          </w:p>
        </w:tc>
        <w:tc>
          <w:tcPr>
            <w:tcW w:w="2747" w:type="dxa"/>
            <w:vMerge/>
            <w:hideMark/>
          </w:tcPr>
          <w:p w14:paraId="29144B6F" w14:textId="77777777" w:rsidR="008C7CF0" w:rsidRPr="00B95A9D" w:rsidRDefault="008C7CF0" w:rsidP="005A766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p>
        </w:tc>
        <w:tc>
          <w:tcPr>
            <w:tcW w:w="1843" w:type="dxa"/>
            <w:shd w:val="clear" w:color="auto" w:fill="D9E2F3"/>
            <w:hideMark/>
          </w:tcPr>
          <w:p w14:paraId="0A9EAB95" w14:textId="77777777" w:rsidR="008C7CF0" w:rsidRPr="00B95A9D" w:rsidRDefault="008C7CF0" w:rsidP="005A766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Cs w:val="20"/>
                <w:lang w:eastAsia="fr-FR" w:bidi="ar-SA"/>
              </w:rPr>
            </w:pPr>
            <w:r w:rsidRPr="00B95A9D">
              <w:rPr>
                <w:rFonts w:asciiTheme="minorHAnsi" w:hAnsiTheme="minorHAnsi" w:cstheme="minorHAnsi"/>
                <w:b/>
                <w:bCs/>
                <w:szCs w:val="20"/>
                <w:lang w:eastAsia="fr-FR" w:bidi="ar-SA"/>
              </w:rPr>
              <w:t>Intensité</w:t>
            </w:r>
          </w:p>
        </w:tc>
        <w:tc>
          <w:tcPr>
            <w:tcW w:w="2436" w:type="dxa"/>
            <w:shd w:val="clear" w:color="auto" w:fill="D9E2F3"/>
          </w:tcPr>
          <w:p w14:paraId="042926D5" w14:textId="58A02300" w:rsidR="008C7CF0" w:rsidRPr="00B95A9D" w:rsidRDefault="00392907" w:rsidP="005A766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Pr>
                <w:rFonts w:asciiTheme="minorHAnsi" w:hAnsiTheme="minorHAnsi" w:cstheme="minorHAnsi"/>
                <w:szCs w:val="20"/>
                <w:lang w:eastAsia="fr-FR" w:bidi="ar-SA"/>
              </w:rPr>
              <w:t>L</w:t>
            </w:r>
            <w:r w:rsidRPr="00392907">
              <w:rPr>
                <w:rFonts w:asciiTheme="minorHAnsi" w:hAnsiTheme="minorHAnsi" w:cstheme="minorHAnsi"/>
                <w:szCs w:val="20"/>
                <w:lang w:eastAsia="fr-FR" w:bidi="ar-SA"/>
              </w:rPr>
              <w:t xml:space="preserve">a consommation additionnelle d’eau étant </w:t>
            </w:r>
            <w:r w:rsidR="00271CE3">
              <w:rPr>
                <w:rFonts w:asciiTheme="minorHAnsi" w:hAnsiTheme="minorHAnsi" w:cstheme="minorHAnsi"/>
                <w:szCs w:val="20"/>
                <w:lang w:eastAsia="fr-FR" w:bidi="ar-SA"/>
              </w:rPr>
              <w:t>minime</w:t>
            </w:r>
            <w:r w:rsidRPr="00392907">
              <w:rPr>
                <w:rFonts w:asciiTheme="minorHAnsi" w:hAnsiTheme="minorHAnsi" w:cstheme="minorHAnsi"/>
                <w:szCs w:val="20"/>
                <w:lang w:eastAsia="fr-FR" w:bidi="ar-SA"/>
              </w:rPr>
              <w:t xml:space="preserve"> par rapport aux besoins existants et maîtrisée par la réutilisation interne des eaux traitées</w:t>
            </w:r>
          </w:p>
        </w:tc>
        <w:tc>
          <w:tcPr>
            <w:tcW w:w="1242" w:type="dxa"/>
            <w:shd w:val="clear" w:color="auto" w:fill="D9E2F3"/>
          </w:tcPr>
          <w:p w14:paraId="39C37998" w14:textId="0E810668" w:rsidR="008C7CF0" w:rsidRPr="00B95A9D" w:rsidRDefault="00392907" w:rsidP="005A766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Cs w:val="20"/>
                <w:lang w:eastAsia="fr-FR" w:bidi="ar-SA"/>
              </w:rPr>
            </w:pPr>
            <w:r>
              <w:rPr>
                <w:rFonts w:asciiTheme="minorHAnsi" w:hAnsiTheme="minorHAnsi" w:cstheme="minorHAnsi"/>
                <w:b/>
                <w:bCs/>
                <w:szCs w:val="20"/>
                <w:lang w:eastAsia="fr-FR" w:bidi="ar-SA"/>
              </w:rPr>
              <w:t>Faible</w:t>
            </w:r>
          </w:p>
        </w:tc>
      </w:tr>
      <w:tr w:rsidR="008C7CF0" w:rsidRPr="00B95A9D" w14:paraId="615B4F38" w14:textId="77777777" w:rsidTr="005A7661">
        <w:tc>
          <w:tcPr>
            <w:cnfStyle w:val="001000000000" w:firstRow="0" w:lastRow="0" w:firstColumn="1" w:lastColumn="0" w:oddVBand="0" w:evenVBand="0" w:oddHBand="0" w:evenHBand="0" w:firstRowFirstColumn="0" w:firstRowLastColumn="0" w:lastRowFirstColumn="0" w:lastRowLastColumn="0"/>
            <w:tcW w:w="792" w:type="dxa"/>
            <w:vMerge/>
          </w:tcPr>
          <w:p w14:paraId="30CA053D" w14:textId="77777777" w:rsidR="008C7CF0" w:rsidRPr="00B95A9D" w:rsidRDefault="008C7CF0" w:rsidP="005A7661">
            <w:pPr>
              <w:rPr>
                <w:rFonts w:asciiTheme="minorHAnsi" w:hAnsiTheme="minorHAnsi" w:cstheme="minorHAnsi"/>
                <w:szCs w:val="20"/>
                <w:lang w:eastAsia="fr-FR" w:bidi="ar-SA"/>
              </w:rPr>
            </w:pPr>
          </w:p>
        </w:tc>
        <w:tc>
          <w:tcPr>
            <w:tcW w:w="8268" w:type="dxa"/>
            <w:gridSpan w:val="4"/>
          </w:tcPr>
          <w:p w14:paraId="5137B659" w14:textId="77777777" w:rsidR="008C7CF0" w:rsidRPr="00B95A9D" w:rsidRDefault="008C7CF0" w:rsidP="005A7661">
            <w:pPr>
              <w:spacing w:before="0" w:after="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Cs w:val="20"/>
                <w:lang w:eastAsia="fr-FR" w:bidi="ar-SA"/>
              </w:rPr>
            </w:pPr>
          </w:p>
        </w:tc>
      </w:tr>
      <w:tr w:rsidR="008C7CF0" w:rsidRPr="00B95A9D" w14:paraId="453FECB4" w14:textId="77777777" w:rsidTr="005A7661">
        <w:tc>
          <w:tcPr>
            <w:cnfStyle w:val="001000000000" w:firstRow="0" w:lastRow="0" w:firstColumn="1" w:lastColumn="0" w:oddVBand="0" w:evenVBand="0" w:oddHBand="0" w:evenHBand="0" w:firstRowFirstColumn="0" w:firstRowLastColumn="0" w:lastRowFirstColumn="0" w:lastRowLastColumn="0"/>
            <w:tcW w:w="792" w:type="dxa"/>
            <w:vMerge/>
          </w:tcPr>
          <w:p w14:paraId="06FAFDD9" w14:textId="77777777" w:rsidR="008C7CF0" w:rsidRPr="00B95A9D" w:rsidRDefault="008C7CF0" w:rsidP="005A7661">
            <w:pPr>
              <w:rPr>
                <w:rFonts w:asciiTheme="minorHAnsi" w:hAnsiTheme="minorHAnsi" w:cstheme="minorHAnsi"/>
                <w:szCs w:val="20"/>
                <w:lang w:eastAsia="fr-FR" w:bidi="ar-SA"/>
              </w:rPr>
            </w:pPr>
          </w:p>
        </w:tc>
        <w:tc>
          <w:tcPr>
            <w:tcW w:w="2747" w:type="dxa"/>
            <w:shd w:val="clear" w:color="auto" w:fill="B4C6E7" w:themeFill="accent1" w:themeFillTint="66"/>
            <w:vAlign w:val="center"/>
          </w:tcPr>
          <w:p w14:paraId="65E933E3" w14:textId="77777777" w:rsidR="008C7CF0" w:rsidRPr="00B95A9D" w:rsidRDefault="008C7CF0" w:rsidP="005A766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sidRPr="00B95A9D">
              <w:rPr>
                <w:rFonts w:asciiTheme="minorHAnsi" w:hAnsiTheme="minorHAnsi" w:cstheme="minorHAnsi"/>
                <w:b/>
                <w:bCs/>
                <w:szCs w:val="20"/>
              </w:rPr>
              <w:t>Intensité de l’impact</w:t>
            </w:r>
          </w:p>
        </w:tc>
        <w:tc>
          <w:tcPr>
            <w:tcW w:w="1843" w:type="dxa"/>
            <w:shd w:val="clear" w:color="auto" w:fill="B4C6E7" w:themeFill="accent1" w:themeFillTint="66"/>
            <w:vAlign w:val="center"/>
          </w:tcPr>
          <w:p w14:paraId="3E78854C" w14:textId="77777777" w:rsidR="008C7CF0" w:rsidRPr="00B95A9D" w:rsidRDefault="008C7CF0" w:rsidP="005A766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Cs w:val="20"/>
                <w:lang w:eastAsia="fr-FR" w:bidi="ar-SA"/>
              </w:rPr>
            </w:pPr>
            <w:r w:rsidRPr="00B95A9D">
              <w:rPr>
                <w:rFonts w:asciiTheme="minorHAnsi" w:hAnsiTheme="minorHAnsi" w:cstheme="minorHAnsi"/>
                <w:b/>
                <w:bCs/>
                <w:szCs w:val="20"/>
              </w:rPr>
              <w:t>Récepteurs</w:t>
            </w:r>
          </w:p>
        </w:tc>
        <w:tc>
          <w:tcPr>
            <w:tcW w:w="2436" w:type="dxa"/>
            <w:shd w:val="clear" w:color="auto" w:fill="B4C6E7" w:themeFill="accent1" w:themeFillTint="66"/>
            <w:vAlign w:val="center"/>
          </w:tcPr>
          <w:p w14:paraId="309E9BC9" w14:textId="77777777" w:rsidR="008C7CF0" w:rsidRPr="00B95A9D" w:rsidRDefault="008C7CF0" w:rsidP="005A766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sidRPr="00B95A9D">
              <w:rPr>
                <w:rFonts w:asciiTheme="minorHAnsi" w:hAnsiTheme="minorHAnsi" w:cstheme="minorHAnsi"/>
                <w:b/>
                <w:bCs/>
                <w:szCs w:val="20"/>
              </w:rPr>
              <w:t>Sensibilité</w:t>
            </w:r>
          </w:p>
        </w:tc>
        <w:tc>
          <w:tcPr>
            <w:tcW w:w="1242" w:type="dxa"/>
            <w:shd w:val="clear" w:color="auto" w:fill="B4C6E7" w:themeFill="accent1" w:themeFillTint="66"/>
            <w:vAlign w:val="center"/>
          </w:tcPr>
          <w:p w14:paraId="4FCB4C6E" w14:textId="77777777" w:rsidR="008C7CF0" w:rsidRPr="00B95A9D" w:rsidRDefault="008C7CF0" w:rsidP="005A766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Cs w:val="20"/>
                <w:lang w:eastAsia="fr-FR" w:bidi="ar-SA"/>
              </w:rPr>
            </w:pPr>
            <w:r w:rsidRPr="00B95A9D">
              <w:rPr>
                <w:rFonts w:asciiTheme="minorHAnsi" w:hAnsiTheme="minorHAnsi" w:cstheme="minorHAnsi"/>
                <w:b/>
                <w:bCs/>
                <w:szCs w:val="20"/>
              </w:rPr>
              <w:t>Importance de l’impact</w:t>
            </w:r>
          </w:p>
        </w:tc>
      </w:tr>
      <w:tr w:rsidR="008C7CF0" w:rsidRPr="00B95A9D" w14:paraId="2D862AEA" w14:textId="77777777" w:rsidTr="005A7661">
        <w:tc>
          <w:tcPr>
            <w:cnfStyle w:val="001000000000" w:firstRow="0" w:lastRow="0" w:firstColumn="1" w:lastColumn="0" w:oddVBand="0" w:evenVBand="0" w:oddHBand="0" w:evenHBand="0" w:firstRowFirstColumn="0" w:firstRowLastColumn="0" w:lastRowFirstColumn="0" w:lastRowLastColumn="0"/>
            <w:tcW w:w="792" w:type="dxa"/>
            <w:vMerge/>
          </w:tcPr>
          <w:p w14:paraId="40689FF0" w14:textId="77777777" w:rsidR="008C7CF0" w:rsidRPr="00B95A9D" w:rsidRDefault="008C7CF0" w:rsidP="005A7661">
            <w:pPr>
              <w:rPr>
                <w:rFonts w:asciiTheme="minorHAnsi" w:hAnsiTheme="minorHAnsi" w:cstheme="minorHAnsi"/>
                <w:szCs w:val="20"/>
                <w:lang w:eastAsia="fr-FR" w:bidi="ar-SA"/>
              </w:rPr>
            </w:pPr>
          </w:p>
        </w:tc>
        <w:tc>
          <w:tcPr>
            <w:tcW w:w="2747" w:type="dxa"/>
            <w:vAlign w:val="center"/>
          </w:tcPr>
          <w:p w14:paraId="08CC9F45" w14:textId="03964286" w:rsidR="008C7CF0" w:rsidRPr="00B95A9D" w:rsidRDefault="00271CE3" w:rsidP="005A766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Pr>
                <w:rFonts w:asciiTheme="minorHAnsi" w:hAnsiTheme="minorHAnsi" w:cstheme="minorHAnsi"/>
                <w:szCs w:val="20"/>
                <w:lang w:eastAsia="fr-FR" w:bidi="ar-SA"/>
              </w:rPr>
              <w:t>Faible</w:t>
            </w:r>
          </w:p>
        </w:tc>
        <w:tc>
          <w:tcPr>
            <w:tcW w:w="1843" w:type="dxa"/>
            <w:vAlign w:val="center"/>
          </w:tcPr>
          <w:p w14:paraId="2D06CED1" w14:textId="6B1441F3" w:rsidR="008C7CF0" w:rsidRPr="00CF0282" w:rsidRDefault="00271CE3" w:rsidP="005A766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sidRPr="00271CE3">
              <w:rPr>
                <w:rFonts w:asciiTheme="minorHAnsi" w:hAnsiTheme="minorHAnsi" w:cstheme="minorHAnsi"/>
                <w:szCs w:val="20"/>
                <w:lang w:eastAsia="fr-FR" w:bidi="ar-SA"/>
              </w:rPr>
              <w:t>Ressources hydriques régionales</w:t>
            </w:r>
          </w:p>
        </w:tc>
        <w:tc>
          <w:tcPr>
            <w:tcW w:w="2436" w:type="dxa"/>
            <w:vAlign w:val="center"/>
          </w:tcPr>
          <w:p w14:paraId="7938FCF7" w14:textId="2F2D0EB9" w:rsidR="008C7CF0" w:rsidRPr="00B95A9D" w:rsidRDefault="00271CE3" w:rsidP="005A766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sidRPr="004637C7">
              <w:rPr>
                <w:rFonts w:asciiTheme="minorHAnsi" w:hAnsiTheme="minorHAnsi" w:cstheme="minorHAnsi"/>
                <w:b/>
                <w:bCs/>
                <w:szCs w:val="20"/>
                <w:lang w:eastAsia="fr-FR" w:bidi="ar-SA"/>
              </w:rPr>
              <w:t>Moyenne </w:t>
            </w:r>
            <w:r>
              <w:rPr>
                <w:rFonts w:asciiTheme="minorHAnsi" w:hAnsiTheme="minorHAnsi" w:cstheme="minorHAnsi"/>
                <w:szCs w:val="20"/>
                <w:lang w:eastAsia="fr-FR" w:bidi="ar-SA"/>
              </w:rPr>
              <w:t xml:space="preserve">: </w:t>
            </w:r>
            <w:r w:rsidRPr="00271CE3">
              <w:rPr>
                <w:rFonts w:asciiTheme="minorHAnsi" w:hAnsiTheme="minorHAnsi" w:cstheme="minorHAnsi"/>
                <w:szCs w:val="20"/>
                <w:lang w:eastAsia="fr-FR" w:bidi="ar-SA"/>
              </w:rPr>
              <w:t>(contexte semi-aride), mais atténuée par la réutilisation et l’absence de prélèvement local</w:t>
            </w:r>
          </w:p>
        </w:tc>
        <w:tc>
          <w:tcPr>
            <w:tcW w:w="1242" w:type="dxa"/>
            <w:vAlign w:val="center"/>
          </w:tcPr>
          <w:p w14:paraId="1A4D9628" w14:textId="6CF13BAA" w:rsidR="008C7CF0" w:rsidRPr="00B95A9D" w:rsidRDefault="00271CE3" w:rsidP="005A766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Cs w:val="20"/>
                <w:lang w:eastAsia="fr-FR" w:bidi="ar-SA"/>
              </w:rPr>
            </w:pPr>
            <w:r>
              <w:rPr>
                <w:rFonts w:asciiTheme="minorHAnsi" w:hAnsiTheme="minorHAnsi" w:cstheme="minorHAnsi"/>
                <w:b/>
                <w:bCs/>
                <w:szCs w:val="20"/>
                <w:lang w:eastAsia="fr-FR" w:bidi="ar-SA"/>
              </w:rPr>
              <w:t>Mineur</w:t>
            </w:r>
          </w:p>
        </w:tc>
      </w:tr>
    </w:tbl>
    <w:p w14:paraId="130CC32B" w14:textId="7DA7C12F" w:rsidR="00121579" w:rsidRDefault="00547F05" w:rsidP="0001633E">
      <w:pPr>
        <w:pStyle w:val="AltTitle2"/>
        <w:numPr>
          <w:ilvl w:val="0"/>
          <w:numId w:val="106"/>
        </w:numPr>
      </w:pPr>
      <w:r>
        <w:t>Utilisation de l’énergie</w:t>
      </w:r>
    </w:p>
    <w:p w14:paraId="2C562897" w14:textId="4CE5B16B" w:rsidR="007B6251" w:rsidRPr="00170A2F" w:rsidRDefault="007B27AA" w:rsidP="00547F05">
      <w:r w:rsidRPr="007B27AA">
        <w:lastRenderedPageBreak/>
        <w:t xml:space="preserve">En phase d’exploitation, </w:t>
      </w:r>
      <w:r w:rsidRPr="00170A2F">
        <w:t xml:space="preserve">le nouveau parking avion et la bretelle de liaison seront </w:t>
      </w:r>
      <w:r w:rsidRPr="004637C7">
        <w:t>raccordés au réseau électrique interne de l’aéroport</w:t>
      </w:r>
      <w:r w:rsidRPr="00170A2F">
        <w:t>, lui-même alimenté par le réseau public de l’ONEE.</w:t>
      </w:r>
    </w:p>
    <w:p w14:paraId="17596B95" w14:textId="77777777" w:rsidR="007B27AA" w:rsidRPr="00170A2F" w:rsidRDefault="007B27AA" w:rsidP="007B27AA">
      <w:r w:rsidRPr="00170A2F">
        <w:t>L’énergie électrique alimentera principalement :</w:t>
      </w:r>
    </w:p>
    <w:p w14:paraId="5C80FF41" w14:textId="4777EC9E" w:rsidR="007B27AA" w:rsidRPr="00170A2F" w:rsidRDefault="00EF4165" w:rsidP="0001633E">
      <w:pPr>
        <w:numPr>
          <w:ilvl w:val="0"/>
          <w:numId w:val="115"/>
        </w:numPr>
      </w:pPr>
      <w:r w:rsidRPr="00170A2F">
        <w:t>L’éclairage</w:t>
      </w:r>
      <w:r w:rsidR="007B27AA" w:rsidRPr="004637C7">
        <w:t xml:space="preserve"> LED</w:t>
      </w:r>
      <w:r w:rsidR="007B27AA" w:rsidRPr="00170A2F">
        <w:t xml:space="preserve"> à faible consommation,</w:t>
      </w:r>
    </w:p>
    <w:p w14:paraId="5BCD4F6E" w14:textId="1B4289EF" w:rsidR="007B27AA" w:rsidRPr="00170A2F" w:rsidRDefault="00EF4165" w:rsidP="0001633E">
      <w:pPr>
        <w:numPr>
          <w:ilvl w:val="0"/>
          <w:numId w:val="115"/>
        </w:numPr>
      </w:pPr>
      <w:r w:rsidRPr="00170A2F">
        <w:t>Les</w:t>
      </w:r>
      <w:r w:rsidR="007B27AA" w:rsidRPr="00170A2F">
        <w:t xml:space="preserve"> </w:t>
      </w:r>
      <w:r w:rsidR="007B27AA" w:rsidRPr="004637C7">
        <w:t>équipements de signalisation et de sécurité</w:t>
      </w:r>
      <w:r w:rsidR="007B27AA" w:rsidRPr="00170A2F">
        <w:t>,</w:t>
      </w:r>
    </w:p>
    <w:p w14:paraId="6E6D2199" w14:textId="6D9BB62B" w:rsidR="007B27AA" w:rsidRPr="00170A2F" w:rsidRDefault="00EF4165" w:rsidP="0001633E">
      <w:pPr>
        <w:numPr>
          <w:ilvl w:val="0"/>
          <w:numId w:val="115"/>
        </w:numPr>
      </w:pPr>
      <w:r w:rsidRPr="00170A2F">
        <w:t>Les</w:t>
      </w:r>
      <w:r w:rsidR="007B27AA" w:rsidRPr="00170A2F">
        <w:t xml:space="preserve"> </w:t>
      </w:r>
      <w:r w:rsidR="007B27AA" w:rsidRPr="004637C7">
        <w:t>installations de gestion au sol</w:t>
      </w:r>
      <w:r w:rsidR="007B27AA" w:rsidRPr="00170A2F">
        <w:t>.</w:t>
      </w:r>
    </w:p>
    <w:p w14:paraId="6BAEE756" w14:textId="77777777" w:rsidR="007B27AA" w:rsidRPr="00170A2F" w:rsidRDefault="007B27AA" w:rsidP="007B27AA">
      <w:r w:rsidRPr="00170A2F">
        <w:t xml:space="preserve">Les </w:t>
      </w:r>
      <w:r w:rsidRPr="004637C7">
        <w:t>groupes électrogènes existants</w:t>
      </w:r>
      <w:r w:rsidRPr="00170A2F">
        <w:t xml:space="preserve"> continueront à assurer un </w:t>
      </w:r>
      <w:r w:rsidRPr="004637C7">
        <w:t>secours énergétique ponctuel</w:t>
      </w:r>
      <w:r w:rsidRPr="00170A2F">
        <w:t>, exclusivement en cas de coupure du réseau principal.</w:t>
      </w:r>
    </w:p>
    <w:p w14:paraId="18D11BEA" w14:textId="77777777" w:rsidR="00BF56E2" w:rsidRPr="00170A2F" w:rsidRDefault="00BF56E2" w:rsidP="00BF56E2">
      <w:r w:rsidRPr="00170A2F">
        <w:t xml:space="preserve">L’impact en phase d’exploitation est de </w:t>
      </w:r>
      <w:r w:rsidRPr="004637C7">
        <w:t>type direct et permanent</w:t>
      </w:r>
      <w:r w:rsidRPr="00170A2F">
        <w:t>, lié à la consommation électrique courante du parking et au fonctionnement de secours.</w:t>
      </w:r>
    </w:p>
    <w:p w14:paraId="47FA314D" w14:textId="77777777" w:rsidR="00BF56E2" w:rsidRPr="00170A2F" w:rsidRDefault="00BF56E2" w:rsidP="00BF56E2">
      <w:r w:rsidRPr="00170A2F">
        <w:t xml:space="preserve">Son </w:t>
      </w:r>
      <w:r w:rsidRPr="004637C7">
        <w:t>étendue spatiale</w:t>
      </w:r>
      <w:r w:rsidRPr="00170A2F">
        <w:t xml:space="preserve"> est </w:t>
      </w:r>
      <w:r w:rsidRPr="004637C7">
        <w:t>locale</w:t>
      </w:r>
      <w:r w:rsidRPr="00170A2F">
        <w:t>, limitée au périmètre de la plateforme.</w:t>
      </w:r>
    </w:p>
    <w:p w14:paraId="63098791" w14:textId="77777777" w:rsidR="00BF56E2" w:rsidRPr="00170A2F" w:rsidRDefault="00BF56E2" w:rsidP="00BF56E2">
      <w:r w:rsidRPr="00170A2F">
        <w:t xml:space="preserve">Sa </w:t>
      </w:r>
      <w:r w:rsidRPr="004637C7">
        <w:t>durée</w:t>
      </w:r>
      <w:r w:rsidRPr="00170A2F">
        <w:t xml:space="preserve"> est </w:t>
      </w:r>
      <w:r w:rsidRPr="004637C7">
        <w:t>permanente</w:t>
      </w:r>
      <w:r w:rsidRPr="00170A2F">
        <w:t xml:space="preserve">, mais </w:t>
      </w:r>
      <w:r w:rsidRPr="004637C7">
        <w:t>stabilisée</w:t>
      </w:r>
      <w:r w:rsidRPr="00170A2F">
        <w:t>, car intégrée au fonctionnement général de l’aéroport.</w:t>
      </w:r>
    </w:p>
    <w:p w14:paraId="7A872E49" w14:textId="5A9A0DA0" w:rsidR="00BF56E2" w:rsidRPr="00170A2F" w:rsidRDefault="00BF56E2" w:rsidP="00BF56E2">
      <w:r w:rsidRPr="00170A2F">
        <w:t xml:space="preserve">Sa </w:t>
      </w:r>
      <w:r w:rsidRPr="004637C7">
        <w:t>fréquence</w:t>
      </w:r>
      <w:r w:rsidRPr="00170A2F">
        <w:t xml:space="preserve"> est </w:t>
      </w:r>
      <w:r w:rsidRPr="004637C7">
        <w:t>continue</w:t>
      </w:r>
      <w:r w:rsidRPr="00170A2F">
        <w:t>, bien que de faible intensité énergétique.</w:t>
      </w:r>
    </w:p>
    <w:p w14:paraId="21D49978" w14:textId="77777777" w:rsidR="00BF56E2" w:rsidRPr="00170A2F" w:rsidRDefault="00BF56E2" w:rsidP="00BF56E2">
      <w:r w:rsidRPr="00170A2F">
        <w:t>L’</w:t>
      </w:r>
      <w:r w:rsidRPr="004637C7">
        <w:t>intensité</w:t>
      </w:r>
      <w:r w:rsidRPr="00170A2F">
        <w:t xml:space="preserve"> est </w:t>
      </w:r>
      <w:r w:rsidRPr="004637C7">
        <w:t>faible</w:t>
      </w:r>
      <w:r w:rsidRPr="00170A2F">
        <w:t xml:space="preserve">, grâce à l’absence d’équipements énergivores. </w:t>
      </w:r>
    </w:p>
    <w:p w14:paraId="0CADA654" w14:textId="012F9211" w:rsidR="00BF56E2" w:rsidRPr="00170A2F" w:rsidRDefault="00BF56E2" w:rsidP="00BF56E2">
      <w:r w:rsidRPr="00170A2F">
        <w:t xml:space="preserve">La </w:t>
      </w:r>
      <w:r w:rsidRPr="004637C7">
        <w:t>sensibilité</w:t>
      </w:r>
      <w:r w:rsidRPr="00170A2F">
        <w:t xml:space="preserve"> du milieu est </w:t>
      </w:r>
      <w:r w:rsidRPr="004637C7">
        <w:t>faible</w:t>
      </w:r>
      <w:r w:rsidRPr="00170A2F">
        <w:t xml:space="preserve">, le réseau électrique local </w:t>
      </w:r>
      <w:r w:rsidR="00170A2F" w:rsidRPr="00170A2F">
        <w:t>disposant d’une capacité suffisante pour répondre aux besoins du projet</w:t>
      </w:r>
      <w:r w:rsidRPr="00170A2F">
        <w:t>.</w:t>
      </w:r>
    </w:p>
    <w:p w14:paraId="524635E7" w14:textId="16CBACBA" w:rsidR="00170A2F" w:rsidRDefault="00BF56E2" w:rsidP="00BF56E2">
      <w:r w:rsidRPr="004637C7">
        <w:t>L’importance de l’impact est jugée négligeable</w:t>
      </w:r>
      <w:r w:rsidRPr="00170A2F">
        <w:t>, le projet n’imposant aucune charge supplémentaire notable au système énergétique existant.</w:t>
      </w:r>
      <w:r w:rsidR="00170A2F" w:rsidRPr="00170A2F">
        <w:t xml:space="preserve"> </w:t>
      </w:r>
    </w:p>
    <w:tbl>
      <w:tblPr>
        <w:tblStyle w:val="TableauGrille1Clair-Accentuation111"/>
        <w:tblW w:w="0" w:type="auto"/>
        <w:tblLayout w:type="fixed"/>
        <w:tblLook w:val="04A0" w:firstRow="1" w:lastRow="0" w:firstColumn="1" w:lastColumn="0" w:noHBand="0" w:noVBand="1"/>
      </w:tblPr>
      <w:tblGrid>
        <w:gridCol w:w="792"/>
        <w:gridCol w:w="2747"/>
        <w:gridCol w:w="1843"/>
        <w:gridCol w:w="2436"/>
        <w:gridCol w:w="1242"/>
      </w:tblGrid>
      <w:tr w:rsidR="008C7CF0" w:rsidRPr="00B95A9D" w14:paraId="2230D87D" w14:textId="77777777" w:rsidTr="005A766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2" w:type="dxa"/>
            <w:hideMark/>
          </w:tcPr>
          <w:p w14:paraId="2FEF99A1" w14:textId="77777777" w:rsidR="008C7CF0" w:rsidRPr="00B95A9D" w:rsidRDefault="008C7CF0" w:rsidP="005A7661">
            <w:pPr>
              <w:rPr>
                <w:rFonts w:asciiTheme="minorHAnsi" w:hAnsiTheme="minorHAnsi" w:cstheme="minorHAnsi"/>
                <w:szCs w:val="20"/>
                <w:lang w:eastAsia="fr-FR" w:bidi="ar-SA"/>
              </w:rPr>
            </w:pPr>
            <w:r w:rsidRPr="00B95A9D">
              <w:rPr>
                <w:rFonts w:asciiTheme="minorHAnsi" w:hAnsiTheme="minorHAnsi" w:cstheme="minorHAnsi"/>
                <w:szCs w:val="20"/>
                <w:lang w:eastAsia="fr-FR" w:bidi="ar-SA"/>
              </w:rPr>
              <w:t>Impact</w:t>
            </w:r>
          </w:p>
        </w:tc>
        <w:tc>
          <w:tcPr>
            <w:tcW w:w="2747" w:type="dxa"/>
            <w:hideMark/>
          </w:tcPr>
          <w:p w14:paraId="15E581C5" w14:textId="77777777" w:rsidR="008C7CF0" w:rsidRPr="00B95A9D" w:rsidRDefault="008C7CF0" w:rsidP="005A7661">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sidRPr="00B95A9D">
              <w:rPr>
                <w:rFonts w:asciiTheme="minorHAnsi" w:hAnsiTheme="minorHAnsi" w:cstheme="minorHAnsi"/>
                <w:szCs w:val="20"/>
                <w:lang w:eastAsia="fr-FR" w:bidi="ar-SA"/>
              </w:rPr>
              <w:t>Activités génératrices</w:t>
            </w:r>
          </w:p>
        </w:tc>
        <w:tc>
          <w:tcPr>
            <w:tcW w:w="1843" w:type="dxa"/>
            <w:hideMark/>
          </w:tcPr>
          <w:p w14:paraId="20B01299" w14:textId="77777777" w:rsidR="008C7CF0" w:rsidRPr="00B95A9D" w:rsidRDefault="008C7CF0" w:rsidP="005A7661">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sidRPr="00B95A9D">
              <w:rPr>
                <w:rFonts w:asciiTheme="minorHAnsi" w:hAnsiTheme="minorHAnsi" w:cstheme="minorHAnsi"/>
                <w:szCs w:val="20"/>
                <w:lang w:eastAsia="fr-FR" w:bidi="ar-SA"/>
              </w:rPr>
              <w:t>Critère</w:t>
            </w:r>
          </w:p>
        </w:tc>
        <w:tc>
          <w:tcPr>
            <w:tcW w:w="2436" w:type="dxa"/>
            <w:hideMark/>
          </w:tcPr>
          <w:p w14:paraId="1DC63B9F" w14:textId="77777777" w:rsidR="008C7CF0" w:rsidRPr="00B95A9D" w:rsidRDefault="008C7CF0" w:rsidP="005A7661">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sidRPr="00B95A9D">
              <w:rPr>
                <w:rFonts w:asciiTheme="minorHAnsi" w:hAnsiTheme="minorHAnsi" w:cstheme="minorHAnsi"/>
                <w:szCs w:val="20"/>
                <w:lang w:eastAsia="fr-FR" w:bidi="ar-SA"/>
              </w:rPr>
              <w:t>Justification</w:t>
            </w:r>
          </w:p>
        </w:tc>
        <w:tc>
          <w:tcPr>
            <w:tcW w:w="1242" w:type="dxa"/>
            <w:hideMark/>
          </w:tcPr>
          <w:p w14:paraId="58E9F38A" w14:textId="77777777" w:rsidR="008C7CF0" w:rsidRPr="00B95A9D" w:rsidRDefault="008C7CF0" w:rsidP="005A7661">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sidRPr="00B95A9D">
              <w:rPr>
                <w:rFonts w:asciiTheme="minorHAnsi" w:hAnsiTheme="minorHAnsi" w:cstheme="minorHAnsi"/>
                <w:szCs w:val="20"/>
                <w:lang w:eastAsia="fr-FR" w:bidi="ar-SA"/>
              </w:rPr>
              <w:t>Niveau</w:t>
            </w:r>
          </w:p>
        </w:tc>
      </w:tr>
      <w:tr w:rsidR="008C7CF0" w:rsidRPr="00B95A9D" w14:paraId="2D839EA5" w14:textId="77777777" w:rsidTr="005A7661">
        <w:tc>
          <w:tcPr>
            <w:cnfStyle w:val="001000000000" w:firstRow="0" w:lastRow="0" w:firstColumn="1" w:lastColumn="0" w:oddVBand="0" w:evenVBand="0" w:oddHBand="0" w:evenHBand="0" w:firstRowFirstColumn="0" w:firstRowLastColumn="0" w:lastRowFirstColumn="0" w:lastRowLastColumn="0"/>
            <w:tcW w:w="792" w:type="dxa"/>
            <w:vMerge w:val="restart"/>
            <w:textDirection w:val="btLr"/>
            <w:vAlign w:val="center"/>
          </w:tcPr>
          <w:p w14:paraId="46EE07B4" w14:textId="46894464" w:rsidR="008C7CF0" w:rsidRPr="00B95A9D" w:rsidRDefault="00036867" w:rsidP="005A7661">
            <w:pPr>
              <w:ind w:left="113" w:right="113"/>
              <w:jc w:val="center"/>
              <w:rPr>
                <w:rFonts w:asciiTheme="minorHAnsi" w:hAnsiTheme="minorHAnsi" w:cstheme="minorHAnsi"/>
                <w:szCs w:val="20"/>
                <w:lang w:eastAsia="fr-FR" w:bidi="ar-SA"/>
              </w:rPr>
            </w:pPr>
            <w:r>
              <w:rPr>
                <w:rFonts w:asciiTheme="minorHAnsi" w:hAnsiTheme="minorHAnsi" w:cstheme="minorHAnsi"/>
                <w:szCs w:val="20"/>
                <w:lang w:eastAsia="fr-FR" w:bidi="ar-SA"/>
              </w:rPr>
              <w:t>Utilisation de l’énergie</w:t>
            </w:r>
          </w:p>
        </w:tc>
        <w:tc>
          <w:tcPr>
            <w:tcW w:w="2747" w:type="dxa"/>
            <w:vMerge w:val="restart"/>
          </w:tcPr>
          <w:p w14:paraId="34AA6B7E" w14:textId="4041726A" w:rsidR="008C7CF0" w:rsidRPr="00B95A9D" w:rsidRDefault="00036867" w:rsidP="00036867">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sidRPr="00036867">
              <w:rPr>
                <w:rFonts w:asciiTheme="minorHAnsi" w:hAnsiTheme="minorHAnsi" w:cstheme="minorHAnsi"/>
                <w:szCs w:val="20"/>
                <w:lang w:eastAsia="fr-FR" w:bidi="ar-SA"/>
              </w:rPr>
              <w:t>Alimentation électrique du parking et des équipements de signalisation et d’éclairage LED</w:t>
            </w:r>
            <w:r>
              <w:rPr>
                <w:rFonts w:asciiTheme="minorHAnsi" w:hAnsiTheme="minorHAnsi" w:cstheme="minorHAnsi"/>
                <w:szCs w:val="20"/>
                <w:lang w:eastAsia="fr-FR" w:bidi="ar-SA"/>
              </w:rPr>
              <w:t>, f</w:t>
            </w:r>
            <w:r w:rsidRPr="00036867">
              <w:rPr>
                <w:rFonts w:asciiTheme="minorHAnsi" w:hAnsiTheme="minorHAnsi" w:cstheme="minorHAnsi"/>
                <w:szCs w:val="20"/>
                <w:lang w:eastAsia="fr-FR" w:bidi="ar-SA"/>
              </w:rPr>
              <w:t>onctionnement ponctuel des groupes électrogènes de secours</w:t>
            </w:r>
          </w:p>
        </w:tc>
        <w:tc>
          <w:tcPr>
            <w:tcW w:w="1843" w:type="dxa"/>
            <w:hideMark/>
          </w:tcPr>
          <w:p w14:paraId="08EA9838" w14:textId="77777777" w:rsidR="008C7CF0" w:rsidRPr="00B95A9D" w:rsidRDefault="008C7CF0" w:rsidP="005A766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Cs w:val="20"/>
                <w:lang w:eastAsia="fr-FR" w:bidi="ar-SA"/>
              </w:rPr>
            </w:pPr>
            <w:r w:rsidRPr="00B95A9D">
              <w:rPr>
                <w:rFonts w:asciiTheme="minorHAnsi" w:hAnsiTheme="minorHAnsi" w:cstheme="minorHAnsi"/>
                <w:b/>
                <w:bCs/>
                <w:szCs w:val="20"/>
                <w:lang w:eastAsia="fr-FR" w:bidi="ar-SA"/>
              </w:rPr>
              <w:t>Nature</w:t>
            </w:r>
          </w:p>
        </w:tc>
        <w:tc>
          <w:tcPr>
            <w:tcW w:w="3678" w:type="dxa"/>
            <w:gridSpan w:val="2"/>
          </w:tcPr>
          <w:p w14:paraId="2ADE4ED9" w14:textId="77777777" w:rsidR="008C7CF0" w:rsidRPr="00B95A9D" w:rsidRDefault="008C7CF0" w:rsidP="005A766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Pr>
                <w:rFonts w:asciiTheme="minorHAnsi" w:hAnsiTheme="minorHAnsi" w:cstheme="minorHAnsi"/>
                <w:szCs w:val="20"/>
                <w:lang w:eastAsia="fr-FR" w:bidi="ar-SA"/>
              </w:rPr>
              <w:t>Direct négatif</w:t>
            </w:r>
          </w:p>
        </w:tc>
      </w:tr>
      <w:tr w:rsidR="008C7CF0" w:rsidRPr="00B95A9D" w14:paraId="3402BFA2" w14:textId="77777777" w:rsidTr="005A7661">
        <w:tc>
          <w:tcPr>
            <w:cnfStyle w:val="001000000000" w:firstRow="0" w:lastRow="0" w:firstColumn="1" w:lastColumn="0" w:oddVBand="0" w:evenVBand="0" w:oddHBand="0" w:evenHBand="0" w:firstRowFirstColumn="0" w:firstRowLastColumn="0" w:lastRowFirstColumn="0" w:lastRowLastColumn="0"/>
            <w:tcW w:w="792" w:type="dxa"/>
            <w:vMerge/>
            <w:hideMark/>
          </w:tcPr>
          <w:p w14:paraId="2D69E22E" w14:textId="77777777" w:rsidR="008C7CF0" w:rsidRPr="00B95A9D" w:rsidRDefault="008C7CF0" w:rsidP="005A7661">
            <w:pPr>
              <w:rPr>
                <w:rFonts w:asciiTheme="minorHAnsi" w:hAnsiTheme="minorHAnsi" w:cstheme="minorHAnsi"/>
                <w:szCs w:val="20"/>
                <w:lang w:eastAsia="fr-FR" w:bidi="ar-SA"/>
              </w:rPr>
            </w:pPr>
          </w:p>
        </w:tc>
        <w:tc>
          <w:tcPr>
            <w:tcW w:w="2747" w:type="dxa"/>
            <w:vMerge/>
            <w:hideMark/>
          </w:tcPr>
          <w:p w14:paraId="5216C811" w14:textId="77777777" w:rsidR="008C7CF0" w:rsidRPr="00B95A9D" w:rsidRDefault="008C7CF0" w:rsidP="005A766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p>
        </w:tc>
        <w:tc>
          <w:tcPr>
            <w:tcW w:w="1843" w:type="dxa"/>
            <w:hideMark/>
          </w:tcPr>
          <w:p w14:paraId="4F060758" w14:textId="77777777" w:rsidR="008C7CF0" w:rsidRPr="00B95A9D" w:rsidRDefault="008C7CF0" w:rsidP="005A766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Cs w:val="20"/>
                <w:lang w:eastAsia="fr-FR" w:bidi="ar-SA"/>
              </w:rPr>
            </w:pPr>
            <w:r w:rsidRPr="00B95A9D">
              <w:rPr>
                <w:rFonts w:asciiTheme="minorHAnsi" w:hAnsiTheme="minorHAnsi" w:cstheme="minorHAnsi"/>
                <w:b/>
                <w:bCs/>
                <w:szCs w:val="20"/>
                <w:lang w:eastAsia="fr-FR" w:bidi="ar-SA"/>
              </w:rPr>
              <w:t>Étendue</w:t>
            </w:r>
          </w:p>
        </w:tc>
        <w:tc>
          <w:tcPr>
            <w:tcW w:w="2436" w:type="dxa"/>
          </w:tcPr>
          <w:p w14:paraId="3554ACA3" w14:textId="6E27911D" w:rsidR="008C7CF0" w:rsidRPr="00B95A9D" w:rsidRDefault="00036867" w:rsidP="005A766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Pr>
                <w:rFonts w:asciiTheme="minorHAnsi" w:hAnsiTheme="minorHAnsi" w:cstheme="minorHAnsi"/>
                <w:szCs w:val="20"/>
                <w:lang w:eastAsia="fr-FR" w:bidi="ar-SA"/>
              </w:rPr>
              <w:t>C</w:t>
            </w:r>
            <w:r w:rsidRPr="00036867">
              <w:rPr>
                <w:rFonts w:asciiTheme="minorHAnsi" w:hAnsiTheme="minorHAnsi" w:cstheme="minorHAnsi"/>
                <w:szCs w:val="20"/>
                <w:lang w:eastAsia="fr-FR" w:bidi="ar-SA"/>
              </w:rPr>
              <w:t>irconscrite à la plateforme aéroportuaire et au réseau interne</w:t>
            </w:r>
          </w:p>
        </w:tc>
        <w:tc>
          <w:tcPr>
            <w:tcW w:w="1242" w:type="dxa"/>
          </w:tcPr>
          <w:p w14:paraId="0C6FB1C0" w14:textId="64E708B9" w:rsidR="008C7CF0" w:rsidRPr="00B95A9D" w:rsidRDefault="00036867" w:rsidP="005A766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Cs w:val="20"/>
                <w:lang w:eastAsia="fr-FR" w:bidi="ar-SA"/>
              </w:rPr>
            </w:pPr>
            <w:r>
              <w:rPr>
                <w:rFonts w:asciiTheme="minorHAnsi" w:hAnsiTheme="minorHAnsi" w:cstheme="minorHAnsi"/>
                <w:b/>
                <w:bCs/>
                <w:szCs w:val="20"/>
                <w:lang w:eastAsia="fr-FR" w:bidi="ar-SA"/>
              </w:rPr>
              <w:t>Locale</w:t>
            </w:r>
          </w:p>
        </w:tc>
      </w:tr>
      <w:tr w:rsidR="008C7CF0" w:rsidRPr="00B95A9D" w14:paraId="662A5630" w14:textId="77777777" w:rsidTr="005A7661">
        <w:tc>
          <w:tcPr>
            <w:cnfStyle w:val="001000000000" w:firstRow="0" w:lastRow="0" w:firstColumn="1" w:lastColumn="0" w:oddVBand="0" w:evenVBand="0" w:oddHBand="0" w:evenHBand="0" w:firstRowFirstColumn="0" w:firstRowLastColumn="0" w:lastRowFirstColumn="0" w:lastRowLastColumn="0"/>
            <w:tcW w:w="792" w:type="dxa"/>
            <w:vMerge/>
            <w:hideMark/>
          </w:tcPr>
          <w:p w14:paraId="687E7C1F" w14:textId="77777777" w:rsidR="008C7CF0" w:rsidRPr="00B95A9D" w:rsidRDefault="008C7CF0" w:rsidP="005A7661">
            <w:pPr>
              <w:rPr>
                <w:rFonts w:asciiTheme="minorHAnsi" w:hAnsiTheme="minorHAnsi" w:cstheme="minorHAnsi"/>
                <w:szCs w:val="20"/>
                <w:lang w:eastAsia="fr-FR" w:bidi="ar-SA"/>
              </w:rPr>
            </w:pPr>
          </w:p>
        </w:tc>
        <w:tc>
          <w:tcPr>
            <w:tcW w:w="2747" w:type="dxa"/>
            <w:vMerge/>
            <w:hideMark/>
          </w:tcPr>
          <w:p w14:paraId="576C9C09" w14:textId="77777777" w:rsidR="008C7CF0" w:rsidRPr="00B95A9D" w:rsidRDefault="008C7CF0" w:rsidP="005A766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p>
        </w:tc>
        <w:tc>
          <w:tcPr>
            <w:tcW w:w="1843" w:type="dxa"/>
            <w:hideMark/>
          </w:tcPr>
          <w:p w14:paraId="7CAAD8E3" w14:textId="77777777" w:rsidR="008C7CF0" w:rsidRPr="00B95A9D" w:rsidRDefault="008C7CF0" w:rsidP="005A766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Cs w:val="20"/>
                <w:lang w:eastAsia="fr-FR" w:bidi="ar-SA"/>
              </w:rPr>
            </w:pPr>
            <w:r w:rsidRPr="00B95A9D">
              <w:rPr>
                <w:rFonts w:asciiTheme="minorHAnsi" w:hAnsiTheme="minorHAnsi" w:cstheme="minorHAnsi"/>
                <w:b/>
                <w:bCs/>
                <w:szCs w:val="20"/>
                <w:lang w:eastAsia="fr-FR" w:bidi="ar-SA"/>
              </w:rPr>
              <w:t>Durée</w:t>
            </w:r>
          </w:p>
        </w:tc>
        <w:tc>
          <w:tcPr>
            <w:tcW w:w="2436" w:type="dxa"/>
          </w:tcPr>
          <w:p w14:paraId="414F7194" w14:textId="0391CB4D" w:rsidR="008C7CF0" w:rsidRPr="00B95A9D" w:rsidRDefault="00036867" w:rsidP="005A766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Pr>
                <w:rFonts w:asciiTheme="minorHAnsi" w:hAnsiTheme="minorHAnsi" w:cstheme="minorHAnsi"/>
                <w:szCs w:val="20"/>
                <w:lang w:eastAsia="fr-FR" w:bidi="ar-SA"/>
              </w:rPr>
              <w:t>Tout au long de la phase d’exploitation</w:t>
            </w:r>
          </w:p>
        </w:tc>
        <w:tc>
          <w:tcPr>
            <w:tcW w:w="1242" w:type="dxa"/>
          </w:tcPr>
          <w:p w14:paraId="1FC51103" w14:textId="41F05446" w:rsidR="008C7CF0" w:rsidRPr="00B95A9D" w:rsidRDefault="00036867" w:rsidP="005A766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Cs w:val="20"/>
                <w:lang w:eastAsia="fr-FR" w:bidi="ar-SA"/>
              </w:rPr>
            </w:pPr>
            <w:r>
              <w:rPr>
                <w:rFonts w:asciiTheme="minorHAnsi" w:hAnsiTheme="minorHAnsi" w:cstheme="minorHAnsi"/>
                <w:b/>
                <w:bCs/>
                <w:szCs w:val="20"/>
                <w:lang w:eastAsia="fr-FR" w:bidi="ar-SA"/>
              </w:rPr>
              <w:t>Permanante</w:t>
            </w:r>
          </w:p>
        </w:tc>
      </w:tr>
      <w:tr w:rsidR="008C7CF0" w:rsidRPr="00B95A9D" w14:paraId="733EC510" w14:textId="77777777" w:rsidTr="005A7661">
        <w:tc>
          <w:tcPr>
            <w:cnfStyle w:val="001000000000" w:firstRow="0" w:lastRow="0" w:firstColumn="1" w:lastColumn="0" w:oddVBand="0" w:evenVBand="0" w:oddHBand="0" w:evenHBand="0" w:firstRowFirstColumn="0" w:firstRowLastColumn="0" w:lastRowFirstColumn="0" w:lastRowLastColumn="0"/>
            <w:tcW w:w="792" w:type="dxa"/>
            <w:vMerge/>
            <w:hideMark/>
          </w:tcPr>
          <w:p w14:paraId="01394ED3" w14:textId="77777777" w:rsidR="008C7CF0" w:rsidRPr="00B95A9D" w:rsidRDefault="008C7CF0" w:rsidP="005A7661">
            <w:pPr>
              <w:rPr>
                <w:rFonts w:asciiTheme="minorHAnsi" w:hAnsiTheme="minorHAnsi" w:cstheme="minorHAnsi"/>
                <w:szCs w:val="20"/>
                <w:lang w:eastAsia="fr-FR" w:bidi="ar-SA"/>
              </w:rPr>
            </w:pPr>
          </w:p>
        </w:tc>
        <w:tc>
          <w:tcPr>
            <w:tcW w:w="2747" w:type="dxa"/>
            <w:vMerge/>
            <w:hideMark/>
          </w:tcPr>
          <w:p w14:paraId="0E91B0E6" w14:textId="77777777" w:rsidR="008C7CF0" w:rsidRPr="00B95A9D" w:rsidRDefault="008C7CF0" w:rsidP="005A766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p>
        </w:tc>
        <w:tc>
          <w:tcPr>
            <w:tcW w:w="1843" w:type="dxa"/>
            <w:hideMark/>
          </w:tcPr>
          <w:p w14:paraId="063C1C89" w14:textId="77777777" w:rsidR="008C7CF0" w:rsidRPr="00B95A9D" w:rsidRDefault="008C7CF0" w:rsidP="005A766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Cs w:val="20"/>
                <w:lang w:eastAsia="fr-FR" w:bidi="ar-SA"/>
              </w:rPr>
            </w:pPr>
            <w:r w:rsidRPr="00B95A9D">
              <w:rPr>
                <w:rFonts w:asciiTheme="minorHAnsi" w:hAnsiTheme="minorHAnsi" w:cstheme="minorHAnsi"/>
                <w:b/>
                <w:bCs/>
                <w:szCs w:val="20"/>
                <w:lang w:eastAsia="fr-FR" w:bidi="ar-SA"/>
              </w:rPr>
              <w:t>Fréquence</w:t>
            </w:r>
          </w:p>
        </w:tc>
        <w:tc>
          <w:tcPr>
            <w:tcW w:w="2436" w:type="dxa"/>
          </w:tcPr>
          <w:p w14:paraId="4B1F5C7E" w14:textId="5ED7FB01" w:rsidR="008C7CF0" w:rsidRPr="00911A3C" w:rsidRDefault="004155DD" w:rsidP="005A766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Pr>
                <w:rFonts w:asciiTheme="minorHAnsi" w:hAnsiTheme="minorHAnsi" w:cstheme="minorHAnsi"/>
                <w:szCs w:val="20"/>
                <w:lang w:eastAsia="fr-FR" w:bidi="ar-SA"/>
              </w:rPr>
              <w:t>Besoin continue d’énergie électrique</w:t>
            </w:r>
          </w:p>
        </w:tc>
        <w:tc>
          <w:tcPr>
            <w:tcW w:w="1242" w:type="dxa"/>
          </w:tcPr>
          <w:p w14:paraId="0D2C301F" w14:textId="04289535" w:rsidR="008C7CF0" w:rsidRPr="00B95A9D" w:rsidRDefault="004155DD" w:rsidP="005A766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Cs w:val="20"/>
                <w:lang w:eastAsia="fr-FR" w:bidi="ar-SA"/>
              </w:rPr>
            </w:pPr>
            <w:r>
              <w:rPr>
                <w:rFonts w:asciiTheme="minorHAnsi" w:hAnsiTheme="minorHAnsi" w:cstheme="minorHAnsi"/>
                <w:b/>
                <w:bCs/>
                <w:szCs w:val="20"/>
                <w:lang w:eastAsia="fr-FR" w:bidi="ar-SA"/>
              </w:rPr>
              <w:t>Continue</w:t>
            </w:r>
          </w:p>
        </w:tc>
      </w:tr>
      <w:tr w:rsidR="008C7CF0" w:rsidRPr="00B95A9D" w14:paraId="4DE74281" w14:textId="77777777" w:rsidTr="005A7661">
        <w:tc>
          <w:tcPr>
            <w:cnfStyle w:val="001000000000" w:firstRow="0" w:lastRow="0" w:firstColumn="1" w:lastColumn="0" w:oddVBand="0" w:evenVBand="0" w:oddHBand="0" w:evenHBand="0" w:firstRowFirstColumn="0" w:firstRowLastColumn="0" w:lastRowFirstColumn="0" w:lastRowLastColumn="0"/>
            <w:tcW w:w="792" w:type="dxa"/>
            <w:vMerge/>
            <w:hideMark/>
          </w:tcPr>
          <w:p w14:paraId="4A1AF2AB" w14:textId="77777777" w:rsidR="008C7CF0" w:rsidRPr="00B95A9D" w:rsidRDefault="008C7CF0" w:rsidP="005A7661">
            <w:pPr>
              <w:rPr>
                <w:rFonts w:asciiTheme="minorHAnsi" w:hAnsiTheme="minorHAnsi" w:cstheme="minorHAnsi"/>
                <w:szCs w:val="20"/>
                <w:lang w:eastAsia="fr-FR" w:bidi="ar-SA"/>
              </w:rPr>
            </w:pPr>
          </w:p>
        </w:tc>
        <w:tc>
          <w:tcPr>
            <w:tcW w:w="2747" w:type="dxa"/>
            <w:vMerge/>
            <w:hideMark/>
          </w:tcPr>
          <w:p w14:paraId="06DC6DB4" w14:textId="77777777" w:rsidR="008C7CF0" w:rsidRPr="00B95A9D" w:rsidRDefault="008C7CF0" w:rsidP="005A766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p>
        </w:tc>
        <w:tc>
          <w:tcPr>
            <w:tcW w:w="1843" w:type="dxa"/>
            <w:shd w:val="clear" w:color="auto" w:fill="D9E2F3"/>
            <w:hideMark/>
          </w:tcPr>
          <w:p w14:paraId="5169553A" w14:textId="77777777" w:rsidR="008C7CF0" w:rsidRPr="00B95A9D" w:rsidRDefault="008C7CF0" w:rsidP="005A766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Cs w:val="20"/>
                <w:lang w:eastAsia="fr-FR" w:bidi="ar-SA"/>
              </w:rPr>
            </w:pPr>
            <w:r w:rsidRPr="00B95A9D">
              <w:rPr>
                <w:rFonts w:asciiTheme="minorHAnsi" w:hAnsiTheme="minorHAnsi" w:cstheme="minorHAnsi"/>
                <w:b/>
                <w:bCs/>
                <w:szCs w:val="20"/>
                <w:lang w:eastAsia="fr-FR" w:bidi="ar-SA"/>
              </w:rPr>
              <w:t>Intensité</w:t>
            </w:r>
          </w:p>
        </w:tc>
        <w:tc>
          <w:tcPr>
            <w:tcW w:w="2436" w:type="dxa"/>
            <w:shd w:val="clear" w:color="auto" w:fill="D9E2F3"/>
          </w:tcPr>
          <w:p w14:paraId="50F76CCF" w14:textId="180B8942" w:rsidR="008C7CF0" w:rsidRPr="00B95A9D" w:rsidRDefault="004155DD" w:rsidP="005A766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sidRPr="004155DD">
              <w:rPr>
                <w:rFonts w:asciiTheme="minorHAnsi" w:hAnsiTheme="minorHAnsi" w:cstheme="minorHAnsi"/>
                <w:szCs w:val="20"/>
                <w:lang w:eastAsia="fr-FR" w:bidi="ar-SA"/>
              </w:rPr>
              <w:t>Faible, en raison de la nature peu énergivore des installations (éclairage LED, équipements à basse consommation)</w:t>
            </w:r>
          </w:p>
        </w:tc>
        <w:tc>
          <w:tcPr>
            <w:tcW w:w="1242" w:type="dxa"/>
            <w:shd w:val="clear" w:color="auto" w:fill="D9E2F3"/>
          </w:tcPr>
          <w:p w14:paraId="3F1619C4" w14:textId="7C0AA008" w:rsidR="008C7CF0" w:rsidRPr="00B95A9D" w:rsidRDefault="004155DD" w:rsidP="005A766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Cs w:val="20"/>
                <w:lang w:eastAsia="fr-FR" w:bidi="ar-SA"/>
              </w:rPr>
            </w:pPr>
            <w:r>
              <w:rPr>
                <w:rFonts w:asciiTheme="minorHAnsi" w:hAnsiTheme="minorHAnsi" w:cstheme="minorHAnsi"/>
                <w:b/>
                <w:bCs/>
                <w:szCs w:val="20"/>
                <w:lang w:eastAsia="fr-FR" w:bidi="ar-SA"/>
              </w:rPr>
              <w:t>Faible</w:t>
            </w:r>
          </w:p>
        </w:tc>
      </w:tr>
      <w:tr w:rsidR="008C7CF0" w:rsidRPr="00B95A9D" w14:paraId="6BD31A96" w14:textId="77777777" w:rsidTr="005A7661">
        <w:tc>
          <w:tcPr>
            <w:cnfStyle w:val="001000000000" w:firstRow="0" w:lastRow="0" w:firstColumn="1" w:lastColumn="0" w:oddVBand="0" w:evenVBand="0" w:oddHBand="0" w:evenHBand="0" w:firstRowFirstColumn="0" w:firstRowLastColumn="0" w:lastRowFirstColumn="0" w:lastRowLastColumn="0"/>
            <w:tcW w:w="792" w:type="dxa"/>
            <w:vMerge/>
          </w:tcPr>
          <w:p w14:paraId="3BEF2196" w14:textId="77777777" w:rsidR="008C7CF0" w:rsidRPr="00B95A9D" w:rsidRDefault="008C7CF0" w:rsidP="005A7661">
            <w:pPr>
              <w:rPr>
                <w:rFonts w:asciiTheme="minorHAnsi" w:hAnsiTheme="minorHAnsi" w:cstheme="minorHAnsi"/>
                <w:szCs w:val="20"/>
                <w:lang w:eastAsia="fr-FR" w:bidi="ar-SA"/>
              </w:rPr>
            </w:pPr>
          </w:p>
        </w:tc>
        <w:tc>
          <w:tcPr>
            <w:tcW w:w="8268" w:type="dxa"/>
            <w:gridSpan w:val="4"/>
          </w:tcPr>
          <w:p w14:paraId="5FE83F59" w14:textId="77777777" w:rsidR="008C7CF0" w:rsidRPr="00B95A9D" w:rsidRDefault="008C7CF0" w:rsidP="005A7661">
            <w:pPr>
              <w:spacing w:before="0" w:after="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Cs w:val="20"/>
                <w:lang w:eastAsia="fr-FR" w:bidi="ar-SA"/>
              </w:rPr>
            </w:pPr>
          </w:p>
        </w:tc>
      </w:tr>
      <w:tr w:rsidR="008C7CF0" w:rsidRPr="00B95A9D" w14:paraId="5889AE12" w14:textId="77777777" w:rsidTr="005A7661">
        <w:tc>
          <w:tcPr>
            <w:cnfStyle w:val="001000000000" w:firstRow="0" w:lastRow="0" w:firstColumn="1" w:lastColumn="0" w:oddVBand="0" w:evenVBand="0" w:oddHBand="0" w:evenHBand="0" w:firstRowFirstColumn="0" w:firstRowLastColumn="0" w:lastRowFirstColumn="0" w:lastRowLastColumn="0"/>
            <w:tcW w:w="792" w:type="dxa"/>
            <w:vMerge/>
          </w:tcPr>
          <w:p w14:paraId="1CAFE3DB" w14:textId="77777777" w:rsidR="008C7CF0" w:rsidRPr="00B95A9D" w:rsidRDefault="008C7CF0" w:rsidP="005A7661">
            <w:pPr>
              <w:rPr>
                <w:rFonts w:asciiTheme="minorHAnsi" w:hAnsiTheme="minorHAnsi" w:cstheme="minorHAnsi"/>
                <w:szCs w:val="20"/>
                <w:lang w:eastAsia="fr-FR" w:bidi="ar-SA"/>
              </w:rPr>
            </w:pPr>
          </w:p>
        </w:tc>
        <w:tc>
          <w:tcPr>
            <w:tcW w:w="2747" w:type="dxa"/>
            <w:shd w:val="clear" w:color="auto" w:fill="B4C6E7" w:themeFill="accent1" w:themeFillTint="66"/>
            <w:vAlign w:val="center"/>
          </w:tcPr>
          <w:p w14:paraId="22C509AC" w14:textId="77777777" w:rsidR="008C7CF0" w:rsidRPr="00B95A9D" w:rsidRDefault="008C7CF0" w:rsidP="005A766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sidRPr="00B95A9D">
              <w:rPr>
                <w:rFonts w:asciiTheme="minorHAnsi" w:hAnsiTheme="minorHAnsi" w:cstheme="minorHAnsi"/>
                <w:b/>
                <w:bCs/>
                <w:szCs w:val="20"/>
              </w:rPr>
              <w:t>Intensité de l’impact</w:t>
            </w:r>
          </w:p>
        </w:tc>
        <w:tc>
          <w:tcPr>
            <w:tcW w:w="1843" w:type="dxa"/>
            <w:shd w:val="clear" w:color="auto" w:fill="B4C6E7" w:themeFill="accent1" w:themeFillTint="66"/>
            <w:vAlign w:val="center"/>
          </w:tcPr>
          <w:p w14:paraId="7C10DF67" w14:textId="77777777" w:rsidR="008C7CF0" w:rsidRPr="00B95A9D" w:rsidRDefault="008C7CF0" w:rsidP="005A766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Cs w:val="20"/>
                <w:lang w:eastAsia="fr-FR" w:bidi="ar-SA"/>
              </w:rPr>
            </w:pPr>
            <w:r w:rsidRPr="00B95A9D">
              <w:rPr>
                <w:rFonts w:asciiTheme="minorHAnsi" w:hAnsiTheme="minorHAnsi" w:cstheme="minorHAnsi"/>
                <w:b/>
                <w:bCs/>
                <w:szCs w:val="20"/>
              </w:rPr>
              <w:t>Récepteurs</w:t>
            </w:r>
          </w:p>
        </w:tc>
        <w:tc>
          <w:tcPr>
            <w:tcW w:w="2436" w:type="dxa"/>
            <w:shd w:val="clear" w:color="auto" w:fill="B4C6E7" w:themeFill="accent1" w:themeFillTint="66"/>
            <w:vAlign w:val="center"/>
          </w:tcPr>
          <w:p w14:paraId="2E575D0B" w14:textId="77777777" w:rsidR="008C7CF0" w:rsidRPr="00B95A9D" w:rsidRDefault="008C7CF0" w:rsidP="005A766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sidRPr="00B95A9D">
              <w:rPr>
                <w:rFonts w:asciiTheme="minorHAnsi" w:hAnsiTheme="minorHAnsi" w:cstheme="minorHAnsi"/>
                <w:b/>
                <w:bCs/>
                <w:szCs w:val="20"/>
              </w:rPr>
              <w:t>Sensibilité</w:t>
            </w:r>
          </w:p>
        </w:tc>
        <w:tc>
          <w:tcPr>
            <w:tcW w:w="1242" w:type="dxa"/>
            <w:shd w:val="clear" w:color="auto" w:fill="B4C6E7" w:themeFill="accent1" w:themeFillTint="66"/>
            <w:vAlign w:val="center"/>
          </w:tcPr>
          <w:p w14:paraId="689934C1" w14:textId="77777777" w:rsidR="008C7CF0" w:rsidRPr="00B95A9D" w:rsidRDefault="008C7CF0" w:rsidP="005A766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Cs w:val="20"/>
                <w:lang w:eastAsia="fr-FR" w:bidi="ar-SA"/>
              </w:rPr>
            </w:pPr>
            <w:r w:rsidRPr="00B95A9D">
              <w:rPr>
                <w:rFonts w:asciiTheme="minorHAnsi" w:hAnsiTheme="minorHAnsi" w:cstheme="minorHAnsi"/>
                <w:b/>
                <w:bCs/>
                <w:szCs w:val="20"/>
              </w:rPr>
              <w:t>Importance de l’impact</w:t>
            </w:r>
          </w:p>
        </w:tc>
      </w:tr>
      <w:tr w:rsidR="008C7CF0" w:rsidRPr="00B95A9D" w14:paraId="58942991" w14:textId="77777777" w:rsidTr="005A7661">
        <w:tc>
          <w:tcPr>
            <w:cnfStyle w:val="001000000000" w:firstRow="0" w:lastRow="0" w:firstColumn="1" w:lastColumn="0" w:oddVBand="0" w:evenVBand="0" w:oddHBand="0" w:evenHBand="0" w:firstRowFirstColumn="0" w:firstRowLastColumn="0" w:lastRowFirstColumn="0" w:lastRowLastColumn="0"/>
            <w:tcW w:w="792" w:type="dxa"/>
            <w:vMerge/>
          </w:tcPr>
          <w:p w14:paraId="34E7E033" w14:textId="77777777" w:rsidR="008C7CF0" w:rsidRPr="00B95A9D" w:rsidRDefault="008C7CF0" w:rsidP="005A7661">
            <w:pPr>
              <w:rPr>
                <w:rFonts w:asciiTheme="minorHAnsi" w:hAnsiTheme="minorHAnsi" w:cstheme="minorHAnsi"/>
                <w:szCs w:val="20"/>
                <w:lang w:eastAsia="fr-FR" w:bidi="ar-SA"/>
              </w:rPr>
            </w:pPr>
          </w:p>
        </w:tc>
        <w:tc>
          <w:tcPr>
            <w:tcW w:w="2747" w:type="dxa"/>
            <w:vAlign w:val="center"/>
          </w:tcPr>
          <w:p w14:paraId="3E90E170" w14:textId="7A0A74A2" w:rsidR="008C7CF0" w:rsidRPr="00B95A9D" w:rsidRDefault="004155DD" w:rsidP="005A766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Pr>
                <w:rFonts w:asciiTheme="minorHAnsi" w:hAnsiTheme="minorHAnsi" w:cstheme="minorHAnsi"/>
                <w:szCs w:val="20"/>
                <w:lang w:eastAsia="fr-FR" w:bidi="ar-SA"/>
              </w:rPr>
              <w:t>Faible</w:t>
            </w:r>
          </w:p>
        </w:tc>
        <w:tc>
          <w:tcPr>
            <w:tcW w:w="1843" w:type="dxa"/>
            <w:vAlign w:val="center"/>
          </w:tcPr>
          <w:p w14:paraId="57256884" w14:textId="3BB4F82E" w:rsidR="008C7CF0" w:rsidRPr="00CF0282" w:rsidRDefault="004155DD" w:rsidP="005A766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Pr>
                <w:rFonts w:asciiTheme="minorHAnsi" w:hAnsiTheme="minorHAnsi" w:cstheme="minorHAnsi"/>
                <w:szCs w:val="20"/>
                <w:lang w:eastAsia="fr-FR" w:bidi="ar-SA"/>
              </w:rPr>
              <w:t>R</w:t>
            </w:r>
            <w:r w:rsidRPr="004155DD">
              <w:rPr>
                <w:rFonts w:asciiTheme="minorHAnsi" w:hAnsiTheme="minorHAnsi" w:cstheme="minorHAnsi"/>
                <w:szCs w:val="20"/>
                <w:lang w:eastAsia="fr-FR" w:bidi="ar-SA"/>
              </w:rPr>
              <w:t>éseau électrique de l’ONEE</w:t>
            </w:r>
          </w:p>
        </w:tc>
        <w:tc>
          <w:tcPr>
            <w:tcW w:w="2436" w:type="dxa"/>
            <w:vAlign w:val="center"/>
          </w:tcPr>
          <w:p w14:paraId="51278032" w14:textId="51D9FE00" w:rsidR="008C7CF0" w:rsidRPr="00B95A9D" w:rsidRDefault="004155DD" w:rsidP="005A766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Pr>
                <w:rFonts w:asciiTheme="minorHAnsi" w:hAnsiTheme="minorHAnsi" w:cstheme="minorHAnsi"/>
                <w:szCs w:val="20"/>
                <w:lang w:eastAsia="fr-FR" w:bidi="ar-SA"/>
              </w:rPr>
              <w:t>Faible</w:t>
            </w:r>
          </w:p>
        </w:tc>
        <w:tc>
          <w:tcPr>
            <w:tcW w:w="1242" w:type="dxa"/>
            <w:vAlign w:val="center"/>
          </w:tcPr>
          <w:p w14:paraId="736DDBBF" w14:textId="264968FE" w:rsidR="008C7CF0" w:rsidRPr="00B95A9D" w:rsidRDefault="004155DD" w:rsidP="005A766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Cs w:val="20"/>
                <w:lang w:eastAsia="fr-FR" w:bidi="ar-SA"/>
              </w:rPr>
            </w:pPr>
            <w:r>
              <w:rPr>
                <w:rFonts w:asciiTheme="minorHAnsi" w:hAnsiTheme="minorHAnsi" w:cstheme="minorHAnsi"/>
                <w:b/>
                <w:bCs/>
                <w:szCs w:val="20"/>
                <w:lang w:eastAsia="fr-FR" w:bidi="ar-SA"/>
              </w:rPr>
              <w:t>Négligeable</w:t>
            </w:r>
          </w:p>
        </w:tc>
      </w:tr>
    </w:tbl>
    <w:p w14:paraId="5363D5C1" w14:textId="14C3EDA5" w:rsidR="007B27AA" w:rsidRDefault="00C96DE9" w:rsidP="0001633E">
      <w:pPr>
        <w:pStyle w:val="AltTitle2"/>
        <w:numPr>
          <w:ilvl w:val="0"/>
          <w:numId w:val="106"/>
        </w:numPr>
      </w:pPr>
      <w:r>
        <w:t>Utilisation de matières premières</w:t>
      </w:r>
    </w:p>
    <w:p w14:paraId="3B12D8E3" w14:textId="77777777" w:rsidR="00240D7A" w:rsidRDefault="00240D7A" w:rsidP="00240D7A">
      <w:r>
        <w:t>En phase d’exploitation, aucune utilisation notable de matières premières n’est prévue.</w:t>
      </w:r>
    </w:p>
    <w:p w14:paraId="5D174DB0" w14:textId="77777777" w:rsidR="00240D7A" w:rsidRDefault="00240D7A" w:rsidP="00240D7A">
      <w:r>
        <w:t>Les surfaces aménagées seront stabilisées et revêtues, et seules de faibles quantités de matériaux pourront être mobilisées pour des travaux d’entretien périodique (reprise de signalisation, réfection ponctuelle des enrobés, maintenance des joints ou structures de drainage).</w:t>
      </w:r>
    </w:p>
    <w:p w14:paraId="5E6CCFC9" w14:textId="620C2EE1" w:rsidR="00C96DE9" w:rsidRPr="00240D7A" w:rsidRDefault="00240D7A" w:rsidP="00240D7A">
      <w:r>
        <w:t xml:space="preserve">Ces opérations seront occasionnelles et réalisées dans le cadre du programme de maintenance préventive de l’ONDA, qui </w:t>
      </w:r>
      <w:r w:rsidRPr="00240D7A">
        <w:t>recourt déjà à des fournisseurs agréés et à des matériaux normalisés.</w:t>
      </w:r>
    </w:p>
    <w:p w14:paraId="5C82BF94" w14:textId="77777777" w:rsidR="00240D7A" w:rsidRPr="00240D7A" w:rsidRDefault="00240D7A" w:rsidP="00240D7A">
      <w:r w:rsidRPr="00240D7A">
        <w:t xml:space="preserve">Son </w:t>
      </w:r>
      <w:r w:rsidRPr="004637C7">
        <w:t>étendue spatiale</w:t>
      </w:r>
      <w:r w:rsidRPr="00240D7A">
        <w:t xml:space="preserve"> est </w:t>
      </w:r>
      <w:r w:rsidRPr="004637C7">
        <w:t>locale</w:t>
      </w:r>
      <w:r w:rsidRPr="00240D7A">
        <w:t>, limitée à l’emprise du parking et des voies de circulation internes.</w:t>
      </w:r>
    </w:p>
    <w:p w14:paraId="372C19CC" w14:textId="77777777" w:rsidR="00240D7A" w:rsidRPr="00240D7A" w:rsidRDefault="00240D7A" w:rsidP="00240D7A">
      <w:r w:rsidRPr="00240D7A">
        <w:t xml:space="preserve">Sa </w:t>
      </w:r>
      <w:r w:rsidRPr="004637C7">
        <w:t>durée</w:t>
      </w:r>
      <w:r w:rsidRPr="00240D7A">
        <w:t xml:space="preserve"> est </w:t>
      </w:r>
      <w:r w:rsidRPr="004637C7">
        <w:t>intermittente et de courte durée</w:t>
      </w:r>
      <w:r w:rsidRPr="00240D7A">
        <w:t>, dépendant du calendrier de maintenance.</w:t>
      </w:r>
    </w:p>
    <w:p w14:paraId="50CC06DA" w14:textId="77777777" w:rsidR="00240D7A" w:rsidRPr="00240D7A" w:rsidRDefault="00240D7A" w:rsidP="00240D7A">
      <w:r w:rsidRPr="00240D7A">
        <w:t xml:space="preserve">Sa </w:t>
      </w:r>
      <w:r w:rsidRPr="004637C7">
        <w:t>fréquence</w:t>
      </w:r>
      <w:r w:rsidRPr="00240D7A">
        <w:t xml:space="preserve"> est </w:t>
      </w:r>
      <w:r w:rsidRPr="004637C7">
        <w:t>très faible</w:t>
      </w:r>
      <w:r w:rsidRPr="00240D7A">
        <w:t>, généralement annuelle ou pluriannuelle.</w:t>
      </w:r>
    </w:p>
    <w:p w14:paraId="5FDAD0F5" w14:textId="30B7AEFD" w:rsidR="00240D7A" w:rsidRDefault="00240D7A" w:rsidP="00240D7A">
      <w:r w:rsidRPr="00240D7A">
        <w:t>L’</w:t>
      </w:r>
      <w:r w:rsidRPr="004637C7">
        <w:t>intensité</w:t>
      </w:r>
      <w:r w:rsidRPr="00240D7A">
        <w:t xml:space="preserve"> est négligeable, car il s’agit d’opérations de routine à faible empreinte matérielle.</w:t>
      </w:r>
    </w:p>
    <w:p w14:paraId="222391EA" w14:textId="19B8F828" w:rsidR="00240D7A" w:rsidRDefault="00240D7A" w:rsidP="00240D7A">
      <w:r w:rsidRPr="00240D7A">
        <w:t xml:space="preserve">La </w:t>
      </w:r>
      <w:r w:rsidRPr="004637C7">
        <w:t>sensibilité</w:t>
      </w:r>
      <w:r w:rsidRPr="00240D7A">
        <w:t xml:space="preserve"> du milieu est </w:t>
      </w:r>
      <w:r w:rsidRPr="004637C7">
        <w:t>faible</w:t>
      </w:r>
      <w:r w:rsidR="00AF5EC7">
        <w:t>.</w:t>
      </w:r>
    </w:p>
    <w:tbl>
      <w:tblPr>
        <w:tblStyle w:val="TableauGrille1Clair-Accentuation111"/>
        <w:tblW w:w="0" w:type="auto"/>
        <w:tblLayout w:type="fixed"/>
        <w:tblLook w:val="04A0" w:firstRow="1" w:lastRow="0" w:firstColumn="1" w:lastColumn="0" w:noHBand="0" w:noVBand="1"/>
      </w:tblPr>
      <w:tblGrid>
        <w:gridCol w:w="792"/>
        <w:gridCol w:w="2747"/>
        <w:gridCol w:w="1843"/>
        <w:gridCol w:w="2126"/>
        <w:gridCol w:w="1552"/>
      </w:tblGrid>
      <w:tr w:rsidR="008C7CF0" w:rsidRPr="00B95A9D" w14:paraId="345F1EF2" w14:textId="77777777" w:rsidTr="004637C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hideMark/>
          </w:tcPr>
          <w:p w14:paraId="2706D2C1" w14:textId="77777777" w:rsidR="008C7CF0" w:rsidRPr="00B95A9D" w:rsidRDefault="008C7CF0" w:rsidP="005A7661">
            <w:pPr>
              <w:rPr>
                <w:rFonts w:asciiTheme="minorHAnsi" w:hAnsiTheme="minorHAnsi" w:cstheme="minorHAnsi"/>
                <w:szCs w:val="20"/>
                <w:lang w:eastAsia="fr-FR" w:bidi="ar-SA"/>
              </w:rPr>
            </w:pPr>
            <w:r w:rsidRPr="00B95A9D">
              <w:rPr>
                <w:rFonts w:asciiTheme="minorHAnsi" w:hAnsiTheme="minorHAnsi" w:cstheme="minorHAnsi"/>
                <w:szCs w:val="20"/>
                <w:lang w:eastAsia="fr-FR" w:bidi="ar-SA"/>
              </w:rPr>
              <w:t>Impact</w:t>
            </w:r>
          </w:p>
        </w:tc>
        <w:tc>
          <w:tcPr>
            <w:tcW w:w="0" w:type="dxa"/>
            <w:hideMark/>
          </w:tcPr>
          <w:p w14:paraId="4BD007A3" w14:textId="77777777" w:rsidR="008C7CF0" w:rsidRPr="00B95A9D" w:rsidRDefault="008C7CF0" w:rsidP="005A7661">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sidRPr="00B95A9D">
              <w:rPr>
                <w:rFonts w:asciiTheme="minorHAnsi" w:hAnsiTheme="minorHAnsi" w:cstheme="minorHAnsi"/>
                <w:szCs w:val="20"/>
                <w:lang w:eastAsia="fr-FR" w:bidi="ar-SA"/>
              </w:rPr>
              <w:t>Activités génératrices</w:t>
            </w:r>
          </w:p>
        </w:tc>
        <w:tc>
          <w:tcPr>
            <w:tcW w:w="0" w:type="dxa"/>
            <w:hideMark/>
          </w:tcPr>
          <w:p w14:paraId="06C1C3AC" w14:textId="77777777" w:rsidR="008C7CF0" w:rsidRPr="00B95A9D" w:rsidRDefault="008C7CF0" w:rsidP="005A7661">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sidRPr="00B95A9D">
              <w:rPr>
                <w:rFonts w:asciiTheme="minorHAnsi" w:hAnsiTheme="minorHAnsi" w:cstheme="minorHAnsi"/>
                <w:szCs w:val="20"/>
                <w:lang w:eastAsia="fr-FR" w:bidi="ar-SA"/>
              </w:rPr>
              <w:t>Critère</w:t>
            </w:r>
          </w:p>
        </w:tc>
        <w:tc>
          <w:tcPr>
            <w:tcW w:w="2126" w:type="dxa"/>
            <w:hideMark/>
          </w:tcPr>
          <w:p w14:paraId="527C4D96" w14:textId="77777777" w:rsidR="008C7CF0" w:rsidRPr="00B95A9D" w:rsidRDefault="008C7CF0" w:rsidP="005A7661">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sidRPr="00B95A9D">
              <w:rPr>
                <w:rFonts w:asciiTheme="minorHAnsi" w:hAnsiTheme="minorHAnsi" w:cstheme="minorHAnsi"/>
                <w:szCs w:val="20"/>
                <w:lang w:eastAsia="fr-FR" w:bidi="ar-SA"/>
              </w:rPr>
              <w:t>Justification</w:t>
            </w:r>
          </w:p>
        </w:tc>
        <w:tc>
          <w:tcPr>
            <w:tcW w:w="1552" w:type="dxa"/>
            <w:hideMark/>
          </w:tcPr>
          <w:p w14:paraId="05B964DD" w14:textId="77777777" w:rsidR="008C7CF0" w:rsidRPr="00B95A9D" w:rsidRDefault="008C7CF0" w:rsidP="005A7661">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sidRPr="00B95A9D">
              <w:rPr>
                <w:rFonts w:asciiTheme="minorHAnsi" w:hAnsiTheme="minorHAnsi" w:cstheme="minorHAnsi"/>
                <w:szCs w:val="20"/>
                <w:lang w:eastAsia="fr-FR" w:bidi="ar-SA"/>
              </w:rPr>
              <w:t>Niveau</w:t>
            </w:r>
          </w:p>
        </w:tc>
      </w:tr>
      <w:tr w:rsidR="008C7CF0" w:rsidRPr="00B95A9D" w14:paraId="2A6035EB" w14:textId="77777777" w:rsidTr="005A7661">
        <w:tc>
          <w:tcPr>
            <w:cnfStyle w:val="001000000000" w:firstRow="0" w:lastRow="0" w:firstColumn="1" w:lastColumn="0" w:oddVBand="0" w:evenVBand="0" w:oddHBand="0" w:evenHBand="0" w:firstRowFirstColumn="0" w:firstRowLastColumn="0" w:lastRowFirstColumn="0" w:lastRowLastColumn="0"/>
            <w:tcW w:w="792" w:type="dxa"/>
            <w:vMerge w:val="restart"/>
            <w:textDirection w:val="btLr"/>
            <w:vAlign w:val="center"/>
          </w:tcPr>
          <w:p w14:paraId="4032E748" w14:textId="3675272A" w:rsidR="008C7CF0" w:rsidRPr="00B95A9D" w:rsidRDefault="00061DB0" w:rsidP="005A7661">
            <w:pPr>
              <w:ind w:left="113" w:right="113"/>
              <w:jc w:val="center"/>
              <w:rPr>
                <w:rFonts w:asciiTheme="minorHAnsi" w:hAnsiTheme="minorHAnsi" w:cstheme="minorHAnsi"/>
                <w:szCs w:val="20"/>
                <w:lang w:eastAsia="fr-FR" w:bidi="ar-SA"/>
              </w:rPr>
            </w:pPr>
            <w:r>
              <w:rPr>
                <w:rFonts w:asciiTheme="minorHAnsi" w:hAnsiTheme="minorHAnsi" w:cstheme="minorHAnsi"/>
                <w:szCs w:val="20"/>
                <w:lang w:eastAsia="fr-FR" w:bidi="ar-SA"/>
              </w:rPr>
              <w:t>Utilisation de matières premières</w:t>
            </w:r>
          </w:p>
        </w:tc>
        <w:tc>
          <w:tcPr>
            <w:tcW w:w="2747" w:type="dxa"/>
            <w:vMerge w:val="restart"/>
          </w:tcPr>
          <w:p w14:paraId="7BDF85ED" w14:textId="14408222" w:rsidR="008C7CF0" w:rsidRPr="00B95A9D" w:rsidRDefault="00061DB0" w:rsidP="005A766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Pr>
                <w:rFonts w:asciiTheme="minorHAnsi" w:hAnsiTheme="minorHAnsi" w:cstheme="minorHAnsi"/>
                <w:szCs w:val="20"/>
                <w:lang w:eastAsia="fr-FR" w:bidi="ar-SA"/>
              </w:rPr>
              <w:t>T</w:t>
            </w:r>
            <w:r w:rsidRPr="00061DB0">
              <w:rPr>
                <w:rFonts w:asciiTheme="minorHAnsi" w:hAnsiTheme="minorHAnsi" w:cstheme="minorHAnsi"/>
                <w:szCs w:val="20"/>
                <w:lang w:eastAsia="fr-FR" w:bidi="ar-SA"/>
              </w:rPr>
              <w:t>ravaux d’entretien ponctuels (signalisation, enrobés, joints, structures de drainage)</w:t>
            </w:r>
          </w:p>
        </w:tc>
        <w:tc>
          <w:tcPr>
            <w:tcW w:w="1843" w:type="dxa"/>
            <w:hideMark/>
          </w:tcPr>
          <w:p w14:paraId="4921CDF5" w14:textId="77777777" w:rsidR="008C7CF0" w:rsidRPr="00B95A9D" w:rsidRDefault="008C7CF0" w:rsidP="005A766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Cs w:val="20"/>
                <w:lang w:eastAsia="fr-FR" w:bidi="ar-SA"/>
              </w:rPr>
            </w:pPr>
            <w:r w:rsidRPr="00B95A9D">
              <w:rPr>
                <w:rFonts w:asciiTheme="minorHAnsi" w:hAnsiTheme="minorHAnsi" w:cstheme="minorHAnsi"/>
                <w:b/>
                <w:bCs/>
                <w:szCs w:val="20"/>
                <w:lang w:eastAsia="fr-FR" w:bidi="ar-SA"/>
              </w:rPr>
              <w:t>Nature</w:t>
            </w:r>
          </w:p>
        </w:tc>
        <w:tc>
          <w:tcPr>
            <w:tcW w:w="3678" w:type="dxa"/>
            <w:gridSpan w:val="2"/>
          </w:tcPr>
          <w:p w14:paraId="30E70965" w14:textId="0E16F400" w:rsidR="008C7CF0" w:rsidRPr="00B95A9D" w:rsidRDefault="00061DB0" w:rsidP="005A766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Pr>
                <w:rFonts w:asciiTheme="minorHAnsi" w:hAnsiTheme="minorHAnsi" w:cstheme="minorHAnsi"/>
                <w:szCs w:val="20"/>
                <w:lang w:eastAsia="fr-FR" w:bidi="ar-SA"/>
              </w:rPr>
              <w:t>Ind</w:t>
            </w:r>
            <w:r w:rsidR="008C7CF0">
              <w:rPr>
                <w:rFonts w:asciiTheme="minorHAnsi" w:hAnsiTheme="minorHAnsi" w:cstheme="minorHAnsi"/>
                <w:szCs w:val="20"/>
                <w:lang w:eastAsia="fr-FR" w:bidi="ar-SA"/>
              </w:rPr>
              <w:t>irect négatif</w:t>
            </w:r>
          </w:p>
        </w:tc>
      </w:tr>
      <w:tr w:rsidR="008C7CF0" w:rsidRPr="00B95A9D" w14:paraId="58D6007A" w14:textId="77777777" w:rsidTr="004637C7">
        <w:tc>
          <w:tcPr>
            <w:cnfStyle w:val="001000000000" w:firstRow="0" w:lastRow="0" w:firstColumn="1" w:lastColumn="0" w:oddVBand="0" w:evenVBand="0" w:oddHBand="0" w:evenHBand="0" w:firstRowFirstColumn="0" w:firstRowLastColumn="0" w:lastRowFirstColumn="0" w:lastRowLastColumn="0"/>
            <w:tcW w:w="0" w:type="dxa"/>
            <w:vMerge/>
            <w:hideMark/>
          </w:tcPr>
          <w:p w14:paraId="48014420" w14:textId="77777777" w:rsidR="008C7CF0" w:rsidRPr="00B95A9D" w:rsidRDefault="008C7CF0" w:rsidP="005A7661">
            <w:pPr>
              <w:rPr>
                <w:rFonts w:asciiTheme="minorHAnsi" w:hAnsiTheme="minorHAnsi" w:cstheme="minorHAnsi"/>
                <w:szCs w:val="20"/>
                <w:lang w:eastAsia="fr-FR" w:bidi="ar-SA"/>
              </w:rPr>
            </w:pPr>
          </w:p>
        </w:tc>
        <w:tc>
          <w:tcPr>
            <w:tcW w:w="0" w:type="dxa"/>
            <w:vMerge/>
            <w:hideMark/>
          </w:tcPr>
          <w:p w14:paraId="739F4B99" w14:textId="77777777" w:rsidR="008C7CF0" w:rsidRPr="00B95A9D" w:rsidRDefault="008C7CF0" w:rsidP="005A766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p>
        </w:tc>
        <w:tc>
          <w:tcPr>
            <w:tcW w:w="0" w:type="dxa"/>
            <w:hideMark/>
          </w:tcPr>
          <w:p w14:paraId="412433D4" w14:textId="77777777" w:rsidR="008C7CF0" w:rsidRPr="00B95A9D" w:rsidRDefault="008C7CF0" w:rsidP="005A766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Cs w:val="20"/>
                <w:lang w:eastAsia="fr-FR" w:bidi="ar-SA"/>
              </w:rPr>
            </w:pPr>
            <w:r w:rsidRPr="00B95A9D">
              <w:rPr>
                <w:rFonts w:asciiTheme="minorHAnsi" w:hAnsiTheme="minorHAnsi" w:cstheme="minorHAnsi"/>
                <w:b/>
                <w:bCs/>
                <w:szCs w:val="20"/>
                <w:lang w:eastAsia="fr-FR" w:bidi="ar-SA"/>
              </w:rPr>
              <w:t>Étendue</w:t>
            </w:r>
          </w:p>
        </w:tc>
        <w:tc>
          <w:tcPr>
            <w:tcW w:w="2126" w:type="dxa"/>
          </w:tcPr>
          <w:p w14:paraId="24E5209D" w14:textId="0A8FC291" w:rsidR="008C7CF0" w:rsidRPr="00B95A9D" w:rsidRDefault="00C16C30" w:rsidP="005A766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Pr>
                <w:rFonts w:asciiTheme="minorHAnsi" w:hAnsiTheme="minorHAnsi" w:cstheme="minorHAnsi"/>
                <w:szCs w:val="20"/>
                <w:lang w:eastAsia="fr-FR" w:bidi="ar-SA"/>
              </w:rPr>
              <w:t>C</w:t>
            </w:r>
            <w:r w:rsidRPr="00C16C30">
              <w:rPr>
                <w:rFonts w:asciiTheme="minorHAnsi" w:hAnsiTheme="minorHAnsi" w:cstheme="minorHAnsi"/>
                <w:szCs w:val="20"/>
                <w:lang w:eastAsia="fr-FR" w:bidi="ar-SA"/>
              </w:rPr>
              <w:t>irconscrite à l’emprise du parking et des voies de circulation internes</w:t>
            </w:r>
          </w:p>
        </w:tc>
        <w:tc>
          <w:tcPr>
            <w:tcW w:w="1552" w:type="dxa"/>
          </w:tcPr>
          <w:p w14:paraId="0520DD4A" w14:textId="007A2D35" w:rsidR="008C7CF0" w:rsidRPr="00B95A9D" w:rsidRDefault="00C16C30" w:rsidP="005A766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Cs w:val="20"/>
                <w:lang w:eastAsia="fr-FR" w:bidi="ar-SA"/>
              </w:rPr>
            </w:pPr>
            <w:r>
              <w:rPr>
                <w:rFonts w:asciiTheme="minorHAnsi" w:hAnsiTheme="minorHAnsi" w:cstheme="minorHAnsi"/>
                <w:b/>
                <w:bCs/>
                <w:szCs w:val="20"/>
                <w:lang w:eastAsia="fr-FR" w:bidi="ar-SA"/>
              </w:rPr>
              <w:t>Locale</w:t>
            </w:r>
          </w:p>
        </w:tc>
      </w:tr>
      <w:tr w:rsidR="008C7CF0" w:rsidRPr="00B95A9D" w14:paraId="7ED48574" w14:textId="77777777" w:rsidTr="004637C7">
        <w:tc>
          <w:tcPr>
            <w:cnfStyle w:val="001000000000" w:firstRow="0" w:lastRow="0" w:firstColumn="1" w:lastColumn="0" w:oddVBand="0" w:evenVBand="0" w:oddHBand="0" w:evenHBand="0" w:firstRowFirstColumn="0" w:firstRowLastColumn="0" w:lastRowFirstColumn="0" w:lastRowLastColumn="0"/>
            <w:tcW w:w="0" w:type="dxa"/>
            <w:vMerge/>
            <w:hideMark/>
          </w:tcPr>
          <w:p w14:paraId="24DD22B0" w14:textId="77777777" w:rsidR="008C7CF0" w:rsidRPr="00B95A9D" w:rsidRDefault="008C7CF0" w:rsidP="005A7661">
            <w:pPr>
              <w:rPr>
                <w:rFonts w:asciiTheme="minorHAnsi" w:hAnsiTheme="minorHAnsi" w:cstheme="minorHAnsi"/>
                <w:szCs w:val="20"/>
                <w:lang w:eastAsia="fr-FR" w:bidi="ar-SA"/>
              </w:rPr>
            </w:pPr>
          </w:p>
        </w:tc>
        <w:tc>
          <w:tcPr>
            <w:tcW w:w="0" w:type="dxa"/>
            <w:vMerge/>
            <w:hideMark/>
          </w:tcPr>
          <w:p w14:paraId="52886FA9" w14:textId="77777777" w:rsidR="008C7CF0" w:rsidRPr="00B95A9D" w:rsidRDefault="008C7CF0" w:rsidP="005A766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p>
        </w:tc>
        <w:tc>
          <w:tcPr>
            <w:tcW w:w="0" w:type="dxa"/>
            <w:hideMark/>
          </w:tcPr>
          <w:p w14:paraId="5730894C" w14:textId="77777777" w:rsidR="008C7CF0" w:rsidRPr="00B95A9D" w:rsidRDefault="008C7CF0" w:rsidP="005A766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Cs w:val="20"/>
                <w:lang w:eastAsia="fr-FR" w:bidi="ar-SA"/>
              </w:rPr>
            </w:pPr>
            <w:r w:rsidRPr="00B95A9D">
              <w:rPr>
                <w:rFonts w:asciiTheme="minorHAnsi" w:hAnsiTheme="minorHAnsi" w:cstheme="minorHAnsi"/>
                <w:b/>
                <w:bCs/>
                <w:szCs w:val="20"/>
                <w:lang w:eastAsia="fr-FR" w:bidi="ar-SA"/>
              </w:rPr>
              <w:t>Durée</w:t>
            </w:r>
          </w:p>
        </w:tc>
        <w:tc>
          <w:tcPr>
            <w:tcW w:w="2126" w:type="dxa"/>
          </w:tcPr>
          <w:p w14:paraId="7C101FD1" w14:textId="31EDF86B" w:rsidR="008C7CF0" w:rsidRPr="00B95A9D" w:rsidRDefault="00EC4CF4" w:rsidP="005A766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Pr>
                <w:rFonts w:asciiTheme="minorHAnsi" w:hAnsiTheme="minorHAnsi" w:cstheme="minorHAnsi"/>
                <w:szCs w:val="20"/>
                <w:lang w:eastAsia="fr-FR" w:bidi="ar-SA"/>
              </w:rPr>
              <w:t>D</w:t>
            </w:r>
            <w:r w:rsidR="00C16C30" w:rsidRPr="00C16C30">
              <w:rPr>
                <w:rFonts w:asciiTheme="minorHAnsi" w:hAnsiTheme="minorHAnsi" w:cstheme="minorHAnsi"/>
                <w:szCs w:val="20"/>
                <w:lang w:eastAsia="fr-FR" w:bidi="ar-SA"/>
              </w:rPr>
              <w:t>e courte durée, selon le calendrier de maintenance</w:t>
            </w:r>
          </w:p>
        </w:tc>
        <w:tc>
          <w:tcPr>
            <w:tcW w:w="1552" w:type="dxa"/>
          </w:tcPr>
          <w:p w14:paraId="11A194C2" w14:textId="003138C4" w:rsidR="008C7CF0" w:rsidRPr="00B95A9D" w:rsidRDefault="00EC4CF4" w:rsidP="005A766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Cs w:val="20"/>
                <w:lang w:eastAsia="fr-FR" w:bidi="ar-SA"/>
              </w:rPr>
            </w:pPr>
            <w:r>
              <w:rPr>
                <w:rFonts w:asciiTheme="minorHAnsi" w:hAnsiTheme="minorHAnsi" w:cstheme="minorHAnsi"/>
                <w:b/>
                <w:bCs/>
                <w:szCs w:val="20"/>
                <w:lang w:eastAsia="fr-FR" w:bidi="ar-SA"/>
              </w:rPr>
              <w:t>Temporaire</w:t>
            </w:r>
          </w:p>
        </w:tc>
      </w:tr>
      <w:tr w:rsidR="00EC4CF4" w:rsidRPr="00B95A9D" w14:paraId="0ED3668C" w14:textId="77777777" w:rsidTr="004637C7">
        <w:tc>
          <w:tcPr>
            <w:cnfStyle w:val="001000000000" w:firstRow="0" w:lastRow="0" w:firstColumn="1" w:lastColumn="0" w:oddVBand="0" w:evenVBand="0" w:oddHBand="0" w:evenHBand="0" w:firstRowFirstColumn="0" w:firstRowLastColumn="0" w:lastRowFirstColumn="0" w:lastRowLastColumn="0"/>
            <w:tcW w:w="0" w:type="dxa"/>
            <w:vMerge/>
            <w:hideMark/>
          </w:tcPr>
          <w:p w14:paraId="3A10AF13" w14:textId="77777777" w:rsidR="00EC4CF4" w:rsidRPr="00B95A9D" w:rsidRDefault="00EC4CF4" w:rsidP="00EC4CF4">
            <w:pPr>
              <w:rPr>
                <w:rFonts w:asciiTheme="minorHAnsi" w:hAnsiTheme="minorHAnsi" w:cstheme="minorHAnsi"/>
                <w:szCs w:val="20"/>
                <w:lang w:eastAsia="fr-FR" w:bidi="ar-SA"/>
              </w:rPr>
            </w:pPr>
          </w:p>
        </w:tc>
        <w:tc>
          <w:tcPr>
            <w:tcW w:w="0" w:type="dxa"/>
            <w:vMerge/>
            <w:hideMark/>
          </w:tcPr>
          <w:p w14:paraId="2D19302A" w14:textId="77777777" w:rsidR="00EC4CF4" w:rsidRPr="00B95A9D" w:rsidRDefault="00EC4CF4" w:rsidP="00EC4CF4">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p>
        </w:tc>
        <w:tc>
          <w:tcPr>
            <w:tcW w:w="0" w:type="dxa"/>
            <w:hideMark/>
          </w:tcPr>
          <w:p w14:paraId="3A5980F1" w14:textId="77777777" w:rsidR="00EC4CF4" w:rsidRPr="00B95A9D" w:rsidRDefault="00EC4CF4" w:rsidP="00EC4CF4">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Cs w:val="20"/>
                <w:lang w:eastAsia="fr-FR" w:bidi="ar-SA"/>
              </w:rPr>
            </w:pPr>
            <w:r w:rsidRPr="00B95A9D">
              <w:rPr>
                <w:rFonts w:asciiTheme="minorHAnsi" w:hAnsiTheme="minorHAnsi" w:cstheme="minorHAnsi"/>
                <w:b/>
                <w:bCs/>
                <w:szCs w:val="20"/>
                <w:lang w:eastAsia="fr-FR" w:bidi="ar-SA"/>
              </w:rPr>
              <w:t>Fréquence</w:t>
            </w:r>
          </w:p>
        </w:tc>
        <w:tc>
          <w:tcPr>
            <w:tcW w:w="2126" w:type="dxa"/>
          </w:tcPr>
          <w:p w14:paraId="16B4748C" w14:textId="6E7D9E22" w:rsidR="00EC4CF4" w:rsidRPr="00911A3C" w:rsidRDefault="008A0A52" w:rsidP="00EC4CF4">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Pr>
                <w:rFonts w:asciiTheme="minorHAnsi" w:hAnsiTheme="minorHAnsi" w:cstheme="minorHAnsi"/>
                <w:szCs w:val="20"/>
                <w:lang w:eastAsia="fr-FR" w:bidi="ar-SA"/>
              </w:rPr>
              <w:t>G</w:t>
            </w:r>
            <w:r w:rsidRPr="008A0A52">
              <w:rPr>
                <w:rFonts w:asciiTheme="minorHAnsi" w:hAnsiTheme="minorHAnsi" w:cstheme="minorHAnsi"/>
                <w:szCs w:val="20"/>
                <w:lang w:eastAsia="fr-FR" w:bidi="ar-SA"/>
              </w:rPr>
              <w:t>énéralement annuelle ou pluriannuelle</w:t>
            </w:r>
          </w:p>
        </w:tc>
        <w:tc>
          <w:tcPr>
            <w:tcW w:w="1552" w:type="dxa"/>
          </w:tcPr>
          <w:p w14:paraId="23E7CDEB" w14:textId="4279B6B5" w:rsidR="00EC4CF4" w:rsidRPr="00B95A9D" w:rsidRDefault="00EC4CF4" w:rsidP="00EC4CF4">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Cs w:val="20"/>
                <w:lang w:eastAsia="fr-FR" w:bidi="ar-SA"/>
              </w:rPr>
            </w:pPr>
            <w:r>
              <w:rPr>
                <w:rFonts w:asciiTheme="minorHAnsi" w:hAnsiTheme="minorHAnsi" w:cstheme="minorHAnsi"/>
                <w:b/>
                <w:bCs/>
                <w:szCs w:val="20"/>
                <w:lang w:eastAsia="fr-FR" w:bidi="ar-SA"/>
              </w:rPr>
              <w:t>Intermittente</w:t>
            </w:r>
          </w:p>
        </w:tc>
      </w:tr>
      <w:tr w:rsidR="00EC4CF4" w:rsidRPr="00B95A9D" w14:paraId="7A401E25" w14:textId="77777777" w:rsidTr="004637C7">
        <w:tc>
          <w:tcPr>
            <w:cnfStyle w:val="001000000000" w:firstRow="0" w:lastRow="0" w:firstColumn="1" w:lastColumn="0" w:oddVBand="0" w:evenVBand="0" w:oddHBand="0" w:evenHBand="0" w:firstRowFirstColumn="0" w:firstRowLastColumn="0" w:lastRowFirstColumn="0" w:lastRowLastColumn="0"/>
            <w:tcW w:w="0" w:type="dxa"/>
            <w:vMerge/>
            <w:hideMark/>
          </w:tcPr>
          <w:p w14:paraId="5F11C8D9" w14:textId="77777777" w:rsidR="00EC4CF4" w:rsidRPr="00B95A9D" w:rsidRDefault="00EC4CF4" w:rsidP="00EC4CF4">
            <w:pPr>
              <w:rPr>
                <w:rFonts w:asciiTheme="minorHAnsi" w:hAnsiTheme="minorHAnsi" w:cstheme="minorHAnsi"/>
                <w:szCs w:val="20"/>
                <w:lang w:eastAsia="fr-FR" w:bidi="ar-SA"/>
              </w:rPr>
            </w:pPr>
          </w:p>
        </w:tc>
        <w:tc>
          <w:tcPr>
            <w:tcW w:w="0" w:type="dxa"/>
            <w:vMerge/>
            <w:hideMark/>
          </w:tcPr>
          <w:p w14:paraId="48530B51" w14:textId="77777777" w:rsidR="00EC4CF4" w:rsidRPr="00B95A9D" w:rsidRDefault="00EC4CF4" w:rsidP="00EC4CF4">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p>
        </w:tc>
        <w:tc>
          <w:tcPr>
            <w:tcW w:w="0" w:type="dxa"/>
            <w:shd w:val="clear" w:color="auto" w:fill="D9E2F3"/>
            <w:hideMark/>
          </w:tcPr>
          <w:p w14:paraId="34E5FE24" w14:textId="77777777" w:rsidR="00EC4CF4" w:rsidRPr="00B95A9D" w:rsidRDefault="00EC4CF4" w:rsidP="00EC4CF4">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Cs w:val="20"/>
                <w:lang w:eastAsia="fr-FR" w:bidi="ar-SA"/>
              </w:rPr>
            </w:pPr>
            <w:r w:rsidRPr="00B95A9D">
              <w:rPr>
                <w:rFonts w:asciiTheme="minorHAnsi" w:hAnsiTheme="minorHAnsi" w:cstheme="minorHAnsi"/>
                <w:b/>
                <w:bCs/>
                <w:szCs w:val="20"/>
                <w:lang w:eastAsia="fr-FR" w:bidi="ar-SA"/>
              </w:rPr>
              <w:t>Intensité</w:t>
            </w:r>
          </w:p>
        </w:tc>
        <w:tc>
          <w:tcPr>
            <w:tcW w:w="2126" w:type="dxa"/>
            <w:shd w:val="clear" w:color="auto" w:fill="D9E2F3"/>
          </w:tcPr>
          <w:p w14:paraId="76536B24" w14:textId="0581E7BA" w:rsidR="00EC4CF4" w:rsidRPr="00B95A9D" w:rsidRDefault="00E119F4" w:rsidP="00EC4CF4">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Pr>
                <w:rFonts w:asciiTheme="minorHAnsi" w:hAnsiTheme="minorHAnsi" w:cstheme="minorHAnsi"/>
                <w:szCs w:val="20"/>
                <w:lang w:eastAsia="fr-FR" w:bidi="ar-SA"/>
              </w:rPr>
              <w:t>L</w:t>
            </w:r>
            <w:r w:rsidRPr="00E119F4">
              <w:rPr>
                <w:rFonts w:asciiTheme="minorHAnsi" w:hAnsiTheme="minorHAnsi" w:cstheme="minorHAnsi"/>
                <w:szCs w:val="20"/>
                <w:lang w:eastAsia="fr-FR" w:bidi="ar-SA"/>
              </w:rPr>
              <w:t>es opérations étant de routine et à faible empreinte matérielle</w:t>
            </w:r>
          </w:p>
        </w:tc>
        <w:tc>
          <w:tcPr>
            <w:tcW w:w="1552" w:type="dxa"/>
            <w:shd w:val="clear" w:color="auto" w:fill="D9E2F3"/>
          </w:tcPr>
          <w:p w14:paraId="79422987" w14:textId="45A6F344" w:rsidR="00EC4CF4" w:rsidRPr="00B95A9D" w:rsidRDefault="008A0A52" w:rsidP="00EC4CF4">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Cs w:val="20"/>
                <w:lang w:eastAsia="fr-FR" w:bidi="ar-SA"/>
              </w:rPr>
            </w:pPr>
            <w:r>
              <w:rPr>
                <w:rFonts w:asciiTheme="minorHAnsi" w:hAnsiTheme="minorHAnsi" w:cstheme="minorHAnsi"/>
                <w:b/>
                <w:bCs/>
                <w:szCs w:val="20"/>
                <w:lang w:eastAsia="fr-FR" w:bidi="ar-SA"/>
              </w:rPr>
              <w:t>Négligeable</w:t>
            </w:r>
          </w:p>
        </w:tc>
      </w:tr>
      <w:tr w:rsidR="00EC4CF4" w:rsidRPr="00B95A9D" w14:paraId="6C7C98E9" w14:textId="77777777" w:rsidTr="005A7661">
        <w:tc>
          <w:tcPr>
            <w:cnfStyle w:val="001000000000" w:firstRow="0" w:lastRow="0" w:firstColumn="1" w:lastColumn="0" w:oddVBand="0" w:evenVBand="0" w:oddHBand="0" w:evenHBand="0" w:firstRowFirstColumn="0" w:firstRowLastColumn="0" w:lastRowFirstColumn="0" w:lastRowLastColumn="0"/>
            <w:tcW w:w="792" w:type="dxa"/>
            <w:vMerge/>
          </w:tcPr>
          <w:p w14:paraId="08D16642" w14:textId="77777777" w:rsidR="00EC4CF4" w:rsidRPr="00B95A9D" w:rsidRDefault="00EC4CF4" w:rsidP="00EC4CF4">
            <w:pPr>
              <w:rPr>
                <w:rFonts w:asciiTheme="minorHAnsi" w:hAnsiTheme="minorHAnsi" w:cstheme="minorHAnsi"/>
                <w:szCs w:val="20"/>
                <w:lang w:eastAsia="fr-FR" w:bidi="ar-SA"/>
              </w:rPr>
            </w:pPr>
          </w:p>
        </w:tc>
        <w:tc>
          <w:tcPr>
            <w:tcW w:w="8268" w:type="dxa"/>
            <w:gridSpan w:val="4"/>
          </w:tcPr>
          <w:p w14:paraId="644CAC58" w14:textId="77777777" w:rsidR="00EC4CF4" w:rsidRPr="00B95A9D" w:rsidRDefault="00EC4CF4" w:rsidP="00EC4CF4">
            <w:pPr>
              <w:spacing w:before="0" w:after="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Cs w:val="20"/>
                <w:lang w:eastAsia="fr-FR" w:bidi="ar-SA"/>
              </w:rPr>
            </w:pPr>
          </w:p>
        </w:tc>
      </w:tr>
      <w:tr w:rsidR="00EC4CF4" w:rsidRPr="00B95A9D" w14:paraId="47FC84A6" w14:textId="77777777" w:rsidTr="004637C7">
        <w:tc>
          <w:tcPr>
            <w:cnfStyle w:val="001000000000" w:firstRow="0" w:lastRow="0" w:firstColumn="1" w:lastColumn="0" w:oddVBand="0" w:evenVBand="0" w:oddHBand="0" w:evenHBand="0" w:firstRowFirstColumn="0" w:firstRowLastColumn="0" w:lastRowFirstColumn="0" w:lastRowLastColumn="0"/>
            <w:tcW w:w="0" w:type="dxa"/>
            <w:vMerge/>
          </w:tcPr>
          <w:p w14:paraId="030326E6" w14:textId="77777777" w:rsidR="00EC4CF4" w:rsidRPr="00B95A9D" w:rsidRDefault="00EC4CF4" w:rsidP="00EC4CF4">
            <w:pPr>
              <w:rPr>
                <w:rFonts w:asciiTheme="minorHAnsi" w:hAnsiTheme="minorHAnsi" w:cstheme="minorHAnsi"/>
                <w:szCs w:val="20"/>
                <w:lang w:eastAsia="fr-FR" w:bidi="ar-SA"/>
              </w:rPr>
            </w:pPr>
          </w:p>
        </w:tc>
        <w:tc>
          <w:tcPr>
            <w:tcW w:w="0" w:type="dxa"/>
            <w:shd w:val="clear" w:color="auto" w:fill="B4C6E7" w:themeFill="accent1" w:themeFillTint="66"/>
            <w:vAlign w:val="center"/>
          </w:tcPr>
          <w:p w14:paraId="2AF7E999" w14:textId="77777777" w:rsidR="00EC4CF4" w:rsidRPr="00B95A9D" w:rsidRDefault="00EC4CF4" w:rsidP="00EC4CF4">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sidRPr="00B95A9D">
              <w:rPr>
                <w:rFonts w:asciiTheme="minorHAnsi" w:hAnsiTheme="minorHAnsi" w:cstheme="minorHAnsi"/>
                <w:b/>
                <w:bCs/>
                <w:szCs w:val="20"/>
              </w:rPr>
              <w:t>Intensité de l’impact</w:t>
            </w:r>
          </w:p>
        </w:tc>
        <w:tc>
          <w:tcPr>
            <w:tcW w:w="0" w:type="dxa"/>
            <w:shd w:val="clear" w:color="auto" w:fill="B4C6E7" w:themeFill="accent1" w:themeFillTint="66"/>
            <w:vAlign w:val="center"/>
          </w:tcPr>
          <w:p w14:paraId="03C9543A" w14:textId="77777777" w:rsidR="00EC4CF4" w:rsidRPr="00B95A9D" w:rsidRDefault="00EC4CF4" w:rsidP="00EC4CF4">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Cs w:val="20"/>
                <w:lang w:eastAsia="fr-FR" w:bidi="ar-SA"/>
              </w:rPr>
            </w:pPr>
            <w:r w:rsidRPr="00B95A9D">
              <w:rPr>
                <w:rFonts w:asciiTheme="minorHAnsi" w:hAnsiTheme="minorHAnsi" w:cstheme="minorHAnsi"/>
                <w:b/>
                <w:bCs/>
                <w:szCs w:val="20"/>
              </w:rPr>
              <w:t>Récepteurs</w:t>
            </w:r>
          </w:p>
        </w:tc>
        <w:tc>
          <w:tcPr>
            <w:tcW w:w="2126" w:type="dxa"/>
            <w:shd w:val="clear" w:color="auto" w:fill="B4C6E7" w:themeFill="accent1" w:themeFillTint="66"/>
            <w:vAlign w:val="center"/>
          </w:tcPr>
          <w:p w14:paraId="5DB0DDAE" w14:textId="77777777" w:rsidR="00EC4CF4" w:rsidRPr="00B95A9D" w:rsidRDefault="00EC4CF4" w:rsidP="00EC4CF4">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sidRPr="00B95A9D">
              <w:rPr>
                <w:rFonts w:asciiTheme="minorHAnsi" w:hAnsiTheme="minorHAnsi" w:cstheme="minorHAnsi"/>
                <w:b/>
                <w:bCs/>
                <w:szCs w:val="20"/>
              </w:rPr>
              <w:t>Sensibilité</w:t>
            </w:r>
          </w:p>
        </w:tc>
        <w:tc>
          <w:tcPr>
            <w:tcW w:w="1552" w:type="dxa"/>
            <w:shd w:val="clear" w:color="auto" w:fill="B4C6E7" w:themeFill="accent1" w:themeFillTint="66"/>
            <w:vAlign w:val="center"/>
          </w:tcPr>
          <w:p w14:paraId="65354748" w14:textId="77777777" w:rsidR="00EC4CF4" w:rsidRPr="00B95A9D" w:rsidRDefault="00EC4CF4" w:rsidP="00EC4CF4">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Cs w:val="20"/>
                <w:lang w:eastAsia="fr-FR" w:bidi="ar-SA"/>
              </w:rPr>
            </w:pPr>
            <w:r w:rsidRPr="00B95A9D">
              <w:rPr>
                <w:rFonts w:asciiTheme="minorHAnsi" w:hAnsiTheme="minorHAnsi" w:cstheme="minorHAnsi"/>
                <w:b/>
                <w:bCs/>
                <w:szCs w:val="20"/>
              </w:rPr>
              <w:t>Importance de l’impact</w:t>
            </w:r>
          </w:p>
        </w:tc>
      </w:tr>
      <w:tr w:rsidR="00F1364F" w:rsidRPr="00B95A9D" w14:paraId="22037416" w14:textId="77777777" w:rsidTr="00EC4CF4">
        <w:tc>
          <w:tcPr>
            <w:cnfStyle w:val="001000000000" w:firstRow="0" w:lastRow="0" w:firstColumn="1" w:lastColumn="0" w:oddVBand="0" w:evenVBand="0" w:oddHBand="0" w:evenHBand="0" w:firstRowFirstColumn="0" w:firstRowLastColumn="0" w:lastRowFirstColumn="0" w:lastRowLastColumn="0"/>
            <w:tcW w:w="792" w:type="dxa"/>
            <w:vMerge/>
          </w:tcPr>
          <w:p w14:paraId="3D79B8EF" w14:textId="77777777" w:rsidR="00F1364F" w:rsidRPr="00B95A9D" w:rsidRDefault="00F1364F" w:rsidP="00F1364F">
            <w:pPr>
              <w:rPr>
                <w:rFonts w:asciiTheme="minorHAnsi" w:hAnsiTheme="minorHAnsi" w:cstheme="minorHAnsi"/>
                <w:szCs w:val="20"/>
                <w:lang w:eastAsia="fr-FR" w:bidi="ar-SA"/>
              </w:rPr>
            </w:pPr>
          </w:p>
        </w:tc>
        <w:tc>
          <w:tcPr>
            <w:tcW w:w="2747" w:type="dxa"/>
            <w:vAlign w:val="center"/>
          </w:tcPr>
          <w:p w14:paraId="01B8807F" w14:textId="36C6141F" w:rsidR="00F1364F" w:rsidRPr="00B95A9D" w:rsidRDefault="00F1364F" w:rsidP="00F1364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Pr>
                <w:rFonts w:asciiTheme="minorHAnsi" w:hAnsiTheme="minorHAnsi" w:cstheme="minorHAnsi"/>
                <w:szCs w:val="20"/>
                <w:lang w:eastAsia="fr-FR" w:bidi="ar-SA"/>
              </w:rPr>
              <w:t>Négligeable</w:t>
            </w:r>
          </w:p>
        </w:tc>
        <w:tc>
          <w:tcPr>
            <w:tcW w:w="1843" w:type="dxa"/>
            <w:vAlign w:val="center"/>
          </w:tcPr>
          <w:p w14:paraId="1E26292F" w14:textId="1E0B9623" w:rsidR="00F1364F" w:rsidRPr="00CF0282" w:rsidRDefault="00F1364F" w:rsidP="00F1364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sidRPr="005F44A9">
              <w:rPr>
                <w:rFonts w:asciiTheme="minorHAnsi" w:hAnsiTheme="minorHAnsi" w:cstheme="minorHAnsi"/>
                <w:szCs w:val="20"/>
                <w:lang w:eastAsia="fr-FR" w:bidi="ar-SA"/>
              </w:rPr>
              <w:t>Ressources naturelles (carrières agréées)</w:t>
            </w:r>
          </w:p>
        </w:tc>
        <w:tc>
          <w:tcPr>
            <w:tcW w:w="2126" w:type="dxa"/>
            <w:vAlign w:val="center"/>
          </w:tcPr>
          <w:p w14:paraId="3906A786" w14:textId="49B45965" w:rsidR="00F1364F" w:rsidRPr="00B95A9D" w:rsidRDefault="00F1364F" w:rsidP="00F1364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sidRPr="008B13BF">
              <w:rPr>
                <w:rFonts w:asciiTheme="minorHAnsi" w:hAnsiTheme="minorHAnsi" w:cstheme="minorHAnsi"/>
                <w:b/>
                <w:bCs/>
                <w:szCs w:val="20"/>
                <w:lang w:eastAsia="fr-FR" w:bidi="ar-SA"/>
              </w:rPr>
              <w:t>Moyenne </w:t>
            </w:r>
            <w:r>
              <w:rPr>
                <w:rFonts w:asciiTheme="minorHAnsi" w:hAnsiTheme="minorHAnsi" w:cstheme="minorHAnsi"/>
                <w:szCs w:val="20"/>
                <w:lang w:eastAsia="fr-FR" w:bidi="ar-SA"/>
              </w:rPr>
              <w:t xml:space="preserve">: </w:t>
            </w:r>
            <w:r w:rsidRPr="005F44A9">
              <w:rPr>
                <w:rFonts w:asciiTheme="minorHAnsi" w:hAnsiTheme="minorHAnsi" w:cstheme="minorHAnsi"/>
                <w:szCs w:val="20"/>
                <w:lang w:eastAsia="fr-FR" w:bidi="ar-SA"/>
              </w:rPr>
              <w:t>car les carrières régionales sont encadrées administrativement</w:t>
            </w:r>
          </w:p>
        </w:tc>
        <w:tc>
          <w:tcPr>
            <w:tcW w:w="1552" w:type="dxa"/>
            <w:vAlign w:val="center"/>
          </w:tcPr>
          <w:p w14:paraId="4F559A0B" w14:textId="1D7F06D6" w:rsidR="00F1364F" w:rsidRPr="00B95A9D" w:rsidRDefault="00F1364F" w:rsidP="00F1364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Cs w:val="20"/>
                <w:lang w:eastAsia="fr-FR" w:bidi="ar-SA"/>
              </w:rPr>
            </w:pPr>
            <w:r>
              <w:rPr>
                <w:rFonts w:asciiTheme="minorHAnsi" w:hAnsiTheme="minorHAnsi" w:cstheme="minorHAnsi"/>
                <w:b/>
                <w:bCs/>
                <w:szCs w:val="20"/>
                <w:lang w:eastAsia="fr-FR" w:bidi="ar-SA"/>
              </w:rPr>
              <w:t>Négligeable</w:t>
            </w:r>
          </w:p>
        </w:tc>
      </w:tr>
    </w:tbl>
    <w:p w14:paraId="03D1B33F" w14:textId="77777777" w:rsidR="00121579" w:rsidRPr="00232C0D" w:rsidRDefault="00121579" w:rsidP="004637C7">
      <w:pPr>
        <w:pStyle w:val="Title5"/>
      </w:pPr>
      <w:r>
        <w:lastRenderedPageBreak/>
        <w:t>Mesures d’a</w:t>
      </w:r>
      <w:r w:rsidRPr="00232C0D">
        <w:t>tténuation</w:t>
      </w:r>
    </w:p>
    <w:p w14:paraId="47BE3E35" w14:textId="77777777" w:rsidR="00C94E72" w:rsidRDefault="00C94E72" w:rsidP="00121579">
      <w:pPr>
        <w:pStyle w:val="Lgende"/>
        <w:rPr>
          <w:lang w:val="fr-FR"/>
        </w:rPr>
        <w:sectPr w:rsidR="00C94E72" w:rsidSect="00FB08CF">
          <w:pgSz w:w="11906" w:h="16838"/>
          <w:pgMar w:top="1418" w:right="1418" w:bottom="1276" w:left="1418" w:header="680" w:footer="680" w:gutter="0"/>
          <w:cols w:space="708"/>
          <w:docGrid w:linePitch="360"/>
        </w:sectPr>
      </w:pPr>
    </w:p>
    <w:p w14:paraId="1ED631F5" w14:textId="06A45F60" w:rsidR="00121579" w:rsidRDefault="00121579" w:rsidP="00121579">
      <w:pPr>
        <w:pStyle w:val="Lgende"/>
        <w:rPr>
          <w:lang w:val="fr-FR"/>
        </w:rPr>
      </w:pPr>
      <w:bookmarkStart w:id="467" w:name="_Toc213404382"/>
      <w:r w:rsidRPr="002A0860">
        <w:rPr>
          <w:lang w:val="fr-FR"/>
        </w:rPr>
        <w:lastRenderedPageBreak/>
        <w:t xml:space="preserve">Tableau </w:t>
      </w:r>
      <w:r>
        <w:fldChar w:fldCharType="begin"/>
      </w:r>
      <w:r w:rsidRPr="002A0860">
        <w:rPr>
          <w:lang w:val="fr-FR"/>
        </w:rPr>
        <w:instrText xml:space="preserve"> SEQ Tableau \* ARABIC </w:instrText>
      </w:r>
      <w:r>
        <w:fldChar w:fldCharType="separate"/>
      </w:r>
      <w:r w:rsidR="00274E71">
        <w:rPr>
          <w:noProof/>
          <w:lang w:val="fr-FR"/>
        </w:rPr>
        <w:t>60</w:t>
      </w:r>
      <w:r>
        <w:fldChar w:fldCharType="end"/>
      </w:r>
      <w:r>
        <w:rPr>
          <w:noProof/>
          <w:lang w:val="fr-FR"/>
        </w:rPr>
        <w:t>:</w:t>
      </w:r>
      <w:r w:rsidRPr="002A0860">
        <w:rPr>
          <w:lang w:val="fr-FR"/>
        </w:rPr>
        <w:t>Utilisation et accès aux ressources – Mesures d’atténuation en phase d’exploitation</w:t>
      </w:r>
      <w:bookmarkEnd w:id="467"/>
    </w:p>
    <w:tbl>
      <w:tblPr>
        <w:tblStyle w:val="TableauGrille1Clair-Accentuation111"/>
        <w:tblW w:w="0" w:type="auto"/>
        <w:tblLook w:val="04A0" w:firstRow="1" w:lastRow="0" w:firstColumn="1" w:lastColumn="0" w:noHBand="0" w:noVBand="1"/>
      </w:tblPr>
      <w:tblGrid>
        <w:gridCol w:w="1322"/>
        <w:gridCol w:w="1357"/>
        <w:gridCol w:w="2879"/>
        <w:gridCol w:w="2074"/>
        <w:gridCol w:w="1099"/>
        <w:gridCol w:w="1223"/>
        <w:gridCol w:w="717"/>
        <w:gridCol w:w="1445"/>
        <w:gridCol w:w="2018"/>
      </w:tblGrid>
      <w:tr w:rsidR="00E7190E" w:rsidRPr="00B40D36" w14:paraId="1C58EC95" w14:textId="77777777" w:rsidTr="00DD7C08">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0" w:type="auto"/>
            <w:hideMark/>
          </w:tcPr>
          <w:p w14:paraId="0096F44F" w14:textId="77777777" w:rsidR="00D90FDB" w:rsidRPr="00AA22F2" w:rsidRDefault="00D90FDB" w:rsidP="00D90FDB">
            <w:pPr>
              <w:rPr>
                <w:szCs w:val="20"/>
                <w:lang w:eastAsia="fr-FR" w:bidi="ar-SA"/>
              </w:rPr>
            </w:pPr>
            <w:r w:rsidRPr="00AA22F2">
              <w:rPr>
                <w:szCs w:val="20"/>
                <w:lang w:eastAsia="fr-FR" w:bidi="ar-SA"/>
              </w:rPr>
              <w:t>Impact / Risque</w:t>
            </w:r>
          </w:p>
        </w:tc>
        <w:tc>
          <w:tcPr>
            <w:tcW w:w="0" w:type="auto"/>
            <w:hideMark/>
          </w:tcPr>
          <w:p w14:paraId="3A273E5C" w14:textId="77777777" w:rsidR="00D90FDB" w:rsidRPr="00AA22F2" w:rsidRDefault="00D90FDB" w:rsidP="00D90FDB">
            <w:pPr>
              <w:cnfStyle w:val="100000000000" w:firstRow="1" w:lastRow="0" w:firstColumn="0" w:lastColumn="0" w:oddVBand="0" w:evenVBand="0" w:oddHBand="0" w:evenHBand="0" w:firstRowFirstColumn="0" w:firstRowLastColumn="0" w:lastRowFirstColumn="0" w:lastRowLastColumn="0"/>
              <w:rPr>
                <w:szCs w:val="20"/>
                <w:lang w:eastAsia="fr-FR" w:bidi="ar-SA"/>
              </w:rPr>
            </w:pPr>
            <w:r w:rsidRPr="00AA22F2">
              <w:rPr>
                <w:szCs w:val="20"/>
                <w:lang w:eastAsia="fr-FR" w:bidi="ar-SA"/>
              </w:rPr>
              <w:t>Niveau hiérarchique</w:t>
            </w:r>
          </w:p>
        </w:tc>
        <w:tc>
          <w:tcPr>
            <w:tcW w:w="0" w:type="auto"/>
            <w:hideMark/>
          </w:tcPr>
          <w:p w14:paraId="0E902A17" w14:textId="77777777" w:rsidR="00D90FDB" w:rsidRPr="00AA22F2" w:rsidRDefault="00D90FDB" w:rsidP="00D90FDB">
            <w:pPr>
              <w:cnfStyle w:val="100000000000" w:firstRow="1" w:lastRow="0" w:firstColumn="0" w:lastColumn="0" w:oddVBand="0" w:evenVBand="0" w:oddHBand="0" w:evenHBand="0" w:firstRowFirstColumn="0" w:firstRowLastColumn="0" w:lastRowFirstColumn="0" w:lastRowLastColumn="0"/>
              <w:rPr>
                <w:szCs w:val="20"/>
                <w:lang w:eastAsia="fr-FR" w:bidi="ar-SA"/>
              </w:rPr>
            </w:pPr>
            <w:r w:rsidRPr="00AA22F2">
              <w:rPr>
                <w:szCs w:val="20"/>
                <w:lang w:eastAsia="fr-FR" w:bidi="ar-SA"/>
              </w:rPr>
              <w:t>Mesure d’atténuation / de gestion</w:t>
            </w:r>
          </w:p>
        </w:tc>
        <w:tc>
          <w:tcPr>
            <w:tcW w:w="0" w:type="auto"/>
            <w:hideMark/>
          </w:tcPr>
          <w:p w14:paraId="4BAB6B0E" w14:textId="77777777" w:rsidR="00D90FDB" w:rsidRPr="00AA22F2" w:rsidRDefault="00D90FDB" w:rsidP="00D90FDB">
            <w:pPr>
              <w:cnfStyle w:val="100000000000" w:firstRow="1" w:lastRow="0" w:firstColumn="0" w:lastColumn="0" w:oddVBand="0" w:evenVBand="0" w:oddHBand="0" w:evenHBand="0" w:firstRowFirstColumn="0" w:firstRowLastColumn="0" w:lastRowFirstColumn="0" w:lastRowLastColumn="0"/>
              <w:rPr>
                <w:szCs w:val="20"/>
                <w:lang w:eastAsia="fr-FR" w:bidi="ar-SA"/>
              </w:rPr>
            </w:pPr>
            <w:r w:rsidRPr="00AA22F2">
              <w:rPr>
                <w:szCs w:val="20"/>
                <w:lang w:eastAsia="fr-FR" w:bidi="ar-SA"/>
              </w:rPr>
              <w:t>Indicateurs de performance (KPI)</w:t>
            </w:r>
          </w:p>
        </w:tc>
        <w:tc>
          <w:tcPr>
            <w:tcW w:w="0" w:type="auto"/>
            <w:hideMark/>
          </w:tcPr>
          <w:p w14:paraId="0A36C27E" w14:textId="77777777" w:rsidR="00D90FDB" w:rsidRPr="00AA22F2" w:rsidRDefault="00D90FDB" w:rsidP="00D90FDB">
            <w:pPr>
              <w:cnfStyle w:val="100000000000" w:firstRow="1" w:lastRow="0" w:firstColumn="0" w:lastColumn="0" w:oddVBand="0" w:evenVBand="0" w:oddHBand="0" w:evenHBand="0" w:firstRowFirstColumn="0" w:firstRowLastColumn="0" w:lastRowFirstColumn="0" w:lastRowLastColumn="0"/>
              <w:rPr>
                <w:szCs w:val="20"/>
                <w:lang w:eastAsia="fr-FR" w:bidi="ar-SA"/>
              </w:rPr>
            </w:pPr>
            <w:r w:rsidRPr="00AA22F2">
              <w:rPr>
                <w:szCs w:val="20"/>
                <w:lang w:eastAsia="fr-FR" w:bidi="ar-SA"/>
              </w:rPr>
              <w:t>Mise en œuvre</w:t>
            </w:r>
          </w:p>
        </w:tc>
        <w:tc>
          <w:tcPr>
            <w:tcW w:w="0" w:type="auto"/>
            <w:hideMark/>
          </w:tcPr>
          <w:p w14:paraId="71D01D68" w14:textId="77777777" w:rsidR="00D90FDB" w:rsidRPr="00AA22F2" w:rsidRDefault="00D90FDB" w:rsidP="00D90FDB">
            <w:pPr>
              <w:cnfStyle w:val="100000000000" w:firstRow="1" w:lastRow="0" w:firstColumn="0" w:lastColumn="0" w:oddVBand="0" w:evenVBand="0" w:oddHBand="0" w:evenHBand="0" w:firstRowFirstColumn="0" w:firstRowLastColumn="0" w:lastRowFirstColumn="0" w:lastRowLastColumn="0"/>
              <w:rPr>
                <w:szCs w:val="20"/>
                <w:lang w:eastAsia="fr-FR" w:bidi="ar-SA"/>
              </w:rPr>
            </w:pPr>
            <w:r w:rsidRPr="00AA22F2">
              <w:rPr>
                <w:szCs w:val="20"/>
                <w:lang w:eastAsia="fr-FR" w:bidi="ar-SA"/>
              </w:rPr>
              <w:t>Surveillance</w:t>
            </w:r>
          </w:p>
        </w:tc>
        <w:tc>
          <w:tcPr>
            <w:tcW w:w="0" w:type="auto"/>
            <w:hideMark/>
          </w:tcPr>
          <w:p w14:paraId="5805237A" w14:textId="77777777" w:rsidR="00D90FDB" w:rsidRPr="00AA22F2" w:rsidRDefault="00D90FDB" w:rsidP="00D90FDB">
            <w:pPr>
              <w:cnfStyle w:val="100000000000" w:firstRow="1" w:lastRow="0" w:firstColumn="0" w:lastColumn="0" w:oddVBand="0" w:evenVBand="0" w:oddHBand="0" w:evenHBand="0" w:firstRowFirstColumn="0" w:firstRowLastColumn="0" w:lastRowFirstColumn="0" w:lastRowLastColumn="0"/>
              <w:rPr>
                <w:szCs w:val="20"/>
                <w:lang w:eastAsia="fr-FR" w:bidi="ar-SA"/>
              </w:rPr>
            </w:pPr>
            <w:r w:rsidRPr="00AA22F2">
              <w:rPr>
                <w:szCs w:val="20"/>
                <w:lang w:eastAsia="fr-FR" w:bidi="ar-SA"/>
              </w:rPr>
              <w:t>Suivi</w:t>
            </w:r>
          </w:p>
        </w:tc>
        <w:tc>
          <w:tcPr>
            <w:tcW w:w="0" w:type="auto"/>
            <w:hideMark/>
          </w:tcPr>
          <w:p w14:paraId="582EF388" w14:textId="77777777" w:rsidR="00D90FDB" w:rsidRPr="00AA22F2" w:rsidRDefault="00D90FDB" w:rsidP="00D90FDB">
            <w:pPr>
              <w:cnfStyle w:val="100000000000" w:firstRow="1" w:lastRow="0" w:firstColumn="0" w:lastColumn="0" w:oddVBand="0" w:evenVBand="0" w:oddHBand="0" w:evenHBand="0" w:firstRowFirstColumn="0" w:firstRowLastColumn="0" w:lastRowFirstColumn="0" w:lastRowLastColumn="0"/>
              <w:rPr>
                <w:szCs w:val="20"/>
                <w:lang w:eastAsia="fr-FR" w:bidi="ar-SA"/>
              </w:rPr>
            </w:pPr>
            <w:r w:rsidRPr="00AA22F2">
              <w:rPr>
                <w:szCs w:val="20"/>
                <w:lang w:eastAsia="fr-FR" w:bidi="ar-SA"/>
              </w:rPr>
              <w:t>Calendrier</w:t>
            </w:r>
          </w:p>
        </w:tc>
        <w:tc>
          <w:tcPr>
            <w:tcW w:w="0" w:type="auto"/>
            <w:hideMark/>
          </w:tcPr>
          <w:p w14:paraId="1C419E0C" w14:textId="77777777" w:rsidR="00D90FDB" w:rsidRPr="00AA22F2" w:rsidRDefault="00D90FDB" w:rsidP="00D90FDB">
            <w:pPr>
              <w:cnfStyle w:val="100000000000" w:firstRow="1" w:lastRow="0" w:firstColumn="0" w:lastColumn="0" w:oddVBand="0" w:evenVBand="0" w:oddHBand="0" w:evenHBand="0" w:firstRowFirstColumn="0" w:firstRowLastColumn="0" w:lastRowFirstColumn="0" w:lastRowLastColumn="0"/>
              <w:rPr>
                <w:szCs w:val="20"/>
                <w:lang w:eastAsia="fr-FR" w:bidi="ar-SA"/>
              </w:rPr>
            </w:pPr>
            <w:r w:rsidRPr="00AA22F2">
              <w:rPr>
                <w:szCs w:val="20"/>
                <w:lang w:eastAsia="fr-FR" w:bidi="ar-SA"/>
              </w:rPr>
              <w:t>Coût</w:t>
            </w:r>
          </w:p>
        </w:tc>
      </w:tr>
      <w:tr w:rsidR="00E7190E" w:rsidRPr="00B40D36" w14:paraId="60C73F11" w14:textId="77777777" w:rsidTr="00D90FDB">
        <w:tc>
          <w:tcPr>
            <w:cnfStyle w:val="001000000000" w:firstRow="0" w:lastRow="0" w:firstColumn="1" w:lastColumn="0" w:oddVBand="0" w:evenVBand="0" w:oddHBand="0" w:evenHBand="0" w:firstRowFirstColumn="0" w:firstRowLastColumn="0" w:lastRowFirstColumn="0" w:lastRowLastColumn="0"/>
            <w:tcW w:w="0" w:type="auto"/>
            <w:vMerge w:val="restart"/>
            <w:hideMark/>
          </w:tcPr>
          <w:p w14:paraId="1A78C8C7" w14:textId="77777777" w:rsidR="00DD7C08" w:rsidRPr="00AA22F2" w:rsidRDefault="00DD7C08" w:rsidP="00DD7C08">
            <w:pPr>
              <w:rPr>
                <w:szCs w:val="20"/>
                <w:lang w:eastAsia="fr-FR" w:bidi="ar-SA"/>
              </w:rPr>
            </w:pPr>
            <w:r w:rsidRPr="00AA22F2">
              <w:rPr>
                <w:szCs w:val="20"/>
                <w:lang w:eastAsia="fr-FR" w:bidi="ar-SA"/>
              </w:rPr>
              <w:t>Utilisation de l’eau</w:t>
            </w:r>
          </w:p>
        </w:tc>
        <w:tc>
          <w:tcPr>
            <w:tcW w:w="0" w:type="auto"/>
            <w:hideMark/>
          </w:tcPr>
          <w:p w14:paraId="26BB3A0F" w14:textId="77777777" w:rsidR="00DD7C08" w:rsidRPr="00AA22F2" w:rsidRDefault="00DD7C08" w:rsidP="00DD7C08">
            <w:pPr>
              <w:cnfStyle w:val="000000000000" w:firstRow="0" w:lastRow="0" w:firstColumn="0" w:lastColumn="0" w:oddVBand="0" w:evenVBand="0" w:oddHBand="0" w:evenHBand="0" w:firstRowFirstColumn="0" w:firstRowLastColumn="0" w:lastRowFirstColumn="0" w:lastRowLastColumn="0"/>
              <w:rPr>
                <w:szCs w:val="20"/>
                <w:lang w:eastAsia="fr-FR" w:bidi="ar-SA"/>
              </w:rPr>
            </w:pPr>
            <w:r w:rsidRPr="00AA22F2">
              <w:rPr>
                <w:b/>
                <w:bCs/>
                <w:szCs w:val="20"/>
                <w:lang w:eastAsia="fr-FR" w:bidi="ar-SA"/>
              </w:rPr>
              <w:t>Éviter</w:t>
            </w:r>
          </w:p>
        </w:tc>
        <w:tc>
          <w:tcPr>
            <w:tcW w:w="0" w:type="auto"/>
            <w:hideMark/>
          </w:tcPr>
          <w:p w14:paraId="77AF1B07" w14:textId="77777777" w:rsidR="00DD7C08" w:rsidRPr="00AA22F2" w:rsidRDefault="00DD7C08" w:rsidP="00DD7C08">
            <w:pPr>
              <w:cnfStyle w:val="000000000000" w:firstRow="0" w:lastRow="0" w:firstColumn="0" w:lastColumn="0" w:oddVBand="0" w:evenVBand="0" w:oddHBand="0" w:evenHBand="0" w:firstRowFirstColumn="0" w:firstRowLastColumn="0" w:lastRowFirstColumn="0" w:lastRowLastColumn="0"/>
              <w:rPr>
                <w:szCs w:val="20"/>
                <w:lang w:eastAsia="fr-FR" w:bidi="ar-SA"/>
              </w:rPr>
            </w:pPr>
            <w:r w:rsidRPr="00AA22F2">
              <w:rPr>
                <w:szCs w:val="20"/>
                <w:lang w:eastAsia="fr-FR" w:bidi="ar-SA"/>
              </w:rPr>
              <w:t>Aucun nouveau forage ni prélèvement d’eau souterraine ; maintien de l’approvisionnement via le réseau public ONEE et le réseau interne de l’aéroport.</w:t>
            </w:r>
          </w:p>
        </w:tc>
        <w:tc>
          <w:tcPr>
            <w:tcW w:w="0" w:type="auto"/>
            <w:hideMark/>
          </w:tcPr>
          <w:p w14:paraId="13ACC39F" w14:textId="77777777" w:rsidR="00DD7C08" w:rsidRPr="00AA22F2" w:rsidRDefault="00DD7C08" w:rsidP="00DD7C08">
            <w:pPr>
              <w:cnfStyle w:val="000000000000" w:firstRow="0" w:lastRow="0" w:firstColumn="0" w:lastColumn="0" w:oddVBand="0" w:evenVBand="0" w:oddHBand="0" w:evenHBand="0" w:firstRowFirstColumn="0" w:firstRowLastColumn="0" w:lastRowFirstColumn="0" w:lastRowLastColumn="0"/>
              <w:rPr>
                <w:szCs w:val="20"/>
                <w:lang w:eastAsia="fr-FR" w:bidi="ar-SA"/>
              </w:rPr>
            </w:pPr>
            <w:r w:rsidRPr="00AA22F2">
              <w:rPr>
                <w:szCs w:val="20"/>
                <w:lang w:eastAsia="fr-FR" w:bidi="ar-SA"/>
              </w:rPr>
              <w:t>Absence de tout captage non autorisé ; conformité du réseau interne.</w:t>
            </w:r>
          </w:p>
        </w:tc>
        <w:tc>
          <w:tcPr>
            <w:tcW w:w="0" w:type="auto"/>
            <w:hideMark/>
          </w:tcPr>
          <w:p w14:paraId="65D969C6" w14:textId="11AE828B" w:rsidR="00DD7C08" w:rsidRPr="00AA22F2" w:rsidRDefault="00DD7C08" w:rsidP="00DD7C08">
            <w:pPr>
              <w:cnfStyle w:val="000000000000" w:firstRow="0" w:lastRow="0" w:firstColumn="0" w:lastColumn="0" w:oddVBand="0" w:evenVBand="0" w:oddHBand="0" w:evenHBand="0" w:firstRowFirstColumn="0" w:firstRowLastColumn="0" w:lastRowFirstColumn="0" w:lastRowLastColumn="0"/>
              <w:rPr>
                <w:szCs w:val="20"/>
                <w:lang w:eastAsia="fr-FR" w:bidi="ar-SA"/>
              </w:rPr>
            </w:pPr>
            <w:r w:rsidRPr="00AA22F2">
              <w:rPr>
                <w:szCs w:val="20"/>
                <w:lang w:eastAsia="fr-FR" w:bidi="ar-SA"/>
              </w:rPr>
              <w:t>ONDA / Exploitant</w:t>
            </w:r>
          </w:p>
        </w:tc>
        <w:tc>
          <w:tcPr>
            <w:tcW w:w="0" w:type="auto"/>
            <w:hideMark/>
          </w:tcPr>
          <w:p w14:paraId="60BBC7EA" w14:textId="2A1FB453" w:rsidR="00DD7C08" w:rsidRPr="00AA22F2" w:rsidRDefault="00DD7C08" w:rsidP="00DD7C08">
            <w:pPr>
              <w:cnfStyle w:val="000000000000" w:firstRow="0" w:lastRow="0" w:firstColumn="0" w:lastColumn="0" w:oddVBand="0" w:evenVBand="0" w:oddHBand="0" w:evenHBand="0" w:firstRowFirstColumn="0" w:firstRowLastColumn="0" w:lastRowFirstColumn="0" w:lastRowLastColumn="0"/>
              <w:rPr>
                <w:szCs w:val="20"/>
                <w:lang w:eastAsia="fr-FR" w:bidi="ar-SA"/>
              </w:rPr>
            </w:pPr>
            <w:r w:rsidRPr="00AA22F2">
              <w:rPr>
                <w:szCs w:val="20"/>
                <w:lang w:eastAsia="fr-FR" w:bidi="ar-SA"/>
              </w:rPr>
              <w:t>ONDA</w:t>
            </w:r>
          </w:p>
        </w:tc>
        <w:tc>
          <w:tcPr>
            <w:tcW w:w="0" w:type="auto"/>
            <w:hideMark/>
          </w:tcPr>
          <w:p w14:paraId="1EF146EF" w14:textId="77BF2072" w:rsidR="00DD7C08" w:rsidRPr="00AA22F2" w:rsidRDefault="00DD7C08" w:rsidP="00DD7C08">
            <w:pPr>
              <w:cnfStyle w:val="000000000000" w:firstRow="0" w:lastRow="0" w:firstColumn="0" w:lastColumn="0" w:oddVBand="0" w:evenVBand="0" w:oddHBand="0" w:evenHBand="0" w:firstRowFirstColumn="0" w:firstRowLastColumn="0" w:lastRowFirstColumn="0" w:lastRowLastColumn="0"/>
              <w:rPr>
                <w:szCs w:val="20"/>
                <w:lang w:eastAsia="fr-FR" w:bidi="ar-SA"/>
              </w:rPr>
            </w:pPr>
            <w:r w:rsidRPr="00AA22F2">
              <w:rPr>
                <w:szCs w:val="20"/>
                <w:lang w:eastAsia="fr-FR" w:bidi="ar-SA"/>
              </w:rPr>
              <w:t>ONDA</w:t>
            </w:r>
          </w:p>
        </w:tc>
        <w:tc>
          <w:tcPr>
            <w:tcW w:w="0" w:type="auto"/>
            <w:hideMark/>
          </w:tcPr>
          <w:p w14:paraId="293AFA05" w14:textId="77777777" w:rsidR="00DD7C08" w:rsidRPr="00AA22F2" w:rsidRDefault="00DD7C08" w:rsidP="00DD7C08">
            <w:pPr>
              <w:cnfStyle w:val="000000000000" w:firstRow="0" w:lastRow="0" w:firstColumn="0" w:lastColumn="0" w:oddVBand="0" w:evenVBand="0" w:oddHBand="0" w:evenHBand="0" w:firstRowFirstColumn="0" w:firstRowLastColumn="0" w:lastRowFirstColumn="0" w:lastRowLastColumn="0"/>
              <w:rPr>
                <w:szCs w:val="20"/>
                <w:lang w:eastAsia="fr-FR" w:bidi="ar-SA"/>
              </w:rPr>
            </w:pPr>
            <w:r w:rsidRPr="00AA22F2">
              <w:rPr>
                <w:szCs w:val="20"/>
                <w:lang w:eastAsia="fr-FR" w:bidi="ar-SA"/>
              </w:rPr>
              <w:t>Permanent</w:t>
            </w:r>
          </w:p>
        </w:tc>
        <w:tc>
          <w:tcPr>
            <w:tcW w:w="0" w:type="auto"/>
            <w:hideMark/>
          </w:tcPr>
          <w:p w14:paraId="56965853" w14:textId="5D426898" w:rsidR="00DD7C08" w:rsidRPr="00AA22F2" w:rsidRDefault="0091057C" w:rsidP="00DD7C08">
            <w:pPr>
              <w:cnfStyle w:val="000000000000" w:firstRow="0" w:lastRow="0" w:firstColumn="0" w:lastColumn="0" w:oddVBand="0" w:evenVBand="0" w:oddHBand="0" w:evenHBand="0" w:firstRowFirstColumn="0" w:firstRowLastColumn="0" w:lastRowFirstColumn="0" w:lastRowLastColumn="0"/>
              <w:rPr>
                <w:szCs w:val="20"/>
                <w:lang w:eastAsia="fr-FR" w:bidi="ar-SA"/>
              </w:rPr>
            </w:pPr>
            <w:r>
              <w:rPr>
                <w:szCs w:val="20"/>
                <w:lang w:eastAsia="fr-FR" w:bidi="ar-SA"/>
              </w:rPr>
              <w:t>Aucun coût spécifique</w:t>
            </w:r>
          </w:p>
        </w:tc>
      </w:tr>
      <w:tr w:rsidR="00E7190E" w:rsidRPr="00B40D36" w14:paraId="684550AA" w14:textId="77777777" w:rsidTr="00D90FDB">
        <w:tc>
          <w:tcPr>
            <w:cnfStyle w:val="001000000000" w:firstRow="0" w:lastRow="0" w:firstColumn="1" w:lastColumn="0" w:oddVBand="0" w:evenVBand="0" w:oddHBand="0" w:evenHBand="0" w:firstRowFirstColumn="0" w:firstRowLastColumn="0" w:lastRowFirstColumn="0" w:lastRowLastColumn="0"/>
            <w:tcW w:w="0" w:type="auto"/>
            <w:vMerge/>
            <w:hideMark/>
          </w:tcPr>
          <w:p w14:paraId="56CB63FD" w14:textId="77777777" w:rsidR="00DD7C08" w:rsidRPr="00AA22F2" w:rsidRDefault="00DD7C08" w:rsidP="00DD7C08">
            <w:pPr>
              <w:rPr>
                <w:szCs w:val="20"/>
                <w:lang w:eastAsia="fr-FR" w:bidi="ar-SA"/>
              </w:rPr>
            </w:pPr>
          </w:p>
        </w:tc>
        <w:tc>
          <w:tcPr>
            <w:tcW w:w="0" w:type="auto"/>
            <w:hideMark/>
          </w:tcPr>
          <w:p w14:paraId="53C7C191" w14:textId="77777777" w:rsidR="00DD7C08" w:rsidRPr="00AA22F2" w:rsidRDefault="00DD7C08" w:rsidP="00DD7C08">
            <w:pPr>
              <w:cnfStyle w:val="000000000000" w:firstRow="0" w:lastRow="0" w:firstColumn="0" w:lastColumn="0" w:oddVBand="0" w:evenVBand="0" w:oddHBand="0" w:evenHBand="0" w:firstRowFirstColumn="0" w:firstRowLastColumn="0" w:lastRowFirstColumn="0" w:lastRowLastColumn="0"/>
              <w:rPr>
                <w:szCs w:val="20"/>
                <w:lang w:eastAsia="fr-FR" w:bidi="ar-SA"/>
              </w:rPr>
            </w:pPr>
            <w:r w:rsidRPr="00AA22F2">
              <w:rPr>
                <w:b/>
                <w:bCs/>
                <w:szCs w:val="20"/>
                <w:lang w:eastAsia="fr-FR" w:bidi="ar-SA"/>
              </w:rPr>
              <w:t>Réduire</w:t>
            </w:r>
          </w:p>
        </w:tc>
        <w:tc>
          <w:tcPr>
            <w:tcW w:w="0" w:type="auto"/>
            <w:hideMark/>
          </w:tcPr>
          <w:p w14:paraId="3159BDA8" w14:textId="39E630DE" w:rsidR="00DD7C08" w:rsidRPr="00AA22F2" w:rsidRDefault="00DD7C08" w:rsidP="00DD7C08">
            <w:pPr>
              <w:cnfStyle w:val="000000000000" w:firstRow="0" w:lastRow="0" w:firstColumn="0" w:lastColumn="0" w:oddVBand="0" w:evenVBand="0" w:oddHBand="0" w:evenHBand="0" w:firstRowFirstColumn="0" w:firstRowLastColumn="0" w:lastRowFirstColumn="0" w:lastRowLastColumn="0"/>
              <w:rPr>
                <w:szCs w:val="20"/>
                <w:lang w:eastAsia="fr-FR" w:bidi="ar-SA"/>
              </w:rPr>
            </w:pPr>
            <w:r w:rsidRPr="00AA22F2">
              <w:rPr>
                <w:szCs w:val="20"/>
                <w:lang w:eastAsia="fr-FR" w:bidi="ar-SA"/>
              </w:rPr>
              <w:t xml:space="preserve">Poursuivre la </w:t>
            </w:r>
            <w:r w:rsidRPr="004637C7">
              <w:rPr>
                <w:szCs w:val="20"/>
                <w:lang w:eastAsia="fr-FR" w:bidi="ar-SA"/>
              </w:rPr>
              <w:t>réutilisation des eaux traitées</w:t>
            </w:r>
            <w:r w:rsidRPr="00AA22F2">
              <w:rPr>
                <w:szCs w:val="20"/>
                <w:lang w:eastAsia="fr-FR" w:bidi="ar-SA"/>
              </w:rPr>
              <w:t xml:space="preserve"> pour les usages non sanitaires (nettoyage, arrosage, maintenance).</w:t>
            </w:r>
          </w:p>
        </w:tc>
        <w:tc>
          <w:tcPr>
            <w:tcW w:w="0" w:type="auto"/>
            <w:hideMark/>
          </w:tcPr>
          <w:p w14:paraId="5ACD91AC" w14:textId="77777777" w:rsidR="00DD7C08" w:rsidRPr="00AA22F2" w:rsidRDefault="00DD7C08" w:rsidP="00DD7C08">
            <w:pPr>
              <w:cnfStyle w:val="000000000000" w:firstRow="0" w:lastRow="0" w:firstColumn="0" w:lastColumn="0" w:oddVBand="0" w:evenVBand="0" w:oddHBand="0" w:evenHBand="0" w:firstRowFirstColumn="0" w:firstRowLastColumn="0" w:lastRowFirstColumn="0" w:lastRowLastColumn="0"/>
              <w:rPr>
                <w:szCs w:val="20"/>
                <w:lang w:eastAsia="fr-FR" w:bidi="ar-SA"/>
              </w:rPr>
            </w:pPr>
            <w:r w:rsidRPr="00AA22F2">
              <w:rPr>
                <w:szCs w:val="20"/>
                <w:lang w:eastAsia="fr-FR" w:bidi="ar-SA"/>
              </w:rPr>
              <w:t>% d’eaux traitées réutilisées / volume total consommé</w:t>
            </w:r>
          </w:p>
        </w:tc>
        <w:tc>
          <w:tcPr>
            <w:tcW w:w="0" w:type="auto"/>
            <w:hideMark/>
          </w:tcPr>
          <w:p w14:paraId="1B5A63CE" w14:textId="6CAF36D5" w:rsidR="00DD7C08" w:rsidRPr="00AA22F2" w:rsidRDefault="00DD7C08" w:rsidP="00DD7C08">
            <w:pPr>
              <w:cnfStyle w:val="000000000000" w:firstRow="0" w:lastRow="0" w:firstColumn="0" w:lastColumn="0" w:oddVBand="0" w:evenVBand="0" w:oddHBand="0" w:evenHBand="0" w:firstRowFirstColumn="0" w:firstRowLastColumn="0" w:lastRowFirstColumn="0" w:lastRowLastColumn="0"/>
              <w:rPr>
                <w:szCs w:val="20"/>
                <w:lang w:eastAsia="fr-FR" w:bidi="ar-SA"/>
              </w:rPr>
            </w:pPr>
            <w:r w:rsidRPr="00AA22F2">
              <w:rPr>
                <w:szCs w:val="20"/>
                <w:lang w:eastAsia="fr-FR" w:bidi="ar-SA"/>
              </w:rPr>
              <w:t>ONDA / Exploitant</w:t>
            </w:r>
          </w:p>
        </w:tc>
        <w:tc>
          <w:tcPr>
            <w:tcW w:w="0" w:type="auto"/>
            <w:hideMark/>
          </w:tcPr>
          <w:p w14:paraId="75B39406" w14:textId="1C8A1020" w:rsidR="00DD7C08" w:rsidRPr="00AA22F2" w:rsidRDefault="00DD7C08" w:rsidP="00DD7C08">
            <w:pPr>
              <w:cnfStyle w:val="000000000000" w:firstRow="0" w:lastRow="0" w:firstColumn="0" w:lastColumn="0" w:oddVBand="0" w:evenVBand="0" w:oddHBand="0" w:evenHBand="0" w:firstRowFirstColumn="0" w:firstRowLastColumn="0" w:lastRowFirstColumn="0" w:lastRowLastColumn="0"/>
              <w:rPr>
                <w:szCs w:val="20"/>
                <w:lang w:eastAsia="fr-FR" w:bidi="ar-SA"/>
              </w:rPr>
            </w:pPr>
            <w:r w:rsidRPr="00AA22F2">
              <w:rPr>
                <w:szCs w:val="20"/>
                <w:lang w:eastAsia="fr-FR" w:bidi="ar-SA"/>
              </w:rPr>
              <w:t>ONDA</w:t>
            </w:r>
          </w:p>
        </w:tc>
        <w:tc>
          <w:tcPr>
            <w:tcW w:w="0" w:type="auto"/>
            <w:hideMark/>
          </w:tcPr>
          <w:p w14:paraId="0542A13F" w14:textId="501A8301" w:rsidR="00DD7C08" w:rsidRPr="00AA22F2" w:rsidRDefault="00DD7C08" w:rsidP="00DD7C08">
            <w:pPr>
              <w:cnfStyle w:val="000000000000" w:firstRow="0" w:lastRow="0" w:firstColumn="0" w:lastColumn="0" w:oddVBand="0" w:evenVBand="0" w:oddHBand="0" w:evenHBand="0" w:firstRowFirstColumn="0" w:firstRowLastColumn="0" w:lastRowFirstColumn="0" w:lastRowLastColumn="0"/>
              <w:rPr>
                <w:szCs w:val="20"/>
                <w:lang w:eastAsia="fr-FR" w:bidi="ar-SA"/>
              </w:rPr>
            </w:pPr>
            <w:r w:rsidRPr="00AA22F2">
              <w:rPr>
                <w:szCs w:val="20"/>
                <w:lang w:eastAsia="fr-FR" w:bidi="ar-SA"/>
              </w:rPr>
              <w:t>ONDA</w:t>
            </w:r>
          </w:p>
        </w:tc>
        <w:tc>
          <w:tcPr>
            <w:tcW w:w="0" w:type="auto"/>
            <w:hideMark/>
          </w:tcPr>
          <w:p w14:paraId="68309320" w14:textId="77777777" w:rsidR="00DD7C08" w:rsidRPr="00AA22F2" w:rsidRDefault="00DD7C08" w:rsidP="00DD7C08">
            <w:pPr>
              <w:cnfStyle w:val="000000000000" w:firstRow="0" w:lastRow="0" w:firstColumn="0" w:lastColumn="0" w:oddVBand="0" w:evenVBand="0" w:oddHBand="0" w:evenHBand="0" w:firstRowFirstColumn="0" w:firstRowLastColumn="0" w:lastRowFirstColumn="0" w:lastRowLastColumn="0"/>
              <w:rPr>
                <w:szCs w:val="20"/>
                <w:lang w:eastAsia="fr-FR" w:bidi="ar-SA"/>
              </w:rPr>
            </w:pPr>
            <w:r w:rsidRPr="00AA22F2">
              <w:rPr>
                <w:szCs w:val="20"/>
                <w:lang w:eastAsia="fr-FR" w:bidi="ar-SA"/>
              </w:rPr>
              <w:t>Permanent</w:t>
            </w:r>
          </w:p>
        </w:tc>
        <w:tc>
          <w:tcPr>
            <w:tcW w:w="0" w:type="auto"/>
            <w:hideMark/>
          </w:tcPr>
          <w:p w14:paraId="2A891708" w14:textId="1B47B9CD" w:rsidR="00DD7C08" w:rsidRPr="00AA22F2" w:rsidRDefault="003D5B01" w:rsidP="00DD7C08">
            <w:pPr>
              <w:cnfStyle w:val="000000000000" w:firstRow="0" w:lastRow="0" w:firstColumn="0" w:lastColumn="0" w:oddVBand="0" w:evenVBand="0" w:oddHBand="0" w:evenHBand="0" w:firstRowFirstColumn="0" w:firstRowLastColumn="0" w:lastRowFirstColumn="0" w:lastRowLastColumn="0"/>
              <w:rPr>
                <w:szCs w:val="20"/>
                <w:lang w:eastAsia="fr-FR" w:bidi="ar-SA"/>
              </w:rPr>
            </w:pPr>
            <w:r>
              <w:rPr>
                <w:szCs w:val="20"/>
                <w:lang w:eastAsia="fr-FR" w:bidi="ar-SA"/>
              </w:rPr>
              <w:t>Aucun coût spécifique</w:t>
            </w:r>
          </w:p>
        </w:tc>
      </w:tr>
      <w:tr w:rsidR="00E7190E" w:rsidRPr="00B40D36" w14:paraId="087A9DE6" w14:textId="77777777" w:rsidTr="00D90FDB">
        <w:tc>
          <w:tcPr>
            <w:cnfStyle w:val="001000000000" w:firstRow="0" w:lastRow="0" w:firstColumn="1" w:lastColumn="0" w:oddVBand="0" w:evenVBand="0" w:oddHBand="0" w:evenHBand="0" w:firstRowFirstColumn="0" w:firstRowLastColumn="0" w:lastRowFirstColumn="0" w:lastRowLastColumn="0"/>
            <w:tcW w:w="0" w:type="auto"/>
            <w:vMerge/>
            <w:hideMark/>
          </w:tcPr>
          <w:p w14:paraId="463483E4" w14:textId="77777777" w:rsidR="00DD7C08" w:rsidRPr="00AA22F2" w:rsidRDefault="00DD7C08" w:rsidP="00DD7C08">
            <w:pPr>
              <w:rPr>
                <w:szCs w:val="20"/>
                <w:lang w:eastAsia="fr-FR" w:bidi="ar-SA"/>
              </w:rPr>
            </w:pPr>
          </w:p>
        </w:tc>
        <w:tc>
          <w:tcPr>
            <w:tcW w:w="0" w:type="auto"/>
            <w:hideMark/>
          </w:tcPr>
          <w:p w14:paraId="67B49E83" w14:textId="77777777" w:rsidR="00DD7C08" w:rsidRPr="00AA22F2" w:rsidRDefault="00DD7C08" w:rsidP="00DD7C08">
            <w:pPr>
              <w:cnfStyle w:val="000000000000" w:firstRow="0" w:lastRow="0" w:firstColumn="0" w:lastColumn="0" w:oddVBand="0" w:evenVBand="0" w:oddHBand="0" w:evenHBand="0" w:firstRowFirstColumn="0" w:firstRowLastColumn="0" w:lastRowFirstColumn="0" w:lastRowLastColumn="0"/>
              <w:rPr>
                <w:szCs w:val="20"/>
                <w:lang w:eastAsia="fr-FR" w:bidi="ar-SA"/>
              </w:rPr>
            </w:pPr>
            <w:r w:rsidRPr="00AA22F2">
              <w:rPr>
                <w:b/>
                <w:bCs/>
                <w:szCs w:val="20"/>
                <w:lang w:eastAsia="fr-FR" w:bidi="ar-SA"/>
              </w:rPr>
              <w:t>Réduire / Atténuer</w:t>
            </w:r>
          </w:p>
        </w:tc>
        <w:tc>
          <w:tcPr>
            <w:tcW w:w="0" w:type="auto"/>
            <w:hideMark/>
          </w:tcPr>
          <w:p w14:paraId="1731FBE2" w14:textId="77777777" w:rsidR="00DD7C08" w:rsidRPr="00AA22F2" w:rsidRDefault="00DD7C08" w:rsidP="00DD7C08">
            <w:pPr>
              <w:cnfStyle w:val="000000000000" w:firstRow="0" w:lastRow="0" w:firstColumn="0" w:lastColumn="0" w:oddVBand="0" w:evenVBand="0" w:oddHBand="0" w:evenHBand="0" w:firstRowFirstColumn="0" w:firstRowLastColumn="0" w:lastRowFirstColumn="0" w:lastRowLastColumn="0"/>
              <w:rPr>
                <w:szCs w:val="20"/>
                <w:lang w:eastAsia="fr-FR" w:bidi="ar-SA"/>
              </w:rPr>
            </w:pPr>
            <w:r w:rsidRPr="00AA22F2">
              <w:rPr>
                <w:szCs w:val="20"/>
                <w:lang w:eastAsia="fr-FR" w:bidi="ar-SA"/>
              </w:rPr>
              <w:t xml:space="preserve">Mettre en place un </w:t>
            </w:r>
            <w:r w:rsidRPr="004637C7">
              <w:rPr>
                <w:szCs w:val="20"/>
                <w:lang w:eastAsia="fr-FR" w:bidi="ar-SA"/>
              </w:rPr>
              <w:t>suivi périodique de la consommation d’eau</w:t>
            </w:r>
            <w:r w:rsidRPr="00AA22F2">
              <w:rPr>
                <w:szCs w:val="20"/>
                <w:lang w:eastAsia="fr-FR" w:bidi="ar-SA"/>
              </w:rPr>
              <w:t xml:space="preserve"> et sensibiliser le personnel aux pratiques d’économie d’eau.</w:t>
            </w:r>
          </w:p>
        </w:tc>
        <w:tc>
          <w:tcPr>
            <w:tcW w:w="0" w:type="auto"/>
            <w:hideMark/>
          </w:tcPr>
          <w:p w14:paraId="7398BCFA" w14:textId="77777777" w:rsidR="00DD7C08" w:rsidRPr="00AA22F2" w:rsidRDefault="00DD7C08" w:rsidP="00DD7C08">
            <w:pPr>
              <w:cnfStyle w:val="000000000000" w:firstRow="0" w:lastRow="0" w:firstColumn="0" w:lastColumn="0" w:oddVBand="0" w:evenVBand="0" w:oddHBand="0" w:evenHBand="0" w:firstRowFirstColumn="0" w:firstRowLastColumn="0" w:lastRowFirstColumn="0" w:lastRowLastColumn="0"/>
              <w:rPr>
                <w:szCs w:val="20"/>
                <w:lang w:eastAsia="fr-FR" w:bidi="ar-SA"/>
              </w:rPr>
            </w:pPr>
            <w:r w:rsidRPr="00AA22F2">
              <w:rPr>
                <w:szCs w:val="20"/>
                <w:lang w:eastAsia="fr-FR" w:bidi="ar-SA"/>
              </w:rPr>
              <w:t>Consommation annuelle (m³/an) ; nombre de sessions de sensibilisation/an</w:t>
            </w:r>
          </w:p>
        </w:tc>
        <w:tc>
          <w:tcPr>
            <w:tcW w:w="0" w:type="auto"/>
            <w:hideMark/>
          </w:tcPr>
          <w:p w14:paraId="4596C5A5" w14:textId="11CE3222" w:rsidR="00DD7C08" w:rsidRPr="00AA22F2" w:rsidRDefault="00DD7C08" w:rsidP="00DD7C08">
            <w:pPr>
              <w:cnfStyle w:val="000000000000" w:firstRow="0" w:lastRow="0" w:firstColumn="0" w:lastColumn="0" w:oddVBand="0" w:evenVBand="0" w:oddHBand="0" w:evenHBand="0" w:firstRowFirstColumn="0" w:firstRowLastColumn="0" w:lastRowFirstColumn="0" w:lastRowLastColumn="0"/>
              <w:rPr>
                <w:szCs w:val="20"/>
                <w:lang w:eastAsia="fr-FR" w:bidi="ar-SA"/>
              </w:rPr>
            </w:pPr>
            <w:r w:rsidRPr="00AA22F2">
              <w:rPr>
                <w:szCs w:val="20"/>
                <w:lang w:eastAsia="fr-FR" w:bidi="ar-SA"/>
              </w:rPr>
              <w:t>ONDA / Exploitant</w:t>
            </w:r>
          </w:p>
        </w:tc>
        <w:tc>
          <w:tcPr>
            <w:tcW w:w="0" w:type="auto"/>
            <w:hideMark/>
          </w:tcPr>
          <w:p w14:paraId="44292A7A" w14:textId="1B51F822" w:rsidR="00DD7C08" w:rsidRPr="00AA22F2" w:rsidRDefault="00DD7C08" w:rsidP="00DD7C08">
            <w:pPr>
              <w:cnfStyle w:val="000000000000" w:firstRow="0" w:lastRow="0" w:firstColumn="0" w:lastColumn="0" w:oddVBand="0" w:evenVBand="0" w:oddHBand="0" w:evenHBand="0" w:firstRowFirstColumn="0" w:firstRowLastColumn="0" w:lastRowFirstColumn="0" w:lastRowLastColumn="0"/>
              <w:rPr>
                <w:szCs w:val="20"/>
                <w:lang w:eastAsia="fr-FR" w:bidi="ar-SA"/>
              </w:rPr>
            </w:pPr>
            <w:r w:rsidRPr="00AA22F2">
              <w:rPr>
                <w:szCs w:val="20"/>
                <w:lang w:eastAsia="fr-FR" w:bidi="ar-SA"/>
              </w:rPr>
              <w:t>ONDA</w:t>
            </w:r>
          </w:p>
        </w:tc>
        <w:tc>
          <w:tcPr>
            <w:tcW w:w="0" w:type="auto"/>
            <w:hideMark/>
          </w:tcPr>
          <w:p w14:paraId="7A4F547F" w14:textId="18B11A38" w:rsidR="00DD7C08" w:rsidRPr="00AA22F2" w:rsidRDefault="00DD7C08" w:rsidP="00DD7C08">
            <w:pPr>
              <w:cnfStyle w:val="000000000000" w:firstRow="0" w:lastRow="0" w:firstColumn="0" w:lastColumn="0" w:oddVBand="0" w:evenVBand="0" w:oddHBand="0" w:evenHBand="0" w:firstRowFirstColumn="0" w:firstRowLastColumn="0" w:lastRowFirstColumn="0" w:lastRowLastColumn="0"/>
              <w:rPr>
                <w:szCs w:val="20"/>
                <w:lang w:eastAsia="fr-FR" w:bidi="ar-SA"/>
              </w:rPr>
            </w:pPr>
            <w:r w:rsidRPr="00AA22F2">
              <w:rPr>
                <w:szCs w:val="20"/>
                <w:lang w:eastAsia="fr-FR" w:bidi="ar-SA"/>
              </w:rPr>
              <w:t>ONDA</w:t>
            </w:r>
          </w:p>
        </w:tc>
        <w:tc>
          <w:tcPr>
            <w:tcW w:w="0" w:type="auto"/>
            <w:hideMark/>
          </w:tcPr>
          <w:p w14:paraId="50698598" w14:textId="77777777" w:rsidR="00DD7C08" w:rsidRPr="00AA22F2" w:rsidRDefault="00DD7C08" w:rsidP="00DD7C08">
            <w:pPr>
              <w:cnfStyle w:val="000000000000" w:firstRow="0" w:lastRow="0" w:firstColumn="0" w:lastColumn="0" w:oddVBand="0" w:evenVBand="0" w:oddHBand="0" w:evenHBand="0" w:firstRowFirstColumn="0" w:firstRowLastColumn="0" w:lastRowFirstColumn="0" w:lastRowLastColumn="0"/>
              <w:rPr>
                <w:szCs w:val="20"/>
                <w:lang w:eastAsia="fr-FR" w:bidi="ar-SA"/>
              </w:rPr>
            </w:pPr>
            <w:r w:rsidRPr="00AA22F2">
              <w:rPr>
                <w:szCs w:val="20"/>
                <w:lang w:eastAsia="fr-FR" w:bidi="ar-SA"/>
              </w:rPr>
              <w:t>Semestriel</w:t>
            </w:r>
          </w:p>
        </w:tc>
        <w:tc>
          <w:tcPr>
            <w:tcW w:w="0" w:type="auto"/>
            <w:hideMark/>
          </w:tcPr>
          <w:p w14:paraId="7B3702FD" w14:textId="29AFB2B5" w:rsidR="00DD7C08" w:rsidRPr="00AA22F2" w:rsidRDefault="003D5B01" w:rsidP="00DD7C08">
            <w:pPr>
              <w:cnfStyle w:val="000000000000" w:firstRow="0" w:lastRow="0" w:firstColumn="0" w:lastColumn="0" w:oddVBand="0" w:evenVBand="0" w:oddHBand="0" w:evenHBand="0" w:firstRowFirstColumn="0" w:firstRowLastColumn="0" w:lastRowFirstColumn="0" w:lastRowLastColumn="0"/>
              <w:rPr>
                <w:szCs w:val="20"/>
                <w:lang w:eastAsia="fr-FR" w:bidi="ar-SA"/>
              </w:rPr>
            </w:pPr>
            <w:r w:rsidRPr="003D5B01">
              <w:rPr>
                <w:szCs w:val="20"/>
                <w:lang w:eastAsia="fr-FR" w:bidi="ar-SA"/>
              </w:rPr>
              <w:t>4 000 /an (forfait)</w:t>
            </w:r>
            <w:r>
              <w:rPr>
                <w:szCs w:val="20"/>
                <w:lang w:eastAsia="fr-FR" w:bidi="ar-SA"/>
              </w:rPr>
              <w:t xml:space="preserve"> (</w:t>
            </w:r>
            <w:r w:rsidRPr="003D5B01">
              <w:rPr>
                <w:szCs w:val="20"/>
                <w:lang w:eastAsia="fr-FR" w:bidi="ar-SA"/>
              </w:rPr>
              <w:t>Relevés mensuels, reporting HSE et formation interne (1 session/an)</w:t>
            </w:r>
            <w:r>
              <w:rPr>
                <w:szCs w:val="20"/>
                <w:lang w:eastAsia="fr-FR" w:bidi="ar-SA"/>
              </w:rPr>
              <w:t>)</w:t>
            </w:r>
          </w:p>
        </w:tc>
      </w:tr>
      <w:tr w:rsidR="00E7190E" w:rsidRPr="00B40D36" w14:paraId="374A4639" w14:textId="77777777" w:rsidTr="00D90FDB">
        <w:tc>
          <w:tcPr>
            <w:cnfStyle w:val="001000000000" w:firstRow="0" w:lastRow="0" w:firstColumn="1" w:lastColumn="0" w:oddVBand="0" w:evenVBand="0" w:oddHBand="0" w:evenHBand="0" w:firstRowFirstColumn="0" w:firstRowLastColumn="0" w:lastRowFirstColumn="0" w:lastRowLastColumn="0"/>
            <w:tcW w:w="0" w:type="auto"/>
            <w:vMerge/>
            <w:hideMark/>
          </w:tcPr>
          <w:p w14:paraId="630828F0" w14:textId="77777777" w:rsidR="00D90FDB" w:rsidRPr="00AA22F2" w:rsidRDefault="00D90FDB" w:rsidP="00D90FDB">
            <w:pPr>
              <w:rPr>
                <w:szCs w:val="20"/>
                <w:lang w:eastAsia="fr-FR" w:bidi="ar-SA"/>
              </w:rPr>
            </w:pPr>
          </w:p>
        </w:tc>
        <w:tc>
          <w:tcPr>
            <w:tcW w:w="0" w:type="auto"/>
            <w:hideMark/>
          </w:tcPr>
          <w:p w14:paraId="4B177BB8" w14:textId="77777777" w:rsidR="00D90FDB" w:rsidRPr="00AA22F2" w:rsidRDefault="00D90FDB" w:rsidP="00D90FDB">
            <w:pPr>
              <w:cnfStyle w:val="000000000000" w:firstRow="0" w:lastRow="0" w:firstColumn="0" w:lastColumn="0" w:oddVBand="0" w:evenVBand="0" w:oddHBand="0" w:evenHBand="0" w:firstRowFirstColumn="0" w:firstRowLastColumn="0" w:lastRowFirstColumn="0" w:lastRowLastColumn="0"/>
              <w:rPr>
                <w:szCs w:val="20"/>
                <w:lang w:eastAsia="fr-FR" w:bidi="ar-SA"/>
              </w:rPr>
            </w:pPr>
            <w:r w:rsidRPr="00AA22F2">
              <w:rPr>
                <w:b/>
                <w:bCs/>
                <w:szCs w:val="20"/>
                <w:lang w:eastAsia="fr-FR" w:bidi="ar-SA"/>
              </w:rPr>
              <w:t>Compenser (non requis)</w:t>
            </w:r>
          </w:p>
        </w:tc>
        <w:tc>
          <w:tcPr>
            <w:tcW w:w="0" w:type="auto"/>
            <w:hideMark/>
          </w:tcPr>
          <w:p w14:paraId="5EF21756" w14:textId="77777777" w:rsidR="00D90FDB" w:rsidRPr="00AA22F2" w:rsidRDefault="00D90FDB" w:rsidP="00D90FDB">
            <w:pPr>
              <w:cnfStyle w:val="000000000000" w:firstRow="0" w:lastRow="0" w:firstColumn="0" w:lastColumn="0" w:oddVBand="0" w:evenVBand="0" w:oddHBand="0" w:evenHBand="0" w:firstRowFirstColumn="0" w:firstRowLastColumn="0" w:lastRowFirstColumn="0" w:lastRowLastColumn="0"/>
              <w:rPr>
                <w:szCs w:val="20"/>
                <w:lang w:eastAsia="fr-FR" w:bidi="ar-SA"/>
              </w:rPr>
            </w:pPr>
            <w:r w:rsidRPr="00AA22F2">
              <w:rPr>
                <w:szCs w:val="20"/>
                <w:lang w:eastAsia="fr-FR" w:bidi="ar-SA"/>
              </w:rPr>
              <w:t>Aucun dispositif compensatoire nécessaire : absence de prélèvement local et impact hydrique négligeable.</w:t>
            </w:r>
          </w:p>
        </w:tc>
        <w:tc>
          <w:tcPr>
            <w:tcW w:w="0" w:type="auto"/>
            <w:hideMark/>
          </w:tcPr>
          <w:p w14:paraId="087621C0" w14:textId="77777777" w:rsidR="00D90FDB" w:rsidRPr="00AA22F2" w:rsidRDefault="00D90FDB" w:rsidP="00D90FDB">
            <w:pPr>
              <w:cnfStyle w:val="000000000000" w:firstRow="0" w:lastRow="0" w:firstColumn="0" w:lastColumn="0" w:oddVBand="0" w:evenVBand="0" w:oddHBand="0" w:evenHBand="0" w:firstRowFirstColumn="0" w:firstRowLastColumn="0" w:lastRowFirstColumn="0" w:lastRowLastColumn="0"/>
              <w:rPr>
                <w:szCs w:val="20"/>
                <w:lang w:eastAsia="fr-FR" w:bidi="ar-SA"/>
              </w:rPr>
            </w:pPr>
            <w:r w:rsidRPr="00AA22F2">
              <w:rPr>
                <w:szCs w:val="20"/>
                <w:lang w:eastAsia="fr-FR" w:bidi="ar-SA"/>
              </w:rPr>
              <w:t>—</w:t>
            </w:r>
          </w:p>
        </w:tc>
        <w:tc>
          <w:tcPr>
            <w:tcW w:w="0" w:type="auto"/>
            <w:hideMark/>
          </w:tcPr>
          <w:p w14:paraId="36F97E9E" w14:textId="77777777" w:rsidR="00D90FDB" w:rsidRPr="00AA22F2" w:rsidRDefault="00D90FDB" w:rsidP="00D90FDB">
            <w:pPr>
              <w:cnfStyle w:val="000000000000" w:firstRow="0" w:lastRow="0" w:firstColumn="0" w:lastColumn="0" w:oddVBand="0" w:evenVBand="0" w:oddHBand="0" w:evenHBand="0" w:firstRowFirstColumn="0" w:firstRowLastColumn="0" w:lastRowFirstColumn="0" w:lastRowLastColumn="0"/>
              <w:rPr>
                <w:szCs w:val="20"/>
                <w:lang w:eastAsia="fr-FR" w:bidi="ar-SA"/>
              </w:rPr>
            </w:pPr>
            <w:r w:rsidRPr="00AA22F2">
              <w:rPr>
                <w:szCs w:val="20"/>
                <w:lang w:eastAsia="fr-FR" w:bidi="ar-SA"/>
              </w:rPr>
              <w:t>—</w:t>
            </w:r>
          </w:p>
        </w:tc>
        <w:tc>
          <w:tcPr>
            <w:tcW w:w="0" w:type="auto"/>
            <w:hideMark/>
          </w:tcPr>
          <w:p w14:paraId="1C7B5243" w14:textId="77777777" w:rsidR="00D90FDB" w:rsidRPr="00AA22F2" w:rsidRDefault="00D90FDB" w:rsidP="00D90FDB">
            <w:pPr>
              <w:cnfStyle w:val="000000000000" w:firstRow="0" w:lastRow="0" w:firstColumn="0" w:lastColumn="0" w:oddVBand="0" w:evenVBand="0" w:oddHBand="0" w:evenHBand="0" w:firstRowFirstColumn="0" w:firstRowLastColumn="0" w:lastRowFirstColumn="0" w:lastRowLastColumn="0"/>
              <w:rPr>
                <w:szCs w:val="20"/>
                <w:lang w:eastAsia="fr-FR" w:bidi="ar-SA"/>
              </w:rPr>
            </w:pPr>
            <w:r w:rsidRPr="00AA22F2">
              <w:rPr>
                <w:szCs w:val="20"/>
                <w:lang w:eastAsia="fr-FR" w:bidi="ar-SA"/>
              </w:rPr>
              <w:t>—</w:t>
            </w:r>
          </w:p>
        </w:tc>
        <w:tc>
          <w:tcPr>
            <w:tcW w:w="0" w:type="auto"/>
            <w:hideMark/>
          </w:tcPr>
          <w:p w14:paraId="420F862B" w14:textId="77777777" w:rsidR="00D90FDB" w:rsidRPr="00AA22F2" w:rsidRDefault="00D90FDB" w:rsidP="00D90FDB">
            <w:pPr>
              <w:cnfStyle w:val="000000000000" w:firstRow="0" w:lastRow="0" w:firstColumn="0" w:lastColumn="0" w:oddVBand="0" w:evenVBand="0" w:oddHBand="0" w:evenHBand="0" w:firstRowFirstColumn="0" w:firstRowLastColumn="0" w:lastRowFirstColumn="0" w:lastRowLastColumn="0"/>
              <w:rPr>
                <w:szCs w:val="20"/>
                <w:lang w:eastAsia="fr-FR" w:bidi="ar-SA"/>
              </w:rPr>
            </w:pPr>
            <w:r w:rsidRPr="00AA22F2">
              <w:rPr>
                <w:szCs w:val="20"/>
                <w:lang w:eastAsia="fr-FR" w:bidi="ar-SA"/>
              </w:rPr>
              <w:t>—</w:t>
            </w:r>
          </w:p>
        </w:tc>
        <w:tc>
          <w:tcPr>
            <w:tcW w:w="0" w:type="auto"/>
            <w:hideMark/>
          </w:tcPr>
          <w:p w14:paraId="689AF171" w14:textId="77777777" w:rsidR="00D90FDB" w:rsidRPr="00AA22F2" w:rsidRDefault="00D90FDB" w:rsidP="00D90FDB">
            <w:pPr>
              <w:cnfStyle w:val="000000000000" w:firstRow="0" w:lastRow="0" w:firstColumn="0" w:lastColumn="0" w:oddVBand="0" w:evenVBand="0" w:oddHBand="0" w:evenHBand="0" w:firstRowFirstColumn="0" w:firstRowLastColumn="0" w:lastRowFirstColumn="0" w:lastRowLastColumn="0"/>
              <w:rPr>
                <w:szCs w:val="20"/>
                <w:lang w:eastAsia="fr-FR" w:bidi="ar-SA"/>
              </w:rPr>
            </w:pPr>
            <w:r w:rsidRPr="00AA22F2">
              <w:rPr>
                <w:szCs w:val="20"/>
                <w:lang w:eastAsia="fr-FR" w:bidi="ar-SA"/>
              </w:rPr>
              <w:t>—</w:t>
            </w:r>
          </w:p>
        </w:tc>
        <w:tc>
          <w:tcPr>
            <w:tcW w:w="0" w:type="auto"/>
            <w:hideMark/>
          </w:tcPr>
          <w:p w14:paraId="1B2D6361" w14:textId="77777777" w:rsidR="00D90FDB" w:rsidRPr="00AA22F2" w:rsidRDefault="00D90FDB" w:rsidP="00D90FDB">
            <w:pPr>
              <w:cnfStyle w:val="000000000000" w:firstRow="0" w:lastRow="0" w:firstColumn="0" w:lastColumn="0" w:oddVBand="0" w:evenVBand="0" w:oddHBand="0" w:evenHBand="0" w:firstRowFirstColumn="0" w:firstRowLastColumn="0" w:lastRowFirstColumn="0" w:lastRowLastColumn="0"/>
              <w:rPr>
                <w:szCs w:val="20"/>
                <w:lang w:eastAsia="fr-FR" w:bidi="ar-SA"/>
              </w:rPr>
            </w:pPr>
            <w:r w:rsidRPr="00AA22F2">
              <w:rPr>
                <w:szCs w:val="20"/>
                <w:lang w:eastAsia="fr-FR" w:bidi="ar-SA"/>
              </w:rPr>
              <w:t>—</w:t>
            </w:r>
          </w:p>
        </w:tc>
      </w:tr>
      <w:tr w:rsidR="00911FA2" w:rsidRPr="00B40D36" w14:paraId="166DEA38" w14:textId="77777777" w:rsidTr="00D90FDB">
        <w:tc>
          <w:tcPr>
            <w:cnfStyle w:val="001000000000" w:firstRow="0" w:lastRow="0" w:firstColumn="1" w:lastColumn="0" w:oddVBand="0" w:evenVBand="0" w:oddHBand="0" w:evenHBand="0" w:firstRowFirstColumn="0" w:firstRowLastColumn="0" w:lastRowFirstColumn="0" w:lastRowLastColumn="0"/>
            <w:tcW w:w="0" w:type="auto"/>
            <w:vMerge w:val="restart"/>
            <w:hideMark/>
          </w:tcPr>
          <w:p w14:paraId="3774C536" w14:textId="77777777" w:rsidR="003D5B01" w:rsidRPr="00AA22F2" w:rsidRDefault="003D5B01" w:rsidP="003D5B01">
            <w:pPr>
              <w:rPr>
                <w:szCs w:val="20"/>
                <w:lang w:eastAsia="fr-FR" w:bidi="ar-SA"/>
              </w:rPr>
            </w:pPr>
            <w:r w:rsidRPr="00AA22F2">
              <w:rPr>
                <w:szCs w:val="20"/>
                <w:lang w:eastAsia="fr-FR" w:bidi="ar-SA"/>
              </w:rPr>
              <w:t>Utilisation de l’électricité</w:t>
            </w:r>
          </w:p>
        </w:tc>
        <w:tc>
          <w:tcPr>
            <w:tcW w:w="0" w:type="auto"/>
            <w:hideMark/>
          </w:tcPr>
          <w:p w14:paraId="15BE6D8E" w14:textId="77777777" w:rsidR="003D5B01" w:rsidRPr="00AA22F2" w:rsidRDefault="003D5B01" w:rsidP="003D5B01">
            <w:pPr>
              <w:cnfStyle w:val="000000000000" w:firstRow="0" w:lastRow="0" w:firstColumn="0" w:lastColumn="0" w:oddVBand="0" w:evenVBand="0" w:oddHBand="0" w:evenHBand="0" w:firstRowFirstColumn="0" w:firstRowLastColumn="0" w:lastRowFirstColumn="0" w:lastRowLastColumn="0"/>
              <w:rPr>
                <w:szCs w:val="20"/>
                <w:lang w:eastAsia="fr-FR" w:bidi="ar-SA"/>
              </w:rPr>
            </w:pPr>
            <w:r w:rsidRPr="00AA22F2">
              <w:rPr>
                <w:b/>
                <w:bCs/>
                <w:szCs w:val="20"/>
                <w:lang w:eastAsia="fr-FR" w:bidi="ar-SA"/>
              </w:rPr>
              <w:t>Éviter</w:t>
            </w:r>
          </w:p>
        </w:tc>
        <w:tc>
          <w:tcPr>
            <w:tcW w:w="0" w:type="auto"/>
            <w:hideMark/>
          </w:tcPr>
          <w:p w14:paraId="457D9842" w14:textId="77777777" w:rsidR="003D5B01" w:rsidRPr="00AA22F2" w:rsidRDefault="003D5B01" w:rsidP="003D5B01">
            <w:pPr>
              <w:cnfStyle w:val="000000000000" w:firstRow="0" w:lastRow="0" w:firstColumn="0" w:lastColumn="0" w:oddVBand="0" w:evenVBand="0" w:oddHBand="0" w:evenHBand="0" w:firstRowFirstColumn="0" w:firstRowLastColumn="0" w:lastRowFirstColumn="0" w:lastRowLastColumn="0"/>
              <w:rPr>
                <w:szCs w:val="20"/>
                <w:lang w:eastAsia="fr-FR" w:bidi="ar-SA"/>
              </w:rPr>
            </w:pPr>
            <w:r w:rsidRPr="00AA22F2">
              <w:rPr>
                <w:szCs w:val="20"/>
                <w:lang w:eastAsia="fr-FR" w:bidi="ar-SA"/>
              </w:rPr>
              <w:t xml:space="preserve">Maintenir le </w:t>
            </w:r>
            <w:r w:rsidRPr="004637C7">
              <w:rPr>
                <w:szCs w:val="20"/>
                <w:lang w:eastAsia="fr-FR" w:bidi="ar-SA"/>
              </w:rPr>
              <w:t>raccordement au réseau interne</w:t>
            </w:r>
            <w:r w:rsidRPr="00AA22F2">
              <w:rPr>
                <w:szCs w:val="20"/>
                <w:lang w:eastAsia="fr-FR" w:bidi="ar-SA"/>
              </w:rPr>
              <w:t xml:space="preserve"> alimenté par l’ONEE, sans création de ligne </w:t>
            </w:r>
            <w:r w:rsidRPr="00AA22F2">
              <w:rPr>
                <w:szCs w:val="20"/>
                <w:lang w:eastAsia="fr-FR" w:bidi="ar-SA"/>
              </w:rPr>
              <w:lastRenderedPageBreak/>
              <w:t>dédiée ni infrastructure nouvelle.</w:t>
            </w:r>
          </w:p>
        </w:tc>
        <w:tc>
          <w:tcPr>
            <w:tcW w:w="0" w:type="auto"/>
            <w:hideMark/>
          </w:tcPr>
          <w:p w14:paraId="7E46F43D" w14:textId="77777777" w:rsidR="003D5B01" w:rsidRPr="00AA22F2" w:rsidRDefault="003D5B01" w:rsidP="003D5B01">
            <w:pPr>
              <w:cnfStyle w:val="000000000000" w:firstRow="0" w:lastRow="0" w:firstColumn="0" w:lastColumn="0" w:oddVBand="0" w:evenVBand="0" w:oddHBand="0" w:evenHBand="0" w:firstRowFirstColumn="0" w:firstRowLastColumn="0" w:lastRowFirstColumn="0" w:lastRowLastColumn="0"/>
              <w:rPr>
                <w:szCs w:val="20"/>
                <w:lang w:eastAsia="fr-FR" w:bidi="ar-SA"/>
              </w:rPr>
            </w:pPr>
            <w:r w:rsidRPr="00AA22F2">
              <w:rPr>
                <w:szCs w:val="20"/>
                <w:lang w:eastAsia="fr-FR" w:bidi="ar-SA"/>
              </w:rPr>
              <w:lastRenderedPageBreak/>
              <w:t xml:space="preserve">Continuité du raccordement ; </w:t>
            </w:r>
            <w:r w:rsidRPr="00AA22F2">
              <w:rPr>
                <w:szCs w:val="20"/>
                <w:lang w:eastAsia="fr-FR" w:bidi="ar-SA"/>
              </w:rPr>
              <w:lastRenderedPageBreak/>
              <w:t>absence de ligne supplémentaire.</w:t>
            </w:r>
          </w:p>
        </w:tc>
        <w:tc>
          <w:tcPr>
            <w:tcW w:w="0" w:type="auto"/>
            <w:hideMark/>
          </w:tcPr>
          <w:p w14:paraId="0314C751" w14:textId="64815D72" w:rsidR="003D5B01" w:rsidRPr="00AA22F2" w:rsidRDefault="003D5B01" w:rsidP="003D5B01">
            <w:pPr>
              <w:cnfStyle w:val="000000000000" w:firstRow="0" w:lastRow="0" w:firstColumn="0" w:lastColumn="0" w:oddVBand="0" w:evenVBand="0" w:oddHBand="0" w:evenHBand="0" w:firstRowFirstColumn="0" w:firstRowLastColumn="0" w:lastRowFirstColumn="0" w:lastRowLastColumn="0"/>
              <w:rPr>
                <w:szCs w:val="20"/>
                <w:lang w:eastAsia="fr-FR" w:bidi="ar-SA"/>
              </w:rPr>
            </w:pPr>
            <w:r w:rsidRPr="00AA22F2">
              <w:rPr>
                <w:szCs w:val="20"/>
                <w:lang w:eastAsia="fr-FR" w:bidi="ar-SA"/>
              </w:rPr>
              <w:lastRenderedPageBreak/>
              <w:t>ONDA / Exploitant</w:t>
            </w:r>
          </w:p>
        </w:tc>
        <w:tc>
          <w:tcPr>
            <w:tcW w:w="0" w:type="auto"/>
            <w:hideMark/>
          </w:tcPr>
          <w:p w14:paraId="4F2F2B58" w14:textId="38267F32" w:rsidR="003D5B01" w:rsidRPr="00AA22F2" w:rsidRDefault="003D5B01" w:rsidP="003D5B01">
            <w:pPr>
              <w:cnfStyle w:val="000000000000" w:firstRow="0" w:lastRow="0" w:firstColumn="0" w:lastColumn="0" w:oddVBand="0" w:evenVBand="0" w:oddHBand="0" w:evenHBand="0" w:firstRowFirstColumn="0" w:firstRowLastColumn="0" w:lastRowFirstColumn="0" w:lastRowLastColumn="0"/>
              <w:rPr>
                <w:szCs w:val="20"/>
                <w:lang w:eastAsia="fr-FR" w:bidi="ar-SA"/>
              </w:rPr>
            </w:pPr>
            <w:r w:rsidRPr="00AA22F2">
              <w:rPr>
                <w:szCs w:val="20"/>
                <w:lang w:eastAsia="fr-FR" w:bidi="ar-SA"/>
              </w:rPr>
              <w:t>ONDA</w:t>
            </w:r>
          </w:p>
        </w:tc>
        <w:tc>
          <w:tcPr>
            <w:tcW w:w="0" w:type="auto"/>
            <w:hideMark/>
          </w:tcPr>
          <w:p w14:paraId="5F9E9C4C" w14:textId="37B1BBBA" w:rsidR="003D5B01" w:rsidRPr="00AA22F2" w:rsidRDefault="003D5B01" w:rsidP="003D5B01">
            <w:pPr>
              <w:cnfStyle w:val="000000000000" w:firstRow="0" w:lastRow="0" w:firstColumn="0" w:lastColumn="0" w:oddVBand="0" w:evenVBand="0" w:oddHBand="0" w:evenHBand="0" w:firstRowFirstColumn="0" w:firstRowLastColumn="0" w:lastRowFirstColumn="0" w:lastRowLastColumn="0"/>
              <w:rPr>
                <w:szCs w:val="20"/>
                <w:lang w:eastAsia="fr-FR" w:bidi="ar-SA"/>
              </w:rPr>
            </w:pPr>
            <w:r w:rsidRPr="00AA22F2">
              <w:rPr>
                <w:szCs w:val="20"/>
                <w:lang w:eastAsia="fr-FR" w:bidi="ar-SA"/>
              </w:rPr>
              <w:t>ONDA</w:t>
            </w:r>
          </w:p>
        </w:tc>
        <w:tc>
          <w:tcPr>
            <w:tcW w:w="0" w:type="auto"/>
            <w:hideMark/>
          </w:tcPr>
          <w:p w14:paraId="62DEEB78" w14:textId="77777777" w:rsidR="003D5B01" w:rsidRPr="00AA22F2" w:rsidRDefault="003D5B01" w:rsidP="003D5B01">
            <w:pPr>
              <w:cnfStyle w:val="000000000000" w:firstRow="0" w:lastRow="0" w:firstColumn="0" w:lastColumn="0" w:oddVBand="0" w:evenVBand="0" w:oddHBand="0" w:evenHBand="0" w:firstRowFirstColumn="0" w:firstRowLastColumn="0" w:lastRowFirstColumn="0" w:lastRowLastColumn="0"/>
              <w:rPr>
                <w:szCs w:val="20"/>
                <w:lang w:eastAsia="fr-FR" w:bidi="ar-SA"/>
              </w:rPr>
            </w:pPr>
            <w:r w:rsidRPr="00AA22F2">
              <w:rPr>
                <w:szCs w:val="20"/>
                <w:lang w:eastAsia="fr-FR" w:bidi="ar-SA"/>
              </w:rPr>
              <w:t>Permanent</w:t>
            </w:r>
          </w:p>
        </w:tc>
        <w:tc>
          <w:tcPr>
            <w:tcW w:w="0" w:type="auto"/>
            <w:hideMark/>
          </w:tcPr>
          <w:p w14:paraId="1CFC4EF6" w14:textId="54679D4C" w:rsidR="003D5B01" w:rsidRPr="00AA22F2" w:rsidRDefault="003D5B01" w:rsidP="003D5B01">
            <w:pPr>
              <w:cnfStyle w:val="000000000000" w:firstRow="0" w:lastRow="0" w:firstColumn="0" w:lastColumn="0" w:oddVBand="0" w:evenVBand="0" w:oddHBand="0" w:evenHBand="0" w:firstRowFirstColumn="0" w:firstRowLastColumn="0" w:lastRowFirstColumn="0" w:lastRowLastColumn="0"/>
              <w:rPr>
                <w:szCs w:val="20"/>
                <w:lang w:eastAsia="fr-FR" w:bidi="ar-SA"/>
              </w:rPr>
            </w:pPr>
            <w:r>
              <w:rPr>
                <w:szCs w:val="20"/>
                <w:lang w:eastAsia="fr-FR" w:bidi="ar-SA"/>
              </w:rPr>
              <w:t>Aucun coût spécifique</w:t>
            </w:r>
          </w:p>
        </w:tc>
      </w:tr>
      <w:tr w:rsidR="00E7190E" w:rsidRPr="00B40D36" w14:paraId="393166DD" w14:textId="77777777" w:rsidTr="00D90FDB">
        <w:tc>
          <w:tcPr>
            <w:cnfStyle w:val="001000000000" w:firstRow="0" w:lastRow="0" w:firstColumn="1" w:lastColumn="0" w:oddVBand="0" w:evenVBand="0" w:oddHBand="0" w:evenHBand="0" w:firstRowFirstColumn="0" w:firstRowLastColumn="0" w:lastRowFirstColumn="0" w:lastRowLastColumn="0"/>
            <w:tcW w:w="0" w:type="auto"/>
            <w:vMerge/>
            <w:hideMark/>
          </w:tcPr>
          <w:p w14:paraId="11BF1853" w14:textId="77777777" w:rsidR="00DD7C08" w:rsidRPr="00AA22F2" w:rsidRDefault="00DD7C08" w:rsidP="00DD7C08">
            <w:pPr>
              <w:rPr>
                <w:szCs w:val="20"/>
                <w:lang w:eastAsia="fr-FR" w:bidi="ar-SA"/>
              </w:rPr>
            </w:pPr>
          </w:p>
        </w:tc>
        <w:tc>
          <w:tcPr>
            <w:tcW w:w="0" w:type="auto"/>
            <w:hideMark/>
          </w:tcPr>
          <w:p w14:paraId="6B14E18C" w14:textId="77777777" w:rsidR="00DD7C08" w:rsidRPr="00AA22F2" w:rsidRDefault="00DD7C08" w:rsidP="00DD7C08">
            <w:pPr>
              <w:cnfStyle w:val="000000000000" w:firstRow="0" w:lastRow="0" w:firstColumn="0" w:lastColumn="0" w:oddVBand="0" w:evenVBand="0" w:oddHBand="0" w:evenHBand="0" w:firstRowFirstColumn="0" w:firstRowLastColumn="0" w:lastRowFirstColumn="0" w:lastRowLastColumn="0"/>
              <w:rPr>
                <w:szCs w:val="20"/>
                <w:lang w:eastAsia="fr-FR" w:bidi="ar-SA"/>
              </w:rPr>
            </w:pPr>
            <w:r w:rsidRPr="00AA22F2">
              <w:rPr>
                <w:b/>
                <w:bCs/>
                <w:szCs w:val="20"/>
                <w:lang w:eastAsia="fr-FR" w:bidi="ar-SA"/>
              </w:rPr>
              <w:t>Réduire</w:t>
            </w:r>
          </w:p>
        </w:tc>
        <w:tc>
          <w:tcPr>
            <w:tcW w:w="0" w:type="auto"/>
            <w:hideMark/>
          </w:tcPr>
          <w:p w14:paraId="1B1D96F2" w14:textId="77777777" w:rsidR="00DD7C08" w:rsidRPr="00AA22F2" w:rsidRDefault="00DD7C08" w:rsidP="00DD7C08">
            <w:pPr>
              <w:cnfStyle w:val="000000000000" w:firstRow="0" w:lastRow="0" w:firstColumn="0" w:lastColumn="0" w:oddVBand="0" w:evenVBand="0" w:oddHBand="0" w:evenHBand="0" w:firstRowFirstColumn="0" w:firstRowLastColumn="0" w:lastRowFirstColumn="0" w:lastRowLastColumn="0"/>
              <w:rPr>
                <w:szCs w:val="20"/>
                <w:lang w:eastAsia="fr-FR" w:bidi="ar-SA"/>
              </w:rPr>
            </w:pPr>
            <w:r w:rsidRPr="00AA22F2">
              <w:rPr>
                <w:szCs w:val="20"/>
                <w:lang w:eastAsia="fr-FR" w:bidi="ar-SA"/>
              </w:rPr>
              <w:t xml:space="preserve">Équiper la zone d’extension en </w:t>
            </w:r>
            <w:r w:rsidRPr="004637C7">
              <w:rPr>
                <w:szCs w:val="20"/>
                <w:lang w:eastAsia="fr-FR" w:bidi="ar-SA"/>
              </w:rPr>
              <w:t>éclairage LED à basse consommation</w:t>
            </w:r>
            <w:r w:rsidRPr="00AA22F2">
              <w:rPr>
                <w:szCs w:val="20"/>
                <w:lang w:eastAsia="fr-FR" w:bidi="ar-SA"/>
              </w:rPr>
              <w:t xml:space="preserve"> et dispositifs automatiques (détecteurs, variateurs, horloges).</w:t>
            </w:r>
          </w:p>
        </w:tc>
        <w:tc>
          <w:tcPr>
            <w:tcW w:w="0" w:type="auto"/>
            <w:hideMark/>
          </w:tcPr>
          <w:p w14:paraId="593488B8" w14:textId="77777777" w:rsidR="00DD7C08" w:rsidRPr="00AA22F2" w:rsidRDefault="00DD7C08" w:rsidP="00DD7C08">
            <w:pPr>
              <w:cnfStyle w:val="000000000000" w:firstRow="0" w:lastRow="0" w:firstColumn="0" w:lastColumn="0" w:oddVBand="0" w:evenVBand="0" w:oddHBand="0" w:evenHBand="0" w:firstRowFirstColumn="0" w:firstRowLastColumn="0" w:lastRowFirstColumn="0" w:lastRowLastColumn="0"/>
              <w:rPr>
                <w:szCs w:val="20"/>
                <w:lang w:eastAsia="fr-FR" w:bidi="ar-SA"/>
              </w:rPr>
            </w:pPr>
            <w:r w:rsidRPr="00AA22F2">
              <w:rPr>
                <w:szCs w:val="20"/>
                <w:lang w:eastAsia="fr-FR" w:bidi="ar-SA"/>
              </w:rPr>
              <w:t>% de luminaires LED installés ; consommation annuelle (kWh).</w:t>
            </w:r>
          </w:p>
        </w:tc>
        <w:tc>
          <w:tcPr>
            <w:tcW w:w="0" w:type="auto"/>
            <w:hideMark/>
          </w:tcPr>
          <w:p w14:paraId="4F6DEDA2" w14:textId="7BFB4A2C" w:rsidR="00DD7C08" w:rsidRPr="00AA22F2" w:rsidRDefault="00DD7C08" w:rsidP="00DD7C08">
            <w:pPr>
              <w:cnfStyle w:val="000000000000" w:firstRow="0" w:lastRow="0" w:firstColumn="0" w:lastColumn="0" w:oddVBand="0" w:evenVBand="0" w:oddHBand="0" w:evenHBand="0" w:firstRowFirstColumn="0" w:firstRowLastColumn="0" w:lastRowFirstColumn="0" w:lastRowLastColumn="0"/>
              <w:rPr>
                <w:szCs w:val="20"/>
                <w:lang w:eastAsia="fr-FR" w:bidi="ar-SA"/>
              </w:rPr>
            </w:pPr>
            <w:r w:rsidRPr="00AA22F2">
              <w:rPr>
                <w:szCs w:val="20"/>
                <w:lang w:eastAsia="fr-FR" w:bidi="ar-SA"/>
              </w:rPr>
              <w:t>ONDA / Exploitant</w:t>
            </w:r>
          </w:p>
        </w:tc>
        <w:tc>
          <w:tcPr>
            <w:tcW w:w="0" w:type="auto"/>
            <w:hideMark/>
          </w:tcPr>
          <w:p w14:paraId="4742442E" w14:textId="6F88BFF9" w:rsidR="00DD7C08" w:rsidRPr="00AA22F2" w:rsidRDefault="00DD7C08" w:rsidP="00DD7C08">
            <w:pPr>
              <w:cnfStyle w:val="000000000000" w:firstRow="0" w:lastRow="0" w:firstColumn="0" w:lastColumn="0" w:oddVBand="0" w:evenVBand="0" w:oddHBand="0" w:evenHBand="0" w:firstRowFirstColumn="0" w:firstRowLastColumn="0" w:lastRowFirstColumn="0" w:lastRowLastColumn="0"/>
              <w:rPr>
                <w:szCs w:val="20"/>
                <w:lang w:eastAsia="fr-FR" w:bidi="ar-SA"/>
              </w:rPr>
            </w:pPr>
            <w:r w:rsidRPr="00AA22F2">
              <w:rPr>
                <w:szCs w:val="20"/>
                <w:lang w:eastAsia="fr-FR" w:bidi="ar-SA"/>
              </w:rPr>
              <w:t>ONDA</w:t>
            </w:r>
          </w:p>
        </w:tc>
        <w:tc>
          <w:tcPr>
            <w:tcW w:w="0" w:type="auto"/>
            <w:hideMark/>
          </w:tcPr>
          <w:p w14:paraId="543E7ADE" w14:textId="7A1EC9A0" w:rsidR="00DD7C08" w:rsidRPr="00AA22F2" w:rsidRDefault="00DD7C08" w:rsidP="00DD7C08">
            <w:pPr>
              <w:cnfStyle w:val="000000000000" w:firstRow="0" w:lastRow="0" w:firstColumn="0" w:lastColumn="0" w:oddVBand="0" w:evenVBand="0" w:oddHBand="0" w:evenHBand="0" w:firstRowFirstColumn="0" w:firstRowLastColumn="0" w:lastRowFirstColumn="0" w:lastRowLastColumn="0"/>
              <w:rPr>
                <w:szCs w:val="20"/>
                <w:lang w:eastAsia="fr-FR" w:bidi="ar-SA"/>
              </w:rPr>
            </w:pPr>
            <w:r w:rsidRPr="00AA22F2">
              <w:rPr>
                <w:szCs w:val="20"/>
                <w:lang w:eastAsia="fr-FR" w:bidi="ar-SA"/>
              </w:rPr>
              <w:t>ONDA</w:t>
            </w:r>
          </w:p>
        </w:tc>
        <w:tc>
          <w:tcPr>
            <w:tcW w:w="0" w:type="auto"/>
            <w:hideMark/>
          </w:tcPr>
          <w:p w14:paraId="7BFC6E89" w14:textId="77777777" w:rsidR="00DD7C08" w:rsidRPr="00AA22F2" w:rsidRDefault="00DD7C08" w:rsidP="00DD7C08">
            <w:pPr>
              <w:cnfStyle w:val="000000000000" w:firstRow="0" w:lastRow="0" w:firstColumn="0" w:lastColumn="0" w:oddVBand="0" w:evenVBand="0" w:oddHBand="0" w:evenHBand="0" w:firstRowFirstColumn="0" w:firstRowLastColumn="0" w:lastRowFirstColumn="0" w:lastRowLastColumn="0"/>
              <w:rPr>
                <w:szCs w:val="20"/>
                <w:lang w:eastAsia="fr-FR" w:bidi="ar-SA"/>
              </w:rPr>
            </w:pPr>
            <w:r w:rsidRPr="00AA22F2">
              <w:rPr>
                <w:szCs w:val="20"/>
                <w:lang w:eastAsia="fr-FR" w:bidi="ar-SA"/>
              </w:rPr>
              <w:t>Permanent</w:t>
            </w:r>
          </w:p>
        </w:tc>
        <w:tc>
          <w:tcPr>
            <w:tcW w:w="0" w:type="auto"/>
            <w:hideMark/>
          </w:tcPr>
          <w:p w14:paraId="1E298072" w14:textId="260A5AC2" w:rsidR="00DD7C08" w:rsidRPr="00AA22F2" w:rsidRDefault="00F05EC5" w:rsidP="00DD7C08">
            <w:pPr>
              <w:cnfStyle w:val="000000000000" w:firstRow="0" w:lastRow="0" w:firstColumn="0" w:lastColumn="0" w:oddVBand="0" w:evenVBand="0" w:oddHBand="0" w:evenHBand="0" w:firstRowFirstColumn="0" w:firstRowLastColumn="0" w:lastRowFirstColumn="0" w:lastRowLastColumn="0"/>
              <w:rPr>
                <w:szCs w:val="20"/>
                <w:lang w:eastAsia="fr-FR" w:bidi="ar-SA"/>
              </w:rPr>
            </w:pPr>
            <w:r w:rsidRPr="00F05EC5">
              <w:rPr>
                <w:szCs w:val="20"/>
              </w:rPr>
              <w:t xml:space="preserve">3 500 – 4 000 </w:t>
            </w:r>
            <w:r>
              <w:rPr>
                <w:szCs w:val="20"/>
              </w:rPr>
              <w:t>MAD</w:t>
            </w:r>
            <w:r w:rsidRPr="00F05EC5">
              <w:rPr>
                <w:szCs w:val="20"/>
              </w:rPr>
              <w:t>/luminaire</w:t>
            </w:r>
          </w:p>
        </w:tc>
      </w:tr>
      <w:tr w:rsidR="00E7190E" w:rsidRPr="00B40D36" w14:paraId="2AEA3D6B" w14:textId="77777777" w:rsidTr="00D90FDB">
        <w:tc>
          <w:tcPr>
            <w:cnfStyle w:val="001000000000" w:firstRow="0" w:lastRow="0" w:firstColumn="1" w:lastColumn="0" w:oddVBand="0" w:evenVBand="0" w:oddHBand="0" w:evenHBand="0" w:firstRowFirstColumn="0" w:firstRowLastColumn="0" w:lastRowFirstColumn="0" w:lastRowLastColumn="0"/>
            <w:tcW w:w="0" w:type="auto"/>
            <w:vMerge/>
            <w:hideMark/>
          </w:tcPr>
          <w:p w14:paraId="3743F0C5" w14:textId="77777777" w:rsidR="00DD7C08" w:rsidRPr="00AA22F2" w:rsidRDefault="00DD7C08" w:rsidP="00DD7C08">
            <w:pPr>
              <w:rPr>
                <w:szCs w:val="20"/>
                <w:lang w:eastAsia="fr-FR" w:bidi="ar-SA"/>
              </w:rPr>
            </w:pPr>
          </w:p>
        </w:tc>
        <w:tc>
          <w:tcPr>
            <w:tcW w:w="0" w:type="auto"/>
            <w:hideMark/>
          </w:tcPr>
          <w:p w14:paraId="44789028" w14:textId="77777777" w:rsidR="00DD7C08" w:rsidRPr="00AA22F2" w:rsidRDefault="00DD7C08" w:rsidP="00DD7C08">
            <w:pPr>
              <w:cnfStyle w:val="000000000000" w:firstRow="0" w:lastRow="0" w:firstColumn="0" w:lastColumn="0" w:oddVBand="0" w:evenVBand="0" w:oddHBand="0" w:evenHBand="0" w:firstRowFirstColumn="0" w:firstRowLastColumn="0" w:lastRowFirstColumn="0" w:lastRowLastColumn="0"/>
              <w:rPr>
                <w:szCs w:val="20"/>
                <w:lang w:eastAsia="fr-FR" w:bidi="ar-SA"/>
              </w:rPr>
            </w:pPr>
            <w:r w:rsidRPr="00AA22F2">
              <w:rPr>
                <w:b/>
                <w:bCs/>
                <w:szCs w:val="20"/>
                <w:lang w:eastAsia="fr-FR" w:bidi="ar-SA"/>
              </w:rPr>
              <w:t>Réduire / Atténuer</w:t>
            </w:r>
          </w:p>
        </w:tc>
        <w:tc>
          <w:tcPr>
            <w:tcW w:w="0" w:type="auto"/>
            <w:hideMark/>
          </w:tcPr>
          <w:p w14:paraId="603F1928" w14:textId="77777777" w:rsidR="00DD7C08" w:rsidRPr="00AA22F2" w:rsidRDefault="00DD7C08" w:rsidP="00DD7C08">
            <w:pPr>
              <w:cnfStyle w:val="000000000000" w:firstRow="0" w:lastRow="0" w:firstColumn="0" w:lastColumn="0" w:oddVBand="0" w:evenVBand="0" w:oddHBand="0" w:evenHBand="0" w:firstRowFirstColumn="0" w:firstRowLastColumn="0" w:lastRowFirstColumn="0" w:lastRowLastColumn="0"/>
              <w:rPr>
                <w:szCs w:val="20"/>
                <w:lang w:eastAsia="fr-FR" w:bidi="ar-SA"/>
              </w:rPr>
            </w:pPr>
            <w:r w:rsidRPr="00AA22F2">
              <w:rPr>
                <w:szCs w:val="20"/>
                <w:lang w:eastAsia="fr-FR" w:bidi="ar-SA"/>
              </w:rPr>
              <w:t xml:space="preserve">Appliquer un </w:t>
            </w:r>
            <w:r w:rsidRPr="004637C7">
              <w:rPr>
                <w:szCs w:val="20"/>
                <w:lang w:eastAsia="fr-FR" w:bidi="ar-SA"/>
              </w:rPr>
              <w:t>programme d’entretien préventif</w:t>
            </w:r>
            <w:r w:rsidRPr="00AA22F2">
              <w:rPr>
                <w:szCs w:val="20"/>
                <w:lang w:eastAsia="fr-FR" w:bidi="ar-SA"/>
              </w:rPr>
              <w:t xml:space="preserve"> du réseau électrique et des équipements pour limiter les pertes d’énergie.</w:t>
            </w:r>
          </w:p>
        </w:tc>
        <w:tc>
          <w:tcPr>
            <w:tcW w:w="0" w:type="auto"/>
            <w:hideMark/>
          </w:tcPr>
          <w:p w14:paraId="6FB5106F" w14:textId="77777777" w:rsidR="00DD7C08" w:rsidRPr="00AA22F2" w:rsidRDefault="00DD7C08" w:rsidP="00DD7C08">
            <w:pPr>
              <w:cnfStyle w:val="000000000000" w:firstRow="0" w:lastRow="0" w:firstColumn="0" w:lastColumn="0" w:oddVBand="0" w:evenVBand="0" w:oddHBand="0" w:evenHBand="0" w:firstRowFirstColumn="0" w:firstRowLastColumn="0" w:lastRowFirstColumn="0" w:lastRowLastColumn="0"/>
              <w:rPr>
                <w:szCs w:val="20"/>
                <w:lang w:eastAsia="fr-FR" w:bidi="ar-SA"/>
              </w:rPr>
            </w:pPr>
            <w:r w:rsidRPr="00AA22F2">
              <w:rPr>
                <w:szCs w:val="20"/>
                <w:lang w:eastAsia="fr-FR" w:bidi="ar-SA"/>
              </w:rPr>
              <w:t>Résultats des contrôles techniques ; pertes électriques (%)</w:t>
            </w:r>
          </w:p>
        </w:tc>
        <w:tc>
          <w:tcPr>
            <w:tcW w:w="0" w:type="auto"/>
            <w:hideMark/>
          </w:tcPr>
          <w:p w14:paraId="10446AAA" w14:textId="0646A183" w:rsidR="00DD7C08" w:rsidRPr="00AA22F2" w:rsidRDefault="00DD7C08" w:rsidP="00DD7C08">
            <w:pPr>
              <w:cnfStyle w:val="000000000000" w:firstRow="0" w:lastRow="0" w:firstColumn="0" w:lastColumn="0" w:oddVBand="0" w:evenVBand="0" w:oddHBand="0" w:evenHBand="0" w:firstRowFirstColumn="0" w:firstRowLastColumn="0" w:lastRowFirstColumn="0" w:lastRowLastColumn="0"/>
              <w:rPr>
                <w:szCs w:val="20"/>
                <w:lang w:eastAsia="fr-FR" w:bidi="ar-SA"/>
              </w:rPr>
            </w:pPr>
            <w:r w:rsidRPr="00AA22F2">
              <w:rPr>
                <w:szCs w:val="20"/>
                <w:lang w:eastAsia="fr-FR" w:bidi="ar-SA"/>
              </w:rPr>
              <w:t>ONDA / Exploitant</w:t>
            </w:r>
          </w:p>
        </w:tc>
        <w:tc>
          <w:tcPr>
            <w:tcW w:w="0" w:type="auto"/>
            <w:hideMark/>
          </w:tcPr>
          <w:p w14:paraId="2BBCA472" w14:textId="71B55F41" w:rsidR="00DD7C08" w:rsidRPr="00AA22F2" w:rsidRDefault="00DD7C08" w:rsidP="00DD7C08">
            <w:pPr>
              <w:cnfStyle w:val="000000000000" w:firstRow="0" w:lastRow="0" w:firstColumn="0" w:lastColumn="0" w:oddVBand="0" w:evenVBand="0" w:oddHBand="0" w:evenHBand="0" w:firstRowFirstColumn="0" w:firstRowLastColumn="0" w:lastRowFirstColumn="0" w:lastRowLastColumn="0"/>
              <w:rPr>
                <w:szCs w:val="20"/>
                <w:lang w:eastAsia="fr-FR" w:bidi="ar-SA"/>
              </w:rPr>
            </w:pPr>
            <w:r w:rsidRPr="00AA22F2">
              <w:rPr>
                <w:szCs w:val="20"/>
                <w:lang w:eastAsia="fr-FR" w:bidi="ar-SA"/>
              </w:rPr>
              <w:t>ONDA</w:t>
            </w:r>
          </w:p>
        </w:tc>
        <w:tc>
          <w:tcPr>
            <w:tcW w:w="0" w:type="auto"/>
            <w:hideMark/>
          </w:tcPr>
          <w:p w14:paraId="7EFD7517" w14:textId="5EC2E93B" w:rsidR="00DD7C08" w:rsidRPr="00AA22F2" w:rsidRDefault="00DD7C08" w:rsidP="00DD7C08">
            <w:pPr>
              <w:cnfStyle w:val="000000000000" w:firstRow="0" w:lastRow="0" w:firstColumn="0" w:lastColumn="0" w:oddVBand="0" w:evenVBand="0" w:oddHBand="0" w:evenHBand="0" w:firstRowFirstColumn="0" w:firstRowLastColumn="0" w:lastRowFirstColumn="0" w:lastRowLastColumn="0"/>
              <w:rPr>
                <w:szCs w:val="20"/>
                <w:lang w:eastAsia="fr-FR" w:bidi="ar-SA"/>
              </w:rPr>
            </w:pPr>
            <w:r w:rsidRPr="00AA22F2">
              <w:rPr>
                <w:szCs w:val="20"/>
                <w:lang w:eastAsia="fr-FR" w:bidi="ar-SA"/>
              </w:rPr>
              <w:t>ONDA</w:t>
            </w:r>
          </w:p>
        </w:tc>
        <w:tc>
          <w:tcPr>
            <w:tcW w:w="0" w:type="auto"/>
            <w:hideMark/>
          </w:tcPr>
          <w:p w14:paraId="5C81DEBA" w14:textId="77777777" w:rsidR="00DD7C08" w:rsidRPr="00AA22F2" w:rsidRDefault="00DD7C08" w:rsidP="00DD7C08">
            <w:pPr>
              <w:cnfStyle w:val="000000000000" w:firstRow="0" w:lastRow="0" w:firstColumn="0" w:lastColumn="0" w:oddVBand="0" w:evenVBand="0" w:oddHBand="0" w:evenHBand="0" w:firstRowFirstColumn="0" w:firstRowLastColumn="0" w:lastRowFirstColumn="0" w:lastRowLastColumn="0"/>
              <w:rPr>
                <w:szCs w:val="20"/>
                <w:lang w:eastAsia="fr-FR" w:bidi="ar-SA"/>
              </w:rPr>
            </w:pPr>
            <w:r w:rsidRPr="00AA22F2">
              <w:rPr>
                <w:szCs w:val="20"/>
                <w:lang w:eastAsia="fr-FR" w:bidi="ar-SA"/>
              </w:rPr>
              <w:t>Annuel</w:t>
            </w:r>
          </w:p>
        </w:tc>
        <w:tc>
          <w:tcPr>
            <w:tcW w:w="0" w:type="auto"/>
            <w:hideMark/>
          </w:tcPr>
          <w:p w14:paraId="7D4A6AA5" w14:textId="76487866" w:rsidR="00DD7C08" w:rsidRPr="00AA22F2" w:rsidRDefault="00E7190E" w:rsidP="00DD7C08">
            <w:pPr>
              <w:cnfStyle w:val="000000000000" w:firstRow="0" w:lastRow="0" w:firstColumn="0" w:lastColumn="0" w:oddVBand="0" w:evenVBand="0" w:oddHBand="0" w:evenHBand="0" w:firstRowFirstColumn="0" w:firstRowLastColumn="0" w:lastRowFirstColumn="0" w:lastRowLastColumn="0"/>
              <w:rPr>
                <w:szCs w:val="20"/>
                <w:lang w:eastAsia="fr-FR" w:bidi="ar-SA"/>
              </w:rPr>
            </w:pPr>
            <w:r w:rsidRPr="00E7190E">
              <w:rPr>
                <w:szCs w:val="20"/>
              </w:rPr>
              <w:t xml:space="preserve">≈ 5 000 – 5 500 MAD/an </w:t>
            </w:r>
            <w:r w:rsidR="00911FA2">
              <w:rPr>
                <w:szCs w:val="20"/>
              </w:rPr>
              <w:t>(</w:t>
            </w:r>
            <w:r>
              <w:rPr>
                <w:szCs w:val="20"/>
              </w:rPr>
              <w:t xml:space="preserve">Inclut </w:t>
            </w:r>
            <w:r w:rsidRPr="00E7190E">
              <w:rPr>
                <w:szCs w:val="20"/>
              </w:rPr>
              <w:t>main-d’œuvre, consommables et contrôle technique.</w:t>
            </w:r>
            <w:r w:rsidR="00911FA2">
              <w:rPr>
                <w:szCs w:val="20"/>
              </w:rPr>
              <w:t>)</w:t>
            </w:r>
          </w:p>
        </w:tc>
      </w:tr>
      <w:tr w:rsidR="00E7190E" w:rsidRPr="00B40D36" w14:paraId="274D57F7" w14:textId="77777777" w:rsidTr="00D90FDB">
        <w:tc>
          <w:tcPr>
            <w:cnfStyle w:val="001000000000" w:firstRow="0" w:lastRow="0" w:firstColumn="1" w:lastColumn="0" w:oddVBand="0" w:evenVBand="0" w:oddHBand="0" w:evenHBand="0" w:firstRowFirstColumn="0" w:firstRowLastColumn="0" w:lastRowFirstColumn="0" w:lastRowLastColumn="0"/>
            <w:tcW w:w="0" w:type="auto"/>
            <w:vMerge/>
            <w:hideMark/>
          </w:tcPr>
          <w:p w14:paraId="774306E9" w14:textId="77777777" w:rsidR="00DD7C08" w:rsidRPr="00AA22F2" w:rsidRDefault="00DD7C08" w:rsidP="00DD7C08">
            <w:pPr>
              <w:rPr>
                <w:szCs w:val="20"/>
                <w:lang w:eastAsia="fr-FR" w:bidi="ar-SA"/>
              </w:rPr>
            </w:pPr>
          </w:p>
        </w:tc>
        <w:tc>
          <w:tcPr>
            <w:tcW w:w="0" w:type="auto"/>
            <w:hideMark/>
          </w:tcPr>
          <w:p w14:paraId="616D1F10" w14:textId="77777777" w:rsidR="00DD7C08" w:rsidRPr="00AA22F2" w:rsidRDefault="00DD7C08" w:rsidP="00DD7C08">
            <w:pPr>
              <w:cnfStyle w:val="000000000000" w:firstRow="0" w:lastRow="0" w:firstColumn="0" w:lastColumn="0" w:oddVBand="0" w:evenVBand="0" w:oddHBand="0" w:evenHBand="0" w:firstRowFirstColumn="0" w:firstRowLastColumn="0" w:lastRowFirstColumn="0" w:lastRowLastColumn="0"/>
              <w:rPr>
                <w:szCs w:val="20"/>
                <w:lang w:eastAsia="fr-FR" w:bidi="ar-SA"/>
              </w:rPr>
            </w:pPr>
            <w:r w:rsidRPr="00AA22F2">
              <w:rPr>
                <w:b/>
                <w:bCs/>
                <w:szCs w:val="20"/>
                <w:lang w:eastAsia="fr-FR" w:bidi="ar-SA"/>
              </w:rPr>
              <w:t>Atténuer</w:t>
            </w:r>
          </w:p>
        </w:tc>
        <w:tc>
          <w:tcPr>
            <w:tcW w:w="0" w:type="auto"/>
            <w:hideMark/>
          </w:tcPr>
          <w:p w14:paraId="324DA3EC" w14:textId="77777777" w:rsidR="00DD7C08" w:rsidRPr="00AA22F2" w:rsidRDefault="00DD7C08" w:rsidP="00DD7C08">
            <w:pPr>
              <w:cnfStyle w:val="000000000000" w:firstRow="0" w:lastRow="0" w:firstColumn="0" w:lastColumn="0" w:oddVBand="0" w:evenVBand="0" w:oddHBand="0" w:evenHBand="0" w:firstRowFirstColumn="0" w:firstRowLastColumn="0" w:lastRowFirstColumn="0" w:lastRowLastColumn="0"/>
              <w:rPr>
                <w:szCs w:val="20"/>
                <w:lang w:eastAsia="fr-FR" w:bidi="ar-SA"/>
              </w:rPr>
            </w:pPr>
            <w:r w:rsidRPr="00AA22F2">
              <w:rPr>
                <w:szCs w:val="20"/>
                <w:lang w:eastAsia="fr-FR" w:bidi="ar-SA"/>
              </w:rPr>
              <w:t xml:space="preserve">Utiliser les </w:t>
            </w:r>
            <w:r w:rsidRPr="004637C7">
              <w:rPr>
                <w:szCs w:val="20"/>
                <w:lang w:eastAsia="fr-FR" w:bidi="ar-SA"/>
              </w:rPr>
              <w:t>groupes électrogènes de secours</w:t>
            </w:r>
            <w:r w:rsidRPr="00AA22F2">
              <w:rPr>
                <w:szCs w:val="20"/>
                <w:lang w:eastAsia="fr-FR" w:bidi="ar-SA"/>
              </w:rPr>
              <w:t xml:space="preserve"> uniquement en cas d’interruption du réseau principal et assurer leur maintenance régulière.</w:t>
            </w:r>
          </w:p>
        </w:tc>
        <w:tc>
          <w:tcPr>
            <w:tcW w:w="0" w:type="auto"/>
            <w:hideMark/>
          </w:tcPr>
          <w:p w14:paraId="679658EB" w14:textId="77777777" w:rsidR="00DD7C08" w:rsidRPr="00AA22F2" w:rsidRDefault="00DD7C08" w:rsidP="00DD7C08">
            <w:pPr>
              <w:cnfStyle w:val="000000000000" w:firstRow="0" w:lastRow="0" w:firstColumn="0" w:lastColumn="0" w:oddVBand="0" w:evenVBand="0" w:oddHBand="0" w:evenHBand="0" w:firstRowFirstColumn="0" w:firstRowLastColumn="0" w:lastRowFirstColumn="0" w:lastRowLastColumn="0"/>
              <w:rPr>
                <w:szCs w:val="20"/>
                <w:lang w:eastAsia="fr-FR" w:bidi="ar-SA"/>
              </w:rPr>
            </w:pPr>
            <w:r w:rsidRPr="00AA22F2">
              <w:rPr>
                <w:szCs w:val="20"/>
                <w:lang w:eastAsia="fr-FR" w:bidi="ar-SA"/>
              </w:rPr>
              <w:t>Heures d’utilisation des groupes ; conformité aux normes d’émission</w:t>
            </w:r>
          </w:p>
        </w:tc>
        <w:tc>
          <w:tcPr>
            <w:tcW w:w="0" w:type="auto"/>
            <w:hideMark/>
          </w:tcPr>
          <w:p w14:paraId="0DDE1474" w14:textId="4FB99CAD" w:rsidR="00DD7C08" w:rsidRPr="00AA22F2" w:rsidRDefault="00DD7C08" w:rsidP="00DD7C08">
            <w:pPr>
              <w:cnfStyle w:val="000000000000" w:firstRow="0" w:lastRow="0" w:firstColumn="0" w:lastColumn="0" w:oddVBand="0" w:evenVBand="0" w:oddHBand="0" w:evenHBand="0" w:firstRowFirstColumn="0" w:firstRowLastColumn="0" w:lastRowFirstColumn="0" w:lastRowLastColumn="0"/>
              <w:rPr>
                <w:szCs w:val="20"/>
                <w:lang w:eastAsia="fr-FR" w:bidi="ar-SA"/>
              </w:rPr>
            </w:pPr>
            <w:r w:rsidRPr="00AA22F2">
              <w:rPr>
                <w:szCs w:val="20"/>
                <w:lang w:eastAsia="fr-FR" w:bidi="ar-SA"/>
              </w:rPr>
              <w:t>ONDA / Exploitant</w:t>
            </w:r>
          </w:p>
        </w:tc>
        <w:tc>
          <w:tcPr>
            <w:tcW w:w="0" w:type="auto"/>
            <w:hideMark/>
          </w:tcPr>
          <w:p w14:paraId="1BC35AE5" w14:textId="40884497" w:rsidR="00DD7C08" w:rsidRPr="00AA22F2" w:rsidRDefault="00DD7C08" w:rsidP="00DD7C08">
            <w:pPr>
              <w:cnfStyle w:val="000000000000" w:firstRow="0" w:lastRow="0" w:firstColumn="0" w:lastColumn="0" w:oddVBand="0" w:evenVBand="0" w:oddHBand="0" w:evenHBand="0" w:firstRowFirstColumn="0" w:firstRowLastColumn="0" w:lastRowFirstColumn="0" w:lastRowLastColumn="0"/>
              <w:rPr>
                <w:szCs w:val="20"/>
                <w:lang w:eastAsia="fr-FR" w:bidi="ar-SA"/>
              </w:rPr>
            </w:pPr>
            <w:r w:rsidRPr="00AA22F2">
              <w:rPr>
                <w:szCs w:val="20"/>
                <w:lang w:eastAsia="fr-FR" w:bidi="ar-SA"/>
              </w:rPr>
              <w:t>ONDA</w:t>
            </w:r>
          </w:p>
        </w:tc>
        <w:tc>
          <w:tcPr>
            <w:tcW w:w="0" w:type="auto"/>
            <w:hideMark/>
          </w:tcPr>
          <w:p w14:paraId="3082B1DF" w14:textId="3B94BD21" w:rsidR="00DD7C08" w:rsidRPr="00AA22F2" w:rsidRDefault="00DD7C08" w:rsidP="00DD7C08">
            <w:pPr>
              <w:cnfStyle w:val="000000000000" w:firstRow="0" w:lastRow="0" w:firstColumn="0" w:lastColumn="0" w:oddVBand="0" w:evenVBand="0" w:oddHBand="0" w:evenHBand="0" w:firstRowFirstColumn="0" w:firstRowLastColumn="0" w:lastRowFirstColumn="0" w:lastRowLastColumn="0"/>
              <w:rPr>
                <w:szCs w:val="20"/>
                <w:lang w:eastAsia="fr-FR" w:bidi="ar-SA"/>
              </w:rPr>
            </w:pPr>
            <w:r w:rsidRPr="00AA22F2">
              <w:rPr>
                <w:szCs w:val="20"/>
                <w:lang w:eastAsia="fr-FR" w:bidi="ar-SA"/>
              </w:rPr>
              <w:t>ONDA</w:t>
            </w:r>
          </w:p>
        </w:tc>
        <w:tc>
          <w:tcPr>
            <w:tcW w:w="0" w:type="auto"/>
            <w:hideMark/>
          </w:tcPr>
          <w:p w14:paraId="20EE9812" w14:textId="77777777" w:rsidR="00DD7C08" w:rsidRPr="00AA22F2" w:rsidRDefault="00DD7C08" w:rsidP="00DD7C08">
            <w:pPr>
              <w:cnfStyle w:val="000000000000" w:firstRow="0" w:lastRow="0" w:firstColumn="0" w:lastColumn="0" w:oddVBand="0" w:evenVBand="0" w:oddHBand="0" w:evenHBand="0" w:firstRowFirstColumn="0" w:firstRowLastColumn="0" w:lastRowFirstColumn="0" w:lastRowLastColumn="0"/>
              <w:rPr>
                <w:szCs w:val="20"/>
                <w:lang w:eastAsia="fr-FR" w:bidi="ar-SA"/>
              </w:rPr>
            </w:pPr>
            <w:r w:rsidRPr="00AA22F2">
              <w:rPr>
                <w:szCs w:val="20"/>
                <w:lang w:eastAsia="fr-FR" w:bidi="ar-SA"/>
              </w:rPr>
              <w:t>Semestriel</w:t>
            </w:r>
          </w:p>
        </w:tc>
        <w:tc>
          <w:tcPr>
            <w:tcW w:w="0" w:type="auto"/>
            <w:hideMark/>
          </w:tcPr>
          <w:p w14:paraId="7C4CBF21" w14:textId="553FDC89" w:rsidR="00DD7C08" w:rsidRPr="00AA22F2" w:rsidRDefault="00FB216F" w:rsidP="00DD7C08">
            <w:pPr>
              <w:cnfStyle w:val="000000000000" w:firstRow="0" w:lastRow="0" w:firstColumn="0" w:lastColumn="0" w:oddVBand="0" w:evenVBand="0" w:oddHBand="0" w:evenHBand="0" w:firstRowFirstColumn="0" w:firstRowLastColumn="0" w:lastRowFirstColumn="0" w:lastRowLastColumn="0"/>
              <w:rPr>
                <w:szCs w:val="20"/>
                <w:lang w:eastAsia="fr-FR" w:bidi="ar-SA"/>
              </w:rPr>
            </w:pPr>
            <w:r w:rsidRPr="00FB216F">
              <w:rPr>
                <w:szCs w:val="20"/>
              </w:rPr>
              <w:t xml:space="preserve">2 000 – 3 000 </w:t>
            </w:r>
            <w:r>
              <w:rPr>
                <w:szCs w:val="20"/>
              </w:rPr>
              <w:t>MAD</w:t>
            </w:r>
            <w:r w:rsidRPr="00FB216F">
              <w:rPr>
                <w:szCs w:val="20"/>
              </w:rPr>
              <w:t>/visite d’entretien</w:t>
            </w:r>
            <w:r>
              <w:rPr>
                <w:szCs w:val="20"/>
              </w:rPr>
              <w:t xml:space="preserve"> (</w:t>
            </w:r>
            <w:r w:rsidRPr="00FB216F">
              <w:rPr>
                <w:szCs w:val="20"/>
              </w:rPr>
              <w:t>Contrôle des filtres, huile, batterie et charge</w:t>
            </w:r>
            <w:r>
              <w:rPr>
                <w:szCs w:val="20"/>
              </w:rPr>
              <w:t>)</w:t>
            </w:r>
            <w:r w:rsidRPr="00AA22F2" w:rsidDel="00FB216F">
              <w:rPr>
                <w:szCs w:val="20"/>
              </w:rPr>
              <w:t xml:space="preserve"> </w:t>
            </w:r>
          </w:p>
        </w:tc>
      </w:tr>
      <w:tr w:rsidR="00E7190E" w:rsidRPr="00B40D36" w14:paraId="1C9EE272" w14:textId="77777777" w:rsidTr="00D90FDB">
        <w:tc>
          <w:tcPr>
            <w:cnfStyle w:val="001000000000" w:firstRow="0" w:lastRow="0" w:firstColumn="1" w:lastColumn="0" w:oddVBand="0" w:evenVBand="0" w:oddHBand="0" w:evenHBand="0" w:firstRowFirstColumn="0" w:firstRowLastColumn="0" w:lastRowFirstColumn="0" w:lastRowLastColumn="0"/>
            <w:tcW w:w="0" w:type="auto"/>
            <w:vMerge/>
            <w:hideMark/>
          </w:tcPr>
          <w:p w14:paraId="5D3465B0" w14:textId="77777777" w:rsidR="00727C2F" w:rsidRPr="00AA22F2" w:rsidRDefault="00727C2F" w:rsidP="00D90FDB">
            <w:pPr>
              <w:rPr>
                <w:szCs w:val="20"/>
                <w:lang w:eastAsia="fr-FR" w:bidi="ar-SA"/>
              </w:rPr>
            </w:pPr>
          </w:p>
        </w:tc>
        <w:tc>
          <w:tcPr>
            <w:tcW w:w="0" w:type="auto"/>
            <w:hideMark/>
          </w:tcPr>
          <w:p w14:paraId="3E2DEB4D" w14:textId="77777777" w:rsidR="00727C2F" w:rsidRPr="00AA22F2" w:rsidRDefault="00727C2F" w:rsidP="00D90FDB">
            <w:pPr>
              <w:cnfStyle w:val="000000000000" w:firstRow="0" w:lastRow="0" w:firstColumn="0" w:lastColumn="0" w:oddVBand="0" w:evenVBand="0" w:oddHBand="0" w:evenHBand="0" w:firstRowFirstColumn="0" w:firstRowLastColumn="0" w:lastRowFirstColumn="0" w:lastRowLastColumn="0"/>
              <w:rPr>
                <w:szCs w:val="20"/>
                <w:lang w:eastAsia="fr-FR" w:bidi="ar-SA"/>
              </w:rPr>
            </w:pPr>
            <w:r w:rsidRPr="00AA22F2">
              <w:rPr>
                <w:b/>
                <w:bCs/>
                <w:szCs w:val="20"/>
                <w:lang w:eastAsia="fr-FR" w:bidi="ar-SA"/>
              </w:rPr>
              <w:t>Compenser (non requis)</w:t>
            </w:r>
          </w:p>
        </w:tc>
        <w:tc>
          <w:tcPr>
            <w:tcW w:w="0" w:type="auto"/>
            <w:hideMark/>
          </w:tcPr>
          <w:p w14:paraId="02A8C510" w14:textId="77777777" w:rsidR="00727C2F" w:rsidRPr="00AA22F2" w:rsidRDefault="00727C2F" w:rsidP="00D90FDB">
            <w:pPr>
              <w:cnfStyle w:val="000000000000" w:firstRow="0" w:lastRow="0" w:firstColumn="0" w:lastColumn="0" w:oddVBand="0" w:evenVBand="0" w:oddHBand="0" w:evenHBand="0" w:firstRowFirstColumn="0" w:firstRowLastColumn="0" w:lastRowFirstColumn="0" w:lastRowLastColumn="0"/>
              <w:rPr>
                <w:szCs w:val="20"/>
                <w:lang w:eastAsia="fr-FR" w:bidi="ar-SA"/>
              </w:rPr>
            </w:pPr>
            <w:r w:rsidRPr="00AA22F2">
              <w:rPr>
                <w:szCs w:val="20"/>
                <w:lang w:eastAsia="fr-FR" w:bidi="ar-SA"/>
              </w:rPr>
              <w:t>Aucun mécanisme compensatoire requis, les impacts énergétiques étant limités et maîtrisés.</w:t>
            </w:r>
          </w:p>
        </w:tc>
        <w:tc>
          <w:tcPr>
            <w:tcW w:w="0" w:type="auto"/>
            <w:hideMark/>
          </w:tcPr>
          <w:p w14:paraId="1F9CB35B" w14:textId="77777777" w:rsidR="00727C2F" w:rsidRPr="00AA22F2" w:rsidRDefault="00727C2F" w:rsidP="00D90FDB">
            <w:pPr>
              <w:cnfStyle w:val="000000000000" w:firstRow="0" w:lastRow="0" w:firstColumn="0" w:lastColumn="0" w:oddVBand="0" w:evenVBand="0" w:oddHBand="0" w:evenHBand="0" w:firstRowFirstColumn="0" w:firstRowLastColumn="0" w:lastRowFirstColumn="0" w:lastRowLastColumn="0"/>
              <w:rPr>
                <w:szCs w:val="20"/>
                <w:lang w:eastAsia="fr-FR" w:bidi="ar-SA"/>
              </w:rPr>
            </w:pPr>
            <w:r w:rsidRPr="00AA22F2">
              <w:rPr>
                <w:szCs w:val="20"/>
                <w:lang w:eastAsia="fr-FR" w:bidi="ar-SA"/>
              </w:rPr>
              <w:t>—</w:t>
            </w:r>
          </w:p>
        </w:tc>
        <w:tc>
          <w:tcPr>
            <w:tcW w:w="0" w:type="auto"/>
            <w:hideMark/>
          </w:tcPr>
          <w:p w14:paraId="59997AE8" w14:textId="77777777" w:rsidR="00727C2F" w:rsidRPr="00AA22F2" w:rsidRDefault="00727C2F" w:rsidP="00D90FDB">
            <w:pPr>
              <w:cnfStyle w:val="000000000000" w:firstRow="0" w:lastRow="0" w:firstColumn="0" w:lastColumn="0" w:oddVBand="0" w:evenVBand="0" w:oddHBand="0" w:evenHBand="0" w:firstRowFirstColumn="0" w:firstRowLastColumn="0" w:lastRowFirstColumn="0" w:lastRowLastColumn="0"/>
              <w:rPr>
                <w:szCs w:val="20"/>
                <w:lang w:eastAsia="fr-FR" w:bidi="ar-SA"/>
              </w:rPr>
            </w:pPr>
            <w:r w:rsidRPr="00AA22F2">
              <w:rPr>
                <w:szCs w:val="20"/>
                <w:lang w:eastAsia="fr-FR" w:bidi="ar-SA"/>
              </w:rPr>
              <w:t>—</w:t>
            </w:r>
          </w:p>
        </w:tc>
        <w:tc>
          <w:tcPr>
            <w:tcW w:w="0" w:type="auto"/>
            <w:hideMark/>
          </w:tcPr>
          <w:p w14:paraId="700D06BF" w14:textId="77777777" w:rsidR="00727C2F" w:rsidRPr="00AA22F2" w:rsidRDefault="00727C2F" w:rsidP="00D90FDB">
            <w:pPr>
              <w:cnfStyle w:val="000000000000" w:firstRow="0" w:lastRow="0" w:firstColumn="0" w:lastColumn="0" w:oddVBand="0" w:evenVBand="0" w:oddHBand="0" w:evenHBand="0" w:firstRowFirstColumn="0" w:firstRowLastColumn="0" w:lastRowFirstColumn="0" w:lastRowLastColumn="0"/>
              <w:rPr>
                <w:szCs w:val="20"/>
                <w:lang w:eastAsia="fr-FR" w:bidi="ar-SA"/>
              </w:rPr>
            </w:pPr>
            <w:r w:rsidRPr="00AA22F2">
              <w:rPr>
                <w:szCs w:val="20"/>
                <w:lang w:eastAsia="fr-FR" w:bidi="ar-SA"/>
              </w:rPr>
              <w:t>—</w:t>
            </w:r>
          </w:p>
        </w:tc>
        <w:tc>
          <w:tcPr>
            <w:tcW w:w="0" w:type="auto"/>
            <w:hideMark/>
          </w:tcPr>
          <w:p w14:paraId="3EC8BFE1" w14:textId="77777777" w:rsidR="00727C2F" w:rsidRPr="00AA22F2" w:rsidRDefault="00727C2F" w:rsidP="00D90FDB">
            <w:pPr>
              <w:cnfStyle w:val="000000000000" w:firstRow="0" w:lastRow="0" w:firstColumn="0" w:lastColumn="0" w:oddVBand="0" w:evenVBand="0" w:oddHBand="0" w:evenHBand="0" w:firstRowFirstColumn="0" w:firstRowLastColumn="0" w:lastRowFirstColumn="0" w:lastRowLastColumn="0"/>
              <w:rPr>
                <w:szCs w:val="20"/>
                <w:lang w:eastAsia="fr-FR" w:bidi="ar-SA"/>
              </w:rPr>
            </w:pPr>
            <w:r w:rsidRPr="00AA22F2">
              <w:rPr>
                <w:szCs w:val="20"/>
                <w:lang w:eastAsia="fr-FR" w:bidi="ar-SA"/>
              </w:rPr>
              <w:t>—</w:t>
            </w:r>
          </w:p>
        </w:tc>
        <w:tc>
          <w:tcPr>
            <w:tcW w:w="0" w:type="auto"/>
            <w:hideMark/>
          </w:tcPr>
          <w:p w14:paraId="3675E332" w14:textId="77777777" w:rsidR="00727C2F" w:rsidRPr="00AA22F2" w:rsidRDefault="00727C2F" w:rsidP="00D90FDB">
            <w:pPr>
              <w:cnfStyle w:val="000000000000" w:firstRow="0" w:lastRow="0" w:firstColumn="0" w:lastColumn="0" w:oddVBand="0" w:evenVBand="0" w:oddHBand="0" w:evenHBand="0" w:firstRowFirstColumn="0" w:firstRowLastColumn="0" w:lastRowFirstColumn="0" w:lastRowLastColumn="0"/>
              <w:rPr>
                <w:szCs w:val="20"/>
                <w:lang w:eastAsia="fr-FR" w:bidi="ar-SA"/>
              </w:rPr>
            </w:pPr>
            <w:r w:rsidRPr="00AA22F2">
              <w:rPr>
                <w:szCs w:val="20"/>
                <w:lang w:eastAsia="fr-FR" w:bidi="ar-SA"/>
              </w:rPr>
              <w:t>—</w:t>
            </w:r>
          </w:p>
        </w:tc>
        <w:tc>
          <w:tcPr>
            <w:tcW w:w="0" w:type="auto"/>
            <w:hideMark/>
          </w:tcPr>
          <w:p w14:paraId="6399C170" w14:textId="77777777" w:rsidR="00727C2F" w:rsidRPr="00AA22F2" w:rsidRDefault="00727C2F" w:rsidP="00D90FDB">
            <w:pPr>
              <w:cnfStyle w:val="000000000000" w:firstRow="0" w:lastRow="0" w:firstColumn="0" w:lastColumn="0" w:oddVBand="0" w:evenVBand="0" w:oddHBand="0" w:evenHBand="0" w:firstRowFirstColumn="0" w:firstRowLastColumn="0" w:lastRowFirstColumn="0" w:lastRowLastColumn="0"/>
              <w:rPr>
                <w:szCs w:val="20"/>
                <w:lang w:eastAsia="fr-FR" w:bidi="ar-SA"/>
              </w:rPr>
            </w:pPr>
            <w:r w:rsidRPr="00AA22F2">
              <w:rPr>
                <w:szCs w:val="20"/>
                <w:lang w:eastAsia="fr-FR" w:bidi="ar-SA"/>
              </w:rPr>
              <w:t>—</w:t>
            </w:r>
          </w:p>
        </w:tc>
      </w:tr>
      <w:tr w:rsidR="00E7190E" w:rsidRPr="00B40D36" w14:paraId="5E2D0311" w14:textId="77777777" w:rsidTr="00D90FDB">
        <w:tc>
          <w:tcPr>
            <w:cnfStyle w:val="001000000000" w:firstRow="0" w:lastRow="0" w:firstColumn="1" w:lastColumn="0" w:oddVBand="0" w:evenVBand="0" w:oddHBand="0" w:evenHBand="0" w:firstRowFirstColumn="0" w:firstRowLastColumn="0" w:lastRowFirstColumn="0" w:lastRowLastColumn="0"/>
            <w:tcW w:w="0" w:type="auto"/>
            <w:vMerge w:val="restart"/>
            <w:hideMark/>
          </w:tcPr>
          <w:p w14:paraId="1661F374" w14:textId="77777777" w:rsidR="00DD7C08" w:rsidRPr="00AA22F2" w:rsidRDefault="00DD7C08" w:rsidP="00DD7C08">
            <w:pPr>
              <w:rPr>
                <w:szCs w:val="20"/>
                <w:lang w:eastAsia="fr-FR" w:bidi="ar-SA"/>
              </w:rPr>
            </w:pPr>
            <w:r w:rsidRPr="00AA22F2">
              <w:rPr>
                <w:szCs w:val="20"/>
                <w:lang w:eastAsia="fr-FR" w:bidi="ar-SA"/>
              </w:rPr>
              <w:lastRenderedPageBreak/>
              <w:t>Utilisation des matières premières</w:t>
            </w:r>
          </w:p>
        </w:tc>
        <w:tc>
          <w:tcPr>
            <w:tcW w:w="0" w:type="auto"/>
            <w:hideMark/>
          </w:tcPr>
          <w:p w14:paraId="46C559EB" w14:textId="77777777" w:rsidR="00DD7C08" w:rsidRPr="00AA22F2" w:rsidRDefault="00DD7C08" w:rsidP="00DD7C08">
            <w:pPr>
              <w:cnfStyle w:val="000000000000" w:firstRow="0" w:lastRow="0" w:firstColumn="0" w:lastColumn="0" w:oddVBand="0" w:evenVBand="0" w:oddHBand="0" w:evenHBand="0" w:firstRowFirstColumn="0" w:firstRowLastColumn="0" w:lastRowFirstColumn="0" w:lastRowLastColumn="0"/>
              <w:rPr>
                <w:szCs w:val="20"/>
                <w:lang w:eastAsia="fr-FR" w:bidi="ar-SA"/>
              </w:rPr>
            </w:pPr>
            <w:r w:rsidRPr="00AA22F2">
              <w:rPr>
                <w:b/>
                <w:bCs/>
                <w:szCs w:val="20"/>
                <w:lang w:eastAsia="fr-FR" w:bidi="ar-SA"/>
              </w:rPr>
              <w:t>Éviter</w:t>
            </w:r>
          </w:p>
        </w:tc>
        <w:tc>
          <w:tcPr>
            <w:tcW w:w="0" w:type="auto"/>
            <w:hideMark/>
          </w:tcPr>
          <w:p w14:paraId="1C176FBB" w14:textId="77777777" w:rsidR="00DD7C08" w:rsidRPr="00AA22F2" w:rsidRDefault="00DD7C08" w:rsidP="00DD7C08">
            <w:pPr>
              <w:cnfStyle w:val="000000000000" w:firstRow="0" w:lastRow="0" w:firstColumn="0" w:lastColumn="0" w:oddVBand="0" w:evenVBand="0" w:oddHBand="0" w:evenHBand="0" w:firstRowFirstColumn="0" w:firstRowLastColumn="0" w:lastRowFirstColumn="0" w:lastRowLastColumn="0"/>
              <w:rPr>
                <w:szCs w:val="20"/>
                <w:lang w:eastAsia="fr-FR" w:bidi="ar-SA"/>
              </w:rPr>
            </w:pPr>
            <w:r w:rsidRPr="00AA22F2">
              <w:rPr>
                <w:szCs w:val="20"/>
                <w:lang w:eastAsia="fr-FR" w:bidi="ar-SA"/>
              </w:rPr>
              <w:t>Aucun prélèvement de matériaux sur site ou ouverture de carrière ; recours exclusif à des fournisseurs agréés.</w:t>
            </w:r>
          </w:p>
        </w:tc>
        <w:tc>
          <w:tcPr>
            <w:tcW w:w="0" w:type="auto"/>
            <w:hideMark/>
          </w:tcPr>
          <w:p w14:paraId="4A2606DD" w14:textId="77777777" w:rsidR="00DD7C08" w:rsidRPr="00AA22F2" w:rsidRDefault="00DD7C08" w:rsidP="00DD7C08">
            <w:pPr>
              <w:cnfStyle w:val="000000000000" w:firstRow="0" w:lastRow="0" w:firstColumn="0" w:lastColumn="0" w:oddVBand="0" w:evenVBand="0" w:oddHBand="0" w:evenHBand="0" w:firstRowFirstColumn="0" w:firstRowLastColumn="0" w:lastRowFirstColumn="0" w:lastRowLastColumn="0"/>
              <w:rPr>
                <w:szCs w:val="20"/>
                <w:lang w:eastAsia="fr-FR" w:bidi="ar-SA"/>
              </w:rPr>
            </w:pPr>
            <w:r w:rsidRPr="00AA22F2">
              <w:rPr>
                <w:szCs w:val="20"/>
                <w:lang w:eastAsia="fr-FR" w:bidi="ar-SA"/>
              </w:rPr>
              <w:t>Liste des fournisseurs agréés ; certificats de conformité</w:t>
            </w:r>
          </w:p>
        </w:tc>
        <w:tc>
          <w:tcPr>
            <w:tcW w:w="0" w:type="auto"/>
            <w:hideMark/>
          </w:tcPr>
          <w:p w14:paraId="2FE23363" w14:textId="1B65D912" w:rsidR="00DD7C08" w:rsidRPr="00AA22F2" w:rsidRDefault="00DD7C08" w:rsidP="00DD7C08">
            <w:pPr>
              <w:cnfStyle w:val="000000000000" w:firstRow="0" w:lastRow="0" w:firstColumn="0" w:lastColumn="0" w:oddVBand="0" w:evenVBand="0" w:oddHBand="0" w:evenHBand="0" w:firstRowFirstColumn="0" w:firstRowLastColumn="0" w:lastRowFirstColumn="0" w:lastRowLastColumn="0"/>
              <w:rPr>
                <w:szCs w:val="20"/>
                <w:lang w:eastAsia="fr-FR" w:bidi="ar-SA"/>
              </w:rPr>
            </w:pPr>
            <w:r w:rsidRPr="00AA22F2">
              <w:rPr>
                <w:szCs w:val="20"/>
                <w:lang w:eastAsia="fr-FR" w:bidi="ar-SA"/>
              </w:rPr>
              <w:t>ONDA / Exploitant</w:t>
            </w:r>
          </w:p>
        </w:tc>
        <w:tc>
          <w:tcPr>
            <w:tcW w:w="0" w:type="auto"/>
            <w:hideMark/>
          </w:tcPr>
          <w:p w14:paraId="13DA3469" w14:textId="589EC474" w:rsidR="00DD7C08" w:rsidRPr="00AA22F2" w:rsidRDefault="00DD7C08" w:rsidP="00DD7C08">
            <w:pPr>
              <w:cnfStyle w:val="000000000000" w:firstRow="0" w:lastRow="0" w:firstColumn="0" w:lastColumn="0" w:oddVBand="0" w:evenVBand="0" w:oddHBand="0" w:evenHBand="0" w:firstRowFirstColumn="0" w:firstRowLastColumn="0" w:lastRowFirstColumn="0" w:lastRowLastColumn="0"/>
              <w:rPr>
                <w:szCs w:val="20"/>
                <w:lang w:eastAsia="fr-FR" w:bidi="ar-SA"/>
              </w:rPr>
            </w:pPr>
            <w:r w:rsidRPr="00AA22F2">
              <w:rPr>
                <w:szCs w:val="20"/>
                <w:lang w:eastAsia="fr-FR" w:bidi="ar-SA"/>
              </w:rPr>
              <w:t>ONDA</w:t>
            </w:r>
          </w:p>
        </w:tc>
        <w:tc>
          <w:tcPr>
            <w:tcW w:w="0" w:type="auto"/>
            <w:hideMark/>
          </w:tcPr>
          <w:p w14:paraId="351952A6" w14:textId="7BA486D3" w:rsidR="00DD7C08" w:rsidRPr="00AA22F2" w:rsidRDefault="00DD7C08" w:rsidP="00DD7C08">
            <w:pPr>
              <w:cnfStyle w:val="000000000000" w:firstRow="0" w:lastRow="0" w:firstColumn="0" w:lastColumn="0" w:oddVBand="0" w:evenVBand="0" w:oddHBand="0" w:evenHBand="0" w:firstRowFirstColumn="0" w:firstRowLastColumn="0" w:lastRowFirstColumn="0" w:lastRowLastColumn="0"/>
              <w:rPr>
                <w:szCs w:val="20"/>
                <w:lang w:eastAsia="fr-FR" w:bidi="ar-SA"/>
              </w:rPr>
            </w:pPr>
            <w:r w:rsidRPr="00AA22F2">
              <w:rPr>
                <w:szCs w:val="20"/>
                <w:lang w:eastAsia="fr-FR" w:bidi="ar-SA"/>
              </w:rPr>
              <w:t>ONDA</w:t>
            </w:r>
          </w:p>
        </w:tc>
        <w:tc>
          <w:tcPr>
            <w:tcW w:w="0" w:type="auto"/>
            <w:hideMark/>
          </w:tcPr>
          <w:p w14:paraId="27846E1E" w14:textId="77777777" w:rsidR="00DD7C08" w:rsidRPr="00AA22F2" w:rsidRDefault="00DD7C08" w:rsidP="00DD7C08">
            <w:pPr>
              <w:cnfStyle w:val="000000000000" w:firstRow="0" w:lastRow="0" w:firstColumn="0" w:lastColumn="0" w:oddVBand="0" w:evenVBand="0" w:oddHBand="0" w:evenHBand="0" w:firstRowFirstColumn="0" w:firstRowLastColumn="0" w:lastRowFirstColumn="0" w:lastRowLastColumn="0"/>
              <w:rPr>
                <w:szCs w:val="20"/>
                <w:lang w:eastAsia="fr-FR" w:bidi="ar-SA"/>
              </w:rPr>
            </w:pPr>
            <w:r w:rsidRPr="00AA22F2">
              <w:rPr>
                <w:szCs w:val="20"/>
                <w:lang w:eastAsia="fr-FR" w:bidi="ar-SA"/>
              </w:rPr>
              <w:t>Selon besoins de maintenance</w:t>
            </w:r>
          </w:p>
        </w:tc>
        <w:tc>
          <w:tcPr>
            <w:tcW w:w="0" w:type="auto"/>
            <w:hideMark/>
          </w:tcPr>
          <w:p w14:paraId="1E813723" w14:textId="0DFC5ACD" w:rsidR="00DD7C08" w:rsidRPr="00AA22F2" w:rsidRDefault="00FB216F" w:rsidP="00DD7C08">
            <w:pPr>
              <w:cnfStyle w:val="000000000000" w:firstRow="0" w:lastRow="0" w:firstColumn="0" w:lastColumn="0" w:oddVBand="0" w:evenVBand="0" w:oddHBand="0" w:evenHBand="0" w:firstRowFirstColumn="0" w:firstRowLastColumn="0" w:lastRowFirstColumn="0" w:lastRowLastColumn="0"/>
              <w:rPr>
                <w:szCs w:val="20"/>
                <w:lang w:eastAsia="fr-FR" w:bidi="ar-SA"/>
              </w:rPr>
            </w:pPr>
            <w:r>
              <w:rPr>
                <w:szCs w:val="20"/>
              </w:rPr>
              <w:t>Aucun spécifique</w:t>
            </w:r>
          </w:p>
        </w:tc>
      </w:tr>
      <w:tr w:rsidR="00FB216F" w:rsidRPr="00B40D36" w14:paraId="06902106" w14:textId="77777777" w:rsidTr="00D90FDB">
        <w:tc>
          <w:tcPr>
            <w:cnfStyle w:val="001000000000" w:firstRow="0" w:lastRow="0" w:firstColumn="1" w:lastColumn="0" w:oddVBand="0" w:evenVBand="0" w:oddHBand="0" w:evenHBand="0" w:firstRowFirstColumn="0" w:firstRowLastColumn="0" w:lastRowFirstColumn="0" w:lastRowLastColumn="0"/>
            <w:tcW w:w="0" w:type="auto"/>
            <w:vMerge/>
            <w:hideMark/>
          </w:tcPr>
          <w:p w14:paraId="7FDB9CB5" w14:textId="77777777" w:rsidR="00FB216F" w:rsidRPr="00AA22F2" w:rsidRDefault="00FB216F" w:rsidP="00FB216F">
            <w:pPr>
              <w:rPr>
                <w:szCs w:val="20"/>
                <w:lang w:eastAsia="fr-FR" w:bidi="ar-SA"/>
              </w:rPr>
            </w:pPr>
          </w:p>
        </w:tc>
        <w:tc>
          <w:tcPr>
            <w:tcW w:w="0" w:type="auto"/>
            <w:hideMark/>
          </w:tcPr>
          <w:p w14:paraId="2717BD6C" w14:textId="77777777" w:rsidR="00FB216F" w:rsidRPr="00AA22F2" w:rsidRDefault="00FB216F" w:rsidP="00FB216F">
            <w:pPr>
              <w:cnfStyle w:val="000000000000" w:firstRow="0" w:lastRow="0" w:firstColumn="0" w:lastColumn="0" w:oddVBand="0" w:evenVBand="0" w:oddHBand="0" w:evenHBand="0" w:firstRowFirstColumn="0" w:firstRowLastColumn="0" w:lastRowFirstColumn="0" w:lastRowLastColumn="0"/>
              <w:rPr>
                <w:szCs w:val="20"/>
                <w:lang w:eastAsia="fr-FR" w:bidi="ar-SA"/>
              </w:rPr>
            </w:pPr>
            <w:r w:rsidRPr="00AA22F2">
              <w:rPr>
                <w:b/>
                <w:bCs/>
                <w:szCs w:val="20"/>
                <w:lang w:eastAsia="fr-FR" w:bidi="ar-SA"/>
              </w:rPr>
              <w:t>Réduire</w:t>
            </w:r>
          </w:p>
        </w:tc>
        <w:tc>
          <w:tcPr>
            <w:tcW w:w="0" w:type="auto"/>
            <w:hideMark/>
          </w:tcPr>
          <w:p w14:paraId="54CAA0D7" w14:textId="77777777" w:rsidR="00FB216F" w:rsidRPr="00AA22F2" w:rsidRDefault="00FB216F" w:rsidP="00FB216F">
            <w:pPr>
              <w:cnfStyle w:val="000000000000" w:firstRow="0" w:lastRow="0" w:firstColumn="0" w:lastColumn="0" w:oddVBand="0" w:evenVBand="0" w:oddHBand="0" w:evenHBand="0" w:firstRowFirstColumn="0" w:firstRowLastColumn="0" w:lastRowFirstColumn="0" w:lastRowLastColumn="0"/>
              <w:rPr>
                <w:szCs w:val="20"/>
                <w:lang w:eastAsia="fr-FR" w:bidi="ar-SA"/>
              </w:rPr>
            </w:pPr>
            <w:r w:rsidRPr="00AA22F2">
              <w:rPr>
                <w:szCs w:val="20"/>
                <w:lang w:eastAsia="fr-FR" w:bidi="ar-SA"/>
              </w:rPr>
              <w:t xml:space="preserve">Planifier les interventions de maintenance pour </w:t>
            </w:r>
            <w:r w:rsidRPr="004637C7">
              <w:rPr>
                <w:szCs w:val="20"/>
                <w:lang w:eastAsia="fr-FR" w:bidi="ar-SA"/>
              </w:rPr>
              <w:t>regrouper les besoins en matériaux</w:t>
            </w:r>
            <w:r w:rsidRPr="00AA22F2">
              <w:rPr>
                <w:szCs w:val="20"/>
                <w:lang w:eastAsia="fr-FR" w:bidi="ar-SA"/>
              </w:rPr>
              <w:t xml:space="preserve"> et limiter les transports.</w:t>
            </w:r>
          </w:p>
        </w:tc>
        <w:tc>
          <w:tcPr>
            <w:tcW w:w="0" w:type="auto"/>
            <w:hideMark/>
          </w:tcPr>
          <w:p w14:paraId="7C893251" w14:textId="77777777" w:rsidR="00FB216F" w:rsidRPr="00AA22F2" w:rsidRDefault="00FB216F" w:rsidP="00FB216F">
            <w:pPr>
              <w:cnfStyle w:val="000000000000" w:firstRow="0" w:lastRow="0" w:firstColumn="0" w:lastColumn="0" w:oddVBand="0" w:evenVBand="0" w:oddHBand="0" w:evenHBand="0" w:firstRowFirstColumn="0" w:firstRowLastColumn="0" w:lastRowFirstColumn="0" w:lastRowLastColumn="0"/>
              <w:rPr>
                <w:szCs w:val="20"/>
                <w:lang w:eastAsia="fr-FR" w:bidi="ar-SA"/>
              </w:rPr>
            </w:pPr>
            <w:r w:rsidRPr="00AA22F2">
              <w:rPr>
                <w:szCs w:val="20"/>
                <w:lang w:eastAsia="fr-FR" w:bidi="ar-SA"/>
              </w:rPr>
              <w:t>Nombre de livraisons regroupées ; consommation de carburant associée</w:t>
            </w:r>
          </w:p>
        </w:tc>
        <w:tc>
          <w:tcPr>
            <w:tcW w:w="0" w:type="auto"/>
            <w:hideMark/>
          </w:tcPr>
          <w:p w14:paraId="365C41F1" w14:textId="1C48FE08" w:rsidR="00FB216F" w:rsidRPr="00AA22F2" w:rsidRDefault="00FB216F" w:rsidP="00FB216F">
            <w:pPr>
              <w:cnfStyle w:val="000000000000" w:firstRow="0" w:lastRow="0" w:firstColumn="0" w:lastColumn="0" w:oddVBand="0" w:evenVBand="0" w:oddHBand="0" w:evenHBand="0" w:firstRowFirstColumn="0" w:firstRowLastColumn="0" w:lastRowFirstColumn="0" w:lastRowLastColumn="0"/>
              <w:rPr>
                <w:szCs w:val="20"/>
                <w:lang w:eastAsia="fr-FR" w:bidi="ar-SA"/>
              </w:rPr>
            </w:pPr>
            <w:r w:rsidRPr="00AA22F2">
              <w:rPr>
                <w:szCs w:val="20"/>
                <w:lang w:eastAsia="fr-FR" w:bidi="ar-SA"/>
              </w:rPr>
              <w:t>ONDA / Exploitant</w:t>
            </w:r>
          </w:p>
        </w:tc>
        <w:tc>
          <w:tcPr>
            <w:tcW w:w="0" w:type="auto"/>
            <w:hideMark/>
          </w:tcPr>
          <w:p w14:paraId="0C5A7F6A" w14:textId="1ECD477A" w:rsidR="00FB216F" w:rsidRPr="00AA22F2" w:rsidRDefault="00FB216F" w:rsidP="00FB216F">
            <w:pPr>
              <w:cnfStyle w:val="000000000000" w:firstRow="0" w:lastRow="0" w:firstColumn="0" w:lastColumn="0" w:oddVBand="0" w:evenVBand="0" w:oddHBand="0" w:evenHBand="0" w:firstRowFirstColumn="0" w:firstRowLastColumn="0" w:lastRowFirstColumn="0" w:lastRowLastColumn="0"/>
              <w:rPr>
                <w:szCs w:val="20"/>
                <w:lang w:eastAsia="fr-FR" w:bidi="ar-SA"/>
              </w:rPr>
            </w:pPr>
            <w:r w:rsidRPr="00AA22F2">
              <w:rPr>
                <w:szCs w:val="20"/>
                <w:lang w:eastAsia="fr-FR" w:bidi="ar-SA"/>
              </w:rPr>
              <w:t>ONDA</w:t>
            </w:r>
          </w:p>
        </w:tc>
        <w:tc>
          <w:tcPr>
            <w:tcW w:w="0" w:type="auto"/>
            <w:hideMark/>
          </w:tcPr>
          <w:p w14:paraId="06D6B637" w14:textId="4600FDDD" w:rsidR="00FB216F" w:rsidRPr="00AA22F2" w:rsidRDefault="00FB216F" w:rsidP="00FB216F">
            <w:pPr>
              <w:cnfStyle w:val="000000000000" w:firstRow="0" w:lastRow="0" w:firstColumn="0" w:lastColumn="0" w:oddVBand="0" w:evenVBand="0" w:oddHBand="0" w:evenHBand="0" w:firstRowFirstColumn="0" w:firstRowLastColumn="0" w:lastRowFirstColumn="0" w:lastRowLastColumn="0"/>
              <w:rPr>
                <w:szCs w:val="20"/>
                <w:lang w:eastAsia="fr-FR" w:bidi="ar-SA"/>
              </w:rPr>
            </w:pPr>
            <w:r w:rsidRPr="00AA22F2">
              <w:rPr>
                <w:szCs w:val="20"/>
                <w:lang w:eastAsia="fr-FR" w:bidi="ar-SA"/>
              </w:rPr>
              <w:t>ONDA</w:t>
            </w:r>
          </w:p>
        </w:tc>
        <w:tc>
          <w:tcPr>
            <w:tcW w:w="0" w:type="auto"/>
            <w:hideMark/>
          </w:tcPr>
          <w:p w14:paraId="76191200" w14:textId="77777777" w:rsidR="00FB216F" w:rsidRPr="00AA22F2" w:rsidRDefault="00FB216F" w:rsidP="00FB216F">
            <w:pPr>
              <w:cnfStyle w:val="000000000000" w:firstRow="0" w:lastRow="0" w:firstColumn="0" w:lastColumn="0" w:oddVBand="0" w:evenVBand="0" w:oddHBand="0" w:evenHBand="0" w:firstRowFirstColumn="0" w:firstRowLastColumn="0" w:lastRowFirstColumn="0" w:lastRowLastColumn="0"/>
              <w:rPr>
                <w:szCs w:val="20"/>
                <w:lang w:eastAsia="fr-FR" w:bidi="ar-SA"/>
              </w:rPr>
            </w:pPr>
            <w:r w:rsidRPr="00AA22F2">
              <w:rPr>
                <w:szCs w:val="20"/>
                <w:lang w:eastAsia="fr-FR" w:bidi="ar-SA"/>
              </w:rPr>
              <w:t>Selon le calendrier de maintenance</w:t>
            </w:r>
          </w:p>
        </w:tc>
        <w:tc>
          <w:tcPr>
            <w:tcW w:w="0" w:type="auto"/>
            <w:hideMark/>
          </w:tcPr>
          <w:p w14:paraId="3AD488C8" w14:textId="25341496" w:rsidR="00FB216F" w:rsidRPr="00AA22F2" w:rsidRDefault="00FB216F" w:rsidP="00FB216F">
            <w:pPr>
              <w:cnfStyle w:val="000000000000" w:firstRow="0" w:lastRow="0" w:firstColumn="0" w:lastColumn="0" w:oddVBand="0" w:evenVBand="0" w:oddHBand="0" w:evenHBand="0" w:firstRowFirstColumn="0" w:firstRowLastColumn="0" w:lastRowFirstColumn="0" w:lastRowLastColumn="0"/>
              <w:rPr>
                <w:szCs w:val="20"/>
                <w:lang w:eastAsia="fr-FR" w:bidi="ar-SA"/>
              </w:rPr>
            </w:pPr>
            <w:r>
              <w:rPr>
                <w:szCs w:val="20"/>
              </w:rPr>
              <w:t>Aucun spécifique</w:t>
            </w:r>
          </w:p>
        </w:tc>
      </w:tr>
      <w:tr w:rsidR="00FB216F" w:rsidRPr="00B40D36" w14:paraId="31EDE2BF" w14:textId="77777777" w:rsidTr="00D90FDB">
        <w:tc>
          <w:tcPr>
            <w:cnfStyle w:val="001000000000" w:firstRow="0" w:lastRow="0" w:firstColumn="1" w:lastColumn="0" w:oddVBand="0" w:evenVBand="0" w:oddHBand="0" w:evenHBand="0" w:firstRowFirstColumn="0" w:firstRowLastColumn="0" w:lastRowFirstColumn="0" w:lastRowLastColumn="0"/>
            <w:tcW w:w="0" w:type="auto"/>
            <w:vMerge/>
            <w:hideMark/>
          </w:tcPr>
          <w:p w14:paraId="624F97C7" w14:textId="77777777" w:rsidR="00FB216F" w:rsidRPr="00AA22F2" w:rsidRDefault="00FB216F" w:rsidP="00FB216F">
            <w:pPr>
              <w:rPr>
                <w:szCs w:val="20"/>
                <w:lang w:eastAsia="fr-FR" w:bidi="ar-SA"/>
              </w:rPr>
            </w:pPr>
          </w:p>
        </w:tc>
        <w:tc>
          <w:tcPr>
            <w:tcW w:w="0" w:type="auto"/>
            <w:hideMark/>
          </w:tcPr>
          <w:p w14:paraId="227E9AC4" w14:textId="77777777" w:rsidR="00FB216F" w:rsidRPr="00AA22F2" w:rsidRDefault="00FB216F" w:rsidP="00FB216F">
            <w:pPr>
              <w:cnfStyle w:val="000000000000" w:firstRow="0" w:lastRow="0" w:firstColumn="0" w:lastColumn="0" w:oddVBand="0" w:evenVBand="0" w:oddHBand="0" w:evenHBand="0" w:firstRowFirstColumn="0" w:firstRowLastColumn="0" w:lastRowFirstColumn="0" w:lastRowLastColumn="0"/>
              <w:rPr>
                <w:szCs w:val="20"/>
                <w:lang w:eastAsia="fr-FR" w:bidi="ar-SA"/>
              </w:rPr>
            </w:pPr>
            <w:r w:rsidRPr="00AA22F2">
              <w:rPr>
                <w:b/>
                <w:bCs/>
                <w:szCs w:val="20"/>
                <w:lang w:eastAsia="fr-FR" w:bidi="ar-SA"/>
              </w:rPr>
              <w:t>Atténuer</w:t>
            </w:r>
          </w:p>
        </w:tc>
        <w:tc>
          <w:tcPr>
            <w:tcW w:w="0" w:type="auto"/>
            <w:hideMark/>
          </w:tcPr>
          <w:p w14:paraId="6E041323" w14:textId="77777777" w:rsidR="00FB216F" w:rsidRPr="00AA22F2" w:rsidRDefault="00FB216F" w:rsidP="00FB216F">
            <w:pPr>
              <w:cnfStyle w:val="000000000000" w:firstRow="0" w:lastRow="0" w:firstColumn="0" w:lastColumn="0" w:oddVBand="0" w:evenVBand="0" w:oddHBand="0" w:evenHBand="0" w:firstRowFirstColumn="0" w:firstRowLastColumn="0" w:lastRowFirstColumn="0" w:lastRowLastColumn="0"/>
              <w:rPr>
                <w:szCs w:val="20"/>
                <w:lang w:eastAsia="fr-FR" w:bidi="ar-SA"/>
              </w:rPr>
            </w:pPr>
            <w:r w:rsidRPr="00AA22F2">
              <w:rPr>
                <w:szCs w:val="20"/>
                <w:lang w:eastAsia="fr-FR" w:bidi="ar-SA"/>
              </w:rPr>
              <w:t xml:space="preserve">Favoriser la </w:t>
            </w:r>
            <w:r w:rsidRPr="004637C7">
              <w:rPr>
                <w:szCs w:val="20"/>
                <w:lang w:eastAsia="fr-FR" w:bidi="ar-SA"/>
              </w:rPr>
              <w:t>réutilisation des matériaux récupérables</w:t>
            </w:r>
            <w:r w:rsidRPr="00AA22F2">
              <w:rPr>
                <w:szCs w:val="20"/>
                <w:lang w:eastAsia="fr-FR" w:bidi="ar-SA"/>
              </w:rPr>
              <w:t xml:space="preserve"> lors des travaux d’entretien (enrobés, béton, éléments métalliques).</w:t>
            </w:r>
          </w:p>
        </w:tc>
        <w:tc>
          <w:tcPr>
            <w:tcW w:w="0" w:type="auto"/>
            <w:hideMark/>
          </w:tcPr>
          <w:p w14:paraId="2D5F1FED" w14:textId="77777777" w:rsidR="00FB216F" w:rsidRPr="00AA22F2" w:rsidRDefault="00FB216F" w:rsidP="00FB216F">
            <w:pPr>
              <w:cnfStyle w:val="000000000000" w:firstRow="0" w:lastRow="0" w:firstColumn="0" w:lastColumn="0" w:oddVBand="0" w:evenVBand="0" w:oddHBand="0" w:evenHBand="0" w:firstRowFirstColumn="0" w:firstRowLastColumn="0" w:lastRowFirstColumn="0" w:lastRowLastColumn="0"/>
              <w:rPr>
                <w:szCs w:val="20"/>
                <w:lang w:eastAsia="fr-FR" w:bidi="ar-SA"/>
              </w:rPr>
            </w:pPr>
            <w:r w:rsidRPr="00AA22F2">
              <w:rPr>
                <w:szCs w:val="20"/>
                <w:lang w:eastAsia="fr-FR" w:bidi="ar-SA"/>
              </w:rPr>
              <w:t>% de matériaux réutilisés ou recyclés</w:t>
            </w:r>
          </w:p>
        </w:tc>
        <w:tc>
          <w:tcPr>
            <w:tcW w:w="0" w:type="auto"/>
            <w:hideMark/>
          </w:tcPr>
          <w:p w14:paraId="35588477" w14:textId="1B3EBDD8" w:rsidR="00FB216F" w:rsidRPr="00AA22F2" w:rsidRDefault="00FB216F" w:rsidP="00FB216F">
            <w:pPr>
              <w:cnfStyle w:val="000000000000" w:firstRow="0" w:lastRow="0" w:firstColumn="0" w:lastColumn="0" w:oddVBand="0" w:evenVBand="0" w:oddHBand="0" w:evenHBand="0" w:firstRowFirstColumn="0" w:firstRowLastColumn="0" w:lastRowFirstColumn="0" w:lastRowLastColumn="0"/>
              <w:rPr>
                <w:szCs w:val="20"/>
                <w:lang w:eastAsia="fr-FR" w:bidi="ar-SA"/>
              </w:rPr>
            </w:pPr>
            <w:r w:rsidRPr="00AA22F2">
              <w:rPr>
                <w:szCs w:val="20"/>
                <w:lang w:eastAsia="fr-FR" w:bidi="ar-SA"/>
              </w:rPr>
              <w:t>ONDA / Exploitant</w:t>
            </w:r>
          </w:p>
        </w:tc>
        <w:tc>
          <w:tcPr>
            <w:tcW w:w="0" w:type="auto"/>
            <w:hideMark/>
          </w:tcPr>
          <w:p w14:paraId="1FDE9A01" w14:textId="655A36A4" w:rsidR="00FB216F" w:rsidRPr="00AA22F2" w:rsidRDefault="00FB216F" w:rsidP="00FB216F">
            <w:pPr>
              <w:cnfStyle w:val="000000000000" w:firstRow="0" w:lastRow="0" w:firstColumn="0" w:lastColumn="0" w:oddVBand="0" w:evenVBand="0" w:oddHBand="0" w:evenHBand="0" w:firstRowFirstColumn="0" w:firstRowLastColumn="0" w:lastRowFirstColumn="0" w:lastRowLastColumn="0"/>
              <w:rPr>
                <w:szCs w:val="20"/>
                <w:lang w:eastAsia="fr-FR" w:bidi="ar-SA"/>
              </w:rPr>
            </w:pPr>
            <w:r w:rsidRPr="00AA22F2">
              <w:rPr>
                <w:szCs w:val="20"/>
                <w:lang w:eastAsia="fr-FR" w:bidi="ar-SA"/>
              </w:rPr>
              <w:t>ONDA</w:t>
            </w:r>
          </w:p>
        </w:tc>
        <w:tc>
          <w:tcPr>
            <w:tcW w:w="0" w:type="auto"/>
            <w:hideMark/>
          </w:tcPr>
          <w:p w14:paraId="39C6EADC" w14:textId="02D9FCE5" w:rsidR="00FB216F" w:rsidRPr="00AA22F2" w:rsidRDefault="00FB216F" w:rsidP="00FB216F">
            <w:pPr>
              <w:cnfStyle w:val="000000000000" w:firstRow="0" w:lastRow="0" w:firstColumn="0" w:lastColumn="0" w:oddVBand="0" w:evenVBand="0" w:oddHBand="0" w:evenHBand="0" w:firstRowFirstColumn="0" w:firstRowLastColumn="0" w:lastRowFirstColumn="0" w:lastRowLastColumn="0"/>
              <w:rPr>
                <w:szCs w:val="20"/>
                <w:lang w:eastAsia="fr-FR" w:bidi="ar-SA"/>
              </w:rPr>
            </w:pPr>
            <w:r w:rsidRPr="00AA22F2">
              <w:rPr>
                <w:szCs w:val="20"/>
                <w:lang w:eastAsia="fr-FR" w:bidi="ar-SA"/>
              </w:rPr>
              <w:t>ONDA</w:t>
            </w:r>
          </w:p>
        </w:tc>
        <w:tc>
          <w:tcPr>
            <w:tcW w:w="0" w:type="auto"/>
            <w:hideMark/>
          </w:tcPr>
          <w:p w14:paraId="1F2CD33D" w14:textId="77777777" w:rsidR="00FB216F" w:rsidRPr="00AA22F2" w:rsidRDefault="00FB216F" w:rsidP="00FB216F">
            <w:pPr>
              <w:cnfStyle w:val="000000000000" w:firstRow="0" w:lastRow="0" w:firstColumn="0" w:lastColumn="0" w:oddVBand="0" w:evenVBand="0" w:oddHBand="0" w:evenHBand="0" w:firstRowFirstColumn="0" w:firstRowLastColumn="0" w:lastRowFirstColumn="0" w:lastRowLastColumn="0"/>
              <w:rPr>
                <w:szCs w:val="20"/>
                <w:lang w:eastAsia="fr-FR" w:bidi="ar-SA"/>
              </w:rPr>
            </w:pPr>
            <w:r w:rsidRPr="00AA22F2">
              <w:rPr>
                <w:szCs w:val="20"/>
                <w:lang w:eastAsia="fr-FR" w:bidi="ar-SA"/>
              </w:rPr>
              <w:t>Fin de chaque intervention</w:t>
            </w:r>
          </w:p>
        </w:tc>
        <w:tc>
          <w:tcPr>
            <w:tcW w:w="0" w:type="auto"/>
            <w:hideMark/>
          </w:tcPr>
          <w:p w14:paraId="15B0926B" w14:textId="5A06751D" w:rsidR="00FB216F" w:rsidRPr="00AA22F2" w:rsidRDefault="00FB216F" w:rsidP="00FB216F">
            <w:pPr>
              <w:cnfStyle w:val="000000000000" w:firstRow="0" w:lastRow="0" w:firstColumn="0" w:lastColumn="0" w:oddVBand="0" w:evenVBand="0" w:oddHBand="0" w:evenHBand="0" w:firstRowFirstColumn="0" w:firstRowLastColumn="0" w:lastRowFirstColumn="0" w:lastRowLastColumn="0"/>
              <w:rPr>
                <w:szCs w:val="20"/>
                <w:lang w:eastAsia="fr-FR" w:bidi="ar-SA"/>
              </w:rPr>
            </w:pPr>
            <w:r>
              <w:rPr>
                <w:szCs w:val="20"/>
              </w:rPr>
              <w:t>Aucun spécifique</w:t>
            </w:r>
          </w:p>
        </w:tc>
      </w:tr>
      <w:tr w:rsidR="00E7190E" w:rsidRPr="00B40D36" w14:paraId="65934F8F" w14:textId="77777777" w:rsidTr="00D90FDB">
        <w:tc>
          <w:tcPr>
            <w:cnfStyle w:val="001000000000" w:firstRow="0" w:lastRow="0" w:firstColumn="1" w:lastColumn="0" w:oddVBand="0" w:evenVBand="0" w:oddHBand="0" w:evenHBand="0" w:firstRowFirstColumn="0" w:firstRowLastColumn="0" w:lastRowFirstColumn="0" w:lastRowLastColumn="0"/>
            <w:tcW w:w="0" w:type="auto"/>
            <w:vMerge/>
            <w:hideMark/>
          </w:tcPr>
          <w:p w14:paraId="0E2084FE" w14:textId="77777777" w:rsidR="00727C2F" w:rsidRPr="00AA22F2" w:rsidRDefault="00727C2F" w:rsidP="00D90FDB">
            <w:pPr>
              <w:rPr>
                <w:szCs w:val="20"/>
                <w:lang w:eastAsia="fr-FR" w:bidi="ar-SA"/>
              </w:rPr>
            </w:pPr>
          </w:p>
        </w:tc>
        <w:tc>
          <w:tcPr>
            <w:tcW w:w="0" w:type="auto"/>
            <w:hideMark/>
          </w:tcPr>
          <w:p w14:paraId="109AC251" w14:textId="77777777" w:rsidR="00727C2F" w:rsidRPr="00AA22F2" w:rsidRDefault="00727C2F" w:rsidP="00D90FDB">
            <w:pPr>
              <w:cnfStyle w:val="000000000000" w:firstRow="0" w:lastRow="0" w:firstColumn="0" w:lastColumn="0" w:oddVBand="0" w:evenVBand="0" w:oddHBand="0" w:evenHBand="0" w:firstRowFirstColumn="0" w:firstRowLastColumn="0" w:lastRowFirstColumn="0" w:lastRowLastColumn="0"/>
              <w:rPr>
                <w:szCs w:val="20"/>
                <w:lang w:eastAsia="fr-FR" w:bidi="ar-SA"/>
              </w:rPr>
            </w:pPr>
            <w:r w:rsidRPr="00AA22F2">
              <w:rPr>
                <w:b/>
                <w:bCs/>
                <w:szCs w:val="20"/>
                <w:lang w:eastAsia="fr-FR" w:bidi="ar-SA"/>
              </w:rPr>
              <w:t>Compenser (non requis)</w:t>
            </w:r>
          </w:p>
        </w:tc>
        <w:tc>
          <w:tcPr>
            <w:tcW w:w="0" w:type="auto"/>
            <w:hideMark/>
          </w:tcPr>
          <w:p w14:paraId="1C1D6030" w14:textId="77777777" w:rsidR="00727C2F" w:rsidRPr="00AA22F2" w:rsidRDefault="00727C2F" w:rsidP="00D90FDB">
            <w:pPr>
              <w:cnfStyle w:val="000000000000" w:firstRow="0" w:lastRow="0" w:firstColumn="0" w:lastColumn="0" w:oddVBand="0" w:evenVBand="0" w:oddHBand="0" w:evenHBand="0" w:firstRowFirstColumn="0" w:firstRowLastColumn="0" w:lastRowFirstColumn="0" w:lastRowLastColumn="0"/>
              <w:rPr>
                <w:szCs w:val="20"/>
                <w:lang w:eastAsia="fr-FR" w:bidi="ar-SA"/>
              </w:rPr>
            </w:pPr>
            <w:r w:rsidRPr="00AA22F2">
              <w:rPr>
                <w:szCs w:val="20"/>
                <w:lang w:eastAsia="fr-FR" w:bidi="ar-SA"/>
              </w:rPr>
              <w:t>Non applicable – impact marginal et maîtrisé sur les ressources naturelles.</w:t>
            </w:r>
          </w:p>
        </w:tc>
        <w:tc>
          <w:tcPr>
            <w:tcW w:w="0" w:type="auto"/>
            <w:hideMark/>
          </w:tcPr>
          <w:p w14:paraId="2DFFE535" w14:textId="77777777" w:rsidR="00727C2F" w:rsidRPr="00AA22F2" w:rsidRDefault="00727C2F" w:rsidP="00D90FDB">
            <w:pPr>
              <w:cnfStyle w:val="000000000000" w:firstRow="0" w:lastRow="0" w:firstColumn="0" w:lastColumn="0" w:oddVBand="0" w:evenVBand="0" w:oddHBand="0" w:evenHBand="0" w:firstRowFirstColumn="0" w:firstRowLastColumn="0" w:lastRowFirstColumn="0" w:lastRowLastColumn="0"/>
              <w:rPr>
                <w:szCs w:val="20"/>
                <w:lang w:eastAsia="fr-FR" w:bidi="ar-SA"/>
              </w:rPr>
            </w:pPr>
            <w:r w:rsidRPr="00AA22F2">
              <w:rPr>
                <w:szCs w:val="20"/>
                <w:lang w:eastAsia="fr-FR" w:bidi="ar-SA"/>
              </w:rPr>
              <w:t>—</w:t>
            </w:r>
          </w:p>
        </w:tc>
        <w:tc>
          <w:tcPr>
            <w:tcW w:w="0" w:type="auto"/>
            <w:hideMark/>
          </w:tcPr>
          <w:p w14:paraId="4D08FEF1" w14:textId="77777777" w:rsidR="00727C2F" w:rsidRPr="00AA22F2" w:rsidRDefault="00727C2F" w:rsidP="00D90FDB">
            <w:pPr>
              <w:cnfStyle w:val="000000000000" w:firstRow="0" w:lastRow="0" w:firstColumn="0" w:lastColumn="0" w:oddVBand="0" w:evenVBand="0" w:oddHBand="0" w:evenHBand="0" w:firstRowFirstColumn="0" w:firstRowLastColumn="0" w:lastRowFirstColumn="0" w:lastRowLastColumn="0"/>
              <w:rPr>
                <w:szCs w:val="20"/>
                <w:lang w:eastAsia="fr-FR" w:bidi="ar-SA"/>
              </w:rPr>
            </w:pPr>
            <w:r w:rsidRPr="00AA22F2">
              <w:rPr>
                <w:szCs w:val="20"/>
                <w:lang w:eastAsia="fr-FR" w:bidi="ar-SA"/>
              </w:rPr>
              <w:t>—</w:t>
            </w:r>
          </w:p>
        </w:tc>
        <w:tc>
          <w:tcPr>
            <w:tcW w:w="0" w:type="auto"/>
            <w:hideMark/>
          </w:tcPr>
          <w:p w14:paraId="6D293179" w14:textId="77777777" w:rsidR="00727C2F" w:rsidRPr="00AA22F2" w:rsidRDefault="00727C2F" w:rsidP="00D90FDB">
            <w:pPr>
              <w:cnfStyle w:val="000000000000" w:firstRow="0" w:lastRow="0" w:firstColumn="0" w:lastColumn="0" w:oddVBand="0" w:evenVBand="0" w:oddHBand="0" w:evenHBand="0" w:firstRowFirstColumn="0" w:firstRowLastColumn="0" w:lastRowFirstColumn="0" w:lastRowLastColumn="0"/>
              <w:rPr>
                <w:szCs w:val="20"/>
                <w:lang w:eastAsia="fr-FR" w:bidi="ar-SA"/>
              </w:rPr>
            </w:pPr>
            <w:r w:rsidRPr="00AA22F2">
              <w:rPr>
                <w:szCs w:val="20"/>
                <w:lang w:eastAsia="fr-FR" w:bidi="ar-SA"/>
              </w:rPr>
              <w:t>—</w:t>
            </w:r>
          </w:p>
        </w:tc>
        <w:tc>
          <w:tcPr>
            <w:tcW w:w="0" w:type="auto"/>
            <w:hideMark/>
          </w:tcPr>
          <w:p w14:paraId="605BEB90" w14:textId="77777777" w:rsidR="00727C2F" w:rsidRPr="00AA22F2" w:rsidRDefault="00727C2F" w:rsidP="00D90FDB">
            <w:pPr>
              <w:cnfStyle w:val="000000000000" w:firstRow="0" w:lastRow="0" w:firstColumn="0" w:lastColumn="0" w:oddVBand="0" w:evenVBand="0" w:oddHBand="0" w:evenHBand="0" w:firstRowFirstColumn="0" w:firstRowLastColumn="0" w:lastRowFirstColumn="0" w:lastRowLastColumn="0"/>
              <w:rPr>
                <w:szCs w:val="20"/>
                <w:lang w:eastAsia="fr-FR" w:bidi="ar-SA"/>
              </w:rPr>
            </w:pPr>
            <w:r w:rsidRPr="00AA22F2">
              <w:rPr>
                <w:szCs w:val="20"/>
                <w:lang w:eastAsia="fr-FR" w:bidi="ar-SA"/>
              </w:rPr>
              <w:t>—</w:t>
            </w:r>
          </w:p>
        </w:tc>
        <w:tc>
          <w:tcPr>
            <w:tcW w:w="0" w:type="auto"/>
            <w:hideMark/>
          </w:tcPr>
          <w:p w14:paraId="4168CFD9" w14:textId="77777777" w:rsidR="00727C2F" w:rsidRPr="00AA22F2" w:rsidRDefault="00727C2F" w:rsidP="00D90FDB">
            <w:pPr>
              <w:cnfStyle w:val="000000000000" w:firstRow="0" w:lastRow="0" w:firstColumn="0" w:lastColumn="0" w:oddVBand="0" w:evenVBand="0" w:oddHBand="0" w:evenHBand="0" w:firstRowFirstColumn="0" w:firstRowLastColumn="0" w:lastRowFirstColumn="0" w:lastRowLastColumn="0"/>
              <w:rPr>
                <w:szCs w:val="20"/>
                <w:lang w:eastAsia="fr-FR" w:bidi="ar-SA"/>
              </w:rPr>
            </w:pPr>
            <w:r w:rsidRPr="00AA22F2">
              <w:rPr>
                <w:szCs w:val="20"/>
                <w:lang w:eastAsia="fr-FR" w:bidi="ar-SA"/>
              </w:rPr>
              <w:t>—</w:t>
            </w:r>
          </w:p>
        </w:tc>
        <w:tc>
          <w:tcPr>
            <w:tcW w:w="0" w:type="auto"/>
            <w:hideMark/>
          </w:tcPr>
          <w:p w14:paraId="6CFA9E2F" w14:textId="77777777" w:rsidR="00727C2F" w:rsidRPr="00AA22F2" w:rsidRDefault="00727C2F" w:rsidP="00D90FDB">
            <w:pPr>
              <w:cnfStyle w:val="000000000000" w:firstRow="0" w:lastRow="0" w:firstColumn="0" w:lastColumn="0" w:oddVBand="0" w:evenVBand="0" w:oddHBand="0" w:evenHBand="0" w:firstRowFirstColumn="0" w:firstRowLastColumn="0" w:lastRowFirstColumn="0" w:lastRowLastColumn="0"/>
              <w:rPr>
                <w:szCs w:val="20"/>
                <w:lang w:eastAsia="fr-FR" w:bidi="ar-SA"/>
              </w:rPr>
            </w:pPr>
            <w:r w:rsidRPr="00AA22F2">
              <w:rPr>
                <w:szCs w:val="20"/>
                <w:lang w:eastAsia="fr-FR" w:bidi="ar-SA"/>
              </w:rPr>
              <w:t>—</w:t>
            </w:r>
          </w:p>
        </w:tc>
      </w:tr>
    </w:tbl>
    <w:p w14:paraId="1AC4ED00" w14:textId="77777777" w:rsidR="00C94E72" w:rsidRDefault="00C94E72" w:rsidP="00A37040">
      <w:pPr>
        <w:rPr>
          <w:lang w:eastAsia="fr-FR" w:bidi="ar-SA"/>
        </w:rPr>
      </w:pPr>
    </w:p>
    <w:p w14:paraId="7660EFB2" w14:textId="77777777" w:rsidR="00C94E72" w:rsidRDefault="00C94E72" w:rsidP="00A37040">
      <w:pPr>
        <w:rPr>
          <w:lang w:eastAsia="fr-FR" w:bidi="ar-SA"/>
        </w:rPr>
      </w:pPr>
    </w:p>
    <w:p w14:paraId="7F9D6296" w14:textId="77777777" w:rsidR="00C94E72" w:rsidRDefault="00C94E72" w:rsidP="00A37040">
      <w:pPr>
        <w:rPr>
          <w:lang w:eastAsia="fr-FR" w:bidi="ar-SA"/>
        </w:rPr>
      </w:pPr>
    </w:p>
    <w:p w14:paraId="1BEFEC94" w14:textId="77777777" w:rsidR="00C94E72" w:rsidRDefault="00C94E72" w:rsidP="00A37040">
      <w:pPr>
        <w:rPr>
          <w:lang w:eastAsia="fr-FR" w:bidi="ar-SA"/>
        </w:rPr>
      </w:pPr>
    </w:p>
    <w:p w14:paraId="093425BD" w14:textId="77777777" w:rsidR="00C94E72" w:rsidRDefault="00C94E72" w:rsidP="00A37040">
      <w:pPr>
        <w:rPr>
          <w:lang w:eastAsia="fr-FR" w:bidi="ar-SA"/>
        </w:rPr>
        <w:sectPr w:rsidR="00C94E72" w:rsidSect="004637C7">
          <w:pgSz w:w="16838" w:h="11906" w:orient="landscape"/>
          <w:pgMar w:top="1418" w:right="1418" w:bottom="1418" w:left="1276" w:header="680" w:footer="680" w:gutter="0"/>
          <w:cols w:space="708"/>
          <w:docGrid w:linePitch="360"/>
        </w:sectPr>
      </w:pPr>
    </w:p>
    <w:p w14:paraId="611A9B85" w14:textId="77777777" w:rsidR="001C1570" w:rsidRDefault="001C1570" w:rsidP="0001633E">
      <w:pPr>
        <w:pStyle w:val="Title5"/>
        <w:numPr>
          <w:ilvl w:val="4"/>
          <w:numId w:val="116"/>
        </w:numPr>
      </w:pPr>
      <w:r>
        <w:lastRenderedPageBreak/>
        <w:t>Evaluation des impacts résiduels</w:t>
      </w:r>
    </w:p>
    <w:p w14:paraId="50079E4B" w14:textId="75028813" w:rsidR="00E47BA6" w:rsidRPr="00496DA1" w:rsidRDefault="00E47BA6" w:rsidP="0001633E">
      <w:pPr>
        <w:pStyle w:val="AltTitle2"/>
        <w:numPr>
          <w:ilvl w:val="0"/>
          <w:numId w:val="106"/>
        </w:numPr>
      </w:pPr>
      <w:r w:rsidRPr="00E47BA6">
        <w:rPr>
          <w:bCs/>
        </w:rPr>
        <w:t>Utilisation de l’eau</w:t>
      </w:r>
    </w:p>
    <w:p w14:paraId="73C66186" w14:textId="09049853" w:rsidR="00E47BA6" w:rsidRPr="00E47BA6" w:rsidRDefault="00E47BA6" w:rsidP="004637C7">
      <w:r w:rsidRPr="00E47BA6">
        <w:t xml:space="preserve">Durant l’exploitation, le nouveau parking avions sera pleinement intégré au réseau d’alimentation existant de l’aéroport </w:t>
      </w:r>
      <w:r w:rsidR="00C544B3">
        <w:t>Marrakech Ménara</w:t>
      </w:r>
      <w:r w:rsidRPr="00E47BA6">
        <w:t>.</w:t>
      </w:r>
    </w:p>
    <w:p w14:paraId="1C983676" w14:textId="77777777" w:rsidR="00E47BA6" w:rsidRPr="00E47BA6" w:rsidRDefault="00E47BA6" w:rsidP="004637C7">
      <w:r w:rsidRPr="00E47BA6">
        <w:t>Aucun nouveau prélèvement ni infrastructure de captage n’est envisagé.</w:t>
      </w:r>
    </w:p>
    <w:p w14:paraId="3B17BE7C" w14:textId="3EB83396" w:rsidR="00A06D6C" w:rsidRPr="00A06D6C" w:rsidRDefault="00A06D6C" w:rsidP="0001633E">
      <w:pPr>
        <w:pStyle w:val="AltTitle2"/>
        <w:numPr>
          <w:ilvl w:val="0"/>
          <w:numId w:val="106"/>
        </w:numPr>
        <w:rPr>
          <w:bCs/>
        </w:rPr>
      </w:pPr>
      <w:r w:rsidRPr="00A06D6C">
        <w:rPr>
          <w:bCs/>
        </w:rPr>
        <w:t>Utilisation de l’énergie</w:t>
      </w:r>
    </w:p>
    <w:p w14:paraId="171B852D" w14:textId="3510E7A0" w:rsidR="001D420D" w:rsidRPr="00E66334" w:rsidRDefault="00A06D6C" w:rsidP="00121579">
      <w:r w:rsidRPr="00A06D6C">
        <w:t xml:space="preserve">En </w:t>
      </w:r>
      <w:r w:rsidRPr="00E66334">
        <w:t xml:space="preserve">exploitation, le nouveau parking avions et la bretelle de liaison seront </w:t>
      </w:r>
      <w:r w:rsidRPr="004637C7">
        <w:t>intégrés au réseau interne de l’aéroport</w:t>
      </w:r>
      <w:r w:rsidRPr="00E66334">
        <w:t xml:space="preserve">, lui-même alimenté par le </w:t>
      </w:r>
      <w:r w:rsidRPr="004637C7">
        <w:t>réseau public</w:t>
      </w:r>
      <w:r w:rsidRPr="00E66334">
        <w:t>.</w:t>
      </w:r>
      <w:r w:rsidR="001D420D" w:rsidRPr="00E66334">
        <w:t xml:space="preserve"> </w:t>
      </w:r>
      <w:r w:rsidRPr="00E66334">
        <w:t>Les besoins porteront principalement sur l’</w:t>
      </w:r>
      <w:r w:rsidRPr="004637C7">
        <w:t>éclairage LED à faible consommation</w:t>
      </w:r>
      <w:r w:rsidRPr="00E66334">
        <w:t xml:space="preserve">, la </w:t>
      </w:r>
      <w:r w:rsidRPr="004637C7">
        <w:t>signalisation lumineuse</w:t>
      </w:r>
      <w:r w:rsidRPr="00E66334">
        <w:t xml:space="preserve"> et les </w:t>
      </w:r>
      <w:r w:rsidRPr="004637C7">
        <w:t>systèmes de sécurité</w:t>
      </w:r>
      <w:r w:rsidRPr="00E66334">
        <w:t>.</w:t>
      </w:r>
    </w:p>
    <w:p w14:paraId="311958C0" w14:textId="2BB9EF3B" w:rsidR="001C1570" w:rsidRPr="00E66334" w:rsidRDefault="00A06D6C" w:rsidP="00121579">
      <w:r w:rsidRPr="00E66334">
        <w:t xml:space="preserve">Les groupes électrogènes existants continueront d’assurer un </w:t>
      </w:r>
      <w:r w:rsidRPr="004637C7">
        <w:t>secours ponctuel</w:t>
      </w:r>
      <w:r w:rsidRPr="00E66334">
        <w:t xml:space="preserve"> uniquement en cas de coupure du réseau principal.</w:t>
      </w:r>
    </w:p>
    <w:p w14:paraId="2F8C15F0" w14:textId="77777777" w:rsidR="001D420D" w:rsidRPr="00E66334" w:rsidRDefault="001D420D" w:rsidP="001D420D">
      <w:r w:rsidRPr="004637C7">
        <w:t>L’importance de l’impact résiduel est négligeable</w:t>
      </w:r>
      <w:r w:rsidRPr="00E66334">
        <w:t>, car le projet n’induit pas d’augmentation significative de la consommation ni d’émission supplémentaire notable.</w:t>
      </w:r>
    </w:p>
    <w:p w14:paraId="7D05EFC3" w14:textId="3F6564AC" w:rsidR="00A06D6C" w:rsidRDefault="00DF18AA" w:rsidP="0001633E">
      <w:pPr>
        <w:pStyle w:val="AltTitle2"/>
        <w:numPr>
          <w:ilvl w:val="0"/>
          <w:numId w:val="106"/>
        </w:numPr>
        <w:rPr>
          <w:bCs/>
        </w:rPr>
      </w:pPr>
      <w:r w:rsidRPr="00DF18AA">
        <w:rPr>
          <w:bCs/>
        </w:rPr>
        <w:t>Utilisation des matières premières</w:t>
      </w:r>
    </w:p>
    <w:p w14:paraId="4A6C9981" w14:textId="77777777" w:rsidR="00EC1319" w:rsidRPr="004637C7" w:rsidRDefault="00EC1319" w:rsidP="00EC1319">
      <w:r w:rsidRPr="004637C7">
        <w:t>Durant l’exploitation, aucune utilisation significative de matières premières n’est prévue, hormis pour des travaux d’entretien ponctuels : signalisation, entretien de revêtement ou maintenance du drainage.</w:t>
      </w:r>
    </w:p>
    <w:p w14:paraId="0101DB00" w14:textId="4349CD8E" w:rsidR="00DF18AA" w:rsidRDefault="00EC1319" w:rsidP="00EC1319">
      <w:r w:rsidRPr="004637C7">
        <w:t>Ces interventions, rares et planifiées, mobilisent de très faibles volumes de matériaux fournis par des entreprises agréées.</w:t>
      </w:r>
    </w:p>
    <w:p w14:paraId="344D22C9" w14:textId="594B3905" w:rsidR="00317316" w:rsidRDefault="00317316" w:rsidP="00EC1319">
      <w:r w:rsidRPr="00317316">
        <w:t xml:space="preserve">Compte tenu du </w:t>
      </w:r>
      <w:r w:rsidRPr="004637C7">
        <w:t>caractère négligeable de l’impact initial</w:t>
      </w:r>
      <w:r w:rsidRPr="00317316">
        <w:t xml:space="preserve">, les mesures de gestion permettent de </w:t>
      </w:r>
      <w:r w:rsidRPr="004637C7">
        <w:t>maintenir l’impact à un niveau nul</w:t>
      </w:r>
      <w:r w:rsidRPr="00317316">
        <w:t>.</w:t>
      </w:r>
    </w:p>
    <w:p w14:paraId="51DCE4D9" w14:textId="0A21D681" w:rsidR="00317316" w:rsidRPr="004637C7" w:rsidRDefault="00317316" w:rsidP="00EC1319">
      <w:r w:rsidRPr="004637C7">
        <w:t>L’importance de l’impact résiduel est nulle</w:t>
      </w:r>
      <w:r w:rsidRPr="00A2719C">
        <w:t>, confirmant qu’aucune pression sur les ressources naturelles n’est exercée durant l’exploitation.</w:t>
      </w:r>
    </w:p>
    <w:p w14:paraId="7526A902" w14:textId="7EFFA993" w:rsidR="00121579" w:rsidRDefault="00121579" w:rsidP="00121579">
      <w:r>
        <w:br w:type="page"/>
      </w:r>
    </w:p>
    <w:p w14:paraId="2A6E5F8B" w14:textId="768E43C0" w:rsidR="00A2719C" w:rsidRPr="00496DA1" w:rsidRDefault="00597618" w:rsidP="00A2719C">
      <w:pPr>
        <w:pStyle w:val="Title3"/>
      </w:pPr>
      <w:bookmarkStart w:id="468" w:name="_Toc215131884"/>
      <w:r>
        <w:lastRenderedPageBreak/>
        <w:t>Trafic routier</w:t>
      </w:r>
      <w:bookmarkEnd w:id="468"/>
    </w:p>
    <w:p w14:paraId="4DC83CFE" w14:textId="62A3AE91" w:rsidR="00464E93" w:rsidRDefault="00464E93" w:rsidP="00A2719C">
      <w:pPr>
        <w:pStyle w:val="Title4"/>
        <w:tabs>
          <w:tab w:val="clear" w:pos="1134"/>
          <w:tab w:val="left" w:pos="993"/>
        </w:tabs>
      </w:pPr>
      <w:r>
        <w:t>Contexte local – Trafic routier et accessibilité</w:t>
      </w:r>
    </w:p>
    <w:p w14:paraId="6C44069E" w14:textId="77777777" w:rsidR="00AA3F33" w:rsidRPr="00AA3F33" w:rsidRDefault="00AA3F33" w:rsidP="00AA3F33">
      <w:r w:rsidRPr="00AA3F33">
        <w:t>L’aéroport international de Marrakech-Ménara est situé à environ 5 km au sud-ouest du centre-ville de Marrakech, au sein de la commune urbaine de Marrakech-Ménara, et à proximité des quartiers de Bouakkaz, M’Hamid et Azzouzia.</w:t>
      </w:r>
    </w:p>
    <w:p w14:paraId="08BECAF8" w14:textId="77777777" w:rsidR="00AA3F33" w:rsidRPr="00AA3F33" w:rsidRDefault="00AA3F33" w:rsidP="00AA3F33">
      <w:r w:rsidRPr="00AA3F33">
        <w:t>L’accès principal à la plateforme s’effectue par la route provinciale P2006, qui relie Marrakech au sud de la ville et dessert directement les zones aéroportuaires. Cette voie est connectée à plusieurs axes structurants du réseau urbain, notamment :</w:t>
      </w:r>
    </w:p>
    <w:p w14:paraId="1A7D5168" w14:textId="77777777" w:rsidR="00AA3F33" w:rsidRPr="00AA3F33" w:rsidRDefault="00AA3F33" w:rsidP="0001633E">
      <w:pPr>
        <w:numPr>
          <w:ilvl w:val="0"/>
          <w:numId w:val="203"/>
        </w:numPr>
      </w:pPr>
      <w:r w:rsidRPr="00AA3F33">
        <w:t>l’Avenue Guemassa,</w:t>
      </w:r>
    </w:p>
    <w:p w14:paraId="54A8B6EE" w14:textId="77777777" w:rsidR="00AA3F33" w:rsidRPr="00AA3F33" w:rsidRDefault="00AA3F33" w:rsidP="0001633E">
      <w:pPr>
        <w:numPr>
          <w:ilvl w:val="0"/>
          <w:numId w:val="203"/>
        </w:numPr>
      </w:pPr>
      <w:r w:rsidRPr="00AA3F33">
        <w:t>l’Avenue Mohammed VI,</w:t>
      </w:r>
    </w:p>
    <w:p w14:paraId="677EB27B" w14:textId="77777777" w:rsidR="00AA3F33" w:rsidRPr="00AA3F33" w:rsidRDefault="00AA3F33" w:rsidP="0001633E">
      <w:pPr>
        <w:numPr>
          <w:ilvl w:val="0"/>
          <w:numId w:val="203"/>
        </w:numPr>
      </w:pPr>
      <w:r w:rsidRPr="00AA3F33">
        <w:t>et la route nationale N8 (axe Marrakech – Agadir), située à l’ouest, qui permet une connexion rapide à l’autoroute A7 (vers Casablanca et Agadir).</w:t>
      </w:r>
    </w:p>
    <w:p w14:paraId="029219B7" w14:textId="77777777" w:rsidR="00AA3F33" w:rsidRPr="00AA3F33" w:rsidRDefault="00AA3F33" w:rsidP="00AA3F33">
      <w:r w:rsidRPr="00AA3F33">
        <w:t>Selon les données du Ministère de l’Équipement et de l’Eau (recueil du trafic routier et postes de comptage 2022-2023 dans le périmètre de Marrakech), le trafic moyen journalier annuel (TMJA) sur les axes menant à l’aéroport est estimé entre 22 000 et 27 000 véhicules/jour, avec des pics supérieurs à 30 000 véhicules/jour en haute saison touristique. Ces flux regroupent à la fois :</w:t>
      </w:r>
    </w:p>
    <w:p w14:paraId="39F12CB7" w14:textId="77777777" w:rsidR="00AA3F33" w:rsidRPr="00AA3F33" w:rsidRDefault="00AA3F33" w:rsidP="0001633E">
      <w:pPr>
        <w:numPr>
          <w:ilvl w:val="0"/>
          <w:numId w:val="204"/>
        </w:numPr>
      </w:pPr>
      <w:r w:rsidRPr="00AA3F33">
        <w:t>le trafic touristique (taxis, navettes hôtelières, autocars),</w:t>
      </w:r>
    </w:p>
    <w:p w14:paraId="744D3AE7" w14:textId="77777777" w:rsidR="00AA3F33" w:rsidRPr="00AA3F33" w:rsidRDefault="00AA3F33" w:rsidP="0001633E">
      <w:pPr>
        <w:numPr>
          <w:ilvl w:val="0"/>
          <w:numId w:val="204"/>
        </w:numPr>
      </w:pPr>
      <w:r w:rsidRPr="00AA3F33">
        <w:t>les déplacements domicile-travail des habitants des quartiers périphériques,</w:t>
      </w:r>
    </w:p>
    <w:p w14:paraId="51D99944" w14:textId="77777777" w:rsidR="00AA3F33" w:rsidRPr="00AA3F33" w:rsidRDefault="00AA3F33" w:rsidP="0001633E">
      <w:pPr>
        <w:numPr>
          <w:ilvl w:val="0"/>
          <w:numId w:val="204"/>
        </w:numPr>
      </w:pPr>
      <w:r w:rsidRPr="00AA3F33">
        <w:t>et les flux logistiques liés aux activités aéroportuaires.</w:t>
      </w:r>
    </w:p>
    <w:p w14:paraId="23D9AE88" w14:textId="77777777" w:rsidR="00AA3F33" w:rsidRPr="00AA3F33" w:rsidRDefault="00AA3F33" w:rsidP="00AA3F33">
      <w:r w:rsidRPr="00AA3F33">
        <w:t>L’aéroport est desservi par plusieurs voies d’accès aménagées conduisant aux zones de stationnement public, aux aires techniques et aux services logistiques. L’environnement routier immédiat présente une vocation urbaine mixte, où cohabitent circulation touristique, transports de personnel et véhicules légers de résidents.</w:t>
      </w:r>
    </w:p>
    <w:p w14:paraId="4E7CF74A" w14:textId="57859E4B" w:rsidR="00464E93" w:rsidRPr="00F939AF" w:rsidRDefault="00AA3F33" w:rsidP="00F939AF">
      <w:r w:rsidRPr="00AA3F33">
        <w:t>En période de forte affluence, notamment lors des vacances et des événements internationaux, la concentration des flux vers les terminaux peut engendrer une saturation ponctuelle des voies d’accès, en particulier au niveau des ronds-points de la route de l’aéroport et de l’avenue Mohammed VI. Toutefois, la configuration en double voie, les aménagements récents (signalisation, zones de dépose-minute) et les projets municipaux d’amélioration de la mobilité urbaine contribuent à maintenir une circulation globalement fluide vers la plateforme</w:t>
      </w:r>
      <w:r w:rsidR="00464E93" w:rsidRPr="00F939AF">
        <w:t>.</w:t>
      </w:r>
    </w:p>
    <w:p w14:paraId="67543408" w14:textId="4ACA134A" w:rsidR="00A2719C" w:rsidRDefault="00A2719C" w:rsidP="00A2719C">
      <w:pPr>
        <w:pStyle w:val="Title4"/>
        <w:tabs>
          <w:tab w:val="clear" w:pos="1134"/>
          <w:tab w:val="left" w:pos="993"/>
        </w:tabs>
      </w:pPr>
      <w:r w:rsidRPr="00496DA1">
        <w:t xml:space="preserve">Phase construction </w:t>
      </w:r>
    </w:p>
    <w:p w14:paraId="048453B4" w14:textId="60F18358" w:rsidR="00A12FBC" w:rsidRDefault="00A12FBC" w:rsidP="00A12FBC">
      <w:pPr>
        <w:pStyle w:val="Title5"/>
      </w:pPr>
      <w:r>
        <w:t>Identification et évaluation des impacts et risques</w:t>
      </w:r>
    </w:p>
    <w:p w14:paraId="4CC1CDC1" w14:textId="4C234FB8" w:rsidR="005F5FF1" w:rsidRDefault="005F5FF1" w:rsidP="0001633E">
      <w:pPr>
        <w:pStyle w:val="AltTitle2"/>
        <w:numPr>
          <w:ilvl w:val="0"/>
          <w:numId w:val="106"/>
        </w:numPr>
      </w:pPr>
      <w:r>
        <w:t>Saturation et congestion du trafic</w:t>
      </w:r>
    </w:p>
    <w:p w14:paraId="248C6EC4" w14:textId="3F44C837" w:rsidR="00E27269" w:rsidRDefault="00E27269" w:rsidP="00E27269">
      <w:r>
        <w:t xml:space="preserve">Durant la phase de construction, les travaux liés à l’extension du parking avions entraîneront une circulation accrue de véhicules de chantier (camions, engins de terrassement, véhicules de transport de matériaux et de personnel). Afin d’éviter toute interférence avec la circulation régulière des passagers et des services aéroportuaires, il est recommandé que les flux de chantier soient dirigés par </w:t>
      </w:r>
      <w:r>
        <w:lastRenderedPageBreak/>
        <w:t>un accès distinct de la bretelle principale menant au terminal, ou par un itinéraire temporaire dédié, à définir lors de la phase de préparation du chantier.</w:t>
      </w:r>
    </w:p>
    <w:p w14:paraId="43082B56" w14:textId="77777777" w:rsidR="00F93B1C" w:rsidRDefault="00F93B1C" w:rsidP="00F93B1C">
      <w:r>
        <w:t>L’impact est de nature négative et directe, lié aux mouvements supplémentaires de véhicules sur le réseau local, mais il restera localisé à l’emprise du chantier et aux voies de raccordement périphériques. Sa durée sera temporaire, limitée à la période des travaux, et sa fréquence intermittente, concentrée lors des opérations de transport et de livraison.</w:t>
      </w:r>
    </w:p>
    <w:p w14:paraId="54465BAB" w14:textId="43DF885D" w:rsidR="00C367D4" w:rsidRDefault="00F93B1C" w:rsidP="00F93B1C">
      <w:r>
        <w:t xml:space="preserve">En l’absence de données précises sur les volumes de trafic générés par le projet, l’évaluation repose sur le constat que la </w:t>
      </w:r>
      <w:r w:rsidR="00F939AF">
        <w:t>RR212</w:t>
      </w:r>
      <w:r>
        <w:t xml:space="preserve"> constitue un axe routier à forte capacité et peut absorber un trafic additionnel limité sans dégradation notable des conditions de circulation</w:t>
      </w:r>
      <w:r w:rsidR="00C367D4">
        <w:t>,</w:t>
      </w:r>
      <w:r>
        <w:t xml:space="preserve"> </w:t>
      </w:r>
      <w:r w:rsidR="00C367D4" w:rsidRPr="00C367D4">
        <w:t xml:space="preserve">mais l’absence de plan de circulation défini pourrait provoquer des ralentissements ponctuels ou des perturbations locales aux heures de pointe. </w:t>
      </w:r>
    </w:p>
    <w:p w14:paraId="7D8D9525" w14:textId="77777777" w:rsidR="00C367D4" w:rsidRDefault="00C367D4" w:rsidP="00F93B1C">
      <w:r w:rsidRPr="00C367D4">
        <w:t xml:space="preserve">L’intensité de l’impact est donc considérée comme moyenne, en raison du risque de congestion temporaire et du mélange des flux chantier / exploitation. </w:t>
      </w:r>
    </w:p>
    <w:p w14:paraId="36463EE9" w14:textId="477F668A" w:rsidR="00C367D4" w:rsidRDefault="00C367D4" w:rsidP="00F93B1C">
      <w:r w:rsidRPr="00C367D4">
        <w:t>Les récepteurs sensibles sont constitués des usagers réguliers des voies d’accès, des taxis, du personnel aéroportuaire et, dans une moindre mesure, des riverains proches des axes routiers. Leur sensibilité est évaluée comme moyenne, compte tenu du caractère fonctionnel et déjà anthropisé de l’environnement.</w:t>
      </w:r>
    </w:p>
    <w:tbl>
      <w:tblPr>
        <w:tblStyle w:val="TableauGrille1Clair-Accentuation111"/>
        <w:tblW w:w="0" w:type="auto"/>
        <w:tblLayout w:type="fixed"/>
        <w:tblLook w:val="04A0" w:firstRow="1" w:lastRow="0" w:firstColumn="1" w:lastColumn="0" w:noHBand="0" w:noVBand="1"/>
      </w:tblPr>
      <w:tblGrid>
        <w:gridCol w:w="792"/>
        <w:gridCol w:w="2747"/>
        <w:gridCol w:w="1843"/>
        <w:gridCol w:w="2436"/>
        <w:gridCol w:w="1242"/>
      </w:tblGrid>
      <w:tr w:rsidR="007A2E0D" w:rsidRPr="00B95A9D" w14:paraId="5E6E52E3" w14:textId="77777777" w:rsidTr="005A766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2" w:type="dxa"/>
            <w:hideMark/>
          </w:tcPr>
          <w:p w14:paraId="274170BA" w14:textId="77777777" w:rsidR="007A2E0D" w:rsidRPr="00B95A9D" w:rsidRDefault="007A2E0D" w:rsidP="005A7661">
            <w:pPr>
              <w:rPr>
                <w:rFonts w:asciiTheme="minorHAnsi" w:hAnsiTheme="minorHAnsi" w:cstheme="minorHAnsi"/>
                <w:szCs w:val="20"/>
                <w:lang w:eastAsia="fr-FR" w:bidi="ar-SA"/>
              </w:rPr>
            </w:pPr>
            <w:r w:rsidRPr="00B95A9D">
              <w:rPr>
                <w:rFonts w:asciiTheme="minorHAnsi" w:hAnsiTheme="minorHAnsi" w:cstheme="minorHAnsi"/>
                <w:szCs w:val="20"/>
                <w:lang w:eastAsia="fr-FR" w:bidi="ar-SA"/>
              </w:rPr>
              <w:t>Impact</w:t>
            </w:r>
          </w:p>
        </w:tc>
        <w:tc>
          <w:tcPr>
            <w:tcW w:w="2747" w:type="dxa"/>
            <w:hideMark/>
          </w:tcPr>
          <w:p w14:paraId="148E61FF" w14:textId="77777777" w:rsidR="007A2E0D" w:rsidRPr="00B95A9D" w:rsidRDefault="007A2E0D" w:rsidP="005A7661">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sidRPr="00B95A9D">
              <w:rPr>
                <w:rFonts w:asciiTheme="minorHAnsi" w:hAnsiTheme="minorHAnsi" w:cstheme="minorHAnsi"/>
                <w:szCs w:val="20"/>
                <w:lang w:eastAsia="fr-FR" w:bidi="ar-SA"/>
              </w:rPr>
              <w:t>Activités génératrices</w:t>
            </w:r>
          </w:p>
        </w:tc>
        <w:tc>
          <w:tcPr>
            <w:tcW w:w="1843" w:type="dxa"/>
            <w:hideMark/>
          </w:tcPr>
          <w:p w14:paraId="35521F9F" w14:textId="77777777" w:rsidR="007A2E0D" w:rsidRPr="00B95A9D" w:rsidRDefault="007A2E0D" w:rsidP="005A7661">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sidRPr="00B95A9D">
              <w:rPr>
                <w:rFonts w:asciiTheme="minorHAnsi" w:hAnsiTheme="minorHAnsi" w:cstheme="minorHAnsi"/>
                <w:szCs w:val="20"/>
                <w:lang w:eastAsia="fr-FR" w:bidi="ar-SA"/>
              </w:rPr>
              <w:t>Critère</w:t>
            </w:r>
          </w:p>
        </w:tc>
        <w:tc>
          <w:tcPr>
            <w:tcW w:w="2436" w:type="dxa"/>
            <w:hideMark/>
          </w:tcPr>
          <w:p w14:paraId="2A93E224" w14:textId="77777777" w:rsidR="007A2E0D" w:rsidRPr="00B95A9D" w:rsidRDefault="007A2E0D" w:rsidP="005A7661">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sidRPr="00B95A9D">
              <w:rPr>
                <w:rFonts w:asciiTheme="minorHAnsi" w:hAnsiTheme="minorHAnsi" w:cstheme="minorHAnsi"/>
                <w:szCs w:val="20"/>
                <w:lang w:eastAsia="fr-FR" w:bidi="ar-SA"/>
              </w:rPr>
              <w:t>Justification</w:t>
            </w:r>
          </w:p>
        </w:tc>
        <w:tc>
          <w:tcPr>
            <w:tcW w:w="1242" w:type="dxa"/>
            <w:hideMark/>
          </w:tcPr>
          <w:p w14:paraId="06574E95" w14:textId="77777777" w:rsidR="007A2E0D" w:rsidRPr="00B95A9D" w:rsidRDefault="007A2E0D" w:rsidP="005A7661">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sidRPr="00B95A9D">
              <w:rPr>
                <w:rFonts w:asciiTheme="minorHAnsi" w:hAnsiTheme="minorHAnsi" w:cstheme="minorHAnsi"/>
                <w:szCs w:val="20"/>
                <w:lang w:eastAsia="fr-FR" w:bidi="ar-SA"/>
              </w:rPr>
              <w:t>Niveau</w:t>
            </w:r>
          </w:p>
        </w:tc>
      </w:tr>
      <w:tr w:rsidR="00722E43" w:rsidRPr="00B95A9D" w14:paraId="12B377DC" w14:textId="77777777" w:rsidTr="00722E43">
        <w:tc>
          <w:tcPr>
            <w:cnfStyle w:val="001000000000" w:firstRow="0" w:lastRow="0" w:firstColumn="1" w:lastColumn="0" w:oddVBand="0" w:evenVBand="0" w:oddHBand="0" w:evenHBand="0" w:firstRowFirstColumn="0" w:firstRowLastColumn="0" w:lastRowFirstColumn="0" w:lastRowLastColumn="0"/>
            <w:tcW w:w="792" w:type="dxa"/>
            <w:vMerge w:val="restart"/>
            <w:textDirection w:val="btLr"/>
            <w:vAlign w:val="center"/>
          </w:tcPr>
          <w:p w14:paraId="496EC779" w14:textId="2A97B46E" w:rsidR="00722E43" w:rsidRPr="00B95A9D" w:rsidRDefault="00722E43" w:rsidP="00722E43">
            <w:pPr>
              <w:ind w:left="113" w:right="113"/>
              <w:jc w:val="center"/>
              <w:rPr>
                <w:rFonts w:asciiTheme="minorHAnsi" w:hAnsiTheme="minorHAnsi" w:cstheme="minorHAnsi"/>
                <w:szCs w:val="20"/>
                <w:lang w:eastAsia="fr-FR" w:bidi="ar-SA"/>
              </w:rPr>
            </w:pPr>
            <w:r w:rsidRPr="00722E43">
              <w:rPr>
                <w:rFonts w:asciiTheme="minorHAnsi" w:hAnsiTheme="minorHAnsi" w:cstheme="minorHAnsi"/>
                <w:szCs w:val="20"/>
                <w:lang w:eastAsia="fr-FR" w:bidi="ar-SA"/>
              </w:rPr>
              <w:t>Saturation et congestion du trafic</w:t>
            </w:r>
          </w:p>
        </w:tc>
        <w:tc>
          <w:tcPr>
            <w:tcW w:w="2747" w:type="dxa"/>
            <w:vMerge w:val="restart"/>
          </w:tcPr>
          <w:p w14:paraId="5F8111E1" w14:textId="5287123D" w:rsidR="00722E43" w:rsidRPr="00B95A9D" w:rsidRDefault="00722E43" w:rsidP="00722E43">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sidRPr="00722E43">
              <w:rPr>
                <w:rFonts w:asciiTheme="minorHAnsi" w:hAnsiTheme="minorHAnsi" w:cstheme="minorHAnsi"/>
                <w:szCs w:val="20"/>
                <w:lang w:eastAsia="fr-FR" w:bidi="ar-SA"/>
              </w:rPr>
              <w:t>Circulation accrue d’engins, camions, véhicules de transport de matériaux et de personnel sur les voies d’accès et autour du chantier.</w:t>
            </w:r>
          </w:p>
        </w:tc>
        <w:tc>
          <w:tcPr>
            <w:tcW w:w="1843" w:type="dxa"/>
            <w:hideMark/>
          </w:tcPr>
          <w:p w14:paraId="7597C65E" w14:textId="77777777" w:rsidR="00722E43" w:rsidRPr="00B95A9D" w:rsidRDefault="00722E43" w:rsidP="00722E43">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Cs w:val="20"/>
                <w:lang w:eastAsia="fr-FR" w:bidi="ar-SA"/>
              </w:rPr>
            </w:pPr>
            <w:r w:rsidRPr="00B95A9D">
              <w:rPr>
                <w:rFonts w:asciiTheme="minorHAnsi" w:hAnsiTheme="minorHAnsi" w:cstheme="minorHAnsi"/>
                <w:b/>
                <w:bCs/>
                <w:szCs w:val="20"/>
                <w:lang w:eastAsia="fr-FR" w:bidi="ar-SA"/>
              </w:rPr>
              <w:t>Nature</w:t>
            </w:r>
          </w:p>
        </w:tc>
        <w:tc>
          <w:tcPr>
            <w:tcW w:w="3678" w:type="dxa"/>
            <w:gridSpan w:val="2"/>
          </w:tcPr>
          <w:p w14:paraId="5AA1F7FC" w14:textId="32AC3286" w:rsidR="00722E43" w:rsidRPr="00B95A9D" w:rsidRDefault="00722E43" w:rsidP="00722E43">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Pr>
                <w:rFonts w:asciiTheme="minorHAnsi" w:hAnsiTheme="minorHAnsi" w:cstheme="minorHAnsi"/>
                <w:szCs w:val="20"/>
                <w:lang w:eastAsia="fr-FR" w:bidi="ar-SA"/>
              </w:rPr>
              <w:t>Direct négatif</w:t>
            </w:r>
          </w:p>
        </w:tc>
      </w:tr>
      <w:tr w:rsidR="007A2E0D" w:rsidRPr="00B95A9D" w14:paraId="74A15AEF" w14:textId="77777777" w:rsidTr="00722E43">
        <w:tc>
          <w:tcPr>
            <w:cnfStyle w:val="001000000000" w:firstRow="0" w:lastRow="0" w:firstColumn="1" w:lastColumn="0" w:oddVBand="0" w:evenVBand="0" w:oddHBand="0" w:evenHBand="0" w:firstRowFirstColumn="0" w:firstRowLastColumn="0" w:lastRowFirstColumn="0" w:lastRowLastColumn="0"/>
            <w:tcW w:w="792" w:type="dxa"/>
            <w:vMerge/>
            <w:hideMark/>
          </w:tcPr>
          <w:p w14:paraId="0A09E953" w14:textId="77777777" w:rsidR="007A2E0D" w:rsidRPr="00B95A9D" w:rsidRDefault="007A2E0D" w:rsidP="005A7661">
            <w:pPr>
              <w:rPr>
                <w:rFonts w:asciiTheme="minorHAnsi" w:hAnsiTheme="minorHAnsi" w:cstheme="minorHAnsi"/>
                <w:szCs w:val="20"/>
                <w:lang w:eastAsia="fr-FR" w:bidi="ar-SA"/>
              </w:rPr>
            </w:pPr>
          </w:p>
        </w:tc>
        <w:tc>
          <w:tcPr>
            <w:tcW w:w="2747" w:type="dxa"/>
            <w:vMerge/>
            <w:hideMark/>
          </w:tcPr>
          <w:p w14:paraId="3948C3AF" w14:textId="77777777" w:rsidR="007A2E0D" w:rsidRPr="00B95A9D" w:rsidRDefault="007A2E0D" w:rsidP="005A766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p>
        </w:tc>
        <w:tc>
          <w:tcPr>
            <w:tcW w:w="1843" w:type="dxa"/>
            <w:hideMark/>
          </w:tcPr>
          <w:p w14:paraId="3787E2B2" w14:textId="77777777" w:rsidR="007A2E0D" w:rsidRPr="00B95A9D" w:rsidRDefault="007A2E0D" w:rsidP="005A766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Cs w:val="20"/>
                <w:lang w:eastAsia="fr-FR" w:bidi="ar-SA"/>
              </w:rPr>
            </w:pPr>
            <w:r w:rsidRPr="00B95A9D">
              <w:rPr>
                <w:rFonts w:asciiTheme="minorHAnsi" w:hAnsiTheme="minorHAnsi" w:cstheme="minorHAnsi"/>
                <w:b/>
                <w:bCs/>
                <w:szCs w:val="20"/>
                <w:lang w:eastAsia="fr-FR" w:bidi="ar-SA"/>
              </w:rPr>
              <w:t>Étendue</w:t>
            </w:r>
          </w:p>
        </w:tc>
        <w:tc>
          <w:tcPr>
            <w:tcW w:w="2436" w:type="dxa"/>
          </w:tcPr>
          <w:p w14:paraId="7310A37F" w14:textId="6E34736C" w:rsidR="007A2E0D" w:rsidRPr="00B95A9D" w:rsidRDefault="00722E43" w:rsidP="005A766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sidRPr="00722E43">
              <w:rPr>
                <w:rFonts w:asciiTheme="minorHAnsi" w:hAnsiTheme="minorHAnsi" w:cstheme="minorHAnsi"/>
                <w:szCs w:val="20"/>
                <w:lang w:eastAsia="fr-FR" w:bidi="ar-SA"/>
              </w:rPr>
              <w:t xml:space="preserve">Localisée aux voies d’accès et aux raccordements avec la </w:t>
            </w:r>
            <w:r w:rsidR="00F939AF">
              <w:rPr>
                <w:rFonts w:asciiTheme="minorHAnsi" w:hAnsiTheme="minorHAnsi" w:cstheme="minorHAnsi"/>
                <w:szCs w:val="20"/>
                <w:lang w:eastAsia="fr-FR" w:bidi="ar-SA"/>
              </w:rPr>
              <w:t>RR212</w:t>
            </w:r>
            <w:r w:rsidRPr="00722E43">
              <w:rPr>
                <w:rFonts w:asciiTheme="minorHAnsi" w:hAnsiTheme="minorHAnsi" w:cstheme="minorHAnsi"/>
                <w:szCs w:val="20"/>
                <w:lang w:eastAsia="fr-FR" w:bidi="ar-SA"/>
              </w:rPr>
              <w:t>.</w:t>
            </w:r>
          </w:p>
        </w:tc>
        <w:tc>
          <w:tcPr>
            <w:tcW w:w="1242" w:type="dxa"/>
          </w:tcPr>
          <w:p w14:paraId="605D415C" w14:textId="64F7EC06" w:rsidR="007A2E0D" w:rsidRPr="00B95A9D" w:rsidRDefault="00722E43" w:rsidP="005A766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Cs w:val="20"/>
                <w:lang w:eastAsia="fr-FR" w:bidi="ar-SA"/>
              </w:rPr>
            </w:pPr>
            <w:r>
              <w:rPr>
                <w:rFonts w:asciiTheme="minorHAnsi" w:hAnsiTheme="minorHAnsi" w:cstheme="minorHAnsi"/>
                <w:b/>
                <w:bCs/>
                <w:szCs w:val="20"/>
                <w:lang w:eastAsia="fr-FR" w:bidi="ar-SA"/>
              </w:rPr>
              <w:t>Locale</w:t>
            </w:r>
          </w:p>
        </w:tc>
      </w:tr>
      <w:tr w:rsidR="007A2E0D" w:rsidRPr="00B95A9D" w14:paraId="1400F4B8" w14:textId="77777777" w:rsidTr="00722E43">
        <w:tc>
          <w:tcPr>
            <w:cnfStyle w:val="001000000000" w:firstRow="0" w:lastRow="0" w:firstColumn="1" w:lastColumn="0" w:oddVBand="0" w:evenVBand="0" w:oddHBand="0" w:evenHBand="0" w:firstRowFirstColumn="0" w:firstRowLastColumn="0" w:lastRowFirstColumn="0" w:lastRowLastColumn="0"/>
            <w:tcW w:w="792" w:type="dxa"/>
            <w:vMerge/>
            <w:hideMark/>
          </w:tcPr>
          <w:p w14:paraId="6D2A6DF8" w14:textId="77777777" w:rsidR="007A2E0D" w:rsidRPr="00B95A9D" w:rsidRDefault="007A2E0D" w:rsidP="005A7661">
            <w:pPr>
              <w:rPr>
                <w:rFonts w:asciiTheme="minorHAnsi" w:hAnsiTheme="minorHAnsi" w:cstheme="minorHAnsi"/>
                <w:szCs w:val="20"/>
                <w:lang w:eastAsia="fr-FR" w:bidi="ar-SA"/>
              </w:rPr>
            </w:pPr>
          </w:p>
        </w:tc>
        <w:tc>
          <w:tcPr>
            <w:tcW w:w="2747" w:type="dxa"/>
            <w:vMerge/>
            <w:hideMark/>
          </w:tcPr>
          <w:p w14:paraId="0FC9B9B5" w14:textId="77777777" w:rsidR="007A2E0D" w:rsidRPr="00B95A9D" w:rsidRDefault="007A2E0D" w:rsidP="005A766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p>
        </w:tc>
        <w:tc>
          <w:tcPr>
            <w:tcW w:w="1843" w:type="dxa"/>
            <w:hideMark/>
          </w:tcPr>
          <w:p w14:paraId="48E61CE9" w14:textId="77777777" w:rsidR="007A2E0D" w:rsidRPr="00B95A9D" w:rsidRDefault="007A2E0D" w:rsidP="005A766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Cs w:val="20"/>
                <w:lang w:eastAsia="fr-FR" w:bidi="ar-SA"/>
              </w:rPr>
            </w:pPr>
            <w:r w:rsidRPr="00B95A9D">
              <w:rPr>
                <w:rFonts w:asciiTheme="minorHAnsi" w:hAnsiTheme="minorHAnsi" w:cstheme="minorHAnsi"/>
                <w:b/>
                <w:bCs/>
                <w:szCs w:val="20"/>
                <w:lang w:eastAsia="fr-FR" w:bidi="ar-SA"/>
              </w:rPr>
              <w:t>Durée</w:t>
            </w:r>
          </w:p>
        </w:tc>
        <w:tc>
          <w:tcPr>
            <w:tcW w:w="2436" w:type="dxa"/>
          </w:tcPr>
          <w:p w14:paraId="3EEFED69" w14:textId="0ADC5A96" w:rsidR="007A2E0D" w:rsidRPr="00B95A9D" w:rsidRDefault="00722E43" w:rsidP="005A766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sidRPr="00722E43">
              <w:rPr>
                <w:rFonts w:asciiTheme="minorHAnsi" w:hAnsiTheme="minorHAnsi" w:cstheme="minorHAnsi"/>
                <w:szCs w:val="20"/>
                <w:lang w:eastAsia="fr-FR" w:bidi="ar-SA"/>
              </w:rPr>
              <w:t>Temporaire, limitée à la période des travaux.</w:t>
            </w:r>
          </w:p>
        </w:tc>
        <w:tc>
          <w:tcPr>
            <w:tcW w:w="1242" w:type="dxa"/>
          </w:tcPr>
          <w:p w14:paraId="1573BC06" w14:textId="6880BBAC" w:rsidR="007A2E0D" w:rsidRPr="00B95A9D" w:rsidRDefault="00722E43" w:rsidP="005A766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Cs w:val="20"/>
                <w:lang w:eastAsia="fr-FR" w:bidi="ar-SA"/>
              </w:rPr>
            </w:pPr>
            <w:r>
              <w:rPr>
                <w:rFonts w:asciiTheme="minorHAnsi" w:hAnsiTheme="minorHAnsi" w:cstheme="minorHAnsi"/>
                <w:b/>
                <w:bCs/>
                <w:szCs w:val="20"/>
                <w:lang w:eastAsia="fr-FR" w:bidi="ar-SA"/>
              </w:rPr>
              <w:t>Court terme</w:t>
            </w:r>
          </w:p>
        </w:tc>
      </w:tr>
      <w:tr w:rsidR="007A2E0D" w:rsidRPr="00B95A9D" w14:paraId="2E14D4B3" w14:textId="77777777" w:rsidTr="00722E43">
        <w:tc>
          <w:tcPr>
            <w:cnfStyle w:val="001000000000" w:firstRow="0" w:lastRow="0" w:firstColumn="1" w:lastColumn="0" w:oddVBand="0" w:evenVBand="0" w:oddHBand="0" w:evenHBand="0" w:firstRowFirstColumn="0" w:firstRowLastColumn="0" w:lastRowFirstColumn="0" w:lastRowLastColumn="0"/>
            <w:tcW w:w="792" w:type="dxa"/>
            <w:vMerge/>
            <w:hideMark/>
          </w:tcPr>
          <w:p w14:paraId="03B8F5B6" w14:textId="77777777" w:rsidR="007A2E0D" w:rsidRPr="00B95A9D" w:rsidRDefault="007A2E0D" w:rsidP="005A7661">
            <w:pPr>
              <w:rPr>
                <w:rFonts w:asciiTheme="minorHAnsi" w:hAnsiTheme="minorHAnsi" w:cstheme="minorHAnsi"/>
                <w:szCs w:val="20"/>
                <w:lang w:eastAsia="fr-FR" w:bidi="ar-SA"/>
              </w:rPr>
            </w:pPr>
          </w:p>
        </w:tc>
        <w:tc>
          <w:tcPr>
            <w:tcW w:w="2747" w:type="dxa"/>
            <w:vMerge/>
            <w:hideMark/>
          </w:tcPr>
          <w:p w14:paraId="69B709CD" w14:textId="77777777" w:rsidR="007A2E0D" w:rsidRPr="00B95A9D" w:rsidRDefault="007A2E0D" w:rsidP="005A766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p>
        </w:tc>
        <w:tc>
          <w:tcPr>
            <w:tcW w:w="1843" w:type="dxa"/>
            <w:hideMark/>
          </w:tcPr>
          <w:p w14:paraId="2DFFF0A4" w14:textId="77777777" w:rsidR="007A2E0D" w:rsidRPr="00B95A9D" w:rsidRDefault="007A2E0D" w:rsidP="005A766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Cs w:val="20"/>
                <w:lang w:eastAsia="fr-FR" w:bidi="ar-SA"/>
              </w:rPr>
            </w:pPr>
            <w:r w:rsidRPr="00B95A9D">
              <w:rPr>
                <w:rFonts w:asciiTheme="minorHAnsi" w:hAnsiTheme="minorHAnsi" w:cstheme="minorHAnsi"/>
                <w:b/>
                <w:bCs/>
                <w:szCs w:val="20"/>
                <w:lang w:eastAsia="fr-FR" w:bidi="ar-SA"/>
              </w:rPr>
              <w:t>Fréquence</w:t>
            </w:r>
          </w:p>
        </w:tc>
        <w:tc>
          <w:tcPr>
            <w:tcW w:w="2436" w:type="dxa"/>
          </w:tcPr>
          <w:p w14:paraId="4EBF7E06" w14:textId="1C34160C" w:rsidR="007A2E0D" w:rsidRPr="00911A3C" w:rsidRDefault="00722E43" w:rsidP="005A766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sidRPr="00722E43">
              <w:rPr>
                <w:rFonts w:asciiTheme="minorHAnsi" w:hAnsiTheme="minorHAnsi" w:cstheme="minorHAnsi"/>
                <w:szCs w:val="20"/>
                <w:lang w:eastAsia="fr-FR" w:bidi="ar-SA"/>
              </w:rPr>
              <w:t>Intermittente, concentrée sur les périodes d’approvisionnement et de livraison.</w:t>
            </w:r>
          </w:p>
        </w:tc>
        <w:tc>
          <w:tcPr>
            <w:tcW w:w="1242" w:type="dxa"/>
          </w:tcPr>
          <w:p w14:paraId="235279BC" w14:textId="5161E92A" w:rsidR="007A2E0D" w:rsidRPr="00B95A9D" w:rsidRDefault="00722E43" w:rsidP="005A766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Cs w:val="20"/>
                <w:lang w:eastAsia="fr-FR" w:bidi="ar-SA"/>
              </w:rPr>
            </w:pPr>
            <w:r>
              <w:rPr>
                <w:rFonts w:asciiTheme="minorHAnsi" w:hAnsiTheme="minorHAnsi" w:cstheme="minorHAnsi"/>
                <w:szCs w:val="20"/>
                <w:lang w:eastAsia="fr-FR" w:bidi="ar-SA"/>
              </w:rPr>
              <w:t>I</w:t>
            </w:r>
            <w:r w:rsidRPr="00722E43">
              <w:rPr>
                <w:rFonts w:asciiTheme="minorHAnsi" w:hAnsiTheme="minorHAnsi" w:cstheme="minorHAnsi"/>
                <w:szCs w:val="20"/>
                <w:lang w:eastAsia="fr-FR" w:bidi="ar-SA"/>
              </w:rPr>
              <w:t>ntermittente</w:t>
            </w:r>
          </w:p>
        </w:tc>
      </w:tr>
      <w:tr w:rsidR="007A2E0D" w:rsidRPr="00B95A9D" w14:paraId="7085EF6D" w14:textId="77777777" w:rsidTr="00722E43">
        <w:tc>
          <w:tcPr>
            <w:cnfStyle w:val="001000000000" w:firstRow="0" w:lastRow="0" w:firstColumn="1" w:lastColumn="0" w:oddVBand="0" w:evenVBand="0" w:oddHBand="0" w:evenHBand="0" w:firstRowFirstColumn="0" w:firstRowLastColumn="0" w:lastRowFirstColumn="0" w:lastRowLastColumn="0"/>
            <w:tcW w:w="792" w:type="dxa"/>
            <w:vMerge/>
            <w:hideMark/>
          </w:tcPr>
          <w:p w14:paraId="7030A1BA" w14:textId="77777777" w:rsidR="007A2E0D" w:rsidRPr="00B95A9D" w:rsidRDefault="007A2E0D" w:rsidP="005A7661">
            <w:pPr>
              <w:rPr>
                <w:rFonts w:asciiTheme="minorHAnsi" w:hAnsiTheme="minorHAnsi" w:cstheme="minorHAnsi"/>
                <w:szCs w:val="20"/>
                <w:lang w:eastAsia="fr-FR" w:bidi="ar-SA"/>
              </w:rPr>
            </w:pPr>
          </w:p>
        </w:tc>
        <w:tc>
          <w:tcPr>
            <w:tcW w:w="2747" w:type="dxa"/>
            <w:vMerge/>
            <w:hideMark/>
          </w:tcPr>
          <w:p w14:paraId="14B96072" w14:textId="77777777" w:rsidR="007A2E0D" w:rsidRPr="00B95A9D" w:rsidRDefault="007A2E0D" w:rsidP="005A766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p>
        </w:tc>
        <w:tc>
          <w:tcPr>
            <w:tcW w:w="1843" w:type="dxa"/>
            <w:shd w:val="clear" w:color="auto" w:fill="D9E2F3"/>
            <w:hideMark/>
          </w:tcPr>
          <w:p w14:paraId="26B5C344" w14:textId="77777777" w:rsidR="007A2E0D" w:rsidRPr="00B95A9D" w:rsidRDefault="007A2E0D" w:rsidP="005A766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Cs w:val="20"/>
                <w:lang w:eastAsia="fr-FR" w:bidi="ar-SA"/>
              </w:rPr>
            </w:pPr>
            <w:r w:rsidRPr="00B95A9D">
              <w:rPr>
                <w:rFonts w:asciiTheme="minorHAnsi" w:hAnsiTheme="minorHAnsi" w:cstheme="minorHAnsi"/>
                <w:b/>
                <w:bCs/>
                <w:szCs w:val="20"/>
                <w:lang w:eastAsia="fr-FR" w:bidi="ar-SA"/>
              </w:rPr>
              <w:t>Intensité</w:t>
            </w:r>
          </w:p>
        </w:tc>
        <w:tc>
          <w:tcPr>
            <w:tcW w:w="2436" w:type="dxa"/>
            <w:shd w:val="clear" w:color="auto" w:fill="D9E2F3"/>
          </w:tcPr>
          <w:p w14:paraId="2610D6FB" w14:textId="3CFA59DB" w:rsidR="007A2E0D" w:rsidRPr="00B95A9D" w:rsidRDefault="00811803" w:rsidP="005A766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sidRPr="00811803">
              <w:rPr>
                <w:rFonts w:asciiTheme="minorHAnsi" w:hAnsiTheme="minorHAnsi" w:cstheme="minorHAnsi"/>
                <w:szCs w:val="20"/>
                <w:lang w:eastAsia="fr-FR" w:bidi="ar-SA"/>
              </w:rPr>
              <w:t>Moyenne, en raison du risque de congestion ponctuelle et du mélange des flux chantier/exploitation.</w:t>
            </w:r>
          </w:p>
        </w:tc>
        <w:tc>
          <w:tcPr>
            <w:tcW w:w="1242" w:type="dxa"/>
            <w:shd w:val="clear" w:color="auto" w:fill="D9E2F3"/>
          </w:tcPr>
          <w:p w14:paraId="6F141566" w14:textId="04A434DE" w:rsidR="007A2E0D" w:rsidRPr="00B95A9D" w:rsidRDefault="00722E43" w:rsidP="005A766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Cs w:val="20"/>
                <w:lang w:eastAsia="fr-FR" w:bidi="ar-SA"/>
              </w:rPr>
            </w:pPr>
            <w:r>
              <w:rPr>
                <w:rFonts w:asciiTheme="minorHAnsi" w:hAnsiTheme="minorHAnsi" w:cstheme="minorHAnsi"/>
                <w:b/>
                <w:bCs/>
                <w:szCs w:val="20"/>
                <w:lang w:eastAsia="fr-FR" w:bidi="ar-SA"/>
              </w:rPr>
              <w:t>Moyenne</w:t>
            </w:r>
          </w:p>
        </w:tc>
      </w:tr>
      <w:tr w:rsidR="007A2E0D" w:rsidRPr="00B95A9D" w14:paraId="37C8DCC0" w14:textId="77777777" w:rsidTr="005A7661">
        <w:tc>
          <w:tcPr>
            <w:cnfStyle w:val="001000000000" w:firstRow="0" w:lastRow="0" w:firstColumn="1" w:lastColumn="0" w:oddVBand="0" w:evenVBand="0" w:oddHBand="0" w:evenHBand="0" w:firstRowFirstColumn="0" w:firstRowLastColumn="0" w:lastRowFirstColumn="0" w:lastRowLastColumn="0"/>
            <w:tcW w:w="792" w:type="dxa"/>
            <w:vMerge/>
          </w:tcPr>
          <w:p w14:paraId="5D3F0EB9" w14:textId="77777777" w:rsidR="007A2E0D" w:rsidRPr="00B95A9D" w:rsidRDefault="007A2E0D" w:rsidP="005A7661">
            <w:pPr>
              <w:rPr>
                <w:rFonts w:asciiTheme="minorHAnsi" w:hAnsiTheme="minorHAnsi" w:cstheme="minorHAnsi"/>
                <w:szCs w:val="20"/>
                <w:lang w:eastAsia="fr-FR" w:bidi="ar-SA"/>
              </w:rPr>
            </w:pPr>
          </w:p>
        </w:tc>
        <w:tc>
          <w:tcPr>
            <w:tcW w:w="8268" w:type="dxa"/>
            <w:gridSpan w:val="4"/>
          </w:tcPr>
          <w:p w14:paraId="5724BF39" w14:textId="77777777" w:rsidR="007A2E0D" w:rsidRPr="00B95A9D" w:rsidRDefault="007A2E0D" w:rsidP="005A7661">
            <w:pPr>
              <w:spacing w:before="0" w:after="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Cs w:val="20"/>
                <w:lang w:eastAsia="fr-FR" w:bidi="ar-SA"/>
              </w:rPr>
            </w:pPr>
          </w:p>
        </w:tc>
      </w:tr>
      <w:tr w:rsidR="007A2E0D" w:rsidRPr="00B95A9D" w14:paraId="0C427060" w14:textId="77777777" w:rsidTr="00722E43">
        <w:tc>
          <w:tcPr>
            <w:cnfStyle w:val="001000000000" w:firstRow="0" w:lastRow="0" w:firstColumn="1" w:lastColumn="0" w:oddVBand="0" w:evenVBand="0" w:oddHBand="0" w:evenHBand="0" w:firstRowFirstColumn="0" w:firstRowLastColumn="0" w:lastRowFirstColumn="0" w:lastRowLastColumn="0"/>
            <w:tcW w:w="792" w:type="dxa"/>
            <w:vMerge/>
          </w:tcPr>
          <w:p w14:paraId="2FC992EF" w14:textId="77777777" w:rsidR="007A2E0D" w:rsidRPr="00B95A9D" w:rsidRDefault="007A2E0D" w:rsidP="005A7661">
            <w:pPr>
              <w:rPr>
                <w:rFonts w:asciiTheme="minorHAnsi" w:hAnsiTheme="minorHAnsi" w:cstheme="minorHAnsi"/>
                <w:szCs w:val="20"/>
                <w:lang w:eastAsia="fr-FR" w:bidi="ar-SA"/>
              </w:rPr>
            </w:pPr>
          </w:p>
        </w:tc>
        <w:tc>
          <w:tcPr>
            <w:tcW w:w="2747" w:type="dxa"/>
            <w:shd w:val="clear" w:color="auto" w:fill="B4C6E7" w:themeFill="accent1" w:themeFillTint="66"/>
            <w:vAlign w:val="center"/>
          </w:tcPr>
          <w:p w14:paraId="6316A4DA" w14:textId="77777777" w:rsidR="007A2E0D" w:rsidRPr="00B95A9D" w:rsidRDefault="007A2E0D" w:rsidP="005A766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sidRPr="00B95A9D">
              <w:rPr>
                <w:rFonts w:asciiTheme="minorHAnsi" w:hAnsiTheme="minorHAnsi" w:cstheme="minorHAnsi"/>
                <w:b/>
                <w:bCs/>
                <w:szCs w:val="20"/>
              </w:rPr>
              <w:t>Intensité de l’impact</w:t>
            </w:r>
          </w:p>
        </w:tc>
        <w:tc>
          <w:tcPr>
            <w:tcW w:w="1843" w:type="dxa"/>
            <w:shd w:val="clear" w:color="auto" w:fill="B4C6E7" w:themeFill="accent1" w:themeFillTint="66"/>
            <w:vAlign w:val="center"/>
          </w:tcPr>
          <w:p w14:paraId="76BF2AB7" w14:textId="77777777" w:rsidR="007A2E0D" w:rsidRPr="00B95A9D" w:rsidRDefault="007A2E0D" w:rsidP="005A766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Cs w:val="20"/>
                <w:lang w:eastAsia="fr-FR" w:bidi="ar-SA"/>
              </w:rPr>
            </w:pPr>
            <w:r w:rsidRPr="00B95A9D">
              <w:rPr>
                <w:rFonts w:asciiTheme="minorHAnsi" w:hAnsiTheme="minorHAnsi" w:cstheme="minorHAnsi"/>
                <w:b/>
                <w:bCs/>
                <w:szCs w:val="20"/>
              </w:rPr>
              <w:t>Récepteurs</w:t>
            </w:r>
          </w:p>
        </w:tc>
        <w:tc>
          <w:tcPr>
            <w:tcW w:w="2436" w:type="dxa"/>
            <w:shd w:val="clear" w:color="auto" w:fill="B4C6E7" w:themeFill="accent1" w:themeFillTint="66"/>
            <w:vAlign w:val="center"/>
          </w:tcPr>
          <w:p w14:paraId="1ED6A16C" w14:textId="77777777" w:rsidR="007A2E0D" w:rsidRPr="00B95A9D" w:rsidRDefault="007A2E0D" w:rsidP="005A766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sidRPr="00B95A9D">
              <w:rPr>
                <w:rFonts w:asciiTheme="minorHAnsi" w:hAnsiTheme="minorHAnsi" w:cstheme="minorHAnsi"/>
                <w:b/>
                <w:bCs/>
                <w:szCs w:val="20"/>
              </w:rPr>
              <w:t>Sensibilité</w:t>
            </w:r>
          </w:p>
        </w:tc>
        <w:tc>
          <w:tcPr>
            <w:tcW w:w="1242" w:type="dxa"/>
            <w:shd w:val="clear" w:color="auto" w:fill="B4C6E7" w:themeFill="accent1" w:themeFillTint="66"/>
            <w:vAlign w:val="center"/>
          </w:tcPr>
          <w:p w14:paraId="2AFB784A" w14:textId="77777777" w:rsidR="007A2E0D" w:rsidRPr="00B95A9D" w:rsidRDefault="007A2E0D" w:rsidP="005A766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Cs w:val="20"/>
                <w:lang w:eastAsia="fr-FR" w:bidi="ar-SA"/>
              </w:rPr>
            </w:pPr>
            <w:r w:rsidRPr="00B95A9D">
              <w:rPr>
                <w:rFonts w:asciiTheme="minorHAnsi" w:hAnsiTheme="minorHAnsi" w:cstheme="minorHAnsi"/>
                <w:b/>
                <w:bCs/>
                <w:szCs w:val="20"/>
              </w:rPr>
              <w:t>Importance de l’impact</w:t>
            </w:r>
          </w:p>
        </w:tc>
      </w:tr>
      <w:tr w:rsidR="007A2E0D" w:rsidRPr="00B95A9D" w14:paraId="202DC01E" w14:textId="77777777" w:rsidTr="00722E43">
        <w:tc>
          <w:tcPr>
            <w:cnfStyle w:val="001000000000" w:firstRow="0" w:lastRow="0" w:firstColumn="1" w:lastColumn="0" w:oddVBand="0" w:evenVBand="0" w:oddHBand="0" w:evenHBand="0" w:firstRowFirstColumn="0" w:firstRowLastColumn="0" w:lastRowFirstColumn="0" w:lastRowLastColumn="0"/>
            <w:tcW w:w="792" w:type="dxa"/>
            <w:vMerge/>
          </w:tcPr>
          <w:p w14:paraId="6BDDBCE8" w14:textId="77777777" w:rsidR="007A2E0D" w:rsidRPr="00B95A9D" w:rsidRDefault="007A2E0D" w:rsidP="005A7661">
            <w:pPr>
              <w:rPr>
                <w:rFonts w:asciiTheme="minorHAnsi" w:hAnsiTheme="minorHAnsi" w:cstheme="minorHAnsi"/>
                <w:szCs w:val="20"/>
                <w:lang w:eastAsia="fr-FR" w:bidi="ar-SA"/>
              </w:rPr>
            </w:pPr>
          </w:p>
        </w:tc>
        <w:tc>
          <w:tcPr>
            <w:tcW w:w="2747" w:type="dxa"/>
            <w:vAlign w:val="center"/>
          </w:tcPr>
          <w:p w14:paraId="34A50CAA" w14:textId="06CEEF02" w:rsidR="007A2E0D" w:rsidRPr="00B95A9D" w:rsidRDefault="00811803" w:rsidP="005A766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Pr>
                <w:rFonts w:asciiTheme="minorHAnsi" w:hAnsiTheme="minorHAnsi" w:cstheme="minorHAnsi"/>
                <w:szCs w:val="20"/>
                <w:lang w:eastAsia="fr-FR" w:bidi="ar-SA"/>
              </w:rPr>
              <w:t>Moyenne</w:t>
            </w:r>
          </w:p>
        </w:tc>
        <w:tc>
          <w:tcPr>
            <w:tcW w:w="1843" w:type="dxa"/>
            <w:vAlign w:val="center"/>
          </w:tcPr>
          <w:p w14:paraId="3AE39D51" w14:textId="769D4234" w:rsidR="007A2E0D" w:rsidRPr="004637C7" w:rsidRDefault="00811803" w:rsidP="005A766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sidRPr="004637C7">
              <w:rPr>
                <w:rFonts w:asciiTheme="minorHAnsi" w:hAnsiTheme="minorHAnsi" w:cstheme="minorHAnsi"/>
                <w:szCs w:val="20"/>
                <w:lang w:eastAsia="fr-FR" w:bidi="ar-SA"/>
              </w:rPr>
              <w:t xml:space="preserve">Usagers de la </w:t>
            </w:r>
            <w:r w:rsidR="00F939AF">
              <w:rPr>
                <w:rFonts w:asciiTheme="minorHAnsi" w:hAnsiTheme="minorHAnsi" w:cstheme="minorHAnsi"/>
                <w:szCs w:val="20"/>
                <w:lang w:eastAsia="fr-FR" w:bidi="ar-SA"/>
              </w:rPr>
              <w:t>RR212</w:t>
            </w:r>
            <w:r w:rsidRPr="004637C7">
              <w:rPr>
                <w:rFonts w:asciiTheme="minorHAnsi" w:hAnsiTheme="minorHAnsi" w:cstheme="minorHAnsi"/>
                <w:szCs w:val="20"/>
                <w:lang w:eastAsia="fr-FR" w:bidi="ar-SA"/>
              </w:rPr>
              <w:t>, personnel aéroportuaire, taxis, riverains proches des axes</w:t>
            </w:r>
          </w:p>
        </w:tc>
        <w:tc>
          <w:tcPr>
            <w:tcW w:w="2436" w:type="dxa"/>
            <w:vAlign w:val="center"/>
          </w:tcPr>
          <w:p w14:paraId="4916F1CF" w14:textId="2BEE6EDB" w:rsidR="007A2E0D" w:rsidRPr="00B95A9D" w:rsidRDefault="00811803" w:rsidP="005A766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Pr>
                <w:rFonts w:asciiTheme="minorHAnsi" w:hAnsiTheme="minorHAnsi" w:cstheme="minorHAnsi"/>
                <w:szCs w:val="20"/>
                <w:lang w:eastAsia="fr-FR" w:bidi="ar-SA"/>
              </w:rPr>
              <w:t>Moyenne</w:t>
            </w:r>
          </w:p>
        </w:tc>
        <w:tc>
          <w:tcPr>
            <w:tcW w:w="1242" w:type="dxa"/>
            <w:vAlign w:val="center"/>
          </w:tcPr>
          <w:p w14:paraId="104773AF" w14:textId="3A00DB25" w:rsidR="007A2E0D" w:rsidRPr="00B95A9D" w:rsidRDefault="00811803" w:rsidP="005A766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Cs w:val="20"/>
                <w:lang w:eastAsia="fr-FR" w:bidi="ar-SA"/>
              </w:rPr>
            </w:pPr>
            <w:r>
              <w:rPr>
                <w:rFonts w:asciiTheme="minorHAnsi" w:hAnsiTheme="minorHAnsi" w:cstheme="minorHAnsi"/>
                <w:b/>
                <w:bCs/>
                <w:szCs w:val="20"/>
                <w:lang w:eastAsia="fr-FR" w:bidi="ar-SA"/>
              </w:rPr>
              <w:t>Modérée</w:t>
            </w:r>
          </w:p>
        </w:tc>
      </w:tr>
    </w:tbl>
    <w:p w14:paraId="4C1FD8E8" w14:textId="57C588AC" w:rsidR="00C367D4" w:rsidRDefault="00FE09F4" w:rsidP="0001633E">
      <w:pPr>
        <w:pStyle w:val="AltTitle2"/>
        <w:numPr>
          <w:ilvl w:val="0"/>
          <w:numId w:val="106"/>
        </w:numPr>
      </w:pPr>
      <w:r w:rsidRPr="00FE09F4">
        <w:lastRenderedPageBreak/>
        <w:t>Dégradation du revêtement routier</w:t>
      </w:r>
    </w:p>
    <w:p w14:paraId="40B653CB" w14:textId="46C83B85" w:rsidR="00A12FBC" w:rsidRPr="00FE09F4" w:rsidRDefault="00FE09F4" w:rsidP="00E27269">
      <w:r w:rsidRPr="00FE09F4">
        <w:t xml:space="preserve">Durant la phase de construction, la circulation répétée d’engins lourds, de camions de transport de matériaux et de véhicules de chantier sur les voies d’accès au site pourra entraîner une </w:t>
      </w:r>
      <w:r w:rsidRPr="004637C7">
        <w:t>dégradation progressive du revêtement routier existant</w:t>
      </w:r>
      <w:r w:rsidRPr="00FE09F4">
        <w:t xml:space="preserve">, notamment sur les tronçons non dimensionnés pour supporter des charges importantes. Les risques concernent particulièrement les </w:t>
      </w:r>
      <w:r w:rsidRPr="004637C7">
        <w:t>routes secondaires menant à la zone de travaux</w:t>
      </w:r>
      <w:r w:rsidRPr="00FE09F4">
        <w:t xml:space="preserve"> et, dans une moindre mesure, certains segments de la </w:t>
      </w:r>
      <w:r w:rsidR="00F939AF">
        <w:t>RR212</w:t>
      </w:r>
      <w:r w:rsidRPr="00FE09F4">
        <w:t xml:space="preserve"> utilisés pour les approvisionnements.</w:t>
      </w:r>
    </w:p>
    <w:p w14:paraId="7E20C136" w14:textId="3555E76E" w:rsidR="00FE09F4" w:rsidRDefault="00FE09F4" w:rsidP="00E27269">
      <w:r w:rsidRPr="00FE09F4">
        <w:t>L’impact est de nature négative et directe, car il découle des sollicitations mécaniques répétées exercées sur la chaussée et des passages fréquents de véhicules en surcharge. Son étendue est locale, limitée aux voies d’accès et aux aires de manœuvre du chantier. La durée de l’impact est temporaire, correspondant à la période active de circulation des camions et engins lourds, mais ses effets peuvent être durables si la dégradation du revêtement n’est pas réparée après travaux. La fréquence de l’impact est régulière à quotidienne pendant toute la phase de transport de matériaux.</w:t>
      </w:r>
    </w:p>
    <w:p w14:paraId="3C397D64" w14:textId="77777777" w:rsidR="00FE09F4" w:rsidRPr="007A2E0D" w:rsidRDefault="00FE09F4" w:rsidP="00E27269">
      <w:r w:rsidRPr="007A2E0D">
        <w:t>L’</w:t>
      </w:r>
      <w:r w:rsidRPr="004637C7">
        <w:t>intensité</w:t>
      </w:r>
      <w:r w:rsidRPr="007A2E0D">
        <w:t xml:space="preserve"> est jugée </w:t>
      </w:r>
      <w:r w:rsidRPr="004637C7">
        <w:t>moyenne à forte</w:t>
      </w:r>
      <w:r w:rsidRPr="007A2E0D">
        <w:t xml:space="preserve">, selon la résistance des chaussées concernées et la proportion de poids lourds empruntant les axes locaux. Des phénomènes tels que </w:t>
      </w:r>
      <w:r w:rsidRPr="004637C7">
        <w:t>l’orniérage</w:t>
      </w:r>
      <w:r w:rsidRPr="007A2E0D">
        <w:t xml:space="preserve">, </w:t>
      </w:r>
      <w:r w:rsidRPr="004637C7">
        <w:t>l’effritement des bordures</w:t>
      </w:r>
      <w:r w:rsidRPr="007A2E0D">
        <w:t xml:space="preserve"> ou la </w:t>
      </w:r>
      <w:r w:rsidRPr="004637C7">
        <w:t>formation de nids-de-poule</w:t>
      </w:r>
      <w:r w:rsidRPr="007A2E0D">
        <w:t xml:space="preserve"> pourraient apparaître, accentués par les conditions climatiques (pluies hivernales, ruissellement). </w:t>
      </w:r>
    </w:p>
    <w:p w14:paraId="31D13022" w14:textId="61BA3F5D" w:rsidR="00FE09F4" w:rsidRDefault="00FE09F4" w:rsidP="00E27269">
      <w:r w:rsidRPr="007A2E0D">
        <w:t xml:space="preserve">Les récepteurs sensibles sont constitués des usagers de ces voies (riverains, agriculteurs, transporteurs) et des autorités locales chargées de leur entretien, dont la sensibilité est considérée comme moyenne à </w:t>
      </w:r>
      <w:r w:rsidR="00EF4672">
        <w:t>forte</w:t>
      </w:r>
      <w:r w:rsidRPr="007A2E0D">
        <w:t>, en raison du coût et de l’inconfort induit par la détérioration des infrastructures.</w:t>
      </w:r>
    </w:p>
    <w:tbl>
      <w:tblPr>
        <w:tblStyle w:val="TableauGrille1Clair-Accentuation111"/>
        <w:tblW w:w="0" w:type="auto"/>
        <w:tblLayout w:type="fixed"/>
        <w:tblLook w:val="04A0" w:firstRow="1" w:lastRow="0" w:firstColumn="1" w:lastColumn="0" w:noHBand="0" w:noVBand="1"/>
      </w:tblPr>
      <w:tblGrid>
        <w:gridCol w:w="792"/>
        <w:gridCol w:w="2747"/>
        <w:gridCol w:w="1843"/>
        <w:gridCol w:w="2436"/>
        <w:gridCol w:w="1242"/>
      </w:tblGrid>
      <w:tr w:rsidR="00663FBC" w:rsidRPr="00B95A9D" w14:paraId="242A6446" w14:textId="77777777" w:rsidTr="005A766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2" w:type="dxa"/>
            <w:hideMark/>
          </w:tcPr>
          <w:p w14:paraId="747F24F8" w14:textId="77777777" w:rsidR="00663FBC" w:rsidRPr="00B95A9D" w:rsidRDefault="00663FBC" w:rsidP="005A7661">
            <w:pPr>
              <w:rPr>
                <w:rFonts w:asciiTheme="minorHAnsi" w:hAnsiTheme="minorHAnsi" w:cstheme="minorHAnsi"/>
                <w:szCs w:val="20"/>
                <w:lang w:eastAsia="fr-FR" w:bidi="ar-SA"/>
              </w:rPr>
            </w:pPr>
            <w:r w:rsidRPr="00B95A9D">
              <w:rPr>
                <w:rFonts w:asciiTheme="minorHAnsi" w:hAnsiTheme="minorHAnsi" w:cstheme="minorHAnsi"/>
                <w:szCs w:val="20"/>
                <w:lang w:eastAsia="fr-FR" w:bidi="ar-SA"/>
              </w:rPr>
              <w:t>Impact</w:t>
            </w:r>
          </w:p>
        </w:tc>
        <w:tc>
          <w:tcPr>
            <w:tcW w:w="2747" w:type="dxa"/>
            <w:hideMark/>
          </w:tcPr>
          <w:p w14:paraId="4CBA29B1" w14:textId="77777777" w:rsidR="00663FBC" w:rsidRPr="00B95A9D" w:rsidRDefault="00663FBC" w:rsidP="005A7661">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sidRPr="00B95A9D">
              <w:rPr>
                <w:rFonts w:asciiTheme="minorHAnsi" w:hAnsiTheme="minorHAnsi" w:cstheme="minorHAnsi"/>
                <w:szCs w:val="20"/>
                <w:lang w:eastAsia="fr-FR" w:bidi="ar-SA"/>
              </w:rPr>
              <w:t>Activités génératrices</w:t>
            </w:r>
          </w:p>
        </w:tc>
        <w:tc>
          <w:tcPr>
            <w:tcW w:w="1843" w:type="dxa"/>
            <w:hideMark/>
          </w:tcPr>
          <w:p w14:paraId="1CDE3ED9" w14:textId="77777777" w:rsidR="00663FBC" w:rsidRPr="00B95A9D" w:rsidRDefault="00663FBC" w:rsidP="005A7661">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sidRPr="00B95A9D">
              <w:rPr>
                <w:rFonts w:asciiTheme="minorHAnsi" w:hAnsiTheme="minorHAnsi" w:cstheme="minorHAnsi"/>
                <w:szCs w:val="20"/>
                <w:lang w:eastAsia="fr-FR" w:bidi="ar-SA"/>
              </w:rPr>
              <w:t>Critère</w:t>
            </w:r>
          </w:p>
        </w:tc>
        <w:tc>
          <w:tcPr>
            <w:tcW w:w="2436" w:type="dxa"/>
            <w:hideMark/>
          </w:tcPr>
          <w:p w14:paraId="151DD29E" w14:textId="77777777" w:rsidR="00663FBC" w:rsidRPr="00B95A9D" w:rsidRDefault="00663FBC" w:rsidP="005A7661">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sidRPr="00B95A9D">
              <w:rPr>
                <w:rFonts w:asciiTheme="minorHAnsi" w:hAnsiTheme="minorHAnsi" w:cstheme="minorHAnsi"/>
                <w:szCs w:val="20"/>
                <w:lang w:eastAsia="fr-FR" w:bidi="ar-SA"/>
              </w:rPr>
              <w:t>Justification</w:t>
            </w:r>
          </w:p>
        </w:tc>
        <w:tc>
          <w:tcPr>
            <w:tcW w:w="1242" w:type="dxa"/>
            <w:hideMark/>
          </w:tcPr>
          <w:p w14:paraId="3425AB53" w14:textId="77777777" w:rsidR="00663FBC" w:rsidRPr="00B95A9D" w:rsidRDefault="00663FBC" w:rsidP="005A7661">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sidRPr="00B95A9D">
              <w:rPr>
                <w:rFonts w:asciiTheme="minorHAnsi" w:hAnsiTheme="minorHAnsi" w:cstheme="minorHAnsi"/>
                <w:szCs w:val="20"/>
                <w:lang w:eastAsia="fr-FR" w:bidi="ar-SA"/>
              </w:rPr>
              <w:t>Niveau</w:t>
            </w:r>
          </w:p>
        </w:tc>
      </w:tr>
      <w:tr w:rsidR="00EF4672" w:rsidRPr="00B95A9D" w14:paraId="0733390D" w14:textId="77777777" w:rsidTr="005A7661">
        <w:tc>
          <w:tcPr>
            <w:cnfStyle w:val="001000000000" w:firstRow="0" w:lastRow="0" w:firstColumn="1" w:lastColumn="0" w:oddVBand="0" w:evenVBand="0" w:oddHBand="0" w:evenHBand="0" w:firstRowFirstColumn="0" w:firstRowLastColumn="0" w:lastRowFirstColumn="0" w:lastRowLastColumn="0"/>
            <w:tcW w:w="792" w:type="dxa"/>
            <w:vMerge w:val="restart"/>
            <w:textDirection w:val="btLr"/>
            <w:vAlign w:val="center"/>
          </w:tcPr>
          <w:p w14:paraId="09559219" w14:textId="0AD3D95B" w:rsidR="00EF4672" w:rsidRPr="00B95A9D" w:rsidRDefault="00EF4672" w:rsidP="005A7661">
            <w:pPr>
              <w:ind w:left="113" w:right="113"/>
              <w:jc w:val="center"/>
              <w:rPr>
                <w:rFonts w:asciiTheme="minorHAnsi" w:hAnsiTheme="minorHAnsi" w:cstheme="minorHAnsi"/>
                <w:szCs w:val="20"/>
                <w:lang w:eastAsia="fr-FR" w:bidi="ar-SA"/>
              </w:rPr>
            </w:pPr>
            <w:r w:rsidRPr="00663FBC">
              <w:rPr>
                <w:rFonts w:asciiTheme="minorHAnsi" w:hAnsiTheme="minorHAnsi" w:cstheme="minorHAnsi"/>
                <w:szCs w:val="20"/>
                <w:lang w:eastAsia="fr-FR" w:bidi="ar-SA"/>
              </w:rPr>
              <w:t>Dégradation du revêtement routier</w:t>
            </w:r>
          </w:p>
        </w:tc>
        <w:tc>
          <w:tcPr>
            <w:tcW w:w="2747" w:type="dxa"/>
            <w:vMerge w:val="restart"/>
          </w:tcPr>
          <w:p w14:paraId="32D27331" w14:textId="42A696DB" w:rsidR="00EF4672" w:rsidRPr="00B95A9D" w:rsidRDefault="00EF4672" w:rsidP="005A766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sidRPr="002917FA">
              <w:rPr>
                <w:rFonts w:asciiTheme="minorHAnsi" w:hAnsiTheme="minorHAnsi" w:cstheme="minorHAnsi"/>
                <w:szCs w:val="20"/>
                <w:lang w:eastAsia="fr-FR" w:bidi="ar-SA"/>
              </w:rPr>
              <w:t xml:space="preserve">Circulation répétée d’engins lourds, camions de matériaux et véhicules de chantier sur les voies locales et portions de la </w:t>
            </w:r>
            <w:r w:rsidR="00F939AF">
              <w:rPr>
                <w:rFonts w:asciiTheme="minorHAnsi" w:hAnsiTheme="minorHAnsi" w:cstheme="minorHAnsi"/>
                <w:szCs w:val="20"/>
                <w:lang w:eastAsia="fr-FR" w:bidi="ar-SA"/>
              </w:rPr>
              <w:t>RR212</w:t>
            </w:r>
            <w:r w:rsidRPr="002917FA">
              <w:rPr>
                <w:rFonts w:asciiTheme="minorHAnsi" w:hAnsiTheme="minorHAnsi" w:cstheme="minorHAnsi"/>
                <w:szCs w:val="20"/>
                <w:lang w:eastAsia="fr-FR" w:bidi="ar-SA"/>
              </w:rPr>
              <w:t>.</w:t>
            </w:r>
          </w:p>
        </w:tc>
        <w:tc>
          <w:tcPr>
            <w:tcW w:w="1843" w:type="dxa"/>
            <w:hideMark/>
          </w:tcPr>
          <w:p w14:paraId="4E99FBC9" w14:textId="77777777" w:rsidR="00EF4672" w:rsidRPr="00B95A9D" w:rsidRDefault="00EF4672" w:rsidP="005A766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Cs w:val="20"/>
                <w:lang w:eastAsia="fr-FR" w:bidi="ar-SA"/>
              </w:rPr>
            </w:pPr>
            <w:r w:rsidRPr="00B95A9D">
              <w:rPr>
                <w:rFonts w:asciiTheme="minorHAnsi" w:hAnsiTheme="minorHAnsi" w:cstheme="minorHAnsi"/>
                <w:b/>
                <w:bCs/>
                <w:szCs w:val="20"/>
                <w:lang w:eastAsia="fr-FR" w:bidi="ar-SA"/>
              </w:rPr>
              <w:t>Nature</w:t>
            </w:r>
          </w:p>
        </w:tc>
        <w:tc>
          <w:tcPr>
            <w:tcW w:w="3678" w:type="dxa"/>
            <w:gridSpan w:val="2"/>
          </w:tcPr>
          <w:p w14:paraId="045D37D2" w14:textId="77777777" w:rsidR="00EF4672" w:rsidRPr="00B95A9D" w:rsidRDefault="00EF4672" w:rsidP="005A766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Pr>
                <w:rFonts w:asciiTheme="minorHAnsi" w:hAnsiTheme="minorHAnsi" w:cstheme="minorHAnsi"/>
                <w:szCs w:val="20"/>
                <w:lang w:eastAsia="fr-FR" w:bidi="ar-SA"/>
              </w:rPr>
              <w:t>Direct négatif</w:t>
            </w:r>
          </w:p>
        </w:tc>
      </w:tr>
      <w:tr w:rsidR="00EF4672" w:rsidRPr="00B95A9D" w14:paraId="12EC3714" w14:textId="77777777" w:rsidTr="005A7661">
        <w:tc>
          <w:tcPr>
            <w:cnfStyle w:val="001000000000" w:firstRow="0" w:lastRow="0" w:firstColumn="1" w:lastColumn="0" w:oddVBand="0" w:evenVBand="0" w:oddHBand="0" w:evenHBand="0" w:firstRowFirstColumn="0" w:firstRowLastColumn="0" w:lastRowFirstColumn="0" w:lastRowLastColumn="0"/>
            <w:tcW w:w="792" w:type="dxa"/>
            <w:vMerge/>
            <w:hideMark/>
          </w:tcPr>
          <w:p w14:paraId="53205F52" w14:textId="77777777" w:rsidR="00EF4672" w:rsidRPr="00B95A9D" w:rsidRDefault="00EF4672" w:rsidP="005A7661">
            <w:pPr>
              <w:rPr>
                <w:rFonts w:asciiTheme="minorHAnsi" w:hAnsiTheme="minorHAnsi" w:cstheme="minorHAnsi"/>
                <w:szCs w:val="20"/>
                <w:lang w:eastAsia="fr-FR" w:bidi="ar-SA"/>
              </w:rPr>
            </w:pPr>
          </w:p>
        </w:tc>
        <w:tc>
          <w:tcPr>
            <w:tcW w:w="2747" w:type="dxa"/>
            <w:vMerge/>
            <w:hideMark/>
          </w:tcPr>
          <w:p w14:paraId="1BF59E17" w14:textId="77777777" w:rsidR="00EF4672" w:rsidRPr="00B95A9D" w:rsidRDefault="00EF4672" w:rsidP="005A766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p>
        </w:tc>
        <w:tc>
          <w:tcPr>
            <w:tcW w:w="1843" w:type="dxa"/>
            <w:hideMark/>
          </w:tcPr>
          <w:p w14:paraId="38BE8EE7" w14:textId="77777777" w:rsidR="00EF4672" w:rsidRPr="00B95A9D" w:rsidRDefault="00EF4672" w:rsidP="005A766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Cs w:val="20"/>
                <w:lang w:eastAsia="fr-FR" w:bidi="ar-SA"/>
              </w:rPr>
            </w:pPr>
            <w:r w:rsidRPr="00B95A9D">
              <w:rPr>
                <w:rFonts w:asciiTheme="minorHAnsi" w:hAnsiTheme="minorHAnsi" w:cstheme="minorHAnsi"/>
                <w:b/>
                <w:bCs/>
                <w:szCs w:val="20"/>
                <w:lang w:eastAsia="fr-FR" w:bidi="ar-SA"/>
              </w:rPr>
              <w:t>Étendue</w:t>
            </w:r>
          </w:p>
        </w:tc>
        <w:tc>
          <w:tcPr>
            <w:tcW w:w="2436" w:type="dxa"/>
          </w:tcPr>
          <w:p w14:paraId="017D16C1" w14:textId="5207C77A" w:rsidR="00EF4672" w:rsidRPr="00B95A9D" w:rsidRDefault="00EF4672" w:rsidP="005A766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sidRPr="002917FA">
              <w:rPr>
                <w:rFonts w:asciiTheme="minorHAnsi" w:hAnsiTheme="minorHAnsi" w:cstheme="minorHAnsi"/>
                <w:szCs w:val="20"/>
                <w:lang w:eastAsia="fr-FR" w:bidi="ar-SA"/>
              </w:rPr>
              <w:t>Locale, limitée aux tronçons empruntés par les véhicules de chantier et zones de manœuvre.</w:t>
            </w:r>
          </w:p>
        </w:tc>
        <w:tc>
          <w:tcPr>
            <w:tcW w:w="1242" w:type="dxa"/>
          </w:tcPr>
          <w:p w14:paraId="36DE8DA1" w14:textId="647AC853" w:rsidR="00EF4672" w:rsidRPr="00B95A9D" w:rsidRDefault="00EF4672" w:rsidP="005A766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Cs w:val="20"/>
                <w:lang w:eastAsia="fr-FR" w:bidi="ar-SA"/>
              </w:rPr>
            </w:pPr>
            <w:r>
              <w:rPr>
                <w:rFonts w:asciiTheme="minorHAnsi" w:hAnsiTheme="minorHAnsi" w:cstheme="minorHAnsi"/>
                <w:b/>
                <w:bCs/>
                <w:szCs w:val="20"/>
                <w:lang w:eastAsia="fr-FR" w:bidi="ar-SA"/>
              </w:rPr>
              <w:t>Locale</w:t>
            </w:r>
          </w:p>
        </w:tc>
      </w:tr>
      <w:tr w:rsidR="00EF4672" w:rsidRPr="00B95A9D" w14:paraId="5867CFDB" w14:textId="77777777" w:rsidTr="005A7661">
        <w:tc>
          <w:tcPr>
            <w:cnfStyle w:val="001000000000" w:firstRow="0" w:lastRow="0" w:firstColumn="1" w:lastColumn="0" w:oddVBand="0" w:evenVBand="0" w:oddHBand="0" w:evenHBand="0" w:firstRowFirstColumn="0" w:firstRowLastColumn="0" w:lastRowFirstColumn="0" w:lastRowLastColumn="0"/>
            <w:tcW w:w="792" w:type="dxa"/>
            <w:vMerge/>
            <w:hideMark/>
          </w:tcPr>
          <w:p w14:paraId="0B09B430" w14:textId="77777777" w:rsidR="00EF4672" w:rsidRPr="00B95A9D" w:rsidRDefault="00EF4672" w:rsidP="005A7661">
            <w:pPr>
              <w:rPr>
                <w:rFonts w:asciiTheme="minorHAnsi" w:hAnsiTheme="minorHAnsi" w:cstheme="minorHAnsi"/>
                <w:szCs w:val="20"/>
                <w:lang w:eastAsia="fr-FR" w:bidi="ar-SA"/>
              </w:rPr>
            </w:pPr>
          </w:p>
        </w:tc>
        <w:tc>
          <w:tcPr>
            <w:tcW w:w="2747" w:type="dxa"/>
            <w:vMerge/>
            <w:hideMark/>
          </w:tcPr>
          <w:p w14:paraId="0E525894" w14:textId="77777777" w:rsidR="00EF4672" w:rsidRPr="00B95A9D" w:rsidRDefault="00EF4672" w:rsidP="005A766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p>
        </w:tc>
        <w:tc>
          <w:tcPr>
            <w:tcW w:w="1843" w:type="dxa"/>
            <w:hideMark/>
          </w:tcPr>
          <w:p w14:paraId="081CCFA7" w14:textId="77777777" w:rsidR="00EF4672" w:rsidRPr="00B95A9D" w:rsidRDefault="00EF4672" w:rsidP="005A766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Cs w:val="20"/>
                <w:lang w:eastAsia="fr-FR" w:bidi="ar-SA"/>
              </w:rPr>
            </w:pPr>
            <w:r w:rsidRPr="00B95A9D">
              <w:rPr>
                <w:rFonts w:asciiTheme="minorHAnsi" w:hAnsiTheme="minorHAnsi" w:cstheme="minorHAnsi"/>
                <w:b/>
                <w:bCs/>
                <w:szCs w:val="20"/>
                <w:lang w:eastAsia="fr-FR" w:bidi="ar-SA"/>
              </w:rPr>
              <w:t>Durée</w:t>
            </w:r>
          </w:p>
        </w:tc>
        <w:tc>
          <w:tcPr>
            <w:tcW w:w="2436" w:type="dxa"/>
          </w:tcPr>
          <w:p w14:paraId="545701C0" w14:textId="443E4BCD" w:rsidR="00EF4672" w:rsidRPr="00B95A9D" w:rsidRDefault="00EF4672" w:rsidP="005A766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sidRPr="002917FA">
              <w:rPr>
                <w:rFonts w:asciiTheme="minorHAnsi" w:hAnsiTheme="minorHAnsi" w:cstheme="minorHAnsi"/>
                <w:szCs w:val="20"/>
                <w:lang w:eastAsia="fr-FR" w:bidi="ar-SA"/>
              </w:rPr>
              <w:t>Temporaire, limitée à la période de circulation des engins mais effets parfois durables si non réparés.</w:t>
            </w:r>
          </w:p>
        </w:tc>
        <w:tc>
          <w:tcPr>
            <w:tcW w:w="1242" w:type="dxa"/>
          </w:tcPr>
          <w:p w14:paraId="28EAF28D" w14:textId="66409D72" w:rsidR="00EF4672" w:rsidRPr="00B95A9D" w:rsidRDefault="00EF4672" w:rsidP="005A766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Cs w:val="20"/>
                <w:lang w:eastAsia="fr-FR" w:bidi="ar-SA"/>
              </w:rPr>
            </w:pPr>
            <w:r w:rsidRPr="002917FA">
              <w:rPr>
                <w:rFonts w:asciiTheme="minorHAnsi" w:hAnsiTheme="minorHAnsi" w:cstheme="minorHAnsi"/>
                <w:b/>
                <w:bCs/>
                <w:szCs w:val="20"/>
                <w:lang w:eastAsia="fr-FR" w:bidi="ar-SA"/>
              </w:rPr>
              <w:t>Temporaire (effets durables)</w:t>
            </w:r>
          </w:p>
        </w:tc>
      </w:tr>
      <w:tr w:rsidR="00EF4672" w:rsidRPr="00B95A9D" w14:paraId="6974FB2B" w14:textId="77777777" w:rsidTr="005A7661">
        <w:tc>
          <w:tcPr>
            <w:cnfStyle w:val="001000000000" w:firstRow="0" w:lastRow="0" w:firstColumn="1" w:lastColumn="0" w:oddVBand="0" w:evenVBand="0" w:oddHBand="0" w:evenHBand="0" w:firstRowFirstColumn="0" w:firstRowLastColumn="0" w:lastRowFirstColumn="0" w:lastRowLastColumn="0"/>
            <w:tcW w:w="792" w:type="dxa"/>
            <w:vMerge/>
            <w:hideMark/>
          </w:tcPr>
          <w:p w14:paraId="219DED16" w14:textId="77777777" w:rsidR="00EF4672" w:rsidRPr="00B95A9D" w:rsidRDefault="00EF4672" w:rsidP="005A7661">
            <w:pPr>
              <w:rPr>
                <w:rFonts w:asciiTheme="minorHAnsi" w:hAnsiTheme="minorHAnsi" w:cstheme="minorHAnsi"/>
                <w:szCs w:val="20"/>
                <w:lang w:eastAsia="fr-FR" w:bidi="ar-SA"/>
              </w:rPr>
            </w:pPr>
          </w:p>
        </w:tc>
        <w:tc>
          <w:tcPr>
            <w:tcW w:w="2747" w:type="dxa"/>
            <w:vMerge/>
            <w:hideMark/>
          </w:tcPr>
          <w:p w14:paraId="429D2761" w14:textId="77777777" w:rsidR="00EF4672" w:rsidRPr="00B95A9D" w:rsidRDefault="00EF4672" w:rsidP="005A766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p>
        </w:tc>
        <w:tc>
          <w:tcPr>
            <w:tcW w:w="1843" w:type="dxa"/>
            <w:hideMark/>
          </w:tcPr>
          <w:p w14:paraId="21FC8B88" w14:textId="77777777" w:rsidR="00EF4672" w:rsidRPr="00B95A9D" w:rsidRDefault="00EF4672" w:rsidP="005A766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Cs w:val="20"/>
                <w:lang w:eastAsia="fr-FR" w:bidi="ar-SA"/>
              </w:rPr>
            </w:pPr>
            <w:r w:rsidRPr="00B95A9D">
              <w:rPr>
                <w:rFonts w:asciiTheme="minorHAnsi" w:hAnsiTheme="minorHAnsi" w:cstheme="minorHAnsi"/>
                <w:b/>
                <w:bCs/>
                <w:szCs w:val="20"/>
                <w:lang w:eastAsia="fr-FR" w:bidi="ar-SA"/>
              </w:rPr>
              <w:t>Fréquence</w:t>
            </w:r>
          </w:p>
        </w:tc>
        <w:tc>
          <w:tcPr>
            <w:tcW w:w="2436" w:type="dxa"/>
          </w:tcPr>
          <w:p w14:paraId="7081AB55" w14:textId="436A3CD8" w:rsidR="00EF4672" w:rsidRPr="00911A3C" w:rsidRDefault="00EF4672" w:rsidP="005A766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sidRPr="002917FA">
              <w:rPr>
                <w:rFonts w:asciiTheme="minorHAnsi" w:hAnsiTheme="minorHAnsi" w:cstheme="minorHAnsi"/>
                <w:szCs w:val="20"/>
                <w:lang w:eastAsia="fr-FR" w:bidi="ar-SA"/>
              </w:rPr>
              <w:t>Régulière à quotidienne pendant les transports de matériaux.</w:t>
            </w:r>
          </w:p>
        </w:tc>
        <w:tc>
          <w:tcPr>
            <w:tcW w:w="1242" w:type="dxa"/>
          </w:tcPr>
          <w:p w14:paraId="3996CE4C" w14:textId="09D71A74" w:rsidR="00EF4672" w:rsidRPr="00B95A9D" w:rsidRDefault="00EF4672" w:rsidP="005A766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Cs w:val="20"/>
                <w:lang w:eastAsia="fr-FR" w:bidi="ar-SA"/>
              </w:rPr>
            </w:pPr>
            <w:r w:rsidRPr="002917FA">
              <w:rPr>
                <w:rFonts w:asciiTheme="minorHAnsi" w:hAnsiTheme="minorHAnsi" w:cstheme="minorHAnsi"/>
                <w:b/>
                <w:bCs/>
                <w:szCs w:val="20"/>
                <w:lang w:eastAsia="fr-FR" w:bidi="ar-SA"/>
              </w:rPr>
              <w:t>Régulière</w:t>
            </w:r>
          </w:p>
        </w:tc>
      </w:tr>
      <w:tr w:rsidR="00EF4672" w:rsidRPr="00B95A9D" w14:paraId="108B2C6F" w14:textId="77777777" w:rsidTr="005A7661">
        <w:tc>
          <w:tcPr>
            <w:cnfStyle w:val="001000000000" w:firstRow="0" w:lastRow="0" w:firstColumn="1" w:lastColumn="0" w:oddVBand="0" w:evenVBand="0" w:oddHBand="0" w:evenHBand="0" w:firstRowFirstColumn="0" w:firstRowLastColumn="0" w:lastRowFirstColumn="0" w:lastRowLastColumn="0"/>
            <w:tcW w:w="792" w:type="dxa"/>
            <w:vMerge/>
            <w:hideMark/>
          </w:tcPr>
          <w:p w14:paraId="47D49E5A" w14:textId="77777777" w:rsidR="00EF4672" w:rsidRPr="00B95A9D" w:rsidRDefault="00EF4672" w:rsidP="005A7661">
            <w:pPr>
              <w:rPr>
                <w:rFonts w:asciiTheme="minorHAnsi" w:hAnsiTheme="minorHAnsi" w:cstheme="minorHAnsi"/>
                <w:szCs w:val="20"/>
                <w:lang w:eastAsia="fr-FR" w:bidi="ar-SA"/>
              </w:rPr>
            </w:pPr>
          </w:p>
        </w:tc>
        <w:tc>
          <w:tcPr>
            <w:tcW w:w="2747" w:type="dxa"/>
            <w:vMerge/>
            <w:hideMark/>
          </w:tcPr>
          <w:p w14:paraId="42CBB498" w14:textId="77777777" w:rsidR="00EF4672" w:rsidRPr="00B95A9D" w:rsidRDefault="00EF4672" w:rsidP="005A766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p>
        </w:tc>
        <w:tc>
          <w:tcPr>
            <w:tcW w:w="1843" w:type="dxa"/>
            <w:shd w:val="clear" w:color="auto" w:fill="D9E2F3"/>
            <w:hideMark/>
          </w:tcPr>
          <w:p w14:paraId="1BDBF327" w14:textId="77777777" w:rsidR="00EF4672" w:rsidRPr="00B95A9D" w:rsidRDefault="00EF4672" w:rsidP="005A766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Cs w:val="20"/>
                <w:lang w:eastAsia="fr-FR" w:bidi="ar-SA"/>
              </w:rPr>
            </w:pPr>
            <w:r w:rsidRPr="00B95A9D">
              <w:rPr>
                <w:rFonts w:asciiTheme="minorHAnsi" w:hAnsiTheme="minorHAnsi" w:cstheme="minorHAnsi"/>
                <w:b/>
                <w:bCs/>
                <w:szCs w:val="20"/>
                <w:lang w:eastAsia="fr-FR" w:bidi="ar-SA"/>
              </w:rPr>
              <w:t>Intensité</w:t>
            </w:r>
          </w:p>
        </w:tc>
        <w:tc>
          <w:tcPr>
            <w:tcW w:w="2436" w:type="dxa"/>
            <w:shd w:val="clear" w:color="auto" w:fill="D9E2F3"/>
          </w:tcPr>
          <w:p w14:paraId="600BE107" w14:textId="00D80E4D" w:rsidR="00EF4672" w:rsidRPr="00B95A9D" w:rsidRDefault="00EF4672" w:rsidP="005A766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sidRPr="002572D1">
              <w:rPr>
                <w:rFonts w:asciiTheme="minorHAnsi" w:hAnsiTheme="minorHAnsi" w:cstheme="minorHAnsi"/>
                <w:szCs w:val="20"/>
                <w:lang w:eastAsia="fr-FR" w:bidi="ar-SA"/>
              </w:rPr>
              <w:t>Moyenne à forte selon la résistance des chaussées et le volume de poids lourds.</w:t>
            </w:r>
          </w:p>
        </w:tc>
        <w:tc>
          <w:tcPr>
            <w:tcW w:w="1242" w:type="dxa"/>
            <w:shd w:val="clear" w:color="auto" w:fill="D9E2F3"/>
          </w:tcPr>
          <w:p w14:paraId="42C4BCC8" w14:textId="0E30A5D5" w:rsidR="00EF4672" w:rsidRPr="00B95A9D" w:rsidRDefault="00EF4672" w:rsidP="005A766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Cs w:val="20"/>
                <w:lang w:eastAsia="fr-FR" w:bidi="ar-SA"/>
              </w:rPr>
            </w:pPr>
            <w:r>
              <w:rPr>
                <w:rFonts w:asciiTheme="minorHAnsi" w:hAnsiTheme="minorHAnsi" w:cstheme="minorHAnsi"/>
                <w:b/>
                <w:bCs/>
                <w:szCs w:val="20"/>
                <w:lang w:eastAsia="fr-FR" w:bidi="ar-SA"/>
              </w:rPr>
              <w:t>Moyenne à forte</w:t>
            </w:r>
          </w:p>
        </w:tc>
      </w:tr>
      <w:tr w:rsidR="00EF4672" w:rsidRPr="00B95A9D" w14:paraId="54D751CB" w14:textId="77777777" w:rsidTr="005A7661">
        <w:tc>
          <w:tcPr>
            <w:cnfStyle w:val="001000000000" w:firstRow="0" w:lastRow="0" w:firstColumn="1" w:lastColumn="0" w:oddVBand="0" w:evenVBand="0" w:oddHBand="0" w:evenHBand="0" w:firstRowFirstColumn="0" w:firstRowLastColumn="0" w:lastRowFirstColumn="0" w:lastRowLastColumn="0"/>
            <w:tcW w:w="792" w:type="dxa"/>
            <w:vMerge/>
          </w:tcPr>
          <w:p w14:paraId="463467C1" w14:textId="77777777" w:rsidR="00EF4672" w:rsidRPr="00B95A9D" w:rsidRDefault="00EF4672" w:rsidP="005A7661">
            <w:pPr>
              <w:rPr>
                <w:rFonts w:asciiTheme="minorHAnsi" w:hAnsiTheme="minorHAnsi" w:cstheme="minorHAnsi"/>
                <w:szCs w:val="20"/>
                <w:lang w:eastAsia="fr-FR" w:bidi="ar-SA"/>
              </w:rPr>
            </w:pPr>
          </w:p>
        </w:tc>
        <w:tc>
          <w:tcPr>
            <w:tcW w:w="8268" w:type="dxa"/>
            <w:gridSpan w:val="4"/>
          </w:tcPr>
          <w:p w14:paraId="637D3140" w14:textId="77777777" w:rsidR="00EF4672" w:rsidRPr="00B95A9D" w:rsidRDefault="00EF4672" w:rsidP="005A7661">
            <w:pPr>
              <w:spacing w:before="0" w:after="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Cs w:val="20"/>
                <w:lang w:eastAsia="fr-FR" w:bidi="ar-SA"/>
              </w:rPr>
            </w:pPr>
          </w:p>
        </w:tc>
      </w:tr>
      <w:tr w:rsidR="00EF4672" w:rsidRPr="00B95A9D" w14:paraId="4DD59B01" w14:textId="77777777" w:rsidTr="005A7661">
        <w:tc>
          <w:tcPr>
            <w:cnfStyle w:val="001000000000" w:firstRow="0" w:lastRow="0" w:firstColumn="1" w:lastColumn="0" w:oddVBand="0" w:evenVBand="0" w:oddHBand="0" w:evenHBand="0" w:firstRowFirstColumn="0" w:firstRowLastColumn="0" w:lastRowFirstColumn="0" w:lastRowLastColumn="0"/>
            <w:tcW w:w="792" w:type="dxa"/>
            <w:vMerge/>
          </w:tcPr>
          <w:p w14:paraId="6369C803" w14:textId="77777777" w:rsidR="00EF4672" w:rsidRPr="00B95A9D" w:rsidRDefault="00EF4672" w:rsidP="005A7661">
            <w:pPr>
              <w:rPr>
                <w:rFonts w:asciiTheme="minorHAnsi" w:hAnsiTheme="minorHAnsi" w:cstheme="minorHAnsi"/>
                <w:szCs w:val="20"/>
                <w:lang w:eastAsia="fr-FR" w:bidi="ar-SA"/>
              </w:rPr>
            </w:pPr>
          </w:p>
        </w:tc>
        <w:tc>
          <w:tcPr>
            <w:tcW w:w="2747" w:type="dxa"/>
            <w:shd w:val="clear" w:color="auto" w:fill="B4C6E7" w:themeFill="accent1" w:themeFillTint="66"/>
            <w:vAlign w:val="center"/>
          </w:tcPr>
          <w:p w14:paraId="6C2B112D" w14:textId="77777777" w:rsidR="00EF4672" w:rsidRPr="00B95A9D" w:rsidRDefault="00EF4672" w:rsidP="005A766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sidRPr="00B95A9D">
              <w:rPr>
                <w:rFonts w:asciiTheme="minorHAnsi" w:hAnsiTheme="minorHAnsi" w:cstheme="minorHAnsi"/>
                <w:b/>
                <w:bCs/>
                <w:szCs w:val="20"/>
              </w:rPr>
              <w:t>Intensité de l’impact</w:t>
            </w:r>
          </w:p>
        </w:tc>
        <w:tc>
          <w:tcPr>
            <w:tcW w:w="1843" w:type="dxa"/>
            <w:shd w:val="clear" w:color="auto" w:fill="B4C6E7" w:themeFill="accent1" w:themeFillTint="66"/>
            <w:vAlign w:val="center"/>
          </w:tcPr>
          <w:p w14:paraId="4B3ECF60" w14:textId="77777777" w:rsidR="00EF4672" w:rsidRPr="00B95A9D" w:rsidRDefault="00EF4672" w:rsidP="005A766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Cs w:val="20"/>
                <w:lang w:eastAsia="fr-FR" w:bidi="ar-SA"/>
              </w:rPr>
            </w:pPr>
            <w:r w:rsidRPr="00B95A9D">
              <w:rPr>
                <w:rFonts w:asciiTheme="minorHAnsi" w:hAnsiTheme="minorHAnsi" w:cstheme="minorHAnsi"/>
                <w:b/>
                <w:bCs/>
                <w:szCs w:val="20"/>
              </w:rPr>
              <w:t>Récepteurs</w:t>
            </w:r>
          </w:p>
        </w:tc>
        <w:tc>
          <w:tcPr>
            <w:tcW w:w="2436" w:type="dxa"/>
            <w:shd w:val="clear" w:color="auto" w:fill="B4C6E7" w:themeFill="accent1" w:themeFillTint="66"/>
            <w:vAlign w:val="center"/>
          </w:tcPr>
          <w:p w14:paraId="43A68299" w14:textId="77777777" w:rsidR="00EF4672" w:rsidRPr="00B95A9D" w:rsidRDefault="00EF4672" w:rsidP="005A766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sidRPr="00B95A9D">
              <w:rPr>
                <w:rFonts w:asciiTheme="minorHAnsi" w:hAnsiTheme="minorHAnsi" w:cstheme="minorHAnsi"/>
                <w:b/>
                <w:bCs/>
                <w:szCs w:val="20"/>
              </w:rPr>
              <w:t>Sensibilité</w:t>
            </w:r>
          </w:p>
        </w:tc>
        <w:tc>
          <w:tcPr>
            <w:tcW w:w="1242" w:type="dxa"/>
            <w:shd w:val="clear" w:color="auto" w:fill="B4C6E7" w:themeFill="accent1" w:themeFillTint="66"/>
            <w:vAlign w:val="center"/>
          </w:tcPr>
          <w:p w14:paraId="65ECF08F" w14:textId="77777777" w:rsidR="00EF4672" w:rsidRPr="00B95A9D" w:rsidRDefault="00EF4672" w:rsidP="005A766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Cs w:val="20"/>
                <w:lang w:eastAsia="fr-FR" w:bidi="ar-SA"/>
              </w:rPr>
            </w:pPr>
            <w:r w:rsidRPr="00B95A9D">
              <w:rPr>
                <w:rFonts w:asciiTheme="minorHAnsi" w:hAnsiTheme="minorHAnsi" w:cstheme="minorHAnsi"/>
                <w:b/>
                <w:bCs/>
                <w:szCs w:val="20"/>
              </w:rPr>
              <w:t>Importance de l’impact</w:t>
            </w:r>
          </w:p>
        </w:tc>
      </w:tr>
      <w:tr w:rsidR="00EF4672" w:rsidRPr="00B95A9D" w14:paraId="630AA391" w14:textId="77777777" w:rsidTr="005A7661">
        <w:tc>
          <w:tcPr>
            <w:cnfStyle w:val="001000000000" w:firstRow="0" w:lastRow="0" w:firstColumn="1" w:lastColumn="0" w:oddVBand="0" w:evenVBand="0" w:oddHBand="0" w:evenHBand="0" w:firstRowFirstColumn="0" w:firstRowLastColumn="0" w:lastRowFirstColumn="0" w:lastRowLastColumn="0"/>
            <w:tcW w:w="792" w:type="dxa"/>
            <w:vMerge/>
          </w:tcPr>
          <w:p w14:paraId="16A85546" w14:textId="77777777" w:rsidR="00EF4672" w:rsidRPr="00B95A9D" w:rsidRDefault="00EF4672" w:rsidP="005A7661">
            <w:pPr>
              <w:rPr>
                <w:rFonts w:asciiTheme="minorHAnsi" w:hAnsiTheme="minorHAnsi" w:cstheme="minorHAnsi"/>
                <w:szCs w:val="20"/>
                <w:lang w:eastAsia="fr-FR" w:bidi="ar-SA"/>
              </w:rPr>
            </w:pPr>
          </w:p>
        </w:tc>
        <w:tc>
          <w:tcPr>
            <w:tcW w:w="2747" w:type="dxa"/>
            <w:vMerge w:val="restart"/>
            <w:vAlign w:val="center"/>
          </w:tcPr>
          <w:p w14:paraId="52DC2516" w14:textId="2F7DA215" w:rsidR="00EF4672" w:rsidRPr="00B95A9D" w:rsidRDefault="00EF4672" w:rsidP="005A766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Pr>
                <w:rFonts w:asciiTheme="minorHAnsi" w:hAnsiTheme="minorHAnsi" w:cstheme="minorHAnsi"/>
                <w:szCs w:val="20"/>
                <w:lang w:eastAsia="fr-FR" w:bidi="ar-SA"/>
              </w:rPr>
              <w:t>Moyenne à forte</w:t>
            </w:r>
          </w:p>
        </w:tc>
        <w:tc>
          <w:tcPr>
            <w:tcW w:w="1843" w:type="dxa"/>
            <w:vAlign w:val="center"/>
          </w:tcPr>
          <w:p w14:paraId="6287A1D8" w14:textId="79C13BEB" w:rsidR="00EF4672" w:rsidRPr="00151D66" w:rsidRDefault="00EF4672" w:rsidP="005A766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sidRPr="00EF4672">
              <w:rPr>
                <w:rFonts w:asciiTheme="minorHAnsi" w:hAnsiTheme="minorHAnsi" w:cstheme="minorHAnsi"/>
                <w:szCs w:val="20"/>
                <w:lang w:eastAsia="fr-FR" w:bidi="ar-SA"/>
              </w:rPr>
              <w:t xml:space="preserve">Usagers des voies </w:t>
            </w:r>
          </w:p>
        </w:tc>
        <w:tc>
          <w:tcPr>
            <w:tcW w:w="2436" w:type="dxa"/>
            <w:vAlign w:val="center"/>
          </w:tcPr>
          <w:p w14:paraId="0858C80B" w14:textId="28E2431D" w:rsidR="00EF4672" w:rsidRPr="00B95A9D" w:rsidRDefault="00EF4672" w:rsidP="005A766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sidRPr="004637C7">
              <w:rPr>
                <w:rFonts w:asciiTheme="minorHAnsi" w:hAnsiTheme="minorHAnsi" w:cstheme="minorHAnsi"/>
                <w:b/>
                <w:bCs/>
                <w:szCs w:val="20"/>
                <w:lang w:eastAsia="fr-FR" w:bidi="ar-SA"/>
              </w:rPr>
              <w:t>Moyenne</w:t>
            </w:r>
            <w:r>
              <w:rPr>
                <w:rFonts w:asciiTheme="minorHAnsi" w:hAnsiTheme="minorHAnsi" w:cstheme="minorHAnsi"/>
                <w:szCs w:val="20"/>
                <w:lang w:eastAsia="fr-FR" w:bidi="ar-SA"/>
              </w:rPr>
              <w:t> :</w:t>
            </w:r>
            <w:r w:rsidRPr="00EF4672">
              <w:t xml:space="preserve"> </w:t>
            </w:r>
            <w:r>
              <w:t xml:space="preserve">Usage </w:t>
            </w:r>
            <w:r w:rsidRPr="00EF4672">
              <w:rPr>
                <w:rFonts w:asciiTheme="minorHAnsi" w:hAnsiTheme="minorHAnsi" w:cstheme="minorHAnsi"/>
                <w:szCs w:val="20"/>
                <w:lang w:eastAsia="fr-FR" w:bidi="ar-SA"/>
              </w:rPr>
              <w:t>quotidien</w:t>
            </w:r>
            <w:r>
              <w:rPr>
                <w:rFonts w:asciiTheme="minorHAnsi" w:hAnsiTheme="minorHAnsi" w:cstheme="minorHAnsi"/>
                <w:szCs w:val="20"/>
                <w:lang w:eastAsia="fr-FR" w:bidi="ar-SA"/>
              </w:rPr>
              <w:t xml:space="preserve"> de</w:t>
            </w:r>
            <w:r w:rsidRPr="00EF4672">
              <w:rPr>
                <w:rFonts w:asciiTheme="minorHAnsi" w:hAnsiTheme="minorHAnsi" w:cstheme="minorHAnsi"/>
                <w:szCs w:val="20"/>
                <w:lang w:eastAsia="fr-FR" w:bidi="ar-SA"/>
              </w:rPr>
              <w:t xml:space="preserve"> la route mais bénéficie souvent de plusieurs itinéraires alternatifs</w:t>
            </w:r>
          </w:p>
        </w:tc>
        <w:tc>
          <w:tcPr>
            <w:tcW w:w="1242" w:type="dxa"/>
            <w:vAlign w:val="center"/>
          </w:tcPr>
          <w:p w14:paraId="50FF090A" w14:textId="394E1586" w:rsidR="00EF4672" w:rsidRPr="00B95A9D" w:rsidRDefault="00EF4672" w:rsidP="005A766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Cs w:val="20"/>
                <w:lang w:eastAsia="fr-FR" w:bidi="ar-SA"/>
              </w:rPr>
            </w:pPr>
            <w:r>
              <w:rPr>
                <w:rFonts w:asciiTheme="minorHAnsi" w:hAnsiTheme="minorHAnsi" w:cstheme="minorHAnsi"/>
                <w:b/>
                <w:bCs/>
                <w:szCs w:val="20"/>
                <w:lang w:eastAsia="fr-FR" w:bidi="ar-SA"/>
              </w:rPr>
              <w:t>Modérée à majeure</w:t>
            </w:r>
          </w:p>
        </w:tc>
      </w:tr>
      <w:tr w:rsidR="00EF4672" w:rsidRPr="00B95A9D" w14:paraId="3C0463BC" w14:textId="77777777" w:rsidTr="005A7661">
        <w:tc>
          <w:tcPr>
            <w:cnfStyle w:val="001000000000" w:firstRow="0" w:lastRow="0" w:firstColumn="1" w:lastColumn="0" w:oddVBand="0" w:evenVBand="0" w:oddHBand="0" w:evenHBand="0" w:firstRowFirstColumn="0" w:firstRowLastColumn="0" w:lastRowFirstColumn="0" w:lastRowLastColumn="0"/>
            <w:tcW w:w="792" w:type="dxa"/>
            <w:vMerge/>
          </w:tcPr>
          <w:p w14:paraId="3BA4CDD0" w14:textId="77777777" w:rsidR="00EF4672" w:rsidRPr="00B95A9D" w:rsidRDefault="00EF4672" w:rsidP="005A7661">
            <w:pPr>
              <w:rPr>
                <w:rFonts w:asciiTheme="minorHAnsi" w:hAnsiTheme="minorHAnsi" w:cstheme="minorHAnsi"/>
                <w:szCs w:val="20"/>
                <w:lang w:eastAsia="fr-FR" w:bidi="ar-SA"/>
              </w:rPr>
            </w:pPr>
          </w:p>
        </w:tc>
        <w:tc>
          <w:tcPr>
            <w:tcW w:w="2747" w:type="dxa"/>
            <w:vMerge/>
            <w:vAlign w:val="center"/>
          </w:tcPr>
          <w:p w14:paraId="3C787A5B" w14:textId="77777777" w:rsidR="00EF4672" w:rsidRDefault="00EF4672" w:rsidP="005A766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p>
        </w:tc>
        <w:tc>
          <w:tcPr>
            <w:tcW w:w="1843" w:type="dxa"/>
            <w:vAlign w:val="center"/>
          </w:tcPr>
          <w:p w14:paraId="74FACE12" w14:textId="04DD5972" w:rsidR="00EF4672" w:rsidRPr="00151D66" w:rsidRDefault="00EF4672" w:rsidP="005A766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sidRPr="00EF4672">
              <w:rPr>
                <w:rFonts w:asciiTheme="minorHAnsi" w:hAnsiTheme="minorHAnsi" w:cstheme="minorHAnsi"/>
                <w:szCs w:val="20"/>
                <w:lang w:eastAsia="fr-FR" w:bidi="ar-SA"/>
              </w:rPr>
              <w:t>Ministère de l’Équipement et de l’Eau</w:t>
            </w:r>
          </w:p>
        </w:tc>
        <w:tc>
          <w:tcPr>
            <w:tcW w:w="2436" w:type="dxa"/>
            <w:vAlign w:val="center"/>
          </w:tcPr>
          <w:p w14:paraId="54C080A6" w14:textId="7E444DBB" w:rsidR="00EF4672" w:rsidRPr="00B95A9D" w:rsidRDefault="00EF4672" w:rsidP="005A766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sidRPr="004637C7">
              <w:rPr>
                <w:rFonts w:asciiTheme="minorHAnsi" w:hAnsiTheme="minorHAnsi" w:cstheme="minorHAnsi"/>
                <w:b/>
                <w:bCs/>
                <w:szCs w:val="20"/>
                <w:lang w:eastAsia="fr-FR" w:bidi="ar-SA"/>
              </w:rPr>
              <w:t>Forte</w:t>
            </w:r>
            <w:r>
              <w:rPr>
                <w:rFonts w:asciiTheme="minorHAnsi" w:hAnsiTheme="minorHAnsi" w:cstheme="minorHAnsi"/>
                <w:szCs w:val="20"/>
                <w:lang w:eastAsia="fr-FR" w:bidi="ar-SA"/>
              </w:rPr>
              <w:t xml:space="preserve"> : </w:t>
            </w:r>
            <w:r w:rsidRPr="00731AAB">
              <w:rPr>
                <w:rFonts w:asciiTheme="minorHAnsi" w:hAnsiTheme="minorHAnsi" w:cstheme="minorHAnsi"/>
                <w:szCs w:val="20"/>
                <w:lang w:eastAsia="fr-FR" w:bidi="ar-SA"/>
              </w:rPr>
              <w:t>responsabilité de l’entretien et coût de remise en état</w:t>
            </w:r>
          </w:p>
        </w:tc>
        <w:tc>
          <w:tcPr>
            <w:tcW w:w="1242" w:type="dxa"/>
            <w:vAlign w:val="center"/>
          </w:tcPr>
          <w:p w14:paraId="781440BC" w14:textId="7EAD7951" w:rsidR="00EF4672" w:rsidRPr="00B95A9D" w:rsidRDefault="00EF4672" w:rsidP="005A766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Cs w:val="20"/>
                <w:lang w:eastAsia="fr-FR" w:bidi="ar-SA"/>
              </w:rPr>
            </w:pPr>
            <w:r>
              <w:rPr>
                <w:rFonts w:asciiTheme="minorHAnsi" w:hAnsiTheme="minorHAnsi" w:cstheme="minorHAnsi"/>
                <w:b/>
                <w:bCs/>
                <w:szCs w:val="20"/>
                <w:lang w:eastAsia="fr-FR" w:bidi="ar-SA"/>
              </w:rPr>
              <w:t>Majeure</w:t>
            </w:r>
          </w:p>
        </w:tc>
      </w:tr>
    </w:tbl>
    <w:p w14:paraId="20E4DB3C" w14:textId="54A12631" w:rsidR="00663FBC" w:rsidRDefault="008D63E5" w:rsidP="0001633E">
      <w:pPr>
        <w:pStyle w:val="AltTitle2"/>
        <w:numPr>
          <w:ilvl w:val="0"/>
          <w:numId w:val="106"/>
        </w:numPr>
      </w:pPr>
      <w:r w:rsidRPr="008D63E5">
        <w:t>Risque d’accident routier</w:t>
      </w:r>
    </w:p>
    <w:p w14:paraId="3CB2D136" w14:textId="1AA52A0F" w:rsidR="0065202E" w:rsidRDefault="0065202E" w:rsidP="0065202E">
      <w:r>
        <w:t xml:space="preserve">Durant la phase de construction, la circulation des véhicules de chantier (camions de transport de matériaux, engins de terrassement et véhicules utilitaires) sur la Route </w:t>
      </w:r>
      <w:r w:rsidR="00F939AF">
        <w:t>Régionale</w:t>
      </w:r>
      <w:r>
        <w:t xml:space="preserve"> n°</w:t>
      </w:r>
      <w:r w:rsidR="00F939AF">
        <w:t>212</w:t>
      </w:r>
      <w:r>
        <w:t xml:space="preserve"> (R</w:t>
      </w:r>
      <w:r w:rsidR="00F939AF">
        <w:t>R212</w:t>
      </w:r>
      <w:r>
        <w:t xml:space="preserve">) entraînera une cohabitation ponctuelle avec le trafic public, générant un risque d’accident routier. Les points les plus sensibles concernent les zones d’insertion et de sortie des véhicules de chantier sur la </w:t>
      </w:r>
      <w:r w:rsidR="00F939AF">
        <w:t>RR212</w:t>
      </w:r>
      <w:r>
        <w:t>, où les différences de vitesse, de visibilité et de gabarit peuvent occasionner des situations de conflit de trajectoire.</w:t>
      </w:r>
    </w:p>
    <w:p w14:paraId="7D0BF7F6" w14:textId="2FBC11D4" w:rsidR="001858B0" w:rsidRDefault="001858B0" w:rsidP="001858B0">
      <w:r>
        <w:t xml:space="preserve">L’accès au chantier sera organisé à partir de la </w:t>
      </w:r>
      <w:r w:rsidR="00F939AF">
        <w:t>RR212</w:t>
      </w:r>
      <w:r>
        <w:t xml:space="preserve">, selon un point d’entrée à définir, de manière à minimiser les interférences avec le trafic de desserte aéroportuaire et à maintenir la fluidité de la circulation. La </w:t>
      </w:r>
      <w:r w:rsidR="00F939AF">
        <w:t>RR212</w:t>
      </w:r>
      <w:r>
        <w:t xml:space="preserve">, reliant </w:t>
      </w:r>
      <w:r w:rsidR="00F939AF">
        <w:t>Marrakech à Imintanoute</w:t>
      </w:r>
      <w:r>
        <w:t xml:space="preserve">, supporte </w:t>
      </w:r>
      <w:r w:rsidR="00DF5542">
        <w:t>un trafic important chaque jour</w:t>
      </w:r>
      <w:r>
        <w:t>.</w:t>
      </w:r>
    </w:p>
    <w:p w14:paraId="377123A4" w14:textId="0EC32F1B" w:rsidR="008D63E5" w:rsidRDefault="003B4FB0" w:rsidP="008D63E5">
      <w:r w:rsidRPr="003B4FB0">
        <w:t>L’impact est de nature négative et directe, car il concerne la sécurité physique des usagers et la fluidité du trafic.</w:t>
      </w:r>
    </w:p>
    <w:p w14:paraId="100EF260" w14:textId="77777777" w:rsidR="00731DEA" w:rsidRPr="00960FF8" w:rsidRDefault="00426BDE" w:rsidP="00426BDE">
      <w:r w:rsidRPr="00960FF8">
        <w:t xml:space="preserve">La </w:t>
      </w:r>
      <w:r w:rsidRPr="004637C7">
        <w:t>probabilité d’occurrence</w:t>
      </w:r>
      <w:r w:rsidRPr="00960FF8">
        <w:t xml:space="preserve"> est jugée </w:t>
      </w:r>
      <w:r w:rsidRPr="004637C7">
        <w:t>occasionnelle</w:t>
      </w:r>
      <w:r w:rsidRPr="00960FF8">
        <w:t>, car le risque d’accident existe mais reste maîtrisable grâce à des procédures de circulation encadrées.</w:t>
      </w:r>
    </w:p>
    <w:p w14:paraId="550F69E2" w14:textId="6EE23A27" w:rsidR="00731DEA" w:rsidRPr="00960FF8" w:rsidRDefault="00426BDE" w:rsidP="00426BDE">
      <w:r w:rsidRPr="00960FF8">
        <w:t xml:space="preserve">La </w:t>
      </w:r>
      <w:r w:rsidRPr="004637C7">
        <w:t>gravité des conséquences</w:t>
      </w:r>
      <w:r w:rsidRPr="00960FF8">
        <w:t xml:space="preserve"> est </w:t>
      </w:r>
      <w:r w:rsidRPr="004637C7">
        <w:t>modérée à majeure</w:t>
      </w:r>
      <w:r w:rsidRPr="00960FF8">
        <w:t xml:space="preserve">, un accident pouvant entraîner des blessures ou des dommages </w:t>
      </w:r>
      <w:r w:rsidR="00731DEA" w:rsidRPr="00960FF8">
        <w:t>matériels.</w:t>
      </w:r>
    </w:p>
    <w:p w14:paraId="1317494B" w14:textId="1236A2C7" w:rsidR="00426BDE" w:rsidRPr="00960FF8" w:rsidRDefault="00426BDE" w:rsidP="00426BDE">
      <w:r w:rsidRPr="00960FF8">
        <w:t xml:space="preserve">En croisant ces critères, la </w:t>
      </w:r>
      <w:r w:rsidRPr="004637C7">
        <w:t>criticité du risque</w:t>
      </w:r>
      <w:r w:rsidRPr="00960FF8">
        <w:t xml:space="preserve"> est évaluée comme </w:t>
      </w:r>
      <w:r w:rsidRPr="004637C7">
        <w:t>modérée</w:t>
      </w:r>
      <w:r w:rsidRPr="00960FF8">
        <w:t>, selon la matrice de probabilité–gravité appliquée à la méthodologie du projet.</w:t>
      </w:r>
    </w:p>
    <w:p w14:paraId="7F6371AC" w14:textId="77777777" w:rsidR="00426BDE" w:rsidRPr="00960FF8" w:rsidRDefault="00426BDE" w:rsidP="00426BDE">
      <w:r w:rsidRPr="00960FF8">
        <w:t xml:space="preserve">Les </w:t>
      </w:r>
      <w:r w:rsidRPr="004637C7">
        <w:t>récepteurs sensibles</w:t>
      </w:r>
      <w:r w:rsidRPr="00960FF8">
        <w:t xml:space="preserve"> incluent :</w:t>
      </w:r>
    </w:p>
    <w:p w14:paraId="250CD2DD" w14:textId="0FCA03C7" w:rsidR="00426BDE" w:rsidRPr="00960FF8" w:rsidRDefault="00426BDE" w:rsidP="0001633E">
      <w:pPr>
        <w:numPr>
          <w:ilvl w:val="0"/>
          <w:numId w:val="117"/>
        </w:numPr>
      </w:pPr>
      <w:r w:rsidRPr="00960FF8">
        <w:t xml:space="preserve">les </w:t>
      </w:r>
      <w:r w:rsidRPr="004637C7">
        <w:t xml:space="preserve">usagers de la </w:t>
      </w:r>
      <w:r w:rsidR="00DF5542">
        <w:t>RR212</w:t>
      </w:r>
      <w:r w:rsidRPr="00960FF8">
        <w:t xml:space="preserve"> (automobilistes, taxis, transporteurs) directement exposés aux interactions avec les véhicules de chantier ;</w:t>
      </w:r>
    </w:p>
    <w:p w14:paraId="78023A07" w14:textId="77777777" w:rsidR="00426BDE" w:rsidRPr="00960FF8" w:rsidRDefault="00426BDE" w:rsidP="0001633E">
      <w:pPr>
        <w:numPr>
          <w:ilvl w:val="0"/>
          <w:numId w:val="117"/>
        </w:numPr>
      </w:pPr>
      <w:r w:rsidRPr="00960FF8">
        <w:lastRenderedPageBreak/>
        <w:t xml:space="preserve">le </w:t>
      </w:r>
      <w:r w:rsidRPr="004637C7">
        <w:t>personnel de chantier et les conducteurs d’engins</w:t>
      </w:r>
      <w:r w:rsidRPr="00960FF8">
        <w:t>, soumis à un risque professionnel lors des manœuvres ;</w:t>
      </w:r>
    </w:p>
    <w:p w14:paraId="08792545" w14:textId="2174FF11" w:rsidR="00426BDE" w:rsidRPr="00960FF8" w:rsidRDefault="00426BDE" w:rsidP="0001633E">
      <w:pPr>
        <w:numPr>
          <w:ilvl w:val="0"/>
          <w:numId w:val="117"/>
        </w:numPr>
      </w:pPr>
      <w:r w:rsidRPr="00960FF8">
        <w:t xml:space="preserve">les </w:t>
      </w:r>
      <w:r w:rsidRPr="004637C7">
        <w:t>autorités locales et services de sécurité routière</w:t>
      </w:r>
      <w:r w:rsidRPr="00960FF8">
        <w:t>, responsables du contrôle et du maintien de la sécurité du trafic</w:t>
      </w:r>
      <w:r w:rsidR="00960FF8" w:rsidRPr="00960FF8">
        <w:t xml:space="preserve"> (ministère du transport et de la logistique)</w:t>
      </w:r>
      <w:r w:rsidRPr="00960FF8">
        <w:t>.</w:t>
      </w:r>
    </w:p>
    <w:p w14:paraId="7FF7A891" w14:textId="77777777" w:rsidR="00960FF8" w:rsidRPr="00960FF8" w:rsidRDefault="00426BDE" w:rsidP="00426BDE">
      <w:r w:rsidRPr="00960FF8">
        <w:t xml:space="preserve">Ainsi, le </w:t>
      </w:r>
      <w:r w:rsidRPr="004637C7">
        <w:t>risque d’accident routier</w:t>
      </w:r>
      <w:r w:rsidRPr="00960FF8">
        <w:t xml:space="preserve"> est évalué comme </w:t>
      </w:r>
      <w:r w:rsidRPr="004637C7">
        <w:t>modéré avant atténuation</w:t>
      </w:r>
      <w:r w:rsidRPr="00960FF8">
        <w:t xml:space="preserve">, de </w:t>
      </w:r>
      <w:r w:rsidRPr="004637C7">
        <w:t>nature directe</w:t>
      </w:r>
      <w:r w:rsidRPr="00960FF8">
        <w:t xml:space="preserve">, </w:t>
      </w:r>
      <w:r w:rsidRPr="004637C7">
        <w:t>temporaire</w:t>
      </w:r>
      <w:r w:rsidRPr="00960FF8">
        <w:t xml:space="preserve"> et </w:t>
      </w:r>
      <w:r w:rsidRPr="004637C7">
        <w:t>localisée</w:t>
      </w:r>
      <w:r w:rsidRPr="00960FF8">
        <w:t xml:space="preserve">, lié à une </w:t>
      </w:r>
      <w:r w:rsidRPr="004637C7">
        <w:t>probabilité occasionnelle</w:t>
      </w:r>
      <w:r w:rsidRPr="00960FF8">
        <w:t xml:space="preserve"> et une </w:t>
      </w:r>
      <w:r w:rsidRPr="004637C7">
        <w:t>gravité modérée à majeure</w:t>
      </w:r>
      <w:r w:rsidRPr="00960FF8">
        <w:t>.</w:t>
      </w:r>
    </w:p>
    <w:p w14:paraId="2A976BF5" w14:textId="528D2BAD" w:rsidR="00B003EE" w:rsidRDefault="00426BDE" w:rsidP="00426BDE">
      <w:r w:rsidRPr="00960FF8">
        <w:t xml:space="preserve">Ce risque demeure </w:t>
      </w:r>
      <w:r w:rsidRPr="004637C7">
        <w:t>maîtrisable</w:t>
      </w:r>
      <w:r w:rsidRPr="00960FF8">
        <w:t xml:space="preserve"> moyennant la mise en place d’un plan de circulation chantier, d’une signalisation temporaire adaptée et d’une coordination renforcée avec les autorités compétentes.</w:t>
      </w:r>
      <w:r w:rsidR="00B003EE">
        <w:br w:type="page"/>
      </w:r>
    </w:p>
    <w:p w14:paraId="0CD1805D" w14:textId="77777777" w:rsidR="00426BDE" w:rsidRPr="00960FF8" w:rsidRDefault="00426BDE" w:rsidP="00426BDE"/>
    <w:tbl>
      <w:tblPr>
        <w:tblStyle w:val="TableauGrille1Clair-Accentuation111"/>
        <w:tblW w:w="0" w:type="auto"/>
        <w:tblLook w:val="04A0" w:firstRow="1" w:lastRow="0" w:firstColumn="1" w:lastColumn="0" w:noHBand="0" w:noVBand="1"/>
      </w:tblPr>
      <w:tblGrid>
        <w:gridCol w:w="1198"/>
        <w:gridCol w:w="2338"/>
        <w:gridCol w:w="1501"/>
        <w:gridCol w:w="2630"/>
        <w:gridCol w:w="1393"/>
      </w:tblGrid>
      <w:tr w:rsidR="00B342A9" w:rsidRPr="00B95A9D" w14:paraId="2F829342" w14:textId="77777777" w:rsidTr="005A766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570B4FEB" w14:textId="77777777" w:rsidR="00B003EE" w:rsidRPr="00B95A9D" w:rsidRDefault="00B003EE" w:rsidP="005A7661">
            <w:pPr>
              <w:rPr>
                <w:szCs w:val="20"/>
              </w:rPr>
            </w:pPr>
            <w:r w:rsidRPr="002C2301">
              <w:rPr>
                <w:rFonts w:eastAsiaTheme="majorEastAsia"/>
                <w:szCs w:val="20"/>
              </w:rPr>
              <w:t>Risque</w:t>
            </w:r>
          </w:p>
        </w:tc>
        <w:tc>
          <w:tcPr>
            <w:tcW w:w="0" w:type="auto"/>
          </w:tcPr>
          <w:p w14:paraId="6805D8D0" w14:textId="77777777" w:rsidR="00B003EE" w:rsidRPr="00B95A9D" w:rsidRDefault="00B003EE" w:rsidP="005A7661">
            <w:pPr>
              <w:cnfStyle w:val="100000000000" w:firstRow="1" w:lastRow="0" w:firstColumn="0" w:lastColumn="0" w:oddVBand="0" w:evenVBand="0" w:oddHBand="0" w:evenHBand="0" w:firstRowFirstColumn="0" w:firstRowLastColumn="0" w:lastRowFirstColumn="0" w:lastRowLastColumn="0"/>
              <w:rPr>
                <w:szCs w:val="20"/>
              </w:rPr>
            </w:pPr>
            <w:r w:rsidRPr="002C2301">
              <w:rPr>
                <w:rFonts w:eastAsiaTheme="majorEastAsia"/>
                <w:szCs w:val="20"/>
              </w:rPr>
              <w:t>Activités génératrices</w:t>
            </w:r>
          </w:p>
        </w:tc>
        <w:tc>
          <w:tcPr>
            <w:tcW w:w="0" w:type="auto"/>
          </w:tcPr>
          <w:p w14:paraId="435B99B9" w14:textId="77777777" w:rsidR="00B003EE" w:rsidRPr="00B95A9D" w:rsidRDefault="00B003EE" w:rsidP="005A7661">
            <w:pPr>
              <w:cnfStyle w:val="100000000000" w:firstRow="1" w:lastRow="0" w:firstColumn="0" w:lastColumn="0" w:oddVBand="0" w:evenVBand="0" w:oddHBand="0" w:evenHBand="0" w:firstRowFirstColumn="0" w:firstRowLastColumn="0" w:lastRowFirstColumn="0" w:lastRowLastColumn="0"/>
              <w:rPr>
                <w:szCs w:val="20"/>
              </w:rPr>
            </w:pPr>
            <w:r w:rsidRPr="002C2301">
              <w:rPr>
                <w:rFonts w:eastAsiaTheme="majorEastAsia"/>
                <w:szCs w:val="20"/>
              </w:rPr>
              <w:t>Critère</w:t>
            </w:r>
          </w:p>
        </w:tc>
        <w:tc>
          <w:tcPr>
            <w:tcW w:w="0" w:type="auto"/>
          </w:tcPr>
          <w:p w14:paraId="2C253935" w14:textId="77777777" w:rsidR="00B003EE" w:rsidRPr="00B95A9D" w:rsidRDefault="00B003EE" w:rsidP="005A7661">
            <w:pPr>
              <w:cnfStyle w:val="100000000000" w:firstRow="1" w:lastRow="0" w:firstColumn="0" w:lastColumn="0" w:oddVBand="0" w:evenVBand="0" w:oddHBand="0" w:evenHBand="0" w:firstRowFirstColumn="0" w:firstRowLastColumn="0" w:lastRowFirstColumn="0" w:lastRowLastColumn="0"/>
              <w:rPr>
                <w:szCs w:val="20"/>
              </w:rPr>
            </w:pPr>
            <w:r w:rsidRPr="002C2301">
              <w:rPr>
                <w:rFonts w:eastAsiaTheme="majorEastAsia"/>
                <w:szCs w:val="20"/>
              </w:rPr>
              <w:t>Justification</w:t>
            </w:r>
          </w:p>
        </w:tc>
        <w:tc>
          <w:tcPr>
            <w:tcW w:w="0" w:type="auto"/>
          </w:tcPr>
          <w:p w14:paraId="2B10686B" w14:textId="77777777" w:rsidR="00B003EE" w:rsidRPr="00B95A9D" w:rsidRDefault="00B003EE" w:rsidP="005A7661">
            <w:pPr>
              <w:cnfStyle w:val="100000000000" w:firstRow="1" w:lastRow="0" w:firstColumn="0" w:lastColumn="0" w:oddVBand="0" w:evenVBand="0" w:oddHBand="0" w:evenHBand="0" w:firstRowFirstColumn="0" w:firstRowLastColumn="0" w:lastRowFirstColumn="0" w:lastRowLastColumn="0"/>
              <w:rPr>
                <w:szCs w:val="20"/>
              </w:rPr>
            </w:pPr>
            <w:r w:rsidRPr="002C2301">
              <w:rPr>
                <w:rFonts w:eastAsiaTheme="majorEastAsia"/>
                <w:szCs w:val="20"/>
              </w:rPr>
              <w:t>Niveau</w:t>
            </w:r>
          </w:p>
        </w:tc>
      </w:tr>
      <w:tr w:rsidR="00B342A9" w:rsidRPr="00B95A9D" w14:paraId="3678A3AD" w14:textId="77777777" w:rsidTr="005A7661">
        <w:tc>
          <w:tcPr>
            <w:cnfStyle w:val="001000000000" w:firstRow="0" w:lastRow="0" w:firstColumn="1" w:lastColumn="0" w:oddVBand="0" w:evenVBand="0" w:oddHBand="0" w:evenHBand="0" w:firstRowFirstColumn="0" w:firstRowLastColumn="0" w:lastRowFirstColumn="0" w:lastRowLastColumn="0"/>
            <w:tcW w:w="0" w:type="auto"/>
            <w:vMerge w:val="restart"/>
          </w:tcPr>
          <w:p w14:paraId="3F582245" w14:textId="27AD1C8B" w:rsidR="00B003EE" w:rsidRPr="00B95A9D" w:rsidRDefault="00B342A9" w:rsidP="005A7661">
            <w:pPr>
              <w:rPr>
                <w:szCs w:val="20"/>
              </w:rPr>
            </w:pPr>
            <w:r w:rsidRPr="00B342A9">
              <w:rPr>
                <w:szCs w:val="20"/>
              </w:rPr>
              <w:t xml:space="preserve">Risque d’accident routier </w:t>
            </w:r>
          </w:p>
        </w:tc>
        <w:tc>
          <w:tcPr>
            <w:tcW w:w="0" w:type="auto"/>
            <w:vMerge w:val="restart"/>
          </w:tcPr>
          <w:p w14:paraId="33277BFF" w14:textId="6557B9E5" w:rsidR="00B003EE" w:rsidRPr="00B95A9D" w:rsidRDefault="00B342A9" w:rsidP="005A7661">
            <w:pPr>
              <w:cnfStyle w:val="000000000000" w:firstRow="0" w:lastRow="0" w:firstColumn="0" w:lastColumn="0" w:oddVBand="0" w:evenVBand="0" w:oddHBand="0" w:evenHBand="0" w:firstRowFirstColumn="0" w:firstRowLastColumn="0" w:lastRowFirstColumn="0" w:lastRowLastColumn="0"/>
              <w:rPr>
                <w:szCs w:val="20"/>
              </w:rPr>
            </w:pPr>
            <w:r w:rsidRPr="00B342A9">
              <w:rPr>
                <w:szCs w:val="20"/>
              </w:rPr>
              <w:t xml:space="preserve">Circulation des camions de transport de matériaux, engins de terrassement et véhicules de service sur la </w:t>
            </w:r>
            <w:r w:rsidR="001D422B">
              <w:rPr>
                <w:szCs w:val="20"/>
              </w:rPr>
              <w:t>RR212</w:t>
            </w:r>
            <w:r w:rsidRPr="00B342A9">
              <w:rPr>
                <w:szCs w:val="20"/>
              </w:rPr>
              <w:t xml:space="preserve"> et voies d’accès au chantier.</w:t>
            </w:r>
          </w:p>
        </w:tc>
        <w:tc>
          <w:tcPr>
            <w:tcW w:w="0" w:type="auto"/>
            <w:hideMark/>
          </w:tcPr>
          <w:p w14:paraId="0CCCB1B1" w14:textId="77777777" w:rsidR="00B003EE" w:rsidRPr="00B95A9D" w:rsidRDefault="00B003EE" w:rsidP="005A7661">
            <w:pPr>
              <w:cnfStyle w:val="000000000000" w:firstRow="0" w:lastRow="0" w:firstColumn="0" w:lastColumn="0" w:oddVBand="0" w:evenVBand="0" w:oddHBand="0" w:evenHBand="0" w:firstRowFirstColumn="0" w:firstRowLastColumn="0" w:lastRowFirstColumn="0" w:lastRowLastColumn="0"/>
              <w:rPr>
                <w:szCs w:val="20"/>
              </w:rPr>
            </w:pPr>
            <w:r w:rsidRPr="00B95A9D">
              <w:rPr>
                <w:rFonts w:eastAsiaTheme="majorEastAsia"/>
                <w:b/>
                <w:bCs/>
                <w:szCs w:val="20"/>
              </w:rPr>
              <w:t>Probabilité d’occurrence</w:t>
            </w:r>
          </w:p>
        </w:tc>
        <w:tc>
          <w:tcPr>
            <w:tcW w:w="0" w:type="auto"/>
          </w:tcPr>
          <w:p w14:paraId="23C994CA" w14:textId="23C1ADB8" w:rsidR="00B003EE" w:rsidRPr="00B95A9D" w:rsidRDefault="00B342A9" w:rsidP="005A7661">
            <w:pPr>
              <w:cnfStyle w:val="000000000000" w:firstRow="0" w:lastRow="0" w:firstColumn="0" w:lastColumn="0" w:oddVBand="0" w:evenVBand="0" w:oddHBand="0" w:evenHBand="0" w:firstRowFirstColumn="0" w:firstRowLastColumn="0" w:lastRowFirstColumn="0" w:lastRowLastColumn="0"/>
              <w:rPr>
                <w:szCs w:val="20"/>
              </w:rPr>
            </w:pPr>
            <w:r w:rsidRPr="00B342A9">
              <w:rPr>
                <w:szCs w:val="20"/>
              </w:rPr>
              <w:t>Le risque d’accident existe mais reste limité grâce à la planification du trafic et la signalisation temporaire ; il survient surtout lors des manœuvres d’entrée et de sortie du site.</w:t>
            </w:r>
          </w:p>
        </w:tc>
        <w:tc>
          <w:tcPr>
            <w:tcW w:w="0" w:type="auto"/>
          </w:tcPr>
          <w:p w14:paraId="075DD9C9" w14:textId="465D77C8" w:rsidR="00B003EE" w:rsidRPr="00B95A9D" w:rsidRDefault="00B342A9" w:rsidP="005A7661">
            <w:pPr>
              <w:cnfStyle w:val="000000000000" w:firstRow="0" w:lastRow="0" w:firstColumn="0" w:lastColumn="0" w:oddVBand="0" w:evenVBand="0" w:oddHBand="0" w:evenHBand="0" w:firstRowFirstColumn="0" w:firstRowLastColumn="0" w:lastRowFirstColumn="0" w:lastRowLastColumn="0"/>
              <w:rPr>
                <w:szCs w:val="20"/>
              </w:rPr>
            </w:pPr>
            <w:r>
              <w:rPr>
                <w:szCs w:val="20"/>
              </w:rPr>
              <w:t>O</w:t>
            </w:r>
            <w:r w:rsidRPr="00B342A9">
              <w:rPr>
                <w:szCs w:val="20"/>
              </w:rPr>
              <w:t>ccasionnelle</w:t>
            </w:r>
          </w:p>
        </w:tc>
      </w:tr>
      <w:tr w:rsidR="00B342A9" w:rsidRPr="00B95A9D" w14:paraId="398B62C6" w14:textId="77777777" w:rsidTr="005A7661">
        <w:tc>
          <w:tcPr>
            <w:cnfStyle w:val="001000000000" w:firstRow="0" w:lastRow="0" w:firstColumn="1" w:lastColumn="0" w:oddVBand="0" w:evenVBand="0" w:oddHBand="0" w:evenHBand="0" w:firstRowFirstColumn="0" w:firstRowLastColumn="0" w:lastRowFirstColumn="0" w:lastRowLastColumn="0"/>
            <w:tcW w:w="0" w:type="auto"/>
            <w:vMerge/>
          </w:tcPr>
          <w:p w14:paraId="4D2BEB67" w14:textId="77777777" w:rsidR="00B003EE" w:rsidRPr="00B95A9D" w:rsidRDefault="00B003EE" w:rsidP="005A7661">
            <w:pPr>
              <w:rPr>
                <w:szCs w:val="20"/>
              </w:rPr>
            </w:pPr>
          </w:p>
        </w:tc>
        <w:tc>
          <w:tcPr>
            <w:tcW w:w="0" w:type="auto"/>
            <w:vMerge/>
          </w:tcPr>
          <w:p w14:paraId="28F2BA2B" w14:textId="77777777" w:rsidR="00B003EE" w:rsidRPr="00B95A9D" w:rsidRDefault="00B003EE" w:rsidP="005A7661">
            <w:pPr>
              <w:cnfStyle w:val="000000000000" w:firstRow="0" w:lastRow="0" w:firstColumn="0" w:lastColumn="0" w:oddVBand="0" w:evenVBand="0" w:oddHBand="0" w:evenHBand="0" w:firstRowFirstColumn="0" w:firstRowLastColumn="0" w:lastRowFirstColumn="0" w:lastRowLastColumn="0"/>
              <w:rPr>
                <w:szCs w:val="20"/>
              </w:rPr>
            </w:pPr>
          </w:p>
        </w:tc>
        <w:tc>
          <w:tcPr>
            <w:tcW w:w="0" w:type="auto"/>
            <w:hideMark/>
          </w:tcPr>
          <w:p w14:paraId="02DCBEBE" w14:textId="77777777" w:rsidR="00B003EE" w:rsidRPr="00B95A9D" w:rsidRDefault="00B003EE" w:rsidP="005A7661">
            <w:pPr>
              <w:cnfStyle w:val="000000000000" w:firstRow="0" w:lastRow="0" w:firstColumn="0" w:lastColumn="0" w:oddVBand="0" w:evenVBand="0" w:oddHBand="0" w:evenHBand="0" w:firstRowFirstColumn="0" w:firstRowLastColumn="0" w:lastRowFirstColumn="0" w:lastRowLastColumn="0"/>
              <w:rPr>
                <w:szCs w:val="20"/>
              </w:rPr>
            </w:pPr>
            <w:r w:rsidRPr="00B95A9D">
              <w:rPr>
                <w:rFonts w:eastAsiaTheme="majorEastAsia"/>
                <w:b/>
                <w:bCs/>
                <w:szCs w:val="20"/>
              </w:rPr>
              <w:t>Gravité des conséquences</w:t>
            </w:r>
          </w:p>
        </w:tc>
        <w:tc>
          <w:tcPr>
            <w:tcW w:w="0" w:type="auto"/>
          </w:tcPr>
          <w:p w14:paraId="698E3E8F" w14:textId="686C89B9" w:rsidR="00B003EE" w:rsidRPr="00B95A9D" w:rsidRDefault="00B342A9" w:rsidP="005A7661">
            <w:pPr>
              <w:cnfStyle w:val="000000000000" w:firstRow="0" w:lastRow="0" w:firstColumn="0" w:lastColumn="0" w:oddVBand="0" w:evenVBand="0" w:oddHBand="0" w:evenHBand="0" w:firstRowFirstColumn="0" w:firstRowLastColumn="0" w:lastRowFirstColumn="0" w:lastRowLastColumn="0"/>
              <w:rPr>
                <w:szCs w:val="20"/>
              </w:rPr>
            </w:pPr>
            <w:r w:rsidRPr="00B342A9">
              <w:rPr>
                <w:szCs w:val="20"/>
              </w:rPr>
              <w:t>Un accident pourrait provoquer des blessures ou des dommages matériels, sans conséquence irréversible ni atteinte majeure à la sécurité publique.</w:t>
            </w:r>
          </w:p>
        </w:tc>
        <w:tc>
          <w:tcPr>
            <w:tcW w:w="0" w:type="auto"/>
          </w:tcPr>
          <w:p w14:paraId="1102F55B" w14:textId="26714E4D" w:rsidR="00B003EE" w:rsidRPr="00B95A9D" w:rsidRDefault="00B342A9" w:rsidP="005A7661">
            <w:pPr>
              <w:cnfStyle w:val="000000000000" w:firstRow="0" w:lastRow="0" w:firstColumn="0" w:lastColumn="0" w:oddVBand="0" w:evenVBand="0" w:oddHBand="0" w:evenHBand="0" w:firstRowFirstColumn="0" w:firstRowLastColumn="0" w:lastRowFirstColumn="0" w:lastRowLastColumn="0"/>
              <w:rPr>
                <w:szCs w:val="20"/>
              </w:rPr>
            </w:pPr>
            <w:r w:rsidRPr="00B342A9">
              <w:rPr>
                <w:szCs w:val="20"/>
              </w:rPr>
              <w:t>Modérée à majeure</w:t>
            </w:r>
          </w:p>
        </w:tc>
      </w:tr>
      <w:tr w:rsidR="00B342A9" w:rsidRPr="00B95A9D" w14:paraId="22704F94" w14:textId="77777777" w:rsidTr="005A7661">
        <w:tc>
          <w:tcPr>
            <w:cnfStyle w:val="001000000000" w:firstRow="0" w:lastRow="0" w:firstColumn="1" w:lastColumn="0" w:oddVBand="0" w:evenVBand="0" w:oddHBand="0" w:evenHBand="0" w:firstRowFirstColumn="0" w:firstRowLastColumn="0" w:lastRowFirstColumn="0" w:lastRowLastColumn="0"/>
            <w:tcW w:w="0" w:type="auto"/>
            <w:vMerge/>
          </w:tcPr>
          <w:p w14:paraId="3359210B" w14:textId="77777777" w:rsidR="00B003EE" w:rsidRPr="00B95A9D" w:rsidRDefault="00B003EE" w:rsidP="005A7661">
            <w:pPr>
              <w:rPr>
                <w:szCs w:val="20"/>
              </w:rPr>
            </w:pPr>
          </w:p>
        </w:tc>
        <w:tc>
          <w:tcPr>
            <w:tcW w:w="0" w:type="auto"/>
            <w:vMerge/>
          </w:tcPr>
          <w:p w14:paraId="7D557809" w14:textId="77777777" w:rsidR="00B003EE" w:rsidRPr="00B95A9D" w:rsidRDefault="00B003EE" w:rsidP="005A7661">
            <w:pPr>
              <w:cnfStyle w:val="000000000000" w:firstRow="0" w:lastRow="0" w:firstColumn="0" w:lastColumn="0" w:oddVBand="0" w:evenVBand="0" w:oddHBand="0" w:evenHBand="0" w:firstRowFirstColumn="0" w:firstRowLastColumn="0" w:lastRowFirstColumn="0" w:lastRowLastColumn="0"/>
              <w:rPr>
                <w:szCs w:val="20"/>
              </w:rPr>
            </w:pPr>
          </w:p>
        </w:tc>
        <w:tc>
          <w:tcPr>
            <w:tcW w:w="0" w:type="auto"/>
            <w:hideMark/>
          </w:tcPr>
          <w:p w14:paraId="52EAF7B1" w14:textId="77777777" w:rsidR="00B003EE" w:rsidRPr="00B95A9D" w:rsidRDefault="00B003EE" w:rsidP="005A7661">
            <w:pPr>
              <w:cnfStyle w:val="000000000000" w:firstRow="0" w:lastRow="0" w:firstColumn="0" w:lastColumn="0" w:oddVBand="0" w:evenVBand="0" w:oddHBand="0" w:evenHBand="0" w:firstRowFirstColumn="0" w:firstRowLastColumn="0" w:lastRowFirstColumn="0" w:lastRowLastColumn="0"/>
              <w:rPr>
                <w:szCs w:val="20"/>
              </w:rPr>
            </w:pPr>
            <w:r w:rsidRPr="00B95A9D">
              <w:rPr>
                <w:rFonts w:eastAsiaTheme="majorEastAsia"/>
                <w:b/>
                <w:bCs/>
                <w:szCs w:val="20"/>
              </w:rPr>
              <w:t>Évaluation globale du risque</w:t>
            </w:r>
          </w:p>
        </w:tc>
        <w:tc>
          <w:tcPr>
            <w:tcW w:w="0" w:type="auto"/>
          </w:tcPr>
          <w:p w14:paraId="1B2D160C" w14:textId="0A3CD51B" w:rsidR="00B003EE" w:rsidRPr="00B95A9D" w:rsidRDefault="00B342A9" w:rsidP="005A7661">
            <w:pPr>
              <w:cnfStyle w:val="000000000000" w:firstRow="0" w:lastRow="0" w:firstColumn="0" w:lastColumn="0" w:oddVBand="0" w:evenVBand="0" w:oddHBand="0" w:evenHBand="0" w:firstRowFirstColumn="0" w:firstRowLastColumn="0" w:lastRowFirstColumn="0" w:lastRowLastColumn="0"/>
              <w:rPr>
                <w:szCs w:val="20"/>
              </w:rPr>
            </w:pPr>
            <w:r w:rsidRPr="00B342A9">
              <w:rPr>
                <w:szCs w:val="20"/>
              </w:rPr>
              <w:t>En combinant une probabilité occasionnelle et une gravité modérée à majeure, la criticité est jugée modérée avant atténuation.</w:t>
            </w:r>
          </w:p>
        </w:tc>
        <w:tc>
          <w:tcPr>
            <w:tcW w:w="0" w:type="auto"/>
          </w:tcPr>
          <w:p w14:paraId="2BB38E8C" w14:textId="3E38C9FB" w:rsidR="00B003EE" w:rsidRPr="00B95A9D" w:rsidRDefault="00B342A9" w:rsidP="005A7661">
            <w:pPr>
              <w:cnfStyle w:val="000000000000" w:firstRow="0" w:lastRow="0" w:firstColumn="0" w:lastColumn="0" w:oddVBand="0" w:evenVBand="0" w:oddHBand="0" w:evenHBand="0" w:firstRowFirstColumn="0" w:firstRowLastColumn="0" w:lastRowFirstColumn="0" w:lastRowLastColumn="0"/>
              <w:rPr>
                <w:szCs w:val="20"/>
              </w:rPr>
            </w:pPr>
            <w:r w:rsidRPr="00B342A9">
              <w:rPr>
                <w:szCs w:val="20"/>
              </w:rPr>
              <w:t>Modérée</w:t>
            </w:r>
          </w:p>
        </w:tc>
      </w:tr>
    </w:tbl>
    <w:p w14:paraId="325A1FE2" w14:textId="77777777" w:rsidR="008F5918" w:rsidRDefault="008F5918" w:rsidP="008D63E5"/>
    <w:p w14:paraId="569916FE" w14:textId="77777777" w:rsidR="00B003EE" w:rsidRDefault="00B003EE" w:rsidP="008D63E5"/>
    <w:p w14:paraId="1620DE5F" w14:textId="77777777" w:rsidR="00B003EE" w:rsidRDefault="00B003EE" w:rsidP="008D63E5"/>
    <w:p w14:paraId="3E2463E4" w14:textId="77777777" w:rsidR="00B003EE" w:rsidRDefault="00B003EE" w:rsidP="008D63E5">
      <w:pPr>
        <w:sectPr w:rsidR="00B003EE" w:rsidSect="00FB08CF">
          <w:pgSz w:w="11906" w:h="16838"/>
          <w:pgMar w:top="1418" w:right="1418" w:bottom="1276" w:left="1418" w:header="680" w:footer="680" w:gutter="0"/>
          <w:cols w:space="708"/>
          <w:docGrid w:linePitch="360"/>
        </w:sectPr>
      </w:pPr>
    </w:p>
    <w:p w14:paraId="62890CC3" w14:textId="77777777" w:rsidR="00426BDE" w:rsidRPr="00954ED9" w:rsidRDefault="00426BDE" w:rsidP="004637C7"/>
    <w:p w14:paraId="3FE9EBD1" w14:textId="77777777" w:rsidR="00A2719C" w:rsidRPr="00634DE4" w:rsidRDefault="00A2719C" w:rsidP="004637C7">
      <w:pPr>
        <w:pStyle w:val="Title5"/>
      </w:pPr>
      <w:r w:rsidRPr="00634DE4">
        <w:t>Mesures d’atténuation</w:t>
      </w:r>
    </w:p>
    <w:p w14:paraId="0C087A82" w14:textId="4E166E3A" w:rsidR="00A2719C" w:rsidRDefault="00A2719C" w:rsidP="00A2719C">
      <w:pPr>
        <w:pStyle w:val="Lgende"/>
        <w:rPr>
          <w:lang w:val="fr-FR"/>
        </w:rPr>
      </w:pPr>
      <w:bookmarkStart w:id="469" w:name="_Toc213404383"/>
      <w:r w:rsidRPr="002A0860">
        <w:rPr>
          <w:lang w:val="fr-FR"/>
        </w:rPr>
        <w:t xml:space="preserve">Tableau </w:t>
      </w:r>
      <w:r>
        <w:fldChar w:fldCharType="begin"/>
      </w:r>
      <w:r w:rsidRPr="002A0860">
        <w:rPr>
          <w:lang w:val="fr-FR"/>
        </w:rPr>
        <w:instrText xml:space="preserve"> SEQ Tableau \* ARABIC </w:instrText>
      </w:r>
      <w:r>
        <w:fldChar w:fldCharType="separate"/>
      </w:r>
      <w:r w:rsidR="00274E71">
        <w:rPr>
          <w:noProof/>
          <w:lang w:val="fr-FR"/>
        </w:rPr>
        <w:t>61</w:t>
      </w:r>
      <w:r>
        <w:fldChar w:fldCharType="end"/>
      </w:r>
      <w:r>
        <w:rPr>
          <w:lang w:val="fr-FR"/>
        </w:rPr>
        <w:t xml:space="preserve">: </w:t>
      </w:r>
      <w:r w:rsidR="008730B4">
        <w:rPr>
          <w:lang w:val="fr-FR"/>
        </w:rPr>
        <w:t>Trafic routier</w:t>
      </w:r>
      <w:r w:rsidRPr="002A0860">
        <w:rPr>
          <w:lang w:val="fr-FR"/>
        </w:rPr>
        <w:t xml:space="preserve"> – mesure d’atténuation en phase de construction</w:t>
      </w:r>
      <w:bookmarkEnd w:id="469"/>
      <w:r w:rsidRPr="002A0860">
        <w:rPr>
          <w:lang w:val="fr-FR"/>
        </w:rPr>
        <w:t xml:space="preserve"> </w:t>
      </w:r>
    </w:p>
    <w:tbl>
      <w:tblPr>
        <w:tblStyle w:val="TableauGrille1Clair-Accentuation111"/>
        <w:tblW w:w="0" w:type="auto"/>
        <w:tblLayout w:type="fixed"/>
        <w:tblLook w:val="04A0" w:firstRow="1" w:lastRow="0" w:firstColumn="1" w:lastColumn="0" w:noHBand="0" w:noVBand="1"/>
      </w:tblPr>
      <w:tblGrid>
        <w:gridCol w:w="1426"/>
        <w:gridCol w:w="1263"/>
        <w:gridCol w:w="2339"/>
        <w:gridCol w:w="1696"/>
        <w:gridCol w:w="958"/>
        <w:gridCol w:w="1452"/>
        <w:gridCol w:w="717"/>
        <w:gridCol w:w="1409"/>
        <w:gridCol w:w="2874"/>
      </w:tblGrid>
      <w:tr w:rsidR="004D4331" w:rsidRPr="00B40D36" w14:paraId="36E2779E" w14:textId="77777777" w:rsidTr="00D60FC9">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426" w:type="dxa"/>
            <w:hideMark/>
          </w:tcPr>
          <w:p w14:paraId="0AE440D8" w14:textId="77777777" w:rsidR="008730B4" w:rsidRPr="00AA22F2" w:rsidRDefault="008730B4" w:rsidP="008730B4">
            <w:pPr>
              <w:rPr>
                <w:szCs w:val="20"/>
                <w:lang w:eastAsia="fr-FR" w:bidi="ar-SA"/>
              </w:rPr>
            </w:pPr>
            <w:r w:rsidRPr="00AA22F2">
              <w:rPr>
                <w:szCs w:val="20"/>
                <w:lang w:eastAsia="fr-FR" w:bidi="ar-SA"/>
              </w:rPr>
              <w:t>Impact / Risque</w:t>
            </w:r>
          </w:p>
        </w:tc>
        <w:tc>
          <w:tcPr>
            <w:tcW w:w="1263" w:type="dxa"/>
            <w:hideMark/>
          </w:tcPr>
          <w:p w14:paraId="719847E7" w14:textId="77777777" w:rsidR="008730B4" w:rsidRPr="00AA22F2" w:rsidRDefault="008730B4" w:rsidP="008730B4">
            <w:pPr>
              <w:cnfStyle w:val="100000000000" w:firstRow="1" w:lastRow="0" w:firstColumn="0" w:lastColumn="0" w:oddVBand="0" w:evenVBand="0" w:oddHBand="0" w:evenHBand="0" w:firstRowFirstColumn="0" w:firstRowLastColumn="0" w:lastRowFirstColumn="0" w:lastRowLastColumn="0"/>
              <w:rPr>
                <w:szCs w:val="20"/>
                <w:lang w:eastAsia="fr-FR" w:bidi="ar-SA"/>
              </w:rPr>
            </w:pPr>
            <w:r w:rsidRPr="00AA22F2">
              <w:rPr>
                <w:szCs w:val="20"/>
                <w:lang w:eastAsia="fr-FR" w:bidi="ar-SA"/>
              </w:rPr>
              <w:t>Niveau d’atténuation</w:t>
            </w:r>
          </w:p>
        </w:tc>
        <w:tc>
          <w:tcPr>
            <w:tcW w:w="2339" w:type="dxa"/>
            <w:hideMark/>
          </w:tcPr>
          <w:p w14:paraId="7A0B53EA" w14:textId="77777777" w:rsidR="008730B4" w:rsidRPr="00AA22F2" w:rsidRDefault="008730B4" w:rsidP="008730B4">
            <w:pPr>
              <w:cnfStyle w:val="100000000000" w:firstRow="1" w:lastRow="0" w:firstColumn="0" w:lastColumn="0" w:oddVBand="0" w:evenVBand="0" w:oddHBand="0" w:evenHBand="0" w:firstRowFirstColumn="0" w:firstRowLastColumn="0" w:lastRowFirstColumn="0" w:lastRowLastColumn="0"/>
              <w:rPr>
                <w:szCs w:val="20"/>
                <w:lang w:eastAsia="fr-FR" w:bidi="ar-SA"/>
              </w:rPr>
            </w:pPr>
            <w:r w:rsidRPr="00AA22F2">
              <w:rPr>
                <w:szCs w:val="20"/>
                <w:lang w:eastAsia="fr-FR" w:bidi="ar-SA"/>
              </w:rPr>
              <w:t>Mesure d’atténuation / de gestion</w:t>
            </w:r>
          </w:p>
        </w:tc>
        <w:tc>
          <w:tcPr>
            <w:tcW w:w="1696" w:type="dxa"/>
            <w:hideMark/>
          </w:tcPr>
          <w:p w14:paraId="1F9F2089" w14:textId="77777777" w:rsidR="008730B4" w:rsidRPr="00AA22F2" w:rsidRDefault="008730B4" w:rsidP="008730B4">
            <w:pPr>
              <w:cnfStyle w:val="100000000000" w:firstRow="1" w:lastRow="0" w:firstColumn="0" w:lastColumn="0" w:oddVBand="0" w:evenVBand="0" w:oddHBand="0" w:evenHBand="0" w:firstRowFirstColumn="0" w:firstRowLastColumn="0" w:lastRowFirstColumn="0" w:lastRowLastColumn="0"/>
              <w:rPr>
                <w:szCs w:val="20"/>
                <w:lang w:eastAsia="fr-FR" w:bidi="ar-SA"/>
              </w:rPr>
            </w:pPr>
            <w:r w:rsidRPr="00AA22F2">
              <w:rPr>
                <w:szCs w:val="20"/>
                <w:lang w:eastAsia="fr-FR" w:bidi="ar-SA"/>
              </w:rPr>
              <w:t>Indicateurs de performance (KPI)</w:t>
            </w:r>
          </w:p>
        </w:tc>
        <w:tc>
          <w:tcPr>
            <w:tcW w:w="958" w:type="dxa"/>
            <w:hideMark/>
          </w:tcPr>
          <w:p w14:paraId="36AFEA3B" w14:textId="77777777" w:rsidR="008730B4" w:rsidRPr="00AA22F2" w:rsidRDefault="008730B4" w:rsidP="008730B4">
            <w:pPr>
              <w:cnfStyle w:val="100000000000" w:firstRow="1" w:lastRow="0" w:firstColumn="0" w:lastColumn="0" w:oddVBand="0" w:evenVBand="0" w:oddHBand="0" w:evenHBand="0" w:firstRowFirstColumn="0" w:firstRowLastColumn="0" w:lastRowFirstColumn="0" w:lastRowLastColumn="0"/>
              <w:rPr>
                <w:szCs w:val="20"/>
                <w:lang w:eastAsia="fr-FR" w:bidi="ar-SA"/>
              </w:rPr>
            </w:pPr>
            <w:r w:rsidRPr="00AA22F2">
              <w:rPr>
                <w:szCs w:val="20"/>
                <w:lang w:eastAsia="fr-FR" w:bidi="ar-SA"/>
              </w:rPr>
              <w:t>Mise en œuvre</w:t>
            </w:r>
          </w:p>
        </w:tc>
        <w:tc>
          <w:tcPr>
            <w:tcW w:w="1452" w:type="dxa"/>
            <w:hideMark/>
          </w:tcPr>
          <w:p w14:paraId="15B9B7B2" w14:textId="77777777" w:rsidR="008730B4" w:rsidRPr="00AA22F2" w:rsidRDefault="008730B4" w:rsidP="008730B4">
            <w:pPr>
              <w:cnfStyle w:val="100000000000" w:firstRow="1" w:lastRow="0" w:firstColumn="0" w:lastColumn="0" w:oddVBand="0" w:evenVBand="0" w:oddHBand="0" w:evenHBand="0" w:firstRowFirstColumn="0" w:firstRowLastColumn="0" w:lastRowFirstColumn="0" w:lastRowLastColumn="0"/>
              <w:rPr>
                <w:szCs w:val="20"/>
                <w:lang w:eastAsia="fr-FR" w:bidi="ar-SA"/>
              </w:rPr>
            </w:pPr>
            <w:r w:rsidRPr="00AA22F2">
              <w:rPr>
                <w:szCs w:val="20"/>
                <w:lang w:eastAsia="fr-FR" w:bidi="ar-SA"/>
              </w:rPr>
              <w:t>Surveillance</w:t>
            </w:r>
          </w:p>
        </w:tc>
        <w:tc>
          <w:tcPr>
            <w:tcW w:w="717" w:type="dxa"/>
            <w:hideMark/>
          </w:tcPr>
          <w:p w14:paraId="10C8EE79" w14:textId="77777777" w:rsidR="008730B4" w:rsidRPr="00AA22F2" w:rsidRDefault="008730B4" w:rsidP="008730B4">
            <w:pPr>
              <w:cnfStyle w:val="100000000000" w:firstRow="1" w:lastRow="0" w:firstColumn="0" w:lastColumn="0" w:oddVBand="0" w:evenVBand="0" w:oddHBand="0" w:evenHBand="0" w:firstRowFirstColumn="0" w:firstRowLastColumn="0" w:lastRowFirstColumn="0" w:lastRowLastColumn="0"/>
              <w:rPr>
                <w:szCs w:val="20"/>
                <w:lang w:eastAsia="fr-FR" w:bidi="ar-SA"/>
              </w:rPr>
            </w:pPr>
            <w:r w:rsidRPr="00AA22F2">
              <w:rPr>
                <w:szCs w:val="20"/>
                <w:lang w:eastAsia="fr-FR" w:bidi="ar-SA"/>
              </w:rPr>
              <w:t>Suivi</w:t>
            </w:r>
          </w:p>
        </w:tc>
        <w:tc>
          <w:tcPr>
            <w:tcW w:w="1409" w:type="dxa"/>
            <w:hideMark/>
          </w:tcPr>
          <w:p w14:paraId="07716463" w14:textId="77777777" w:rsidR="008730B4" w:rsidRPr="00AA22F2" w:rsidRDefault="008730B4" w:rsidP="008730B4">
            <w:pPr>
              <w:cnfStyle w:val="100000000000" w:firstRow="1" w:lastRow="0" w:firstColumn="0" w:lastColumn="0" w:oddVBand="0" w:evenVBand="0" w:oddHBand="0" w:evenHBand="0" w:firstRowFirstColumn="0" w:firstRowLastColumn="0" w:lastRowFirstColumn="0" w:lastRowLastColumn="0"/>
              <w:rPr>
                <w:szCs w:val="20"/>
                <w:lang w:eastAsia="fr-FR" w:bidi="ar-SA"/>
              </w:rPr>
            </w:pPr>
            <w:r w:rsidRPr="00AA22F2">
              <w:rPr>
                <w:szCs w:val="20"/>
                <w:lang w:eastAsia="fr-FR" w:bidi="ar-SA"/>
              </w:rPr>
              <w:t>Calendrier</w:t>
            </w:r>
          </w:p>
        </w:tc>
        <w:tc>
          <w:tcPr>
            <w:tcW w:w="2874" w:type="dxa"/>
            <w:hideMark/>
          </w:tcPr>
          <w:p w14:paraId="2424E7EF" w14:textId="77777777" w:rsidR="008730B4" w:rsidRPr="00AA22F2" w:rsidRDefault="008730B4" w:rsidP="008730B4">
            <w:pPr>
              <w:cnfStyle w:val="100000000000" w:firstRow="1" w:lastRow="0" w:firstColumn="0" w:lastColumn="0" w:oddVBand="0" w:evenVBand="0" w:oddHBand="0" w:evenHBand="0" w:firstRowFirstColumn="0" w:firstRowLastColumn="0" w:lastRowFirstColumn="0" w:lastRowLastColumn="0"/>
              <w:rPr>
                <w:szCs w:val="20"/>
                <w:lang w:eastAsia="fr-FR" w:bidi="ar-SA"/>
              </w:rPr>
            </w:pPr>
            <w:r w:rsidRPr="00AA22F2">
              <w:rPr>
                <w:szCs w:val="20"/>
                <w:lang w:eastAsia="fr-FR" w:bidi="ar-SA"/>
              </w:rPr>
              <w:t>Coût</w:t>
            </w:r>
          </w:p>
        </w:tc>
      </w:tr>
      <w:tr w:rsidR="005F7967" w:rsidRPr="00B40D36" w14:paraId="148DA872" w14:textId="77777777" w:rsidTr="00D60FC9">
        <w:tc>
          <w:tcPr>
            <w:cnfStyle w:val="001000000000" w:firstRow="0" w:lastRow="0" w:firstColumn="1" w:lastColumn="0" w:oddVBand="0" w:evenVBand="0" w:oddHBand="0" w:evenHBand="0" w:firstRowFirstColumn="0" w:firstRowLastColumn="0" w:lastRowFirstColumn="0" w:lastRowLastColumn="0"/>
            <w:tcW w:w="1426" w:type="dxa"/>
            <w:vMerge w:val="restart"/>
            <w:hideMark/>
          </w:tcPr>
          <w:p w14:paraId="07551021" w14:textId="77777777" w:rsidR="00C40C47" w:rsidRPr="00AA22F2" w:rsidRDefault="00C40C47" w:rsidP="00C40C47">
            <w:pPr>
              <w:rPr>
                <w:szCs w:val="20"/>
                <w:lang w:eastAsia="fr-FR" w:bidi="ar-SA"/>
              </w:rPr>
            </w:pPr>
            <w:r w:rsidRPr="00AA22F2">
              <w:rPr>
                <w:szCs w:val="20"/>
                <w:lang w:eastAsia="fr-FR" w:bidi="ar-SA"/>
              </w:rPr>
              <w:t>Saturation et congestion du trafic</w:t>
            </w:r>
          </w:p>
        </w:tc>
        <w:tc>
          <w:tcPr>
            <w:tcW w:w="1263" w:type="dxa"/>
            <w:hideMark/>
          </w:tcPr>
          <w:p w14:paraId="65587264" w14:textId="77777777" w:rsidR="00C40C47" w:rsidRPr="00AA22F2" w:rsidRDefault="00C40C47" w:rsidP="00C40C47">
            <w:pPr>
              <w:cnfStyle w:val="000000000000" w:firstRow="0" w:lastRow="0" w:firstColumn="0" w:lastColumn="0" w:oddVBand="0" w:evenVBand="0" w:oddHBand="0" w:evenHBand="0" w:firstRowFirstColumn="0" w:firstRowLastColumn="0" w:lastRowFirstColumn="0" w:lastRowLastColumn="0"/>
              <w:rPr>
                <w:szCs w:val="20"/>
                <w:lang w:eastAsia="fr-FR" w:bidi="ar-SA"/>
              </w:rPr>
            </w:pPr>
            <w:r w:rsidRPr="00AA22F2">
              <w:rPr>
                <w:b/>
                <w:bCs/>
                <w:szCs w:val="20"/>
                <w:lang w:eastAsia="fr-FR" w:bidi="ar-SA"/>
              </w:rPr>
              <w:t>Éviter</w:t>
            </w:r>
          </w:p>
        </w:tc>
        <w:tc>
          <w:tcPr>
            <w:tcW w:w="2339" w:type="dxa"/>
            <w:hideMark/>
          </w:tcPr>
          <w:p w14:paraId="0D294D35" w14:textId="77777777" w:rsidR="00C40C47" w:rsidRPr="00AA22F2" w:rsidRDefault="00C40C47" w:rsidP="00C40C47">
            <w:pPr>
              <w:cnfStyle w:val="000000000000" w:firstRow="0" w:lastRow="0" w:firstColumn="0" w:lastColumn="0" w:oddVBand="0" w:evenVBand="0" w:oddHBand="0" w:evenHBand="0" w:firstRowFirstColumn="0" w:firstRowLastColumn="0" w:lastRowFirstColumn="0" w:lastRowLastColumn="0"/>
              <w:rPr>
                <w:szCs w:val="20"/>
                <w:lang w:eastAsia="fr-FR" w:bidi="ar-SA"/>
              </w:rPr>
            </w:pPr>
            <w:r w:rsidRPr="00AA22F2">
              <w:rPr>
                <w:szCs w:val="20"/>
                <w:lang w:eastAsia="fr-FR" w:bidi="ar-SA"/>
              </w:rPr>
              <w:t xml:space="preserve">Prévoir un </w:t>
            </w:r>
            <w:r w:rsidRPr="004637C7">
              <w:rPr>
                <w:szCs w:val="20"/>
                <w:lang w:eastAsia="fr-FR" w:bidi="ar-SA"/>
              </w:rPr>
              <w:t>plan de logistique chantier</w:t>
            </w:r>
            <w:r w:rsidRPr="00AA22F2">
              <w:rPr>
                <w:szCs w:val="20"/>
                <w:lang w:eastAsia="fr-FR" w:bidi="ar-SA"/>
              </w:rPr>
              <w:t xml:space="preserve"> minimisant les déplacements simultanés d’engins lourds et coordonnant les livraisons en dehors des heures de pointe.</w:t>
            </w:r>
          </w:p>
        </w:tc>
        <w:tc>
          <w:tcPr>
            <w:tcW w:w="1696" w:type="dxa"/>
            <w:hideMark/>
          </w:tcPr>
          <w:p w14:paraId="0483ACCB" w14:textId="77777777" w:rsidR="00C40C47" w:rsidRPr="00AA22F2" w:rsidRDefault="00C40C47" w:rsidP="00C40C47">
            <w:pPr>
              <w:cnfStyle w:val="000000000000" w:firstRow="0" w:lastRow="0" w:firstColumn="0" w:lastColumn="0" w:oddVBand="0" w:evenVBand="0" w:oddHBand="0" w:evenHBand="0" w:firstRowFirstColumn="0" w:firstRowLastColumn="0" w:lastRowFirstColumn="0" w:lastRowLastColumn="0"/>
              <w:rPr>
                <w:szCs w:val="20"/>
                <w:lang w:eastAsia="fr-FR" w:bidi="ar-SA"/>
              </w:rPr>
            </w:pPr>
            <w:r w:rsidRPr="00AA22F2">
              <w:rPr>
                <w:szCs w:val="20"/>
                <w:lang w:eastAsia="fr-FR" w:bidi="ar-SA"/>
              </w:rPr>
              <w:t>Aucune saturation signalée ; circulation maintenue fluide.</w:t>
            </w:r>
          </w:p>
        </w:tc>
        <w:tc>
          <w:tcPr>
            <w:tcW w:w="958" w:type="dxa"/>
            <w:hideMark/>
          </w:tcPr>
          <w:p w14:paraId="4A88A69C" w14:textId="54ED9289" w:rsidR="00C40C47" w:rsidRPr="00AA22F2" w:rsidRDefault="00C40C47" w:rsidP="00C40C47">
            <w:pPr>
              <w:cnfStyle w:val="000000000000" w:firstRow="0" w:lastRow="0" w:firstColumn="0" w:lastColumn="0" w:oddVBand="0" w:evenVBand="0" w:oddHBand="0" w:evenHBand="0" w:firstRowFirstColumn="0" w:firstRowLastColumn="0" w:lastRowFirstColumn="0" w:lastRowLastColumn="0"/>
              <w:rPr>
                <w:szCs w:val="20"/>
                <w:lang w:eastAsia="fr-FR" w:bidi="ar-SA"/>
              </w:rPr>
            </w:pPr>
            <w:r w:rsidRPr="004637C7">
              <w:rPr>
                <w:rFonts w:asciiTheme="minorHAnsi" w:hAnsiTheme="minorHAnsi" w:cstheme="minorHAnsi"/>
                <w:szCs w:val="20"/>
                <w:lang w:eastAsia="fr-FR" w:bidi="ar-SA"/>
              </w:rPr>
              <w:t>EPC et sous-traitants</w:t>
            </w:r>
          </w:p>
        </w:tc>
        <w:tc>
          <w:tcPr>
            <w:tcW w:w="1452" w:type="dxa"/>
            <w:hideMark/>
          </w:tcPr>
          <w:p w14:paraId="776C97B8" w14:textId="6D3E02DB" w:rsidR="00C40C47" w:rsidRPr="00AA22F2" w:rsidRDefault="00C40C47" w:rsidP="00C40C47">
            <w:pPr>
              <w:cnfStyle w:val="000000000000" w:firstRow="0" w:lastRow="0" w:firstColumn="0" w:lastColumn="0" w:oddVBand="0" w:evenVBand="0" w:oddHBand="0" w:evenHBand="0" w:firstRowFirstColumn="0" w:firstRowLastColumn="0" w:lastRowFirstColumn="0" w:lastRowLastColumn="0"/>
              <w:rPr>
                <w:szCs w:val="20"/>
                <w:lang w:eastAsia="fr-FR" w:bidi="ar-SA"/>
              </w:rPr>
            </w:pPr>
            <w:r w:rsidRPr="00BC1745">
              <w:rPr>
                <w:szCs w:val="20"/>
              </w:rPr>
              <w:t>Bureau de contrôle / Consultant de supervision mandaté par l’ONDA</w:t>
            </w:r>
          </w:p>
        </w:tc>
        <w:tc>
          <w:tcPr>
            <w:tcW w:w="717" w:type="dxa"/>
            <w:hideMark/>
          </w:tcPr>
          <w:p w14:paraId="1C056103" w14:textId="79F0CD65" w:rsidR="00C40C47" w:rsidRPr="00AA22F2" w:rsidRDefault="00C40C47" w:rsidP="00C40C47">
            <w:pPr>
              <w:cnfStyle w:val="000000000000" w:firstRow="0" w:lastRow="0" w:firstColumn="0" w:lastColumn="0" w:oddVBand="0" w:evenVBand="0" w:oddHBand="0" w:evenHBand="0" w:firstRowFirstColumn="0" w:firstRowLastColumn="0" w:lastRowFirstColumn="0" w:lastRowLastColumn="0"/>
              <w:rPr>
                <w:szCs w:val="20"/>
                <w:lang w:eastAsia="fr-FR" w:bidi="ar-SA"/>
              </w:rPr>
            </w:pPr>
            <w:r>
              <w:rPr>
                <w:rFonts w:asciiTheme="minorHAnsi" w:hAnsiTheme="minorHAnsi" w:cstheme="minorHAnsi"/>
                <w:szCs w:val="20"/>
                <w:lang w:eastAsia="zh-CN"/>
              </w:rPr>
              <w:t>ONDA</w:t>
            </w:r>
          </w:p>
        </w:tc>
        <w:tc>
          <w:tcPr>
            <w:tcW w:w="1409" w:type="dxa"/>
            <w:hideMark/>
          </w:tcPr>
          <w:p w14:paraId="15676A9D" w14:textId="77777777" w:rsidR="00C40C47" w:rsidRPr="00AA22F2" w:rsidRDefault="00C40C47" w:rsidP="00C40C47">
            <w:pPr>
              <w:cnfStyle w:val="000000000000" w:firstRow="0" w:lastRow="0" w:firstColumn="0" w:lastColumn="0" w:oddVBand="0" w:evenVBand="0" w:oddHBand="0" w:evenHBand="0" w:firstRowFirstColumn="0" w:firstRowLastColumn="0" w:lastRowFirstColumn="0" w:lastRowLastColumn="0"/>
              <w:rPr>
                <w:szCs w:val="20"/>
                <w:lang w:eastAsia="fr-FR" w:bidi="ar-SA"/>
              </w:rPr>
            </w:pPr>
            <w:r w:rsidRPr="00AA22F2">
              <w:rPr>
                <w:szCs w:val="20"/>
                <w:lang w:eastAsia="fr-FR" w:bidi="ar-SA"/>
              </w:rPr>
              <w:t>Avant la phase de transport</w:t>
            </w:r>
          </w:p>
        </w:tc>
        <w:tc>
          <w:tcPr>
            <w:tcW w:w="2874" w:type="dxa"/>
            <w:hideMark/>
          </w:tcPr>
          <w:p w14:paraId="3B71B731" w14:textId="44C7C355" w:rsidR="00C40C47" w:rsidRPr="00AA22F2" w:rsidRDefault="005F7967" w:rsidP="00C40C47">
            <w:pPr>
              <w:cnfStyle w:val="000000000000" w:firstRow="0" w:lastRow="0" w:firstColumn="0" w:lastColumn="0" w:oddVBand="0" w:evenVBand="0" w:oddHBand="0" w:evenHBand="0" w:firstRowFirstColumn="0" w:firstRowLastColumn="0" w:lastRowFirstColumn="0" w:lastRowLastColumn="0"/>
              <w:rPr>
                <w:szCs w:val="20"/>
                <w:lang w:eastAsia="fr-FR" w:bidi="ar-SA"/>
              </w:rPr>
            </w:pPr>
            <w:r w:rsidRPr="005F7967">
              <w:rPr>
                <w:szCs w:val="20"/>
                <w:lang w:eastAsia="fr-FR" w:bidi="ar-SA"/>
              </w:rPr>
              <w:t>15 000 – 20 000</w:t>
            </w:r>
            <w:r>
              <w:rPr>
                <w:szCs w:val="20"/>
                <w:lang w:eastAsia="fr-FR" w:bidi="ar-SA"/>
              </w:rPr>
              <w:t>MAD</w:t>
            </w:r>
            <w:r w:rsidRPr="005F7967">
              <w:rPr>
                <w:szCs w:val="20"/>
                <w:lang w:eastAsia="fr-FR" w:bidi="ar-SA"/>
              </w:rPr>
              <w:t xml:space="preserve"> /plan</w:t>
            </w:r>
          </w:p>
        </w:tc>
      </w:tr>
      <w:tr w:rsidR="005F7967" w:rsidRPr="00B40D36" w14:paraId="6FC62DB4" w14:textId="77777777" w:rsidTr="00D60FC9">
        <w:tc>
          <w:tcPr>
            <w:cnfStyle w:val="001000000000" w:firstRow="0" w:lastRow="0" w:firstColumn="1" w:lastColumn="0" w:oddVBand="0" w:evenVBand="0" w:oddHBand="0" w:evenHBand="0" w:firstRowFirstColumn="0" w:firstRowLastColumn="0" w:lastRowFirstColumn="0" w:lastRowLastColumn="0"/>
            <w:tcW w:w="1426" w:type="dxa"/>
            <w:vMerge/>
            <w:hideMark/>
          </w:tcPr>
          <w:p w14:paraId="1983E87F" w14:textId="77777777" w:rsidR="00C40C47" w:rsidRPr="00AA22F2" w:rsidRDefault="00C40C47" w:rsidP="00C40C47">
            <w:pPr>
              <w:rPr>
                <w:szCs w:val="20"/>
                <w:lang w:eastAsia="fr-FR" w:bidi="ar-SA"/>
              </w:rPr>
            </w:pPr>
          </w:p>
        </w:tc>
        <w:tc>
          <w:tcPr>
            <w:tcW w:w="1263" w:type="dxa"/>
            <w:hideMark/>
          </w:tcPr>
          <w:p w14:paraId="747B03C2" w14:textId="77777777" w:rsidR="00C40C47" w:rsidRPr="00AA22F2" w:rsidRDefault="00C40C47" w:rsidP="00C40C47">
            <w:pPr>
              <w:cnfStyle w:val="000000000000" w:firstRow="0" w:lastRow="0" w:firstColumn="0" w:lastColumn="0" w:oddVBand="0" w:evenVBand="0" w:oddHBand="0" w:evenHBand="0" w:firstRowFirstColumn="0" w:firstRowLastColumn="0" w:lastRowFirstColumn="0" w:lastRowLastColumn="0"/>
              <w:rPr>
                <w:szCs w:val="20"/>
                <w:lang w:eastAsia="fr-FR" w:bidi="ar-SA"/>
              </w:rPr>
            </w:pPr>
            <w:r w:rsidRPr="00AA22F2">
              <w:rPr>
                <w:b/>
                <w:bCs/>
                <w:szCs w:val="20"/>
                <w:lang w:eastAsia="fr-FR" w:bidi="ar-SA"/>
              </w:rPr>
              <w:t>Réduire</w:t>
            </w:r>
          </w:p>
        </w:tc>
        <w:tc>
          <w:tcPr>
            <w:tcW w:w="2339" w:type="dxa"/>
            <w:hideMark/>
          </w:tcPr>
          <w:p w14:paraId="2E4C2F73" w14:textId="77777777" w:rsidR="00C40C47" w:rsidRPr="00AA22F2" w:rsidRDefault="00C40C47" w:rsidP="00C40C47">
            <w:pPr>
              <w:cnfStyle w:val="000000000000" w:firstRow="0" w:lastRow="0" w:firstColumn="0" w:lastColumn="0" w:oddVBand="0" w:evenVBand="0" w:oddHBand="0" w:evenHBand="0" w:firstRowFirstColumn="0" w:firstRowLastColumn="0" w:lastRowFirstColumn="0" w:lastRowLastColumn="0"/>
              <w:rPr>
                <w:szCs w:val="20"/>
                <w:lang w:eastAsia="fr-FR" w:bidi="ar-SA"/>
              </w:rPr>
            </w:pPr>
            <w:r w:rsidRPr="00AA22F2">
              <w:rPr>
                <w:szCs w:val="20"/>
                <w:lang w:eastAsia="fr-FR" w:bidi="ar-SA"/>
              </w:rPr>
              <w:t xml:space="preserve">Mettre en œuvre une </w:t>
            </w:r>
            <w:r w:rsidRPr="004637C7">
              <w:rPr>
                <w:szCs w:val="20"/>
                <w:lang w:eastAsia="fr-FR" w:bidi="ar-SA"/>
              </w:rPr>
              <w:t>gestion horaire du trafic de chantier</w:t>
            </w:r>
            <w:r w:rsidRPr="00AA22F2">
              <w:rPr>
                <w:szCs w:val="20"/>
                <w:lang w:eastAsia="fr-FR" w:bidi="ar-SA"/>
              </w:rPr>
              <w:t xml:space="preserve"> et limiter le nombre de camions circulant simultanément.</w:t>
            </w:r>
          </w:p>
        </w:tc>
        <w:tc>
          <w:tcPr>
            <w:tcW w:w="1696" w:type="dxa"/>
            <w:hideMark/>
          </w:tcPr>
          <w:p w14:paraId="3BC51FED" w14:textId="77777777" w:rsidR="00C40C47" w:rsidRPr="00AA22F2" w:rsidRDefault="00C40C47" w:rsidP="00C40C47">
            <w:pPr>
              <w:cnfStyle w:val="000000000000" w:firstRow="0" w:lastRow="0" w:firstColumn="0" w:lastColumn="0" w:oddVBand="0" w:evenVBand="0" w:oddHBand="0" w:evenHBand="0" w:firstRowFirstColumn="0" w:firstRowLastColumn="0" w:lastRowFirstColumn="0" w:lastRowLastColumn="0"/>
              <w:rPr>
                <w:szCs w:val="20"/>
                <w:lang w:eastAsia="fr-FR" w:bidi="ar-SA"/>
              </w:rPr>
            </w:pPr>
            <w:r w:rsidRPr="00AA22F2">
              <w:rPr>
                <w:szCs w:val="20"/>
                <w:lang w:eastAsia="fr-FR" w:bidi="ar-SA"/>
              </w:rPr>
              <w:t>Nombre de véhicules simultanés ≤ seuil planifié ; pas de bouchon observé.</w:t>
            </w:r>
          </w:p>
        </w:tc>
        <w:tc>
          <w:tcPr>
            <w:tcW w:w="958" w:type="dxa"/>
            <w:hideMark/>
          </w:tcPr>
          <w:p w14:paraId="14669613" w14:textId="52BF4C6E" w:rsidR="00C40C47" w:rsidRPr="00AA22F2" w:rsidRDefault="00C40C47" w:rsidP="00C40C47">
            <w:pPr>
              <w:cnfStyle w:val="000000000000" w:firstRow="0" w:lastRow="0" w:firstColumn="0" w:lastColumn="0" w:oddVBand="0" w:evenVBand="0" w:oddHBand="0" w:evenHBand="0" w:firstRowFirstColumn="0" w:firstRowLastColumn="0" w:lastRowFirstColumn="0" w:lastRowLastColumn="0"/>
              <w:rPr>
                <w:szCs w:val="20"/>
                <w:lang w:eastAsia="fr-FR" w:bidi="ar-SA"/>
              </w:rPr>
            </w:pPr>
            <w:r w:rsidRPr="004637C7">
              <w:rPr>
                <w:rFonts w:asciiTheme="minorHAnsi" w:hAnsiTheme="minorHAnsi" w:cstheme="minorHAnsi"/>
                <w:szCs w:val="20"/>
                <w:lang w:eastAsia="fr-FR" w:bidi="ar-SA"/>
              </w:rPr>
              <w:t>EPC et sous-traitants</w:t>
            </w:r>
          </w:p>
        </w:tc>
        <w:tc>
          <w:tcPr>
            <w:tcW w:w="1452" w:type="dxa"/>
            <w:hideMark/>
          </w:tcPr>
          <w:p w14:paraId="3E981B9D" w14:textId="39D3B3B6" w:rsidR="00C40C47" w:rsidRPr="00AA22F2" w:rsidRDefault="00C40C47" w:rsidP="00C40C47">
            <w:pPr>
              <w:cnfStyle w:val="000000000000" w:firstRow="0" w:lastRow="0" w:firstColumn="0" w:lastColumn="0" w:oddVBand="0" w:evenVBand="0" w:oddHBand="0" w:evenHBand="0" w:firstRowFirstColumn="0" w:firstRowLastColumn="0" w:lastRowFirstColumn="0" w:lastRowLastColumn="0"/>
              <w:rPr>
                <w:szCs w:val="20"/>
                <w:lang w:eastAsia="fr-FR" w:bidi="ar-SA"/>
              </w:rPr>
            </w:pPr>
            <w:r w:rsidRPr="00BC1745">
              <w:rPr>
                <w:szCs w:val="20"/>
              </w:rPr>
              <w:t>Bureau de contrôle / Consultant de supervision mandaté par l’ONDA</w:t>
            </w:r>
          </w:p>
        </w:tc>
        <w:tc>
          <w:tcPr>
            <w:tcW w:w="717" w:type="dxa"/>
            <w:hideMark/>
          </w:tcPr>
          <w:p w14:paraId="6C681F2A" w14:textId="1A3C4D99" w:rsidR="00C40C47" w:rsidRPr="00AA22F2" w:rsidRDefault="00C40C47" w:rsidP="00C40C47">
            <w:pPr>
              <w:cnfStyle w:val="000000000000" w:firstRow="0" w:lastRow="0" w:firstColumn="0" w:lastColumn="0" w:oddVBand="0" w:evenVBand="0" w:oddHBand="0" w:evenHBand="0" w:firstRowFirstColumn="0" w:firstRowLastColumn="0" w:lastRowFirstColumn="0" w:lastRowLastColumn="0"/>
              <w:rPr>
                <w:szCs w:val="20"/>
                <w:lang w:eastAsia="fr-FR" w:bidi="ar-SA"/>
              </w:rPr>
            </w:pPr>
            <w:r>
              <w:rPr>
                <w:rFonts w:asciiTheme="minorHAnsi" w:hAnsiTheme="minorHAnsi" w:cstheme="minorHAnsi"/>
                <w:szCs w:val="20"/>
                <w:lang w:eastAsia="zh-CN"/>
              </w:rPr>
              <w:t>ONDA</w:t>
            </w:r>
          </w:p>
        </w:tc>
        <w:tc>
          <w:tcPr>
            <w:tcW w:w="1409" w:type="dxa"/>
            <w:hideMark/>
          </w:tcPr>
          <w:p w14:paraId="718072E2" w14:textId="77777777" w:rsidR="00C40C47" w:rsidRPr="00AA22F2" w:rsidRDefault="00C40C47" w:rsidP="00C40C47">
            <w:pPr>
              <w:cnfStyle w:val="000000000000" w:firstRow="0" w:lastRow="0" w:firstColumn="0" w:lastColumn="0" w:oddVBand="0" w:evenVBand="0" w:oddHBand="0" w:evenHBand="0" w:firstRowFirstColumn="0" w:firstRowLastColumn="0" w:lastRowFirstColumn="0" w:lastRowLastColumn="0"/>
              <w:rPr>
                <w:szCs w:val="20"/>
                <w:lang w:eastAsia="fr-FR" w:bidi="ar-SA"/>
              </w:rPr>
            </w:pPr>
            <w:r w:rsidRPr="00AA22F2">
              <w:rPr>
                <w:szCs w:val="20"/>
                <w:lang w:eastAsia="fr-FR" w:bidi="ar-SA"/>
              </w:rPr>
              <w:t>Pendant la période de gros transport</w:t>
            </w:r>
          </w:p>
        </w:tc>
        <w:tc>
          <w:tcPr>
            <w:tcW w:w="2874" w:type="dxa"/>
            <w:hideMark/>
          </w:tcPr>
          <w:p w14:paraId="67C44634" w14:textId="3A79E95A" w:rsidR="00C40C47" w:rsidRPr="00AA22F2" w:rsidRDefault="00C40C47" w:rsidP="00C40C47">
            <w:pPr>
              <w:cnfStyle w:val="000000000000" w:firstRow="0" w:lastRow="0" w:firstColumn="0" w:lastColumn="0" w:oddVBand="0" w:evenVBand="0" w:oddHBand="0" w:evenHBand="0" w:firstRowFirstColumn="0" w:firstRowLastColumn="0" w:lastRowFirstColumn="0" w:lastRowLastColumn="0"/>
              <w:rPr>
                <w:szCs w:val="20"/>
                <w:lang w:eastAsia="fr-FR" w:bidi="ar-SA"/>
              </w:rPr>
            </w:pPr>
            <w:r w:rsidRPr="00AA22F2">
              <w:rPr>
                <w:szCs w:val="20"/>
                <w:lang w:eastAsia="fr-FR" w:bidi="ar-SA"/>
              </w:rPr>
              <w:t>Aucun coût spécifique</w:t>
            </w:r>
          </w:p>
        </w:tc>
      </w:tr>
      <w:tr w:rsidR="005F7967" w:rsidRPr="00B40D36" w14:paraId="559F7057" w14:textId="77777777" w:rsidTr="00D60FC9">
        <w:tc>
          <w:tcPr>
            <w:cnfStyle w:val="001000000000" w:firstRow="0" w:lastRow="0" w:firstColumn="1" w:lastColumn="0" w:oddVBand="0" w:evenVBand="0" w:oddHBand="0" w:evenHBand="0" w:firstRowFirstColumn="0" w:firstRowLastColumn="0" w:lastRowFirstColumn="0" w:lastRowLastColumn="0"/>
            <w:tcW w:w="1426" w:type="dxa"/>
            <w:vMerge/>
            <w:hideMark/>
          </w:tcPr>
          <w:p w14:paraId="20D4330D" w14:textId="77777777" w:rsidR="00C40C47" w:rsidRPr="00AA22F2" w:rsidRDefault="00C40C47" w:rsidP="00C40C47">
            <w:pPr>
              <w:rPr>
                <w:szCs w:val="20"/>
                <w:lang w:eastAsia="fr-FR" w:bidi="ar-SA"/>
              </w:rPr>
            </w:pPr>
          </w:p>
        </w:tc>
        <w:tc>
          <w:tcPr>
            <w:tcW w:w="1263" w:type="dxa"/>
            <w:hideMark/>
          </w:tcPr>
          <w:p w14:paraId="07B7397E" w14:textId="77777777" w:rsidR="00C40C47" w:rsidRPr="00AA22F2" w:rsidRDefault="00C40C47" w:rsidP="00C40C47">
            <w:pPr>
              <w:cnfStyle w:val="000000000000" w:firstRow="0" w:lastRow="0" w:firstColumn="0" w:lastColumn="0" w:oddVBand="0" w:evenVBand="0" w:oddHBand="0" w:evenHBand="0" w:firstRowFirstColumn="0" w:firstRowLastColumn="0" w:lastRowFirstColumn="0" w:lastRowLastColumn="0"/>
              <w:rPr>
                <w:szCs w:val="20"/>
                <w:lang w:eastAsia="fr-FR" w:bidi="ar-SA"/>
              </w:rPr>
            </w:pPr>
            <w:r w:rsidRPr="00AA22F2">
              <w:rPr>
                <w:b/>
                <w:bCs/>
                <w:szCs w:val="20"/>
                <w:lang w:eastAsia="fr-FR" w:bidi="ar-SA"/>
              </w:rPr>
              <w:t>Atténuer</w:t>
            </w:r>
          </w:p>
        </w:tc>
        <w:tc>
          <w:tcPr>
            <w:tcW w:w="2339" w:type="dxa"/>
            <w:hideMark/>
          </w:tcPr>
          <w:p w14:paraId="1B2539FE" w14:textId="58BF9FDD" w:rsidR="00C40C47" w:rsidRPr="00AA22F2" w:rsidRDefault="00C40C47" w:rsidP="00C40C47">
            <w:pPr>
              <w:cnfStyle w:val="000000000000" w:firstRow="0" w:lastRow="0" w:firstColumn="0" w:lastColumn="0" w:oddVBand="0" w:evenVBand="0" w:oddHBand="0" w:evenHBand="0" w:firstRowFirstColumn="0" w:firstRowLastColumn="0" w:lastRowFirstColumn="0" w:lastRowLastColumn="0"/>
              <w:rPr>
                <w:szCs w:val="20"/>
                <w:lang w:eastAsia="fr-FR" w:bidi="ar-SA"/>
              </w:rPr>
            </w:pPr>
            <w:r w:rsidRPr="00AA22F2">
              <w:rPr>
                <w:szCs w:val="20"/>
                <w:lang w:eastAsia="fr-FR" w:bidi="ar-SA"/>
              </w:rPr>
              <w:t xml:space="preserve">Utiliser un </w:t>
            </w:r>
            <w:r w:rsidRPr="004637C7">
              <w:rPr>
                <w:szCs w:val="20"/>
                <w:lang w:eastAsia="fr-FR" w:bidi="ar-SA"/>
              </w:rPr>
              <w:t>personnel de régulation</w:t>
            </w:r>
            <w:r w:rsidRPr="00AA22F2">
              <w:rPr>
                <w:szCs w:val="20"/>
                <w:lang w:eastAsia="fr-FR" w:bidi="ar-SA"/>
              </w:rPr>
              <w:t xml:space="preserve"> (signaleurs) aux points sensibles.</w:t>
            </w:r>
          </w:p>
        </w:tc>
        <w:tc>
          <w:tcPr>
            <w:tcW w:w="1696" w:type="dxa"/>
            <w:hideMark/>
          </w:tcPr>
          <w:p w14:paraId="7E2E86FB" w14:textId="3CF45E7C" w:rsidR="00C40C47" w:rsidRPr="00AA22F2" w:rsidRDefault="00C40C47" w:rsidP="00C40C47">
            <w:pPr>
              <w:cnfStyle w:val="000000000000" w:firstRow="0" w:lastRow="0" w:firstColumn="0" w:lastColumn="0" w:oddVBand="0" w:evenVBand="0" w:oddHBand="0" w:evenHBand="0" w:firstRowFirstColumn="0" w:firstRowLastColumn="0" w:lastRowFirstColumn="0" w:lastRowLastColumn="0"/>
              <w:rPr>
                <w:szCs w:val="20"/>
                <w:lang w:eastAsia="fr-FR" w:bidi="ar-SA"/>
              </w:rPr>
            </w:pPr>
            <w:r w:rsidRPr="00AA22F2">
              <w:rPr>
                <w:szCs w:val="20"/>
                <w:lang w:eastAsia="fr-FR" w:bidi="ar-SA"/>
              </w:rPr>
              <w:t xml:space="preserve">≥ 1 signaleur actif aux intersections </w:t>
            </w:r>
          </w:p>
        </w:tc>
        <w:tc>
          <w:tcPr>
            <w:tcW w:w="958" w:type="dxa"/>
            <w:hideMark/>
          </w:tcPr>
          <w:p w14:paraId="59FD56D9" w14:textId="2A2DF42A" w:rsidR="00C40C47" w:rsidRPr="00AA22F2" w:rsidRDefault="00C40C47" w:rsidP="00C40C47">
            <w:pPr>
              <w:cnfStyle w:val="000000000000" w:firstRow="0" w:lastRow="0" w:firstColumn="0" w:lastColumn="0" w:oddVBand="0" w:evenVBand="0" w:oddHBand="0" w:evenHBand="0" w:firstRowFirstColumn="0" w:firstRowLastColumn="0" w:lastRowFirstColumn="0" w:lastRowLastColumn="0"/>
              <w:rPr>
                <w:szCs w:val="20"/>
                <w:lang w:eastAsia="fr-FR" w:bidi="ar-SA"/>
              </w:rPr>
            </w:pPr>
            <w:r w:rsidRPr="004637C7">
              <w:rPr>
                <w:rFonts w:asciiTheme="minorHAnsi" w:hAnsiTheme="minorHAnsi" w:cstheme="minorHAnsi"/>
                <w:szCs w:val="20"/>
                <w:lang w:eastAsia="fr-FR" w:bidi="ar-SA"/>
              </w:rPr>
              <w:t>EPC et sous-traitants</w:t>
            </w:r>
          </w:p>
        </w:tc>
        <w:tc>
          <w:tcPr>
            <w:tcW w:w="1452" w:type="dxa"/>
            <w:hideMark/>
          </w:tcPr>
          <w:p w14:paraId="66F9B2D9" w14:textId="5CBEF827" w:rsidR="00C40C47" w:rsidRPr="00AA22F2" w:rsidRDefault="00C40C47" w:rsidP="00C40C47">
            <w:pPr>
              <w:cnfStyle w:val="000000000000" w:firstRow="0" w:lastRow="0" w:firstColumn="0" w:lastColumn="0" w:oddVBand="0" w:evenVBand="0" w:oddHBand="0" w:evenHBand="0" w:firstRowFirstColumn="0" w:firstRowLastColumn="0" w:lastRowFirstColumn="0" w:lastRowLastColumn="0"/>
              <w:rPr>
                <w:szCs w:val="20"/>
                <w:lang w:eastAsia="fr-FR" w:bidi="ar-SA"/>
              </w:rPr>
            </w:pPr>
            <w:r w:rsidRPr="00BC1745">
              <w:rPr>
                <w:szCs w:val="20"/>
              </w:rPr>
              <w:t>Bureau de contrôle / Consultant de supervision mandaté par l’ONDA</w:t>
            </w:r>
          </w:p>
        </w:tc>
        <w:tc>
          <w:tcPr>
            <w:tcW w:w="717" w:type="dxa"/>
            <w:hideMark/>
          </w:tcPr>
          <w:p w14:paraId="144F1DE1" w14:textId="54A485C3" w:rsidR="00C40C47" w:rsidRPr="00AA22F2" w:rsidRDefault="00C40C47" w:rsidP="00C40C47">
            <w:pPr>
              <w:cnfStyle w:val="000000000000" w:firstRow="0" w:lastRow="0" w:firstColumn="0" w:lastColumn="0" w:oddVBand="0" w:evenVBand="0" w:oddHBand="0" w:evenHBand="0" w:firstRowFirstColumn="0" w:firstRowLastColumn="0" w:lastRowFirstColumn="0" w:lastRowLastColumn="0"/>
              <w:rPr>
                <w:szCs w:val="20"/>
                <w:lang w:eastAsia="fr-FR" w:bidi="ar-SA"/>
              </w:rPr>
            </w:pPr>
            <w:r>
              <w:rPr>
                <w:rFonts w:asciiTheme="minorHAnsi" w:hAnsiTheme="minorHAnsi" w:cstheme="minorHAnsi"/>
                <w:szCs w:val="20"/>
                <w:lang w:eastAsia="zh-CN"/>
              </w:rPr>
              <w:t>ONDA</w:t>
            </w:r>
          </w:p>
        </w:tc>
        <w:tc>
          <w:tcPr>
            <w:tcW w:w="1409" w:type="dxa"/>
            <w:hideMark/>
          </w:tcPr>
          <w:p w14:paraId="3A39FB8F" w14:textId="77777777" w:rsidR="00C40C47" w:rsidRPr="00AA22F2" w:rsidRDefault="00C40C47" w:rsidP="00C40C47">
            <w:pPr>
              <w:cnfStyle w:val="000000000000" w:firstRow="0" w:lastRow="0" w:firstColumn="0" w:lastColumn="0" w:oddVBand="0" w:evenVBand="0" w:oddHBand="0" w:evenHBand="0" w:firstRowFirstColumn="0" w:firstRowLastColumn="0" w:lastRowFirstColumn="0" w:lastRowLastColumn="0"/>
              <w:rPr>
                <w:szCs w:val="20"/>
                <w:lang w:eastAsia="fr-FR" w:bidi="ar-SA"/>
              </w:rPr>
            </w:pPr>
            <w:r w:rsidRPr="00AA22F2">
              <w:rPr>
                <w:szCs w:val="20"/>
                <w:lang w:eastAsia="fr-FR" w:bidi="ar-SA"/>
              </w:rPr>
              <w:t>Durant les phases intenses du chantier</w:t>
            </w:r>
          </w:p>
        </w:tc>
        <w:tc>
          <w:tcPr>
            <w:tcW w:w="2874" w:type="dxa"/>
            <w:hideMark/>
          </w:tcPr>
          <w:p w14:paraId="5D7466FA" w14:textId="3E9D8000" w:rsidR="00C40C47" w:rsidRPr="00AA22F2" w:rsidRDefault="005F7967" w:rsidP="00C40C47">
            <w:pPr>
              <w:cnfStyle w:val="000000000000" w:firstRow="0" w:lastRow="0" w:firstColumn="0" w:lastColumn="0" w:oddVBand="0" w:evenVBand="0" w:oddHBand="0" w:evenHBand="0" w:firstRowFirstColumn="0" w:firstRowLastColumn="0" w:lastRowFirstColumn="0" w:lastRowLastColumn="0"/>
              <w:rPr>
                <w:szCs w:val="20"/>
                <w:lang w:eastAsia="fr-FR" w:bidi="ar-SA"/>
              </w:rPr>
            </w:pPr>
            <w:r w:rsidRPr="005F7967">
              <w:rPr>
                <w:szCs w:val="20"/>
                <w:lang w:eastAsia="fr-FR" w:bidi="ar-SA"/>
              </w:rPr>
              <w:t xml:space="preserve">250 – 300 </w:t>
            </w:r>
            <w:r>
              <w:rPr>
                <w:szCs w:val="20"/>
                <w:lang w:eastAsia="fr-FR" w:bidi="ar-SA"/>
              </w:rPr>
              <w:t>MAD</w:t>
            </w:r>
            <w:r w:rsidRPr="005F7967">
              <w:rPr>
                <w:szCs w:val="20"/>
                <w:lang w:eastAsia="fr-FR" w:bidi="ar-SA"/>
              </w:rPr>
              <w:t>/jour/personne</w:t>
            </w:r>
          </w:p>
        </w:tc>
      </w:tr>
      <w:tr w:rsidR="005F7967" w:rsidRPr="00B40D36" w14:paraId="30EFD983" w14:textId="77777777" w:rsidTr="00D60FC9">
        <w:tc>
          <w:tcPr>
            <w:cnfStyle w:val="001000000000" w:firstRow="0" w:lastRow="0" w:firstColumn="1" w:lastColumn="0" w:oddVBand="0" w:evenVBand="0" w:oddHBand="0" w:evenHBand="0" w:firstRowFirstColumn="0" w:firstRowLastColumn="0" w:lastRowFirstColumn="0" w:lastRowLastColumn="0"/>
            <w:tcW w:w="1426" w:type="dxa"/>
            <w:vMerge/>
            <w:hideMark/>
          </w:tcPr>
          <w:p w14:paraId="60A5AC8B" w14:textId="77777777" w:rsidR="00C40C47" w:rsidRPr="00AA22F2" w:rsidRDefault="00C40C47" w:rsidP="00C40C47">
            <w:pPr>
              <w:rPr>
                <w:szCs w:val="20"/>
                <w:lang w:eastAsia="fr-FR" w:bidi="ar-SA"/>
              </w:rPr>
            </w:pPr>
          </w:p>
        </w:tc>
        <w:tc>
          <w:tcPr>
            <w:tcW w:w="1263" w:type="dxa"/>
            <w:hideMark/>
          </w:tcPr>
          <w:p w14:paraId="4ED942C3" w14:textId="77777777" w:rsidR="00C40C47" w:rsidRPr="00AA22F2" w:rsidRDefault="00C40C47" w:rsidP="00C40C47">
            <w:pPr>
              <w:cnfStyle w:val="000000000000" w:firstRow="0" w:lastRow="0" w:firstColumn="0" w:lastColumn="0" w:oddVBand="0" w:evenVBand="0" w:oddHBand="0" w:evenHBand="0" w:firstRowFirstColumn="0" w:firstRowLastColumn="0" w:lastRowFirstColumn="0" w:lastRowLastColumn="0"/>
              <w:rPr>
                <w:szCs w:val="20"/>
                <w:lang w:eastAsia="fr-FR" w:bidi="ar-SA"/>
              </w:rPr>
            </w:pPr>
            <w:r w:rsidRPr="00AA22F2">
              <w:rPr>
                <w:b/>
                <w:bCs/>
                <w:szCs w:val="20"/>
                <w:lang w:eastAsia="fr-FR" w:bidi="ar-SA"/>
              </w:rPr>
              <w:t>Compenser</w:t>
            </w:r>
          </w:p>
        </w:tc>
        <w:tc>
          <w:tcPr>
            <w:tcW w:w="2339" w:type="dxa"/>
            <w:hideMark/>
          </w:tcPr>
          <w:p w14:paraId="7FE30CC0" w14:textId="77777777" w:rsidR="00C40C47" w:rsidRPr="00AA22F2" w:rsidRDefault="00C40C47" w:rsidP="00C40C47">
            <w:pPr>
              <w:cnfStyle w:val="000000000000" w:firstRow="0" w:lastRow="0" w:firstColumn="0" w:lastColumn="0" w:oddVBand="0" w:evenVBand="0" w:oddHBand="0" w:evenHBand="0" w:firstRowFirstColumn="0" w:firstRowLastColumn="0" w:lastRowFirstColumn="0" w:lastRowLastColumn="0"/>
              <w:rPr>
                <w:szCs w:val="20"/>
                <w:lang w:eastAsia="fr-FR" w:bidi="ar-SA"/>
              </w:rPr>
            </w:pPr>
            <w:r w:rsidRPr="00AA22F2">
              <w:rPr>
                <w:szCs w:val="20"/>
                <w:lang w:eastAsia="fr-FR" w:bidi="ar-SA"/>
              </w:rPr>
              <w:t xml:space="preserve">Restaurer les voies d’accès affectées et appuyer la DPE pour la </w:t>
            </w:r>
            <w:r w:rsidRPr="004637C7">
              <w:rPr>
                <w:szCs w:val="20"/>
                <w:lang w:eastAsia="fr-FR" w:bidi="ar-SA"/>
              </w:rPr>
              <w:t>remise en état des abords routiers</w:t>
            </w:r>
            <w:r w:rsidRPr="00AA22F2">
              <w:rPr>
                <w:szCs w:val="20"/>
                <w:lang w:eastAsia="fr-FR" w:bidi="ar-SA"/>
              </w:rPr>
              <w:t>.</w:t>
            </w:r>
          </w:p>
        </w:tc>
        <w:tc>
          <w:tcPr>
            <w:tcW w:w="1696" w:type="dxa"/>
            <w:hideMark/>
          </w:tcPr>
          <w:p w14:paraId="446D20C1" w14:textId="77777777" w:rsidR="00C40C47" w:rsidRPr="00AA22F2" w:rsidRDefault="00C40C47" w:rsidP="00C40C47">
            <w:pPr>
              <w:cnfStyle w:val="000000000000" w:firstRow="0" w:lastRow="0" w:firstColumn="0" w:lastColumn="0" w:oddVBand="0" w:evenVBand="0" w:oddHBand="0" w:evenHBand="0" w:firstRowFirstColumn="0" w:firstRowLastColumn="0" w:lastRowFirstColumn="0" w:lastRowLastColumn="0"/>
              <w:rPr>
                <w:szCs w:val="20"/>
                <w:lang w:eastAsia="fr-FR" w:bidi="ar-SA"/>
              </w:rPr>
            </w:pPr>
            <w:r w:rsidRPr="00AA22F2">
              <w:rPr>
                <w:szCs w:val="20"/>
                <w:lang w:eastAsia="fr-FR" w:bidi="ar-SA"/>
              </w:rPr>
              <w:t>Réfection complète des accotements et bas-côtés.</w:t>
            </w:r>
          </w:p>
        </w:tc>
        <w:tc>
          <w:tcPr>
            <w:tcW w:w="958" w:type="dxa"/>
            <w:hideMark/>
          </w:tcPr>
          <w:p w14:paraId="298E6175" w14:textId="40973B86" w:rsidR="00C40C47" w:rsidRPr="00AA22F2" w:rsidRDefault="00C40C47" w:rsidP="00C40C47">
            <w:pPr>
              <w:cnfStyle w:val="000000000000" w:firstRow="0" w:lastRow="0" w:firstColumn="0" w:lastColumn="0" w:oddVBand="0" w:evenVBand="0" w:oddHBand="0" w:evenHBand="0" w:firstRowFirstColumn="0" w:firstRowLastColumn="0" w:lastRowFirstColumn="0" w:lastRowLastColumn="0"/>
              <w:rPr>
                <w:szCs w:val="20"/>
                <w:lang w:eastAsia="fr-FR" w:bidi="ar-SA"/>
              </w:rPr>
            </w:pPr>
            <w:r w:rsidRPr="004637C7">
              <w:rPr>
                <w:rFonts w:asciiTheme="minorHAnsi" w:hAnsiTheme="minorHAnsi" w:cstheme="minorHAnsi"/>
                <w:szCs w:val="20"/>
                <w:lang w:eastAsia="fr-FR" w:bidi="ar-SA"/>
              </w:rPr>
              <w:t>EPC et sous-traitants</w:t>
            </w:r>
          </w:p>
        </w:tc>
        <w:tc>
          <w:tcPr>
            <w:tcW w:w="1452" w:type="dxa"/>
            <w:hideMark/>
          </w:tcPr>
          <w:p w14:paraId="563D9B12" w14:textId="3A67381F" w:rsidR="00C40C47" w:rsidRPr="00AA22F2" w:rsidRDefault="00C40C47" w:rsidP="00C40C47">
            <w:pPr>
              <w:cnfStyle w:val="000000000000" w:firstRow="0" w:lastRow="0" w:firstColumn="0" w:lastColumn="0" w:oddVBand="0" w:evenVBand="0" w:oddHBand="0" w:evenHBand="0" w:firstRowFirstColumn="0" w:firstRowLastColumn="0" w:lastRowFirstColumn="0" w:lastRowLastColumn="0"/>
              <w:rPr>
                <w:szCs w:val="20"/>
                <w:lang w:eastAsia="fr-FR" w:bidi="ar-SA"/>
              </w:rPr>
            </w:pPr>
            <w:r w:rsidRPr="00BC1745">
              <w:rPr>
                <w:szCs w:val="20"/>
              </w:rPr>
              <w:t>Bureau de contrôle / Consultant de supervision mandaté par l’ONDA</w:t>
            </w:r>
          </w:p>
        </w:tc>
        <w:tc>
          <w:tcPr>
            <w:tcW w:w="717" w:type="dxa"/>
            <w:hideMark/>
          </w:tcPr>
          <w:p w14:paraId="1472EC04" w14:textId="56E1EFFF" w:rsidR="00C40C47" w:rsidRPr="00AA22F2" w:rsidRDefault="00C40C47" w:rsidP="00C40C47">
            <w:pPr>
              <w:cnfStyle w:val="000000000000" w:firstRow="0" w:lastRow="0" w:firstColumn="0" w:lastColumn="0" w:oddVBand="0" w:evenVBand="0" w:oddHBand="0" w:evenHBand="0" w:firstRowFirstColumn="0" w:firstRowLastColumn="0" w:lastRowFirstColumn="0" w:lastRowLastColumn="0"/>
              <w:rPr>
                <w:szCs w:val="20"/>
                <w:lang w:eastAsia="fr-FR" w:bidi="ar-SA"/>
              </w:rPr>
            </w:pPr>
            <w:r>
              <w:rPr>
                <w:rFonts w:asciiTheme="minorHAnsi" w:hAnsiTheme="minorHAnsi" w:cstheme="minorHAnsi"/>
                <w:szCs w:val="20"/>
                <w:lang w:eastAsia="zh-CN"/>
              </w:rPr>
              <w:t>ONDA</w:t>
            </w:r>
          </w:p>
        </w:tc>
        <w:tc>
          <w:tcPr>
            <w:tcW w:w="1409" w:type="dxa"/>
            <w:hideMark/>
          </w:tcPr>
          <w:p w14:paraId="17D50D34" w14:textId="77777777" w:rsidR="00C40C47" w:rsidRPr="00AA22F2" w:rsidRDefault="00C40C47" w:rsidP="00C40C47">
            <w:pPr>
              <w:cnfStyle w:val="000000000000" w:firstRow="0" w:lastRow="0" w:firstColumn="0" w:lastColumn="0" w:oddVBand="0" w:evenVBand="0" w:oddHBand="0" w:evenHBand="0" w:firstRowFirstColumn="0" w:firstRowLastColumn="0" w:lastRowFirstColumn="0" w:lastRowLastColumn="0"/>
              <w:rPr>
                <w:szCs w:val="20"/>
                <w:lang w:eastAsia="fr-FR" w:bidi="ar-SA"/>
              </w:rPr>
            </w:pPr>
            <w:r w:rsidRPr="00AA22F2">
              <w:rPr>
                <w:szCs w:val="20"/>
                <w:lang w:eastAsia="fr-FR" w:bidi="ar-SA"/>
              </w:rPr>
              <w:t>Fin du chantier</w:t>
            </w:r>
          </w:p>
        </w:tc>
        <w:tc>
          <w:tcPr>
            <w:tcW w:w="2874" w:type="dxa"/>
            <w:hideMark/>
          </w:tcPr>
          <w:p w14:paraId="63683CC2" w14:textId="3B445DF6" w:rsidR="00C40C47" w:rsidRPr="00AA22F2" w:rsidRDefault="005F7967" w:rsidP="00C40C47">
            <w:pPr>
              <w:cnfStyle w:val="000000000000" w:firstRow="0" w:lastRow="0" w:firstColumn="0" w:lastColumn="0" w:oddVBand="0" w:evenVBand="0" w:oddHBand="0" w:evenHBand="0" w:firstRowFirstColumn="0" w:firstRowLastColumn="0" w:lastRowFirstColumn="0" w:lastRowLastColumn="0"/>
              <w:rPr>
                <w:szCs w:val="20"/>
                <w:lang w:eastAsia="fr-FR" w:bidi="ar-SA"/>
              </w:rPr>
            </w:pPr>
            <w:r w:rsidRPr="005F7967">
              <w:rPr>
                <w:szCs w:val="20"/>
                <w:lang w:eastAsia="fr-FR" w:bidi="ar-SA"/>
              </w:rPr>
              <w:t>400 – 600</w:t>
            </w:r>
            <w:r>
              <w:rPr>
                <w:szCs w:val="20"/>
                <w:lang w:eastAsia="fr-FR" w:bidi="ar-SA"/>
              </w:rPr>
              <w:t xml:space="preserve"> MAD</w:t>
            </w:r>
            <w:r w:rsidRPr="005F7967">
              <w:rPr>
                <w:szCs w:val="20"/>
                <w:lang w:eastAsia="fr-FR" w:bidi="ar-SA"/>
              </w:rPr>
              <w:t xml:space="preserve"> /m²</w:t>
            </w:r>
            <w:r>
              <w:rPr>
                <w:szCs w:val="20"/>
                <w:lang w:eastAsia="fr-FR" w:bidi="ar-SA"/>
              </w:rPr>
              <w:t xml:space="preserve"> (</w:t>
            </w:r>
            <w:r w:rsidRPr="005F7967">
              <w:rPr>
                <w:szCs w:val="20"/>
                <w:lang w:eastAsia="fr-FR" w:bidi="ar-SA"/>
              </w:rPr>
              <w:t>Rabotage, reprofilage, compactage et gravillonnage</w:t>
            </w:r>
            <w:r>
              <w:rPr>
                <w:szCs w:val="20"/>
                <w:lang w:eastAsia="fr-FR" w:bidi="ar-SA"/>
              </w:rPr>
              <w:t>)</w:t>
            </w:r>
          </w:p>
        </w:tc>
      </w:tr>
      <w:tr w:rsidR="005F7967" w:rsidRPr="00A86EC3" w14:paraId="7B10DD9A" w14:textId="77777777" w:rsidTr="00D60FC9">
        <w:tc>
          <w:tcPr>
            <w:cnfStyle w:val="001000000000" w:firstRow="0" w:lastRow="0" w:firstColumn="1" w:lastColumn="0" w:oddVBand="0" w:evenVBand="0" w:oddHBand="0" w:evenHBand="0" w:firstRowFirstColumn="0" w:firstRowLastColumn="0" w:lastRowFirstColumn="0" w:lastRowLastColumn="0"/>
            <w:tcW w:w="1426" w:type="dxa"/>
            <w:vMerge w:val="restart"/>
            <w:hideMark/>
          </w:tcPr>
          <w:p w14:paraId="7C7833CE" w14:textId="77777777" w:rsidR="00C40C47" w:rsidRPr="00AA22F2" w:rsidRDefault="00C40C47" w:rsidP="00C40C47">
            <w:pPr>
              <w:rPr>
                <w:szCs w:val="20"/>
                <w:lang w:eastAsia="fr-FR" w:bidi="ar-SA"/>
              </w:rPr>
            </w:pPr>
            <w:r w:rsidRPr="00AA22F2">
              <w:rPr>
                <w:szCs w:val="20"/>
                <w:lang w:eastAsia="fr-FR" w:bidi="ar-SA"/>
              </w:rPr>
              <w:lastRenderedPageBreak/>
              <w:t>Dégradation du revêtement routier / usure prématurée</w:t>
            </w:r>
          </w:p>
        </w:tc>
        <w:tc>
          <w:tcPr>
            <w:tcW w:w="1263" w:type="dxa"/>
            <w:hideMark/>
          </w:tcPr>
          <w:p w14:paraId="2A684F09" w14:textId="77777777" w:rsidR="00C40C47" w:rsidRPr="00AA22F2" w:rsidRDefault="00C40C47" w:rsidP="00C40C47">
            <w:pPr>
              <w:cnfStyle w:val="000000000000" w:firstRow="0" w:lastRow="0" w:firstColumn="0" w:lastColumn="0" w:oddVBand="0" w:evenVBand="0" w:oddHBand="0" w:evenHBand="0" w:firstRowFirstColumn="0" w:firstRowLastColumn="0" w:lastRowFirstColumn="0" w:lastRowLastColumn="0"/>
              <w:rPr>
                <w:szCs w:val="20"/>
                <w:lang w:eastAsia="fr-FR" w:bidi="ar-SA"/>
              </w:rPr>
            </w:pPr>
            <w:r w:rsidRPr="00AA22F2">
              <w:rPr>
                <w:b/>
                <w:bCs/>
                <w:szCs w:val="20"/>
                <w:lang w:eastAsia="fr-FR" w:bidi="ar-SA"/>
              </w:rPr>
              <w:t>Éviter</w:t>
            </w:r>
          </w:p>
        </w:tc>
        <w:tc>
          <w:tcPr>
            <w:tcW w:w="2339" w:type="dxa"/>
            <w:hideMark/>
          </w:tcPr>
          <w:p w14:paraId="758A9353" w14:textId="77777777" w:rsidR="00C40C47" w:rsidRPr="00AA22F2" w:rsidRDefault="00C40C47" w:rsidP="00C40C47">
            <w:pPr>
              <w:cnfStyle w:val="000000000000" w:firstRow="0" w:lastRow="0" w:firstColumn="0" w:lastColumn="0" w:oddVBand="0" w:evenVBand="0" w:oddHBand="0" w:evenHBand="0" w:firstRowFirstColumn="0" w:firstRowLastColumn="0" w:lastRowFirstColumn="0" w:lastRowLastColumn="0"/>
              <w:rPr>
                <w:szCs w:val="20"/>
                <w:lang w:eastAsia="fr-FR" w:bidi="ar-SA"/>
              </w:rPr>
            </w:pPr>
            <w:r w:rsidRPr="00AA22F2">
              <w:rPr>
                <w:szCs w:val="20"/>
                <w:lang w:eastAsia="fr-FR" w:bidi="ar-SA"/>
              </w:rPr>
              <w:t xml:space="preserve">Limiter le passage d’engins lourds sur les tronçons non adaptés ; </w:t>
            </w:r>
          </w:p>
          <w:p w14:paraId="7EACE701" w14:textId="480AEB57" w:rsidR="00C40C47" w:rsidRPr="00AA22F2" w:rsidRDefault="00C40C47" w:rsidP="00C40C47">
            <w:pPr>
              <w:cnfStyle w:val="000000000000" w:firstRow="0" w:lastRow="0" w:firstColumn="0" w:lastColumn="0" w:oddVBand="0" w:evenVBand="0" w:oddHBand="0" w:evenHBand="0" w:firstRowFirstColumn="0" w:firstRowLastColumn="0" w:lastRowFirstColumn="0" w:lastRowLastColumn="0"/>
              <w:rPr>
                <w:szCs w:val="20"/>
                <w:lang w:eastAsia="fr-FR" w:bidi="ar-SA"/>
              </w:rPr>
            </w:pPr>
            <w:r w:rsidRPr="00AA22F2">
              <w:rPr>
                <w:szCs w:val="20"/>
                <w:lang w:eastAsia="fr-FR" w:bidi="ar-SA"/>
              </w:rPr>
              <w:t>Identifier les accès de meilleure portance avant le démarrage des travaux.</w:t>
            </w:r>
          </w:p>
        </w:tc>
        <w:tc>
          <w:tcPr>
            <w:tcW w:w="1696" w:type="dxa"/>
            <w:hideMark/>
          </w:tcPr>
          <w:p w14:paraId="5927C741" w14:textId="77777777" w:rsidR="00C40C47" w:rsidRPr="00AA22F2" w:rsidRDefault="00C40C47" w:rsidP="00C40C47">
            <w:pPr>
              <w:cnfStyle w:val="000000000000" w:firstRow="0" w:lastRow="0" w:firstColumn="0" w:lastColumn="0" w:oddVBand="0" w:evenVBand="0" w:oddHBand="0" w:evenHBand="0" w:firstRowFirstColumn="0" w:firstRowLastColumn="0" w:lastRowFirstColumn="0" w:lastRowLastColumn="0"/>
              <w:rPr>
                <w:szCs w:val="20"/>
                <w:lang w:eastAsia="fr-FR" w:bidi="ar-SA"/>
              </w:rPr>
            </w:pPr>
            <w:r w:rsidRPr="00AA22F2">
              <w:rPr>
                <w:szCs w:val="20"/>
                <w:lang w:eastAsia="fr-FR" w:bidi="ar-SA"/>
              </w:rPr>
              <w:t xml:space="preserve">Accès validé par la DPE ; </w:t>
            </w:r>
          </w:p>
          <w:p w14:paraId="4A27104B" w14:textId="45F452D4" w:rsidR="00C40C47" w:rsidRPr="00AA22F2" w:rsidRDefault="00C40C47" w:rsidP="00C40C47">
            <w:pPr>
              <w:cnfStyle w:val="000000000000" w:firstRow="0" w:lastRow="0" w:firstColumn="0" w:lastColumn="0" w:oddVBand="0" w:evenVBand="0" w:oddHBand="0" w:evenHBand="0" w:firstRowFirstColumn="0" w:firstRowLastColumn="0" w:lastRowFirstColumn="0" w:lastRowLastColumn="0"/>
              <w:rPr>
                <w:szCs w:val="20"/>
                <w:lang w:eastAsia="fr-FR" w:bidi="ar-SA"/>
              </w:rPr>
            </w:pPr>
            <w:r w:rsidRPr="00AA22F2">
              <w:rPr>
                <w:szCs w:val="20"/>
                <w:lang w:eastAsia="fr-FR" w:bidi="ar-SA"/>
              </w:rPr>
              <w:t>Aucun dommage précoce.</w:t>
            </w:r>
          </w:p>
        </w:tc>
        <w:tc>
          <w:tcPr>
            <w:tcW w:w="958" w:type="dxa"/>
            <w:hideMark/>
          </w:tcPr>
          <w:p w14:paraId="57A8DBB2" w14:textId="5E1C4F79" w:rsidR="00C40C47" w:rsidRPr="00AA22F2" w:rsidRDefault="00C40C47" w:rsidP="00C40C47">
            <w:pPr>
              <w:cnfStyle w:val="000000000000" w:firstRow="0" w:lastRow="0" w:firstColumn="0" w:lastColumn="0" w:oddVBand="0" w:evenVBand="0" w:oddHBand="0" w:evenHBand="0" w:firstRowFirstColumn="0" w:firstRowLastColumn="0" w:lastRowFirstColumn="0" w:lastRowLastColumn="0"/>
              <w:rPr>
                <w:szCs w:val="20"/>
                <w:lang w:eastAsia="fr-FR" w:bidi="ar-SA"/>
              </w:rPr>
            </w:pPr>
            <w:r w:rsidRPr="004637C7">
              <w:rPr>
                <w:rFonts w:asciiTheme="minorHAnsi" w:hAnsiTheme="minorHAnsi" w:cstheme="minorHAnsi"/>
                <w:szCs w:val="20"/>
                <w:lang w:eastAsia="fr-FR" w:bidi="ar-SA"/>
              </w:rPr>
              <w:t>EPC et sous-traitants</w:t>
            </w:r>
          </w:p>
        </w:tc>
        <w:tc>
          <w:tcPr>
            <w:tcW w:w="1452" w:type="dxa"/>
            <w:hideMark/>
          </w:tcPr>
          <w:p w14:paraId="04011C53" w14:textId="4C60A114" w:rsidR="00C40C47" w:rsidRPr="00AA22F2" w:rsidRDefault="00C40C47" w:rsidP="00C40C47">
            <w:pPr>
              <w:cnfStyle w:val="000000000000" w:firstRow="0" w:lastRow="0" w:firstColumn="0" w:lastColumn="0" w:oddVBand="0" w:evenVBand="0" w:oddHBand="0" w:evenHBand="0" w:firstRowFirstColumn="0" w:firstRowLastColumn="0" w:lastRowFirstColumn="0" w:lastRowLastColumn="0"/>
              <w:rPr>
                <w:szCs w:val="20"/>
                <w:lang w:eastAsia="fr-FR" w:bidi="ar-SA"/>
              </w:rPr>
            </w:pPr>
            <w:r w:rsidRPr="00BC1745">
              <w:rPr>
                <w:szCs w:val="20"/>
              </w:rPr>
              <w:t>Bureau de contrôle / Consultant de supervision mandaté par l’ONDA</w:t>
            </w:r>
          </w:p>
        </w:tc>
        <w:tc>
          <w:tcPr>
            <w:tcW w:w="717" w:type="dxa"/>
            <w:hideMark/>
          </w:tcPr>
          <w:p w14:paraId="39A85BC4" w14:textId="6A1C8BE0" w:rsidR="00C40C47" w:rsidRPr="00AA22F2" w:rsidRDefault="00C40C47" w:rsidP="00C40C47">
            <w:pPr>
              <w:cnfStyle w:val="000000000000" w:firstRow="0" w:lastRow="0" w:firstColumn="0" w:lastColumn="0" w:oddVBand="0" w:evenVBand="0" w:oddHBand="0" w:evenHBand="0" w:firstRowFirstColumn="0" w:firstRowLastColumn="0" w:lastRowFirstColumn="0" w:lastRowLastColumn="0"/>
              <w:rPr>
                <w:szCs w:val="20"/>
                <w:lang w:eastAsia="fr-FR" w:bidi="ar-SA"/>
              </w:rPr>
            </w:pPr>
            <w:r>
              <w:rPr>
                <w:rFonts w:asciiTheme="minorHAnsi" w:hAnsiTheme="minorHAnsi" w:cstheme="minorHAnsi"/>
                <w:szCs w:val="20"/>
                <w:lang w:eastAsia="zh-CN"/>
              </w:rPr>
              <w:t>ONDA</w:t>
            </w:r>
          </w:p>
        </w:tc>
        <w:tc>
          <w:tcPr>
            <w:tcW w:w="1409" w:type="dxa"/>
            <w:hideMark/>
          </w:tcPr>
          <w:p w14:paraId="0AD55037" w14:textId="77777777" w:rsidR="00C40C47" w:rsidRPr="00AA22F2" w:rsidRDefault="00C40C47" w:rsidP="00C40C47">
            <w:pPr>
              <w:cnfStyle w:val="000000000000" w:firstRow="0" w:lastRow="0" w:firstColumn="0" w:lastColumn="0" w:oddVBand="0" w:evenVBand="0" w:oddHBand="0" w:evenHBand="0" w:firstRowFirstColumn="0" w:firstRowLastColumn="0" w:lastRowFirstColumn="0" w:lastRowLastColumn="0"/>
              <w:rPr>
                <w:szCs w:val="20"/>
                <w:lang w:eastAsia="fr-FR" w:bidi="ar-SA"/>
              </w:rPr>
            </w:pPr>
            <w:r w:rsidRPr="00AA22F2">
              <w:rPr>
                <w:szCs w:val="20"/>
                <w:lang w:eastAsia="fr-FR" w:bidi="ar-SA"/>
              </w:rPr>
              <w:t>Avant la mobilisation du chantier</w:t>
            </w:r>
          </w:p>
        </w:tc>
        <w:tc>
          <w:tcPr>
            <w:tcW w:w="2874" w:type="dxa"/>
            <w:hideMark/>
          </w:tcPr>
          <w:p w14:paraId="3472F193" w14:textId="77777777" w:rsidR="00C40C47" w:rsidRPr="00AA22F2" w:rsidRDefault="00C40C47" w:rsidP="00C40C47">
            <w:pPr>
              <w:cnfStyle w:val="000000000000" w:firstRow="0" w:lastRow="0" w:firstColumn="0" w:lastColumn="0" w:oddVBand="0" w:evenVBand="0" w:oddHBand="0" w:evenHBand="0" w:firstRowFirstColumn="0" w:firstRowLastColumn="0" w:lastRowFirstColumn="0" w:lastRowLastColumn="0"/>
              <w:rPr>
                <w:szCs w:val="20"/>
                <w:lang w:eastAsia="fr-FR" w:bidi="ar-SA"/>
              </w:rPr>
            </w:pPr>
            <w:r w:rsidRPr="00AA22F2">
              <w:rPr>
                <w:szCs w:val="20"/>
                <w:lang w:eastAsia="fr-FR" w:bidi="ar-SA"/>
              </w:rPr>
              <w:t>Aucun coût spécifique</w:t>
            </w:r>
          </w:p>
        </w:tc>
      </w:tr>
      <w:tr w:rsidR="005F7967" w:rsidRPr="00B40D36" w14:paraId="15455AC4" w14:textId="77777777" w:rsidTr="00D60FC9">
        <w:tc>
          <w:tcPr>
            <w:cnfStyle w:val="001000000000" w:firstRow="0" w:lastRow="0" w:firstColumn="1" w:lastColumn="0" w:oddVBand="0" w:evenVBand="0" w:oddHBand="0" w:evenHBand="0" w:firstRowFirstColumn="0" w:firstRowLastColumn="0" w:lastRowFirstColumn="0" w:lastRowLastColumn="0"/>
            <w:tcW w:w="1426" w:type="dxa"/>
            <w:vMerge/>
            <w:hideMark/>
          </w:tcPr>
          <w:p w14:paraId="792F61EA" w14:textId="77777777" w:rsidR="00C40C47" w:rsidRPr="00AA22F2" w:rsidRDefault="00C40C47" w:rsidP="00C40C47">
            <w:pPr>
              <w:rPr>
                <w:szCs w:val="20"/>
                <w:lang w:eastAsia="fr-FR" w:bidi="ar-SA"/>
              </w:rPr>
            </w:pPr>
          </w:p>
        </w:tc>
        <w:tc>
          <w:tcPr>
            <w:tcW w:w="1263" w:type="dxa"/>
            <w:hideMark/>
          </w:tcPr>
          <w:p w14:paraId="29CC3FE7" w14:textId="77777777" w:rsidR="00C40C47" w:rsidRPr="00AA22F2" w:rsidRDefault="00C40C47" w:rsidP="00C40C47">
            <w:pPr>
              <w:cnfStyle w:val="000000000000" w:firstRow="0" w:lastRow="0" w:firstColumn="0" w:lastColumn="0" w:oddVBand="0" w:evenVBand="0" w:oddHBand="0" w:evenHBand="0" w:firstRowFirstColumn="0" w:firstRowLastColumn="0" w:lastRowFirstColumn="0" w:lastRowLastColumn="0"/>
              <w:rPr>
                <w:szCs w:val="20"/>
                <w:lang w:eastAsia="fr-FR" w:bidi="ar-SA"/>
              </w:rPr>
            </w:pPr>
            <w:r w:rsidRPr="00AA22F2">
              <w:rPr>
                <w:b/>
                <w:bCs/>
                <w:szCs w:val="20"/>
                <w:lang w:eastAsia="fr-FR" w:bidi="ar-SA"/>
              </w:rPr>
              <w:t>Réduire</w:t>
            </w:r>
          </w:p>
        </w:tc>
        <w:tc>
          <w:tcPr>
            <w:tcW w:w="2339" w:type="dxa"/>
            <w:hideMark/>
          </w:tcPr>
          <w:p w14:paraId="3DDD93E4" w14:textId="77777777" w:rsidR="00C40C47" w:rsidRPr="00AA22F2" w:rsidRDefault="00C40C47" w:rsidP="00C40C47">
            <w:pPr>
              <w:cnfStyle w:val="000000000000" w:firstRow="0" w:lastRow="0" w:firstColumn="0" w:lastColumn="0" w:oddVBand="0" w:evenVBand="0" w:oddHBand="0" w:evenHBand="0" w:firstRowFirstColumn="0" w:firstRowLastColumn="0" w:lastRowFirstColumn="0" w:lastRowLastColumn="0"/>
              <w:rPr>
                <w:szCs w:val="20"/>
                <w:lang w:eastAsia="fr-FR" w:bidi="ar-SA"/>
              </w:rPr>
            </w:pPr>
            <w:r w:rsidRPr="00AA22F2">
              <w:rPr>
                <w:szCs w:val="20"/>
                <w:lang w:eastAsia="fr-FR" w:bidi="ar-SA"/>
              </w:rPr>
              <w:t>Restreindre les charges par véhicule et éviter les surcharges de matériaux ;</w:t>
            </w:r>
          </w:p>
          <w:p w14:paraId="1BBC37FE" w14:textId="72C632C5" w:rsidR="00C40C47" w:rsidRPr="00AA22F2" w:rsidRDefault="00C40C47" w:rsidP="00C40C47">
            <w:pPr>
              <w:cnfStyle w:val="000000000000" w:firstRow="0" w:lastRow="0" w:firstColumn="0" w:lastColumn="0" w:oddVBand="0" w:evenVBand="0" w:oddHBand="0" w:evenHBand="0" w:firstRowFirstColumn="0" w:firstRowLastColumn="0" w:lastRowFirstColumn="0" w:lastRowLastColumn="0"/>
              <w:rPr>
                <w:szCs w:val="20"/>
                <w:lang w:eastAsia="fr-FR" w:bidi="ar-SA"/>
              </w:rPr>
            </w:pPr>
            <w:r w:rsidRPr="00AA22F2">
              <w:rPr>
                <w:szCs w:val="20"/>
                <w:lang w:eastAsia="fr-FR" w:bidi="ar-SA"/>
              </w:rPr>
              <w:t>Adapter les trajets pour réduire les distances parcourues.</w:t>
            </w:r>
          </w:p>
        </w:tc>
        <w:tc>
          <w:tcPr>
            <w:tcW w:w="1696" w:type="dxa"/>
            <w:hideMark/>
          </w:tcPr>
          <w:p w14:paraId="1EBCD228" w14:textId="3FCCAA65" w:rsidR="00C40C47" w:rsidRPr="00AA22F2" w:rsidRDefault="00C40C47" w:rsidP="00C40C47">
            <w:pPr>
              <w:cnfStyle w:val="000000000000" w:firstRow="0" w:lastRow="0" w:firstColumn="0" w:lastColumn="0" w:oddVBand="0" w:evenVBand="0" w:oddHBand="0" w:evenHBand="0" w:firstRowFirstColumn="0" w:firstRowLastColumn="0" w:lastRowFirstColumn="0" w:lastRowLastColumn="0"/>
              <w:rPr>
                <w:szCs w:val="20"/>
                <w:lang w:eastAsia="fr-FR" w:bidi="ar-SA"/>
              </w:rPr>
            </w:pPr>
            <w:r w:rsidRPr="00AA22F2">
              <w:rPr>
                <w:szCs w:val="20"/>
                <w:lang w:eastAsia="fr-FR" w:bidi="ar-SA"/>
              </w:rPr>
              <w:t>Nb dépassement du tonnage autorisé ; conformité aux pesées.</w:t>
            </w:r>
          </w:p>
        </w:tc>
        <w:tc>
          <w:tcPr>
            <w:tcW w:w="958" w:type="dxa"/>
            <w:hideMark/>
          </w:tcPr>
          <w:p w14:paraId="4CD71BED" w14:textId="3A7BBC2F" w:rsidR="00C40C47" w:rsidRPr="00AA22F2" w:rsidRDefault="00C40C47" w:rsidP="00C40C47">
            <w:pPr>
              <w:cnfStyle w:val="000000000000" w:firstRow="0" w:lastRow="0" w:firstColumn="0" w:lastColumn="0" w:oddVBand="0" w:evenVBand="0" w:oddHBand="0" w:evenHBand="0" w:firstRowFirstColumn="0" w:firstRowLastColumn="0" w:lastRowFirstColumn="0" w:lastRowLastColumn="0"/>
              <w:rPr>
                <w:szCs w:val="20"/>
                <w:lang w:eastAsia="fr-FR" w:bidi="ar-SA"/>
              </w:rPr>
            </w:pPr>
            <w:r w:rsidRPr="004637C7">
              <w:rPr>
                <w:rFonts w:asciiTheme="minorHAnsi" w:hAnsiTheme="minorHAnsi" w:cstheme="minorHAnsi"/>
                <w:szCs w:val="20"/>
                <w:lang w:eastAsia="fr-FR" w:bidi="ar-SA"/>
              </w:rPr>
              <w:t>EPC et sous-traitants</w:t>
            </w:r>
          </w:p>
        </w:tc>
        <w:tc>
          <w:tcPr>
            <w:tcW w:w="1452" w:type="dxa"/>
            <w:hideMark/>
          </w:tcPr>
          <w:p w14:paraId="7357334E" w14:textId="6E28D332" w:rsidR="00C40C47" w:rsidRPr="00AA22F2" w:rsidRDefault="00C40C47" w:rsidP="00C40C47">
            <w:pPr>
              <w:cnfStyle w:val="000000000000" w:firstRow="0" w:lastRow="0" w:firstColumn="0" w:lastColumn="0" w:oddVBand="0" w:evenVBand="0" w:oddHBand="0" w:evenHBand="0" w:firstRowFirstColumn="0" w:firstRowLastColumn="0" w:lastRowFirstColumn="0" w:lastRowLastColumn="0"/>
              <w:rPr>
                <w:szCs w:val="20"/>
                <w:lang w:eastAsia="fr-FR" w:bidi="ar-SA"/>
              </w:rPr>
            </w:pPr>
            <w:r w:rsidRPr="00BC1745">
              <w:rPr>
                <w:szCs w:val="20"/>
              </w:rPr>
              <w:t>Bureau de contrôle / Consultant de supervision mandaté par l’ONDA</w:t>
            </w:r>
          </w:p>
        </w:tc>
        <w:tc>
          <w:tcPr>
            <w:tcW w:w="717" w:type="dxa"/>
            <w:hideMark/>
          </w:tcPr>
          <w:p w14:paraId="735819DD" w14:textId="77C4E72D" w:rsidR="00C40C47" w:rsidRPr="00AA22F2" w:rsidRDefault="00C40C47" w:rsidP="00C40C47">
            <w:pPr>
              <w:cnfStyle w:val="000000000000" w:firstRow="0" w:lastRow="0" w:firstColumn="0" w:lastColumn="0" w:oddVBand="0" w:evenVBand="0" w:oddHBand="0" w:evenHBand="0" w:firstRowFirstColumn="0" w:firstRowLastColumn="0" w:lastRowFirstColumn="0" w:lastRowLastColumn="0"/>
              <w:rPr>
                <w:szCs w:val="20"/>
                <w:lang w:eastAsia="fr-FR" w:bidi="ar-SA"/>
              </w:rPr>
            </w:pPr>
            <w:r>
              <w:rPr>
                <w:rFonts w:asciiTheme="minorHAnsi" w:hAnsiTheme="minorHAnsi" w:cstheme="minorHAnsi"/>
                <w:szCs w:val="20"/>
                <w:lang w:eastAsia="zh-CN"/>
              </w:rPr>
              <w:t>ONDA</w:t>
            </w:r>
          </w:p>
        </w:tc>
        <w:tc>
          <w:tcPr>
            <w:tcW w:w="1409" w:type="dxa"/>
            <w:hideMark/>
          </w:tcPr>
          <w:p w14:paraId="15E52E18" w14:textId="77777777" w:rsidR="00C40C47" w:rsidRPr="00AA22F2" w:rsidRDefault="00C40C47" w:rsidP="00C40C47">
            <w:pPr>
              <w:cnfStyle w:val="000000000000" w:firstRow="0" w:lastRow="0" w:firstColumn="0" w:lastColumn="0" w:oddVBand="0" w:evenVBand="0" w:oddHBand="0" w:evenHBand="0" w:firstRowFirstColumn="0" w:firstRowLastColumn="0" w:lastRowFirstColumn="0" w:lastRowLastColumn="0"/>
              <w:rPr>
                <w:szCs w:val="20"/>
                <w:lang w:eastAsia="fr-FR" w:bidi="ar-SA"/>
              </w:rPr>
            </w:pPr>
            <w:r w:rsidRPr="00AA22F2">
              <w:rPr>
                <w:szCs w:val="20"/>
                <w:lang w:eastAsia="fr-FR" w:bidi="ar-SA"/>
              </w:rPr>
              <w:t>Pendant les transports</w:t>
            </w:r>
          </w:p>
        </w:tc>
        <w:tc>
          <w:tcPr>
            <w:tcW w:w="2874" w:type="dxa"/>
            <w:hideMark/>
          </w:tcPr>
          <w:p w14:paraId="14261D79" w14:textId="49ACE396" w:rsidR="00C40C47" w:rsidRPr="00AA22F2" w:rsidRDefault="00C40C47" w:rsidP="00C40C47">
            <w:pPr>
              <w:cnfStyle w:val="000000000000" w:firstRow="0" w:lastRow="0" w:firstColumn="0" w:lastColumn="0" w:oddVBand="0" w:evenVBand="0" w:oddHBand="0" w:evenHBand="0" w:firstRowFirstColumn="0" w:firstRowLastColumn="0" w:lastRowFirstColumn="0" w:lastRowLastColumn="0"/>
              <w:rPr>
                <w:szCs w:val="20"/>
                <w:lang w:eastAsia="fr-FR" w:bidi="ar-SA"/>
              </w:rPr>
            </w:pPr>
            <w:r w:rsidRPr="00AA22F2">
              <w:rPr>
                <w:szCs w:val="20"/>
                <w:lang w:eastAsia="fr-FR" w:bidi="ar-SA"/>
              </w:rPr>
              <w:t>Aucun coût spécifique</w:t>
            </w:r>
          </w:p>
        </w:tc>
      </w:tr>
      <w:tr w:rsidR="005F7967" w:rsidRPr="00B40D36" w14:paraId="173F5680" w14:textId="77777777" w:rsidTr="00D60FC9">
        <w:tc>
          <w:tcPr>
            <w:cnfStyle w:val="001000000000" w:firstRow="0" w:lastRow="0" w:firstColumn="1" w:lastColumn="0" w:oddVBand="0" w:evenVBand="0" w:oddHBand="0" w:evenHBand="0" w:firstRowFirstColumn="0" w:firstRowLastColumn="0" w:lastRowFirstColumn="0" w:lastRowLastColumn="0"/>
            <w:tcW w:w="1426" w:type="dxa"/>
            <w:vMerge/>
            <w:hideMark/>
          </w:tcPr>
          <w:p w14:paraId="20B7C056" w14:textId="77777777" w:rsidR="00C40C47" w:rsidRPr="00AA22F2" w:rsidRDefault="00C40C47" w:rsidP="00C40C47">
            <w:pPr>
              <w:rPr>
                <w:szCs w:val="20"/>
                <w:lang w:eastAsia="fr-FR" w:bidi="ar-SA"/>
              </w:rPr>
            </w:pPr>
          </w:p>
        </w:tc>
        <w:tc>
          <w:tcPr>
            <w:tcW w:w="1263" w:type="dxa"/>
            <w:hideMark/>
          </w:tcPr>
          <w:p w14:paraId="445A6062" w14:textId="77777777" w:rsidR="00C40C47" w:rsidRPr="00AA22F2" w:rsidRDefault="00C40C47" w:rsidP="00C40C47">
            <w:pPr>
              <w:cnfStyle w:val="000000000000" w:firstRow="0" w:lastRow="0" w:firstColumn="0" w:lastColumn="0" w:oddVBand="0" w:evenVBand="0" w:oddHBand="0" w:evenHBand="0" w:firstRowFirstColumn="0" w:firstRowLastColumn="0" w:lastRowFirstColumn="0" w:lastRowLastColumn="0"/>
              <w:rPr>
                <w:szCs w:val="20"/>
                <w:lang w:eastAsia="fr-FR" w:bidi="ar-SA"/>
              </w:rPr>
            </w:pPr>
            <w:r w:rsidRPr="00AA22F2">
              <w:rPr>
                <w:b/>
                <w:bCs/>
                <w:szCs w:val="20"/>
                <w:lang w:eastAsia="fr-FR" w:bidi="ar-SA"/>
              </w:rPr>
              <w:t>Atténuer</w:t>
            </w:r>
          </w:p>
        </w:tc>
        <w:tc>
          <w:tcPr>
            <w:tcW w:w="2339" w:type="dxa"/>
            <w:hideMark/>
          </w:tcPr>
          <w:p w14:paraId="5A3071D5" w14:textId="34B0D04B" w:rsidR="00C40C47" w:rsidRPr="00AA22F2" w:rsidRDefault="00C40C47" w:rsidP="00C40C47">
            <w:pPr>
              <w:cnfStyle w:val="000000000000" w:firstRow="0" w:lastRow="0" w:firstColumn="0" w:lastColumn="0" w:oddVBand="0" w:evenVBand="0" w:oddHBand="0" w:evenHBand="0" w:firstRowFirstColumn="0" w:firstRowLastColumn="0" w:lastRowFirstColumn="0" w:lastRowLastColumn="0"/>
              <w:rPr>
                <w:szCs w:val="20"/>
                <w:lang w:eastAsia="fr-FR" w:bidi="ar-SA"/>
              </w:rPr>
            </w:pPr>
            <w:r w:rsidRPr="00AA22F2">
              <w:rPr>
                <w:szCs w:val="20"/>
                <w:lang w:eastAsia="fr-FR" w:bidi="ar-SA"/>
              </w:rPr>
              <w:t xml:space="preserve">Réaliser un </w:t>
            </w:r>
            <w:r w:rsidRPr="004637C7">
              <w:rPr>
                <w:szCs w:val="20"/>
                <w:lang w:eastAsia="fr-FR" w:bidi="ar-SA"/>
              </w:rPr>
              <w:t>entretien régulier</w:t>
            </w:r>
            <w:r w:rsidRPr="00AA22F2">
              <w:rPr>
                <w:szCs w:val="20"/>
                <w:lang w:eastAsia="fr-FR" w:bidi="ar-SA"/>
              </w:rPr>
              <w:t xml:space="preserve"> des tronçons empruntés (compactage, balayage).</w:t>
            </w:r>
          </w:p>
        </w:tc>
        <w:tc>
          <w:tcPr>
            <w:tcW w:w="1696" w:type="dxa"/>
            <w:hideMark/>
          </w:tcPr>
          <w:p w14:paraId="0F8BD73E" w14:textId="09AFAAE6" w:rsidR="00C40C47" w:rsidRPr="00AA22F2" w:rsidRDefault="00C40C47" w:rsidP="00C40C47">
            <w:pPr>
              <w:cnfStyle w:val="000000000000" w:firstRow="0" w:lastRow="0" w:firstColumn="0" w:lastColumn="0" w:oddVBand="0" w:evenVBand="0" w:oddHBand="0" w:evenHBand="0" w:firstRowFirstColumn="0" w:firstRowLastColumn="0" w:lastRowFirstColumn="0" w:lastRowLastColumn="0"/>
              <w:rPr>
                <w:szCs w:val="20"/>
                <w:lang w:eastAsia="fr-FR" w:bidi="ar-SA"/>
              </w:rPr>
            </w:pPr>
            <w:r w:rsidRPr="00AA22F2">
              <w:rPr>
                <w:szCs w:val="20"/>
                <w:lang w:eastAsia="fr-FR" w:bidi="ar-SA"/>
              </w:rPr>
              <w:t>Nb d’interventions d’entretien / mois sur les tronçons d’accès.</w:t>
            </w:r>
          </w:p>
        </w:tc>
        <w:tc>
          <w:tcPr>
            <w:tcW w:w="958" w:type="dxa"/>
            <w:hideMark/>
          </w:tcPr>
          <w:p w14:paraId="02CD175B" w14:textId="07BCBF70" w:rsidR="00C40C47" w:rsidRPr="00AA22F2" w:rsidRDefault="00C40C47" w:rsidP="00C40C47">
            <w:pPr>
              <w:cnfStyle w:val="000000000000" w:firstRow="0" w:lastRow="0" w:firstColumn="0" w:lastColumn="0" w:oddVBand="0" w:evenVBand="0" w:oddHBand="0" w:evenHBand="0" w:firstRowFirstColumn="0" w:firstRowLastColumn="0" w:lastRowFirstColumn="0" w:lastRowLastColumn="0"/>
              <w:rPr>
                <w:szCs w:val="20"/>
                <w:lang w:eastAsia="fr-FR" w:bidi="ar-SA"/>
              </w:rPr>
            </w:pPr>
            <w:r w:rsidRPr="004637C7">
              <w:rPr>
                <w:rFonts w:asciiTheme="minorHAnsi" w:hAnsiTheme="minorHAnsi" w:cstheme="minorHAnsi"/>
                <w:szCs w:val="20"/>
                <w:lang w:eastAsia="fr-FR" w:bidi="ar-SA"/>
              </w:rPr>
              <w:t>EPC et sous-traitants</w:t>
            </w:r>
          </w:p>
        </w:tc>
        <w:tc>
          <w:tcPr>
            <w:tcW w:w="1452" w:type="dxa"/>
            <w:hideMark/>
          </w:tcPr>
          <w:p w14:paraId="1105A985" w14:textId="437173E7" w:rsidR="00C40C47" w:rsidRPr="00AA22F2" w:rsidRDefault="00C40C47" w:rsidP="00C40C47">
            <w:pPr>
              <w:cnfStyle w:val="000000000000" w:firstRow="0" w:lastRow="0" w:firstColumn="0" w:lastColumn="0" w:oddVBand="0" w:evenVBand="0" w:oddHBand="0" w:evenHBand="0" w:firstRowFirstColumn="0" w:firstRowLastColumn="0" w:lastRowFirstColumn="0" w:lastRowLastColumn="0"/>
              <w:rPr>
                <w:szCs w:val="20"/>
                <w:lang w:eastAsia="fr-FR" w:bidi="ar-SA"/>
              </w:rPr>
            </w:pPr>
            <w:r w:rsidRPr="00BC1745">
              <w:rPr>
                <w:szCs w:val="20"/>
              </w:rPr>
              <w:t xml:space="preserve">Bureau de contrôle / Consultant de supervision </w:t>
            </w:r>
            <w:r w:rsidRPr="00BC1745">
              <w:rPr>
                <w:szCs w:val="20"/>
              </w:rPr>
              <w:lastRenderedPageBreak/>
              <w:t>mandaté par l’ONDA</w:t>
            </w:r>
          </w:p>
        </w:tc>
        <w:tc>
          <w:tcPr>
            <w:tcW w:w="717" w:type="dxa"/>
            <w:hideMark/>
          </w:tcPr>
          <w:p w14:paraId="21451449" w14:textId="25D5A9B4" w:rsidR="00C40C47" w:rsidRPr="00AA22F2" w:rsidRDefault="00C40C47" w:rsidP="00C40C47">
            <w:pPr>
              <w:cnfStyle w:val="000000000000" w:firstRow="0" w:lastRow="0" w:firstColumn="0" w:lastColumn="0" w:oddVBand="0" w:evenVBand="0" w:oddHBand="0" w:evenHBand="0" w:firstRowFirstColumn="0" w:firstRowLastColumn="0" w:lastRowFirstColumn="0" w:lastRowLastColumn="0"/>
              <w:rPr>
                <w:szCs w:val="20"/>
                <w:lang w:eastAsia="fr-FR" w:bidi="ar-SA"/>
              </w:rPr>
            </w:pPr>
            <w:r>
              <w:rPr>
                <w:rFonts w:asciiTheme="minorHAnsi" w:hAnsiTheme="minorHAnsi" w:cstheme="minorHAnsi"/>
                <w:szCs w:val="20"/>
                <w:lang w:eastAsia="zh-CN"/>
              </w:rPr>
              <w:lastRenderedPageBreak/>
              <w:t>ONDA</w:t>
            </w:r>
          </w:p>
        </w:tc>
        <w:tc>
          <w:tcPr>
            <w:tcW w:w="1409" w:type="dxa"/>
            <w:hideMark/>
          </w:tcPr>
          <w:p w14:paraId="7227EB24" w14:textId="77777777" w:rsidR="00C40C47" w:rsidRPr="00AA22F2" w:rsidRDefault="00C40C47" w:rsidP="00C40C47">
            <w:pPr>
              <w:cnfStyle w:val="000000000000" w:firstRow="0" w:lastRow="0" w:firstColumn="0" w:lastColumn="0" w:oddVBand="0" w:evenVBand="0" w:oddHBand="0" w:evenHBand="0" w:firstRowFirstColumn="0" w:firstRowLastColumn="0" w:lastRowFirstColumn="0" w:lastRowLastColumn="0"/>
              <w:rPr>
                <w:szCs w:val="20"/>
                <w:lang w:eastAsia="fr-FR" w:bidi="ar-SA"/>
              </w:rPr>
            </w:pPr>
            <w:r w:rsidRPr="00AA22F2">
              <w:rPr>
                <w:szCs w:val="20"/>
                <w:lang w:eastAsia="fr-FR" w:bidi="ar-SA"/>
              </w:rPr>
              <w:t>Tout au long du chantier</w:t>
            </w:r>
          </w:p>
        </w:tc>
        <w:tc>
          <w:tcPr>
            <w:tcW w:w="2874" w:type="dxa"/>
            <w:hideMark/>
          </w:tcPr>
          <w:p w14:paraId="0074ADE2" w14:textId="48D577AA" w:rsidR="00C40C47" w:rsidRPr="00AA22F2" w:rsidRDefault="005F7967" w:rsidP="00C40C47">
            <w:pPr>
              <w:cnfStyle w:val="000000000000" w:firstRow="0" w:lastRow="0" w:firstColumn="0" w:lastColumn="0" w:oddVBand="0" w:evenVBand="0" w:oddHBand="0" w:evenHBand="0" w:firstRowFirstColumn="0" w:firstRowLastColumn="0" w:lastRowFirstColumn="0" w:lastRowLastColumn="0"/>
              <w:rPr>
                <w:szCs w:val="20"/>
                <w:lang w:eastAsia="fr-FR" w:bidi="ar-SA"/>
              </w:rPr>
            </w:pPr>
            <w:r w:rsidRPr="005F7967">
              <w:rPr>
                <w:szCs w:val="20"/>
                <w:lang w:eastAsia="fr-FR" w:bidi="ar-SA"/>
              </w:rPr>
              <w:t xml:space="preserve">1,5 – 2 </w:t>
            </w:r>
            <w:r>
              <w:rPr>
                <w:szCs w:val="20"/>
                <w:lang w:eastAsia="fr-FR" w:bidi="ar-SA"/>
              </w:rPr>
              <w:t>MAD</w:t>
            </w:r>
            <w:r w:rsidRPr="005F7967">
              <w:rPr>
                <w:szCs w:val="20"/>
                <w:lang w:eastAsia="fr-FR" w:bidi="ar-SA"/>
              </w:rPr>
              <w:t>/m²/mois</w:t>
            </w:r>
            <w:r w:rsidR="004D4331">
              <w:rPr>
                <w:szCs w:val="20"/>
                <w:lang w:eastAsia="fr-FR" w:bidi="ar-SA"/>
              </w:rPr>
              <w:t xml:space="preserve"> (</w:t>
            </w:r>
            <w:r w:rsidR="004D4331" w:rsidRPr="004D4331">
              <w:rPr>
                <w:szCs w:val="20"/>
                <w:lang w:eastAsia="fr-FR" w:bidi="ar-SA"/>
              </w:rPr>
              <w:t>Balayage mécanique, arrosage et rebouchage ponctuel. Estimation</w:t>
            </w:r>
            <w:r w:rsidR="004D4331">
              <w:rPr>
                <w:szCs w:val="20"/>
                <w:lang w:eastAsia="fr-FR" w:bidi="ar-SA"/>
              </w:rPr>
              <w:t>)</w:t>
            </w:r>
          </w:p>
        </w:tc>
      </w:tr>
      <w:tr w:rsidR="005F7967" w:rsidRPr="00A86EC3" w14:paraId="3025C405" w14:textId="77777777" w:rsidTr="00D60FC9">
        <w:tc>
          <w:tcPr>
            <w:cnfStyle w:val="001000000000" w:firstRow="0" w:lastRow="0" w:firstColumn="1" w:lastColumn="0" w:oddVBand="0" w:evenVBand="0" w:oddHBand="0" w:evenHBand="0" w:firstRowFirstColumn="0" w:firstRowLastColumn="0" w:lastRowFirstColumn="0" w:lastRowLastColumn="0"/>
            <w:tcW w:w="1426" w:type="dxa"/>
            <w:vMerge/>
            <w:hideMark/>
          </w:tcPr>
          <w:p w14:paraId="73E62418" w14:textId="77777777" w:rsidR="00C40C47" w:rsidRPr="00AA22F2" w:rsidRDefault="00C40C47" w:rsidP="00C40C47">
            <w:pPr>
              <w:rPr>
                <w:szCs w:val="20"/>
                <w:lang w:eastAsia="fr-FR" w:bidi="ar-SA"/>
              </w:rPr>
            </w:pPr>
          </w:p>
        </w:tc>
        <w:tc>
          <w:tcPr>
            <w:tcW w:w="1263" w:type="dxa"/>
            <w:hideMark/>
          </w:tcPr>
          <w:p w14:paraId="5F03AFE1" w14:textId="77777777" w:rsidR="00C40C47" w:rsidRPr="00AA22F2" w:rsidRDefault="00C40C47" w:rsidP="00C40C47">
            <w:pPr>
              <w:cnfStyle w:val="000000000000" w:firstRow="0" w:lastRow="0" w:firstColumn="0" w:lastColumn="0" w:oddVBand="0" w:evenVBand="0" w:oddHBand="0" w:evenHBand="0" w:firstRowFirstColumn="0" w:firstRowLastColumn="0" w:lastRowFirstColumn="0" w:lastRowLastColumn="0"/>
              <w:rPr>
                <w:szCs w:val="20"/>
                <w:lang w:eastAsia="fr-FR" w:bidi="ar-SA"/>
              </w:rPr>
            </w:pPr>
            <w:r w:rsidRPr="00AA22F2">
              <w:rPr>
                <w:b/>
                <w:bCs/>
                <w:szCs w:val="20"/>
                <w:lang w:eastAsia="fr-FR" w:bidi="ar-SA"/>
              </w:rPr>
              <w:t>Compenser</w:t>
            </w:r>
          </w:p>
        </w:tc>
        <w:tc>
          <w:tcPr>
            <w:tcW w:w="2339" w:type="dxa"/>
            <w:hideMark/>
          </w:tcPr>
          <w:p w14:paraId="2B7F3669" w14:textId="77777777" w:rsidR="00C40C47" w:rsidRPr="00AA22F2" w:rsidRDefault="00C40C47" w:rsidP="00C40C47">
            <w:pPr>
              <w:cnfStyle w:val="000000000000" w:firstRow="0" w:lastRow="0" w:firstColumn="0" w:lastColumn="0" w:oddVBand="0" w:evenVBand="0" w:oddHBand="0" w:evenHBand="0" w:firstRowFirstColumn="0" w:firstRowLastColumn="0" w:lastRowFirstColumn="0" w:lastRowLastColumn="0"/>
              <w:rPr>
                <w:szCs w:val="20"/>
                <w:lang w:eastAsia="fr-FR" w:bidi="ar-SA"/>
              </w:rPr>
            </w:pPr>
            <w:r w:rsidRPr="00AA22F2">
              <w:rPr>
                <w:szCs w:val="20"/>
                <w:lang w:eastAsia="fr-FR" w:bidi="ar-SA"/>
              </w:rPr>
              <w:t>Réparer les sections dégradées et remettre à niveau les chaussées avant la clôture du chantier.</w:t>
            </w:r>
          </w:p>
        </w:tc>
        <w:tc>
          <w:tcPr>
            <w:tcW w:w="1696" w:type="dxa"/>
            <w:hideMark/>
          </w:tcPr>
          <w:p w14:paraId="4A5734A8" w14:textId="77777777" w:rsidR="00C40C47" w:rsidRPr="00AA22F2" w:rsidRDefault="00C40C47" w:rsidP="00C40C47">
            <w:pPr>
              <w:cnfStyle w:val="000000000000" w:firstRow="0" w:lastRow="0" w:firstColumn="0" w:lastColumn="0" w:oddVBand="0" w:evenVBand="0" w:oddHBand="0" w:evenHBand="0" w:firstRowFirstColumn="0" w:firstRowLastColumn="0" w:lastRowFirstColumn="0" w:lastRowLastColumn="0"/>
              <w:rPr>
                <w:szCs w:val="20"/>
                <w:lang w:eastAsia="fr-FR" w:bidi="ar-SA"/>
              </w:rPr>
            </w:pPr>
            <w:r w:rsidRPr="00AA22F2">
              <w:rPr>
                <w:szCs w:val="20"/>
                <w:lang w:eastAsia="fr-FR" w:bidi="ar-SA"/>
              </w:rPr>
              <w:t>100 % des chaussées restaurées avant réception.</w:t>
            </w:r>
          </w:p>
        </w:tc>
        <w:tc>
          <w:tcPr>
            <w:tcW w:w="958" w:type="dxa"/>
            <w:hideMark/>
          </w:tcPr>
          <w:p w14:paraId="0E8BFB0F" w14:textId="542C35CB" w:rsidR="00C40C47" w:rsidRPr="00AA22F2" w:rsidRDefault="00C40C47" w:rsidP="00C40C47">
            <w:pPr>
              <w:cnfStyle w:val="000000000000" w:firstRow="0" w:lastRow="0" w:firstColumn="0" w:lastColumn="0" w:oddVBand="0" w:evenVBand="0" w:oddHBand="0" w:evenHBand="0" w:firstRowFirstColumn="0" w:firstRowLastColumn="0" w:lastRowFirstColumn="0" w:lastRowLastColumn="0"/>
              <w:rPr>
                <w:szCs w:val="20"/>
                <w:lang w:eastAsia="fr-FR" w:bidi="ar-SA"/>
              </w:rPr>
            </w:pPr>
            <w:r w:rsidRPr="004637C7">
              <w:rPr>
                <w:rFonts w:asciiTheme="minorHAnsi" w:hAnsiTheme="minorHAnsi" w:cstheme="minorHAnsi"/>
                <w:szCs w:val="20"/>
                <w:lang w:eastAsia="fr-FR" w:bidi="ar-SA"/>
              </w:rPr>
              <w:t>EPC et sous-traitants</w:t>
            </w:r>
          </w:p>
        </w:tc>
        <w:tc>
          <w:tcPr>
            <w:tcW w:w="1452" w:type="dxa"/>
            <w:hideMark/>
          </w:tcPr>
          <w:p w14:paraId="2B2B22C0" w14:textId="2EE0ECC6" w:rsidR="00C40C47" w:rsidRPr="00AA22F2" w:rsidRDefault="00C40C47" w:rsidP="00C40C47">
            <w:pPr>
              <w:cnfStyle w:val="000000000000" w:firstRow="0" w:lastRow="0" w:firstColumn="0" w:lastColumn="0" w:oddVBand="0" w:evenVBand="0" w:oddHBand="0" w:evenHBand="0" w:firstRowFirstColumn="0" w:firstRowLastColumn="0" w:lastRowFirstColumn="0" w:lastRowLastColumn="0"/>
              <w:rPr>
                <w:szCs w:val="20"/>
                <w:lang w:eastAsia="fr-FR" w:bidi="ar-SA"/>
              </w:rPr>
            </w:pPr>
            <w:r w:rsidRPr="00BC1745">
              <w:rPr>
                <w:szCs w:val="20"/>
              </w:rPr>
              <w:t>Bureau de contrôle / Consultant de supervision mandaté par l’ONDA</w:t>
            </w:r>
          </w:p>
        </w:tc>
        <w:tc>
          <w:tcPr>
            <w:tcW w:w="717" w:type="dxa"/>
            <w:hideMark/>
          </w:tcPr>
          <w:p w14:paraId="30E0F159" w14:textId="68F1A2E5" w:rsidR="00C40C47" w:rsidRPr="00AA22F2" w:rsidRDefault="00C40C47" w:rsidP="00C40C47">
            <w:pPr>
              <w:cnfStyle w:val="000000000000" w:firstRow="0" w:lastRow="0" w:firstColumn="0" w:lastColumn="0" w:oddVBand="0" w:evenVBand="0" w:oddHBand="0" w:evenHBand="0" w:firstRowFirstColumn="0" w:firstRowLastColumn="0" w:lastRowFirstColumn="0" w:lastRowLastColumn="0"/>
              <w:rPr>
                <w:szCs w:val="20"/>
                <w:lang w:eastAsia="fr-FR" w:bidi="ar-SA"/>
              </w:rPr>
            </w:pPr>
            <w:r>
              <w:rPr>
                <w:rFonts w:asciiTheme="minorHAnsi" w:hAnsiTheme="minorHAnsi" w:cstheme="minorHAnsi"/>
                <w:szCs w:val="20"/>
                <w:lang w:eastAsia="zh-CN"/>
              </w:rPr>
              <w:t>ONDA</w:t>
            </w:r>
          </w:p>
        </w:tc>
        <w:tc>
          <w:tcPr>
            <w:tcW w:w="1409" w:type="dxa"/>
            <w:hideMark/>
          </w:tcPr>
          <w:p w14:paraId="4097B5C1" w14:textId="77777777" w:rsidR="00C40C47" w:rsidRPr="00AA22F2" w:rsidRDefault="00C40C47" w:rsidP="00C40C47">
            <w:pPr>
              <w:cnfStyle w:val="000000000000" w:firstRow="0" w:lastRow="0" w:firstColumn="0" w:lastColumn="0" w:oddVBand="0" w:evenVBand="0" w:oddHBand="0" w:evenHBand="0" w:firstRowFirstColumn="0" w:firstRowLastColumn="0" w:lastRowFirstColumn="0" w:lastRowLastColumn="0"/>
              <w:rPr>
                <w:szCs w:val="20"/>
                <w:lang w:eastAsia="fr-FR" w:bidi="ar-SA"/>
              </w:rPr>
            </w:pPr>
            <w:r w:rsidRPr="00AA22F2">
              <w:rPr>
                <w:szCs w:val="20"/>
                <w:lang w:eastAsia="fr-FR" w:bidi="ar-SA"/>
              </w:rPr>
              <w:t>Fin du chantier</w:t>
            </w:r>
          </w:p>
        </w:tc>
        <w:tc>
          <w:tcPr>
            <w:tcW w:w="2874" w:type="dxa"/>
            <w:hideMark/>
          </w:tcPr>
          <w:p w14:paraId="17247F76" w14:textId="405C91AB" w:rsidR="00C40C47" w:rsidRPr="00AA22F2" w:rsidRDefault="004D4331" w:rsidP="00C40C47">
            <w:pPr>
              <w:cnfStyle w:val="000000000000" w:firstRow="0" w:lastRow="0" w:firstColumn="0" w:lastColumn="0" w:oddVBand="0" w:evenVBand="0" w:oddHBand="0" w:evenHBand="0" w:firstRowFirstColumn="0" w:firstRowLastColumn="0" w:lastRowFirstColumn="0" w:lastRowLastColumn="0"/>
              <w:rPr>
                <w:szCs w:val="20"/>
                <w:lang w:eastAsia="fr-FR" w:bidi="ar-SA"/>
              </w:rPr>
            </w:pPr>
            <w:r w:rsidRPr="004D4331">
              <w:rPr>
                <w:szCs w:val="20"/>
                <w:lang w:eastAsia="fr-FR" w:bidi="ar-SA"/>
              </w:rPr>
              <w:t>400 – 600</w:t>
            </w:r>
            <w:r>
              <w:rPr>
                <w:szCs w:val="20"/>
                <w:lang w:eastAsia="fr-FR" w:bidi="ar-SA"/>
              </w:rPr>
              <w:t xml:space="preserve"> MAD</w:t>
            </w:r>
            <w:r w:rsidRPr="004D4331">
              <w:rPr>
                <w:szCs w:val="20"/>
                <w:lang w:eastAsia="fr-FR" w:bidi="ar-SA"/>
              </w:rPr>
              <w:t xml:space="preserve"> /m²</w:t>
            </w:r>
          </w:p>
        </w:tc>
      </w:tr>
      <w:tr w:rsidR="005F7967" w:rsidRPr="00A86EC3" w14:paraId="473526E0" w14:textId="77777777" w:rsidTr="00D60FC9">
        <w:tc>
          <w:tcPr>
            <w:cnfStyle w:val="001000000000" w:firstRow="0" w:lastRow="0" w:firstColumn="1" w:lastColumn="0" w:oddVBand="0" w:evenVBand="0" w:oddHBand="0" w:evenHBand="0" w:firstRowFirstColumn="0" w:firstRowLastColumn="0" w:lastRowFirstColumn="0" w:lastRowLastColumn="0"/>
            <w:tcW w:w="1426" w:type="dxa"/>
            <w:vMerge w:val="restart"/>
          </w:tcPr>
          <w:p w14:paraId="089A2EE0" w14:textId="75D7C3FC" w:rsidR="00C40C47" w:rsidRPr="00AA22F2" w:rsidRDefault="00C40C47" w:rsidP="00C40C47">
            <w:pPr>
              <w:rPr>
                <w:szCs w:val="20"/>
                <w:lang w:eastAsia="fr-FR" w:bidi="ar-SA"/>
              </w:rPr>
            </w:pPr>
            <w:r w:rsidRPr="00AA22F2">
              <w:rPr>
                <w:szCs w:val="20"/>
                <w:lang w:eastAsia="fr-FR" w:bidi="ar-SA"/>
              </w:rPr>
              <w:t>Risque d’accident routier / sécurité des usagers</w:t>
            </w:r>
          </w:p>
        </w:tc>
        <w:tc>
          <w:tcPr>
            <w:tcW w:w="1263" w:type="dxa"/>
          </w:tcPr>
          <w:p w14:paraId="1E050C16" w14:textId="71869B0C" w:rsidR="00C40C47" w:rsidRPr="00AA22F2" w:rsidRDefault="00C40C47" w:rsidP="00C40C47">
            <w:pPr>
              <w:cnfStyle w:val="000000000000" w:firstRow="0" w:lastRow="0" w:firstColumn="0" w:lastColumn="0" w:oddVBand="0" w:evenVBand="0" w:oddHBand="0" w:evenHBand="0" w:firstRowFirstColumn="0" w:firstRowLastColumn="0" w:lastRowFirstColumn="0" w:lastRowLastColumn="0"/>
              <w:rPr>
                <w:b/>
                <w:bCs/>
                <w:szCs w:val="20"/>
                <w:lang w:eastAsia="fr-FR" w:bidi="ar-SA"/>
              </w:rPr>
            </w:pPr>
            <w:r w:rsidRPr="00AA22F2">
              <w:rPr>
                <w:b/>
                <w:bCs/>
                <w:szCs w:val="20"/>
                <w:lang w:eastAsia="fr-FR" w:bidi="ar-SA"/>
              </w:rPr>
              <w:t>Éviter</w:t>
            </w:r>
          </w:p>
        </w:tc>
        <w:tc>
          <w:tcPr>
            <w:tcW w:w="2339" w:type="dxa"/>
          </w:tcPr>
          <w:p w14:paraId="42AD711F" w14:textId="27DCF061" w:rsidR="00C40C47" w:rsidRPr="00AA22F2" w:rsidRDefault="00C40C47" w:rsidP="00C40C47">
            <w:pPr>
              <w:cnfStyle w:val="000000000000" w:firstRow="0" w:lastRow="0" w:firstColumn="0" w:lastColumn="0" w:oddVBand="0" w:evenVBand="0" w:oddHBand="0" w:evenHBand="0" w:firstRowFirstColumn="0" w:firstRowLastColumn="0" w:lastRowFirstColumn="0" w:lastRowLastColumn="0"/>
              <w:rPr>
                <w:szCs w:val="20"/>
                <w:lang w:eastAsia="fr-FR" w:bidi="ar-SA"/>
              </w:rPr>
            </w:pPr>
            <w:r w:rsidRPr="00AA22F2">
              <w:rPr>
                <w:szCs w:val="20"/>
                <w:lang w:eastAsia="fr-FR" w:bidi="ar-SA"/>
              </w:rPr>
              <w:t xml:space="preserve">Définir, avant le démarrage des travaux, un </w:t>
            </w:r>
            <w:r w:rsidRPr="004637C7">
              <w:rPr>
                <w:szCs w:val="20"/>
                <w:lang w:eastAsia="fr-FR" w:bidi="ar-SA"/>
              </w:rPr>
              <w:t>point d’accès chantier</w:t>
            </w:r>
            <w:r w:rsidRPr="00AA22F2">
              <w:rPr>
                <w:szCs w:val="20"/>
                <w:lang w:eastAsia="fr-FR" w:bidi="ar-SA"/>
              </w:rPr>
              <w:t xml:space="preserve"> sur la </w:t>
            </w:r>
            <w:r w:rsidR="001D422B">
              <w:rPr>
                <w:szCs w:val="20"/>
                <w:lang w:eastAsia="fr-FR" w:bidi="ar-SA"/>
              </w:rPr>
              <w:t>RR212</w:t>
            </w:r>
            <w:r w:rsidRPr="00AA22F2">
              <w:rPr>
                <w:szCs w:val="20"/>
                <w:lang w:eastAsia="fr-FR" w:bidi="ar-SA"/>
              </w:rPr>
              <w:t xml:space="preserve"> en coordination avec la DPE et l’ONDA, afin d’éviter les zones de croisement avec la circulation publique dense.</w:t>
            </w:r>
          </w:p>
        </w:tc>
        <w:tc>
          <w:tcPr>
            <w:tcW w:w="1696" w:type="dxa"/>
          </w:tcPr>
          <w:p w14:paraId="4E15EC1D" w14:textId="77777777" w:rsidR="00C40C47" w:rsidRPr="00AA22F2" w:rsidRDefault="00C40C47" w:rsidP="00C40C47">
            <w:pPr>
              <w:cnfStyle w:val="000000000000" w:firstRow="0" w:lastRow="0" w:firstColumn="0" w:lastColumn="0" w:oddVBand="0" w:evenVBand="0" w:oddHBand="0" w:evenHBand="0" w:firstRowFirstColumn="0" w:firstRowLastColumn="0" w:lastRowFirstColumn="0" w:lastRowLastColumn="0"/>
              <w:rPr>
                <w:szCs w:val="20"/>
                <w:lang w:eastAsia="fr-FR" w:bidi="ar-SA"/>
              </w:rPr>
            </w:pPr>
            <w:r w:rsidRPr="00AA22F2">
              <w:rPr>
                <w:szCs w:val="20"/>
                <w:lang w:eastAsia="fr-FR" w:bidi="ar-SA"/>
              </w:rPr>
              <w:t xml:space="preserve">Plan de circulation validé par les autorités ; </w:t>
            </w:r>
          </w:p>
          <w:p w14:paraId="12D996E5" w14:textId="05ED3F3B" w:rsidR="00C40C47" w:rsidRPr="00AA22F2" w:rsidRDefault="00C40C47" w:rsidP="00C40C47">
            <w:pPr>
              <w:cnfStyle w:val="000000000000" w:firstRow="0" w:lastRow="0" w:firstColumn="0" w:lastColumn="0" w:oddVBand="0" w:evenVBand="0" w:oddHBand="0" w:evenHBand="0" w:firstRowFirstColumn="0" w:firstRowLastColumn="0" w:lastRowFirstColumn="0" w:lastRowLastColumn="0"/>
              <w:rPr>
                <w:szCs w:val="20"/>
                <w:lang w:eastAsia="fr-FR" w:bidi="ar-SA"/>
              </w:rPr>
            </w:pPr>
            <w:r w:rsidRPr="00AA22F2">
              <w:rPr>
                <w:szCs w:val="20"/>
                <w:lang w:eastAsia="fr-FR" w:bidi="ar-SA"/>
              </w:rPr>
              <w:t>Aucun accès non autorisé observé.</w:t>
            </w:r>
          </w:p>
        </w:tc>
        <w:tc>
          <w:tcPr>
            <w:tcW w:w="958" w:type="dxa"/>
          </w:tcPr>
          <w:p w14:paraId="407E807F" w14:textId="361103B4" w:rsidR="00C40C47" w:rsidRPr="00AA22F2" w:rsidRDefault="00C40C47" w:rsidP="00C40C47">
            <w:pPr>
              <w:cnfStyle w:val="000000000000" w:firstRow="0" w:lastRow="0" w:firstColumn="0" w:lastColumn="0" w:oddVBand="0" w:evenVBand="0" w:oddHBand="0" w:evenHBand="0" w:firstRowFirstColumn="0" w:firstRowLastColumn="0" w:lastRowFirstColumn="0" w:lastRowLastColumn="0"/>
              <w:rPr>
                <w:szCs w:val="20"/>
                <w:lang w:eastAsia="fr-FR" w:bidi="ar-SA"/>
              </w:rPr>
            </w:pPr>
            <w:r w:rsidRPr="004637C7">
              <w:rPr>
                <w:rFonts w:asciiTheme="minorHAnsi" w:hAnsiTheme="minorHAnsi" w:cstheme="minorHAnsi"/>
                <w:szCs w:val="20"/>
                <w:lang w:eastAsia="fr-FR" w:bidi="ar-SA"/>
              </w:rPr>
              <w:t>EPC et sous-traitants</w:t>
            </w:r>
          </w:p>
        </w:tc>
        <w:tc>
          <w:tcPr>
            <w:tcW w:w="1452" w:type="dxa"/>
          </w:tcPr>
          <w:p w14:paraId="50144F8B" w14:textId="1E107209" w:rsidR="00C40C47" w:rsidRPr="00AA22F2" w:rsidRDefault="00C40C47" w:rsidP="00C40C47">
            <w:pPr>
              <w:cnfStyle w:val="000000000000" w:firstRow="0" w:lastRow="0" w:firstColumn="0" w:lastColumn="0" w:oddVBand="0" w:evenVBand="0" w:oddHBand="0" w:evenHBand="0" w:firstRowFirstColumn="0" w:firstRowLastColumn="0" w:lastRowFirstColumn="0" w:lastRowLastColumn="0"/>
              <w:rPr>
                <w:szCs w:val="20"/>
                <w:lang w:eastAsia="fr-FR" w:bidi="ar-SA"/>
              </w:rPr>
            </w:pPr>
            <w:r w:rsidRPr="00BC1745">
              <w:rPr>
                <w:szCs w:val="20"/>
              </w:rPr>
              <w:t>Bureau de contrôle / Consultant de supervision mandaté par l’ONDA</w:t>
            </w:r>
          </w:p>
        </w:tc>
        <w:tc>
          <w:tcPr>
            <w:tcW w:w="717" w:type="dxa"/>
          </w:tcPr>
          <w:p w14:paraId="363C654F" w14:textId="26A7F5C4" w:rsidR="00C40C47" w:rsidRPr="00AA22F2" w:rsidRDefault="00C40C47" w:rsidP="00C40C47">
            <w:pPr>
              <w:cnfStyle w:val="000000000000" w:firstRow="0" w:lastRow="0" w:firstColumn="0" w:lastColumn="0" w:oddVBand="0" w:evenVBand="0" w:oddHBand="0" w:evenHBand="0" w:firstRowFirstColumn="0" w:firstRowLastColumn="0" w:lastRowFirstColumn="0" w:lastRowLastColumn="0"/>
              <w:rPr>
                <w:szCs w:val="20"/>
                <w:lang w:eastAsia="fr-FR" w:bidi="ar-SA"/>
              </w:rPr>
            </w:pPr>
            <w:r>
              <w:rPr>
                <w:rFonts w:asciiTheme="minorHAnsi" w:hAnsiTheme="minorHAnsi" w:cstheme="minorHAnsi"/>
                <w:szCs w:val="20"/>
                <w:lang w:eastAsia="zh-CN"/>
              </w:rPr>
              <w:t>ONDA</w:t>
            </w:r>
          </w:p>
        </w:tc>
        <w:tc>
          <w:tcPr>
            <w:tcW w:w="1409" w:type="dxa"/>
          </w:tcPr>
          <w:p w14:paraId="46074B0F" w14:textId="40CE3FE4" w:rsidR="00C40C47" w:rsidRPr="00AA22F2" w:rsidRDefault="00C40C47" w:rsidP="00C40C47">
            <w:pPr>
              <w:cnfStyle w:val="000000000000" w:firstRow="0" w:lastRow="0" w:firstColumn="0" w:lastColumn="0" w:oddVBand="0" w:evenVBand="0" w:oddHBand="0" w:evenHBand="0" w:firstRowFirstColumn="0" w:firstRowLastColumn="0" w:lastRowFirstColumn="0" w:lastRowLastColumn="0"/>
              <w:rPr>
                <w:szCs w:val="20"/>
                <w:lang w:eastAsia="fr-FR" w:bidi="ar-SA"/>
              </w:rPr>
            </w:pPr>
            <w:r w:rsidRPr="00AA22F2">
              <w:rPr>
                <w:szCs w:val="20"/>
                <w:lang w:eastAsia="fr-FR" w:bidi="ar-SA"/>
              </w:rPr>
              <w:t>Avant les travaux de terrassement</w:t>
            </w:r>
          </w:p>
        </w:tc>
        <w:tc>
          <w:tcPr>
            <w:tcW w:w="2874" w:type="dxa"/>
          </w:tcPr>
          <w:p w14:paraId="20D7639B" w14:textId="4375D5E9" w:rsidR="00C40C47" w:rsidRPr="00AA22F2" w:rsidRDefault="00C40C47" w:rsidP="00C40C47">
            <w:pPr>
              <w:cnfStyle w:val="000000000000" w:firstRow="0" w:lastRow="0" w:firstColumn="0" w:lastColumn="0" w:oddVBand="0" w:evenVBand="0" w:oddHBand="0" w:evenHBand="0" w:firstRowFirstColumn="0" w:firstRowLastColumn="0" w:lastRowFirstColumn="0" w:lastRowLastColumn="0"/>
              <w:rPr>
                <w:szCs w:val="20"/>
                <w:lang w:eastAsia="fr-FR" w:bidi="ar-SA"/>
              </w:rPr>
            </w:pPr>
            <w:r w:rsidRPr="00AA22F2">
              <w:rPr>
                <w:szCs w:val="20"/>
                <w:lang w:eastAsia="fr-FR" w:bidi="ar-SA"/>
              </w:rPr>
              <w:t>Aucun coût spécifique</w:t>
            </w:r>
          </w:p>
        </w:tc>
      </w:tr>
      <w:tr w:rsidR="005F7967" w:rsidRPr="00B40D36" w14:paraId="753561B6" w14:textId="77777777" w:rsidTr="00D60FC9">
        <w:tc>
          <w:tcPr>
            <w:cnfStyle w:val="001000000000" w:firstRow="0" w:lastRow="0" w:firstColumn="1" w:lastColumn="0" w:oddVBand="0" w:evenVBand="0" w:oddHBand="0" w:evenHBand="0" w:firstRowFirstColumn="0" w:firstRowLastColumn="0" w:lastRowFirstColumn="0" w:lastRowLastColumn="0"/>
            <w:tcW w:w="1426" w:type="dxa"/>
            <w:vMerge/>
          </w:tcPr>
          <w:p w14:paraId="77D5F676" w14:textId="77777777" w:rsidR="00C40C47" w:rsidRPr="00AA22F2" w:rsidRDefault="00C40C47" w:rsidP="00C40C47">
            <w:pPr>
              <w:rPr>
                <w:szCs w:val="20"/>
                <w:lang w:eastAsia="fr-FR" w:bidi="ar-SA"/>
              </w:rPr>
            </w:pPr>
          </w:p>
        </w:tc>
        <w:tc>
          <w:tcPr>
            <w:tcW w:w="1263" w:type="dxa"/>
            <w:vMerge w:val="restart"/>
          </w:tcPr>
          <w:p w14:paraId="665D13AA" w14:textId="1A9C1B72" w:rsidR="00C40C47" w:rsidRPr="00AA22F2" w:rsidRDefault="00C40C47" w:rsidP="00C40C47">
            <w:pPr>
              <w:cnfStyle w:val="000000000000" w:firstRow="0" w:lastRow="0" w:firstColumn="0" w:lastColumn="0" w:oddVBand="0" w:evenVBand="0" w:oddHBand="0" w:evenHBand="0" w:firstRowFirstColumn="0" w:firstRowLastColumn="0" w:lastRowFirstColumn="0" w:lastRowLastColumn="0"/>
              <w:rPr>
                <w:b/>
                <w:bCs/>
                <w:szCs w:val="20"/>
                <w:lang w:eastAsia="fr-FR" w:bidi="ar-SA"/>
              </w:rPr>
            </w:pPr>
            <w:r w:rsidRPr="00AA22F2">
              <w:rPr>
                <w:b/>
                <w:bCs/>
                <w:szCs w:val="20"/>
                <w:lang w:eastAsia="fr-FR" w:bidi="ar-SA"/>
              </w:rPr>
              <w:t>Réduire</w:t>
            </w:r>
          </w:p>
        </w:tc>
        <w:tc>
          <w:tcPr>
            <w:tcW w:w="2339" w:type="dxa"/>
          </w:tcPr>
          <w:p w14:paraId="1BC848D6" w14:textId="248FC649" w:rsidR="00C40C47" w:rsidRPr="00AA22F2" w:rsidRDefault="00C40C47" w:rsidP="00C40C47">
            <w:pPr>
              <w:cnfStyle w:val="000000000000" w:firstRow="0" w:lastRow="0" w:firstColumn="0" w:lastColumn="0" w:oddVBand="0" w:evenVBand="0" w:oddHBand="0" w:evenHBand="0" w:firstRowFirstColumn="0" w:firstRowLastColumn="0" w:lastRowFirstColumn="0" w:lastRowLastColumn="0"/>
              <w:rPr>
                <w:szCs w:val="20"/>
                <w:lang w:eastAsia="fr-FR" w:bidi="ar-SA"/>
              </w:rPr>
            </w:pPr>
            <w:r w:rsidRPr="00AA22F2">
              <w:rPr>
                <w:szCs w:val="20"/>
                <w:lang w:eastAsia="fr-FR" w:bidi="ar-SA"/>
              </w:rPr>
              <w:t>Élaborer un plan de circulation précisant les itinéraires autorisés, limitation à ≤20 km/h sur chantier et ≤40 km/h sur voies d’accès</w:t>
            </w:r>
          </w:p>
        </w:tc>
        <w:tc>
          <w:tcPr>
            <w:tcW w:w="1696" w:type="dxa"/>
          </w:tcPr>
          <w:p w14:paraId="6D9EF8AE" w14:textId="2CC319E3" w:rsidR="00C40C47" w:rsidRPr="00AA22F2" w:rsidRDefault="00C40C47" w:rsidP="00C40C47">
            <w:pPr>
              <w:cnfStyle w:val="000000000000" w:firstRow="0" w:lastRow="0" w:firstColumn="0" w:lastColumn="0" w:oddVBand="0" w:evenVBand="0" w:oddHBand="0" w:evenHBand="0" w:firstRowFirstColumn="0" w:firstRowLastColumn="0" w:lastRowFirstColumn="0" w:lastRowLastColumn="0"/>
              <w:rPr>
                <w:szCs w:val="20"/>
                <w:lang w:eastAsia="fr-FR" w:bidi="ar-SA"/>
              </w:rPr>
            </w:pPr>
            <w:r w:rsidRPr="00AA22F2">
              <w:rPr>
                <w:szCs w:val="20"/>
                <w:lang w:eastAsia="fr-FR" w:bidi="ar-SA"/>
              </w:rPr>
              <w:t>Plan disponible et respecté ; ≤ 1 incident / trimestre.</w:t>
            </w:r>
          </w:p>
        </w:tc>
        <w:tc>
          <w:tcPr>
            <w:tcW w:w="958" w:type="dxa"/>
          </w:tcPr>
          <w:p w14:paraId="06B71B3C" w14:textId="53F999B8" w:rsidR="00C40C47" w:rsidRPr="00AA22F2" w:rsidRDefault="00C40C47" w:rsidP="00C40C47">
            <w:pPr>
              <w:cnfStyle w:val="000000000000" w:firstRow="0" w:lastRow="0" w:firstColumn="0" w:lastColumn="0" w:oddVBand="0" w:evenVBand="0" w:oddHBand="0" w:evenHBand="0" w:firstRowFirstColumn="0" w:firstRowLastColumn="0" w:lastRowFirstColumn="0" w:lastRowLastColumn="0"/>
              <w:rPr>
                <w:szCs w:val="20"/>
                <w:lang w:eastAsia="fr-FR" w:bidi="ar-SA"/>
              </w:rPr>
            </w:pPr>
            <w:r w:rsidRPr="004637C7">
              <w:rPr>
                <w:rFonts w:asciiTheme="minorHAnsi" w:hAnsiTheme="minorHAnsi" w:cstheme="minorHAnsi"/>
                <w:szCs w:val="20"/>
                <w:lang w:eastAsia="fr-FR" w:bidi="ar-SA"/>
              </w:rPr>
              <w:t>EPC et sous-traitants</w:t>
            </w:r>
          </w:p>
        </w:tc>
        <w:tc>
          <w:tcPr>
            <w:tcW w:w="1452" w:type="dxa"/>
          </w:tcPr>
          <w:p w14:paraId="399C6F31" w14:textId="565356A8" w:rsidR="00C40C47" w:rsidRPr="00AA22F2" w:rsidRDefault="00C40C47" w:rsidP="00C40C47">
            <w:pPr>
              <w:cnfStyle w:val="000000000000" w:firstRow="0" w:lastRow="0" w:firstColumn="0" w:lastColumn="0" w:oddVBand="0" w:evenVBand="0" w:oddHBand="0" w:evenHBand="0" w:firstRowFirstColumn="0" w:firstRowLastColumn="0" w:lastRowFirstColumn="0" w:lastRowLastColumn="0"/>
              <w:rPr>
                <w:szCs w:val="20"/>
                <w:lang w:eastAsia="fr-FR" w:bidi="ar-SA"/>
              </w:rPr>
            </w:pPr>
            <w:r w:rsidRPr="00BC1745">
              <w:rPr>
                <w:szCs w:val="20"/>
              </w:rPr>
              <w:t>Bureau de contrôle / Consultant de supervision mandaté par l’ONDA</w:t>
            </w:r>
          </w:p>
        </w:tc>
        <w:tc>
          <w:tcPr>
            <w:tcW w:w="717" w:type="dxa"/>
          </w:tcPr>
          <w:p w14:paraId="41626C97" w14:textId="6017A6A3" w:rsidR="00C40C47" w:rsidRPr="00AA22F2" w:rsidRDefault="00C40C47" w:rsidP="00C40C47">
            <w:pPr>
              <w:cnfStyle w:val="000000000000" w:firstRow="0" w:lastRow="0" w:firstColumn="0" w:lastColumn="0" w:oddVBand="0" w:evenVBand="0" w:oddHBand="0" w:evenHBand="0" w:firstRowFirstColumn="0" w:firstRowLastColumn="0" w:lastRowFirstColumn="0" w:lastRowLastColumn="0"/>
              <w:rPr>
                <w:szCs w:val="20"/>
                <w:lang w:eastAsia="fr-FR" w:bidi="ar-SA"/>
              </w:rPr>
            </w:pPr>
            <w:r>
              <w:rPr>
                <w:rFonts w:asciiTheme="minorHAnsi" w:hAnsiTheme="minorHAnsi" w:cstheme="minorHAnsi"/>
                <w:szCs w:val="20"/>
                <w:lang w:eastAsia="zh-CN"/>
              </w:rPr>
              <w:t>ONDA</w:t>
            </w:r>
          </w:p>
        </w:tc>
        <w:tc>
          <w:tcPr>
            <w:tcW w:w="1409" w:type="dxa"/>
          </w:tcPr>
          <w:p w14:paraId="77ECA2C3" w14:textId="03632CDD" w:rsidR="00C40C47" w:rsidRPr="00AA22F2" w:rsidRDefault="00C40C47" w:rsidP="00C40C47">
            <w:pPr>
              <w:cnfStyle w:val="000000000000" w:firstRow="0" w:lastRow="0" w:firstColumn="0" w:lastColumn="0" w:oddVBand="0" w:evenVBand="0" w:oddHBand="0" w:evenHBand="0" w:firstRowFirstColumn="0" w:firstRowLastColumn="0" w:lastRowFirstColumn="0" w:lastRowLastColumn="0"/>
              <w:rPr>
                <w:szCs w:val="20"/>
                <w:lang w:eastAsia="fr-FR" w:bidi="ar-SA"/>
              </w:rPr>
            </w:pPr>
            <w:r w:rsidRPr="00AA22F2">
              <w:rPr>
                <w:szCs w:val="20"/>
                <w:lang w:eastAsia="fr-FR" w:bidi="ar-SA"/>
              </w:rPr>
              <w:t>Pendant toute la phase de transport</w:t>
            </w:r>
          </w:p>
        </w:tc>
        <w:tc>
          <w:tcPr>
            <w:tcW w:w="2874" w:type="dxa"/>
          </w:tcPr>
          <w:p w14:paraId="4C2CFEBC" w14:textId="3A4D2FF4" w:rsidR="00C40C47" w:rsidRPr="00AA22F2" w:rsidRDefault="004D4331" w:rsidP="00C40C47">
            <w:pPr>
              <w:cnfStyle w:val="000000000000" w:firstRow="0" w:lastRow="0" w:firstColumn="0" w:lastColumn="0" w:oddVBand="0" w:evenVBand="0" w:oddHBand="0" w:evenHBand="0" w:firstRowFirstColumn="0" w:firstRowLastColumn="0" w:lastRowFirstColumn="0" w:lastRowLastColumn="0"/>
              <w:rPr>
                <w:szCs w:val="20"/>
                <w:lang w:eastAsia="fr-FR" w:bidi="ar-SA"/>
              </w:rPr>
            </w:pPr>
            <w:r w:rsidRPr="004D4331">
              <w:rPr>
                <w:szCs w:val="20"/>
                <w:lang w:eastAsia="fr-FR" w:bidi="ar-SA"/>
              </w:rPr>
              <w:t>10 000 – 15 000</w:t>
            </w:r>
            <w:r>
              <w:rPr>
                <w:szCs w:val="20"/>
                <w:lang w:eastAsia="fr-FR" w:bidi="ar-SA"/>
              </w:rPr>
              <w:t xml:space="preserve"> MAD</w:t>
            </w:r>
            <w:r w:rsidRPr="004D4331">
              <w:rPr>
                <w:szCs w:val="20"/>
                <w:lang w:eastAsia="fr-FR" w:bidi="ar-SA"/>
              </w:rPr>
              <w:t xml:space="preserve"> /plan</w:t>
            </w:r>
          </w:p>
        </w:tc>
      </w:tr>
      <w:tr w:rsidR="005F7967" w:rsidRPr="00B40D36" w14:paraId="2E648671" w14:textId="77777777" w:rsidTr="00D60FC9">
        <w:tc>
          <w:tcPr>
            <w:cnfStyle w:val="001000000000" w:firstRow="0" w:lastRow="0" w:firstColumn="1" w:lastColumn="0" w:oddVBand="0" w:evenVBand="0" w:oddHBand="0" w:evenHBand="0" w:firstRowFirstColumn="0" w:firstRowLastColumn="0" w:lastRowFirstColumn="0" w:lastRowLastColumn="0"/>
            <w:tcW w:w="1426" w:type="dxa"/>
            <w:vMerge/>
          </w:tcPr>
          <w:p w14:paraId="434762DD" w14:textId="77777777" w:rsidR="00C40C47" w:rsidRPr="00AA22F2" w:rsidRDefault="00C40C47" w:rsidP="00C40C47">
            <w:pPr>
              <w:rPr>
                <w:szCs w:val="20"/>
                <w:lang w:eastAsia="fr-FR" w:bidi="ar-SA"/>
              </w:rPr>
            </w:pPr>
          </w:p>
        </w:tc>
        <w:tc>
          <w:tcPr>
            <w:tcW w:w="1263" w:type="dxa"/>
            <w:vMerge/>
          </w:tcPr>
          <w:p w14:paraId="24A88BD5" w14:textId="77777777" w:rsidR="00C40C47" w:rsidRPr="00AA22F2" w:rsidRDefault="00C40C47" w:rsidP="00C40C47">
            <w:pPr>
              <w:cnfStyle w:val="000000000000" w:firstRow="0" w:lastRow="0" w:firstColumn="0" w:lastColumn="0" w:oddVBand="0" w:evenVBand="0" w:oddHBand="0" w:evenHBand="0" w:firstRowFirstColumn="0" w:firstRowLastColumn="0" w:lastRowFirstColumn="0" w:lastRowLastColumn="0"/>
              <w:rPr>
                <w:b/>
                <w:bCs/>
                <w:szCs w:val="20"/>
                <w:lang w:eastAsia="fr-FR" w:bidi="ar-SA"/>
              </w:rPr>
            </w:pPr>
          </w:p>
        </w:tc>
        <w:tc>
          <w:tcPr>
            <w:tcW w:w="2339" w:type="dxa"/>
          </w:tcPr>
          <w:p w14:paraId="71093228" w14:textId="18789607" w:rsidR="00C40C47" w:rsidRPr="00AA22F2" w:rsidRDefault="00C40C47" w:rsidP="00C40C47">
            <w:pPr>
              <w:cnfStyle w:val="000000000000" w:firstRow="0" w:lastRow="0" w:firstColumn="0" w:lastColumn="0" w:oddVBand="0" w:evenVBand="0" w:oddHBand="0" w:evenHBand="0" w:firstRowFirstColumn="0" w:firstRowLastColumn="0" w:lastRowFirstColumn="0" w:lastRowLastColumn="0"/>
              <w:rPr>
                <w:szCs w:val="20"/>
                <w:lang w:eastAsia="fr-FR" w:bidi="ar-SA"/>
              </w:rPr>
            </w:pPr>
            <w:r w:rsidRPr="00AA22F2">
              <w:rPr>
                <w:szCs w:val="20"/>
                <w:lang w:eastAsia="fr-FR" w:bidi="ar-SA"/>
              </w:rPr>
              <w:t>Limiter les vitesses à ≤20 km/h sur chantier et ≤40 km/h sur voies d’accès</w:t>
            </w:r>
          </w:p>
        </w:tc>
        <w:tc>
          <w:tcPr>
            <w:tcW w:w="1696" w:type="dxa"/>
          </w:tcPr>
          <w:p w14:paraId="08D62930" w14:textId="2D949DF3" w:rsidR="00C40C47" w:rsidRPr="00AA22F2" w:rsidRDefault="00C40C47" w:rsidP="00C40C47">
            <w:pPr>
              <w:cnfStyle w:val="000000000000" w:firstRow="0" w:lastRow="0" w:firstColumn="0" w:lastColumn="0" w:oddVBand="0" w:evenVBand="0" w:oddHBand="0" w:evenHBand="0" w:firstRowFirstColumn="0" w:firstRowLastColumn="0" w:lastRowFirstColumn="0" w:lastRowLastColumn="0"/>
              <w:rPr>
                <w:szCs w:val="20"/>
                <w:lang w:eastAsia="fr-FR" w:bidi="ar-SA"/>
              </w:rPr>
            </w:pPr>
            <w:r w:rsidRPr="00AA22F2">
              <w:rPr>
                <w:szCs w:val="20"/>
                <w:lang w:eastAsia="fr-FR" w:bidi="ar-SA"/>
              </w:rPr>
              <w:t>Nr de dépassement de vitesse</w:t>
            </w:r>
          </w:p>
        </w:tc>
        <w:tc>
          <w:tcPr>
            <w:tcW w:w="958" w:type="dxa"/>
          </w:tcPr>
          <w:p w14:paraId="1AF6C545" w14:textId="0A010B8D" w:rsidR="00C40C47" w:rsidRPr="00AA22F2" w:rsidRDefault="00C40C47" w:rsidP="00C40C47">
            <w:pPr>
              <w:cnfStyle w:val="000000000000" w:firstRow="0" w:lastRow="0" w:firstColumn="0" w:lastColumn="0" w:oddVBand="0" w:evenVBand="0" w:oddHBand="0" w:evenHBand="0" w:firstRowFirstColumn="0" w:firstRowLastColumn="0" w:lastRowFirstColumn="0" w:lastRowLastColumn="0"/>
              <w:rPr>
                <w:szCs w:val="20"/>
                <w:lang w:eastAsia="fr-FR" w:bidi="ar-SA"/>
              </w:rPr>
            </w:pPr>
            <w:r w:rsidRPr="004637C7">
              <w:rPr>
                <w:rFonts w:asciiTheme="minorHAnsi" w:hAnsiTheme="minorHAnsi" w:cstheme="minorHAnsi"/>
                <w:szCs w:val="20"/>
                <w:lang w:eastAsia="fr-FR" w:bidi="ar-SA"/>
              </w:rPr>
              <w:t>EPC et sous-traitants</w:t>
            </w:r>
          </w:p>
        </w:tc>
        <w:tc>
          <w:tcPr>
            <w:tcW w:w="1452" w:type="dxa"/>
          </w:tcPr>
          <w:p w14:paraId="07FAAFB4" w14:textId="51D18094" w:rsidR="00C40C47" w:rsidRPr="00AA22F2" w:rsidRDefault="00C40C47" w:rsidP="00C40C47">
            <w:pPr>
              <w:cnfStyle w:val="000000000000" w:firstRow="0" w:lastRow="0" w:firstColumn="0" w:lastColumn="0" w:oddVBand="0" w:evenVBand="0" w:oddHBand="0" w:evenHBand="0" w:firstRowFirstColumn="0" w:firstRowLastColumn="0" w:lastRowFirstColumn="0" w:lastRowLastColumn="0"/>
              <w:rPr>
                <w:szCs w:val="20"/>
                <w:lang w:eastAsia="fr-FR" w:bidi="ar-SA"/>
              </w:rPr>
            </w:pPr>
            <w:r w:rsidRPr="00BC1745">
              <w:rPr>
                <w:szCs w:val="20"/>
              </w:rPr>
              <w:t>Bureau de contrôle / Consultant de supervision mandaté par l’ONDA</w:t>
            </w:r>
          </w:p>
        </w:tc>
        <w:tc>
          <w:tcPr>
            <w:tcW w:w="717" w:type="dxa"/>
          </w:tcPr>
          <w:p w14:paraId="37333261" w14:textId="2826CA59" w:rsidR="00C40C47" w:rsidRPr="00AA22F2" w:rsidRDefault="00C40C47" w:rsidP="00C40C47">
            <w:pPr>
              <w:cnfStyle w:val="000000000000" w:firstRow="0" w:lastRow="0" w:firstColumn="0" w:lastColumn="0" w:oddVBand="0" w:evenVBand="0" w:oddHBand="0" w:evenHBand="0" w:firstRowFirstColumn="0" w:firstRowLastColumn="0" w:lastRowFirstColumn="0" w:lastRowLastColumn="0"/>
              <w:rPr>
                <w:szCs w:val="20"/>
                <w:lang w:eastAsia="fr-FR" w:bidi="ar-SA"/>
              </w:rPr>
            </w:pPr>
            <w:r>
              <w:rPr>
                <w:rFonts w:asciiTheme="minorHAnsi" w:hAnsiTheme="minorHAnsi" w:cstheme="minorHAnsi"/>
                <w:szCs w:val="20"/>
                <w:lang w:eastAsia="zh-CN"/>
              </w:rPr>
              <w:t>ONDA</w:t>
            </w:r>
          </w:p>
        </w:tc>
        <w:tc>
          <w:tcPr>
            <w:tcW w:w="1409" w:type="dxa"/>
          </w:tcPr>
          <w:p w14:paraId="42209099" w14:textId="34C680E2" w:rsidR="00C40C47" w:rsidRPr="00AA22F2" w:rsidRDefault="00C40C47" w:rsidP="00C40C47">
            <w:pPr>
              <w:cnfStyle w:val="000000000000" w:firstRow="0" w:lastRow="0" w:firstColumn="0" w:lastColumn="0" w:oddVBand="0" w:evenVBand="0" w:oddHBand="0" w:evenHBand="0" w:firstRowFirstColumn="0" w:firstRowLastColumn="0" w:lastRowFirstColumn="0" w:lastRowLastColumn="0"/>
              <w:rPr>
                <w:szCs w:val="20"/>
                <w:lang w:eastAsia="fr-FR" w:bidi="ar-SA"/>
              </w:rPr>
            </w:pPr>
            <w:r w:rsidRPr="00AA22F2">
              <w:rPr>
                <w:szCs w:val="20"/>
                <w:lang w:eastAsia="fr-FR" w:bidi="ar-SA"/>
              </w:rPr>
              <w:t>Pendant toute la phase de transport</w:t>
            </w:r>
          </w:p>
        </w:tc>
        <w:tc>
          <w:tcPr>
            <w:tcW w:w="2874" w:type="dxa"/>
          </w:tcPr>
          <w:p w14:paraId="765823DB" w14:textId="76D2C2DF" w:rsidR="00C40C47" w:rsidRPr="00AA22F2" w:rsidRDefault="00C40C47" w:rsidP="00C40C47">
            <w:pPr>
              <w:cnfStyle w:val="000000000000" w:firstRow="0" w:lastRow="0" w:firstColumn="0" w:lastColumn="0" w:oddVBand="0" w:evenVBand="0" w:oddHBand="0" w:evenHBand="0" w:firstRowFirstColumn="0" w:firstRowLastColumn="0" w:lastRowFirstColumn="0" w:lastRowLastColumn="0"/>
              <w:rPr>
                <w:szCs w:val="20"/>
                <w:lang w:eastAsia="fr-FR" w:bidi="ar-SA"/>
              </w:rPr>
            </w:pPr>
            <w:r w:rsidRPr="00AA22F2">
              <w:rPr>
                <w:szCs w:val="20"/>
                <w:lang w:eastAsia="fr-FR" w:bidi="ar-SA"/>
              </w:rPr>
              <w:t>Aucun coût spécifique</w:t>
            </w:r>
          </w:p>
        </w:tc>
      </w:tr>
      <w:tr w:rsidR="005F7967" w:rsidRPr="00A86EC3" w14:paraId="2FA50C53" w14:textId="77777777" w:rsidTr="00D60FC9">
        <w:tc>
          <w:tcPr>
            <w:cnfStyle w:val="001000000000" w:firstRow="0" w:lastRow="0" w:firstColumn="1" w:lastColumn="0" w:oddVBand="0" w:evenVBand="0" w:oddHBand="0" w:evenHBand="0" w:firstRowFirstColumn="0" w:firstRowLastColumn="0" w:lastRowFirstColumn="0" w:lastRowLastColumn="0"/>
            <w:tcW w:w="1426" w:type="dxa"/>
            <w:vMerge/>
          </w:tcPr>
          <w:p w14:paraId="1BF28725" w14:textId="77777777" w:rsidR="00C40C47" w:rsidRPr="00AA22F2" w:rsidRDefault="00C40C47" w:rsidP="00C40C47">
            <w:pPr>
              <w:rPr>
                <w:szCs w:val="20"/>
                <w:lang w:eastAsia="fr-FR" w:bidi="ar-SA"/>
              </w:rPr>
            </w:pPr>
          </w:p>
        </w:tc>
        <w:tc>
          <w:tcPr>
            <w:tcW w:w="1263" w:type="dxa"/>
          </w:tcPr>
          <w:p w14:paraId="42374C04" w14:textId="7DC0F167" w:rsidR="00C40C47" w:rsidRPr="00AA22F2" w:rsidRDefault="00C40C47" w:rsidP="00C40C47">
            <w:pPr>
              <w:cnfStyle w:val="000000000000" w:firstRow="0" w:lastRow="0" w:firstColumn="0" w:lastColumn="0" w:oddVBand="0" w:evenVBand="0" w:oddHBand="0" w:evenHBand="0" w:firstRowFirstColumn="0" w:firstRowLastColumn="0" w:lastRowFirstColumn="0" w:lastRowLastColumn="0"/>
              <w:rPr>
                <w:b/>
                <w:bCs/>
                <w:szCs w:val="20"/>
                <w:lang w:eastAsia="fr-FR" w:bidi="ar-SA"/>
              </w:rPr>
            </w:pPr>
            <w:r w:rsidRPr="00AA22F2">
              <w:rPr>
                <w:b/>
                <w:bCs/>
                <w:szCs w:val="20"/>
                <w:lang w:eastAsia="fr-FR" w:bidi="ar-SA"/>
              </w:rPr>
              <w:t>Atténuer</w:t>
            </w:r>
          </w:p>
        </w:tc>
        <w:tc>
          <w:tcPr>
            <w:tcW w:w="2339" w:type="dxa"/>
          </w:tcPr>
          <w:p w14:paraId="0BE15589" w14:textId="77777777" w:rsidR="00C40C47" w:rsidRPr="00AA22F2" w:rsidRDefault="00C40C47" w:rsidP="00C40C47">
            <w:pPr>
              <w:cnfStyle w:val="000000000000" w:firstRow="0" w:lastRow="0" w:firstColumn="0" w:lastColumn="0" w:oddVBand="0" w:evenVBand="0" w:oddHBand="0" w:evenHBand="0" w:firstRowFirstColumn="0" w:firstRowLastColumn="0" w:lastRowFirstColumn="0" w:lastRowLastColumn="0"/>
              <w:rPr>
                <w:szCs w:val="20"/>
                <w:lang w:eastAsia="fr-FR" w:bidi="ar-SA"/>
              </w:rPr>
            </w:pPr>
            <w:r w:rsidRPr="00AA22F2">
              <w:rPr>
                <w:szCs w:val="20"/>
                <w:lang w:eastAsia="fr-FR" w:bidi="ar-SA"/>
              </w:rPr>
              <w:t xml:space="preserve">Installer une </w:t>
            </w:r>
            <w:r w:rsidRPr="004637C7">
              <w:rPr>
                <w:szCs w:val="20"/>
                <w:lang w:eastAsia="fr-FR" w:bidi="ar-SA"/>
              </w:rPr>
              <w:t>signalisation temporaire normalisée</w:t>
            </w:r>
            <w:r w:rsidRPr="00AA22F2">
              <w:rPr>
                <w:szCs w:val="20"/>
                <w:lang w:eastAsia="fr-FR" w:bidi="ar-SA"/>
              </w:rPr>
              <w:t xml:space="preserve"> (panneaux, gilets HV, balisage lumineux) ;</w:t>
            </w:r>
          </w:p>
          <w:p w14:paraId="5E6C0A6C" w14:textId="34EC46E8" w:rsidR="00C40C47" w:rsidRPr="00AA22F2" w:rsidRDefault="00C40C47" w:rsidP="00C40C47">
            <w:pPr>
              <w:cnfStyle w:val="000000000000" w:firstRow="0" w:lastRow="0" w:firstColumn="0" w:lastColumn="0" w:oddVBand="0" w:evenVBand="0" w:oddHBand="0" w:evenHBand="0" w:firstRowFirstColumn="0" w:firstRowLastColumn="0" w:lastRowFirstColumn="0" w:lastRowLastColumn="0"/>
              <w:rPr>
                <w:szCs w:val="20"/>
                <w:lang w:eastAsia="fr-FR" w:bidi="ar-SA"/>
              </w:rPr>
            </w:pPr>
            <w:r w:rsidRPr="00AA22F2">
              <w:rPr>
                <w:szCs w:val="20"/>
                <w:lang w:eastAsia="fr-FR" w:bidi="ar-SA"/>
              </w:rPr>
              <w:t>Entretenir la visibilité et former les chauffeurs à la sécurité routière.</w:t>
            </w:r>
          </w:p>
        </w:tc>
        <w:tc>
          <w:tcPr>
            <w:tcW w:w="1696" w:type="dxa"/>
          </w:tcPr>
          <w:p w14:paraId="236195B1" w14:textId="77777777" w:rsidR="00C40C47" w:rsidRPr="00AA22F2" w:rsidRDefault="00C40C47" w:rsidP="00C40C47">
            <w:pPr>
              <w:cnfStyle w:val="000000000000" w:firstRow="0" w:lastRow="0" w:firstColumn="0" w:lastColumn="0" w:oddVBand="0" w:evenVBand="0" w:oddHBand="0" w:evenHBand="0" w:firstRowFirstColumn="0" w:firstRowLastColumn="0" w:lastRowFirstColumn="0" w:lastRowLastColumn="0"/>
              <w:rPr>
                <w:szCs w:val="20"/>
                <w:lang w:eastAsia="fr-FR" w:bidi="ar-SA"/>
              </w:rPr>
            </w:pPr>
            <w:r w:rsidRPr="00AA22F2">
              <w:rPr>
                <w:szCs w:val="20"/>
                <w:lang w:eastAsia="fr-FR" w:bidi="ar-SA"/>
              </w:rPr>
              <w:t xml:space="preserve">100 % des panneaux installés ; </w:t>
            </w:r>
          </w:p>
          <w:p w14:paraId="71D8AA52" w14:textId="4D5BE632" w:rsidR="00C40C47" w:rsidRPr="00AA22F2" w:rsidRDefault="00C40C47" w:rsidP="00C40C47">
            <w:pPr>
              <w:cnfStyle w:val="000000000000" w:firstRow="0" w:lastRow="0" w:firstColumn="0" w:lastColumn="0" w:oddVBand="0" w:evenVBand="0" w:oddHBand="0" w:evenHBand="0" w:firstRowFirstColumn="0" w:firstRowLastColumn="0" w:lastRowFirstColumn="0" w:lastRowLastColumn="0"/>
              <w:rPr>
                <w:szCs w:val="20"/>
                <w:lang w:eastAsia="fr-FR" w:bidi="ar-SA"/>
              </w:rPr>
            </w:pPr>
            <w:r w:rsidRPr="00AA22F2">
              <w:rPr>
                <w:szCs w:val="20"/>
                <w:lang w:eastAsia="fr-FR" w:bidi="ar-SA"/>
              </w:rPr>
              <w:t>100 % des chauffeurs formés ; Nb d’accident majeur.</w:t>
            </w:r>
          </w:p>
        </w:tc>
        <w:tc>
          <w:tcPr>
            <w:tcW w:w="958" w:type="dxa"/>
          </w:tcPr>
          <w:p w14:paraId="200B0ADF" w14:textId="517E6B17" w:rsidR="00C40C47" w:rsidRPr="00AA22F2" w:rsidRDefault="00C40C47" w:rsidP="00C40C47">
            <w:pPr>
              <w:cnfStyle w:val="000000000000" w:firstRow="0" w:lastRow="0" w:firstColumn="0" w:lastColumn="0" w:oddVBand="0" w:evenVBand="0" w:oddHBand="0" w:evenHBand="0" w:firstRowFirstColumn="0" w:firstRowLastColumn="0" w:lastRowFirstColumn="0" w:lastRowLastColumn="0"/>
              <w:rPr>
                <w:szCs w:val="20"/>
                <w:lang w:eastAsia="fr-FR" w:bidi="ar-SA"/>
              </w:rPr>
            </w:pPr>
            <w:r w:rsidRPr="004637C7">
              <w:rPr>
                <w:rFonts w:asciiTheme="minorHAnsi" w:hAnsiTheme="minorHAnsi" w:cstheme="minorHAnsi"/>
                <w:szCs w:val="20"/>
                <w:lang w:eastAsia="fr-FR" w:bidi="ar-SA"/>
              </w:rPr>
              <w:t>EPC et sous-traitants</w:t>
            </w:r>
          </w:p>
        </w:tc>
        <w:tc>
          <w:tcPr>
            <w:tcW w:w="1452" w:type="dxa"/>
          </w:tcPr>
          <w:p w14:paraId="62ACC2E2" w14:textId="0412919D" w:rsidR="00C40C47" w:rsidRPr="00AA22F2" w:rsidRDefault="00C40C47" w:rsidP="00C40C47">
            <w:pPr>
              <w:cnfStyle w:val="000000000000" w:firstRow="0" w:lastRow="0" w:firstColumn="0" w:lastColumn="0" w:oddVBand="0" w:evenVBand="0" w:oddHBand="0" w:evenHBand="0" w:firstRowFirstColumn="0" w:firstRowLastColumn="0" w:lastRowFirstColumn="0" w:lastRowLastColumn="0"/>
              <w:rPr>
                <w:szCs w:val="20"/>
                <w:lang w:eastAsia="fr-FR" w:bidi="ar-SA"/>
              </w:rPr>
            </w:pPr>
            <w:r w:rsidRPr="00BC1745">
              <w:rPr>
                <w:szCs w:val="20"/>
              </w:rPr>
              <w:t>Bureau de contrôle / Consultant de supervision mandaté par l’ONDA</w:t>
            </w:r>
          </w:p>
        </w:tc>
        <w:tc>
          <w:tcPr>
            <w:tcW w:w="717" w:type="dxa"/>
          </w:tcPr>
          <w:p w14:paraId="18BD48F2" w14:textId="35BDBA20" w:rsidR="00C40C47" w:rsidRPr="00AA22F2" w:rsidRDefault="00C40C47" w:rsidP="00C40C47">
            <w:pPr>
              <w:cnfStyle w:val="000000000000" w:firstRow="0" w:lastRow="0" w:firstColumn="0" w:lastColumn="0" w:oddVBand="0" w:evenVBand="0" w:oddHBand="0" w:evenHBand="0" w:firstRowFirstColumn="0" w:firstRowLastColumn="0" w:lastRowFirstColumn="0" w:lastRowLastColumn="0"/>
              <w:rPr>
                <w:szCs w:val="20"/>
                <w:lang w:eastAsia="fr-FR" w:bidi="ar-SA"/>
              </w:rPr>
            </w:pPr>
            <w:r>
              <w:rPr>
                <w:rFonts w:asciiTheme="minorHAnsi" w:hAnsiTheme="minorHAnsi" w:cstheme="minorHAnsi"/>
                <w:szCs w:val="20"/>
                <w:lang w:eastAsia="zh-CN"/>
              </w:rPr>
              <w:t>ONDA</w:t>
            </w:r>
          </w:p>
        </w:tc>
        <w:tc>
          <w:tcPr>
            <w:tcW w:w="1409" w:type="dxa"/>
          </w:tcPr>
          <w:p w14:paraId="30A43485" w14:textId="05EBF436" w:rsidR="00C40C47" w:rsidRPr="00AA22F2" w:rsidRDefault="00C40C47" w:rsidP="00C40C47">
            <w:pPr>
              <w:cnfStyle w:val="000000000000" w:firstRow="0" w:lastRow="0" w:firstColumn="0" w:lastColumn="0" w:oddVBand="0" w:evenVBand="0" w:oddHBand="0" w:evenHBand="0" w:firstRowFirstColumn="0" w:firstRowLastColumn="0" w:lastRowFirstColumn="0" w:lastRowLastColumn="0"/>
              <w:rPr>
                <w:szCs w:val="20"/>
                <w:lang w:eastAsia="fr-FR" w:bidi="ar-SA"/>
              </w:rPr>
            </w:pPr>
            <w:r w:rsidRPr="00AA22F2">
              <w:rPr>
                <w:szCs w:val="20"/>
                <w:lang w:eastAsia="fr-FR" w:bidi="ar-SA"/>
              </w:rPr>
              <w:t>Durant la phase de transport</w:t>
            </w:r>
          </w:p>
        </w:tc>
        <w:tc>
          <w:tcPr>
            <w:tcW w:w="2874" w:type="dxa"/>
          </w:tcPr>
          <w:p w14:paraId="58A2D3C3" w14:textId="3E356D85" w:rsidR="00C40C47" w:rsidRDefault="004D4331" w:rsidP="00C40C47">
            <w:pPr>
              <w:cnfStyle w:val="000000000000" w:firstRow="0" w:lastRow="0" w:firstColumn="0" w:lastColumn="0" w:oddVBand="0" w:evenVBand="0" w:oddHBand="0" w:evenHBand="0" w:firstRowFirstColumn="0" w:firstRowLastColumn="0" w:lastRowFirstColumn="0" w:lastRowLastColumn="0"/>
              <w:rPr>
                <w:szCs w:val="20"/>
                <w:lang w:eastAsia="fr-FR" w:bidi="ar-SA"/>
              </w:rPr>
            </w:pPr>
            <w:r w:rsidRPr="004D4331">
              <w:rPr>
                <w:szCs w:val="20"/>
                <w:lang w:eastAsia="fr-FR" w:bidi="ar-SA"/>
              </w:rPr>
              <w:t>15 000 – 25 000 /lot</w:t>
            </w:r>
            <w:r>
              <w:rPr>
                <w:szCs w:val="20"/>
                <w:lang w:eastAsia="fr-FR" w:bidi="ar-SA"/>
              </w:rPr>
              <w:t xml:space="preserve"> (</w:t>
            </w:r>
            <w:r w:rsidRPr="004D4331">
              <w:rPr>
                <w:szCs w:val="20"/>
                <w:lang w:eastAsia="fr-FR" w:bidi="ar-SA"/>
              </w:rPr>
              <w:t>Fourniture et pose pour la durée du chantier : panneaux A15, AK5, cônes et balises lumineuses</w:t>
            </w:r>
            <w:r>
              <w:rPr>
                <w:szCs w:val="20"/>
                <w:lang w:eastAsia="fr-FR" w:bidi="ar-SA"/>
              </w:rPr>
              <w:t>)</w:t>
            </w:r>
          </w:p>
          <w:p w14:paraId="7C05BDC7" w14:textId="77777777" w:rsidR="0008091E" w:rsidRDefault="0008091E" w:rsidP="00C40C47">
            <w:pPr>
              <w:cnfStyle w:val="000000000000" w:firstRow="0" w:lastRow="0" w:firstColumn="0" w:lastColumn="0" w:oddVBand="0" w:evenVBand="0" w:oddHBand="0" w:evenHBand="0" w:firstRowFirstColumn="0" w:firstRowLastColumn="0" w:lastRowFirstColumn="0" w:lastRowLastColumn="0"/>
              <w:rPr>
                <w:szCs w:val="20"/>
                <w:lang w:eastAsia="fr-FR" w:bidi="ar-SA"/>
              </w:rPr>
            </w:pPr>
          </w:p>
          <w:p w14:paraId="267FAC88" w14:textId="793E8E73" w:rsidR="0008091E" w:rsidRPr="00AA22F2" w:rsidRDefault="0008091E" w:rsidP="00C40C47">
            <w:pPr>
              <w:cnfStyle w:val="000000000000" w:firstRow="0" w:lastRow="0" w:firstColumn="0" w:lastColumn="0" w:oddVBand="0" w:evenVBand="0" w:oddHBand="0" w:evenHBand="0" w:firstRowFirstColumn="0" w:firstRowLastColumn="0" w:lastRowFirstColumn="0" w:lastRowLastColumn="0"/>
              <w:rPr>
                <w:szCs w:val="20"/>
                <w:lang w:eastAsia="fr-FR" w:bidi="ar-SA"/>
              </w:rPr>
            </w:pPr>
            <w:r>
              <w:rPr>
                <w:szCs w:val="20"/>
                <w:lang w:eastAsia="fr-FR" w:bidi="ar-SA"/>
              </w:rPr>
              <w:t xml:space="preserve">Formation par le responsable HSSE du chantier </w:t>
            </w:r>
          </w:p>
        </w:tc>
      </w:tr>
      <w:tr w:rsidR="005F7967" w:rsidRPr="00A86EC3" w14:paraId="3229729F" w14:textId="77777777" w:rsidTr="00D60FC9">
        <w:tc>
          <w:tcPr>
            <w:cnfStyle w:val="001000000000" w:firstRow="0" w:lastRow="0" w:firstColumn="1" w:lastColumn="0" w:oddVBand="0" w:evenVBand="0" w:oddHBand="0" w:evenHBand="0" w:firstRowFirstColumn="0" w:firstRowLastColumn="0" w:lastRowFirstColumn="0" w:lastRowLastColumn="0"/>
            <w:tcW w:w="1426" w:type="dxa"/>
            <w:vMerge/>
          </w:tcPr>
          <w:p w14:paraId="336451BC" w14:textId="77777777" w:rsidR="00C40C47" w:rsidRPr="00AA22F2" w:rsidRDefault="00C40C47" w:rsidP="00C40C47">
            <w:pPr>
              <w:rPr>
                <w:szCs w:val="20"/>
                <w:lang w:eastAsia="fr-FR" w:bidi="ar-SA"/>
              </w:rPr>
            </w:pPr>
          </w:p>
        </w:tc>
        <w:tc>
          <w:tcPr>
            <w:tcW w:w="1263" w:type="dxa"/>
          </w:tcPr>
          <w:p w14:paraId="2AA06966" w14:textId="6ECA6A82" w:rsidR="00C40C47" w:rsidRPr="00AA22F2" w:rsidRDefault="00C40C47" w:rsidP="00C40C47">
            <w:pPr>
              <w:cnfStyle w:val="000000000000" w:firstRow="0" w:lastRow="0" w:firstColumn="0" w:lastColumn="0" w:oddVBand="0" w:evenVBand="0" w:oddHBand="0" w:evenHBand="0" w:firstRowFirstColumn="0" w:firstRowLastColumn="0" w:lastRowFirstColumn="0" w:lastRowLastColumn="0"/>
              <w:rPr>
                <w:b/>
                <w:bCs/>
                <w:szCs w:val="20"/>
                <w:lang w:eastAsia="fr-FR" w:bidi="ar-SA"/>
              </w:rPr>
            </w:pPr>
            <w:r w:rsidRPr="00AA22F2">
              <w:rPr>
                <w:b/>
                <w:bCs/>
                <w:szCs w:val="20"/>
                <w:lang w:eastAsia="fr-FR" w:bidi="ar-SA"/>
              </w:rPr>
              <w:t>Compenser</w:t>
            </w:r>
          </w:p>
        </w:tc>
        <w:tc>
          <w:tcPr>
            <w:tcW w:w="2339" w:type="dxa"/>
          </w:tcPr>
          <w:p w14:paraId="66F82832" w14:textId="3F415BFD" w:rsidR="00C40C47" w:rsidRPr="00AA22F2" w:rsidRDefault="00C40C47" w:rsidP="00C40C47">
            <w:pPr>
              <w:cnfStyle w:val="000000000000" w:firstRow="0" w:lastRow="0" w:firstColumn="0" w:lastColumn="0" w:oddVBand="0" w:evenVBand="0" w:oddHBand="0" w:evenHBand="0" w:firstRowFirstColumn="0" w:firstRowLastColumn="0" w:lastRowFirstColumn="0" w:lastRowLastColumn="0"/>
              <w:rPr>
                <w:szCs w:val="20"/>
                <w:lang w:eastAsia="fr-FR" w:bidi="ar-SA"/>
              </w:rPr>
            </w:pPr>
            <w:r w:rsidRPr="004637C7">
              <w:rPr>
                <w:szCs w:val="20"/>
                <w:lang w:eastAsia="fr-FR" w:bidi="ar-SA"/>
              </w:rPr>
              <w:t>Réparer les accotements ou sections endommagées</w:t>
            </w:r>
            <w:r w:rsidRPr="00AA22F2">
              <w:rPr>
                <w:szCs w:val="20"/>
                <w:lang w:eastAsia="fr-FR" w:bidi="ar-SA"/>
              </w:rPr>
              <w:t xml:space="preserve"> de la </w:t>
            </w:r>
            <w:r w:rsidR="001D422B">
              <w:rPr>
                <w:szCs w:val="20"/>
                <w:lang w:eastAsia="fr-FR" w:bidi="ar-SA"/>
              </w:rPr>
              <w:t>RR212</w:t>
            </w:r>
            <w:r w:rsidRPr="00AA22F2">
              <w:rPr>
                <w:szCs w:val="20"/>
                <w:lang w:eastAsia="fr-FR" w:bidi="ar-SA"/>
              </w:rPr>
              <w:t xml:space="preserve"> après travaux et remettre en état la signalisation.</w:t>
            </w:r>
          </w:p>
        </w:tc>
        <w:tc>
          <w:tcPr>
            <w:tcW w:w="1696" w:type="dxa"/>
          </w:tcPr>
          <w:p w14:paraId="592B0491" w14:textId="475BE4BF" w:rsidR="00C40C47" w:rsidRPr="00AA22F2" w:rsidRDefault="00C40C47" w:rsidP="00C40C47">
            <w:pPr>
              <w:cnfStyle w:val="000000000000" w:firstRow="0" w:lastRow="0" w:firstColumn="0" w:lastColumn="0" w:oddVBand="0" w:evenVBand="0" w:oddHBand="0" w:evenHBand="0" w:firstRowFirstColumn="0" w:firstRowLastColumn="0" w:lastRowFirstColumn="0" w:lastRowLastColumn="0"/>
              <w:rPr>
                <w:szCs w:val="20"/>
                <w:lang w:eastAsia="fr-FR" w:bidi="ar-SA"/>
              </w:rPr>
            </w:pPr>
            <w:r w:rsidRPr="00AA22F2">
              <w:rPr>
                <w:szCs w:val="20"/>
                <w:lang w:eastAsia="fr-FR" w:bidi="ar-SA"/>
              </w:rPr>
              <w:t>100 % des tronçons remis en état avant réception.</w:t>
            </w:r>
          </w:p>
        </w:tc>
        <w:tc>
          <w:tcPr>
            <w:tcW w:w="958" w:type="dxa"/>
          </w:tcPr>
          <w:p w14:paraId="625B18EC" w14:textId="6CDCF166" w:rsidR="00C40C47" w:rsidRPr="00AA22F2" w:rsidRDefault="00C40C47" w:rsidP="00C40C47">
            <w:pPr>
              <w:cnfStyle w:val="000000000000" w:firstRow="0" w:lastRow="0" w:firstColumn="0" w:lastColumn="0" w:oddVBand="0" w:evenVBand="0" w:oddHBand="0" w:evenHBand="0" w:firstRowFirstColumn="0" w:firstRowLastColumn="0" w:lastRowFirstColumn="0" w:lastRowLastColumn="0"/>
              <w:rPr>
                <w:szCs w:val="20"/>
                <w:lang w:eastAsia="fr-FR" w:bidi="ar-SA"/>
              </w:rPr>
            </w:pPr>
            <w:r w:rsidRPr="004637C7">
              <w:rPr>
                <w:rFonts w:asciiTheme="minorHAnsi" w:hAnsiTheme="minorHAnsi" w:cstheme="minorHAnsi"/>
                <w:szCs w:val="20"/>
                <w:lang w:eastAsia="fr-FR" w:bidi="ar-SA"/>
              </w:rPr>
              <w:t>EPC et sous-traitants</w:t>
            </w:r>
          </w:p>
        </w:tc>
        <w:tc>
          <w:tcPr>
            <w:tcW w:w="1452" w:type="dxa"/>
          </w:tcPr>
          <w:p w14:paraId="5BD8054D" w14:textId="0CF2BB3A" w:rsidR="00C40C47" w:rsidRPr="00AA22F2" w:rsidRDefault="00C40C47" w:rsidP="00C40C47">
            <w:pPr>
              <w:cnfStyle w:val="000000000000" w:firstRow="0" w:lastRow="0" w:firstColumn="0" w:lastColumn="0" w:oddVBand="0" w:evenVBand="0" w:oddHBand="0" w:evenHBand="0" w:firstRowFirstColumn="0" w:firstRowLastColumn="0" w:lastRowFirstColumn="0" w:lastRowLastColumn="0"/>
              <w:rPr>
                <w:szCs w:val="20"/>
                <w:lang w:eastAsia="fr-FR" w:bidi="ar-SA"/>
              </w:rPr>
            </w:pPr>
            <w:r w:rsidRPr="00BC1745">
              <w:rPr>
                <w:szCs w:val="20"/>
              </w:rPr>
              <w:t>Bureau de contrôle / Consultant de supervision mandaté par l’ONDA</w:t>
            </w:r>
          </w:p>
        </w:tc>
        <w:tc>
          <w:tcPr>
            <w:tcW w:w="717" w:type="dxa"/>
          </w:tcPr>
          <w:p w14:paraId="09504693" w14:textId="159FCC53" w:rsidR="00C40C47" w:rsidRPr="00AA22F2" w:rsidRDefault="00C40C47" w:rsidP="00C40C47">
            <w:pPr>
              <w:cnfStyle w:val="000000000000" w:firstRow="0" w:lastRow="0" w:firstColumn="0" w:lastColumn="0" w:oddVBand="0" w:evenVBand="0" w:oddHBand="0" w:evenHBand="0" w:firstRowFirstColumn="0" w:firstRowLastColumn="0" w:lastRowFirstColumn="0" w:lastRowLastColumn="0"/>
              <w:rPr>
                <w:szCs w:val="20"/>
                <w:lang w:eastAsia="fr-FR" w:bidi="ar-SA"/>
              </w:rPr>
            </w:pPr>
            <w:r>
              <w:rPr>
                <w:rFonts w:asciiTheme="minorHAnsi" w:hAnsiTheme="minorHAnsi" w:cstheme="minorHAnsi"/>
                <w:szCs w:val="20"/>
                <w:lang w:eastAsia="zh-CN"/>
              </w:rPr>
              <w:t>ONDA</w:t>
            </w:r>
          </w:p>
        </w:tc>
        <w:tc>
          <w:tcPr>
            <w:tcW w:w="1409" w:type="dxa"/>
          </w:tcPr>
          <w:p w14:paraId="67B02295" w14:textId="5A272884" w:rsidR="00C40C47" w:rsidRPr="00AA22F2" w:rsidRDefault="00C40C47" w:rsidP="00C40C47">
            <w:pPr>
              <w:cnfStyle w:val="000000000000" w:firstRow="0" w:lastRow="0" w:firstColumn="0" w:lastColumn="0" w:oddVBand="0" w:evenVBand="0" w:oddHBand="0" w:evenHBand="0" w:firstRowFirstColumn="0" w:firstRowLastColumn="0" w:lastRowFirstColumn="0" w:lastRowLastColumn="0"/>
              <w:rPr>
                <w:szCs w:val="20"/>
                <w:lang w:eastAsia="fr-FR" w:bidi="ar-SA"/>
              </w:rPr>
            </w:pPr>
            <w:r w:rsidRPr="00AA22F2">
              <w:rPr>
                <w:szCs w:val="20"/>
                <w:lang w:eastAsia="fr-FR" w:bidi="ar-SA"/>
              </w:rPr>
              <w:t>Fin du chantier</w:t>
            </w:r>
          </w:p>
        </w:tc>
        <w:tc>
          <w:tcPr>
            <w:tcW w:w="2874" w:type="dxa"/>
          </w:tcPr>
          <w:p w14:paraId="6B2B9C45" w14:textId="22B764E7" w:rsidR="00C40C47" w:rsidRPr="00AA22F2" w:rsidRDefault="0008091E" w:rsidP="00C40C47">
            <w:pPr>
              <w:cnfStyle w:val="000000000000" w:firstRow="0" w:lastRow="0" w:firstColumn="0" w:lastColumn="0" w:oddVBand="0" w:evenVBand="0" w:oddHBand="0" w:evenHBand="0" w:firstRowFirstColumn="0" w:firstRowLastColumn="0" w:lastRowFirstColumn="0" w:lastRowLastColumn="0"/>
              <w:rPr>
                <w:szCs w:val="20"/>
                <w:lang w:eastAsia="fr-FR" w:bidi="ar-SA"/>
              </w:rPr>
            </w:pPr>
            <w:r w:rsidRPr="0008091E">
              <w:rPr>
                <w:szCs w:val="20"/>
                <w:lang w:eastAsia="fr-FR" w:bidi="ar-SA"/>
              </w:rPr>
              <w:t xml:space="preserve">400 – 600 </w:t>
            </w:r>
            <w:r>
              <w:rPr>
                <w:szCs w:val="20"/>
                <w:lang w:eastAsia="fr-FR" w:bidi="ar-SA"/>
              </w:rPr>
              <w:t>MAD</w:t>
            </w:r>
            <w:r w:rsidRPr="0008091E">
              <w:rPr>
                <w:szCs w:val="20"/>
                <w:lang w:eastAsia="fr-FR" w:bidi="ar-SA"/>
              </w:rPr>
              <w:t>/m²</w:t>
            </w:r>
            <w:r>
              <w:rPr>
                <w:szCs w:val="20"/>
                <w:lang w:eastAsia="fr-FR" w:bidi="ar-SA"/>
              </w:rPr>
              <w:t xml:space="preserve"> (</w:t>
            </w:r>
            <w:r w:rsidRPr="0008091E">
              <w:rPr>
                <w:szCs w:val="20"/>
                <w:lang w:eastAsia="fr-FR" w:bidi="ar-SA"/>
              </w:rPr>
              <w:t>Reprofilage accotement, peinture signalétique, marquage au sol</w:t>
            </w:r>
            <w:r>
              <w:rPr>
                <w:szCs w:val="20"/>
                <w:lang w:eastAsia="fr-FR" w:bidi="ar-SA"/>
              </w:rPr>
              <w:t>)</w:t>
            </w:r>
          </w:p>
        </w:tc>
      </w:tr>
    </w:tbl>
    <w:p w14:paraId="28F5833A" w14:textId="77777777" w:rsidR="008730B4" w:rsidRPr="004036B7" w:rsidRDefault="008730B4" w:rsidP="004637C7"/>
    <w:p w14:paraId="4B89222B" w14:textId="77777777" w:rsidR="008F5918" w:rsidRDefault="008F5918" w:rsidP="00A2719C">
      <w:pPr>
        <w:pStyle w:val="Style4"/>
        <w:spacing w:before="120" w:after="120"/>
        <w:sectPr w:rsidR="008F5918" w:rsidSect="004637C7">
          <w:pgSz w:w="16838" w:h="11906" w:orient="landscape"/>
          <w:pgMar w:top="1418" w:right="1418" w:bottom="1418" w:left="1276" w:header="680" w:footer="680" w:gutter="0"/>
          <w:cols w:space="708"/>
          <w:docGrid w:linePitch="360"/>
        </w:sectPr>
      </w:pPr>
    </w:p>
    <w:p w14:paraId="1460C0C9" w14:textId="513DEE69" w:rsidR="00A2719C" w:rsidRPr="00496DA1" w:rsidRDefault="00A2719C" w:rsidP="004637C7">
      <w:pPr>
        <w:pStyle w:val="Title5"/>
      </w:pPr>
      <w:r w:rsidRPr="00496DA1">
        <w:lastRenderedPageBreak/>
        <w:t xml:space="preserve">Évaluation </w:t>
      </w:r>
      <w:r w:rsidR="004D30F8">
        <w:t>des impacts résiduels</w:t>
      </w:r>
    </w:p>
    <w:p w14:paraId="37165809" w14:textId="77777777" w:rsidR="009977DF" w:rsidRPr="004637C7" w:rsidRDefault="009977DF" w:rsidP="0001633E">
      <w:pPr>
        <w:pStyle w:val="AltTitle2"/>
        <w:numPr>
          <w:ilvl w:val="0"/>
          <w:numId w:val="106"/>
        </w:numPr>
      </w:pPr>
      <w:r w:rsidRPr="004637C7">
        <w:t>Saturation et congestion du trafic</w:t>
      </w:r>
    </w:p>
    <w:p w14:paraId="23502889" w14:textId="0F292B3E" w:rsidR="009977DF" w:rsidRPr="004036B7" w:rsidRDefault="009977DF" w:rsidP="004637C7">
      <w:r w:rsidRPr="004637C7">
        <w:rPr>
          <w:lang w:val="fr-MA"/>
        </w:rPr>
        <w:t xml:space="preserve">Les mesures de gestion prévues permettent de maîtriser la circulation autour du site et d’éviter toute interférence avec la </w:t>
      </w:r>
      <w:r w:rsidR="001D422B">
        <w:rPr>
          <w:lang w:val="fr-MA"/>
        </w:rPr>
        <w:t>RR212</w:t>
      </w:r>
      <w:r w:rsidRPr="004637C7">
        <w:rPr>
          <w:lang w:val="fr-MA"/>
        </w:rPr>
        <w:t>.</w:t>
      </w:r>
    </w:p>
    <w:p w14:paraId="0B45C0DC" w14:textId="77777777" w:rsidR="009977DF" w:rsidRPr="00477A0A" w:rsidRDefault="009977DF" w:rsidP="009977DF">
      <w:pPr>
        <w:rPr>
          <w:lang w:val="fr-MA"/>
        </w:rPr>
      </w:pPr>
      <w:r w:rsidRPr="004637C7">
        <w:rPr>
          <w:lang w:val="fr-MA"/>
        </w:rPr>
        <w:t xml:space="preserve">Grâce à ces dispositifs, la fréquence et la durée des ralentissements ponctuels seront limitées. L’impact, initialement </w:t>
      </w:r>
      <w:r w:rsidRPr="00477A0A">
        <w:rPr>
          <w:lang w:val="fr-MA"/>
        </w:rPr>
        <w:t>moyen</w:t>
      </w:r>
      <w:r w:rsidRPr="004637C7">
        <w:rPr>
          <w:lang w:val="fr-MA"/>
        </w:rPr>
        <w:t>, devient faible, localisé et temporaire.</w:t>
      </w:r>
    </w:p>
    <w:p w14:paraId="6F3C2F74" w14:textId="170AEF67" w:rsidR="009977DF" w:rsidRPr="004036B7" w:rsidRDefault="009977DF" w:rsidP="004637C7">
      <w:r w:rsidRPr="004637C7">
        <w:rPr>
          <w:lang w:val="fr-MA"/>
        </w:rPr>
        <w:t>L’intensité résiduelle est donc faible, la sensibilité des usagers moyenne, et l’importance de l’impact mineure.</w:t>
      </w:r>
    </w:p>
    <w:p w14:paraId="0BCE1BC5" w14:textId="77777777" w:rsidR="009378F4" w:rsidRPr="004637C7" w:rsidRDefault="009378F4" w:rsidP="0001633E">
      <w:pPr>
        <w:pStyle w:val="AltTitle2"/>
        <w:numPr>
          <w:ilvl w:val="0"/>
          <w:numId w:val="106"/>
        </w:numPr>
      </w:pPr>
      <w:r w:rsidRPr="004637C7">
        <w:t>Dégradation du revêtement routier</w:t>
      </w:r>
    </w:p>
    <w:p w14:paraId="63577848" w14:textId="2953A8A0" w:rsidR="009378F4" w:rsidRDefault="009378F4" w:rsidP="009378F4">
      <w:pPr>
        <w:rPr>
          <w:lang w:eastAsia="fr-FR" w:bidi="ar-SA"/>
        </w:rPr>
      </w:pPr>
      <w:r w:rsidRPr="009378F4">
        <w:rPr>
          <w:lang w:eastAsia="fr-FR" w:bidi="ar-SA"/>
        </w:rPr>
        <w:t xml:space="preserve">Les actions de prévention </w:t>
      </w:r>
      <w:r w:rsidR="00477A0A">
        <w:rPr>
          <w:lang w:eastAsia="fr-FR" w:bidi="ar-SA"/>
        </w:rPr>
        <w:t>(</w:t>
      </w:r>
      <w:r w:rsidRPr="009378F4">
        <w:rPr>
          <w:lang w:eastAsia="fr-FR" w:bidi="ar-SA"/>
        </w:rPr>
        <w:t>limitation du passage d’engins lourds, contrôle du tonnage, entretien régulier des tronçons empruntés et remise en état en fin de chantier</w:t>
      </w:r>
      <w:r w:rsidR="00477A0A">
        <w:rPr>
          <w:lang w:eastAsia="fr-FR" w:bidi="ar-SA"/>
        </w:rPr>
        <w:t>)</w:t>
      </w:r>
      <w:r w:rsidRPr="009378F4">
        <w:rPr>
          <w:lang w:eastAsia="fr-FR" w:bidi="ar-SA"/>
        </w:rPr>
        <w:t xml:space="preserve"> garantissent la réduction des effets physiques sur la chaussée.</w:t>
      </w:r>
    </w:p>
    <w:p w14:paraId="1169F291" w14:textId="77777777" w:rsidR="009378F4" w:rsidRDefault="009378F4" w:rsidP="009378F4">
      <w:pPr>
        <w:rPr>
          <w:lang w:eastAsia="fr-FR" w:bidi="ar-SA"/>
        </w:rPr>
      </w:pPr>
      <w:r w:rsidRPr="009378F4">
        <w:rPr>
          <w:lang w:eastAsia="fr-FR" w:bidi="ar-SA"/>
        </w:rPr>
        <w:t>Les impacts résiduels se limitent à une usure légère et localisée, sans dégradation structurelle durable.</w:t>
      </w:r>
    </w:p>
    <w:p w14:paraId="17D27B39" w14:textId="1B4F6E9C" w:rsidR="009378F4" w:rsidRPr="004637C7" w:rsidRDefault="009378F4" w:rsidP="004637C7">
      <w:pPr>
        <w:rPr>
          <w:lang w:val="fr-MA"/>
        </w:rPr>
      </w:pPr>
      <w:r w:rsidRPr="009378F4">
        <w:rPr>
          <w:lang w:eastAsia="fr-FR" w:bidi="ar-SA"/>
        </w:rPr>
        <w:t xml:space="preserve">Ainsi, l’intensité après mesures est faible, la sensibilité moyenne à </w:t>
      </w:r>
      <w:r w:rsidR="00477A0A">
        <w:rPr>
          <w:lang w:eastAsia="fr-FR" w:bidi="ar-SA"/>
        </w:rPr>
        <w:t>forte</w:t>
      </w:r>
      <w:r w:rsidRPr="009378F4">
        <w:rPr>
          <w:lang w:eastAsia="fr-FR" w:bidi="ar-SA"/>
        </w:rPr>
        <w:t xml:space="preserve">, et l’importance </w:t>
      </w:r>
      <w:r w:rsidR="00477A0A" w:rsidRPr="004637C7">
        <w:rPr>
          <w:lang w:eastAsia="fr-FR" w:bidi="ar-SA"/>
        </w:rPr>
        <w:t xml:space="preserve">mineure </w:t>
      </w:r>
      <w:r w:rsidRPr="004637C7">
        <w:rPr>
          <w:lang w:eastAsia="fr-FR" w:bidi="ar-SA"/>
        </w:rPr>
        <w:t>à modérée, considérée comme acceptable car entièrement réversible après réfection.</w:t>
      </w:r>
    </w:p>
    <w:p w14:paraId="41D2FF90" w14:textId="749FA34D" w:rsidR="009977DF" w:rsidRDefault="00477A0A" w:rsidP="0001633E">
      <w:pPr>
        <w:pStyle w:val="AltTitle2"/>
        <w:numPr>
          <w:ilvl w:val="0"/>
          <w:numId w:val="106"/>
        </w:numPr>
      </w:pPr>
      <w:r w:rsidRPr="00477A0A">
        <w:t>Risque d’accident routier</w:t>
      </w:r>
    </w:p>
    <w:p w14:paraId="12D2DC9C" w14:textId="77777777" w:rsidR="002577BA" w:rsidRDefault="002577BA" w:rsidP="00477A0A">
      <w:r w:rsidRPr="002577BA">
        <w:t>La mise en place d’un point d’accès unique, la signalisation temporaire, la limitation de vitesse (≤ 30 km/h sur chantier et ≤ 40 km/h sur voies d’accès), et la formation du personnel permettent de réduire fortement la probabilité d’incident.</w:t>
      </w:r>
    </w:p>
    <w:p w14:paraId="47A13706" w14:textId="77777777" w:rsidR="002577BA" w:rsidRDefault="002577BA" w:rsidP="00477A0A">
      <w:r w:rsidRPr="002577BA">
        <w:t xml:space="preserve">Ce risque, initialement modéré, est désormais </w:t>
      </w:r>
      <w:r w:rsidRPr="004637C7">
        <w:t>faible</w:t>
      </w:r>
      <w:r w:rsidRPr="002577BA">
        <w:t xml:space="preserve">, compte tenu d’une probabilité occasionnelle et d’une gravité </w:t>
      </w:r>
      <w:r>
        <w:t>mineure</w:t>
      </w:r>
      <w:r w:rsidRPr="002577BA">
        <w:t>.</w:t>
      </w:r>
    </w:p>
    <w:p w14:paraId="5ED09797" w14:textId="4FF00F81" w:rsidR="00A2719C" w:rsidRPr="00496DA1" w:rsidRDefault="002577BA" w:rsidP="00A2719C">
      <w:r w:rsidRPr="002577BA">
        <w:t>Les mesures correctives assurent un contrôle continu, ramenant le risque à un niveau acceptable et conforme aux standards de sécurité routière en vigueur.</w:t>
      </w:r>
    </w:p>
    <w:p w14:paraId="03545B05" w14:textId="77777777" w:rsidR="00A2719C" w:rsidRDefault="00A2719C" w:rsidP="00A2719C">
      <w:pPr>
        <w:pStyle w:val="Title4"/>
      </w:pPr>
      <w:r w:rsidRPr="00C273E7">
        <w:t>Phase exploitation</w:t>
      </w:r>
    </w:p>
    <w:p w14:paraId="7F79D3A7" w14:textId="2A83B46C" w:rsidR="00C367D4" w:rsidRDefault="00C367D4" w:rsidP="008106BC">
      <w:pPr>
        <w:pStyle w:val="Title5"/>
      </w:pPr>
      <w:r>
        <w:t>Identification et évaluation des impacts et risques</w:t>
      </w:r>
    </w:p>
    <w:p w14:paraId="711E170B" w14:textId="77777777" w:rsidR="005F5FF1" w:rsidRDefault="005F5FF1" w:rsidP="0001633E">
      <w:pPr>
        <w:pStyle w:val="AltTitle2"/>
        <w:numPr>
          <w:ilvl w:val="0"/>
          <w:numId w:val="106"/>
        </w:numPr>
      </w:pPr>
      <w:r>
        <w:t>Saturation et congestion du trafic</w:t>
      </w:r>
    </w:p>
    <w:p w14:paraId="7B11A301" w14:textId="08AA2A3F" w:rsidR="00C367D4" w:rsidRPr="00FE09F4" w:rsidRDefault="00BB0386" w:rsidP="00C367D4">
      <w:r w:rsidRPr="00BB0386">
        <w:t xml:space="preserve">En phase d’exploitation, l’extension du parking avions permettra d’augmenter la capacité de </w:t>
      </w:r>
      <w:r w:rsidRPr="00FE09F4">
        <w:t>stationnement des aéronefs et d’optimiser la rotation des vols. Cette évolution pourrait entraîner une hausse du nombre de passagers, de véhicules de service et de transport terrestre (taxis, navettes, véhicules privés du personnel et des visiteurs). En l’absence de données prévisionnelles sur le trafic généré par le projet, l’évaluation repose sur une analyse qualitative fondée sur la capacité du réseau routier existant et les caractéristiques actuelles de fréquentation.</w:t>
      </w:r>
    </w:p>
    <w:p w14:paraId="0E5595AE" w14:textId="19E352B7" w:rsidR="00BB0386" w:rsidRPr="00FE09F4" w:rsidRDefault="00BB0386" w:rsidP="00BB0386">
      <w:r w:rsidRPr="00FE09F4">
        <w:t xml:space="preserve">L’impact est de </w:t>
      </w:r>
      <w:r w:rsidRPr="004637C7">
        <w:t>nature négative et directe</w:t>
      </w:r>
      <w:r w:rsidRPr="00FE09F4">
        <w:t xml:space="preserve">, puisqu’il découle d’une augmentation potentielle des flux routiers liés à l’activité aéroportuaire. Son </w:t>
      </w:r>
      <w:r w:rsidRPr="004637C7">
        <w:t>étendue</w:t>
      </w:r>
      <w:r w:rsidRPr="00FE09F4">
        <w:t xml:space="preserve"> est </w:t>
      </w:r>
      <w:r w:rsidRPr="004637C7">
        <w:t>locale</w:t>
      </w:r>
      <w:r w:rsidRPr="00FE09F4">
        <w:t xml:space="preserve">, limitée à la bretelle d’accès à la plateforme et à la portion de la </w:t>
      </w:r>
      <w:r w:rsidR="001D422B">
        <w:t>RR212</w:t>
      </w:r>
      <w:r w:rsidRPr="00FE09F4">
        <w:t xml:space="preserve"> </w:t>
      </w:r>
      <w:r w:rsidR="001D422B">
        <w:t>à</w:t>
      </w:r>
      <w:r w:rsidRPr="00FE09F4">
        <w:t xml:space="preserve"> l’entrée de l’aéroport. La </w:t>
      </w:r>
      <w:r w:rsidRPr="004637C7">
        <w:t>durée</w:t>
      </w:r>
      <w:r w:rsidRPr="00FE09F4">
        <w:t xml:space="preserve"> de l’impact est </w:t>
      </w:r>
      <w:r w:rsidRPr="004637C7">
        <w:t>permanente</w:t>
      </w:r>
      <w:r w:rsidRPr="00FE09F4">
        <w:t xml:space="preserve">, liée au fonctionnement continu des activités aéroportuaires, tandis que sa </w:t>
      </w:r>
      <w:r w:rsidRPr="004637C7">
        <w:t>fréquence</w:t>
      </w:r>
      <w:r w:rsidRPr="00FE09F4">
        <w:t xml:space="preserve"> est </w:t>
      </w:r>
      <w:r w:rsidRPr="004637C7">
        <w:t>quotidienne</w:t>
      </w:r>
      <w:r w:rsidRPr="00FE09F4">
        <w:t>, avec des pics marqués lors des arrivées et départs groupés de vols.</w:t>
      </w:r>
    </w:p>
    <w:p w14:paraId="045BFE78" w14:textId="1275E4F8" w:rsidR="00BB0386" w:rsidRPr="00FE09F4" w:rsidRDefault="00BB0386" w:rsidP="001D422B">
      <w:r w:rsidRPr="00FE09F4">
        <w:lastRenderedPageBreak/>
        <w:t>L’</w:t>
      </w:r>
      <w:r w:rsidRPr="004637C7">
        <w:t>intensité</w:t>
      </w:r>
      <w:r w:rsidRPr="00FE09F4">
        <w:t xml:space="preserve"> de l’impact est estimée </w:t>
      </w:r>
      <w:r w:rsidRPr="004637C7">
        <w:t>moyenne</w:t>
      </w:r>
      <w:r w:rsidRPr="00FE09F4">
        <w:t xml:space="preserve">, compte tenu du risque de surcharge ponctuelle sur la bretelle d’accès et aux abords immédiats du terminal, notamment en cas de chevauchement entre les flux de passagers, de taxis et de véhicules logistiques. </w:t>
      </w:r>
    </w:p>
    <w:p w14:paraId="64EA2FF2" w14:textId="3E388D29" w:rsidR="00BB0386" w:rsidRDefault="00BB0386" w:rsidP="00C367D4">
      <w:r w:rsidRPr="00FE09F4">
        <w:t>Les récepteurs sensibles incluent les usagers de la voie d’accès à l’aéroport (passagers, transporteurs, personnel), dont la sensibilité est jugée moyenne, en raison des attentes en matière de fluidité, de ponctualité et de sécurité.</w:t>
      </w:r>
    </w:p>
    <w:tbl>
      <w:tblPr>
        <w:tblStyle w:val="TableauGrille1Clair-Accentuation111"/>
        <w:tblW w:w="0" w:type="auto"/>
        <w:tblLayout w:type="fixed"/>
        <w:tblLook w:val="04A0" w:firstRow="1" w:lastRow="0" w:firstColumn="1" w:lastColumn="0" w:noHBand="0" w:noVBand="1"/>
      </w:tblPr>
      <w:tblGrid>
        <w:gridCol w:w="792"/>
        <w:gridCol w:w="2747"/>
        <w:gridCol w:w="1843"/>
        <w:gridCol w:w="2436"/>
        <w:gridCol w:w="1242"/>
      </w:tblGrid>
      <w:tr w:rsidR="00A804EA" w:rsidRPr="00B95A9D" w14:paraId="20E4BA9A" w14:textId="77777777" w:rsidTr="005A766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2" w:type="dxa"/>
            <w:hideMark/>
          </w:tcPr>
          <w:p w14:paraId="1258806D" w14:textId="77777777" w:rsidR="00A804EA" w:rsidRPr="00B95A9D" w:rsidRDefault="00A804EA" w:rsidP="005A7661">
            <w:pPr>
              <w:rPr>
                <w:rFonts w:asciiTheme="minorHAnsi" w:hAnsiTheme="minorHAnsi" w:cstheme="minorHAnsi"/>
                <w:szCs w:val="20"/>
                <w:lang w:eastAsia="fr-FR" w:bidi="ar-SA"/>
              </w:rPr>
            </w:pPr>
            <w:r w:rsidRPr="00B95A9D">
              <w:rPr>
                <w:rFonts w:asciiTheme="minorHAnsi" w:hAnsiTheme="minorHAnsi" w:cstheme="minorHAnsi"/>
                <w:szCs w:val="20"/>
                <w:lang w:eastAsia="fr-FR" w:bidi="ar-SA"/>
              </w:rPr>
              <w:t>Impact</w:t>
            </w:r>
          </w:p>
        </w:tc>
        <w:tc>
          <w:tcPr>
            <w:tcW w:w="2747" w:type="dxa"/>
            <w:hideMark/>
          </w:tcPr>
          <w:p w14:paraId="68438121" w14:textId="77777777" w:rsidR="00A804EA" w:rsidRPr="00B95A9D" w:rsidRDefault="00A804EA" w:rsidP="005A7661">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sidRPr="00B95A9D">
              <w:rPr>
                <w:rFonts w:asciiTheme="minorHAnsi" w:hAnsiTheme="minorHAnsi" w:cstheme="minorHAnsi"/>
                <w:szCs w:val="20"/>
                <w:lang w:eastAsia="fr-FR" w:bidi="ar-SA"/>
              </w:rPr>
              <w:t>Activités génératrices</w:t>
            </w:r>
          </w:p>
        </w:tc>
        <w:tc>
          <w:tcPr>
            <w:tcW w:w="1843" w:type="dxa"/>
            <w:hideMark/>
          </w:tcPr>
          <w:p w14:paraId="00BDBD49" w14:textId="77777777" w:rsidR="00A804EA" w:rsidRPr="00B95A9D" w:rsidRDefault="00A804EA" w:rsidP="005A7661">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sidRPr="00B95A9D">
              <w:rPr>
                <w:rFonts w:asciiTheme="minorHAnsi" w:hAnsiTheme="minorHAnsi" w:cstheme="minorHAnsi"/>
                <w:szCs w:val="20"/>
                <w:lang w:eastAsia="fr-FR" w:bidi="ar-SA"/>
              </w:rPr>
              <w:t>Critère</w:t>
            </w:r>
          </w:p>
        </w:tc>
        <w:tc>
          <w:tcPr>
            <w:tcW w:w="2436" w:type="dxa"/>
            <w:hideMark/>
          </w:tcPr>
          <w:p w14:paraId="0A135B63" w14:textId="77777777" w:rsidR="00A804EA" w:rsidRPr="00B95A9D" w:rsidRDefault="00A804EA" w:rsidP="005A7661">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sidRPr="00B95A9D">
              <w:rPr>
                <w:rFonts w:asciiTheme="minorHAnsi" w:hAnsiTheme="minorHAnsi" w:cstheme="minorHAnsi"/>
                <w:szCs w:val="20"/>
                <w:lang w:eastAsia="fr-FR" w:bidi="ar-SA"/>
              </w:rPr>
              <w:t>Justification</w:t>
            </w:r>
          </w:p>
        </w:tc>
        <w:tc>
          <w:tcPr>
            <w:tcW w:w="1242" w:type="dxa"/>
            <w:hideMark/>
          </w:tcPr>
          <w:p w14:paraId="23A58B7B" w14:textId="77777777" w:rsidR="00A804EA" w:rsidRPr="00B95A9D" w:rsidRDefault="00A804EA" w:rsidP="005A7661">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sidRPr="00B95A9D">
              <w:rPr>
                <w:rFonts w:asciiTheme="minorHAnsi" w:hAnsiTheme="minorHAnsi" w:cstheme="minorHAnsi"/>
                <w:szCs w:val="20"/>
                <w:lang w:eastAsia="fr-FR" w:bidi="ar-SA"/>
              </w:rPr>
              <w:t>Niveau</w:t>
            </w:r>
          </w:p>
        </w:tc>
      </w:tr>
      <w:tr w:rsidR="00913D99" w:rsidRPr="00B95A9D" w14:paraId="0EB672F3" w14:textId="77777777" w:rsidTr="00913D99">
        <w:tc>
          <w:tcPr>
            <w:cnfStyle w:val="001000000000" w:firstRow="0" w:lastRow="0" w:firstColumn="1" w:lastColumn="0" w:oddVBand="0" w:evenVBand="0" w:oddHBand="0" w:evenHBand="0" w:firstRowFirstColumn="0" w:firstRowLastColumn="0" w:lastRowFirstColumn="0" w:lastRowLastColumn="0"/>
            <w:tcW w:w="792" w:type="dxa"/>
            <w:vMerge w:val="restart"/>
            <w:textDirection w:val="btLr"/>
            <w:vAlign w:val="center"/>
          </w:tcPr>
          <w:p w14:paraId="01D757AA" w14:textId="6A89883E" w:rsidR="00A804EA" w:rsidRPr="00B95A9D" w:rsidRDefault="001C5774" w:rsidP="005A7661">
            <w:pPr>
              <w:ind w:left="113" w:right="113"/>
              <w:jc w:val="center"/>
              <w:rPr>
                <w:rFonts w:asciiTheme="minorHAnsi" w:hAnsiTheme="minorHAnsi" w:cstheme="minorHAnsi"/>
                <w:szCs w:val="20"/>
                <w:lang w:eastAsia="fr-FR" w:bidi="ar-SA"/>
              </w:rPr>
            </w:pPr>
            <w:r w:rsidRPr="001C5774">
              <w:rPr>
                <w:rFonts w:asciiTheme="minorHAnsi" w:hAnsiTheme="minorHAnsi" w:cstheme="minorHAnsi"/>
                <w:szCs w:val="20"/>
                <w:lang w:eastAsia="fr-FR" w:bidi="ar-SA"/>
              </w:rPr>
              <w:t>Saturation et congestion du trafic</w:t>
            </w:r>
          </w:p>
        </w:tc>
        <w:tc>
          <w:tcPr>
            <w:tcW w:w="2747" w:type="dxa"/>
            <w:vMerge w:val="restart"/>
          </w:tcPr>
          <w:p w14:paraId="3D4AC8F2" w14:textId="511B0909" w:rsidR="00A804EA" w:rsidRPr="00B95A9D" w:rsidRDefault="001C5774" w:rsidP="005A766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sidRPr="001C5774">
              <w:rPr>
                <w:rFonts w:asciiTheme="minorHAnsi" w:hAnsiTheme="minorHAnsi" w:cstheme="minorHAnsi"/>
                <w:szCs w:val="20"/>
                <w:lang w:eastAsia="fr-FR" w:bidi="ar-SA"/>
              </w:rPr>
              <w:t>Circulation accrue de passagers, taxis, navettes, véhicules de service et de personnel liée à la mise en service du parking avions.</w:t>
            </w:r>
          </w:p>
        </w:tc>
        <w:tc>
          <w:tcPr>
            <w:tcW w:w="1843" w:type="dxa"/>
            <w:hideMark/>
          </w:tcPr>
          <w:p w14:paraId="790BC63D" w14:textId="77777777" w:rsidR="00A804EA" w:rsidRPr="00B95A9D" w:rsidRDefault="00A804EA" w:rsidP="005A766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Cs w:val="20"/>
                <w:lang w:eastAsia="fr-FR" w:bidi="ar-SA"/>
              </w:rPr>
            </w:pPr>
            <w:r w:rsidRPr="00B95A9D">
              <w:rPr>
                <w:rFonts w:asciiTheme="minorHAnsi" w:hAnsiTheme="minorHAnsi" w:cstheme="minorHAnsi"/>
                <w:b/>
                <w:bCs/>
                <w:szCs w:val="20"/>
                <w:lang w:eastAsia="fr-FR" w:bidi="ar-SA"/>
              </w:rPr>
              <w:t>Nature</w:t>
            </w:r>
          </w:p>
        </w:tc>
        <w:tc>
          <w:tcPr>
            <w:tcW w:w="3678" w:type="dxa"/>
            <w:gridSpan w:val="2"/>
          </w:tcPr>
          <w:p w14:paraId="53C114E9" w14:textId="1A48B965" w:rsidR="00A804EA" w:rsidRPr="00B95A9D" w:rsidRDefault="001C5774" w:rsidP="005A766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sidRPr="001C5774">
              <w:rPr>
                <w:rFonts w:asciiTheme="minorHAnsi" w:hAnsiTheme="minorHAnsi" w:cstheme="minorHAnsi"/>
                <w:szCs w:val="20"/>
                <w:lang w:eastAsia="fr-FR" w:bidi="ar-SA"/>
              </w:rPr>
              <w:t>Direct négatif</w:t>
            </w:r>
          </w:p>
        </w:tc>
      </w:tr>
      <w:tr w:rsidR="00913D99" w:rsidRPr="00B95A9D" w14:paraId="5ACA8206" w14:textId="77777777" w:rsidTr="00913D99">
        <w:tc>
          <w:tcPr>
            <w:cnfStyle w:val="001000000000" w:firstRow="0" w:lastRow="0" w:firstColumn="1" w:lastColumn="0" w:oddVBand="0" w:evenVBand="0" w:oddHBand="0" w:evenHBand="0" w:firstRowFirstColumn="0" w:firstRowLastColumn="0" w:lastRowFirstColumn="0" w:lastRowLastColumn="0"/>
            <w:tcW w:w="792" w:type="dxa"/>
            <w:vMerge/>
            <w:hideMark/>
          </w:tcPr>
          <w:p w14:paraId="4CBA910C" w14:textId="77777777" w:rsidR="00A804EA" w:rsidRPr="00B95A9D" w:rsidRDefault="00A804EA" w:rsidP="005A7661">
            <w:pPr>
              <w:rPr>
                <w:rFonts w:asciiTheme="minorHAnsi" w:hAnsiTheme="minorHAnsi" w:cstheme="minorHAnsi"/>
                <w:szCs w:val="20"/>
                <w:lang w:eastAsia="fr-FR" w:bidi="ar-SA"/>
              </w:rPr>
            </w:pPr>
          </w:p>
        </w:tc>
        <w:tc>
          <w:tcPr>
            <w:tcW w:w="2747" w:type="dxa"/>
            <w:vMerge/>
            <w:hideMark/>
          </w:tcPr>
          <w:p w14:paraId="2C5B5034" w14:textId="77777777" w:rsidR="00A804EA" w:rsidRPr="00B95A9D" w:rsidRDefault="00A804EA" w:rsidP="005A766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p>
        </w:tc>
        <w:tc>
          <w:tcPr>
            <w:tcW w:w="1843" w:type="dxa"/>
            <w:hideMark/>
          </w:tcPr>
          <w:p w14:paraId="4620A25F" w14:textId="77777777" w:rsidR="00A804EA" w:rsidRPr="00B95A9D" w:rsidRDefault="00A804EA" w:rsidP="005A766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Cs w:val="20"/>
                <w:lang w:eastAsia="fr-FR" w:bidi="ar-SA"/>
              </w:rPr>
            </w:pPr>
            <w:r w:rsidRPr="00B95A9D">
              <w:rPr>
                <w:rFonts w:asciiTheme="minorHAnsi" w:hAnsiTheme="minorHAnsi" w:cstheme="minorHAnsi"/>
                <w:b/>
                <w:bCs/>
                <w:szCs w:val="20"/>
                <w:lang w:eastAsia="fr-FR" w:bidi="ar-SA"/>
              </w:rPr>
              <w:t>Étendue</w:t>
            </w:r>
          </w:p>
        </w:tc>
        <w:tc>
          <w:tcPr>
            <w:tcW w:w="2436" w:type="dxa"/>
          </w:tcPr>
          <w:p w14:paraId="6D01FB4A" w14:textId="29DEE966" w:rsidR="00A804EA" w:rsidRPr="00B95A9D" w:rsidRDefault="0038058A" w:rsidP="005A766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sidRPr="0038058A">
              <w:rPr>
                <w:rFonts w:asciiTheme="minorHAnsi" w:hAnsiTheme="minorHAnsi" w:cstheme="minorHAnsi"/>
                <w:szCs w:val="20"/>
                <w:lang w:eastAsia="fr-FR" w:bidi="ar-SA"/>
              </w:rPr>
              <w:t xml:space="preserve">Locale, limitée à la bretelle d’accès et au tronçon de la </w:t>
            </w:r>
            <w:r w:rsidR="00000F82">
              <w:rPr>
                <w:rFonts w:asciiTheme="minorHAnsi" w:hAnsiTheme="minorHAnsi" w:cstheme="minorHAnsi"/>
                <w:szCs w:val="20"/>
                <w:lang w:eastAsia="fr-FR" w:bidi="ar-SA"/>
              </w:rPr>
              <w:t>RR212</w:t>
            </w:r>
            <w:r w:rsidRPr="0038058A">
              <w:rPr>
                <w:rFonts w:asciiTheme="minorHAnsi" w:hAnsiTheme="minorHAnsi" w:cstheme="minorHAnsi"/>
                <w:szCs w:val="20"/>
                <w:lang w:eastAsia="fr-FR" w:bidi="ar-SA"/>
              </w:rPr>
              <w:t xml:space="preserve"> </w:t>
            </w:r>
            <w:r>
              <w:rPr>
                <w:rFonts w:asciiTheme="minorHAnsi" w:hAnsiTheme="minorHAnsi" w:cstheme="minorHAnsi"/>
                <w:szCs w:val="20"/>
                <w:lang w:eastAsia="fr-FR" w:bidi="ar-SA"/>
              </w:rPr>
              <w:t>menant</w:t>
            </w:r>
            <w:r w:rsidRPr="0038058A">
              <w:rPr>
                <w:rFonts w:asciiTheme="minorHAnsi" w:hAnsiTheme="minorHAnsi" w:cstheme="minorHAnsi"/>
                <w:szCs w:val="20"/>
                <w:lang w:eastAsia="fr-FR" w:bidi="ar-SA"/>
              </w:rPr>
              <w:t xml:space="preserve"> à l’aéroport.</w:t>
            </w:r>
          </w:p>
        </w:tc>
        <w:tc>
          <w:tcPr>
            <w:tcW w:w="1242" w:type="dxa"/>
          </w:tcPr>
          <w:p w14:paraId="00122B7D" w14:textId="4B894D0D" w:rsidR="00A804EA" w:rsidRPr="00B95A9D" w:rsidRDefault="0038058A" w:rsidP="005A766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Cs w:val="20"/>
                <w:lang w:eastAsia="fr-FR" w:bidi="ar-SA"/>
              </w:rPr>
            </w:pPr>
            <w:r>
              <w:rPr>
                <w:rFonts w:asciiTheme="minorHAnsi" w:hAnsiTheme="minorHAnsi" w:cstheme="minorHAnsi"/>
                <w:b/>
                <w:bCs/>
                <w:szCs w:val="20"/>
                <w:lang w:eastAsia="fr-FR" w:bidi="ar-SA"/>
              </w:rPr>
              <w:t>Locale</w:t>
            </w:r>
          </w:p>
        </w:tc>
      </w:tr>
      <w:tr w:rsidR="00913D99" w:rsidRPr="00B95A9D" w14:paraId="2FE05CF5" w14:textId="77777777" w:rsidTr="00913D99">
        <w:tc>
          <w:tcPr>
            <w:cnfStyle w:val="001000000000" w:firstRow="0" w:lastRow="0" w:firstColumn="1" w:lastColumn="0" w:oddVBand="0" w:evenVBand="0" w:oddHBand="0" w:evenHBand="0" w:firstRowFirstColumn="0" w:firstRowLastColumn="0" w:lastRowFirstColumn="0" w:lastRowLastColumn="0"/>
            <w:tcW w:w="792" w:type="dxa"/>
            <w:vMerge/>
            <w:hideMark/>
          </w:tcPr>
          <w:p w14:paraId="2EB0FAF7" w14:textId="77777777" w:rsidR="00A804EA" w:rsidRPr="00B95A9D" w:rsidRDefault="00A804EA" w:rsidP="005A7661">
            <w:pPr>
              <w:rPr>
                <w:rFonts w:asciiTheme="minorHAnsi" w:hAnsiTheme="minorHAnsi" w:cstheme="minorHAnsi"/>
                <w:szCs w:val="20"/>
                <w:lang w:eastAsia="fr-FR" w:bidi="ar-SA"/>
              </w:rPr>
            </w:pPr>
          </w:p>
        </w:tc>
        <w:tc>
          <w:tcPr>
            <w:tcW w:w="2747" w:type="dxa"/>
            <w:vMerge/>
            <w:hideMark/>
          </w:tcPr>
          <w:p w14:paraId="56989FAF" w14:textId="77777777" w:rsidR="00A804EA" w:rsidRPr="00B95A9D" w:rsidRDefault="00A804EA" w:rsidP="005A766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p>
        </w:tc>
        <w:tc>
          <w:tcPr>
            <w:tcW w:w="1843" w:type="dxa"/>
            <w:hideMark/>
          </w:tcPr>
          <w:p w14:paraId="3832E121" w14:textId="77777777" w:rsidR="00A804EA" w:rsidRPr="00B95A9D" w:rsidRDefault="00A804EA" w:rsidP="005A766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Cs w:val="20"/>
                <w:lang w:eastAsia="fr-FR" w:bidi="ar-SA"/>
              </w:rPr>
            </w:pPr>
            <w:r w:rsidRPr="00B95A9D">
              <w:rPr>
                <w:rFonts w:asciiTheme="minorHAnsi" w:hAnsiTheme="minorHAnsi" w:cstheme="minorHAnsi"/>
                <w:b/>
                <w:bCs/>
                <w:szCs w:val="20"/>
                <w:lang w:eastAsia="fr-FR" w:bidi="ar-SA"/>
              </w:rPr>
              <w:t>Durée</w:t>
            </w:r>
          </w:p>
        </w:tc>
        <w:tc>
          <w:tcPr>
            <w:tcW w:w="2436" w:type="dxa"/>
          </w:tcPr>
          <w:p w14:paraId="12F37FB0" w14:textId="2F65F08F" w:rsidR="00A804EA" w:rsidRPr="00B95A9D" w:rsidRDefault="0038058A" w:rsidP="005A766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sidRPr="0038058A">
              <w:rPr>
                <w:rFonts w:asciiTheme="minorHAnsi" w:hAnsiTheme="minorHAnsi" w:cstheme="minorHAnsi"/>
                <w:szCs w:val="20"/>
                <w:lang w:eastAsia="fr-FR" w:bidi="ar-SA"/>
              </w:rPr>
              <w:t>Liée au fonctionnement continu des activités aéroportuaires.</w:t>
            </w:r>
          </w:p>
        </w:tc>
        <w:tc>
          <w:tcPr>
            <w:tcW w:w="1242" w:type="dxa"/>
          </w:tcPr>
          <w:p w14:paraId="22764E78" w14:textId="61493CBB" w:rsidR="00A804EA" w:rsidRPr="00B95A9D" w:rsidRDefault="0038058A" w:rsidP="005A766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Cs w:val="20"/>
                <w:lang w:eastAsia="fr-FR" w:bidi="ar-SA"/>
              </w:rPr>
            </w:pPr>
            <w:r w:rsidRPr="0038058A">
              <w:rPr>
                <w:rFonts w:asciiTheme="minorHAnsi" w:hAnsiTheme="minorHAnsi" w:cstheme="minorHAnsi"/>
                <w:szCs w:val="20"/>
                <w:lang w:eastAsia="fr-FR" w:bidi="ar-SA"/>
              </w:rPr>
              <w:t>Permanente</w:t>
            </w:r>
          </w:p>
        </w:tc>
      </w:tr>
      <w:tr w:rsidR="00913D99" w:rsidRPr="00B95A9D" w14:paraId="4CDD7579" w14:textId="77777777" w:rsidTr="00913D99">
        <w:tc>
          <w:tcPr>
            <w:cnfStyle w:val="001000000000" w:firstRow="0" w:lastRow="0" w:firstColumn="1" w:lastColumn="0" w:oddVBand="0" w:evenVBand="0" w:oddHBand="0" w:evenHBand="0" w:firstRowFirstColumn="0" w:firstRowLastColumn="0" w:lastRowFirstColumn="0" w:lastRowLastColumn="0"/>
            <w:tcW w:w="792" w:type="dxa"/>
            <w:vMerge/>
            <w:hideMark/>
          </w:tcPr>
          <w:p w14:paraId="1C324F01" w14:textId="77777777" w:rsidR="00A804EA" w:rsidRPr="00B95A9D" w:rsidRDefault="00A804EA" w:rsidP="005A7661">
            <w:pPr>
              <w:rPr>
                <w:rFonts w:asciiTheme="minorHAnsi" w:hAnsiTheme="minorHAnsi" w:cstheme="minorHAnsi"/>
                <w:szCs w:val="20"/>
                <w:lang w:eastAsia="fr-FR" w:bidi="ar-SA"/>
              </w:rPr>
            </w:pPr>
          </w:p>
        </w:tc>
        <w:tc>
          <w:tcPr>
            <w:tcW w:w="2747" w:type="dxa"/>
            <w:vMerge/>
            <w:hideMark/>
          </w:tcPr>
          <w:p w14:paraId="510DACC2" w14:textId="77777777" w:rsidR="00A804EA" w:rsidRPr="00B95A9D" w:rsidRDefault="00A804EA" w:rsidP="005A766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p>
        </w:tc>
        <w:tc>
          <w:tcPr>
            <w:tcW w:w="1843" w:type="dxa"/>
            <w:hideMark/>
          </w:tcPr>
          <w:p w14:paraId="14A96EB0" w14:textId="77777777" w:rsidR="00A804EA" w:rsidRPr="00B95A9D" w:rsidRDefault="00A804EA" w:rsidP="005A766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Cs w:val="20"/>
                <w:lang w:eastAsia="fr-FR" w:bidi="ar-SA"/>
              </w:rPr>
            </w:pPr>
            <w:r w:rsidRPr="00B95A9D">
              <w:rPr>
                <w:rFonts w:asciiTheme="minorHAnsi" w:hAnsiTheme="minorHAnsi" w:cstheme="minorHAnsi"/>
                <w:b/>
                <w:bCs/>
                <w:szCs w:val="20"/>
                <w:lang w:eastAsia="fr-FR" w:bidi="ar-SA"/>
              </w:rPr>
              <w:t>Fréquence</w:t>
            </w:r>
          </w:p>
        </w:tc>
        <w:tc>
          <w:tcPr>
            <w:tcW w:w="2436" w:type="dxa"/>
          </w:tcPr>
          <w:p w14:paraId="4308121B" w14:textId="2EC237A7" w:rsidR="00A804EA" w:rsidRPr="00911A3C" w:rsidRDefault="0038058A" w:rsidP="005A766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Pr>
                <w:rFonts w:asciiTheme="minorHAnsi" w:hAnsiTheme="minorHAnsi" w:cstheme="minorHAnsi"/>
                <w:szCs w:val="20"/>
                <w:lang w:eastAsia="fr-FR" w:bidi="ar-SA"/>
              </w:rPr>
              <w:t xml:space="preserve">Quotidienne </w:t>
            </w:r>
            <w:r w:rsidRPr="0038058A">
              <w:rPr>
                <w:rFonts w:asciiTheme="minorHAnsi" w:hAnsiTheme="minorHAnsi" w:cstheme="minorHAnsi"/>
                <w:szCs w:val="20"/>
                <w:lang w:eastAsia="fr-FR" w:bidi="ar-SA"/>
              </w:rPr>
              <w:t>avec pics lors des arrivées et départs groupés de vols.</w:t>
            </w:r>
          </w:p>
        </w:tc>
        <w:tc>
          <w:tcPr>
            <w:tcW w:w="1242" w:type="dxa"/>
          </w:tcPr>
          <w:p w14:paraId="27AB6A2E" w14:textId="284BDECA" w:rsidR="00A804EA" w:rsidRPr="00B95A9D" w:rsidRDefault="0038058A" w:rsidP="005A766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Cs w:val="20"/>
                <w:lang w:eastAsia="fr-FR" w:bidi="ar-SA"/>
              </w:rPr>
            </w:pPr>
            <w:r>
              <w:rPr>
                <w:rFonts w:asciiTheme="minorHAnsi" w:hAnsiTheme="minorHAnsi" w:cstheme="minorHAnsi"/>
                <w:b/>
                <w:bCs/>
                <w:szCs w:val="20"/>
                <w:lang w:eastAsia="fr-FR" w:bidi="ar-SA"/>
              </w:rPr>
              <w:t>Continue</w:t>
            </w:r>
          </w:p>
        </w:tc>
      </w:tr>
      <w:tr w:rsidR="00A804EA" w:rsidRPr="00B95A9D" w14:paraId="03FF2083" w14:textId="77777777" w:rsidTr="00913D99">
        <w:tc>
          <w:tcPr>
            <w:cnfStyle w:val="001000000000" w:firstRow="0" w:lastRow="0" w:firstColumn="1" w:lastColumn="0" w:oddVBand="0" w:evenVBand="0" w:oddHBand="0" w:evenHBand="0" w:firstRowFirstColumn="0" w:firstRowLastColumn="0" w:lastRowFirstColumn="0" w:lastRowLastColumn="0"/>
            <w:tcW w:w="792" w:type="dxa"/>
            <w:vMerge/>
            <w:hideMark/>
          </w:tcPr>
          <w:p w14:paraId="25A29231" w14:textId="77777777" w:rsidR="00A804EA" w:rsidRPr="00B95A9D" w:rsidRDefault="00A804EA" w:rsidP="005A7661">
            <w:pPr>
              <w:rPr>
                <w:rFonts w:asciiTheme="minorHAnsi" w:hAnsiTheme="minorHAnsi" w:cstheme="minorHAnsi"/>
                <w:szCs w:val="20"/>
                <w:lang w:eastAsia="fr-FR" w:bidi="ar-SA"/>
              </w:rPr>
            </w:pPr>
          </w:p>
        </w:tc>
        <w:tc>
          <w:tcPr>
            <w:tcW w:w="2747" w:type="dxa"/>
            <w:vMerge/>
            <w:hideMark/>
          </w:tcPr>
          <w:p w14:paraId="68CF3B0A" w14:textId="77777777" w:rsidR="00A804EA" w:rsidRPr="00B95A9D" w:rsidRDefault="00A804EA" w:rsidP="005A766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p>
        </w:tc>
        <w:tc>
          <w:tcPr>
            <w:tcW w:w="1843" w:type="dxa"/>
            <w:shd w:val="clear" w:color="auto" w:fill="D9E2F3"/>
            <w:hideMark/>
          </w:tcPr>
          <w:p w14:paraId="7118D548" w14:textId="77777777" w:rsidR="00A804EA" w:rsidRPr="00B95A9D" w:rsidRDefault="00A804EA" w:rsidP="005A766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Cs w:val="20"/>
                <w:lang w:eastAsia="fr-FR" w:bidi="ar-SA"/>
              </w:rPr>
            </w:pPr>
            <w:r w:rsidRPr="00B95A9D">
              <w:rPr>
                <w:rFonts w:asciiTheme="minorHAnsi" w:hAnsiTheme="minorHAnsi" w:cstheme="minorHAnsi"/>
                <w:b/>
                <w:bCs/>
                <w:szCs w:val="20"/>
                <w:lang w:eastAsia="fr-FR" w:bidi="ar-SA"/>
              </w:rPr>
              <w:t>Intensité</w:t>
            </w:r>
          </w:p>
        </w:tc>
        <w:tc>
          <w:tcPr>
            <w:tcW w:w="2436" w:type="dxa"/>
            <w:shd w:val="clear" w:color="auto" w:fill="D9E2F3"/>
          </w:tcPr>
          <w:p w14:paraId="60BB2583" w14:textId="7E7D951C" w:rsidR="00A804EA" w:rsidRPr="00B95A9D" w:rsidRDefault="0038058A" w:rsidP="005A766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Pr>
                <w:rFonts w:asciiTheme="minorHAnsi" w:hAnsiTheme="minorHAnsi" w:cstheme="minorHAnsi"/>
                <w:szCs w:val="20"/>
                <w:lang w:eastAsia="fr-FR" w:bidi="ar-SA"/>
              </w:rPr>
              <w:t>L</w:t>
            </w:r>
            <w:r w:rsidRPr="0038058A">
              <w:rPr>
                <w:rFonts w:asciiTheme="minorHAnsi" w:hAnsiTheme="minorHAnsi" w:cstheme="minorHAnsi"/>
                <w:szCs w:val="20"/>
                <w:lang w:eastAsia="fr-FR" w:bidi="ar-SA"/>
              </w:rPr>
              <w:t>iée au risque de surcharge ponctuelle aux abords du terminal.</w:t>
            </w:r>
          </w:p>
        </w:tc>
        <w:tc>
          <w:tcPr>
            <w:tcW w:w="1242" w:type="dxa"/>
            <w:shd w:val="clear" w:color="auto" w:fill="D9E2F3"/>
          </w:tcPr>
          <w:p w14:paraId="069B0443" w14:textId="0A160917" w:rsidR="00A804EA" w:rsidRPr="00B95A9D" w:rsidRDefault="0038058A" w:rsidP="005A766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Cs w:val="20"/>
                <w:lang w:eastAsia="fr-FR" w:bidi="ar-SA"/>
              </w:rPr>
            </w:pPr>
            <w:r>
              <w:rPr>
                <w:rFonts w:asciiTheme="minorHAnsi" w:hAnsiTheme="minorHAnsi" w:cstheme="minorHAnsi"/>
                <w:b/>
                <w:bCs/>
                <w:szCs w:val="20"/>
                <w:lang w:eastAsia="fr-FR" w:bidi="ar-SA"/>
              </w:rPr>
              <w:t>Moyenne</w:t>
            </w:r>
          </w:p>
        </w:tc>
      </w:tr>
      <w:tr w:rsidR="00A804EA" w:rsidRPr="00B95A9D" w14:paraId="2A7B1DFF" w14:textId="77777777" w:rsidTr="005A7661">
        <w:tc>
          <w:tcPr>
            <w:cnfStyle w:val="001000000000" w:firstRow="0" w:lastRow="0" w:firstColumn="1" w:lastColumn="0" w:oddVBand="0" w:evenVBand="0" w:oddHBand="0" w:evenHBand="0" w:firstRowFirstColumn="0" w:firstRowLastColumn="0" w:lastRowFirstColumn="0" w:lastRowLastColumn="0"/>
            <w:tcW w:w="792" w:type="dxa"/>
            <w:vMerge/>
          </w:tcPr>
          <w:p w14:paraId="6D8EEE78" w14:textId="77777777" w:rsidR="00A804EA" w:rsidRPr="00B95A9D" w:rsidRDefault="00A804EA" w:rsidP="005A7661">
            <w:pPr>
              <w:rPr>
                <w:rFonts w:asciiTheme="minorHAnsi" w:hAnsiTheme="minorHAnsi" w:cstheme="minorHAnsi"/>
                <w:szCs w:val="20"/>
                <w:lang w:eastAsia="fr-FR" w:bidi="ar-SA"/>
              </w:rPr>
            </w:pPr>
          </w:p>
        </w:tc>
        <w:tc>
          <w:tcPr>
            <w:tcW w:w="8268" w:type="dxa"/>
            <w:gridSpan w:val="4"/>
          </w:tcPr>
          <w:p w14:paraId="1F5F6A3B" w14:textId="77777777" w:rsidR="00A804EA" w:rsidRPr="00B95A9D" w:rsidRDefault="00A804EA" w:rsidP="005A7661">
            <w:pPr>
              <w:spacing w:before="0" w:after="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Cs w:val="20"/>
                <w:lang w:eastAsia="fr-FR" w:bidi="ar-SA"/>
              </w:rPr>
            </w:pPr>
          </w:p>
        </w:tc>
      </w:tr>
      <w:tr w:rsidR="00A804EA" w:rsidRPr="00B95A9D" w14:paraId="4BDCBE37" w14:textId="77777777" w:rsidTr="00913D99">
        <w:tc>
          <w:tcPr>
            <w:cnfStyle w:val="001000000000" w:firstRow="0" w:lastRow="0" w:firstColumn="1" w:lastColumn="0" w:oddVBand="0" w:evenVBand="0" w:oddHBand="0" w:evenHBand="0" w:firstRowFirstColumn="0" w:firstRowLastColumn="0" w:lastRowFirstColumn="0" w:lastRowLastColumn="0"/>
            <w:tcW w:w="792" w:type="dxa"/>
            <w:vMerge/>
          </w:tcPr>
          <w:p w14:paraId="503A7AD4" w14:textId="77777777" w:rsidR="00A804EA" w:rsidRPr="00B95A9D" w:rsidRDefault="00A804EA" w:rsidP="005A7661">
            <w:pPr>
              <w:rPr>
                <w:rFonts w:asciiTheme="minorHAnsi" w:hAnsiTheme="minorHAnsi" w:cstheme="minorHAnsi"/>
                <w:szCs w:val="20"/>
                <w:lang w:eastAsia="fr-FR" w:bidi="ar-SA"/>
              </w:rPr>
            </w:pPr>
          </w:p>
        </w:tc>
        <w:tc>
          <w:tcPr>
            <w:tcW w:w="2747" w:type="dxa"/>
            <w:shd w:val="clear" w:color="auto" w:fill="B4C6E7" w:themeFill="accent1" w:themeFillTint="66"/>
            <w:vAlign w:val="center"/>
          </w:tcPr>
          <w:p w14:paraId="6E8703E2" w14:textId="77777777" w:rsidR="00A804EA" w:rsidRPr="00B95A9D" w:rsidRDefault="00A804EA" w:rsidP="005A766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sidRPr="00B95A9D">
              <w:rPr>
                <w:rFonts w:asciiTheme="minorHAnsi" w:hAnsiTheme="minorHAnsi" w:cstheme="minorHAnsi"/>
                <w:b/>
                <w:bCs/>
                <w:szCs w:val="20"/>
              </w:rPr>
              <w:t>Intensité de l’impact</w:t>
            </w:r>
          </w:p>
        </w:tc>
        <w:tc>
          <w:tcPr>
            <w:tcW w:w="1843" w:type="dxa"/>
            <w:shd w:val="clear" w:color="auto" w:fill="B4C6E7" w:themeFill="accent1" w:themeFillTint="66"/>
            <w:vAlign w:val="center"/>
          </w:tcPr>
          <w:p w14:paraId="4CACF262" w14:textId="77777777" w:rsidR="00A804EA" w:rsidRPr="00B95A9D" w:rsidRDefault="00A804EA" w:rsidP="005A766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Cs w:val="20"/>
                <w:lang w:eastAsia="fr-FR" w:bidi="ar-SA"/>
              </w:rPr>
            </w:pPr>
            <w:r w:rsidRPr="00B95A9D">
              <w:rPr>
                <w:rFonts w:asciiTheme="minorHAnsi" w:hAnsiTheme="minorHAnsi" w:cstheme="minorHAnsi"/>
                <w:b/>
                <w:bCs/>
                <w:szCs w:val="20"/>
              </w:rPr>
              <w:t>Récepteurs</w:t>
            </w:r>
          </w:p>
        </w:tc>
        <w:tc>
          <w:tcPr>
            <w:tcW w:w="2436" w:type="dxa"/>
            <w:shd w:val="clear" w:color="auto" w:fill="B4C6E7" w:themeFill="accent1" w:themeFillTint="66"/>
            <w:vAlign w:val="center"/>
          </w:tcPr>
          <w:p w14:paraId="21DB680E" w14:textId="77777777" w:rsidR="00A804EA" w:rsidRPr="00B95A9D" w:rsidRDefault="00A804EA" w:rsidP="005A766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sidRPr="00B95A9D">
              <w:rPr>
                <w:rFonts w:asciiTheme="minorHAnsi" w:hAnsiTheme="minorHAnsi" w:cstheme="minorHAnsi"/>
                <w:b/>
                <w:bCs/>
                <w:szCs w:val="20"/>
              </w:rPr>
              <w:t>Sensibilité</w:t>
            </w:r>
          </w:p>
        </w:tc>
        <w:tc>
          <w:tcPr>
            <w:tcW w:w="1242" w:type="dxa"/>
            <w:shd w:val="clear" w:color="auto" w:fill="B4C6E7" w:themeFill="accent1" w:themeFillTint="66"/>
            <w:vAlign w:val="center"/>
          </w:tcPr>
          <w:p w14:paraId="79339B61" w14:textId="77777777" w:rsidR="00A804EA" w:rsidRPr="00B95A9D" w:rsidRDefault="00A804EA" w:rsidP="005A766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Cs w:val="20"/>
                <w:lang w:eastAsia="fr-FR" w:bidi="ar-SA"/>
              </w:rPr>
            </w:pPr>
            <w:r w:rsidRPr="00B95A9D">
              <w:rPr>
                <w:rFonts w:asciiTheme="minorHAnsi" w:hAnsiTheme="minorHAnsi" w:cstheme="minorHAnsi"/>
                <w:b/>
                <w:bCs/>
                <w:szCs w:val="20"/>
              </w:rPr>
              <w:t>Importance de l’impact</w:t>
            </w:r>
          </w:p>
        </w:tc>
      </w:tr>
      <w:tr w:rsidR="00913D99" w:rsidRPr="00B95A9D" w14:paraId="050247DF" w14:textId="77777777" w:rsidTr="00913D99">
        <w:tc>
          <w:tcPr>
            <w:cnfStyle w:val="001000000000" w:firstRow="0" w:lastRow="0" w:firstColumn="1" w:lastColumn="0" w:oddVBand="0" w:evenVBand="0" w:oddHBand="0" w:evenHBand="0" w:firstRowFirstColumn="0" w:firstRowLastColumn="0" w:lastRowFirstColumn="0" w:lastRowLastColumn="0"/>
            <w:tcW w:w="792" w:type="dxa"/>
            <w:vMerge/>
          </w:tcPr>
          <w:p w14:paraId="6E7A260F" w14:textId="77777777" w:rsidR="00A804EA" w:rsidRPr="00B95A9D" w:rsidRDefault="00A804EA" w:rsidP="005A7661">
            <w:pPr>
              <w:rPr>
                <w:rFonts w:asciiTheme="minorHAnsi" w:hAnsiTheme="minorHAnsi" w:cstheme="minorHAnsi"/>
                <w:szCs w:val="20"/>
                <w:lang w:eastAsia="fr-FR" w:bidi="ar-SA"/>
              </w:rPr>
            </w:pPr>
          </w:p>
        </w:tc>
        <w:tc>
          <w:tcPr>
            <w:tcW w:w="2747" w:type="dxa"/>
            <w:vAlign w:val="center"/>
          </w:tcPr>
          <w:p w14:paraId="5F1304BC" w14:textId="213566A3" w:rsidR="00A804EA" w:rsidRPr="00B95A9D" w:rsidRDefault="00913D99" w:rsidP="005A766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Pr>
                <w:rFonts w:asciiTheme="minorHAnsi" w:hAnsiTheme="minorHAnsi" w:cstheme="minorHAnsi"/>
                <w:szCs w:val="20"/>
                <w:lang w:eastAsia="fr-FR" w:bidi="ar-SA"/>
              </w:rPr>
              <w:t>Moyenne</w:t>
            </w:r>
          </w:p>
        </w:tc>
        <w:tc>
          <w:tcPr>
            <w:tcW w:w="1843" w:type="dxa"/>
            <w:vAlign w:val="center"/>
          </w:tcPr>
          <w:p w14:paraId="77A980BA" w14:textId="3F878128" w:rsidR="00A804EA" w:rsidRPr="00B95A9D" w:rsidRDefault="00913D99" w:rsidP="005A766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Cs w:val="20"/>
                <w:lang w:eastAsia="fr-FR" w:bidi="ar-SA"/>
              </w:rPr>
            </w:pPr>
            <w:r w:rsidRPr="00913D99">
              <w:rPr>
                <w:rFonts w:asciiTheme="minorHAnsi" w:hAnsiTheme="minorHAnsi" w:cstheme="minorHAnsi"/>
                <w:b/>
                <w:bCs/>
                <w:szCs w:val="20"/>
                <w:lang w:eastAsia="fr-FR" w:bidi="ar-SA"/>
              </w:rPr>
              <w:t>Usagers de la voie d’accès</w:t>
            </w:r>
          </w:p>
        </w:tc>
        <w:tc>
          <w:tcPr>
            <w:tcW w:w="2436" w:type="dxa"/>
            <w:vAlign w:val="center"/>
          </w:tcPr>
          <w:p w14:paraId="3CBC5702" w14:textId="6B73CC11" w:rsidR="00A804EA" w:rsidRPr="00B95A9D" w:rsidRDefault="00913D99" w:rsidP="005A766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Pr>
                <w:rFonts w:asciiTheme="minorHAnsi" w:hAnsiTheme="minorHAnsi" w:cstheme="minorHAnsi"/>
                <w:szCs w:val="20"/>
                <w:lang w:eastAsia="fr-FR" w:bidi="ar-SA"/>
              </w:rPr>
              <w:t>Moyenne</w:t>
            </w:r>
          </w:p>
        </w:tc>
        <w:tc>
          <w:tcPr>
            <w:tcW w:w="1242" w:type="dxa"/>
            <w:vAlign w:val="center"/>
          </w:tcPr>
          <w:p w14:paraId="2062AFE2" w14:textId="6C80E96D" w:rsidR="00A804EA" w:rsidRPr="00B95A9D" w:rsidRDefault="00913D99" w:rsidP="005A766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Cs w:val="20"/>
                <w:lang w:eastAsia="fr-FR" w:bidi="ar-SA"/>
              </w:rPr>
            </w:pPr>
            <w:r>
              <w:rPr>
                <w:rFonts w:asciiTheme="minorHAnsi" w:hAnsiTheme="minorHAnsi" w:cstheme="minorHAnsi"/>
                <w:b/>
                <w:bCs/>
                <w:szCs w:val="20"/>
                <w:lang w:eastAsia="fr-FR" w:bidi="ar-SA"/>
              </w:rPr>
              <w:t>Modérée</w:t>
            </w:r>
          </w:p>
        </w:tc>
      </w:tr>
    </w:tbl>
    <w:p w14:paraId="494FB85F" w14:textId="1BAD6413" w:rsidR="00E04379" w:rsidRDefault="00E04379" w:rsidP="0001633E">
      <w:pPr>
        <w:pStyle w:val="AltTitle2"/>
        <w:numPr>
          <w:ilvl w:val="0"/>
          <w:numId w:val="106"/>
        </w:numPr>
      </w:pPr>
      <w:r w:rsidRPr="00E04379">
        <w:t>Risque d’accident routier</w:t>
      </w:r>
    </w:p>
    <w:p w14:paraId="1219260C" w14:textId="322AD5DA" w:rsidR="0070570D" w:rsidRPr="00620B47" w:rsidRDefault="0070570D" w:rsidP="004637C7">
      <w:pPr>
        <w:rPr>
          <w:rFonts w:ascii="Times New Roman" w:hAnsi="Times New Roman"/>
          <w:lang w:bidi="ar-SA"/>
        </w:rPr>
      </w:pPr>
      <w:r w:rsidRPr="004036B7">
        <w:rPr>
          <w:rStyle w:val="lev"/>
        </w:rPr>
        <w:t>Risque sur les voies d’accès externes (</w:t>
      </w:r>
      <w:r w:rsidR="00000F82">
        <w:rPr>
          <w:rStyle w:val="lev"/>
        </w:rPr>
        <w:t>RR212</w:t>
      </w:r>
      <w:r w:rsidRPr="004036B7">
        <w:rPr>
          <w:rStyle w:val="lev"/>
        </w:rPr>
        <w:t xml:space="preserve"> et bretelle d’accès)</w:t>
      </w:r>
    </w:p>
    <w:p w14:paraId="7A2018B5" w14:textId="5979F619" w:rsidR="00620B47" w:rsidRDefault="0070570D" w:rsidP="004637C7">
      <w:r>
        <w:t xml:space="preserve">Durant la phase d’exploitation, l’augmentation du nombre d’aéronefs traités sur la plateforme, consécutive à l’extension du parking avions, entraînera une hausse du trafic terrestre associé : taxis, navettes, véhicules privés du personnel, services techniques et de maintenance. Ces flux convergeront vers la </w:t>
      </w:r>
      <w:r w:rsidRPr="004637C7">
        <w:t>bretelle d’accès à l’aéroport</w:t>
      </w:r>
      <w:r>
        <w:t xml:space="preserve"> et la </w:t>
      </w:r>
      <w:r w:rsidR="001D422B">
        <w:t>RR212</w:t>
      </w:r>
      <w:r>
        <w:t>.</w:t>
      </w:r>
    </w:p>
    <w:p w14:paraId="69D545E4" w14:textId="092561A8" w:rsidR="0070570D" w:rsidRDefault="0070570D" w:rsidP="004637C7">
      <w:r>
        <w:t xml:space="preserve">Ce trafic additionnel, concentré aux heures d’arrivée et de départ des vols, peut générer un </w:t>
      </w:r>
      <w:r w:rsidRPr="004637C7">
        <w:t>risque d’accident routier ponctuel</w:t>
      </w:r>
      <w:r>
        <w:t xml:space="preserve"> ou de ralentissement aux intersections principales.</w:t>
      </w:r>
    </w:p>
    <w:p w14:paraId="643ED2AE" w14:textId="77777777" w:rsidR="00620B47" w:rsidRPr="00B003EE" w:rsidRDefault="00620B47" w:rsidP="00620B47">
      <w:r w:rsidRPr="00B003EE">
        <w:t xml:space="preserve">L’impact est de </w:t>
      </w:r>
      <w:r w:rsidRPr="004637C7">
        <w:t>nature négative et directe</w:t>
      </w:r>
      <w:r w:rsidRPr="00B003EE">
        <w:t xml:space="preserve">. La </w:t>
      </w:r>
      <w:r w:rsidRPr="004637C7">
        <w:t>probabilité d’occurrence</w:t>
      </w:r>
      <w:r w:rsidRPr="00B003EE">
        <w:t xml:space="preserve"> est </w:t>
      </w:r>
      <w:r w:rsidRPr="004637C7">
        <w:t>occasionnelle</w:t>
      </w:r>
      <w:r w:rsidRPr="00B003EE">
        <w:t xml:space="preserve">, et la </w:t>
      </w:r>
      <w:r w:rsidRPr="004637C7">
        <w:t>gravité potentielle</w:t>
      </w:r>
      <w:r w:rsidRPr="00B003EE">
        <w:t xml:space="preserve"> </w:t>
      </w:r>
      <w:r w:rsidRPr="004637C7">
        <w:t>modérée à majeure</w:t>
      </w:r>
      <w:r w:rsidRPr="00B003EE">
        <w:t>, selon le type de véhicule impliqué.</w:t>
      </w:r>
    </w:p>
    <w:p w14:paraId="20C4264C" w14:textId="55A5C08A" w:rsidR="00620B47" w:rsidRPr="00B003EE" w:rsidRDefault="00620B47" w:rsidP="00620B47">
      <w:r w:rsidRPr="00B003EE">
        <w:lastRenderedPageBreak/>
        <w:t xml:space="preserve">Le </w:t>
      </w:r>
      <w:r w:rsidRPr="004637C7">
        <w:t>niveau de criticité global</w:t>
      </w:r>
      <w:r w:rsidRPr="00B003EE">
        <w:t xml:space="preserve"> est évalué comme </w:t>
      </w:r>
      <w:r w:rsidRPr="004637C7">
        <w:t>modéré</w:t>
      </w:r>
      <w:r w:rsidRPr="00B003EE">
        <w:t xml:space="preserve">, compte tenu de la capacité de la </w:t>
      </w:r>
      <w:r w:rsidR="001D422B">
        <w:t>RR212</w:t>
      </w:r>
      <w:r w:rsidRPr="00B003EE">
        <w:t xml:space="preserve"> et de la présence d’une signalisation régulée.</w:t>
      </w:r>
    </w:p>
    <w:p w14:paraId="1FFDE7DC" w14:textId="77777777" w:rsidR="00620B47" w:rsidRPr="00B003EE" w:rsidRDefault="00620B47" w:rsidP="00620B47">
      <w:r w:rsidRPr="00B003EE">
        <w:t xml:space="preserve">Les </w:t>
      </w:r>
      <w:r w:rsidRPr="004637C7">
        <w:t>récepteurs sensibles</w:t>
      </w:r>
      <w:r w:rsidRPr="00B003EE">
        <w:t xml:space="preserve"> sont :</w:t>
      </w:r>
    </w:p>
    <w:p w14:paraId="6AB4A9E0" w14:textId="3888A054" w:rsidR="00620B47" w:rsidRPr="00B003EE" w:rsidRDefault="00620B47" w:rsidP="0001633E">
      <w:pPr>
        <w:numPr>
          <w:ilvl w:val="0"/>
          <w:numId w:val="118"/>
        </w:numPr>
      </w:pPr>
      <w:r w:rsidRPr="00B003EE">
        <w:t xml:space="preserve">les </w:t>
      </w:r>
      <w:r w:rsidRPr="004637C7">
        <w:t xml:space="preserve">usagers de la </w:t>
      </w:r>
      <w:r w:rsidR="001D422B">
        <w:t>RR212</w:t>
      </w:r>
      <w:r w:rsidRPr="00B003EE">
        <w:t xml:space="preserve"> et de la </w:t>
      </w:r>
      <w:r w:rsidRPr="004637C7">
        <w:t>bretelle d’accès</w:t>
      </w:r>
      <w:r w:rsidRPr="00B003EE">
        <w:t xml:space="preserve"> (passagers, chauffeurs de taxi, véhicules de service) ;</w:t>
      </w:r>
    </w:p>
    <w:p w14:paraId="2FE5F71A" w14:textId="38ED9F62" w:rsidR="00620B47" w:rsidRPr="00B003EE" w:rsidRDefault="00620B47" w:rsidP="0001633E">
      <w:pPr>
        <w:numPr>
          <w:ilvl w:val="0"/>
          <w:numId w:val="118"/>
        </w:numPr>
      </w:pPr>
      <w:r w:rsidRPr="00B003EE">
        <w:t xml:space="preserve">le </w:t>
      </w:r>
      <w:r w:rsidRPr="004637C7">
        <w:t>personnel d’exploitation</w:t>
      </w:r>
      <w:r w:rsidRPr="00B003EE">
        <w:t>, en particulier les équipes de sécurité et de maintenance routière;</w:t>
      </w:r>
    </w:p>
    <w:p w14:paraId="24457C89" w14:textId="7BBB9F4C" w:rsidR="00620B47" w:rsidRPr="00B003EE" w:rsidRDefault="00620B47" w:rsidP="0001633E">
      <w:pPr>
        <w:numPr>
          <w:ilvl w:val="0"/>
          <w:numId w:val="118"/>
        </w:numPr>
      </w:pPr>
      <w:r w:rsidRPr="00B003EE">
        <w:t xml:space="preserve">les </w:t>
      </w:r>
      <w:r w:rsidRPr="004637C7">
        <w:t>autorités locales</w:t>
      </w:r>
      <w:r w:rsidRPr="00B003EE">
        <w:t xml:space="preserve"> chargées de la régulation et de la prévention des accidents.</w:t>
      </w:r>
    </w:p>
    <w:p w14:paraId="766E1260" w14:textId="77777777" w:rsidR="00620B47" w:rsidRPr="004637C7" w:rsidRDefault="00620B47" w:rsidP="00620B47">
      <w:pPr>
        <w:rPr>
          <w:rStyle w:val="lev"/>
        </w:rPr>
      </w:pPr>
      <w:r w:rsidRPr="004637C7">
        <w:rPr>
          <w:rStyle w:val="lev"/>
        </w:rPr>
        <w:t>Risque interne au parking avions et aux voies de service (zone airside)</w:t>
      </w:r>
    </w:p>
    <w:p w14:paraId="77C3EB80" w14:textId="5C4CB6A3" w:rsidR="00620B47" w:rsidRPr="00B003EE" w:rsidRDefault="00620B47" w:rsidP="00620B47">
      <w:r w:rsidRPr="00620B47">
        <w:t xml:space="preserve">À </w:t>
      </w:r>
      <w:r w:rsidRPr="00B003EE">
        <w:t xml:space="preserve">l’intérieur de la plateforme aéroportuaire, le </w:t>
      </w:r>
      <w:r w:rsidRPr="004637C7">
        <w:t>parking avions</w:t>
      </w:r>
      <w:r w:rsidRPr="00B003EE">
        <w:t xml:space="preserve"> et les </w:t>
      </w:r>
      <w:r w:rsidRPr="004637C7">
        <w:t>voies de circulation interne</w:t>
      </w:r>
      <w:r w:rsidRPr="00B003EE">
        <w:t xml:space="preserve"> présentent un </w:t>
      </w:r>
      <w:r w:rsidRPr="004637C7">
        <w:t>risque d’accident de trafic au sol</w:t>
      </w:r>
      <w:r w:rsidRPr="00B003EE">
        <w:t>, du fait de la cohabitation entre plusieurs types de véhicules : bus de passagers, tracteurs de remorques à bagages, camions-citernes, véhicules de maintenance et d’assistance, ainsi que le personnel se déplaçant à pied entre les postes d’avions.</w:t>
      </w:r>
    </w:p>
    <w:p w14:paraId="4A994B7E" w14:textId="77777777" w:rsidR="00B003EE" w:rsidRPr="00B003EE" w:rsidRDefault="00620B47" w:rsidP="00620B47">
      <w:r w:rsidRPr="00B003EE">
        <w:t xml:space="preserve">Le risque est de </w:t>
      </w:r>
      <w:r w:rsidRPr="004637C7">
        <w:t>nature négative et directe</w:t>
      </w:r>
      <w:r w:rsidRPr="00B003EE">
        <w:t xml:space="preserve">, à </w:t>
      </w:r>
      <w:r w:rsidRPr="004637C7">
        <w:t>étendue interne</w:t>
      </w:r>
      <w:r w:rsidRPr="00B003EE">
        <w:t>, limitée à la zone du parking avions et aux voies de service.</w:t>
      </w:r>
    </w:p>
    <w:p w14:paraId="1799C85D" w14:textId="77777777" w:rsidR="00B003EE" w:rsidRPr="00B003EE" w:rsidRDefault="00620B47" w:rsidP="00620B47">
      <w:r w:rsidRPr="00B003EE">
        <w:t xml:space="preserve">La </w:t>
      </w:r>
      <w:r w:rsidRPr="004637C7">
        <w:t>probabilité d’occurrence</w:t>
      </w:r>
      <w:r w:rsidRPr="00B003EE">
        <w:t xml:space="preserve"> est </w:t>
      </w:r>
      <w:r w:rsidRPr="004637C7">
        <w:t>probable</w:t>
      </w:r>
      <w:r w:rsidRPr="00B003EE">
        <w:t>, étant donné la densité des mouvements dans ces zones confinées.</w:t>
      </w:r>
    </w:p>
    <w:p w14:paraId="3EDC85B1" w14:textId="5AE17D89" w:rsidR="00620B47" w:rsidRPr="00B003EE" w:rsidRDefault="00620B47" w:rsidP="00620B47">
      <w:r w:rsidRPr="00B003EE">
        <w:t xml:space="preserve">La </w:t>
      </w:r>
      <w:r w:rsidRPr="004637C7">
        <w:t>gravité potentielle</w:t>
      </w:r>
      <w:r w:rsidRPr="00B003EE">
        <w:t xml:space="preserve"> est </w:t>
      </w:r>
      <w:r w:rsidRPr="004637C7">
        <w:t>majeure</w:t>
      </w:r>
      <w:r w:rsidRPr="00B003EE">
        <w:t>, car une collision peut provoquer des blessures graves, des dommages matériels importants, voire affecter la sécurité des opérations aériennes.</w:t>
      </w:r>
    </w:p>
    <w:p w14:paraId="2D019C63" w14:textId="77777777" w:rsidR="00620B47" w:rsidRPr="00B003EE" w:rsidRDefault="00620B47" w:rsidP="00620B47">
      <w:r w:rsidRPr="00B003EE">
        <w:t xml:space="preserve">Ainsi, le </w:t>
      </w:r>
      <w:r w:rsidRPr="004637C7">
        <w:t>niveau de criticité global</w:t>
      </w:r>
      <w:r w:rsidRPr="00B003EE">
        <w:t xml:space="preserve"> est évalué comme </w:t>
      </w:r>
      <w:r w:rsidRPr="004637C7">
        <w:t>significatif avant atténuation</w:t>
      </w:r>
      <w:r w:rsidRPr="00B003EE">
        <w:t>, en raison de la combinaison d’une probabilité élevée et d’une gravité forte.</w:t>
      </w:r>
    </w:p>
    <w:p w14:paraId="31D94793" w14:textId="77777777" w:rsidR="00620B47" w:rsidRPr="00B003EE" w:rsidRDefault="00620B47" w:rsidP="00620B47">
      <w:r w:rsidRPr="00B003EE">
        <w:t xml:space="preserve">Les </w:t>
      </w:r>
      <w:r w:rsidRPr="004637C7">
        <w:t>récepteurs sensibles</w:t>
      </w:r>
      <w:r w:rsidRPr="00B003EE">
        <w:t xml:space="preserve"> sont :</w:t>
      </w:r>
    </w:p>
    <w:p w14:paraId="779BA26C" w14:textId="77777777" w:rsidR="00620B47" w:rsidRPr="00B003EE" w:rsidRDefault="00620B47" w:rsidP="0001633E">
      <w:pPr>
        <w:numPr>
          <w:ilvl w:val="0"/>
          <w:numId w:val="119"/>
        </w:numPr>
      </w:pPr>
      <w:r w:rsidRPr="00B003EE">
        <w:t xml:space="preserve">le </w:t>
      </w:r>
      <w:r w:rsidRPr="004637C7">
        <w:t>personnel d’assistance en escale</w:t>
      </w:r>
      <w:r w:rsidRPr="00B003EE">
        <w:t xml:space="preserve"> et les </w:t>
      </w:r>
      <w:r w:rsidRPr="004637C7">
        <w:t>conducteurs de véhicules aéroportuaires</w:t>
      </w:r>
      <w:r w:rsidRPr="00B003EE">
        <w:t xml:space="preserve"> ;</w:t>
      </w:r>
    </w:p>
    <w:p w14:paraId="77725FF3" w14:textId="77777777" w:rsidR="00620B47" w:rsidRPr="00B003EE" w:rsidRDefault="00620B47" w:rsidP="0001633E">
      <w:pPr>
        <w:numPr>
          <w:ilvl w:val="0"/>
          <w:numId w:val="119"/>
        </w:numPr>
      </w:pPr>
      <w:r w:rsidRPr="00B003EE">
        <w:t xml:space="preserve">le </w:t>
      </w:r>
      <w:r w:rsidRPr="004637C7">
        <w:t>personnel piéton</w:t>
      </w:r>
      <w:r w:rsidRPr="00B003EE">
        <w:t xml:space="preserve"> travaillant dans les zones d’avitaillement, de maintenance ou de chargement des bagages.</w:t>
      </w:r>
    </w:p>
    <w:tbl>
      <w:tblPr>
        <w:tblStyle w:val="TableauGrille1Clair-Accentuation111"/>
        <w:tblW w:w="0" w:type="auto"/>
        <w:tblLook w:val="04A0" w:firstRow="1" w:lastRow="0" w:firstColumn="1" w:lastColumn="0" w:noHBand="0" w:noVBand="1"/>
      </w:tblPr>
      <w:tblGrid>
        <w:gridCol w:w="1558"/>
        <w:gridCol w:w="2370"/>
        <w:gridCol w:w="1475"/>
        <w:gridCol w:w="2249"/>
        <w:gridCol w:w="1408"/>
      </w:tblGrid>
      <w:tr w:rsidR="00D64278" w:rsidRPr="00D64278" w14:paraId="4AB0A15E" w14:textId="77777777" w:rsidTr="00EC4116">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0" w:type="auto"/>
            <w:hideMark/>
          </w:tcPr>
          <w:p w14:paraId="666A3FB2" w14:textId="77777777" w:rsidR="00EC4116" w:rsidRPr="00AA22F2" w:rsidRDefault="00EC4116" w:rsidP="00EC4116">
            <w:pPr>
              <w:rPr>
                <w:szCs w:val="20"/>
              </w:rPr>
            </w:pPr>
            <w:r w:rsidRPr="00AA22F2">
              <w:rPr>
                <w:szCs w:val="20"/>
              </w:rPr>
              <w:t>Risque</w:t>
            </w:r>
          </w:p>
        </w:tc>
        <w:tc>
          <w:tcPr>
            <w:tcW w:w="0" w:type="auto"/>
            <w:hideMark/>
          </w:tcPr>
          <w:p w14:paraId="151A8EBF" w14:textId="77777777" w:rsidR="00EC4116" w:rsidRPr="00AA22F2" w:rsidRDefault="00EC4116" w:rsidP="00EC4116">
            <w:pPr>
              <w:cnfStyle w:val="100000000000" w:firstRow="1" w:lastRow="0" w:firstColumn="0" w:lastColumn="0" w:oddVBand="0" w:evenVBand="0" w:oddHBand="0" w:evenHBand="0" w:firstRowFirstColumn="0" w:firstRowLastColumn="0" w:lastRowFirstColumn="0" w:lastRowLastColumn="0"/>
              <w:rPr>
                <w:szCs w:val="20"/>
              </w:rPr>
            </w:pPr>
            <w:r w:rsidRPr="00AA22F2">
              <w:rPr>
                <w:szCs w:val="20"/>
              </w:rPr>
              <w:t>Activités génératrices</w:t>
            </w:r>
          </w:p>
        </w:tc>
        <w:tc>
          <w:tcPr>
            <w:tcW w:w="0" w:type="auto"/>
            <w:hideMark/>
          </w:tcPr>
          <w:p w14:paraId="36E2EB43" w14:textId="77777777" w:rsidR="00EC4116" w:rsidRPr="00AA22F2" w:rsidRDefault="00EC4116" w:rsidP="00EC4116">
            <w:pPr>
              <w:cnfStyle w:val="100000000000" w:firstRow="1" w:lastRow="0" w:firstColumn="0" w:lastColumn="0" w:oddVBand="0" w:evenVBand="0" w:oddHBand="0" w:evenHBand="0" w:firstRowFirstColumn="0" w:firstRowLastColumn="0" w:lastRowFirstColumn="0" w:lastRowLastColumn="0"/>
              <w:rPr>
                <w:szCs w:val="20"/>
              </w:rPr>
            </w:pPr>
            <w:r w:rsidRPr="00AA22F2">
              <w:rPr>
                <w:szCs w:val="20"/>
              </w:rPr>
              <w:t>Critère</w:t>
            </w:r>
          </w:p>
        </w:tc>
        <w:tc>
          <w:tcPr>
            <w:tcW w:w="0" w:type="auto"/>
            <w:hideMark/>
          </w:tcPr>
          <w:p w14:paraId="3A6833D2" w14:textId="77777777" w:rsidR="00EC4116" w:rsidRPr="00AA22F2" w:rsidRDefault="00EC4116" w:rsidP="00EC4116">
            <w:pPr>
              <w:cnfStyle w:val="100000000000" w:firstRow="1" w:lastRow="0" w:firstColumn="0" w:lastColumn="0" w:oddVBand="0" w:evenVBand="0" w:oddHBand="0" w:evenHBand="0" w:firstRowFirstColumn="0" w:firstRowLastColumn="0" w:lastRowFirstColumn="0" w:lastRowLastColumn="0"/>
              <w:rPr>
                <w:szCs w:val="20"/>
              </w:rPr>
            </w:pPr>
            <w:r w:rsidRPr="00AA22F2">
              <w:rPr>
                <w:szCs w:val="20"/>
              </w:rPr>
              <w:t>Justification</w:t>
            </w:r>
          </w:p>
        </w:tc>
        <w:tc>
          <w:tcPr>
            <w:tcW w:w="0" w:type="auto"/>
            <w:hideMark/>
          </w:tcPr>
          <w:p w14:paraId="4A98C7E5" w14:textId="77777777" w:rsidR="00EC4116" w:rsidRPr="00AA22F2" w:rsidRDefault="00EC4116" w:rsidP="00EC4116">
            <w:pPr>
              <w:cnfStyle w:val="100000000000" w:firstRow="1" w:lastRow="0" w:firstColumn="0" w:lastColumn="0" w:oddVBand="0" w:evenVBand="0" w:oddHBand="0" w:evenHBand="0" w:firstRowFirstColumn="0" w:firstRowLastColumn="0" w:lastRowFirstColumn="0" w:lastRowLastColumn="0"/>
              <w:rPr>
                <w:szCs w:val="20"/>
              </w:rPr>
            </w:pPr>
            <w:r w:rsidRPr="00AA22F2">
              <w:rPr>
                <w:szCs w:val="20"/>
              </w:rPr>
              <w:t>Niveau</w:t>
            </w:r>
          </w:p>
        </w:tc>
      </w:tr>
      <w:tr w:rsidR="00EC4116" w:rsidRPr="00D64278" w14:paraId="0CE5CFCD" w14:textId="77777777" w:rsidTr="005A7661">
        <w:tc>
          <w:tcPr>
            <w:cnfStyle w:val="001000000000" w:firstRow="0" w:lastRow="0" w:firstColumn="1" w:lastColumn="0" w:oddVBand="0" w:evenVBand="0" w:oddHBand="0" w:evenHBand="0" w:firstRowFirstColumn="0" w:firstRowLastColumn="0" w:lastRowFirstColumn="0" w:lastRowLastColumn="0"/>
            <w:tcW w:w="0" w:type="auto"/>
            <w:vMerge w:val="restart"/>
            <w:hideMark/>
          </w:tcPr>
          <w:p w14:paraId="518041EE" w14:textId="5988FEB3" w:rsidR="00EC4116" w:rsidRPr="00AA22F2" w:rsidRDefault="00EC4116" w:rsidP="00EC4116">
            <w:pPr>
              <w:rPr>
                <w:szCs w:val="20"/>
              </w:rPr>
            </w:pPr>
            <w:r w:rsidRPr="00AA22F2">
              <w:rPr>
                <w:szCs w:val="20"/>
              </w:rPr>
              <w:t>Risque d’accident routier sur les voies d’accès externes (</w:t>
            </w:r>
            <w:r w:rsidR="00012928">
              <w:rPr>
                <w:szCs w:val="20"/>
              </w:rPr>
              <w:t>RR212</w:t>
            </w:r>
            <w:r w:rsidRPr="00AA22F2">
              <w:rPr>
                <w:szCs w:val="20"/>
              </w:rPr>
              <w:t xml:space="preserve"> et bretelle d’accès)</w:t>
            </w:r>
          </w:p>
        </w:tc>
        <w:tc>
          <w:tcPr>
            <w:tcW w:w="0" w:type="auto"/>
            <w:vMerge w:val="restart"/>
            <w:hideMark/>
          </w:tcPr>
          <w:p w14:paraId="406E329C" w14:textId="31B814A5" w:rsidR="00EC4116" w:rsidRPr="00AA22F2" w:rsidRDefault="00EC4116" w:rsidP="00EC4116">
            <w:pPr>
              <w:cnfStyle w:val="000000000000" w:firstRow="0" w:lastRow="0" w:firstColumn="0" w:lastColumn="0" w:oddVBand="0" w:evenVBand="0" w:oddHBand="0" w:evenHBand="0" w:firstRowFirstColumn="0" w:firstRowLastColumn="0" w:lastRowFirstColumn="0" w:lastRowLastColumn="0"/>
              <w:rPr>
                <w:szCs w:val="20"/>
              </w:rPr>
            </w:pPr>
            <w:r w:rsidRPr="00AA22F2">
              <w:rPr>
                <w:szCs w:val="20"/>
              </w:rPr>
              <w:t xml:space="preserve">Circulation accrue de taxis, navettes, véhicules de service et du personnel sur la </w:t>
            </w:r>
            <w:r w:rsidR="00012928">
              <w:rPr>
                <w:szCs w:val="20"/>
              </w:rPr>
              <w:t>RR212</w:t>
            </w:r>
            <w:r w:rsidRPr="00AA22F2">
              <w:rPr>
                <w:szCs w:val="20"/>
              </w:rPr>
              <w:t xml:space="preserve"> et la bretelle d’accès à l’aéroport liée à l’augmentation du trafic aérien.</w:t>
            </w:r>
          </w:p>
        </w:tc>
        <w:tc>
          <w:tcPr>
            <w:tcW w:w="0" w:type="auto"/>
            <w:hideMark/>
          </w:tcPr>
          <w:p w14:paraId="5E985AC5" w14:textId="77777777" w:rsidR="00EC4116" w:rsidRPr="00AA22F2" w:rsidRDefault="00EC4116" w:rsidP="00EC4116">
            <w:pPr>
              <w:cnfStyle w:val="000000000000" w:firstRow="0" w:lastRow="0" w:firstColumn="0" w:lastColumn="0" w:oddVBand="0" w:evenVBand="0" w:oddHBand="0" w:evenHBand="0" w:firstRowFirstColumn="0" w:firstRowLastColumn="0" w:lastRowFirstColumn="0" w:lastRowLastColumn="0"/>
              <w:rPr>
                <w:szCs w:val="20"/>
              </w:rPr>
            </w:pPr>
            <w:r w:rsidRPr="00AA22F2">
              <w:rPr>
                <w:b/>
                <w:bCs/>
                <w:szCs w:val="20"/>
              </w:rPr>
              <w:t>Probabilité d’occurrence</w:t>
            </w:r>
          </w:p>
        </w:tc>
        <w:tc>
          <w:tcPr>
            <w:tcW w:w="0" w:type="auto"/>
            <w:hideMark/>
          </w:tcPr>
          <w:p w14:paraId="15DF1814" w14:textId="77777777" w:rsidR="00EC4116" w:rsidRPr="00AA22F2" w:rsidRDefault="00EC4116" w:rsidP="00EC4116">
            <w:pPr>
              <w:cnfStyle w:val="000000000000" w:firstRow="0" w:lastRow="0" w:firstColumn="0" w:lastColumn="0" w:oddVBand="0" w:evenVBand="0" w:oddHBand="0" w:evenHBand="0" w:firstRowFirstColumn="0" w:firstRowLastColumn="0" w:lastRowFirstColumn="0" w:lastRowLastColumn="0"/>
              <w:rPr>
                <w:szCs w:val="20"/>
              </w:rPr>
            </w:pPr>
            <w:r w:rsidRPr="00AA22F2">
              <w:rPr>
                <w:szCs w:val="20"/>
              </w:rPr>
              <w:t>Le risque d’accident est occasionnel, car les flux sont concentrés aux heures de pointe et régulés par la signalisation existante.</w:t>
            </w:r>
          </w:p>
        </w:tc>
        <w:tc>
          <w:tcPr>
            <w:tcW w:w="0" w:type="auto"/>
            <w:hideMark/>
          </w:tcPr>
          <w:p w14:paraId="2AAB68F2" w14:textId="77777777" w:rsidR="00EC4116" w:rsidRPr="00AA22F2" w:rsidRDefault="00EC4116" w:rsidP="00EC4116">
            <w:pPr>
              <w:cnfStyle w:val="000000000000" w:firstRow="0" w:lastRow="0" w:firstColumn="0" w:lastColumn="0" w:oddVBand="0" w:evenVBand="0" w:oddHBand="0" w:evenHBand="0" w:firstRowFirstColumn="0" w:firstRowLastColumn="0" w:lastRowFirstColumn="0" w:lastRowLastColumn="0"/>
              <w:rPr>
                <w:szCs w:val="20"/>
              </w:rPr>
            </w:pPr>
            <w:r w:rsidRPr="00AA22F2">
              <w:rPr>
                <w:b/>
                <w:bCs/>
                <w:szCs w:val="20"/>
              </w:rPr>
              <w:t>Occasionnelle</w:t>
            </w:r>
          </w:p>
        </w:tc>
      </w:tr>
      <w:tr w:rsidR="00EC4116" w:rsidRPr="00D64278" w14:paraId="03785AD7" w14:textId="77777777" w:rsidTr="005A7661">
        <w:tc>
          <w:tcPr>
            <w:cnfStyle w:val="001000000000" w:firstRow="0" w:lastRow="0" w:firstColumn="1" w:lastColumn="0" w:oddVBand="0" w:evenVBand="0" w:oddHBand="0" w:evenHBand="0" w:firstRowFirstColumn="0" w:firstRowLastColumn="0" w:lastRowFirstColumn="0" w:lastRowLastColumn="0"/>
            <w:tcW w:w="0" w:type="auto"/>
            <w:vMerge/>
            <w:hideMark/>
          </w:tcPr>
          <w:p w14:paraId="6761B4AD" w14:textId="77777777" w:rsidR="00EC4116" w:rsidRPr="00AA22F2" w:rsidRDefault="00EC4116" w:rsidP="00EC4116">
            <w:pPr>
              <w:rPr>
                <w:szCs w:val="20"/>
              </w:rPr>
            </w:pPr>
          </w:p>
        </w:tc>
        <w:tc>
          <w:tcPr>
            <w:tcW w:w="0" w:type="auto"/>
            <w:vMerge/>
            <w:hideMark/>
          </w:tcPr>
          <w:p w14:paraId="2A5D3C72" w14:textId="77777777" w:rsidR="00EC4116" w:rsidRPr="00AA22F2" w:rsidRDefault="00EC4116" w:rsidP="00EC4116">
            <w:pPr>
              <w:cnfStyle w:val="000000000000" w:firstRow="0" w:lastRow="0" w:firstColumn="0" w:lastColumn="0" w:oddVBand="0" w:evenVBand="0" w:oddHBand="0" w:evenHBand="0" w:firstRowFirstColumn="0" w:firstRowLastColumn="0" w:lastRowFirstColumn="0" w:lastRowLastColumn="0"/>
              <w:rPr>
                <w:szCs w:val="20"/>
              </w:rPr>
            </w:pPr>
          </w:p>
        </w:tc>
        <w:tc>
          <w:tcPr>
            <w:tcW w:w="0" w:type="auto"/>
            <w:hideMark/>
          </w:tcPr>
          <w:p w14:paraId="55E4B4F5" w14:textId="77777777" w:rsidR="00EC4116" w:rsidRPr="00AA22F2" w:rsidRDefault="00EC4116" w:rsidP="00EC4116">
            <w:pPr>
              <w:cnfStyle w:val="000000000000" w:firstRow="0" w:lastRow="0" w:firstColumn="0" w:lastColumn="0" w:oddVBand="0" w:evenVBand="0" w:oddHBand="0" w:evenHBand="0" w:firstRowFirstColumn="0" w:firstRowLastColumn="0" w:lastRowFirstColumn="0" w:lastRowLastColumn="0"/>
              <w:rPr>
                <w:szCs w:val="20"/>
              </w:rPr>
            </w:pPr>
            <w:r w:rsidRPr="00AA22F2">
              <w:rPr>
                <w:b/>
                <w:bCs/>
                <w:szCs w:val="20"/>
              </w:rPr>
              <w:t>Gravité des conséquences</w:t>
            </w:r>
          </w:p>
        </w:tc>
        <w:tc>
          <w:tcPr>
            <w:tcW w:w="0" w:type="auto"/>
            <w:hideMark/>
          </w:tcPr>
          <w:p w14:paraId="41FF0926" w14:textId="77777777" w:rsidR="00EC4116" w:rsidRPr="00AA22F2" w:rsidRDefault="00EC4116" w:rsidP="00EC4116">
            <w:pPr>
              <w:cnfStyle w:val="000000000000" w:firstRow="0" w:lastRow="0" w:firstColumn="0" w:lastColumn="0" w:oddVBand="0" w:evenVBand="0" w:oddHBand="0" w:evenHBand="0" w:firstRowFirstColumn="0" w:firstRowLastColumn="0" w:lastRowFirstColumn="0" w:lastRowLastColumn="0"/>
              <w:rPr>
                <w:szCs w:val="20"/>
              </w:rPr>
            </w:pPr>
            <w:r w:rsidRPr="00AA22F2">
              <w:rPr>
                <w:szCs w:val="20"/>
              </w:rPr>
              <w:t xml:space="preserve">Un accident pourrait provoquer des blessures ou des dommages matériels sans conséquence irréversible ; la gravité dépend du </w:t>
            </w:r>
            <w:r w:rsidRPr="00AA22F2">
              <w:rPr>
                <w:szCs w:val="20"/>
              </w:rPr>
              <w:lastRenderedPageBreak/>
              <w:t>type de véhicule impliqué.</w:t>
            </w:r>
          </w:p>
        </w:tc>
        <w:tc>
          <w:tcPr>
            <w:tcW w:w="0" w:type="auto"/>
            <w:hideMark/>
          </w:tcPr>
          <w:p w14:paraId="700ED117" w14:textId="77777777" w:rsidR="00EC4116" w:rsidRPr="00AA22F2" w:rsidRDefault="00EC4116" w:rsidP="00EC4116">
            <w:pPr>
              <w:cnfStyle w:val="000000000000" w:firstRow="0" w:lastRow="0" w:firstColumn="0" w:lastColumn="0" w:oddVBand="0" w:evenVBand="0" w:oddHBand="0" w:evenHBand="0" w:firstRowFirstColumn="0" w:firstRowLastColumn="0" w:lastRowFirstColumn="0" w:lastRowLastColumn="0"/>
              <w:rPr>
                <w:szCs w:val="20"/>
              </w:rPr>
            </w:pPr>
            <w:r w:rsidRPr="00AA22F2">
              <w:rPr>
                <w:b/>
                <w:bCs/>
                <w:szCs w:val="20"/>
              </w:rPr>
              <w:lastRenderedPageBreak/>
              <w:t>Modérée à majeure</w:t>
            </w:r>
          </w:p>
        </w:tc>
      </w:tr>
      <w:tr w:rsidR="00EC4116" w:rsidRPr="00D64278" w14:paraId="1F68437B" w14:textId="77777777" w:rsidTr="005A7661">
        <w:tc>
          <w:tcPr>
            <w:cnfStyle w:val="001000000000" w:firstRow="0" w:lastRow="0" w:firstColumn="1" w:lastColumn="0" w:oddVBand="0" w:evenVBand="0" w:oddHBand="0" w:evenHBand="0" w:firstRowFirstColumn="0" w:firstRowLastColumn="0" w:lastRowFirstColumn="0" w:lastRowLastColumn="0"/>
            <w:tcW w:w="0" w:type="auto"/>
            <w:vMerge/>
            <w:hideMark/>
          </w:tcPr>
          <w:p w14:paraId="3B41AAC5" w14:textId="77777777" w:rsidR="00EC4116" w:rsidRPr="00AA22F2" w:rsidRDefault="00EC4116" w:rsidP="00EC4116">
            <w:pPr>
              <w:rPr>
                <w:szCs w:val="20"/>
              </w:rPr>
            </w:pPr>
          </w:p>
        </w:tc>
        <w:tc>
          <w:tcPr>
            <w:tcW w:w="0" w:type="auto"/>
            <w:vMerge/>
            <w:hideMark/>
          </w:tcPr>
          <w:p w14:paraId="6141180A" w14:textId="77777777" w:rsidR="00EC4116" w:rsidRPr="00AA22F2" w:rsidRDefault="00EC4116" w:rsidP="00EC4116">
            <w:pPr>
              <w:cnfStyle w:val="000000000000" w:firstRow="0" w:lastRow="0" w:firstColumn="0" w:lastColumn="0" w:oddVBand="0" w:evenVBand="0" w:oddHBand="0" w:evenHBand="0" w:firstRowFirstColumn="0" w:firstRowLastColumn="0" w:lastRowFirstColumn="0" w:lastRowLastColumn="0"/>
              <w:rPr>
                <w:szCs w:val="20"/>
              </w:rPr>
            </w:pPr>
          </w:p>
        </w:tc>
        <w:tc>
          <w:tcPr>
            <w:tcW w:w="0" w:type="auto"/>
            <w:hideMark/>
          </w:tcPr>
          <w:p w14:paraId="1944149F" w14:textId="77777777" w:rsidR="00EC4116" w:rsidRPr="00AA22F2" w:rsidRDefault="00EC4116" w:rsidP="00EC4116">
            <w:pPr>
              <w:cnfStyle w:val="000000000000" w:firstRow="0" w:lastRow="0" w:firstColumn="0" w:lastColumn="0" w:oddVBand="0" w:evenVBand="0" w:oddHBand="0" w:evenHBand="0" w:firstRowFirstColumn="0" w:firstRowLastColumn="0" w:lastRowFirstColumn="0" w:lastRowLastColumn="0"/>
              <w:rPr>
                <w:szCs w:val="20"/>
              </w:rPr>
            </w:pPr>
            <w:r w:rsidRPr="00AA22F2">
              <w:rPr>
                <w:b/>
                <w:bCs/>
                <w:szCs w:val="20"/>
              </w:rPr>
              <w:t>Évaluation globale du risque</w:t>
            </w:r>
          </w:p>
        </w:tc>
        <w:tc>
          <w:tcPr>
            <w:tcW w:w="0" w:type="auto"/>
            <w:hideMark/>
          </w:tcPr>
          <w:p w14:paraId="63D7DB32" w14:textId="77777777" w:rsidR="00EC4116" w:rsidRPr="00AA22F2" w:rsidRDefault="00EC4116" w:rsidP="00EC4116">
            <w:pPr>
              <w:cnfStyle w:val="000000000000" w:firstRow="0" w:lastRow="0" w:firstColumn="0" w:lastColumn="0" w:oddVBand="0" w:evenVBand="0" w:oddHBand="0" w:evenHBand="0" w:firstRowFirstColumn="0" w:firstRowLastColumn="0" w:lastRowFirstColumn="0" w:lastRowLastColumn="0"/>
              <w:rPr>
                <w:szCs w:val="20"/>
              </w:rPr>
            </w:pPr>
            <w:r w:rsidRPr="00AA22F2">
              <w:rPr>
                <w:szCs w:val="20"/>
              </w:rPr>
              <w:t>En combinant une probabilité occasionnelle et une gravité modérée à majeure, le risque est évalué comme modéré avant atténuation.</w:t>
            </w:r>
          </w:p>
        </w:tc>
        <w:tc>
          <w:tcPr>
            <w:tcW w:w="0" w:type="auto"/>
            <w:hideMark/>
          </w:tcPr>
          <w:p w14:paraId="6B00F949" w14:textId="77777777" w:rsidR="00EC4116" w:rsidRPr="00AA22F2" w:rsidRDefault="00EC4116" w:rsidP="00EC4116">
            <w:pPr>
              <w:cnfStyle w:val="000000000000" w:firstRow="0" w:lastRow="0" w:firstColumn="0" w:lastColumn="0" w:oddVBand="0" w:evenVBand="0" w:oddHBand="0" w:evenHBand="0" w:firstRowFirstColumn="0" w:firstRowLastColumn="0" w:lastRowFirstColumn="0" w:lastRowLastColumn="0"/>
              <w:rPr>
                <w:szCs w:val="20"/>
              </w:rPr>
            </w:pPr>
            <w:r w:rsidRPr="00AA22F2">
              <w:rPr>
                <w:b/>
                <w:bCs/>
                <w:szCs w:val="20"/>
              </w:rPr>
              <w:t>Modérée</w:t>
            </w:r>
          </w:p>
        </w:tc>
      </w:tr>
      <w:tr w:rsidR="00EC4116" w:rsidRPr="008106BC" w14:paraId="2740F276" w14:textId="77777777" w:rsidTr="005A7661">
        <w:tc>
          <w:tcPr>
            <w:cnfStyle w:val="001000000000" w:firstRow="0" w:lastRow="0" w:firstColumn="1" w:lastColumn="0" w:oddVBand="0" w:evenVBand="0" w:oddHBand="0" w:evenHBand="0" w:firstRowFirstColumn="0" w:firstRowLastColumn="0" w:lastRowFirstColumn="0" w:lastRowLastColumn="0"/>
            <w:tcW w:w="0" w:type="auto"/>
            <w:vMerge w:val="restart"/>
            <w:hideMark/>
          </w:tcPr>
          <w:p w14:paraId="7E06FC13" w14:textId="41777E8E" w:rsidR="00EC4116" w:rsidRPr="00AA22F2" w:rsidRDefault="00EC4116" w:rsidP="00EC4116">
            <w:pPr>
              <w:rPr>
                <w:szCs w:val="20"/>
              </w:rPr>
            </w:pPr>
            <w:r w:rsidRPr="00AA22F2">
              <w:rPr>
                <w:szCs w:val="20"/>
              </w:rPr>
              <w:t xml:space="preserve">Risque d’accident de circulation interne </w:t>
            </w:r>
          </w:p>
        </w:tc>
        <w:tc>
          <w:tcPr>
            <w:tcW w:w="0" w:type="auto"/>
            <w:vMerge w:val="restart"/>
            <w:hideMark/>
          </w:tcPr>
          <w:p w14:paraId="6D015D4F" w14:textId="77777777" w:rsidR="00EC4116" w:rsidRPr="00AA22F2" w:rsidRDefault="00EC4116" w:rsidP="00EC4116">
            <w:pPr>
              <w:cnfStyle w:val="000000000000" w:firstRow="0" w:lastRow="0" w:firstColumn="0" w:lastColumn="0" w:oddVBand="0" w:evenVBand="0" w:oddHBand="0" w:evenHBand="0" w:firstRowFirstColumn="0" w:firstRowLastColumn="0" w:lastRowFirstColumn="0" w:lastRowLastColumn="0"/>
              <w:rPr>
                <w:szCs w:val="20"/>
              </w:rPr>
            </w:pPr>
            <w:r w:rsidRPr="00AA22F2">
              <w:rPr>
                <w:szCs w:val="20"/>
              </w:rPr>
              <w:t>Circulation simultanée de bus de passagers, tracteurs à bagages, camions-citernes, véhicules d’assistance et déplacements piétons en zone opérationnelle.</w:t>
            </w:r>
          </w:p>
        </w:tc>
        <w:tc>
          <w:tcPr>
            <w:tcW w:w="0" w:type="auto"/>
            <w:hideMark/>
          </w:tcPr>
          <w:p w14:paraId="68659C01" w14:textId="77777777" w:rsidR="00EC4116" w:rsidRPr="00AA22F2" w:rsidRDefault="00EC4116" w:rsidP="00EC4116">
            <w:pPr>
              <w:cnfStyle w:val="000000000000" w:firstRow="0" w:lastRow="0" w:firstColumn="0" w:lastColumn="0" w:oddVBand="0" w:evenVBand="0" w:oddHBand="0" w:evenHBand="0" w:firstRowFirstColumn="0" w:firstRowLastColumn="0" w:lastRowFirstColumn="0" w:lastRowLastColumn="0"/>
              <w:rPr>
                <w:b/>
                <w:bCs/>
                <w:szCs w:val="20"/>
              </w:rPr>
            </w:pPr>
            <w:r w:rsidRPr="00AA22F2">
              <w:rPr>
                <w:b/>
                <w:bCs/>
                <w:szCs w:val="20"/>
              </w:rPr>
              <w:t>Probabilité d’occurrence</w:t>
            </w:r>
          </w:p>
        </w:tc>
        <w:tc>
          <w:tcPr>
            <w:tcW w:w="0" w:type="auto"/>
            <w:hideMark/>
          </w:tcPr>
          <w:p w14:paraId="1D1EB964" w14:textId="77777777" w:rsidR="00EC4116" w:rsidRPr="00AA22F2" w:rsidRDefault="00EC4116" w:rsidP="00EC4116">
            <w:pPr>
              <w:cnfStyle w:val="000000000000" w:firstRow="0" w:lastRow="0" w:firstColumn="0" w:lastColumn="0" w:oddVBand="0" w:evenVBand="0" w:oddHBand="0" w:evenHBand="0" w:firstRowFirstColumn="0" w:firstRowLastColumn="0" w:lastRowFirstColumn="0" w:lastRowLastColumn="0"/>
              <w:rPr>
                <w:szCs w:val="20"/>
              </w:rPr>
            </w:pPr>
            <w:r w:rsidRPr="00AA22F2">
              <w:rPr>
                <w:szCs w:val="20"/>
              </w:rPr>
              <w:t>Le risque est probable compte tenu de la densité des mouvements dans la zone airside et de la proximité des véhicules avec les zones piétonnes et les aéronefs.</w:t>
            </w:r>
          </w:p>
        </w:tc>
        <w:tc>
          <w:tcPr>
            <w:tcW w:w="0" w:type="auto"/>
            <w:hideMark/>
          </w:tcPr>
          <w:p w14:paraId="3EBB01CD" w14:textId="77777777" w:rsidR="00EC4116" w:rsidRPr="00AA22F2" w:rsidRDefault="00EC4116" w:rsidP="00EC4116">
            <w:pPr>
              <w:cnfStyle w:val="000000000000" w:firstRow="0" w:lastRow="0" w:firstColumn="0" w:lastColumn="0" w:oddVBand="0" w:evenVBand="0" w:oddHBand="0" w:evenHBand="0" w:firstRowFirstColumn="0" w:firstRowLastColumn="0" w:lastRowFirstColumn="0" w:lastRowLastColumn="0"/>
              <w:rPr>
                <w:b/>
                <w:bCs/>
                <w:szCs w:val="20"/>
              </w:rPr>
            </w:pPr>
            <w:r w:rsidRPr="00AA22F2">
              <w:rPr>
                <w:b/>
                <w:bCs/>
                <w:szCs w:val="20"/>
              </w:rPr>
              <w:t>Probable</w:t>
            </w:r>
          </w:p>
        </w:tc>
      </w:tr>
      <w:tr w:rsidR="00EC4116" w:rsidRPr="008106BC" w14:paraId="71A836E4" w14:textId="77777777" w:rsidTr="005A7661">
        <w:tc>
          <w:tcPr>
            <w:cnfStyle w:val="001000000000" w:firstRow="0" w:lastRow="0" w:firstColumn="1" w:lastColumn="0" w:oddVBand="0" w:evenVBand="0" w:oddHBand="0" w:evenHBand="0" w:firstRowFirstColumn="0" w:firstRowLastColumn="0" w:lastRowFirstColumn="0" w:lastRowLastColumn="0"/>
            <w:tcW w:w="0" w:type="auto"/>
            <w:vMerge/>
            <w:hideMark/>
          </w:tcPr>
          <w:p w14:paraId="01A25C4F" w14:textId="77777777" w:rsidR="00EC4116" w:rsidRPr="00AA22F2" w:rsidRDefault="00EC4116" w:rsidP="00EC4116">
            <w:pPr>
              <w:rPr>
                <w:szCs w:val="20"/>
              </w:rPr>
            </w:pPr>
          </w:p>
        </w:tc>
        <w:tc>
          <w:tcPr>
            <w:tcW w:w="0" w:type="auto"/>
            <w:vMerge/>
            <w:hideMark/>
          </w:tcPr>
          <w:p w14:paraId="4CBBE218" w14:textId="77777777" w:rsidR="00EC4116" w:rsidRPr="00AA22F2" w:rsidRDefault="00EC4116" w:rsidP="00EC4116">
            <w:pPr>
              <w:cnfStyle w:val="000000000000" w:firstRow="0" w:lastRow="0" w:firstColumn="0" w:lastColumn="0" w:oddVBand="0" w:evenVBand="0" w:oddHBand="0" w:evenHBand="0" w:firstRowFirstColumn="0" w:firstRowLastColumn="0" w:lastRowFirstColumn="0" w:lastRowLastColumn="0"/>
              <w:rPr>
                <w:szCs w:val="20"/>
              </w:rPr>
            </w:pPr>
          </w:p>
        </w:tc>
        <w:tc>
          <w:tcPr>
            <w:tcW w:w="0" w:type="auto"/>
            <w:hideMark/>
          </w:tcPr>
          <w:p w14:paraId="5EDD90AE" w14:textId="77777777" w:rsidR="00EC4116" w:rsidRPr="00AA22F2" w:rsidRDefault="00EC4116" w:rsidP="00EC4116">
            <w:pPr>
              <w:cnfStyle w:val="000000000000" w:firstRow="0" w:lastRow="0" w:firstColumn="0" w:lastColumn="0" w:oddVBand="0" w:evenVBand="0" w:oddHBand="0" w:evenHBand="0" w:firstRowFirstColumn="0" w:firstRowLastColumn="0" w:lastRowFirstColumn="0" w:lastRowLastColumn="0"/>
              <w:rPr>
                <w:b/>
                <w:bCs/>
                <w:szCs w:val="20"/>
              </w:rPr>
            </w:pPr>
            <w:r w:rsidRPr="00AA22F2">
              <w:rPr>
                <w:b/>
                <w:bCs/>
                <w:szCs w:val="20"/>
              </w:rPr>
              <w:t>Gravité des conséquences</w:t>
            </w:r>
          </w:p>
        </w:tc>
        <w:tc>
          <w:tcPr>
            <w:tcW w:w="0" w:type="auto"/>
            <w:hideMark/>
          </w:tcPr>
          <w:p w14:paraId="75043FF8" w14:textId="77777777" w:rsidR="00EC4116" w:rsidRPr="00AA22F2" w:rsidRDefault="00EC4116" w:rsidP="00EC4116">
            <w:pPr>
              <w:cnfStyle w:val="000000000000" w:firstRow="0" w:lastRow="0" w:firstColumn="0" w:lastColumn="0" w:oddVBand="0" w:evenVBand="0" w:oddHBand="0" w:evenHBand="0" w:firstRowFirstColumn="0" w:firstRowLastColumn="0" w:lastRowFirstColumn="0" w:lastRowLastColumn="0"/>
              <w:rPr>
                <w:szCs w:val="20"/>
              </w:rPr>
            </w:pPr>
            <w:r w:rsidRPr="00AA22F2">
              <w:rPr>
                <w:szCs w:val="20"/>
              </w:rPr>
              <w:t>Une collision pourrait entraîner des blessures graves, des dommages matériels ou impacter la sécurité des opérations aériennes.</w:t>
            </w:r>
          </w:p>
        </w:tc>
        <w:tc>
          <w:tcPr>
            <w:tcW w:w="0" w:type="auto"/>
            <w:hideMark/>
          </w:tcPr>
          <w:p w14:paraId="3F17085A" w14:textId="77777777" w:rsidR="00EC4116" w:rsidRPr="00AA22F2" w:rsidRDefault="00EC4116" w:rsidP="00EC4116">
            <w:pPr>
              <w:cnfStyle w:val="000000000000" w:firstRow="0" w:lastRow="0" w:firstColumn="0" w:lastColumn="0" w:oddVBand="0" w:evenVBand="0" w:oddHBand="0" w:evenHBand="0" w:firstRowFirstColumn="0" w:firstRowLastColumn="0" w:lastRowFirstColumn="0" w:lastRowLastColumn="0"/>
              <w:rPr>
                <w:b/>
                <w:bCs/>
                <w:szCs w:val="20"/>
              </w:rPr>
            </w:pPr>
            <w:r w:rsidRPr="00AA22F2">
              <w:rPr>
                <w:b/>
                <w:bCs/>
                <w:szCs w:val="20"/>
              </w:rPr>
              <w:t>Majeure</w:t>
            </w:r>
          </w:p>
        </w:tc>
      </w:tr>
      <w:tr w:rsidR="00EC4116" w:rsidRPr="008106BC" w14:paraId="16F8E3DF" w14:textId="77777777" w:rsidTr="005A7661">
        <w:tc>
          <w:tcPr>
            <w:cnfStyle w:val="001000000000" w:firstRow="0" w:lastRow="0" w:firstColumn="1" w:lastColumn="0" w:oddVBand="0" w:evenVBand="0" w:oddHBand="0" w:evenHBand="0" w:firstRowFirstColumn="0" w:firstRowLastColumn="0" w:lastRowFirstColumn="0" w:lastRowLastColumn="0"/>
            <w:tcW w:w="0" w:type="auto"/>
            <w:vMerge/>
            <w:hideMark/>
          </w:tcPr>
          <w:p w14:paraId="5D4EACA2" w14:textId="77777777" w:rsidR="00EC4116" w:rsidRPr="00AA22F2" w:rsidRDefault="00EC4116" w:rsidP="00EC4116">
            <w:pPr>
              <w:rPr>
                <w:szCs w:val="20"/>
              </w:rPr>
            </w:pPr>
          </w:p>
        </w:tc>
        <w:tc>
          <w:tcPr>
            <w:tcW w:w="0" w:type="auto"/>
            <w:vMerge/>
            <w:hideMark/>
          </w:tcPr>
          <w:p w14:paraId="2E419A98" w14:textId="77777777" w:rsidR="00EC4116" w:rsidRPr="00AA22F2" w:rsidRDefault="00EC4116" w:rsidP="00EC4116">
            <w:pPr>
              <w:cnfStyle w:val="000000000000" w:firstRow="0" w:lastRow="0" w:firstColumn="0" w:lastColumn="0" w:oddVBand="0" w:evenVBand="0" w:oddHBand="0" w:evenHBand="0" w:firstRowFirstColumn="0" w:firstRowLastColumn="0" w:lastRowFirstColumn="0" w:lastRowLastColumn="0"/>
              <w:rPr>
                <w:szCs w:val="20"/>
              </w:rPr>
            </w:pPr>
          </w:p>
        </w:tc>
        <w:tc>
          <w:tcPr>
            <w:tcW w:w="0" w:type="auto"/>
            <w:hideMark/>
          </w:tcPr>
          <w:p w14:paraId="25D48798" w14:textId="77777777" w:rsidR="00EC4116" w:rsidRPr="00AA22F2" w:rsidRDefault="00EC4116" w:rsidP="00EC4116">
            <w:pPr>
              <w:cnfStyle w:val="000000000000" w:firstRow="0" w:lastRow="0" w:firstColumn="0" w:lastColumn="0" w:oddVBand="0" w:evenVBand="0" w:oddHBand="0" w:evenHBand="0" w:firstRowFirstColumn="0" w:firstRowLastColumn="0" w:lastRowFirstColumn="0" w:lastRowLastColumn="0"/>
              <w:rPr>
                <w:b/>
                <w:bCs/>
                <w:szCs w:val="20"/>
              </w:rPr>
            </w:pPr>
            <w:r w:rsidRPr="00AA22F2">
              <w:rPr>
                <w:b/>
                <w:bCs/>
                <w:szCs w:val="20"/>
              </w:rPr>
              <w:t>Évaluation globale du risque</w:t>
            </w:r>
          </w:p>
        </w:tc>
        <w:tc>
          <w:tcPr>
            <w:tcW w:w="0" w:type="auto"/>
            <w:hideMark/>
          </w:tcPr>
          <w:p w14:paraId="6562ABE8" w14:textId="77777777" w:rsidR="00EC4116" w:rsidRPr="00AA22F2" w:rsidRDefault="00EC4116" w:rsidP="00EC4116">
            <w:pPr>
              <w:cnfStyle w:val="000000000000" w:firstRow="0" w:lastRow="0" w:firstColumn="0" w:lastColumn="0" w:oddVBand="0" w:evenVBand="0" w:oddHBand="0" w:evenHBand="0" w:firstRowFirstColumn="0" w:firstRowLastColumn="0" w:lastRowFirstColumn="0" w:lastRowLastColumn="0"/>
              <w:rPr>
                <w:szCs w:val="20"/>
              </w:rPr>
            </w:pPr>
            <w:r w:rsidRPr="00AA22F2">
              <w:rPr>
                <w:szCs w:val="20"/>
              </w:rPr>
              <w:t>La combinaison d’une probabilité élevée et d’une gravité forte conduit à un risque significatif avant atténuation.</w:t>
            </w:r>
          </w:p>
        </w:tc>
        <w:tc>
          <w:tcPr>
            <w:tcW w:w="0" w:type="auto"/>
            <w:hideMark/>
          </w:tcPr>
          <w:p w14:paraId="1569CD62" w14:textId="77777777" w:rsidR="00EC4116" w:rsidRPr="00AA22F2" w:rsidRDefault="00EC4116" w:rsidP="00EC4116">
            <w:pPr>
              <w:cnfStyle w:val="000000000000" w:firstRow="0" w:lastRow="0" w:firstColumn="0" w:lastColumn="0" w:oddVBand="0" w:evenVBand="0" w:oddHBand="0" w:evenHBand="0" w:firstRowFirstColumn="0" w:firstRowLastColumn="0" w:lastRowFirstColumn="0" w:lastRowLastColumn="0"/>
              <w:rPr>
                <w:b/>
                <w:bCs/>
                <w:szCs w:val="20"/>
              </w:rPr>
            </w:pPr>
            <w:r w:rsidRPr="00AA22F2">
              <w:rPr>
                <w:b/>
                <w:bCs/>
                <w:szCs w:val="20"/>
              </w:rPr>
              <w:t>Significatif</w:t>
            </w:r>
          </w:p>
        </w:tc>
      </w:tr>
    </w:tbl>
    <w:p w14:paraId="032F608C" w14:textId="77777777" w:rsidR="0070570D" w:rsidRPr="00B003EE" w:rsidRDefault="0070570D" w:rsidP="009264EC"/>
    <w:p w14:paraId="12CE8D4E" w14:textId="7066F462" w:rsidR="0070570D" w:rsidRDefault="00EE22DC" w:rsidP="004637C7">
      <w:pPr>
        <w:pStyle w:val="Title5"/>
      </w:pPr>
      <w:r>
        <w:t>Mesures d’atténuation</w:t>
      </w:r>
    </w:p>
    <w:p w14:paraId="19209FE6" w14:textId="7B0936B8" w:rsidR="00E945DA" w:rsidRDefault="00E945DA" w:rsidP="00E945DA">
      <w:r>
        <w:t>La phase d’exploitation du projet d’extension du parking avions générera une intensification du trafic à la fois sur les voies d’accès externes à la plateforme (</w:t>
      </w:r>
      <w:r w:rsidR="007A6F83">
        <w:t>RR212</w:t>
      </w:r>
      <w:r>
        <w:t xml:space="preserve"> et bretelle d’accès) et au sein de la nouvelle zone airside.</w:t>
      </w:r>
    </w:p>
    <w:p w14:paraId="13A2F47A" w14:textId="77777777" w:rsidR="00E945DA" w:rsidRDefault="00E945DA" w:rsidP="00E945DA">
      <w:r>
        <w:t>Ces évolutions impliquent la mise en œuvre d’une double approche de gestion du risque routier, selon la nature des zones concernées :</w:t>
      </w:r>
    </w:p>
    <w:p w14:paraId="2E8D1345" w14:textId="20C88AB9" w:rsidR="00E945DA" w:rsidRDefault="00E945DA" w:rsidP="00E945DA">
      <w:r>
        <w:t xml:space="preserve">Sur les voies d’accès externes, les mesures de prévention et de régulation de la circulation sont déjà en place dans le cadre </w:t>
      </w:r>
      <w:r w:rsidR="00D1677C">
        <w:t xml:space="preserve">de l’exploitation de l’aéroport. </w:t>
      </w:r>
      <w:r>
        <w:t xml:space="preserve">Elles concernent notamment la signalisation, la limitation de vitesse, la gestion des carrefours et le contrôle du trafic sur la </w:t>
      </w:r>
      <w:r w:rsidR="007A6F83">
        <w:t>RR212</w:t>
      </w:r>
      <w:r>
        <w:t>.</w:t>
      </w:r>
    </w:p>
    <w:p w14:paraId="752914D5" w14:textId="77777777" w:rsidR="00E945DA" w:rsidRDefault="00E945DA" w:rsidP="00E945DA">
      <w:r>
        <w:lastRenderedPageBreak/>
        <w:t>Dans ce cas, l’objectif du PGES est de maintenir et de renforcer l’efficacité de ces dispositifs existants, en assurant leur suivi, leur entretien et la coordination continue avec les autorités compétentes.</w:t>
      </w:r>
    </w:p>
    <w:p w14:paraId="5E8FA496" w14:textId="77777777" w:rsidR="00E945DA" w:rsidRDefault="00E945DA" w:rsidP="00E945DA">
      <w:r>
        <w:t>À l’intérieur de la plateforme, la création du nouveau parking avions et de ses voies de service induit des risques spécifiques de circulation au sol (airside) liés à la cohabitation de différents types de véhicules et de personnel.</w:t>
      </w:r>
    </w:p>
    <w:p w14:paraId="47A9FAB0" w14:textId="098482CD" w:rsidR="00E945DA" w:rsidRDefault="00E945DA" w:rsidP="00E945DA">
      <w:r>
        <w:t>Pour cette zone nouvellement aménagée, des mesures d’évitement, de réduction et d’atténuation doivent être mises en place dès la mise en service.</w:t>
      </w:r>
    </w:p>
    <w:p w14:paraId="14910FD4" w14:textId="77777777" w:rsidR="00E945DA" w:rsidRDefault="00E945DA" w:rsidP="00E945DA">
      <w:r>
        <w:t>Ainsi, les tableaux qui suivent distinguent :</w:t>
      </w:r>
    </w:p>
    <w:p w14:paraId="65089218" w14:textId="6064CAE9" w:rsidR="00D1677C" w:rsidRDefault="00E945DA" w:rsidP="0001633E">
      <w:pPr>
        <w:pStyle w:val="Paragraphedeliste"/>
        <w:numPr>
          <w:ilvl w:val="0"/>
          <w:numId w:val="114"/>
        </w:numPr>
      </w:pPr>
      <w:r>
        <w:t>les mesures de maintien applicables aux voies d’accès externes (</w:t>
      </w:r>
      <w:r w:rsidR="007A6F83">
        <w:t>RR212</w:t>
      </w:r>
      <w:r>
        <w:t xml:space="preserve"> et bretelle) ;</w:t>
      </w:r>
    </w:p>
    <w:p w14:paraId="7334AE63" w14:textId="11A0E89D" w:rsidR="00E945DA" w:rsidRDefault="00E945DA" w:rsidP="0001633E">
      <w:pPr>
        <w:pStyle w:val="Paragraphedeliste"/>
        <w:numPr>
          <w:ilvl w:val="0"/>
          <w:numId w:val="114"/>
        </w:numPr>
      </w:pPr>
      <w:r>
        <w:t>et les mesures nouvelles d’évitement, de réduction, d’atténuation et de compensation pour la circulation interne au parking avions (zone airside).</w:t>
      </w:r>
    </w:p>
    <w:p w14:paraId="77818128" w14:textId="3D62866D" w:rsidR="008F5918" w:rsidRDefault="00E945DA" w:rsidP="00E945DA">
      <w:r>
        <w:t>Cette approche combinée permet d’assurer la sécurité des usagers, la prévention des accidents et la fluidité du trafic, tout en maintenant la conformité du projet avec les standards internationaux de performance environnementale et sociale.</w:t>
      </w:r>
    </w:p>
    <w:p w14:paraId="6E8A01F8" w14:textId="77777777" w:rsidR="009264EC" w:rsidRDefault="009264EC" w:rsidP="00C367D4"/>
    <w:p w14:paraId="54192DD0" w14:textId="77777777" w:rsidR="009264EC" w:rsidRDefault="009264EC" w:rsidP="00C367D4">
      <w:pPr>
        <w:sectPr w:rsidR="009264EC" w:rsidSect="00FB08CF">
          <w:pgSz w:w="11906" w:h="16838"/>
          <w:pgMar w:top="1418" w:right="1418" w:bottom="1276" w:left="1418" w:header="680" w:footer="680" w:gutter="0"/>
          <w:cols w:space="708"/>
          <w:docGrid w:linePitch="360"/>
        </w:sectPr>
      </w:pPr>
    </w:p>
    <w:p w14:paraId="5FB6448D" w14:textId="12B33662" w:rsidR="00A2719C" w:rsidRPr="002A0860" w:rsidRDefault="00A2719C" w:rsidP="00A2719C">
      <w:pPr>
        <w:pStyle w:val="Lgende"/>
        <w:rPr>
          <w:b w:val="0"/>
          <w:bCs w:val="0"/>
          <w:lang w:val="fr-FR"/>
        </w:rPr>
      </w:pPr>
      <w:bookmarkStart w:id="470" w:name="_Toc213404384"/>
      <w:r w:rsidRPr="002A0860">
        <w:rPr>
          <w:lang w:val="fr-FR"/>
        </w:rPr>
        <w:lastRenderedPageBreak/>
        <w:t xml:space="preserve">Tableau </w:t>
      </w:r>
      <w:r>
        <w:fldChar w:fldCharType="begin"/>
      </w:r>
      <w:r w:rsidRPr="002A0860">
        <w:rPr>
          <w:lang w:val="fr-FR"/>
        </w:rPr>
        <w:instrText xml:space="preserve"> SEQ Tableau \* ARABIC </w:instrText>
      </w:r>
      <w:r>
        <w:fldChar w:fldCharType="separate"/>
      </w:r>
      <w:r w:rsidR="00274E71">
        <w:rPr>
          <w:noProof/>
          <w:lang w:val="fr-FR"/>
        </w:rPr>
        <w:t>62</w:t>
      </w:r>
      <w:r>
        <w:fldChar w:fldCharType="end"/>
      </w:r>
      <w:r>
        <w:rPr>
          <w:noProof/>
          <w:lang w:val="fr-FR"/>
        </w:rPr>
        <w:t xml:space="preserve">: </w:t>
      </w:r>
      <w:r w:rsidR="004E3D0A">
        <w:rPr>
          <w:lang w:val="fr-FR"/>
        </w:rPr>
        <w:t xml:space="preserve">Trafic </w:t>
      </w:r>
      <w:r w:rsidR="00185BE1">
        <w:rPr>
          <w:lang w:val="fr-FR"/>
        </w:rPr>
        <w:t xml:space="preserve">routier </w:t>
      </w:r>
      <w:r w:rsidR="00185BE1" w:rsidRPr="002A0860">
        <w:rPr>
          <w:lang w:val="fr-FR"/>
        </w:rPr>
        <w:t>–</w:t>
      </w:r>
      <w:r w:rsidRPr="002A0860">
        <w:rPr>
          <w:lang w:val="fr-FR"/>
        </w:rPr>
        <w:t xml:space="preserve"> mesure d’atténuation en phase d’exploitation</w:t>
      </w:r>
      <w:bookmarkEnd w:id="470"/>
    </w:p>
    <w:tbl>
      <w:tblPr>
        <w:tblStyle w:val="TableauGrille1Clair-Accentuation111"/>
        <w:tblW w:w="0" w:type="auto"/>
        <w:tblLook w:val="04A0" w:firstRow="1" w:lastRow="0" w:firstColumn="1" w:lastColumn="0" w:noHBand="0" w:noVBand="1"/>
      </w:tblPr>
      <w:tblGrid>
        <w:gridCol w:w="1579"/>
        <w:gridCol w:w="1438"/>
        <w:gridCol w:w="2975"/>
        <w:gridCol w:w="2050"/>
        <w:gridCol w:w="1121"/>
        <w:gridCol w:w="1223"/>
        <w:gridCol w:w="717"/>
        <w:gridCol w:w="1121"/>
        <w:gridCol w:w="1910"/>
      </w:tblGrid>
      <w:tr w:rsidR="0015269F" w:rsidRPr="009756E0" w14:paraId="364FAEF3" w14:textId="77777777" w:rsidTr="009264EC">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0" w:type="auto"/>
            <w:hideMark/>
          </w:tcPr>
          <w:p w14:paraId="2EF6AB50" w14:textId="77777777" w:rsidR="004E3D0A" w:rsidRPr="004637C7" w:rsidRDefault="004E3D0A" w:rsidP="004E3D0A">
            <w:pPr>
              <w:rPr>
                <w:rFonts w:asciiTheme="minorHAnsi" w:hAnsiTheme="minorHAnsi" w:cstheme="minorHAnsi"/>
                <w:szCs w:val="20"/>
              </w:rPr>
            </w:pPr>
            <w:r w:rsidRPr="004637C7">
              <w:rPr>
                <w:rFonts w:asciiTheme="minorHAnsi" w:hAnsiTheme="minorHAnsi" w:cstheme="minorHAnsi"/>
                <w:szCs w:val="20"/>
              </w:rPr>
              <w:t>Impact / Risque</w:t>
            </w:r>
          </w:p>
        </w:tc>
        <w:tc>
          <w:tcPr>
            <w:tcW w:w="0" w:type="auto"/>
            <w:hideMark/>
          </w:tcPr>
          <w:p w14:paraId="4816F467" w14:textId="77777777" w:rsidR="004E3D0A" w:rsidRPr="004637C7" w:rsidRDefault="004E3D0A" w:rsidP="004E3D0A">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4637C7">
              <w:rPr>
                <w:rFonts w:asciiTheme="minorHAnsi" w:hAnsiTheme="minorHAnsi" w:cstheme="minorHAnsi"/>
                <w:szCs w:val="20"/>
              </w:rPr>
              <w:t>Niveau d’atténuation</w:t>
            </w:r>
          </w:p>
        </w:tc>
        <w:tc>
          <w:tcPr>
            <w:tcW w:w="0" w:type="auto"/>
            <w:hideMark/>
          </w:tcPr>
          <w:p w14:paraId="33AAF32D" w14:textId="77777777" w:rsidR="004E3D0A" w:rsidRPr="004637C7" w:rsidRDefault="004E3D0A" w:rsidP="004E3D0A">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4637C7">
              <w:rPr>
                <w:rFonts w:asciiTheme="minorHAnsi" w:hAnsiTheme="minorHAnsi" w:cstheme="minorHAnsi"/>
                <w:szCs w:val="20"/>
              </w:rPr>
              <w:t>Mesure d’atténuation / de gestion</w:t>
            </w:r>
          </w:p>
        </w:tc>
        <w:tc>
          <w:tcPr>
            <w:tcW w:w="0" w:type="auto"/>
            <w:hideMark/>
          </w:tcPr>
          <w:p w14:paraId="403FE46F" w14:textId="77777777" w:rsidR="004E3D0A" w:rsidRPr="004637C7" w:rsidRDefault="004E3D0A" w:rsidP="004E3D0A">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4637C7">
              <w:rPr>
                <w:rFonts w:asciiTheme="minorHAnsi" w:hAnsiTheme="minorHAnsi" w:cstheme="minorHAnsi"/>
                <w:szCs w:val="20"/>
              </w:rPr>
              <w:t>Indicateurs de performance (KPI)</w:t>
            </w:r>
          </w:p>
        </w:tc>
        <w:tc>
          <w:tcPr>
            <w:tcW w:w="0" w:type="auto"/>
            <w:hideMark/>
          </w:tcPr>
          <w:p w14:paraId="6E2B3D0E" w14:textId="77777777" w:rsidR="004E3D0A" w:rsidRPr="004637C7" w:rsidRDefault="004E3D0A" w:rsidP="004E3D0A">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4637C7">
              <w:rPr>
                <w:rFonts w:asciiTheme="minorHAnsi" w:hAnsiTheme="minorHAnsi" w:cstheme="minorHAnsi"/>
                <w:szCs w:val="20"/>
              </w:rPr>
              <w:t>Mise en œuvre</w:t>
            </w:r>
          </w:p>
        </w:tc>
        <w:tc>
          <w:tcPr>
            <w:tcW w:w="0" w:type="auto"/>
            <w:hideMark/>
          </w:tcPr>
          <w:p w14:paraId="0BD22DE9" w14:textId="77777777" w:rsidR="004E3D0A" w:rsidRPr="004637C7" w:rsidRDefault="004E3D0A" w:rsidP="004E3D0A">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4637C7">
              <w:rPr>
                <w:rFonts w:asciiTheme="minorHAnsi" w:hAnsiTheme="minorHAnsi" w:cstheme="minorHAnsi"/>
                <w:szCs w:val="20"/>
              </w:rPr>
              <w:t>Surveillance</w:t>
            </w:r>
          </w:p>
        </w:tc>
        <w:tc>
          <w:tcPr>
            <w:tcW w:w="0" w:type="auto"/>
            <w:hideMark/>
          </w:tcPr>
          <w:p w14:paraId="193805CF" w14:textId="77777777" w:rsidR="004E3D0A" w:rsidRPr="004637C7" w:rsidRDefault="004E3D0A" w:rsidP="004E3D0A">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4637C7">
              <w:rPr>
                <w:rFonts w:asciiTheme="minorHAnsi" w:hAnsiTheme="minorHAnsi" w:cstheme="minorHAnsi"/>
                <w:szCs w:val="20"/>
              </w:rPr>
              <w:t>Suivi</w:t>
            </w:r>
          </w:p>
        </w:tc>
        <w:tc>
          <w:tcPr>
            <w:tcW w:w="0" w:type="auto"/>
            <w:hideMark/>
          </w:tcPr>
          <w:p w14:paraId="15439897" w14:textId="77777777" w:rsidR="004E3D0A" w:rsidRPr="004637C7" w:rsidRDefault="004E3D0A" w:rsidP="004E3D0A">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4637C7">
              <w:rPr>
                <w:rFonts w:asciiTheme="minorHAnsi" w:hAnsiTheme="minorHAnsi" w:cstheme="minorHAnsi"/>
                <w:szCs w:val="20"/>
              </w:rPr>
              <w:t>Calendrier</w:t>
            </w:r>
          </w:p>
        </w:tc>
        <w:tc>
          <w:tcPr>
            <w:tcW w:w="0" w:type="auto"/>
            <w:hideMark/>
          </w:tcPr>
          <w:p w14:paraId="5D4189C8" w14:textId="77777777" w:rsidR="004E3D0A" w:rsidRPr="004637C7" w:rsidRDefault="004E3D0A" w:rsidP="004E3D0A">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4637C7">
              <w:rPr>
                <w:rFonts w:asciiTheme="minorHAnsi" w:hAnsiTheme="minorHAnsi" w:cstheme="minorHAnsi"/>
                <w:szCs w:val="20"/>
              </w:rPr>
              <w:t>Coût</w:t>
            </w:r>
          </w:p>
        </w:tc>
      </w:tr>
      <w:tr w:rsidR="0015269F" w:rsidRPr="009756E0" w14:paraId="3FBDC1C2" w14:textId="77777777" w:rsidTr="005A7661">
        <w:tc>
          <w:tcPr>
            <w:cnfStyle w:val="001000000000" w:firstRow="0" w:lastRow="0" w:firstColumn="1" w:lastColumn="0" w:oddVBand="0" w:evenVBand="0" w:oddHBand="0" w:evenHBand="0" w:firstRowFirstColumn="0" w:firstRowLastColumn="0" w:lastRowFirstColumn="0" w:lastRowLastColumn="0"/>
            <w:tcW w:w="0" w:type="auto"/>
            <w:vMerge w:val="restart"/>
            <w:hideMark/>
          </w:tcPr>
          <w:p w14:paraId="76397468" w14:textId="77777777" w:rsidR="00DD7C08" w:rsidRPr="004637C7" w:rsidRDefault="00DD7C08" w:rsidP="00DD7C08">
            <w:pPr>
              <w:rPr>
                <w:rFonts w:asciiTheme="minorHAnsi" w:hAnsiTheme="minorHAnsi" w:cstheme="minorHAnsi"/>
                <w:szCs w:val="20"/>
              </w:rPr>
            </w:pPr>
            <w:r w:rsidRPr="004637C7">
              <w:rPr>
                <w:rFonts w:asciiTheme="minorHAnsi" w:hAnsiTheme="minorHAnsi" w:cstheme="minorHAnsi"/>
                <w:szCs w:val="20"/>
              </w:rPr>
              <w:t>Saturation et congestion du trafic</w:t>
            </w:r>
          </w:p>
        </w:tc>
        <w:tc>
          <w:tcPr>
            <w:tcW w:w="0" w:type="auto"/>
            <w:hideMark/>
          </w:tcPr>
          <w:p w14:paraId="1533B09F" w14:textId="77777777" w:rsidR="00DD7C08" w:rsidRPr="004637C7" w:rsidRDefault="00DD7C08" w:rsidP="00DD7C08">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4637C7">
              <w:rPr>
                <w:rFonts w:asciiTheme="minorHAnsi" w:hAnsiTheme="minorHAnsi" w:cstheme="minorHAnsi"/>
                <w:b/>
                <w:bCs/>
                <w:szCs w:val="20"/>
              </w:rPr>
              <w:t>Éviter</w:t>
            </w:r>
          </w:p>
        </w:tc>
        <w:tc>
          <w:tcPr>
            <w:tcW w:w="0" w:type="auto"/>
            <w:hideMark/>
          </w:tcPr>
          <w:p w14:paraId="7B0B7A88" w14:textId="77777777" w:rsidR="00DD7C08" w:rsidRPr="004637C7" w:rsidRDefault="00DD7C08" w:rsidP="00DD7C08">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4637C7">
              <w:rPr>
                <w:rFonts w:asciiTheme="minorHAnsi" w:hAnsiTheme="minorHAnsi" w:cstheme="minorHAnsi"/>
                <w:szCs w:val="20"/>
              </w:rPr>
              <w:t>Réguler les flux de passagers et de véhicules de service via une planification des horaires de vol et des zones de stationnement.</w:t>
            </w:r>
          </w:p>
        </w:tc>
        <w:tc>
          <w:tcPr>
            <w:tcW w:w="0" w:type="auto"/>
            <w:hideMark/>
          </w:tcPr>
          <w:p w14:paraId="0268AB25" w14:textId="77777777" w:rsidR="00DD7C08" w:rsidRPr="004637C7" w:rsidRDefault="00DD7C08" w:rsidP="00DD7C08">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4637C7">
              <w:rPr>
                <w:rFonts w:asciiTheme="minorHAnsi" w:hAnsiTheme="minorHAnsi" w:cstheme="minorHAnsi"/>
                <w:szCs w:val="20"/>
              </w:rPr>
              <w:t>Aucune congestion observée aux heures de pointe.</w:t>
            </w:r>
          </w:p>
        </w:tc>
        <w:tc>
          <w:tcPr>
            <w:tcW w:w="0" w:type="auto"/>
            <w:hideMark/>
          </w:tcPr>
          <w:p w14:paraId="047A681D" w14:textId="36F11202" w:rsidR="00DD7C08" w:rsidRPr="004637C7" w:rsidRDefault="00DD7C08" w:rsidP="00DD7C08">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AA22F2">
              <w:rPr>
                <w:szCs w:val="20"/>
                <w:lang w:eastAsia="fr-FR" w:bidi="ar-SA"/>
              </w:rPr>
              <w:t>ONDA / Exploitant</w:t>
            </w:r>
          </w:p>
        </w:tc>
        <w:tc>
          <w:tcPr>
            <w:tcW w:w="0" w:type="auto"/>
            <w:hideMark/>
          </w:tcPr>
          <w:p w14:paraId="66F8C074" w14:textId="6AE58176" w:rsidR="00DD7C08" w:rsidRPr="004637C7" w:rsidRDefault="00DD7C08" w:rsidP="00DD7C08">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AA22F2">
              <w:rPr>
                <w:szCs w:val="20"/>
                <w:lang w:eastAsia="fr-FR" w:bidi="ar-SA"/>
              </w:rPr>
              <w:t>ONDA</w:t>
            </w:r>
          </w:p>
        </w:tc>
        <w:tc>
          <w:tcPr>
            <w:tcW w:w="0" w:type="auto"/>
            <w:hideMark/>
          </w:tcPr>
          <w:p w14:paraId="6FFC2182" w14:textId="1F930C64" w:rsidR="00DD7C08" w:rsidRPr="004637C7" w:rsidRDefault="00DD7C08" w:rsidP="00DD7C08">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AA22F2">
              <w:rPr>
                <w:szCs w:val="20"/>
                <w:lang w:eastAsia="fr-FR" w:bidi="ar-SA"/>
              </w:rPr>
              <w:t>ONDA</w:t>
            </w:r>
          </w:p>
        </w:tc>
        <w:tc>
          <w:tcPr>
            <w:tcW w:w="0" w:type="auto"/>
            <w:hideMark/>
          </w:tcPr>
          <w:p w14:paraId="369E610D" w14:textId="77777777" w:rsidR="00DD7C08" w:rsidRPr="004637C7" w:rsidRDefault="00DD7C08" w:rsidP="00DD7C08">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4637C7">
              <w:rPr>
                <w:rFonts w:asciiTheme="minorHAnsi" w:hAnsiTheme="minorHAnsi" w:cstheme="minorHAnsi"/>
                <w:szCs w:val="20"/>
              </w:rPr>
              <w:t>Permanent</w:t>
            </w:r>
          </w:p>
        </w:tc>
        <w:tc>
          <w:tcPr>
            <w:tcW w:w="0" w:type="auto"/>
            <w:hideMark/>
          </w:tcPr>
          <w:p w14:paraId="74FE0E0E" w14:textId="70A6C6BC" w:rsidR="00DD7C08" w:rsidRPr="004637C7" w:rsidRDefault="0015269F" w:rsidP="00DD7C08">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Pr>
                <w:rFonts w:asciiTheme="minorHAnsi" w:hAnsiTheme="minorHAnsi" w:cstheme="minorHAnsi"/>
                <w:szCs w:val="20"/>
              </w:rPr>
              <w:t>Aucun coût spécifique</w:t>
            </w:r>
          </w:p>
        </w:tc>
      </w:tr>
      <w:tr w:rsidR="0015269F" w:rsidRPr="009756E0" w14:paraId="405BB964" w14:textId="77777777" w:rsidTr="005A7661">
        <w:tc>
          <w:tcPr>
            <w:cnfStyle w:val="001000000000" w:firstRow="0" w:lastRow="0" w:firstColumn="1" w:lastColumn="0" w:oddVBand="0" w:evenVBand="0" w:oddHBand="0" w:evenHBand="0" w:firstRowFirstColumn="0" w:firstRowLastColumn="0" w:lastRowFirstColumn="0" w:lastRowLastColumn="0"/>
            <w:tcW w:w="0" w:type="auto"/>
            <w:vMerge/>
            <w:hideMark/>
          </w:tcPr>
          <w:p w14:paraId="094A3088" w14:textId="77777777" w:rsidR="00DD7C08" w:rsidRPr="004637C7" w:rsidRDefault="00DD7C08" w:rsidP="00DD7C08">
            <w:pPr>
              <w:rPr>
                <w:rFonts w:asciiTheme="minorHAnsi" w:hAnsiTheme="minorHAnsi" w:cstheme="minorHAnsi"/>
                <w:szCs w:val="20"/>
              </w:rPr>
            </w:pPr>
          </w:p>
        </w:tc>
        <w:tc>
          <w:tcPr>
            <w:tcW w:w="0" w:type="auto"/>
            <w:hideMark/>
          </w:tcPr>
          <w:p w14:paraId="7E347751" w14:textId="77777777" w:rsidR="00DD7C08" w:rsidRPr="004637C7" w:rsidRDefault="00DD7C08" w:rsidP="00DD7C08">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4637C7">
              <w:rPr>
                <w:rFonts w:asciiTheme="minorHAnsi" w:hAnsiTheme="minorHAnsi" w:cstheme="minorHAnsi"/>
                <w:b/>
                <w:bCs/>
                <w:szCs w:val="20"/>
              </w:rPr>
              <w:t>Réduire</w:t>
            </w:r>
          </w:p>
        </w:tc>
        <w:tc>
          <w:tcPr>
            <w:tcW w:w="0" w:type="auto"/>
            <w:hideMark/>
          </w:tcPr>
          <w:p w14:paraId="3DD25B2F" w14:textId="77777777" w:rsidR="00DD7C08" w:rsidRPr="004637C7" w:rsidRDefault="00DD7C08" w:rsidP="00DD7C08">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4637C7">
              <w:rPr>
                <w:rFonts w:asciiTheme="minorHAnsi" w:hAnsiTheme="minorHAnsi" w:cstheme="minorHAnsi"/>
                <w:szCs w:val="20"/>
              </w:rPr>
              <w:t>Optimiser la signalisation directionnelle et les points de stationnement (taxis, navettes, véhicules légers).</w:t>
            </w:r>
          </w:p>
        </w:tc>
        <w:tc>
          <w:tcPr>
            <w:tcW w:w="0" w:type="auto"/>
            <w:hideMark/>
          </w:tcPr>
          <w:p w14:paraId="21C7C328" w14:textId="77777777" w:rsidR="00DD7C08" w:rsidRPr="009756E0" w:rsidRDefault="00DD7C08" w:rsidP="00DD7C08">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4637C7">
              <w:rPr>
                <w:rFonts w:asciiTheme="minorHAnsi" w:hAnsiTheme="minorHAnsi" w:cstheme="minorHAnsi"/>
                <w:szCs w:val="20"/>
              </w:rPr>
              <w:t>Taux d’occupation;</w:t>
            </w:r>
          </w:p>
          <w:p w14:paraId="4A00DE2F" w14:textId="681DDCBB" w:rsidR="00DD7C08" w:rsidRPr="004637C7" w:rsidRDefault="00DD7C08" w:rsidP="00DD7C08">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9756E0">
              <w:rPr>
                <w:rFonts w:asciiTheme="minorHAnsi" w:hAnsiTheme="minorHAnsi" w:cstheme="minorHAnsi"/>
                <w:szCs w:val="20"/>
              </w:rPr>
              <w:t>C</w:t>
            </w:r>
            <w:r w:rsidRPr="004637C7">
              <w:rPr>
                <w:rFonts w:asciiTheme="minorHAnsi" w:hAnsiTheme="minorHAnsi" w:cstheme="minorHAnsi"/>
                <w:szCs w:val="20"/>
              </w:rPr>
              <w:t>irculation fluide observée.</w:t>
            </w:r>
          </w:p>
        </w:tc>
        <w:tc>
          <w:tcPr>
            <w:tcW w:w="0" w:type="auto"/>
            <w:hideMark/>
          </w:tcPr>
          <w:p w14:paraId="1E588F30" w14:textId="607BC460" w:rsidR="00DD7C08" w:rsidRPr="004637C7" w:rsidRDefault="00DD7C08" w:rsidP="00DD7C08">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AA22F2">
              <w:rPr>
                <w:szCs w:val="20"/>
                <w:lang w:eastAsia="fr-FR" w:bidi="ar-SA"/>
              </w:rPr>
              <w:t>ONDA / Exploitant</w:t>
            </w:r>
          </w:p>
        </w:tc>
        <w:tc>
          <w:tcPr>
            <w:tcW w:w="0" w:type="auto"/>
            <w:hideMark/>
          </w:tcPr>
          <w:p w14:paraId="4679DD4F" w14:textId="5F202842" w:rsidR="00DD7C08" w:rsidRPr="004637C7" w:rsidRDefault="00DD7C08" w:rsidP="00DD7C08">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AA22F2">
              <w:rPr>
                <w:szCs w:val="20"/>
                <w:lang w:eastAsia="fr-FR" w:bidi="ar-SA"/>
              </w:rPr>
              <w:t>ONDA</w:t>
            </w:r>
          </w:p>
        </w:tc>
        <w:tc>
          <w:tcPr>
            <w:tcW w:w="0" w:type="auto"/>
            <w:hideMark/>
          </w:tcPr>
          <w:p w14:paraId="4C2BF45E" w14:textId="1B383296" w:rsidR="00DD7C08" w:rsidRPr="004637C7" w:rsidRDefault="00DD7C08" w:rsidP="00DD7C08">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AA22F2">
              <w:rPr>
                <w:szCs w:val="20"/>
                <w:lang w:eastAsia="fr-FR" w:bidi="ar-SA"/>
              </w:rPr>
              <w:t>ONDA</w:t>
            </w:r>
          </w:p>
        </w:tc>
        <w:tc>
          <w:tcPr>
            <w:tcW w:w="0" w:type="auto"/>
            <w:hideMark/>
          </w:tcPr>
          <w:p w14:paraId="4D4A9DBA" w14:textId="77777777" w:rsidR="00DD7C08" w:rsidRPr="004637C7" w:rsidRDefault="00DD7C08" w:rsidP="00DD7C08">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4637C7">
              <w:rPr>
                <w:rFonts w:asciiTheme="minorHAnsi" w:hAnsiTheme="minorHAnsi" w:cstheme="minorHAnsi"/>
                <w:szCs w:val="20"/>
              </w:rPr>
              <w:t>Permanent</w:t>
            </w:r>
          </w:p>
        </w:tc>
        <w:tc>
          <w:tcPr>
            <w:tcW w:w="0" w:type="auto"/>
            <w:hideMark/>
          </w:tcPr>
          <w:p w14:paraId="4291D1C5" w14:textId="49230BD0" w:rsidR="00DD7C08" w:rsidRPr="004637C7" w:rsidRDefault="0015269F" w:rsidP="00DD7C08">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15269F">
              <w:rPr>
                <w:rFonts w:asciiTheme="minorHAnsi" w:hAnsiTheme="minorHAnsi" w:cstheme="minorHAnsi"/>
                <w:szCs w:val="20"/>
              </w:rPr>
              <w:t xml:space="preserve">1 500 – 2 000 </w:t>
            </w:r>
            <w:r>
              <w:rPr>
                <w:rFonts w:asciiTheme="minorHAnsi" w:hAnsiTheme="minorHAnsi" w:cstheme="minorHAnsi"/>
                <w:szCs w:val="20"/>
              </w:rPr>
              <w:t>MAD</w:t>
            </w:r>
            <w:r w:rsidRPr="0015269F">
              <w:rPr>
                <w:rFonts w:asciiTheme="minorHAnsi" w:hAnsiTheme="minorHAnsi" w:cstheme="minorHAnsi"/>
                <w:szCs w:val="20"/>
              </w:rPr>
              <w:t>/panneau</w:t>
            </w:r>
          </w:p>
        </w:tc>
      </w:tr>
      <w:tr w:rsidR="0015269F" w:rsidRPr="009756E0" w14:paraId="36E43DA3" w14:textId="77777777" w:rsidTr="005A7661">
        <w:tc>
          <w:tcPr>
            <w:cnfStyle w:val="001000000000" w:firstRow="0" w:lastRow="0" w:firstColumn="1" w:lastColumn="0" w:oddVBand="0" w:evenVBand="0" w:oddHBand="0" w:evenHBand="0" w:firstRowFirstColumn="0" w:firstRowLastColumn="0" w:lastRowFirstColumn="0" w:lastRowLastColumn="0"/>
            <w:tcW w:w="0" w:type="auto"/>
            <w:vMerge/>
            <w:hideMark/>
          </w:tcPr>
          <w:p w14:paraId="1E8781E7" w14:textId="77777777" w:rsidR="00DD7C08" w:rsidRPr="004637C7" w:rsidRDefault="00DD7C08" w:rsidP="00DD7C08">
            <w:pPr>
              <w:rPr>
                <w:rFonts w:asciiTheme="minorHAnsi" w:hAnsiTheme="minorHAnsi" w:cstheme="minorHAnsi"/>
                <w:szCs w:val="20"/>
              </w:rPr>
            </w:pPr>
          </w:p>
        </w:tc>
        <w:tc>
          <w:tcPr>
            <w:tcW w:w="0" w:type="auto"/>
            <w:hideMark/>
          </w:tcPr>
          <w:p w14:paraId="4F8F495E" w14:textId="77777777" w:rsidR="00DD7C08" w:rsidRPr="004637C7" w:rsidRDefault="00DD7C08" w:rsidP="00DD7C08">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4637C7">
              <w:rPr>
                <w:rFonts w:asciiTheme="minorHAnsi" w:hAnsiTheme="minorHAnsi" w:cstheme="minorHAnsi"/>
                <w:b/>
                <w:bCs/>
                <w:szCs w:val="20"/>
              </w:rPr>
              <w:t>Atténuer</w:t>
            </w:r>
          </w:p>
        </w:tc>
        <w:tc>
          <w:tcPr>
            <w:tcW w:w="0" w:type="auto"/>
            <w:hideMark/>
          </w:tcPr>
          <w:p w14:paraId="46FE7BCE" w14:textId="77777777" w:rsidR="00DD7C08" w:rsidRPr="004637C7" w:rsidRDefault="00DD7C08" w:rsidP="00DD7C08">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4637C7">
              <w:rPr>
                <w:rFonts w:asciiTheme="minorHAnsi" w:hAnsiTheme="minorHAnsi" w:cstheme="minorHAnsi"/>
                <w:szCs w:val="20"/>
              </w:rPr>
              <w:t>Maintenir un système de surveillance vidéo du trafic interne et alerter en cas de blocage.</w:t>
            </w:r>
          </w:p>
        </w:tc>
        <w:tc>
          <w:tcPr>
            <w:tcW w:w="0" w:type="auto"/>
            <w:hideMark/>
          </w:tcPr>
          <w:p w14:paraId="578150F3" w14:textId="77777777" w:rsidR="00DD7C08" w:rsidRPr="009756E0" w:rsidRDefault="00DD7C08" w:rsidP="00DD7C08">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4637C7">
              <w:rPr>
                <w:rFonts w:asciiTheme="minorHAnsi" w:hAnsiTheme="minorHAnsi" w:cstheme="minorHAnsi"/>
                <w:szCs w:val="20"/>
              </w:rPr>
              <w:t>% des incidents résolus.</w:t>
            </w:r>
          </w:p>
          <w:p w14:paraId="2BE073D1" w14:textId="09710283" w:rsidR="00DD7C08" w:rsidRPr="004637C7" w:rsidRDefault="00DD7C08" w:rsidP="00DD7C08">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9756E0">
              <w:rPr>
                <w:rFonts w:asciiTheme="minorHAnsi" w:hAnsiTheme="minorHAnsi" w:cstheme="minorHAnsi"/>
                <w:szCs w:val="20"/>
              </w:rPr>
              <w:t>Temps de résolution</w:t>
            </w:r>
          </w:p>
        </w:tc>
        <w:tc>
          <w:tcPr>
            <w:tcW w:w="0" w:type="auto"/>
            <w:hideMark/>
          </w:tcPr>
          <w:p w14:paraId="5CC7D491" w14:textId="5DEF25E1" w:rsidR="00DD7C08" w:rsidRPr="004637C7" w:rsidRDefault="00DD7C08" w:rsidP="00DD7C08">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AA22F2">
              <w:rPr>
                <w:szCs w:val="20"/>
                <w:lang w:eastAsia="fr-FR" w:bidi="ar-SA"/>
              </w:rPr>
              <w:t>ONDA / Exploitant</w:t>
            </w:r>
          </w:p>
        </w:tc>
        <w:tc>
          <w:tcPr>
            <w:tcW w:w="0" w:type="auto"/>
            <w:hideMark/>
          </w:tcPr>
          <w:p w14:paraId="7932AEFD" w14:textId="50DC2017" w:rsidR="00DD7C08" w:rsidRPr="004637C7" w:rsidRDefault="00DD7C08" w:rsidP="00DD7C08">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AA22F2">
              <w:rPr>
                <w:szCs w:val="20"/>
                <w:lang w:eastAsia="fr-FR" w:bidi="ar-SA"/>
              </w:rPr>
              <w:t>ONDA</w:t>
            </w:r>
          </w:p>
        </w:tc>
        <w:tc>
          <w:tcPr>
            <w:tcW w:w="0" w:type="auto"/>
            <w:hideMark/>
          </w:tcPr>
          <w:p w14:paraId="28702AD4" w14:textId="3B5B503C" w:rsidR="00DD7C08" w:rsidRPr="004637C7" w:rsidRDefault="00DD7C08" w:rsidP="00DD7C08">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AA22F2">
              <w:rPr>
                <w:szCs w:val="20"/>
                <w:lang w:eastAsia="fr-FR" w:bidi="ar-SA"/>
              </w:rPr>
              <w:t>ONDA</w:t>
            </w:r>
          </w:p>
        </w:tc>
        <w:tc>
          <w:tcPr>
            <w:tcW w:w="0" w:type="auto"/>
            <w:hideMark/>
          </w:tcPr>
          <w:p w14:paraId="7227D7DC" w14:textId="77777777" w:rsidR="00DD7C08" w:rsidRPr="004637C7" w:rsidRDefault="00DD7C08" w:rsidP="00DD7C08">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4637C7">
              <w:rPr>
                <w:rFonts w:asciiTheme="minorHAnsi" w:hAnsiTheme="minorHAnsi" w:cstheme="minorHAnsi"/>
                <w:szCs w:val="20"/>
              </w:rPr>
              <w:t>Continu</w:t>
            </w:r>
          </w:p>
        </w:tc>
        <w:tc>
          <w:tcPr>
            <w:tcW w:w="0" w:type="auto"/>
            <w:hideMark/>
          </w:tcPr>
          <w:p w14:paraId="7D9112BF" w14:textId="60890B98" w:rsidR="00DD7C08" w:rsidRPr="004637C7" w:rsidRDefault="0015269F" w:rsidP="00DD7C08">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15269F">
              <w:rPr>
                <w:rFonts w:asciiTheme="minorHAnsi" w:hAnsiTheme="minorHAnsi" w:cstheme="minorHAnsi"/>
                <w:szCs w:val="20"/>
              </w:rPr>
              <w:t xml:space="preserve">10 000 – 15 000 </w:t>
            </w:r>
            <w:r>
              <w:rPr>
                <w:rFonts w:asciiTheme="minorHAnsi" w:hAnsiTheme="minorHAnsi" w:cstheme="minorHAnsi"/>
                <w:szCs w:val="20"/>
              </w:rPr>
              <w:t>MAD</w:t>
            </w:r>
            <w:r w:rsidRPr="0015269F">
              <w:rPr>
                <w:rFonts w:asciiTheme="minorHAnsi" w:hAnsiTheme="minorHAnsi" w:cstheme="minorHAnsi"/>
                <w:szCs w:val="20"/>
              </w:rPr>
              <w:t>/caméra installée + logiciel</w:t>
            </w:r>
          </w:p>
        </w:tc>
      </w:tr>
      <w:tr w:rsidR="0015269F" w:rsidRPr="009756E0" w14:paraId="08A05A33" w14:textId="77777777" w:rsidTr="00D60FC9">
        <w:tc>
          <w:tcPr>
            <w:cnfStyle w:val="001000000000" w:firstRow="0" w:lastRow="0" w:firstColumn="1" w:lastColumn="0" w:oddVBand="0" w:evenVBand="0" w:oddHBand="0" w:evenHBand="0" w:firstRowFirstColumn="0" w:firstRowLastColumn="0" w:lastRowFirstColumn="0" w:lastRowLastColumn="0"/>
            <w:tcW w:w="0" w:type="auto"/>
            <w:vMerge w:val="restart"/>
          </w:tcPr>
          <w:p w14:paraId="1F583E07" w14:textId="5425AE8D" w:rsidR="0015269F" w:rsidRPr="004637C7" w:rsidRDefault="0015269F" w:rsidP="0015269F">
            <w:pPr>
              <w:rPr>
                <w:rFonts w:asciiTheme="minorHAnsi" w:hAnsiTheme="minorHAnsi" w:cstheme="minorHAnsi"/>
                <w:szCs w:val="20"/>
              </w:rPr>
            </w:pPr>
            <w:r w:rsidRPr="009756E0">
              <w:rPr>
                <w:rFonts w:asciiTheme="minorHAnsi" w:hAnsiTheme="minorHAnsi" w:cstheme="minorHAnsi"/>
                <w:szCs w:val="20"/>
              </w:rPr>
              <w:t>Risque d’accident routier sur les voies d’accès externes</w:t>
            </w:r>
          </w:p>
        </w:tc>
        <w:tc>
          <w:tcPr>
            <w:tcW w:w="0" w:type="auto"/>
            <w:vAlign w:val="center"/>
          </w:tcPr>
          <w:p w14:paraId="1750450C" w14:textId="41B7BDE4" w:rsidR="0015269F" w:rsidRPr="004637C7" w:rsidRDefault="0015269F" w:rsidP="0015269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Cs w:val="20"/>
              </w:rPr>
            </w:pPr>
            <w:r w:rsidRPr="004637C7">
              <w:rPr>
                <w:rFonts w:asciiTheme="minorHAnsi" w:hAnsiTheme="minorHAnsi" w:cstheme="minorHAnsi"/>
                <w:b/>
                <w:bCs/>
                <w:szCs w:val="20"/>
              </w:rPr>
              <w:t>Maintien</w:t>
            </w:r>
          </w:p>
        </w:tc>
        <w:tc>
          <w:tcPr>
            <w:tcW w:w="0" w:type="auto"/>
            <w:vAlign w:val="center"/>
          </w:tcPr>
          <w:p w14:paraId="7D75A12B" w14:textId="41A18D80" w:rsidR="0015269F" w:rsidRPr="004637C7" w:rsidRDefault="0015269F" w:rsidP="0015269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4637C7">
              <w:rPr>
                <w:rFonts w:asciiTheme="minorHAnsi" w:hAnsiTheme="minorHAnsi" w:cstheme="minorHAnsi"/>
                <w:szCs w:val="20"/>
              </w:rPr>
              <w:t xml:space="preserve">Les dispositifs de signalisation et de régulation de la circulation sur la bretelle et la </w:t>
            </w:r>
            <w:r w:rsidR="00000F82">
              <w:rPr>
                <w:rFonts w:asciiTheme="minorHAnsi" w:hAnsiTheme="minorHAnsi" w:cstheme="minorHAnsi"/>
                <w:szCs w:val="20"/>
              </w:rPr>
              <w:t>RR212</w:t>
            </w:r>
            <w:r w:rsidRPr="004637C7">
              <w:rPr>
                <w:rFonts w:asciiTheme="minorHAnsi" w:hAnsiTheme="minorHAnsi" w:cstheme="minorHAnsi"/>
                <w:szCs w:val="20"/>
              </w:rPr>
              <w:t xml:space="preserve"> sont déjà installés et fonctionnels.</w:t>
            </w:r>
          </w:p>
        </w:tc>
        <w:tc>
          <w:tcPr>
            <w:tcW w:w="0" w:type="auto"/>
            <w:vAlign w:val="center"/>
          </w:tcPr>
          <w:p w14:paraId="24B4D739" w14:textId="3A808EF1" w:rsidR="0015269F" w:rsidRPr="004637C7" w:rsidRDefault="0015269F" w:rsidP="0015269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4637C7">
              <w:rPr>
                <w:rFonts w:asciiTheme="minorHAnsi" w:hAnsiTheme="minorHAnsi" w:cstheme="minorHAnsi"/>
                <w:szCs w:val="20"/>
              </w:rPr>
              <w:t>% des panneaux visibles et conformes.</w:t>
            </w:r>
          </w:p>
        </w:tc>
        <w:tc>
          <w:tcPr>
            <w:tcW w:w="0" w:type="auto"/>
          </w:tcPr>
          <w:p w14:paraId="48B16F10" w14:textId="62AF41AE" w:rsidR="0015269F" w:rsidRPr="004637C7" w:rsidRDefault="0015269F" w:rsidP="0015269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AA22F2">
              <w:rPr>
                <w:szCs w:val="20"/>
                <w:lang w:eastAsia="fr-FR" w:bidi="ar-SA"/>
              </w:rPr>
              <w:t>ONDA / Exploitant</w:t>
            </w:r>
          </w:p>
        </w:tc>
        <w:tc>
          <w:tcPr>
            <w:tcW w:w="0" w:type="auto"/>
          </w:tcPr>
          <w:p w14:paraId="59FE8BFB" w14:textId="214D747A" w:rsidR="0015269F" w:rsidRPr="004637C7" w:rsidRDefault="0015269F" w:rsidP="0015269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AA22F2">
              <w:rPr>
                <w:szCs w:val="20"/>
                <w:lang w:eastAsia="fr-FR" w:bidi="ar-SA"/>
              </w:rPr>
              <w:t>ONDA</w:t>
            </w:r>
          </w:p>
        </w:tc>
        <w:tc>
          <w:tcPr>
            <w:tcW w:w="0" w:type="auto"/>
          </w:tcPr>
          <w:p w14:paraId="154D0DDA" w14:textId="7225041F" w:rsidR="0015269F" w:rsidRPr="004637C7" w:rsidRDefault="0015269F" w:rsidP="0015269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AA22F2">
              <w:rPr>
                <w:szCs w:val="20"/>
                <w:lang w:eastAsia="fr-FR" w:bidi="ar-SA"/>
              </w:rPr>
              <w:t>ONDA</w:t>
            </w:r>
          </w:p>
        </w:tc>
        <w:tc>
          <w:tcPr>
            <w:tcW w:w="0" w:type="auto"/>
            <w:vAlign w:val="center"/>
          </w:tcPr>
          <w:p w14:paraId="48192CBA" w14:textId="1544A4C7" w:rsidR="0015269F" w:rsidRPr="004637C7" w:rsidRDefault="0015269F" w:rsidP="0015269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4637C7">
              <w:rPr>
                <w:rFonts w:asciiTheme="minorHAnsi" w:hAnsiTheme="minorHAnsi" w:cstheme="minorHAnsi"/>
                <w:szCs w:val="20"/>
              </w:rPr>
              <w:t>Permanent</w:t>
            </w:r>
          </w:p>
        </w:tc>
        <w:tc>
          <w:tcPr>
            <w:tcW w:w="0" w:type="auto"/>
          </w:tcPr>
          <w:p w14:paraId="08D5AED2" w14:textId="048EA8AE" w:rsidR="0015269F" w:rsidRPr="004637C7" w:rsidRDefault="0015269F" w:rsidP="0015269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027F62">
              <w:t>Aucun coût spécifique</w:t>
            </w:r>
          </w:p>
        </w:tc>
      </w:tr>
      <w:tr w:rsidR="0015269F" w:rsidRPr="009756E0" w14:paraId="016BEB3E" w14:textId="77777777" w:rsidTr="00D60FC9">
        <w:tc>
          <w:tcPr>
            <w:cnfStyle w:val="001000000000" w:firstRow="0" w:lastRow="0" w:firstColumn="1" w:lastColumn="0" w:oddVBand="0" w:evenVBand="0" w:oddHBand="0" w:evenHBand="0" w:firstRowFirstColumn="0" w:firstRowLastColumn="0" w:lastRowFirstColumn="0" w:lastRowLastColumn="0"/>
            <w:tcW w:w="0" w:type="auto"/>
            <w:vMerge/>
          </w:tcPr>
          <w:p w14:paraId="144FD1AB" w14:textId="77777777" w:rsidR="0015269F" w:rsidRPr="004637C7" w:rsidRDefault="0015269F" w:rsidP="0015269F">
            <w:pPr>
              <w:rPr>
                <w:rFonts w:asciiTheme="minorHAnsi" w:hAnsiTheme="minorHAnsi" w:cstheme="minorHAnsi"/>
                <w:szCs w:val="20"/>
              </w:rPr>
            </w:pPr>
          </w:p>
        </w:tc>
        <w:tc>
          <w:tcPr>
            <w:tcW w:w="0" w:type="auto"/>
            <w:vAlign w:val="center"/>
          </w:tcPr>
          <w:p w14:paraId="552B4E15" w14:textId="1FB65BE9" w:rsidR="0015269F" w:rsidRPr="004637C7" w:rsidRDefault="0015269F" w:rsidP="0015269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Cs w:val="20"/>
              </w:rPr>
            </w:pPr>
            <w:r w:rsidRPr="004637C7">
              <w:rPr>
                <w:rFonts w:asciiTheme="minorHAnsi" w:hAnsiTheme="minorHAnsi" w:cstheme="minorHAnsi"/>
                <w:b/>
                <w:bCs/>
                <w:szCs w:val="20"/>
              </w:rPr>
              <w:t>Maintien</w:t>
            </w:r>
          </w:p>
        </w:tc>
        <w:tc>
          <w:tcPr>
            <w:tcW w:w="0" w:type="auto"/>
            <w:vAlign w:val="center"/>
          </w:tcPr>
          <w:p w14:paraId="795F67F9" w14:textId="31F0CF4A" w:rsidR="0015269F" w:rsidRPr="004637C7" w:rsidRDefault="0015269F" w:rsidP="0015269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4637C7">
              <w:rPr>
                <w:rFonts w:asciiTheme="minorHAnsi" w:hAnsiTheme="minorHAnsi" w:cstheme="minorHAnsi"/>
                <w:szCs w:val="20"/>
              </w:rPr>
              <w:t>La limitation de vitesse (≤40 km/h sur la bretelle, ≤30 km/h en zone interne) est déjà mise en œuvre et intégrée aux règles de circulation du site.</w:t>
            </w:r>
          </w:p>
        </w:tc>
        <w:tc>
          <w:tcPr>
            <w:tcW w:w="0" w:type="auto"/>
            <w:vAlign w:val="center"/>
          </w:tcPr>
          <w:p w14:paraId="5C24AE52" w14:textId="5C65EDC6" w:rsidR="0015269F" w:rsidRPr="004637C7" w:rsidRDefault="0015269F" w:rsidP="0015269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Pr>
                <w:rFonts w:asciiTheme="minorHAnsi" w:hAnsiTheme="minorHAnsi" w:cstheme="minorHAnsi"/>
                <w:szCs w:val="20"/>
              </w:rPr>
              <w:t>Nb d’</w:t>
            </w:r>
            <w:r w:rsidRPr="004637C7">
              <w:rPr>
                <w:rFonts w:asciiTheme="minorHAnsi" w:hAnsiTheme="minorHAnsi" w:cstheme="minorHAnsi"/>
                <w:szCs w:val="20"/>
              </w:rPr>
              <w:t xml:space="preserve">infraction signalée </w:t>
            </w:r>
          </w:p>
        </w:tc>
        <w:tc>
          <w:tcPr>
            <w:tcW w:w="0" w:type="auto"/>
          </w:tcPr>
          <w:p w14:paraId="06406B2A" w14:textId="796F30FF" w:rsidR="0015269F" w:rsidRPr="004637C7" w:rsidRDefault="0015269F" w:rsidP="0015269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AA22F2">
              <w:rPr>
                <w:szCs w:val="20"/>
                <w:lang w:eastAsia="fr-FR" w:bidi="ar-SA"/>
              </w:rPr>
              <w:t>ONDA / Exploitant</w:t>
            </w:r>
          </w:p>
        </w:tc>
        <w:tc>
          <w:tcPr>
            <w:tcW w:w="0" w:type="auto"/>
          </w:tcPr>
          <w:p w14:paraId="705BE8E5" w14:textId="56C1A9AE" w:rsidR="0015269F" w:rsidRPr="004637C7" w:rsidRDefault="0015269F" w:rsidP="0015269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AA22F2">
              <w:rPr>
                <w:szCs w:val="20"/>
                <w:lang w:eastAsia="fr-FR" w:bidi="ar-SA"/>
              </w:rPr>
              <w:t>ONDA</w:t>
            </w:r>
          </w:p>
        </w:tc>
        <w:tc>
          <w:tcPr>
            <w:tcW w:w="0" w:type="auto"/>
          </w:tcPr>
          <w:p w14:paraId="110293B4" w14:textId="6FCE9BE6" w:rsidR="0015269F" w:rsidRPr="004637C7" w:rsidRDefault="0015269F" w:rsidP="0015269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AA22F2">
              <w:rPr>
                <w:szCs w:val="20"/>
                <w:lang w:eastAsia="fr-FR" w:bidi="ar-SA"/>
              </w:rPr>
              <w:t>ONDA</w:t>
            </w:r>
          </w:p>
        </w:tc>
        <w:tc>
          <w:tcPr>
            <w:tcW w:w="0" w:type="auto"/>
            <w:vAlign w:val="center"/>
          </w:tcPr>
          <w:p w14:paraId="2AE91345" w14:textId="46D175CD" w:rsidR="0015269F" w:rsidRPr="004637C7" w:rsidRDefault="0015269F" w:rsidP="0015269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4637C7">
              <w:rPr>
                <w:rFonts w:asciiTheme="minorHAnsi" w:hAnsiTheme="minorHAnsi" w:cstheme="minorHAnsi"/>
                <w:szCs w:val="20"/>
              </w:rPr>
              <w:t>Permanent</w:t>
            </w:r>
          </w:p>
        </w:tc>
        <w:tc>
          <w:tcPr>
            <w:tcW w:w="0" w:type="auto"/>
          </w:tcPr>
          <w:p w14:paraId="4A94FE5B" w14:textId="6FE9C23F" w:rsidR="0015269F" w:rsidRPr="004637C7" w:rsidRDefault="0015269F" w:rsidP="0015269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027F62">
              <w:t>Aucun coût spécifique</w:t>
            </w:r>
          </w:p>
        </w:tc>
      </w:tr>
      <w:tr w:rsidR="00A41D76" w:rsidRPr="009756E0" w14:paraId="38BB15A3" w14:textId="77777777" w:rsidTr="005A7661">
        <w:tc>
          <w:tcPr>
            <w:cnfStyle w:val="001000000000" w:firstRow="0" w:lastRow="0" w:firstColumn="1" w:lastColumn="0" w:oddVBand="0" w:evenVBand="0" w:oddHBand="0" w:evenHBand="0" w:firstRowFirstColumn="0" w:firstRowLastColumn="0" w:lastRowFirstColumn="0" w:lastRowLastColumn="0"/>
            <w:tcW w:w="0" w:type="auto"/>
            <w:vMerge/>
          </w:tcPr>
          <w:p w14:paraId="557C3C4B" w14:textId="77777777" w:rsidR="00A41D76" w:rsidRPr="004637C7" w:rsidRDefault="00A41D76" w:rsidP="00A41D76">
            <w:pPr>
              <w:rPr>
                <w:rFonts w:asciiTheme="minorHAnsi" w:hAnsiTheme="minorHAnsi" w:cstheme="minorHAnsi"/>
                <w:szCs w:val="20"/>
              </w:rPr>
            </w:pPr>
          </w:p>
        </w:tc>
        <w:tc>
          <w:tcPr>
            <w:tcW w:w="0" w:type="auto"/>
            <w:vAlign w:val="center"/>
          </w:tcPr>
          <w:p w14:paraId="1A21F1C6" w14:textId="19FBD4B8" w:rsidR="00A41D76" w:rsidRPr="004637C7" w:rsidRDefault="00A41D76" w:rsidP="00A41D7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Cs w:val="20"/>
              </w:rPr>
            </w:pPr>
            <w:r w:rsidRPr="004637C7">
              <w:rPr>
                <w:rFonts w:asciiTheme="minorHAnsi" w:hAnsiTheme="minorHAnsi" w:cstheme="minorHAnsi"/>
                <w:b/>
                <w:bCs/>
                <w:szCs w:val="20"/>
              </w:rPr>
              <w:t>Atténuer</w:t>
            </w:r>
          </w:p>
        </w:tc>
        <w:tc>
          <w:tcPr>
            <w:tcW w:w="0" w:type="auto"/>
            <w:vAlign w:val="center"/>
          </w:tcPr>
          <w:p w14:paraId="2344FB51" w14:textId="6D1C6331" w:rsidR="00A41D76" w:rsidRPr="004637C7" w:rsidRDefault="00A41D76" w:rsidP="00A41D7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4637C7">
              <w:rPr>
                <w:rFonts w:asciiTheme="minorHAnsi" w:hAnsiTheme="minorHAnsi" w:cstheme="minorHAnsi"/>
                <w:szCs w:val="20"/>
              </w:rPr>
              <w:t>Sensibiliser les conducteurs (taxis, personnel, services techniques) sur les règles de sécurité, la priorité et la vitesse réglementaire sur les voies d’accès.</w:t>
            </w:r>
          </w:p>
        </w:tc>
        <w:tc>
          <w:tcPr>
            <w:tcW w:w="0" w:type="auto"/>
            <w:vAlign w:val="center"/>
          </w:tcPr>
          <w:p w14:paraId="286A29B8" w14:textId="0BFBE3B1" w:rsidR="00A41D76" w:rsidRPr="004637C7" w:rsidRDefault="00A41D76" w:rsidP="00A41D7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4637C7">
              <w:rPr>
                <w:rFonts w:asciiTheme="minorHAnsi" w:hAnsiTheme="minorHAnsi" w:cstheme="minorHAnsi"/>
                <w:szCs w:val="20"/>
              </w:rPr>
              <w:t>% du personnel et chauffeurs formés annuellement.</w:t>
            </w:r>
          </w:p>
        </w:tc>
        <w:tc>
          <w:tcPr>
            <w:tcW w:w="0" w:type="auto"/>
          </w:tcPr>
          <w:p w14:paraId="0BCF42C7" w14:textId="7B93CAD9" w:rsidR="00A41D76" w:rsidRPr="004637C7" w:rsidRDefault="00A41D76" w:rsidP="00A41D7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AA22F2">
              <w:rPr>
                <w:szCs w:val="20"/>
                <w:lang w:eastAsia="fr-FR" w:bidi="ar-SA"/>
              </w:rPr>
              <w:t>ONDA / Exploitant</w:t>
            </w:r>
          </w:p>
        </w:tc>
        <w:tc>
          <w:tcPr>
            <w:tcW w:w="0" w:type="auto"/>
          </w:tcPr>
          <w:p w14:paraId="294171FC" w14:textId="12A9D6D0" w:rsidR="00A41D76" w:rsidRPr="004637C7" w:rsidRDefault="00A41D76" w:rsidP="00A41D7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AA22F2">
              <w:rPr>
                <w:szCs w:val="20"/>
                <w:lang w:eastAsia="fr-FR" w:bidi="ar-SA"/>
              </w:rPr>
              <w:t>ONDA</w:t>
            </w:r>
          </w:p>
        </w:tc>
        <w:tc>
          <w:tcPr>
            <w:tcW w:w="0" w:type="auto"/>
          </w:tcPr>
          <w:p w14:paraId="4EBE9209" w14:textId="347D3721" w:rsidR="00A41D76" w:rsidRPr="004637C7" w:rsidRDefault="00A41D76" w:rsidP="00A41D7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AA22F2">
              <w:rPr>
                <w:szCs w:val="20"/>
                <w:lang w:eastAsia="fr-FR" w:bidi="ar-SA"/>
              </w:rPr>
              <w:t>ONDA</w:t>
            </w:r>
          </w:p>
        </w:tc>
        <w:tc>
          <w:tcPr>
            <w:tcW w:w="0" w:type="auto"/>
            <w:vAlign w:val="center"/>
          </w:tcPr>
          <w:p w14:paraId="7FF533AA" w14:textId="565DAA19" w:rsidR="00A41D76" w:rsidRPr="004637C7" w:rsidRDefault="00A41D76" w:rsidP="00A41D7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4637C7">
              <w:rPr>
                <w:rFonts w:asciiTheme="minorHAnsi" w:hAnsiTheme="minorHAnsi" w:cstheme="minorHAnsi"/>
                <w:szCs w:val="20"/>
              </w:rPr>
              <w:t>Annuelle</w:t>
            </w:r>
          </w:p>
        </w:tc>
        <w:tc>
          <w:tcPr>
            <w:tcW w:w="0" w:type="auto"/>
            <w:vAlign w:val="center"/>
          </w:tcPr>
          <w:p w14:paraId="7CCBFD23" w14:textId="75CDDD13" w:rsidR="00A41D76" w:rsidRPr="004637C7" w:rsidRDefault="00A41D76" w:rsidP="00A41D7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Pr>
                <w:rFonts w:asciiTheme="minorHAnsi" w:hAnsiTheme="minorHAnsi" w:cstheme="minorHAnsi"/>
                <w:szCs w:val="20"/>
              </w:rPr>
              <w:t>Aucun coût spécifique (</w:t>
            </w:r>
            <w:r w:rsidRPr="00A41D76">
              <w:rPr>
                <w:rFonts w:asciiTheme="minorHAnsi" w:hAnsiTheme="minorHAnsi" w:cstheme="minorHAnsi"/>
                <w:szCs w:val="20"/>
              </w:rPr>
              <w:t>Réalisé par le responsable HSSE sur site</w:t>
            </w:r>
            <w:r>
              <w:rPr>
                <w:rFonts w:asciiTheme="minorHAnsi" w:hAnsiTheme="minorHAnsi" w:cstheme="minorHAnsi"/>
                <w:szCs w:val="20"/>
              </w:rPr>
              <w:t>)</w:t>
            </w:r>
          </w:p>
        </w:tc>
      </w:tr>
      <w:tr w:rsidR="0015269F" w:rsidRPr="009756E0" w14:paraId="51E7C9F6" w14:textId="77777777" w:rsidTr="005A7661">
        <w:tc>
          <w:tcPr>
            <w:cnfStyle w:val="001000000000" w:firstRow="0" w:lastRow="0" w:firstColumn="1" w:lastColumn="0" w:oddVBand="0" w:evenVBand="0" w:oddHBand="0" w:evenHBand="0" w:firstRowFirstColumn="0" w:firstRowLastColumn="0" w:lastRowFirstColumn="0" w:lastRowLastColumn="0"/>
            <w:tcW w:w="0" w:type="auto"/>
            <w:vMerge w:val="restart"/>
          </w:tcPr>
          <w:p w14:paraId="63434339" w14:textId="5F2BFB3E" w:rsidR="00DD7C08" w:rsidRPr="004648FE" w:rsidRDefault="00DD7C08" w:rsidP="00DD7C08">
            <w:pPr>
              <w:rPr>
                <w:rFonts w:asciiTheme="minorHAnsi" w:hAnsiTheme="minorHAnsi" w:cstheme="minorHAnsi"/>
                <w:szCs w:val="20"/>
              </w:rPr>
            </w:pPr>
            <w:r w:rsidRPr="004637C7">
              <w:rPr>
                <w:rFonts w:asciiTheme="minorHAnsi" w:hAnsiTheme="minorHAnsi" w:cstheme="minorHAnsi"/>
                <w:szCs w:val="20"/>
              </w:rPr>
              <w:lastRenderedPageBreak/>
              <w:t xml:space="preserve">Risque d’accident de circulation interne </w:t>
            </w:r>
          </w:p>
        </w:tc>
        <w:tc>
          <w:tcPr>
            <w:tcW w:w="0" w:type="auto"/>
            <w:vAlign w:val="center"/>
          </w:tcPr>
          <w:p w14:paraId="2676CD28" w14:textId="3CFAE1DB" w:rsidR="00DD7C08" w:rsidRPr="004637C7" w:rsidRDefault="00DD7C08" w:rsidP="00DD7C08">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Cs w:val="20"/>
              </w:rPr>
            </w:pPr>
            <w:r w:rsidRPr="004637C7">
              <w:rPr>
                <w:rFonts w:asciiTheme="minorHAnsi" w:hAnsiTheme="minorHAnsi" w:cstheme="minorHAnsi"/>
                <w:b/>
                <w:bCs/>
                <w:szCs w:val="20"/>
              </w:rPr>
              <w:t>Éviter</w:t>
            </w:r>
          </w:p>
        </w:tc>
        <w:tc>
          <w:tcPr>
            <w:tcW w:w="0" w:type="auto"/>
            <w:vAlign w:val="center"/>
          </w:tcPr>
          <w:p w14:paraId="36A93D24" w14:textId="7FB764DF" w:rsidR="00DD7C08" w:rsidRPr="004637C7" w:rsidRDefault="00DD7C08" w:rsidP="00DD7C08">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4637C7">
              <w:rPr>
                <w:rFonts w:asciiTheme="minorHAnsi" w:hAnsiTheme="minorHAnsi" w:cstheme="minorHAnsi"/>
                <w:szCs w:val="20"/>
              </w:rPr>
              <w:t>Délimiter les zones de circulation internes et interdire l’accès aux zones airside aux véhicules non autorisés.</w:t>
            </w:r>
          </w:p>
        </w:tc>
        <w:tc>
          <w:tcPr>
            <w:tcW w:w="0" w:type="auto"/>
            <w:vAlign w:val="center"/>
          </w:tcPr>
          <w:p w14:paraId="159B5E1B" w14:textId="18EE5FBD" w:rsidR="00DD7C08" w:rsidRPr="004637C7" w:rsidRDefault="00DD7C08" w:rsidP="00DD7C08">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Pr>
                <w:rFonts w:asciiTheme="minorHAnsi" w:hAnsiTheme="minorHAnsi" w:cstheme="minorHAnsi"/>
                <w:szCs w:val="20"/>
              </w:rPr>
              <w:t>Nb d’a</w:t>
            </w:r>
            <w:r w:rsidRPr="004637C7">
              <w:rPr>
                <w:rFonts w:asciiTheme="minorHAnsi" w:hAnsiTheme="minorHAnsi" w:cstheme="minorHAnsi"/>
                <w:szCs w:val="20"/>
              </w:rPr>
              <w:t>ccès non autorisé constaté</w:t>
            </w:r>
            <w:r>
              <w:rPr>
                <w:rFonts w:asciiTheme="minorHAnsi" w:hAnsiTheme="minorHAnsi" w:cstheme="minorHAnsi"/>
                <w:szCs w:val="20"/>
              </w:rPr>
              <w:t>.</w:t>
            </w:r>
          </w:p>
        </w:tc>
        <w:tc>
          <w:tcPr>
            <w:tcW w:w="0" w:type="auto"/>
          </w:tcPr>
          <w:p w14:paraId="0475E4FD" w14:textId="445D53F3" w:rsidR="00DD7C08" w:rsidRPr="004637C7" w:rsidRDefault="00DD7C08" w:rsidP="00DD7C08">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AA22F2">
              <w:rPr>
                <w:szCs w:val="20"/>
                <w:lang w:eastAsia="fr-FR" w:bidi="ar-SA"/>
              </w:rPr>
              <w:t>ONDA / Exploitant</w:t>
            </w:r>
          </w:p>
        </w:tc>
        <w:tc>
          <w:tcPr>
            <w:tcW w:w="0" w:type="auto"/>
          </w:tcPr>
          <w:p w14:paraId="39DE73B6" w14:textId="4AADC5D0" w:rsidR="00DD7C08" w:rsidRPr="004637C7" w:rsidRDefault="00DD7C08" w:rsidP="00DD7C08">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AA22F2">
              <w:rPr>
                <w:szCs w:val="20"/>
                <w:lang w:eastAsia="fr-FR" w:bidi="ar-SA"/>
              </w:rPr>
              <w:t>ONDA</w:t>
            </w:r>
          </w:p>
        </w:tc>
        <w:tc>
          <w:tcPr>
            <w:tcW w:w="0" w:type="auto"/>
          </w:tcPr>
          <w:p w14:paraId="2609D0A1" w14:textId="6D64E04F" w:rsidR="00DD7C08" w:rsidRPr="004637C7" w:rsidRDefault="00DD7C08" w:rsidP="00DD7C08">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AA22F2">
              <w:rPr>
                <w:szCs w:val="20"/>
                <w:lang w:eastAsia="fr-FR" w:bidi="ar-SA"/>
              </w:rPr>
              <w:t>ONDA</w:t>
            </w:r>
          </w:p>
        </w:tc>
        <w:tc>
          <w:tcPr>
            <w:tcW w:w="0" w:type="auto"/>
            <w:vAlign w:val="center"/>
          </w:tcPr>
          <w:p w14:paraId="61957D37" w14:textId="5EAC8B08" w:rsidR="00DD7C08" w:rsidRPr="004637C7" w:rsidRDefault="00DD7C08" w:rsidP="00DD7C08">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4637C7">
              <w:rPr>
                <w:rFonts w:asciiTheme="minorHAnsi" w:hAnsiTheme="minorHAnsi" w:cstheme="minorHAnsi"/>
                <w:szCs w:val="20"/>
              </w:rPr>
              <w:t>Permanent</w:t>
            </w:r>
          </w:p>
        </w:tc>
        <w:tc>
          <w:tcPr>
            <w:tcW w:w="0" w:type="auto"/>
            <w:vAlign w:val="center"/>
          </w:tcPr>
          <w:p w14:paraId="3EF180D2" w14:textId="75A71B35" w:rsidR="00DD7C08" w:rsidRPr="004637C7" w:rsidRDefault="00A41D76" w:rsidP="00DD7C08">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A41D76">
              <w:rPr>
                <w:rFonts w:asciiTheme="minorHAnsi" w:hAnsiTheme="minorHAnsi" w:cstheme="minorHAnsi"/>
                <w:szCs w:val="20"/>
              </w:rPr>
              <w:t xml:space="preserve">10 000 – 12 000 </w:t>
            </w:r>
            <w:r>
              <w:rPr>
                <w:rFonts w:asciiTheme="minorHAnsi" w:hAnsiTheme="minorHAnsi" w:cstheme="minorHAnsi"/>
                <w:szCs w:val="20"/>
              </w:rPr>
              <w:t>MAD</w:t>
            </w:r>
            <w:r w:rsidRPr="00A41D76">
              <w:rPr>
                <w:rFonts w:asciiTheme="minorHAnsi" w:hAnsiTheme="minorHAnsi" w:cstheme="minorHAnsi"/>
                <w:szCs w:val="20"/>
              </w:rPr>
              <w:t>/lot (peinture, marquage, barrières)</w:t>
            </w:r>
          </w:p>
        </w:tc>
      </w:tr>
      <w:tr w:rsidR="0015269F" w:rsidRPr="009756E0" w14:paraId="600CE2FF" w14:textId="77777777" w:rsidTr="005A7661">
        <w:tc>
          <w:tcPr>
            <w:cnfStyle w:val="001000000000" w:firstRow="0" w:lastRow="0" w:firstColumn="1" w:lastColumn="0" w:oddVBand="0" w:evenVBand="0" w:oddHBand="0" w:evenHBand="0" w:firstRowFirstColumn="0" w:firstRowLastColumn="0" w:lastRowFirstColumn="0" w:lastRowLastColumn="0"/>
            <w:tcW w:w="0" w:type="auto"/>
            <w:vMerge/>
          </w:tcPr>
          <w:p w14:paraId="69F2BAAF" w14:textId="77777777" w:rsidR="00DD7C08" w:rsidRPr="009756E0" w:rsidRDefault="00DD7C08" w:rsidP="00DD7C08">
            <w:pPr>
              <w:rPr>
                <w:rFonts w:asciiTheme="minorHAnsi" w:hAnsiTheme="minorHAnsi" w:cstheme="minorHAnsi"/>
                <w:szCs w:val="20"/>
              </w:rPr>
            </w:pPr>
          </w:p>
        </w:tc>
        <w:tc>
          <w:tcPr>
            <w:tcW w:w="0" w:type="auto"/>
            <w:vAlign w:val="center"/>
          </w:tcPr>
          <w:p w14:paraId="1FF0C1AA" w14:textId="76B8BB4A" w:rsidR="00DD7C08" w:rsidRPr="004637C7" w:rsidRDefault="00DD7C08" w:rsidP="00DD7C08">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Cs w:val="20"/>
              </w:rPr>
            </w:pPr>
            <w:r w:rsidRPr="004637C7">
              <w:rPr>
                <w:rFonts w:asciiTheme="minorHAnsi" w:hAnsiTheme="minorHAnsi" w:cstheme="minorHAnsi"/>
                <w:b/>
                <w:bCs/>
                <w:szCs w:val="20"/>
              </w:rPr>
              <w:t>Réduire</w:t>
            </w:r>
          </w:p>
        </w:tc>
        <w:tc>
          <w:tcPr>
            <w:tcW w:w="0" w:type="auto"/>
            <w:vAlign w:val="center"/>
          </w:tcPr>
          <w:p w14:paraId="0D4BA61A" w14:textId="77777777" w:rsidR="00DD7C08" w:rsidRPr="004637C7" w:rsidRDefault="00DD7C08" w:rsidP="00DD7C08">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4637C7">
              <w:rPr>
                <w:rFonts w:asciiTheme="minorHAnsi" w:hAnsiTheme="minorHAnsi" w:cstheme="minorHAnsi"/>
                <w:szCs w:val="20"/>
              </w:rPr>
              <w:t>Appliquer une vitesse maximale : ≤ 30 km/h en zone airside (conformément aux IFC EHS Guidelines – Airports, 2007) ;</w:t>
            </w:r>
          </w:p>
          <w:p w14:paraId="7242546C" w14:textId="6A693540" w:rsidR="00DD7C08" w:rsidRPr="004637C7" w:rsidRDefault="00DD7C08" w:rsidP="00DD7C08">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4637C7">
              <w:rPr>
                <w:rFonts w:asciiTheme="minorHAnsi" w:hAnsiTheme="minorHAnsi" w:cstheme="minorHAnsi"/>
                <w:szCs w:val="20"/>
              </w:rPr>
              <w:t>Installer une signalisation claire (panneaux, marquage au sol, feux).</w:t>
            </w:r>
          </w:p>
        </w:tc>
        <w:tc>
          <w:tcPr>
            <w:tcW w:w="0" w:type="auto"/>
            <w:vAlign w:val="center"/>
          </w:tcPr>
          <w:p w14:paraId="75AD9FE1" w14:textId="10FA1607" w:rsidR="00DD7C08" w:rsidRPr="004637C7" w:rsidRDefault="00DD7C08" w:rsidP="00DD7C08">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4637C7">
              <w:rPr>
                <w:rFonts w:asciiTheme="minorHAnsi" w:hAnsiTheme="minorHAnsi" w:cstheme="minorHAnsi"/>
                <w:szCs w:val="20"/>
              </w:rPr>
              <w:t>Aucune infraction enregistrée /  % de conformité observée lors des audits HSE.</w:t>
            </w:r>
          </w:p>
        </w:tc>
        <w:tc>
          <w:tcPr>
            <w:tcW w:w="0" w:type="auto"/>
          </w:tcPr>
          <w:p w14:paraId="20DB6344" w14:textId="1D3A33F3" w:rsidR="00DD7C08" w:rsidRPr="004637C7" w:rsidRDefault="00DD7C08" w:rsidP="00DD7C08">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AA22F2">
              <w:rPr>
                <w:szCs w:val="20"/>
                <w:lang w:eastAsia="fr-FR" w:bidi="ar-SA"/>
              </w:rPr>
              <w:t>ONDA / Exploitant</w:t>
            </w:r>
          </w:p>
        </w:tc>
        <w:tc>
          <w:tcPr>
            <w:tcW w:w="0" w:type="auto"/>
          </w:tcPr>
          <w:p w14:paraId="1B7BEA2B" w14:textId="3D7773FC" w:rsidR="00DD7C08" w:rsidRPr="004637C7" w:rsidRDefault="00DD7C08" w:rsidP="00DD7C08">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AA22F2">
              <w:rPr>
                <w:szCs w:val="20"/>
                <w:lang w:eastAsia="fr-FR" w:bidi="ar-SA"/>
              </w:rPr>
              <w:t>ONDA</w:t>
            </w:r>
          </w:p>
        </w:tc>
        <w:tc>
          <w:tcPr>
            <w:tcW w:w="0" w:type="auto"/>
          </w:tcPr>
          <w:p w14:paraId="7BD32B84" w14:textId="3E6BE7EC" w:rsidR="00DD7C08" w:rsidRPr="004637C7" w:rsidRDefault="00DD7C08" w:rsidP="00DD7C08">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AA22F2">
              <w:rPr>
                <w:szCs w:val="20"/>
                <w:lang w:eastAsia="fr-FR" w:bidi="ar-SA"/>
              </w:rPr>
              <w:t>ONDA</w:t>
            </w:r>
          </w:p>
        </w:tc>
        <w:tc>
          <w:tcPr>
            <w:tcW w:w="0" w:type="auto"/>
            <w:vAlign w:val="center"/>
          </w:tcPr>
          <w:p w14:paraId="6F39541F" w14:textId="78EE0511" w:rsidR="00DD7C08" w:rsidRPr="004637C7" w:rsidRDefault="00DD7C08" w:rsidP="00DD7C08">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4637C7">
              <w:rPr>
                <w:rFonts w:asciiTheme="minorHAnsi" w:hAnsiTheme="minorHAnsi" w:cstheme="minorHAnsi"/>
                <w:szCs w:val="20"/>
              </w:rPr>
              <w:t>Permanent</w:t>
            </w:r>
          </w:p>
        </w:tc>
        <w:tc>
          <w:tcPr>
            <w:tcW w:w="0" w:type="auto"/>
            <w:vAlign w:val="center"/>
          </w:tcPr>
          <w:p w14:paraId="055D1C21" w14:textId="26CBC375" w:rsidR="00DD7C08" w:rsidRPr="004637C7" w:rsidRDefault="00A41D76" w:rsidP="00DD7C08">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A41D76">
              <w:rPr>
                <w:rFonts w:asciiTheme="minorHAnsi" w:hAnsiTheme="minorHAnsi" w:cstheme="minorHAnsi"/>
                <w:szCs w:val="20"/>
              </w:rPr>
              <w:t>1 500 – 2 000</w:t>
            </w:r>
            <w:r>
              <w:t xml:space="preserve"> </w:t>
            </w:r>
            <w:r w:rsidRPr="00A41D76">
              <w:rPr>
                <w:rFonts w:asciiTheme="minorHAnsi" w:hAnsiTheme="minorHAnsi" w:cstheme="minorHAnsi"/>
                <w:szCs w:val="20"/>
              </w:rPr>
              <w:t>MAD /panneau ; 800 /m² marquage au sol</w:t>
            </w:r>
          </w:p>
        </w:tc>
      </w:tr>
      <w:tr w:rsidR="0015269F" w:rsidRPr="009756E0" w14:paraId="17B32380" w14:textId="77777777" w:rsidTr="005A7661">
        <w:tc>
          <w:tcPr>
            <w:cnfStyle w:val="001000000000" w:firstRow="0" w:lastRow="0" w:firstColumn="1" w:lastColumn="0" w:oddVBand="0" w:evenVBand="0" w:oddHBand="0" w:evenHBand="0" w:firstRowFirstColumn="0" w:firstRowLastColumn="0" w:lastRowFirstColumn="0" w:lastRowLastColumn="0"/>
            <w:tcW w:w="0" w:type="auto"/>
            <w:vMerge/>
          </w:tcPr>
          <w:p w14:paraId="2E27E597" w14:textId="77777777" w:rsidR="00DD7C08" w:rsidRPr="009756E0" w:rsidRDefault="00DD7C08" w:rsidP="00DD7C08">
            <w:pPr>
              <w:rPr>
                <w:rFonts w:asciiTheme="minorHAnsi" w:hAnsiTheme="minorHAnsi" w:cstheme="minorHAnsi"/>
                <w:szCs w:val="20"/>
              </w:rPr>
            </w:pPr>
          </w:p>
        </w:tc>
        <w:tc>
          <w:tcPr>
            <w:tcW w:w="0" w:type="auto"/>
            <w:vAlign w:val="center"/>
          </w:tcPr>
          <w:p w14:paraId="4B9F9FB5" w14:textId="24199B10" w:rsidR="00DD7C08" w:rsidRPr="004637C7" w:rsidRDefault="00DD7C08" w:rsidP="00DD7C08">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Cs w:val="20"/>
              </w:rPr>
            </w:pPr>
            <w:r w:rsidRPr="004637C7">
              <w:rPr>
                <w:rFonts w:asciiTheme="minorHAnsi" w:hAnsiTheme="minorHAnsi" w:cstheme="minorHAnsi"/>
                <w:b/>
                <w:bCs/>
                <w:szCs w:val="20"/>
              </w:rPr>
              <w:t>Atténuer</w:t>
            </w:r>
          </w:p>
        </w:tc>
        <w:tc>
          <w:tcPr>
            <w:tcW w:w="0" w:type="auto"/>
            <w:vAlign w:val="center"/>
          </w:tcPr>
          <w:p w14:paraId="45BEB207" w14:textId="055E709C" w:rsidR="00DD7C08" w:rsidRPr="004637C7" w:rsidRDefault="00DD7C08" w:rsidP="00DD7C08">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4637C7">
              <w:rPr>
                <w:rFonts w:asciiTheme="minorHAnsi" w:hAnsiTheme="minorHAnsi" w:cstheme="minorHAnsi"/>
                <w:szCs w:val="20"/>
              </w:rPr>
              <w:t>Former l’ensemble du personnel et conducteurs de véhicules de service à la circulation airside et à la prévention des collisions.</w:t>
            </w:r>
          </w:p>
        </w:tc>
        <w:tc>
          <w:tcPr>
            <w:tcW w:w="0" w:type="auto"/>
            <w:vAlign w:val="center"/>
          </w:tcPr>
          <w:p w14:paraId="3FC09720" w14:textId="5BF0BE6A" w:rsidR="00DD7C08" w:rsidRPr="004637C7" w:rsidRDefault="00DD7C08" w:rsidP="00DD7C08">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4637C7">
              <w:rPr>
                <w:rFonts w:asciiTheme="minorHAnsi" w:hAnsiTheme="minorHAnsi" w:cstheme="minorHAnsi"/>
                <w:szCs w:val="20"/>
              </w:rPr>
              <w:t>% du personnel formé avec évaluation annuelle.</w:t>
            </w:r>
          </w:p>
        </w:tc>
        <w:tc>
          <w:tcPr>
            <w:tcW w:w="0" w:type="auto"/>
          </w:tcPr>
          <w:p w14:paraId="5A7285A2" w14:textId="2A30C646" w:rsidR="00DD7C08" w:rsidRPr="004637C7" w:rsidRDefault="00DD7C08" w:rsidP="00DD7C08">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AA22F2">
              <w:rPr>
                <w:szCs w:val="20"/>
                <w:lang w:eastAsia="fr-FR" w:bidi="ar-SA"/>
              </w:rPr>
              <w:t>ONDA / Exploitant</w:t>
            </w:r>
          </w:p>
        </w:tc>
        <w:tc>
          <w:tcPr>
            <w:tcW w:w="0" w:type="auto"/>
          </w:tcPr>
          <w:p w14:paraId="767D7DFA" w14:textId="423DC48C" w:rsidR="00DD7C08" w:rsidRPr="004637C7" w:rsidRDefault="00DD7C08" w:rsidP="00DD7C08">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AA22F2">
              <w:rPr>
                <w:szCs w:val="20"/>
                <w:lang w:eastAsia="fr-FR" w:bidi="ar-SA"/>
              </w:rPr>
              <w:t>ONDA</w:t>
            </w:r>
          </w:p>
        </w:tc>
        <w:tc>
          <w:tcPr>
            <w:tcW w:w="0" w:type="auto"/>
          </w:tcPr>
          <w:p w14:paraId="4756CFC3" w14:textId="517ECAD5" w:rsidR="00DD7C08" w:rsidRPr="004637C7" w:rsidRDefault="00DD7C08" w:rsidP="00DD7C08">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AA22F2">
              <w:rPr>
                <w:szCs w:val="20"/>
                <w:lang w:eastAsia="fr-FR" w:bidi="ar-SA"/>
              </w:rPr>
              <w:t>ONDA</w:t>
            </w:r>
          </w:p>
        </w:tc>
        <w:tc>
          <w:tcPr>
            <w:tcW w:w="0" w:type="auto"/>
            <w:vAlign w:val="center"/>
          </w:tcPr>
          <w:p w14:paraId="686D5410" w14:textId="3AFBDC21" w:rsidR="00DD7C08" w:rsidRPr="004637C7" w:rsidRDefault="00DD7C08" w:rsidP="00DD7C08">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4637C7">
              <w:rPr>
                <w:rFonts w:asciiTheme="minorHAnsi" w:hAnsiTheme="minorHAnsi" w:cstheme="minorHAnsi"/>
                <w:szCs w:val="20"/>
              </w:rPr>
              <w:t>Annuelle</w:t>
            </w:r>
          </w:p>
        </w:tc>
        <w:tc>
          <w:tcPr>
            <w:tcW w:w="0" w:type="auto"/>
            <w:vAlign w:val="center"/>
          </w:tcPr>
          <w:p w14:paraId="453EDD0D" w14:textId="72161513" w:rsidR="00DD7C08" w:rsidRPr="004637C7" w:rsidRDefault="00A41D76" w:rsidP="00DD7C08">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Pr>
                <w:rFonts w:asciiTheme="minorHAnsi" w:hAnsiTheme="minorHAnsi" w:cstheme="minorHAnsi"/>
                <w:szCs w:val="20"/>
              </w:rPr>
              <w:t>Aucun coût spécifique (</w:t>
            </w:r>
            <w:r w:rsidRPr="00A41D76">
              <w:rPr>
                <w:rFonts w:asciiTheme="minorHAnsi" w:hAnsiTheme="minorHAnsi" w:cstheme="minorHAnsi"/>
                <w:szCs w:val="20"/>
              </w:rPr>
              <w:t>Réalisé par le responsable HSSE sur site</w:t>
            </w:r>
            <w:r>
              <w:rPr>
                <w:rFonts w:asciiTheme="minorHAnsi" w:hAnsiTheme="minorHAnsi" w:cstheme="minorHAnsi"/>
                <w:szCs w:val="20"/>
              </w:rPr>
              <w:t>)</w:t>
            </w:r>
          </w:p>
        </w:tc>
      </w:tr>
      <w:tr w:rsidR="0015269F" w:rsidRPr="009756E0" w14:paraId="4B605DE9" w14:textId="77777777" w:rsidTr="005A7661">
        <w:tc>
          <w:tcPr>
            <w:cnfStyle w:val="001000000000" w:firstRow="0" w:lastRow="0" w:firstColumn="1" w:lastColumn="0" w:oddVBand="0" w:evenVBand="0" w:oddHBand="0" w:evenHBand="0" w:firstRowFirstColumn="0" w:firstRowLastColumn="0" w:lastRowFirstColumn="0" w:lastRowLastColumn="0"/>
            <w:tcW w:w="0" w:type="auto"/>
            <w:vMerge/>
          </w:tcPr>
          <w:p w14:paraId="4E65AEEE" w14:textId="77777777" w:rsidR="00DD7C08" w:rsidRPr="009756E0" w:rsidRDefault="00DD7C08" w:rsidP="00DD7C08">
            <w:pPr>
              <w:rPr>
                <w:rFonts w:asciiTheme="minorHAnsi" w:hAnsiTheme="minorHAnsi" w:cstheme="minorHAnsi"/>
                <w:szCs w:val="20"/>
              </w:rPr>
            </w:pPr>
          </w:p>
        </w:tc>
        <w:tc>
          <w:tcPr>
            <w:tcW w:w="0" w:type="auto"/>
            <w:vAlign w:val="center"/>
          </w:tcPr>
          <w:p w14:paraId="2DF4BA9A" w14:textId="77AC6BCF" w:rsidR="00DD7C08" w:rsidRPr="004637C7" w:rsidRDefault="00DD7C08" w:rsidP="00DD7C08">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Cs w:val="20"/>
              </w:rPr>
            </w:pPr>
            <w:r w:rsidRPr="004637C7">
              <w:rPr>
                <w:rFonts w:asciiTheme="minorHAnsi" w:hAnsiTheme="minorHAnsi" w:cstheme="minorHAnsi"/>
                <w:b/>
                <w:bCs/>
                <w:szCs w:val="20"/>
              </w:rPr>
              <w:t>Compenser</w:t>
            </w:r>
          </w:p>
        </w:tc>
        <w:tc>
          <w:tcPr>
            <w:tcW w:w="0" w:type="auto"/>
            <w:vAlign w:val="center"/>
          </w:tcPr>
          <w:p w14:paraId="20A76D21" w14:textId="2CB0D86A" w:rsidR="00DD7C08" w:rsidRPr="004637C7" w:rsidRDefault="00DD7C08" w:rsidP="00DD7C08">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4637C7">
              <w:rPr>
                <w:rFonts w:asciiTheme="minorHAnsi" w:hAnsiTheme="minorHAnsi" w:cstheme="minorHAnsi"/>
                <w:szCs w:val="20"/>
              </w:rPr>
              <w:t>Prévoir un plan d’intervention d’urgence pour tout incident airside, avec procédures de confinement, premiers secours et rapport immédiat à la tour de contrôle.</w:t>
            </w:r>
          </w:p>
        </w:tc>
        <w:tc>
          <w:tcPr>
            <w:tcW w:w="0" w:type="auto"/>
            <w:vAlign w:val="center"/>
          </w:tcPr>
          <w:p w14:paraId="521253E5" w14:textId="5882F4AD" w:rsidR="00DD7C08" w:rsidRPr="004637C7" w:rsidRDefault="00DD7C08" w:rsidP="00DD7C08">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4637C7">
              <w:rPr>
                <w:rFonts w:asciiTheme="minorHAnsi" w:hAnsiTheme="minorHAnsi" w:cstheme="minorHAnsi"/>
                <w:szCs w:val="20"/>
              </w:rPr>
              <w:t>Temps de réaction; % des incidents documentés.</w:t>
            </w:r>
          </w:p>
        </w:tc>
        <w:tc>
          <w:tcPr>
            <w:tcW w:w="0" w:type="auto"/>
          </w:tcPr>
          <w:p w14:paraId="242947EB" w14:textId="6D5F3FD9" w:rsidR="00DD7C08" w:rsidRPr="004637C7" w:rsidRDefault="00DD7C08" w:rsidP="00DD7C08">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AA22F2">
              <w:rPr>
                <w:szCs w:val="20"/>
                <w:lang w:eastAsia="fr-FR" w:bidi="ar-SA"/>
              </w:rPr>
              <w:t>ONDA / Exploitant</w:t>
            </w:r>
          </w:p>
        </w:tc>
        <w:tc>
          <w:tcPr>
            <w:tcW w:w="0" w:type="auto"/>
          </w:tcPr>
          <w:p w14:paraId="5EB8C009" w14:textId="6EC091AB" w:rsidR="00DD7C08" w:rsidRPr="004637C7" w:rsidRDefault="00DD7C08" w:rsidP="00DD7C08">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AA22F2">
              <w:rPr>
                <w:szCs w:val="20"/>
                <w:lang w:eastAsia="fr-FR" w:bidi="ar-SA"/>
              </w:rPr>
              <w:t>ONDA</w:t>
            </w:r>
          </w:p>
        </w:tc>
        <w:tc>
          <w:tcPr>
            <w:tcW w:w="0" w:type="auto"/>
          </w:tcPr>
          <w:p w14:paraId="70AC05EA" w14:textId="7E5D71BB" w:rsidR="00DD7C08" w:rsidRPr="004637C7" w:rsidRDefault="00DD7C08" w:rsidP="00DD7C08">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AA22F2">
              <w:rPr>
                <w:szCs w:val="20"/>
                <w:lang w:eastAsia="fr-FR" w:bidi="ar-SA"/>
              </w:rPr>
              <w:t>ONDA</w:t>
            </w:r>
          </w:p>
        </w:tc>
        <w:tc>
          <w:tcPr>
            <w:tcW w:w="0" w:type="auto"/>
            <w:vAlign w:val="center"/>
          </w:tcPr>
          <w:p w14:paraId="126BCA63" w14:textId="509412B3" w:rsidR="00DD7C08" w:rsidRPr="004637C7" w:rsidRDefault="00DD7C08" w:rsidP="00DD7C08">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4637C7">
              <w:rPr>
                <w:rFonts w:asciiTheme="minorHAnsi" w:hAnsiTheme="minorHAnsi" w:cstheme="minorHAnsi"/>
                <w:szCs w:val="20"/>
              </w:rPr>
              <w:t>Permanent</w:t>
            </w:r>
          </w:p>
        </w:tc>
        <w:tc>
          <w:tcPr>
            <w:tcW w:w="0" w:type="auto"/>
            <w:vAlign w:val="center"/>
          </w:tcPr>
          <w:p w14:paraId="4C3FEC7D" w14:textId="5433753C" w:rsidR="00DD7C08" w:rsidRPr="004637C7" w:rsidRDefault="005015CA" w:rsidP="00DD7C08">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5015CA">
              <w:rPr>
                <w:rFonts w:asciiTheme="minorHAnsi" w:hAnsiTheme="minorHAnsi" w:cstheme="minorHAnsi"/>
                <w:szCs w:val="20"/>
              </w:rPr>
              <w:t>15 000 – 20 000</w:t>
            </w:r>
            <w:r>
              <w:rPr>
                <w:rFonts w:asciiTheme="minorHAnsi" w:hAnsiTheme="minorHAnsi" w:cstheme="minorHAnsi"/>
                <w:szCs w:val="20"/>
              </w:rPr>
              <w:t xml:space="preserve"> MAD</w:t>
            </w:r>
            <w:r w:rsidRPr="005015CA">
              <w:rPr>
                <w:rFonts w:asciiTheme="minorHAnsi" w:hAnsiTheme="minorHAnsi" w:cstheme="minorHAnsi"/>
                <w:szCs w:val="20"/>
              </w:rPr>
              <w:t xml:space="preserve"> /plan + simulation annuelle</w:t>
            </w:r>
          </w:p>
        </w:tc>
      </w:tr>
    </w:tbl>
    <w:p w14:paraId="07BCEE9D" w14:textId="77777777" w:rsidR="008F5918" w:rsidRDefault="008F5918" w:rsidP="004E3D0A"/>
    <w:p w14:paraId="2E36ADCC" w14:textId="77777777" w:rsidR="00A86EC3" w:rsidRDefault="00A86EC3" w:rsidP="004637C7"/>
    <w:p w14:paraId="50D4330F" w14:textId="77777777" w:rsidR="004E3D0A" w:rsidRDefault="004E3D0A" w:rsidP="004637C7"/>
    <w:p w14:paraId="202F6170" w14:textId="77777777" w:rsidR="004E3D0A" w:rsidRDefault="004E3D0A" w:rsidP="004637C7"/>
    <w:p w14:paraId="2D8F863B" w14:textId="77777777" w:rsidR="004E3D0A" w:rsidRDefault="004E3D0A" w:rsidP="004637C7">
      <w:pPr>
        <w:pStyle w:val="Style4"/>
        <w:numPr>
          <w:ilvl w:val="0"/>
          <w:numId w:val="0"/>
        </w:numPr>
        <w:spacing w:before="120" w:after="120"/>
        <w:ind w:left="720" w:hanging="360"/>
        <w:sectPr w:rsidR="004E3D0A" w:rsidSect="004637C7">
          <w:pgSz w:w="16838" w:h="11906" w:orient="landscape"/>
          <w:pgMar w:top="1418" w:right="1418" w:bottom="1418" w:left="1276" w:header="680" w:footer="680" w:gutter="0"/>
          <w:cols w:space="708"/>
          <w:docGrid w:linePitch="360"/>
        </w:sectPr>
      </w:pPr>
    </w:p>
    <w:p w14:paraId="221E15E0" w14:textId="7D977E21" w:rsidR="00A2719C" w:rsidRPr="00496DA1" w:rsidRDefault="00A2719C" w:rsidP="004637C7">
      <w:pPr>
        <w:pStyle w:val="Title5"/>
      </w:pPr>
      <w:r w:rsidRPr="00496DA1">
        <w:lastRenderedPageBreak/>
        <w:t>Évaluation de</w:t>
      </w:r>
      <w:r w:rsidR="004D30F8">
        <w:t>s impacts résiduels</w:t>
      </w:r>
    </w:p>
    <w:p w14:paraId="2BCB5E0A" w14:textId="77777777" w:rsidR="00A05C75" w:rsidRPr="00A05C75" w:rsidRDefault="00A05C75" w:rsidP="0001633E">
      <w:pPr>
        <w:pStyle w:val="AltTitle2"/>
        <w:numPr>
          <w:ilvl w:val="0"/>
          <w:numId w:val="106"/>
        </w:numPr>
      </w:pPr>
      <w:r w:rsidRPr="00A05C75">
        <w:t>Saturation et congestion du trafic</w:t>
      </w:r>
    </w:p>
    <w:p w14:paraId="7234A421" w14:textId="77777777" w:rsidR="00FB3C75" w:rsidRDefault="00FB3C75" w:rsidP="00FB3C75">
      <w:r>
        <w:t>En phase d’exploitation, l’extension du parking avions entraînera une augmentation du trafic terrestre, liée aux véhicules de passagers, de service, de maintenance et de personnel.</w:t>
      </w:r>
    </w:p>
    <w:p w14:paraId="68898A62" w14:textId="19D3851E" w:rsidR="00FB3C75" w:rsidRDefault="00FB3C75" w:rsidP="00FB3C75">
      <w:r>
        <w:t xml:space="preserve">Les mesures de gestion prévues (régulation des flux par la planification horaire des vols, optimisation de la signalisation directionnelle, amélioration des zones de stationnement et maintien d’un système de surveillance du trafic interne) permettront de conserver une circulation fluide sur la </w:t>
      </w:r>
      <w:r w:rsidR="0098370A">
        <w:t>RR212</w:t>
      </w:r>
      <w:r>
        <w:t xml:space="preserve"> et la bretelle d’accès.</w:t>
      </w:r>
    </w:p>
    <w:p w14:paraId="24DA2019" w14:textId="2BD7F1D0" w:rsidR="00FB3C75" w:rsidRDefault="00FB3C75" w:rsidP="00FB3C75">
      <w:r>
        <w:t>Ces dispositifs garantissent la prévention des engorgements ponctuels et la maîtrise des pics de circulation aux heures de pointe. L’impact, initialement modéré, est donc réduit à un niveau mineur après mise en œuvre des mesures.</w:t>
      </w:r>
    </w:p>
    <w:p w14:paraId="33E38039" w14:textId="07F45FE1" w:rsidR="00A05C75" w:rsidRPr="00A05C75" w:rsidRDefault="00FB3C75" w:rsidP="004637C7">
      <w:r>
        <w:t>L’intensité résiduelle est faible, la sensibilité des usagers moyenne, et l’importance mineure, considérée comme acceptable, car les effets sont localisés, réversibles et maîtrisés par des dispositifs opérationnels permanents.</w:t>
      </w:r>
    </w:p>
    <w:p w14:paraId="4F971AC9" w14:textId="77777777" w:rsidR="00A05C75" w:rsidRPr="00A05C75" w:rsidRDefault="00A05C75" w:rsidP="0001633E">
      <w:pPr>
        <w:pStyle w:val="AltTitle2"/>
        <w:numPr>
          <w:ilvl w:val="0"/>
          <w:numId w:val="106"/>
        </w:numPr>
      </w:pPr>
      <w:r w:rsidRPr="00A05C75">
        <w:t>Risque d’accident routier sur les voies d’accès externes</w:t>
      </w:r>
    </w:p>
    <w:p w14:paraId="747846F7" w14:textId="77777777" w:rsidR="00FB3C75" w:rsidRDefault="00FB3C75" w:rsidP="00FB3C75">
      <w:r>
        <w:t>Le trafic additionnel engendré par l’exploitation du parking avions est pris en compte dans les dispositifs de sécurité existants. Les mesures de maintien incluent la signalisation réglementaire, la limitation de vitesse (≤ 40 km/h sur la bretelle, ≤ 30 km/h en zone interne), ainsi que la sensibilisation périodique des chauffeurs, du personnel et des taxis.</w:t>
      </w:r>
    </w:p>
    <w:p w14:paraId="5E4CEDC7" w14:textId="67E3B21D" w:rsidR="00FB3C75" w:rsidRDefault="00FB3C75" w:rsidP="00FB3C75">
      <w:r>
        <w:t xml:space="preserve">Ces dispositifs, déjà intégrés dans le système de gestion de la circulation de l’aéroport, permettent de réduire la probabilité d’incident à un niveau occasionnel et la gravité à un niveau </w:t>
      </w:r>
      <w:r w:rsidR="00D5395A">
        <w:t>mineure</w:t>
      </w:r>
      <w:r>
        <w:t>.</w:t>
      </w:r>
    </w:p>
    <w:p w14:paraId="4B41792C" w14:textId="29FB5CCA" w:rsidR="00A05C75" w:rsidRPr="00A05C75" w:rsidRDefault="00FB3C75" w:rsidP="004637C7">
      <w:r>
        <w:t>Le risque résiduel est donc faible, limité aux heures de pointe, et jugé acceptable. Il ne présente pas d’effet significatif sur la sécurité publique, sous réserve du maintien du suivi annuel de la conformité et du contrôle de la signalisation en coordination avec la DPE et les autorités locales.</w:t>
      </w:r>
    </w:p>
    <w:p w14:paraId="29D2712A" w14:textId="77777777" w:rsidR="00A05C75" w:rsidRPr="00A05C75" w:rsidRDefault="00A05C75" w:rsidP="0001633E">
      <w:pPr>
        <w:pStyle w:val="AltTitle2"/>
        <w:numPr>
          <w:ilvl w:val="0"/>
          <w:numId w:val="106"/>
        </w:numPr>
      </w:pPr>
      <w:r w:rsidRPr="00A05C75">
        <w:t xml:space="preserve">Risque d’accident de circulation interne </w:t>
      </w:r>
    </w:p>
    <w:p w14:paraId="52BFF2E1" w14:textId="77777777" w:rsidR="00FB3C75" w:rsidRPr="00FB3C75" w:rsidRDefault="00FB3C75" w:rsidP="004637C7">
      <w:r w:rsidRPr="00FB3C75">
        <w:t>Au sein du parking avions et des voies de service, les risques liés à la circulation des bus de passagers, tracteurs à bagages, camions-citernes, véhicules de maintenance et piétons sont réduits par la mise en place de mesures spécifiques :</w:t>
      </w:r>
    </w:p>
    <w:p w14:paraId="28D58326" w14:textId="2938C97B" w:rsidR="00FB3C75" w:rsidRPr="00FB3C75" w:rsidRDefault="0098370A" w:rsidP="0001633E">
      <w:pPr>
        <w:pStyle w:val="Paragraphedeliste"/>
        <w:numPr>
          <w:ilvl w:val="0"/>
          <w:numId w:val="114"/>
        </w:numPr>
      </w:pPr>
      <w:r w:rsidRPr="00FB3C75">
        <w:t>Délimitation</w:t>
      </w:r>
      <w:r w:rsidR="00FB3C75" w:rsidRPr="00FB3C75">
        <w:t xml:space="preserve"> stricte des zones de circulation ;</w:t>
      </w:r>
    </w:p>
    <w:p w14:paraId="22151861" w14:textId="56F5CFB8" w:rsidR="00FB3C75" w:rsidRPr="00FB3C75" w:rsidRDefault="0098370A" w:rsidP="0001633E">
      <w:pPr>
        <w:pStyle w:val="Paragraphedeliste"/>
        <w:numPr>
          <w:ilvl w:val="0"/>
          <w:numId w:val="114"/>
        </w:numPr>
      </w:pPr>
      <w:r w:rsidRPr="00FB3C75">
        <w:t>Interdiction</w:t>
      </w:r>
      <w:r w:rsidR="00FB3C75" w:rsidRPr="00FB3C75">
        <w:t xml:space="preserve"> d’accès aux véhicules non autorisés ;</w:t>
      </w:r>
    </w:p>
    <w:p w14:paraId="1E551755" w14:textId="2BA25A63" w:rsidR="00FB3C75" w:rsidRPr="00FB3C75" w:rsidRDefault="0098370A" w:rsidP="0001633E">
      <w:pPr>
        <w:pStyle w:val="Paragraphedeliste"/>
        <w:numPr>
          <w:ilvl w:val="0"/>
          <w:numId w:val="114"/>
        </w:numPr>
      </w:pPr>
      <w:r w:rsidRPr="00FB3C75">
        <w:t>Limitation</w:t>
      </w:r>
      <w:r w:rsidR="00FB3C75" w:rsidRPr="00FB3C75">
        <w:t xml:space="preserve"> de vitesse à 30 km/h (conformément aux IFC EHS Guidelines – Airports, 2007) ;</w:t>
      </w:r>
    </w:p>
    <w:p w14:paraId="416CE667" w14:textId="538F5F7C" w:rsidR="00FB3C75" w:rsidRPr="00FB3C75" w:rsidRDefault="0098370A" w:rsidP="0001633E">
      <w:pPr>
        <w:pStyle w:val="Paragraphedeliste"/>
        <w:numPr>
          <w:ilvl w:val="0"/>
          <w:numId w:val="114"/>
        </w:numPr>
      </w:pPr>
      <w:r w:rsidRPr="00FB3C75">
        <w:t>Signalisation</w:t>
      </w:r>
      <w:r w:rsidR="00FB3C75" w:rsidRPr="00FB3C75">
        <w:t xml:space="preserve"> et marquage au sol normalisés ;</w:t>
      </w:r>
    </w:p>
    <w:p w14:paraId="09CFE50C" w14:textId="752C8870" w:rsidR="00FB3C75" w:rsidRPr="00FB3C75" w:rsidRDefault="0098370A" w:rsidP="0001633E">
      <w:pPr>
        <w:pStyle w:val="Paragraphedeliste"/>
        <w:numPr>
          <w:ilvl w:val="0"/>
          <w:numId w:val="114"/>
        </w:numPr>
      </w:pPr>
      <w:r w:rsidRPr="00FB3C75">
        <w:t>Formation</w:t>
      </w:r>
      <w:r w:rsidR="00FB3C75" w:rsidRPr="00FB3C75">
        <w:t xml:space="preserve"> annuelle de l’ensemble du personnel airside et mise en œuvre d’un plan d’intervention d’urgence.</w:t>
      </w:r>
    </w:p>
    <w:p w14:paraId="22CA6594" w14:textId="77777777" w:rsidR="00FB3C75" w:rsidRPr="00FB3C75" w:rsidRDefault="00FB3C75" w:rsidP="004637C7">
      <w:r w:rsidRPr="00FB3C75">
        <w:t>Grâce à ces actions, la probabilité d’accident est réduite de probable à occasionnelle, et la gravité des conséquences, bien que toujours majeure en cas de collision, est compensée par une capacité de réaction rapide et une organisation efficace des secours.</w:t>
      </w:r>
    </w:p>
    <w:p w14:paraId="02E8F13C" w14:textId="28379FE5" w:rsidR="00A2719C" w:rsidRDefault="00FB3C75" w:rsidP="0098370A">
      <w:r w:rsidRPr="00FB3C75">
        <w:lastRenderedPageBreak/>
        <w:t>Le niveau résiduel est modéré, jugé acceptable. Les mesures prévues garantissent la prévention durable des risques de collision et la sécurité des opérations au sol.</w:t>
      </w:r>
    </w:p>
    <w:p w14:paraId="33171522" w14:textId="37405598" w:rsidR="007D6C6B" w:rsidRPr="007D6C6B" w:rsidRDefault="00A10E1E" w:rsidP="007D6C6B">
      <w:pPr>
        <w:pStyle w:val="Title3"/>
      </w:pPr>
      <w:bookmarkStart w:id="471" w:name="_Toc215131885"/>
      <w:r>
        <w:t>Retombés socio-</w:t>
      </w:r>
      <w:r w:rsidR="007D6C6B" w:rsidRPr="007D6C6B">
        <w:t>économiques et emploi</w:t>
      </w:r>
      <w:bookmarkEnd w:id="464"/>
      <w:bookmarkEnd w:id="471"/>
    </w:p>
    <w:p w14:paraId="2E04BDE7" w14:textId="0D71D84B" w:rsidR="002C11A2" w:rsidRDefault="002C11A2" w:rsidP="002C11A2">
      <w:pPr>
        <w:pStyle w:val="Title4"/>
      </w:pPr>
      <w:r>
        <w:t>Rappel du contexte local</w:t>
      </w:r>
    </w:p>
    <w:p w14:paraId="13AC8B9F" w14:textId="598862E4" w:rsidR="002C11A2" w:rsidRDefault="00A52EC1" w:rsidP="002C11A2">
      <w:r w:rsidRPr="00A52EC1">
        <w:t xml:space="preserve">L’aéroport international </w:t>
      </w:r>
      <w:r w:rsidR="0098370A">
        <w:t>Marrakech Ménara</w:t>
      </w:r>
      <w:r w:rsidRPr="00A52EC1">
        <w:t xml:space="preserve"> est implanté dans la commune </w:t>
      </w:r>
      <w:r w:rsidR="0098370A">
        <w:t>urbaine</w:t>
      </w:r>
      <w:r w:rsidRPr="00A52EC1">
        <w:t xml:space="preserve"> de </w:t>
      </w:r>
      <w:r w:rsidR="0098370A">
        <w:t>Ménara</w:t>
      </w:r>
      <w:r w:rsidRPr="00A52EC1">
        <w:t xml:space="preserve">, relevant de la préfecture </w:t>
      </w:r>
      <w:r w:rsidR="0098370A">
        <w:t>de Marrakech</w:t>
      </w:r>
      <w:r w:rsidRPr="00A52EC1">
        <w:t xml:space="preserve">, au sein de la région du </w:t>
      </w:r>
      <w:r w:rsidR="0098370A">
        <w:t>Marrakech – Safi</w:t>
      </w:r>
      <w:r w:rsidRPr="00A52EC1">
        <w:t xml:space="preserve">. Cette zone appartient à la grande plaine du </w:t>
      </w:r>
      <w:r w:rsidR="0098370A">
        <w:t>Hoauz</w:t>
      </w:r>
      <w:r w:rsidRPr="00A52EC1">
        <w:t xml:space="preserve">, considérée comme l’un des bassins agricoles et économiques les plus dynamiques du sud marocain. </w:t>
      </w:r>
    </w:p>
    <w:p w14:paraId="735F4897" w14:textId="77777777" w:rsidR="00A33266" w:rsidRPr="00A33266" w:rsidRDefault="00A33266" w:rsidP="00A33266">
      <w:r w:rsidRPr="00A33266">
        <w:t>Sur le plan administratif, la préfecture de Marrakech relève de la région Marrakech–Safi, qui comprend 9 provinces et une préfecture. Le territoire de Marrakech-Ménara se situe au sud-ouest du périmètre urbain de Marrakech, au sein d’une zone à forte densité démographique et à urbanisation rapide.</w:t>
      </w:r>
      <w:r w:rsidRPr="00A33266">
        <w:br/>
        <w:t>La commune urbaine de Marrakech-Ménara, qui regroupe plusieurs quartiers tels que Bouakkaz, M’Hamid, Hay Hassani, Daoudiate et Azzouzia, constitue l’un des pôles résidentiels et économiques majeurs de la ville.</w:t>
      </w:r>
    </w:p>
    <w:p w14:paraId="40E233A9" w14:textId="77777777" w:rsidR="000E4910" w:rsidRDefault="00A33266" w:rsidP="000E4910">
      <w:r w:rsidRPr="00A33266">
        <w:t>Selon les résultats du Recensement Général de la Population et de l’Habitat (RGPH 2024), la population totale de la préfecture de Marrakech est estimée à environ 1,</w:t>
      </w:r>
      <w:r w:rsidR="000E4910">
        <w:t>5</w:t>
      </w:r>
      <w:r w:rsidRPr="00A33266">
        <w:t xml:space="preserve"> million d’habitants. La population y présente une croissance soutenue (+1,9 %/an), en lien avec l’extension urbaine et la dynamique économique régionale.</w:t>
      </w:r>
    </w:p>
    <w:p w14:paraId="67C9CB97" w14:textId="3FDE7567" w:rsidR="00A33266" w:rsidRPr="00A33266" w:rsidRDefault="00A33266" w:rsidP="000E4910">
      <w:r w:rsidRPr="00A33266">
        <w:t>La structure démographique reste jeune. L’économie locale est dominée par les activités tertiaires et de services, reflet du rôle central de Marrakech comme destination touristique internationale et pôle administratif et commercial régional. Les principaux secteurs porteurs sont :</w:t>
      </w:r>
    </w:p>
    <w:p w14:paraId="4394478E" w14:textId="77777777" w:rsidR="00A33266" w:rsidRPr="00A33266" w:rsidRDefault="00A33266" w:rsidP="0001633E">
      <w:pPr>
        <w:numPr>
          <w:ilvl w:val="0"/>
          <w:numId w:val="205"/>
        </w:numPr>
      </w:pPr>
      <w:r w:rsidRPr="00A33266">
        <w:t>le tourisme et les services d’accueil (hôtellerie, restauration, transport),</w:t>
      </w:r>
    </w:p>
    <w:p w14:paraId="2A89FB6A" w14:textId="77777777" w:rsidR="00A33266" w:rsidRPr="00A33266" w:rsidRDefault="00A33266" w:rsidP="0001633E">
      <w:pPr>
        <w:numPr>
          <w:ilvl w:val="0"/>
          <w:numId w:val="205"/>
        </w:numPr>
      </w:pPr>
      <w:r w:rsidRPr="00A33266">
        <w:t>les commerces et services urbains,</w:t>
      </w:r>
    </w:p>
    <w:p w14:paraId="0A7EC968" w14:textId="77777777" w:rsidR="00A33266" w:rsidRPr="00A33266" w:rsidRDefault="00A33266" w:rsidP="0001633E">
      <w:pPr>
        <w:numPr>
          <w:ilvl w:val="0"/>
          <w:numId w:val="205"/>
        </w:numPr>
      </w:pPr>
      <w:r w:rsidRPr="00A33266">
        <w:t>les activités artisanales et logistiques,</w:t>
      </w:r>
    </w:p>
    <w:p w14:paraId="3D016197" w14:textId="77777777" w:rsidR="00A33266" w:rsidRPr="00A33266" w:rsidRDefault="00A33266" w:rsidP="0001633E">
      <w:pPr>
        <w:numPr>
          <w:ilvl w:val="0"/>
          <w:numId w:val="205"/>
        </w:numPr>
      </w:pPr>
      <w:r w:rsidRPr="00A33266">
        <w:t>et, dans une moindre mesure, l’industrie légère et les services aéroportuaires liés à la présence de la plateforme Marrakech-Ménara.</w:t>
      </w:r>
    </w:p>
    <w:p w14:paraId="7909AA47" w14:textId="59204333" w:rsidR="00A33266" w:rsidRPr="00A33266" w:rsidRDefault="00A33266" w:rsidP="000E4910">
      <w:r w:rsidRPr="00A33266">
        <w:t>Sur le plan social, la préfecture de Marrakech présente un niveau d’équipement élevé</w:t>
      </w:r>
      <w:r w:rsidR="000E4910">
        <w:t>.</w:t>
      </w:r>
    </w:p>
    <w:p w14:paraId="02D6707D" w14:textId="77777777" w:rsidR="00A33266" w:rsidRPr="00A33266" w:rsidRDefault="00A33266" w:rsidP="00A33266">
      <w:r w:rsidRPr="00A33266">
        <w:t>Le territoire connaît également des enjeux environnementaux et sociaux significatifs :</w:t>
      </w:r>
    </w:p>
    <w:p w14:paraId="77A62746" w14:textId="77777777" w:rsidR="00A33266" w:rsidRPr="00A33266" w:rsidRDefault="00A33266" w:rsidP="0001633E">
      <w:pPr>
        <w:numPr>
          <w:ilvl w:val="0"/>
          <w:numId w:val="206"/>
        </w:numPr>
      </w:pPr>
      <w:r w:rsidRPr="00A33266">
        <w:t>pression croissante sur la ressource en eau du bassin du Tensift,</w:t>
      </w:r>
    </w:p>
    <w:p w14:paraId="3C3DADA8" w14:textId="77777777" w:rsidR="00A33266" w:rsidRPr="00A33266" w:rsidRDefault="00A33266" w:rsidP="0001633E">
      <w:pPr>
        <w:numPr>
          <w:ilvl w:val="0"/>
          <w:numId w:val="206"/>
        </w:numPr>
      </w:pPr>
      <w:r w:rsidRPr="00A33266">
        <w:t>urbanisation accélérée autour de l’aéroport et du quartier de M’Hamid,</w:t>
      </w:r>
    </w:p>
    <w:p w14:paraId="253BCEF0" w14:textId="77777777" w:rsidR="00A33266" w:rsidRPr="00A33266" w:rsidRDefault="00A33266" w:rsidP="0001633E">
      <w:pPr>
        <w:numPr>
          <w:ilvl w:val="0"/>
          <w:numId w:val="206"/>
        </w:numPr>
      </w:pPr>
      <w:r w:rsidRPr="00A33266">
        <w:t>augmentation des nuisances sonores et atmosphériques dues au trafic aérien et routier,</w:t>
      </w:r>
    </w:p>
    <w:p w14:paraId="027E9CEA" w14:textId="0E05754A" w:rsidR="00A33266" w:rsidRPr="00A33266" w:rsidRDefault="00A33266" w:rsidP="0001633E">
      <w:pPr>
        <w:numPr>
          <w:ilvl w:val="0"/>
          <w:numId w:val="206"/>
        </w:numPr>
      </w:pPr>
      <w:r w:rsidRPr="00A33266">
        <w:t>et vulnérabilité accrue des groupes à besoins spécifiques, notamment les personnes handicapées, les ménages féminins et les jeunes</w:t>
      </w:r>
      <w:r w:rsidR="000E4910">
        <w:t>.</w:t>
      </w:r>
    </w:p>
    <w:p w14:paraId="4E567AAC" w14:textId="77777777" w:rsidR="00A33266" w:rsidRPr="00A33266" w:rsidRDefault="00A33266" w:rsidP="00A33266">
      <w:r w:rsidRPr="00A33266">
        <w:t>Dans ce contexte, le projet de modernisation et d’extension de l’aéroport international Marrakech-Ménara s’inscrit dans un territoire en pleine mutation, caractérisé par :</w:t>
      </w:r>
    </w:p>
    <w:p w14:paraId="66AD0521" w14:textId="77777777" w:rsidR="00A33266" w:rsidRPr="00A33266" w:rsidRDefault="00A33266" w:rsidP="0001633E">
      <w:pPr>
        <w:numPr>
          <w:ilvl w:val="0"/>
          <w:numId w:val="207"/>
        </w:numPr>
      </w:pPr>
      <w:r w:rsidRPr="00A33266">
        <w:t>une urbanisation rapide et continue,</w:t>
      </w:r>
    </w:p>
    <w:p w14:paraId="16AAC25F" w14:textId="77777777" w:rsidR="00A33266" w:rsidRPr="00A33266" w:rsidRDefault="00A33266" w:rsidP="0001633E">
      <w:pPr>
        <w:numPr>
          <w:ilvl w:val="0"/>
          <w:numId w:val="207"/>
        </w:numPr>
      </w:pPr>
      <w:r w:rsidRPr="00A33266">
        <w:lastRenderedPageBreak/>
        <w:t>une économie tertiaire en expansion,</w:t>
      </w:r>
    </w:p>
    <w:p w14:paraId="2FEF61E6" w14:textId="77777777" w:rsidR="00A33266" w:rsidRPr="00A33266" w:rsidRDefault="00A33266" w:rsidP="0001633E">
      <w:pPr>
        <w:numPr>
          <w:ilvl w:val="0"/>
          <w:numId w:val="207"/>
        </w:numPr>
      </w:pPr>
      <w:r w:rsidRPr="00A33266">
        <w:t>et une population en transition socio-économique.</w:t>
      </w:r>
    </w:p>
    <w:p w14:paraId="6EB8D7E5" w14:textId="64876DF2" w:rsidR="00A52EC1" w:rsidRPr="000E4910" w:rsidRDefault="00A33266" w:rsidP="000E4910">
      <w:r w:rsidRPr="00A33266">
        <w:t>L’évaluation environnementale et sociale du projet doit ainsi tenir compte de cette double dynamique :</w:t>
      </w:r>
      <w:r w:rsidRPr="00A33266">
        <w:br/>
        <w:t>d’une part, la modernisation des infrastructures aéroportuaires pour répondre à la croissance du trafic international, et d’autre part, la préservation du cadre de vie urbain, des équilibres sociaux et de la qualité environnementale du secteur Marrakech-Ménara</w:t>
      </w:r>
      <w:r w:rsidR="00A52EC1" w:rsidRPr="000E4910">
        <w:t>.</w:t>
      </w:r>
    </w:p>
    <w:p w14:paraId="2B9C0115" w14:textId="77777777" w:rsidR="00643A2A" w:rsidRDefault="00643A2A" w:rsidP="004637C7">
      <w:pPr>
        <w:pStyle w:val="Title4"/>
      </w:pPr>
      <w:r>
        <w:t>Contexte d’analyse</w:t>
      </w:r>
    </w:p>
    <w:p w14:paraId="2CCE0456" w14:textId="21C84F1B" w:rsidR="00F6096E" w:rsidRDefault="00F6096E" w:rsidP="00643A2A">
      <w:r w:rsidRPr="00F6096E">
        <w:t xml:space="preserve">Le projet </w:t>
      </w:r>
      <w:r w:rsidR="00A72C97" w:rsidRPr="00A72C97">
        <w:t xml:space="preserve">de modernisation et d’extension des infrastructures aéroportuaires </w:t>
      </w:r>
      <w:r w:rsidRPr="00F6096E">
        <w:t xml:space="preserve">de l’aéroport </w:t>
      </w:r>
      <w:r w:rsidR="00ED75AF">
        <w:t>Marrakech Ménara</w:t>
      </w:r>
      <w:r w:rsidRPr="00F6096E">
        <w:t xml:space="preserve">aura des retombées socio-économiques considérables sur la commune de </w:t>
      </w:r>
      <w:r w:rsidR="00ED75AF">
        <w:t>Ménara</w:t>
      </w:r>
      <w:r w:rsidRPr="00F6096E">
        <w:t>, la préfecture</w:t>
      </w:r>
      <w:r w:rsidR="00ED75AF">
        <w:t xml:space="preserve"> de</w:t>
      </w:r>
      <w:r w:rsidRPr="00F6096E">
        <w:t xml:space="preserve"> </w:t>
      </w:r>
      <w:r w:rsidR="00ED75AF">
        <w:t>Marrakech</w:t>
      </w:r>
      <w:r w:rsidRPr="00F6096E">
        <w:t xml:space="preserve"> et, plus largement, sur la région du </w:t>
      </w:r>
      <w:r w:rsidR="00ED75AF">
        <w:t>Marrakech – Safi</w:t>
      </w:r>
      <w:r w:rsidRPr="00F6096E">
        <w:t xml:space="preserve">. </w:t>
      </w:r>
    </w:p>
    <w:p w14:paraId="48CA7ACC" w14:textId="24BAC96C" w:rsidR="00A52EC1" w:rsidRDefault="00F6096E" w:rsidP="00643A2A">
      <w:r w:rsidRPr="00F6096E">
        <w:t>Les effets positifs identifiés s’étendront sur deux périodes principales : la phase de construction (2026–2027) et la phase d’exploitation (à partir de la fin de 2027). Ils concernent principalement l’emploi, l’activité économique, la formation, l’inclusion sociale, le développement touristique, la consolidation des recettes locales et le transfert technologique. Certains de ces effets dépasseront le périmètre régional pour s’inscrire dans une dynamique nationale, voire internationale, compte tenu du rôle stratégique de la plateforme dans le réseau aéroportuaire du Royaume.</w:t>
      </w:r>
    </w:p>
    <w:p w14:paraId="6FDD5B3B" w14:textId="24C9FA0F" w:rsidR="00643A2A" w:rsidRDefault="00643A2A" w:rsidP="00643A2A">
      <w:pPr>
        <w:pStyle w:val="Title4"/>
      </w:pPr>
      <w:bookmarkStart w:id="472" w:name="_Hlk211935444"/>
      <w:r>
        <w:t>Phase de construction</w:t>
      </w:r>
    </w:p>
    <w:p w14:paraId="28299F31" w14:textId="691F7668" w:rsidR="00153CB0" w:rsidRDefault="00153CB0" w:rsidP="00153CB0">
      <w:pPr>
        <w:pStyle w:val="Title5"/>
      </w:pPr>
      <w:r w:rsidRPr="00153CB0">
        <w:t>Identification et évaluation des impacts</w:t>
      </w:r>
    </w:p>
    <w:p w14:paraId="1EE391ED" w14:textId="77777777" w:rsidR="00F6096E" w:rsidRPr="00F6096E" w:rsidRDefault="00F6096E" w:rsidP="0001633E">
      <w:pPr>
        <w:pStyle w:val="AltTitle2"/>
        <w:numPr>
          <w:ilvl w:val="0"/>
          <w:numId w:val="106"/>
        </w:numPr>
      </w:pPr>
      <w:r w:rsidRPr="00F6096E">
        <w:t>Création d’emplois et stimulation du marché du travail local</w:t>
      </w:r>
    </w:p>
    <w:p w14:paraId="1D991D93" w14:textId="664B7CE8" w:rsidR="008137F7" w:rsidRDefault="008137F7" w:rsidP="008137F7">
      <w:r>
        <w:t xml:space="preserve">La phase de construction du projet mobilisera une main-d’œuvre diversifiée : ouvriers, chauffeurs, techniciens, agents de sécurité et personnel de logistique. Le recours à des entreprises locales permettra de favoriser l’emploi des habitants de </w:t>
      </w:r>
      <w:r w:rsidR="00ED75AF">
        <w:t>Ménara</w:t>
      </w:r>
      <w:r>
        <w:t xml:space="preserve"> et des communes voisines, notamment les jeunes à la recherche d’un premier emploi. Cet impact est positif et direct, car il contribue à l’amélioration immédiate du revenu des ménages. Sa durée est limitée à la phase de travaux, mais son intensité est forte du fait de la demande de main-d’œuvre non qualifiée et semi-qualifiée. L’étendue est locale à régionale, car certains sous-traitants pourront provenir d’autres zones de la région d</w:t>
      </w:r>
      <w:r w:rsidR="004C1FBC">
        <w:t>e Marrakech Safi</w:t>
      </w:r>
      <w:r>
        <w:t>. La fréquence de l’impact est continue pendant la période de chantier.</w:t>
      </w:r>
    </w:p>
    <w:p w14:paraId="2C2E0D5F" w14:textId="77777777" w:rsidR="008137F7" w:rsidRDefault="008137F7" w:rsidP="008137F7">
      <w:r>
        <w:t xml:space="preserve">Les récepteurs (travailleurs locaux et jeunes demandeurs d’emploi) présentent une sensibilité élevée, car leur insertion économique dépend de la disponibilité d’emplois saisonniers et temporaires. </w:t>
      </w:r>
    </w:p>
    <w:p w14:paraId="190B84BA" w14:textId="6C858FD3" w:rsidR="00E27BFE" w:rsidRDefault="008137F7" w:rsidP="008137F7">
      <w:r>
        <w:t>L’importance globale de l’impact est donc majeure, car il répond à un besoin social prioritaire et génère une valeur économique locale immédiate.</w:t>
      </w:r>
      <w:r w:rsidR="00E27BFE">
        <w:br w:type="page"/>
      </w:r>
    </w:p>
    <w:p w14:paraId="5AEB9586" w14:textId="77777777" w:rsidR="00F6096E" w:rsidRDefault="00F6096E" w:rsidP="008137F7"/>
    <w:tbl>
      <w:tblPr>
        <w:tblStyle w:val="TableauGrille1Clair-Accentuation111"/>
        <w:tblW w:w="0" w:type="auto"/>
        <w:tblLayout w:type="fixed"/>
        <w:tblLook w:val="04A0" w:firstRow="1" w:lastRow="0" w:firstColumn="1" w:lastColumn="0" w:noHBand="0" w:noVBand="1"/>
      </w:tblPr>
      <w:tblGrid>
        <w:gridCol w:w="792"/>
        <w:gridCol w:w="2747"/>
        <w:gridCol w:w="1843"/>
        <w:gridCol w:w="2436"/>
        <w:gridCol w:w="1242"/>
      </w:tblGrid>
      <w:tr w:rsidR="00E27BFE" w:rsidRPr="00B95A9D" w14:paraId="0C42F018" w14:textId="77777777" w:rsidTr="005A766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2" w:type="dxa"/>
            <w:hideMark/>
          </w:tcPr>
          <w:p w14:paraId="77802161" w14:textId="77777777" w:rsidR="00E27BFE" w:rsidRPr="00B95A9D" w:rsidRDefault="00E27BFE" w:rsidP="005A7661">
            <w:pPr>
              <w:rPr>
                <w:rFonts w:asciiTheme="minorHAnsi" w:hAnsiTheme="minorHAnsi" w:cstheme="minorHAnsi"/>
                <w:szCs w:val="20"/>
                <w:lang w:eastAsia="fr-FR" w:bidi="ar-SA"/>
              </w:rPr>
            </w:pPr>
            <w:r w:rsidRPr="00B95A9D">
              <w:rPr>
                <w:rFonts w:asciiTheme="minorHAnsi" w:hAnsiTheme="minorHAnsi" w:cstheme="minorHAnsi"/>
                <w:szCs w:val="20"/>
                <w:lang w:eastAsia="fr-FR" w:bidi="ar-SA"/>
              </w:rPr>
              <w:t>Impact</w:t>
            </w:r>
          </w:p>
        </w:tc>
        <w:tc>
          <w:tcPr>
            <w:tcW w:w="2747" w:type="dxa"/>
            <w:hideMark/>
          </w:tcPr>
          <w:p w14:paraId="098D7DE7" w14:textId="77777777" w:rsidR="00E27BFE" w:rsidRPr="00B95A9D" w:rsidRDefault="00E27BFE" w:rsidP="005A7661">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sidRPr="00B95A9D">
              <w:rPr>
                <w:rFonts w:asciiTheme="minorHAnsi" w:hAnsiTheme="minorHAnsi" w:cstheme="minorHAnsi"/>
                <w:szCs w:val="20"/>
                <w:lang w:eastAsia="fr-FR" w:bidi="ar-SA"/>
              </w:rPr>
              <w:t>Activités génératrices</w:t>
            </w:r>
          </w:p>
        </w:tc>
        <w:tc>
          <w:tcPr>
            <w:tcW w:w="1843" w:type="dxa"/>
            <w:hideMark/>
          </w:tcPr>
          <w:p w14:paraId="1423BD8B" w14:textId="77777777" w:rsidR="00E27BFE" w:rsidRPr="00B95A9D" w:rsidRDefault="00E27BFE" w:rsidP="005A7661">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sidRPr="00B95A9D">
              <w:rPr>
                <w:rFonts w:asciiTheme="minorHAnsi" w:hAnsiTheme="minorHAnsi" w:cstheme="minorHAnsi"/>
                <w:szCs w:val="20"/>
                <w:lang w:eastAsia="fr-FR" w:bidi="ar-SA"/>
              </w:rPr>
              <w:t>Critère</w:t>
            </w:r>
          </w:p>
        </w:tc>
        <w:tc>
          <w:tcPr>
            <w:tcW w:w="2436" w:type="dxa"/>
            <w:hideMark/>
          </w:tcPr>
          <w:p w14:paraId="3A2B40EF" w14:textId="77777777" w:rsidR="00E27BFE" w:rsidRPr="00B95A9D" w:rsidRDefault="00E27BFE" w:rsidP="005A7661">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sidRPr="00B95A9D">
              <w:rPr>
                <w:rFonts w:asciiTheme="minorHAnsi" w:hAnsiTheme="minorHAnsi" w:cstheme="minorHAnsi"/>
                <w:szCs w:val="20"/>
                <w:lang w:eastAsia="fr-FR" w:bidi="ar-SA"/>
              </w:rPr>
              <w:t>Justification</w:t>
            </w:r>
          </w:p>
        </w:tc>
        <w:tc>
          <w:tcPr>
            <w:tcW w:w="1242" w:type="dxa"/>
            <w:hideMark/>
          </w:tcPr>
          <w:p w14:paraId="2866D696" w14:textId="77777777" w:rsidR="00E27BFE" w:rsidRPr="00B95A9D" w:rsidRDefault="00E27BFE" w:rsidP="005A7661">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sidRPr="00B95A9D">
              <w:rPr>
                <w:rFonts w:asciiTheme="minorHAnsi" w:hAnsiTheme="minorHAnsi" w:cstheme="minorHAnsi"/>
                <w:szCs w:val="20"/>
                <w:lang w:eastAsia="fr-FR" w:bidi="ar-SA"/>
              </w:rPr>
              <w:t>Niveau</w:t>
            </w:r>
          </w:p>
        </w:tc>
      </w:tr>
      <w:tr w:rsidR="00E27BFE" w:rsidRPr="00B95A9D" w14:paraId="4525C953" w14:textId="77777777" w:rsidTr="005A7661">
        <w:tc>
          <w:tcPr>
            <w:cnfStyle w:val="001000000000" w:firstRow="0" w:lastRow="0" w:firstColumn="1" w:lastColumn="0" w:oddVBand="0" w:evenVBand="0" w:oddHBand="0" w:evenHBand="0" w:firstRowFirstColumn="0" w:firstRowLastColumn="0" w:lastRowFirstColumn="0" w:lastRowLastColumn="0"/>
            <w:tcW w:w="792" w:type="dxa"/>
            <w:vMerge w:val="restart"/>
            <w:textDirection w:val="btLr"/>
            <w:vAlign w:val="center"/>
          </w:tcPr>
          <w:p w14:paraId="7F0173A6" w14:textId="47C8AEA1" w:rsidR="00E27BFE" w:rsidRPr="00B95A9D" w:rsidRDefault="00130F72" w:rsidP="005A7661">
            <w:pPr>
              <w:ind w:left="113" w:right="113"/>
              <w:jc w:val="center"/>
              <w:rPr>
                <w:rFonts w:asciiTheme="minorHAnsi" w:hAnsiTheme="minorHAnsi" w:cstheme="minorHAnsi"/>
                <w:szCs w:val="20"/>
                <w:lang w:eastAsia="fr-FR" w:bidi="ar-SA"/>
              </w:rPr>
            </w:pPr>
            <w:r w:rsidRPr="00130F72">
              <w:rPr>
                <w:rFonts w:asciiTheme="minorHAnsi" w:hAnsiTheme="minorHAnsi" w:cstheme="minorHAnsi"/>
                <w:szCs w:val="20"/>
                <w:lang w:eastAsia="fr-FR" w:bidi="ar-SA"/>
              </w:rPr>
              <w:t>Création d’emplois et stimulation du marché du travail local</w:t>
            </w:r>
          </w:p>
        </w:tc>
        <w:tc>
          <w:tcPr>
            <w:tcW w:w="2747" w:type="dxa"/>
            <w:vMerge w:val="restart"/>
          </w:tcPr>
          <w:p w14:paraId="75BEAA93" w14:textId="55869BC8" w:rsidR="00E27BFE" w:rsidRPr="00B95A9D" w:rsidRDefault="00130F72" w:rsidP="005A766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sidRPr="00130F72">
              <w:rPr>
                <w:rFonts w:asciiTheme="minorHAnsi" w:hAnsiTheme="minorHAnsi" w:cstheme="minorHAnsi"/>
                <w:szCs w:val="20"/>
                <w:lang w:eastAsia="fr-FR" w:bidi="ar-SA"/>
              </w:rPr>
              <w:t>Travaux de terrassement, balisage, logistique, sécurité et manutention</w:t>
            </w:r>
          </w:p>
        </w:tc>
        <w:tc>
          <w:tcPr>
            <w:tcW w:w="1843" w:type="dxa"/>
            <w:hideMark/>
          </w:tcPr>
          <w:p w14:paraId="2EA2D299" w14:textId="77777777" w:rsidR="00E27BFE" w:rsidRPr="00B95A9D" w:rsidRDefault="00E27BFE" w:rsidP="005A766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Cs w:val="20"/>
                <w:lang w:eastAsia="fr-FR" w:bidi="ar-SA"/>
              </w:rPr>
            </w:pPr>
            <w:r w:rsidRPr="00B95A9D">
              <w:rPr>
                <w:rFonts w:asciiTheme="minorHAnsi" w:hAnsiTheme="minorHAnsi" w:cstheme="minorHAnsi"/>
                <w:b/>
                <w:bCs/>
                <w:szCs w:val="20"/>
                <w:lang w:eastAsia="fr-FR" w:bidi="ar-SA"/>
              </w:rPr>
              <w:t>Nature</w:t>
            </w:r>
          </w:p>
        </w:tc>
        <w:tc>
          <w:tcPr>
            <w:tcW w:w="3678" w:type="dxa"/>
            <w:gridSpan w:val="2"/>
          </w:tcPr>
          <w:p w14:paraId="37760189" w14:textId="086E3DB9" w:rsidR="00E27BFE" w:rsidRPr="00B95A9D" w:rsidRDefault="00130F72" w:rsidP="005A766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Pr>
                <w:rFonts w:asciiTheme="minorHAnsi" w:hAnsiTheme="minorHAnsi" w:cstheme="minorHAnsi"/>
                <w:szCs w:val="20"/>
                <w:lang w:eastAsia="fr-FR" w:bidi="ar-SA"/>
              </w:rPr>
              <w:t>Direct positif</w:t>
            </w:r>
          </w:p>
        </w:tc>
      </w:tr>
      <w:tr w:rsidR="00E27BFE" w:rsidRPr="00B95A9D" w14:paraId="2F0A7B4F" w14:textId="77777777" w:rsidTr="005A7661">
        <w:tc>
          <w:tcPr>
            <w:cnfStyle w:val="001000000000" w:firstRow="0" w:lastRow="0" w:firstColumn="1" w:lastColumn="0" w:oddVBand="0" w:evenVBand="0" w:oddHBand="0" w:evenHBand="0" w:firstRowFirstColumn="0" w:firstRowLastColumn="0" w:lastRowFirstColumn="0" w:lastRowLastColumn="0"/>
            <w:tcW w:w="792" w:type="dxa"/>
            <w:vMerge/>
            <w:hideMark/>
          </w:tcPr>
          <w:p w14:paraId="55A945D9" w14:textId="77777777" w:rsidR="00E27BFE" w:rsidRPr="00B95A9D" w:rsidRDefault="00E27BFE" w:rsidP="005A7661">
            <w:pPr>
              <w:rPr>
                <w:rFonts w:asciiTheme="minorHAnsi" w:hAnsiTheme="minorHAnsi" w:cstheme="minorHAnsi"/>
                <w:szCs w:val="20"/>
                <w:lang w:eastAsia="fr-FR" w:bidi="ar-SA"/>
              </w:rPr>
            </w:pPr>
          </w:p>
        </w:tc>
        <w:tc>
          <w:tcPr>
            <w:tcW w:w="2747" w:type="dxa"/>
            <w:vMerge/>
            <w:hideMark/>
          </w:tcPr>
          <w:p w14:paraId="59E987B9" w14:textId="77777777" w:rsidR="00E27BFE" w:rsidRPr="00B95A9D" w:rsidRDefault="00E27BFE" w:rsidP="005A766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p>
        </w:tc>
        <w:tc>
          <w:tcPr>
            <w:tcW w:w="1843" w:type="dxa"/>
            <w:hideMark/>
          </w:tcPr>
          <w:p w14:paraId="6F08A1A4" w14:textId="77777777" w:rsidR="00E27BFE" w:rsidRPr="00B95A9D" w:rsidRDefault="00E27BFE" w:rsidP="005A766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Cs w:val="20"/>
                <w:lang w:eastAsia="fr-FR" w:bidi="ar-SA"/>
              </w:rPr>
            </w:pPr>
            <w:r w:rsidRPr="00B95A9D">
              <w:rPr>
                <w:rFonts w:asciiTheme="minorHAnsi" w:hAnsiTheme="minorHAnsi" w:cstheme="minorHAnsi"/>
                <w:b/>
                <w:bCs/>
                <w:szCs w:val="20"/>
                <w:lang w:eastAsia="fr-FR" w:bidi="ar-SA"/>
              </w:rPr>
              <w:t>Étendue</w:t>
            </w:r>
          </w:p>
        </w:tc>
        <w:tc>
          <w:tcPr>
            <w:tcW w:w="2436" w:type="dxa"/>
          </w:tcPr>
          <w:p w14:paraId="392DFDD3" w14:textId="21FCBA88" w:rsidR="00E27BFE" w:rsidRPr="00B95A9D" w:rsidRDefault="00130F72" w:rsidP="005A766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sidRPr="00130F72">
              <w:rPr>
                <w:rFonts w:asciiTheme="minorHAnsi" w:hAnsiTheme="minorHAnsi" w:cstheme="minorHAnsi"/>
                <w:szCs w:val="20"/>
                <w:lang w:eastAsia="fr-FR" w:bidi="ar-SA"/>
              </w:rPr>
              <w:t xml:space="preserve">Locale à régionale (commune de </w:t>
            </w:r>
            <w:r w:rsidR="00ED75AF">
              <w:rPr>
                <w:rFonts w:asciiTheme="minorHAnsi" w:hAnsiTheme="minorHAnsi" w:cstheme="minorHAnsi"/>
                <w:szCs w:val="20"/>
                <w:lang w:eastAsia="fr-FR" w:bidi="ar-SA"/>
              </w:rPr>
              <w:t>Ménara</w:t>
            </w:r>
            <w:r>
              <w:rPr>
                <w:rFonts w:asciiTheme="minorHAnsi" w:hAnsiTheme="minorHAnsi" w:cstheme="minorHAnsi"/>
                <w:szCs w:val="20"/>
                <w:lang w:eastAsia="fr-FR" w:bidi="ar-SA"/>
              </w:rPr>
              <w:t>,</w:t>
            </w:r>
            <w:r w:rsidRPr="00130F72">
              <w:rPr>
                <w:rFonts w:asciiTheme="minorHAnsi" w:hAnsiTheme="minorHAnsi" w:cstheme="minorHAnsi"/>
                <w:szCs w:val="20"/>
                <w:lang w:eastAsia="fr-FR" w:bidi="ar-SA"/>
              </w:rPr>
              <w:t xml:space="preserve"> préfecture </w:t>
            </w:r>
            <w:r w:rsidR="00ED75AF">
              <w:rPr>
                <w:rFonts w:asciiTheme="minorHAnsi" w:hAnsiTheme="minorHAnsi" w:cstheme="minorHAnsi"/>
                <w:szCs w:val="20"/>
                <w:lang w:eastAsia="fr-FR" w:bidi="ar-SA"/>
              </w:rPr>
              <w:t>de Marrakech</w:t>
            </w:r>
            <w:r>
              <w:rPr>
                <w:rFonts w:asciiTheme="minorHAnsi" w:hAnsiTheme="minorHAnsi" w:cstheme="minorHAnsi"/>
                <w:szCs w:val="20"/>
                <w:lang w:eastAsia="fr-FR" w:bidi="ar-SA"/>
              </w:rPr>
              <w:t xml:space="preserve"> et région de </w:t>
            </w:r>
            <w:r w:rsidR="00ED75AF">
              <w:rPr>
                <w:rFonts w:asciiTheme="minorHAnsi" w:hAnsiTheme="minorHAnsi" w:cstheme="minorHAnsi"/>
                <w:szCs w:val="20"/>
                <w:lang w:eastAsia="fr-FR" w:bidi="ar-SA"/>
              </w:rPr>
              <w:t>Marrakech Safi</w:t>
            </w:r>
            <w:r w:rsidRPr="00130F72">
              <w:rPr>
                <w:rFonts w:asciiTheme="minorHAnsi" w:hAnsiTheme="minorHAnsi" w:cstheme="minorHAnsi"/>
                <w:szCs w:val="20"/>
                <w:lang w:eastAsia="fr-FR" w:bidi="ar-SA"/>
              </w:rPr>
              <w:t>).</w:t>
            </w:r>
          </w:p>
        </w:tc>
        <w:tc>
          <w:tcPr>
            <w:tcW w:w="1242" w:type="dxa"/>
          </w:tcPr>
          <w:p w14:paraId="346F5B33" w14:textId="0B9E686B" w:rsidR="00E27BFE" w:rsidRPr="00B95A9D" w:rsidRDefault="00130F72" w:rsidP="005A766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Cs w:val="20"/>
                <w:lang w:eastAsia="fr-FR" w:bidi="ar-SA"/>
              </w:rPr>
            </w:pPr>
            <w:r>
              <w:rPr>
                <w:rFonts w:asciiTheme="minorHAnsi" w:hAnsiTheme="minorHAnsi" w:cstheme="minorHAnsi"/>
                <w:b/>
                <w:bCs/>
                <w:szCs w:val="20"/>
                <w:lang w:eastAsia="fr-FR" w:bidi="ar-SA"/>
              </w:rPr>
              <w:t>Locale à régionale</w:t>
            </w:r>
          </w:p>
        </w:tc>
      </w:tr>
      <w:tr w:rsidR="00E27BFE" w:rsidRPr="00B95A9D" w14:paraId="52045133" w14:textId="77777777" w:rsidTr="005A7661">
        <w:tc>
          <w:tcPr>
            <w:cnfStyle w:val="001000000000" w:firstRow="0" w:lastRow="0" w:firstColumn="1" w:lastColumn="0" w:oddVBand="0" w:evenVBand="0" w:oddHBand="0" w:evenHBand="0" w:firstRowFirstColumn="0" w:firstRowLastColumn="0" w:lastRowFirstColumn="0" w:lastRowLastColumn="0"/>
            <w:tcW w:w="792" w:type="dxa"/>
            <w:vMerge/>
            <w:hideMark/>
          </w:tcPr>
          <w:p w14:paraId="40295FFD" w14:textId="77777777" w:rsidR="00E27BFE" w:rsidRPr="00B95A9D" w:rsidRDefault="00E27BFE" w:rsidP="005A7661">
            <w:pPr>
              <w:rPr>
                <w:rFonts w:asciiTheme="minorHAnsi" w:hAnsiTheme="minorHAnsi" w:cstheme="minorHAnsi"/>
                <w:szCs w:val="20"/>
                <w:lang w:eastAsia="fr-FR" w:bidi="ar-SA"/>
              </w:rPr>
            </w:pPr>
          </w:p>
        </w:tc>
        <w:tc>
          <w:tcPr>
            <w:tcW w:w="2747" w:type="dxa"/>
            <w:vMerge/>
            <w:hideMark/>
          </w:tcPr>
          <w:p w14:paraId="0E544208" w14:textId="77777777" w:rsidR="00E27BFE" w:rsidRPr="00B95A9D" w:rsidRDefault="00E27BFE" w:rsidP="005A766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p>
        </w:tc>
        <w:tc>
          <w:tcPr>
            <w:tcW w:w="1843" w:type="dxa"/>
            <w:hideMark/>
          </w:tcPr>
          <w:p w14:paraId="5175ED92" w14:textId="77777777" w:rsidR="00E27BFE" w:rsidRPr="00B95A9D" w:rsidRDefault="00E27BFE" w:rsidP="005A766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Cs w:val="20"/>
                <w:lang w:eastAsia="fr-FR" w:bidi="ar-SA"/>
              </w:rPr>
            </w:pPr>
            <w:r w:rsidRPr="00B95A9D">
              <w:rPr>
                <w:rFonts w:asciiTheme="minorHAnsi" w:hAnsiTheme="minorHAnsi" w:cstheme="minorHAnsi"/>
                <w:b/>
                <w:bCs/>
                <w:szCs w:val="20"/>
                <w:lang w:eastAsia="fr-FR" w:bidi="ar-SA"/>
              </w:rPr>
              <w:t>Durée</w:t>
            </w:r>
          </w:p>
        </w:tc>
        <w:tc>
          <w:tcPr>
            <w:tcW w:w="2436" w:type="dxa"/>
          </w:tcPr>
          <w:p w14:paraId="3427CA83" w14:textId="2CDB6BB4" w:rsidR="00E27BFE" w:rsidRPr="00B95A9D" w:rsidRDefault="00BD349F" w:rsidP="005A766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sidRPr="00BD349F">
              <w:rPr>
                <w:rFonts w:asciiTheme="minorHAnsi" w:hAnsiTheme="minorHAnsi" w:cstheme="minorHAnsi"/>
                <w:szCs w:val="20"/>
                <w:lang w:eastAsia="fr-FR" w:bidi="ar-SA"/>
              </w:rPr>
              <w:t xml:space="preserve">Limitée à la phase de travaux </w:t>
            </w:r>
          </w:p>
        </w:tc>
        <w:tc>
          <w:tcPr>
            <w:tcW w:w="1242" w:type="dxa"/>
          </w:tcPr>
          <w:p w14:paraId="7590E093" w14:textId="539F88B4" w:rsidR="00E27BFE" w:rsidRPr="00B95A9D" w:rsidRDefault="00BD349F" w:rsidP="005A766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Cs w:val="20"/>
                <w:lang w:eastAsia="fr-FR" w:bidi="ar-SA"/>
              </w:rPr>
            </w:pPr>
            <w:r>
              <w:rPr>
                <w:rFonts w:asciiTheme="minorHAnsi" w:hAnsiTheme="minorHAnsi" w:cstheme="minorHAnsi"/>
                <w:b/>
                <w:bCs/>
                <w:szCs w:val="20"/>
                <w:lang w:eastAsia="fr-FR" w:bidi="ar-SA"/>
              </w:rPr>
              <w:t>Court terme</w:t>
            </w:r>
          </w:p>
        </w:tc>
      </w:tr>
      <w:tr w:rsidR="00E27BFE" w:rsidRPr="00B95A9D" w14:paraId="5C2C207F" w14:textId="77777777" w:rsidTr="005A7661">
        <w:tc>
          <w:tcPr>
            <w:cnfStyle w:val="001000000000" w:firstRow="0" w:lastRow="0" w:firstColumn="1" w:lastColumn="0" w:oddVBand="0" w:evenVBand="0" w:oddHBand="0" w:evenHBand="0" w:firstRowFirstColumn="0" w:firstRowLastColumn="0" w:lastRowFirstColumn="0" w:lastRowLastColumn="0"/>
            <w:tcW w:w="792" w:type="dxa"/>
            <w:vMerge/>
            <w:hideMark/>
          </w:tcPr>
          <w:p w14:paraId="0AABFDA7" w14:textId="77777777" w:rsidR="00E27BFE" w:rsidRPr="00B95A9D" w:rsidRDefault="00E27BFE" w:rsidP="005A7661">
            <w:pPr>
              <w:rPr>
                <w:rFonts w:asciiTheme="minorHAnsi" w:hAnsiTheme="minorHAnsi" w:cstheme="minorHAnsi"/>
                <w:szCs w:val="20"/>
                <w:lang w:eastAsia="fr-FR" w:bidi="ar-SA"/>
              </w:rPr>
            </w:pPr>
          </w:p>
        </w:tc>
        <w:tc>
          <w:tcPr>
            <w:tcW w:w="2747" w:type="dxa"/>
            <w:vMerge/>
            <w:hideMark/>
          </w:tcPr>
          <w:p w14:paraId="032EA745" w14:textId="77777777" w:rsidR="00E27BFE" w:rsidRPr="00B95A9D" w:rsidRDefault="00E27BFE" w:rsidP="005A766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p>
        </w:tc>
        <w:tc>
          <w:tcPr>
            <w:tcW w:w="1843" w:type="dxa"/>
            <w:hideMark/>
          </w:tcPr>
          <w:p w14:paraId="2FD3AD00" w14:textId="77777777" w:rsidR="00E27BFE" w:rsidRPr="00B95A9D" w:rsidRDefault="00E27BFE" w:rsidP="005A766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Cs w:val="20"/>
                <w:lang w:eastAsia="fr-FR" w:bidi="ar-SA"/>
              </w:rPr>
            </w:pPr>
            <w:r w:rsidRPr="00B95A9D">
              <w:rPr>
                <w:rFonts w:asciiTheme="minorHAnsi" w:hAnsiTheme="minorHAnsi" w:cstheme="minorHAnsi"/>
                <w:b/>
                <w:bCs/>
                <w:szCs w:val="20"/>
                <w:lang w:eastAsia="fr-FR" w:bidi="ar-SA"/>
              </w:rPr>
              <w:t>Fréquence</w:t>
            </w:r>
          </w:p>
        </w:tc>
        <w:tc>
          <w:tcPr>
            <w:tcW w:w="2436" w:type="dxa"/>
          </w:tcPr>
          <w:p w14:paraId="66A0B5E9" w14:textId="775C454B" w:rsidR="00E27BFE" w:rsidRPr="00911A3C" w:rsidRDefault="00BD349F" w:rsidP="005A766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sidRPr="00BD349F">
              <w:rPr>
                <w:rFonts w:asciiTheme="minorHAnsi" w:hAnsiTheme="minorHAnsi" w:cstheme="minorHAnsi"/>
                <w:szCs w:val="20"/>
                <w:lang w:eastAsia="fr-FR" w:bidi="ar-SA"/>
              </w:rPr>
              <w:t>Continue durant toute la période de chantier.</w:t>
            </w:r>
          </w:p>
        </w:tc>
        <w:tc>
          <w:tcPr>
            <w:tcW w:w="1242" w:type="dxa"/>
          </w:tcPr>
          <w:p w14:paraId="3E6FA57A" w14:textId="5A72AE43" w:rsidR="00E27BFE" w:rsidRPr="00B95A9D" w:rsidRDefault="00BD349F" w:rsidP="005A766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Cs w:val="20"/>
                <w:lang w:eastAsia="fr-FR" w:bidi="ar-SA"/>
              </w:rPr>
            </w:pPr>
            <w:r>
              <w:rPr>
                <w:rFonts w:asciiTheme="minorHAnsi" w:hAnsiTheme="minorHAnsi" w:cstheme="minorHAnsi"/>
                <w:b/>
                <w:bCs/>
                <w:szCs w:val="20"/>
                <w:lang w:eastAsia="fr-FR" w:bidi="ar-SA"/>
              </w:rPr>
              <w:t>Continue</w:t>
            </w:r>
          </w:p>
        </w:tc>
      </w:tr>
      <w:tr w:rsidR="00E27BFE" w:rsidRPr="00B95A9D" w14:paraId="306CD2BE" w14:textId="77777777" w:rsidTr="005A7661">
        <w:tc>
          <w:tcPr>
            <w:cnfStyle w:val="001000000000" w:firstRow="0" w:lastRow="0" w:firstColumn="1" w:lastColumn="0" w:oddVBand="0" w:evenVBand="0" w:oddHBand="0" w:evenHBand="0" w:firstRowFirstColumn="0" w:firstRowLastColumn="0" w:lastRowFirstColumn="0" w:lastRowLastColumn="0"/>
            <w:tcW w:w="792" w:type="dxa"/>
            <w:vMerge/>
            <w:hideMark/>
          </w:tcPr>
          <w:p w14:paraId="23E7868C" w14:textId="77777777" w:rsidR="00E27BFE" w:rsidRPr="00B95A9D" w:rsidRDefault="00E27BFE" w:rsidP="005A7661">
            <w:pPr>
              <w:rPr>
                <w:rFonts w:asciiTheme="minorHAnsi" w:hAnsiTheme="minorHAnsi" w:cstheme="minorHAnsi"/>
                <w:szCs w:val="20"/>
                <w:lang w:eastAsia="fr-FR" w:bidi="ar-SA"/>
              </w:rPr>
            </w:pPr>
          </w:p>
        </w:tc>
        <w:tc>
          <w:tcPr>
            <w:tcW w:w="2747" w:type="dxa"/>
            <w:vMerge/>
            <w:hideMark/>
          </w:tcPr>
          <w:p w14:paraId="04217D9B" w14:textId="77777777" w:rsidR="00E27BFE" w:rsidRPr="00B95A9D" w:rsidRDefault="00E27BFE" w:rsidP="005A766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p>
        </w:tc>
        <w:tc>
          <w:tcPr>
            <w:tcW w:w="1843" w:type="dxa"/>
            <w:shd w:val="clear" w:color="auto" w:fill="D9E2F3"/>
            <w:hideMark/>
          </w:tcPr>
          <w:p w14:paraId="13DC677F" w14:textId="77777777" w:rsidR="00E27BFE" w:rsidRPr="00B95A9D" w:rsidRDefault="00E27BFE" w:rsidP="005A766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Cs w:val="20"/>
                <w:lang w:eastAsia="fr-FR" w:bidi="ar-SA"/>
              </w:rPr>
            </w:pPr>
            <w:r w:rsidRPr="00B95A9D">
              <w:rPr>
                <w:rFonts w:asciiTheme="minorHAnsi" w:hAnsiTheme="minorHAnsi" w:cstheme="minorHAnsi"/>
                <w:b/>
                <w:bCs/>
                <w:szCs w:val="20"/>
                <w:lang w:eastAsia="fr-FR" w:bidi="ar-SA"/>
              </w:rPr>
              <w:t>Intensité</w:t>
            </w:r>
          </w:p>
        </w:tc>
        <w:tc>
          <w:tcPr>
            <w:tcW w:w="2436" w:type="dxa"/>
            <w:shd w:val="clear" w:color="auto" w:fill="D9E2F3"/>
          </w:tcPr>
          <w:p w14:paraId="097B31DB" w14:textId="16570A42" w:rsidR="00E27BFE" w:rsidRPr="00B95A9D" w:rsidRDefault="00BD349F" w:rsidP="005A766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sidRPr="00BD349F">
              <w:rPr>
                <w:rFonts w:asciiTheme="minorHAnsi" w:hAnsiTheme="minorHAnsi" w:cstheme="minorHAnsi"/>
                <w:szCs w:val="20"/>
                <w:lang w:eastAsia="fr-FR" w:bidi="ar-SA"/>
              </w:rPr>
              <w:t>Forte, compte tenu de la demande en main-d’œuvre semi/non qualifiée.</w:t>
            </w:r>
          </w:p>
        </w:tc>
        <w:tc>
          <w:tcPr>
            <w:tcW w:w="1242" w:type="dxa"/>
            <w:shd w:val="clear" w:color="auto" w:fill="D9E2F3"/>
          </w:tcPr>
          <w:p w14:paraId="5634534F" w14:textId="09B52C20" w:rsidR="00E27BFE" w:rsidRPr="00B95A9D" w:rsidRDefault="00BD349F" w:rsidP="005A766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Cs w:val="20"/>
                <w:lang w:eastAsia="fr-FR" w:bidi="ar-SA"/>
              </w:rPr>
            </w:pPr>
            <w:r>
              <w:rPr>
                <w:rFonts w:asciiTheme="minorHAnsi" w:hAnsiTheme="minorHAnsi" w:cstheme="minorHAnsi"/>
                <w:b/>
                <w:bCs/>
                <w:szCs w:val="20"/>
                <w:lang w:eastAsia="fr-FR" w:bidi="ar-SA"/>
              </w:rPr>
              <w:t>Forte</w:t>
            </w:r>
          </w:p>
        </w:tc>
      </w:tr>
      <w:tr w:rsidR="00E27BFE" w:rsidRPr="00B95A9D" w14:paraId="1C5B3452" w14:textId="77777777" w:rsidTr="005A7661">
        <w:tc>
          <w:tcPr>
            <w:cnfStyle w:val="001000000000" w:firstRow="0" w:lastRow="0" w:firstColumn="1" w:lastColumn="0" w:oddVBand="0" w:evenVBand="0" w:oddHBand="0" w:evenHBand="0" w:firstRowFirstColumn="0" w:firstRowLastColumn="0" w:lastRowFirstColumn="0" w:lastRowLastColumn="0"/>
            <w:tcW w:w="792" w:type="dxa"/>
            <w:vMerge/>
          </w:tcPr>
          <w:p w14:paraId="59DDA315" w14:textId="77777777" w:rsidR="00E27BFE" w:rsidRPr="00B95A9D" w:rsidRDefault="00E27BFE" w:rsidP="005A7661">
            <w:pPr>
              <w:rPr>
                <w:rFonts w:asciiTheme="minorHAnsi" w:hAnsiTheme="minorHAnsi" w:cstheme="minorHAnsi"/>
                <w:szCs w:val="20"/>
                <w:lang w:eastAsia="fr-FR" w:bidi="ar-SA"/>
              </w:rPr>
            </w:pPr>
          </w:p>
        </w:tc>
        <w:tc>
          <w:tcPr>
            <w:tcW w:w="8268" w:type="dxa"/>
            <w:gridSpan w:val="4"/>
          </w:tcPr>
          <w:p w14:paraId="26C6313A" w14:textId="77777777" w:rsidR="00E27BFE" w:rsidRPr="00B95A9D" w:rsidRDefault="00E27BFE" w:rsidP="005A7661">
            <w:pPr>
              <w:spacing w:before="0" w:after="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Cs w:val="20"/>
                <w:lang w:eastAsia="fr-FR" w:bidi="ar-SA"/>
              </w:rPr>
            </w:pPr>
          </w:p>
        </w:tc>
      </w:tr>
      <w:tr w:rsidR="00E27BFE" w:rsidRPr="00B95A9D" w14:paraId="27511C09" w14:textId="77777777" w:rsidTr="005A7661">
        <w:tc>
          <w:tcPr>
            <w:cnfStyle w:val="001000000000" w:firstRow="0" w:lastRow="0" w:firstColumn="1" w:lastColumn="0" w:oddVBand="0" w:evenVBand="0" w:oddHBand="0" w:evenHBand="0" w:firstRowFirstColumn="0" w:firstRowLastColumn="0" w:lastRowFirstColumn="0" w:lastRowLastColumn="0"/>
            <w:tcW w:w="792" w:type="dxa"/>
            <w:vMerge/>
          </w:tcPr>
          <w:p w14:paraId="71F2F4BE" w14:textId="77777777" w:rsidR="00E27BFE" w:rsidRPr="00B95A9D" w:rsidRDefault="00E27BFE" w:rsidP="005A7661">
            <w:pPr>
              <w:rPr>
                <w:rFonts w:asciiTheme="minorHAnsi" w:hAnsiTheme="minorHAnsi" w:cstheme="minorHAnsi"/>
                <w:szCs w:val="20"/>
                <w:lang w:eastAsia="fr-FR" w:bidi="ar-SA"/>
              </w:rPr>
            </w:pPr>
          </w:p>
        </w:tc>
        <w:tc>
          <w:tcPr>
            <w:tcW w:w="2747" w:type="dxa"/>
            <w:shd w:val="clear" w:color="auto" w:fill="B4C6E7" w:themeFill="accent1" w:themeFillTint="66"/>
            <w:vAlign w:val="center"/>
          </w:tcPr>
          <w:p w14:paraId="10A41DC1" w14:textId="77777777" w:rsidR="00E27BFE" w:rsidRPr="00B95A9D" w:rsidRDefault="00E27BFE" w:rsidP="005A766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sidRPr="00B95A9D">
              <w:rPr>
                <w:rFonts w:asciiTheme="minorHAnsi" w:hAnsiTheme="minorHAnsi" w:cstheme="minorHAnsi"/>
                <w:b/>
                <w:bCs/>
                <w:szCs w:val="20"/>
              </w:rPr>
              <w:t>Intensité de l’impact</w:t>
            </w:r>
          </w:p>
        </w:tc>
        <w:tc>
          <w:tcPr>
            <w:tcW w:w="1843" w:type="dxa"/>
            <w:shd w:val="clear" w:color="auto" w:fill="B4C6E7" w:themeFill="accent1" w:themeFillTint="66"/>
            <w:vAlign w:val="center"/>
          </w:tcPr>
          <w:p w14:paraId="03162AFE" w14:textId="77777777" w:rsidR="00E27BFE" w:rsidRPr="00B95A9D" w:rsidRDefault="00E27BFE" w:rsidP="005A766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Cs w:val="20"/>
                <w:lang w:eastAsia="fr-FR" w:bidi="ar-SA"/>
              </w:rPr>
            </w:pPr>
            <w:r w:rsidRPr="00B95A9D">
              <w:rPr>
                <w:rFonts w:asciiTheme="minorHAnsi" w:hAnsiTheme="minorHAnsi" w:cstheme="minorHAnsi"/>
                <w:b/>
                <w:bCs/>
                <w:szCs w:val="20"/>
              </w:rPr>
              <w:t>Récepteurs</w:t>
            </w:r>
          </w:p>
        </w:tc>
        <w:tc>
          <w:tcPr>
            <w:tcW w:w="2436" w:type="dxa"/>
            <w:shd w:val="clear" w:color="auto" w:fill="B4C6E7" w:themeFill="accent1" w:themeFillTint="66"/>
            <w:vAlign w:val="center"/>
          </w:tcPr>
          <w:p w14:paraId="047BF665" w14:textId="77777777" w:rsidR="00E27BFE" w:rsidRPr="00B95A9D" w:rsidRDefault="00E27BFE" w:rsidP="005A766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sidRPr="00B95A9D">
              <w:rPr>
                <w:rFonts w:asciiTheme="minorHAnsi" w:hAnsiTheme="minorHAnsi" w:cstheme="minorHAnsi"/>
                <w:b/>
                <w:bCs/>
                <w:szCs w:val="20"/>
              </w:rPr>
              <w:t>Sensibilité</w:t>
            </w:r>
          </w:p>
        </w:tc>
        <w:tc>
          <w:tcPr>
            <w:tcW w:w="1242" w:type="dxa"/>
            <w:shd w:val="clear" w:color="auto" w:fill="B4C6E7" w:themeFill="accent1" w:themeFillTint="66"/>
            <w:vAlign w:val="center"/>
          </w:tcPr>
          <w:p w14:paraId="22A822F0" w14:textId="77777777" w:rsidR="00E27BFE" w:rsidRPr="00B95A9D" w:rsidRDefault="00E27BFE" w:rsidP="005A766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Cs w:val="20"/>
                <w:lang w:eastAsia="fr-FR" w:bidi="ar-SA"/>
              </w:rPr>
            </w:pPr>
            <w:r w:rsidRPr="00B95A9D">
              <w:rPr>
                <w:rFonts w:asciiTheme="minorHAnsi" w:hAnsiTheme="minorHAnsi" w:cstheme="minorHAnsi"/>
                <w:b/>
                <w:bCs/>
                <w:szCs w:val="20"/>
              </w:rPr>
              <w:t>Importance de l’impact</w:t>
            </w:r>
          </w:p>
        </w:tc>
      </w:tr>
      <w:tr w:rsidR="00E27BFE" w:rsidRPr="00B95A9D" w14:paraId="5773257B" w14:textId="77777777" w:rsidTr="005A7661">
        <w:tc>
          <w:tcPr>
            <w:cnfStyle w:val="001000000000" w:firstRow="0" w:lastRow="0" w:firstColumn="1" w:lastColumn="0" w:oddVBand="0" w:evenVBand="0" w:oddHBand="0" w:evenHBand="0" w:firstRowFirstColumn="0" w:firstRowLastColumn="0" w:lastRowFirstColumn="0" w:lastRowLastColumn="0"/>
            <w:tcW w:w="792" w:type="dxa"/>
            <w:vMerge/>
          </w:tcPr>
          <w:p w14:paraId="6DAD3B1A" w14:textId="77777777" w:rsidR="00E27BFE" w:rsidRPr="00B95A9D" w:rsidRDefault="00E27BFE" w:rsidP="005A7661">
            <w:pPr>
              <w:rPr>
                <w:rFonts w:asciiTheme="minorHAnsi" w:hAnsiTheme="minorHAnsi" w:cstheme="minorHAnsi"/>
                <w:szCs w:val="20"/>
                <w:lang w:eastAsia="fr-FR" w:bidi="ar-SA"/>
              </w:rPr>
            </w:pPr>
          </w:p>
        </w:tc>
        <w:tc>
          <w:tcPr>
            <w:tcW w:w="2747" w:type="dxa"/>
            <w:vAlign w:val="center"/>
          </w:tcPr>
          <w:p w14:paraId="29C154FD" w14:textId="760C2854" w:rsidR="00E27BFE" w:rsidRPr="00B95A9D" w:rsidRDefault="00BD349F" w:rsidP="005A766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Pr>
                <w:rFonts w:asciiTheme="minorHAnsi" w:hAnsiTheme="minorHAnsi" w:cstheme="minorHAnsi"/>
                <w:szCs w:val="20"/>
                <w:lang w:eastAsia="fr-FR" w:bidi="ar-SA"/>
              </w:rPr>
              <w:t>Forte</w:t>
            </w:r>
          </w:p>
        </w:tc>
        <w:tc>
          <w:tcPr>
            <w:tcW w:w="1843" w:type="dxa"/>
            <w:vAlign w:val="center"/>
          </w:tcPr>
          <w:p w14:paraId="78E6256E" w14:textId="3F89DDBD" w:rsidR="00E27BFE" w:rsidRPr="00B95A9D" w:rsidRDefault="00BD349F" w:rsidP="005A766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Cs w:val="20"/>
                <w:lang w:eastAsia="fr-FR" w:bidi="ar-SA"/>
              </w:rPr>
            </w:pPr>
            <w:r w:rsidRPr="00BD349F">
              <w:rPr>
                <w:rFonts w:asciiTheme="minorHAnsi" w:hAnsiTheme="minorHAnsi" w:cstheme="minorHAnsi"/>
                <w:b/>
                <w:bCs/>
                <w:szCs w:val="20"/>
                <w:lang w:eastAsia="fr-FR" w:bidi="ar-SA"/>
              </w:rPr>
              <w:t>Travailleurs locaux et jeunes demandeurs d’emploi.</w:t>
            </w:r>
          </w:p>
        </w:tc>
        <w:tc>
          <w:tcPr>
            <w:tcW w:w="2436" w:type="dxa"/>
            <w:vAlign w:val="center"/>
          </w:tcPr>
          <w:p w14:paraId="3036DDA8" w14:textId="477F11BE" w:rsidR="00E27BFE" w:rsidRPr="00B95A9D" w:rsidRDefault="00BD349F" w:rsidP="005A766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Pr>
                <w:rFonts w:asciiTheme="minorHAnsi" w:hAnsiTheme="minorHAnsi" w:cstheme="minorHAnsi"/>
                <w:szCs w:val="20"/>
                <w:lang w:eastAsia="fr-FR" w:bidi="ar-SA"/>
              </w:rPr>
              <w:t>Forte</w:t>
            </w:r>
          </w:p>
        </w:tc>
        <w:tc>
          <w:tcPr>
            <w:tcW w:w="1242" w:type="dxa"/>
            <w:vAlign w:val="center"/>
          </w:tcPr>
          <w:p w14:paraId="43E230B3" w14:textId="540827B3" w:rsidR="00E27BFE" w:rsidRPr="00B95A9D" w:rsidRDefault="00BD349F" w:rsidP="005A766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Cs w:val="20"/>
                <w:lang w:eastAsia="fr-FR" w:bidi="ar-SA"/>
              </w:rPr>
            </w:pPr>
            <w:r>
              <w:rPr>
                <w:rFonts w:asciiTheme="minorHAnsi" w:hAnsiTheme="minorHAnsi" w:cstheme="minorHAnsi"/>
                <w:b/>
                <w:bCs/>
                <w:szCs w:val="20"/>
                <w:lang w:eastAsia="fr-FR" w:bidi="ar-SA"/>
              </w:rPr>
              <w:t>Majeure</w:t>
            </w:r>
          </w:p>
        </w:tc>
      </w:tr>
    </w:tbl>
    <w:p w14:paraId="27D449BC" w14:textId="77777777" w:rsidR="00F6096E" w:rsidRPr="00F6096E" w:rsidRDefault="00F6096E" w:rsidP="0001633E">
      <w:pPr>
        <w:pStyle w:val="AltTitle2"/>
        <w:numPr>
          <w:ilvl w:val="0"/>
          <w:numId w:val="106"/>
        </w:numPr>
      </w:pPr>
      <w:r w:rsidRPr="00F6096E">
        <w:t>Dynamisation du commerce et des services de proximité</w:t>
      </w:r>
    </w:p>
    <w:p w14:paraId="08326D78" w14:textId="14BEEE7E" w:rsidR="008137F7" w:rsidRPr="004637C7" w:rsidRDefault="008137F7" w:rsidP="004637C7">
      <w:r w:rsidRPr="004637C7">
        <w:t xml:space="preserve">L’installation du chantier engendrera une augmentation de la demande en biens et services locaux : alimentation, transport, maintenance, hébergement et restauration. Les petites entreprises et commerces de </w:t>
      </w:r>
      <w:r w:rsidR="00ED75AF">
        <w:t>Ménara</w:t>
      </w:r>
      <w:r w:rsidRPr="004637C7">
        <w:t xml:space="preserve"> bénéficieront d’un surcroît d’activité. Cet impact est positif et indirect, car il résulte de la consommation liée aux activités du chantier. Il sera continu tout au long des travaux, d’intensité moyenne, et d’étendue locale, avec des retombées indirectes sur la région.</w:t>
      </w:r>
    </w:p>
    <w:p w14:paraId="119E5842" w14:textId="0D7005B4" w:rsidR="008137F7" w:rsidRDefault="008137F7" w:rsidP="008137F7">
      <w:pPr>
        <w:rPr>
          <w:rFonts w:asciiTheme="minorHAnsi" w:hAnsiTheme="minorHAnsi" w:cstheme="minorHAnsi"/>
          <w:lang w:eastAsia="fr-FR" w:bidi="ar-SA"/>
        </w:rPr>
      </w:pPr>
      <w:r w:rsidRPr="004637C7">
        <w:rPr>
          <w:rFonts w:asciiTheme="minorHAnsi" w:hAnsiTheme="minorHAnsi" w:cstheme="minorHAnsi"/>
          <w:lang w:eastAsia="fr-FR" w:bidi="ar-SA"/>
        </w:rPr>
        <w:t>L’impact est d’importance modérée, reflétant une relance ponctuelle mais bénéfique pour la vitalité économique locale.</w:t>
      </w:r>
    </w:p>
    <w:p w14:paraId="17ABFC18" w14:textId="77777777" w:rsidR="00056118" w:rsidRDefault="00056118" w:rsidP="008137F7">
      <w:pPr>
        <w:rPr>
          <w:rFonts w:asciiTheme="minorHAnsi" w:hAnsiTheme="minorHAnsi" w:cstheme="minorHAnsi"/>
          <w:lang w:eastAsia="fr-FR" w:bidi="ar-SA"/>
        </w:rPr>
      </w:pPr>
    </w:p>
    <w:p w14:paraId="0324CEE7" w14:textId="77777777" w:rsidR="003148C7" w:rsidRDefault="003148C7" w:rsidP="008137F7">
      <w:pPr>
        <w:rPr>
          <w:rFonts w:asciiTheme="minorHAnsi" w:hAnsiTheme="minorHAnsi" w:cstheme="minorHAnsi"/>
          <w:lang w:eastAsia="fr-FR" w:bidi="ar-SA"/>
        </w:rPr>
      </w:pPr>
    </w:p>
    <w:tbl>
      <w:tblPr>
        <w:tblStyle w:val="TableauGrille1Clair-Accentuation111"/>
        <w:tblW w:w="0" w:type="auto"/>
        <w:tblLook w:val="04A0" w:firstRow="1" w:lastRow="0" w:firstColumn="1" w:lastColumn="0" w:noHBand="0" w:noVBand="1"/>
      </w:tblPr>
      <w:tblGrid>
        <w:gridCol w:w="792"/>
        <w:gridCol w:w="2633"/>
        <w:gridCol w:w="1971"/>
        <w:gridCol w:w="2313"/>
        <w:gridCol w:w="1351"/>
      </w:tblGrid>
      <w:tr w:rsidR="003148C7" w:rsidRPr="007D40B9" w14:paraId="68D890E6" w14:textId="77777777" w:rsidTr="005A766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590FB217" w14:textId="77777777" w:rsidR="003148C7" w:rsidRPr="00AA22F2" w:rsidRDefault="003148C7" w:rsidP="005A7661">
            <w:pPr>
              <w:rPr>
                <w:szCs w:val="20"/>
              </w:rPr>
            </w:pPr>
            <w:r w:rsidRPr="00AA22F2">
              <w:rPr>
                <w:szCs w:val="20"/>
              </w:rPr>
              <w:t>Impact</w:t>
            </w:r>
          </w:p>
        </w:tc>
        <w:tc>
          <w:tcPr>
            <w:tcW w:w="0" w:type="auto"/>
            <w:hideMark/>
          </w:tcPr>
          <w:p w14:paraId="4A3005B4" w14:textId="77777777" w:rsidR="003148C7" w:rsidRPr="00AA22F2" w:rsidRDefault="003148C7" w:rsidP="005A7661">
            <w:pPr>
              <w:cnfStyle w:val="100000000000" w:firstRow="1" w:lastRow="0" w:firstColumn="0" w:lastColumn="0" w:oddVBand="0" w:evenVBand="0" w:oddHBand="0" w:evenHBand="0" w:firstRowFirstColumn="0" w:firstRowLastColumn="0" w:lastRowFirstColumn="0" w:lastRowLastColumn="0"/>
              <w:rPr>
                <w:szCs w:val="20"/>
              </w:rPr>
            </w:pPr>
            <w:r w:rsidRPr="00AA22F2">
              <w:rPr>
                <w:szCs w:val="20"/>
              </w:rPr>
              <w:t>Activités génératrices</w:t>
            </w:r>
          </w:p>
        </w:tc>
        <w:tc>
          <w:tcPr>
            <w:tcW w:w="0" w:type="auto"/>
            <w:hideMark/>
          </w:tcPr>
          <w:p w14:paraId="2F57B311" w14:textId="77777777" w:rsidR="003148C7" w:rsidRPr="00AA22F2" w:rsidRDefault="003148C7" w:rsidP="005A7661">
            <w:pPr>
              <w:cnfStyle w:val="100000000000" w:firstRow="1" w:lastRow="0" w:firstColumn="0" w:lastColumn="0" w:oddVBand="0" w:evenVBand="0" w:oddHBand="0" w:evenHBand="0" w:firstRowFirstColumn="0" w:firstRowLastColumn="0" w:lastRowFirstColumn="0" w:lastRowLastColumn="0"/>
              <w:rPr>
                <w:szCs w:val="20"/>
              </w:rPr>
            </w:pPr>
            <w:r w:rsidRPr="00AA22F2">
              <w:rPr>
                <w:szCs w:val="20"/>
              </w:rPr>
              <w:t>Critère</w:t>
            </w:r>
          </w:p>
        </w:tc>
        <w:tc>
          <w:tcPr>
            <w:tcW w:w="0" w:type="auto"/>
            <w:hideMark/>
          </w:tcPr>
          <w:p w14:paraId="527D6380" w14:textId="77777777" w:rsidR="003148C7" w:rsidRPr="00AA22F2" w:rsidRDefault="003148C7" w:rsidP="005A7661">
            <w:pPr>
              <w:cnfStyle w:val="100000000000" w:firstRow="1" w:lastRow="0" w:firstColumn="0" w:lastColumn="0" w:oddVBand="0" w:evenVBand="0" w:oddHBand="0" w:evenHBand="0" w:firstRowFirstColumn="0" w:firstRowLastColumn="0" w:lastRowFirstColumn="0" w:lastRowLastColumn="0"/>
              <w:rPr>
                <w:szCs w:val="20"/>
              </w:rPr>
            </w:pPr>
            <w:r w:rsidRPr="00AA22F2">
              <w:rPr>
                <w:szCs w:val="20"/>
              </w:rPr>
              <w:t>Justification</w:t>
            </w:r>
          </w:p>
        </w:tc>
        <w:tc>
          <w:tcPr>
            <w:tcW w:w="0" w:type="auto"/>
            <w:hideMark/>
          </w:tcPr>
          <w:p w14:paraId="2F5EF48D" w14:textId="77777777" w:rsidR="003148C7" w:rsidRPr="00AA22F2" w:rsidRDefault="003148C7" w:rsidP="005A7661">
            <w:pPr>
              <w:cnfStyle w:val="100000000000" w:firstRow="1" w:lastRow="0" w:firstColumn="0" w:lastColumn="0" w:oddVBand="0" w:evenVBand="0" w:oddHBand="0" w:evenHBand="0" w:firstRowFirstColumn="0" w:firstRowLastColumn="0" w:lastRowFirstColumn="0" w:lastRowLastColumn="0"/>
              <w:rPr>
                <w:szCs w:val="20"/>
              </w:rPr>
            </w:pPr>
            <w:r w:rsidRPr="00AA22F2">
              <w:rPr>
                <w:szCs w:val="20"/>
              </w:rPr>
              <w:t>Niveau</w:t>
            </w:r>
          </w:p>
        </w:tc>
      </w:tr>
      <w:tr w:rsidR="003148C7" w:rsidRPr="007D40B9" w14:paraId="3C179180" w14:textId="77777777" w:rsidTr="005A7661">
        <w:tc>
          <w:tcPr>
            <w:cnfStyle w:val="001000000000" w:firstRow="0" w:lastRow="0" w:firstColumn="1" w:lastColumn="0" w:oddVBand="0" w:evenVBand="0" w:oddHBand="0" w:evenHBand="0" w:firstRowFirstColumn="0" w:firstRowLastColumn="0" w:lastRowFirstColumn="0" w:lastRowLastColumn="0"/>
            <w:tcW w:w="0" w:type="auto"/>
            <w:vMerge w:val="restart"/>
            <w:textDirection w:val="btLr"/>
            <w:vAlign w:val="center"/>
            <w:hideMark/>
          </w:tcPr>
          <w:p w14:paraId="573BB2ED" w14:textId="77777777" w:rsidR="003148C7" w:rsidRPr="00AA22F2" w:rsidRDefault="003148C7" w:rsidP="005A7661">
            <w:pPr>
              <w:ind w:left="113" w:right="113"/>
              <w:jc w:val="center"/>
              <w:rPr>
                <w:szCs w:val="20"/>
              </w:rPr>
            </w:pPr>
            <w:r w:rsidRPr="00AA22F2">
              <w:rPr>
                <w:szCs w:val="20"/>
              </w:rPr>
              <w:t>Dynamisation du commerce et des services de proximité</w:t>
            </w:r>
          </w:p>
        </w:tc>
        <w:tc>
          <w:tcPr>
            <w:tcW w:w="0" w:type="auto"/>
            <w:vMerge w:val="restart"/>
            <w:hideMark/>
          </w:tcPr>
          <w:p w14:paraId="284C131A" w14:textId="77777777" w:rsidR="003148C7" w:rsidRPr="00AA22F2" w:rsidRDefault="003148C7" w:rsidP="005A7661">
            <w:pPr>
              <w:cnfStyle w:val="000000000000" w:firstRow="0" w:lastRow="0" w:firstColumn="0" w:lastColumn="0" w:oddVBand="0" w:evenVBand="0" w:oddHBand="0" w:evenHBand="0" w:firstRowFirstColumn="0" w:firstRowLastColumn="0" w:lastRowFirstColumn="0" w:lastRowLastColumn="0"/>
              <w:rPr>
                <w:szCs w:val="20"/>
              </w:rPr>
            </w:pPr>
            <w:r w:rsidRPr="00AA22F2">
              <w:rPr>
                <w:szCs w:val="20"/>
              </w:rPr>
              <w:t>Approvisionnement du chantier, hébergement, restauration, transport local</w:t>
            </w:r>
          </w:p>
        </w:tc>
        <w:tc>
          <w:tcPr>
            <w:tcW w:w="0" w:type="auto"/>
            <w:hideMark/>
          </w:tcPr>
          <w:p w14:paraId="0985A098" w14:textId="77777777" w:rsidR="003148C7" w:rsidRPr="00AA22F2" w:rsidRDefault="003148C7" w:rsidP="005A7661">
            <w:pPr>
              <w:cnfStyle w:val="000000000000" w:firstRow="0" w:lastRow="0" w:firstColumn="0" w:lastColumn="0" w:oddVBand="0" w:evenVBand="0" w:oddHBand="0" w:evenHBand="0" w:firstRowFirstColumn="0" w:firstRowLastColumn="0" w:lastRowFirstColumn="0" w:lastRowLastColumn="0"/>
              <w:rPr>
                <w:szCs w:val="20"/>
              </w:rPr>
            </w:pPr>
            <w:r w:rsidRPr="00AA22F2">
              <w:rPr>
                <w:b/>
                <w:bCs/>
                <w:szCs w:val="20"/>
              </w:rPr>
              <w:t>Nature</w:t>
            </w:r>
          </w:p>
        </w:tc>
        <w:tc>
          <w:tcPr>
            <w:tcW w:w="0" w:type="auto"/>
            <w:gridSpan w:val="2"/>
            <w:hideMark/>
          </w:tcPr>
          <w:p w14:paraId="666E9A05" w14:textId="77777777" w:rsidR="003148C7" w:rsidRPr="00AA22F2" w:rsidRDefault="003148C7" w:rsidP="005A7661">
            <w:pPr>
              <w:cnfStyle w:val="000000000000" w:firstRow="0" w:lastRow="0" w:firstColumn="0" w:lastColumn="0" w:oddVBand="0" w:evenVBand="0" w:oddHBand="0" w:evenHBand="0" w:firstRowFirstColumn="0" w:firstRowLastColumn="0" w:lastRowFirstColumn="0" w:lastRowLastColumn="0"/>
              <w:rPr>
                <w:szCs w:val="20"/>
              </w:rPr>
            </w:pPr>
            <w:r w:rsidRPr="00AA22F2">
              <w:rPr>
                <w:szCs w:val="20"/>
              </w:rPr>
              <w:t>Positif et indirect.</w:t>
            </w:r>
          </w:p>
        </w:tc>
      </w:tr>
      <w:tr w:rsidR="003148C7" w:rsidRPr="007D40B9" w14:paraId="0BC571CC" w14:textId="77777777" w:rsidTr="005A7661">
        <w:tc>
          <w:tcPr>
            <w:cnfStyle w:val="001000000000" w:firstRow="0" w:lastRow="0" w:firstColumn="1" w:lastColumn="0" w:oddVBand="0" w:evenVBand="0" w:oddHBand="0" w:evenHBand="0" w:firstRowFirstColumn="0" w:firstRowLastColumn="0" w:lastRowFirstColumn="0" w:lastRowLastColumn="0"/>
            <w:tcW w:w="0" w:type="auto"/>
            <w:vMerge/>
            <w:hideMark/>
          </w:tcPr>
          <w:p w14:paraId="6F35B39D" w14:textId="77777777" w:rsidR="003148C7" w:rsidRPr="00AA22F2" w:rsidRDefault="003148C7" w:rsidP="005A7661">
            <w:pPr>
              <w:rPr>
                <w:szCs w:val="20"/>
              </w:rPr>
            </w:pPr>
          </w:p>
        </w:tc>
        <w:tc>
          <w:tcPr>
            <w:tcW w:w="0" w:type="auto"/>
            <w:vMerge/>
            <w:hideMark/>
          </w:tcPr>
          <w:p w14:paraId="7A387F40" w14:textId="77777777" w:rsidR="003148C7" w:rsidRPr="00AA22F2" w:rsidRDefault="003148C7" w:rsidP="005A7661">
            <w:pPr>
              <w:cnfStyle w:val="000000000000" w:firstRow="0" w:lastRow="0" w:firstColumn="0" w:lastColumn="0" w:oddVBand="0" w:evenVBand="0" w:oddHBand="0" w:evenHBand="0" w:firstRowFirstColumn="0" w:firstRowLastColumn="0" w:lastRowFirstColumn="0" w:lastRowLastColumn="0"/>
              <w:rPr>
                <w:szCs w:val="20"/>
              </w:rPr>
            </w:pPr>
          </w:p>
        </w:tc>
        <w:tc>
          <w:tcPr>
            <w:tcW w:w="0" w:type="auto"/>
            <w:hideMark/>
          </w:tcPr>
          <w:p w14:paraId="6476A5C5" w14:textId="77777777" w:rsidR="003148C7" w:rsidRPr="00AA22F2" w:rsidRDefault="003148C7" w:rsidP="005A7661">
            <w:pPr>
              <w:cnfStyle w:val="000000000000" w:firstRow="0" w:lastRow="0" w:firstColumn="0" w:lastColumn="0" w:oddVBand="0" w:evenVBand="0" w:oddHBand="0" w:evenHBand="0" w:firstRowFirstColumn="0" w:firstRowLastColumn="0" w:lastRowFirstColumn="0" w:lastRowLastColumn="0"/>
              <w:rPr>
                <w:szCs w:val="20"/>
              </w:rPr>
            </w:pPr>
            <w:r w:rsidRPr="00AA22F2">
              <w:rPr>
                <w:b/>
                <w:bCs/>
                <w:szCs w:val="20"/>
              </w:rPr>
              <w:t>Étendue</w:t>
            </w:r>
          </w:p>
        </w:tc>
        <w:tc>
          <w:tcPr>
            <w:tcW w:w="0" w:type="auto"/>
            <w:hideMark/>
          </w:tcPr>
          <w:p w14:paraId="36C26995" w14:textId="24D6C4C6" w:rsidR="003148C7" w:rsidRPr="00AA22F2" w:rsidRDefault="003148C7" w:rsidP="005A7661">
            <w:pPr>
              <w:cnfStyle w:val="000000000000" w:firstRow="0" w:lastRow="0" w:firstColumn="0" w:lastColumn="0" w:oddVBand="0" w:evenVBand="0" w:oddHBand="0" w:evenHBand="0" w:firstRowFirstColumn="0" w:firstRowLastColumn="0" w:lastRowFirstColumn="0" w:lastRowLastColumn="0"/>
              <w:rPr>
                <w:szCs w:val="20"/>
              </w:rPr>
            </w:pPr>
            <w:r w:rsidRPr="00AA22F2">
              <w:rPr>
                <w:szCs w:val="20"/>
              </w:rPr>
              <w:t xml:space="preserve">Commune de </w:t>
            </w:r>
            <w:r w:rsidR="00ED75AF">
              <w:rPr>
                <w:szCs w:val="20"/>
              </w:rPr>
              <w:t>Ménara</w:t>
            </w:r>
            <w:r w:rsidRPr="00AA22F2">
              <w:rPr>
                <w:szCs w:val="20"/>
              </w:rPr>
              <w:t xml:space="preserve"> et préfecture </w:t>
            </w:r>
            <w:r w:rsidR="00ED75AF">
              <w:rPr>
                <w:szCs w:val="20"/>
              </w:rPr>
              <w:t>de Marrakech</w:t>
            </w:r>
          </w:p>
        </w:tc>
        <w:tc>
          <w:tcPr>
            <w:tcW w:w="0" w:type="auto"/>
            <w:hideMark/>
          </w:tcPr>
          <w:p w14:paraId="5B594C00" w14:textId="77777777" w:rsidR="003148C7" w:rsidRPr="00AA22F2" w:rsidRDefault="003148C7" w:rsidP="005A7661">
            <w:pPr>
              <w:cnfStyle w:val="000000000000" w:firstRow="0" w:lastRow="0" w:firstColumn="0" w:lastColumn="0" w:oddVBand="0" w:evenVBand="0" w:oddHBand="0" w:evenHBand="0" w:firstRowFirstColumn="0" w:firstRowLastColumn="0" w:lastRowFirstColumn="0" w:lastRowLastColumn="0"/>
              <w:rPr>
                <w:szCs w:val="20"/>
              </w:rPr>
            </w:pPr>
            <w:r w:rsidRPr="00AA22F2">
              <w:rPr>
                <w:szCs w:val="20"/>
              </w:rPr>
              <w:t>Locale à régionale</w:t>
            </w:r>
          </w:p>
        </w:tc>
      </w:tr>
      <w:tr w:rsidR="003148C7" w:rsidRPr="007D40B9" w14:paraId="582CB1E6" w14:textId="77777777" w:rsidTr="005A7661">
        <w:tc>
          <w:tcPr>
            <w:cnfStyle w:val="001000000000" w:firstRow="0" w:lastRow="0" w:firstColumn="1" w:lastColumn="0" w:oddVBand="0" w:evenVBand="0" w:oddHBand="0" w:evenHBand="0" w:firstRowFirstColumn="0" w:firstRowLastColumn="0" w:lastRowFirstColumn="0" w:lastRowLastColumn="0"/>
            <w:tcW w:w="0" w:type="auto"/>
            <w:vMerge/>
            <w:hideMark/>
          </w:tcPr>
          <w:p w14:paraId="30AB51C3" w14:textId="77777777" w:rsidR="003148C7" w:rsidRPr="00AA22F2" w:rsidRDefault="003148C7" w:rsidP="005A7661">
            <w:pPr>
              <w:rPr>
                <w:szCs w:val="20"/>
              </w:rPr>
            </w:pPr>
          </w:p>
        </w:tc>
        <w:tc>
          <w:tcPr>
            <w:tcW w:w="0" w:type="auto"/>
            <w:vMerge/>
            <w:hideMark/>
          </w:tcPr>
          <w:p w14:paraId="376C7796" w14:textId="77777777" w:rsidR="003148C7" w:rsidRPr="00AA22F2" w:rsidRDefault="003148C7" w:rsidP="005A7661">
            <w:pPr>
              <w:cnfStyle w:val="000000000000" w:firstRow="0" w:lastRow="0" w:firstColumn="0" w:lastColumn="0" w:oddVBand="0" w:evenVBand="0" w:oddHBand="0" w:evenHBand="0" w:firstRowFirstColumn="0" w:firstRowLastColumn="0" w:lastRowFirstColumn="0" w:lastRowLastColumn="0"/>
              <w:rPr>
                <w:szCs w:val="20"/>
              </w:rPr>
            </w:pPr>
          </w:p>
        </w:tc>
        <w:tc>
          <w:tcPr>
            <w:tcW w:w="0" w:type="auto"/>
            <w:hideMark/>
          </w:tcPr>
          <w:p w14:paraId="573495D9" w14:textId="77777777" w:rsidR="003148C7" w:rsidRPr="00AA22F2" w:rsidRDefault="003148C7" w:rsidP="005A7661">
            <w:pPr>
              <w:cnfStyle w:val="000000000000" w:firstRow="0" w:lastRow="0" w:firstColumn="0" w:lastColumn="0" w:oddVBand="0" w:evenVBand="0" w:oddHBand="0" w:evenHBand="0" w:firstRowFirstColumn="0" w:firstRowLastColumn="0" w:lastRowFirstColumn="0" w:lastRowLastColumn="0"/>
              <w:rPr>
                <w:szCs w:val="20"/>
              </w:rPr>
            </w:pPr>
            <w:r w:rsidRPr="00AA22F2">
              <w:rPr>
                <w:b/>
                <w:bCs/>
                <w:szCs w:val="20"/>
              </w:rPr>
              <w:t>Durée</w:t>
            </w:r>
          </w:p>
        </w:tc>
        <w:tc>
          <w:tcPr>
            <w:tcW w:w="0" w:type="auto"/>
            <w:hideMark/>
          </w:tcPr>
          <w:p w14:paraId="1765964D" w14:textId="77777777" w:rsidR="003148C7" w:rsidRPr="00AA22F2" w:rsidRDefault="003148C7" w:rsidP="005A7661">
            <w:pPr>
              <w:cnfStyle w:val="000000000000" w:firstRow="0" w:lastRow="0" w:firstColumn="0" w:lastColumn="0" w:oddVBand="0" w:evenVBand="0" w:oddHBand="0" w:evenHBand="0" w:firstRowFirstColumn="0" w:firstRowLastColumn="0" w:lastRowFirstColumn="0" w:lastRowLastColumn="0"/>
              <w:rPr>
                <w:szCs w:val="20"/>
              </w:rPr>
            </w:pPr>
            <w:r w:rsidRPr="00AA22F2">
              <w:rPr>
                <w:szCs w:val="20"/>
              </w:rPr>
              <w:t>Limitée à la phase de chantier.</w:t>
            </w:r>
          </w:p>
        </w:tc>
        <w:tc>
          <w:tcPr>
            <w:tcW w:w="0" w:type="auto"/>
            <w:hideMark/>
          </w:tcPr>
          <w:p w14:paraId="2F43D41A" w14:textId="77777777" w:rsidR="003148C7" w:rsidRPr="00AA22F2" w:rsidRDefault="003148C7" w:rsidP="005A7661">
            <w:pPr>
              <w:cnfStyle w:val="000000000000" w:firstRow="0" w:lastRow="0" w:firstColumn="0" w:lastColumn="0" w:oddVBand="0" w:evenVBand="0" w:oddHBand="0" w:evenHBand="0" w:firstRowFirstColumn="0" w:firstRowLastColumn="0" w:lastRowFirstColumn="0" w:lastRowLastColumn="0"/>
              <w:rPr>
                <w:szCs w:val="20"/>
              </w:rPr>
            </w:pPr>
            <w:r w:rsidRPr="00AA22F2">
              <w:rPr>
                <w:szCs w:val="20"/>
              </w:rPr>
              <w:t>Courte</w:t>
            </w:r>
          </w:p>
        </w:tc>
      </w:tr>
      <w:tr w:rsidR="003148C7" w:rsidRPr="007D40B9" w14:paraId="3CFF266A" w14:textId="77777777" w:rsidTr="005A7661">
        <w:tc>
          <w:tcPr>
            <w:cnfStyle w:val="001000000000" w:firstRow="0" w:lastRow="0" w:firstColumn="1" w:lastColumn="0" w:oddVBand="0" w:evenVBand="0" w:oddHBand="0" w:evenHBand="0" w:firstRowFirstColumn="0" w:firstRowLastColumn="0" w:lastRowFirstColumn="0" w:lastRowLastColumn="0"/>
            <w:tcW w:w="0" w:type="auto"/>
            <w:vMerge/>
            <w:hideMark/>
          </w:tcPr>
          <w:p w14:paraId="45B1B732" w14:textId="77777777" w:rsidR="003148C7" w:rsidRPr="00AA22F2" w:rsidRDefault="003148C7" w:rsidP="005A7661">
            <w:pPr>
              <w:rPr>
                <w:szCs w:val="20"/>
              </w:rPr>
            </w:pPr>
          </w:p>
        </w:tc>
        <w:tc>
          <w:tcPr>
            <w:tcW w:w="0" w:type="auto"/>
            <w:vMerge/>
            <w:hideMark/>
          </w:tcPr>
          <w:p w14:paraId="4DCDCF8E" w14:textId="77777777" w:rsidR="003148C7" w:rsidRPr="00AA22F2" w:rsidRDefault="003148C7" w:rsidP="005A7661">
            <w:pPr>
              <w:cnfStyle w:val="000000000000" w:firstRow="0" w:lastRow="0" w:firstColumn="0" w:lastColumn="0" w:oddVBand="0" w:evenVBand="0" w:oddHBand="0" w:evenHBand="0" w:firstRowFirstColumn="0" w:firstRowLastColumn="0" w:lastRowFirstColumn="0" w:lastRowLastColumn="0"/>
              <w:rPr>
                <w:szCs w:val="20"/>
              </w:rPr>
            </w:pPr>
          </w:p>
        </w:tc>
        <w:tc>
          <w:tcPr>
            <w:tcW w:w="0" w:type="auto"/>
            <w:hideMark/>
          </w:tcPr>
          <w:p w14:paraId="6BA064FB" w14:textId="77777777" w:rsidR="003148C7" w:rsidRPr="00AA22F2" w:rsidRDefault="003148C7" w:rsidP="005A7661">
            <w:pPr>
              <w:cnfStyle w:val="000000000000" w:firstRow="0" w:lastRow="0" w:firstColumn="0" w:lastColumn="0" w:oddVBand="0" w:evenVBand="0" w:oddHBand="0" w:evenHBand="0" w:firstRowFirstColumn="0" w:firstRowLastColumn="0" w:lastRowFirstColumn="0" w:lastRowLastColumn="0"/>
              <w:rPr>
                <w:szCs w:val="20"/>
              </w:rPr>
            </w:pPr>
            <w:r w:rsidRPr="00AA22F2">
              <w:rPr>
                <w:b/>
                <w:bCs/>
                <w:szCs w:val="20"/>
              </w:rPr>
              <w:t>Fréquence</w:t>
            </w:r>
          </w:p>
        </w:tc>
        <w:tc>
          <w:tcPr>
            <w:tcW w:w="0" w:type="auto"/>
            <w:hideMark/>
          </w:tcPr>
          <w:p w14:paraId="034EEEB1" w14:textId="77777777" w:rsidR="003148C7" w:rsidRPr="00AA22F2" w:rsidRDefault="003148C7" w:rsidP="005A7661">
            <w:pPr>
              <w:cnfStyle w:val="000000000000" w:firstRow="0" w:lastRow="0" w:firstColumn="0" w:lastColumn="0" w:oddVBand="0" w:evenVBand="0" w:oddHBand="0" w:evenHBand="0" w:firstRowFirstColumn="0" w:firstRowLastColumn="0" w:lastRowFirstColumn="0" w:lastRowLastColumn="0"/>
              <w:rPr>
                <w:szCs w:val="20"/>
              </w:rPr>
            </w:pPr>
            <w:r w:rsidRPr="00AA22F2">
              <w:rPr>
                <w:szCs w:val="20"/>
              </w:rPr>
              <w:t>Continue selon l’activité du chantier.</w:t>
            </w:r>
          </w:p>
        </w:tc>
        <w:tc>
          <w:tcPr>
            <w:tcW w:w="0" w:type="auto"/>
            <w:hideMark/>
          </w:tcPr>
          <w:p w14:paraId="0627B95F" w14:textId="77777777" w:rsidR="003148C7" w:rsidRPr="00AA22F2" w:rsidRDefault="003148C7" w:rsidP="005A7661">
            <w:pPr>
              <w:cnfStyle w:val="000000000000" w:firstRow="0" w:lastRow="0" w:firstColumn="0" w:lastColumn="0" w:oddVBand="0" w:evenVBand="0" w:oddHBand="0" w:evenHBand="0" w:firstRowFirstColumn="0" w:firstRowLastColumn="0" w:lastRowFirstColumn="0" w:lastRowLastColumn="0"/>
              <w:rPr>
                <w:szCs w:val="20"/>
              </w:rPr>
            </w:pPr>
            <w:r w:rsidRPr="00AA22F2">
              <w:rPr>
                <w:szCs w:val="20"/>
              </w:rPr>
              <w:t>Continue</w:t>
            </w:r>
          </w:p>
        </w:tc>
      </w:tr>
      <w:tr w:rsidR="003148C7" w:rsidRPr="007D40B9" w14:paraId="6BDF9B09" w14:textId="77777777" w:rsidTr="004637C7">
        <w:tc>
          <w:tcPr>
            <w:cnfStyle w:val="001000000000" w:firstRow="0" w:lastRow="0" w:firstColumn="1" w:lastColumn="0" w:oddVBand="0" w:evenVBand="0" w:oddHBand="0" w:evenHBand="0" w:firstRowFirstColumn="0" w:firstRowLastColumn="0" w:lastRowFirstColumn="0" w:lastRowLastColumn="0"/>
            <w:tcW w:w="0" w:type="auto"/>
            <w:vMerge/>
            <w:hideMark/>
          </w:tcPr>
          <w:p w14:paraId="2371841F" w14:textId="77777777" w:rsidR="003148C7" w:rsidRPr="00AA22F2" w:rsidRDefault="003148C7" w:rsidP="005A7661">
            <w:pPr>
              <w:rPr>
                <w:szCs w:val="20"/>
              </w:rPr>
            </w:pPr>
          </w:p>
        </w:tc>
        <w:tc>
          <w:tcPr>
            <w:tcW w:w="0" w:type="auto"/>
            <w:vMerge/>
            <w:hideMark/>
          </w:tcPr>
          <w:p w14:paraId="54E658BA" w14:textId="77777777" w:rsidR="003148C7" w:rsidRPr="00AA22F2" w:rsidRDefault="003148C7" w:rsidP="005A7661">
            <w:pPr>
              <w:cnfStyle w:val="000000000000" w:firstRow="0" w:lastRow="0" w:firstColumn="0" w:lastColumn="0" w:oddVBand="0" w:evenVBand="0" w:oddHBand="0" w:evenHBand="0" w:firstRowFirstColumn="0" w:firstRowLastColumn="0" w:lastRowFirstColumn="0" w:lastRowLastColumn="0"/>
              <w:rPr>
                <w:szCs w:val="20"/>
              </w:rPr>
            </w:pPr>
          </w:p>
        </w:tc>
        <w:tc>
          <w:tcPr>
            <w:tcW w:w="0" w:type="auto"/>
            <w:shd w:val="clear" w:color="auto" w:fill="D9E2F3" w:themeFill="accent1" w:themeFillTint="33"/>
            <w:hideMark/>
          </w:tcPr>
          <w:p w14:paraId="23E6ABA4" w14:textId="77777777" w:rsidR="003148C7" w:rsidRPr="00AA22F2" w:rsidRDefault="003148C7" w:rsidP="005A7661">
            <w:pPr>
              <w:cnfStyle w:val="000000000000" w:firstRow="0" w:lastRow="0" w:firstColumn="0" w:lastColumn="0" w:oddVBand="0" w:evenVBand="0" w:oddHBand="0" w:evenHBand="0" w:firstRowFirstColumn="0" w:firstRowLastColumn="0" w:lastRowFirstColumn="0" w:lastRowLastColumn="0"/>
              <w:rPr>
                <w:szCs w:val="20"/>
              </w:rPr>
            </w:pPr>
            <w:r w:rsidRPr="00AA22F2">
              <w:rPr>
                <w:b/>
                <w:bCs/>
                <w:szCs w:val="20"/>
              </w:rPr>
              <w:t>Intensité</w:t>
            </w:r>
          </w:p>
        </w:tc>
        <w:tc>
          <w:tcPr>
            <w:tcW w:w="0" w:type="auto"/>
            <w:shd w:val="clear" w:color="auto" w:fill="D9E2F3" w:themeFill="accent1" w:themeFillTint="33"/>
            <w:hideMark/>
          </w:tcPr>
          <w:p w14:paraId="635384C6" w14:textId="77777777" w:rsidR="003148C7" w:rsidRPr="00AA22F2" w:rsidRDefault="003148C7" w:rsidP="005A7661">
            <w:pPr>
              <w:cnfStyle w:val="000000000000" w:firstRow="0" w:lastRow="0" w:firstColumn="0" w:lastColumn="0" w:oddVBand="0" w:evenVBand="0" w:oddHBand="0" w:evenHBand="0" w:firstRowFirstColumn="0" w:firstRowLastColumn="0" w:lastRowFirstColumn="0" w:lastRowLastColumn="0"/>
              <w:rPr>
                <w:szCs w:val="20"/>
              </w:rPr>
            </w:pPr>
            <w:r w:rsidRPr="00AA22F2">
              <w:rPr>
                <w:szCs w:val="20"/>
              </w:rPr>
              <w:t>Moyenne, proportionnelle au flux de travailleurs et à la demande locale.</w:t>
            </w:r>
          </w:p>
        </w:tc>
        <w:tc>
          <w:tcPr>
            <w:tcW w:w="0" w:type="auto"/>
            <w:shd w:val="clear" w:color="auto" w:fill="D9E2F3" w:themeFill="accent1" w:themeFillTint="33"/>
            <w:hideMark/>
          </w:tcPr>
          <w:p w14:paraId="161983BD" w14:textId="77777777" w:rsidR="003148C7" w:rsidRPr="00AA22F2" w:rsidRDefault="003148C7" w:rsidP="005A7661">
            <w:pPr>
              <w:cnfStyle w:val="000000000000" w:firstRow="0" w:lastRow="0" w:firstColumn="0" w:lastColumn="0" w:oddVBand="0" w:evenVBand="0" w:oddHBand="0" w:evenHBand="0" w:firstRowFirstColumn="0" w:firstRowLastColumn="0" w:lastRowFirstColumn="0" w:lastRowLastColumn="0"/>
              <w:rPr>
                <w:szCs w:val="20"/>
              </w:rPr>
            </w:pPr>
            <w:r w:rsidRPr="00AA22F2">
              <w:rPr>
                <w:szCs w:val="20"/>
              </w:rPr>
              <w:t>Moyenne</w:t>
            </w:r>
          </w:p>
        </w:tc>
      </w:tr>
      <w:tr w:rsidR="003148C7" w:rsidRPr="007D40B9" w14:paraId="6FD49F6C" w14:textId="77777777" w:rsidTr="005A7661">
        <w:tc>
          <w:tcPr>
            <w:cnfStyle w:val="001000000000" w:firstRow="0" w:lastRow="0" w:firstColumn="1" w:lastColumn="0" w:oddVBand="0" w:evenVBand="0" w:oddHBand="0" w:evenHBand="0" w:firstRowFirstColumn="0" w:firstRowLastColumn="0" w:lastRowFirstColumn="0" w:lastRowLastColumn="0"/>
            <w:tcW w:w="0" w:type="auto"/>
            <w:vMerge/>
          </w:tcPr>
          <w:p w14:paraId="7C4B9D01" w14:textId="77777777" w:rsidR="003148C7" w:rsidRPr="00AA22F2" w:rsidRDefault="003148C7" w:rsidP="005A7661">
            <w:pPr>
              <w:spacing w:before="0" w:after="0"/>
              <w:rPr>
                <w:szCs w:val="20"/>
              </w:rPr>
            </w:pPr>
          </w:p>
        </w:tc>
        <w:tc>
          <w:tcPr>
            <w:tcW w:w="0" w:type="auto"/>
            <w:gridSpan w:val="4"/>
            <w:vAlign w:val="center"/>
          </w:tcPr>
          <w:p w14:paraId="7BD32F90" w14:textId="77777777" w:rsidR="003148C7" w:rsidRPr="007D40B9" w:rsidRDefault="003148C7" w:rsidP="005A7661">
            <w:pPr>
              <w:spacing w:before="0" w:after="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Cs w:val="20"/>
              </w:rPr>
            </w:pPr>
          </w:p>
        </w:tc>
      </w:tr>
      <w:tr w:rsidR="003148C7" w:rsidRPr="007D40B9" w14:paraId="798F8D99" w14:textId="77777777" w:rsidTr="005A7661">
        <w:tc>
          <w:tcPr>
            <w:cnfStyle w:val="001000000000" w:firstRow="0" w:lastRow="0" w:firstColumn="1" w:lastColumn="0" w:oddVBand="0" w:evenVBand="0" w:oddHBand="0" w:evenHBand="0" w:firstRowFirstColumn="0" w:firstRowLastColumn="0" w:lastRowFirstColumn="0" w:lastRowLastColumn="0"/>
            <w:tcW w:w="0" w:type="auto"/>
            <w:vMerge/>
          </w:tcPr>
          <w:p w14:paraId="4AF4D2AB" w14:textId="77777777" w:rsidR="003148C7" w:rsidRPr="00AA22F2" w:rsidRDefault="003148C7" w:rsidP="005A7661">
            <w:pPr>
              <w:rPr>
                <w:szCs w:val="20"/>
              </w:rPr>
            </w:pPr>
          </w:p>
        </w:tc>
        <w:tc>
          <w:tcPr>
            <w:tcW w:w="0" w:type="auto"/>
            <w:shd w:val="clear" w:color="auto" w:fill="8EAADB" w:themeFill="accent1" w:themeFillTint="99"/>
            <w:vAlign w:val="center"/>
          </w:tcPr>
          <w:p w14:paraId="2D42BB45" w14:textId="77777777" w:rsidR="003148C7" w:rsidRPr="00AA22F2" w:rsidRDefault="003148C7" w:rsidP="005A7661">
            <w:pPr>
              <w:cnfStyle w:val="000000000000" w:firstRow="0" w:lastRow="0" w:firstColumn="0" w:lastColumn="0" w:oddVBand="0" w:evenVBand="0" w:oddHBand="0" w:evenHBand="0" w:firstRowFirstColumn="0" w:firstRowLastColumn="0" w:lastRowFirstColumn="0" w:lastRowLastColumn="0"/>
              <w:rPr>
                <w:szCs w:val="20"/>
              </w:rPr>
            </w:pPr>
            <w:r w:rsidRPr="007D40B9">
              <w:rPr>
                <w:rFonts w:asciiTheme="minorHAnsi" w:hAnsiTheme="minorHAnsi" w:cstheme="minorHAnsi"/>
                <w:b/>
                <w:bCs/>
                <w:szCs w:val="20"/>
              </w:rPr>
              <w:t>Intensité de l’impact</w:t>
            </w:r>
          </w:p>
        </w:tc>
        <w:tc>
          <w:tcPr>
            <w:tcW w:w="0" w:type="auto"/>
            <w:shd w:val="clear" w:color="auto" w:fill="8EAADB" w:themeFill="accent1" w:themeFillTint="99"/>
            <w:vAlign w:val="center"/>
          </w:tcPr>
          <w:p w14:paraId="7417150A" w14:textId="77777777" w:rsidR="003148C7" w:rsidRPr="00AA22F2" w:rsidRDefault="003148C7" w:rsidP="005A7661">
            <w:pPr>
              <w:cnfStyle w:val="000000000000" w:firstRow="0" w:lastRow="0" w:firstColumn="0" w:lastColumn="0" w:oddVBand="0" w:evenVBand="0" w:oddHBand="0" w:evenHBand="0" w:firstRowFirstColumn="0" w:firstRowLastColumn="0" w:lastRowFirstColumn="0" w:lastRowLastColumn="0"/>
              <w:rPr>
                <w:b/>
                <w:bCs/>
                <w:szCs w:val="20"/>
              </w:rPr>
            </w:pPr>
            <w:r w:rsidRPr="007D40B9">
              <w:rPr>
                <w:rFonts w:asciiTheme="minorHAnsi" w:hAnsiTheme="minorHAnsi" w:cstheme="minorHAnsi"/>
                <w:b/>
                <w:bCs/>
                <w:szCs w:val="20"/>
              </w:rPr>
              <w:t>Récepteurs</w:t>
            </w:r>
          </w:p>
        </w:tc>
        <w:tc>
          <w:tcPr>
            <w:tcW w:w="0" w:type="auto"/>
            <w:shd w:val="clear" w:color="auto" w:fill="8EAADB" w:themeFill="accent1" w:themeFillTint="99"/>
            <w:vAlign w:val="center"/>
          </w:tcPr>
          <w:p w14:paraId="348F0BB5" w14:textId="77777777" w:rsidR="003148C7" w:rsidRPr="00AA22F2" w:rsidRDefault="003148C7" w:rsidP="005A7661">
            <w:pPr>
              <w:cnfStyle w:val="000000000000" w:firstRow="0" w:lastRow="0" w:firstColumn="0" w:lastColumn="0" w:oddVBand="0" w:evenVBand="0" w:oddHBand="0" w:evenHBand="0" w:firstRowFirstColumn="0" w:firstRowLastColumn="0" w:lastRowFirstColumn="0" w:lastRowLastColumn="0"/>
              <w:rPr>
                <w:szCs w:val="20"/>
              </w:rPr>
            </w:pPr>
            <w:r w:rsidRPr="007D40B9">
              <w:rPr>
                <w:rFonts w:asciiTheme="minorHAnsi" w:hAnsiTheme="minorHAnsi" w:cstheme="minorHAnsi"/>
                <w:b/>
                <w:bCs/>
                <w:szCs w:val="20"/>
              </w:rPr>
              <w:t>Sensibilité</w:t>
            </w:r>
          </w:p>
        </w:tc>
        <w:tc>
          <w:tcPr>
            <w:tcW w:w="0" w:type="auto"/>
            <w:shd w:val="clear" w:color="auto" w:fill="8EAADB" w:themeFill="accent1" w:themeFillTint="99"/>
            <w:vAlign w:val="center"/>
          </w:tcPr>
          <w:p w14:paraId="6EC0E7F5" w14:textId="77777777" w:rsidR="003148C7" w:rsidRPr="00AA22F2" w:rsidRDefault="003148C7" w:rsidP="005A7661">
            <w:pPr>
              <w:cnfStyle w:val="000000000000" w:firstRow="0" w:lastRow="0" w:firstColumn="0" w:lastColumn="0" w:oddVBand="0" w:evenVBand="0" w:oddHBand="0" w:evenHBand="0" w:firstRowFirstColumn="0" w:firstRowLastColumn="0" w:lastRowFirstColumn="0" w:lastRowLastColumn="0"/>
              <w:rPr>
                <w:szCs w:val="20"/>
              </w:rPr>
            </w:pPr>
            <w:r w:rsidRPr="007D40B9">
              <w:rPr>
                <w:rFonts w:asciiTheme="minorHAnsi" w:hAnsiTheme="minorHAnsi" w:cstheme="minorHAnsi"/>
                <w:b/>
                <w:bCs/>
                <w:szCs w:val="20"/>
              </w:rPr>
              <w:t>Importance de l’impact</w:t>
            </w:r>
          </w:p>
        </w:tc>
      </w:tr>
      <w:tr w:rsidR="003148C7" w:rsidRPr="007D40B9" w14:paraId="6C113018" w14:textId="77777777" w:rsidTr="005A7661">
        <w:tc>
          <w:tcPr>
            <w:cnfStyle w:val="001000000000" w:firstRow="0" w:lastRow="0" w:firstColumn="1" w:lastColumn="0" w:oddVBand="0" w:evenVBand="0" w:oddHBand="0" w:evenHBand="0" w:firstRowFirstColumn="0" w:firstRowLastColumn="0" w:lastRowFirstColumn="0" w:lastRowLastColumn="0"/>
            <w:tcW w:w="0" w:type="auto"/>
            <w:vMerge/>
          </w:tcPr>
          <w:p w14:paraId="1338207E" w14:textId="77777777" w:rsidR="003148C7" w:rsidRPr="00AA22F2" w:rsidRDefault="003148C7" w:rsidP="005A7661">
            <w:pPr>
              <w:rPr>
                <w:szCs w:val="20"/>
              </w:rPr>
            </w:pPr>
          </w:p>
        </w:tc>
        <w:tc>
          <w:tcPr>
            <w:tcW w:w="0" w:type="auto"/>
          </w:tcPr>
          <w:p w14:paraId="6B4349A1" w14:textId="77777777" w:rsidR="003148C7" w:rsidRPr="00AA22F2" w:rsidRDefault="003148C7" w:rsidP="005A7661">
            <w:pPr>
              <w:cnfStyle w:val="000000000000" w:firstRow="0" w:lastRow="0" w:firstColumn="0" w:lastColumn="0" w:oddVBand="0" w:evenVBand="0" w:oddHBand="0" w:evenHBand="0" w:firstRowFirstColumn="0" w:firstRowLastColumn="0" w:lastRowFirstColumn="0" w:lastRowLastColumn="0"/>
              <w:rPr>
                <w:szCs w:val="20"/>
              </w:rPr>
            </w:pPr>
            <w:r w:rsidRPr="00AA22F2">
              <w:rPr>
                <w:szCs w:val="20"/>
              </w:rPr>
              <w:t>Moyenne</w:t>
            </w:r>
          </w:p>
        </w:tc>
        <w:tc>
          <w:tcPr>
            <w:tcW w:w="0" w:type="auto"/>
          </w:tcPr>
          <w:p w14:paraId="0F6C86C0" w14:textId="77777777" w:rsidR="003148C7" w:rsidRPr="00AA22F2" w:rsidRDefault="003148C7" w:rsidP="005A7661">
            <w:pPr>
              <w:cnfStyle w:val="000000000000" w:firstRow="0" w:lastRow="0" w:firstColumn="0" w:lastColumn="0" w:oddVBand="0" w:evenVBand="0" w:oddHBand="0" w:evenHBand="0" w:firstRowFirstColumn="0" w:firstRowLastColumn="0" w:lastRowFirstColumn="0" w:lastRowLastColumn="0"/>
              <w:rPr>
                <w:b/>
                <w:bCs/>
                <w:szCs w:val="20"/>
              </w:rPr>
            </w:pPr>
            <w:r w:rsidRPr="00AA22F2">
              <w:rPr>
                <w:szCs w:val="20"/>
              </w:rPr>
              <w:t>Commerçants, transporteurs, prestataires de services.</w:t>
            </w:r>
          </w:p>
        </w:tc>
        <w:tc>
          <w:tcPr>
            <w:tcW w:w="0" w:type="auto"/>
          </w:tcPr>
          <w:p w14:paraId="517A1E89" w14:textId="77777777" w:rsidR="003148C7" w:rsidRPr="00AA22F2" w:rsidRDefault="003148C7" w:rsidP="005A7661">
            <w:pPr>
              <w:cnfStyle w:val="000000000000" w:firstRow="0" w:lastRow="0" w:firstColumn="0" w:lastColumn="0" w:oddVBand="0" w:evenVBand="0" w:oddHBand="0" w:evenHBand="0" w:firstRowFirstColumn="0" w:firstRowLastColumn="0" w:lastRowFirstColumn="0" w:lastRowLastColumn="0"/>
              <w:rPr>
                <w:szCs w:val="20"/>
              </w:rPr>
            </w:pPr>
            <w:r w:rsidRPr="00AA22F2">
              <w:rPr>
                <w:b/>
                <w:bCs/>
                <w:szCs w:val="20"/>
              </w:rPr>
              <w:t>Moyenne</w:t>
            </w:r>
            <w:r w:rsidRPr="00AA22F2">
              <w:rPr>
                <w:szCs w:val="20"/>
              </w:rPr>
              <w:t xml:space="preserve"> : Tissu économique souple mais vulnérable.</w:t>
            </w:r>
          </w:p>
        </w:tc>
        <w:tc>
          <w:tcPr>
            <w:tcW w:w="0" w:type="auto"/>
          </w:tcPr>
          <w:p w14:paraId="54F23CBE" w14:textId="77777777" w:rsidR="003148C7" w:rsidRPr="00AA22F2" w:rsidRDefault="003148C7" w:rsidP="005A7661">
            <w:pPr>
              <w:cnfStyle w:val="000000000000" w:firstRow="0" w:lastRow="0" w:firstColumn="0" w:lastColumn="0" w:oddVBand="0" w:evenVBand="0" w:oddHBand="0" w:evenHBand="0" w:firstRowFirstColumn="0" w:firstRowLastColumn="0" w:lastRowFirstColumn="0" w:lastRowLastColumn="0"/>
              <w:rPr>
                <w:szCs w:val="20"/>
              </w:rPr>
            </w:pPr>
            <w:r w:rsidRPr="00AA22F2">
              <w:rPr>
                <w:szCs w:val="20"/>
              </w:rPr>
              <w:t>Modérée</w:t>
            </w:r>
          </w:p>
        </w:tc>
      </w:tr>
    </w:tbl>
    <w:p w14:paraId="1E1C0A7A" w14:textId="77777777" w:rsidR="00F6096E" w:rsidRPr="00F6096E" w:rsidRDefault="00F6096E" w:rsidP="0001633E">
      <w:pPr>
        <w:pStyle w:val="AltTitle2"/>
        <w:numPr>
          <w:ilvl w:val="0"/>
          <w:numId w:val="106"/>
        </w:numPr>
      </w:pPr>
      <w:r w:rsidRPr="00F6096E">
        <w:t>Renforcement des compétences professionnelles et transfert de savoir-faire</w:t>
      </w:r>
    </w:p>
    <w:p w14:paraId="3A47F2B7" w14:textId="77777777" w:rsidR="000B753D" w:rsidRDefault="008137F7" w:rsidP="008137F7">
      <w:r>
        <w:t xml:space="preserve">Les opérations techniques de construction et d’installation d’équipements modernes (balisage, électromécanique, systèmes de sûreté) offriront aux travailleurs locaux l’occasion d’acquérir de nouvelles compétences professionnelles. Cet impact est positif et indirect, car il contribue à la qualification progressive de la main-d’œuvre régionale. Sa durée est moyenne, car les acquis techniques seront durables, et sa fréquence est continue pendant la phase de travaux. </w:t>
      </w:r>
    </w:p>
    <w:p w14:paraId="4A57C913" w14:textId="4991206C" w:rsidR="008137F7" w:rsidRDefault="008137F7" w:rsidP="008137F7">
      <w:r>
        <w:t xml:space="preserve">L’intensité est </w:t>
      </w:r>
      <w:r w:rsidR="000B753D">
        <w:t>moyenne</w:t>
      </w:r>
      <w:r>
        <w:t>, et l’étendue dépasse le périmètre local, puisque les compétences acquises pourront être valorisées dans d’autres projets d’infrastructure à l’échelle nationale.</w:t>
      </w:r>
    </w:p>
    <w:p w14:paraId="5C146CC8" w14:textId="6C18E8FC" w:rsidR="00F6096E" w:rsidRDefault="008137F7" w:rsidP="008137F7">
      <w:r>
        <w:t>Les récepteurs sont les ouvriers et techniciens de la région, dont la sensibilité est moyenne : leur formation initiale est souvent pratique mais non diplômante. L’impact est d’importance modérée, car il renforce durablement le capital humain et soutient la compétitivité régionale.</w:t>
      </w:r>
    </w:p>
    <w:p w14:paraId="29134E90" w14:textId="77777777" w:rsidR="007D40B9" w:rsidRDefault="007D40B9" w:rsidP="008137F7"/>
    <w:p w14:paraId="6518BE66" w14:textId="77777777" w:rsidR="007D40B9" w:rsidRDefault="007D40B9" w:rsidP="008137F7"/>
    <w:p w14:paraId="0C531243" w14:textId="77777777" w:rsidR="007D40B9" w:rsidRDefault="007D40B9" w:rsidP="008137F7"/>
    <w:p w14:paraId="3A2BCFD3" w14:textId="77777777" w:rsidR="007D40B9" w:rsidRDefault="007D40B9" w:rsidP="008137F7"/>
    <w:tbl>
      <w:tblPr>
        <w:tblStyle w:val="TableauGrille1Clair-Accentuation111"/>
        <w:tblW w:w="0" w:type="auto"/>
        <w:tblLook w:val="04A0" w:firstRow="1" w:lastRow="0" w:firstColumn="1" w:lastColumn="0" w:noHBand="0" w:noVBand="1"/>
      </w:tblPr>
      <w:tblGrid>
        <w:gridCol w:w="792"/>
        <w:gridCol w:w="3011"/>
        <w:gridCol w:w="1621"/>
        <w:gridCol w:w="2185"/>
        <w:gridCol w:w="1451"/>
      </w:tblGrid>
      <w:tr w:rsidR="00621025" w:rsidRPr="007D40B9" w14:paraId="0CEF9E8F" w14:textId="77777777" w:rsidTr="003148C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6F3994AF" w14:textId="77777777" w:rsidR="003148C7" w:rsidRPr="00AA22F2" w:rsidRDefault="003148C7" w:rsidP="003148C7">
            <w:pPr>
              <w:rPr>
                <w:szCs w:val="20"/>
              </w:rPr>
            </w:pPr>
            <w:r w:rsidRPr="00AA22F2">
              <w:rPr>
                <w:szCs w:val="20"/>
              </w:rPr>
              <w:t>Impact</w:t>
            </w:r>
          </w:p>
        </w:tc>
        <w:tc>
          <w:tcPr>
            <w:tcW w:w="0" w:type="auto"/>
            <w:hideMark/>
          </w:tcPr>
          <w:p w14:paraId="0F0A01AD" w14:textId="77777777" w:rsidR="003148C7" w:rsidRPr="00AA22F2" w:rsidRDefault="003148C7" w:rsidP="003148C7">
            <w:pPr>
              <w:cnfStyle w:val="100000000000" w:firstRow="1" w:lastRow="0" w:firstColumn="0" w:lastColumn="0" w:oddVBand="0" w:evenVBand="0" w:oddHBand="0" w:evenHBand="0" w:firstRowFirstColumn="0" w:firstRowLastColumn="0" w:lastRowFirstColumn="0" w:lastRowLastColumn="0"/>
              <w:rPr>
                <w:szCs w:val="20"/>
              </w:rPr>
            </w:pPr>
            <w:r w:rsidRPr="00AA22F2">
              <w:rPr>
                <w:szCs w:val="20"/>
              </w:rPr>
              <w:t>Activités génératrices</w:t>
            </w:r>
          </w:p>
        </w:tc>
        <w:tc>
          <w:tcPr>
            <w:tcW w:w="0" w:type="auto"/>
            <w:hideMark/>
          </w:tcPr>
          <w:p w14:paraId="0DEF0651" w14:textId="77777777" w:rsidR="003148C7" w:rsidRPr="00AA22F2" w:rsidRDefault="003148C7" w:rsidP="003148C7">
            <w:pPr>
              <w:cnfStyle w:val="100000000000" w:firstRow="1" w:lastRow="0" w:firstColumn="0" w:lastColumn="0" w:oddVBand="0" w:evenVBand="0" w:oddHBand="0" w:evenHBand="0" w:firstRowFirstColumn="0" w:firstRowLastColumn="0" w:lastRowFirstColumn="0" w:lastRowLastColumn="0"/>
              <w:rPr>
                <w:szCs w:val="20"/>
              </w:rPr>
            </w:pPr>
            <w:r w:rsidRPr="00AA22F2">
              <w:rPr>
                <w:szCs w:val="20"/>
              </w:rPr>
              <w:t>Critère</w:t>
            </w:r>
          </w:p>
        </w:tc>
        <w:tc>
          <w:tcPr>
            <w:tcW w:w="0" w:type="auto"/>
            <w:hideMark/>
          </w:tcPr>
          <w:p w14:paraId="25D21B4F" w14:textId="77777777" w:rsidR="003148C7" w:rsidRPr="00AA22F2" w:rsidRDefault="003148C7" w:rsidP="003148C7">
            <w:pPr>
              <w:cnfStyle w:val="100000000000" w:firstRow="1" w:lastRow="0" w:firstColumn="0" w:lastColumn="0" w:oddVBand="0" w:evenVBand="0" w:oddHBand="0" w:evenHBand="0" w:firstRowFirstColumn="0" w:firstRowLastColumn="0" w:lastRowFirstColumn="0" w:lastRowLastColumn="0"/>
              <w:rPr>
                <w:szCs w:val="20"/>
              </w:rPr>
            </w:pPr>
            <w:r w:rsidRPr="00AA22F2">
              <w:rPr>
                <w:szCs w:val="20"/>
              </w:rPr>
              <w:t>Justification</w:t>
            </w:r>
          </w:p>
        </w:tc>
        <w:tc>
          <w:tcPr>
            <w:tcW w:w="0" w:type="auto"/>
            <w:hideMark/>
          </w:tcPr>
          <w:p w14:paraId="086E5CED" w14:textId="77777777" w:rsidR="003148C7" w:rsidRPr="00AA22F2" w:rsidRDefault="003148C7" w:rsidP="003148C7">
            <w:pPr>
              <w:cnfStyle w:val="100000000000" w:firstRow="1" w:lastRow="0" w:firstColumn="0" w:lastColumn="0" w:oddVBand="0" w:evenVBand="0" w:oddHBand="0" w:evenHBand="0" w:firstRowFirstColumn="0" w:firstRowLastColumn="0" w:lastRowFirstColumn="0" w:lastRowLastColumn="0"/>
              <w:rPr>
                <w:szCs w:val="20"/>
              </w:rPr>
            </w:pPr>
            <w:r w:rsidRPr="00AA22F2">
              <w:rPr>
                <w:szCs w:val="20"/>
              </w:rPr>
              <w:t>Niveau</w:t>
            </w:r>
          </w:p>
        </w:tc>
      </w:tr>
      <w:tr w:rsidR="007D40B9" w:rsidRPr="007D40B9" w14:paraId="7B589124" w14:textId="77777777" w:rsidTr="005A7661">
        <w:tc>
          <w:tcPr>
            <w:cnfStyle w:val="001000000000" w:firstRow="0" w:lastRow="0" w:firstColumn="1" w:lastColumn="0" w:oddVBand="0" w:evenVBand="0" w:oddHBand="0" w:evenHBand="0" w:firstRowFirstColumn="0" w:firstRowLastColumn="0" w:lastRowFirstColumn="0" w:lastRowLastColumn="0"/>
            <w:tcW w:w="0" w:type="auto"/>
            <w:vMerge w:val="restart"/>
            <w:textDirection w:val="btLr"/>
            <w:hideMark/>
          </w:tcPr>
          <w:p w14:paraId="5FA278BD" w14:textId="77777777" w:rsidR="007D40B9" w:rsidRPr="00AA22F2" w:rsidRDefault="007D40B9" w:rsidP="004637C7">
            <w:pPr>
              <w:ind w:left="113" w:right="113"/>
              <w:rPr>
                <w:szCs w:val="20"/>
              </w:rPr>
            </w:pPr>
            <w:r w:rsidRPr="00AA22F2">
              <w:rPr>
                <w:szCs w:val="20"/>
              </w:rPr>
              <w:t>Renforcement des compétences professionnelles et transfert de savoir-faire</w:t>
            </w:r>
          </w:p>
        </w:tc>
        <w:tc>
          <w:tcPr>
            <w:tcW w:w="0" w:type="auto"/>
            <w:vMerge w:val="restart"/>
            <w:vAlign w:val="center"/>
            <w:hideMark/>
          </w:tcPr>
          <w:p w14:paraId="76FECB9D" w14:textId="77777777" w:rsidR="007D40B9" w:rsidRPr="00AA22F2" w:rsidRDefault="007D40B9" w:rsidP="004637C7">
            <w:pPr>
              <w:jc w:val="left"/>
              <w:cnfStyle w:val="000000000000" w:firstRow="0" w:lastRow="0" w:firstColumn="0" w:lastColumn="0" w:oddVBand="0" w:evenVBand="0" w:oddHBand="0" w:evenHBand="0" w:firstRowFirstColumn="0" w:firstRowLastColumn="0" w:lastRowFirstColumn="0" w:lastRowLastColumn="0"/>
              <w:rPr>
                <w:szCs w:val="20"/>
              </w:rPr>
            </w:pPr>
            <w:r w:rsidRPr="00AA22F2">
              <w:rPr>
                <w:szCs w:val="20"/>
              </w:rPr>
              <w:t>Installation d’équipements modernes (balisage, électromécanique, sûreté)</w:t>
            </w:r>
          </w:p>
        </w:tc>
        <w:tc>
          <w:tcPr>
            <w:tcW w:w="0" w:type="auto"/>
            <w:hideMark/>
          </w:tcPr>
          <w:p w14:paraId="27D647E3" w14:textId="77777777" w:rsidR="007D40B9" w:rsidRPr="00AA22F2" w:rsidRDefault="007D40B9" w:rsidP="003148C7">
            <w:pPr>
              <w:cnfStyle w:val="000000000000" w:firstRow="0" w:lastRow="0" w:firstColumn="0" w:lastColumn="0" w:oddVBand="0" w:evenVBand="0" w:oddHBand="0" w:evenHBand="0" w:firstRowFirstColumn="0" w:firstRowLastColumn="0" w:lastRowFirstColumn="0" w:lastRowLastColumn="0"/>
              <w:rPr>
                <w:szCs w:val="20"/>
              </w:rPr>
            </w:pPr>
            <w:r w:rsidRPr="00AA22F2">
              <w:rPr>
                <w:b/>
                <w:bCs/>
                <w:szCs w:val="20"/>
              </w:rPr>
              <w:t>Nature</w:t>
            </w:r>
          </w:p>
        </w:tc>
        <w:tc>
          <w:tcPr>
            <w:tcW w:w="0" w:type="auto"/>
            <w:gridSpan w:val="2"/>
            <w:hideMark/>
          </w:tcPr>
          <w:p w14:paraId="617FB53B" w14:textId="6ED85BF2" w:rsidR="007D40B9" w:rsidRPr="00AA22F2" w:rsidRDefault="007D40B9" w:rsidP="003148C7">
            <w:pPr>
              <w:cnfStyle w:val="000000000000" w:firstRow="0" w:lastRow="0" w:firstColumn="0" w:lastColumn="0" w:oddVBand="0" w:evenVBand="0" w:oddHBand="0" w:evenHBand="0" w:firstRowFirstColumn="0" w:firstRowLastColumn="0" w:lastRowFirstColumn="0" w:lastRowLastColumn="0"/>
              <w:rPr>
                <w:szCs w:val="20"/>
              </w:rPr>
            </w:pPr>
            <w:r w:rsidRPr="00AA22F2">
              <w:rPr>
                <w:szCs w:val="20"/>
              </w:rPr>
              <w:t xml:space="preserve">Positif indirect </w:t>
            </w:r>
          </w:p>
        </w:tc>
      </w:tr>
      <w:tr w:rsidR="008945C8" w:rsidRPr="007D40B9" w14:paraId="5D53FF74" w14:textId="77777777" w:rsidTr="003148C7">
        <w:tc>
          <w:tcPr>
            <w:cnfStyle w:val="001000000000" w:firstRow="0" w:lastRow="0" w:firstColumn="1" w:lastColumn="0" w:oddVBand="0" w:evenVBand="0" w:oddHBand="0" w:evenHBand="0" w:firstRowFirstColumn="0" w:firstRowLastColumn="0" w:lastRowFirstColumn="0" w:lastRowLastColumn="0"/>
            <w:tcW w:w="0" w:type="auto"/>
            <w:vMerge/>
            <w:hideMark/>
          </w:tcPr>
          <w:p w14:paraId="0FC503D3" w14:textId="77777777" w:rsidR="008945C8" w:rsidRPr="00AA22F2" w:rsidRDefault="008945C8" w:rsidP="003148C7">
            <w:pPr>
              <w:rPr>
                <w:szCs w:val="20"/>
              </w:rPr>
            </w:pPr>
          </w:p>
        </w:tc>
        <w:tc>
          <w:tcPr>
            <w:tcW w:w="0" w:type="auto"/>
            <w:vMerge/>
            <w:hideMark/>
          </w:tcPr>
          <w:p w14:paraId="14305EF1" w14:textId="77777777" w:rsidR="008945C8" w:rsidRPr="00AA22F2" w:rsidRDefault="008945C8" w:rsidP="003148C7">
            <w:pPr>
              <w:cnfStyle w:val="000000000000" w:firstRow="0" w:lastRow="0" w:firstColumn="0" w:lastColumn="0" w:oddVBand="0" w:evenVBand="0" w:oddHBand="0" w:evenHBand="0" w:firstRowFirstColumn="0" w:firstRowLastColumn="0" w:lastRowFirstColumn="0" w:lastRowLastColumn="0"/>
              <w:rPr>
                <w:szCs w:val="20"/>
              </w:rPr>
            </w:pPr>
          </w:p>
        </w:tc>
        <w:tc>
          <w:tcPr>
            <w:tcW w:w="0" w:type="auto"/>
            <w:hideMark/>
          </w:tcPr>
          <w:p w14:paraId="1EB6FA40" w14:textId="77777777" w:rsidR="008945C8" w:rsidRPr="00AA22F2" w:rsidRDefault="008945C8" w:rsidP="003148C7">
            <w:pPr>
              <w:cnfStyle w:val="000000000000" w:firstRow="0" w:lastRow="0" w:firstColumn="0" w:lastColumn="0" w:oddVBand="0" w:evenVBand="0" w:oddHBand="0" w:evenHBand="0" w:firstRowFirstColumn="0" w:firstRowLastColumn="0" w:lastRowFirstColumn="0" w:lastRowLastColumn="0"/>
              <w:rPr>
                <w:szCs w:val="20"/>
              </w:rPr>
            </w:pPr>
            <w:r w:rsidRPr="00AA22F2">
              <w:rPr>
                <w:b/>
                <w:bCs/>
                <w:szCs w:val="20"/>
              </w:rPr>
              <w:t>Étendue</w:t>
            </w:r>
          </w:p>
        </w:tc>
        <w:tc>
          <w:tcPr>
            <w:tcW w:w="0" w:type="auto"/>
            <w:hideMark/>
          </w:tcPr>
          <w:p w14:paraId="6CAB33A7" w14:textId="77777777" w:rsidR="008945C8" w:rsidRPr="00AA22F2" w:rsidRDefault="008945C8" w:rsidP="003148C7">
            <w:pPr>
              <w:cnfStyle w:val="000000000000" w:firstRow="0" w:lastRow="0" w:firstColumn="0" w:lastColumn="0" w:oddVBand="0" w:evenVBand="0" w:oddHBand="0" w:evenHBand="0" w:firstRowFirstColumn="0" w:firstRowLastColumn="0" w:lastRowFirstColumn="0" w:lastRowLastColumn="0"/>
              <w:rPr>
                <w:szCs w:val="20"/>
              </w:rPr>
            </w:pPr>
            <w:r w:rsidRPr="00AA22F2">
              <w:rPr>
                <w:szCs w:val="20"/>
              </w:rPr>
              <w:t>Locale à nationale (valorisation sur d’autres projets).</w:t>
            </w:r>
          </w:p>
        </w:tc>
        <w:tc>
          <w:tcPr>
            <w:tcW w:w="0" w:type="auto"/>
            <w:hideMark/>
          </w:tcPr>
          <w:p w14:paraId="7EE975AA" w14:textId="7D55D683" w:rsidR="008945C8" w:rsidRPr="00AA22F2" w:rsidRDefault="00D37877" w:rsidP="003148C7">
            <w:pPr>
              <w:cnfStyle w:val="000000000000" w:firstRow="0" w:lastRow="0" w:firstColumn="0" w:lastColumn="0" w:oddVBand="0" w:evenVBand="0" w:oddHBand="0" w:evenHBand="0" w:firstRowFirstColumn="0" w:firstRowLastColumn="0" w:lastRowFirstColumn="0" w:lastRowLastColumn="0"/>
              <w:rPr>
                <w:szCs w:val="20"/>
              </w:rPr>
            </w:pPr>
            <w:r w:rsidRPr="00AA22F2">
              <w:rPr>
                <w:szCs w:val="20"/>
              </w:rPr>
              <w:t>Locale à nationale</w:t>
            </w:r>
          </w:p>
        </w:tc>
      </w:tr>
      <w:tr w:rsidR="008945C8" w:rsidRPr="007D40B9" w14:paraId="18502310" w14:textId="77777777" w:rsidTr="003148C7">
        <w:tc>
          <w:tcPr>
            <w:cnfStyle w:val="001000000000" w:firstRow="0" w:lastRow="0" w:firstColumn="1" w:lastColumn="0" w:oddVBand="0" w:evenVBand="0" w:oddHBand="0" w:evenHBand="0" w:firstRowFirstColumn="0" w:firstRowLastColumn="0" w:lastRowFirstColumn="0" w:lastRowLastColumn="0"/>
            <w:tcW w:w="0" w:type="auto"/>
            <w:vMerge/>
            <w:hideMark/>
          </w:tcPr>
          <w:p w14:paraId="7A7BF95A" w14:textId="77777777" w:rsidR="008945C8" w:rsidRPr="00AA22F2" w:rsidRDefault="008945C8" w:rsidP="003148C7">
            <w:pPr>
              <w:rPr>
                <w:szCs w:val="20"/>
              </w:rPr>
            </w:pPr>
          </w:p>
        </w:tc>
        <w:tc>
          <w:tcPr>
            <w:tcW w:w="0" w:type="auto"/>
            <w:vMerge/>
            <w:hideMark/>
          </w:tcPr>
          <w:p w14:paraId="0119E756" w14:textId="77777777" w:rsidR="008945C8" w:rsidRPr="00AA22F2" w:rsidRDefault="008945C8" w:rsidP="003148C7">
            <w:pPr>
              <w:cnfStyle w:val="000000000000" w:firstRow="0" w:lastRow="0" w:firstColumn="0" w:lastColumn="0" w:oddVBand="0" w:evenVBand="0" w:oddHBand="0" w:evenHBand="0" w:firstRowFirstColumn="0" w:firstRowLastColumn="0" w:lastRowFirstColumn="0" w:lastRowLastColumn="0"/>
              <w:rPr>
                <w:szCs w:val="20"/>
              </w:rPr>
            </w:pPr>
          </w:p>
        </w:tc>
        <w:tc>
          <w:tcPr>
            <w:tcW w:w="0" w:type="auto"/>
            <w:hideMark/>
          </w:tcPr>
          <w:p w14:paraId="59CC889C" w14:textId="77777777" w:rsidR="008945C8" w:rsidRPr="00AA22F2" w:rsidRDefault="008945C8" w:rsidP="003148C7">
            <w:pPr>
              <w:cnfStyle w:val="000000000000" w:firstRow="0" w:lastRow="0" w:firstColumn="0" w:lastColumn="0" w:oddVBand="0" w:evenVBand="0" w:oddHBand="0" w:evenHBand="0" w:firstRowFirstColumn="0" w:firstRowLastColumn="0" w:lastRowFirstColumn="0" w:lastRowLastColumn="0"/>
              <w:rPr>
                <w:szCs w:val="20"/>
              </w:rPr>
            </w:pPr>
            <w:r w:rsidRPr="00AA22F2">
              <w:rPr>
                <w:b/>
                <w:bCs/>
                <w:szCs w:val="20"/>
              </w:rPr>
              <w:t>Durée</w:t>
            </w:r>
          </w:p>
        </w:tc>
        <w:tc>
          <w:tcPr>
            <w:tcW w:w="0" w:type="auto"/>
            <w:hideMark/>
          </w:tcPr>
          <w:p w14:paraId="16A1B59F" w14:textId="77777777" w:rsidR="008945C8" w:rsidRPr="00AA22F2" w:rsidRDefault="008945C8" w:rsidP="003148C7">
            <w:pPr>
              <w:cnfStyle w:val="000000000000" w:firstRow="0" w:lastRow="0" w:firstColumn="0" w:lastColumn="0" w:oddVBand="0" w:evenVBand="0" w:oddHBand="0" w:evenHBand="0" w:firstRowFirstColumn="0" w:firstRowLastColumn="0" w:lastRowFirstColumn="0" w:lastRowLastColumn="0"/>
              <w:rPr>
                <w:szCs w:val="20"/>
              </w:rPr>
            </w:pPr>
            <w:r w:rsidRPr="00AA22F2">
              <w:rPr>
                <w:szCs w:val="20"/>
              </w:rPr>
              <w:t>Moyenne, durable au-delà du chantier.</w:t>
            </w:r>
          </w:p>
        </w:tc>
        <w:tc>
          <w:tcPr>
            <w:tcW w:w="0" w:type="auto"/>
            <w:hideMark/>
          </w:tcPr>
          <w:p w14:paraId="54C157BF" w14:textId="77777777" w:rsidR="008945C8" w:rsidRPr="00AA22F2" w:rsidRDefault="008945C8" w:rsidP="003148C7">
            <w:pPr>
              <w:cnfStyle w:val="000000000000" w:firstRow="0" w:lastRow="0" w:firstColumn="0" w:lastColumn="0" w:oddVBand="0" w:evenVBand="0" w:oddHBand="0" w:evenHBand="0" w:firstRowFirstColumn="0" w:firstRowLastColumn="0" w:lastRowFirstColumn="0" w:lastRowLastColumn="0"/>
              <w:rPr>
                <w:szCs w:val="20"/>
              </w:rPr>
            </w:pPr>
            <w:r w:rsidRPr="00AA22F2">
              <w:rPr>
                <w:szCs w:val="20"/>
              </w:rPr>
              <w:t>Moyenne</w:t>
            </w:r>
          </w:p>
        </w:tc>
      </w:tr>
      <w:tr w:rsidR="008945C8" w:rsidRPr="007D40B9" w14:paraId="0842C07F" w14:textId="77777777" w:rsidTr="003148C7">
        <w:tc>
          <w:tcPr>
            <w:cnfStyle w:val="001000000000" w:firstRow="0" w:lastRow="0" w:firstColumn="1" w:lastColumn="0" w:oddVBand="0" w:evenVBand="0" w:oddHBand="0" w:evenHBand="0" w:firstRowFirstColumn="0" w:firstRowLastColumn="0" w:lastRowFirstColumn="0" w:lastRowLastColumn="0"/>
            <w:tcW w:w="0" w:type="auto"/>
            <w:vMerge/>
            <w:hideMark/>
          </w:tcPr>
          <w:p w14:paraId="555DED22" w14:textId="77777777" w:rsidR="008945C8" w:rsidRPr="00AA22F2" w:rsidRDefault="008945C8" w:rsidP="003148C7">
            <w:pPr>
              <w:rPr>
                <w:szCs w:val="20"/>
              </w:rPr>
            </w:pPr>
          </w:p>
        </w:tc>
        <w:tc>
          <w:tcPr>
            <w:tcW w:w="0" w:type="auto"/>
            <w:vMerge/>
            <w:hideMark/>
          </w:tcPr>
          <w:p w14:paraId="0F5F26C4" w14:textId="77777777" w:rsidR="008945C8" w:rsidRPr="00AA22F2" w:rsidRDefault="008945C8" w:rsidP="003148C7">
            <w:pPr>
              <w:cnfStyle w:val="000000000000" w:firstRow="0" w:lastRow="0" w:firstColumn="0" w:lastColumn="0" w:oddVBand="0" w:evenVBand="0" w:oddHBand="0" w:evenHBand="0" w:firstRowFirstColumn="0" w:firstRowLastColumn="0" w:lastRowFirstColumn="0" w:lastRowLastColumn="0"/>
              <w:rPr>
                <w:szCs w:val="20"/>
              </w:rPr>
            </w:pPr>
          </w:p>
        </w:tc>
        <w:tc>
          <w:tcPr>
            <w:tcW w:w="0" w:type="auto"/>
            <w:hideMark/>
          </w:tcPr>
          <w:p w14:paraId="505EF8E1" w14:textId="77777777" w:rsidR="008945C8" w:rsidRPr="00AA22F2" w:rsidRDefault="008945C8" w:rsidP="003148C7">
            <w:pPr>
              <w:cnfStyle w:val="000000000000" w:firstRow="0" w:lastRow="0" w:firstColumn="0" w:lastColumn="0" w:oddVBand="0" w:evenVBand="0" w:oddHBand="0" w:evenHBand="0" w:firstRowFirstColumn="0" w:firstRowLastColumn="0" w:lastRowFirstColumn="0" w:lastRowLastColumn="0"/>
              <w:rPr>
                <w:szCs w:val="20"/>
              </w:rPr>
            </w:pPr>
            <w:r w:rsidRPr="00AA22F2">
              <w:rPr>
                <w:b/>
                <w:bCs/>
                <w:szCs w:val="20"/>
              </w:rPr>
              <w:t>Fréquence</w:t>
            </w:r>
          </w:p>
        </w:tc>
        <w:tc>
          <w:tcPr>
            <w:tcW w:w="0" w:type="auto"/>
            <w:hideMark/>
          </w:tcPr>
          <w:p w14:paraId="667EBB1C" w14:textId="77777777" w:rsidR="008945C8" w:rsidRPr="00AA22F2" w:rsidRDefault="008945C8" w:rsidP="003148C7">
            <w:pPr>
              <w:cnfStyle w:val="000000000000" w:firstRow="0" w:lastRow="0" w:firstColumn="0" w:lastColumn="0" w:oddVBand="0" w:evenVBand="0" w:oddHBand="0" w:evenHBand="0" w:firstRowFirstColumn="0" w:firstRowLastColumn="0" w:lastRowFirstColumn="0" w:lastRowLastColumn="0"/>
              <w:rPr>
                <w:szCs w:val="20"/>
              </w:rPr>
            </w:pPr>
            <w:r w:rsidRPr="00AA22F2">
              <w:rPr>
                <w:szCs w:val="20"/>
              </w:rPr>
              <w:t>Continue pendant les travaux.</w:t>
            </w:r>
          </w:p>
        </w:tc>
        <w:tc>
          <w:tcPr>
            <w:tcW w:w="0" w:type="auto"/>
            <w:hideMark/>
          </w:tcPr>
          <w:p w14:paraId="26DD062D" w14:textId="77777777" w:rsidR="008945C8" w:rsidRPr="00AA22F2" w:rsidRDefault="008945C8" w:rsidP="003148C7">
            <w:pPr>
              <w:cnfStyle w:val="000000000000" w:firstRow="0" w:lastRow="0" w:firstColumn="0" w:lastColumn="0" w:oddVBand="0" w:evenVBand="0" w:oddHBand="0" w:evenHBand="0" w:firstRowFirstColumn="0" w:firstRowLastColumn="0" w:lastRowFirstColumn="0" w:lastRowLastColumn="0"/>
              <w:rPr>
                <w:szCs w:val="20"/>
              </w:rPr>
            </w:pPr>
            <w:r w:rsidRPr="00AA22F2">
              <w:rPr>
                <w:szCs w:val="20"/>
              </w:rPr>
              <w:t>Continue</w:t>
            </w:r>
          </w:p>
        </w:tc>
      </w:tr>
      <w:tr w:rsidR="008945C8" w:rsidRPr="007D40B9" w14:paraId="68265731" w14:textId="77777777" w:rsidTr="005A7661">
        <w:tc>
          <w:tcPr>
            <w:cnfStyle w:val="001000000000" w:firstRow="0" w:lastRow="0" w:firstColumn="1" w:lastColumn="0" w:oddVBand="0" w:evenVBand="0" w:oddHBand="0" w:evenHBand="0" w:firstRowFirstColumn="0" w:firstRowLastColumn="0" w:lastRowFirstColumn="0" w:lastRowLastColumn="0"/>
            <w:tcW w:w="0" w:type="auto"/>
            <w:vMerge/>
            <w:hideMark/>
          </w:tcPr>
          <w:p w14:paraId="03DF7AF1" w14:textId="77777777" w:rsidR="008945C8" w:rsidRPr="00AA22F2" w:rsidRDefault="008945C8" w:rsidP="003148C7">
            <w:pPr>
              <w:rPr>
                <w:szCs w:val="20"/>
              </w:rPr>
            </w:pPr>
          </w:p>
        </w:tc>
        <w:tc>
          <w:tcPr>
            <w:tcW w:w="0" w:type="auto"/>
            <w:vMerge/>
            <w:hideMark/>
          </w:tcPr>
          <w:p w14:paraId="2F7C28DF" w14:textId="77777777" w:rsidR="008945C8" w:rsidRPr="00AA22F2" w:rsidRDefault="008945C8" w:rsidP="003148C7">
            <w:pPr>
              <w:cnfStyle w:val="000000000000" w:firstRow="0" w:lastRow="0" w:firstColumn="0" w:lastColumn="0" w:oddVBand="0" w:evenVBand="0" w:oddHBand="0" w:evenHBand="0" w:firstRowFirstColumn="0" w:firstRowLastColumn="0" w:lastRowFirstColumn="0" w:lastRowLastColumn="0"/>
              <w:rPr>
                <w:szCs w:val="20"/>
              </w:rPr>
            </w:pPr>
          </w:p>
        </w:tc>
        <w:tc>
          <w:tcPr>
            <w:tcW w:w="0" w:type="auto"/>
            <w:hideMark/>
          </w:tcPr>
          <w:p w14:paraId="4938CB21" w14:textId="77777777" w:rsidR="008945C8" w:rsidRPr="00AA22F2" w:rsidRDefault="008945C8" w:rsidP="003148C7">
            <w:pPr>
              <w:cnfStyle w:val="000000000000" w:firstRow="0" w:lastRow="0" w:firstColumn="0" w:lastColumn="0" w:oddVBand="0" w:evenVBand="0" w:oddHBand="0" w:evenHBand="0" w:firstRowFirstColumn="0" w:firstRowLastColumn="0" w:lastRowFirstColumn="0" w:lastRowLastColumn="0"/>
              <w:rPr>
                <w:szCs w:val="20"/>
              </w:rPr>
            </w:pPr>
            <w:r w:rsidRPr="00AA22F2">
              <w:rPr>
                <w:b/>
                <w:bCs/>
                <w:szCs w:val="20"/>
              </w:rPr>
              <w:t>Intensité</w:t>
            </w:r>
          </w:p>
        </w:tc>
        <w:tc>
          <w:tcPr>
            <w:tcW w:w="0" w:type="auto"/>
            <w:hideMark/>
          </w:tcPr>
          <w:p w14:paraId="22D57BD8" w14:textId="77777777" w:rsidR="008945C8" w:rsidRPr="00AA22F2" w:rsidRDefault="008945C8" w:rsidP="003148C7">
            <w:pPr>
              <w:cnfStyle w:val="000000000000" w:firstRow="0" w:lastRow="0" w:firstColumn="0" w:lastColumn="0" w:oddVBand="0" w:evenVBand="0" w:oddHBand="0" w:evenHBand="0" w:firstRowFirstColumn="0" w:firstRowLastColumn="0" w:lastRowFirstColumn="0" w:lastRowLastColumn="0"/>
              <w:rPr>
                <w:szCs w:val="20"/>
              </w:rPr>
            </w:pPr>
            <w:r w:rsidRPr="00AA22F2">
              <w:rPr>
                <w:szCs w:val="20"/>
              </w:rPr>
              <w:t>Moyenne (qualification progressive).</w:t>
            </w:r>
          </w:p>
        </w:tc>
        <w:tc>
          <w:tcPr>
            <w:tcW w:w="0" w:type="auto"/>
            <w:hideMark/>
          </w:tcPr>
          <w:p w14:paraId="72FCD28D" w14:textId="77777777" w:rsidR="008945C8" w:rsidRPr="00AA22F2" w:rsidRDefault="008945C8" w:rsidP="003148C7">
            <w:pPr>
              <w:cnfStyle w:val="000000000000" w:firstRow="0" w:lastRow="0" w:firstColumn="0" w:lastColumn="0" w:oddVBand="0" w:evenVBand="0" w:oddHBand="0" w:evenHBand="0" w:firstRowFirstColumn="0" w:firstRowLastColumn="0" w:lastRowFirstColumn="0" w:lastRowLastColumn="0"/>
              <w:rPr>
                <w:szCs w:val="20"/>
              </w:rPr>
            </w:pPr>
            <w:r w:rsidRPr="00AA22F2">
              <w:rPr>
                <w:szCs w:val="20"/>
              </w:rPr>
              <w:t>Moyenne</w:t>
            </w:r>
          </w:p>
        </w:tc>
      </w:tr>
      <w:tr w:rsidR="008945C8" w:rsidRPr="007D40B9" w14:paraId="0E95E44A" w14:textId="38890481" w:rsidTr="008945C8">
        <w:tc>
          <w:tcPr>
            <w:cnfStyle w:val="001000000000" w:firstRow="0" w:lastRow="0" w:firstColumn="1" w:lastColumn="0" w:oddVBand="0" w:evenVBand="0" w:oddHBand="0" w:evenHBand="0" w:firstRowFirstColumn="0" w:firstRowLastColumn="0" w:lastRowFirstColumn="0" w:lastRowLastColumn="0"/>
            <w:tcW w:w="849" w:type="dxa"/>
            <w:vMerge/>
          </w:tcPr>
          <w:p w14:paraId="5330B4D3" w14:textId="77777777" w:rsidR="008945C8" w:rsidRPr="00AA22F2" w:rsidRDefault="008945C8" w:rsidP="004637C7">
            <w:pPr>
              <w:spacing w:before="0" w:after="0"/>
              <w:rPr>
                <w:szCs w:val="20"/>
              </w:rPr>
            </w:pPr>
          </w:p>
        </w:tc>
        <w:tc>
          <w:tcPr>
            <w:tcW w:w="8211" w:type="dxa"/>
            <w:gridSpan w:val="4"/>
          </w:tcPr>
          <w:p w14:paraId="7B7E9237" w14:textId="77777777" w:rsidR="008945C8" w:rsidRPr="00AA22F2" w:rsidRDefault="008945C8" w:rsidP="00621025">
            <w:pPr>
              <w:spacing w:before="0" w:after="0"/>
              <w:cnfStyle w:val="000000000000" w:firstRow="0" w:lastRow="0" w:firstColumn="0" w:lastColumn="0" w:oddVBand="0" w:evenVBand="0" w:oddHBand="0" w:evenHBand="0" w:firstRowFirstColumn="0" w:firstRowLastColumn="0" w:lastRowFirstColumn="0" w:lastRowLastColumn="0"/>
              <w:rPr>
                <w:b/>
                <w:bCs/>
                <w:szCs w:val="20"/>
              </w:rPr>
            </w:pPr>
          </w:p>
        </w:tc>
      </w:tr>
      <w:tr w:rsidR="008945C8" w:rsidRPr="007D40B9" w14:paraId="09B8581D" w14:textId="77777777" w:rsidTr="005A7661">
        <w:tc>
          <w:tcPr>
            <w:cnfStyle w:val="001000000000" w:firstRow="0" w:lastRow="0" w:firstColumn="1" w:lastColumn="0" w:oddVBand="0" w:evenVBand="0" w:oddHBand="0" w:evenHBand="0" w:firstRowFirstColumn="0" w:firstRowLastColumn="0" w:lastRowFirstColumn="0" w:lastRowLastColumn="0"/>
            <w:tcW w:w="0" w:type="auto"/>
            <w:vMerge/>
          </w:tcPr>
          <w:p w14:paraId="47A64A47" w14:textId="77777777" w:rsidR="008945C8" w:rsidRPr="00AA22F2" w:rsidRDefault="008945C8" w:rsidP="00621025">
            <w:pPr>
              <w:rPr>
                <w:b w:val="0"/>
                <w:bCs w:val="0"/>
                <w:szCs w:val="20"/>
              </w:rPr>
            </w:pPr>
          </w:p>
        </w:tc>
        <w:tc>
          <w:tcPr>
            <w:tcW w:w="0" w:type="auto"/>
            <w:shd w:val="clear" w:color="auto" w:fill="8EAADB" w:themeFill="accent1" w:themeFillTint="99"/>
            <w:vAlign w:val="center"/>
          </w:tcPr>
          <w:p w14:paraId="517C7390" w14:textId="38DBA0C0" w:rsidR="008945C8" w:rsidRPr="00AA22F2" w:rsidRDefault="008945C8" w:rsidP="00621025">
            <w:pPr>
              <w:cnfStyle w:val="000000000000" w:firstRow="0" w:lastRow="0" w:firstColumn="0" w:lastColumn="0" w:oddVBand="0" w:evenVBand="0" w:oddHBand="0" w:evenHBand="0" w:firstRowFirstColumn="0" w:firstRowLastColumn="0" w:lastRowFirstColumn="0" w:lastRowLastColumn="0"/>
              <w:rPr>
                <w:szCs w:val="20"/>
              </w:rPr>
            </w:pPr>
            <w:r w:rsidRPr="007D40B9">
              <w:rPr>
                <w:rFonts w:asciiTheme="minorHAnsi" w:hAnsiTheme="minorHAnsi" w:cstheme="minorHAnsi"/>
                <w:b/>
                <w:bCs/>
                <w:szCs w:val="20"/>
              </w:rPr>
              <w:t>Intensité de l’impact</w:t>
            </w:r>
          </w:p>
        </w:tc>
        <w:tc>
          <w:tcPr>
            <w:tcW w:w="0" w:type="auto"/>
            <w:shd w:val="clear" w:color="auto" w:fill="8EAADB" w:themeFill="accent1" w:themeFillTint="99"/>
            <w:vAlign w:val="center"/>
          </w:tcPr>
          <w:p w14:paraId="2E6A3920" w14:textId="5CB2ACB5" w:rsidR="008945C8" w:rsidRPr="00AA22F2" w:rsidRDefault="008945C8" w:rsidP="00621025">
            <w:pPr>
              <w:cnfStyle w:val="000000000000" w:firstRow="0" w:lastRow="0" w:firstColumn="0" w:lastColumn="0" w:oddVBand="0" w:evenVBand="0" w:oddHBand="0" w:evenHBand="0" w:firstRowFirstColumn="0" w:firstRowLastColumn="0" w:lastRowFirstColumn="0" w:lastRowLastColumn="0"/>
              <w:rPr>
                <w:b/>
                <w:bCs/>
                <w:szCs w:val="20"/>
              </w:rPr>
            </w:pPr>
            <w:r w:rsidRPr="007D40B9">
              <w:rPr>
                <w:rFonts w:asciiTheme="minorHAnsi" w:hAnsiTheme="minorHAnsi" w:cstheme="minorHAnsi"/>
                <w:b/>
                <w:bCs/>
                <w:szCs w:val="20"/>
              </w:rPr>
              <w:t>Récepteurs</w:t>
            </w:r>
          </w:p>
        </w:tc>
        <w:tc>
          <w:tcPr>
            <w:tcW w:w="0" w:type="auto"/>
            <w:shd w:val="clear" w:color="auto" w:fill="8EAADB" w:themeFill="accent1" w:themeFillTint="99"/>
            <w:vAlign w:val="center"/>
          </w:tcPr>
          <w:p w14:paraId="3C1E43FC" w14:textId="4D98761E" w:rsidR="008945C8" w:rsidRPr="00AA22F2" w:rsidRDefault="008945C8" w:rsidP="00621025">
            <w:pPr>
              <w:cnfStyle w:val="000000000000" w:firstRow="0" w:lastRow="0" w:firstColumn="0" w:lastColumn="0" w:oddVBand="0" w:evenVBand="0" w:oddHBand="0" w:evenHBand="0" w:firstRowFirstColumn="0" w:firstRowLastColumn="0" w:lastRowFirstColumn="0" w:lastRowLastColumn="0"/>
              <w:rPr>
                <w:szCs w:val="20"/>
              </w:rPr>
            </w:pPr>
            <w:r w:rsidRPr="007D40B9">
              <w:rPr>
                <w:rFonts w:asciiTheme="minorHAnsi" w:hAnsiTheme="minorHAnsi" w:cstheme="minorHAnsi"/>
                <w:b/>
                <w:bCs/>
                <w:szCs w:val="20"/>
              </w:rPr>
              <w:t>Sensibilité</w:t>
            </w:r>
          </w:p>
        </w:tc>
        <w:tc>
          <w:tcPr>
            <w:tcW w:w="0" w:type="auto"/>
            <w:shd w:val="clear" w:color="auto" w:fill="8EAADB" w:themeFill="accent1" w:themeFillTint="99"/>
            <w:vAlign w:val="center"/>
          </w:tcPr>
          <w:p w14:paraId="7022FFB3" w14:textId="6CF838FC" w:rsidR="008945C8" w:rsidRPr="00AA22F2" w:rsidRDefault="008945C8" w:rsidP="00621025">
            <w:pPr>
              <w:cnfStyle w:val="000000000000" w:firstRow="0" w:lastRow="0" w:firstColumn="0" w:lastColumn="0" w:oddVBand="0" w:evenVBand="0" w:oddHBand="0" w:evenHBand="0" w:firstRowFirstColumn="0" w:firstRowLastColumn="0" w:lastRowFirstColumn="0" w:lastRowLastColumn="0"/>
              <w:rPr>
                <w:szCs w:val="20"/>
              </w:rPr>
            </w:pPr>
            <w:r w:rsidRPr="007D40B9">
              <w:rPr>
                <w:rFonts w:asciiTheme="minorHAnsi" w:hAnsiTheme="minorHAnsi" w:cstheme="minorHAnsi"/>
                <w:b/>
                <w:bCs/>
                <w:szCs w:val="20"/>
              </w:rPr>
              <w:t>Importance de l’impact</w:t>
            </w:r>
          </w:p>
        </w:tc>
      </w:tr>
      <w:tr w:rsidR="008945C8" w:rsidRPr="007D40B9" w14:paraId="23230E6D" w14:textId="77777777" w:rsidTr="003148C7">
        <w:tc>
          <w:tcPr>
            <w:cnfStyle w:val="001000000000" w:firstRow="0" w:lastRow="0" w:firstColumn="1" w:lastColumn="0" w:oddVBand="0" w:evenVBand="0" w:oddHBand="0" w:evenHBand="0" w:firstRowFirstColumn="0" w:firstRowLastColumn="0" w:lastRowFirstColumn="0" w:lastRowLastColumn="0"/>
            <w:tcW w:w="0" w:type="auto"/>
            <w:vMerge/>
          </w:tcPr>
          <w:p w14:paraId="3FFA2B3F" w14:textId="77777777" w:rsidR="008945C8" w:rsidRPr="00AA22F2" w:rsidRDefault="008945C8" w:rsidP="00621025">
            <w:pPr>
              <w:rPr>
                <w:b w:val="0"/>
                <w:bCs w:val="0"/>
                <w:szCs w:val="20"/>
              </w:rPr>
            </w:pPr>
          </w:p>
        </w:tc>
        <w:tc>
          <w:tcPr>
            <w:tcW w:w="0" w:type="auto"/>
          </w:tcPr>
          <w:p w14:paraId="7B59EE98" w14:textId="4540569B" w:rsidR="008945C8" w:rsidRPr="00AA22F2" w:rsidRDefault="008945C8" w:rsidP="00621025">
            <w:pPr>
              <w:cnfStyle w:val="000000000000" w:firstRow="0" w:lastRow="0" w:firstColumn="0" w:lastColumn="0" w:oddVBand="0" w:evenVBand="0" w:oddHBand="0" w:evenHBand="0" w:firstRowFirstColumn="0" w:firstRowLastColumn="0" w:lastRowFirstColumn="0" w:lastRowLastColumn="0"/>
              <w:rPr>
                <w:szCs w:val="20"/>
              </w:rPr>
            </w:pPr>
            <w:r w:rsidRPr="00AA22F2">
              <w:rPr>
                <w:szCs w:val="20"/>
              </w:rPr>
              <w:t>Moyenne</w:t>
            </w:r>
          </w:p>
        </w:tc>
        <w:tc>
          <w:tcPr>
            <w:tcW w:w="0" w:type="auto"/>
          </w:tcPr>
          <w:p w14:paraId="44232DD6" w14:textId="2E0D71A3" w:rsidR="008945C8" w:rsidRPr="00AA22F2" w:rsidRDefault="008945C8" w:rsidP="00621025">
            <w:pPr>
              <w:cnfStyle w:val="000000000000" w:firstRow="0" w:lastRow="0" w:firstColumn="0" w:lastColumn="0" w:oddVBand="0" w:evenVBand="0" w:oddHBand="0" w:evenHBand="0" w:firstRowFirstColumn="0" w:firstRowLastColumn="0" w:lastRowFirstColumn="0" w:lastRowLastColumn="0"/>
              <w:rPr>
                <w:b/>
                <w:bCs/>
                <w:szCs w:val="20"/>
              </w:rPr>
            </w:pPr>
            <w:r w:rsidRPr="00AA22F2">
              <w:rPr>
                <w:szCs w:val="20"/>
              </w:rPr>
              <w:t>Ouvriers, techniciens régionaux.</w:t>
            </w:r>
          </w:p>
        </w:tc>
        <w:tc>
          <w:tcPr>
            <w:tcW w:w="0" w:type="auto"/>
          </w:tcPr>
          <w:p w14:paraId="14A244E2" w14:textId="31851A1B" w:rsidR="008945C8" w:rsidRPr="00AA22F2" w:rsidRDefault="008945C8" w:rsidP="00621025">
            <w:pPr>
              <w:cnfStyle w:val="000000000000" w:firstRow="0" w:lastRow="0" w:firstColumn="0" w:lastColumn="0" w:oddVBand="0" w:evenVBand="0" w:oddHBand="0" w:evenHBand="0" w:firstRowFirstColumn="0" w:firstRowLastColumn="0" w:lastRowFirstColumn="0" w:lastRowLastColumn="0"/>
              <w:rPr>
                <w:szCs w:val="20"/>
              </w:rPr>
            </w:pPr>
            <w:r w:rsidRPr="004637C7">
              <w:rPr>
                <w:b/>
                <w:bCs/>
                <w:szCs w:val="20"/>
              </w:rPr>
              <w:t>Moyenne</w:t>
            </w:r>
            <w:r w:rsidRPr="00AA22F2">
              <w:rPr>
                <w:szCs w:val="20"/>
              </w:rPr>
              <w:t> : formation pratique non diplômante.</w:t>
            </w:r>
          </w:p>
        </w:tc>
        <w:tc>
          <w:tcPr>
            <w:tcW w:w="0" w:type="auto"/>
          </w:tcPr>
          <w:p w14:paraId="30395949" w14:textId="4DF23D39" w:rsidR="008945C8" w:rsidRPr="00AA22F2" w:rsidRDefault="008945C8" w:rsidP="00621025">
            <w:pPr>
              <w:cnfStyle w:val="000000000000" w:firstRow="0" w:lastRow="0" w:firstColumn="0" w:lastColumn="0" w:oddVBand="0" w:evenVBand="0" w:oddHBand="0" w:evenHBand="0" w:firstRowFirstColumn="0" w:firstRowLastColumn="0" w:lastRowFirstColumn="0" w:lastRowLastColumn="0"/>
              <w:rPr>
                <w:szCs w:val="20"/>
              </w:rPr>
            </w:pPr>
            <w:r w:rsidRPr="00AA22F2">
              <w:rPr>
                <w:szCs w:val="20"/>
              </w:rPr>
              <w:t>Modérée</w:t>
            </w:r>
          </w:p>
        </w:tc>
      </w:tr>
    </w:tbl>
    <w:p w14:paraId="488DB096" w14:textId="77777777" w:rsidR="00F6096E" w:rsidRPr="00F6096E" w:rsidRDefault="00F6096E" w:rsidP="0001633E">
      <w:pPr>
        <w:pStyle w:val="AltTitle2"/>
        <w:numPr>
          <w:ilvl w:val="0"/>
          <w:numId w:val="106"/>
        </w:numPr>
      </w:pPr>
      <w:r w:rsidRPr="00F6096E">
        <w:t>Inclusion sociale et participation économique des groupes vulnérables</w:t>
      </w:r>
    </w:p>
    <w:p w14:paraId="3246DF0B" w14:textId="511E735B" w:rsidR="00E81FE0" w:rsidRPr="004637C7" w:rsidRDefault="00E81FE0" w:rsidP="004637C7">
      <w:r w:rsidRPr="004637C7">
        <w:t xml:space="preserve">Le projet contribuera à favoriser l’inclusion socio-économique des groupes vulnérables de la commune de </w:t>
      </w:r>
      <w:r w:rsidR="00ED75AF">
        <w:t>Ménara</w:t>
      </w:r>
      <w:r w:rsidRPr="004637C7">
        <w:t>, en particulier les femmes, les jeunes et les ménages à faible revenu, souvent confrontés à des difficultés d’accès au marché du travail formel. Les activités associées à la phase de construction</w:t>
      </w:r>
      <w:r>
        <w:t xml:space="preserve">, </w:t>
      </w:r>
      <w:r w:rsidRPr="004637C7">
        <w:t>notamment la restauration, le nettoyage, la logistique, la manutention ou le soutien administratif</w:t>
      </w:r>
      <w:r>
        <w:t xml:space="preserve">, </w:t>
      </w:r>
      <w:r w:rsidRPr="004637C7">
        <w:t>offriront des opportunités d’emploi accessibles aux résidents locaux peu qualifiés.</w:t>
      </w:r>
    </w:p>
    <w:p w14:paraId="63E765B0" w14:textId="6BA3B8B8" w:rsidR="00E81FE0" w:rsidRPr="004637C7" w:rsidRDefault="00E81FE0" w:rsidP="004637C7">
      <w:r w:rsidRPr="004637C7">
        <w:t xml:space="preserve">La nature de cet impact est positive et indirecte, car elle découle de l’ouverture du marché du travail à des groupes traditionnellement marginalisés. Sa durée est limitée à la période de chantier, mais ses effets peuvent se prolonger à moyen terme à travers l’expérience professionnelle acquise. Sa fréquence est intermittente, dépendant des besoins en main-d’œuvre des sous-traitants, et son intensité est jugée </w:t>
      </w:r>
      <w:r w:rsidR="00CB1182">
        <w:t>moyenne</w:t>
      </w:r>
      <w:r w:rsidRPr="004637C7">
        <w:t>, proportionnelle à la capacité d’intégration locale des prestataires. L’étendue reste locale, concentrée sur les ménages situés dans le périmètre du projet et les zones périphériques.</w:t>
      </w:r>
    </w:p>
    <w:p w14:paraId="6CDD5D6D" w14:textId="77777777" w:rsidR="00E81FE0" w:rsidRPr="004637C7" w:rsidRDefault="00E81FE0" w:rsidP="004637C7">
      <w:r w:rsidRPr="004637C7">
        <w:t>Les récepteurs de cet impact sont donc les femmes au foyer, les jeunes non qualifiés, les ménages précaires et les travailleurs saisonniers, dont la sensibilité est élevée. Ces populations sont directement exposées à la précarité de l’emploi, au faible niveau d’instruction et à une mobilité sociale limitée. Dans ce contexte, les emplois temporaires offerts par le projet représentent une opportunité d’intégration économique et sociale, permettant d’améliorer les revenus, la confiance et l’autonomie des bénéficiaires.</w:t>
      </w:r>
    </w:p>
    <w:p w14:paraId="03561AE8" w14:textId="1A859292" w:rsidR="00E81FE0" w:rsidRPr="004637C7" w:rsidRDefault="00E81FE0" w:rsidP="004637C7">
      <w:r w:rsidRPr="004637C7">
        <w:t xml:space="preserve">L’importance globale de cet impact est évaluée comme majeure, car il contribue à la réduction des inégalités économiques et de genre, en cohérence avec les objectifs de la Stratégie Nationale de Développement Durable (SNDD 2017–2030) et </w:t>
      </w:r>
      <w:r w:rsidR="00CB1182">
        <w:t>la SO2 de la BAD</w:t>
      </w:r>
      <w:r w:rsidRPr="004637C7">
        <w:t xml:space="preserve">. </w:t>
      </w:r>
    </w:p>
    <w:tbl>
      <w:tblPr>
        <w:tblStyle w:val="TableauGrille1Clair-Accentuation111"/>
        <w:tblW w:w="0" w:type="auto"/>
        <w:tblLook w:val="04A0" w:firstRow="1" w:lastRow="0" w:firstColumn="1" w:lastColumn="0" w:noHBand="0" w:noVBand="1"/>
      </w:tblPr>
      <w:tblGrid>
        <w:gridCol w:w="792"/>
        <w:gridCol w:w="2668"/>
        <w:gridCol w:w="2064"/>
        <w:gridCol w:w="2021"/>
        <w:gridCol w:w="1515"/>
      </w:tblGrid>
      <w:tr w:rsidR="00D37877" w:rsidRPr="007D40B9" w14:paraId="5959E548" w14:textId="77777777" w:rsidTr="00D3739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bookmarkEnd w:id="472"/>
          <w:p w14:paraId="2E51C9F0" w14:textId="77777777" w:rsidR="00D3739D" w:rsidRPr="00AA22F2" w:rsidRDefault="00D3739D" w:rsidP="00D3739D">
            <w:pPr>
              <w:rPr>
                <w:szCs w:val="20"/>
              </w:rPr>
            </w:pPr>
            <w:r w:rsidRPr="00AA22F2">
              <w:rPr>
                <w:szCs w:val="20"/>
              </w:rPr>
              <w:lastRenderedPageBreak/>
              <w:t>Impact</w:t>
            </w:r>
          </w:p>
        </w:tc>
        <w:tc>
          <w:tcPr>
            <w:tcW w:w="0" w:type="auto"/>
            <w:hideMark/>
          </w:tcPr>
          <w:p w14:paraId="12BCBAF6" w14:textId="77777777" w:rsidR="00D3739D" w:rsidRPr="00AA22F2" w:rsidRDefault="00D3739D" w:rsidP="00D3739D">
            <w:pPr>
              <w:cnfStyle w:val="100000000000" w:firstRow="1" w:lastRow="0" w:firstColumn="0" w:lastColumn="0" w:oddVBand="0" w:evenVBand="0" w:oddHBand="0" w:evenHBand="0" w:firstRowFirstColumn="0" w:firstRowLastColumn="0" w:lastRowFirstColumn="0" w:lastRowLastColumn="0"/>
              <w:rPr>
                <w:szCs w:val="20"/>
              </w:rPr>
            </w:pPr>
            <w:r w:rsidRPr="00AA22F2">
              <w:rPr>
                <w:szCs w:val="20"/>
              </w:rPr>
              <w:t>Activités génératrices</w:t>
            </w:r>
          </w:p>
        </w:tc>
        <w:tc>
          <w:tcPr>
            <w:tcW w:w="0" w:type="auto"/>
            <w:hideMark/>
          </w:tcPr>
          <w:p w14:paraId="6D5D32F3" w14:textId="77777777" w:rsidR="00D3739D" w:rsidRPr="00AA22F2" w:rsidRDefault="00D3739D" w:rsidP="00D3739D">
            <w:pPr>
              <w:cnfStyle w:val="100000000000" w:firstRow="1" w:lastRow="0" w:firstColumn="0" w:lastColumn="0" w:oddVBand="0" w:evenVBand="0" w:oddHBand="0" w:evenHBand="0" w:firstRowFirstColumn="0" w:firstRowLastColumn="0" w:lastRowFirstColumn="0" w:lastRowLastColumn="0"/>
              <w:rPr>
                <w:szCs w:val="20"/>
              </w:rPr>
            </w:pPr>
            <w:r w:rsidRPr="00AA22F2">
              <w:rPr>
                <w:szCs w:val="20"/>
              </w:rPr>
              <w:t>Critère</w:t>
            </w:r>
          </w:p>
        </w:tc>
        <w:tc>
          <w:tcPr>
            <w:tcW w:w="0" w:type="auto"/>
            <w:hideMark/>
          </w:tcPr>
          <w:p w14:paraId="2B788E56" w14:textId="77777777" w:rsidR="00D3739D" w:rsidRPr="00AA22F2" w:rsidRDefault="00D3739D" w:rsidP="00D3739D">
            <w:pPr>
              <w:cnfStyle w:val="100000000000" w:firstRow="1" w:lastRow="0" w:firstColumn="0" w:lastColumn="0" w:oddVBand="0" w:evenVBand="0" w:oddHBand="0" w:evenHBand="0" w:firstRowFirstColumn="0" w:firstRowLastColumn="0" w:lastRowFirstColumn="0" w:lastRowLastColumn="0"/>
              <w:rPr>
                <w:szCs w:val="20"/>
              </w:rPr>
            </w:pPr>
            <w:r w:rsidRPr="00AA22F2">
              <w:rPr>
                <w:szCs w:val="20"/>
              </w:rPr>
              <w:t>Justification</w:t>
            </w:r>
          </w:p>
        </w:tc>
        <w:tc>
          <w:tcPr>
            <w:tcW w:w="0" w:type="auto"/>
            <w:hideMark/>
          </w:tcPr>
          <w:p w14:paraId="4AF94F09" w14:textId="77777777" w:rsidR="00D3739D" w:rsidRPr="00AA22F2" w:rsidRDefault="00D3739D" w:rsidP="00D3739D">
            <w:pPr>
              <w:cnfStyle w:val="100000000000" w:firstRow="1" w:lastRow="0" w:firstColumn="0" w:lastColumn="0" w:oddVBand="0" w:evenVBand="0" w:oddHBand="0" w:evenHBand="0" w:firstRowFirstColumn="0" w:firstRowLastColumn="0" w:lastRowFirstColumn="0" w:lastRowLastColumn="0"/>
              <w:rPr>
                <w:szCs w:val="20"/>
              </w:rPr>
            </w:pPr>
            <w:r w:rsidRPr="00AA22F2">
              <w:rPr>
                <w:szCs w:val="20"/>
              </w:rPr>
              <w:t>Niveau</w:t>
            </w:r>
          </w:p>
        </w:tc>
      </w:tr>
      <w:tr w:rsidR="00D37877" w:rsidRPr="007D40B9" w14:paraId="0338FF49" w14:textId="77777777" w:rsidTr="005A7661">
        <w:tc>
          <w:tcPr>
            <w:cnfStyle w:val="001000000000" w:firstRow="0" w:lastRow="0" w:firstColumn="1" w:lastColumn="0" w:oddVBand="0" w:evenVBand="0" w:oddHBand="0" w:evenHBand="0" w:firstRowFirstColumn="0" w:firstRowLastColumn="0" w:lastRowFirstColumn="0" w:lastRowLastColumn="0"/>
            <w:tcW w:w="0" w:type="auto"/>
            <w:vMerge w:val="restart"/>
            <w:textDirection w:val="btLr"/>
            <w:vAlign w:val="center"/>
            <w:hideMark/>
          </w:tcPr>
          <w:p w14:paraId="68BDF344" w14:textId="77777777" w:rsidR="00D37877" w:rsidRPr="00AA22F2" w:rsidRDefault="00D37877" w:rsidP="004637C7">
            <w:pPr>
              <w:ind w:left="113" w:right="113"/>
              <w:jc w:val="center"/>
              <w:rPr>
                <w:szCs w:val="20"/>
              </w:rPr>
            </w:pPr>
            <w:r w:rsidRPr="00AA22F2">
              <w:rPr>
                <w:szCs w:val="20"/>
              </w:rPr>
              <w:t>Inclusion sociale et participation économique des groupes vulnérables</w:t>
            </w:r>
          </w:p>
        </w:tc>
        <w:tc>
          <w:tcPr>
            <w:tcW w:w="0" w:type="auto"/>
            <w:vMerge w:val="restart"/>
            <w:hideMark/>
          </w:tcPr>
          <w:p w14:paraId="5A2A580F" w14:textId="77777777" w:rsidR="00D37877" w:rsidRPr="00AA22F2" w:rsidRDefault="00D37877" w:rsidP="00D3739D">
            <w:pPr>
              <w:cnfStyle w:val="000000000000" w:firstRow="0" w:lastRow="0" w:firstColumn="0" w:lastColumn="0" w:oddVBand="0" w:evenVBand="0" w:oddHBand="0" w:evenHBand="0" w:firstRowFirstColumn="0" w:firstRowLastColumn="0" w:lastRowFirstColumn="0" w:lastRowLastColumn="0"/>
              <w:rPr>
                <w:szCs w:val="20"/>
              </w:rPr>
            </w:pPr>
            <w:r w:rsidRPr="00AA22F2">
              <w:rPr>
                <w:szCs w:val="20"/>
              </w:rPr>
              <w:t>Recrutement local (femmes, jeunes, ménages précaires) dans les services de chantier</w:t>
            </w:r>
          </w:p>
        </w:tc>
        <w:tc>
          <w:tcPr>
            <w:tcW w:w="0" w:type="auto"/>
            <w:hideMark/>
          </w:tcPr>
          <w:p w14:paraId="258127EB" w14:textId="77777777" w:rsidR="00D37877" w:rsidRPr="00AA22F2" w:rsidRDefault="00D37877" w:rsidP="00D3739D">
            <w:pPr>
              <w:cnfStyle w:val="000000000000" w:firstRow="0" w:lastRow="0" w:firstColumn="0" w:lastColumn="0" w:oddVBand="0" w:evenVBand="0" w:oddHBand="0" w:evenHBand="0" w:firstRowFirstColumn="0" w:firstRowLastColumn="0" w:lastRowFirstColumn="0" w:lastRowLastColumn="0"/>
              <w:rPr>
                <w:szCs w:val="20"/>
              </w:rPr>
            </w:pPr>
            <w:r w:rsidRPr="00AA22F2">
              <w:rPr>
                <w:b/>
                <w:bCs/>
                <w:szCs w:val="20"/>
              </w:rPr>
              <w:t>Nature</w:t>
            </w:r>
          </w:p>
        </w:tc>
        <w:tc>
          <w:tcPr>
            <w:tcW w:w="0" w:type="auto"/>
            <w:gridSpan w:val="2"/>
            <w:hideMark/>
          </w:tcPr>
          <w:p w14:paraId="0135ACF6" w14:textId="69D60D55" w:rsidR="00D37877" w:rsidRPr="00AA22F2" w:rsidRDefault="00D37877" w:rsidP="00D3739D">
            <w:pPr>
              <w:cnfStyle w:val="000000000000" w:firstRow="0" w:lastRow="0" w:firstColumn="0" w:lastColumn="0" w:oddVBand="0" w:evenVBand="0" w:oddHBand="0" w:evenHBand="0" w:firstRowFirstColumn="0" w:firstRowLastColumn="0" w:lastRowFirstColumn="0" w:lastRowLastColumn="0"/>
              <w:rPr>
                <w:szCs w:val="20"/>
              </w:rPr>
            </w:pPr>
            <w:r w:rsidRPr="00AA22F2">
              <w:rPr>
                <w:szCs w:val="20"/>
              </w:rPr>
              <w:t>Positif et indirect</w:t>
            </w:r>
          </w:p>
        </w:tc>
      </w:tr>
      <w:tr w:rsidR="00D37877" w:rsidRPr="007D40B9" w14:paraId="63F40A60" w14:textId="77777777" w:rsidTr="005A7661">
        <w:tc>
          <w:tcPr>
            <w:cnfStyle w:val="001000000000" w:firstRow="0" w:lastRow="0" w:firstColumn="1" w:lastColumn="0" w:oddVBand="0" w:evenVBand="0" w:oddHBand="0" w:evenHBand="0" w:firstRowFirstColumn="0" w:firstRowLastColumn="0" w:lastRowFirstColumn="0" w:lastRowLastColumn="0"/>
            <w:tcW w:w="0" w:type="auto"/>
            <w:vMerge/>
            <w:hideMark/>
          </w:tcPr>
          <w:p w14:paraId="3CA6438D" w14:textId="77777777" w:rsidR="00D37877" w:rsidRPr="00AA22F2" w:rsidRDefault="00D37877" w:rsidP="00D3739D">
            <w:pPr>
              <w:rPr>
                <w:szCs w:val="20"/>
              </w:rPr>
            </w:pPr>
          </w:p>
        </w:tc>
        <w:tc>
          <w:tcPr>
            <w:tcW w:w="0" w:type="auto"/>
            <w:vMerge/>
            <w:hideMark/>
          </w:tcPr>
          <w:p w14:paraId="517A47C2" w14:textId="77777777" w:rsidR="00D37877" w:rsidRPr="00AA22F2" w:rsidRDefault="00D37877" w:rsidP="00D3739D">
            <w:pPr>
              <w:cnfStyle w:val="000000000000" w:firstRow="0" w:lastRow="0" w:firstColumn="0" w:lastColumn="0" w:oddVBand="0" w:evenVBand="0" w:oddHBand="0" w:evenHBand="0" w:firstRowFirstColumn="0" w:firstRowLastColumn="0" w:lastRowFirstColumn="0" w:lastRowLastColumn="0"/>
              <w:rPr>
                <w:szCs w:val="20"/>
              </w:rPr>
            </w:pPr>
          </w:p>
        </w:tc>
        <w:tc>
          <w:tcPr>
            <w:tcW w:w="0" w:type="auto"/>
            <w:hideMark/>
          </w:tcPr>
          <w:p w14:paraId="5B1FAC4D" w14:textId="77777777" w:rsidR="00D37877" w:rsidRPr="00AA22F2" w:rsidRDefault="00D37877" w:rsidP="00D3739D">
            <w:pPr>
              <w:cnfStyle w:val="000000000000" w:firstRow="0" w:lastRow="0" w:firstColumn="0" w:lastColumn="0" w:oddVBand="0" w:evenVBand="0" w:oddHBand="0" w:evenHBand="0" w:firstRowFirstColumn="0" w:firstRowLastColumn="0" w:lastRowFirstColumn="0" w:lastRowLastColumn="0"/>
              <w:rPr>
                <w:szCs w:val="20"/>
              </w:rPr>
            </w:pPr>
            <w:r w:rsidRPr="00AA22F2">
              <w:rPr>
                <w:b/>
                <w:bCs/>
                <w:szCs w:val="20"/>
              </w:rPr>
              <w:t>Étendue</w:t>
            </w:r>
          </w:p>
        </w:tc>
        <w:tc>
          <w:tcPr>
            <w:tcW w:w="0" w:type="auto"/>
            <w:hideMark/>
          </w:tcPr>
          <w:p w14:paraId="6921E31B" w14:textId="7DFC0514" w:rsidR="00D37877" w:rsidRPr="00AA22F2" w:rsidRDefault="00D37877" w:rsidP="00D3739D">
            <w:pPr>
              <w:cnfStyle w:val="000000000000" w:firstRow="0" w:lastRow="0" w:firstColumn="0" w:lastColumn="0" w:oddVBand="0" w:evenVBand="0" w:oddHBand="0" w:evenHBand="0" w:firstRowFirstColumn="0" w:firstRowLastColumn="0" w:lastRowFirstColumn="0" w:lastRowLastColumn="0"/>
              <w:rPr>
                <w:szCs w:val="20"/>
              </w:rPr>
            </w:pPr>
            <w:r w:rsidRPr="00AA22F2">
              <w:rPr>
                <w:szCs w:val="20"/>
              </w:rPr>
              <w:t xml:space="preserve">Commune de </w:t>
            </w:r>
            <w:r w:rsidR="005472C0">
              <w:rPr>
                <w:szCs w:val="20"/>
              </w:rPr>
              <w:t>Ménara</w:t>
            </w:r>
            <w:r w:rsidRPr="00AA22F2">
              <w:rPr>
                <w:szCs w:val="20"/>
              </w:rPr>
              <w:t xml:space="preserve"> et préfecture </w:t>
            </w:r>
            <w:r w:rsidR="005472C0">
              <w:rPr>
                <w:szCs w:val="20"/>
              </w:rPr>
              <w:t>de Marrakech</w:t>
            </w:r>
          </w:p>
        </w:tc>
        <w:tc>
          <w:tcPr>
            <w:tcW w:w="0" w:type="auto"/>
            <w:hideMark/>
          </w:tcPr>
          <w:p w14:paraId="54127A8B" w14:textId="6D5ADDC0" w:rsidR="00D37877" w:rsidRPr="00AA22F2" w:rsidRDefault="00D37877" w:rsidP="00D3739D">
            <w:pPr>
              <w:cnfStyle w:val="000000000000" w:firstRow="0" w:lastRow="0" w:firstColumn="0" w:lastColumn="0" w:oddVBand="0" w:evenVBand="0" w:oddHBand="0" w:evenHBand="0" w:firstRowFirstColumn="0" w:firstRowLastColumn="0" w:lastRowFirstColumn="0" w:lastRowLastColumn="0"/>
              <w:rPr>
                <w:szCs w:val="20"/>
              </w:rPr>
            </w:pPr>
            <w:r w:rsidRPr="00AA22F2">
              <w:rPr>
                <w:szCs w:val="20"/>
              </w:rPr>
              <w:t>Locale à régionale</w:t>
            </w:r>
          </w:p>
        </w:tc>
      </w:tr>
      <w:tr w:rsidR="00D37877" w:rsidRPr="007D40B9" w14:paraId="507A6536" w14:textId="77777777" w:rsidTr="005A7661">
        <w:tc>
          <w:tcPr>
            <w:cnfStyle w:val="001000000000" w:firstRow="0" w:lastRow="0" w:firstColumn="1" w:lastColumn="0" w:oddVBand="0" w:evenVBand="0" w:oddHBand="0" w:evenHBand="0" w:firstRowFirstColumn="0" w:firstRowLastColumn="0" w:lastRowFirstColumn="0" w:lastRowLastColumn="0"/>
            <w:tcW w:w="0" w:type="auto"/>
            <w:vMerge/>
            <w:hideMark/>
          </w:tcPr>
          <w:p w14:paraId="243EE396" w14:textId="77777777" w:rsidR="00D37877" w:rsidRPr="00AA22F2" w:rsidRDefault="00D37877" w:rsidP="00D3739D">
            <w:pPr>
              <w:rPr>
                <w:szCs w:val="20"/>
              </w:rPr>
            </w:pPr>
          </w:p>
        </w:tc>
        <w:tc>
          <w:tcPr>
            <w:tcW w:w="0" w:type="auto"/>
            <w:vMerge/>
            <w:hideMark/>
          </w:tcPr>
          <w:p w14:paraId="1BADBBC0" w14:textId="77777777" w:rsidR="00D37877" w:rsidRPr="00AA22F2" w:rsidRDefault="00D37877" w:rsidP="00D3739D">
            <w:pPr>
              <w:cnfStyle w:val="000000000000" w:firstRow="0" w:lastRow="0" w:firstColumn="0" w:lastColumn="0" w:oddVBand="0" w:evenVBand="0" w:oddHBand="0" w:evenHBand="0" w:firstRowFirstColumn="0" w:firstRowLastColumn="0" w:lastRowFirstColumn="0" w:lastRowLastColumn="0"/>
              <w:rPr>
                <w:szCs w:val="20"/>
              </w:rPr>
            </w:pPr>
          </w:p>
        </w:tc>
        <w:tc>
          <w:tcPr>
            <w:tcW w:w="0" w:type="auto"/>
            <w:hideMark/>
          </w:tcPr>
          <w:p w14:paraId="73086873" w14:textId="77777777" w:rsidR="00D37877" w:rsidRPr="00AA22F2" w:rsidRDefault="00D37877" w:rsidP="00D3739D">
            <w:pPr>
              <w:cnfStyle w:val="000000000000" w:firstRow="0" w:lastRow="0" w:firstColumn="0" w:lastColumn="0" w:oddVBand="0" w:evenVBand="0" w:oddHBand="0" w:evenHBand="0" w:firstRowFirstColumn="0" w:firstRowLastColumn="0" w:lastRowFirstColumn="0" w:lastRowLastColumn="0"/>
              <w:rPr>
                <w:szCs w:val="20"/>
              </w:rPr>
            </w:pPr>
            <w:r w:rsidRPr="00AA22F2">
              <w:rPr>
                <w:b/>
                <w:bCs/>
                <w:szCs w:val="20"/>
              </w:rPr>
              <w:t>Durée</w:t>
            </w:r>
          </w:p>
        </w:tc>
        <w:tc>
          <w:tcPr>
            <w:tcW w:w="0" w:type="auto"/>
            <w:hideMark/>
          </w:tcPr>
          <w:p w14:paraId="249BEA5B" w14:textId="77777777" w:rsidR="00D37877" w:rsidRPr="00AA22F2" w:rsidRDefault="00D37877" w:rsidP="00D3739D">
            <w:pPr>
              <w:cnfStyle w:val="000000000000" w:firstRow="0" w:lastRow="0" w:firstColumn="0" w:lastColumn="0" w:oddVBand="0" w:evenVBand="0" w:oddHBand="0" w:evenHBand="0" w:firstRowFirstColumn="0" w:firstRowLastColumn="0" w:lastRowFirstColumn="0" w:lastRowLastColumn="0"/>
              <w:rPr>
                <w:szCs w:val="20"/>
              </w:rPr>
            </w:pPr>
            <w:r w:rsidRPr="00AA22F2">
              <w:rPr>
                <w:szCs w:val="20"/>
              </w:rPr>
              <w:t>Limitée à la phase de travaux, effets prolongés.</w:t>
            </w:r>
          </w:p>
        </w:tc>
        <w:tc>
          <w:tcPr>
            <w:tcW w:w="0" w:type="auto"/>
            <w:hideMark/>
          </w:tcPr>
          <w:p w14:paraId="0C7A722A" w14:textId="77777777" w:rsidR="00D37877" w:rsidRPr="00AA22F2" w:rsidRDefault="00D37877" w:rsidP="00D3739D">
            <w:pPr>
              <w:cnfStyle w:val="000000000000" w:firstRow="0" w:lastRow="0" w:firstColumn="0" w:lastColumn="0" w:oddVBand="0" w:evenVBand="0" w:oddHBand="0" w:evenHBand="0" w:firstRowFirstColumn="0" w:firstRowLastColumn="0" w:lastRowFirstColumn="0" w:lastRowLastColumn="0"/>
              <w:rPr>
                <w:szCs w:val="20"/>
              </w:rPr>
            </w:pPr>
            <w:r w:rsidRPr="00AA22F2">
              <w:rPr>
                <w:szCs w:val="20"/>
              </w:rPr>
              <w:t>Courte à moyenne</w:t>
            </w:r>
          </w:p>
        </w:tc>
      </w:tr>
      <w:tr w:rsidR="00D37877" w:rsidRPr="007D40B9" w14:paraId="5C2DB7ED" w14:textId="77777777" w:rsidTr="005A7661">
        <w:tc>
          <w:tcPr>
            <w:cnfStyle w:val="001000000000" w:firstRow="0" w:lastRow="0" w:firstColumn="1" w:lastColumn="0" w:oddVBand="0" w:evenVBand="0" w:oddHBand="0" w:evenHBand="0" w:firstRowFirstColumn="0" w:firstRowLastColumn="0" w:lastRowFirstColumn="0" w:lastRowLastColumn="0"/>
            <w:tcW w:w="0" w:type="auto"/>
            <w:vMerge/>
            <w:hideMark/>
          </w:tcPr>
          <w:p w14:paraId="0289AC0D" w14:textId="77777777" w:rsidR="00D37877" w:rsidRPr="00AA22F2" w:rsidRDefault="00D37877" w:rsidP="00D3739D">
            <w:pPr>
              <w:rPr>
                <w:szCs w:val="20"/>
              </w:rPr>
            </w:pPr>
          </w:p>
        </w:tc>
        <w:tc>
          <w:tcPr>
            <w:tcW w:w="0" w:type="auto"/>
            <w:vMerge/>
            <w:hideMark/>
          </w:tcPr>
          <w:p w14:paraId="769A239E" w14:textId="77777777" w:rsidR="00D37877" w:rsidRPr="00AA22F2" w:rsidRDefault="00D37877" w:rsidP="00D3739D">
            <w:pPr>
              <w:cnfStyle w:val="000000000000" w:firstRow="0" w:lastRow="0" w:firstColumn="0" w:lastColumn="0" w:oddVBand="0" w:evenVBand="0" w:oddHBand="0" w:evenHBand="0" w:firstRowFirstColumn="0" w:firstRowLastColumn="0" w:lastRowFirstColumn="0" w:lastRowLastColumn="0"/>
              <w:rPr>
                <w:szCs w:val="20"/>
              </w:rPr>
            </w:pPr>
          </w:p>
        </w:tc>
        <w:tc>
          <w:tcPr>
            <w:tcW w:w="0" w:type="auto"/>
            <w:hideMark/>
          </w:tcPr>
          <w:p w14:paraId="12556DBF" w14:textId="77777777" w:rsidR="00D37877" w:rsidRPr="00AA22F2" w:rsidRDefault="00D37877" w:rsidP="00D3739D">
            <w:pPr>
              <w:cnfStyle w:val="000000000000" w:firstRow="0" w:lastRow="0" w:firstColumn="0" w:lastColumn="0" w:oddVBand="0" w:evenVBand="0" w:oddHBand="0" w:evenHBand="0" w:firstRowFirstColumn="0" w:firstRowLastColumn="0" w:lastRowFirstColumn="0" w:lastRowLastColumn="0"/>
              <w:rPr>
                <w:szCs w:val="20"/>
              </w:rPr>
            </w:pPr>
            <w:r w:rsidRPr="00AA22F2">
              <w:rPr>
                <w:b/>
                <w:bCs/>
                <w:szCs w:val="20"/>
              </w:rPr>
              <w:t>Fréquence</w:t>
            </w:r>
          </w:p>
        </w:tc>
        <w:tc>
          <w:tcPr>
            <w:tcW w:w="0" w:type="auto"/>
            <w:hideMark/>
          </w:tcPr>
          <w:p w14:paraId="726000D7" w14:textId="77777777" w:rsidR="00D37877" w:rsidRPr="00AA22F2" w:rsidRDefault="00D37877" w:rsidP="00D3739D">
            <w:pPr>
              <w:cnfStyle w:val="000000000000" w:firstRow="0" w:lastRow="0" w:firstColumn="0" w:lastColumn="0" w:oddVBand="0" w:evenVBand="0" w:oddHBand="0" w:evenHBand="0" w:firstRowFirstColumn="0" w:firstRowLastColumn="0" w:lastRowFirstColumn="0" w:lastRowLastColumn="0"/>
              <w:rPr>
                <w:szCs w:val="20"/>
              </w:rPr>
            </w:pPr>
            <w:r w:rsidRPr="00AA22F2">
              <w:rPr>
                <w:szCs w:val="20"/>
              </w:rPr>
              <w:t>Intermittente selon les besoins des sous-traitants.</w:t>
            </w:r>
          </w:p>
        </w:tc>
        <w:tc>
          <w:tcPr>
            <w:tcW w:w="0" w:type="auto"/>
            <w:hideMark/>
          </w:tcPr>
          <w:p w14:paraId="680D2ABE" w14:textId="77777777" w:rsidR="00D37877" w:rsidRPr="00AA22F2" w:rsidRDefault="00D37877" w:rsidP="00D3739D">
            <w:pPr>
              <w:cnfStyle w:val="000000000000" w:firstRow="0" w:lastRow="0" w:firstColumn="0" w:lastColumn="0" w:oddVBand="0" w:evenVBand="0" w:oddHBand="0" w:evenHBand="0" w:firstRowFirstColumn="0" w:firstRowLastColumn="0" w:lastRowFirstColumn="0" w:lastRowLastColumn="0"/>
              <w:rPr>
                <w:szCs w:val="20"/>
              </w:rPr>
            </w:pPr>
            <w:r w:rsidRPr="00AA22F2">
              <w:rPr>
                <w:szCs w:val="20"/>
              </w:rPr>
              <w:t>Intermittente</w:t>
            </w:r>
          </w:p>
        </w:tc>
      </w:tr>
      <w:tr w:rsidR="00D37877" w:rsidRPr="007D40B9" w14:paraId="29FA6A1D" w14:textId="77777777" w:rsidTr="005A7661">
        <w:tc>
          <w:tcPr>
            <w:cnfStyle w:val="001000000000" w:firstRow="0" w:lastRow="0" w:firstColumn="1" w:lastColumn="0" w:oddVBand="0" w:evenVBand="0" w:oddHBand="0" w:evenHBand="0" w:firstRowFirstColumn="0" w:firstRowLastColumn="0" w:lastRowFirstColumn="0" w:lastRowLastColumn="0"/>
            <w:tcW w:w="0" w:type="auto"/>
            <w:vMerge/>
            <w:hideMark/>
          </w:tcPr>
          <w:p w14:paraId="60F5F76E" w14:textId="77777777" w:rsidR="00D37877" w:rsidRPr="00AA22F2" w:rsidRDefault="00D37877" w:rsidP="00D3739D">
            <w:pPr>
              <w:rPr>
                <w:szCs w:val="20"/>
              </w:rPr>
            </w:pPr>
          </w:p>
        </w:tc>
        <w:tc>
          <w:tcPr>
            <w:tcW w:w="0" w:type="auto"/>
            <w:vMerge/>
            <w:hideMark/>
          </w:tcPr>
          <w:p w14:paraId="57222C39" w14:textId="77777777" w:rsidR="00D37877" w:rsidRPr="00AA22F2" w:rsidRDefault="00D37877" w:rsidP="00D3739D">
            <w:pPr>
              <w:cnfStyle w:val="000000000000" w:firstRow="0" w:lastRow="0" w:firstColumn="0" w:lastColumn="0" w:oddVBand="0" w:evenVBand="0" w:oddHBand="0" w:evenHBand="0" w:firstRowFirstColumn="0" w:firstRowLastColumn="0" w:lastRowFirstColumn="0" w:lastRowLastColumn="0"/>
              <w:rPr>
                <w:szCs w:val="20"/>
              </w:rPr>
            </w:pPr>
          </w:p>
        </w:tc>
        <w:tc>
          <w:tcPr>
            <w:tcW w:w="0" w:type="auto"/>
            <w:hideMark/>
          </w:tcPr>
          <w:p w14:paraId="55076ACF" w14:textId="77777777" w:rsidR="00D37877" w:rsidRPr="00AA22F2" w:rsidRDefault="00D37877" w:rsidP="00D3739D">
            <w:pPr>
              <w:cnfStyle w:val="000000000000" w:firstRow="0" w:lastRow="0" w:firstColumn="0" w:lastColumn="0" w:oddVBand="0" w:evenVBand="0" w:oddHBand="0" w:evenHBand="0" w:firstRowFirstColumn="0" w:firstRowLastColumn="0" w:lastRowFirstColumn="0" w:lastRowLastColumn="0"/>
              <w:rPr>
                <w:szCs w:val="20"/>
              </w:rPr>
            </w:pPr>
            <w:r w:rsidRPr="00AA22F2">
              <w:rPr>
                <w:b/>
                <w:bCs/>
                <w:szCs w:val="20"/>
              </w:rPr>
              <w:t>Intensité</w:t>
            </w:r>
          </w:p>
        </w:tc>
        <w:tc>
          <w:tcPr>
            <w:tcW w:w="0" w:type="auto"/>
            <w:hideMark/>
          </w:tcPr>
          <w:p w14:paraId="18997AD1" w14:textId="48B90343" w:rsidR="00D37877" w:rsidRPr="00AA22F2" w:rsidRDefault="00D37877" w:rsidP="00D3739D">
            <w:pPr>
              <w:cnfStyle w:val="000000000000" w:firstRow="0" w:lastRow="0" w:firstColumn="0" w:lastColumn="0" w:oddVBand="0" w:evenVBand="0" w:oddHBand="0" w:evenHBand="0" w:firstRowFirstColumn="0" w:firstRowLastColumn="0" w:lastRowFirstColumn="0" w:lastRowLastColumn="0"/>
              <w:rPr>
                <w:szCs w:val="20"/>
              </w:rPr>
            </w:pPr>
            <w:r w:rsidRPr="004637C7">
              <w:rPr>
                <w:b/>
                <w:bCs/>
                <w:szCs w:val="20"/>
              </w:rPr>
              <w:t>Moyenne</w:t>
            </w:r>
            <w:r w:rsidR="00250024" w:rsidRPr="00AA22F2">
              <w:rPr>
                <w:szCs w:val="20"/>
              </w:rPr>
              <w:t xml:space="preserve"> : s</w:t>
            </w:r>
            <w:r w:rsidRPr="00AA22F2">
              <w:rPr>
                <w:szCs w:val="20"/>
              </w:rPr>
              <w:t>elon capacité d’intégration locale.</w:t>
            </w:r>
          </w:p>
        </w:tc>
        <w:tc>
          <w:tcPr>
            <w:tcW w:w="0" w:type="auto"/>
            <w:hideMark/>
          </w:tcPr>
          <w:p w14:paraId="530961D1" w14:textId="77777777" w:rsidR="00D37877" w:rsidRPr="00AA22F2" w:rsidRDefault="00D37877" w:rsidP="00D3739D">
            <w:pPr>
              <w:cnfStyle w:val="000000000000" w:firstRow="0" w:lastRow="0" w:firstColumn="0" w:lastColumn="0" w:oddVBand="0" w:evenVBand="0" w:oddHBand="0" w:evenHBand="0" w:firstRowFirstColumn="0" w:firstRowLastColumn="0" w:lastRowFirstColumn="0" w:lastRowLastColumn="0"/>
              <w:rPr>
                <w:szCs w:val="20"/>
              </w:rPr>
            </w:pPr>
            <w:r w:rsidRPr="00AA22F2">
              <w:rPr>
                <w:szCs w:val="20"/>
              </w:rPr>
              <w:t>Moyenne</w:t>
            </w:r>
          </w:p>
        </w:tc>
      </w:tr>
      <w:tr w:rsidR="00D37877" w:rsidRPr="007D40B9" w14:paraId="7327215D" w14:textId="77777777" w:rsidTr="005A7661">
        <w:tc>
          <w:tcPr>
            <w:cnfStyle w:val="001000000000" w:firstRow="0" w:lastRow="0" w:firstColumn="1" w:lastColumn="0" w:oddVBand="0" w:evenVBand="0" w:oddHBand="0" w:evenHBand="0" w:firstRowFirstColumn="0" w:firstRowLastColumn="0" w:lastRowFirstColumn="0" w:lastRowLastColumn="0"/>
            <w:tcW w:w="0" w:type="auto"/>
            <w:vMerge/>
          </w:tcPr>
          <w:p w14:paraId="69D71B56" w14:textId="77777777" w:rsidR="00D37877" w:rsidRPr="00AA22F2" w:rsidRDefault="00D37877" w:rsidP="00D3739D">
            <w:pPr>
              <w:rPr>
                <w:b w:val="0"/>
                <w:bCs w:val="0"/>
                <w:szCs w:val="20"/>
              </w:rPr>
            </w:pPr>
          </w:p>
        </w:tc>
        <w:tc>
          <w:tcPr>
            <w:tcW w:w="0" w:type="auto"/>
            <w:gridSpan w:val="4"/>
          </w:tcPr>
          <w:p w14:paraId="5E7CC1E4" w14:textId="77777777" w:rsidR="00D37877" w:rsidRPr="00AA22F2" w:rsidRDefault="00D37877" w:rsidP="004637C7">
            <w:pPr>
              <w:spacing w:before="0" w:after="0"/>
              <w:cnfStyle w:val="000000000000" w:firstRow="0" w:lastRow="0" w:firstColumn="0" w:lastColumn="0" w:oddVBand="0" w:evenVBand="0" w:oddHBand="0" w:evenHBand="0" w:firstRowFirstColumn="0" w:firstRowLastColumn="0" w:lastRowFirstColumn="0" w:lastRowLastColumn="0"/>
              <w:rPr>
                <w:szCs w:val="20"/>
              </w:rPr>
            </w:pPr>
          </w:p>
        </w:tc>
      </w:tr>
      <w:tr w:rsidR="00D37877" w:rsidRPr="007D40B9" w14:paraId="11022985" w14:textId="77777777" w:rsidTr="005A7661">
        <w:tc>
          <w:tcPr>
            <w:cnfStyle w:val="001000000000" w:firstRow="0" w:lastRow="0" w:firstColumn="1" w:lastColumn="0" w:oddVBand="0" w:evenVBand="0" w:oddHBand="0" w:evenHBand="0" w:firstRowFirstColumn="0" w:firstRowLastColumn="0" w:lastRowFirstColumn="0" w:lastRowLastColumn="0"/>
            <w:tcW w:w="0" w:type="auto"/>
            <w:vMerge/>
          </w:tcPr>
          <w:p w14:paraId="6C16FAD4" w14:textId="77777777" w:rsidR="00D37877" w:rsidRPr="00AA22F2" w:rsidRDefault="00D37877" w:rsidP="00D37877">
            <w:pPr>
              <w:rPr>
                <w:b w:val="0"/>
                <w:bCs w:val="0"/>
                <w:szCs w:val="20"/>
              </w:rPr>
            </w:pPr>
          </w:p>
        </w:tc>
        <w:tc>
          <w:tcPr>
            <w:tcW w:w="0" w:type="auto"/>
            <w:shd w:val="clear" w:color="auto" w:fill="8EAADB" w:themeFill="accent1" w:themeFillTint="99"/>
            <w:vAlign w:val="center"/>
          </w:tcPr>
          <w:p w14:paraId="48A1828A" w14:textId="053EE273" w:rsidR="00D37877" w:rsidRPr="00AA22F2" w:rsidRDefault="00D37877" w:rsidP="00D37877">
            <w:pPr>
              <w:cnfStyle w:val="000000000000" w:firstRow="0" w:lastRow="0" w:firstColumn="0" w:lastColumn="0" w:oddVBand="0" w:evenVBand="0" w:oddHBand="0" w:evenHBand="0" w:firstRowFirstColumn="0" w:firstRowLastColumn="0" w:lastRowFirstColumn="0" w:lastRowLastColumn="0"/>
              <w:rPr>
                <w:szCs w:val="20"/>
              </w:rPr>
            </w:pPr>
            <w:r w:rsidRPr="007D40B9">
              <w:rPr>
                <w:rFonts w:asciiTheme="minorHAnsi" w:hAnsiTheme="minorHAnsi" w:cstheme="minorHAnsi"/>
                <w:b/>
                <w:bCs/>
                <w:szCs w:val="20"/>
              </w:rPr>
              <w:t>Intensité de l’impact</w:t>
            </w:r>
          </w:p>
        </w:tc>
        <w:tc>
          <w:tcPr>
            <w:tcW w:w="0" w:type="auto"/>
            <w:shd w:val="clear" w:color="auto" w:fill="8EAADB" w:themeFill="accent1" w:themeFillTint="99"/>
            <w:vAlign w:val="center"/>
          </w:tcPr>
          <w:p w14:paraId="7719B4C8" w14:textId="58820EA6" w:rsidR="00D37877" w:rsidRPr="00AA22F2" w:rsidRDefault="00D37877" w:rsidP="00D37877">
            <w:pPr>
              <w:cnfStyle w:val="000000000000" w:firstRow="0" w:lastRow="0" w:firstColumn="0" w:lastColumn="0" w:oddVBand="0" w:evenVBand="0" w:oddHBand="0" w:evenHBand="0" w:firstRowFirstColumn="0" w:firstRowLastColumn="0" w:lastRowFirstColumn="0" w:lastRowLastColumn="0"/>
              <w:rPr>
                <w:b/>
                <w:bCs/>
                <w:szCs w:val="20"/>
              </w:rPr>
            </w:pPr>
            <w:r w:rsidRPr="007D40B9">
              <w:rPr>
                <w:rFonts w:asciiTheme="minorHAnsi" w:hAnsiTheme="minorHAnsi" w:cstheme="minorHAnsi"/>
                <w:b/>
                <w:bCs/>
                <w:szCs w:val="20"/>
              </w:rPr>
              <w:t>Récepteurs</w:t>
            </w:r>
          </w:p>
        </w:tc>
        <w:tc>
          <w:tcPr>
            <w:tcW w:w="0" w:type="auto"/>
            <w:shd w:val="clear" w:color="auto" w:fill="8EAADB" w:themeFill="accent1" w:themeFillTint="99"/>
            <w:vAlign w:val="center"/>
          </w:tcPr>
          <w:p w14:paraId="303955E4" w14:textId="1078D679" w:rsidR="00D37877" w:rsidRPr="00AA22F2" w:rsidRDefault="00D37877" w:rsidP="00D37877">
            <w:pPr>
              <w:cnfStyle w:val="000000000000" w:firstRow="0" w:lastRow="0" w:firstColumn="0" w:lastColumn="0" w:oddVBand="0" w:evenVBand="0" w:oddHBand="0" w:evenHBand="0" w:firstRowFirstColumn="0" w:firstRowLastColumn="0" w:lastRowFirstColumn="0" w:lastRowLastColumn="0"/>
              <w:rPr>
                <w:szCs w:val="20"/>
              </w:rPr>
            </w:pPr>
            <w:r w:rsidRPr="007D40B9">
              <w:rPr>
                <w:rFonts w:asciiTheme="minorHAnsi" w:hAnsiTheme="minorHAnsi" w:cstheme="minorHAnsi"/>
                <w:b/>
                <w:bCs/>
                <w:szCs w:val="20"/>
              </w:rPr>
              <w:t>Sensibilité</w:t>
            </w:r>
          </w:p>
        </w:tc>
        <w:tc>
          <w:tcPr>
            <w:tcW w:w="0" w:type="auto"/>
            <w:shd w:val="clear" w:color="auto" w:fill="8EAADB" w:themeFill="accent1" w:themeFillTint="99"/>
            <w:vAlign w:val="center"/>
          </w:tcPr>
          <w:p w14:paraId="22A0E1C6" w14:textId="06C8A438" w:rsidR="00D37877" w:rsidRPr="00AA22F2" w:rsidRDefault="00D37877" w:rsidP="00D37877">
            <w:pPr>
              <w:cnfStyle w:val="000000000000" w:firstRow="0" w:lastRow="0" w:firstColumn="0" w:lastColumn="0" w:oddVBand="0" w:evenVBand="0" w:oddHBand="0" w:evenHBand="0" w:firstRowFirstColumn="0" w:firstRowLastColumn="0" w:lastRowFirstColumn="0" w:lastRowLastColumn="0"/>
              <w:rPr>
                <w:szCs w:val="20"/>
              </w:rPr>
            </w:pPr>
            <w:r w:rsidRPr="007D40B9">
              <w:rPr>
                <w:rFonts w:asciiTheme="minorHAnsi" w:hAnsiTheme="minorHAnsi" w:cstheme="minorHAnsi"/>
                <w:b/>
                <w:bCs/>
                <w:szCs w:val="20"/>
              </w:rPr>
              <w:t>Importance de l’impact</w:t>
            </w:r>
          </w:p>
        </w:tc>
      </w:tr>
      <w:tr w:rsidR="00D37877" w:rsidRPr="007D40B9" w14:paraId="00AA5886" w14:textId="77777777" w:rsidTr="00D3739D">
        <w:tc>
          <w:tcPr>
            <w:cnfStyle w:val="001000000000" w:firstRow="0" w:lastRow="0" w:firstColumn="1" w:lastColumn="0" w:oddVBand="0" w:evenVBand="0" w:oddHBand="0" w:evenHBand="0" w:firstRowFirstColumn="0" w:firstRowLastColumn="0" w:lastRowFirstColumn="0" w:lastRowLastColumn="0"/>
            <w:tcW w:w="0" w:type="auto"/>
            <w:vMerge/>
          </w:tcPr>
          <w:p w14:paraId="179F0EF3" w14:textId="77777777" w:rsidR="00D37877" w:rsidRPr="00AA22F2" w:rsidRDefault="00D37877" w:rsidP="00D37877">
            <w:pPr>
              <w:rPr>
                <w:b w:val="0"/>
                <w:bCs w:val="0"/>
                <w:szCs w:val="20"/>
              </w:rPr>
            </w:pPr>
          </w:p>
        </w:tc>
        <w:tc>
          <w:tcPr>
            <w:tcW w:w="0" w:type="auto"/>
          </w:tcPr>
          <w:p w14:paraId="4C0D2BFF" w14:textId="0F2B40D4" w:rsidR="00D37877" w:rsidRPr="00AA22F2" w:rsidRDefault="00D37877" w:rsidP="00D37877">
            <w:pPr>
              <w:cnfStyle w:val="000000000000" w:firstRow="0" w:lastRow="0" w:firstColumn="0" w:lastColumn="0" w:oddVBand="0" w:evenVBand="0" w:oddHBand="0" w:evenHBand="0" w:firstRowFirstColumn="0" w:firstRowLastColumn="0" w:lastRowFirstColumn="0" w:lastRowLastColumn="0"/>
              <w:rPr>
                <w:szCs w:val="20"/>
              </w:rPr>
            </w:pPr>
            <w:r w:rsidRPr="00AA22F2">
              <w:rPr>
                <w:szCs w:val="20"/>
              </w:rPr>
              <w:t>Moyenne</w:t>
            </w:r>
          </w:p>
        </w:tc>
        <w:tc>
          <w:tcPr>
            <w:tcW w:w="0" w:type="auto"/>
          </w:tcPr>
          <w:p w14:paraId="305DC22C" w14:textId="73F48A45" w:rsidR="00D37877" w:rsidRPr="00AA22F2" w:rsidRDefault="00D37877" w:rsidP="00D37877">
            <w:pPr>
              <w:cnfStyle w:val="000000000000" w:firstRow="0" w:lastRow="0" w:firstColumn="0" w:lastColumn="0" w:oddVBand="0" w:evenVBand="0" w:oddHBand="0" w:evenHBand="0" w:firstRowFirstColumn="0" w:firstRowLastColumn="0" w:lastRowFirstColumn="0" w:lastRowLastColumn="0"/>
              <w:rPr>
                <w:b/>
                <w:bCs/>
                <w:szCs w:val="20"/>
              </w:rPr>
            </w:pPr>
            <w:r w:rsidRPr="00AA22F2">
              <w:rPr>
                <w:szCs w:val="20"/>
              </w:rPr>
              <w:t>Femmes au foyer, jeunes non qualifiés, ménages précaires.</w:t>
            </w:r>
          </w:p>
        </w:tc>
        <w:tc>
          <w:tcPr>
            <w:tcW w:w="0" w:type="auto"/>
          </w:tcPr>
          <w:p w14:paraId="17EEDCC4" w14:textId="005645C3" w:rsidR="00D37877" w:rsidRPr="00AA22F2" w:rsidRDefault="00D37877" w:rsidP="00D37877">
            <w:pPr>
              <w:cnfStyle w:val="000000000000" w:firstRow="0" w:lastRow="0" w:firstColumn="0" w:lastColumn="0" w:oddVBand="0" w:evenVBand="0" w:oddHBand="0" w:evenHBand="0" w:firstRowFirstColumn="0" w:firstRowLastColumn="0" w:lastRowFirstColumn="0" w:lastRowLastColumn="0"/>
              <w:rPr>
                <w:szCs w:val="20"/>
              </w:rPr>
            </w:pPr>
            <w:r w:rsidRPr="00AA22F2">
              <w:rPr>
                <w:szCs w:val="20"/>
              </w:rPr>
              <w:t>Forte</w:t>
            </w:r>
          </w:p>
        </w:tc>
        <w:tc>
          <w:tcPr>
            <w:tcW w:w="0" w:type="auto"/>
          </w:tcPr>
          <w:p w14:paraId="41980952" w14:textId="3DF7E1B9" w:rsidR="00D37877" w:rsidRPr="00AA22F2" w:rsidRDefault="00D37877" w:rsidP="00D37877">
            <w:pPr>
              <w:cnfStyle w:val="000000000000" w:firstRow="0" w:lastRow="0" w:firstColumn="0" w:lastColumn="0" w:oddVBand="0" w:evenVBand="0" w:oddHBand="0" w:evenHBand="0" w:firstRowFirstColumn="0" w:firstRowLastColumn="0" w:lastRowFirstColumn="0" w:lastRowLastColumn="0"/>
              <w:rPr>
                <w:szCs w:val="20"/>
              </w:rPr>
            </w:pPr>
            <w:r w:rsidRPr="00AA22F2">
              <w:rPr>
                <w:szCs w:val="20"/>
              </w:rPr>
              <w:t>Majeure</w:t>
            </w:r>
          </w:p>
        </w:tc>
      </w:tr>
    </w:tbl>
    <w:p w14:paraId="1A505FF6" w14:textId="7169275E" w:rsidR="0074329F" w:rsidRPr="004637C7" w:rsidRDefault="0074329F" w:rsidP="004637C7"/>
    <w:p w14:paraId="75A5F913" w14:textId="09644B11" w:rsidR="007D6C6B" w:rsidRDefault="007D6C6B" w:rsidP="00EA42EF"/>
    <w:p w14:paraId="19E0E85F" w14:textId="75D10D88" w:rsidR="005C2D87" w:rsidRDefault="005C2D87" w:rsidP="003130D9">
      <w:pPr>
        <w:sectPr w:rsidR="005C2D87" w:rsidSect="00FB08CF">
          <w:pgSz w:w="11906" w:h="16838"/>
          <w:pgMar w:top="1418" w:right="1418" w:bottom="1276" w:left="1418" w:header="680" w:footer="680" w:gutter="0"/>
          <w:cols w:space="708"/>
          <w:docGrid w:linePitch="360"/>
        </w:sectPr>
      </w:pPr>
      <w:bookmarkStart w:id="473" w:name="_bookmark200"/>
      <w:bookmarkEnd w:id="473"/>
    </w:p>
    <w:p w14:paraId="2FC955B3" w14:textId="1C762F27" w:rsidR="003D45D1" w:rsidRDefault="003D45D1" w:rsidP="004637C7">
      <w:pPr>
        <w:pStyle w:val="Title5"/>
      </w:pPr>
      <w:r>
        <w:lastRenderedPageBreak/>
        <w:t xml:space="preserve">Mesures </w:t>
      </w:r>
      <w:r w:rsidR="00DA69BB">
        <w:t>de renforcement</w:t>
      </w:r>
    </w:p>
    <w:p w14:paraId="6F6495C9" w14:textId="1EF3B860" w:rsidR="003D45D1" w:rsidRDefault="00BA509A" w:rsidP="00BA509A">
      <w:pPr>
        <w:pStyle w:val="Lgende"/>
        <w:rPr>
          <w:spacing w:val="-2"/>
          <w:lang w:val="fr-FR"/>
        </w:rPr>
      </w:pPr>
      <w:bookmarkStart w:id="474" w:name="_Toc213404385"/>
      <w:r w:rsidRPr="002A0860">
        <w:rPr>
          <w:lang w:val="fr-FR"/>
        </w:rPr>
        <w:t xml:space="preserve">Tableau </w:t>
      </w:r>
      <w:r>
        <w:fldChar w:fldCharType="begin"/>
      </w:r>
      <w:r w:rsidRPr="002A0860">
        <w:rPr>
          <w:lang w:val="fr-FR"/>
        </w:rPr>
        <w:instrText xml:space="preserve"> SEQ Tableau \* ARABIC </w:instrText>
      </w:r>
      <w:r>
        <w:fldChar w:fldCharType="separate"/>
      </w:r>
      <w:r w:rsidR="00274E71">
        <w:rPr>
          <w:noProof/>
          <w:lang w:val="fr-FR"/>
        </w:rPr>
        <w:t>63</w:t>
      </w:r>
      <w:r>
        <w:fldChar w:fldCharType="end"/>
      </w:r>
      <w:r>
        <w:rPr>
          <w:noProof/>
          <w:lang w:val="fr-FR"/>
        </w:rPr>
        <w:t xml:space="preserve">: </w:t>
      </w:r>
      <w:r w:rsidR="005552CF" w:rsidRPr="002A0860">
        <w:rPr>
          <w:lang w:val="fr-FR"/>
        </w:rPr>
        <w:t>Activités</w:t>
      </w:r>
      <w:r w:rsidR="005552CF" w:rsidRPr="002A0860">
        <w:rPr>
          <w:spacing w:val="-2"/>
          <w:lang w:val="fr-FR"/>
        </w:rPr>
        <w:t xml:space="preserve"> </w:t>
      </w:r>
      <w:r w:rsidR="005552CF" w:rsidRPr="002A0860">
        <w:rPr>
          <w:lang w:val="fr-FR"/>
        </w:rPr>
        <w:t>économiques</w:t>
      </w:r>
      <w:r w:rsidR="005552CF" w:rsidRPr="002A0860">
        <w:rPr>
          <w:spacing w:val="-3"/>
          <w:lang w:val="fr-FR"/>
        </w:rPr>
        <w:t xml:space="preserve"> </w:t>
      </w:r>
      <w:r w:rsidR="005552CF" w:rsidRPr="002A0860">
        <w:rPr>
          <w:lang w:val="fr-FR"/>
        </w:rPr>
        <w:t>et</w:t>
      </w:r>
      <w:r w:rsidR="005552CF" w:rsidRPr="002A0860">
        <w:rPr>
          <w:spacing w:val="-2"/>
          <w:lang w:val="fr-FR"/>
        </w:rPr>
        <w:t xml:space="preserve"> </w:t>
      </w:r>
      <w:r w:rsidR="005552CF" w:rsidRPr="002A0860">
        <w:rPr>
          <w:lang w:val="fr-FR"/>
        </w:rPr>
        <w:t>emploi</w:t>
      </w:r>
      <w:r w:rsidR="005552CF" w:rsidRPr="002A0860">
        <w:rPr>
          <w:spacing w:val="-3"/>
          <w:lang w:val="fr-FR"/>
        </w:rPr>
        <w:t xml:space="preserve"> </w:t>
      </w:r>
      <w:r w:rsidR="005552CF" w:rsidRPr="002A0860">
        <w:rPr>
          <w:lang w:val="fr-FR"/>
        </w:rPr>
        <w:t>–</w:t>
      </w:r>
      <w:r w:rsidR="005552CF" w:rsidRPr="002A0860">
        <w:rPr>
          <w:spacing w:val="-2"/>
          <w:lang w:val="fr-FR"/>
        </w:rPr>
        <w:t xml:space="preserve"> </w:t>
      </w:r>
      <w:r w:rsidR="003D45D1" w:rsidRPr="002A0860">
        <w:rPr>
          <w:lang w:val="fr-FR"/>
        </w:rPr>
        <w:t>Mesures</w:t>
      </w:r>
      <w:r w:rsidR="003D45D1" w:rsidRPr="002A0860">
        <w:rPr>
          <w:spacing w:val="-5"/>
          <w:lang w:val="fr-FR"/>
        </w:rPr>
        <w:t xml:space="preserve"> </w:t>
      </w:r>
      <w:r w:rsidR="003D45D1" w:rsidRPr="002A0860">
        <w:rPr>
          <w:lang w:val="fr-FR"/>
        </w:rPr>
        <w:t>d</w:t>
      </w:r>
      <w:r w:rsidR="00DA69BB">
        <w:rPr>
          <w:lang w:val="fr-FR"/>
        </w:rPr>
        <w:t>e renforcement</w:t>
      </w:r>
      <w:r w:rsidR="003D45D1" w:rsidRPr="002A0860">
        <w:rPr>
          <w:spacing w:val="-2"/>
          <w:lang w:val="fr-FR"/>
        </w:rPr>
        <w:t xml:space="preserve"> </w:t>
      </w:r>
      <w:r w:rsidR="005552CF" w:rsidRPr="002A0860">
        <w:rPr>
          <w:lang w:val="fr-FR"/>
        </w:rPr>
        <w:t>en p</w:t>
      </w:r>
      <w:r w:rsidR="003D45D1" w:rsidRPr="002A0860">
        <w:rPr>
          <w:lang w:val="fr-FR"/>
        </w:rPr>
        <w:t>hase</w:t>
      </w:r>
      <w:r w:rsidR="003D45D1" w:rsidRPr="002A0860">
        <w:rPr>
          <w:spacing w:val="-3"/>
          <w:lang w:val="fr-FR"/>
        </w:rPr>
        <w:t xml:space="preserve"> </w:t>
      </w:r>
      <w:r w:rsidR="005552CF" w:rsidRPr="002A0860">
        <w:rPr>
          <w:spacing w:val="-3"/>
          <w:lang w:val="fr-FR"/>
        </w:rPr>
        <w:t>de</w:t>
      </w:r>
      <w:r w:rsidR="00DA69BB">
        <w:rPr>
          <w:spacing w:val="-3"/>
          <w:lang w:val="fr-FR"/>
        </w:rPr>
        <w:t xml:space="preserve"> construction</w:t>
      </w:r>
      <w:bookmarkEnd w:id="474"/>
    </w:p>
    <w:tbl>
      <w:tblPr>
        <w:tblStyle w:val="TableauGrille1Clair-Accentuation111"/>
        <w:tblW w:w="5000" w:type="pct"/>
        <w:tblLayout w:type="fixed"/>
        <w:tblLook w:val="04A0" w:firstRow="1" w:lastRow="0" w:firstColumn="1" w:lastColumn="0" w:noHBand="0" w:noVBand="1"/>
      </w:tblPr>
      <w:tblGrid>
        <w:gridCol w:w="1598"/>
        <w:gridCol w:w="1375"/>
        <w:gridCol w:w="2528"/>
        <w:gridCol w:w="1594"/>
        <w:gridCol w:w="992"/>
        <w:gridCol w:w="1343"/>
        <w:gridCol w:w="1623"/>
        <w:gridCol w:w="1416"/>
        <w:gridCol w:w="1665"/>
      </w:tblGrid>
      <w:tr w:rsidR="003E7DA0" w:rsidRPr="00A84611" w14:paraId="71FD05E2" w14:textId="77777777" w:rsidTr="00D60FC9">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0" w:type="pct"/>
            <w:hideMark/>
          </w:tcPr>
          <w:p w14:paraId="26BC6B89" w14:textId="46A953A9" w:rsidR="00A84611" w:rsidRPr="004637C7" w:rsidRDefault="00A84611" w:rsidP="00A84611">
            <w:pPr>
              <w:rPr>
                <w:rFonts w:asciiTheme="minorHAnsi" w:hAnsiTheme="minorHAnsi" w:cstheme="minorHAnsi"/>
                <w:szCs w:val="20"/>
                <w:lang w:eastAsia="fr-FR" w:bidi="ar-SA"/>
              </w:rPr>
            </w:pPr>
            <w:r w:rsidRPr="004637C7">
              <w:rPr>
                <w:rFonts w:asciiTheme="minorHAnsi" w:hAnsiTheme="minorHAnsi" w:cstheme="minorHAnsi"/>
                <w:szCs w:val="20"/>
                <w:lang w:eastAsia="fr-FR" w:bidi="ar-SA"/>
              </w:rPr>
              <w:t xml:space="preserve">Impact </w:t>
            </w:r>
          </w:p>
        </w:tc>
        <w:tc>
          <w:tcPr>
            <w:tcW w:w="486" w:type="pct"/>
            <w:hideMark/>
          </w:tcPr>
          <w:p w14:paraId="25762D94" w14:textId="77777777" w:rsidR="00A84611" w:rsidRPr="004637C7" w:rsidRDefault="00A84611" w:rsidP="00A84611">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sidRPr="004637C7">
              <w:rPr>
                <w:rFonts w:asciiTheme="minorHAnsi" w:hAnsiTheme="minorHAnsi" w:cstheme="minorHAnsi"/>
                <w:szCs w:val="20"/>
                <w:lang w:eastAsia="fr-FR" w:bidi="ar-SA"/>
              </w:rPr>
              <w:t>Niveau d’atténuation</w:t>
            </w:r>
          </w:p>
        </w:tc>
        <w:tc>
          <w:tcPr>
            <w:tcW w:w="894" w:type="pct"/>
            <w:hideMark/>
          </w:tcPr>
          <w:p w14:paraId="41BF5331" w14:textId="77777777" w:rsidR="00A84611" w:rsidRPr="004637C7" w:rsidRDefault="00A84611" w:rsidP="00A84611">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sidRPr="004637C7">
              <w:rPr>
                <w:rFonts w:asciiTheme="minorHAnsi" w:hAnsiTheme="minorHAnsi" w:cstheme="minorHAnsi"/>
                <w:szCs w:val="20"/>
                <w:lang w:eastAsia="fr-FR" w:bidi="ar-SA"/>
              </w:rPr>
              <w:t>Mesures d’atténuation / de gestion</w:t>
            </w:r>
          </w:p>
        </w:tc>
        <w:tc>
          <w:tcPr>
            <w:tcW w:w="0" w:type="pct"/>
            <w:hideMark/>
          </w:tcPr>
          <w:p w14:paraId="63E76321" w14:textId="77777777" w:rsidR="00A84611" w:rsidRPr="004637C7" w:rsidRDefault="00A84611" w:rsidP="00A84611">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sidRPr="004637C7">
              <w:rPr>
                <w:rFonts w:asciiTheme="minorHAnsi" w:hAnsiTheme="minorHAnsi" w:cstheme="minorHAnsi"/>
                <w:szCs w:val="20"/>
                <w:lang w:eastAsia="fr-FR" w:bidi="ar-SA"/>
              </w:rPr>
              <w:t>Indicateurs de performance (KPI)</w:t>
            </w:r>
          </w:p>
        </w:tc>
        <w:tc>
          <w:tcPr>
            <w:tcW w:w="0" w:type="pct"/>
            <w:hideMark/>
          </w:tcPr>
          <w:p w14:paraId="3ED2CB25" w14:textId="77777777" w:rsidR="00A84611" w:rsidRPr="004637C7" w:rsidRDefault="00A84611" w:rsidP="00A84611">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sidRPr="004637C7">
              <w:rPr>
                <w:rFonts w:asciiTheme="minorHAnsi" w:hAnsiTheme="minorHAnsi" w:cstheme="minorHAnsi"/>
                <w:szCs w:val="20"/>
                <w:lang w:eastAsia="fr-FR" w:bidi="ar-SA"/>
              </w:rPr>
              <w:t>Mise en œuvre</w:t>
            </w:r>
          </w:p>
        </w:tc>
        <w:tc>
          <w:tcPr>
            <w:tcW w:w="0" w:type="pct"/>
            <w:hideMark/>
          </w:tcPr>
          <w:p w14:paraId="37C82255" w14:textId="77777777" w:rsidR="00A84611" w:rsidRPr="004637C7" w:rsidRDefault="00A84611" w:rsidP="00A84611">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sidRPr="004637C7">
              <w:rPr>
                <w:rFonts w:asciiTheme="minorHAnsi" w:hAnsiTheme="minorHAnsi" w:cstheme="minorHAnsi"/>
                <w:szCs w:val="20"/>
                <w:lang w:eastAsia="fr-FR" w:bidi="ar-SA"/>
              </w:rPr>
              <w:t>Surveillance</w:t>
            </w:r>
          </w:p>
        </w:tc>
        <w:tc>
          <w:tcPr>
            <w:tcW w:w="0" w:type="pct"/>
            <w:hideMark/>
          </w:tcPr>
          <w:p w14:paraId="13D9F332" w14:textId="77777777" w:rsidR="00A84611" w:rsidRPr="004637C7" w:rsidRDefault="00A84611" w:rsidP="00A84611">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sidRPr="004637C7">
              <w:rPr>
                <w:rFonts w:asciiTheme="minorHAnsi" w:hAnsiTheme="minorHAnsi" w:cstheme="minorHAnsi"/>
                <w:szCs w:val="20"/>
                <w:lang w:eastAsia="fr-FR" w:bidi="ar-SA"/>
              </w:rPr>
              <w:t>Suivi</w:t>
            </w:r>
          </w:p>
        </w:tc>
        <w:tc>
          <w:tcPr>
            <w:tcW w:w="0" w:type="pct"/>
            <w:hideMark/>
          </w:tcPr>
          <w:p w14:paraId="2B537040" w14:textId="77777777" w:rsidR="00A84611" w:rsidRPr="004637C7" w:rsidRDefault="00A84611" w:rsidP="00A84611">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sidRPr="004637C7">
              <w:rPr>
                <w:rFonts w:asciiTheme="minorHAnsi" w:hAnsiTheme="minorHAnsi" w:cstheme="minorHAnsi"/>
                <w:szCs w:val="20"/>
                <w:lang w:eastAsia="fr-FR" w:bidi="ar-SA"/>
              </w:rPr>
              <w:t>Calendrier</w:t>
            </w:r>
          </w:p>
        </w:tc>
        <w:tc>
          <w:tcPr>
            <w:tcW w:w="0" w:type="pct"/>
            <w:hideMark/>
          </w:tcPr>
          <w:p w14:paraId="3B060BBC" w14:textId="77777777" w:rsidR="00A84611" w:rsidRPr="004637C7" w:rsidRDefault="00A84611" w:rsidP="00A84611">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sidRPr="004637C7">
              <w:rPr>
                <w:rFonts w:asciiTheme="minorHAnsi" w:hAnsiTheme="minorHAnsi" w:cstheme="minorHAnsi"/>
                <w:szCs w:val="20"/>
                <w:lang w:eastAsia="fr-FR" w:bidi="ar-SA"/>
              </w:rPr>
              <w:t>Coût</w:t>
            </w:r>
          </w:p>
        </w:tc>
      </w:tr>
      <w:tr w:rsidR="005637ED" w:rsidRPr="00A84611" w14:paraId="593D9990" w14:textId="77777777" w:rsidTr="005A7661">
        <w:tc>
          <w:tcPr>
            <w:cnfStyle w:val="001000000000" w:firstRow="0" w:lastRow="0" w:firstColumn="1" w:lastColumn="0" w:oddVBand="0" w:evenVBand="0" w:oddHBand="0" w:evenHBand="0" w:firstRowFirstColumn="0" w:firstRowLastColumn="0" w:lastRowFirstColumn="0" w:lastRowLastColumn="0"/>
            <w:tcW w:w="565" w:type="pct"/>
            <w:vMerge w:val="restart"/>
            <w:hideMark/>
          </w:tcPr>
          <w:p w14:paraId="12D7A019" w14:textId="77777777" w:rsidR="005637ED" w:rsidRPr="004637C7" w:rsidRDefault="005637ED" w:rsidP="006D1412">
            <w:pPr>
              <w:rPr>
                <w:rFonts w:asciiTheme="minorHAnsi" w:hAnsiTheme="minorHAnsi" w:cstheme="minorHAnsi"/>
                <w:szCs w:val="20"/>
                <w:lang w:eastAsia="fr-FR" w:bidi="ar-SA"/>
              </w:rPr>
            </w:pPr>
            <w:r w:rsidRPr="004637C7">
              <w:rPr>
                <w:rFonts w:asciiTheme="minorHAnsi" w:hAnsiTheme="minorHAnsi" w:cstheme="minorHAnsi"/>
                <w:szCs w:val="20"/>
                <w:lang w:eastAsia="fr-FR" w:bidi="ar-SA"/>
              </w:rPr>
              <w:t>Création d’emplois et stimulation du marché du travail local</w:t>
            </w:r>
          </w:p>
        </w:tc>
        <w:tc>
          <w:tcPr>
            <w:tcW w:w="486" w:type="pct"/>
            <w:hideMark/>
          </w:tcPr>
          <w:p w14:paraId="75258F42" w14:textId="77777777" w:rsidR="005637ED" w:rsidRPr="004637C7" w:rsidRDefault="005637ED" w:rsidP="006D1412">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sidRPr="004637C7">
              <w:rPr>
                <w:rFonts w:asciiTheme="minorHAnsi" w:hAnsiTheme="minorHAnsi" w:cstheme="minorHAnsi"/>
                <w:b/>
                <w:bCs/>
                <w:szCs w:val="20"/>
                <w:lang w:eastAsia="fr-FR" w:bidi="ar-SA"/>
              </w:rPr>
              <w:t>Éviter</w:t>
            </w:r>
          </w:p>
        </w:tc>
        <w:tc>
          <w:tcPr>
            <w:tcW w:w="894" w:type="pct"/>
            <w:hideMark/>
          </w:tcPr>
          <w:p w14:paraId="17D81F6C" w14:textId="77777777" w:rsidR="005637ED" w:rsidRPr="004637C7" w:rsidRDefault="005637ED" w:rsidP="006D1412">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sidRPr="004637C7">
              <w:rPr>
                <w:rFonts w:asciiTheme="minorHAnsi" w:hAnsiTheme="minorHAnsi" w:cstheme="minorHAnsi"/>
                <w:szCs w:val="20"/>
                <w:lang w:eastAsia="fr-FR" w:bidi="ar-SA"/>
              </w:rPr>
              <w:t>Éviter le recours à une main-d’œuvre extérieure lorsque les compétences locales sont disponibles.</w:t>
            </w:r>
          </w:p>
          <w:p w14:paraId="23E35DB1" w14:textId="77777777" w:rsidR="005637ED" w:rsidRPr="004637C7" w:rsidRDefault="005637ED" w:rsidP="006D1412">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sidRPr="004637C7">
              <w:rPr>
                <w:rFonts w:asciiTheme="minorHAnsi" w:hAnsiTheme="minorHAnsi" w:cstheme="minorHAnsi"/>
                <w:szCs w:val="20"/>
                <w:lang w:eastAsia="fr-FR" w:bidi="ar-SA"/>
              </w:rPr>
              <w:t xml:space="preserve">Intégrer dans les contrats des entreprises de travaux une clause d’emploi local prioritaire. </w:t>
            </w:r>
          </w:p>
          <w:p w14:paraId="3CF5CF50" w14:textId="53934C9A" w:rsidR="005637ED" w:rsidRPr="004637C7" w:rsidRDefault="005637ED" w:rsidP="006D1412">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sidRPr="004637C7">
              <w:rPr>
                <w:rFonts w:asciiTheme="minorHAnsi" w:hAnsiTheme="minorHAnsi" w:cstheme="minorHAnsi"/>
                <w:szCs w:val="20"/>
                <w:lang w:eastAsia="fr-FR" w:bidi="ar-SA"/>
              </w:rPr>
              <w:t>Informer l’ANAPEC avant toute campagne de recrutement.</w:t>
            </w:r>
          </w:p>
        </w:tc>
        <w:tc>
          <w:tcPr>
            <w:tcW w:w="564" w:type="pct"/>
            <w:hideMark/>
          </w:tcPr>
          <w:p w14:paraId="384F06B6" w14:textId="77777777" w:rsidR="005637ED" w:rsidRPr="004637C7" w:rsidRDefault="005637ED" w:rsidP="006D1412">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sidRPr="004637C7">
              <w:rPr>
                <w:rFonts w:asciiTheme="minorHAnsi" w:hAnsiTheme="minorHAnsi" w:cstheme="minorHAnsi"/>
                <w:szCs w:val="20"/>
                <w:lang w:eastAsia="fr-FR" w:bidi="ar-SA"/>
              </w:rPr>
              <w:t xml:space="preserve">% de travailleurs recrutés localement ; </w:t>
            </w:r>
          </w:p>
          <w:p w14:paraId="018F9E1E" w14:textId="77777777" w:rsidR="005637ED" w:rsidRPr="004637C7" w:rsidRDefault="005637ED" w:rsidP="006D1412">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sidRPr="004637C7">
              <w:rPr>
                <w:rFonts w:asciiTheme="minorHAnsi" w:hAnsiTheme="minorHAnsi" w:cstheme="minorHAnsi"/>
                <w:szCs w:val="20"/>
                <w:lang w:eastAsia="fr-FR" w:bidi="ar-SA"/>
              </w:rPr>
              <w:t xml:space="preserve">% d’entreprises intégrant la clause sociale ; </w:t>
            </w:r>
          </w:p>
          <w:p w14:paraId="3D1EFF1D" w14:textId="0BFE315F" w:rsidR="005637ED" w:rsidRPr="004637C7" w:rsidRDefault="005637ED" w:rsidP="006D1412">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sidRPr="004637C7">
              <w:rPr>
                <w:rFonts w:asciiTheme="minorHAnsi" w:hAnsiTheme="minorHAnsi" w:cstheme="minorHAnsi"/>
                <w:szCs w:val="20"/>
                <w:lang w:eastAsia="fr-FR" w:bidi="ar-SA"/>
              </w:rPr>
              <w:t>Nb de réunions d’information locales</w:t>
            </w:r>
          </w:p>
        </w:tc>
        <w:tc>
          <w:tcPr>
            <w:tcW w:w="351" w:type="pct"/>
            <w:hideMark/>
          </w:tcPr>
          <w:p w14:paraId="692DC736" w14:textId="50BAB189" w:rsidR="005637ED" w:rsidRPr="004637C7" w:rsidRDefault="005637ED" w:rsidP="006D1412">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sidRPr="004637C7">
              <w:rPr>
                <w:rFonts w:asciiTheme="minorHAnsi" w:hAnsiTheme="minorHAnsi" w:cstheme="minorHAnsi"/>
                <w:szCs w:val="20"/>
                <w:lang w:eastAsia="fr-FR" w:bidi="ar-SA"/>
              </w:rPr>
              <w:t>EPC et sous-traitants</w:t>
            </w:r>
          </w:p>
        </w:tc>
        <w:tc>
          <w:tcPr>
            <w:tcW w:w="475" w:type="pct"/>
            <w:hideMark/>
          </w:tcPr>
          <w:p w14:paraId="1C404DFE" w14:textId="086511F8" w:rsidR="005637ED" w:rsidRPr="004637C7" w:rsidRDefault="005637ED" w:rsidP="006D1412">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sidRPr="00BC1745">
              <w:rPr>
                <w:szCs w:val="20"/>
              </w:rPr>
              <w:t>Bureau de contrôle / Consultant de supervision mandaté par l’ONDA</w:t>
            </w:r>
          </w:p>
        </w:tc>
        <w:tc>
          <w:tcPr>
            <w:tcW w:w="574" w:type="pct"/>
            <w:hideMark/>
          </w:tcPr>
          <w:p w14:paraId="69FCC7E9" w14:textId="03754330" w:rsidR="005637ED" w:rsidRPr="004637C7" w:rsidRDefault="005637ED" w:rsidP="006D1412">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sidRPr="004637C7">
              <w:rPr>
                <w:rFonts w:asciiTheme="minorHAnsi" w:hAnsiTheme="minorHAnsi" w:cstheme="minorHAnsi"/>
                <w:szCs w:val="20"/>
                <w:lang w:eastAsia="fr-FR" w:bidi="ar-SA"/>
              </w:rPr>
              <w:t>ONDA</w:t>
            </w:r>
          </w:p>
        </w:tc>
        <w:tc>
          <w:tcPr>
            <w:tcW w:w="501" w:type="pct"/>
            <w:hideMark/>
          </w:tcPr>
          <w:p w14:paraId="218E3028" w14:textId="77777777" w:rsidR="005637ED" w:rsidRPr="004637C7" w:rsidRDefault="005637ED" w:rsidP="006D1412">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sidRPr="004637C7">
              <w:rPr>
                <w:rFonts w:asciiTheme="minorHAnsi" w:hAnsiTheme="minorHAnsi" w:cstheme="minorHAnsi"/>
                <w:szCs w:val="20"/>
                <w:lang w:eastAsia="fr-FR" w:bidi="ar-SA"/>
              </w:rPr>
              <w:t>Avant la mobilisation du chantier</w:t>
            </w:r>
          </w:p>
        </w:tc>
        <w:tc>
          <w:tcPr>
            <w:tcW w:w="589" w:type="pct"/>
            <w:hideMark/>
          </w:tcPr>
          <w:p w14:paraId="66DA2155" w14:textId="77777777" w:rsidR="005637ED" w:rsidRPr="004637C7" w:rsidRDefault="005637ED" w:rsidP="006D1412">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sidRPr="004637C7">
              <w:rPr>
                <w:rFonts w:asciiTheme="minorHAnsi" w:hAnsiTheme="minorHAnsi" w:cstheme="minorHAnsi"/>
                <w:szCs w:val="20"/>
                <w:lang w:eastAsia="fr-FR" w:bidi="ar-SA"/>
              </w:rPr>
              <w:t>Aucun coût spécifique</w:t>
            </w:r>
          </w:p>
        </w:tc>
      </w:tr>
      <w:tr w:rsidR="005637ED" w:rsidRPr="00A84611" w14:paraId="1901A7C9" w14:textId="77777777" w:rsidTr="00A223FC">
        <w:trPr>
          <w:trHeight w:val="1571"/>
        </w:trPr>
        <w:tc>
          <w:tcPr>
            <w:cnfStyle w:val="001000000000" w:firstRow="0" w:lastRow="0" w:firstColumn="1" w:lastColumn="0" w:oddVBand="0" w:evenVBand="0" w:oddHBand="0" w:evenHBand="0" w:firstRowFirstColumn="0" w:firstRowLastColumn="0" w:lastRowFirstColumn="0" w:lastRowLastColumn="0"/>
            <w:tcW w:w="565" w:type="pct"/>
            <w:vMerge/>
            <w:hideMark/>
          </w:tcPr>
          <w:p w14:paraId="2B39016E" w14:textId="77777777" w:rsidR="005637ED" w:rsidRPr="004637C7" w:rsidRDefault="005637ED" w:rsidP="006D1412">
            <w:pPr>
              <w:rPr>
                <w:rFonts w:asciiTheme="minorHAnsi" w:hAnsiTheme="minorHAnsi" w:cstheme="minorHAnsi"/>
                <w:szCs w:val="20"/>
                <w:lang w:eastAsia="fr-FR" w:bidi="ar-SA"/>
              </w:rPr>
            </w:pPr>
          </w:p>
        </w:tc>
        <w:tc>
          <w:tcPr>
            <w:tcW w:w="486" w:type="pct"/>
            <w:vMerge w:val="restart"/>
            <w:hideMark/>
          </w:tcPr>
          <w:p w14:paraId="44F8A3D0" w14:textId="77777777" w:rsidR="005637ED" w:rsidRPr="004637C7" w:rsidRDefault="005637ED" w:rsidP="006D1412">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sidRPr="004637C7">
              <w:rPr>
                <w:rFonts w:asciiTheme="minorHAnsi" w:hAnsiTheme="minorHAnsi" w:cstheme="minorHAnsi"/>
                <w:b/>
                <w:bCs/>
                <w:szCs w:val="20"/>
                <w:lang w:eastAsia="fr-FR" w:bidi="ar-SA"/>
              </w:rPr>
              <w:t>Réduire</w:t>
            </w:r>
          </w:p>
        </w:tc>
        <w:tc>
          <w:tcPr>
            <w:tcW w:w="894" w:type="pct"/>
            <w:tcBorders>
              <w:bottom w:val="single" w:sz="4" w:space="0" w:color="B4C6E7" w:themeColor="accent1" w:themeTint="66"/>
            </w:tcBorders>
            <w:hideMark/>
          </w:tcPr>
          <w:p w14:paraId="11B14E03" w14:textId="25753EA2" w:rsidR="005637ED" w:rsidRPr="004637C7" w:rsidRDefault="005637ED" w:rsidP="006D1412">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sidRPr="004637C7">
              <w:rPr>
                <w:rFonts w:asciiTheme="minorHAnsi" w:hAnsiTheme="minorHAnsi" w:cstheme="minorHAnsi"/>
                <w:szCs w:val="20"/>
                <w:lang w:eastAsia="fr-FR" w:bidi="ar-SA"/>
              </w:rPr>
              <w:t xml:space="preserve">Mettre en œuvre un programme d’information publique sur les opportunités d’emploi via l’ANAPEC. </w:t>
            </w:r>
          </w:p>
        </w:tc>
        <w:tc>
          <w:tcPr>
            <w:tcW w:w="564" w:type="pct"/>
            <w:vMerge w:val="restart"/>
            <w:hideMark/>
          </w:tcPr>
          <w:p w14:paraId="79A37794" w14:textId="6612A4DB" w:rsidR="005637ED" w:rsidRPr="004637C7" w:rsidRDefault="005637ED" w:rsidP="006D1412">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sidRPr="004637C7">
              <w:rPr>
                <w:rFonts w:asciiTheme="minorHAnsi" w:hAnsiTheme="minorHAnsi" w:cstheme="minorHAnsi"/>
                <w:szCs w:val="20"/>
                <w:lang w:eastAsia="fr-FR" w:bidi="ar-SA"/>
              </w:rPr>
              <w:t xml:space="preserve">Nb d’affichages ; </w:t>
            </w:r>
          </w:p>
          <w:p w14:paraId="3B90CF78" w14:textId="77777777" w:rsidR="005637ED" w:rsidRPr="004637C7" w:rsidRDefault="005637ED" w:rsidP="006D1412">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sidRPr="004637C7">
              <w:rPr>
                <w:rFonts w:asciiTheme="minorHAnsi" w:hAnsiTheme="minorHAnsi" w:cstheme="minorHAnsi"/>
                <w:szCs w:val="20"/>
                <w:lang w:eastAsia="fr-FR" w:bidi="ar-SA"/>
              </w:rPr>
              <w:t xml:space="preserve">% de contrats formels ; </w:t>
            </w:r>
          </w:p>
          <w:p w14:paraId="5A0A8EB2" w14:textId="4E782FD2" w:rsidR="005637ED" w:rsidRPr="004637C7" w:rsidRDefault="005637ED" w:rsidP="006D1412">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sidRPr="004637C7">
              <w:rPr>
                <w:rFonts w:asciiTheme="minorHAnsi" w:hAnsiTheme="minorHAnsi" w:cstheme="minorHAnsi"/>
                <w:szCs w:val="20"/>
                <w:lang w:eastAsia="fr-FR" w:bidi="ar-SA"/>
              </w:rPr>
              <w:t>Nb total d’emplois créés</w:t>
            </w:r>
          </w:p>
        </w:tc>
        <w:tc>
          <w:tcPr>
            <w:tcW w:w="351" w:type="pct"/>
            <w:vMerge w:val="restart"/>
            <w:hideMark/>
          </w:tcPr>
          <w:p w14:paraId="6211390D" w14:textId="7B8AD70C" w:rsidR="005637ED" w:rsidRPr="004637C7" w:rsidRDefault="005637ED" w:rsidP="006D1412">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sidRPr="004637C7">
              <w:rPr>
                <w:rFonts w:asciiTheme="minorHAnsi" w:hAnsiTheme="minorHAnsi" w:cstheme="minorHAnsi"/>
                <w:szCs w:val="20"/>
                <w:lang w:eastAsia="fr-FR" w:bidi="ar-SA"/>
              </w:rPr>
              <w:t>EPC et sous-traitants</w:t>
            </w:r>
          </w:p>
        </w:tc>
        <w:tc>
          <w:tcPr>
            <w:tcW w:w="475" w:type="pct"/>
            <w:vMerge w:val="restart"/>
            <w:hideMark/>
          </w:tcPr>
          <w:p w14:paraId="49C68143" w14:textId="47C74243" w:rsidR="005637ED" w:rsidRPr="004637C7" w:rsidRDefault="005637ED" w:rsidP="006D1412">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sidRPr="00BC1745">
              <w:rPr>
                <w:szCs w:val="20"/>
              </w:rPr>
              <w:t>Bureau de contrôle / Consultant de supervision mandaté par l’ONDA</w:t>
            </w:r>
          </w:p>
        </w:tc>
        <w:tc>
          <w:tcPr>
            <w:tcW w:w="574" w:type="pct"/>
            <w:vMerge w:val="restart"/>
            <w:hideMark/>
          </w:tcPr>
          <w:p w14:paraId="5F59C380" w14:textId="60A1349E" w:rsidR="005637ED" w:rsidRPr="004637C7" w:rsidRDefault="005637ED" w:rsidP="006D1412">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sidRPr="004637C7">
              <w:rPr>
                <w:rFonts w:asciiTheme="minorHAnsi" w:hAnsiTheme="minorHAnsi" w:cstheme="minorHAnsi"/>
                <w:szCs w:val="20"/>
                <w:lang w:eastAsia="fr-FR" w:bidi="ar-SA"/>
              </w:rPr>
              <w:t>ONDA</w:t>
            </w:r>
          </w:p>
        </w:tc>
        <w:tc>
          <w:tcPr>
            <w:tcW w:w="501" w:type="pct"/>
            <w:vMerge w:val="restart"/>
            <w:hideMark/>
          </w:tcPr>
          <w:p w14:paraId="11ADEF60" w14:textId="77777777" w:rsidR="005637ED" w:rsidRPr="004637C7" w:rsidRDefault="005637ED" w:rsidP="006D1412">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sidRPr="004637C7">
              <w:rPr>
                <w:rFonts w:asciiTheme="minorHAnsi" w:hAnsiTheme="minorHAnsi" w:cstheme="minorHAnsi"/>
                <w:szCs w:val="20"/>
                <w:lang w:eastAsia="fr-FR" w:bidi="ar-SA"/>
              </w:rPr>
              <w:t>Mobilisation et phase de travaux</w:t>
            </w:r>
          </w:p>
        </w:tc>
        <w:tc>
          <w:tcPr>
            <w:tcW w:w="589" w:type="pct"/>
            <w:tcBorders>
              <w:bottom w:val="single" w:sz="4" w:space="0" w:color="B4C6E7" w:themeColor="accent1" w:themeTint="66"/>
            </w:tcBorders>
            <w:hideMark/>
          </w:tcPr>
          <w:p w14:paraId="58C5029A" w14:textId="632D0382" w:rsidR="005637ED" w:rsidRPr="004637C7" w:rsidRDefault="005637ED" w:rsidP="006D1412">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sidRPr="007B269A">
              <w:rPr>
                <w:rFonts w:asciiTheme="minorHAnsi" w:hAnsiTheme="minorHAnsi" w:cstheme="minorHAnsi"/>
                <w:szCs w:val="20"/>
                <w:lang w:eastAsia="fr-FR" w:bidi="ar-SA"/>
              </w:rPr>
              <w:t>5 000 – 7 000</w:t>
            </w:r>
            <w:r>
              <w:rPr>
                <w:rFonts w:asciiTheme="minorHAnsi" w:hAnsiTheme="minorHAnsi" w:cstheme="minorHAnsi"/>
                <w:szCs w:val="20"/>
                <w:lang w:eastAsia="fr-FR" w:bidi="ar-SA"/>
              </w:rPr>
              <w:t xml:space="preserve"> MAD</w:t>
            </w:r>
            <w:r w:rsidRPr="007B269A">
              <w:rPr>
                <w:rFonts w:asciiTheme="minorHAnsi" w:hAnsiTheme="minorHAnsi" w:cstheme="minorHAnsi"/>
                <w:szCs w:val="20"/>
                <w:lang w:eastAsia="fr-FR" w:bidi="ar-SA"/>
              </w:rPr>
              <w:t xml:space="preserve"> /campagne</w:t>
            </w:r>
            <w:r>
              <w:rPr>
                <w:rFonts w:asciiTheme="minorHAnsi" w:hAnsiTheme="minorHAnsi" w:cstheme="minorHAnsi"/>
                <w:szCs w:val="20"/>
                <w:lang w:eastAsia="fr-FR" w:bidi="ar-SA"/>
              </w:rPr>
              <w:t xml:space="preserve"> (</w:t>
            </w:r>
            <w:r w:rsidRPr="00A223FC">
              <w:rPr>
                <w:rFonts w:asciiTheme="minorHAnsi" w:hAnsiTheme="minorHAnsi" w:cstheme="minorHAnsi"/>
                <w:szCs w:val="20"/>
                <w:lang w:eastAsia="fr-FR" w:bidi="ar-SA"/>
              </w:rPr>
              <w:t>Impression d’affiches, publication, réunions locales</w:t>
            </w:r>
            <w:r>
              <w:rPr>
                <w:rFonts w:asciiTheme="minorHAnsi" w:hAnsiTheme="minorHAnsi" w:cstheme="minorHAnsi"/>
                <w:szCs w:val="20"/>
                <w:lang w:eastAsia="fr-FR" w:bidi="ar-SA"/>
              </w:rPr>
              <w:t>)</w:t>
            </w:r>
          </w:p>
        </w:tc>
      </w:tr>
      <w:tr w:rsidR="005637ED" w:rsidRPr="00A84611" w14:paraId="6777F202" w14:textId="77777777" w:rsidTr="00A223FC">
        <w:trPr>
          <w:trHeight w:val="1036"/>
        </w:trPr>
        <w:tc>
          <w:tcPr>
            <w:cnfStyle w:val="001000000000" w:firstRow="0" w:lastRow="0" w:firstColumn="1" w:lastColumn="0" w:oddVBand="0" w:evenVBand="0" w:oddHBand="0" w:evenHBand="0" w:firstRowFirstColumn="0" w:firstRowLastColumn="0" w:lastRowFirstColumn="0" w:lastRowLastColumn="0"/>
            <w:tcW w:w="565" w:type="pct"/>
            <w:vMerge/>
          </w:tcPr>
          <w:p w14:paraId="0378CE3F" w14:textId="77777777" w:rsidR="005637ED" w:rsidRPr="004637C7" w:rsidRDefault="005637ED" w:rsidP="006D1412">
            <w:pPr>
              <w:rPr>
                <w:rFonts w:asciiTheme="minorHAnsi" w:hAnsiTheme="minorHAnsi" w:cstheme="minorHAnsi"/>
                <w:szCs w:val="20"/>
                <w:lang w:eastAsia="fr-FR" w:bidi="ar-SA"/>
              </w:rPr>
            </w:pPr>
          </w:p>
        </w:tc>
        <w:tc>
          <w:tcPr>
            <w:tcW w:w="486" w:type="pct"/>
            <w:vMerge/>
          </w:tcPr>
          <w:p w14:paraId="4C8D0BBF" w14:textId="77777777" w:rsidR="005637ED" w:rsidRPr="004637C7" w:rsidRDefault="005637ED" w:rsidP="006D1412">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Cs w:val="20"/>
                <w:lang w:eastAsia="fr-FR" w:bidi="ar-SA"/>
              </w:rPr>
            </w:pPr>
          </w:p>
        </w:tc>
        <w:tc>
          <w:tcPr>
            <w:tcW w:w="894" w:type="pct"/>
            <w:tcBorders>
              <w:top w:val="single" w:sz="4" w:space="0" w:color="B4C6E7" w:themeColor="accent1" w:themeTint="66"/>
            </w:tcBorders>
          </w:tcPr>
          <w:p w14:paraId="33357925" w14:textId="77777777" w:rsidR="005637ED" w:rsidRPr="004637C7" w:rsidRDefault="005637ED" w:rsidP="00A223FC">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sidRPr="004637C7">
              <w:rPr>
                <w:rFonts w:asciiTheme="minorHAnsi" w:hAnsiTheme="minorHAnsi" w:cstheme="minorHAnsi"/>
                <w:szCs w:val="20"/>
                <w:lang w:eastAsia="fr-FR" w:bidi="ar-SA"/>
              </w:rPr>
              <w:t xml:space="preserve">Favoriser l’emploi formel par contractualisation des ouvriers journaliers. </w:t>
            </w:r>
          </w:p>
          <w:p w14:paraId="5A087574" w14:textId="77777777" w:rsidR="005637ED" w:rsidRPr="004637C7" w:rsidRDefault="005637ED" w:rsidP="00A223FC">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sidRPr="004637C7">
              <w:rPr>
                <w:rFonts w:asciiTheme="minorHAnsi" w:hAnsiTheme="minorHAnsi" w:cstheme="minorHAnsi"/>
                <w:szCs w:val="20"/>
                <w:lang w:eastAsia="fr-FR" w:bidi="ar-SA"/>
              </w:rPr>
              <w:lastRenderedPageBreak/>
              <w:t>Tenir un registre nominatif des ouvriers recrutés avec origine et qualification.</w:t>
            </w:r>
          </w:p>
        </w:tc>
        <w:tc>
          <w:tcPr>
            <w:tcW w:w="564" w:type="pct"/>
            <w:vMerge/>
          </w:tcPr>
          <w:p w14:paraId="118EBF88" w14:textId="77777777" w:rsidR="005637ED" w:rsidRPr="004637C7" w:rsidRDefault="005637ED" w:rsidP="006D1412">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p>
        </w:tc>
        <w:tc>
          <w:tcPr>
            <w:tcW w:w="351" w:type="pct"/>
            <w:vMerge/>
          </w:tcPr>
          <w:p w14:paraId="2C567676" w14:textId="77777777" w:rsidR="005637ED" w:rsidRPr="004637C7" w:rsidRDefault="005637ED" w:rsidP="006D1412">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p>
        </w:tc>
        <w:tc>
          <w:tcPr>
            <w:tcW w:w="475" w:type="pct"/>
            <w:vMerge/>
          </w:tcPr>
          <w:p w14:paraId="0C0B4D3C" w14:textId="77777777" w:rsidR="005637ED" w:rsidRPr="00BC1745" w:rsidRDefault="005637ED" w:rsidP="006D1412">
            <w:pPr>
              <w:cnfStyle w:val="000000000000" w:firstRow="0" w:lastRow="0" w:firstColumn="0" w:lastColumn="0" w:oddVBand="0" w:evenVBand="0" w:oddHBand="0" w:evenHBand="0" w:firstRowFirstColumn="0" w:firstRowLastColumn="0" w:lastRowFirstColumn="0" w:lastRowLastColumn="0"/>
              <w:rPr>
                <w:szCs w:val="20"/>
              </w:rPr>
            </w:pPr>
          </w:p>
        </w:tc>
        <w:tc>
          <w:tcPr>
            <w:tcW w:w="574" w:type="pct"/>
            <w:vMerge/>
          </w:tcPr>
          <w:p w14:paraId="289EAB66" w14:textId="77777777" w:rsidR="005637ED" w:rsidRPr="004637C7" w:rsidRDefault="005637ED" w:rsidP="006D1412">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p>
        </w:tc>
        <w:tc>
          <w:tcPr>
            <w:tcW w:w="501" w:type="pct"/>
            <w:vMerge/>
          </w:tcPr>
          <w:p w14:paraId="6A222F29" w14:textId="77777777" w:rsidR="005637ED" w:rsidRPr="004637C7" w:rsidRDefault="005637ED" w:rsidP="006D1412">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p>
        </w:tc>
        <w:tc>
          <w:tcPr>
            <w:tcW w:w="589" w:type="pct"/>
            <w:tcBorders>
              <w:top w:val="single" w:sz="4" w:space="0" w:color="B4C6E7" w:themeColor="accent1" w:themeTint="66"/>
            </w:tcBorders>
          </w:tcPr>
          <w:p w14:paraId="3C782032" w14:textId="5153C9C3" w:rsidR="005637ED" w:rsidRPr="007B269A" w:rsidRDefault="005637ED" w:rsidP="006D1412">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Pr>
                <w:rFonts w:asciiTheme="minorHAnsi" w:hAnsiTheme="minorHAnsi" w:cstheme="minorHAnsi"/>
                <w:szCs w:val="20"/>
                <w:lang w:eastAsia="fr-FR" w:bidi="ar-SA"/>
              </w:rPr>
              <w:t>Aucun coût spécifique</w:t>
            </w:r>
          </w:p>
        </w:tc>
      </w:tr>
      <w:tr w:rsidR="005637ED" w:rsidRPr="00A84611" w14:paraId="509D6B92" w14:textId="77777777" w:rsidTr="005637ED">
        <w:trPr>
          <w:trHeight w:val="1299"/>
        </w:trPr>
        <w:tc>
          <w:tcPr>
            <w:cnfStyle w:val="001000000000" w:firstRow="0" w:lastRow="0" w:firstColumn="1" w:lastColumn="0" w:oddVBand="0" w:evenVBand="0" w:oddHBand="0" w:evenHBand="0" w:firstRowFirstColumn="0" w:firstRowLastColumn="0" w:lastRowFirstColumn="0" w:lastRowLastColumn="0"/>
            <w:tcW w:w="565" w:type="pct"/>
            <w:vMerge/>
            <w:hideMark/>
          </w:tcPr>
          <w:p w14:paraId="6F8E9BB0" w14:textId="77777777" w:rsidR="005637ED" w:rsidRPr="004637C7" w:rsidRDefault="005637ED" w:rsidP="006D1412">
            <w:pPr>
              <w:rPr>
                <w:rFonts w:asciiTheme="minorHAnsi" w:hAnsiTheme="minorHAnsi" w:cstheme="minorHAnsi"/>
                <w:szCs w:val="20"/>
                <w:lang w:eastAsia="fr-FR" w:bidi="ar-SA"/>
              </w:rPr>
            </w:pPr>
          </w:p>
        </w:tc>
        <w:tc>
          <w:tcPr>
            <w:tcW w:w="486" w:type="pct"/>
            <w:vMerge w:val="restart"/>
            <w:hideMark/>
          </w:tcPr>
          <w:p w14:paraId="4CF7AEB1" w14:textId="77777777" w:rsidR="005637ED" w:rsidRPr="004637C7" w:rsidRDefault="005637ED" w:rsidP="006D1412">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sidRPr="004637C7">
              <w:rPr>
                <w:rFonts w:asciiTheme="minorHAnsi" w:hAnsiTheme="minorHAnsi" w:cstheme="minorHAnsi"/>
                <w:b/>
                <w:bCs/>
                <w:szCs w:val="20"/>
                <w:lang w:eastAsia="fr-FR" w:bidi="ar-SA"/>
              </w:rPr>
              <w:t>Atténuer</w:t>
            </w:r>
          </w:p>
        </w:tc>
        <w:tc>
          <w:tcPr>
            <w:tcW w:w="894" w:type="pct"/>
            <w:tcBorders>
              <w:bottom w:val="single" w:sz="4" w:space="0" w:color="B4C6E7" w:themeColor="accent1" w:themeTint="66"/>
            </w:tcBorders>
            <w:hideMark/>
          </w:tcPr>
          <w:p w14:paraId="54F58A9A" w14:textId="39017BDC" w:rsidR="005637ED" w:rsidRPr="004637C7" w:rsidRDefault="005637ED" w:rsidP="006D1412">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sidRPr="004637C7">
              <w:rPr>
                <w:rFonts w:asciiTheme="minorHAnsi" w:hAnsiTheme="minorHAnsi" w:cstheme="minorHAnsi"/>
                <w:szCs w:val="20"/>
                <w:lang w:eastAsia="fr-FR" w:bidi="ar-SA"/>
              </w:rPr>
              <w:t>Organiser des formations HSE, conduite et manutention pour renforcer l’employabilité locale.</w:t>
            </w:r>
          </w:p>
        </w:tc>
        <w:tc>
          <w:tcPr>
            <w:tcW w:w="564" w:type="pct"/>
            <w:vMerge w:val="restart"/>
            <w:hideMark/>
          </w:tcPr>
          <w:p w14:paraId="31A46B29" w14:textId="0E47BA5C" w:rsidR="005637ED" w:rsidRPr="004637C7" w:rsidRDefault="005637ED" w:rsidP="006D1412">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sidRPr="004637C7">
              <w:rPr>
                <w:rFonts w:asciiTheme="minorHAnsi" w:hAnsiTheme="minorHAnsi" w:cstheme="minorHAnsi"/>
                <w:szCs w:val="20"/>
                <w:lang w:eastAsia="fr-FR" w:bidi="ar-SA"/>
              </w:rPr>
              <w:t xml:space="preserve">Nb de personnes formées ; </w:t>
            </w:r>
          </w:p>
          <w:p w14:paraId="3CFAFF0D" w14:textId="77777777" w:rsidR="005637ED" w:rsidRPr="004637C7" w:rsidRDefault="005637ED" w:rsidP="006D1412">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sidRPr="004637C7">
              <w:rPr>
                <w:rFonts w:asciiTheme="minorHAnsi" w:hAnsiTheme="minorHAnsi" w:cstheme="minorHAnsi"/>
                <w:szCs w:val="20"/>
                <w:lang w:eastAsia="fr-FR" w:bidi="ar-SA"/>
              </w:rPr>
              <w:t xml:space="preserve">% de travailleurs locaux certifiés ; </w:t>
            </w:r>
          </w:p>
          <w:p w14:paraId="6AD308AA" w14:textId="686AFBDD" w:rsidR="005637ED" w:rsidRPr="004637C7" w:rsidRDefault="005637ED" w:rsidP="006D1412">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sidRPr="004637C7">
              <w:rPr>
                <w:rFonts w:asciiTheme="minorHAnsi" w:hAnsiTheme="minorHAnsi" w:cstheme="minorHAnsi"/>
                <w:szCs w:val="20"/>
                <w:lang w:eastAsia="fr-FR" w:bidi="ar-SA"/>
              </w:rPr>
              <w:t>Nb d’emplois indirects créés</w:t>
            </w:r>
          </w:p>
        </w:tc>
        <w:tc>
          <w:tcPr>
            <w:tcW w:w="351" w:type="pct"/>
            <w:vMerge w:val="restart"/>
            <w:hideMark/>
          </w:tcPr>
          <w:p w14:paraId="3D004FFA" w14:textId="6F37DB95" w:rsidR="005637ED" w:rsidRPr="004637C7" w:rsidRDefault="005637ED" w:rsidP="006D1412">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sidRPr="004637C7">
              <w:rPr>
                <w:rFonts w:asciiTheme="minorHAnsi" w:hAnsiTheme="minorHAnsi" w:cstheme="minorHAnsi"/>
                <w:szCs w:val="20"/>
                <w:lang w:eastAsia="fr-FR" w:bidi="ar-SA"/>
              </w:rPr>
              <w:t>EPC et sous-traitants</w:t>
            </w:r>
          </w:p>
        </w:tc>
        <w:tc>
          <w:tcPr>
            <w:tcW w:w="475" w:type="pct"/>
            <w:vMerge w:val="restart"/>
            <w:hideMark/>
          </w:tcPr>
          <w:p w14:paraId="50090B27" w14:textId="431379AE" w:rsidR="005637ED" w:rsidRPr="004637C7" w:rsidRDefault="005637ED" w:rsidP="006D1412">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sidRPr="00BC1745">
              <w:rPr>
                <w:szCs w:val="20"/>
              </w:rPr>
              <w:t>Bureau de contrôle / Consultant de supervision mandaté par l’ONDA</w:t>
            </w:r>
          </w:p>
        </w:tc>
        <w:tc>
          <w:tcPr>
            <w:tcW w:w="574" w:type="pct"/>
            <w:vMerge w:val="restart"/>
            <w:hideMark/>
          </w:tcPr>
          <w:p w14:paraId="05FDAF23" w14:textId="140F95AB" w:rsidR="005637ED" w:rsidRPr="004637C7" w:rsidRDefault="005637ED" w:rsidP="006D1412">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sidRPr="004637C7">
              <w:rPr>
                <w:rFonts w:asciiTheme="minorHAnsi" w:hAnsiTheme="minorHAnsi" w:cstheme="minorHAnsi"/>
                <w:szCs w:val="20"/>
                <w:lang w:eastAsia="fr-FR" w:bidi="ar-SA"/>
              </w:rPr>
              <w:t>ONDA</w:t>
            </w:r>
          </w:p>
        </w:tc>
        <w:tc>
          <w:tcPr>
            <w:tcW w:w="501" w:type="pct"/>
            <w:vMerge w:val="restart"/>
            <w:hideMark/>
          </w:tcPr>
          <w:p w14:paraId="70348EA1" w14:textId="77777777" w:rsidR="005637ED" w:rsidRPr="004637C7" w:rsidRDefault="005637ED" w:rsidP="006D1412">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sidRPr="004637C7">
              <w:rPr>
                <w:rFonts w:asciiTheme="minorHAnsi" w:hAnsiTheme="minorHAnsi" w:cstheme="minorHAnsi"/>
                <w:szCs w:val="20"/>
                <w:lang w:eastAsia="fr-FR" w:bidi="ar-SA"/>
              </w:rPr>
              <w:t>Durant la construction</w:t>
            </w:r>
          </w:p>
        </w:tc>
        <w:tc>
          <w:tcPr>
            <w:tcW w:w="589" w:type="pct"/>
            <w:tcBorders>
              <w:bottom w:val="single" w:sz="4" w:space="0" w:color="B4C6E7" w:themeColor="accent1" w:themeTint="66"/>
            </w:tcBorders>
            <w:hideMark/>
          </w:tcPr>
          <w:p w14:paraId="2B50AA2E" w14:textId="16702385" w:rsidR="005637ED" w:rsidRPr="004637C7" w:rsidRDefault="005637ED" w:rsidP="006D1412">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Pr>
                <w:rFonts w:asciiTheme="minorHAnsi" w:hAnsiTheme="minorHAnsi" w:cstheme="minorHAnsi"/>
                <w:szCs w:val="20"/>
                <w:lang w:eastAsia="fr-FR" w:bidi="ar-SA"/>
              </w:rPr>
              <w:t>4000/Formateur/jour</w:t>
            </w:r>
          </w:p>
        </w:tc>
      </w:tr>
      <w:tr w:rsidR="005637ED" w:rsidRPr="00A84611" w14:paraId="52FCA8F3" w14:textId="77777777" w:rsidTr="005637ED">
        <w:trPr>
          <w:trHeight w:val="1985"/>
        </w:trPr>
        <w:tc>
          <w:tcPr>
            <w:cnfStyle w:val="001000000000" w:firstRow="0" w:lastRow="0" w:firstColumn="1" w:lastColumn="0" w:oddVBand="0" w:evenVBand="0" w:oddHBand="0" w:evenHBand="0" w:firstRowFirstColumn="0" w:firstRowLastColumn="0" w:lastRowFirstColumn="0" w:lastRowLastColumn="0"/>
            <w:tcW w:w="565" w:type="pct"/>
            <w:vMerge/>
          </w:tcPr>
          <w:p w14:paraId="7DA0728D" w14:textId="77777777" w:rsidR="005637ED" w:rsidRPr="004637C7" w:rsidRDefault="005637ED" w:rsidP="006D1412">
            <w:pPr>
              <w:rPr>
                <w:rFonts w:asciiTheme="minorHAnsi" w:hAnsiTheme="minorHAnsi" w:cstheme="minorHAnsi"/>
                <w:szCs w:val="20"/>
                <w:lang w:eastAsia="fr-FR" w:bidi="ar-SA"/>
              </w:rPr>
            </w:pPr>
          </w:p>
        </w:tc>
        <w:tc>
          <w:tcPr>
            <w:tcW w:w="486" w:type="pct"/>
            <w:vMerge/>
          </w:tcPr>
          <w:p w14:paraId="0F577AB8" w14:textId="77777777" w:rsidR="005637ED" w:rsidRPr="004637C7" w:rsidRDefault="005637ED" w:rsidP="006D1412">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Cs w:val="20"/>
                <w:lang w:eastAsia="fr-FR" w:bidi="ar-SA"/>
              </w:rPr>
            </w:pPr>
          </w:p>
        </w:tc>
        <w:tc>
          <w:tcPr>
            <w:tcW w:w="894" w:type="pct"/>
            <w:tcBorders>
              <w:top w:val="single" w:sz="4" w:space="0" w:color="B4C6E7" w:themeColor="accent1" w:themeTint="66"/>
            </w:tcBorders>
          </w:tcPr>
          <w:p w14:paraId="7F4C9BC9" w14:textId="77777777" w:rsidR="005637ED" w:rsidRPr="004637C7" w:rsidRDefault="005637ED" w:rsidP="005637E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sidRPr="004637C7">
              <w:rPr>
                <w:rFonts w:asciiTheme="minorHAnsi" w:hAnsiTheme="minorHAnsi" w:cstheme="minorHAnsi"/>
                <w:szCs w:val="20"/>
                <w:lang w:eastAsia="fr-FR" w:bidi="ar-SA"/>
              </w:rPr>
              <w:t xml:space="preserve"> Promouvoir l’embauche de jeunes sans qualification issus de la commune. </w:t>
            </w:r>
          </w:p>
          <w:p w14:paraId="2A0BA31C" w14:textId="77777777" w:rsidR="005637ED" w:rsidRPr="004637C7" w:rsidRDefault="005637ED" w:rsidP="005637E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sidRPr="004637C7">
              <w:rPr>
                <w:rFonts w:asciiTheme="minorHAnsi" w:hAnsiTheme="minorHAnsi" w:cstheme="minorHAnsi"/>
                <w:szCs w:val="20"/>
                <w:lang w:eastAsia="fr-FR" w:bidi="ar-SA"/>
              </w:rPr>
              <w:t>Encourager les emplois indirects (restauration, transport, hébergement).</w:t>
            </w:r>
          </w:p>
        </w:tc>
        <w:tc>
          <w:tcPr>
            <w:tcW w:w="564" w:type="pct"/>
            <w:vMerge/>
          </w:tcPr>
          <w:p w14:paraId="1B7D40D7" w14:textId="77777777" w:rsidR="005637ED" w:rsidRPr="004637C7" w:rsidRDefault="005637ED" w:rsidP="006D1412">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p>
        </w:tc>
        <w:tc>
          <w:tcPr>
            <w:tcW w:w="351" w:type="pct"/>
            <w:vMerge/>
          </w:tcPr>
          <w:p w14:paraId="2F2D3F83" w14:textId="77777777" w:rsidR="005637ED" w:rsidRPr="004637C7" w:rsidRDefault="005637ED" w:rsidP="006D1412">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p>
        </w:tc>
        <w:tc>
          <w:tcPr>
            <w:tcW w:w="475" w:type="pct"/>
            <w:vMerge/>
          </w:tcPr>
          <w:p w14:paraId="75EA6266" w14:textId="77777777" w:rsidR="005637ED" w:rsidRPr="00BC1745" w:rsidRDefault="005637ED" w:rsidP="006D1412">
            <w:pPr>
              <w:cnfStyle w:val="000000000000" w:firstRow="0" w:lastRow="0" w:firstColumn="0" w:lastColumn="0" w:oddVBand="0" w:evenVBand="0" w:oddHBand="0" w:evenHBand="0" w:firstRowFirstColumn="0" w:firstRowLastColumn="0" w:lastRowFirstColumn="0" w:lastRowLastColumn="0"/>
              <w:rPr>
                <w:szCs w:val="20"/>
              </w:rPr>
            </w:pPr>
          </w:p>
        </w:tc>
        <w:tc>
          <w:tcPr>
            <w:tcW w:w="574" w:type="pct"/>
            <w:vMerge/>
          </w:tcPr>
          <w:p w14:paraId="3BCDCCC7" w14:textId="77777777" w:rsidR="005637ED" w:rsidRPr="004637C7" w:rsidRDefault="005637ED" w:rsidP="006D1412">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p>
        </w:tc>
        <w:tc>
          <w:tcPr>
            <w:tcW w:w="501" w:type="pct"/>
            <w:vMerge/>
          </w:tcPr>
          <w:p w14:paraId="6135D385" w14:textId="77777777" w:rsidR="005637ED" w:rsidRPr="004637C7" w:rsidRDefault="005637ED" w:rsidP="006D1412">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p>
        </w:tc>
        <w:tc>
          <w:tcPr>
            <w:tcW w:w="589" w:type="pct"/>
            <w:tcBorders>
              <w:top w:val="single" w:sz="4" w:space="0" w:color="B4C6E7" w:themeColor="accent1" w:themeTint="66"/>
            </w:tcBorders>
          </w:tcPr>
          <w:p w14:paraId="69007E5D" w14:textId="1D83130C" w:rsidR="005637ED" w:rsidRPr="004637C7" w:rsidRDefault="005637ED" w:rsidP="006D1412">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Pr>
                <w:rFonts w:asciiTheme="minorHAnsi" w:hAnsiTheme="minorHAnsi" w:cstheme="minorHAnsi"/>
                <w:szCs w:val="20"/>
                <w:lang w:eastAsia="fr-FR" w:bidi="ar-SA"/>
              </w:rPr>
              <w:t>Aucun coût spécifique</w:t>
            </w:r>
          </w:p>
        </w:tc>
      </w:tr>
      <w:tr w:rsidR="00C17AB9" w:rsidRPr="00A84611" w14:paraId="03EDA4CF" w14:textId="77777777" w:rsidTr="005A7661">
        <w:tc>
          <w:tcPr>
            <w:cnfStyle w:val="001000000000" w:firstRow="0" w:lastRow="0" w:firstColumn="1" w:lastColumn="0" w:oddVBand="0" w:evenVBand="0" w:oddHBand="0" w:evenHBand="0" w:firstRowFirstColumn="0" w:firstRowLastColumn="0" w:lastRowFirstColumn="0" w:lastRowLastColumn="0"/>
            <w:tcW w:w="565" w:type="pct"/>
            <w:vMerge w:val="restart"/>
            <w:hideMark/>
          </w:tcPr>
          <w:p w14:paraId="7C731DE4" w14:textId="77777777" w:rsidR="00C17AB9" w:rsidRPr="004637C7" w:rsidRDefault="00C17AB9" w:rsidP="006D1412">
            <w:pPr>
              <w:rPr>
                <w:rFonts w:asciiTheme="minorHAnsi" w:hAnsiTheme="minorHAnsi" w:cstheme="minorHAnsi"/>
                <w:szCs w:val="20"/>
                <w:lang w:eastAsia="fr-FR" w:bidi="ar-SA"/>
              </w:rPr>
            </w:pPr>
            <w:r w:rsidRPr="004637C7">
              <w:rPr>
                <w:rFonts w:asciiTheme="minorHAnsi" w:hAnsiTheme="minorHAnsi" w:cstheme="minorHAnsi"/>
                <w:szCs w:val="20"/>
                <w:lang w:eastAsia="fr-FR" w:bidi="ar-SA"/>
              </w:rPr>
              <w:t>Inclusion sociale et participation économique des groupes vulnérables</w:t>
            </w:r>
          </w:p>
        </w:tc>
        <w:tc>
          <w:tcPr>
            <w:tcW w:w="486" w:type="pct"/>
            <w:hideMark/>
          </w:tcPr>
          <w:p w14:paraId="674EB321" w14:textId="77777777" w:rsidR="00C17AB9" w:rsidRPr="004637C7" w:rsidRDefault="00C17AB9" w:rsidP="006D1412">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sidRPr="004637C7">
              <w:rPr>
                <w:rFonts w:asciiTheme="minorHAnsi" w:hAnsiTheme="minorHAnsi" w:cstheme="minorHAnsi"/>
                <w:b/>
                <w:bCs/>
                <w:szCs w:val="20"/>
                <w:lang w:eastAsia="fr-FR" w:bidi="ar-SA"/>
              </w:rPr>
              <w:t>Éviter</w:t>
            </w:r>
          </w:p>
        </w:tc>
        <w:tc>
          <w:tcPr>
            <w:tcW w:w="894" w:type="pct"/>
            <w:hideMark/>
          </w:tcPr>
          <w:p w14:paraId="7CA9ED3B" w14:textId="77777777" w:rsidR="00C17AB9" w:rsidRPr="004637C7" w:rsidRDefault="00C17AB9" w:rsidP="006D1412">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sidRPr="004637C7">
              <w:rPr>
                <w:rFonts w:asciiTheme="minorHAnsi" w:hAnsiTheme="minorHAnsi" w:cstheme="minorHAnsi"/>
                <w:szCs w:val="20"/>
                <w:lang w:eastAsia="fr-FR" w:bidi="ar-SA"/>
              </w:rPr>
              <w:t xml:space="preserve">Éviter toute forme de discrimination fondée sur le genre, l’âge, la situation familiale ou le handicap dans le recrutement. </w:t>
            </w:r>
          </w:p>
          <w:p w14:paraId="28D2F5D4" w14:textId="77777777" w:rsidR="00C17AB9" w:rsidRPr="004637C7" w:rsidRDefault="00C17AB9" w:rsidP="006D1412">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sidRPr="004637C7">
              <w:rPr>
                <w:rFonts w:asciiTheme="minorHAnsi" w:hAnsiTheme="minorHAnsi" w:cstheme="minorHAnsi"/>
                <w:szCs w:val="20"/>
                <w:lang w:eastAsia="fr-FR" w:bidi="ar-SA"/>
              </w:rPr>
              <w:t xml:space="preserve">Exiger que les sous-traitants respectent ces principes par clause contractuelle. </w:t>
            </w:r>
          </w:p>
          <w:p w14:paraId="513AEA34" w14:textId="5175A1F4" w:rsidR="00C17AB9" w:rsidRPr="004637C7" w:rsidRDefault="00C17AB9" w:rsidP="006D1412">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sidRPr="004637C7">
              <w:rPr>
                <w:rFonts w:asciiTheme="minorHAnsi" w:hAnsiTheme="minorHAnsi" w:cstheme="minorHAnsi"/>
                <w:szCs w:val="20"/>
                <w:lang w:eastAsia="fr-FR" w:bidi="ar-SA"/>
              </w:rPr>
              <w:lastRenderedPageBreak/>
              <w:t>Garantir un processus transparent via un registre de candidatures.</w:t>
            </w:r>
          </w:p>
        </w:tc>
        <w:tc>
          <w:tcPr>
            <w:tcW w:w="564" w:type="pct"/>
            <w:hideMark/>
          </w:tcPr>
          <w:p w14:paraId="3A441795" w14:textId="77777777" w:rsidR="00C17AB9" w:rsidRPr="004637C7" w:rsidRDefault="00C17AB9" w:rsidP="006D1412">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sidRPr="004637C7">
              <w:rPr>
                <w:rFonts w:asciiTheme="minorHAnsi" w:hAnsiTheme="minorHAnsi" w:cstheme="minorHAnsi"/>
                <w:szCs w:val="20"/>
                <w:lang w:eastAsia="fr-FR" w:bidi="ar-SA"/>
              </w:rPr>
              <w:lastRenderedPageBreak/>
              <w:t xml:space="preserve">Zéro incident de discrimination ; </w:t>
            </w:r>
          </w:p>
          <w:p w14:paraId="5C37B856" w14:textId="7803219D" w:rsidR="00C17AB9" w:rsidRPr="004637C7" w:rsidRDefault="00C17AB9" w:rsidP="006D1412">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sidRPr="004637C7">
              <w:rPr>
                <w:rFonts w:asciiTheme="minorHAnsi" w:hAnsiTheme="minorHAnsi" w:cstheme="minorHAnsi"/>
                <w:szCs w:val="20"/>
                <w:lang w:eastAsia="fr-FR" w:bidi="ar-SA"/>
              </w:rPr>
              <w:t>% de contrats conformes aux clauses sociales</w:t>
            </w:r>
          </w:p>
        </w:tc>
        <w:tc>
          <w:tcPr>
            <w:tcW w:w="351" w:type="pct"/>
            <w:hideMark/>
          </w:tcPr>
          <w:p w14:paraId="60A7A736" w14:textId="7BA3D8C0" w:rsidR="00C17AB9" w:rsidRPr="004637C7" w:rsidRDefault="00C17AB9" w:rsidP="006D1412">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sidRPr="004637C7">
              <w:rPr>
                <w:rFonts w:asciiTheme="minorHAnsi" w:hAnsiTheme="minorHAnsi" w:cstheme="minorHAnsi"/>
                <w:szCs w:val="20"/>
                <w:lang w:eastAsia="fr-FR" w:bidi="ar-SA"/>
              </w:rPr>
              <w:t>EPC et sous-traitants</w:t>
            </w:r>
          </w:p>
        </w:tc>
        <w:tc>
          <w:tcPr>
            <w:tcW w:w="475" w:type="pct"/>
            <w:hideMark/>
          </w:tcPr>
          <w:p w14:paraId="1AC6B902" w14:textId="10508649" w:rsidR="00C17AB9" w:rsidRPr="004637C7" w:rsidRDefault="00C17AB9" w:rsidP="006D1412">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sidRPr="00BC1745">
              <w:rPr>
                <w:szCs w:val="20"/>
              </w:rPr>
              <w:t>Bureau de contrôle / Consultant de supervision mandaté par l’ONDA</w:t>
            </w:r>
          </w:p>
        </w:tc>
        <w:tc>
          <w:tcPr>
            <w:tcW w:w="574" w:type="pct"/>
            <w:hideMark/>
          </w:tcPr>
          <w:p w14:paraId="54B434E7" w14:textId="503704EE" w:rsidR="00C17AB9" w:rsidRPr="004637C7" w:rsidRDefault="00C17AB9" w:rsidP="006D1412">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sidRPr="004637C7">
              <w:rPr>
                <w:rFonts w:asciiTheme="minorHAnsi" w:hAnsiTheme="minorHAnsi" w:cstheme="minorHAnsi"/>
                <w:szCs w:val="20"/>
                <w:lang w:eastAsia="fr-FR" w:bidi="ar-SA"/>
              </w:rPr>
              <w:t>ONDA</w:t>
            </w:r>
          </w:p>
        </w:tc>
        <w:tc>
          <w:tcPr>
            <w:tcW w:w="501" w:type="pct"/>
            <w:hideMark/>
          </w:tcPr>
          <w:p w14:paraId="205E5E15" w14:textId="77777777" w:rsidR="00C17AB9" w:rsidRPr="004637C7" w:rsidRDefault="00C17AB9" w:rsidP="006D1412">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sidRPr="004637C7">
              <w:rPr>
                <w:rFonts w:asciiTheme="minorHAnsi" w:hAnsiTheme="minorHAnsi" w:cstheme="minorHAnsi"/>
                <w:szCs w:val="20"/>
                <w:lang w:eastAsia="fr-FR" w:bidi="ar-SA"/>
              </w:rPr>
              <w:t>Avant et pendant la mobilisation</w:t>
            </w:r>
          </w:p>
        </w:tc>
        <w:tc>
          <w:tcPr>
            <w:tcW w:w="589" w:type="pct"/>
            <w:hideMark/>
          </w:tcPr>
          <w:p w14:paraId="5F4C0F23" w14:textId="77777777" w:rsidR="00C17AB9" w:rsidRPr="004637C7" w:rsidRDefault="00C17AB9" w:rsidP="006D1412">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sidRPr="004637C7">
              <w:rPr>
                <w:rFonts w:asciiTheme="minorHAnsi" w:hAnsiTheme="minorHAnsi" w:cstheme="minorHAnsi"/>
                <w:szCs w:val="20"/>
                <w:lang w:eastAsia="fr-FR" w:bidi="ar-SA"/>
              </w:rPr>
              <w:t>Aucun coût spécifique</w:t>
            </w:r>
          </w:p>
        </w:tc>
      </w:tr>
      <w:tr w:rsidR="00C17AB9" w:rsidRPr="00A84611" w14:paraId="6D717D25" w14:textId="77777777" w:rsidTr="005A7661">
        <w:tc>
          <w:tcPr>
            <w:cnfStyle w:val="001000000000" w:firstRow="0" w:lastRow="0" w:firstColumn="1" w:lastColumn="0" w:oddVBand="0" w:evenVBand="0" w:oddHBand="0" w:evenHBand="0" w:firstRowFirstColumn="0" w:firstRowLastColumn="0" w:lastRowFirstColumn="0" w:lastRowLastColumn="0"/>
            <w:tcW w:w="565" w:type="pct"/>
            <w:vMerge/>
            <w:hideMark/>
          </w:tcPr>
          <w:p w14:paraId="4ED84CAD" w14:textId="77777777" w:rsidR="00C17AB9" w:rsidRPr="004637C7" w:rsidRDefault="00C17AB9" w:rsidP="006D1412">
            <w:pPr>
              <w:rPr>
                <w:rFonts w:asciiTheme="minorHAnsi" w:hAnsiTheme="minorHAnsi" w:cstheme="minorHAnsi"/>
                <w:szCs w:val="20"/>
                <w:lang w:eastAsia="fr-FR" w:bidi="ar-SA"/>
              </w:rPr>
            </w:pPr>
          </w:p>
        </w:tc>
        <w:tc>
          <w:tcPr>
            <w:tcW w:w="486" w:type="pct"/>
            <w:hideMark/>
          </w:tcPr>
          <w:p w14:paraId="5B025A85" w14:textId="77777777" w:rsidR="00C17AB9" w:rsidRPr="004637C7" w:rsidRDefault="00C17AB9" w:rsidP="006D1412">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sidRPr="004637C7">
              <w:rPr>
                <w:rFonts w:asciiTheme="minorHAnsi" w:hAnsiTheme="minorHAnsi" w:cstheme="minorHAnsi"/>
                <w:b/>
                <w:bCs/>
                <w:szCs w:val="20"/>
                <w:lang w:eastAsia="fr-FR" w:bidi="ar-SA"/>
              </w:rPr>
              <w:t>Réduire</w:t>
            </w:r>
          </w:p>
        </w:tc>
        <w:tc>
          <w:tcPr>
            <w:tcW w:w="894" w:type="pct"/>
            <w:hideMark/>
          </w:tcPr>
          <w:p w14:paraId="31C29D23" w14:textId="79CFD79B" w:rsidR="00C17AB9" w:rsidRPr="004637C7" w:rsidRDefault="00C17AB9" w:rsidP="006D1412">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sidRPr="004637C7">
              <w:rPr>
                <w:rFonts w:asciiTheme="minorHAnsi" w:hAnsiTheme="minorHAnsi" w:cstheme="minorHAnsi"/>
                <w:szCs w:val="20"/>
                <w:lang w:eastAsia="fr-FR" w:bidi="ar-SA"/>
              </w:rPr>
              <w:t xml:space="preserve">Fixer un % de femmes et jeunes vulnérables parmi la main-d’œuvre non qualifiée. </w:t>
            </w:r>
          </w:p>
          <w:p w14:paraId="098AAF23" w14:textId="77777777" w:rsidR="00C17AB9" w:rsidRPr="004637C7" w:rsidRDefault="00C17AB9" w:rsidP="006D1412">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sidRPr="004637C7">
              <w:rPr>
                <w:rFonts w:asciiTheme="minorHAnsi" w:hAnsiTheme="minorHAnsi" w:cstheme="minorHAnsi"/>
                <w:szCs w:val="20"/>
                <w:lang w:eastAsia="fr-FR" w:bidi="ar-SA"/>
              </w:rPr>
              <w:t xml:space="preserve">Adapter les horaires, sanitaires et éclairage pour la participation féminine. </w:t>
            </w:r>
          </w:p>
          <w:p w14:paraId="5516442B" w14:textId="77777777" w:rsidR="00C17AB9" w:rsidRPr="004637C7" w:rsidRDefault="00C17AB9" w:rsidP="006D1412">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sidRPr="004637C7">
              <w:rPr>
                <w:rFonts w:asciiTheme="minorHAnsi" w:hAnsiTheme="minorHAnsi" w:cstheme="minorHAnsi"/>
                <w:szCs w:val="20"/>
                <w:lang w:eastAsia="fr-FR" w:bidi="ar-SA"/>
              </w:rPr>
              <w:t>Collaborer avec associations locales et ANAPEC pour l’identification de profils.</w:t>
            </w:r>
          </w:p>
          <w:p w14:paraId="045779B6" w14:textId="2D8E0B54" w:rsidR="00C17AB9" w:rsidRPr="004637C7" w:rsidRDefault="00C17AB9" w:rsidP="006D1412">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sidRPr="004637C7">
              <w:rPr>
                <w:rFonts w:asciiTheme="minorHAnsi" w:hAnsiTheme="minorHAnsi" w:cstheme="minorHAnsi"/>
                <w:szCs w:val="20"/>
                <w:lang w:eastAsia="fr-FR" w:bidi="ar-SA"/>
              </w:rPr>
              <w:t>Intégrer un suivi genré de l’emploi dans les rapports mensuels.</w:t>
            </w:r>
          </w:p>
        </w:tc>
        <w:tc>
          <w:tcPr>
            <w:tcW w:w="564" w:type="pct"/>
            <w:hideMark/>
          </w:tcPr>
          <w:p w14:paraId="68BC81A2" w14:textId="77777777" w:rsidR="00C17AB9" w:rsidRPr="004637C7" w:rsidRDefault="00C17AB9" w:rsidP="006D1412">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sidRPr="004637C7">
              <w:rPr>
                <w:rFonts w:asciiTheme="minorHAnsi" w:hAnsiTheme="minorHAnsi" w:cstheme="minorHAnsi"/>
                <w:szCs w:val="20"/>
                <w:lang w:eastAsia="fr-FR" w:bidi="ar-SA"/>
              </w:rPr>
              <w:t xml:space="preserve">% de femmes / jeunes vulnérables recrutés ; </w:t>
            </w:r>
          </w:p>
          <w:p w14:paraId="52B886A2" w14:textId="77777777" w:rsidR="00C17AB9" w:rsidRPr="004637C7" w:rsidRDefault="00C17AB9" w:rsidP="006D1412">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sidRPr="004637C7">
              <w:rPr>
                <w:rFonts w:asciiTheme="minorHAnsi" w:hAnsiTheme="minorHAnsi" w:cstheme="minorHAnsi"/>
                <w:szCs w:val="20"/>
                <w:lang w:eastAsia="fr-FR" w:bidi="ar-SA"/>
              </w:rPr>
              <w:t xml:space="preserve">Nb d’accords signés ; </w:t>
            </w:r>
          </w:p>
          <w:p w14:paraId="2AE4E2FB" w14:textId="33717CDA" w:rsidR="00C17AB9" w:rsidRPr="004637C7" w:rsidRDefault="00C17AB9" w:rsidP="006D1412">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sidRPr="004637C7">
              <w:rPr>
                <w:rFonts w:asciiTheme="minorHAnsi" w:hAnsiTheme="minorHAnsi" w:cstheme="minorHAnsi"/>
                <w:szCs w:val="20"/>
                <w:lang w:eastAsia="fr-FR" w:bidi="ar-SA"/>
              </w:rPr>
              <w:t>Présence du rapport de suivi</w:t>
            </w:r>
          </w:p>
        </w:tc>
        <w:tc>
          <w:tcPr>
            <w:tcW w:w="351" w:type="pct"/>
            <w:hideMark/>
          </w:tcPr>
          <w:p w14:paraId="29E482F0" w14:textId="6039BA0E" w:rsidR="00C17AB9" w:rsidRPr="004637C7" w:rsidRDefault="00C17AB9" w:rsidP="006D1412">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sidRPr="004637C7">
              <w:rPr>
                <w:rFonts w:asciiTheme="minorHAnsi" w:hAnsiTheme="minorHAnsi" w:cstheme="minorHAnsi"/>
                <w:szCs w:val="20"/>
                <w:lang w:eastAsia="fr-FR" w:bidi="ar-SA"/>
              </w:rPr>
              <w:t>EPC et sous-traitants</w:t>
            </w:r>
          </w:p>
        </w:tc>
        <w:tc>
          <w:tcPr>
            <w:tcW w:w="475" w:type="pct"/>
            <w:hideMark/>
          </w:tcPr>
          <w:p w14:paraId="3E7FFD2A" w14:textId="68AEFA77" w:rsidR="00C17AB9" w:rsidRPr="004637C7" w:rsidRDefault="00C17AB9" w:rsidP="006D1412">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sidRPr="00BC1745">
              <w:rPr>
                <w:szCs w:val="20"/>
              </w:rPr>
              <w:t>Bureau de contrôle / Consultant de supervision mandaté par l’ONDA</w:t>
            </w:r>
          </w:p>
        </w:tc>
        <w:tc>
          <w:tcPr>
            <w:tcW w:w="574" w:type="pct"/>
            <w:hideMark/>
          </w:tcPr>
          <w:p w14:paraId="4F201524" w14:textId="442E96E1" w:rsidR="00C17AB9" w:rsidRPr="004637C7" w:rsidRDefault="00C17AB9" w:rsidP="006D1412">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sidRPr="004637C7">
              <w:rPr>
                <w:rFonts w:asciiTheme="minorHAnsi" w:hAnsiTheme="minorHAnsi" w:cstheme="minorHAnsi"/>
                <w:szCs w:val="20"/>
                <w:lang w:eastAsia="fr-FR" w:bidi="ar-SA"/>
              </w:rPr>
              <w:t>ONDA</w:t>
            </w:r>
          </w:p>
        </w:tc>
        <w:tc>
          <w:tcPr>
            <w:tcW w:w="501" w:type="pct"/>
            <w:hideMark/>
          </w:tcPr>
          <w:p w14:paraId="1CD7DA9A" w14:textId="77777777" w:rsidR="00C17AB9" w:rsidRPr="004637C7" w:rsidRDefault="00C17AB9" w:rsidP="006D1412">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sidRPr="004637C7">
              <w:rPr>
                <w:rFonts w:asciiTheme="minorHAnsi" w:hAnsiTheme="minorHAnsi" w:cstheme="minorHAnsi"/>
                <w:szCs w:val="20"/>
                <w:lang w:eastAsia="fr-FR" w:bidi="ar-SA"/>
              </w:rPr>
              <w:t>Tout au long du chantier</w:t>
            </w:r>
          </w:p>
        </w:tc>
        <w:tc>
          <w:tcPr>
            <w:tcW w:w="589" w:type="pct"/>
            <w:hideMark/>
          </w:tcPr>
          <w:p w14:paraId="1FE9F53A" w14:textId="2535B774" w:rsidR="00C17AB9" w:rsidRPr="004637C7" w:rsidRDefault="00C17AB9" w:rsidP="006D1412">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sidRPr="004637C7">
              <w:rPr>
                <w:rFonts w:asciiTheme="minorHAnsi" w:hAnsiTheme="minorHAnsi" w:cstheme="minorHAnsi"/>
                <w:szCs w:val="20"/>
                <w:lang w:eastAsia="fr-FR" w:bidi="ar-SA"/>
              </w:rPr>
              <w:t>Aucun coût spécifique</w:t>
            </w:r>
          </w:p>
        </w:tc>
      </w:tr>
      <w:tr w:rsidR="00C17AB9" w:rsidRPr="00A84611" w14:paraId="17353FFE" w14:textId="77777777" w:rsidTr="00D60FC9">
        <w:trPr>
          <w:trHeight w:val="427"/>
        </w:trPr>
        <w:tc>
          <w:tcPr>
            <w:cnfStyle w:val="001000000000" w:firstRow="0" w:lastRow="0" w:firstColumn="1" w:lastColumn="0" w:oddVBand="0" w:evenVBand="0" w:oddHBand="0" w:evenHBand="0" w:firstRowFirstColumn="0" w:firstRowLastColumn="0" w:lastRowFirstColumn="0" w:lastRowLastColumn="0"/>
            <w:tcW w:w="0" w:type="pct"/>
            <w:vMerge/>
            <w:hideMark/>
          </w:tcPr>
          <w:p w14:paraId="35DAF4CB" w14:textId="77777777" w:rsidR="00C17AB9" w:rsidRPr="004637C7" w:rsidRDefault="00C17AB9" w:rsidP="006D1412">
            <w:pPr>
              <w:rPr>
                <w:rFonts w:asciiTheme="minorHAnsi" w:hAnsiTheme="minorHAnsi" w:cstheme="minorHAnsi"/>
                <w:szCs w:val="20"/>
                <w:lang w:eastAsia="fr-FR" w:bidi="ar-SA"/>
              </w:rPr>
            </w:pPr>
          </w:p>
        </w:tc>
        <w:tc>
          <w:tcPr>
            <w:tcW w:w="0" w:type="pct"/>
            <w:vMerge w:val="restart"/>
            <w:hideMark/>
          </w:tcPr>
          <w:p w14:paraId="2BEDEF6E" w14:textId="77777777" w:rsidR="00C17AB9" w:rsidRPr="004637C7" w:rsidRDefault="00C17AB9" w:rsidP="006D1412">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sidRPr="004637C7">
              <w:rPr>
                <w:rFonts w:asciiTheme="minorHAnsi" w:hAnsiTheme="minorHAnsi" w:cstheme="minorHAnsi"/>
                <w:b/>
                <w:bCs/>
                <w:szCs w:val="20"/>
                <w:lang w:eastAsia="fr-FR" w:bidi="ar-SA"/>
              </w:rPr>
              <w:t>Atténuer</w:t>
            </w:r>
          </w:p>
        </w:tc>
        <w:tc>
          <w:tcPr>
            <w:tcW w:w="0" w:type="pct"/>
            <w:vMerge w:val="restart"/>
            <w:hideMark/>
          </w:tcPr>
          <w:p w14:paraId="62072713" w14:textId="2AFA8F4E" w:rsidR="00C17AB9" w:rsidRPr="004637C7" w:rsidRDefault="00C17AB9" w:rsidP="006D1412">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sidRPr="004637C7">
              <w:rPr>
                <w:rFonts w:asciiTheme="minorHAnsi" w:hAnsiTheme="minorHAnsi" w:cstheme="minorHAnsi"/>
                <w:szCs w:val="20"/>
                <w:lang w:eastAsia="fr-FR" w:bidi="ar-SA"/>
              </w:rPr>
              <w:t xml:space="preserve">Organiser des campagnes de sensibilisation à l’égalité, au respect mutuel et à la prévention du harcèlement. </w:t>
            </w:r>
          </w:p>
        </w:tc>
        <w:tc>
          <w:tcPr>
            <w:tcW w:w="0" w:type="pct"/>
            <w:vMerge w:val="restart"/>
            <w:hideMark/>
          </w:tcPr>
          <w:p w14:paraId="4772F51E" w14:textId="77777777" w:rsidR="00C17AB9" w:rsidRPr="004637C7" w:rsidRDefault="00C17AB9" w:rsidP="006D1412">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sidRPr="004637C7">
              <w:rPr>
                <w:rFonts w:asciiTheme="minorHAnsi" w:hAnsiTheme="minorHAnsi" w:cstheme="minorHAnsi"/>
                <w:szCs w:val="20"/>
                <w:lang w:eastAsia="fr-FR" w:bidi="ar-SA"/>
              </w:rPr>
              <w:t>Nombre de sessions de sensibilisation ; % du personnel formé ; nombre de plaintes traitées</w:t>
            </w:r>
          </w:p>
        </w:tc>
        <w:tc>
          <w:tcPr>
            <w:tcW w:w="0" w:type="pct"/>
            <w:vMerge w:val="restart"/>
            <w:hideMark/>
          </w:tcPr>
          <w:p w14:paraId="20326B59" w14:textId="397D7BB9" w:rsidR="00C17AB9" w:rsidRPr="004637C7" w:rsidRDefault="00C17AB9" w:rsidP="006D1412">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sidRPr="004637C7">
              <w:rPr>
                <w:rFonts w:asciiTheme="minorHAnsi" w:hAnsiTheme="minorHAnsi" w:cstheme="minorHAnsi"/>
                <w:szCs w:val="20"/>
                <w:lang w:eastAsia="fr-FR" w:bidi="ar-SA"/>
              </w:rPr>
              <w:t>EPC et sous-traitants</w:t>
            </w:r>
          </w:p>
        </w:tc>
        <w:tc>
          <w:tcPr>
            <w:tcW w:w="0" w:type="pct"/>
            <w:vMerge w:val="restart"/>
            <w:hideMark/>
          </w:tcPr>
          <w:p w14:paraId="494CFAF1" w14:textId="6C36FDC6" w:rsidR="00C17AB9" w:rsidRPr="004637C7" w:rsidRDefault="00C17AB9" w:rsidP="006D1412">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sidRPr="00BC1745">
              <w:rPr>
                <w:szCs w:val="20"/>
              </w:rPr>
              <w:t>Bureau de contrôle / Consultant de supervision mandaté par l’ONDA</w:t>
            </w:r>
          </w:p>
        </w:tc>
        <w:tc>
          <w:tcPr>
            <w:tcW w:w="0" w:type="pct"/>
            <w:vMerge w:val="restart"/>
            <w:hideMark/>
          </w:tcPr>
          <w:p w14:paraId="2943BF93" w14:textId="3A056809" w:rsidR="00C17AB9" w:rsidRPr="004637C7" w:rsidRDefault="00C17AB9" w:rsidP="006D1412">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sidRPr="004637C7">
              <w:rPr>
                <w:rFonts w:asciiTheme="minorHAnsi" w:hAnsiTheme="minorHAnsi" w:cstheme="minorHAnsi"/>
                <w:szCs w:val="20"/>
                <w:lang w:eastAsia="fr-FR" w:bidi="ar-SA"/>
              </w:rPr>
              <w:t>ONDA</w:t>
            </w:r>
          </w:p>
        </w:tc>
        <w:tc>
          <w:tcPr>
            <w:tcW w:w="0" w:type="pct"/>
            <w:vMerge w:val="restart"/>
            <w:hideMark/>
          </w:tcPr>
          <w:p w14:paraId="271943F2" w14:textId="77777777" w:rsidR="00C17AB9" w:rsidRPr="004637C7" w:rsidRDefault="00C17AB9" w:rsidP="006D1412">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sidRPr="004637C7">
              <w:rPr>
                <w:rFonts w:asciiTheme="minorHAnsi" w:hAnsiTheme="minorHAnsi" w:cstheme="minorHAnsi"/>
                <w:szCs w:val="20"/>
                <w:lang w:eastAsia="fr-FR" w:bidi="ar-SA"/>
              </w:rPr>
              <w:t>Durant toute la construction</w:t>
            </w:r>
          </w:p>
        </w:tc>
        <w:tc>
          <w:tcPr>
            <w:tcW w:w="0" w:type="pct"/>
            <w:tcBorders>
              <w:bottom w:val="single" w:sz="4" w:space="0" w:color="B4C6E7" w:themeColor="accent1" w:themeTint="66"/>
            </w:tcBorders>
            <w:hideMark/>
          </w:tcPr>
          <w:p w14:paraId="0F5050B7" w14:textId="684CF626" w:rsidR="00C17AB9" w:rsidRPr="004637C7" w:rsidRDefault="00C17AB9" w:rsidP="006D1412">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sidRPr="004637C7">
              <w:rPr>
                <w:rFonts w:asciiTheme="minorHAnsi" w:hAnsiTheme="minorHAnsi" w:cstheme="minorHAnsi"/>
                <w:szCs w:val="20"/>
                <w:lang w:eastAsia="fr-FR" w:bidi="ar-SA"/>
              </w:rPr>
              <w:t>4000MAD/Formateur/jour</w:t>
            </w:r>
          </w:p>
        </w:tc>
      </w:tr>
      <w:tr w:rsidR="00C17AB9" w:rsidRPr="00A84611" w14:paraId="0B443DBB" w14:textId="77777777" w:rsidTr="00D60FC9">
        <w:trPr>
          <w:trHeight w:val="521"/>
        </w:trPr>
        <w:tc>
          <w:tcPr>
            <w:cnfStyle w:val="001000000000" w:firstRow="0" w:lastRow="0" w:firstColumn="1" w:lastColumn="0" w:oddVBand="0" w:evenVBand="0" w:oddHBand="0" w:evenHBand="0" w:firstRowFirstColumn="0" w:firstRowLastColumn="0" w:lastRowFirstColumn="0" w:lastRowLastColumn="0"/>
            <w:tcW w:w="0" w:type="pct"/>
            <w:vMerge/>
          </w:tcPr>
          <w:p w14:paraId="36C88802" w14:textId="77777777" w:rsidR="00C17AB9" w:rsidRPr="004637C7" w:rsidRDefault="00C17AB9" w:rsidP="006D1412">
            <w:pPr>
              <w:rPr>
                <w:rFonts w:asciiTheme="minorHAnsi" w:hAnsiTheme="minorHAnsi" w:cstheme="minorHAnsi"/>
                <w:szCs w:val="20"/>
                <w:lang w:eastAsia="fr-FR" w:bidi="ar-SA"/>
              </w:rPr>
            </w:pPr>
          </w:p>
        </w:tc>
        <w:tc>
          <w:tcPr>
            <w:tcW w:w="0" w:type="pct"/>
            <w:vMerge/>
          </w:tcPr>
          <w:p w14:paraId="46167610" w14:textId="77777777" w:rsidR="00C17AB9" w:rsidRPr="004637C7" w:rsidRDefault="00C17AB9" w:rsidP="006D1412">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Cs w:val="20"/>
                <w:lang w:eastAsia="fr-FR" w:bidi="ar-SA"/>
              </w:rPr>
            </w:pPr>
          </w:p>
        </w:tc>
        <w:tc>
          <w:tcPr>
            <w:tcW w:w="0" w:type="pct"/>
            <w:vMerge/>
            <w:tcBorders>
              <w:bottom w:val="single" w:sz="4" w:space="0" w:color="B4C6E7" w:themeColor="accent1" w:themeTint="66"/>
            </w:tcBorders>
          </w:tcPr>
          <w:p w14:paraId="66BC2CA3" w14:textId="77777777" w:rsidR="00C17AB9" w:rsidRPr="004637C7" w:rsidRDefault="00C17AB9" w:rsidP="006D1412">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p>
        </w:tc>
        <w:tc>
          <w:tcPr>
            <w:tcW w:w="0" w:type="pct"/>
            <w:vMerge/>
          </w:tcPr>
          <w:p w14:paraId="5C094779" w14:textId="77777777" w:rsidR="00C17AB9" w:rsidRPr="004637C7" w:rsidRDefault="00C17AB9" w:rsidP="006D1412">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p>
        </w:tc>
        <w:tc>
          <w:tcPr>
            <w:tcW w:w="0" w:type="pct"/>
            <w:vMerge/>
          </w:tcPr>
          <w:p w14:paraId="6B07DA20" w14:textId="77777777" w:rsidR="00C17AB9" w:rsidRPr="004637C7" w:rsidRDefault="00C17AB9" w:rsidP="006D1412">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p>
        </w:tc>
        <w:tc>
          <w:tcPr>
            <w:tcW w:w="0" w:type="pct"/>
            <w:vMerge/>
          </w:tcPr>
          <w:p w14:paraId="2747F06B" w14:textId="77777777" w:rsidR="00C17AB9" w:rsidRPr="00BC1745" w:rsidRDefault="00C17AB9" w:rsidP="006D1412">
            <w:pPr>
              <w:cnfStyle w:val="000000000000" w:firstRow="0" w:lastRow="0" w:firstColumn="0" w:lastColumn="0" w:oddVBand="0" w:evenVBand="0" w:oddHBand="0" w:evenHBand="0" w:firstRowFirstColumn="0" w:firstRowLastColumn="0" w:lastRowFirstColumn="0" w:lastRowLastColumn="0"/>
              <w:rPr>
                <w:szCs w:val="20"/>
              </w:rPr>
            </w:pPr>
          </w:p>
        </w:tc>
        <w:tc>
          <w:tcPr>
            <w:tcW w:w="0" w:type="pct"/>
            <w:vMerge/>
          </w:tcPr>
          <w:p w14:paraId="0DDEF6D7" w14:textId="77777777" w:rsidR="00C17AB9" w:rsidRPr="004637C7" w:rsidRDefault="00C17AB9" w:rsidP="006D1412">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p>
        </w:tc>
        <w:tc>
          <w:tcPr>
            <w:tcW w:w="0" w:type="pct"/>
            <w:vMerge/>
          </w:tcPr>
          <w:p w14:paraId="3DB051E6" w14:textId="77777777" w:rsidR="00C17AB9" w:rsidRPr="004637C7" w:rsidRDefault="00C17AB9" w:rsidP="006D1412">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p>
        </w:tc>
        <w:tc>
          <w:tcPr>
            <w:tcW w:w="0" w:type="pct"/>
            <w:vMerge w:val="restart"/>
            <w:tcBorders>
              <w:top w:val="single" w:sz="4" w:space="0" w:color="B4C6E7" w:themeColor="accent1" w:themeTint="66"/>
            </w:tcBorders>
          </w:tcPr>
          <w:p w14:paraId="3042BC72" w14:textId="368143BD" w:rsidR="00C17AB9" w:rsidRPr="004637C7" w:rsidRDefault="00555132" w:rsidP="006D1412">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Pr>
                <w:rFonts w:asciiTheme="minorHAnsi" w:hAnsiTheme="minorHAnsi" w:cstheme="minorHAnsi"/>
                <w:szCs w:val="20"/>
                <w:lang w:eastAsia="fr-FR" w:bidi="ar-SA"/>
              </w:rPr>
              <w:t>Aucun coût spécifique</w:t>
            </w:r>
          </w:p>
        </w:tc>
      </w:tr>
      <w:tr w:rsidR="00555132" w:rsidRPr="00A84611" w14:paraId="62507E1F" w14:textId="77777777" w:rsidTr="00D60FC9">
        <w:trPr>
          <w:trHeight w:val="20"/>
        </w:trPr>
        <w:tc>
          <w:tcPr>
            <w:cnfStyle w:val="001000000000" w:firstRow="0" w:lastRow="0" w:firstColumn="1" w:lastColumn="0" w:oddVBand="0" w:evenVBand="0" w:oddHBand="0" w:evenHBand="0" w:firstRowFirstColumn="0" w:firstRowLastColumn="0" w:lastRowFirstColumn="0" w:lastRowLastColumn="0"/>
            <w:tcW w:w="0" w:type="pct"/>
            <w:vMerge/>
          </w:tcPr>
          <w:p w14:paraId="12F99A86" w14:textId="77777777" w:rsidR="00555132" w:rsidRPr="004637C7" w:rsidRDefault="00555132" w:rsidP="006D1412">
            <w:pPr>
              <w:rPr>
                <w:rFonts w:asciiTheme="minorHAnsi" w:hAnsiTheme="minorHAnsi" w:cstheme="minorHAnsi"/>
                <w:szCs w:val="20"/>
                <w:lang w:eastAsia="fr-FR" w:bidi="ar-SA"/>
              </w:rPr>
            </w:pPr>
          </w:p>
        </w:tc>
        <w:tc>
          <w:tcPr>
            <w:tcW w:w="0" w:type="pct"/>
            <w:vMerge/>
          </w:tcPr>
          <w:p w14:paraId="0CA9CC71" w14:textId="77777777" w:rsidR="00555132" w:rsidRPr="004637C7" w:rsidRDefault="00555132" w:rsidP="006D1412">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Cs w:val="20"/>
                <w:lang w:eastAsia="fr-FR" w:bidi="ar-SA"/>
              </w:rPr>
            </w:pPr>
          </w:p>
        </w:tc>
        <w:tc>
          <w:tcPr>
            <w:tcW w:w="0" w:type="pct"/>
            <w:tcBorders>
              <w:top w:val="single" w:sz="4" w:space="0" w:color="B4C6E7" w:themeColor="accent1" w:themeTint="66"/>
            </w:tcBorders>
          </w:tcPr>
          <w:p w14:paraId="6914C2A5" w14:textId="1020034D" w:rsidR="00555132" w:rsidRPr="004637C7" w:rsidRDefault="00555132" w:rsidP="00C17AB9">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sidRPr="004637C7">
              <w:rPr>
                <w:rFonts w:asciiTheme="minorHAnsi" w:hAnsiTheme="minorHAnsi" w:cstheme="minorHAnsi"/>
                <w:szCs w:val="20"/>
                <w:lang w:eastAsia="fr-FR" w:bidi="ar-SA"/>
              </w:rPr>
              <w:t xml:space="preserve">Faire signer à tous les sous-traitants un Code de conduite contre les discriminations et VBG. </w:t>
            </w:r>
          </w:p>
        </w:tc>
        <w:tc>
          <w:tcPr>
            <w:tcW w:w="0" w:type="pct"/>
            <w:vMerge/>
          </w:tcPr>
          <w:p w14:paraId="5C7C2B9A" w14:textId="77777777" w:rsidR="00555132" w:rsidRPr="004637C7" w:rsidRDefault="00555132" w:rsidP="006D1412">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p>
        </w:tc>
        <w:tc>
          <w:tcPr>
            <w:tcW w:w="0" w:type="pct"/>
            <w:vMerge/>
          </w:tcPr>
          <w:p w14:paraId="22A18FDC" w14:textId="77777777" w:rsidR="00555132" w:rsidRPr="004637C7" w:rsidRDefault="00555132" w:rsidP="006D1412">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p>
        </w:tc>
        <w:tc>
          <w:tcPr>
            <w:tcW w:w="0" w:type="pct"/>
            <w:vMerge/>
          </w:tcPr>
          <w:p w14:paraId="2B18A764" w14:textId="77777777" w:rsidR="00555132" w:rsidRPr="00BC1745" w:rsidRDefault="00555132" w:rsidP="006D1412">
            <w:pPr>
              <w:cnfStyle w:val="000000000000" w:firstRow="0" w:lastRow="0" w:firstColumn="0" w:lastColumn="0" w:oddVBand="0" w:evenVBand="0" w:oddHBand="0" w:evenHBand="0" w:firstRowFirstColumn="0" w:firstRowLastColumn="0" w:lastRowFirstColumn="0" w:lastRowLastColumn="0"/>
              <w:rPr>
                <w:szCs w:val="20"/>
              </w:rPr>
            </w:pPr>
          </w:p>
        </w:tc>
        <w:tc>
          <w:tcPr>
            <w:tcW w:w="0" w:type="pct"/>
            <w:vMerge/>
          </w:tcPr>
          <w:p w14:paraId="6BDA7134" w14:textId="77777777" w:rsidR="00555132" w:rsidRPr="004637C7" w:rsidRDefault="00555132" w:rsidP="006D1412">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p>
        </w:tc>
        <w:tc>
          <w:tcPr>
            <w:tcW w:w="0" w:type="pct"/>
            <w:vMerge/>
          </w:tcPr>
          <w:p w14:paraId="3635DBD7" w14:textId="77777777" w:rsidR="00555132" w:rsidRPr="004637C7" w:rsidRDefault="00555132" w:rsidP="006D1412">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p>
        </w:tc>
        <w:tc>
          <w:tcPr>
            <w:tcW w:w="0" w:type="pct"/>
            <w:vMerge/>
          </w:tcPr>
          <w:p w14:paraId="4B3F9C00" w14:textId="77777777" w:rsidR="00555132" w:rsidRPr="004637C7" w:rsidRDefault="00555132" w:rsidP="006D1412">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p>
        </w:tc>
      </w:tr>
      <w:tr w:rsidR="00C17AB9" w:rsidRPr="00A84611" w14:paraId="51829699" w14:textId="77777777" w:rsidTr="00C17AB9">
        <w:trPr>
          <w:trHeight w:val="1331"/>
        </w:trPr>
        <w:tc>
          <w:tcPr>
            <w:cnfStyle w:val="001000000000" w:firstRow="0" w:lastRow="0" w:firstColumn="1" w:lastColumn="0" w:oddVBand="0" w:evenVBand="0" w:oddHBand="0" w:evenHBand="0" w:firstRowFirstColumn="0" w:firstRowLastColumn="0" w:lastRowFirstColumn="0" w:lastRowLastColumn="0"/>
            <w:tcW w:w="565" w:type="pct"/>
            <w:vMerge/>
          </w:tcPr>
          <w:p w14:paraId="4215604B" w14:textId="77777777" w:rsidR="00C17AB9" w:rsidRPr="004637C7" w:rsidRDefault="00C17AB9" w:rsidP="006D1412">
            <w:pPr>
              <w:rPr>
                <w:rFonts w:asciiTheme="minorHAnsi" w:hAnsiTheme="minorHAnsi" w:cstheme="minorHAnsi"/>
                <w:szCs w:val="20"/>
                <w:lang w:eastAsia="fr-FR" w:bidi="ar-SA"/>
              </w:rPr>
            </w:pPr>
          </w:p>
        </w:tc>
        <w:tc>
          <w:tcPr>
            <w:tcW w:w="486" w:type="pct"/>
            <w:vMerge/>
          </w:tcPr>
          <w:p w14:paraId="491BEB79" w14:textId="77777777" w:rsidR="00C17AB9" w:rsidRPr="004637C7" w:rsidRDefault="00C17AB9" w:rsidP="006D1412">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Cs w:val="20"/>
                <w:lang w:eastAsia="fr-FR" w:bidi="ar-SA"/>
              </w:rPr>
            </w:pPr>
          </w:p>
        </w:tc>
        <w:tc>
          <w:tcPr>
            <w:tcW w:w="894" w:type="pct"/>
            <w:tcBorders>
              <w:top w:val="single" w:sz="4" w:space="0" w:color="B4C6E7" w:themeColor="accent1" w:themeTint="66"/>
            </w:tcBorders>
          </w:tcPr>
          <w:p w14:paraId="4F254CB5" w14:textId="0D8F35CF" w:rsidR="00C17AB9" w:rsidRPr="004637C7" w:rsidRDefault="00555132" w:rsidP="00C17AB9">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sidRPr="004637C7">
              <w:rPr>
                <w:rFonts w:asciiTheme="minorHAnsi" w:hAnsiTheme="minorHAnsi" w:cstheme="minorHAnsi"/>
                <w:szCs w:val="20"/>
                <w:lang w:eastAsia="fr-FR" w:bidi="ar-SA"/>
              </w:rPr>
              <w:t>Mettre en place un mécanisme confidentiel de plainte et un point focal genre.</w:t>
            </w:r>
          </w:p>
        </w:tc>
        <w:tc>
          <w:tcPr>
            <w:tcW w:w="564" w:type="pct"/>
            <w:vMerge/>
          </w:tcPr>
          <w:p w14:paraId="64FCAE18" w14:textId="77777777" w:rsidR="00C17AB9" w:rsidRPr="004637C7" w:rsidRDefault="00C17AB9" w:rsidP="006D1412">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p>
        </w:tc>
        <w:tc>
          <w:tcPr>
            <w:tcW w:w="351" w:type="pct"/>
            <w:vMerge/>
          </w:tcPr>
          <w:p w14:paraId="4CAFAF9A" w14:textId="77777777" w:rsidR="00C17AB9" w:rsidRPr="004637C7" w:rsidRDefault="00C17AB9" w:rsidP="006D1412">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p>
        </w:tc>
        <w:tc>
          <w:tcPr>
            <w:tcW w:w="475" w:type="pct"/>
            <w:vMerge/>
          </w:tcPr>
          <w:p w14:paraId="0AF07B78" w14:textId="77777777" w:rsidR="00C17AB9" w:rsidRPr="00BC1745" w:rsidRDefault="00C17AB9" w:rsidP="006D1412">
            <w:pPr>
              <w:cnfStyle w:val="000000000000" w:firstRow="0" w:lastRow="0" w:firstColumn="0" w:lastColumn="0" w:oddVBand="0" w:evenVBand="0" w:oddHBand="0" w:evenHBand="0" w:firstRowFirstColumn="0" w:firstRowLastColumn="0" w:lastRowFirstColumn="0" w:lastRowLastColumn="0"/>
              <w:rPr>
                <w:szCs w:val="20"/>
              </w:rPr>
            </w:pPr>
          </w:p>
        </w:tc>
        <w:tc>
          <w:tcPr>
            <w:tcW w:w="574" w:type="pct"/>
            <w:vMerge/>
          </w:tcPr>
          <w:p w14:paraId="46BD59E0" w14:textId="77777777" w:rsidR="00C17AB9" w:rsidRPr="004637C7" w:rsidRDefault="00C17AB9" w:rsidP="006D1412">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p>
        </w:tc>
        <w:tc>
          <w:tcPr>
            <w:tcW w:w="501" w:type="pct"/>
            <w:vMerge/>
          </w:tcPr>
          <w:p w14:paraId="692DB173" w14:textId="77777777" w:rsidR="00C17AB9" w:rsidRPr="004637C7" w:rsidRDefault="00C17AB9" w:rsidP="006D1412">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p>
        </w:tc>
        <w:tc>
          <w:tcPr>
            <w:tcW w:w="589" w:type="pct"/>
          </w:tcPr>
          <w:p w14:paraId="18FD8922" w14:textId="49596C07" w:rsidR="00C17AB9" w:rsidRPr="004637C7" w:rsidRDefault="00493072" w:rsidP="006D1412">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Pr>
                <w:rFonts w:asciiTheme="minorHAnsi" w:hAnsiTheme="minorHAnsi" w:cstheme="minorHAnsi"/>
                <w:szCs w:val="20"/>
                <w:lang w:eastAsia="fr-FR" w:bidi="ar-SA"/>
              </w:rPr>
              <w:t>80 000MAD/an</w:t>
            </w:r>
          </w:p>
        </w:tc>
      </w:tr>
      <w:tr w:rsidR="00D93F58" w:rsidRPr="00A84611" w14:paraId="774ACEC0" w14:textId="77777777" w:rsidTr="005A7661">
        <w:tc>
          <w:tcPr>
            <w:cnfStyle w:val="001000000000" w:firstRow="0" w:lastRow="0" w:firstColumn="1" w:lastColumn="0" w:oddVBand="0" w:evenVBand="0" w:oddHBand="0" w:evenHBand="0" w:firstRowFirstColumn="0" w:firstRowLastColumn="0" w:lastRowFirstColumn="0" w:lastRowLastColumn="0"/>
            <w:tcW w:w="565" w:type="pct"/>
            <w:vMerge w:val="restart"/>
            <w:hideMark/>
          </w:tcPr>
          <w:p w14:paraId="720F435C" w14:textId="77777777" w:rsidR="00D93F58" w:rsidRPr="004637C7" w:rsidRDefault="00D93F58" w:rsidP="006D1412">
            <w:pPr>
              <w:rPr>
                <w:rFonts w:asciiTheme="minorHAnsi" w:hAnsiTheme="minorHAnsi" w:cstheme="minorHAnsi"/>
                <w:szCs w:val="20"/>
                <w:lang w:eastAsia="fr-FR" w:bidi="ar-SA"/>
              </w:rPr>
            </w:pPr>
            <w:r w:rsidRPr="004637C7">
              <w:rPr>
                <w:rFonts w:asciiTheme="minorHAnsi" w:hAnsiTheme="minorHAnsi" w:cstheme="minorHAnsi"/>
                <w:szCs w:val="20"/>
                <w:lang w:eastAsia="fr-FR" w:bidi="ar-SA"/>
              </w:rPr>
              <w:lastRenderedPageBreak/>
              <w:t>Renforcement des compétences et transfert de savoir-faire</w:t>
            </w:r>
          </w:p>
        </w:tc>
        <w:tc>
          <w:tcPr>
            <w:tcW w:w="486" w:type="pct"/>
            <w:hideMark/>
          </w:tcPr>
          <w:p w14:paraId="4E9805A6" w14:textId="77777777" w:rsidR="00D93F58" w:rsidRPr="004637C7" w:rsidRDefault="00D93F58" w:rsidP="006D1412">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sidRPr="004637C7">
              <w:rPr>
                <w:rFonts w:asciiTheme="minorHAnsi" w:hAnsiTheme="minorHAnsi" w:cstheme="minorHAnsi"/>
                <w:b/>
                <w:bCs/>
                <w:szCs w:val="20"/>
                <w:lang w:eastAsia="fr-FR" w:bidi="ar-SA"/>
              </w:rPr>
              <w:t>Éviter</w:t>
            </w:r>
          </w:p>
        </w:tc>
        <w:tc>
          <w:tcPr>
            <w:tcW w:w="894" w:type="pct"/>
            <w:hideMark/>
          </w:tcPr>
          <w:p w14:paraId="391D9A6E" w14:textId="77777777" w:rsidR="00D93F58" w:rsidRPr="004637C7" w:rsidRDefault="00D93F58" w:rsidP="006D1412">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sidRPr="004637C7">
              <w:rPr>
                <w:rFonts w:asciiTheme="minorHAnsi" w:hAnsiTheme="minorHAnsi" w:cstheme="minorHAnsi"/>
                <w:szCs w:val="20"/>
                <w:lang w:eastAsia="fr-FR" w:bidi="ar-SA"/>
              </w:rPr>
              <w:t>Éviter l’externalisation des tâches techniques pouvant être réalisées par des techniciens régionaux. Favoriser la sous-traitance locale qualifiée pour les travaux électriques, d’éclairage et de balisage.</w:t>
            </w:r>
          </w:p>
        </w:tc>
        <w:tc>
          <w:tcPr>
            <w:tcW w:w="564" w:type="pct"/>
            <w:hideMark/>
          </w:tcPr>
          <w:p w14:paraId="7E878B21" w14:textId="77777777" w:rsidR="00D93F58" w:rsidRPr="004637C7" w:rsidRDefault="00D93F58" w:rsidP="006D1412">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sidRPr="004637C7">
              <w:rPr>
                <w:rFonts w:asciiTheme="minorHAnsi" w:hAnsiTheme="minorHAnsi" w:cstheme="minorHAnsi"/>
                <w:szCs w:val="20"/>
                <w:lang w:eastAsia="fr-FR" w:bidi="ar-SA"/>
              </w:rPr>
              <w:t xml:space="preserve">% de sous-traitants locaux impliqués ; </w:t>
            </w:r>
          </w:p>
          <w:p w14:paraId="3FBA41BB" w14:textId="02AB3E74" w:rsidR="00D93F58" w:rsidRPr="004637C7" w:rsidRDefault="00D93F58" w:rsidP="006D1412">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sidRPr="004637C7">
              <w:rPr>
                <w:rFonts w:asciiTheme="minorHAnsi" w:hAnsiTheme="minorHAnsi" w:cstheme="minorHAnsi"/>
                <w:szCs w:val="20"/>
                <w:lang w:eastAsia="fr-FR" w:bidi="ar-SA"/>
              </w:rPr>
              <w:t>% de tâches techniques réalisées localement</w:t>
            </w:r>
          </w:p>
        </w:tc>
        <w:tc>
          <w:tcPr>
            <w:tcW w:w="351" w:type="pct"/>
            <w:hideMark/>
          </w:tcPr>
          <w:p w14:paraId="67787F9E" w14:textId="04B86AAC" w:rsidR="00D93F58" w:rsidRPr="004637C7" w:rsidRDefault="00D93F58" w:rsidP="006D1412">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sidRPr="004637C7">
              <w:rPr>
                <w:rFonts w:asciiTheme="minorHAnsi" w:hAnsiTheme="minorHAnsi" w:cstheme="minorHAnsi"/>
                <w:szCs w:val="20"/>
                <w:lang w:eastAsia="fr-FR" w:bidi="ar-SA"/>
              </w:rPr>
              <w:t>EPC et sous-traitants</w:t>
            </w:r>
          </w:p>
        </w:tc>
        <w:tc>
          <w:tcPr>
            <w:tcW w:w="475" w:type="pct"/>
            <w:hideMark/>
          </w:tcPr>
          <w:p w14:paraId="14C4C4B1" w14:textId="30EEE42F" w:rsidR="00D93F58" w:rsidRPr="004637C7" w:rsidRDefault="00D93F58" w:rsidP="006D1412">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sidRPr="00BC1745">
              <w:rPr>
                <w:szCs w:val="20"/>
              </w:rPr>
              <w:t>Bureau de contrôle / Consultant de supervision mandaté par l’ONDA</w:t>
            </w:r>
          </w:p>
        </w:tc>
        <w:tc>
          <w:tcPr>
            <w:tcW w:w="574" w:type="pct"/>
            <w:hideMark/>
          </w:tcPr>
          <w:p w14:paraId="5BBA6A2E" w14:textId="76B34B83" w:rsidR="00D93F58" w:rsidRPr="004637C7" w:rsidRDefault="00D93F58" w:rsidP="006D1412">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sidRPr="004637C7">
              <w:rPr>
                <w:rFonts w:asciiTheme="minorHAnsi" w:hAnsiTheme="minorHAnsi" w:cstheme="minorHAnsi"/>
                <w:szCs w:val="20"/>
                <w:lang w:eastAsia="fr-FR" w:bidi="ar-SA"/>
              </w:rPr>
              <w:t>ONDA</w:t>
            </w:r>
          </w:p>
        </w:tc>
        <w:tc>
          <w:tcPr>
            <w:tcW w:w="501" w:type="pct"/>
            <w:hideMark/>
          </w:tcPr>
          <w:p w14:paraId="1988432D" w14:textId="77777777" w:rsidR="00D93F58" w:rsidRPr="004637C7" w:rsidRDefault="00D93F58" w:rsidP="006D1412">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sidRPr="004637C7">
              <w:rPr>
                <w:rFonts w:asciiTheme="minorHAnsi" w:hAnsiTheme="minorHAnsi" w:cstheme="minorHAnsi"/>
                <w:szCs w:val="20"/>
                <w:lang w:eastAsia="fr-FR" w:bidi="ar-SA"/>
              </w:rPr>
              <w:t>Phase préparatoire</w:t>
            </w:r>
          </w:p>
        </w:tc>
        <w:tc>
          <w:tcPr>
            <w:tcW w:w="589" w:type="pct"/>
            <w:hideMark/>
          </w:tcPr>
          <w:p w14:paraId="1B85CE5F" w14:textId="77777777" w:rsidR="00D93F58" w:rsidRPr="004637C7" w:rsidRDefault="00D93F58" w:rsidP="006D1412">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sidRPr="004637C7">
              <w:rPr>
                <w:rFonts w:asciiTheme="minorHAnsi" w:hAnsiTheme="minorHAnsi" w:cstheme="minorHAnsi"/>
                <w:szCs w:val="20"/>
                <w:lang w:eastAsia="fr-FR" w:bidi="ar-SA"/>
              </w:rPr>
              <w:t>Aucun coût spécifique</w:t>
            </w:r>
          </w:p>
        </w:tc>
      </w:tr>
      <w:tr w:rsidR="00D93F58" w:rsidRPr="00A84611" w14:paraId="304A3A20" w14:textId="77777777" w:rsidTr="005A7661">
        <w:tc>
          <w:tcPr>
            <w:cnfStyle w:val="001000000000" w:firstRow="0" w:lastRow="0" w:firstColumn="1" w:lastColumn="0" w:oddVBand="0" w:evenVBand="0" w:oddHBand="0" w:evenHBand="0" w:firstRowFirstColumn="0" w:firstRowLastColumn="0" w:lastRowFirstColumn="0" w:lastRowLastColumn="0"/>
            <w:tcW w:w="565" w:type="pct"/>
            <w:vMerge/>
            <w:hideMark/>
          </w:tcPr>
          <w:p w14:paraId="0BEA9D74" w14:textId="77777777" w:rsidR="00D93F58" w:rsidRPr="004637C7" w:rsidRDefault="00D93F58" w:rsidP="006D1412">
            <w:pPr>
              <w:rPr>
                <w:rFonts w:asciiTheme="minorHAnsi" w:hAnsiTheme="minorHAnsi" w:cstheme="minorHAnsi"/>
                <w:szCs w:val="20"/>
                <w:lang w:eastAsia="fr-FR" w:bidi="ar-SA"/>
              </w:rPr>
            </w:pPr>
          </w:p>
        </w:tc>
        <w:tc>
          <w:tcPr>
            <w:tcW w:w="486" w:type="pct"/>
            <w:hideMark/>
          </w:tcPr>
          <w:p w14:paraId="42A72ECD" w14:textId="77777777" w:rsidR="00D93F58" w:rsidRPr="004637C7" w:rsidRDefault="00D93F58" w:rsidP="006D1412">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sidRPr="004637C7">
              <w:rPr>
                <w:rFonts w:asciiTheme="minorHAnsi" w:hAnsiTheme="minorHAnsi" w:cstheme="minorHAnsi"/>
                <w:b/>
                <w:bCs/>
                <w:szCs w:val="20"/>
                <w:lang w:eastAsia="fr-FR" w:bidi="ar-SA"/>
              </w:rPr>
              <w:t>Réduire</w:t>
            </w:r>
          </w:p>
        </w:tc>
        <w:tc>
          <w:tcPr>
            <w:tcW w:w="894" w:type="pct"/>
            <w:hideMark/>
          </w:tcPr>
          <w:p w14:paraId="22BB4923" w14:textId="77777777" w:rsidR="00D93F58" w:rsidRPr="004637C7" w:rsidRDefault="00D93F58" w:rsidP="006D1412">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sidRPr="004637C7">
              <w:rPr>
                <w:rFonts w:asciiTheme="minorHAnsi" w:hAnsiTheme="minorHAnsi" w:cstheme="minorHAnsi"/>
                <w:szCs w:val="20"/>
                <w:lang w:eastAsia="fr-FR" w:bidi="ar-SA"/>
              </w:rPr>
              <w:t>Organiser des formations pratiques sur site (balisage, électricité, sécurité). Réduire la dépendance à la main-d’œuvre externe en renforçant les compétences locales.</w:t>
            </w:r>
          </w:p>
        </w:tc>
        <w:tc>
          <w:tcPr>
            <w:tcW w:w="564" w:type="pct"/>
            <w:hideMark/>
          </w:tcPr>
          <w:p w14:paraId="52322CD6" w14:textId="77777777" w:rsidR="00D93F58" w:rsidRPr="004637C7" w:rsidRDefault="00D93F58" w:rsidP="006D1412">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sidRPr="004637C7">
              <w:rPr>
                <w:rFonts w:asciiTheme="minorHAnsi" w:hAnsiTheme="minorHAnsi" w:cstheme="minorHAnsi"/>
                <w:szCs w:val="20"/>
                <w:lang w:eastAsia="fr-FR" w:bidi="ar-SA"/>
              </w:rPr>
              <w:t xml:space="preserve">Nombre d’heures de formation ; </w:t>
            </w:r>
          </w:p>
          <w:p w14:paraId="05F19551" w14:textId="57FAF913" w:rsidR="00D93F58" w:rsidRPr="004637C7" w:rsidRDefault="00D93F58" w:rsidP="006D1412">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sidRPr="004637C7">
              <w:rPr>
                <w:rFonts w:asciiTheme="minorHAnsi" w:hAnsiTheme="minorHAnsi" w:cstheme="minorHAnsi"/>
                <w:szCs w:val="20"/>
                <w:lang w:eastAsia="fr-FR" w:bidi="ar-SA"/>
              </w:rPr>
              <w:t>% de techniciens locaux formés</w:t>
            </w:r>
          </w:p>
        </w:tc>
        <w:tc>
          <w:tcPr>
            <w:tcW w:w="351" w:type="pct"/>
            <w:hideMark/>
          </w:tcPr>
          <w:p w14:paraId="1FF9F07C" w14:textId="1FE3F5E5" w:rsidR="00D93F58" w:rsidRPr="004637C7" w:rsidRDefault="00D93F58" w:rsidP="006D1412">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sidRPr="004637C7">
              <w:rPr>
                <w:rFonts w:asciiTheme="minorHAnsi" w:hAnsiTheme="minorHAnsi" w:cstheme="minorHAnsi"/>
                <w:szCs w:val="20"/>
                <w:lang w:eastAsia="fr-FR" w:bidi="ar-SA"/>
              </w:rPr>
              <w:t>EPC et sous-traitants</w:t>
            </w:r>
          </w:p>
        </w:tc>
        <w:tc>
          <w:tcPr>
            <w:tcW w:w="475" w:type="pct"/>
            <w:hideMark/>
          </w:tcPr>
          <w:p w14:paraId="528B9764" w14:textId="4BB95415" w:rsidR="00D93F58" w:rsidRPr="004637C7" w:rsidRDefault="00D93F58" w:rsidP="006D1412">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sidRPr="00BC1745">
              <w:rPr>
                <w:szCs w:val="20"/>
              </w:rPr>
              <w:t>Bureau de contrôle / Consultant de supervision mandaté par l’ONDA</w:t>
            </w:r>
          </w:p>
        </w:tc>
        <w:tc>
          <w:tcPr>
            <w:tcW w:w="574" w:type="pct"/>
            <w:hideMark/>
          </w:tcPr>
          <w:p w14:paraId="503BC912" w14:textId="539DA2AA" w:rsidR="00D93F58" w:rsidRPr="004637C7" w:rsidRDefault="00D93F58" w:rsidP="006D1412">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sidRPr="004637C7">
              <w:rPr>
                <w:rFonts w:asciiTheme="minorHAnsi" w:hAnsiTheme="minorHAnsi" w:cstheme="minorHAnsi"/>
                <w:szCs w:val="20"/>
                <w:lang w:eastAsia="fr-FR" w:bidi="ar-SA"/>
              </w:rPr>
              <w:t>ONDA</w:t>
            </w:r>
          </w:p>
        </w:tc>
        <w:tc>
          <w:tcPr>
            <w:tcW w:w="501" w:type="pct"/>
            <w:hideMark/>
          </w:tcPr>
          <w:p w14:paraId="209D870A" w14:textId="77777777" w:rsidR="00D93F58" w:rsidRPr="004637C7" w:rsidRDefault="00D93F58" w:rsidP="006D1412">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sidRPr="004637C7">
              <w:rPr>
                <w:rFonts w:asciiTheme="minorHAnsi" w:hAnsiTheme="minorHAnsi" w:cstheme="minorHAnsi"/>
                <w:szCs w:val="20"/>
                <w:lang w:eastAsia="fr-FR" w:bidi="ar-SA"/>
              </w:rPr>
              <w:t>Pendant la construction</w:t>
            </w:r>
          </w:p>
        </w:tc>
        <w:tc>
          <w:tcPr>
            <w:tcW w:w="589" w:type="pct"/>
            <w:hideMark/>
          </w:tcPr>
          <w:p w14:paraId="565259C2" w14:textId="144A34AC" w:rsidR="00D93F58" w:rsidRPr="004637C7" w:rsidRDefault="00D93F58" w:rsidP="006D1412">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sidRPr="004637C7">
              <w:rPr>
                <w:rFonts w:asciiTheme="minorHAnsi" w:hAnsiTheme="minorHAnsi" w:cstheme="minorHAnsi"/>
                <w:szCs w:val="20"/>
                <w:lang w:eastAsia="fr-FR" w:bidi="ar-SA"/>
              </w:rPr>
              <w:t>4000MAD/formateur/jour</w:t>
            </w:r>
          </w:p>
        </w:tc>
      </w:tr>
      <w:tr w:rsidR="00D93F58" w:rsidRPr="00A84611" w14:paraId="22EE9779" w14:textId="77777777" w:rsidTr="00D93F58">
        <w:trPr>
          <w:trHeight w:val="971"/>
        </w:trPr>
        <w:tc>
          <w:tcPr>
            <w:cnfStyle w:val="001000000000" w:firstRow="0" w:lastRow="0" w:firstColumn="1" w:lastColumn="0" w:oddVBand="0" w:evenVBand="0" w:oddHBand="0" w:evenHBand="0" w:firstRowFirstColumn="0" w:firstRowLastColumn="0" w:lastRowFirstColumn="0" w:lastRowLastColumn="0"/>
            <w:tcW w:w="565" w:type="pct"/>
            <w:vMerge/>
            <w:hideMark/>
          </w:tcPr>
          <w:p w14:paraId="2AA49E84" w14:textId="77777777" w:rsidR="00D93F58" w:rsidRPr="004637C7" w:rsidRDefault="00D93F58" w:rsidP="006D1412">
            <w:pPr>
              <w:rPr>
                <w:rFonts w:asciiTheme="minorHAnsi" w:hAnsiTheme="minorHAnsi" w:cstheme="minorHAnsi"/>
                <w:szCs w:val="20"/>
                <w:lang w:eastAsia="fr-FR" w:bidi="ar-SA"/>
              </w:rPr>
            </w:pPr>
          </w:p>
        </w:tc>
        <w:tc>
          <w:tcPr>
            <w:tcW w:w="486" w:type="pct"/>
            <w:vMerge w:val="restart"/>
            <w:hideMark/>
          </w:tcPr>
          <w:p w14:paraId="0861ECF9" w14:textId="77777777" w:rsidR="00D93F58" w:rsidRPr="004637C7" w:rsidRDefault="00D93F58" w:rsidP="006D1412">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sidRPr="004637C7">
              <w:rPr>
                <w:rFonts w:asciiTheme="minorHAnsi" w:hAnsiTheme="minorHAnsi" w:cstheme="minorHAnsi"/>
                <w:b/>
                <w:bCs/>
                <w:szCs w:val="20"/>
                <w:lang w:eastAsia="fr-FR" w:bidi="ar-SA"/>
              </w:rPr>
              <w:t>Atténuer</w:t>
            </w:r>
          </w:p>
        </w:tc>
        <w:tc>
          <w:tcPr>
            <w:tcW w:w="894" w:type="pct"/>
            <w:tcBorders>
              <w:bottom w:val="single" w:sz="4" w:space="0" w:color="B4C6E7" w:themeColor="accent1" w:themeTint="66"/>
            </w:tcBorders>
            <w:hideMark/>
          </w:tcPr>
          <w:p w14:paraId="2FCCB6B8" w14:textId="12DE33AB" w:rsidR="00D93F58" w:rsidRPr="004637C7" w:rsidRDefault="00D93F58" w:rsidP="006D1412">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sidRPr="004637C7">
              <w:rPr>
                <w:rFonts w:asciiTheme="minorHAnsi" w:hAnsiTheme="minorHAnsi" w:cstheme="minorHAnsi"/>
                <w:szCs w:val="20"/>
                <w:lang w:eastAsia="fr-FR" w:bidi="ar-SA"/>
              </w:rPr>
              <w:t xml:space="preserve">Mettre en place des formations certifiantes en partenariat avec l’OFPPT. </w:t>
            </w:r>
          </w:p>
        </w:tc>
        <w:tc>
          <w:tcPr>
            <w:tcW w:w="564" w:type="pct"/>
            <w:vMerge w:val="restart"/>
            <w:hideMark/>
          </w:tcPr>
          <w:p w14:paraId="03352143" w14:textId="77777777" w:rsidR="00D93F58" w:rsidRPr="004637C7" w:rsidRDefault="00D93F58" w:rsidP="006D1412">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sidRPr="004637C7">
              <w:rPr>
                <w:rFonts w:asciiTheme="minorHAnsi" w:hAnsiTheme="minorHAnsi" w:cstheme="minorHAnsi"/>
                <w:szCs w:val="20"/>
                <w:lang w:eastAsia="fr-FR" w:bidi="ar-SA"/>
              </w:rPr>
              <w:t xml:space="preserve">% de participants certifiés ; </w:t>
            </w:r>
          </w:p>
          <w:p w14:paraId="5B8A7567" w14:textId="6742A808" w:rsidR="00D93F58" w:rsidRPr="004637C7" w:rsidRDefault="00D93F58" w:rsidP="006D1412">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sidRPr="004637C7">
              <w:rPr>
                <w:rFonts w:asciiTheme="minorHAnsi" w:hAnsiTheme="minorHAnsi" w:cstheme="minorHAnsi"/>
                <w:szCs w:val="20"/>
                <w:lang w:eastAsia="fr-FR" w:bidi="ar-SA"/>
              </w:rPr>
              <w:lastRenderedPageBreak/>
              <w:t>Nb de certificats délivrés</w:t>
            </w:r>
          </w:p>
        </w:tc>
        <w:tc>
          <w:tcPr>
            <w:tcW w:w="351" w:type="pct"/>
            <w:vMerge w:val="restart"/>
            <w:hideMark/>
          </w:tcPr>
          <w:p w14:paraId="69C6D1F9" w14:textId="442D874C" w:rsidR="00D93F58" w:rsidRPr="004637C7" w:rsidRDefault="00D93F58" w:rsidP="006D1412">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sidRPr="004637C7">
              <w:rPr>
                <w:rFonts w:asciiTheme="minorHAnsi" w:hAnsiTheme="minorHAnsi" w:cstheme="minorHAnsi"/>
                <w:szCs w:val="20"/>
                <w:lang w:eastAsia="fr-FR" w:bidi="ar-SA"/>
              </w:rPr>
              <w:lastRenderedPageBreak/>
              <w:t>EPC et sous-traitants</w:t>
            </w:r>
          </w:p>
        </w:tc>
        <w:tc>
          <w:tcPr>
            <w:tcW w:w="475" w:type="pct"/>
            <w:vMerge w:val="restart"/>
            <w:hideMark/>
          </w:tcPr>
          <w:p w14:paraId="0B722A55" w14:textId="05E7C783" w:rsidR="00D93F58" w:rsidRPr="004637C7" w:rsidRDefault="00D93F58" w:rsidP="006D1412">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sidRPr="00BC1745">
              <w:rPr>
                <w:szCs w:val="20"/>
              </w:rPr>
              <w:t xml:space="preserve">Bureau de contrôle / Consultant de </w:t>
            </w:r>
            <w:r w:rsidRPr="00BC1745">
              <w:rPr>
                <w:szCs w:val="20"/>
              </w:rPr>
              <w:lastRenderedPageBreak/>
              <w:t>supervision mandaté par l’ONDA</w:t>
            </w:r>
          </w:p>
        </w:tc>
        <w:tc>
          <w:tcPr>
            <w:tcW w:w="574" w:type="pct"/>
            <w:vMerge w:val="restart"/>
            <w:hideMark/>
          </w:tcPr>
          <w:p w14:paraId="35CEAF6F" w14:textId="106F1959" w:rsidR="00D93F58" w:rsidRPr="004637C7" w:rsidRDefault="00D93F58" w:rsidP="006D1412">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sidRPr="004637C7">
              <w:rPr>
                <w:rFonts w:asciiTheme="minorHAnsi" w:hAnsiTheme="minorHAnsi" w:cstheme="minorHAnsi"/>
                <w:szCs w:val="20"/>
                <w:lang w:eastAsia="fr-FR" w:bidi="ar-SA"/>
              </w:rPr>
              <w:lastRenderedPageBreak/>
              <w:t>ONDA</w:t>
            </w:r>
          </w:p>
        </w:tc>
        <w:tc>
          <w:tcPr>
            <w:tcW w:w="501" w:type="pct"/>
            <w:vMerge w:val="restart"/>
            <w:hideMark/>
          </w:tcPr>
          <w:p w14:paraId="552D03C6" w14:textId="77777777" w:rsidR="00D93F58" w:rsidRPr="004637C7" w:rsidRDefault="00D93F58" w:rsidP="006D1412">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sidRPr="004637C7">
              <w:rPr>
                <w:rFonts w:asciiTheme="minorHAnsi" w:hAnsiTheme="minorHAnsi" w:cstheme="minorHAnsi"/>
                <w:szCs w:val="20"/>
                <w:lang w:eastAsia="fr-FR" w:bidi="ar-SA"/>
              </w:rPr>
              <w:t>Durant et fin de chantier</w:t>
            </w:r>
          </w:p>
        </w:tc>
        <w:tc>
          <w:tcPr>
            <w:tcW w:w="589" w:type="pct"/>
            <w:tcBorders>
              <w:bottom w:val="single" w:sz="4" w:space="0" w:color="B4C6E7" w:themeColor="accent1" w:themeTint="66"/>
            </w:tcBorders>
            <w:hideMark/>
          </w:tcPr>
          <w:p w14:paraId="3AF6A396" w14:textId="0E61220A" w:rsidR="00D93F58" w:rsidRPr="004637C7" w:rsidRDefault="00A96EB8" w:rsidP="006D1412">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sidRPr="00A96EB8">
              <w:rPr>
                <w:rFonts w:asciiTheme="minorHAnsi" w:hAnsiTheme="minorHAnsi" w:cstheme="minorHAnsi"/>
                <w:szCs w:val="20"/>
                <w:lang w:eastAsia="fr-FR" w:bidi="ar-SA"/>
              </w:rPr>
              <w:t>20 000 – 25 000</w:t>
            </w:r>
            <w:r>
              <w:rPr>
                <w:rFonts w:asciiTheme="minorHAnsi" w:hAnsiTheme="minorHAnsi" w:cstheme="minorHAnsi"/>
                <w:szCs w:val="20"/>
                <w:lang w:eastAsia="fr-FR" w:bidi="ar-SA"/>
              </w:rPr>
              <w:t xml:space="preserve"> MAD</w:t>
            </w:r>
            <w:r w:rsidRPr="00A96EB8">
              <w:rPr>
                <w:rFonts w:asciiTheme="minorHAnsi" w:hAnsiTheme="minorHAnsi" w:cstheme="minorHAnsi"/>
                <w:szCs w:val="20"/>
                <w:lang w:eastAsia="fr-FR" w:bidi="ar-SA"/>
              </w:rPr>
              <w:t xml:space="preserve"> /cycle (30 h)</w:t>
            </w:r>
          </w:p>
        </w:tc>
      </w:tr>
      <w:tr w:rsidR="00D93F58" w:rsidRPr="00A84611" w14:paraId="6F821598" w14:textId="77777777" w:rsidTr="00D93F58">
        <w:trPr>
          <w:trHeight w:val="1636"/>
        </w:trPr>
        <w:tc>
          <w:tcPr>
            <w:cnfStyle w:val="001000000000" w:firstRow="0" w:lastRow="0" w:firstColumn="1" w:lastColumn="0" w:oddVBand="0" w:evenVBand="0" w:oddHBand="0" w:evenHBand="0" w:firstRowFirstColumn="0" w:firstRowLastColumn="0" w:lastRowFirstColumn="0" w:lastRowLastColumn="0"/>
            <w:tcW w:w="565" w:type="pct"/>
            <w:vMerge/>
          </w:tcPr>
          <w:p w14:paraId="7785397D" w14:textId="77777777" w:rsidR="00D93F58" w:rsidRPr="004637C7" w:rsidRDefault="00D93F58" w:rsidP="006D1412">
            <w:pPr>
              <w:rPr>
                <w:rFonts w:asciiTheme="minorHAnsi" w:hAnsiTheme="minorHAnsi" w:cstheme="minorHAnsi"/>
                <w:szCs w:val="20"/>
                <w:lang w:eastAsia="fr-FR" w:bidi="ar-SA"/>
              </w:rPr>
            </w:pPr>
          </w:p>
        </w:tc>
        <w:tc>
          <w:tcPr>
            <w:tcW w:w="486" w:type="pct"/>
            <w:vMerge/>
          </w:tcPr>
          <w:p w14:paraId="4CFB57F6" w14:textId="77777777" w:rsidR="00D93F58" w:rsidRPr="004637C7" w:rsidRDefault="00D93F58" w:rsidP="006D1412">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Cs w:val="20"/>
                <w:lang w:eastAsia="fr-FR" w:bidi="ar-SA"/>
              </w:rPr>
            </w:pPr>
          </w:p>
        </w:tc>
        <w:tc>
          <w:tcPr>
            <w:tcW w:w="894" w:type="pct"/>
            <w:tcBorders>
              <w:top w:val="single" w:sz="4" w:space="0" w:color="B4C6E7" w:themeColor="accent1" w:themeTint="66"/>
            </w:tcBorders>
          </w:tcPr>
          <w:p w14:paraId="616A5367" w14:textId="77777777" w:rsidR="00D93F58" w:rsidRPr="004637C7" w:rsidRDefault="00D93F58" w:rsidP="00D93F58">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sidRPr="004637C7">
              <w:rPr>
                <w:rFonts w:asciiTheme="minorHAnsi" w:hAnsiTheme="minorHAnsi" w:cstheme="minorHAnsi"/>
                <w:szCs w:val="20"/>
                <w:lang w:eastAsia="fr-FR" w:bidi="ar-SA"/>
              </w:rPr>
              <w:t>Valoriser les acquis d’expérience par attestations officielles délivrées aux travailleurs locaux.</w:t>
            </w:r>
          </w:p>
        </w:tc>
        <w:tc>
          <w:tcPr>
            <w:tcW w:w="564" w:type="pct"/>
            <w:vMerge/>
          </w:tcPr>
          <w:p w14:paraId="470E8ADB" w14:textId="77777777" w:rsidR="00D93F58" w:rsidRPr="004637C7" w:rsidRDefault="00D93F58" w:rsidP="006D1412">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p>
        </w:tc>
        <w:tc>
          <w:tcPr>
            <w:tcW w:w="351" w:type="pct"/>
            <w:vMerge/>
          </w:tcPr>
          <w:p w14:paraId="13F1D7BE" w14:textId="77777777" w:rsidR="00D93F58" w:rsidRPr="004637C7" w:rsidRDefault="00D93F58" w:rsidP="006D1412">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p>
        </w:tc>
        <w:tc>
          <w:tcPr>
            <w:tcW w:w="475" w:type="pct"/>
            <w:vMerge/>
          </w:tcPr>
          <w:p w14:paraId="3FEE41E1" w14:textId="77777777" w:rsidR="00D93F58" w:rsidRPr="00BC1745" w:rsidRDefault="00D93F58" w:rsidP="006D1412">
            <w:pPr>
              <w:cnfStyle w:val="000000000000" w:firstRow="0" w:lastRow="0" w:firstColumn="0" w:lastColumn="0" w:oddVBand="0" w:evenVBand="0" w:oddHBand="0" w:evenHBand="0" w:firstRowFirstColumn="0" w:firstRowLastColumn="0" w:lastRowFirstColumn="0" w:lastRowLastColumn="0"/>
              <w:rPr>
                <w:szCs w:val="20"/>
              </w:rPr>
            </w:pPr>
          </w:p>
        </w:tc>
        <w:tc>
          <w:tcPr>
            <w:tcW w:w="574" w:type="pct"/>
            <w:vMerge/>
          </w:tcPr>
          <w:p w14:paraId="326234DF" w14:textId="77777777" w:rsidR="00D93F58" w:rsidRPr="004637C7" w:rsidRDefault="00D93F58" w:rsidP="006D1412">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p>
        </w:tc>
        <w:tc>
          <w:tcPr>
            <w:tcW w:w="501" w:type="pct"/>
            <w:vMerge/>
          </w:tcPr>
          <w:p w14:paraId="7C932A92" w14:textId="77777777" w:rsidR="00D93F58" w:rsidRPr="004637C7" w:rsidRDefault="00D93F58" w:rsidP="006D1412">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p>
        </w:tc>
        <w:tc>
          <w:tcPr>
            <w:tcW w:w="589" w:type="pct"/>
            <w:tcBorders>
              <w:top w:val="single" w:sz="4" w:space="0" w:color="B4C6E7" w:themeColor="accent1" w:themeTint="66"/>
            </w:tcBorders>
          </w:tcPr>
          <w:p w14:paraId="34D521E5" w14:textId="4AB763A5" w:rsidR="00D93F58" w:rsidRPr="004637C7" w:rsidRDefault="00A96EB8" w:rsidP="006D1412">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sidRPr="00A96EB8">
              <w:rPr>
                <w:rFonts w:asciiTheme="minorHAnsi" w:hAnsiTheme="minorHAnsi" w:cstheme="minorHAnsi"/>
                <w:szCs w:val="20"/>
                <w:lang w:eastAsia="fr-FR" w:bidi="ar-SA"/>
              </w:rPr>
              <w:t xml:space="preserve">1 000 – 1 500 </w:t>
            </w:r>
            <w:r>
              <w:rPr>
                <w:rFonts w:asciiTheme="minorHAnsi" w:hAnsiTheme="minorHAnsi" w:cstheme="minorHAnsi"/>
                <w:szCs w:val="20"/>
                <w:lang w:eastAsia="fr-FR" w:bidi="ar-SA"/>
              </w:rPr>
              <w:t>MAD</w:t>
            </w:r>
            <w:r w:rsidRPr="00A96EB8">
              <w:rPr>
                <w:rFonts w:asciiTheme="minorHAnsi" w:hAnsiTheme="minorHAnsi" w:cstheme="minorHAnsi"/>
                <w:szCs w:val="20"/>
                <w:lang w:eastAsia="fr-FR" w:bidi="ar-SA"/>
              </w:rPr>
              <w:t>/lot (impression + certification)</w:t>
            </w:r>
          </w:p>
        </w:tc>
      </w:tr>
      <w:tr w:rsidR="006D1412" w:rsidRPr="00A84611" w14:paraId="7D9CA9BD" w14:textId="77777777" w:rsidTr="00D60FC9">
        <w:tc>
          <w:tcPr>
            <w:cnfStyle w:val="001000000000" w:firstRow="0" w:lastRow="0" w:firstColumn="1" w:lastColumn="0" w:oddVBand="0" w:evenVBand="0" w:oddHBand="0" w:evenHBand="0" w:firstRowFirstColumn="0" w:firstRowLastColumn="0" w:lastRowFirstColumn="0" w:lastRowLastColumn="0"/>
            <w:tcW w:w="0" w:type="pct"/>
            <w:vMerge w:val="restart"/>
            <w:hideMark/>
          </w:tcPr>
          <w:p w14:paraId="6187C267" w14:textId="77777777" w:rsidR="006D1412" w:rsidRPr="004637C7" w:rsidRDefault="006D1412" w:rsidP="006D1412">
            <w:pPr>
              <w:rPr>
                <w:rFonts w:asciiTheme="minorHAnsi" w:hAnsiTheme="minorHAnsi" w:cstheme="minorHAnsi"/>
                <w:szCs w:val="20"/>
                <w:lang w:eastAsia="fr-FR" w:bidi="ar-SA"/>
              </w:rPr>
            </w:pPr>
            <w:r w:rsidRPr="004637C7">
              <w:rPr>
                <w:rFonts w:asciiTheme="minorHAnsi" w:hAnsiTheme="minorHAnsi" w:cstheme="minorHAnsi"/>
                <w:szCs w:val="20"/>
                <w:lang w:eastAsia="fr-FR" w:bidi="ar-SA"/>
              </w:rPr>
              <w:lastRenderedPageBreak/>
              <w:t>Dynamisation du commerce et des services locaux</w:t>
            </w:r>
          </w:p>
        </w:tc>
        <w:tc>
          <w:tcPr>
            <w:tcW w:w="486" w:type="pct"/>
            <w:hideMark/>
          </w:tcPr>
          <w:p w14:paraId="3039C2F5" w14:textId="77777777" w:rsidR="006D1412" w:rsidRPr="004637C7" w:rsidRDefault="006D1412" w:rsidP="006D1412">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sidRPr="004637C7">
              <w:rPr>
                <w:rFonts w:asciiTheme="minorHAnsi" w:hAnsiTheme="minorHAnsi" w:cstheme="minorHAnsi"/>
                <w:b/>
                <w:bCs/>
                <w:szCs w:val="20"/>
                <w:lang w:eastAsia="fr-FR" w:bidi="ar-SA"/>
              </w:rPr>
              <w:t>Éviter</w:t>
            </w:r>
          </w:p>
        </w:tc>
        <w:tc>
          <w:tcPr>
            <w:tcW w:w="894" w:type="pct"/>
            <w:hideMark/>
          </w:tcPr>
          <w:p w14:paraId="02A48988" w14:textId="77777777" w:rsidR="00A96EB8" w:rsidRDefault="006D1412" w:rsidP="006D1412">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sidRPr="004637C7">
              <w:rPr>
                <w:rFonts w:asciiTheme="minorHAnsi" w:hAnsiTheme="minorHAnsi" w:cstheme="minorHAnsi"/>
                <w:szCs w:val="20"/>
                <w:lang w:eastAsia="fr-FR" w:bidi="ar-SA"/>
              </w:rPr>
              <w:t xml:space="preserve">Éviter le recours à des prestataires extérieurs lorsque des services similaires existent localement. </w:t>
            </w:r>
          </w:p>
          <w:p w14:paraId="32F90D2B" w14:textId="72F6D70A" w:rsidR="006D1412" w:rsidRPr="004637C7" w:rsidRDefault="006D1412" w:rsidP="006D1412">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sidRPr="004637C7">
              <w:rPr>
                <w:rFonts w:asciiTheme="minorHAnsi" w:hAnsiTheme="minorHAnsi" w:cstheme="minorHAnsi"/>
                <w:szCs w:val="20"/>
                <w:lang w:eastAsia="fr-FR" w:bidi="ar-SA"/>
              </w:rPr>
              <w:t>Privilégier les fournisseurs régionaux dans les achats et prestations.</w:t>
            </w:r>
          </w:p>
        </w:tc>
        <w:tc>
          <w:tcPr>
            <w:tcW w:w="0" w:type="pct"/>
            <w:hideMark/>
          </w:tcPr>
          <w:p w14:paraId="177AEE22" w14:textId="77777777" w:rsidR="006D1412" w:rsidRPr="004637C7" w:rsidRDefault="006D1412" w:rsidP="006D1412">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sidRPr="004637C7">
              <w:rPr>
                <w:rFonts w:asciiTheme="minorHAnsi" w:hAnsiTheme="minorHAnsi" w:cstheme="minorHAnsi"/>
                <w:szCs w:val="20"/>
                <w:lang w:eastAsia="fr-FR" w:bidi="ar-SA"/>
              </w:rPr>
              <w:t>% de contrats attribués à des entreprises locales ; nombre de prestataires locaux impliqués</w:t>
            </w:r>
          </w:p>
        </w:tc>
        <w:tc>
          <w:tcPr>
            <w:tcW w:w="0" w:type="pct"/>
            <w:hideMark/>
          </w:tcPr>
          <w:p w14:paraId="620E5B14" w14:textId="3A6C432E" w:rsidR="006D1412" w:rsidRPr="004637C7" w:rsidRDefault="006D1412" w:rsidP="006D1412">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sidRPr="004637C7">
              <w:rPr>
                <w:rFonts w:asciiTheme="minorHAnsi" w:hAnsiTheme="minorHAnsi" w:cstheme="minorHAnsi"/>
                <w:szCs w:val="20"/>
                <w:lang w:eastAsia="fr-FR" w:bidi="ar-SA"/>
              </w:rPr>
              <w:t>EPC et sous-traitants</w:t>
            </w:r>
          </w:p>
        </w:tc>
        <w:tc>
          <w:tcPr>
            <w:tcW w:w="0" w:type="pct"/>
            <w:hideMark/>
          </w:tcPr>
          <w:p w14:paraId="5BC8E81A" w14:textId="7D66716E" w:rsidR="006D1412" w:rsidRPr="004637C7" w:rsidRDefault="006D1412" w:rsidP="006D1412">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sidRPr="00BC1745">
              <w:rPr>
                <w:szCs w:val="20"/>
              </w:rPr>
              <w:t>Bureau de contrôle / Consultant de supervision mandaté par l’ONDA</w:t>
            </w:r>
          </w:p>
        </w:tc>
        <w:tc>
          <w:tcPr>
            <w:tcW w:w="0" w:type="pct"/>
            <w:hideMark/>
          </w:tcPr>
          <w:p w14:paraId="457D257B" w14:textId="4FB6FE4A" w:rsidR="006D1412" w:rsidRPr="004637C7" w:rsidRDefault="006D1412" w:rsidP="006D1412">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sidRPr="004637C7">
              <w:rPr>
                <w:rFonts w:asciiTheme="minorHAnsi" w:hAnsiTheme="minorHAnsi" w:cstheme="minorHAnsi"/>
                <w:szCs w:val="20"/>
                <w:lang w:eastAsia="fr-FR" w:bidi="ar-SA"/>
              </w:rPr>
              <w:t>ONDA</w:t>
            </w:r>
          </w:p>
        </w:tc>
        <w:tc>
          <w:tcPr>
            <w:tcW w:w="0" w:type="pct"/>
            <w:hideMark/>
          </w:tcPr>
          <w:p w14:paraId="6D13B912" w14:textId="77777777" w:rsidR="006D1412" w:rsidRPr="004637C7" w:rsidRDefault="006D1412" w:rsidP="006D1412">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sidRPr="004637C7">
              <w:rPr>
                <w:rFonts w:asciiTheme="minorHAnsi" w:hAnsiTheme="minorHAnsi" w:cstheme="minorHAnsi"/>
                <w:szCs w:val="20"/>
                <w:lang w:eastAsia="fr-FR" w:bidi="ar-SA"/>
              </w:rPr>
              <w:t>Avant la phase de travaux</w:t>
            </w:r>
          </w:p>
        </w:tc>
        <w:tc>
          <w:tcPr>
            <w:tcW w:w="0" w:type="pct"/>
            <w:hideMark/>
          </w:tcPr>
          <w:p w14:paraId="28AFDC21" w14:textId="77777777" w:rsidR="006D1412" w:rsidRPr="004637C7" w:rsidRDefault="006D1412" w:rsidP="006D1412">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sidRPr="004637C7">
              <w:rPr>
                <w:rFonts w:asciiTheme="minorHAnsi" w:hAnsiTheme="minorHAnsi" w:cstheme="minorHAnsi"/>
                <w:szCs w:val="20"/>
                <w:lang w:eastAsia="fr-FR" w:bidi="ar-SA"/>
              </w:rPr>
              <w:t>Aucun coût spécifique</w:t>
            </w:r>
          </w:p>
        </w:tc>
      </w:tr>
      <w:tr w:rsidR="00A96EB8" w:rsidRPr="00A84611" w14:paraId="10B3770D" w14:textId="77777777" w:rsidTr="00A96EB8">
        <w:trPr>
          <w:trHeight w:val="1331"/>
        </w:trPr>
        <w:tc>
          <w:tcPr>
            <w:cnfStyle w:val="001000000000" w:firstRow="0" w:lastRow="0" w:firstColumn="1" w:lastColumn="0" w:oddVBand="0" w:evenVBand="0" w:oddHBand="0" w:evenHBand="0" w:firstRowFirstColumn="0" w:firstRowLastColumn="0" w:lastRowFirstColumn="0" w:lastRowLastColumn="0"/>
            <w:tcW w:w="565" w:type="pct"/>
            <w:vMerge/>
            <w:hideMark/>
          </w:tcPr>
          <w:p w14:paraId="7E28A9FF" w14:textId="77777777" w:rsidR="00A96EB8" w:rsidRPr="004637C7" w:rsidRDefault="00A96EB8" w:rsidP="006D1412">
            <w:pPr>
              <w:rPr>
                <w:rFonts w:asciiTheme="minorHAnsi" w:hAnsiTheme="minorHAnsi" w:cstheme="minorHAnsi"/>
                <w:szCs w:val="20"/>
                <w:lang w:eastAsia="fr-FR" w:bidi="ar-SA"/>
              </w:rPr>
            </w:pPr>
          </w:p>
        </w:tc>
        <w:tc>
          <w:tcPr>
            <w:tcW w:w="486" w:type="pct"/>
            <w:vMerge w:val="restart"/>
            <w:hideMark/>
          </w:tcPr>
          <w:p w14:paraId="790EA307" w14:textId="77777777" w:rsidR="00A96EB8" w:rsidRPr="004637C7" w:rsidRDefault="00A96EB8" w:rsidP="006D1412">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sidRPr="004637C7">
              <w:rPr>
                <w:rFonts w:asciiTheme="minorHAnsi" w:hAnsiTheme="minorHAnsi" w:cstheme="minorHAnsi"/>
                <w:b/>
                <w:bCs/>
                <w:szCs w:val="20"/>
                <w:lang w:eastAsia="fr-FR" w:bidi="ar-SA"/>
              </w:rPr>
              <w:t>Réduire</w:t>
            </w:r>
          </w:p>
        </w:tc>
        <w:tc>
          <w:tcPr>
            <w:tcW w:w="894" w:type="pct"/>
            <w:tcBorders>
              <w:bottom w:val="single" w:sz="4" w:space="0" w:color="B4C6E7" w:themeColor="accent1" w:themeTint="66"/>
            </w:tcBorders>
            <w:hideMark/>
          </w:tcPr>
          <w:p w14:paraId="41914C70" w14:textId="43208543" w:rsidR="00A96EB8" w:rsidRPr="004637C7" w:rsidRDefault="00A96EB8" w:rsidP="006D1412">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sidRPr="004637C7">
              <w:rPr>
                <w:rFonts w:asciiTheme="minorHAnsi" w:hAnsiTheme="minorHAnsi" w:cstheme="minorHAnsi"/>
                <w:szCs w:val="20"/>
                <w:lang w:eastAsia="fr-FR" w:bidi="ar-SA"/>
              </w:rPr>
              <w:t>Mettre en place une base de données des prestataires locaux (transport, hébergement, restauration).</w:t>
            </w:r>
          </w:p>
        </w:tc>
        <w:tc>
          <w:tcPr>
            <w:tcW w:w="564" w:type="pct"/>
            <w:vMerge w:val="restart"/>
            <w:hideMark/>
          </w:tcPr>
          <w:p w14:paraId="7E2E3921" w14:textId="77777777" w:rsidR="00A96EB8" w:rsidRPr="004637C7" w:rsidRDefault="00A96EB8" w:rsidP="006D1412">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sidRPr="004637C7">
              <w:rPr>
                <w:rFonts w:asciiTheme="minorHAnsi" w:hAnsiTheme="minorHAnsi" w:cstheme="minorHAnsi"/>
                <w:szCs w:val="20"/>
                <w:lang w:eastAsia="fr-FR" w:bidi="ar-SA"/>
              </w:rPr>
              <w:t>Nombre de prestataires enregistrés ; nombre de réunions locales réalisées</w:t>
            </w:r>
          </w:p>
        </w:tc>
        <w:tc>
          <w:tcPr>
            <w:tcW w:w="351" w:type="pct"/>
            <w:vMerge w:val="restart"/>
            <w:hideMark/>
          </w:tcPr>
          <w:p w14:paraId="4E529C07" w14:textId="269DEF0E" w:rsidR="00A96EB8" w:rsidRPr="004637C7" w:rsidRDefault="00A96EB8" w:rsidP="006D1412">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sidRPr="004637C7">
              <w:rPr>
                <w:rFonts w:asciiTheme="minorHAnsi" w:hAnsiTheme="minorHAnsi" w:cstheme="minorHAnsi"/>
                <w:szCs w:val="20"/>
                <w:lang w:eastAsia="fr-FR" w:bidi="ar-SA"/>
              </w:rPr>
              <w:t>EPC et sous-traitants</w:t>
            </w:r>
          </w:p>
        </w:tc>
        <w:tc>
          <w:tcPr>
            <w:tcW w:w="475" w:type="pct"/>
            <w:vMerge w:val="restart"/>
            <w:hideMark/>
          </w:tcPr>
          <w:p w14:paraId="523887E4" w14:textId="5C5CD4D1" w:rsidR="00A96EB8" w:rsidRPr="004637C7" w:rsidRDefault="00A96EB8" w:rsidP="006D1412">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sidRPr="00BC1745">
              <w:rPr>
                <w:szCs w:val="20"/>
              </w:rPr>
              <w:t>Bureau de contrôle / Consultant de supervision mandaté par l’ONDA</w:t>
            </w:r>
          </w:p>
        </w:tc>
        <w:tc>
          <w:tcPr>
            <w:tcW w:w="574" w:type="pct"/>
            <w:vMerge w:val="restart"/>
            <w:hideMark/>
          </w:tcPr>
          <w:p w14:paraId="5DC21D61" w14:textId="31D69294" w:rsidR="00A96EB8" w:rsidRPr="004637C7" w:rsidRDefault="00A96EB8" w:rsidP="006D1412">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sidRPr="004637C7">
              <w:rPr>
                <w:rFonts w:asciiTheme="minorHAnsi" w:hAnsiTheme="minorHAnsi" w:cstheme="minorHAnsi"/>
                <w:szCs w:val="20"/>
                <w:lang w:eastAsia="fr-FR" w:bidi="ar-SA"/>
              </w:rPr>
              <w:t>ONDA</w:t>
            </w:r>
          </w:p>
        </w:tc>
        <w:tc>
          <w:tcPr>
            <w:tcW w:w="501" w:type="pct"/>
            <w:vMerge w:val="restart"/>
            <w:hideMark/>
          </w:tcPr>
          <w:p w14:paraId="7AEDED1F" w14:textId="77777777" w:rsidR="00A96EB8" w:rsidRPr="004637C7" w:rsidRDefault="00A96EB8" w:rsidP="006D1412">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sidRPr="004637C7">
              <w:rPr>
                <w:rFonts w:asciiTheme="minorHAnsi" w:hAnsiTheme="minorHAnsi" w:cstheme="minorHAnsi"/>
                <w:szCs w:val="20"/>
                <w:lang w:eastAsia="fr-FR" w:bidi="ar-SA"/>
              </w:rPr>
              <w:t>Tout au long du chantier</w:t>
            </w:r>
          </w:p>
        </w:tc>
        <w:tc>
          <w:tcPr>
            <w:tcW w:w="589" w:type="pct"/>
            <w:tcBorders>
              <w:bottom w:val="single" w:sz="4" w:space="0" w:color="B4C6E7" w:themeColor="accent1" w:themeTint="66"/>
            </w:tcBorders>
            <w:hideMark/>
          </w:tcPr>
          <w:p w14:paraId="14AECB21" w14:textId="3B8C1E74" w:rsidR="00A96EB8" w:rsidRPr="004637C7" w:rsidRDefault="00A96EB8" w:rsidP="006D1412">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sidRPr="00A96EB8">
              <w:rPr>
                <w:rFonts w:asciiTheme="minorHAnsi" w:hAnsiTheme="minorHAnsi" w:cstheme="minorHAnsi"/>
                <w:szCs w:val="20"/>
                <w:lang w:eastAsia="fr-FR" w:bidi="ar-SA"/>
              </w:rPr>
              <w:t>8 000 – 10 000</w:t>
            </w:r>
            <w:r>
              <w:rPr>
                <w:rFonts w:asciiTheme="minorHAnsi" w:hAnsiTheme="minorHAnsi" w:cstheme="minorHAnsi"/>
                <w:szCs w:val="20"/>
                <w:lang w:eastAsia="fr-FR" w:bidi="ar-SA"/>
              </w:rPr>
              <w:t xml:space="preserve"> MAD</w:t>
            </w:r>
            <w:r w:rsidRPr="00A96EB8">
              <w:rPr>
                <w:rFonts w:asciiTheme="minorHAnsi" w:hAnsiTheme="minorHAnsi" w:cstheme="minorHAnsi"/>
                <w:szCs w:val="20"/>
                <w:lang w:eastAsia="fr-FR" w:bidi="ar-SA"/>
              </w:rPr>
              <w:t xml:space="preserve"> /base initiale</w:t>
            </w:r>
            <w:r>
              <w:rPr>
                <w:rFonts w:asciiTheme="minorHAnsi" w:hAnsiTheme="minorHAnsi" w:cstheme="minorHAnsi"/>
                <w:szCs w:val="20"/>
                <w:lang w:eastAsia="fr-FR" w:bidi="ar-SA"/>
              </w:rPr>
              <w:t xml:space="preserve"> (</w:t>
            </w:r>
            <w:r w:rsidRPr="00A96EB8">
              <w:rPr>
                <w:rFonts w:asciiTheme="minorHAnsi" w:hAnsiTheme="minorHAnsi" w:cstheme="minorHAnsi"/>
                <w:szCs w:val="20"/>
                <w:lang w:eastAsia="fr-FR" w:bidi="ar-SA"/>
              </w:rPr>
              <w:t>Collecte, saisie, mise à jou</w:t>
            </w:r>
            <w:r>
              <w:rPr>
                <w:rFonts w:asciiTheme="minorHAnsi" w:hAnsiTheme="minorHAnsi" w:cstheme="minorHAnsi"/>
                <w:szCs w:val="20"/>
                <w:lang w:eastAsia="fr-FR" w:bidi="ar-SA"/>
              </w:rPr>
              <w:t>r)</w:t>
            </w:r>
          </w:p>
        </w:tc>
      </w:tr>
      <w:tr w:rsidR="00A96EB8" w:rsidRPr="00A84611" w14:paraId="5A21EDAD" w14:textId="77777777" w:rsidTr="00A96EB8">
        <w:trPr>
          <w:trHeight w:val="873"/>
        </w:trPr>
        <w:tc>
          <w:tcPr>
            <w:cnfStyle w:val="001000000000" w:firstRow="0" w:lastRow="0" w:firstColumn="1" w:lastColumn="0" w:oddVBand="0" w:evenVBand="0" w:oddHBand="0" w:evenHBand="0" w:firstRowFirstColumn="0" w:firstRowLastColumn="0" w:lastRowFirstColumn="0" w:lastRowLastColumn="0"/>
            <w:tcW w:w="565" w:type="pct"/>
            <w:vMerge/>
          </w:tcPr>
          <w:p w14:paraId="3A17C345" w14:textId="77777777" w:rsidR="00A96EB8" w:rsidRPr="004637C7" w:rsidRDefault="00A96EB8" w:rsidP="006D1412">
            <w:pPr>
              <w:rPr>
                <w:rFonts w:asciiTheme="minorHAnsi" w:hAnsiTheme="minorHAnsi" w:cstheme="minorHAnsi"/>
                <w:szCs w:val="20"/>
                <w:lang w:eastAsia="fr-FR" w:bidi="ar-SA"/>
              </w:rPr>
            </w:pPr>
          </w:p>
        </w:tc>
        <w:tc>
          <w:tcPr>
            <w:tcW w:w="486" w:type="pct"/>
            <w:vMerge/>
          </w:tcPr>
          <w:p w14:paraId="3CAAF46D" w14:textId="77777777" w:rsidR="00A96EB8" w:rsidRPr="004637C7" w:rsidRDefault="00A96EB8" w:rsidP="006D1412">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Cs w:val="20"/>
                <w:lang w:eastAsia="fr-FR" w:bidi="ar-SA"/>
              </w:rPr>
            </w:pPr>
          </w:p>
        </w:tc>
        <w:tc>
          <w:tcPr>
            <w:tcW w:w="894" w:type="pct"/>
            <w:tcBorders>
              <w:top w:val="single" w:sz="4" w:space="0" w:color="B4C6E7" w:themeColor="accent1" w:themeTint="66"/>
            </w:tcBorders>
          </w:tcPr>
          <w:p w14:paraId="056FC295" w14:textId="5C3750A4" w:rsidR="00A96EB8" w:rsidRPr="004637C7" w:rsidRDefault="00A96EB8" w:rsidP="00A96EB8">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sidRPr="004637C7">
              <w:rPr>
                <w:rFonts w:asciiTheme="minorHAnsi" w:hAnsiTheme="minorHAnsi" w:cstheme="minorHAnsi"/>
                <w:szCs w:val="20"/>
                <w:lang w:eastAsia="fr-FR" w:bidi="ar-SA"/>
              </w:rPr>
              <w:t xml:space="preserve"> Organiser des réunions d’information avec les commerçants pour présenter les besoins du projet et les exigences HSE.</w:t>
            </w:r>
          </w:p>
        </w:tc>
        <w:tc>
          <w:tcPr>
            <w:tcW w:w="564" w:type="pct"/>
            <w:vMerge/>
          </w:tcPr>
          <w:p w14:paraId="2B887E76" w14:textId="77777777" w:rsidR="00A96EB8" w:rsidRPr="004637C7" w:rsidRDefault="00A96EB8" w:rsidP="006D1412">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p>
        </w:tc>
        <w:tc>
          <w:tcPr>
            <w:tcW w:w="351" w:type="pct"/>
            <w:vMerge/>
          </w:tcPr>
          <w:p w14:paraId="2E682E6A" w14:textId="77777777" w:rsidR="00A96EB8" w:rsidRPr="004637C7" w:rsidRDefault="00A96EB8" w:rsidP="006D1412">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p>
        </w:tc>
        <w:tc>
          <w:tcPr>
            <w:tcW w:w="475" w:type="pct"/>
            <w:vMerge/>
          </w:tcPr>
          <w:p w14:paraId="6DC95F2A" w14:textId="77777777" w:rsidR="00A96EB8" w:rsidRPr="00BC1745" w:rsidRDefault="00A96EB8" w:rsidP="006D1412">
            <w:pPr>
              <w:cnfStyle w:val="000000000000" w:firstRow="0" w:lastRow="0" w:firstColumn="0" w:lastColumn="0" w:oddVBand="0" w:evenVBand="0" w:oddHBand="0" w:evenHBand="0" w:firstRowFirstColumn="0" w:firstRowLastColumn="0" w:lastRowFirstColumn="0" w:lastRowLastColumn="0"/>
              <w:rPr>
                <w:szCs w:val="20"/>
              </w:rPr>
            </w:pPr>
          </w:p>
        </w:tc>
        <w:tc>
          <w:tcPr>
            <w:tcW w:w="574" w:type="pct"/>
            <w:vMerge/>
          </w:tcPr>
          <w:p w14:paraId="6154B31C" w14:textId="77777777" w:rsidR="00A96EB8" w:rsidRPr="004637C7" w:rsidRDefault="00A96EB8" w:rsidP="006D1412">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p>
        </w:tc>
        <w:tc>
          <w:tcPr>
            <w:tcW w:w="501" w:type="pct"/>
            <w:vMerge/>
          </w:tcPr>
          <w:p w14:paraId="096825E5" w14:textId="77777777" w:rsidR="00A96EB8" w:rsidRPr="004637C7" w:rsidRDefault="00A96EB8" w:rsidP="006D1412">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p>
        </w:tc>
        <w:tc>
          <w:tcPr>
            <w:tcW w:w="589" w:type="pct"/>
            <w:tcBorders>
              <w:top w:val="single" w:sz="4" w:space="0" w:color="B4C6E7" w:themeColor="accent1" w:themeTint="66"/>
            </w:tcBorders>
          </w:tcPr>
          <w:p w14:paraId="7B828B2B" w14:textId="511D8A87" w:rsidR="00A96EB8" w:rsidRPr="00A96EB8" w:rsidRDefault="00A96EB8" w:rsidP="006D1412">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sidRPr="00A96EB8">
              <w:rPr>
                <w:rFonts w:asciiTheme="minorHAnsi" w:hAnsiTheme="minorHAnsi" w:cstheme="minorHAnsi"/>
                <w:szCs w:val="20"/>
                <w:lang w:eastAsia="fr-FR" w:bidi="ar-SA"/>
              </w:rPr>
              <w:t>3 000 – 4 000</w:t>
            </w:r>
            <w:r>
              <w:rPr>
                <w:rFonts w:asciiTheme="minorHAnsi" w:hAnsiTheme="minorHAnsi" w:cstheme="minorHAnsi"/>
                <w:szCs w:val="20"/>
                <w:lang w:eastAsia="fr-FR" w:bidi="ar-SA"/>
              </w:rPr>
              <w:t xml:space="preserve"> MAD</w:t>
            </w:r>
            <w:r w:rsidRPr="00A96EB8">
              <w:rPr>
                <w:rFonts w:asciiTheme="minorHAnsi" w:hAnsiTheme="minorHAnsi" w:cstheme="minorHAnsi"/>
                <w:szCs w:val="20"/>
                <w:lang w:eastAsia="fr-FR" w:bidi="ar-SA"/>
              </w:rPr>
              <w:t xml:space="preserve"> /réunion</w:t>
            </w:r>
            <w:r>
              <w:rPr>
                <w:rFonts w:asciiTheme="minorHAnsi" w:hAnsiTheme="minorHAnsi" w:cstheme="minorHAnsi"/>
                <w:szCs w:val="20"/>
                <w:lang w:eastAsia="fr-FR" w:bidi="ar-SA"/>
              </w:rPr>
              <w:t xml:space="preserve"> (</w:t>
            </w:r>
            <w:r w:rsidRPr="00A96EB8">
              <w:rPr>
                <w:rFonts w:asciiTheme="minorHAnsi" w:hAnsiTheme="minorHAnsi" w:cstheme="minorHAnsi"/>
                <w:szCs w:val="20"/>
                <w:lang w:eastAsia="fr-FR" w:bidi="ar-SA"/>
              </w:rPr>
              <w:t>Location salle, supports, collation</w:t>
            </w:r>
            <w:r>
              <w:rPr>
                <w:rFonts w:asciiTheme="minorHAnsi" w:hAnsiTheme="minorHAnsi" w:cstheme="minorHAnsi"/>
                <w:szCs w:val="20"/>
                <w:lang w:eastAsia="fr-FR" w:bidi="ar-SA"/>
              </w:rPr>
              <w:t>)</w:t>
            </w:r>
          </w:p>
        </w:tc>
      </w:tr>
      <w:tr w:rsidR="006D1412" w:rsidRPr="00A84611" w14:paraId="2FFAAE2B" w14:textId="77777777" w:rsidTr="00D60FC9">
        <w:tc>
          <w:tcPr>
            <w:cnfStyle w:val="001000000000" w:firstRow="0" w:lastRow="0" w:firstColumn="1" w:lastColumn="0" w:oddVBand="0" w:evenVBand="0" w:oddHBand="0" w:evenHBand="0" w:firstRowFirstColumn="0" w:firstRowLastColumn="0" w:lastRowFirstColumn="0" w:lastRowLastColumn="0"/>
            <w:tcW w:w="0" w:type="pct"/>
            <w:vMerge/>
            <w:hideMark/>
          </w:tcPr>
          <w:p w14:paraId="4FEADAD4" w14:textId="77777777" w:rsidR="006D1412" w:rsidRPr="004637C7" w:rsidRDefault="006D1412" w:rsidP="006D1412">
            <w:pPr>
              <w:rPr>
                <w:rFonts w:asciiTheme="minorHAnsi" w:hAnsiTheme="minorHAnsi" w:cstheme="minorHAnsi"/>
                <w:szCs w:val="20"/>
                <w:lang w:eastAsia="fr-FR" w:bidi="ar-SA"/>
              </w:rPr>
            </w:pPr>
          </w:p>
        </w:tc>
        <w:tc>
          <w:tcPr>
            <w:tcW w:w="486" w:type="pct"/>
            <w:hideMark/>
          </w:tcPr>
          <w:p w14:paraId="7FD9DE30" w14:textId="77777777" w:rsidR="006D1412" w:rsidRPr="004637C7" w:rsidRDefault="006D1412" w:rsidP="006D1412">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sidRPr="004637C7">
              <w:rPr>
                <w:rFonts w:asciiTheme="minorHAnsi" w:hAnsiTheme="minorHAnsi" w:cstheme="minorHAnsi"/>
                <w:b/>
                <w:bCs/>
                <w:szCs w:val="20"/>
                <w:lang w:eastAsia="fr-FR" w:bidi="ar-SA"/>
              </w:rPr>
              <w:t>Atténuer</w:t>
            </w:r>
          </w:p>
        </w:tc>
        <w:tc>
          <w:tcPr>
            <w:tcW w:w="894" w:type="pct"/>
            <w:hideMark/>
          </w:tcPr>
          <w:p w14:paraId="0D396060" w14:textId="77777777" w:rsidR="006D1412" w:rsidRPr="004637C7" w:rsidRDefault="006D1412" w:rsidP="006D1412">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sidRPr="004637C7">
              <w:rPr>
                <w:rFonts w:asciiTheme="minorHAnsi" w:hAnsiTheme="minorHAnsi" w:cstheme="minorHAnsi"/>
                <w:szCs w:val="20"/>
                <w:lang w:eastAsia="fr-FR" w:bidi="ar-SA"/>
              </w:rPr>
              <w:t xml:space="preserve">Promouvoir les achats responsables privilégiant les circuits courts et coopératives locales. </w:t>
            </w:r>
          </w:p>
          <w:p w14:paraId="642DDC35" w14:textId="15202508" w:rsidR="006D1412" w:rsidRPr="004637C7" w:rsidRDefault="006D1412" w:rsidP="006D1412">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sidRPr="004637C7">
              <w:rPr>
                <w:rFonts w:asciiTheme="minorHAnsi" w:hAnsiTheme="minorHAnsi" w:cstheme="minorHAnsi"/>
                <w:szCs w:val="20"/>
                <w:lang w:eastAsia="fr-FR" w:bidi="ar-SA"/>
              </w:rPr>
              <w:t>Favoriser l’approvisionnement en produits régionaux pour la restauration et l’entretien.</w:t>
            </w:r>
          </w:p>
        </w:tc>
        <w:tc>
          <w:tcPr>
            <w:tcW w:w="0" w:type="pct"/>
            <w:hideMark/>
          </w:tcPr>
          <w:p w14:paraId="4E65D85C" w14:textId="77777777" w:rsidR="006D1412" w:rsidRPr="004637C7" w:rsidRDefault="006D1412" w:rsidP="006D1412">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sidRPr="004637C7">
              <w:rPr>
                <w:rFonts w:asciiTheme="minorHAnsi" w:hAnsiTheme="minorHAnsi" w:cstheme="minorHAnsi"/>
                <w:szCs w:val="20"/>
                <w:lang w:eastAsia="fr-FR" w:bidi="ar-SA"/>
              </w:rPr>
              <w:t>Montant global des achats locaux ; % d’achats responsables</w:t>
            </w:r>
          </w:p>
        </w:tc>
        <w:tc>
          <w:tcPr>
            <w:tcW w:w="0" w:type="pct"/>
            <w:hideMark/>
          </w:tcPr>
          <w:p w14:paraId="342A2BF9" w14:textId="616304C5" w:rsidR="006D1412" w:rsidRPr="004637C7" w:rsidRDefault="006D1412" w:rsidP="006D1412">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sidRPr="004637C7">
              <w:rPr>
                <w:rFonts w:asciiTheme="minorHAnsi" w:hAnsiTheme="minorHAnsi" w:cstheme="minorHAnsi"/>
                <w:szCs w:val="20"/>
                <w:lang w:eastAsia="fr-FR" w:bidi="ar-SA"/>
              </w:rPr>
              <w:t>EPC et sous-traitants</w:t>
            </w:r>
          </w:p>
        </w:tc>
        <w:tc>
          <w:tcPr>
            <w:tcW w:w="0" w:type="pct"/>
            <w:hideMark/>
          </w:tcPr>
          <w:p w14:paraId="50E5AE2C" w14:textId="48A66E79" w:rsidR="006D1412" w:rsidRPr="004637C7" w:rsidRDefault="006D1412" w:rsidP="006D1412">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sidRPr="00BC1745">
              <w:rPr>
                <w:szCs w:val="20"/>
              </w:rPr>
              <w:t>Bureau de contrôle / Consultant de supervision mandaté par l’ONDA</w:t>
            </w:r>
          </w:p>
        </w:tc>
        <w:tc>
          <w:tcPr>
            <w:tcW w:w="0" w:type="pct"/>
            <w:hideMark/>
          </w:tcPr>
          <w:p w14:paraId="1657A91A" w14:textId="236C5602" w:rsidR="006D1412" w:rsidRPr="004637C7" w:rsidRDefault="006D1412" w:rsidP="006D1412">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sidRPr="004637C7">
              <w:rPr>
                <w:rFonts w:asciiTheme="minorHAnsi" w:hAnsiTheme="minorHAnsi" w:cstheme="minorHAnsi"/>
                <w:szCs w:val="20"/>
                <w:lang w:eastAsia="fr-FR" w:bidi="ar-SA"/>
              </w:rPr>
              <w:t>ONDA</w:t>
            </w:r>
          </w:p>
        </w:tc>
        <w:tc>
          <w:tcPr>
            <w:tcW w:w="0" w:type="pct"/>
            <w:hideMark/>
          </w:tcPr>
          <w:p w14:paraId="3BFEF920" w14:textId="77777777" w:rsidR="006D1412" w:rsidRPr="004637C7" w:rsidRDefault="006D1412" w:rsidP="006D1412">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sidRPr="004637C7">
              <w:rPr>
                <w:rFonts w:asciiTheme="minorHAnsi" w:hAnsiTheme="minorHAnsi" w:cstheme="minorHAnsi"/>
                <w:szCs w:val="20"/>
                <w:lang w:eastAsia="fr-FR" w:bidi="ar-SA"/>
              </w:rPr>
              <w:t>Durant la construction</w:t>
            </w:r>
          </w:p>
        </w:tc>
        <w:tc>
          <w:tcPr>
            <w:tcW w:w="0" w:type="pct"/>
            <w:hideMark/>
          </w:tcPr>
          <w:p w14:paraId="3FA820AF" w14:textId="75584CE8" w:rsidR="006D1412" w:rsidRPr="004637C7" w:rsidRDefault="005F59CA" w:rsidP="006D1412">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fr-FR" w:bidi="ar-SA"/>
              </w:rPr>
            </w:pPr>
            <w:r>
              <w:rPr>
                <w:rFonts w:asciiTheme="minorHAnsi" w:hAnsiTheme="minorHAnsi" w:cstheme="minorHAnsi"/>
                <w:szCs w:val="20"/>
                <w:lang w:eastAsia="fr-FR" w:bidi="ar-SA"/>
              </w:rPr>
              <w:t>Aucun coût spécifique</w:t>
            </w:r>
          </w:p>
        </w:tc>
      </w:tr>
    </w:tbl>
    <w:p w14:paraId="154ECA70" w14:textId="77777777" w:rsidR="00A84611" w:rsidRDefault="00A84611" w:rsidP="004036B7">
      <w:pPr>
        <w:rPr>
          <w:lang w:eastAsia="fr-FR" w:bidi="ar-SA"/>
        </w:rPr>
        <w:sectPr w:rsidR="00A84611" w:rsidSect="003D45D1">
          <w:headerReference w:type="default" r:id="rId134"/>
          <w:footerReference w:type="default" r:id="rId135"/>
          <w:pgSz w:w="16838" w:h="11906" w:orient="landscape"/>
          <w:pgMar w:top="1418" w:right="1418" w:bottom="1418" w:left="1276" w:header="680" w:footer="680" w:gutter="0"/>
          <w:cols w:space="708"/>
          <w:docGrid w:linePitch="360"/>
        </w:sectPr>
      </w:pPr>
    </w:p>
    <w:p w14:paraId="5EE2BC0E" w14:textId="77777777" w:rsidR="004036B7" w:rsidRPr="004637C7" w:rsidRDefault="004036B7" w:rsidP="004637C7">
      <w:pPr>
        <w:rPr>
          <w:b/>
          <w:bCs/>
        </w:rPr>
      </w:pPr>
    </w:p>
    <w:p w14:paraId="665FECA2" w14:textId="5B3D2289" w:rsidR="009066F1" w:rsidRPr="009066F1" w:rsidRDefault="009066F1" w:rsidP="004637C7">
      <w:pPr>
        <w:pStyle w:val="Title5"/>
      </w:pPr>
      <w:r w:rsidRPr="009066F1">
        <w:t>Évaluation de</w:t>
      </w:r>
      <w:r w:rsidR="001D6A1B">
        <w:t xml:space="preserve">s impacts </w:t>
      </w:r>
      <w:r w:rsidR="00EE6766">
        <w:t>renforcés</w:t>
      </w:r>
    </w:p>
    <w:p w14:paraId="74B4749F" w14:textId="77777777" w:rsidR="00187FB3" w:rsidRPr="00EE6766" w:rsidRDefault="002A5179" w:rsidP="002A5179">
      <w:r w:rsidRPr="002A5179">
        <w:t>Après la mise en œuvre des mesures d</w:t>
      </w:r>
      <w:r w:rsidR="00187FB3">
        <w:t>e renforcement</w:t>
      </w:r>
      <w:r w:rsidRPr="002A5179">
        <w:t xml:space="preserve">, les impacts socio-économiques positifs identifiés durant la phase de construction sont </w:t>
      </w:r>
      <w:r w:rsidRPr="00EE6766">
        <w:t xml:space="preserve">considérablement </w:t>
      </w:r>
      <w:r w:rsidRPr="004637C7">
        <w:t>consolidés et mieux répartis</w:t>
      </w:r>
      <w:r w:rsidRPr="00EE6766">
        <w:t xml:space="preserve"> au sein de la population locale.</w:t>
      </w:r>
    </w:p>
    <w:p w14:paraId="509FBCFA" w14:textId="77777777" w:rsidR="00187FB3" w:rsidRPr="00EE6766" w:rsidRDefault="002A5179" w:rsidP="002A5179">
      <w:r w:rsidRPr="002A5179">
        <w:t xml:space="preserve">Les clauses contractuelles d’emploi local prioritaire, la collaboration avec l’ANAPEC et les associations </w:t>
      </w:r>
      <w:r w:rsidR="00187FB3">
        <w:t>locales</w:t>
      </w:r>
      <w:r w:rsidRPr="002A5179">
        <w:t xml:space="preserve">, ainsi que les programmes de sensibilisation à l’égalité professionnelle et à la non-discrimination, </w:t>
      </w:r>
      <w:r w:rsidRPr="00EE6766">
        <w:t xml:space="preserve">garantissent une </w:t>
      </w:r>
      <w:r w:rsidRPr="004637C7">
        <w:t>insertion équitable des travailleurs</w:t>
      </w:r>
      <w:r w:rsidRPr="00EE6766">
        <w:t>.</w:t>
      </w:r>
    </w:p>
    <w:p w14:paraId="7E2AA7DB" w14:textId="1EB44141" w:rsidR="002A5179" w:rsidRPr="00EE6766" w:rsidRDefault="002A5179" w:rsidP="004637C7">
      <w:r w:rsidRPr="00EE6766">
        <w:t xml:space="preserve">Le recours à des entreprises et sous-traitants régionaux, combiné à </w:t>
      </w:r>
      <w:r w:rsidR="00187FB3" w:rsidRPr="00EE6766">
        <w:t>une surveillance et</w:t>
      </w:r>
      <w:r w:rsidRPr="00EE6766">
        <w:t xml:space="preserve"> </w:t>
      </w:r>
      <w:r w:rsidR="00187FB3" w:rsidRPr="00EE6766">
        <w:t>suivi régulier</w:t>
      </w:r>
      <w:r w:rsidRPr="00EE6766">
        <w:t xml:space="preserve"> assuré par l’ONDA et </w:t>
      </w:r>
      <w:r w:rsidR="00187FB3" w:rsidRPr="00EE6766">
        <w:t>son assistant</w:t>
      </w:r>
      <w:r w:rsidRPr="00EE6766">
        <w:t>, permet de maximiser les retombées économiques directes et indirectes sur le tissu local.</w:t>
      </w:r>
    </w:p>
    <w:p w14:paraId="5F6CD46F" w14:textId="77777777" w:rsidR="00187FB3" w:rsidRPr="00EE6766" w:rsidRDefault="002A5179" w:rsidP="002A5179">
      <w:r w:rsidRPr="00EE6766">
        <w:t>L’application des mesures de formation, de transfert de savoir-faire et de capitalisation technique contribue à l’</w:t>
      </w:r>
      <w:r w:rsidRPr="004637C7">
        <w:t>amélioration des compétences locales</w:t>
      </w:r>
      <w:r w:rsidRPr="00EE6766">
        <w:t xml:space="preserve"> et à la création d’un vivier de main-d’œuvre qualifiée, notamment dans les domaines du balisage lumineux, de la manutention et de la maintenance des pistes.</w:t>
      </w:r>
    </w:p>
    <w:p w14:paraId="4576805C" w14:textId="6932DD9E" w:rsidR="002A5179" w:rsidRPr="002A5179" w:rsidRDefault="002A5179" w:rsidP="004637C7">
      <w:r w:rsidRPr="002A5179">
        <w:t>De même, les programmes de soutien à l’entrepreneuriat et aux microprojets féminins instaurent une dynamique inclusive durable au sein de la commune.</w:t>
      </w:r>
    </w:p>
    <w:p w14:paraId="6E271060" w14:textId="77777777" w:rsidR="002A5179" w:rsidRPr="002A5179" w:rsidRDefault="002A5179" w:rsidP="004637C7">
      <w:r w:rsidRPr="002A5179">
        <w:t>Ainsi, après mise en œuvre des mesures :</w:t>
      </w:r>
    </w:p>
    <w:p w14:paraId="6BAC3399" w14:textId="4F7A940E" w:rsidR="002A5179" w:rsidRPr="002A5179" w:rsidRDefault="002A5179" w:rsidP="0001633E">
      <w:pPr>
        <w:pStyle w:val="Paragraphedeliste"/>
        <w:numPr>
          <w:ilvl w:val="0"/>
          <w:numId w:val="121"/>
        </w:numPr>
      </w:pPr>
      <w:r w:rsidRPr="002A5179">
        <w:t>L’</w:t>
      </w:r>
      <w:r w:rsidRPr="00EE6766">
        <w:rPr>
          <w:b/>
          <w:bCs/>
        </w:rPr>
        <w:t>impact sur l’emploi local</w:t>
      </w:r>
      <w:r w:rsidRPr="002A5179">
        <w:t xml:space="preserve"> </w:t>
      </w:r>
      <w:r w:rsidR="00187FB3">
        <w:t>reste</w:t>
      </w:r>
      <w:r w:rsidRPr="002A5179">
        <w:t xml:space="preserve"> </w:t>
      </w:r>
      <w:r w:rsidRPr="00EE6766">
        <w:rPr>
          <w:b/>
          <w:bCs/>
        </w:rPr>
        <w:t>positif majeur</w:t>
      </w:r>
      <w:r w:rsidRPr="002A5179">
        <w:t>, car il favorise l’intégration socio-professionnelle des jeunes et des travailleurs vulnérables.</w:t>
      </w:r>
    </w:p>
    <w:p w14:paraId="4844772F" w14:textId="283B9E78" w:rsidR="002A5179" w:rsidRPr="002A5179" w:rsidRDefault="002A5179" w:rsidP="0001633E">
      <w:pPr>
        <w:pStyle w:val="Paragraphedeliste"/>
        <w:numPr>
          <w:ilvl w:val="0"/>
          <w:numId w:val="121"/>
        </w:numPr>
      </w:pPr>
      <w:r w:rsidRPr="002A5179">
        <w:t>L’</w:t>
      </w:r>
      <w:r w:rsidRPr="00EE6766">
        <w:rPr>
          <w:b/>
          <w:bCs/>
        </w:rPr>
        <w:t>impact sur l’inclusion sociale</w:t>
      </w:r>
      <w:r w:rsidRPr="002A5179">
        <w:t xml:space="preserve"> est rehaussé à un niveau </w:t>
      </w:r>
      <w:r w:rsidRPr="00EE6766">
        <w:rPr>
          <w:b/>
          <w:bCs/>
        </w:rPr>
        <w:t xml:space="preserve">positif modéré à </w:t>
      </w:r>
      <w:r w:rsidR="00187FB3" w:rsidRPr="00EE6766">
        <w:rPr>
          <w:b/>
          <w:bCs/>
        </w:rPr>
        <w:t>majeure</w:t>
      </w:r>
      <w:r w:rsidRPr="002A5179">
        <w:t>, du fait de la présence d’un dispositif clair de sensibilisation, de suivi et de plaintes confidentielles.</w:t>
      </w:r>
    </w:p>
    <w:p w14:paraId="059D10A2" w14:textId="77777777" w:rsidR="002A5179" w:rsidRPr="002A5179" w:rsidRDefault="002A5179" w:rsidP="0001633E">
      <w:pPr>
        <w:pStyle w:val="Paragraphedeliste"/>
        <w:numPr>
          <w:ilvl w:val="0"/>
          <w:numId w:val="121"/>
        </w:numPr>
      </w:pPr>
      <w:r w:rsidRPr="002A5179">
        <w:t>L’</w:t>
      </w:r>
      <w:r w:rsidRPr="00EE6766">
        <w:rPr>
          <w:b/>
          <w:bCs/>
        </w:rPr>
        <w:t>impact sur les compétences techniques</w:t>
      </w:r>
      <w:r w:rsidRPr="002A5179">
        <w:t xml:space="preserve"> est jugé </w:t>
      </w:r>
      <w:r w:rsidRPr="00EE6766">
        <w:rPr>
          <w:b/>
          <w:bCs/>
        </w:rPr>
        <w:t>positif durable</w:t>
      </w:r>
      <w:r w:rsidRPr="002A5179">
        <w:t>, grâce aux partenariats avec l’OFPPT et à la diffusion du retour d’expérience ONDA.</w:t>
      </w:r>
    </w:p>
    <w:p w14:paraId="7593C00F" w14:textId="7229D1E4" w:rsidR="002A5179" w:rsidRPr="002A5179" w:rsidRDefault="002A5179" w:rsidP="0001633E">
      <w:pPr>
        <w:pStyle w:val="Paragraphedeliste"/>
        <w:numPr>
          <w:ilvl w:val="0"/>
          <w:numId w:val="121"/>
        </w:numPr>
      </w:pPr>
      <w:r w:rsidRPr="002A5179">
        <w:t xml:space="preserve">Enfin, la </w:t>
      </w:r>
      <w:r w:rsidRPr="00EE6766">
        <w:rPr>
          <w:b/>
          <w:bCs/>
        </w:rPr>
        <w:t>dynamisation du commerce et des services locaux</w:t>
      </w:r>
      <w:r w:rsidRPr="002A5179">
        <w:t xml:space="preserve"> est évaluée </w:t>
      </w:r>
      <w:r w:rsidRPr="00EE6766">
        <w:rPr>
          <w:b/>
          <w:bCs/>
        </w:rPr>
        <w:t xml:space="preserve">positive </w:t>
      </w:r>
      <w:r w:rsidR="00187FB3" w:rsidRPr="00EE6766">
        <w:rPr>
          <w:b/>
          <w:bCs/>
        </w:rPr>
        <w:t>majeure</w:t>
      </w:r>
      <w:r w:rsidRPr="002A5179">
        <w:t>, en raison de l’augmentation des contrats régionaux et des revenus induits.</w:t>
      </w:r>
    </w:p>
    <w:p w14:paraId="403BFBE8" w14:textId="10BEAE4A" w:rsidR="002A5179" w:rsidRPr="002A5179" w:rsidRDefault="002A5179" w:rsidP="004637C7">
      <w:r w:rsidRPr="002A5179">
        <w:t xml:space="preserve">Globalement, les impacts résiduels de la phase de construction </w:t>
      </w:r>
      <w:r w:rsidRPr="00EE6766">
        <w:t xml:space="preserve">sont </w:t>
      </w:r>
      <w:r w:rsidRPr="004637C7">
        <w:t>bénéfiques et significatifs</w:t>
      </w:r>
      <w:r w:rsidRPr="00EE6766">
        <w:t xml:space="preserve">, avec un effet multiplicateur social et économique perceptible à l’échelle </w:t>
      </w:r>
      <w:r w:rsidR="00187FB3" w:rsidRPr="00EE6766">
        <w:t>régionale</w:t>
      </w:r>
      <w:r w:rsidRPr="00EE6766">
        <w:t>.</w:t>
      </w:r>
    </w:p>
    <w:p w14:paraId="0905FFB0" w14:textId="1172F6EE" w:rsidR="009066F1" w:rsidRPr="009066F1" w:rsidRDefault="009066F1" w:rsidP="009066F1">
      <w:pPr>
        <w:rPr>
          <w:b/>
        </w:rPr>
      </w:pPr>
    </w:p>
    <w:p w14:paraId="16C8A856" w14:textId="77777777" w:rsidR="00A84EF9" w:rsidRDefault="00A84EF9" w:rsidP="003130D9"/>
    <w:p w14:paraId="0A27A3DF" w14:textId="77777777" w:rsidR="002A5179" w:rsidRDefault="002A5179" w:rsidP="003130D9"/>
    <w:p w14:paraId="2EF9F12D" w14:textId="18D0C990" w:rsidR="002A5179" w:rsidRDefault="002A5179" w:rsidP="003130D9">
      <w:pPr>
        <w:sectPr w:rsidR="002A5179" w:rsidSect="004637C7">
          <w:pgSz w:w="11906" w:h="16838"/>
          <w:pgMar w:top="1418" w:right="1418" w:bottom="1276" w:left="1418" w:header="680" w:footer="680" w:gutter="0"/>
          <w:cols w:space="708"/>
          <w:docGrid w:linePitch="360"/>
        </w:sectPr>
      </w:pPr>
    </w:p>
    <w:p w14:paraId="2C2148B0" w14:textId="77777777" w:rsidR="00B260BB" w:rsidRPr="00B260BB" w:rsidRDefault="00B260BB" w:rsidP="00613DF0">
      <w:pPr>
        <w:pStyle w:val="Title4"/>
        <w:tabs>
          <w:tab w:val="clear" w:pos="1134"/>
          <w:tab w:val="left" w:pos="993"/>
        </w:tabs>
      </w:pPr>
      <w:bookmarkStart w:id="475" w:name="_Hlk211935463"/>
      <w:r w:rsidRPr="00B260BB">
        <w:lastRenderedPageBreak/>
        <w:t>Phase exploitation</w:t>
      </w:r>
    </w:p>
    <w:p w14:paraId="685D1AEC" w14:textId="77777777" w:rsidR="00613DF0" w:rsidRDefault="00613DF0" w:rsidP="00613DF0">
      <w:pPr>
        <w:pStyle w:val="Title5"/>
      </w:pPr>
      <w:r w:rsidRPr="00613DF0">
        <w:t>Identification et évaluation des impacts</w:t>
      </w:r>
    </w:p>
    <w:p w14:paraId="338A2DCA" w14:textId="728CBBE8" w:rsidR="008922C5" w:rsidRPr="004637C7" w:rsidRDefault="009D33EC" w:rsidP="0001633E">
      <w:pPr>
        <w:pStyle w:val="AltTitle2"/>
        <w:numPr>
          <w:ilvl w:val="0"/>
          <w:numId w:val="106"/>
        </w:numPr>
      </w:pPr>
      <w:r>
        <w:t>Création d’e</w:t>
      </w:r>
      <w:r w:rsidR="008922C5" w:rsidRPr="004637C7">
        <w:t>mplois durables et développement régional à long terme</w:t>
      </w:r>
    </w:p>
    <w:p w14:paraId="307979F8" w14:textId="77777777" w:rsidR="00E971DA" w:rsidRDefault="009D33EC" w:rsidP="009D33EC">
      <w:r>
        <w:t xml:space="preserve">La mise en service du projet engendrera la création d’emplois permanents dans plusieurs domaines : maintenance, sécurité, exploitation, gestion des passagers, entretien des installations, et services de mobilité (ascenseurs, tapis roulants, etc.). La nature de cet impact est positive et directe, puisqu’il découle d’un accroissement durable de la demande en main-d’œuvre qualifiée et semi-qualifiée. Sa durée est long terme, car ces emplois seront maintenus sur toute la durée de vie de l’aéroport. </w:t>
      </w:r>
    </w:p>
    <w:p w14:paraId="58D7C74F" w14:textId="3436AC37" w:rsidR="009D33EC" w:rsidRDefault="009D33EC" w:rsidP="009D33EC">
      <w:r>
        <w:t>L’intensité est forte, compte tenu du volume et de la stabilité des postes créés, et la fréquence est permanente, liée au fonctionnement continu de l’infrastructure. L’étendue dépasse le cadre communal, s’élargissant à l’échelle préfectorale et régionale.</w:t>
      </w:r>
    </w:p>
    <w:p w14:paraId="69EE23F8" w14:textId="31B8C30C" w:rsidR="008922C5" w:rsidRDefault="009D33EC" w:rsidP="009D33EC">
      <w:r>
        <w:t>Les récepteurs sont les travailleurs techniques et administratifs, les agents de sûreté, les personnels de nettoyage, ainsi que les prestataires locaux (maintenance, transport, restauration). Leur sensibilité est moyenne, car ils disposent d’une formation de base mais restent tributaires de la pérennité des emplois tertiaires. L’impact est d’importance majeure, car il soutient la réduction du chômage structurel et renforce la stabilité socio-économique à long terme, conformément aux objectifs de la SNDD 2017–2030.</w:t>
      </w:r>
    </w:p>
    <w:tbl>
      <w:tblPr>
        <w:tblStyle w:val="TableauGrille1Clair-Accentuation111"/>
        <w:tblW w:w="0" w:type="auto"/>
        <w:tblLook w:val="04A0" w:firstRow="1" w:lastRow="0" w:firstColumn="1" w:lastColumn="0" w:noHBand="0" w:noVBand="1"/>
      </w:tblPr>
      <w:tblGrid>
        <w:gridCol w:w="792"/>
        <w:gridCol w:w="2530"/>
        <w:gridCol w:w="2083"/>
        <w:gridCol w:w="2114"/>
        <w:gridCol w:w="1541"/>
      </w:tblGrid>
      <w:tr w:rsidR="00462D38" w:rsidRPr="00462D38" w14:paraId="1E583121" w14:textId="77777777" w:rsidTr="004000A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2A51E30B" w14:textId="77777777" w:rsidR="00F51BF2" w:rsidRPr="00AA22F2" w:rsidRDefault="00F51BF2" w:rsidP="00F51BF2">
            <w:pPr>
              <w:rPr>
                <w:szCs w:val="20"/>
              </w:rPr>
            </w:pPr>
            <w:r w:rsidRPr="00AA22F2">
              <w:rPr>
                <w:szCs w:val="20"/>
              </w:rPr>
              <w:t>Impact</w:t>
            </w:r>
          </w:p>
        </w:tc>
        <w:tc>
          <w:tcPr>
            <w:tcW w:w="0" w:type="auto"/>
            <w:hideMark/>
          </w:tcPr>
          <w:p w14:paraId="227FD9EA" w14:textId="77777777" w:rsidR="00F51BF2" w:rsidRPr="00AA22F2" w:rsidRDefault="00F51BF2" w:rsidP="00F51BF2">
            <w:pPr>
              <w:cnfStyle w:val="100000000000" w:firstRow="1" w:lastRow="0" w:firstColumn="0" w:lastColumn="0" w:oddVBand="0" w:evenVBand="0" w:oddHBand="0" w:evenHBand="0" w:firstRowFirstColumn="0" w:firstRowLastColumn="0" w:lastRowFirstColumn="0" w:lastRowLastColumn="0"/>
              <w:rPr>
                <w:szCs w:val="20"/>
              </w:rPr>
            </w:pPr>
            <w:r w:rsidRPr="00AA22F2">
              <w:rPr>
                <w:szCs w:val="20"/>
              </w:rPr>
              <w:t>Activités génératrices</w:t>
            </w:r>
          </w:p>
        </w:tc>
        <w:tc>
          <w:tcPr>
            <w:tcW w:w="0" w:type="auto"/>
            <w:hideMark/>
          </w:tcPr>
          <w:p w14:paraId="1DD7B356" w14:textId="77777777" w:rsidR="00F51BF2" w:rsidRPr="00AA22F2" w:rsidRDefault="00F51BF2" w:rsidP="00F51BF2">
            <w:pPr>
              <w:cnfStyle w:val="100000000000" w:firstRow="1" w:lastRow="0" w:firstColumn="0" w:lastColumn="0" w:oddVBand="0" w:evenVBand="0" w:oddHBand="0" w:evenHBand="0" w:firstRowFirstColumn="0" w:firstRowLastColumn="0" w:lastRowFirstColumn="0" w:lastRowLastColumn="0"/>
              <w:rPr>
                <w:szCs w:val="20"/>
              </w:rPr>
            </w:pPr>
            <w:r w:rsidRPr="00AA22F2">
              <w:rPr>
                <w:szCs w:val="20"/>
              </w:rPr>
              <w:t>Critère</w:t>
            </w:r>
          </w:p>
        </w:tc>
        <w:tc>
          <w:tcPr>
            <w:tcW w:w="0" w:type="auto"/>
            <w:hideMark/>
          </w:tcPr>
          <w:p w14:paraId="7707AF19" w14:textId="77777777" w:rsidR="00F51BF2" w:rsidRPr="00AA22F2" w:rsidRDefault="00F51BF2" w:rsidP="00F51BF2">
            <w:pPr>
              <w:cnfStyle w:val="100000000000" w:firstRow="1" w:lastRow="0" w:firstColumn="0" w:lastColumn="0" w:oddVBand="0" w:evenVBand="0" w:oddHBand="0" w:evenHBand="0" w:firstRowFirstColumn="0" w:firstRowLastColumn="0" w:lastRowFirstColumn="0" w:lastRowLastColumn="0"/>
              <w:rPr>
                <w:szCs w:val="20"/>
              </w:rPr>
            </w:pPr>
            <w:r w:rsidRPr="00AA22F2">
              <w:rPr>
                <w:szCs w:val="20"/>
              </w:rPr>
              <w:t>Justification</w:t>
            </w:r>
          </w:p>
        </w:tc>
        <w:tc>
          <w:tcPr>
            <w:tcW w:w="0" w:type="auto"/>
            <w:hideMark/>
          </w:tcPr>
          <w:p w14:paraId="7CD54F82" w14:textId="77777777" w:rsidR="00F51BF2" w:rsidRPr="00AA22F2" w:rsidRDefault="00F51BF2" w:rsidP="00F51BF2">
            <w:pPr>
              <w:cnfStyle w:val="100000000000" w:firstRow="1" w:lastRow="0" w:firstColumn="0" w:lastColumn="0" w:oddVBand="0" w:evenVBand="0" w:oddHBand="0" w:evenHBand="0" w:firstRowFirstColumn="0" w:firstRowLastColumn="0" w:lastRowFirstColumn="0" w:lastRowLastColumn="0"/>
              <w:rPr>
                <w:szCs w:val="20"/>
              </w:rPr>
            </w:pPr>
            <w:r w:rsidRPr="00AA22F2">
              <w:rPr>
                <w:szCs w:val="20"/>
              </w:rPr>
              <w:t>Niveau</w:t>
            </w:r>
          </w:p>
        </w:tc>
      </w:tr>
      <w:tr w:rsidR="00903FB7" w:rsidRPr="00462D38" w14:paraId="26A03975" w14:textId="77777777" w:rsidTr="005A7661">
        <w:tc>
          <w:tcPr>
            <w:cnfStyle w:val="001000000000" w:firstRow="0" w:lastRow="0" w:firstColumn="1" w:lastColumn="0" w:oddVBand="0" w:evenVBand="0" w:oddHBand="0" w:evenHBand="0" w:firstRowFirstColumn="0" w:firstRowLastColumn="0" w:lastRowFirstColumn="0" w:lastRowLastColumn="0"/>
            <w:tcW w:w="0" w:type="auto"/>
            <w:vMerge w:val="restart"/>
            <w:textDirection w:val="btLr"/>
            <w:hideMark/>
          </w:tcPr>
          <w:p w14:paraId="38617F0E" w14:textId="77777777" w:rsidR="00903FB7" w:rsidRPr="00AA22F2" w:rsidRDefault="00903FB7" w:rsidP="004637C7">
            <w:pPr>
              <w:ind w:left="113" w:right="113"/>
              <w:rPr>
                <w:szCs w:val="20"/>
              </w:rPr>
            </w:pPr>
            <w:r w:rsidRPr="00AA22F2">
              <w:rPr>
                <w:szCs w:val="20"/>
              </w:rPr>
              <w:t>Création d’emplois durables et développement régional (exploitation)</w:t>
            </w:r>
          </w:p>
        </w:tc>
        <w:tc>
          <w:tcPr>
            <w:tcW w:w="0" w:type="auto"/>
            <w:vMerge w:val="restart"/>
            <w:hideMark/>
          </w:tcPr>
          <w:p w14:paraId="0F53FB2E" w14:textId="77777777" w:rsidR="00903FB7" w:rsidRPr="00AA22F2" w:rsidRDefault="00903FB7" w:rsidP="00F51BF2">
            <w:pPr>
              <w:cnfStyle w:val="000000000000" w:firstRow="0" w:lastRow="0" w:firstColumn="0" w:lastColumn="0" w:oddVBand="0" w:evenVBand="0" w:oddHBand="0" w:evenHBand="0" w:firstRowFirstColumn="0" w:firstRowLastColumn="0" w:lastRowFirstColumn="0" w:lastRowLastColumn="0"/>
              <w:rPr>
                <w:szCs w:val="20"/>
              </w:rPr>
            </w:pPr>
            <w:r w:rsidRPr="00AA22F2">
              <w:rPr>
                <w:szCs w:val="20"/>
              </w:rPr>
              <w:t>Maintenance, exploitation, sécurité, services techniques</w:t>
            </w:r>
          </w:p>
        </w:tc>
        <w:tc>
          <w:tcPr>
            <w:tcW w:w="0" w:type="auto"/>
            <w:hideMark/>
          </w:tcPr>
          <w:p w14:paraId="23D7C4F1" w14:textId="77777777" w:rsidR="00903FB7" w:rsidRPr="00AA22F2" w:rsidRDefault="00903FB7" w:rsidP="00F51BF2">
            <w:pPr>
              <w:cnfStyle w:val="000000000000" w:firstRow="0" w:lastRow="0" w:firstColumn="0" w:lastColumn="0" w:oddVBand="0" w:evenVBand="0" w:oddHBand="0" w:evenHBand="0" w:firstRowFirstColumn="0" w:firstRowLastColumn="0" w:lastRowFirstColumn="0" w:lastRowLastColumn="0"/>
              <w:rPr>
                <w:szCs w:val="20"/>
              </w:rPr>
            </w:pPr>
            <w:r w:rsidRPr="00AA22F2">
              <w:rPr>
                <w:b/>
                <w:bCs/>
                <w:szCs w:val="20"/>
              </w:rPr>
              <w:t>Nature</w:t>
            </w:r>
          </w:p>
        </w:tc>
        <w:tc>
          <w:tcPr>
            <w:tcW w:w="0" w:type="auto"/>
            <w:gridSpan w:val="2"/>
            <w:hideMark/>
          </w:tcPr>
          <w:p w14:paraId="68DDF8D7" w14:textId="689366ED" w:rsidR="00903FB7" w:rsidRPr="00AA22F2" w:rsidRDefault="00903FB7" w:rsidP="00F51BF2">
            <w:pPr>
              <w:cnfStyle w:val="000000000000" w:firstRow="0" w:lastRow="0" w:firstColumn="0" w:lastColumn="0" w:oddVBand="0" w:evenVBand="0" w:oddHBand="0" w:evenHBand="0" w:firstRowFirstColumn="0" w:firstRowLastColumn="0" w:lastRowFirstColumn="0" w:lastRowLastColumn="0"/>
              <w:rPr>
                <w:szCs w:val="20"/>
              </w:rPr>
            </w:pPr>
            <w:r w:rsidRPr="00AA22F2">
              <w:rPr>
                <w:szCs w:val="20"/>
              </w:rPr>
              <w:t xml:space="preserve">Positif direct </w:t>
            </w:r>
          </w:p>
        </w:tc>
      </w:tr>
      <w:tr w:rsidR="004000AC" w:rsidRPr="00462D38" w14:paraId="3C0D20DA" w14:textId="77777777" w:rsidTr="005A7661">
        <w:tc>
          <w:tcPr>
            <w:cnfStyle w:val="001000000000" w:firstRow="0" w:lastRow="0" w:firstColumn="1" w:lastColumn="0" w:oddVBand="0" w:evenVBand="0" w:oddHBand="0" w:evenHBand="0" w:firstRowFirstColumn="0" w:firstRowLastColumn="0" w:lastRowFirstColumn="0" w:lastRowLastColumn="0"/>
            <w:tcW w:w="0" w:type="auto"/>
            <w:vMerge/>
            <w:hideMark/>
          </w:tcPr>
          <w:p w14:paraId="6BC8FFD0" w14:textId="77777777" w:rsidR="004000AC" w:rsidRPr="00AA22F2" w:rsidRDefault="004000AC" w:rsidP="00F51BF2">
            <w:pPr>
              <w:rPr>
                <w:szCs w:val="20"/>
              </w:rPr>
            </w:pPr>
          </w:p>
        </w:tc>
        <w:tc>
          <w:tcPr>
            <w:tcW w:w="0" w:type="auto"/>
            <w:vMerge/>
            <w:hideMark/>
          </w:tcPr>
          <w:p w14:paraId="190AC540" w14:textId="77777777" w:rsidR="004000AC" w:rsidRPr="00AA22F2" w:rsidRDefault="004000AC" w:rsidP="00F51BF2">
            <w:pPr>
              <w:cnfStyle w:val="000000000000" w:firstRow="0" w:lastRow="0" w:firstColumn="0" w:lastColumn="0" w:oddVBand="0" w:evenVBand="0" w:oddHBand="0" w:evenHBand="0" w:firstRowFirstColumn="0" w:firstRowLastColumn="0" w:lastRowFirstColumn="0" w:lastRowLastColumn="0"/>
              <w:rPr>
                <w:szCs w:val="20"/>
              </w:rPr>
            </w:pPr>
          </w:p>
        </w:tc>
        <w:tc>
          <w:tcPr>
            <w:tcW w:w="0" w:type="auto"/>
            <w:hideMark/>
          </w:tcPr>
          <w:p w14:paraId="4D3DF74D" w14:textId="77777777" w:rsidR="004000AC" w:rsidRPr="00AA22F2" w:rsidRDefault="004000AC" w:rsidP="00F51BF2">
            <w:pPr>
              <w:cnfStyle w:val="000000000000" w:firstRow="0" w:lastRow="0" w:firstColumn="0" w:lastColumn="0" w:oddVBand="0" w:evenVBand="0" w:oddHBand="0" w:evenHBand="0" w:firstRowFirstColumn="0" w:firstRowLastColumn="0" w:lastRowFirstColumn="0" w:lastRowLastColumn="0"/>
              <w:rPr>
                <w:szCs w:val="20"/>
              </w:rPr>
            </w:pPr>
            <w:r w:rsidRPr="00AA22F2">
              <w:rPr>
                <w:b/>
                <w:bCs/>
                <w:szCs w:val="20"/>
              </w:rPr>
              <w:t>Étendue</w:t>
            </w:r>
          </w:p>
        </w:tc>
        <w:tc>
          <w:tcPr>
            <w:tcW w:w="0" w:type="auto"/>
            <w:hideMark/>
          </w:tcPr>
          <w:p w14:paraId="5D4510A6" w14:textId="77777777" w:rsidR="004000AC" w:rsidRPr="00AA22F2" w:rsidRDefault="004000AC" w:rsidP="00F51BF2">
            <w:pPr>
              <w:cnfStyle w:val="000000000000" w:firstRow="0" w:lastRow="0" w:firstColumn="0" w:lastColumn="0" w:oddVBand="0" w:evenVBand="0" w:oddHBand="0" w:evenHBand="0" w:firstRowFirstColumn="0" w:firstRowLastColumn="0" w:lastRowFirstColumn="0" w:lastRowLastColumn="0"/>
              <w:rPr>
                <w:szCs w:val="20"/>
              </w:rPr>
            </w:pPr>
            <w:r w:rsidRPr="00AA22F2">
              <w:rPr>
                <w:szCs w:val="20"/>
              </w:rPr>
              <w:t>Régionale à nationale.</w:t>
            </w:r>
          </w:p>
        </w:tc>
        <w:tc>
          <w:tcPr>
            <w:tcW w:w="0" w:type="auto"/>
            <w:hideMark/>
          </w:tcPr>
          <w:p w14:paraId="3D9C9BAD" w14:textId="77777777" w:rsidR="004000AC" w:rsidRPr="00AA22F2" w:rsidRDefault="004000AC" w:rsidP="00F51BF2">
            <w:pPr>
              <w:cnfStyle w:val="000000000000" w:firstRow="0" w:lastRow="0" w:firstColumn="0" w:lastColumn="0" w:oddVBand="0" w:evenVBand="0" w:oddHBand="0" w:evenHBand="0" w:firstRowFirstColumn="0" w:firstRowLastColumn="0" w:lastRowFirstColumn="0" w:lastRowLastColumn="0"/>
              <w:rPr>
                <w:szCs w:val="20"/>
              </w:rPr>
            </w:pPr>
            <w:r w:rsidRPr="00AA22F2">
              <w:rPr>
                <w:szCs w:val="20"/>
              </w:rPr>
              <w:t>Large</w:t>
            </w:r>
          </w:p>
        </w:tc>
      </w:tr>
      <w:tr w:rsidR="004000AC" w:rsidRPr="00462D38" w14:paraId="40836757" w14:textId="77777777" w:rsidTr="005A7661">
        <w:tc>
          <w:tcPr>
            <w:cnfStyle w:val="001000000000" w:firstRow="0" w:lastRow="0" w:firstColumn="1" w:lastColumn="0" w:oddVBand="0" w:evenVBand="0" w:oddHBand="0" w:evenHBand="0" w:firstRowFirstColumn="0" w:firstRowLastColumn="0" w:lastRowFirstColumn="0" w:lastRowLastColumn="0"/>
            <w:tcW w:w="0" w:type="auto"/>
            <w:vMerge/>
            <w:hideMark/>
          </w:tcPr>
          <w:p w14:paraId="5EB21F57" w14:textId="77777777" w:rsidR="004000AC" w:rsidRPr="00AA22F2" w:rsidRDefault="004000AC" w:rsidP="00F51BF2">
            <w:pPr>
              <w:rPr>
                <w:szCs w:val="20"/>
              </w:rPr>
            </w:pPr>
          </w:p>
        </w:tc>
        <w:tc>
          <w:tcPr>
            <w:tcW w:w="0" w:type="auto"/>
            <w:vMerge/>
            <w:hideMark/>
          </w:tcPr>
          <w:p w14:paraId="726925C4" w14:textId="77777777" w:rsidR="004000AC" w:rsidRPr="00AA22F2" w:rsidRDefault="004000AC" w:rsidP="00F51BF2">
            <w:pPr>
              <w:cnfStyle w:val="000000000000" w:firstRow="0" w:lastRow="0" w:firstColumn="0" w:lastColumn="0" w:oddVBand="0" w:evenVBand="0" w:oddHBand="0" w:evenHBand="0" w:firstRowFirstColumn="0" w:firstRowLastColumn="0" w:lastRowFirstColumn="0" w:lastRowLastColumn="0"/>
              <w:rPr>
                <w:szCs w:val="20"/>
              </w:rPr>
            </w:pPr>
          </w:p>
        </w:tc>
        <w:tc>
          <w:tcPr>
            <w:tcW w:w="0" w:type="auto"/>
            <w:hideMark/>
          </w:tcPr>
          <w:p w14:paraId="46DAD640" w14:textId="77777777" w:rsidR="004000AC" w:rsidRPr="00AA22F2" w:rsidRDefault="004000AC" w:rsidP="00F51BF2">
            <w:pPr>
              <w:cnfStyle w:val="000000000000" w:firstRow="0" w:lastRow="0" w:firstColumn="0" w:lastColumn="0" w:oddVBand="0" w:evenVBand="0" w:oddHBand="0" w:evenHBand="0" w:firstRowFirstColumn="0" w:firstRowLastColumn="0" w:lastRowFirstColumn="0" w:lastRowLastColumn="0"/>
              <w:rPr>
                <w:szCs w:val="20"/>
              </w:rPr>
            </w:pPr>
            <w:r w:rsidRPr="00AA22F2">
              <w:rPr>
                <w:b/>
                <w:bCs/>
                <w:szCs w:val="20"/>
              </w:rPr>
              <w:t>Durée</w:t>
            </w:r>
          </w:p>
        </w:tc>
        <w:tc>
          <w:tcPr>
            <w:tcW w:w="0" w:type="auto"/>
            <w:hideMark/>
          </w:tcPr>
          <w:p w14:paraId="545A2D71" w14:textId="77777777" w:rsidR="004000AC" w:rsidRPr="00AA22F2" w:rsidRDefault="004000AC" w:rsidP="00F51BF2">
            <w:pPr>
              <w:cnfStyle w:val="000000000000" w:firstRow="0" w:lastRow="0" w:firstColumn="0" w:lastColumn="0" w:oddVBand="0" w:evenVBand="0" w:oddHBand="0" w:evenHBand="0" w:firstRowFirstColumn="0" w:firstRowLastColumn="0" w:lastRowFirstColumn="0" w:lastRowLastColumn="0"/>
              <w:rPr>
                <w:szCs w:val="20"/>
              </w:rPr>
            </w:pPr>
            <w:r w:rsidRPr="00AA22F2">
              <w:rPr>
                <w:szCs w:val="20"/>
              </w:rPr>
              <w:t>Long terme (durée de vie du projet).</w:t>
            </w:r>
          </w:p>
        </w:tc>
        <w:tc>
          <w:tcPr>
            <w:tcW w:w="0" w:type="auto"/>
            <w:hideMark/>
          </w:tcPr>
          <w:p w14:paraId="228E19E0" w14:textId="77777777" w:rsidR="004000AC" w:rsidRPr="00AA22F2" w:rsidRDefault="004000AC" w:rsidP="00F51BF2">
            <w:pPr>
              <w:cnfStyle w:val="000000000000" w:firstRow="0" w:lastRow="0" w:firstColumn="0" w:lastColumn="0" w:oddVBand="0" w:evenVBand="0" w:oddHBand="0" w:evenHBand="0" w:firstRowFirstColumn="0" w:firstRowLastColumn="0" w:lastRowFirstColumn="0" w:lastRowLastColumn="0"/>
              <w:rPr>
                <w:szCs w:val="20"/>
              </w:rPr>
            </w:pPr>
            <w:r w:rsidRPr="00AA22F2">
              <w:rPr>
                <w:szCs w:val="20"/>
              </w:rPr>
              <w:t>Longue</w:t>
            </w:r>
          </w:p>
        </w:tc>
      </w:tr>
      <w:tr w:rsidR="004000AC" w:rsidRPr="00462D38" w14:paraId="22810A57" w14:textId="77777777" w:rsidTr="005A7661">
        <w:tc>
          <w:tcPr>
            <w:cnfStyle w:val="001000000000" w:firstRow="0" w:lastRow="0" w:firstColumn="1" w:lastColumn="0" w:oddVBand="0" w:evenVBand="0" w:oddHBand="0" w:evenHBand="0" w:firstRowFirstColumn="0" w:firstRowLastColumn="0" w:lastRowFirstColumn="0" w:lastRowLastColumn="0"/>
            <w:tcW w:w="0" w:type="auto"/>
            <w:vMerge/>
            <w:hideMark/>
          </w:tcPr>
          <w:p w14:paraId="0C203A98" w14:textId="77777777" w:rsidR="004000AC" w:rsidRPr="00AA22F2" w:rsidRDefault="004000AC" w:rsidP="00F51BF2">
            <w:pPr>
              <w:rPr>
                <w:szCs w:val="20"/>
              </w:rPr>
            </w:pPr>
          </w:p>
        </w:tc>
        <w:tc>
          <w:tcPr>
            <w:tcW w:w="0" w:type="auto"/>
            <w:vMerge/>
            <w:hideMark/>
          </w:tcPr>
          <w:p w14:paraId="4B747F5B" w14:textId="77777777" w:rsidR="004000AC" w:rsidRPr="00AA22F2" w:rsidRDefault="004000AC" w:rsidP="00F51BF2">
            <w:pPr>
              <w:cnfStyle w:val="000000000000" w:firstRow="0" w:lastRow="0" w:firstColumn="0" w:lastColumn="0" w:oddVBand="0" w:evenVBand="0" w:oddHBand="0" w:evenHBand="0" w:firstRowFirstColumn="0" w:firstRowLastColumn="0" w:lastRowFirstColumn="0" w:lastRowLastColumn="0"/>
              <w:rPr>
                <w:szCs w:val="20"/>
              </w:rPr>
            </w:pPr>
          </w:p>
        </w:tc>
        <w:tc>
          <w:tcPr>
            <w:tcW w:w="0" w:type="auto"/>
            <w:hideMark/>
          </w:tcPr>
          <w:p w14:paraId="4F46B15B" w14:textId="77777777" w:rsidR="004000AC" w:rsidRPr="00AA22F2" w:rsidRDefault="004000AC" w:rsidP="00F51BF2">
            <w:pPr>
              <w:cnfStyle w:val="000000000000" w:firstRow="0" w:lastRow="0" w:firstColumn="0" w:lastColumn="0" w:oddVBand="0" w:evenVBand="0" w:oddHBand="0" w:evenHBand="0" w:firstRowFirstColumn="0" w:firstRowLastColumn="0" w:lastRowFirstColumn="0" w:lastRowLastColumn="0"/>
              <w:rPr>
                <w:szCs w:val="20"/>
              </w:rPr>
            </w:pPr>
            <w:r w:rsidRPr="00AA22F2">
              <w:rPr>
                <w:b/>
                <w:bCs/>
                <w:szCs w:val="20"/>
              </w:rPr>
              <w:t>Fréquence</w:t>
            </w:r>
          </w:p>
        </w:tc>
        <w:tc>
          <w:tcPr>
            <w:tcW w:w="0" w:type="auto"/>
            <w:hideMark/>
          </w:tcPr>
          <w:p w14:paraId="660ECE17" w14:textId="77777777" w:rsidR="004000AC" w:rsidRPr="00AA22F2" w:rsidRDefault="004000AC" w:rsidP="00F51BF2">
            <w:pPr>
              <w:cnfStyle w:val="000000000000" w:firstRow="0" w:lastRow="0" w:firstColumn="0" w:lastColumn="0" w:oddVBand="0" w:evenVBand="0" w:oddHBand="0" w:evenHBand="0" w:firstRowFirstColumn="0" w:firstRowLastColumn="0" w:lastRowFirstColumn="0" w:lastRowLastColumn="0"/>
              <w:rPr>
                <w:szCs w:val="20"/>
              </w:rPr>
            </w:pPr>
            <w:r w:rsidRPr="00AA22F2">
              <w:rPr>
                <w:szCs w:val="20"/>
              </w:rPr>
              <w:t>Permanente (activité continue).</w:t>
            </w:r>
          </w:p>
        </w:tc>
        <w:tc>
          <w:tcPr>
            <w:tcW w:w="0" w:type="auto"/>
            <w:hideMark/>
          </w:tcPr>
          <w:p w14:paraId="610546FC" w14:textId="77777777" w:rsidR="004000AC" w:rsidRPr="00AA22F2" w:rsidRDefault="004000AC" w:rsidP="00F51BF2">
            <w:pPr>
              <w:cnfStyle w:val="000000000000" w:firstRow="0" w:lastRow="0" w:firstColumn="0" w:lastColumn="0" w:oddVBand="0" w:evenVBand="0" w:oddHBand="0" w:evenHBand="0" w:firstRowFirstColumn="0" w:firstRowLastColumn="0" w:lastRowFirstColumn="0" w:lastRowLastColumn="0"/>
              <w:rPr>
                <w:szCs w:val="20"/>
              </w:rPr>
            </w:pPr>
            <w:r w:rsidRPr="00AA22F2">
              <w:rPr>
                <w:szCs w:val="20"/>
              </w:rPr>
              <w:t>Permanente</w:t>
            </w:r>
          </w:p>
        </w:tc>
      </w:tr>
      <w:tr w:rsidR="004000AC" w:rsidRPr="00462D38" w14:paraId="76FA12C0" w14:textId="77777777" w:rsidTr="004000AC">
        <w:tc>
          <w:tcPr>
            <w:cnfStyle w:val="001000000000" w:firstRow="0" w:lastRow="0" w:firstColumn="1" w:lastColumn="0" w:oddVBand="0" w:evenVBand="0" w:oddHBand="0" w:evenHBand="0" w:firstRowFirstColumn="0" w:firstRowLastColumn="0" w:lastRowFirstColumn="0" w:lastRowLastColumn="0"/>
            <w:tcW w:w="0" w:type="auto"/>
            <w:vMerge/>
            <w:hideMark/>
          </w:tcPr>
          <w:p w14:paraId="4B766872" w14:textId="77777777" w:rsidR="004000AC" w:rsidRPr="00AA22F2" w:rsidRDefault="004000AC" w:rsidP="00F51BF2">
            <w:pPr>
              <w:rPr>
                <w:szCs w:val="20"/>
              </w:rPr>
            </w:pPr>
          </w:p>
        </w:tc>
        <w:tc>
          <w:tcPr>
            <w:tcW w:w="0" w:type="auto"/>
            <w:vMerge/>
            <w:hideMark/>
          </w:tcPr>
          <w:p w14:paraId="1891CA23" w14:textId="77777777" w:rsidR="004000AC" w:rsidRPr="00AA22F2" w:rsidRDefault="004000AC" w:rsidP="00F51BF2">
            <w:pPr>
              <w:cnfStyle w:val="000000000000" w:firstRow="0" w:lastRow="0" w:firstColumn="0" w:lastColumn="0" w:oddVBand="0" w:evenVBand="0" w:oddHBand="0" w:evenHBand="0" w:firstRowFirstColumn="0" w:firstRowLastColumn="0" w:lastRowFirstColumn="0" w:lastRowLastColumn="0"/>
              <w:rPr>
                <w:szCs w:val="20"/>
              </w:rPr>
            </w:pPr>
          </w:p>
        </w:tc>
        <w:tc>
          <w:tcPr>
            <w:tcW w:w="0" w:type="auto"/>
            <w:shd w:val="clear" w:color="auto" w:fill="D9E2F3" w:themeFill="accent1" w:themeFillTint="33"/>
            <w:hideMark/>
          </w:tcPr>
          <w:p w14:paraId="2C0469B2" w14:textId="77777777" w:rsidR="004000AC" w:rsidRPr="00AA22F2" w:rsidRDefault="004000AC" w:rsidP="00F51BF2">
            <w:pPr>
              <w:cnfStyle w:val="000000000000" w:firstRow="0" w:lastRow="0" w:firstColumn="0" w:lastColumn="0" w:oddVBand="0" w:evenVBand="0" w:oddHBand="0" w:evenHBand="0" w:firstRowFirstColumn="0" w:firstRowLastColumn="0" w:lastRowFirstColumn="0" w:lastRowLastColumn="0"/>
              <w:rPr>
                <w:szCs w:val="20"/>
              </w:rPr>
            </w:pPr>
            <w:r w:rsidRPr="00AA22F2">
              <w:rPr>
                <w:b/>
                <w:bCs/>
                <w:szCs w:val="20"/>
              </w:rPr>
              <w:t>Intensité</w:t>
            </w:r>
          </w:p>
        </w:tc>
        <w:tc>
          <w:tcPr>
            <w:tcW w:w="0" w:type="auto"/>
            <w:shd w:val="clear" w:color="auto" w:fill="D9E2F3" w:themeFill="accent1" w:themeFillTint="33"/>
            <w:hideMark/>
          </w:tcPr>
          <w:p w14:paraId="4057A85B" w14:textId="77777777" w:rsidR="004000AC" w:rsidRPr="00AA22F2" w:rsidRDefault="004000AC" w:rsidP="00F51BF2">
            <w:pPr>
              <w:cnfStyle w:val="000000000000" w:firstRow="0" w:lastRow="0" w:firstColumn="0" w:lastColumn="0" w:oddVBand="0" w:evenVBand="0" w:oddHBand="0" w:evenHBand="0" w:firstRowFirstColumn="0" w:firstRowLastColumn="0" w:lastRowFirstColumn="0" w:lastRowLastColumn="0"/>
              <w:rPr>
                <w:szCs w:val="20"/>
              </w:rPr>
            </w:pPr>
            <w:r w:rsidRPr="00AA22F2">
              <w:rPr>
                <w:szCs w:val="20"/>
              </w:rPr>
              <w:t>Forte (emplois pérennes).</w:t>
            </w:r>
          </w:p>
        </w:tc>
        <w:tc>
          <w:tcPr>
            <w:tcW w:w="0" w:type="auto"/>
            <w:shd w:val="clear" w:color="auto" w:fill="D9E2F3" w:themeFill="accent1" w:themeFillTint="33"/>
            <w:hideMark/>
          </w:tcPr>
          <w:p w14:paraId="7DE28AF7" w14:textId="77777777" w:rsidR="004000AC" w:rsidRPr="00AA22F2" w:rsidRDefault="004000AC" w:rsidP="00F51BF2">
            <w:pPr>
              <w:cnfStyle w:val="000000000000" w:firstRow="0" w:lastRow="0" w:firstColumn="0" w:lastColumn="0" w:oddVBand="0" w:evenVBand="0" w:oddHBand="0" w:evenHBand="0" w:firstRowFirstColumn="0" w:firstRowLastColumn="0" w:lastRowFirstColumn="0" w:lastRowLastColumn="0"/>
              <w:rPr>
                <w:szCs w:val="20"/>
              </w:rPr>
            </w:pPr>
            <w:r w:rsidRPr="00AA22F2">
              <w:rPr>
                <w:szCs w:val="20"/>
              </w:rPr>
              <w:t>Forte</w:t>
            </w:r>
          </w:p>
        </w:tc>
      </w:tr>
      <w:tr w:rsidR="004000AC" w:rsidRPr="00462D38" w14:paraId="28C6F32C" w14:textId="77777777" w:rsidTr="005A7661">
        <w:tc>
          <w:tcPr>
            <w:cnfStyle w:val="001000000000" w:firstRow="0" w:lastRow="0" w:firstColumn="1" w:lastColumn="0" w:oddVBand="0" w:evenVBand="0" w:oddHBand="0" w:evenHBand="0" w:firstRowFirstColumn="0" w:firstRowLastColumn="0" w:lastRowFirstColumn="0" w:lastRowLastColumn="0"/>
            <w:tcW w:w="0" w:type="auto"/>
            <w:vMerge/>
          </w:tcPr>
          <w:p w14:paraId="407EB190" w14:textId="77777777" w:rsidR="004000AC" w:rsidRPr="00AA22F2" w:rsidRDefault="004000AC" w:rsidP="00F51BF2">
            <w:pPr>
              <w:rPr>
                <w:b w:val="0"/>
                <w:bCs w:val="0"/>
                <w:szCs w:val="20"/>
              </w:rPr>
            </w:pPr>
          </w:p>
        </w:tc>
        <w:tc>
          <w:tcPr>
            <w:tcW w:w="0" w:type="auto"/>
            <w:gridSpan w:val="4"/>
          </w:tcPr>
          <w:p w14:paraId="1F660B29" w14:textId="77777777" w:rsidR="004000AC" w:rsidRPr="00AA22F2" w:rsidRDefault="004000AC" w:rsidP="004637C7">
            <w:pPr>
              <w:spacing w:before="0" w:after="0"/>
              <w:cnfStyle w:val="000000000000" w:firstRow="0" w:lastRow="0" w:firstColumn="0" w:lastColumn="0" w:oddVBand="0" w:evenVBand="0" w:oddHBand="0" w:evenHBand="0" w:firstRowFirstColumn="0" w:firstRowLastColumn="0" w:lastRowFirstColumn="0" w:lastRowLastColumn="0"/>
              <w:rPr>
                <w:szCs w:val="20"/>
              </w:rPr>
            </w:pPr>
          </w:p>
        </w:tc>
      </w:tr>
      <w:tr w:rsidR="004000AC" w:rsidRPr="00462D38" w14:paraId="4C570840" w14:textId="77777777" w:rsidTr="005A7661">
        <w:tc>
          <w:tcPr>
            <w:cnfStyle w:val="001000000000" w:firstRow="0" w:lastRow="0" w:firstColumn="1" w:lastColumn="0" w:oddVBand="0" w:evenVBand="0" w:oddHBand="0" w:evenHBand="0" w:firstRowFirstColumn="0" w:firstRowLastColumn="0" w:lastRowFirstColumn="0" w:lastRowLastColumn="0"/>
            <w:tcW w:w="0" w:type="auto"/>
            <w:vMerge/>
          </w:tcPr>
          <w:p w14:paraId="6B4B1050" w14:textId="77777777" w:rsidR="004000AC" w:rsidRPr="00AA22F2" w:rsidRDefault="004000AC" w:rsidP="004000AC">
            <w:pPr>
              <w:rPr>
                <w:b w:val="0"/>
                <w:bCs w:val="0"/>
                <w:szCs w:val="20"/>
              </w:rPr>
            </w:pPr>
          </w:p>
        </w:tc>
        <w:tc>
          <w:tcPr>
            <w:tcW w:w="0" w:type="auto"/>
            <w:shd w:val="clear" w:color="auto" w:fill="8EAADB" w:themeFill="accent1" w:themeFillTint="99"/>
            <w:vAlign w:val="center"/>
          </w:tcPr>
          <w:p w14:paraId="39BDCD31" w14:textId="054AAEA2" w:rsidR="004000AC" w:rsidRPr="00AA22F2" w:rsidRDefault="004000AC" w:rsidP="004000AC">
            <w:pPr>
              <w:cnfStyle w:val="000000000000" w:firstRow="0" w:lastRow="0" w:firstColumn="0" w:lastColumn="0" w:oddVBand="0" w:evenVBand="0" w:oddHBand="0" w:evenHBand="0" w:firstRowFirstColumn="0" w:firstRowLastColumn="0" w:lastRowFirstColumn="0" w:lastRowLastColumn="0"/>
              <w:rPr>
                <w:szCs w:val="20"/>
              </w:rPr>
            </w:pPr>
            <w:r w:rsidRPr="00462D38">
              <w:rPr>
                <w:rFonts w:asciiTheme="minorHAnsi" w:hAnsiTheme="minorHAnsi" w:cstheme="minorHAnsi"/>
                <w:b/>
                <w:bCs/>
                <w:szCs w:val="20"/>
              </w:rPr>
              <w:t>Intensité de l’impact</w:t>
            </w:r>
          </w:p>
        </w:tc>
        <w:tc>
          <w:tcPr>
            <w:tcW w:w="0" w:type="auto"/>
            <w:shd w:val="clear" w:color="auto" w:fill="8EAADB" w:themeFill="accent1" w:themeFillTint="99"/>
            <w:vAlign w:val="center"/>
          </w:tcPr>
          <w:p w14:paraId="41759BA8" w14:textId="1D1A3DBE" w:rsidR="004000AC" w:rsidRPr="00AA22F2" w:rsidRDefault="004000AC" w:rsidP="004000AC">
            <w:pPr>
              <w:cnfStyle w:val="000000000000" w:firstRow="0" w:lastRow="0" w:firstColumn="0" w:lastColumn="0" w:oddVBand="0" w:evenVBand="0" w:oddHBand="0" w:evenHBand="0" w:firstRowFirstColumn="0" w:firstRowLastColumn="0" w:lastRowFirstColumn="0" w:lastRowLastColumn="0"/>
              <w:rPr>
                <w:b/>
                <w:bCs/>
                <w:szCs w:val="20"/>
              </w:rPr>
            </w:pPr>
            <w:r w:rsidRPr="00462D38">
              <w:rPr>
                <w:rFonts w:asciiTheme="minorHAnsi" w:hAnsiTheme="minorHAnsi" w:cstheme="minorHAnsi"/>
                <w:b/>
                <w:bCs/>
                <w:szCs w:val="20"/>
              </w:rPr>
              <w:t>Récepteurs</w:t>
            </w:r>
          </w:p>
        </w:tc>
        <w:tc>
          <w:tcPr>
            <w:tcW w:w="0" w:type="auto"/>
            <w:shd w:val="clear" w:color="auto" w:fill="8EAADB" w:themeFill="accent1" w:themeFillTint="99"/>
            <w:vAlign w:val="center"/>
          </w:tcPr>
          <w:p w14:paraId="57E1411D" w14:textId="12BF610B" w:rsidR="004000AC" w:rsidRPr="00AA22F2" w:rsidRDefault="004000AC" w:rsidP="004000AC">
            <w:pPr>
              <w:cnfStyle w:val="000000000000" w:firstRow="0" w:lastRow="0" w:firstColumn="0" w:lastColumn="0" w:oddVBand="0" w:evenVBand="0" w:oddHBand="0" w:evenHBand="0" w:firstRowFirstColumn="0" w:firstRowLastColumn="0" w:lastRowFirstColumn="0" w:lastRowLastColumn="0"/>
              <w:rPr>
                <w:szCs w:val="20"/>
              </w:rPr>
            </w:pPr>
            <w:r w:rsidRPr="00462D38">
              <w:rPr>
                <w:rFonts w:asciiTheme="minorHAnsi" w:hAnsiTheme="minorHAnsi" w:cstheme="minorHAnsi"/>
                <w:b/>
                <w:bCs/>
                <w:szCs w:val="20"/>
              </w:rPr>
              <w:t>Sensibilité</w:t>
            </w:r>
          </w:p>
        </w:tc>
        <w:tc>
          <w:tcPr>
            <w:tcW w:w="0" w:type="auto"/>
            <w:shd w:val="clear" w:color="auto" w:fill="8EAADB" w:themeFill="accent1" w:themeFillTint="99"/>
            <w:vAlign w:val="center"/>
          </w:tcPr>
          <w:p w14:paraId="778BE181" w14:textId="52FA8D41" w:rsidR="004000AC" w:rsidRPr="00AA22F2" w:rsidRDefault="004000AC" w:rsidP="004000AC">
            <w:pPr>
              <w:cnfStyle w:val="000000000000" w:firstRow="0" w:lastRow="0" w:firstColumn="0" w:lastColumn="0" w:oddVBand="0" w:evenVBand="0" w:oddHBand="0" w:evenHBand="0" w:firstRowFirstColumn="0" w:firstRowLastColumn="0" w:lastRowFirstColumn="0" w:lastRowLastColumn="0"/>
              <w:rPr>
                <w:szCs w:val="20"/>
              </w:rPr>
            </w:pPr>
            <w:r w:rsidRPr="00462D38">
              <w:rPr>
                <w:rFonts w:asciiTheme="minorHAnsi" w:hAnsiTheme="minorHAnsi" w:cstheme="minorHAnsi"/>
                <w:b/>
                <w:bCs/>
                <w:szCs w:val="20"/>
              </w:rPr>
              <w:t>Importance de l’impact</w:t>
            </w:r>
          </w:p>
        </w:tc>
      </w:tr>
      <w:tr w:rsidR="004000AC" w:rsidRPr="00462D38" w14:paraId="5C9B4A3E" w14:textId="77777777" w:rsidTr="004637C7">
        <w:tc>
          <w:tcPr>
            <w:cnfStyle w:val="001000000000" w:firstRow="0" w:lastRow="0" w:firstColumn="1" w:lastColumn="0" w:oddVBand="0" w:evenVBand="0" w:oddHBand="0" w:evenHBand="0" w:firstRowFirstColumn="0" w:firstRowLastColumn="0" w:lastRowFirstColumn="0" w:lastRowLastColumn="0"/>
            <w:tcW w:w="0" w:type="auto"/>
            <w:vMerge/>
          </w:tcPr>
          <w:p w14:paraId="1EC94770" w14:textId="77777777" w:rsidR="004000AC" w:rsidRPr="00AA22F2" w:rsidRDefault="004000AC" w:rsidP="004637C7">
            <w:pPr>
              <w:jc w:val="center"/>
              <w:rPr>
                <w:b w:val="0"/>
                <w:bCs w:val="0"/>
                <w:szCs w:val="20"/>
              </w:rPr>
            </w:pPr>
          </w:p>
        </w:tc>
        <w:tc>
          <w:tcPr>
            <w:tcW w:w="0" w:type="auto"/>
            <w:vAlign w:val="center"/>
          </w:tcPr>
          <w:p w14:paraId="2AC64D4F" w14:textId="51D6B56D" w:rsidR="004000AC" w:rsidRPr="00462D38" w:rsidRDefault="004000AC" w:rsidP="004637C7">
            <w:pPr>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Cs w:val="20"/>
              </w:rPr>
            </w:pPr>
            <w:r w:rsidRPr="00462D38">
              <w:rPr>
                <w:rFonts w:asciiTheme="minorHAnsi" w:hAnsiTheme="minorHAnsi" w:cstheme="minorHAnsi"/>
                <w:b/>
                <w:bCs/>
                <w:szCs w:val="20"/>
              </w:rPr>
              <w:t>Forte</w:t>
            </w:r>
          </w:p>
        </w:tc>
        <w:tc>
          <w:tcPr>
            <w:tcW w:w="0" w:type="auto"/>
            <w:vAlign w:val="center"/>
          </w:tcPr>
          <w:p w14:paraId="14909D54" w14:textId="28AF6F11" w:rsidR="004000AC" w:rsidRPr="00462D38" w:rsidRDefault="004000AC" w:rsidP="004637C7">
            <w:pPr>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Cs w:val="20"/>
              </w:rPr>
            </w:pPr>
            <w:r w:rsidRPr="00AA22F2">
              <w:rPr>
                <w:szCs w:val="20"/>
              </w:rPr>
              <w:t>Travailleurs techniques, prestataires locaux.</w:t>
            </w:r>
          </w:p>
        </w:tc>
        <w:tc>
          <w:tcPr>
            <w:tcW w:w="0" w:type="auto"/>
            <w:vAlign w:val="center"/>
          </w:tcPr>
          <w:p w14:paraId="0AF059E3" w14:textId="31F9E45F" w:rsidR="004000AC" w:rsidRPr="00462D38" w:rsidRDefault="004000AC" w:rsidP="004637C7">
            <w:pPr>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Cs w:val="20"/>
              </w:rPr>
            </w:pPr>
            <w:r w:rsidRPr="00462D38">
              <w:rPr>
                <w:rFonts w:asciiTheme="minorHAnsi" w:hAnsiTheme="minorHAnsi" w:cstheme="minorHAnsi"/>
                <w:b/>
                <w:bCs/>
                <w:szCs w:val="20"/>
              </w:rPr>
              <w:t xml:space="preserve">Moyenne : </w:t>
            </w:r>
            <w:r w:rsidRPr="00AA22F2">
              <w:rPr>
                <w:szCs w:val="20"/>
              </w:rPr>
              <w:t>dépendance au secteur tertiaire.</w:t>
            </w:r>
          </w:p>
        </w:tc>
        <w:tc>
          <w:tcPr>
            <w:tcW w:w="0" w:type="auto"/>
            <w:vAlign w:val="center"/>
          </w:tcPr>
          <w:p w14:paraId="41B5200C" w14:textId="4F0A8D2F" w:rsidR="004000AC" w:rsidRPr="00462D38" w:rsidRDefault="004000AC" w:rsidP="004637C7">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Cs w:val="20"/>
              </w:rPr>
            </w:pPr>
            <w:r w:rsidRPr="00462D38">
              <w:rPr>
                <w:rFonts w:asciiTheme="minorHAnsi" w:hAnsiTheme="minorHAnsi" w:cstheme="minorHAnsi"/>
                <w:b/>
                <w:bCs/>
                <w:szCs w:val="20"/>
              </w:rPr>
              <w:t>Majeure</w:t>
            </w:r>
          </w:p>
        </w:tc>
      </w:tr>
    </w:tbl>
    <w:p w14:paraId="049AD219" w14:textId="4D50CC8D" w:rsidR="008922C5" w:rsidRDefault="008922C5" w:rsidP="0001633E">
      <w:pPr>
        <w:pStyle w:val="AltTitle2"/>
        <w:numPr>
          <w:ilvl w:val="0"/>
          <w:numId w:val="106"/>
        </w:numPr>
      </w:pPr>
      <w:r w:rsidRPr="004637C7">
        <w:t>Relance du tourisme, attractivité et rayonnement économique</w:t>
      </w:r>
    </w:p>
    <w:p w14:paraId="74403728" w14:textId="3B76C7BF" w:rsidR="00367924" w:rsidRPr="004637C7" w:rsidRDefault="00367924" w:rsidP="004637C7">
      <w:r w:rsidRPr="004637C7">
        <w:t xml:space="preserve">L’amélioration de la capacité d’accueil, des équipements de sûreté et du confort des passagers renforcera l’attractivité du </w:t>
      </w:r>
      <w:r w:rsidR="00297A43">
        <w:t>Marrakech Safi</w:t>
      </w:r>
      <w:r w:rsidRPr="004637C7">
        <w:t xml:space="preserve"> en tant que destination touristique et pôle économique. Cet </w:t>
      </w:r>
      <w:r w:rsidRPr="004637C7">
        <w:lastRenderedPageBreak/>
        <w:t>impact est positif et direct, car la modernisation de la plateforme permettra une hausse du trafic aérien et une meilleure connectivité avec les marchés émetteurs européens et nationaux. Sa durée est longue, son intensité majeure, et sa fréquence continue. L’étendue dépasse largement la région, avec des retombées nationales et internationales.</w:t>
      </w:r>
    </w:p>
    <w:p w14:paraId="7A567837" w14:textId="23F58BD2" w:rsidR="00367924" w:rsidRDefault="00367924" w:rsidP="00367924">
      <w:r w:rsidRPr="004637C7">
        <w:t>Les récepteurs de cet impact sont les opérateurs touristiques, hôteliers, transporteurs,</w:t>
      </w:r>
      <w:r w:rsidR="000A70DD">
        <w:t xml:space="preserve"> et</w:t>
      </w:r>
      <w:r w:rsidRPr="004637C7">
        <w:t xml:space="preserve"> artisans dont les revenus dépendent directement des flux aériens. Leur sensibilité est élevée, car leur activité repose sur la performance du secteur aérien et la saisonnalité touristique. L’importance est donc majeure, car le projet agit comme un catalyseur pour la relance économique régionale et l’emploi indirect dans les secteurs du tourisme, de l’artisanat et des services.</w:t>
      </w:r>
    </w:p>
    <w:tbl>
      <w:tblPr>
        <w:tblStyle w:val="TableauGrille1Clair-Accentuation111"/>
        <w:tblW w:w="0" w:type="auto"/>
        <w:tblLook w:val="04A0" w:firstRow="1" w:lastRow="0" w:firstColumn="1" w:lastColumn="0" w:noHBand="0" w:noVBand="1"/>
      </w:tblPr>
      <w:tblGrid>
        <w:gridCol w:w="792"/>
        <w:gridCol w:w="2131"/>
        <w:gridCol w:w="2307"/>
        <w:gridCol w:w="2342"/>
        <w:gridCol w:w="1488"/>
      </w:tblGrid>
      <w:tr w:rsidR="00462D38" w:rsidRPr="00462D38" w14:paraId="3959DB85" w14:textId="77777777" w:rsidTr="004000A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19730D42" w14:textId="77777777" w:rsidR="004000AC" w:rsidRPr="00AA22F2" w:rsidRDefault="004000AC" w:rsidP="004000AC">
            <w:pPr>
              <w:rPr>
                <w:szCs w:val="20"/>
              </w:rPr>
            </w:pPr>
            <w:r w:rsidRPr="00AA22F2">
              <w:rPr>
                <w:szCs w:val="20"/>
              </w:rPr>
              <w:t>Impact</w:t>
            </w:r>
          </w:p>
        </w:tc>
        <w:tc>
          <w:tcPr>
            <w:tcW w:w="0" w:type="auto"/>
            <w:hideMark/>
          </w:tcPr>
          <w:p w14:paraId="6DD0632F" w14:textId="77777777" w:rsidR="004000AC" w:rsidRPr="00AA22F2" w:rsidRDefault="004000AC" w:rsidP="004000AC">
            <w:pPr>
              <w:cnfStyle w:val="100000000000" w:firstRow="1" w:lastRow="0" w:firstColumn="0" w:lastColumn="0" w:oddVBand="0" w:evenVBand="0" w:oddHBand="0" w:evenHBand="0" w:firstRowFirstColumn="0" w:firstRowLastColumn="0" w:lastRowFirstColumn="0" w:lastRowLastColumn="0"/>
              <w:rPr>
                <w:szCs w:val="20"/>
              </w:rPr>
            </w:pPr>
            <w:r w:rsidRPr="00AA22F2">
              <w:rPr>
                <w:szCs w:val="20"/>
              </w:rPr>
              <w:t>Activités génératrices</w:t>
            </w:r>
          </w:p>
        </w:tc>
        <w:tc>
          <w:tcPr>
            <w:tcW w:w="0" w:type="auto"/>
            <w:hideMark/>
          </w:tcPr>
          <w:p w14:paraId="6E79E37A" w14:textId="77777777" w:rsidR="004000AC" w:rsidRPr="00AA22F2" w:rsidRDefault="004000AC" w:rsidP="004000AC">
            <w:pPr>
              <w:cnfStyle w:val="100000000000" w:firstRow="1" w:lastRow="0" w:firstColumn="0" w:lastColumn="0" w:oddVBand="0" w:evenVBand="0" w:oddHBand="0" w:evenHBand="0" w:firstRowFirstColumn="0" w:firstRowLastColumn="0" w:lastRowFirstColumn="0" w:lastRowLastColumn="0"/>
              <w:rPr>
                <w:szCs w:val="20"/>
              </w:rPr>
            </w:pPr>
            <w:r w:rsidRPr="00AA22F2">
              <w:rPr>
                <w:szCs w:val="20"/>
              </w:rPr>
              <w:t>Critère</w:t>
            </w:r>
          </w:p>
        </w:tc>
        <w:tc>
          <w:tcPr>
            <w:tcW w:w="0" w:type="auto"/>
            <w:hideMark/>
          </w:tcPr>
          <w:p w14:paraId="5518C49E" w14:textId="77777777" w:rsidR="004000AC" w:rsidRPr="00AA22F2" w:rsidRDefault="004000AC" w:rsidP="004000AC">
            <w:pPr>
              <w:cnfStyle w:val="100000000000" w:firstRow="1" w:lastRow="0" w:firstColumn="0" w:lastColumn="0" w:oddVBand="0" w:evenVBand="0" w:oddHBand="0" w:evenHBand="0" w:firstRowFirstColumn="0" w:firstRowLastColumn="0" w:lastRowFirstColumn="0" w:lastRowLastColumn="0"/>
              <w:rPr>
                <w:szCs w:val="20"/>
              </w:rPr>
            </w:pPr>
            <w:r w:rsidRPr="00AA22F2">
              <w:rPr>
                <w:szCs w:val="20"/>
              </w:rPr>
              <w:t>Justification</w:t>
            </w:r>
          </w:p>
        </w:tc>
        <w:tc>
          <w:tcPr>
            <w:tcW w:w="0" w:type="auto"/>
            <w:hideMark/>
          </w:tcPr>
          <w:p w14:paraId="323BC0A2" w14:textId="77777777" w:rsidR="004000AC" w:rsidRPr="00AA22F2" w:rsidRDefault="004000AC" w:rsidP="004000AC">
            <w:pPr>
              <w:cnfStyle w:val="100000000000" w:firstRow="1" w:lastRow="0" w:firstColumn="0" w:lastColumn="0" w:oddVBand="0" w:evenVBand="0" w:oddHBand="0" w:evenHBand="0" w:firstRowFirstColumn="0" w:firstRowLastColumn="0" w:lastRowFirstColumn="0" w:lastRowLastColumn="0"/>
              <w:rPr>
                <w:szCs w:val="20"/>
              </w:rPr>
            </w:pPr>
            <w:r w:rsidRPr="00AA22F2">
              <w:rPr>
                <w:szCs w:val="20"/>
              </w:rPr>
              <w:t>Niveau</w:t>
            </w:r>
          </w:p>
        </w:tc>
      </w:tr>
      <w:tr w:rsidR="00462D38" w:rsidRPr="00462D38" w14:paraId="6786FEDF" w14:textId="77777777" w:rsidTr="005A7661">
        <w:tc>
          <w:tcPr>
            <w:cnfStyle w:val="001000000000" w:firstRow="0" w:lastRow="0" w:firstColumn="1" w:lastColumn="0" w:oddVBand="0" w:evenVBand="0" w:oddHBand="0" w:evenHBand="0" w:firstRowFirstColumn="0" w:firstRowLastColumn="0" w:lastRowFirstColumn="0" w:lastRowLastColumn="0"/>
            <w:tcW w:w="0" w:type="auto"/>
            <w:vMerge w:val="restart"/>
            <w:textDirection w:val="btLr"/>
            <w:hideMark/>
          </w:tcPr>
          <w:p w14:paraId="474760E5" w14:textId="77777777" w:rsidR="00462D38" w:rsidRPr="00AA22F2" w:rsidRDefault="00462D38" w:rsidP="004637C7">
            <w:pPr>
              <w:ind w:left="113" w:right="113"/>
              <w:rPr>
                <w:szCs w:val="20"/>
              </w:rPr>
            </w:pPr>
            <w:r w:rsidRPr="00AA22F2">
              <w:rPr>
                <w:szCs w:val="20"/>
              </w:rPr>
              <w:t>Relance du tourisme et rayonnement économique</w:t>
            </w:r>
          </w:p>
        </w:tc>
        <w:tc>
          <w:tcPr>
            <w:tcW w:w="0" w:type="auto"/>
            <w:vMerge w:val="restart"/>
            <w:hideMark/>
          </w:tcPr>
          <w:p w14:paraId="185D1A65" w14:textId="77777777" w:rsidR="00462D38" w:rsidRPr="00AA22F2" w:rsidRDefault="00462D38" w:rsidP="004000AC">
            <w:pPr>
              <w:cnfStyle w:val="000000000000" w:firstRow="0" w:lastRow="0" w:firstColumn="0" w:lastColumn="0" w:oddVBand="0" w:evenVBand="0" w:oddHBand="0" w:evenHBand="0" w:firstRowFirstColumn="0" w:firstRowLastColumn="0" w:lastRowFirstColumn="0" w:lastRowLastColumn="0"/>
              <w:rPr>
                <w:szCs w:val="20"/>
              </w:rPr>
            </w:pPr>
            <w:r w:rsidRPr="00AA22F2">
              <w:rPr>
                <w:szCs w:val="20"/>
              </w:rPr>
              <w:t>Exploitation du terminal, trafic passagers accru</w:t>
            </w:r>
          </w:p>
        </w:tc>
        <w:tc>
          <w:tcPr>
            <w:tcW w:w="0" w:type="auto"/>
            <w:hideMark/>
          </w:tcPr>
          <w:p w14:paraId="46CA4911" w14:textId="77777777" w:rsidR="00462D38" w:rsidRPr="00AA22F2" w:rsidRDefault="00462D38" w:rsidP="004000AC">
            <w:pPr>
              <w:cnfStyle w:val="000000000000" w:firstRow="0" w:lastRow="0" w:firstColumn="0" w:lastColumn="0" w:oddVBand="0" w:evenVBand="0" w:oddHBand="0" w:evenHBand="0" w:firstRowFirstColumn="0" w:firstRowLastColumn="0" w:lastRowFirstColumn="0" w:lastRowLastColumn="0"/>
              <w:rPr>
                <w:szCs w:val="20"/>
              </w:rPr>
            </w:pPr>
            <w:r w:rsidRPr="00AA22F2">
              <w:rPr>
                <w:b/>
                <w:bCs/>
                <w:szCs w:val="20"/>
              </w:rPr>
              <w:t>Nature</w:t>
            </w:r>
          </w:p>
        </w:tc>
        <w:tc>
          <w:tcPr>
            <w:tcW w:w="0" w:type="auto"/>
            <w:gridSpan w:val="2"/>
            <w:hideMark/>
          </w:tcPr>
          <w:p w14:paraId="1C50EC53" w14:textId="29E7F8CC" w:rsidR="00462D38" w:rsidRPr="00AA22F2" w:rsidRDefault="00462D38" w:rsidP="004000AC">
            <w:pPr>
              <w:cnfStyle w:val="000000000000" w:firstRow="0" w:lastRow="0" w:firstColumn="0" w:lastColumn="0" w:oddVBand="0" w:evenVBand="0" w:oddHBand="0" w:evenHBand="0" w:firstRowFirstColumn="0" w:firstRowLastColumn="0" w:lastRowFirstColumn="0" w:lastRowLastColumn="0"/>
              <w:rPr>
                <w:szCs w:val="20"/>
              </w:rPr>
            </w:pPr>
            <w:r w:rsidRPr="00AA22F2">
              <w:rPr>
                <w:szCs w:val="20"/>
              </w:rPr>
              <w:t xml:space="preserve">Positif et direct </w:t>
            </w:r>
          </w:p>
        </w:tc>
      </w:tr>
      <w:tr w:rsidR="00462D38" w:rsidRPr="00462D38" w14:paraId="5523AF60" w14:textId="77777777" w:rsidTr="005A7661">
        <w:tc>
          <w:tcPr>
            <w:cnfStyle w:val="001000000000" w:firstRow="0" w:lastRow="0" w:firstColumn="1" w:lastColumn="0" w:oddVBand="0" w:evenVBand="0" w:oddHBand="0" w:evenHBand="0" w:firstRowFirstColumn="0" w:firstRowLastColumn="0" w:lastRowFirstColumn="0" w:lastRowLastColumn="0"/>
            <w:tcW w:w="0" w:type="auto"/>
            <w:vMerge/>
            <w:hideMark/>
          </w:tcPr>
          <w:p w14:paraId="40EC9F3B" w14:textId="77777777" w:rsidR="00462D38" w:rsidRPr="00AA22F2" w:rsidRDefault="00462D38" w:rsidP="004000AC">
            <w:pPr>
              <w:rPr>
                <w:szCs w:val="20"/>
              </w:rPr>
            </w:pPr>
          </w:p>
        </w:tc>
        <w:tc>
          <w:tcPr>
            <w:tcW w:w="0" w:type="auto"/>
            <w:vMerge/>
            <w:hideMark/>
          </w:tcPr>
          <w:p w14:paraId="50A57BB1" w14:textId="77777777" w:rsidR="00462D38" w:rsidRPr="00AA22F2" w:rsidRDefault="00462D38" w:rsidP="004000AC">
            <w:pPr>
              <w:cnfStyle w:val="000000000000" w:firstRow="0" w:lastRow="0" w:firstColumn="0" w:lastColumn="0" w:oddVBand="0" w:evenVBand="0" w:oddHBand="0" w:evenHBand="0" w:firstRowFirstColumn="0" w:firstRowLastColumn="0" w:lastRowFirstColumn="0" w:lastRowLastColumn="0"/>
              <w:rPr>
                <w:szCs w:val="20"/>
              </w:rPr>
            </w:pPr>
          </w:p>
        </w:tc>
        <w:tc>
          <w:tcPr>
            <w:tcW w:w="0" w:type="auto"/>
            <w:hideMark/>
          </w:tcPr>
          <w:p w14:paraId="7787064C" w14:textId="77777777" w:rsidR="00462D38" w:rsidRPr="00AA22F2" w:rsidRDefault="00462D38" w:rsidP="004000AC">
            <w:pPr>
              <w:cnfStyle w:val="000000000000" w:firstRow="0" w:lastRow="0" w:firstColumn="0" w:lastColumn="0" w:oddVBand="0" w:evenVBand="0" w:oddHBand="0" w:evenHBand="0" w:firstRowFirstColumn="0" w:firstRowLastColumn="0" w:lastRowFirstColumn="0" w:lastRowLastColumn="0"/>
              <w:rPr>
                <w:szCs w:val="20"/>
              </w:rPr>
            </w:pPr>
            <w:r w:rsidRPr="00AA22F2">
              <w:rPr>
                <w:b/>
                <w:bCs/>
                <w:szCs w:val="20"/>
              </w:rPr>
              <w:t>Étendue</w:t>
            </w:r>
          </w:p>
        </w:tc>
        <w:tc>
          <w:tcPr>
            <w:tcW w:w="0" w:type="auto"/>
            <w:hideMark/>
          </w:tcPr>
          <w:p w14:paraId="12097903" w14:textId="77777777" w:rsidR="00462D38" w:rsidRPr="00AA22F2" w:rsidRDefault="00462D38" w:rsidP="004000AC">
            <w:pPr>
              <w:cnfStyle w:val="000000000000" w:firstRow="0" w:lastRow="0" w:firstColumn="0" w:lastColumn="0" w:oddVBand="0" w:evenVBand="0" w:oddHBand="0" w:evenHBand="0" w:firstRowFirstColumn="0" w:firstRowLastColumn="0" w:lastRowFirstColumn="0" w:lastRowLastColumn="0"/>
              <w:rPr>
                <w:szCs w:val="20"/>
              </w:rPr>
            </w:pPr>
            <w:r w:rsidRPr="00AA22F2">
              <w:rPr>
                <w:szCs w:val="20"/>
              </w:rPr>
              <w:t>Régionale à internationale.</w:t>
            </w:r>
          </w:p>
        </w:tc>
        <w:tc>
          <w:tcPr>
            <w:tcW w:w="0" w:type="auto"/>
            <w:hideMark/>
          </w:tcPr>
          <w:p w14:paraId="1074350B" w14:textId="77777777" w:rsidR="00462D38" w:rsidRPr="00AA22F2" w:rsidRDefault="00462D38" w:rsidP="004000AC">
            <w:pPr>
              <w:cnfStyle w:val="000000000000" w:firstRow="0" w:lastRow="0" w:firstColumn="0" w:lastColumn="0" w:oddVBand="0" w:evenVBand="0" w:oddHBand="0" w:evenHBand="0" w:firstRowFirstColumn="0" w:firstRowLastColumn="0" w:lastRowFirstColumn="0" w:lastRowLastColumn="0"/>
              <w:rPr>
                <w:szCs w:val="20"/>
              </w:rPr>
            </w:pPr>
            <w:r w:rsidRPr="00AA22F2">
              <w:rPr>
                <w:szCs w:val="20"/>
              </w:rPr>
              <w:t>Large</w:t>
            </w:r>
          </w:p>
        </w:tc>
      </w:tr>
      <w:tr w:rsidR="00462D38" w:rsidRPr="00462D38" w14:paraId="3A49D928" w14:textId="77777777" w:rsidTr="005A7661">
        <w:tc>
          <w:tcPr>
            <w:cnfStyle w:val="001000000000" w:firstRow="0" w:lastRow="0" w:firstColumn="1" w:lastColumn="0" w:oddVBand="0" w:evenVBand="0" w:oddHBand="0" w:evenHBand="0" w:firstRowFirstColumn="0" w:firstRowLastColumn="0" w:lastRowFirstColumn="0" w:lastRowLastColumn="0"/>
            <w:tcW w:w="0" w:type="auto"/>
            <w:vMerge/>
            <w:hideMark/>
          </w:tcPr>
          <w:p w14:paraId="550BE18C" w14:textId="77777777" w:rsidR="00462D38" w:rsidRPr="00AA22F2" w:rsidRDefault="00462D38" w:rsidP="004000AC">
            <w:pPr>
              <w:rPr>
                <w:szCs w:val="20"/>
              </w:rPr>
            </w:pPr>
          </w:p>
        </w:tc>
        <w:tc>
          <w:tcPr>
            <w:tcW w:w="0" w:type="auto"/>
            <w:vMerge/>
            <w:hideMark/>
          </w:tcPr>
          <w:p w14:paraId="43D8925F" w14:textId="77777777" w:rsidR="00462D38" w:rsidRPr="00AA22F2" w:rsidRDefault="00462D38" w:rsidP="004000AC">
            <w:pPr>
              <w:cnfStyle w:val="000000000000" w:firstRow="0" w:lastRow="0" w:firstColumn="0" w:lastColumn="0" w:oddVBand="0" w:evenVBand="0" w:oddHBand="0" w:evenHBand="0" w:firstRowFirstColumn="0" w:firstRowLastColumn="0" w:lastRowFirstColumn="0" w:lastRowLastColumn="0"/>
              <w:rPr>
                <w:szCs w:val="20"/>
              </w:rPr>
            </w:pPr>
          </w:p>
        </w:tc>
        <w:tc>
          <w:tcPr>
            <w:tcW w:w="0" w:type="auto"/>
            <w:hideMark/>
          </w:tcPr>
          <w:p w14:paraId="66743089" w14:textId="77777777" w:rsidR="00462D38" w:rsidRPr="00AA22F2" w:rsidRDefault="00462D38" w:rsidP="004000AC">
            <w:pPr>
              <w:cnfStyle w:val="000000000000" w:firstRow="0" w:lastRow="0" w:firstColumn="0" w:lastColumn="0" w:oddVBand="0" w:evenVBand="0" w:oddHBand="0" w:evenHBand="0" w:firstRowFirstColumn="0" w:firstRowLastColumn="0" w:lastRowFirstColumn="0" w:lastRowLastColumn="0"/>
              <w:rPr>
                <w:szCs w:val="20"/>
              </w:rPr>
            </w:pPr>
            <w:r w:rsidRPr="00AA22F2">
              <w:rPr>
                <w:b/>
                <w:bCs/>
                <w:szCs w:val="20"/>
              </w:rPr>
              <w:t>Durée</w:t>
            </w:r>
          </w:p>
        </w:tc>
        <w:tc>
          <w:tcPr>
            <w:tcW w:w="0" w:type="auto"/>
            <w:hideMark/>
          </w:tcPr>
          <w:p w14:paraId="1276D270" w14:textId="77777777" w:rsidR="00462D38" w:rsidRPr="00AA22F2" w:rsidRDefault="00462D38" w:rsidP="004000AC">
            <w:pPr>
              <w:cnfStyle w:val="000000000000" w:firstRow="0" w:lastRow="0" w:firstColumn="0" w:lastColumn="0" w:oddVBand="0" w:evenVBand="0" w:oddHBand="0" w:evenHBand="0" w:firstRowFirstColumn="0" w:firstRowLastColumn="0" w:lastRowFirstColumn="0" w:lastRowLastColumn="0"/>
              <w:rPr>
                <w:szCs w:val="20"/>
              </w:rPr>
            </w:pPr>
            <w:r w:rsidRPr="00AA22F2">
              <w:rPr>
                <w:szCs w:val="20"/>
              </w:rPr>
              <w:t>Long terme.</w:t>
            </w:r>
          </w:p>
        </w:tc>
        <w:tc>
          <w:tcPr>
            <w:tcW w:w="0" w:type="auto"/>
            <w:hideMark/>
          </w:tcPr>
          <w:p w14:paraId="7373BDEB" w14:textId="77777777" w:rsidR="00462D38" w:rsidRPr="00AA22F2" w:rsidRDefault="00462D38" w:rsidP="004000AC">
            <w:pPr>
              <w:cnfStyle w:val="000000000000" w:firstRow="0" w:lastRow="0" w:firstColumn="0" w:lastColumn="0" w:oddVBand="0" w:evenVBand="0" w:oddHBand="0" w:evenHBand="0" w:firstRowFirstColumn="0" w:firstRowLastColumn="0" w:lastRowFirstColumn="0" w:lastRowLastColumn="0"/>
              <w:rPr>
                <w:szCs w:val="20"/>
              </w:rPr>
            </w:pPr>
            <w:r w:rsidRPr="00AA22F2">
              <w:rPr>
                <w:szCs w:val="20"/>
              </w:rPr>
              <w:t>Longue</w:t>
            </w:r>
          </w:p>
        </w:tc>
      </w:tr>
      <w:tr w:rsidR="00462D38" w:rsidRPr="00462D38" w14:paraId="09208134" w14:textId="77777777" w:rsidTr="005A7661">
        <w:tc>
          <w:tcPr>
            <w:cnfStyle w:val="001000000000" w:firstRow="0" w:lastRow="0" w:firstColumn="1" w:lastColumn="0" w:oddVBand="0" w:evenVBand="0" w:oddHBand="0" w:evenHBand="0" w:firstRowFirstColumn="0" w:firstRowLastColumn="0" w:lastRowFirstColumn="0" w:lastRowLastColumn="0"/>
            <w:tcW w:w="0" w:type="auto"/>
            <w:vMerge/>
            <w:hideMark/>
          </w:tcPr>
          <w:p w14:paraId="3E1CA5E1" w14:textId="77777777" w:rsidR="00462D38" w:rsidRPr="00AA22F2" w:rsidRDefault="00462D38" w:rsidP="004000AC">
            <w:pPr>
              <w:rPr>
                <w:szCs w:val="20"/>
              </w:rPr>
            </w:pPr>
          </w:p>
        </w:tc>
        <w:tc>
          <w:tcPr>
            <w:tcW w:w="0" w:type="auto"/>
            <w:vMerge/>
            <w:hideMark/>
          </w:tcPr>
          <w:p w14:paraId="6C14741D" w14:textId="77777777" w:rsidR="00462D38" w:rsidRPr="00AA22F2" w:rsidRDefault="00462D38" w:rsidP="004000AC">
            <w:pPr>
              <w:cnfStyle w:val="000000000000" w:firstRow="0" w:lastRow="0" w:firstColumn="0" w:lastColumn="0" w:oddVBand="0" w:evenVBand="0" w:oddHBand="0" w:evenHBand="0" w:firstRowFirstColumn="0" w:firstRowLastColumn="0" w:lastRowFirstColumn="0" w:lastRowLastColumn="0"/>
              <w:rPr>
                <w:szCs w:val="20"/>
              </w:rPr>
            </w:pPr>
          </w:p>
        </w:tc>
        <w:tc>
          <w:tcPr>
            <w:tcW w:w="0" w:type="auto"/>
            <w:hideMark/>
          </w:tcPr>
          <w:p w14:paraId="67B77265" w14:textId="77777777" w:rsidR="00462D38" w:rsidRPr="00AA22F2" w:rsidRDefault="00462D38" w:rsidP="004000AC">
            <w:pPr>
              <w:cnfStyle w:val="000000000000" w:firstRow="0" w:lastRow="0" w:firstColumn="0" w:lastColumn="0" w:oddVBand="0" w:evenVBand="0" w:oddHBand="0" w:evenHBand="0" w:firstRowFirstColumn="0" w:firstRowLastColumn="0" w:lastRowFirstColumn="0" w:lastRowLastColumn="0"/>
              <w:rPr>
                <w:szCs w:val="20"/>
              </w:rPr>
            </w:pPr>
            <w:r w:rsidRPr="00AA22F2">
              <w:rPr>
                <w:b/>
                <w:bCs/>
                <w:szCs w:val="20"/>
              </w:rPr>
              <w:t>Fréquence</w:t>
            </w:r>
          </w:p>
        </w:tc>
        <w:tc>
          <w:tcPr>
            <w:tcW w:w="0" w:type="auto"/>
            <w:hideMark/>
          </w:tcPr>
          <w:p w14:paraId="03AC8242" w14:textId="77777777" w:rsidR="00462D38" w:rsidRPr="00AA22F2" w:rsidRDefault="00462D38" w:rsidP="004000AC">
            <w:pPr>
              <w:cnfStyle w:val="000000000000" w:firstRow="0" w:lastRow="0" w:firstColumn="0" w:lastColumn="0" w:oddVBand="0" w:evenVBand="0" w:oddHBand="0" w:evenHBand="0" w:firstRowFirstColumn="0" w:firstRowLastColumn="0" w:lastRowFirstColumn="0" w:lastRowLastColumn="0"/>
              <w:rPr>
                <w:szCs w:val="20"/>
              </w:rPr>
            </w:pPr>
            <w:r w:rsidRPr="00AA22F2">
              <w:rPr>
                <w:szCs w:val="20"/>
              </w:rPr>
              <w:t>Continue (activité aéroportuaire régulière).</w:t>
            </w:r>
          </w:p>
        </w:tc>
        <w:tc>
          <w:tcPr>
            <w:tcW w:w="0" w:type="auto"/>
            <w:hideMark/>
          </w:tcPr>
          <w:p w14:paraId="0C0DD13B" w14:textId="77777777" w:rsidR="00462D38" w:rsidRPr="00AA22F2" w:rsidRDefault="00462D38" w:rsidP="004000AC">
            <w:pPr>
              <w:cnfStyle w:val="000000000000" w:firstRow="0" w:lastRow="0" w:firstColumn="0" w:lastColumn="0" w:oddVBand="0" w:evenVBand="0" w:oddHBand="0" w:evenHBand="0" w:firstRowFirstColumn="0" w:firstRowLastColumn="0" w:lastRowFirstColumn="0" w:lastRowLastColumn="0"/>
              <w:rPr>
                <w:szCs w:val="20"/>
              </w:rPr>
            </w:pPr>
            <w:r w:rsidRPr="00AA22F2">
              <w:rPr>
                <w:szCs w:val="20"/>
              </w:rPr>
              <w:t>Continue</w:t>
            </w:r>
          </w:p>
        </w:tc>
      </w:tr>
      <w:tr w:rsidR="00462D38" w:rsidRPr="00462D38" w14:paraId="07862128" w14:textId="77777777" w:rsidTr="004000AC">
        <w:tc>
          <w:tcPr>
            <w:cnfStyle w:val="001000000000" w:firstRow="0" w:lastRow="0" w:firstColumn="1" w:lastColumn="0" w:oddVBand="0" w:evenVBand="0" w:oddHBand="0" w:evenHBand="0" w:firstRowFirstColumn="0" w:firstRowLastColumn="0" w:lastRowFirstColumn="0" w:lastRowLastColumn="0"/>
            <w:tcW w:w="0" w:type="auto"/>
            <w:vMerge/>
            <w:hideMark/>
          </w:tcPr>
          <w:p w14:paraId="3F096748" w14:textId="77777777" w:rsidR="00462D38" w:rsidRPr="00AA22F2" w:rsidRDefault="00462D38" w:rsidP="004000AC">
            <w:pPr>
              <w:rPr>
                <w:szCs w:val="20"/>
              </w:rPr>
            </w:pPr>
          </w:p>
        </w:tc>
        <w:tc>
          <w:tcPr>
            <w:tcW w:w="0" w:type="auto"/>
            <w:vMerge/>
            <w:hideMark/>
          </w:tcPr>
          <w:p w14:paraId="66CC0241" w14:textId="77777777" w:rsidR="00462D38" w:rsidRPr="00AA22F2" w:rsidRDefault="00462D38" w:rsidP="004000AC">
            <w:pPr>
              <w:cnfStyle w:val="000000000000" w:firstRow="0" w:lastRow="0" w:firstColumn="0" w:lastColumn="0" w:oddVBand="0" w:evenVBand="0" w:oddHBand="0" w:evenHBand="0" w:firstRowFirstColumn="0" w:firstRowLastColumn="0" w:lastRowFirstColumn="0" w:lastRowLastColumn="0"/>
              <w:rPr>
                <w:szCs w:val="20"/>
              </w:rPr>
            </w:pPr>
          </w:p>
        </w:tc>
        <w:tc>
          <w:tcPr>
            <w:tcW w:w="0" w:type="auto"/>
            <w:shd w:val="clear" w:color="auto" w:fill="D9E2F3" w:themeFill="accent1" w:themeFillTint="33"/>
            <w:hideMark/>
          </w:tcPr>
          <w:p w14:paraId="3B7F744B" w14:textId="77777777" w:rsidR="00462D38" w:rsidRPr="00AA22F2" w:rsidRDefault="00462D38" w:rsidP="004000AC">
            <w:pPr>
              <w:cnfStyle w:val="000000000000" w:firstRow="0" w:lastRow="0" w:firstColumn="0" w:lastColumn="0" w:oddVBand="0" w:evenVBand="0" w:oddHBand="0" w:evenHBand="0" w:firstRowFirstColumn="0" w:firstRowLastColumn="0" w:lastRowFirstColumn="0" w:lastRowLastColumn="0"/>
              <w:rPr>
                <w:szCs w:val="20"/>
              </w:rPr>
            </w:pPr>
            <w:r w:rsidRPr="00AA22F2">
              <w:rPr>
                <w:b/>
                <w:bCs/>
                <w:szCs w:val="20"/>
              </w:rPr>
              <w:t>Intensité</w:t>
            </w:r>
          </w:p>
        </w:tc>
        <w:tc>
          <w:tcPr>
            <w:tcW w:w="0" w:type="auto"/>
            <w:shd w:val="clear" w:color="auto" w:fill="D9E2F3" w:themeFill="accent1" w:themeFillTint="33"/>
            <w:hideMark/>
          </w:tcPr>
          <w:p w14:paraId="239D44AE" w14:textId="77777777" w:rsidR="00462D38" w:rsidRPr="00AA22F2" w:rsidRDefault="00462D38" w:rsidP="004000AC">
            <w:pPr>
              <w:cnfStyle w:val="000000000000" w:firstRow="0" w:lastRow="0" w:firstColumn="0" w:lastColumn="0" w:oddVBand="0" w:evenVBand="0" w:oddHBand="0" w:evenHBand="0" w:firstRowFirstColumn="0" w:firstRowLastColumn="0" w:lastRowFirstColumn="0" w:lastRowLastColumn="0"/>
              <w:rPr>
                <w:szCs w:val="20"/>
              </w:rPr>
            </w:pPr>
            <w:r w:rsidRPr="00AA22F2">
              <w:rPr>
                <w:szCs w:val="20"/>
              </w:rPr>
              <w:t>Majeure (forte dépendance du tissu économique).</w:t>
            </w:r>
          </w:p>
        </w:tc>
        <w:tc>
          <w:tcPr>
            <w:tcW w:w="0" w:type="auto"/>
            <w:shd w:val="clear" w:color="auto" w:fill="D9E2F3" w:themeFill="accent1" w:themeFillTint="33"/>
            <w:hideMark/>
          </w:tcPr>
          <w:p w14:paraId="63607C1C" w14:textId="77777777" w:rsidR="00462D38" w:rsidRPr="00AA22F2" w:rsidRDefault="00462D38" w:rsidP="004000AC">
            <w:pPr>
              <w:cnfStyle w:val="000000000000" w:firstRow="0" w:lastRow="0" w:firstColumn="0" w:lastColumn="0" w:oddVBand="0" w:evenVBand="0" w:oddHBand="0" w:evenHBand="0" w:firstRowFirstColumn="0" w:firstRowLastColumn="0" w:lastRowFirstColumn="0" w:lastRowLastColumn="0"/>
              <w:rPr>
                <w:szCs w:val="20"/>
              </w:rPr>
            </w:pPr>
            <w:r w:rsidRPr="00AA22F2">
              <w:rPr>
                <w:szCs w:val="20"/>
              </w:rPr>
              <w:t>Forte</w:t>
            </w:r>
          </w:p>
        </w:tc>
      </w:tr>
      <w:tr w:rsidR="00462D38" w:rsidRPr="00462D38" w14:paraId="00E22EAA" w14:textId="77777777" w:rsidTr="005A7661">
        <w:tc>
          <w:tcPr>
            <w:cnfStyle w:val="001000000000" w:firstRow="0" w:lastRow="0" w:firstColumn="1" w:lastColumn="0" w:oddVBand="0" w:evenVBand="0" w:oddHBand="0" w:evenHBand="0" w:firstRowFirstColumn="0" w:firstRowLastColumn="0" w:lastRowFirstColumn="0" w:lastRowLastColumn="0"/>
            <w:tcW w:w="0" w:type="auto"/>
            <w:vMerge/>
          </w:tcPr>
          <w:p w14:paraId="7C8BF22D" w14:textId="77777777" w:rsidR="00462D38" w:rsidRPr="00AA22F2" w:rsidRDefault="00462D38" w:rsidP="004637C7">
            <w:pPr>
              <w:spacing w:before="0" w:after="0"/>
              <w:rPr>
                <w:szCs w:val="20"/>
              </w:rPr>
            </w:pPr>
          </w:p>
        </w:tc>
        <w:tc>
          <w:tcPr>
            <w:tcW w:w="0" w:type="auto"/>
            <w:gridSpan w:val="4"/>
          </w:tcPr>
          <w:p w14:paraId="2CB6EE56" w14:textId="77777777" w:rsidR="00462D38" w:rsidRPr="00AA22F2" w:rsidRDefault="00462D38" w:rsidP="004637C7">
            <w:pPr>
              <w:spacing w:before="0" w:after="0"/>
              <w:cnfStyle w:val="000000000000" w:firstRow="0" w:lastRow="0" w:firstColumn="0" w:lastColumn="0" w:oddVBand="0" w:evenVBand="0" w:oddHBand="0" w:evenHBand="0" w:firstRowFirstColumn="0" w:firstRowLastColumn="0" w:lastRowFirstColumn="0" w:lastRowLastColumn="0"/>
              <w:rPr>
                <w:szCs w:val="20"/>
              </w:rPr>
            </w:pPr>
          </w:p>
        </w:tc>
      </w:tr>
      <w:tr w:rsidR="00462D38" w:rsidRPr="00462D38" w14:paraId="35BB5263" w14:textId="77777777" w:rsidTr="005A7661">
        <w:tc>
          <w:tcPr>
            <w:cnfStyle w:val="001000000000" w:firstRow="0" w:lastRow="0" w:firstColumn="1" w:lastColumn="0" w:oddVBand="0" w:evenVBand="0" w:oddHBand="0" w:evenHBand="0" w:firstRowFirstColumn="0" w:firstRowLastColumn="0" w:lastRowFirstColumn="0" w:lastRowLastColumn="0"/>
            <w:tcW w:w="0" w:type="auto"/>
            <w:vMerge/>
          </w:tcPr>
          <w:p w14:paraId="545BC8FB" w14:textId="77777777" w:rsidR="00462D38" w:rsidRPr="00AA22F2" w:rsidRDefault="00462D38" w:rsidP="004000AC">
            <w:pPr>
              <w:rPr>
                <w:szCs w:val="20"/>
              </w:rPr>
            </w:pPr>
          </w:p>
        </w:tc>
        <w:tc>
          <w:tcPr>
            <w:tcW w:w="0" w:type="auto"/>
            <w:shd w:val="clear" w:color="auto" w:fill="8EAADB" w:themeFill="accent1" w:themeFillTint="99"/>
            <w:vAlign w:val="center"/>
          </w:tcPr>
          <w:p w14:paraId="603A2C95" w14:textId="0AFBE812" w:rsidR="00462D38" w:rsidRPr="00AA22F2" w:rsidRDefault="00462D38" w:rsidP="004000AC">
            <w:pPr>
              <w:cnfStyle w:val="000000000000" w:firstRow="0" w:lastRow="0" w:firstColumn="0" w:lastColumn="0" w:oddVBand="0" w:evenVBand="0" w:oddHBand="0" w:evenHBand="0" w:firstRowFirstColumn="0" w:firstRowLastColumn="0" w:lastRowFirstColumn="0" w:lastRowLastColumn="0"/>
              <w:rPr>
                <w:szCs w:val="20"/>
              </w:rPr>
            </w:pPr>
            <w:r w:rsidRPr="00462D38">
              <w:rPr>
                <w:rFonts w:asciiTheme="minorHAnsi" w:hAnsiTheme="minorHAnsi" w:cstheme="minorHAnsi"/>
                <w:b/>
                <w:bCs/>
                <w:szCs w:val="20"/>
              </w:rPr>
              <w:t>Intensité de l’impact</w:t>
            </w:r>
          </w:p>
        </w:tc>
        <w:tc>
          <w:tcPr>
            <w:tcW w:w="0" w:type="auto"/>
            <w:shd w:val="clear" w:color="auto" w:fill="8EAADB" w:themeFill="accent1" w:themeFillTint="99"/>
            <w:vAlign w:val="center"/>
          </w:tcPr>
          <w:p w14:paraId="32CD4372" w14:textId="7D02A458" w:rsidR="00462D38" w:rsidRPr="00AA22F2" w:rsidRDefault="00462D38" w:rsidP="004000AC">
            <w:pPr>
              <w:cnfStyle w:val="000000000000" w:firstRow="0" w:lastRow="0" w:firstColumn="0" w:lastColumn="0" w:oddVBand="0" w:evenVBand="0" w:oddHBand="0" w:evenHBand="0" w:firstRowFirstColumn="0" w:firstRowLastColumn="0" w:lastRowFirstColumn="0" w:lastRowLastColumn="0"/>
              <w:rPr>
                <w:b/>
                <w:bCs/>
                <w:szCs w:val="20"/>
              </w:rPr>
            </w:pPr>
            <w:r w:rsidRPr="00462D38">
              <w:rPr>
                <w:rFonts w:asciiTheme="minorHAnsi" w:hAnsiTheme="minorHAnsi" w:cstheme="minorHAnsi"/>
                <w:b/>
                <w:bCs/>
                <w:szCs w:val="20"/>
              </w:rPr>
              <w:t>Récepteurs</w:t>
            </w:r>
          </w:p>
        </w:tc>
        <w:tc>
          <w:tcPr>
            <w:tcW w:w="0" w:type="auto"/>
            <w:shd w:val="clear" w:color="auto" w:fill="8EAADB" w:themeFill="accent1" w:themeFillTint="99"/>
            <w:vAlign w:val="center"/>
          </w:tcPr>
          <w:p w14:paraId="07A134CC" w14:textId="6967D1CE" w:rsidR="00462D38" w:rsidRPr="00AA22F2" w:rsidRDefault="00462D38" w:rsidP="004000AC">
            <w:pPr>
              <w:cnfStyle w:val="000000000000" w:firstRow="0" w:lastRow="0" w:firstColumn="0" w:lastColumn="0" w:oddVBand="0" w:evenVBand="0" w:oddHBand="0" w:evenHBand="0" w:firstRowFirstColumn="0" w:firstRowLastColumn="0" w:lastRowFirstColumn="0" w:lastRowLastColumn="0"/>
              <w:rPr>
                <w:szCs w:val="20"/>
              </w:rPr>
            </w:pPr>
            <w:r w:rsidRPr="00462D38">
              <w:rPr>
                <w:rFonts w:asciiTheme="minorHAnsi" w:hAnsiTheme="minorHAnsi" w:cstheme="minorHAnsi"/>
                <w:b/>
                <w:bCs/>
                <w:szCs w:val="20"/>
              </w:rPr>
              <w:t>Sensibilité</w:t>
            </w:r>
          </w:p>
        </w:tc>
        <w:tc>
          <w:tcPr>
            <w:tcW w:w="0" w:type="auto"/>
            <w:shd w:val="clear" w:color="auto" w:fill="8EAADB" w:themeFill="accent1" w:themeFillTint="99"/>
            <w:vAlign w:val="center"/>
          </w:tcPr>
          <w:p w14:paraId="4E733B6B" w14:textId="4EE8C631" w:rsidR="00462D38" w:rsidRPr="00AA22F2" w:rsidRDefault="00462D38" w:rsidP="004000AC">
            <w:pPr>
              <w:cnfStyle w:val="000000000000" w:firstRow="0" w:lastRow="0" w:firstColumn="0" w:lastColumn="0" w:oddVBand="0" w:evenVBand="0" w:oddHBand="0" w:evenHBand="0" w:firstRowFirstColumn="0" w:firstRowLastColumn="0" w:lastRowFirstColumn="0" w:lastRowLastColumn="0"/>
              <w:rPr>
                <w:szCs w:val="20"/>
              </w:rPr>
            </w:pPr>
            <w:r w:rsidRPr="00462D38">
              <w:rPr>
                <w:rFonts w:asciiTheme="minorHAnsi" w:hAnsiTheme="minorHAnsi" w:cstheme="minorHAnsi"/>
                <w:b/>
                <w:bCs/>
                <w:szCs w:val="20"/>
              </w:rPr>
              <w:t>Importance de l’impact</w:t>
            </w:r>
          </w:p>
        </w:tc>
      </w:tr>
      <w:tr w:rsidR="00462D38" w:rsidRPr="00462D38" w14:paraId="2EFBFB49" w14:textId="77777777" w:rsidTr="004000AC">
        <w:tc>
          <w:tcPr>
            <w:cnfStyle w:val="001000000000" w:firstRow="0" w:lastRow="0" w:firstColumn="1" w:lastColumn="0" w:oddVBand="0" w:evenVBand="0" w:oddHBand="0" w:evenHBand="0" w:firstRowFirstColumn="0" w:firstRowLastColumn="0" w:lastRowFirstColumn="0" w:lastRowLastColumn="0"/>
            <w:tcW w:w="0" w:type="auto"/>
            <w:vMerge/>
          </w:tcPr>
          <w:p w14:paraId="7A401A38" w14:textId="77777777" w:rsidR="00462D38" w:rsidRPr="00AA22F2" w:rsidRDefault="00462D38" w:rsidP="004000AC">
            <w:pPr>
              <w:rPr>
                <w:szCs w:val="20"/>
              </w:rPr>
            </w:pPr>
          </w:p>
        </w:tc>
        <w:tc>
          <w:tcPr>
            <w:tcW w:w="0" w:type="auto"/>
          </w:tcPr>
          <w:p w14:paraId="083AE1F0" w14:textId="1C6CD274" w:rsidR="00462D38" w:rsidRPr="00AA22F2" w:rsidRDefault="00462D38" w:rsidP="004000AC">
            <w:pPr>
              <w:cnfStyle w:val="000000000000" w:firstRow="0" w:lastRow="0" w:firstColumn="0" w:lastColumn="0" w:oddVBand="0" w:evenVBand="0" w:oddHBand="0" w:evenHBand="0" w:firstRowFirstColumn="0" w:firstRowLastColumn="0" w:lastRowFirstColumn="0" w:lastRowLastColumn="0"/>
              <w:rPr>
                <w:szCs w:val="20"/>
              </w:rPr>
            </w:pPr>
            <w:r w:rsidRPr="00AA22F2">
              <w:rPr>
                <w:szCs w:val="20"/>
              </w:rPr>
              <w:t>Forte</w:t>
            </w:r>
          </w:p>
        </w:tc>
        <w:tc>
          <w:tcPr>
            <w:tcW w:w="0" w:type="auto"/>
          </w:tcPr>
          <w:p w14:paraId="55FA76F3" w14:textId="7A16FEDB" w:rsidR="00462D38" w:rsidRPr="00AA22F2" w:rsidRDefault="00462D38" w:rsidP="004000AC">
            <w:pPr>
              <w:cnfStyle w:val="000000000000" w:firstRow="0" w:lastRow="0" w:firstColumn="0" w:lastColumn="0" w:oddVBand="0" w:evenVBand="0" w:oddHBand="0" w:evenHBand="0" w:firstRowFirstColumn="0" w:firstRowLastColumn="0" w:lastRowFirstColumn="0" w:lastRowLastColumn="0"/>
              <w:rPr>
                <w:b/>
                <w:bCs/>
                <w:szCs w:val="20"/>
              </w:rPr>
            </w:pPr>
            <w:r w:rsidRPr="00AA22F2">
              <w:rPr>
                <w:szCs w:val="20"/>
              </w:rPr>
              <w:t>Acteurs touristiques, hôteliers, artisans, producteurs.</w:t>
            </w:r>
          </w:p>
        </w:tc>
        <w:tc>
          <w:tcPr>
            <w:tcW w:w="0" w:type="auto"/>
          </w:tcPr>
          <w:p w14:paraId="04B21C0D" w14:textId="23D9BC8B" w:rsidR="00462D38" w:rsidRPr="00AA22F2" w:rsidRDefault="00462D38" w:rsidP="004000AC">
            <w:pPr>
              <w:cnfStyle w:val="000000000000" w:firstRow="0" w:lastRow="0" w:firstColumn="0" w:lastColumn="0" w:oddVBand="0" w:evenVBand="0" w:oddHBand="0" w:evenHBand="0" w:firstRowFirstColumn="0" w:firstRowLastColumn="0" w:lastRowFirstColumn="0" w:lastRowLastColumn="0"/>
              <w:rPr>
                <w:szCs w:val="20"/>
              </w:rPr>
            </w:pPr>
            <w:r w:rsidRPr="00AA22F2">
              <w:rPr>
                <w:szCs w:val="20"/>
              </w:rPr>
              <w:t>Forte : activité dépendante du trafic aérien.</w:t>
            </w:r>
          </w:p>
        </w:tc>
        <w:tc>
          <w:tcPr>
            <w:tcW w:w="0" w:type="auto"/>
          </w:tcPr>
          <w:p w14:paraId="3FEAD50C" w14:textId="3D97D5D0" w:rsidR="00462D38" w:rsidRPr="00AA22F2" w:rsidRDefault="00462D38" w:rsidP="004000AC">
            <w:pPr>
              <w:cnfStyle w:val="000000000000" w:firstRow="0" w:lastRow="0" w:firstColumn="0" w:lastColumn="0" w:oddVBand="0" w:evenVBand="0" w:oddHBand="0" w:evenHBand="0" w:firstRowFirstColumn="0" w:firstRowLastColumn="0" w:lastRowFirstColumn="0" w:lastRowLastColumn="0"/>
              <w:rPr>
                <w:szCs w:val="20"/>
              </w:rPr>
            </w:pPr>
            <w:r w:rsidRPr="00AA22F2">
              <w:rPr>
                <w:szCs w:val="20"/>
              </w:rPr>
              <w:t>Majeure</w:t>
            </w:r>
          </w:p>
        </w:tc>
      </w:tr>
    </w:tbl>
    <w:p w14:paraId="7C01F033" w14:textId="70FDBAB0" w:rsidR="008922C5" w:rsidRDefault="00367924" w:rsidP="0001633E">
      <w:pPr>
        <w:pStyle w:val="AltTitle2"/>
        <w:numPr>
          <w:ilvl w:val="0"/>
          <w:numId w:val="106"/>
        </w:numPr>
      </w:pPr>
      <w:r w:rsidRPr="00367924">
        <w:t>Amélioration de la mobilité, de l’accessibilité et du confort des usagers</w:t>
      </w:r>
    </w:p>
    <w:p w14:paraId="7C84224B" w14:textId="2EFD0354" w:rsidR="00367924" w:rsidRDefault="00367924" w:rsidP="00367924">
      <w:r>
        <w:t>La modernisation des infrastructures, notamment l’installation de tapis roulants, ascenseurs, monte-charges et systèmes d’éclairage et de signalisation avancés, améliorera sensiblement le confort des passagers, la fluidité des déplacements et l’accessibilité des personnes à mobilité réduite. La nature de cet impact est positive et directe, car il touche directement les usagers et le personnel exploitant l’aéroport. Sa durée est long terme, son intensité forte, et sa fréquence permanente. L’étendue est nationale et internationale, compte tenu du profil varié des voyageurs.</w:t>
      </w:r>
    </w:p>
    <w:p w14:paraId="39FC35B0" w14:textId="39F5928F" w:rsidR="00367924" w:rsidRDefault="00367924" w:rsidP="00367924">
      <w:r>
        <w:t>Les récepteurs sont les passagers, visiteurs et personnels de service, dont la sensibilité est élevée, en raison de la dépendance au confort et à la sécurité des infrastructures aéroportuaires. L’impact est d’importance majeure, car il renforce l’image de qualité du service public aérien marocain et améliore l’expérience utilisateur dans une infrastructure stratégique pour la région.</w:t>
      </w:r>
    </w:p>
    <w:tbl>
      <w:tblPr>
        <w:tblStyle w:val="TableauGrille1Clair-Accentuation111"/>
        <w:tblW w:w="0" w:type="auto"/>
        <w:tblLook w:val="04A0" w:firstRow="1" w:lastRow="0" w:firstColumn="1" w:lastColumn="0" w:noHBand="0" w:noVBand="1"/>
      </w:tblPr>
      <w:tblGrid>
        <w:gridCol w:w="792"/>
        <w:gridCol w:w="2689"/>
        <w:gridCol w:w="1981"/>
        <w:gridCol w:w="2073"/>
        <w:gridCol w:w="1525"/>
      </w:tblGrid>
      <w:tr w:rsidR="009B12AC" w:rsidRPr="00462D38" w14:paraId="428779E3" w14:textId="77777777" w:rsidTr="009D1BB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2847B940" w14:textId="77777777" w:rsidR="009E4621" w:rsidRPr="00AA22F2" w:rsidRDefault="009E4621" w:rsidP="009E4621">
            <w:pPr>
              <w:rPr>
                <w:szCs w:val="20"/>
              </w:rPr>
            </w:pPr>
            <w:r w:rsidRPr="00AA22F2">
              <w:rPr>
                <w:szCs w:val="20"/>
              </w:rPr>
              <w:lastRenderedPageBreak/>
              <w:t>Impact</w:t>
            </w:r>
          </w:p>
        </w:tc>
        <w:tc>
          <w:tcPr>
            <w:tcW w:w="0" w:type="auto"/>
            <w:hideMark/>
          </w:tcPr>
          <w:p w14:paraId="629AA5F0" w14:textId="77777777" w:rsidR="009E4621" w:rsidRPr="00AA22F2" w:rsidRDefault="009E4621" w:rsidP="009E4621">
            <w:pPr>
              <w:cnfStyle w:val="100000000000" w:firstRow="1" w:lastRow="0" w:firstColumn="0" w:lastColumn="0" w:oddVBand="0" w:evenVBand="0" w:oddHBand="0" w:evenHBand="0" w:firstRowFirstColumn="0" w:firstRowLastColumn="0" w:lastRowFirstColumn="0" w:lastRowLastColumn="0"/>
              <w:rPr>
                <w:szCs w:val="20"/>
              </w:rPr>
            </w:pPr>
            <w:r w:rsidRPr="00AA22F2">
              <w:rPr>
                <w:szCs w:val="20"/>
              </w:rPr>
              <w:t>Activités génératrices</w:t>
            </w:r>
          </w:p>
        </w:tc>
        <w:tc>
          <w:tcPr>
            <w:tcW w:w="0" w:type="auto"/>
            <w:hideMark/>
          </w:tcPr>
          <w:p w14:paraId="61DCD249" w14:textId="77777777" w:rsidR="009E4621" w:rsidRPr="00AA22F2" w:rsidRDefault="009E4621" w:rsidP="009E4621">
            <w:pPr>
              <w:cnfStyle w:val="100000000000" w:firstRow="1" w:lastRow="0" w:firstColumn="0" w:lastColumn="0" w:oddVBand="0" w:evenVBand="0" w:oddHBand="0" w:evenHBand="0" w:firstRowFirstColumn="0" w:firstRowLastColumn="0" w:lastRowFirstColumn="0" w:lastRowLastColumn="0"/>
              <w:rPr>
                <w:szCs w:val="20"/>
              </w:rPr>
            </w:pPr>
            <w:r w:rsidRPr="00AA22F2">
              <w:rPr>
                <w:szCs w:val="20"/>
              </w:rPr>
              <w:t>Critère</w:t>
            </w:r>
          </w:p>
        </w:tc>
        <w:tc>
          <w:tcPr>
            <w:tcW w:w="0" w:type="auto"/>
            <w:hideMark/>
          </w:tcPr>
          <w:p w14:paraId="6F7C1C26" w14:textId="77777777" w:rsidR="009E4621" w:rsidRPr="00AA22F2" w:rsidRDefault="009E4621" w:rsidP="009E4621">
            <w:pPr>
              <w:cnfStyle w:val="100000000000" w:firstRow="1" w:lastRow="0" w:firstColumn="0" w:lastColumn="0" w:oddVBand="0" w:evenVBand="0" w:oddHBand="0" w:evenHBand="0" w:firstRowFirstColumn="0" w:firstRowLastColumn="0" w:lastRowFirstColumn="0" w:lastRowLastColumn="0"/>
              <w:rPr>
                <w:szCs w:val="20"/>
              </w:rPr>
            </w:pPr>
            <w:r w:rsidRPr="00AA22F2">
              <w:rPr>
                <w:szCs w:val="20"/>
              </w:rPr>
              <w:t>Justification</w:t>
            </w:r>
          </w:p>
        </w:tc>
        <w:tc>
          <w:tcPr>
            <w:tcW w:w="0" w:type="auto"/>
            <w:hideMark/>
          </w:tcPr>
          <w:p w14:paraId="0750D1A6" w14:textId="77777777" w:rsidR="009E4621" w:rsidRPr="00AA22F2" w:rsidRDefault="009E4621" w:rsidP="009E4621">
            <w:pPr>
              <w:cnfStyle w:val="100000000000" w:firstRow="1" w:lastRow="0" w:firstColumn="0" w:lastColumn="0" w:oddVBand="0" w:evenVBand="0" w:oddHBand="0" w:evenHBand="0" w:firstRowFirstColumn="0" w:firstRowLastColumn="0" w:lastRowFirstColumn="0" w:lastRowLastColumn="0"/>
              <w:rPr>
                <w:szCs w:val="20"/>
              </w:rPr>
            </w:pPr>
            <w:r w:rsidRPr="00AA22F2">
              <w:rPr>
                <w:szCs w:val="20"/>
              </w:rPr>
              <w:t>Niveau</w:t>
            </w:r>
          </w:p>
        </w:tc>
      </w:tr>
      <w:tr w:rsidR="00462D38" w:rsidRPr="00462D38" w14:paraId="50240D91" w14:textId="77777777" w:rsidTr="005A7661">
        <w:tc>
          <w:tcPr>
            <w:cnfStyle w:val="001000000000" w:firstRow="0" w:lastRow="0" w:firstColumn="1" w:lastColumn="0" w:oddVBand="0" w:evenVBand="0" w:oddHBand="0" w:evenHBand="0" w:firstRowFirstColumn="0" w:firstRowLastColumn="0" w:lastRowFirstColumn="0" w:lastRowLastColumn="0"/>
            <w:tcW w:w="0" w:type="auto"/>
            <w:vMerge w:val="restart"/>
            <w:textDirection w:val="btLr"/>
            <w:vAlign w:val="center"/>
            <w:hideMark/>
          </w:tcPr>
          <w:p w14:paraId="625BD639" w14:textId="77777777" w:rsidR="00462D38" w:rsidRPr="00AA22F2" w:rsidRDefault="00462D38" w:rsidP="004637C7">
            <w:pPr>
              <w:ind w:left="113" w:right="113"/>
              <w:jc w:val="center"/>
              <w:rPr>
                <w:szCs w:val="20"/>
              </w:rPr>
            </w:pPr>
            <w:r w:rsidRPr="00AA22F2">
              <w:rPr>
                <w:szCs w:val="20"/>
              </w:rPr>
              <w:t>Amélioration de la mobilité et du confort des usagers</w:t>
            </w:r>
          </w:p>
        </w:tc>
        <w:tc>
          <w:tcPr>
            <w:tcW w:w="0" w:type="auto"/>
            <w:vMerge w:val="restart"/>
            <w:hideMark/>
          </w:tcPr>
          <w:p w14:paraId="783643F6" w14:textId="77777777" w:rsidR="00462D38" w:rsidRPr="00AA22F2" w:rsidRDefault="00462D38" w:rsidP="009E4621">
            <w:pPr>
              <w:cnfStyle w:val="000000000000" w:firstRow="0" w:lastRow="0" w:firstColumn="0" w:lastColumn="0" w:oddVBand="0" w:evenVBand="0" w:oddHBand="0" w:evenHBand="0" w:firstRowFirstColumn="0" w:firstRowLastColumn="0" w:lastRowFirstColumn="0" w:lastRowLastColumn="0"/>
              <w:rPr>
                <w:szCs w:val="20"/>
              </w:rPr>
            </w:pPr>
            <w:r w:rsidRPr="00AA22F2">
              <w:rPr>
                <w:szCs w:val="20"/>
              </w:rPr>
              <w:t>Modernisation des équipements d’accessibilité et signalisation</w:t>
            </w:r>
          </w:p>
        </w:tc>
        <w:tc>
          <w:tcPr>
            <w:tcW w:w="0" w:type="auto"/>
            <w:hideMark/>
          </w:tcPr>
          <w:p w14:paraId="54DA2CDA" w14:textId="77777777" w:rsidR="00462D38" w:rsidRPr="00AA22F2" w:rsidRDefault="00462D38" w:rsidP="009E4621">
            <w:pPr>
              <w:cnfStyle w:val="000000000000" w:firstRow="0" w:lastRow="0" w:firstColumn="0" w:lastColumn="0" w:oddVBand="0" w:evenVBand="0" w:oddHBand="0" w:evenHBand="0" w:firstRowFirstColumn="0" w:firstRowLastColumn="0" w:lastRowFirstColumn="0" w:lastRowLastColumn="0"/>
              <w:rPr>
                <w:szCs w:val="20"/>
              </w:rPr>
            </w:pPr>
            <w:r w:rsidRPr="00AA22F2">
              <w:rPr>
                <w:b/>
                <w:bCs/>
                <w:szCs w:val="20"/>
              </w:rPr>
              <w:t>Nature</w:t>
            </w:r>
          </w:p>
        </w:tc>
        <w:tc>
          <w:tcPr>
            <w:tcW w:w="0" w:type="auto"/>
            <w:gridSpan w:val="2"/>
            <w:hideMark/>
          </w:tcPr>
          <w:p w14:paraId="429102C5" w14:textId="7788BBC3" w:rsidR="00462D38" w:rsidRPr="00AA22F2" w:rsidRDefault="00462D38" w:rsidP="009E4621">
            <w:pPr>
              <w:cnfStyle w:val="000000000000" w:firstRow="0" w:lastRow="0" w:firstColumn="0" w:lastColumn="0" w:oddVBand="0" w:evenVBand="0" w:oddHBand="0" w:evenHBand="0" w:firstRowFirstColumn="0" w:firstRowLastColumn="0" w:lastRowFirstColumn="0" w:lastRowLastColumn="0"/>
              <w:rPr>
                <w:szCs w:val="20"/>
              </w:rPr>
            </w:pPr>
            <w:r w:rsidRPr="00AA22F2">
              <w:rPr>
                <w:szCs w:val="20"/>
              </w:rPr>
              <w:t xml:space="preserve">Positif et direct </w:t>
            </w:r>
          </w:p>
        </w:tc>
      </w:tr>
      <w:tr w:rsidR="00C30E83" w:rsidRPr="00462D38" w14:paraId="70376AFF" w14:textId="77777777" w:rsidTr="005A7661">
        <w:tc>
          <w:tcPr>
            <w:cnfStyle w:val="001000000000" w:firstRow="0" w:lastRow="0" w:firstColumn="1" w:lastColumn="0" w:oddVBand="0" w:evenVBand="0" w:oddHBand="0" w:evenHBand="0" w:firstRowFirstColumn="0" w:firstRowLastColumn="0" w:lastRowFirstColumn="0" w:lastRowLastColumn="0"/>
            <w:tcW w:w="0" w:type="auto"/>
            <w:vMerge/>
            <w:hideMark/>
          </w:tcPr>
          <w:p w14:paraId="122950E4" w14:textId="77777777" w:rsidR="00C30E83" w:rsidRPr="00AA22F2" w:rsidRDefault="00C30E83" w:rsidP="009E4621">
            <w:pPr>
              <w:rPr>
                <w:szCs w:val="20"/>
              </w:rPr>
            </w:pPr>
          </w:p>
        </w:tc>
        <w:tc>
          <w:tcPr>
            <w:tcW w:w="0" w:type="auto"/>
            <w:vMerge/>
            <w:hideMark/>
          </w:tcPr>
          <w:p w14:paraId="5610ECCE" w14:textId="77777777" w:rsidR="00C30E83" w:rsidRPr="00AA22F2" w:rsidRDefault="00C30E83" w:rsidP="009E4621">
            <w:pPr>
              <w:cnfStyle w:val="000000000000" w:firstRow="0" w:lastRow="0" w:firstColumn="0" w:lastColumn="0" w:oddVBand="0" w:evenVBand="0" w:oddHBand="0" w:evenHBand="0" w:firstRowFirstColumn="0" w:firstRowLastColumn="0" w:lastRowFirstColumn="0" w:lastRowLastColumn="0"/>
              <w:rPr>
                <w:szCs w:val="20"/>
              </w:rPr>
            </w:pPr>
          </w:p>
        </w:tc>
        <w:tc>
          <w:tcPr>
            <w:tcW w:w="0" w:type="auto"/>
            <w:hideMark/>
          </w:tcPr>
          <w:p w14:paraId="62597A98" w14:textId="77777777" w:rsidR="00C30E83" w:rsidRPr="00AA22F2" w:rsidRDefault="00C30E83" w:rsidP="009E4621">
            <w:pPr>
              <w:cnfStyle w:val="000000000000" w:firstRow="0" w:lastRow="0" w:firstColumn="0" w:lastColumn="0" w:oddVBand="0" w:evenVBand="0" w:oddHBand="0" w:evenHBand="0" w:firstRowFirstColumn="0" w:firstRowLastColumn="0" w:lastRowFirstColumn="0" w:lastRowLastColumn="0"/>
              <w:rPr>
                <w:szCs w:val="20"/>
              </w:rPr>
            </w:pPr>
            <w:r w:rsidRPr="00AA22F2">
              <w:rPr>
                <w:b/>
                <w:bCs/>
                <w:szCs w:val="20"/>
              </w:rPr>
              <w:t>Étendue</w:t>
            </w:r>
          </w:p>
        </w:tc>
        <w:tc>
          <w:tcPr>
            <w:tcW w:w="0" w:type="auto"/>
            <w:hideMark/>
          </w:tcPr>
          <w:p w14:paraId="1DC0F84E" w14:textId="77777777" w:rsidR="00C30E83" w:rsidRPr="00AA22F2" w:rsidRDefault="00C30E83" w:rsidP="009E4621">
            <w:pPr>
              <w:cnfStyle w:val="000000000000" w:firstRow="0" w:lastRow="0" w:firstColumn="0" w:lastColumn="0" w:oddVBand="0" w:evenVBand="0" w:oddHBand="0" w:evenHBand="0" w:firstRowFirstColumn="0" w:firstRowLastColumn="0" w:lastRowFirstColumn="0" w:lastRowLastColumn="0"/>
              <w:rPr>
                <w:szCs w:val="20"/>
              </w:rPr>
            </w:pPr>
            <w:r w:rsidRPr="00AA22F2">
              <w:rPr>
                <w:szCs w:val="20"/>
              </w:rPr>
              <w:t>Nationale à internationale.</w:t>
            </w:r>
          </w:p>
        </w:tc>
        <w:tc>
          <w:tcPr>
            <w:tcW w:w="0" w:type="auto"/>
            <w:hideMark/>
          </w:tcPr>
          <w:p w14:paraId="0F028F12" w14:textId="77777777" w:rsidR="00C30E83" w:rsidRPr="00AA22F2" w:rsidRDefault="00C30E83" w:rsidP="009E4621">
            <w:pPr>
              <w:cnfStyle w:val="000000000000" w:firstRow="0" w:lastRow="0" w:firstColumn="0" w:lastColumn="0" w:oddVBand="0" w:evenVBand="0" w:oddHBand="0" w:evenHBand="0" w:firstRowFirstColumn="0" w:firstRowLastColumn="0" w:lastRowFirstColumn="0" w:lastRowLastColumn="0"/>
              <w:rPr>
                <w:szCs w:val="20"/>
              </w:rPr>
            </w:pPr>
            <w:r w:rsidRPr="00AA22F2">
              <w:rPr>
                <w:szCs w:val="20"/>
              </w:rPr>
              <w:t>Large</w:t>
            </w:r>
          </w:p>
        </w:tc>
      </w:tr>
      <w:tr w:rsidR="00C30E83" w:rsidRPr="00462D38" w14:paraId="7957CD71" w14:textId="77777777" w:rsidTr="005A7661">
        <w:tc>
          <w:tcPr>
            <w:cnfStyle w:val="001000000000" w:firstRow="0" w:lastRow="0" w:firstColumn="1" w:lastColumn="0" w:oddVBand="0" w:evenVBand="0" w:oddHBand="0" w:evenHBand="0" w:firstRowFirstColumn="0" w:firstRowLastColumn="0" w:lastRowFirstColumn="0" w:lastRowLastColumn="0"/>
            <w:tcW w:w="0" w:type="auto"/>
            <w:vMerge/>
            <w:hideMark/>
          </w:tcPr>
          <w:p w14:paraId="1910A117" w14:textId="77777777" w:rsidR="00C30E83" w:rsidRPr="00AA22F2" w:rsidRDefault="00C30E83" w:rsidP="009E4621">
            <w:pPr>
              <w:rPr>
                <w:szCs w:val="20"/>
              </w:rPr>
            </w:pPr>
          </w:p>
        </w:tc>
        <w:tc>
          <w:tcPr>
            <w:tcW w:w="0" w:type="auto"/>
            <w:vMerge/>
            <w:hideMark/>
          </w:tcPr>
          <w:p w14:paraId="2E00AAED" w14:textId="77777777" w:rsidR="00C30E83" w:rsidRPr="00AA22F2" w:rsidRDefault="00C30E83" w:rsidP="009E4621">
            <w:pPr>
              <w:cnfStyle w:val="000000000000" w:firstRow="0" w:lastRow="0" w:firstColumn="0" w:lastColumn="0" w:oddVBand="0" w:evenVBand="0" w:oddHBand="0" w:evenHBand="0" w:firstRowFirstColumn="0" w:firstRowLastColumn="0" w:lastRowFirstColumn="0" w:lastRowLastColumn="0"/>
              <w:rPr>
                <w:szCs w:val="20"/>
              </w:rPr>
            </w:pPr>
          </w:p>
        </w:tc>
        <w:tc>
          <w:tcPr>
            <w:tcW w:w="0" w:type="auto"/>
            <w:hideMark/>
          </w:tcPr>
          <w:p w14:paraId="6AAA0915" w14:textId="77777777" w:rsidR="00C30E83" w:rsidRPr="00AA22F2" w:rsidRDefault="00C30E83" w:rsidP="009E4621">
            <w:pPr>
              <w:cnfStyle w:val="000000000000" w:firstRow="0" w:lastRow="0" w:firstColumn="0" w:lastColumn="0" w:oddVBand="0" w:evenVBand="0" w:oddHBand="0" w:evenHBand="0" w:firstRowFirstColumn="0" w:firstRowLastColumn="0" w:lastRowFirstColumn="0" w:lastRowLastColumn="0"/>
              <w:rPr>
                <w:szCs w:val="20"/>
              </w:rPr>
            </w:pPr>
            <w:r w:rsidRPr="00AA22F2">
              <w:rPr>
                <w:b/>
                <w:bCs/>
                <w:szCs w:val="20"/>
              </w:rPr>
              <w:t>Durée</w:t>
            </w:r>
          </w:p>
        </w:tc>
        <w:tc>
          <w:tcPr>
            <w:tcW w:w="0" w:type="auto"/>
            <w:hideMark/>
          </w:tcPr>
          <w:p w14:paraId="182B534E" w14:textId="77777777" w:rsidR="00C30E83" w:rsidRPr="00AA22F2" w:rsidRDefault="00C30E83" w:rsidP="009E4621">
            <w:pPr>
              <w:cnfStyle w:val="000000000000" w:firstRow="0" w:lastRow="0" w:firstColumn="0" w:lastColumn="0" w:oddVBand="0" w:evenVBand="0" w:oddHBand="0" w:evenHBand="0" w:firstRowFirstColumn="0" w:firstRowLastColumn="0" w:lastRowFirstColumn="0" w:lastRowLastColumn="0"/>
              <w:rPr>
                <w:szCs w:val="20"/>
              </w:rPr>
            </w:pPr>
            <w:r w:rsidRPr="00AA22F2">
              <w:rPr>
                <w:szCs w:val="20"/>
              </w:rPr>
              <w:t>Long terme.</w:t>
            </w:r>
          </w:p>
        </w:tc>
        <w:tc>
          <w:tcPr>
            <w:tcW w:w="0" w:type="auto"/>
            <w:hideMark/>
          </w:tcPr>
          <w:p w14:paraId="5127A7A9" w14:textId="77777777" w:rsidR="00C30E83" w:rsidRPr="00AA22F2" w:rsidRDefault="00C30E83" w:rsidP="009E4621">
            <w:pPr>
              <w:cnfStyle w:val="000000000000" w:firstRow="0" w:lastRow="0" w:firstColumn="0" w:lastColumn="0" w:oddVBand="0" w:evenVBand="0" w:oddHBand="0" w:evenHBand="0" w:firstRowFirstColumn="0" w:firstRowLastColumn="0" w:lastRowFirstColumn="0" w:lastRowLastColumn="0"/>
              <w:rPr>
                <w:szCs w:val="20"/>
              </w:rPr>
            </w:pPr>
            <w:r w:rsidRPr="00AA22F2">
              <w:rPr>
                <w:szCs w:val="20"/>
              </w:rPr>
              <w:t>Longue</w:t>
            </w:r>
          </w:p>
        </w:tc>
      </w:tr>
      <w:tr w:rsidR="00C30E83" w:rsidRPr="00462D38" w14:paraId="3A665288" w14:textId="77777777" w:rsidTr="005A7661">
        <w:tc>
          <w:tcPr>
            <w:cnfStyle w:val="001000000000" w:firstRow="0" w:lastRow="0" w:firstColumn="1" w:lastColumn="0" w:oddVBand="0" w:evenVBand="0" w:oddHBand="0" w:evenHBand="0" w:firstRowFirstColumn="0" w:firstRowLastColumn="0" w:lastRowFirstColumn="0" w:lastRowLastColumn="0"/>
            <w:tcW w:w="0" w:type="auto"/>
            <w:vMerge/>
            <w:hideMark/>
          </w:tcPr>
          <w:p w14:paraId="38715A18" w14:textId="77777777" w:rsidR="00C30E83" w:rsidRPr="00AA22F2" w:rsidRDefault="00C30E83" w:rsidP="009E4621">
            <w:pPr>
              <w:rPr>
                <w:szCs w:val="20"/>
              </w:rPr>
            </w:pPr>
          </w:p>
        </w:tc>
        <w:tc>
          <w:tcPr>
            <w:tcW w:w="0" w:type="auto"/>
            <w:vMerge/>
            <w:hideMark/>
          </w:tcPr>
          <w:p w14:paraId="6F9A0FE0" w14:textId="77777777" w:rsidR="00C30E83" w:rsidRPr="00AA22F2" w:rsidRDefault="00C30E83" w:rsidP="009E4621">
            <w:pPr>
              <w:cnfStyle w:val="000000000000" w:firstRow="0" w:lastRow="0" w:firstColumn="0" w:lastColumn="0" w:oddVBand="0" w:evenVBand="0" w:oddHBand="0" w:evenHBand="0" w:firstRowFirstColumn="0" w:firstRowLastColumn="0" w:lastRowFirstColumn="0" w:lastRowLastColumn="0"/>
              <w:rPr>
                <w:szCs w:val="20"/>
              </w:rPr>
            </w:pPr>
          </w:p>
        </w:tc>
        <w:tc>
          <w:tcPr>
            <w:tcW w:w="0" w:type="auto"/>
            <w:hideMark/>
          </w:tcPr>
          <w:p w14:paraId="045FF752" w14:textId="77777777" w:rsidR="00C30E83" w:rsidRPr="00AA22F2" w:rsidRDefault="00C30E83" w:rsidP="009E4621">
            <w:pPr>
              <w:cnfStyle w:val="000000000000" w:firstRow="0" w:lastRow="0" w:firstColumn="0" w:lastColumn="0" w:oddVBand="0" w:evenVBand="0" w:oddHBand="0" w:evenHBand="0" w:firstRowFirstColumn="0" w:firstRowLastColumn="0" w:lastRowFirstColumn="0" w:lastRowLastColumn="0"/>
              <w:rPr>
                <w:szCs w:val="20"/>
              </w:rPr>
            </w:pPr>
            <w:r w:rsidRPr="00AA22F2">
              <w:rPr>
                <w:b/>
                <w:bCs/>
                <w:szCs w:val="20"/>
              </w:rPr>
              <w:t>Fréquence</w:t>
            </w:r>
          </w:p>
        </w:tc>
        <w:tc>
          <w:tcPr>
            <w:tcW w:w="0" w:type="auto"/>
            <w:hideMark/>
          </w:tcPr>
          <w:p w14:paraId="709FAA7A" w14:textId="77777777" w:rsidR="00C30E83" w:rsidRPr="00AA22F2" w:rsidRDefault="00C30E83" w:rsidP="009E4621">
            <w:pPr>
              <w:cnfStyle w:val="000000000000" w:firstRow="0" w:lastRow="0" w:firstColumn="0" w:lastColumn="0" w:oddVBand="0" w:evenVBand="0" w:oddHBand="0" w:evenHBand="0" w:firstRowFirstColumn="0" w:firstRowLastColumn="0" w:lastRowFirstColumn="0" w:lastRowLastColumn="0"/>
              <w:rPr>
                <w:szCs w:val="20"/>
              </w:rPr>
            </w:pPr>
            <w:r w:rsidRPr="00AA22F2">
              <w:rPr>
                <w:szCs w:val="20"/>
              </w:rPr>
              <w:t>Permanente.</w:t>
            </w:r>
          </w:p>
        </w:tc>
        <w:tc>
          <w:tcPr>
            <w:tcW w:w="0" w:type="auto"/>
            <w:hideMark/>
          </w:tcPr>
          <w:p w14:paraId="385BF22C" w14:textId="77777777" w:rsidR="00C30E83" w:rsidRPr="00AA22F2" w:rsidRDefault="00C30E83" w:rsidP="009E4621">
            <w:pPr>
              <w:cnfStyle w:val="000000000000" w:firstRow="0" w:lastRow="0" w:firstColumn="0" w:lastColumn="0" w:oddVBand="0" w:evenVBand="0" w:oddHBand="0" w:evenHBand="0" w:firstRowFirstColumn="0" w:firstRowLastColumn="0" w:lastRowFirstColumn="0" w:lastRowLastColumn="0"/>
              <w:rPr>
                <w:szCs w:val="20"/>
              </w:rPr>
            </w:pPr>
            <w:r w:rsidRPr="00AA22F2">
              <w:rPr>
                <w:szCs w:val="20"/>
              </w:rPr>
              <w:t>Permanente</w:t>
            </w:r>
          </w:p>
        </w:tc>
      </w:tr>
      <w:tr w:rsidR="00C30E83" w:rsidRPr="00462D38" w14:paraId="71B9A2F7" w14:textId="77777777" w:rsidTr="009D1BBB">
        <w:tc>
          <w:tcPr>
            <w:cnfStyle w:val="001000000000" w:firstRow="0" w:lastRow="0" w:firstColumn="1" w:lastColumn="0" w:oddVBand="0" w:evenVBand="0" w:oddHBand="0" w:evenHBand="0" w:firstRowFirstColumn="0" w:firstRowLastColumn="0" w:lastRowFirstColumn="0" w:lastRowLastColumn="0"/>
            <w:tcW w:w="0" w:type="auto"/>
            <w:vMerge/>
            <w:hideMark/>
          </w:tcPr>
          <w:p w14:paraId="02790F5D" w14:textId="77777777" w:rsidR="00C30E83" w:rsidRPr="00AA22F2" w:rsidRDefault="00C30E83" w:rsidP="009E4621">
            <w:pPr>
              <w:rPr>
                <w:szCs w:val="20"/>
              </w:rPr>
            </w:pPr>
          </w:p>
        </w:tc>
        <w:tc>
          <w:tcPr>
            <w:tcW w:w="0" w:type="auto"/>
            <w:vMerge/>
            <w:hideMark/>
          </w:tcPr>
          <w:p w14:paraId="794F2219" w14:textId="77777777" w:rsidR="00C30E83" w:rsidRPr="00AA22F2" w:rsidRDefault="00C30E83" w:rsidP="009E4621">
            <w:pPr>
              <w:cnfStyle w:val="000000000000" w:firstRow="0" w:lastRow="0" w:firstColumn="0" w:lastColumn="0" w:oddVBand="0" w:evenVBand="0" w:oddHBand="0" w:evenHBand="0" w:firstRowFirstColumn="0" w:firstRowLastColumn="0" w:lastRowFirstColumn="0" w:lastRowLastColumn="0"/>
              <w:rPr>
                <w:szCs w:val="20"/>
              </w:rPr>
            </w:pPr>
          </w:p>
        </w:tc>
        <w:tc>
          <w:tcPr>
            <w:tcW w:w="0" w:type="auto"/>
            <w:shd w:val="clear" w:color="auto" w:fill="D9E2F3" w:themeFill="accent1" w:themeFillTint="33"/>
            <w:hideMark/>
          </w:tcPr>
          <w:p w14:paraId="6BDC0594" w14:textId="77777777" w:rsidR="00C30E83" w:rsidRPr="00AA22F2" w:rsidRDefault="00C30E83" w:rsidP="009E4621">
            <w:pPr>
              <w:cnfStyle w:val="000000000000" w:firstRow="0" w:lastRow="0" w:firstColumn="0" w:lastColumn="0" w:oddVBand="0" w:evenVBand="0" w:oddHBand="0" w:evenHBand="0" w:firstRowFirstColumn="0" w:firstRowLastColumn="0" w:lastRowFirstColumn="0" w:lastRowLastColumn="0"/>
              <w:rPr>
                <w:szCs w:val="20"/>
              </w:rPr>
            </w:pPr>
            <w:r w:rsidRPr="00AA22F2">
              <w:rPr>
                <w:b/>
                <w:bCs/>
                <w:szCs w:val="20"/>
              </w:rPr>
              <w:t>Intensité</w:t>
            </w:r>
          </w:p>
        </w:tc>
        <w:tc>
          <w:tcPr>
            <w:tcW w:w="0" w:type="auto"/>
            <w:shd w:val="clear" w:color="auto" w:fill="D9E2F3" w:themeFill="accent1" w:themeFillTint="33"/>
            <w:hideMark/>
          </w:tcPr>
          <w:p w14:paraId="72CEF047" w14:textId="77777777" w:rsidR="00C30E83" w:rsidRPr="00AA22F2" w:rsidRDefault="00C30E83" w:rsidP="009E4621">
            <w:pPr>
              <w:cnfStyle w:val="000000000000" w:firstRow="0" w:lastRow="0" w:firstColumn="0" w:lastColumn="0" w:oddVBand="0" w:evenVBand="0" w:oddHBand="0" w:evenHBand="0" w:firstRowFirstColumn="0" w:firstRowLastColumn="0" w:lastRowFirstColumn="0" w:lastRowLastColumn="0"/>
              <w:rPr>
                <w:szCs w:val="20"/>
              </w:rPr>
            </w:pPr>
            <w:r w:rsidRPr="00AA22F2">
              <w:rPr>
                <w:szCs w:val="20"/>
              </w:rPr>
              <w:t>Forte (impact constant sur les usagers).</w:t>
            </w:r>
          </w:p>
        </w:tc>
        <w:tc>
          <w:tcPr>
            <w:tcW w:w="0" w:type="auto"/>
            <w:shd w:val="clear" w:color="auto" w:fill="D9E2F3" w:themeFill="accent1" w:themeFillTint="33"/>
            <w:hideMark/>
          </w:tcPr>
          <w:p w14:paraId="07E4DB31" w14:textId="77777777" w:rsidR="00C30E83" w:rsidRPr="00AA22F2" w:rsidRDefault="00C30E83" w:rsidP="009E4621">
            <w:pPr>
              <w:cnfStyle w:val="000000000000" w:firstRow="0" w:lastRow="0" w:firstColumn="0" w:lastColumn="0" w:oddVBand="0" w:evenVBand="0" w:oddHBand="0" w:evenHBand="0" w:firstRowFirstColumn="0" w:firstRowLastColumn="0" w:lastRowFirstColumn="0" w:lastRowLastColumn="0"/>
              <w:rPr>
                <w:szCs w:val="20"/>
              </w:rPr>
            </w:pPr>
            <w:r w:rsidRPr="00AA22F2">
              <w:rPr>
                <w:szCs w:val="20"/>
              </w:rPr>
              <w:t>Forte</w:t>
            </w:r>
          </w:p>
        </w:tc>
      </w:tr>
      <w:tr w:rsidR="00C30E83" w:rsidRPr="00462D38" w14:paraId="196DCA5B" w14:textId="77777777" w:rsidTr="005A7661">
        <w:tc>
          <w:tcPr>
            <w:cnfStyle w:val="001000000000" w:firstRow="0" w:lastRow="0" w:firstColumn="1" w:lastColumn="0" w:oddVBand="0" w:evenVBand="0" w:oddHBand="0" w:evenHBand="0" w:firstRowFirstColumn="0" w:firstRowLastColumn="0" w:lastRowFirstColumn="0" w:lastRowLastColumn="0"/>
            <w:tcW w:w="0" w:type="auto"/>
            <w:vMerge/>
          </w:tcPr>
          <w:p w14:paraId="3AEAAA27" w14:textId="77777777" w:rsidR="00C30E83" w:rsidRPr="00AA22F2" w:rsidRDefault="00C30E83" w:rsidP="009E4621">
            <w:pPr>
              <w:rPr>
                <w:b w:val="0"/>
                <w:bCs w:val="0"/>
                <w:szCs w:val="20"/>
              </w:rPr>
            </w:pPr>
          </w:p>
        </w:tc>
        <w:tc>
          <w:tcPr>
            <w:tcW w:w="0" w:type="auto"/>
            <w:gridSpan w:val="4"/>
          </w:tcPr>
          <w:p w14:paraId="0990F759" w14:textId="77777777" w:rsidR="00C30E83" w:rsidRPr="00AA22F2" w:rsidRDefault="00C30E83" w:rsidP="004637C7">
            <w:pPr>
              <w:spacing w:before="0" w:after="0"/>
              <w:cnfStyle w:val="000000000000" w:firstRow="0" w:lastRow="0" w:firstColumn="0" w:lastColumn="0" w:oddVBand="0" w:evenVBand="0" w:oddHBand="0" w:evenHBand="0" w:firstRowFirstColumn="0" w:firstRowLastColumn="0" w:lastRowFirstColumn="0" w:lastRowLastColumn="0"/>
              <w:rPr>
                <w:szCs w:val="20"/>
              </w:rPr>
            </w:pPr>
          </w:p>
        </w:tc>
      </w:tr>
      <w:tr w:rsidR="00C30E83" w:rsidRPr="00462D38" w14:paraId="66941373" w14:textId="77777777" w:rsidTr="005A7661">
        <w:tc>
          <w:tcPr>
            <w:cnfStyle w:val="001000000000" w:firstRow="0" w:lastRow="0" w:firstColumn="1" w:lastColumn="0" w:oddVBand="0" w:evenVBand="0" w:oddHBand="0" w:evenHBand="0" w:firstRowFirstColumn="0" w:firstRowLastColumn="0" w:lastRowFirstColumn="0" w:lastRowLastColumn="0"/>
            <w:tcW w:w="0" w:type="auto"/>
            <w:vMerge/>
          </w:tcPr>
          <w:p w14:paraId="3FE1CA47" w14:textId="77777777" w:rsidR="00C30E83" w:rsidRPr="00AA22F2" w:rsidRDefault="00C30E83" w:rsidP="009D1BBB">
            <w:pPr>
              <w:rPr>
                <w:b w:val="0"/>
                <w:bCs w:val="0"/>
                <w:szCs w:val="20"/>
              </w:rPr>
            </w:pPr>
          </w:p>
        </w:tc>
        <w:tc>
          <w:tcPr>
            <w:tcW w:w="0" w:type="auto"/>
            <w:shd w:val="clear" w:color="auto" w:fill="8EAADB" w:themeFill="accent1" w:themeFillTint="99"/>
            <w:vAlign w:val="center"/>
          </w:tcPr>
          <w:p w14:paraId="5419D4C4" w14:textId="36766AAC" w:rsidR="00C30E83" w:rsidRPr="00AA22F2" w:rsidRDefault="00C30E83" w:rsidP="009D1BBB">
            <w:pPr>
              <w:cnfStyle w:val="000000000000" w:firstRow="0" w:lastRow="0" w:firstColumn="0" w:lastColumn="0" w:oddVBand="0" w:evenVBand="0" w:oddHBand="0" w:evenHBand="0" w:firstRowFirstColumn="0" w:firstRowLastColumn="0" w:lastRowFirstColumn="0" w:lastRowLastColumn="0"/>
              <w:rPr>
                <w:szCs w:val="20"/>
              </w:rPr>
            </w:pPr>
            <w:r w:rsidRPr="00462D38">
              <w:rPr>
                <w:rFonts w:asciiTheme="minorHAnsi" w:hAnsiTheme="minorHAnsi" w:cstheme="minorHAnsi"/>
                <w:b/>
                <w:bCs/>
                <w:szCs w:val="20"/>
              </w:rPr>
              <w:t>Intensité de l’impact</w:t>
            </w:r>
          </w:p>
        </w:tc>
        <w:tc>
          <w:tcPr>
            <w:tcW w:w="0" w:type="auto"/>
            <w:shd w:val="clear" w:color="auto" w:fill="8EAADB" w:themeFill="accent1" w:themeFillTint="99"/>
            <w:vAlign w:val="center"/>
          </w:tcPr>
          <w:p w14:paraId="7E044E46" w14:textId="77E72445" w:rsidR="00C30E83" w:rsidRPr="00AA22F2" w:rsidRDefault="00C30E83" w:rsidP="009D1BBB">
            <w:pPr>
              <w:cnfStyle w:val="000000000000" w:firstRow="0" w:lastRow="0" w:firstColumn="0" w:lastColumn="0" w:oddVBand="0" w:evenVBand="0" w:oddHBand="0" w:evenHBand="0" w:firstRowFirstColumn="0" w:firstRowLastColumn="0" w:lastRowFirstColumn="0" w:lastRowLastColumn="0"/>
              <w:rPr>
                <w:b/>
                <w:bCs/>
                <w:szCs w:val="20"/>
              </w:rPr>
            </w:pPr>
            <w:r w:rsidRPr="00462D38">
              <w:rPr>
                <w:rFonts w:asciiTheme="minorHAnsi" w:hAnsiTheme="minorHAnsi" w:cstheme="minorHAnsi"/>
                <w:b/>
                <w:bCs/>
                <w:szCs w:val="20"/>
              </w:rPr>
              <w:t>Récepteurs</w:t>
            </w:r>
          </w:p>
        </w:tc>
        <w:tc>
          <w:tcPr>
            <w:tcW w:w="0" w:type="auto"/>
            <w:shd w:val="clear" w:color="auto" w:fill="8EAADB" w:themeFill="accent1" w:themeFillTint="99"/>
            <w:vAlign w:val="center"/>
          </w:tcPr>
          <w:p w14:paraId="063BC2ED" w14:textId="79675875" w:rsidR="00C30E83" w:rsidRPr="00AA22F2" w:rsidRDefault="00C30E83" w:rsidP="009D1BBB">
            <w:pPr>
              <w:cnfStyle w:val="000000000000" w:firstRow="0" w:lastRow="0" w:firstColumn="0" w:lastColumn="0" w:oddVBand="0" w:evenVBand="0" w:oddHBand="0" w:evenHBand="0" w:firstRowFirstColumn="0" w:firstRowLastColumn="0" w:lastRowFirstColumn="0" w:lastRowLastColumn="0"/>
              <w:rPr>
                <w:szCs w:val="20"/>
              </w:rPr>
            </w:pPr>
            <w:r w:rsidRPr="00462D38">
              <w:rPr>
                <w:rFonts w:asciiTheme="minorHAnsi" w:hAnsiTheme="minorHAnsi" w:cstheme="minorHAnsi"/>
                <w:b/>
                <w:bCs/>
                <w:szCs w:val="20"/>
              </w:rPr>
              <w:t>Sensibilité</w:t>
            </w:r>
          </w:p>
        </w:tc>
        <w:tc>
          <w:tcPr>
            <w:tcW w:w="0" w:type="auto"/>
            <w:shd w:val="clear" w:color="auto" w:fill="8EAADB" w:themeFill="accent1" w:themeFillTint="99"/>
            <w:vAlign w:val="center"/>
          </w:tcPr>
          <w:p w14:paraId="3DB1BC5D" w14:textId="0CB98834" w:rsidR="00C30E83" w:rsidRPr="00AA22F2" w:rsidRDefault="00C30E83" w:rsidP="009D1BBB">
            <w:pPr>
              <w:cnfStyle w:val="000000000000" w:firstRow="0" w:lastRow="0" w:firstColumn="0" w:lastColumn="0" w:oddVBand="0" w:evenVBand="0" w:oddHBand="0" w:evenHBand="0" w:firstRowFirstColumn="0" w:firstRowLastColumn="0" w:lastRowFirstColumn="0" w:lastRowLastColumn="0"/>
              <w:rPr>
                <w:szCs w:val="20"/>
              </w:rPr>
            </w:pPr>
            <w:r w:rsidRPr="00462D38">
              <w:rPr>
                <w:rFonts w:asciiTheme="minorHAnsi" w:hAnsiTheme="minorHAnsi" w:cstheme="minorHAnsi"/>
                <w:b/>
                <w:bCs/>
                <w:szCs w:val="20"/>
              </w:rPr>
              <w:t>Importance de l’impact</w:t>
            </w:r>
          </w:p>
        </w:tc>
      </w:tr>
      <w:tr w:rsidR="00C30E83" w:rsidRPr="00462D38" w14:paraId="0A256C20" w14:textId="77777777" w:rsidTr="005A7661">
        <w:tc>
          <w:tcPr>
            <w:cnfStyle w:val="001000000000" w:firstRow="0" w:lastRow="0" w:firstColumn="1" w:lastColumn="0" w:oddVBand="0" w:evenVBand="0" w:oddHBand="0" w:evenHBand="0" w:firstRowFirstColumn="0" w:firstRowLastColumn="0" w:lastRowFirstColumn="0" w:lastRowLastColumn="0"/>
            <w:tcW w:w="0" w:type="auto"/>
            <w:vMerge/>
          </w:tcPr>
          <w:p w14:paraId="4A9A2711" w14:textId="77777777" w:rsidR="00C30E83" w:rsidRPr="00AA22F2" w:rsidRDefault="00C30E83" w:rsidP="009D1BBB">
            <w:pPr>
              <w:rPr>
                <w:b w:val="0"/>
                <w:bCs w:val="0"/>
                <w:szCs w:val="20"/>
              </w:rPr>
            </w:pPr>
          </w:p>
        </w:tc>
        <w:tc>
          <w:tcPr>
            <w:tcW w:w="0" w:type="auto"/>
            <w:vAlign w:val="center"/>
          </w:tcPr>
          <w:p w14:paraId="16D99EA8" w14:textId="419F92DB" w:rsidR="00C30E83" w:rsidRPr="00462D38" w:rsidRDefault="00C30E83" w:rsidP="009D1BBB">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Cs w:val="20"/>
              </w:rPr>
            </w:pPr>
            <w:r w:rsidRPr="00462D38">
              <w:rPr>
                <w:rFonts w:asciiTheme="minorHAnsi" w:hAnsiTheme="minorHAnsi" w:cstheme="minorHAnsi"/>
                <w:b/>
                <w:bCs/>
                <w:szCs w:val="20"/>
              </w:rPr>
              <w:t>Forte</w:t>
            </w:r>
          </w:p>
        </w:tc>
        <w:tc>
          <w:tcPr>
            <w:tcW w:w="0" w:type="auto"/>
            <w:vAlign w:val="center"/>
          </w:tcPr>
          <w:p w14:paraId="35A84097" w14:textId="20D2AC35" w:rsidR="00C30E83" w:rsidRPr="00462D38" w:rsidRDefault="00C30E83" w:rsidP="009D1BBB">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Cs w:val="20"/>
              </w:rPr>
            </w:pPr>
            <w:r w:rsidRPr="00AA22F2">
              <w:rPr>
                <w:szCs w:val="20"/>
              </w:rPr>
              <w:t>Passagers, visiteurs, personnels de service.</w:t>
            </w:r>
          </w:p>
        </w:tc>
        <w:tc>
          <w:tcPr>
            <w:tcW w:w="0" w:type="auto"/>
            <w:vAlign w:val="center"/>
          </w:tcPr>
          <w:p w14:paraId="12C2A51E" w14:textId="2912165B" w:rsidR="00C30E83" w:rsidRPr="00462D38" w:rsidRDefault="00C30E83" w:rsidP="009D1BBB">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Cs w:val="20"/>
              </w:rPr>
            </w:pPr>
            <w:r w:rsidRPr="00462D38">
              <w:rPr>
                <w:rFonts w:asciiTheme="minorHAnsi" w:hAnsiTheme="minorHAnsi" w:cstheme="minorHAnsi"/>
                <w:b/>
                <w:bCs/>
                <w:szCs w:val="20"/>
              </w:rPr>
              <w:t>Forte</w:t>
            </w:r>
            <w:r w:rsidR="009B12AC" w:rsidRPr="00462D38">
              <w:rPr>
                <w:rFonts w:asciiTheme="minorHAnsi" w:hAnsiTheme="minorHAnsi" w:cstheme="minorHAnsi"/>
                <w:b/>
                <w:bCs/>
                <w:szCs w:val="20"/>
              </w:rPr>
              <w:t> :</w:t>
            </w:r>
            <w:r w:rsidR="009B12AC" w:rsidRPr="004637C7">
              <w:rPr>
                <w:rFonts w:asciiTheme="minorHAnsi" w:hAnsiTheme="minorHAnsi" w:cstheme="minorHAnsi"/>
                <w:szCs w:val="20"/>
              </w:rPr>
              <w:t xml:space="preserve"> </w:t>
            </w:r>
            <w:r w:rsidR="00564E05" w:rsidRPr="004637C7">
              <w:rPr>
                <w:rFonts w:asciiTheme="minorHAnsi" w:hAnsiTheme="minorHAnsi" w:cstheme="minorHAnsi"/>
                <w:szCs w:val="20"/>
              </w:rPr>
              <w:t>impact constant sur les usagers.</w:t>
            </w:r>
          </w:p>
        </w:tc>
        <w:tc>
          <w:tcPr>
            <w:tcW w:w="0" w:type="auto"/>
            <w:vAlign w:val="center"/>
          </w:tcPr>
          <w:p w14:paraId="50453595" w14:textId="68F873C7" w:rsidR="00C30E83" w:rsidRPr="00462D38" w:rsidRDefault="00C30E83" w:rsidP="009D1BBB">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Cs w:val="20"/>
              </w:rPr>
            </w:pPr>
            <w:r w:rsidRPr="00462D38">
              <w:rPr>
                <w:rFonts w:asciiTheme="minorHAnsi" w:hAnsiTheme="minorHAnsi" w:cstheme="minorHAnsi"/>
                <w:b/>
                <w:bCs/>
                <w:szCs w:val="20"/>
              </w:rPr>
              <w:t>Majeure</w:t>
            </w:r>
          </w:p>
        </w:tc>
      </w:tr>
    </w:tbl>
    <w:p w14:paraId="0F9A2169" w14:textId="228A44FD" w:rsidR="008922C5" w:rsidRDefault="008922C5" w:rsidP="0001633E">
      <w:pPr>
        <w:pStyle w:val="AltTitle2"/>
        <w:numPr>
          <w:ilvl w:val="0"/>
          <w:numId w:val="106"/>
        </w:numPr>
      </w:pPr>
      <w:r>
        <w:rPr>
          <w:rStyle w:val="lev"/>
          <w:b/>
          <w:bCs w:val="0"/>
        </w:rPr>
        <w:t xml:space="preserve"> Transfert technologique et montée en compétence institutionnelle</w:t>
      </w:r>
    </w:p>
    <w:p w14:paraId="037EB431" w14:textId="5B402C39" w:rsidR="007D0E95" w:rsidRPr="004637C7" w:rsidRDefault="007D0E95" w:rsidP="007D0E95">
      <w:r w:rsidRPr="004637C7">
        <w:t>L’introduction d’équipements modernes de sûreté (EDS, RX, ETD, body-scan) et de systèmes automatisés d’exploitation favorisera le transfert de compétences techniques des prestataires régionaux. Cet impact est positif et indirect, d’intensité m</w:t>
      </w:r>
      <w:r>
        <w:t>oyenne</w:t>
      </w:r>
      <w:r w:rsidRPr="004637C7">
        <w:t>, de durée longue et d’étendue nationale, car il profitera à d’autres plateformes aéroportuaires marocaines.</w:t>
      </w:r>
    </w:p>
    <w:p w14:paraId="04D05110" w14:textId="006F27D3" w:rsidR="00F10D44" w:rsidRDefault="007D0E95" w:rsidP="007D0E95">
      <w:r w:rsidRPr="004637C7">
        <w:t>Les récepteurs sont le personnel technique, les responsables de maintenance et les institutions de formation régionales, dont la sensibilité est moyenne, car ils disposent d’un socle de compétences qu’il convient d’actualiser. L’impact est d’importance modérée, car il contribue à la modernisation du secteur aérien national, à l’amélioration de la sécurité et à la diffusion de bonnes pratiques dans la gestion des infrastructures publiques.</w:t>
      </w:r>
    </w:p>
    <w:tbl>
      <w:tblPr>
        <w:tblStyle w:val="TableauGrille1Clair-Accentuation111"/>
        <w:tblW w:w="0" w:type="auto"/>
        <w:tblLook w:val="04A0" w:firstRow="1" w:lastRow="0" w:firstColumn="1" w:lastColumn="0" w:noHBand="0" w:noVBand="1"/>
      </w:tblPr>
      <w:tblGrid>
        <w:gridCol w:w="792"/>
        <w:gridCol w:w="2524"/>
        <w:gridCol w:w="1962"/>
        <w:gridCol w:w="2334"/>
        <w:gridCol w:w="1448"/>
      </w:tblGrid>
      <w:tr w:rsidR="000F2AA7" w:rsidRPr="00462D38" w14:paraId="5C7058C0" w14:textId="77777777" w:rsidTr="004637C7">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0" w:type="auto"/>
            <w:hideMark/>
          </w:tcPr>
          <w:p w14:paraId="7C1E2941" w14:textId="77777777" w:rsidR="009E4621" w:rsidRPr="00AA22F2" w:rsidRDefault="009E4621" w:rsidP="009E4621">
            <w:pPr>
              <w:rPr>
                <w:szCs w:val="20"/>
              </w:rPr>
            </w:pPr>
            <w:r w:rsidRPr="00AA22F2">
              <w:rPr>
                <w:szCs w:val="20"/>
              </w:rPr>
              <w:t>Impact</w:t>
            </w:r>
          </w:p>
        </w:tc>
        <w:tc>
          <w:tcPr>
            <w:tcW w:w="0" w:type="auto"/>
            <w:hideMark/>
          </w:tcPr>
          <w:p w14:paraId="2C2196AE" w14:textId="77777777" w:rsidR="009E4621" w:rsidRPr="00AA22F2" w:rsidRDefault="009E4621" w:rsidP="009E4621">
            <w:pPr>
              <w:cnfStyle w:val="100000000000" w:firstRow="1" w:lastRow="0" w:firstColumn="0" w:lastColumn="0" w:oddVBand="0" w:evenVBand="0" w:oddHBand="0" w:evenHBand="0" w:firstRowFirstColumn="0" w:firstRowLastColumn="0" w:lastRowFirstColumn="0" w:lastRowLastColumn="0"/>
              <w:rPr>
                <w:szCs w:val="20"/>
              </w:rPr>
            </w:pPr>
            <w:r w:rsidRPr="00AA22F2">
              <w:rPr>
                <w:szCs w:val="20"/>
              </w:rPr>
              <w:t>Activités génératrices</w:t>
            </w:r>
          </w:p>
        </w:tc>
        <w:tc>
          <w:tcPr>
            <w:tcW w:w="0" w:type="auto"/>
            <w:hideMark/>
          </w:tcPr>
          <w:p w14:paraId="1F9E52A0" w14:textId="77777777" w:rsidR="009E4621" w:rsidRPr="00AA22F2" w:rsidRDefault="009E4621" w:rsidP="009E4621">
            <w:pPr>
              <w:cnfStyle w:val="100000000000" w:firstRow="1" w:lastRow="0" w:firstColumn="0" w:lastColumn="0" w:oddVBand="0" w:evenVBand="0" w:oddHBand="0" w:evenHBand="0" w:firstRowFirstColumn="0" w:firstRowLastColumn="0" w:lastRowFirstColumn="0" w:lastRowLastColumn="0"/>
              <w:rPr>
                <w:szCs w:val="20"/>
              </w:rPr>
            </w:pPr>
            <w:r w:rsidRPr="00AA22F2">
              <w:rPr>
                <w:szCs w:val="20"/>
              </w:rPr>
              <w:t>Critère</w:t>
            </w:r>
          </w:p>
        </w:tc>
        <w:tc>
          <w:tcPr>
            <w:tcW w:w="0" w:type="auto"/>
            <w:hideMark/>
          </w:tcPr>
          <w:p w14:paraId="17D48D8F" w14:textId="77777777" w:rsidR="009E4621" w:rsidRPr="00AA22F2" w:rsidRDefault="009E4621" w:rsidP="009E4621">
            <w:pPr>
              <w:cnfStyle w:val="100000000000" w:firstRow="1" w:lastRow="0" w:firstColumn="0" w:lastColumn="0" w:oddVBand="0" w:evenVBand="0" w:oddHBand="0" w:evenHBand="0" w:firstRowFirstColumn="0" w:firstRowLastColumn="0" w:lastRowFirstColumn="0" w:lastRowLastColumn="0"/>
              <w:rPr>
                <w:szCs w:val="20"/>
              </w:rPr>
            </w:pPr>
            <w:r w:rsidRPr="00AA22F2">
              <w:rPr>
                <w:szCs w:val="20"/>
              </w:rPr>
              <w:t>Justification</w:t>
            </w:r>
          </w:p>
        </w:tc>
        <w:tc>
          <w:tcPr>
            <w:tcW w:w="0" w:type="auto"/>
            <w:hideMark/>
          </w:tcPr>
          <w:p w14:paraId="50475AB9" w14:textId="77777777" w:rsidR="009E4621" w:rsidRPr="00AA22F2" w:rsidRDefault="009E4621" w:rsidP="009E4621">
            <w:pPr>
              <w:cnfStyle w:val="100000000000" w:firstRow="1" w:lastRow="0" w:firstColumn="0" w:lastColumn="0" w:oddVBand="0" w:evenVBand="0" w:oddHBand="0" w:evenHBand="0" w:firstRowFirstColumn="0" w:firstRowLastColumn="0" w:lastRowFirstColumn="0" w:lastRowLastColumn="0"/>
              <w:rPr>
                <w:szCs w:val="20"/>
              </w:rPr>
            </w:pPr>
            <w:r w:rsidRPr="00AA22F2">
              <w:rPr>
                <w:szCs w:val="20"/>
              </w:rPr>
              <w:t>Niveau</w:t>
            </w:r>
          </w:p>
        </w:tc>
      </w:tr>
      <w:tr w:rsidR="000F2AA7" w:rsidRPr="00462D38" w14:paraId="4C70EF0A" w14:textId="77777777" w:rsidTr="004637C7">
        <w:tc>
          <w:tcPr>
            <w:cnfStyle w:val="001000000000" w:firstRow="0" w:lastRow="0" w:firstColumn="1" w:lastColumn="0" w:oddVBand="0" w:evenVBand="0" w:oddHBand="0" w:evenHBand="0" w:firstRowFirstColumn="0" w:firstRowLastColumn="0" w:lastRowFirstColumn="0" w:lastRowLastColumn="0"/>
            <w:tcW w:w="0" w:type="auto"/>
            <w:vMerge w:val="restart"/>
            <w:textDirection w:val="btLr"/>
            <w:hideMark/>
          </w:tcPr>
          <w:p w14:paraId="5D09AD04" w14:textId="77777777" w:rsidR="000F2AA7" w:rsidRPr="00AA22F2" w:rsidRDefault="000F2AA7" w:rsidP="004637C7">
            <w:pPr>
              <w:ind w:left="113" w:right="113"/>
              <w:rPr>
                <w:szCs w:val="20"/>
              </w:rPr>
            </w:pPr>
            <w:r w:rsidRPr="00AA22F2">
              <w:rPr>
                <w:szCs w:val="20"/>
              </w:rPr>
              <w:t>Transfert technologique et montée en compétence institutionnelle</w:t>
            </w:r>
          </w:p>
        </w:tc>
        <w:tc>
          <w:tcPr>
            <w:tcW w:w="0" w:type="auto"/>
            <w:vMerge w:val="restart"/>
            <w:vAlign w:val="center"/>
            <w:hideMark/>
          </w:tcPr>
          <w:p w14:paraId="573F688A" w14:textId="77777777" w:rsidR="000F2AA7" w:rsidRPr="00AA22F2" w:rsidRDefault="000F2AA7" w:rsidP="004637C7">
            <w:pPr>
              <w:jc w:val="left"/>
              <w:cnfStyle w:val="000000000000" w:firstRow="0" w:lastRow="0" w:firstColumn="0" w:lastColumn="0" w:oddVBand="0" w:evenVBand="0" w:oddHBand="0" w:evenHBand="0" w:firstRowFirstColumn="0" w:firstRowLastColumn="0" w:lastRowFirstColumn="0" w:lastRowLastColumn="0"/>
              <w:rPr>
                <w:szCs w:val="20"/>
              </w:rPr>
            </w:pPr>
            <w:r w:rsidRPr="00AA22F2">
              <w:rPr>
                <w:szCs w:val="20"/>
              </w:rPr>
              <w:t>Exploitation d’équipements de sûreté et systèmes automatisés</w:t>
            </w:r>
          </w:p>
        </w:tc>
        <w:tc>
          <w:tcPr>
            <w:tcW w:w="0" w:type="auto"/>
            <w:hideMark/>
          </w:tcPr>
          <w:p w14:paraId="369A5A2A" w14:textId="77777777" w:rsidR="000F2AA7" w:rsidRPr="00AA22F2" w:rsidRDefault="000F2AA7" w:rsidP="009E4621">
            <w:pPr>
              <w:cnfStyle w:val="000000000000" w:firstRow="0" w:lastRow="0" w:firstColumn="0" w:lastColumn="0" w:oddVBand="0" w:evenVBand="0" w:oddHBand="0" w:evenHBand="0" w:firstRowFirstColumn="0" w:firstRowLastColumn="0" w:lastRowFirstColumn="0" w:lastRowLastColumn="0"/>
              <w:rPr>
                <w:szCs w:val="20"/>
              </w:rPr>
            </w:pPr>
            <w:r w:rsidRPr="00AA22F2">
              <w:rPr>
                <w:b/>
                <w:bCs/>
                <w:szCs w:val="20"/>
              </w:rPr>
              <w:t>Nature</w:t>
            </w:r>
          </w:p>
        </w:tc>
        <w:tc>
          <w:tcPr>
            <w:tcW w:w="0" w:type="auto"/>
            <w:gridSpan w:val="2"/>
            <w:hideMark/>
          </w:tcPr>
          <w:p w14:paraId="3F376D82" w14:textId="1D8B6791" w:rsidR="000F2AA7" w:rsidRPr="00AA22F2" w:rsidRDefault="000F2AA7" w:rsidP="009E4621">
            <w:pPr>
              <w:cnfStyle w:val="000000000000" w:firstRow="0" w:lastRow="0" w:firstColumn="0" w:lastColumn="0" w:oddVBand="0" w:evenVBand="0" w:oddHBand="0" w:evenHBand="0" w:firstRowFirstColumn="0" w:firstRowLastColumn="0" w:lastRowFirstColumn="0" w:lastRowLastColumn="0"/>
              <w:rPr>
                <w:szCs w:val="20"/>
              </w:rPr>
            </w:pPr>
            <w:r w:rsidRPr="00AA22F2">
              <w:rPr>
                <w:szCs w:val="20"/>
              </w:rPr>
              <w:t xml:space="preserve">Positif et indirect </w:t>
            </w:r>
          </w:p>
        </w:tc>
      </w:tr>
      <w:tr w:rsidR="000F2AA7" w:rsidRPr="00462D38" w14:paraId="5F2AD9E9" w14:textId="77777777" w:rsidTr="005A7661">
        <w:tc>
          <w:tcPr>
            <w:cnfStyle w:val="001000000000" w:firstRow="0" w:lastRow="0" w:firstColumn="1" w:lastColumn="0" w:oddVBand="0" w:evenVBand="0" w:oddHBand="0" w:evenHBand="0" w:firstRowFirstColumn="0" w:firstRowLastColumn="0" w:lastRowFirstColumn="0" w:lastRowLastColumn="0"/>
            <w:tcW w:w="0" w:type="auto"/>
            <w:vMerge/>
            <w:hideMark/>
          </w:tcPr>
          <w:p w14:paraId="238F322B" w14:textId="77777777" w:rsidR="000F2AA7" w:rsidRPr="00AA22F2" w:rsidRDefault="000F2AA7" w:rsidP="009E4621">
            <w:pPr>
              <w:rPr>
                <w:szCs w:val="20"/>
              </w:rPr>
            </w:pPr>
          </w:p>
        </w:tc>
        <w:tc>
          <w:tcPr>
            <w:tcW w:w="0" w:type="auto"/>
            <w:vMerge/>
            <w:hideMark/>
          </w:tcPr>
          <w:p w14:paraId="478465CD" w14:textId="77777777" w:rsidR="000F2AA7" w:rsidRPr="00AA22F2" w:rsidRDefault="000F2AA7" w:rsidP="009E4621">
            <w:pPr>
              <w:cnfStyle w:val="000000000000" w:firstRow="0" w:lastRow="0" w:firstColumn="0" w:lastColumn="0" w:oddVBand="0" w:evenVBand="0" w:oddHBand="0" w:evenHBand="0" w:firstRowFirstColumn="0" w:firstRowLastColumn="0" w:lastRowFirstColumn="0" w:lastRowLastColumn="0"/>
              <w:rPr>
                <w:szCs w:val="20"/>
              </w:rPr>
            </w:pPr>
          </w:p>
        </w:tc>
        <w:tc>
          <w:tcPr>
            <w:tcW w:w="0" w:type="auto"/>
            <w:hideMark/>
          </w:tcPr>
          <w:p w14:paraId="3D423C92" w14:textId="77777777" w:rsidR="000F2AA7" w:rsidRPr="00AA22F2" w:rsidRDefault="000F2AA7" w:rsidP="009E4621">
            <w:pPr>
              <w:cnfStyle w:val="000000000000" w:firstRow="0" w:lastRow="0" w:firstColumn="0" w:lastColumn="0" w:oddVBand="0" w:evenVBand="0" w:oddHBand="0" w:evenHBand="0" w:firstRowFirstColumn="0" w:firstRowLastColumn="0" w:lastRowFirstColumn="0" w:lastRowLastColumn="0"/>
              <w:rPr>
                <w:szCs w:val="20"/>
              </w:rPr>
            </w:pPr>
            <w:r w:rsidRPr="00AA22F2">
              <w:rPr>
                <w:b/>
                <w:bCs/>
                <w:szCs w:val="20"/>
              </w:rPr>
              <w:t>Étendue</w:t>
            </w:r>
          </w:p>
        </w:tc>
        <w:tc>
          <w:tcPr>
            <w:tcW w:w="0" w:type="auto"/>
            <w:hideMark/>
          </w:tcPr>
          <w:p w14:paraId="311A7160" w14:textId="15E72BD5" w:rsidR="000F2AA7" w:rsidRPr="00AA22F2" w:rsidRDefault="000F2AA7" w:rsidP="009E4621">
            <w:pPr>
              <w:cnfStyle w:val="000000000000" w:firstRow="0" w:lastRow="0" w:firstColumn="0" w:lastColumn="0" w:oddVBand="0" w:evenVBand="0" w:oddHBand="0" w:evenHBand="0" w:firstRowFirstColumn="0" w:firstRowLastColumn="0" w:lastRowFirstColumn="0" w:lastRowLastColumn="0"/>
              <w:rPr>
                <w:szCs w:val="20"/>
              </w:rPr>
            </w:pPr>
            <w:r w:rsidRPr="00AA22F2">
              <w:rPr>
                <w:szCs w:val="20"/>
              </w:rPr>
              <w:t>Les bonnes pratiques pouvant être répliquées ailleurs.</w:t>
            </w:r>
          </w:p>
        </w:tc>
        <w:tc>
          <w:tcPr>
            <w:tcW w:w="0" w:type="auto"/>
            <w:hideMark/>
          </w:tcPr>
          <w:p w14:paraId="5E7C3C86" w14:textId="494D63BC" w:rsidR="000F2AA7" w:rsidRPr="00AA22F2" w:rsidRDefault="000F2AA7" w:rsidP="009E4621">
            <w:pPr>
              <w:cnfStyle w:val="000000000000" w:firstRow="0" w:lastRow="0" w:firstColumn="0" w:lastColumn="0" w:oddVBand="0" w:evenVBand="0" w:oddHBand="0" w:evenHBand="0" w:firstRowFirstColumn="0" w:firstRowLastColumn="0" w:lastRowFirstColumn="0" w:lastRowLastColumn="0"/>
              <w:rPr>
                <w:szCs w:val="20"/>
              </w:rPr>
            </w:pPr>
            <w:r w:rsidRPr="00AA22F2">
              <w:rPr>
                <w:szCs w:val="20"/>
              </w:rPr>
              <w:t>Nationale</w:t>
            </w:r>
          </w:p>
        </w:tc>
      </w:tr>
      <w:tr w:rsidR="000F2AA7" w:rsidRPr="00462D38" w14:paraId="04A08FB2" w14:textId="77777777" w:rsidTr="005A7661">
        <w:tc>
          <w:tcPr>
            <w:cnfStyle w:val="001000000000" w:firstRow="0" w:lastRow="0" w:firstColumn="1" w:lastColumn="0" w:oddVBand="0" w:evenVBand="0" w:oddHBand="0" w:evenHBand="0" w:firstRowFirstColumn="0" w:firstRowLastColumn="0" w:lastRowFirstColumn="0" w:lastRowLastColumn="0"/>
            <w:tcW w:w="0" w:type="auto"/>
            <w:vMerge/>
            <w:hideMark/>
          </w:tcPr>
          <w:p w14:paraId="09F6BBCE" w14:textId="77777777" w:rsidR="000F2AA7" w:rsidRPr="00AA22F2" w:rsidRDefault="000F2AA7" w:rsidP="009E4621">
            <w:pPr>
              <w:rPr>
                <w:szCs w:val="20"/>
              </w:rPr>
            </w:pPr>
          </w:p>
        </w:tc>
        <w:tc>
          <w:tcPr>
            <w:tcW w:w="0" w:type="auto"/>
            <w:vMerge/>
            <w:hideMark/>
          </w:tcPr>
          <w:p w14:paraId="598F807C" w14:textId="77777777" w:rsidR="000F2AA7" w:rsidRPr="00AA22F2" w:rsidRDefault="000F2AA7" w:rsidP="009E4621">
            <w:pPr>
              <w:cnfStyle w:val="000000000000" w:firstRow="0" w:lastRow="0" w:firstColumn="0" w:lastColumn="0" w:oddVBand="0" w:evenVBand="0" w:oddHBand="0" w:evenHBand="0" w:firstRowFirstColumn="0" w:firstRowLastColumn="0" w:lastRowFirstColumn="0" w:lastRowLastColumn="0"/>
              <w:rPr>
                <w:szCs w:val="20"/>
              </w:rPr>
            </w:pPr>
          </w:p>
        </w:tc>
        <w:tc>
          <w:tcPr>
            <w:tcW w:w="0" w:type="auto"/>
            <w:hideMark/>
          </w:tcPr>
          <w:p w14:paraId="71410D27" w14:textId="77777777" w:rsidR="000F2AA7" w:rsidRPr="00AA22F2" w:rsidRDefault="000F2AA7" w:rsidP="009E4621">
            <w:pPr>
              <w:cnfStyle w:val="000000000000" w:firstRow="0" w:lastRow="0" w:firstColumn="0" w:lastColumn="0" w:oddVBand="0" w:evenVBand="0" w:oddHBand="0" w:evenHBand="0" w:firstRowFirstColumn="0" w:firstRowLastColumn="0" w:lastRowFirstColumn="0" w:lastRowLastColumn="0"/>
              <w:rPr>
                <w:szCs w:val="20"/>
              </w:rPr>
            </w:pPr>
            <w:r w:rsidRPr="00AA22F2">
              <w:rPr>
                <w:b/>
                <w:bCs/>
                <w:szCs w:val="20"/>
              </w:rPr>
              <w:t>Durée</w:t>
            </w:r>
          </w:p>
        </w:tc>
        <w:tc>
          <w:tcPr>
            <w:tcW w:w="0" w:type="auto"/>
            <w:hideMark/>
          </w:tcPr>
          <w:p w14:paraId="67A297E3" w14:textId="3F83858A" w:rsidR="000F2AA7" w:rsidRPr="00AA22F2" w:rsidRDefault="000F2AA7" w:rsidP="009E4621">
            <w:pPr>
              <w:cnfStyle w:val="000000000000" w:firstRow="0" w:lastRow="0" w:firstColumn="0" w:lastColumn="0" w:oddVBand="0" w:evenVBand="0" w:oddHBand="0" w:evenHBand="0" w:firstRowFirstColumn="0" w:firstRowLastColumn="0" w:lastRowFirstColumn="0" w:lastRowLastColumn="0"/>
              <w:rPr>
                <w:szCs w:val="20"/>
              </w:rPr>
            </w:pPr>
            <w:r w:rsidRPr="00AA22F2">
              <w:rPr>
                <w:szCs w:val="20"/>
              </w:rPr>
              <w:t>Long terme, tout au long de la période d’exploitation.</w:t>
            </w:r>
          </w:p>
        </w:tc>
        <w:tc>
          <w:tcPr>
            <w:tcW w:w="0" w:type="auto"/>
            <w:hideMark/>
          </w:tcPr>
          <w:p w14:paraId="63A9D015" w14:textId="6A170F58" w:rsidR="000F2AA7" w:rsidRPr="00AA22F2" w:rsidRDefault="000F2AA7" w:rsidP="009E4621">
            <w:pPr>
              <w:cnfStyle w:val="000000000000" w:firstRow="0" w:lastRow="0" w:firstColumn="0" w:lastColumn="0" w:oddVBand="0" w:evenVBand="0" w:oddHBand="0" w:evenHBand="0" w:firstRowFirstColumn="0" w:firstRowLastColumn="0" w:lastRowFirstColumn="0" w:lastRowLastColumn="0"/>
              <w:rPr>
                <w:szCs w:val="20"/>
              </w:rPr>
            </w:pPr>
            <w:r w:rsidRPr="00AA22F2">
              <w:rPr>
                <w:szCs w:val="20"/>
              </w:rPr>
              <w:t>Long terme</w:t>
            </w:r>
          </w:p>
        </w:tc>
      </w:tr>
      <w:tr w:rsidR="000F2AA7" w:rsidRPr="00462D38" w14:paraId="2EA8CB6E" w14:textId="77777777" w:rsidTr="005A7661">
        <w:tc>
          <w:tcPr>
            <w:cnfStyle w:val="001000000000" w:firstRow="0" w:lastRow="0" w:firstColumn="1" w:lastColumn="0" w:oddVBand="0" w:evenVBand="0" w:oddHBand="0" w:evenHBand="0" w:firstRowFirstColumn="0" w:firstRowLastColumn="0" w:lastRowFirstColumn="0" w:lastRowLastColumn="0"/>
            <w:tcW w:w="0" w:type="auto"/>
            <w:vMerge/>
            <w:hideMark/>
          </w:tcPr>
          <w:p w14:paraId="1EB55FE1" w14:textId="77777777" w:rsidR="000F2AA7" w:rsidRPr="00AA22F2" w:rsidRDefault="000F2AA7" w:rsidP="009E4621">
            <w:pPr>
              <w:rPr>
                <w:szCs w:val="20"/>
              </w:rPr>
            </w:pPr>
          </w:p>
        </w:tc>
        <w:tc>
          <w:tcPr>
            <w:tcW w:w="0" w:type="auto"/>
            <w:vMerge/>
            <w:hideMark/>
          </w:tcPr>
          <w:p w14:paraId="2F2C07C4" w14:textId="77777777" w:rsidR="000F2AA7" w:rsidRPr="00AA22F2" w:rsidRDefault="000F2AA7" w:rsidP="009E4621">
            <w:pPr>
              <w:cnfStyle w:val="000000000000" w:firstRow="0" w:lastRow="0" w:firstColumn="0" w:lastColumn="0" w:oddVBand="0" w:evenVBand="0" w:oddHBand="0" w:evenHBand="0" w:firstRowFirstColumn="0" w:firstRowLastColumn="0" w:lastRowFirstColumn="0" w:lastRowLastColumn="0"/>
              <w:rPr>
                <w:szCs w:val="20"/>
              </w:rPr>
            </w:pPr>
          </w:p>
        </w:tc>
        <w:tc>
          <w:tcPr>
            <w:tcW w:w="0" w:type="auto"/>
            <w:hideMark/>
          </w:tcPr>
          <w:p w14:paraId="4732B98D" w14:textId="77777777" w:rsidR="000F2AA7" w:rsidRPr="00AA22F2" w:rsidRDefault="000F2AA7" w:rsidP="009E4621">
            <w:pPr>
              <w:cnfStyle w:val="000000000000" w:firstRow="0" w:lastRow="0" w:firstColumn="0" w:lastColumn="0" w:oddVBand="0" w:evenVBand="0" w:oddHBand="0" w:evenHBand="0" w:firstRowFirstColumn="0" w:firstRowLastColumn="0" w:lastRowFirstColumn="0" w:lastRowLastColumn="0"/>
              <w:rPr>
                <w:szCs w:val="20"/>
              </w:rPr>
            </w:pPr>
            <w:r w:rsidRPr="00AA22F2">
              <w:rPr>
                <w:b/>
                <w:bCs/>
                <w:szCs w:val="20"/>
              </w:rPr>
              <w:t>Fréquence</w:t>
            </w:r>
          </w:p>
        </w:tc>
        <w:tc>
          <w:tcPr>
            <w:tcW w:w="0" w:type="auto"/>
            <w:hideMark/>
          </w:tcPr>
          <w:p w14:paraId="00053DC7" w14:textId="4A10BB8B" w:rsidR="000F2AA7" w:rsidRPr="00AA22F2" w:rsidRDefault="000F2AA7" w:rsidP="009E4621">
            <w:pPr>
              <w:cnfStyle w:val="000000000000" w:firstRow="0" w:lastRow="0" w:firstColumn="0" w:lastColumn="0" w:oddVBand="0" w:evenVBand="0" w:oddHBand="0" w:evenHBand="0" w:firstRowFirstColumn="0" w:firstRowLastColumn="0" w:lastRowFirstColumn="0" w:lastRowLastColumn="0"/>
              <w:rPr>
                <w:szCs w:val="20"/>
              </w:rPr>
            </w:pPr>
            <w:r w:rsidRPr="00AA22F2">
              <w:rPr>
                <w:szCs w:val="20"/>
              </w:rPr>
              <w:t>Continue, via les cycles de formation et maintenance.</w:t>
            </w:r>
          </w:p>
        </w:tc>
        <w:tc>
          <w:tcPr>
            <w:tcW w:w="0" w:type="auto"/>
            <w:hideMark/>
          </w:tcPr>
          <w:p w14:paraId="641FAFD1" w14:textId="77777777" w:rsidR="000F2AA7" w:rsidRPr="00AA22F2" w:rsidRDefault="000F2AA7" w:rsidP="009E4621">
            <w:pPr>
              <w:cnfStyle w:val="000000000000" w:firstRow="0" w:lastRow="0" w:firstColumn="0" w:lastColumn="0" w:oddVBand="0" w:evenVBand="0" w:oddHBand="0" w:evenHBand="0" w:firstRowFirstColumn="0" w:firstRowLastColumn="0" w:lastRowFirstColumn="0" w:lastRowLastColumn="0"/>
              <w:rPr>
                <w:szCs w:val="20"/>
              </w:rPr>
            </w:pPr>
            <w:r w:rsidRPr="00AA22F2">
              <w:rPr>
                <w:szCs w:val="20"/>
              </w:rPr>
              <w:t>Continue</w:t>
            </w:r>
          </w:p>
        </w:tc>
      </w:tr>
      <w:tr w:rsidR="000F2AA7" w:rsidRPr="00462D38" w14:paraId="33BA1D2F" w14:textId="77777777" w:rsidTr="005A7661">
        <w:tc>
          <w:tcPr>
            <w:cnfStyle w:val="001000000000" w:firstRow="0" w:lastRow="0" w:firstColumn="1" w:lastColumn="0" w:oddVBand="0" w:evenVBand="0" w:oddHBand="0" w:evenHBand="0" w:firstRowFirstColumn="0" w:firstRowLastColumn="0" w:lastRowFirstColumn="0" w:lastRowLastColumn="0"/>
            <w:tcW w:w="0" w:type="auto"/>
            <w:vMerge/>
            <w:hideMark/>
          </w:tcPr>
          <w:p w14:paraId="1C910EE2" w14:textId="77777777" w:rsidR="000F2AA7" w:rsidRPr="00AA22F2" w:rsidRDefault="000F2AA7" w:rsidP="009E4621">
            <w:pPr>
              <w:rPr>
                <w:szCs w:val="20"/>
              </w:rPr>
            </w:pPr>
          </w:p>
        </w:tc>
        <w:tc>
          <w:tcPr>
            <w:tcW w:w="0" w:type="auto"/>
            <w:vMerge/>
            <w:hideMark/>
          </w:tcPr>
          <w:p w14:paraId="03F4B85D" w14:textId="77777777" w:rsidR="000F2AA7" w:rsidRPr="00AA22F2" w:rsidRDefault="000F2AA7" w:rsidP="009E4621">
            <w:pPr>
              <w:cnfStyle w:val="000000000000" w:firstRow="0" w:lastRow="0" w:firstColumn="0" w:lastColumn="0" w:oddVBand="0" w:evenVBand="0" w:oddHBand="0" w:evenHBand="0" w:firstRowFirstColumn="0" w:firstRowLastColumn="0" w:lastRowFirstColumn="0" w:lastRowLastColumn="0"/>
              <w:rPr>
                <w:szCs w:val="20"/>
              </w:rPr>
            </w:pPr>
          </w:p>
        </w:tc>
        <w:tc>
          <w:tcPr>
            <w:tcW w:w="0" w:type="auto"/>
            <w:hideMark/>
          </w:tcPr>
          <w:p w14:paraId="5E518D78" w14:textId="77777777" w:rsidR="000F2AA7" w:rsidRPr="00AA22F2" w:rsidRDefault="000F2AA7" w:rsidP="009E4621">
            <w:pPr>
              <w:cnfStyle w:val="000000000000" w:firstRow="0" w:lastRow="0" w:firstColumn="0" w:lastColumn="0" w:oddVBand="0" w:evenVBand="0" w:oddHBand="0" w:evenHBand="0" w:firstRowFirstColumn="0" w:firstRowLastColumn="0" w:lastRowFirstColumn="0" w:lastRowLastColumn="0"/>
              <w:rPr>
                <w:szCs w:val="20"/>
              </w:rPr>
            </w:pPr>
            <w:r w:rsidRPr="00AA22F2">
              <w:rPr>
                <w:b/>
                <w:bCs/>
                <w:szCs w:val="20"/>
              </w:rPr>
              <w:t>Intensité</w:t>
            </w:r>
          </w:p>
        </w:tc>
        <w:tc>
          <w:tcPr>
            <w:tcW w:w="0" w:type="auto"/>
            <w:hideMark/>
          </w:tcPr>
          <w:p w14:paraId="79AD0B95" w14:textId="16C966FD" w:rsidR="000F2AA7" w:rsidRPr="00AA22F2" w:rsidRDefault="000F2AA7" w:rsidP="009E4621">
            <w:pPr>
              <w:cnfStyle w:val="000000000000" w:firstRow="0" w:lastRow="0" w:firstColumn="0" w:lastColumn="0" w:oddVBand="0" w:evenVBand="0" w:oddHBand="0" w:evenHBand="0" w:firstRowFirstColumn="0" w:firstRowLastColumn="0" w:lastRowFirstColumn="0" w:lastRowLastColumn="0"/>
              <w:rPr>
                <w:szCs w:val="20"/>
              </w:rPr>
            </w:pPr>
            <w:r w:rsidRPr="00AA22F2">
              <w:rPr>
                <w:szCs w:val="20"/>
              </w:rPr>
              <w:t>Moyenne selon les programmes de formation déployés.</w:t>
            </w:r>
          </w:p>
        </w:tc>
        <w:tc>
          <w:tcPr>
            <w:tcW w:w="0" w:type="auto"/>
            <w:hideMark/>
          </w:tcPr>
          <w:p w14:paraId="7EA24EE8" w14:textId="77777777" w:rsidR="000F2AA7" w:rsidRPr="00AA22F2" w:rsidRDefault="000F2AA7" w:rsidP="009E4621">
            <w:pPr>
              <w:cnfStyle w:val="000000000000" w:firstRow="0" w:lastRow="0" w:firstColumn="0" w:lastColumn="0" w:oddVBand="0" w:evenVBand="0" w:oddHBand="0" w:evenHBand="0" w:firstRowFirstColumn="0" w:firstRowLastColumn="0" w:lastRowFirstColumn="0" w:lastRowLastColumn="0"/>
              <w:rPr>
                <w:szCs w:val="20"/>
              </w:rPr>
            </w:pPr>
            <w:r w:rsidRPr="00AA22F2">
              <w:rPr>
                <w:szCs w:val="20"/>
              </w:rPr>
              <w:t>Moyenne</w:t>
            </w:r>
          </w:p>
        </w:tc>
      </w:tr>
      <w:tr w:rsidR="000F2AA7" w:rsidRPr="00462D38" w14:paraId="1255376C" w14:textId="77777777" w:rsidTr="005A7661">
        <w:tc>
          <w:tcPr>
            <w:cnfStyle w:val="001000000000" w:firstRow="0" w:lastRow="0" w:firstColumn="1" w:lastColumn="0" w:oddVBand="0" w:evenVBand="0" w:oddHBand="0" w:evenHBand="0" w:firstRowFirstColumn="0" w:firstRowLastColumn="0" w:lastRowFirstColumn="0" w:lastRowLastColumn="0"/>
            <w:tcW w:w="0" w:type="auto"/>
            <w:vMerge/>
          </w:tcPr>
          <w:p w14:paraId="73A99A84" w14:textId="77777777" w:rsidR="000F2AA7" w:rsidRPr="00AA22F2" w:rsidRDefault="000F2AA7" w:rsidP="004637C7">
            <w:pPr>
              <w:spacing w:before="0" w:after="0"/>
              <w:rPr>
                <w:b w:val="0"/>
                <w:bCs w:val="0"/>
                <w:szCs w:val="20"/>
              </w:rPr>
            </w:pPr>
          </w:p>
        </w:tc>
        <w:tc>
          <w:tcPr>
            <w:tcW w:w="0" w:type="auto"/>
            <w:gridSpan w:val="4"/>
          </w:tcPr>
          <w:p w14:paraId="65F8BC1B" w14:textId="77777777" w:rsidR="000F2AA7" w:rsidRPr="00AA22F2" w:rsidRDefault="000F2AA7" w:rsidP="004637C7">
            <w:pPr>
              <w:spacing w:before="0" w:after="0"/>
              <w:jc w:val="left"/>
              <w:cnfStyle w:val="000000000000" w:firstRow="0" w:lastRow="0" w:firstColumn="0" w:lastColumn="0" w:oddVBand="0" w:evenVBand="0" w:oddHBand="0" w:evenHBand="0" w:firstRowFirstColumn="0" w:firstRowLastColumn="0" w:lastRowFirstColumn="0" w:lastRowLastColumn="0"/>
              <w:rPr>
                <w:szCs w:val="20"/>
              </w:rPr>
            </w:pPr>
          </w:p>
        </w:tc>
      </w:tr>
      <w:tr w:rsidR="000F2AA7" w:rsidRPr="00462D38" w14:paraId="38857E21" w14:textId="77777777" w:rsidTr="005A7661">
        <w:tc>
          <w:tcPr>
            <w:cnfStyle w:val="001000000000" w:firstRow="0" w:lastRow="0" w:firstColumn="1" w:lastColumn="0" w:oddVBand="0" w:evenVBand="0" w:oddHBand="0" w:evenHBand="0" w:firstRowFirstColumn="0" w:firstRowLastColumn="0" w:lastRowFirstColumn="0" w:lastRowLastColumn="0"/>
            <w:tcW w:w="0" w:type="auto"/>
            <w:vMerge/>
          </w:tcPr>
          <w:p w14:paraId="6FD9CC7A" w14:textId="77777777" w:rsidR="000F2AA7" w:rsidRPr="00AA22F2" w:rsidRDefault="000F2AA7" w:rsidP="00087799">
            <w:pPr>
              <w:rPr>
                <w:b w:val="0"/>
                <w:bCs w:val="0"/>
                <w:szCs w:val="20"/>
              </w:rPr>
            </w:pPr>
          </w:p>
        </w:tc>
        <w:tc>
          <w:tcPr>
            <w:tcW w:w="0" w:type="auto"/>
            <w:shd w:val="clear" w:color="auto" w:fill="B4C6E7" w:themeFill="accent1" w:themeFillTint="66"/>
            <w:vAlign w:val="center"/>
          </w:tcPr>
          <w:p w14:paraId="118669C5" w14:textId="2FECD856" w:rsidR="000F2AA7" w:rsidRPr="00AA22F2" w:rsidRDefault="000F2AA7" w:rsidP="00087799">
            <w:pPr>
              <w:cnfStyle w:val="000000000000" w:firstRow="0" w:lastRow="0" w:firstColumn="0" w:lastColumn="0" w:oddVBand="0" w:evenVBand="0" w:oddHBand="0" w:evenHBand="0" w:firstRowFirstColumn="0" w:firstRowLastColumn="0" w:lastRowFirstColumn="0" w:lastRowLastColumn="0"/>
              <w:rPr>
                <w:szCs w:val="20"/>
              </w:rPr>
            </w:pPr>
            <w:r w:rsidRPr="00462D38">
              <w:rPr>
                <w:rFonts w:asciiTheme="minorHAnsi" w:hAnsiTheme="minorHAnsi" w:cstheme="minorHAnsi"/>
                <w:b/>
                <w:bCs/>
                <w:szCs w:val="20"/>
              </w:rPr>
              <w:t>Intensité de l’impact</w:t>
            </w:r>
          </w:p>
        </w:tc>
        <w:tc>
          <w:tcPr>
            <w:tcW w:w="0" w:type="auto"/>
            <w:shd w:val="clear" w:color="auto" w:fill="B4C6E7" w:themeFill="accent1" w:themeFillTint="66"/>
            <w:vAlign w:val="center"/>
          </w:tcPr>
          <w:p w14:paraId="6C94715F" w14:textId="2C3419E2" w:rsidR="000F2AA7" w:rsidRPr="00AA22F2" w:rsidRDefault="000F2AA7" w:rsidP="00087799">
            <w:pPr>
              <w:cnfStyle w:val="000000000000" w:firstRow="0" w:lastRow="0" w:firstColumn="0" w:lastColumn="0" w:oddVBand="0" w:evenVBand="0" w:oddHBand="0" w:evenHBand="0" w:firstRowFirstColumn="0" w:firstRowLastColumn="0" w:lastRowFirstColumn="0" w:lastRowLastColumn="0"/>
              <w:rPr>
                <w:b/>
                <w:bCs/>
                <w:szCs w:val="20"/>
              </w:rPr>
            </w:pPr>
            <w:r w:rsidRPr="00462D38">
              <w:rPr>
                <w:rFonts w:asciiTheme="minorHAnsi" w:hAnsiTheme="minorHAnsi" w:cstheme="minorHAnsi"/>
                <w:b/>
                <w:bCs/>
                <w:szCs w:val="20"/>
              </w:rPr>
              <w:t>Récepteurs</w:t>
            </w:r>
          </w:p>
        </w:tc>
        <w:tc>
          <w:tcPr>
            <w:tcW w:w="0" w:type="auto"/>
            <w:shd w:val="clear" w:color="auto" w:fill="B4C6E7" w:themeFill="accent1" w:themeFillTint="66"/>
            <w:vAlign w:val="center"/>
          </w:tcPr>
          <w:p w14:paraId="15CE3C4E" w14:textId="65D1C73E" w:rsidR="000F2AA7" w:rsidRPr="00AA22F2" w:rsidRDefault="000F2AA7" w:rsidP="00087799">
            <w:pPr>
              <w:cnfStyle w:val="000000000000" w:firstRow="0" w:lastRow="0" w:firstColumn="0" w:lastColumn="0" w:oddVBand="0" w:evenVBand="0" w:oddHBand="0" w:evenHBand="0" w:firstRowFirstColumn="0" w:firstRowLastColumn="0" w:lastRowFirstColumn="0" w:lastRowLastColumn="0"/>
              <w:rPr>
                <w:szCs w:val="20"/>
              </w:rPr>
            </w:pPr>
            <w:r w:rsidRPr="00462D38">
              <w:rPr>
                <w:rFonts w:asciiTheme="minorHAnsi" w:hAnsiTheme="minorHAnsi" w:cstheme="minorHAnsi"/>
                <w:b/>
                <w:bCs/>
                <w:szCs w:val="20"/>
              </w:rPr>
              <w:t>Sensibilité</w:t>
            </w:r>
          </w:p>
        </w:tc>
        <w:tc>
          <w:tcPr>
            <w:tcW w:w="0" w:type="auto"/>
            <w:shd w:val="clear" w:color="auto" w:fill="B4C6E7" w:themeFill="accent1" w:themeFillTint="66"/>
            <w:vAlign w:val="center"/>
          </w:tcPr>
          <w:p w14:paraId="23EC3A4E" w14:textId="3BD5950D" w:rsidR="000F2AA7" w:rsidRPr="00AA22F2" w:rsidRDefault="000F2AA7" w:rsidP="00087799">
            <w:pPr>
              <w:cnfStyle w:val="000000000000" w:firstRow="0" w:lastRow="0" w:firstColumn="0" w:lastColumn="0" w:oddVBand="0" w:evenVBand="0" w:oddHBand="0" w:evenHBand="0" w:firstRowFirstColumn="0" w:firstRowLastColumn="0" w:lastRowFirstColumn="0" w:lastRowLastColumn="0"/>
              <w:rPr>
                <w:szCs w:val="20"/>
              </w:rPr>
            </w:pPr>
            <w:r w:rsidRPr="00462D38">
              <w:rPr>
                <w:rFonts w:asciiTheme="minorHAnsi" w:hAnsiTheme="minorHAnsi" w:cstheme="minorHAnsi"/>
                <w:b/>
                <w:bCs/>
                <w:szCs w:val="20"/>
              </w:rPr>
              <w:t>Importance de l’impact</w:t>
            </w:r>
          </w:p>
        </w:tc>
      </w:tr>
      <w:tr w:rsidR="000F2AA7" w:rsidRPr="00462D38" w14:paraId="4F6AA90B" w14:textId="77777777" w:rsidTr="005A7661">
        <w:tc>
          <w:tcPr>
            <w:cnfStyle w:val="001000000000" w:firstRow="0" w:lastRow="0" w:firstColumn="1" w:lastColumn="0" w:oddVBand="0" w:evenVBand="0" w:oddHBand="0" w:evenHBand="0" w:firstRowFirstColumn="0" w:firstRowLastColumn="0" w:lastRowFirstColumn="0" w:lastRowLastColumn="0"/>
            <w:tcW w:w="0" w:type="auto"/>
            <w:vMerge/>
          </w:tcPr>
          <w:p w14:paraId="5FED819C" w14:textId="77777777" w:rsidR="000F2AA7" w:rsidRPr="00AA22F2" w:rsidRDefault="000F2AA7" w:rsidP="00087799">
            <w:pPr>
              <w:rPr>
                <w:b w:val="0"/>
                <w:bCs w:val="0"/>
                <w:szCs w:val="20"/>
              </w:rPr>
            </w:pPr>
          </w:p>
        </w:tc>
        <w:tc>
          <w:tcPr>
            <w:tcW w:w="0" w:type="auto"/>
            <w:vAlign w:val="center"/>
          </w:tcPr>
          <w:p w14:paraId="35923675" w14:textId="0A3081FA" w:rsidR="000F2AA7" w:rsidRPr="00462D38" w:rsidRDefault="000F2AA7" w:rsidP="00087799">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Cs w:val="20"/>
              </w:rPr>
            </w:pPr>
            <w:r w:rsidRPr="00462D38">
              <w:rPr>
                <w:rFonts w:asciiTheme="minorHAnsi" w:hAnsiTheme="minorHAnsi" w:cstheme="minorHAnsi"/>
                <w:b/>
                <w:bCs/>
                <w:szCs w:val="20"/>
              </w:rPr>
              <w:t>Moyenne</w:t>
            </w:r>
          </w:p>
        </w:tc>
        <w:tc>
          <w:tcPr>
            <w:tcW w:w="0" w:type="auto"/>
            <w:vAlign w:val="center"/>
          </w:tcPr>
          <w:p w14:paraId="453FF8DA" w14:textId="428BF149" w:rsidR="000F2AA7" w:rsidRPr="00462D38" w:rsidRDefault="000F2AA7" w:rsidP="00087799">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Cs w:val="20"/>
              </w:rPr>
            </w:pPr>
            <w:r w:rsidRPr="00AA22F2">
              <w:rPr>
                <w:szCs w:val="20"/>
              </w:rPr>
              <w:t>Personnel technique, institutions de formation.</w:t>
            </w:r>
          </w:p>
        </w:tc>
        <w:tc>
          <w:tcPr>
            <w:tcW w:w="0" w:type="auto"/>
            <w:vAlign w:val="center"/>
          </w:tcPr>
          <w:p w14:paraId="423A8E93" w14:textId="3F4686B0" w:rsidR="000F2AA7" w:rsidRPr="00462D38" w:rsidRDefault="000F2AA7" w:rsidP="00087799">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Cs w:val="20"/>
              </w:rPr>
            </w:pPr>
            <w:r w:rsidRPr="00462D38">
              <w:rPr>
                <w:rFonts w:asciiTheme="minorHAnsi" w:hAnsiTheme="minorHAnsi" w:cstheme="minorHAnsi"/>
                <w:b/>
                <w:bCs/>
                <w:szCs w:val="20"/>
              </w:rPr>
              <w:t xml:space="preserve">Moyenne : </w:t>
            </w:r>
            <w:r w:rsidRPr="004637C7">
              <w:rPr>
                <w:rFonts w:asciiTheme="minorHAnsi" w:hAnsiTheme="minorHAnsi" w:cstheme="minorHAnsi"/>
                <w:szCs w:val="20"/>
              </w:rPr>
              <w:t>compétences à renforcer.</w:t>
            </w:r>
          </w:p>
        </w:tc>
        <w:tc>
          <w:tcPr>
            <w:tcW w:w="0" w:type="auto"/>
            <w:vAlign w:val="center"/>
          </w:tcPr>
          <w:p w14:paraId="5B7C6CE6" w14:textId="5A23B636" w:rsidR="000F2AA7" w:rsidRPr="00462D38" w:rsidRDefault="000F2AA7" w:rsidP="00087799">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Cs w:val="20"/>
              </w:rPr>
            </w:pPr>
            <w:r w:rsidRPr="00462D38">
              <w:rPr>
                <w:rFonts w:asciiTheme="minorHAnsi" w:hAnsiTheme="minorHAnsi" w:cstheme="minorHAnsi"/>
                <w:b/>
                <w:bCs/>
                <w:szCs w:val="20"/>
              </w:rPr>
              <w:t>Modérée</w:t>
            </w:r>
          </w:p>
        </w:tc>
      </w:tr>
    </w:tbl>
    <w:p w14:paraId="4FD76F6B" w14:textId="77777777" w:rsidR="009E4621" w:rsidRPr="00613DF0" w:rsidRDefault="009E4621" w:rsidP="004637C7"/>
    <w:p w14:paraId="1B32CFD8" w14:textId="77777777" w:rsidR="00802F68" w:rsidRDefault="00802F68">
      <w:pPr>
        <w:pStyle w:val="Style4"/>
        <w:spacing w:before="120" w:after="120"/>
        <w:sectPr w:rsidR="00802F68" w:rsidSect="006C1613">
          <w:headerReference w:type="default" r:id="rId136"/>
          <w:footerReference w:type="default" r:id="rId137"/>
          <w:pgSz w:w="11906" w:h="16838"/>
          <w:pgMar w:top="1418" w:right="1418" w:bottom="1276" w:left="1418" w:header="680" w:footer="680" w:gutter="0"/>
          <w:cols w:space="708"/>
          <w:docGrid w:linePitch="360"/>
        </w:sectPr>
      </w:pPr>
      <w:bookmarkStart w:id="476" w:name="_bookmark202"/>
      <w:bookmarkEnd w:id="475"/>
      <w:bookmarkEnd w:id="476"/>
    </w:p>
    <w:p w14:paraId="1A393485" w14:textId="64BFC784" w:rsidR="00B260BB" w:rsidRPr="00B260BB" w:rsidRDefault="00BE7439" w:rsidP="004637C7">
      <w:pPr>
        <w:pStyle w:val="Title5"/>
      </w:pPr>
      <w:r>
        <w:lastRenderedPageBreak/>
        <w:t>Mesures d</w:t>
      </w:r>
      <w:r w:rsidR="00DA69BB">
        <w:t>e renforcement</w:t>
      </w:r>
    </w:p>
    <w:p w14:paraId="3FEC781F" w14:textId="09B42337" w:rsidR="00C532B8" w:rsidRDefault="00BA509A" w:rsidP="00BA509A">
      <w:pPr>
        <w:pStyle w:val="Lgende"/>
        <w:rPr>
          <w:lang w:val="fr-FR"/>
        </w:rPr>
      </w:pPr>
      <w:bookmarkStart w:id="477" w:name="_Toc213404386"/>
      <w:r w:rsidRPr="002A0860">
        <w:rPr>
          <w:lang w:val="fr-FR"/>
        </w:rPr>
        <w:t xml:space="preserve">Tableau </w:t>
      </w:r>
      <w:r>
        <w:fldChar w:fldCharType="begin"/>
      </w:r>
      <w:r w:rsidRPr="002A0860">
        <w:rPr>
          <w:lang w:val="fr-FR"/>
        </w:rPr>
        <w:instrText xml:space="preserve"> SEQ Tableau \* ARABIC </w:instrText>
      </w:r>
      <w:r>
        <w:fldChar w:fldCharType="separate"/>
      </w:r>
      <w:r w:rsidR="00274E71">
        <w:rPr>
          <w:noProof/>
          <w:lang w:val="fr-FR"/>
        </w:rPr>
        <w:t>64</w:t>
      </w:r>
      <w:r>
        <w:fldChar w:fldCharType="end"/>
      </w:r>
      <w:r>
        <w:rPr>
          <w:noProof/>
          <w:lang w:val="fr-FR"/>
        </w:rPr>
        <w:t xml:space="preserve">: </w:t>
      </w:r>
      <w:r w:rsidR="005552CF" w:rsidRPr="002A0860">
        <w:rPr>
          <w:lang w:val="fr-FR"/>
        </w:rPr>
        <w:t xml:space="preserve">Activités économiques et emploi – Mesures </w:t>
      </w:r>
      <w:r w:rsidR="00DA69BB">
        <w:rPr>
          <w:lang w:val="fr-FR"/>
        </w:rPr>
        <w:t>de renforcement</w:t>
      </w:r>
      <w:r w:rsidR="00DA69BB" w:rsidRPr="002A0860">
        <w:rPr>
          <w:lang w:val="fr-FR"/>
        </w:rPr>
        <w:t xml:space="preserve"> </w:t>
      </w:r>
      <w:r w:rsidR="005552CF" w:rsidRPr="002A0860">
        <w:rPr>
          <w:lang w:val="fr-FR"/>
        </w:rPr>
        <w:t>en phase d’exploitation</w:t>
      </w:r>
      <w:bookmarkEnd w:id="477"/>
    </w:p>
    <w:tbl>
      <w:tblPr>
        <w:tblStyle w:val="TableauGrille1Clair-Accentuation111"/>
        <w:tblW w:w="0" w:type="auto"/>
        <w:tblLook w:val="04A0" w:firstRow="1" w:lastRow="0" w:firstColumn="1" w:lastColumn="0" w:noHBand="0" w:noVBand="1"/>
      </w:tblPr>
      <w:tblGrid>
        <w:gridCol w:w="1761"/>
        <w:gridCol w:w="1392"/>
        <w:gridCol w:w="2453"/>
        <w:gridCol w:w="1736"/>
        <w:gridCol w:w="1337"/>
        <w:gridCol w:w="1223"/>
        <w:gridCol w:w="717"/>
        <w:gridCol w:w="1342"/>
        <w:gridCol w:w="2173"/>
      </w:tblGrid>
      <w:tr w:rsidR="00380C06" w:rsidRPr="001D6A1B" w14:paraId="43902381" w14:textId="77777777" w:rsidTr="00DA69BB">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0" w:type="auto"/>
            <w:hideMark/>
          </w:tcPr>
          <w:p w14:paraId="3B228003" w14:textId="77777777" w:rsidR="001D6A1B" w:rsidRPr="00AA22F2" w:rsidRDefault="001D6A1B" w:rsidP="001D6A1B">
            <w:pPr>
              <w:rPr>
                <w:szCs w:val="20"/>
                <w:lang w:eastAsia="fr-FR" w:bidi="ar-SA"/>
              </w:rPr>
            </w:pPr>
            <w:r w:rsidRPr="00AA22F2">
              <w:rPr>
                <w:szCs w:val="20"/>
                <w:lang w:eastAsia="fr-FR" w:bidi="ar-SA"/>
              </w:rPr>
              <w:t>Impact / Risque</w:t>
            </w:r>
          </w:p>
        </w:tc>
        <w:tc>
          <w:tcPr>
            <w:tcW w:w="0" w:type="auto"/>
            <w:hideMark/>
          </w:tcPr>
          <w:p w14:paraId="3595BB66" w14:textId="77777777" w:rsidR="001D6A1B" w:rsidRPr="00AA22F2" w:rsidRDefault="001D6A1B" w:rsidP="001D6A1B">
            <w:pPr>
              <w:cnfStyle w:val="100000000000" w:firstRow="1" w:lastRow="0" w:firstColumn="0" w:lastColumn="0" w:oddVBand="0" w:evenVBand="0" w:oddHBand="0" w:evenHBand="0" w:firstRowFirstColumn="0" w:firstRowLastColumn="0" w:lastRowFirstColumn="0" w:lastRowLastColumn="0"/>
              <w:rPr>
                <w:szCs w:val="20"/>
                <w:lang w:eastAsia="fr-FR" w:bidi="ar-SA"/>
              </w:rPr>
            </w:pPr>
            <w:r w:rsidRPr="00AA22F2">
              <w:rPr>
                <w:szCs w:val="20"/>
                <w:lang w:eastAsia="fr-FR" w:bidi="ar-SA"/>
              </w:rPr>
              <w:t>Niveau d’atténuation</w:t>
            </w:r>
          </w:p>
        </w:tc>
        <w:tc>
          <w:tcPr>
            <w:tcW w:w="0" w:type="auto"/>
            <w:hideMark/>
          </w:tcPr>
          <w:p w14:paraId="4C42F665" w14:textId="77777777" w:rsidR="001D6A1B" w:rsidRPr="00AA22F2" w:rsidRDefault="001D6A1B" w:rsidP="001D6A1B">
            <w:pPr>
              <w:cnfStyle w:val="100000000000" w:firstRow="1" w:lastRow="0" w:firstColumn="0" w:lastColumn="0" w:oddVBand="0" w:evenVBand="0" w:oddHBand="0" w:evenHBand="0" w:firstRowFirstColumn="0" w:firstRowLastColumn="0" w:lastRowFirstColumn="0" w:lastRowLastColumn="0"/>
              <w:rPr>
                <w:szCs w:val="20"/>
                <w:lang w:eastAsia="fr-FR" w:bidi="ar-SA"/>
              </w:rPr>
            </w:pPr>
            <w:r w:rsidRPr="00AA22F2">
              <w:rPr>
                <w:szCs w:val="20"/>
                <w:lang w:eastAsia="fr-FR" w:bidi="ar-SA"/>
              </w:rPr>
              <w:t>Mesures d’atténuation / de gestion</w:t>
            </w:r>
          </w:p>
        </w:tc>
        <w:tc>
          <w:tcPr>
            <w:tcW w:w="0" w:type="auto"/>
            <w:hideMark/>
          </w:tcPr>
          <w:p w14:paraId="3FF35F53" w14:textId="77777777" w:rsidR="001D6A1B" w:rsidRPr="00AA22F2" w:rsidRDefault="001D6A1B" w:rsidP="001D6A1B">
            <w:pPr>
              <w:cnfStyle w:val="100000000000" w:firstRow="1" w:lastRow="0" w:firstColumn="0" w:lastColumn="0" w:oddVBand="0" w:evenVBand="0" w:oddHBand="0" w:evenHBand="0" w:firstRowFirstColumn="0" w:firstRowLastColumn="0" w:lastRowFirstColumn="0" w:lastRowLastColumn="0"/>
              <w:rPr>
                <w:szCs w:val="20"/>
                <w:lang w:eastAsia="fr-FR" w:bidi="ar-SA"/>
              </w:rPr>
            </w:pPr>
            <w:r w:rsidRPr="00AA22F2">
              <w:rPr>
                <w:szCs w:val="20"/>
                <w:lang w:eastAsia="fr-FR" w:bidi="ar-SA"/>
              </w:rPr>
              <w:t>Indicateurs de performance (KPI)</w:t>
            </w:r>
          </w:p>
        </w:tc>
        <w:tc>
          <w:tcPr>
            <w:tcW w:w="0" w:type="auto"/>
            <w:hideMark/>
          </w:tcPr>
          <w:p w14:paraId="769CDCCC" w14:textId="77777777" w:rsidR="001D6A1B" w:rsidRPr="00AA22F2" w:rsidRDefault="001D6A1B" w:rsidP="001D6A1B">
            <w:pPr>
              <w:cnfStyle w:val="100000000000" w:firstRow="1" w:lastRow="0" w:firstColumn="0" w:lastColumn="0" w:oddVBand="0" w:evenVBand="0" w:oddHBand="0" w:evenHBand="0" w:firstRowFirstColumn="0" w:firstRowLastColumn="0" w:lastRowFirstColumn="0" w:lastRowLastColumn="0"/>
              <w:rPr>
                <w:szCs w:val="20"/>
                <w:lang w:eastAsia="fr-FR" w:bidi="ar-SA"/>
              </w:rPr>
            </w:pPr>
            <w:r w:rsidRPr="00AA22F2">
              <w:rPr>
                <w:szCs w:val="20"/>
                <w:lang w:eastAsia="fr-FR" w:bidi="ar-SA"/>
              </w:rPr>
              <w:t>Mise en œuvre</w:t>
            </w:r>
          </w:p>
        </w:tc>
        <w:tc>
          <w:tcPr>
            <w:tcW w:w="0" w:type="auto"/>
            <w:hideMark/>
          </w:tcPr>
          <w:p w14:paraId="7ACF82A7" w14:textId="77777777" w:rsidR="001D6A1B" w:rsidRPr="00AA22F2" w:rsidRDefault="001D6A1B" w:rsidP="001D6A1B">
            <w:pPr>
              <w:cnfStyle w:val="100000000000" w:firstRow="1" w:lastRow="0" w:firstColumn="0" w:lastColumn="0" w:oddVBand="0" w:evenVBand="0" w:oddHBand="0" w:evenHBand="0" w:firstRowFirstColumn="0" w:firstRowLastColumn="0" w:lastRowFirstColumn="0" w:lastRowLastColumn="0"/>
              <w:rPr>
                <w:szCs w:val="20"/>
                <w:lang w:eastAsia="fr-FR" w:bidi="ar-SA"/>
              </w:rPr>
            </w:pPr>
            <w:r w:rsidRPr="00AA22F2">
              <w:rPr>
                <w:szCs w:val="20"/>
                <w:lang w:eastAsia="fr-FR" w:bidi="ar-SA"/>
              </w:rPr>
              <w:t>Surveillance</w:t>
            </w:r>
          </w:p>
        </w:tc>
        <w:tc>
          <w:tcPr>
            <w:tcW w:w="0" w:type="auto"/>
            <w:hideMark/>
          </w:tcPr>
          <w:p w14:paraId="05D44D50" w14:textId="77777777" w:rsidR="001D6A1B" w:rsidRPr="00AA22F2" w:rsidRDefault="001D6A1B" w:rsidP="001D6A1B">
            <w:pPr>
              <w:cnfStyle w:val="100000000000" w:firstRow="1" w:lastRow="0" w:firstColumn="0" w:lastColumn="0" w:oddVBand="0" w:evenVBand="0" w:oddHBand="0" w:evenHBand="0" w:firstRowFirstColumn="0" w:firstRowLastColumn="0" w:lastRowFirstColumn="0" w:lastRowLastColumn="0"/>
              <w:rPr>
                <w:szCs w:val="20"/>
                <w:lang w:eastAsia="fr-FR" w:bidi="ar-SA"/>
              </w:rPr>
            </w:pPr>
            <w:r w:rsidRPr="00AA22F2">
              <w:rPr>
                <w:szCs w:val="20"/>
                <w:lang w:eastAsia="fr-FR" w:bidi="ar-SA"/>
              </w:rPr>
              <w:t>Suivi</w:t>
            </w:r>
          </w:p>
        </w:tc>
        <w:tc>
          <w:tcPr>
            <w:tcW w:w="0" w:type="auto"/>
            <w:hideMark/>
          </w:tcPr>
          <w:p w14:paraId="3CA6A74A" w14:textId="77777777" w:rsidR="001D6A1B" w:rsidRPr="00AA22F2" w:rsidRDefault="001D6A1B" w:rsidP="001D6A1B">
            <w:pPr>
              <w:cnfStyle w:val="100000000000" w:firstRow="1" w:lastRow="0" w:firstColumn="0" w:lastColumn="0" w:oddVBand="0" w:evenVBand="0" w:oddHBand="0" w:evenHBand="0" w:firstRowFirstColumn="0" w:firstRowLastColumn="0" w:lastRowFirstColumn="0" w:lastRowLastColumn="0"/>
              <w:rPr>
                <w:szCs w:val="20"/>
                <w:lang w:eastAsia="fr-FR" w:bidi="ar-SA"/>
              </w:rPr>
            </w:pPr>
            <w:r w:rsidRPr="00AA22F2">
              <w:rPr>
                <w:szCs w:val="20"/>
                <w:lang w:eastAsia="fr-FR" w:bidi="ar-SA"/>
              </w:rPr>
              <w:t>Calendrier</w:t>
            </w:r>
          </w:p>
        </w:tc>
        <w:tc>
          <w:tcPr>
            <w:tcW w:w="0" w:type="auto"/>
            <w:hideMark/>
          </w:tcPr>
          <w:p w14:paraId="606CA8AF" w14:textId="77777777" w:rsidR="001D6A1B" w:rsidRPr="00AA22F2" w:rsidRDefault="001D6A1B" w:rsidP="001D6A1B">
            <w:pPr>
              <w:cnfStyle w:val="100000000000" w:firstRow="1" w:lastRow="0" w:firstColumn="0" w:lastColumn="0" w:oddVBand="0" w:evenVBand="0" w:oddHBand="0" w:evenHBand="0" w:firstRowFirstColumn="0" w:firstRowLastColumn="0" w:lastRowFirstColumn="0" w:lastRowLastColumn="0"/>
              <w:rPr>
                <w:szCs w:val="20"/>
                <w:lang w:eastAsia="fr-FR" w:bidi="ar-SA"/>
              </w:rPr>
            </w:pPr>
            <w:r w:rsidRPr="00AA22F2">
              <w:rPr>
                <w:szCs w:val="20"/>
                <w:lang w:eastAsia="fr-FR" w:bidi="ar-SA"/>
              </w:rPr>
              <w:t>Coût</w:t>
            </w:r>
          </w:p>
        </w:tc>
      </w:tr>
      <w:tr w:rsidR="00380C06" w:rsidRPr="001D6A1B" w14:paraId="735DB3F9" w14:textId="77777777" w:rsidTr="001D6A1B">
        <w:tc>
          <w:tcPr>
            <w:cnfStyle w:val="001000000000" w:firstRow="0" w:lastRow="0" w:firstColumn="1" w:lastColumn="0" w:oddVBand="0" w:evenVBand="0" w:oddHBand="0" w:evenHBand="0" w:firstRowFirstColumn="0" w:firstRowLastColumn="0" w:lastRowFirstColumn="0" w:lastRowLastColumn="0"/>
            <w:tcW w:w="0" w:type="auto"/>
            <w:vMerge w:val="restart"/>
            <w:hideMark/>
          </w:tcPr>
          <w:p w14:paraId="0BAEF537" w14:textId="77777777" w:rsidR="007F3A77" w:rsidRPr="00AA22F2" w:rsidRDefault="007F3A77" w:rsidP="001D6A1B">
            <w:pPr>
              <w:rPr>
                <w:szCs w:val="20"/>
                <w:lang w:eastAsia="fr-FR" w:bidi="ar-SA"/>
              </w:rPr>
            </w:pPr>
            <w:r w:rsidRPr="00AA22F2">
              <w:rPr>
                <w:szCs w:val="20"/>
                <w:lang w:eastAsia="fr-FR" w:bidi="ar-SA"/>
              </w:rPr>
              <w:t>Création d’emplois durables et développement régional à long terme</w:t>
            </w:r>
          </w:p>
        </w:tc>
        <w:tc>
          <w:tcPr>
            <w:tcW w:w="0" w:type="auto"/>
            <w:hideMark/>
          </w:tcPr>
          <w:p w14:paraId="5202014B" w14:textId="77777777" w:rsidR="007F3A77" w:rsidRPr="00AA22F2" w:rsidRDefault="007F3A77" w:rsidP="001D6A1B">
            <w:pPr>
              <w:cnfStyle w:val="000000000000" w:firstRow="0" w:lastRow="0" w:firstColumn="0" w:lastColumn="0" w:oddVBand="0" w:evenVBand="0" w:oddHBand="0" w:evenHBand="0" w:firstRowFirstColumn="0" w:firstRowLastColumn="0" w:lastRowFirstColumn="0" w:lastRowLastColumn="0"/>
              <w:rPr>
                <w:szCs w:val="20"/>
                <w:lang w:eastAsia="fr-FR" w:bidi="ar-SA"/>
              </w:rPr>
            </w:pPr>
            <w:r w:rsidRPr="00AA22F2">
              <w:rPr>
                <w:b/>
                <w:bCs/>
                <w:szCs w:val="20"/>
                <w:lang w:eastAsia="fr-FR" w:bidi="ar-SA"/>
              </w:rPr>
              <w:t>Éviter</w:t>
            </w:r>
          </w:p>
        </w:tc>
        <w:tc>
          <w:tcPr>
            <w:tcW w:w="0" w:type="auto"/>
            <w:hideMark/>
          </w:tcPr>
          <w:p w14:paraId="646CB193" w14:textId="77777777" w:rsidR="007F3A77" w:rsidRPr="00AA22F2" w:rsidRDefault="007F3A77" w:rsidP="001D6A1B">
            <w:pPr>
              <w:cnfStyle w:val="000000000000" w:firstRow="0" w:lastRow="0" w:firstColumn="0" w:lastColumn="0" w:oddVBand="0" w:evenVBand="0" w:oddHBand="0" w:evenHBand="0" w:firstRowFirstColumn="0" w:firstRowLastColumn="0" w:lastRowFirstColumn="0" w:lastRowLastColumn="0"/>
              <w:rPr>
                <w:szCs w:val="20"/>
                <w:lang w:eastAsia="fr-FR" w:bidi="ar-SA"/>
              </w:rPr>
            </w:pPr>
            <w:r w:rsidRPr="00AA22F2">
              <w:rPr>
                <w:szCs w:val="20"/>
                <w:lang w:eastAsia="fr-FR" w:bidi="ar-SA"/>
              </w:rPr>
              <w:t xml:space="preserve">Éviter la centralisation des postes au siège et privilégier la création d’emplois permanents au sein de l’aéroport et des communes environnantes. </w:t>
            </w:r>
          </w:p>
          <w:p w14:paraId="31F86A92" w14:textId="6F81DF9E" w:rsidR="007F3A77" w:rsidRPr="00AA22F2" w:rsidRDefault="007F3A77" w:rsidP="001D6A1B">
            <w:pPr>
              <w:cnfStyle w:val="000000000000" w:firstRow="0" w:lastRow="0" w:firstColumn="0" w:lastColumn="0" w:oddVBand="0" w:evenVBand="0" w:oddHBand="0" w:evenHBand="0" w:firstRowFirstColumn="0" w:firstRowLastColumn="0" w:lastRowFirstColumn="0" w:lastRowLastColumn="0"/>
              <w:rPr>
                <w:szCs w:val="20"/>
                <w:lang w:eastAsia="fr-FR" w:bidi="ar-SA"/>
              </w:rPr>
            </w:pPr>
            <w:r w:rsidRPr="00AA22F2">
              <w:rPr>
                <w:szCs w:val="20"/>
                <w:lang w:eastAsia="fr-FR" w:bidi="ar-SA"/>
              </w:rPr>
              <w:t>Intégrer des clauses de maintien de l’emploi local dans les contrats d’exploitation.</w:t>
            </w:r>
          </w:p>
        </w:tc>
        <w:tc>
          <w:tcPr>
            <w:tcW w:w="0" w:type="auto"/>
            <w:hideMark/>
          </w:tcPr>
          <w:p w14:paraId="5F742767" w14:textId="77777777" w:rsidR="007F3A77" w:rsidRPr="00AA22F2" w:rsidRDefault="007F3A77" w:rsidP="001D6A1B">
            <w:pPr>
              <w:cnfStyle w:val="000000000000" w:firstRow="0" w:lastRow="0" w:firstColumn="0" w:lastColumn="0" w:oddVBand="0" w:evenVBand="0" w:oddHBand="0" w:evenHBand="0" w:firstRowFirstColumn="0" w:firstRowLastColumn="0" w:lastRowFirstColumn="0" w:lastRowLastColumn="0"/>
              <w:rPr>
                <w:szCs w:val="20"/>
                <w:lang w:eastAsia="fr-FR" w:bidi="ar-SA"/>
              </w:rPr>
            </w:pPr>
            <w:r w:rsidRPr="00AA22F2">
              <w:rPr>
                <w:szCs w:val="20"/>
                <w:lang w:eastAsia="fr-FR" w:bidi="ar-SA"/>
              </w:rPr>
              <w:t xml:space="preserve">% d’emplois locaux sur le total ; </w:t>
            </w:r>
          </w:p>
          <w:p w14:paraId="221D3217" w14:textId="771A2121" w:rsidR="007F3A77" w:rsidRPr="00AA22F2" w:rsidRDefault="007F3A77" w:rsidP="001D6A1B">
            <w:pPr>
              <w:cnfStyle w:val="000000000000" w:firstRow="0" w:lastRow="0" w:firstColumn="0" w:lastColumn="0" w:oddVBand="0" w:evenVBand="0" w:oddHBand="0" w:evenHBand="0" w:firstRowFirstColumn="0" w:firstRowLastColumn="0" w:lastRowFirstColumn="0" w:lastRowLastColumn="0"/>
              <w:rPr>
                <w:szCs w:val="20"/>
                <w:lang w:eastAsia="fr-FR" w:bidi="ar-SA"/>
              </w:rPr>
            </w:pPr>
            <w:r w:rsidRPr="00AA22F2">
              <w:rPr>
                <w:szCs w:val="20"/>
                <w:lang w:eastAsia="fr-FR" w:bidi="ar-SA"/>
              </w:rPr>
              <w:t>Taux de rotation du personnel</w:t>
            </w:r>
          </w:p>
        </w:tc>
        <w:tc>
          <w:tcPr>
            <w:tcW w:w="0" w:type="auto"/>
            <w:hideMark/>
          </w:tcPr>
          <w:p w14:paraId="55176808" w14:textId="77777777" w:rsidR="007F3A77" w:rsidRPr="00AA22F2" w:rsidRDefault="007F3A77" w:rsidP="001D6A1B">
            <w:pPr>
              <w:cnfStyle w:val="000000000000" w:firstRow="0" w:lastRow="0" w:firstColumn="0" w:lastColumn="0" w:oddVBand="0" w:evenVBand="0" w:oddHBand="0" w:evenHBand="0" w:firstRowFirstColumn="0" w:firstRowLastColumn="0" w:lastRowFirstColumn="0" w:lastRowLastColumn="0"/>
              <w:rPr>
                <w:szCs w:val="20"/>
                <w:lang w:eastAsia="fr-FR" w:bidi="ar-SA"/>
              </w:rPr>
            </w:pPr>
            <w:r w:rsidRPr="00AA22F2">
              <w:rPr>
                <w:szCs w:val="20"/>
                <w:lang w:eastAsia="fr-FR" w:bidi="ar-SA"/>
              </w:rPr>
              <w:t>ONDA / Exploitant</w:t>
            </w:r>
          </w:p>
        </w:tc>
        <w:tc>
          <w:tcPr>
            <w:tcW w:w="0" w:type="auto"/>
            <w:hideMark/>
          </w:tcPr>
          <w:p w14:paraId="7DFEE646" w14:textId="6EA5D42E" w:rsidR="007F3A77" w:rsidRPr="00AA22F2" w:rsidRDefault="007F3A77" w:rsidP="001D6A1B">
            <w:pPr>
              <w:cnfStyle w:val="000000000000" w:firstRow="0" w:lastRow="0" w:firstColumn="0" w:lastColumn="0" w:oddVBand="0" w:evenVBand="0" w:oddHBand="0" w:evenHBand="0" w:firstRowFirstColumn="0" w:firstRowLastColumn="0" w:lastRowFirstColumn="0" w:lastRowLastColumn="0"/>
              <w:rPr>
                <w:szCs w:val="20"/>
                <w:lang w:eastAsia="fr-FR" w:bidi="ar-SA"/>
              </w:rPr>
            </w:pPr>
            <w:r w:rsidRPr="00AA22F2">
              <w:rPr>
                <w:szCs w:val="20"/>
                <w:lang w:eastAsia="fr-FR" w:bidi="ar-SA"/>
              </w:rPr>
              <w:t>ONDA</w:t>
            </w:r>
          </w:p>
        </w:tc>
        <w:tc>
          <w:tcPr>
            <w:tcW w:w="0" w:type="auto"/>
            <w:hideMark/>
          </w:tcPr>
          <w:p w14:paraId="36D516CC" w14:textId="2C583F06" w:rsidR="007F3A77" w:rsidRPr="00AA22F2" w:rsidRDefault="007F3A77" w:rsidP="001D6A1B">
            <w:pPr>
              <w:cnfStyle w:val="000000000000" w:firstRow="0" w:lastRow="0" w:firstColumn="0" w:lastColumn="0" w:oddVBand="0" w:evenVBand="0" w:oddHBand="0" w:evenHBand="0" w:firstRowFirstColumn="0" w:firstRowLastColumn="0" w:lastRowFirstColumn="0" w:lastRowLastColumn="0"/>
              <w:rPr>
                <w:szCs w:val="20"/>
                <w:lang w:eastAsia="fr-FR" w:bidi="ar-SA"/>
              </w:rPr>
            </w:pPr>
            <w:r w:rsidRPr="00AA22F2">
              <w:rPr>
                <w:szCs w:val="20"/>
                <w:lang w:eastAsia="fr-FR" w:bidi="ar-SA"/>
              </w:rPr>
              <w:t>ONDA</w:t>
            </w:r>
          </w:p>
        </w:tc>
        <w:tc>
          <w:tcPr>
            <w:tcW w:w="0" w:type="auto"/>
            <w:hideMark/>
          </w:tcPr>
          <w:p w14:paraId="27D86441" w14:textId="77777777" w:rsidR="007F3A77" w:rsidRPr="00AA22F2" w:rsidRDefault="007F3A77" w:rsidP="001D6A1B">
            <w:pPr>
              <w:cnfStyle w:val="000000000000" w:firstRow="0" w:lastRow="0" w:firstColumn="0" w:lastColumn="0" w:oddVBand="0" w:evenVBand="0" w:oddHBand="0" w:evenHBand="0" w:firstRowFirstColumn="0" w:firstRowLastColumn="0" w:lastRowFirstColumn="0" w:lastRowLastColumn="0"/>
              <w:rPr>
                <w:szCs w:val="20"/>
                <w:lang w:eastAsia="fr-FR" w:bidi="ar-SA"/>
              </w:rPr>
            </w:pPr>
            <w:r w:rsidRPr="00AA22F2">
              <w:rPr>
                <w:szCs w:val="20"/>
                <w:lang w:eastAsia="fr-FR" w:bidi="ar-SA"/>
              </w:rPr>
              <w:t>Dès la mise en service</w:t>
            </w:r>
          </w:p>
        </w:tc>
        <w:tc>
          <w:tcPr>
            <w:tcW w:w="0" w:type="auto"/>
            <w:hideMark/>
          </w:tcPr>
          <w:p w14:paraId="338AEAC7" w14:textId="77777777" w:rsidR="007F3A77" w:rsidRPr="00AA22F2" w:rsidRDefault="007F3A77" w:rsidP="001D6A1B">
            <w:pPr>
              <w:cnfStyle w:val="000000000000" w:firstRow="0" w:lastRow="0" w:firstColumn="0" w:lastColumn="0" w:oddVBand="0" w:evenVBand="0" w:oddHBand="0" w:evenHBand="0" w:firstRowFirstColumn="0" w:firstRowLastColumn="0" w:lastRowFirstColumn="0" w:lastRowLastColumn="0"/>
              <w:rPr>
                <w:szCs w:val="20"/>
                <w:lang w:eastAsia="fr-FR" w:bidi="ar-SA"/>
              </w:rPr>
            </w:pPr>
            <w:r w:rsidRPr="00AA22F2">
              <w:rPr>
                <w:szCs w:val="20"/>
                <w:lang w:eastAsia="fr-FR" w:bidi="ar-SA"/>
              </w:rPr>
              <w:t>Aucun coût spécifique</w:t>
            </w:r>
          </w:p>
        </w:tc>
      </w:tr>
      <w:tr w:rsidR="00380C06" w:rsidRPr="001D6A1B" w14:paraId="093EC830" w14:textId="77777777" w:rsidTr="001D6A1B">
        <w:tc>
          <w:tcPr>
            <w:cnfStyle w:val="001000000000" w:firstRow="0" w:lastRow="0" w:firstColumn="1" w:lastColumn="0" w:oddVBand="0" w:evenVBand="0" w:oddHBand="0" w:evenHBand="0" w:firstRowFirstColumn="0" w:firstRowLastColumn="0" w:lastRowFirstColumn="0" w:lastRowLastColumn="0"/>
            <w:tcW w:w="0" w:type="auto"/>
            <w:vMerge/>
            <w:hideMark/>
          </w:tcPr>
          <w:p w14:paraId="6CCE55EF" w14:textId="77777777" w:rsidR="00D75525" w:rsidRPr="00AA22F2" w:rsidRDefault="00D75525" w:rsidP="00D75525">
            <w:pPr>
              <w:rPr>
                <w:szCs w:val="20"/>
                <w:lang w:eastAsia="fr-FR" w:bidi="ar-SA"/>
              </w:rPr>
            </w:pPr>
          </w:p>
        </w:tc>
        <w:tc>
          <w:tcPr>
            <w:tcW w:w="0" w:type="auto"/>
            <w:hideMark/>
          </w:tcPr>
          <w:p w14:paraId="42C3A30B" w14:textId="77777777" w:rsidR="00D75525" w:rsidRPr="00AA22F2" w:rsidRDefault="00D75525" w:rsidP="00D75525">
            <w:pPr>
              <w:cnfStyle w:val="000000000000" w:firstRow="0" w:lastRow="0" w:firstColumn="0" w:lastColumn="0" w:oddVBand="0" w:evenVBand="0" w:oddHBand="0" w:evenHBand="0" w:firstRowFirstColumn="0" w:firstRowLastColumn="0" w:lastRowFirstColumn="0" w:lastRowLastColumn="0"/>
              <w:rPr>
                <w:szCs w:val="20"/>
                <w:lang w:eastAsia="fr-FR" w:bidi="ar-SA"/>
              </w:rPr>
            </w:pPr>
            <w:r w:rsidRPr="00AA22F2">
              <w:rPr>
                <w:b/>
                <w:bCs/>
                <w:szCs w:val="20"/>
                <w:lang w:eastAsia="fr-FR" w:bidi="ar-SA"/>
              </w:rPr>
              <w:t>Réduire</w:t>
            </w:r>
          </w:p>
        </w:tc>
        <w:tc>
          <w:tcPr>
            <w:tcW w:w="0" w:type="auto"/>
            <w:hideMark/>
          </w:tcPr>
          <w:p w14:paraId="306A51BC" w14:textId="77777777" w:rsidR="00D75525" w:rsidRPr="00AA22F2" w:rsidRDefault="00D75525" w:rsidP="00D75525">
            <w:pPr>
              <w:cnfStyle w:val="000000000000" w:firstRow="0" w:lastRow="0" w:firstColumn="0" w:lastColumn="0" w:oddVBand="0" w:evenVBand="0" w:oddHBand="0" w:evenHBand="0" w:firstRowFirstColumn="0" w:firstRowLastColumn="0" w:lastRowFirstColumn="0" w:lastRowLastColumn="0"/>
              <w:rPr>
                <w:szCs w:val="20"/>
                <w:lang w:eastAsia="fr-FR" w:bidi="ar-SA"/>
              </w:rPr>
            </w:pPr>
            <w:r w:rsidRPr="00AA22F2">
              <w:rPr>
                <w:szCs w:val="20"/>
                <w:lang w:eastAsia="fr-FR" w:bidi="ar-SA"/>
              </w:rPr>
              <w:t xml:space="preserve">Réduire la précarité de l’emploi en garantissant la contractualisation des postes de maintenance, sécurité et services aéroportuaires. </w:t>
            </w:r>
          </w:p>
          <w:p w14:paraId="6652A227" w14:textId="51909960" w:rsidR="00D75525" w:rsidRPr="00AA22F2" w:rsidRDefault="00D75525" w:rsidP="00D75525">
            <w:pPr>
              <w:cnfStyle w:val="000000000000" w:firstRow="0" w:lastRow="0" w:firstColumn="0" w:lastColumn="0" w:oddVBand="0" w:evenVBand="0" w:oddHBand="0" w:evenHBand="0" w:firstRowFirstColumn="0" w:firstRowLastColumn="0" w:lastRowFirstColumn="0" w:lastRowLastColumn="0"/>
              <w:rPr>
                <w:szCs w:val="20"/>
                <w:lang w:eastAsia="fr-FR" w:bidi="ar-SA"/>
              </w:rPr>
            </w:pPr>
            <w:r w:rsidRPr="00AA22F2">
              <w:rPr>
                <w:szCs w:val="20"/>
                <w:lang w:eastAsia="fr-FR" w:bidi="ar-SA"/>
              </w:rPr>
              <w:t xml:space="preserve">Prioriser les recrutements au sein de la région </w:t>
            </w:r>
            <w:r w:rsidR="00297A43">
              <w:rPr>
                <w:szCs w:val="20"/>
                <w:lang w:eastAsia="fr-FR" w:bidi="ar-SA"/>
              </w:rPr>
              <w:t>Marrakech Safi</w:t>
            </w:r>
          </w:p>
        </w:tc>
        <w:tc>
          <w:tcPr>
            <w:tcW w:w="0" w:type="auto"/>
            <w:hideMark/>
          </w:tcPr>
          <w:p w14:paraId="47B93F81" w14:textId="77777777" w:rsidR="00D75525" w:rsidRPr="00AA22F2" w:rsidRDefault="00D75525" w:rsidP="00D75525">
            <w:pPr>
              <w:cnfStyle w:val="000000000000" w:firstRow="0" w:lastRow="0" w:firstColumn="0" w:lastColumn="0" w:oddVBand="0" w:evenVBand="0" w:oddHBand="0" w:evenHBand="0" w:firstRowFirstColumn="0" w:firstRowLastColumn="0" w:lastRowFirstColumn="0" w:lastRowLastColumn="0"/>
              <w:rPr>
                <w:szCs w:val="20"/>
                <w:lang w:eastAsia="fr-FR" w:bidi="ar-SA"/>
              </w:rPr>
            </w:pPr>
            <w:r w:rsidRPr="00AA22F2">
              <w:rPr>
                <w:szCs w:val="20"/>
                <w:lang w:eastAsia="fr-FR" w:bidi="ar-SA"/>
              </w:rPr>
              <w:t>% d’employés sous contrat à durée indéterminée ;</w:t>
            </w:r>
          </w:p>
          <w:p w14:paraId="0B23A51D" w14:textId="0F28DE4F" w:rsidR="00D75525" w:rsidRPr="00AA22F2" w:rsidRDefault="00D75525" w:rsidP="00D75525">
            <w:pPr>
              <w:cnfStyle w:val="000000000000" w:firstRow="0" w:lastRow="0" w:firstColumn="0" w:lastColumn="0" w:oddVBand="0" w:evenVBand="0" w:oddHBand="0" w:evenHBand="0" w:firstRowFirstColumn="0" w:firstRowLastColumn="0" w:lastRowFirstColumn="0" w:lastRowLastColumn="0"/>
              <w:rPr>
                <w:szCs w:val="20"/>
                <w:lang w:eastAsia="fr-FR" w:bidi="ar-SA"/>
              </w:rPr>
            </w:pPr>
            <w:r w:rsidRPr="00AA22F2">
              <w:rPr>
                <w:szCs w:val="20"/>
                <w:lang w:eastAsia="fr-FR" w:bidi="ar-SA"/>
              </w:rPr>
              <w:t>% de recrutements locaux</w:t>
            </w:r>
          </w:p>
        </w:tc>
        <w:tc>
          <w:tcPr>
            <w:tcW w:w="0" w:type="auto"/>
            <w:hideMark/>
          </w:tcPr>
          <w:p w14:paraId="7181EF12" w14:textId="19B9D0B7" w:rsidR="00D75525" w:rsidRPr="00AA22F2" w:rsidRDefault="00D75525" w:rsidP="00D75525">
            <w:pPr>
              <w:cnfStyle w:val="000000000000" w:firstRow="0" w:lastRow="0" w:firstColumn="0" w:lastColumn="0" w:oddVBand="0" w:evenVBand="0" w:oddHBand="0" w:evenHBand="0" w:firstRowFirstColumn="0" w:firstRowLastColumn="0" w:lastRowFirstColumn="0" w:lastRowLastColumn="0"/>
              <w:rPr>
                <w:szCs w:val="20"/>
                <w:lang w:eastAsia="fr-FR" w:bidi="ar-SA"/>
              </w:rPr>
            </w:pPr>
            <w:r w:rsidRPr="00AA22F2">
              <w:rPr>
                <w:szCs w:val="20"/>
                <w:lang w:eastAsia="fr-FR" w:bidi="ar-SA"/>
              </w:rPr>
              <w:t>ONDA / Exploitant</w:t>
            </w:r>
          </w:p>
        </w:tc>
        <w:tc>
          <w:tcPr>
            <w:tcW w:w="0" w:type="auto"/>
            <w:hideMark/>
          </w:tcPr>
          <w:p w14:paraId="20BD85D2" w14:textId="5F8BC43B" w:rsidR="00D75525" w:rsidRPr="00AA22F2" w:rsidRDefault="00D75525" w:rsidP="00D75525">
            <w:pPr>
              <w:cnfStyle w:val="000000000000" w:firstRow="0" w:lastRow="0" w:firstColumn="0" w:lastColumn="0" w:oddVBand="0" w:evenVBand="0" w:oddHBand="0" w:evenHBand="0" w:firstRowFirstColumn="0" w:firstRowLastColumn="0" w:lastRowFirstColumn="0" w:lastRowLastColumn="0"/>
              <w:rPr>
                <w:szCs w:val="20"/>
                <w:lang w:eastAsia="fr-FR" w:bidi="ar-SA"/>
              </w:rPr>
            </w:pPr>
            <w:r w:rsidRPr="00AA22F2">
              <w:rPr>
                <w:szCs w:val="20"/>
                <w:lang w:eastAsia="fr-FR" w:bidi="ar-SA"/>
              </w:rPr>
              <w:t>ONDA</w:t>
            </w:r>
          </w:p>
        </w:tc>
        <w:tc>
          <w:tcPr>
            <w:tcW w:w="0" w:type="auto"/>
            <w:hideMark/>
          </w:tcPr>
          <w:p w14:paraId="21C37B91" w14:textId="2D69A538" w:rsidR="00D75525" w:rsidRPr="00AA22F2" w:rsidRDefault="00D75525" w:rsidP="00D75525">
            <w:pPr>
              <w:cnfStyle w:val="000000000000" w:firstRow="0" w:lastRow="0" w:firstColumn="0" w:lastColumn="0" w:oddVBand="0" w:evenVBand="0" w:oddHBand="0" w:evenHBand="0" w:firstRowFirstColumn="0" w:firstRowLastColumn="0" w:lastRowFirstColumn="0" w:lastRowLastColumn="0"/>
              <w:rPr>
                <w:szCs w:val="20"/>
                <w:lang w:eastAsia="fr-FR" w:bidi="ar-SA"/>
              </w:rPr>
            </w:pPr>
            <w:r w:rsidRPr="00EB387E">
              <w:rPr>
                <w:szCs w:val="20"/>
                <w:lang w:eastAsia="fr-FR" w:bidi="ar-SA"/>
              </w:rPr>
              <w:t>ONDA</w:t>
            </w:r>
          </w:p>
        </w:tc>
        <w:tc>
          <w:tcPr>
            <w:tcW w:w="0" w:type="auto"/>
            <w:hideMark/>
          </w:tcPr>
          <w:p w14:paraId="63683EF1" w14:textId="77777777" w:rsidR="00D75525" w:rsidRPr="00AA22F2" w:rsidRDefault="00D75525" w:rsidP="00D75525">
            <w:pPr>
              <w:cnfStyle w:val="000000000000" w:firstRow="0" w:lastRow="0" w:firstColumn="0" w:lastColumn="0" w:oddVBand="0" w:evenVBand="0" w:oddHBand="0" w:evenHBand="0" w:firstRowFirstColumn="0" w:firstRowLastColumn="0" w:lastRowFirstColumn="0" w:lastRowLastColumn="0"/>
              <w:rPr>
                <w:szCs w:val="20"/>
                <w:lang w:eastAsia="fr-FR" w:bidi="ar-SA"/>
              </w:rPr>
            </w:pPr>
            <w:r w:rsidRPr="00AA22F2">
              <w:rPr>
                <w:szCs w:val="20"/>
                <w:lang w:eastAsia="fr-FR" w:bidi="ar-SA"/>
              </w:rPr>
              <w:t>Exploitation continue</w:t>
            </w:r>
          </w:p>
        </w:tc>
        <w:tc>
          <w:tcPr>
            <w:tcW w:w="0" w:type="auto"/>
            <w:hideMark/>
          </w:tcPr>
          <w:p w14:paraId="31439884" w14:textId="2AFBEB63" w:rsidR="00D75525" w:rsidRPr="00AA22F2" w:rsidRDefault="00D75525" w:rsidP="00D75525">
            <w:pPr>
              <w:cnfStyle w:val="000000000000" w:firstRow="0" w:lastRow="0" w:firstColumn="0" w:lastColumn="0" w:oddVBand="0" w:evenVBand="0" w:oddHBand="0" w:evenHBand="0" w:firstRowFirstColumn="0" w:firstRowLastColumn="0" w:lastRowFirstColumn="0" w:lastRowLastColumn="0"/>
              <w:rPr>
                <w:szCs w:val="20"/>
                <w:lang w:eastAsia="fr-FR" w:bidi="ar-SA"/>
              </w:rPr>
            </w:pPr>
            <w:r w:rsidRPr="00AA22F2">
              <w:rPr>
                <w:szCs w:val="20"/>
                <w:lang w:eastAsia="fr-FR" w:bidi="ar-SA"/>
              </w:rPr>
              <w:t>Aucun coût spécifique</w:t>
            </w:r>
          </w:p>
        </w:tc>
      </w:tr>
      <w:tr w:rsidR="00380C06" w:rsidRPr="001D6A1B" w14:paraId="418BB2A8" w14:textId="77777777" w:rsidTr="001D6A1B">
        <w:tc>
          <w:tcPr>
            <w:cnfStyle w:val="001000000000" w:firstRow="0" w:lastRow="0" w:firstColumn="1" w:lastColumn="0" w:oddVBand="0" w:evenVBand="0" w:oddHBand="0" w:evenHBand="0" w:firstRowFirstColumn="0" w:firstRowLastColumn="0" w:lastRowFirstColumn="0" w:lastRowLastColumn="0"/>
            <w:tcW w:w="0" w:type="auto"/>
            <w:vMerge/>
            <w:hideMark/>
          </w:tcPr>
          <w:p w14:paraId="489290CF" w14:textId="77777777" w:rsidR="00D75525" w:rsidRPr="00AA22F2" w:rsidRDefault="00D75525" w:rsidP="00D75525">
            <w:pPr>
              <w:rPr>
                <w:szCs w:val="20"/>
                <w:lang w:eastAsia="fr-FR" w:bidi="ar-SA"/>
              </w:rPr>
            </w:pPr>
          </w:p>
        </w:tc>
        <w:tc>
          <w:tcPr>
            <w:tcW w:w="0" w:type="auto"/>
            <w:hideMark/>
          </w:tcPr>
          <w:p w14:paraId="39CA37F5" w14:textId="77777777" w:rsidR="00D75525" w:rsidRPr="00AA22F2" w:rsidRDefault="00D75525" w:rsidP="00D75525">
            <w:pPr>
              <w:cnfStyle w:val="000000000000" w:firstRow="0" w:lastRow="0" w:firstColumn="0" w:lastColumn="0" w:oddVBand="0" w:evenVBand="0" w:oddHBand="0" w:evenHBand="0" w:firstRowFirstColumn="0" w:firstRowLastColumn="0" w:lastRowFirstColumn="0" w:lastRowLastColumn="0"/>
              <w:rPr>
                <w:szCs w:val="20"/>
                <w:lang w:eastAsia="fr-FR" w:bidi="ar-SA"/>
              </w:rPr>
            </w:pPr>
            <w:r w:rsidRPr="00AA22F2">
              <w:rPr>
                <w:b/>
                <w:bCs/>
                <w:szCs w:val="20"/>
                <w:lang w:eastAsia="fr-FR" w:bidi="ar-SA"/>
              </w:rPr>
              <w:t>Atténuer</w:t>
            </w:r>
          </w:p>
        </w:tc>
        <w:tc>
          <w:tcPr>
            <w:tcW w:w="0" w:type="auto"/>
            <w:hideMark/>
          </w:tcPr>
          <w:p w14:paraId="1DD174EB" w14:textId="77777777" w:rsidR="00D75525" w:rsidRPr="00AA22F2" w:rsidRDefault="00D75525" w:rsidP="00D75525">
            <w:pPr>
              <w:cnfStyle w:val="000000000000" w:firstRow="0" w:lastRow="0" w:firstColumn="0" w:lastColumn="0" w:oddVBand="0" w:evenVBand="0" w:oddHBand="0" w:evenHBand="0" w:firstRowFirstColumn="0" w:firstRowLastColumn="0" w:lastRowFirstColumn="0" w:lastRowLastColumn="0"/>
              <w:rPr>
                <w:szCs w:val="20"/>
                <w:lang w:eastAsia="fr-FR" w:bidi="ar-SA"/>
              </w:rPr>
            </w:pPr>
            <w:r w:rsidRPr="00AA22F2">
              <w:rPr>
                <w:szCs w:val="20"/>
                <w:lang w:eastAsia="fr-FR" w:bidi="ar-SA"/>
              </w:rPr>
              <w:t xml:space="preserve">Mettre en œuvre un programme de </w:t>
            </w:r>
            <w:r w:rsidRPr="004637C7">
              <w:rPr>
                <w:szCs w:val="20"/>
                <w:lang w:eastAsia="fr-FR" w:bidi="ar-SA"/>
              </w:rPr>
              <w:t xml:space="preserve">formation continue et de perfectionnement </w:t>
            </w:r>
            <w:r w:rsidRPr="004637C7">
              <w:rPr>
                <w:szCs w:val="20"/>
                <w:lang w:eastAsia="fr-FR" w:bidi="ar-SA"/>
              </w:rPr>
              <w:lastRenderedPageBreak/>
              <w:t>technique</w:t>
            </w:r>
            <w:r w:rsidRPr="00AA22F2">
              <w:rPr>
                <w:szCs w:val="20"/>
                <w:lang w:eastAsia="fr-FR" w:bidi="ar-SA"/>
              </w:rPr>
              <w:t xml:space="preserve"> pour le personnel local, afin d’assurer leur montée en compétence et leur maintien dans l’emploi à long terme.</w:t>
            </w:r>
          </w:p>
        </w:tc>
        <w:tc>
          <w:tcPr>
            <w:tcW w:w="0" w:type="auto"/>
            <w:hideMark/>
          </w:tcPr>
          <w:p w14:paraId="077F16B8" w14:textId="77777777" w:rsidR="00D75525" w:rsidRPr="00AA22F2" w:rsidRDefault="00D75525" w:rsidP="00D75525">
            <w:pPr>
              <w:cnfStyle w:val="000000000000" w:firstRow="0" w:lastRow="0" w:firstColumn="0" w:lastColumn="0" w:oddVBand="0" w:evenVBand="0" w:oddHBand="0" w:evenHBand="0" w:firstRowFirstColumn="0" w:firstRowLastColumn="0" w:lastRowFirstColumn="0" w:lastRowLastColumn="0"/>
              <w:rPr>
                <w:szCs w:val="20"/>
                <w:lang w:eastAsia="fr-FR" w:bidi="ar-SA"/>
              </w:rPr>
            </w:pPr>
            <w:r w:rsidRPr="00AA22F2">
              <w:rPr>
                <w:szCs w:val="20"/>
                <w:lang w:eastAsia="fr-FR" w:bidi="ar-SA"/>
              </w:rPr>
              <w:lastRenderedPageBreak/>
              <w:t xml:space="preserve">Nombre d’heures de formation / an ; taux de </w:t>
            </w:r>
            <w:r w:rsidRPr="00AA22F2">
              <w:rPr>
                <w:szCs w:val="20"/>
                <w:lang w:eastAsia="fr-FR" w:bidi="ar-SA"/>
              </w:rPr>
              <w:lastRenderedPageBreak/>
              <w:t>participation du personnel</w:t>
            </w:r>
          </w:p>
        </w:tc>
        <w:tc>
          <w:tcPr>
            <w:tcW w:w="0" w:type="auto"/>
            <w:hideMark/>
          </w:tcPr>
          <w:p w14:paraId="31973EED" w14:textId="1E0F703A" w:rsidR="00D75525" w:rsidRPr="00AA22F2" w:rsidRDefault="00D75525" w:rsidP="00D75525">
            <w:pPr>
              <w:cnfStyle w:val="000000000000" w:firstRow="0" w:lastRow="0" w:firstColumn="0" w:lastColumn="0" w:oddVBand="0" w:evenVBand="0" w:oddHBand="0" w:evenHBand="0" w:firstRowFirstColumn="0" w:firstRowLastColumn="0" w:lastRowFirstColumn="0" w:lastRowLastColumn="0"/>
              <w:rPr>
                <w:szCs w:val="20"/>
                <w:lang w:eastAsia="fr-FR" w:bidi="ar-SA"/>
              </w:rPr>
            </w:pPr>
            <w:r w:rsidRPr="00AA22F2">
              <w:rPr>
                <w:szCs w:val="20"/>
                <w:lang w:eastAsia="fr-FR" w:bidi="ar-SA"/>
              </w:rPr>
              <w:lastRenderedPageBreak/>
              <w:t>ONDA / Exploitant</w:t>
            </w:r>
          </w:p>
        </w:tc>
        <w:tc>
          <w:tcPr>
            <w:tcW w:w="0" w:type="auto"/>
            <w:hideMark/>
          </w:tcPr>
          <w:p w14:paraId="1255D8C7" w14:textId="1FB7462A" w:rsidR="00D75525" w:rsidRPr="00AA22F2" w:rsidRDefault="00D75525" w:rsidP="00D75525">
            <w:pPr>
              <w:cnfStyle w:val="000000000000" w:firstRow="0" w:lastRow="0" w:firstColumn="0" w:lastColumn="0" w:oddVBand="0" w:evenVBand="0" w:oddHBand="0" w:evenHBand="0" w:firstRowFirstColumn="0" w:firstRowLastColumn="0" w:lastRowFirstColumn="0" w:lastRowLastColumn="0"/>
              <w:rPr>
                <w:szCs w:val="20"/>
                <w:lang w:eastAsia="fr-FR" w:bidi="ar-SA"/>
              </w:rPr>
            </w:pPr>
            <w:r w:rsidRPr="00AA22F2">
              <w:rPr>
                <w:szCs w:val="20"/>
                <w:lang w:eastAsia="fr-FR" w:bidi="ar-SA"/>
              </w:rPr>
              <w:t>ONDA</w:t>
            </w:r>
          </w:p>
        </w:tc>
        <w:tc>
          <w:tcPr>
            <w:tcW w:w="0" w:type="auto"/>
            <w:hideMark/>
          </w:tcPr>
          <w:p w14:paraId="0269F322" w14:textId="5953004C" w:rsidR="00D75525" w:rsidRPr="00AA22F2" w:rsidRDefault="00D75525" w:rsidP="00D75525">
            <w:pPr>
              <w:cnfStyle w:val="000000000000" w:firstRow="0" w:lastRow="0" w:firstColumn="0" w:lastColumn="0" w:oddVBand="0" w:evenVBand="0" w:oddHBand="0" w:evenHBand="0" w:firstRowFirstColumn="0" w:firstRowLastColumn="0" w:lastRowFirstColumn="0" w:lastRowLastColumn="0"/>
              <w:rPr>
                <w:szCs w:val="20"/>
                <w:lang w:eastAsia="fr-FR" w:bidi="ar-SA"/>
              </w:rPr>
            </w:pPr>
            <w:r w:rsidRPr="00EB387E">
              <w:rPr>
                <w:szCs w:val="20"/>
                <w:lang w:eastAsia="fr-FR" w:bidi="ar-SA"/>
              </w:rPr>
              <w:t>ONDA</w:t>
            </w:r>
          </w:p>
        </w:tc>
        <w:tc>
          <w:tcPr>
            <w:tcW w:w="0" w:type="auto"/>
            <w:hideMark/>
          </w:tcPr>
          <w:p w14:paraId="35A1129A" w14:textId="77777777" w:rsidR="00D75525" w:rsidRPr="00AA22F2" w:rsidRDefault="00D75525" w:rsidP="00D75525">
            <w:pPr>
              <w:cnfStyle w:val="000000000000" w:firstRow="0" w:lastRow="0" w:firstColumn="0" w:lastColumn="0" w:oddVBand="0" w:evenVBand="0" w:oddHBand="0" w:evenHBand="0" w:firstRowFirstColumn="0" w:firstRowLastColumn="0" w:lastRowFirstColumn="0" w:lastRowLastColumn="0"/>
              <w:rPr>
                <w:szCs w:val="20"/>
                <w:lang w:eastAsia="fr-FR" w:bidi="ar-SA"/>
              </w:rPr>
            </w:pPr>
            <w:r w:rsidRPr="00AA22F2">
              <w:rPr>
                <w:szCs w:val="20"/>
                <w:lang w:eastAsia="fr-FR" w:bidi="ar-SA"/>
              </w:rPr>
              <w:t>Durant toute l’exploitation</w:t>
            </w:r>
          </w:p>
        </w:tc>
        <w:tc>
          <w:tcPr>
            <w:tcW w:w="0" w:type="auto"/>
            <w:hideMark/>
          </w:tcPr>
          <w:p w14:paraId="7F538113" w14:textId="1D6192BA" w:rsidR="00D75525" w:rsidRPr="00AA22F2" w:rsidRDefault="00251C02" w:rsidP="00D75525">
            <w:pPr>
              <w:cnfStyle w:val="000000000000" w:firstRow="0" w:lastRow="0" w:firstColumn="0" w:lastColumn="0" w:oddVBand="0" w:evenVBand="0" w:oddHBand="0" w:evenHBand="0" w:firstRowFirstColumn="0" w:firstRowLastColumn="0" w:lastRowFirstColumn="0" w:lastRowLastColumn="0"/>
              <w:rPr>
                <w:szCs w:val="20"/>
                <w:lang w:eastAsia="fr-FR" w:bidi="ar-SA"/>
              </w:rPr>
            </w:pPr>
            <w:r w:rsidRPr="00251C02">
              <w:rPr>
                <w:szCs w:val="20"/>
                <w:lang w:eastAsia="fr-FR" w:bidi="ar-SA"/>
              </w:rPr>
              <w:t xml:space="preserve">20 000 – 25 000 </w:t>
            </w:r>
            <w:r>
              <w:rPr>
                <w:szCs w:val="20"/>
                <w:lang w:eastAsia="fr-FR" w:bidi="ar-SA"/>
              </w:rPr>
              <w:t>MAD</w:t>
            </w:r>
            <w:r w:rsidRPr="00251C02">
              <w:rPr>
                <w:szCs w:val="20"/>
                <w:lang w:eastAsia="fr-FR" w:bidi="ar-SA"/>
              </w:rPr>
              <w:t>/cycle (30 h)</w:t>
            </w:r>
          </w:p>
        </w:tc>
      </w:tr>
      <w:tr w:rsidR="00380C06" w:rsidRPr="001D6A1B" w14:paraId="76205F83" w14:textId="77777777" w:rsidTr="001D6A1B">
        <w:tc>
          <w:tcPr>
            <w:cnfStyle w:val="001000000000" w:firstRow="0" w:lastRow="0" w:firstColumn="1" w:lastColumn="0" w:oddVBand="0" w:evenVBand="0" w:oddHBand="0" w:evenHBand="0" w:firstRowFirstColumn="0" w:firstRowLastColumn="0" w:lastRowFirstColumn="0" w:lastRowLastColumn="0"/>
            <w:tcW w:w="0" w:type="auto"/>
            <w:vMerge w:val="restart"/>
            <w:hideMark/>
          </w:tcPr>
          <w:p w14:paraId="6A2132F9" w14:textId="77777777" w:rsidR="00380C06" w:rsidRPr="00AA22F2" w:rsidRDefault="00380C06" w:rsidP="00D75525">
            <w:pPr>
              <w:rPr>
                <w:szCs w:val="20"/>
                <w:lang w:eastAsia="fr-FR" w:bidi="ar-SA"/>
              </w:rPr>
            </w:pPr>
            <w:r w:rsidRPr="00AA22F2">
              <w:rPr>
                <w:szCs w:val="20"/>
                <w:lang w:eastAsia="fr-FR" w:bidi="ar-SA"/>
              </w:rPr>
              <w:lastRenderedPageBreak/>
              <w:t>Relance du tourisme, attractivité et rayonnement économique</w:t>
            </w:r>
          </w:p>
        </w:tc>
        <w:tc>
          <w:tcPr>
            <w:tcW w:w="0" w:type="auto"/>
            <w:hideMark/>
          </w:tcPr>
          <w:p w14:paraId="16AD5EF0" w14:textId="77777777" w:rsidR="00380C06" w:rsidRPr="00AA22F2" w:rsidRDefault="00380C06" w:rsidP="00D75525">
            <w:pPr>
              <w:cnfStyle w:val="000000000000" w:firstRow="0" w:lastRow="0" w:firstColumn="0" w:lastColumn="0" w:oddVBand="0" w:evenVBand="0" w:oddHBand="0" w:evenHBand="0" w:firstRowFirstColumn="0" w:firstRowLastColumn="0" w:lastRowFirstColumn="0" w:lastRowLastColumn="0"/>
              <w:rPr>
                <w:szCs w:val="20"/>
                <w:lang w:eastAsia="fr-FR" w:bidi="ar-SA"/>
              </w:rPr>
            </w:pPr>
            <w:r w:rsidRPr="00AA22F2">
              <w:rPr>
                <w:b/>
                <w:bCs/>
                <w:szCs w:val="20"/>
                <w:lang w:eastAsia="fr-FR" w:bidi="ar-SA"/>
              </w:rPr>
              <w:t>Éviter</w:t>
            </w:r>
          </w:p>
        </w:tc>
        <w:tc>
          <w:tcPr>
            <w:tcW w:w="0" w:type="auto"/>
            <w:hideMark/>
          </w:tcPr>
          <w:p w14:paraId="20BA66B2" w14:textId="77777777" w:rsidR="00380C06" w:rsidRDefault="00380C06" w:rsidP="00D75525">
            <w:pPr>
              <w:cnfStyle w:val="000000000000" w:firstRow="0" w:lastRow="0" w:firstColumn="0" w:lastColumn="0" w:oddVBand="0" w:evenVBand="0" w:oddHBand="0" w:evenHBand="0" w:firstRowFirstColumn="0" w:firstRowLastColumn="0" w:lastRowFirstColumn="0" w:lastRowLastColumn="0"/>
              <w:rPr>
                <w:szCs w:val="20"/>
                <w:lang w:eastAsia="fr-FR" w:bidi="ar-SA"/>
              </w:rPr>
            </w:pPr>
            <w:r w:rsidRPr="00AA22F2">
              <w:rPr>
                <w:szCs w:val="20"/>
                <w:lang w:eastAsia="fr-FR" w:bidi="ar-SA"/>
              </w:rPr>
              <w:t xml:space="preserve">Éviter les restrictions opérationnelles pouvant limiter la capacité d’accueil des vols touristiques. </w:t>
            </w:r>
          </w:p>
          <w:p w14:paraId="141FE6EC" w14:textId="709F0CC9" w:rsidR="00380C06" w:rsidRPr="00AA22F2" w:rsidRDefault="00380C06" w:rsidP="00D75525">
            <w:pPr>
              <w:cnfStyle w:val="000000000000" w:firstRow="0" w:lastRow="0" w:firstColumn="0" w:lastColumn="0" w:oddVBand="0" w:evenVBand="0" w:oddHBand="0" w:evenHBand="0" w:firstRowFirstColumn="0" w:firstRowLastColumn="0" w:lastRowFirstColumn="0" w:lastRowLastColumn="0"/>
              <w:rPr>
                <w:szCs w:val="20"/>
                <w:lang w:eastAsia="fr-FR" w:bidi="ar-SA"/>
              </w:rPr>
            </w:pPr>
            <w:r w:rsidRPr="00AA22F2">
              <w:rPr>
                <w:szCs w:val="20"/>
                <w:lang w:eastAsia="fr-FR" w:bidi="ar-SA"/>
              </w:rPr>
              <w:t>Maintenir un fonctionnement optimal du parking et des voies de circulation.</w:t>
            </w:r>
          </w:p>
        </w:tc>
        <w:tc>
          <w:tcPr>
            <w:tcW w:w="0" w:type="auto"/>
            <w:hideMark/>
          </w:tcPr>
          <w:p w14:paraId="26EA9506" w14:textId="77777777" w:rsidR="00380C06" w:rsidRPr="00AA22F2" w:rsidRDefault="00380C06" w:rsidP="00D75525">
            <w:pPr>
              <w:cnfStyle w:val="000000000000" w:firstRow="0" w:lastRow="0" w:firstColumn="0" w:lastColumn="0" w:oddVBand="0" w:evenVBand="0" w:oddHBand="0" w:evenHBand="0" w:firstRowFirstColumn="0" w:firstRowLastColumn="0" w:lastRowFirstColumn="0" w:lastRowLastColumn="0"/>
              <w:rPr>
                <w:szCs w:val="20"/>
                <w:lang w:eastAsia="fr-FR" w:bidi="ar-SA"/>
              </w:rPr>
            </w:pPr>
            <w:r w:rsidRPr="00AA22F2">
              <w:rPr>
                <w:szCs w:val="20"/>
                <w:lang w:eastAsia="fr-FR" w:bidi="ar-SA"/>
              </w:rPr>
              <w:t>Taux d’utilisation des parkings avions ; % de vols réguliers maintenus</w:t>
            </w:r>
          </w:p>
        </w:tc>
        <w:tc>
          <w:tcPr>
            <w:tcW w:w="0" w:type="auto"/>
            <w:hideMark/>
          </w:tcPr>
          <w:p w14:paraId="1063BDE1" w14:textId="666D78D2" w:rsidR="00380C06" w:rsidRPr="00AA22F2" w:rsidRDefault="00380C06" w:rsidP="00D75525">
            <w:pPr>
              <w:cnfStyle w:val="000000000000" w:firstRow="0" w:lastRow="0" w:firstColumn="0" w:lastColumn="0" w:oddVBand="0" w:evenVBand="0" w:oddHBand="0" w:evenHBand="0" w:firstRowFirstColumn="0" w:firstRowLastColumn="0" w:lastRowFirstColumn="0" w:lastRowLastColumn="0"/>
              <w:rPr>
                <w:szCs w:val="20"/>
                <w:lang w:eastAsia="fr-FR" w:bidi="ar-SA"/>
              </w:rPr>
            </w:pPr>
            <w:r w:rsidRPr="00AA22F2">
              <w:rPr>
                <w:szCs w:val="20"/>
                <w:lang w:eastAsia="fr-FR" w:bidi="ar-SA"/>
              </w:rPr>
              <w:t>ONDA / Exploitant</w:t>
            </w:r>
          </w:p>
        </w:tc>
        <w:tc>
          <w:tcPr>
            <w:tcW w:w="0" w:type="auto"/>
            <w:hideMark/>
          </w:tcPr>
          <w:p w14:paraId="5D782B24" w14:textId="604543B9" w:rsidR="00380C06" w:rsidRPr="00AA22F2" w:rsidRDefault="00380C06" w:rsidP="00D75525">
            <w:pPr>
              <w:cnfStyle w:val="000000000000" w:firstRow="0" w:lastRow="0" w:firstColumn="0" w:lastColumn="0" w:oddVBand="0" w:evenVBand="0" w:oddHBand="0" w:evenHBand="0" w:firstRowFirstColumn="0" w:firstRowLastColumn="0" w:lastRowFirstColumn="0" w:lastRowLastColumn="0"/>
              <w:rPr>
                <w:szCs w:val="20"/>
                <w:lang w:eastAsia="fr-FR" w:bidi="ar-SA"/>
              </w:rPr>
            </w:pPr>
            <w:r w:rsidRPr="00AA22F2">
              <w:rPr>
                <w:szCs w:val="20"/>
                <w:lang w:eastAsia="fr-FR" w:bidi="ar-SA"/>
              </w:rPr>
              <w:t>ONDA</w:t>
            </w:r>
          </w:p>
        </w:tc>
        <w:tc>
          <w:tcPr>
            <w:tcW w:w="0" w:type="auto"/>
            <w:hideMark/>
          </w:tcPr>
          <w:p w14:paraId="661BEC14" w14:textId="7963C590" w:rsidR="00380C06" w:rsidRPr="00AA22F2" w:rsidRDefault="00380C06" w:rsidP="00D75525">
            <w:pPr>
              <w:cnfStyle w:val="000000000000" w:firstRow="0" w:lastRow="0" w:firstColumn="0" w:lastColumn="0" w:oddVBand="0" w:evenVBand="0" w:oddHBand="0" w:evenHBand="0" w:firstRowFirstColumn="0" w:firstRowLastColumn="0" w:lastRowFirstColumn="0" w:lastRowLastColumn="0"/>
              <w:rPr>
                <w:szCs w:val="20"/>
                <w:lang w:eastAsia="fr-FR" w:bidi="ar-SA"/>
              </w:rPr>
            </w:pPr>
            <w:r w:rsidRPr="00EB387E">
              <w:rPr>
                <w:szCs w:val="20"/>
                <w:lang w:eastAsia="fr-FR" w:bidi="ar-SA"/>
              </w:rPr>
              <w:t>ONDA</w:t>
            </w:r>
          </w:p>
        </w:tc>
        <w:tc>
          <w:tcPr>
            <w:tcW w:w="0" w:type="auto"/>
            <w:hideMark/>
          </w:tcPr>
          <w:p w14:paraId="583C9999" w14:textId="77777777" w:rsidR="00380C06" w:rsidRPr="00AA22F2" w:rsidRDefault="00380C06" w:rsidP="00D75525">
            <w:pPr>
              <w:cnfStyle w:val="000000000000" w:firstRow="0" w:lastRow="0" w:firstColumn="0" w:lastColumn="0" w:oddVBand="0" w:evenVBand="0" w:oddHBand="0" w:evenHBand="0" w:firstRowFirstColumn="0" w:firstRowLastColumn="0" w:lastRowFirstColumn="0" w:lastRowLastColumn="0"/>
              <w:rPr>
                <w:szCs w:val="20"/>
                <w:lang w:eastAsia="fr-FR" w:bidi="ar-SA"/>
              </w:rPr>
            </w:pPr>
            <w:r w:rsidRPr="00AA22F2">
              <w:rPr>
                <w:szCs w:val="20"/>
                <w:lang w:eastAsia="fr-FR" w:bidi="ar-SA"/>
              </w:rPr>
              <w:t>Permanent</w:t>
            </w:r>
          </w:p>
        </w:tc>
        <w:tc>
          <w:tcPr>
            <w:tcW w:w="0" w:type="auto"/>
            <w:hideMark/>
          </w:tcPr>
          <w:p w14:paraId="27DD76B9" w14:textId="77777777" w:rsidR="00380C06" w:rsidRPr="00AA22F2" w:rsidRDefault="00380C06" w:rsidP="00D75525">
            <w:pPr>
              <w:cnfStyle w:val="000000000000" w:firstRow="0" w:lastRow="0" w:firstColumn="0" w:lastColumn="0" w:oddVBand="0" w:evenVBand="0" w:oddHBand="0" w:evenHBand="0" w:firstRowFirstColumn="0" w:firstRowLastColumn="0" w:lastRowFirstColumn="0" w:lastRowLastColumn="0"/>
              <w:rPr>
                <w:szCs w:val="20"/>
                <w:lang w:eastAsia="fr-FR" w:bidi="ar-SA"/>
              </w:rPr>
            </w:pPr>
            <w:r w:rsidRPr="00AA22F2">
              <w:rPr>
                <w:szCs w:val="20"/>
                <w:lang w:eastAsia="fr-FR" w:bidi="ar-SA"/>
              </w:rPr>
              <w:t>Aucun coût spécifique</w:t>
            </w:r>
          </w:p>
        </w:tc>
      </w:tr>
      <w:tr w:rsidR="00380C06" w:rsidRPr="001D6A1B" w14:paraId="7970B151" w14:textId="77777777" w:rsidTr="001D6A1B">
        <w:tc>
          <w:tcPr>
            <w:cnfStyle w:val="001000000000" w:firstRow="0" w:lastRow="0" w:firstColumn="1" w:lastColumn="0" w:oddVBand="0" w:evenVBand="0" w:oddHBand="0" w:evenHBand="0" w:firstRowFirstColumn="0" w:firstRowLastColumn="0" w:lastRowFirstColumn="0" w:lastRowLastColumn="0"/>
            <w:tcW w:w="0" w:type="auto"/>
            <w:vMerge/>
            <w:hideMark/>
          </w:tcPr>
          <w:p w14:paraId="52FD094B" w14:textId="77777777" w:rsidR="00380C06" w:rsidRPr="00AA22F2" w:rsidRDefault="00380C06" w:rsidP="00D75525">
            <w:pPr>
              <w:rPr>
                <w:szCs w:val="20"/>
                <w:lang w:eastAsia="fr-FR" w:bidi="ar-SA"/>
              </w:rPr>
            </w:pPr>
          </w:p>
        </w:tc>
        <w:tc>
          <w:tcPr>
            <w:tcW w:w="0" w:type="auto"/>
            <w:hideMark/>
          </w:tcPr>
          <w:p w14:paraId="505A60E1" w14:textId="77777777" w:rsidR="00380C06" w:rsidRPr="00AA22F2" w:rsidRDefault="00380C06" w:rsidP="00D75525">
            <w:pPr>
              <w:cnfStyle w:val="000000000000" w:firstRow="0" w:lastRow="0" w:firstColumn="0" w:lastColumn="0" w:oddVBand="0" w:evenVBand="0" w:oddHBand="0" w:evenHBand="0" w:firstRowFirstColumn="0" w:firstRowLastColumn="0" w:lastRowFirstColumn="0" w:lastRowLastColumn="0"/>
              <w:rPr>
                <w:szCs w:val="20"/>
                <w:lang w:eastAsia="fr-FR" w:bidi="ar-SA"/>
              </w:rPr>
            </w:pPr>
            <w:r w:rsidRPr="00AA22F2">
              <w:rPr>
                <w:b/>
                <w:bCs/>
                <w:szCs w:val="20"/>
                <w:lang w:eastAsia="fr-FR" w:bidi="ar-SA"/>
              </w:rPr>
              <w:t>Réduire</w:t>
            </w:r>
          </w:p>
        </w:tc>
        <w:tc>
          <w:tcPr>
            <w:tcW w:w="0" w:type="auto"/>
            <w:hideMark/>
          </w:tcPr>
          <w:p w14:paraId="36438163" w14:textId="423FE031" w:rsidR="00380C06" w:rsidRPr="00AA22F2" w:rsidRDefault="00380C06" w:rsidP="00D75525">
            <w:pPr>
              <w:cnfStyle w:val="000000000000" w:firstRow="0" w:lastRow="0" w:firstColumn="0" w:lastColumn="0" w:oddVBand="0" w:evenVBand="0" w:oddHBand="0" w:evenHBand="0" w:firstRowFirstColumn="0" w:firstRowLastColumn="0" w:lastRowFirstColumn="0" w:lastRowLastColumn="0"/>
              <w:rPr>
                <w:szCs w:val="20"/>
                <w:lang w:eastAsia="fr-FR" w:bidi="ar-SA"/>
              </w:rPr>
            </w:pPr>
            <w:r w:rsidRPr="00AA22F2">
              <w:rPr>
                <w:szCs w:val="20"/>
                <w:lang w:eastAsia="fr-FR" w:bidi="ar-SA"/>
              </w:rPr>
              <w:t xml:space="preserve">Développer la </w:t>
            </w:r>
            <w:r w:rsidRPr="004637C7">
              <w:rPr>
                <w:szCs w:val="20"/>
                <w:lang w:eastAsia="fr-FR" w:bidi="ar-SA"/>
              </w:rPr>
              <w:t>coordination avec l’Office National Marocain du Tourisme (ONMT)</w:t>
            </w:r>
            <w:r w:rsidRPr="00AA22F2">
              <w:rPr>
                <w:szCs w:val="20"/>
                <w:lang w:eastAsia="fr-FR" w:bidi="ar-SA"/>
              </w:rPr>
              <w:t xml:space="preserve"> et les compagnies aériennes pour promouvoir la destination </w:t>
            </w:r>
            <w:r w:rsidR="00297A43">
              <w:rPr>
                <w:szCs w:val="20"/>
                <w:lang w:eastAsia="fr-FR" w:bidi="ar-SA"/>
              </w:rPr>
              <w:t xml:space="preserve">Marrakech </w:t>
            </w:r>
            <w:r w:rsidRPr="00AA22F2">
              <w:rPr>
                <w:szCs w:val="20"/>
                <w:lang w:eastAsia="fr-FR" w:bidi="ar-SA"/>
              </w:rPr>
              <w:t>Encourager les vols charter saisonniers et low-cost.</w:t>
            </w:r>
          </w:p>
        </w:tc>
        <w:tc>
          <w:tcPr>
            <w:tcW w:w="0" w:type="auto"/>
            <w:hideMark/>
          </w:tcPr>
          <w:p w14:paraId="56C79126" w14:textId="77777777" w:rsidR="00380C06" w:rsidRPr="00AA22F2" w:rsidRDefault="00380C06" w:rsidP="00D75525">
            <w:pPr>
              <w:cnfStyle w:val="000000000000" w:firstRow="0" w:lastRow="0" w:firstColumn="0" w:lastColumn="0" w:oddVBand="0" w:evenVBand="0" w:oddHBand="0" w:evenHBand="0" w:firstRowFirstColumn="0" w:firstRowLastColumn="0" w:lastRowFirstColumn="0" w:lastRowLastColumn="0"/>
              <w:rPr>
                <w:szCs w:val="20"/>
                <w:lang w:eastAsia="fr-FR" w:bidi="ar-SA"/>
              </w:rPr>
            </w:pPr>
            <w:r w:rsidRPr="00AA22F2">
              <w:rPr>
                <w:szCs w:val="20"/>
                <w:lang w:eastAsia="fr-FR" w:bidi="ar-SA"/>
              </w:rPr>
              <w:t>Nombre de conventions ONDA-ONMT signées ; taux de croissance du trafic passagers</w:t>
            </w:r>
          </w:p>
        </w:tc>
        <w:tc>
          <w:tcPr>
            <w:tcW w:w="0" w:type="auto"/>
            <w:hideMark/>
          </w:tcPr>
          <w:p w14:paraId="41184502" w14:textId="05428E84" w:rsidR="00380C06" w:rsidRPr="00AA22F2" w:rsidRDefault="00380C06" w:rsidP="00D75525">
            <w:pPr>
              <w:cnfStyle w:val="000000000000" w:firstRow="0" w:lastRow="0" w:firstColumn="0" w:lastColumn="0" w:oddVBand="0" w:evenVBand="0" w:oddHBand="0" w:evenHBand="0" w:firstRowFirstColumn="0" w:firstRowLastColumn="0" w:lastRowFirstColumn="0" w:lastRowLastColumn="0"/>
              <w:rPr>
                <w:szCs w:val="20"/>
                <w:lang w:eastAsia="fr-FR" w:bidi="ar-SA"/>
              </w:rPr>
            </w:pPr>
            <w:r w:rsidRPr="00AA22F2">
              <w:rPr>
                <w:szCs w:val="20"/>
                <w:lang w:eastAsia="fr-FR" w:bidi="ar-SA"/>
              </w:rPr>
              <w:t>ONDA / exploitant / Compagnies aériennes</w:t>
            </w:r>
          </w:p>
        </w:tc>
        <w:tc>
          <w:tcPr>
            <w:tcW w:w="0" w:type="auto"/>
            <w:hideMark/>
          </w:tcPr>
          <w:p w14:paraId="5B1C2E46" w14:textId="3448A21A" w:rsidR="00380C06" w:rsidRPr="00AA22F2" w:rsidRDefault="00380C06" w:rsidP="00D75525">
            <w:pPr>
              <w:cnfStyle w:val="000000000000" w:firstRow="0" w:lastRow="0" w:firstColumn="0" w:lastColumn="0" w:oddVBand="0" w:evenVBand="0" w:oddHBand="0" w:evenHBand="0" w:firstRowFirstColumn="0" w:firstRowLastColumn="0" w:lastRowFirstColumn="0" w:lastRowLastColumn="0"/>
              <w:rPr>
                <w:szCs w:val="20"/>
                <w:lang w:eastAsia="fr-FR" w:bidi="ar-SA"/>
              </w:rPr>
            </w:pPr>
            <w:r w:rsidRPr="00AA22F2">
              <w:rPr>
                <w:szCs w:val="20"/>
                <w:lang w:eastAsia="fr-FR" w:bidi="ar-SA"/>
              </w:rPr>
              <w:t>ONDA</w:t>
            </w:r>
          </w:p>
        </w:tc>
        <w:tc>
          <w:tcPr>
            <w:tcW w:w="0" w:type="auto"/>
            <w:hideMark/>
          </w:tcPr>
          <w:p w14:paraId="63281762" w14:textId="07E2B392" w:rsidR="00380C06" w:rsidRPr="00AA22F2" w:rsidRDefault="00380C06" w:rsidP="00D75525">
            <w:pPr>
              <w:cnfStyle w:val="000000000000" w:firstRow="0" w:lastRow="0" w:firstColumn="0" w:lastColumn="0" w:oddVBand="0" w:evenVBand="0" w:oddHBand="0" w:evenHBand="0" w:firstRowFirstColumn="0" w:firstRowLastColumn="0" w:lastRowFirstColumn="0" w:lastRowLastColumn="0"/>
              <w:rPr>
                <w:szCs w:val="20"/>
                <w:lang w:eastAsia="fr-FR" w:bidi="ar-SA"/>
              </w:rPr>
            </w:pPr>
            <w:r w:rsidRPr="00EB387E">
              <w:rPr>
                <w:szCs w:val="20"/>
                <w:lang w:eastAsia="fr-FR" w:bidi="ar-SA"/>
              </w:rPr>
              <w:t>ONDA</w:t>
            </w:r>
          </w:p>
        </w:tc>
        <w:tc>
          <w:tcPr>
            <w:tcW w:w="0" w:type="auto"/>
            <w:hideMark/>
          </w:tcPr>
          <w:p w14:paraId="1415F048" w14:textId="77777777" w:rsidR="00380C06" w:rsidRPr="00AA22F2" w:rsidRDefault="00380C06" w:rsidP="00D75525">
            <w:pPr>
              <w:cnfStyle w:val="000000000000" w:firstRow="0" w:lastRow="0" w:firstColumn="0" w:lastColumn="0" w:oddVBand="0" w:evenVBand="0" w:oddHBand="0" w:evenHBand="0" w:firstRowFirstColumn="0" w:firstRowLastColumn="0" w:lastRowFirstColumn="0" w:lastRowLastColumn="0"/>
              <w:rPr>
                <w:szCs w:val="20"/>
                <w:lang w:eastAsia="fr-FR" w:bidi="ar-SA"/>
              </w:rPr>
            </w:pPr>
            <w:r w:rsidRPr="00AA22F2">
              <w:rPr>
                <w:szCs w:val="20"/>
                <w:lang w:eastAsia="fr-FR" w:bidi="ar-SA"/>
              </w:rPr>
              <w:t>Exploitation continue</w:t>
            </w:r>
          </w:p>
        </w:tc>
        <w:tc>
          <w:tcPr>
            <w:tcW w:w="0" w:type="auto"/>
            <w:hideMark/>
          </w:tcPr>
          <w:p w14:paraId="28AFC04A" w14:textId="4346B1BA" w:rsidR="00380C06" w:rsidRPr="00AA22F2" w:rsidRDefault="00380C06" w:rsidP="00D75525">
            <w:pPr>
              <w:cnfStyle w:val="000000000000" w:firstRow="0" w:lastRow="0" w:firstColumn="0" w:lastColumn="0" w:oddVBand="0" w:evenVBand="0" w:oddHBand="0" w:evenHBand="0" w:firstRowFirstColumn="0" w:firstRowLastColumn="0" w:lastRowFirstColumn="0" w:lastRowLastColumn="0"/>
              <w:rPr>
                <w:szCs w:val="20"/>
                <w:lang w:eastAsia="fr-FR" w:bidi="ar-SA"/>
              </w:rPr>
            </w:pPr>
            <w:r w:rsidRPr="00251C02">
              <w:rPr>
                <w:szCs w:val="20"/>
                <w:lang w:eastAsia="fr-FR" w:bidi="ar-SA"/>
              </w:rPr>
              <w:t>30 000 – 40 000</w:t>
            </w:r>
            <w:r>
              <w:rPr>
                <w:szCs w:val="20"/>
                <w:lang w:eastAsia="fr-FR" w:bidi="ar-SA"/>
              </w:rPr>
              <w:t xml:space="preserve"> MAD</w:t>
            </w:r>
            <w:r w:rsidRPr="00251C02">
              <w:rPr>
                <w:szCs w:val="20"/>
                <w:lang w:eastAsia="fr-FR" w:bidi="ar-SA"/>
              </w:rPr>
              <w:t xml:space="preserve"> /an (forfait partenariat)</w:t>
            </w:r>
            <w:r>
              <w:rPr>
                <w:szCs w:val="20"/>
                <w:lang w:eastAsia="fr-FR" w:bidi="ar-SA"/>
              </w:rPr>
              <w:t xml:space="preserve"> (</w:t>
            </w:r>
            <w:r w:rsidRPr="00251C02">
              <w:rPr>
                <w:szCs w:val="20"/>
                <w:lang w:eastAsia="fr-FR" w:bidi="ar-SA"/>
              </w:rPr>
              <w:t>Budget communication ONDA : campagnes promotionnelles, participation salons, actions ONMT régionales</w:t>
            </w:r>
            <w:r>
              <w:rPr>
                <w:szCs w:val="20"/>
                <w:lang w:eastAsia="fr-FR" w:bidi="ar-SA"/>
              </w:rPr>
              <w:t>)</w:t>
            </w:r>
          </w:p>
        </w:tc>
      </w:tr>
      <w:tr w:rsidR="00380C06" w:rsidRPr="001D6A1B" w14:paraId="0C7879A8" w14:textId="77777777" w:rsidTr="00380C06">
        <w:trPr>
          <w:trHeight w:val="1855"/>
        </w:trPr>
        <w:tc>
          <w:tcPr>
            <w:cnfStyle w:val="001000000000" w:firstRow="0" w:lastRow="0" w:firstColumn="1" w:lastColumn="0" w:oddVBand="0" w:evenVBand="0" w:oddHBand="0" w:evenHBand="0" w:firstRowFirstColumn="0" w:firstRowLastColumn="0" w:lastRowFirstColumn="0" w:lastRowLastColumn="0"/>
            <w:tcW w:w="0" w:type="auto"/>
            <w:vMerge/>
            <w:hideMark/>
          </w:tcPr>
          <w:p w14:paraId="734F79D7" w14:textId="77777777" w:rsidR="00380C06" w:rsidRPr="00AA22F2" w:rsidRDefault="00380C06" w:rsidP="00D75525">
            <w:pPr>
              <w:rPr>
                <w:szCs w:val="20"/>
                <w:lang w:eastAsia="fr-FR" w:bidi="ar-SA"/>
              </w:rPr>
            </w:pPr>
          </w:p>
        </w:tc>
        <w:tc>
          <w:tcPr>
            <w:tcW w:w="0" w:type="auto"/>
            <w:vMerge w:val="restart"/>
            <w:hideMark/>
          </w:tcPr>
          <w:p w14:paraId="4B023267" w14:textId="77777777" w:rsidR="00380C06" w:rsidRPr="00AA22F2" w:rsidRDefault="00380C06" w:rsidP="00D75525">
            <w:pPr>
              <w:cnfStyle w:val="000000000000" w:firstRow="0" w:lastRow="0" w:firstColumn="0" w:lastColumn="0" w:oddVBand="0" w:evenVBand="0" w:oddHBand="0" w:evenHBand="0" w:firstRowFirstColumn="0" w:firstRowLastColumn="0" w:lastRowFirstColumn="0" w:lastRowLastColumn="0"/>
              <w:rPr>
                <w:szCs w:val="20"/>
                <w:lang w:eastAsia="fr-FR" w:bidi="ar-SA"/>
              </w:rPr>
            </w:pPr>
            <w:r w:rsidRPr="00AA22F2">
              <w:rPr>
                <w:b/>
                <w:bCs/>
                <w:szCs w:val="20"/>
                <w:lang w:eastAsia="fr-FR" w:bidi="ar-SA"/>
              </w:rPr>
              <w:t>Atténuer</w:t>
            </w:r>
          </w:p>
        </w:tc>
        <w:tc>
          <w:tcPr>
            <w:tcW w:w="0" w:type="auto"/>
            <w:tcBorders>
              <w:bottom w:val="single" w:sz="4" w:space="0" w:color="B4C6E7" w:themeColor="accent1" w:themeTint="66"/>
            </w:tcBorders>
            <w:hideMark/>
          </w:tcPr>
          <w:p w14:paraId="2E5478A7" w14:textId="16253FAA" w:rsidR="00380C06" w:rsidRPr="00AA22F2" w:rsidRDefault="00380C06" w:rsidP="00D75525">
            <w:pPr>
              <w:cnfStyle w:val="000000000000" w:firstRow="0" w:lastRow="0" w:firstColumn="0" w:lastColumn="0" w:oddVBand="0" w:evenVBand="0" w:oddHBand="0" w:evenHBand="0" w:firstRowFirstColumn="0" w:firstRowLastColumn="0" w:lastRowFirstColumn="0" w:lastRowLastColumn="0"/>
              <w:rPr>
                <w:szCs w:val="20"/>
                <w:lang w:eastAsia="fr-FR" w:bidi="ar-SA"/>
              </w:rPr>
            </w:pPr>
            <w:r w:rsidRPr="00AA22F2">
              <w:rPr>
                <w:szCs w:val="20"/>
                <w:lang w:eastAsia="fr-FR" w:bidi="ar-SA"/>
              </w:rPr>
              <w:t xml:space="preserve">Améliorer l’expérience des passagers grâce à un </w:t>
            </w:r>
            <w:r w:rsidRPr="004637C7">
              <w:rPr>
                <w:szCs w:val="20"/>
                <w:lang w:eastAsia="fr-FR" w:bidi="ar-SA"/>
              </w:rPr>
              <w:t>programme d’accueil et de services améliorés</w:t>
            </w:r>
            <w:r w:rsidRPr="00AA22F2">
              <w:rPr>
                <w:szCs w:val="20"/>
                <w:lang w:eastAsia="fr-FR" w:bidi="ar-SA"/>
              </w:rPr>
              <w:t xml:space="preserve"> (signalétique, confort, propreté). </w:t>
            </w:r>
          </w:p>
        </w:tc>
        <w:tc>
          <w:tcPr>
            <w:tcW w:w="0" w:type="auto"/>
            <w:vMerge w:val="restart"/>
            <w:hideMark/>
          </w:tcPr>
          <w:p w14:paraId="79A57355" w14:textId="77777777" w:rsidR="00380C06" w:rsidRPr="00AA22F2" w:rsidRDefault="00380C06" w:rsidP="00D75525">
            <w:pPr>
              <w:cnfStyle w:val="000000000000" w:firstRow="0" w:lastRow="0" w:firstColumn="0" w:lastColumn="0" w:oddVBand="0" w:evenVBand="0" w:oddHBand="0" w:evenHBand="0" w:firstRowFirstColumn="0" w:firstRowLastColumn="0" w:lastRowFirstColumn="0" w:lastRowLastColumn="0"/>
              <w:rPr>
                <w:szCs w:val="20"/>
                <w:lang w:eastAsia="fr-FR" w:bidi="ar-SA"/>
              </w:rPr>
            </w:pPr>
            <w:r w:rsidRPr="00AA22F2">
              <w:rPr>
                <w:szCs w:val="20"/>
                <w:lang w:eastAsia="fr-FR" w:bidi="ar-SA"/>
              </w:rPr>
              <w:t>Taux de satisfaction passagers ; nombre de prestataires locaux actifs</w:t>
            </w:r>
          </w:p>
        </w:tc>
        <w:tc>
          <w:tcPr>
            <w:tcW w:w="0" w:type="auto"/>
            <w:vMerge w:val="restart"/>
            <w:hideMark/>
          </w:tcPr>
          <w:p w14:paraId="5B468DD2" w14:textId="7F5FC794" w:rsidR="00380C06" w:rsidRPr="00AA22F2" w:rsidRDefault="00380C06" w:rsidP="00D75525">
            <w:pPr>
              <w:cnfStyle w:val="000000000000" w:firstRow="0" w:lastRow="0" w:firstColumn="0" w:lastColumn="0" w:oddVBand="0" w:evenVBand="0" w:oddHBand="0" w:evenHBand="0" w:firstRowFirstColumn="0" w:firstRowLastColumn="0" w:lastRowFirstColumn="0" w:lastRowLastColumn="0"/>
              <w:rPr>
                <w:szCs w:val="20"/>
                <w:lang w:eastAsia="fr-FR" w:bidi="ar-SA"/>
              </w:rPr>
            </w:pPr>
            <w:r w:rsidRPr="00AA22F2">
              <w:rPr>
                <w:szCs w:val="20"/>
                <w:lang w:eastAsia="fr-FR" w:bidi="ar-SA"/>
              </w:rPr>
              <w:t>ONDA / Exploitant</w:t>
            </w:r>
          </w:p>
        </w:tc>
        <w:tc>
          <w:tcPr>
            <w:tcW w:w="0" w:type="auto"/>
            <w:vMerge w:val="restart"/>
            <w:hideMark/>
          </w:tcPr>
          <w:p w14:paraId="3CBB9A90" w14:textId="75792A96" w:rsidR="00380C06" w:rsidRPr="00AA22F2" w:rsidRDefault="00380C06" w:rsidP="00D75525">
            <w:pPr>
              <w:cnfStyle w:val="000000000000" w:firstRow="0" w:lastRow="0" w:firstColumn="0" w:lastColumn="0" w:oddVBand="0" w:evenVBand="0" w:oddHBand="0" w:evenHBand="0" w:firstRowFirstColumn="0" w:firstRowLastColumn="0" w:lastRowFirstColumn="0" w:lastRowLastColumn="0"/>
              <w:rPr>
                <w:szCs w:val="20"/>
                <w:lang w:eastAsia="fr-FR" w:bidi="ar-SA"/>
              </w:rPr>
            </w:pPr>
            <w:r w:rsidRPr="00AA22F2">
              <w:rPr>
                <w:szCs w:val="20"/>
                <w:lang w:eastAsia="fr-FR" w:bidi="ar-SA"/>
              </w:rPr>
              <w:t>ONDA</w:t>
            </w:r>
          </w:p>
        </w:tc>
        <w:tc>
          <w:tcPr>
            <w:tcW w:w="0" w:type="auto"/>
            <w:vMerge w:val="restart"/>
            <w:hideMark/>
          </w:tcPr>
          <w:p w14:paraId="04256806" w14:textId="357780FF" w:rsidR="00380C06" w:rsidRPr="00AA22F2" w:rsidRDefault="00380C06" w:rsidP="00D75525">
            <w:pPr>
              <w:cnfStyle w:val="000000000000" w:firstRow="0" w:lastRow="0" w:firstColumn="0" w:lastColumn="0" w:oddVBand="0" w:evenVBand="0" w:oddHBand="0" w:evenHBand="0" w:firstRowFirstColumn="0" w:firstRowLastColumn="0" w:lastRowFirstColumn="0" w:lastRowLastColumn="0"/>
              <w:rPr>
                <w:szCs w:val="20"/>
                <w:lang w:eastAsia="fr-FR" w:bidi="ar-SA"/>
              </w:rPr>
            </w:pPr>
            <w:r w:rsidRPr="00EB387E">
              <w:rPr>
                <w:szCs w:val="20"/>
                <w:lang w:eastAsia="fr-FR" w:bidi="ar-SA"/>
              </w:rPr>
              <w:t>ONDA</w:t>
            </w:r>
          </w:p>
        </w:tc>
        <w:tc>
          <w:tcPr>
            <w:tcW w:w="0" w:type="auto"/>
            <w:vMerge w:val="restart"/>
            <w:hideMark/>
          </w:tcPr>
          <w:p w14:paraId="2A145C43" w14:textId="77777777" w:rsidR="00380C06" w:rsidRPr="00AA22F2" w:rsidRDefault="00380C06" w:rsidP="00D75525">
            <w:pPr>
              <w:cnfStyle w:val="000000000000" w:firstRow="0" w:lastRow="0" w:firstColumn="0" w:lastColumn="0" w:oddVBand="0" w:evenVBand="0" w:oddHBand="0" w:evenHBand="0" w:firstRowFirstColumn="0" w:firstRowLastColumn="0" w:lastRowFirstColumn="0" w:lastRowLastColumn="0"/>
              <w:rPr>
                <w:szCs w:val="20"/>
                <w:lang w:eastAsia="fr-FR" w:bidi="ar-SA"/>
              </w:rPr>
            </w:pPr>
            <w:r w:rsidRPr="00AA22F2">
              <w:rPr>
                <w:szCs w:val="20"/>
                <w:lang w:eastAsia="fr-FR" w:bidi="ar-SA"/>
              </w:rPr>
              <w:t>Permanent</w:t>
            </w:r>
          </w:p>
        </w:tc>
        <w:tc>
          <w:tcPr>
            <w:tcW w:w="0" w:type="auto"/>
            <w:tcBorders>
              <w:bottom w:val="single" w:sz="4" w:space="0" w:color="B4C6E7" w:themeColor="accent1" w:themeTint="66"/>
            </w:tcBorders>
            <w:hideMark/>
          </w:tcPr>
          <w:p w14:paraId="6A244503" w14:textId="0A1D0357" w:rsidR="00380C06" w:rsidRPr="00AA22F2" w:rsidRDefault="00BF6401" w:rsidP="00D75525">
            <w:pPr>
              <w:cnfStyle w:val="000000000000" w:firstRow="0" w:lastRow="0" w:firstColumn="0" w:lastColumn="0" w:oddVBand="0" w:evenVBand="0" w:oddHBand="0" w:evenHBand="0" w:firstRowFirstColumn="0" w:firstRowLastColumn="0" w:lastRowFirstColumn="0" w:lastRowLastColumn="0"/>
              <w:rPr>
                <w:szCs w:val="20"/>
                <w:lang w:eastAsia="fr-FR" w:bidi="ar-SA"/>
              </w:rPr>
            </w:pPr>
            <w:r w:rsidRPr="00BF6401">
              <w:rPr>
                <w:szCs w:val="20"/>
                <w:lang w:eastAsia="fr-FR" w:bidi="ar-SA"/>
              </w:rPr>
              <w:t>15 000 – 20 000</w:t>
            </w:r>
            <w:r>
              <w:rPr>
                <w:szCs w:val="20"/>
                <w:lang w:eastAsia="fr-FR" w:bidi="ar-SA"/>
              </w:rPr>
              <w:t xml:space="preserve"> MAD</w:t>
            </w:r>
            <w:r w:rsidRPr="00BF6401">
              <w:rPr>
                <w:szCs w:val="20"/>
                <w:lang w:eastAsia="fr-FR" w:bidi="ar-SA"/>
              </w:rPr>
              <w:t xml:space="preserve"> /an</w:t>
            </w:r>
            <w:r>
              <w:rPr>
                <w:szCs w:val="20"/>
                <w:lang w:eastAsia="fr-FR" w:bidi="ar-SA"/>
              </w:rPr>
              <w:t xml:space="preserve"> (</w:t>
            </w:r>
            <w:r w:rsidRPr="00BF6401">
              <w:rPr>
                <w:szCs w:val="20"/>
                <w:lang w:eastAsia="fr-FR" w:bidi="ar-SA"/>
              </w:rPr>
              <w:t>Renouvellement signalétique, mobilier, amélioration visuelle des zones d’attente</w:t>
            </w:r>
            <w:r>
              <w:rPr>
                <w:szCs w:val="20"/>
                <w:lang w:eastAsia="fr-FR" w:bidi="ar-SA"/>
              </w:rPr>
              <w:t>)</w:t>
            </w:r>
          </w:p>
        </w:tc>
      </w:tr>
      <w:tr w:rsidR="00380C06" w:rsidRPr="001D6A1B" w14:paraId="3A23DA3C" w14:textId="77777777" w:rsidTr="00380C06">
        <w:trPr>
          <w:trHeight w:val="1025"/>
        </w:trPr>
        <w:tc>
          <w:tcPr>
            <w:cnfStyle w:val="001000000000" w:firstRow="0" w:lastRow="0" w:firstColumn="1" w:lastColumn="0" w:oddVBand="0" w:evenVBand="0" w:oddHBand="0" w:evenHBand="0" w:firstRowFirstColumn="0" w:firstRowLastColumn="0" w:lastRowFirstColumn="0" w:lastRowLastColumn="0"/>
            <w:tcW w:w="0" w:type="auto"/>
            <w:vMerge/>
          </w:tcPr>
          <w:p w14:paraId="15015B2E" w14:textId="77777777" w:rsidR="00380C06" w:rsidRPr="00AA22F2" w:rsidRDefault="00380C06" w:rsidP="00D75525">
            <w:pPr>
              <w:rPr>
                <w:szCs w:val="20"/>
                <w:lang w:eastAsia="fr-FR" w:bidi="ar-SA"/>
              </w:rPr>
            </w:pPr>
          </w:p>
        </w:tc>
        <w:tc>
          <w:tcPr>
            <w:tcW w:w="0" w:type="auto"/>
            <w:vMerge/>
          </w:tcPr>
          <w:p w14:paraId="70139F8B" w14:textId="77777777" w:rsidR="00380C06" w:rsidRPr="00AA22F2" w:rsidRDefault="00380C06" w:rsidP="00D75525">
            <w:pPr>
              <w:cnfStyle w:val="000000000000" w:firstRow="0" w:lastRow="0" w:firstColumn="0" w:lastColumn="0" w:oddVBand="0" w:evenVBand="0" w:oddHBand="0" w:evenHBand="0" w:firstRowFirstColumn="0" w:firstRowLastColumn="0" w:lastRowFirstColumn="0" w:lastRowLastColumn="0"/>
              <w:rPr>
                <w:b/>
                <w:bCs/>
                <w:szCs w:val="20"/>
                <w:lang w:eastAsia="fr-FR" w:bidi="ar-SA"/>
              </w:rPr>
            </w:pPr>
          </w:p>
        </w:tc>
        <w:tc>
          <w:tcPr>
            <w:tcW w:w="0" w:type="auto"/>
            <w:tcBorders>
              <w:top w:val="single" w:sz="4" w:space="0" w:color="B4C6E7" w:themeColor="accent1" w:themeTint="66"/>
            </w:tcBorders>
          </w:tcPr>
          <w:p w14:paraId="3BDC7B4D" w14:textId="77777777" w:rsidR="00380C06" w:rsidRPr="00AA22F2" w:rsidRDefault="00380C06" w:rsidP="00380C06">
            <w:pPr>
              <w:cnfStyle w:val="000000000000" w:firstRow="0" w:lastRow="0" w:firstColumn="0" w:lastColumn="0" w:oddVBand="0" w:evenVBand="0" w:oddHBand="0" w:evenHBand="0" w:firstRowFirstColumn="0" w:firstRowLastColumn="0" w:lastRowFirstColumn="0" w:lastRowLastColumn="0"/>
              <w:rPr>
                <w:szCs w:val="20"/>
                <w:lang w:eastAsia="fr-FR" w:bidi="ar-SA"/>
              </w:rPr>
            </w:pPr>
            <w:r w:rsidRPr="00AA22F2">
              <w:rPr>
                <w:szCs w:val="20"/>
                <w:lang w:eastAsia="fr-FR" w:bidi="ar-SA"/>
              </w:rPr>
              <w:t>Renforcer l’offre de services locaux (transport, artisanat, restauration).</w:t>
            </w:r>
          </w:p>
        </w:tc>
        <w:tc>
          <w:tcPr>
            <w:tcW w:w="0" w:type="auto"/>
            <w:vMerge/>
          </w:tcPr>
          <w:p w14:paraId="147310B7" w14:textId="77777777" w:rsidR="00380C06" w:rsidRPr="00AA22F2" w:rsidRDefault="00380C06" w:rsidP="00D75525">
            <w:pPr>
              <w:cnfStyle w:val="000000000000" w:firstRow="0" w:lastRow="0" w:firstColumn="0" w:lastColumn="0" w:oddVBand="0" w:evenVBand="0" w:oddHBand="0" w:evenHBand="0" w:firstRowFirstColumn="0" w:firstRowLastColumn="0" w:lastRowFirstColumn="0" w:lastRowLastColumn="0"/>
              <w:rPr>
                <w:szCs w:val="20"/>
                <w:lang w:eastAsia="fr-FR" w:bidi="ar-SA"/>
              </w:rPr>
            </w:pPr>
          </w:p>
        </w:tc>
        <w:tc>
          <w:tcPr>
            <w:tcW w:w="0" w:type="auto"/>
            <w:vMerge/>
          </w:tcPr>
          <w:p w14:paraId="1D550ADC" w14:textId="77777777" w:rsidR="00380C06" w:rsidRPr="00AA22F2" w:rsidRDefault="00380C06" w:rsidP="00D75525">
            <w:pPr>
              <w:cnfStyle w:val="000000000000" w:firstRow="0" w:lastRow="0" w:firstColumn="0" w:lastColumn="0" w:oddVBand="0" w:evenVBand="0" w:oddHBand="0" w:evenHBand="0" w:firstRowFirstColumn="0" w:firstRowLastColumn="0" w:lastRowFirstColumn="0" w:lastRowLastColumn="0"/>
              <w:rPr>
                <w:szCs w:val="20"/>
                <w:lang w:eastAsia="fr-FR" w:bidi="ar-SA"/>
              </w:rPr>
            </w:pPr>
          </w:p>
        </w:tc>
        <w:tc>
          <w:tcPr>
            <w:tcW w:w="0" w:type="auto"/>
            <w:vMerge/>
          </w:tcPr>
          <w:p w14:paraId="628E4D3F" w14:textId="77777777" w:rsidR="00380C06" w:rsidRPr="00AA22F2" w:rsidRDefault="00380C06" w:rsidP="00D75525">
            <w:pPr>
              <w:cnfStyle w:val="000000000000" w:firstRow="0" w:lastRow="0" w:firstColumn="0" w:lastColumn="0" w:oddVBand="0" w:evenVBand="0" w:oddHBand="0" w:evenHBand="0" w:firstRowFirstColumn="0" w:firstRowLastColumn="0" w:lastRowFirstColumn="0" w:lastRowLastColumn="0"/>
              <w:rPr>
                <w:szCs w:val="20"/>
                <w:lang w:eastAsia="fr-FR" w:bidi="ar-SA"/>
              </w:rPr>
            </w:pPr>
          </w:p>
        </w:tc>
        <w:tc>
          <w:tcPr>
            <w:tcW w:w="0" w:type="auto"/>
            <w:vMerge/>
          </w:tcPr>
          <w:p w14:paraId="083653FD" w14:textId="77777777" w:rsidR="00380C06" w:rsidRPr="00EB387E" w:rsidRDefault="00380C06" w:rsidP="00D75525">
            <w:pPr>
              <w:cnfStyle w:val="000000000000" w:firstRow="0" w:lastRow="0" w:firstColumn="0" w:lastColumn="0" w:oddVBand="0" w:evenVBand="0" w:oddHBand="0" w:evenHBand="0" w:firstRowFirstColumn="0" w:firstRowLastColumn="0" w:lastRowFirstColumn="0" w:lastRowLastColumn="0"/>
              <w:rPr>
                <w:szCs w:val="20"/>
                <w:lang w:eastAsia="fr-FR" w:bidi="ar-SA"/>
              </w:rPr>
            </w:pPr>
          </w:p>
        </w:tc>
        <w:tc>
          <w:tcPr>
            <w:tcW w:w="0" w:type="auto"/>
            <w:vMerge/>
          </w:tcPr>
          <w:p w14:paraId="2740CC2E" w14:textId="77777777" w:rsidR="00380C06" w:rsidRPr="00AA22F2" w:rsidRDefault="00380C06" w:rsidP="00D75525">
            <w:pPr>
              <w:cnfStyle w:val="000000000000" w:firstRow="0" w:lastRow="0" w:firstColumn="0" w:lastColumn="0" w:oddVBand="0" w:evenVBand="0" w:oddHBand="0" w:evenHBand="0" w:firstRowFirstColumn="0" w:firstRowLastColumn="0" w:lastRowFirstColumn="0" w:lastRowLastColumn="0"/>
              <w:rPr>
                <w:szCs w:val="20"/>
                <w:lang w:eastAsia="fr-FR" w:bidi="ar-SA"/>
              </w:rPr>
            </w:pPr>
          </w:p>
        </w:tc>
        <w:tc>
          <w:tcPr>
            <w:tcW w:w="0" w:type="auto"/>
            <w:tcBorders>
              <w:top w:val="single" w:sz="4" w:space="0" w:color="B4C6E7" w:themeColor="accent1" w:themeTint="66"/>
            </w:tcBorders>
          </w:tcPr>
          <w:p w14:paraId="7BE5CE2F" w14:textId="47823F19" w:rsidR="00380C06" w:rsidRPr="00AA22F2" w:rsidRDefault="00BF6401" w:rsidP="00D75525">
            <w:pPr>
              <w:cnfStyle w:val="000000000000" w:firstRow="0" w:lastRow="0" w:firstColumn="0" w:lastColumn="0" w:oddVBand="0" w:evenVBand="0" w:oddHBand="0" w:evenHBand="0" w:firstRowFirstColumn="0" w:firstRowLastColumn="0" w:lastRowFirstColumn="0" w:lastRowLastColumn="0"/>
              <w:rPr>
                <w:szCs w:val="20"/>
                <w:lang w:eastAsia="fr-FR" w:bidi="ar-SA"/>
              </w:rPr>
            </w:pPr>
            <w:r>
              <w:rPr>
                <w:szCs w:val="20"/>
                <w:lang w:eastAsia="fr-FR" w:bidi="ar-SA"/>
              </w:rPr>
              <w:t>Aucun coût spécifique (</w:t>
            </w:r>
            <w:r w:rsidRPr="00BF6401">
              <w:rPr>
                <w:szCs w:val="20"/>
                <w:lang w:eastAsia="fr-FR" w:bidi="ar-SA"/>
              </w:rPr>
              <w:t>Intégré au modèle de concession et partenariat avec opérateurs locaux</w:t>
            </w:r>
            <w:r>
              <w:rPr>
                <w:szCs w:val="20"/>
                <w:lang w:eastAsia="fr-FR" w:bidi="ar-SA"/>
              </w:rPr>
              <w:t>)</w:t>
            </w:r>
          </w:p>
        </w:tc>
      </w:tr>
      <w:tr w:rsidR="00380C06" w:rsidRPr="001D6A1B" w14:paraId="480145E3" w14:textId="77777777" w:rsidTr="001D6A1B">
        <w:tc>
          <w:tcPr>
            <w:cnfStyle w:val="001000000000" w:firstRow="0" w:lastRow="0" w:firstColumn="1" w:lastColumn="0" w:oddVBand="0" w:evenVBand="0" w:oddHBand="0" w:evenHBand="0" w:firstRowFirstColumn="0" w:firstRowLastColumn="0" w:lastRowFirstColumn="0" w:lastRowLastColumn="0"/>
            <w:tcW w:w="0" w:type="auto"/>
            <w:vMerge w:val="restart"/>
            <w:hideMark/>
          </w:tcPr>
          <w:p w14:paraId="0CC6F84C" w14:textId="77777777" w:rsidR="00380C06" w:rsidRPr="00AA22F2" w:rsidRDefault="00380C06" w:rsidP="00D75525">
            <w:pPr>
              <w:rPr>
                <w:szCs w:val="20"/>
                <w:lang w:eastAsia="fr-FR" w:bidi="ar-SA"/>
              </w:rPr>
            </w:pPr>
            <w:r w:rsidRPr="00AA22F2">
              <w:rPr>
                <w:szCs w:val="20"/>
                <w:lang w:eastAsia="fr-FR" w:bidi="ar-SA"/>
              </w:rPr>
              <w:t>Amélioration de la mobilité, de l’accessibilité et du confort des usagers</w:t>
            </w:r>
          </w:p>
        </w:tc>
        <w:tc>
          <w:tcPr>
            <w:tcW w:w="0" w:type="auto"/>
            <w:hideMark/>
          </w:tcPr>
          <w:p w14:paraId="48302E1C" w14:textId="77777777" w:rsidR="00380C06" w:rsidRPr="00AA22F2" w:rsidRDefault="00380C06" w:rsidP="00D75525">
            <w:pPr>
              <w:cnfStyle w:val="000000000000" w:firstRow="0" w:lastRow="0" w:firstColumn="0" w:lastColumn="0" w:oddVBand="0" w:evenVBand="0" w:oddHBand="0" w:evenHBand="0" w:firstRowFirstColumn="0" w:firstRowLastColumn="0" w:lastRowFirstColumn="0" w:lastRowLastColumn="0"/>
              <w:rPr>
                <w:szCs w:val="20"/>
                <w:lang w:eastAsia="fr-FR" w:bidi="ar-SA"/>
              </w:rPr>
            </w:pPr>
            <w:r w:rsidRPr="00AA22F2">
              <w:rPr>
                <w:b/>
                <w:bCs/>
                <w:szCs w:val="20"/>
                <w:lang w:eastAsia="fr-FR" w:bidi="ar-SA"/>
              </w:rPr>
              <w:t>Éviter</w:t>
            </w:r>
          </w:p>
        </w:tc>
        <w:tc>
          <w:tcPr>
            <w:tcW w:w="0" w:type="auto"/>
            <w:hideMark/>
          </w:tcPr>
          <w:p w14:paraId="7B65D258" w14:textId="1EC090D5" w:rsidR="00380C06" w:rsidRPr="00AA22F2" w:rsidRDefault="00380C06" w:rsidP="00D75525">
            <w:pPr>
              <w:cnfStyle w:val="000000000000" w:firstRow="0" w:lastRow="0" w:firstColumn="0" w:lastColumn="0" w:oddVBand="0" w:evenVBand="0" w:oddHBand="0" w:evenHBand="0" w:firstRowFirstColumn="0" w:firstRowLastColumn="0" w:lastRowFirstColumn="0" w:lastRowLastColumn="0"/>
              <w:rPr>
                <w:szCs w:val="20"/>
                <w:lang w:eastAsia="fr-FR" w:bidi="ar-SA"/>
              </w:rPr>
            </w:pPr>
            <w:r w:rsidRPr="00AA22F2">
              <w:rPr>
                <w:szCs w:val="20"/>
                <w:lang w:eastAsia="fr-FR" w:bidi="ar-SA"/>
              </w:rPr>
              <w:t>Maintenir un plan de circulation interne fluide.</w:t>
            </w:r>
          </w:p>
        </w:tc>
        <w:tc>
          <w:tcPr>
            <w:tcW w:w="0" w:type="auto"/>
            <w:hideMark/>
          </w:tcPr>
          <w:p w14:paraId="0C436292" w14:textId="77777777" w:rsidR="00380C06" w:rsidRPr="00AA22F2" w:rsidRDefault="00380C06" w:rsidP="00D75525">
            <w:pPr>
              <w:cnfStyle w:val="000000000000" w:firstRow="0" w:lastRow="0" w:firstColumn="0" w:lastColumn="0" w:oddVBand="0" w:evenVBand="0" w:oddHBand="0" w:evenHBand="0" w:firstRowFirstColumn="0" w:firstRowLastColumn="0" w:lastRowFirstColumn="0" w:lastRowLastColumn="0"/>
              <w:rPr>
                <w:szCs w:val="20"/>
                <w:lang w:eastAsia="fr-FR" w:bidi="ar-SA"/>
              </w:rPr>
            </w:pPr>
            <w:r w:rsidRPr="00AA22F2">
              <w:rPr>
                <w:szCs w:val="20"/>
                <w:lang w:eastAsia="fr-FR" w:bidi="ar-SA"/>
              </w:rPr>
              <w:t>Temps moyen d’accès ; taux de congestion &lt; 10 %</w:t>
            </w:r>
          </w:p>
        </w:tc>
        <w:tc>
          <w:tcPr>
            <w:tcW w:w="0" w:type="auto"/>
            <w:hideMark/>
          </w:tcPr>
          <w:p w14:paraId="10294466" w14:textId="6D7195DF" w:rsidR="00380C06" w:rsidRPr="00AA22F2" w:rsidRDefault="00380C06" w:rsidP="00D75525">
            <w:pPr>
              <w:cnfStyle w:val="000000000000" w:firstRow="0" w:lastRow="0" w:firstColumn="0" w:lastColumn="0" w:oddVBand="0" w:evenVBand="0" w:oddHBand="0" w:evenHBand="0" w:firstRowFirstColumn="0" w:firstRowLastColumn="0" w:lastRowFirstColumn="0" w:lastRowLastColumn="0"/>
              <w:rPr>
                <w:szCs w:val="20"/>
                <w:lang w:eastAsia="fr-FR" w:bidi="ar-SA"/>
              </w:rPr>
            </w:pPr>
            <w:r w:rsidRPr="00AA22F2">
              <w:rPr>
                <w:szCs w:val="20"/>
                <w:lang w:eastAsia="fr-FR" w:bidi="ar-SA"/>
              </w:rPr>
              <w:t>ONDA / Exploitant</w:t>
            </w:r>
          </w:p>
        </w:tc>
        <w:tc>
          <w:tcPr>
            <w:tcW w:w="0" w:type="auto"/>
            <w:hideMark/>
          </w:tcPr>
          <w:p w14:paraId="1A31A9DD" w14:textId="223B8A44" w:rsidR="00380C06" w:rsidRPr="00AA22F2" w:rsidRDefault="00380C06" w:rsidP="00D75525">
            <w:pPr>
              <w:cnfStyle w:val="000000000000" w:firstRow="0" w:lastRow="0" w:firstColumn="0" w:lastColumn="0" w:oddVBand="0" w:evenVBand="0" w:oddHBand="0" w:evenHBand="0" w:firstRowFirstColumn="0" w:firstRowLastColumn="0" w:lastRowFirstColumn="0" w:lastRowLastColumn="0"/>
              <w:rPr>
                <w:szCs w:val="20"/>
                <w:lang w:eastAsia="fr-FR" w:bidi="ar-SA"/>
              </w:rPr>
            </w:pPr>
            <w:r w:rsidRPr="00AA22F2">
              <w:rPr>
                <w:szCs w:val="20"/>
                <w:lang w:eastAsia="fr-FR" w:bidi="ar-SA"/>
              </w:rPr>
              <w:t>ONDA</w:t>
            </w:r>
          </w:p>
        </w:tc>
        <w:tc>
          <w:tcPr>
            <w:tcW w:w="0" w:type="auto"/>
            <w:hideMark/>
          </w:tcPr>
          <w:p w14:paraId="7E4E4E96" w14:textId="435CE124" w:rsidR="00380C06" w:rsidRPr="00AA22F2" w:rsidRDefault="00380C06" w:rsidP="00D75525">
            <w:pPr>
              <w:cnfStyle w:val="000000000000" w:firstRow="0" w:lastRow="0" w:firstColumn="0" w:lastColumn="0" w:oddVBand="0" w:evenVBand="0" w:oddHBand="0" w:evenHBand="0" w:firstRowFirstColumn="0" w:firstRowLastColumn="0" w:lastRowFirstColumn="0" w:lastRowLastColumn="0"/>
              <w:rPr>
                <w:szCs w:val="20"/>
                <w:lang w:eastAsia="fr-FR" w:bidi="ar-SA"/>
              </w:rPr>
            </w:pPr>
            <w:r w:rsidRPr="00EB387E">
              <w:rPr>
                <w:szCs w:val="20"/>
                <w:lang w:eastAsia="fr-FR" w:bidi="ar-SA"/>
              </w:rPr>
              <w:t>ONDA</w:t>
            </w:r>
          </w:p>
        </w:tc>
        <w:tc>
          <w:tcPr>
            <w:tcW w:w="0" w:type="auto"/>
            <w:hideMark/>
          </w:tcPr>
          <w:p w14:paraId="1D29BF63" w14:textId="77777777" w:rsidR="00380C06" w:rsidRPr="00AA22F2" w:rsidRDefault="00380C06" w:rsidP="00D75525">
            <w:pPr>
              <w:cnfStyle w:val="000000000000" w:firstRow="0" w:lastRow="0" w:firstColumn="0" w:lastColumn="0" w:oddVBand="0" w:evenVBand="0" w:oddHBand="0" w:evenHBand="0" w:firstRowFirstColumn="0" w:firstRowLastColumn="0" w:lastRowFirstColumn="0" w:lastRowLastColumn="0"/>
              <w:rPr>
                <w:szCs w:val="20"/>
                <w:lang w:eastAsia="fr-FR" w:bidi="ar-SA"/>
              </w:rPr>
            </w:pPr>
            <w:r w:rsidRPr="00AA22F2">
              <w:rPr>
                <w:szCs w:val="20"/>
                <w:lang w:eastAsia="fr-FR" w:bidi="ar-SA"/>
              </w:rPr>
              <w:t>Permanent</w:t>
            </w:r>
          </w:p>
        </w:tc>
        <w:tc>
          <w:tcPr>
            <w:tcW w:w="0" w:type="auto"/>
            <w:hideMark/>
          </w:tcPr>
          <w:p w14:paraId="65A00C35" w14:textId="1615E11F" w:rsidR="00380C06" w:rsidRPr="00AA22F2" w:rsidRDefault="00380C06" w:rsidP="00D75525">
            <w:pPr>
              <w:cnfStyle w:val="000000000000" w:firstRow="0" w:lastRow="0" w:firstColumn="0" w:lastColumn="0" w:oddVBand="0" w:evenVBand="0" w:oddHBand="0" w:evenHBand="0" w:firstRowFirstColumn="0" w:firstRowLastColumn="0" w:lastRowFirstColumn="0" w:lastRowLastColumn="0"/>
              <w:rPr>
                <w:szCs w:val="20"/>
                <w:lang w:eastAsia="fr-FR" w:bidi="ar-SA"/>
              </w:rPr>
            </w:pPr>
            <w:r>
              <w:rPr>
                <w:szCs w:val="20"/>
                <w:lang w:eastAsia="fr-FR" w:bidi="ar-SA"/>
              </w:rPr>
              <w:t>Aucun coût spécifique</w:t>
            </w:r>
            <w:r w:rsidR="00BF6401">
              <w:rPr>
                <w:szCs w:val="20"/>
                <w:lang w:eastAsia="fr-FR" w:bidi="ar-SA"/>
              </w:rPr>
              <w:t xml:space="preserve"> (</w:t>
            </w:r>
            <w:r w:rsidR="00BF6401" w:rsidRPr="00BF6401">
              <w:rPr>
                <w:szCs w:val="20"/>
                <w:lang w:eastAsia="fr-FR" w:bidi="ar-SA"/>
              </w:rPr>
              <w:t>Géré par la direction technique locale de l’aéroport.</w:t>
            </w:r>
            <w:r w:rsidR="00BF6401">
              <w:rPr>
                <w:szCs w:val="20"/>
                <w:lang w:eastAsia="fr-FR" w:bidi="ar-SA"/>
              </w:rPr>
              <w:t>)</w:t>
            </w:r>
          </w:p>
        </w:tc>
      </w:tr>
      <w:tr w:rsidR="00380C06" w:rsidRPr="001D6A1B" w14:paraId="5D546B3B" w14:textId="77777777" w:rsidTr="00380C06">
        <w:trPr>
          <w:trHeight w:val="1625"/>
        </w:trPr>
        <w:tc>
          <w:tcPr>
            <w:cnfStyle w:val="001000000000" w:firstRow="0" w:lastRow="0" w:firstColumn="1" w:lastColumn="0" w:oddVBand="0" w:evenVBand="0" w:oddHBand="0" w:evenHBand="0" w:firstRowFirstColumn="0" w:firstRowLastColumn="0" w:lastRowFirstColumn="0" w:lastRowLastColumn="0"/>
            <w:tcW w:w="0" w:type="auto"/>
            <w:vMerge/>
            <w:hideMark/>
          </w:tcPr>
          <w:p w14:paraId="44F58797" w14:textId="77777777" w:rsidR="00380C06" w:rsidRPr="00AA22F2" w:rsidRDefault="00380C06" w:rsidP="00D75525">
            <w:pPr>
              <w:rPr>
                <w:szCs w:val="20"/>
                <w:lang w:eastAsia="fr-FR" w:bidi="ar-SA"/>
              </w:rPr>
            </w:pPr>
          </w:p>
        </w:tc>
        <w:tc>
          <w:tcPr>
            <w:tcW w:w="0" w:type="auto"/>
            <w:vMerge w:val="restart"/>
            <w:hideMark/>
          </w:tcPr>
          <w:p w14:paraId="1A5F79A2" w14:textId="77777777" w:rsidR="00380C06" w:rsidRPr="00AA22F2" w:rsidRDefault="00380C06" w:rsidP="00D75525">
            <w:pPr>
              <w:cnfStyle w:val="000000000000" w:firstRow="0" w:lastRow="0" w:firstColumn="0" w:lastColumn="0" w:oddVBand="0" w:evenVBand="0" w:oddHBand="0" w:evenHBand="0" w:firstRowFirstColumn="0" w:firstRowLastColumn="0" w:lastRowFirstColumn="0" w:lastRowLastColumn="0"/>
              <w:rPr>
                <w:szCs w:val="20"/>
                <w:lang w:eastAsia="fr-FR" w:bidi="ar-SA"/>
              </w:rPr>
            </w:pPr>
            <w:r w:rsidRPr="00AA22F2">
              <w:rPr>
                <w:b/>
                <w:bCs/>
                <w:szCs w:val="20"/>
                <w:lang w:eastAsia="fr-FR" w:bidi="ar-SA"/>
              </w:rPr>
              <w:t>Atténuer</w:t>
            </w:r>
          </w:p>
        </w:tc>
        <w:tc>
          <w:tcPr>
            <w:tcW w:w="0" w:type="auto"/>
            <w:tcBorders>
              <w:bottom w:val="single" w:sz="4" w:space="0" w:color="B4C6E7" w:themeColor="accent1" w:themeTint="66"/>
            </w:tcBorders>
            <w:hideMark/>
          </w:tcPr>
          <w:p w14:paraId="5BCA0428" w14:textId="2CCD0C41" w:rsidR="00380C06" w:rsidRPr="00AA22F2" w:rsidRDefault="00380C06" w:rsidP="00D75525">
            <w:pPr>
              <w:cnfStyle w:val="000000000000" w:firstRow="0" w:lastRow="0" w:firstColumn="0" w:lastColumn="0" w:oddVBand="0" w:evenVBand="0" w:oddHBand="0" w:evenHBand="0" w:firstRowFirstColumn="0" w:firstRowLastColumn="0" w:lastRowFirstColumn="0" w:lastRowLastColumn="0"/>
              <w:rPr>
                <w:szCs w:val="20"/>
                <w:lang w:eastAsia="fr-FR" w:bidi="ar-SA"/>
              </w:rPr>
            </w:pPr>
            <w:r w:rsidRPr="00AA22F2">
              <w:rPr>
                <w:szCs w:val="20"/>
                <w:lang w:eastAsia="fr-FR" w:bidi="ar-SA"/>
              </w:rPr>
              <w:t xml:space="preserve">Moderniser la </w:t>
            </w:r>
            <w:r w:rsidRPr="004637C7">
              <w:rPr>
                <w:szCs w:val="20"/>
                <w:lang w:eastAsia="fr-FR" w:bidi="ar-SA"/>
              </w:rPr>
              <w:t>signalétique et les équipements d’orientation</w:t>
            </w:r>
            <w:r w:rsidRPr="00AA22F2">
              <w:rPr>
                <w:szCs w:val="20"/>
                <w:lang w:eastAsia="fr-FR" w:bidi="ar-SA"/>
              </w:rPr>
              <w:t xml:space="preserve"> dans les zones de circulation et parkings. </w:t>
            </w:r>
          </w:p>
        </w:tc>
        <w:tc>
          <w:tcPr>
            <w:tcW w:w="0" w:type="auto"/>
            <w:vMerge w:val="restart"/>
            <w:hideMark/>
          </w:tcPr>
          <w:p w14:paraId="700E573B" w14:textId="77777777" w:rsidR="00380C06" w:rsidRPr="00AA22F2" w:rsidRDefault="00380C06" w:rsidP="00D75525">
            <w:pPr>
              <w:cnfStyle w:val="000000000000" w:firstRow="0" w:lastRow="0" w:firstColumn="0" w:lastColumn="0" w:oddVBand="0" w:evenVBand="0" w:oddHBand="0" w:evenHBand="0" w:firstRowFirstColumn="0" w:firstRowLastColumn="0" w:lastRowFirstColumn="0" w:lastRowLastColumn="0"/>
              <w:rPr>
                <w:szCs w:val="20"/>
                <w:lang w:eastAsia="fr-FR" w:bidi="ar-SA"/>
              </w:rPr>
            </w:pPr>
            <w:r w:rsidRPr="00AA22F2">
              <w:rPr>
                <w:szCs w:val="20"/>
                <w:lang w:eastAsia="fr-FR" w:bidi="ar-SA"/>
              </w:rPr>
              <w:t>% d’équipements fonctionnels ; nombre de bénéficiaires assistés</w:t>
            </w:r>
          </w:p>
        </w:tc>
        <w:tc>
          <w:tcPr>
            <w:tcW w:w="0" w:type="auto"/>
            <w:vMerge w:val="restart"/>
            <w:hideMark/>
          </w:tcPr>
          <w:p w14:paraId="7135776E" w14:textId="50DB048F" w:rsidR="00380C06" w:rsidRPr="00AA22F2" w:rsidRDefault="00380C06" w:rsidP="00D75525">
            <w:pPr>
              <w:cnfStyle w:val="000000000000" w:firstRow="0" w:lastRow="0" w:firstColumn="0" w:lastColumn="0" w:oddVBand="0" w:evenVBand="0" w:oddHBand="0" w:evenHBand="0" w:firstRowFirstColumn="0" w:firstRowLastColumn="0" w:lastRowFirstColumn="0" w:lastRowLastColumn="0"/>
              <w:rPr>
                <w:szCs w:val="20"/>
                <w:lang w:eastAsia="fr-FR" w:bidi="ar-SA"/>
              </w:rPr>
            </w:pPr>
            <w:r w:rsidRPr="00AA22F2">
              <w:rPr>
                <w:szCs w:val="20"/>
                <w:lang w:eastAsia="fr-FR" w:bidi="ar-SA"/>
              </w:rPr>
              <w:t>ONDA / Exploitant</w:t>
            </w:r>
          </w:p>
        </w:tc>
        <w:tc>
          <w:tcPr>
            <w:tcW w:w="0" w:type="auto"/>
            <w:vMerge w:val="restart"/>
            <w:hideMark/>
          </w:tcPr>
          <w:p w14:paraId="2B33A0B0" w14:textId="40F3C34B" w:rsidR="00380C06" w:rsidRPr="00AA22F2" w:rsidRDefault="00380C06" w:rsidP="00D75525">
            <w:pPr>
              <w:cnfStyle w:val="000000000000" w:firstRow="0" w:lastRow="0" w:firstColumn="0" w:lastColumn="0" w:oddVBand="0" w:evenVBand="0" w:oddHBand="0" w:evenHBand="0" w:firstRowFirstColumn="0" w:firstRowLastColumn="0" w:lastRowFirstColumn="0" w:lastRowLastColumn="0"/>
              <w:rPr>
                <w:szCs w:val="20"/>
                <w:lang w:eastAsia="fr-FR" w:bidi="ar-SA"/>
              </w:rPr>
            </w:pPr>
            <w:r w:rsidRPr="00AA22F2">
              <w:rPr>
                <w:szCs w:val="20"/>
                <w:lang w:eastAsia="fr-FR" w:bidi="ar-SA"/>
              </w:rPr>
              <w:t>ONDA</w:t>
            </w:r>
          </w:p>
        </w:tc>
        <w:tc>
          <w:tcPr>
            <w:tcW w:w="0" w:type="auto"/>
            <w:vMerge w:val="restart"/>
            <w:hideMark/>
          </w:tcPr>
          <w:p w14:paraId="76A83ECD" w14:textId="7C4D49AF" w:rsidR="00380C06" w:rsidRPr="00AA22F2" w:rsidRDefault="00380C06" w:rsidP="00D75525">
            <w:pPr>
              <w:cnfStyle w:val="000000000000" w:firstRow="0" w:lastRow="0" w:firstColumn="0" w:lastColumn="0" w:oddVBand="0" w:evenVBand="0" w:oddHBand="0" w:evenHBand="0" w:firstRowFirstColumn="0" w:firstRowLastColumn="0" w:lastRowFirstColumn="0" w:lastRowLastColumn="0"/>
              <w:rPr>
                <w:szCs w:val="20"/>
                <w:lang w:eastAsia="fr-FR" w:bidi="ar-SA"/>
              </w:rPr>
            </w:pPr>
            <w:r w:rsidRPr="00EB387E">
              <w:rPr>
                <w:szCs w:val="20"/>
                <w:lang w:eastAsia="fr-FR" w:bidi="ar-SA"/>
              </w:rPr>
              <w:t>ONDA</w:t>
            </w:r>
          </w:p>
        </w:tc>
        <w:tc>
          <w:tcPr>
            <w:tcW w:w="0" w:type="auto"/>
            <w:vMerge w:val="restart"/>
            <w:hideMark/>
          </w:tcPr>
          <w:p w14:paraId="2F7E2786" w14:textId="77777777" w:rsidR="00380C06" w:rsidRPr="00AA22F2" w:rsidRDefault="00380C06" w:rsidP="00D75525">
            <w:pPr>
              <w:cnfStyle w:val="000000000000" w:firstRow="0" w:lastRow="0" w:firstColumn="0" w:lastColumn="0" w:oddVBand="0" w:evenVBand="0" w:oddHBand="0" w:evenHBand="0" w:firstRowFirstColumn="0" w:firstRowLastColumn="0" w:lastRowFirstColumn="0" w:lastRowLastColumn="0"/>
              <w:rPr>
                <w:szCs w:val="20"/>
                <w:lang w:eastAsia="fr-FR" w:bidi="ar-SA"/>
              </w:rPr>
            </w:pPr>
            <w:r w:rsidRPr="00AA22F2">
              <w:rPr>
                <w:szCs w:val="20"/>
                <w:lang w:eastAsia="fr-FR" w:bidi="ar-SA"/>
              </w:rPr>
              <w:t>Permanent</w:t>
            </w:r>
          </w:p>
        </w:tc>
        <w:tc>
          <w:tcPr>
            <w:tcW w:w="0" w:type="auto"/>
            <w:tcBorders>
              <w:bottom w:val="single" w:sz="4" w:space="0" w:color="B4C6E7" w:themeColor="accent1" w:themeTint="66"/>
            </w:tcBorders>
            <w:hideMark/>
          </w:tcPr>
          <w:p w14:paraId="15BF0CA2" w14:textId="606A24CC" w:rsidR="00380C06" w:rsidRPr="00AA22F2" w:rsidRDefault="00380C06" w:rsidP="00D75525">
            <w:pPr>
              <w:cnfStyle w:val="000000000000" w:firstRow="0" w:lastRow="0" w:firstColumn="0" w:lastColumn="0" w:oddVBand="0" w:evenVBand="0" w:oddHBand="0" w:evenHBand="0" w:firstRowFirstColumn="0" w:firstRowLastColumn="0" w:lastRowFirstColumn="0" w:lastRowLastColumn="0"/>
              <w:rPr>
                <w:szCs w:val="20"/>
                <w:lang w:eastAsia="fr-FR" w:bidi="ar-SA"/>
              </w:rPr>
            </w:pPr>
            <w:r w:rsidRPr="00380C06">
              <w:rPr>
                <w:szCs w:val="20"/>
                <w:lang w:eastAsia="fr-FR" w:bidi="ar-SA"/>
              </w:rPr>
              <w:t xml:space="preserve">1 500 – 2 000 </w:t>
            </w:r>
            <w:r>
              <w:rPr>
                <w:szCs w:val="20"/>
                <w:lang w:eastAsia="fr-FR" w:bidi="ar-SA"/>
              </w:rPr>
              <w:t xml:space="preserve"> MAD</w:t>
            </w:r>
            <w:r w:rsidRPr="00380C06">
              <w:rPr>
                <w:szCs w:val="20"/>
                <w:lang w:eastAsia="fr-FR" w:bidi="ar-SA"/>
              </w:rPr>
              <w:t>/panneau</w:t>
            </w:r>
            <w:r>
              <w:rPr>
                <w:szCs w:val="20"/>
                <w:lang w:eastAsia="fr-FR" w:bidi="ar-SA"/>
              </w:rPr>
              <w:t xml:space="preserve"> (</w:t>
            </w:r>
            <w:r w:rsidRPr="00380C06">
              <w:rPr>
                <w:szCs w:val="20"/>
                <w:lang w:eastAsia="fr-FR" w:bidi="ar-SA"/>
              </w:rPr>
              <w:t>Signalétique directionnelle standard ONDA en aluminium émaillé avec pictogrammes universels</w:t>
            </w:r>
            <w:r>
              <w:rPr>
                <w:szCs w:val="20"/>
                <w:lang w:eastAsia="fr-FR" w:bidi="ar-SA"/>
              </w:rPr>
              <w:t>)</w:t>
            </w:r>
          </w:p>
        </w:tc>
      </w:tr>
      <w:tr w:rsidR="00380C06" w:rsidRPr="001D6A1B" w14:paraId="5C5D0009" w14:textId="77777777" w:rsidTr="00380C06">
        <w:trPr>
          <w:trHeight w:val="971"/>
        </w:trPr>
        <w:tc>
          <w:tcPr>
            <w:cnfStyle w:val="001000000000" w:firstRow="0" w:lastRow="0" w:firstColumn="1" w:lastColumn="0" w:oddVBand="0" w:evenVBand="0" w:oddHBand="0" w:evenHBand="0" w:firstRowFirstColumn="0" w:firstRowLastColumn="0" w:lastRowFirstColumn="0" w:lastRowLastColumn="0"/>
            <w:tcW w:w="0" w:type="auto"/>
            <w:vMerge/>
          </w:tcPr>
          <w:p w14:paraId="4CD8B035" w14:textId="77777777" w:rsidR="00380C06" w:rsidRPr="00AA22F2" w:rsidRDefault="00380C06" w:rsidP="00D75525">
            <w:pPr>
              <w:rPr>
                <w:szCs w:val="20"/>
                <w:lang w:eastAsia="fr-FR" w:bidi="ar-SA"/>
              </w:rPr>
            </w:pPr>
          </w:p>
        </w:tc>
        <w:tc>
          <w:tcPr>
            <w:tcW w:w="0" w:type="auto"/>
            <w:vMerge/>
          </w:tcPr>
          <w:p w14:paraId="2FECD0D3" w14:textId="77777777" w:rsidR="00380C06" w:rsidRPr="00AA22F2" w:rsidRDefault="00380C06" w:rsidP="00D75525">
            <w:pPr>
              <w:cnfStyle w:val="000000000000" w:firstRow="0" w:lastRow="0" w:firstColumn="0" w:lastColumn="0" w:oddVBand="0" w:evenVBand="0" w:oddHBand="0" w:evenHBand="0" w:firstRowFirstColumn="0" w:firstRowLastColumn="0" w:lastRowFirstColumn="0" w:lastRowLastColumn="0"/>
              <w:rPr>
                <w:b/>
                <w:bCs/>
                <w:szCs w:val="20"/>
                <w:lang w:eastAsia="fr-FR" w:bidi="ar-SA"/>
              </w:rPr>
            </w:pPr>
          </w:p>
        </w:tc>
        <w:tc>
          <w:tcPr>
            <w:tcW w:w="0" w:type="auto"/>
            <w:tcBorders>
              <w:top w:val="single" w:sz="4" w:space="0" w:color="B4C6E7" w:themeColor="accent1" w:themeTint="66"/>
            </w:tcBorders>
          </w:tcPr>
          <w:p w14:paraId="2B13F3E3" w14:textId="77777777" w:rsidR="00380C06" w:rsidRPr="00AA22F2" w:rsidRDefault="00380C06" w:rsidP="00380C06">
            <w:pPr>
              <w:cnfStyle w:val="000000000000" w:firstRow="0" w:lastRow="0" w:firstColumn="0" w:lastColumn="0" w:oddVBand="0" w:evenVBand="0" w:oddHBand="0" w:evenHBand="0" w:firstRowFirstColumn="0" w:firstRowLastColumn="0" w:lastRowFirstColumn="0" w:lastRowLastColumn="0"/>
              <w:rPr>
                <w:szCs w:val="20"/>
                <w:lang w:eastAsia="fr-FR" w:bidi="ar-SA"/>
              </w:rPr>
            </w:pPr>
            <w:r w:rsidRPr="00AA22F2">
              <w:rPr>
                <w:szCs w:val="20"/>
                <w:lang w:eastAsia="fr-FR" w:bidi="ar-SA"/>
              </w:rPr>
              <w:t>Renforcer les dispositifs d’assistance aux personnes à mobilité réduite.</w:t>
            </w:r>
          </w:p>
        </w:tc>
        <w:tc>
          <w:tcPr>
            <w:tcW w:w="0" w:type="auto"/>
            <w:vMerge/>
          </w:tcPr>
          <w:p w14:paraId="37801F03" w14:textId="77777777" w:rsidR="00380C06" w:rsidRPr="00AA22F2" w:rsidRDefault="00380C06" w:rsidP="00D75525">
            <w:pPr>
              <w:cnfStyle w:val="000000000000" w:firstRow="0" w:lastRow="0" w:firstColumn="0" w:lastColumn="0" w:oddVBand="0" w:evenVBand="0" w:oddHBand="0" w:evenHBand="0" w:firstRowFirstColumn="0" w:firstRowLastColumn="0" w:lastRowFirstColumn="0" w:lastRowLastColumn="0"/>
              <w:rPr>
                <w:szCs w:val="20"/>
                <w:lang w:eastAsia="fr-FR" w:bidi="ar-SA"/>
              </w:rPr>
            </w:pPr>
          </w:p>
        </w:tc>
        <w:tc>
          <w:tcPr>
            <w:tcW w:w="0" w:type="auto"/>
            <w:vMerge/>
          </w:tcPr>
          <w:p w14:paraId="49327DDF" w14:textId="77777777" w:rsidR="00380C06" w:rsidRPr="00AA22F2" w:rsidRDefault="00380C06" w:rsidP="00D75525">
            <w:pPr>
              <w:cnfStyle w:val="000000000000" w:firstRow="0" w:lastRow="0" w:firstColumn="0" w:lastColumn="0" w:oddVBand="0" w:evenVBand="0" w:oddHBand="0" w:evenHBand="0" w:firstRowFirstColumn="0" w:firstRowLastColumn="0" w:lastRowFirstColumn="0" w:lastRowLastColumn="0"/>
              <w:rPr>
                <w:szCs w:val="20"/>
                <w:lang w:eastAsia="fr-FR" w:bidi="ar-SA"/>
              </w:rPr>
            </w:pPr>
          </w:p>
        </w:tc>
        <w:tc>
          <w:tcPr>
            <w:tcW w:w="0" w:type="auto"/>
            <w:vMerge/>
          </w:tcPr>
          <w:p w14:paraId="3113AE4D" w14:textId="77777777" w:rsidR="00380C06" w:rsidRPr="00AA22F2" w:rsidRDefault="00380C06" w:rsidP="00D75525">
            <w:pPr>
              <w:cnfStyle w:val="000000000000" w:firstRow="0" w:lastRow="0" w:firstColumn="0" w:lastColumn="0" w:oddVBand="0" w:evenVBand="0" w:oddHBand="0" w:evenHBand="0" w:firstRowFirstColumn="0" w:firstRowLastColumn="0" w:lastRowFirstColumn="0" w:lastRowLastColumn="0"/>
              <w:rPr>
                <w:szCs w:val="20"/>
                <w:lang w:eastAsia="fr-FR" w:bidi="ar-SA"/>
              </w:rPr>
            </w:pPr>
          </w:p>
        </w:tc>
        <w:tc>
          <w:tcPr>
            <w:tcW w:w="0" w:type="auto"/>
            <w:vMerge/>
          </w:tcPr>
          <w:p w14:paraId="5B129517" w14:textId="77777777" w:rsidR="00380C06" w:rsidRPr="00EB387E" w:rsidRDefault="00380C06" w:rsidP="00D75525">
            <w:pPr>
              <w:cnfStyle w:val="000000000000" w:firstRow="0" w:lastRow="0" w:firstColumn="0" w:lastColumn="0" w:oddVBand="0" w:evenVBand="0" w:oddHBand="0" w:evenHBand="0" w:firstRowFirstColumn="0" w:firstRowLastColumn="0" w:lastRowFirstColumn="0" w:lastRowLastColumn="0"/>
              <w:rPr>
                <w:szCs w:val="20"/>
                <w:lang w:eastAsia="fr-FR" w:bidi="ar-SA"/>
              </w:rPr>
            </w:pPr>
          </w:p>
        </w:tc>
        <w:tc>
          <w:tcPr>
            <w:tcW w:w="0" w:type="auto"/>
            <w:vMerge/>
          </w:tcPr>
          <w:p w14:paraId="72EE7A61" w14:textId="77777777" w:rsidR="00380C06" w:rsidRPr="00AA22F2" w:rsidRDefault="00380C06" w:rsidP="00D75525">
            <w:pPr>
              <w:cnfStyle w:val="000000000000" w:firstRow="0" w:lastRow="0" w:firstColumn="0" w:lastColumn="0" w:oddVBand="0" w:evenVBand="0" w:oddHBand="0" w:evenHBand="0" w:firstRowFirstColumn="0" w:firstRowLastColumn="0" w:lastRowFirstColumn="0" w:lastRowLastColumn="0"/>
              <w:rPr>
                <w:szCs w:val="20"/>
                <w:lang w:eastAsia="fr-FR" w:bidi="ar-SA"/>
              </w:rPr>
            </w:pPr>
          </w:p>
        </w:tc>
        <w:tc>
          <w:tcPr>
            <w:tcW w:w="0" w:type="auto"/>
            <w:tcBorders>
              <w:top w:val="single" w:sz="4" w:space="0" w:color="B4C6E7" w:themeColor="accent1" w:themeTint="66"/>
            </w:tcBorders>
          </w:tcPr>
          <w:p w14:paraId="41D9D213" w14:textId="5DAA10DB" w:rsidR="00380C06" w:rsidRPr="00AA22F2" w:rsidRDefault="00380C06" w:rsidP="00D75525">
            <w:pPr>
              <w:cnfStyle w:val="000000000000" w:firstRow="0" w:lastRow="0" w:firstColumn="0" w:lastColumn="0" w:oddVBand="0" w:evenVBand="0" w:oddHBand="0" w:evenHBand="0" w:firstRowFirstColumn="0" w:firstRowLastColumn="0" w:lastRowFirstColumn="0" w:lastRowLastColumn="0"/>
              <w:rPr>
                <w:szCs w:val="20"/>
                <w:lang w:eastAsia="fr-FR" w:bidi="ar-SA"/>
              </w:rPr>
            </w:pPr>
            <w:r w:rsidRPr="00380C06">
              <w:rPr>
                <w:szCs w:val="20"/>
                <w:lang w:eastAsia="fr-FR" w:bidi="ar-SA"/>
              </w:rPr>
              <w:t xml:space="preserve">10 000 – 15 000 </w:t>
            </w:r>
            <w:r>
              <w:rPr>
                <w:szCs w:val="20"/>
                <w:lang w:eastAsia="fr-FR" w:bidi="ar-SA"/>
              </w:rPr>
              <w:t>MAD</w:t>
            </w:r>
            <w:r w:rsidRPr="00380C06">
              <w:rPr>
                <w:szCs w:val="20"/>
                <w:lang w:eastAsia="fr-FR" w:bidi="ar-SA"/>
              </w:rPr>
              <w:t>/poste d’assistance</w:t>
            </w:r>
            <w:r>
              <w:rPr>
                <w:szCs w:val="20"/>
                <w:lang w:eastAsia="fr-FR" w:bidi="ar-SA"/>
              </w:rPr>
              <w:t xml:space="preserve"> (</w:t>
            </w:r>
            <w:r w:rsidRPr="00380C06">
              <w:rPr>
                <w:szCs w:val="20"/>
                <w:lang w:eastAsia="fr-FR" w:bidi="ar-SA"/>
              </w:rPr>
              <w:t>Inclut fauteuils roulants, signalétique adaptée, formation agents PMR</w:t>
            </w:r>
            <w:r>
              <w:rPr>
                <w:szCs w:val="20"/>
                <w:lang w:eastAsia="fr-FR" w:bidi="ar-SA"/>
              </w:rPr>
              <w:t>)</w:t>
            </w:r>
          </w:p>
        </w:tc>
      </w:tr>
      <w:tr w:rsidR="00380C06" w:rsidRPr="001D6A1B" w14:paraId="019FC346" w14:textId="77777777" w:rsidTr="001D6A1B">
        <w:tc>
          <w:tcPr>
            <w:cnfStyle w:val="001000000000" w:firstRow="0" w:lastRow="0" w:firstColumn="1" w:lastColumn="0" w:oddVBand="0" w:evenVBand="0" w:oddHBand="0" w:evenHBand="0" w:firstRowFirstColumn="0" w:firstRowLastColumn="0" w:lastRowFirstColumn="0" w:lastRowLastColumn="0"/>
            <w:tcW w:w="0" w:type="auto"/>
            <w:vMerge w:val="restart"/>
            <w:hideMark/>
          </w:tcPr>
          <w:p w14:paraId="0A1C7CCB" w14:textId="77777777" w:rsidR="00D75525" w:rsidRPr="00AA22F2" w:rsidRDefault="00D75525" w:rsidP="00D75525">
            <w:pPr>
              <w:rPr>
                <w:szCs w:val="20"/>
                <w:lang w:eastAsia="fr-FR" w:bidi="ar-SA"/>
              </w:rPr>
            </w:pPr>
            <w:r w:rsidRPr="00AA22F2">
              <w:rPr>
                <w:szCs w:val="20"/>
                <w:lang w:eastAsia="fr-FR" w:bidi="ar-SA"/>
              </w:rPr>
              <w:lastRenderedPageBreak/>
              <w:t>Transfert technologique et montée en compétence institutionnelle</w:t>
            </w:r>
          </w:p>
        </w:tc>
        <w:tc>
          <w:tcPr>
            <w:tcW w:w="0" w:type="auto"/>
            <w:hideMark/>
          </w:tcPr>
          <w:p w14:paraId="01EC3963" w14:textId="77777777" w:rsidR="00D75525" w:rsidRPr="00AA22F2" w:rsidRDefault="00D75525" w:rsidP="00D75525">
            <w:pPr>
              <w:cnfStyle w:val="000000000000" w:firstRow="0" w:lastRow="0" w:firstColumn="0" w:lastColumn="0" w:oddVBand="0" w:evenVBand="0" w:oddHBand="0" w:evenHBand="0" w:firstRowFirstColumn="0" w:firstRowLastColumn="0" w:lastRowFirstColumn="0" w:lastRowLastColumn="0"/>
              <w:rPr>
                <w:szCs w:val="20"/>
                <w:lang w:eastAsia="fr-FR" w:bidi="ar-SA"/>
              </w:rPr>
            </w:pPr>
            <w:r w:rsidRPr="00AA22F2">
              <w:rPr>
                <w:b/>
                <w:bCs/>
                <w:szCs w:val="20"/>
                <w:lang w:eastAsia="fr-FR" w:bidi="ar-SA"/>
              </w:rPr>
              <w:t>Éviter</w:t>
            </w:r>
          </w:p>
        </w:tc>
        <w:tc>
          <w:tcPr>
            <w:tcW w:w="0" w:type="auto"/>
            <w:hideMark/>
          </w:tcPr>
          <w:p w14:paraId="5E6242EF" w14:textId="77777777" w:rsidR="00D75525" w:rsidRPr="00AA22F2" w:rsidRDefault="00D75525" w:rsidP="00D75525">
            <w:pPr>
              <w:cnfStyle w:val="000000000000" w:firstRow="0" w:lastRow="0" w:firstColumn="0" w:lastColumn="0" w:oddVBand="0" w:evenVBand="0" w:oddHBand="0" w:evenHBand="0" w:firstRowFirstColumn="0" w:firstRowLastColumn="0" w:lastRowFirstColumn="0" w:lastRowLastColumn="0"/>
              <w:rPr>
                <w:szCs w:val="20"/>
                <w:lang w:eastAsia="fr-FR" w:bidi="ar-SA"/>
              </w:rPr>
            </w:pPr>
            <w:r w:rsidRPr="00AA22F2">
              <w:rPr>
                <w:szCs w:val="20"/>
                <w:lang w:eastAsia="fr-FR" w:bidi="ar-SA"/>
              </w:rPr>
              <w:t>Éviter la dépendance vis-à-vis des prestataires étrangers en favorisant le transfert de technologie vers le personnel ONDA et les entreprises locales.</w:t>
            </w:r>
          </w:p>
        </w:tc>
        <w:tc>
          <w:tcPr>
            <w:tcW w:w="0" w:type="auto"/>
            <w:hideMark/>
          </w:tcPr>
          <w:p w14:paraId="7AAEBEF6" w14:textId="77777777" w:rsidR="00D75525" w:rsidRPr="00AA22F2" w:rsidRDefault="00D75525" w:rsidP="00D75525">
            <w:pPr>
              <w:cnfStyle w:val="000000000000" w:firstRow="0" w:lastRow="0" w:firstColumn="0" w:lastColumn="0" w:oddVBand="0" w:evenVBand="0" w:oddHBand="0" w:evenHBand="0" w:firstRowFirstColumn="0" w:firstRowLastColumn="0" w:lastRowFirstColumn="0" w:lastRowLastColumn="0"/>
              <w:rPr>
                <w:szCs w:val="20"/>
                <w:lang w:eastAsia="fr-FR" w:bidi="ar-SA"/>
              </w:rPr>
            </w:pPr>
            <w:r w:rsidRPr="00AA22F2">
              <w:rPr>
                <w:szCs w:val="20"/>
                <w:lang w:eastAsia="fr-FR" w:bidi="ar-SA"/>
              </w:rPr>
              <w:t>% de procédures internalisées ; nombre de contrats comportant une clause de transfert</w:t>
            </w:r>
          </w:p>
        </w:tc>
        <w:tc>
          <w:tcPr>
            <w:tcW w:w="0" w:type="auto"/>
            <w:hideMark/>
          </w:tcPr>
          <w:p w14:paraId="1CE0E90B" w14:textId="78D4E283" w:rsidR="00D75525" w:rsidRPr="00AA22F2" w:rsidRDefault="00D75525" w:rsidP="00D75525">
            <w:pPr>
              <w:cnfStyle w:val="000000000000" w:firstRow="0" w:lastRow="0" w:firstColumn="0" w:lastColumn="0" w:oddVBand="0" w:evenVBand="0" w:oddHBand="0" w:evenHBand="0" w:firstRowFirstColumn="0" w:firstRowLastColumn="0" w:lastRowFirstColumn="0" w:lastRowLastColumn="0"/>
              <w:rPr>
                <w:szCs w:val="20"/>
                <w:lang w:eastAsia="fr-FR" w:bidi="ar-SA"/>
              </w:rPr>
            </w:pPr>
            <w:r w:rsidRPr="00AA22F2">
              <w:rPr>
                <w:szCs w:val="20"/>
                <w:lang w:eastAsia="fr-FR" w:bidi="ar-SA"/>
              </w:rPr>
              <w:t>ONDA / Exploitant</w:t>
            </w:r>
          </w:p>
        </w:tc>
        <w:tc>
          <w:tcPr>
            <w:tcW w:w="0" w:type="auto"/>
            <w:hideMark/>
          </w:tcPr>
          <w:p w14:paraId="7B590044" w14:textId="62C37A32" w:rsidR="00D75525" w:rsidRPr="00AA22F2" w:rsidRDefault="00D75525" w:rsidP="00D75525">
            <w:pPr>
              <w:cnfStyle w:val="000000000000" w:firstRow="0" w:lastRow="0" w:firstColumn="0" w:lastColumn="0" w:oddVBand="0" w:evenVBand="0" w:oddHBand="0" w:evenHBand="0" w:firstRowFirstColumn="0" w:firstRowLastColumn="0" w:lastRowFirstColumn="0" w:lastRowLastColumn="0"/>
              <w:rPr>
                <w:szCs w:val="20"/>
                <w:lang w:eastAsia="fr-FR" w:bidi="ar-SA"/>
              </w:rPr>
            </w:pPr>
            <w:r w:rsidRPr="00AA22F2">
              <w:rPr>
                <w:szCs w:val="20"/>
                <w:lang w:eastAsia="fr-FR" w:bidi="ar-SA"/>
              </w:rPr>
              <w:t>ONDA</w:t>
            </w:r>
          </w:p>
        </w:tc>
        <w:tc>
          <w:tcPr>
            <w:tcW w:w="0" w:type="auto"/>
            <w:hideMark/>
          </w:tcPr>
          <w:p w14:paraId="206C3687" w14:textId="69D285B2" w:rsidR="00D75525" w:rsidRPr="00AA22F2" w:rsidRDefault="00D75525" w:rsidP="00D75525">
            <w:pPr>
              <w:cnfStyle w:val="000000000000" w:firstRow="0" w:lastRow="0" w:firstColumn="0" w:lastColumn="0" w:oddVBand="0" w:evenVBand="0" w:oddHBand="0" w:evenHBand="0" w:firstRowFirstColumn="0" w:firstRowLastColumn="0" w:lastRowFirstColumn="0" w:lastRowLastColumn="0"/>
              <w:rPr>
                <w:szCs w:val="20"/>
                <w:lang w:eastAsia="fr-FR" w:bidi="ar-SA"/>
              </w:rPr>
            </w:pPr>
            <w:r w:rsidRPr="00EB387E">
              <w:rPr>
                <w:szCs w:val="20"/>
                <w:lang w:eastAsia="fr-FR" w:bidi="ar-SA"/>
              </w:rPr>
              <w:t>ONDA</w:t>
            </w:r>
          </w:p>
        </w:tc>
        <w:tc>
          <w:tcPr>
            <w:tcW w:w="0" w:type="auto"/>
            <w:hideMark/>
          </w:tcPr>
          <w:p w14:paraId="72749C67" w14:textId="77777777" w:rsidR="00D75525" w:rsidRPr="00AA22F2" w:rsidRDefault="00D75525" w:rsidP="00D75525">
            <w:pPr>
              <w:cnfStyle w:val="000000000000" w:firstRow="0" w:lastRow="0" w:firstColumn="0" w:lastColumn="0" w:oddVBand="0" w:evenVBand="0" w:oddHBand="0" w:evenHBand="0" w:firstRowFirstColumn="0" w:firstRowLastColumn="0" w:lastRowFirstColumn="0" w:lastRowLastColumn="0"/>
              <w:rPr>
                <w:szCs w:val="20"/>
                <w:lang w:eastAsia="fr-FR" w:bidi="ar-SA"/>
              </w:rPr>
            </w:pPr>
            <w:r w:rsidRPr="00AA22F2">
              <w:rPr>
                <w:szCs w:val="20"/>
                <w:lang w:eastAsia="fr-FR" w:bidi="ar-SA"/>
              </w:rPr>
              <w:t>Dès la mise en service</w:t>
            </w:r>
          </w:p>
        </w:tc>
        <w:tc>
          <w:tcPr>
            <w:tcW w:w="0" w:type="auto"/>
            <w:hideMark/>
          </w:tcPr>
          <w:p w14:paraId="7EA10091" w14:textId="63128B56" w:rsidR="00D75525" w:rsidRPr="00AA22F2" w:rsidRDefault="00886B2E" w:rsidP="00D75525">
            <w:pPr>
              <w:cnfStyle w:val="000000000000" w:firstRow="0" w:lastRow="0" w:firstColumn="0" w:lastColumn="0" w:oddVBand="0" w:evenVBand="0" w:oddHBand="0" w:evenHBand="0" w:firstRowFirstColumn="0" w:firstRowLastColumn="0" w:lastRowFirstColumn="0" w:lastRowLastColumn="0"/>
              <w:rPr>
                <w:szCs w:val="20"/>
                <w:lang w:eastAsia="fr-FR" w:bidi="ar-SA"/>
              </w:rPr>
            </w:pPr>
            <w:r w:rsidRPr="00886B2E">
              <w:rPr>
                <w:szCs w:val="20"/>
                <w:lang w:eastAsia="fr-FR" w:bidi="ar-SA"/>
              </w:rPr>
              <w:t>5 000 – 8 000 /session de formation technique</w:t>
            </w:r>
            <w:r>
              <w:rPr>
                <w:szCs w:val="20"/>
                <w:lang w:eastAsia="fr-FR" w:bidi="ar-SA"/>
              </w:rPr>
              <w:t xml:space="preserve"> (</w:t>
            </w:r>
            <w:r w:rsidRPr="00886B2E">
              <w:rPr>
                <w:szCs w:val="20"/>
                <w:lang w:eastAsia="fr-FR" w:bidi="ar-SA"/>
              </w:rPr>
              <w:t>Sessions techniques avec prestataires de maintenance (éclairage, balisage, sûreté).</w:t>
            </w:r>
            <w:r>
              <w:rPr>
                <w:szCs w:val="20"/>
                <w:lang w:eastAsia="fr-FR" w:bidi="ar-SA"/>
              </w:rPr>
              <w:t>)</w:t>
            </w:r>
          </w:p>
        </w:tc>
      </w:tr>
      <w:tr w:rsidR="00100E98" w:rsidRPr="001D6A1B" w14:paraId="1C1FEABA" w14:textId="77777777" w:rsidTr="00100E98">
        <w:trPr>
          <w:trHeight w:val="1910"/>
        </w:trPr>
        <w:tc>
          <w:tcPr>
            <w:cnfStyle w:val="001000000000" w:firstRow="0" w:lastRow="0" w:firstColumn="1" w:lastColumn="0" w:oddVBand="0" w:evenVBand="0" w:oddHBand="0" w:evenHBand="0" w:firstRowFirstColumn="0" w:firstRowLastColumn="0" w:lastRowFirstColumn="0" w:lastRowLastColumn="0"/>
            <w:tcW w:w="0" w:type="auto"/>
            <w:vMerge/>
            <w:hideMark/>
          </w:tcPr>
          <w:p w14:paraId="69130D00" w14:textId="77777777" w:rsidR="00100E98" w:rsidRPr="00AA22F2" w:rsidRDefault="00100E98" w:rsidP="00D75525">
            <w:pPr>
              <w:rPr>
                <w:szCs w:val="20"/>
                <w:lang w:eastAsia="fr-FR" w:bidi="ar-SA"/>
              </w:rPr>
            </w:pPr>
          </w:p>
        </w:tc>
        <w:tc>
          <w:tcPr>
            <w:tcW w:w="0" w:type="auto"/>
            <w:vMerge w:val="restart"/>
            <w:hideMark/>
          </w:tcPr>
          <w:p w14:paraId="1AE6982A" w14:textId="77777777" w:rsidR="00100E98" w:rsidRPr="00AA22F2" w:rsidRDefault="00100E98" w:rsidP="00D75525">
            <w:pPr>
              <w:cnfStyle w:val="000000000000" w:firstRow="0" w:lastRow="0" w:firstColumn="0" w:lastColumn="0" w:oddVBand="0" w:evenVBand="0" w:oddHBand="0" w:evenHBand="0" w:firstRowFirstColumn="0" w:firstRowLastColumn="0" w:lastRowFirstColumn="0" w:lastRowLastColumn="0"/>
              <w:rPr>
                <w:szCs w:val="20"/>
                <w:lang w:eastAsia="fr-FR" w:bidi="ar-SA"/>
              </w:rPr>
            </w:pPr>
            <w:r w:rsidRPr="00AA22F2">
              <w:rPr>
                <w:b/>
                <w:bCs/>
                <w:szCs w:val="20"/>
                <w:lang w:eastAsia="fr-FR" w:bidi="ar-SA"/>
              </w:rPr>
              <w:t>Réduire</w:t>
            </w:r>
          </w:p>
        </w:tc>
        <w:tc>
          <w:tcPr>
            <w:tcW w:w="0" w:type="auto"/>
            <w:tcBorders>
              <w:bottom w:val="single" w:sz="4" w:space="0" w:color="B4C6E7" w:themeColor="accent1" w:themeTint="66"/>
            </w:tcBorders>
            <w:hideMark/>
          </w:tcPr>
          <w:p w14:paraId="1B683610" w14:textId="308D094B" w:rsidR="00100E98" w:rsidRPr="00AA22F2" w:rsidRDefault="00100E98" w:rsidP="00D75525">
            <w:pPr>
              <w:cnfStyle w:val="000000000000" w:firstRow="0" w:lastRow="0" w:firstColumn="0" w:lastColumn="0" w:oddVBand="0" w:evenVBand="0" w:oddHBand="0" w:evenHBand="0" w:firstRowFirstColumn="0" w:firstRowLastColumn="0" w:lastRowFirstColumn="0" w:lastRowLastColumn="0"/>
              <w:rPr>
                <w:szCs w:val="20"/>
                <w:lang w:eastAsia="fr-FR" w:bidi="ar-SA"/>
              </w:rPr>
            </w:pPr>
            <w:r w:rsidRPr="00AA22F2">
              <w:rPr>
                <w:szCs w:val="20"/>
                <w:lang w:eastAsia="fr-FR" w:bidi="ar-SA"/>
              </w:rPr>
              <w:t xml:space="preserve">Mettre en place un </w:t>
            </w:r>
            <w:r w:rsidRPr="004637C7">
              <w:rPr>
                <w:szCs w:val="20"/>
                <w:lang w:eastAsia="fr-FR" w:bidi="ar-SA"/>
              </w:rPr>
              <w:t>programme de formation technique</w:t>
            </w:r>
            <w:r w:rsidRPr="00AA22F2">
              <w:rPr>
                <w:szCs w:val="20"/>
                <w:lang w:eastAsia="fr-FR" w:bidi="ar-SA"/>
              </w:rPr>
              <w:t xml:space="preserve"> sur les systèmes de balisage lumineux, de sûreté et de maintenance prédictive. </w:t>
            </w:r>
          </w:p>
        </w:tc>
        <w:tc>
          <w:tcPr>
            <w:tcW w:w="0" w:type="auto"/>
            <w:vMerge w:val="restart"/>
            <w:hideMark/>
          </w:tcPr>
          <w:p w14:paraId="07EEBD23" w14:textId="77777777" w:rsidR="00100E98" w:rsidRPr="00AA22F2" w:rsidRDefault="00100E98" w:rsidP="00D75525">
            <w:pPr>
              <w:cnfStyle w:val="000000000000" w:firstRow="0" w:lastRow="0" w:firstColumn="0" w:lastColumn="0" w:oddVBand="0" w:evenVBand="0" w:oddHBand="0" w:evenHBand="0" w:firstRowFirstColumn="0" w:firstRowLastColumn="0" w:lastRowFirstColumn="0" w:lastRowLastColumn="0"/>
              <w:rPr>
                <w:szCs w:val="20"/>
                <w:lang w:eastAsia="fr-FR" w:bidi="ar-SA"/>
              </w:rPr>
            </w:pPr>
            <w:r w:rsidRPr="00AA22F2">
              <w:rPr>
                <w:szCs w:val="20"/>
                <w:lang w:eastAsia="fr-FR" w:bidi="ar-SA"/>
              </w:rPr>
              <w:t>Nombre de sessions techniques ; % de maintenance assurée en interne</w:t>
            </w:r>
          </w:p>
        </w:tc>
        <w:tc>
          <w:tcPr>
            <w:tcW w:w="0" w:type="auto"/>
            <w:vMerge w:val="restart"/>
            <w:hideMark/>
          </w:tcPr>
          <w:p w14:paraId="6CDA9977" w14:textId="2806AFB7" w:rsidR="00100E98" w:rsidRPr="00AA22F2" w:rsidRDefault="00100E98" w:rsidP="00D75525">
            <w:pPr>
              <w:cnfStyle w:val="000000000000" w:firstRow="0" w:lastRow="0" w:firstColumn="0" w:lastColumn="0" w:oddVBand="0" w:evenVBand="0" w:oddHBand="0" w:evenHBand="0" w:firstRowFirstColumn="0" w:firstRowLastColumn="0" w:lastRowFirstColumn="0" w:lastRowLastColumn="0"/>
              <w:rPr>
                <w:szCs w:val="20"/>
                <w:lang w:eastAsia="fr-FR" w:bidi="ar-SA"/>
              </w:rPr>
            </w:pPr>
            <w:r w:rsidRPr="00AA22F2">
              <w:rPr>
                <w:szCs w:val="20"/>
                <w:lang w:eastAsia="fr-FR" w:bidi="ar-SA"/>
              </w:rPr>
              <w:t>ONDA / Exploitant</w:t>
            </w:r>
          </w:p>
        </w:tc>
        <w:tc>
          <w:tcPr>
            <w:tcW w:w="0" w:type="auto"/>
            <w:vMerge w:val="restart"/>
            <w:hideMark/>
          </w:tcPr>
          <w:p w14:paraId="193E5B73" w14:textId="5B833DB6" w:rsidR="00100E98" w:rsidRPr="00AA22F2" w:rsidRDefault="00100E98" w:rsidP="00D75525">
            <w:pPr>
              <w:cnfStyle w:val="000000000000" w:firstRow="0" w:lastRow="0" w:firstColumn="0" w:lastColumn="0" w:oddVBand="0" w:evenVBand="0" w:oddHBand="0" w:evenHBand="0" w:firstRowFirstColumn="0" w:firstRowLastColumn="0" w:lastRowFirstColumn="0" w:lastRowLastColumn="0"/>
              <w:rPr>
                <w:szCs w:val="20"/>
                <w:lang w:eastAsia="fr-FR" w:bidi="ar-SA"/>
              </w:rPr>
            </w:pPr>
            <w:r w:rsidRPr="00AA22F2">
              <w:rPr>
                <w:szCs w:val="20"/>
                <w:lang w:eastAsia="fr-FR" w:bidi="ar-SA"/>
              </w:rPr>
              <w:t>ONDA</w:t>
            </w:r>
          </w:p>
        </w:tc>
        <w:tc>
          <w:tcPr>
            <w:tcW w:w="0" w:type="auto"/>
            <w:vMerge w:val="restart"/>
            <w:hideMark/>
          </w:tcPr>
          <w:p w14:paraId="08470FF1" w14:textId="1667C42E" w:rsidR="00100E98" w:rsidRPr="00AA22F2" w:rsidRDefault="00100E98" w:rsidP="00D75525">
            <w:pPr>
              <w:cnfStyle w:val="000000000000" w:firstRow="0" w:lastRow="0" w:firstColumn="0" w:lastColumn="0" w:oddVBand="0" w:evenVBand="0" w:oddHBand="0" w:evenHBand="0" w:firstRowFirstColumn="0" w:firstRowLastColumn="0" w:lastRowFirstColumn="0" w:lastRowLastColumn="0"/>
              <w:rPr>
                <w:szCs w:val="20"/>
                <w:lang w:eastAsia="fr-FR" w:bidi="ar-SA"/>
              </w:rPr>
            </w:pPr>
            <w:r w:rsidRPr="00EB387E">
              <w:rPr>
                <w:szCs w:val="20"/>
                <w:lang w:eastAsia="fr-FR" w:bidi="ar-SA"/>
              </w:rPr>
              <w:t>ONDA</w:t>
            </w:r>
          </w:p>
        </w:tc>
        <w:tc>
          <w:tcPr>
            <w:tcW w:w="0" w:type="auto"/>
            <w:vMerge w:val="restart"/>
            <w:hideMark/>
          </w:tcPr>
          <w:p w14:paraId="293B36C4" w14:textId="77777777" w:rsidR="00100E98" w:rsidRPr="00AA22F2" w:rsidRDefault="00100E98" w:rsidP="00D75525">
            <w:pPr>
              <w:cnfStyle w:val="000000000000" w:firstRow="0" w:lastRow="0" w:firstColumn="0" w:lastColumn="0" w:oddVBand="0" w:evenVBand="0" w:oddHBand="0" w:evenHBand="0" w:firstRowFirstColumn="0" w:firstRowLastColumn="0" w:lastRowFirstColumn="0" w:lastRowLastColumn="0"/>
              <w:rPr>
                <w:szCs w:val="20"/>
                <w:lang w:eastAsia="fr-FR" w:bidi="ar-SA"/>
              </w:rPr>
            </w:pPr>
            <w:r w:rsidRPr="00AA22F2">
              <w:rPr>
                <w:szCs w:val="20"/>
                <w:lang w:eastAsia="fr-FR" w:bidi="ar-SA"/>
              </w:rPr>
              <w:t>Exploitation continue</w:t>
            </w:r>
          </w:p>
        </w:tc>
        <w:tc>
          <w:tcPr>
            <w:tcW w:w="0" w:type="auto"/>
            <w:tcBorders>
              <w:bottom w:val="single" w:sz="4" w:space="0" w:color="B4C6E7" w:themeColor="accent1" w:themeTint="66"/>
            </w:tcBorders>
            <w:hideMark/>
          </w:tcPr>
          <w:p w14:paraId="5FB0C91B" w14:textId="59784B4A" w:rsidR="00100E98" w:rsidRPr="00AA22F2" w:rsidRDefault="00100E98" w:rsidP="00D75525">
            <w:pPr>
              <w:cnfStyle w:val="000000000000" w:firstRow="0" w:lastRow="0" w:firstColumn="0" w:lastColumn="0" w:oddVBand="0" w:evenVBand="0" w:oddHBand="0" w:evenHBand="0" w:firstRowFirstColumn="0" w:firstRowLastColumn="0" w:lastRowFirstColumn="0" w:lastRowLastColumn="0"/>
              <w:rPr>
                <w:szCs w:val="20"/>
                <w:lang w:eastAsia="fr-FR" w:bidi="ar-SA"/>
              </w:rPr>
            </w:pPr>
            <w:r w:rsidRPr="00100E98">
              <w:rPr>
                <w:szCs w:val="20"/>
                <w:lang w:eastAsia="fr-FR" w:bidi="ar-SA"/>
              </w:rPr>
              <w:t>25 000 – 30 000 /cycle (30 h)</w:t>
            </w:r>
          </w:p>
        </w:tc>
      </w:tr>
      <w:tr w:rsidR="00100E98" w:rsidRPr="001D6A1B" w14:paraId="36498FDF" w14:textId="77777777" w:rsidTr="00100E98">
        <w:trPr>
          <w:trHeight w:val="1265"/>
        </w:trPr>
        <w:tc>
          <w:tcPr>
            <w:cnfStyle w:val="001000000000" w:firstRow="0" w:lastRow="0" w:firstColumn="1" w:lastColumn="0" w:oddVBand="0" w:evenVBand="0" w:oddHBand="0" w:evenHBand="0" w:firstRowFirstColumn="0" w:firstRowLastColumn="0" w:lastRowFirstColumn="0" w:lastRowLastColumn="0"/>
            <w:tcW w:w="0" w:type="auto"/>
            <w:vMerge/>
          </w:tcPr>
          <w:p w14:paraId="7E662711" w14:textId="77777777" w:rsidR="00100E98" w:rsidRPr="00AA22F2" w:rsidRDefault="00100E98" w:rsidP="00D75525">
            <w:pPr>
              <w:rPr>
                <w:szCs w:val="20"/>
                <w:lang w:eastAsia="fr-FR" w:bidi="ar-SA"/>
              </w:rPr>
            </w:pPr>
          </w:p>
        </w:tc>
        <w:tc>
          <w:tcPr>
            <w:tcW w:w="0" w:type="auto"/>
            <w:vMerge/>
          </w:tcPr>
          <w:p w14:paraId="2FF5A446" w14:textId="77777777" w:rsidR="00100E98" w:rsidRPr="00AA22F2" w:rsidRDefault="00100E98" w:rsidP="00D75525">
            <w:pPr>
              <w:cnfStyle w:val="000000000000" w:firstRow="0" w:lastRow="0" w:firstColumn="0" w:lastColumn="0" w:oddVBand="0" w:evenVBand="0" w:oddHBand="0" w:evenHBand="0" w:firstRowFirstColumn="0" w:firstRowLastColumn="0" w:lastRowFirstColumn="0" w:lastRowLastColumn="0"/>
              <w:rPr>
                <w:b/>
                <w:bCs/>
                <w:szCs w:val="20"/>
                <w:lang w:eastAsia="fr-FR" w:bidi="ar-SA"/>
              </w:rPr>
            </w:pPr>
          </w:p>
        </w:tc>
        <w:tc>
          <w:tcPr>
            <w:tcW w:w="0" w:type="auto"/>
            <w:tcBorders>
              <w:top w:val="single" w:sz="4" w:space="0" w:color="B4C6E7" w:themeColor="accent1" w:themeTint="66"/>
            </w:tcBorders>
          </w:tcPr>
          <w:p w14:paraId="7DABD6E3" w14:textId="77777777" w:rsidR="00100E98" w:rsidRPr="00AA22F2" w:rsidRDefault="00100E98" w:rsidP="00100E98">
            <w:pPr>
              <w:cnfStyle w:val="000000000000" w:firstRow="0" w:lastRow="0" w:firstColumn="0" w:lastColumn="0" w:oddVBand="0" w:evenVBand="0" w:oddHBand="0" w:evenHBand="0" w:firstRowFirstColumn="0" w:firstRowLastColumn="0" w:lastRowFirstColumn="0" w:lastRowLastColumn="0"/>
              <w:rPr>
                <w:szCs w:val="20"/>
                <w:lang w:eastAsia="fr-FR" w:bidi="ar-SA"/>
              </w:rPr>
            </w:pPr>
            <w:r w:rsidRPr="00AA22F2">
              <w:rPr>
                <w:szCs w:val="20"/>
                <w:lang w:eastAsia="fr-FR" w:bidi="ar-SA"/>
              </w:rPr>
              <w:t>Réduire les interventions externes en renforçant la capacité du personnel local.</w:t>
            </w:r>
          </w:p>
        </w:tc>
        <w:tc>
          <w:tcPr>
            <w:tcW w:w="0" w:type="auto"/>
            <w:vMerge/>
          </w:tcPr>
          <w:p w14:paraId="445FAAEA" w14:textId="77777777" w:rsidR="00100E98" w:rsidRPr="00AA22F2" w:rsidRDefault="00100E98" w:rsidP="00D75525">
            <w:pPr>
              <w:cnfStyle w:val="000000000000" w:firstRow="0" w:lastRow="0" w:firstColumn="0" w:lastColumn="0" w:oddVBand="0" w:evenVBand="0" w:oddHBand="0" w:evenHBand="0" w:firstRowFirstColumn="0" w:firstRowLastColumn="0" w:lastRowFirstColumn="0" w:lastRowLastColumn="0"/>
              <w:rPr>
                <w:szCs w:val="20"/>
                <w:lang w:eastAsia="fr-FR" w:bidi="ar-SA"/>
              </w:rPr>
            </w:pPr>
          </w:p>
        </w:tc>
        <w:tc>
          <w:tcPr>
            <w:tcW w:w="0" w:type="auto"/>
            <w:vMerge/>
          </w:tcPr>
          <w:p w14:paraId="252CB4F1" w14:textId="77777777" w:rsidR="00100E98" w:rsidRPr="00AA22F2" w:rsidRDefault="00100E98" w:rsidP="00D75525">
            <w:pPr>
              <w:cnfStyle w:val="000000000000" w:firstRow="0" w:lastRow="0" w:firstColumn="0" w:lastColumn="0" w:oddVBand="0" w:evenVBand="0" w:oddHBand="0" w:evenHBand="0" w:firstRowFirstColumn="0" w:firstRowLastColumn="0" w:lastRowFirstColumn="0" w:lastRowLastColumn="0"/>
              <w:rPr>
                <w:szCs w:val="20"/>
                <w:lang w:eastAsia="fr-FR" w:bidi="ar-SA"/>
              </w:rPr>
            </w:pPr>
          </w:p>
        </w:tc>
        <w:tc>
          <w:tcPr>
            <w:tcW w:w="0" w:type="auto"/>
            <w:vMerge/>
          </w:tcPr>
          <w:p w14:paraId="3F264489" w14:textId="77777777" w:rsidR="00100E98" w:rsidRPr="00AA22F2" w:rsidRDefault="00100E98" w:rsidP="00D75525">
            <w:pPr>
              <w:cnfStyle w:val="000000000000" w:firstRow="0" w:lastRow="0" w:firstColumn="0" w:lastColumn="0" w:oddVBand="0" w:evenVBand="0" w:oddHBand="0" w:evenHBand="0" w:firstRowFirstColumn="0" w:firstRowLastColumn="0" w:lastRowFirstColumn="0" w:lastRowLastColumn="0"/>
              <w:rPr>
                <w:szCs w:val="20"/>
                <w:lang w:eastAsia="fr-FR" w:bidi="ar-SA"/>
              </w:rPr>
            </w:pPr>
          </w:p>
        </w:tc>
        <w:tc>
          <w:tcPr>
            <w:tcW w:w="0" w:type="auto"/>
            <w:vMerge/>
          </w:tcPr>
          <w:p w14:paraId="3A202472" w14:textId="77777777" w:rsidR="00100E98" w:rsidRPr="00EB387E" w:rsidRDefault="00100E98" w:rsidP="00D75525">
            <w:pPr>
              <w:cnfStyle w:val="000000000000" w:firstRow="0" w:lastRow="0" w:firstColumn="0" w:lastColumn="0" w:oddVBand="0" w:evenVBand="0" w:oddHBand="0" w:evenHBand="0" w:firstRowFirstColumn="0" w:firstRowLastColumn="0" w:lastRowFirstColumn="0" w:lastRowLastColumn="0"/>
              <w:rPr>
                <w:szCs w:val="20"/>
                <w:lang w:eastAsia="fr-FR" w:bidi="ar-SA"/>
              </w:rPr>
            </w:pPr>
          </w:p>
        </w:tc>
        <w:tc>
          <w:tcPr>
            <w:tcW w:w="0" w:type="auto"/>
            <w:vMerge/>
          </w:tcPr>
          <w:p w14:paraId="7E22F9BC" w14:textId="77777777" w:rsidR="00100E98" w:rsidRPr="00AA22F2" w:rsidRDefault="00100E98" w:rsidP="00D75525">
            <w:pPr>
              <w:cnfStyle w:val="000000000000" w:firstRow="0" w:lastRow="0" w:firstColumn="0" w:lastColumn="0" w:oddVBand="0" w:evenVBand="0" w:oddHBand="0" w:evenHBand="0" w:firstRowFirstColumn="0" w:firstRowLastColumn="0" w:lastRowFirstColumn="0" w:lastRowLastColumn="0"/>
              <w:rPr>
                <w:szCs w:val="20"/>
                <w:lang w:eastAsia="fr-FR" w:bidi="ar-SA"/>
              </w:rPr>
            </w:pPr>
          </w:p>
        </w:tc>
        <w:tc>
          <w:tcPr>
            <w:tcW w:w="0" w:type="auto"/>
            <w:tcBorders>
              <w:top w:val="single" w:sz="4" w:space="0" w:color="B4C6E7" w:themeColor="accent1" w:themeTint="66"/>
            </w:tcBorders>
          </w:tcPr>
          <w:p w14:paraId="1ED396B6" w14:textId="19FC2713" w:rsidR="00100E98" w:rsidRPr="00AA22F2" w:rsidRDefault="00100E98" w:rsidP="00D75525">
            <w:pPr>
              <w:cnfStyle w:val="000000000000" w:firstRow="0" w:lastRow="0" w:firstColumn="0" w:lastColumn="0" w:oddVBand="0" w:evenVBand="0" w:oddHBand="0" w:evenHBand="0" w:firstRowFirstColumn="0" w:firstRowLastColumn="0" w:lastRowFirstColumn="0" w:lastRowLastColumn="0"/>
              <w:rPr>
                <w:szCs w:val="20"/>
                <w:lang w:eastAsia="fr-FR" w:bidi="ar-SA"/>
              </w:rPr>
            </w:pPr>
            <w:r w:rsidRPr="00100E98">
              <w:rPr>
                <w:szCs w:val="20"/>
                <w:lang w:eastAsia="fr-FR" w:bidi="ar-SA"/>
              </w:rPr>
              <w:t>Inclus dans le coût des formations techniques ci-dessus</w:t>
            </w:r>
          </w:p>
        </w:tc>
      </w:tr>
      <w:tr w:rsidR="00380C06" w:rsidRPr="001D6A1B" w14:paraId="553973ED" w14:textId="77777777" w:rsidTr="001D6A1B">
        <w:tc>
          <w:tcPr>
            <w:cnfStyle w:val="001000000000" w:firstRow="0" w:lastRow="0" w:firstColumn="1" w:lastColumn="0" w:oddVBand="0" w:evenVBand="0" w:oddHBand="0" w:evenHBand="0" w:firstRowFirstColumn="0" w:firstRowLastColumn="0" w:lastRowFirstColumn="0" w:lastRowLastColumn="0"/>
            <w:tcW w:w="0" w:type="auto"/>
            <w:vMerge/>
            <w:hideMark/>
          </w:tcPr>
          <w:p w14:paraId="0F7C93DA" w14:textId="77777777" w:rsidR="00D75525" w:rsidRPr="00AA22F2" w:rsidRDefault="00D75525" w:rsidP="00D75525">
            <w:pPr>
              <w:rPr>
                <w:szCs w:val="20"/>
                <w:lang w:eastAsia="fr-FR" w:bidi="ar-SA"/>
              </w:rPr>
            </w:pPr>
          </w:p>
        </w:tc>
        <w:tc>
          <w:tcPr>
            <w:tcW w:w="0" w:type="auto"/>
            <w:hideMark/>
          </w:tcPr>
          <w:p w14:paraId="3940C11A" w14:textId="77777777" w:rsidR="00D75525" w:rsidRPr="00AA22F2" w:rsidRDefault="00D75525" w:rsidP="00D75525">
            <w:pPr>
              <w:cnfStyle w:val="000000000000" w:firstRow="0" w:lastRow="0" w:firstColumn="0" w:lastColumn="0" w:oddVBand="0" w:evenVBand="0" w:oddHBand="0" w:evenHBand="0" w:firstRowFirstColumn="0" w:firstRowLastColumn="0" w:lastRowFirstColumn="0" w:lastRowLastColumn="0"/>
              <w:rPr>
                <w:szCs w:val="20"/>
                <w:lang w:eastAsia="fr-FR" w:bidi="ar-SA"/>
              </w:rPr>
            </w:pPr>
            <w:r w:rsidRPr="00AA22F2">
              <w:rPr>
                <w:b/>
                <w:bCs/>
                <w:szCs w:val="20"/>
                <w:lang w:eastAsia="fr-FR" w:bidi="ar-SA"/>
              </w:rPr>
              <w:t>Atténuer</w:t>
            </w:r>
          </w:p>
        </w:tc>
        <w:tc>
          <w:tcPr>
            <w:tcW w:w="0" w:type="auto"/>
            <w:hideMark/>
          </w:tcPr>
          <w:p w14:paraId="043CD10D" w14:textId="77777777" w:rsidR="00D75525" w:rsidRPr="00AA22F2" w:rsidRDefault="00D75525" w:rsidP="00D75525">
            <w:pPr>
              <w:cnfStyle w:val="000000000000" w:firstRow="0" w:lastRow="0" w:firstColumn="0" w:lastColumn="0" w:oddVBand="0" w:evenVBand="0" w:oddHBand="0" w:evenHBand="0" w:firstRowFirstColumn="0" w:firstRowLastColumn="0" w:lastRowFirstColumn="0" w:lastRowLastColumn="0"/>
              <w:rPr>
                <w:szCs w:val="20"/>
                <w:lang w:eastAsia="fr-FR" w:bidi="ar-SA"/>
              </w:rPr>
            </w:pPr>
            <w:r w:rsidRPr="00AA22F2">
              <w:rPr>
                <w:szCs w:val="20"/>
                <w:lang w:eastAsia="fr-FR" w:bidi="ar-SA"/>
              </w:rPr>
              <w:t xml:space="preserve">Promouvoir des </w:t>
            </w:r>
            <w:r w:rsidRPr="004637C7">
              <w:rPr>
                <w:szCs w:val="20"/>
                <w:lang w:eastAsia="fr-FR" w:bidi="ar-SA"/>
              </w:rPr>
              <w:t xml:space="preserve">partenariats institutionnels avec les universités </w:t>
            </w:r>
            <w:r w:rsidRPr="004637C7">
              <w:rPr>
                <w:szCs w:val="20"/>
                <w:lang w:eastAsia="fr-FR" w:bidi="ar-SA"/>
              </w:rPr>
              <w:lastRenderedPageBreak/>
              <w:t>régionales et centres de recherche</w:t>
            </w:r>
            <w:r w:rsidRPr="00AA22F2">
              <w:rPr>
                <w:szCs w:val="20"/>
                <w:lang w:eastAsia="fr-FR" w:bidi="ar-SA"/>
              </w:rPr>
              <w:t xml:space="preserve"> pour favoriser la recherche appliquée en technologies aéroportuaires.</w:t>
            </w:r>
          </w:p>
        </w:tc>
        <w:tc>
          <w:tcPr>
            <w:tcW w:w="0" w:type="auto"/>
            <w:hideMark/>
          </w:tcPr>
          <w:p w14:paraId="2C2C8197" w14:textId="77777777" w:rsidR="00D75525" w:rsidRPr="00AA22F2" w:rsidRDefault="00D75525" w:rsidP="00D75525">
            <w:pPr>
              <w:cnfStyle w:val="000000000000" w:firstRow="0" w:lastRow="0" w:firstColumn="0" w:lastColumn="0" w:oddVBand="0" w:evenVBand="0" w:oddHBand="0" w:evenHBand="0" w:firstRowFirstColumn="0" w:firstRowLastColumn="0" w:lastRowFirstColumn="0" w:lastRowLastColumn="0"/>
              <w:rPr>
                <w:szCs w:val="20"/>
                <w:lang w:eastAsia="fr-FR" w:bidi="ar-SA"/>
              </w:rPr>
            </w:pPr>
            <w:r w:rsidRPr="00AA22F2">
              <w:rPr>
                <w:szCs w:val="20"/>
                <w:lang w:eastAsia="fr-FR" w:bidi="ar-SA"/>
              </w:rPr>
              <w:lastRenderedPageBreak/>
              <w:t xml:space="preserve">Nombre de partenariats actifs ; nombre de </w:t>
            </w:r>
            <w:r w:rsidRPr="00AA22F2">
              <w:rPr>
                <w:szCs w:val="20"/>
                <w:lang w:eastAsia="fr-FR" w:bidi="ar-SA"/>
              </w:rPr>
              <w:lastRenderedPageBreak/>
              <w:t>projets de recherche initiés</w:t>
            </w:r>
          </w:p>
        </w:tc>
        <w:tc>
          <w:tcPr>
            <w:tcW w:w="0" w:type="auto"/>
            <w:hideMark/>
          </w:tcPr>
          <w:p w14:paraId="42745B97" w14:textId="604913B1" w:rsidR="00D75525" w:rsidRPr="00AA22F2" w:rsidRDefault="00D75525" w:rsidP="00D75525">
            <w:pPr>
              <w:cnfStyle w:val="000000000000" w:firstRow="0" w:lastRow="0" w:firstColumn="0" w:lastColumn="0" w:oddVBand="0" w:evenVBand="0" w:oddHBand="0" w:evenHBand="0" w:firstRowFirstColumn="0" w:firstRowLastColumn="0" w:lastRowFirstColumn="0" w:lastRowLastColumn="0"/>
              <w:rPr>
                <w:szCs w:val="20"/>
                <w:lang w:eastAsia="fr-FR" w:bidi="ar-SA"/>
              </w:rPr>
            </w:pPr>
            <w:r w:rsidRPr="00AA22F2">
              <w:rPr>
                <w:szCs w:val="20"/>
                <w:lang w:eastAsia="fr-FR" w:bidi="ar-SA"/>
              </w:rPr>
              <w:lastRenderedPageBreak/>
              <w:t>ONDA / Exploitant</w:t>
            </w:r>
          </w:p>
        </w:tc>
        <w:tc>
          <w:tcPr>
            <w:tcW w:w="0" w:type="auto"/>
            <w:hideMark/>
          </w:tcPr>
          <w:p w14:paraId="04EA929D" w14:textId="11042FEC" w:rsidR="00D75525" w:rsidRPr="00AA22F2" w:rsidRDefault="00D75525" w:rsidP="00D75525">
            <w:pPr>
              <w:cnfStyle w:val="000000000000" w:firstRow="0" w:lastRow="0" w:firstColumn="0" w:lastColumn="0" w:oddVBand="0" w:evenVBand="0" w:oddHBand="0" w:evenHBand="0" w:firstRowFirstColumn="0" w:firstRowLastColumn="0" w:lastRowFirstColumn="0" w:lastRowLastColumn="0"/>
              <w:rPr>
                <w:szCs w:val="20"/>
                <w:lang w:eastAsia="fr-FR" w:bidi="ar-SA"/>
              </w:rPr>
            </w:pPr>
            <w:r w:rsidRPr="00AA22F2">
              <w:rPr>
                <w:szCs w:val="20"/>
                <w:lang w:eastAsia="fr-FR" w:bidi="ar-SA"/>
              </w:rPr>
              <w:t>ONDA</w:t>
            </w:r>
          </w:p>
        </w:tc>
        <w:tc>
          <w:tcPr>
            <w:tcW w:w="0" w:type="auto"/>
            <w:hideMark/>
          </w:tcPr>
          <w:p w14:paraId="360753F2" w14:textId="4C675726" w:rsidR="00D75525" w:rsidRPr="00AA22F2" w:rsidRDefault="00D75525" w:rsidP="00D75525">
            <w:pPr>
              <w:cnfStyle w:val="000000000000" w:firstRow="0" w:lastRow="0" w:firstColumn="0" w:lastColumn="0" w:oddVBand="0" w:evenVBand="0" w:oddHBand="0" w:evenHBand="0" w:firstRowFirstColumn="0" w:firstRowLastColumn="0" w:lastRowFirstColumn="0" w:lastRowLastColumn="0"/>
              <w:rPr>
                <w:szCs w:val="20"/>
                <w:lang w:eastAsia="fr-FR" w:bidi="ar-SA"/>
              </w:rPr>
            </w:pPr>
            <w:r w:rsidRPr="00EB387E">
              <w:rPr>
                <w:szCs w:val="20"/>
                <w:lang w:eastAsia="fr-FR" w:bidi="ar-SA"/>
              </w:rPr>
              <w:t>ONDA</w:t>
            </w:r>
          </w:p>
        </w:tc>
        <w:tc>
          <w:tcPr>
            <w:tcW w:w="0" w:type="auto"/>
            <w:hideMark/>
          </w:tcPr>
          <w:p w14:paraId="522C4C9F" w14:textId="77777777" w:rsidR="00D75525" w:rsidRPr="00AA22F2" w:rsidRDefault="00D75525" w:rsidP="00D75525">
            <w:pPr>
              <w:cnfStyle w:val="000000000000" w:firstRow="0" w:lastRow="0" w:firstColumn="0" w:lastColumn="0" w:oddVBand="0" w:evenVBand="0" w:oddHBand="0" w:evenHBand="0" w:firstRowFirstColumn="0" w:firstRowLastColumn="0" w:lastRowFirstColumn="0" w:lastRowLastColumn="0"/>
              <w:rPr>
                <w:szCs w:val="20"/>
                <w:lang w:eastAsia="fr-FR" w:bidi="ar-SA"/>
              </w:rPr>
            </w:pPr>
            <w:r w:rsidRPr="00AA22F2">
              <w:rPr>
                <w:szCs w:val="20"/>
                <w:lang w:eastAsia="fr-FR" w:bidi="ar-SA"/>
              </w:rPr>
              <w:t>À moyen terme</w:t>
            </w:r>
          </w:p>
        </w:tc>
        <w:tc>
          <w:tcPr>
            <w:tcW w:w="0" w:type="auto"/>
            <w:hideMark/>
          </w:tcPr>
          <w:p w14:paraId="08844436" w14:textId="76ED490B" w:rsidR="00D75525" w:rsidRPr="00AA22F2" w:rsidRDefault="00100E98" w:rsidP="00D75525">
            <w:pPr>
              <w:cnfStyle w:val="000000000000" w:firstRow="0" w:lastRow="0" w:firstColumn="0" w:lastColumn="0" w:oddVBand="0" w:evenVBand="0" w:oddHBand="0" w:evenHBand="0" w:firstRowFirstColumn="0" w:firstRowLastColumn="0" w:lastRowFirstColumn="0" w:lastRowLastColumn="0"/>
              <w:rPr>
                <w:szCs w:val="20"/>
                <w:lang w:eastAsia="fr-FR" w:bidi="ar-SA"/>
              </w:rPr>
            </w:pPr>
            <w:r w:rsidRPr="00100E98">
              <w:rPr>
                <w:szCs w:val="20"/>
                <w:lang w:eastAsia="fr-FR" w:bidi="ar-SA"/>
              </w:rPr>
              <w:t>20 000 – 25 000 /an (forfait)</w:t>
            </w:r>
            <w:r>
              <w:rPr>
                <w:szCs w:val="20"/>
                <w:lang w:eastAsia="fr-FR" w:bidi="ar-SA"/>
              </w:rPr>
              <w:t xml:space="preserve"> (</w:t>
            </w:r>
            <w:r w:rsidRPr="00100E98">
              <w:rPr>
                <w:szCs w:val="20"/>
                <w:lang w:eastAsia="fr-FR" w:bidi="ar-SA"/>
              </w:rPr>
              <w:t xml:space="preserve">Financement de stages, recherches </w:t>
            </w:r>
            <w:r w:rsidRPr="00100E98">
              <w:rPr>
                <w:szCs w:val="20"/>
                <w:lang w:eastAsia="fr-FR" w:bidi="ar-SA"/>
              </w:rPr>
              <w:lastRenderedPageBreak/>
              <w:t>appliquées, innovations aéroportuaires locales</w:t>
            </w:r>
            <w:r>
              <w:rPr>
                <w:szCs w:val="20"/>
                <w:lang w:eastAsia="fr-FR" w:bidi="ar-SA"/>
              </w:rPr>
              <w:t>)</w:t>
            </w:r>
          </w:p>
        </w:tc>
      </w:tr>
    </w:tbl>
    <w:p w14:paraId="0626EDD4" w14:textId="77777777" w:rsidR="006A1B66" w:rsidRPr="00820DCF" w:rsidRDefault="006A1B66" w:rsidP="004637C7">
      <w:pPr>
        <w:rPr>
          <w:b/>
          <w:bCs/>
        </w:rPr>
        <w:sectPr w:rsidR="006A1B66" w:rsidRPr="00820DCF" w:rsidSect="00802F68">
          <w:headerReference w:type="default" r:id="rId138"/>
          <w:footerReference w:type="default" r:id="rId139"/>
          <w:pgSz w:w="16838" w:h="11906" w:orient="landscape"/>
          <w:pgMar w:top="1418" w:right="1418" w:bottom="1418" w:left="1276" w:header="510" w:footer="567" w:gutter="0"/>
          <w:cols w:space="708"/>
          <w:docGrid w:linePitch="360"/>
        </w:sectPr>
      </w:pPr>
    </w:p>
    <w:p w14:paraId="2C8B8C5C" w14:textId="3967DB28" w:rsidR="0098645E" w:rsidRPr="0098645E" w:rsidRDefault="0098645E" w:rsidP="004637C7">
      <w:pPr>
        <w:pStyle w:val="Title5"/>
      </w:pPr>
      <w:r w:rsidRPr="0098645E">
        <w:lastRenderedPageBreak/>
        <w:t xml:space="preserve">Évaluation </w:t>
      </w:r>
      <w:r w:rsidR="00EE6766">
        <w:t>des impacts renforcés</w:t>
      </w:r>
    </w:p>
    <w:p w14:paraId="6582B397" w14:textId="63B1B7AE" w:rsidR="00EE6766" w:rsidRDefault="00EE6766" w:rsidP="00EE6766">
      <w:pPr>
        <w:rPr>
          <w:lang w:val="fr-MA"/>
        </w:rPr>
      </w:pPr>
      <w:r w:rsidRPr="00EE6766">
        <w:rPr>
          <w:lang w:val="fr-MA"/>
        </w:rPr>
        <w:t xml:space="preserve">En phase d’exploitation, les mesures de gestion et de suivi mises en œuvre par l’ONDA visent à </w:t>
      </w:r>
      <w:r w:rsidRPr="004637C7">
        <w:rPr>
          <w:lang w:val="fr-MA"/>
        </w:rPr>
        <w:t>pérenniser les bénéfices socio-économiques</w:t>
      </w:r>
      <w:r w:rsidRPr="00EE6766">
        <w:rPr>
          <w:lang w:val="fr-MA"/>
        </w:rPr>
        <w:t xml:space="preserve"> générés par l’extension.</w:t>
      </w:r>
    </w:p>
    <w:p w14:paraId="1962F602" w14:textId="1B8C0403" w:rsidR="00EE6766" w:rsidRPr="00EE6766" w:rsidRDefault="00EE6766" w:rsidP="00EE6766">
      <w:pPr>
        <w:rPr>
          <w:lang w:val="fr-MA"/>
        </w:rPr>
      </w:pPr>
      <w:r w:rsidRPr="00EE6766">
        <w:rPr>
          <w:lang w:val="fr-MA"/>
        </w:rPr>
        <w:t>L’exploitation des nouvelles infrastructures s’inscrit dans la continuité de l’activité actuelle, en renforçant l’efficacité opérationnelle et les retombées économiques régionales.</w:t>
      </w:r>
    </w:p>
    <w:p w14:paraId="2CDBEF77" w14:textId="77777777" w:rsidR="00EE6766" w:rsidRDefault="00EE6766" w:rsidP="00EE6766">
      <w:r w:rsidRPr="00EE6766">
        <w:t xml:space="preserve">Les dispositifs mis en place permettent de </w:t>
      </w:r>
      <w:r w:rsidRPr="004637C7">
        <w:t>consolider l’emploi existant</w:t>
      </w:r>
      <w:r w:rsidRPr="00EE6766">
        <w:t xml:space="preserve"> et de créer des opportunités supplémentaires dans les services associés (maintenance, sûreté, assistance en escale).</w:t>
      </w:r>
    </w:p>
    <w:p w14:paraId="04847C07" w14:textId="4C27D29D" w:rsidR="00EE6766" w:rsidRPr="00EE6766" w:rsidRDefault="00EE6766" w:rsidP="00EE6766">
      <w:r w:rsidRPr="00EE6766">
        <w:t xml:space="preserve">De plus, la coordination avec l’ONMT favorise la </w:t>
      </w:r>
      <w:r w:rsidRPr="004637C7">
        <w:t>relance du tourisme et l’attractivité du territoire</w:t>
      </w:r>
      <w:r w:rsidRPr="00EE6766">
        <w:t xml:space="preserve">, renforçant le positionnement </w:t>
      </w:r>
      <w:r w:rsidR="0032128F">
        <w:t>de Marrakech</w:t>
      </w:r>
      <w:r w:rsidRPr="00EE6766">
        <w:t xml:space="preserve"> comme hub aérien et touristique majeur du Sud marocain.</w:t>
      </w:r>
    </w:p>
    <w:p w14:paraId="7F39BA56" w14:textId="77777777" w:rsidR="00EE6766" w:rsidRDefault="00EE6766" w:rsidP="00EE6766">
      <w:r w:rsidRPr="00EE6766">
        <w:t xml:space="preserve">Les améliorations en matière d’accessibilité, de signalétique, de confort des passagers et d’assistance aux personnes à mobilité réduite contribuent à un </w:t>
      </w:r>
      <w:r w:rsidRPr="004637C7">
        <w:t>impact social direct positif</w:t>
      </w:r>
      <w:r w:rsidRPr="00EE6766">
        <w:t>, traduisant une meilleure qualité de service et une accessibilité accrue.</w:t>
      </w:r>
    </w:p>
    <w:p w14:paraId="5993882F" w14:textId="77777777" w:rsidR="00EE6766" w:rsidRPr="00EE6766" w:rsidRDefault="00EE6766" w:rsidP="00EE6766">
      <w:r w:rsidRPr="00EE6766">
        <w:t>Ainsi, après mise en œuvre des mesures :</w:t>
      </w:r>
    </w:p>
    <w:p w14:paraId="0BDC6352" w14:textId="77777777" w:rsidR="00EE6766" w:rsidRPr="00EE6766" w:rsidRDefault="00EE6766" w:rsidP="0001633E">
      <w:pPr>
        <w:numPr>
          <w:ilvl w:val="0"/>
          <w:numId w:val="122"/>
        </w:numPr>
      </w:pPr>
      <w:r w:rsidRPr="00EE6766">
        <w:t>L’</w:t>
      </w:r>
      <w:r w:rsidRPr="00EE6766">
        <w:rPr>
          <w:b/>
          <w:bCs/>
        </w:rPr>
        <w:t>impact sur l’emploi durable</w:t>
      </w:r>
      <w:r w:rsidRPr="00EE6766">
        <w:t xml:space="preserve"> est </w:t>
      </w:r>
      <w:r w:rsidRPr="00EE6766">
        <w:rPr>
          <w:b/>
          <w:bCs/>
        </w:rPr>
        <w:t>positif majeur et permanent</w:t>
      </w:r>
      <w:r w:rsidRPr="00EE6766">
        <w:t>, soutenu par la stabilité des effectifs et la création d’emplois indirects.</w:t>
      </w:r>
    </w:p>
    <w:p w14:paraId="20DAF803" w14:textId="78E1C7B2" w:rsidR="00EE6766" w:rsidRPr="00EE6766" w:rsidRDefault="00EE6766" w:rsidP="0001633E">
      <w:pPr>
        <w:numPr>
          <w:ilvl w:val="0"/>
          <w:numId w:val="122"/>
        </w:numPr>
      </w:pPr>
      <w:r w:rsidRPr="00EE6766">
        <w:t>L’</w:t>
      </w:r>
      <w:r w:rsidRPr="00EE6766">
        <w:rPr>
          <w:b/>
          <w:bCs/>
        </w:rPr>
        <w:t>impact sur le développement régional et le tourisme</w:t>
      </w:r>
      <w:r w:rsidRPr="00EE6766">
        <w:t xml:space="preserve"> est </w:t>
      </w:r>
      <w:r w:rsidRPr="00EE6766">
        <w:rPr>
          <w:b/>
          <w:bCs/>
        </w:rPr>
        <w:t xml:space="preserve">positif </w:t>
      </w:r>
      <w:r>
        <w:rPr>
          <w:b/>
          <w:bCs/>
        </w:rPr>
        <w:t>majeure</w:t>
      </w:r>
      <w:r w:rsidRPr="00EE6766">
        <w:t>, du fait de l’amélioration des capacités d’accueil et de l’augmentation du trafic aérien.</w:t>
      </w:r>
    </w:p>
    <w:p w14:paraId="0B695FEA" w14:textId="77777777" w:rsidR="00EE6766" w:rsidRPr="00EE6766" w:rsidRDefault="00EE6766" w:rsidP="0001633E">
      <w:pPr>
        <w:numPr>
          <w:ilvl w:val="0"/>
          <w:numId w:val="122"/>
        </w:numPr>
      </w:pPr>
      <w:r w:rsidRPr="00EE6766">
        <w:t>L’</w:t>
      </w:r>
      <w:r w:rsidRPr="00EE6766">
        <w:rPr>
          <w:b/>
          <w:bCs/>
        </w:rPr>
        <w:t>impact sur la mobilité et l’accessibilité</w:t>
      </w:r>
      <w:r w:rsidRPr="00EE6766">
        <w:t xml:space="preserve"> est </w:t>
      </w:r>
      <w:r w:rsidRPr="00EE6766">
        <w:rPr>
          <w:b/>
          <w:bCs/>
        </w:rPr>
        <w:t>positif significatif</w:t>
      </w:r>
      <w:r w:rsidRPr="00EE6766">
        <w:t>, en raison de la fluidité améliorée et du renforcement de la sécurité et du confort des usagers.</w:t>
      </w:r>
    </w:p>
    <w:p w14:paraId="649138CC" w14:textId="77777777" w:rsidR="00EE6766" w:rsidRPr="00EE6766" w:rsidRDefault="00EE6766" w:rsidP="0001633E">
      <w:pPr>
        <w:numPr>
          <w:ilvl w:val="0"/>
          <w:numId w:val="122"/>
        </w:numPr>
      </w:pPr>
      <w:r w:rsidRPr="00EE6766">
        <w:t>Enfin, l’</w:t>
      </w:r>
      <w:r w:rsidRPr="00EE6766">
        <w:rPr>
          <w:b/>
          <w:bCs/>
        </w:rPr>
        <w:t>impact sur le transfert technologique et institutionnel</w:t>
      </w:r>
      <w:r w:rsidRPr="00EE6766">
        <w:t xml:space="preserve"> est </w:t>
      </w:r>
      <w:r w:rsidRPr="00EE6766">
        <w:rPr>
          <w:b/>
          <w:bCs/>
        </w:rPr>
        <w:t>positif durable</w:t>
      </w:r>
      <w:r w:rsidRPr="00EE6766">
        <w:t>, consolidant la capacité de l’ONDA à gérer et maintenir des infrastructures modernes de manière autonome.</w:t>
      </w:r>
    </w:p>
    <w:p w14:paraId="323CCB11" w14:textId="45A740DE" w:rsidR="00EE6766" w:rsidRPr="00AB3F13" w:rsidRDefault="00EE6766" w:rsidP="00EE6766">
      <w:r w:rsidRPr="00EE6766">
        <w:t xml:space="preserve">Dans </w:t>
      </w:r>
      <w:r w:rsidRPr="00AB3F13">
        <w:t xml:space="preserve">l’ensemble, la phase d’exploitation du projet renforce </w:t>
      </w:r>
      <w:r w:rsidRPr="004637C7">
        <w:t>l’efficacité opérationnelle de l’aéroport</w:t>
      </w:r>
      <w:r w:rsidRPr="00AB3F13">
        <w:t xml:space="preserve"> et </w:t>
      </w:r>
      <w:r w:rsidRPr="004637C7">
        <w:t>la résilience socio-économique régionale</w:t>
      </w:r>
      <w:r w:rsidRPr="00AB3F13">
        <w:t xml:space="preserve">, tout en contribuant aux </w:t>
      </w:r>
      <w:r w:rsidRPr="004637C7">
        <w:t>objectifs nationaux de durabilité, de compétitivité et d’inclusion</w:t>
      </w:r>
      <w:r w:rsidRPr="00AB3F13">
        <w:t xml:space="preserve"> définis dans la Stratégie Nationale de Développement Durable (SNDD) et le Plan de Développement Régional du </w:t>
      </w:r>
      <w:r w:rsidR="00297A43">
        <w:t>Marrakech Safi</w:t>
      </w:r>
      <w:r w:rsidRPr="00AB3F13">
        <w:t>.</w:t>
      </w:r>
    </w:p>
    <w:p w14:paraId="009461AB" w14:textId="614726A9" w:rsidR="0098645E" w:rsidRPr="00802F68" w:rsidRDefault="0098645E" w:rsidP="0098645E"/>
    <w:p w14:paraId="7C414624" w14:textId="77777777" w:rsidR="00802F68" w:rsidRDefault="00802F68" w:rsidP="00877CAE">
      <w:pPr>
        <w:pStyle w:val="Title3"/>
        <w:sectPr w:rsidR="00802F68" w:rsidSect="004637C7">
          <w:pgSz w:w="11906" w:h="16838"/>
          <w:pgMar w:top="1418" w:right="1418" w:bottom="1276" w:left="1418" w:header="510" w:footer="567" w:gutter="0"/>
          <w:cols w:space="708"/>
          <w:docGrid w:linePitch="360"/>
        </w:sectPr>
      </w:pPr>
      <w:bookmarkStart w:id="478" w:name="_Toc181619041"/>
    </w:p>
    <w:p w14:paraId="27E4AB54" w14:textId="51840243" w:rsidR="0046455C" w:rsidRDefault="0046455C" w:rsidP="0046455C">
      <w:pPr>
        <w:pStyle w:val="Title3"/>
      </w:pPr>
      <w:bookmarkStart w:id="479" w:name="_Toc181619043"/>
      <w:bookmarkStart w:id="480" w:name="_Toc215131886"/>
      <w:bookmarkEnd w:id="478"/>
      <w:r w:rsidRPr="0046455C">
        <w:lastRenderedPageBreak/>
        <w:t>Santé et sécurité</w:t>
      </w:r>
      <w:bookmarkEnd w:id="479"/>
      <w:r w:rsidR="00AB3F13">
        <w:t xml:space="preserve"> des travailleurs</w:t>
      </w:r>
      <w:bookmarkEnd w:id="480"/>
    </w:p>
    <w:p w14:paraId="441EBC1B" w14:textId="31D5D9EE" w:rsidR="0046455C" w:rsidRPr="0046455C" w:rsidRDefault="0046455C" w:rsidP="0046455C">
      <w:pPr>
        <w:pStyle w:val="Title4"/>
      </w:pPr>
      <w:r w:rsidRPr="0046455C">
        <w:t xml:space="preserve">Phase construction </w:t>
      </w:r>
    </w:p>
    <w:p w14:paraId="30553880" w14:textId="33A378BF" w:rsidR="00BF40F5" w:rsidRDefault="00BF40F5" w:rsidP="00BF40F5">
      <w:pPr>
        <w:pStyle w:val="Title5"/>
      </w:pPr>
      <w:r>
        <w:t>Identification et évaluation des impacts et risques</w:t>
      </w:r>
    </w:p>
    <w:p w14:paraId="2A6E164F" w14:textId="19671A3A" w:rsidR="00E20861" w:rsidRPr="004F7D64" w:rsidRDefault="00BA76F2" w:rsidP="0001633E">
      <w:pPr>
        <w:pStyle w:val="AltTitle2"/>
        <w:numPr>
          <w:ilvl w:val="0"/>
          <w:numId w:val="106"/>
        </w:numPr>
      </w:pPr>
      <w:bookmarkStart w:id="481" w:name="_bookmark215"/>
      <w:bookmarkEnd w:id="481"/>
      <w:r>
        <w:t>Exposition aux conditions climatiques extrêmes</w:t>
      </w:r>
    </w:p>
    <w:p w14:paraId="7CE3CCB1" w14:textId="77777777" w:rsidR="00BA76F2" w:rsidRDefault="00BA76F2" w:rsidP="00E20861">
      <w:r w:rsidRPr="00BA76F2">
        <w:t xml:space="preserve">Durant la phase de construction, les ouvriers seront exposés à des températures élevées et à un ensoleillement important, notamment entre </w:t>
      </w:r>
      <w:r w:rsidRPr="004637C7">
        <w:t>mai et septembre</w:t>
      </w:r>
      <w:r w:rsidRPr="00BA76F2">
        <w:t xml:space="preserve">, période au cours de laquelle les températures peuvent dépasser 38 °C. Ces conditions climatiques, associées à un effort physique soutenu, entraînent une dégradation du confort thermique et une vulnérabilité accrue au stress thermique, à la déshydratation et à la fatigue. </w:t>
      </w:r>
    </w:p>
    <w:p w14:paraId="24562030" w14:textId="77777777" w:rsidR="00BA76F2" w:rsidRDefault="00BA76F2" w:rsidP="00E20861">
      <w:r w:rsidRPr="00BA76F2">
        <w:t xml:space="preserve">L’impact </w:t>
      </w:r>
      <w:r w:rsidRPr="00247BC4">
        <w:t xml:space="preserve">est </w:t>
      </w:r>
      <w:r w:rsidRPr="004637C7">
        <w:t>direct et continu</w:t>
      </w:r>
      <w:r w:rsidRPr="00247BC4">
        <w:t xml:space="preserve">, mais </w:t>
      </w:r>
      <w:r w:rsidRPr="004637C7">
        <w:t>saisonnier</w:t>
      </w:r>
      <w:r w:rsidRPr="00247BC4">
        <w:t>, d’inten</w:t>
      </w:r>
      <w:r w:rsidRPr="00BA76F2">
        <w:t xml:space="preserve">sité moyenne à forte. </w:t>
      </w:r>
    </w:p>
    <w:p w14:paraId="5C5A9104" w14:textId="01012787" w:rsidR="00E20861" w:rsidRDefault="00BA76F2" w:rsidP="00E20861">
      <w:r w:rsidRPr="00BA76F2">
        <w:t>Les récepteurs les plus sensibles sont les ouvriers de terrain, les conducteurs d’engins et les manœuvres exerçant en plein air. L’effet demeure local et temporaire, limité à la période de chantier et au périmètre de la plateforme aéroportuaire.</w:t>
      </w:r>
    </w:p>
    <w:tbl>
      <w:tblPr>
        <w:tblStyle w:val="TableauGrille1Clair-Accentuation111"/>
        <w:tblW w:w="0" w:type="auto"/>
        <w:tblLook w:val="04A0" w:firstRow="1" w:lastRow="0" w:firstColumn="1" w:lastColumn="0" w:noHBand="0" w:noVBand="1"/>
      </w:tblPr>
      <w:tblGrid>
        <w:gridCol w:w="792"/>
        <w:gridCol w:w="2540"/>
        <w:gridCol w:w="1704"/>
        <w:gridCol w:w="2681"/>
        <w:gridCol w:w="1343"/>
      </w:tblGrid>
      <w:tr w:rsidR="006305E3" w:rsidRPr="006305E3" w14:paraId="658BB777" w14:textId="77777777" w:rsidTr="00812AA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2B5E9F7E" w14:textId="77777777" w:rsidR="00812AA6" w:rsidRPr="00AA22F2" w:rsidRDefault="00812AA6" w:rsidP="00812AA6">
            <w:pPr>
              <w:rPr>
                <w:szCs w:val="20"/>
              </w:rPr>
            </w:pPr>
            <w:r w:rsidRPr="00AA22F2">
              <w:rPr>
                <w:szCs w:val="20"/>
              </w:rPr>
              <w:t>Impact</w:t>
            </w:r>
          </w:p>
        </w:tc>
        <w:tc>
          <w:tcPr>
            <w:tcW w:w="0" w:type="auto"/>
            <w:hideMark/>
          </w:tcPr>
          <w:p w14:paraId="6819808F" w14:textId="77777777" w:rsidR="00812AA6" w:rsidRPr="00AA22F2" w:rsidRDefault="00812AA6" w:rsidP="00812AA6">
            <w:pPr>
              <w:cnfStyle w:val="100000000000" w:firstRow="1" w:lastRow="0" w:firstColumn="0" w:lastColumn="0" w:oddVBand="0" w:evenVBand="0" w:oddHBand="0" w:evenHBand="0" w:firstRowFirstColumn="0" w:firstRowLastColumn="0" w:lastRowFirstColumn="0" w:lastRowLastColumn="0"/>
              <w:rPr>
                <w:szCs w:val="20"/>
              </w:rPr>
            </w:pPr>
            <w:r w:rsidRPr="00AA22F2">
              <w:rPr>
                <w:szCs w:val="20"/>
              </w:rPr>
              <w:t>Activités génératrices</w:t>
            </w:r>
          </w:p>
        </w:tc>
        <w:tc>
          <w:tcPr>
            <w:tcW w:w="0" w:type="auto"/>
            <w:hideMark/>
          </w:tcPr>
          <w:p w14:paraId="3565DB58" w14:textId="77777777" w:rsidR="00812AA6" w:rsidRPr="00AA22F2" w:rsidRDefault="00812AA6" w:rsidP="00812AA6">
            <w:pPr>
              <w:cnfStyle w:val="100000000000" w:firstRow="1" w:lastRow="0" w:firstColumn="0" w:lastColumn="0" w:oddVBand="0" w:evenVBand="0" w:oddHBand="0" w:evenHBand="0" w:firstRowFirstColumn="0" w:firstRowLastColumn="0" w:lastRowFirstColumn="0" w:lastRowLastColumn="0"/>
              <w:rPr>
                <w:szCs w:val="20"/>
              </w:rPr>
            </w:pPr>
            <w:r w:rsidRPr="00AA22F2">
              <w:rPr>
                <w:szCs w:val="20"/>
              </w:rPr>
              <w:t>Critère</w:t>
            </w:r>
          </w:p>
        </w:tc>
        <w:tc>
          <w:tcPr>
            <w:tcW w:w="0" w:type="auto"/>
            <w:hideMark/>
          </w:tcPr>
          <w:p w14:paraId="1F9CA04E" w14:textId="77777777" w:rsidR="00812AA6" w:rsidRPr="00AA22F2" w:rsidRDefault="00812AA6" w:rsidP="00812AA6">
            <w:pPr>
              <w:cnfStyle w:val="100000000000" w:firstRow="1" w:lastRow="0" w:firstColumn="0" w:lastColumn="0" w:oddVBand="0" w:evenVBand="0" w:oddHBand="0" w:evenHBand="0" w:firstRowFirstColumn="0" w:firstRowLastColumn="0" w:lastRowFirstColumn="0" w:lastRowLastColumn="0"/>
              <w:rPr>
                <w:szCs w:val="20"/>
              </w:rPr>
            </w:pPr>
            <w:r w:rsidRPr="00AA22F2">
              <w:rPr>
                <w:szCs w:val="20"/>
              </w:rPr>
              <w:t>Justification</w:t>
            </w:r>
          </w:p>
        </w:tc>
        <w:tc>
          <w:tcPr>
            <w:tcW w:w="0" w:type="auto"/>
            <w:hideMark/>
          </w:tcPr>
          <w:p w14:paraId="56BE81F0" w14:textId="77777777" w:rsidR="00812AA6" w:rsidRPr="00AA22F2" w:rsidRDefault="00812AA6" w:rsidP="00812AA6">
            <w:pPr>
              <w:cnfStyle w:val="100000000000" w:firstRow="1" w:lastRow="0" w:firstColumn="0" w:lastColumn="0" w:oddVBand="0" w:evenVBand="0" w:oddHBand="0" w:evenHBand="0" w:firstRowFirstColumn="0" w:firstRowLastColumn="0" w:lastRowFirstColumn="0" w:lastRowLastColumn="0"/>
              <w:rPr>
                <w:szCs w:val="20"/>
              </w:rPr>
            </w:pPr>
            <w:r w:rsidRPr="00AA22F2">
              <w:rPr>
                <w:szCs w:val="20"/>
              </w:rPr>
              <w:t>Niveau</w:t>
            </w:r>
          </w:p>
        </w:tc>
      </w:tr>
      <w:tr w:rsidR="006305E3" w:rsidRPr="006305E3" w14:paraId="02431E2D" w14:textId="77777777" w:rsidTr="004637C7">
        <w:tc>
          <w:tcPr>
            <w:cnfStyle w:val="001000000000" w:firstRow="0" w:lastRow="0" w:firstColumn="1" w:lastColumn="0" w:oddVBand="0" w:evenVBand="0" w:oddHBand="0" w:evenHBand="0" w:firstRowFirstColumn="0" w:firstRowLastColumn="0" w:lastRowFirstColumn="0" w:lastRowLastColumn="0"/>
            <w:tcW w:w="0" w:type="auto"/>
            <w:vMerge w:val="restart"/>
            <w:textDirection w:val="btLr"/>
            <w:vAlign w:val="center"/>
            <w:hideMark/>
          </w:tcPr>
          <w:p w14:paraId="3C0A43EC" w14:textId="273FA061" w:rsidR="006305E3" w:rsidRPr="00AA22F2" w:rsidRDefault="006305E3" w:rsidP="004637C7">
            <w:pPr>
              <w:ind w:left="113" w:right="113"/>
              <w:jc w:val="center"/>
              <w:rPr>
                <w:szCs w:val="20"/>
              </w:rPr>
            </w:pPr>
            <w:r w:rsidRPr="00AA22F2">
              <w:rPr>
                <w:szCs w:val="20"/>
              </w:rPr>
              <w:t>Exposition aux conditions climatiques extrêmes</w:t>
            </w:r>
          </w:p>
        </w:tc>
        <w:tc>
          <w:tcPr>
            <w:tcW w:w="0" w:type="auto"/>
            <w:vMerge w:val="restart"/>
            <w:vAlign w:val="center"/>
            <w:hideMark/>
          </w:tcPr>
          <w:p w14:paraId="70DC7997" w14:textId="77777777" w:rsidR="006305E3" w:rsidRPr="00AA22F2" w:rsidRDefault="006305E3" w:rsidP="004637C7">
            <w:pPr>
              <w:jc w:val="left"/>
              <w:cnfStyle w:val="000000000000" w:firstRow="0" w:lastRow="0" w:firstColumn="0" w:lastColumn="0" w:oddVBand="0" w:evenVBand="0" w:oddHBand="0" w:evenHBand="0" w:firstRowFirstColumn="0" w:firstRowLastColumn="0" w:lastRowFirstColumn="0" w:lastRowLastColumn="0"/>
              <w:rPr>
                <w:szCs w:val="20"/>
              </w:rPr>
            </w:pPr>
            <w:r w:rsidRPr="00AA22F2">
              <w:rPr>
                <w:szCs w:val="20"/>
              </w:rPr>
              <w:t>Travaux extérieurs, terrassements, pose d’enrobés, manutentions manuelles sous forte chaleur</w:t>
            </w:r>
          </w:p>
        </w:tc>
        <w:tc>
          <w:tcPr>
            <w:tcW w:w="0" w:type="auto"/>
            <w:hideMark/>
          </w:tcPr>
          <w:p w14:paraId="55319349" w14:textId="77777777" w:rsidR="006305E3" w:rsidRPr="00AA22F2" w:rsidRDefault="006305E3" w:rsidP="00812AA6">
            <w:pPr>
              <w:cnfStyle w:val="000000000000" w:firstRow="0" w:lastRow="0" w:firstColumn="0" w:lastColumn="0" w:oddVBand="0" w:evenVBand="0" w:oddHBand="0" w:evenHBand="0" w:firstRowFirstColumn="0" w:firstRowLastColumn="0" w:lastRowFirstColumn="0" w:lastRowLastColumn="0"/>
              <w:rPr>
                <w:szCs w:val="20"/>
              </w:rPr>
            </w:pPr>
            <w:r w:rsidRPr="00AA22F2">
              <w:rPr>
                <w:b/>
                <w:bCs/>
                <w:szCs w:val="20"/>
              </w:rPr>
              <w:t>Nature</w:t>
            </w:r>
          </w:p>
        </w:tc>
        <w:tc>
          <w:tcPr>
            <w:tcW w:w="0" w:type="auto"/>
            <w:gridSpan w:val="2"/>
            <w:hideMark/>
          </w:tcPr>
          <w:p w14:paraId="2595E371" w14:textId="275052E3" w:rsidR="006305E3" w:rsidRPr="00AA22F2" w:rsidRDefault="006305E3" w:rsidP="00812AA6">
            <w:pPr>
              <w:cnfStyle w:val="000000000000" w:firstRow="0" w:lastRow="0" w:firstColumn="0" w:lastColumn="0" w:oddVBand="0" w:evenVBand="0" w:oddHBand="0" w:evenHBand="0" w:firstRowFirstColumn="0" w:firstRowLastColumn="0" w:lastRowFirstColumn="0" w:lastRowLastColumn="0"/>
              <w:rPr>
                <w:szCs w:val="20"/>
              </w:rPr>
            </w:pPr>
            <w:r w:rsidRPr="00AA22F2">
              <w:rPr>
                <w:szCs w:val="20"/>
              </w:rPr>
              <w:t xml:space="preserve">Direct </w:t>
            </w:r>
            <w:r w:rsidR="00D26001" w:rsidRPr="00232A70">
              <w:rPr>
                <w:szCs w:val="20"/>
              </w:rPr>
              <w:t>négatif</w:t>
            </w:r>
          </w:p>
        </w:tc>
      </w:tr>
      <w:tr w:rsidR="00812AA6" w:rsidRPr="006305E3" w14:paraId="03CBEE42" w14:textId="77777777" w:rsidTr="004637C7">
        <w:tc>
          <w:tcPr>
            <w:cnfStyle w:val="001000000000" w:firstRow="0" w:lastRow="0" w:firstColumn="1" w:lastColumn="0" w:oddVBand="0" w:evenVBand="0" w:oddHBand="0" w:evenHBand="0" w:firstRowFirstColumn="0" w:firstRowLastColumn="0" w:lastRowFirstColumn="0" w:lastRowLastColumn="0"/>
            <w:tcW w:w="0" w:type="auto"/>
            <w:vMerge/>
            <w:hideMark/>
          </w:tcPr>
          <w:p w14:paraId="63E959B2" w14:textId="77777777" w:rsidR="00812AA6" w:rsidRPr="00AA22F2" w:rsidRDefault="00812AA6" w:rsidP="00812AA6">
            <w:pPr>
              <w:rPr>
                <w:szCs w:val="20"/>
              </w:rPr>
            </w:pPr>
          </w:p>
        </w:tc>
        <w:tc>
          <w:tcPr>
            <w:tcW w:w="0" w:type="auto"/>
            <w:vMerge/>
            <w:hideMark/>
          </w:tcPr>
          <w:p w14:paraId="0A22E819" w14:textId="77777777" w:rsidR="00812AA6" w:rsidRPr="00AA22F2" w:rsidRDefault="00812AA6" w:rsidP="00812AA6">
            <w:pPr>
              <w:cnfStyle w:val="000000000000" w:firstRow="0" w:lastRow="0" w:firstColumn="0" w:lastColumn="0" w:oddVBand="0" w:evenVBand="0" w:oddHBand="0" w:evenHBand="0" w:firstRowFirstColumn="0" w:firstRowLastColumn="0" w:lastRowFirstColumn="0" w:lastRowLastColumn="0"/>
              <w:rPr>
                <w:szCs w:val="20"/>
              </w:rPr>
            </w:pPr>
          </w:p>
        </w:tc>
        <w:tc>
          <w:tcPr>
            <w:tcW w:w="0" w:type="auto"/>
            <w:vAlign w:val="center"/>
            <w:hideMark/>
          </w:tcPr>
          <w:p w14:paraId="782EB6CF" w14:textId="77777777" w:rsidR="00812AA6" w:rsidRPr="00AA22F2" w:rsidRDefault="00812AA6" w:rsidP="004637C7">
            <w:pPr>
              <w:jc w:val="left"/>
              <w:cnfStyle w:val="000000000000" w:firstRow="0" w:lastRow="0" w:firstColumn="0" w:lastColumn="0" w:oddVBand="0" w:evenVBand="0" w:oddHBand="0" w:evenHBand="0" w:firstRowFirstColumn="0" w:firstRowLastColumn="0" w:lastRowFirstColumn="0" w:lastRowLastColumn="0"/>
              <w:rPr>
                <w:szCs w:val="20"/>
              </w:rPr>
            </w:pPr>
            <w:r w:rsidRPr="00AA22F2">
              <w:rPr>
                <w:b/>
                <w:bCs/>
                <w:szCs w:val="20"/>
              </w:rPr>
              <w:t>Étendue</w:t>
            </w:r>
          </w:p>
        </w:tc>
        <w:tc>
          <w:tcPr>
            <w:tcW w:w="0" w:type="auto"/>
            <w:hideMark/>
          </w:tcPr>
          <w:p w14:paraId="33281817" w14:textId="77777777" w:rsidR="00812AA6" w:rsidRPr="00AA22F2" w:rsidRDefault="00812AA6" w:rsidP="00812AA6">
            <w:pPr>
              <w:cnfStyle w:val="000000000000" w:firstRow="0" w:lastRow="0" w:firstColumn="0" w:lastColumn="0" w:oddVBand="0" w:evenVBand="0" w:oddHBand="0" w:evenHBand="0" w:firstRowFirstColumn="0" w:firstRowLastColumn="0" w:lastRowFirstColumn="0" w:lastRowLastColumn="0"/>
              <w:rPr>
                <w:szCs w:val="20"/>
              </w:rPr>
            </w:pPr>
            <w:r w:rsidRPr="00AA22F2">
              <w:rPr>
                <w:szCs w:val="20"/>
              </w:rPr>
              <w:t>Limité au périmètre du chantier et aux zones extérieures de la plateforme</w:t>
            </w:r>
          </w:p>
        </w:tc>
        <w:tc>
          <w:tcPr>
            <w:tcW w:w="0" w:type="auto"/>
            <w:vAlign w:val="center"/>
            <w:hideMark/>
          </w:tcPr>
          <w:p w14:paraId="2430EB9F" w14:textId="77777777" w:rsidR="00812AA6" w:rsidRPr="00AA22F2" w:rsidRDefault="00812AA6" w:rsidP="004637C7">
            <w:pPr>
              <w:jc w:val="left"/>
              <w:cnfStyle w:val="000000000000" w:firstRow="0" w:lastRow="0" w:firstColumn="0" w:lastColumn="0" w:oddVBand="0" w:evenVBand="0" w:oddHBand="0" w:evenHBand="0" w:firstRowFirstColumn="0" w:firstRowLastColumn="0" w:lastRowFirstColumn="0" w:lastRowLastColumn="0"/>
              <w:rPr>
                <w:szCs w:val="20"/>
              </w:rPr>
            </w:pPr>
            <w:r w:rsidRPr="00AA22F2">
              <w:rPr>
                <w:szCs w:val="20"/>
              </w:rPr>
              <w:t>Locale</w:t>
            </w:r>
          </w:p>
        </w:tc>
      </w:tr>
      <w:tr w:rsidR="00812AA6" w:rsidRPr="006305E3" w14:paraId="612B64BA" w14:textId="77777777" w:rsidTr="004637C7">
        <w:tc>
          <w:tcPr>
            <w:cnfStyle w:val="001000000000" w:firstRow="0" w:lastRow="0" w:firstColumn="1" w:lastColumn="0" w:oddVBand="0" w:evenVBand="0" w:oddHBand="0" w:evenHBand="0" w:firstRowFirstColumn="0" w:firstRowLastColumn="0" w:lastRowFirstColumn="0" w:lastRowLastColumn="0"/>
            <w:tcW w:w="0" w:type="auto"/>
            <w:vMerge/>
            <w:hideMark/>
          </w:tcPr>
          <w:p w14:paraId="418015FF" w14:textId="77777777" w:rsidR="00812AA6" w:rsidRPr="00AA22F2" w:rsidRDefault="00812AA6" w:rsidP="00812AA6">
            <w:pPr>
              <w:rPr>
                <w:szCs w:val="20"/>
              </w:rPr>
            </w:pPr>
          </w:p>
        </w:tc>
        <w:tc>
          <w:tcPr>
            <w:tcW w:w="0" w:type="auto"/>
            <w:vMerge/>
            <w:hideMark/>
          </w:tcPr>
          <w:p w14:paraId="69D89E11" w14:textId="77777777" w:rsidR="00812AA6" w:rsidRPr="00AA22F2" w:rsidRDefault="00812AA6" w:rsidP="00812AA6">
            <w:pPr>
              <w:cnfStyle w:val="000000000000" w:firstRow="0" w:lastRow="0" w:firstColumn="0" w:lastColumn="0" w:oddVBand="0" w:evenVBand="0" w:oddHBand="0" w:evenHBand="0" w:firstRowFirstColumn="0" w:firstRowLastColumn="0" w:lastRowFirstColumn="0" w:lastRowLastColumn="0"/>
              <w:rPr>
                <w:szCs w:val="20"/>
              </w:rPr>
            </w:pPr>
          </w:p>
        </w:tc>
        <w:tc>
          <w:tcPr>
            <w:tcW w:w="0" w:type="auto"/>
            <w:vAlign w:val="center"/>
            <w:hideMark/>
          </w:tcPr>
          <w:p w14:paraId="3634E87D" w14:textId="77777777" w:rsidR="00812AA6" w:rsidRPr="00AA22F2" w:rsidRDefault="00812AA6" w:rsidP="004637C7">
            <w:pPr>
              <w:jc w:val="left"/>
              <w:cnfStyle w:val="000000000000" w:firstRow="0" w:lastRow="0" w:firstColumn="0" w:lastColumn="0" w:oddVBand="0" w:evenVBand="0" w:oddHBand="0" w:evenHBand="0" w:firstRowFirstColumn="0" w:firstRowLastColumn="0" w:lastRowFirstColumn="0" w:lastRowLastColumn="0"/>
              <w:rPr>
                <w:szCs w:val="20"/>
              </w:rPr>
            </w:pPr>
            <w:r w:rsidRPr="00AA22F2">
              <w:rPr>
                <w:b/>
                <w:bCs/>
                <w:szCs w:val="20"/>
              </w:rPr>
              <w:t>Durée</w:t>
            </w:r>
          </w:p>
        </w:tc>
        <w:tc>
          <w:tcPr>
            <w:tcW w:w="0" w:type="auto"/>
            <w:hideMark/>
          </w:tcPr>
          <w:p w14:paraId="26C7D5FC" w14:textId="77777777" w:rsidR="00812AA6" w:rsidRPr="00AA22F2" w:rsidRDefault="00812AA6" w:rsidP="00812AA6">
            <w:pPr>
              <w:cnfStyle w:val="000000000000" w:firstRow="0" w:lastRow="0" w:firstColumn="0" w:lastColumn="0" w:oddVBand="0" w:evenVBand="0" w:oddHBand="0" w:evenHBand="0" w:firstRowFirstColumn="0" w:firstRowLastColumn="0" w:lastRowFirstColumn="0" w:lastRowLastColumn="0"/>
              <w:rPr>
                <w:szCs w:val="20"/>
              </w:rPr>
            </w:pPr>
            <w:r w:rsidRPr="00AA22F2">
              <w:rPr>
                <w:szCs w:val="20"/>
              </w:rPr>
              <w:t>Restreinte à la phase de construction, concentrée sur les mois chauds (mai–septembre)</w:t>
            </w:r>
          </w:p>
        </w:tc>
        <w:tc>
          <w:tcPr>
            <w:tcW w:w="0" w:type="auto"/>
            <w:vAlign w:val="center"/>
            <w:hideMark/>
          </w:tcPr>
          <w:p w14:paraId="5B68DE77" w14:textId="77777777" w:rsidR="00812AA6" w:rsidRPr="00AA22F2" w:rsidRDefault="00812AA6" w:rsidP="004637C7">
            <w:pPr>
              <w:jc w:val="left"/>
              <w:cnfStyle w:val="000000000000" w:firstRow="0" w:lastRow="0" w:firstColumn="0" w:lastColumn="0" w:oddVBand="0" w:evenVBand="0" w:oddHBand="0" w:evenHBand="0" w:firstRowFirstColumn="0" w:firstRowLastColumn="0" w:lastRowFirstColumn="0" w:lastRowLastColumn="0"/>
              <w:rPr>
                <w:szCs w:val="20"/>
              </w:rPr>
            </w:pPr>
            <w:r w:rsidRPr="00AA22F2">
              <w:rPr>
                <w:szCs w:val="20"/>
              </w:rPr>
              <w:t>Temporaire</w:t>
            </w:r>
          </w:p>
        </w:tc>
      </w:tr>
      <w:tr w:rsidR="00812AA6" w:rsidRPr="006305E3" w14:paraId="52BE412D" w14:textId="77777777" w:rsidTr="004637C7">
        <w:tc>
          <w:tcPr>
            <w:cnfStyle w:val="001000000000" w:firstRow="0" w:lastRow="0" w:firstColumn="1" w:lastColumn="0" w:oddVBand="0" w:evenVBand="0" w:oddHBand="0" w:evenHBand="0" w:firstRowFirstColumn="0" w:firstRowLastColumn="0" w:lastRowFirstColumn="0" w:lastRowLastColumn="0"/>
            <w:tcW w:w="0" w:type="auto"/>
            <w:vMerge/>
            <w:hideMark/>
          </w:tcPr>
          <w:p w14:paraId="58C42A2E" w14:textId="77777777" w:rsidR="00812AA6" w:rsidRPr="00AA22F2" w:rsidRDefault="00812AA6" w:rsidP="00812AA6">
            <w:pPr>
              <w:rPr>
                <w:szCs w:val="20"/>
              </w:rPr>
            </w:pPr>
          </w:p>
        </w:tc>
        <w:tc>
          <w:tcPr>
            <w:tcW w:w="0" w:type="auto"/>
            <w:vMerge/>
            <w:hideMark/>
          </w:tcPr>
          <w:p w14:paraId="78931527" w14:textId="77777777" w:rsidR="00812AA6" w:rsidRPr="00AA22F2" w:rsidRDefault="00812AA6" w:rsidP="00812AA6">
            <w:pPr>
              <w:cnfStyle w:val="000000000000" w:firstRow="0" w:lastRow="0" w:firstColumn="0" w:lastColumn="0" w:oddVBand="0" w:evenVBand="0" w:oddHBand="0" w:evenHBand="0" w:firstRowFirstColumn="0" w:firstRowLastColumn="0" w:lastRowFirstColumn="0" w:lastRowLastColumn="0"/>
              <w:rPr>
                <w:szCs w:val="20"/>
              </w:rPr>
            </w:pPr>
          </w:p>
        </w:tc>
        <w:tc>
          <w:tcPr>
            <w:tcW w:w="0" w:type="auto"/>
            <w:vAlign w:val="center"/>
            <w:hideMark/>
          </w:tcPr>
          <w:p w14:paraId="3D9F6F55" w14:textId="77777777" w:rsidR="00812AA6" w:rsidRPr="00AA22F2" w:rsidRDefault="00812AA6" w:rsidP="004637C7">
            <w:pPr>
              <w:jc w:val="left"/>
              <w:cnfStyle w:val="000000000000" w:firstRow="0" w:lastRow="0" w:firstColumn="0" w:lastColumn="0" w:oddVBand="0" w:evenVBand="0" w:oddHBand="0" w:evenHBand="0" w:firstRowFirstColumn="0" w:firstRowLastColumn="0" w:lastRowFirstColumn="0" w:lastRowLastColumn="0"/>
              <w:rPr>
                <w:szCs w:val="20"/>
              </w:rPr>
            </w:pPr>
            <w:r w:rsidRPr="00AA22F2">
              <w:rPr>
                <w:b/>
                <w:bCs/>
                <w:szCs w:val="20"/>
              </w:rPr>
              <w:t>Fréquence</w:t>
            </w:r>
          </w:p>
        </w:tc>
        <w:tc>
          <w:tcPr>
            <w:tcW w:w="0" w:type="auto"/>
            <w:hideMark/>
          </w:tcPr>
          <w:p w14:paraId="287ED497" w14:textId="77777777" w:rsidR="00812AA6" w:rsidRPr="00AA22F2" w:rsidRDefault="00812AA6" w:rsidP="00812AA6">
            <w:pPr>
              <w:cnfStyle w:val="000000000000" w:firstRow="0" w:lastRow="0" w:firstColumn="0" w:lastColumn="0" w:oddVBand="0" w:evenVBand="0" w:oddHBand="0" w:evenHBand="0" w:firstRowFirstColumn="0" w:firstRowLastColumn="0" w:lastRowFirstColumn="0" w:lastRowLastColumn="0"/>
              <w:rPr>
                <w:szCs w:val="20"/>
              </w:rPr>
            </w:pPr>
            <w:r w:rsidRPr="00AA22F2">
              <w:rPr>
                <w:szCs w:val="20"/>
              </w:rPr>
              <w:t>Continue durant les heures de travail diurnes en saison estivale</w:t>
            </w:r>
          </w:p>
        </w:tc>
        <w:tc>
          <w:tcPr>
            <w:tcW w:w="0" w:type="auto"/>
            <w:vAlign w:val="center"/>
            <w:hideMark/>
          </w:tcPr>
          <w:p w14:paraId="24AE6DFD" w14:textId="77777777" w:rsidR="00812AA6" w:rsidRPr="00AA22F2" w:rsidRDefault="00812AA6" w:rsidP="004637C7">
            <w:pPr>
              <w:jc w:val="left"/>
              <w:cnfStyle w:val="000000000000" w:firstRow="0" w:lastRow="0" w:firstColumn="0" w:lastColumn="0" w:oddVBand="0" w:evenVBand="0" w:oddHBand="0" w:evenHBand="0" w:firstRowFirstColumn="0" w:firstRowLastColumn="0" w:lastRowFirstColumn="0" w:lastRowLastColumn="0"/>
              <w:rPr>
                <w:szCs w:val="20"/>
              </w:rPr>
            </w:pPr>
            <w:r w:rsidRPr="00AA22F2">
              <w:rPr>
                <w:szCs w:val="20"/>
              </w:rPr>
              <w:t>Continue</w:t>
            </w:r>
          </w:p>
        </w:tc>
      </w:tr>
      <w:tr w:rsidR="00812AA6" w:rsidRPr="006305E3" w14:paraId="2DB1DE28" w14:textId="77777777" w:rsidTr="004637C7">
        <w:tc>
          <w:tcPr>
            <w:cnfStyle w:val="001000000000" w:firstRow="0" w:lastRow="0" w:firstColumn="1" w:lastColumn="0" w:oddVBand="0" w:evenVBand="0" w:oddHBand="0" w:evenHBand="0" w:firstRowFirstColumn="0" w:firstRowLastColumn="0" w:lastRowFirstColumn="0" w:lastRowLastColumn="0"/>
            <w:tcW w:w="0" w:type="auto"/>
            <w:vMerge/>
            <w:hideMark/>
          </w:tcPr>
          <w:p w14:paraId="67D73303" w14:textId="77777777" w:rsidR="00812AA6" w:rsidRPr="00AA22F2" w:rsidRDefault="00812AA6" w:rsidP="00812AA6">
            <w:pPr>
              <w:rPr>
                <w:szCs w:val="20"/>
              </w:rPr>
            </w:pPr>
          </w:p>
        </w:tc>
        <w:tc>
          <w:tcPr>
            <w:tcW w:w="0" w:type="auto"/>
            <w:vMerge/>
            <w:hideMark/>
          </w:tcPr>
          <w:p w14:paraId="45CCE7DC" w14:textId="77777777" w:rsidR="00812AA6" w:rsidRPr="00AA22F2" w:rsidRDefault="00812AA6" w:rsidP="00812AA6">
            <w:pPr>
              <w:cnfStyle w:val="000000000000" w:firstRow="0" w:lastRow="0" w:firstColumn="0" w:lastColumn="0" w:oddVBand="0" w:evenVBand="0" w:oddHBand="0" w:evenHBand="0" w:firstRowFirstColumn="0" w:firstRowLastColumn="0" w:lastRowFirstColumn="0" w:lastRowLastColumn="0"/>
              <w:rPr>
                <w:szCs w:val="20"/>
              </w:rPr>
            </w:pPr>
          </w:p>
        </w:tc>
        <w:tc>
          <w:tcPr>
            <w:tcW w:w="0" w:type="auto"/>
            <w:shd w:val="clear" w:color="auto" w:fill="D9E2F3" w:themeFill="accent1" w:themeFillTint="33"/>
            <w:vAlign w:val="center"/>
            <w:hideMark/>
          </w:tcPr>
          <w:p w14:paraId="60E7C0BB" w14:textId="77777777" w:rsidR="00812AA6" w:rsidRPr="00AA22F2" w:rsidRDefault="00812AA6" w:rsidP="004637C7">
            <w:pPr>
              <w:jc w:val="left"/>
              <w:cnfStyle w:val="000000000000" w:firstRow="0" w:lastRow="0" w:firstColumn="0" w:lastColumn="0" w:oddVBand="0" w:evenVBand="0" w:oddHBand="0" w:evenHBand="0" w:firstRowFirstColumn="0" w:firstRowLastColumn="0" w:lastRowFirstColumn="0" w:lastRowLastColumn="0"/>
              <w:rPr>
                <w:szCs w:val="20"/>
              </w:rPr>
            </w:pPr>
            <w:r w:rsidRPr="00AA22F2">
              <w:rPr>
                <w:b/>
                <w:bCs/>
                <w:szCs w:val="20"/>
              </w:rPr>
              <w:t>Intensité</w:t>
            </w:r>
          </w:p>
        </w:tc>
        <w:tc>
          <w:tcPr>
            <w:tcW w:w="0" w:type="auto"/>
            <w:shd w:val="clear" w:color="auto" w:fill="D9E2F3" w:themeFill="accent1" w:themeFillTint="33"/>
            <w:hideMark/>
          </w:tcPr>
          <w:p w14:paraId="35D9AFA9" w14:textId="77777777" w:rsidR="00812AA6" w:rsidRPr="00AA22F2" w:rsidRDefault="00812AA6" w:rsidP="00812AA6">
            <w:pPr>
              <w:cnfStyle w:val="000000000000" w:firstRow="0" w:lastRow="0" w:firstColumn="0" w:lastColumn="0" w:oddVBand="0" w:evenVBand="0" w:oddHBand="0" w:evenHBand="0" w:firstRowFirstColumn="0" w:firstRowLastColumn="0" w:lastRowFirstColumn="0" w:lastRowLastColumn="0"/>
              <w:rPr>
                <w:szCs w:val="20"/>
              </w:rPr>
            </w:pPr>
            <w:r w:rsidRPr="00AA22F2">
              <w:rPr>
                <w:szCs w:val="20"/>
              </w:rPr>
              <w:t>Effets physiologiques marqués (fatigue, déshydratation, stress thermique) sur les travailleurs exposés</w:t>
            </w:r>
          </w:p>
        </w:tc>
        <w:tc>
          <w:tcPr>
            <w:tcW w:w="0" w:type="auto"/>
            <w:shd w:val="clear" w:color="auto" w:fill="D9E2F3" w:themeFill="accent1" w:themeFillTint="33"/>
            <w:vAlign w:val="center"/>
            <w:hideMark/>
          </w:tcPr>
          <w:p w14:paraId="7B34A52E" w14:textId="77777777" w:rsidR="00812AA6" w:rsidRPr="00AA22F2" w:rsidRDefault="00812AA6" w:rsidP="004637C7">
            <w:pPr>
              <w:jc w:val="left"/>
              <w:cnfStyle w:val="000000000000" w:firstRow="0" w:lastRow="0" w:firstColumn="0" w:lastColumn="0" w:oddVBand="0" w:evenVBand="0" w:oddHBand="0" w:evenHBand="0" w:firstRowFirstColumn="0" w:firstRowLastColumn="0" w:lastRowFirstColumn="0" w:lastRowLastColumn="0"/>
              <w:rPr>
                <w:szCs w:val="20"/>
              </w:rPr>
            </w:pPr>
            <w:r w:rsidRPr="00AA22F2">
              <w:rPr>
                <w:szCs w:val="20"/>
              </w:rPr>
              <w:t>Moyenne à forte</w:t>
            </w:r>
          </w:p>
        </w:tc>
      </w:tr>
      <w:tr w:rsidR="00812AA6" w:rsidRPr="006305E3" w14:paraId="13F8131D" w14:textId="77777777" w:rsidTr="005A7661">
        <w:tc>
          <w:tcPr>
            <w:cnfStyle w:val="001000000000" w:firstRow="0" w:lastRow="0" w:firstColumn="1" w:lastColumn="0" w:oddVBand="0" w:evenVBand="0" w:oddHBand="0" w:evenHBand="0" w:firstRowFirstColumn="0" w:firstRowLastColumn="0" w:lastRowFirstColumn="0" w:lastRowLastColumn="0"/>
            <w:tcW w:w="0" w:type="auto"/>
            <w:vMerge/>
          </w:tcPr>
          <w:p w14:paraId="5DE167C4" w14:textId="77777777" w:rsidR="00812AA6" w:rsidRPr="00AA22F2" w:rsidRDefault="00812AA6" w:rsidP="004637C7">
            <w:pPr>
              <w:spacing w:before="0" w:after="0"/>
              <w:rPr>
                <w:szCs w:val="20"/>
              </w:rPr>
            </w:pPr>
          </w:p>
        </w:tc>
        <w:tc>
          <w:tcPr>
            <w:tcW w:w="0" w:type="auto"/>
            <w:gridSpan w:val="4"/>
          </w:tcPr>
          <w:p w14:paraId="286A602B" w14:textId="77777777" w:rsidR="00812AA6" w:rsidRPr="00AA22F2" w:rsidRDefault="00812AA6" w:rsidP="004637C7">
            <w:pPr>
              <w:spacing w:before="0" w:after="0"/>
              <w:cnfStyle w:val="000000000000" w:firstRow="0" w:lastRow="0" w:firstColumn="0" w:lastColumn="0" w:oddVBand="0" w:evenVBand="0" w:oddHBand="0" w:evenHBand="0" w:firstRowFirstColumn="0" w:firstRowLastColumn="0" w:lastRowFirstColumn="0" w:lastRowLastColumn="0"/>
              <w:rPr>
                <w:szCs w:val="20"/>
              </w:rPr>
            </w:pPr>
          </w:p>
        </w:tc>
      </w:tr>
      <w:tr w:rsidR="00812AA6" w:rsidRPr="006305E3" w14:paraId="0B9B9E77" w14:textId="77777777" w:rsidTr="004637C7">
        <w:tc>
          <w:tcPr>
            <w:cnfStyle w:val="001000000000" w:firstRow="0" w:lastRow="0" w:firstColumn="1" w:lastColumn="0" w:oddVBand="0" w:evenVBand="0" w:oddHBand="0" w:evenHBand="0" w:firstRowFirstColumn="0" w:firstRowLastColumn="0" w:lastRowFirstColumn="0" w:lastRowLastColumn="0"/>
            <w:tcW w:w="0" w:type="auto"/>
            <w:vMerge/>
          </w:tcPr>
          <w:p w14:paraId="2F01E992" w14:textId="77777777" w:rsidR="00812AA6" w:rsidRPr="00AA22F2" w:rsidRDefault="00812AA6" w:rsidP="00812AA6">
            <w:pPr>
              <w:rPr>
                <w:szCs w:val="20"/>
              </w:rPr>
            </w:pPr>
          </w:p>
        </w:tc>
        <w:tc>
          <w:tcPr>
            <w:tcW w:w="0" w:type="auto"/>
            <w:shd w:val="clear" w:color="auto" w:fill="8EAADB" w:themeFill="accent1" w:themeFillTint="99"/>
            <w:vAlign w:val="center"/>
          </w:tcPr>
          <w:p w14:paraId="776A5C0E" w14:textId="7EECAFE3" w:rsidR="00812AA6" w:rsidRPr="00AA22F2" w:rsidRDefault="00812AA6" w:rsidP="00812AA6">
            <w:pPr>
              <w:cnfStyle w:val="000000000000" w:firstRow="0" w:lastRow="0" w:firstColumn="0" w:lastColumn="0" w:oddVBand="0" w:evenVBand="0" w:oddHBand="0" w:evenHBand="0" w:firstRowFirstColumn="0" w:firstRowLastColumn="0" w:lastRowFirstColumn="0" w:lastRowLastColumn="0"/>
              <w:rPr>
                <w:szCs w:val="20"/>
              </w:rPr>
            </w:pPr>
            <w:r w:rsidRPr="00247BC4">
              <w:rPr>
                <w:rFonts w:asciiTheme="minorHAnsi" w:hAnsiTheme="minorHAnsi" w:cstheme="minorHAnsi"/>
                <w:b/>
                <w:bCs/>
                <w:szCs w:val="20"/>
              </w:rPr>
              <w:t>Intensité de l’impact</w:t>
            </w:r>
          </w:p>
        </w:tc>
        <w:tc>
          <w:tcPr>
            <w:tcW w:w="0" w:type="auto"/>
            <w:shd w:val="clear" w:color="auto" w:fill="8EAADB" w:themeFill="accent1" w:themeFillTint="99"/>
            <w:vAlign w:val="center"/>
          </w:tcPr>
          <w:p w14:paraId="465A7301" w14:textId="59249CE9" w:rsidR="00812AA6" w:rsidRPr="00AA22F2" w:rsidRDefault="00812AA6" w:rsidP="00812AA6">
            <w:pPr>
              <w:cnfStyle w:val="000000000000" w:firstRow="0" w:lastRow="0" w:firstColumn="0" w:lastColumn="0" w:oddVBand="0" w:evenVBand="0" w:oddHBand="0" w:evenHBand="0" w:firstRowFirstColumn="0" w:firstRowLastColumn="0" w:lastRowFirstColumn="0" w:lastRowLastColumn="0"/>
              <w:rPr>
                <w:b/>
                <w:bCs/>
                <w:szCs w:val="20"/>
              </w:rPr>
            </w:pPr>
            <w:r w:rsidRPr="00247BC4">
              <w:rPr>
                <w:rFonts w:asciiTheme="minorHAnsi" w:hAnsiTheme="minorHAnsi" w:cstheme="minorHAnsi"/>
                <w:b/>
                <w:bCs/>
                <w:szCs w:val="20"/>
              </w:rPr>
              <w:t>Récepteurs</w:t>
            </w:r>
          </w:p>
        </w:tc>
        <w:tc>
          <w:tcPr>
            <w:tcW w:w="0" w:type="auto"/>
            <w:shd w:val="clear" w:color="auto" w:fill="8EAADB" w:themeFill="accent1" w:themeFillTint="99"/>
            <w:vAlign w:val="center"/>
          </w:tcPr>
          <w:p w14:paraId="16FAD930" w14:textId="6CA483D0" w:rsidR="00812AA6" w:rsidRPr="00AA22F2" w:rsidRDefault="00812AA6" w:rsidP="00812AA6">
            <w:pPr>
              <w:cnfStyle w:val="000000000000" w:firstRow="0" w:lastRow="0" w:firstColumn="0" w:lastColumn="0" w:oddVBand="0" w:evenVBand="0" w:oddHBand="0" w:evenHBand="0" w:firstRowFirstColumn="0" w:firstRowLastColumn="0" w:lastRowFirstColumn="0" w:lastRowLastColumn="0"/>
              <w:rPr>
                <w:szCs w:val="20"/>
              </w:rPr>
            </w:pPr>
            <w:r w:rsidRPr="00247BC4">
              <w:rPr>
                <w:rFonts w:asciiTheme="minorHAnsi" w:hAnsiTheme="minorHAnsi" w:cstheme="minorHAnsi"/>
                <w:b/>
                <w:bCs/>
                <w:szCs w:val="20"/>
              </w:rPr>
              <w:t>Sensibilité</w:t>
            </w:r>
          </w:p>
        </w:tc>
        <w:tc>
          <w:tcPr>
            <w:tcW w:w="0" w:type="auto"/>
            <w:shd w:val="clear" w:color="auto" w:fill="8EAADB" w:themeFill="accent1" w:themeFillTint="99"/>
            <w:vAlign w:val="center"/>
          </w:tcPr>
          <w:p w14:paraId="306AC887" w14:textId="7E61B559" w:rsidR="00812AA6" w:rsidRPr="00AA22F2" w:rsidRDefault="00812AA6" w:rsidP="00812AA6">
            <w:pPr>
              <w:cnfStyle w:val="000000000000" w:firstRow="0" w:lastRow="0" w:firstColumn="0" w:lastColumn="0" w:oddVBand="0" w:evenVBand="0" w:oddHBand="0" w:evenHBand="0" w:firstRowFirstColumn="0" w:firstRowLastColumn="0" w:lastRowFirstColumn="0" w:lastRowLastColumn="0"/>
              <w:rPr>
                <w:szCs w:val="20"/>
              </w:rPr>
            </w:pPr>
            <w:r w:rsidRPr="00247BC4">
              <w:rPr>
                <w:rFonts w:asciiTheme="minorHAnsi" w:hAnsiTheme="minorHAnsi" w:cstheme="minorHAnsi"/>
                <w:b/>
                <w:bCs/>
                <w:szCs w:val="20"/>
              </w:rPr>
              <w:t>Importance de l’impact</w:t>
            </w:r>
          </w:p>
        </w:tc>
      </w:tr>
      <w:tr w:rsidR="00812AA6" w:rsidRPr="006305E3" w14:paraId="614DABE2" w14:textId="77777777" w:rsidTr="004637C7">
        <w:tc>
          <w:tcPr>
            <w:cnfStyle w:val="001000000000" w:firstRow="0" w:lastRow="0" w:firstColumn="1" w:lastColumn="0" w:oddVBand="0" w:evenVBand="0" w:oddHBand="0" w:evenHBand="0" w:firstRowFirstColumn="0" w:firstRowLastColumn="0" w:lastRowFirstColumn="0" w:lastRowLastColumn="0"/>
            <w:tcW w:w="0" w:type="auto"/>
            <w:vMerge/>
          </w:tcPr>
          <w:p w14:paraId="6C1AF047" w14:textId="77777777" w:rsidR="00812AA6" w:rsidRPr="00AA22F2" w:rsidRDefault="00812AA6" w:rsidP="00812AA6">
            <w:pPr>
              <w:rPr>
                <w:szCs w:val="20"/>
              </w:rPr>
            </w:pPr>
          </w:p>
        </w:tc>
        <w:tc>
          <w:tcPr>
            <w:tcW w:w="0" w:type="auto"/>
            <w:vAlign w:val="center"/>
          </w:tcPr>
          <w:p w14:paraId="6080C4B5" w14:textId="38EF5C0B" w:rsidR="00812AA6" w:rsidRPr="00AA22F2" w:rsidRDefault="00812AA6" w:rsidP="004637C7">
            <w:pPr>
              <w:jc w:val="left"/>
              <w:cnfStyle w:val="000000000000" w:firstRow="0" w:lastRow="0" w:firstColumn="0" w:lastColumn="0" w:oddVBand="0" w:evenVBand="0" w:oddHBand="0" w:evenHBand="0" w:firstRowFirstColumn="0" w:firstRowLastColumn="0" w:lastRowFirstColumn="0" w:lastRowLastColumn="0"/>
              <w:rPr>
                <w:szCs w:val="20"/>
              </w:rPr>
            </w:pPr>
            <w:r w:rsidRPr="00AA22F2">
              <w:rPr>
                <w:szCs w:val="20"/>
              </w:rPr>
              <w:t>Moyenne à forte</w:t>
            </w:r>
          </w:p>
        </w:tc>
        <w:tc>
          <w:tcPr>
            <w:tcW w:w="0" w:type="auto"/>
          </w:tcPr>
          <w:p w14:paraId="470749C4" w14:textId="5CFFB133" w:rsidR="00812AA6" w:rsidRPr="00AA22F2" w:rsidRDefault="006305E3" w:rsidP="00812AA6">
            <w:pPr>
              <w:cnfStyle w:val="000000000000" w:firstRow="0" w:lastRow="0" w:firstColumn="0" w:lastColumn="0" w:oddVBand="0" w:evenVBand="0" w:oddHBand="0" w:evenHBand="0" w:firstRowFirstColumn="0" w:firstRowLastColumn="0" w:lastRowFirstColumn="0" w:lastRowLastColumn="0"/>
              <w:rPr>
                <w:b/>
                <w:bCs/>
                <w:szCs w:val="20"/>
              </w:rPr>
            </w:pPr>
            <w:r w:rsidRPr="00AA22F2">
              <w:rPr>
                <w:b/>
                <w:bCs/>
                <w:szCs w:val="20"/>
              </w:rPr>
              <w:t>Ouvriers, manœuvres, conducteurs d’engins</w:t>
            </w:r>
          </w:p>
        </w:tc>
        <w:tc>
          <w:tcPr>
            <w:tcW w:w="0" w:type="auto"/>
          </w:tcPr>
          <w:p w14:paraId="7DA5C143" w14:textId="04A87458" w:rsidR="00812AA6" w:rsidRPr="00AA22F2" w:rsidRDefault="006305E3" w:rsidP="00812AA6">
            <w:pPr>
              <w:cnfStyle w:val="000000000000" w:firstRow="0" w:lastRow="0" w:firstColumn="0" w:lastColumn="0" w:oddVBand="0" w:evenVBand="0" w:oddHBand="0" w:evenHBand="0" w:firstRowFirstColumn="0" w:firstRowLastColumn="0" w:lastRowFirstColumn="0" w:lastRowLastColumn="0"/>
              <w:rPr>
                <w:szCs w:val="20"/>
              </w:rPr>
            </w:pPr>
            <w:r w:rsidRPr="004637C7">
              <w:rPr>
                <w:b/>
                <w:bCs/>
                <w:szCs w:val="20"/>
              </w:rPr>
              <w:t>Forte</w:t>
            </w:r>
            <w:r w:rsidRPr="00AA22F2">
              <w:rPr>
                <w:szCs w:val="20"/>
              </w:rPr>
              <w:t> :m exposition directe et prolongée à la chaleur sans protection naturelle</w:t>
            </w:r>
          </w:p>
        </w:tc>
        <w:tc>
          <w:tcPr>
            <w:tcW w:w="0" w:type="auto"/>
          </w:tcPr>
          <w:p w14:paraId="5AF4181B" w14:textId="3479AE26" w:rsidR="00812AA6" w:rsidRPr="00AA22F2" w:rsidRDefault="006305E3" w:rsidP="00812AA6">
            <w:pPr>
              <w:cnfStyle w:val="000000000000" w:firstRow="0" w:lastRow="0" w:firstColumn="0" w:lastColumn="0" w:oddVBand="0" w:evenVBand="0" w:oddHBand="0" w:evenHBand="0" w:firstRowFirstColumn="0" w:firstRowLastColumn="0" w:lastRowFirstColumn="0" w:lastRowLastColumn="0"/>
              <w:rPr>
                <w:szCs w:val="20"/>
              </w:rPr>
            </w:pPr>
            <w:r w:rsidRPr="00AA22F2">
              <w:rPr>
                <w:szCs w:val="20"/>
              </w:rPr>
              <w:t>Majeure</w:t>
            </w:r>
          </w:p>
        </w:tc>
      </w:tr>
    </w:tbl>
    <w:p w14:paraId="197A28C3" w14:textId="09522FD9" w:rsidR="00E20861" w:rsidRPr="006D4DB8" w:rsidRDefault="00B44D35" w:rsidP="0001633E">
      <w:pPr>
        <w:pStyle w:val="AltTitle2"/>
        <w:numPr>
          <w:ilvl w:val="0"/>
          <w:numId w:val="106"/>
        </w:numPr>
        <w:rPr>
          <w:bCs/>
        </w:rPr>
      </w:pPr>
      <w:r>
        <w:t>I</w:t>
      </w:r>
      <w:r w:rsidRPr="00B44D35">
        <w:t>négalités de traitement et déséquilibres sociaux entre travailleurs sur le chantier</w:t>
      </w:r>
    </w:p>
    <w:p w14:paraId="55801C3C" w14:textId="77777777" w:rsidR="00B44D35" w:rsidRDefault="00B44D35" w:rsidP="009810F8">
      <w:r w:rsidRPr="00B44D35">
        <w:lastRenderedPageBreak/>
        <w:t xml:space="preserve">La cohabitation d’équipes issues de différentes entreprises, statuts ou niveaux de qualification peut générer un déséquilibre dans les conditions d’emploi, la rémunération ou la perception d’équité entre travailleurs. Cet impact est </w:t>
      </w:r>
      <w:r w:rsidRPr="004637C7">
        <w:t>direct, continu et local</w:t>
      </w:r>
      <w:r w:rsidRPr="006D4DB8">
        <w:t>,</w:t>
      </w:r>
      <w:r w:rsidRPr="00B44D35">
        <w:t xml:space="preserve"> d’intensité moyenne à forte. </w:t>
      </w:r>
    </w:p>
    <w:p w14:paraId="7E7A804D" w14:textId="0E5E5F71" w:rsidR="00E20861" w:rsidRDefault="00B44D35" w:rsidP="009810F8">
      <w:r w:rsidRPr="00B44D35">
        <w:t>Il touche particulièrement les ouvriers journaliers, les travailleurs sous-traités et les femmes, plus vulnérables face aux inégalités de traitement ou aux discriminations. La sensibilité des récepteurs est élevée et la portée de l’impact s’étend au climat social global du chantier, pouvant influer sur la cohésion, la motivation et la performance collective.</w:t>
      </w:r>
    </w:p>
    <w:p w14:paraId="08161048" w14:textId="77777777" w:rsidR="006305E3" w:rsidRDefault="006305E3" w:rsidP="009810F8"/>
    <w:p w14:paraId="38F7F67B" w14:textId="77777777" w:rsidR="006305E3" w:rsidRDefault="006305E3" w:rsidP="009810F8"/>
    <w:p w14:paraId="3645F5D7" w14:textId="77777777" w:rsidR="006305E3" w:rsidRDefault="006305E3" w:rsidP="009810F8"/>
    <w:p w14:paraId="1C470D00" w14:textId="77777777" w:rsidR="006305E3" w:rsidRDefault="006305E3" w:rsidP="009810F8"/>
    <w:tbl>
      <w:tblPr>
        <w:tblStyle w:val="TableauGrille1Clair-Accentuation111"/>
        <w:tblW w:w="0" w:type="auto"/>
        <w:tblLook w:val="04A0" w:firstRow="1" w:lastRow="0" w:firstColumn="1" w:lastColumn="0" w:noHBand="0" w:noVBand="1"/>
      </w:tblPr>
      <w:tblGrid>
        <w:gridCol w:w="792"/>
        <w:gridCol w:w="2398"/>
        <w:gridCol w:w="1890"/>
        <w:gridCol w:w="2592"/>
        <w:gridCol w:w="1388"/>
      </w:tblGrid>
      <w:tr w:rsidR="006305E3" w:rsidRPr="00D26001" w14:paraId="7C1C1C79" w14:textId="77777777" w:rsidTr="006305E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299A79BE" w14:textId="77777777" w:rsidR="006305E3" w:rsidRPr="00AA22F2" w:rsidRDefault="006305E3" w:rsidP="006305E3">
            <w:pPr>
              <w:rPr>
                <w:szCs w:val="20"/>
              </w:rPr>
            </w:pPr>
            <w:r w:rsidRPr="00AA22F2">
              <w:rPr>
                <w:szCs w:val="20"/>
              </w:rPr>
              <w:t>Impact</w:t>
            </w:r>
          </w:p>
        </w:tc>
        <w:tc>
          <w:tcPr>
            <w:tcW w:w="0" w:type="auto"/>
            <w:hideMark/>
          </w:tcPr>
          <w:p w14:paraId="263D2A7E" w14:textId="77777777" w:rsidR="006305E3" w:rsidRPr="00AA22F2" w:rsidRDefault="006305E3" w:rsidP="006305E3">
            <w:pPr>
              <w:cnfStyle w:val="100000000000" w:firstRow="1" w:lastRow="0" w:firstColumn="0" w:lastColumn="0" w:oddVBand="0" w:evenVBand="0" w:oddHBand="0" w:evenHBand="0" w:firstRowFirstColumn="0" w:firstRowLastColumn="0" w:lastRowFirstColumn="0" w:lastRowLastColumn="0"/>
              <w:rPr>
                <w:szCs w:val="20"/>
              </w:rPr>
            </w:pPr>
            <w:r w:rsidRPr="00AA22F2">
              <w:rPr>
                <w:szCs w:val="20"/>
              </w:rPr>
              <w:t>Activités génératrices</w:t>
            </w:r>
          </w:p>
        </w:tc>
        <w:tc>
          <w:tcPr>
            <w:tcW w:w="0" w:type="auto"/>
            <w:hideMark/>
          </w:tcPr>
          <w:p w14:paraId="1393EDA8" w14:textId="77777777" w:rsidR="006305E3" w:rsidRPr="00AA22F2" w:rsidRDefault="006305E3" w:rsidP="006305E3">
            <w:pPr>
              <w:cnfStyle w:val="100000000000" w:firstRow="1" w:lastRow="0" w:firstColumn="0" w:lastColumn="0" w:oddVBand="0" w:evenVBand="0" w:oddHBand="0" w:evenHBand="0" w:firstRowFirstColumn="0" w:firstRowLastColumn="0" w:lastRowFirstColumn="0" w:lastRowLastColumn="0"/>
              <w:rPr>
                <w:szCs w:val="20"/>
              </w:rPr>
            </w:pPr>
            <w:r w:rsidRPr="00AA22F2">
              <w:rPr>
                <w:szCs w:val="20"/>
              </w:rPr>
              <w:t>Critère</w:t>
            </w:r>
          </w:p>
        </w:tc>
        <w:tc>
          <w:tcPr>
            <w:tcW w:w="0" w:type="auto"/>
            <w:hideMark/>
          </w:tcPr>
          <w:p w14:paraId="2D10FD41" w14:textId="77777777" w:rsidR="006305E3" w:rsidRPr="00AA22F2" w:rsidRDefault="006305E3" w:rsidP="006305E3">
            <w:pPr>
              <w:cnfStyle w:val="100000000000" w:firstRow="1" w:lastRow="0" w:firstColumn="0" w:lastColumn="0" w:oddVBand="0" w:evenVBand="0" w:oddHBand="0" w:evenHBand="0" w:firstRowFirstColumn="0" w:firstRowLastColumn="0" w:lastRowFirstColumn="0" w:lastRowLastColumn="0"/>
              <w:rPr>
                <w:szCs w:val="20"/>
              </w:rPr>
            </w:pPr>
            <w:r w:rsidRPr="00AA22F2">
              <w:rPr>
                <w:szCs w:val="20"/>
              </w:rPr>
              <w:t>Justification</w:t>
            </w:r>
          </w:p>
        </w:tc>
        <w:tc>
          <w:tcPr>
            <w:tcW w:w="0" w:type="auto"/>
            <w:hideMark/>
          </w:tcPr>
          <w:p w14:paraId="7FD07B6E" w14:textId="77777777" w:rsidR="006305E3" w:rsidRPr="00AA22F2" w:rsidRDefault="006305E3" w:rsidP="006305E3">
            <w:pPr>
              <w:cnfStyle w:val="100000000000" w:firstRow="1" w:lastRow="0" w:firstColumn="0" w:lastColumn="0" w:oddVBand="0" w:evenVBand="0" w:oddHBand="0" w:evenHBand="0" w:firstRowFirstColumn="0" w:firstRowLastColumn="0" w:lastRowFirstColumn="0" w:lastRowLastColumn="0"/>
              <w:rPr>
                <w:szCs w:val="20"/>
              </w:rPr>
            </w:pPr>
            <w:r w:rsidRPr="00AA22F2">
              <w:rPr>
                <w:szCs w:val="20"/>
              </w:rPr>
              <w:t>Niveau</w:t>
            </w:r>
          </w:p>
        </w:tc>
      </w:tr>
      <w:tr w:rsidR="006305E3" w:rsidRPr="00D26001" w14:paraId="259B5B5A" w14:textId="77777777" w:rsidTr="005A7661">
        <w:trPr>
          <w:trHeight w:val="1134"/>
        </w:trPr>
        <w:tc>
          <w:tcPr>
            <w:cnfStyle w:val="001000000000" w:firstRow="0" w:lastRow="0" w:firstColumn="1" w:lastColumn="0" w:oddVBand="0" w:evenVBand="0" w:oddHBand="0" w:evenHBand="0" w:firstRowFirstColumn="0" w:firstRowLastColumn="0" w:lastRowFirstColumn="0" w:lastRowLastColumn="0"/>
            <w:tcW w:w="0" w:type="auto"/>
            <w:vMerge w:val="restart"/>
            <w:textDirection w:val="btLr"/>
            <w:hideMark/>
          </w:tcPr>
          <w:p w14:paraId="5D7D555A" w14:textId="2F6F1AC6" w:rsidR="006305E3" w:rsidRPr="00AA22F2" w:rsidRDefault="006305E3" w:rsidP="004637C7">
            <w:pPr>
              <w:ind w:left="113" w:right="113"/>
              <w:jc w:val="center"/>
              <w:rPr>
                <w:szCs w:val="20"/>
              </w:rPr>
            </w:pPr>
            <w:r w:rsidRPr="00AA22F2">
              <w:rPr>
                <w:szCs w:val="20"/>
              </w:rPr>
              <w:t>Inégalités de traitement et déséquilibres sociaux entre travailleurs sur le chantier</w:t>
            </w:r>
          </w:p>
        </w:tc>
        <w:tc>
          <w:tcPr>
            <w:tcW w:w="0" w:type="auto"/>
            <w:vMerge w:val="restart"/>
            <w:hideMark/>
          </w:tcPr>
          <w:p w14:paraId="2C40403A" w14:textId="77777777" w:rsidR="006305E3" w:rsidRPr="00AA22F2" w:rsidRDefault="006305E3" w:rsidP="006305E3">
            <w:pPr>
              <w:cnfStyle w:val="000000000000" w:firstRow="0" w:lastRow="0" w:firstColumn="0" w:lastColumn="0" w:oddVBand="0" w:evenVBand="0" w:oddHBand="0" w:evenHBand="0" w:firstRowFirstColumn="0" w:firstRowLastColumn="0" w:lastRowFirstColumn="0" w:lastRowLastColumn="0"/>
              <w:rPr>
                <w:szCs w:val="20"/>
              </w:rPr>
            </w:pPr>
            <w:r w:rsidRPr="00AA22F2">
              <w:rPr>
                <w:szCs w:val="20"/>
              </w:rPr>
              <w:t>Emploi simultané de plusieurs entreprises, différences de statuts et de salaires</w:t>
            </w:r>
          </w:p>
        </w:tc>
        <w:tc>
          <w:tcPr>
            <w:tcW w:w="0" w:type="auto"/>
            <w:hideMark/>
          </w:tcPr>
          <w:p w14:paraId="37ECC571" w14:textId="77777777" w:rsidR="006305E3" w:rsidRPr="00AA22F2" w:rsidRDefault="006305E3" w:rsidP="006305E3">
            <w:pPr>
              <w:cnfStyle w:val="000000000000" w:firstRow="0" w:lastRow="0" w:firstColumn="0" w:lastColumn="0" w:oddVBand="0" w:evenVBand="0" w:oddHBand="0" w:evenHBand="0" w:firstRowFirstColumn="0" w:firstRowLastColumn="0" w:lastRowFirstColumn="0" w:lastRowLastColumn="0"/>
              <w:rPr>
                <w:szCs w:val="20"/>
              </w:rPr>
            </w:pPr>
            <w:r w:rsidRPr="00AA22F2">
              <w:rPr>
                <w:b/>
                <w:bCs/>
                <w:szCs w:val="20"/>
              </w:rPr>
              <w:t>Nature</w:t>
            </w:r>
          </w:p>
        </w:tc>
        <w:tc>
          <w:tcPr>
            <w:tcW w:w="0" w:type="auto"/>
            <w:gridSpan w:val="2"/>
          </w:tcPr>
          <w:p w14:paraId="0F50B0CD" w14:textId="02A0E34F" w:rsidR="006305E3" w:rsidRPr="00AA22F2" w:rsidRDefault="006305E3" w:rsidP="006305E3">
            <w:pPr>
              <w:cnfStyle w:val="000000000000" w:firstRow="0" w:lastRow="0" w:firstColumn="0" w:lastColumn="0" w:oddVBand="0" w:evenVBand="0" w:oddHBand="0" w:evenHBand="0" w:firstRowFirstColumn="0" w:firstRowLastColumn="0" w:lastRowFirstColumn="0" w:lastRowLastColumn="0"/>
              <w:rPr>
                <w:szCs w:val="20"/>
              </w:rPr>
            </w:pPr>
            <w:r w:rsidRPr="00AA22F2">
              <w:rPr>
                <w:szCs w:val="20"/>
              </w:rPr>
              <w:t>Direct négatif</w:t>
            </w:r>
          </w:p>
        </w:tc>
      </w:tr>
      <w:tr w:rsidR="006305E3" w:rsidRPr="00D26001" w14:paraId="234D71BE" w14:textId="77777777" w:rsidTr="005A7661">
        <w:tc>
          <w:tcPr>
            <w:cnfStyle w:val="001000000000" w:firstRow="0" w:lastRow="0" w:firstColumn="1" w:lastColumn="0" w:oddVBand="0" w:evenVBand="0" w:oddHBand="0" w:evenHBand="0" w:firstRowFirstColumn="0" w:firstRowLastColumn="0" w:lastRowFirstColumn="0" w:lastRowLastColumn="0"/>
            <w:tcW w:w="0" w:type="auto"/>
            <w:vMerge/>
            <w:hideMark/>
          </w:tcPr>
          <w:p w14:paraId="540C4BFC" w14:textId="77777777" w:rsidR="006305E3" w:rsidRPr="00AA22F2" w:rsidRDefault="006305E3" w:rsidP="006305E3">
            <w:pPr>
              <w:rPr>
                <w:szCs w:val="20"/>
              </w:rPr>
            </w:pPr>
          </w:p>
        </w:tc>
        <w:tc>
          <w:tcPr>
            <w:tcW w:w="0" w:type="auto"/>
            <w:vMerge/>
            <w:hideMark/>
          </w:tcPr>
          <w:p w14:paraId="76CBD68A" w14:textId="77777777" w:rsidR="006305E3" w:rsidRPr="00AA22F2" w:rsidRDefault="006305E3" w:rsidP="006305E3">
            <w:pPr>
              <w:cnfStyle w:val="000000000000" w:firstRow="0" w:lastRow="0" w:firstColumn="0" w:lastColumn="0" w:oddVBand="0" w:evenVBand="0" w:oddHBand="0" w:evenHBand="0" w:firstRowFirstColumn="0" w:firstRowLastColumn="0" w:lastRowFirstColumn="0" w:lastRowLastColumn="0"/>
              <w:rPr>
                <w:szCs w:val="20"/>
              </w:rPr>
            </w:pPr>
          </w:p>
        </w:tc>
        <w:tc>
          <w:tcPr>
            <w:tcW w:w="0" w:type="auto"/>
            <w:hideMark/>
          </w:tcPr>
          <w:p w14:paraId="04F25DBA" w14:textId="77777777" w:rsidR="006305E3" w:rsidRPr="00AA22F2" w:rsidRDefault="006305E3" w:rsidP="006305E3">
            <w:pPr>
              <w:cnfStyle w:val="000000000000" w:firstRow="0" w:lastRow="0" w:firstColumn="0" w:lastColumn="0" w:oddVBand="0" w:evenVBand="0" w:oddHBand="0" w:evenHBand="0" w:firstRowFirstColumn="0" w:firstRowLastColumn="0" w:lastRowFirstColumn="0" w:lastRowLastColumn="0"/>
              <w:rPr>
                <w:szCs w:val="20"/>
              </w:rPr>
            </w:pPr>
            <w:r w:rsidRPr="00AA22F2">
              <w:rPr>
                <w:b/>
                <w:bCs/>
                <w:szCs w:val="20"/>
              </w:rPr>
              <w:t>Étendue</w:t>
            </w:r>
          </w:p>
        </w:tc>
        <w:tc>
          <w:tcPr>
            <w:tcW w:w="0" w:type="auto"/>
            <w:hideMark/>
          </w:tcPr>
          <w:p w14:paraId="61026A22" w14:textId="77777777" w:rsidR="006305E3" w:rsidRPr="00AA22F2" w:rsidRDefault="006305E3" w:rsidP="006305E3">
            <w:pPr>
              <w:cnfStyle w:val="000000000000" w:firstRow="0" w:lastRow="0" w:firstColumn="0" w:lastColumn="0" w:oddVBand="0" w:evenVBand="0" w:oddHBand="0" w:evenHBand="0" w:firstRowFirstColumn="0" w:firstRowLastColumn="0" w:lastRowFirstColumn="0" w:lastRowLastColumn="0"/>
              <w:rPr>
                <w:szCs w:val="20"/>
              </w:rPr>
            </w:pPr>
            <w:r w:rsidRPr="00AA22F2">
              <w:rPr>
                <w:szCs w:val="20"/>
              </w:rPr>
              <w:t>Affecte l’ensemble du personnel mobilisé sur le chantier</w:t>
            </w:r>
          </w:p>
        </w:tc>
        <w:tc>
          <w:tcPr>
            <w:tcW w:w="0" w:type="auto"/>
            <w:hideMark/>
          </w:tcPr>
          <w:p w14:paraId="34AE71B8" w14:textId="77777777" w:rsidR="006305E3" w:rsidRPr="00AA22F2" w:rsidRDefault="006305E3" w:rsidP="006305E3">
            <w:pPr>
              <w:cnfStyle w:val="000000000000" w:firstRow="0" w:lastRow="0" w:firstColumn="0" w:lastColumn="0" w:oddVBand="0" w:evenVBand="0" w:oddHBand="0" w:evenHBand="0" w:firstRowFirstColumn="0" w:firstRowLastColumn="0" w:lastRowFirstColumn="0" w:lastRowLastColumn="0"/>
              <w:rPr>
                <w:szCs w:val="20"/>
              </w:rPr>
            </w:pPr>
            <w:r w:rsidRPr="00AA22F2">
              <w:rPr>
                <w:szCs w:val="20"/>
              </w:rPr>
              <w:t>Locale</w:t>
            </w:r>
          </w:p>
        </w:tc>
      </w:tr>
      <w:tr w:rsidR="006305E3" w:rsidRPr="00D26001" w14:paraId="49E1DA2A" w14:textId="77777777" w:rsidTr="005A7661">
        <w:tc>
          <w:tcPr>
            <w:cnfStyle w:val="001000000000" w:firstRow="0" w:lastRow="0" w:firstColumn="1" w:lastColumn="0" w:oddVBand="0" w:evenVBand="0" w:oddHBand="0" w:evenHBand="0" w:firstRowFirstColumn="0" w:firstRowLastColumn="0" w:lastRowFirstColumn="0" w:lastRowLastColumn="0"/>
            <w:tcW w:w="0" w:type="auto"/>
            <w:vMerge/>
            <w:hideMark/>
          </w:tcPr>
          <w:p w14:paraId="6D114DF4" w14:textId="77777777" w:rsidR="006305E3" w:rsidRPr="00AA22F2" w:rsidRDefault="006305E3" w:rsidP="006305E3">
            <w:pPr>
              <w:rPr>
                <w:szCs w:val="20"/>
              </w:rPr>
            </w:pPr>
          </w:p>
        </w:tc>
        <w:tc>
          <w:tcPr>
            <w:tcW w:w="0" w:type="auto"/>
            <w:vMerge/>
            <w:hideMark/>
          </w:tcPr>
          <w:p w14:paraId="4BE871DE" w14:textId="77777777" w:rsidR="006305E3" w:rsidRPr="00AA22F2" w:rsidRDefault="006305E3" w:rsidP="006305E3">
            <w:pPr>
              <w:cnfStyle w:val="000000000000" w:firstRow="0" w:lastRow="0" w:firstColumn="0" w:lastColumn="0" w:oddVBand="0" w:evenVBand="0" w:oddHBand="0" w:evenHBand="0" w:firstRowFirstColumn="0" w:firstRowLastColumn="0" w:lastRowFirstColumn="0" w:lastRowLastColumn="0"/>
              <w:rPr>
                <w:szCs w:val="20"/>
              </w:rPr>
            </w:pPr>
          </w:p>
        </w:tc>
        <w:tc>
          <w:tcPr>
            <w:tcW w:w="0" w:type="auto"/>
            <w:hideMark/>
          </w:tcPr>
          <w:p w14:paraId="2F651E9A" w14:textId="77777777" w:rsidR="006305E3" w:rsidRPr="00AA22F2" w:rsidRDefault="006305E3" w:rsidP="006305E3">
            <w:pPr>
              <w:cnfStyle w:val="000000000000" w:firstRow="0" w:lastRow="0" w:firstColumn="0" w:lastColumn="0" w:oddVBand="0" w:evenVBand="0" w:oddHBand="0" w:evenHBand="0" w:firstRowFirstColumn="0" w:firstRowLastColumn="0" w:lastRowFirstColumn="0" w:lastRowLastColumn="0"/>
              <w:rPr>
                <w:szCs w:val="20"/>
              </w:rPr>
            </w:pPr>
            <w:r w:rsidRPr="00AA22F2">
              <w:rPr>
                <w:b/>
                <w:bCs/>
                <w:szCs w:val="20"/>
              </w:rPr>
              <w:t>Durée</w:t>
            </w:r>
          </w:p>
        </w:tc>
        <w:tc>
          <w:tcPr>
            <w:tcW w:w="0" w:type="auto"/>
            <w:hideMark/>
          </w:tcPr>
          <w:p w14:paraId="5553C253" w14:textId="77777777" w:rsidR="006305E3" w:rsidRPr="00AA22F2" w:rsidRDefault="006305E3" w:rsidP="006305E3">
            <w:pPr>
              <w:cnfStyle w:val="000000000000" w:firstRow="0" w:lastRow="0" w:firstColumn="0" w:lastColumn="0" w:oddVBand="0" w:evenVBand="0" w:oddHBand="0" w:evenHBand="0" w:firstRowFirstColumn="0" w:firstRowLastColumn="0" w:lastRowFirstColumn="0" w:lastRowLastColumn="0"/>
              <w:rPr>
                <w:szCs w:val="20"/>
              </w:rPr>
            </w:pPr>
            <w:r w:rsidRPr="00AA22F2">
              <w:rPr>
                <w:szCs w:val="20"/>
              </w:rPr>
              <w:t>Limitée à la durée du chantier mais persistante tant que les inégalités perdurent</w:t>
            </w:r>
          </w:p>
        </w:tc>
        <w:tc>
          <w:tcPr>
            <w:tcW w:w="0" w:type="auto"/>
            <w:hideMark/>
          </w:tcPr>
          <w:p w14:paraId="0952D5D4" w14:textId="77777777" w:rsidR="006305E3" w:rsidRPr="00AA22F2" w:rsidRDefault="006305E3" w:rsidP="006305E3">
            <w:pPr>
              <w:cnfStyle w:val="000000000000" w:firstRow="0" w:lastRow="0" w:firstColumn="0" w:lastColumn="0" w:oddVBand="0" w:evenVBand="0" w:oddHBand="0" w:evenHBand="0" w:firstRowFirstColumn="0" w:firstRowLastColumn="0" w:lastRowFirstColumn="0" w:lastRowLastColumn="0"/>
              <w:rPr>
                <w:szCs w:val="20"/>
              </w:rPr>
            </w:pPr>
            <w:r w:rsidRPr="00AA22F2">
              <w:rPr>
                <w:szCs w:val="20"/>
              </w:rPr>
              <w:t>Moyenne durée</w:t>
            </w:r>
          </w:p>
        </w:tc>
      </w:tr>
      <w:tr w:rsidR="006305E3" w:rsidRPr="00D26001" w14:paraId="24611E5A" w14:textId="77777777" w:rsidTr="005A7661">
        <w:tc>
          <w:tcPr>
            <w:cnfStyle w:val="001000000000" w:firstRow="0" w:lastRow="0" w:firstColumn="1" w:lastColumn="0" w:oddVBand="0" w:evenVBand="0" w:oddHBand="0" w:evenHBand="0" w:firstRowFirstColumn="0" w:firstRowLastColumn="0" w:lastRowFirstColumn="0" w:lastRowLastColumn="0"/>
            <w:tcW w:w="0" w:type="auto"/>
            <w:vMerge/>
            <w:hideMark/>
          </w:tcPr>
          <w:p w14:paraId="787B6747" w14:textId="77777777" w:rsidR="006305E3" w:rsidRPr="00AA22F2" w:rsidRDefault="006305E3" w:rsidP="006305E3">
            <w:pPr>
              <w:rPr>
                <w:szCs w:val="20"/>
              </w:rPr>
            </w:pPr>
          </w:p>
        </w:tc>
        <w:tc>
          <w:tcPr>
            <w:tcW w:w="0" w:type="auto"/>
            <w:vMerge/>
            <w:hideMark/>
          </w:tcPr>
          <w:p w14:paraId="31360FD2" w14:textId="77777777" w:rsidR="006305E3" w:rsidRPr="00AA22F2" w:rsidRDefault="006305E3" w:rsidP="006305E3">
            <w:pPr>
              <w:cnfStyle w:val="000000000000" w:firstRow="0" w:lastRow="0" w:firstColumn="0" w:lastColumn="0" w:oddVBand="0" w:evenVBand="0" w:oddHBand="0" w:evenHBand="0" w:firstRowFirstColumn="0" w:firstRowLastColumn="0" w:lastRowFirstColumn="0" w:lastRowLastColumn="0"/>
              <w:rPr>
                <w:szCs w:val="20"/>
              </w:rPr>
            </w:pPr>
          </w:p>
        </w:tc>
        <w:tc>
          <w:tcPr>
            <w:tcW w:w="0" w:type="auto"/>
            <w:hideMark/>
          </w:tcPr>
          <w:p w14:paraId="0209BD0A" w14:textId="77777777" w:rsidR="006305E3" w:rsidRPr="00AA22F2" w:rsidRDefault="006305E3" w:rsidP="006305E3">
            <w:pPr>
              <w:cnfStyle w:val="000000000000" w:firstRow="0" w:lastRow="0" w:firstColumn="0" w:lastColumn="0" w:oddVBand="0" w:evenVBand="0" w:oddHBand="0" w:evenHBand="0" w:firstRowFirstColumn="0" w:firstRowLastColumn="0" w:lastRowFirstColumn="0" w:lastRowLastColumn="0"/>
              <w:rPr>
                <w:szCs w:val="20"/>
              </w:rPr>
            </w:pPr>
            <w:r w:rsidRPr="00AA22F2">
              <w:rPr>
                <w:b/>
                <w:bCs/>
                <w:szCs w:val="20"/>
              </w:rPr>
              <w:t>Fréquence</w:t>
            </w:r>
          </w:p>
        </w:tc>
        <w:tc>
          <w:tcPr>
            <w:tcW w:w="0" w:type="auto"/>
            <w:hideMark/>
          </w:tcPr>
          <w:p w14:paraId="4AA5E2A1" w14:textId="77777777" w:rsidR="006305E3" w:rsidRPr="00AA22F2" w:rsidRDefault="006305E3" w:rsidP="006305E3">
            <w:pPr>
              <w:cnfStyle w:val="000000000000" w:firstRow="0" w:lastRow="0" w:firstColumn="0" w:lastColumn="0" w:oddVBand="0" w:evenVBand="0" w:oddHBand="0" w:evenHBand="0" w:firstRowFirstColumn="0" w:firstRowLastColumn="0" w:lastRowFirstColumn="0" w:lastRowLastColumn="0"/>
              <w:rPr>
                <w:szCs w:val="20"/>
              </w:rPr>
            </w:pPr>
            <w:r w:rsidRPr="00AA22F2">
              <w:rPr>
                <w:szCs w:val="20"/>
              </w:rPr>
              <w:t>Continue durant toute la phase de mobilisation</w:t>
            </w:r>
          </w:p>
        </w:tc>
        <w:tc>
          <w:tcPr>
            <w:tcW w:w="0" w:type="auto"/>
            <w:hideMark/>
          </w:tcPr>
          <w:p w14:paraId="58F40498" w14:textId="77777777" w:rsidR="006305E3" w:rsidRPr="00AA22F2" w:rsidRDefault="006305E3" w:rsidP="006305E3">
            <w:pPr>
              <w:cnfStyle w:val="000000000000" w:firstRow="0" w:lastRow="0" w:firstColumn="0" w:lastColumn="0" w:oddVBand="0" w:evenVBand="0" w:oddHBand="0" w:evenHBand="0" w:firstRowFirstColumn="0" w:firstRowLastColumn="0" w:lastRowFirstColumn="0" w:lastRowLastColumn="0"/>
              <w:rPr>
                <w:szCs w:val="20"/>
              </w:rPr>
            </w:pPr>
            <w:r w:rsidRPr="00AA22F2">
              <w:rPr>
                <w:szCs w:val="20"/>
              </w:rPr>
              <w:t>Continue</w:t>
            </w:r>
          </w:p>
        </w:tc>
      </w:tr>
      <w:tr w:rsidR="006305E3" w:rsidRPr="00D26001" w14:paraId="1D4259DE" w14:textId="77777777" w:rsidTr="004637C7">
        <w:tc>
          <w:tcPr>
            <w:cnfStyle w:val="001000000000" w:firstRow="0" w:lastRow="0" w:firstColumn="1" w:lastColumn="0" w:oddVBand="0" w:evenVBand="0" w:oddHBand="0" w:evenHBand="0" w:firstRowFirstColumn="0" w:firstRowLastColumn="0" w:lastRowFirstColumn="0" w:lastRowLastColumn="0"/>
            <w:tcW w:w="0" w:type="auto"/>
            <w:vMerge/>
            <w:hideMark/>
          </w:tcPr>
          <w:p w14:paraId="3CD62216" w14:textId="77777777" w:rsidR="006305E3" w:rsidRPr="00AA22F2" w:rsidRDefault="006305E3" w:rsidP="006305E3">
            <w:pPr>
              <w:rPr>
                <w:szCs w:val="20"/>
              </w:rPr>
            </w:pPr>
          </w:p>
        </w:tc>
        <w:tc>
          <w:tcPr>
            <w:tcW w:w="0" w:type="auto"/>
            <w:vMerge/>
            <w:hideMark/>
          </w:tcPr>
          <w:p w14:paraId="7DE67317" w14:textId="77777777" w:rsidR="006305E3" w:rsidRPr="00AA22F2" w:rsidRDefault="006305E3" w:rsidP="006305E3">
            <w:pPr>
              <w:cnfStyle w:val="000000000000" w:firstRow="0" w:lastRow="0" w:firstColumn="0" w:lastColumn="0" w:oddVBand="0" w:evenVBand="0" w:oddHBand="0" w:evenHBand="0" w:firstRowFirstColumn="0" w:firstRowLastColumn="0" w:lastRowFirstColumn="0" w:lastRowLastColumn="0"/>
              <w:rPr>
                <w:szCs w:val="20"/>
              </w:rPr>
            </w:pPr>
          </w:p>
        </w:tc>
        <w:tc>
          <w:tcPr>
            <w:tcW w:w="0" w:type="auto"/>
            <w:shd w:val="clear" w:color="auto" w:fill="D9E2F3" w:themeFill="accent1" w:themeFillTint="33"/>
            <w:hideMark/>
          </w:tcPr>
          <w:p w14:paraId="0CDA360A" w14:textId="77777777" w:rsidR="006305E3" w:rsidRPr="00AA22F2" w:rsidRDefault="006305E3" w:rsidP="006305E3">
            <w:pPr>
              <w:cnfStyle w:val="000000000000" w:firstRow="0" w:lastRow="0" w:firstColumn="0" w:lastColumn="0" w:oddVBand="0" w:evenVBand="0" w:oddHBand="0" w:evenHBand="0" w:firstRowFirstColumn="0" w:firstRowLastColumn="0" w:lastRowFirstColumn="0" w:lastRowLastColumn="0"/>
              <w:rPr>
                <w:szCs w:val="20"/>
              </w:rPr>
            </w:pPr>
            <w:r w:rsidRPr="00AA22F2">
              <w:rPr>
                <w:b/>
                <w:bCs/>
                <w:szCs w:val="20"/>
              </w:rPr>
              <w:t>Intensité</w:t>
            </w:r>
          </w:p>
        </w:tc>
        <w:tc>
          <w:tcPr>
            <w:tcW w:w="0" w:type="auto"/>
            <w:shd w:val="clear" w:color="auto" w:fill="D9E2F3" w:themeFill="accent1" w:themeFillTint="33"/>
            <w:hideMark/>
          </w:tcPr>
          <w:p w14:paraId="2A57DAB3" w14:textId="77777777" w:rsidR="006305E3" w:rsidRPr="00AA22F2" w:rsidRDefault="006305E3" w:rsidP="006305E3">
            <w:pPr>
              <w:cnfStyle w:val="000000000000" w:firstRow="0" w:lastRow="0" w:firstColumn="0" w:lastColumn="0" w:oddVBand="0" w:evenVBand="0" w:oddHBand="0" w:evenHBand="0" w:firstRowFirstColumn="0" w:firstRowLastColumn="0" w:lastRowFirstColumn="0" w:lastRowLastColumn="0"/>
              <w:rPr>
                <w:szCs w:val="20"/>
              </w:rPr>
            </w:pPr>
            <w:r w:rsidRPr="00AA22F2">
              <w:rPr>
                <w:szCs w:val="20"/>
              </w:rPr>
              <w:t>Tensions sociales possibles, perte de cohésion et démotivation des équipes</w:t>
            </w:r>
          </w:p>
        </w:tc>
        <w:tc>
          <w:tcPr>
            <w:tcW w:w="0" w:type="auto"/>
            <w:shd w:val="clear" w:color="auto" w:fill="D9E2F3" w:themeFill="accent1" w:themeFillTint="33"/>
            <w:hideMark/>
          </w:tcPr>
          <w:p w14:paraId="076DE04B" w14:textId="77777777" w:rsidR="006305E3" w:rsidRPr="00AA22F2" w:rsidRDefault="006305E3" w:rsidP="006305E3">
            <w:pPr>
              <w:cnfStyle w:val="000000000000" w:firstRow="0" w:lastRow="0" w:firstColumn="0" w:lastColumn="0" w:oddVBand="0" w:evenVBand="0" w:oddHBand="0" w:evenHBand="0" w:firstRowFirstColumn="0" w:firstRowLastColumn="0" w:lastRowFirstColumn="0" w:lastRowLastColumn="0"/>
              <w:rPr>
                <w:szCs w:val="20"/>
              </w:rPr>
            </w:pPr>
            <w:r w:rsidRPr="00AA22F2">
              <w:rPr>
                <w:szCs w:val="20"/>
              </w:rPr>
              <w:t>Moyenne à forte</w:t>
            </w:r>
          </w:p>
        </w:tc>
      </w:tr>
      <w:tr w:rsidR="006305E3" w:rsidRPr="00D26001" w14:paraId="279C9BBF" w14:textId="77777777" w:rsidTr="005A7661">
        <w:tc>
          <w:tcPr>
            <w:cnfStyle w:val="001000000000" w:firstRow="0" w:lastRow="0" w:firstColumn="1" w:lastColumn="0" w:oddVBand="0" w:evenVBand="0" w:oddHBand="0" w:evenHBand="0" w:firstRowFirstColumn="0" w:firstRowLastColumn="0" w:lastRowFirstColumn="0" w:lastRowLastColumn="0"/>
            <w:tcW w:w="0" w:type="auto"/>
            <w:vMerge/>
          </w:tcPr>
          <w:p w14:paraId="4844D30D" w14:textId="77777777" w:rsidR="006305E3" w:rsidRPr="00AA22F2" w:rsidRDefault="006305E3" w:rsidP="004637C7">
            <w:pPr>
              <w:spacing w:before="0" w:after="0"/>
              <w:rPr>
                <w:szCs w:val="20"/>
              </w:rPr>
            </w:pPr>
          </w:p>
        </w:tc>
        <w:tc>
          <w:tcPr>
            <w:tcW w:w="0" w:type="auto"/>
            <w:gridSpan w:val="4"/>
          </w:tcPr>
          <w:p w14:paraId="39F2831C" w14:textId="77777777" w:rsidR="006305E3" w:rsidRPr="00AA22F2" w:rsidRDefault="006305E3" w:rsidP="004637C7">
            <w:pPr>
              <w:spacing w:before="0" w:after="0"/>
              <w:cnfStyle w:val="000000000000" w:firstRow="0" w:lastRow="0" w:firstColumn="0" w:lastColumn="0" w:oddVBand="0" w:evenVBand="0" w:oddHBand="0" w:evenHBand="0" w:firstRowFirstColumn="0" w:firstRowLastColumn="0" w:lastRowFirstColumn="0" w:lastRowLastColumn="0"/>
              <w:rPr>
                <w:szCs w:val="20"/>
              </w:rPr>
            </w:pPr>
          </w:p>
        </w:tc>
      </w:tr>
      <w:tr w:rsidR="006305E3" w:rsidRPr="00D26001" w14:paraId="29C512FE" w14:textId="77777777" w:rsidTr="004637C7">
        <w:tc>
          <w:tcPr>
            <w:cnfStyle w:val="001000000000" w:firstRow="0" w:lastRow="0" w:firstColumn="1" w:lastColumn="0" w:oddVBand="0" w:evenVBand="0" w:oddHBand="0" w:evenHBand="0" w:firstRowFirstColumn="0" w:firstRowLastColumn="0" w:lastRowFirstColumn="0" w:lastRowLastColumn="0"/>
            <w:tcW w:w="0" w:type="auto"/>
            <w:vMerge/>
          </w:tcPr>
          <w:p w14:paraId="065B0F14" w14:textId="77777777" w:rsidR="006305E3" w:rsidRPr="00AA22F2" w:rsidRDefault="006305E3" w:rsidP="004637C7">
            <w:pPr>
              <w:spacing w:before="0" w:after="0"/>
              <w:rPr>
                <w:szCs w:val="20"/>
              </w:rPr>
            </w:pPr>
          </w:p>
        </w:tc>
        <w:tc>
          <w:tcPr>
            <w:tcW w:w="0" w:type="auto"/>
            <w:shd w:val="clear" w:color="auto" w:fill="8EAADB" w:themeFill="accent1" w:themeFillTint="99"/>
            <w:vAlign w:val="center"/>
          </w:tcPr>
          <w:p w14:paraId="6E5E1C73" w14:textId="7ADD539E" w:rsidR="006305E3" w:rsidRPr="00AA22F2" w:rsidRDefault="006305E3" w:rsidP="004637C7">
            <w:pPr>
              <w:spacing w:before="0" w:after="0"/>
              <w:cnfStyle w:val="000000000000" w:firstRow="0" w:lastRow="0" w:firstColumn="0" w:lastColumn="0" w:oddVBand="0" w:evenVBand="0" w:oddHBand="0" w:evenHBand="0" w:firstRowFirstColumn="0" w:firstRowLastColumn="0" w:lastRowFirstColumn="0" w:lastRowLastColumn="0"/>
              <w:rPr>
                <w:szCs w:val="20"/>
              </w:rPr>
            </w:pPr>
            <w:r w:rsidRPr="00AA22F2">
              <w:rPr>
                <w:b/>
                <w:bCs/>
                <w:szCs w:val="20"/>
              </w:rPr>
              <w:t>Intensité de l’impact</w:t>
            </w:r>
          </w:p>
        </w:tc>
        <w:tc>
          <w:tcPr>
            <w:tcW w:w="0" w:type="auto"/>
            <w:shd w:val="clear" w:color="auto" w:fill="8EAADB" w:themeFill="accent1" w:themeFillTint="99"/>
            <w:vAlign w:val="center"/>
          </w:tcPr>
          <w:p w14:paraId="2B764BBC" w14:textId="17DDD68D" w:rsidR="006305E3" w:rsidRPr="00AA22F2" w:rsidRDefault="006305E3" w:rsidP="004637C7">
            <w:pPr>
              <w:spacing w:before="0" w:after="0"/>
              <w:cnfStyle w:val="000000000000" w:firstRow="0" w:lastRow="0" w:firstColumn="0" w:lastColumn="0" w:oddVBand="0" w:evenVBand="0" w:oddHBand="0" w:evenHBand="0" w:firstRowFirstColumn="0" w:firstRowLastColumn="0" w:lastRowFirstColumn="0" w:lastRowLastColumn="0"/>
              <w:rPr>
                <w:b/>
                <w:bCs/>
                <w:szCs w:val="20"/>
              </w:rPr>
            </w:pPr>
            <w:r w:rsidRPr="00AA22F2">
              <w:rPr>
                <w:b/>
                <w:bCs/>
                <w:szCs w:val="20"/>
              </w:rPr>
              <w:t>Récepteurs</w:t>
            </w:r>
          </w:p>
        </w:tc>
        <w:tc>
          <w:tcPr>
            <w:tcW w:w="0" w:type="auto"/>
            <w:shd w:val="clear" w:color="auto" w:fill="8EAADB" w:themeFill="accent1" w:themeFillTint="99"/>
            <w:vAlign w:val="center"/>
          </w:tcPr>
          <w:p w14:paraId="74442AC2" w14:textId="347CA655" w:rsidR="006305E3" w:rsidRPr="00AA22F2" w:rsidRDefault="006305E3" w:rsidP="004637C7">
            <w:pPr>
              <w:spacing w:before="0" w:after="0"/>
              <w:cnfStyle w:val="000000000000" w:firstRow="0" w:lastRow="0" w:firstColumn="0" w:lastColumn="0" w:oddVBand="0" w:evenVBand="0" w:oddHBand="0" w:evenHBand="0" w:firstRowFirstColumn="0" w:firstRowLastColumn="0" w:lastRowFirstColumn="0" w:lastRowLastColumn="0"/>
              <w:rPr>
                <w:szCs w:val="20"/>
              </w:rPr>
            </w:pPr>
            <w:r w:rsidRPr="00AA22F2">
              <w:rPr>
                <w:b/>
                <w:bCs/>
                <w:szCs w:val="20"/>
              </w:rPr>
              <w:t>Sensibilité</w:t>
            </w:r>
          </w:p>
        </w:tc>
        <w:tc>
          <w:tcPr>
            <w:tcW w:w="0" w:type="auto"/>
            <w:shd w:val="clear" w:color="auto" w:fill="8EAADB" w:themeFill="accent1" w:themeFillTint="99"/>
            <w:vAlign w:val="center"/>
          </w:tcPr>
          <w:p w14:paraId="76294EE8" w14:textId="2D05CCD1" w:rsidR="006305E3" w:rsidRPr="00AA22F2" w:rsidRDefault="006305E3" w:rsidP="004637C7">
            <w:pPr>
              <w:spacing w:before="0" w:after="0"/>
              <w:cnfStyle w:val="000000000000" w:firstRow="0" w:lastRow="0" w:firstColumn="0" w:lastColumn="0" w:oddVBand="0" w:evenVBand="0" w:oddHBand="0" w:evenHBand="0" w:firstRowFirstColumn="0" w:firstRowLastColumn="0" w:lastRowFirstColumn="0" w:lastRowLastColumn="0"/>
              <w:rPr>
                <w:szCs w:val="20"/>
              </w:rPr>
            </w:pPr>
            <w:r w:rsidRPr="00AA22F2">
              <w:rPr>
                <w:b/>
                <w:bCs/>
                <w:szCs w:val="20"/>
              </w:rPr>
              <w:t>Importance de l’impact</w:t>
            </w:r>
          </w:p>
        </w:tc>
      </w:tr>
      <w:tr w:rsidR="006305E3" w:rsidRPr="00D26001" w14:paraId="374E883B" w14:textId="77777777" w:rsidTr="004637C7">
        <w:tc>
          <w:tcPr>
            <w:cnfStyle w:val="001000000000" w:firstRow="0" w:lastRow="0" w:firstColumn="1" w:lastColumn="0" w:oddVBand="0" w:evenVBand="0" w:oddHBand="0" w:evenHBand="0" w:firstRowFirstColumn="0" w:firstRowLastColumn="0" w:lastRowFirstColumn="0" w:lastRowLastColumn="0"/>
            <w:tcW w:w="0" w:type="auto"/>
            <w:vMerge/>
          </w:tcPr>
          <w:p w14:paraId="07539247" w14:textId="77777777" w:rsidR="006305E3" w:rsidRPr="00AA22F2" w:rsidRDefault="006305E3" w:rsidP="006305E3">
            <w:pPr>
              <w:rPr>
                <w:szCs w:val="20"/>
              </w:rPr>
            </w:pPr>
          </w:p>
        </w:tc>
        <w:tc>
          <w:tcPr>
            <w:tcW w:w="0" w:type="auto"/>
            <w:vAlign w:val="center"/>
          </w:tcPr>
          <w:p w14:paraId="2C1F749A" w14:textId="0308115B" w:rsidR="006305E3" w:rsidRPr="00AA22F2" w:rsidRDefault="006305E3" w:rsidP="006305E3">
            <w:pPr>
              <w:cnfStyle w:val="000000000000" w:firstRow="0" w:lastRow="0" w:firstColumn="0" w:lastColumn="0" w:oddVBand="0" w:evenVBand="0" w:oddHBand="0" w:evenHBand="0" w:firstRowFirstColumn="0" w:firstRowLastColumn="0" w:lastRowFirstColumn="0" w:lastRowLastColumn="0"/>
              <w:rPr>
                <w:szCs w:val="20"/>
              </w:rPr>
            </w:pPr>
            <w:r w:rsidRPr="00AA22F2">
              <w:rPr>
                <w:szCs w:val="20"/>
              </w:rPr>
              <w:t>Moyenne à forte</w:t>
            </w:r>
          </w:p>
        </w:tc>
        <w:tc>
          <w:tcPr>
            <w:tcW w:w="0" w:type="auto"/>
            <w:vAlign w:val="center"/>
          </w:tcPr>
          <w:p w14:paraId="4DC9045F" w14:textId="678E912B" w:rsidR="006305E3" w:rsidRPr="00AA22F2" w:rsidRDefault="006305E3" w:rsidP="006305E3">
            <w:pPr>
              <w:cnfStyle w:val="000000000000" w:firstRow="0" w:lastRow="0" w:firstColumn="0" w:lastColumn="0" w:oddVBand="0" w:evenVBand="0" w:oddHBand="0" w:evenHBand="0" w:firstRowFirstColumn="0" w:firstRowLastColumn="0" w:lastRowFirstColumn="0" w:lastRowLastColumn="0"/>
              <w:rPr>
                <w:b/>
                <w:bCs/>
                <w:szCs w:val="20"/>
              </w:rPr>
            </w:pPr>
            <w:r w:rsidRPr="00AA22F2">
              <w:rPr>
                <w:szCs w:val="20"/>
              </w:rPr>
              <w:t>Ouvriers journaliers, femmes, travailleurs sous-traités</w:t>
            </w:r>
          </w:p>
        </w:tc>
        <w:tc>
          <w:tcPr>
            <w:tcW w:w="0" w:type="auto"/>
            <w:vAlign w:val="center"/>
          </w:tcPr>
          <w:p w14:paraId="33B994D7" w14:textId="50E3BC3B" w:rsidR="006305E3" w:rsidRPr="00AA22F2" w:rsidRDefault="006305E3" w:rsidP="006305E3">
            <w:pPr>
              <w:cnfStyle w:val="000000000000" w:firstRow="0" w:lastRow="0" w:firstColumn="0" w:lastColumn="0" w:oddVBand="0" w:evenVBand="0" w:oddHBand="0" w:evenHBand="0" w:firstRowFirstColumn="0" w:firstRowLastColumn="0" w:lastRowFirstColumn="0" w:lastRowLastColumn="0"/>
              <w:rPr>
                <w:szCs w:val="20"/>
              </w:rPr>
            </w:pPr>
            <w:r w:rsidRPr="004637C7">
              <w:rPr>
                <w:b/>
                <w:bCs/>
                <w:szCs w:val="20"/>
              </w:rPr>
              <w:t>Forte</w:t>
            </w:r>
            <w:r w:rsidRPr="00AA22F2">
              <w:rPr>
                <w:szCs w:val="20"/>
              </w:rPr>
              <w:t> : vulnérabilité accrue aux discriminations et disparités salariales</w:t>
            </w:r>
          </w:p>
        </w:tc>
        <w:tc>
          <w:tcPr>
            <w:tcW w:w="0" w:type="auto"/>
            <w:vAlign w:val="center"/>
          </w:tcPr>
          <w:p w14:paraId="718FDE42" w14:textId="05D5E6E4" w:rsidR="006305E3" w:rsidRPr="00AA22F2" w:rsidRDefault="006305E3" w:rsidP="006305E3">
            <w:pPr>
              <w:cnfStyle w:val="000000000000" w:firstRow="0" w:lastRow="0" w:firstColumn="0" w:lastColumn="0" w:oddVBand="0" w:evenVBand="0" w:oddHBand="0" w:evenHBand="0" w:firstRowFirstColumn="0" w:firstRowLastColumn="0" w:lastRowFirstColumn="0" w:lastRowLastColumn="0"/>
              <w:rPr>
                <w:szCs w:val="20"/>
              </w:rPr>
            </w:pPr>
            <w:r w:rsidRPr="00AA22F2">
              <w:rPr>
                <w:szCs w:val="20"/>
              </w:rPr>
              <w:t>Majeure</w:t>
            </w:r>
          </w:p>
        </w:tc>
      </w:tr>
    </w:tbl>
    <w:p w14:paraId="0CE1B1E2" w14:textId="51BAAE79" w:rsidR="00B44D35" w:rsidRDefault="006D4DB8" w:rsidP="0001633E">
      <w:pPr>
        <w:pStyle w:val="AltTitle2"/>
        <w:numPr>
          <w:ilvl w:val="0"/>
          <w:numId w:val="106"/>
        </w:numPr>
      </w:pPr>
      <w:r w:rsidRPr="006D4DB8">
        <w:t>Stress et fragilité psychosociale du personnel</w:t>
      </w:r>
    </w:p>
    <w:p w14:paraId="7A8C6A57" w14:textId="77777777" w:rsidR="002731FE" w:rsidRDefault="00B44D35" w:rsidP="00B44D35">
      <w:r w:rsidRPr="00B44D35">
        <w:t xml:space="preserve">Les travaux, menés selon un rythme soutenu et sous contrainte de délais, peuvent générer une charge mentale élevée et du stress professionnel. La nature répétitive de certaines tâches, les conditions climatiques éprouvantes et la hiérarchie opérationnelle stricte peuvent accentuer la fatigue psychologique. </w:t>
      </w:r>
    </w:p>
    <w:p w14:paraId="58BB6001" w14:textId="383CD87D" w:rsidR="00D26001" w:rsidRDefault="00B44D35" w:rsidP="00B44D35">
      <w:r w:rsidRPr="00B44D35">
        <w:lastRenderedPageBreak/>
        <w:t xml:space="preserve">L’impact est </w:t>
      </w:r>
      <w:r w:rsidRPr="009D0A6F">
        <w:t>direct et continu</w:t>
      </w:r>
      <w:r w:rsidRPr="00B44D35">
        <w:t>, d’intensité moyenne, affectant surtout les ouvriers, chefs d’équipe et encadrants. Les récepteurs présentent une sensibilité modérée à forte selon leur niveau d’exposition au stress et leur ancienneté. L’effet reste temporaire, concentré sur la durée du chantier, mais peut avoir des répercussions ponctuelles sur la santé mentale et la productivité.</w:t>
      </w:r>
      <w:r w:rsidR="00D26001">
        <w:br w:type="page"/>
      </w:r>
    </w:p>
    <w:tbl>
      <w:tblPr>
        <w:tblStyle w:val="TableauGrille1Clair-Accentuation111"/>
        <w:tblW w:w="0" w:type="auto"/>
        <w:tblLook w:val="04A0" w:firstRow="1" w:lastRow="0" w:firstColumn="1" w:lastColumn="0" w:noHBand="0" w:noVBand="1"/>
      </w:tblPr>
      <w:tblGrid>
        <w:gridCol w:w="793"/>
        <w:gridCol w:w="2666"/>
        <w:gridCol w:w="1596"/>
        <w:gridCol w:w="2615"/>
        <w:gridCol w:w="1390"/>
      </w:tblGrid>
      <w:tr w:rsidR="006305E3" w:rsidRPr="006305E3" w14:paraId="1F7595C5" w14:textId="77777777" w:rsidTr="006305E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4D9350E8" w14:textId="77777777" w:rsidR="006305E3" w:rsidRPr="00AA22F2" w:rsidRDefault="006305E3" w:rsidP="006305E3">
            <w:pPr>
              <w:rPr>
                <w:szCs w:val="20"/>
              </w:rPr>
            </w:pPr>
            <w:r w:rsidRPr="00AA22F2">
              <w:rPr>
                <w:szCs w:val="20"/>
              </w:rPr>
              <w:lastRenderedPageBreak/>
              <w:t>Impact</w:t>
            </w:r>
          </w:p>
        </w:tc>
        <w:tc>
          <w:tcPr>
            <w:tcW w:w="0" w:type="auto"/>
            <w:hideMark/>
          </w:tcPr>
          <w:p w14:paraId="2793B11F" w14:textId="77777777" w:rsidR="006305E3" w:rsidRPr="00AA22F2" w:rsidRDefault="006305E3" w:rsidP="006305E3">
            <w:pPr>
              <w:cnfStyle w:val="100000000000" w:firstRow="1" w:lastRow="0" w:firstColumn="0" w:lastColumn="0" w:oddVBand="0" w:evenVBand="0" w:oddHBand="0" w:evenHBand="0" w:firstRowFirstColumn="0" w:firstRowLastColumn="0" w:lastRowFirstColumn="0" w:lastRowLastColumn="0"/>
              <w:rPr>
                <w:szCs w:val="20"/>
              </w:rPr>
            </w:pPr>
            <w:r w:rsidRPr="00AA22F2">
              <w:rPr>
                <w:szCs w:val="20"/>
              </w:rPr>
              <w:t>Activités génératrices</w:t>
            </w:r>
          </w:p>
        </w:tc>
        <w:tc>
          <w:tcPr>
            <w:tcW w:w="0" w:type="auto"/>
            <w:hideMark/>
          </w:tcPr>
          <w:p w14:paraId="67FEA7C2" w14:textId="77777777" w:rsidR="006305E3" w:rsidRPr="00AA22F2" w:rsidRDefault="006305E3" w:rsidP="006305E3">
            <w:pPr>
              <w:cnfStyle w:val="100000000000" w:firstRow="1" w:lastRow="0" w:firstColumn="0" w:lastColumn="0" w:oddVBand="0" w:evenVBand="0" w:oddHBand="0" w:evenHBand="0" w:firstRowFirstColumn="0" w:firstRowLastColumn="0" w:lastRowFirstColumn="0" w:lastRowLastColumn="0"/>
              <w:rPr>
                <w:szCs w:val="20"/>
              </w:rPr>
            </w:pPr>
            <w:r w:rsidRPr="00AA22F2">
              <w:rPr>
                <w:szCs w:val="20"/>
              </w:rPr>
              <w:t>Critère</w:t>
            </w:r>
          </w:p>
        </w:tc>
        <w:tc>
          <w:tcPr>
            <w:tcW w:w="0" w:type="auto"/>
            <w:hideMark/>
          </w:tcPr>
          <w:p w14:paraId="2F76B1D7" w14:textId="77777777" w:rsidR="006305E3" w:rsidRPr="00AA22F2" w:rsidRDefault="006305E3" w:rsidP="006305E3">
            <w:pPr>
              <w:cnfStyle w:val="100000000000" w:firstRow="1" w:lastRow="0" w:firstColumn="0" w:lastColumn="0" w:oddVBand="0" w:evenVBand="0" w:oddHBand="0" w:evenHBand="0" w:firstRowFirstColumn="0" w:firstRowLastColumn="0" w:lastRowFirstColumn="0" w:lastRowLastColumn="0"/>
              <w:rPr>
                <w:szCs w:val="20"/>
              </w:rPr>
            </w:pPr>
            <w:r w:rsidRPr="00AA22F2">
              <w:rPr>
                <w:szCs w:val="20"/>
              </w:rPr>
              <w:t>Justification</w:t>
            </w:r>
          </w:p>
        </w:tc>
        <w:tc>
          <w:tcPr>
            <w:tcW w:w="0" w:type="auto"/>
            <w:hideMark/>
          </w:tcPr>
          <w:p w14:paraId="77916250" w14:textId="77777777" w:rsidR="006305E3" w:rsidRPr="00AA22F2" w:rsidRDefault="006305E3" w:rsidP="006305E3">
            <w:pPr>
              <w:cnfStyle w:val="100000000000" w:firstRow="1" w:lastRow="0" w:firstColumn="0" w:lastColumn="0" w:oddVBand="0" w:evenVBand="0" w:oddHBand="0" w:evenHBand="0" w:firstRowFirstColumn="0" w:firstRowLastColumn="0" w:lastRowFirstColumn="0" w:lastRowLastColumn="0"/>
              <w:rPr>
                <w:szCs w:val="20"/>
              </w:rPr>
            </w:pPr>
            <w:r w:rsidRPr="00AA22F2">
              <w:rPr>
                <w:szCs w:val="20"/>
              </w:rPr>
              <w:t>Niveau</w:t>
            </w:r>
          </w:p>
        </w:tc>
      </w:tr>
      <w:tr w:rsidR="006305E3" w:rsidRPr="006305E3" w14:paraId="2F305800" w14:textId="77777777" w:rsidTr="005A7661">
        <w:tc>
          <w:tcPr>
            <w:cnfStyle w:val="001000000000" w:firstRow="0" w:lastRow="0" w:firstColumn="1" w:lastColumn="0" w:oddVBand="0" w:evenVBand="0" w:oddHBand="0" w:evenHBand="0" w:firstRowFirstColumn="0" w:firstRowLastColumn="0" w:lastRowFirstColumn="0" w:lastRowLastColumn="0"/>
            <w:tcW w:w="0" w:type="auto"/>
            <w:vMerge w:val="restart"/>
            <w:textDirection w:val="btLr"/>
            <w:hideMark/>
          </w:tcPr>
          <w:p w14:paraId="7CFF6008" w14:textId="79FAF264" w:rsidR="006305E3" w:rsidRPr="00AA22F2" w:rsidRDefault="006305E3" w:rsidP="004637C7">
            <w:pPr>
              <w:ind w:left="113" w:right="113"/>
              <w:rPr>
                <w:szCs w:val="20"/>
              </w:rPr>
            </w:pPr>
            <w:r w:rsidRPr="00AA22F2">
              <w:rPr>
                <w:szCs w:val="20"/>
              </w:rPr>
              <w:t>Stress et fragilité psychosociale du personnel</w:t>
            </w:r>
          </w:p>
        </w:tc>
        <w:tc>
          <w:tcPr>
            <w:tcW w:w="0" w:type="auto"/>
            <w:vMerge w:val="restart"/>
            <w:hideMark/>
          </w:tcPr>
          <w:p w14:paraId="6C141F52" w14:textId="77777777" w:rsidR="006305E3" w:rsidRPr="00AA22F2" w:rsidRDefault="006305E3" w:rsidP="006305E3">
            <w:pPr>
              <w:cnfStyle w:val="000000000000" w:firstRow="0" w:lastRow="0" w:firstColumn="0" w:lastColumn="0" w:oddVBand="0" w:evenVBand="0" w:oddHBand="0" w:evenHBand="0" w:firstRowFirstColumn="0" w:firstRowLastColumn="0" w:lastRowFirstColumn="0" w:lastRowLastColumn="0"/>
              <w:rPr>
                <w:szCs w:val="20"/>
              </w:rPr>
            </w:pPr>
            <w:r w:rsidRPr="00AA22F2">
              <w:rPr>
                <w:szCs w:val="20"/>
              </w:rPr>
              <w:t>Rythme de travail soutenu, délais contraints, conditions climatiques et pression hiérarchique</w:t>
            </w:r>
          </w:p>
        </w:tc>
        <w:tc>
          <w:tcPr>
            <w:tcW w:w="0" w:type="auto"/>
            <w:hideMark/>
          </w:tcPr>
          <w:p w14:paraId="5B0275EA" w14:textId="77777777" w:rsidR="006305E3" w:rsidRPr="00AA22F2" w:rsidRDefault="006305E3" w:rsidP="006305E3">
            <w:pPr>
              <w:cnfStyle w:val="000000000000" w:firstRow="0" w:lastRow="0" w:firstColumn="0" w:lastColumn="0" w:oddVBand="0" w:evenVBand="0" w:oddHBand="0" w:evenHBand="0" w:firstRowFirstColumn="0" w:firstRowLastColumn="0" w:lastRowFirstColumn="0" w:lastRowLastColumn="0"/>
              <w:rPr>
                <w:szCs w:val="20"/>
              </w:rPr>
            </w:pPr>
            <w:r w:rsidRPr="00AA22F2">
              <w:rPr>
                <w:b/>
                <w:bCs/>
                <w:szCs w:val="20"/>
              </w:rPr>
              <w:t>Nature</w:t>
            </w:r>
          </w:p>
        </w:tc>
        <w:tc>
          <w:tcPr>
            <w:tcW w:w="0" w:type="auto"/>
            <w:gridSpan w:val="2"/>
          </w:tcPr>
          <w:p w14:paraId="27BA3FDA" w14:textId="207FE314" w:rsidR="006305E3" w:rsidRPr="00AA22F2" w:rsidRDefault="006305E3" w:rsidP="006305E3">
            <w:pPr>
              <w:cnfStyle w:val="000000000000" w:firstRow="0" w:lastRow="0" w:firstColumn="0" w:lastColumn="0" w:oddVBand="0" w:evenVBand="0" w:oddHBand="0" w:evenHBand="0" w:firstRowFirstColumn="0" w:firstRowLastColumn="0" w:lastRowFirstColumn="0" w:lastRowLastColumn="0"/>
              <w:rPr>
                <w:szCs w:val="20"/>
              </w:rPr>
            </w:pPr>
            <w:r w:rsidRPr="00AA22F2">
              <w:rPr>
                <w:szCs w:val="20"/>
              </w:rPr>
              <w:t>Direct</w:t>
            </w:r>
            <w:r>
              <w:rPr>
                <w:szCs w:val="20"/>
              </w:rPr>
              <w:t xml:space="preserve"> négatif</w:t>
            </w:r>
          </w:p>
        </w:tc>
      </w:tr>
      <w:tr w:rsidR="006305E3" w:rsidRPr="006305E3" w14:paraId="74BAF016" w14:textId="77777777" w:rsidTr="005A7661">
        <w:tc>
          <w:tcPr>
            <w:cnfStyle w:val="001000000000" w:firstRow="0" w:lastRow="0" w:firstColumn="1" w:lastColumn="0" w:oddVBand="0" w:evenVBand="0" w:oddHBand="0" w:evenHBand="0" w:firstRowFirstColumn="0" w:firstRowLastColumn="0" w:lastRowFirstColumn="0" w:lastRowLastColumn="0"/>
            <w:tcW w:w="0" w:type="auto"/>
            <w:vMerge/>
            <w:hideMark/>
          </w:tcPr>
          <w:p w14:paraId="6CACCE9D" w14:textId="77777777" w:rsidR="006305E3" w:rsidRPr="00AA22F2" w:rsidRDefault="006305E3" w:rsidP="006305E3">
            <w:pPr>
              <w:rPr>
                <w:szCs w:val="20"/>
              </w:rPr>
            </w:pPr>
          </w:p>
        </w:tc>
        <w:tc>
          <w:tcPr>
            <w:tcW w:w="0" w:type="auto"/>
            <w:vMerge/>
            <w:hideMark/>
          </w:tcPr>
          <w:p w14:paraId="3C7F5C57" w14:textId="77777777" w:rsidR="006305E3" w:rsidRPr="00AA22F2" w:rsidRDefault="006305E3" w:rsidP="006305E3">
            <w:pPr>
              <w:cnfStyle w:val="000000000000" w:firstRow="0" w:lastRow="0" w:firstColumn="0" w:lastColumn="0" w:oddVBand="0" w:evenVBand="0" w:oddHBand="0" w:evenHBand="0" w:firstRowFirstColumn="0" w:firstRowLastColumn="0" w:lastRowFirstColumn="0" w:lastRowLastColumn="0"/>
              <w:rPr>
                <w:szCs w:val="20"/>
              </w:rPr>
            </w:pPr>
          </w:p>
        </w:tc>
        <w:tc>
          <w:tcPr>
            <w:tcW w:w="0" w:type="auto"/>
            <w:hideMark/>
          </w:tcPr>
          <w:p w14:paraId="7D064075" w14:textId="77777777" w:rsidR="006305E3" w:rsidRPr="00AA22F2" w:rsidRDefault="006305E3" w:rsidP="006305E3">
            <w:pPr>
              <w:cnfStyle w:val="000000000000" w:firstRow="0" w:lastRow="0" w:firstColumn="0" w:lastColumn="0" w:oddVBand="0" w:evenVBand="0" w:oddHBand="0" w:evenHBand="0" w:firstRowFirstColumn="0" w:firstRowLastColumn="0" w:lastRowFirstColumn="0" w:lastRowLastColumn="0"/>
              <w:rPr>
                <w:szCs w:val="20"/>
              </w:rPr>
            </w:pPr>
            <w:r w:rsidRPr="00AA22F2">
              <w:rPr>
                <w:b/>
                <w:bCs/>
                <w:szCs w:val="20"/>
              </w:rPr>
              <w:t>Étendue</w:t>
            </w:r>
          </w:p>
        </w:tc>
        <w:tc>
          <w:tcPr>
            <w:tcW w:w="0" w:type="auto"/>
            <w:hideMark/>
          </w:tcPr>
          <w:p w14:paraId="73E3B3F3" w14:textId="77777777" w:rsidR="006305E3" w:rsidRPr="00AA22F2" w:rsidRDefault="006305E3" w:rsidP="006305E3">
            <w:pPr>
              <w:cnfStyle w:val="000000000000" w:firstRow="0" w:lastRow="0" w:firstColumn="0" w:lastColumn="0" w:oddVBand="0" w:evenVBand="0" w:oddHBand="0" w:evenHBand="0" w:firstRowFirstColumn="0" w:firstRowLastColumn="0" w:lastRowFirstColumn="0" w:lastRowLastColumn="0"/>
              <w:rPr>
                <w:szCs w:val="20"/>
              </w:rPr>
            </w:pPr>
            <w:r w:rsidRPr="00AA22F2">
              <w:rPr>
                <w:szCs w:val="20"/>
              </w:rPr>
              <w:t>Affecte les travailleurs du chantier, principalement encadrants et ouvriers</w:t>
            </w:r>
          </w:p>
        </w:tc>
        <w:tc>
          <w:tcPr>
            <w:tcW w:w="0" w:type="auto"/>
            <w:hideMark/>
          </w:tcPr>
          <w:p w14:paraId="017B5D67" w14:textId="77777777" w:rsidR="006305E3" w:rsidRPr="00AA22F2" w:rsidRDefault="006305E3" w:rsidP="006305E3">
            <w:pPr>
              <w:cnfStyle w:val="000000000000" w:firstRow="0" w:lastRow="0" w:firstColumn="0" w:lastColumn="0" w:oddVBand="0" w:evenVBand="0" w:oddHBand="0" w:evenHBand="0" w:firstRowFirstColumn="0" w:firstRowLastColumn="0" w:lastRowFirstColumn="0" w:lastRowLastColumn="0"/>
              <w:rPr>
                <w:szCs w:val="20"/>
              </w:rPr>
            </w:pPr>
            <w:r w:rsidRPr="00AA22F2">
              <w:rPr>
                <w:szCs w:val="20"/>
              </w:rPr>
              <w:t>Locale</w:t>
            </w:r>
          </w:p>
        </w:tc>
      </w:tr>
      <w:tr w:rsidR="006305E3" w:rsidRPr="006305E3" w14:paraId="6502B915" w14:textId="77777777" w:rsidTr="005A7661">
        <w:tc>
          <w:tcPr>
            <w:cnfStyle w:val="001000000000" w:firstRow="0" w:lastRow="0" w:firstColumn="1" w:lastColumn="0" w:oddVBand="0" w:evenVBand="0" w:oddHBand="0" w:evenHBand="0" w:firstRowFirstColumn="0" w:firstRowLastColumn="0" w:lastRowFirstColumn="0" w:lastRowLastColumn="0"/>
            <w:tcW w:w="0" w:type="auto"/>
            <w:vMerge/>
            <w:hideMark/>
          </w:tcPr>
          <w:p w14:paraId="42997A9F" w14:textId="77777777" w:rsidR="006305E3" w:rsidRPr="00AA22F2" w:rsidRDefault="006305E3" w:rsidP="006305E3">
            <w:pPr>
              <w:rPr>
                <w:szCs w:val="20"/>
              </w:rPr>
            </w:pPr>
          </w:p>
        </w:tc>
        <w:tc>
          <w:tcPr>
            <w:tcW w:w="0" w:type="auto"/>
            <w:vMerge/>
            <w:hideMark/>
          </w:tcPr>
          <w:p w14:paraId="15020A18" w14:textId="77777777" w:rsidR="006305E3" w:rsidRPr="00AA22F2" w:rsidRDefault="006305E3" w:rsidP="006305E3">
            <w:pPr>
              <w:cnfStyle w:val="000000000000" w:firstRow="0" w:lastRow="0" w:firstColumn="0" w:lastColumn="0" w:oddVBand="0" w:evenVBand="0" w:oddHBand="0" w:evenHBand="0" w:firstRowFirstColumn="0" w:firstRowLastColumn="0" w:lastRowFirstColumn="0" w:lastRowLastColumn="0"/>
              <w:rPr>
                <w:szCs w:val="20"/>
              </w:rPr>
            </w:pPr>
          </w:p>
        </w:tc>
        <w:tc>
          <w:tcPr>
            <w:tcW w:w="0" w:type="auto"/>
            <w:hideMark/>
          </w:tcPr>
          <w:p w14:paraId="0A49F684" w14:textId="77777777" w:rsidR="006305E3" w:rsidRPr="00AA22F2" w:rsidRDefault="006305E3" w:rsidP="006305E3">
            <w:pPr>
              <w:cnfStyle w:val="000000000000" w:firstRow="0" w:lastRow="0" w:firstColumn="0" w:lastColumn="0" w:oddVBand="0" w:evenVBand="0" w:oddHBand="0" w:evenHBand="0" w:firstRowFirstColumn="0" w:firstRowLastColumn="0" w:lastRowFirstColumn="0" w:lastRowLastColumn="0"/>
              <w:rPr>
                <w:szCs w:val="20"/>
              </w:rPr>
            </w:pPr>
            <w:r w:rsidRPr="00AA22F2">
              <w:rPr>
                <w:b/>
                <w:bCs/>
                <w:szCs w:val="20"/>
              </w:rPr>
              <w:t>Durée</w:t>
            </w:r>
          </w:p>
        </w:tc>
        <w:tc>
          <w:tcPr>
            <w:tcW w:w="0" w:type="auto"/>
            <w:hideMark/>
          </w:tcPr>
          <w:p w14:paraId="5282D77B" w14:textId="77777777" w:rsidR="006305E3" w:rsidRPr="00AA22F2" w:rsidRDefault="006305E3" w:rsidP="006305E3">
            <w:pPr>
              <w:cnfStyle w:val="000000000000" w:firstRow="0" w:lastRow="0" w:firstColumn="0" w:lastColumn="0" w:oddVBand="0" w:evenVBand="0" w:oddHBand="0" w:evenHBand="0" w:firstRowFirstColumn="0" w:firstRowLastColumn="0" w:lastRowFirstColumn="0" w:lastRowLastColumn="0"/>
              <w:rPr>
                <w:szCs w:val="20"/>
              </w:rPr>
            </w:pPr>
            <w:r w:rsidRPr="00AA22F2">
              <w:rPr>
                <w:szCs w:val="20"/>
              </w:rPr>
              <w:t>Limitée à la durée du projet, avec répercussions ponctuelles sur la santé mentale</w:t>
            </w:r>
          </w:p>
        </w:tc>
        <w:tc>
          <w:tcPr>
            <w:tcW w:w="0" w:type="auto"/>
            <w:hideMark/>
          </w:tcPr>
          <w:p w14:paraId="00916600" w14:textId="77777777" w:rsidR="006305E3" w:rsidRPr="00AA22F2" w:rsidRDefault="006305E3" w:rsidP="006305E3">
            <w:pPr>
              <w:cnfStyle w:val="000000000000" w:firstRow="0" w:lastRow="0" w:firstColumn="0" w:lastColumn="0" w:oddVBand="0" w:evenVBand="0" w:oddHBand="0" w:evenHBand="0" w:firstRowFirstColumn="0" w:firstRowLastColumn="0" w:lastRowFirstColumn="0" w:lastRowLastColumn="0"/>
              <w:rPr>
                <w:szCs w:val="20"/>
              </w:rPr>
            </w:pPr>
            <w:r w:rsidRPr="00AA22F2">
              <w:rPr>
                <w:szCs w:val="20"/>
              </w:rPr>
              <w:t>Temporaire</w:t>
            </w:r>
          </w:p>
        </w:tc>
      </w:tr>
      <w:tr w:rsidR="006305E3" w:rsidRPr="006305E3" w14:paraId="1FB9B352" w14:textId="77777777" w:rsidTr="005A7661">
        <w:tc>
          <w:tcPr>
            <w:cnfStyle w:val="001000000000" w:firstRow="0" w:lastRow="0" w:firstColumn="1" w:lastColumn="0" w:oddVBand="0" w:evenVBand="0" w:oddHBand="0" w:evenHBand="0" w:firstRowFirstColumn="0" w:firstRowLastColumn="0" w:lastRowFirstColumn="0" w:lastRowLastColumn="0"/>
            <w:tcW w:w="0" w:type="auto"/>
            <w:vMerge/>
            <w:hideMark/>
          </w:tcPr>
          <w:p w14:paraId="3483457B" w14:textId="77777777" w:rsidR="006305E3" w:rsidRPr="00AA22F2" w:rsidRDefault="006305E3" w:rsidP="006305E3">
            <w:pPr>
              <w:rPr>
                <w:szCs w:val="20"/>
              </w:rPr>
            </w:pPr>
          </w:p>
        </w:tc>
        <w:tc>
          <w:tcPr>
            <w:tcW w:w="0" w:type="auto"/>
            <w:vMerge/>
            <w:hideMark/>
          </w:tcPr>
          <w:p w14:paraId="2B0D3F60" w14:textId="77777777" w:rsidR="006305E3" w:rsidRPr="00AA22F2" w:rsidRDefault="006305E3" w:rsidP="006305E3">
            <w:pPr>
              <w:cnfStyle w:val="000000000000" w:firstRow="0" w:lastRow="0" w:firstColumn="0" w:lastColumn="0" w:oddVBand="0" w:evenVBand="0" w:oddHBand="0" w:evenHBand="0" w:firstRowFirstColumn="0" w:firstRowLastColumn="0" w:lastRowFirstColumn="0" w:lastRowLastColumn="0"/>
              <w:rPr>
                <w:szCs w:val="20"/>
              </w:rPr>
            </w:pPr>
          </w:p>
        </w:tc>
        <w:tc>
          <w:tcPr>
            <w:tcW w:w="0" w:type="auto"/>
            <w:hideMark/>
          </w:tcPr>
          <w:p w14:paraId="3645087D" w14:textId="77777777" w:rsidR="006305E3" w:rsidRPr="00AA22F2" w:rsidRDefault="006305E3" w:rsidP="006305E3">
            <w:pPr>
              <w:cnfStyle w:val="000000000000" w:firstRow="0" w:lastRow="0" w:firstColumn="0" w:lastColumn="0" w:oddVBand="0" w:evenVBand="0" w:oddHBand="0" w:evenHBand="0" w:firstRowFirstColumn="0" w:firstRowLastColumn="0" w:lastRowFirstColumn="0" w:lastRowLastColumn="0"/>
              <w:rPr>
                <w:szCs w:val="20"/>
              </w:rPr>
            </w:pPr>
            <w:r w:rsidRPr="00AA22F2">
              <w:rPr>
                <w:b/>
                <w:bCs/>
                <w:szCs w:val="20"/>
              </w:rPr>
              <w:t>Fréquence</w:t>
            </w:r>
          </w:p>
        </w:tc>
        <w:tc>
          <w:tcPr>
            <w:tcW w:w="0" w:type="auto"/>
            <w:hideMark/>
          </w:tcPr>
          <w:p w14:paraId="1163693F" w14:textId="77777777" w:rsidR="006305E3" w:rsidRPr="00AA22F2" w:rsidRDefault="006305E3" w:rsidP="006305E3">
            <w:pPr>
              <w:cnfStyle w:val="000000000000" w:firstRow="0" w:lastRow="0" w:firstColumn="0" w:lastColumn="0" w:oddVBand="0" w:evenVBand="0" w:oddHBand="0" w:evenHBand="0" w:firstRowFirstColumn="0" w:firstRowLastColumn="0" w:lastRowFirstColumn="0" w:lastRowLastColumn="0"/>
              <w:rPr>
                <w:szCs w:val="20"/>
              </w:rPr>
            </w:pPr>
            <w:r w:rsidRPr="00AA22F2">
              <w:rPr>
                <w:szCs w:val="20"/>
              </w:rPr>
              <w:t>Continue durant les périodes de forte activité</w:t>
            </w:r>
          </w:p>
        </w:tc>
        <w:tc>
          <w:tcPr>
            <w:tcW w:w="0" w:type="auto"/>
            <w:hideMark/>
          </w:tcPr>
          <w:p w14:paraId="2DC95474" w14:textId="77777777" w:rsidR="006305E3" w:rsidRPr="00AA22F2" w:rsidRDefault="006305E3" w:rsidP="006305E3">
            <w:pPr>
              <w:cnfStyle w:val="000000000000" w:firstRow="0" w:lastRow="0" w:firstColumn="0" w:lastColumn="0" w:oddVBand="0" w:evenVBand="0" w:oddHBand="0" w:evenHBand="0" w:firstRowFirstColumn="0" w:firstRowLastColumn="0" w:lastRowFirstColumn="0" w:lastRowLastColumn="0"/>
              <w:rPr>
                <w:szCs w:val="20"/>
              </w:rPr>
            </w:pPr>
            <w:r w:rsidRPr="00AA22F2">
              <w:rPr>
                <w:szCs w:val="20"/>
              </w:rPr>
              <w:t>Continue</w:t>
            </w:r>
          </w:p>
        </w:tc>
      </w:tr>
      <w:tr w:rsidR="006305E3" w:rsidRPr="006305E3" w14:paraId="31A6DDA8" w14:textId="77777777" w:rsidTr="004637C7">
        <w:tc>
          <w:tcPr>
            <w:cnfStyle w:val="001000000000" w:firstRow="0" w:lastRow="0" w:firstColumn="1" w:lastColumn="0" w:oddVBand="0" w:evenVBand="0" w:oddHBand="0" w:evenHBand="0" w:firstRowFirstColumn="0" w:firstRowLastColumn="0" w:lastRowFirstColumn="0" w:lastRowLastColumn="0"/>
            <w:tcW w:w="0" w:type="auto"/>
            <w:vMerge/>
            <w:hideMark/>
          </w:tcPr>
          <w:p w14:paraId="322107B6" w14:textId="77777777" w:rsidR="006305E3" w:rsidRPr="00AA22F2" w:rsidRDefault="006305E3" w:rsidP="006305E3">
            <w:pPr>
              <w:rPr>
                <w:szCs w:val="20"/>
              </w:rPr>
            </w:pPr>
          </w:p>
        </w:tc>
        <w:tc>
          <w:tcPr>
            <w:tcW w:w="0" w:type="auto"/>
            <w:vMerge/>
            <w:hideMark/>
          </w:tcPr>
          <w:p w14:paraId="3831B06D" w14:textId="77777777" w:rsidR="006305E3" w:rsidRPr="00AA22F2" w:rsidRDefault="006305E3" w:rsidP="006305E3">
            <w:pPr>
              <w:cnfStyle w:val="000000000000" w:firstRow="0" w:lastRow="0" w:firstColumn="0" w:lastColumn="0" w:oddVBand="0" w:evenVBand="0" w:oddHBand="0" w:evenHBand="0" w:firstRowFirstColumn="0" w:firstRowLastColumn="0" w:lastRowFirstColumn="0" w:lastRowLastColumn="0"/>
              <w:rPr>
                <w:szCs w:val="20"/>
              </w:rPr>
            </w:pPr>
          </w:p>
        </w:tc>
        <w:tc>
          <w:tcPr>
            <w:tcW w:w="0" w:type="auto"/>
            <w:shd w:val="clear" w:color="auto" w:fill="D9E2F3" w:themeFill="accent1" w:themeFillTint="33"/>
            <w:hideMark/>
          </w:tcPr>
          <w:p w14:paraId="654A213C" w14:textId="77777777" w:rsidR="006305E3" w:rsidRPr="00AA22F2" w:rsidRDefault="006305E3" w:rsidP="006305E3">
            <w:pPr>
              <w:cnfStyle w:val="000000000000" w:firstRow="0" w:lastRow="0" w:firstColumn="0" w:lastColumn="0" w:oddVBand="0" w:evenVBand="0" w:oddHBand="0" w:evenHBand="0" w:firstRowFirstColumn="0" w:firstRowLastColumn="0" w:lastRowFirstColumn="0" w:lastRowLastColumn="0"/>
              <w:rPr>
                <w:szCs w:val="20"/>
              </w:rPr>
            </w:pPr>
            <w:r w:rsidRPr="00AA22F2">
              <w:rPr>
                <w:b/>
                <w:bCs/>
                <w:szCs w:val="20"/>
              </w:rPr>
              <w:t>Intensité</w:t>
            </w:r>
          </w:p>
        </w:tc>
        <w:tc>
          <w:tcPr>
            <w:tcW w:w="0" w:type="auto"/>
            <w:shd w:val="clear" w:color="auto" w:fill="D9E2F3" w:themeFill="accent1" w:themeFillTint="33"/>
            <w:hideMark/>
          </w:tcPr>
          <w:p w14:paraId="67E9DA41" w14:textId="77777777" w:rsidR="006305E3" w:rsidRPr="00AA22F2" w:rsidRDefault="006305E3" w:rsidP="006305E3">
            <w:pPr>
              <w:cnfStyle w:val="000000000000" w:firstRow="0" w:lastRow="0" w:firstColumn="0" w:lastColumn="0" w:oddVBand="0" w:evenVBand="0" w:oddHBand="0" w:evenHBand="0" w:firstRowFirstColumn="0" w:firstRowLastColumn="0" w:lastRowFirstColumn="0" w:lastRowLastColumn="0"/>
              <w:rPr>
                <w:szCs w:val="20"/>
              </w:rPr>
            </w:pPr>
            <w:r w:rsidRPr="00AA22F2">
              <w:rPr>
                <w:szCs w:val="20"/>
              </w:rPr>
              <w:t>Risque de fatigue psychologique, irritabilité, baisse de performance</w:t>
            </w:r>
          </w:p>
        </w:tc>
        <w:tc>
          <w:tcPr>
            <w:tcW w:w="0" w:type="auto"/>
            <w:shd w:val="clear" w:color="auto" w:fill="D9E2F3" w:themeFill="accent1" w:themeFillTint="33"/>
            <w:hideMark/>
          </w:tcPr>
          <w:p w14:paraId="1166D931" w14:textId="77777777" w:rsidR="006305E3" w:rsidRPr="00AA22F2" w:rsidRDefault="006305E3" w:rsidP="006305E3">
            <w:pPr>
              <w:cnfStyle w:val="000000000000" w:firstRow="0" w:lastRow="0" w:firstColumn="0" w:lastColumn="0" w:oddVBand="0" w:evenVBand="0" w:oddHBand="0" w:evenHBand="0" w:firstRowFirstColumn="0" w:firstRowLastColumn="0" w:lastRowFirstColumn="0" w:lastRowLastColumn="0"/>
              <w:rPr>
                <w:szCs w:val="20"/>
              </w:rPr>
            </w:pPr>
            <w:r w:rsidRPr="00AA22F2">
              <w:rPr>
                <w:szCs w:val="20"/>
              </w:rPr>
              <w:t>Moyenne</w:t>
            </w:r>
          </w:p>
        </w:tc>
      </w:tr>
      <w:tr w:rsidR="006305E3" w:rsidRPr="006305E3" w14:paraId="5CA2B0D2" w14:textId="77777777" w:rsidTr="005A7661">
        <w:tc>
          <w:tcPr>
            <w:cnfStyle w:val="001000000000" w:firstRow="0" w:lastRow="0" w:firstColumn="1" w:lastColumn="0" w:oddVBand="0" w:evenVBand="0" w:oddHBand="0" w:evenHBand="0" w:firstRowFirstColumn="0" w:firstRowLastColumn="0" w:lastRowFirstColumn="0" w:lastRowLastColumn="0"/>
            <w:tcW w:w="0" w:type="auto"/>
            <w:vMerge/>
          </w:tcPr>
          <w:p w14:paraId="511E0FC3" w14:textId="77777777" w:rsidR="006305E3" w:rsidRPr="00AA22F2" w:rsidRDefault="006305E3" w:rsidP="006305E3">
            <w:pPr>
              <w:rPr>
                <w:szCs w:val="20"/>
              </w:rPr>
            </w:pPr>
          </w:p>
        </w:tc>
        <w:tc>
          <w:tcPr>
            <w:tcW w:w="0" w:type="auto"/>
            <w:gridSpan w:val="4"/>
          </w:tcPr>
          <w:p w14:paraId="5E862E14" w14:textId="77777777" w:rsidR="006305E3" w:rsidRPr="00AA22F2" w:rsidRDefault="006305E3" w:rsidP="004637C7">
            <w:pPr>
              <w:spacing w:before="0" w:after="0"/>
              <w:cnfStyle w:val="000000000000" w:firstRow="0" w:lastRow="0" w:firstColumn="0" w:lastColumn="0" w:oddVBand="0" w:evenVBand="0" w:oddHBand="0" w:evenHBand="0" w:firstRowFirstColumn="0" w:firstRowLastColumn="0" w:lastRowFirstColumn="0" w:lastRowLastColumn="0"/>
              <w:rPr>
                <w:szCs w:val="20"/>
              </w:rPr>
            </w:pPr>
          </w:p>
        </w:tc>
      </w:tr>
      <w:tr w:rsidR="006305E3" w:rsidRPr="006305E3" w14:paraId="0379B764" w14:textId="77777777" w:rsidTr="004637C7">
        <w:tc>
          <w:tcPr>
            <w:cnfStyle w:val="001000000000" w:firstRow="0" w:lastRow="0" w:firstColumn="1" w:lastColumn="0" w:oddVBand="0" w:evenVBand="0" w:oddHBand="0" w:evenHBand="0" w:firstRowFirstColumn="0" w:firstRowLastColumn="0" w:lastRowFirstColumn="0" w:lastRowLastColumn="0"/>
            <w:tcW w:w="0" w:type="auto"/>
            <w:vMerge/>
          </w:tcPr>
          <w:p w14:paraId="68665648" w14:textId="77777777" w:rsidR="006305E3" w:rsidRPr="00AA22F2" w:rsidRDefault="006305E3" w:rsidP="006305E3">
            <w:pPr>
              <w:rPr>
                <w:szCs w:val="20"/>
              </w:rPr>
            </w:pPr>
          </w:p>
        </w:tc>
        <w:tc>
          <w:tcPr>
            <w:tcW w:w="0" w:type="auto"/>
            <w:shd w:val="clear" w:color="auto" w:fill="8EAADB" w:themeFill="accent1" w:themeFillTint="99"/>
            <w:vAlign w:val="center"/>
          </w:tcPr>
          <w:p w14:paraId="3908FADF" w14:textId="165E797B" w:rsidR="006305E3" w:rsidRPr="004637C7" w:rsidRDefault="006305E3" w:rsidP="006305E3">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4637C7">
              <w:rPr>
                <w:rFonts w:asciiTheme="minorHAnsi" w:hAnsiTheme="minorHAnsi" w:cstheme="minorHAnsi"/>
                <w:b/>
                <w:bCs/>
                <w:szCs w:val="20"/>
                <w:lang w:eastAsia="fr-FR" w:bidi="ar-SA"/>
              </w:rPr>
              <w:t>Intensité de l’impact</w:t>
            </w:r>
          </w:p>
        </w:tc>
        <w:tc>
          <w:tcPr>
            <w:tcW w:w="0" w:type="auto"/>
            <w:shd w:val="clear" w:color="auto" w:fill="8EAADB" w:themeFill="accent1" w:themeFillTint="99"/>
            <w:vAlign w:val="center"/>
          </w:tcPr>
          <w:p w14:paraId="288D1A60" w14:textId="41672924" w:rsidR="006305E3" w:rsidRPr="004637C7" w:rsidRDefault="006305E3" w:rsidP="006305E3">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Cs w:val="20"/>
              </w:rPr>
            </w:pPr>
            <w:r w:rsidRPr="004637C7">
              <w:rPr>
                <w:rFonts w:asciiTheme="minorHAnsi" w:hAnsiTheme="minorHAnsi" w:cstheme="minorHAnsi"/>
                <w:b/>
                <w:bCs/>
                <w:szCs w:val="20"/>
                <w:lang w:eastAsia="fr-FR" w:bidi="ar-SA"/>
              </w:rPr>
              <w:t>Récepteurs</w:t>
            </w:r>
          </w:p>
        </w:tc>
        <w:tc>
          <w:tcPr>
            <w:tcW w:w="0" w:type="auto"/>
            <w:shd w:val="clear" w:color="auto" w:fill="8EAADB" w:themeFill="accent1" w:themeFillTint="99"/>
            <w:vAlign w:val="center"/>
          </w:tcPr>
          <w:p w14:paraId="483994CA" w14:textId="2DA23288" w:rsidR="006305E3" w:rsidRPr="004637C7" w:rsidRDefault="006305E3" w:rsidP="006305E3">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4637C7">
              <w:rPr>
                <w:rFonts w:asciiTheme="minorHAnsi" w:hAnsiTheme="minorHAnsi" w:cstheme="minorHAnsi"/>
                <w:b/>
                <w:bCs/>
                <w:szCs w:val="20"/>
                <w:lang w:eastAsia="fr-FR" w:bidi="ar-SA"/>
              </w:rPr>
              <w:t>Sensibilité</w:t>
            </w:r>
          </w:p>
        </w:tc>
        <w:tc>
          <w:tcPr>
            <w:tcW w:w="0" w:type="auto"/>
            <w:shd w:val="clear" w:color="auto" w:fill="8EAADB" w:themeFill="accent1" w:themeFillTint="99"/>
            <w:vAlign w:val="center"/>
          </w:tcPr>
          <w:p w14:paraId="640DE0E6" w14:textId="427946D3" w:rsidR="006305E3" w:rsidRPr="004637C7" w:rsidRDefault="006305E3" w:rsidP="006305E3">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4637C7">
              <w:rPr>
                <w:rFonts w:asciiTheme="minorHAnsi" w:hAnsiTheme="minorHAnsi" w:cstheme="minorHAnsi"/>
                <w:b/>
                <w:bCs/>
                <w:szCs w:val="20"/>
                <w:lang w:eastAsia="fr-FR" w:bidi="ar-SA"/>
              </w:rPr>
              <w:t>Importance de l’impact</w:t>
            </w:r>
          </w:p>
        </w:tc>
      </w:tr>
      <w:tr w:rsidR="006305E3" w:rsidRPr="006305E3" w14:paraId="0218C7AC" w14:textId="77777777" w:rsidTr="004637C7">
        <w:tc>
          <w:tcPr>
            <w:cnfStyle w:val="001000000000" w:firstRow="0" w:lastRow="0" w:firstColumn="1" w:lastColumn="0" w:oddVBand="0" w:evenVBand="0" w:oddHBand="0" w:evenHBand="0" w:firstRowFirstColumn="0" w:firstRowLastColumn="0" w:lastRowFirstColumn="0" w:lastRowLastColumn="0"/>
            <w:tcW w:w="0" w:type="auto"/>
            <w:vMerge/>
          </w:tcPr>
          <w:p w14:paraId="6F7D3704" w14:textId="77777777" w:rsidR="006305E3" w:rsidRPr="00AA22F2" w:rsidRDefault="006305E3" w:rsidP="006305E3">
            <w:pPr>
              <w:rPr>
                <w:szCs w:val="20"/>
              </w:rPr>
            </w:pPr>
          </w:p>
        </w:tc>
        <w:tc>
          <w:tcPr>
            <w:tcW w:w="0" w:type="auto"/>
            <w:vAlign w:val="center"/>
          </w:tcPr>
          <w:p w14:paraId="31B47D6E" w14:textId="76E77A77" w:rsidR="006305E3" w:rsidRPr="004637C7" w:rsidRDefault="006305E3" w:rsidP="006305E3">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4637C7">
              <w:rPr>
                <w:rFonts w:asciiTheme="minorHAnsi" w:hAnsiTheme="minorHAnsi" w:cstheme="minorHAnsi"/>
                <w:szCs w:val="20"/>
                <w:lang w:eastAsia="fr-FR" w:bidi="ar-SA"/>
              </w:rPr>
              <w:t>Moyenne</w:t>
            </w:r>
          </w:p>
        </w:tc>
        <w:tc>
          <w:tcPr>
            <w:tcW w:w="0" w:type="auto"/>
            <w:vAlign w:val="center"/>
          </w:tcPr>
          <w:p w14:paraId="743CAADE" w14:textId="29522BDB" w:rsidR="006305E3" w:rsidRPr="004637C7" w:rsidRDefault="006305E3" w:rsidP="006305E3">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Cs w:val="20"/>
              </w:rPr>
            </w:pPr>
            <w:r w:rsidRPr="004637C7">
              <w:rPr>
                <w:rFonts w:asciiTheme="minorHAnsi" w:hAnsiTheme="minorHAnsi" w:cstheme="minorHAnsi"/>
                <w:szCs w:val="20"/>
                <w:lang w:eastAsia="fr-FR" w:bidi="ar-SA"/>
              </w:rPr>
              <w:t>Ouvriers, chefs d’équipe, encadrants</w:t>
            </w:r>
          </w:p>
        </w:tc>
        <w:tc>
          <w:tcPr>
            <w:tcW w:w="0" w:type="auto"/>
            <w:vAlign w:val="center"/>
          </w:tcPr>
          <w:p w14:paraId="5673F28B" w14:textId="50693784" w:rsidR="006305E3" w:rsidRPr="004637C7" w:rsidRDefault="006305E3" w:rsidP="006305E3">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4637C7">
              <w:rPr>
                <w:rFonts w:asciiTheme="minorHAnsi" w:hAnsiTheme="minorHAnsi" w:cstheme="minorHAnsi"/>
                <w:szCs w:val="20"/>
                <w:lang w:eastAsia="fr-FR" w:bidi="ar-SA"/>
              </w:rPr>
              <w:t>Moyenne à forte — exposition au stress professionnel</w:t>
            </w:r>
          </w:p>
        </w:tc>
        <w:tc>
          <w:tcPr>
            <w:tcW w:w="0" w:type="auto"/>
            <w:vAlign w:val="center"/>
          </w:tcPr>
          <w:p w14:paraId="392CADEA" w14:textId="6F839D50" w:rsidR="006305E3" w:rsidRPr="004637C7" w:rsidRDefault="006305E3" w:rsidP="006305E3">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4637C7">
              <w:rPr>
                <w:rFonts w:asciiTheme="minorHAnsi" w:hAnsiTheme="minorHAnsi" w:cstheme="minorHAnsi"/>
                <w:szCs w:val="20"/>
                <w:lang w:eastAsia="fr-FR" w:bidi="ar-SA"/>
              </w:rPr>
              <w:t>Modérée à importante</w:t>
            </w:r>
          </w:p>
        </w:tc>
      </w:tr>
    </w:tbl>
    <w:p w14:paraId="22C28D3D" w14:textId="5178AC00" w:rsidR="002731FE" w:rsidRDefault="002731FE" w:rsidP="0001633E">
      <w:pPr>
        <w:pStyle w:val="AltTitle2"/>
        <w:numPr>
          <w:ilvl w:val="0"/>
          <w:numId w:val="106"/>
        </w:numPr>
      </w:pPr>
      <w:r w:rsidRPr="009D0A6F">
        <w:rPr>
          <w:bCs/>
        </w:rPr>
        <w:t>Risque d’accidents</w:t>
      </w:r>
      <w:r w:rsidRPr="002731FE">
        <w:t xml:space="preserve"> dus à la circulation et à la coactivité des engins</w:t>
      </w:r>
    </w:p>
    <w:p w14:paraId="50328EAE" w14:textId="11EBEBD2" w:rsidR="006D4DB8" w:rsidRPr="004637C7" w:rsidRDefault="006D4DB8" w:rsidP="00E20861">
      <w:r w:rsidRPr="004637C7">
        <w:t xml:space="preserve">La présence simultanée d’engins lourds, de camions et d’équipes à pied dans un espace restreint crée un risque élevé de collisions, d’écrasement ou de heurts. Ce risque est direct, continu et hautement probable, de gravité majeure et de criticité élevée. </w:t>
      </w:r>
    </w:p>
    <w:p w14:paraId="671A7334" w14:textId="77777777" w:rsidR="006D4DB8" w:rsidRPr="004637C7" w:rsidRDefault="006D4DB8" w:rsidP="00E20861">
      <w:r w:rsidRPr="004637C7">
        <w:t xml:space="preserve">Les récepteurs les plus sensibles sont les ouvriers au sol, les conducteurs d’engins et les personnels chargés de la signalisation. </w:t>
      </w:r>
    </w:p>
    <w:p w14:paraId="7898FB9B" w14:textId="4C1F4803" w:rsidR="00E20861" w:rsidRDefault="006D4DB8" w:rsidP="00E20861">
      <w:r w:rsidRPr="004637C7">
        <w:t>L’impact est local, limité au périmètre du chantier, mais son occurrence pourrait entraîner des conséquences graves sur la santé physique des travailleurs.</w:t>
      </w:r>
    </w:p>
    <w:tbl>
      <w:tblPr>
        <w:tblStyle w:val="TableauGrille1Clair-Accentuation111"/>
        <w:tblW w:w="0" w:type="auto"/>
        <w:tblLook w:val="04A0" w:firstRow="1" w:lastRow="0" w:firstColumn="1" w:lastColumn="0" w:noHBand="0" w:noVBand="1"/>
      </w:tblPr>
      <w:tblGrid>
        <w:gridCol w:w="1860"/>
        <w:gridCol w:w="2382"/>
        <w:gridCol w:w="1567"/>
        <w:gridCol w:w="2242"/>
        <w:gridCol w:w="1009"/>
      </w:tblGrid>
      <w:tr w:rsidR="00247BC4" w:rsidRPr="00247BC4" w14:paraId="7DB6C347" w14:textId="77777777" w:rsidTr="004637C7">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0" w:type="auto"/>
            <w:hideMark/>
          </w:tcPr>
          <w:p w14:paraId="7FE7C8EA" w14:textId="77777777" w:rsidR="00247BC4" w:rsidRPr="00AA22F2" w:rsidRDefault="00247BC4" w:rsidP="00247BC4">
            <w:pPr>
              <w:rPr>
                <w:szCs w:val="20"/>
              </w:rPr>
            </w:pPr>
            <w:r w:rsidRPr="00AA22F2">
              <w:rPr>
                <w:szCs w:val="20"/>
              </w:rPr>
              <w:t>Risque</w:t>
            </w:r>
          </w:p>
        </w:tc>
        <w:tc>
          <w:tcPr>
            <w:tcW w:w="0" w:type="auto"/>
            <w:hideMark/>
          </w:tcPr>
          <w:p w14:paraId="7A13BD8E" w14:textId="77777777" w:rsidR="00247BC4" w:rsidRPr="00AA22F2" w:rsidRDefault="00247BC4" w:rsidP="00247BC4">
            <w:pPr>
              <w:cnfStyle w:val="100000000000" w:firstRow="1" w:lastRow="0" w:firstColumn="0" w:lastColumn="0" w:oddVBand="0" w:evenVBand="0" w:oddHBand="0" w:evenHBand="0" w:firstRowFirstColumn="0" w:firstRowLastColumn="0" w:lastRowFirstColumn="0" w:lastRowLastColumn="0"/>
              <w:rPr>
                <w:szCs w:val="20"/>
              </w:rPr>
            </w:pPr>
            <w:r w:rsidRPr="00AA22F2">
              <w:rPr>
                <w:szCs w:val="20"/>
              </w:rPr>
              <w:t>Activités génératrices</w:t>
            </w:r>
          </w:p>
        </w:tc>
        <w:tc>
          <w:tcPr>
            <w:tcW w:w="0" w:type="auto"/>
            <w:hideMark/>
          </w:tcPr>
          <w:p w14:paraId="625BD6DC" w14:textId="77777777" w:rsidR="00247BC4" w:rsidRPr="00AA22F2" w:rsidRDefault="00247BC4" w:rsidP="00247BC4">
            <w:pPr>
              <w:cnfStyle w:val="100000000000" w:firstRow="1" w:lastRow="0" w:firstColumn="0" w:lastColumn="0" w:oddVBand="0" w:evenVBand="0" w:oddHBand="0" w:evenHBand="0" w:firstRowFirstColumn="0" w:firstRowLastColumn="0" w:lastRowFirstColumn="0" w:lastRowLastColumn="0"/>
              <w:rPr>
                <w:szCs w:val="20"/>
              </w:rPr>
            </w:pPr>
            <w:r w:rsidRPr="00AA22F2">
              <w:rPr>
                <w:szCs w:val="20"/>
              </w:rPr>
              <w:t>Critère</w:t>
            </w:r>
          </w:p>
        </w:tc>
        <w:tc>
          <w:tcPr>
            <w:tcW w:w="0" w:type="auto"/>
            <w:hideMark/>
          </w:tcPr>
          <w:p w14:paraId="784EB3E0" w14:textId="77777777" w:rsidR="00247BC4" w:rsidRPr="00AA22F2" w:rsidRDefault="00247BC4" w:rsidP="00247BC4">
            <w:pPr>
              <w:cnfStyle w:val="100000000000" w:firstRow="1" w:lastRow="0" w:firstColumn="0" w:lastColumn="0" w:oddVBand="0" w:evenVBand="0" w:oddHBand="0" w:evenHBand="0" w:firstRowFirstColumn="0" w:firstRowLastColumn="0" w:lastRowFirstColumn="0" w:lastRowLastColumn="0"/>
              <w:rPr>
                <w:szCs w:val="20"/>
              </w:rPr>
            </w:pPr>
            <w:r w:rsidRPr="00AA22F2">
              <w:rPr>
                <w:szCs w:val="20"/>
              </w:rPr>
              <w:t>Justification</w:t>
            </w:r>
          </w:p>
        </w:tc>
        <w:tc>
          <w:tcPr>
            <w:tcW w:w="0" w:type="auto"/>
            <w:hideMark/>
          </w:tcPr>
          <w:p w14:paraId="7E577F2C" w14:textId="77777777" w:rsidR="00247BC4" w:rsidRPr="00AA22F2" w:rsidRDefault="00247BC4" w:rsidP="00247BC4">
            <w:pPr>
              <w:cnfStyle w:val="100000000000" w:firstRow="1" w:lastRow="0" w:firstColumn="0" w:lastColumn="0" w:oddVBand="0" w:evenVBand="0" w:oddHBand="0" w:evenHBand="0" w:firstRowFirstColumn="0" w:firstRowLastColumn="0" w:lastRowFirstColumn="0" w:lastRowLastColumn="0"/>
              <w:rPr>
                <w:szCs w:val="20"/>
              </w:rPr>
            </w:pPr>
            <w:r w:rsidRPr="00AA22F2">
              <w:rPr>
                <w:szCs w:val="20"/>
              </w:rPr>
              <w:t>Niveau</w:t>
            </w:r>
          </w:p>
        </w:tc>
      </w:tr>
      <w:tr w:rsidR="00247BC4" w:rsidRPr="00247BC4" w14:paraId="267A7AE5" w14:textId="77777777" w:rsidTr="00247BC4">
        <w:tc>
          <w:tcPr>
            <w:cnfStyle w:val="001000000000" w:firstRow="0" w:lastRow="0" w:firstColumn="1" w:lastColumn="0" w:oddVBand="0" w:evenVBand="0" w:oddHBand="0" w:evenHBand="0" w:firstRowFirstColumn="0" w:firstRowLastColumn="0" w:lastRowFirstColumn="0" w:lastRowLastColumn="0"/>
            <w:tcW w:w="0" w:type="auto"/>
            <w:vMerge w:val="restart"/>
            <w:hideMark/>
          </w:tcPr>
          <w:p w14:paraId="676E6437" w14:textId="60B31900" w:rsidR="00247BC4" w:rsidRPr="00AA22F2" w:rsidRDefault="00247BC4" w:rsidP="00247BC4">
            <w:pPr>
              <w:rPr>
                <w:szCs w:val="20"/>
              </w:rPr>
            </w:pPr>
            <w:r w:rsidRPr="00247BC4">
              <w:rPr>
                <w:szCs w:val="20"/>
              </w:rPr>
              <w:t>Risque d’accidents dus à la circulation et à la coactivité des engins</w:t>
            </w:r>
          </w:p>
        </w:tc>
        <w:tc>
          <w:tcPr>
            <w:tcW w:w="0" w:type="auto"/>
            <w:vMerge w:val="restart"/>
            <w:hideMark/>
          </w:tcPr>
          <w:p w14:paraId="110781B4" w14:textId="77777777" w:rsidR="00247BC4" w:rsidRPr="00AA22F2" w:rsidRDefault="00247BC4" w:rsidP="00247BC4">
            <w:pPr>
              <w:cnfStyle w:val="000000000000" w:firstRow="0" w:lastRow="0" w:firstColumn="0" w:lastColumn="0" w:oddVBand="0" w:evenVBand="0" w:oddHBand="0" w:evenHBand="0" w:firstRowFirstColumn="0" w:firstRowLastColumn="0" w:lastRowFirstColumn="0" w:lastRowLastColumn="0"/>
              <w:rPr>
                <w:szCs w:val="20"/>
              </w:rPr>
            </w:pPr>
            <w:r w:rsidRPr="00AA22F2">
              <w:rPr>
                <w:szCs w:val="20"/>
              </w:rPr>
              <w:t xml:space="preserve">Circulation d’engins lourds, manœuvres simultanées, absence de </w:t>
            </w:r>
            <w:r w:rsidRPr="00AA22F2">
              <w:rPr>
                <w:szCs w:val="20"/>
              </w:rPr>
              <w:lastRenderedPageBreak/>
              <w:t>séparation claire des zones de travail</w:t>
            </w:r>
          </w:p>
        </w:tc>
        <w:tc>
          <w:tcPr>
            <w:tcW w:w="0" w:type="auto"/>
            <w:hideMark/>
          </w:tcPr>
          <w:p w14:paraId="68078332" w14:textId="77777777" w:rsidR="00247BC4" w:rsidRPr="00AA22F2" w:rsidRDefault="00247BC4" w:rsidP="00247BC4">
            <w:pPr>
              <w:cnfStyle w:val="000000000000" w:firstRow="0" w:lastRow="0" w:firstColumn="0" w:lastColumn="0" w:oddVBand="0" w:evenVBand="0" w:oddHBand="0" w:evenHBand="0" w:firstRowFirstColumn="0" w:firstRowLastColumn="0" w:lastRowFirstColumn="0" w:lastRowLastColumn="0"/>
              <w:rPr>
                <w:szCs w:val="20"/>
              </w:rPr>
            </w:pPr>
            <w:r w:rsidRPr="00AA22F2">
              <w:rPr>
                <w:b/>
                <w:bCs/>
                <w:szCs w:val="20"/>
              </w:rPr>
              <w:lastRenderedPageBreak/>
              <w:t>Probabilité d’occurrence</w:t>
            </w:r>
          </w:p>
        </w:tc>
        <w:tc>
          <w:tcPr>
            <w:tcW w:w="0" w:type="auto"/>
            <w:hideMark/>
          </w:tcPr>
          <w:p w14:paraId="034106D6" w14:textId="77777777" w:rsidR="00247BC4" w:rsidRPr="00AA22F2" w:rsidRDefault="00247BC4" w:rsidP="00247BC4">
            <w:pPr>
              <w:cnfStyle w:val="000000000000" w:firstRow="0" w:lastRow="0" w:firstColumn="0" w:lastColumn="0" w:oddVBand="0" w:evenVBand="0" w:oddHBand="0" w:evenHBand="0" w:firstRowFirstColumn="0" w:firstRowLastColumn="0" w:lastRowFirstColumn="0" w:lastRowLastColumn="0"/>
              <w:rPr>
                <w:szCs w:val="20"/>
              </w:rPr>
            </w:pPr>
            <w:r w:rsidRPr="00AA22F2">
              <w:rPr>
                <w:szCs w:val="20"/>
              </w:rPr>
              <w:t>Risque fréquent lié à la coactivité d’engins et d’ouvriers sur un espace restreint</w:t>
            </w:r>
          </w:p>
        </w:tc>
        <w:tc>
          <w:tcPr>
            <w:tcW w:w="0" w:type="auto"/>
            <w:hideMark/>
          </w:tcPr>
          <w:p w14:paraId="70AFE1E8" w14:textId="77777777" w:rsidR="00247BC4" w:rsidRPr="00AA22F2" w:rsidRDefault="00247BC4" w:rsidP="00247BC4">
            <w:pPr>
              <w:cnfStyle w:val="000000000000" w:firstRow="0" w:lastRow="0" w:firstColumn="0" w:lastColumn="0" w:oddVBand="0" w:evenVBand="0" w:oddHBand="0" w:evenHBand="0" w:firstRowFirstColumn="0" w:firstRowLastColumn="0" w:lastRowFirstColumn="0" w:lastRowLastColumn="0"/>
              <w:rPr>
                <w:szCs w:val="20"/>
              </w:rPr>
            </w:pPr>
            <w:r w:rsidRPr="00AA22F2">
              <w:rPr>
                <w:szCs w:val="20"/>
              </w:rPr>
              <w:t>Très probable</w:t>
            </w:r>
          </w:p>
        </w:tc>
      </w:tr>
      <w:tr w:rsidR="00247BC4" w:rsidRPr="00247BC4" w14:paraId="0FF05BC9" w14:textId="77777777" w:rsidTr="00247BC4">
        <w:tc>
          <w:tcPr>
            <w:cnfStyle w:val="001000000000" w:firstRow="0" w:lastRow="0" w:firstColumn="1" w:lastColumn="0" w:oddVBand="0" w:evenVBand="0" w:oddHBand="0" w:evenHBand="0" w:firstRowFirstColumn="0" w:firstRowLastColumn="0" w:lastRowFirstColumn="0" w:lastRowLastColumn="0"/>
            <w:tcW w:w="0" w:type="auto"/>
            <w:vMerge/>
            <w:hideMark/>
          </w:tcPr>
          <w:p w14:paraId="43C9661A" w14:textId="77777777" w:rsidR="00247BC4" w:rsidRPr="00AA22F2" w:rsidRDefault="00247BC4" w:rsidP="00247BC4">
            <w:pPr>
              <w:rPr>
                <w:szCs w:val="20"/>
              </w:rPr>
            </w:pPr>
          </w:p>
        </w:tc>
        <w:tc>
          <w:tcPr>
            <w:tcW w:w="0" w:type="auto"/>
            <w:vMerge/>
            <w:hideMark/>
          </w:tcPr>
          <w:p w14:paraId="205ED527" w14:textId="77777777" w:rsidR="00247BC4" w:rsidRPr="00AA22F2" w:rsidRDefault="00247BC4" w:rsidP="00247BC4">
            <w:pPr>
              <w:cnfStyle w:val="000000000000" w:firstRow="0" w:lastRow="0" w:firstColumn="0" w:lastColumn="0" w:oddVBand="0" w:evenVBand="0" w:oddHBand="0" w:evenHBand="0" w:firstRowFirstColumn="0" w:firstRowLastColumn="0" w:lastRowFirstColumn="0" w:lastRowLastColumn="0"/>
              <w:rPr>
                <w:szCs w:val="20"/>
              </w:rPr>
            </w:pPr>
          </w:p>
        </w:tc>
        <w:tc>
          <w:tcPr>
            <w:tcW w:w="0" w:type="auto"/>
            <w:hideMark/>
          </w:tcPr>
          <w:p w14:paraId="71240D9C" w14:textId="77777777" w:rsidR="00247BC4" w:rsidRPr="00AA22F2" w:rsidRDefault="00247BC4" w:rsidP="00247BC4">
            <w:pPr>
              <w:cnfStyle w:val="000000000000" w:firstRow="0" w:lastRow="0" w:firstColumn="0" w:lastColumn="0" w:oddVBand="0" w:evenVBand="0" w:oddHBand="0" w:evenHBand="0" w:firstRowFirstColumn="0" w:firstRowLastColumn="0" w:lastRowFirstColumn="0" w:lastRowLastColumn="0"/>
              <w:rPr>
                <w:szCs w:val="20"/>
              </w:rPr>
            </w:pPr>
            <w:r w:rsidRPr="00AA22F2">
              <w:rPr>
                <w:b/>
                <w:bCs/>
                <w:szCs w:val="20"/>
              </w:rPr>
              <w:t>Gravité des conséquences</w:t>
            </w:r>
          </w:p>
        </w:tc>
        <w:tc>
          <w:tcPr>
            <w:tcW w:w="0" w:type="auto"/>
            <w:hideMark/>
          </w:tcPr>
          <w:p w14:paraId="0F2B0EB7" w14:textId="77777777" w:rsidR="00247BC4" w:rsidRPr="00AA22F2" w:rsidRDefault="00247BC4" w:rsidP="00247BC4">
            <w:pPr>
              <w:cnfStyle w:val="000000000000" w:firstRow="0" w:lastRow="0" w:firstColumn="0" w:lastColumn="0" w:oddVBand="0" w:evenVBand="0" w:oddHBand="0" w:evenHBand="0" w:firstRowFirstColumn="0" w:firstRowLastColumn="0" w:lastRowFirstColumn="0" w:lastRowLastColumn="0"/>
              <w:rPr>
                <w:szCs w:val="20"/>
              </w:rPr>
            </w:pPr>
            <w:r w:rsidRPr="00AA22F2">
              <w:rPr>
                <w:szCs w:val="20"/>
              </w:rPr>
              <w:t>Possibilité d’écrasement, de collision ou de blessures graves</w:t>
            </w:r>
          </w:p>
        </w:tc>
        <w:tc>
          <w:tcPr>
            <w:tcW w:w="0" w:type="auto"/>
            <w:hideMark/>
          </w:tcPr>
          <w:p w14:paraId="01E02B78" w14:textId="77777777" w:rsidR="00247BC4" w:rsidRPr="00AA22F2" w:rsidRDefault="00247BC4" w:rsidP="00247BC4">
            <w:pPr>
              <w:cnfStyle w:val="000000000000" w:firstRow="0" w:lastRow="0" w:firstColumn="0" w:lastColumn="0" w:oddVBand="0" w:evenVBand="0" w:oddHBand="0" w:evenHBand="0" w:firstRowFirstColumn="0" w:firstRowLastColumn="0" w:lastRowFirstColumn="0" w:lastRowLastColumn="0"/>
              <w:rPr>
                <w:szCs w:val="20"/>
              </w:rPr>
            </w:pPr>
            <w:r w:rsidRPr="00AA22F2">
              <w:rPr>
                <w:szCs w:val="20"/>
              </w:rPr>
              <w:t>Majeure</w:t>
            </w:r>
          </w:p>
        </w:tc>
      </w:tr>
      <w:tr w:rsidR="00247BC4" w:rsidRPr="00247BC4" w14:paraId="4FCDCA6C" w14:textId="77777777" w:rsidTr="00247BC4">
        <w:tc>
          <w:tcPr>
            <w:cnfStyle w:val="001000000000" w:firstRow="0" w:lastRow="0" w:firstColumn="1" w:lastColumn="0" w:oddVBand="0" w:evenVBand="0" w:oddHBand="0" w:evenHBand="0" w:firstRowFirstColumn="0" w:firstRowLastColumn="0" w:lastRowFirstColumn="0" w:lastRowLastColumn="0"/>
            <w:tcW w:w="0" w:type="auto"/>
            <w:vMerge/>
            <w:hideMark/>
          </w:tcPr>
          <w:p w14:paraId="12FDE28D" w14:textId="77777777" w:rsidR="00247BC4" w:rsidRPr="00AA22F2" w:rsidRDefault="00247BC4" w:rsidP="00247BC4">
            <w:pPr>
              <w:rPr>
                <w:szCs w:val="20"/>
              </w:rPr>
            </w:pPr>
          </w:p>
        </w:tc>
        <w:tc>
          <w:tcPr>
            <w:tcW w:w="0" w:type="auto"/>
            <w:vMerge/>
            <w:hideMark/>
          </w:tcPr>
          <w:p w14:paraId="30E8EC01" w14:textId="77777777" w:rsidR="00247BC4" w:rsidRPr="00AA22F2" w:rsidRDefault="00247BC4" w:rsidP="00247BC4">
            <w:pPr>
              <w:cnfStyle w:val="000000000000" w:firstRow="0" w:lastRow="0" w:firstColumn="0" w:lastColumn="0" w:oddVBand="0" w:evenVBand="0" w:oddHBand="0" w:evenHBand="0" w:firstRowFirstColumn="0" w:firstRowLastColumn="0" w:lastRowFirstColumn="0" w:lastRowLastColumn="0"/>
              <w:rPr>
                <w:szCs w:val="20"/>
              </w:rPr>
            </w:pPr>
          </w:p>
        </w:tc>
        <w:tc>
          <w:tcPr>
            <w:tcW w:w="0" w:type="auto"/>
            <w:hideMark/>
          </w:tcPr>
          <w:p w14:paraId="72B29F5A" w14:textId="77777777" w:rsidR="00247BC4" w:rsidRPr="00AA22F2" w:rsidRDefault="00247BC4" w:rsidP="00247BC4">
            <w:pPr>
              <w:cnfStyle w:val="000000000000" w:firstRow="0" w:lastRow="0" w:firstColumn="0" w:lastColumn="0" w:oddVBand="0" w:evenVBand="0" w:oddHBand="0" w:evenHBand="0" w:firstRowFirstColumn="0" w:firstRowLastColumn="0" w:lastRowFirstColumn="0" w:lastRowLastColumn="0"/>
              <w:rPr>
                <w:szCs w:val="20"/>
              </w:rPr>
            </w:pPr>
            <w:r w:rsidRPr="00AA22F2">
              <w:rPr>
                <w:b/>
                <w:bCs/>
                <w:szCs w:val="20"/>
              </w:rPr>
              <w:t>Évaluation globale du risque</w:t>
            </w:r>
          </w:p>
        </w:tc>
        <w:tc>
          <w:tcPr>
            <w:tcW w:w="0" w:type="auto"/>
            <w:hideMark/>
          </w:tcPr>
          <w:p w14:paraId="49983A5A" w14:textId="77777777" w:rsidR="00247BC4" w:rsidRPr="00AA22F2" w:rsidRDefault="00247BC4" w:rsidP="00247BC4">
            <w:pPr>
              <w:cnfStyle w:val="000000000000" w:firstRow="0" w:lastRow="0" w:firstColumn="0" w:lastColumn="0" w:oddVBand="0" w:evenVBand="0" w:oddHBand="0" w:evenHBand="0" w:firstRowFirstColumn="0" w:firstRowLastColumn="0" w:lastRowFirstColumn="0" w:lastRowLastColumn="0"/>
              <w:rPr>
                <w:szCs w:val="20"/>
              </w:rPr>
            </w:pPr>
            <w:r w:rsidRPr="00AA22F2">
              <w:rPr>
                <w:szCs w:val="20"/>
              </w:rPr>
              <w:t>Risque critique exigeant une gestion stricte des déplacements et zones de sécurité</w:t>
            </w:r>
          </w:p>
        </w:tc>
        <w:tc>
          <w:tcPr>
            <w:tcW w:w="0" w:type="auto"/>
            <w:hideMark/>
          </w:tcPr>
          <w:p w14:paraId="700375DE" w14:textId="77777777" w:rsidR="00247BC4" w:rsidRPr="00AA22F2" w:rsidRDefault="00247BC4" w:rsidP="00247BC4">
            <w:pPr>
              <w:cnfStyle w:val="000000000000" w:firstRow="0" w:lastRow="0" w:firstColumn="0" w:lastColumn="0" w:oddVBand="0" w:evenVBand="0" w:oddHBand="0" w:evenHBand="0" w:firstRowFirstColumn="0" w:firstRowLastColumn="0" w:lastRowFirstColumn="0" w:lastRowLastColumn="0"/>
              <w:rPr>
                <w:szCs w:val="20"/>
              </w:rPr>
            </w:pPr>
            <w:r w:rsidRPr="00AA22F2">
              <w:rPr>
                <w:szCs w:val="20"/>
              </w:rPr>
              <w:t>Critique</w:t>
            </w:r>
          </w:p>
        </w:tc>
      </w:tr>
    </w:tbl>
    <w:p w14:paraId="1FF95090" w14:textId="4842AC40" w:rsidR="00E20861" w:rsidRPr="0074162C" w:rsidRDefault="00065104" w:rsidP="0001633E">
      <w:pPr>
        <w:pStyle w:val="AltTitle2"/>
        <w:numPr>
          <w:ilvl w:val="0"/>
          <w:numId w:val="106"/>
        </w:numPr>
      </w:pPr>
      <w:r>
        <w:t>Risque de c</w:t>
      </w:r>
      <w:r w:rsidR="00E20861" w:rsidRPr="0074162C">
        <w:t>hutes et effondrements liés aux travaux en hauteur</w:t>
      </w:r>
    </w:p>
    <w:p w14:paraId="66A20037" w14:textId="77777777" w:rsidR="009D0A6F" w:rsidRDefault="009D0A6F" w:rsidP="00E20861">
      <w:r w:rsidRPr="009D0A6F">
        <w:t xml:space="preserve">Les activités de montage, de coffrage ou de manutention d’équipements comportent un risque de chute, particulièrement lors de l’installation de structures temporaires ou d’équipements techniques. </w:t>
      </w:r>
    </w:p>
    <w:p w14:paraId="3A94637A" w14:textId="5E2C5ABD" w:rsidR="00E20861" w:rsidRDefault="009D0A6F" w:rsidP="00E20861">
      <w:r w:rsidRPr="009D0A6F">
        <w:t xml:space="preserve">Le risque est </w:t>
      </w:r>
      <w:r w:rsidRPr="004637C7">
        <w:t>occasionnel à probable</w:t>
      </w:r>
      <w:r w:rsidRPr="0074162C">
        <w:t xml:space="preserve">, de </w:t>
      </w:r>
      <w:r w:rsidRPr="004637C7">
        <w:t>gravité majeure</w:t>
      </w:r>
      <w:r w:rsidRPr="0074162C">
        <w:t xml:space="preserve">, et de </w:t>
      </w:r>
      <w:r w:rsidRPr="004637C7">
        <w:t>criticité élevée</w:t>
      </w:r>
      <w:r w:rsidRPr="0074162C">
        <w:t xml:space="preserve">. </w:t>
      </w:r>
      <w:r w:rsidRPr="009D0A6F">
        <w:t>Les travailleurs intervenant en hauteur, notamment les techniciens et monteurs, constituent les récepteurs les plus sensibles. L’impact reste spatialement limité au chantier, mais ses effets peuvent être graves, voire irréversibles.</w:t>
      </w:r>
    </w:p>
    <w:tbl>
      <w:tblPr>
        <w:tblStyle w:val="TableauGrille1Clair-Accentuation111"/>
        <w:tblW w:w="0" w:type="auto"/>
        <w:tblLook w:val="04A0" w:firstRow="1" w:lastRow="0" w:firstColumn="1" w:lastColumn="0" w:noHBand="0" w:noVBand="1"/>
      </w:tblPr>
      <w:tblGrid>
        <w:gridCol w:w="2038"/>
        <w:gridCol w:w="2115"/>
        <w:gridCol w:w="1601"/>
        <w:gridCol w:w="2360"/>
        <w:gridCol w:w="946"/>
      </w:tblGrid>
      <w:tr w:rsidR="007256FB" w:rsidRPr="007256FB" w14:paraId="042CE98E" w14:textId="77777777" w:rsidTr="007256F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1E5A47AB" w14:textId="77777777" w:rsidR="00247BC4" w:rsidRPr="00AA22F2" w:rsidRDefault="00247BC4" w:rsidP="00247BC4">
            <w:pPr>
              <w:rPr>
                <w:szCs w:val="20"/>
              </w:rPr>
            </w:pPr>
            <w:r w:rsidRPr="00AA22F2">
              <w:rPr>
                <w:szCs w:val="20"/>
              </w:rPr>
              <w:t>Risque</w:t>
            </w:r>
          </w:p>
        </w:tc>
        <w:tc>
          <w:tcPr>
            <w:tcW w:w="0" w:type="auto"/>
            <w:hideMark/>
          </w:tcPr>
          <w:p w14:paraId="087C2BCA" w14:textId="77777777" w:rsidR="00247BC4" w:rsidRPr="00AA22F2" w:rsidRDefault="00247BC4" w:rsidP="00247BC4">
            <w:pPr>
              <w:cnfStyle w:val="100000000000" w:firstRow="1" w:lastRow="0" w:firstColumn="0" w:lastColumn="0" w:oddVBand="0" w:evenVBand="0" w:oddHBand="0" w:evenHBand="0" w:firstRowFirstColumn="0" w:firstRowLastColumn="0" w:lastRowFirstColumn="0" w:lastRowLastColumn="0"/>
              <w:rPr>
                <w:szCs w:val="20"/>
              </w:rPr>
            </w:pPr>
            <w:r w:rsidRPr="00AA22F2">
              <w:rPr>
                <w:szCs w:val="20"/>
              </w:rPr>
              <w:t>Activités génératrices</w:t>
            </w:r>
          </w:p>
        </w:tc>
        <w:tc>
          <w:tcPr>
            <w:tcW w:w="0" w:type="auto"/>
            <w:hideMark/>
          </w:tcPr>
          <w:p w14:paraId="1EA88E7F" w14:textId="77777777" w:rsidR="00247BC4" w:rsidRPr="00AA22F2" w:rsidRDefault="00247BC4" w:rsidP="00247BC4">
            <w:pPr>
              <w:cnfStyle w:val="100000000000" w:firstRow="1" w:lastRow="0" w:firstColumn="0" w:lastColumn="0" w:oddVBand="0" w:evenVBand="0" w:oddHBand="0" w:evenHBand="0" w:firstRowFirstColumn="0" w:firstRowLastColumn="0" w:lastRowFirstColumn="0" w:lastRowLastColumn="0"/>
              <w:rPr>
                <w:szCs w:val="20"/>
              </w:rPr>
            </w:pPr>
            <w:r w:rsidRPr="00AA22F2">
              <w:rPr>
                <w:szCs w:val="20"/>
              </w:rPr>
              <w:t>Critère</w:t>
            </w:r>
          </w:p>
        </w:tc>
        <w:tc>
          <w:tcPr>
            <w:tcW w:w="0" w:type="auto"/>
            <w:hideMark/>
          </w:tcPr>
          <w:p w14:paraId="436F54C2" w14:textId="77777777" w:rsidR="00247BC4" w:rsidRPr="00AA22F2" w:rsidRDefault="00247BC4" w:rsidP="00247BC4">
            <w:pPr>
              <w:cnfStyle w:val="100000000000" w:firstRow="1" w:lastRow="0" w:firstColumn="0" w:lastColumn="0" w:oddVBand="0" w:evenVBand="0" w:oddHBand="0" w:evenHBand="0" w:firstRowFirstColumn="0" w:firstRowLastColumn="0" w:lastRowFirstColumn="0" w:lastRowLastColumn="0"/>
              <w:rPr>
                <w:szCs w:val="20"/>
              </w:rPr>
            </w:pPr>
            <w:r w:rsidRPr="00AA22F2">
              <w:rPr>
                <w:szCs w:val="20"/>
              </w:rPr>
              <w:t>Justification</w:t>
            </w:r>
          </w:p>
        </w:tc>
        <w:tc>
          <w:tcPr>
            <w:tcW w:w="0" w:type="auto"/>
            <w:hideMark/>
          </w:tcPr>
          <w:p w14:paraId="21138047" w14:textId="77777777" w:rsidR="00247BC4" w:rsidRPr="00AA22F2" w:rsidRDefault="00247BC4" w:rsidP="00247BC4">
            <w:pPr>
              <w:cnfStyle w:val="100000000000" w:firstRow="1" w:lastRow="0" w:firstColumn="0" w:lastColumn="0" w:oddVBand="0" w:evenVBand="0" w:oddHBand="0" w:evenHBand="0" w:firstRowFirstColumn="0" w:firstRowLastColumn="0" w:lastRowFirstColumn="0" w:lastRowLastColumn="0"/>
              <w:rPr>
                <w:szCs w:val="20"/>
              </w:rPr>
            </w:pPr>
            <w:r w:rsidRPr="00AA22F2">
              <w:rPr>
                <w:szCs w:val="20"/>
              </w:rPr>
              <w:t>Niveau</w:t>
            </w:r>
          </w:p>
        </w:tc>
      </w:tr>
      <w:tr w:rsidR="007256FB" w:rsidRPr="007256FB" w14:paraId="25BC43AC" w14:textId="77777777" w:rsidTr="005A7661">
        <w:tc>
          <w:tcPr>
            <w:cnfStyle w:val="001000000000" w:firstRow="0" w:lastRow="0" w:firstColumn="1" w:lastColumn="0" w:oddVBand="0" w:evenVBand="0" w:oddHBand="0" w:evenHBand="0" w:firstRowFirstColumn="0" w:firstRowLastColumn="0" w:lastRowFirstColumn="0" w:lastRowLastColumn="0"/>
            <w:tcW w:w="0" w:type="auto"/>
            <w:vMerge w:val="restart"/>
            <w:hideMark/>
          </w:tcPr>
          <w:p w14:paraId="4A08A42F" w14:textId="0DBC9D8B" w:rsidR="007256FB" w:rsidRPr="00AA22F2" w:rsidRDefault="007256FB" w:rsidP="00247BC4">
            <w:pPr>
              <w:rPr>
                <w:szCs w:val="20"/>
              </w:rPr>
            </w:pPr>
            <w:r w:rsidRPr="00AA22F2">
              <w:rPr>
                <w:szCs w:val="20"/>
              </w:rPr>
              <w:t>Chutes et effondrements liés aux travaux en hauteur</w:t>
            </w:r>
          </w:p>
        </w:tc>
        <w:tc>
          <w:tcPr>
            <w:tcW w:w="0" w:type="auto"/>
            <w:vMerge w:val="restart"/>
            <w:hideMark/>
          </w:tcPr>
          <w:p w14:paraId="488F705F" w14:textId="77777777" w:rsidR="007256FB" w:rsidRPr="004637C7" w:rsidRDefault="007256FB" w:rsidP="00247BC4">
            <w:pPr>
              <w:cnfStyle w:val="000000000000" w:firstRow="0" w:lastRow="0" w:firstColumn="0" w:lastColumn="0" w:oddVBand="0" w:evenVBand="0" w:oddHBand="0" w:evenHBand="0" w:firstRowFirstColumn="0" w:firstRowLastColumn="0" w:lastRowFirstColumn="0" w:lastRowLastColumn="0"/>
              <w:rPr>
                <w:bCs/>
                <w:szCs w:val="20"/>
              </w:rPr>
            </w:pPr>
            <w:r w:rsidRPr="004637C7">
              <w:rPr>
                <w:bCs/>
                <w:szCs w:val="20"/>
              </w:rPr>
              <w:t>Montage, coffrage, manutention d’équipements en hauteur</w:t>
            </w:r>
          </w:p>
        </w:tc>
        <w:tc>
          <w:tcPr>
            <w:tcW w:w="0" w:type="auto"/>
            <w:hideMark/>
          </w:tcPr>
          <w:p w14:paraId="41D6C96C" w14:textId="77777777" w:rsidR="007256FB" w:rsidRPr="00AA22F2" w:rsidRDefault="007256FB" w:rsidP="00247BC4">
            <w:pPr>
              <w:cnfStyle w:val="000000000000" w:firstRow="0" w:lastRow="0" w:firstColumn="0" w:lastColumn="0" w:oddVBand="0" w:evenVBand="0" w:oddHBand="0" w:evenHBand="0" w:firstRowFirstColumn="0" w:firstRowLastColumn="0" w:lastRowFirstColumn="0" w:lastRowLastColumn="0"/>
              <w:rPr>
                <w:b/>
                <w:szCs w:val="20"/>
              </w:rPr>
            </w:pPr>
            <w:r w:rsidRPr="00AA22F2">
              <w:rPr>
                <w:b/>
                <w:bCs/>
                <w:szCs w:val="20"/>
              </w:rPr>
              <w:t>Probabilité d’occurrence</w:t>
            </w:r>
          </w:p>
        </w:tc>
        <w:tc>
          <w:tcPr>
            <w:tcW w:w="0" w:type="auto"/>
            <w:hideMark/>
          </w:tcPr>
          <w:p w14:paraId="67FA1710" w14:textId="77777777" w:rsidR="007256FB" w:rsidRPr="004637C7" w:rsidRDefault="007256FB" w:rsidP="00247BC4">
            <w:pPr>
              <w:cnfStyle w:val="000000000000" w:firstRow="0" w:lastRow="0" w:firstColumn="0" w:lastColumn="0" w:oddVBand="0" w:evenVBand="0" w:oddHBand="0" w:evenHBand="0" w:firstRowFirstColumn="0" w:firstRowLastColumn="0" w:lastRowFirstColumn="0" w:lastRowLastColumn="0"/>
              <w:rPr>
                <w:bCs/>
                <w:szCs w:val="20"/>
              </w:rPr>
            </w:pPr>
            <w:r w:rsidRPr="004637C7">
              <w:rPr>
                <w:bCs/>
                <w:szCs w:val="20"/>
              </w:rPr>
              <w:t>Risque ponctuel mais présent à chaque intervention technique</w:t>
            </w:r>
          </w:p>
        </w:tc>
        <w:tc>
          <w:tcPr>
            <w:tcW w:w="0" w:type="auto"/>
            <w:hideMark/>
          </w:tcPr>
          <w:p w14:paraId="0053B10F" w14:textId="77777777" w:rsidR="007256FB" w:rsidRPr="004637C7" w:rsidRDefault="007256FB" w:rsidP="00247BC4">
            <w:pPr>
              <w:cnfStyle w:val="000000000000" w:firstRow="0" w:lastRow="0" w:firstColumn="0" w:lastColumn="0" w:oddVBand="0" w:evenVBand="0" w:oddHBand="0" w:evenHBand="0" w:firstRowFirstColumn="0" w:firstRowLastColumn="0" w:lastRowFirstColumn="0" w:lastRowLastColumn="0"/>
              <w:rPr>
                <w:bCs/>
                <w:szCs w:val="20"/>
              </w:rPr>
            </w:pPr>
            <w:r w:rsidRPr="004637C7">
              <w:rPr>
                <w:bCs/>
                <w:szCs w:val="20"/>
              </w:rPr>
              <w:t>Probable</w:t>
            </w:r>
          </w:p>
        </w:tc>
      </w:tr>
      <w:tr w:rsidR="007256FB" w:rsidRPr="007256FB" w14:paraId="63F5E4F5" w14:textId="77777777" w:rsidTr="005A7661">
        <w:tc>
          <w:tcPr>
            <w:cnfStyle w:val="001000000000" w:firstRow="0" w:lastRow="0" w:firstColumn="1" w:lastColumn="0" w:oddVBand="0" w:evenVBand="0" w:oddHBand="0" w:evenHBand="0" w:firstRowFirstColumn="0" w:firstRowLastColumn="0" w:lastRowFirstColumn="0" w:lastRowLastColumn="0"/>
            <w:tcW w:w="0" w:type="auto"/>
            <w:vMerge/>
            <w:hideMark/>
          </w:tcPr>
          <w:p w14:paraId="427CF24E" w14:textId="77777777" w:rsidR="007256FB" w:rsidRPr="00AA22F2" w:rsidRDefault="007256FB" w:rsidP="00247BC4">
            <w:pPr>
              <w:rPr>
                <w:szCs w:val="20"/>
              </w:rPr>
            </w:pPr>
          </w:p>
        </w:tc>
        <w:tc>
          <w:tcPr>
            <w:tcW w:w="0" w:type="auto"/>
            <w:vMerge/>
            <w:hideMark/>
          </w:tcPr>
          <w:p w14:paraId="4E6873E0" w14:textId="77777777" w:rsidR="007256FB" w:rsidRPr="00AA22F2" w:rsidRDefault="007256FB" w:rsidP="00247BC4">
            <w:pPr>
              <w:cnfStyle w:val="000000000000" w:firstRow="0" w:lastRow="0" w:firstColumn="0" w:lastColumn="0" w:oddVBand="0" w:evenVBand="0" w:oddHBand="0" w:evenHBand="0" w:firstRowFirstColumn="0" w:firstRowLastColumn="0" w:lastRowFirstColumn="0" w:lastRowLastColumn="0"/>
              <w:rPr>
                <w:b/>
                <w:szCs w:val="20"/>
              </w:rPr>
            </w:pPr>
          </w:p>
        </w:tc>
        <w:tc>
          <w:tcPr>
            <w:tcW w:w="0" w:type="auto"/>
            <w:hideMark/>
          </w:tcPr>
          <w:p w14:paraId="1832348A" w14:textId="77777777" w:rsidR="007256FB" w:rsidRPr="00AA22F2" w:rsidRDefault="007256FB" w:rsidP="00247BC4">
            <w:pPr>
              <w:cnfStyle w:val="000000000000" w:firstRow="0" w:lastRow="0" w:firstColumn="0" w:lastColumn="0" w:oddVBand="0" w:evenVBand="0" w:oddHBand="0" w:evenHBand="0" w:firstRowFirstColumn="0" w:firstRowLastColumn="0" w:lastRowFirstColumn="0" w:lastRowLastColumn="0"/>
              <w:rPr>
                <w:b/>
                <w:szCs w:val="20"/>
              </w:rPr>
            </w:pPr>
            <w:r w:rsidRPr="00AA22F2">
              <w:rPr>
                <w:b/>
                <w:bCs/>
                <w:szCs w:val="20"/>
              </w:rPr>
              <w:t>Gravité des conséquences</w:t>
            </w:r>
          </w:p>
        </w:tc>
        <w:tc>
          <w:tcPr>
            <w:tcW w:w="0" w:type="auto"/>
            <w:hideMark/>
          </w:tcPr>
          <w:p w14:paraId="591655A4" w14:textId="77777777" w:rsidR="007256FB" w:rsidRPr="004637C7" w:rsidRDefault="007256FB" w:rsidP="00247BC4">
            <w:pPr>
              <w:cnfStyle w:val="000000000000" w:firstRow="0" w:lastRow="0" w:firstColumn="0" w:lastColumn="0" w:oddVBand="0" w:evenVBand="0" w:oddHBand="0" w:evenHBand="0" w:firstRowFirstColumn="0" w:firstRowLastColumn="0" w:lastRowFirstColumn="0" w:lastRowLastColumn="0"/>
              <w:rPr>
                <w:bCs/>
                <w:szCs w:val="20"/>
              </w:rPr>
            </w:pPr>
            <w:r w:rsidRPr="004637C7">
              <w:rPr>
                <w:bCs/>
                <w:szCs w:val="20"/>
              </w:rPr>
              <w:t>Chutes de plusieurs mètres pouvant entraîner des traumatismes sévères ou décès</w:t>
            </w:r>
          </w:p>
        </w:tc>
        <w:tc>
          <w:tcPr>
            <w:tcW w:w="0" w:type="auto"/>
            <w:hideMark/>
          </w:tcPr>
          <w:p w14:paraId="48E067AB" w14:textId="77777777" w:rsidR="007256FB" w:rsidRPr="004637C7" w:rsidRDefault="007256FB" w:rsidP="00247BC4">
            <w:pPr>
              <w:cnfStyle w:val="000000000000" w:firstRow="0" w:lastRow="0" w:firstColumn="0" w:lastColumn="0" w:oddVBand="0" w:evenVBand="0" w:oddHBand="0" w:evenHBand="0" w:firstRowFirstColumn="0" w:firstRowLastColumn="0" w:lastRowFirstColumn="0" w:lastRowLastColumn="0"/>
              <w:rPr>
                <w:bCs/>
                <w:szCs w:val="20"/>
              </w:rPr>
            </w:pPr>
            <w:r w:rsidRPr="004637C7">
              <w:rPr>
                <w:bCs/>
                <w:szCs w:val="20"/>
              </w:rPr>
              <w:t>Majeure</w:t>
            </w:r>
          </w:p>
        </w:tc>
      </w:tr>
      <w:tr w:rsidR="007256FB" w:rsidRPr="007256FB" w14:paraId="263EFE5D" w14:textId="77777777" w:rsidTr="005A7661">
        <w:tc>
          <w:tcPr>
            <w:cnfStyle w:val="001000000000" w:firstRow="0" w:lastRow="0" w:firstColumn="1" w:lastColumn="0" w:oddVBand="0" w:evenVBand="0" w:oddHBand="0" w:evenHBand="0" w:firstRowFirstColumn="0" w:firstRowLastColumn="0" w:lastRowFirstColumn="0" w:lastRowLastColumn="0"/>
            <w:tcW w:w="0" w:type="auto"/>
            <w:vMerge/>
            <w:hideMark/>
          </w:tcPr>
          <w:p w14:paraId="6B5D8309" w14:textId="77777777" w:rsidR="007256FB" w:rsidRPr="00AA22F2" w:rsidRDefault="007256FB" w:rsidP="00247BC4">
            <w:pPr>
              <w:rPr>
                <w:szCs w:val="20"/>
              </w:rPr>
            </w:pPr>
          </w:p>
        </w:tc>
        <w:tc>
          <w:tcPr>
            <w:tcW w:w="0" w:type="auto"/>
            <w:vMerge/>
            <w:hideMark/>
          </w:tcPr>
          <w:p w14:paraId="7D78F005" w14:textId="77777777" w:rsidR="007256FB" w:rsidRPr="00AA22F2" w:rsidRDefault="007256FB" w:rsidP="00247BC4">
            <w:pPr>
              <w:cnfStyle w:val="000000000000" w:firstRow="0" w:lastRow="0" w:firstColumn="0" w:lastColumn="0" w:oddVBand="0" w:evenVBand="0" w:oddHBand="0" w:evenHBand="0" w:firstRowFirstColumn="0" w:firstRowLastColumn="0" w:lastRowFirstColumn="0" w:lastRowLastColumn="0"/>
              <w:rPr>
                <w:b/>
                <w:szCs w:val="20"/>
              </w:rPr>
            </w:pPr>
          </w:p>
        </w:tc>
        <w:tc>
          <w:tcPr>
            <w:tcW w:w="0" w:type="auto"/>
            <w:hideMark/>
          </w:tcPr>
          <w:p w14:paraId="239CE47B" w14:textId="77777777" w:rsidR="007256FB" w:rsidRPr="00AA22F2" w:rsidRDefault="007256FB" w:rsidP="00247BC4">
            <w:pPr>
              <w:cnfStyle w:val="000000000000" w:firstRow="0" w:lastRow="0" w:firstColumn="0" w:lastColumn="0" w:oddVBand="0" w:evenVBand="0" w:oddHBand="0" w:evenHBand="0" w:firstRowFirstColumn="0" w:firstRowLastColumn="0" w:lastRowFirstColumn="0" w:lastRowLastColumn="0"/>
              <w:rPr>
                <w:b/>
                <w:szCs w:val="20"/>
              </w:rPr>
            </w:pPr>
            <w:r w:rsidRPr="00AA22F2">
              <w:rPr>
                <w:b/>
                <w:bCs/>
                <w:szCs w:val="20"/>
              </w:rPr>
              <w:t>Évaluation globale du risque</w:t>
            </w:r>
          </w:p>
        </w:tc>
        <w:tc>
          <w:tcPr>
            <w:tcW w:w="0" w:type="auto"/>
            <w:hideMark/>
          </w:tcPr>
          <w:p w14:paraId="54F6157A" w14:textId="77777777" w:rsidR="007256FB" w:rsidRPr="004637C7" w:rsidRDefault="007256FB" w:rsidP="00247BC4">
            <w:pPr>
              <w:cnfStyle w:val="000000000000" w:firstRow="0" w:lastRow="0" w:firstColumn="0" w:lastColumn="0" w:oddVBand="0" w:evenVBand="0" w:oddHBand="0" w:evenHBand="0" w:firstRowFirstColumn="0" w:firstRowLastColumn="0" w:lastRowFirstColumn="0" w:lastRowLastColumn="0"/>
              <w:rPr>
                <w:bCs/>
                <w:szCs w:val="20"/>
              </w:rPr>
            </w:pPr>
            <w:r w:rsidRPr="004637C7">
              <w:rPr>
                <w:bCs/>
                <w:szCs w:val="20"/>
              </w:rPr>
              <w:t>Criticité élevée nécessitant un encadrement rigoureux des travaux en hauteur</w:t>
            </w:r>
          </w:p>
        </w:tc>
        <w:tc>
          <w:tcPr>
            <w:tcW w:w="0" w:type="auto"/>
            <w:hideMark/>
          </w:tcPr>
          <w:p w14:paraId="7FA2DE81" w14:textId="1B6A0D8B" w:rsidR="007256FB" w:rsidRPr="004637C7" w:rsidRDefault="007256FB" w:rsidP="00247BC4">
            <w:pPr>
              <w:cnfStyle w:val="000000000000" w:firstRow="0" w:lastRow="0" w:firstColumn="0" w:lastColumn="0" w:oddVBand="0" w:evenVBand="0" w:oddHBand="0" w:evenHBand="0" w:firstRowFirstColumn="0" w:firstRowLastColumn="0" w:lastRowFirstColumn="0" w:lastRowLastColumn="0"/>
              <w:rPr>
                <w:bCs/>
                <w:szCs w:val="20"/>
              </w:rPr>
            </w:pPr>
            <w:r>
              <w:rPr>
                <w:bCs/>
                <w:szCs w:val="20"/>
              </w:rPr>
              <w:t>Critique</w:t>
            </w:r>
          </w:p>
        </w:tc>
      </w:tr>
    </w:tbl>
    <w:p w14:paraId="69B91DE1" w14:textId="48DB0375" w:rsidR="00E20861" w:rsidRPr="0074162C" w:rsidRDefault="00065104" w:rsidP="0001633E">
      <w:pPr>
        <w:pStyle w:val="AltTitle2"/>
        <w:numPr>
          <w:ilvl w:val="0"/>
          <w:numId w:val="106"/>
        </w:numPr>
      </w:pPr>
      <w:r>
        <w:t>Risque d’é</w:t>
      </w:r>
      <w:r w:rsidR="00E20861" w:rsidRPr="0074162C">
        <w:t>lectrocution et incendie sur les installations temporaires</w:t>
      </w:r>
    </w:p>
    <w:p w14:paraId="525027DC" w14:textId="77777777" w:rsidR="0074162C" w:rsidRDefault="0074162C" w:rsidP="00E20861">
      <w:r w:rsidRPr="004637C7">
        <w:t xml:space="preserve">Les travaux électriques provisoires et l’usage d’équipements énergivores accroissent la probabilité d’électrocutions, de courts-circuits ou d’incendies. </w:t>
      </w:r>
    </w:p>
    <w:p w14:paraId="7DBC236A" w14:textId="13E0AABB" w:rsidR="00E20861" w:rsidRDefault="0074162C" w:rsidP="00E20861">
      <w:r w:rsidRPr="004637C7">
        <w:t>Le risque est occasionnel à probable, de gravité majeure et de criticité élevée. Les techniciens, électriciens et opérateurs de maintenance sont les récepteurs les plus exposés. L’effet est direct, ponctuel,</w:t>
      </w:r>
      <w:r>
        <w:t xml:space="preserve"> mais</w:t>
      </w:r>
      <w:r w:rsidRPr="004637C7">
        <w:t xml:space="preserve"> avec des répercussions importantes sur la sécurité des travailleurs.</w:t>
      </w:r>
    </w:p>
    <w:p w14:paraId="55517837" w14:textId="77777777" w:rsidR="00D26001" w:rsidRDefault="00D26001" w:rsidP="00E20861"/>
    <w:p w14:paraId="25C7340E" w14:textId="77777777" w:rsidR="00D26001" w:rsidRDefault="00D26001" w:rsidP="00E20861"/>
    <w:p w14:paraId="45792737" w14:textId="77777777" w:rsidR="00D26001" w:rsidRDefault="00D26001" w:rsidP="00E20861"/>
    <w:tbl>
      <w:tblPr>
        <w:tblStyle w:val="TableauGrille1Clair-Accentuation111"/>
        <w:tblW w:w="0" w:type="auto"/>
        <w:tblLook w:val="04A0" w:firstRow="1" w:lastRow="0" w:firstColumn="1" w:lastColumn="0" w:noHBand="0" w:noVBand="1"/>
      </w:tblPr>
      <w:tblGrid>
        <w:gridCol w:w="1901"/>
        <w:gridCol w:w="2040"/>
        <w:gridCol w:w="1570"/>
        <w:gridCol w:w="2205"/>
        <w:gridCol w:w="1344"/>
      </w:tblGrid>
      <w:tr w:rsidR="007256FB" w:rsidRPr="00247BC4" w14:paraId="06E6E60B" w14:textId="77777777" w:rsidTr="00247BC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58DB3427" w14:textId="77777777" w:rsidR="00247BC4" w:rsidRPr="00AA22F2" w:rsidRDefault="00247BC4" w:rsidP="00247BC4">
            <w:pPr>
              <w:rPr>
                <w:szCs w:val="20"/>
              </w:rPr>
            </w:pPr>
            <w:r w:rsidRPr="00AA22F2">
              <w:rPr>
                <w:szCs w:val="20"/>
              </w:rPr>
              <w:lastRenderedPageBreak/>
              <w:t>Risque</w:t>
            </w:r>
          </w:p>
        </w:tc>
        <w:tc>
          <w:tcPr>
            <w:tcW w:w="0" w:type="auto"/>
            <w:hideMark/>
          </w:tcPr>
          <w:p w14:paraId="6C6C99D3" w14:textId="77777777" w:rsidR="00247BC4" w:rsidRPr="00AA22F2" w:rsidRDefault="00247BC4" w:rsidP="00247BC4">
            <w:pPr>
              <w:cnfStyle w:val="100000000000" w:firstRow="1" w:lastRow="0" w:firstColumn="0" w:lastColumn="0" w:oddVBand="0" w:evenVBand="0" w:oddHBand="0" w:evenHBand="0" w:firstRowFirstColumn="0" w:firstRowLastColumn="0" w:lastRowFirstColumn="0" w:lastRowLastColumn="0"/>
              <w:rPr>
                <w:szCs w:val="20"/>
              </w:rPr>
            </w:pPr>
            <w:r w:rsidRPr="00AA22F2">
              <w:rPr>
                <w:szCs w:val="20"/>
              </w:rPr>
              <w:t>Activités génératrices</w:t>
            </w:r>
          </w:p>
        </w:tc>
        <w:tc>
          <w:tcPr>
            <w:tcW w:w="0" w:type="auto"/>
            <w:hideMark/>
          </w:tcPr>
          <w:p w14:paraId="1D5635CE" w14:textId="77777777" w:rsidR="00247BC4" w:rsidRPr="00AA22F2" w:rsidRDefault="00247BC4" w:rsidP="00247BC4">
            <w:pPr>
              <w:cnfStyle w:val="100000000000" w:firstRow="1" w:lastRow="0" w:firstColumn="0" w:lastColumn="0" w:oddVBand="0" w:evenVBand="0" w:oddHBand="0" w:evenHBand="0" w:firstRowFirstColumn="0" w:firstRowLastColumn="0" w:lastRowFirstColumn="0" w:lastRowLastColumn="0"/>
              <w:rPr>
                <w:szCs w:val="20"/>
              </w:rPr>
            </w:pPr>
            <w:r w:rsidRPr="00AA22F2">
              <w:rPr>
                <w:szCs w:val="20"/>
              </w:rPr>
              <w:t>Critère</w:t>
            </w:r>
          </w:p>
        </w:tc>
        <w:tc>
          <w:tcPr>
            <w:tcW w:w="0" w:type="auto"/>
            <w:hideMark/>
          </w:tcPr>
          <w:p w14:paraId="0F5AE6F2" w14:textId="77777777" w:rsidR="00247BC4" w:rsidRPr="00AA22F2" w:rsidRDefault="00247BC4" w:rsidP="00247BC4">
            <w:pPr>
              <w:cnfStyle w:val="100000000000" w:firstRow="1" w:lastRow="0" w:firstColumn="0" w:lastColumn="0" w:oddVBand="0" w:evenVBand="0" w:oddHBand="0" w:evenHBand="0" w:firstRowFirstColumn="0" w:firstRowLastColumn="0" w:lastRowFirstColumn="0" w:lastRowLastColumn="0"/>
              <w:rPr>
                <w:szCs w:val="20"/>
              </w:rPr>
            </w:pPr>
            <w:r w:rsidRPr="00AA22F2">
              <w:rPr>
                <w:szCs w:val="20"/>
              </w:rPr>
              <w:t>Justification</w:t>
            </w:r>
          </w:p>
        </w:tc>
        <w:tc>
          <w:tcPr>
            <w:tcW w:w="0" w:type="auto"/>
            <w:hideMark/>
          </w:tcPr>
          <w:p w14:paraId="2D5A93DA" w14:textId="77777777" w:rsidR="00247BC4" w:rsidRPr="00AA22F2" w:rsidRDefault="00247BC4" w:rsidP="00247BC4">
            <w:pPr>
              <w:cnfStyle w:val="100000000000" w:firstRow="1" w:lastRow="0" w:firstColumn="0" w:lastColumn="0" w:oddVBand="0" w:evenVBand="0" w:oddHBand="0" w:evenHBand="0" w:firstRowFirstColumn="0" w:firstRowLastColumn="0" w:lastRowFirstColumn="0" w:lastRowLastColumn="0"/>
              <w:rPr>
                <w:szCs w:val="20"/>
              </w:rPr>
            </w:pPr>
            <w:r w:rsidRPr="00AA22F2">
              <w:rPr>
                <w:szCs w:val="20"/>
              </w:rPr>
              <w:t>Niveau</w:t>
            </w:r>
          </w:p>
        </w:tc>
      </w:tr>
      <w:tr w:rsidR="007256FB" w:rsidRPr="00247BC4" w14:paraId="4E5858EB" w14:textId="77777777" w:rsidTr="005A7661">
        <w:tc>
          <w:tcPr>
            <w:cnfStyle w:val="001000000000" w:firstRow="0" w:lastRow="0" w:firstColumn="1" w:lastColumn="0" w:oddVBand="0" w:evenVBand="0" w:oddHBand="0" w:evenHBand="0" w:firstRowFirstColumn="0" w:firstRowLastColumn="0" w:lastRowFirstColumn="0" w:lastRowLastColumn="0"/>
            <w:tcW w:w="0" w:type="auto"/>
            <w:vMerge w:val="restart"/>
            <w:hideMark/>
          </w:tcPr>
          <w:p w14:paraId="6313F149" w14:textId="4B788226" w:rsidR="007256FB" w:rsidRPr="00AA22F2" w:rsidRDefault="007256FB" w:rsidP="00247BC4">
            <w:pPr>
              <w:rPr>
                <w:szCs w:val="20"/>
              </w:rPr>
            </w:pPr>
            <w:r w:rsidRPr="00AA22F2">
              <w:rPr>
                <w:szCs w:val="20"/>
              </w:rPr>
              <w:t>Électrocution et incendie sur les installations temporaires</w:t>
            </w:r>
          </w:p>
        </w:tc>
        <w:tc>
          <w:tcPr>
            <w:tcW w:w="0" w:type="auto"/>
            <w:vMerge w:val="restart"/>
            <w:hideMark/>
          </w:tcPr>
          <w:p w14:paraId="0F1C6DB1" w14:textId="77777777" w:rsidR="007256FB" w:rsidRPr="00AA22F2" w:rsidRDefault="007256FB" w:rsidP="00247BC4">
            <w:pPr>
              <w:cnfStyle w:val="000000000000" w:firstRow="0" w:lastRow="0" w:firstColumn="0" w:lastColumn="0" w:oddVBand="0" w:evenVBand="0" w:oddHBand="0" w:evenHBand="0" w:firstRowFirstColumn="0" w:firstRowLastColumn="0" w:lastRowFirstColumn="0" w:lastRowLastColumn="0"/>
              <w:rPr>
                <w:szCs w:val="20"/>
              </w:rPr>
            </w:pPr>
            <w:r w:rsidRPr="00AA22F2">
              <w:rPr>
                <w:szCs w:val="20"/>
              </w:rPr>
              <w:t>Alimentation électrique provisoire, manipulation de câbles et appareils</w:t>
            </w:r>
          </w:p>
        </w:tc>
        <w:tc>
          <w:tcPr>
            <w:tcW w:w="0" w:type="auto"/>
            <w:hideMark/>
          </w:tcPr>
          <w:p w14:paraId="50A8CF8E" w14:textId="77777777" w:rsidR="007256FB" w:rsidRPr="00AA22F2" w:rsidRDefault="007256FB" w:rsidP="00247BC4">
            <w:pPr>
              <w:cnfStyle w:val="000000000000" w:firstRow="0" w:lastRow="0" w:firstColumn="0" w:lastColumn="0" w:oddVBand="0" w:evenVBand="0" w:oddHBand="0" w:evenHBand="0" w:firstRowFirstColumn="0" w:firstRowLastColumn="0" w:lastRowFirstColumn="0" w:lastRowLastColumn="0"/>
              <w:rPr>
                <w:szCs w:val="20"/>
              </w:rPr>
            </w:pPr>
            <w:r w:rsidRPr="00AA22F2">
              <w:rPr>
                <w:b/>
                <w:bCs/>
                <w:szCs w:val="20"/>
              </w:rPr>
              <w:t>Probabilité d’occurrence</w:t>
            </w:r>
          </w:p>
        </w:tc>
        <w:tc>
          <w:tcPr>
            <w:tcW w:w="0" w:type="auto"/>
            <w:hideMark/>
          </w:tcPr>
          <w:p w14:paraId="772F5386" w14:textId="77777777" w:rsidR="007256FB" w:rsidRPr="00AA22F2" w:rsidRDefault="007256FB" w:rsidP="00247BC4">
            <w:pPr>
              <w:cnfStyle w:val="000000000000" w:firstRow="0" w:lastRow="0" w:firstColumn="0" w:lastColumn="0" w:oddVBand="0" w:evenVBand="0" w:oddHBand="0" w:evenHBand="0" w:firstRowFirstColumn="0" w:firstRowLastColumn="0" w:lastRowFirstColumn="0" w:lastRowLastColumn="0"/>
              <w:rPr>
                <w:szCs w:val="20"/>
              </w:rPr>
            </w:pPr>
            <w:r w:rsidRPr="00AA22F2">
              <w:rPr>
                <w:szCs w:val="20"/>
              </w:rPr>
              <w:t>Risque occasionnel lié aux interventions électriques temporaires</w:t>
            </w:r>
          </w:p>
        </w:tc>
        <w:tc>
          <w:tcPr>
            <w:tcW w:w="0" w:type="auto"/>
            <w:hideMark/>
          </w:tcPr>
          <w:p w14:paraId="6DA42CD2" w14:textId="77777777" w:rsidR="007256FB" w:rsidRPr="00AA22F2" w:rsidRDefault="007256FB" w:rsidP="00247BC4">
            <w:pPr>
              <w:cnfStyle w:val="000000000000" w:firstRow="0" w:lastRow="0" w:firstColumn="0" w:lastColumn="0" w:oddVBand="0" w:evenVBand="0" w:oddHBand="0" w:evenHBand="0" w:firstRowFirstColumn="0" w:firstRowLastColumn="0" w:lastRowFirstColumn="0" w:lastRowLastColumn="0"/>
              <w:rPr>
                <w:szCs w:val="20"/>
              </w:rPr>
            </w:pPr>
            <w:r w:rsidRPr="00AA22F2">
              <w:rPr>
                <w:szCs w:val="20"/>
              </w:rPr>
              <w:t>Occasionnel à probable</w:t>
            </w:r>
          </w:p>
        </w:tc>
      </w:tr>
      <w:tr w:rsidR="007256FB" w:rsidRPr="00247BC4" w14:paraId="7C974AE9" w14:textId="77777777" w:rsidTr="005A7661">
        <w:tc>
          <w:tcPr>
            <w:cnfStyle w:val="001000000000" w:firstRow="0" w:lastRow="0" w:firstColumn="1" w:lastColumn="0" w:oddVBand="0" w:evenVBand="0" w:oddHBand="0" w:evenHBand="0" w:firstRowFirstColumn="0" w:firstRowLastColumn="0" w:lastRowFirstColumn="0" w:lastRowLastColumn="0"/>
            <w:tcW w:w="0" w:type="auto"/>
            <w:vMerge/>
            <w:hideMark/>
          </w:tcPr>
          <w:p w14:paraId="2E58071D" w14:textId="77777777" w:rsidR="007256FB" w:rsidRPr="00AA22F2" w:rsidRDefault="007256FB" w:rsidP="00247BC4">
            <w:pPr>
              <w:rPr>
                <w:szCs w:val="20"/>
              </w:rPr>
            </w:pPr>
          </w:p>
        </w:tc>
        <w:tc>
          <w:tcPr>
            <w:tcW w:w="0" w:type="auto"/>
            <w:vMerge/>
            <w:hideMark/>
          </w:tcPr>
          <w:p w14:paraId="0215B1EA" w14:textId="77777777" w:rsidR="007256FB" w:rsidRPr="00AA22F2" w:rsidRDefault="007256FB" w:rsidP="00247BC4">
            <w:pPr>
              <w:cnfStyle w:val="000000000000" w:firstRow="0" w:lastRow="0" w:firstColumn="0" w:lastColumn="0" w:oddVBand="0" w:evenVBand="0" w:oddHBand="0" w:evenHBand="0" w:firstRowFirstColumn="0" w:firstRowLastColumn="0" w:lastRowFirstColumn="0" w:lastRowLastColumn="0"/>
              <w:rPr>
                <w:szCs w:val="20"/>
              </w:rPr>
            </w:pPr>
          </w:p>
        </w:tc>
        <w:tc>
          <w:tcPr>
            <w:tcW w:w="0" w:type="auto"/>
            <w:hideMark/>
          </w:tcPr>
          <w:p w14:paraId="15571156" w14:textId="77777777" w:rsidR="007256FB" w:rsidRPr="00AA22F2" w:rsidRDefault="007256FB" w:rsidP="00247BC4">
            <w:pPr>
              <w:cnfStyle w:val="000000000000" w:firstRow="0" w:lastRow="0" w:firstColumn="0" w:lastColumn="0" w:oddVBand="0" w:evenVBand="0" w:oddHBand="0" w:evenHBand="0" w:firstRowFirstColumn="0" w:firstRowLastColumn="0" w:lastRowFirstColumn="0" w:lastRowLastColumn="0"/>
              <w:rPr>
                <w:szCs w:val="20"/>
              </w:rPr>
            </w:pPr>
            <w:r w:rsidRPr="00AA22F2">
              <w:rPr>
                <w:b/>
                <w:bCs/>
                <w:szCs w:val="20"/>
              </w:rPr>
              <w:t>Gravité des conséquences</w:t>
            </w:r>
          </w:p>
        </w:tc>
        <w:tc>
          <w:tcPr>
            <w:tcW w:w="0" w:type="auto"/>
            <w:hideMark/>
          </w:tcPr>
          <w:p w14:paraId="4840D3FB" w14:textId="77777777" w:rsidR="007256FB" w:rsidRPr="00AA22F2" w:rsidRDefault="007256FB" w:rsidP="00247BC4">
            <w:pPr>
              <w:cnfStyle w:val="000000000000" w:firstRow="0" w:lastRow="0" w:firstColumn="0" w:lastColumn="0" w:oddVBand="0" w:evenVBand="0" w:oddHBand="0" w:evenHBand="0" w:firstRowFirstColumn="0" w:firstRowLastColumn="0" w:lastRowFirstColumn="0" w:lastRowLastColumn="0"/>
              <w:rPr>
                <w:szCs w:val="20"/>
              </w:rPr>
            </w:pPr>
            <w:r w:rsidRPr="00AA22F2">
              <w:rPr>
                <w:szCs w:val="20"/>
              </w:rPr>
              <w:t>Risque de brûlure, d’électrocution ou d’incendie</w:t>
            </w:r>
          </w:p>
        </w:tc>
        <w:tc>
          <w:tcPr>
            <w:tcW w:w="0" w:type="auto"/>
            <w:hideMark/>
          </w:tcPr>
          <w:p w14:paraId="7A111674" w14:textId="77777777" w:rsidR="007256FB" w:rsidRPr="00AA22F2" w:rsidRDefault="007256FB" w:rsidP="00247BC4">
            <w:pPr>
              <w:cnfStyle w:val="000000000000" w:firstRow="0" w:lastRow="0" w:firstColumn="0" w:lastColumn="0" w:oddVBand="0" w:evenVBand="0" w:oddHBand="0" w:evenHBand="0" w:firstRowFirstColumn="0" w:firstRowLastColumn="0" w:lastRowFirstColumn="0" w:lastRowLastColumn="0"/>
              <w:rPr>
                <w:szCs w:val="20"/>
              </w:rPr>
            </w:pPr>
            <w:r w:rsidRPr="00AA22F2">
              <w:rPr>
                <w:szCs w:val="20"/>
              </w:rPr>
              <w:t>Majeure</w:t>
            </w:r>
          </w:p>
        </w:tc>
      </w:tr>
      <w:tr w:rsidR="007256FB" w:rsidRPr="00247BC4" w14:paraId="50735EF0" w14:textId="77777777" w:rsidTr="005A7661">
        <w:tc>
          <w:tcPr>
            <w:cnfStyle w:val="001000000000" w:firstRow="0" w:lastRow="0" w:firstColumn="1" w:lastColumn="0" w:oddVBand="0" w:evenVBand="0" w:oddHBand="0" w:evenHBand="0" w:firstRowFirstColumn="0" w:firstRowLastColumn="0" w:lastRowFirstColumn="0" w:lastRowLastColumn="0"/>
            <w:tcW w:w="0" w:type="auto"/>
            <w:vMerge/>
            <w:hideMark/>
          </w:tcPr>
          <w:p w14:paraId="5321C6B4" w14:textId="77777777" w:rsidR="007256FB" w:rsidRPr="00AA22F2" w:rsidRDefault="007256FB" w:rsidP="00247BC4">
            <w:pPr>
              <w:rPr>
                <w:szCs w:val="20"/>
              </w:rPr>
            </w:pPr>
          </w:p>
        </w:tc>
        <w:tc>
          <w:tcPr>
            <w:tcW w:w="0" w:type="auto"/>
            <w:vMerge/>
            <w:hideMark/>
          </w:tcPr>
          <w:p w14:paraId="51D0BD2F" w14:textId="77777777" w:rsidR="007256FB" w:rsidRPr="00AA22F2" w:rsidRDefault="007256FB" w:rsidP="00247BC4">
            <w:pPr>
              <w:cnfStyle w:val="000000000000" w:firstRow="0" w:lastRow="0" w:firstColumn="0" w:lastColumn="0" w:oddVBand="0" w:evenVBand="0" w:oddHBand="0" w:evenHBand="0" w:firstRowFirstColumn="0" w:firstRowLastColumn="0" w:lastRowFirstColumn="0" w:lastRowLastColumn="0"/>
              <w:rPr>
                <w:szCs w:val="20"/>
              </w:rPr>
            </w:pPr>
          </w:p>
        </w:tc>
        <w:tc>
          <w:tcPr>
            <w:tcW w:w="0" w:type="auto"/>
            <w:hideMark/>
          </w:tcPr>
          <w:p w14:paraId="4FF68D17" w14:textId="77777777" w:rsidR="007256FB" w:rsidRPr="00AA22F2" w:rsidRDefault="007256FB" w:rsidP="00247BC4">
            <w:pPr>
              <w:cnfStyle w:val="000000000000" w:firstRow="0" w:lastRow="0" w:firstColumn="0" w:lastColumn="0" w:oddVBand="0" w:evenVBand="0" w:oddHBand="0" w:evenHBand="0" w:firstRowFirstColumn="0" w:firstRowLastColumn="0" w:lastRowFirstColumn="0" w:lastRowLastColumn="0"/>
              <w:rPr>
                <w:szCs w:val="20"/>
              </w:rPr>
            </w:pPr>
            <w:r w:rsidRPr="00AA22F2">
              <w:rPr>
                <w:b/>
                <w:bCs/>
                <w:szCs w:val="20"/>
              </w:rPr>
              <w:t>Évaluation globale du risque</w:t>
            </w:r>
          </w:p>
        </w:tc>
        <w:tc>
          <w:tcPr>
            <w:tcW w:w="0" w:type="auto"/>
            <w:hideMark/>
          </w:tcPr>
          <w:p w14:paraId="408F7D1A" w14:textId="77777777" w:rsidR="007256FB" w:rsidRPr="00AA22F2" w:rsidRDefault="007256FB" w:rsidP="00247BC4">
            <w:pPr>
              <w:cnfStyle w:val="000000000000" w:firstRow="0" w:lastRow="0" w:firstColumn="0" w:lastColumn="0" w:oddVBand="0" w:evenVBand="0" w:oddHBand="0" w:evenHBand="0" w:firstRowFirstColumn="0" w:firstRowLastColumn="0" w:lastRowFirstColumn="0" w:lastRowLastColumn="0"/>
              <w:rPr>
                <w:szCs w:val="20"/>
              </w:rPr>
            </w:pPr>
            <w:r w:rsidRPr="00AA22F2">
              <w:rPr>
                <w:szCs w:val="20"/>
              </w:rPr>
              <w:t>Criticité élevée — incidents pouvant être graves même à faible fréquence</w:t>
            </w:r>
          </w:p>
        </w:tc>
        <w:tc>
          <w:tcPr>
            <w:tcW w:w="0" w:type="auto"/>
            <w:hideMark/>
          </w:tcPr>
          <w:p w14:paraId="5BBF2ECD" w14:textId="1186614C" w:rsidR="007256FB" w:rsidRPr="00AA22F2" w:rsidRDefault="007256FB" w:rsidP="00247BC4">
            <w:pPr>
              <w:cnfStyle w:val="000000000000" w:firstRow="0" w:lastRow="0" w:firstColumn="0" w:lastColumn="0" w:oddVBand="0" w:evenVBand="0" w:oddHBand="0" w:evenHBand="0" w:firstRowFirstColumn="0" w:firstRowLastColumn="0" w:lastRowFirstColumn="0" w:lastRowLastColumn="0"/>
              <w:rPr>
                <w:szCs w:val="20"/>
              </w:rPr>
            </w:pPr>
            <w:r w:rsidRPr="00AA22F2">
              <w:rPr>
                <w:szCs w:val="20"/>
              </w:rPr>
              <w:t>Critiquer</w:t>
            </w:r>
          </w:p>
        </w:tc>
      </w:tr>
    </w:tbl>
    <w:p w14:paraId="54646B57" w14:textId="1BA311A0" w:rsidR="00E20861" w:rsidRPr="00D568C3" w:rsidRDefault="00065104" w:rsidP="0001633E">
      <w:pPr>
        <w:pStyle w:val="AltTitle2"/>
        <w:numPr>
          <w:ilvl w:val="0"/>
          <w:numId w:val="106"/>
        </w:numPr>
      </w:pPr>
      <w:r>
        <w:t>Risque de v</w:t>
      </w:r>
      <w:r w:rsidR="00E20861" w:rsidRPr="00D568C3">
        <w:t>iolences basées sur le genre et harcèlement sexuel (VBG/SEAH)</w:t>
      </w:r>
    </w:p>
    <w:p w14:paraId="6A5E8B81" w14:textId="77777777" w:rsidR="0074162C" w:rsidRDefault="0074162C" w:rsidP="00E20861">
      <w:pPr>
        <w:rPr>
          <w:bCs/>
        </w:rPr>
      </w:pPr>
      <w:r w:rsidRPr="004637C7">
        <w:rPr>
          <w:bCs/>
        </w:rPr>
        <w:t xml:space="preserve">La présence d’une main-d’œuvre principalement masculine, parfois logée à proximité du chantier, augmente la probabilité d’incidents de harcèlement ou de comportements discriminatoires envers les femmes employées ou issues des communautés voisines. </w:t>
      </w:r>
    </w:p>
    <w:p w14:paraId="2B76BD6D" w14:textId="75982F61" w:rsidR="00E20861" w:rsidRDefault="0074162C" w:rsidP="00E20861">
      <w:pPr>
        <w:rPr>
          <w:bCs/>
        </w:rPr>
      </w:pPr>
      <w:r w:rsidRPr="004637C7">
        <w:rPr>
          <w:bCs/>
        </w:rPr>
        <w:t>Le risque est social, continu et local, de gravité majeure et de criticité élevée. Les femmes et jeunes filles constituent les récepteurs les plus sensibles. L’effet, bien que limité spatialement au site et à ses abords, a des conséquences humaines et sociales importantes, susceptibles d’altérer la réputation du projet et le climat de travail.</w:t>
      </w:r>
    </w:p>
    <w:tbl>
      <w:tblPr>
        <w:tblStyle w:val="TableauGrille1Clair-Accentuation111"/>
        <w:tblW w:w="0" w:type="auto"/>
        <w:tblLook w:val="04A0" w:firstRow="1" w:lastRow="0" w:firstColumn="1" w:lastColumn="0" w:noHBand="0" w:noVBand="1"/>
      </w:tblPr>
      <w:tblGrid>
        <w:gridCol w:w="1679"/>
        <w:gridCol w:w="2649"/>
        <w:gridCol w:w="1532"/>
        <w:gridCol w:w="2254"/>
        <w:gridCol w:w="946"/>
      </w:tblGrid>
      <w:tr w:rsidR="007256FB" w:rsidRPr="00247BC4" w14:paraId="4C390074" w14:textId="77777777" w:rsidTr="007256F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275C6075" w14:textId="77777777" w:rsidR="00247BC4" w:rsidRPr="00AA22F2" w:rsidRDefault="00247BC4" w:rsidP="00247BC4">
            <w:pPr>
              <w:rPr>
                <w:szCs w:val="20"/>
              </w:rPr>
            </w:pPr>
            <w:r w:rsidRPr="00AA22F2">
              <w:rPr>
                <w:szCs w:val="20"/>
              </w:rPr>
              <w:t>Risque</w:t>
            </w:r>
          </w:p>
        </w:tc>
        <w:tc>
          <w:tcPr>
            <w:tcW w:w="0" w:type="auto"/>
            <w:hideMark/>
          </w:tcPr>
          <w:p w14:paraId="1DED36F5" w14:textId="77777777" w:rsidR="00247BC4" w:rsidRPr="00AA22F2" w:rsidRDefault="00247BC4" w:rsidP="00247BC4">
            <w:pPr>
              <w:cnfStyle w:val="100000000000" w:firstRow="1" w:lastRow="0" w:firstColumn="0" w:lastColumn="0" w:oddVBand="0" w:evenVBand="0" w:oddHBand="0" w:evenHBand="0" w:firstRowFirstColumn="0" w:firstRowLastColumn="0" w:lastRowFirstColumn="0" w:lastRowLastColumn="0"/>
              <w:rPr>
                <w:szCs w:val="20"/>
              </w:rPr>
            </w:pPr>
            <w:r w:rsidRPr="00AA22F2">
              <w:rPr>
                <w:szCs w:val="20"/>
              </w:rPr>
              <w:t>Activités génératrices</w:t>
            </w:r>
          </w:p>
        </w:tc>
        <w:tc>
          <w:tcPr>
            <w:tcW w:w="0" w:type="auto"/>
            <w:hideMark/>
          </w:tcPr>
          <w:p w14:paraId="30620F4D" w14:textId="77777777" w:rsidR="00247BC4" w:rsidRPr="00AA22F2" w:rsidRDefault="00247BC4" w:rsidP="00247BC4">
            <w:pPr>
              <w:cnfStyle w:val="100000000000" w:firstRow="1" w:lastRow="0" w:firstColumn="0" w:lastColumn="0" w:oddVBand="0" w:evenVBand="0" w:oddHBand="0" w:evenHBand="0" w:firstRowFirstColumn="0" w:firstRowLastColumn="0" w:lastRowFirstColumn="0" w:lastRowLastColumn="0"/>
              <w:rPr>
                <w:szCs w:val="20"/>
              </w:rPr>
            </w:pPr>
            <w:r w:rsidRPr="00AA22F2">
              <w:rPr>
                <w:szCs w:val="20"/>
              </w:rPr>
              <w:t>Critère</w:t>
            </w:r>
          </w:p>
        </w:tc>
        <w:tc>
          <w:tcPr>
            <w:tcW w:w="0" w:type="auto"/>
            <w:hideMark/>
          </w:tcPr>
          <w:p w14:paraId="3CF1BC96" w14:textId="77777777" w:rsidR="00247BC4" w:rsidRPr="00AA22F2" w:rsidRDefault="00247BC4" w:rsidP="00247BC4">
            <w:pPr>
              <w:cnfStyle w:val="100000000000" w:firstRow="1" w:lastRow="0" w:firstColumn="0" w:lastColumn="0" w:oddVBand="0" w:evenVBand="0" w:oddHBand="0" w:evenHBand="0" w:firstRowFirstColumn="0" w:firstRowLastColumn="0" w:lastRowFirstColumn="0" w:lastRowLastColumn="0"/>
              <w:rPr>
                <w:szCs w:val="20"/>
              </w:rPr>
            </w:pPr>
            <w:r w:rsidRPr="00AA22F2">
              <w:rPr>
                <w:szCs w:val="20"/>
              </w:rPr>
              <w:t>Justification</w:t>
            </w:r>
          </w:p>
        </w:tc>
        <w:tc>
          <w:tcPr>
            <w:tcW w:w="0" w:type="auto"/>
            <w:hideMark/>
          </w:tcPr>
          <w:p w14:paraId="20DCA880" w14:textId="77777777" w:rsidR="00247BC4" w:rsidRPr="00AA22F2" w:rsidRDefault="00247BC4" w:rsidP="00247BC4">
            <w:pPr>
              <w:cnfStyle w:val="100000000000" w:firstRow="1" w:lastRow="0" w:firstColumn="0" w:lastColumn="0" w:oddVBand="0" w:evenVBand="0" w:oddHBand="0" w:evenHBand="0" w:firstRowFirstColumn="0" w:firstRowLastColumn="0" w:lastRowFirstColumn="0" w:lastRowLastColumn="0"/>
              <w:rPr>
                <w:szCs w:val="20"/>
              </w:rPr>
            </w:pPr>
            <w:r w:rsidRPr="00AA22F2">
              <w:rPr>
                <w:szCs w:val="20"/>
              </w:rPr>
              <w:t>Niveau</w:t>
            </w:r>
          </w:p>
        </w:tc>
      </w:tr>
      <w:tr w:rsidR="007256FB" w:rsidRPr="00247BC4" w14:paraId="5EB02FFF" w14:textId="77777777" w:rsidTr="005A7661">
        <w:tc>
          <w:tcPr>
            <w:cnfStyle w:val="001000000000" w:firstRow="0" w:lastRow="0" w:firstColumn="1" w:lastColumn="0" w:oddVBand="0" w:evenVBand="0" w:oddHBand="0" w:evenHBand="0" w:firstRowFirstColumn="0" w:firstRowLastColumn="0" w:lastRowFirstColumn="0" w:lastRowLastColumn="0"/>
            <w:tcW w:w="0" w:type="auto"/>
            <w:vMerge w:val="restart"/>
            <w:hideMark/>
          </w:tcPr>
          <w:p w14:paraId="41D346B2" w14:textId="5472B1CD" w:rsidR="007256FB" w:rsidRPr="00AA22F2" w:rsidRDefault="007256FB" w:rsidP="00247BC4">
            <w:pPr>
              <w:rPr>
                <w:szCs w:val="20"/>
              </w:rPr>
            </w:pPr>
            <w:r w:rsidRPr="00AA22F2">
              <w:rPr>
                <w:szCs w:val="20"/>
              </w:rPr>
              <w:t>Violences basées sur le genre et harcèlement sexuel</w:t>
            </w:r>
          </w:p>
        </w:tc>
        <w:tc>
          <w:tcPr>
            <w:tcW w:w="0" w:type="auto"/>
            <w:vMerge w:val="restart"/>
            <w:hideMark/>
          </w:tcPr>
          <w:p w14:paraId="614BEB5C" w14:textId="77777777" w:rsidR="007256FB" w:rsidRPr="00AA22F2" w:rsidRDefault="007256FB" w:rsidP="00247BC4">
            <w:pPr>
              <w:cnfStyle w:val="000000000000" w:firstRow="0" w:lastRow="0" w:firstColumn="0" w:lastColumn="0" w:oddVBand="0" w:evenVBand="0" w:oddHBand="0" w:evenHBand="0" w:firstRowFirstColumn="0" w:firstRowLastColumn="0" w:lastRowFirstColumn="0" w:lastRowLastColumn="0"/>
              <w:rPr>
                <w:bCs/>
                <w:szCs w:val="20"/>
              </w:rPr>
            </w:pPr>
            <w:r w:rsidRPr="00AA22F2">
              <w:rPr>
                <w:bCs/>
                <w:szCs w:val="20"/>
              </w:rPr>
              <w:t>Coexistence prolongée d’une main-d’œuvre majoritairement masculine, logement temporaire et absence de contrôle social</w:t>
            </w:r>
          </w:p>
        </w:tc>
        <w:tc>
          <w:tcPr>
            <w:tcW w:w="0" w:type="auto"/>
            <w:hideMark/>
          </w:tcPr>
          <w:p w14:paraId="38911A50" w14:textId="77777777" w:rsidR="007256FB" w:rsidRPr="00AA22F2" w:rsidRDefault="007256FB" w:rsidP="00247BC4">
            <w:pPr>
              <w:cnfStyle w:val="000000000000" w:firstRow="0" w:lastRow="0" w:firstColumn="0" w:lastColumn="0" w:oddVBand="0" w:evenVBand="0" w:oddHBand="0" w:evenHBand="0" w:firstRowFirstColumn="0" w:firstRowLastColumn="0" w:lastRowFirstColumn="0" w:lastRowLastColumn="0"/>
              <w:rPr>
                <w:bCs/>
                <w:szCs w:val="20"/>
              </w:rPr>
            </w:pPr>
            <w:r w:rsidRPr="00AA22F2">
              <w:rPr>
                <w:b/>
                <w:bCs/>
                <w:szCs w:val="20"/>
              </w:rPr>
              <w:t>Probabilité d’occurrence</w:t>
            </w:r>
          </w:p>
        </w:tc>
        <w:tc>
          <w:tcPr>
            <w:tcW w:w="0" w:type="auto"/>
            <w:hideMark/>
          </w:tcPr>
          <w:p w14:paraId="31AB4C80" w14:textId="77777777" w:rsidR="007256FB" w:rsidRPr="00AA22F2" w:rsidRDefault="007256FB" w:rsidP="00247BC4">
            <w:pPr>
              <w:cnfStyle w:val="000000000000" w:firstRow="0" w:lastRow="0" w:firstColumn="0" w:lastColumn="0" w:oddVBand="0" w:evenVBand="0" w:oddHBand="0" w:evenHBand="0" w:firstRowFirstColumn="0" w:firstRowLastColumn="0" w:lastRowFirstColumn="0" w:lastRowLastColumn="0"/>
              <w:rPr>
                <w:bCs/>
                <w:szCs w:val="20"/>
              </w:rPr>
            </w:pPr>
            <w:r w:rsidRPr="00AA22F2">
              <w:rPr>
                <w:bCs/>
                <w:szCs w:val="20"/>
              </w:rPr>
              <w:t>Risque social accru dans les contextes de chantiers à forte concentration d’hommes</w:t>
            </w:r>
          </w:p>
        </w:tc>
        <w:tc>
          <w:tcPr>
            <w:tcW w:w="0" w:type="auto"/>
            <w:hideMark/>
          </w:tcPr>
          <w:p w14:paraId="13A29163" w14:textId="77777777" w:rsidR="007256FB" w:rsidRPr="00AA22F2" w:rsidRDefault="007256FB" w:rsidP="00247BC4">
            <w:pPr>
              <w:cnfStyle w:val="000000000000" w:firstRow="0" w:lastRow="0" w:firstColumn="0" w:lastColumn="0" w:oddVBand="0" w:evenVBand="0" w:oddHBand="0" w:evenHBand="0" w:firstRowFirstColumn="0" w:firstRowLastColumn="0" w:lastRowFirstColumn="0" w:lastRowLastColumn="0"/>
              <w:rPr>
                <w:bCs/>
                <w:szCs w:val="20"/>
              </w:rPr>
            </w:pPr>
            <w:r w:rsidRPr="00AA22F2">
              <w:rPr>
                <w:bCs/>
                <w:szCs w:val="20"/>
              </w:rPr>
              <w:t>Probable</w:t>
            </w:r>
          </w:p>
        </w:tc>
      </w:tr>
      <w:tr w:rsidR="007256FB" w:rsidRPr="00247BC4" w14:paraId="13009C00" w14:textId="77777777" w:rsidTr="005A7661">
        <w:tc>
          <w:tcPr>
            <w:cnfStyle w:val="001000000000" w:firstRow="0" w:lastRow="0" w:firstColumn="1" w:lastColumn="0" w:oddVBand="0" w:evenVBand="0" w:oddHBand="0" w:evenHBand="0" w:firstRowFirstColumn="0" w:firstRowLastColumn="0" w:lastRowFirstColumn="0" w:lastRowLastColumn="0"/>
            <w:tcW w:w="0" w:type="auto"/>
            <w:vMerge/>
            <w:hideMark/>
          </w:tcPr>
          <w:p w14:paraId="282E29D9" w14:textId="77777777" w:rsidR="007256FB" w:rsidRPr="00AA22F2" w:rsidRDefault="007256FB" w:rsidP="00247BC4">
            <w:pPr>
              <w:rPr>
                <w:szCs w:val="20"/>
              </w:rPr>
            </w:pPr>
          </w:p>
        </w:tc>
        <w:tc>
          <w:tcPr>
            <w:tcW w:w="0" w:type="auto"/>
            <w:vMerge/>
            <w:hideMark/>
          </w:tcPr>
          <w:p w14:paraId="0E082601" w14:textId="77777777" w:rsidR="007256FB" w:rsidRPr="00AA22F2" w:rsidRDefault="007256FB" w:rsidP="00247BC4">
            <w:pPr>
              <w:cnfStyle w:val="000000000000" w:firstRow="0" w:lastRow="0" w:firstColumn="0" w:lastColumn="0" w:oddVBand="0" w:evenVBand="0" w:oddHBand="0" w:evenHBand="0" w:firstRowFirstColumn="0" w:firstRowLastColumn="0" w:lastRowFirstColumn="0" w:lastRowLastColumn="0"/>
              <w:rPr>
                <w:bCs/>
                <w:szCs w:val="20"/>
              </w:rPr>
            </w:pPr>
          </w:p>
        </w:tc>
        <w:tc>
          <w:tcPr>
            <w:tcW w:w="0" w:type="auto"/>
            <w:hideMark/>
          </w:tcPr>
          <w:p w14:paraId="69A6A25E" w14:textId="77777777" w:rsidR="007256FB" w:rsidRPr="00AA22F2" w:rsidRDefault="007256FB" w:rsidP="00247BC4">
            <w:pPr>
              <w:cnfStyle w:val="000000000000" w:firstRow="0" w:lastRow="0" w:firstColumn="0" w:lastColumn="0" w:oddVBand="0" w:evenVBand="0" w:oddHBand="0" w:evenHBand="0" w:firstRowFirstColumn="0" w:firstRowLastColumn="0" w:lastRowFirstColumn="0" w:lastRowLastColumn="0"/>
              <w:rPr>
                <w:bCs/>
                <w:szCs w:val="20"/>
              </w:rPr>
            </w:pPr>
            <w:r w:rsidRPr="00AA22F2">
              <w:rPr>
                <w:b/>
                <w:bCs/>
                <w:szCs w:val="20"/>
              </w:rPr>
              <w:t>Gravité des conséquences</w:t>
            </w:r>
          </w:p>
        </w:tc>
        <w:tc>
          <w:tcPr>
            <w:tcW w:w="0" w:type="auto"/>
            <w:hideMark/>
          </w:tcPr>
          <w:p w14:paraId="38AFDE38" w14:textId="77777777" w:rsidR="007256FB" w:rsidRPr="00AA22F2" w:rsidRDefault="007256FB" w:rsidP="00247BC4">
            <w:pPr>
              <w:cnfStyle w:val="000000000000" w:firstRow="0" w:lastRow="0" w:firstColumn="0" w:lastColumn="0" w:oddVBand="0" w:evenVBand="0" w:oddHBand="0" w:evenHBand="0" w:firstRowFirstColumn="0" w:firstRowLastColumn="0" w:lastRowFirstColumn="0" w:lastRowLastColumn="0"/>
              <w:rPr>
                <w:bCs/>
                <w:szCs w:val="20"/>
              </w:rPr>
            </w:pPr>
            <w:r w:rsidRPr="00AA22F2">
              <w:rPr>
                <w:bCs/>
                <w:szCs w:val="20"/>
              </w:rPr>
              <w:t>Atteintes morales, physiques et réputationnelles graves pour les victimes et le projet</w:t>
            </w:r>
          </w:p>
        </w:tc>
        <w:tc>
          <w:tcPr>
            <w:tcW w:w="0" w:type="auto"/>
            <w:hideMark/>
          </w:tcPr>
          <w:p w14:paraId="4DECDDAA" w14:textId="77777777" w:rsidR="007256FB" w:rsidRPr="00AA22F2" w:rsidRDefault="007256FB" w:rsidP="00247BC4">
            <w:pPr>
              <w:cnfStyle w:val="000000000000" w:firstRow="0" w:lastRow="0" w:firstColumn="0" w:lastColumn="0" w:oddVBand="0" w:evenVBand="0" w:oddHBand="0" w:evenHBand="0" w:firstRowFirstColumn="0" w:firstRowLastColumn="0" w:lastRowFirstColumn="0" w:lastRowLastColumn="0"/>
              <w:rPr>
                <w:bCs/>
                <w:szCs w:val="20"/>
              </w:rPr>
            </w:pPr>
            <w:r w:rsidRPr="00AA22F2">
              <w:rPr>
                <w:bCs/>
                <w:szCs w:val="20"/>
              </w:rPr>
              <w:t>Majeure</w:t>
            </w:r>
          </w:p>
        </w:tc>
      </w:tr>
      <w:tr w:rsidR="007256FB" w:rsidRPr="00247BC4" w14:paraId="74F5A1F3" w14:textId="77777777" w:rsidTr="005A7661">
        <w:tc>
          <w:tcPr>
            <w:cnfStyle w:val="001000000000" w:firstRow="0" w:lastRow="0" w:firstColumn="1" w:lastColumn="0" w:oddVBand="0" w:evenVBand="0" w:oddHBand="0" w:evenHBand="0" w:firstRowFirstColumn="0" w:firstRowLastColumn="0" w:lastRowFirstColumn="0" w:lastRowLastColumn="0"/>
            <w:tcW w:w="0" w:type="auto"/>
            <w:vMerge/>
            <w:hideMark/>
          </w:tcPr>
          <w:p w14:paraId="196D6C4B" w14:textId="77777777" w:rsidR="007256FB" w:rsidRPr="00AA22F2" w:rsidRDefault="007256FB" w:rsidP="00247BC4">
            <w:pPr>
              <w:rPr>
                <w:szCs w:val="20"/>
              </w:rPr>
            </w:pPr>
          </w:p>
        </w:tc>
        <w:tc>
          <w:tcPr>
            <w:tcW w:w="0" w:type="auto"/>
            <w:vMerge/>
            <w:hideMark/>
          </w:tcPr>
          <w:p w14:paraId="15E026E1" w14:textId="77777777" w:rsidR="007256FB" w:rsidRPr="00AA22F2" w:rsidRDefault="007256FB" w:rsidP="00247BC4">
            <w:pPr>
              <w:cnfStyle w:val="000000000000" w:firstRow="0" w:lastRow="0" w:firstColumn="0" w:lastColumn="0" w:oddVBand="0" w:evenVBand="0" w:oddHBand="0" w:evenHBand="0" w:firstRowFirstColumn="0" w:firstRowLastColumn="0" w:lastRowFirstColumn="0" w:lastRowLastColumn="0"/>
              <w:rPr>
                <w:bCs/>
                <w:szCs w:val="20"/>
              </w:rPr>
            </w:pPr>
          </w:p>
        </w:tc>
        <w:tc>
          <w:tcPr>
            <w:tcW w:w="0" w:type="auto"/>
            <w:hideMark/>
          </w:tcPr>
          <w:p w14:paraId="534050F7" w14:textId="77777777" w:rsidR="007256FB" w:rsidRPr="00AA22F2" w:rsidRDefault="007256FB" w:rsidP="00247BC4">
            <w:pPr>
              <w:cnfStyle w:val="000000000000" w:firstRow="0" w:lastRow="0" w:firstColumn="0" w:lastColumn="0" w:oddVBand="0" w:evenVBand="0" w:oddHBand="0" w:evenHBand="0" w:firstRowFirstColumn="0" w:firstRowLastColumn="0" w:lastRowFirstColumn="0" w:lastRowLastColumn="0"/>
              <w:rPr>
                <w:bCs/>
                <w:szCs w:val="20"/>
              </w:rPr>
            </w:pPr>
            <w:r w:rsidRPr="00AA22F2">
              <w:rPr>
                <w:b/>
                <w:bCs/>
                <w:szCs w:val="20"/>
              </w:rPr>
              <w:t>Évaluation globale du risque</w:t>
            </w:r>
          </w:p>
        </w:tc>
        <w:tc>
          <w:tcPr>
            <w:tcW w:w="0" w:type="auto"/>
            <w:hideMark/>
          </w:tcPr>
          <w:p w14:paraId="656EFBA7" w14:textId="77777777" w:rsidR="007256FB" w:rsidRPr="00AA22F2" w:rsidRDefault="007256FB" w:rsidP="00247BC4">
            <w:pPr>
              <w:cnfStyle w:val="000000000000" w:firstRow="0" w:lastRow="0" w:firstColumn="0" w:lastColumn="0" w:oddVBand="0" w:evenVBand="0" w:oddHBand="0" w:evenHBand="0" w:firstRowFirstColumn="0" w:firstRowLastColumn="0" w:lastRowFirstColumn="0" w:lastRowLastColumn="0"/>
              <w:rPr>
                <w:bCs/>
                <w:szCs w:val="20"/>
              </w:rPr>
            </w:pPr>
            <w:r w:rsidRPr="00AA22F2">
              <w:rPr>
                <w:bCs/>
                <w:szCs w:val="20"/>
              </w:rPr>
              <w:t>Risque élevé nécessitant une politique stricte de prévention et de signalement</w:t>
            </w:r>
          </w:p>
        </w:tc>
        <w:tc>
          <w:tcPr>
            <w:tcW w:w="0" w:type="auto"/>
            <w:hideMark/>
          </w:tcPr>
          <w:p w14:paraId="6DB93365" w14:textId="69354016" w:rsidR="007256FB" w:rsidRPr="00AA22F2" w:rsidRDefault="007256FB" w:rsidP="00247BC4">
            <w:pPr>
              <w:cnfStyle w:val="000000000000" w:firstRow="0" w:lastRow="0" w:firstColumn="0" w:lastColumn="0" w:oddVBand="0" w:evenVBand="0" w:oddHBand="0" w:evenHBand="0" w:firstRowFirstColumn="0" w:firstRowLastColumn="0" w:lastRowFirstColumn="0" w:lastRowLastColumn="0"/>
              <w:rPr>
                <w:bCs/>
                <w:szCs w:val="20"/>
              </w:rPr>
            </w:pPr>
            <w:r w:rsidRPr="00AA22F2">
              <w:rPr>
                <w:bCs/>
                <w:szCs w:val="20"/>
              </w:rPr>
              <w:t>Critique</w:t>
            </w:r>
          </w:p>
        </w:tc>
      </w:tr>
    </w:tbl>
    <w:p w14:paraId="054DC9C1" w14:textId="7E03AB29" w:rsidR="00E20861" w:rsidRPr="00D568C3" w:rsidRDefault="00065104" w:rsidP="0001633E">
      <w:pPr>
        <w:pStyle w:val="AltTitle2"/>
        <w:numPr>
          <w:ilvl w:val="0"/>
          <w:numId w:val="106"/>
        </w:numPr>
      </w:pPr>
      <w:r>
        <w:t>Risque de t</w:t>
      </w:r>
      <w:r w:rsidR="00E20861" w:rsidRPr="00D568C3">
        <w:t>ransmission des maladies sexuellement transmissibles (MST/VIH)</w:t>
      </w:r>
    </w:p>
    <w:p w14:paraId="29CF096C" w14:textId="77777777" w:rsidR="00BB69B2" w:rsidRPr="004637C7" w:rsidRDefault="00BB69B2" w:rsidP="00E20861">
      <w:pPr>
        <w:rPr>
          <w:bCs/>
        </w:rPr>
      </w:pPr>
      <w:r w:rsidRPr="004637C7">
        <w:rPr>
          <w:bCs/>
        </w:rPr>
        <w:t>L</w:t>
      </w:r>
      <w:r w:rsidR="00D568C3" w:rsidRPr="004637C7">
        <w:rPr>
          <w:bCs/>
        </w:rPr>
        <w:t xml:space="preserve">a concentration temporaire de travailleurs et les interactions sociales autour du chantier augmentent la probabilité de transmission de maladies sexuellement transmissibles. Le risque est probable, de gravité majeure et de criticité élevée, touchant à la fois les travailleurs et les communautés riveraines. </w:t>
      </w:r>
    </w:p>
    <w:p w14:paraId="1441ABB6" w14:textId="55AEB127" w:rsidR="00E20861" w:rsidRPr="004637C7" w:rsidRDefault="00D568C3" w:rsidP="00E20861">
      <w:pPr>
        <w:rPr>
          <w:bCs/>
        </w:rPr>
      </w:pPr>
      <w:r w:rsidRPr="004637C7">
        <w:rPr>
          <w:bCs/>
        </w:rPr>
        <w:lastRenderedPageBreak/>
        <w:t>Les récepteurs sensibles sont les jeunes ouvriers, souvent isolés de leur milieu familial, et les populations locales exposées aux interactions sociales de proximité. L’effet est local mais à portée humaine significative.</w:t>
      </w:r>
    </w:p>
    <w:tbl>
      <w:tblPr>
        <w:tblStyle w:val="TableauGrille1Clair-Accentuation111"/>
        <w:tblW w:w="0" w:type="auto"/>
        <w:tblLook w:val="04A0" w:firstRow="1" w:lastRow="0" w:firstColumn="1" w:lastColumn="0" w:noHBand="0" w:noVBand="1"/>
      </w:tblPr>
      <w:tblGrid>
        <w:gridCol w:w="2039"/>
        <w:gridCol w:w="2294"/>
        <w:gridCol w:w="1556"/>
        <w:gridCol w:w="2206"/>
        <w:gridCol w:w="965"/>
      </w:tblGrid>
      <w:tr w:rsidR="007256FB" w:rsidRPr="00247BC4" w14:paraId="0FC6859D" w14:textId="77777777" w:rsidTr="00247BC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79A67E92" w14:textId="77777777" w:rsidR="00247BC4" w:rsidRPr="00AA22F2" w:rsidRDefault="00247BC4" w:rsidP="00247BC4">
            <w:pPr>
              <w:rPr>
                <w:szCs w:val="20"/>
              </w:rPr>
            </w:pPr>
            <w:r w:rsidRPr="00AA22F2">
              <w:rPr>
                <w:szCs w:val="20"/>
              </w:rPr>
              <w:t>Risque</w:t>
            </w:r>
          </w:p>
        </w:tc>
        <w:tc>
          <w:tcPr>
            <w:tcW w:w="0" w:type="auto"/>
            <w:hideMark/>
          </w:tcPr>
          <w:p w14:paraId="0352988F" w14:textId="77777777" w:rsidR="00247BC4" w:rsidRPr="00AA22F2" w:rsidRDefault="00247BC4" w:rsidP="00247BC4">
            <w:pPr>
              <w:cnfStyle w:val="100000000000" w:firstRow="1" w:lastRow="0" w:firstColumn="0" w:lastColumn="0" w:oddVBand="0" w:evenVBand="0" w:oddHBand="0" w:evenHBand="0" w:firstRowFirstColumn="0" w:firstRowLastColumn="0" w:lastRowFirstColumn="0" w:lastRowLastColumn="0"/>
              <w:rPr>
                <w:szCs w:val="20"/>
              </w:rPr>
            </w:pPr>
            <w:r w:rsidRPr="00AA22F2">
              <w:rPr>
                <w:szCs w:val="20"/>
              </w:rPr>
              <w:t>Activités génératrices</w:t>
            </w:r>
          </w:p>
        </w:tc>
        <w:tc>
          <w:tcPr>
            <w:tcW w:w="0" w:type="auto"/>
            <w:hideMark/>
          </w:tcPr>
          <w:p w14:paraId="12B3609F" w14:textId="77777777" w:rsidR="00247BC4" w:rsidRPr="00AA22F2" w:rsidRDefault="00247BC4" w:rsidP="00247BC4">
            <w:pPr>
              <w:cnfStyle w:val="100000000000" w:firstRow="1" w:lastRow="0" w:firstColumn="0" w:lastColumn="0" w:oddVBand="0" w:evenVBand="0" w:oddHBand="0" w:evenHBand="0" w:firstRowFirstColumn="0" w:firstRowLastColumn="0" w:lastRowFirstColumn="0" w:lastRowLastColumn="0"/>
              <w:rPr>
                <w:szCs w:val="20"/>
              </w:rPr>
            </w:pPr>
            <w:r w:rsidRPr="00AA22F2">
              <w:rPr>
                <w:szCs w:val="20"/>
              </w:rPr>
              <w:t>Critère</w:t>
            </w:r>
          </w:p>
        </w:tc>
        <w:tc>
          <w:tcPr>
            <w:tcW w:w="0" w:type="auto"/>
            <w:hideMark/>
          </w:tcPr>
          <w:p w14:paraId="068E6FDC" w14:textId="77777777" w:rsidR="00247BC4" w:rsidRPr="00AA22F2" w:rsidRDefault="00247BC4" w:rsidP="00247BC4">
            <w:pPr>
              <w:cnfStyle w:val="100000000000" w:firstRow="1" w:lastRow="0" w:firstColumn="0" w:lastColumn="0" w:oddVBand="0" w:evenVBand="0" w:oddHBand="0" w:evenHBand="0" w:firstRowFirstColumn="0" w:firstRowLastColumn="0" w:lastRowFirstColumn="0" w:lastRowLastColumn="0"/>
              <w:rPr>
                <w:szCs w:val="20"/>
              </w:rPr>
            </w:pPr>
            <w:r w:rsidRPr="00AA22F2">
              <w:rPr>
                <w:szCs w:val="20"/>
              </w:rPr>
              <w:t>Justification</w:t>
            </w:r>
          </w:p>
        </w:tc>
        <w:tc>
          <w:tcPr>
            <w:tcW w:w="0" w:type="auto"/>
            <w:hideMark/>
          </w:tcPr>
          <w:p w14:paraId="216608F7" w14:textId="77777777" w:rsidR="00247BC4" w:rsidRPr="00AA22F2" w:rsidRDefault="00247BC4" w:rsidP="00247BC4">
            <w:pPr>
              <w:cnfStyle w:val="100000000000" w:firstRow="1" w:lastRow="0" w:firstColumn="0" w:lastColumn="0" w:oddVBand="0" w:evenVBand="0" w:oddHBand="0" w:evenHBand="0" w:firstRowFirstColumn="0" w:firstRowLastColumn="0" w:lastRowFirstColumn="0" w:lastRowLastColumn="0"/>
              <w:rPr>
                <w:szCs w:val="20"/>
              </w:rPr>
            </w:pPr>
            <w:r w:rsidRPr="00AA22F2">
              <w:rPr>
                <w:szCs w:val="20"/>
              </w:rPr>
              <w:t>Niveau</w:t>
            </w:r>
          </w:p>
        </w:tc>
      </w:tr>
      <w:tr w:rsidR="00247BC4" w:rsidRPr="00247BC4" w14:paraId="7171C3EE" w14:textId="77777777" w:rsidTr="005A7661">
        <w:tc>
          <w:tcPr>
            <w:cnfStyle w:val="001000000000" w:firstRow="0" w:lastRow="0" w:firstColumn="1" w:lastColumn="0" w:oddVBand="0" w:evenVBand="0" w:oddHBand="0" w:evenHBand="0" w:firstRowFirstColumn="0" w:firstRowLastColumn="0" w:lastRowFirstColumn="0" w:lastRowLastColumn="0"/>
            <w:tcW w:w="0" w:type="auto"/>
            <w:vMerge w:val="restart"/>
            <w:hideMark/>
          </w:tcPr>
          <w:p w14:paraId="649CEB8B" w14:textId="780790BC" w:rsidR="00247BC4" w:rsidRPr="00AA22F2" w:rsidRDefault="00247BC4" w:rsidP="00247BC4">
            <w:pPr>
              <w:rPr>
                <w:szCs w:val="20"/>
              </w:rPr>
            </w:pPr>
            <w:r w:rsidRPr="00AA22F2">
              <w:rPr>
                <w:szCs w:val="20"/>
              </w:rPr>
              <w:t>Transmission des maladies sexuellement transmissibles (MST/VIH)</w:t>
            </w:r>
          </w:p>
        </w:tc>
        <w:tc>
          <w:tcPr>
            <w:tcW w:w="0" w:type="auto"/>
            <w:vMerge w:val="restart"/>
            <w:hideMark/>
          </w:tcPr>
          <w:p w14:paraId="7305102E" w14:textId="77777777" w:rsidR="00247BC4" w:rsidRPr="004637C7" w:rsidRDefault="00247BC4" w:rsidP="00247BC4">
            <w:pPr>
              <w:cnfStyle w:val="000000000000" w:firstRow="0" w:lastRow="0" w:firstColumn="0" w:lastColumn="0" w:oddVBand="0" w:evenVBand="0" w:oddHBand="0" w:evenHBand="0" w:firstRowFirstColumn="0" w:firstRowLastColumn="0" w:lastRowFirstColumn="0" w:lastRowLastColumn="0"/>
              <w:rPr>
                <w:bCs/>
                <w:szCs w:val="20"/>
              </w:rPr>
            </w:pPr>
            <w:r w:rsidRPr="004637C7">
              <w:rPr>
                <w:bCs/>
                <w:szCs w:val="20"/>
              </w:rPr>
              <w:t>Concentration de travailleurs, mobilité sociale et interaction avec les communautés locales</w:t>
            </w:r>
          </w:p>
        </w:tc>
        <w:tc>
          <w:tcPr>
            <w:tcW w:w="0" w:type="auto"/>
            <w:hideMark/>
          </w:tcPr>
          <w:p w14:paraId="244AA900" w14:textId="77777777" w:rsidR="00247BC4" w:rsidRPr="00AA22F2" w:rsidRDefault="00247BC4" w:rsidP="00247BC4">
            <w:pPr>
              <w:cnfStyle w:val="000000000000" w:firstRow="0" w:lastRow="0" w:firstColumn="0" w:lastColumn="0" w:oddVBand="0" w:evenVBand="0" w:oddHBand="0" w:evenHBand="0" w:firstRowFirstColumn="0" w:firstRowLastColumn="0" w:lastRowFirstColumn="0" w:lastRowLastColumn="0"/>
              <w:rPr>
                <w:b/>
                <w:szCs w:val="20"/>
              </w:rPr>
            </w:pPr>
            <w:r w:rsidRPr="00AA22F2">
              <w:rPr>
                <w:b/>
                <w:bCs/>
                <w:szCs w:val="20"/>
              </w:rPr>
              <w:t>Probabilité d’occurrence</w:t>
            </w:r>
          </w:p>
        </w:tc>
        <w:tc>
          <w:tcPr>
            <w:tcW w:w="0" w:type="auto"/>
            <w:hideMark/>
          </w:tcPr>
          <w:p w14:paraId="5F423B3E" w14:textId="77777777" w:rsidR="00247BC4" w:rsidRPr="004637C7" w:rsidRDefault="00247BC4" w:rsidP="00247BC4">
            <w:pPr>
              <w:cnfStyle w:val="000000000000" w:firstRow="0" w:lastRow="0" w:firstColumn="0" w:lastColumn="0" w:oddVBand="0" w:evenVBand="0" w:oddHBand="0" w:evenHBand="0" w:firstRowFirstColumn="0" w:firstRowLastColumn="0" w:lastRowFirstColumn="0" w:lastRowLastColumn="0"/>
              <w:rPr>
                <w:bCs/>
                <w:szCs w:val="20"/>
              </w:rPr>
            </w:pPr>
            <w:r w:rsidRPr="004637C7">
              <w:rPr>
                <w:bCs/>
                <w:szCs w:val="20"/>
              </w:rPr>
              <w:t>Risque probable lié à la promiscuité et au manque de sensibilisation</w:t>
            </w:r>
          </w:p>
        </w:tc>
        <w:tc>
          <w:tcPr>
            <w:tcW w:w="0" w:type="auto"/>
            <w:hideMark/>
          </w:tcPr>
          <w:p w14:paraId="0AE795FD" w14:textId="77777777" w:rsidR="00247BC4" w:rsidRPr="00AA22F2" w:rsidRDefault="00247BC4" w:rsidP="00247BC4">
            <w:pPr>
              <w:cnfStyle w:val="000000000000" w:firstRow="0" w:lastRow="0" w:firstColumn="0" w:lastColumn="0" w:oddVBand="0" w:evenVBand="0" w:oddHBand="0" w:evenHBand="0" w:firstRowFirstColumn="0" w:firstRowLastColumn="0" w:lastRowFirstColumn="0" w:lastRowLastColumn="0"/>
              <w:rPr>
                <w:b/>
                <w:szCs w:val="20"/>
              </w:rPr>
            </w:pPr>
            <w:r w:rsidRPr="00AA22F2">
              <w:rPr>
                <w:b/>
                <w:szCs w:val="20"/>
              </w:rPr>
              <w:t>Probable</w:t>
            </w:r>
          </w:p>
        </w:tc>
      </w:tr>
      <w:tr w:rsidR="00247BC4" w:rsidRPr="00247BC4" w14:paraId="0C107B38" w14:textId="77777777" w:rsidTr="005A7661">
        <w:tc>
          <w:tcPr>
            <w:cnfStyle w:val="001000000000" w:firstRow="0" w:lastRow="0" w:firstColumn="1" w:lastColumn="0" w:oddVBand="0" w:evenVBand="0" w:oddHBand="0" w:evenHBand="0" w:firstRowFirstColumn="0" w:firstRowLastColumn="0" w:lastRowFirstColumn="0" w:lastRowLastColumn="0"/>
            <w:tcW w:w="0" w:type="auto"/>
            <w:vMerge/>
            <w:hideMark/>
          </w:tcPr>
          <w:p w14:paraId="34766411" w14:textId="77777777" w:rsidR="00247BC4" w:rsidRPr="00AA22F2" w:rsidRDefault="00247BC4" w:rsidP="00247BC4">
            <w:pPr>
              <w:rPr>
                <w:szCs w:val="20"/>
              </w:rPr>
            </w:pPr>
          </w:p>
        </w:tc>
        <w:tc>
          <w:tcPr>
            <w:tcW w:w="0" w:type="auto"/>
            <w:vMerge/>
            <w:hideMark/>
          </w:tcPr>
          <w:p w14:paraId="3CE9BB84" w14:textId="77777777" w:rsidR="00247BC4" w:rsidRPr="00AA22F2" w:rsidRDefault="00247BC4" w:rsidP="00247BC4">
            <w:pPr>
              <w:cnfStyle w:val="000000000000" w:firstRow="0" w:lastRow="0" w:firstColumn="0" w:lastColumn="0" w:oddVBand="0" w:evenVBand="0" w:oddHBand="0" w:evenHBand="0" w:firstRowFirstColumn="0" w:firstRowLastColumn="0" w:lastRowFirstColumn="0" w:lastRowLastColumn="0"/>
              <w:rPr>
                <w:b/>
                <w:szCs w:val="20"/>
              </w:rPr>
            </w:pPr>
          </w:p>
        </w:tc>
        <w:tc>
          <w:tcPr>
            <w:tcW w:w="0" w:type="auto"/>
            <w:hideMark/>
          </w:tcPr>
          <w:p w14:paraId="6DCB7A89" w14:textId="77777777" w:rsidR="00247BC4" w:rsidRPr="00AA22F2" w:rsidRDefault="00247BC4" w:rsidP="00247BC4">
            <w:pPr>
              <w:cnfStyle w:val="000000000000" w:firstRow="0" w:lastRow="0" w:firstColumn="0" w:lastColumn="0" w:oddVBand="0" w:evenVBand="0" w:oddHBand="0" w:evenHBand="0" w:firstRowFirstColumn="0" w:firstRowLastColumn="0" w:lastRowFirstColumn="0" w:lastRowLastColumn="0"/>
              <w:rPr>
                <w:b/>
                <w:szCs w:val="20"/>
              </w:rPr>
            </w:pPr>
            <w:r w:rsidRPr="00AA22F2">
              <w:rPr>
                <w:b/>
                <w:bCs/>
                <w:szCs w:val="20"/>
              </w:rPr>
              <w:t>Gravité des conséquences</w:t>
            </w:r>
          </w:p>
        </w:tc>
        <w:tc>
          <w:tcPr>
            <w:tcW w:w="0" w:type="auto"/>
            <w:hideMark/>
          </w:tcPr>
          <w:p w14:paraId="3228D3D4" w14:textId="77777777" w:rsidR="00247BC4" w:rsidRPr="004637C7" w:rsidRDefault="00247BC4" w:rsidP="00247BC4">
            <w:pPr>
              <w:cnfStyle w:val="000000000000" w:firstRow="0" w:lastRow="0" w:firstColumn="0" w:lastColumn="0" w:oddVBand="0" w:evenVBand="0" w:oddHBand="0" w:evenHBand="0" w:firstRowFirstColumn="0" w:firstRowLastColumn="0" w:lastRowFirstColumn="0" w:lastRowLastColumn="0"/>
              <w:rPr>
                <w:bCs/>
                <w:szCs w:val="20"/>
              </w:rPr>
            </w:pPr>
            <w:r w:rsidRPr="004637C7">
              <w:rPr>
                <w:bCs/>
                <w:szCs w:val="20"/>
              </w:rPr>
              <w:t>Conséquences sanitaires graves et durables sur la santé des travailleurs et riverains</w:t>
            </w:r>
          </w:p>
        </w:tc>
        <w:tc>
          <w:tcPr>
            <w:tcW w:w="0" w:type="auto"/>
            <w:hideMark/>
          </w:tcPr>
          <w:p w14:paraId="635341CF" w14:textId="77777777" w:rsidR="00247BC4" w:rsidRPr="00AA22F2" w:rsidRDefault="00247BC4" w:rsidP="00247BC4">
            <w:pPr>
              <w:cnfStyle w:val="000000000000" w:firstRow="0" w:lastRow="0" w:firstColumn="0" w:lastColumn="0" w:oddVBand="0" w:evenVBand="0" w:oddHBand="0" w:evenHBand="0" w:firstRowFirstColumn="0" w:firstRowLastColumn="0" w:lastRowFirstColumn="0" w:lastRowLastColumn="0"/>
              <w:rPr>
                <w:b/>
                <w:szCs w:val="20"/>
              </w:rPr>
            </w:pPr>
            <w:r w:rsidRPr="00AA22F2">
              <w:rPr>
                <w:b/>
                <w:szCs w:val="20"/>
              </w:rPr>
              <w:t>Majeure</w:t>
            </w:r>
          </w:p>
        </w:tc>
      </w:tr>
      <w:tr w:rsidR="00247BC4" w:rsidRPr="00247BC4" w14:paraId="52640DD2" w14:textId="77777777" w:rsidTr="005A7661">
        <w:tc>
          <w:tcPr>
            <w:cnfStyle w:val="001000000000" w:firstRow="0" w:lastRow="0" w:firstColumn="1" w:lastColumn="0" w:oddVBand="0" w:evenVBand="0" w:oddHBand="0" w:evenHBand="0" w:firstRowFirstColumn="0" w:firstRowLastColumn="0" w:lastRowFirstColumn="0" w:lastRowLastColumn="0"/>
            <w:tcW w:w="0" w:type="auto"/>
            <w:vMerge/>
            <w:hideMark/>
          </w:tcPr>
          <w:p w14:paraId="6F53BEBA" w14:textId="77777777" w:rsidR="00247BC4" w:rsidRPr="00AA22F2" w:rsidRDefault="00247BC4" w:rsidP="00247BC4">
            <w:pPr>
              <w:rPr>
                <w:szCs w:val="20"/>
              </w:rPr>
            </w:pPr>
          </w:p>
        </w:tc>
        <w:tc>
          <w:tcPr>
            <w:tcW w:w="0" w:type="auto"/>
            <w:vMerge/>
            <w:hideMark/>
          </w:tcPr>
          <w:p w14:paraId="7AC8C5ED" w14:textId="77777777" w:rsidR="00247BC4" w:rsidRPr="00AA22F2" w:rsidRDefault="00247BC4" w:rsidP="00247BC4">
            <w:pPr>
              <w:cnfStyle w:val="000000000000" w:firstRow="0" w:lastRow="0" w:firstColumn="0" w:lastColumn="0" w:oddVBand="0" w:evenVBand="0" w:oddHBand="0" w:evenHBand="0" w:firstRowFirstColumn="0" w:firstRowLastColumn="0" w:lastRowFirstColumn="0" w:lastRowLastColumn="0"/>
              <w:rPr>
                <w:b/>
                <w:szCs w:val="20"/>
              </w:rPr>
            </w:pPr>
          </w:p>
        </w:tc>
        <w:tc>
          <w:tcPr>
            <w:tcW w:w="0" w:type="auto"/>
            <w:hideMark/>
          </w:tcPr>
          <w:p w14:paraId="035E05B8" w14:textId="77777777" w:rsidR="00247BC4" w:rsidRPr="00AA22F2" w:rsidRDefault="00247BC4" w:rsidP="00247BC4">
            <w:pPr>
              <w:cnfStyle w:val="000000000000" w:firstRow="0" w:lastRow="0" w:firstColumn="0" w:lastColumn="0" w:oddVBand="0" w:evenVBand="0" w:oddHBand="0" w:evenHBand="0" w:firstRowFirstColumn="0" w:firstRowLastColumn="0" w:lastRowFirstColumn="0" w:lastRowLastColumn="0"/>
              <w:rPr>
                <w:b/>
                <w:szCs w:val="20"/>
              </w:rPr>
            </w:pPr>
            <w:r w:rsidRPr="00AA22F2">
              <w:rPr>
                <w:b/>
                <w:bCs/>
                <w:szCs w:val="20"/>
              </w:rPr>
              <w:t>Évaluation globale du risque</w:t>
            </w:r>
          </w:p>
        </w:tc>
        <w:tc>
          <w:tcPr>
            <w:tcW w:w="0" w:type="auto"/>
            <w:hideMark/>
          </w:tcPr>
          <w:p w14:paraId="490E179E" w14:textId="77777777" w:rsidR="00247BC4" w:rsidRPr="004637C7" w:rsidRDefault="00247BC4" w:rsidP="00247BC4">
            <w:pPr>
              <w:cnfStyle w:val="000000000000" w:firstRow="0" w:lastRow="0" w:firstColumn="0" w:lastColumn="0" w:oddVBand="0" w:evenVBand="0" w:oddHBand="0" w:evenHBand="0" w:firstRowFirstColumn="0" w:firstRowLastColumn="0" w:lastRowFirstColumn="0" w:lastRowLastColumn="0"/>
              <w:rPr>
                <w:bCs/>
                <w:szCs w:val="20"/>
              </w:rPr>
            </w:pPr>
            <w:r w:rsidRPr="004637C7">
              <w:rPr>
                <w:bCs/>
                <w:szCs w:val="20"/>
              </w:rPr>
              <w:t>Criticité élevée — nécessite des actions d’éducation et de prévention</w:t>
            </w:r>
          </w:p>
        </w:tc>
        <w:tc>
          <w:tcPr>
            <w:tcW w:w="0" w:type="auto"/>
            <w:hideMark/>
          </w:tcPr>
          <w:p w14:paraId="3CACF5F2" w14:textId="3F05CD68" w:rsidR="00247BC4" w:rsidRPr="00AA22F2" w:rsidRDefault="00247BC4" w:rsidP="00247BC4">
            <w:pPr>
              <w:cnfStyle w:val="000000000000" w:firstRow="0" w:lastRow="0" w:firstColumn="0" w:lastColumn="0" w:oddVBand="0" w:evenVBand="0" w:oddHBand="0" w:evenHBand="0" w:firstRowFirstColumn="0" w:firstRowLastColumn="0" w:lastRowFirstColumn="0" w:lastRowLastColumn="0"/>
              <w:rPr>
                <w:b/>
                <w:szCs w:val="20"/>
              </w:rPr>
            </w:pPr>
            <w:r w:rsidRPr="00AA22F2">
              <w:rPr>
                <w:b/>
                <w:szCs w:val="20"/>
              </w:rPr>
              <w:t>Critique</w:t>
            </w:r>
          </w:p>
        </w:tc>
      </w:tr>
    </w:tbl>
    <w:p w14:paraId="20B1CBA4" w14:textId="77777777" w:rsidR="00B42501" w:rsidRDefault="00B42501" w:rsidP="00090197">
      <w:pPr>
        <w:rPr>
          <w:rStyle w:val="lev"/>
          <w:bCs w:val="0"/>
        </w:rPr>
      </w:pPr>
    </w:p>
    <w:p w14:paraId="29893AD9" w14:textId="77777777" w:rsidR="00E20861" w:rsidRDefault="00E20861" w:rsidP="00090197">
      <w:pPr>
        <w:rPr>
          <w:rStyle w:val="lev"/>
          <w:bCs w:val="0"/>
        </w:rPr>
      </w:pPr>
    </w:p>
    <w:p w14:paraId="66C203B3" w14:textId="77777777" w:rsidR="00E20861" w:rsidRDefault="00E20861" w:rsidP="00090197">
      <w:pPr>
        <w:rPr>
          <w:rStyle w:val="lev"/>
          <w:bCs w:val="0"/>
        </w:rPr>
      </w:pPr>
    </w:p>
    <w:p w14:paraId="43671CB3" w14:textId="77777777" w:rsidR="007832C6" w:rsidRPr="004637C7" w:rsidRDefault="007832C6" w:rsidP="004637C7">
      <w:pPr>
        <w:rPr>
          <w:rStyle w:val="lev"/>
          <w:bCs w:val="0"/>
        </w:rPr>
        <w:sectPr w:rsidR="007832C6" w:rsidRPr="004637C7" w:rsidSect="006C1613">
          <w:headerReference w:type="default" r:id="rId140"/>
          <w:footerReference w:type="default" r:id="rId141"/>
          <w:pgSz w:w="11906" w:h="16838"/>
          <w:pgMar w:top="1418" w:right="1418" w:bottom="1276" w:left="1418" w:header="680" w:footer="680" w:gutter="0"/>
          <w:cols w:space="708"/>
          <w:docGrid w:linePitch="360"/>
        </w:sectPr>
      </w:pPr>
    </w:p>
    <w:p w14:paraId="1C24AAF6" w14:textId="6653033C" w:rsidR="008F45A8" w:rsidRPr="008F45A8" w:rsidRDefault="008F45A8" w:rsidP="004637C7">
      <w:pPr>
        <w:pStyle w:val="Title5"/>
      </w:pPr>
      <w:r>
        <w:lastRenderedPageBreak/>
        <w:t>Mesures d’a</w:t>
      </w:r>
      <w:r w:rsidRPr="008F45A8">
        <w:t>tténuation</w:t>
      </w:r>
    </w:p>
    <w:p w14:paraId="45BF67D3" w14:textId="2349EF8C" w:rsidR="008F45A8" w:rsidRDefault="004B4D12" w:rsidP="004B4D12">
      <w:pPr>
        <w:pStyle w:val="Lgende"/>
        <w:rPr>
          <w:lang w:val="fr-FR"/>
        </w:rPr>
      </w:pPr>
      <w:bookmarkStart w:id="482" w:name="_bookmark216"/>
      <w:bookmarkStart w:id="483" w:name="_Toc213404387"/>
      <w:bookmarkEnd w:id="482"/>
      <w:r w:rsidRPr="002A0860">
        <w:rPr>
          <w:lang w:val="fr-FR"/>
        </w:rPr>
        <w:t xml:space="preserve">Tableau </w:t>
      </w:r>
      <w:r>
        <w:fldChar w:fldCharType="begin"/>
      </w:r>
      <w:r w:rsidRPr="002A0860">
        <w:rPr>
          <w:lang w:val="fr-FR"/>
        </w:rPr>
        <w:instrText xml:space="preserve"> SEQ Tableau \* ARABIC </w:instrText>
      </w:r>
      <w:r>
        <w:fldChar w:fldCharType="separate"/>
      </w:r>
      <w:r w:rsidR="00274E71">
        <w:rPr>
          <w:noProof/>
          <w:lang w:val="fr-FR"/>
        </w:rPr>
        <w:t>65</w:t>
      </w:r>
      <w:r>
        <w:fldChar w:fldCharType="end"/>
      </w:r>
      <w:r>
        <w:rPr>
          <w:noProof/>
          <w:lang w:val="fr-FR"/>
        </w:rPr>
        <w:t xml:space="preserve">: </w:t>
      </w:r>
      <w:r w:rsidR="008F45A8" w:rsidRPr="002A0860">
        <w:rPr>
          <w:lang w:val="fr-FR"/>
        </w:rPr>
        <w:t xml:space="preserve">Mesures d'atténuation – Santé sécurité </w:t>
      </w:r>
      <w:r w:rsidR="0098365E">
        <w:rPr>
          <w:lang w:val="fr-FR"/>
        </w:rPr>
        <w:t>des travailleurs en phase construction</w:t>
      </w:r>
      <w:bookmarkEnd w:id="483"/>
    </w:p>
    <w:tbl>
      <w:tblPr>
        <w:tblStyle w:val="TableauGrille1Clair-Accentuation111"/>
        <w:tblW w:w="0" w:type="auto"/>
        <w:tblLook w:val="04A0" w:firstRow="1" w:lastRow="0" w:firstColumn="1" w:lastColumn="0" w:noHBand="0" w:noVBand="1"/>
      </w:tblPr>
      <w:tblGrid>
        <w:gridCol w:w="1652"/>
        <w:gridCol w:w="1388"/>
        <w:gridCol w:w="2256"/>
        <w:gridCol w:w="1627"/>
        <w:gridCol w:w="953"/>
        <w:gridCol w:w="1429"/>
        <w:gridCol w:w="717"/>
        <w:gridCol w:w="1463"/>
        <w:gridCol w:w="2649"/>
      </w:tblGrid>
      <w:tr w:rsidR="00722638" w:rsidRPr="00D75525" w14:paraId="7E745B9C" w14:textId="77777777" w:rsidTr="00DE2005">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0" w:type="auto"/>
            <w:hideMark/>
          </w:tcPr>
          <w:p w14:paraId="370B6B30" w14:textId="77777777" w:rsidR="00065104" w:rsidRPr="00AA22F2" w:rsidRDefault="00065104" w:rsidP="00065104">
            <w:pPr>
              <w:rPr>
                <w:szCs w:val="20"/>
                <w:lang w:eastAsia="fr-FR" w:bidi="ar-SA"/>
              </w:rPr>
            </w:pPr>
            <w:r w:rsidRPr="00AA22F2">
              <w:rPr>
                <w:szCs w:val="20"/>
                <w:lang w:eastAsia="fr-FR" w:bidi="ar-SA"/>
              </w:rPr>
              <w:t>Impact / Risque</w:t>
            </w:r>
          </w:p>
        </w:tc>
        <w:tc>
          <w:tcPr>
            <w:tcW w:w="0" w:type="auto"/>
            <w:hideMark/>
          </w:tcPr>
          <w:p w14:paraId="4C1BE5A1" w14:textId="77777777" w:rsidR="00065104" w:rsidRPr="00AA22F2" w:rsidRDefault="00065104" w:rsidP="00065104">
            <w:pPr>
              <w:cnfStyle w:val="100000000000" w:firstRow="1" w:lastRow="0" w:firstColumn="0" w:lastColumn="0" w:oddVBand="0" w:evenVBand="0" w:oddHBand="0" w:evenHBand="0" w:firstRowFirstColumn="0" w:firstRowLastColumn="0" w:lastRowFirstColumn="0" w:lastRowLastColumn="0"/>
              <w:rPr>
                <w:szCs w:val="20"/>
                <w:lang w:eastAsia="fr-FR" w:bidi="ar-SA"/>
              </w:rPr>
            </w:pPr>
            <w:r w:rsidRPr="00AA22F2">
              <w:rPr>
                <w:szCs w:val="20"/>
                <w:lang w:eastAsia="fr-FR" w:bidi="ar-SA"/>
              </w:rPr>
              <w:t>Niveau d’atténuation</w:t>
            </w:r>
          </w:p>
        </w:tc>
        <w:tc>
          <w:tcPr>
            <w:tcW w:w="0" w:type="auto"/>
            <w:hideMark/>
          </w:tcPr>
          <w:p w14:paraId="65453F7B" w14:textId="77777777" w:rsidR="00065104" w:rsidRPr="00AA22F2" w:rsidRDefault="00065104" w:rsidP="00065104">
            <w:pPr>
              <w:cnfStyle w:val="100000000000" w:firstRow="1" w:lastRow="0" w:firstColumn="0" w:lastColumn="0" w:oddVBand="0" w:evenVBand="0" w:oddHBand="0" w:evenHBand="0" w:firstRowFirstColumn="0" w:firstRowLastColumn="0" w:lastRowFirstColumn="0" w:lastRowLastColumn="0"/>
              <w:rPr>
                <w:szCs w:val="20"/>
                <w:lang w:eastAsia="fr-FR" w:bidi="ar-SA"/>
              </w:rPr>
            </w:pPr>
            <w:r w:rsidRPr="00AA22F2">
              <w:rPr>
                <w:szCs w:val="20"/>
                <w:lang w:eastAsia="fr-FR" w:bidi="ar-SA"/>
              </w:rPr>
              <w:t>Mesures d’atténuation / de gestion</w:t>
            </w:r>
          </w:p>
        </w:tc>
        <w:tc>
          <w:tcPr>
            <w:tcW w:w="0" w:type="auto"/>
            <w:hideMark/>
          </w:tcPr>
          <w:p w14:paraId="2CA14466" w14:textId="77777777" w:rsidR="00065104" w:rsidRPr="00AA22F2" w:rsidRDefault="00065104" w:rsidP="00065104">
            <w:pPr>
              <w:cnfStyle w:val="100000000000" w:firstRow="1" w:lastRow="0" w:firstColumn="0" w:lastColumn="0" w:oddVBand="0" w:evenVBand="0" w:oddHBand="0" w:evenHBand="0" w:firstRowFirstColumn="0" w:firstRowLastColumn="0" w:lastRowFirstColumn="0" w:lastRowLastColumn="0"/>
              <w:rPr>
                <w:szCs w:val="20"/>
                <w:lang w:eastAsia="fr-FR" w:bidi="ar-SA"/>
              </w:rPr>
            </w:pPr>
            <w:r w:rsidRPr="00AA22F2">
              <w:rPr>
                <w:szCs w:val="20"/>
                <w:lang w:eastAsia="fr-FR" w:bidi="ar-SA"/>
              </w:rPr>
              <w:t>Indicateurs de performance (KPI)</w:t>
            </w:r>
          </w:p>
        </w:tc>
        <w:tc>
          <w:tcPr>
            <w:tcW w:w="0" w:type="auto"/>
            <w:hideMark/>
          </w:tcPr>
          <w:p w14:paraId="41C9DA6A" w14:textId="77777777" w:rsidR="00065104" w:rsidRPr="00AA22F2" w:rsidRDefault="00065104" w:rsidP="00065104">
            <w:pPr>
              <w:cnfStyle w:val="100000000000" w:firstRow="1" w:lastRow="0" w:firstColumn="0" w:lastColumn="0" w:oddVBand="0" w:evenVBand="0" w:oddHBand="0" w:evenHBand="0" w:firstRowFirstColumn="0" w:firstRowLastColumn="0" w:lastRowFirstColumn="0" w:lastRowLastColumn="0"/>
              <w:rPr>
                <w:szCs w:val="20"/>
                <w:lang w:eastAsia="fr-FR" w:bidi="ar-SA"/>
              </w:rPr>
            </w:pPr>
            <w:r w:rsidRPr="00AA22F2">
              <w:rPr>
                <w:szCs w:val="20"/>
                <w:lang w:eastAsia="fr-FR" w:bidi="ar-SA"/>
              </w:rPr>
              <w:t>Mise en œuvre</w:t>
            </w:r>
          </w:p>
        </w:tc>
        <w:tc>
          <w:tcPr>
            <w:tcW w:w="0" w:type="auto"/>
            <w:hideMark/>
          </w:tcPr>
          <w:p w14:paraId="77CCFAC8" w14:textId="77777777" w:rsidR="00065104" w:rsidRPr="00AA22F2" w:rsidRDefault="00065104" w:rsidP="00065104">
            <w:pPr>
              <w:cnfStyle w:val="100000000000" w:firstRow="1" w:lastRow="0" w:firstColumn="0" w:lastColumn="0" w:oddVBand="0" w:evenVBand="0" w:oddHBand="0" w:evenHBand="0" w:firstRowFirstColumn="0" w:firstRowLastColumn="0" w:lastRowFirstColumn="0" w:lastRowLastColumn="0"/>
              <w:rPr>
                <w:szCs w:val="20"/>
                <w:lang w:eastAsia="fr-FR" w:bidi="ar-SA"/>
              </w:rPr>
            </w:pPr>
            <w:r w:rsidRPr="00AA22F2">
              <w:rPr>
                <w:szCs w:val="20"/>
                <w:lang w:eastAsia="fr-FR" w:bidi="ar-SA"/>
              </w:rPr>
              <w:t>Surveillance</w:t>
            </w:r>
          </w:p>
        </w:tc>
        <w:tc>
          <w:tcPr>
            <w:tcW w:w="0" w:type="auto"/>
            <w:hideMark/>
          </w:tcPr>
          <w:p w14:paraId="0DBDC88A" w14:textId="77777777" w:rsidR="00065104" w:rsidRPr="00AA22F2" w:rsidRDefault="00065104" w:rsidP="00065104">
            <w:pPr>
              <w:cnfStyle w:val="100000000000" w:firstRow="1" w:lastRow="0" w:firstColumn="0" w:lastColumn="0" w:oddVBand="0" w:evenVBand="0" w:oddHBand="0" w:evenHBand="0" w:firstRowFirstColumn="0" w:firstRowLastColumn="0" w:lastRowFirstColumn="0" w:lastRowLastColumn="0"/>
              <w:rPr>
                <w:szCs w:val="20"/>
                <w:lang w:eastAsia="fr-FR" w:bidi="ar-SA"/>
              </w:rPr>
            </w:pPr>
            <w:r w:rsidRPr="00AA22F2">
              <w:rPr>
                <w:szCs w:val="20"/>
                <w:lang w:eastAsia="fr-FR" w:bidi="ar-SA"/>
              </w:rPr>
              <w:t>Suivi</w:t>
            </w:r>
          </w:p>
        </w:tc>
        <w:tc>
          <w:tcPr>
            <w:tcW w:w="0" w:type="auto"/>
            <w:hideMark/>
          </w:tcPr>
          <w:p w14:paraId="44C30F9A" w14:textId="77777777" w:rsidR="00065104" w:rsidRPr="00AA22F2" w:rsidRDefault="00065104" w:rsidP="00065104">
            <w:pPr>
              <w:cnfStyle w:val="100000000000" w:firstRow="1" w:lastRow="0" w:firstColumn="0" w:lastColumn="0" w:oddVBand="0" w:evenVBand="0" w:oddHBand="0" w:evenHBand="0" w:firstRowFirstColumn="0" w:firstRowLastColumn="0" w:lastRowFirstColumn="0" w:lastRowLastColumn="0"/>
              <w:rPr>
                <w:szCs w:val="20"/>
                <w:lang w:eastAsia="fr-FR" w:bidi="ar-SA"/>
              </w:rPr>
            </w:pPr>
            <w:r w:rsidRPr="00AA22F2">
              <w:rPr>
                <w:szCs w:val="20"/>
                <w:lang w:eastAsia="fr-FR" w:bidi="ar-SA"/>
              </w:rPr>
              <w:t>Calendrier</w:t>
            </w:r>
          </w:p>
        </w:tc>
        <w:tc>
          <w:tcPr>
            <w:tcW w:w="0" w:type="auto"/>
            <w:hideMark/>
          </w:tcPr>
          <w:p w14:paraId="0A3A6D00" w14:textId="77777777" w:rsidR="00065104" w:rsidRPr="00AA22F2" w:rsidRDefault="00065104" w:rsidP="00065104">
            <w:pPr>
              <w:cnfStyle w:val="100000000000" w:firstRow="1" w:lastRow="0" w:firstColumn="0" w:lastColumn="0" w:oddVBand="0" w:evenVBand="0" w:oddHBand="0" w:evenHBand="0" w:firstRowFirstColumn="0" w:firstRowLastColumn="0" w:lastRowFirstColumn="0" w:lastRowLastColumn="0"/>
              <w:rPr>
                <w:szCs w:val="20"/>
                <w:lang w:eastAsia="fr-FR" w:bidi="ar-SA"/>
              </w:rPr>
            </w:pPr>
            <w:r w:rsidRPr="00AA22F2">
              <w:rPr>
                <w:szCs w:val="20"/>
                <w:lang w:eastAsia="fr-FR" w:bidi="ar-SA"/>
              </w:rPr>
              <w:t>Coût</w:t>
            </w:r>
          </w:p>
        </w:tc>
      </w:tr>
      <w:tr w:rsidR="004A0A2E" w:rsidRPr="00D75525" w14:paraId="139EEC86" w14:textId="77777777" w:rsidTr="00D16092">
        <w:trPr>
          <w:trHeight w:val="1724"/>
        </w:trPr>
        <w:tc>
          <w:tcPr>
            <w:cnfStyle w:val="001000000000" w:firstRow="0" w:lastRow="0" w:firstColumn="1" w:lastColumn="0" w:oddVBand="0" w:evenVBand="0" w:oddHBand="0" w:evenHBand="0" w:firstRowFirstColumn="0" w:firstRowLastColumn="0" w:lastRowFirstColumn="0" w:lastRowLastColumn="0"/>
            <w:tcW w:w="0" w:type="auto"/>
            <w:vMerge w:val="restart"/>
            <w:hideMark/>
          </w:tcPr>
          <w:p w14:paraId="50EB5BDE" w14:textId="77777777" w:rsidR="004A0A2E" w:rsidRPr="00AA22F2" w:rsidRDefault="004A0A2E" w:rsidP="006D1412">
            <w:pPr>
              <w:rPr>
                <w:szCs w:val="20"/>
                <w:lang w:eastAsia="fr-FR" w:bidi="ar-SA"/>
              </w:rPr>
            </w:pPr>
            <w:r w:rsidRPr="00AA22F2">
              <w:rPr>
                <w:szCs w:val="20"/>
                <w:lang w:eastAsia="fr-FR" w:bidi="ar-SA"/>
              </w:rPr>
              <w:t>Exposition aux conditions climatiques extrêmes</w:t>
            </w:r>
          </w:p>
        </w:tc>
        <w:tc>
          <w:tcPr>
            <w:tcW w:w="0" w:type="auto"/>
            <w:vMerge w:val="restart"/>
            <w:hideMark/>
          </w:tcPr>
          <w:p w14:paraId="70303893" w14:textId="77777777" w:rsidR="004A0A2E" w:rsidRPr="00AA22F2" w:rsidRDefault="004A0A2E" w:rsidP="006D1412">
            <w:pPr>
              <w:cnfStyle w:val="000000000000" w:firstRow="0" w:lastRow="0" w:firstColumn="0" w:lastColumn="0" w:oddVBand="0" w:evenVBand="0" w:oddHBand="0" w:evenHBand="0" w:firstRowFirstColumn="0" w:firstRowLastColumn="0" w:lastRowFirstColumn="0" w:lastRowLastColumn="0"/>
              <w:rPr>
                <w:szCs w:val="20"/>
                <w:lang w:eastAsia="fr-FR" w:bidi="ar-SA"/>
              </w:rPr>
            </w:pPr>
            <w:r w:rsidRPr="00AA22F2">
              <w:rPr>
                <w:b/>
                <w:bCs/>
                <w:szCs w:val="20"/>
                <w:lang w:eastAsia="fr-FR" w:bidi="ar-SA"/>
              </w:rPr>
              <w:t>Éviter</w:t>
            </w:r>
          </w:p>
        </w:tc>
        <w:tc>
          <w:tcPr>
            <w:tcW w:w="0" w:type="auto"/>
            <w:tcBorders>
              <w:bottom w:val="single" w:sz="4" w:space="0" w:color="B4C6E7" w:themeColor="accent1" w:themeTint="66"/>
            </w:tcBorders>
            <w:hideMark/>
          </w:tcPr>
          <w:p w14:paraId="2CDA6251" w14:textId="77777777" w:rsidR="004A0A2E" w:rsidRPr="00AA22F2" w:rsidRDefault="004A0A2E" w:rsidP="006D1412">
            <w:pPr>
              <w:cnfStyle w:val="000000000000" w:firstRow="0" w:lastRow="0" w:firstColumn="0" w:lastColumn="0" w:oddVBand="0" w:evenVBand="0" w:oddHBand="0" w:evenHBand="0" w:firstRowFirstColumn="0" w:firstRowLastColumn="0" w:lastRowFirstColumn="0" w:lastRowLastColumn="0"/>
              <w:rPr>
                <w:szCs w:val="20"/>
                <w:lang w:eastAsia="fr-FR" w:bidi="ar-SA"/>
              </w:rPr>
            </w:pPr>
            <w:r w:rsidRPr="00AA22F2">
              <w:rPr>
                <w:szCs w:val="20"/>
                <w:lang w:eastAsia="fr-FR" w:bidi="ar-SA"/>
              </w:rPr>
              <w:t xml:space="preserve">Planifier les tâches physiques lourdes aux heures les plus fraîches ; </w:t>
            </w:r>
          </w:p>
          <w:p w14:paraId="04F752F2" w14:textId="381D94E6" w:rsidR="004A0A2E" w:rsidRPr="00AA22F2" w:rsidRDefault="004A0A2E" w:rsidP="006D1412">
            <w:pPr>
              <w:cnfStyle w:val="000000000000" w:firstRow="0" w:lastRow="0" w:firstColumn="0" w:lastColumn="0" w:oddVBand="0" w:evenVBand="0" w:oddHBand="0" w:evenHBand="0" w:firstRowFirstColumn="0" w:firstRowLastColumn="0" w:lastRowFirstColumn="0" w:lastRowLastColumn="0"/>
              <w:rPr>
                <w:szCs w:val="20"/>
                <w:lang w:eastAsia="fr-FR" w:bidi="ar-SA"/>
              </w:rPr>
            </w:pPr>
            <w:r w:rsidRPr="00AA22F2">
              <w:rPr>
                <w:szCs w:val="20"/>
                <w:lang w:eastAsia="fr-FR" w:bidi="ar-SA"/>
              </w:rPr>
              <w:t xml:space="preserve">Suspendre les travaux en cas de températures extrêmes ; </w:t>
            </w:r>
          </w:p>
        </w:tc>
        <w:tc>
          <w:tcPr>
            <w:tcW w:w="0" w:type="auto"/>
            <w:vMerge w:val="restart"/>
            <w:hideMark/>
          </w:tcPr>
          <w:p w14:paraId="7D949275" w14:textId="77777777" w:rsidR="004A0A2E" w:rsidRPr="00AA22F2" w:rsidRDefault="004A0A2E" w:rsidP="006D1412">
            <w:pPr>
              <w:cnfStyle w:val="000000000000" w:firstRow="0" w:lastRow="0" w:firstColumn="0" w:lastColumn="0" w:oddVBand="0" w:evenVBand="0" w:oddHBand="0" w:evenHBand="0" w:firstRowFirstColumn="0" w:firstRowLastColumn="0" w:lastRowFirstColumn="0" w:lastRowLastColumn="0"/>
              <w:rPr>
                <w:szCs w:val="20"/>
                <w:lang w:eastAsia="fr-FR" w:bidi="ar-SA"/>
              </w:rPr>
            </w:pPr>
            <w:r w:rsidRPr="00AA22F2">
              <w:rPr>
                <w:szCs w:val="20"/>
                <w:lang w:eastAsia="fr-FR" w:bidi="ar-SA"/>
              </w:rPr>
              <w:t xml:space="preserve">% de tâches replanifiées </w:t>
            </w:r>
          </w:p>
          <w:p w14:paraId="1F35C4FD" w14:textId="0D84A4EE" w:rsidR="004A0A2E" w:rsidRPr="00AA22F2" w:rsidRDefault="004A0A2E" w:rsidP="006D1412">
            <w:pPr>
              <w:cnfStyle w:val="000000000000" w:firstRow="0" w:lastRow="0" w:firstColumn="0" w:lastColumn="0" w:oddVBand="0" w:evenVBand="0" w:oddHBand="0" w:evenHBand="0" w:firstRowFirstColumn="0" w:firstRowLastColumn="0" w:lastRowFirstColumn="0" w:lastRowLastColumn="0"/>
              <w:rPr>
                <w:szCs w:val="20"/>
                <w:lang w:eastAsia="fr-FR" w:bidi="ar-SA"/>
              </w:rPr>
            </w:pPr>
            <w:r w:rsidRPr="00AA22F2">
              <w:rPr>
                <w:szCs w:val="20"/>
                <w:lang w:eastAsia="fr-FR" w:bidi="ar-SA"/>
              </w:rPr>
              <w:t>Nb de zones d’ombre créées</w:t>
            </w:r>
          </w:p>
        </w:tc>
        <w:tc>
          <w:tcPr>
            <w:tcW w:w="0" w:type="auto"/>
            <w:vMerge w:val="restart"/>
            <w:hideMark/>
          </w:tcPr>
          <w:p w14:paraId="6CD2E4CA" w14:textId="760F71F6" w:rsidR="004A0A2E" w:rsidRPr="00AA22F2" w:rsidRDefault="004A0A2E" w:rsidP="006D1412">
            <w:pPr>
              <w:cnfStyle w:val="000000000000" w:firstRow="0" w:lastRow="0" w:firstColumn="0" w:lastColumn="0" w:oddVBand="0" w:evenVBand="0" w:oddHBand="0" w:evenHBand="0" w:firstRowFirstColumn="0" w:firstRowLastColumn="0" w:lastRowFirstColumn="0" w:lastRowLastColumn="0"/>
              <w:rPr>
                <w:szCs w:val="20"/>
                <w:lang w:eastAsia="fr-FR" w:bidi="ar-SA"/>
              </w:rPr>
            </w:pPr>
            <w:r w:rsidRPr="00AA22F2">
              <w:rPr>
                <w:szCs w:val="20"/>
                <w:lang w:eastAsia="fr-FR" w:bidi="ar-SA"/>
              </w:rPr>
              <w:t>EPC et sous-traitants</w:t>
            </w:r>
          </w:p>
        </w:tc>
        <w:tc>
          <w:tcPr>
            <w:tcW w:w="0" w:type="auto"/>
            <w:vMerge w:val="restart"/>
            <w:hideMark/>
          </w:tcPr>
          <w:p w14:paraId="71A01323" w14:textId="427EDE14" w:rsidR="004A0A2E" w:rsidRPr="00AA22F2" w:rsidRDefault="004A0A2E" w:rsidP="006D1412">
            <w:pPr>
              <w:cnfStyle w:val="000000000000" w:firstRow="0" w:lastRow="0" w:firstColumn="0" w:lastColumn="0" w:oddVBand="0" w:evenVBand="0" w:oddHBand="0" w:evenHBand="0" w:firstRowFirstColumn="0" w:firstRowLastColumn="0" w:lastRowFirstColumn="0" w:lastRowLastColumn="0"/>
              <w:rPr>
                <w:szCs w:val="20"/>
                <w:lang w:eastAsia="fr-FR" w:bidi="ar-SA"/>
              </w:rPr>
            </w:pPr>
            <w:r w:rsidRPr="00BC1745">
              <w:rPr>
                <w:szCs w:val="20"/>
              </w:rPr>
              <w:t>Bureau de contrôle / Consultant de supervision mandaté par l’ONDA</w:t>
            </w:r>
          </w:p>
        </w:tc>
        <w:tc>
          <w:tcPr>
            <w:tcW w:w="0" w:type="auto"/>
            <w:vMerge w:val="restart"/>
            <w:hideMark/>
          </w:tcPr>
          <w:p w14:paraId="250B2C5D" w14:textId="48C22040" w:rsidR="004A0A2E" w:rsidRPr="00AA22F2" w:rsidRDefault="004A0A2E" w:rsidP="006D1412">
            <w:pPr>
              <w:cnfStyle w:val="000000000000" w:firstRow="0" w:lastRow="0" w:firstColumn="0" w:lastColumn="0" w:oddVBand="0" w:evenVBand="0" w:oddHBand="0" w:evenHBand="0" w:firstRowFirstColumn="0" w:firstRowLastColumn="0" w:lastRowFirstColumn="0" w:lastRowLastColumn="0"/>
              <w:rPr>
                <w:szCs w:val="20"/>
                <w:lang w:eastAsia="fr-FR" w:bidi="ar-SA"/>
              </w:rPr>
            </w:pPr>
            <w:r w:rsidRPr="00AA22F2">
              <w:rPr>
                <w:szCs w:val="20"/>
                <w:lang w:eastAsia="fr-FR" w:bidi="ar-SA"/>
              </w:rPr>
              <w:t>ONDA</w:t>
            </w:r>
          </w:p>
        </w:tc>
        <w:tc>
          <w:tcPr>
            <w:tcW w:w="0" w:type="auto"/>
            <w:vMerge w:val="restart"/>
            <w:hideMark/>
          </w:tcPr>
          <w:p w14:paraId="38B1AEFF" w14:textId="77777777" w:rsidR="004A0A2E" w:rsidRPr="00AA22F2" w:rsidRDefault="004A0A2E" w:rsidP="006D1412">
            <w:pPr>
              <w:cnfStyle w:val="000000000000" w:firstRow="0" w:lastRow="0" w:firstColumn="0" w:lastColumn="0" w:oddVBand="0" w:evenVBand="0" w:oddHBand="0" w:evenHBand="0" w:firstRowFirstColumn="0" w:firstRowLastColumn="0" w:lastRowFirstColumn="0" w:lastRowLastColumn="0"/>
              <w:rPr>
                <w:szCs w:val="20"/>
                <w:lang w:eastAsia="fr-FR" w:bidi="ar-SA"/>
              </w:rPr>
            </w:pPr>
            <w:r w:rsidRPr="00AA22F2">
              <w:rPr>
                <w:szCs w:val="20"/>
                <w:lang w:eastAsia="fr-FR" w:bidi="ar-SA"/>
              </w:rPr>
              <w:t>Avant et durant l’été</w:t>
            </w:r>
          </w:p>
        </w:tc>
        <w:tc>
          <w:tcPr>
            <w:tcW w:w="0" w:type="auto"/>
            <w:tcBorders>
              <w:bottom w:val="single" w:sz="4" w:space="0" w:color="B4C6E7" w:themeColor="accent1" w:themeTint="66"/>
            </w:tcBorders>
            <w:hideMark/>
          </w:tcPr>
          <w:p w14:paraId="139343DB" w14:textId="25BF55A7" w:rsidR="004A0A2E" w:rsidRPr="00AA22F2" w:rsidRDefault="004A0A2E" w:rsidP="006D1412">
            <w:pPr>
              <w:cnfStyle w:val="000000000000" w:firstRow="0" w:lastRow="0" w:firstColumn="0" w:lastColumn="0" w:oddVBand="0" w:evenVBand="0" w:oddHBand="0" w:evenHBand="0" w:firstRowFirstColumn="0" w:firstRowLastColumn="0" w:lastRowFirstColumn="0" w:lastRowLastColumn="0"/>
              <w:rPr>
                <w:szCs w:val="20"/>
                <w:lang w:eastAsia="fr-FR" w:bidi="ar-SA"/>
              </w:rPr>
            </w:pPr>
            <w:r>
              <w:rPr>
                <w:szCs w:val="20"/>
                <w:lang w:eastAsia="fr-FR" w:bidi="ar-SA"/>
              </w:rPr>
              <w:t>Aucun coût spécifique</w:t>
            </w:r>
          </w:p>
        </w:tc>
      </w:tr>
      <w:tr w:rsidR="004A0A2E" w:rsidRPr="00D75525" w14:paraId="36FF4490" w14:textId="77777777" w:rsidTr="00D16092">
        <w:trPr>
          <w:trHeight w:val="720"/>
        </w:trPr>
        <w:tc>
          <w:tcPr>
            <w:cnfStyle w:val="001000000000" w:firstRow="0" w:lastRow="0" w:firstColumn="1" w:lastColumn="0" w:oddVBand="0" w:evenVBand="0" w:oddHBand="0" w:evenHBand="0" w:firstRowFirstColumn="0" w:firstRowLastColumn="0" w:lastRowFirstColumn="0" w:lastRowLastColumn="0"/>
            <w:tcW w:w="0" w:type="auto"/>
            <w:vMerge/>
          </w:tcPr>
          <w:p w14:paraId="6A21A8B1" w14:textId="77777777" w:rsidR="004A0A2E" w:rsidRPr="00AA22F2" w:rsidRDefault="004A0A2E" w:rsidP="006D1412">
            <w:pPr>
              <w:rPr>
                <w:szCs w:val="20"/>
                <w:lang w:eastAsia="fr-FR" w:bidi="ar-SA"/>
              </w:rPr>
            </w:pPr>
          </w:p>
        </w:tc>
        <w:tc>
          <w:tcPr>
            <w:tcW w:w="0" w:type="auto"/>
            <w:vMerge/>
          </w:tcPr>
          <w:p w14:paraId="28517867" w14:textId="77777777" w:rsidR="004A0A2E" w:rsidRPr="00AA22F2" w:rsidRDefault="004A0A2E" w:rsidP="006D1412">
            <w:pPr>
              <w:cnfStyle w:val="000000000000" w:firstRow="0" w:lastRow="0" w:firstColumn="0" w:lastColumn="0" w:oddVBand="0" w:evenVBand="0" w:oddHBand="0" w:evenHBand="0" w:firstRowFirstColumn="0" w:firstRowLastColumn="0" w:lastRowFirstColumn="0" w:lastRowLastColumn="0"/>
              <w:rPr>
                <w:b/>
                <w:bCs/>
                <w:szCs w:val="20"/>
                <w:lang w:eastAsia="fr-FR" w:bidi="ar-SA"/>
              </w:rPr>
            </w:pPr>
          </w:p>
        </w:tc>
        <w:tc>
          <w:tcPr>
            <w:tcW w:w="0" w:type="auto"/>
            <w:tcBorders>
              <w:top w:val="single" w:sz="4" w:space="0" w:color="B4C6E7" w:themeColor="accent1" w:themeTint="66"/>
            </w:tcBorders>
          </w:tcPr>
          <w:p w14:paraId="5884C2AF" w14:textId="77777777" w:rsidR="004A0A2E" w:rsidRPr="00AA22F2" w:rsidRDefault="004A0A2E" w:rsidP="00D16092">
            <w:pPr>
              <w:cnfStyle w:val="000000000000" w:firstRow="0" w:lastRow="0" w:firstColumn="0" w:lastColumn="0" w:oddVBand="0" w:evenVBand="0" w:oddHBand="0" w:evenHBand="0" w:firstRowFirstColumn="0" w:firstRowLastColumn="0" w:lastRowFirstColumn="0" w:lastRowLastColumn="0"/>
              <w:rPr>
                <w:szCs w:val="20"/>
                <w:lang w:eastAsia="fr-FR" w:bidi="ar-SA"/>
              </w:rPr>
            </w:pPr>
            <w:r w:rsidRPr="00AA22F2">
              <w:rPr>
                <w:szCs w:val="20"/>
                <w:lang w:eastAsia="fr-FR" w:bidi="ar-SA"/>
              </w:rPr>
              <w:t>Aménager des zones d’ombre fixes et mobiles sur le site.</w:t>
            </w:r>
          </w:p>
        </w:tc>
        <w:tc>
          <w:tcPr>
            <w:tcW w:w="0" w:type="auto"/>
            <w:vMerge/>
          </w:tcPr>
          <w:p w14:paraId="782DA769" w14:textId="77777777" w:rsidR="004A0A2E" w:rsidRPr="00AA22F2" w:rsidRDefault="004A0A2E" w:rsidP="006D1412">
            <w:pPr>
              <w:cnfStyle w:val="000000000000" w:firstRow="0" w:lastRow="0" w:firstColumn="0" w:lastColumn="0" w:oddVBand="0" w:evenVBand="0" w:oddHBand="0" w:evenHBand="0" w:firstRowFirstColumn="0" w:firstRowLastColumn="0" w:lastRowFirstColumn="0" w:lastRowLastColumn="0"/>
              <w:rPr>
                <w:szCs w:val="20"/>
                <w:lang w:eastAsia="fr-FR" w:bidi="ar-SA"/>
              </w:rPr>
            </w:pPr>
          </w:p>
        </w:tc>
        <w:tc>
          <w:tcPr>
            <w:tcW w:w="0" w:type="auto"/>
            <w:vMerge/>
          </w:tcPr>
          <w:p w14:paraId="0A7C604F" w14:textId="77777777" w:rsidR="004A0A2E" w:rsidRPr="00AA22F2" w:rsidRDefault="004A0A2E" w:rsidP="006D1412">
            <w:pPr>
              <w:cnfStyle w:val="000000000000" w:firstRow="0" w:lastRow="0" w:firstColumn="0" w:lastColumn="0" w:oddVBand="0" w:evenVBand="0" w:oddHBand="0" w:evenHBand="0" w:firstRowFirstColumn="0" w:firstRowLastColumn="0" w:lastRowFirstColumn="0" w:lastRowLastColumn="0"/>
              <w:rPr>
                <w:szCs w:val="20"/>
                <w:lang w:eastAsia="fr-FR" w:bidi="ar-SA"/>
              </w:rPr>
            </w:pPr>
          </w:p>
        </w:tc>
        <w:tc>
          <w:tcPr>
            <w:tcW w:w="0" w:type="auto"/>
            <w:vMerge/>
          </w:tcPr>
          <w:p w14:paraId="60875F3C" w14:textId="77777777" w:rsidR="004A0A2E" w:rsidRPr="00BC1745" w:rsidRDefault="004A0A2E" w:rsidP="006D1412">
            <w:pPr>
              <w:cnfStyle w:val="000000000000" w:firstRow="0" w:lastRow="0" w:firstColumn="0" w:lastColumn="0" w:oddVBand="0" w:evenVBand="0" w:oddHBand="0" w:evenHBand="0" w:firstRowFirstColumn="0" w:firstRowLastColumn="0" w:lastRowFirstColumn="0" w:lastRowLastColumn="0"/>
              <w:rPr>
                <w:szCs w:val="20"/>
              </w:rPr>
            </w:pPr>
          </w:p>
        </w:tc>
        <w:tc>
          <w:tcPr>
            <w:tcW w:w="0" w:type="auto"/>
            <w:vMerge/>
          </w:tcPr>
          <w:p w14:paraId="445D64E7" w14:textId="77777777" w:rsidR="004A0A2E" w:rsidRPr="00AA22F2" w:rsidRDefault="004A0A2E" w:rsidP="006D1412">
            <w:pPr>
              <w:cnfStyle w:val="000000000000" w:firstRow="0" w:lastRow="0" w:firstColumn="0" w:lastColumn="0" w:oddVBand="0" w:evenVBand="0" w:oddHBand="0" w:evenHBand="0" w:firstRowFirstColumn="0" w:firstRowLastColumn="0" w:lastRowFirstColumn="0" w:lastRowLastColumn="0"/>
              <w:rPr>
                <w:szCs w:val="20"/>
                <w:lang w:eastAsia="fr-FR" w:bidi="ar-SA"/>
              </w:rPr>
            </w:pPr>
          </w:p>
        </w:tc>
        <w:tc>
          <w:tcPr>
            <w:tcW w:w="0" w:type="auto"/>
            <w:vMerge/>
          </w:tcPr>
          <w:p w14:paraId="4DF4BF2B" w14:textId="77777777" w:rsidR="004A0A2E" w:rsidRPr="00AA22F2" w:rsidRDefault="004A0A2E" w:rsidP="006D1412">
            <w:pPr>
              <w:cnfStyle w:val="000000000000" w:firstRow="0" w:lastRow="0" w:firstColumn="0" w:lastColumn="0" w:oddVBand="0" w:evenVBand="0" w:oddHBand="0" w:evenHBand="0" w:firstRowFirstColumn="0" w:firstRowLastColumn="0" w:lastRowFirstColumn="0" w:lastRowLastColumn="0"/>
              <w:rPr>
                <w:szCs w:val="20"/>
                <w:lang w:eastAsia="fr-FR" w:bidi="ar-SA"/>
              </w:rPr>
            </w:pPr>
          </w:p>
        </w:tc>
        <w:tc>
          <w:tcPr>
            <w:tcW w:w="0" w:type="auto"/>
            <w:tcBorders>
              <w:top w:val="single" w:sz="4" w:space="0" w:color="B4C6E7" w:themeColor="accent1" w:themeTint="66"/>
              <w:bottom w:val="single" w:sz="4" w:space="0" w:color="B4C6E7" w:themeColor="accent1" w:themeTint="66"/>
            </w:tcBorders>
          </w:tcPr>
          <w:p w14:paraId="4156B8E0" w14:textId="51FFE2D0" w:rsidR="004A0A2E" w:rsidRPr="00AA22F2" w:rsidRDefault="004A0A2E" w:rsidP="006D1412">
            <w:pPr>
              <w:cnfStyle w:val="000000000000" w:firstRow="0" w:lastRow="0" w:firstColumn="0" w:lastColumn="0" w:oddVBand="0" w:evenVBand="0" w:oddHBand="0" w:evenHBand="0" w:firstRowFirstColumn="0" w:firstRowLastColumn="0" w:lastRowFirstColumn="0" w:lastRowLastColumn="0"/>
              <w:rPr>
                <w:szCs w:val="20"/>
                <w:lang w:eastAsia="fr-FR" w:bidi="ar-SA"/>
              </w:rPr>
            </w:pPr>
            <w:r w:rsidRPr="00D16092">
              <w:rPr>
                <w:szCs w:val="20"/>
                <w:lang w:eastAsia="fr-FR" w:bidi="ar-SA"/>
              </w:rPr>
              <w:t>2 500 – 3 000 /unité</w:t>
            </w:r>
            <w:r>
              <w:rPr>
                <w:szCs w:val="20"/>
                <w:lang w:eastAsia="fr-FR" w:bidi="ar-SA"/>
              </w:rPr>
              <w:t xml:space="preserve"> (</w:t>
            </w:r>
            <w:r w:rsidRPr="00D16092">
              <w:rPr>
                <w:szCs w:val="20"/>
                <w:lang w:eastAsia="fr-FR" w:bidi="ar-SA"/>
              </w:rPr>
              <w:t>Tentes ombragées type chantier (3x3 m), structure aluminium + toile ignifugée</w:t>
            </w:r>
            <w:r>
              <w:rPr>
                <w:szCs w:val="20"/>
                <w:lang w:eastAsia="fr-FR" w:bidi="ar-SA"/>
              </w:rPr>
              <w:t>)</w:t>
            </w:r>
          </w:p>
        </w:tc>
      </w:tr>
      <w:tr w:rsidR="004A0A2E" w:rsidRPr="00D75525" w14:paraId="2ECD3FAD" w14:textId="77777777" w:rsidTr="00D16092">
        <w:trPr>
          <w:trHeight w:val="731"/>
        </w:trPr>
        <w:tc>
          <w:tcPr>
            <w:cnfStyle w:val="001000000000" w:firstRow="0" w:lastRow="0" w:firstColumn="1" w:lastColumn="0" w:oddVBand="0" w:evenVBand="0" w:oddHBand="0" w:evenHBand="0" w:firstRowFirstColumn="0" w:firstRowLastColumn="0" w:lastRowFirstColumn="0" w:lastRowLastColumn="0"/>
            <w:tcW w:w="0" w:type="auto"/>
            <w:vMerge/>
            <w:hideMark/>
          </w:tcPr>
          <w:p w14:paraId="52E47A7D" w14:textId="77777777" w:rsidR="004A0A2E" w:rsidRPr="00AA22F2" w:rsidRDefault="004A0A2E" w:rsidP="006D1412">
            <w:pPr>
              <w:rPr>
                <w:szCs w:val="20"/>
                <w:lang w:eastAsia="fr-FR" w:bidi="ar-SA"/>
              </w:rPr>
            </w:pPr>
          </w:p>
        </w:tc>
        <w:tc>
          <w:tcPr>
            <w:tcW w:w="0" w:type="auto"/>
            <w:vMerge w:val="restart"/>
            <w:hideMark/>
          </w:tcPr>
          <w:p w14:paraId="223BF4E3" w14:textId="77777777" w:rsidR="004A0A2E" w:rsidRPr="00AA22F2" w:rsidRDefault="004A0A2E" w:rsidP="006D1412">
            <w:pPr>
              <w:cnfStyle w:val="000000000000" w:firstRow="0" w:lastRow="0" w:firstColumn="0" w:lastColumn="0" w:oddVBand="0" w:evenVBand="0" w:oddHBand="0" w:evenHBand="0" w:firstRowFirstColumn="0" w:firstRowLastColumn="0" w:lastRowFirstColumn="0" w:lastRowLastColumn="0"/>
              <w:rPr>
                <w:szCs w:val="20"/>
                <w:lang w:eastAsia="fr-FR" w:bidi="ar-SA"/>
              </w:rPr>
            </w:pPr>
            <w:r w:rsidRPr="00AA22F2">
              <w:rPr>
                <w:b/>
                <w:bCs/>
                <w:szCs w:val="20"/>
                <w:lang w:eastAsia="fr-FR" w:bidi="ar-SA"/>
              </w:rPr>
              <w:t>Réduire</w:t>
            </w:r>
          </w:p>
        </w:tc>
        <w:tc>
          <w:tcPr>
            <w:tcW w:w="0" w:type="auto"/>
            <w:tcBorders>
              <w:bottom w:val="single" w:sz="4" w:space="0" w:color="B4C6E7" w:themeColor="accent1" w:themeTint="66"/>
            </w:tcBorders>
            <w:hideMark/>
          </w:tcPr>
          <w:p w14:paraId="712E7C62" w14:textId="72D0E168" w:rsidR="004A0A2E" w:rsidRPr="00AA22F2" w:rsidRDefault="004A0A2E" w:rsidP="006D1412">
            <w:pPr>
              <w:cnfStyle w:val="000000000000" w:firstRow="0" w:lastRow="0" w:firstColumn="0" w:lastColumn="0" w:oddVBand="0" w:evenVBand="0" w:oddHBand="0" w:evenHBand="0" w:firstRowFirstColumn="0" w:firstRowLastColumn="0" w:lastRowFirstColumn="0" w:lastRowLastColumn="0"/>
              <w:rPr>
                <w:szCs w:val="20"/>
                <w:lang w:eastAsia="fr-FR" w:bidi="ar-SA"/>
              </w:rPr>
            </w:pPr>
            <w:r w:rsidRPr="00AA22F2">
              <w:rPr>
                <w:szCs w:val="20"/>
                <w:lang w:eastAsia="fr-FR" w:bidi="ar-SA"/>
              </w:rPr>
              <w:t>Installer des points d’eau potable tous les 100 m ;</w:t>
            </w:r>
          </w:p>
        </w:tc>
        <w:tc>
          <w:tcPr>
            <w:tcW w:w="0" w:type="auto"/>
            <w:vMerge w:val="restart"/>
            <w:hideMark/>
          </w:tcPr>
          <w:p w14:paraId="6336FF11" w14:textId="77777777" w:rsidR="004A0A2E" w:rsidRPr="00AA22F2" w:rsidRDefault="004A0A2E" w:rsidP="006D1412">
            <w:pPr>
              <w:cnfStyle w:val="000000000000" w:firstRow="0" w:lastRow="0" w:firstColumn="0" w:lastColumn="0" w:oddVBand="0" w:evenVBand="0" w:oddHBand="0" w:evenHBand="0" w:firstRowFirstColumn="0" w:firstRowLastColumn="0" w:lastRowFirstColumn="0" w:lastRowLastColumn="0"/>
              <w:rPr>
                <w:szCs w:val="20"/>
                <w:lang w:eastAsia="fr-FR" w:bidi="ar-SA"/>
              </w:rPr>
            </w:pPr>
            <w:r w:rsidRPr="00AA22F2">
              <w:rPr>
                <w:szCs w:val="20"/>
                <w:lang w:eastAsia="fr-FR" w:bidi="ar-SA"/>
              </w:rPr>
              <w:t xml:space="preserve">Nb de points d’eau </w:t>
            </w:r>
          </w:p>
          <w:p w14:paraId="390BA73F" w14:textId="77777777" w:rsidR="004A0A2E" w:rsidRPr="00AA22F2" w:rsidRDefault="004A0A2E" w:rsidP="006D1412">
            <w:pPr>
              <w:cnfStyle w:val="000000000000" w:firstRow="0" w:lastRow="0" w:firstColumn="0" w:lastColumn="0" w:oddVBand="0" w:evenVBand="0" w:oddHBand="0" w:evenHBand="0" w:firstRowFirstColumn="0" w:firstRowLastColumn="0" w:lastRowFirstColumn="0" w:lastRowLastColumn="0"/>
              <w:rPr>
                <w:szCs w:val="20"/>
                <w:lang w:eastAsia="fr-FR" w:bidi="ar-SA"/>
              </w:rPr>
            </w:pPr>
            <w:r w:rsidRPr="00AA22F2">
              <w:rPr>
                <w:szCs w:val="20"/>
                <w:lang w:eastAsia="fr-FR" w:bidi="ar-SA"/>
              </w:rPr>
              <w:t xml:space="preserve">% de personnel équipé </w:t>
            </w:r>
          </w:p>
          <w:p w14:paraId="1F66A63A" w14:textId="20A6C621" w:rsidR="004A0A2E" w:rsidRPr="00AA22F2" w:rsidRDefault="004A0A2E" w:rsidP="006D1412">
            <w:pPr>
              <w:cnfStyle w:val="000000000000" w:firstRow="0" w:lastRow="0" w:firstColumn="0" w:lastColumn="0" w:oddVBand="0" w:evenVBand="0" w:oddHBand="0" w:evenHBand="0" w:firstRowFirstColumn="0" w:firstRowLastColumn="0" w:lastRowFirstColumn="0" w:lastRowLastColumn="0"/>
              <w:rPr>
                <w:szCs w:val="20"/>
                <w:lang w:eastAsia="fr-FR" w:bidi="ar-SA"/>
              </w:rPr>
            </w:pPr>
            <w:r w:rsidRPr="00AA22F2">
              <w:rPr>
                <w:szCs w:val="20"/>
                <w:lang w:eastAsia="fr-FR" w:bidi="ar-SA"/>
              </w:rPr>
              <w:t>Nb de pauses enregistrées</w:t>
            </w:r>
          </w:p>
        </w:tc>
        <w:tc>
          <w:tcPr>
            <w:tcW w:w="0" w:type="auto"/>
            <w:vMerge w:val="restart"/>
            <w:hideMark/>
          </w:tcPr>
          <w:p w14:paraId="4003C4D4" w14:textId="0FDB2882" w:rsidR="004A0A2E" w:rsidRPr="00AA22F2" w:rsidRDefault="004A0A2E" w:rsidP="006D1412">
            <w:pPr>
              <w:cnfStyle w:val="000000000000" w:firstRow="0" w:lastRow="0" w:firstColumn="0" w:lastColumn="0" w:oddVBand="0" w:evenVBand="0" w:oddHBand="0" w:evenHBand="0" w:firstRowFirstColumn="0" w:firstRowLastColumn="0" w:lastRowFirstColumn="0" w:lastRowLastColumn="0"/>
              <w:rPr>
                <w:szCs w:val="20"/>
                <w:lang w:eastAsia="fr-FR" w:bidi="ar-SA"/>
              </w:rPr>
            </w:pPr>
            <w:r w:rsidRPr="00AA22F2">
              <w:rPr>
                <w:szCs w:val="20"/>
                <w:lang w:eastAsia="fr-FR" w:bidi="ar-SA"/>
              </w:rPr>
              <w:t>EPC et sous-traitants</w:t>
            </w:r>
          </w:p>
        </w:tc>
        <w:tc>
          <w:tcPr>
            <w:tcW w:w="0" w:type="auto"/>
            <w:vMerge w:val="restart"/>
            <w:hideMark/>
          </w:tcPr>
          <w:p w14:paraId="6BA2D6F9" w14:textId="4B0F660B" w:rsidR="004A0A2E" w:rsidRPr="00AA22F2" w:rsidRDefault="004A0A2E" w:rsidP="006D1412">
            <w:pPr>
              <w:cnfStyle w:val="000000000000" w:firstRow="0" w:lastRow="0" w:firstColumn="0" w:lastColumn="0" w:oddVBand="0" w:evenVBand="0" w:oddHBand="0" w:evenHBand="0" w:firstRowFirstColumn="0" w:firstRowLastColumn="0" w:lastRowFirstColumn="0" w:lastRowLastColumn="0"/>
              <w:rPr>
                <w:szCs w:val="20"/>
                <w:lang w:eastAsia="fr-FR" w:bidi="ar-SA"/>
              </w:rPr>
            </w:pPr>
            <w:r w:rsidRPr="00BC1745">
              <w:rPr>
                <w:szCs w:val="20"/>
              </w:rPr>
              <w:t>Bureau de contrôle / Consultant de supervision mandaté par l’ONDA</w:t>
            </w:r>
          </w:p>
        </w:tc>
        <w:tc>
          <w:tcPr>
            <w:tcW w:w="0" w:type="auto"/>
            <w:vMerge w:val="restart"/>
            <w:hideMark/>
          </w:tcPr>
          <w:p w14:paraId="611E061E" w14:textId="136F2958" w:rsidR="004A0A2E" w:rsidRPr="00AA22F2" w:rsidRDefault="004A0A2E" w:rsidP="006D1412">
            <w:pPr>
              <w:cnfStyle w:val="000000000000" w:firstRow="0" w:lastRow="0" w:firstColumn="0" w:lastColumn="0" w:oddVBand="0" w:evenVBand="0" w:oddHBand="0" w:evenHBand="0" w:firstRowFirstColumn="0" w:firstRowLastColumn="0" w:lastRowFirstColumn="0" w:lastRowLastColumn="0"/>
              <w:rPr>
                <w:szCs w:val="20"/>
                <w:lang w:eastAsia="fr-FR" w:bidi="ar-SA"/>
              </w:rPr>
            </w:pPr>
            <w:r w:rsidRPr="00AA22F2">
              <w:rPr>
                <w:szCs w:val="20"/>
                <w:lang w:eastAsia="fr-FR" w:bidi="ar-SA"/>
              </w:rPr>
              <w:t>ONDA</w:t>
            </w:r>
          </w:p>
        </w:tc>
        <w:tc>
          <w:tcPr>
            <w:tcW w:w="0" w:type="auto"/>
            <w:vMerge w:val="restart"/>
            <w:hideMark/>
          </w:tcPr>
          <w:p w14:paraId="57DD89E2" w14:textId="77777777" w:rsidR="004A0A2E" w:rsidRPr="00AA22F2" w:rsidRDefault="004A0A2E" w:rsidP="006D1412">
            <w:pPr>
              <w:cnfStyle w:val="000000000000" w:firstRow="0" w:lastRow="0" w:firstColumn="0" w:lastColumn="0" w:oddVBand="0" w:evenVBand="0" w:oddHBand="0" w:evenHBand="0" w:firstRowFirstColumn="0" w:firstRowLastColumn="0" w:lastRowFirstColumn="0" w:lastRowLastColumn="0"/>
              <w:rPr>
                <w:szCs w:val="20"/>
                <w:lang w:eastAsia="fr-FR" w:bidi="ar-SA"/>
              </w:rPr>
            </w:pPr>
            <w:r w:rsidRPr="00AA22F2">
              <w:rPr>
                <w:szCs w:val="20"/>
                <w:lang w:eastAsia="fr-FR" w:bidi="ar-SA"/>
              </w:rPr>
              <w:t>Continue</w:t>
            </w:r>
          </w:p>
        </w:tc>
        <w:tc>
          <w:tcPr>
            <w:tcW w:w="0" w:type="auto"/>
            <w:tcBorders>
              <w:top w:val="single" w:sz="4" w:space="0" w:color="B4C6E7" w:themeColor="accent1" w:themeTint="66"/>
              <w:bottom w:val="single" w:sz="4" w:space="0" w:color="B4C6E7" w:themeColor="accent1" w:themeTint="66"/>
            </w:tcBorders>
            <w:hideMark/>
          </w:tcPr>
          <w:p w14:paraId="68FF8CE6" w14:textId="3845B585" w:rsidR="004A0A2E" w:rsidRPr="00AA22F2" w:rsidRDefault="004A0A2E" w:rsidP="006D1412">
            <w:pPr>
              <w:cnfStyle w:val="000000000000" w:firstRow="0" w:lastRow="0" w:firstColumn="0" w:lastColumn="0" w:oddVBand="0" w:evenVBand="0" w:oddHBand="0" w:evenHBand="0" w:firstRowFirstColumn="0" w:firstRowLastColumn="0" w:lastRowFirstColumn="0" w:lastRowLastColumn="0"/>
              <w:rPr>
                <w:szCs w:val="20"/>
                <w:lang w:eastAsia="fr-FR" w:bidi="ar-SA"/>
              </w:rPr>
            </w:pPr>
            <w:r w:rsidRPr="0048753B">
              <w:rPr>
                <w:szCs w:val="20"/>
                <w:lang w:eastAsia="fr-FR" w:bidi="ar-SA"/>
              </w:rPr>
              <w:t>1 200 MAD / point</w:t>
            </w:r>
            <w:r>
              <w:rPr>
                <w:szCs w:val="20"/>
                <w:lang w:eastAsia="fr-FR" w:bidi="ar-SA"/>
              </w:rPr>
              <w:t xml:space="preserve"> (</w:t>
            </w:r>
            <w:r w:rsidRPr="0048753B">
              <w:rPr>
                <w:szCs w:val="20"/>
                <w:lang w:eastAsia="fr-FR" w:bidi="ar-SA"/>
              </w:rPr>
              <w:t>Distributeur + bonbonnes scellées</w:t>
            </w:r>
            <w:r>
              <w:rPr>
                <w:szCs w:val="20"/>
                <w:lang w:eastAsia="fr-FR" w:bidi="ar-SA"/>
              </w:rPr>
              <w:t>)</w:t>
            </w:r>
          </w:p>
        </w:tc>
      </w:tr>
      <w:tr w:rsidR="004A0A2E" w:rsidRPr="00D75525" w14:paraId="68598146" w14:textId="77777777" w:rsidTr="00D16092">
        <w:trPr>
          <w:trHeight w:val="731"/>
        </w:trPr>
        <w:tc>
          <w:tcPr>
            <w:cnfStyle w:val="001000000000" w:firstRow="0" w:lastRow="0" w:firstColumn="1" w:lastColumn="0" w:oddVBand="0" w:evenVBand="0" w:oddHBand="0" w:evenHBand="0" w:firstRowFirstColumn="0" w:firstRowLastColumn="0" w:lastRowFirstColumn="0" w:lastRowLastColumn="0"/>
            <w:tcW w:w="0" w:type="auto"/>
            <w:vMerge/>
          </w:tcPr>
          <w:p w14:paraId="383BF45C" w14:textId="77777777" w:rsidR="004A0A2E" w:rsidRPr="00AA22F2" w:rsidRDefault="004A0A2E" w:rsidP="006D1412">
            <w:pPr>
              <w:rPr>
                <w:szCs w:val="20"/>
                <w:lang w:eastAsia="fr-FR" w:bidi="ar-SA"/>
              </w:rPr>
            </w:pPr>
          </w:p>
        </w:tc>
        <w:tc>
          <w:tcPr>
            <w:tcW w:w="0" w:type="auto"/>
            <w:vMerge/>
          </w:tcPr>
          <w:p w14:paraId="6F1A4F93" w14:textId="77777777" w:rsidR="004A0A2E" w:rsidRPr="00AA22F2" w:rsidRDefault="004A0A2E" w:rsidP="006D1412">
            <w:pPr>
              <w:cnfStyle w:val="000000000000" w:firstRow="0" w:lastRow="0" w:firstColumn="0" w:lastColumn="0" w:oddVBand="0" w:evenVBand="0" w:oddHBand="0" w:evenHBand="0" w:firstRowFirstColumn="0" w:firstRowLastColumn="0" w:lastRowFirstColumn="0" w:lastRowLastColumn="0"/>
              <w:rPr>
                <w:b/>
                <w:bCs/>
                <w:szCs w:val="20"/>
                <w:lang w:eastAsia="fr-FR" w:bidi="ar-SA"/>
              </w:rPr>
            </w:pPr>
          </w:p>
        </w:tc>
        <w:tc>
          <w:tcPr>
            <w:tcW w:w="0" w:type="auto"/>
            <w:tcBorders>
              <w:bottom w:val="single" w:sz="4" w:space="0" w:color="B4C6E7" w:themeColor="accent1" w:themeTint="66"/>
            </w:tcBorders>
          </w:tcPr>
          <w:p w14:paraId="5F6BB8A8" w14:textId="6A0DFFBA" w:rsidR="004A0A2E" w:rsidRPr="00AA22F2" w:rsidRDefault="004A0A2E" w:rsidP="006D1412">
            <w:pPr>
              <w:cnfStyle w:val="000000000000" w:firstRow="0" w:lastRow="0" w:firstColumn="0" w:lastColumn="0" w:oddVBand="0" w:evenVBand="0" w:oddHBand="0" w:evenHBand="0" w:firstRowFirstColumn="0" w:firstRowLastColumn="0" w:lastRowFirstColumn="0" w:lastRowLastColumn="0"/>
              <w:rPr>
                <w:szCs w:val="20"/>
                <w:lang w:eastAsia="fr-FR" w:bidi="ar-SA"/>
              </w:rPr>
            </w:pPr>
            <w:r w:rsidRPr="00EF1E26">
              <w:rPr>
                <w:szCs w:val="20"/>
                <w:lang w:eastAsia="fr-FR" w:bidi="ar-SA"/>
              </w:rPr>
              <w:t>Fournir 5 litres d’eau/personne/jour ;</w:t>
            </w:r>
          </w:p>
        </w:tc>
        <w:tc>
          <w:tcPr>
            <w:tcW w:w="0" w:type="auto"/>
            <w:vMerge/>
          </w:tcPr>
          <w:p w14:paraId="4297E16B" w14:textId="77777777" w:rsidR="004A0A2E" w:rsidRPr="00AA22F2" w:rsidRDefault="004A0A2E" w:rsidP="006D1412">
            <w:pPr>
              <w:cnfStyle w:val="000000000000" w:firstRow="0" w:lastRow="0" w:firstColumn="0" w:lastColumn="0" w:oddVBand="0" w:evenVBand="0" w:oddHBand="0" w:evenHBand="0" w:firstRowFirstColumn="0" w:firstRowLastColumn="0" w:lastRowFirstColumn="0" w:lastRowLastColumn="0"/>
              <w:rPr>
                <w:szCs w:val="20"/>
                <w:lang w:eastAsia="fr-FR" w:bidi="ar-SA"/>
              </w:rPr>
            </w:pPr>
          </w:p>
        </w:tc>
        <w:tc>
          <w:tcPr>
            <w:tcW w:w="0" w:type="auto"/>
            <w:vMerge/>
          </w:tcPr>
          <w:p w14:paraId="57AF9E49" w14:textId="77777777" w:rsidR="004A0A2E" w:rsidRPr="00AA22F2" w:rsidRDefault="004A0A2E" w:rsidP="006D1412">
            <w:pPr>
              <w:cnfStyle w:val="000000000000" w:firstRow="0" w:lastRow="0" w:firstColumn="0" w:lastColumn="0" w:oddVBand="0" w:evenVBand="0" w:oddHBand="0" w:evenHBand="0" w:firstRowFirstColumn="0" w:firstRowLastColumn="0" w:lastRowFirstColumn="0" w:lastRowLastColumn="0"/>
              <w:rPr>
                <w:szCs w:val="20"/>
                <w:lang w:eastAsia="fr-FR" w:bidi="ar-SA"/>
              </w:rPr>
            </w:pPr>
          </w:p>
        </w:tc>
        <w:tc>
          <w:tcPr>
            <w:tcW w:w="0" w:type="auto"/>
            <w:vMerge/>
          </w:tcPr>
          <w:p w14:paraId="07583D40" w14:textId="77777777" w:rsidR="004A0A2E" w:rsidRPr="00BC1745" w:rsidRDefault="004A0A2E" w:rsidP="006D1412">
            <w:pPr>
              <w:cnfStyle w:val="000000000000" w:firstRow="0" w:lastRow="0" w:firstColumn="0" w:lastColumn="0" w:oddVBand="0" w:evenVBand="0" w:oddHBand="0" w:evenHBand="0" w:firstRowFirstColumn="0" w:firstRowLastColumn="0" w:lastRowFirstColumn="0" w:lastRowLastColumn="0"/>
              <w:rPr>
                <w:szCs w:val="20"/>
              </w:rPr>
            </w:pPr>
          </w:p>
        </w:tc>
        <w:tc>
          <w:tcPr>
            <w:tcW w:w="0" w:type="auto"/>
            <w:vMerge/>
          </w:tcPr>
          <w:p w14:paraId="5F3274D9" w14:textId="77777777" w:rsidR="004A0A2E" w:rsidRPr="00AA22F2" w:rsidRDefault="004A0A2E" w:rsidP="006D1412">
            <w:pPr>
              <w:cnfStyle w:val="000000000000" w:firstRow="0" w:lastRow="0" w:firstColumn="0" w:lastColumn="0" w:oddVBand="0" w:evenVBand="0" w:oddHBand="0" w:evenHBand="0" w:firstRowFirstColumn="0" w:firstRowLastColumn="0" w:lastRowFirstColumn="0" w:lastRowLastColumn="0"/>
              <w:rPr>
                <w:szCs w:val="20"/>
                <w:lang w:eastAsia="fr-FR" w:bidi="ar-SA"/>
              </w:rPr>
            </w:pPr>
          </w:p>
        </w:tc>
        <w:tc>
          <w:tcPr>
            <w:tcW w:w="0" w:type="auto"/>
            <w:vMerge/>
          </w:tcPr>
          <w:p w14:paraId="2DB9964E" w14:textId="77777777" w:rsidR="004A0A2E" w:rsidRPr="00AA22F2" w:rsidRDefault="004A0A2E" w:rsidP="006D1412">
            <w:pPr>
              <w:cnfStyle w:val="000000000000" w:firstRow="0" w:lastRow="0" w:firstColumn="0" w:lastColumn="0" w:oddVBand="0" w:evenVBand="0" w:oddHBand="0" w:evenHBand="0" w:firstRowFirstColumn="0" w:firstRowLastColumn="0" w:lastRowFirstColumn="0" w:lastRowLastColumn="0"/>
              <w:rPr>
                <w:szCs w:val="20"/>
                <w:lang w:eastAsia="fr-FR" w:bidi="ar-SA"/>
              </w:rPr>
            </w:pPr>
          </w:p>
        </w:tc>
        <w:tc>
          <w:tcPr>
            <w:tcW w:w="0" w:type="auto"/>
            <w:tcBorders>
              <w:top w:val="single" w:sz="4" w:space="0" w:color="B4C6E7" w:themeColor="accent1" w:themeTint="66"/>
              <w:bottom w:val="single" w:sz="4" w:space="0" w:color="B4C6E7" w:themeColor="accent1" w:themeTint="66"/>
            </w:tcBorders>
          </w:tcPr>
          <w:p w14:paraId="43C7F046" w14:textId="73A78B69" w:rsidR="004A0A2E" w:rsidRPr="00AA22F2" w:rsidRDefault="004A0A2E" w:rsidP="006D1412">
            <w:pPr>
              <w:cnfStyle w:val="000000000000" w:firstRow="0" w:lastRow="0" w:firstColumn="0" w:lastColumn="0" w:oddVBand="0" w:evenVBand="0" w:oddHBand="0" w:evenHBand="0" w:firstRowFirstColumn="0" w:firstRowLastColumn="0" w:lastRowFirstColumn="0" w:lastRowLastColumn="0"/>
              <w:rPr>
                <w:szCs w:val="20"/>
                <w:lang w:eastAsia="fr-FR" w:bidi="ar-SA"/>
              </w:rPr>
            </w:pPr>
            <w:r w:rsidRPr="0048753B">
              <w:rPr>
                <w:szCs w:val="20"/>
                <w:lang w:eastAsia="fr-FR" w:bidi="ar-SA"/>
              </w:rPr>
              <w:t>≈ 10 MAD / personne/jour</w:t>
            </w:r>
          </w:p>
        </w:tc>
      </w:tr>
      <w:tr w:rsidR="004A0A2E" w:rsidRPr="00D75525" w14:paraId="5E6AE85B" w14:textId="77777777" w:rsidTr="00D16092">
        <w:trPr>
          <w:trHeight w:val="731"/>
        </w:trPr>
        <w:tc>
          <w:tcPr>
            <w:cnfStyle w:val="001000000000" w:firstRow="0" w:lastRow="0" w:firstColumn="1" w:lastColumn="0" w:oddVBand="0" w:evenVBand="0" w:oddHBand="0" w:evenHBand="0" w:firstRowFirstColumn="0" w:firstRowLastColumn="0" w:lastRowFirstColumn="0" w:lastRowLastColumn="0"/>
            <w:tcW w:w="0" w:type="auto"/>
            <w:vMerge/>
          </w:tcPr>
          <w:p w14:paraId="47F2D721" w14:textId="77777777" w:rsidR="004A0A2E" w:rsidRPr="00AA22F2" w:rsidRDefault="004A0A2E" w:rsidP="006D1412">
            <w:pPr>
              <w:rPr>
                <w:szCs w:val="20"/>
                <w:lang w:eastAsia="fr-FR" w:bidi="ar-SA"/>
              </w:rPr>
            </w:pPr>
          </w:p>
        </w:tc>
        <w:tc>
          <w:tcPr>
            <w:tcW w:w="0" w:type="auto"/>
            <w:vMerge/>
          </w:tcPr>
          <w:p w14:paraId="4A33F643" w14:textId="77777777" w:rsidR="004A0A2E" w:rsidRPr="00AA22F2" w:rsidRDefault="004A0A2E" w:rsidP="006D1412">
            <w:pPr>
              <w:cnfStyle w:val="000000000000" w:firstRow="0" w:lastRow="0" w:firstColumn="0" w:lastColumn="0" w:oddVBand="0" w:evenVBand="0" w:oddHBand="0" w:evenHBand="0" w:firstRowFirstColumn="0" w:firstRowLastColumn="0" w:lastRowFirstColumn="0" w:lastRowLastColumn="0"/>
              <w:rPr>
                <w:b/>
                <w:bCs/>
                <w:szCs w:val="20"/>
                <w:lang w:eastAsia="fr-FR" w:bidi="ar-SA"/>
              </w:rPr>
            </w:pPr>
          </w:p>
        </w:tc>
        <w:tc>
          <w:tcPr>
            <w:tcW w:w="0" w:type="auto"/>
            <w:tcBorders>
              <w:bottom w:val="single" w:sz="4" w:space="0" w:color="B4C6E7" w:themeColor="accent1" w:themeTint="66"/>
            </w:tcBorders>
          </w:tcPr>
          <w:p w14:paraId="467B4A0C" w14:textId="7FE0BC0B" w:rsidR="004A0A2E" w:rsidRPr="00AA22F2" w:rsidRDefault="004A0A2E" w:rsidP="006D1412">
            <w:pPr>
              <w:cnfStyle w:val="000000000000" w:firstRow="0" w:lastRow="0" w:firstColumn="0" w:lastColumn="0" w:oddVBand="0" w:evenVBand="0" w:oddHBand="0" w:evenHBand="0" w:firstRowFirstColumn="0" w:firstRowLastColumn="0" w:lastRowFirstColumn="0" w:lastRowLastColumn="0"/>
              <w:rPr>
                <w:szCs w:val="20"/>
                <w:lang w:eastAsia="fr-FR" w:bidi="ar-SA"/>
              </w:rPr>
            </w:pPr>
            <w:r w:rsidRPr="00060071">
              <w:rPr>
                <w:szCs w:val="20"/>
                <w:lang w:eastAsia="fr-FR" w:bidi="ar-SA"/>
              </w:rPr>
              <w:t>Imposer des pauses de 15 min toutes les 2 h ;</w:t>
            </w:r>
          </w:p>
        </w:tc>
        <w:tc>
          <w:tcPr>
            <w:tcW w:w="0" w:type="auto"/>
            <w:vMerge/>
          </w:tcPr>
          <w:p w14:paraId="02D482CF" w14:textId="77777777" w:rsidR="004A0A2E" w:rsidRPr="00AA22F2" w:rsidRDefault="004A0A2E" w:rsidP="006D1412">
            <w:pPr>
              <w:cnfStyle w:val="000000000000" w:firstRow="0" w:lastRow="0" w:firstColumn="0" w:lastColumn="0" w:oddVBand="0" w:evenVBand="0" w:oddHBand="0" w:evenHBand="0" w:firstRowFirstColumn="0" w:firstRowLastColumn="0" w:lastRowFirstColumn="0" w:lastRowLastColumn="0"/>
              <w:rPr>
                <w:szCs w:val="20"/>
                <w:lang w:eastAsia="fr-FR" w:bidi="ar-SA"/>
              </w:rPr>
            </w:pPr>
          </w:p>
        </w:tc>
        <w:tc>
          <w:tcPr>
            <w:tcW w:w="0" w:type="auto"/>
            <w:vMerge/>
          </w:tcPr>
          <w:p w14:paraId="2DAAE783" w14:textId="77777777" w:rsidR="004A0A2E" w:rsidRPr="00AA22F2" w:rsidRDefault="004A0A2E" w:rsidP="006D1412">
            <w:pPr>
              <w:cnfStyle w:val="000000000000" w:firstRow="0" w:lastRow="0" w:firstColumn="0" w:lastColumn="0" w:oddVBand="0" w:evenVBand="0" w:oddHBand="0" w:evenHBand="0" w:firstRowFirstColumn="0" w:firstRowLastColumn="0" w:lastRowFirstColumn="0" w:lastRowLastColumn="0"/>
              <w:rPr>
                <w:szCs w:val="20"/>
                <w:lang w:eastAsia="fr-FR" w:bidi="ar-SA"/>
              </w:rPr>
            </w:pPr>
          </w:p>
        </w:tc>
        <w:tc>
          <w:tcPr>
            <w:tcW w:w="0" w:type="auto"/>
            <w:vMerge/>
          </w:tcPr>
          <w:p w14:paraId="10805BCB" w14:textId="77777777" w:rsidR="004A0A2E" w:rsidRPr="00BC1745" w:rsidRDefault="004A0A2E" w:rsidP="006D1412">
            <w:pPr>
              <w:cnfStyle w:val="000000000000" w:firstRow="0" w:lastRow="0" w:firstColumn="0" w:lastColumn="0" w:oddVBand="0" w:evenVBand="0" w:oddHBand="0" w:evenHBand="0" w:firstRowFirstColumn="0" w:firstRowLastColumn="0" w:lastRowFirstColumn="0" w:lastRowLastColumn="0"/>
              <w:rPr>
                <w:szCs w:val="20"/>
              </w:rPr>
            </w:pPr>
          </w:p>
        </w:tc>
        <w:tc>
          <w:tcPr>
            <w:tcW w:w="0" w:type="auto"/>
            <w:vMerge/>
          </w:tcPr>
          <w:p w14:paraId="274E4500" w14:textId="77777777" w:rsidR="004A0A2E" w:rsidRPr="00AA22F2" w:rsidRDefault="004A0A2E" w:rsidP="006D1412">
            <w:pPr>
              <w:cnfStyle w:val="000000000000" w:firstRow="0" w:lastRow="0" w:firstColumn="0" w:lastColumn="0" w:oddVBand="0" w:evenVBand="0" w:oddHBand="0" w:evenHBand="0" w:firstRowFirstColumn="0" w:firstRowLastColumn="0" w:lastRowFirstColumn="0" w:lastRowLastColumn="0"/>
              <w:rPr>
                <w:szCs w:val="20"/>
                <w:lang w:eastAsia="fr-FR" w:bidi="ar-SA"/>
              </w:rPr>
            </w:pPr>
          </w:p>
        </w:tc>
        <w:tc>
          <w:tcPr>
            <w:tcW w:w="0" w:type="auto"/>
            <w:vMerge/>
          </w:tcPr>
          <w:p w14:paraId="00B9EB11" w14:textId="77777777" w:rsidR="004A0A2E" w:rsidRPr="00AA22F2" w:rsidRDefault="004A0A2E" w:rsidP="006D1412">
            <w:pPr>
              <w:cnfStyle w:val="000000000000" w:firstRow="0" w:lastRow="0" w:firstColumn="0" w:lastColumn="0" w:oddVBand="0" w:evenVBand="0" w:oddHBand="0" w:evenHBand="0" w:firstRowFirstColumn="0" w:firstRowLastColumn="0" w:lastRowFirstColumn="0" w:lastRowLastColumn="0"/>
              <w:rPr>
                <w:szCs w:val="20"/>
                <w:lang w:eastAsia="fr-FR" w:bidi="ar-SA"/>
              </w:rPr>
            </w:pPr>
          </w:p>
        </w:tc>
        <w:tc>
          <w:tcPr>
            <w:tcW w:w="0" w:type="auto"/>
            <w:tcBorders>
              <w:top w:val="single" w:sz="4" w:space="0" w:color="B4C6E7" w:themeColor="accent1" w:themeTint="66"/>
              <w:bottom w:val="single" w:sz="4" w:space="0" w:color="B4C6E7" w:themeColor="accent1" w:themeTint="66"/>
            </w:tcBorders>
          </w:tcPr>
          <w:p w14:paraId="777BAB63" w14:textId="73687F61" w:rsidR="004A0A2E" w:rsidRPr="00AA22F2" w:rsidRDefault="004A0A2E" w:rsidP="006D1412">
            <w:pPr>
              <w:cnfStyle w:val="000000000000" w:firstRow="0" w:lastRow="0" w:firstColumn="0" w:lastColumn="0" w:oddVBand="0" w:evenVBand="0" w:oddHBand="0" w:evenHBand="0" w:firstRowFirstColumn="0" w:firstRowLastColumn="0" w:lastRowFirstColumn="0" w:lastRowLastColumn="0"/>
              <w:rPr>
                <w:szCs w:val="20"/>
                <w:lang w:eastAsia="fr-FR" w:bidi="ar-SA"/>
              </w:rPr>
            </w:pPr>
            <w:r>
              <w:rPr>
                <w:szCs w:val="20"/>
                <w:lang w:eastAsia="fr-FR" w:bidi="ar-SA"/>
              </w:rPr>
              <w:t>Aucun coût spécifique</w:t>
            </w:r>
          </w:p>
        </w:tc>
      </w:tr>
      <w:tr w:rsidR="004A0A2E" w:rsidRPr="00D75525" w14:paraId="65050BFC" w14:textId="77777777" w:rsidTr="00D16092">
        <w:trPr>
          <w:trHeight w:val="731"/>
        </w:trPr>
        <w:tc>
          <w:tcPr>
            <w:cnfStyle w:val="001000000000" w:firstRow="0" w:lastRow="0" w:firstColumn="1" w:lastColumn="0" w:oddVBand="0" w:evenVBand="0" w:oddHBand="0" w:evenHBand="0" w:firstRowFirstColumn="0" w:firstRowLastColumn="0" w:lastRowFirstColumn="0" w:lastRowLastColumn="0"/>
            <w:tcW w:w="0" w:type="auto"/>
            <w:vMerge/>
          </w:tcPr>
          <w:p w14:paraId="16957640" w14:textId="77777777" w:rsidR="004A0A2E" w:rsidRPr="00AA22F2" w:rsidRDefault="004A0A2E" w:rsidP="006D1412">
            <w:pPr>
              <w:rPr>
                <w:szCs w:val="20"/>
                <w:lang w:eastAsia="fr-FR" w:bidi="ar-SA"/>
              </w:rPr>
            </w:pPr>
          </w:p>
        </w:tc>
        <w:tc>
          <w:tcPr>
            <w:tcW w:w="0" w:type="auto"/>
            <w:vMerge/>
          </w:tcPr>
          <w:p w14:paraId="7EE64352" w14:textId="77777777" w:rsidR="004A0A2E" w:rsidRPr="00AA22F2" w:rsidRDefault="004A0A2E" w:rsidP="006D1412">
            <w:pPr>
              <w:cnfStyle w:val="000000000000" w:firstRow="0" w:lastRow="0" w:firstColumn="0" w:lastColumn="0" w:oddVBand="0" w:evenVBand="0" w:oddHBand="0" w:evenHBand="0" w:firstRowFirstColumn="0" w:firstRowLastColumn="0" w:lastRowFirstColumn="0" w:lastRowLastColumn="0"/>
              <w:rPr>
                <w:b/>
                <w:bCs/>
                <w:szCs w:val="20"/>
                <w:lang w:eastAsia="fr-FR" w:bidi="ar-SA"/>
              </w:rPr>
            </w:pPr>
          </w:p>
        </w:tc>
        <w:tc>
          <w:tcPr>
            <w:tcW w:w="0" w:type="auto"/>
            <w:tcBorders>
              <w:bottom w:val="single" w:sz="4" w:space="0" w:color="B4C6E7" w:themeColor="accent1" w:themeTint="66"/>
            </w:tcBorders>
          </w:tcPr>
          <w:p w14:paraId="62B1AB54" w14:textId="4A444CE1" w:rsidR="004A0A2E" w:rsidRPr="00AA22F2" w:rsidRDefault="004A0A2E" w:rsidP="006D1412">
            <w:pPr>
              <w:cnfStyle w:val="000000000000" w:firstRow="0" w:lastRow="0" w:firstColumn="0" w:lastColumn="0" w:oddVBand="0" w:evenVBand="0" w:oddHBand="0" w:evenHBand="0" w:firstRowFirstColumn="0" w:firstRowLastColumn="0" w:lastRowFirstColumn="0" w:lastRowLastColumn="0"/>
              <w:rPr>
                <w:szCs w:val="20"/>
                <w:lang w:eastAsia="fr-FR" w:bidi="ar-SA"/>
              </w:rPr>
            </w:pPr>
            <w:r w:rsidRPr="00060071">
              <w:rPr>
                <w:szCs w:val="20"/>
                <w:lang w:eastAsia="fr-FR" w:bidi="ar-SA"/>
              </w:rPr>
              <w:t>Equiper les travailleurs de chapeaux, lunettes anti-UV et vêtements respirants.</w:t>
            </w:r>
          </w:p>
        </w:tc>
        <w:tc>
          <w:tcPr>
            <w:tcW w:w="0" w:type="auto"/>
            <w:vMerge/>
          </w:tcPr>
          <w:p w14:paraId="5506B02C" w14:textId="77777777" w:rsidR="004A0A2E" w:rsidRPr="00AA22F2" w:rsidRDefault="004A0A2E" w:rsidP="006D1412">
            <w:pPr>
              <w:cnfStyle w:val="000000000000" w:firstRow="0" w:lastRow="0" w:firstColumn="0" w:lastColumn="0" w:oddVBand="0" w:evenVBand="0" w:oddHBand="0" w:evenHBand="0" w:firstRowFirstColumn="0" w:firstRowLastColumn="0" w:lastRowFirstColumn="0" w:lastRowLastColumn="0"/>
              <w:rPr>
                <w:szCs w:val="20"/>
                <w:lang w:eastAsia="fr-FR" w:bidi="ar-SA"/>
              </w:rPr>
            </w:pPr>
          </w:p>
        </w:tc>
        <w:tc>
          <w:tcPr>
            <w:tcW w:w="0" w:type="auto"/>
            <w:vMerge/>
          </w:tcPr>
          <w:p w14:paraId="7CA16F15" w14:textId="77777777" w:rsidR="004A0A2E" w:rsidRPr="00AA22F2" w:rsidRDefault="004A0A2E" w:rsidP="006D1412">
            <w:pPr>
              <w:cnfStyle w:val="000000000000" w:firstRow="0" w:lastRow="0" w:firstColumn="0" w:lastColumn="0" w:oddVBand="0" w:evenVBand="0" w:oddHBand="0" w:evenHBand="0" w:firstRowFirstColumn="0" w:firstRowLastColumn="0" w:lastRowFirstColumn="0" w:lastRowLastColumn="0"/>
              <w:rPr>
                <w:szCs w:val="20"/>
                <w:lang w:eastAsia="fr-FR" w:bidi="ar-SA"/>
              </w:rPr>
            </w:pPr>
          </w:p>
        </w:tc>
        <w:tc>
          <w:tcPr>
            <w:tcW w:w="0" w:type="auto"/>
            <w:vMerge/>
          </w:tcPr>
          <w:p w14:paraId="582F766F" w14:textId="77777777" w:rsidR="004A0A2E" w:rsidRPr="00BC1745" w:rsidRDefault="004A0A2E" w:rsidP="006D1412">
            <w:pPr>
              <w:cnfStyle w:val="000000000000" w:firstRow="0" w:lastRow="0" w:firstColumn="0" w:lastColumn="0" w:oddVBand="0" w:evenVBand="0" w:oddHBand="0" w:evenHBand="0" w:firstRowFirstColumn="0" w:firstRowLastColumn="0" w:lastRowFirstColumn="0" w:lastRowLastColumn="0"/>
              <w:rPr>
                <w:szCs w:val="20"/>
              </w:rPr>
            </w:pPr>
          </w:p>
        </w:tc>
        <w:tc>
          <w:tcPr>
            <w:tcW w:w="0" w:type="auto"/>
            <w:vMerge/>
          </w:tcPr>
          <w:p w14:paraId="2FDF5944" w14:textId="77777777" w:rsidR="004A0A2E" w:rsidRPr="00AA22F2" w:rsidRDefault="004A0A2E" w:rsidP="006D1412">
            <w:pPr>
              <w:cnfStyle w:val="000000000000" w:firstRow="0" w:lastRow="0" w:firstColumn="0" w:lastColumn="0" w:oddVBand="0" w:evenVBand="0" w:oddHBand="0" w:evenHBand="0" w:firstRowFirstColumn="0" w:firstRowLastColumn="0" w:lastRowFirstColumn="0" w:lastRowLastColumn="0"/>
              <w:rPr>
                <w:szCs w:val="20"/>
                <w:lang w:eastAsia="fr-FR" w:bidi="ar-SA"/>
              </w:rPr>
            </w:pPr>
          </w:p>
        </w:tc>
        <w:tc>
          <w:tcPr>
            <w:tcW w:w="0" w:type="auto"/>
            <w:vMerge/>
          </w:tcPr>
          <w:p w14:paraId="2670507C" w14:textId="77777777" w:rsidR="004A0A2E" w:rsidRPr="00AA22F2" w:rsidRDefault="004A0A2E" w:rsidP="006D1412">
            <w:pPr>
              <w:cnfStyle w:val="000000000000" w:firstRow="0" w:lastRow="0" w:firstColumn="0" w:lastColumn="0" w:oddVBand="0" w:evenVBand="0" w:oddHBand="0" w:evenHBand="0" w:firstRowFirstColumn="0" w:firstRowLastColumn="0" w:lastRowFirstColumn="0" w:lastRowLastColumn="0"/>
              <w:rPr>
                <w:szCs w:val="20"/>
                <w:lang w:eastAsia="fr-FR" w:bidi="ar-SA"/>
              </w:rPr>
            </w:pPr>
          </w:p>
        </w:tc>
        <w:tc>
          <w:tcPr>
            <w:tcW w:w="0" w:type="auto"/>
            <w:tcBorders>
              <w:top w:val="single" w:sz="4" w:space="0" w:color="B4C6E7" w:themeColor="accent1" w:themeTint="66"/>
              <w:bottom w:val="single" w:sz="4" w:space="0" w:color="B4C6E7" w:themeColor="accent1" w:themeTint="66"/>
            </w:tcBorders>
          </w:tcPr>
          <w:p w14:paraId="3DCC632A" w14:textId="6C3B0808" w:rsidR="004A0A2E" w:rsidRPr="00AA22F2" w:rsidRDefault="004A0A2E" w:rsidP="006D1412">
            <w:pPr>
              <w:cnfStyle w:val="000000000000" w:firstRow="0" w:lastRow="0" w:firstColumn="0" w:lastColumn="0" w:oddVBand="0" w:evenVBand="0" w:oddHBand="0" w:evenHBand="0" w:firstRowFirstColumn="0" w:firstRowLastColumn="0" w:lastRowFirstColumn="0" w:lastRowLastColumn="0"/>
              <w:rPr>
                <w:szCs w:val="20"/>
                <w:lang w:eastAsia="fr-FR" w:bidi="ar-SA"/>
              </w:rPr>
            </w:pPr>
            <w:r w:rsidRPr="0048753B">
              <w:rPr>
                <w:szCs w:val="20"/>
                <w:lang w:eastAsia="fr-FR" w:bidi="ar-SA"/>
              </w:rPr>
              <w:t>350 – 450 MAD / travailleur</w:t>
            </w:r>
          </w:p>
        </w:tc>
      </w:tr>
      <w:tr w:rsidR="004A0A2E" w:rsidRPr="00D75525" w14:paraId="276CDA0A" w14:textId="77777777" w:rsidTr="00DD79A0">
        <w:trPr>
          <w:trHeight w:val="1276"/>
        </w:trPr>
        <w:tc>
          <w:tcPr>
            <w:cnfStyle w:val="001000000000" w:firstRow="0" w:lastRow="0" w:firstColumn="1" w:lastColumn="0" w:oddVBand="0" w:evenVBand="0" w:oddHBand="0" w:evenHBand="0" w:firstRowFirstColumn="0" w:firstRowLastColumn="0" w:lastRowFirstColumn="0" w:lastRowLastColumn="0"/>
            <w:tcW w:w="0" w:type="auto"/>
            <w:vMerge/>
            <w:hideMark/>
          </w:tcPr>
          <w:p w14:paraId="1310ADD0" w14:textId="77777777" w:rsidR="004A0A2E" w:rsidRPr="00AA22F2" w:rsidRDefault="004A0A2E" w:rsidP="006D1412">
            <w:pPr>
              <w:rPr>
                <w:szCs w:val="20"/>
                <w:lang w:eastAsia="fr-FR" w:bidi="ar-SA"/>
              </w:rPr>
            </w:pPr>
          </w:p>
        </w:tc>
        <w:tc>
          <w:tcPr>
            <w:tcW w:w="0" w:type="auto"/>
            <w:vMerge w:val="restart"/>
            <w:hideMark/>
          </w:tcPr>
          <w:p w14:paraId="01E8AF80" w14:textId="77777777" w:rsidR="004A0A2E" w:rsidRPr="00AA22F2" w:rsidRDefault="004A0A2E" w:rsidP="006D1412">
            <w:pPr>
              <w:cnfStyle w:val="000000000000" w:firstRow="0" w:lastRow="0" w:firstColumn="0" w:lastColumn="0" w:oddVBand="0" w:evenVBand="0" w:oddHBand="0" w:evenHBand="0" w:firstRowFirstColumn="0" w:firstRowLastColumn="0" w:lastRowFirstColumn="0" w:lastRowLastColumn="0"/>
              <w:rPr>
                <w:szCs w:val="20"/>
                <w:lang w:eastAsia="fr-FR" w:bidi="ar-SA"/>
              </w:rPr>
            </w:pPr>
            <w:r w:rsidRPr="00AA22F2">
              <w:rPr>
                <w:b/>
                <w:bCs/>
                <w:szCs w:val="20"/>
                <w:lang w:eastAsia="fr-FR" w:bidi="ar-SA"/>
              </w:rPr>
              <w:t>Atténuer</w:t>
            </w:r>
          </w:p>
        </w:tc>
        <w:tc>
          <w:tcPr>
            <w:tcW w:w="0" w:type="auto"/>
            <w:tcBorders>
              <w:bottom w:val="single" w:sz="4" w:space="0" w:color="B4C6E7" w:themeColor="accent1" w:themeTint="66"/>
            </w:tcBorders>
            <w:hideMark/>
          </w:tcPr>
          <w:p w14:paraId="56A1780C" w14:textId="08933196" w:rsidR="004A0A2E" w:rsidRPr="00AA22F2" w:rsidRDefault="004A0A2E" w:rsidP="006D1412">
            <w:pPr>
              <w:cnfStyle w:val="000000000000" w:firstRow="0" w:lastRow="0" w:firstColumn="0" w:lastColumn="0" w:oddVBand="0" w:evenVBand="0" w:oddHBand="0" w:evenHBand="0" w:firstRowFirstColumn="0" w:firstRowLastColumn="0" w:lastRowFirstColumn="0" w:lastRowLastColumn="0"/>
              <w:rPr>
                <w:szCs w:val="20"/>
                <w:lang w:eastAsia="fr-FR" w:bidi="ar-SA"/>
              </w:rPr>
            </w:pPr>
            <w:r w:rsidRPr="00AA22F2">
              <w:rPr>
                <w:szCs w:val="20"/>
                <w:lang w:eastAsia="fr-FR" w:bidi="ar-SA"/>
              </w:rPr>
              <w:t xml:space="preserve">Organiser des sessions de sensibilisation à la prévention du stress thermique ; </w:t>
            </w:r>
          </w:p>
        </w:tc>
        <w:tc>
          <w:tcPr>
            <w:tcW w:w="0" w:type="auto"/>
            <w:vMerge w:val="restart"/>
            <w:hideMark/>
          </w:tcPr>
          <w:p w14:paraId="76B585ED" w14:textId="0C04A516" w:rsidR="004A0A2E" w:rsidRPr="00AA22F2" w:rsidRDefault="004A0A2E" w:rsidP="006D1412">
            <w:pPr>
              <w:cnfStyle w:val="000000000000" w:firstRow="0" w:lastRow="0" w:firstColumn="0" w:lastColumn="0" w:oddVBand="0" w:evenVBand="0" w:oddHBand="0" w:evenHBand="0" w:firstRowFirstColumn="0" w:firstRowLastColumn="0" w:lastRowFirstColumn="0" w:lastRowLastColumn="0"/>
              <w:rPr>
                <w:szCs w:val="20"/>
                <w:lang w:eastAsia="fr-FR" w:bidi="ar-SA"/>
              </w:rPr>
            </w:pPr>
            <w:r w:rsidRPr="00AA22F2">
              <w:rPr>
                <w:szCs w:val="20"/>
                <w:lang w:eastAsia="fr-FR" w:bidi="ar-SA"/>
              </w:rPr>
              <w:t xml:space="preserve">% de personnel formé </w:t>
            </w:r>
          </w:p>
          <w:p w14:paraId="0B874732" w14:textId="47D94EEC" w:rsidR="004A0A2E" w:rsidRPr="00AA22F2" w:rsidRDefault="004A0A2E" w:rsidP="006D1412">
            <w:pPr>
              <w:cnfStyle w:val="000000000000" w:firstRow="0" w:lastRow="0" w:firstColumn="0" w:lastColumn="0" w:oddVBand="0" w:evenVBand="0" w:oddHBand="0" w:evenHBand="0" w:firstRowFirstColumn="0" w:firstRowLastColumn="0" w:lastRowFirstColumn="0" w:lastRowLastColumn="0"/>
              <w:rPr>
                <w:szCs w:val="20"/>
                <w:lang w:eastAsia="fr-FR" w:bidi="ar-SA"/>
              </w:rPr>
            </w:pPr>
            <w:r w:rsidRPr="00AA22F2">
              <w:rPr>
                <w:szCs w:val="20"/>
                <w:lang w:eastAsia="fr-FR" w:bidi="ar-SA"/>
              </w:rPr>
              <w:t>Nb de cas de déshydratation traités</w:t>
            </w:r>
          </w:p>
        </w:tc>
        <w:tc>
          <w:tcPr>
            <w:tcW w:w="0" w:type="auto"/>
            <w:vMerge w:val="restart"/>
            <w:hideMark/>
          </w:tcPr>
          <w:p w14:paraId="5FC303AE" w14:textId="28E8F7DA" w:rsidR="004A0A2E" w:rsidRPr="00AA22F2" w:rsidRDefault="004A0A2E" w:rsidP="006D1412">
            <w:pPr>
              <w:cnfStyle w:val="000000000000" w:firstRow="0" w:lastRow="0" w:firstColumn="0" w:lastColumn="0" w:oddVBand="0" w:evenVBand="0" w:oddHBand="0" w:evenHBand="0" w:firstRowFirstColumn="0" w:firstRowLastColumn="0" w:lastRowFirstColumn="0" w:lastRowLastColumn="0"/>
              <w:rPr>
                <w:szCs w:val="20"/>
                <w:lang w:eastAsia="fr-FR" w:bidi="ar-SA"/>
              </w:rPr>
            </w:pPr>
            <w:r w:rsidRPr="00AA22F2">
              <w:rPr>
                <w:szCs w:val="20"/>
                <w:lang w:eastAsia="fr-FR" w:bidi="ar-SA"/>
              </w:rPr>
              <w:t>EPC et sous-traitants</w:t>
            </w:r>
          </w:p>
        </w:tc>
        <w:tc>
          <w:tcPr>
            <w:tcW w:w="0" w:type="auto"/>
            <w:vMerge w:val="restart"/>
            <w:hideMark/>
          </w:tcPr>
          <w:p w14:paraId="57712518" w14:textId="15D4177D" w:rsidR="004A0A2E" w:rsidRPr="00AA22F2" w:rsidRDefault="004A0A2E" w:rsidP="006D1412">
            <w:pPr>
              <w:cnfStyle w:val="000000000000" w:firstRow="0" w:lastRow="0" w:firstColumn="0" w:lastColumn="0" w:oddVBand="0" w:evenVBand="0" w:oddHBand="0" w:evenHBand="0" w:firstRowFirstColumn="0" w:firstRowLastColumn="0" w:lastRowFirstColumn="0" w:lastRowLastColumn="0"/>
              <w:rPr>
                <w:szCs w:val="20"/>
                <w:lang w:eastAsia="fr-FR" w:bidi="ar-SA"/>
              </w:rPr>
            </w:pPr>
            <w:r w:rsidRPr="00BC1745">
              <w:rPr>
                <w:szCs w:val="20"/>
              </w:rPr>
              <w:t>Bureau de contrôle / Consultant de supervision mandaté par l’ONDA</w:t>
            </w:r>
          </w:p>
        </w:tc>
        <w:tc>
          <w:tcPr>
            <w:tcW w:w="0" w:type="auto"/>
            <w:vMerge w:val="restart"/>
            <w:hideMark/>
          </w:tcPr>
          <w:p w14:paraId="2AA8DF5D" w14:textId="36CEE30F" w:rsidR="004A0A2E" w:rsidRPr="00AA22F2" w:rsidRDefault="004A0A2E" w:rsidP="006D1412">
            <w:pPr>
              <w:cnfStyle w:val="000000000000" w:firstRow="0" w:lastRow="0" w:firstColumn="0" w:lastColumn="0" w:oddVBand="0" w:evenVBand="0" w:oddHBand="0" w:evenHBand="0" w:firstRowFirstColumn="0" w:firstRowLastColumn="0" w:lastRowFirstColumn="0" w:lastRowLastColumn="0"/>
              <w:rPr>
                <w:szCs w:val="20"/>
                <w:lang w:eastAsia="fr-FR" w:bidi="ar-SA"/>
              </w:rPr>
            </w:pPr>
            <w:r w:rsidRPr="00AA22F2">
              <w:rPr>
                <w:szCs w:val="20"/>
                <w:lang w:eastAsia="fr-FR" w:bidi="ar-SA"/>
              </w:rPr>
              <w:t>ONDA</w:t>
            </w:r>
          </w:p>
        </w:tc>
        <w:tc>
          <w:tcPr>
            <w:tcW w:w="0" w:type="auto"/>
            <w:vMerge w:val="restart"/>
            <w:hideMark/>
          </w:tcPr>
          <w:p w14:paraId="2B8DBDDD" w14:textId="77777777" w:rsidR="004A0A2E" w:rsidRPr="00AA22F2" w:rsidRDefault="004A0A2E" w:rsidP="006D1412">
            <w:pPr>
              <w:cnfStyle w:val="000000000000" w:firstRow="0" w:lastRow="0" w:firstColumn="0" w:lastColumn="0" w:oddVBand="0" w:evenVBand="0" w:oddHBand="0" w:evenHBand="0" w:firstRowFirstColumn="0" w:firstRowLastColumn="0" w:lastRowFirstColumn="0" w:lastRowLastColumn="0"/>
              <w:rPr>
                <w:szCs w:val="20"/>
                <w:lang w:eastAsia="fr-FR" w:bidi="ar-SA"/>
              </w:rPr>
            </w:pPr>
            <w:r w:rsidRPr="00AA22F2">
              <w:rPr>
                <w:szCs w:val="20"/>
                <w:lang w:eastAsia="fr-FR" w:bidi="ar-SA"/>
              </w:rPr>
              <w:t>Mensuel</w:t>
            </w:r>
          </w:p>
        </w:tc>
        <w:tc>
          <w:tcPr>
            <w:tcW w:w="0" w:type="auto"/>
            <w:tcBorders>
              <w:bottom w:val="single" w:sz="4" w:space="0" w:color="B4C6E7" w:themeColor="accent1" w:themeTint="66"/>
            </w:tcBorders>
            <w:hideMark/>
          </w:tcPr>
          <w:p w14:paraId="77B9A145" w14:textId="65517E97" w:rsidR="004A0A2E" w:rsidRPr="00AA22F2" w:rsidRDefault="004A0A2E" w:rsidP="006D1412">
            <w:pPr>
              <w:cnfStyle w:val="000000000000" w:firstRow="0" w:lastRow="0" w:firstColumn="0" w:lastColumn="0" w:oddVBand="0" w:evenVBand="0" w:oddHBand="0" w:evenHBand="0" w:firstRowFirstColumn="0" w:firstRowLastColumn="0" w:lastRowFirstColumn="0" w:lastRowLastColumn="0"/>
              <w:rPr>
                <w:szCs w:val="20"/>
                <w:lang w:eastAsia="fr-FR" w:bidi="ar-SA"/>
              </w:rPr>
            </w:pPr>
            <w:r w:rsidRPr="00C53111">
              <w:rPr>
                <w:szCs w:val="20"/>
                <w:lang w:eastAsia="fr-FR" w:bidi="ar-SA"/>
              </w:rPr>
              <w:t>6 000 MAD / session</w:t>
            </w:r>
          </w:p>
        </w:tc>
      </w:tr>
      <w:tr w:rsidR="004A0A2E" w:rsidRPr="00D75525" w14:paraId="707442CE" w14:textId="77777777" w:rsidTr="00DD79A0">
        <w:trPr>
          <w:trHeight w:val="982"/>
        </w:trPr>
        <w:tc>
          <w:tcPr>
            <w:cnfStyle w:val="001000000000" w:firstRow="0" w:lastRow="0" w:firstColumn="1" w:lastColumn="0" w:oddVBand="0" w:evenVBand="0" w:oddHBand="0" w:evenHBand="0" w:firstRowFirstColumn="0" w:firstRowLastColumn="0" w:lastRowFirstColumn="0" w:lastRowLastColumn="0"/>
            <w:tcW w:w="0" w:type="auto"/>
            <w:vMerge/>
          </w:tcPr>
          <w:p w14:paraId="5E40A977" w14:textId="77777777" w:rsidR="004A0A2E" w:rsidRPr="00AA22F2" w:rsidRDefault="004A0A2E" w:rsidP="006D1412">
            <w:pPr>
              <w:rPr>
                <w:szCs w:val="20"/>
                <w:lang w:eastAsia="fr-FR" w:bidi="ar-SA"/>
              </w:rPr>
            </w:pPr>
          </w:p>
        </w:tc>
        <w:tc>
          <w:tcPr>
            <w:tcW w:w="0" w:type="auto"/>
            <w:vMerge/>
          </w:tcPr>
          <w:p w14:paraId="71B232DD" w14:textId="77777777" w:rsidR="004A0A2E" w:rsidRPr="00AA22F2" w:rsidRDefault="004A0A2E" w:rsidP="006D1412">
            <w:pPr>
              <w:cnfStyle w:val="000000000000" w:firstRow="0" w:lastRow="0" w:firstColumn="0" w:lastColumn="0" w:oddVBand="0" w:evenVBand="0" w:oddHBand="0" w:evenHBand="0" w:firstRowFirstColumn="0" w:firstRowLastColumn="0" w:lastRowFirstColumn="0" w:lastRowLastColumn="0"/>
              <w:rPr>
                <w:b/>
                <w:bCs/>
                <w:szCs w:val="20"/>
                <w:lang w:eastAsia="fr-FR" w:bidi="ar-SA"/>
              </w:rPr>
            </w:pPr>
          </w:p>
        </w:tc>
        <w:tc>
          <w:tcPr>
            <w:tcW w:w="0" w:type="auto"/>
            <w:tcBorders>
              <w:top w:val="single" w:sz="4" w:space="0" w:color="B4C6E7" w:themeColor="accent1" w:themeTint="66"/>
              <w:bottom w:val="single" w:sz="4" w:space="0" w:color="B4C6E7" w:themeColor="accent1" w:themeTint="66"/>
            </w:tcBorders>
          </w:tcPr>
          <w:p w14:paraId="5C56330E" w14:textId="74D03FFB" w:rsidR="004A0A2E" w:rsidRPr="00AA22F2" w:rsidRDefault="004A0A2E" w:rsidP="00DD79A0">
            <w:pPr>
              <w:cnfStyle w:val="000000000000" w:firstRow="0" w:lastRow="0" w:firstColumn="0" w:lastColumn="0" w:oddVBand="0" w:evenVBand="0" w:oddHBand="0" w:evenHBand="0" w:firstRowFirstColumn="0" w:firstRowLastColumn="0" w:lastRowFirstColumn="0" w:lastRowLastColumn="0"/>
              <w:rPr>
                <w:szCs w:val="20"/>
                <w:lang w:eastAsia="fr-FR" w:bidi="ar-SA"/>
              </w:rPr>
            </w:pPr>
            <w:r w:rsidRPr="00AA22F2">
              <w:rPr>
                <w:szCs w:val="20"/>
                <w:lang w:eastAsia="fr-FR" w:bidi="ar-SA"/>
              </w:rPr>
              <w:t xml:space="preserve">Prévoir un kit d’urgence avec sels de réhydratation et brumisateurs portatifs ; </w:t>
            </w:r>
          </w:p>
        </w:tc>
        <w:tc>
          <w:tcPr>
            <w:tcW w:w="0" w:type="auto"/>
            <w:vMerge/>
          </w:tcPr>
          <w:p w14:paraId="71F19A24" w14:textId="77777777" w:rsidR="004A0A2E" w:rsidRPr="00AA22F2" w:rsidRDefault="004A0A2E" w:rsidP="006D1412">
            <w:pPr>
              <w:cnfStyle w:val="000000000000" w:firstRow="0" w:lastRow="0" w:firstColumn="0" w:lastColumn="0" w:oddVBand="0" w:evenVBand="0" w:oddHBand="0" w:evenHBand="0" w:firstRowFirstColumn="0" w:firstRowLastColumn="0" w:lastRowFirstColumn="0" w:lastRowLastColumn="0"/>
              <w:rPr>
                <w:szCs w:val="20"/>
                <w:lang w:eastAsia="fr-FR" w:bidi="ar-SA"/>
              </w:rPr>
            </w:pPr>
          </w:p>
        </w:tc>
        <w:tc>
          <w:tcPr>
            <w:tcW w:w="0" w:type="auto"/>
            <w:vMerge/>
          </w:tcPr>
          <w:p w14:paraId="5CB35328" w14:textId="77777777" w:rsidR="004A0A2E" w:rsidRPr="00AA22F2" w:rsidRDefault="004A0A2E" w:rsidP="006D1412">
            <w:pPr>
              <w:cnfStyle w:val="000000000000" w:firstRow="0" w:lastRow="0" w:firstColumn="0" w:lastColumn="0" w:oddVBand="0" w:evenVBand="0" w:oddHBand="0" w:evenHBand="0" w:firstRowFirstColumn="0" w:firstRowLastColumn="0" w:lastRowFirstColumn="0" w:lastRowLastColumn="0"/>
              <w:rPr>
                <w:szCs w:val="20"/>
                <w:lang w:eastAsia="fr-FR" w:bidi="ar-SA"/>
              </w:rPr>
            </w:pPr>
          </w:p>
        </w:tc>
        <w:tc>
          <w:tcPr>
            <w:tcW w:w="0" w:type="auto"/>
            <w:vMerge/>
          </w:tcPr>
          <w:p w14:paraId="668A1DF0" w14:textId="77777777" w:rsidR="004A0A2E" w:rsidRPr="00BC1745" w:rsidRDefault="004A0A2E" w:rsidP="006D1412">
            <w:pPr>
              <w:cnfStyle w:val="000000000000" w:firstRow="0" w:lastRow="0" w:firstColumn="0" w:lastColumn="0" w:oddVBand="0" w:evenVBand="0" w:oddHBand="0" w:evenHBand="0" w:firstRowFirstColumn="0" w:firstRowLastColumn="0" w:lastRowFirstColumn="0" w:lastRowLastColumn="0"/>
              <w:rPr>
                <w:szCs w:val="20"/>
              </w:rPr>
            </w:pPr>
          </w:p>
        </w:tc>
        <w:tc>
          <w:tcPr>
            <w:tcW w:w="0" w:type="auto"/>
            <w:vMerge/>
          </w:tcPr>
          <w:p w14:paraId="5BAB7C6B" w14:textId="77777777" w:rsidR="004A0A2E" w:rsidRPr="00AA22F2" w:rsidRDefault="004A0A2E" w:rsidP="006D1412">
            <w:pPr>
              <w:cnfStyle w:val="000000000000" w:firstRow="0" w:lastRow="0" w:firstColumn="0" w:lastColumn="0" w:oddVBand="0" w:evenVBand="0" w:oddHBand="0" w:evenHBand="0" w:firstRowFirstColumn="0" w:firstRowLastColumn="0" w:lastRowFirstColumn="0" w:lastRowLastColumn="0"/>
              <w:rPr>
                <w:szCs w:val="20"/>
                <w:lang w:eastAsia="fr-FR" w:bidi="ar-SA"/>
              </w:rPr>
            </w:pPr>
          </w:p>
        </w:tc>
        <w:tc>
          <w:tcPr>
            <w:tcW w:w="0" w:type="auto"/>
            <w:vMerge/>
          </w:tcPr>
          <w:p w14:paraId="5CD0F4DA" w14:textId="77777777" w:rsidR="004A0A2E" w:rsidRPr="00AA22F2" w:rsidRDefault="004A0A2E" w:rsidP="006D1412">
            <w:pPr>
              <w:cnfStyle w:val="000000000000" w:firstRow="0" w:lastRow="0" w:firstColumn="0" w:lastColumn="0" w:oddVBand="0" w:evenVBand="0" w:oddHBand="0" w:evenHBand="0" w:firstRowFirstColumn="0" w:firstRowLastColumn="0" w:lastRowFirstColumn="0" w:lastRowLastColumn="0"/>
              <w:rPr>
                <w:szCs w:val="20"/>
                <w:lang w:eastAsia="fr-FR" w:bidi="ar-SA"/>
              </w:rPr>
            </w:pPr>
          </w:p>
        </w:tc>
        <w:tc>
          <w:tcPr>
            <w:tcW w:w="0" w:type="auto"/>
            <w:tcBorders>
              <w:top w:val="single" w:sz="4" w:space="0" w:color="B4C6E7" w:themeColor="accent1" w:themeTint="66"/>
              <w:bottom w:val="single" w:sz="4" w:space="0" w:color="B4C6E7" w:themeColor="accent1" w:themeTint="66"/>
            </w:tcBorders>
          </w:tcPr>
          <w:p w14:paraId="574E432F" w14:textId="046E695F" w:rsidR="004A0A2E" w:rsidRPr="00AA22F2" w:rsidRDefault="004A0A2E" w:rsidP="006D1412">
            <w:pPr>
              <w:cnfStyle w:val="000000000000" w:firstRow="0" w:lastRow="0" w:firstColumn="0" w:lastColumn="0" w:oddVBand="0" w:evenVBand="0" w:oddHBand="0" w:evenHBand="0" w:firstRowFirstColumn="0" w:firstRowLastColumn="0" w:lastRowFirstColumn="0" w:lastRowLastColumn="0"/>
              <w:rPr>
                <w:szCs w:val="20"/>
                <w:lang w:eastAsia="fr-FR" w:bidi="ar-SA"/>
              </w:rPr>
            </w:pPr>
            <w:r w:rsidRPr="00C53111">
              <w:rPr>
                <w:szCs w:val="20"/>
                <w:lang w:eastAsia="fr-FR" w:bidi="ar-SA"/>
              </w:rPr>
              <w:t>800 – 1 000 MAD / kit</w:t>
            </w:r>
            <w:r>
              <w:rPr>
                <w:szCs w:val="20"/>
                <w:lang w:eastAsia="fr-FR" w:bidi="ar-SA"/>
              </w:rPr>
              <w:t xml:space="preserve"> (</w:t>
            </w:r>
            <w:r w:rsidRPr="00F05147">
              <w:rPr>
                <w:szCs w:val="20"/>
                <w:lang w:eastAsia="fr-FR" w:bidi="ar-SA"/>
              </w:rPr>
              <w:t>Équipes terrain, 1 kit / équipe (10-15 pers.)</w:t>
            </w:r>
          </w:p>
        </w:tc>
      </w:tr>
      <w:tr w:rsidR="004A0A2E" w:rsidRPr="00D75525" w14:paraId="6446880F" w14:textId="77777777" w:rsidTr="00DD79A0">
        <w:trPr>
          <w:trHeight w:val="775"/>
        </w:trPr>
        <w:tc>
          <w:tcPr>
            <w:cnfStyle w:val="001000000000" w:firstRow="0" w:lastRow="0" w:firstColumn="1" w:lastColumn="0" w:oddVBand="0" w:evenVBand="0" w:oddHBand="0" w:evenHBand="0" w:firstRowFirstColumn="0" w:firstRowLastColumn="0" w:lastRowFirstColumn="0" w:lastRowLastColumn="0"/>
            <w:tcW w:w="0" w:type="auto"/>
            <w:vMerge/>
          </w:tcPr>
          <w:p w14:paraId="3CE14031" w14:textId="77777777" w:rsidR="004A0A2E" w:rsidRPr="00AA22F2" w:rsidRDefault="004A0A2E" w:rsidP="006D1412">
            <w:pPr>
              <w:rPr>
                <w:szCs w:val="20"/>
                <w:lang w:eastAsia="fr-FR" w:bidi="ar-SA"/>
              </w:rPr>
            </w:pPr>
          </w:p>
        </w:tc>
        <w:tc>
          <w:tcPr>
            <w:tcW w:w="0" w:type="auto"/>
            <w:vMerge/>
          </w:tcPr>
          <w:p w14:paraId="28686774" w14:textId="77777777" w:rsidR="004A0A2E" w:rsidRPr="00AA22F2" w:rsidRDefault="004A0A2E" w:rsidP="006D1412">
            <w:pPr>
              <w:cnfStyle w:val="000000000000" w:firstRow="0" w:lastRow="0" w:firstColumn="0" w:lastColumn="0" w:oddVBand="0" w:evenVBand="0" w:oddHBand="0" w:evenHBand="0" w:firstRowFirstColumn="0" w:firstRowLastColumn="0" w:lastRowFirstColumn="0" w:lastRowLastColumn="0"/>
              <w:rPr>
                <w:b/>
                <w:bCs/>
                <w:szCs w:val="20"/>
                <w:lang w:eastAsia="fr-FR" w:bidi="ar-SA"/>
              </w:rPr>
            </w:pPr>
          </w:p>
        </w:tc>
        <w:tc>
          <w:tcPr>
            <w:tcW w:w="0" w:type="auto"/>
            <w:tcBorders>
              <w:top w:val="single" w:sz="4" w:space="0" w:color="B4C6E7" w:themeColor="accent1" w:themeTint="66"/>
            </w:tcBorders>
          </w:tcPr>
          <w:p w14:paraId="485583D7" w14:textId="77777777" w:rsidR="004A0A2E" w:rsidRPr="00AA22F2" w:rsidRDefault="004A0A2E" w:rsidP="00DD79A0">
            <w:pPr>
              <w:cnfStyle w:val="000000000000" w:firstRow="0" w:lastRow="0" w:firstColumn="0" w:lastColumn="0" w:oddVBand="0" w:evenVBand="0" w:oddHBand="0" w:evenHBand="0" w:firstRowFirstColumn="0" w:firstRowLastColumn="0" w:lastRowFirstColumn="0" w:lastRowLastColumn="0"/>
              <w:rPr>
                <w:szCs w:val="20"/>
                <w:lang w:eastAsia="fr-FR" w:bidi="ar-SA"/>
              </w:rPr>
            </w:pPr>
            <w:r w:rsidRPr="00AA22F2">
              <w:rPr>
                <w:szCs w:val="20"/>
                <w:lang w:eastAsia="fr-FR" w:bidi="ar-SA"/>
              </w:rPr>
              <w:t>Désigner un agent SST référent par équipe.</w:t>
            </w:r>
          </w:p>
        </w:tc>
        <w:tc>
          <w:tcPr>
            <w:tcW w:w="0" w:type="auto"/>
            <w:vMerge/>
          </w:tcPr>
          <w:p w14:paraId="13AF9983" w14:textId="77777777" w:rsidR="004A0A2E" w:rsidRPr="00AA22F2" w:rsidRDefault="004A0A2E" w:rsidP="006D1412">
            <w:pPr>
              <w:cnfStyle w:val="000000000000" w:firstRow="0" w:lastRow="0" w:firstColumn="0" w:lastColumn="0" w:oddVBand="0" w:evenVBand="0" w:oddHBand="0" w:evenHBand="0" w:firstRowFirstColumn="0" w:firstRowLastColumn="0" w:lastRowFirstColumn="0" w:lastRowLastColumn="0"/>
              <w:rPr>
                <w:szCs w:val="20"/>
                <w:lang w:eastAsia="fr-FR" w:bidi="ar-SA"/>
              </w:rPr>
            </w:pPr>
          </w:p>
        </w:tc>
        <w:tc>
          <w:tcPr>
            <w:tcW w:w="0" w:type="auto"/>
            <w:vMerge/>
          </w:tcPr>
          <w:p w14:paraId="52A0F83A" w14:textId="77777777" w:rsidR="004A0A2E" w:rsidRPr="00AA22F2" w:rsidRDefault="004A0A2E" w:rsidP="006D1412">
            <w:pPr>
              <w:cnfStyle w:val="000000000000" w:firstRow="0" w:lastRow="0" w:firstColumn="0" w:lastColumn="0" w:oddVBand="0" w:evenVBand="0" w:oddHBand="0" w:evenHBand="0" w:firstRowFirstColumn="0" w:firstRowLastColumn="0" w:lastRowFirstColumn="0" w:lastRowLastColumn="0"/>
              <w:rPr>
                <w:szCs w:val="20"/>
                <w:lang w:eastAsia="fr-FR" w:bidi="ar-SA"/>
              </w:rPr>
            </w:pPr>
          </w:p>
        </w:tc>
        <w:tc>
          <w:tcPr>
            <w:tcW w:w="0" w:type="auto"/>
            <w:vMerge/>
          </w:tcPr>
          <w:p w14:paraId="045FA769" w14:textId="77777777" w:rsidR="004A0A2E" w:rsidRPr="00BC1745" w:rsidRDefault="004A0A2E" w:rsidP="006D1412">
            <w:pPr>
              <w:cnfStyle w:val="000000000000" w:firstRow="0" w:lastRow="0" w:firstColumn="0" w:lastColumn="0" w:oddVBand="0" w:evenVBand="0" w:oddHBand="0" w:evenHBand="0" w:firstRowFirstColumn="0" w:firstRowLastColumn="0" w:lastRowFirstColumn="0" w:lastRowLastColumn="0"/>
              <w:rPr>
                <w:szCs w:val="20"/>
              </w:rPr>
            </w:pPr>
          </w:p>
        </w:tc>
        <w:tc>
          <w:tcPr>
            <w:tcW w:w="0" w:type="auto"/>
            <w:vMerge/>
          </w:tcPr>
          <w:p w14:paraId="64A60E8E" w14:textId="77777777" w:rsidR="004A0A2E" w:rsidRPr="00AA22F2" w:rsidRDefault="004A0A2E" w:rsidP="006D1412">
            <w:pPr>
              <w:cnfStyle w:val="000000000000" w:firstRow="0" w:lastRow="0" w:firstColumn="0" w:lastColumn="0" w:oddVBand="0" w:evenVBand="0" w:oddHBand="0" w:evenHBand="0" w:firstRowFirstColumn="0" w:firstRowLastColumn="0" w:lastRowFirstColumn="0" w:lastRowLastColumn="0"/>
              <w:rPr>
                <w:szCs w:val="20"/>
                <w:lang w:eastAsia="fr-FR" w:bidi="ar-SA"/>
              </w:rPr>
            </w:pPr>
          </w:p>
        </w:tc>
        <w:tc>
          <w:tcPr>
            <w:tcW w:w="0" w:type="auto"/>
            <w:vMerge/>
          </w:tcPr>
          <w:p w14:paraId="51894C41" w14:textId="77777777" w:rsidR="004A0A2E" w:rsidRPr="00AA22F2" w:rsidRDefault="004A0A2E" w:rsidP="006D1412">
            <w:pPr>
              <w:cnfStyle w:val="000000000000" w:firstRow="0" w:lastRow="0" w:firstColumn="0" w:lastColumn="0" w:oddVBand="0" w:evenVBand="0" w:oddHBand="0" w:evenHBand="0" w:firstRowFirstColumn="0" w:firstRowLastColumn="0" w:lastRowFirstColumn="0" w:lastRowLastColumn="0"/>
              <w:rPr>
                <w:szCs w:val="20"/>
                <w:lang w:eastAsia="fr-FR" w:bidi="ar-SA"/>
              </w:rPr>
            </w:pPr>
          </w:p>
        </w:tc>
        <w:tc>
          <w:tcPr>
            <w:tcW w:w="0" w:type="auto"/>
            <w:tcBorders>
              <w:top w:val="single" w:sz="4" w:space="0" w:color="B4C6E7" w:themeColor="accent1" w:themeTint="66"/>
            </w:tcBorders>
          </w:tcPr>
          <w:p w14:paraId="3F722668" w14:textId="1BB9C73E" w:rsidR="004A0A2E" w:rsidRDefault="004A0A2E" w:rsidP="006D1412">
            <w:pPr>
              <w:cnfStyle w:val="000000000000" w:firstRow="0" w:lastRow="0" w:firstColumn="0" w:lastColumn="0" w:oddVBand="0" w:evenVBand="0" w:oddHBand="0" w:evenHBand="0" w:firstRowFirstColumn="0" w:firstRowLastColumn="0" w:lastRowFirstColumn="0" w:lastRowLastColumn="0"/>
              <w:rPr>
                <w:szCs w:val="20"/>
                <w:lang w:eastAsia="fr-FR" w:bidi="ar-SA"/>
              </w:rPr>
            </w:pPr>
            <w:r>
              <w:rPr>
                <w:szCs w:val="20"/>
                <w:lang w:eastAsia="fr-FR" w:bidi="ar-SA"/>
              </w:rPr>
              <w:t>Responsable HSSE : 17000MAD/mois</w:t>
            </w:r>
          </w:p>
          <w:p w14:paraId="1B3F3E52" w14:textId="5F579EC0" w:rsidR="004A0A2E" w:rsidRPr="00AA22F2" w:rsidRDefault="004A0A2E" w:rsidP="006D1412">
            <w:pPr>
              <w:cnfStyle w:val="000000000000" w:firstRow="0" w:lastRow="0" w:firstColumn="0" w:lastColumn="0" w:oddVBand="0" w:evenVBand="0" w:oddHBand="0" w:evenHBand="0" w:firstRowFirstColumn="0" w:firstRowLastColumn="0" w:lastRowFirstColumn="0" w:lastRowLastColumn="0"/>
              <w:rPr>
                <w:szCs w:val="20"/>
                <w:lang w:eastAsia="fr-FR" w:bidi="ar-SA"/>
              </w:rPr>
            </w:pPr>
            <w:r>
              <w:rPr>
                <w:szCs w:val="20"/>
                <w:lang w:eastAsia="fr-FR" w:bidi="ar-SA"/>
              </w:rPr>
              <w:t>Coordinateurs HSSE : 8000MAD/mois</w:t>
            </w:r>
          </w:p>
        </w:tc>
      </w:tr>
      <w:tr w:rsidR="004A0A2E" w:rsidRPr="00D75525" w14:paraId="7C2D9F9B" w14:textId="77777777" w:rsidTr="004A0A2E">
        <w:trPr>
          <w:trHeight w:val="1342"/>
        </w:trPr>
        <w:tc>
          <w:tcPr>
            <w:cnfStyle w:val="001000000000" w:firstRow="0" w:lastRow="0" w:firstColumn="1" w:lastColumn="0" w:oddVBand="0" w:evenVBand="0" w:oddHBand="0" w:evenHBand="0" w:firstRowFirstColumn="0" w:firstRowLastColumn="0" w:lastRowFirstColumn="0" w:lastRowLastColumn="0"/>
            <w:tcW w:w="0" w:type="auto"/>
            <w:vMerge/>
            <w:hideMark/>
          </w:tcPr>
          <w:p w14:paraId="15F582C8" w14:textId="77777777" w:rsidR="004A0A2E" w:rsidRPr="00AA22F2" w:rsidRDefault="004A0A2E" w:rsidP="006D1412">
            <w:pPr>
              <w:rPr>
                <w:szCs w:val="20"/>
                <w:lang w:eastAsia="fr-FR" w:bidi="ar-SA"/>
              </w:rPr>
            </w:pPr>
          </w:p>
        </w:tc>
        <w:tc>
          <w:tcPr>
            <w:tcW w:w="0" w:type="auto"/>
            <w:vMerge w:val="restart"/>
            <w:hideMark/>
          </w:tcPr>
          <w:p w14:paraId="06A701A2" w14:textId="77777777" w:rsidR="004A0A2E" w:rsidRPr="00AA22F2" w:rsidRDefault="004A0A2E" w:rsidP="006D1412">
            <w:pPr>
              <w:cnfStyle w:val="000000000000" w:firstRow="0" w:lastRow="0" w:firstColumn="0" w:lastColumn="0" w:oddVBand="0" w:evenVBand="0" w:oddHBand="0" w:evenHBand="0" w:firstRowFirstColumn="0" w:firstRowLastColumn="0" w:lastRowFirstColumn="0" w:lastRowLastColumn="0"/>
              <w:rPr>
                <w:szCs w:val="20"/>
                <w:lang w:eastAsia="fr-FR" w:bidi="ar-SA"/>
              </w:rPr>
            </w:pPr>
            <w:r w:rsidRPr="00AA22F2">
              <w:rPr>
                <w:b/>
                <w:bCs/>
                <w:szCs w:val="20"/>
                <w:lang w:eastAsia="fr-FR" w:bidi="ar-SA"/>
              </w:rPr>
              <w:t>Compenser</w:t>
            </w:r>
          </w:p>
        </w:tc>
        <w:tc>
          <w:tcPr>
            <w:tcW w:w="0" w:type="auto"/>
            <w:tcBorders>
              <w:bottom w:val="single" w:sz="4" w:space="0" w:color="B4C6E7" w:themeColor="accent1" w:themeTint="66"/>
            </w:tcBorders>
            <w:hideMark/>
          </w:tcPr>
          <w:p w14:paraId="4FF6688F" w14:textId="4D1F179C" w:rsidR="004A0A2E" w:rsidRPr="00AA22F2" w:rsidRDefault="004A0A2E" w:rsidP="006D1412">
            <w:pPr>
              <w:cnfStyle w:val="000000000000" w:firstRow="0" w:lastRow="0" w:firstColumn="0" w:lastColumn="0" w:oddVBand="0" w:evenVBand="0" w:oddHBand="0" w:evenHBand="0" w:firstRowFirstColumn="0" w:firstRowLastColumn="0" w:lastRowFirstColumn="0" w:lastRowLastColumn="0"/>
              <w:rPr>
                <w:szCs w:val="20"/>
                <w:lang w:eastAsia="fr-FR" w:bidi="ar-SA"/>
              </w:rPr>
            </w:pPr>
            <w:r w:rsidRPr="00AA22F2">
              <w:rPr>
                <w:szCs w:val="20"/>
                <w:lang w:eastAsia="fr-FR" w:bidi="ar-SA"/>
              </w:rPr>
              <w:t xml:space="preserve">Réaffecter les travailleurs sensibles (plus de 50 ans ou présentant des </w:t>
            </w:r>
            <w:r w:rsidRPr="00AA22F2">
              <w:rPr>
                <w:szCs w:val="20"/>
                <w:lang w:eastAsia="fr-FR" w:bidi="ar-SA"/>
              </w:rPr>
              <w:lastRenderedPageBreak/>
              <w:t xml:space="preserve">pathologies) à des postes ombragés ; </w:t>
            </w:r>
          </w:p>
        </w:tc>
        <w:tc>
          <w:tcPr>
            <w:tcW w:w="0" w:type="auto"/>
            <w:vMerge w:val="restart"/>
            <w:hideMark/>
          </w:tcPr>
          <w:p w14:paraId="2547AFB3" w14:textId="77777777" w:rsidR="004A0A2E" w:rsidRPr="00AA22F2" w:rsidRDefault="004A0A2E" w:rsidP="006D1412">
            <w:pPr>
              <w:cnfStyle w:val="000000000000" w:firstRow="0" w:lastRow="0" w:firstColumn="0" w:lastColumn="0" w:oddVBand="0" w:evenVBand="0" w:oddHBand="0" w:evenHBand="0" w:firstRowFirstColumn="0" w:firstRowLastColumn="0" w:lastRowFirstColumn="0" w:lastRowLastColumn="0"/>
              <w:rPr>
                <w:szCs w:val="20"/>
                <w:lang w:eastAsia="fr-FR" w:bidi="ar-SA"/>
              </w:rPr>
            </w:pPr>
            <w:r w:rsidRPr="00AA22F2">
              <w:rPr>
                <w:szCs w:val="20"/>
                <w:lang w:eastAsia="fr-FR" w:bidi="ar-SA"/>
              </w:rPr>
              <w:lastRenderedPageBreak/>
              <w:t xml:space="preserve">Nb de réaffectations </w:t>
            </w:r>
          </w:p>
          <w:p w14:paraId="3B162571" w14:textId="4A2C342D" w:rsidR="004A0A2E" w:rsidRPr="00AA22F2" w:rsidRDefault="004A0A2E" w:rsidP="006D1412">
            <w:pPr>
              <w:cnfStyle w:val="000000000000" w:firstRow="0" w:lastRow="0" w:firstColumn="0" w:lastColumn="0" w:oddVBand="0" w:evenVBand="0" w:oddHBand="0" w:evenHBand="0" w:firstRowFirstColumn="0" w:firstRowLastColumn="0" w:lastRowFirstColumn="0" w:lastRowLastColumn="0"/>
              <w:rPr>
                <w:szCs w:val="20"/>
                <w:lang w:eastAsia="fr-FR" w:bidi="ar-SA"/>
              </w:rPr>
            </w:pPr>
            <w:r w:rsidRPr="00AA22F2">
              <w:rPr>
                <w:szCs w:val="20"/>
                <w:lang w:eastAsia="fr-FR" w:bidi="ar-SA"/>
              </w:rPr>
              <w:lastRenderedPageBreak/>
              <w:t>Délai de prise en charge</w:t>
            </w:r>
          </w:p>
        </w:tc>
        <w:tc>
          <w:tcPr>
            <w:tcW w:w="0" w:type="auto"/>
            <w:vMerge w:val="restart"/>
            <w:hideMark/>
          </w:tcPr>
          <w:p w14:paraId="5BA744AE" w14:textId="20AEE10F" w:rsidR="004A0A2E" w:rsidRPr="00AA22F2" w:rsidRDefault="004A0A2E" w:rsidP="006D1412">
            <w:pPr>
              <w:cnfStyle w:val="000000000000" w:firstRow="0" w:lastRow="0" w:firstColumn="0" w:lastColumn="0" w:oddVBand="0" w:evenVBand="0" w:oddHBand="0" w:evenHBand="0" w:firstRowFirstColumn="0" w:firstRowLastColumn="0" w:lastRowFirstColumn="0" w:lastRowLastColumn="0"/>
              <w:rPr>
                <w:szCs w:val="20"/>
                <w:lang w:eastAsia="fr-FR" w:bidi="ar-SA"/>
              </w:rPr>
            </w:pPr>
            <w:r w:rsidRPr="00AA22F2">
              <w:rPr>
                <w:szCs w:val="20"/>
                <w:lang w:eastAsia="fr-FR" w:bidi="ar-SA"/>
              </w:rPr>
              <w:lastRenderedPageBreak/>
              <w:t>EPC et sous-traitants</w:t>
            </w:r>
          </w:p>
        </w:tc>
        <w:tc>
          <w:tcPr>
            <w:tcW w:w="0" w:type="auto"/>
            <w:vMerge w:val="restart"/>
            <w:hideMark/>
          </w:tcPr>
          <w:p w14:paraId="3B029EE1" w14:textId="184859D5" w:rsidR="004A0A2E" w:rsidRPr="00AA22F2" w:rsidRDefault="004A0A2E" w:rsidP="006D1412">
            <w:pPr>
              <w:cnfStyle w:val="000000000000" w:firstRow="0" w:lastRow="0" w:firstColumn="0" w:lastColumn="0" w:oddVBand="0" w:evenVBand="0" w:oddHBand="0" w:evenHBand="0" w:firstRowFirstColumn="0" w:firstRowLastColumn="0" w:lastRowFirstColumn="0" w:lastRowLastColumn="0"/>
              <w:rPr>
                <w:szCs w:val="20"/>
                <w:lang w:eastAsia="fr-FR" w:bidi="ar-SA"/>
              </w:rPr>
            </w:pPr>
            <w:r w:rsidRPr="00BC1745">
              <w:rPr>
                <w:szCs w:val="20"/>
              </w:rPr>
              <w:t xml:space="preserve">Bureau de contrôle / Consultant de supervision </w:t>
            </w:r>
            <w:r w:rsidRPr="00BC1745">
              <w:rPr>
                <w:szCs w:val="20"/>
              </w:rPr>
              <w:lastRenderedPageBreak/>
              <w:t>mandaté par l’ONDA</w:t>
            </w:r>
          </w:p>
        </w:tc>
        <w:tc>
          <w:tcPr>
            <w:tcW w:w="0" w:type="auto"/>
            <w:vMerge w:val="restart"/>
            <w:hideMark/>
          </w:tcPr>
          <w:p w14:paraId="6E95E524" w14:textId="504E58AF" w:rsidR="004A0A2E" w:rsidRPr="00AA22F2" w:rsidRDefault="004A0A2E" w:rsidP="006D1412">
            <w:pPr>
              <w:cnfStyle w:val="000000000000" w:firstRow="0" w:lastRow="0" w:firstColumn="0" w:lastColumn="0" w:oddVBand="0" w:evenVBand="0" w:oddHBand="0" w:evenHBand="0" w:firstRowFirstColumn="0" w:firstRowLastColumn="0" w:lastRowFirstColumn="0" w:lastRowLastColumn="0"/>
              <w:rPr>
                <w:szCs w:val="20"/>
                <w:lang w:eastAsia="fr-FR" w:bidi="ar-SA"/>
              </w:rPr>
            </w:pPr>
            <w:r w:rsidRPr="00AA22F2">
              <w:rPr>
                <w:szCs w:val="20"/>
                <w:lang w:eastAsia="fr-FR" w:bidi="ar-SA"/>
              </w:rPr>
              <w:lastRenderedPageBreak/>
              <w:t>ONDA</w:t>
            </w:r>
          </w:p>
        </w:tc>
        <w:tc>
          <w:tcPr>
            <w:tcW w:w="0" w:type="auto"/>
            <w:vMerge w:val="restart"/>
            <w:hideMark/>
          </w:tcPr>
          <w:p w14:paraId="07849A41" w14:textId="77777777" w:rsidR="004A0A2E" w:rsidRPr="00AA22F2" w:rsidRDefault="004A0A2E" w:rsidP="006D1412">
            <w:pPr>
              <w:cnfStyle w:val="000000000000" w:firstRow="0" w:lastRow="0" w:firstColumn="0" w:lastColumn="0" w:oddVBand="0" w:evenVBand="0" w:oddHBand="0" w:evenHBand="0" w:firstRowFirstColumn="0" w:firstRowLastColumn="0" w:lastRowFirstColumn="0" w:lastRowLastColumn="0"/>
              <w:rPr>
                <w:szCs w:val="20"/>
                <w:lang w:eastAsia="fr-FR" w:bidi="ar-SA"/>
              </w:rPr>
            </w:pPr>
            <w:r w:rsidRPr="00AA22F2">
              <w:rPr>
                <w:szCs w:val="20"/>
                <w:lang w:eastAsia="fr-FR" w:bidi="ar-SA"/>
              </w:rPr>
              <w:t>Selon occurrence</w:t>
            </w:r>
          </w:p>
        </w:tc>
        <w:tc>
          <w:tcPr>
            <w:tcW w:w="0" w:type="auto"/>
            <w:vMerge w:val="restart"/>
            <w:hideMark/>
          </w:tcPr>
          <w:p w14:paraId="08670BF0" w14:textId="02724771" w:rsidR="004A0A2E" w:rsidRDefault="004A0A2E" w:rsidP="006D1412">
            <w:pPr>
              <w:cnfStyle w:val="000000000000" w:firstRow="0" w:lastRow="0" w:firstColumn="0" w:lastColumn="0" w:oddVBand="0" w:evenVBand="0" w:oddHBand="0" w:evenHBand="0" w:firstRowFirstColumn="0" w:firstRowLastColumn="0" w:lastRowFirstColumn="0" w:lastRowLastColumn="0"/>
              <w:rPr>
                <w:szCs w:val="20"/>
                <w:lang w:eastAsia="fr-FR" w:bidi="ar-SA"/>
              </w:rPr>
            </w:pPr>
            <w:r>
              <w:rPr>
                <w:szCs w:val="20"/>
                <w:lang w:eastAsia="fr-FR" w:bidi="ar-SA"/>
              </w:rPr>
              <w:t>Aucun coût spécifique (</w:t>
            </w:r>
            <w:r w:rsidRPr="004A0A2E">
              <w:rPr>
                <w:szCs w:val="20"/>
                <w:lang w:eastAsia="fr-FR" w:bidi="ar-SA"/>
              </w:rPr>
              <w:t>Gestion RH interne</w:t>
            </w:r>
            <w:r>
              <w:rPr>
                <w:szCs w:val="20"/>
                <w:lang w:eastAsia="fr-FR" w:bidi="ar-SA"/>
              </w:rPr>
              <w:t>)</w:t>
            </w:r>
          </w:p>
          <w:p w14:paraId="5B8FE9DB" w14:textId="77777777" w:rsidR="004A0A2E" w:rsidRDefault="004A0A2E" w:rsidP="006D1412">
            <w:pPr>
              <w:cnfStyle w:val="000000000000" w:firstRow="0" w:lastRow="0" w:firstColumn="0" w:lastColumn="0" w:oddVBand="0" w:evenVBand="0" w:oddHBand="0" w:evenHBand="0" w:firstRowFirstColumn="0" w:firstRowLastColumn="0" w:lastRowFirstColumn="0" w:lastRowLastColumn="0"/>
              <w:rPr>
                <w:szCs w:val="20"/>
                <w:lang w:eastAsia="fr-FR" w:bidi="ar-SA"/>
              </w:rPr>
            </w:pPr>
          </w:p>
          <w:p w14:paraId="051E72FA" w14:textId="756957BA" w:rsidR="004A0A2E" w:rsidRPr="00AA22F2" w:rsidRDefault="004A0A2E" w:rsidP="006D1412">
            <w:pPr>
              <w:cnfStyle w:val="000000000000" w:firstRow="0" w:lastRow="0" w:firstColumn="0" w:lastColumn="0" w:oddVBand="0" w:evenVBand="0" w:oddHBand="0" w:evenHBand="0" w:firstRowFirstColumn="0" w:firstRowLastColumn="0" w:lastRowFirstColumn="0" w:lastRowLastColumn="0"/>
              <w:rPr>
                <w:szCs w:val="20"/>
                <w:lang w:eastAsia="fr-FR" w:bidi="ar-SA"/>
              </w:rPr>
            </w:pPr>
            <w:r>
              <w:rPr>
                <w:szCs w:val="20"/>
                <w:lang w:eastAsia="fr-FR" w:bidi="ar-SA"/>
              </w:rPr>
              <w:lastRenderedPageBreak/>
              <w:t>M</w:t>
            </w:r>
            <w:r w:rsidRPr="004A0A2E">
              <w:rPr>
                <w:szCs w:val="20"/>
                <w:lang w:eastAsia="fr-FR" w:bidi="ar-SA"/>
              </w:rPr>
              <w:t>édecin 18 000 MAD/mois et infirmier 8 000 MAD/mois.</w:t>
            </w:r>
          </w:p>
        </w:tc>
      </w:tr>
      <w:tr w:rsidR="004A0A2E" w:rsidRPr="00D75525" w14:paraId="4773F2A1" w14:textId="77777777" w:rsidTr="004A0A2E">
        <w:trPr>
          <w:trHeight w:val="982"/>
        </w:trPr>
        <w:tc>
          <w:tcPr>
            <w:cnfStyle w:val="001000000000" w:firstRow="0" w:lastRow="0" w:firstColumn="1" w:lastColumn="0" w:oddVBand="0" w:evenVBand="0" w:oddHBand="0" w:evenHBand="0" w:firstRowFirstColumn="0" w:firstRowLastColumn="0" w:lastRowFirstColumn="0" w:lastRowLastColumn="0"/>
            <w:tcW w:w="0" w:type="auto"/>
            <w:vMerge/>
          </w:tcPr>
          <w:p w14:paraId="4FDCBAC9" w14:textId="77777777" w:rsidR="004A0A2E" w:rsidRPr="00AA22F2" w:rsidRDefault="004A0A2E" w:rsidP="006D1412">
            <w:pPr>
              <w:rPr>
                <w:szCs w:val="20"/>
                <w:lang w:eastAsia="fr-FR" w:bidi="ar-SA"/>
              </w:rPr>
            </w:pPr>
          </w:p>
        </w:tc>
        <w:tc>
          <w:tcPr>
            <w:tcW w:w="0" w:type="auto"/>
            <w:vMerge/>
          </w:tcPr>
          <w:p w14:paraId="61F6A12F" w14:textId="77777777" w:rsidR="004A0A2E" w:rsidRPr="00AA22F2" w:rsidRDefault="004A0A2E" w:rsidP="006D1412">
            <w:pPr>
              <w:cnfStyle w:val="000000000000" w:firstRow="0" w:lastRow="0" w:firstColumn="0" w:lastColumn="0" w:oddVBand="0" w:evenVBand="0" w:oddHBand="0" w:evenHBand="0" w:firstRowFirstColumn="0" w:firstRowLastColumn="0" w:lastRowFirstColumn="0" w:lastRowLastColumn="0"/>
              <w:rPr>
                <w:b/>
                <w:bCs/>
                <w:szCs w:val="20"/>
                <w:lang w:eastAsia="fr-FR" w:bidi="ar-SA"/>
              </w:rPr>
            </w:pPr>
          </w:p>
        </w:tc>
        <w:tc>
          <w:tcPr>
            <w:tcW w:w="0" w:type="auto"/>
            <w:tcBorders>
              <w:top w:val="single" w:sz="4" w:space="0" w:color="B4C6E7" w:themeColor="accent1" w:themeTint="66"/>
            </w:tcBorders>
          </w:tcPr>
          <w:p w14:paraId="4D92850E" w14:textId="77777777" w:rsidR="004A0A2E" w:rsidRPr="00AA22F2" w:rsidRDefault="004A0A2E" w:rsidP="004A0A2E">
            <w:pPr>
              <w:cnfStyle w:val="000000000000" w:firstRow="0" w:lastRow="0" w:firstColumn="0" w:lastColumn="0" w:oddVBand="0" w:evenVBand="0" w:oddHBand="0" w:evenHBand="0" w:firstRowFirstColumn="0" w:firstRowLastColumn="0" w:lastRowFirstColumn="0" w:lastRowLastColumn="0"/>
              <w:rPr>
                <w:szCs w:val="20"/>
                <w:lang w:eastAsia="fr-FR" w:bidi="ar-SA"/>
              </w:rPr>
            </w:pPr>
            <w:r w:rsidRPr="00AA22F2">
              <w:rPr>
                <w:szCs w:val="20"/>
                <w:lang w:eastAsia="fr-FR" w:bidi="ar-SA"/>
              </w:rPr>
              <w:t>Assurer la couverture médicale immédiate en cas de coup de chaleur.</w:t>
            </w:r>
          </w:p>
        </w:tc>
        <w:tc>
          <w:tcPr>
            <w:tcW w:w="0" w:type="auto"/>
            <w:vMerge/>
          </w:tcPr>
          <w:p w14:paraId="09074308" w14:textId="77777777" w:rsidR="004A0A2E" w:rsidRPr="00AA22F2" w:rsidRDefault="004A0A2E" w:rsidP="006D1412">
            <w:pPr>
              <w:cnfStyle w:val="000000000000" w:firstRow="0" w:lastRow="0" w:firstColumn="0" w:lastColumn="0" w:oddVBand="0" w:evenVBand="0" w:oddHBand="0" w:evenHBand="0" w:firstRowFirstColumn="0" w:firstRowLastColumn="0" w:lastRowFirstColumn="0" w:lastRowLastColumn="0"/>
              <w:rPr>
                <w:szCs w:val="20"/>
                <w:lang w:eastAsia="fr-FR" w:bidi="ar-SA"/>
              </w:rPr>
            </w:pPr>
          </w:p>
        </w:tc>
        <w:tc>
          <w:tcPr>
            <w:tcW w:w="0" w:type="auto"/>
            <w:vMerge/>
          </w:tcPr>
          <w:p w14:paraId="76A32E52" w14:textId="77777777" w:rsidR="004A0A2E" w:rsidRPr="00AA22F2" w:rsidRDefault="004A0A2E" w:rsidP="006D1412">
            <w:pPr>
              <w:cnfStyle w:val="000000000000" w:firstRow="0" w:lastRow="0" w:firstColumn="0" w:lastColumn="0" w:oddVBand="0" w:evenVBand="0" w:oddHBand="0" w:evenHBand="0" w:firstRowFirstColumn="0" w:firstRowLastColumn="0" w:lastRowFirstColumn="0" w:lastRowLastColumn="0"/>
              <w:rPr>
                <w:szCs w:val="20"/>
                <w:lang w:eastAsia="fr-FR" w:bidi="ar-SA"/>
              </w:rPr>
            </w:pPr>
          </w:p>
        </w:tc>
        <w:tc>
          <w:tcPr>
            <w:tcW w:w="0" w:type="auto"/>
            <w:vMerge/>
          </w:tcPr>
          <w:p w14:paraId="6D34E444" w14:textId="77777777" w:rsidR="004A0A2E" w:rsidRPr="00BC1745" w:rsidRDefault="004A0A2E" w:rsidP="006D1412">
            <w:pPr>
              <w:cnfStyle w:val="000000000000" w:firstRow="0" w:lastRow="0" w:firstColumn="0" w:lastColumn="0" w:oddVBand="0" w:evenVBand="0" w:oddHBand="0" w:evenHBand="0" w:firstRowFirstColumn="0" w:firstRowLastColumn="0" w:lastRowFirstColumn="0" w:lastRowLastColumn="0"/>
              <w:rPr>
                <w:szCs w:val="20"/>
              </w:rPr>
            </w:pPr>
          </w:p>
        </w:tc>
        <w:tc>
          <w:tcPr>
            <w:tcW w:w="0" w:type="auto"/>
            <w:vMerge/>
          </w:tcPr>
          <w:p w14:paraId="2125F4DF" w14:textId="77777777" w:rsidR="004A0A2E" w:rsidRPr="00AA22F2" w:rsidRDefault="004A0A2E" w:rsidP="006D1412">
            <w:pPr>
              <w:cnfStyle w:val="000000000000" w:firstRow="0" w:lastRow="0" w:firstColumn="0" w:lastColumn="0" w:oddVBand="0" w:evenVBand="0" w:oddHBand="0" w:evenHBand="0" w:firstRowFirstColumn="0" w:firstRowLastColumn="0" w:lastRowFirstColumn="0" w:lastRowLastColumn="0"/>
              <w:rPr>
                <w:szCs w:val="20"/>
                <w:lang w:eastAsia="fr-FR" w:bidi="ar-SA"/>
              </w:rPr>
            </w:pPr>
          </w:p>
        </w:tc>
        <w:tc>
          <w:tcPr>
            <w:tcW w:w="0" w:type="auto"/>
            <w:vMerge/>
          </w:tcPr>
          <w:p w14:paraId="482FE5B4" w14:textId="77777777" w:rsidR="004A0A2E" w:rsidRPr="00AA22F2" w:rsidRDefault="004A0A2E" w:rsidP="006D1412">
            <w:pPr>
              <w:cnfStyle w:val="000000000000" w:firstRow="0" w:lastRow="0" w:firstColumn="0" w:lastColumn="0" w:oddVBand="0" w:evenVBand="0" w:oddHBand="0" w:evenHBand="0" w:firstRowFirstColumn="0" w:firstRowLastColumn="0" w:lastRowFirstColumn="0" w:lastRowLastColumn="0"/>
              <w:rPr>
                <w:szCs w:val="20"/>
                <w:lang w:eastAsia="fr-FR" w:bidi="ar-SA"/>
              </w:rPr>
            </w:pPr>
          </w:p>
        </w:tc>
        <w:tc>
          <w:tcPr>
            <w:tcW w:w="0" w:type="auto"/>
            <w:vMerge/>
          </w:tcPr>
          <w:p w14:paraId="708C0A4C" w14:textId="77777777" w:rsidR="004A0A2E" w:rsidRPr="00AA22F2" w:rsidRDefault="004A0A2E" w:rsidP="006D1412">
            <w:pPr>
              <w:cnfStyle w:val="000000000000" w:firstRow="0" w:lastRow="0" w:firstColumn="0" w:lastColumn="0" w:oddVBand="0" w:evenVBand="0" w:oddHBand="0" w:evenHBand="0" w:firstRowFirstColumn="0" w:firstRowLastColumn="0" w:lastRowFirstColumn="0" w:lastRowLastColumn="0"/>
              <w:rPr>
                <w:szCs w:val="20"/>
                <w:lang w:eastAsia="fr-FR" w:bidi="ar-SA"/>
              </w:rPr>
            </w:pPr>
          </w:p>
        </w:tc>
      </w:tr>
      <w:tr w:rsidR="00722638" w:rsidRPr="00D75525" w14:paraId="79904307" w14:textId="77777777" w:rsidTr="00065104">
        <w:tc>
          <w:tcPr>
            <w:cnfStyle w:val="001000000000" w:firstRow="0" w:lastRow="0" w:firstColumn="1" w:lastColumn="0" w:oddVBand="0" w:evenVBand="0" w:oddHBand="0" w:evenHBand="0" w:firstRowFirstColumn="0" w:firstRowLastColumn="0" w:lastRowFirstColumn="0" w:lastRowLastColumn="0"/>
            <w:tcW w:w="0" w:type="auto"/>
            <w:vMerge w:val="restart"/>
            <w:hideMark/>
          </w:tcPr>
          <w:p w14:paraId="7D5105C0" w14:textId="77777777" w:rsidR="006D1412" w:rsidRPr="00AA22F2" w:rsidRDefault="006D1412" w:rsidP="006D1412">
            <w:pPr>
              <w:rPr>
                <w:szCs w:val="20"/>
                <w:lang w:eastAsia="fr-FR" w:bidi="ar-SA"/>
              </w:rPr>
            </w:pPr>
            <w:r w:rsidRPr="00AA22F2">
              <w:rPr>
                <w:szCs w:val="20"/>
                <w:lang w:eastAsia="fr-FR" w:bidi="ar-SA"/>
              </w:rPr>
              <w:t>Inégalités de traitement et déséquilibres sociaux entre travailleurs</w:t>
            </w:r>
          </w:p>
        </w:tc>
        <w:tc>
          <w:tcPr>
            <w:tcW w:w="0" w:type="auto"/>
            <w:hideMark/>
          </w:tcPr>
          <w:p w14:paraId="28568E1D" w14:textId="77777777" w:rsidR="006D1412" w:rsidRPr="00AA22F2" w:rsidRDefault="006D1412" w:rsidP="006D1412">
            <w:pPr>
              <w:cnfStyle w:val="000000000000" w:firstRow="0" w:lastRow="0" w:firstColumn="0" w:lastColumn="0" w:oddVBand="0" w:evenVBand="0" w:oddHBand="0" w:evenHBand="0" w:firstRowFirstColumn="0" w:firstRowLastColumn="0" w:lastRowFirstColumn="0" w:lastRowLastColumn="0"/>
              <w:rPr>
                <w:szCs w:val="20"/>
                <w:lang w:eastAsia="fr-FR" w:bidi="ar-SA"/>
              </w:rPr>
            </w:pPr>
            <w:r w:rsidRPr="00AA22F2">
              <w:rPr>
                <w:b/>
                <w:bCs/>
                <w:szCs w:val="20"/>
                <w:lang w:eastAsia="fr-FR" w:bidi="ar-SA"/>
              </w:rPr>
              <w:t>Éviter</w:t>
            </w:r>
          </w:p>
        </w:tc>
        <w:tc>
          <w:tcPr>
            <w:tcW w:w="0" w:type="auto"/>
            <w:hideMark/>
          </w:tcPr>
          <w:p w14:paraId="1B7B550D" w14:textId="77777777" w:rsidR="006D1412" w:rsidRPr="00AA22F2" w:rsidRDefault="006D1412" w:rsidP="006D1412">
            <w:pPr>
              <w:cnfStyle w:val="000000000000" w:firstRow="0" w:lastRow="0" w:firstColumn="0" w:lastColumn="0" w:oddVBand="0" w:evenVBand="0" w:oddHBand="0" w:evenHBand="0" w:firstRowFirstColumn="0" w:firstRowLastColumn="0" w:lastRowFirstColumn="0" w:lastRowLastColumn="0"/>
              <w:rPr>
                <w:szCs w:val="20"/>
                <w:lang w:eastAsia="fr-FR" w:bidi="ar-SA"/>
              </w:rPr>
            </w:pPr>
            <w:r w:rsidRPr="00AA22F2">
              <w:rPr>
                <w:szCs w:val="20"/>
                <w:lang w:eastAsia="fr-FR" w:bidi="ar-SA"/>
              </w:rPr>
              <w:t xml:space="preserve">Garantir des contrats écrits à tous les employés ; </w:t>
            </w:r>
          </w:p>
          <w:p w14:paraId="68EB124D" w14:textId="77777777" w:rsidR="006D1412" w:rsidRPr="00AA22F2" w:rsidRDefault="006D1412" w:rsidP="006D1412">
            <w:pPr>
              <w:cnfStyle w:val="000000000000" w:firstRow="0" w:lastRow="0" w:firstColumn="0" w:lastColumn="0" w:oddVBand="0" w:evenVBand="0" w:oddHBand="0" w:evenHBand="0" w:firstRowFirstColumn="0" w:firstRowLastColumn="0" w:lastRowFirstColumn="0" w:lastRowLastColumn="0"/>
              <w:rPr>
                <w:szCs w:val="20"/>
                <w:lang w:eastAsia="fr-FR" w:bidi="ar-SA"/>
              </w:rPr>
            </w:pPr>
            <w:r w:rsidRPr="00AA22F2">
              <w:rPr>
                <w:szCs w:val="20"/>
                <w:lang w:eastAsia="fr-FR" w:bidi="ar-SA"/>
              </w:rPr>
              <w:t xml:space="preserve">Appliquer des conditions salariales conformes à la grille CNSS ; </w:t>
            </w:r>
          </w:p>
          <w:p w14:paraId="1B96AFA7" w14:textId="3FCBAB00" w:rsidR="006D1412" w:rsidRPr="00AA22F2" w:rsidRDefault="006D1412" w:rsidP="006D1412">
            <w:pPr>
              <w:cnfStyle w:val="000000000000" w:firstRow="0" w:lastRow="0" w:firstColumn="0" w:lastColumn="0" w:oddVBand="0" w:evenVBand="0" w:oddHBand="0" w:evenHBand="0" w:firstRowFirstColumn="0" w:firstRowLastColumn="0" w:lastRowFirstColumn="0" w:lastRowLastColumn="0"/>
              <w:rPr>
                <w:szCs w:val="20"/>
                <w:lang w:eastAsia="fr-FR" w:bidi="ar-SA"/>
              </w:rPr>
            </w:pPr>
            <w:r w:rsidRPr="00AA22F2">
              <w:rPr>
                <w:szCs w:val="20"/>
                <w:lang w:eastAsia="fr-FR" w:bidi="ar-SA"/>
              </w:rPr>
              <w:t>Interdire toute discrimination de genre ou d’origine.</w:t>
            </w:r>
          </w:p>
        </w:tc>
        <w:tc>
          <w:tcPr>
            <w:tcW w:w="0" w:type="auto"/>
            <w:hideMark/>
          </w:tcPr>
          <w:p w14:paraId="2D035776" w14:textId="77777777" w:rsidR="006D1412" w:rsidRPr="00AA22F2" w:rsidRDefault="006D1412" w:rsidP="006D1412">
            <w:pPr>
              <w:cnfStyle w:val="000000000000" w:firstRow="0" w:lastRow="0" w:firstColumn="0" w:lastColumn="0" w:oddVBand="0" w:evenVBand="0" w:oddHBand="0" w:evenHBand="0" w:firstRowFirstColumn="0" w:firstRowLastColumn="0" w:lastRowFirstColumn="0" w:lastRowLastColumn="0"/>
              <w:rPr>
                <w:szCs w:val="20"/>
                <w:lang w:eastAsia="fr-FR" w:bidi="ar-SA"/>
              </w:rPr>
            </w:pPr>
            <w:r w:rsidRPr="00AA22F2">
              <w:rPr>
                <w:szCs w:val="20"/>
                <w:lang w:eastAsia="fr-FR" w:bidi="ar-SA"/>
              </w:rPr>
              <w:t xml:space="preserve">% de travailleurs sous contrat </w:t>
            </w:r>
          </w:p>
          <w:p w14:paraId="7EDD4739" w14:textId="1C509614" w:rsidR="006D1412" w:rsidRPr="00AA22F2" w:rsidRDefault="006D1412" w:rsidP="006D1412">
            <w:pPr>
              <w:cnfStyle w:val="000000000000" w:firstRow="0" w:lastRow="0" w:firstColumn="0" w:lastColumn="0" w:oddVBand="0" w:evenVBand="0" w:oddHBand="0" w:evenHBand="0" w:firstRowFirstColumn="0" w:firstRowLastColumn="0" w:lastRowFirstColumn="0" w:lastRowLastColumn="0"/>
              <w:rPr>
                <w:szCs w:val="20"/>
                <w:lang w:eastAsia="fr-FR" w:bidi="ar-SA"/>
              </w:rPr>
            </w:pPr>
            <w:r w:rsidRPr="00AA22F2">
              <w:rPr>
                <w:szCs w:val="20"/>
                <w:lang w:eastAsia="fr-FR" w:bidi="ar-SA"/>
              </w:rPr>
              <w:t>0 cas de discrimination</w:t>
            </w:r>
          </w:p>
        </w:tc>
        <w:tc>
          <w:tcPr>
            <w:tcW w:w="0" w:type="auto"/>
            <w:hideMark/>
          </w:tcPr>
          <w:p w14:paraId="0A024055" w14:textId="33532B18" w:rsidR="006D1412" w:rsidRPr="00AA22F2" w:rsidRDefault="006D1412" w:rsidP="006D1412">
            <w:pPr>
              <w:cnfStyle w:val="000000000000" w:firstRow="0" w:lastRow="0" w:firstColumn="0" w:lastColumn="0" w:oddVBand="0" w:evenVBand="0" w:oddHBand="0" w:evenHBand="0" w:firstRowFirstColumn="0" w:firstRowLastColumn="0" w:lastRowFirstColumn="0" w:lastRowLastColumn="0"/>
              <w:rPr>
                <w:szCs w:val="20"/>
                <w:lang w:eastAsia="fr-FR" w:bidi="ar-SA"/>
              </w:rPr>
            </w:pPr>
            <w:r w:rsidRPr="00AA22F2">
              <w:rPr>
                <w:szCs w:val="20"/>
                <w:lang w:eastAsia="fr-FR" w:bidi="ar-SA"/>
              </w:rPr>
              <w:t>EPC et sous-traitants</w:t>
            </w:r>
          </w:p>
        </w:tc>
        <w:tc>
          <w:tcPr>
            <w:tcW w:w="0" w:type="auto"/>
            <w:hideMark/>
          </w:tcPr>
          <w:p w14:paraId="136AC2A4" w14:textId="7CDB18E6" w:rsidR="006D1412" w:rsidRPr="00AA22F2" w:rsidRDefault="006D1412" w:rsidP="006D1412">
            <w:pPr>
              <w:cnfStyle w:val="000000000000" w:firstRow="0" w:lastRow="0" w:firstColumn="0" w:lastColumn="0" w:oddVBand="0" w:evenVBand="0" w:oddHBand="0" w:evenHBand="0" w:firstRowFirstColumn="0" w:firstRowLastColumn="0" w:lastRowFirstColumn="0" w:lastRowLastColumn="0"/>
              <w:rPr>
                <w:szCs w:val="20"/>
                <w:lang w:eastAsia="fr-FR" w:bidi="ar-SA"/>
              </w:rPr>
            </w:pPr>
            <w:r w:rsidRPr="00BC1745">
              <w:rPr>
                <w:szCs w:val="20"/>
              </w:rPr>
              <w:t>Bureau de contrôle / Consultant de supervision mandaté par l’ONDA</w:t>
            </w:r>
          </w:p>
        </w:tc>
        <w:tc>
          <w:tcPr>
            <w:tcW w:w="0" w:type="auto"/>
            <w:hideMark/>
          </w:tcPr>
          <w:p w14:paraId="01B9C52E" w14:textId="52288CD8" w:rsidR="006D1412" w:rsidRPr="00AA22F2" w:rsidRDefault="006D1412" w:rsidP="006D1412">
            <w:pPr>
              <w:cnfStyle w:val="000000000000" w:firstRow="0" w:lastRow="0" w:firstColumn="0" w:lastColumn="0" w:oddVBand="0" w:evenVBand="0" w:oddHBand="0" w:evenHBand="0" w:firstRowFirstColumn="0" w:firstRowLastColumn="0" w:lastRowFirstColumn="0" w:lastRowLastColumn="0"/>
              <w:rPr>
                <w:szCs w:val="20"/>
                <w:lang w:eastAsia="fr-FR" w:bidi="ar-SA"/>
              </w:rPr>
            </w:pPr>
            <w:r w:rsidRPr="00AA22F2">
              <w:rPr>
                <w:szCs w:val="20"/>
                <w:lang w:eastAsia="fr-FR" w:bidi="ar-SA"/>
              </w:rPr>
              <w:t>ONDA</w:t>
            </w:r>
          </w:p>
        </w:tc>
        <w:tc>
          <w:tcPr>
            <w:tcW w:w="0" w:type="auto"/>
            <w:hideMark/>
          </w:tcPr>
          <w:p w14:paraId="4ECE20A5" w14:textId="77777777" w:rsidR="006D1412" w:rsidRPr="00AA22F2" w:rsidRDefault="006D1412" w:rsidP="006D1412">
            <w:pPr>
              <w:cnfStyle w:val="000000000000" w:firstRow="0" w:lastRow="0" w:firstColumn="0" w:lastColumn="0" w:oddVBand="0" w:evenVBand="0" w:oddHBand="0" w:evenHBand="0" w:firstRowFirstColumn="0" w:firstRowLastColumn="0" w:lastRowFirstColumn="0" w:lastRowLastColumn="0"/>
              <w:rPr>
                <w:szCs w:val="20"/>
                <w:lang w:eastAsia="fr-FR" w:bidi="ar-SA"/>
              </w:rPr>
            </w:pPr>
            <w:r w:rsidRPr="00AA22F2">
              <w:rPr>
                <w:szCs w:val="20"/>
                <w:lang w:eastAsia="fr-FR" w:bidi="ar-SA"/>
              </w:rPr>
              <w:t>Avant mobilisation</w:t>
            </w:r>
          </w:p>
        </w:tc>
        <w:tc>
          <w:tcPr>
            <w:tcW w:w="0" w:type="auto"/>
            <w:hideMark/>
          </w:tcPr>
          <w:p w14:paraId="54C736DB" w14:textId="77777777" w:rsidR="006D1412" w:rsidRPr="00AA22F2" w:rsidRDefault="006D1412" w:rsidP="006D1412">
            <w:pPr>
              <w:cnfStyle w:val="000000000000" w:firstRow="0" w:lastRow="0" w:firstColumn="0" w:lastColumn="0" w:oddVBand="0" w:evenVBand="0" w:oddHBand="0" w:evenHBand="0" w:firstRowFirstColumn="0" w:firstRowLastColumn="0" w:lastRowFirstColumn="0" w:lastRowLastColumn="0"/>
              <w:rPr>
                <w:szCs w:val="20"/>
                <w:lang w:eastAsia="fr-FR" w:bidi="ar-SA"/>
              </w:rPr>
            </w:pPr>
            <w:r w:rsidRPr="00AA22F2">
              <w:rPr>
                <w:szCs w:val="20"/>
                <w:lang w:eastAsia="fr-FR" w:bidi="ar-SA"/>
              </w:rPr>
              <w:t>Aucun coût spécifique</w:t>
            </w:r>
          </w:p>
        </w:tc>
      </w:tr>
      <w:tr w:rsidR="00B97848" w:rsidRPr="00D75525" w14:paraId="415D8FF3" w14:textId="77777777" w:rsidTr="00D60FC9">
        <w:trPr>
          <w:trHeight w:val="1288"/>
        </w:trPr>
        <w:tc>
          <w:tcPr>
            <w:cnfStyle w:val="001000000000" w:firstRow="0" w:lastRow="0" w:firstColumn="1" w:lastColumn="0" w:oddVBand="0" w:evenVBand="0" w:oddHBand="0" w:evenHBand="0" w:firstRowFirstColumn="0" w:firstRowLastColumn="0" w:lastRowFirstColumn="0" w:lastRowLastColumn="0"/>
            <w:tcW w:w="0" w:type="auto"/>
            <w:vMerge/>
            <w:hideMark/>
          </w:tcPr>
          <w:p w14:paraId="2E684AB8" w14:textId="77777777" w:rsidR="00B97848" w:rsidRPr="00AA22F2" w:rsidRDefault="00B97848" w:rsidP="006D1412">
            <w:pPr>
              <w:rPr>
                <w:szCs w:val="20"/>
                <w:lang w:eastAsia="fr-FR" w:bidi="ar-SA"/>
              </w:rPr>
            </w:pPr>
          </w:p>
        </w:tc>
        <w:tc>
          <w:tcPr>
            <w:tcW w:w="0" w:type="auto"/>
            <w:vMerge w:val="restart"/>
            <w:hideMark/>
          </w:tcPr>
          <w:p w14:paraId="72075353" w14:textId="77777777" w:rsidR="00B97848" w:rsidRPr="00AA22F2" w:rsidRDefault="00B97848" w:rsidP="006D1412">
            <w:pPr>
              <w:cnfStyle w:val="000000000000" w:firstRow="0" w:lastRow="0" w:firstColumn="0" w:lastColumn="0" w:oddVBand="0" w:evenVBand="0" w:oddHBand="0" w:evenHBand="0" w:firstRowFirstColumn="0" w:firstRowLastColumn="0" w:lastRowFirstColumn="0" w:lastRowLastColumn="0"/>
              <w:rPr>
                <w:szCs w:val="20"/>
                <w:lang w:eastAsia="fr-FR" w:bidi="ar-SA"/>
              </w:rPr>
            </w:pPr>
            <w:r w:rsidRPr="00AA22F2">
              <w:rPr>
                <w:b/>
                <w:bCs/>
                <w:szCs w:val="20"/>
                <w:lang w:eastAsia="fr-FR" w:bidi="ar-SA"/>
              </w:rPr>
              <w:t>Réduire</w:t>
            </w:r>
          </w:p>
        </w:tc>
        <w:tc>
          <w:tcPr>
            <w:tcW w:w="0" w:type="auto"/>
            <w:tcBorders>
              <w:bottom w:val="single" w:sz="4" w:space="0" w:color="B4C6E7" w:themeColor="accent1" w:themeTint="66"/>
            </w:tcBorders>
            <w:hideMark/>
          </w:tcPr>
          <w:p w14:paraId="1E14993B" w14:textId="514D6289" w:rsidR="00B97848" w:rsidRPr="00AA22F2" w:rsidRDefault="00B97848" w:rsidP="006D1412">
            <w:pPr>
              <w:cnfStyle w:val="000000000000" w:firstRow="0" w:lastRow="0" w:firstColumn="0" w:lastColumn="0" w:oddVBand="0" w:evenVBand="0" w:oddHBand="0" w:evenHBand="0" w:firstRowFirstColumn="0" w:firstRowLastColumn="0" w:lastRowFirstColumn="0" w:lastRowLastColumn="0"/>
              <w:rPr>
                <w:szCs w:val="20"/>
                <w:lang w:eastAsia="fr-FR" w:bidi="ar-SA"/>
              </w:rPr>
            </w:pPr>
            <w:r w:rsidRPr="00AA22F2">
              <w:rPr>
                <w:szCs w:val="20"/>
                <w:lang w:eastAsia="fr-FR" w:bidi="ar-SA"/>
              </w:rPr>
              <w:t xml:space="preserve">Instaurer un comité de dialogue social mensuel avec représentants des travailleurs ; </w:t>
            </w:r>
          </w:p>
        </w:tc>
        <w:tc>
          <w:tcPr>
            <w:tcW w:w="0" w:type="auto"/>
            <w:vMerge w:val="restart"/>
            <w:hideMark/>
          </w:tcPr>
          <w:p w14:paraId="17472C80" w14:textId="77777777" w:rsidR="00B97848" w:rsidRPr="00AA22F2" w:rsidRDefault="00B97848" w:rsidP="006D1412">
            <w:pPr>
              <w:cnfStyle w:val="000000000000" w:firstRow="0" w:lastRow="0" w:firstColumn="0" w:lastColumn="0" w:oddVBand="0" w:evenVBand="0" w:oddHBand="0" w:evenHBand="0" w:firstRowFirstColumn="0" w:firstRowLastColumn="0" w:lastRowFirstColumn="0" w:lastRowLastColumn="0"/>
              <w:rPr>
                <w:szCs w:val="20"/>
                <w:lang w:eastAsia="fr-FR" w:bidi="ar-SA"/>
              </w:rPr>
            </w:pPr>
            <w:r w:rsidRPr="00AA22F2">
              <w:rPr>
                <w:szCs w:val="20"/>
                <w:lang w:eastAsia="fr-FR" w:bidi="ar-SA"/>
              </w:rPr>
              <w:t>Nb de réunions / % de travailleurs informés</w:t>
            </w:r>
          </w:p>
        </w:tc>
        <w:tc>
          <w:tcPr>
            <w:tcW w:w="0" w:type="auto"/>
            <w:vMerge w:val="restart"/>
            <w:hideMark/>
          </w:tcPr>
          <w:p w14:paraId="2082E998" w14:textId="7E327357" w:rsidR="00B97848" w:rsidRPr="00AA22F2" w:rsidRDefault="00B97848" w:rsidP="006D1412">
            <w:pPr>
              <w:cnfStyle w:val="000000000000" w:firstRow="0" w:lastRow="0" w:firstColumn="0" w:lastColumn="0" w:oddVBand="0" w:evenVBand="0" w:oddHBand="0" w:evenHBand="0" w:firstRowFirstColumn="0" w:firstRowLastColumn="0" w:lastRowFirstColumn="0" w:lastRowLastColumn="0"/>
              <w:rPr>
                <w:szCs w:val="20"/>
                <w:lang w:eastAsia="fr-FR" w:bidi="ar-SA"/>
              </w:rPr>
            </w:pPr>
            <w:r w:rsidRPr="00AA22F2">
              <w:rPr>
                <w:szCs w:val="20"/>
                <w:lang w:eastAsia="fr-FR" w:bidi="ar-SA"/>
              </w:rPr>
              <w:t>EPC et sous-traitants</w:t>
            </w:r>
          </w:p>
        </w:tc>
        <w:tc>
          <w:tcPr>
            <w:tcW w:w="0" w:type="auto"/>
            <w:vMerge w:val="restart"/>
            <w:hideMark/>
          </w:tcPr>
          <w:p w14:paraId="59481D72" w14:textId="636F9EA6" w:rsidR="00B97848" w:rsidRPr="00AA22F2" w:rsidRDefault="00B97848" w:rsidP="006D1412">
            <w:pPr>
              <w:cnfStyle w:val="000000000000" w:firstRow="0" w:lastRow="0" w:firstColumn="0" w:lastColumn="0" w:oddVBand="0" w:evenVBand="0" w:oddHBand="0" w:evenHBand="0" w:firstRowFirstColumn="0" w:firstRowLastColumn="0" w:lastRowFirstColumn="0" w:lastRowLastColumn="0"/>
              <w:rPr>
                <w:szCs w:val="20"/>
                <w:lang w:eastAsia="fr-FR" w:bidi="ar-SA"/>
              </w:rPr>
            </w:pPr>
            <w:r w:rsidRPr="00BC1745">
              <w:rPr>
                <w:szCs w:val="20"/>
              </w:rPr>
              <w:t xml:space="preserve">Bureau de contrôle / Consultant de supervision </w:t>
            </w:r>
            <w:r w:rsidRPr="00BC1745">
              <w:rPr>
                <w:szCs w:val="20"/>
              </w:rPr>
              <w:lastRenderedPageBreak/>
              <w:t>mandaté par l’ONDA</w:t>
            </w:r>
          </w:p>
        </w:tc>
        <w:tc>
          <w:tcPr>
            <w:tcW w:w="0" w:type="auto"/>
            <w:vMerge w:val="restart"/>
            <w:hideMark/>
          </w:tcPr>
          <w:p w14:paraId="3E9E8537" w14:textId="14729E9C" w:rsidR="00B97848" w:rsidRPr="00AA22F2" w:rsidRDefault="00B97848" w:rsidP="006D1412">
            <w:pPr>
              <w:cnfStyle w:val="000000000000" w:firstRow="0" w:lastRow="0" w:firstColumn="0" w:lastColumn="0" w:oddVBand="0" w:evenVBand="0" w:oddHBand="0" w:evenHBand="0" w:firstRowFirstColumn="0" w:firstRowLastColumn="0" w:lastRowFirstColumn="0" w:lastRowLastColumn="0"/>
              <w:rPr>
                <w:szCs w:val="20"/>
                <w:lang w:eastAsia="fr-FR" w:bidi="ar-SA"/>
              </w:rPr>
            </w:pPr>
            <w:r w:rsidRPr="00AA22F2">
              <w:rPr>
                <w:szCs w:val="20"/>
                <w:lang w:eastAsia="fr-FR" w:bidi="ar-SA"/>
              </w:rPr>
              <w:lastRenderedPageBreak/>
              <w:t>ONDA</w:t>
            </w:r>
          </w:p>
        </w:tc>
        <w:tc>
          <w:tcPr>
            <w:tcW w:w="0" w:type="auto"/>
            <w:vMerge w:val="restart"/>
            <w:hideMark/>
          </w:tcPr>
          <w:p w14:paraId="626970E9" w14:textId="77777777" w:rsidR="00B97848" w:rsidRPr="00AA22F2" w:rsidRDefault="00B97848" w:rsidP="006D1412">
            <w:pPr>
              <w:cnfStyle w:val="000000000000" w:firstRow="0" w:lastRow="0" w:firstColumn="0" w:lastColumn="0" w:oddVBand="0" w:evenVBand="0" w:oddHBand="0" w:evenHBand="0" w:firstRowFirstColumn="0" w:firstRowLastColumn="0" w:lastRowFirstColumn="0" w:lastRowLastColumn="0"/>
              <w:rPr>
                <w:szCs w:val="20"/>
                <w:lang w:eastAsia="fr-FR" w:bidi="ar-SA"/>
              </w:rPr>
            </w:pPr>
            <w:r w:rsidRPr="00AA22F2">
              <w:rPr>
                <w:szCs w:val="20"/>
                <w:lang w:eastAsia="fr-FR" w:bidi="ar-SA"/>
              </w:rPr>
              <w:t>Mensuel</w:t>
            </w:r>
          </w:p>
        </w:tc>
        <w:tc>
          <w:tcPr>
            <w:tcW w:w="0" w:type="auto"/>
            <w:vMerge w:val="restart"/>
            <w:vAlign w:val="center"/>
            <w:hideMark/>
          </w:tcPr>
          <w:p w14:paraId="021D83FF" w14:textId="752B72B2" w:rsidR="00B97848" w:rsidRPr="00AA22F2" w:rsidRDefault="00B97848" w:rsidP="00D60FC9">
            <w:pPr>
              <w:jc w:val="left"/>
              <w:cnfStyle w:val="000000000000" w:firstRow="0" w:lastRow="0" w:firstColumn="0" w:lastColumn="0" w:oddVBand="0" w:evenVBand="0" w:oddHBand="0" w:evenHBand="0" w:firstRowFirstColumn="0" w:firstRowLastColumn="0" w:lastRowFirstColumn="0" w:lastRowLastColumn="0"/>
              <w:rPr>
                <w:szCs w:val="20"/>
                <w:lang w:eastAsia="fr-FR" w:bidi="ar-SA"/>
              </w:rPr>
            </w:pPr>
            <w:r w:rsidRPr="00AA22F2">
              <w:rPr>
                <w:szCs w:val="20"/>
                <w:lang w:eastAsia="fr-FR" w:bidi="ar-SA"/>
              </w:rPr>
              <w:t>Aucun coût spécifique</w:t>
            </w:r>
            <w:r w:rsidRPr="00B97848">
              <w:rPr>
                <w:szCs w:val="20"/>
                <w:lang w:eastAsia="fr-FR" w:bidi="ar-SA"/>
              </w:rPr>
              <w:t xml:space="preserve"> </w:t>
            </w:r>
            <w:r>
              <w:rPr>
                <w:szCs w:val="20"/>
                <w:lang w:eastAsia="fr-FR" w:bidi="ar-SA"/>
              </w:rPr>
              <w:t>(</w:t>
            </w:r>
            <w:r w:rsidRPr="00B97848">
              <w:rPr>
                <w:szCs w:val="20"/>
                <w:lang w:eastAsia="fr-FR" w:bidi="ar-SA"/>
              </w:rPr>
              <w:t>Mobilisation interne</w:t>
            </w:r>
            <w:r>
              <w:rPr>
                <w:szCs w:val="20"/>
                <w:lang w:eastAsia="fr-FR" w:bidi="ar-SA"/>
              </w:rPr>
              <w:t>)</w:t>
            </w:r>
          </w:p>
        </w:tc>
      </w:tr>
      <w:tr w:rsidR="00B97848" w:rsidRPr="00D75525" w14:paraId="64A9678A" w14:textId="77777777" w:rsidTr="005A7661">
        <w:trPr>
          <w:trHeight w:val="1058"/>
        </w:trPr>
        <w:tc>
          <w:tcPr>
            <w:cnfStyle w:val="001000000000" w:firstRow="0" w:lastRow="0" w:firstColumn="1" w:lastColumn="0" w:oddVBand="0" w:evenVBand="0" w:oddHBand="0" w:evenHBand="0" w:firstRowFirstColumn="0" w:firstRowLastColumn="0" w:lastRowFirstColumn="0" w:lastRowLastColumn="0"/>
            <w:tcW w:w="0" w:type="auto"/>
            <w:vMerge/>
          </w:tcPr>
          <w:p w14:paraId="557EB5A8" w14:textId="77777777" w:rsidR="00B97848" w:rsidRPr="00AA22F2" w:rsidRDefault="00B97848" w:rsidP="006D1412">
            <w:pPr>
              <w:rPr>
                <w:szCs w:val="20"/>
                <w:lang w:eastAsia="fr-FR" w:bidi="ar-SA"/>
              </w:rPr>
            </w:pPr>
          </w:p>
        </w:tc>
        <w:tc>
          <w:tcPr>
            <w:tcW w:w="0" w:type="auto"/>
            <w:vMerge/>
          </w:tcPr>
          <w:p w14:paraId="790BC445" w14:textId="77777777" w:rsidR="00B97848" w:rsidRPr="00AA22F2" w:rsidRDefault="00B97848" w:rsidP="006D1412">
            <w:pPr>
              <w:cnfStyle w:val="000000000000" w:firstRow="0" w:lastRow="0" w:firstColumn="0" w:lastColumn="0" w:oddVBand="0" w:evenVBand="0" w:oddHBand="0" w:evenHBand="0" w:firstRowFirstColumn="0" w:firstRowLastColumn="0" w:lastRowFirstColumn="0" w:lastRowLastColumn="0"/>
              <w:rPr>
                <w:b/>
                <w:bCs/>
                <w:szCs w:val="20"/>
                <w:lang w:eastAsia="fr-FR" w:bidi="ar-SA"/>
              </w:rPr>
            </w:pPr>
          </w:p>
        </w:tc>
        <w:tc>
          <w:tcPr>
            <w:tcW w:w="0" w:type="auto"/>
            <w:tcBorders>
              <w:top w:val="single" w:sz="4" w:space="0" w:color="B4C6E7" w:themeColor="accent1" w:themeTint="66"/>
              <w:bottom w:val="single" w:sz="4" w:space="0" w:color="B4C6E7" w:themeColor="accent1" w:themeTint="66"/>
            </w:tcBorders>
          </w:tcPr>
          <w:p w14:paraId="53758DE4" w14:textId="3E292356" w:rsidR="00B97848" w:rsidRPr="00AA22F2" w:rsidRDefault="00B97848" w:rsidP="00174433">
            <w:pPr>
              <w:cnfStyle w:val="000000000000" w:firstRow="0" w:lastRow="0" w:firstColumn="0" w:lastColumn="0" w:oddVBand="0" w:evenVBand="0" w:oddHBand="0" w:evenHBand="0" w:firstRowFirstColumn="0" w:firstRowLastColumn="0" w:lastRowFirstColumn="0" w:lastRowLastColumn="0"/>
              <w:rPr>
                <w:szCs w:val="20"/>
                <w:lang w:eastAsia="fr-FR" w:bidi="ar-SA"/>
              </w:rPr>
            </w:pPr>
            <w:r w:rsidRPr="00AA22F2">
              <w:rPr>
                <w:szCs w:val="20"/>
                <w:lang w:eastAsia="fr-FR" w:bidi="ar-SA"/>
              </w:rPr>
              <w:t xml:space="preserve">Publier les informations sur les salaires et conditions de travail sur le site ; </w:t>
            </w:r>
          </w:p>
        </w:tc>
        <w:tc>
          <w:tcPr>
            <w:tcW w:w="0" w:type="auto"/>
            <w:vMerge/>
          </w:tcPr>
          <w:p w14:paraId="5FD1435C" w14:textId="77777777" w:rsidR="00B97848" w:rsidRPr="00AA22F2" w:rsidRDefault="00B97848" w:rsidP="006D1412">
            <w:pPr>
              <w:cnfStyle w:val="000000000000" w:firstRow="0" w:lastRow="0" w:firstColumn="0" w:lastColumn="0" w:oddVBand="0" w:evenVBand="0" w:oddHBand="0" w:evenHBand="0" w:firstRowFirstColumn="0" w:firstRowLastColumn="0" w:lastRowFirstColumn="0" w:lastRowLastColumn="0"/>
              <w:rPr>
                <w:szCs w:val="20"/>
                <w:lang w:eastAsia="fr-FR" w:bidi="ar-SA"/>
              </w:rPr>
            </w:pPr>
          </w:p>
        </w:tc>
        <w:tc>
          <w:tcPr>
            <w:tcW w:w="0" w:type="auto"/>
            <w:vMerge/>
          </w:tcPr>
          <w:p w14:paraId="7A1210F6" w14:textId="77777777" w:rsidR="00B97848" w:rsidRPr="00AA22F2" w:rsidRDefault="00B97848" w:rsidP="006D1412">
            <w:pPr>
              <w:cnfStyle w:val="000000000000" w:firstRow="0" w:lastRow="0" w:firstColumn="0" w:lastColumn="0" w:oddVBand="0" w:evenVBand="0" w:oddHBand="0" w:evenHBand="0" w:firstRowFirstColumn="0" w:firstRowLastColumn="0" w:lastRowFirstColumn="0" w:lastRowLastColumn="0"/>
              <w:rPr>
                <w:szCs w:val="20"/>
                <w:lang w:eastAsia="fr-FR" w:bidi="ar-SA"/>
              </w:rPr>
            </w:pPr>
          </w:p>
        </w:tc>
        <w:tc>
          <w:tcPr>
            <w:tcW w:w="0" w:type="auto"/>
            <w:vMerge/>
          </w:tcPr>
          <w:p w14:paraId="2221A6D4" w14:textId="77777777" w:rsidR="00B97848" w:rsidRPr="00BC1745" w:rsidRDefault="00B97848" w:rsidP="006D1412">
            <w:pPr>
              <w:cnfStyle w:val="000000000000" w:firstRow="0" w:lastRow="0" w:firstColumn="0" w:lastColumn="0" w:oddVBand="0" w:evenVBand="0" w:oddHBand="0" w:evenHBand="0" w:firstRowFirstColumn="0" w:firstRowLastColumn="0" w:lastRowFirstColumn="0" w:lastRowLastColumn="0"/>
              <w:rPr>
                <w:szCs w:val="20"/>
              </w:rPr>
            </w:pPr>
          </w:p>
        </w:tc>
        <w:tc>
          <w:tcPr>
            <w:tcW w:w="0" w:type="auto"/>
            <w:vMerge/>
          </w:tcPr>
          <w:p w14:paraId="0009D76E" w14:textId="77777777" w:rsidR="00B97848" w:rsidRPr="00AA22F2" w:rsidRDefault="00B97848" w:rsidP="006D1412">
            <w:pPr>
              <w:cnfStyle w:val="000000000000" w:firstRow="0" w:lastRow="0" w:firstColumn="0" w:lastColumn="0" w:oddVBand="0" w:evenVBand="0" w:oddHBand="0" w:evenHBand="0" w:firstRowFirstColumn="0" w:firstRowLastColumn="0" w:lastRowFirstColumn="0" w:lastRowLastColumn="0"/>
              <w:rPr>
                <w:szCs w:val="20"/>
                <w:lang w:eastAsia="fr-FR" w:bidi="ar-SA"/>
              </w:rPr>
            </w:pPr>
          </w:p>
        </w:tc>
        <w:tc>
          <w:tcPr>
            <w:tcW w:w="0" w:type="auto"/>
            <w:vMerge/>
          </w:tcPr>
          <w:p w14:paraId="149A4438" w14:textId="77777777" w:rsidR="00B97848" w:rsidRPr="00AA22F2" w:rsidRDefault="00B97848" w:rsidP="006D1412">
            <w:pPr>
              <w:cnfStyle w:val="000000000000" w:firstRow="0" w:lastRow="0" w:firstColumn="0" w:lastColumn="0" w:oddVBand="0" w:evenVBand="0" w:oddHBand="0" w:evenHBand="0" w:firstRowFirstColumn="0" w:firstRowLastColumn="0" w:lastRowFirstColumn="0" w:lastRowLastColumn="0"/>
              <w:rPr>
                <w:szCs w:val="20"/>
                <w:lang w:eastAsia="fr-FR" w:bidi="ar-SA"/>
              </w:rPr>
            </w:pPr>
          </w:p>
        </w:tc>
        <w:tc>
          <w:tcPr>
            <w:tcW w:w="0" w:type="auto"/>
            <w:vMerge/>
          </w:tcPr>
          <w:p w14:paraId="7D37E717" w14:textId="77777777" w:rsidR="00B97848" w:rsidRPr="00AA22F2" w:rsidRDefault="00B97848" w:rsidP="006D1412">
            <w:pPr>
              <w:cnfStyle w:val="000000000000" w:firstRow="0" w:lastRow="0" w:firstColumn="0" w:lastColumn="0" w:oddVBand="0" w:evenVBand="0" w:oddHBand="0" w:evenHBand="0" w:firstRowFirstColumn="0" w:firstRowLastColumn="0" w:lastRowFirstColumn="0" w:lastRowLastColumn="0"/>
              <w:rPr>
                <w:szCs w:val="20"/>
                <w:lang w:eastAsia="fr-FR" w:bidi="ar-SA"/>
              </w:rPr>
            </w:pPr>
          </w:p>
        </w:tc>
      </w:tr>
      <w:tr w:rsidR="00B97848" w:rsidRPr="00D75525" w14:paraId="17B2A417" w14:textId="77777777" w:rsidTr="005A7661">
        <w:trPr>
          <w:trHeight w:val="982"/>
        </w:trPr>
        <w:tc>
          <w:tcPr>
            <w:cnfStyle w:val="001000000000" w:firstRow="0" w:lastRow="0" w:firstColumn="1" w:lastColumn="0" w:oddVBand="0" w:evenVBand="0" w:oddHBand="0" w:evenHBand="0" w:firstRowFirstColumn="0" w:firstRowLastColumn="0" w:lastRowFirstColumn="0" w:lastRowLastColumn="0"/>
            <w:tcW w:w="0" w:type="auto"/>
            <w:vMerge/>
          </w:tcPr>
          <w:p w14:paraId="2138502C" w14:textId="77777777" w:rsidR="00B97848" w:rsidRPr="00AA22F2" w:rsidRDefault="00B97848" w:rsidP="006D1412">
            <w:pPr>
              <w:rPr>
                <w:szCs w:val="20"/>
                <w:lang w:eastAsia="fr-FR" w:bidi="ar-SA"/>
              </w:rPr>
            </w:pPr>
          </w:p>
        </w:tc>
        <w:tc>
          <w:tcPr>
            <w:tcW w:w="0" w:type="auto"/>
            <w:vMerge/>
          </w:tcPr>
          <w:p w14:paraId="0868753D" w14:textId="77777777" w:rsidR="00B97848" w:rsidRPr="00AA22F2" w:rsidRDefault="00B97848" w:rsidP="006D1412">
            <w:pPr>
              <w:cnfStyle w:val="000000000000" w:firstRow="0" w:lastRow="0" w:firstColumn="0" w:lastColumn="0" w:oddVBand="0" w:evenVBand="0" w:oddHBand="0" w:evenHBand="0" w:firstRowFirstColumn="0" w:firstRowLastColumn="0" w:lastRowFirstColumn="0" w:lastRowLastColumn="0"/>
              <w:rPr>
                <w:b/>
                <w:bCs/>
                <w:szCs w:val="20"/>
                <w:lang w:eastAsia="fr-FR" w:bidi="ar-SA"/>
              </w:rPr>
            </w:pPr>
          </w:p>
        </w:tc>
        <w:tc>
          <w:tcPr>
            <w:tcW w:w="0" w:type="auto"/>
            <w:tcBorders>
              <w:top w:val="single" w:sz="4" w:space="0" w:color="B4C6E7" w:themeColor="accent1" w:themeTint="66"/>
            </w:tcBorders>
          </w:tcPr>
          <w:p w14:paraId="2A66630D" w14:textId="77777777" w:rsidR="00B97848" w:rsidRPr="00AA22F2" w:rsidRDefault="00B97848" w:rsidP="00B97848">
            <w:pPr>
              <w:cnfStyle w:val="000000000000" w:firstRow="0" w:lastRow="0" w:firstColumn="0" w:lastColumn="0" w:oddVBand="0" w:evenVBand="0" w:oddHBand="0" w:evenHBand="0" w:firstRowFirstColumn="0" w:firstRowLastColumn="0" w:lastRowFirstColumn="0" w:lastRowLastColumn="0"/>
              <w:rPr>
                <w:szCs w:val="20"/>
                <w:lang w:eastAsia="fr-FR" w:bidi="ar-SA"/>
              </w:rPr>
            </w:pPr>
            <w:r w:rsidRPr="00AA22F2">
              <w:rPr>
                <w:szCs w:val="20"/>
                <w:lang w:eastAsia="fr-FR" w:bidi="ar-SA"/>
              </w:rPr>
              <w:t>Garantir la transparence des primes et heures supplémentaires.</w:t>
            </w:r>
          </w:p>
        </w:tc>
        <w:tc>
          <w:tcPr>
            <w:tcW w:w="0" w:type="auto"/>
            <w:vMerge/>
          </w:tcPr>
          <w:p w14:paraId="34F2C4E9" w14:textId="77777777" w:rsidR="00B97848" w:rsidRPr="00AA22F2" w:rsidRDefault="00B97848" w:rsidP="006D1412">
            <w:pPr>
              <w:cnfStyle w:val="000000000000" w:firstRow="0" w:lastRow="0" w:firstColumn="0" w:lastColumn="0" w:oddVBand="0" w:evenVBand="0" w:oddHBand="0" w:evenHBand="0" w:firstRowFirstColumn="0" w:firstRowLastColumn="0" w:lastRowFirstColumn="0" w:lastRowLastColumn="0"/>
              <w:rPr>
                <w:szCs w:val="20"/>
                <w:lang w:eastAsia="fr-FR" w:bidi="ar-SA"/>
              </w:rPr>
            </w:pPr>
          </w:p>
        </w:tc>
        <w:tc>
          <w:tcPr>
            <w:tcW w:w="0" w:type="auto"/>
            <w:vMerge/>
          </w:tcPr>
          <w:p w14:paraId="6078FAA8" w14:textId="77777777" w:rsidR="00B97848" w:rsidRPr="00AA22F2" w:rsidRDefault="00B97848" w:rsidP="006D1412">
            <w:pPr>
              <w:cnfStyle w:val="000000000000" w:firstRow="0" w:lastRow="0" w:firstColumn="0" w:lastColumn="0" w:oddVBand="0" w:evenVBand="0" w:oddHBand="0" w:evenHBand="0" w:firstRowFirstColumn="0" w:firstRowLastColumn="0" w:lastRowFirstColumn="0" w:lastRowLastColumn="0"/>
              <w:rPr>
                <w:szCs w:val="20"/>
                <w:lang w:eastAsia="fr-FR" w:bidi="ar-SA"/>
              </w:rPr>
            </w:pPr>
          </w:p>
        </w:tc>
        <w:tc>
          <w:tcPr>
            <w:tcW w:w="0" w:type="auto"/>
            <w:vMerge/>
          </w:tcPr>
          <w:p w14:paraId="1C34DAF9" w14:textId="77777777" w:rsidR="00B97848" w:rsidRPr="00BC1745" w:rsidRDefault="00B97848" w:rsidP="006D1412">
            <w:pPr>
              <w:cnfStyle w:val="000000000000" w:firstRow="0" w:lastRow="0" w:firstColumn="0" w:lastColumn="0" w:oddVBand="0" w:evenVBand="0" w:oddHBand="0" w:evenHBand="0" w:firstRowFirstColumn="0" w:firstRowLastColumn="0" w:lastRowFirstColumn="0" w:lastRowLastColumn="0"/>
              <w:rPr>
                <w:szCs w:val="20"/>
              </w:rPr>
            </w:pPr>
          </w:p>
        </w:tc>
        <w:tc>
          <w:tcPr>
            <w:tcW w:w="0" w:type="auto"/>
            <w:vMerge/>
          </w:tcPr>
          <w:p w14:paraId="32C13110" w14:textId="77777777" w:rsidR="00B97848" w:rsidRPr="00AA22F2" w:rsidRDefault="00B97848" w:rsidP="006D1412">
            <w:pPr>
              <w:cnfStyle w:val="000000000000" w:firstRow="0" w:lastRow="0" w:firstColumn="0" w:lastColumn="0" w:oddVBand="0" w:evenVBand="0" w:oddHBand="0" w:evenHBand="0" w:firstRowFirstColumn="0" w:firstRowLastColumn="0" w:lastRowFirstColumn="0" w:lastRowLastColumn="0"/>
              <w:rPr>
                <w:szCs w:val="20"/>
                <w:lang w:eastAsia="fr-FR" w:bidi="ar-SA"/>
              </w:rPr>
            </w:pPr>
          </w:p>
        </w:tc>
        <w:tc>
          <w:tcPr>
            <w:tcW w:w="0" w:type="auto"/>
            <w:vMerge/>
          </w:tcPr>
          <w:p w14:paraId="38840BE7" w14:textId="77777777" w:rsidR="00B97848" w:rsidRPr="00AA22F2" w:rsidRDefault="00B97848" w:rsidP="006D1412">
            <w:pPr>
              <w:cnfStyle w:val="000000000000" w:firstRow="0" w:lastRow="0" w:firstColumn="0" w:lastColumn="0" w:oddVBand="0" w:evenVBand="0" w:oddHBand="0" w:evenHBand="0" w:firstRowFirstColumn="0" w:firstRowLastColumn="0" w:lastRowFirstColumn="0" w:lastRowLastColumn="0"/>
              <w:rPr>
                <w:szCs w:val="20"/>
                <w:lang w:eastAsia="fr-FR" w:bidi="ar-SA"/>
              </w:rPr>
            </w:pPr>
          </w:p>
        </w:tc>
        <w:tc>
          <w:tcPr>
            <w:tcW w:w="0" w:type="auto"/>
            <w:vMerge/>
          </w:tcPr>
          <w:p w14:paraId="3CC975A2" w14:textId="77777777" w:rsidR="00B97848" w:rsidRPr="00AA22F2" w:rsidRDefault="00B97848" w:rsidP="006D1412">
            <w:pPr>
              <w:cnfStyle w:val="000000000000" w:firstRow="0" w:lastRow="0" w:firstColumn="0" w:lastColumn="0" w:oddVBand="0" w:evenVBand="0" w:oddHBand="0" w:evenHBand="0" w:firstRowFirstColumn="0" w:firstRowLastColumn="0" w:lastRowFirstColumn="0" w:lastRowLastColumn="0"/>
              <w:rPr>
                <w:szCs w:val="20"/>
                <w:lang w:eastAsia="fr-FR" w:bidi="ar-SA"/>
              </w:rPr>
            </w:pPr>
          </w:p>
        </w:tc>
      </w:tr>
      <w:tr w:rsidR="00B97848" w:rsidRPr="00D75525" w14:paraId="5102E956" w14:textId="77777777" w:rsidTr="00B97848">
        <w:trPr>
          <w:trHeight w:val="1004"/>
        </w:trPr>
        <w:tc>
          <w:tcPr>
            <w:cnfStyle w:val="001000000000" w:firstRow="0" w:lastRow="0" w:firstColumn="1" w:lastColumn="0" w:oddVBand="0" w:evenVBand="0" w:oddHBand="0" w:evenHBand="0" w:firstRowFirstColumn="0" w:firstRowLastColumn="0" w:lastRowFirstColumn="0" w:lastRowLastColumn="0"/>
            <w:tcW w:w="0" w:type="auto"/>
            <w:vMerge/>
            <w:hideMark/>
          </w:tcPr>
          <w:p w14:paraId="3D682D9A" w14:textId="77777777" w:rsidR="00B97848" w:rsidRPr="00AA22F2" w:rsidRDefault="00B97848" w:rsidP="006D1412">
            <w:pPr>
              <w:rPr>
                <w:szCs w:val="20"/>
                <w:lang w:eastAsia="fr-FR" w:bidi="ar-SA"/>
              </w:rPr>
            </w:pPr>
          </w:p>
        </w:tc>
        <w:tc>
          <w:tcPr>
            <w:tcW w:w="0" w:type="auto"/>
            <w:vMerge w:val="restart"/>
            <w:hideMark/>
          </w:tcPr>
          <w:p w14:paraId="60AA52FF" w14:textId="77777777" w:rsidR="00B97848" w:rsidRPr="00AA22F2" w:rsidRDefault="00B97848" w:rsidP="006D1412">
            <w:pPr>
              <w:cnfStyle w:val="000000000000" w:firstRow="0" w:lastRow="0" w:firstColumn="0" w:lastColumn="0" w:oddVBand="0" w:evenVBand="0" w:oddHBand="0" w:evenHBand="0" w:firstRowFirstColumn="0" w:firstRowLastColumn="0" w:lastRowFirstColumn="0" w:lastRowLastColumn="0"/>
              <w:rPr>
                <w:szCs w:val="20"/>
                <w:lang w:eastAsia="fr-FR" w:bidi="ar-SA"/>
              </w:rPr>
            </w:pPr>
            <w:r w:rsidRPr="00AA22F2">
              <w:rPr>
                <w:b/>
                <w:bCs/>
                <w:szCs w:val="20"/>
                <w:lang w:eastAsia="fr-FR" w:bidi="ar-SA"/>
              </w:rPr>
              <w:t>Atténuer</w:t>
            </w:r>
          </w:p>
        </w:tc>
        <w:tc>
          <w:tcPr>
            <w:tcW w:w="0" w:type="auto"/>
            <w:tcBorders>
              <w:bottom w:val="single" w:sz="4" w:space="0" w:color="B4C6E7" w:themeColor="accent1" w:themeTint="66"/>
            </w:tcBorders>
            <w:hideMark/>
          </w:tcPr>
          <w:p w14:paraId="013EE99E" w14:textId="47F01760" w:rsidR="00B97848" w:rsidRPr="00AA22F2" w:rsidRDefault="00B97848" w:rsidP="006D1412">
            <w:pPr>
              <w:cnfStyle w:val="000000000000" w:firstRow="0" w:lastRow="0" w:firstColumn="0" w:lastColumn="0" w:oddVBand="0" w:evenVBand="0" w:oddHBand="0" w:evenHBand="0" w:firstRowFirstColumn="0" w:firstRowLastColumn="0" w:lastRowFirstColumn="0" w:lastRowLastColumn="0"/>
              <w:rPr>
                <w:szCs w:val="20"/>
                <w:lang w:eastAsia="fr-FR" w:bidi="ar-SA"/>
              </w:rPr>
            </w:pPr>
            <w:r w:rsidRPr="00AA22F2">
              <w:rPr>
                <w:szCs w:val="20"/>
                <w:lang w:eastAsia="fr-FR" w:bidi="ar-SA"/>
              </w:rPr>
              <w:t xml:space="preserve">Mettre en place un mécanisme de plainte anonyme ; </w:t>
            </w:r>
          </w:p>
        </w:tc>
        <w:tc>
          <w:tcPr>
            <w:tcW w:w="0" w:type="auto"/>
            <w:vMerge w:val="restart"/>
            <w:hideMark/>
          </w:tcPr>
          <w:p w14:paraId="6594F1DE" w14:textId="77777777" w:rsidR="00B97848" w:rsidRPr="00AA22F2" w:rsidRDefault="00B97848" w:rsidP="006D1412">
            <w:pPr>
              <w:cnfStyle w:val="000000000000" w:firstRow="0" w:lastRow="0" w:firstColumn="0" w:lastColumn="0" w:oddVBand="0" w:evenVBand="0" w:oddHBand="0" w:evenHBand="0" w:firstRowFirstColumn="0" w:firstRowLastColumn="0" w:lastRowFirstColumn="0" w:lastRowLastColumn="0"/>
              <w:rPr>
                <w:szCs w:val="20"/>
                <w:lang w:eastAsia="fr-FR" w:bidi="ar-SA"/>
              </w:rPr>
            </w:pPr>
            <w:r w:rsidRPr="00AA22F2">
              <w:rPr>
                <w:szCs w:val="20"/>
                <w:lang w:eastAsia="fr-FR" w:bidi="ar-SA"/>
              </w:rPr>
              <w:t>Nb de plaintes / Nb d’audits / Nb de sessions réalisées</w:t>
            </w:r>
          </w:p>
        </w:tc>
        <w:tc>
          <w:tcPr>
            <w:tcW w:w="0" w:type="auto"/>
            <w:vMerge w:val="restart"/>
            <w:hideMark/>
          </w:tcPr>
          <w:p w14:paraId="1E0FB695" w14:textId="73C7D7F1" w:rsidR="00B97848" w:rsidRPr="00AA22F2" w:rsidRDefault="00B97848" w:rsidP="006D1412">
            <w:pPr>
              <w:cnfStyle w:val="000000000000" w:firstRow="0" w:lastRow="0" w:firstColumn="0" w:lastColumn="0" w:oddVBand="0" w:evenVBand="0" w:oddHBand="0" w:evenHBand="0" w:firstRowFirstColumn="0" w:firstRowLastColumn="0" w:lastRowFirstColumn="0" w:lastRowLastColumn="0"/>
              <w:rPr>
                <w:szCs w:val="20"/>
                <w:lang w:eastAsia="fr-FR" w:bidi="ar-SA"/>
              </w:rPr>
            </w:pPr>
            <w:r w:rsidRPr="00AA22F2">
              <w:rPr>
                <w:szCs w:val="20"/>
                <w:lang w:eastAsia="fr-FR" w:bidi="ar-SA"/>
              </w:rPr>
              <w:t>EPC et sous-traitants</w:t>
            </w:r>
          </w:p>
        </w:tc>
        <w:tc>
          <w:tcPr>
            <w:tcW w:w="0" w:type="auto"/>
            <w:vMerge w:val="restart"/>
            <w:hideMark/>
          </w:tcPr>
          <w:p w14:paraId="5BDC2468" w14:textId="70E4F7FE" w:rsidR="00B97848" w:rsidRPr="00AA22F2" w:rsidRDefault="00B97848" w:rsidP="006D1412">
            <w:pPr>
              <w:cnfStyle w:val="000000000000" w:firstRow="0" w:lastRow="0" w:firstColumn="0" w:lastColumn="0" w:oddVBand="0" w:evenVBand="0" w:oddHBand="0" w:evenHBand="0" w:firstRowFirstColumn="0" w:firstRowLastColumn="0" w:lastRowFirstColumn="0" w:lastRowLastColumn="0"/>
              <w:rPr>
                <w:szCs w:val="20"/>
                <w:lang w:eastAsia="fr-FR" w:bidi="ar-SA"/>
              </w:rPr>
            </w:pPr>
            <w:r w:rsidRPr="00BC1745">
              <w:rPr>
                <w:szCs w:val="20"/>
              </w:rPr>
              <w:t>Bureau de contrôle / Consultant de supervision mandaté par l’ONDA</w:t>
            </w:r>
          </w:p>
        </w:tc>
        <w:tc>
          <w:tcPr>
            <w:tcW w:w="0" w:type="auto"/>
            <w:vMerge w:val="restart"/>
            <w:hideMark/>
          </w:tcPr>
          <w:p w14:paraId="276D7F0D" w14:textId="647E9F28" w:rsidR="00B97848" w:rsidRPr="00AA22F2" w:rsidRDefault="00B97848" w:rsidP="006D1412">
            <w:pPr>
              <w:cnfStyle w:val="000000000000" w:firstRow="0" w:lastRow="0" w:firstColumn="0" w:lastColumn="0" w:oddVBand="0" w:evenVBand="0" w:oddHBand="0" w:evenHBand="0" w:firstRowFirstColumn="0" w:firstRowLastColumn="0" w:lastRowFirstColumn="0" w:lastRowLastColumn="0"/>
              <w:rPr>
                <w:szCs w:val="20"/>
                <w:lang w:eastAsia="fr-FR" w:bidi="ar-SA"/>
              </w:rPr>
            </w:pPr>
            <w:r w:rsidRPr="00AA22F2">
              <w:rPr>
                <w:szCs w:val="20"/>
                <w:lang w:eastAsia="fr-FR" w:bidi="ar-SA"/>
              </w:rPr>
              <w:t>ONDA</w:t>
            </w:r>
          </w:p>
        </w:tc>
        <w:tc>
          <w:tcPr>
            <w:tcW w:w="0" w:type="auto"/>
            <w:vMerge w:val="restart"/>
            <w:hideMark/>
          </w:tcPr>
          <w:p w14:paraId="2EAFE453" w14:textId="77777777" w:rsidR="00B97848" w:rsidRPr="00AA22F2" w:rsidRDefault="00B97848" w:rsidP="006D1412">
            <w:pPr>
              <w:cnfStyle w:val="000000000000" w:firstRow="0" w:lastRow="0" w:firstColumn="0" w:lastColumn="0" w:oddVBand="0" w:evenVBand="0" w:oddHBand="0" w:evenHBand="0" w:firstRowFirstColumn="0" w:firstRowLastColumn="0" w:lastRowFirstColumn="0" w:lastRowLastColumn="0"/>
              <w:rPr>
                <w:szCs w:val="20"/>
                <w:lang w:eastAsia="fr-FR" w:bidi="ar-SA"/>
              </w:rPr>
            </w:pPr>
            <w:r w:rsidRPr="00AA22F2">
              <w:rPr>
                <w:szCs w:val="20"/>
                <w:lang w:eastAsia="fr-FR" w:bidi="ar-SA"/>
              </w:rPr>
              <w:t>Trimestriel</w:t>
            </w:r>
          </w:p>
        </w:tc>
        <w:tc>
          <w:tcPr>
            <w:tcW w:w="0" w:type="auto"/>
            <w:tcBorders>
              <w:bottom w:val="single" w:sz="4" w:space="0" w:color="B4C6E7" w:themeColor="accent1" w:themeTint="66"/>
            </w:tcBorders>
            <w:hideMark/>
          </w:tcPr>
          <w:p w14:paraId="2CD70C62" w14:textId="1EDBFCCC" w:rsidR="00B97848" w:rsidRPr="00AA22F2" w:rsidRDefault="00CA3DBE" w:rsidP="006D1412">
            <w:pPr>
              <w:cnfStyle w:val="000000000000" w:firstRow="0" w:lastRow="0" w:firstColumn="0" w:lastColumn="0" w:oddVBand="0" w:evenVBand="0" w:oddHBand="0" w:evenHBand="0" w:firstRowFirstColumn="0" w:firstRowLastColumn="0" w:lastRowFirstColumn="0" w:lastRowLastColumn="0"/>
              <w:rPr>
                <w:szCs w:val="20"/>
                <w:lang w:eastAsia="fr-FR" w:bidi="ar-SA"/>
              </w:rPr>
            </w:pPr>
            <w:r>
              <w:rPr>
                <w:szCs w:val="20"/>
                <w:lang w:eastAsia="fr-FR" w:bidi="ar-SA"/>
              </w:rPr>
              <w:t>80000 MAD/an</w:t>
            </w:r>
          </w:p>
        </w:tc>
      </w:tr>
      <w:tr w:rsidR="00B97848" w:rsidRPr="00D75525" w14:paraId="20168DDC" w14:textId="77777777" w:rsidTr="00D60FC9">
        <w:trPr>
          <w:trHeight w:val="1011"/>
        </w:trPr>
        <w:tc>
          <w:tcPr>
            <w:cnfStyle w:val="001000000000" w:firstRow="0" w:lastRow="0" w:firstColumn="1" w:lastColumn="0" w:oddVBand="0" w:evenVBand="0" w:oddHBand="0" w:evenHBand="0" w:firstRowFirstColumn="0" w:firstRowLastColumn="0" w:lastRowFirstColumn="0" w:lastRowLastColumn="0"/>
            <w:tcW w:w="0" w:type="auto"/>
            <w:vMerge/>
          </w:tcPr>
          <w:p w14:paraId="34663444" w14:textId="77777777" w:rsidR="00B97848" w:rsidRPr="00AA22F2" w:rsidRDefault="00B97848" w:rsidP="006D1412">
            <w:pPr>
              <w:rPr>
                <w:szCs w:val="20"/>
                <w:lang w:eastAsia="fr-FR" w:bidi="ar-SA"/>
              </w:rPr>
            </w:pPr>
          </w:p>
        </w:tc>
        <w:tc>
          <w:tcPr>
            <w:tcW w:w="0" w:type="auto"/>
            <w:vMerge/>
          </w:tcPr>
          <w:p w14:paraId="4FEFD25E" w14:textId="77777777" w:rsidR="00B97848" w:rsidRPr="00AA22F2" w:rsidRDefault="00B97848" w:rsidP="006D1412">
            <w:pPr>
              <w:cnfStyle w:val="000000000000" w:firstRow="0" w:lastRow="0" w:firstColumn="0" w:lastColumn="0" w:oddVBand="0" w:evenVBand="0" w:oddHBand="0" w:evenHBand="0" w:firstRowFirstColumn="0" w:firstRowLastColumn="0" w:lastRowFirstColumn="0" w:lastRowLastColumn="0"/>
              <w:rPr>
                <w:b/>
                <w:bCs/>
                <w:szCs w:val="20"/>
                <w:lang w:eastAsia="fr-FR" w:bidi="ar-SA"/>
              </w:rPr>
            </w:pPr>
          </w:p>
        </w:tc>
        <w:tc>
          <w:tcPr>
            <w:tcW w:w="0" w:type="auto"/>
            <w:tcBorders>
              <w:top w:val="single" w:sz="4" w:space="0" w:color="B4C6E7" w:themeColor="accent1" w:themeTint="66"/>
            </w:tcBorders>
          </w:tcPr>
          <w:p w14:paraId="3E664CCB" w14:textId="3CB4B855" w:rsidR="00B97848" w:rsidRPr="00AA22F2" w:rsidRDefault="00B97848" w:rsidP="00B97848">
            <w:pPr>
              <w:cnfStyle w:val="000000000000" w:firstRow="0" w:lastRow="0" w:firstColumn="0" w:lastColumn="0" w:oddVBand="0" w:evenVBand="0" w:oddHBand="0" w:evenHBand="0" w:firstRowFirstColumn="0" w:firstRowLastColumn="0" w:lastRowFirstColumn="0" w:lastRowLastColumn="0"/>
              <w:rPr>
                <w:szCs w:val="20"/>
                <w:lang w:eastAsia="fr-FR" w:bidi="ar-SA"/>
              </w:rPr>
            </w:pPr>
            <w:r w:rsidRPr="00AA22F2">
              <w:rPr>
                <w:szCs w:val="20"/>
                <w:lang w:eastAsia="fr-FR" w:bidi="ar-SA"/>
              </w:rPr>
              <w:t xml:space="preserve">Organiser des sessions de formation sur la diversité et le respect en milieu de travail </w:t>
            </w:r>
          </w:p>
        </w:tc>
        <w:tc>
          <w:tcPr>
            <w:tcW w:w="0" w:type="auto"/>
            <w:vMerge/>
          </w:tcPr>
          <w:p w14:paraId="759CF01E" w14:textId="77777777" w:rsidR="00B97848" w:rsidRPr="00AA22F2" w:rsidRDefault="00B97848" w:rsidP="006D1412">
            <w:pPr>
              <w:cnfStyle w:val="000000000000" w:firstRow="0" w:lastRow="0" w:firstColumn="0" w:lastColumn="0" w:oddVBand="0" w:evenVBand="0" w:oddHBand="0" w:evenHBand="0" w:firstRowFirstColumn="0" w:firstRowLastColumn="0" w:lastRowFirstColumn="0" w:lastRowLastColumn="0"/>
              <w:rPr>
                <w:szCs w:val="20"/>
                <w:lang w:eastAsia="fr-FR" w:bidi="ar-SA"/>
              </w:rPr>
            </w:pPr>
          </w:p>
        </w:tc>
        <w:tc>
          <w:tcPr>
            <w:tcW w:w="0" w:type="auto"/>
            <w:vMerge/>
          </w:tcPr>
          <w:p w14:paraId="20B4B014" w14:textId="77777777" w:rsidR="00B97848" w:rsidRPr="00AA22F2" w:rsidRDefault="00B97848" w:rsidP="006D1412">
            <w:pPr>
              <w:cnfStyle w:val="000000000000" w:firstRow="0" w:lastRow="0" w:firstColumn="0" w:lastColumn="0" w:oddVBand="0" w:evenVBand="0" w:oddHBand="0" w:evenHBand="0" w:firstRowFirstColumn="0" w:firstRowLastColumn="0" w:lastRowFirstColumn="0" w:lastRowLastColumn="0"/>
              <w:rPr>
                <w:szCs w:val="20"/>
                <w:lang w:eastAsia="fr-FR" w:bidi="ar-SA"/>
              </w:rPr>
            </w:pPr>
          </w:p>
        </w:tc>
        <w:tc>
          <w:tcPr>
            <w:tcW w:w="0" w:type="auto"/>
            <w:vMerge/>
          </w:tcPr>
          <w:p w14:paraId="4ED3A86F" w14:textId="77777777" w:rsidR="00B97848" w:rsidRPr="00BC1745" w:rsidRDefault="00B97848" w:rsidP="006D1412">
            <w:pPr>
              <w:cnfStyle w:val="000000000000" w:firstRow="0" w:lastRow="0" w:firstColumn="0" w:lastColumn="0" w:oddVBand="0" w:evenVBand="0" w:oddHBand="0" w:evenHBand="0" w:firstRowFirstColumn="0" w:firstRowLastColumn="0" w:lastRowFirstColumn="0" w:lastRowLastColumn="0"/>
              <w:rPr>
                <w:szCs w:val="20"/>
              </w:rPr>
            </w:pPr>
          </w:p>
        </w:tc>
        <w:tc>
          <w:tcPr>
            <w:tcW w:w="0" w:type="auto"/>
            <w:vMerge/>
          </w:tcPr>
          <w:p w14:paraId="28F19ADE" w14:textId="77777777" w:rsidR="00B97848" w:rsidRPr="00AA22F2" w:rsidRDefault="00B97848" w:rsidP="006D1412">
            <w:pPr>
              <w:cnfStyle w:val="000000000000" w:firstRow="0" w:lastRow="0" w:firstColumn="0" w:lastColumn="0" w:oddVBand="0" w:evenVBand="0" w:oddHBand="0" w:evenHBand="0" w:firstRowFirstColumn="0" w:firstRowLastColumn="0" w:lastRowFirstColumn="0" w:lastRowLastColumn="0"/>
              <w:rPr>
                <w:szCs w:val="20"/>
                <w:lang w:eastAsia="fr-FR" w:bidi="ar-SA"/>
              </w:rPr>
            </w:pPr>
          </w:p>
        </w:tc>
        <w:tc>
          <w:tcPr>
            <w:tcW w:w="0" w:type="auto"/>
            <w:vMerge/>
          </w:tcPr>
          <w:p w14:paraId="57CF09BE" w14:textId="77777777" w:rsidR="00B97848" w:rsidRPr="00AA22F2" w:rsidRDefault="00B97848" w:rsidP="006D1412">
            <w:pPr>
              <w:cnfStyle w:val="000000000000" w:firstRow="0" w:lastRow="0" w:firstColumn="0" w:lastColumn="0" w:oddVBand="0" w:evenVBand="0" w:oddHBand="0" w:evenHBand="0" w:firstRowFirstColumn="0" w:firstRowLastColumn="0" w:lastRowFirstColumn="0" w:lastRowLastColumn="0"/>
              <w:rPr>
                <w:szCs w:val="20"/>
                <w:lang w:eastAsia="fr-FR" w:bidi="ar-SA"/>
              </w:rPr>
            </w:pPr>
          </w:p>
        </w:tc>
        <w:tc>
          <w:tcPr>
            <w:tcW w:w="0" w:type="auto"/>
            <w:tcBorders>
              <w:top w:val="single" w:sz="4" w:space="0" w:color="B4C6E7" w:themeColor="accent1" w:themeTint="66"/>
            </w:tcBorders>
          </w:tcPr>
          <w:p w14:paraId="3CB5A8B9" w14:textId="554AD1DC" w:rsidR="00B97848" w:rsidRPr="00AA22F2" w:rsidRDefault="005F32DC" w:rsidP="006D1412">
            <w:pPr>
              <w:cnfStyle w:val="000000000000" w:firstRow="0" w:lastRow="0" w:firstColumn="0" w:lastColumn="0" w:oddVBand="0" w:evenVBand="0" w:oddHBand="0" w:evenHBand="0" w:firstRowFirstColumn="0" w:firstRowLastColumn="0" w:lastRowFirstColumn="0" w:lastRowLastColumn="0"/>
              <w:rPr>
                <w:szCs w:val="20"/>
                <w:lang w:eastAsia="fr-FR" w:bidi="ar-SA"/>
              </w:rPr>
            </w:pPr>
            <w:r w:rsidRPr="005F32DC">
              <w:rPr>
                <w:szCs w:val="20"/>
                <w:lang w:eastAsia="fr-FR" w:bidi="ar-SA"/>
              </w:rPr>
              <w:t>10 000 MAD / session</w:t>
            </w:r>
            <w:r>
              <w:rPr>
                <w:szCs w:val="20"/>
                <w:lang w:eastAsia="fr-FR" w:bidi="ar-SA"/>
              </w:rPr>
              <w:t xml:space="preserve"> (</w:t>
            </w:r>
            <w:r w:rsidRPr="005F32DC">
              <w:rPr>
                <w:szCs w:val="20"/>
                <w:lang w:eastAsia="fr-FR" w:bidi="ar-SA"/>
              </w:rPr>
              <w:t>Formateurs RH spécialisés</w:t>
            </w:r>
            <w:r>
              <w:rPr>
                <w:szCs w:val="20"/>
                <w:lang w:eastAsia="fr-FR" w:bidi="ar-SA"/>
              </w:rPr>
              <w:t>)</w:t>
            </w:r>
          </w:p>
        </w:tc>
      </w:tr>
      <w:tr w:rsidR="00722638" w:rsidRPr="00D75525" w14:paraId="1A336A6E" w14:textId="77777777" w:rsidTr="00065104">
        <w:tc>
          <w:tcPr>
            <w:cnfStyle w:val="001000000000" w:firstRow="0" w:lastRow="0" w:firstColumn="1" w:lastColumn="0" w:oddVBand="0" w:evenVBand="0" w:oddHBand="0" w:evenHBand="0" w:firstRowFirstColumn="0" w:firstRowLastColumn="0" w:lastRowFirstColumn="0" w:lastRowLastColumn="0"/>
            <w:tcW w:w="0" w:type="auto"/>
            <w:vMerge/>
            <w:hideMark/>
          </w:tcPr>
          <w:p w14:paraId="77BE6AFF" w14:textId="77777777" w:rsidR="006D1412" w:rsidRPr="00AA22F2" w:rsidRDefault="006D1412" w:rsidP="006D1412">
            <w:pPr>
              <w:rPr>
                <w:szCs w:val="20"/>
                <w:lang w:eastAsia="fr-FR" w:bidi="ar-SA"/>
              </w:rPr>
            </w:pPr>
          </w:p>
        </w:tc>
        <w:tc>
          <w:tcPr>
            <w:tcW w:w="0" w:type="auto"/>
            <w:hideMark/>
          </w:tcPr>
          <w:p w14:paraId="5F1BA1E9" w14:textId="77777777" w:rsidR="006D1412" w:rsidRPr="00AA22F2" w:rsidRDefault="006D1412" w:rsidP="006D1412">
            <w:pPr>
              <w:cnfStyle w:val="000000000000" w:firstRow="0" w:lastRow="0" w:firstColumn="0" w:lastColumn="0" w:oddVBand="0" w:evenVBand="0" w:oddHBand="0" w:evenHBand="0" w:firstRowFirstColumn="0" w:firstRowLastColumn="0" w:lastRowFirstColumn="0" w:lastRowLastColumn="0"/>
              <w:rPr>
                <w:szCs w:val="20"/>
                <w:lang w:eastAsia="fr-FR" w:bidi="ar-SA"/>
              </w:rPr>
            </w:pPr>
            <w:r w:rsidRPr="00AA22F2">
              <w:rPr>
                <w:b/>
                <w:bCs/>
                <w:szCs w:val="20"/>
                <w:lang w:eastAsia="fr-FR" w:bidi="ar-SA"/>
              </w:rPr>
              <w:t>Compenser</w:t>
            </w:r>
          </w:p>
        </w:tc>
        <w:tc>
          <w:tcPr>
            <w:tcW w:w="0" w:type="auto"/>
            <w:hideMark/>
          </w:tcPr>
          <w:p w14:paraId="48C0A7E7" w14:textId="77777777" w:rsidR="006D1412" w:rsidRPr="00AA22F2" w:rsidRDefault="006D1412" w:rsidP="006D1412">
            <w:pPr>
              <w:cnfStyle w:val="000000000000" w:firstRow="0" w:lastRow="0" w:firstColumn="0" w:lastColumn="0" w:oddVBand="0" w:evenVBand="0" w:oddHBand="0" w:evenHBand="0" w:firstRowFirstColumn="0" w:firstRowLastColumn="0" w:lastRowFirstColumn="0" w:lastRowLastColumn="0"/>
              <w:rPr>
                <w:szCs w:val="20"/>
                <w:lang w:eastAsia="fr-FR" w:bidi="ar-SA"/>
              </w:rPr>
            </w:pPr>
            <w:r w:rsidRPr="00AA22F2">
              <w:rPr>
                <w:szCs w:val="20"/>
                <w:lang w:eastAsia="fr-FR" w:bidi="ar-SA"/>
              </w:rPr>
              <w:t xml:space="preserve">Offrir des formations de reconversion pour les journaliers à la fin du chantier ; </w:t>
            </w:r>
          </w:p>
          <w:p w14:paraId="421F496D" w14:textId="35722E17" w:rsidR="006D1412" w:rsidRPr="00AA22F2" w:rsidRDefault="006D1412" w:rsidP="006D1412">
            <w:pPr>
              <w:cnfStyle w:val="000000000000" w:firstRow="0" w:lastRow="0" w:firstColumn="0" w:lastColumn="0" w:oddVBand="0" w:evenVBand="0" w:oddHBand="0" w:evenHBand="0" w:firstRowFirstColumn="0" w:firstRowLastColumn="0" w:lastRowFirstColumn="0" w:lastRowLastColumn="0"/>
              <w:rPr>
                <w:szCs w:val="20"/>
                <w:lang w:eastAsia="fr-FR" w:bidi="ar-SA"/>
              </w:rPr>
            </w:pPr>
            <w:r w:rsidRPr="00AA22F2">
              <w:rPr>
                <w:szCs w:val="20"/>
                <w:lang w:eastAsia="fr-FR" w:bidi="ar-SA"/>
              </w:rPr>
              <w:t>Intégrer les travailleurs performants dans les équipes permanentes.</w:t>
            </w:r>
          </w:p>
        </w:tc>
        <w:tc>
          <w:tcPr>
            <w:tcW w:w="0" w:type="auto"/>
            <w:hideMark/>
          </w:tcPr>
          <w:p w14:paraId="121DBBCF" w14:textId="77777777" w:rsidR="006D1412" w:rsidRPr="00AA22F2" w:rsidRDefault="006D1412" w:rsidP="006D1412">
            <w:pPr>
              <w:cnfStyle w:val="000000000000" w:firstRow="0" w:lastRow="0" w:firstColumn="0" w:lastColumn="0" w:oddVBand="0" w:evenVBand="0" w:oddHBand="0" w:evenHBand="0" w:firstRowFirstColumn="0" w:firstRowLastColumn="0" w:lastRowFirstColumn="0" w:lastRowLastColumn="0"/>
              <w:rPr>
                <w:szCs w:val="20"/>
                <w:lang w:eastAsia="fr-FR" w:bidi="ar-SA"/>
              </w:rPr>
            </w:pPr>
            <w:r w:rsidRPr="00AA22F2">
              <w:rPr>
                <w:szCs w:val="20"/>
                <w:lang w:eastAsia="fr-FR" w:bidi="ar-SA"/>
              </w:rPr>
              <w:t xml:space="preserve">Nb de travailleurs formés </w:t>
            </w:r>
          </w:p>
          <w:p w14:paraId="4550B603" w14:textId="4B8F833C" w:rsidR="006D1412" w:rsidRPr="00AA22F2" w:rsidRDefault="006D1412" w:rsidP="006D1412">
            <w:pPr>
              <w:cnfStyle w:val="000000000000" w:firstRow="0" w:lastRow="0" w:firstColumn="0" w:lastColumn="0" w:oddVBand="0" w:evenVBand="0" w:oddHBand="0" w:evenHBand="0" w:firstRowFirstColumn="0" w:firstRowLastColumn="0" w:lastRowFirstColumn="0" w:lastRowLastColumn="0"/>
              <w:rPr>
                <w:szCs w:val="20"/>
                <w:lang w:eastAsia="fr-FR" w:bidi="ar-SA"/>
              </w:rPr>
            </w:pPr>
            <w:r w:rsidRPr="00AA22F2">
              <w:rPr>
                <w:szCs w:val="20"/>
                <w:lang w:eastAsia="fr-FR" w:bidi="ar-SA"/>
              </w:rPr>
              <w:t>Nb de reconversions</w:t>
            </w:r>
          </w:p>
        </w:tc>
        <w:tc>
          <w:tcPr>
            <w:tcW w:w="0" w:type="auto"/>
            <w:hideMark/>
          </w:tcPr>
          <w:p w14:paraId="44635BA5" w14:textId="3817D52F" w:rsidR="006D1412" w:rsidRPr="00AA22F2" w:rsidRDefault="006D1412" w:rsidP="006D1412">
            <w:pPr>
              <w:cnfStyle w:val="000000000000" w:firstRow="0" w:lastRow="0" w:firstColumn="0" w:lastColumn="0" w:oddVBand="0" w:evenVBand="0" w:oddHBand="0" w:evenHBand="0" w:firstRowFirstColumn="0" w:firstRowLastColumn="0" w:lastRowFirstColumn="0" w:lastRowLastColumn="0"/>
              <w:rPr>
                <w:szCs w:val="20"/>
                <w:lang w:eastAsia="fr-FR" w:bidi="ar-SA"/>
              </w:rPr>
            </w:pPr>
            <w:r w:rsidRPr="00AA22F2">
              <w:rPr>
                <w:szCs w:val="20"/>
                <w:lang w:eastAsia="fr-FR" w:bidi="ar-SA"/>
              </w:rPr>
              <w:t>EPC et sous-traitants</w:t>
            </w:r>
          </w:p>
        </w:tc>
        <w:tc>
          <w:tcPr>
            <w:tcW w:w="0" w:type="auto"/>
            <w:hideMark/>
          </w:tcPr>
          <w:p w14:paraId="32BF9884" w14:textId="1E231F66" w:rsidR="006D1412" w:rsidRPr="00AA22F2" w:rsidRDefault="006D1412" w:rsidP="006D1412">
            <w:pPr>
              <w:cnfStyle w:val="000000000000" w:firstRow="0" w:lastRow="0" w:firstColumn="0" w:lastColumn="0" w:oddVBand="0" w:evenVBand="0" w:oddHBand="0" w:evenHBand="0" w:firstRowFirstColumn="0" w:firstRowLastColumn="0" w:lastRowFirstColumn="0" w:lastRowLastColumn="0"/>
              <w:rPr>
                <w:szCs w:val="20"/>
                <w:lang w:eastAsia="fr-FR" w:bidi="ar-SA"/>
              </w:rPr>
            </w:pPr>
            <w:r w:rsidRPr="00BC1745">
              <w:rPr>
                <w:szCs w:val="20"/>
              </w:rPr>
              <w:t>Bureau de contrôle / Consultant de supervision mandaté par l’ONDA</w:t>
            </w:r>
          </w:p>
        </w:tc>
        <w:tc>
          <w:tcPr>
            <w:tcW w:w="0" w:type="auto"/>
            <w:hideMark/>
          </w:tcPr>
          <w:p w14:paraId="7B4AD60B" w14:textId="42A3083C" w:rsidR="006D1412" w:rsidRPr="00AA22F2" w:rsidRDefault="006D1412" w:rsidP="006D1412">
            <w:pPr>
              <w:cnfStyle w:val="000000000000" w:firstRow="0" w:lastRow="0" w:firstColumn="0" w:lastColumn="0" w:oddVBand="0" w:evenVBand="0" w:oddHBand="0" w:evenHBand="0" w:firstRowFirstColumn="0" w:firstRowLastColumn="0" w:lastRowFirstColumn="0" w:lastRowLastColumn="0"/>
              <w:rPr>
                <w:szCs w:val="20"/>
                <w:lang w:eastAsia="fr-FR" w:bidi="ar-SA"/>
              </w:rPr>
            </w:pPr>
            <w:r w:rsidRPr="00AA22F2">
              <w:rPr>
                <w:szCs w:val="20"/>
                <w:lang w:eastAsia="fr-FR" w:bidi="ar-SA"/>
              </w:rPr>
              <w:t>ONDA</w:t>
            </w:r>
          </w:p>
        </w:tc>
        <w:tc>
          <w:tcPr>
            <w:tcW w:w="0" w:type="auto"/>
            <w:hideMark/>
          </w:tcPr>
          <w:p w14:paraId="010258E3" w14:textId="77777777" w:rsidR="006D1412" w:rsidRPr="00AA22F2" w:rsidRDefault="006D1412" w:rsidP="006D1412">
            <w:pPr>
              <w:cnfStyle w:val="000000000000" w:firstRow="0" w:lastRow="0" w:firstColumn="0" w:lastColumn="0" w:oddVBand="0" w:evenVBand="0" w:oddHBand="0" w:evenHBand="0" w:firstRowFirstColumn="0" w:firstRowLastColumn="0" w:lastRowFirstColumn="0" w:lastRowLastColumn="0"/>
              <w:rPr>
                <w:szCs w:val="20"/>
                <w:lang w:eastAsia="fr-FR" w:bidi="ar-SA"/>
              </w:rPr>
            </w:pPr>
            <w:r w:rsidRPr="00AA22F2">
              <w:rPr>
                <w:szCs w:val="20"/>
                <w:lang w:eastAsia="fr-FR" w:bidi="ar-SA"/>
              </w:rPr>
              <w:t>Fin du chantier</w:t>
            </w:r>
          </w:p>
        </w:tc>
        <w:tc>
          <w:tcPr>
            <w:tcW w:w="0" w:type="auto"/>
            <w:hideMark/>
          </w:tcPr>
          <w:p w14:paraId="5218BDBA" w14:textId="787DD853" w:rsidR="006D1412" w:rsidRPr="00AA22F2" w:rsidRDefault="0071509C" w:rsidP="006D1412">
            <w:pPr>
              <w:cnfStyle w:val="000000000000" w:firstRow="0" w:lastRow="0" w:firstColumn="0" w:lastColumn="0" w:oddVBand="0" w:evenVBand="0" w:oddHBand="0" w:evenHBand="0" w:firstRowFirstColumn="0" w:firstRowLastColumn="0" w:lastRowFirstColumn="0" w:lastRowLastColumn="0"/>
              <w:rPr>
                <w:szCs w:val="20"/>
                <w:lang w:eastAsia="fr-FR" w:bidi="ar-SA"/>
              </w:rPr>
            </w:pPr>
            <w:r w:rsidRPr="0071509C">
              <w:rPr>
                <w:szCs w:val="20"/>
                <w:lang w:eastAsia="fr-FR" w:bidi="ar-SA"/>
              </w:rPr>
              <w:t>8 000 – 10 000 MAD / session</w:t>
            </w:r>
          </w:p>
        </w:tc>
      </w:tr>
      <w:tr w:rsidR="00722638" w:rsidRPr="00D75525" w14:paraId="304BBB4D" w14:textId="77777777" w:rsidTr="00065104">
        <w:tc>
          <w:tcPr>
            <w:cnfStyle w:val="001000000000" w:firstRow="0" w:lastRow="0" w:firstColumn="1" w:lastColumn="0" w:oddVBand="0" w:evenVBand="0" w:oddHBand="0" w:evenHBand="0" w:firstRowFirstColumn="0" w:firstRowLastColumn="0" w:lastRowFirstColumn="0" w:lastRowLastColumn="0"/>
            <w:tcW w:w="0" w:type="auto"/>
            <w:vMerge w:val="restart"/>
            <w:hideMark/>
          </w:tcPr>
          <w:p w14:paraId="4186C571" w14:textId="77777777" w:rsidR="006D1412" w:rsidRPr="00AA22F2" w:rsidRDefault="006D1412" w:rsidP="006D1412">
            <w:pPr>
              <w:rPr>
                <w:szCs w:val="20"/>
                <w:lang w:eastAsia="fr-FR" w:bidi="ar-SA"/>
              </w:rPr>
            </w:pPr>
            <w:r w:rsidRPr="00AA22F2">
              <w:rPr>
                <w:szCs w:val="20"/>
                <w:lang w:eastAsia="fr-FR" w:bidi="ar-SA"/>
              </w:rPr>
              <w:lastRenderedPageBreak/>
              <w:t>Stress et fragilité psychosociale du personnel</w:t>
            </w:r>
          </w:p>
        </w:tc>
        <w:tc>
          <w:tcPr>
            <w:tcW w:w="0" w:type="auto"/>
            <w:hideMark/>
          </w:tcPr>
          <w:p w14:paraId="6A5164D4" w14:textId="77777777" w:rsidR="006D1412" w:rsidRPr="00AA22F2" w:rsidRDefault="006D1412" w:rsidP="006D1412">
            <w:pPr>
              <w:cnfStyle w:val="000000000000" w:firstRow="0" w:lastRow="0" w:firstColumn="0" w:lastColumn="0" w:oddVBand="0" w:evenVBand="0" w:oddHBand="0" w:evenHBand="0" w:firstRowFirstColumn="0" w:firstRowLastColumn="0" w:lastRowFirstColumn="0" w:lastRowLastColumn="0"/>
              <w:rPr>
                <w:szCs w:val="20"/>
                <w:lang w:eastAsia="fr-FR" w:bidi="ar-SA"/>
              </w:rPr>
            </w:pPr>
            <w:r w:rsidRPr="00AA22F2">
              <w:rPr>
                <w:b/>
                <w:bCs/>
                <w:szCs w:val="20"/>
                <w:lang w:eastAsia="fr-FR" w:bidi="ar-SA"/>
              </w:rPr>
              <w:t>Éviter</w:t>
            </w:r>
          </w:p>
        </w:tc>
        <w:tc>
          <w:tcPr>
            <w:tcW w:w="0" w:type="auto"/>
            <w:hideMark/>
          </w:tcPr>
          <w:p w14:paraId="59D738D5" w14:textId="77777777" w:rsidR="006D1412" w:rsidRPr="00AA22F2" w:rsidRDefault="006D1412" w:rsidP="006D1412">
            <w:pPr>
              <w:cnfStyle w:val="000000000000" w:firstRow="0" w:lastRow="0" w:firstColumn="0" w:lastColumn="0" w:oddVBand="0" w:evenVBand="0" w:oddHBand="0" w:evenHBand="0" w:firstRowFirstColumn="0" w:firstRowLastColumn="0" w:lastRowFirstColumn="0" w:lastRowLastColumn="0"/>
              <w:rPr>
                <w:szCs w:val="20"/>
                <w:lang w:eastAsia="fr-FR" w:bidi="ar-SA"/>
              </w:rPr>
            </w:pPr>
            <w:r w:rsidRPr="00AA22F2">
              <w:rPr>
                <w:szCs w:val="20"/>
                <w:lang w:eastAsia="fr-FR" w:bidi="ar-SA"/>
              </w:rPr>
              <w:t xml:space="preserve">Répartir équitablement les charges de travail ; </w:t>
            </w:r>
          </w:p>
          <w:p w14:paraId="2F8DBF08" w14:textId="77777777" w:rsidR="006D1412" w:rsidRPr="00AA22F2" w:rsidRDefault="006D1412" w:rsidP="006D1412">
            <w:pPr>
              <w:cnfStyle w:val="000000000000" w:firstRow="0" w:lastRow="0" w:firstColumn="0" w:lastColumn="0" w:oddVBand="0" w:evenVBand="0" w:oddHBand="0" w:evenHBand="0" w:firstRowFirstColumn="0" w:firstRowLastColumn="0" w:lastRowFirstColumn="0" w:lastRowLastColumn="0"/>
              <w:rPr>
                <w:szCs w:val="20"/>
                <w:lang w:eastAsia="fr-FR" w:bidi="ar-SA"/>
              </w:rPr>
            </w:pPr>
            <w:r w:rsidRPr="00AA22F2">
              <w:rPr>
                <w:szCs w:val="20"/>
                <w:lang w:eastAsia="fr-FR" w:bidi="ar-SA"/>
              </w:rPr>
              <w:t xml:space="preserve">Limiter les heures supplémentaires à 10 h/jour ; </w:t>
            </w:r>
          </w:p>
          <w:p w14:paraId="098172D5" w14:textId="77777777" w:rsidR="006D1412" w:rsidRPr="00AA22F2" w:rsidRDefault="006D1412" w:rsidP="006D1412">
            <w:pPr>
              <w:cnfStyle w:val="000000000000" w:firstRow="0" w:lastRow="0" w:firstColumn="0" w:lastColumn="0" w:oddVBand="0" w:evenVBand="0" w:oddHBand="0" w:evenHBand="0" w:firstRowFirstColumn="0" w:firstRowLastColumn="0" w:lastRowFirstColumn="0" w:lastRowLastColumn="0"/>
              <w:rPr>
                <w:szCs w:val="20"/>
                <w:lang w:eastAsia="fr-FR" w:bidi="ar-SA"/>
              </w:rPr>
            </w:pPr>
            <w:r w:rsidRPr="00AA22F2">
              <w:rPr>
                <w:szCs w:val="20"/>
                <w:lang w:eastAsia="fr-FR" w:bidi="ar-SA"/>
              </w:rPr>
              <w:t xml:space="preserve">Pplanifier les rotations d’équipes ; </w:t>
            </w:r>
          </w:p>
          <w:p w14:paraId="4F95FE9E" w14:textId="461F13F2" w:rsidR="006D1412" w:rsidRPr="00AA22F2" w:rsidRDefault="006D1412" w:rsidP="006D1412">
            <w:pPr>
              <w:cnfStyle w:val="000000000000" w:firstRow="0" w:lastRow="0" w:firstColumn="0" w:lastColumn="0" w:oddVBand="0" w:evenVBand="0" w:oddHBand="0" w:evenHBand="0" w:firstRowFirstColumn="0" w:firstRowLastColumn="0" w:lastRowFirstColumn="0" w:lastRowLastColumn="0"/>
              <w:rPr>
                <w:szCs w:val="20"/>
                <w:lang w:eastAsia="fr-FR" w:bidi="ar-SA"/>
              </w:rPr>
            </w:pPr>
            <w:r w:rsidRPr="00AA22F2">
              <w:rPr>
                <w:szCs w:val="20"/>
                <w:lang w:eastAsia="fr-FR" w:bidi="ar-SA"/>
              </w:rPr>
              <w:t>Instaurer une journée de repos hebdomadaire obligatoire.</w:t>
            </w:r>
          </w:p>
        </w:tc>
        <w:tc>
          <w:tcPr>
            <w:tcW w:w="0" w:type="auto"/>
            <w:hideMark/>
          </w:tcPr>
          <w:p w14:paraId="4855D8ED" w14:textId="77777777" w:rsidR="006D1412" w:rsidRPr="00AA22F2" w:rsidRDefault="006D1412" w:rsidP="006D1412">
            <w:pPr>
              <w:cnfStyle w:val="000000000000" w:firstRow="0" w:lastRow="0" w:firstColumn="0" w:lastColumn="0" w:oddVBand="0" w:evenVBand="0" w:oddHBand="0" w:evenHBand="0" w:firstRowFirstColumn="0" w:firstRowLastColumn="0" w:lastRowFirstColumn="0" w:lastRowLastColumn="0"/>
              <w:rPr>
                <w:szCs w:val="20"/>
                <w:lang w:eastAsia="fr-FR" w:bidi="ar-SA"/>
              </w:rPr>
            </w:pPr>
            <w:r w:rsidRPr="00AA22F2">
              <w:rPr>
                <w:szCs w:val="20"/>
                <w:lang w:eastAsia="fr-FR" w:bidi="ar-SA"/>
              </w:rPr>
              <w:t>% de conformité horaire / Nb de rotations effectuées</w:t>
            </w:r>
          </w:p>
        </w:tc>
        <w:tc>
          <w:tcPr>
            <w:tcW w:w="0" w:type="auto"/>
            <w:hideMark/>
          </w:tcPr>
          <w:p w14:paraId="206FDAA9" w14:textId="711F797F" w:rsidR="006D1412" w:rsidRPr="00AA22F2" w:rsidRDefault="006D1412" w:rsidP="006D1412">
            <w:pPr>
              <w:cnfStyle w:val="000000000000" w:firstRow="0" w:lastRow="0" w:firstColumn="0" w:lastColumn="0" w:oddVBand="0" w:evenVBand="0" w:oddHBand="0" w:evenHBand="0" w:firstRowFirstColumn="0" w:firstRowLastColumn="0" w:lastRowFirstColumn="0" w:lastRowLastColumn="0"/>
              <w:rPr>
                <w:szCs w:val="20"/>
                <w:lang w:eastAsia="fr-FR" w:bidi="ar-SA"/>
              </w:rPr>
            </w:pPr>
            <w:r w:rsidRPr="00AA22F2">
              <w:rPr>
                <w:szCs w:val="20"/>
                <w:lang w:eastAsia="fr-FR" w:bidi="ar-SA"/>
              </w:rPr>
              <w:t>EPC et sous-traitants</w:t>
            </w:r>
          </w:p>
        </w:tc>
        <w:tc>
          <w:tcPr>
            <w:tcW w:w="0" w:type="auto"/>
            <w:hideMark/>
          </w:tcPr>
          <w:p w14:paraId="7E2441B5" w14:textId="5704353A" w:rsidR="006D1412" w:rsidRPr="00AA22F2" w:rsidRDefault="006D1412" w:rsidP="006D1412">
            <w:pPr>
              <w:cnfStyle w:val="000000000000" w:firstRow="0" w:lastRow="0" w:firstColumn="0" w:lastColumn="0" w:oddVBand="0" w:evenVBand="0" w:oddHBand="0" w:evenHBand="0" w:firstRowFirstColumn="0" w:firstRowLastColumn="0" w:lastRowFirstColumn="0" w:lastRowLastColumn="0"/>
              <w:rPr>
                <w:szCs w:val="20"/>
                <w:lang w:eastAsia="fr-FR" w:bidi="ar-SA"/>
              </w:rPr>
            </w:pPr>
            <w:r w:rsidRPr="00BC1745">
              <w:rPr>
                <w:szCs w:val="20"/>
              </w:rPr>
              <w:t>Bureau de contrôle / Consultant de supervision mandaté par l’ONDA</w:t>
            </w:r>
          </w:p>
        </w:tc>
        <w:tc>
          <w:tcPr>
            <w:tcW w:w="0" w:type="auto"/>
            <w:hideMark/>
          </w:tcPr>
          <w:p w14:paraId="4FF9C56C" w14:textId="54863D4E" w:rsidR="006D1412" w:rsidRPr="00AA22F2" w:rsidRDefault="006D1412" w:rsidP="006D1412">
            <w:pPr>
              <w:cnfStyle w:val="000000000000" w:firstRow="0" w:lastRow="0" w:firstColumn="0" w:lastColumn="0" w:oddVBand="0" w:evenVBand="0" w:oddHBand="0" w:evenHBand="0" w:firstRowFirstColumn="0" w:firstRowLastColumn="0" w:lastRowFirstColumn="0" w:lastRowLastColumn="0"/>
              <w:rPr>
                <w:szCs w:val="20"/>
                <w:lang w:eastAsia="fr-FR" w:bidi="ar-SA"/>
              </w:rPr>
            </w:pPr>
            <w:r w:rsidRPr="00AA22F2">
              <w:rPr>
                <w:szCs w:val="20"/>
                <w:lang w:eastAsia="fr-FR" w:bidi="ar-SA"/>
              </w:rPr>
              <w:t>ONDA</w:t>
            </w:r>
          </w:p>
        </w:tc>
        <w:tc>
          <w:tcPr>
            <w:tcW w:w="0" w:type="auto"/>
            <w:hideMark/>
          </w:tcPr>
          <w:p w14:paraId="3C17A610" w14:textId="77777777" w:rsidR="006D1412" w:rsidRPr="00AA22F2" w:rsidRDefault="006D1412" w:rsidP="006D1412">
            <w:pPr>
              <w:cnfStyle w:val="000000000000" w:firstRow="0" w:lastRow="0" w:firstColumn="0" w:lastColumn="0" w:oddVBand="0" w:evenVBand="0" w:oddHBand="0" w:evenHBand="0" w:firstRowFirstColumn="0" w:firstRowLastColumn="0" w:lastRowFirstColumn="0" w:lastRowLastColumn="0"/>
              <w:rPr>
                <w:szCs w:val="20"/>
                <w:lang w:eastAsia="fr-FR" w:bidi="ar-SA"/>
              </w:rPr>
            </w:pPr>
            <w:r w:rsidRPr="00AA22F2">
              <w:rPr>
                <w:szCs w:val="20"/>
                <w:lang w:eastAsia="fr-FR" w:bidi="ar-SA"/>
              </w:rPr>
              <w:t>En continu</w:t>
            </w:r>
          </w:p>
        </w:tc>
        <w:tc>
          <w:tcPr>
            <w:tcW w:w="0" w:type="auto"/>
            <w:hideMark/>
          </w:tcPr>
          <w:p w14:paraId="724A87E1" w14:textId="77777777" w:rsidR="006D1412" w:rsidRPr="00AA22F2" w:rsidRDefault="006D1412" w:rsidP="006D1412">
            <w:pPr>
              <w:cnfStyle w:val="000000000000" w:firstRow="0" w:lastRow="0" w:firstColumn="0" w:lastColumn="0" w:oddVBand="0" w:evenVBand="0" w:oddHBand="0" w:evenHBand="0" w:firstRowFirstColumn="0" w:firstRowLastColumn="0" w:lastRowFirstColumn="0" w:lastRowLastColumn="0"/>
              <w:rPr>
                <w:szCs w:val="20"/>
                <w:lang w:eastAsia="fr-FR" w:bidi="ar-SA"/>
              </w:rPr>
            </w:pPr>
            <w:r w:rsidRPr="00AA22F2">
              <w:rPr>
                <w:szCs w:val="20"/>
                <w:lang w:eastAsia="fr-FR" w:bidi="ar-SA"/>
              </w:rPr>
              <w:t>Aucun coût spécifique</w:t>
            </w:r>
          </w:p>
        </w:tc>
      </w:tr>
      <w:tr w:rsidR="0071509C" w:rsidRPr="00D75525" w14:paraId="24B1D0D5" w14:textId="77777777" w:rsidTr="0071509C">
        <w:trPr>
          <w:trHeight w:val="1015"/>
        </w:trPr>
        <w:tc>
          <w:tcPr>
            <w:cnfStyle w:val="001000000000" w:firstRow="0" w:lastRow="0" w:firstColumn="1" w:lastColumn="0" w:oddVBand="0" w:evenVBand="0" w:oddHBand="0" w:evenHBand="0" w:firstRowFirstColumn="0" w:firstRowLastColumn="0" w:lastRowFirstColumn="0" w:lastRowLastColumn="0"/>
            <w:tcW w:w="0" w:type="auto"/>
            <w:vMerge/>
            <w:hideMark/>
          </w:tcPr>
          <w:p w14:paraId="645D367D" w14:textId="77777777" w:rsidR="0071509C" w:rsidRPr="00AA22F2" w:rsidRDefault="0071509C" w:rsidP="006D1412">
            <w:pPr>
              <w:rPr>
                <w:szCs w:val="20"/>
                <w:lang w:eastAsia="fr-FR" w:bidi="ar-SA"/>
              </w:rPr>
            </w:pPr>
          </w:p>
        </w:tc>
        <w:tc>
          <w:tcPr>
            <w:tcW w:w="0" w:type="auto"/>
            <w:vMerge w:val="restart"/>
            <w:hideMark/>
          </w:tcPr>
          <w:p w14:paraId="6700381E" w14:textId="77777777" w:rsidR="0071509C" w:rsidRPr="00AA22F2" w:rsidRDefault="0071509C" w:rsidP="006D1412">
            <w:pPr>
              <w:cnfStyle w:val="000000000000" w:firstRow="0" w:lastRow="0" w:firstColumn="0" w:lastColumn="0" w:oddVBand="0" w:evenVBand="0" w:oddHBand="0" w:evenHBand="0" w:firstRowFirstColumn="0" w:firstRowLastColumn="0" w:lastRowFirstColumn="0" w:lastRowLastColumn="0"/>
              <w:rPr>
                <w:szCs w:val="20"/>
                <w:lang w:eastAsia="fr-FR" w:bidi="ar-SA"/>
              </w:rPr>
            </w:pPr>
            <w:r w:rsidRPr="00AA22F2">
              <w:rPr>
                <w:b/>
                <w:bCs/>
                <w:szCs w:val="20"/>
                <w:lang w:eastAsia="fr-FR" w:bidi="ar-SA"/>
              </w:rPr>
              <w:t>Réduire</w:t>
            </w:r>
          </w:p>
        </w:tc>
        <w:tc>
          <w:tcPr>
            <w:tcW w:w="0" w:type="auto"/>
            <w:tcBorders>
              <w:bottom w:val="single" w:sz="4" w:space="0" w:color="B4C6E7" w:themeColor="accent1" w:themeTint="66"/>
            </w:tcBorders>
            <w:hideMark/>
          </w:tcPr>
          <w:p w14:paraId="0E75C785" w14:textId="05839CE3" w:rsidR="0071509C" w:rsidRPr="00AA22F2" w:rsidRDefault="0071509C" w:rsidP="006D1412">
            <w:pPr>
              <w:cnfStyle w:val="000000000000" w:firstRow="0" w:lastRow="0" w:firstColumn="0" w:lastColumn="0" w:oddVBand="0" w:evenVBand="0" w:oddHBand="0" w:evenHBand="0" w:firstRowFirstColumn="0" w:firstRowLastColumn="0" w:lastRowFirstColumn="0" w:lastRowLastColumn="0"/>
              <w:rPr>
                <w:szCs w:val="20"/>
                <w:lang w:eastAsia="fr-FR" w:bidi="ar-SA"/>
              </w:rPr>
            </w:pPr>
            <w:r w:rsidRPr="00AA22F2">
              <w:rPr>
                <w:szCs w:val="20"/>
                <w:lang w:eastAsia="fr-FR" w:bidi="ar-SA"/>
              </w:rPr>
              <w:t xml:space="preserve">Mettre en place une cellule d’écoute psychologique interne ; </w:t>
            </w:r>
          </w:p>
        </w:tc>
        <w:tc>
          <w:tcPr>
            <w:tcW w:w="0" w:type="auto"/>
            <w:vMerge w:val="restart"/>
            <w:hideMark/>
          </w:tcPr>
          <w:p w14:paraId="4571988C" w14:textId="77777777" w:rsidR="0071509C" w:rsidRPr="00AA22F2" w:rsidRDefault="0071509C" w:rsidP="006D1412">
            <w:pPr>
              <w:cnfStyle w:val="000000000000" w:firstRow="0" w:lastRow="0" w:firstColumn="0" w:lastColumn="0" w:oddVBand="0" w:evenVBand="0" w:oddHBand="0" w:evenHBand="0" w:firstRowFirstColumn="0" w:firstRowLastColumn="0" w:lastRowFirstColumn="0" w:lastRowLastColumn="0"/>
              <w:rPr>
                <w:szCs w:val="20"/>
                <w:lang w:eastAsia="fr-FR" w:bidi="ar-SA"/>
              </w:rPr>
            </w:pPr>
            <w:r w:rsidRPr="00AA22F2">
              <w:rPr>
                <w:szCs w:val="20"/>
                <w:lang w:eastAsia="fr-FR" w:bidi="ar-SA"/>
              </w:rPr>
              <w:t xml:space="preserve">Nb de consultations </w:t>
            </w:r>
          </w:p>
          <w:p w14:paraId="5773ED04" w14:textId="026DB2D0" w:rsidR="0071509C" w:rsidRPr="00AA22F2" w:rsidRDefault="0071509C" w:rsidP="006D1412">
            <w:pPr>
              <w:cnfStyle w:val="000000000000" w:firstRow="0" w:lastRow="0" w:firstColumn="0" w:lastColumn="0" w:oddVBand="0" w:evenVBand="0" w:oddHBand="0" w:evenHBand="0" w:firstRowFirstColumn="0" w:firstRowLastColumn="0" w:lastRowFirstColumn="0" w:lastRowLastColumn="0"/>
              <w:rPr>
                <w:szCs w:val="20"/>
                <w:lang w:eastAsia="fr-FR" w:bidi="ar-SA"/>
              </w:rPr>
            </w:pPr>
            <w:r w:rsidRPr="00AA22F2">
              <w:rPr>
                <w:szCs w:val="20"/>
                <w:lang w:eastAsia="fr-FR" w:bidi="ar-SA"/>
              </w:rPr>
              <w:t>% d’encadrants formés</w:t>
            </w:r>
          </w:p>
        </w:tc>
        <w:tc>
          <w:tcPr>
            <w:tcW w:w="0" w:type="auto"/>
            <w:vMerge w:val="restart"/>
            <w:hideMark/>
          </w:tcPr>
          <w:p w14:paraId="15589908" w14:textId="0CBE1B5B" w:rsidR="0071509C" w:rsidRPr="00AA22F2" w:rsidRDefault="0071509C" w:rsidP="006D1412">
            <w:pPr>
              <w:cnfStyle w:val="000000000000" w:firstRow="0" w:lastRow="0" w:firstColumn="0" w:lastColumn="0" w:oddVBand="0" w:evenVBand="0" w:oddHBand="0" w:evenHBand="0" w:firstRowFirstColumn="0" w:firstRowLastColumn="0" w:lastRowFirstColumn="0" w:lastRowLastColumn="0"/>
              <w:rPr>
                <w:szCs w:val="20"/>
                <w:lang w:eastAsia="fr-FR" w:bidi="ar-SA"/>
              </w:rPr>
            </w:pPr>
            <w:r w:rsidRPr="00AA22F2">
              <w:rPr>
                <w:szCs w:val="20"/>
                <w:lang w:eastAsia="fr-FR" w:bidi="ar-SA"/>
              </w:rPr>
              <w:t>EPC et sous-traitants</w:t>
            </w:r>
          </w:p>
        </w:tc>
        <w:tc>
          <w:tcPr>
            <w:tcW w:w="0" w:type="auto"/>
            <w:vMerge w:val="restart"/>
            <w:hideMark/>
          </w:tcPr>
          <w:p w14:paraId="02F394F0" w14:textId="0A709A83" w:rsidR="0071509C" w:rsidRPr="00AA22F2" w:rsidRDefault="0071509C" w:rsidP="006D1412">
            <w:pPr>
              <w:cnfStyle w:val="000000000000" w:firstRow="0" w:lastRow="0" w:firstColumn="0" w:lastColumn="0" w:oddVBand="0" w:evenVBand="0" w:oddHBand="0" w:evenHBand="0" w:firstRowFirstColumn="0" w:firstRowLastColumn="0" w:lastRowFirstColumn="0" w:lastRowLastColumn="0"/>
              <w:rPr>
                <w:szCs w:val="20"/>
                <w:lang w:eastAsia="fr-FR" w:bidi="ar-SA"/>
              </w:rPr>
            </w:pPr>
            <w:r w:rsidRPr="00BC1745">
              <w:rPr>
                <w:szCs w:val="20"/>
              </w:rPr>
              <w:t>Bureau de contrôle / Consultant de supervision mandaté par l’ONDA</w:t>
            </w:r>
          </w:p>
        </w:tc>
        <w:tc>
          <w:tcPr>
            <w:tcW w:w="0" w:type="auto"/>
            <w:vMerge w:val="restart"/>
            <w:hideMark/>
          </w:tcPr>
          <w:p w14:paraId="55A5642C" w14:textId="1189E6CD" w:rsidR="0071509C" w:rsidRPr="00AA22F2" w:rsidRDefault="0071509C" w:rsidP="006D1412">
            <w:pPr>
              <w:cnfStyle w:val="000000000000" w:firstRow="0" w:lastRow="0" w:firstColumn="0" w:lastColumn="0" w:oddVBand="0" w:evenVBand="0" w:oddHBand="0" w:evenHBand="0" w:firstRowFirstColumn="0" w:firstRowLastColumn="0" w:lastRowFirstColumn="0" w:lastRowLastColumn="0"/>
              <w:rPr>
                <w:szCs w:val="20"/>
                <w:lang w:eastAsia="fr-FR" w:bidi="ar-SA"/>
              </w:rPr>
            </w:pPr>
            <w:r w:rsidRPr="00AA22F2">
              <w:rPr>
                <w:szCs w:val="20"/>
                <w:lang w:eastAsia="fr-FR" w:bidi="ar-SA"/>
              </w:rPr>
              <w:t>ONDA</w:t>
            </w:r>
          </w:p>
        </w:tc>
        <w:tc>
          <w:tcPr>
            <w:tcW w:w="0" w:type="auto"/>
            <w:vMerge w:val="restart"/>
            <w:hideMark/>
          </w:tcPr>
          <w:p w14:paraId="4500D38A" w14:textId="77777777" w:rsidR="0071509C" w:rsidRPr="00AA22F2" w:rsidRDefault="0071509C" w:rsidP="006D1412">
            <w:pPr>
              <w:cnfStyle w:val="000000000000" w:firstRow="0" w:lastRow="0" w:firstColumn="0" w:lastColumn="0" w:oddVBand="0" w:evenVBand="0" w:oddHBand="0" w:evenHBand="0" w:firstRowFirstColumn="0" w:firstRowLastColumn="0" w:lastRowFirstColumn="0" w:lastRowLastColumn="0"/>
              <w:rPr>
                <w:szCs w:val="20"/>
                <w:lang w:eastAsia="fr-FR" w:bidi="ar-SA"/>
              </w:rPr>
            </w:pPr>
            <w:r w:rsidRPr="00AA22F2">
              <w:rPr>
                <w:szCs w:val="20"/>
                <w:lang w:eastAsia="fr-FR" w:bidi="ar-SA"/>
              </w:rPr>
              <w:t>En continu</w:t>
            </w:r>
          </w:p>
        </w:tc>
        <w:tc>
          <w:tcPr>
            <w:tcW w:w="0" w:type="auto"/>
            <w:tcBorders>
              <w:bottom w:val="single" w:sz="4" w:space="0" w:color="B4C6E7" w:themeColor="accent1" w:themeTint="66"/>
            </w:tcBorders>
            <w:hideMark/>
          </w:tcPr>
          <w:p w14:paraId="4BC020A9" w14:textId="0EE0ED87" w:rsidR="0071509C" w:rsidRPr="00AA22F2" w:rsidRDefault="0071509C" w:rsidP="006D1412">
            <w:pPr>
              <w:cnfStyle w:val="000000000000" w:firstRow="0" w:lastRow="0" w:firstColumn="0" w:lastColumn="0" w:oddVBand="0" w:evenVBand="0" w:oddHBand="0" w:evenHBand="0" w:firstRowFirstColumn="0" w:firstRowLastColumn="0" w:lastRowFirstColumn="0" w:lastRowLastColumn="0"/>
              <w:rPr>
                <w:szCs w:val="20"/>
                <w:lang w:eastAsia="fr-FR" w:bidi="ar-SA"/>
              </w:rPr>
            </w:pPr>
            <w:r w:rsidRPr="0071509C">
              <w:rPr>
                <w:szCs w:val="20"/>
                <w:lang w:eastAsia="fr-FR" w:bidi="ar-SA"/>
              </w:rPr>
              <w:t>6 000 MAD / mois</w:t>
            </w:r>
            <w:r>
              <w:rPr>
                <w:szCs w:val="20"/>
                <w:lang w:eastAsia="fr-FR" w:bidi="ar-SA"/>
              </w:rPr>
              <w:t xml:space="preserve"> (</w:t>
            </w:r>
            <w:r w:rsidRPr="0071509C">
              <w:rPr>
                <w:szCs w:val="20"/>
                <w:lang w:eastAsia="fr-FR" w:bidi="ar-SA"/>
              </w:rPr>
              <w:t>Psychologue ou assistant social à mi-temps</w:t>
            </w:r>
            <w:r>
              <w:rPr>
                <w:szCs w:val="20"/>
                <w:lang w:eastAsia="fr-FR" w:bidi="ar-SA"/>
              </w:rPr>
              <w:t>)</w:t>
            </w:r>
          </w:p>
        </w:tc>
      </w:tr>
      <w:tr w:rsidR="0071509C" w:rsidRPr="00D75525" w14:paraId="461E3489" w14:textId="77777777" w:rsidTr="005A7661">
        <w:trPr>
          <w:trHeight w:val="1047"/>
        </w:trPr>
        <w:tc>
          <w:tcPr>
            <w:cnfStyle w:val="001000000000" w:firstRow="0" w:lastRow="0" w:firstColumn="1" w:lastColumn="0" w:oddVBand="0" w:evenVBand="0" w:oddHBand="0" w:evenHBand="0" w:firstRowFirstColumn="0" w:firstRowLastColumn="0" w:lastRowFirstColumn="0" w:lastRowLastColumn="0"/>
            <w:tcW w:w="0" w:type="auto"/>
            <w:vMerge/>
          </w:tcPr>
          <w:p w14:paraId="7D467AD5" w14:textId="77777777" w:rsidR="0071509C" w:rsidRPr="00AA22F2" w:rsidRDefault="0071509C" w:rsidP="006D1412">
            <w:pPr>
              <w:rPr>
                <w:szCs w:val="20"/>
                <w:lang w:eastAsia="fr-FR" w:bidi="ar-SA"/>
              </w:rPr>
            </w:pPr>
          </w:p>
        </w:tc>
        <w:tc>
          <w:tcPr>
            <w:tcW w:w="0" w:type="auto"/>
            <w:vMerge/>
          </w:tcPr>
          <w:p w14:paraId="13E345E7" w14:textId="77777777" w:rsidR="0071509C" w:rsidRPr="00AA22F2" w:rsidRDefault="0071509C" w:rsidP="006D1412">
            <w:pPr>
              <w:cnfStyle w:val="000000000000" w:firstRow="0" w:lastRow="0" w:firstColumn="0" w:lastColumn="0" w:oddVBand="0" w:evenVBand="0" w:oddHBand="0" w:evenHBand="0" w:firstRowFirstColumn="0" w:firstRowLastColumn="0" w:lastRowFirstColumn="0" w:lastRowLastColumn="0"/>
              <w:rPr>
                <w:b/>
                <w:bCs/>
                <w:szCs w:val="20"/>
                <w:lang w:eastAsia="fr-FR" w:bidi="ar-SA"/>
              </w:rPr>
            </w:pPr>
          </w:p>
        </w:tc>
        <w:tc>
          <w:tcPr>
            <w:tcW w:w="0" w:type="auto"/>
            <w:tcBorders>
              <w:top w:val="single" w:sz="4" w:space="0" w:color="B4C6E7" w:themeColor="accent1" w:themeTint="66"/>
              <w:bottom w:val="single" w:sz="4" w:space="0" w:color="B4C6E7" w:themeColor="accent1" w:themeTint="66"/>
            </w:tcBorders>
          </w:tcPr>
          <w:p w14:paraId="10FD6099" w14:textId="1FE725C3" w:rsidR="0071509C" w:rsidRPr="00AA22F2" w:rsidRDefault="0071509C" w:rsidP="0071509C">
            <w:pPr>
              <w:cnfStyle w:val="000000000000" w:firstRow="0" w:lastRow="0" w:firstColumn="0" w:lastColumn="0" w:oddVBand="0" w:evenVBand="0" w:oddHBand="0" w:evenHBand="0" w:firstRowFirstColumn="0" w:firstRowLastColumn="0" w:lastRowFirstColumn="0" w:lastRowLastColumn="0"/>
              <w:rPr>
                <w:szCs w:val="20"/>
                <w:lang w:eastAsia="fr-FR" w:bidi="ar-SA"/>
              </w:rPr>
            </w:pPr>
            <w:r w:rsidRPr="00AA22F2">
              <w:rPr>
                <w:szCs w:val="20"/>
                <w:lang w:eastAsia="fr-FR" w:bidi="ar-SA"/>
              </w:rPr>
              <w:t xml:space="preserve">Former les chefs d’équipe à la gestion du stress et des conflits ; </w:t>
            </w:r>
          </w:p>
        </w:tc>
        <w:tc>
          <w:tcPr>
            <w:tcW w:w="0" w:type="auto"/>
            <w:vMerge/>
          </w:tcPr>
          <w:p w14:paraId="636F9177" w14:textId="77777777" w:rsidR="0071509C" w:rsidRPr="00AA22F2" w:rsidRDefault="0071509C" w:rsidP="006D1412">
            <w:pPr>
              <w:cnfStyle w:val="000000000000" w:firstRow="0" w:lastRow="0" w:firstColumn="0" w:lastColumn="0" w:oddVBand="0" w:evenVBand="0" w:oddHBand="0" w:evenHBand="0" w:firstRowFirstColumn="0" w:firstRowLastColumn="0" w:lastRowFirstColumn="0" w:lastRowLastColumn="0"/>
              <w:rPr>
                <w:szCs w:val="20"/>
                <w:lang w:eastAsia="fr-FR" w:bidi="ar-SA"/>
              </w:rPr>
            </w:pPr>
          </w:p>
        </w:tc>
        <w:tc>
          <w:tcPr>
            <w:tcW w:w="0" w:type="auto"/>
            <w:vMerge/>
          </w:tcPr>
          <w:p w14:paraId="4A2C71CC" w14:textId="77777777" w:rsidR="0071509C" w:rsidRPr="00AA22F2" w:rsidRDefault="0071509C" w:rsidP="006D1412">
            <w:pPr>
              <w:cnfStyle w:val="000000000000" w:firstRow="0" w:lastRow="0" w:firstColumn="0" w:lastColumn="0" w:oddVBand="0" w:evenVBand="0" w:oddHBand="0" w:evenHBand="0" w:firstRowFirstColumn="0" w:firstRowLastColumn="0" w:lastRowFirstColumn="0" w:lastRowLastColumn="0"/>
              <w:rPr>
                <w:szCs w:val="20"/>
                <w:lang w:eastAsia="fr-FR" w:bidi="ar-SA"/>
              </w:rPr>
            </w:pPr>
          </w:p>
        </w:tc>
        <w:tc>
          <w:tcPr>
            <w:tcW w:w="0" w:type="auto"/>
            <w:vMerge/>
          </w:tcPr>
          <w:p w14:paraId="26168AB5" w14:textId="77777777" w:rsidR="0071509C" w:rsidRPr="00BC1745" w:rsidRDefault="0071509C" w:rsidP="006D1412">
            <w:pPr>
              <w:cnfStyle w:val="000000000000" w:firstRow="0" w:lastRow="0" w:firstColumn="0" w:lastColumn="0" w:oddVBand="0" w:evenVBand="0" w:oddHBand="0" w:evenHBand="0" w:firstRowFirstColumn="0" w:firstRowLastColumn="0" w:lastRowFirstColumn="0" w:lastRowLastColumn="0"/>
              <w:rPr>
                <w:szCs w:val="20"/>
              </w:rPr>
            </w:pPr>
          </w:p>
        </w:tc>
        <w:tc>
          <w:tcPr>
            <w:tcW w:w="0" w:type="auto"/>
            <w:vMerge/>
          </w:tcPr>
          <w:p w14:paraId="49D4154C" w14:textId="77777777" w:rsidR="0071509C" w:rsidRPr="00AA22F2" w:rsidRDefault="0071509C" w:rsidP="006D1412">
            <w:pPr>
              <w:cnfStyle w:val="000000000000" w:firstRow="0" w:lastRow="0" w:firstColumn="0" w:lastColumn="0" w:oddVBand="0" w:evenVBand="0" w:oddHBand="0" w:evenHBand="0" w:firstRowFirstColumn="0" w:firstRowLastColumn="0" w:lastRowFirstColumn="0" w:lastRowLastColumn="0"/>
              <w:rPr>
                <w:szCs w:val="20"/>
                <w:lang w:eastAsia="fr-FR" w:bidi="ar-SA"/>
              </w:rPr>
            </w:pPr>
          </w:p>
        </w:tc>
        <w:tc>
          <w:tcPr>
            <w:tcW w:w="0" w:type="auto"/>
            <w:vMerge/>
          </w:tcPr>
          <w:p w14:paraId="6841F2C0" w14:textId="77777777" w:rsidR="0071509C" w:rsidRPr="00AA22F2" w:rsidRDefault="0071509C" w:rsidP="006D1412">
            <w:pPr>
              <w:cnfStyle w:val="000000000000" w:firstRow="0" w:lastRow="0" w:firstColumn="0" w:lastColumn="0" w:oddVBand="0" w:evenVBand="0" w:oddHBand="0" w:evenHBand="0" w:firstRowFirstColumn="0" w:firstRowLastColumn="0" w:lastRowFirstColumn="0" w:lastRowLastColumn="0"/>
              <w:rPr>
                <w:szCs w:val="20"/>
                <w:lang w:eastAsia="fr-FR" w:bidi="ar-SA"/>
              </w:rPr>
            </w:pPr>
          </w:p>
        </w:tc>
        <w:tc>
          <w:tcPr>
            <w:tcW w:w="0" w:type="auto"/>
            <w:vMerge w:val="restart"/>
            <w:tcBorders>
              <w:top w:val="single" w:sz="4" w:space="0" w:color="B4C6E7" w:themeColor="accent1" w:themeTint="66"/>
            </w:tcBorders>
          </w:tcPr>
          <w:p w14:paraId="450AB067" w14:textId="1EF7BD5D" w:rsidR="0071509C" w:rsidRPr="00AA22F2" w:rsidRDefault="0071509C" w:rsidP="006D1412">
            <w:pPr>
              <w:cnfStyle w:val="000000000000" w:firstRow="0" w:lastRow="0" w:firstColumn="0" w:lastColumn="0" w:oddVBand="0" w:evenVBand="0" w:oddHBand="0" w:evenHBand="0" w:firstRowFirstColumn="0" w:firstRowLastColumn="0" w:lastRowFirstColumn="0" w:lastRowLastColumn="0"/>
              <w:rPr>
                <w:szCs w:val="20"/>
                <w:lang w:eastAsia="fr-FR" w:bidi="ar-SA"/>
              </w:rPr>
            </w:pPr>
            <w:r w:rsidRPr="0071509C">
              <w:rPr>
                <w:szCs w:val="20"/>
                <w:lang w:eastAsia="fr-FR" w:bidi="ar-SA"/>
              </w:rPr>
              <w:t>5 000 MAD / session</w:t>
            </w:r>
            <w:r>
              <w:rPr>
                <w:szCs w:val="20"/>
                <w:lang w:eastAsia="fr-FR" w:bidi="ar-SA"/>
              </w:rPr>
              <w:t xml:space="preserve"> (</w:t>
            </w:r>
            <w:r w:rsidRPr="0071509C">
              <w:rPr>
                <w:szCs w:val="20"/>
                <w:lang w:eastAsia="fr-FR" w:bidi="ar-SA"/>
              </w:rPr>
              <w:t>Formations 10–15 personnes, 4 h, animées par psychologue / consultant RH</w:t>
            </w:r>
            <w:r>
              <w:rPr>
                <w:szCs w:val="20"/>
                <w:lang w:eastAsia="fr-FR" w:bidi="ar-SA"/>
              </w:rPr>
              <w:t>)</w:t>
            </w:r>
          </w:p>
        </w:tc>
      </w:tr>
      <w:tr w:rsidR="0071509C" w:rsidRPr="00D75525" w14:paraId="35591F30" w14:textId="77777777" w:rsidTr="005A7661">
        <w:trPr>
          <w:trHeight w:val="987"/>
        </w:trPr>
        <w:tc>
          <w:tcPr>
            <w:cnfStyle w:val="001000000000" w:firstRow="0" w:lastRow="0" w:firstColumn="1" w:lastColumn="0" w:oddVBand="0" w:evenVBand="0" w:oddHBand="0" w:evenHBand="0" w:firstRowFirstColumn="0" w:firstRowLastColumn="0" w:lastRowFirstColumn="0" w:lastRowLastColumn="0"/>
            <w:tcW w:w="0" w:type="auto"/>
            <w:vMerge/>
          </w:tcPr>
          <w:p w14:paraId="416ACB25" w14:textId="77777777" w:rsidR="0071509C" w:rsidRPr="00AA22F2" w:rsidRDefault="0071509C" w:rsidP="006D1412">
            <w:pPr>
              <w:rPr>
                <w:szCs w:val="20"/>
                <w:lang w:eastAsia="fr-FR" w:bidi="ar-SA"/>
              </w:rPr>
            </w:pPr>
          </w:p>
        </w:tc>
        <w:tc>
          <w:tcPr>
            <w:tcW w:w="0" w:type="auto"/>
            <w:vMerge/>
          </w:tcPr>
          <w:p w14:paraId="39002182" w14:textId="77777777" w:rsidR="0071509C" w:rsidRPr="00AA22F2" w:rsidRDefault="0071509C" w:rsidP="006D1412">
            <w:pPr>
              <w:cnfStyle w:val="000000000000" w:firstRow="0" w:lastRow="0" w:firstColumn="0" w:lastColumn="0" w:oddVBand="0" w:evenVBand="0" w:oddHBand="0" w:evenHBand="0" w:firstRowFirstColumn="0" w:firstRowLastColumn="0" w:lastRowFirstColumn="0" w:lastRowLastColumn="0"/>
              <w:rPr>
                <w:b/>
                <w:bCs/>
                <w:szCs w:val="20"/>
                <w:lang w:eastAsia="fr-FR" w:bidi="ar-SA"/>
              </w:rPr>
            </w:pPr>
          </w:p>
        </w:tc>
        <w:tc>
          <w:tcPr>
            <w:tcW w:w="0" w:type="auto"/>
            <w:tcBorders>
              <w:top w:val="single" w:sz="4" w:space="0" w:color="B4C6E7" w:themeColor="accent1" w:themeTint="66"/>
            </w:tcBorders>
          </w:tcPr>
          <w:p w14:paraId="5512549D" w14:textId="77777777" w:rsidR="0071509C" w:rsidRPr="00AA22F2" w:rsidRDefault="0071509C" w:rsidP="0071509C">
            <w:pPr>
              <w:cnfStyle w:val="000000000000" w:firstRow="0" w:lastRow="0" w:firstColumn="0" w:lastColumn="0" w:oddVBand="0" w:evenVBand="0" w:oddHBand="0" w:evenHBand="0" w:firstRowFirstColumn="0" w:firstRowLastColumn="0" w:lastRowFirstColumn="0" w:lastRowLastColumn="0"/>
              <w:rPr>
                <w:szCs w:val="20"/>
                <w:lang w:eastAsia="fr-FR" w:bidi="ar-SA"/>
              </w:rPr>
            </w:pPr>
            <w:r w:rsidRPr="00AA22F2">
              <w:rPr>
                <w:szCs w:val="20"/>
                <w:lang w:eastAsia="fr-FR" w:bidi="ar-SA"/>
              </w:rPr>
              <w:t>Instaurer des briefings matinaux sur le bien-être au travail.</w:t>
            </w:r>
          </w:p>
        </w:tc>
        <w:tc>
          <w:tcPr>
            <w:tcW w:w="0" w:type="auto"/>
            <w:vMerge/>
          </w:tcPr>
          <w:p w14:paraId="3B44E373" w14:textId="77777777" w:rsidR="0071509C" w:rsidRPr="00AA22F2" w:rsidRDefault="0071509C" w:rsidP="006D1412">
            <w:pPr>
              <w:cnfStyle w:val="000000000000" w:firstRow="0" w:lastRow="0" w:firstColumn="0" w:lastColumn="0" w:oddVBand="0" w:evenVBand="0" w:oddHBand="0" w:evenHBand="0" w:firstRowFirstColumn="0" w:firstRowLastColumn="0" w:lastRowFirstColumn="0" w:lastRowLastColumn="0"/>
              <w:rPr>
                <w:szCs w:val="20"/>
                <w:lang w:eastAsia="fr-FR" w:bidi="ar-SA"/>
              </w:rPr>
            </w:pPr>
          </w:p>
        </w:tc>
        <w:tc>
          <w:tcPr>
            <w:tcW w:w="0" w:type="auto"/>
            <w:vMerge/>
          </w:tcPr>
          <w:p w14:paraId="5CD69981" w14:textId="77777777" w:rsidR="0071509C" w:rsidRPr="00AA22F2" w:rsidRDefault="0071509C" w:rsidP="006D1412">
            <w:pPr>
              <w:cnfStyle w:val="000000000000" w:firstRow="0" w:lastRow="0" w:firstColumn="0" w:lastColumn="0" w:oddVBand="0" w:evenVBand="0" w:oddHBand="0" w:evenHBand="0" w:firstRowFirstColumn="0" w:firstRowLastColumn="0" w:lastRowFirstColumn="0" w:lastRowLastColumn="0"/>
              <w:rPr>
                <w:szCs w:val="20"/>
                <w:lang w:eastAsia="fr-FR" w:bidi="ar-SA"/>
              </w:rPr>
            </w:pPr>
          </w:p>
        </w:tc>
        <w:tc>
          <w:tcPr>
            <w:tcW w:w="0" w:type="auto"/>
            <w:vMerge/>
          </w:tcPr>
          <w:p w14:paraId="2FCBC4D4" w14:textId="77777777" w:rsidR="0071509C" w:rsidRPr="00BC1745" w:rsidRDefault="0071509C" w:rsidP="006D1412">
            <w:pPr>
              <w:cnfStyle w:val="000000000000" w:firstRow="0" w:lastRow="0" w:firstColumn="0" w:lastColumn="0" w:oddVBand="0" w:evenVBand="0" w:oddHBand="0" w:evenHBand="0" w:firstRowFirstColumn="0" w:firstRowLastColumn="0" w:lastRowFirstColumn="0" w:lastRowLastColumn="0"/>
              <w:rPr>
                <w:szCs w:val="20"/>
              </w:rPr>
            </w:pPr>
          </w:p>
        </w:tc>
        <w:tc>
          <w:tcPr>
            <w:tcW w:w="0" w:type="auto"/>
            <w:vMerge/>
          </w:tcPr>
          <w:p w14:paraId="374AC020" w14:textId="77777777" w:rsidR="0071509C" w:rsidRPr="00AA22F2" w:rsidRDefault="0071509C" w:rsidP="006D1412">
            <w:pPr>
              <w:cnfStyle w:val="000000000000" w:firstRow="0" w:lastRow="0" w:firstColumn="0" w:lastColumn="0" w:oddVBand="0" w:evenVBand="0" w:oddHBand="0" w:evenHBand="0" w:firstRowFirstColumn="0" w:firstRowLastColumn="0" w:lastRowFirstColumn="0" w:lastRowLastColumn="0"/>
              <w:rPr>
                <w:szCs w:val="20"/>
                <w:lang w:eastAsia="fr-FR" w:bidi="ar-SA"/>
              </w:rPr>
            </w:pPr>
          </w:p>
        </w:tc>
        <w:tc>
          <w:tcPr>
            <w:tcW w:w="0" w:type="auto"/>
            <w:vMerge/>
          </w:tcPr>
          <w:p w14:paraId="49B94D90" w14:textId="77777777" w:rsidR="0071509C" w:rsidRPr="00AA22F2" w:rsidRDefault="0071509C" w:rsidP="006D1412">
            <w:pPr>
              <w:cnfStyle w:val="000000000000" w:firstRow="0" w:lastRow="0" w:firstColumn="0" w:lastColumn="0" w:oddVBand="0" w:evenVBand="0" w:oddHBand="0" w:evenHBand="0" w:firstRowFirstColumn="0" w:firstRowLastColumn="0" w:lastRowFirstColumn="0" w:lastRowLastColumn="0"/>
              <w:rPr>
                <w:szCs w:val="20"/>
                <w:lang w:eastAsia="fr-FR" w:bidi="ar-SA"/>
              </w:rPr>
            </w:pPr>
          </w:p>
        </w:tc>
        <w:tc>
          <w:tcPr>
            <w:tcW w:w="0" w:type="auto"/>
            <w:vMerge/>
          </w:tcPr>
          <w:p w14:paraId="64E16128" w14:textId="77777777" w:rsidR="0071509C" w:rsidRPr="00AA22F2" w:rsidRDefault="0071509C" w:rsidP="006D1412">
            <w:pPr>
              <w:cnfStyle w:val="000000000000" w:firstRow="0" w:lastRow="0" w:firstColumn="0" w:lastColumn="0" w:oddVBand="0" w:evenVBand="0" w:oddHBand="0" w:evenHBand="0" w:firstRowFirstColumn="0" w:firstRowLastColumn="0" w:lastRowFirstColumn="0" w:lastRowLastColumn="0"/>
              <w:rPr>
                <w:szCs w:val="20"/>
                <w:lang w:eastAsia="fr-FR" w:bidi="ar-SA"/>
              </w:rPr>
            </w:pPr>
          </w:p>
        </w:tc>
      </w:tr>
      <w:tr w:rsidR="00722638" w:rsidRPr="00D75525" w14:paraId="48A11CBE" w14:textId="77777777" w:rsidTr="00065104">
        <w:tc>
          <w:tcPr>
            <w:cnfStyle w:val="001000000000" w:firstRow="0" w:lastRow="0" w:firstColumn="1" w:lastColumn="0" w:oddVBand="0" w:evenVBand="0" w:oddHBand="0" w:evenHBand="0" w:firstRowFirstColumn="0" w:firstRowLastColumn="0" w:lastRowFirstColumn="0" w:lastRowLastColumn="0"/>
            <w:tcW w:w="0" w:type="auto"/>
            <w:vMerge/>
            <w:hideMark/>
          </w:tcPr>
          <w:p w14:paraId="54A54243" w14:textId="77777777" w:rsidR="006D1412" w:rsidRPr="00AA22F2" w:rsidRDefault="006D1412" w:rsidP="006D1412">
            <w:pPr>
              <w:rPr>
                <w:szCs w:val="20"/>
                <w:lang w:eastAsia="fr-FR" w:bidi="ar-SA"/>
              </w:rPr>
            </w:pPr>
          </w:p>
        </w:tc>
        <w:tc>
          <w:tcPr>
            <w:tcW w:w="0" w:type="auto"/>
            <w:hideMark/>
          </w:tcPr>
          <w:p w14:paraId="62EBD7BC" w14:textId="77777777" w:rsidR="006D1412" w:rsidRPr="00AA22F2" w:rsidRDefault="006D1412" w:rsidP="006D1412">
            <w:pPr>
              <w:cnfStyle w:val="000000000000" w:firstRow="0" w:lastRow="0" w:firstColumn="0" w:lastColumn="0" w:oddVBand="0" w:evenVBand="0" w:oddHBand="0" w:evenHBand="0" w:firstRowFirstColumn="0" w:firstRowLastColumn="0" w:lastRowFirstColumn="0" w:lastRowLastColumn="0"/>
              <w:rPr>
                <w:szCs w:val="20"/>
                <w:lang w:eastAsia="fr-FR" w:bidi="ar-SA"/>
              </w:rPr>
            </w:pPr>
            <w:r w:rsidRPr="00AA22F2">
              <w:rPr>
                <w:b/>
                <w:bCs/>
                <w:szCs w:val="20"/>
                <w:lang w:eastAsia="fr-FR" w:bidi="ar-SA"/>
              </w:rPr>
              <w:t>Atténuer</w:t>
            </w:r>
          </w:p>
        </w:tc>
        <w:tc>
          <w:tcPr>
            <w:tcW w:w="0" w:type="auto"/>
            <w:hideMark/>
          </w:tcPr>
          <w:p w14:paraId="1952876F" w14:textId="77777777" w:rsidR="006D1412" w:rsidRPr="00AA22F2" w:rsidRDefault="006D1412" w:rsidP="006D1412">
            <w:pPr>
              <w:cnfStyle w:val="000000000000" w:firstRow="0" w:lastRow="0" w:firstColumn="0" w:lastColumn="0" w:oddVBand="0" w:evenVBand="0" w:oddHBand="0" w:evenHBand="0" w:firstRowFirstColumn="0" w:firstRowLastColumn="0" w:lastRowFirstColumn="0" w:lastRowLastColumn="0"/>
              <w:rPr>
                <w:szCs w:val="20"/>
                <w:lang w:eastAsia="fr-FR" w:bidi="ar-SA"/>
              </w:rPr>
            </w:pPr>
            <w:r w:rsidRPr="00AA22F2">
              <w:rPr>
                <w:szCs w:val="20"/>
                <w:lang w:eastAsia="fr-FR" w:bidi="ar-SA"/>
              </w:rPr>
              <w:t xml:space="preserve">Aménager des espaces de détente sur site (salle de repos, zone ombrée) ; </w:t>
            </w:r>
          </w:p>
          <w:p w14:paraId="0CC02782" w14:textId="50F5B0D8" w:rsidR="006D1412" w:rsidRPr="00AA22F2" w:rsidRDefault="006D1412" w:rsidP="006D1412">
            <w:pPr>
              <w:cnfStyle w:val="000000000000" w:firstRow="0" w:lastRow="0" w:firstColumn="0" w:lastColumn="0" w:oddVBand="0" w:evenVBand="0" w:oddHBand="0" w:evenHBand="0" w:firstRowFirstColumn="0" w:firstRowLastColumn="0" w:lastRowFirstColumn="0" w:lastRowLastColumn="0"/>
              <w:rPr>
                <w:szCs w:val="20"/>
                <w:lang w:eastAsia="fr-FR" w:bidi="ar-SA"/>
              </w:rPr>
            </w:pPr>
            <w:r w:rsidRPr="00AA22F2">
              <w:rPr>
                <w:szCs w:val="20"/>
                <w:lang w:eastAsia="fr-FR" w:bidi="ar-SA"/>
              </w:rPr>
              <w:t>Organiser des activités sociales (tournois, repas collectifs) pour renforcer la cohésion.</w:t>
            </w:r>
          </w:p>
        </w:tc>
        <w:tc>
          <w:tcPr>
            <w:tcW w:w="0" w:type="auto"/>
            <w:hideMark/>
          </w:tcPr>
          <w:p w14:paraId="0B71FB1A" w14:textId="77777777" w:rsidR="006D1412" w:rsidRPr="00AA22F2" w:rsidRDefault="006D1412" w:rsidP="006D1412">
            <w:pPr>
              <w:cnfStyle w:val="000000000000" w:firstRow="0" w:lastRow="0" w:firstColumn="0" w:lastColumn="0" w:oddVBand="0" w:evenVBand="0" w:oddHBand="0" w:evenHBand="0" w:firstRowFirstColumn="0" w:firstRowLastColumn="0" w:lastRowFirstColumn="0" w:lastRowLastColumn="0"/>
              <w:rPr>
                <w:szCs w:val="20"/>
                <w:lang w:eastAsia="fr-FR" w:bidi="ar-SA"/>
              </w:rPr>
            </w:pPr>
            <w:r w:rsidRPr="00AA22F2">
              <w:rPr>
                <w:szCs w:val="20"/>
                <w:lang w:eastAsia="fr-FR" w:bidi="ar-SA"/>
              </w:rPr>
              <w:t xml:space="preserve">Nb d’espaces créés </w:t>
            </w:r>
          </w:p>
          <w:p w14:paraId="42B86265" w14:textId="75794752" w:rsidR="006D1412" w:rsidRPr="00AA22F2" w:rsidRDefault="006D1412" w:rsidP="006D1412">
            <w:pPr>
              <w:cnfStyle w:val="000000000000" w:firstRow="0" w:lastRow="0" w:firstColumn="0" w:lastColumn="0" w:oddVBand="0" w:evenVBand="0" w:oddHBand="0" w:evenHBand="0" w:firstRowFirstColumn="0" w:firstRowLastColumn="0" w:lastRowFirstColumn="0" w:lastRowLastColumn="0"/>
              <w:rPr>
                <w:szCs w:val="20"/>
                <w:lang w:eastAsia="fr-FR" w:bidi="ar-SA"/>
              </w:rPr>
            </w:pPr>
            <w:r w:rsidRPr="00AA22F2">
              <w:rPr>
                <w:szCs w:val="20"/>
                <w:lang w:eastAsia="fr-FR" w:bidi="ar-SA"/>
              </w:rPr>
              <w:t>Nb d’activités organisées</w:t>
            </w:r>
          </w:p>
        </w:tc>
        <w:tc>
          <w:tcPr>
            <w:tcW w:w="0" w:type="auto"/>
            <w:hideMark/>
          </w:tcPr>
          <w:p w14:paraId="36A39110" w14:textId="325A941F" w:rsidR="006D1412" w:rsidRPr="00AA22F2" w:rsidRDefault="006D1412" w:rsidP="006D1412">
            <w:pPr>
              <w:cnfStyle w:val="000000000000" w:firstRow="0" w:lastRow="0" w:firstColumn="0" w:lastColumn="0" w:oddVBand="0" w:evenVBand="0" w:oddHBand="0" w:evenHBand="0" w:firstRowFirstColumn="0" w:firstRowLastColumn="0" w:lastRowFirstColumn="0" w:lastRowLastColumn="0"/>
              <w:rPr>
                <w:szCs w:val="20"/>
                <w:lang w:eastAsia="fr-FR" w:bidi="ar-SA"/>
              </w:rPr>
            </w:pPr>
            <w:r w:rsidRPr="00AA22F2">
              <w:rPr>
                <w:szCs w:val="20"/>
                <w:lang w:eastAsia="fr-FR" w:bidi="ar-SA"/>
              </w:rPr>
              <w:t>EPC et sous-traitants</w:t>
            </w:r>
          </w:p>
        </w:tc>
        <w:tc>
          <w:tcPr>
            <w:tcW w:w="0" w:type="auto"/>
            <w:hideMark/>
          </w:tcPr>
          <w:p w14:paraId="3C00DA85" w14:textId="6F62A7A0" w:rsidR="006D1412" w:rsidRPr="00AA22F2" w:rsidRDefault="006D1412" w:rsidP="006D1412">
            <w:pPr>
              <w:cnfStyle w:val="000000000000" w:firstRow="0" w:lastRow="0" w:firstColumn="0" w:lastColumn="0" w:oddVBand="0" w:evenVBand="0" w:oddHBand="0" w:evenHBand="0" w:firstRowFirstColumn="0" w:firstRowLastColumn="0" w:lastRowFirstColumn="0" w:lastRowLastColumn="0"/>
              <w:rPr>
                <w:szCs w:val="20"/>
                <w:lang w:eastAsia="fr-FR" w:bidi="ar-SA"/>
              </w:rPr>
            </w:pPr>
            <w:r w:rsidRPr="00BC1745">
              <w:rPr>
                <w:szCs w:val="20"/>
              </w:rPr>
              <w:t>Bureau de contrôle / Consultant de supervision mandaté par l’ONDA</w:t>
            </w:r>
          </w:p>
        </w:tc>
        <w:tc>
          <w:tcPr>
            <w:tcW w:w="0" w:type="auto"/>
            <w:hideMark/>
          </w:tcPr>
          <w:p w14:paraId="07CBF3A4" w14:textId="1A76AABF" w:rsidR="006D1412" w:rsidRPr="00AA22F2" w:rsidRDefault="006D1412" w:rsidP="006D1412">
            <w:pPr>
              <w:cnfStyle w:val="000000000000" w:firstRow="0" w:lastRow="0" w:firstColumn="0" w:lastColumn="0" w:oddVBand="0" w:evenVBand="0" w:oddHBand="0" w:evenHBand="0" w:firstRowFirstColumn="0" w:firstRowLastColumn="0" w:lastRowFirstColumn="0" w:lastRowLastColumn="0"/>
              <w:rPr>
                <w:szCs w:val="20"/>
                <w:lang w:eastAsia="fr-FR" w:bidi="ar-SA"/>
              </w:rPr>
            </w:pPr>
            <w:r w:rsidRPr="00AA22F2">
              <w:rPr>
                <w:szCs w:val="20"/>
                <w:lang w:eastAsia="fr-FR" w:bidi="ar-SA"/>
              </w:rPr>
              <w:t>ONDA</w:t>
            </w:r>
          </w:p>
        </w:tc>
        <w:tc>
          <w:tcPr>
            <w:tcW w:w="0" w:type="auto"/>
            <w:hideMark/>
          </w:tcPr>
          <w:p w14:paraId="364E8D75" w14:textId="77777777" w:rsidR="006D1412" w:rsidRPr="00AA22F2" w:rsidRDefault="006D1412" w:rsidP="006D1412">
            <w:pPr>
              <w:cnfStyle w:val="000000000000" w:firstRow="0" w:lastRow="0" w:firstColumn="0" w:lastColumn="0" w:oddVBand="0" w:evenVBand="0" w:oddHBand="0" w:evenHBand="0" w:firstRowFirstColumn="0" w:firstRowLastColumn="0" w:lastRowFirstColumn="0" w:lastRowLastColumn="0"/>
              <w:rPr>
                <w:szCs w:val="20"/>
                <w:lang w:eastAsia="fr-FR" w:bidi="ar-SA"/>
              </w:rPr>
            </w:pPr>
            <w:r w:rsidRPr="00AA22F2">
              <w:rPr>
                <w:szCs w:val="20"/>
                <w:lang w:eastAsia="fr-FR" w:bidi="ar-SA"/>
              </w:rPr>
              <w:t>Bimestriel</w:t>
            </w:r>
          </w:p>
        </w:tc>
        <w:tc>
          <w:tcPr>
            <w:tcW w:w="0" w:type="auto"/>
            <w:hideMark/>
          </w:tcPr>
          <w:p w14:paraId="2C2FFDAD" w14:textId="660513CE" w:rsidR="006D1412" w:rsidRDefault="00C94E32" w:rsidP="006D1412">
            <w:pPr>
              <w:cnfStyle w:val="000000000000" w:firstRow="0" w:lastRow="0" w:firstColumn="0" w:lastColumn="0" w:oddVBand="0" w:evenVBand="0" w:oddHBand="0" w:evenHBand="0" w:firstRowFirstColumn="0" w:firstRowLastColumn="0" w:lastRowFirstColumn="0" w:lastRowLastColumn="0"/>
              <w:rPr>
                <w:szCs w:val="20"/>
                <w:lang w:eastAsia="fr-FR" w:bidi="ar-SA"/>
              </w:rPr>
            </w:pPr>
            <w:r w:rsidRPr="00C94E32">
              <w:rPr>
                <w:szCs w:val="20"/>
                <w:lang w:eastAsia="fr-FR" w:bidi="ar-SA"/>
              </w:rPr>
              <w:t>7 000 – 10 000 MAD / unité</w:t>
            </w:r>
            <w:r>
              <w:rPr>
                <w:szCs w:val="20"/>
                <w:lang w:eastAsia="fr-FR" w:bidi="ar-SA"/>
              </w:rPr>
              <w:t xml:space="preserve"> (</w:t>
            </w:r>
            <w:r w:rsidRPr="00C94E32">
              <w:rPr>
                <w:szCs w:val="20"/>
                <w:lang w:eastAsia="fr-FR" w:bidi="ar-SA"/>
              </w:rPr>
              <w:t>Mobilier + ombrage + ventilateurs portatifs</w:t>
            </w:r>
            <w:r>
              <w:rPr>
                <w:szCs w:val="20"/>
                <w:lang w:eastAsia="fr-FR" w:bidi="ar-SA"/>
              </w:rPr>
              <w:t>)</w:t>
            </w:r>
          </w:p>
          <w:p w14:paraId="7E9581CA" w14:textId="0B0A395C" w:rsidR="00C94E32" w:rsidRPr="00AA22F2" w:rsidRDefault="00C94E32" w:rsidP="006D1412">
            <w:pPr>
              <w:cnfStyle w:val="000000000000" w:firstRow="0" w:lastRow="0" w:firstColumn="0" w:lastColumn="0" w:oddVBand="0" w:evenVBand="0" w:oddHBand="0" w:evenHBand="0" w:firstRowFirstColumn="0" w:firstRowLastColumn="0" w:lastRowFirstColumn="0" w:lastRowLastColumn="0"/>
              <w:rPr>
                <w:szCs w:val="20"/>
                <w:lang w:eastAsia="fr-FR" w:bidi="ar-SA"/>
              </w:rPr>
            </w:pPr>
            <w:r w:rsidRPr="00C94E32">
              <w:rPr>
                <w:szCs w:val="20"/>
                <w:lang w:eastAsia="fr-FR" w:bidi="ar-SA"/>
              </w:rPr>
              <w:t>2 000 MAD / activité</w:t>
            </w:r>
          </w:p>
        </w:tc>
      </w:tr>
      <w:tr w:rsidR="00722638" w:rsidRPr="00D75525" w14:paraId="1B7E0933" w14:textId="77777777" w:rsidTr="00065104">
        <w:tc>
          <w:tcPr>
            <w:cnfStyle w:val="001000000000" w:firstRow="0" w:lastRow="0" w:firstColumn="1" w:lastColumn="0" w:oddVBand="0" w:evenVBand="0" w:oddHBand="0" w:evenHBand="0" w:firstRowFirstColumn="0" w:firstRowLastColumn="0" w:lastRowFirstColumn="0" w:lastRowLastColumn="0"/>
            <w:tcW w:w="0" w:type="auto"/>
            <w:vMerge/>
            <w:hideMark/>
          </w:tcPr>
          <w:p w14:paraId="67D87053" w14:textId="77777777" w:rsidR="006D1412" w:rsidRPr="00AA22F2" w:rsidRDefault="006D1412" w:rsidP="006D1412">
            <w:pPr>
              <w:rPr>
                <w:szCs w:val="20"/>
                <w:lang w:eastAsia="fr-FR" w:bidi="ar-SA"/>
              </w:rPr>
            </w:pPr>
          </w:p>
        </w:tc>
        <w:tc>
          <w:tcPr>
            <w:tcW w:w="0" w:type="auto"/>
            <w:hideMark/>
          </w:tcPr>
          <w:p w14:paraId="755A0F0B" w14:textId="77777777" w:rsidR="006D1412" w:rsidRPr="00AA22F2" w:rsidRDefault="006D1412" w:rsidP="006D1412">
            <w:pPr>
              <w:cnfStyle w:val="000000000000" w:firstRow="0" w:lastRow="0" w:firstColumn="0" w:lastColumn="0" w:oddVBand="0" w:evenVBand="0" w:oddHBand="0" w:evenHBand="0" w:firstRowFirstColumn="0" w:firstRowLastColumn="0" w:lastRowFirstColumn="0" w:lastRowLastColumn="0"/>
              <w:rPr>
                <w:szCs w:val="20"/>
                <w:lang w:eastAsia="fr-FR" w:bidi="ar-SA"/>
              </w:rPr>
            </w:pPr>
            <w:r w:rsidRPr="00AA22F2">
              <w:rPr>
                <w:b/>
                <w:bCs/>
                <w:szCs w:val="20"/>
                <w:lang w:eastAsia="fr-FR" w:bidi="ar-SA"/>
              </w:rPr>
              <w:t>Compenser</w:t>
            </w:r>
          </w:p>
        </w:tc>
        <w:tc>
          <w:tcPr>
            <w:tcW w:w="0" w:type="auto"/>
            <w:hideMark/>
          </w:tcPr>
          <w:p w14:paraId="1B00129B" w14:textId="77777777" w:rsidR="006D1412" w:rsidRPr="00AA22F2" w:rsidRDefault="006D1412" w:rsidP="006D1412">
            <w:pPr>
              <w:cnfStyle w:val="000000000000" w:firstRow="0" w:lastRow="0" w:firstColumn="0" w:lastColumn="0" w:oddVBand="0" w:evenVBand="0" w:oddHBand="0" w:evenHBand="0" w:firstRowFirstColumn="0" w:firstRowLastColumn="0" w:lastRowFirstColumn="0" w:lastRowLastColumn="0"/>
              <w:rPr>
                <w:szCs w:val="20"/>
                <w:lang w:eastAsia="fr-FR" w:bidi="ar-SA"/>
              </w:rPr>
            </w:pPr>
            <w:r w:rsidRPr="00AA22F2">
              <w:rPr>
                <w:szCs w:val="20"/>
                <w:lang w:eastAsia="fr-FR" w:bidi="ar-SA"/>
              </w:rPr>
              <w:t>Offrir un suivi médical pour les cas de stress sévère et permettre des congés compensatoires pour récupération.</w:t>
            </w:r>
          </w:p>
        </w:tc>
        <w:tc>
          <w:tcPr>
            <w:tcW w:w="0" w:type="auto"/>
            <w:hideMark/>
          </w:tcPr>
          <w:p w14:paraId="35D5DD21" w14:textId="77777777" w:rsidR="006D1412" w:rsidRPr="00AA22F2" w:rsidRDefault="006D1412" w:rsidP="006D1412">
            <w:pPr>
              <w:cnfStyle w:val="000000000000" w:firstRow="0" w:lastRow="0" w:firstColumn="0" w:lastColumn="0" w:oddVBand="0" w:evenVBand="0" w:oddHBand="0" w:evenHBand="0" w:firstRowFirstColumn="0" w:firstRowLastColumn="0" w:lastRowFirstColumn="0" w:lastRowLastColumn="0"/>
              <w:rPr>
                <w:szCs w:val="20"/>
                <w:lang w:eastAsia="fr-FR" w:bidi="ar-SA"/>
              </w:rPr>
            </w:pPr>
            <w:r w:rsidRPr="00AA22F2">
              <w:rPr>
                <w:szCs w:val="20"/>
                <w:lang w:eastAsia="fr-FR" w:bidi="ar-SA"/>
              </w:rPr>
              <w:t xml:space="preserve">Nb de cas pris en charge </w:t>
            </w:r>
          </w:p>
          <w:p w14:paraId="6CD696A7" w14:textId="775FEB61" w:rsidR="006D1412" w:rsidRPr="00AA22F2" w:rsidRDefault="006D1412" w:rsidP="006D1412">
            <w:pPr>
              <w:cnfStyle w:val="000000000000" w:firstRow="0" w:lastRow="0" w:firstColumn="0" w:lastColumn="0" w:oddVBand="0" w:evenVBand="0" w:oddHBand="0" w:evenHBand="0" w:firstRowFirstColumn="0" w:firstRowLastColumn="0" w:lastRowFirstColumn="0" w:lastRowLastColumn="0"/>
              <w:rPr>
                <w:szCs w:val="20"/>
                <w:lang w:eastAsia="fr-FR" w:bidi="ar-SA"/>
              </w:rPr>
            </w:pPr>
            <w:r w:rsidRPr="00AA22F2">
              <w:rPr>
                <w:szCs w:val="20"/>
                <w:lang w:eastAsia="fr-FR" w:bidi="ar-SA"/>
              </w:rPr>
              <w:t>Nb de congés accordés</w:t>
            </w:r>
          </w:p>
        </w:tc>
        <w:tc>
          <w:tcPr>
            <w:tcW w:w="0" w:type="auto"/>
            <w:hideMark/>
          </w:tcPr>
          <w:p w14:paraId="7F5E7668" w14:textId="5CA70CCE" w:rsidR="006D1412" w:rsidRPr="00AA22F2" w:rsidRDefault="006D1412" w:rsidP="006D1412">
            <w:pPr>
              <w:cnfStyle w:val="000000000000" w:firstRow="0" w:lastRow="0" w:firstColumn="0" w:lastColumn="0" w:oddVBand="0" w:evenVBand="0" w:oddHBand="0" w:evenHBand="0" w:firstRowFirstColumn="0" w:firstRowLastColumn="0" w:lastRowFirstColumn="0" w:lastRowLastColumn="0"/>
              <w:rPr>
                <w:szCs w:val="20"/>
                <w:lang w:eastAsia="fr-FR" w:bidi="ar-SA"/>
              </w:rPr>
            </w:pPr>
            <w:r w:rsidRPr="00AA22F2">
              <w:rPr>
                <w:szCs w:val="20"/>
                <w:lang w:eastAsia="fr-FR" w:bidi="ar-SA"/>
              </w:rPr>
              <w:t>EPC et sous-traitants</w:t>
            </w:r>
          </w:p>
        </w:tc>
        <w:tc>
          <w:tcPr>
            <w:tcW w:w="0" w:type="auto"/>
            <w:hideMark/>
          </w:tcPr>
          <w:p w14:paraId="65F169CB" w14:textId="5716BCAE" w:rsidR="006D1412" w:rsidRPr="00AA22F2" w:rsidRDefault="006D1412" w:rsidP="006D1412">
            <w:pPr>
              <w:cnfStyle w:val="000000000000" w:firstRow="0" w:lastRow="0" w:firstColumn="0" w:lastColumn="0" w:oddVBand="0" w:evenVBand="0" w:oddHBand="0" w:evenHBand="0" w:firstRowFirstColumn="0" w:firstRowLastColumn="0" w:lastRowFirstColumn="0" w:lastRowLastColumn="0"/>
              <w:rPr>
                <w:szCs w:val="20"/>
                <w:lang w:eastAsia="fr-FR" w:bidi="ar-SA"/>
              </w:rPr>
            </w:pPr>
            <w:r w:rsidRPr="00BC1745">
              <w:rPr>
                <w:szCs w:val="20"/>
              </w:rPr>
              <w:t>Bureau de contrôle / Consultant de supervision mandaté par l’ONDA</w:t>
            </w:r>
          </w:p>
        </w:tc>
        <w:tc>
          <w:tcPr>
            <w:tcW w:w="0" w:type="auto"/>
            <w:hideMark/>
          </w:tcPr>
          <w:p w14:paraId="79746DE1" w14:textId="6386494A" w:rsidR="006D1412" w:rsidRPr="00AA22F2" w:rsidRDefault="006D1412" w:rsidP="006D1412">
            <w:pPr>
              <w:cnfStyle w:val="000000000000" w:firstRow="0" w:lastRow="0" w:firstColumn="0" w:lastColumn="0" w:oddVBand="0" w:evenVBand="0" w:oddHBand="0" w:evenHBand="0" w:firstRowFirstColumn="0" w:firstRowLastColumn="0" w:lastRowFirstColumn="0" w:lastRowLastColumn="0"/>
              <w:rPr>
                <w:szCs w:val="20"/>
                <w:lang w:eastAsia="fr-FR" w:bidi="ar-SA"/>
              </w:rPr>
            </w:pPr>
            <w:r w:rsidRPr="00AA22F2">
              <w:rPr>
                <w:szCs w:val="20"/>
                <w:lang w:eastAsia="fr-FR" w:bidi="ar-SA"/>
              </w:rPr>
              <w:t>ONDA</w:t>
            </w:r>
          </w:p>
        </w:tc>
        <w:tc>
          <w:tcPr>
            <w:tcW w:w="0" w:type="auto"/>
            <w:hideMark/>
          </w:tcPr>
          <w:p w14:paraId="02A8487A" w14:textId="77777777" w:rsidR="006D1412" w:rsidRPr="00AA22F2" w:rsidRDefault="006D1412" w:rsidP="006D1412">
            <w:pPr>
              <w:cnfStyle w:val="000000000000" w:firstRow="0" w:lastRow="0" w:firstColumn="0" w:lastColumn="0" w:oddVBand="0" w:evenVBand="0" w:oddHBand="0" w:evenHBand="0" w:firstRowFirstColumn="0" w:firstRowLastColumn="0" w:lastRowFirstColumn="0" w:lastRowLastColumn="0"/>
              <w:rPr>
                <w:szCs w:val="20"/>
                <w:lang w:eastAsia="fr-FR" w:bidi="ar-SA"/>
              </w:rPr>
            </w:pPr>
            <w:r w:rsidRPr="00AA22F2">
              <w:rPr>
                <w:szCs w:val="20"/>
                <w:lang w:eastAsia="fr-FR" w:bidi="ar-SA"/>
              </w:rPr>
              <w:t>Selon besoin</w:t>
            </w:r>
          </w:p>
        </w:tc>
        <w:tc>
          <w:tcPr>
            <w:tcW w:w="0" w:type="auto"/>
            <w:hideMark/>
          </w:tcPr>
          <w:p w14:paraId="0CF12DFD" w14:textId="6BD5B5C7" w:rsidR="006D1412" w:rsidRPr="00AA22F2" w:rsidRDefault="00722638" w:rsidP="006D1412">
            <w:pPr>
              <w:cnfStyle w:val="000000000000" w:firstRow="0" w:lastRow="0" w:firstColumn="0" w:lastColumn="0" w:oddVBand="0" w:evenVBand="0" w:oddHBand="0" w:evenHBand="0" w:firstRowFirstColumn="0" w:firstRowLastColumn="0" w:lastRowFirstColumn="0" w:lastRowLastColumn="0"/>
              <w:rPr>
                <w:szCs w:val="20"/>
                <w:lang w:eastAsia="fr-FR" w:bidi="ar-SA"/>
              </w:rPr>
            </w:pPr>
            <w:r w:rsidRPr="00722638">
              <w:rPr>
                <w:szCs w:val="20"/>
                <w:lang w:eastAsia="fr-FR" w:bidi="ar-SA"/>
              </w:rPr>
              <w:t>≈ 6 000 MAD / mois</w:t>
            </w:r>
            <w:r>
              <w:rPr>
                <w:szCs w:val="20"/>
                <w:lang w:eastAsia="fr-FR" w:bidi="ar-SA"/>
              </w:rPr>
              <w:t xml:space="preserve"> (</w:t>
            </w:r>
            <w:r w:rsidRPr="00722638">
              <w:rPr>
                <w:szCs w:val="20"/>
                <w:lang w:eastAsia="fr-FR" w:bidi="ar-SA"/>
              </w:rPr>
              <w:t>Couverture médicale assurée par le médecin du travail déjà mobilisé (18 000 MAD/mois). Ce coût additionnel couvre la consultation psychologique spécialisée (2 séances/mois à 3 000 MAD chacune) et le suivi administratif des congés compensatoires</w:t>
            </w:r>
            <w:r>
              <w:rPr>
                <w:szCs w:val="20"/>
                <w:lang w:eastAsia="fr-FR" w:bidi="ar-SA"/>
              </w:rPr>
              <w:t>)</w:t>
            </w:r>
          </w:p>
        </w:tc>
      </w:tr>
      <w:tr w:rsidR="00722638" w:rsidRPr="00D75525" w14:paraId="45525C8B" w14:textId="77777777" w:rsidTr="00065104">
        <w:tc>
          <w:tcPr>
            <w:cnfStyle w:val="001000000000" w:firstRow="0" w:lastRow="0" w:firstColumn="1" w:lastColumn="0" w:oddVBand="0" w:evenVBand="0" w:oddHBand="0" w:evenHBand="0" w:firstRowFirstColumn="0" w:firstRowLastColumn="0" w:lastRowFirstColumn="0" w:lastRowLastColumn="0"/>
            <w:tcW w:w="0" w:type="auto"/>
            <w:vMerge w:val="restart"/>
            <w:hideMark/>
          </w:tcPr>
          <w:p w14:paraId="4D339C2B" w14:textId="77777777" w:rsidR="006D1412" w:rsidRPr="00AA22F2" w:rsidRDefault="006D1412" w:rsidP="006D1412">
            <w:pPr>
              <w:rPr>
                <w:szCs w:val="20"/>
                <w:lang w:eastAsia="fr-FR" w:bidi="ar-SA"/>
              </w:rPr>
            </w:pPr>
            <w:r w:rsidRPr="00AA22F2">
              <w:rPr>
                <w:szCs w:val="20"/>
                <w:lang w:eastAsia="fr-FR" w:bidi="ar-SA"/>
              </w:rPr>
              <w:t>Risque d’accidents dus à la circulation et à la coactivité des engins</w:t>
            </w:r>
          </w:p>
        </w:tc>
        <w:tc>
          <w:tcPr>
            <w:tcW w:w="0" w:type="auto"/>
            <w:hideMark/>
          </w:tcPr>
          <w:p w14:paraId="4FFB067C" w14:textId="77777777" w:rsidR="006D1412" w:rsidRPr="00AA22F2" w:rsidRDefault="006D1412" w:rsidP="006D1412">
            <w:pPr>
              <w:cnfStyle w:val="000000000000" w:firstRow="0" w:lastRow="0" w:firstColumn="0" w:lastColumn="0" w:oddVBand="0" w:evenVBand="0" w:oddHBand="0" w:evenHBand="0" w:firstRowFirstColumn="0" w:firstRowLastColumn="0" w:lastRowFirstColumn="0" w:lastRowLastColumn="0"/>
              <w:rPr>
                <w:szCs w:val="20"/>
                <w:lang w:eastAsia="fr-FR" w:bidi="ar-SA"/>
              </w:rPr>
            </w:pPr>
            <w:r w:rsidRPr="00AA22F2">
              <w:rPr>
                <w:b/>
                <w:bCs/>
                <w:szCs w:val="20"/>
                <w:lang w:eastAsia="fr-FR" w:bidi="ar-SA"/>
              </w:rPr>
              <w:t>Éviter</w:t>
            </w:r>
          </w:p>
        </w:tc>
        <w:tc>
          <w:tcPr>
            <w:tcW w:w="0" w:type="auto"/>
            <w:hideMark/>
          </w:tcPr>
          <w:p w14:paraId="3DE456E0" w14:textId="77777777" w:rsidR="006D1412" w:rsidRPr="00AA22F2" w:rsidRDefault="006D1412" w:rsidP="006D1412">
            <w:pPr>
              <w:cnfStyle w:val="000000000000" w:firstRow="0" w:lastRow="0" w:firstColumn="0" w:lastColumn="0" w:oddVBand="0" w:evenVBand="0" w:oddHBand="0" w:evenHBand="0" w:firstRowFirstColumn="0" w:firstRowLastColumn="0" w:lastRowFirstColumn="0" w:lastRowLastColumn="0"/>
              <w:rPr>
                <w:szCs w:val="20"/>
                <w:lang w:eastAsia="fr-FR" w:bidi="ar-SA"/>
              </w:rPr>
            </w:pPr>
            <w:r w:rsidRPr="00AA22F2">
              <w:rPr>
                <w:szCs w:val="20"/>
                <w:lang w:eastAsia="fr-FR" w:bidi="ar-SA"/>
              </w:rPr>
              <w:t>Mettre en place un plan de circulation interne ;</w:t>
            </w:r>
          </w:p>
          <w:p w14:paraId="3D920CE5" w14:textId="77777777" w:rsidR="006D1412" w:rsidRPr="00AA22F2" w:rsidRDefault="006D1412" w:rsidP="006D1412">
            <w:pPr>
              <w:cnfStyle w:val="000000000000" w:firstRow="0" w:lastRow="0" w:firstColumn="0" w:lastColumn="0" w:oddVBand="0" w:evenVBand="0" w:oddHBand="0" w:evenHBand="0" w:firstRowFirstColumn="0" w:firstRowLastColumn="0" w:lastRowFirstColumn="0" w:lastRowLastColumn="0"/>
              <w:rPr>
                <w:szCs w:val="20"/>
                <w:lang w:eastAsia="fr-FR" w:bidi="ar-SA"/>
              </w:rPr>
            </w:pPr>
            <w:r w:rsidRPr="00AA22F2">
              <w:rPr>
                <w:szCs w:val="20"/>
                <w:lang w:eastAsia="fr-FR" w:bidi="ar-SA"/>
              </w:rPr>
              <w:t xml:space="preserve">Séparer physiquement les voies piétonnes et engins ; </w:t>
            </w:r>
          </w:p>
          <w:p w14:paraId="6C349192" w14:textId="42CE7979" w:rsidR="006D1412" w:rsidRPr="00AA22F2" w:rsidRDefault="006D1412" w:rsidP="006D1412">
            <w:pPr>
              <w:cnfStyle w:val="000000000000" w:firstRow="0" w:lastRow="0" w:firstColumn="0" w:lastColumn="0" w:oddVBand="0" w:evenVBand="0" w:oddHBand="0" w:evenHBand="0" w:firstRowFirstColumn="0" w:firstRowLastColumn="0" w:lastRowFirstColumn="0" w:lastRowLastColumn="0"/>
              <w:rPr>
                <w:szCs w:val="20"/>
                <w:lang w:eastAsia="fr-FR" w:bidi="ar-SA"/>
              </w:rPr>
            </w:pPr>
            <w:r w:rsidRPr="00AA22F2">
              <w:rPr>
                <w:szCs w:val="20"/>
                <w:lang w:eastAsia="fr-FR" w:bidi="ar-SA"/>
              </w:rPr>
              <w:lastRenderedPageBreak/>
              <w:t>Limiter la vitesse à 15 km/h ; installer des signalisations visibles et réfléchissantes.</w:t>
            </w:r>
          </w:p>
        </w:tc>
        <w:tc>
          <w:tcPr>
            <w:tcW w:w="0" w:type="auto"/>
            <w:hideMark/>
          </w:tcPr>
          <w:p w14:paraId="37C175AA" w14:textId="77777777" w:rsidR="006D1412" w:rsidRPr="00AA22F2" w:rsidRDefault="006D1412" w:rsidP="006D1412">
            <w:pPr>
              <w:cnfStyle w:val="000000000000" w:firstRow="0" w:lastRow="0" w:firstColumn="0" w:lastColumn="0" w:oddVBand="0" w:evenVBand="0" w:oddHBand="0" w:evenHBand="0" w:firstRowFirstColumn="0" w:firstRowLastColumn="0" w:lastRowFirstColumn="0" w:lastRowLastColumn="0"/>
              <w:rPr>
                <w:szCs w:val="20"/>
                <w:lang w:eastAsia="fr-FR" w:bidi="ar-SA"/>
              </w:rPr>
            </w:pPr>
            <w:r w:rsidRPr="00AA22F2">
              <w:rPr>
                <w:szCs w:val="20"/>
                <w:lang w:eastAsia="fr-FR" w:bidi="ar-SA"/>
              </w:rPr>
              <w:lastRenderedPageBreak/>
              <w:t>% de zones balisées / Nb de panneaux installés</w:t>
            </w:r>
          </w:p>
        </w:tc>
        <w:tc>
          <w:tcPr>
            <w:tcW w:w="0" w:type="auto"/>
            <w:hideMark/>
          </w:tcPr>
          <w:p w14:paraId="13CBDCB1" w14:textId="019E9D05" w:rsidR="006D1412" w:rsidRPr="00AA22F2" w:rsidRDefault="006D1412" w:rsidP="006D1412">
            <w:pPr>
              <w:cnfStyle w:val="000000000000" w:firstRow="0" w:lastRow="0" w:firstColumn="0" w:lastColumn="0" w:oddVBand="0" w:evenVBand="0" w:oddHBand="0" w:evenHBand="0" w:firstRowFirstColumn="0" w:firstRowLastColumn="0" w:lastRowFirstColumn="0" w:lastRowLastColumn="0"/>
              <w:rPr>
                <w:szCs w:val="20"/>
                <w:lang w:eastAsia="fr-FR" w:bidi="ar-SA"/>
              </w:rPr>
            </w:pPr>
            <w:r w:rsidRPr="00AA22F2">
              <w:rPr>
                <w:szCs w:val="20"/>
                <w:lang w:eastAsia="fr-FR" w:bidi="ar-SA"/>
              </w:rPr>
              <w:t>EPC et sous-traitants</w:t>
            </w:r>
          </w:p>
        </w:tc>
        <w:tc>
          <w:tcPr>
            <w:tcW w:w="0" w:type="auto"/>
            <w:hideMark/>
          </w:tcPr>
          <w:p w14:paraId="0EDE354A" w14:textId="3498B890" w:rsidR="006D1412" w:rsidRPr="00AA22F2" w:rsidRDefault="006D1412" w:rsidP="006D1412">
            <w:pPr>
              <w:cnfStyle w:val="000000000000" w:firstRow="0" w:lastRow="0" w:firstColumn="0" w:lastColumn="0" w:oddVBand="0" w:evenVBand="0" w:oddHBand="0" w:evenHBand="0" w:firstRowFirstColumn="0" w:firstRowLastColumn="0" w:lastRowFirstColumn="0" w:lastRowLastColumn="0"/>
              <w:rPr>
                <w:szCs w:val="20"/>
                <w:lang w:eastAsia="fr-FR" w:bidi="ar-SA"/>
              </w:rPr>
            </w:pPr>
            <w:r w:rsidRPr="00BC1745">
              <w:rPr>
                <w:szCs w:val="20"/>
              </w:rPr>
              <w:t>Bureau de contrôle / Consultant de supervision mandaté par l’ONDA</w:t>
            </w:r>
          </w:p>
        </w:tc>
        <w:tc>
          <w:tcPr>
            <w:tcW w:w="0" w:type="auto"/>
            <w:hideMark/>
          </w:tcPr>
          <w:p w14:paraId="7DAF1A31" w14:textId="3FCF0BE1" w:rsidR="006D1412" w:rsidRPr="00AA22F2" w:rsidRDefault="006D1412" w:rsidP="006D1412">
            <w:pPr>
              <w:cnfStyle w:val="000000000000" w:firstRow="0" w:lastRow="0" w:firstColumn="0" w:lastColumn="0" w:oddVBand="0" w:evenVBand="0" w:oddHBand="0" w:evenHBand="0" w:firstRowFirstColumn="0" w:firstRowLastColumn="0" w:lastRowFirstColumn="0" w:lastRowLastColumn="0"/>
              <w:rPr>
                <w:szCs w:val="20"/>
                <w:lang w:eastAsia="fr-FR" w:bidi="ar-SA"/>
              </w:rPr>
            </w:pPr>
            <w:r w:rsidRPr="00AA22F2">
              <w:rPr>
                <w:szCs w:val="20"/>
                <w:lang w:eastAsia="fr-FR" w:bidi="ar-SA"/>
              </w:rPr>
              <w:t>ONDA</w:t>
            </w:r>
          </w:p>
        </w:tc>
        <w:tc>
          <w:tcPr>
            <w:tcW w:w="0" w:type="auto"/>
            <w:hideMark/>
          </w:tcPr>
          <w:p w14:paraId="418CC07D" w14:textId="77777777" w:rsidR="006D1412" w:rsidRPr="00AA22F2" w:rsidRDefault="006D1412" w:rsidP="006D1412">
            <w:pPr>
              <w:cnfStyle w:val="000000000000" w:firstRow="0" w:lastRow="0" w:firstColumn="0" w:lastColumn="0" w:oddVBand="0" w:evenVBand="0" w:oddHBand="0" w:evenHBand="0" w:firstRowFirstColumn="0" w:firstRowLastColumn="0" w:lastRowFirstColumn="0" w:lastRowLastColumn="0"/>
              <w:rPr>
                <w:szCs w:val="20"/>
                <w:lang w:eastAsia="fr-FR" w:bidi="ar-SA"/>
              </w:rPr>
            </w:pPr>
            <w:r w:rsidRPr="00AA22F2">
              <w:rPr>
                <w:szCs w:val="20"/>
                <w:lang w:eastAsia="fr-FR" w:bidi="ar-SA"/>
              </w:rPr>
              <w:t>Avant début des travaux</w:t>
            </w:r>
          </w:p>
        </w:tc>
        <w:tc>
          <w:tcPr>
            <w:tcW w:w="0" w:type="auto"/>
            <w:hideMark/>
          </w:tcPr>
          <w:p w14:paraId="7B5E0539" w14:textId="00AB7B5F" w:rsidR="006D1412" w:rsidRDefault="00722638" w:rsidP="006D1412">
            <w:pPr>
              <w:cnfStyle w:val="000000000000" w:firstRow="0" w:lastRow="0" w:firstColumn="0" w:lastColumn="0" w:oddVBand="0" w:evenVBand="0" w:oddHBand="0" w:evenHBand="0" w:firstRowFirstColumn="0" w:firstRowLastColumn="0" w:lastRowFirstColumn="0" w:lastRowLastColumn="0"/>
              <w:rPr>
                <w:szCs w:val="20"/>
                <w:lang w:eastAsia="fr-FR" w:bidi="ar-SA"/>
              </w:rPr>
            </w:pPr>
            <w:r w:rsidRPr="00722638">
              <w:rPr>
                <w:szCs w:val="20"/>
                <w:lang w:eastAsia="fr-FR" w:bidi="ar-SA"/>
              </w:rPr>
              <w:t>5 000 MAD / plan</w:t>
            </w:r>
          </w:p>
          <w:p w14:paraId="3C137EE9" w14:textId="77777777" w:rsidR="00722638" w:rsidRDefault="00722638" w:rsidP="006D1412">
            <w:pPr>
              <w:cnfStyle w:val="000000000000" w:firstRow="0" w:lastRow="0" w:firstColumn="0" w:lastColumn="0" w:oddVBand="0" w:evenVBand="0" w:oddHBand="0" w:evenHBand="0" w:firstRowFirstColumn="0" w:firstRowLastColumn="0" w:lastRowFirstColumn="0" w:lastRowLastColumn="0"/>
              <w:rPr>
                <w:szCs w:val="20"/>
                <w:lang w:eastAsia="fr-FR" w:bidi="ar-SA"/>
              </w:rPr>
            </w:pPr>
            <w:r w:rsidRPr="00722638">
              <w:rPr>
                <w:szCs w:val="20"/>
                <w:lang w:eastAsia="fr-FR" w:bidi="ar-SA"/>
              </w:rPr>
              <w:t>≈ 60 MAD / mètre linéaire</w:t>
            </w:r>
            <w:r>
              <w:rPr>
                <w:szCs w:val="20"/>
                <w:lang w:eastAsia="fr-FR" w:bidi="ar-SA"/>
              </w:rPr>
              <w:t xml:space="preserve"> (</w:t>
            </w:r>
            <w:r w:rsidRPr="00722638">
              <w:rPr>
                <w:szCs w:val="20"/>
                <w:lang w:eastAsia="fr-FR" w:bidi="ar-SA"/>
              </w:rPr>
              <w:t>Fourniture et pose de rubalise, plots et barrières temporaires.</w:t>
            </w:r>
            <w:r>
              <w:rPr>
                <w:szCs w:val="20"/>
                <w:lang w:eastAsia="fr-FR" w:bidi="ar-SA"/>
              </w:rPr>
              <w:t>)</w:t>
            </w:r>
          </w:p>
          <w:p w14:paraId="4FC14A75" w14:textId="0DD4E95A" w:rsidR="00722638" w:rsidRPr="00AA22F2" w:rsidRDefault="00722638" w:rsidP="006D1412">
            <w:pPr>
              <w:cnfStyle w:val="000000000000" w:firstRow="0" w:lastRow="0" w:firstColumn="0" w:lastColumn="0" w:oddVBand="0" w:evenVBand="0" w:oddHBand="0" w:evenHBand="0" w:firstRowFirstColumn="0" w:firstRowLastColumn="0" w:lastRowFirstColumn="0" w:lastRowLastColumn="0"/>
              <w:rPr>
                <w:szCs w:val="20"/>
                <w:lang w:eastAsia="fr-FR" w:bidi="ar-SA"/>
              </w:rPr>
            </w:pPr>
            <w:r w:rsidRPr="00722638">
              <w:rPr>
                <w:szCs w:val="20"/>
                <w:lang w:eastAsia="fr-FR" w:bidi="ar-SA"/>
              </w:rPr>
              <w:lastRenderedPageBreak/>
              <w:t>1 500 – 2 000 MAD / panneau</w:t>
            </w:r>
          </w:p>
        </w:tc>
      </w:tr>
      <w:tr w:rsidR="00722638" w:rsidRPr="00D75525" w14:paraId="544A27EA" w14:textId="77777777" w:rsidTr="00065104">
        <w:tc>
          <w:tcPr>
            <w:cnfStyle w:val="001000000000" w:firstRow="0" w:lastRow="0" w:firstColumn="1" w:lastColumn="0" w:oddVBand="0" w:evenVBand="0" w:oddHBand="0" w:evenHBand="0" w:firstRowFirstColumn="0" w:firstRowLastColumn="0" w:lastRowFirstColumn="0" w:lastRowLastColumn="0"/>
            <w:tcW w:w="0" w:type="auto"/>
            <w:vMerge/>
            <w:hideMark/>
          </w:tcPr>
          <w:p w14:paraId="03B52BDF" w14:textId="77777777" w:rsidR="006D1412" w:rsidRPr="00AA22F2" w:rsidRDefault="006D1412" w:rsidP="006D1412">
            <w:pPr>
              <w:rPr>
                <w:szCs w:val="20"/>
                <w:lang w:eastAsia="fr-FR" w:bidi="ar-SA"/>
              </w:rPr>
            </w:pPr>
          </w:p>
        </w:tc>
        <w:tc>
          <w:tcPr>
            <w:tcW w:w="0" w:type="auto"/>
            <w:hideMark/>
          </w:tcPr>
          <w:p w14:paraId="5860C8A7" w14:textId="77777777" w:rsidR="006D1412" w:rsidRPr="00AA22F2" w:rsidRDefault="006D1412" w:rsidP="006D1412">
            <w:pPr>
              <w:cnfStyle w:val="000000000000" w:firstRow="0" w:lastRow="0" w:firstColumn="0" w:lastColumn="0" w:oddVBand="0" w:evenVBand="0" w:oddHBand="0" w:evenHBand="0" w:firstRowFirstColumn="0" w:firstRowLastColumn="0" w:lastRowFirstColumn="0" w:lastRowLastColumn="0"/>
              <w:rPr>
                <w:szCs w:val="20"/>
                <w:lang w:eastAsia="fr-FR" w:bidi="ar-SA"/>
              </w:rPr>
            </w:pPr>
            <w:r w:rsidRPr="00AA22F2">
              <w:rPr>
                <w:b/>
                <w:bCs/>
                <w:szCs w:val="20"/>
                <w:lang w:eastAsia="fr-FR" w:bidi="ar-SA"/>
              </w:rPr>
              <w:t>Réduire</w:t>
            </w:r>
          </w:p>
        </w:tc>
        <w:tc>
          <w:tcPr>
            <w:tcW w:w="0" w:type="auto"/>
            <w:hideMark/>
          </w:tcPr>
          <w:p w14:paraId="618FE037" w14:textId="77777777" w:rsidR="006D1412" w:rsidRPr="00AA22F2" w:rsidRDefault="006D1412" w:rsidP="006D1412">
            <w:pPr>
              <w:cnfStyle w:val="000000000000" w:firstRow="0" w:lastRow="0" w:firstColumn="0" w:lastColumn="0" w:oddVBand="0" w:evenVBand="0" w:oddHBand="0" w:evenHBand="0" w:firstRowFirstColumn="0" w:firstRowLastColumn="0" w:lastRowFirstColumn="0" w:lastRowLastColumn="0"/>
              <w:rPr>
                <w:szCs w:val="20"/>
                <w:lang w:eastAsia="fr-FR" w:bidi="ar-SA"/>
              </w:rPr>
            </w:pPr>
            <w:r w:rsidRPr="00AA22F2">
              <w:rPr>
                <w:szCs w:val="20"/>
                <w:lang w:eastAsia="fr-FR" w:bidi="ar-SA"/>
              </w:rPr>
              <w:t xml:space="preserve">Former tous les conducteurs et piétons à la coactivité ; vérifier chaque engin avant utilisation ; </w:t>
            </w:r>
          </w:p>
          <w:p w14:paraId="13FE82D1" w14:textId="6A951DAD" w:rsidR="006D1412" w:rsidRPr="00AA22F2" w:rsidRDefault="006D1412" w:rsidP="006D1412">
            <w:pPr>
              <w:cnfStyle w:val="000000000000" w:firstRow="0" w:lastRow="0" w:firstColumn="0" w:lastColumn="0" w:oddVBand="0" w:evenVBand="0" w:oddHBand="0" w:evenHBand="0" w:firstRowFirstColumn="0" w:firstRowLastColumn="0" w:lastRowFirstColumn="0" w:lastRowLastColumn="0"/>
              <w:rPr>
                <w:szCs w:val="20"/>
                <w:lang w:eastAsia="fr-FR" w:bidi="ar-SA"/>
              </w:rPr>
            </w:pPr>
            <w:r w:rsidRPr="00AA22F2">
              <w:rPr>
                <w:szCs w:val="20"/>
                <w:lang w:eastAsia="fr-FR" w:bidi="ar-SA"/>
              </w:rPr>
              <w:t>Imposer le port du gilet réfléchissant et du casque à tout moment.</w:t>
            </w:r>
          </w:p>
        </w:tc>
        <w:tc>
          <w:tcPr>
            <w:tcW w:w="0" w:type="auto"/>
            <w:hideMark/>
          </w:tcPr>
          <w:p w14:paraId="0D21B970" w14:textId="77777777" w:rsidR="006D1412" w:rsidRPr="00AA22F2" w:rsidRDefault="006D1412" w:rsidP="006D1412">
            <w:pPr>
              <w:cnfStyle w:val="000000000000" w:firstRow="0" w:lastRow="0" w:firstColumn="0" w:lastColumn="0" w:oddVBand="0" w:evenVBand="0" w:oddHBand="0" w:evenHBand="0" w:firstRowFirstColumn="0" w:firstRowLastColumn="0" w:lastRowFirstColumn="0" w:lastRowLastColumn="0"/>
              <w:rPr>
                <w:szCs w:val="20"/>
                <w:lang w:eastAsia="fr-FR" w:bidi="ar-SA"/>
              </w:rPr>
            </w:pPr>
            <w:r w:rsidRPr="00AA22F2">
              <w:rPr>
                <w:szCs w:val="20"/>
                <w:lang w:eastAsia="fr-FR" w:bidi="ar-SA"/>
              </w:rPr>
              <w:t xml:space="preserve">% du personnel formé </w:t>
            </w:r>
          </w:p>
          <w:p w14:paraId="25ED3EBB" w14:textId="526523F8" w:rsidR="006D1412" w:rsidRPr="00AA22F2" w:rsidRDefault="006D1412" w:rsidP="006D1412">
            <w:pPr>
              <w:cnfStyle w:val="000000000000" w:firstRow="0" w:lastRow="0" w:firstColumn="0" w:lastColumn="0" w:oddVBand="0" w:evenVBand="0" w:oddHBand="0" w:evenHBand="0" w:firstRowFirstColumn="0" w:firstRowLastColumn="0" w:lastRowFirstColumn="0" w:lastRowLastColumn="0"/>
              <w:rPr>
                <w:szCs w:val="20"/>
                <w:lang w:eastAsia="fr-FR" w:bidi="ar-SA"/>
              </w:rPr>
            </w:pPr>
            <w:r w:rsidRPr="00AA22F2">
              <w:rPr>
                <w:szCs w:val="20"/>
                <w:lang w:eastAsia="fr-FR" w:bidi="ar-SA"/>
              </w:rPr>
              <w:t>Nb de vérifications journalières</w:t>
            </w:r>
          </w:p>
        </w:tc>
        <w:tc>
          <w:tcPr>
            <w:tcW w:w="0" w:type="auto"/>
            <w:hideMark/>
          </w:tcPr>
          <w:p w14:paraId="198C4542" w14:textId="6F8DA5C8" w:rsidR="006D1412" w:rsidRPr="00AA22F2" w:rsidRDefault="006D1412" w:rsidP="006D1412">
            <w:pPr>
              <w:cnfStyle w:val="000000000000" w:firstRow="0" w:lastRow="0" w:firstColumn="0" w:lastColumn="0" w:oddVBand="0" w:evenVBand="0" w:oddHBand="0" w:evenHBand="0" w:firstRowFirstColumn="0" w:firstRowLastColumn="0" w:lastRowFirstColumn="0" w:lastRowLastColumn="0"/>
              <w:rPr>
                <w:szCs w:val="20"/>
                <w:lang w:eastAsia="fr-FR" w:bidi="ar-SA"/>
              </w:rPr>
            </w:pPr>
            <w:r w:rsidRPr="00AA22F2">
              <w:rPr>
                <w:szCs w:val="20"/>
                <w:lang w:eastAsia="fr-FR" w:bidi="ar-SA"/>
              </w:rPr>
              <w:t>EPC et sous-traitants</w:t>
            </w:r>
          </w:p>
        </w:tc>
        <w:tc>
          <w:tcPr>
            <w:tcW w:w="0" w:type="auto"/>
            <w:hideMark/>
          </w:tcPr>
          <w:p w14:paraId="3549A6BB" w14:textId="646FF172" w:rsidR="006D1412" w:rsidRPr="00AA22F2" w:rsidRDefault="006D1412" w:rsidP="006D1412">
            <w:pPr>
              <w:cnfStyle w:val="000000000000" w:firstRow="0" w:lastRow="0" w:firstColumn="0" w:lastColumn="0" w:oddVBand="0" w:evenVBand="0" w:oddHBand="0" w:evenHBand="0" w:firstRowFirstColumn="0" w:firstRowLastColumn="0" w:lastRowFirstColumn="0" w:lastRowLastColumn="0"/>
              <w:rPr>
                <w:szCs w:val="20"/>
                <w:lang w:eastAsia="fr-FR" w:bidi="ar-SA"/>
              </w:rPr>
            </w:pPr>
            <w:r w:rsidRPr="00BC1745">
              <w:rPr>
                <w:szCs w:val="20"/>
              </w:rPr>
              <w:t>Bureau de contrôle / Consultant de supervision mandaté par l’ONDA</w:t>
            </w:r>
          </w:p>
        </w:tc>
        <w:tc>
          <w:tcPr>
            <w:tcW w:w="0" w:type="auto"/>
            <w:hideMark/>
          </w:tcPr>
          <w:p w14:paraId="658E1EC9" w14:textId="0E311037" w:rsidR="006D1412" w:rsidRPr="00AA22F2" w:rsidRDefault="006D1412" w:rsidP="006D1412">
            <w:pPr>
              <w:cnfStyle w:val="000000000000" w:firstRow="0" w:lastRow="0" w:firstColumn="0" w:lastColumn="0" w:oddVBand="0" w:evenVBand="0" w:oddHBand="0" w:evenHBand="0" w:firstRowFirstColumn="0" w:firstRowLastColumn="0" w:lastRowFirstColumn="0" w:lastRowLastColumn="0"/>
              <w:rPr>
                <w:szCs w:val="20"/>
                <w:lang w:eastAsia="fr-FR" w:bidi="ar-SA"/>
              </w:rPr>
            </w:pPr>
            <w:r w:rsidRPr="00AA22F2">
              <w:rPr>
                <w:szCs w:val="20"/>
                <w:lang w:eastAsia="fr-FR" w:bidi="ar-SA"/>
              </w:rPr>
              <w:t>ONDA</w:t>
            </w:r>
          </w:p>
        </w:tc>
        <w:tc>
          <w:tcPr>
            <w:tcW w:w="0" w:type="auto"/>
            <w:hideMark/>
          </w:tcPr>
          <w:p w14:paraId="183FF078" w14:textId="77777777" w:rsidR="006D1412" w:rsidRPr="00AA22F2" w:rsidRDefault="006D1412" w:rsidP="006D1412">
            <w:pPr>
              <w:cnfStyle w:val="000000000000" w:firstRow="0" w:lastRow="0" w:firstColumn="0" w:lastColumn="0" w:oddVBand="0" w:evenVBand="0" w:oddHBand="0" w:evenHBand="0" w:firstRowFirstColumn="0" w:firstRowLastColumn="0" w:lastRowFirstColumn="0" w:lastRowLastColumn="0"/>
              <w:rPr>
                <w:szCs w:val="20"/>
                <w:lang w:eastAsia="fr-FR" w:bidi="ar-SA"/>
              </w:rPr>
            </w:pPr>
            <w:r w:rsidRPr="00AA22F2">
              <w:rPr>
                <w:szCs w:val="20"/>
                <w:lang w:eastAsia="fr-FR" w:bidi="ar-SA"/>
              </w:rPr>
              <w:t>Quotidien</w:t>
            </w:r>
          </w:p>
        </w:tc>
        <w:tc>
          <w:tcPr>
            <w:tcW w:w="0" w:type="auto"/>
            <w:hideMark/>
          </w:tcPr>
          <w:p w14:paraId="728F56DC" w14:textId="4DA8AA87" w:rsidR="006D1412" w:rsidRDefault="00466D42" w:rsidP="006D1412">
            <w:pPr>
              <w:cnfStyle w:val="000000000000" w:firstRow="0" w:lastRow="0" w:firstColumn="0" w:lastColumn="0" w:oddVBand="0" w:evenVBand="0" w:oddHBand="0" w:evenHBand="0" w:firstRowFirstColumn="0" w:firstRowLastColumn="0" w:lastRowFirstColumn="0" w:lastRowLastColumn="0"/>
              <w:rPr>
                <w:szCs w:val="20"/>
                <w:lang w:eastAsia="fr-FR" w:bidi="ar-SA"/>
              </w:rPr>
            </w:pPr>
            <w:r w:rsidRPr="00466D42">
              <w:rPr>
                <w:szCs w:val="20"/>
                <w:lang w:eastAsia="fr-FR" w:bidi="ar-SA"/>
              </w:rPr>
              <w:t>8 000 MAD / session</w:t>
            </w:r>
          </w:p>
          <w:p w14:paraId="38C9078C" w14:textId="77777777" w:rsidR="00466D42" w:rsidRDefault="00466D42" w:rsidP="006D1412">
            <w:pPr>
              <w:cnfStyle w:val="000000000000" w:firstRow="0" w:lastRow="0" w:firstColumn="0" w:lastColumn="0" w:oddVBand="0" w:evenVBand="0" w:oddHBand="0" w:evenHBand="0" w:firstRowFirstColumn="0" w:firstRowLastColumn="0" w:lastRowFirstColumn="0" w:lastRowLastColumn="0"/>
              <w:rPr>
                <w:szCs w:val="20"/>
                <w:lang w:eastAsia="fr-FR" w:bidi="ar-SA"/>
              </w:rPr>
            </w:pPr>
          </w:p>
          <w:p w14:paraId="058AE163" w14:textId="77777777" w:rsidR="00466D42" w:rsidRDefault="00466D42" w:rsidP="006D1412">
            <w:pPr>
              <w:cnfStyle w:val="000000000000" w:firstRow="0" w:lastRow="0" w:firstColumn="0" w:lastColumn="0" w:oddVBand="0" w:evenVBand="0" w:oddHBand="0" w:evenHBand="0" w:firstRowFirstColumn="0" w:firstRowLastColumn="0" w:lastRowFirstColumn="0" w:lastRowLastColumn="0"/>
              <w:rPr>
                <w:szCs w:val="20"/>
                <w:lang w:eastAsia="fr-FR" w:bidi="ar-SA"/>
              </w:rPr>
            </w:pPr>
          </w:p>
          <w:p w14:paraId="12D5F5F9" w14:textId="77777777" w:rsidR="00466D42" w:rsidRDefault="00466D42" w:rsidP="006D1412">
            <w:pPr>
              <w:cnfStyle w:val="000000000000" w:firstRow="0" w:lastRow="0" w:firstColumn="0" w:lastColumn="0" w:oddVBand="0" w:evenVBand="0" w:oddHBand="0" w:evenHBand="0" w:firstRowFirstColumn="0" w:firstRowLastColumn="0" w:lastRowFirstColumn="0" w:lastRowLastColumn="0"/>
              <w:rPr>
                <w:szCs w:val="20"/>
                <w:lang w:eastAsia="fr-FR" w:bidi="ar-SA"/>
              </w:rPr>
            </w:pPr>
          </w:p>
          <w:p w14:paraId="67F8F133" w14:textId="45F3086C" w:rsidR="00466D42" w:rsidRPr="00AA22F2" w:rsidRDefault="00466D42" w:rsidP="006D1412">
            <w:pPr>
              <w:cnfStyle w:val="000000000000" w:firstRow="0" w:lastRow="0" w:firstColumn="0" w:lastColumn="0" w:oddVBand="0" w:evenVBand="0" w:oddHBand="0" w:evenHBand="0" w:firstRowFirstColumn="0" w:firstRowLastColumn="0" w:lastRowFirstColumn="0" w:lastRowLastColumn="0"/>
              <w:rPr>
                <w:szCs w:val="20"/>
                <w:lang w:eastAsia="fr-FR" w:bidi="ar-SA"/>
              </w:rPr>
            </w:pPr>
            <w:r w:rsidRPr="00466D42">
              <w:rPr>
                <w:szCs w:val="20"/>
                <w:lang w:eastAsia="fr-FR" w:bidi="ar-SA"/>
              </w:rPr>
              <w:t xml:space="preserve">≈ 300 MAD / </w:t>
            </w:r>
            <w:r>
              <w:rPr>
                <w:szCs w:val="20"/>
                <w:lang w:eastAsia="fr-FR" w:bidi="ar-SA"/>
              </w:rPr>
              <w:t>gilet/</w:t>
            </w:r>
            <w:r w:rsidR="00E84F27">
              <w:rPr>
                <w:szCs w:val="20"/>
                <w:lang w:eastAsia="fr-FR" w:bidi="ar-SA"/>
              </w:rPr>
              <w:t>travailleur</w:t>
            </w:r>
          </w:p>
        </w:tc>
      </w:tr>
      <w:tr w:rsidR="00722638" w:rsidRPr="00D75525" w14:paraId="0107A5BD" w14:textId="77777777" w:rsidTr="00065104">
        <w:tc>
          <w:tcPr>
            <w:cnfStyle w:val="001000000000" w:firstRow="0" w:lastRow="0" w:firstColumn="1" w:lastColumn="0" w:oddVBand="0" w:evenVBand="0" w:oddHBand="0" w:evenHBand="0" w:firstRowFirstColumn="0" w:firstRowLastColumn="0" w:lastRowFirstColumn="0" w:lastRowLastColumn="0"/>
            <w:tcW w:w="0" w:type="auto"/>
            <w:vMerge/>
            <w:hideMark/>
          </w:tcPr>
          <w:p w14:paraId="3BEA158C" w14:textId="77777777" w:rsidR="006D1412" w:rsidRPr="00AA22F2" w:rsidRDefault="006D1412" w:rsidP="006D1412">
            <w:pPr>
              <w:rPr>
                <w:szCs w:val="20"/>
                <w:lang w:eastAsia="fr-FR" w:bidi="ar-SA"/>
              </w:rPr>
            </w:pPr>
          </w:p>
        </w:tc>
        <w:tc>
          <w:tcPr>
            <w:tcW w:w="0" w:type="auto"/>
            <w:hideMark/>
          </w:tcPr>
          <w:p w14:paraId="1E497806" w14:textId="77777777" w:rsidR="006D1412" w:rsidRPr="00AA22F2" w:rsidRDefault="006D1412" w:rsidP="006D1412">
            <w:pPr>
              <w:cnfStyle w:val="000000000000" w:firstRow="0" w:lastRow="0" w:firstColumn="0" w:lastColumn="0" w:oddVBand="0" w:evenVBand="0" w:oddHBand="0" w:evenHBand="0" w:firstRowFirstColumn="0" w:firstRowLastColumn="0" w:lastRowFirstColumn="0" w:lastRowLastColumn="0"/>
              <w:rPr>
                <w:szCs w:val="20"/>
                <w:lang w:eastAsia="fr-FR" w:bidi="ar-SA"/>
              </w:rPr>
            </w:pPr>
            <w:r w:rsidRPr="00AA22F2">
              <w:rPr>
                <w:b/>
                <w:bCs/>
                <w:szCs w:val="20"/>
                <w:lang w:eastAsia="fr-FR" w:bidi="ar-SA"/>
              </w:rPr>
              <w:t>Atténuer</w:t>
            </w:r>
          </w:p>
        </w:tc>
        <w:tc>
          <w:tcPr>
            <w:tcW w:w="0" w:type="auto"/>
            <w:hideMark/>
          </w:tcPr>
          <w:p w14:paraId="702C3B1B" w14:textId="77777777" w:rsidR="006D1412" w:rsidRPr="00AA22F2" w:rsidRDefault="006D1412" w:rsidP="006D1412">
            <w:pPr>
              <w:cnfStyle w:val="000000000000" w:firstRow="0" w:lastRow="0" w:firstColumn="0" w:lastColumn="0" w:oddVBand="0" w:evenVBand="0" w:oddHBand="0" w:evenHBand="0" w:firstRowFirstColumn="0" w:firstRowLastColumn="0" w:lastRowFirstColumn="0" w:lastRowLastColumn="0"/>
              <w:rPr>
                <w:szCs w:val="20"/>
                <w:lang w:eastAsia="fr-FR" w:bidi="ar-SA"/>
              </w:rPr>
            </w:pPr>
            <w:r w:rsidRPr="00AA22F2">
              <w:rPr>
                <w:szCs w:val="20"/>
                <w:lang w:eastAsia="fr-FR" w:bidi="ar-SA"/>
              </w:rPr>
              <w:t xml:space="preserve">Positionner des signaleurs sur les zones critiques ; </w:t>
            </w:r>
          </w:p>
          <w:p w14:paraId="459A2D51" w14:textId="77777777" w:rsidR="00E84F27" w:rsidRDefault="006D1412" w:rsidP="006D1412">
            <w:pPr>
              <w:cnfStyle w:val="000000000000" w:firstRow="0" w:lastRow="0" w:firstColumn="0" w:lastColumn="0" w:oddVBand="0" w:evenVBand="0" w:oddHBand="0" w:evenHBand="0" w:firstRowFirstColumn="0" w:firstRowLastColumn="0" w:lastRowFirstColumn="0" w:lastRowLastColumn="0"/>
              <w:rPr>
                <w:szCs w:val="20"/>
                <w:lang w:eastAsia="fr-FR" w:bidi="ar-SA"/>
              </w:rPr>
            </w:pPr>
            <w:r w:rsidRPr="00AA22F2">
              <w:rPr>
                <w:szCs w:val="20"/>
                <w:lang w:eastAsia="fr-FR" w:bidi="ar-SA"/>
              </w:rPr>
              <w:t xml:space="preserve">Installer des alarmes de recul et gyrophares sur tous les engins ; </w:t>
            </w:r>
          </w:p>
          <w:p w14:paraId="038E41B2" w14:textId="5AA2CDAA" w:rsidR="006D1412" w:rsidRPr="00AA22F2" w:rsidRDefault="00E84F27" w:rsidP="006D1412">
            <w:pPr>
              <w:cnfStyle w:val="000000000000" w:firstRow="0" w:lastRow="0" w:firstColumn="0" w:lastColumn="0" w:oddVBand="0" w:evenVBand="0" w:oddHBand="0" w:evenHBand="0" w:firstRowFirstColumn="0" w:firstRowLastColumn="0" w:lastRowFirstColumn="0" w:lastRowLastColumn="0"/>
              <w:rPr>
                <w:szCs w:val="20"/>
                <w:lang w:eastAsia="fr-FR" w:bidi="ar-SA"/>
              </w:rPr>
            </w:pPr>
            <w:r>
              <w:rPr>
                <w:szCs w:val="20"/>
                <w:lang w:eastAsia="fr-FR" w:bidi="ar-SA"/>
              </w:rPr>
              <w:t>P</w:t>
            </w:r>
            <w:r w:rsidR="006D1412" w:rsidRPr="00AA22F2">
              <w:rPr>
                <w:szCs w:val="20"/>
                <w:lang w:eastAsia="fr-FR" w:bidi="ar-SA"/>
              </w:rPr>
              <w:t>révoir un poste de secours mobile.</w:t>
            </w:r>
          </w:p>
        </w:tc>
        <w:tc>
          <w:tcPr>
            <w:tcW w:w="0" w:type="auto"/>
            <w:hideMark/>
          </w:tcPr>
          <w:p w14:paraId="6BFB4602" w14:textId="77777777" w:rsidR="006D1412" w:rsidRPr="00AA22F2" w:rsidRDefault="006D1412" w:rsidP="006D1412">
            <w:pPr>
              <w:cnfStyle w:val="000000000000" w:firstRow="0" w:lastRow="0" w:firstColumn="0" w:lastColumn="0" w:oddVBand="0" w:evenVBand="0" w:oddHBand="0" w:evenHBand="0" w:firstRowFirstColumn="0" w:firstRowLastColumn="0" w:lastRowFirstColumn="0" w:lastRowLastColumn="0"/>
              <w:rPr>
                <w:szCs w:val="20"/>
                <w:lang w:eastAsia="fr-FR" w:bidi="ar-SA"/>
              </w:rPr>
            </w:pPr>
            <w:r w:rsidRPr="00AA22F2">
              <w:rPr>
                <w:szCs w:val="20"/>
                <w:lang w:eastAsia="fr-FR" w:bidi="ar-SA"/>
              </w:rPr>
              <w:t xml:space="preserve">Nb de signaleurs / Nb d’alarmes installées </w:t>
            </w:r>
          </w:p>
          <w:p w14:paraId="037AF008" w14:textId="07A1F9DD" w:rsidR="006D1412" w:rsidRPr="00AA22F2" w:rsidRDefault="006D1412" w:rsidP="006D1412">
            <w:pPr>
              <w:cnfStyle w:val="000000000000" w:firstRow="0" w:lastRow="0" w:firstColumn="0" w:lastColumn="0" w:oddVBand="0" w:evenVBand="0" w:oddHBand="0" w:evenHBand="0" w:firstRowFirstColumn="0" w:firstRowLastColumn="0" w:lastRowFirstColumn="0" w:lastRowLastColumn="0"/>
              <w:rPr>
                <w:szCs w:val="20"/>
                <w:lang w:eastAsia="fr-FR" w:bidi="ar-SA"/>
              </w:rPr>
            </w:pPr>
            <w:r w:rsidRPr="00AA22F2">
              <w:rPr>
                <w:szCs w:val="20"/>
                <w:lang w:eastAsia="fr-FR" w:bidi="ar-SA"/>
              </w:rPr>
              <w:t>Délai d’intervention</w:t>
            </w:r>
          </w:p>
        </w:tc>
        <w:tc>
          <w:tcPr>
            <w:tcW w:w="0" w:type="auto"/>
            <w:hideMark/>
          </w:tcPr>
          <w:p w14:paraId="1E571662" w14:textId="36918B05" w:rsidR="006D1412" w:rsidRPr="00AA22F2" w:rsidRDefault="006D1412" w:rsidP="006D1412">
            <w:pPr>
              <w:cnfStyle w:val="000000000000" w:firstRow="0" w:lastRow="0" w:firstColumn="0" w:lastColumn="0" w:oddVBand="0" w:evenVBand="0" w:oddHBand="0" w:evenHBand="0" w:firstRowFirstColumn="0" w:firstRowLastColumn="0" w:lastRowFirstColumn="0" w:lastRowLastColumn="0"/>
              <w:rPr>
                <w:szCs w:val="20"/>
                <w:lang w:eastAsia="fr-FR" w:bidi="ar-SA"/>
              </w:rPr>
            </w:pPr>
            <w:r w:rsidRPr="00AA22F2">
              <w:rPr>
                <w:szCs w:val="20"/>
                <w:lang w:eastAsia="fr-FR" w:bidi="ar-SA"/>
              </w:rPr>
              <w:t>EPC et sous-traitants</w:t>
            </w:r>
          </w:p>
        </w:tc>
        <w:tc>
          <w:tcPr>
            <w:tcW w:w="0" w:type="auto"/>
            <w:hideMark/>
          </w:tcPr>
          <w:p w14:paraId="0E027F47" w14:textId="4AA7827F" w:rsidR="006D1412" w:rsidRPr="00AA22F2" w:rsidRDefault="006D1412" w:rsidP="006D1412">
            <w:pPr>
              <w:cnfStyle w:val="000000000000" w:firstRow="0" w:lastRow="0" w:firstColumn="0" w:lastColumn="0" w:oddVBand="0" w:evenVBand="0" w:oddHBand="0" w:evenHBand="0" w:firstRowFirstColumn="0" w:firstRowLastColumn="0" w:lastRowFirstColumn="0" w:lastRowLastColumn="0"/>
              <w:rPr>
                <w:szCs w:val="20"/>
                <w:lang w:eastAsia="fr-FR" w:bidi="ar-SA"/>
              </w:rPr>
            </w:pPr>
            <w:r w:rsidRPr="00BC1745">
              <w:rPr>
                <w:szCs w:val="20"/>
              </w:rPr>
              <w:t>Bureau de contrôle / Consultant de supervision mandaté par l’ONDA</w:t>
            </w:r>
          </w:p>
        </w:tc>
        <w:tc>
          <w:tcPr>
            <w:tcW w:w="0" w:type="auto"/>
            <w:hideMark/>
          </w:tcPr>
          <w:p w14:paraId="10D979D3" w14:textId="5E78CD46" w:rsidR="006D1412" w:rsidRPr="00AA22F2" w:rsidRDefault="006D1412" w:rsidP="006D1412">
            <w:pPr>
              <w:cnfStyle w:val="000000000000" w:firstRow="0" w:lastRow="0" w:firstColumn="0" w:lastColumn="0" w:oddVBand="0" w:evenVBand="0" w:oddHBand="0" w:evenHBand="0" w:firstRowFirstColumn="0" w:firstRowLastColumn="0" w:lastRowFirstColumn="0" w:lastRowLastColumn="0"/>
              <w:rPr>
                <w:szCs w:val="20"/>
                <w:lang w:eastAsia="fr-FR" w:bidi="ar-SA"/>
              </w:rPr>
            </w:pPr>
            <w:r w:rsidRPr="00AA22F2">
              <w:rPr>
                <w:szCs w:val="20"/>
                <w:lang w:eastAsia="fr-FR" w:bidi="ar-SA"/>
              </w:rPr>
              <w:t>ONDA</w:t>
            </w:r>
          </w:p>
        </w:tc>
        <w:tc>
          <w:tcPr>
            <w:tcW w:w="0" w:type="auto"/>
            <w:hideMark/>
          </w:tcPr>
          <w:p w14:paraId="02233B85" w14:textId="77777777" w:rsidR="006D1412" w:rsidRPr="00AA22F2" w:rsidRDefault="006D1412" w:rsidP="006D1412">
            <w:pPr>
              <w:cnfStyle w:val="000000000000" w:firstRow="0" w:lastRow="0" w:firstColumn="0" w:lastColumn="0" w:oddVBand="0" w:evenVBand="0" w:oddHBand="0" w:evenHBand="0" w:firstRowFirstColumn="0" w:firstRowLastColumn="0" w:lastRowFirstColumn="0" w:lastRowLastColumn="0"/>
              <w:rPr>
                <w:szCs w:val="20"/>
                <w:lang w:eastAsia="fr-FR" w:bidi="ar-SA"/>
              </w:rPr>
            </w:pPr>
            <w:r w:rsidRPr="00AA22F2">
              <w:rPr>
                <w:szCs w:val="20"/>
                <w:lang w:eastAsia="fr-FR" w:bidi="ar-SA"/>
              </w:rPr>
              <w:t>En continu</w:t>
            </w:r>
          </w:p>
        </w:tc>
        <w:tc>
          <w:tcPr>
            <w:tcW w:w="0" w:type="auto"/>
            <w:hideMark/>
          </w:tcPr>
          <w:p w14:paraId="504A500D" w14:textId="32B8E925" w:rsidR="006D1412" w:rsidRDefault="00E84F27" w:rsidP="006D1412">
            <w:pPr>
              <w:cnfStyle w:val="000000000000" w:firstRow="0" w:lastRow="0" w:firstColumn="0" w:lastColumn="0" w:oddVBand="0" w:evenVBand="0" w:oddHBand="0" w:evenHBand="0" w:firstRowFirstColumn="0" w:firstRowLastColumn="0" w:lastRowFirstColumn="0" w:lastRowLastColumn="0"/>
              <w:rPr>
                <w:szCs w:val="20"/>
                <w:lang w:eastAsia="fr-FR" w:bidi="ar-SA"/>
              </w:rPr>
            </w:pPr>
            <w:r w:rsidRPr="00E84F27">
              <w:rPr>
                <w:szCs w:val="20"/>
                <w:lang w:eastAsia="fr-FR" w:bidi="ar-SA"/>
              </w:rPr>
              <w:t>4 000 MAD / mois / signaleur</w:t>
            </w:r>
          </w:p>
          <w:p w14:paraId="6E1DC3A8" w14:textId="77777777" w:rsidR="00E84F27" w:rsidRDefault="00E84F27" w:rsidP="006D1412">
            <w:pPr>
              <w:cnfStyle w:val="000000000000" w:firstRow="0" w:lastRow="0" w:firstColumn="0" w:lastColumn="0" w:oddVBand="0" w:evenVBand="0" w:oddHBand="0" w:evenHBand="0" w:firstRowFirstColumn="0" w:firstRowLastColumn="0" w:lastRowFirstColumn="0" w:lastRowLastColumn="0"/>
              <w:rPr>
                <w:szCs w:val="20"/>
                <w:lang w:eastAsia="fr-FR" w:bidi="ar-SA"/>
              </w:rPr>
            </w:pPr>
          </w:p>
          <w:p w14:paraId="519EBD63" w14:textId="77777777" w:rsidR="00E84F27" w:rsidRDefault="00E84F27" w:rsidP="006D1412">
            <w:pPr>
              <w:cnfStyle w:val="000000000000" w:firstRow="0" w:lastRow="0" w:firstColumn="0" w:lastColumn="0" w:oddVBand="0" w:evenVBand="0" w:oddHBand="0" w:evenHBand="0" w:firstRowFirstColumn="0" w:firstRowLastColumn="0" w:lastRowFirstColumn="0" w:lastRowLastColumn="0"/>
              <w:rPr>
                <w:szCs w:val="20"/>
                <w:lang w:eastAsia="fr-FR" w:bidi="ar-SA"/>
              </w:rPr>
            </w:pPr>
          </w:p>
          <w:p w14:paraId="18ED76FA" w14:textId="77777777" w:rsidR="00E84F27" w:rsidRDefault="00E84F27" w:rsidP="006D1412">
            <w:pPr>
              <w:cnfStyle w:val="000000000000" w:firstRow="0" w:lastRow="0" w:firstColumn="0" w:lastColumn="0" w:oddVBand="0" w:evenVBand="0" w:oddHBand="0" w:evenHBand="0" w:firstRowFirstColumn="0" w:firstRowLastColumn="0" w:lastRowFirstColumn="0" w:lastRowLastColumn="0"/>
              <w:rPr>
                <w:szCs w:val="20"/>
                <w:lang w:eastAsia="fr-FR" w:bidi="ar-SA"/>
              </w:rPr>
            </w:pPr>
            <w:r w:rsidRPr="00E84F27">
              <w:rPr>
                <w:szCs w:val="20"/>
                <w:lang w:eastAsia="fr-FR" w:bidi="ar-SA"/>
              </w:rPr>
              <w:t>1 500 – 2 000 MAD / engin</w:t>
            </w:r>
          </w:p>
          <w:p w14:paraId="2F00680C" w14:textId="77777777" w:rsidR="00E84F27" w:rsidRDefault="00E84F27" w:rsidP="006D1412">
            <w:pPr>
              <w:cnfStyle w:val="000000000000" w:firstRow="0" w:lastRow="0" w:firstColumn="0" w:lastColumn="0" w:oddVBand="0" w:evenVBand="0" w:oddHBand="0" w:evenHBand="0" w:firstRowFirstColumn="0" w:firstRowLastColumn="0" w:lastRowFirstColumn="0" w:lastRowLastColumn="0"/>
              <w:rPr>
                <w:szCs w:val="20"/>
                <w:lang w:eastAsia="fr-FR" w:bidi="ar-SA"/>
              </w:rPr>
            </w:pPr>
          </w:p>
          <w:p w14:paraId="1CAF02B5" w14:textId="299174B0" w:rsidR="00E84F27" w:rsidRPr="00AA22F2" w:rsidRDefault="00E84F27" w:rsidP="006D1412">
            <w:pPr>
              <w:cnfStyle w:val="000000000000" w:firstRow="0" w:lastRow="0" w:firstColumn="0" w:lastColumn="0" w:oddVBand="0" w:evenVBand="0" w:oddHBand="0" w:evenHBand="0" w:firstRowFirstColumn="0" w:firstRowLastColumn="0" w:lastRowFirstColumn="0" w:lastRowLastColumn="0"/>
              <w:rPr>
                <w:szCs w:val="20"/>
                <w:lang w:eastAsia="fr-FR" w:bidi="ar-SA"/>
              </w:rPr>
            </w:pPr>
            <w:r w:rsidRPr="00E84F27">
              <w:rPr>
                <w:szCs w:val="20"/>
                <w:lang w:eastAsia="fr-FR" w:bidi="ar-SA"/>
              </w:rPr>
              <w:t>25 000 MAD (équipement initial)</w:t>
            </w:r>
            <w:r>
              <w:rPr>
                <w:szCs w:val="20"/>
                <w:lang w:eastAsia="fr-FR" w:bidi="ar-SA"/>
              </w:rPr>
              <w:t xml:space="preserve"> (</w:t>
            </w:r>
            <w:r w:rsidRPr="00E84F27">
              <w:rPr>
                <w:szCs w:val="20"/>
                <w:lang w:eastAsia="fr-FR" w:bidi="ar-SA"/>
              </w:rPr>
              <w:t xml:space="preserve">Comprend trousse complète de premiers secours, brancard, extincteur, </w:t>
            </w:r>
            <w:r w:rsidRPr="00E84F27">
              <w:rPr>
                <w:szCs w:val="20"/>
                <w:lang w:eastAsia="fr-FR" w:bidi="ar-SA"/>
              </w:rPr>
              <w:lastRenderedPageBreak/>
              <w:t>armoire HSE et tentes pliables</w:t>
            </w:r>
            <w:r>
              <w:rPr>
                <w:szCs w:val="20"/>
                <w:lang w:eastAsia="fr-FR" w:bidi="ar-SA"/>
              </w:rPr>
              <w:t>)</w:t>
            </w:r>
          </w:p>
        </w:tc>
      </w:tr>
      <w:tr w:rsidR="00722638" w:rsidRPr="00D75525" w14:paraId="75197F87" w14:textId="77777777" w:rsidTr="00065104">
        <w:tc>
          <w:tcPr>
            <w:cnfStyle w:val="001000000000" w:firstRow="0" w:lastRow="0" w:firstColumn="1" w:lastColumn="0" w:oddVBand="0" w:evenVBand="0" w:oddHBand="0" w:evenHBand="0" w:firstRowFirstColumn="0" w:firstRowLastColumn="0" w:lastRowFirstColumn="0" w:lastRowLastColumn="0"/>
            <w:tcW w:w="0" w:type="auto"/>
            <w:vMerge/>
            <w:hideMark/>
          </w:tcPr>
          <w:p w14:paraId="1D6DEED2" w14:textId="77777777" w:rsidR="006D1412" w:rsidRPr="00AA22F2" w:rsidRDefault="006D1412" w:rsidP="006D1412">
            <w:pPr>
              <w:rPr>
                <w:szCs w:val="20"/>
                <w:lang w:eastAsia="fr-FR" w:bidi="ar-SA"/>
              </w:rPr>
            </w:pPr>
          </w:p>
        </w:tc>
        <w:tc>
          <w:tcPr>
            <w:tcW w:w="0" w:type="auto"/>
            <w:hideMark/>
          </w:tcPr>
          <w:p w14:paraId="1D6FB9BF" w14:textId="77777777" w:rsidR="006D1412" w:rsidRPr="00AA22F2" w:rsidRDefault="006D1412" w:rsidP="006D1412">
            <w:pPr>
              <w:cnfStyle w:val="000000000000" w:firstRow="0" w:lastRow="0" w:firstColumn="0" w:lastColumn="0" w:oddVBand="0" w:evenVBand="0" w:oddHBand="0" w:evenHBand="0" w:firstRowFirstColumn="0" w:firstRowLastColumn="0" w:lastRowFirstColumn="0" w:lastRowLastColumn="0"/>
              <w:rPr>
                <w:szCs w:val="20"/>
                <w:lang w:eastAsia="fr-FR" w:bidi="ar-SA"/>
              </w:rPr>
            </w:pPr>
            <w:r w:rsidRPr="00AA22F2">
              <w:rPr>
                <w:b/>
                <w:bCs/>
                <w:szCs w:val="20"/>
                <w:lang w:eastAsia="fr-FR" w:bidi="ar-SA"/>
              </w:rPr>
              <w:t>Compenser</w:t>
            </w:r>
          </w:p>
        </w:tc>
        <w:tc>
          <w:tcPr>
            <w:tcW w:w="0" w:type="auto"/>
            <w:hideMark/>
          </w:tcPr>
          <w:p w14:paraId="16894BA3" w14:textId="77777777" w:rsidR="006D1412" w:rsidRPr="00AA22F2" w:rsidRDefault="006D1412" w:rsidP="006D1412">
            <w:pPr>
              <w:cnfStyle w:val="000000000000" w:firstRow="0" w:lastRow="0" w:firstColumn="0" w:lastColumn="0" w:oddVBand="0" w:evenVBand="0" w:oddHBand="0" w:evenHBand="0" w:firstRowFirstColumn="0" w:firstRowLastColumn="0" w:lastRowFirstColumn="0" w:lastRowLastColumn="0"/>
              <w:rPr>
                <w:szCs w:val="20"/>
                <w:lang w:eastAsia="fr-FR" w:bidi="ar-SA"/>
              </w:rPr>
            </w:pPr>
            <w:r w:rsidRPr="00AA22F2">
              <w:rPr>
                <w:szCs w:val="20"/>
                <w:lang w:eastAsia="fr-FR" w:bidi="ar-SA"/>
              </w:rPr>
              <w:t xml:space="preserve">Documenter tout accident et organiser un retour d’expérience ; </w:t>
            </w:r>
          </w:p>
          <w:p w14:paraId="62358FFE" w14:textId="040031F6" w:rsidR="006D1412" w:rsidRPr="00AA22F2" w:rsidRDefault="006D1412" w:rsidP="006D1412">
            <w:pPr>
              <w:cnfStyle w:val="000000000000" w:firstRow="0" w:lastRow="0" w:firstColumn="0" w:lastColumn="0" w:oddVBand="0" w:evenVBand="0" w:oddHBand="0" w:evenHBand="0" w:firstRowFirstColumn="0" w:firstRowLastColumn="0" w:lastRowFirstColumn="0" w:lastRowLastColumn="0"/>
              <w:rPr>
                <w:szCs w:val="20"/>
                <w:lang w:eastAsia="fr-FR" w:bidi="ar-SA"/>
              </w:rPr>
            </w:pPr>
            <w:r w:rsidRPr="00AA22F2">
              <w:rPr>
                <w:szCs w:val="20"/>
                <w:lang w:eastAsia="fr-FR" w:bidi="ar-SA"/>
              </w:rPr>
              <w:t>Indemniser les victimes conformément à la législation marocaine.</w:t>
            </w:r>
          </w:p>
        </w:tc>
        <w:tc>
          <w:tcPr>
            <w:tcW w:w="0" w:type="auto"/>
            <w:hideMark/>
          </w:tcPr>
          <w:p w14:paraId="3A868214" w14:textId="77777777" w:rsidR="006D1412" w:rsidRPr="00AA22F2" w:rsidRDefault="006D1412" w:rsidP="006D1412">
            <w:pPr>
              <w:cnfStyle w:val="000000000000" w:firstRow="0" w:lastRow="0" w:firstColumn="0" w:lastColumn="0" w:oddVBand="0" w:evenVBand="0" w:oddHBand="0" w:evenHBand="0" w:firstRowFirstColumn="0" w:firstRowLastColumn="0" w:lastRowFirstColumn="0" w:lastRowLastColumn="0"/>
              <w:rPr>
                <w:szCs w:val="20"/>
                <w:lang w:eastAsia="fr-FR" w:bidi="ar-SA"/>
              </w:rPr>
            </w:pPr>
            <w:r w:rsidRPr="00AA22F2">
              <w:rPr>
                <w:szCs w:val="20"/>
                <w:lang w:eastAsia="fr-FR" w:bidi="ar-SA"/>
              </w:rPr>
              <w:t xml:space="preserve">Nb de rapports </w:t>
            </w:r>
          </w:p>
          <w:p w14:paraId="3BE1DCED" w14:textId="7377DF28" w:rsidR="006D1412" w:rsidRPr="00AA22F2" w:rsidRDefault="006D1412" w:rsidP="006D1412">
            <w:pPr>
              <w:cnfStyle w:val="000000000000" w:firstRow="0" w:lastRow="0" w:firstColumn="0" w:lastColumn="0" w:oddVBand="0" w:evenVBand="0" w:oddHBand="0" w:evenHBand="0" w:firstRowFirstColumn="0" w:firstRowLastColumn="0" w:lastRowFirstColumn="0" w:lastRowLastColumn="0"/>
              <w:rPr>
                <w:szCs w:val="20"/>
                <w:lang w:eastAsia="fr-FR" w:bidi="ar-SA"/>
              </w:rPr>
            </w:pPr>
            <w:r w:rsidRPr="00AA22F2">
              <w:rPr>
                <w:szCs w:val="20"/>
                <w:lang w:eastAsia="fr-FR" w:bidi="ar-SA"/>
              </w:rPr>
              <w:t>Délai de compensation</w:t>
            </w:r>
          </w:p>
        </w:tc>
        <w:tc>
          <w:tcPr>
            <w:tcW w:w="0" w:type="auto"/>
            <w:hideMark/>
          </w:tcPr>
          <w:p w14:paraId="62E54391" w14:textId="7625F5FD" w:rsidR="006D1412" w:rsidRPr="00AA22F2" w:rsidRDefault="006D1412" w:rsidP="006D1412">
            <w:pPr>
              <w:cnfStyle w:val="000000000000" w:firstRow="0" w:lastRow="0" w:firstColumn="0" w:lastColumn="0" w:oddVBand="0" w:evenVBand="0" w:oddHBand="0" w:evenHBand="0" w:firstRowFirstColumn="0" w:firstRowLastColumn="0" w:lastRowFirstColumn="0" w:lastRowLastColumn="0"/>
              <w:rPr>
                <w:szCs w:val="20"/>
                <w:lang w:eastAsia="fr-FR" w:bidi="ar-SA"/>
              </w:rPr>
            </w:pPr>
            <w:r w:rsidRPr="00AA22F2">
              <w:rPr>
                <w:szCs w:val="20"/>
                <w:lang w:eastAsia="fr-FR" w:bidi="ar-SA"/>
              </w:rPr>
              <w:t>EPC et sous-traitants</w:t>
            </w:r>
          </w:p>
        </w:tc>
        <w:tc>
          <w:tcPr>
            <w:tcW w:w="0" w:type="auto"/>
            <w:hideMark/>
          </w:tcPr>
          <w:p w14:paraId="105DF8DB" w14:textId="6AEF3E27" w:rsidR="006D1412" w:rsidRPr="00AA22F2" w:rsidRDefault="006D1412" w:rsidP="006D1412">
            <w:pPr>
              <w:cnfStyle w:val="000000000000" w:firstRow="0" w:lastRow="0" w:firstColumn="0" w:lastColumn="0" w:oddVBand="0" w:evenVBand="0" w:oddHBand="0" w:evenHBand="0" w:firstRowFirstColumn="0" w:firstRowLastColumn="0" w:lastRowFirstColumn="0" w:lastRowLastColumn="0"/>
              <w:rPr>
                <w:szCs w:val="20"/>
                <w:lang w:eastAsia="fr-FR" w:bidi="ar-SA"/>
              </w:rPr>
            </w:pPr>
            <w:r w:rsidRPr="00BC1745">
              <w:rPr>
                <w:szCs w:val="20"/>
              </w:rPr>
              <w:t>Bureau de contrôle / Consultant de supervision mandaté par l’ONDA</w:t>
            </w:r>
          </w:p>
        </w:tc>
        <w:tc>
          <w:tcPr>
            <w:tcW w:w="0" w:type="auto"/>
            <w:hideMark/>
          </w:tcPr>
          <w:p w14:paraId="0020A19C" w14:textId="39BBEC95" w:rsidR="006D1412" w:rsidRPr="00AA22F2" w:rsidRDefault="006D1412" w:rsidP="006D1412">
            <w:pPr>
              <w:cnfStyle w:val="000000000000" w:firstRow="0" w:lastRow="0" w:firstColumn="0" w:lastColumn="0" w:oddVBand="0" w:evenVBand="0" w:oddHBand="0" w:evenHBand="0" w:firstRowFirstColumn="0" w:firstRowLastColumn="0" w:lastRowFirstColumn="0" w:lastRowLastColumn="0"/>
              <w:rPr>
                <w:szCs w:val="20"/>
                <w:lang w:eastAsia="fr-FR" w:bidi="ar-SA"/>
              </w:rPr>
            </w:pPr>
            <w:r w:rsidRPr="00AA22F2">
              <w:rPr>
                <w:szCs w:val="20"/>
                <w:lang w:eastAsia="fr-FR" w:bidi="ar-SA"/>
              </w:rPr>
              <w:t>ONDA</w:t>
            </w:r>
          </w:p>
        </w:tc>
        <w:tc>
          <w:tcPr>
            <w:tcW w:w="0" w:type="auto"/>
            <w:hideMark/>
          </w:tcPr>
          <w:p w14:paraId="7EE48C0D" w14:textId="77777777" w:rsidR="006D1412" w:rsidRPr="00AA22F2" w:rsidRDefault="006D1412" w:rsidP="006D1412">
            <w:pPr>
              <w:cnfStyle w:val="000000000000" w:firstRow="0" w:lastRow="0" w:firstColumn="0" w:lastColumn="0" w:oddVBand="0" w:evenVBand="0" w:oddHBand="0" w:evenHBand="0" w:firstRowFirstColumn="0" w:firstRowLastColumn="0" w:lastRowFirstColumn="0" w:lastRowLastColumn="0"/>
              <w:rPr>
                <w:szCs w:val="20"/>
                <w:lang w:eastAsia="fr-FR" w:bidi="ar-SA"/>
              </w:rPr>
            </w:pPr>
            <w:r w:rsidRPr="00AA22F2">
              <w:rPr>
                <w:szCs w:val="20"/>
                <w:lang w:eastAsia="fr-FR" w:bidi="ar-SA"/>
              </w:rPr>
              <w:t>Après chaque incident</w:t>
            </w:r>
          </w:p>
        </w:tc>
        <w:tc>
          <w:tcPr>
            <w:tcW w:w="0" w:type="auto"/>
            <w:hideMark/>
          </w:tcPr>
          <w:p w14:paraId="20DDB946" w14:textId="7AD509FA" w:rsidR="006D1412" w:rsidRPr="00AA22F2" w:rsidRDefault="00E84F27" w:rsidP="006D1412">
            <w:pPr>
              <w:cnfStyle w:val="000000000000" w:firstRow="0" w:lastRow="0" w:firstColumn="0" w:lastColumn="0" w:oddVBand="0" w:evenVBand="0" w:oddHBand="0" w:evenHBand="0" w:firstRowFirstColumn="0" w:firstRowLastColumn="0" w:lastRowFirstColumn="0" w:lastRowLastColumn="0"/>
              <w:rPr>
                <w:szCs w:val="20"/>
                <w:lang w:eastAsia="fr-FR" w:bidi="ar-SA"/>
              </w:rPr>
            </w:pPr>
            <w:r>
              <w:rPr>
                <w:szCs w:val="20"/>
                <w:lang w:eastAsia="fr-FR" w:bidi="ar-SA"/>
              </w:rPr>
              <w:t>Aucun coût spécifique</w:t>
            </w:r>
          </w:p>
        </w:tc>
      </w:tr>
      <w:tr w:rsidR="00722638" w:rsidRPr="00D75525" w14:paraId="04EB2035" w14:textId="77777777" w:rsidTr="00065104">
        <w:tc>
          <w:tcPr>
            <w:cnfStyle w:val="001000000000" w:firstRow="0" w:lastRow="0" w:firstColumn="1" w:lastColumn="0" w:oddVBand="0" w:evenVBand="0" w:oddHBand="0" w:evenHBand="0" w:firstRowFirstColumn="0" w:firstRowLastColumn="0" w:lastRowFirstColumn="0" w:lastRowLastColumn="0"/>
            <w:tcW w:w="0" w:type="auto"/>
            <w:vMerge w:val="restart"/>
            <w:hideMark/>
          </w:tcPr>
          <w:p w14:paraId="6E3E5AB9" w14:textId="77777777" w:rsidR="006D1412" w:rsidRPr="00AA22F2" w:rsidRDefault="006D1412" w:rsidP="006D1412">
            <w:pPr>
              <w:rPr>
                <w:szCs w:val="20"/>
                <w:lang w:eastAsia="fr-FR" w:bidi="ar-SA"/>
              </w:rPr>
            </w:pPr>
            <w:r w:rsidRPr="00AA22F2">
              <w:rPr>
                <w:szCs w:val="20"/>
                <w:lang w:eastAsia="fr-FR" w:bidi="ar-SA"/>
              </w:rPr>
              <w:t>Chutes et effondrements liés aux travaux en hauteur</w:t>
            </w:r>
          </w:p>
        </w:tc>
        <w:tc>
          <w:tcPr>
            <w:tcW w:w="0" w:type="auto"/>
            <w:hideMark/>
          </w:tcPr>
          <w:p w14:paraId="692B4EA2" w14:textId="77777777" w:rsidR="006D1412" w:rsidRPr="00AA22F2" w:rsidRDefault="006D1412" w:rsidP="006D1412">
            <w:pPr>
              <w:cnfStyle w:val="000000000000" w:firstRow="0" w:lastRow="0" w:firstColumn="0" w:lastColumn="0" w:oddVBand="0" w:evenVBand="0" w:oddHBand="0" w:evenHBand="0" w:firstRowFirstColumn="0" w:firstRowLastColumn="0" w:lastRowFirstColumn="0" w:lastRowLastColumn="0"/>
              <w:rPr>
                <w:szCs w:val="20"/>
                <w:lang w:eastAsia="fr-FR" w:bidi="ar-SA"/>
              </w:rPr>
            </w:pPr>
            <w:r w:rsidRPr="00AA22F2">
              <w:rPr>
                <w:b/>
                <w:bCs/>
                <w:szCs w:val="20"/>
                <w:lang w:eastAsia="fr-FR" w:bidi="ar-SA"/>
              </w:rPr>
              <w:t>Éviter</w:t>
            </w:r>
          </w:p>
        </w:tc>
        <w:tc>
          <w:tcPr>
            <w:tcW w:w="0" w:type="auto"/>
            <w:hideMark/>
          </w:tcPr>
          <w:p w14:paraId="688B116E" w14:textId="77777777" w:rsidR="006D1412" w:rsidRPr="00AA22F2" w:rsidRDefault="006D1412" w:rsidP="006D1412">
            <w:pPr>
              <w:cnfStyle w:val="000000000000" w:firstRow="0" w:lastRow="0" w:firstColumn="0" w:lastColumn="0" w:oddVBand="0" w:evenVBand="0" w:oddHBand="0" w:evenHBand="0" w:firstRowFirstColumn="0" w:firstRowLastColumn="0" w:lastRowFirstColumn="0" w:lastRowLastColumn="0"/>
              <w:rPr>
                <w:szCs w:val="20"/>
                <w:lang w:eastAsia="fr-FR" w:bidi="ar-SA"/>
              </w:rPr>
            </w:pPr>
            <w:r w:rsidRPr="00AA22F2">
              <w:rPr>
                <w:szCs w:val="20"/>
                <w:lang w:eastAsia="fr-FR" w:bidi="ar-SA"/>
              </w:rPr>
              <w:t xml:space="preserve">Interdire toute intervention sans harnais antichute ; </w:t>
            </w:r>
          </w:p>
          <w:p w14:paraId="1191B6C3" w14:textId="77777777" w:rsidR="006D1412" w:rsidRPr="00AA22F2" w:rsidRDefault="006D1412" w:rsidP="006D1412">
            <w:pPr>
              <w:cnfStyle w:val="000000000000" w:firstRow="0" w:lastRow="0" w:firstColumn="0" w:lastColumn="0" w:oddVBand="0" w:evenVBand="0" w:oddHBand="0" w:evenHBand="0" w:firstRowFirstColumn="0" w:firstRowLastColumn="0" w:lastRowFirstColumn="0" w:lastRowLastColumn="0"/>
              <w:rPr>
                <w:szCs w:val="20"/>
                <w:lang w:eastAsia="fr-FR" w:bidi="ar-SA"/>
              </w:rPr>
            </w:pPr>
            <w:r w:rsidRPr="00AA22F2">
              <w:rPr>
                <w:szCs w:val="20"/>
                <w:lang w:eastAsia="fr-FR" w:bidi="ar-SA"/>
              </w:rPr>
              <w:t xml:space="preserve">Utiliser uniquement des échafaudages certifiés ; </w:t>
            </w:r>
          </w:p>
          <w:p w14:paraId="3D749E8E" w14:textId="3EC2F28A" w:rsidR="006D1412" w:rsidRPr="00AA22F2" w:rsidRDefault="006D1412" w:rsidP="006D1412">
            <w:pPr>
              <w:cnfStyle w:val="000000000000" w:firstRow="0" w:lastRow="0" w:firstColumn="0" w:lastColumn="0" w:oddVBand="0" w:evenVBand="0" w:oddHBand="0" w:evenHBand="0" w:firstRowFirstColumn="0" w:firstRowLastColumn="0" w:lastRowFirstColumn="0" w:lastRowLastColumn="0"/>
              <w:rPr>
                <w:szCs w:val="20"/>
                <w:lang w:eastAsia="fr-FR" w:bidi="ar-SA"/>
              </w:rPr>
            </w:pPr>
            <w:r w:rsidRPr="00AA22F2">
              <w:rPr>
                <w:szCs w:val="20"/>
                <w:lang w:eastAsia="fr-FR" w:bidi="ar-SA"/>
              </w:rPr>
              <w:t>Contrôler quotidiennement la stabilité des plateformes.</w:t>
            </w:r>
          </w:p>
        </w:tc>
        <w:tc>
          <w:tcPr>
            <w:tcW w:w="0" w:type="auto"/>
            <w:hideMark/>
          </w:tcPr>
          <w:p w14:paraId="7C76FED1" w14:textId="77777777" w:rsidR="006D1412" w:rsidRPr="00AA22F2" w:rsidRDefault="006D1412" w:rsidP="006D1412">
            <w:pPr>
              <w:cnfStyle w:val="000000000000" w:firstRow="0" w:lastRow="0" w:firstColumn="0" w:lastColumn="0" w:oddVBand="0" w:evenVBand="0" w:oddHBand="0" w:evenHBand="0" w:firstRowFirstColumn="0" w:firstRowLastColumn="0" w:lastRowFirstColumn="0" w:lastRowLastColumn="0"/>
              <w:rPr>
                <w:szCs w:val="20"/>
                <w:lang w:eastAsia="fr-FR" w:bidi="ar-SA"/>
              </w:rPr>
            </w:pPr>
            <w:r w:rsidRPr="00AA22F2">
              <w:rPr>
                <w:szCs w:val="20"/>
                <w:lang w:eastAsia="fr-FR" w:bidi="ar-SA"/>
              </w:rPr>
              <w:t xml:space="preserve">% de conformité </w:t>
            </w:r>
          </w:p>
          <w:p w14:paraId="3DF3712C" w14:textId="46B3D81F" w:rsidR="006D1412" w:rsidRPr="00AA22F2" w:rsidRDefault="006D1412" w:rsidP="006D1412">
            <w:pPr>
              <w:cnfStyle w:val="000000000000" w:firstRow="0" w:lastRow="0" w:firstColumn="0" w:lastColumn="0" w:oddVBand="0" w:evenVBand="0" w:oddHBand="0" w:evenHBand="0" w:firstRowFirstColumn="0" w:firstRowLastColumn="0" w:lastRowFirstColumn="0" w:lastRowLastColumn="0"/>
              <w:rPr>
                <w:szCs w:val="20"/>
                <w:lang w:eastAsia="fr-FR" w:bidi="ar-SA"/>
              </w:rPr>
            </w:pPr>
            <w:r w:rsidRPr="00AA22F2">
              <w:rPr>
                <w:szCs w:val="20"/>
                <w:lang w:eastAsia="fr-FR" w:bidi="ar-SA"/>
              </w:rPr>
              <w:t>Nb de contrôles</w:t>
            </w:r>
          </w:p>
        </w:tc>
        <w:tc>
          <w:tcPr>
            <w:tcW w:w="0" w:type="auto"/>
            <w:hideMark/>
          </w:tcPr>
          <w:p w14:paraId="3F4978AE" w14:textId="20F1BE2A" w:rsidR="006D1412" w:rsidRPr="00AA22F2" w:rsidRDefault="006D1412" w:rsidP="006D1412">
            <w:pPr>
              <w:cnfStyle w:val="000000000000" w:firstRow="0" w:lastRow="0" w:firstColumn="0" w:lastColumn="0" w:oddVBand="0" w:evenVBand="0" w:oddHBand="0" w:evenHBand="0" w:firstRowFirstColumn="0" w:firstRowLastColumn="0" w:lastRowFirstColumn="0" w:lastRowLastColumn="0"/>
              <w:rPr>
                <w:szCs w:val="20"/>
                <w:lang w:eastAsia="fr-FR" w:bidi="ar-SA"/>
              </w:rPr>
            </w:pPr>
            <w:r w:rsidRPr="00AA22F2">
              <w:rPr>
                <w:szCs w:val="20"/>
                <w:lang w:eastAsia="fr-FR" w:bidi="ar-SA"/>
              </w:rPr>
              <w:t>EPC et sous-traitants</w:t>
            </w:r>
          </w:p>
        </w:tc>
        <w:tc>
          <w:tcPr>
            <w:tcW w:w="0" w:type="auto"/>
            <w:hideMark/>
          </w:tcPr>
          <w:p w14:paraId="00A780EF" w14:textId="13960BCD" w:rsidR="006D1412" w:rsidRPr="00AA22F2" w:rsidRDefault="006D1412" w:rsidP="006D1412">
            <w:pPr>
              <w:cnfStyle w:val="000000000000" w:firstRow="0" w:lastRow="0" w:firstColumn="0" w:lastColumn="0" w:oddVBand="0" w:evenVBand="0" w:oddHBand="0" w:evenHBand="0" w:firstRowFirstColumn="0" w:firstRowLastColumn="0" w:lastRowFirstColumn="0" w:lastRowLastColumn="0"/>
              <w:rPr>
                <w:szCs w:val="20"/>
                <w:lang w:eastAsia="fr-FR" w:bidi="ar-SA"/>
              </w:rPr>
            </w:pPr>
            <w:r w:rsidRPr="00BC1745">
              <w:rPr>
                <w:szCs w:val="20"/>
              </w:rPr>
              <w:t>Bureau de contrôle / Consultant de supervision mandaté par l’ONDA</w:t>
            </w:r>
          </w:p>
        </w:tc>
        <w:tc>
          <w:tcPr>
            <w:tcW w:w="0" w:type="auto"/>
            <w:hideMark/>
          </w:tcPr>
          <w:p w14:paraId="3509FC82" w14:textId="54CEA802" w:rsidR="006D1412" w:rsidRPr="00AA22F2" w:rsidRDefault="006D1412" w:rsidP="006D1412">
            <w:pPr>
              <w:cnfStyle w:val="000000000000" w:firstRow="0" w:lastRow="0" w:firstColumn="0" w:lastColumn="0" w:oddVBand="0" w:evenVBand="0" w:oddHBand="0" w:evenHBand="0" w:firstRowFirstColumn="0" w:firstRowLastColumn="0" w:lastRowFirstColumn="0" w:lastRowLastColumn="0"/>
              <w:rPr>
                <w:szCs w:val="20"/>
                <w:lang w:eastAsia="fr-FR" w:bidi="ar-SA"/>
              </w:rPr>
            </w:pPr>
            <w:r w:rsidRPr="00AA22F2">
              <w:rPr>
                <w:szCs w:val="20"/>
                <w:lang w:eastAsia="fr-FR" w:bidi="ar-SA"/>
              </w:rPr>
              <w:t>ONDA</w:t>
            </w:r>
          </w:p>
        </w:tc>
        <w:tc>
          <w:tcPr>
            <w:tcW w:w="0" w:type="auto"/>
            <w:hideMark/>
          </w:tcPr>
          <w:p w14:paraId="5B28DD18" w14:textId="77777777" w:rsidR="006D1412" w:rsidRPr="00AA22F2" w:rsidRDefault="006D1412" w:rsidP="006D1412">
            <w:pPr>
              <w:cnfStyle w:val="000000000000" w:firstRow="0" w:lastRow="0" w:firstColumn="0" w:lastColumn="0" w:oddVBand="0" w:evenVBand="0" w:oddHBand="0" w:evenHBand="0" w:firstRowFirstColumn="0" w:firstRowLastColumn="0" w:lastRowFirstColumn="0" w:lastRowLastColumn="0"/>
              <w:rPr>
                <w:szCs w:val="20"/>
                <w:lang w:eastAsia="fr-FR" w:bidi="ar-SA"/>
              </w:rPr>
            </w:pPr>
            <w:r w:rsidRPr="00AA22F2">
              <w:rPr>
                <w:szCs w:val="20"/>
                <w:lang w:eastAsia="fr-FR" w:bidi="ar-SA"/>
              </w:rPr>
              <w:t>En continu</w:t>
            </w:r>
          </w:p>
        </w:tc>
        <w:tc>
          <w:tcPr>
            <w:tcW w:w="0" w:type="auto"/>
            <w:hideMark/>
          </w:tcPr>
          <w:p w14:paraId="49B6CD34" w14:textId="59ECBE58" w:rsidR="006D1412" w:rsidRPr="00AA22F2" w:rsidRDefault="00E84F27" w:rsidP="006D1412">
            <w:pPr>
              <w:cnfStyle w:val="000000000000" w:firstRow="0" w:lastRow="0" w:firstColumn="0" w:lastColumn="0" w:oddVBand="0" w:evenVBand="0" w:oddHBand="0" w:evenHBand="0" w:firstRowFirstColumn="0" w:firstRowLastColumn="0" w:lastRowFirstColumn="0" w:lastRowLastColumn="0"/>
              <w:rPr>
                <w:szCs w:val="20"/>
                <w:lang w:eastAsia="fr-FR" w:bidi="ar-SA"/>
              </w:rPr>
            </w:pPr>
            <w:r w:rsidRPr="00E84F27">
              <w:rPr>
                <w:szCs w:val="20"/>
                <w:lang w:eastAsia="fr-FR" w:bidi="ar-SA"/>
              </w:rPr>
              <w:t>Aucun coût spécifique</w:t>
            </w:r>
          </w:p>
        </w:tc>
      </w:tr>
      <w:tr w:rsidR="00722638" w:rsidRPr="00D75525" w14:paraId="7363EF08" w14:textId="77777777" w:rsidTr="00065104">
        <w:tc>
          <w:tcPr>
            <w:cnfStyle w:val="001000000000" w:firstRow="0" w:lastRow="0" w:firstColumn="1" w:lastColumn="0" w:oddVBand="0" w:evenVBand="0" w:oddHBand="0" w:evenHBand="0" w:firstRowFirstColumn="0" w:firstRowLastColumn="0" w:lastRowFirstColumn="0" w:lastRowLastColumn="0"/>
            <w:tcW w:w="0" w:type="auto"/>
            <w:vMerge/>
            <w:hideMark/>
          </w:tcPr>
          <w:p w14:paraId="4B3F3C56" w14:textId="77777777" w:rsidR="006D1412" w:rsidRPr="00AA22F2" w:rsidRDefault="006D1412" w:rsidP="006D1412">
            <w:pPr>
              <w:rPr>
                <w:szCs w:val="20"/>
                <w:lang w:eastAsia="fr-FR" w:bidi="ar-SA"/>
              </w:rPr>
            </w:pPr>
          </w:p>
        </w:tc>
        <w:tc>
          <w:tcPr>
            <w:tcW w:w="0" w:type="auto"/>
            <w:hideMark/>
          </w:tcPr>
          <w:p w14:paraId="53FA9A17" w14:textId="77777777" w:rsidR="006D1412" w:rsidRPr="00AA22F2" w:rsidRDefault="006D1412" w:rsidP="006D1412">
            <w:pPr>
              <w:cnfStyle w:val="000000000000" w:firstRow="0" w:lastRow="0" w:firstColumn="0" w:lastColumn="0" w:oddVBand="0" w:evenVBand="0" w:oddHBand="0" w:evenHBand="0" w:firstRowFirstColumn="0" w:firstRowLastColumn="0" w:lastRowFirstColumn="0" w:lastRowLastColumn="0"/>
              <w:rPr>
                <w:szCs w:val="20"/>
                <w:lang w:eastAsia="fr-FR" w:bidi="ar-SA"/>
              </w:rPr>
            </w:pPr>
            <w:r w:rsidRPr="00AA22F2">
              <w:rPr>
                <w:b/>
                <w:bCs/>
                <w:szCs w:val="20"/>
                <w:lang w:eastAsia="fr-FR" w:bidi="ar-SA"/>
              </w:rPr>
              <w:t>Réduire</w:t>
            </w:r>
          </w:p>
        </w:tc>
        <w:tc>
          <w:tcPr>
            <w:tcW w:w="0" w:type="auto"/>
            <w:hideMark/>
          </w:tcPr>
          <w:p w14:paraId="3E51E378" w14:textId="77777777" w:rsidR="006D1412" w:rsidRPr="00AA22F2" w:rsidRDefault="006D1412" w:rsidP="006D1412">
            <w:pPr>
              <w:cnfStyle w:val="000000000000" w:firstRow="0" w:lastRow="0" w:firstColumn="0" w:lastColumn="0" w:oddVBand="0" w:evenVBand="0" w:oddHBand="0" w:evenHBand="0" w:firstRowFirstColumn="0" w:firstRowLastColumn="0" w:lastRowFirstColumn="0" w:lastRowLastColumn="0"/>
              <w:rPr>
                <w:szCs w:val="20"/>
                <w:lang w:eastAsia="fr-FR" w:bidi="ar-SA"/>
              </w:rPr>
            </w:pPr>
            <w:r w:rsidRPr="00AA22F2">
              <w:rPr>
                <w:szCs w:val="20"/>
                <w:lang w:eastAsia="fr-FR" w:bidi="ar-SA"/>
              </w:rPr>
              <w:t xml:space="preserve">Former les techniciens aux travaux en hauteur ; </w:t>
            </w:r>
          </w:p>
          <w:p w14:paraId="16D606B9" w14:textId="77777777" w:rsidR="006D1412" w:rsidRPr="00AA22F2" w:rsidRDefault="006D1412" w:rsidP="006D1412">
            <w:pPr>
              <w:cnfStyle w:val="000000000000" w:firstRow="0" w:lastRow="0" w:firstColumn="0" w:lastColumn="0" w:oddVBand="0" w:evenVBand="0" w:oddHBand="0" w:evenHBand="0" w:firstRowFirstColumn="0" w:firstRowLastColumn="0" w:lastRowFirstColumn="0" w:lastRowLastColumn="0"/>
              <w:rPr>
                <w:szCs w:val="20"/>
                <w:lang w:eastAsia="fr-FR" w:bidi="ar-SA"/>
              </w:rPr>
            </w:pPr>
            <w:r w:rsidRPr="00AA22F2">
              <w:rPr>
                <w:szCs w:val="20"/>
                <w:lang w:eastAsia="fr-FR" w:bidi="ar-SA"/>
              </w:rPr>
              <w:t xml:space="preserve">Imposer le double ancrage des lignes de vie ; </w:t>
            </w:r>
          </w:p>
          <w:p w14:paraId="4FF63EF1" w14:textId="41E05D80" w:rsidR="006D1412" w:rsidRPr="00AA22F2" w:rsidRDefault="006D1412" w:rsidP="006D1412">
            <w:pPr>
              <w:cnfStyle w:val="000000000000" w:firstRow="0" w:lastRow="0" w:firstColumn="0" w:lastColumn="0" w:oddVBand="0" w:evenVBand="0" w:oddHBand="0" w:evenHBand="0" w:firstRowFirstColumn="0" w:firstRowLastColumn="0" w:lastRowFirstColumn="0" w:lastRowLastColumn="0"/>
              <w:rPr>
                <w:szCs w:val="20"/>
                <w:lang w:eastAsia="fr-FR" w:bidi="ar-SA"/>
              </w:rPr>
            </w:pPr>
            <w:r w:rsidRPr="00AA22F2">
              <w:rPr>
                <w:szCs w:val="20"/>
                <w:lang w:eastAsia="fr-FR" w:bidi="ar-SA"/>
              </w:rPr>
              <w:lastRenderedPageBreak/>
              <w:t>Baliser les zones à risque.</w:t>
            </w:r>
          </w:p>
        </w:tc>
        <w:tc>
          <w:tcPr>
            <w:tcW w:w="0" w:type="auto"/>
            <w:hideMark/>
          </w:tcPr>
          <w:p w14:paraId="675403BA" w14:textId="77777777" w:rsidR="006D1412" w:rsidRPr="00AA22F2" w:rsidRDefault="006D1412" w:rsidP="006D1412">
            <w:pPr>
              <w:cnfStyle w:val="000000000000" w:firstRow="0" w:lastRow="0" w:firstColumn="0" w:lastColumn="0" w:oddVBand="0" w:evenVBand="0" w:oddHBand="0" w:evenHBand="0" w:firstRowFirstColumn="0" w:firstRowLastColumn="0" w:lastRowFirstColumn="0" w:lastRowLastColumn="0"/>
              <w:rPr>
                <w:szCs w:val="20"/>
                <w:lang w:eastAsia="fr-FR" w:bidi="ar-SA"/>
              </w:rPr>
            </w:pPr>
            <w:r w:rsidRPr="00AA22F2">
              <w:rPr>
                <w:szCs w:val="20"/>
                <w:lang w:eastAsia="fr-FR" w:bidi="ar-SA"/>
              </w:rPr>
              <w:lastRenderedPageBreak/>
              <w:t xml:space="preserve">% du personnel formé </w:t>
            </w:r>
          </w:p>
          <w:p w14:paraId="34D9948B" w14:textId="231492E4" w:rsidR="006D1412" w:rsidRPr="00AA22F2" w:rsidRDefault="006D1412" w:rsidP="006D1412">
            <w:pPr>
              <w:cnfStyle w:val="000000000000" w:firstRow="0" w:lastRow="0" w:firstColumn="0" w:lastColumn="0" w:oddVBand="0" w:evenVBand="0" w:oddHBand="0" w:evenHBand="0" w:firstRowFirstColumn="0" w:firstRowLastColumn="0" w:lastRowFirstColumn="0" w:lastRowLastColumn="0"/>
              <w:rPr>
                <w:szCs w:val="20"/>
                <w:lang w:eastAsia="fr-FR" w:bidi="ar-SA"/>
              </w:rPr>
            </w:pPr>
            <w:r w:rsidRPr="00AA22F2">
              <w:rPr>
                <w:szCs w:val="20"/>
                <w:lang w:eastAsia="fr-FR" w:bidi="ar-SA"/>
              </w:rPr>
              <w:t>Nb d’ancrages vérifiés</w:t>
            </w:r>
          </w:p>
        </w:tc>
        <w:tc>
          <w:tcPr>
            <w:tcW w:w="0" w:type="auto"/>
            <w:hideMark/>
          </w:tcPr>
          <w:p w14:paraId="1A246F0A" w14:textId="03EFA842" w:rsidR="006D1412" w:rsidRPr="00AA22F2" w:rsidRDefault="006D1412" w:rsidP="006D1412">
            <w:pPr>
              <w:cnfStyle w:val="000000000000" w:firstRow="0" w:lastRow="0" w:firstColumn="0" w:lastColumn="0" w:oddVBand="0" w:evenVBand="0" w:oddHBand="0" w:evenHBand="0" w:firstRowFirstColumn="0" w:firstRowLastColumn="0" w:lastRowFirstColumn="0" w:lastRowLastColumn="0"/>
              <w:rPr>
                <w:szCs w:val="20"/>
                <w:lang w:eastAsia="fr-FR" w:bidi="ar-SA"/>
              </w:rPr>
            </w:pPr>
            <w:r w:rsidRPr="00AA22F2">
              <w:rPr>
                <w:szCs w:val="20"/>
                <w:lang w:eastAsia="fr-FR" w:bidi="ar-SA"/>
              </w:rPr>
              <w:t>EPC et sous-traitants</w:t>
            </w:r>
          </w:p>
        </w:tc>
        <w:tc>
          <w:tcPr>
            <w:tcW w:w="0" w:type="auto"/>
            <w:hideMark/>
          </w:tcPr>
          <w:p w14:paraId="02C4A49C" w14:textId="462E9050" w:rsidR="006D1412" w:rsidRPr="00AA22F2" w:rsidRDefault="006D1412" w:rsidP="006D1412">
            <w:pPr>
              <w:cnfStyle w:val="000000000000" w:firstRow="0" w:lastRow="0" w:firstColumn="0" w:lastColumn="0" w:oddVBand="0" w:evenVBand="0" w:oddHBand="0" w:evenHBand="0" w:firstRowFirstColumn="0" w:firstRowLastColumn="0" w:lastRowFirstColumn="0" w:lastRowLastColumn="0"/>
              <w:rPr>
                <w:szCs w:val="20"/>
                <w:lang w:eastAsia="fr-FR" w:bidi="ar-SA"/>
              </w:rPr>
            </w:pPr>
            <w:r w:rsidRPr="00BC1745">
              <w:rPr>
                <w:szCs w:val="20"/>
              </w:rPr>
              <w:t>Bureau de contrôle / Consultant de supervision mandaté par l’ONDA</w:t>
            </w:r>
          </w:p>
        </w:tc>
        <w:tc>
          <w:tcPr>
            <w:tcW w:w="0" w:type="auto"/>
            <w:hideMark/>
          </w:tcPr>
          <w:p w14:paraId="4CEB9D35" w14:textId="46DBC605" w:rsidR="006D1412" w:rsidRPr="00AA22F2" w:rsidRDefault="006D1412" w:rsidP="006D1412">
            <w:pPr>
              <w:cnfStyle w:val="000000000000" w:firstRow="0" w:lastRow="0" w:firstColumn="0" w:lastColumn="0" w:oddVBand="0" w:evenVBand="0" w:oddHBand="0" w:evenHBand="0" w:firstRowFirstColumn="0" w:firstRowLastColumn="0" w:lastRowFirstColumn="0" w:lastRowLastColumn="0"/>
              <w:rPr>
                <w:szCs w:val="20"/>
                <w:lang w:eastAsia="fr-FR" w:bidi="ar-SA"/>
              </w:rPr>
            </w:pPr>
            <w:r w:rsidRPr="00AA22F2">
              <w:rPr>
                <w:szCs w:val="20"/>
                <w:lang w:eastAsia="fr-FR" w:bidi="ar-SA"/>
              </w:rPr>
              <w:t>ONDA</w:t>
            </w:r>
          </w:p>
        </w:tc>
        <w:tc>
          <w:tcPr>
            <w:tcW w:w="0" w:type="auto"/>
            <w:hideMark/>
          </w:tcPr>
          <w:p w14:paraId="05FADE5D" w14:textId="77777777" w:rsidR="006D1412" w:rsidRPr="00AA22F2" w:rsidRDefault="006D1412" w:rsidP="006D1412">
            <w:pPr>
              <w:cnfStyle w:val="000000000000" w:firstRow="0" w:lastRow="0" w:firstColumn="0" w:lastColumn="0" w:oddVBand="0" w:evenVBand="0" w:oddHBand="0" w:evenHBand="0" w:firstRowFirstColumn="0" w:firstRowLastColumn="0" w:lastRowFirstColumn="0" w:lastRowLastColumn="0"/>
              <w:rPr>
                <w:szCs w:val="20"/>
                <w:lang w:eastAsia="fr-FR" w:bidi="ar-SA"/>
              </w:rPr>
            </w:pPr>
            <w:r w:rsidRPr="00AA22F2">
              <w:rPr>
                <w:szCs w:val="20"/>
                <w:lang w:eastAsia="fr-FR" w:bidi="ar-SA"/>
              </w:rPr>
              <w:t>En continu</w:t>
            </w:r>
          </w:p>
        </w:tc>
        <w:tc>
          <w:tcPr>
            <w:tcW w:w="0" w:type="auto"/>
            <w:hideMark/>
          </w:tcPr>
          <w:p w14:paraId="037E4ED7" w14:textId="6A4F1FFD" w:rsidR="006D1412" w:rsidRDefault="00E84F27" w:rsidP="006D1412">
            <w:pPr>
              <w:cnfStyle w:val="000000000000" w:firstRow="0" w:lastRow="0" w:firstColumn="0" w:lastColumn="0" w:oddVBand="0" w:evenVBand="0" w:oddHBand="0" w:evenHBand="0" w:firstRowFirstColumn="0" w:firstRowLastColumn="0" w:lastRowFirstColumn="0" w:lastRowLastColumn="0"/>
              <w:rPr>
                <w:szCs w:val="20"/>
                <w:lang w:eastAsia="fr-FR" w:bidi="ar-SA"/>
              </w:rPr>
            </w:pPr>
            <w:r w:rsidRPr="00E84F27">
              <w:rPr>
                <w:szCs w:val="20"/>
                <w:lang w:eastAsia="fr-FR" w:bidi="ar-SA"/>
              </w:rPr>
              <w:t>7 000 MAD / session (10–12 personnes)</w:t>
            </w:r>
          </w:p>
          <w:p w14:paraId="043153AE" w14:textId="59CF056C" w:rsidR="005033A2" w:rsidRPr="00AA22F2" w:rsidRDefault="005033A2" w:rsidP="006D1412">
            <w:pPr>
              <w:cnfStyle w:val="000000000000" w:firstRow="0" w:lastRow="0" w:firstColumn="0" w:lastColumn="0" w:oddVBand="0" w:evenVBand="0" w:oddHBand="0" w:evenHBand="0" w:firstRowFirstColumn="0" w:firstRowLastColumn="0" w:lastRowFirstColumn="0" w:lastRowLastColumn="0"/>
              <w:rPr>
                <w:szCs w:val="20"/>
                <w:lang w:eastAsia="fr-FR" w:bidi="ar-SA"/>
              </w:rPr>
            </w:pPr>
            <w:r w:rsidRPr="005033A2">
              <w:rPr>
                <w:szCs w:val="20"/>
                <w:lang w:eastAsia="fr-FR" w:bidi="ar-SA"/>
              </w:rPr>
              <w:t>≈ 1 000 MAD / point d’ancrage</w:t>
            </w:r>
          </w:p>
        </w:tc>
      </w:tr>
      <w:tr w:rsidR="00722638" w:rsidRPr="00D75525" w14:paraId="3D5CFA15" w14:textId="77777777" w:rsidTr="00065104">
        <w:tc>
          <w:tcPr>
            <w:cnfStyle w:val="001000000000" w:firstRow="0" w:lastRow="0" w:firstColumn="1" w:lastColumn="0" w:oddVBand="0" w:evenVBand="0" w:oddHBand="0" w:evenHBand="0" w:firstRowFirstColumn="0" w:firstRowLastColumn="0" w:lastRowFirstColumn="0" w:lastRowLastColumn="0"/>
            <w:tcW w:w="0" w:type="auto"/>
            <w:vMerge/>
            <w:hideMark/>
          </w:tcPr>
          <w:p w14:paraId="5BD60848" w14:textId="77777777" w:rsidR="006D1412" w:rsidRPr="00AA22F2" w:rsidRDefault="006D1412" w:rsidP="006D1412">
            <w:pPr>
              <w:rPr>
                <w:szCs w:val="20"/>
                <w:lang w:eastAsia="fr-FR" w:bidi="ar-SA"/>
              </w:rPr>
            </w:pPr>
          </w:p>
        </w:tc>
        <w:tc>
          <w:tcPr>
            <w:tcW w:w="0" w:type="auto"/>
            <w:hideMark/>
          </w:tcPr>
          <w:p w14:paraId="3D088E18" w14:textId="77777777" w:rsidR="006D1412" w:rsidRPr="00AA22F2" w:rsidRDefault="006D1412" w:rsidP="006D1412">
            <w:pPr>
              <w:cnfStyle w:val="000000000000" w:firstRow="0" w:lastRow="0" w:firstColumn="0" w:lastColumn="0" w:oddVBand="0" w:evenVBand="0" w:oddHBand="0" w:evenHBand="0" w:firstRowFirstColumn="0" w:firstRowLastColumn="0" w:lastRowFirstColumn="0" w:lastRowLastColumn="0"/>
              <w:rPr>
                <w:szCs w:val="20"/>
                <w:lang w:eastAsia="fr-FR" w:bidi="ar-SA"/>
              </w:rPr>
            </w:pPr>
            <w:r w:rsidRPr="00AA22F2">
              <w:rPr>
                <w:b/>
                <w:bCs/>
                <w:szCs w:val="20"/>
                <w:lang w:eastAsia="fr-FR" w:bidi="ar-SA"/>
              </w:rPr>
              <w:t>Atténuer</w:t>
            </w:r>
          </w:p>
        </w:tc>
        <w:tc>
          <w:tcPr>
            <w:tcW w:w="0" w:type="auto"/>
            <w:hideMark/>
          </w:tcPr>
          <w:p w14:paraId="68D8042B" w14:textId="77777777" w:rsidR="006D1412" w:rsidRPr="00AA22F2" w:rsidRDefault="006D1412" w:rsidP="006D1412">
            <w:pPr>
              <w:cnfStyle w:val="000000000000" w:firstRow="0" w:lastRow="0" w:firstColumn="0" w:lastColumn="0" w:oddVBand="0" w:evenVBand="0" w:oddHBand="0" w:evenHBand="0" w:firstRowFirstColumn="0" w:firstRowLastColumn="0" w:lastRowFirstColumn="0" w:lastRowLastColumn="0"/>
              <w:rPr>
                <w:szCs w:val="20"/>
                <w:lang w:eastAsia="fr-FR" w:bidi="ar-SA"/>
              </w:rPr>
            </w:pPr>
            <w:r w:rsidRPr="00AA22F2">
              <w:rPr>
                <w:szCs w:val="20"/>
                <w:lang w:eastAsia="fr-FR" w:bidi="ar-SA"/>
              </w:rPr>
              <w:t xml:space="preserve">Installer des filets antichute et mousses de réception ; </w:t>
            </w:r>
          </w:p>
          <w:p w14:paraId="0C4003B1" w14:textId="7F56FB6A" w:rsidR="006D1412" w:rsidRPr="00AA22F2" w:rsidRDefault="006D1412" w:rsidP="006D1412">
            <w:pPr>
              <w:cnfStyle w:val="000000000000" w:firstRow="0" w:lastRow="0" w:firstColumn="0" w:lastColumn="0" w:oddVBand="0" w:evenVBand="0" w:oddHBand="0" w:evenHBand="0" w:firstRowFirstColumn="0" w:firstRowLastColumn="0" w:lastRowFirstColumn="0" w:lastRowLastColumn="0"/>
              <w:rPr>
                <w:szCs w:val="20"/>
                <w:lang w:eastAsia="fr-FR" w:bidi="ar-SA"/>
              </w:rPr>
            </w:pPr>
            <w:r w:rsidRPr="00AA22F2">
              <w:rPr>
                <w:szCs w:val="20"/>
                <w:lang w:eastAsia="fr-FR" w:bidi="ar-SA"/>
              </w:rPr>
              <w:t>Réaliser des exercices de secours.</w:t>
            </w:r>
          </w:p>
        </w:tc>
        <w:tc>
          <w:tcPr>
            <w:tcW w:w="0" w:type="auto"/>
            <w:hideMark/>
          </w:tcPr>
          <w:p w14:paraId="33CADB54" w14:textId="77777777" w:rsidR="006D1412" w:rsidRPr="00AA22F2" w:rsidRDefault="006D1412" w:rsidP="006D1412">
            <w:pPr>
              <w:cnfStyle w:val="000000000000" w:firstRow="0" w:lastRow="0" w:firstColumn="0" w:lastColumn="0" w:oddVBand="0" w:evenVBand="0" w:oddHBand="0" w:evenHBand="0" w:firstRowFirstColumn="0" w:firstRowLastColumn="0" w:lastRowFirstColumn="0" w:lastRowLastColumn="0"/>
              <w:rPr>
                <w:szCs w:val="20"/>
                <w:lang w:eastAsia="fr-FR" w:bidi="ar-SA"/>
              </w:rPr>
            </w:pPr>
            <w:r w:rsidRPr="00AA22F2">
              <w:rPr>
                <w:szCs w:val="20"/>
                <w:lang w:eastAsia="fr-FR" w:bidi="ar-SA"/>
              </w:rPr>
              <w:t xml:space="preserve">Nb d’exercices </w:t>
            </w:r>
          </w:p>
          <w:p w14:paraId="0EDA5008" w14:textId="654C1B94" w:rsidR="006D1412" w:rsidRPr="00AA22F2" w:rsidRDefault="006D1412" w:rsidP="006D1412">
            <w:pPr>
              <w:cnfStyle w:val="000000000000" w:firstRow="0" w:lastRow="0" w:firstColumn="0" w:lastColumn="0" w:oddVBand="0" w:evenVBand="0" w:oddHBand="0" w:evenHBand="0" w:firstRowFirstColumn="0" w:firstRowLastColumn="0" w:lastRowFirstColumn="0" w:lastRowLastColumn="0"/>
              <w:rPr>
                <w:szCs w:val="20"/>
                <w:lang w:eastAsia="fr-FR" w:bidi="ar-SA"/>
              </w:rPr>
            </w:pPr>
            <w:r w:rsidRPr="00AA22F2">
              <w:rPr>
                <w:szCs w:val="20"/>
                <w:lang w:eastAsia="fr-FR" w:bidi="ar-SA"/>
              </w:rPr>
              <w:t>Délai d’intervention</w:t>
            </w:r>
          </w:p>
        </w:tc>
        <w:tc>
          <w:tcPr>
            <w:tcW w:w="0" w:type="auto"/>
            <w:hideMark/>
          </w:tcPr>
          <w:p w14:paraId="683CF542" w14:textId="2985C71C" w:rsidR="006D1412" w:rsidRPr="00AA22F2" w:rsidRDefault="006D1412" w:rsidP="006D1412">
            <w:pPr>
              <w:cnfStyle w:val="000000000000" w:firstRow="0" w:lastRow="0" w:firstColumn="0" w:lastColumn="0" w:oddVBand="0" w:evenVBand="0" w:oddHBand="0" w:evenHBand="0" w:firstRowFirstColumn="0" w:firstRowLastColumn="0" w:lastRowFirstColumn="0" w:lastRowLastColumn="0"/>
              <w:rPr>
                <w:szCs w:val="20"/>
                <w:lang w:eastAsia="fr-FR" w:bidi="ar-SA"/>
              </w:rPr>
            </w:pPr>
            <w:r w:rsidRPr="00AA22F2">
              <w:rPr>
                <w:szCs w:val="20"/>
                <w:lang w:eastAsia="fr-FR" w:bidi="ar-SA"/>
              </w:rPr>
              <w:t>EPC et sous-traitants</w:t>
            </w:r>
          </w:p>
        </w:tc>
        <w:tc>
          <w:tcPr>
            <w:tcW w:w="0" w:type="auto"/>
            <w:hideMark/>
          </w:tcPr>
          <w:p w14:paraId="0599C138" w14:textId="7964F6F0" w:rsidR="006D1412" w:rsidRPr="00AA22F2" w:rsidRDefault="006D1412" w:rsidP="006D1412">
            <w:pPr>
              <w:cnfStyle w:val="000000000000" w:firstRow="0" w:lastRow="0" w:firstColumn="0" w:lastColumn="0" w:oddVBand="0" w:evenVBand="0" w:oddHBand="0" w:evenHBand="0" w:firstRowFirstColumn="0" w:firstRowLastColumn="0" w:lastRowFirstColumn="0" w:lastRowLastColumn="0"/>
              <w:rPr>
                <w:szCs w:val="20"/>
                <w:lang w:eastAsia="fr-FR" w:bidi="ar-SA"/>
              </w:rPr>
            </w:pPr>
            <w:r w:rsidRPr="00BC1745">
              <w:rPr>
                <w:szCs w:val="20"/>
              </w:rPr>
              <w:t>Bureau de contrôle / Consultant de supervision mandaté par l’ONDA</w:t>
            </w:r>
          </w:p>
        </w:tc>
        <w:tc>
          <w:tcPr>
            <w:tcW w:w="0" w:type="auto"/>
            <w:hideMark/>
          </w:tcPr>
          <w:p w14:paraId="76962575" w14:textId="0EE2A83A" w:rsidR="006D1412" w:rsidRPr="00AA22F2" w:rsidRDefault="006D1412" w:rsidP="006D1412">
            <w:pPr>
              <w:cnfStyle w:val="000000000000" w:firstRow="0" w:lastRow="0" w:firstColumn="0" w:lastColumn="0" w:oddVBand="0" w:evenVBand="0" w:oddHBand="0" w:evenHBand="0" w:firstRowFirstColumn="0" w:firstRowLastColumn="0" w:lastRowFirstColumn="0" w:lastRowLastColumn="0"/>
              <w:rPr>
                <w:szCs w:val="20"/>
                <w:lang w:eastAsia="fr-FR" w:bidi="ar-SA"/>
              </w:rPr>
            </w:pPr>
            <w:r w:rsidRPr="00AA22F2">
              <w:rPr>
                <w:szCs w:val="20"/>
                <w:lang w:eastAsia="fr-FR" w:bidi="ar-SA"/>
              </w:rPr>
              <w:t>ONDA</w:t>
            </w:r>
          </w:p>
        </w:tc>
        <w:tc>
          <w:tcPr>
            <w:tcW w:w="0" w:type="auto"/>
            <w:hideMark/>
          </w:tcPr>
          <w:p w14:paraId="7927E878" w14:textId="77777777" w:rsidR="006D1412" w:rsidRPr="00AA22F2" w:rsidRDefault="006D1412" w:rsidP="006D1412">
            <w:pPr>
              <w:cnfStyle w:val="000000000000" w:firstRow="0" w:lastRow="0" w:firstColumn="0" w:lastColumn="0" w:oddVBand="0" w:evenVBand="0" w:oddHBand="0" w:evenHBand="0" w:firstRowFirstColumn="0" w:firstRowLastColumn="0" w:lastRowFirstColumn="0" w:lastRowLastColumn="0"/>
              <w:rPr>
                <w:szCs w:val="20"/>
                <w:lang w:eastAsia="fr-FR" w:bidi="ar-SA"/>
              </w:rPr>
            </w:pPr>
            <w:r w:rsidRPr="00AA22F2">
              <w:rPr>
                <w:szCs w:val="20"/>
                <w:lang w:eastAsia="fr-FR" w:bidi="ar-SA"/>
              </w:rPr>
              <w:t>Trimestriel</w:t>
            </w:r>
          </w:p>
        </w:tc>
        <w:tc>
          <w:tcPr>
            <w:tcW w:w="0" w:type="auto"/>
            <w:hideMark/>
          </w:tcPr>
          <w:p w14:paraId="10267A25" w14:textId="788B2DEF" w:rsidR="006D1412" w:rsidRDefault="005033A2" w:rsidP="006D1412">
            <w:pPr>
              <w:cnfStyle w:val="000000000000" w:firstRow="0" w:lastRow="0" w:firstColumn="0" w:lastColumn="0" w:oddVBand="0" w:evenVBand="0" w:oddHBand="0" w:evenHBand="0" w:firstRowFirstColumn="0" w:firstRowLastColumn="0" w:lastRowFirstColumn="0" w:lastRowLastColumn="0"/>
              <w:rPr>
                <w:szCs w:val="20"/>
                <w:lang w:eastAsia="fr-FR" w:bidi="ar-SA"/>
              </w:rPr>
            </w:pPr>
            <w:r w:rsidRPr="005033A2">
              <w:rPr>
                <w:szCs w:val="20"/>
                <w:lang w:eastAsia="fr-FR" w:bidi="ar-SA"/>
              </w:rPr>
              <w:t>≈ 60 MAD / m²</w:t>
            </w:r>
          </w:p>
          <w:p w14:paraId="5E168803" w14:textId="77777777" w:rsidR="005033A2" w:rsidRDefault="005033A2" w:rsidP="006D1412">
            <w:pPr>
              <w:cnfStyle w:val="000000000000" w:firstRow="0" w:lastRow="0" w:firstColumn="0" w:lastColumn="0" w:oddVBand="0" w:evenVBand="0" w:oddHBand="0" w:evenHBand="0" w:firstRowFirstColumn="0" w:firstRowLastColumn="0" w:lastRowFirstColumn="0" w:lastRowLastColumn="0"/>
              <w:rPr>
                <w:szCs w:val="20"/>
                <w:lang w:eastAsia="fr-FR" w:bidi="ar-SA"/>
              </w:rPr>
            </w:pPr>
          </w:p>
          <w:p w14:paraId="0B0E4440" w14:textId="694D794C" w:rsidR="005033A2" w:rsidRPr="00AA22F2" w:rsidRDefault="005033A2" w:rsidP="006D1412">
            <w:pPr>
              <w:cnfStyle w:val="000000000000" w:firstRow="0" w:lastRow="0" w:firstColumn="0" w:lastColumn="0" w:oddVBand="0" w:evenVBand="0" w:oddHBand="0" w:evenHBand="0" w:firstRowFirstColumn="0" w:firstRowLastColumn="0" w:lastRowFirstColumn="0" w:lastRowLastColumn="0"/>
              <w:rPr>
                <w:szCs w:val="20"/>
                <w:lang w:eastAsia="fr-FR" w:bidi="ar-SA"/>
              </w:rPr>
            </w:pPr>
            <w:r w:rsidRPr="005033A2">
              <w:rPr>
                <w:szCs w:val="20"/>
                <w:lang w:eastAsia="fr-FR" w:bidi="ar-SA"/>
              </w:rPr>
              <w:t>5 000 MAD / exercice</w:t>
            </w:r>
          </w:p>
        </w:tc>
      </w:tr>
      <w:tr w:rsidR="00722638" w:rsidRPr="00D75525" w14:paraId="601F9886" w14:textId="77777777" w:rsidTr="00065104">
        <w:tc>
          <w:tcPr>
            <w:cnfStyle w:val="001000000000" w:firstRow="0" w:lastRow="0" w:firstColumn="1" w:lastColumn="0" w:oddVBand="0" w:evenVBand="0" w:oddHBand="0" w:evenHBand="0" w:firstRowFirstColumn="0" w:firstRowLastColumn="0" w:lastRowFirstColumn="0" w:lastRowLastColumn="0"/>
            <w:tcW w:w="0" w:type="auto"/>
            <w:vMerge/>
            <w:hideMark/>
          </w:tcPr>
          <w:p w14:paraId="32F2BF43" w14:textId="77777777" w:rsidR="006D1412" w:rsidRPr="00AA22F2" w:rsidRDefault="006D1412" w:rsidP="006D1412">
            <w:pPr>
              <w:rPr>
                <w:szCs w:val="20"/>
                <w:lang w:eastAsia="fr-FR" w:bidi="ar-SA"/>
              </w:rPr>
            </w:pPr>
          </w:p>
        </w:tc>
        <w:tc>
          <w:tcPr>
            <w:tcW w:w="0" w:type="auto"/>
            <w:hideMark/>
          </w:tcPr>
          <w:p w14:paraId="25A039B2" w14:textId="77777777" w:rsidR="006D1412" w:rsidRPr="00AA22F2" w:rsidRDefault="006D1412" w:rsidP="006D1412">
            <w:pPr>
              <w:cnfStyle w:val="000000000000" w:firstRow="0" w:lastRow="0" w:firstColumn="0" w:lastColumn="0" w:oddVBand="0" w:evenVBand="0" w:oddHBand="0" w:evenHBand="0" w:firstRowFirstColumn="0" w:firstRowLastColumn="0" w:lastRowFirstColumn="0" w:lastRowLastColumn="0"/>
              <w:rPr>
                <w:szCs w:val="20"/>
                <w:lang w:eastAsia="fr-FR" w:bidi="ar-SA"/>
              </w:rPr>
            </w:pPr>
            <w:r w:rsidRPr="00AA22F2">
              <w:rPr>
                <w:b/>
                <w:bCs/>
                <w:szCs w:val="20"/>
                <w:lang w:eastAsia="fr-FR" w:bidi="ar-SA"/>
              </w:rPr>
              <w:t>Compenser</w:t>
            </w:r>
          </w:p>
        </w:tc>
        <w:tc>
          <w:tcPr>
            <w:tcW w:w="0" w:type="auto"/>
            <w:hideMark/>
          </w:tcPr>
          <w:p w14:paraId="4C7E98D2" w14:textId="77777777" w:rsidR="006D1412" w:rsidRPr="00AA22F2" w:rsidRDefault="006D1412" w:rsidP="006D1412">
            <w:pPr>
              <w:cnfStyle w:val="000000000000" w:firstRow="0" w:lastRow="0" w:firstColumn="0" w:lastColumn="0" w:oddVBand="0" w:evenVBand="0" w:oddHBand="0" w:evenHBand="0" w:firstRowFirstColumn="0" w:firstRowLastColumn="0" w:lastRowFirstColumn="0" w:lastRowLastColumn="0"/>
              <w:rPr>
                <w:szCs w:val="20"/>
                <w:lang w:eastAsia="fr-FR" w:bidi="ar-SA"/>
              </w:rPr>
            </w:pPr>
            <w:r w:rsidRPr="00AA22F2">
              <w:rPr>
                <w:szCs w:val="20"/>
                <w:lang w:eastAsia="fr-FR" w:bidi="ar-SA"/>
              </w:rPr>
              <w:t xml:space="preserve">Fournir prise en charge médicale et suivi des blessés ; </w:t>
            </w:r>
          </w:p>
          <w:p w14:paraId="0ED218AA" w14:textId="020A47EF" w:rsidR="006D1412" w:rsidRPr="00AA22F2" w:rsidRDefault="006D1412" w:rsidP="006D1412">
            <w:pPr>
              <w:cnfStyle w:val="000000000000" w:firstRow="0" w:lastRow="0" w:firstColumn="0" w:lastColumn="0" w:oddVBand="0" w:evenVBand="0" w:oddHBand="0" w:evenHBand="0" w:firstRowFirstColumn="0" w:firstRowLastColumn="0" w:lastRowFirstColumn="0" w:lastRowLastColumn="0"/>
              <w:rPr>
                <w:szCs w:val="20"/>
                <w:lang w:eastAsia="fr-FR" w:bidi="ar-SA"/>
              </w:rPr>
            </w:pPr>
            <w:r w:rsidRPr="00AA22F2">
              <w:rPr>
                <w:szCs w:val="20"/>
                <w:lang w:eastAsia="fr-FR" w:bidi="ar-SA"/>
              </w:rPr>
              <w:t>Assurer le remplacement temporaire des personnes accidentées.</w:t>
            </w:r>
          </w:p>
        </w:tc>
        <w:tc>
          <w:tcPr>
            <w:tcW w:w="0" w:type="auto"/>
            <w:hideMark/>
          </w:tcPr>
          <w:p w14:paraId="05020076" w14:textId="77777777" w:rsidR="006D1412" w:rsidRPr="00AA22F2" w:rsidRDefault="006D1412" w:rsidP="006D1412">
            <w:pPr>
              <w:cnfStyle w:val="000000000000" w:firstRow="0" w:lastRow="0" w:firstColumn="0" w:lastColumn="0" w:oddVBand="0" w:evenVBand="0" w:oddHBand="0" w:evenHBand="0" w:firstRowFirstColumn="0" w:firstRowLastColumn="0" w:lastRowFirstColumn="0" w:lastRowLastColumn="0"/>
              <w:rPr>
                <w:szCs w:val="20"/>
                <w:lang w:eastAsia="fr-FR" w:bidi="ar-SA"/>
              </w:rPr>
            </w:pPr>
            <w:r w:rsidRPr="00AA22F2">
              <w:rPr>
                <w:szCs w:val="20"/>
                <w:lang w:eastAsia="fr-FR" w:bidi="ar-SA"/>
              </w:rPr>
              <w:t xml:space="preserve">Nb de cas suivis </w:t>
            </w:r>
          </w:p>
          <w:p w14:paraId="2D08F1AC" w14:textId="11BFC555" w:rsidR="006D1412" w:rsidRPr="00AA22F2" w:rsidRDefault="006D1412" w:rsidP="006D1412">
            <w:pPr>
              <w:cnfStyle w:val="000000000000" w:firstRow="0" w:lastRow="0" w:firstColumn="0" w:lastColumn="0" w:oddVBand="0" w:evenVBand="0" w:oddHBand="0" w:evenHBand="0" w:firstRowFirstColumn="0" w:firstRowLastColumn="0" w:lastRowFirstColumn="0" w:lastRowLastColumn="0"/>
              <w:rPr>
                <w:szCs w:val="20"/>
                <w:lang w:eastAsia="fr-FR" w:bidi="ar-SA"/>
              </w:rPr>
            </w:pPr>
            <w:r w:rsidRPr="00AA22F2">
              <w:rPr>
                <w:szCs w:val="20"/>
                <w:lang w:eastAsia="fr-FR" w:bidi="ar-SA"/>
              </w:rPr>
              <w:t>Nb de remplacements</w:t>
            </w:r>
          </w:p>
        </w:tc>
        <w:tc>
          <w:tcPr>
            <w:tcW w:w="0" w:type="auto"/>
            <w:hideMark/>
          </w:tcPr>
          <w:p w14:paraId="4B2C2B00" w14:textId="4C3D7F51" w:rsidR="006D1412" w:rsidRPr="00AA22F2" w:rsidRDefault="006D1412" w:rsidP="006D1412">
            <w:pPr>
              <w:cnfStyle w:val="000000000000" w:firstRow="0" w:lastRow="0" w:firstColumn="0" w:lastColumn="0" w:oddVBand="0" w:evenVBand="0" w:oddHBand="0" w:evenHBand="0" w:firstRowFirstColumn="0" w:firstRowLastColumn="0" w:lastRowFirstColumn="0" w:lastRowLastColumn="0"/>
              <w:rPr>
                <w:szCs w:val="20"/>
                <w:lang w:eastAsia="fr-FR" w:bidi="ar-SA"/>
              </w:rPr>
            </w:pPr>
            <w:r w:rsidRPr="00AA22F2">
              <w:rPr>
                <w:szCs w:val="20"/>
                <w:lang w:eastAsia="fr-FR" w:bidi="ar-SA"/>
              </w:rPr>
              <w:t>EPC et sous-traitants</w:t>
            </w:r>
          </w:p>
        </w:tc>
        <w:tc>
          <w:tcPr>
            <w:tcW w:w="0" w:type="auto"/>
            <w:hideMark/>
          </w:tcPr>
          <w:p w14:paraId="787A7ED5" w14:textId="25DCDEC8" w:rsidR="006D1412" w:rsidRPr="00AA22F2" w:rsidRDefault="006D1412" w:rsidP="006D1412">
            <w:pPr>
              <w:cnfStyle w:val="000000000000" w:firstRow="0" w:lastRow="0" w:firstColumn="0" w:lastColumn="0" w:oddVBand="0" w:evenVBand="0" w:oddHBand="0" w:evenHBand="0" w:firstRowFirstColumn="0" w:firstRowLastColumn="0" w:lastRowFirstColumn="0" w:lastRowLastColumn="0"/>
              <w:rPr>
                <w:szCs w:val="20"/>
                <w:lang w:eastAsia="fr-FR" w:bidi="ar-SA"/>
              </w:rPr>
            </w:pPr>
            <w:r w:rsidRPr="00BC1745">
              <w:rPr>
                <w:szCs w:val="20"/>
              </w:rPr>
              <w:t>Bureau de contrôle / Consultant de supervision mandaté par l’ONDA</w:t>
            </w:r>
          </w:p>
        </w:tc>
        <w:tc>
          <w:tcPr>
            <w:tcW w:w="0" w:type="auto"/>
            <w:hideMark/>
          </w:tcPr>
          <w:p w14:paraId="0E60976F" w14:textId="7EB6F1C4" w:rsidR="006D1412" w:rsidRPr="00AA22F2" w:rsidRDefault="006D1412" w:rsidP="006D1412">
            <w:pPr>
              <w:cnfStyle w:val="000000000000" w:firstRow="0" w:lastRow="0" w:firstColumn="0" w:lastColumn="0" w:oddVBand="0" w:evenVBand="0" w:oddHBand="0" w:evenHBand="0" w:firstRowFirstColumn="0" w:firstRowLastColumn="0" w:lastRowFirstColumn="0" w:lastRowLastColumn="0"/>
              <w:rPr>
                <w:szCs w:val="20"/>
                <w:lang w:eastAsia="fr-FR" w:bidi="ar-SA"/>
              </w:rPr>
            </w:pPr>
            <w:r w:rsidRPr="00AA22F2">
              <w:rPr>
                <w:szCs w:val="20"/>
                <w:lang w:eastAsia="fr-FR" w:bidi="ar-SA"/>
              </w:rPr>
              <w:t>ONDA</w:t>
            </w:r>
          </w:p>
        </w:tc>
        <w:tc>
          <w:tcPr>
            <w:tcW w:w="0" w:type="auto"/>
            <w:hideMark/>
          </w:tcPr>
          <w:p w14:paraId="2A9E4016" w14:textId="77777777" w:rsidR="006D1412" w:rsidRPr="00AA22F2" w:rsidRDefault="006D1412" w:rsidP="006D1412">
            <w:pPr>
              <w:cnfStyle w:val="000000000000" w:firstRow="0" w:lastRow="0" w:firstColumn="0" w:lastColumn="0" w:oddVBand="0" w:evenVBand="0" w:oddHBand="0" w:evenHBand="0" w:firstRowFirstColumn="0" w:firstRowLastColumn="0" w:lastRowFirstColumn="0" w:lastRowLastColumn="0"/>
              <w:rPr>
                <w:szCs w:val="20"/>
                <w:lang w:eastAsia="fr-FR" w:bidi="ar-SA"/>
              </w:rPr>
            </w:pPr>
            <w:r w:rsidRPr="00AA22F2">
              <w:rPr>
                <w:szCs w:val="20"/>
                <w:lang w:eastAsia="fr-FR" w:bidi="ar-SA"/>
              </w:rPr>
              <w:t>Selon besoin</w:t>
            </w:r>
          </w:p>
        </w:tc>
        <w:tc>
          <w:tcPr>
            <w:tcW w:w="0" w:type="auto"/>
            <w:hideMark/>
          </w:tcPr>
          <w:p w14:paraId="140D5FC4" w14:textId="0E6E21CA" w:rsidR="006D1412" w:rsidRPr="00AA22F2" w:rsidRDefault="005033A2" w:rsidP="006D1412">
            <w:pPr>
              <w:cnfStyle w:val="000000000000" w:firstRow="0" w:lastRow="0" w:firstColumn="0" w:lastColumn="0" w:oddVBand="0" w:evenVBand="0" w:oddHBand="0" w:evenHBand="0" w:firstRowFirstColumn="0" w:firstRowLastColumn="0" w:lastRowFirstColumn="0" w:lastRowLastColumn="0"/>
              <w:rPr>
                <w:szCs w:val="20"/>
                <w:lang w:eastAsia="fr-FR" w:bidi="ar-SA"/>
              </w:rPr>
            </w:pPr>
            <w:r>
              <w:rPr>
                <w:szCs w:val="20"/>
                <w:lang w:eastAsia="fr-FR" w:bidi="ar-SA"/>
              </w:rPr>
              <w:t>Aucun coût spécifique</w:t>
            </w:r>
          </w:p>
        </w:tc>
      </w:tr>
      <w:tr w:rsidR="000F5903" w:rsidRPr="00D75525" w14:paraId="579B0F70" w14:textId="77777777" w:rsidTr="000F5903">
        <w:trPr>
          <w:trHeight w:val="1276"/>
        </w:trPr>
        <w:tc>
          <w:tcPr>
            <w:cnfStyle w:val="001000000000" w:firstRow="0" w:lastRow="0" w:firstColumn="1" w:lastColumn="0" w:oddVBand="0" w:evenVBand="0" w:oddHBand="0" w:evenHBand="0" w:firstRowFirstColumn="0" w:firstRowLastColumn="0" w:lastRowFirstColumn="0" w:lastRowLastColumn="0"/>
            <w:tcW w:w="0" w:type="auto"/>
            <w:vMerge w:val="restart"/>
            <w:hideMark/>
          </w:tcPr>
          <w:p w14:paraId="372B40F8" w14:textId="77777777" w:rsidR="000F5903" w:rsidRPr="00AA22F2" w:rsidRDefault="000F5903" w:rsidP="006D1412">
            <w:pPr>
              <w:rPr>
                <w:szCs w:val="20"/>
                <w:lang w:eastAsia="fr-FR" w:bidi="ar-SA"/>
              </w:rPr>
            </w:pPr>
            <w:r w:rsidRPr="00AA22F2">
              <w:rPr>
                <w:szCs w:val="20"/>
                <w:lang w:eastAsia="fr-FR" w:bidi="ar-SA"/>
              </w:rPr>
              <w:t>Électrocution et incendie sur les installations temporaires</w:t>
            </w:r>
          </w:p>
        </w:tc>
        <w:tc>
          <w:tcPr>
            <w:tcW w:w="0" w:type="auto"/>
            <w:vMerge w:val="restart"/>
            <w:hideMark/>
          </w:tcPr>
          <w:p w14:paraId="11684057" w14:textId="77777777" w:rsidR="000F5903" w:rsidRPr="00AA22F2" w:rsidRDefault="000F5903" w:rsidP="006D1412">
            <w:pPr>
              <w:cnfStyle w:val="000000000000" w:firstRow="0" w:lastRow="0" w:firstColumn="0" w:lastColumn="0" w:oddVBand="0" w:evenVBand="0" w:oddHBand="0" w:evenHBand="0" w:firstRowFirstColumn="0" w:firstRowLastColumn="0" w:lastRowFirstColumn="0" w:lastRowLastColumn="0"/>
              <w:rPr>
                <w:szCs w:val="20"/>
                <w:lang w:eastAsia="fr-FR" w:bidi="ar-SA"/>
              </w:rPr>
            </w:pPr>
            <w:r w:rsidRPr="00AA22F2">
              <w:rPr>
                <w:b/>
                <w:bCs/>
                <w:szCs w:val="20"/>
                <w:lang w:eastAsia="fr-FR" w:bidi="ar-SA"/>
              </w:rPr>
              <w:t>Éviter</w:t>
            </w:r>
          </w:p>
        </w:tc>
        <w:tc>
          <w:tcPr>
            <w:tcW w:w="0" w:type="auto"/>
            <w:tcBorders>
              <w:bottom w:val="single" w:sz="4" w:space="0" w:color="B4C6E7" w:themeColor="accent1" w:themeTint="66"/>
            </w:tcBorders>
            <w:hideMark/>
          </w:tcPr>
          <w:p w14:paraId="6778FFB4" w14:textId="5EF4C6FF" w:rsidR="000F5903" w:rsidRPr="00AA22F2" w:rsidRDefault="000F5903" w:rsidP="006D1412">
            <w:pPr>
              <w:cnfStyle w:val="000000000000" w:firstRow="0" w:lastRow="0" w:firstColumn="0" w:lastColumn="0" w:oddVBand="0" w:evenVBand="0" w:oddHBand="0" w:evenHBand="0" w:firstRowFirstColumn="0" w:firstRowLastColumn="0" w:lastRowFirstColumn="0" w:lastRowLastColumn="0"/>
              <w:rPr>
                <w:szCs w:val="20"/>
                <w:lang w:eastAsia="fr-FR" w:bidi="ar-SA"/>
              </w:rPr>
            </w:pPr>
            <w:r w:rsidRPr="00AA22F2">
              <w:rPr>
                <w:szCs w:val="20"/>
                <w:lang w:eastAsia="fr-FR" w:bidi="ar-SA"/>
              </w:rPr>
              <w:t xml:space="preserve">Concevoir un plan d’alimentation électrique validé par un technicien agréé ; </w:t>
            </w:r>
          </w:p>
        </w:tc>
        <w:tc>
          <w:tcPr>
            <w:tcW w:w="0" w:type="auto"/>
            <w:vMerge w:val="restart"/>
            <w:hideMark/>
          </w:tcPr>
          <w:p w14:paraId="0EA5BC3D" w14:textId="77777777" w:rsidR="000F5903" w:rsidRPr="00AA22F2" w:rsidRDefault="000F5903" w:rsidP="006D1412">
            <w:pPr>
              <w:cnfStyle w:val="000000000000" w:firstRow="0" w:lastRow="0" w:firstColumn="0" w:lastColumn="0" w:oddVBand="0" w:evenVBand="0" w:oddHBand="0" w:evenHBand="0" w:firstRowFirstColumn="0" w:firstRowLastColumn="0" w:lastRowFirstColumn="0" w:lastRowLastColumn="0"/>
              <w:rPr>
                <w:szCs w:val="20"/>
                <w:lang w:eastAsia="fr-FR" w:bidi="ar-SA"/>
              </w:rPr>
            </w:pPr>
            <w:r w:rsidRPr="00AA22F2">
              <w:rPr>
                <w:szCs w:val="20"/>
                <w:lang w:eastAsia="fr-FR" w:bidi="ar-SA"/>
              </w:rPr>
              <w:t xml:space="preserve">% de conformité </w:t>
            </w:r>
          </w:p>
          <w:p w14:paraId="27F67BC7" w14:textId="255A2763" w:rsidR="000F5903" w:rsidRPr="00AA22F2" w:rsidRDefault="000F5903" w:rsidP="006D1412">
            <w:pPr>
              <w:cnfStyle w:val="000000000000" w:firstRow="0" w:lastRow="0" w:firstColumn="0" w:lastColumn="0" w:oddVBand="0" w:evenVBand="0" w:oddHBand="0" w:evenHBand="0" w:firstRowFirstColumn="0" w:firstRowLastColumn="0" w:lastRowFirstColumn="0" w:lastRowLastColumn="0"/>
              <w:rPr>
                <w:szCs w:val="20"/>
                <w:lang w:eastAsia="fr-FR" w:bidi="ar-SA"/>
              </w:rPr>
            </w:pPr>
            <w:r w:rsidRPr="00AA22F2">
              <w:rPr>
                <w:szCs w:val="20"/>
                <w:lang w:eastAsia="fr-FR" w:bidi="ar-SA"/>
              </w:rPr>
              <w:t>Nb d’inspections</w:t>
            </w:r>
          </w:p>
        </w:tc>
        <w:tc>
          <w:tcPr>
            <w:tcW w:w="0" w:type="auto"/>
            <w:vMerge w:val="restart"/>
            <w:hideMark/>
          </w:tcPr>
          <w:p w14:paraId="35F73D89" w14:textId="2DE9D52F" w:rsidR="000F5903" w:rsidRPr="00AA22F2" w:rsidRDefault="000F5903" w:rsidP="006D1412">
            <w:pPr>
              <w:cnfStyle w:val="000000000000" w:firstRow="0" w:lastRow="0" w:firstColumn="0" w:lastColumn="0" w:oddVBand="0" w:evenVBand="0" w:oddHBand="0" w:evenHBand="0" w:firstRowFirstColumn="0" w:firstRowLastColumn="0" w:lastRowFirstColumn="0" w:lastRowLastColumn="0"/>
              <w:rPr>
                <w:szCs w:val="20"/>
                <w:lang w:eastAsia="fr-FR" w:bidi="ar-SA"/>
              </w:rPr>
            </w:pPr>
            <w:r w:rsidRPr="00AA22F2">
              <w:rPr>
                <w:szCs w:val="20"/>
                <w:lang w:eastAsia="fr-FR" w:bidi="ar-SA"/>
              </w:rPr>
              <w:t>EPC et sous-traitants</w:t>
            </w:r>
          </w:p>
        </w:tc>
        <w:tc>
          <w:tcPr>
            <w:tcW w:w="0" w:type="auto"/>
            <w:vMerge w:val="restart"/>
            <w:hideMark/>
          </w:tcPr>
          <w:p w14:paraId="69008C1B" w14:textId="3F10E9FE" w:rsidR="000F5903" w:rsidRPr="00AA22F2" w:rsidRDefault="000F5903" w:rsidP="006D1412">
            <w:pPr>
              <w:cnfStyle w:val="000000000000" w:firstRow="0" w:lastRow="0" w:firstColumn="0" w:lastColumn="0" w:oddVBand="0" w:evenVBand="0" w:oddHBand="0" w:evenHBand="0" w:firstRowFirstColumn="0" w:firstRowLastColumn="0" w:lastRowFirstColumn="0" w:lastRowLastColumn="0"/>
              <w:rPr>
                <w:szCs w:val="20"/>
                <w:lang w:eastAsia="fr-FR" w:bidi="ar-SA"/>
              </w:rPr>
            </w:pPr>
            <w:r w:rsidRPr="00BC1745">
              <w:rPr>
                <w:szCs w:val="20"/>
              </w:rPr>
              <w:t>Bureau de contrôle / Consultant de supervision mandaté par l’ONDA</w:t>
            </w:r>
          </w:p>
        </w:tc>
        <w:tc>
          <w:tcPr>
            <w:tcW w:w="0" w:type="auto"/>
            <w:vMerge w:val="restart"/>
            <w:hideMark/>
          </w:tcPr>
          <w:p w14:paraId="550BD1C2" w14:textId="20A3DE19" w:rsidR="000F5903" w:rsidRPr="00AA22F2" w:rsidRDefault="000F5903" w:rsidP="006D1412">
            <w:pPr>
              <w:cnfStyle w:val="000000000000" w:firstRow="0" w:lastRow="0" w:firstColumn="0" w:lastColumn="0" w:oddVBand="0" w:evenVBand="0" w:oddHBand="0" w:evenHBand="0" w:firstRowFirstColumn="0" w:firstRowLastColumn="0" w:lastRowFirstColumn="0" w:lastRowLastColumn="0"/>
              <w:rPr>
                <w:szCs w:val="20"/>
                <w:lang w:eastAsia="fr-FR" w:bidi="ar-SA"/>
              </w:rPr>
            </w:pPr>
            <w:r w:rsidRPr="00AA22F2">
              <w:rPr>
                <w:szCs w:val="20"/>
                <w:lang w:eastAsia="fr-FR" w:bidi="ar-SA"/>
              </w:rPr>
              <w:t>ONDA</w:t>
            </w:r>
          </w:p>
        </w:tc>
        <w:tc>
          <w:tcPr>
            <w:tcW w:w="0" w:type="auto"/>
            <w:vMerge w:val="restart"/>
            <w:hideMark/>
          </w:tcPr>
          <w:p w14:paraId="417AD32C" w14:textId="77777777" w:rsidR="000F5903" w:rsidRPr="00AA22F2" w:rsidRDefault="000F5903" w:rsidP="006D1412">
            <w:pPr>
              <w:cnfStyle w:val="000000000000" w:firstRow="0" w:lastRow="0" w:firstColumn="0" w:lastColumn="0" w:oddVBand="0" w:evenVBand="0" w:oddHBand="0" w:evenHBand="0" w:firstRowFirstColumn="0" w:firstRowLastColumn="0" w:lastRowFirstColumn="0" w:lastRowLastColumn="0"/>
              <w:rPr>
                <w:szCs w:val="20"/>
                <w:lang w:eastAsia="fr-FR" w:bidi="ar-SA"/>
              </w:rPr>
            </w:pPr>
            <w:r w:rsidRPr="00AA22F2">
              <w:rPr>
                <w:szCs w:val="20"/>
                <w:lang w:eastAsia="fr-FR" w:bidi="ar-SA"/>
              </w:rPr>
              <w:t>Avant mise en tension</w:t>
            </w:r>
          </w:p>
        </w:tc>
        <w:tc>
          <w:tcPr>
            <w:tcW w:w="0" w:type="auto"/>
            <w:tcBorders>
              <w:bottom w:val="single" w:sz="4" w:space="0" w:color="B4C6E7" w:themeColor="accent1" w:themeTint="66"/>
            </w:tcBorders>
            <w:hideMark/>
          </w:tcPr>
          <w:p w14:paraId="200414B4" w14:textId="3212EE84" w:rsidR="000F5903" w:rsidRPr="00AA22F2" w:rsidRDefault="000F5903" w:rsidP="006D1412">
            <w:pPr>
              <w:cnfStyle w:val="000000000000" w:firstRow="0" w:lastRow="0" w:firstColumn="0" w:lastColumn="0" w:oddVBand="0" w:evenVBand="0" w:oddHBand="0" w:evenHBand="0" w:firstRowFirstColumn="0" w:firstRowLastColumn="0" w:lastRowFirstColumn="0" w:lastRowLastColumn="0"/>
              <w:rPr>
                <w:szCs w:val="20"/>
                <w:lang w:eastAsia="fr-FR" w:bidi="ar-SA"/>
              </w:rPr>
            </w:pPr>
            <w:r w:rsidRPr="000F5903">
              <w:rPr>
                <w:szCs w:val="20"/>
                <w:lang w:eastAsia="fr-FR" w:bidi="ar-SA"/>
              </w:rPr>
              <w:t>6 000 MAD / plan</w:t>
            </w:r>
          </w:p>
        </w:tc>
      </w:tr>
      <w:tr w:rsidR="000F5903" w:rsidRPr="00D75525" w14:paraId="0CFF705D" w14:textId="77777777" w:rsidTr="000F5903">
        <w:trPr>
          <w:trHeight w:val="731"/>
        </w:trPr>
        <w:tc>
          <w:tcPr>
            <w:cnfStyle w:val="001000000000" w:firstRow="0" w:lastRow="0" w:firstColumn="1" w:lastColumn="0" w:oddVBand="0" w:evenVBand="0" w:oddHBand="0" w:evenHBand="0" w:firstRowFirstColumn="0" w:firstRowLastColumn="0" w:lastRowFirstColumn="0" w:lastRowLastColumn="0"/>
            <w:tcW w:w="0" w:type="auto"/>
            <w:vMerge/>
          </w:tcPr>
          <w:p w14:paraId="3F4D0BC5" w14:textId="77777777" w:rsidR="000F5903" w:rsidRPr="00AA22F2" w:rsidRDefault="000F5903" w:rsidP="006D1412">
            <w:pPr>
              <w:rPr>
                <w:szCs w:val="20"/>
                <w:lang w:eastAsia="fr-FR" w:bidi="ar-SA"/>
              </w:rPr>
            </w:pPr>
          </w:p>
        </w:tc>
        <w:tc>
          <w:tcPr>
            <w:tcW w:w="0" w:type="auto"/>
            <w:vMerge/>
          </w:tcPr>
          <w:p w14:paraId="09C96CA5" w14:textId="77777777" w:rsidR="000F5903" w:rsidRPr="00AA22F2" w:rsidRDefault="000F5903" w:rsidP="006D1412">
            <w:pPr>
              <w:cnfStyle w:val="000000000000" w:firstRow="0" w:lastRow="0" w:firstColumn="0" w:lastColumn="0" w:oddVBand="0" w:evenVBand="0" w:oddHBand="0" w:evenHBand="0" w:firstRowFirstColumn="0" w:firstRowLastColumn="0" w:lastRowFirstColumn="0" w:lastRowLastColumn="0"/>
              <w:rPr>
                <w:b/>
                <w:bCs/>
                <w:szCs w:val="20"/>
                <w:lang w:eastAsia="fr-FR" w:bidi="ar-SA"/>
              </w:rPr>
            </w:pPr>
          </w:p>
        </w:tc>
        <w:tc>
          <w:tcPr>
            <w:tcW w:w="0" w:type="auto"/>
            <w:tcBorders>
              <w:top w:val="single" w:sz="4" w:space="0" w:color="B4C6E7" w:themeColor="accent1" w:themeTint="66"/>
              <w:bottom w:val="single" w:sz="4" w:space="0" w:color="B4C6E7" w:themeColor="accent1" w:themeTint="66"/>
            </w:tcBorders>
          </w:tcPr>
          <w:p w14:paraId="0F59B4E2" w14:textId="24C4FA4D" w:rsidR="000F5903" w:rsidRPr="00AA22F2" w:rsidRDefault="000F5903" w:rsidP="00146023">
            <w:pPr>
              <w:cnfStyle w:val="000000000000" w:firstRow="0" w:lastRow="0" w:firstColumn="0" w:lastColumn="0" w:oddVBand="0" w:evenVBand="0" w:oddHBand="0" w:evenHBand="0" w:firstRowFirstColumn="0" w:firstRowLastColumn="0" w:lastRowFirstColumn="0" w:lastRowLastColumn="0"/>
              <w:rPr>
                <w:szCs w:val="20"/>
                <w:lang w:eastAsia="fr-FR" w:bidi="ar-SA"/>
              </w:rPr>
            </w:pPr>
            <w:r w:rsidRPr="00AA22F2">
              <w:rPr>
                <w:szCs w:val="20"/>
                <w:lang w:eastAsia="fr-FR" w:bidi="ar-SA"/>
              </w:rPr>
              <w:t>Interdire les branchements sauvages ;</w:t>
            </w:r>
          </w:p>
        </w:tc>
        <w:tc>
          <w:tcPr>
            <w:tcW w:w="0" w:type="auto"/>
            <w:vMerge/>
          </w:tcPr>
          <w:p w14:paraId="7F7D0BC1" w14:textId="77777777" w:rsidR="000F5903" w:rsidRPr="00AA22F2" w:rsidRDefault="000F5903" w:rsidP="006D1412">
            <w:pPr>
              <w:cnfStyle w:val="000000000000" w:firstRow="0" w:lastRow="0" w:firstColumn="0" w:lastColumn="0" w:oddVBand="0" w:evenVBand="0" w:oddHBand="0" w:evenHBand="0" w:firstRowFirstColumn="0" w:firstRowLastColumn="0" w:lastRowFirstColumn="0" w:lastRowLastColumn="0"/>
              <w:rPr>
                <w:szCs w:val="20"/>
                <w:lang w:eastAsia="fr-FR" w:bidi="ar-SA"/>
              </w:rPr>
            </w:pPr>
          </w:p>
        </w:tc>
        <w:tc>
          <w:tcPr>
            <w:tcW w:w="0" w:type="auto"/>
            <w:vMerge/>
          </w:tcPr>
          <w:p w14:paraId="7B38DA27" w14:textId="77777777" w:rsidR="000F5903" w:rsidRPr="00AA22F2" w:rsidRDefault="000F5903" w:rsidP="006D1412">
            <w:pPr>
              <w:cnfStyle w:val="000000000000" w:firstRow="0" w:lastRow="0" w:firstColumn="0" w:lastColumn="0" w:oddVBand="0" w:evenVBand="0" w:oddHBand="0" w:evenHBand="0" w:firstRowFirstColumn="0" w:firstRowLastColumn="0" w:lastRowFirstColumn="0" w:lastRowLastColumn="0"/>
              <w:rPr>
                <w:szCs w:val="20"/>
                <w:lang w:eastAsia="fr-FR" w:bidi="ar-SA"/>
              </w:rPr>
            </w:pPr>
          </w:p>
        </w:tc>
        <w:tc>
          <w:tcPr>
            <w:tcW w:w="0" w:type="auto"/>
            <w:vMerge/>
          </w:tcPr>
          <w:p w14:paraId="4F1611DD" w14:textId="77777777" w:rsidR="000F5903" w:rsidRPr="00BC1745" w:rsidRDefault="000F5903" w:rsidP="006D1412">
            <w:pPr>
              <w:cnfStyle w:val="000000000000" w:firstRow="0" w:lastRow="0" w:firstColumn="0" w:lastColumn="0" w:oddVBand="0" w:evenVBand="0" w:oddHBand="0" w:evenHBand="0" w:firstRowFirstColumn="0" w:firstRowLastColumn="0" w:lastRowFirstColumn="0" w:lastRowLastColumn="0"/>
              <w:rPr>
                <w:szCs w:val="20"/>
              </w:rPr>
            </w:pPr>
          </w:p>
        </w:tc>
        <w:tc>
          <w:tcPr>
            <w:tcW w:w="0" w:type="auto"/>
            <w:vMerge/>
          </w:tcPr>
          <w:p w14:paraId="1CB82354" w14:textId="77777777" w:rsidR="000F5903" w:rsidRPr="00AA22F2" w:rsidRDefault="000F5903" w:rsidP="006D1412">
            <w:pPr>
              <w:cnfStyle w:val="000000000000" w:firstRow="0" w:lastRow="0" w:firstColumn="0" w:lastColumn="0" w:oddVBand="0" w:evenVBand="0" w:oddHBand="0" w:evenHBand="0" w:firstRowFirstColumn="0" w:firstRowLastColumn="0" w:lastRowFirstColumn="0" w:lastRowLastColumn="0"/>
              <w:rPr>
                <w:szCs w:val="20"/>
                <w:lang w:eastAsia="fr-FR" w:bidi="ar-SA"/>
              </w:rPr>
            </w:pPr>
          </w:p>
        </w:tc>
        <w:tc>
          <w:tcPr>
            <w:tcW w:w="0" w:type="auto"/>
            <w:vMerge/>
          </w:tcPr>
          <w:p w14:paraId="5F301166" w14:textId="77777777" w:rsidR="000F5903" w:rsidRPr="00AA22F2" w:rsidRDefault="000F5903" w:rsidP="006D1412">
            <w:pPr>
              <w:cnfStyle w:val="000000000000" w:firstRow="0" w:lastRow="0" w:firstColumn="0" w:lastColumn="0" w:oddVBand="0" w:evenVBand="0" w:oddHBand="0" w:evenHBand="0" w:firstRowFirstColumn="0" w:firstRowLastColumn="0" w:lastRowFirstColumn="0" w:lastRowLastColumn="0"/>
              <w:rPr>
                <w:szCs w:val="20"/>
                <w:lang w:eastAsia="fr-FR" w:bidi="ar-SA"/>
              </w:rPr>
            </w:pPr>
          </w:p>
        </w:tc>
        <w:tc>
          <w:tcPr>
            <w:tcW w:w="0" w:type="auto"/>
            <w:tcBorders>
              <w:top w:val="single" w:sz="4" w:space="0" w:color="B4C6E7" w:themeColor="accent1" w:themeTint="66"/>
              <w:bottom w:val="single" w:sz="4" w:space="0" w:color="B4C6E7" w:themeColor="accent1" w:themeTint="66"/>
            </w:tcBorders>
          </w:tcPr>
          <w:p w14:paraId="5218659F" w14:textId="403C99CA" w:rsidR="000F5903" w:rsidRPr="00AA22F2" w:rsidRDefault="000F5903" w:rsidP="006D1412">
            <w:pPr>
              <w:cnfStyle w:val="000000000000" w:firstRow="0" w:lastRow="0" w:firstColumn="0" w:lastColumn="0" w:oddVBand="0" w:evenVBand="0" w:oddHBand="0" w:evenHBand="0" w:firstRowFirstColumn="0" w:firstRowLastColumn="0" w:lastRowFirstColumn="0" w:lastRowLastColumn="0"/>
              <w:rPr>
                <w:szCs w:val="20"/>
                <w:lang w:eastAsia="fr-FR" w:bidi="ar-SA"/>
              </w:rPr>
            </w:pPr>
            <w:r w:rsidRPr="000F5903">
              <w:rPr>
                <w:szCs w:val="20"/>
                <w:lang w:eastAsia="fr-FR" w:bidi="ar-SA"/>
              </w:rPr>
              <w:t>Aucun coût spécifique</w:t>
            </w:r>
          </w:p>
        </w:tc>
      </w:tr>
      <w:tr w:rsidR="000F5903" w:rsidRPr="00D75525" w14:paraId="2DE45BF0" w14:textId="77777777" w:rsidTr="000F5903">
        <w:trPr>
          <w:trHeight w:val="753"/>
        </w:trPr>
        <w:tc>
          <w:tcPr>
            <w:cnfStyle w:val="001000000000" w:firstRow="0" w:lastRow="0" w:firstColumn="1" w:lastColumn="0" w:oddVBand="0" w:evenVBand="0" w:oddHBand="0" w:evenHBand="0" w:firstRowFirstColumn="0" w:firstRowLastColumn="0" w:lastRowFirstColumn="0" w:lastRowLastColumn="0"/>
            <w:tcW w:w="0" w:type="auto"/>
            <w:vMerge/>
          </w:tcPr>
          <w:p w14:paraId="7E0185E8" w14:textId="77777777" w:rsidR="000F5903" w:rsidRPr="00AA22F2" w:rsidRDefault="000F5903" w:rsidP="006D1412">
            <w:pPr>
              <w:rPr>
                <w:szCs w:val="20"/>
                <w:lang w:eastAsia="fr-FR" w:bidi="ar-SA"/>
              </w:rPr>
            </w:pPr>
          </w:p>
        </w:tc>
        <w:tc>
          <w:tcPr>
            <w:tcW w:w="0" w:type="auto"/>
            <w:vMerge/>
          </w:tcPr>
          <w:p w14:paraId="1B7B0A2C" w14:textId="77777777" w:rsidR="000F5903" w:rsidRPr="00AA22F2" w:rsidRDefault="000F5903" w:rsidP="006D1412">
            <w:pPr>
              <w:cnfStyle w:val="000000000000" w:firstRow="0" w:lastRow="0" w:firstColumn="0" w:lastColumn="0" w:oddVBand="0" w:evenVBand="0" w:oddHBand="0" w:evenHBand="0" w:firstRowFirstColumn="0" w:firstRowLastColumn="0" w:lastRowFirstColumn="0" w:lastRowLastColumn="0"/>
              <w:rPr>
                <w:b/>
                <w:bCs/>
                <w:szCs w:val="20"/>
                <w:lang w:eastAsia="fr-FR" w:bidi="ar-SA"/>
              </w:rPr>
            </w:pPr>
          </w:p>
        </w:tc>
        <w:tc>
          <w:tcPr>
            <w:tcW w:w="0" w:type="auto"/>
            <w:tcBorders>
              <w:top w:val="single" w:sz="4" w:space="0" w:color="B4C6E7" w:themeColor="accent1" w:themeTint="66"/>
            </w:tcBorders>
          </w:tcPr>
          <w:p w14:paraId="5A41FB3F" w14:textId="51BD3506" w:rsidR="000F5903" w:rsidRPr="00AA22F2" w:rsidRDefault="000F5903" w:rsidP="000F5903">
            <w:pPr>
              <w:cnfStyle w:val="000000000000" w:firstRow="0" w:lastRow="0" w:firstColumn="0" w:lastColumn="0" w:oddVBand="0" w:evenVBand="0" w:oddHBand="0" w:evenHBand="0" w:firstRowFirstColumn="0" w:firstRowLastColumn="0" w:lastRowFirstColumn="0" w:lastRowLastColumn="0"/>
              <w:rPr>
                <w:szCs w:val="20"/>
                <w:lang w:eastAsia="fr-FR" w:bidi="ar-SA"/>
              </w:rPr>
            </w:pPr>
            <w:r w:rsidRPr="00AA22F2">
              <w:rPr>
                <w:szCs w:val="20"/>
                <w:lang w:eastAsia="fr-FR" w:bidi="ar-SA"/>
              </w:rPr>
              <w:t xml:space="preserve"> Utiliser du matériel ISO certifié.</w:t>
            </w:r>
          </w:p>
        </w:tc>
        <w:tc>
          <w:tcPr>
            <w:tcW w:w="0" w:type="auto"/>
            <w:vMerge/>
          </w:tcPr>
          <w:p w14:paraId="305081BF" w14:textId="77777777" w:rsidR="000F5903" w:rsidRPr="00AA22F2" w:rsidRDefault="000F5903" w:rsidP="006D1412">
            <w:pPr>
              <w:cnfStyle w:val="000000000000" w:firstRow="0" w:lastRow="0" w:firstColumn="0" w:lastColumn="0" w:oddVBand="0" w:evenVBand="0" w:oddHBand="0" w:evenHBand="0" w:firstRowFirstColumn="0" w:firstRowLastColumn="0" w:lastRowFirstColumn="0" w:lastRowLastColumn="0"/>
              <w:rPr>
                <w:szCs w:val="20"/>
                <w:lang w:eastAsia="fr-FR" w:bidi="ar-SA"/>
              </w:rPr>
            </w:pPr>
          </w:p>
        </w:tc>
        <w:tc>
          <w:tcPr>
            <w:tcW w:w="0" w:type="auto"/>
            <w:vMerge/>
          </w:tcPr>
          <w:p w14:paraId="1B8E3868" w14:textId="77777777" w:rsidR="000F5903" w:rsidRPr="00AA22F2" w:rsidRDefault="000F5903" w:rsidP="006D1412">
            <w:pPr>
              <w:cnfStyle w:val="000000000000" w:firstRow="0" w:lastRow="0" w:firstColumn="0" w:lastColumn="0" w:oddVBand="0" w:evenVBand="0" w:oddHBand="0" w:evenHBand="0" w:firstRowFirstColumn="0" w:firstRowLastColumn="0" w:lastRowFirstColumn="0" w:lastRowLastColumn="0"/>
              <w:rPr>
                <w:szCs w:val="20"/>
                <w:lang w:eastAsia="fr-FR" w:bidi="ar-SA"/>
              </w:rPr>
            </w:pPr>
          </w:p>
        </w:tc>
        <w:tc>
          <w:tcPr>
            <w:tcW w:w="0" w:type="auto"/>
            <w:vMerge/>
          </w:tcPr>
          <w:p w14:paraId="3A16B437" w14:textId="77777777" w:rsidR="000F5903" w:rsidRPr="00BC1745" w:rsidRDefault="000F5903" w:rsidP="006D1412">
            <w:pPr>
              <w:cnfStyle w:val="000000000000" w:firstRow="0" w:lastRow="0" w:firstColumn="0" w:lastColumn="0" w:oddVBand="0" w:evenVBand="0" w:oddHBand="0" w:evenHBand="0" w:firstRowFirstColumn="0" w:firstRowLastColumn="0" w:lastRowFirstColumn="0" w:lastRowLastColumn="0"/>
              <w:rPr>
                <w:szCs w:val="20"/>
              </w:rPr>
            </w:pPr>
          </w:p>
        </w:tc>
        <w:tc>
          <w:tcPr>
            <w:tcW w:w="0" w:type="auto"/>
            <w:vMerge/>
          </w:tcPr>
          <w:p w14:paraId="140C71EF" w14:textId="77777777" w:rsidR="000F5903" w:rsidRPr="00AA22F2" w:rsidRDefault="000F5903" w:rsidP="006D1412">
            <w:pPr>
              <w:cnfStyle w:val="000000000000" w:firstRow="0" w:lastRow="0" w:firstColumn="0" w:lastColumn="0" w:oddVBand="0" w:evenVBand="0" w:oddHBand="0" w:evenHBand="0" w:firstRowFirstColumn="0" w:firstRowLastColumn="0" w:lastRowFirstColumn="0" w:lastRowLastColumn="0"/>
              <w:rPr>
                <w:szCs w:val="20"/>
                <w:lang w:eastAsia="fr-FR" w:bidi="ar-SA"/>
              </w:rPr>
            </w:pPr>
          </w:p>
        </w:tc>
        <w:tc>
          <w:tcPr>
            <w:tcW w:w="0" w:type="auto"/>
            <w:vMerge/>
          </w:tcPr>
          <w:p w14:paraId="3C7B8A08" w14:textId="77777777" w:rsidR="000F5903" w:rsidRPr="00AA22F2" w:rsidRDefault="000F5903" w:rsidP="006D1412">
            <w:pPr>
              <w:cnfStyle w:val="000000000000" w:firstRow="0" w:lastRow="0" w:firstColumn="0" w:lastColumn="0" w:oddVBand="0" w:evenVBand="0" w:oddHBand="0" w:evenHBand="0" w:firstRowFirstColumn="0" w:firstRowLastColumn="0" w:lastRowFirstColumn="0" w:lastRowLastColumn="0"/>
              <w:rPr>
                <w:szCs w:val="20"/>
                <w:lang w:eastAsia="fr-FR" w:bidi="ar-SA"/>
              </w:rPr>
            </w:pPr>
          </w:p>
        </w:tc>
        <w:tc>
          <w:tcPr>
            <w:tcW w:w="0" w:type="auto"/>
            <w:tcBorders>
              <w:top w:val="single" w:sz="4" w:space="0" w:color="B4C6E7" w:themeColor="accent1" w:themeTint="66"/>
            </w:tcBorders>
          </w:tcPr>
          <w:p w14:paraId="6A6B3530" w14:textId="0779BD8E" w:rsidR="000F5903" w:rsidRPr="00AA22F2" w:rsidRDefault="000F5903" w:rsidP="006D1412">
            <w:pPr>
              <w:cnfStyle w:val="000000000000" w:firstRow="0" w:lastRow="0" w:firstColumn="0" w:lastColumn="0" w:oddVBand="0" w:evenVBand="0" w:oddHBand="0" w:evenHBand="0" w:firstRowFirstColumn="0" w:firstRowLastColumn="0" w:lastRowFirstColumn="0" w:lastRowLastColumn="0"/>
              <w:rPr>
                <w:szCs w:val="20"/>
                <w:lang w:eastAsia="fr-FR" w:bidi="ar-SA"/>
              </w:rPr>
            </w:pPr>
            <w:r w:rsidRPr="000F5903">
              <w:rPr>
                <w:szCs w:val="20"/>
                <w:lang w:eastAsia="fr-FR" w:bidi="ar-SA"/>
              </w:rPr>
              <w:t>Aucun coût spécifique</w:t>
            </w:r>
          </w:p>
        </w:tc>
      </w:tr>
      <w:tr w:rsidR="00336CEE" w:rsidRPr="00D75525" w14:paraId="58885765" w14:textId="77777777" w:rsidTr="00336CEE">
        <w:trPr>
          <w:trHeight w:val="1342"/>
        </w:trPr>
        <w:tc>
          <w:tcPr>
            <w:cnfStyle w:val="001000000000" w:firstRow="0" w:lastRow="0" w:firstColumn="1" w:lastColumn="0" w:oddVBand="0" w:evenVBand="0" w:oddHBand="0" w:evenHBand="0" w:firstRowFirstColumn="0" w:firstRowLastColumn="0" w:lastRowFirstColumn="0" w:lastRowLastColumn="0"/>
            <w:tcW w:w="0" w:type="auto"/>
            <w:vMerge/>
            <w:hideMark/>
          </w:tcPr>
          <w:p w14:paraId="72AC118D" w14:textId="77777777" w:rsidR="00336CEE" w:rsidRPr="00AA22F2" w:rsidRDefault="00336CEE" w:rsidP="006D1412">
            <w:pPr>
              <w:rPr>
                <w:szCs w:val="20"/>
                <w:lang w:eastAsia="fr-FR" w:bidi="ar-SA"/>
              </w:rPr>
            </w:pPr>
          </w:p>
        </w:tc>
        <w:tc>
          <w:tcPr>
            <w:tcW w:w="0" w:type="auto"/>
            <w:vMerge w:val="restart"/>
            <w:hideMark/>
          </w:tcPr>
          <w:p w14:paraId="4E2A5492" w14:textId="77777777" w:rsidR="00336CEE" w:rsidRPr="00AA22F2" w:rsidRDefault="00336CEE" w:rsidP="006D1412">
            <w:pPr>
              <w:cnfStyle w:val="000000000000" w:firstRow="0" w:lastRow="0" w:firstColumn="0" w:lastColumn="0" w:oddVBand="0" w:evenVBand="0" w:oddHBand="0" w:evenHBand="0" w:firstRowFirstColumn="0" w:firstRowLastColumn="0" w:lastRowFirstColumn="0" w:lastRowLastColumn="0"/>
              <w:rPr>
                <w:szCs w:val="20"/>
                <w:lang w:eastAsia="fr-FR" w:bidi="ar-SA"/>
              </w:rPr>
            </w:pPr>
            <w:r w:rsidRPr="00AA22F2">
              <w:rPr>
                <w:b/>
                <w:bCs/>
                <w:szCs w:val="20"/>
                <w:lang w:eastAsia="fr-FR" w:bidi="ar-SA"/>
              </w:rPr>
              <w:t>Réduire</w:t>
            </w:r>
          </w:p>
        </w:tc>
        <w:tc>
          <w:tcPr>
            <w:tcW w:w="0" w:type="auto"/>
            <w:tcBorders>
              <w:bottom w:val="single" w:sz="4" w:space="0" w:color="B4C6E7" w:themeColor="accent1" w:themeTint="66"/>
            </w:tcBorders>
            <w:hideMark/>
          </w:tcPr>
          <w:p w14:paraId="48FB32BD" w14:textId="262DC6F0" w:rsidR="00336CEE" w:rsidRPr="00AA22F2" w:rsidRDefault="00336CEE" w:rsidP="006D1412">
            <w:pPr>
              <w:cnfStyle w:val="000000000000" w:firstRow="0" w:lastRow="0" w:firstColumn="0" w:lastColumn="0" w:oddVBand="0" w:evenVBand="0" w:oddHBand="0" w:evenHBand="0" w:firstRowFirstColumn="0" w:firstRowLastColumn="0" w:lastRowFirstColumn="0" w:lastRowLastColumn="0"/>
              <w:rPr>
                <w:szCs w:val="20"/>
                <w:lang w:eastAsia="fr-FR" w:bidi="ar-SA"/>
              </w:rPr>
            </w:pPr>
            <w:r w:rsidRPr="00AA22F2">
              <w:rPr>
                <w:szCs w:val="20"/>
                <w:lang w:eastAsia="fr-FR" w:bidi="ar-SA"/>
              </w:rPr>
              <w:t xml:space="preserve">Former le personnel aux procédures de consignation et d’extinction ; </w:t>
            </w:r>
          </w:p>
        </w:tc>
        <w:tc>
          <w:tcPr>
            <w:tcW w:w="0" w:type="auto"/>
            <w:vMerge w:val="restart"/>
            <w:hideMark/>
          </w:tcPr>
          <w:p w14:paraId="02F23A62" w14:textId="77777777" w:rsidR="00336CEE" w:rsidRPr="00AA22F2" w:rsidRDefault="00336CEE" w:rsidP="006D1412">
            <w:pPr>
              <w:cnfStyle w:val="000000000000" w:firstRow="0" w:lastRow="0" w:firstColumn="0" w:lastColumn="0" w:oddVBand="0" w:evenVBand="0" w:oddHBand="0" w:evenHBand="0" w:firstRowFirstColumn="0" w:firstRowLastColumn="0" w:lastRowFirstColumn="0" w:lastRowLastColumn="0"/>
              <w:rPr>
                <w:szCs w:val="20"/>
                <w:lang w:eastAsia="fr-FR" w:bidi="ar-SA"/>
              </w:rPr>
            </w:pPr>
            <w:r w:rsidRPr="00AA22F2">
              <w:rPr>
                <w:szCs w:val="20"/>
                <w:lang w:eastAsia="fr-FR" w:bidi="ar-SA"/>
              </w:rPr>
              <w:t xml:space="preserve">% de personnel formé </w:t>
            </w:r>
          </w:p>
          <w:p w14:paraId="67D6645C" w14:textId="66FC9522" w:rsidR="00336CEE" w:rsidRPr="00AA22F2" w:rsidRDefault="00336CEE" w:rsidP="006D1412">
            <w:pPr>
              <w:cnfStyle w:val="000000000000" w:firstRow="0" w:lastRow="0" w:firstColumn="0" w:lastColumn="0" w:oddVBand="0" w:evenVBand="0" w:oddHBand="0" w:evenHBand="0" w:firstRowFirstColumn="0" w:firstRowLastColumn="0" w:lastRowFirstColumn="0" w:lastRowLastColumn="0"/>
              <w:rPr>
                <w:szCs w:val="20"/>
                <w:lang w:eastAsia="fr-FR" w:bidi="ar-SA"/>
              </w:rPr>
            </w:pPr>
            <w:r w:rsidRPr="00AA22F2">
              <w:rPr>
                <w:szCs w:val="20"/>
                <w:lang w:eastAsia="fr-FR" w:bidi="ar-SA"/>
              </w:rPr>
              <w:t>Nb d’inspections</w:t>
            </w:r>
          </w:p>
        </w:tc>
        <w:tc>
          <w:tcPr>
            <w:tcW w:w="0" w:type="auto"/>
            <w:vMerge w:val="restart"/>
            <w:hideMark/>
          </w:tcPr>
          <w:p w14:paraId="26D50640" w14:textId="63ECEA50" w:rsidR="00336CEE" w:rsidRPr="00AA22F2" w:rsidRDefault="00336CEE" w:rsidP="006D1412">
            <w:pPr>
              <w:cnfStyle w:val="000000000000" w:firstRow="0" w:lastRow="0" w:firstColumn="0" w:lastColumn="0" w:oddVBand="0" w:evenVBand="0" w:oddHBand="0" w:evenHBand="0" w:firstRowFirstColumn="0" w:firstRowLastColumn="0" w:lastRowFirstColumn="0" w:lastRowLastColumn="0"/>
              <w:rPr>
                <w:szCs w:val="20"/>
                <w:lang w:eastAsia="fr-FR" w:bidi="ar-SA"/>
              </w:rPr>
            </w:pPr>
            <w:r w:rsidRPr="00AA22F2">
              <w:rPr>
                <w:szCs w:val="20"/>
                <w:lang w:eastAsia="fr-FR" w:bidi="ar-SA"/>
              </w:rPr>
              <w:t>EPC et sous-traitants</w:t>
            </w:r>
          </w:p>
        </w:tc>
        <w:tc>
          <w:tcPr>
            <w:tcW w:w="0" w:type="auto"/>
            <w:vMerge w:val="restart"/>
            <w:hideMark/>
          </w:tcPr>
          <w:p w14:paraId="555D7D25" w14:textId="5E5393E3" w:rsidR="00336CEE" w:rsidRPr="00AA22F2" w:rsidRDefault="00336CEE" w:rsidP="006D1412">
            <w:pPr>
              <w:cnfStyle w:val="000000000000" w:firstRow="0" w:lastRow="0" w:firstColumn="0" w:lastColumn="0" w:oddVBand="0" w:evenVBand="0" w:oddHBand="0" w:evenHBand="0" w:firstRowFirstColumn="0" w:firstRowLastColumn="0" w:lastRowFirstColumn="0" w:lastRowLastColumn="0"/>
              <w:rPr>
                <w:szCs w:val="20"/>
                <w:lang w:eastAsia="fr-FR" w:bidi="ar-SA"/>
              </w:rPr>
            </w:pPr>
            <w:r w:rsidRPr="00BC1745">
              <w:rPr>
                <w:szCs w:val="20"/>
              </w:rPr>
              <w:t>Bureau de contrôle / Consultant de supervision mandaté par l’ONDA</w:t>
            </w:r>
          </w:p>
        </w:tc>
        <w:tc>
          <w:tcPr>
            <w:tcW w:w="0" w:type="auto"/>
            <w:vMerge w:val="restart"/>
            <w:hideMark/>
          </w:tcPr>
          <w:p w14:paraId="7E96E19C" w14:textId="225FAC0A" w:rsidR="00336CEE" w:rsidRPr="00AA22F2" w:rsidRDefault="00336CEE" w:rsidP="006D1412">
            <w:pPr>
              <w:cnfStyle w:val="000000000000" w:firstRow="0" w:lastRow="0" w:firstColumn="0" w:lastColumn="0" w:oddVBand="0" w:evenVBand="0" w:oddHBand="0" w:evenHBand="0" w:firstRowFirstColumn="0" w:firstRowLastColumn="0" w:lastRowFirstColumn="0" w:lastRowLastColumn="0"/>
              <w:rPr>
                <w:szCs w:val="20"/>
                <w:lang w:eastAsia="fr-FR" w:bidi="ar-SA"/>
              </w:rPr>
            </w:pPr>
            <w:r w:rsidRPr="00AA22F2">
              <w:rPr>
                <w:szCs w:val="20"/>
                <w:lang w:eastAsia="fr-FR" w:bidi="ar-SA"/>
              </w:rPr>
              <w:t>ONDA</w:t>
            </w:r>
          </w:p>
        </w:tc>
        <w:tc>
          <w:tcPr>
            <w:tcW w:w="0" w:type="auto"/>
            <w:vMerge w:val="restart"/>
            <w:hideMark/>
          </w:tcPr>
          <w:p w14:paraId="7D5A1075" w14:textId="77777777" w:rsidR="00336CEE" w:rsidRPr="00AA22F2" w:rsidRDefault="00336CEE" w:rsidP="006D1412">
            <w:pPr>
              <w:cnfStyle w:val="000000000000" w:firstRow="0" w:lastRow="0" w:firstColumn="0" w:lastColumn="0" w:oddVBand="0" w:evenVBand="0" w:oddHBand="0" w:evenHBand="0" w:firstRowFirstColumn="0" w:firstRowLastColumn="0" w:lastRowFirstColumn="0" w:lastRowLastColumn="0"/>
              <w:rPr>
                <w:szCs w:val="20"/>
                <w:lang w:eastAsia="fr-FR" w:bidi="ar-SA"/>
              </w:rPr>
            </w:pPr>
            <w:r w:rsidRPr="00AA22F2">
              <w:rPr>
                <w:szCs w:val="20"/>
                <w:lang w:eastAsia="fr-FR" w:bidi="ar-SA"/>
              </w:rPr>
              <w:t>Hebdomadaire</w:t>
            </w:r>
          </w:p>
        </w:tc>
        <w:tc>
          <w:tcPr>
            <w:tcW w:w="0" w:type="auto"/>
            <w:tcBorders>
              <w:bottom w:val="single" w:sz="4" w:space="0" w:color="B4C6E7" w:themeColor="accent1" w:themeTint="66"/>
            </w:tcBorders>
            <w:hideMark/>
          </w:tcPr>
          <w:p w14:paraId="03366333" w14:textId="62A81925" w:rsidR="00336CEE" w:rsidRPr="00AA22F2" w:rsidRDefault="00336CEE" w:rsidP="006D1412">
            <w:pPr>
              <w:cnfStyle w:val="000000000000" w:firstRow="0" w:lastRow="0" w:firstColumn="0" w:lastColumn="0" w:oddVBand="0" w:evenVBand="0" w:oddHBand="0" w:evenHBand="0" w:firstRowFirstColumn="0" w:firstRowLastColumn="0" w:lastRowFirstColumn="0" w:lastRowLastColumn="0"/>
              <w:rPr>
                <w:szCs w:val="20"/>
                <w:lang w:eastAsia="fr-FR" w:bidi="ar-SA"/>
              </w:rPr>
            </w:pPr>
            <w:r w:rsidRPr="00336CEE">
              <w:rPr>
                <w:szCs w:val="20"/>
                <w:lang w:eastAsia="fr-FR" w:bidi="ar-SA"/>
              </w:rPr>
              <w:t>6 000 MAD / session (15 pers.)</w:t>
            </w:r>
          </w:p>
        </w:tc>
      </w:tr>
      <w:tr w:rsidR="00336CEE" w:rsidRPr="00D75525" w14:paraId="73789C90" w14:textId="77777777" w:rsidTr="00336CEE">
        <w:trPr>
          <w:trHeight w:val="982"/>
        </w:trPr>
        <w:tc>
          <w:tcPr>
            <w:cnfStyle w:val="001000000000" w:firstRow="0" w:lastRow="0" w:firstColumn="1" w:lastColumn="0" w:oddVBand="0" w:evenVBand="0" w:oddHBand="0" w:evenHBand="0" w:firstRowFirstColumn="0" w:firstRowLastColumn="0" w:lastRowFirstColumn="0" w:lastRowLastColumn="0"/>
            <w:tcW w:w="0" w:type="auto"/>
            <w:vMerge/>
          </w:tcPr>
          <w:p w14:paraId="206EFB70" w14:textId="77777777" w:rsidR="00336CEE" w:rsidRPr="00AA22F2" w:rsidRDefault="00336CEE" w:rsidP="006D1412">
            <w:pPr>
              <w:rPr>
                <w:szCs w:val="20"/>
                <w:lang w:eastAsia="fr-FR" w:bidi="ar-SA"/>
              </w:rPr>
            </w:pPr>
          </w:p>
        </w:tc>
        <w:tc>
          <w:tcPr>
            <w:tcW w:w="0" w:type="auto"/>
            <w:vMerge/>
          </w:tcPr>
          <w:p w14:paraId="5CB0AEFC" w14:textId="77777777" w:rsidR="00336CEE" w:rsidRPr="00AA22F2" w:rsidRDefault="00336CEE" w:rsidP="006D1412">
            <w:pPr>
              <w:cnfStyle w:val="000000000000" w:firstRow="0" w:lastRow="0" w:firstColumn="0" w:lastColumn="0" w:oddVBand="0" w:evenVBand="0" w:oddHBand="0" w:evenHBand="0" w:firstRowFirstColumn="0" w:firstRowLastColumn="0" w:lastRowFirstColumn="0" w:lastRowLastColumn="0"/>
              <w:rPr>
                <w:b/>
                <w:bCs/>
                <w:szCs w:val="20"/>
                <w:lang w:eastAsia="fr-FR" w:bidi="ar-SA"/>
              </w:rPr>
            </w:pPr>
          </w:p>
        </w:tc>
        <w:tc>
          <w:tcPr>
            <w:tcW w:w="0" w:type="auto"/>
            <w:tcBorders>
              <w:top w:val="single" w:sz="4" w:space="0" w:color="B4C6E7" w:themeColor="accent1" w:themeTint="66"/>
            </w:tcBorders>
          </w:tcPr>
          <w:p w14:paraId="0135D557" w14:textId="77777777" w:rsidR="00336CEE" w:rsidRPr="00AA22F2" w:rsidRDefault="00336CEE" w:rsidP="00336CEE">
            <w:pPr>
              <w:cnfStyle w:val="000000000000" w:firstRow="0" w:lastRow="0" w:firstColumn="0" w:lastColumn="0" w:oddVBand="0" w:evenVBand="0" w:oddHBand="0" w:evenHBand="0" w:firstRowFirstColumn="0" w:firstRowLastColumn="0" w:lastRowFirstColumn="0" w:lastRowLastColumn="0"/>
              <w:rPr>
                <w:szCs w:val="20"/>
                <w:lang w:eastAsia="fr-FR" w:bidi="ar-SA"/>
              </w:rPr>
            </w:pPr>
            <w:r w:rsidRPr="00AA22F2">
              <w:rPr>
                <w:szCs w:val="20"/>
                <w:lang w:eastAsia="fr-FR" w:bidi="ar-SA"/>
              </w:rPr>
              <w:t>Effectuer une inspection hebdomadaire des câbles et coffrets.</w:t>
            </w:r>
          </w:p>
        </w:tc>
        <w:tc>
          <w:tcPr>
            <w:tcW w:w="0" w:type="auto"/>
            <w:vMerge/>
          </w:tcPr>
          <w:p w14:paraId="09460B47" w14:textId="77777777" w:rsidR="00336CEE" w:rsidRPr="00AA22F2" w:rsidRDefault="00336CEE" w:rsidP="006D1412">
            <w:pPr>
              <w:cnfStyle w:val="000000000000" w:firstRow="0" w:lastRow="0" w:firstColumn="0" w:lastColumn="0" w:oddVBand="0" w:evenVBand="0" w:oddHBand="0" w:evenHBand="0" w:firstRowFirstColumn="0" w:firstRowLastColumn="0" w:lastRowFirstColumn="0" w:lastRowLastColumn="0"/>
              <w:rPr>
                <w:szCs w:val="20"/>
                <w:lang w:eastAsia="fr-FR" w:bidi="ar-SA"/>
              </w:rPr>
            </w:pPr>
          </w:p>
        </w:tc>
        <w:tc>
          <w:tcPr>
            <w:tcW w:w="0" w:type="auto"/>
            <w:vMerge/>
          </w:tcPr>
          <w:p w14:paraId="5F2B5DC3" w14:textId="77777777" w:rsidR="00336CEE" w:rsidRPr="00AA22F2" w:rsidRDefault="00336CEE" w:rsidP="006D1412">
            <w:pPr>
              <w:cnfStyle w:val="000000000000" w:firstRow="0" w:lastRow="0" w:firstColumn="0" w:lastColumn="0" w:oddVBand="0" w:evenVBand="0" w:oddHBand="0" w:evenHBand="0" w:firstRowFirstColumn="0" w:firstRowLastColumn="0" w:lastRowFirstColumn="0" w:lastRowLastColumn="0"/>
              <w:rPr>
                <w:szCs w:val="20"/>
                <w:lang w:eastAsia="fr-FR" w:bidi="ar-SA"/>
              </w:rPr>
            </w:pPr>
          </w:p>
        </w:tc>
        <w:tc>
          <w:tcPr>
            <w:tcW w:w="0" w:type="auto"/>
            <w:vMerge/>
          </w:tcPr>
          <w:p w14:paraId="1DB8E54F" w14:textId="77777777" w:rsidR="00336CEE" w:rsidRPr="00BC1745" w:rsidRDefault="00336CEE" w:rsidP="006D1412">
            <w:pPr>
              <w:cnfStyle w:val="000000000000" w:firstRow="0" w:lastRow="0" w:firstColumn="0" w:lastColumn="0" w:oddVBand="0" w:evenVBand="0" w:oddHBand="0" w:evenHBand="0" w:firstRowFirstColumn="0" w:firstRowLastColumn="0" w:lastRowFirstColumn="0" w:lastRowLastColumn="0"/>
              <w:rPr>
                <w:szCs w:val="20"/>
              </w:rPr>
            </w:pPr>
          </w:p>
        </w:tc>
        <w:tc>
          <w:tcPr>
            <w:tcW w:w="0" w:type="auto"/>
            <w:vMerge/>
          </w:tcPr>
          <w:p w14:paraId="5941D33A" w14:textId="77777777" w:rsidR="00336CEE" w:rsidRPr="00AA22F2" w:rsidRDefault="00336CEE" w:rsidP="006D1412">
            <w:pPr>
              <w:cnfStyle w:val="000000000000" w:firstRow="0" w:lastRow="0" w:firstColumn="0" w:lastColumn="0" w:oddVBand="0" w:evenVBand="0" w:oddHBand="0" w:evenHBand="0" w:firstRowFirstColumn="0" w:firstRowLastColumn="0" w:lastRowFirstColumn="0" w:lastRowLastColumn="0"/>
              <w:rPr>
                <w:szCs w:val="20"/>
                <w:lang w:eastAsia="fr-FR" w:bidi="ar-SA"/>
              </w:rPr>
            </w:pPr>
          </w:p>
        </w:tc>
        <w:tc>
          <w:tcPr>
            <w:tcW w:w="0" w:type="auto"/>
            <w:vMerge/>
          </w:tcPr>
          <w:p w14:paraId="4D513581" w14:textId="77777777" w:rsidR="00336CEE" w:rsidRPr="00AA22F2" w:rsidRDefault="00336CEE" w:rsidP="006D1412">
            <w:pPr>
              <w:cnfStyle w:val="000000000000" w:firstRow="0" w:lastRow="0" w:firstColumn="0" w:lastColumn="0" w:oddVBand="0" w:evenVBand="0" w:oddHBand="0" w:evenHBand="0" w:firstRowFirstColumn="0" w:firstRowLastColumn="0" w:lastRowFirstColumn="0" w:lastRowLastColumn="0"/>
              <w:rPr>
                <w:szCs w:val="20"/>
                <w:lang w:eastAsia="fr-FR" w:bidi="ar-SA"/>
              </w:rPr>
            </w:pPr>
          </w:p>
        </w:tc>
        <w:tc>
          <w:tcPr>
            <w:tcW w:w="0" w:type="auto"/>
            <w:tcBorders>
              <w:top w:val="single" w:sz="4" w:space="0" w:color="B4C6E7" w:themeColor="accent1" w:themeTint="66"/>
            </w:tcBorders>
          </w:tcPr>
          <w:p w14:paraId="3F7E831C" w14:textId="223C5B4B" w:rsidR="00336CEE" w:rsidRPr="00AA22F2" w:rsidRDefault="00336CEE" w:rsidP="006D1412">
            <w:pPr>
              <w:cnfStyle w:val="000000000000" w:firstRow="0" w:lastRow="0" w:firstColumn="0" w:lastColumn="0" w:oddVBand="0" w:evenVBand="0" w:oddHBand="0" w:evenHBand="0" w:firstRowFirstColumn="0" w:firstRowLastColumn="0" w:lastRowFirstColumn="0" w:lastRowLastColumn="0"/>
              <w:rPr>
                <w:szCs w:val="20"/>
                <w:lang w:eastAsia="fr-FR" w:bidi="ar-SA"/>
              </w:rPr>
            </w:pPr>
            <w:r w:rsidRPr="00336CEE">
              <w:rPr>
                <w:szCs w:val="20"/>
                <w:lang w:eastAsia="fr-FR" w:bidi="ar-SA"/>
              </w:rPr>
              <w:t>Aucun coût spécifique</w:t>
            </w:r>
            <w:r>
              <w:rPr>
                <w:szCs w:val="20"/>
                <w:lang w:eastAsia="fr-FR" w:bidi="ar-SA"/>
              </w:rPr>
              <w:t xml:space="preserve"> (</w:t>
            </w:r>
            <w:r w:rsidRPr="00336CEE">
              <w:rPr>
                <w:szCs w:val="20"/>
                <w:lang w:eastAsia="fr-FR" w:bidi="ar-SA"/>
              </w:rPr>
              <w:t>Activité du responsable HSSE</w:t>
            </w:r>
            <w:r>
              <w:rPr>
                <w:szCs w:val="20"/>
                <w:lang w:eastAsia="fr-FR" w:bidi="ar-SA"/>
              </w:rPr>
              <w:t xml:space="preserve"> (17000MAD/mois)</w:t>
            </w:r>
            <w:r w:rsidRPr="00336CEE">
              <w:rPr>
                <w:szCs w:val="20"/>
                <w:lang w:eastAsia="fr-FR" w:bidi="ar-SA"/>
              </w:rPr>
              <w:t xml:space="preserve"> et coordinateur E&amp;S</w:t>
            </w:r>
            <w:r>
              <w:rPr>
                <w:szCs w:val="20"/>
                <w:lang w:eastAsia="fr-FR" w:bidi="ar-SA"/>
              </w:rPr>
              <w:t xml:space="preserve"> (8000MAD/mois))</w:t>
            </w:r>
          </w:p>
        </w:tc>
      </w:tr>
      <w:tr w:rsidR="007A7D58" w:rsidRPr="00D75525" w14:paraId="5D41CD43" w14:textId="77777777" w:rsidTr="007A7D58">
        <w:trPr>
          <w:trHeight w:val="731"/>
        </w:trPr>
        <w:tc>
          <w:tcPr>
            <w:cnfStyle w:val="001000000000" w:firstRow="0" w:lastRow="0" w:firstColumn="1" w:lastColumn="0" w:oddVBand="0" w:evenVBand="0" w:oddHBand="0" w:evenHBand="0" w:firstRowFirstColumn="0" w:firstRowLastColumn="0" w:lastRowFirstColumn="0" w:lastRowLastColumn="0"/>
            <w:tcW w:w="0" w:type="auto"/>
            <w:vMerge/>
            <w:hideMark/>
          </w:tcPr>
          <w:p w14:paraId="018D9C8F" w14:textId="77777777" w:rsidR="007A7D58" w:rsidRPr="00AA22F2" w:rsidRDefault="007A7D58" w:rsidP="006D1412">
            <w:pPr>
              <w:rPr>
                <w:szCs w:val="20"/>
                <w:lang w:eastAsia="fr-FR" w:bidi="ar-SA"/>
              </w:rPr>
            </w:pPr>
          </w:p>
        </w:tc>
        <w:tc>
          <w:tcPr>
            <w:tcW w:w="0" w:type="auto"/>
            <w:vMerge w:val="restart"/>
            <w:hideMark/>
          </w:tcPr>
          <w:p w14:paraId="30BBBC6B" w14:textId="77777777" w:rsidR="007A7D58" w:rsidRPr="00AA22F2" w:rsidRDefault="007A7D58" w:rsidP="006D1412">
            <w:pPr>
              <w:cnfStyle w:val="000000000000" w:firstRow="0" w:lastRow="0" w:firstColumn="0" w:lastColumn="0" w:oddVBand="0" w:evenVBand="0" w:oddHBand="0" w:evenHBand="0" w:firstRowFirstColumn="0" w:firstRowLastColumn="0" w:lastRowFirstColumn="0" w:lastRowLastColumn="0"/>
              <w:rPr>
                <w:szCs w:val="20"/>
                <w:lang w:eastAsia="fr-FR" w:bidi="ar-SA"/>
              </w:rPr>
            </w:pPr>
            <w:r w:rsidRPr="00AA22F2">
              <w:rPr>
                <w:b/>
                <w:bCs/>
                <w:szCs w:val="20"/>
                <w:lang w:eastAsia="fr-FR" w:bidi="ar-SA"/>
              </w:rPr>
              <w:t>Atténuer</w:t>
            </w:r>
          </w:p>
        </w:tc>
        <w:tc>
          <w:tcPr>
            <w:tcW w:w="0" w:type="auto"/>
            <w:tcBorders>
              <w:bottom w:val="single" w:sz="4" w:space="0" w:color="B4C6E7" w:themeColor="accent1" w:themeTint="66"/>
            </w:tcBorders>
            <w:hideMark/>
          </w:tcPr>
          <w:p w14:paraId="2D381DA1" w14:textId="2C440B74" w:rsidR="007A7D58" w:rsidRPr="00AA22F2" w:rsidRDefault="007A7D58" w:rsidP="006D1412">
            <w:pPr>
              <w:cnfStyle w:val="000000000000" w:firstRow="0" w:lastRow="0" w:firstColumn="0" w:lastColumn="0" w:oddVBand="0" w:evenVBand="0" w:oddHBand="0" w:evenHBand="0" w:firstRowFirstColumn="0" w:firstRowLastColumn="0" w:lastRowFirstColumn="0" w:lastRowLastColumn="0"/>
              <w:rPr>
                <w:szCs w:val="20"/>
                <w:lang w:eastAsia="fr-FR" w:bidi="ar-SA"/>
              </w:rPr>
            </w:pPr>
            <w:r w:rsidRPr="00AA22F2">
              <w:rPr>
                <w:szCs w:val="20"/>
                <w:lang w:eastAsia="fr-FR" w:bidi="ar-SA"/>
              </w:rPr>
              <w:t xml:space="preserve">Installer extincteurs et détecteurs de fumée ; </w:t>
            </w:r>
          </w:p>
        </w:tc>
        <w:tc>
          <w:tcPr>
            <w:tcW w:w="0" w:type="auto"/>
            <w:vMerge w:val="restart"/>
            <w:hideMark/>
          </w:tcPr>
          <w:p w14:paraId="6BD037BF" w14:textId="77777777" w:rsidR="007A7D58" w:rsidRPr="00AA22F2" w:rsidRDefault="007A7D58" w:rsidP="006D1412">
            <w:pPr>
              <w:cnfStyle w:val="000000000000" w:firstRow="0" w:lastRow="0" w:firstColumn="0" w:lastColumn="0" w:oddVBand="0" w:evenVBand="0" w:oddHBand="0" w:evenHBand="0" w:firstRowFirstColumn="0" w:firstRowLastColumn="0" w:lastRowFirstColumn="0" w:lastRowLastColumn="0"/>
              <w:rPr>
                <w:szCs w:val="20"/>
                <w:lang w:eastAsia="fr-FR" w:bidi="ar-SA"/>
              </w:rPr>
            </w:pPr>
            <w:r w:rsidRPr="00AA22F2">
              <w:rPr>
                <w:szCs w:val="20"/>
                <w:lang w:eastAsia="fr-FR" w:bidi="ar-SA"/>
              </w:rPr>
              <w:t xml:space="preserve">Nb d’équipements installés </w:t>
            </w:r>
          </w:p>
          <w:p w14:paraId="5CD576C6" w14:textId="200E9E00" w:rsidR="007A7D58" w:rsidRPr="00AA22F2" w:rsidRDefault="007A7D58" w:rsidP="006D1412">
            <w:pPr>
              <w:cnfStyle w:val="000000000000" w:firstRow="0" w:lastRow="0" w:firstColumn="0" w:lastColumn="0" w:oddVBand="0" w:evenVBand="0" w:oddHBand="0" w:evenHBand="0" w:firstRowFirstColumn="0" w:firstRowLastColumn="0" w:lastRowFirstColumn="0" w:lastRowLastColumn="0"/>
              <w:rPr>
                <w:szCs w:val="20"/>
                <w:lang w:eastAsia="fr-FR" w:bidi="ar-SA"/>
              </w:rPr>
            </w:pPr>
            <w:r w:rsidRPr="00AA22F2">
              <w:rPr>
                <w:szCs w:val="20"/>
                <w:lang w:eastAsia="fr-FR" w:bidi="ar-SA"/>
              </w:rPr>
              <w:t>Nb de responsables désignés</w:t>
            </w:r>
          </w:p>
        </w:tc>
        <w:tc>
          <w:tcPr>
            <w:tcW w:w="0" w:type="auto"/>
            <w:vMerge w:val="restart"/>
            <w:hideMark/>
          </w:tcPr>
          <w:p w14:paraId="043A84DB" w14:textId="4FD768B4" w:rsidR="007A7D58" w:rsidRPr="00AA22F2" w:rsidRDefault="007A7D58" w:rsidP="006D1412">
            <w:pPr>
              <w:cnfStyle w:val="000000000000" w:firstRow="0" w:lastRow="0" w:firstColumn="0" w:lastColumn="0" w:oddVBand="0" w:evenVBand="0" w:oddHBand="0" w:evenHBand="0" w:firstRowFirstColumn="0" w:firstRowLastColumn="0" w:lastRowFirstColumn="0" w:lastRowLastColumn="0"/>
              <w:rPr>
                <w:szCs w:val="20"/>
                <w:lang w:eastAsia="fr-FR" w:bidi="ar-SA"/>
              </w:rPr>
            </w:pPr>
            <w:r w:rsidRPr="00AA22F2">
              <w:rPr>
                <w:szCs w:val="20"/>
                <w:lang w:eastAsia="fr-FR" w:bidi="ar-SA"/>
              </w:rPr>
              <w:t>EPC et sous-traitants</w:t>
            </w:r>
          </w:p>
        </w:tc>
        <w:tc>
          <w:tcPr>
            <w:tcW w:w="0" w:type="auto"/>
            <w:vMerge w:val="restart"/>
            <w:hideMark/>
          </w:tcPr>
          <w:p w14:paraId="5407652D" w14:textId="0C8012E3" w:rsidR="007A7D58" w:rsidRPr="00AA22F2" w:rsidRDefault="007A7D58" w:rsidP="006D1412">
            <w:pPr>
              <w:cnfStyle w:val="000000000000" w:firstRow="0" w:lastRow="0" w:firstColumn="0" w:lastColumn="0" w:oddVBand="0" w:evenVBand="0" w:oddHBand="0" w:evenHBand="0" w:firstRowFirstColumn="0" w:firstRowLastColumn="0" w:lastRowFirstColumn="0" w:lastRowLastColumn="0"/>
              <w:rPr>
                <w:szCs w:val="20"/>
                <w:lang w:eastAsia="fr-FR" w:bidi="ar-SA"/>
              </w:rPr>
            </w:pPr>
            <w:r w:rsidRPr="00BC1745">
              <w:rPr>
                <w:szCs w:val="20"/>
              </w:rPr>
              <w:t>Bureau de contrôle / Consultant de supervision mandaté par l’ONDA</w:t>
            </w:r>
          </w:p>
        </w:tc>
        <w:tc>
          <w:tcPr>
            <w:tcW w:w="0" w:type="auto"/>
            <w:vMerge w:val="restart"/>
            <w:hideMark/>
          </w:tcPr>
          <w:p w14:paraId="3AC16237" w14:textId="286DB0AB" w:rsidR="007A7D58" w:rsidRPr="00AA22F2" w:rsidRDefault="007A7D58" w:rsidP="006D1412">
            <w:pPr>
              <w:cnfStyle w:val="000000000000" w:firstRow="0" w:lastRow="0" w:firstColumn="0" w:lastColumn="0" w:oddVBand="0" w:evenVBand="0" w:oddHBand="0" w:evenHBand="0" w:firstRowFirstColumn="0" w:firstRowLastColumn="0" w:lastRowFirstColumn="0" w:lastRowLastColumn="0"/>
              <w:rPr>
                <w:szCs w:val="20"/>
                <w:lang w:eastAsia="fr-FR" w:bidi="ar-SA"/>
              </w:rPr>
            </w:pPr>
            <w:r w:rsidRPr="00AA22F2">
              <w:rPr>
                <w:szCs w:val="20"/>
                <w:lang w:eastAsia="fr-FR" w:bidi="ar-SA"/>
              </w:rPr>
              <w:t>ONDA</w:t>
            </w:r>
          </w:p>
        </w:tc>
        <w:tc>
          <w:tcPr>
            <w:tcW w:w="0" w:type="auto"/>
            <w:vMerge w:val="restart"/>
            <w:hideMark/>
          </w:tcPr>
          <w:p w14:paraId="27E19CEB" w14:textId="77777777" w:rsidR="007A7D58" w:rsidRPr="00AA22F2" w:rsidRDefault="007A7D58" w:rsidP="006D1412">
            <w:pPr>
              <w:cnfStyle w:val="000000000000" w:firstRow="0" w:lastRow="0" w:firstColumn="0" w:lastColumn="0" w:oddVBand="0" w:evenVBand="0" w:oddHBand="0" w:evenHBand="0" w:firstRowFirstColumn="0" w:firstRowLastColumn="0" w:lastRowFirstColumn="0" w:lastRowLastColumn="0"/>
              <w:rPr>
                <w:szCs w:val="20"/>
                <w:lang w:eastAsia="fr-FR" w:bidi="ar-SA"/>
              </w:rPr>
            </w:pPr>
            <w:r w:rsidRPr="00AA22F2">
              <w:rPr>
                <w:szCs w:val="20"/>
                <w:lang w:eastAsia="fr-FR" w:bidi="ar-SA"/>
              </w:rPr>
              <w:t>En continu</w:t>
            </w:r>
          </w:p>
        </w:tc>
        <w:tc>
          <w:tcPr>
            <w:tcW w:w="0" w:type="auto"/>
            <w:tcBorders>
              <w:bottom w:val="single" w:sz="4" w:space="0" w:color="B4C6E7" w:themeColor="accent1" w:themeTint="66"/>
            </w:tcBorders>
            <w:hideMark/>
          </w:tcPr>
          <w:p w14:paraId="154D9B0C" w14:textId="65D984D8" w:rsidR="007A7D58" w:rsidRPr="00AA22F2" w:rsidRDefault="007A7D58" w:rsidP="006D1412">
            <w:pPr>
              <w:cnfStyle w:val="000000000000" w:firstRow="0" w:lastRow="0" w:firstColumn="0" w:lastColumn="0" w:oddVBand="0" w:evenVBand="0" w:oddHBand="0" w:evenHBand="0" w:firstRowFirstColumn="0" w:firstRowLastColumn="0" w:lastRowFirstColumn="0" w:lastRowLastColumn="0"/>
              <w:rPr>
                <w:szCs w:val="20"/>
                <w:lang w:eastAsia="fr-FR" w:bidi="ar-SA"/>
              </w:rPr>
            </w:pPr>
            <w:r w:rsidRPr="00336CEE">
              <w:rPr>
                <w:szCs w:val="20"/>
                <w:lang w:eastAsia="fr-FR" w:bidi="ar-SA"/>
              </w:rPr>
              <w:t>1 200 MAD / extincteur, 800 MAD / détecteur</w:t>
            </w:r>
          </w:p>
        </w:tc>
      </w:tr>
      <w:tr w:rsidR="007A7D58" w:rsidRPr="00D75525" w14:paraId="4BB7393B" w14:textId="77777777" w:rsidTr="007A7D58">
        <w:trPr>
          <w:trHeight w:val="1309"/>
        </w:trPr>
        <w:tc>
          <w:tcPr>
            <w:cnfStyle w:val="001000000000" w:firstRow="0" w:lastRow="0" w:firstColumn="1" w:lastColumn="0" w:oddVBand="0" w:evenVBand="0" w:oddHBand="0" w:evenHBand="0" w:firstRowFirstColumn="0" w:firstRowLastColumn="0" w:lastRowFirstColumn="0" w:lastRowLastColumn="0"/>
            <w:tcW w:w="0" w:type="auto"/>
            <w:vMerge/>
          </w:tcPr>
          <w:p w14:paraId="1E127AB9" w14:textId="77777777" w:rsidR="007A7D58" w:rsidRPr="00AA22F2" w:rsidRDefault="007A7D58" w:rsidP="007A7D58">
            <w:pPr>
              <w:rPr>
                <w:szCs w:val="20"/>
                <w:lang w:eastAsia="fr-FR" w:bidi="ar-SA"/>
              </w:rPr>
            </w:pPr>
          </w:p>
        </w:tc>
        <w:tc>
          <w:tcPr>
            <w:tcW w:w="0" w:type="auto"/>
            <w:vMerge/>
          </w:tcPr>
          <w:p w14:paraId="45FADC0E" w14:textId="77777777" w:rsidR="007A7D58" w:rsidRPr="00AA22F2" w:rsidRDefault="007A7D58" w:rsidP="007A7D58">
            <w:pPr>
              <w:cnfStyle w:val="000000000000" w:firstRow="0" w:lastRow="0" w:firstColumn="0" w:lastColumn="0" w:oddVBand="0" w:evenVBand="0" w:oddHBand="0" w:evenHBand="0" w:firstRowFirstColumn="0" w:firstRowLastColumn="0" w:lastRowFirstColumn="0" w:lastRowLastColumn="0"/>
              <w:rPr>
                <w:b/>
                <w:bCs/>
                <w:szCs w:val="20"/>
                <w:lang w:eastAsia="fr-FR" w:bidi="ar-SA"/>
              </w:rPr>
            </w:pPr>
          </w:p>
        </w:tc>
        <w:tc>
          <w:tcPr>
            <w:tcW w:w="0" w:type="auto"/>
            <w:tcBorders>
              <w:top w:val="single" w:sz="4" w:space="0" w:color="B4C6E7" w:themeColor="accent1" w:themeTint="66"/>
            </w:tcBorders>
          </w:tcPr>
          <w:p w14:paraId="43D8DE8D" w14:textId="77777777" w:rsidR="007A7D58" w:rsidRPr="00AA22F2" w:rsidRDefault="007A7D58" w:rsidP="007A7D58">
            <w:pPr>
              <w:cnfStyle w:val="000000000000" w:firstRow="0" w:lastRow="0" w:firstColumn="0" w:lastColumn="0" w:oddVBand="0" w:evenVBand="0" w:oddHBand="0" w:evenHBand="0" w:firstRowFirstColumn="0" w:firstRowLastColumn="0" w:lastRowFirstColumn="0" w:lastRowLastColumn="0"/>
              <w:rPr>
                <w:szCs w:val="20"/>
                <w:lang w:eastAsia="fr-FR" w:bidi="ar-SA"/>
              </w:rPr>
            </w:pPr>
            <w:r w:rsidRPr="00AA22F2">
              <w:rPr>
                <w:szCs w:val="20"/>
                <w:lang w:eastAsia="fr-FR" w:bidi="ar-SA"/>
              </w:rPr>
              <w:t>Désigner un responsable incendie par zone.</w:t>
            </w:r>
          </w:p>
        </w:tc>
        <w:tc>
          <w:tcPr>
            <w:tcW w:w="0" w:type="auto"/>
            <w:vMerge/>
          </w:tcPr>
          <w:p w14:paraId="71DE9C6A" w14:textId="77777777" w:rsidR="007A7D58" w:rsidRPr="00AA22F2" w:rsidRDefault="007A7D58" w:rsidP="007A7D58">
            <w:pPr>
              <w:cnfStyle w:val="000000000000" w:firstRow="0" w:lastRow="0" w:firstColumn="0" w:lastColumn="0" w:oddVBand="0" w:evenVBand="0" w:oddHBand="0" w:evenHBand="0" w:firstRowFirstColumn="0" w:firstRowLastColumn="0" w:lastRowFirstColumn="0" w:lastRowLastColumn="0"/>
              <w:rPr>
                <w:szCs w:val="20"/>
                <w:lang w:eastAsia="fr-FR" w:bidi="ar-SA"/>
              </w:rPr>
            </w:pPr>
          </w:p>
        </w:tc>
        <w:tc>
          <w:tcPr>
            <w:tcW w:w="0" w:type="auto"/>
            <w:vMerge/>
          </w:tcPr>
          <w:p w14:paraId="04237C82" w14:textId="77777777" w:rsidR="007A7D58" w:rsidRPr="00AA22F2" w:rsidRDefault="007A7D58" w:rsidP="007A7D58">
            <w:pPr>
              <w:cnfStyle w:val="000000000000" w:firstRow="0" w:lastRow="0" w:firstColumn="0" w:lastColumn="0" w:oddVBand="0" w:evenVBand="0" w:oddHBand="0" w:evenHBand="0" w:firstRowFirstColumn="0" w:firstRowLastColumn="0" w:lastRowFirstColumn="0" w:lastRowLastColumn="0"/>
              <w:rPr>
                <w:szCs w:val="20"/>
                <w:lang w:eastAsia="fr-FR" w:bidi="ar-SA"/>
              </w:rPr>
            </w:pPr>
          </w:p>
        </w:tc>
        <w:tc>
          <w:tcPr>
            <w:tcW w:w="0" w:type="auto"/>
            <w:vMerge/>
          </w:tcPr>
          <w:p w14:paraId="606C2D37" w14:textId="77777777" w:rsidR="007A7D58" w:rsidRPr="00BC1745" w:rsidRDefault="007A7D58" w:rsidP="007A7D58">
            <w:pPr>
              <w:cnfStyle w:val="000000000000" w:firstRow="0" w:lastRow="0" w:firstColumn="0" w:lastColumn="0" w:oddVBand="0" w:evenVBand="0" w:oddHBand="0" w:evenHBand="0" w:firstRowFirstColumn="0" w:firstRowLastColumn="0" w:lastRowFirstColumn="0" w:lastRowLastColumn="0"/>
              <w:rPr>
                <w:szCs w:val="20"/>
              </w:rPr>
            </w:pPr>
          </w:p>
        </w:tc>
        <w:tc>
          <w:tcPr>
            <w:tcW w:w="0" w:type="auto"/>
            <w:vMerge/>
          </w:tcPr>
          <w:p w14:paraId="310F7458" w14:textId="77777777" w:rsidR="007A7D58" w:rsidRPr="00AA22F2" w:rsidRDefault="007A7D58" w:rsidP="007A7D58">
            <w:pPr>
              <w:cnfStyle w:val="000000000000" w:firstRow="0" w:lastRow="0" w:firstColumn="0" w:lastColumn="0" w:oddVBand="0" w:evenVBand="0" w:oddHBand="0" w:evenHBand="0" w:firstRowFirstColumn="0" w:firstRowLastColumn="0" w:lastRowFirstColumn="0" w:lastRowLastColumn="0"/>
              <w:rPr>
                <w:szCs w:val="20"/>
                <w:lang w:eastAsia="fr-FR" w:bidi="ar-SA"/>
              </w:rPr>
            </w:pPr>
          </w:p>
        </w:tc>
        <w:tc>
          <w:tcPr>
            <w:tcW w:w="0" w:type="auto"/>
            <w:vMerge/>
          </w:tcPr>
          <w:p w14:paraId="38EF13E2" w14:textId="77777777" w:rsidR="007A7D58" w:rsidRPr="00AA22F2" w:rsidRDefault="007A7D58" w:rsidP="007A7D58">
            <w:pPr>
              <w:cnfStyle w:val="000000000000" w:firstRow="0" w:lastRow="0" w:firstColumn="0" w:lastColumn="0" w:oddVBand="0" w:evenVBand="0" w:oddHBand="0" w:evenHBand="0" w:firstRowFirstColumn="0" w:firstRowLastColumn="0" w:lastRowFirstColumn="0" w:lastRowLastColumn="0"/>
              <w:rPr>
                <w:szCs w:val="20"/>
                <w:lang w:eastAsia="fr-FR" w:bidi="ar-SA"/>
              </w:rPr>
            </w:pPr>
          </w:p>
        </w:tc>
        <w:tc>
          <w:tcPr>
            <w:tcW w:w="0" w:type="auto"/>
            <w:tcBorders>
              <w:top w:val="single" w:sz="4" w:space="0" w:color="B4C6E7" w:themeColor="accent1" w:themeTint="66"/>
            </w:tcBorders>
          </w:tcPr>
          <w:p w14:paraId="46DA9C9E" w14:textId="06D3D110" w:rsidR="007A7D58" w:rsidRPr="00336CEE" w:rsidRDefault="007A7D58" w:rsidP="007A7D58">
            <w:pPr>
              <w:cnfStyle w:val="000000000000" w:firstRow="0" w:lastRow="0" w:firstColumn="0" w:lastColumn="0" w:oddVBand="0" w:evenVBand="0" w:oddHBand="0" w:evenHBand="0" w:firstRowFirstColumn="0" w:firstRowLastColumn="0" w:lastRowFirstColumn="0" w:lastRowLastColumn="0"/>
              <w:rPr>
                <w:szCs w:val="20"/>
                <w:lang w:eastAsia="fr-FR" w:bidi="ar-SA"/>
              </w:rPr>
            </w:pPr>
            <w:r w:rsidRPr="000F5903">
              <w:rPr>
                <w:szCs w:val="20"/>
                <w:lang w:eastAsia="fr-FR" w:bidi="ar-SA"/>
              </w:rPr>
              <w:t>Aucun coût spécifique</w:t>
            </w:r>
          </w:p>
        </w:tc>
      </w:tr>
      <w:tr w:rsidR="007A7D58" w:rsidRPr="00D75525" w14:paraId="6440F1EA" w14:textId="77777777" w:rsidTr="00065104">
        <w:tc>
          <w:tcPr>
            <w:cnfStyle w:val="001000000000" w:firstRow="0" w:lastRow="0" w:firstColumn="1" w:lastColumn="0" w:oddVBand="0" w:evenVBand="0" w:oddHBand="0" w:evenHBand="0" w:firstRowFirstColumn="0" w:firstRowLastColumn="0" w:lastRowFirstColumn="0" w:lastRowLastColumn="0"/>
            <w:tcW w:w="0" w:type="auto"/>
            <w:vMerge/>
            <w:hideMark/>
          </w:tcPr>
          <w:p w14:paraId="406C5C21" w14:textId="77777777" w:rsidR="007A7D58" w:rsidRPr="00AA22F2" w:rsidRDefault="007A7D58" w:rsidP="007A7D58">
            <w:pPr>
              <w:rPr>
                <w:szCs w:val="20"/>
                <w:lang w:eastAsia="fr-FR" w:bidi="ar-SA"/>
              </w:rPr>
            </w:pPr>
          </w:p>
        </w:tc>
        <w:tc>
          <w:tcPr>
            <w:tcW w:w="0" w:type="auto"/>
            <w:hideMark/>
          </w:tcPr>
          <w:p w14:paraId="18174132" w14:textId="77777777" w:rsidR="007A7D58" w:rsidRPr="00AA22F2" w:rsidRDefault="007A7D58" w:rsidP="007A7D58">
            <w:pPr>
              <w:cnfStyle w:val="000000000000" w:firstRow="0" w:lastRow="0" w:firstColumn="0" w:lastColumn="0" w:oddVBand="0" w:evenVBand="0" w:oddHBand="0" w:evenHBand="0" w:firstRowFirstColumn="0" w:firstRowLastColumn="0" w:lastRowFirstColumn="0" w:lastRowLastColumn="0"/>
              <w:rPr>
                <w:szCs w:val="20"/>
                <w:lang w:eastAsia="fr-FR" w:bidi="ar-SA"/>
              </w:rPr>
            </w:pPr>
            <w:r w:rsidRPr="00AA22F2">
              <w:rPr>
                <w:b/>
                <w:bCs/>
                <w:szCs w:val="20"/>
                <w:lang w:eastAsia="fr-FR" w:bidi="ar-SA"/>
              </w:rPr>
              <w:t>Compenser</w:t>
            </w:r>
          </w:p>
        </w:tc>
        <w:tc>
          <w:tcPr>
            <w:tcW w:w="0" w:type="auto"/>
            <w:hideMark/>
          </w:tcPr>
          <w:p w14:paraId="02376F3E" w14:textId="77777777" w:rsidR="007A7D58" w:rsidRPr="00AA22F2" w:rsidRDefault="007A7D58" w:rsidP="007A7D58">
            <w:pPr>
              <w:cnfStyle w:val="000000000000" w:firstRow="0" w:lastRow="0" w:firstColumn="0" w:lastColumn="0" w:oddVBand="0" w:evenVBand="0" w:oddHBand="0" w:evenHBand="0" w:firstRowFirstColumn="0" w:firstRowLastColumn="0" w:lastRowFirstColumn="0" w:lastRowLastColumn="0"/>
              <w:rPr>
                <w:szCs w:val="20"/>
                <w:lang w:eastAsia="fr-FR" w:bidi="ar-SA"/>
              </w:rPr>
            </w:pPr>
            <w:r w:rsidRPr="00AA22F2">
              <w:rPr>
                <w:szCs w:val="20"/>
                <w:lang w:eastAsia="fr-FR" w:bidi="ar-SA"/>
              </w:rPr>
              <w:t xml:space="preserve">Remplacer immédiatement tout équipement défectueux ; </w:t>
            </w:r>
          </w:p>
          <w:p w14:paraId="4F2CE185" w14:textId="2B75DECB" w:rsidR="007A7D58" w:rsidRPr="00AA22F2" w:rsidRDefault="007A7D58" w:rsidP="007A7D58">
            <w:pPr>
              <w:cnfStyle w:val="000000000000" w:firstRow="0" w:lastRow="0" w:firstColumn="0" w:lastColumn="0" w:oddVBand="0" w:evenVBand="0" w:oddHBand="0" w:evenHBand="0" w:firstRowFirstColumn="0" w:firstRowLastColumn="0" w:lastRowFirstColumn="0" w:lastRowLastColumn="0"/>
              <w:rPr>
                <w:szCs w:val="20"/>
                <w:lang w:eastAsia="fr-FR" w:bidi="ar-SA"/>
              </w:rPr>
            </w:pPr>
            <w:r w:rsidRPr="00AA22F2">
              <w:rPr>
                <w:szCs w:val="20"/>
                <w:lang w:eastAsia="fr-FR" w:bidi="ar-SA"/>
              </w:rPr>
              <w:t>Rapporter les incidents à l’ONDA.</w:t>
            </w:r>
          </w:p>
        </w:tc>
        <w:tc>
          <w:tcPr>
            <w:tcW w:w="0" w:type="auto"/>
            <w:hideMark/>
          </w:tcPr>
          <w:p w14:paraId="3B7CB298" w14:textId="77777777" w:rsidR="007A7D58" w:rsidRPr="00AA22F2" w:rsidRDefault="007A7D58" w:rsidP="007A7D58">
            <w:pPr>
              <w:cnfStyle w:val="000000000000" w:firstRow="0" w:lastRow="0" w:firstColumn="0" w:lastColumn="0" w:oddVBand="0" w:evenVBand="0" w:oddHBand="0" w:evenHBand="0" w:firstRowFirstColumn="0" w:firstRowLastColumn="0" w:lastRowFirstColumn="0" w:lastRowLastColumn="0"/>
              <w:rPr>
                <w:szCs w:val="20"/>
                <w:lang w:eastAsia="fr-FR" w:bidi="ar-SA"/>
              </w:rPr>
            </w:pPr>
            <w:r w:rsidRPr="00AA22F2">
              <w:rPr>
                <w:szCs w:val="20"/>
                <w:lang w:eastAsia="fr-FR" w:bidi="ar-SA"/>
              </w:rPr>
              <w:t xml:space="preserve">Nb de remplacements </w:t>
            </w:r>
          </w:p>
          <w:p w14:paraId="07D49AAA" w14:textId="2DCA0DB5" w:rsidR="007A7D58" w:rsidRPr="00AA22F2" w:rsidRDefault="007A7D58" w:rsidP="007A7D58">
            <w:pPr>
              <w:cnfStyle w:val="000000000000" w:firstRow="0" w:lastRow="0" w:firstColumn="0" w:lastColumn="0" w:oddVBand="0" w:evenVBand="0" w:oddHBand="0" w:evenHBand="0" w:firstRowFirstColumn="0" w:firstRowLastColumn="0" w:lastRowFirstColumn="0" w:lastRowLastColumn="0"/>
              <w:rPr>
                <w:szCs w:val="20"/>
                <w:lang w:eastAsia="fr-FR" w:bidi="ar-SA"/>
              </w:rPr>
            </w:pPr>
            <w:r w:rsidRPr="00AA22F2">
              <w:rPr>
                <w:szCs w:val="20"/>
                <w:lang w:eastAsia="fr-FR" w:bidi="ar-SA"/>
              </w:rPr>
              <w:t>Délai de rapport</w:t>
            </w:r>
          </w:p>
        </w:tc>
        <w:tc>
          <w:tcPr>
            <w:tcW w:w="0" w:type="auto"/>
            <w:hideMark/>
          </w:tcPr>
          <w:p w14:paraId="023E1C17" w14:textId="30130BC4" w:rsidR="007A7D58" w:rsidRPr="00AA22F2" w:rsidRDefault="007A7D58" w:rsidP="007A7D58">
            <w:pPr>
              <w:cnfStyle w:val="000000000000" w:firstRow="0" w:lastRow="0" w:firstColumn="0" w:lastColumn="0" w:oddVBand="0" w:evenVBand="0" w:oddHBand="0" w:evenHBand="0" w:firstRowFirstColumn="0" w:firstRowLastColumn="0" w:lastRowFirstColumn="0" w:lastRowLastColumn="0"/>
              <w:rPr>
                <w:szCs w:val="20"/>
                <w:lang w:eastAsia="fr-FR" w:bidi="ar-SA"/>
              </w:rPr>
            </w:pPr>
            <w:r w:rsidRPr="00AA22F2">
              <w:rPr>
                <w:szCs w:val="20"/>
                <w:lang w:eastAsia="fr-FR" w:bidi="ar-SA"/>
              </w:rPr>
              <w:t>EPC et sous-traitants</w:t>
            </w:r>
          </w:p>
        </w:tc>
        <w:tc>
          <w:tcPr>
            <w:tcW w:w="0" w:type="auto"/>
            <w:hideMark/>
          </w:tcPr>
          <w:p w14:paraId="23C857E7" w14:textId="37595EA5" w:rsidR="007A7D58" w:rsidRPr="00AA22F2" w:rsidRDefault="007A7D58" w:rsidP="007A7D58">
            <w:pPr>
              <w:cnfStyle w:val="000000000000" w:firstRow="0" w:lastRow="0" w:firstColumn="0" w:lastColumn="0" w:oddVBand="0" w:evenVBand="0" w:oddHBand="0" w:evenHBand="0" w:firstRowFirstColumn="0" w:firstRowLastColumn="0" w:lastRowFirstColumn="0" w:lastRowLastColumn="0"/>
              <w:rPr>
                <w:szCs w:val="20"/>
                <w:lang w:eastAsia="fr-FR" w:bidi="ar-SA"/>
              </w:rPr>
            </w:pPr>
            <w:r w:rsidRPr="00BC1745">
              <w:rPr>
                <w:szCs w:val="20"/>
              </w:rPr>
              <w:t>Bureau de contrôle / Consultant de supervision mandaté par l’ONDA</w:t>
            </w:r>
          </w:p>
        </w:tc>
        <w:tc>
          <w:tcPr>
            <w:tcW w:w="0" w:type="auto"/>
            <w:hideMark/>
          </w:tcPr>
          <w:p w14:paraId="57E0FF94" w14:textId="36593DBD" w:rsidR="007A7D58" w:rsidRPr="00AA22F2" w:rsidRDefault="007A7D58" w:rsidP="007A7D58">
            <w:pPr>
              <w:cnfStyle w:val="000000000000" w:firstRow="0" w:lastRow="0" w:firstColumn="0" w:lastColumn="0" w:oddVBand="0" w:evenVBand="0" w:oddHBand="0" w:evenHBand="0" w:firstRowFirstColumn="0" w:firstRowLastColumn="0" w:lastRowFirstColumn="0" w:lastRowLastColumn="0"/>
              <w:rPr>
                <w:szCs w:val="20"/>
                <w:lang w:eastAsia="fr-FR" w:bidi="ar-SA"/>
              </w:rPr>
            </w:pPr>
            <w:r w:rsidRPr="00AA22F2">
              <w:rPr>
                <w:szCs w:val="20"/>
                <w:lang w:eastAsia="fr-FR" w:bidi="ar-SA"/>
              </w:rPr>
              <w:t>ONDA</w:t>
            </w:r>
          </w:p>
        </w:tc>
        <w:tc>
          <w:tcPr>
            <w:tcW w:w="0" w:type="auto"/>
            <w:hideMark/>
          </w:tcPr>
          <w:p w14:paraId="6DB9A642" w14:textId="77777777" w:rsidR="007A7D58" w:rsidRPr="00AA22F2" w:rsidRDefault="007A7D58" w:rsidP="007A7D58">
            <w:pPr>
              <w:cnfStyle w:val="000000000000" w:firstRow="0" w:lastRow="0" w:firstColumn="0" w:lastColumn="0" w:oddVBand="0" w:evenVBand="0" w:oddHBand="0" w:evenHBand="0" w:firstRowFirstColumn="0" w:firstRowLastColumn="0" w:lastRowFirstColumn="0" w:lastRowLastColumn="0"/>
              <w:rPr>
                <w:szCs w:val="20"/>
                <w:lang w:eastAsia="fr-FR" w:bidi="ar-SA"/>
              </w:rPr>
            </w:pPr>
            <w:r w:rsidRPr="00AA22F2">
              <w:rPr>
                <w:szCs w:val="20"/>
                <w:lang w:eastAsia="fr-FR" w:bidi="ar-SA"/>
              </w:rPr>
              <w:t>Selon besoin</w:t>
            </w:r>
          </w:p>
        </w:tc>
        <w:tc>
          <w:tcPr>
            <w:tcW w:w="0" w:type="auto"/>
            <w:hideMark/>
          </w:tcPr>
          <w:p w14:paraId="062C157C" w14:textId="64CA3B97" w:rsidR="007A7D58" w:rsidRPr="00AA22F2" w:rsidRDefault="007A7D58" w:rsidP="007A7D58">
            <w:pPr>
              <w:cnfStyle w:val="000000000000" w:firstRow="0" w:lastRow="0" w:firstColumn="0" w:lastColumn="0" w:oddVBand="0" w:evenVBand="0" w:oddHBand="0" w:evenHBand="0" w:firstRowFirstColumn="0" w:firstRowLastColumn="0" w:lastRowFirstColumn="0" w:lastRowLastColumn="0"/>
              <w:rPr>
                <w:szCs w:val="20"/>
                <w:lang w:eastAsia="fr-FR" w:bidi="ar-SA"/>
              </w:rPr>
            </w:pPr>
            <w:r w:rsidRPr="00AA22F2">
              <w:rPr>
                <w:szCs w:val="20"/>
                <w:lang w:eastAsia="fr-FR" w:bidi="ar-SA"/>
              </w:rPr>
              <w:t>Aucun coût spécifique</w:t>
            </w:r>
          </w:p>
        </w:tc>
      </w:tr>
      <w:tr w:rsidR="007A7D58" w:rsidRPr="00D75525" w14:paraId="29902483" w14:textId="77777777" w:rsidTr="00065104">
        <w:tc>
          <w:tcPr>
            <w:cnfStyle w:val="001000000000" w:firstRow="0" w:lastRow="0" w:firstColumn="1" w:lastColumn="0" w:oddVBand="0" w:evenVBand="0" w:oddHBand="0" w:evenHBand="0" w:firstRowFirstColumn="0" w:firstRowLastColumn="0" w:lastRowFirstColumn="0" w:lastRowLastColumn="0"/>
            <w:tcW w:w="0" w:type="auto"/>
            <w:vMerge w:val="restart"/>
            <w:hideMark/>
          </w:tcPr>
          <w:p w14:paraId="2A8D7CDE" w14:textId="77777777" w:rsidR="007A7D58" w:rsidRPr="00AA22F2" w:rsidRDefault="007A7D58" w:rsidP="007A7D58">
            <w:pPr>
              <w:rPr>
                <w:szCs w:val="20"/>
                <w:lang w:eastAsia="fr-FR" w:bidi="ar-SA"/>
              </w:rPr>
            </w:pPr>
            <w:r w:rsidRPr="00AA22F2">
              <w:rPr>
                <w:szCs w:val="20"/>
                <w:lang w:eastAsia="fr-FR" w:bidi="ar-SA"/>
              </w:rPr>
              <w:lastRenderedPageBreak/>
              <w:t>Violences basées sur le genre et harcèlement sexuel (VBG/SEAH)</w:t>
            </w:r>
          </w:p>
        </w:tc>
        <w:tc>
          <w:tcPr>
            <w:tcW w:w="0" w:type="auto"/>
            <w:hideMark/>
          </w:tcPr>
          <w:p w14:paraId="10FC28D8" w14:textId="77777777" w:rsidR="007A7D58" w:rsidRPr="00AA22F2" w:rsidRDefault="007A7D58" w:rsidP="007A7D58">
            <w:pPr>
              <w:cnfStyle w:val="000000000000" w:firstRow="0" w:lastRow="0" w:firstColumn="0" w:lastColumn="0" w:oddVBand="0" w:evenVBand="0" w:oddHBand="0" w:evenHBand="0" w:firstRowFirstColumn="0" w:firstRowLastColumn="0" w:lastRowFirstColumn="0" w:lastRowLastColumn="0"/>
              <w:rPr>
                <w:szCs w:val="20"/>
                <w:lang w:eastAsia="fr-FR" w:bidi="ar-SA"/>
              </w:rPr>
            </w:pPr>
            <w:r w:rsidRPr="00AA22F2">
              <w:rPr>
                <w:b/>
                <w:bCs/>
                <w:szCs w:val="20"/>
                <w:lang w:eastAsia="fr-FR" w:bidi="ar-SA"/>
              </w:rPr>
              <w:t>Éviter</w:t>
            </w:r>
          </w:p>
        </w:tc>
        <w:tc>
          <w:tcPr>
            <w:tcW w:w="0" w:type="auto"/>
            <w:hideMark/>
          </w:tcPr>
          <w:p w14:paraId="1151E1BA" w14:textId="77777777" w:rsidR="007A7D58" w:rsidRPr="00AA22F2" w:rsidRDefault="007A7D58" w:rsidP="007A7D58">
            <w:pPr>
              <w:cnfStyle w:val="000000000000" w:firstRow="0" w:lastRow="0" w:firstColumn="0" w:lastColumn="0" w:oddVBand="0" w:evenVBand="0" w:oddHBand="0" w:evenHBand="0" w:firstRowFirstColumn="0" w:firstRowLastColumn="0" w:lastRowFirstColumn="0" w:lastRowLastColumn="0"/>
              <w:rPr>
                <w:szCs w:val="20"/>
                <w:lang w:eastAsia="fr-FR" w:bidi="ar-SA"/>
              </w:rPr>
            </w:pPr>
            <w:r w:rsidRPr="00AA22F2">
              <w:rPr>
                <w:szCs w:val="20"/>
                <w:lang w:eastAsia="fr-FR" w:bidi="ar-SA"/>
              </w:rPr>
              <w:t xml:space="preserve">Inclure une clause VBG/SEAH dans tous les contrats ; </w:t>
            </w:r>
          </w:p>
          <w:p w14:paraId="4982FD2C" w14:textId="77777777" w:rsidR="007A7D58" w:rsidRPr="00AA22F2" w:rsidRDefault="007A7D58" w:rsidP="007A7D58">
            <w:pPr>
              <w:cnfStyle w:val="000000000000" w:firstRow="0" w:lastRow="0" w:firstColumn="0" w:lastColumn="0" w:oddVBand="0" w:evenVBand="0" w:oddHBand="0" w:evenHBand="0" w:firstRowFirstColumn="0" w:firstRowLastColumn="0" w:lastRowFirstColumn="0" w:lastRowLastColumn="0"/>
              <w:rPr>
                <w:szCs w:val="20"/>
                <w:lang w:eastAsia="fr-FR" w:bidi="ar-SA"/>
              </w:rPr>
            </w:pPr>
            <w:r w:rsidRPr="00AA22F2">
              <w:rPr>
                <w:szCs w:val="20"/>
                <w:lang w:eastAsia="fr-FR" w:bidi="ar-SA"/>
              </w:rPr>
              <w:t xml:space="preserve">Interdire toute proximité non contrôlée dans les logements ; </w:t>
            </w:r>
          </w:p>
          <w:p w14:paraId="34B791EE" w14:textId="5338E10C" w:rsidR="007A7D58" w:rsidRPr="00AA22F2" w:rsidRDefault="007A7D58" w:rsidP="007A7D58">
            <w:pPr>
              <w:cnfStyle w:val="000000000000" w:firstRow="0" w:lastRow="0" w:firstColumn="0" w:lastColumn="0" w:oddVBand="0" w:evenVBand="0" w:oddHBand="0" w:evenHBand="0" w:firstRowFirstColumn="0" w:firstRowLastColumn="0" w:lastRowFirstColumn="0" w:lastRowLastColumn="0"/>
              <w:rPr>
                <w:szCs w:val="20"/>
                <w:lang w:eastAsia="fr-FR" w:bidi="ar-SA"/>
              </w:rPr>
            </w:pPr>
            <w:r w:rsidRPr="00AA22F2">
              <w:rPr>
                <w:szCs w:val="20"/>
                <w:lang w:eastAsia="fr-FR" w:bidi="ar-SA"/>
              </w:rPr>
              <w:t>Séparer les sanitaires hommes/femmes.</w:t>
            </w:r>
          </w:p>
        </w:tc>
        <w:tc>
          <w:tcPr>
            <w:tcW w:w="0" w:type="auto"/>
            <w:hideMark/>
          </w:tcPr>
          <w:p w14:paraId="71B5159E" w14:textId="77777777" w:rsidR="007A7D58" w:rsidRPr="00AA22F2" w:rsidRDefault="007A7D58" w:rsidP="007A7D58">
            <w:pPr>
              <w:cnfStyle w:val="000000000000" w:firstRow="0" w:lastRow="0" w:firstColumn="0" w:lastColumn="0" w:oddVBand="0" w:evenVBand="0" w:oddHBand="0" w:evenHBand="0" w:firstRowFirstColumn="0" w:firstRowLastColumn="0" w:lastRowFirstColumn="0" w:lastRowLastColumn="0"/>
              <w:rPr>
                <w:szCs w:val="20"/>
                <w:lang w:eastAsia="fr-FR" w:bidi="ar-SA"/>
              </w:rPr>
            </w:pPr>
            <w:r w:rsidRPr="00AA22F2">
              <w:rPr>
                <w:szCs w:val="20"/>
                <w:lang w:eastAsia="fr-FR" w:bidi="ar-SA"/>
              </w:rPr>
              <w:t xml:space="preserve">% de contrats conformes </w:t>
            </w:r>
          </w:p>
          <w:p w14:paraId="0166186E" w14:textId="132E490C" w:rsidR="007A7D58" w:rsidRPr="00AA22F2" w:rsidRDefault="007A7D58" w:rsidP="007A7D58">
            <w:pPr>
              <w:cnfStyle w:val="000000000000" w:firstRow="0" w:lastRow="0" w:firstColumn="0" w:lastColumn="0" w:oddVBand="0" w:evenVBand="0" w:oddHBand="0" w:evenHBand="0" w:firstRowFirstColumn="0" w:firstRowLastColumn="0" w:lastRowFirstColumn="0" w:lastRowLastColumn="0"/>
              <w:rPr>
                <w:szCs w:val="20"/>
                <w:lang w:eastAsia="fr-FR" w:bidi="ar-SA"/>
              </w:rPr>
            </w:pPr>
            <w:r w:rsidRPr="00AA22F2">
              <w:rPr>
                <w:szCs w:val="20"/>
                <w:lang w:eastAsia="fr-FR" w:bidi="ar-SA"/>
              </w:rPr>
              <w:t>Nb de contrôles logements</w:t>
            </w:r>
          </w:p>
        </w:tc>
        <w:tc>
          <w:tcPr>
            <w:tcW w:w="0" w:type="auto"/>
            <w:hideMark/>
          </w:tcPr>
          <w:p w14:paraId="44C3D395" w14:textId="3CFFBCEF" w:rsidR="007A7D58" w:rsidRPr="00AA22F2" w:rsidRDefault="007A7D58" w:rsidP="007A7D58">
            <w:pPr>
              <w:cnfStyle w:val="000000000000" w:firstRow="0" w:lastRow="0" w:firstColumn="0" w:lastColumn="0" w:oddVBand="0" w:evenVBand="0" w:oddHBand="0" w:evenHBand="0" w:firstRowFirstColumn="0" w:firstRowLastColumn="0" w:lastRowFirstColumn="0" w:lastRowLastColumn="0"/>
              <w:rPr>
                <w:szCs w:val="20"/>
                <w:lang w:eastAsia="fr-FR" w:bidi="ar-SA"/>
              </w:rPr>
            </w:pPr>
            <w:r w:rsidRPr="00AA22F2">
              <w:rPr>
                <w:szCs w:val="20"/>
                <w:lang w:eastAsia="fr-FR" w:bidi="ar-SA"/>
              </w:rPr>
              <w:t>EPC et sous-traitants</w:t>
            </w:r>
          </w:p>
        </w:tc>
        <w:tc>
          <w:tcPr>
            <w:tcW w:w="0" w:type="auto"/>
            <w:hideMark/>
          </w:tcPr>
          <w:p w14:paraId="2798C7A2" w14:textId="1B87B29A" w:rsidR="007A7D58" w:rsidRPr="00AA22F2" w:rsidRDefault="007A7D58" w:rsidP="007A7D58">
            <w:pPr>
              <w:cnfStyle w:val="000000000000" w:firstRow="0" w:lastRow="0" w:firstColumn="0" w:lastColumn="0" w:oddVBand="0" w:evenVBand="0" w:oddHBand="0" w:evenHBand="0" w:firstRowFirstColumn="0" w:firstRowLastColumn="0" w:lastRowFirstColumn="0" w:lastRowLastColumn="0"/>
              <w:rPr>
                <w:szCs w:val="20"/>
                <w:lang w:eastAsia="fr-FR" w:bidi="ar-SA"/>
              </w:rPr>
            </w:pPr>
            <w:r w:rsidRPr="00BC1745">
              <w:rPr>
                <w:szCs w:val="20"/>
              </w:rPr>
              <w:t>Bureau de contrôle / Consultant de supervision mandaté par l’ONDA</w:t>
            </w:r>
          </w:p>
        </w:tc>
        <w:tc>
          <w:tcPr>
            <w:tcW w:w="0" w:type="auto"/>
            <w:hideMark/>
          </w:tcPr>
          <w:p w14:paraId="2B2F6240" w14:textId="26F8FE33" w:rsidR="007A7D58" w:rsidRPr="00AA22F2" w:rsidRDefault="007A7D58" w:rsidP="007A7D58">
            <w:pPr>
              <w:cnfStyle w:val="000000000000" w:firstRow="0" w:lastRow="0" w:firstColumn="0" w:lastColumn="0" w:oddVBand="0" w:evenVBand="0" w:oddHBand="0" w:evenHBand="0" w:firstRowFirstColumn="0" w:firstRowLastColumn="0" w:lastRowFirstColumn="0" w:lastRowLastColumn="0"/>
              <w:rPr>
                <w:szCs w:val="20"/>
                <w:lang w:eastAsia="fr-FR" w:bidi="ar-SA"/>
              </w:rPr>
            </w:pPr>
            <w:r w:rsidRPr="00AA22F2">
              <w:rPr>
                <w:szCs w:val="20"/>
                <w:lang w:eastAsia="fr-FR" w:bidi="ar-SA"/>
              </w:rPr>
              <w:t>ONDA</w:t>
            </w:r>
          </w:p>
        </w:tc>
        <w:tc>
          <w:tcPr>
            <w:tcW w:w="0" w:type="auto"/>
            <w:hideMark/>
          </w:tcPr>
          <w:p w14:paraId="53D90744" w14:textId="77777777" w:rsidR="007A7D58" w:rsidRPr="00AA22F2" w:rsidRDefault="007A7D58" w:rsidP="007A7D58">
            <w:pPr>
              <w:cnfStyle w:val="000000000000" w:firstRow="0" w:lastRow="0" w:firstColumn="0" w:lastColumn="0" w:oddVBand="0" w:evenVBand="0" w:oddHBand="0" w:evenHBand="0" w:firstRowFirstColumn="0" w:firstRowLastColumn="0" w:lastRowFirstColumn="0" w:lastRowLastColumn="0"/>
              <w:rPr>
                <w:szCs w:val="20"/>
                <w:lang w:eastAsia="fr-FR" w:bidi="ar-SA"/>
              </w:rPr>
            </w:pPr>
            <w:r w:rsidRPr="00AA22F2">
              <w:rPr>
                <w:szCs w:val="20"/>
                <w:lang w:eastAsia="fr-FR" w:bidi="ar-SA"/>
              </w:rPr>
              <w:t>Avant mobilisation</w:t>
            </w:r>
          </w:p>
        </w:tc>
        <w:tc>
          <w:tcPr>
            <w:tcW w:w="0" w:type="auto"/>
            <w:hideMark/>
          </w:tcPr>
          <w:p w14:paraId="47F8A99F" w14:textId="747E95A0" w:rsidR="007A7D58" w:rsidRPr="00AA22F2" w:rsidRDefault="007A7D58" w:rsidP="007A7D58">
            <w:pPr>
              <w:cnfStyle w:val="000000000000" w:firstRow="0" w:lastRow="0" w:firstColumn="0" w:lastColumn="0" w:oddVBand="0" w:evenVBand="0" w:oddHBand="0" w:evenHBand="0" w:firstRowFirstColumn="0" w:firstRowLastColumn="0" w:lastRowFirstColumn="0" w:lastRowLastColumn="0"/>
              <w:rPr>
                <w:szCs w:val="20"/>
                <w:lang w:eastAsia="fr-FR" w:bidi="ar-SA"/>
              </w:rPr>
            </w:pPr>
            <w:r w:rsidRPr="00AA22F2">
              <w:rPr>
                <w:szCs w:val="20"/>
                <w:lang w:eastAsia="fr-FR" w:bidi="ar-SA"/>
              </w:rPr>
              <w:t>Aucun coût spécifique</w:t>
            </w:r>
          </w:p>
        </w:tc>
      </w:tr>
      <w:tr w:rsidR="000D1D71" w:rsidRPr="00D75525" w14:paraId="64C3328B" w14:textId="77777777" w:rsidTr="000D1D71">
        <w:trPr>
          <w:trHeight w:val="1288"/>
        </w:trPr>
        <w:tc>
          <w:tcPr>
            <w:cnfStyle w:val="001000000000" w:firstRow="0" w:lastRow="0" w:firstColumn="1" w:lastColumn="0" w:oddVBand="0" w:evenVBand="0" w:oddHBand="0" w:evenHBand="0" w:firstRowFirstColumn="0" w:firstRowLastColumn="0" w:lastRowFirstColumn="0" w:lastRowLastColumn="0"/>
            <w:tcW w:w="0" w:type="auto"/>
            <w:vMerge/>
            <w:hideMark/>
          </w:tcPr>
          <w:p w14:paraId="19D570B6" w14:textId="77777777" w:rsidR="000D1D71" w:rsidRPr="00AA22F2" w:rsidRDefault="000D1D71" w:rsidP="007A7D58">
            <w:pPr>
              <w:rPr>
                <w:szCs w:val="20"/>
                <w:lang w:eastAsia="fr-FR" w:bidi="ar-SA"/>
              </w:rPr>
            </w:pPr>
          </w:p>
        </w:tc>
        <w:tc>
          <w:tcPr>
            <w:tcW w:w="0" w:type="auto"/>
            <w:vMerge w:val="restart"/>
            <w:hideMark/>
          </w:tcPr>
          <w:p w14:paraId="2C51B5A8" w14:textId="77777777" w:rsidR="000D1D71" w:rsidRPr="00AA22F2" w:rsidRDefault="000D1D71" w:rsidP="007A7D58">
            <w:pPr>
              <w:cnfStyle w:val="000000000000" w:firstRow="0" w:lastRow="0" w:firstColumn="0" w:lastColumn="0" w:oddVBand="0" w:evenVBand="0" w:oddHBand="0" w:evenHBand="0" w:firstRowFirstColumn="0" w:firstRowLastColumn="0" w:lastRowFirstColumn="0" w:lastRowLastColumn="0"/>
              <w:rPr>
                <w:szCs w:val="20"/>
                <w:lang w:eastAsia="fr-FR" w:bidi="ar-SA"/>
              </w:rPr>
            </w:pPr>
            <w:r w:rsidRPr="00AA22F2">
              <w:rPr>
                <w:b/>
                <w:bCs/>
                <w:szCs w:val="20"/>
                <w:lang w:eastAsia="fr-FR" w:bidi="ar-SA"/>
              </w:rPr>
              <w:t>Réduire</w:t>
            </w:r>
          </w:p>
        </w:tc>
        <w:tc>
          <w:tcPr>
            <w:tcW w:w="0" w:type="auto"/>
            <w:tcBorders>
              <w:bottom w:val="single" w:sz="4" w:space="0" w:color="B4C6E7" w:themeColor="accent1" w:themeTint="66"/>
            </w:tcBorders>
            <w:hideMark/>
          </w:tcPr>
          <w:p w14:paraId="55B2C911" w14:textId="159F8E3E" w:rsidR="000D1D71" w:rsidRPr="00AA22F2" w:rsidRDefault="000D1D71" w:rsidP="007A7D58">
            <w:pPr>
              <w:cnfStyle w:val="000000000000" w:firstRow="0" w:lastRow="0" w:firstColumn="0" w:lastColumn="0" w:oddVBand="0" w:evenVBand="0" w:oddHBand="0" w:evenHBand="0" w:firstRowFirstColumn="0" w:firstRowLastColumn="0" w:lastRowFirstColumn="0" w:lastRowLastColumn="0"/>
              <w:rPr>
                <w:szCs w:val="20"/>
                <w:lang w:eastAsia="fr-FR" w:bidi="ar-SA"/>
              </w:rPr>
            </w:pPr>
            <w:r w:rsidRPr="00AA22F2">
              <w:rPr>
                <w:szCs w:val="20"/>
                <w:lang w:eastAsia="fr-FR" w:bidi="ar-SA"/>
              </w:rPr>
              <w:t xml:space="preserve">Former 100 % du personnel et des sous-traitants au code de conduite ; </w:t>
            </w:r>
          </w:p>
        </w:tc>
        <w:tc>
          <w:tcPr>
            <w:tcW w:w="0" w:type="auto"/>
            <w:vMerge w:val="restart"/>
            <w:hideMark/>
          </w:tcPr>
          <w:p w14:paraId="48803DD4" w14:textId="77777777" w:rsidR="000D1D71" w:rsidRPr="00AA22F2" w:rsidRDefault="000D1D71" w:rsidP="007A7D58">
            <w:pPr>
              <w:cnfStyle w:val="000000000000" w:firstRow="0" w:lastRow="0" w:firstColumn="0" w:lastColumn="0" w:oddVBand="0" w:evenVBand="0" w:oddHBand="0" w:evenHBand="0" w:firstRowFirstColumn="0" w:firstRowLastColumn="0" w:lastRowFirstColumn="0" w:lastRowLastColumn="0"/>
              <w:rPr>
                <w:szCs w:val="20"/>
                <w:lang w:eastAsia="fr-FR" w:bidi="ar-SA"/>
              </w:rPr>
            </w:pPr>
            <w:r w:rsidRPr="00AA22F2">
              <w:rPr>
                <w:szCs w:val="20"/>
                <w:lang w:eastAsia="fr-FR" w:bidi="ar-SA"/>
              </w:rPr>
              <w:t xml:space="preserve">% de personnel formé </w:t>
            </w:r>
          </w:p>
          <w:p w14:paraId="46D8859D" w14:textId="6D113738" w:rsidR="000D1D71" w:rsidRPr="00AA22F2" w:rsidRDefault="000D1D71" w:rsidP="007A7D58">
            <w:pPr>
              <w:cnfStyle w:val="000000000000" w:firstRow="0" w:lastRow="0" w:firstColumn="0" w:lastColumn="0" w:oddVBand="0" w:evenVBand="0" w:oddHBand="0" w:evenHBand="0" w:firstRowFirstColumn="0" w:firstRowLastColumn="0" w:lastRowFirstColumn="0" w:lastRowLastColumn="0"/>
              <w:rPr>
                <w:szCs w:val="20"/>
                <w:lang w:eastAsia="fr-FR" w:bidi="ar-SA"/>
              </w:rPr>
            </w:pPr>
            <w:r w:rsidRPr="00AA22F2">
              <w:rPr>
                <w:szCs w:val="20"/>
                <w:lang w:eastAsia="fr-FR" w:bidi="ar-SA"/>
              </w:rPr>
              <w:t>Nb de sessions</w:t>
            </w:r>
          </w:p>
        </w:tc>
        <w:tc>
          <w:tcPr>
            <w:tcW w:w="0" w:type="auto"/>
            <w:vMerge w:val="restart"/>
            <w:hideMark/>
          </w:tcPr>
          <w:p w14:paraId="7B8ABC36" w14:textId="294544D9" w:rsidR="000D1D71" w:rsidRPr="00AA22F2" w:rsidRDefault="000D1D71" w:rsidP="007A7D58">
            <w:pPr>
              <w:cnfStyle w:val="000000000000" w:firstRow="0" w:lastRow="0" w:firstColumn="0" w:lastColumn="0" w:oddVBand="0" w:evenVBand="0" w:oddHBand="0" w:evenHBand="0" w:firstRowFirstColumn="0" w:firstRowLastColumn="0" w:lastRowFirstColumn="0" w:lastRowLastColumn="0"/>
              <w:rPr>
                <w:szCs w:val="20"/>
                <w:lang w:eastAsia="fr-FR" w:bidi="ar-SA"/>
              </w:rPr>
            </w:pPr>
            <w:r w:rsidRPr="00AA22F2">
              <w:rPr>
                <w:szCs w:val="20"/>
                <w:lang w:eastAsia="fr-FR" w:bidi="ar-SA"/>
              </w:rPr>
              <w:t>EPC et sous-traitants</w:t>
            </w:r>
          </w:p>
        </w:tc>
        <w:tc>
          <w:tcPr>
            <w:tcW w:w="0" w:type="auto"/>
            <w:vMerge w:val="restart"/>
            <w:hideMark/>
          </w:tcPr>
          <w:p w14:paraId="14635E34" w14:textId="7C68D700" w:rsidR="000D1D71" w:rsidRPr="00AA22F2" w:rsidRDefault="000D1D71" w:rsidP="007A7D58">
            <w:pPr>
              <w:cnfStyle w:val="000000000000" w:firstRow="0" w:lastRow="0" w:firstColumn="0" w:lastColumn="0" w:oddVBand="0" w:evenVBand="0" w:oddHBand="0" w:evenHBand="0" w:firstRowFirstColumn="0" w:firstRowLastColumn="0" w:lastRowFirstColumn="0" w:lastRowLastColumn="0"/>
              <w:rPr>
                <w:szCs w:val="20"/>
                <w:lang w:eastAsia="fr-FR" w:bidi="ar-SA"/>
              </w:rPr>
            </w:pPr>
            <w:r w:rsidRPr="00BC1745">
              <w:rPr>
                <w:szCs w:val="20"/>
              </w:rPr>
              <w:t>Bureau de contrôle / Consultant de supervision mandaté par l’ONDA</w:t>
            </w:r>
          </w:p>
        </w:tc>
        <w:tc>
          <w:tcPr>
            <w:tcW w:w="0" w:type="auto"/>
            <w:vMerge w:val="restart"/>
            <w:hideMark/>
          </w:tcPr>
          <w:p w14:paraId="4321AAA9" w14:textId="68801BC3" w:rsidR="000D1D71" w:rsidRPr="00AA22F2" w:rsidRDefault="000D1D71" w:rsidP="007A7D58">
            <w:pPr>
              <w:cnfStyle w:val="000000000000" w:firstRow="0" w:lastRow="0" w:firstColumn="0" w:lastColumn="0" w:oddVBand="0" w:evenVBand="0" w:oddHBand="0" w:evenHBand="0" w:firstRowFirstColumn="0" w:firstRowLastColumn="0" w:lastRowFirstColumn="0" w:lastRowLastColumn="0"/>
              <w:rPr>
                <w:szCs w:val="20"/>
                <w:lang w:eastAsia="fr-FR" w:bidi="ar-SA"/>
              </w:rPr>
            </w:pPr>
            <w:r w:rsidRPr="00AA22F2">
              <w:rPr>
                <w:szCs w:val="20"/>
                <w:lang w:eastAsia="fr-FR" w:bidi="ar-SA"/>
              </w:rPr>
              <w:t>ONDA</w:t>
            </w:r>
          </w:p>
        </w:tc>
        <w:tc>
          <w:tcPr>
            <w:tcW w:w="0" w:type="auto"/>
            <w:vMerge w:val="restart"/>
            <w:hideMark/>
          </w:tcPr>
          <w:p w14:paraId="7D9CF0F4" w14:textId="77777777" w:rsidR="000D1D71" w:rsidRPr="00AA22F2" w:rsidRDefault="000D1D71" w:rsidP="007A7D58">
            <w:pPr>
              <w:cnfStyle w:val="000000000000" w:firstRow="0" w:lastRow="0" w:firstColumn="0" w:lastColumn="0" w:oddVBand="0" w:evenVBand="0" w:oddHBand="0" w:evenHBand="0" w:firstRowFirstColumn="0" w:firstRowLastColumn="0" w:lastRowFirstColumn="0" w:lastRowLastColumn="0"/>
              <w:rPr>
                <w:szCs w:val="20"/>
                <w:lang w:eastAsia="fr-FR" w:bidi="ar-SA"/>
              </w:rPr>
            </w:pPr>
            <w:r w:rsidRPr="00AA22F2">
              <w:rPr>
                <w:szCs w:val="20"/>
                <w:lang w:eastAsia="fr-FR" w:bidi="ar-SA"/>
              </w:rPr>
              <w:t>En continu</w:t>
            </w:r>
          </w:p>
        </w:tc>
        <w:tc>
          <w:tcPr>
            <w:tcW w:w="0" w:type="auto"/>
            <w:tcBorders>
              <w:bottom w:val="single" w:sz="4" w:space="0" w:color="B4C6E7" w:themeColor="accent1" w:themeTint="66"/>
            </w:tcBorders>
            <w:hideMark/>
          </w:tcPr>
          <w:p w14:paraId="08D4BF7F" w14:textId="3D5D09FD" w:rsidR="000D1D71" w:rsidRPr="00AA22F2" w:rsidRDefault="000D1D71" w:rsidP="007A7D58">
            <w:pPr>
              <w:cnfStyle w:val="000000000000" w:firstRow="0" w:lastRow="0" w:firstColumn="0" w:lastColumn="0" w:oddVBand="0" w:evenVBand="0" w:oddHBand="0" w:evenHBand="0" w:firstRowFirstColumn="0" w:firstRowLastColumn="0" w:lastRowFirstColumn="0" w:lastRowLastColumn="0"/>
              <w:rPr>
                <w:szCs w:val="20"/>
                <w:lang w:eastAsia="fr-FR" w:bidi="ar-SA"/>
              </w:rPr>
            </w:pPr>
            <w:r w:rsidRPr="000D1D71">
              <w:rPr>
                <w:szCs w:val="20"/>
                <w:lang w:eastAsia="fr-FR" w:bidi="ar-SA"/>
              </w:rPr>
              <w:t>35 000 MAD / session</w:t>
            </w:r>
          </w:p>
        </w:tc>
      </w:tr>
      <w:tr w:rsidR="000D1D71" w:rsidRPr="00D75525" w14:paraId="6B2958CB" w14:textId="77777777" w:rsidTr="000D1D71">
        <w:trPr>
          <w:trHeight w:val="1036"/>
        </w:trPr>
        <w:tc>
          <w:tcPr>
            <w:cnfStyle w:val="001000000000" w:firstRow="0" w:lastRow="0" w:firstColumn="1" w:lastColumn="0" w:oddVBand="0" w:evenVBand="0" w:oddHBand="0" w:evenHBand="0" w:firstRowFirstColumn="0" w:firstRowLastColumn="0" w:lastRowFirstColumn="0" w:lastRowLastColumn="0"/>
            <w:tcW w:w="0" w:type="auto"/>
            <w:vMerge/>
          </w:tcPr>
          <w:p w14:paraId="530AA8AB" w14:textId="77777777" w:rsidR="000D1D71" w:rsidRPr="00AA22F2" w:rsidRDefault="000D1D71" w:rsidP="007A7D58">
            <w:pPr>
              <w:rPr>
                <w:szCs w:val="20"/>
                <w:lang w:eastAsia="fr-FR" w:bidi="ar-SA"/>
              </w:rPr>
            </w:pPr>
          </w:p>
        </w:tc>
        <w:tc>
          <w:tcPr>
            <w:tcW w:w="0" w:type="auto"/>
            <w:vMerge/>
          </w:tcPr>
          <w:p w14:paraId="5AF5827C" w14:textId="77777777" w:rsidR="000D1D71" w:rsidRPr="00AA22F2" w:rsidRDefault="000D1D71" w:rsidP="007A7D58">
            <w:pPr>
              <w:cnfStyle w:val="000000000000" w:firstRow="0" w:lastRow="0" w:firstColumn="0" w:lastColumn="0" w:oddVBand="0" w:evenVBand="0" w:oddHBand="0" w:evenHBand="0" w:firstRowFirstColumn="0" w:firstRowLastColumn="0" w:lastRowFirstColumn="0" w:lastRowLastColumn="0"/>
              <w:rPr>
                <w:b/>
                <w:bCs/>
                <w:szCs w:val="20"/>
                <w:lang w:eastAsia="fr-FR" w:bidi="ar-SA"/>
              </w:rPr>
            </w:pPr>
          </w:p>
        </w:tc>
        <w:tc>
          <w:tcPr>
            <w:tcW w:w="0" w:type="auto"/>
            <w:tcBorders>
              <w:top w:val="single" w:sz="4" w:space="0" w:color="B4C6E7" w:themeColor="accent1" w:themeTint="66"/>
            </w:tcBorders>
          </w:tcPr>
          <w:p w14:paraId="179BAB23" w14:textId="77777777" w:rsidR="000D1D71" w:rsidRPr="00AA22F2" w:rsidRDefault="000D1D71" w:rsidP="000D1D71">
            <w:pPr>
              <w:cnfStyle w:val="000000000000" w:firstRow="0" w:lastRow="0" w:firstColumn="0" w:lastColumn="0" w:oddVBand="0" w:evenVBand="0" w:oddHBand="0" w:evenHBand="0" w:firstRowFirstColumn="0" w:firstRowLastColumn="0" w:lastRowFirstColumn="0" w:lastRowLastColumn="0"/>
              <w:rPr>
                <w:szCs w:val="20"/>
                <w:lang w:eastAsia="fr-FR" w:bidi="ar-SA"/>
              </w:rPr>
            </w:pPr>
            <w:r w:rsidRPr="00AA22F2">
              <w:rPr>
                <w:szCs w:val="20"/>
                <w:lang w:eastAsia="fr-FR" w:bidi="ar-SA"/>
              </w:rPr>
              <w:t>Organiser des sessions de sensibilisation communautaire.</w:t>
            </w:r>
          </w:p>
        </w:tc>
        <w:tc>
          <w:tcPr>
            <w:tcW w:w="0" w:type="auto"/>
            <w:vMerge/>
          </w:tcPr>
          <w:p w14:paraId="4A011A42" w14:textId="77777777" w:rsidR="000D1D71" w:rsidRPr="00AA22F2" w:rsidRDefault="000D1D71" w:rsidP="007A7D58">
            <w:pPr>
              <w:cnfStyle w:val="000000000000" w:firstRow="0" w:lastRow="0" w:firstColumn="0" w:lastColumn="0" w:oddVBand="0" w:evenVBand="0" w:oddHBand="0" w:evenHBand="0" w:firstRowFirstColumn="0" w:firstRowLastColumn="0" w:lastRowFirstColumn="0" w:lastRowLastColumn="0"/>
              <w:rPr>
                <w:szCs w:val="20"/>
                <w:lang w:eastAsia="fr-FR" w:bidi="ar-SA"/>
              </w:rPr>
            </w:pPr>
          </w:p>
        </w:tc>
        <w:tc>
          <w:tcPr>
            <w:tcW w:w="0" w:type="auto"/>
            <w:vMerge/>
          </w:tcPr>
          <w:p w14:paraId="275926D3" w14:textId="77777777" w:rsidR="000D1D71" w:rsidRPr="00AA22F2" w:rsidRDefault="000D1D71" w:rsidP="007A7D58">
            <w:pPr>
              <w:cnfStyle w:val="000000000000" w:firstRow="0" w:lastRow="0" w:firstColumn="0" w:lastColumn="0" w:oddVBand="0" w:evenVBand="0" w:oddHBand="0" w:evenHBand="0" w:firstRowFirstColumn="0" w:firstRowLastColumn="0" w:lastRowFirstColumn="0" w:lastRowLastColumn="0"/>
              <w:rPr>
                <w:szCs w:val="20"/>
                <w:lang w:eastAsia="fr-FR" w:bidi="ar-SA"/>
              </w:rPr>
            </w:pPr>
          </w:p>
        </w:tc>
        <w:tc>
          <w:tcPr>
            <w:tcW w:w="0" w:type="auto"/>
            <w:vMerge/>
          </w:tcPr>
          <w:p w14:paraId="2233461E" w14:textId="77777777" w:rsidR="000D1D71" w:rsidRPr="00BC1745" w:rsidRDefault="000D1D71" w:rsidP="007A7D58">
            <w:pPr>
              <w:cnfStyle w:val="000000000000" w:firstRow="0" w:lastRow="0" w:firstColumn="0" w:lastColumn="0" w:oddVBand="0" w:evenVBand="0" w:oddHBand="0" w:evenHBand="0" w:firstRowFirstColumn="0" w:firstRowLastColumn="0" w:lastRowFirstColumn="0" w:lastRowLastColumn="0"/>
              <w:rPr>
                <w:szCs w:val="20"/>
              </w:rPr>
            </w:pPr>
          </w:p>
        </w:tc>
        <w:tc>
          <w:tcPr>
            <w:tcW w:w="0" w:type="auto"/>
            <w:vMerge/>
          </w:tcPr>
          <w:p w14:paraId="2415C218" w14:textId="77777777" w:rsidR="000D1D71" w:rsidRPr="00AA22F2" w:rsidRDefault="000D1D71" w:rsidP="007A7D58">
            <w:pPr>
              <w:cnfStyle w:val="000000000000" w:firstRow="0" w:lastRow="0" w:firstColumn="0" w:lastColumn="0" w:oddVBand="0" w:evenVBand="0" w:oddHBand="0" w:evenHBand="0" w:firstRowFirstColumn="0" w:firstRowLastColumn="0" w:lastRowFirstColumn="0" w:lastRowLastColumn="0"/>
              <w:rPr>
                <w:szCs w:val="20"/>
                <w:lang w:eastAsia="fr-FR" w:bidi="ar-SA"/>
              </w:rPr>
            </w:pPr>
          </w:p>
        </w:tc>
        <w:tc>
          <w:tcPr>
            <w:tcW w:w="0" w:type="auto"/>
            <w:vMerge/>
          </w:tcPr>
          <w:p w14:paraId="71C3DA59" w14:textId="77777777" w:rsidR="000D1D71" w:rsidRPr="00AA22F2" w:rsidRDefault="000D1D71" w:rsidP="007A7D58">
            <w:pPr>
              <w:cnfStyle w:val="000000000000" w:firstRow="0" w:lastRow="0" w:firstColumn="0" w:lastColumn="0" w:oddVBand="0" w:evenVBand="0" w:oddHBand="0" w:evenHBand="0" w:firstRowFirstColumn="0" w:firstRowLastColumn="0" w:lastRowFirstColumn="0" w:lastRowLastColumn="0"/>
              <w:rPr>
                <w:szCs w:val="20"/>
                <w:lang w:eastAsia="fr-FR" w:bidi="ar-SA"/>
              </w:rPr>
            </w:pPr>
          </w:p>
        </w:tc>
        <w:tc>
          <w:tcPr>
            <w:tcW w:w="0" w:type="auto"/>
            <w:tcBorders>
              <w:top w:val="single" w:sz="4" w:space="0" w:color="B4C6E7" w:themeColor="accent1" w:themeTint="66"/>
            </w:tcBorders>
          </w:tcPr>
          <w:p w14:paraId="019C7B0D" w14:textId="230D6068" w:rsidR="000D1D71" w:rsidRPr="00AA22F2" w:rsidRDefault="000A7299" w:rsidP="007A7D58">
            <w:pPr>
              <w:cnfStyle w:val="000000000000" w:firstRow="0" w:lastRow="0" w:firstColumn="0" w:lastColumn="0" w:oddVBand="0" w:evenVBand="0" w:oddHBand="0" w:evenHBand="0" w:firstRowFirstColumn="0" w:firstRowLastColumn="0" w:lastRowFirstColumn="0" w:lastRowLastColumn="0"/>
              <w:rPr>
                <w:szCs w:val="20"/>
                <w:lang w:eastAsia="fr-FR" w:bidi="ar-SA"/>
              </w:rPr>
            </w:pPr>
            <w:r w:rsidRPr="000A7299">
              <w:rPr>
                <w:szCs w:val="20"/>
                <w:lang w:eastAsia="fr-FR" w:bidi="ar-SA"/>
              </w:rPr>
              <w:t>10 000 MAD / session</w:t>
            </w:r>
            <w:r>
              <w:rPr>
                <w:szCs w:val="20"/>
                <w:lang w:eastAsia="fr-FR" w:bidi="ar-SA"/>
              </w:rPr>
              <w:t xml:space="preserve"> (</w:t>
            </w:r>
            <w:r w:rsidRPr="000A7299">
              <w:rPr>
                <w:szCs w:val="20"/>
                <w:lang w:eastAsia="fr-FR" w:bidi="ar-SA"/>
              </w:rPr>
              <w:t>Animation assurée par consultant social ou ONG locale</w:t>
            </w:r>
            <w:r>
              <w:rPr>
                <w:szCs w:val="20"/>
                <w:lang w:eastAsia="fr-FR" w:bidi="ar-SA"/>
              </w:rPr>
              <w:t>)</w:t>
            </w:r>
          </w:p>
        </w:tc>
      </w:tr>
      <w:tr w:rsidR="007A7D58" w:rsidRPr="00D75525" w14:paraId="0075DC54" w14:textId="77777777" w:rsidTr="00065104">
        <w:tc>
          <w:tcPr>
            <w:cnfStyle w:val="001000000000" w:firstRow="0" w:lastRow="0" w:firstColumn="1" w:lastColumn="0" w:oddVBand="0" w:evenVBand="0" w:oddHBand="0" w:evenHBand="0" w:firstRowFirstColumn="0" w:firstRowLastColumn="0" w:lastRowFirstColumn="0" w:lastRowLastColumn="0"/>
            <w:tcW w:w="0" w:type="auto"/>
            <w:vMerge/>
            <w:hideMark/>
          </w:tcPr>
          <w:p w14:paraId="2F76DC4F" w14:textId="77777777" w:rsidR="007A7D58" w:rsidRPr="00AA22F2" w:rsidRDefault="007A7D58" w:rsidP="007A7D58">
            <w:pPr>
              <w:rPr>
                <w:szCs w:val="20"/>
                <w:lang w:eastAsia="fr-FR" w:bidi="ar-SA"/>
              </w:rPr>
            </w:pPr>
          </w:p>
        </w:tc>
        <w:tc>
          <w:tcPr>
            <w:tcW w:w="0" w:type="auto"/>
            <w:hideMark/>
          </w:tcPr>
          <w:p w14:paraId="7DEE860E" w14:textId="77777777" w:rsidR="007A7D58" w:rsidRPr="00AA22F2" w:rsidRDefault="007A7D58" w:rsidP="007A7D58">
            <w:pPr>
              <w:cnfStyle w:val="000000000000" w:firstRow="0" w:lastRow="0" w:firstColumn="0" w:lastColumn="0" w:oddVBand="0" w:evenVBand="0" w:oddHBand="0" w:evenHBand="0" w:firstRowFirstColumn="0" w:firstRowLastColumn="0" w:lastRowFirstColumn="0" w:lastRowLastColumn="0"/>
              <w:rPr>
                <w:szCs w:val="20"/>
                <w:lang w:eastAsia="fr-FR" w:bidi="ar-SA"/>
              </w:rPr>
            </w:pPr>
            <w:r w:rsidRPr="00AA22F2">
              <w:rPr>
                <w:b/>
                <w:bCs/>
                <w:szCs w:val="20"/>
                <w:lang w:eastAsia="fr-FR" w:bidi="ar-SA"/>
              </w:rPr>
              <w:t>Atténuer</w:t>
            </w:r>
          </w:p>
        </w:tc>
        <w:tc>
          <w:tcPr>
            <w:tcW w:w="0" w:type="auto"/>
            <w:hideMark/>
          </w:tcPr>
          <w:p w14:paraId="4299D29A" w14:textId="35550B99" w:rsidR="007A7D58" w:rsidRPr="00AA22F2" w:rsidRDefault="007A7D58" w:rsidP="007A7D58">
            <w:pPr>
              <w:cnfStyle w:val="000000000000" w:firstRow="0" w:lastRow="0" w:firstColumn="0" w:lastColumn="0" w:oddVBand="0" w:evenVBand="0" w:oddHBand="0" w:evenHBand="0" w:firstRowFirstColumn="0" w:firstRowLastColumn="0" w:lastRowFirstColumn="0" w:lastRowLastColumn="0"/>
              <w:rPr>
                <w:szCs w:val="20"/>
                <w:lang w:eastAsia="fr-FR" w:bidi="ar-SA"/>
              </w:rPr>
            </w:pPr>
            <w:r w:rsidRPr="00AA22F2">
              <w:rPr>
                <w:szCs w:val="20"/>
                <w:lang w:eastAsia="fr-FR" w:bidi="ar-SA"/>
              </w:rPr>
              <w:t xml:space="preserve">Mettre en place un mécanisme de plainte confidentiel avec boîte scellée </w:t>
            </w:r>
          </w:p>
        </w:tc>
        <w:tc>
          <w:tcPr>
            <w:tcW w:w="0" w:type="auto"/>
            <w:hideMark/>
          </w:tcPr>
          <w:p w14:paraId="1545589B" w14:textId="77777777" w:rsidR="007A7D58" w:rsidRPr="00AA22F2" w:rsidRDefault="007A7D58" w:rsidP="007A7D58">
            <w:pPr>
              <w:cnfStyle w:val="000000000000" w:firstRow="0" w:lastRow="0" w:firstColumn="0" w:lastColumn="0" w:oddVBand="0" w:evenVBand="0" w:oddHBand="0" w:evenHBand="0" w:firstRowFirstColumn="0" w:firstRowLastColumn="0" w:lastRowFirstColumn="0" w:lastRowLastColumn="0"/>
              <w:rPr>
                <w:szCs w:val="20"/>
                <w:lang w:eastAsia="fr-FR" w:bidi="ar-SA"/>
              </w:rPr>
            </w:pPr>
            <w:r w:rsidRPr="00AA22F2">
              <w:rPr>
                <w:szCs w:val="20"/>
                <w:lang w:eastAsia="fr-FR" w:bidi="ar-SA"/>
              </w:rPr>
              <w:t xml:space="preserve">Nb de plaintes </w:t>
            </w:r>
          </w:p>
          <w:p w14:paraId="2231402E" w14:textId="05AB3CBA" w:rsidR="007A7D58" w:rsidRPr="00AA22F2" w:rsidRDefault="007A7D58" w:rsidP="007A7D58">
            <w:pPr>
              <w:cnfStyle w:val="000000000000" w:firstRow="0" w:lastRow="0" w:firstColumn="0" w:lastColumn="0" w:oddVBand="0" w:evenVBand="0" w:oddHBand="0" w:evenHBand="0" w:firstRowFirstColumn="0" w:firstRowLastColumn="0" w:lastRowFirstColumn="0" w:lastRowLastColumn="0"/>
              <w:rPr>
                <w:szCs w:val="20"/>
                <w:lang w:eastAsia="fr-FR" w:bidi="ar-SA"/>
              </w:rPr>
            </w:pPr>
            <w:r w:rsidRPr="00AA22F2">
              <w:rPr>
                <w:szCs w:val="20"/>
                <w:lang w:eastAsia="fr-FR" w:bidi="ar-SA"/>
              </w:rPr>
              <w:t>Délai de traitement</w:t>
            </w:r>
          </w:p>
        </w:tc>
        <w:tc>
          <w:tcPr>
            <w:tcW w:w="0" w:type="auto"/>
            <w:hideMark/>
          </w:tcPr>
          <w:p w14:paraId="5677DD35" w14:textId="1AAABA83" w:rsidR="007A7D58" w:rsidRPr="00AA22F2" w:rsidRDefault="000A7299" w:rsidP="007A7D58">
            <w:pPr>
              <w:cnfStyle w:val="000000000000" w:firstRow="0" w:lastRow="0" w:firstColumn="0" w:lastColumn="0" w:oddVBand="0" w:evenVBand="0" w:oddHBand="0" w:evenHBand="0" w:firstRowFirstColumn="0" w:firstRowLastColumn="0" w:lastRowFirstColumn="0" w:lastRowLastColumn="0"/>
              <w:rPr>
                <w:szCs w:val="20"/>
                <w:lang w:eastAsia="fr-FR" w:bidi="ar-SA"/>
              </w:rPr>
            </w:pPr>
            <w:r>
              <w:rPr>
                <w:szCs w:val="20"/>
                <w:lang w:eastAsia="fr-FR" w:bidi="ar-SA"/>
              </w:rPr>
              <w:t>ONDA</w:t>
            </w:r>
          </w:p>
        </w:tc>
        <w:tc>
          <w:tcPr>
            <w:tcW w:w="0" w:type="auto"/>
            <w:hideMark/>
          </w:tcPr>
          <w:p w14:paraId="4F6E1272" w14:textId="5CB3B639" w:rsidR="007A7D58" w:rsidRPr="00AA22F2" w:rsidRDefault="007A7D58" w:rsidP="007A7D58">
            <w:pPr>
              <w:cnfStyle w:val="000000000000" w:firstRow="0" w:lastRow="0" w:firstColumn="0" w:lastColumn="0" w:oddVBand="0" w:evenVBand="0" w:oddHBand="0" w:evenHBand="0" w:firstRowFirstColumn="0" w:firstRowLastColumn="0" w:lastRowFirstColumn="0" w:lastRowLastColumn="0"/>
              <w:rPr>
                <w:szCs w:val="20"/>
                <w:lang w:eastAsia="fr-FR" w:bidi="ar-SA"/>
              </w:rPr>
            </w:pPr>
            <w:r w:rsidRPr="00BC1745">
              <w:rPr>
                <w:szCs w:val="20"/>
              </w:rPr>
              <w:t>Bureau de contrôle / Consultant de supervision mandaté par l’ONDA</w:t>
            </w:r>
          </w:p>
        </w:tc>
        <w:tc>
          <w:tcPr>
            <w:tcW w:w="0" w:type="auto"/>
            <w:hideMark/>
          </w:tcPr>
          <w:p w14:paraId="4CC6713C" w14:textId="009F1F5B" w:rsidR="007A7D58" w:rsidRPr="00AA22F2" w:rsidRDefault="007A7D58" w:rsidP="007A7D58">
            <w:pPr>
              <w:cnfStyle w:val="000000000000" w:firstRow="0" w:lastRow="0" w:firstColumn="0" w:lastColumn="0" w:oddVBand="0" w:evenVBand="0" w:oddHBand="0" w:evenHBand="0" w:firstRowFirstColumn="0" w:firstRowLastColumn="0" w:lastRowFirstColumn="0" w:lastRowLastColumn="0"/>
              <w:rPr>
                <w:szCs w:val="20"/>
                <w:lang w:eastAsia="fr-FR" w:bidi="ar-SA"/>
              </w:rPr>
            </w:pPr>
            <w:r w:rsidRPr="00AA22F2">
              <w:rPr>
                <w:szCs w:val="20"/>
                <w:lang w:eastAsia="fr-FR" w:bidi="ar-SA"/>
              </w:rPr>
              <w:t>ONDA</w:t>
            </w:r>
          </w:p>
        </w:tc>
        <w:tc>
          <w:tcPr>
            <w:tcW w:w="0" w:type="auto"/>
            <w:hideMark/>
          </w:tcPr>
          <w:p w14:paraId="73F2F21F" w14:textId="77777777" w:rsidR="007A7D58" w:rsidRPr="00AA22F2" w:rsidRDefault="007A7D58" w:rsidP="007A7D58">
            <w:pPr>
              <w:cnfStyle w:val="000000000000" w:firstRow="0" w:lastRow="0" w:firstColumn="0" w:lastColumn="0" w:oddVBand="0" w:evenVBand="0" w:oddHBand="0" w:evenHBand="0" w:firstRowFirstColumn="0" w:firstRowLastColumn="0" w:lastRowFirstColumn="0" w:lastRowLastColumn="0"/>
              <w:rPr>
                <w:szCs w:val="20"/>
                <w:lang w:eastAsia="fr-FR" w:bidi="ar-SA"/>
              </w:rPr>
            </w:pPr>
            <w:r w:rsidRPr="00AA22F2">
              <w:rPr>
                <w:szCs w:val="20"/>
                <w:lang w:eastAsia="fr-FR" w:bidi="ar-SA"/>
              </w:rPr>
              <w:t>Permanent</w:t>
            </w:r>
          </w:p>
        </w:tc>
        <w:tc>
          <w:tcPr>
            <w:tcW w:w="0" w:type="auto"/>
            <w:hideMark/>
          </w:tcPr>
          <w:p w14:paraId="4A3F7B9C" w14:textId="22C1E379" w:rsidR="007A7D58" w:rsidRPr="00AA22F2" w:rsidRDefault="000A7299" w:rsidP="007A7D58">
            <w:pPr>
              <w:cnfStyle w:val="000000000000" w:firstRow="0" w:lastRow="0" w:firstColumn="0" w:lastColumn="0" w:oddVBand="0" w:evenVBand="0" w:oddHBand="0" w:evenHBand="0" w:firstRowFirstColumn="0" w:firstRowLastColumn="0" w:lastRowFirstColumn="0" w:lastRowLastColumn="0"/>
              <w:rPr>
                <w:szCs w:val="20"/>
                <w:lang w:eastAsia="fr-FR" w:bidi="ar-SA"/>
              </w:rPr>
            </w:pPr>
            <w:r>
              <w:rPr>
                <w:szCs w:val="20"/>
                <w:lang w:eastAsia="fr-FR" w:bidi="ar-SA"/>
              </w:rPr>
              <w:t>80000 MAD/an</w:t>
            </w:r>
          </w:p>
        </w:tc>
      </w:tr>
      <w:tr w:rsidR="007A7D58" w:rsidRPr="00D75525" w14:paraId="34193321" w14:textId="77777777" w:rsidTr="00065104">
        <w:tc>
          <w:tcPr>
            <w:cnfStyle w:val="001000000000" w:firstRow="0" w:lastRow="0" w:firstColumn="1" w:lastColumn="0" w:oddVBand="0" w:evenVBand="0" w:oddHBand="0" w:evenHBand="0" w:firstRowFirstColumn="0" w:firstRowLastColumn="0" w:lastRowFirstColumn="0" w:lastRowLastColumn="0"/>
            <w:tcW w:w="0" w:type="auto"/>
            <w:vMerge/>
            <w:hideMark/>
          </w:tcPr>
          <w:p w14:paraId="44922F06" w14:textId="77777777" w:rsidR="007A7D58" w:rsidRPr="00AA22F2" w:rsidRDefault="007A7D58" w:rsidP="007A7D58">
            <w:pPr>
              <w:rPr>
                <w:szCs w:val="20"/>
                <w:lang w:eastAsia="fr-FR" w:bidi="ar-SA"/>
              </w:rPr>
            </w:pPr>
          </w:p>
        </w:tc>
        <w:tc>
          <w:tcPr>
            <w:tcW w:w="0" w:type="auto"/>
            <w:hideMark/>
          </w:tcPr>
          <w:p w14:paraId="3722CEFA" w14:textId="77777777" w:rsidR="007A7D58" w:rsidRPr="00AA22F2" w:rsidRDefault="007A7D58" w:rsidP="007A7D58">
            <w:pPr>
              <w:cnfStyle w:val="000000000000" w:firstRow="0" w:lastRow="0" w:firstColumn="0" w:lastColumn="0" w:oddVBand="0" w:evenVBand="0" w:oddHBand="0" w:evenHBand="0" w:firstRowFirstColumn="0" w:firstRowLastColumn="0" w:lastRowFirstColumn="0" w:lastRowLastColumn="0"/>
              <w:rPr>
                <w:szCs w:val="20"/>
                <w:lang w:eastAsia="fr-FR" w:bidi="ar-SA"/>
              </w:rPr>
            </w:pPr>
            <w:r w:rsidRPr="00AA22F2">
              <w:rPr>
                <w:b/>
                <w:bCs/>
                <w:szCs w:val="20"/>
                <w:lang w:eastAsia="fr-FR" w:bidi="ar-SA"/>
              </w:rPr>
              <w:t>Compenser</w:t>
            </w:r>
          </w:p>
        </w:tc>
        <w:tc>
          <w:tcPr>
            <w:tcW w:w="0" w:type="auto"/>
            <w:hideMark/>
          </w:tcPr>
          <w:p w14:paraId="4D6B0AEF" w14:textId="77777777" w:rsidR="007A7D58" w:rsidRPr="00AA22F2" w:rsidRDefault="007A7D58" w:rsidP="007A7D58">
            <w:pPr>
              <w:cnfStyle w:val="000000000000" w:firstRow="0" w:lastRow="0" w:firstColumn="0" w:lastColumn="0" w:oddVBand="0" w:evenVBand="0" w:oddHBand="0" w:evenHBand="0" w:firstRowFirstColumn="0" w:firstRowLastColumn="0" w:lastRowFirstColumn="0" w:lastRowLastColumn="0"/>
              <w:rPr>
                <w:szCs w:val="20"/>
                <w:lang w:eastAsia="fr-FR" w:bidi="ar-SA"/>
              </w:rPr>
            </w:pPr>
            <w:r w:rsidRPr="00AA22F2">
              <w:rPr>
                <w:szCs w:val="20"/>
                <w:lang w:eastAsia="fr-FR" w:bidi="ar-SA"/>
              </w:rPr>
              <w:t>Fournir accompagnement médical, psychologique et juridique aux victimes via ONG partenaires.</w:t>
            </w:r>
          </w:p>
        </w:tc>
        <w:tc>
          <w:tcPr>
            <w:tcW w:w="0" w:type="auto"/>
            <w:hideMark/>
          </w:tcPr>
          <w:p w14:paraId="63E5E2CE" w14:textId="77777777" w:rsidR="007A7D58" w:rsidRPr="00AA22F2" w:rsidRDefault="007A7D58" w:rsidP="007A7D58">
            <w:pPr>
              <w:cnfStyle w:val="000000000000" w:firstRow="0" w:lastRow="0" w:firstColumn="0" w:lastColumn="0" w:oddVBand="0" w:evenVBand="0" w:oddHBand="0" w:evenHBand="0" w:firstRowFirstColumn="0" w:firstRowLastColumn="0" w:lastRowFirstColumn="0" w:lastRowLastColumn="0"/>
              <w:rPr>
                <w:szCs w:val="20"/>
                <w:lang w:eastAsia="fr-FR" w:bidi="ar-SA"/>
              </w:rPr>
            </w:pPr>
            <w:r w:rsidRPr="00AA22F2">
              <w:rPr>
                <w:szCs w:val="20"/>
                <w:lang w:eastAsia="fr-FR" w:bidi="ar-SA"/>
              </w:rPr>
              <w:t xml:space="preserve">Nb de victimes assistées </w:t>
            </w:r>
          </w:p>
          <w:p w14:paraId="1E8F62EB" w14:textId="468E8089" w:rsidR="007A7D58" w:rsidRPr="00AA22F2" w:rsidRDefault="007A7D58" w:rsidP="007A7D58">
            <w:pPr>
              <w:cnfStyle w:val="000000000000" w:firstRow="0" w:lastRow="0" w:firstColumn="0" w:lastColumn="0" w:oddVBand="0" w:evenVBand="0" w:oddHBand="0" w:evenHBand="0" w:firstRowFirstColumn="0" w:firstRowLastColumn="0" w:lastRowFirstColumn="0" w:lastRowLastColumn="0"/>
              <w:rPr>
                <w:szCs w:val="20"/>
                <w:lang w:eastAsia="fr-FR" w:bidi="ar-SA"/>
              </w:rPr>
            </w:pPr>
            <w:r w:rsidRPr="00AA22F2">
              <w:rPr>
                <w:szCs w:val="20"/>
                <w:lang w:eastAsia="fr-FR" w:bidi="ar-SA"/>
              </w:rPr>
              <w:t>Délai d’assistance</w:t>
            </w:r>
          </w:p>
        </w:tc>
        <w:tc>
          <w:tcPr>
            <w:tcW w:w="0" w:type="auto"/>
            <w:hideMark/>
          </w:tcPr>
          <w:p w14:paraId="7DD2A104" w14:textId="02D76924" w:rsidR="007A7D58" w:rsidRPr="00AA22F2" w:rsidRDefault="007A7D58" w:rsidP="007A7D58">
            <w:pPr>
              <w:cnfStyle w:val="000000000000" w:firstRow="0" w:lastRow="0" w:firstColumn="0" w:lastColumn="0" w:oddVBand="0" w:evenVBand="0" w:oddHBand="0" w:evenHBand="0" w:firstRowFirstColumn="0" w:firstRowLastColumn="0" w:lastRowFirstColumn="0" w:lastRowLastColumn="0"/>
              <w:rPr>
                <w:szCs w:val="20"/>
                <w:lang w:eastAsia="fr-FR" w:bidi="ar-SA"/>
              </w:rPr>
            </w:pPr>
            <w:r w:rsidRPr="00AA22F2">
              <w:rPr>
                <w:szCs w:val="20"/>
                <w:lang w:eastAsia="fr-FR" w:bidi="ar-SA"/>
              </w:rPr>
              <w:t>EPC et sous-traitants</w:t>
            </w:r>
          </w:p>
        </w:tc>
        <w:tc>
          <w:tcPr>
            <w:tcW w:w="0" w:type="auto"/>
            <w:hideMark/>
          </w:tcPr>
          <w:p w14:paraId="147819E1" w14:textId="60BB1512" w:rsidR="007A7D58" w:rsidRPr="00AA22F2" w:rsidRDefault="007A7D58" w:rsidP="007A7D58">
            <w:pPr>
              <w:cnfStyle w:val="000000000000" w:firstRow="0" w:lastRow="0" w:firstColumn="0" w:lastColumn="0" w:oddVBand="0" w:evenVBand="0" w:oddHBand="0" w:evenHBand="0" w:firstRowFirstColumn="0" w:firstRowLastColumn="0" w:lastRowFirstColumn="0" w:lastRowLastColumn="0"/>
              <w:rPr>
                <w:szCs w:val="20"/>
                <w:lang w:eastAsia="fr-FR" w:bidi="ar-SA"/>
              </w:rPr>
            </w:pPr>
            <w:r w:rsidRPr="00BC1745">
              <w:rPr>
                <w:szCs w:val="20"/>
              </w:rPr>
              <w:t>Bureau de contrôle / Consultant de supervision mandaté par l’ONDA</w:t>
            </w:r>
          </w:p>
        </w:tc>
        <w:tc>
          <w:tcPr>
            <w:tcW w:w="0" w:type="auto"/>
            <w:hideMark/>
          </w:tcPr>
          <w:p w14:paraId="5E85974A" w14:textId="6C011A1A" w:rsidR="007A7D58" w:rsidRPr="00AA22F2" w:rsidRDefault="007A7D58" w:rsidP="007A7D58">
            <w:pPr>
              <w:cnfStyle w:val="000000000000" w:firstRow="0" w:lastRow="0" w:firstColumn="0" w:lastColumn="0" w:oddVBand="0" w:evenVBand="0" w:oddHBand="0" w:evenHBand="0" w:firstRowFirstColumn="0" w:firstRowLastColumn="0" w:lastRowFirstColumn="0" w:lastRowLastColumn="0"/>
              <w:rPr>
                <w:szCs w:val="20"/>
                <w:lang w:eastAsia="fr-FR" w:bidi="ar-SA"/>
              </w:rPr>
            </w:pPr>
            <w:r w:rsidRPr="00AA22F2">
              <w:rPr>
                <w:szCs w:val="20"/>
                <w:lang w:eastAsia="fr-FR" w:bidi="ar-SA"/>
              </w:rPr>
              <w:t>ONDA</w:t>
            </w:r>
          </w:p>
        </w:tc>
        <w:tc>
          <w:tcPr>
            <w:tcW w:w="0" w:type="auto"/>
            <w:hideMark/>
          </w:tcPr>
          <w:p w14:paraId="4609E7D2" w14:textId="77777777" w:rsidR="007A7D58" w:rsidRPr="00AA22F2" w:rsidRDefault="007A7D58" w:rsidP="007A7D58">
            <w:pPr>
              <w:cnfStyle w:val="000000000000" w:firstRow="0" w:lastRow="0" w:firstColumn="0" w:lastColumn="0" w:oddVBand="0" w:evenVBand="0" w:oddHBand="0" w:evenHBand="0" w:firstRowFirstColumn="0" w:firstRowLastColumn="0" w:lastRowFirstColumn="0" w:lastRowLastColumn="0"/>
              <w:rPr>
                <w:szCs w:val="20"/>
                <w:lang w:eastAsia="fr-FR" w:bidi="ar-SA"/>
              </w:rPr>
            </w:pPr>
            <w:r w:rsidRPr="00AA22F2">
              <w:rPr>
                <w:szCs w:val="20"/>
                <w:lang w:eastAsia="fr-FR" w:bidi="ar-SA"/>
              </w:rPr>
              <w:t>Selon besoin</w:t>
            </w:r>
          </w:p>
        </w:tc>
        <w:tc>
          <w:tcPr>
            <w:tcW w:w="0" w:type="auto"/>
            <w:hideMark/>
          </w:tcPr>
          <w:p w14:paraId="050F3963" w14:textId="03404F0F" w:rsidR="007A7D58" w:rsidRPr="00AA22F2" w:rsidRDefault="00C13E5F" w:rsidP="007A7D58">
            <w:pPr>
              <w:cnfStyle w:val="000000000000" w:firstRow="0" w:lastRow="0" w:firstColumn="0" w:lastColumn="0" w:oddVBand="0" w:evenVBand="0" w:oddHBand="0" w:evenHBand="0" w:firstRowFirstColumn="0" w:firstRowLastColumn="0" w:lastRowFirstColumn="0" w:lastRowLastColumn="0"/>
              <w:rPr>
                <w:szCs w:val="20"/>
                <w:lang w:eastAsia="fr-FR" w:bidi="ar-SA"/>
              </w:rPr>
            </w:pPr>
            <w:r w:rsidRPr="00C13E5F">
              <w:rPr>
                <w:szCs w:val="20"/>
                <w:lang w:eastAsia="fr-FR" w:bidi="ar-SA"/>
              </w:rPr>
              <w:t>≈ 5 000 MAD / cas estimatif</w:t>
            </w:r>
          </w:p>
        </w:tc>
      </w:tr>
      <w:tr w:rsidR="007A7D58" w:rsidRPr="00D75525" w14:paraId="6C11AA41" w14:textId="77777777" w:rsidTr="00065104">
        <w:tc>
          <w:tcPr>
            <w:cnfStyle w:val="001000000000" w:firstRow="0" w:lastRow="0" w:firstColumn="1" w:lastColumn="0" w:oddVBand="0" w:evenVBand="0" w:oddHBand="0" w:evenHBand="0" w:firstRowFirstColumn="0" w:firstRowLastColumn="0" w:lastRowFirstColumn="0" w:lastRowLastColumn="0"/>
            <w:tcW w:w="0" w:type="auto"/>
            <w:vMerge w:val="restart"/>
            <w:hideMark/>
          </w:tcPr>
          <w:p w14:paraId="45CB3A40" w14:textId="77777777" w:rsidR="007A7D58" w:rsidRPr="00AA22F2" w:rsidRDefault="007A7D58" w:rsidP="007A7D58">
            <w:pPr>
              <w:rPr>
                <w:szCs w:val="20"/>
                <w:lang w:eastAsia="fr-FR" w:bidi="ar-SA"/>
              </w:rPr>
            </w:pPr>
            <w:r w:rsidRPr="00AA22F2">
              <w:rPr>
                <w:szCs w:val="20"/>
                <w:lang w:eastAsia="fr-FR" w:bidi="ar-SA"/>
              </w:rPr>
              <w:lastRenderedPageBreak/>
              <w:t>Transmission des maladies sexuellement transmissibles (MST/VIH)</w:t>
            </w:r>
          </w:p>
        </w:tc>
        <w:tc>
          <w:tcPr>
            <w:tcW w:w="0" w:type="auto"/>
            <w:hideMark/>
          </w:tcPr>
          <w:p w14:paraId="20868B1C" w14:textId="77777777" w:rsidR="007A7D58" w:rsidRPr="00AA22F2" w:rsidRDefault="007A7D58" w:rsidP="007A7D58">
            <w:pPr>
              <w:cnfStyle w:val="000000000000" w:firstRow="0" w:lastRow="0" w:firstColumn="0" w:lastColumn="0" w:oddVBand="0" w:evenVBand="0" w:oddHBand="0" w:evenHBand="0" w:firstRowFirstColumn="0" w:firstRowLastColumn="0" w:lastRowFirstColumn="0" w:lastRowLastColumn="0"/>
              <w:rPr>
                <w:szCs w:val="20"/>
                <w:lang w:eastAsia="fr-FR" w:bidi="ar-SA"/>
              </w:rPr>
            </w:pPr>
            <w:r w:rsidRPr="00AA22F2">
              <w:rPr>
                <w:b/>
                <w:bCs/>
                <w:szCs w:val="20"/>
                <w:lang w:eastAsia="fr-FR" w:bidi="ar-SA"/>
              </w:rPr>
              <w:t>Éviter</w:t>
            </w:r>
          </w:p>
        </w:tc>
        <w:tc>
          <w:tcPr>
            <w:tcW w:w="0" w:type="auto"/>
            <w:hideMark/>
          </w:tcPr>
          <w:p w14:paraId="7313736C" w14:textId="77777777" w:rsidR="007A7D58" w:rsidRPr="00AA22F2" w:rsidRDefault="007A7D58" w:rsidP="007A7D58">
            <w:pPr>
              <w:cnfStyle w:val="000000000000" w:firstRow="0" w:lastRow="0" w:firstColumn="0" w:lastColumn="0" w:oddVBand="0" w:evenVBand="0" w:oddHBand="0" w:evenHBand="0" w:firstRowFirstColumn="0" w:firstRowLastColumn="0" w:lastRowFirstColumn="0" w:lastRowLastColumn="0"/>
              <w:rPr>
                <w:szCs w:val="20"/>
                <w:lang w:eastAsia="fr-FR" w:bidi="ar-SA"/>
              </w:rPr>
            </w:pPr>
            <w:r w:rsidRPr="00AA22F2">
              <w:rPr>
                <w:szCs w:val="20"/>
                <w:lang w:eastAsia="fr-FR" w:bidi="ar-SA"/>
              </w:rPr>
              <w:t xml:space="preserve">Interdire toute discrimination liée au statut VIH ; </w:t>
            </w:r>
          </w:p>
          <w:p w14:paraId="64936D30" w14:textId="6F73CE35" w:rsidR="007A7D58" w:rsidRPr="00AA22F2" w:rsidRDefault="007A7D58" w:rsidP="007A7D58">
            <w:pPr>
              <w:cnfStyle w:val="000000000000" w:firstRow="0" w:lastRow="0" w:firstColumn="0" w:lastColumn="0" w:oddVBand="0" w:evenVBand="0" w:oddHBand="0" w:evenHBand="0" w:firstRowFirstColumn="0" w:firstRowLastColumn="0" w:lastRowFirstColumn="0" w:lastRowLastColumn="0"/>
              <w:rPr>
                <w:szCs w:val="20"/>
                <w:lang w:eastAsia="fr-FR" w:bidi="ar-SA"/>
              </w:rPr>
            </w:pPr>
            <w:r w:rsidRPr="00AA22F2">
              <w:rPr>
                <w:szCs w:val="20"/>
                <w:lang w:eastAsia="fr-FR" w:bidi="ar-SA"/>
              </w:rPr>
              <w:t>Afficher les messages de tolérance et prévention.</w:t>
            </w:r>
          </w:p>
        </w:tc>
        <w:tc>
          <w:tcPr>
            <w:tcW w:w="0" w:type="auto"/>
            <w:hideMark/>
          </w:tcPr>
          <w:p w14:paraId="177AF9F1" w14:textId="77777777" w:rsidR="007A7D58" w:rsidRPr="00AA22F2" w:rsidRDefault="007A7D58" w:rsidP="007A7D58">
            <w:pPr>
              <w:cnfStyle w:val="000000000000" w:firstRow="0" w:lastRow="0" w:firstColumn="0" w:lastColumn="0" w:oddVBand="0" w:evenVBand="0" w:oddHBand="0" w:evenHBand="0" w:firstRowFirstColumn="0" w:firstRowLastColumn="0" w:lastRowFirstColumn="0" w:lastRowLastColumn="0"/>
              <w:rPr>
                <w:szCs w:val="20"/>
                <w:lang w:eastAsia="fr-FR" w:bidi="ar-SA"/>
              </w:rPr>
            </w:pPr>
            <w:r w:rsidRPr="00AA22F2">
              <w:rPr>
                <w:szCs w:val="20"/>
                <w:lang w:eastAsia="fr-FR" w:bidi="ar-SA"/>
              </w:rPr>
              <w:t xml:space="preserve">0 cas de discrimination </w:t>
            </w:r>
          </w:p>
          <w:p w14:paraId="06D0B73D" w14:textId="1BD2EA83" w:rsidR="007A7D58" w:rsidRPr="00AA22F2" w:rsidRDefault="007A7D58" w:rsidP="007A7D58">
            <w:pPr>
              <w:cnfStyle w:val="000000000000" w:firstRow="0" w:lastRow="0" w:firstColumn="0" w:lastColumn="0" w:oddVBand="0" w:evenVBand="0" w:oddHBand="0" w:evenHBand="0" w:firstRowFirstColumn="0" w:firstRowLastColumn="0" w:lastRowFirstColumn="0" w:lastRowLastColumn="0"/>
              <w:rPr>
                <w:szCs w:val="20"/>
                <w:lang w:eastAsia="fr-FR" w:bidi="ar-SA"/>
              </w:rPr>
            </w:pPr>
            <w:r w:rsidRPr="00AA22F2">
              <w:rPr>
                <w:szCs w:val="20"/>
                <w:lang w:eastAsia="fr-FR" w:bidi="ar-SA"/>
              </w:rPr>
              <w:t>Nb d’affiches</w:t>
            </w:r>
          </w:p>
        </w:tc>
        <w:tc>
          <w:tcPr>
            <w:tcW w:w="0" w:type="auto"/>
            <w:hideMark/>
          </w:tcPr>
          <w:p w14:paraId="101248C0" w14:textId="393935CA" w:rsidR="007A7D58" w:rsidRPr="00AA22F2" w:rsidRDefault="007A7D58" w:rsidP="007A7D58">
            <w:pPr>
              <w:cnfStyle w:val="000000000000" w:firstRow="0" w:lastRow="0" w:firstColumn="0" w:lastColumn="0" w:oddVBand="0" w:evenVBand="0" w:oddHBand="0" w:evenHBand="0" w:firstRowFirstColumn="0" w:firstRowLastColumn="0" w:lastRowFirstColumn="0" w:lastRowLastColumn="0"/>
              <w:rPr>
                <w:szCs w:val="20"/>
                <w:lang w:eastAsia="fr-FR" w:bidi="ar-SA"/>
              </w:rPr>
            </w:pPr>
            <w:r w:rsidRPr="00AA22F2">
              <w:rPr>
                <w:szCs w:val="20"/>
                <w:lang w:eastAsia="fr-FR" w:bidi="ar-SA"/>
              </w:rPr>
              <w:t>EPC et sous-traitants</w:t>
            </w:r>
          </w:p>
        </w:tc>
        <w:tc>
          <w:tcPr>
            <w:tcW w:w="0" w:type="auto"/>
            <w:hideMark/>
          </w:tcPr>
          <w:p w14:paraId="287D99F6" w14:textId="7DBC5393" w:rsidR="007A7D58" w:rsidRPr="00AA22F2" w:rsidRDefault="007A7D58" w:rsidP="007A7D58">
            <w:pPr>
              <w:cnfStyle w:val="000000000000" w:firstRow="0" w:lastRow="0" w:firstColumn="0" w:lastColumn="0" w:oddVBand="0" w:evenVBand="0" w:oddHBand="0" w:evenHBand="0" w:firstRowFirstColumn="0" w:firstRowLastColumn="0" w:lastRowFirstColumn="0" w:lastRowLastColumn="0"/>
              <w:rPr>
                <w:szCs w:val="20"/>
                <w:lang w:eastAsia="fr-FR" w:bidi="ar-SA"/>
              </w:rPr>
            </w:pPr>
            <w:r w:rsidRPr="00BC1745">
              <w:rPr>
                <w:szCs w:val="20"/>
              </w:rPr>
              <w:t>Bureau de contrôle / Consultant de supervision mandaté par l’ONDA</w:t>
            </w:r>
          </w:p>
        </w:tc>
        <w:tc>
          <w:tcPr>
            <w:tcW w:w="0" w:type="auto"/>
            <w:hideMark/>
          </w:tcPr>
          <w:p w14:paraId="75882C49" w14:textId="71261D5D" w:rsidR="007A7D58" w:rsidRPr="00AA22F2" w:rsidRDefault="007A7D58" w:rsidP="007A7D58">
            <w:pPr>
              <w:cnfStyle w:val="000000000000" w:firstRow="0" w:lastRow="0" w:firstColumn="0" w:lastColumn="0" w:oddVBand="0" w:evenVBand="0" w:oddHBand="0" w:evenHBand="0" w:firstRowFirstColumn="0" w:firstRowLastColumn="0" w:lastRowFirstColumn="0" w:lastRowLastColumn="0"/>
              <w:rPr>
                <w:szCs w:val="20"/>
                <w:lang w:eastAsia="fr-FR" w:bidi="ar-SA"/>
              </w:rPr>
            </w:pPr>
            <w:r w:rsidRPr="00AA22F2">
              <w:rPr>
                <w:szCs w:val="20"/>
                <w:lang w:eastAsia="fr-FR" w:bidi="ar-SA"/>
              </w:rPr>
              <w:t>ONDA</w:t>
            </w:r>
          </w:p>
        </w:tc>
        <w:tc>
          <w:tcPr>
            <w:tcW w:w="0" w:type="auto"/>
            <w:hideMark/>
          </w:tcPr>
          <w:p w14:paraId="0417D606" w14:textId="77777777" w:rsidR="007A7D58" w:rsidRPr="00AA22F2" w:rsidRDefault="007A7D58" w:rsidP="007A7D58">
            <w:pPr>
              <w:cnfStyle w:val="000000000000" w:firstRow="0" w:lastRow="0" w:firstColumn="0" w:lastColumn="0" w:oddVBand="0" w:evenVBand="0" w:oddHBand="0" w:evenHBand="0" w:firstRowFirstColumn="0" w:firstRowLastColumn="0" w:lastRowFirstColumn="0" w:lastRowLastColumn="0"/>
              <w:rPr>
                <w:szCs w:val="20"/>
                <w:lang w:eastAsia="fr-FR" w:bidi="ar-SA"/>
              </w:rPr>
            </w:pPr>
            <w:r w:rsidRPr="00AA22F2">
              <w:rPr>
                <w:szCs w:val="20"/>
                <w:lang w:eastAsia="fr-FR" w:bidi="ar-SA"/>
              </w:rPr>
              <w:t>Permanent</w:t>
            </w:r>
          </w:p>
        </w:tc>
        <w:tc>
          <w:tcPr>
            <w:tcW w:w="0" w:type="auto"/>
            <w:hideMark/>
          </w:tcPr>
          <w:p w14:paraId="5501B2D1" w14:textId="77777777" w:rsidR="007A7D58" w:rsidRDefault="007A7D58" w:rsidP="007A7D58">
            <w:pPr>
              <w:cnfStyle w:val="000000000000" w:firstRow="0" w:lastRow="0" w:firstColumn="0" w:lastColumn="0" w:oddVBand="0" w:evenVBand="0" w:oddHBand="0" w:evenHBand="0" w:firstRowFirstColumn="0" w:firstRowLastColumn="0" w:lastRowFirstColumn="0" w:lastRowLastColumn="0"/>
              <w:rPr>
                <w:szCs w:val="20"/>
                <w:lang w:eastAsia="fr-FR" w:bidi="ar-SA"/>
              </w:rPr>
            </w:pPr>
            <w:r w:rsidRPr="00AA22F2">
              <w:rPr>
                <w:szCs w:val="20"/>
                <w:lang w:eastAsia="fr-FR" w:bidi="ar-SA"/>
              </w:rPr>
              <w:t>Aucun coût spécifique</w:t>
            </w:r>
          </w:p>
          <w:p w14:paraId="5A11C3DF" w14:textId="77777777" w:rsidR="00C13E5F" w:rsidRDefault="00C13E5F" w:rsidP="007A7D58">
            <w:pPr>
              <w:cnfStyle w:val="000000000000" w:firstRow="0" w:lastRow="0" w:firstColumn="0" w:lastColumn="0" w:oddVBand="0" w:evenVBand="0" w:oddHBand="0" w:evenHBand="0" w:firstRowFirstColumn="0" w:firstRowLastColumn="0" w:lastRowFirstColumn="0" w:lastRowLastColumn="0"/>
              <w:rPr>
                <w:szCs w:val="20"/>
                <w:lang w:eastAsia="fr-FR" w:bidi="ar-SA"/>
              </w:rPr>
            </w:pPr>
          </w:p>
          <w:p w14:paraId="0EDD43AD" w14:textId="77777777" w:rsidR="00C13E5F" w:rsidRDefault="00C13E5F" w:rsidP="007A7D58">
            <w:pPr>
              <w:cnfStyle w:val="000000000000" w:firstRow="0" w:lastRow="0" w:firstColumn="0" w:lastColumn="0" w:oddVBand="0" w:evenVBand="0" w:oddHBand="0" w:evenHBand="0" w:firstRowFirstColumn="0" w:firstRowLastColumn="0" w:lastRowFirstColumn="0" w:lastRowLastColumn="0"/>
              <w:rPr>
                <w:szCs w:val="20"/>
                <w:lang w:eastAsia="fr-FR" w:bidi="ar-SA"/>
              </w:rPr>
            </w:pPr>
          </w:p>
          <w:p w14:paraId="217A4E11" w14:textId="0508CDC1" w:rsidR="00C13E5F" w:rsidRPr="00AA22F2" w:rsidRDefault="00C13E5F" w:rsidP="007A7D58">
            <w:pPr>
              <w:cnfStyle w:val="000000000000" w:firstRow="0" w:lastRow="0" w:firstColumn="0" w:lastColumn="0" w:oddVBand="0" w:evenVBand="0" w:oddHBand="0" w:evenHBand="0" w:firstRowFirstColumn="0" w:firstRowLastColumn="0" w:lastRowFirstColumn="0" w:lastRowLastColumn="0"/>
              <w:rPr>
                <w:szCs w:val="20"/>
                <w:lang w:eastAsia="fr-FR" w:bidi="ar-SA"/>
              </w:rPr>
            </w:pPr>
            <w:r w:rsidRPr="00C13E5F">
              <w:rPr>
                <w:szCs w:val="20"/>
                <w:lang w:eastAsia="fr-FR" w:bidi="ar-SA"/>
              </w:rPr>
              <w:t>1 500 MAD / lot d’affiches</w:t>
            </w:r>
            <w:r>
              <w:rPr>
                <w:szCs w:val="20"/>
                <w:lang w:eastAsia="fr-FR" w:bidi="ar-SA"/>
              </w:rPr>
              <w:t xml:space="preserve"> (</w:t>
            </w:r>
            <w:r w:rsidRPr="00C13E5F">
              <w:rPr>
                <w:szCs w:val="20"/>
                <w:lang w:eastAsia="fr-FR" w:bidi="ar-SA"/>
              </w:rPr>
              <w:t>Impression et installation d’affiches de sensibilisation</w:t>
            </w:r>
            <w:r>
              <w:rPr>
                <w:szCs w:val="20"/>
                <w:lang w:eastAsia="fr-FR" w:bidi="ar-SA"/>
              </w:rPr>
              <w:t>)</w:t>
            </w:r>
          </w:p>
        </w:tc>
      </w:tr>
      <w:tr w:rsidR="007A7D58" w:rsidRPr="00D75525" w14:paraId="1CA460BF" w14:textId="77777777" w:rsidTr="00065104">
        <w:tc>
          <w:tcPr>
            <w:cnfStyle w:val="001000000000" w:firstRow="0" w:lastRow="0" w:firstColumn="1" w:lastColumn="0" w:oddVBand="0" w:evenVBand="0" w:oddHBand="0" w:evenHBand="0" w:firstRowFirstColumn="0" w:firstRowLastColumn="0" w:lastRowFirstColumn="0" w:lastRowLastColumn="0"/>
            <w:tcW w:w="0" w:type="auto"/>
            <w:vMerge/>
            <w:hideMark/>
          </w:tcPr>
          <w:p w14:paraId="7CBD75C6" w14:textId="77777777" w:rsidR="007A7D58" w:rsidRPr="00AA22F2" w:rsidRDefault="007A7D58" w:rsidP="007A7D58">
            <w:pPr>
              <w:rPr>
                <w:szCs w:val="20"/>
                <w:lang w:eastAsia="fr-FR" w:bidi="ar-SA"/>
              </w:rPr>
            </w:pPr>
          </w:p>
        </w:tc>
        <w:tc>
          <w:tcPr>
            <w:tcW w:w="0" w:type="auto"/>
            <w:hideMark/>
          </w:tcPr>
          <w:p w14:paraId="0B5C1801" w14:textId="77777777" w:rsidR="007A7D58" w:rsidRPr="00AA22F2" w:rsidRDefault="007A7D58" w:rsidP="007A7D58">
            <w:pPr>
              <w:cnfStyle w:val="000000000000" w:firstRow="0" w:lastRow="0" w:firstColumn="0" w:lastColumn="0" w:oddVBand="0" w:evenVBand="0" w:oddHBand="0" w:evenHBand="0" w:firstRowFirstColumn="0" w:firstRowLastColumn="0" w:lastRowFirstColumn="0" w:lastRowLastColumn="0"/>
              <w:rPr>
                <w:szCs w:val="20"/>
                <w:lang w:eastAsia="fr-FR" w:bidi="ar-SA"/>
              </w:rPr>
            </w:pPr>
            <w:r w:rsidRPr="00AA22F2">
              <w:rPr>
                <w:b/>
                <w:bCs/>
                <w:szCs w:val="20"/>
                <w:lang w:eastAsia="fr-FR" w:bidi="ar-SA"/>
              </w:rPr>
              <w:t>Réduire</w:t>
            </w:r>
          </w:p>
        </w:tc>
        <w:tc>
          <w:tcPr>
            <w:tcW w:w="0" w:type="auto"/>
            <w:hideMark/>
          </w:tcPr>
          <w:p w14:paraId="6711A791" w14:textId="2D3A22BE" w:rsidR="007A7D58" w:rsidRPr="00AA22F2" w:rsidRDefault="007A7D58" w:rsidP="007A7D58">
            <w:pPr>
              <w:cnfStyle w:val="000000000000" w:firstRow="0" w:lastRow="0" w:firstColumn="0" w:lastColumn="0" w:oddVBand="0" w:evenVBand="0" w:oddHBand="0" w:evenHBand="0" w:firstRowFirstColumn="0" w:firstRowLastColumn="0" w:lastRowFirstColumn="0" w:lastRowLastColumn="0"/>
              <w:rPr>
                <w:szCs w:val="20"/>
                <w:lang w:eastAsia="fr-FR" w:bidi="ar-SA"/>
              </w:rPr>
            </w:pPr>
            <w:r w:rsidRPr="00AA22F2">
              <w:rPr>
                <w:szCs w:val="20"/>
                <w:lang w:eastAsia="fr-FR" w:bidi="ar-SA"/>
              </w:rPr>
              <w:t>Organiser des campagnes</w:t>
            </w:r>
            <w:r w:rsidR="00C13E5F" w:rsidRPr="00AA22F2">
              <w:rPr>
                <w:szCs w:val="20"/>
                <w:lang w:eastAsia="fr-FR" w:bidi="ar-SA"/>
              </w:rPr>
              <w:t xml:space="preserve"> </w:t>
            </w:r>
            <w:r w:rsidRPr="00AA22F2">
              <w:rPr>
                <w:szCs w:val="20"/>
                <w:lang w:eastAsia="fr-FR" w:bidi="ar-SA"/>
              </w:rPr>
              <w:t xml:space="preserve">de prévention </w:t>
            </w:r>
          </w:p>
        </w:tc>
        <w:tc>
          <w:tcPr>
            <w:tcW w:w="0" w:type="auto"/>
            <w:hideMark/>
          </w:tcPr>
          <w:p w14:paraId="4FC01B2B" w14:textId="77777777" w:rsidR="007A7D58" w:rsidRPr="00AA22F2" w:rsidRDefault="007A7D58" w:rsidP="007A7D58">
            <w:pPr>
              <w:cnfStyle w:val="000000000000" w:firstRow="0" w:lastRow="0" w:firstColumn="0" w:lastColumn="0" w:oddVBand="0" w:evenVBand="0" w:oddHBand="0" w:evenHBand="0" w:firstRowFirstColumn="0" w:firstRowLastColumn="0" w:lastRowFirstColumn="0" w:lastRowLastColumn="0"/>
              <w:rPr>
                <w:szCs w:val="20"/>
                <w:lang w:eastAsia="fr-FR" w:bidi="ar-SA"/>
              </w:rPr>
            </w:pPr>
            <w:r w:rsidRPr="00AA22F2">
              <w:rPr>
                <w:szCs w:val="20"/>
                <w:lang w:eastAsia="fr-FR" w:bidi="ar-SA"/>
              </w:rPr>
              <w:t xml:space="preserve">Nb de campagnes </w:t>
            </w:r>
          </w:p>
          <w:p w14:paraId="2B565146" w14:textId="63C9CCBB" w:rsidR="007A7D58" w:rsidRPr="00AA22F2" w:rsidRDefault="007A7D58" w:rsidP="007A7D58">
            <w:pPr>
              <w:cnfStyle w:val="000000000000" w:firstRow="0" w:lastRow="0" w:firstColumn="0" w:lastColumn="0" w:oddVBand="0" w:evenVBand="0" w:oddHBand="0" w:evenHBand="0" w:firstRowFirstColumn="0" w:firstRowLastColumn="0" w:lastRowFirstColumn="0" w:lastRowLastColumn="0"/>
              <w:rPr>
                <w:szCs w:val="20"/>
                <w:lang w:eastAsia="fr-FR" w:bidi="ar-SA"/>
              </w:rPr>
            </w:pPr>
            <w:r w:rsidRPr="00AA22F2">
              <w:rPr>
                <w:szCs w:val="20"/>
                <w:lang w:eastAsia="fr-FR" w:bidi="ar-SA"/>
              </w:rPr>
              <w:t>Nb de bénéficiaires</w:t>
            </w:r>
          </w:p>
        </w:tc>
        <w:tc>
          <w:tcPr>
            <w:tcW w:w="0" w:type="auto"/>
            <w:hideMark/>
          </w:tcPr>
          <w:p w14:paraId="2978BDFA" w14:textId="144B890E" w:rsidR="007A7D58" w:rsidRPr="00AA22F2" w:rsidRDefault="007A7D58" w:rsidP="007A7D58">
            <w:pPr>
              <w:cnfStyle w:val="000000000000" w:firstRow="0" w:lastRow="0" w:firstColumn="0" w:lastColumn="0" w:oddVBand="0" w:evenVBand="0" w:oddHBand="0" w:evenHBand="0" w:firstRowFirstColumn="0" w:firstRowLastColumn="0" w:lastRowFirstColumn="0" w:lastRowLastColumn="0"/>
              <w:rPr>
                <w:szCs w:val="20"/>
                <w:lang w:eastAsia="fr-FR" w:bidi="ar-SA"/>
              </w:rPr>
            </w:pPr>
            <w:r w:rsidRPr="00AA22F2">
              <w:rPr>
                <w:szCs w:val="20"/>
                <w:lang w:eastAsia="fr-FR" w:bidi="ar-SA"/>
              </w:rPr>
              <w:t>EPC et sous-traitants</w:t>
            </w:r>
          </w:p>
        </w:tc>
        <w:tc>
          <w:tcPr>
            <w:tcW w:w="0" w:type="auto"/>
            <w:hideMark/>
          </w:tcPr>
          <w:p w14:paraId="181CE79B" w14:textId="59CF3943" w:rsidR="007A7D58" w:rsidRPr="00AA22F2" w:rsidRDefault="007A7D58" w:rsidP="007A7D58">
            <w:pPr>
              <w:cnfStyle w:val="000000000000" w:firstRow="0" w:lastRow="0" w:firstColumn="0" w:lastColumn="0" w:oddVBand="0" w:evenVBand="0" w:oddHBand="0" w:evenHBand="0" w:firstRowFirstColumn="0" w:firstRowLastColumn="0" w:lastRowFirstColumn="0" w:lastRowLastColumn="0"/>
              <w:rPr>
                <w:szCs w:val="20"/>
                <w:lang w:eastAsia="fr-FR" w:bidi="ar-SA"/>
              </w:rPr>
            </w:pPr>
            <w:r w:rsidRPr="00BC1745">
              <w:rPr>
                <w:szCs w:val="20"/>
              </w:rPr>
              <w:t>Bureau de contrôle / Consultant de supervision mandaté par l’ONDA</w:t>
            </w:r>
          </w:p>
        </w:tc>
        <w:tc>
          <w:tcPr>
            <w:tcW w:w="0" w:type="auto"/>
            <w:hideMark/>
          </w:tcPr>
          <w:p w14:paraId="27EDD93C" w14:textId="0D75A589" w:rsidR="007A7D58" w:rsidRPr="00AA22F2" w:rsidRDefault="007A7D58" w:rsidP="007A7D58">
            <w:pPr>
              <w:cnfStyle w:val="000000000000" w:firstRow="0" w:lastRow="0" w:firstColumn="0" w:lastColumn="0" w:oddVBand="0" w:evenVBand="0" w:oddHBand="0" w:evenHBand="0" w:firstRowFirstColumn="0" w:firstRowLastColumn="0" w:lastRowFirstColumn="0" w:lastRowLastColumn="0"/>
              <w:rPr>
                <w:szCs w:val="20"/>
                <w:lang w:eastAsia="fr-FR" w:bidi="ar-SA"/>
              </w:rPr>
            </w:pPr>
            <w:r w:rsidRPr="00AA22F2">
              <w:rPr>
                <w:szCs w:val="20"/>
                <w:lang w:eastAsia="fr-FR" w:bidi="ar-SA"/>
              </w:rPr>
              <w:t>ONDA</w:t>
            </w:r>
          </w:p>
        </w:tc>
        <w:tc>
          <w:tcPr>
            <w:tcW w:w="0" w:type="auto"/>
            <w:hideMark/>
          </w:tcPr>
          <w:p w14:paraId="6AB3A7EA" w14:textId="77777777" w:rsidR="007A7D58" w:rsidRPr="00AA22F2" w:rsidRDefault="007A7D58" w:rsidP="007A7D58">
            <w:pPr>
              <w:cnfStyle w:val="000000000000" w:firstRow="0" w:lastRow="0" w:firstColumn="0" w:lastColumn="0" w:oddVBand="0" w:evenVBand="0" w:oddHBand="0" w:evenHBand="0" w:firstRowFirstColumn="0" w:firstRowLastColumn="0" w:lastRowFirstColumn="0" w:lastRowLastColumn="0"/>
              <w:rPr>
                <w:szCs w:val="20"/>
                <w:lang w:eastAsia="fr-FR" w:bidi="ar-SA"/>
              </w:rPr>
            </w:pPr>
            <w:r w:rsidRPr="00AA22F2">
              <w:rPr>
                <w:szCs w:val="20"/>
                <w:lang w:eastAsia="fr-FR" w:bidi="ar-SA"/>
              </w:rPr>
              <w:t>Trimestriel</w:t>
            </w:r>
          </w:p>
        </w:tc>
        <w:tc>
          <w:tcPr>
            <w:tcW w:w="0" w:type="auto"/>
            <w:hideMark/>
          </w:tcPr>
          <w:p w14:paraId="093DA30A" w14:textId="2A539E1A" w:rsidR="007A7D58" w:rsidRPr="00AA22F2" w:rsidRDefault="00C13E5F" w:rsidP="007A7D58">
            <w:pPr>
              <w:cnfStyle w:val="000000000000" w:firstRow="0" w:lastRow="0" w:firstColumn="0" w:lastColumn="0" w:oddVBand="0" w:evenVBand="0" w:oddHBand="0" w:evenHBand="0" w:firstRowFirstColumn="0" w:firstRowLastColumn="0" w:lastRowFirstColumn="0" w:lastRowLastColumn="0"/>
              <w:rPr>
                <w:szCs w:val="20"/>
                <w:lang w:eastAsia="fr-FR" w:bidi="ar-SA"/>
              </w:rPr>
            </w:pPr>
            <w:r w:rsidRPr="00C13E5F">
              <w:rPr>
                <w:szCs w:val="20"/>
                <w:lang w:eastAsia="fr-FR" w:bidi="ar-SA"/>
              </w:rPr>
              <w:t>10 000 MAD / campagne</w:t>
            </w:r>
            <w:r>
              <w:rPr>
                <w:szCs w:val="20"/>
                <w:lang w:eastAsia="fr-FR" w:bidi="ar-SA"/>
              </w:rPr>
              <w:t xml:space="preserve"> (</w:t>
            </w:r>
            <w:r w:rsidRPr="00C13E5F">
              <w:rPr>
                <w:szCs w:val="20"/>
                <w:lang w:eastAsia="fr-FR" w:bidi="ar-SA"/>
              </w:rPr>
              <w:t xml:space="preserve">animation par un médecin ou ONG partenaire, supports visuels, distribution de </w:t>
            </w:r>
            <w:r>
              <w:rPr>
                <w:szCs w:val="20"/>
                <w:lang w:eastAsia="fr-FR" w:bidi="ar-SA"/>
              </w:rPr>
              <w:t>d</w:t>
            </w:r>
            <w:r w:rsidRPr="00C13E5F">
              <w:rPr>
                <w:szCs w:val="20"/>
                <w:lang w:eastAsia="fr-FR" w:bidi="ar-SA"/>
              </w:rPr>
              <w:t>ocumentation</w:t>
            </w:r>
            <w:r>
              <w:rPr>
                <w:szCs w:val="20"/>
                <w:lang w:eastAsia="fr-FR" w:bidi="ar-SA"/>
              </w:rPr>
              <w:t>)</w:t>
            </w:r>
          </w:p>
        </w:tc>
      </w:tr>
      <w:tr w:rsidR="007A7D58" w:rsidRPr="00D75525" w14:paraId="6B8EEF5B" w14:textId="77777777" w:rsidTr="00065104">
        <w:tc>
          <w:tcPr>
            <w:cnfStyle w:val="001000000000" w:firstRow="0" w:lastRow="0" w:firstColumn="1" w:lastColumn="0" w:oddVBand="0" w:evenVBand="0" w:oddHBand="0" w:evenHBand="0" w:firstRowFirstColumn="0" w:firstRowLastColumn="0" w:lastRowFirstColumn="0" w:lastRowLastColumn="0"/>
            <w:tcW w:w="0" w:type="auto"/>
            <w:vMerge/>
            <w:hideMark/>
          </w:tcPr>
          <w:p w14:paraId="69203602" w14:textId="77777777" w:rsidR="007A7D58" w:rsidRPr="00AA22F2" w:rsidRDefault="007A7D58" w:rsidP="007A7D58">
            <w:pPr>
              <w:rPr>
                <w:szCs w:val="20"/>
                <w:lang w:eastAsia="fr-FR" w:bidi="ar-SA"/>
              </w:rPr>
            </w:pPr>
          </w:p>
        </w:tc>
        <w:tc>
          <w:tcPr>
            <w:tcW w:w="0" w:type="auto"/>
            <w:hideMark/>
          </w:tcPr>
          <w:p w14:paraId="13C4D487" w14:textId="77777777" w:rsidR="007A7D58" w:rsidRPr="00AA22F2" w:rsidRDefault="007A7D58" w:rsidP="007A7D58">
            <w:pPr>
              <w:cnfStyle w:val="000000000000" w:firstRow="0" w:lastRow="0" w:firstColumn="0" w:lastColumn="0" w:oddVBand="0" w:evenVBand="0" w:oddHBand="0" w:evenHBand="0" w:firstRowFirstColumn="0" w:firstRowLastColumn="0" w:lastRowFirstColumn="0" w:lastRowLastColumn="0"/>
              <w:rPr>
                <w:szCs w:val="20"/>
                <w:lang w:eastAsia="fr-FR" w:bidi="ar-SA"/>
              </w:rPr>
            </w:pPr>
            <w:r w:rsidRPr="00AA22F2">
              <w:rPr>
                <w:b/>
                <w:bCs/>
                <w:szCs w:val="20"/>
                <w:lang w:eastAsia="fr-FR" w:bidi="ar-SA"/>
              </w:rPr>
              <w:t>Atténuer</w:t>
            </w:r>
          </w:p>
        </w:tc>
        <w:tc>
          <w:tcPr>
            <w:tcW w:w="0" w:type="auto"/>
            <w:hideMark/>
          </w:tcPr>
          <w:p w14:paraId="5626FF60" w14:textId="77777777" w:rsidR="007A7D58" w:rsidRPr="00AA22F2" w:rsidRDefault="007A7D58" w:rsidP="007A7D58">
            <w:pPr>
              <w:cnfStyle w:val="000000000000" w:firstRow="0" w:lastRow="0" w:firstColumn="0" w:lastColumn="0" w:oddVBand="0" w:evenVBand="0" w:oddHBand="0" w:evenHBand="0" w:firstRowFirstColumn="0" w:firstRowLastColumn="0" w:lastRowFirstColumn="0" w:lastRowLastColumn="0"/>
              <w:rPr>
                <w:szCs w:val="20"/>
                <w:lang w:eastAsia="fr-FR" w:bidi="ar-SA"/>
              </w:rPr>
            </w:pPr>
            <w:r w:rsidRPr="00AA22F2">
              <w:rPr>
                <w:szCs w:val="20"/>
                <w:lang w:eastAsia="fr-FR" w:bidi="ar-SA"/>
              </w:rPr>
              <w:t xml:space="preserve">Assurer dépistage volontaire et anonyme via médecin du travail ; </w:t>
            </w:r>
          </w:p>
          <w:p w14:paraId="011A04CE" w14:textId="45525034" w:rsidR="007A7D58" w:rsidRPr="00AA22F2" w:rsidRDefault="007A7D58" w:rsidP="007A7D58">
            <w:pPr>
              <w:cnfStyle w:val="000000000000" w:firstRow="0" w:lastRow="0" w:firstColumn="0" w:lastColumn="0" w:oddVBand="0" w:evenVBand="0" w:oddHBand="0" w:evenHBand="0" w:firstRowFirstColumn="0" w:firstRowLastColumn="0" w:lastRowFirstColumn="0" w:lastRowLastColumn="0"/>
              <w:rPr>
                <w:szCs w:val="20"/>
                <w:lang w:eastAsia="fr-FR" w:bidi="ar-SA"/>
              </w:rPr>
            </w:pPr>
            <w:r w:rsidRPr="00AA22F2">
              <w:rPr>
                <w:szCs w:val="20"/>
                <w:lang w:eastAsia="fr-FR" w:bidi="ar-SA"/>
              </w:rPr>
              <w:lastRenderedPageBreak/>
              <w:t>Suivre les cas positifs.</w:t>
            </w:r>
          </w:p>
        </w:tc>
        <w:tc>
          <w:tcPr>
            <w:tcW w:w="0" w:type="auto"/>
            <w:hideMark/>
          </w:tcPr>
          <w:p w14:paraId="3C9524A7" w14:textId="77777777" w:rsidR="007A7D58" w:rsidRPr="00AA22F2" w:rsidRDefault="007A7D58" w:rsidP="007A7D58">
            <w:pPr>
              <w:cnfStyle w:val="000000000000" w:firstRow="0" w:lastRow="0" w:firstColumn="0" w:lastColumn="0" w:oddVBand="0" w:evenVBand="0" w:oddHBand="0" w:evenHBand="0" w:firstRowFirstColumn="0" w:firstRowLastColumn="0" w:lastRowFirstColumn="0" w:lastRowLastColumn="0"/>
              <w:rPr>
                <w:szCs w:val="20"/>
                <w:lang w:eastAsia="fr-FR" w:bidi="ar-SA"/>
              </w:rPr>
            </w:pPr>
            <w:r w:rsidRPr="00AA22F2">
              <w:rPr>
                <w:szCs w:val="20"/>
                <w:lang w:eastAsia="fr-FR" w:bidi="ar-SA"/>
              </w:rPr>
              <w:lastRenderedPageBreak/>
              <w:t xml:space="preserve">Nb de tests </w:t>
            </w:r>
          </w:p>
          <w:p w14:paraId="5E370A6E" w14:textId="6855BF34" w:rsidR="007A7D58" w:rsidRPr="00AA22F2" w:rsidRDefault="007A7D58" w:rsidP="007A7D58">
            <w:pPr>
              <w:cnfStyle w:val="000000000000" w:firstRow="0" w:lastRow="0" w:firstColumn="0" w:lastColumn="0" w:oddVBand="0" w:evenVBand="0" w:oddHBand="0" w:evenHBand="0" w:firstRowFirstColumn="0" w:firstRowLastColumn="0" w:lastRowFirstColumn="0" w:lastRowLastColumn="0"/>
              <w:rPr>
                <w:szCs w:val="20"/>
                <w:lang w:eastAsia="fr-FR" w:bidi="ar-SA"/>
              </w:rPr>
            </w:pPr>
            <w:r w:rsidRPr="00AA22F2">
              <w:rPr>
                <w:szCs w:val="20"/>
                <w:lang w:eastAsia="fr-FR" w:bidi="ar-SA"/>
              </w:rPr>
              <w:t>Nb de suivis</w:t>
            </w:r>
          </w:p>
        </w:tc>
        <w:tc>
          <w:tcPr>
            <w:tcW w:w="0" w:type="auto"/>
            <w:hideMark/>
          </w:tcPr>
          <w:p w14:paraId="009815A0" w14:textId="0F34F0D8" w:rsidR="007A7D58" w:rsidRPr="00AA22F2" w:rsidRDefault="007A7D58" w:rsidP="007A7D58">
            <w:pPr>
              <w:cnfStyle w:val="000000000000" w:firstRow="0" w:lastRow="0" w:firstColumn="0" w:lastColumn="0" w:oddVBand="0" w:evenVBand="0" w:oddHBand="0" w:evenHBand="0" w:firstRowFirstColumn="0" w:firstRowLastColumn="0" w:lastRowFirstColumn="0" w:lastRowLastColumn="0"/>
              <w:rPr>
                <w:szCs w:val="20"/>
                <w:lang w:eastAsia="fr-FR" w:bidi="ar-SA"/>
              </w:rPr>
            </w:pPr>
            <w:r w:rsidRPr="00AA22F2">
              <w:rPr>
                <w:szCs w:val="20"/>
                <w:lang w:eastAsia="fr-FR" w:bidi="ar-SA"/>
              </w:rPr>
              <w:t>EPC et sous-traitants</w:t>
            </w:r>
          </w:p>
        </w:tc>
        <w:tc>
          <w:tcPr>
            <w:tcW w:w="0" w:type="auto"/>
            <w:hideMark/>
          </w:tcPr>
          <w:p w14:paraId="65825D23" w14:textId="0D37594C" w:rsidR="007A7D58" w:rsidRPr="00AA22F2" w:rsidRDefault="007A7D58" w:rsidP="007A7D58">
            <w:pPr>
              <w:cnfStyle w:val="000000000000" w:firstRow="0" w:lastRow="0" w:firstColumn="0" w:lastColumn="0" w:oddVBand="0" w:evenVBand="0" w:oddHBand="0" w:evenHBand="0" w:firstRowFirstColumn="0" w:firstRowLastColumn="0" w:lastRowFirstColumn="0" w:lastRowLastColumn="0"/>
              <w:rPr>
                <w:szCs w:val="20"/>
                <w:lang w:eastAsia="fr-FR" w:bidi="ar-SA"/>
              </w:rPr>
            </w:pPr>
            <w:r w:rsidRPr="00BC1745">
              <w:rPr>
                <w:szCs w:val="20"/>
              </w:rPr>
              <w:t xml:space="preserve">Bureau de contrôle / Consultant de supervision </w:t>
            </w:r>
            <w:r w:rsidRPr="00BC1745">
              <w:rPr>
                <w:szCs w:val="20"/>
              </w:rPr>
              <w:lastRenderedPageBreak/>
              <w:t>mandaté par l’ONDA</w:t>
            </w:r>
          </w:p>
        </w:tc>
        <w:tc>
          <w:tcPr>
            <w:tcW w:w="0" w:type="auto"/>
            <w:hideMark/>
          </w:tcPr>
          <w:p w14:paraId="553BE287" w14:textId="6B53E77B" w:rsidR="007A7D58" w:rsidRPr="00AA22F2" w:rsidRDefault="007A7D58" w:rsidP="007A7D58">
            <w:pPr>
              <w:cnfStyle w:val="000000000000" w:firstRow="0" w:lastRow="0" w:firstColumn="0" w:lastColumn="0" w:oddVBand="0" w:evenVBand="0" w:oddHBand="0" w:evenHBand="0" w:firstRowFirstColumn="0" w:firstRowLastColumn="0" w:lastRowFirstColumn="0" w:lastRowLastColumn="0"/>
              <w:rPr>
                <w:szCs w:val="20"/>
                <w:lang w:eastAsia="fr-FR" w:bidi="ar-SA"/>
              </w:rPr>
            </w:pPr>
            <w:r w:rsidRPr="00AA22F2">
              <w:rPr>
                <w:szCs w:val="20"/>
                <w:lang w:eastAsia="fr-FR" w:bidi="ar-SA"/>
              </w:rPr>
              <w:lastRenderedPageBreak/>
              <w:t>ONDA</w:t>
            </w:r>
          </w:p>
        </w:tc>
        <w:tc>
          <w:tcPr>
            <w:tcW w:w="0" w:type="auto"/>
            <w:hideMark/>
          </w:tcPr>
          <w:p w14:paraId="756E400A" w14:textId="77777777" w:rsidR="007A7D58" w:rsidRPr="00AA22F2" w:rsidRDefault="007A7D58" w:rsidP="007A7D58">
            <w:pPr>
              <w:cnfStyle w:val="000000000000" w:firstRow="0" w:lastRow="0" w:firstColumn="0" w:lastColumn="0" w:oddVBand="0" w:evenVBand="0" w:oddHBand="0" w:evenHBand="0" w:firstRowFirstColumn="0" w:firstRowLastColumn="0" w:lastRowFirstColumn="0" w:lastRowLastColumn="0"/>
              <w:rPr>
                <w:szCs w:val="20"/>
                <w:lang w:eastAsia="fr-FR" w:bidi="ar-SA"/>
              </w:rPr>
            </w:pPr>
            <w:r w:rsidRPr="00AA22F2">
              <w:rPr>
                <w:szCs w:val="20"/>
                <w:lang w:eastAsia="fr-FR" w:bidi="ar-SA"/>
              </w:rPr>
              <w:t>Semestriel</w:t>
            </w:r>
          </w:p>
        </w:tc>
        <w:tc>
          <w:tcPr>
            <w:tcW w:w="0" w:type="auto"/>
            <w:hideMark/>
          </w:tcPr>
          <w:p w14:paraId="5AE58183" w14:textId="64E5256F" w:rsidR="007A7D58" w:rsidRDefault="007A7D58" w:rsidP="007A7D58">
            <w:pPr>
              <w:cnfStyle w:val="000000000000" w:firstRow="0" w:lastRow="0" w:firstColumn="0" w:lastColumn="0" w:oddVBand="0" w:evenVBand="0" w:oddHBand="0" w:evenHBand="0" w:firstRowFirstColumn="0" w:firstRowLastColumn="0" w:lastRowFirstColumn="0" w:lastRowLastColumn="0"/>
              <w:rPr>
                <w:szCs w:val="20"/>
                <w:lang w:eastAsia="fr-FR" w:bidi="ar-SA"/>
              </w:rPr>
            </w:pPr>
            <w:r w:rsidRPr="00C94E32">
              <w:rPr>
                <w:szCs w:val="20"/>
                <w:lang w:eastAsia="fr-FR" w:bidi="ar-SA"/>
              </w:rPr>
              <w:t>200 MAD/unité</w:t>
            </w:r>
          </w:p>
          <w:p w14:paraId="4272BDB1" w14:textId="77777777" w:rsidR="00FC2DF3" w:rsidRDefault="00FC2DF3" w:rsidP="007A7D58">
            <w:pPr>
              <w:cnfStyle w:val="000000000000" w:firstRow="0" w:lastRow="0" w:firstColumn="0" w:lastColumn="0" w:oddVBand="0" w:evenVBand="0" w:oddHBand="0" w:evenHBand="0" w:firstRowFirstColumn="0" w:firstRowLastColumn="0" w:lastRowFirstColumn="0" w:lastRowLastColumn="0"/>
              <w:rPr>
                <w:szCs w:val="20"/>
                <w:lang w:eastAsia="fr-FR" w:bidi="ar-SA"/>
              </w:rPr>
            </w:pPr>
          </w:p>
          <w:p w14:paraId="219BA829" w14:textId="7925C3E3" w:rsidR="00FC2DF3" w:rsidRPr="00AA22F2" w:rsidRDefault="00FC2DF3" w:rsidP="007A7D58">
            <w:pPr>
              <w:cnfStyle w:val="000000000000" w:firstRow="0" w:lastRow="0" w:firstColumn="0" w:lastColumn="0" w:oddVBand="0" w:evenVBand="0" w:oddHBand="0" w:evenHBand="0" w:firstRowFirstColumn="0" w:firstRowLastColumn="0" w:lastRowFirstColumn="0" w:lastRowLastColumn="0"/>
              <w:rPr>
                <w:szCs w:val="20"/>
                <w:lang w:eastAsia="fr-FR" w:bidi="ar-SA"/>
              </w:rPr>
            </w:pPr>
            <w:r w:rsidRPr="00FC2DF3">
              <w:rPr>
                <w:szCs w:val="20"/>
                <w:lang w:eastAsia="fr-FR" w:bidi="ar-SA"/>
              </w:rPr>
              <w:lastRenderedPageBreak/>
              <w:t>1 000 MAD / suivi / cas</w:t>
            </w:r>
          </w:p>
        </w:tc>
      </w:tr>
      <w:tr w:rsidR="007A7D58" w:rsidRPr="00D75525" w14:paraId="0B76D3A1" w14:textId="77777777" w:rsidTr="00065104">
        <w:tc>
          <w:tcPr>
            <w:cnfStyle w:val="001000000000" w:firstRow="0" w:lastRow="0" w:firstColumn="1" w:lastColumn="0" w:oddVBand="0" w:evenVBand="0" w:oddHBand="0" w:evenHBand="0" w:firstRowFirstColumn="0" w:firstRowLastColumn="0" w:lastRowFirstColumn="0" w:lastRowLastColumn="0"/>
            <w:tcW w:w="0" w:type="auto"/>
            <w:vMerge/>
            <w:hideMark/>
          </w:tcPr>
          <w:p w14:paraId="65815451" w14:textId="77777777" w:rsidR="007A7D58" w:rsidRPr="00AA22F2" w:rsidRDefault="007A7D58" w:rsidP="007A7D58">
            <w:pPr>
              <w:rPr>
                <w:szCs w:val="20"/>
                <w:lang w:eastAsia="fr-FR" w:bidi="ar-SA"/>
              </w:rPr>
            </w:pPr>
          </w:p>
        </w:tc>
        <w:tc>
          <w:tcPr>
            <w:tcW w:w="0" w:type="auto"/>
            <w:hideMark/>
          </w:tcPr>
          <w:p w14:paraId="2D8C94BF" w14:textId="77777777" w:rsidR="007A7D58" w:rsidRPr="00AA22F2" w:rsidRDefault="007A7D58" w:rsidP="007A7D58">
            <w:pPr>
              <w:cnfStyle w:val="000000000000" w:firstRow="0" w:lastRow="0" w:firstColumn="0" w:lastColumn="0" w:oddVBand="0" w:evenVBand="0" w:oddHBand="0" w:evenHBand="0" w:firstRowFirstColumn="0" w:firstRowLastColumn="0" w:lastRowFirstColumn="0" w:lastRowLastColumn="0"/>
              <w:rPr>
                <w:szCs w:val="20"/>
                <w:lang w:eastAsia="fr-FR" w:bidi="ar-SA"/>
              </w:rPr>
            </w:pPr>
            <w:r w:rsidRPr="00AA22F2">
              <w:rPr>
                <w:b/>
                <w:bCs/>
                <w:szCs w:val="20"/>
                <w:lang w:eastAsia="fr-FR" w:bidi="ar-SA"/>
              </w:rPr>
              <w:t>Compenser</w:t>
            </w:r>
          </w:p>
        </w:tc>
        <w:tc>
          <w:tcPr>
            <w:tcW w:w="0" w:type="auto"/>
            <w:hideMark/>
          </w:tcPr>
          <w:p w14:paraId="05333DC1" w14:textId="77777777" w:rsidR="007A7D58" w:rsidRPr="00AA22F2" w:rsidRDefault="007A7D58" w:rsidP="007A7D58">
            <w:pPr>
              <w:cnfStyle w:val="000000000000" w:firstRow="0" w:lastRow="0" w:firstColumn="0" w:lastColumn="0" w:oddVBand="0" w:evenVBand="0" w:oddHBand="0" w:evenHBand="0" w:firstRowFirstColumn="0" w:firstRowLastColumn="0" w:lastRowFirstColumn="0" w:lastRowLastColumn="0"/>
              <w:rPr>
                <w:szCs w:val="20"/>
                <w:lang w:eastAsia="fr-FR" w:bidi="ar-SA"/>
              </w:rPr>
            </w:pPr>
            <w:r w:rsidRPr="00AA22F2">
              <w:rPr>
                <w:szCs w:val="20"/>
                <w:lang w:eastAsia="fr-FR" w:bidi="ar-SA"/>
              </w:rPr>
              <w:t>Garantir accompagnement médical continu et respect de la confidentialité.</w:t>
            </w:r>
          </w:p>
        </w:tc>
        <w:tc>
          <w:tcPr>
            <w:tcW w:w="0" w:type="auto"/>
            <w:hideMark/>
          </w:tcPr>
          <w:p w14:paraId="37FAC0CE" w14:textId="77777777" w:rsidR="007A7D58" w:rsidRPr="00AA22F2" w:rsidRDefault="007A7D58" w:rsidP="007A7D58">
            <w:pPr>
              <w:cnfStyle w:val="000000000000" w:firstRow="0" w:lastRow="0" w:firstColumn="0" w:lastColumn="0" w:oddVBand="0" w:evenVBand="0" w:oddHBand="0" w:evenHBand="0" w:firstRowFirstColumn="0" w:firstRowLastColumn="0" w:lastRowFirstColumn="0" w:lastRowLastColumn="0"/>
              <w:rPr>
                <w:szCs w:val="20"/>
                <w:lang w:eastAsia="fr-FR" w:bidi="ar-SA"/>
              </w:rPr>
            </w:pPr>
            <w:r w:rsidRPr="00AA22F2">
              <w:rPr>
                <w:szCs w:val="20"/>
                <w:lang w:eastAsia="fr-FR" w:bidi="ar-SA"/>
              </w:rPr>
              <w:t xml:space="preserve">Nb de suivis </w:t>
            </w:r>
          </w:p>
          <w:p w14:paraId="19D4CAD7" w14:textId="2F8C6490" w:rsidR="007A7D58" w:rsidRPr="00AA22F2" w:rsidRDefault="007A7D58" w:rsidP="007A7D58">
            <w:pPr>
              <w:cnfStyle w:val="000000000000" w:firstRow="0" w:lastRow="0" w:firstColumn="0" w:lastColumn="0" w:oddVBand="0" w:evenVBand="0" w:oddHBand="0" w:evenHBand="0" w:firstRowFirstColumn="0" w:firstRowLastColumn="0" w:lastRowFirstColumn="0" w:lastRowLastColumn="0"/>
              <w:rPr>
                <w:szCs w:val="20"/>
                <w:lang w:eastAsia="fr-FR" w:bidi="ar-SA"/>
              </w:rPr>
            </w:pPr>
            <w:r w:rsidRPr="00AA22F2">
              <w:rPr>
                <w:szCs w:val="20"/>
                <w:lang w:eastAsia="fr-FR" w:bidi="ar-SA"/>
              </w:rPr>
              <w:t>Délai d’intervention</w:t>
            </w:r>
          </w:p>
        </w:tc>
        <w:tc>
          <w:tcPr>
            <w:tcW w:w="0" w:type="auto"/>
            <w:hideMark/>
          </w:tcPr>
          <w:p w14:paraId="137656A7" w14:textId="3731DC69" w:rsidR="007A7D58" w:rsidRPr="00AA22F2" w:rsidRDefault="007A7D58" w:rsidP="007A7D58">
            <w:pPr>
              <w:cnfStyle w:val="000000000000" w:firstRow="0" w:lastRow="0" w:firstColumn="0" w:lastColumn="0" w:oddVBand="0" w:evenVBand="0" w:oddHBand="0" w:evenHBand="0" w:firstRowFirstColumn="0" w:firstRowLastColumn="0" w:lastRowFirstColumn="0" w:lastRowLastColumn="0"/>
              <w:rPr>
                <w:szCs w:val="20"/>
                <w:lang w:eastAsia="fr-FR" w:bidi="ar-SA"/>
              </w:rPr>
            </w:pPr>
            <w:r w:rsidRPr="00AA22F2">
              <w:rPr>
                <w:szCs w:val="20"/>
                <w:lang w:eastAsia="fr-FR" w:bidi="ar-SA"/>
              </w:rPr>
              <w:t>EPC et sous-traitants</w:t>
            </w:r>
          </w:p>
        </w:tc>
        <w:tc>
          <w:tcPr>
            <w:tcW w:w="0" w:type="auto"/>
            <w:hideMark/>
          </w:tcPr>
          <w:p w14:paraId="3DE6EF27" w14:textId="2B02728D" w:rsidR="007A7D58" w:rsidRPr="00AA22F2" w:rsidRDefault="007A7D58" w:rsidP="007A7D58">
            <w:pPr>
              <w:cnfStyle w:val="000000000000" w:firstRow="0" w:lastRow="0" w:firstColumn="0" w:lastColumn="0" w:oddVBand="0" w:evenVBand="0" w:oddHBand="0" w:evenHBand="0" w:firstRowFirstColumn="0" w:firstRowLastColumn="0" w:lastRowFirstColumn="0" w:lastRowLastColumn="0"/>
              <w:rPr>
                <w:szCs w:val="20"/>
                <w:lang w:eastAsia="fr-FR" w:bidi="ar-SA"/>
              </w:rPr>
            </w:pPr>
            <w:r w:rsidRPr="00BC1745">
              <w:rPr>
                <w:szCs w:val="20"/>
              </w:rPr>
              <w:t>Bureau de contrôle / Consultant de supervision mandaté par l’ONDA</w:t>
            </w:r>
          </w:p>
        </w:tc>
        <w:tc>
          <w:tcPr>
            <w:tcW w:w="0" w:type="auto"/>
            <w:hideMark/>
          </w:tcPr>
          <w:p w14:paraId="5F7184A1" w14:textId="2BE992C9" w:rsidR="007A7D58" w:rsidRPr="00AA22F2" w:rsidRDefault="007A7D58" w:rsidP="007A7D58">
            <w:pPr>
              <w:cnfStyle w:val="000000000000" w:firstRow="0" w:lastRow="0" w:firstColumn="0" w:lastColumn="0" w:oddVBand="0" w:evenVBand="0" w:oddHBand="0" w:evenHBand="0" w:firstRowFirstColumn="0" w:firstRowLastColumn="0" w:lastRowFirstColumn="0" w:lastRowLastColumn="0"/>
              <w:rPr>
                <w:szCs w:val="20"/>
                <w:lang w:eastAsia="fr-FR" w:bidi="ar-SA"/>
              </w:rPr>
            </w:pPr>
            <w:r w:rsidRPr="00AA22F2">
              <w:rPr>
                <w:szCs w:val="20"/>
                <w:lang w:eastAsia="fr-FR" w:bidi="ar-SA"/>
              </w:rPr>
              <w:t>ONDA</w:t>
            </w:r>
          </w:p>
        </w:tc>
        <w:tc>
          <w:tcPr>
            <w:tcW w:w="0" w:type="auto"/>
            <w:hideMark/>
          </w:tcPr>
          <w:p w14:paraId="20FA100C" w14:textId="77777777" w:rsidR="007A7D58" w:rsidRPr="00AA22F2" w:rsidRDefault="007A7D58" w:rsidP="007A7D58">
            <w:pPr>
              <w:cnfStyle w:val="000000000000" w:firstRow="0" w:lastRow="0" w:firstColumn="0" w:lastColumn="0" w:oddVBand="0" w:evenVBand="0" w:oddHBand="0" w:evenHBand="0" w:firstRowFirstColumn="0" w:firstRowLastColumn="0" w:lastRowFirstColumn="0" w:lastRowLastColumn="0"/>
              <w:rPr>
                <w:szCs w:val="20"/>
                <w:lang w:eastAsia="fr-FR" w:bidi="ar-SA"/>
              </w:rPr>
            </w:pPr>
            <w:r w:rsidRPr="00AA22F2">
              <w:rPr>
                <w:szCs w:val="20"/>
                <w:lang w:eastAsia="fr-FR" w:bidi="ar-SA"/>
              </w:rPr>
              <w:t>Selon besoin</w:t>
            </w:r>
          </w:p>
        </w:tc>
        <w:tc>
          <w:tcPr>
            <w:tcW w:w="0" w:type="auto"/>
            <w:hideMark/>
          </w:tcPr>
          <w:p w14:paraId="344663FE" w14:textId="45D9F2EF" w:rsidR="007A7D58" w:rsidRPr="00AA22F2" w:rsidRDefault="00FC2DF3" w:rsidP="007A7D58">
            <w:pPr>
              <w:cnfStyle w:val="000000000000" w:firstRow="0" w:lastRow="0" w:firstColumn="0" w:lastColumn="0" w:oddVBand="0" w:evenVBand="0" w:oddHBand="0" w:evenHBand="0" w:firstRowFirstColumn="0" w:firstRowLastColumn="0" w:lastRowFirstColumn="0" w:lastRowLastColumn="0"/>
              <w:rPr>
                <w:szCs w:val="20"/>
                <w:lang w:eastAsia="fr-FR" w:bidi="ar-SA"/>
              </w:rPr>
            </w:pPr>
            <w:r>
              <w:rPr>
                <w:szCs w:val="20"/>
                <w:lang w:eastAsia="fr-FR" w:bidi="ar-SA"/>
              </w:rPr>
              <w:t>Aucun coût spécifique (</w:t>
            </w:r>
            <w:r w:rsidRPr="00FC2DF3">
              <w:rPr>
                <w:szCs w:val="20"/>
                <w:lang w:eastAsia="fr-FR" w:bidi="ar-SA"/>
              </w:rPr>
              <w:t>Prise en charge incluse dans les prestations du médecin du travail</w:t>
            </w:r>
            <w:r w:rsidR="005379E4">
              <w:rPr>
                <w:szCs w:val="20"/>
                <w:lang w:eastAsia="fr-FR" w:bidi="ar-SA"/>
              </w:rPr>
              <w:t xml:space="preserve"> 18000MAD/mois)</w:t>
            </w:r>
            <w:r>
              <w:rPr>
                <w:szCs w:val="20"/>
                <w:lang w:eastAsia="fr-FR" w:bidi="ar-SA"/>
              </w:rPr>
              <w:t>)</w:t>
            </w:r>
          </w:p>
        </w:tc>
      </w:tr>
    </w:tbl>
    <w:p w14:paraId="52B03FF9" w14:textId="77777777" w:rsidR="00065104" w:rsidRDefault="00065104" w:rsidP="0098365E">
      <w:pPr>
        <w:rPr>
          <w:lang w:eastAsia="fr-FR" w:bidi="ar-SA"/>
        </w:rPr>
      </w:pPr>
    </w:p>
    <w:p w14:paraId="063EA2E4" w14:textId="77777777" w:rsidR="00065104" w:rsidRDefault="00065104" w:rsidP="0098365E">
      <w:pPr>
        <w:rPr>
          <w:lang w:eastAsia="fr-FR" w:bidi="ar-SA"/>
        </w:rPr>
      </w:pPr>
    </w:p>
    <w:p w14:paraId="3C0E2284" w14:textId="77777777" w:rsidR="00065104" w:rsidRDefault="00065104" w:rsidP="0098365E">
      <w:pPr>
        <w:rPr>
          <w:lang w:eastAsia="fr-FR" w:bidi="ar-SA"/>
        </w:rPr>
      </w:pPr>
    </w:p>
    <w:p w14:paraId="17E67CF3" w14:textId="77777777" w:rsidR="00065104" w:rsidRDefault="00065104" w:rsidP="0098365E">
      <w:pPr>
        <w:rPr>
          <w:lang w:eastAsia="fr-FR" w:bidi="ar-SA"/>
        </w:rPr>
        <w:sectPr w:rsidR="00065104" w:rsidSect="007B2B9F">
          <w:headerReference w:type="default" r:id="rId142"/>
          <w:footerReference w:type="default" r:id="rId143"/>
          <w:pgSz w:w="16838" w:h="11906" w:orient="landscape"/>
          <w:pgMar w:top="1418" w:right="1418" w:bottom="1418" w:left="1276" w:header="680" w:footer="680" w:gutter="0"/>
          <w:cols w:space="708"/>
          <w:docGrid w:linePitch="360"/>
        </w:sectPr>
      </w:pPr>
    </w:p>
    <w:p w14:paraId="7FE3B785" w14:textId="41110F7E" w:rsidR="008F6DEE" w:rsidRDefault="008F6DEE" w:rsidP="004637C7">
      <w:pPr>
        <w:pStyle w:val="Title5"/>
        <w:rPr>
          <w:rFonts w:cs="Calibri"/>
          <w:lang w:bidi="ar-SA"/>
        </w:rPr>
      </w:pPr>
      <w:r>
        <w:lastRenderedPageBreak/>
        <w:t>Évaluation</w:t>
      </w:r>
      <w:r>
        <w:rPr>
          <w:spacing w:val="-5"/>
        </w:rPr>
        <w:t xml:space="preserve"> </w:t>
      </w:r>
      <w:r>
        <w:t>de</w:t>
      </w:r>
      <w:r w:rsidR="00C60625">
        <w:rPr>
          <w:spacing w:val="-7"/>
        </w:rPr>
        <w:t>s impacts résiduels</w:t>
      </w:r>
    </w:p>
    <w:p w14:paraId="64C88F55" w14:textId="77777777" w:rsidR="00481B02" w:rsidRPr="00481B02" w:rsidRDefault="00481B02" w:rsidP="004637C7">
      <w:r w:rsidRPr="00481B02">
        <w:t>Après la mise en œuvre des mesures d’atténuation détaillées (préventives, organisationnelles et correctives), la majorité des risques professionnels identifiés durant la phase de construction devraient être considérablement réduits.</w:t>
      </w:r>
    </w:p>
    <w:p w14:paraId="7D2F94E1" w14:textId="7F672003" w:rsidR="00481B02" w:rsidRPr="00481B02" w:rsidRDefault="00481B02" w:rsidP="004637C7">
      <w:r w:rsidRPr="00481B02">
        <w:t>Les actions prévues</w:t>
      </w:r>
      <w:r>
        <w:t>,</w:t>
      </w:r>
      <w:r w:rsidRPr="00481B02">
        <w:t xml:space="preserve"> notamment la planification des travaux, la formation HSE, la rotation des postes, l’installation d’infrastructures de sécurité et le suivi médical</w:t>
      </w:r>
      <w:r>
        <w:t>,</w:t>
      </w:r>
      <w:r w:rsidRPr="00481B02">
        <w:t xml:space="preserve"> permettront de maîtriser la fréquence et la gravité des incidents.</w:t>
      </w:r>
    </w:p>
    <w:p w14:paraId="40182820" w14:textId="561CEC24" w:rsidR="00481B02" w:rsidRPr="00481B02" w:rsidRDefault="00481B02" w:rsidP="0001633E">
      <w:pPr>
        <w:pStyle w:val="Paragraphedeliste"/>
        <w:numPr>
          <w:ilvl w:val="0"/>
          <w:numId w:val="124"/>
        </w:numPr>
      </w:pPr>
      <w:r w:rsidRPr="00481B02">
        <w:t>Exposition aux conditions climatiques extrêmes : les mesures de prévention thermique (points d’eau, horaires adaptés, abris, rotations) permettront de réduire significativement l’exposition des ouvriers. L’impact résiduel est évalué comme mineur, ponctuel et réversible, limité aux périodes de forte chaleur.</w:t>
      </w:r>
    </w:p>
    <w:p w14:paraId="117089CA" w14:textId="2D202116" w:rsidR="00481B02" w:rsidRPr="00481B02" w:rsidRDefault="00481B02" w:rsidP="0001633E">
      <w:pPr>
        <w:pStyle w:val="Paragraphedeliste"/>
        <w:numPr>
          <w:ilvl w:val="0"/>
          <w:numId w:val="124"/>
        </w:numPr>
      </w:pPr>
      <w:r w:rsidRPr="00481B02">
        <w:t xml:space="preserve">Inégalités de traitement entre travailleurs : la contractualisation uniforme, les audits sociaux et le mécanisme de plainte garantissent l’équité de traitement. Le risque résiduel est </w:t>
      </w:r>
      <w:r w:rsidR="00921C5F">
        <w:t>mineur</w:t>
      </w:r>
      <w:r w:rsidRPr="00481B02">
        <w:t>, circonscrit aux cas isolés de sous-traitants non conformes.</w:t>
      </w:r>
    </w:p>
    <w:p w14:paraId="5BAC8977" w14:textId="089EADDD" w:rsidR="00481B02" w:rsidRPr="00481B02" w:rsidRDefault="00481B02" w:rsidP="0001633E">
      <w:pPr>
        <w:pStyle w:val="Paragraphedeliste"/>
        <w:numPr>
          <w:ilvl w:val="0"/>
          <w:numId w:val="124"/>
        </w:numPr>
      </w:pPr>
      <w:r w:rsidRPr="00481B02">
        <w:t>Stress et fragilité psychosociale du personnel : grâce aux rotations, pauses et cellule d’écoute, la pression psychologique devrait rester maîtrisée. L’impact résiduel est mineur, surtout en phase de pic d’activité.</w:t>
      </w:r>
    </w:p>
    <w:p w14:paraId="1A8E7161" w14:textId="6E233741" w:rsidR="00481B02" w:rsidRPr="00481B02" w:rsidRDefault="00481B02" w:rsidP="0001633E">
      <w:pPr>
        <w:pStyle w:val="Paragraphedeliste"/>
        <w:numPr>
          <w:ilvl w:val="0"/>
          <w:numId w:val="124"/>
        </w:numPr>
      </w:pPr>
      <w:r w:rsidRPr="00481B02">
        <w:t xml:space="preserve">Accidents dus à la circulation et à la coactivité des engins : la séparation des zones piétons/engins et les formations réduisent fortement la probabilité d’accidents. Le risque résiduel est </w:t>
      </w:r>
      <w:r w:rsidR="00921C5F">
        <w:t>mineur</w:t>
      </w:r>
      <w:r w:rsidRPr="00481B02">
        <w:t>, sous réserve du maintien des procédures internes et de la vigilance des conducteurs.</w:t>
      </w:r>
    </w:p>
    <w:p w14:paraId="53C265EC" w14:textId="77777777" w:rsidR="00481B02" w:rsidRPr="00481B02" w:rsidRDefault="00481B02" w:rsidP="0001633E">
      <w:pPr>
        <w:pStyle w:val="Paragraphedeliste"/>
        <w:numPr>
          <w:ilvl w:val="0"/>
          <w:numId w:val="124"/>
        </w:numPr>
      </w:pPr>
      <w:r w:rsidRPr="00481B02">
        <w:t>Chutes et effondrements liés aux travaux en hauteur : le port d’EPI et les contrôles journaliers limitent le risque. Le risque résiduel est mineur, sporadique et maîtrisable par l’encadrement HSE.</w:t>
      </w:r>
    </w:p>
    <w:p w14:paraId="4B197200" w14:textId="3F572E34" w:rsidR="00481B02" w:rsidRPr="00481B02" w:rsidRDefault="00481B02" w:rsidP="0001633E">
      <w:pPr>
        <w:pStyle w:val="Paragraphedeliste"/>
        <w:numPr>
          <w:ilvl w:val="0"/>
          <w:numId w:val="124"/>
        </w:numPr>
      </w:pPr>
      <w:r w:rsidRPr="00481B02">
        <w:t xml:space="preserve">Électrocution et incendie sur les installations temporaires : la mise en conformité électrique et la maintenance régulière réduisent le risque à un niveau </w:t>
      </w:r>
      <w:r w:rsidR="00921C5F">
        <w:t>mineur</w:t>
      </w:r>
      <w:r w:rsidRPr="00481B02">
        <w:t>, concentré sur des interventions ponctuelles.</w:t>
      </w:r>
    </w:p>
    <w:p w14:paraId="6C111B25" w14:textId="13FD86F0" w:rsidR="00921C5F" w:rsidRPr="004637C7" w:rsidRDefault="00481B02" w:rsidP="0001633E">
      <w:pPr>
        <w:pStyle w:val="Paragraphedeliste"/>
        <w:numPr>
          <w:ilvl w:val="0"/>
          <w:numId w:val="124"/>
        </w:numPr>
        <w:rPr>
          <w:spacing w:val="-2"/>
        </w:rPr>
      </w:pPr>
      <w:r w:rsidRPr="00481B02">
        <w:t xml:space="preserve">Violences basées sur le genre et harcèlement sexuel (VBG/SEAH) : la politique de tolérance zéro, la sensibilisation et le mécanisme de plainte garantissent un cadre de travail sûr. Le risque résiduel est </w:t>
      </w:r>
      <w:r w:rsidR="00921C5F">
        <w:t>négligeable</w:t>
      </w:r>
      <w:r w:rsidRPr="00481B02">
        <w:t>, limité à des comportements isolés et rapidement sanctionnés.</w:t>
      </w:r>
    </w:p>
    <w:p w14:paraId="6C9B4AAE" w14:textId="070296C2" w:rsidR="008F6DEE" w:rsidRPr="00943E28" w:rsidRDefault="00481B02" w:rsidP="0001633E">
      <w:pPr>
        <w:pStyle w:val="Paragraphedeliste"/>
        <w:numPr>
          <w:ilvl w:val="0"/>
          <w:numId w:val="124"/>
        </w:numPr>
        <w:rPr>
          <w:spacing w:val="-2"/>
        </w:rPr>
      </w:pPr>
      <w:r w:rsidRPr="00481B02">
        <w:t xml:space="preserve">Transmission des maladies sexuellement transmissibles (MST/VIH) : les campagnes de prévention, la distribution de préservatifs et les dépistages réduisent la probabilité d’incidence. Le risque résiduel est </w:t>
      </w:r>
      <w:r w:rsidR="00921C5F">
        <w:t>négligeable</w:t>
      </w:r>
      <w:r w:rsidRPr="00481B02">
        <w:t>, contrôlé par le suivi médical et la sensibilisation périodique.</w:t>
      </w:r>
    </w:p>
    <w:p w14:paraId="7F59D8F1" w14:textId="77777777" w:rsidR="00481B02" w:rsidRDefault="00481B02" w:rsidP="008F6DEE">
      <w:pPr>
        <w:rPr>
          <w:spacing w:val="-2"/>
        </w:rPr>
      </w:pPr>
    </w:p>
    <w:p w14:paraId="761CC88B" w14:textId="77777777" w:rsidR="00481B02" w:rsidRDefault="00481B02" w:rsidP="008F6DEE"/>
    <w:p w14:paraId="65C4CE39" w14:textId="77777777" w:rsidR="007B2B9F" w:rsidRDefault="007B2B9F" w:rsidP="007B2B9F">
      <w:pPr>
        <w:pStyle w:val="Title4"/>
        <w:sectPr w:rsidR="007B2B9F" w:rsidSect="004637C7">
          <w:pgSz w:w="11906" w:h="16838"/>
          <w:pgMar w:top="1418" w:right="1418" w:bottom="1276" w:left="1418" w:header="680" w:footer="680" w:gutter="0"/>
          <w:cols w:space="708"/>
          <w:docGrid w:linePitch="360"/>
        </w:sectPr>
      </w:pPr>
    </w:p>
    <w:p w14:paraId="1B5D7112" w14:textId="77777777" w:rsidR="00FD5199" w:rsidRDefault="00FD5199" w:rsidP="007B2B9F">
      <w:pPr>
        <w:pStyle w:val="Title4"/>
      </w:pPr>
      <w:r w:rsidRPr="00FD5199">
        <w:lastRenderedPageBreak/>
        <w:t>Phase exploitation</w:t>
      </w:r>
    </w:p>
    <w:p w14:paraId="453D0001" w14:textId="7B0E1CFF" w:rsidR="00AF7B75" w:rsidRDefault="00AF7B75" w:rsidP="00AF7B75">
      <w:pPr>
        <w:pStyle w:val="Title5"/>
      </w:pPr>
      <w:r>
        <w:t>Identification et évaluation des impacts et risques</w:t>
      </w:r>
    </w:p>
    <w:p w14:paraId="64C5C817" w14:textId="77777777" w:rsidR="00F049E8" w:rsidRDefault="00F049E8" w:rsidP="0001633E">
      <w:pPr>
        <w:pStyle w:val="AltTitle2"/>
        <w:numPr>
          <w:ilvl w:val="0"/>
          <w:numId w:val="106"/>
        </w:numPr>
      </w:pPr>
      <w:r>
        <w:t>Contraintes thermiques et fatigue physique liée au travail sur piste</w:t>
      </w:r>
    </w:p>
    <w:p w14:paraId="37E66C14" w14:textId="77777777" w:rsidR="00F049E8" w:rsidRDefault="00F049E8" w:rsidP="00F049E8">
      <w:r>
        <w:t>Durant la phase d’exploitation, le personnel technique opérant sur les aires de trafic, les parkings avions et les voies de circulation est exposé à des conditions climatiques extrêmes, notamment en période estivale. Les températures peuvent dépasser 38 °C, amplifiées par la réflexion des surfaces asphaltées et la chaleur dégagée par les réacteurs des aéronefs. Ces contraintes thermiques favorisent la déshydratation, la fatigue musculaire, et augmentent le risque d’épuisement professionnel.</w:t>
      </w:r>
    </w:p>
    <w:p w14:paraId="1DCD0393" w14:textId="77777777" w:rsidR="00F049E8" w:rsidRDefault="00F049E8" w:rsidP="00F049E8">
      <w:r>
        <w:t>L’impact est direct, car il découle des conditions de travail sur site, sans médiation. Son étendue reste locale, limitée à la plateforme aéroportuaire. Sa durée est longue, s’étendant sur toute la période d’exploitation, avec une fréquence saisonnière accrue entre mai et septembre. L’intensité est jugée moyenne à forte, compte tenu des effets physiologiques sur le personnel exposé de manière répétée.</w:t>
      </w:r>
    </w:p>
    <w:p w14:paraId="593FDD6C" w14:textId="192BCF33" w:rsidR="00AF7B75" w:rsidRDefault="00F049E8" w:rsidP="00F049E8">
      <w:r>
        <w:t xml:space="preserve">Les récepteurs sensibles sont principalement les agents de piste, les techniciens de maintenance et les conducteurs de véhicules aéroportuaires opérant à l’extérieur. Leur sensibilité est forte en raison de leur exposition prolongée, malgré l’usage d’équipements de protection. L’impact global est donc d’importance </w:t>
      </w:r>
      <w:r w:rsidR="007D15A4">
        <w:t>majeure</w:t>
      </w:r>
      <w:r>
        <w:t>, mais maîtrisable par une organisation adéquate du travail (rotation, pauses climatisées, hydratation).</w:t>
      </w:r>
    </w:p>
    <w:tbl>
      <w:tblPr>
        <w:tblStyle w:val="TableauGrille1Clair-Accentuation111"/>
        <w:tblW w:w="0" w:type="auto"/>
        <w:tblLook w:val="04A0" w:firstRow="1" w:lastRow="0" w:firstColumn="1" w:lastColumn="0" w:noHBand="0" w:noVBand="1"/>
      </w:tblPr>
      <w:tblGrid>
        <w:gridCol w:w="793"/>
        <w:gridCol w:w="2452"/>
        <w:gridCol w:w="1626"/>
        <w:gridCol w:w="2717"/>
        <w:gridCol w:w="1472"/>
      </w:tblGrid>
      <w:tr w:rsidR="00F55F92" w:rsidRPr="00653F89" w14:paraId="52CB0D18" w14:textId="77777777" w:rsidTr="00F55F9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20FFE96B" w14:textId="77777777" w:rsidR="00F55F92" w:rsidRPr="00AA22F2" w:rsidRDefault="00F55F92" w:rsidP="00F55F92">
            <w:pPr>
              <w:rPr>
                <w:szCs w:val="20"/>
              </w:rPr>
            </w:pPr>
            <w:r w:rsidRPr="00AA22F2">
              <w:rPr>
                <w:szCs w:val="20"/>
              </w:rPr>
              <w:t>Impact</w:t>
            </w:r>
          </w:p>
        </w:tc>
        <w:tc>
          <w:tcPr>
            <w:tcW w:w="0" w:type="auto"/>
            <w:hideMark/>
          </w:tcPr>
          <w:p w14:paraId="14AA7CA0" w14:textId="77777777" w:rsidR="00F55F92" w:rsidRPr="00AA22F2" w:rsidRDefault="00F55F92" w:rsidP="00F55F92">
            <w:pPr>
              <w:cnfStyle w:val="100000000000" w:firstRow="1" w:lastRow="0" w:firstColumn="0" w:lastColumn="0" w:oddVBand="0" w:evenVBand="0" w:oddHBand="0" w:evenHBand="0" w:firstRowFirstColumn="0" w:firstRowLastColumn="0" w:lastRowFirstColumn="0" w:lastRowLastColumn="0"/>
              <w:rPr>
                <w:szCs w:val="20"/>
              </w:rPr>
            </w:pPr>
            <w:r w:rsidRPr="00AA22F2">
              <w:rPr>
                <w:szCs w:val="20"/>
              </w:rPr>
              <w:t>Activités génératrices</w:t>
            </w:r>
          </w:p>
        </w:tc>
        <w:tc>
          <w:tcPr>
            <w:tcW w:w="0" w:type="auto"/>
            <w:hideMark/>
          </w:tcPr>
          <w:p w14:paraId="6B7BB5ED" w14:textId="77777777" w:rsidR="00F55F92" w:rsidRPr="00AA22F2" w:rsidRDefault="00F55F92" w:rsidP="00F55F92">
            <w:pPr>
              <w:cnfStyle w:val="100000000000" w:firstRow="1" w:lastRow="0" w:firstColumn="0" w:lastColumn="0" w:oddVBand="0" w:evenVBand="0" w:oddHBand="0" w:evenHBand="0" w:firstRowFirstColumn="0" w:firstRowLastColumn="0" w:lastRowFirstColumn="0" w:lastRowLastColumn="0"/>
              <w:rPr>
                <w:szCs w:val="20"/>
              </w:rPr>
            </w:pPr>
            <w:r w:rsidRPr="00AA22F2">
              <w:rPr>
                <w:szCs w:val="20"/>
              </w:rPr>
              <w:t>Critère</w:t>
            </w:r>
          </w:p>
        </w:tc>
        <w:tc>
          <w:tcPr>
            <w:tcW w:w="0" w:type="auto"/>
            <w:hideMark/>
          </w:tcPr>
          <w:p w14:paraId="03FF40F5" w14:textId="77777777" w:rsidR="00F55F92" w:rsidRPr="00AA22F2" w:rsidRDefault="00F55F92" w:rsidP="00F55F92">
            <w:pPr>
              <w:cnfStyle w:val="100000000000" w:firstRow="1" w:lastRow="0" w:firstColumn="0" w:lastColumn="0" w:oddVBand="0" w:evenVBand="0" w:oddHBand="0" w:evenHBand="0" w:firstRowFirstColumn="0" w:firstRowLastColumn="0" w:lastRowFirstColumn="0" w:lastRowLastColumn="0"/>
              <w:rPr>
                <w:szCs w:val="20"/>
              </w:rPr>
            </w:pPr>
            <w:r w:rsidRPr="00AA22F2">
              <w:rPr>
                <w:szCs w:val="20"/>
              </w:rPr>
              <w:t>Justification</w:t>
            </w:r>
          </w:p>
        </w:tc>
        <w:tc>
          <w:tcPr>
            <w:tcW w:w="0" w:type="auto"/>
            <w:hideMark/>
          </w:tcPr>
          <w:p w14:paraId="726BB438" w14:textId="77777777" w:rsidR="00F55F92" w:rsidRPr="00AA22F2" w:rsidRDefault="00F55F92" w:rsidP="00F55F92">
            <w:pPr>
              <w:cnfStyle w:val="100000000000" w:firstRow="1" w:lastRow="0" w:firstColumn="0" w:lastColumn="0" w:oddVBand="0" w:evenVBand="0" w:oddHBand="0" w:evenHBand="0" w:firstRowFirstColumn="0" w:firstRowLastColumn="0" w:lastRowFirstColumn="0" w:lastRowLastColumn="0"/>
              <w:rPr>
                <w:szCs w:val="20"/>
              </w:rPr>
            </w:pPr>
            <w:r w:rsidRPr="00AA22F2">
              <w:rPr>
                <w:szCs w:val="20"/>
              </w:rPr>
              <w:t>Niveau</w:t>
            </w:r>
          </w:p>
        </w:tc>
      </w:tr>
      <w:tr w:rsidR="00F55F92" w:rsidRPr="00653F89" w14:paraId="04D6EE81" w14:textId="77777777" w:rsidTr="004637C7">
        <w:tc>
          <w:tcPr>
            <w:cnfStyle w:val="001000000000" w:firstRow="0" w:lastRow="0" w:firstColumn="1" w:lastColumn="0" w:oddVBand="0" w:evenVBand="0" w:oddHBand="0" w:evenHBand="0" w:firstRowFirstColumn="0" w:firstRowLastColumn="0" w:lastRowFirstColumn="0" w:lastRowLastColumn="0"/>
            <w:tcW w:w="0" w:type="auto"/>
            <w:vMerge w:val="restart"/>
            <w:textDirection w:val="btLr"/>
            <w:hideMark/>
          </w:tcPr>
          <w:p w14:paraId="41C0FC3C" w14:textId="0C394206" w:rsidR="00F55F92" w:rsidRPr="00AA22F2" w:rsidRDefault="00F55F92" w:rsidP="004637C7">
            <w:pPr>
              <w:ind w:left="113" w:right="113"/>
              <w:rPr>
                <w:szCs w:val="20"/>
              </w:rPr>
            </w:pPr>
            <w:r w:rsidRPr="00AA22F2">
              <w:rPr>
                <w:szCs w:val="20"/>
              </w:rPr>
              <w:t>Contraintes thermiques et fatigue physique liée au travail sur piste</w:t>
            </w:r>
          </w:p>
        </w:tc>
        <w:tc>
          <w:tcPr>
            <w:tcW w:w="0" w:type="auto"/>
            <w:vMerge w:val="restart"/>
            <w:hideMark/>
          </w:tcPr>
          <w:p w14:paraId="2399625D" w14:textId="77777777" w:rsidR="00F55F92" w:rsidRPr="00AA22F2" w:rsidRDefault="00F55F92" w:rsidP="00F55F92">
            <w:pPr>
              <w:cnfStyle w:val="000000000000" w:firstRow="0" w:lastRow="0" w:firstColumn="0" w:lastColumn="0" w:oddVBand="0" w:evenVBand="0" w:oddHBand="0" w:evenHBand="0" w:firstRowFirstColumn="0" w:firstRowLastColumn="0" w:lastRowFirstColumn="0" w:lastRowLastColumn="0"/>
              <w:rPr>
                <w:szCs w:val="20"/>
              </w:rPr>
            </w:pPr>
            <w:r w:rsidRPr="00AA22F2">
              <w:rPr>
                <w:szCs w:val="20"/>
              </w:rPr>
              <w:t>Travaux de maintenance et opérations extérieures sur les pistes, zones de trafic et parkings avions</w:t>
            </w:r>
          </w:p>
        </w:tc>
        <w:tc>
          <w:tcPr>
            <w:tcW w:w="0" w:type="auto"/>
            <w:hideMark/>
          </w:tcPr>
          <w:p w14:paraId="4E5F5816" w14:textId="77777777" w:rsidR="00F55F92" w:rsidRPr="00AA22F2" w:rsidRDefault="00F55F92" w:rsidP="00F55F92">
            <w:pPr>
              <w:cnfStyle w:val="000000000000" w:firstRow="0" w:lastRow="0" w:firstColumn="0" w:lastColumn="0" w:oddVBand="0" w:evenVBand="0" w:oddHBand="0" w:evenHBand="0" w:firstRowFirstColumn="0" w:firstRowLastColumn="0" w:lastRowFirstColumn="0" w:lastRowLastColumn="0"/>
              <w:rPr>
                <w:szCs w:val="20"/>
              </w:rPr>
            </w:pPr>
            <w:r w:rsidRPr="00AA22F2">
              <w:rPr>
                <w:b/>
                <w:bCs/>
                <w:szCs w:val="20"/>
              </w:rPr>
              <w:t>Nature</w:t>
            </w:r>
          </w:p>
        </w:tc>
        <w:tc>
          <w:tcPr>
            <w:tcW w:w="0" w:type="auto"/>
            <w:hideMark/>
          </w:tcPr>
          <w:p w14:paraId="3AC316B7" w14:textId="77777777" w:rsidR="00F55F92" w:rsidRPr="00AA22F2" w:rsidRDefault="00F55F92" w:rsidP="00F55F92">
            <w:pPr>
              <w:cnfStyle w:val="000000000000" w:firstRow="0" w:lastRow="0" w:firstColumn="0" w:lastColumn="0" w:oddVBand="0" w:evenVBand="0" w:oddHBand="0" w:evenHBand="0" w:firstRowFirstColumn="0" w:firstRowLastColumn="0" w:lastRowFirstColumn="0" w:lastRowLastColumn="0"/>
              <w:rPr>
                <w:szCs w:val="20"/>
              </w:rPr>
            </w:pPr>
            <w:r w:rsidRPr="00AA22F2">
              <w:rPr>
                <w:szCs w:val="20"/>
              </w:rPr>
              <w:t>Impact direct lié à l’exposition prolongée des travailleurs aux températures élevées et rayonnement solaire</w:t>
            </w:r>
          </w:p>
        </w:tc>
        <w:tc>
          <w:tcPr>
            <w:tcW w:w="0" w:type="auto"/>
            <w:hideMark/>
          </w:tcPr>
          <w:p w14:paraId="694B3256" w14:textId="77777777" w:rsidR="00F55F92" w:rsidRPr="00AA22F2" w:rsidRDefault="00F55F92" w:rsidP="00F55F92">
            <w:pPr>
              <w:cnfStyle w:val="000000000000" w:firstRow="0" w:lastRow="0" w:firstColumn="0" w:lastColumn="0" w:oddVBand="0" w:evenVBand="0" w:oddHBand="0" w:evenHBand="0" w:firstRowFirstColumn="0" w:firstRowLastColumn="0" w:lastRowFirstColumn="0" w:lastRowLastColumn="0"/>
              <w:rPr>
                <w:szCs w:val="20"/>
              </w:rPr>
            </w:pPr>
            <w:r w:rsidRPr="00AA22F2">
              <w:rPr>
                <w:szCs w:val="20"/>
              </w:rPr>
              <w:t>Direct</w:t>
            </w:r>
          </w:p>
        </w:tc>
      </w:tr>
      <w:tr w:rsidR="00F55F92" w:rsidRPr="00653F89" w14:paraId="237FF897" w14:textId="77777777" w:rsidTr="005A7661">
        <w:tc>
          <w:tcPr>
            <w:cnfStyle w:val="001000000000" w:firstRow="0" w:lastRow="0" w:firstColumn="1" w:lastColumn="0" w:oddVBand="0" w:evenVBand="0" w:oddHBand="0" w:evenHBand="0" w:firstRowFirstColumn="0" w:firstRowLastColumn="0" w:lastRowFirstColumn="0" w:lastRowLastColumn="0"/>
            <w:tcW w:w="0" w:type="auto"/>
            <w:vMerge/>
            <w:hideMark/>
          </w:tcPr>
          <w:p w14:paraId="4488757F" w14:textId="77777777" w:rsidR="00F55F92" w:rsidRPr="00AA22F2" w:rsidRDefault="00F55F92" w:rsidP="00F55F92">
            <w:pPr>
              <w:rPr>
                <w:szCs w:val="20"/>
              </w:rPr>
            </w:pPr>
          </w:p>
        </w:tc>
        <w:tc>
          <w:tcPr>
            <w:tcW w:w="0" w:type="auto"/>
            <w:vMerge/>
            <w:hideMark/>
          </w:tcPr>
          <w:p w14:paraId="4210708A" w14:textId="77777777" w:rsidR="00F55F92" w:rsidRPr="00AA22F2" w:rsidRDefault="00F55F92" w:rsidP="00F55F92">
            <w:pPr>
              <w:cnfStyle w:val="000000000000" w:firstRow="0" w:lastRow="0" w:firstColumn="0" w:lastColumn="0" w:oddVBand="0" w:evenVBand="0" w:oddHBand="0" w:evenHBand="0" w:firstRowFirstColumn="0" w:firstRowLastColumn="0" w:lastRowFirstColumn="0" w:lastRowLastColumn="0"/>
              <w:rPr>
                <w:szCs w:val="20"/>
              </w:rPr>
            </w:pPr>
          </w:p>
        </w:tc>
        <w:tc>
          <w:tcPr>
            <w:tcW w:w="0" w:type="auto"/>
            <w:hideMark/>
          </w:tcPr>
          <w:p w14:paraId="0BBA2B16" w14:textId="77777777" w:rsidR="00F55F92" w:rsidRPr="00AA22F2" w:rsidRDefault="00F55F92" w:rsidP="00F55F92">
            <w:pPr>
              <w:cnfStyle w:val="000000000000" w:firstRow="0" w:lastRow="0" w:firstColumn="0" w:lastColumn="0" w:oddVBand="0" w:evenVBand="0" w:oddHBand="0" w:evenHBand="0" w:firstRowFirstColumn="0" w:firstRowLastColumn="0" w:lastRowFirstColumn="0" w:lastRowLastColumn="0"/>
              <w:rPr>
                <w:szCs w:val="20"/>
              </w:rPr>
            </w:pPr>
            <w:r w:rsidRPr="00AA22F2">
              <w:rPr>
                <w:b/>
                <w:bCs/>
                <w:szCs w:val="20"/>
              </w:rPr>
              <w:t>Étendue</w:t>
            </w:r>
          </w:p>
        </w:tc>
        <w:tc>
          <w:tcPr>
            <w:tcW w:w="0" w:type="auto"/>
            <w:hideMark/>
          </w:tcPr>
          <w:p w14:paraId="0013B361" w14:textId="77777777" w:rsidR="00F55F92" w:rsidRPr="00AA22F2" w:rsidRDefault="00F55F92" w:rsidP="00F55F92">
            <w:pPr>
              <w:cnfStyle w:val="000000000000" w:firstRow="0" w:lastRow="0" w:firstColumn="0" w:lastColumn="0" w:oddVBand="0" w:evenVBand="0" w:oddHBand="0" w:evenHBand="0" w:firstRowFirstColumn="0" w:firstRowLastColumn="0" w:lastRowFirstColumn="0" w:lastRowLastColumn="0"/>
              <w:rPr>
                <w:szCs w:val="20"/>
              </w:rPr>
            </w:pPr>
            <w:r w:rsidRPr="00AA22F2">
              <w:rPr>
                <w:szCs w:val="20"/>
              </w:rPr>
              <w:t>Limité à la plateforme aéroportuaire, zones de circulation et aires extérieures</w:t>
            </w:r>
          </w:p>
        </w:tc>
        <w:tc>
          <w:tcPr>
            <w:tcW w:w="0" w:type="auto"/>
            <w:hideMark/>
          </w:tcPr>
          <w:p w14:paraId="0ED52F30" w14:textId="77777777" w:rsidR="00F55F92" w:rsidRPr="00AA22F2" w:rsidRDefault="00F55F92" w:rsidP="00F55F92">
            <w:pPr>
              <w:cnfStyle w:val="000000000000" w:firstRow="0" w:lastRow="0" w:firstColumn="0" w:lastColumn="0" w:oddVBand="0" w:evenVBand="0" w:oddHBand="0" w:evenHBand="0" w:firstRowFirstColumn="0" w:firstRowLastColumn="0" w:lastRowFirstColumn="0" w:lastRowLastColumn="0"/>
              <w:rPr>
                <w:szCs w:val="20"/>
              </w:rPr>
            </w:pPr>
            <w:r w:rsidRPr="00AA22F2">
              <w:rPr>
                <w:szCs w:val="20"/>
              </w:rPr>
              <w:t>Locale</w:t>
            </w:r>
          </w:p>
        </w:tc>
      </w:tr>
      <w:tr w:rsidR="00F55F92" w:rsidRPr="00653F89" w14:paraId="41841B4A" w14:textId="77777777" w:rsidTr="005A7661">
        <w:tc>
          <w:tcPr>
            <w:cnfStyle w:val="001000000000" w:firstRow="0" w:lastRow="0" w:firstColumn="1" w:lastColumn="0" w:oddVBand="0" w:evenVBand="0" w:oddHBand="0" w:evenHBand="0" w:firstRowFirstColumn="0" w:firstRowLastColumn="0" w:lastRowFirstColumn="0" w:lastRowLastColumn="0"/>
            <w:tcW w:w="0" w:type="auto"/>
            <w:vMerge/>
            <w:hideMark/>
          </w:tcPr>
          <w:p w14:paraId="7F708A2B" w14:textId="77777777" w:rsidR="00F55F92" w:rsidRPr="00AA22F2" w:rsidRDefault="00F55F92" w:rsidP="00F55F92">
            <w:pPr>
              <w:rPr>
                <w:szCs w:val="20"/>
              </w:rPr>
            </w:pPr>
          </w:p>
        </w:tc>
        <w:tc>
          <w:tcPr>
            <w:tcW w:w="0" w:type="auto"/>
            <w:vMerge/>
            <w:hideMark/>
          </w:tcPr>
          <w:p w14:paraId="1B718F08" w14:textId="77777777" w:rsidR="00F55F92" w:rsidRPr="00AA22F2" w:rsidRDefault="00F55F92" w:rsidP="00F55F92">
            <w:pPr>
              <w:cnfStyle w:val="000000000000" w:firstRow="0" w:lastRow="0" w:firstColumn="0" w:lastColumn="0" w:oddVBand="0" w:evenVBand="0" w:oddHBand="0" w:evenHBand="0" w:firstRowFirstColumn="0" w:firstRowLastColumn="0" w:lastRowFirstColumn="0" w:lastRowLastColumn="0"/>
              <w:rPr>
                <w:szCs w:val="20"/>
              </w:rPr>
            </w:pPr>
          </w:p>
        </w:tc>
        <w:tc>
          <w:tcPr>
            <w:tcW w:w="0" w:type="auto"/>
            <w:hideMark/>
          </w:tcPr>
          <w:p w14:paraId="6E88DFAC" w14:textId="77777777" w:rsidR="00F55F92" w:rsidRPr="00AA22F2" w:rsidRDefault="00F55F92" w:rsidP="00F55F92">
            <w:pPr>
              <w:cnfStyle w:val="000000000000" w:firstRow="0" w:lastRow="0" w:firstColumn="0" w:lastColumn="0" w:oddVBand="0" w:evenVBand="0" w:oddHBand="0" w:evenHBand="0" w:firstRowFirstColumn="0" w:firstRowLastColumn="0" w:lastRowFirstColumn="0" w:lastRowLastColumn="0"/>
              <w:rPr>
                <w:szCs w:val="20"/>
              </w:rPr>
            </w:pPr>
            <w:r w:rsidRPr="00AA22F2">
              <w:rPr>
                <w:b/>
                <w:bCs/>
                <w:szCs w:val="20"/>
              </w:rPr>
              <w:t>Durée</w:t>
            </w:r>
          </w:p>
        </w:tc>
        <w:tc>
          <w:tcPr>
            <w:tcW w:w="0" w:type="auto"/>
            <w:hideMark/>
          </w:tcPr>
          <w:p w14:paraId="13F9CB6A" w14:textId="77777777" w:rsidR="00F55F92" w:rsidRPr="00AA22F2" w:rsidRDefault="00F55F92" w:rsidP="00F55F92">
            <w:pPr>
              <w:cnfStyle w:val="000000000000" w:firstRow="0" w:lastRow="0" w:firstColumn="0" w:lastColumn="0" w:oddVBand="0" w:evenVBand="0" w:oddHBand="0" w:evenHBand="0" w:firstRowFirstColumn="0" w:firstRowLastColumn="0" w:lastRowFirstColumn="0" w:lastRowLastColumn="0"/>
              <w:rPr>
                <w:szCs w:val="20"/>
              </w:rPr>
            </w:pPr>
            <w:r w:rsidRPr="00AA22F2">
              <w:rPr>
                <w:szCs w:val="20"/>
              </w:rPr>
              <w:t>Présent tout au long de l’exploitation, accentué pendant la saison chaude</w:t>
            </w:r>
          </w:p>
        </w:tc>
        <w:tc>
          <w:tcPr>
            <w:tcW w:w="0" w:type="auto"/>
            <w:hideMark/>
          </w:tcPr>
          <w:p w14:paraId="70FD53C8" w14:textId="77777777" w:rsidR="00F55F92" w:rsidRPr="00AA22F2" w:rsidRDefault="00F55F92" w:rsidP="00F55F92">
            <w:pPr>
              <w:cnfStyle w:val="000000000000" w:firstRow="0" w:lastRow="0" w:firstColumn="0" w:lastColumn="0" w:oddVBand="0" w:evenVBand="0" w:oddHBand="0" w:evenHBand="0" w:firstRowFirstColumn="0" w:firstRowLastColumn="0" w:lastRowFirstColumn="0" w:lastRowLastColumn="0"/>
              <w:rPr>
                <w:szCs w:val="20"/>
              </w:rPr>
            </w:pPr>
            <w:r w:rsidRPr="00AA22F2">
              <w:rPr>
                <w:szCs w:val="20"/>
              </w:rPr>
              <w:t>Long terme</w:t>
            </w:r>
          </w:p>
        </w:tc>
      </w:tr>
      <w:tr w:rsidR="00F55F92" w:rsidRPr="00653F89" w14:paraId="05C3A120" w14:textId="77777777" w:rsidTr="005A7661">
        <w:tc>
          <w:tcPr>
            <w:cnfStyle w:val="001000000000" w:firstRow="0" w:lastRow="0" w:firstColumn="1" w:lastColumn="0" w:oddVBand="0" w:evenVBand="0" w:oddHBand="0" w:evenHBand="0" w:firstRowFirstColumn="0" w:firstRowLastColumn="0" w:lastRowFirstColumn="0" w:lastRowLastColumn="0"/>
            <w:tcW w:w="0" w:type="auto"/>
            <w:vMerge/>
            <w:hideMark/>
          </w:tcPr>
          <w:p w14:paraId="0417B4A3" w14:textId="77777777" w:rsidR="00F55F92" w:rsidRPr="00AA22F2" w:rsidRDefault="00F55F92" w:rsidP="00F55F92">
            <w:pPr>
              <w:rPr>
                <w:szCs w:val="20"/>
              </w:rPr>
            </w:pPr>
          </w:p>
        </w:tc>
        <w:tc>
          <w:tcPr>
            <w:tcW w:w="0" w:type="auto"/>
            <w:vMerge/>
            <w:hideMark/>
          </w:tcPr>
          <w:p w14:paraId="1C798106" w14:textId="77777777" w:rsidR="00F55F92" w:rsidRPr="00AA22F2" w:rsidRDefault="00F55F92" w:rsidP="00F55F92">
            <w:pPr>
              <w:cnfStyle w:val="000000000000" w:firstRow="0" w:lastRow="0" w:firstColumn="0" w:lastColumn="0" w:oddVBand="0" w:evenVBand="0" w:oddHBand="0" w:evenHBand="0" w:firstRowFirstColumn="0" w:firstRowLastColumn="0" w:lastRowFirstColumn="0" w:lastRowLastColumn="0"/>
              <w:rPr>
                <w:szCs w:val="20"/>
              </w:rPr>
            </w:pPr>
          </w:p>
        </w:tc>
        <w:tc>
          <w:tcPr>
            <w:tcW w:w="0" w:type="auto"/>
            <w:hideMark/>
          </w:tcPr>
          <w:p w14:paraId="7C57724E" w14:textId="77777777" w:rsidR="00F55F92" w:rsidRPr="00AA22F2" w:rsidRDefault="00F55F92" w:rsidP="00F55F92">
            <w:pPr>
              <w:cnfStyle w:val="000000000000" w:firstRow="0" w:lastRow="0" w:firstColumn="0" w:lastColumn="0" w:oddVBand="0" w:evenVBand="0" w:oddHBand="0" w:evenHBand="0" w:firstRowFirstColumn="0" w:firstRowLastColumn="0" w:lastRowFirstColumn="0" w:lastRowLastColumn="0"/>
              <w:rPr>
                <w:szCs w:val="20"/>
              </w:rPr>
            </w:pPr>
            <w:r w:rsidRPr="00AA22F2">
              <w:rPr>
                <w:b/>
                <w:bCs/>
                <w:szCs w:val="20"/>
              </w:rPr>
              <w:t>Fréquence</w:t>
            </w:r>
          </w:p>
        </w:tc>
        <w:tc>
          <w:tcPr>
            <w:tcW w:w="0" w:type="auto"/>
            <w:hideMark/>
          </w:tcPr>
          <w:p w14:paraId="41C92434" w14:textId="77777777" w:rsidR="00F55F92" w:rsidRPr="00AA22F2" w:rsidRDefault="00F55F92" w:rsidP="00F55F92">
            <w:pPr>
              <w:cnfStyle w:val="000000000000" w:firstRow="0" w:lastRow="0" w:firstColumn="0" w:lastColumn="0" w:oddVBand="0" w:evenVBand="0" w:oddHBand="0" w:evenHBand="0" w:firstRowFirstColumn="0" w:firstRowLastColumn="0" w:lastRowFirstColumn="0" w:lastRowLastColumn="0"/>
              <w:rPr>
                <w:szCs w:val="20"/>
              </w:rPr>
            </w:pPr>
            <w:r w:rsidRPr="00AA22F2">
              <w:rPr>
                <w:szCs w:val="20"/>
              </w:rPr>
              <w:t>Saisonnière, accrue entre mai et septembre</w:t>
            </w:r>
          </w:p>
        </w:tc>
        <w:tc>
          <w:tcPr>
            <w:tcW w:w="0" w:type="auto"/>
            <w:hideMark/>
          </w:tcPr>
          <w:p w14:paraId="5C7EC11F" w14:textId="77777777" w:rsidR="00F55F92" w:rsidRPr="00AA22F2" w:rsidRDefault="00F55F92" w:rsidP="00F55F92">
            <w:pPr>
              <w:cnfStyle w:val="000000000000" w:firstRow="0" w:lastRow="0" w:firstColumn="0" w:lastColumn="0" w:oddVBand="0" w:evenVBand="0" w:oddHBand="0" w:evenHBand="0" w:firstRowFirstColumn="0" w:firstRowLastColumn="0" w:lastRowFirstColumn="0" w:lastRowLastColumn="0"/>
              <w:rPr>
                <w:szCs w:val="20"/>
              </w:rPr>
            </w:pPr>
            <w:r w:rsidRPr="00AA22F2">
              <w:rPr>
                <w:szCs w:val="20"/>
              </w:rPr>
              <w:t>Intermittente à continue</w:t>
            </w:r>
          </w:p>
        </w:tc>
      </w:tr>
      <w:tr w:rsidR="00F55F92" w:rsidRPr="00653F89" w14:paraId="32B2B122" w14:textId="77777777" w:rsidTr="004637C7">
        <w:tc>
          <w:tcPr>
            <w:cnfStyle w:val="001000000000" w:firstRow="0" w:lastRow="0" w:firstColumn="1" w:lastColumn="0" w:oddVBand="0" w:evenVBand="0" w:oddHBand="0" w:evenHBand="0" w:firstRowFirstColumn="0" w:firstRowLastColumn="0" w:lastRowFirstColumn="0" w:lastRowLastColumn="0"/>
            <w:tcW w:w="0" w:type="auto"/>
            <w:vMerge/>
            <w:hideMark/>
          </w:tcPr>
          <w:p w14:paraId="3D08FA74" w14:textId="77777777" w:rsidR="00F55F92" w:rsidRPr="00AA22F2" w:rsidRDefault="00F55F92" w:rsidP="00F55F92">
            <w:pPr>
              <w:rPr>
                <w:szCs w:val="20"/>
              </w:rPr>
            </w:pPr>
          </w:p>
        </w:tc>
        <w:tc>
          <w:tcPr>
            <w:tcW w:w="0" w:type="auto"/>
            <w:vMerge/>
            <w:hideMark/>
          </w:tcPr>
          <w:p w14:paraId="1C7D05F7" w14:textId="77777777" w:rsidR="00F55F92" w:rsidRPr="00AA22F2" w:rsidRDefault="00F55F92" w:rsidP="00F55F92">
            <w:pPr>
              <w:cnfStyle w:val="000000000000" w:firstRow="0" w:lastRow="0" w:firstColumn="0" w:lastColumn="0" w:oddVBand="0" w:evenVBand="0" w:oddHBand="0" w:evenHBand="0" w:firstRowFirstColumn="0" w:firstRowLastColumn="0" w:lastRowFirstColumn="0" w:lastRowLastColumn="0"/>
              <w:rPr>
                <w:szCs w:val="20"/>
              </w:rPr>
            </w:pPr>
          </w:p>
        </w:tc>
        <w:tc>
          <w:tcPr>
            <w:tcW w:w="0" w:type="auto"/>
            <w:shd w:val="clear" w:color="auto" w:fill="D9E2F3" w:themeFill="accent1" w:themeFillTint="33"/>
            <w:hideMark/>
          </w:tcPr>
          <w:p w14:paraId="035A95B3" w14:textId="77777777" w:rsidR="00F55F92" w:rsidRPr="00AA22F2" w:rsidRDefault="00F55F92" w:rsidP="00F55F92">
            <w:pPr>
              <w:cnfStyle w:val="000000000000" w:firstRow="0" w:lastRow="0" w:firstColumn="0" w:lastColumn="0" w:oddVBand="0" w:evenVBand="0" w:oddHBand="0" w:evenHBand="0" w:firstRowFirstColumn="0" w:firstRowLastColumn="0" w:lastRowFirstColumn="0" w:lastRowLastColumn="0"/>
              <w:rPr>
                <w:szCs w:val="20"/>
              </w:rPr>
            </w:pPr>
            <w:r w:rsidRPr="00AA22F2">
              <w:rPr>
                <w:b/>
                <w:bCs/>
                <w:szCs w:val="20"/>
              </w:rPr>
              <w:t>Intensité</w:t>
            </w:r>
          </w:p>
        </w:tc>
        <w:tc>
          <w:tcPr>
            <w:tcW w:w="0" w:type="auto"/>
            <w:shd w:val="clear" w:color="auto" w:fill="D9E2F3" w:themeFill="accent1" w:themeFillTint="33"/>
            <w:hideMark/>
          </w:tcPr>
          <w:p w14:paraId="452D93A6" w14:textId="77777777" w:rsidR="00F55F92" w:rsidRPr="00AA22F2" w:rsidRDefault="00F55F92" w:rsidP="00F55F92">
            <w:pPr>
              <w:cnfStyle w:val="000000000000" w:firstRow="0" w:lastRow="0" w:firstColumn="0" w:lastColumn="0" w:oddVBand="0" w:evenVBand="0" w:oddHBand="0" w:evenHBand="0" w:firstRowFirstColumn="0" w:firstRowLastColumn="0" w:lastRowFirstColumn="0" w:lastRowLastColumn="0"/>
              <w:rPr>
                <w:szCs w:val="20"/>
              </w:rPr>
            </w:pPr>
            <w:r w:rsidRPr="00AA22F2">
              <w:rPr>
                <w:szCs w:val="20"/>
              </w:rPr>
              <w:t>Fatigue, déshydratation et stress thermique pour les agents en extérieur</w:t>
            </w:r>
          </w:p>
        </w:tc>
        <w:tc>
          <w:tcPr>
            <w:tcW w:w="0" w:type="auto"/>
            <w:shd w:val="clear" w:color="auto" w:fill="D9E2F3" w:themeFill="accent1" w:themeFillTint="33"/>
            <w:hideMark/>
          </w:tcPr>
          <w:p w14:paraId="008613D0" w14:textId="77777777" w:rsidR="00F55F92" w:rsidRPr="00AA22F2" w:rsidRDefault="00F55F92" w:rsidP="00F55F92">
            <w:pPr>
              <w:cnfStyle w:val="000000000000" w:firstRow="0" w:lastRow="0" w:firstColumn="0" w:lastColumn="0" w:oddVBand="0" w:evenVBand="0" w:oddHBand="0" w:evenHBand="0" w:firstRowFirstColumn="0" w:firstRowLastColumn="0" w:lastRowFirstColumn="0" w:lastRowLastColumn="0"/>
              <w:rPr>
                <w:szCs w:val="20"/>
              </w:rPr>
            </w:pPr>
            <w:r w:rsidRPr="00AA22F2">
              <w:rPr>
                <w:szCs w:val="20"/>
              </w:rPr>
              <w:t>Moyenne à forte</w:t>
            </w:r>
          </w:p>
        </w:tc>
      </w:tr>
      <w:tr w:rsidR="00F55F92" w:rsidRPr="00653F89" w14:paraId="18E6DAC9" w14:textId="77777777" w:rsidTr="005A7661">
        <w:tc>
          <w:tcPr>
            <w:cnfStyle w:val="001000000000" w:firstRow="0" w:lastRow="0" w:firstColumn="1" w:lastColumn="0" w:oddVBand="0" w:evenVBand="0" w:oddHBand="0" w:evenHBand="0" w:firstRowFirstColumn="0" w:firstRowLastColumn="0" w:lastRowFirstColumn="0" w:lastRowLastColumn="0"/>
            <w:tcW w:w="0" w:type="auto"/>
            <w:vMerge/>
          </w:tcPr>
          <w:p w14:paraId="0154FCDD" w14:textId="77777777" w:rsidR="00F55F92" w:rsidRPr="00AA22F2" w:rsidRDefault="00F55F92" w:rsidP="004637C7">
            <w:pPr>
              <w:spacing w:before="0" w:after="0"/>
              <w:rPr>
                <w:szCs w:val="20"/>
              </w:rPr>
            </w:pPr>
          </w:p>
        </w:tc>
        <w:tc>
          <w:tcPr>
            <w:tcW w:w="0" w:type="auto"/>
            <w:gridSpan w:val="4"/>
          </w:tcPr>
          <w:p w14:paraId="2E83FF53" w14:textId="77777777" w:rsidR="00F55F92" w:rsidRPr="00AA22F2" w:rsidRDefault="00F55F92" w:rsidP="004637C7">
            <w:pPr>
              <w:spacing w:before="0" w:after="0"/>
              <w:cnfStyle w:val="000000000000" w:firstRow="0" w:lastRow="0" w:firstColumn="0" w:lastColumn="0" w:oddVBand="0" w:evenVBand="0" w:oddHBand="0" w:evenHBand="0" w:firstRowFirstColumn="0" w:firstRowLastColumn="0" w:lastRowFirstColumn="0" w:lastRowLastColumn="0"/>
              <w:rPr>
                <w:szCs w:val="20"/>
              </w:rPr>
            </w:pPr>
          </w:p>
        </w:tc>
      </w:tr>
      <w:tr w:rsidR="00F55F92" w:rsidRPr="00653F89" w14:paraId="631131D0" w14:textId="77777777" w:rsidTr="004637C7">
        <w:tc>
          <w:tcPr>
            <w:cnfStyle w:val="001000000000" w:firstRow="0" w:lastRow="0" w:firstColumn="1" w:lastColumn="0" w:oddVBand="0" w:evenVBand="0" w:oddHBand="0" w:evenHBand="0" w:firstRowFirstColumn="0" w:firstRowLastColumn="0" w:lastRowFirstColumn="0" w:lastRowLastColumn="0"/>
            <w:tcW w:w="0" w:type="auto"/>
            <w:vMerge/>
          </w:tcPr>
          <w:p w14:paraId="6B641D5E" w14:textId="77777777" w:rsidR="00F55F92" w:rsidRPr="00AA22F2" w:rsidRDefault="00F55F92" w:rsidP="00F55F92">
            <w:pPr>
              <w:rPr>
                <w:szCs w:val="20"/>
              </w:rPr>
            </w:pPr>
          </w:p>
        </w:tc>
        <w:tc>
          <w:tcPr>
            <w:tcW w:w="0" w:type="auto"/>
            <w:shd w:val="clear" w:color="auto" w:fill="8EAADB" w:themeFill="accent1" w:themeFillTint="99"/>
          </w:tcPr>
          <w:p w14:paraId="7AC7A2DE" w14:textId="55D54AAD" w:rsidR="00F55F92" w:rsidRPr="004637C7" w:rsidRDefault="00F55F92" w:rsidP="00F55F92">
            <w:pPr>
              <w:cnfStyle w:val="000000000000" w:firstRow="0" w:lastRow="0" w:firstColumn="0" w:lastColumn="0" w:oddVBand="0" w:evenVBand="0" w:oddHBand="0" w:evenHBand="0" w:firstRowFirstColumn="0" w:firstRowLastColumn="0" w:lastRowFirstColumn="0" w:lastRowLastColumn="0"/>
              <w:rPr>
                <w:b/>
                <w:bCs/>
                <w:szCs w:val="20"/>
              </w:rPr>
            </w:pPr>
            <w:r w:rsidRPr="004637C7">
              <w:rPr>
                <w:b/>
                <w:bCs/>
                <w:szCs w:val="20"/>
              </w:rPr>
              <w:t>Intensité de l’impact</w:t>
            </w:r>
          </w:p>
        </w:tc>
        <w:tc>
          <w:tcPr>
            <w:tcW w:w="0" w:type="auto"/>
            <w:shd w:val="clear" w:color="auto" w:fill="8EAADB" w:themeFill="accent1" w:themeFillTint="99"/>
          </w:tcPr>
          <w:p w14:paraId="57C02B70" w14:textId="729EA10B" w:rsidR="00F55F92" w:rsidRPr="00AA22F2" w:rsidRDefault="00F55F92" w:rsidP="00F55F92">
            <w:pPr>
              <w:cnfStyle w:val="000000000000" w:firstRow="0" w:lastRow="0" w:firstColumn="0" w:lastColumn="0" w:oddVBand="0" w:evenVBand="0" w:oddHBand="0" w:evenHBand="0" w:firstRowFirstColumn="0" w:firstRowLastColumn="0" w:lastRowFirstColumn="0" w:lastRowLastColumn="0"/>
              <w:rPr>
                <w:b/>
                <w:bCs/>
                <w:szCs w:val="20"/>
              </w:rPr>
            </w:pPr>
            <w:r w:rsidRPr="004637C7">
              <w:rPr>
                <w:b/>
                <w:bCs/>
                <w:szCs w:val="20"/>
              </w:rPr>
              <w:t>Récepteurs</w:t>
            </w:r>
          </w:p>
        </w:tc>
        <w:tc>
          <w:tcPr>
            <w:tcW w:w="0" w:type="auto"/>
            <w:shd w:val="clear" w:color="auto" w:fill="8EAADB" w:themeFill="accent1" w:themeFillTint="99"/>
          </w:tcPr>
          <w:p w14:paraId="024F4D38" w14:textId="4A9506CD" w:rsidR="00F55F92" w:rsidRPr="004637C7" w:rsidRDefault="00F55F92" w:rsidP="00F55F92">
            <w:pPr>
              <w:cnfStyle w:val="000000000000" w:firstRow="0" w:lastRow="0" w:firstColumn="0" w:lastColumn="0" w:oddVBand="0" w:evenVBand="0" w:oddHBand="0" w:evenHBand="0" w:firstRowFirstColumn="0" w:firstRowLastColumn="0" w:lastRowFirstColumn="0" w:lastRowLastColumn="0"/>
              <w:rPr>
                <w:b/>
                <w:bCs/>
                <w:szCs w:val="20"/>
              </w:rPr>
            </w:pPr>
            <w:r w:rsidRPr="004637C7">
              <w:rPr>
                <w:b/>
                <w:bCs/>
                <w:szCs w:val="20"/>
              </w:rPr>
              <w:t>Sensibilité</w:t>
            </w:r>
          </w:p>
        </w:tc>
        <w:tc>
          <w:tcPr>
            <w:tcW w:w="0" w:type="auto"/>
            <w:shd w:val="clear" w:color="auto" w:fill="8EAADB" w:themeFill="accent1" w:themeFillTint="99"/>
          </w:tcPr>
          <w:p w14:paraId="3752158A" w14:textId="5232BE37" w:rsidR="00F55F92" w:rsidRPr="004637C7" w:rsidRDefault="00F55F92" w:rsidP="00F55F92">
            <w:pPr>
              <w:cnfStyle w:val="000000000000" w:firstRow="0" w:lastRow="0" w:firstColumn="0" w:lastColumn="0" w:oddVBand="0" w:evenVBand="0" w:oddHBand="0" w:evenHBand="0" w:firstRowFirstColumn="0" w:firstRowLastColumn="0" w:lastRowFirstColumn="0" w:lastRowLastColumn="0"/>
              <w:rPr>
                <w:b/>
                <w:bCs/>
                <w:szCs w:val="20"/>
              </w:rPr>
            </w:pPr>
            <w:r w:rsidRPr="004637C7">
              <w:rPr>
                <w:b/>
                <w:bCs/>
                <w:szCs w:val="20"/>
              </w:rPr>
              <w:t>Importance de l’impact</w:t>
            </w:r>
          </w:p>
        </w:tc>
      </w:tr>
      <w:tr w:rsidR="00110804" w:rsidRPr="00653F89" w14:paraId="0D5A2712" w14:textId="77777777" w:rsidTr="004637C7">
        <w:tc>
          <w:tcPr>
            <w:cnfStyle w:val="001000000000" w:firstRow="0" w:lastRow="0" w:firstColumn="1" w:lastColumn="0" w:oddVBand="0" w:evenVBand="0" w:oddHBand="0" w:evenHBand="0" w:firstRowFirstColumn="0" w:firstRowLastColumn="0" w:lastRowFirstColumn="0" w:lastRowLastColumn="0"/>
            <w:tcW w:w="0" w:type="auto"/>
            <w:vMerge/>
          </w:tcPr>
          <w:p w14:paraId="25B0F1E0" w14:textId="77777777" w:rsidR="00110804" w:rsidRPr="00AA22F2" w:rsidRDefault="00110804" w:rsidP="00110804">
            <w:pPr>
              <w:rPr>
                <w:szCs w:val="20"/>
              </w:rPr>
            </w:pPr>
          </w:p>
        </w:tc>
        <w:tc>
          <w:tcPr>
            <w:tcW w:w="0" w:type="auto"/>
          </w:tcPr>
          <w:p w14:paraId="103BD4C7" w14:textId="6E4B0000" w:rsidR="00110804" w:rsidRPr="00AA22F2" w:rsidRDefault="00110804" w:rsidP="00110804">
            <w:pPr>
              <w:cnfStyle w:val="000000000000" w:firstRow="0" w:lastRow="0" w:firstColumn="0" w:lastColumn="0" w:oddVBand="0" w:evenVBand="0" w:oddHBand="0" w:evenHBand="0" w:firstRowFirstColumn="0" w:firstRowLastColumn="0" w:lastRowFirstColumn="0" w:lastRowLastColumn="0"/>
              <w:rPr>
                <w:szCs w:val="20"/>
              </w:rPr>
            </w:pPr>
            <w:r w:rsidRPr="00AA22F2">
              <w:rPr>
                <w:szCs w:val="20"/>
              </w:rPr>
              <w:t>Moyenne à forte</w:t>
            </w:r>
          </w:p>
        </w:tc>
        <w:tc>
          <w:tcPr>
            <w:tcW w:w="0" w:type="auto"/>
          </w:tcPr>
          <w:p w14:paraId="625E84D2" w14:textId="61D1E962" w:rsidR="00110804" w:rsidRPr="00AA22F2" w:rsidRDefault="00110804" w:rsidP="00110804">
            <w:pPr>
              <w:cnfStyle w:val="000000000000" w:firstRow="0" w:lastRow="0" w:firstColumn="0" w:lastColumn="0" w:oddVBand="0" w:evenVBand="0" w:oddHBand="0" w:evenHBand="0" w:firstRowFirstColumn="0" w:firstRowLastColumn="0" w:lastRowFirstColumn="0" w:lastRowLastColumn="0"/>
              <w:rPr>
                <w:b/>
                <w:bCs/>
                <w:szCs w:val="20"/>
              </w:rPr>
            </w:pPr>
            <w:r w:rsidRPr="00AA22F2">
              <w:rPr>
                <w:szCs w:val="20"/>
              </w:rPr>
              <w:t>Agents de piste, techniciens, conducteurs</w:t>
            </w:r>
          </w:p>
        </w:tc>
        <w:tc>
          <w:tcPr>
            <w:tcW w:w="0" w:type="auto"/>
            <w:vAlign w:val="center"/>
          </w:tcPr>
          <w:p w14:paraId="5F1A64C6" w14:textId="1BBD0F09" w:rsidR="00110804" w:rsidRPr="00AA22F2" w:rsidRDefault="00110804" w:rsidP="00110804">
            <w:pPr>
              <w:cnfStyle w:val="000000000000" w:firstRow="0" w:lastRow="0" w:firstColumn="0" w:lastColumn="0" w:oddVBand="0" w:evenVBand="0" w:oddHBand="0" w:evenHBand="0" w:firstRowFirstColumn="0" w:firstRowLastColumn="0" w:lastRowFirstColumn="0" w:lastRowLastColumn="0"/>
              <w:rPr>
                <w:szCs w:val="20"/>
              </w:rPr>
            </w:pPr>
            <w:r w:rsidRPr="004637C7">
              <w:rPr>
                <w:b/>
                <w:bCs/>
                <w:szCs w:val="20"/>
              </w:rPr>
              <w:t>Forte</w:t>
            </w:r>
            <w:r w:rsidRPr="00AA22F2">
              <w:rPr>
                <w:szCs w:val="20"/>
              </w:rPr>
              <w:t> : exposition directe à la chaleur et absence d’abris naturels</w:t>
            </w:r>
          </w:p>
        </w:tc>
        <w:tc>
          <w:tcPr>
            <w:tcW w:w="0" w:type="auto"/>
          </w:tcPr>
          <w:p w14:paraId="1298DCC5" w14:textId="2054FD29" w:rsidR="00110804" w:rsidRPr="00AA22F2" w:rsidRDefault="00110804" w:rsidP="00110804">
            <w:pPr>
              <w:cnfStyle w:val="000000000000" w:firstRow="0" w:lastRow="0" w:firstColumn="0" w:lastColumn="0" w:oddVBand="0" w:evenVBand="0" w:oddHBand="0" w:evenHBand="0" w:firstRowFirstColumn="0" w:firstRowLastColumn="0" w:lastRowFirstColumn="0" w:lastRowLastColumn="0"/>
              <w:rPr>
                <w:szCs w:val="20"/>
              </w:rPr>
            </w:pPr>
            <w:r w:rsidRPr="00AA22F2">
              <w:rPr>
                <w:szCs w:val="20"/>
              </w:rPr>
              <w:t>Majeure</w:t>
            </w:r>
          </w:p>
        </w:tc>
      </w:tr>
    </w:tbl>
    <w:p w14:paraId="649F9C5A" w14:textId="77777777" w:rsidR="007D15A4" w:rsidRPr="004E20F7" w:rsidRDefault="007D15A4" w:rsidP="0001633E">
      <w:pPr>
        <w:pStyle w:val="AltTitle2"/>
        <w:numPr>
          <w:ilvl w:val="0"/>
          <w:numId w:val="106"/>
        </w:numPr>
      </w:pPr>
      <w:r w:rsidRPr="004E20F7">
        <w:lastRenderedPageBreak/>
        <w:t>Troubles musculosquelettiques (TMS) dus à la manutention répétitive</w:t>
      </w:r>
    </w:p>
    <w:p w14:paraId="14F2EE39" w14:textId="77777777" w:rsidR="007D15A4" w:rsidRDefault="007D15A4" w:rsidP="007D15A4">
      <w:r>
        <w:t>L</w:t>
      </w:r>
      <w:r w:rsidRPr="007D15A4">
        <w:t>es opérations de manutention des bagages, de chargement et de maintenance impliquent des gestes répétitifs, des efforts physiques soutenus et parfois des postures contraignantes. Ces activités favorisent l’apparition de troubles musculosquelettiques affectant le dos, les épaules ou les membres supérieurs.</w:t>
      </w:r>
    </w:p>
    <w:p w14:paraId="751D9888" w14:textId="77777777" w:rsidR="004E20F7" w:rsidRPr="004E20F7" w:rsidRDefault="007D15A4" w:rsidP="007D15A4">
      <w:r w:rsidRPr="004E20F7">
        <w:t xml:space="preserve">L’impact est </w:t>
      </w:r>
      <w:r w:rsidRPr="004637C7">
        <w:t>direct et continu</w:t>
      </w:r>
      <w:r w:rsidRPr="004E20F7">
        <w:t xml:space="preserve">, se manifestant progressivement tout au long de la période d’exploitation. Il est </w:t>
      </w:r>
      <w:r w:rsidRPr="004637C7">
        <w:t>local</w:t>
      </w:r>
      <w:r w:rsidRPr="004E20F7">
        <w:t xml:space="preserve">, limité aux zones d’activité opérationnelle (aires de tri, pistes, hangars). Sa </w:t>
      </w:r>
      <w:r w:rsidRPr="004637C7">
        <w:t>durée</w:t>
      </w:r>
      <w:r w:rsidRPr="004E20F7">
        <w:t xml:space="preserve"> est </w:t>
      </w:r>
      <w:r w:rsidRPr="004637C7">
        <w:t>longue</w:t>
      </w:r>
      <w:r w:rsidRPr="004E20F7">
        <w:t>, persistant sur l’ensemble de la vie du projet. L’</w:t>
      </w:r>
      <w:r w:rsidRPr="004637C7">
        <w:t>intensité</w:t>
      </w:r>
      <w:r w:rsidRPr="004E20F7">
        <w:t xml:space="preserve"> est </w:t>
      </w:r>
      <w:r w:rsidRPr="004637C7">
        <w:t>moyenne</w:t>
      </w:r>
      <w:r w:rsidRPr="004E20F7">
        <w:t>, car ces troubles n’entraînent pas d’effets immédiats graves mais affectent durablement la santé et la productivité.</w:t>
      </w:r>
    </w:p>
    <w:p w14:paraId="631CEF0D" w14:textId="64938959" w:rsidR="004E20F7" w:rsidRPr="004E20F7" w:rsidRDefault="007D15A4" w:rsidP="007D15A4">
      <w:r w:rsidRPr="004E20F7">
        <w:t xml:space="preserve">Les </w:t>
      </w:r>
      <w:r w:rsidRPr="004637C7">
        <w:t>récepteurs sensibles</w:t>
      </w:r>
      <w:r w:rsidRPr="004E20F7">
        <w:t xml:space="preserve"> sont les manutentionnaires, techniciens et personnels de maintenance, souvent soumis à des cadences élevées et à une organisation de travail exigeante. Leur </w:t>
      </w:r>
      <w:r w:rsidRPr="004637C7">
        <w:t>sensibilité</w:t>
      </w:r>
      <w:r w:rsidRPr="004E20F7">
        <w:t xml:space="preserve"> est </w:t>
      </w:r>
      <w:r w:rsidR="000F541A">
        <w:t xml:space="preserve">moyenne </w:t>
      </w:r>
      <w:r w:rsidRPr="004637C7">
        <w:t>à forte</w:t>
      </w:r>
      <w:r w:rsidRPr="004E20F7">
        <w:t xml:space="preserve">, notamment pour les travailleurs âgés ou non formés aux techniques ergonomiques. </w:t>
      </w:r>
    </w:p>
    <w:p w14:paraId="5A3E1FD4" w14:textId="6A6E2E7F" w:rsidR="007D15A4" w:rsidRDefault="007D15A4" w:rsidP="007D15A4">
      <w:r w:rsidRPr="004E20F7">
        <w:t xml:space="preserve">L’impact global est donc </w:t>
      </w:r>
      <w:r w:rsidRPr="004637C7">
        <w:t xml:space="preserve">modéré à </w:t>
      </w:r>
      <w:r w:rsidR="004E20F7" w:rsidRPr="004637C7">
        <w:t xml:space="preserve">majeure </w:t>
      </w:r>
      <w:r w:rsidRPr="004E20F7">
        <w:t>selon la fréquence d’exposition et l’efficacité des mesures préventives.</w:t>
      </w:r>
    </w:p>
    <w:tbl>
      <w:tblPr>
        <w:tblStyle w:val="TableauGrille1Clair-Accentuation111"/>
        <w:tblW w:w="0" w:type="auto"/>
        <w:tblLook w:val="04A0" w:firstRow="1" w:lastRow="0" w:firstColumn="1" w:lastColumn="0" w:noHBand="0" w:noVBand="1"/>
      </w:tblPr>
      <w:tblGrid>
        <w:gridCol w:w="792"/>
        <w:gridCol w:w="2288"/>
        <w:gridCol w:w="2382"/>
        <w:gridCol w:w="2240"/>
        <w:gridCol w:w="1358"/>
      </w:tblGrid>
      <w:tr w:rsidR="000F541A" w:rsidRPr="00653F89" w14:paraId="10765432" w14:textId="77777777" w:rsidTr="000F541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058F0160" w14:textId="77777777" w:rsidR="000F541A" w:rsidRPr="00AA22F2" w:rsidRDefault="000F541A" w:rsidP="000F541A">
            <w:pPr>
              <w:rPr>
                <w:szCs w:val="20"/>
              </w:rPr>
            </w:pPr>
            <w:r w:rsidRPr="00AA22F2">
              <w:rPr>
                <w:szCs w:val="20"/>
              </w:rPr>
              <w:t>Impact</w:t>
            </w:r>
          </w:p>
        </w:tc>
        <w:tc>
          <w:tcPr>
            <w:tcW w:w="0" w:type="auto"/>
            <w:hideMark/>
          </w:tcPr>
          <w:p w14:paraId="5A347C7E" w14:textId="77777777" w:rsidR="000F541A" w:rsidRPr="00AA22F2" w:rsidRDefault="000F541A" w:rsidP="000F541A">
            <w:pPr>
              <w:cnfStyle w:val="100000000000" w:firstRow="1" w:lastRow="0" w:firstColumn="0" w:lastColumn="0" w:oddVBand="0" w:evenVBand="0" w:oddHBand="0" w:evenHBand="0" w:firstRowFirstColumn="0" w:firstRowLastColumn="0" w:lastRowFirstColumn="0" w:lastRowLastColumn="0"/>
              <w:rPr>
                <w:szCs w:val="20"/>
              </w:rPr>
            </w:pPr>
            <w:r w:rsidRPr="00AA22F2">
              <w:rPr>
                <w:szCs w:val="20"/>
              </w:rPr>
              <w:t>Activités génératrices</w:t>
            </w:r>
          </w:p>
        </w:tc>
        <w:tc>
          <w:tcPr>
            <w:tcW w:w="0" w:type="auto"/>
            <w:hideMark/>
          </w:tcPr>
          <w:p w14:paraId="2A98C597" w14:textId="77777777" w:rsidR="000F541A" w:rsidRPr="00AA22F2" w:rsidRDefault="000F541A" w:rsidP="000F541A">
            <w:pPr>
              <w:cnfStyle w:val="100000000000" w:firstRow="1" w:lastRow="0" w:firstColumn="0" w:lastColumn="0" w:oddVBand="0" w:evenVBand="0" w:oddHBand="0" w:evenHBand="0" w:firstRowFirstColumn="0" w:firstRowLastColumn="0" w:lastRowFirstColumn="0" w:lastRowLastColumn="0"/>
              <w:rPr>
                <w:szCs w:val="20"/>
              </w:rPr>
            </w:pPr>
            <w:r w:rsidRPr="00AA22F2">
              <w:rPr>
                <w:szCs w:val="20"/>
              </w:rPr>
              <w:t>Critère</w:t>
            </w:r>
          </w:p>
        </w:tc>
        <w:tc>
          <w:tcPr>
            <w:tcW w:w="0" w:type="auto"/>
            <w:hideMark/>
          </w:tcPr>
          <w:p w14:paraId="41E10733" w14:textId="77777777" w:rsidR="000F541A" w:rsidRPr="00AA22F2" w:rsidRDefault="000F541A" w:rsidP="000F541A">
            <w:pPr>
              <w:cnfStyle w:val="100000000000" w:firstRow="1" w:lastRow="0" w:firstColumn="0" w:lastColumn="0" w:oddVBand="0" w:evenVBand="0" w:oddHBand="0" w:evenHBand="0" w:firstRowFirstColumn="0" w:firstRowLastColumn="0" w:lastRowFirstColumn="0" w:lastRowLastColumn="0"/>
              <w:rPr>
                <w:szCs w:val="20"/>
              </w:rPr>
            </w:pPr>
            <w:r w:rsidRPr="00AA22F2">
              <w:rPr>
                <w:szCs w:val="20"/>
              </w:rPr>
              <w:t>Justification</w:t>
            </w:r>
          </w:p>
        </w:tc>
        <w:tc>
          <w:tcPr>
            <w:tcW w:w="0" w:type="auto"/>
            <w:hideMark/>
          </w:tcPr>
          <w:p w14:paraId="70DE0518" w14:textId="77777777" w:rsidR="000F541A" w:rsidRPr="00AA22F2" w:rsidRDefault="000F541A" w:rsidP="000F541A">
            <w:pPr>
              <w:cnfStyle w:val="100000000000" w:firstRow="1" w:lastRow="0" w:firstColumn="0" w:lastColumn="0" w:oddVBand="0" w:evenVBand="0" w:oddHBand="0" w:evenHBand="0" w:firstRowFirstColumn="0" w:firstRowLastColumn="0" w:lastRowFirstColumn="0" w:lastRowLastColumn="0"/>
              <w:rPr>
                <w:szCs w:val="20"/>
              </w:rPr>
            </w:pPr>
            <w:r w:rsidRPr="00AA22F2">
              <w:rPr>
                <w:szCs w:val="20"/>
              </w:rPr>
              <w:t>Niveau</w:t>
            </w:r>
          </w:p>
        </w:tc>
      </w:tr>
      <w:tr w:rsidR="000F541A" w:rsidRPr="00653F89" w14:paraId="6FF3B667" w14:textId="77777777" w:rsidTr="004637C7">
        <w:tc>
          <w:tcPr>
            <w:cnfStyle w:val="001000000000" w:firstRow="0" w:lastRow="0" w:firstColumn="1" w:lastColumn="0" w:oddVBand="0" w:evenVBand="0" w:oddHBand="0" w:evenHBand="0" w:firstRowFirstColumn="0" w:firstRowLastColumn="0" w:lastRowFirstColumn="0" w:lastRowLastColumn="0"/>
            <w:tcW w:w="0" w:type="auto"/>
            <w:vMerge w:val="restart"/>
            <w:textDirection w:val="btLr"/>
            <w:vAlign w:val="center"/>
            <w:hideMark/>
          </w:tcPr>
          <w:p w14:paraId="2688B9FD" w14:textId="28770783" w:rsidR="000F541A" w:rsidRPr="00AA22F2" w:rsidRDefault="000F541A" w:rsidP="004637C7">
            <w:pPr>
              <w:ind w:left="113" w:right="113"/>
              <w:jc w:val="center"/>
              <w:rPr>
                <w:szCs w:val="20"/>
              </w:rPr>
            </w:pPr>
            <w:r w:rsidRPr="00AA22F2">
              <w:rPr>
                <w:szCs w:val="20"/>
              </w:rPr>
              <w:t>Troubles musculosquelettiques (TMS) dus à la manutention répétitive</w:t>
            </w:r>
          </w:p>
        </w:tc>
        <w:tc>
          <w:tcPr>
            <w:tcW w:w="0" w:type="auto"/>
            <w:vMerge w:val="restart"/>
            <w:hideMark/>
          </w:tcPr>
          <w:p w14:paraId="6653DEBF" w14:textId="77777777" w:rsidR="000F541A" w:rsidRPr="00AA22F2" w:rsidRDefault="000F541A" w:rsidP="000F541A">
            <w:pPr>
              <w:cnfStyle w:val="000000000000" w:firstRow="0" w:lastRow="0" w:firstColumn="0" w:lastColumn="0" w:oddVBand="0" w:evenVBand="0" w:oddHBand="0" w:evenHBand="0" w:firstRowFirstColumn="0" w:firstRowLastColumn="0" w:lastRowFirstColumn="0" w:lastRowLastColumn="0"/>
              <w:rPr>
                <w:szCs w:val="20"/>
              </w:rPr>
            </w:pPr>
            <w:r w:rsidRPr="00AA22F2">
              <w:rPr>
                <w:szCs w:val="20"/>
              </w:rPr>
              <w:t>Opérations de chargement, manutention de bagages, maintenance et logistique</w:t>
            </w:r>
          </w:p>
        </w:tc>
        <w:tc>
          <w:tcPr>
            <w:tcW w:w="0" w:type="auto"/>
            <w:hideMark/>
          </w:tcPr>
          <w:p w14:paraId="3A953C4C" w14:textId="77777777" w:rsidR="000F541A" w:rsidRPr="00AA22F2" w:rsidRDefault="000F541A" w:rsidP="000F541A">
            <w:pPr>
              <w:cnfStyle w:val="000000000000" w:firstRow="0" w:lastRow="0" w:firstColumn="0" w:lastColumn="0" w:oddVBand="0" w:evenVBand="0" w:oddHBand="0" w:evenHBand="0" w:firstRowFirstColumn="0" w:firstRowLastColumn="0" w:lastRowFirstColumn="0" w:lastRowLastColumn="0"/>
              <w:rPr>
                <w:szCs w:val="20"/>
              </w:rPr>
            </w:pPr>
            <w:r w:rsidRPr="00AA22F2">
              <w:rPr>
                <w:b/>
                <w:bCs/>
                <w:szCs w:val="20"/>
              </w:rPr>
              <w:t>Nature</w:t>
            </w:r>
          </w:p>
        </w:tc>
        <w:tc>
          <w:tcPr>
            <w:tcW w:w="0" w:type="auto"/>
            <w:hideMark/>
          </w:tcPr>
          <w:p w14:paraId="0A371391" w14:textId="77777777" w:rsidR="000F541A" w:rsidRPr="00AA22F2" w:rsidRDefault="000F541A" w:rsidP="000F541A">
            <w:pPr>
              <w:cnfStyle w:val="000000000000" w:firstRow="0" w:lastRow="0" w:firstColumn="0" w:lastColumn="0" w:oddVBand="0" w:evenVBand="0" w:oddHBand="0" w:evenHBand="0" w:firstRowFirstColumn="0" w:firstRowLastColumn="0" w:lastRowFirstColumn="0" w:lastRowLastColumn="0"/>
              <w:rPr>
                <w:szCs w:val="20"/>
              </w:rPr>
            </w:pPr>
            <w:r w:rsidRPr="00AA22F2">
              <w:rPr>
                <w:szCs w:val="20"/>
              </w:rPr>
              <w:t>Impact direct lié aux gestes répétitifs et aux postures contraignantes</w:t>
            </w:r>
          </w:p>
        </w:tc>
        <w:tc>
          <w:tcPr>
            <w:tcW w:w="0" w:type="auto"/>
            <w:hideMark/>
          </w:tcPr>
          <w:p w14:paraId="7DF660FD" w14:textId="77777777" w:rsidR="000F541A" w:rsidRPr="00AA22F2" w:rsidRDefault="000F541A" w:rsidP="000F541A">
            <w:pPr>
              <w:cnfStyle w:val="000000000000" w:firstRow="0" w:lastRow="0" w:firstColumn="0" w:lastColumn="0" w:oddVBand="0" w:evenVBand="0" w:oddHBand="0" w:evenHBand="0" w:firstRowFirstColumn="0" w:firstRowLastColumn="0" w:lastRowFirstColumn="0" w:lastRowLastColumn="0"/>
              <w:rPr>
                <w:szCs w:val="20"/>
              </w:rPr>
            </w:pPr>
            <w:r w:rsidRPr="00AA22F2">
              <w:rPr>
                <w:szCs w:val="20"/>
              </w:rPr>
              <w:t>Direct</w:t>
            </w:r>
          </w:p>
        </w:tc>
      </w:tr>
      <w:tr w:rsidR="000F541A" w:rsidRPr="00653F89" w14:paraId="63861406" w14:textId="77777777" w:rsidTr="005A7661">
        <w:tc>
          <w:tcPr>
            <w:cnfStyle w:val="001000000000" w:firstRow="0" w:lastRow="0" w:firstColumn="1" w:lastColumn="0" w:oddVBand="0" w:evenVBand="0" w:oddHBand="0" w:evenHBand="0" w:firstRowFirstColumn="0" w:firstRowLastColumn="0" w:lastRowFirstColumn="0" w:lastRowLastColumn="0"/>
            <w:tcW w:w="0" w:type="auto"/>
            <w:vMerge/>
            <w:hideMark/>
          </w:tcPr>
          <w:p w14:paraId="73A98E38" w14:textId="77777777" w:rsidR="000F541A" w:rsidRPr="00AA22F2" w:rsidRDefault="000F541A" w:rsidP="000F541A">
            <w:pPr>
              <w:rPr>
                <w:szCs w:val="20"/>
              </w:rPr>
            </w:pPr>
          </w:p>
        </w:tc>
        <w:tc>
          <w:tcPr>
            <w:tcW w:w="0" w:type="auto"/>
            <w:vMerge/>
            <w:hideMark/>
          </w:tcPr>
          <w:p w14:paraId="4AC1DD79" w14:textId="77777777" w:rsidR="000F541A" w:rsidRPr="00AA22F2" w:rsidRDefault="000F541A" w:rsidP="000F541A">
            <w:pPr>
              <w:cnfStyle w:val="000000000000" w:firstRow="0" w:lastRow="0" w:firstColumn="0" w:lastColumn="0" w:oddVBand="0" w:evenVBand="0" w:oddHBand="0" w:evenHBand="0" w:firstRowFirstColumn="0" w:firstRowLastColumn="0" w:lastRowFirstColumn="0" w:lastRowLastColumn="0"/>
              <w:rPr>
                <w:szCs w:val="20"/>
              </w:rPr>
            </w:pPr>
          </w:p>
        </w:tc>
        <w:tc>
          <w:tcPr>
            <w:tcW w:w="0" w:type="auto"/>
            <w:hideMark/>
          </w:tcPr>
          <w:p w14:paraId="0A5A50CA" w14:textId="77777777" w:rsidR="000F541A" w:rsidRPr="00AA22F2" w:rsidRDefault="000F541A" w:rsidP="000F541A">
            <w:pPr>
              <w:cnfStyle w:val="000000000000" w:firstRow="0" w:lastRow="0" w:firstColumn="0" w:lastColumn="0" w:oddVBand="0" w:evenVBand="0" w:oddHBand="0" w:evenHBand="0" w:firstRowFirstColumn="0" w:firstRowLastColumn="0" w:lastRowFirstColumn="0" w:lastRowLastColumn="0"/>
              <w:rPr>
                <w:szCs w:val="20"/>
              </w:rPr>
            </w:pPr>
            <w:r w:rsidRPr="00AA22F2">
              <w:rPr>
                <w:b/>
                <w:bCs/>
                <w:szCs w:val="20"/>
              </w:rPr>
              <w:t>Étendue</w:t>
            </w:r>
          </w:p>
        </w:tc>
        <w:tc>
          <w:tcPr>
            <w:tcW w:w="0" w:type="auto"/>
            <w:hideMark/>
          </w:tcPr>
          <w:p w14:paraId="45DA0317" w14:textId="77777777" w:rsidR="000F541A" w:rsidRPr="00AA22F2" w:rsidRDefault="000F541A" w:rsidP="000F541A">
            <w:pPr>
              <w:cnfStyle w:val="000000000000" w:firstRow="0" w:lastRow="0" w:firstColumn="0" w:lastColumn="0" w:oddVBand="0" w:evenVBand="0" w:oddHBand="0" w:evenHBand="0" w:firstRowFirstColumn="0" w:firstRowLastColumn="0" w:lastRowFirstColumn="0" w:lastRowLastColumn="0"/>
              <w:rPr>
                <w:szCs w:val="20"/>
              </w:rPr>
            </w:pPr>
            <w:r w:rsidRPr="00AA22F2">
              <w:rPr>
                <w:szCs w:val="20"/>
              </w:rPr>
              <w:t>Restreint aux zones de tri, hangars et pistes</w:t>
            </w:r>
          </w:p>
        </w:tc>
        <w:tc>
          <w:tcPr>
            <w:tcW w:w="0" w:type="auto"/>
            <w:hideMark/>
          </w:tcPr>
          <w:p w14:paraId="57B55B8D" w14:textId="77777777" w:rsidR="000F541A" w:rsidRPr="00AA22F2" w:rsidRDefault="000F541A" w:rsidP="000F541A">
            <w:pPr>
              <w:cnfStyle w:val="000000000000" w:firstRow="0" w:lastRow="0" w:firstColumn="0" w:lastColumn="0" w:oddVBand="0" w:evenVBand="0" w:oddHBand="0" w:evenHBand="0" w:firstRowFirstColumn="0" w:firstRowLastColumn="0" w:lastRowFirstColumn="0" w:lastRowLastColumn="0"/>
              <w:rPr>
                <w:szCs w:val="20"/>
              </w:rPr>
            </w:pPr>
            <w:r w:rsidRPr="00AA22F2">
              <w:rPr>
                <w:szCs w:val="20"/>
              </w:rPr>
              <w:t>Locale</w:t>
            </w:r>
          </w:p>
        </w:tc>
      </w:tr>
      <w:tr w:rsidR="000F541A" w:rsidRPr="00653F89" w14:paraId="382ED85A" w14:textId="77777777" w:rsidTr="005A7661">
        <w:tc>
          <w:tcPr>
            <w:cnfStyle w:val="001000000000" w:firstRow="0" w:lastRow="0" w:firstColumn="1" w:lastColumn="0" w:oddVBand="0" w:evenVBand="0" w:oddHBand="0" w:evenHBand="0" w:firstRowFirstColumn="0" w:firstRowLastColumn="0" w:lastRowFirstColumn="0" w:lastRowLastColumn="0"/>
            <w:tcW w:w="0" w:type="auto"/>
            <w:vMerge/>
            <w:hideMark/>
          </w:tcPr>
          <w:p w14:paraId="29BB2849" w14:textId="77777777" w:rsidR="000F541A" w:rsidRPr="00AA22F2" w:rsidRDefault="000F541A" w:rsidP="000F541A">
            <w:pPr>
              <w:rPr>
                <w:szCs w:val="20"/>
              </w:rPr>
            </w:pPr>
          </w:p>
        </w:tc>
        <w:tc>
          <w:tcPr>
            <w:tcW w:w="0" w:type="auto"/>
            <w:vMerge/>
            <w:hideMark/>
          </w:tcPr>
          <w:p w14:paraId="0C0546E6" w14:textId="77777777" w:rsidR="000F541A" w:rsidRPr="00AA22F2" w:rsidRDefault="000F541A" w:rsidP="000F541A">
            <w:pPr>
              <w:cnfStyle w:val="000000000000" w:firstRow="0" w:lastRow="0" w:firstColumn="0" w:lastColumn="0" w:oddVBand="0" w:evenVBand="0" w:oddHBand="0" w:evenHBand="0" w:firstRowFirstColumn="0" w:firstRowLastColumn="0" w:lastRowFirstColumn="0" w:lastRowLastColumn="0"/>
              <w:rPr>
                <w:szCs w:val="20"/>
              </w:rPr>
            </w:pPr>
          </w:p>
        </w:tc>
        <w:tc>
          <w:tcPr>
            <w:tcW w:w="0" w:type="auto"/>
            <w:hideMark/>
          </w:tcPr>
          <w:p w14:paraId="417D98E1" w14:textId="77777777" w:rsidR="000F541A" w:rsidRPr="00AA22F2" w:rsidRDefault="000F541A" w:rsidP="000F541A">
            <w:pPr>
              <w:cnfStyle w:val="000000000000" w:firstRow="0" w:lastRow="0" w:firstColumn="0" w:lastColumn="0" w:oddVBand="0" w:evenVBand="0" w:oddHBand="0" w:evenHBand="0" w:firstRowFirstColumn="0" w:firstRowLastColumn="0" w:lastRowFirstColumn="0" w:lastRowLastColumn="0"/>
              <w:rPr>
                <w:szCs w:val="20"/>
              </w:rPr>
            </w:pPr>
            <w:r w:rsidRPr="00AA22F2">
              <w:rPr>
                <w:b/>
                <w:bCs/>
                <w:szCs w:val="20"/>
              </w:rPr>
              <w:t>Durée</w:t>
            </w:r>
          </w:p>
        </w:tc>
        <w:tc>
          <w:tcPr>
            <w:tcW w:w="0" w:type="auto"/>
            <w:hideMark/>
          </w:tcPr>
          <w:p w14:paraId="0A5ED9D7" w14:textId="77777777" w:rsidR="000F541A" w:rsidRPr="00AA22F2" w:rsidRDefault="000F541A" w:rsidP="000F541A">
            <w:pPr>
              <w:cnfStyle w:val="000000000000" w:firstRow="0" w:lastRow="0" w:firstColumn="0" w:lastColumn="0" w:oddVBand="0" w:evenVBand="0" w:oddHBand="0" w:evenHBand="0" w:firstRowFirstColumn="0" w:firstRowLastColumn="0" w:lastRowFirstColumn="0" w:lastRowLastColumn="0"/>
              <w:rPr>
                <w:szCs w:val="20"/>
              </w:rPr>
            </w:pPr>
            <w:r w:rsidRPr="00AA22F2">
              <w:rPr>
                <w:szCs w:val="20"/>
              </w:rPr>
              <w:t>Persistant durant toute la phase d’exploitation</w:t>
            </w:r>
          </w:p>
        </w:tc>
        <w:tc>
          <w:tcPr>
            <w:tcW w:w="0" w:type="auto"/>
            <w:hideMark/>
          </w:tcPr>
          <w:p w14:paraId="73D7C85F" w14:textId="77777777" w:rsidR="000F541A" w:rsidRPr="00AA22F2" w:rsidRDefault="000F541A" w:rsidP="000F541A">
            <w:pPr>
              <w:cnfStyle w:val="000000000000" w:firstRow="0" w:lastRow="0" w:firstColumn="0" w:lastColumn="0" w:oddVBand="0" w:evenVBand="0" w:oddHBand="0" w:evenHBand="0" w:firstRowFirstColumn="0" w:firstRowLastColumn="0" w:lastRowFirstColumn="0" w:lastRowLastColumn="0"/>
              <w:rPr>
                <w:szCs w:val="20"/>
              </w:rPr>
            </w:pPr>
            <w:r w:rsidRPr="00AA22F2">
              <w:rPr>
                <w:szCs w:val="20"/>
              </w:rPr>
              <w:t>Long terme</w:t>
            </w:r>
          </w:p>
        </w:tc>
      </w:tr>
      <w:tr w:rsidR="000F541A" w:rsidRPr="00653F89" w14:paraId="2C545ADA" w14:textId="77777777" w:rsidTr="005A7661">
        <w:tc>
          <w:tcPr>
            <w:cnfStyle w:val="001000000000" w:firstRow="0" w:lastRow="0" w:firstColumn="1" w:lastColumn="0" w:oddVBand="0" w:evenVBand="0" w:oddHBand="0" w:evenHBand="0" w:firstRowFirstColumn="0" w:firstRowLastColumn="0" w:lastRowFirstColumn="0" w:lastRowLastColumn="0"/>
            <w:tcW w:w="0" w:type="auto"/>
            <w:vMerge/>
            <w:hideMark/>
          </w:tcPr>
          <w:p w14:paraId="782EC7A3" w14:textId="77777777" w:rsidR="000F541A" w:rsidRPr="00AA22F2" w:rsidRDefault="000F541A" w:rsidP="000F541A">
            <w:pPr>
              <w:rPr>
                <w:szCs w:val="20"/>
              </w:rPr>
            </w:pPr>
          </w:p>
        </w:tc>
        <w:tc>
          <w:tcPr>
            <w:tcW w:w="0" w:type="auto"/>
            <w:vMerge/>
            <w:hideMark/>
          </w:tcPr>
          <w:p w14:paraId="35ADBB57" w14:textId="77777777" w:rsidR="000F541A" w:rsidRPr="00AA22F2" w:rsidRDefault="000F541A" w:rsidP="000F541A">
            <w:pPr>
              <w:cnfStyle w:val="000000000000" w:firstRow="0" w:lastRow="0" w:firstColumn="0" w:lastColumn="0" w:oddVBand="0" w:evenVBand="0" w:oddHBand="0" w:evenHBand="0" w:firstRowFirstColumn="0" w:firstRowLastColumn="0" w:lastRowFirstColumn="0" w:lastRowLastColumn="0"/>
              <w:rPr>
                <w:szCs w:val="20"/>
              </w:rPr>
            </w:pPr>
          </w:p>
        </w:tc>
        <w:tc>
          <w:tcPr>
            <w:tcW w:w="0" w:type="auto"/>
            <w:hideMark/>
          </w:tcPr>
          <w:p w14:paraId="64F8CDA6" w14:textId="77777777" w:rsidR="000F541A" w:rsidRPr="00AA22F2" w:rsidRDefault="000F541A" w:rsidP="000F541A">
            <w:pPr>
              <w:cnfStyle w:val="000000000000" w:firstRow="0" w:lastRow="0" w:firstColumn="0" w:lastColumn="0" w:oddVBand="0" w:evenVBand="0" w:oddHBand="0" w:evenHBand="0" w:firstRowFirstColumn="0" w:firstRowLastColumn="0" w:lastRowFirstColumn="0" w:lastRowLastColumn="0"/>
              <w:rPr>
                <w:szCs w:val="20"/>
              </w:rPr>
            </w:pPr>
            <w:r w:rsidRPr="00AA22F2">
              <w:rPr>
                <w:b/>
                <w:bCs/>
                <w:szCs w:val="20"/>
              </w:rPr>
              <w:t>Fréquence</w:t>
            </w:r>
          </w:p>
        </w:tc>
        <w:tc>
          <w:tcPr>
            <w:tcW w:w="0" w:type="auto"/>
            <w:hideMark/>
          </w:tcPr>
          <w:p w14:paraId="37F6395D" w14:textId="77777777" w:rsidR="000F541A" w:rsidRPr="00AA22F2" w:rsidRDefault="000F541A" w:rsidP="000F541A">
            <w:pPr>
              <w:cnfStyle w:val="000000000000" w:firstRow="0" w:lastRow="0" w:firstColumn="0" w:lastColumn="0" w:oddVBand="0" w:evenVBand="0" w:oddHBand="0" w:evenHBand="0" w:firstRowFirstColumn="0" w:firstRowLastColumn="0" w:lastRowFirstColumn="0" w:lastRowLastColumn="0"/>
              <w:rPr>
                <w:szCs w:val="20"/>
              </w:rPr>
            </w:pPr>
            <w:r w:rsidRPr="00AA22F2">
              <w:rPr>
                <w:szCs w:val="20"/>
              </w:rPr>
              <w:t>Quotidienne, répétitive</w:t>
            </w:r>
          </w:p>
        </w:tc>
        <w:tc>
          <w:tcPr>
            <w:tcW w:w="0" w:type="auto"/>
            <w:hideMark/>
          </w:tcPr>
          <w:p w14:paraId="7C037960" w14:textId="77777777" w:rsidR="000F541A" w:rsidRPr="00AA22F2" w:rsidRDefault="000F541A" w:rsidP="000F541A">
            <w:pPr>
              <w:cnfStyle w:val="000000000000" w:firstRow="0" w:lastRow="0" w:firstColumn="0" w:lastColumn="0" w:oddVBand="0" w:evenVBand="0" w:oddHBand="0" w:evenHBand="0" w:firstRowFirstColumn="0" w:firstRowLastColumn="0" w:lastRowFirstColumn="0" w:lastRowLastColumn="0"/>
              <w:rPr>
                <w:szCs w:val="20"/>
              </w:rPr>
            </w:pPr>
            <w:r w:rsidRPr="00AA22F2">
              <w:rPr>
                <w:szCs w:val="20"/>
              </w:rPr>
              <w:t>Continue</w:t>
            </w:r>
          </w:p>
        </w:tc>
      </w:tr>
      <w:tr w:rsidR="000F541A" w:rsidRPr="00653F89" w14:paraId="724A11CD" w14:textId="77777777" w:rsidTr="004637C7">
        <w:tc>
          <w:tcPr>
            <w:cnfStyle w:val="001000000000" w:firstRow="0" w:lastRow="0" w:firstColumn="1" w:lastColumn="0" w:oddVBand="0" w:evenVBand="0" w:oddHBand="0" w:evenHBand="0" w:firstRowFirstColumn="0" w:firstRowLastColumn="0" w:lastRowFirstColumn="0" w:lastRowLastColumn="0"/>
            <w:tcW w:w="0" w:type="auto"/>
            <w:vMerge/>
            <w:hideMark/>
          </w:tcPr>
          <w:p w14:paraId="3B2E2427" w14:textId="77777777" w:rsidR="000F541A" w:rsidRPr="00AA22F2" w:rsidRDefault="000F541A" w:rsidP="000F541A">
            <w:pPr>
              <w:rPr>
                <w:szCs w:val="20"/>
              </w:rPr>
            </w:pPr>
          </w:p>
        </w:tc>
        <w:tc>
          <w:tcPr>
            <w:tcW w:w="0" w:type="auto"/>
            <w:vMerge/>
            <w:hideMark/>
          </w:tcPr>
          <w:p w14:paraId="742DC687" w14:textId="77777777" w:rsidR="000F541A" w:rsidRPr="00AA22F2" w:rsidRDefault="000F541A" w:rsidP="000F541A">
            <w:pPr>
              <w:cnfStyle w:val="000000000000" w:firstRow="0" w:lastRow="0" w:firstColumn="0" w:lastColumn="0" w:oddVBand="0" w:evenVBand="0" w:oddHBand="0" w:evenHBand="0" w:firstRowFirstColumn="0" w:firstRowLastColumn="0" w:lastRowFirstColumn="0" w:lastRowLastColumn="0"/>
              <w:rPr>
                <w:szCs w:val="20"/>
              </w:rPr>
            </w:pPr>
          </w:p>
        </w:tc>
        <w:tc>
          <w:tcPr>
            <w:tcW w:w="0" w:type="auto"/>
            <w:shd w:val="clear" w:color="auto" w:fill="D9E2F3" w:themeFill="accent1" w:themeFillTint="33"/>
            <w:hideMark/>
          </w:tcPr>
          <w:p w14:paraId="1B262B7F" w14:textId="77777777" w:rsidR="000F541A" w:rsidRPr="00AA22F2" w:rsidRDefault="000F541A" w:rsidP="000F541A">
            <w:pPr>
              <w:cnfStyle w:val="000000000000" w:firstRow="0" w:lastRow="0" w:firstColumn="0" w:lastColumn="0" w:oddVBand="0" w:evenVBand="0" w:oddHBand="0" w:evenHBand="0" w:firstRowFirstColumn="0" w:firstRowLastColumn="0" w:lastRowFirstColumn="0" w:lastRowLastColumn="0"/>
              <w:rPr>
                <w:szCs w:val="20"/>
              </w:rPr>
            </w:pPr>
            <w:r w:rsidRPr="00AA22F2">
              <w:rPr>
                <w:b/>
                <w:bCs/>
                <w:szCs w:val="20"/>
              </w:rPr>
              <w:t>Intensité</w:t>
            </w:r>
          </w:p>
        </w:tc>
        <w:tc>
          <w:tcPr>
            <w:tcW w:w="0" w:type="auto"/>
            <w:shd w:val="clear" w:color="auto" w:fill="D9E2F3" w:themeFill="accent1" w:themeFillTint="33"/>
            <w:hideMark/>
          </w:tcPr>
          <w:p w14:paraId="225F63C1" w14:textId="77777777" w:rsidR="000F541A" w:rsidRPr="00AA22F2" w:rsidRDefault="000F541A" w:rsidP="000F541A">
            <w:pPr>
              <w:cnfStyle w:val="000000000000" w:firstRow="0" w:lastRow="0" w:firstColumn="0" w:lastColumn="0" w:oddVBand="0" w:evenVBand="0" w:oddHBand="0" w:evenHBand="0" w:firstRowFirstColumn="0" w:firstRowLastColumn="0" w:lastRowFirstColumn="0" w:lastRowLastColumn="0"/>
              <w:rPr>
                <w:szCs w:val="20"/>
              </w:rPr>
            </w:pPr>
            <w:r w:rsidRPr="00AA22F2">
              <w:rPr>
                <w:szCs w:val="20"/>
              </w:rPr>
              <w:t>Douleurs articulaires et lombaires affectant la productivité</w:t>
            </w:r>
          </w:p>
        </w:tc>
        <w:tc>
          <w:tcPr>
            <w:tcW w:w="0" w:type="auto"/>
            <w:shd w:val="clear" w:color="auto" w:fill="D9E2F3" w:themeFill="accent1" w:themeFillTint="33"/>
            <w:hideMark/>
          </w:tcPr>
          <w:p w14:paraId="4082BAEE" w14:textId="77777777" w:rsidR="000F541A" w:rsidRPr="00AA22F2" w:rsidRDefault="000F541A" w:rsidP="000F541A">
            <w:pPr>
              <w:cnfStyle w:val="000000000000" w:firstRow="0" w:lastRow="0" w:firstColumn="0" w:lastColumn="0" w:oddVBand="0" w:evenVBand="0" w:oddHBand="0" w:evenHBand="0" w:firstRowFirstColumn="0" w:firstRowLastColumn="0" w:lastRowFirstColumn="0" w:lastRowLastColumn="0"/>
              <w:rPr>
                <w:szCs w:val="20"/>
              </w:rPr>
            </w:pPr>
            <w:r w:rsidRPr="00AA22F2">
              <w:rPr>
                <w:szCs w:val="20"/>
              </w:rPr>
              <w:t>Moyenne</w:t>
            </w:r>
          </w:p>
        </w:tc>
      </w:tr>
      <w:tr w:rsidR="000F541A" w:rsidRPr="00653F89" w14:paraId="5671F489" w14:textId="77777777" w:rsidTr="005A7661">
        <w:tc>
          <w:tcPr>
            <w:cnfStyle w:val="001000000000" w:firstRow="0" w:lastRow="0" w:firstColumn="1" w:lastColumn="0" w:oddVBand="0" w:evenVBand="0" w:oddHBand="0" w:evenHBand="0" w:firstRowFirstColumn="0" w:firstRowLastColumn="0" w:lastRowFirstColumn="0" w:lastRowLastColumn="0"/>
            <w:tcW w:w="0" w:type="auto"/>
            <w:vMerge/>
          </w:tcPr>
          <w:p w14:paraId="54CA4B6C" w14:textId="77777777" w:rsidR="000F541A" w:rsidRPr="00AA22F2" w:rsidRDefault="000F541A" w:rsidP="000F541A">
            <w:pPr>
              <w:rPr>
                <w:szCs w:val="20"/>
              </w:rPr>
            </w:pPr>
          </w:p>
        </w:tc>
        <w:tc>
          <w:tcPr>
            <w:tcW w:w="0" w:type="auto"/>
            <w:gridSpan w:val="4"/>
          </w:tcPr>
          <w:p w14:paraId="641D6328" w14:textId="77777777" w:rsidR="000F541A" w:rsidRPr="00AA22F2" w:rsidRDefault="000F541A" w:rsidP="004637C7">
            <w:pPr>
              <w:spacing w:before="0" w:after="0"/>
              <w:cnfStyle w:val="000000000000" w:firstRow="0" w:lastRow="0" w:firstColumn="0" w:lastColumn="0" w:oddVBand="0" w:evenVBand="0" w:oddHBand="0" w:evenHBand="0" w:firstRowFirstColumn="0" w:firstRowLastColumn="0" w:lastRowFirstColumn="0" w:lastRowLastColumn="0"/>
              <w:rPr>
                <w:szCs w:val="20"/>
              </w:rPr>
            </w:pPr>
          </w:p>
        </w:tc>
      </w:tr>
      <w:tr w:rsidR="000F541A" w:rsidRPr="00653F89" w14:paraId="6F8F7F39" w14:textId="77777777" w:rsidTr="004637C7">
        <w:tc>
          <w:tcPr>
            <w:cnfStyle w:val="001000000000" w:firstRow="0" w:lastRow="0" w:firstColumn="1" w:lastColumn="0" w:oddVBand="0" w:evenVBand="0" w:oddHBand="0" w:evenHBand="0" w:firstRowFirstColumn="0" w:firstRowLastColumn="0" w:lastRowFirstColumn="0" w:lastRowLastColumn="0"/>
            <w:tcW w:w="0" w:type="auto"/>
            <w:vMerge/>
          </w:tcPr>
          <w:p w14:paraId="6CBF0109" w14:textId="77777777" w:rsidR="000F541A" w:rsidRPr="00AA22F2" w:rsidRDefault="000F541A" w:rsidP="000F541A">
            <w:pPr>
              <w:rPr>
                <w:szCs w:val="20"/>
              </w:rPr>
            </w:pPr>
          </w:p>
        </w:tc>
        <w:tc>
          <w:tcPr>
            <w:tcW w:w="0" w:type="auto"/>
            <w:shd w:val="clear" w:color="auto" w:fill="8EAADB" w:themeFill="accent1" w:themeFillTint="99"/>
            <w:vAlign w:val="center"/>
          </w:tcPr>
          <w:p w14:paraId="7697AB3B" w14:textId="077E1C17" w:rsidR="000F541A" w:rsidRPr="00AA22F2" w:rsidRDefault="000F541A" w:rsidP="000F541A">
            <w:pPr>
              <w:cnfStyle w:val="000000000000" w:firstRow="0" w:lastRow="0" w:firstColumn="0" w:lastColumn="0" w:oddVBand="0" w:evenVBand="0" w:oddHBand="0" w:evenHBand="0" w:firstRowFirstColumn="0" w:firstRowLastColumn="0" w:lastRowFirstColumn="0" w:lastRowLastColumn="0"/>
              <w:rPr>
                <w:szCs w:val="20"/>
              </w:rPr>
            </w:pPr>
            <w:r w:rsidRPr="00AA22F2">
              <w:rPr>
                <w:b/>
                <w:bCs/>
                <w:szCs w:val="20"/>
              </w:rPr>
              <w:t>Intensité de l’impact</w:t>
            </w:r>
          </w:p>
        </w:tc>
        <w:tc>
          <w:tcPr>
            <w:tcW w:w="0" w:type="auto"/>
            <w:shd w:val="clear" w:color="auto" w:fill="8EAADB" w:themeFill="accent1" w:themeFillTint="99"/>
            <w:vAlign w:val="center"/>
          </w:tcPr>
          <w:p w14:paraId="3390E51B" w14:textId="0C086192" w:rsidR="000F541A" w:rsidRPr="00AA22F2" w:rsidRDefault="000F541A" w:rsidP="000F541A">
            <w:pPr>
              <w:cnfStyle w:val="000000000000" w:firstRow="0" w:lastRow="0" w:firstColumn="0" w:lastColumn="0" w:oddVBand="0" w:evenVBand="0" w:oddHBand="0" w:evenHBand="0" w:firstRowFirstColumn="0" w:firstRowLastColumn="0" w:lastRowFirstColumn="0" w:lastRowLastColumn="0"/>
              <w:rPr>
                <w:b/>
                <w:bCs/>
                <w:szCs w:val="20"/>
              </w:rPr>
            </w:pPr>
            <w:r w:rsidRPr="00AA22F2">
              <w:rPr>
                <w:b/>
                <w:bCs/>
                <w:szCs w:val="20"/>
              </w:rPr>
              <w:t>Récepteurs</w:t>
            </w:r>
          </w:p>
        </w:tc>
        <w:tc>
          <w:tcPr>
            <w:tcW w:w="0" w:type="auto"/>
            <w:shd w:val="clear" w:color="auto" w:fill="8EAADB" w:themeFill="accent1" w:themeFillTint="99"/>
            <w:vAlign w:val="center"/>
          </w:tcPr>
          <w:p w14:paraId="58B1FB39" w14:textId="3893CEE5" w:rsidR="000F541A" w:rsidRPr="00AA22F2" w:rsidRDefault="000F541A" w:rsidP="000F541A">
            <w:pPr>
              <w:cnfStyle w:val="000000000000" w:firstRow="0" w:lastRow="0" w:firstColumn="0" w:lastColumn="0" w:oddVBand="0" w:evenVBand="0" w:oddHBand="0" w:evenHBand="0" w:firstRowFirstColumn="0" w:firstRowLastColumn="0" w:lastRowFirstColumn="0" w:lastRowLastColumn="0"/>
              <w:rPr>
                <w:szCs w:val="20"/>
              </w:rPr>
            </w:pPr>
            <w:r w:rsidRPr="00AA22F2">
              <w:rPr>
                <w:b/>
                <w:bCs/>
                <w:szCs w:val="20"/>
              </w:rPr>
              <w:t>Sensibilité</w:t>
            </w:r>
          </w:p>
        </w:tc>
        <w:tc>
          <w:tcPr>
            <w:tcW w:w="0" w:type="auto"/>
            <w:shd w:val="clear" w:color="auto" w:fill="8EAADB" w:themeFill="accent1" w:themeFillTint="99"/>
            <w:vAlign w:val="center"/>
          </w:tcPr>
          <w:p w14:paraId="3EFF9F4F" w14:textId="1974EB27" w:rsidR="000F541A" w:rsidRPr="00AA22F2" w:rsidRDefault="000F541A" w:rsidP="000F541A">
            <w:pPr>
              <w:cnfStyle w:val="000000000000" w:firstRow="0" w:lastRow="0" w:firstColumn="0" w:lastColumn="0" w:oddVBand="0" w:evenVBand="0" w:oddHBand="0" w:evenHBand="0" w:firstRowFirstColumn="0" w:firstRowLastColumn="0" w:lastRowFirstColumn="0" w:lastRowLastColumn="0"/>
              <w:rPr>
                <w:szCs w:val="20"/>
              </w:rPr>
            </w:pPr>
            <w:r w:rsidRPr="00AA22F2">
              <w:rPr>
                <w:b/>
                <w:bCs/>
                <w:szCs w:val="20"/>
              </w:rPr>
              <w:t>Importance de l’impact</w:t>
            </w:r>
          </w:p>
        </w:tc>
      </w:tr>
      <w:tr w:rsidR="000F541A" w:rsidRPr="00653F89" w14:paraId="1CE0F1CD" w14:textId="77777777" w:rsidTr="000F541A">
        <w:tc>
          <w:tcPr>
            <w:cnfStyle w:val="001000000000" w:firstRow="0" w:lastRow="0" w:firstColumn="1" w:lastColumn="0" w:oddVBand="0" w:evenVBand="0" w:oddHBand="0" w:evenHBand="0" w:firstRowFirstColumn="0" w:firstRowLastColumn="0" w:lastRowFirstColumn="0" w:lastRowLastColumn="0"/>
            <w:tcW w:w="0" w:type="auto"/>
            <w:vMerge/>
          </w:tcPr>
          <w:p w14:paraId="6F10B2A1" w14:textId="77777777" w:rsidR="000F541A" w:rsidRPr="00AA22F2" w:rsidRDefault="000F541A" w:rsidP="000F541A">
            <w:pPr>
              <w:rPr>
                <w:szCs w:val="20"/>
              </w:rPr>
            </w:pPr>
          </w:p>
        </w:tc>
        <w:tc>
          <w:tcPr>
            <w:tcW w:w="0" w:type="auto"/>
          </w:tcPr>
          <w:p w14:paraId="6EA1AD51" w14:textId="51CB63B0" w:rsidR="000F541A" w:rsidRPr="00AA22F2" w:rsidRDefault="000F541A" w:rsidP="000F541A">
            <w:pPr>
              <w:cnfStyle w:val="000000000000" w:firstRow="0" w:lastRow="0" w:firstColumn="0" w:lastColumn="0" w:oddVBand="0" w:evenVBand="0" w:oddHBand="0" w:evenHBand="0" w:firstRowFirstColumn="0" w:firstRowLastColumn="0" w:lastRowFirstColumn="0" w:lastRowLastColumn="0"/>
              <w:rPr>
                <w:szCs w:val="20"/>
              </w:rPr>
            </w:pPr>
            <w:r w:rsidRPr="00AA22F2">
              <w:rPr>
                <w:szCs w:val="20"/>
              </w:rPr>
              <w:t>Moyenne</w:t>
            </w:r>
          </w:p>
        </w:tc>
        <w:tc>
          <w:tcPr>
            <w:tcW w:w="0" w:type="auto"/>
          </w:tcPr>
          <w:p w14:paraId="4B82ECBE" w14:textId="203CA659" w:rsidR="000F541A" w:rsidRPr="00AA22F2" w:rsidRDefault="000F541A" w:rsidP="000F541A">
            <w:pPr>
              <w:cnfStyle w:val="000000000000" w:firstRow="0" w:lastRow="0" w:firstColumn="0" w:lastColumn="0" w:oddVBand="0" w:evenVBand="0" w:oddHBand="0" w:evenHBand="0" w:firstRowFirstColumn="0" w:firstRowLastColumn="0" w:lastRowFirstColumn="0" w:lastRowLastColumn="0"/>
              <w:rPr>
                <w:b/>
                <w:bCs/>
                <w:szCs w:val="20"/>
              </w:rPr>
            </w:pPr>
            <w:r w:rsidRPr="00AA22F2">
              <w:rPr>
                <w:szCs w:val="20"/>
              </w:rPr>
              <w:t>Manutentionnaires, techniciens, agents de maintenance</w:t>
            </w:r>
          </w:p>
        </w:tc>
        <w:tc>
          <w:tcPr>
            <w:tcW w:w="0" w:type="auto"/>
          </w:tcPr>
          <w:p w14:paraId="78C119A6" w14:textId="42C13A10" w:rsidR="000F541A" w:rsidRPr="00AA22F2" w:rsidRDefault="000F541A" w:rsidP="000F541A">
            <w:pPr>
              <w:cnfStyle w:val="000000000000" w:firstRow="0" w:lastRow="0" w:firstColumn="0" w:lastColumn="0" w:oddVBand="0" w:evenVBand="0" w:oddHBand="0" w:evenHBand="0" w:firstRowFirstColumn="0" w:firstRowLastColumn="0" w:lastRowFirstColumn="0" w:lastRowLastColumn="0"/>
              <w:rPr>
                <w:szCs w:val="20"/>
              </w:rPr>
            </w:pPr>
            <w:r w:rsidRPr="00AA22F2">
              <w:rPr>
                <w:szCs w:val="20"/>
              </w:rPr>
              <w:t>Moyenne à forte</w:t>
            </w:r>
          </w:p>
        </w:tc>
        <w:tc>
          <w:tcPr>
            <w:tcW w:w="0" w:type="auto"/>
          </w:tcPr>
          <w:p w14:paraId="2301F356" w14:textId="7C148AD5" w:rsidR="000F541A" w:rsidRPr="00AA22F2" w:rsidRDefault="000F541A" w:rsidP="000F541A">
            <w:pPr>
              <w:cnfStyle w:val="000000000000" w:firstRow="0" w:lastRow="0" w:firstColumn="0" w:lastColumn="0" w:oddVBand="0" w:evenVBand="0" w:oddHBand="0" w:evenHBand="0" w:firstRowFirstColumn="0" w:firstRowLastColumn="0" w:lastRowFirstColumn="0" w:lastRowLastColumn="0"/>
              <w:rPr>
                <w:szCs w:val="20"/>
              </w:rPr>
            </w:pPr>
            <w:r w:rsidRPr="00AA22F2">
              <w:rPr>
                <w:szCs w:val="20"/>
              </w:rPr>
              <w:t>Modérée à majeure</w:t>
            </w:r>
          </w:p>
        </w:tc>
      </w:tr>
    </w:tbl>
    <w:p w14:paraId="77266AB0" w14:textId="77777777" w:rsidR="007D15A4" w:rsidRPr="004E20F7" w:rsidRDefault="007D15A4" w:rsidP="0001633E">
      <w:pPr>
        <w:pStyle w:val="AltTitle2"/>
        <w:numPr>
          <w:ilvl w:val="0"/>
          <w:numId w:val="106"/>
        </w:numPr>
      </w:pPr>
      <w:r w:rsidRPr="004E20F7">
        <w:lastRenderedPageBreak/>
        <w:t>Stress professionnel lié aux horaires décalés et à la charge de travail</w:t>
      </w:r>
    </w:p>
    <w:p w14:paraId="4BBB909E" w14:textId="77777777" w:rsidR="004E20F7" w:rsidRDefault="007D15A4" w:rsidP="007D15A4">
      <w:r w:rsidRPr="007D15A4">
        <w:t>L’exploitation aéroportuaire impose un fonctionnement continu, avec des horaires décalés, de nuit ou le week-end. Cette organisation, combinée à des pics d’activité (arrivées/départs simultanés), engendre une fatigue psychologique, une perturbation du rythme circadien et une altération du bien-être général.</w:t>
      </w:r>
    </w:p>
    <w:p w14:paraId="7906723C" w14:textId="77777777" w:rsidR="004E20F7" w:rsidRPr="00133EEC" w:rsidRDefault="007D15A4" w:rsidP="007D15A4">
      <w:r w:rsidRPr="007D15A4">
        <w:t xml:space="preserve">L’impact </w:t>
      </w:r>
      <w:r w:rsidRPr="00133EEC">
        <w:t xml:space="preserve">est </w:t>
      </w:r>
      <w:r w:rsidRPr="004637C7">
        <w:t>direct</w:t>
      </w:r>
      <w:r w:rsidRPr="00133EEC">
        <w:t xml:space="preserve">, </w:t>
      </w:r>
      <w:r w:rsidRPr="004637C7">
        <w:t>continu</w:t>
      </w:r>
      <w:r w:rsidRPr="00133EEC">
        <w:t xml:space="preserve">, et de </w:t>
      </w:r>
      <w:r w:rsidRPr="004637C7">
        <w:t>longue durée</w:t>
      </w:r>
      <w:r w:rsidRPr="00133EEC">
        <w:t xml:space="preserve">, lié au fonctionnement permanent de l’aéroport. Il est </w:t>
      </w:r>
      <w:r w:rsidRPr="004637C7">
        <w:t>localisé</w:t>
      </w:r>
      <w:r w:rsidRPr="00133EEC">
        <w:t xml:space="preserve"> à la zone d’exploitation et touche principalement les agents d’escale, techniciens, conducteurs et personnels de sûreté. </w:t>
      </w:r>
    </w:p>
    <w:p w14:paraId="0FB6BC29" w14:textId="77777777" w:rsidR="004E20F7" w:rsidRPr="00133EEC" w:rsidRDefault="007D15A4" w:rsidP="007D15A4">
      <w:r w:rsidRPr="00133EEC">
        <w:t>L’</w:t>
      </w:r>
      <w:r w:rsidRPr="004637C7">
        <w:t>intensité</w:t>
      </w:r>
      <w:r w:rsidRPr="00133EEC">
        <w:t xml:space="preserve"> est </w:t>
      </w:r>
      <w:r w:rsidRPr="004637C7">
        <w:t>moyenne</w:t>
      </w:r>
      <w:r w:rsidRPr="00133EEC">
        <w:t>, car les effets se traduisent surtout par un stress chronique, des troubles du sommeil et une irritabilité, sans atteinte physique immédiate.</w:t>
      </w:r>
    </w:p>
    <w:p w14:paraId="17D7CF8F" w14:textId="5AA89B73" w:rsidR="007D15A4" w:rsidRDefault="007D15A4" w:rsidP="007D15A4">
      <w:r w:rsidRPr="00133EEC">
        <w:t xml:space="preserve">La </w:t>
      </w:r>
      <w:r w:rsidRPr="004637C7">
        <w:t>sensibilité</w:t>
      </w:r>
      <w:r w:rsidRPr="00133EEC">
        <w:t xml:space="preserve"> des récepteurs est </w:t>
      </w:r>
      <w:r w:rsidR="00133EEC" w:rsidRPr="004637C7">
        <w:t>moyenne à forte</w:t>
      </w:r>
      <w:r w:rsidRPr="00133EEC">
        <w:t xml:space="preserve">, selon la tolérance individuelle au travail posté. L’impact global est </w:t>
      </w:r>
      <w:r w:rsidRPr="004637C7">
        <w:t>modéré</w:t>
      </w:r>
      <w:r w:rsidRPr="00133EEC">
        <w:t>, mais cumulatif dans le temps, pouvant influencer la performance et la santé mentale si la prévention psychosociale est insuffisante.</w:t>
      </w:r>
    </w:p>
    <w:tbl>
      <w:tblPr>
        <w:tblStyle w:val="TableauGrille1Clair-Accentuation111"/>
        <w:tblW w:w="0" w:type="auto"/>
        <w:tblLook w:val="04A0" w:firstRow="1" w:lastRow="0" w:firstColumn="1" w:lastColumn="0" w:noHBand="0" w:noVBand="1"/>
      </w:tblPr>
      <w:tblGrid>
        <w:gridCol w:w="792"/>
        <w:gridCol w:w="2506"/>
        <w:gridCol w:w="1937"/>
        <w:gridCol w:w="2413"/>
        <w:gridCol w:w="1412"/>
      </w:tblGrid>
      <w:tr w:rsidR="002F7AC8" w:rsidRPr="002F7AC8" w14:paraId="6E523A41" w14:textId="77777777" w:rsidTr="002F7AC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4625CD97" w14:textId="77777777" w:rsidR="002F7AC8" w:rsidRPr="00AA22F2" w:rsidRDefault="002F7AC8" w:rsidP="002F7AC8">
            <w:pPr>
              <w:rPr>
                <w:szCs w:val="20"/>
              </w:rPr>
            </w:pPr>
            <w:r w:rsidRPr="00AA22F2">
              <w:rPr>
                <w:szCs w:val="20"/>
              </w:rPr>
              <w:t>Impact</w:t>
            </w:r>
          </w:p>
        </w:tc>
        <w:tc>
          <w:tcPr>
            <w:tcW w:w="0" w:type="auto"/>
            <w:hideMark/>
          </w:tcPr>
          <w:p w14:paraId="334CF0B3" w14:textId="77777777" w:rsidR="002F7AC8" w:rsidRPr="00AA22F2" w:rsidRDefault="002F7AC8" w:rsidP="002F7AC8">
            <w:pPr>
              <w:cnfStyle w:val="100000000000" w:firstRow="1" w:lastRow="0" w:firstColumn="0" w:lastColumn="0" w:oddVBand="0" w:evenVBand="0" w:oddHBand="0" w:evenHBand="0" w:firstRowFirstColumn="0" w:firstRowLastColumn="0" w:lastRowFirstColumn="0" w:lastRowLastColumn="0"/>
              <w:rPr>
                <w:szCs w:val="20"/>
              </w:rPr>
            </w:pPr>
            <w:r w:rsidRPr="00AA22F2">
              <w:rPr>
                <w:szCs w:val="20"/>
              </w:rPr>
              <w:t>Activités génératrices</w:t>
            </w:r>
          </w:p>
        </w:tc>
        <w:tc>
          <w:tcPr>
            <w:tcW w:w="0" w:type="auto"/>
            <w:hideMark/>
          </w:tcPr>
          <w:p w14:paraId="29BACA83" w14:textId="77777777" w:rsidR="002F7AC8" w:rsidRPr="00AA22F2" w:rsidRDefault="002F7AC8" w:rsidP="002F7AC8">
            <w:pPr>
              <w:cnfStyle w:val="100000000000" w:firstRow="1" w:lastRow="0" w:firstColumn="0" w:lastColumn="0" w:oddVBand="0" w:evenVBand="0" w:oddHBand="0" w:evenHBand="0" w:firstRowFirstColumn="0" w:firstRowLastColumn="0" w:lastRowFirstColumn="0" w:lastRowLastColumn="0"/>
              <w:rPr>
                <w:szCs w:val="20"/>
              </w:rPr>
            </w:pPr>
            <w:r w:rsidRPr="00AA22F2">
              <w:rPr>
                <w:szCs w:val="20"/>
              </w:rPr>
              <w:t>Critère</w:t>
            </w:r>
          </w:p>
        </w:tc>
        <w:tc>
          <w:tcPr>
            <w:tcW w:w="0" w:type="auto"/>
            <w:hideMark/>
          </w:tcPr>
          <w:p w14:paraId="7DF7C200" w14:textId="77777777" w:rsidR="002F7AC8" w:rsidRPr="00AA22F2" w:rsidRDefault="002F7AC8" w:rsidP="002F7AC8">
            <w:pPr>
              <w:cnfStyle w:val="100000000000" w:firstRow="1" w:lastRow="0" w:firstColumn="0" w:lastColumn="0" w:oddVBand="0" w:evenVBand="0" w:oddHBand="0" w:evenHBand="0" w:firstRowFirstColumn="0" w:firstRowLastColumn="0" w:lastRowFirstColumn="0" w:lastRowLastColumn="0"/>
              <w:rPr>
                <w:szCs w:val="20"/>
              </w:rPr>
            </w:pPr>
            <w:r w:rsidRPr="00AA22F2">
              <w:rPr>
                <w:szCs w:val="20"/>
              </w:rPr>
              <w:t>Justification</w:t>
            </w:r>
          </w:p>
        </w:tc>
        <w:tc>
          <w:tcPr>
            <w:tcW w:w="0" w:type="auto"/>
            <w:hideMark/>
          </w:tcPr>
          <w:p w14:paraId="24DA85F8" w14:textId="77777777" w:rsidR="002F7AC8" w:rsidRPr="00AA22F2" w:rsidRDefault="002F7AC8" w:rsidP="002F7AC8">
            <w:pPr>
              <w:cnfStyle w:val="100000000000" w:firstRow="1" w:lastRow="0" w:firstColumn="0" w:lastColumn="0" w:oddVBand="0" w:evenVBand="0" w:oddHBand="0" w:evenHBand="0" w:firstRowFirstColumn="0" w:firstRowLastColumn="0" w:lastRowFirstColumn="0" w:lastRowLastColumn="0"/>
              <w:rPr>
                <w:szCs w:val="20"/>
              </w:rPr>
            </w:pPr>
            <w:r w:rsidRPr="00AA22F2">
              <w:rPr>
                <w:szCs w:val="20"/>
              </w:rPr>
              <w:t>Niveau</w:t>
            </w:r>
          </w:p>
        </w:tc>
      </w:tr>
      <w:tr w:rsidR="002F7AC8" w:rsidRPr="002F7AC8" w14:paraId="2C00AF11" w14:textId="77777777" w:rsidTr="005A7661">
        <w:tc>
          <w:tcPr>
            <w:cnfStyle w:val="001000000000" w:firstRow="0" w:lastRow="0" w:firstColumn="1" w:lastColumn="0" w:oddVBand="0" w:evenVBand="0" w:oddHBand="0" w:evenHBand="0" w:firstRowFirstColumn="0" w:firstRowLastColumn="0" w:lastRowFirstColumn="0" w:lastRowLastColumn="0"/>
            <w:tcW w:w="0" w:type="auto"/>
            <w:vMerge w:val="restart"/>
            <w:textDirection w:val="btLr"/>
            <w:vAlign w:val="center"/>
            <w:hideMark/>
          </w:tcPr>
          <w:p w14:paraId="6391D489" w14:textId="607001FA" w:rsidR="002F7AC8" w:rsidRPr="004637C7" w:rsidRDefault="002F7AC8" w:rsidP="004637C7">
            <w:pPr>
              <w:ind w:left="113" w:right="113"/>
              <w:jc w:val="center"/>
              <w:rPr>
                <w:b w:val="0"/>
                <w:bCs w:val="0"/>
                <w:szCs w:val="20"/>
              </w:rPr>
            </w:pPr>
            <w:r w:rsidRPr="00AA22F2">
              <w:rPr>
                <w:szCs w:val="20"/>
              </w:rPr>
              <w:t>Stress professionnel lié aux horaires décalés et à la charge de travail</w:t>
            </w:r>
          </w:p>
        </w:tc>
        <w:tc>
          <w:tcPr>
            <w:tcW w:w="0" w:type="auto"/>
            <w:vMerge w:val="restart"/>
            <w:hideMark/>
          </w:tcPr>
          <w:p w14:paraId="6C936E99" w14:textId="77777777" w:rsidR="002F7AC8" w:rsidRPr="00AA22F2" w:rsidRDefault="002F7AC8" w:rsidP="002F7AC8">
            <w:pPr>
              <w:cnfStyle w:val="000000000000" w:firstRow="0" w:lastRow="0" w:firstColumn="0" w:lastColumn="0" w:oddVBand="0" w:evenVBand="0" w:oddHBand="0" w:evenHBand="0" w:firstRowFirstColumn="0" w:firstRowLastColumn="0" w:lastRowFirstColumn="0" w:lastRowLastColumn="0"/>
              <w:rPr>
                <w:szCs w:val="20"/>
              </w:rPr>
            </w:pPr>
            <w:r w:rsidRPr="00AA22F2">
              <w:rPr>
                <w:szCs w:val="20"/>
              </w:rPr>
              <w:t>Exploitation en continu, travail posté, horaires décalés et pics de trafic aérien</w:t>
            </w:r>
          </w:p>
        </w:tc>
        <w:tc>
          <w:tcPr>
            <w:tcW w:w="0" w:type="auto"/>
            <w:hideMark/>
          </w:tcPr>
          <w:p w14:paraId="6F06D3D2" w14:textId="77777777" w:rsidR="002F7AC8" w:rsidRPr="00AA22F2" w:rsidRDefault="002F7AC8" w:rsidP="002F7AC8">
            <w:pPr>
              <w:cnfStyle w:val="000000000000" w:firstRow="0" w:lastRow="0" w:firstColumn="0" w:lastColumn="0" w:oddVBand="0" w:evenVBand="0" w:oddHBand="0" w:evenHBand="0" w:firstRowFirstColumn="0" w:firstRowLastColumn="0" w:lastRowFirstColumn="0" w:lastRowLastColumn="0"/>
              <w:rPr>
                <w:szCs w:val="20"/>
              </w:rPr>
            </w:pPr>
            <w:r w:rsidRPr="00AA22F2">
              <w:rPr>
                <w:b/>
                <w:bCs/>
                <w:szCs w:val="20"/>
              </w:rPr>
              <w:t>Nature</w:t>
            </w:r>
          </w:p>
        </w:tc>
        <w:tc>
          <w:tcPr>
            <w:tcW w:w="0" w:type="auto"/>
            <w:hideMark/>
          </w:tcPr>
          <w:p w14:paraId="73F92363" w14:textId="77777777" w:rsidR="002F7AC8" w:rsidRPr="00AA22F2" w:rsidRDefault="002F7AC8" w:rsidP="002F7AC8">
            <w:pPr>
              <w:cnfStyle w:val="000000000000" w:firstRow="0" w:lastRow="0" w:firstColumn="0" w:lastColumn="0" w:oddVBand="0" w:evenVBand="0" w:oddHBand="0" w:evenHBand="0" w:firstRowFirstColumn="0" w:firstRowLastColumn="0" w:lastRowFirstColumn="0" w:lastRowLastColumn="0"/>
              <w:rPr>
                <w:szCs w:val="20"/>
              </w:rPr>
            </w:pPr>
            <w:r w:rsidRPr="00AA22F2">
              <w:rPr>
                <w:szCs w:val="20"/>
              </w:rPr>
              <w:t>Impact direct sur la santé mentale et la qualité de vie du personnel</w:t>
            </w:r>
          </w:p>
        </w:tc>
        <w:tc>
          <w:tcPr>
            <w:tcW w:w="0" w:type="auto"/>
            <w:hideMark/>
          </w:tcPr>
          <w:p w14:paraId="37CF6FCC" w14:textId="77777777" w:rsidR="002F7AC8" w:rsidRPr="00AA22F2" w:rsidRDefault="002F7AC8" w:rsidP="002F7AC8">
            <w:pPr>
              <w:cnfStyle w:val="000000000000" w:firstRow="0" w:lastRow="0" w:firstColumn="0" w:lastColumn="0" w:oddVBand="0" w:evenVBand="0" w:oddHBand="0" w:evenHBand="0" w:firstRowFirstColumn="0" w:firstRowLastColumn="0" w:lastRowFirstColumn="0" w:lastRowLastColumn="0"/>
              <w:rPr>
                <w:szCs w:val="20"/>
              </w:rPr>
            </w:pPr>
            <w:r w:rsidRPr="00AA22F2">
              <w:rPr>
                <w:szCs w:val="20"/>
              </w:rPr>
              <w:t>Direct</w:t>
            </w:r>
          </w:p>
        </w:tc>
      </w:tr>
      <w:tr w:rsidR="002F7AC8" w:rsidRPr="002F7AC8" w14:paraId="7E1AFD61" w14:textId="77777777" w:rsidTr="005A7661">
        <w:tc>
          <w:tcPr>
            <w:cnfStyle w:val="001000000000" w:firstRow="0" w:lastRow="0" w:firstColumn="1" w:lastColumn="0" w:oddVBand="0" w:evenVBand="0" w:oddHBand="0" w:evenHBand="0" w:firstRowFirstColumn="0" w:firstRowLastColumn="0" w:lastRowFirstColumn="0" w:lastRowLastColumn="0"/>
            <w:tcW w:w="0" w:type="auto"/>
            <w:vMerge/>
            <w:hideMark/>
          </w:tcPr>
          <w:p w14:paraId="3148DD5E" w14:textId="77777777" w:rsidR="002F7AC8" w:rsidRPr="00F352A4" w:rsidRDefault="002F7AC8" w:rsidP="004637C7">
            <w:pPr>
              <w:pStyle w:val="Bullet2"/>
            </w:pPr>
          </w:p>
        </w:tc>
        <w:tc>
          <w:tcPr>
            <w:tcW w:w="0" w:type="auto"/>
            <w:vMerge/>
            <w:hideMark/>
          </w:tcPr>
          <w:p w14:paraId="53612FD8" w14:textId="77777777" w:rsidR="002F7AC8" w:rsidRPr="00AA22F2" w:rsidRDefault="002F7AC8" w:rsidP="002F7AC8">
            <w:pPr>
              <w:cnfStyle w:val="000000000000" w:firstRow="0" w:lastRow="0" w:firstColumn="0" w:lastColumn="0" w:oddVBand="0" w:evenVBand="0" w:oddHBand="0" w:evenHBand="0" w:firstRowFirstColumn="0" w:firstRowLastColumn="0" w:lastRowFirstColumn="0" w:lastRowLastColumn="0"/>
              <w:rPr>
                <w:szCs w:val="20"/>
              </w:rPr>
            </w:pPr>
          </w:p>
        </w:tc>
        <w:tc>
          <w:tcPr>
            <w:tcW w:w="0" w:type="auto"/>
            <w:hideMark/>
          </w:tcPr>
          <w:p w14:paraId="5275635C" w14:textId="77777777" w:rsidR="002F7AC8" w:rsidRPr="00AA22F2" w:rsidRDefault="002F7AC8" w:rsidP="002F7AC8">
            <w:pPr>
              <w:cnfStyle w:val="000000000000" w:firstRow="0" w:lastRow="0" w:firstColumn="0" w:lastColumn="0" w:oddVBand="0" w:evenVBand="0" w:oddHBand="0" w:evenHBand="0" w:firstRowFirstColumn="0" w:firstRowLastColumn="0" w:lastRowFirstColumn="0" w:lastRowLastColumn="0"/>
              <w:rPr>
                <w:szCs w:val="20"/>
              </w:rPr>
            </w:pPr>
            <w:r w:rsidRPr="00AA22F2">
              <w:rPr>
                <w:b/>
                <w:bCs/>
                <w:szCs w:val="20"/>
              </w:rPr>
              <w:t>Étendue</w:t>
            </w:r>
          </w:p>
        </w:tc>
        <w:tc>
          <w:tcPr>
            <w:tcW w:w="0" w:type="auto"/>
            <w:hideMark/>
          </w:tcPr>
          <w:p w14:paraId="7C719DDB" w14:textId="77777777" w:rsidR="002F7AC8" w:rsidRPr="00AA22F2" w:rsidRDefault="002F7AC8" w:rsidP="002F7AC8">
            <w:pPr>
              <w:cnfStyle w:val="000000000000" w:firstRow="0" w:lastRow="0" w:firstColumn="0" w:lastColumn="0" w:oddVBand="0" w:evenVBand="0" w:oddHBand="0" w:evenHBand="0" w:firstRowFirstColumn="0" w:firstRowLastColumn="0" w:lastRowFirstColumn="0" w:lastRowLastColumn="0"/>
              <w:rPr>
                <w:szCs w:val="20"/>
              </w:rPr>
            </w:pPr>
            <w:r w:rsidRPr="00AA22F2">
              <w:rPr>
                <w:szCs w:val="20"/>
              </w:rPr>
              <w:t>Limitée à la zone d’exploitation et aux locaux de service</w:t>
            </w:r>
          </w:p>
        </w:tc>
        <w:tc>
          <w:tcPr>
            <w:tcW w:w="0" w:type="auto"/>
            <w:hideMark/>
          </w:tcPr>
          <w:p w14:paraId="2DC1C7CE" w14:textId="77777777" w:rsidR="002F7AC8" w:rsidRPr="00AA22F2" w:rsidRDefault="002F7AC8" w:rsidP="002F7AC8">
            <w:pPr>
              <w:cnfStyle w:val="000000000000" w:firstRow="0" w:lastRow="0" w:firstColumn="0" w:lastColumn="0" w:oddVBand="0" w:evenVBand="0" w:oddHBand="0" w:evenHBand="0" w:firstRowFirstColumn="0" w:firstRowLastColumn="0" w:lastRowFirstColumn="0" w:lastRowLastColumn="0"/>
              <w:rPr>
                <w:szCs w:val="20"/>
              </w:rPr>
            </w:pPr>
            <w:r w:rsidRPr="00AA22F2">
              <w:rPr>
                <w:szCs w:val="20"/>
              </w:rPr>
              <w:t>Locale</w:t>
            </w:r>
          </w:p>
        </w:tc>
      </w:tr>
      <w:tr w:rsidR="002F7AC8" w:rsidRPr="002F7AC8" w14:paraId="6218A5D9" w14:textId="77777777" w:rsidTr="005A7661">
        <w:tc>
          <w:tcPr>
            <w:cnfStyle w:val="001000000000" w:firstRow="0" w:lastRow="0" w:firstColumn="1" w:lastColumn="0" w:oddVBand="0" w:evenVBand="0" w:oddHBand="0" w:evenHBand="0" w:firstRowFirstColumn="0" w:firstRowLastColumn="0" w:lastRowFirstColumn="0" w:lastRowLastColumn="0"/>
            <w:tcW w:w="0" w:type="auto"/>
            <w:vMerge/>
            <w:hideMark/>
          </w:tcPr>
          <w:p w14:paraId="6C776061" w14:textId="77777777" w:rsidR="002F7AC8" w:rsidRPr="00F352A4" w:rsidRDefault="002F7AC8" w:rsidP="004637C7">
            <w:pPr>
              <w:pStyle w:val="Bullet2"/>
            </w:pPr>
          </w:p>
        </w:tc>
        <w:tc>
          <w:tcPr>
            <w:tcW w:w="0" w:type="auto"/>
            <w:vMerge/>
            <w:hideMark/>
          </w:tcPr>
          <w:p w14:paraId="3AB96A0A" w14:textId="77777777" w:rsidR="002F7AC8" w:rsidRPr="00AA22F2" w:rsidRDefault="002F7AC8" w:rsidP="002F7AC8">
            <w:pPr>
              <w:cnfStyle w:val="000000000000" w:firstRow="0" w:lastRow="0" w:firstColumn="0" w:lastColumn="0" w:oddVBand="0" w:evenVBand="0" w:oddHBand="0" w:evenHBand="0" w:firstRowFirstColumn="0" w:firstRowLastColumn="0" w:lastRowFirstColumn="0" w:lastRowLastColumn="0"/>
              <w:rPr>
                <w:szCs w:val="20"/>
              </w:rPr>
            </w:pPr>
          </w:p>
        </w:tc>
        <w:tc>
          <w:tcPr>
            <w:tcW w:w="0" w:type="auto"/>
            <w:hideMark/>
          </w:tcPr>
          <w:p w14:paraId="7625E4C3" w14:textId="77777777" w:rsidR="002F7AC8" w:rsidRPr="00AA22F2" w:rsidRDefault="002F7AC8" w:rsidP="002F7AC8">
            <w:pPr>
              <w:cnfStyle w:val="000000000000" w:firstRow="0" w:lastRow="0" w:firstColumn="0" w:lastColumn="0" w:oddVBand="0" w:evenVBand="0" w:oddHBand="0" w:evenHBand="0" w:firstRowFirstColumn="0" w:firstRowLastColumn="0" w:lastRowFirstColumn="0" w:lastRowLastColumn="0"/>
              <w:rPr>
                <w:szCs w:val="20"/>
              </w:rPr>
            </w:pPr>
            <w:r w:rsidRPr="00AA22F2">
              <w:rPr>
                <w:b/>
                <w:bCs/>
                <w:szCs w:val="20"/>
              </w:rPr>
              <w:t>Durée</w:t>
            </w:r>
          </w:p>
        </w:tc>
        <w:tc>
          <w:tcPr>
            <w:tcW w:w="0" w:type="auto"/>
            <w:hideMark/>
          </w:tcPr>
          <w:p w14:paraId="26C5F298" w14:textId="77777777" w:rsidR="002F7AC8" w:rsidRPr="00AA22F2" w:rsidRDefault="002F7AC8" w:rsidP="002F7AC8">
            <w:pPr>
              <w:cnfStyle w:val="000000000000" w:firstRow="0" w:lastRow="0" w:firstColumn="0" w:lastColumn="0" w:oddVBand="0" w:evenVBand="0" w:oddHBand="0" w:evenHBand="0" w:firstRowFirstColumn="0" w:firstRowLastColumn="0" w:lastRowFirstColumn="0" w:lastRowLastColumn="0"/>
              <w:rPr>
                <w:szCs w:val="20"/>
              </w:rPr>
            </w:pPr>
            <w:r w:rsidRPr="00AA22F2">
              <w:rPr>
                <w:szCs w:val="20"/>
              </w:rPr>
              <w:t>Continue tout au long de la phase d’exploitation</w:t>
            </w:r>
          </w:p>
        </w:tc>
        <w:tc>
          <w:tcPr>
            <w:tcW w:w="0" w:type="auto"/>
            <w:hideMark/>
          </w:tcPr>
          <w:p w14:paraId="12F87E79" w14:textId="77777777" w:rsidR="002F7AC8" w:rsidRPr="00AA22F2" w:rsidRDefault="002F7AC8" w:rsidP="002F7AC8">
            <w:pPr>
              <w:cnfStyle w:val="000000000000" w:firstRow="0" w:lastRow="0" w:firstColumn="0" w:lastColumn="0" w:oddVBand="0" w:evenVBand="0" w:oddHBand="0" w:evenHBand="0" w:firstRowFirstColumn="0" w:firstRowLastColumn="0" w:lastRowFirstColumn="0" w:lastRowLastColumn="0"/>
              <w:rPr>
                <w:szCs w:val="20"/>
              </w:rPr>
            </w:pPr>
            <w:r w:rsidRPr="00AA22F2">
              <w:rPr>
                <w:szCs w:val="20"/>
              </w:rPr>
              <w:t>Long terme</w:t>
            </w:r>
          </w:p>
        </w:tc>
      </w:tr>
      <w:tr w:rsidR="002F7AC8" w:rsidRPr="002F7AC8" w14:paraId="4773BB8E" w14:textId="77777777" w:rsidTr="005A7661">
        <w:tc>
          <w:tcPr>
            <w:cnfStyle w:val="001000000000" w:firstRow="0" w:lastRow="0" w:firstColumn="1" w:lastColumn="0" w:oddVBand="0" w:evenVBand="0" w:oddHBand="0" w:evenHBand="0" w:firstRowFirstColumn="0" w:firstRowLastColumn="0" w:lastRowFirstColumn="0" w:lastRowLastColumn="0"/>
            <w:tcW w:w="0" w:type="auto"/>
            <w:vMerge/>
            <w:hideMark/>
          </w:tcPr>
          <w:p w14:paraId="669F5105" w14:textId="77777777" w:rsidR="002F7AC8" w:rsidRPr="00F352A4" w:rsidRDefault="002F7AC8" w:rsidP="004637C7">
            <w:pPr>
              <w:pStyle w:val="Bullet2"/>
            </w:pPr>
          </w:p>
        </w:tc>
        <w:tc>
          <w:tcPr>
            <w:tcW w:w="0" w:type="auto"/>
            <w:vMerge/>
            <w:hideMark/>
          </w:tcPr>
          <w:p w14:paraId="08F408D5" w14:textId="77777777" w:rsidR="002F7AC8" w:rsidRPr="00AA22F2" w:rsidRDefault="002F7AC8" w:rsidP="002F7AC8">
            <w:pPr>
              <w:cnfStyle w:val="000000000000" w:firstRow="0" w:lastRow="0" w:firstColumn="0" w:lastColumn="0" w:oddVBand="0" w:evenVBand="0" w:oddHBand="0" w:evenHBand="0" w:firstRowFirstColumn="0" w:firstRowLastColumn="0" w:lastRowFirstColumn="0" w:lastRowLastColumn="0"/>
              <w:rPr>
                <w:szCs w:val="20"/>
              </w:rPr>
            </w:pPr>
          </w:p>
        </w:tc>
        <w:tc>
          <w:tcPr>
            <w:tcW w:w="0" w:type="auto"/>
            <w:hideMark/>
          </w:tcPr>
          <w:p w14:paraId="150388F5" w14:textId="77777777" w:rsidR="002F7AC8" w:rsidRPr="00AA22F2" w:rsidRDefault="002F7AC8" w:rsidP="002F7AC8">
            <w:pPr>
              <w:cnfStyle w:val="000000000000" w:firstRow="0" w:lastRow="0" w:firstColumn="0" w:lastColumn="0" w:oddVBand="0" w:evenVBand="0" w:oddHBand="0" w:evenHBand="0" w:firstRowFirstColumn="0" w:firstRowLastColumn="0" w:lastRowFirstColumn="0" w:lastRowLastColumn="0"/>
              <w:rPr>
                <w:szCs w:val="20"/>
              </w:rPr>
            </w:pPr>
            <w:r w:rsidRPr="00AA22F2">
              <w:rPr>
                <w:b/>
                <w:bCs/>
                <w:szCs w:val="20"/>
              </w:rPr>
              <w:t>Fréquence</w:t>
            </w:r>
          </w:p>
        </w:tc>
        <w:tc>
          <w:tcPr>
            <w:tcW w:w="0" w:type="auto"/>
            <w:hideMark/>
          </w:tcPr>
          <w:p w14:paraId="43A9CD9C" w14:textId="77777777" w:rsidR="002F7AC8" w:rsidRPr="00AA22F2" w:rsidRDefault="002F7AC8" w:rsidP="002F7AC8">
            <w:pPr>
              <w:cnfStyle w:val="000000000000" w:firstRow="0" w:lastRow="0" w:firstColumn="0" w:lastColumn="0" w:oddVBand="0" w:evenVBand="0" w:oddHBand="0" w:evenHBand="0" w:firstRowFirstColumn="0" w:firstRowLastColumn="0" w:lastRowFirstColumn="0" w:lastRowLastColumn="0"/>
              <w:rPr>
                <w:szCs w:val="20"/>
              </w:rPr>
            </w:pPr>
            <w:r w:rsidRPr="00AA22F2">
              <w:rPr>
                <w:szCs w:val="20"/>
              </w:rPr>
              <w:t>Récurrente, variable selon les périodes de trafic</w:t>
            </w:r>
          </w:p>
        </w:tc>
        <w:tc>
          <w:tcPr>
            <w:tcW w:w="0" w:type="auto"/>
            <w:hideMark/>
          </w:tcPr>
          <w:p w14:paraId="6441B2C2" w14:textId="77777777" w:rsidR="002F7AC8" w:rsidRPr="00AA22F2" w:rsidRDefault="002F7AC8" w:rsidP="002F7AC8">
            <w:pPr>
              <w:cnfStyle w:val="000000000000" w:firstRow="0" w:lastRow="0" w:firstColumn="0" w:lastColumn="0" w:oddVBand="0" w:evenVBand="0" w:oddHBand="0" w:evenHBand="0" w:firstRowFirstColumn="0" w:firstRowLastColumn="0" w:lastRowFirstColumn="0" w:lastRowLastColumn="0"/>
              <w:rPr>
                <w:szCs w:val="20"/>
              </w:rPr>
            </w:pPr>
            <w:r w:rsidRPr="00AA22F2">
              <w:rPr>
                <w:szCs w:val="20"/>
              </w:rPr>
              <w:t>Continue</w:t>
            </w:r>
          </w:p>
        </w:tc>
      </w:tr>
      <w:tr w:rsidR="002F7AC8" w:rsidRPr="002F7AC8" w14:paraId="279C92EC" w14:textId="77777777" w:rsidTr="004637C7">
        <w:tc>
          <w:tcPr>
            <w:cnfStyle w:val="001000000000" w:firstRow="0" w:lastRow="0" w:firstColumn="1" w:lastColumn="0" w:oddVBand="0" w:evenVBand="0" w:oddHBand="0" w:evenHBand="0" w:firstRowFirstColumn="0" w:firstRowLastColumn="0" w:lastRowFirstColumn="0" w:lastRowLastColumn="0"/>
            <w:tcW w:w="0" w:type="auto"/>
            <w:vMerge/>
            <w:hideMark/>
          </w:tcPr>
          <w:p w14:paraId="3DEF12D3" w14:textId="77777777" w:rsidR="002F7AC8" w:rsidRPr="00F352A4" w:rsidRDefault="002F7AC8" w:rsidP="004637C7">
            <w:pPr>
              <w:pStyle w:val="Bullet2"/>
            </w:pPr>
          </w:p>
        </w:tc>
        <w:tc>
          <w:tcPr>
            <w:tcW w:w="0" w:type="auto"/>
            <w:vMerge/>
            <w:hideMark/>
          </w:tcPr>
          <w:p w14:paraId="17B1F322" w14:textId="77777777" w:rsidR="002F7AC8" w:rsidRPr="00AA22F2" w:rsidRDefault="002F7AC8" w:rsidP="002F7AC8">
            <w:pPr>
              <w:cnfStyle w:val="000000000000" w:firstRow="0" w:lastRow="0" w:firstColumn="0" w:lastColumn="0" w:oddVBand="0" w:evenVBand="0" w:oddHBand="0" w:evenHBand="0" w:firstRowFirstColumn="0" w:firstRowLastColumn="0" w:lastRowFirstColumn="0" w:lastRowLastColumn="0"/>
              <w:rPr>
                <w:szCs w:val="20"/>
              </w:rPr>
            </w:pPr>
          </w:p>
        </w:tc>
        <w:tc>
          <w:tcPr>
            <w:tcW w:w="0" w:type="auto"/>
            <w:shd w:val="clear" w:color="auto" w:fill="D9E2F3" w:themeFill="accent1" w:themeFillTint="33"/>
            <w:hideMark/>
          </w:tcPr>
          <w:p w14:paraId="20C927F6" w14:textId="77777777" w:rsidR="002F7AC8" w:rsidRPr="00AA22F2" w:rsidRDefault="002F7AC8" w:rsidP="002F7AC8">
            <w:pPr>
              <w:cnfStyle w:val="000000000000" w:firstRow="0" w:lastRow="0" w:firstColumn="0" w:lastColumn="0" w:oddVBand="0" w:evenVBand="0" w:oddHBand="0" w:evenHBand="0" w:firstRowFirstColumn="0" w:firstRowLastColumn="0" w:lastRowFirstColumn="0" w:lastRowLastColumn="0"/>
              <w:rPr>
                <w:szCs w:val="20"/>
              </w:rPr>
            </w:pPr>
            <w:r w:rsidRPr="00AA22F2">
              <w:rPr>
                <w:b/>
                <w:bCs/>
                <w:szCs w:val="20"/>
              </w:rPr>
              <w:t>Intensité</w:t>
            </w:r>
          </w:p>
        </w:tc>
        <w:tc>
          <w:tcPr>
            <w:tcW w:w="0" w:type="auto"/>
            <w:shd w:val="clear" w:color="auto" w:fill="D9E2F3" w:themeFill="accent1" w:themeFillTint="33"/>
            <w:hideMark/>
          </w:tcPr>
          <w:p w14:paraId="600EBC37" w14:textId="77777777" w:rsidR="002F7AC8" w:rsidRPr="00AA22F2" w:rsidRDefault="002F7AC8" w:rsidP="002F7AC8">
            <w:pPr>
              <w:cnfStyle w:val="000000000000" w:firstRow="0" w:lastRow="0" w:firstColumn="0" w:lastColumn="0" w:oddVBand="0" w:evenVBand="0" w:oddHBand="0" w:evenHBand="0" w:firstRowFirstColumn="0" w:firstRowLastColumn="0" w:lastRowFirstColumn="0" w:lastRowLastColumn="0"/>
              <w:rPr>
                <w:szCs w:val="20"/>
              </w:rPr>
            </w:pPr>
            <w:r w:rsidRPr="00AA22F2">
              <w:rPr>
                <w:szCs w:val="20"/>
              </w:rPr>
              <w:t>Troubles du sommeil, irritabilité, stress chronique</w:t>
            </w:r>
          </w:p>
        </w:tc>
        <w:tc>
          <w:tcPr>
            <w:tcW w:w="0" w:type="auto"/>
            <w:shd w:val="clear" w:color="auto" w:fill="D9E2F3" w:themeFill="accent1" w:themeFillTint="33"/>
            <w:hideMark/>
          </w:tcPr>
          <w:p w14:paraId="30577E7F" w14:textId="77777777" w:rsidR="002F7AC8" w:rsidRPr="00AA22F2" w:rsidRDefault="002F7AC8" w:rsidP="002F7AC8">
            <w:pPr>
              <w:cnfStyle w:val="000000000000" w:firstRow="0" w:lastRow="0" w:firstColumn="0" w:lastColumn="0" w:oddVBand="0" w:evenVBand="0" w:oddHBand="0" w:evenHBand="0" w:firstRowFirstColumn="0" w:firstRowLastColumn="0" w:lastRowFirstColumn="0" w:lastRowLastColumn="0"/>
              <w:rPr>
                <w:szCs w:val="20"/>
              </w:rPr>
            </w:pPr>
            <w:r w:rsidRPr="00AA22F2">
              <w:rPr>
                <w:szCs w:val="20"/>
              </w:rPr>
              <w:t>Moyenne</w:t>
            </w:r>
          </w:p>
        </w:tc>
      </w:tr>
      <w:tr w:rsidR="002F7AC8" w:rsidRPr="002F7AC8" w14:paraId="639FB10C" w14:textId="77777777" w:rsidTr="005A7661">
        <w:tc>
          <w:tcPr>
            <w:cnfStyle w:val="001000000000" w:firstRow="0" w:lastRow="0" w:firstColumn="1" w:lastColumn="0" w:oddVBand="0" w:evenVBand="0" w:oddHBand="0" w:evenHBand="0" w:firstRowFirstColumn="0" w:firstRowLastColumn="0" w:lastRowFirstColumn="0" w:lastRowLastColumn="0"/>
            <w:tcW w:w="0" w:type="auto"/>
            <w:vMerge/>
          </w:tcPr>
          <w:p w14:paraId="0BF447A7" w14:textId="77777777" w:rsidR="002F7AC8" w:rsidRPr="00F352A4" w:rsidRDefault="002F7AC8" w:rsidP="004637C7">
            <w:pPr>
              <w:pStyle w:val="Bullet2"/>
              <w:spacing w:before="0" w:after="0"/>
            </w:pPr>
          </w:p>
        </w:tc>
        <w:tc>
          <w:tcPr>
            <w:tcW w:w="0" w:type="auto"/>
            <w:gridSpan w:val="4"/>
          </w:tcPr>
          <w:p w14:paraId="19761F69" w14:textId="77777777" w:rsidR="002F7AC8" w:rsidRPr="00AA22F2" w:rsidRDefault="002F7AC8" w:rsidP="004637C7">
            <w:pPr>
              <w:spacing w:before="0" w:after="0"/>
              <w:cnfStyle w:val="000000000000" w:firstRow="0" w:lastRow="0" w:firstColumn="0" w:lastColumn="0" w:oddVBand="0" w:evenVBand="0" w:oddHBand="0" w:evenHBand="0" w:firstRowFirstColumn="0" w:firstRowLastColumn="0" w:lastRowFirstColumn="0" w:lastRowLastColumn="0"/>
              <w:rPr>
                <w:szCs w:val="20"/>
              </w:rPr>
            </w:pPr>
          </w:p>
        </w:tc>
      </w:tr>
      <w:tr w:rsidR="002F7AC8" w:rsidRPr="002F7AC8" w14:paraId="44491147" w14:textId="77777777" w:rsidTr="004637C7">
        <w:tc>
          <w:tcPr>
            <w:cnfStyle w:val="001000000000" w:firstRow="0" w:lastRow="0" w:firstColumn="1" w:lastColumn="0" w:oddVBand="0" w:evenVBand="0" w:oddHBand="0" w:evenHBand="0" w:firstRowFirstColumn="0" w:firstRowLastColumn="0" w:lastRowFirstColumn="0" w:lastRowLastColumn="0"/>
            <w:tcW w:w="0" w:type="auto"/>
            <w:vMerge/>
          </w:tcPr>
          <w:p w14:paraId="0057F227" w14:textId="77777777" w:rsidR="002F7AC8" w:rsidRPr="00F352A4" w:rsidRDefault="002F7AC8" w:rsidP="004637C7">
            <w:pPr>
              <w:pStyle w:val="Bullet2"/>
            </w:pPr>
          </w:p>
        </w:tc>
        <w:tc>
          <w:tcPr>
            <w:tcW w:w="0" w:type="auto"/>
            <w:shd w:val="clear" w:color="auto" w:fill="8EAADB" w:themeFill="accent1" w:themeFillTint="99"/>
            <w:vAlign w:val="center"/>
          </w:tcPr>
          <w:p w14:paraId="48F17F02" w14:textId="1F139C7C" w:rsidR="002F7AC8" w:rsidRPr="00AA22F2" w:rsidRDefault="002F7AC8" w:rsidP="002F7AC8">
            <w:pPr>
              <w:cnfStyle w:val="000000000000" w:firstRow="0" w:lastRow="0" w:firstColumn="0" w:lastColumn="0" w:oddVBand="0" w:evenVBand="0" w:oddHBand="0" w:evenHBand="0" w:firstRowFirstColumn="0" w:firstRowLastColumn="0" w:lastRowFirstColumn="0" w:lastRowLastColumn="0"/>
              <w:rPr>
                <w:szCs w:val="20"/>
              </w:rPr>
            </w:pPr>
            <w:r w:rsidRPr="00AA22F2">
              <w:rPr>
                <w:b/>
                <w:bCs/>
                <w:szCs w:val="20"/>
              </w:rPr>
              <w:t>Intensité de l’impact</w:t>
            </w:r>
          </w:p>
        </w:tc>
        <w:tc>
          <w:tcPr>
            <w:tcW w:w="0" w:type="auto"/>
            <w:shd w:val="clear" w:color="auto" w:fill="8EAADB" w:themeFill="accent1" w:themeFillTint="99"/>
            <w:vAlign w:val="center"/>
          </w:tcPr>
          <w:p w14:paraId="73A25C72" w14:textId="4E66F7E5" w:rsidR="002F7AC8" w:rsidRPr="00AA22F2" w:rsidRDefault="002F7AC8" w:rsidP="002F7AC8">
            <w:pPr>
              <w:cnfStyle w:val="000000000000" w:firstRow="0" w:lastRow="0" w:firstColumn="0" w:lastColumn="0" w:oddVBand="0" w:evenVBand="0" w:oddHBand="0" w:evenHBand="0" w:firstRowFirstColumn="0" w:firstRowLastColumn="0" w:lastRowFirstColumn="0" w:lastRowLastColumn="0"/>
              <w:rPr>
                <w:b/>
                <w:bCs/>
                <w:szCs w:val="20"/>
              </w:rPr>
            </w:pPr>
            <w:r w:rsidRPr="00AA22F2">
              <w:rPr>
                <w:b/>
                <w:bCs/>
                <w:szCs w:val="20"/>
              </w:rPr>
              <w:t>Récepteurs</w:t>
            </w:r>
          </w:p>
        </w:tc>
        <w:tc>
          <w:tcPr>
            <w:tcW w:w="0" w:type="auto"/>
            <w:shd w:val="clear" w:color="auto" w:fill="8EAADB" w:themeFill="accent1" w:themeFillTint="99"/>
            <w:vAlign w:val="center"/>
          </w:tcPr>
          <w:p w14:paraId="36C17F25" w14:textId="5F40E488" w:rsidR="002F7AC8" w:rsidRPr="00AA22F2" w:rsidRDefault="002F7AC8" w:rsidP="002F7AC8">
            <w:pPr>
              <w:cnfStyle w:val="000000000000" w:firstRow="0" w:lastRow="0" w:firstColumn="0" w:lastColumn="0" w:oddVBand="0" w:evenVBand="0" w:oddHBand="0" w:evenHBand="0" w:firstRowFirstColumn="0" w:firstRowLastColumn="0" w:lastRowFirstColumn="0" w:lastRowLastColumn="0"/>
              <w:rPr>
                <w:szCs w:val="20"/>
              </w:rPr>
            </w:pPr>
            <w:r w:rsidRPr="00AA22F2">
              <w:rPr>
                <w:b/>
                <w:bCs/>
                <w:szCs w:val="20"/>
              </w:rPr>
              <w:t>Sensibilité</w:t>
            </w:r>
          </w:p>
        </w:tc>
        <w:tc>
          <w:tcPr>
            <w:tcW w:w="0" w:type="auto"/>
            <w:shd w:val="clear" w:color="auto" w:fill="8EAADB" w:themeFill="accent1" w:themeFillTint="99"/>
            <w:vAlign w:val="center"/>
          </w:tcPr>
          <w:p w14:paraId="3837807D" w14:textId="578C152A" w:rsidR="002F7AC8" w:rsidRPr="00AA22F2" w:rsidRDefault="002F7AC8" w:rsidP="002F7AC8">
            <w:pPr>
              <w:cnfStyle w:val="000000000000" w:firstRow="0" w:lastRow="0" w:firstColumn="0" w:lastColumn="0" w:oddVBand="0" w:evenVBand="0" w:oddHBand="0" w:evenHBand="0" w:firstRowFirstColumn="0" w:firstRowLastColumn="0" w:lastRowFirstColumn="0" w:lastRowLastColumn="0"/>
              <w:rPr>
                <w:szCs w:val="20"/>
              </w:rPr>
            </w:pPr>
            <w:r w:rsidRPr="00AA22F2">
              <w:rPr>
                <w:b/>
                <w:bCs/>
                <w:szCs w:val="20"/>
              </w:rPr>
              <w:t>Importance de l’impact</w:t>
            </w:r>
          </w:p>
        </w:tc>
      </w:tr>
      <w:tr w:rsidR="00227173" w:rsidRPr="002F7AC8" w14:paraId="472E534F" w14:textId="77777777" w:rsidTr="004637C7">
        <w:tc>
          <w:tcPr>
            <w:cnfStyle w:val="001000000000" w:firstRow="0" w:lastRow="0" w:firstColumn="1" w:lastColumn="0" w:oddVBand="0" w:evenVBand="0" w:oddHBand="0" w:evenHBand="0" w:firstRowFirstColumn="0" w:firstRowLastColumn="0" w:lastRowFirstColumn="0" w:lastRowLastColumn="0"/>
            <w:tcW w:w="0" w:type="auto"/>
            <w:vMerge/>
          </w:tcPr>
          <w:p w14:paraId="4228B0C7" w14:textId="77777777" w:rsidR="00227173" w:rsidRPr="00F352A4" w:rsidRDefault="00227173" w:rsidP="004637C7">
            <w:pPr>
              <w:pStyle w:val="Bullet2"/>
            </w:pPr>
          </w:p>
        </w:tc>
        <w:tc>
          <w:tcPr>
            <w:tcW w:w="0" w:type="auto"/>
            <w:vAlign w:val="center"/>
          </w:tcPr>
          <w:p w14:paraId="2E128FEC" w14:textId="628C9AC5" w:rsidR="00227173" w:rsidRPr="00AA22F2" w:rsidRDefault="00227173" w:rsidP="004637C7">
            <w:pPr>
              <w:jc w:val="left"/>
              <w:cnfStyle w:val="000000000000" w:firstRow="0" w:lastRow="0" w:firstColumn="0" w:lastColumn="0" w:oddVBand="0" w:evenVBand="0" w:oddHBand="0" w:evenHBand="0" w:firstRowFirstColumn="0" w:firstRowLastColumn="0" w:lastRowFirstColumn="0" w:lastRowLastColumn="0"/>
              <w:rPr>
                <w:szCs w:val="20"/>
              </w:rPr>
            </w:pPr>
            <w:r w:rsidRPr="00AA22F2">
              <w:rPr>
                <w:szCs w:val="20"/>
              </w:rPr>
              <w:t>Moyenne</w:t>
            </w:r>
          </w:p>
        </w:tc>
        <w:tc>
          <w:tcPr>
            <w:tcW w:w="0" w:type="auto"/>
          </w:tcPr>
          <w:p w14:paraId="19280B1B" w14:textId="257AD1BD" w:rsidR="00227173" w:rsidRPr="00AA22F2" w:rsidRDefault="00227173" w:rsidP="00227173">
            <w:pPr>
              <w:cnfStyle w:val="000000000000" w:firstRow="0" w:lastRow="0" w:firstColumn="0" w:lastColumn="0" w:oddVBand="0" w:evenVBand="0" w:oddHBand="0" w:evenHBand="0" w:firstRowFirstColumn="0" w:firstRowLastColumn="0" w:lastRowFirstColumn="0" w:lastRowLastColumn="0"/>
              <w:rPr>
                <w:b/>
                <w:bCs/>
                <w:szCs w:val="20"/>
              </w:rPr>
            </w:pPr>
            <w:r w:rsidRPr="00AA22F2">
              <w:rPr>
                <w:szCs w:val="20"/>
              </w:rPr>
              <w:t>Agents d’escale, techniciens, personnels de sûreté</w:t>
            </w:r>
          </w:p>
        </w:tc>
        <w:tc>
          <w:tcPr>
            <w:tcW w:w="0" w:type="auto"/>
            <w:vAlign w:val="center"/>
          </w:tcPr>
          <w:p w14:paraId="303ED164" w14:textId="5D919ED1" w:rsidR="00227173" w:rsidRPr="00AA22F2" w:rsidRDefault="00227173" w:rsidP="00227173">
            <w:pPr>
              <w:cnfStyle w:val="000000000000" w:firstRow="0" w:lastRow="0" w:firstColumn="0" w:lastColumn="0" w:oddVBand="0" w:evenVBand="0" w:oddHBand="0" w:evenHBand="0" w:firstRowFirstColumn="0" w:firstRowLastColumn="0" w:lastRowFirstColumn="0" w:lastRowLastColumn="0"/>
              <w:rPr>
                <w:szCs w:val="20"/>
              </w:rPr>
            </w:pPr>
            <w:r w:rsidRPr="004637C7">
              <w:rPr>
                <w:b/>
                <w:bCs/>
                <w:szCs w:val="20"/>
              </w:rPr>
              <w:t>Moyenne à forte</w:t>
            </w:r>
            <w:r w:rsidRPr="00AA22F2">
              <w:rPr>
                <w:szCs w:val="20"/>
              </w:rPr>
              <w:t> : fatigue psychologique liée au rythme de travail</w:t>
            </w:r>
          </w:p>
        </w:tc>
        <w:tc>
          <w:tcPr>
            <w:tcW w:w="0" w:type="auto"/>
            <w:vAlign w:val="center"/>
          </w:tcPr>
          <w:p w14:paraId="74F3C736" w14:textId="32C60932" w:rsidR="00227173" w:rsidRPr="004637C7" w:rsidRDefault="00227173" w:rsidP="004637C7">
            <w:pPr>
              <w:jc w:val="left"/>
              <w:cnfStyle w:val="000000000000" w:firstRow="0" w:lastRow="0" w:firstColumn="0" w:lastColumn="0" w:oddVBand="0" w:evenVBand="0" w:oddHBand="0" w:evenHBand="0" w:firstRowFirstColumn="0" w:firstRowLastColumn="0" w:lastRowFirstColumn="0" w:lastRowLastColumn="0"/>
              <w:rPr>
                <w:b/>
                <w:bCs/>
                <w:szCs w:val="20"/>
              </w:rPr>
            </w:pPr>
            <w:r w:rsidRPr="004637C7">
              <w:rPr>
                <w:b/>
                <w:bCs/>
                <w:szCs w:val="20"/>
              </w:rPr>
              <w:t>Modérée à majeure</w:t>
            </w:r>
          </w:p>
        </w:tc>
      </w:tr>
    </w:tbl>
    <w:p w14:paraId="72C6482C" w14:textId="35322A2E" w:rsidR="00653F89" w:rsidRDefault="00653F89" w:rsidP="0001633E">
      <w:pPr>
        <w:pStyle w:val="AltTitle2"/>
        <w:numPr>
          <w:ilvl w:val="0"/>
          <w:numId w:val="106"/>
        </w:numPr>
      </w:pPr>
      <w:r>
        <w:br w:type="page"/>
      </w:r>
    </w:p>
    <w:p w14:paraId="6DE1048E" w14:textId="77777777" w:rsidR="00653F89" w:rsidRPr="004637C7" w:rsidRDefault="00653F89" w:rsidP="0001633E">
      <w:pPr>
        <w:pStyle w:val="AltTitle2"/>
        <w:numPr>
          <w:ilvl w:val="0"/>
          <w:numId w:val="106"/>
        </w:numPr>
      </w:pPr>
      <w:r>
        <w:lastRenderedPageBreak/>
        <w:t>Hygiène et conditions sanitaires du personnel</w:t>
      </w:r>
    </w:p>
    <w:p w14:paraId="6C78A41C" w14:textId="77777777" w:rsidR="00653F89" w:rsidRDefault="00653F89" w:rsidP="004637C7">
      <w:r>
        <w:t>L’hygiène et les conditions sanitaires au sein des installations aéroportuaires jouent un rôle essentiel dans la préservation de la santé et du bien-être des travailleurs. Durant la phase d’exploitation, la propreté et la maintenance des sanitaires, des vestiaires, des zones de restauration et des locaux techniques sont déterminantes pour limiter les risques de maladies infectieuses, gastro-intestinales et dermatologiques. Une insuffisance de nettoyage, une ventilation inadéquate ou un manque d’entretien des points d’eau peuvent entraîner une accumulation de germes, une contamination des surfaces et une dégradation du confort au travail.</w:t>
      </w:r>
    </w:p>
    <w:p w14:paraId="6B3CAEFF" w14:textId="77777777" w:rsidR="00653F89" w:rsidRDefault="00653F89" w:rsidP="004637C7">
      <w:r>
        <w:t xml:space="preserve">L’impact est de nature </w:t>
      </w:r>
      <w:r w:rsidRPr="004637C7">
        <w:t>directe</w:t>
      </w:r>
      <w:r>
        <w:t xml:space="preserve">, puisqu’il résulte des conditions matérielles d’hygiène offertes par l’exploitant. Son </w:t>
      </w:r>
      <w:r w:rsidRPr="004637C7">
        <w:t>étendue spatiale</w:t>
      </w:r>
      <w:r>
        <w:t xml:space="preserve"> est locale, limitée aux zones de vie et de service de la plateforme (bureaux, vestiaires, toilettes, réfectoires). Sa </w:t>
      </w:r>
      <w:r w:rsidRPr="004637C7">
        <w:t>durée</w:t>
      </w:r>
      <w:r>
        <w:t xml:space="preserve"> est longue, couvrant toute la période d’exploitation de l’aéroport. La </w:t>
      </w:r>
      <w:r w:rsidRPr="004637C7">
        <w:t>fréquence</w:t>
      </w:r>
      <w:r>
        <w:t xml:space="preserve"> est continue, car ces conditions concernent le quotidien des travailleurs. L’</w:t>
      </w:r>
      <w:r w:rsidRPr="004637C7">
        <w:t>intensité</w:t>
      </w:r>
      <w:r>
        <w:t xml:space="preserve"> est jugée moyenne à forte : bien qu’il ne s’agisse pas d’un risque accidentel, la dégradation progressive des conditions sanitaires peut affecter la santé, la motivation et la productivité du personnel.</w:t>
      </w:r>
    </w:p>
    <w:p w14:paraId="60B37719" w14:textId="77777777" w:rsidR="00F352A4" w:rsidRDefault="00653F89" w:rsidP="00C044CC">
      <w:r>
        <w:t xml:space="preserve">Les </w:t>
      </w:r>
      <w:r w:rsidRPr="004637C7">
        <w:t>récepteurs sensibles</w:t>
      </w:r>
      <w:r>
        <w:t xml:space="preserve"> sont les agents d’entretien, de maintenance, de sûreté et d’assistance au sol, qui utilisent fréquemment les sanitaires et les aires de repos. Leur sensibilité est moyenne à forte, car ils dépendent directement de la qualité des installations mises à disposition. </w:t>
      </w:r>
    </w:p>
    <w:p w14:paraId="12124AF9" w14:textId="059C8553" w:rsidR="00653F89" w:rsidRDefault="00653F89" w:rsidP="00C044CC">
      <w:r>
        <w:t>L’</w:t>
      </w:r>
      <w:r w:rsidRPr="004637C7">
        <w:t>importance de l’impact</w:t>
      </w:r>
      <w:r>
        <w:t xml:space="preserve"> est donc évaluée comme </w:t>
      </w:r>
      <w:r w:rsidRPr="004637C7">
        <w:t>modérée à majeure</w:t>
      </w:r>
      <w:r>
        <w:t>, avec un potentiel cumulatif sur la santé publique interne et le climat social si la gestion sanitaire est déficiente.</w:t>
      </w:r>
    </w:p>
    <w:tbl>
      <w:tblPr>
        <w:tblStyle w:val="TableauGrille1Clair-Accentuation111"/>
        <w:tblW w:w="0" w:type="auto"/>
        <w:tblLook w:val="04A0" w:firstRow="1" w:lastRow="0" w:firstColumn="1" w:lastColumn="0" w:noHBand="0" w:noVBand="1"/>
      </w:tblPr>
      <w:tblGrid>
        <w:gridCol w:w="792"/>
        <w:gridCol w:w="2462"/>
        <w:gridCol w:w="1815"/>
        <w:gridCol w:w="2681"/>
        <w:gridCol w:w="1310"/>
      </w:tblGrid>
      <w:tr w:rsidR="00803B3E" w:rsidRPr="00803B3E" w14:paraId="064362A0" w14:textId="77777777" w:rsidTr="00803B3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0DC912FC" w14:textId="77777777" w:rsidR="00803B3E" w:rsidRPr="004637C7" w:rsidRDefault="00803B3E" w:rsidP="00803B3E">
            <w:pPr>
              <w:rPr>
                <w:rFonts w:asciiTheme="minorHAnsi" w:hAnsiTheme="minorHAnsi" w:cstheme="minorHAnsi"/>
                <w:szCs w:val="20"/>
              </w:rPr>
            </w:pPr>
            <w:r w:rsidRPr="004637C7">
              <w:rPr>
                <w:rFonts w:asciiTheme="minorHAnsi" w:hAnsiTheme="minorHAnsi" w:cstheme="minorHAnsi"/>
                <w:szCs w:val="20"/>
              </w:rPr>
              <w:t>Impact</w:t>
            </w:r>
          </w:p>
        </w:tc>
        <w:tc>
          <w:tcPr>
            <w:tcW w:w="0" w:type="auto"/>
            <w:hideMark/>
          </w:tcPr>
          <w:p w14:paraId="75EA0BF6" w14:textId="77777777" w:rsidR="00803B3E" w:rsidRPr="004637C7" w:rsidRDefault="00803B3E" w:rsidP="00803B3E">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4637C7">
              <w:rPr>
                <w:rFonts w:asciiTheme="minorHAnsi" w:hAnsiTheme="minorHAnsi" w:cstheme="minorHAnsi"/>
                <w:szCs w:val="20"/>
              </w:rPr>
              <w:t>Activités génératrices</w:t>
            </w:r>
          </w:p>
        </w:tc>
        <w:tc>
          <w:tcPr>
            <w:tcW w:w="0" w:type="auto"/>
            <w:hideMark/>
          </w:tcPr>
          <w:p w14:paraId="2ED9C1F9" w14:textId="77777777" w:rsidR="00803B3E" w:rsidRPr="004637C7" w:rsidRDefault="00803B3E" w:rsidP="00803B3E">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4637C7">
              <w:rPr>
                <w:rFonts w:asciiTheme="minorHAnsi" w:hAnsiTheme="minorHAnsi" w:cstheme="minorHAnsi"/>
                <w:szCs w:val="20"/>
              </w:rPr>
              <w:t>Critère</w:t>
            </w:r>
          </w:p>
        </w:tc>
        <w:tc>
          <w:tcPr>
            <w:tcW w:w="0" w:type="auto"/>
            <w:hideMark/>
          </w:tcPr>
          <w:p w14:paraId="72F32C9E" w14:textId="77777777" w:rsidR="00803B3E" w:rsidRPr="004637C7" w:rsidRDefault="00803B3E" w:rsidP="00803B3E">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4637C7">
              <w:rPr>
                <w:rFonts w:asciiTheme="minorHAnsi" w:hAnsiTheme="minorHAnsi" w:cstheme="minorHAnsi"/>
                <w:szCs w:val="20"/>
              </w:rPr>
              <w:t>Justification</w:t>
            </w:r>
          </w:p>
        </w:tc>
        <w:tc>
          <w:tcPr>
            <w:tcW w:w="0" w:type="auto"/>
            <w:hideMark/>
          </w:tcPr>
          <w:p w14:paraId="7603AE51" w14:textId="77777777" w:rsidR="00803B3E" w:rsidRPr="004637C7" w:rsidRDefault="00803B3E" w:rsidP="00803B3E">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4637C7">
              <w:rPr>
                <w:rFonts w:asciiTheme="minorHAnsi" w:hAnsiTheme="minorHAnsi" w:cstheme="minorHAnsi"/>
                <w:szCs w:val="20"/>
              </w:rPr>
              <w:t>Niveau</w:t>
            </w:r>
          </w:p>
        </w:tc>
      </w:tr>
      <w:tr w:rsidR="00803B3E" w:rsidRPr="00803B3E" w14:paraId="57FEEE69" w14:textId="77777777" w:rsidTr="005A7661">
        <w:tc>
          <w:tcPr>
            <w:cnfStyle w:val="001000000000" w:firstRow="0" w:lastRow="0" w:firstColumn="1" w:lastColumn="0" w:oddVBand="0" w:evenVBand="0" w:oddHBand="0" w:evenHBand="0" w:firstRowFirstColumn="0" w:firstRowLastColumn="0" w:lastRowFirstColumn="0" w:lastRowLastColumn="0"/>
            <w:tcW w:w="0" w:type="auto"/>
            <w:vMerge w:val="restart"/>
            <w:textDirection w:val="btLr"/>
            <w:hideMark/>
          </w:tcPr>
          <w:p w14:paraId="622B37B7" w14:textId="77777777" w:rsidR="00803B3E" w:rsidRPr="004637C7" w:rsidRDefault="00803B3E" w:rsidP="004637C7">
            <w:pPr>
              <w:ind w:left="113" w:right="113"/>
              <w:rPr>
                <w:rFonts w:asciiTheme="minorHAnsi" w:hAnsiTheme="minorHAnsi" w:cstheme="minorHAnsi"/>
                <w:szCs w:val="20"/>
              </w:rPr>
            </w:pPr>
            <w:r w:rsidRPr="004637C7">
              <w:rPr>
                <w:rFonts w:asciiTheme="minorHAnsi" w:hAnsiTheme="minorHAnsi" w:cstheme="minorHAnsi"/>
                <w:szCs w:val="20"/>
              </w:rPr>
              <w:t>Hygiène et conditions sanitaires du personnel</w:t>
            </w:r>
          </w:p>
        </w:tc>
        <w:tc>
          <w:tcPr>
            <w:tcW w:w="0" w:type="auto"/>
            <w:vMerge w:val="restart"/>
            <w:hideMark/>
          </w:tcPr>
          <w:p w14:paraId="2F054C09" w14:textId="77777777" w:rsidR="00803B3E" w:rsidRPr="004637C7" w:rsidRDefault="00803B3E" w:rsidP="00803B3E">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4637C7">
              <w:rPr>
                <w:rFonts w:asciiTheme="minorHAnsi" w:hAnsiTheme="minorHAnsi" w:cstheme="minorHAnsi"/>
                <w:szCs w:val="20"/>
              </w:rPr>
              <w:t>Exploitation continue de l’aéroport, utilisation quotidienne des locaux sanitaires, vestiaires, réfectoires et espaces de repos</w:t>
            </w:r>
          </w:p>
        </w:tc>
        <w:tc>
          <w:tcPr>
            <w:tcW w:w="0" w:type="auto"/>
            <w:hideMark/>
          </w:tcPr>
          <w:p w14:paraId="7942C5F7" w14:textId="77777777" w:rsidR="00803B3E" w:rsidRPr="004637C7" w:rsidRDefault="00803B3E" w:rsidP="00803B3E">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4637C7">
              <w:rPr>
                <w:rFonts w:asciiTheme="minorHAnsi" w:hAnsiTheme="minorHAnsi" w:cstheme="minorHAnsi"/>
                <w:b/>
                <w:bCs/>
                <w:szCs w:val="20"/>
              </w:rPr>
              <w:t>Nature</w:t>
            </w:r>
          </w:p>
        </w:tc>
        <w:tc>
          <w:tcPr>
            <w:tcW w:w="0" w:type="auto"/>
            <w:gridSpan w:val="2"/>
            <w:hideMark/>
          </w:tcPr>
          <w:p w14:paraId="62865F32" w14:textId="3090CB5C" w:rsidR="00803B3E" w:rsidRPr="004637C7" w:rsidRDefault="00803B3E" w:rsidP="00803B3E">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4637C7">
              <w:rPr>
                <w:rFonts w:asciiTheme="minorHAnsi" w:hAnsiTheme="minorHAnsi" w:cstheme="minorHAnsi"/>
                <w:szCs w:val="20"/>
              </w:rPr>
              <w:t>Direct</w:t>
            </w:r>
            <w:r>
              <w:rPr>
                <w:rFonts w:asciiTheme="minorHAnsi" w:hAnsiTheme="minorHAnsi" w:cstheme="minorHAnsi"/>
                <w:szCs w:val="20"/>
              </w:rPr>
              <w:t xml:space="preserve"> négatif</w:t>
            </w:r>
          </w:p>
        </w:tc>
      </w:tr>
      <w:tr w:rsidR="00803B3E" w:rsidRPr="00803B3E" w14:paraId="6F2AA358" w14:textId="77777777" w:rsidTr="00803B3E">
        <w:tc>
          <w:tcPr>
            <w:cnfStyle w:val="001000000000" w:firstRow="0" w:lastRow="0" w:firstColumn="1" w:lastColumn="0" w:oddVBand="0" w:evenVBand="0" w:oddHBand="0" w:evenHBand="0" w:firstRowFirstColumn="0" w:firstRowLastColumn="0" w:lastRowFirstColumn="0" w:lastRowLastColumn="0"/>
            <w:tcW w:w="0" w:type="auto"/>
            <w:vMerge/>
            <w:hideMark/>
          </w:tcPr>
          <w:p w14:paraId="6A0D058A" w14:textId="77777777" w:rsidR="00803B3E" w:rsidRPr="004637C7" w:rsidRDefault="00803B3E" w:rsidP="00803B3E">
            <w:pPr>
              <w:rPr>
                <w:rFonts w:asciiTheme="minorHAnsi" w:hAnsiTheme="minorHAnsi" w:cstheme="minorHAnsi"/>
                <w:szCs w:val="20"/>
              </w:rPr>
            </w:pPr>
          </w:p>
        </w:tc>
        <w:tc>
          <w:tcPr>
            <w:tcW w:w="0" w:type="auto"/>
            <w:vMerge/>
            <w:hideMark/>
          </w:tcPr>
          <w:p w14:paraId="109A5F58" w14:textId="77777777" w:rsidR="00803B3E" w:rsidRPr="004637C7" w:rsidRDefault="00803B3E" w:rsidP="00803B3E">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p>
        </w:tc>
        <w:tc>
          <w:tcPr>
            <w:tcW w:w="0" w:type="auto"/>
            <w:hideMark/>
          </w:tcPr>
          <w:p w14:paraId="0D486F24" w14:textId="77777777" w:rsidR="00803B3E" w:rsidRPr="004637C7" w:rsidRDefault="00803B3E" w:rsidP="00803B3E">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4637C7">
              <w:rPr>
                <w:rFonts w:asciiTheme="minorHAnsi" w:hAnsiTheme="minorHAnsi" w:cstheme="minorHAnsi"/>
                <w:b/>
                <w:bCs/>
                <w:szCs w:val="20"/>
              </w:rPr>
              <w:t>Étendue</w:t>
            </w:r>
          </w:p>
        </w:tc>
        <w:tc>
          <w:tcPr>
            <w:tcW w:w="0" w:type="auto"/>
            <w:hideMark/>
          </w:tcPr>
          <w:p w14:paraId="2EDC6616" w14:textId="77777777" w:rsidR="00803B3E" w:rsidRPr="004637C7" w:rsidRDefault="00803B3E" w:rsidP="00803B3E">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4637C7">
              <w:rPr>
                <w:rFonts w:asciiTheme="minorHAnsi" w:hAnsiTheme="minorHAnsi" w:cstheme="minorHAnsi"/>
                <w:szCs w:val="20"/>
              </w:rPr>
              <w:t>Limité aux zones de vie, vestiaires, sanitaires, réfectoires et ateliers de la plateforme aéroportuaire.</w:t>
            </w:r>
          </w:p>
        </w:tc>
        <w:tc>
          <w:tcPr>
            <w:tcW w:w="0" w:type="auto"/>
            <w:hideMark/>
          </w:tcPr>
          <w:p w14:paraId="584521B3" w14:textId="77777777" w:rsidR="00803B3E" w:rsidRPr="004637C7" w:rsidRDefault="00803B3E" w:rsidP="00803B3E">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4637C7">
              <w:rPr>
                <w:rFonts w:asciiTheme="minorHAnsi" w:hAnsiTheme="minorHAnsi" w:cstheme="minorHAnsi"/>
                <w:szCs w:val="20"/>
              </w:rPr>
              <w:t>Locale</w:t>
            </w:r>
          </w:p>
        </w:tc>
      </w:tr>
      <w:tr w:rsidR="00803B3E" w:rsidRPr="00803B3E" w14:paraId="0BEB88DC" w14:textId="77777777" w:rsidTr="00803B3E">
        <w:tc>
          <w:tcPr>
            <w:cnfStyle w:val="001000000000" w:firstRow="0" w:lastRow="0" w:firstColumn="1" w:lastColumn="0" w:oddVBand="0" w:evenVBand="0" w:oddHBand="0" w:evenHBand="0" w:firstRowFirstColumn="0" w:firstRowLastColumn="0" w:lastRowFirstColumn="0" w:lastRowLastColumn="0"/>
            <w:tcW w:w="0" w:type="auto"/>
            <w:vMerge/>
            <w:hideMark/>
          </w:tcPr>
          <w:p w14:paraId="51C96692" w14:textId="77777777" w:rsidR="00803B3E" w:rsidRPr="004637C7" w:rsidRDefault="00803B3E" w:rsidP="00803B3E">
            <w:pPr>
              <w:rPr>
                <w:rFonts w:asciiTheme="minorHAnsi" w:hAnsiTheme="minorHAnsi" w:cstheme="minorHAnsi"/>
                <w:szCs w:val="20"/>
              </w:rPr>
            </w:pPr>
          </w:p>
        </w:tc>
        <w:tc>
          <w:tcPr>
            <w:tcW w:w="0" w:type="auto"/>
            <w:vMerge/>
            <w:hideMark/>
          </w:tcPr>
          <w:p w14:paraId="3670D5C4" w14:textId="77777777" w:rsidR="00803B3E" w:rsidRPr="004637C7" w:rsidRDefault="00803B3E" w:rsidP="00803B3E">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p>
        </w:tc>
        <w:tc>
          <w:tcPr>
            <w:tcW w:w="0" w:type="auto"/>
            <w:hideMark/>
          </w:tcPr>
          <w:p w14:paraId="21C59B2B" w14:textId="77777777" w:rsidR="00803B3E" w:rsidRPr="004637C7" w:rsidRDefault="00803B3E" w:rsidP="00803B3E">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4637C7">
              <w:rPr>
                <w:rFonts w:asciiTheme="minorHAnsi" w:hAnsiTheme="minorHAnsi" w:cstheme="minorHAnsi"/>
                <w:b/>
                <w:bCs/>
                <w:szCs w:val="20"/>
              </w:rPr>
              <w:t>Durée</w:t>
            </w:r>
          </w:p>
        </w:tc>
        <w:tc>
          <w:tcPr>
            <w:tcW w:w="0" w:type="auto"/>
            <w:hideMark/>
          </w:tcPr>
          <w:p w14:paraId="34DE87BB" w14:textId="77777777" w:rsidR="00803B3E" w:rsidRPr="004637C7" w:rsidRDefault="00803B3E" w:rsidP="00803B3E">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4637C7">
              <w:rPr>
                <w:rFonts w:asciiTheme="minorHAnsi" w:hAnsiTheme="minorHAnsi" w:cstheme="minorHAnsi"/>
                <w:szCs w:val="20"/>
              </w:rPr>
              <w:t>Présent tout au long de la phase d’exploitation, avec effets cumulatifs si la maintenance est insuffisante.</w:t>
            </w:r>
          </w:p>
        </w:tc>
        <w:tc>
          <w:tcPr>
            <w:tcW w:w="0" w:type="auto"/>
            <w:hideMark/>
          </w:tcPr>
          <w:p w14:paraId="5809D2DF" w14:textId="77777777" w:rsidR="00803B3E" w:rsidRPr="004637C7" w:rsidRDefault="00803B3E" w:rsidP="00803B3E">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4637C7">
              <w:rPr>
                <w:rFonts w:asciiTheme="minorHAnsi" w:hAnsiTheme="minorHAnsi" w:cstheme="minorHAnsi"/>
                <w:szCs w:val="20"/>
              </w:rPr>
              <w:t>Long terme</w:t>
            </w:r>
          </w:p>
        </w:tc>
      </w:tr>
      <w:tr w:rsidR="00803B3E" w:rsidRPr="00803B3E" w14:paraId="32AB0F2E" w14:textId="77777777" w:rsidTr="00803B3E">
        <w:tc>
          <w:tcPr>
            <w:cnfStyle w:val="001000000000" w:firstRow="0" w:lastRow="0" w:firstColumn="1" w:lastColumn="0" w:oddVBand="0" w:evenVBand="0" w:oddHBand="0" w:evenHBand="0" w:firstRowFirstColumn="0" w:firstRowLastColumn="0" w:lastRowFirstColumn="0" w:lastRowLastColumn="0"/>
            <w:tcW w:w="0" w:type="auto"/>
            <w:vMerge/>
            <w:hideMark/>
          </w:tcPr>
          <w:p w14:paraId="65EE1D36" w14:textId="77777777" w:rsidR="00803B3E" w:rsidRPr="004637C7" w:rsidRDefault="00803B3E" w:rsidP="00803B3E">
            <w:pPr>
              <w:rPr>
                <w:rFonts w:asciiTheme="minorHAnsi" w:hAnsiTheme="minorHAnsi" w:cstheme="minorHAnsi"/>
                <w:szCs w:val="20"/>
              </w:rPr>
            </w:pPr>
          </w:p>
        </w:tc>
        <w:tc>
          <w:tcPr>
            <w:tcW w:w="0" w:type="auto"/>
            <w:vMerge/>
            <w:hideMark/>
          </w:tcPr>
          <w:p w14:paraId="7AE390C8" w14:textId="77777777" w:rsidR="00803B3E" w:rsidRPr="004637C7" w:rsidRDefault="00803B3E" w:rsidP="00803B3E">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p>
        </w:tc>
        <w:tc>
          <w:tcPr>
            <w:tcW w:w="0" w:type="auto"/>
            <w:hideMark/>
          </w:tcPr>
          <w:p w14:paraId="073645A4" w14:textId="77777777" w:rsidR="00803B3E" w:rsidRPr="004637C7" w:rsidRDefault="00803B3E" w:rsidP="00803B3E">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4637C7">
              <w:rPr>
                <w:rFonts w:asciiTheme="minorHAnsi" w:hAnsiTheme="minorHAnsi" w:cstheme="minorHAnsi"/>
                <w:b/>
                <w:bCs/>
                <w:szCs w:val="20"/>
              </w:rPr>
              <w:t>Fréquence</w:t>
            </w:r>
          </w:p>
        </w:tc>
        <w:tc>
          <w:tcPr>
            <w:tcW w:w="0" w:type="auto"/>
            <w:hideMark/>
          </w:tcPr>
          <w:p w14:paraId="481A5728" w14:textId="77777777" w:rsidR="00803B3E" w:rsidRPr="004637C7" w:rsidRDefault="00803B3E" w:rsidP="00803B3E">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4637C7">
              <w:rPr>
                <w:rFonts w:asciiTheme="minorHAnsi" w:hAnsiTheme="minorHAnsi" w:cstheme="minorHAnsi"/>
                <w:szCs w:val="20"/>
              </w:rPr>
              <w:t>Continue, liée à l’usage quotidien des installations sanitaires et aux habitudes d’entretien.</w:t>
            </w:r>
          </w:p>
        </w:tc>
        <w:tc>
          <w:tcPr>
            <w:tcW w:w="0" w:type="auto"/>
            <w:hideMark/>
          </w:tcPr>
          <w:p w14:paraId="358E6450" w14:textId="77777777" w:rsidR="00803B3E" w:rsidRPr="004637C7" w:rsidRDefault="00803B3E" w:rsidP="00803B3E">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4637C7">
              <w:rPr>
                <w:rFonts w:asciiTheme="minorHAnsi" w:hAnsiTheme="minorHAnsi" w:cstheme="minorHAnsi"/>
                <w:szCs w:val="20"/>
              </w:rPr>
              <w:t>Continue</w:t>
            </w:r>
          </w:p>
        </w:tc>
      </w:tr>
      <w:tr w:rsidR="00803B3E" w:rsidRPr="00803B3E" w14:paraId="2B6E0F87" w14:textId="77777777" w:rsidTr="00803B3E">
        <w:tc>
          <w:tcPr>
            <w:cnfStyle w:val="001000000000" w:firstRow="0" w:lastRow="0" w:firstColumn="1" w:lastColumn="0" w:oddVBand="0" w:evenVBand="0" w:oddHBand="0" w:evenHBand="0" w:firstRowFirstColumn="0" w:firstRowLastColumn="0" w:lastRowFirstColumn="0" w:lastRowLastColumn="0"/>
            <w:tcW w:w="0" w:type="auto"/>
            <w:vMerge/>
            <w:hideMark/>
          </w:tcPr>
          <w:p w14:paraId="67722170" w14:textId="77777777" w:rsidR="00803B3E" w:rsidRPr="004637C7" w:rsidRDefault="00803B3E" w:rsidP="00803B3E">
            <w:pPr>
              <w:rPr>
                <w:rFonts w:asciiTheme="minorHAnsi" w:hAnsiTheme="minorHAnsi" w:cstheme="minorHAnsi"/>
                <w:szCs w:val="20"/>
              </w:rPr>
            </w:pPr>
          </w:p>
        </w:tc>
        <w:tc>
          <w:tcPr>
            <w:tcW w:w="0" w:type="auto"/>
            <w:vMerge/>
            <w:hideMark/>
          </w:tcPr>
          <w:p w14:paraId="2079BBB4" w14:textId="77777777" w:rsidR="00803B3E" w:rsidRPr="004637C7" w:rsidRDefault="00803B3E" w:rsidP="00803B3E">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p>
        </w:tc>
        <w:tc>
          <w:tcPr>
            <w:tcW w:w="0" w:type="auto"/>
            <w:hideMark/>
          </w:tcPr>
          <w:p w14:paraId="79229F16" w14:textId="77777777" w:rsidR="00803B3E" w:rsidRPr="004637C7" w:rsidRDefault="00803B3E" w:rsidP="00803B3E">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4637C7">
              <w:rPr>
                <w:rFonts w:asciiTheme="minorHAnsi" w:hAnsiTheme="minorHAnsi" w:cstheme="minorHAnsi"/>
                <w:b/>
                <w:bCs/>
                <w:szCs w:val="20"/>
              </w:rPr>
              <w:t>Intensité</w:t>
            </w:r>
          </w:p>
        </w:tc>
        <w:tc>
          <w:tcPr>
            <w:tcW w:w="0" w:type="auto"/>
            <w:hideMark/>
          </w:tcPr>
          <w:p w14:paraId="403DFFC2" w14:textId="77777777" w:rsidR="00803B3E" w:rsidRPr="004637C7" w:rsidRDefault="00803B3E" w:rsidP="00803B3E">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4637C7">
              <w:rPr>
                <w:rFonts w:asciiTheme="minorHAnsi" w:hAnsiTheme="minorHAnsi" w:cstheme="minorHAnsi"/>
                <w:b/>
                <w:bCs/>
                <w:szCs w:val="20"/>
              </w:rPr>
              <w:t>Moyenne à forte</w:t>
            </w:r>
            <w:r w:rsidRPr="004637C7">
              <w:rPr>
                <w:rFonts w:asciiTheme="minorHAnsi" w:hAnsiTheme="minorHAnsi" w:cstheme="minorHAnsi"/>
                <w:szCs w:val="20"/>
              </w:rPr>
              <w:t xml:space="preserve"> : une dégradation de l’hygiène peut entraîner des maladies </w:t>
            </w:r>
            <w:r w:rsidRPr="004637C7">
              <w:rPr>
                <w:rFonts w:asciiTheme="minorHAnsi" w:hAnsiTheme="minorHAnsi" w:cstheme="minorHAnsi"/>
                <w:szCs w:val="20"/>
              </w:rPr>
              <w:lastRenderedPageBreak/>
              <w:t>infectieuses, inconfort et démotivation du personnel.</w:t>
            </w:r>
          </w:p>
        </w:tc>
        <w:tc>
          <w:tcPr>
            <w:tcW w:w="0" w:type="auto"/>
            <w:hideMark/>
          </w:tcPr>
          <w:p w14:paraId="25899D8E" w14:textId="77777777" w:rsidR="00803B3E" w:rsidRPr="004637C7" w:rsidRDefault="00803B3E" w:rsidP="00803B3E">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4637C7">
              <w:rPr>
                <w:rFonts w:asciiTheme="minorHAnsi" w:hAnsiTheme="minorHAnsi" w:cstheme="minorHAnsi"/>
                <w:szCs w:val="20"/>
              </w:rPr>
              <w:lastRenderedPageBreak/>
              <w:t>Moyenne à forte</w:t>
            </w:r>
          </w:p>
        </w:tc>
      </w:tr>
      <w:tr w:rsidR="00803B3E" w:rsidRPr="00803B3E" w14:paraId="0C375B75" w14:textId="77777777" w:rsidTr="005A7661">
        <w:tc>
          <w:tcPr>
            <w:cnfStyle w:val="001000000000" w:firstRow="0" w:lastRow="0" w:firstColumn="1" w:lastColumn="0" w:oddVBand="0" w:evenVBand="0" w:oddHBand="0" w:evenHBand="0" w:firstRowFirstColumn="0" w:firstRowLastColumn="0" w:lastRowFirstColumn="0" w:lastRowLastColumn="0"/>
            <w:tcW w:w="0" w:type="auto"/>
            <w:vMerge/>
          </w:tcPr>
          <w:p w14:paraId="6AE17B67" w14:textId="77777777" w:rsidR="00803B3E" w:rsidRPr="004637C7" w:rsidRDefault="00803B3E" w:rsidP="00803B3E">
            <w:pPr>
              <w:rPr>
                <w:rFonts w:asciiTheme="minorHAnsi" w:hAnsiTheme="minorHAnsi" w:cstheme="minorHAnsi"/>
                <w:szCs w:val="20"/>
              </w:rPr>
            </w:pPr>
          </w:p>
        </w:tc>
        <w:tc>
          <w:tcPr>
            <w:tcW w:w="0" w:type="auto"/>
            <w:gridSpan w:val="4"/>
          </w:tcPr>
          <w:p w14:paraId="2A3D4972" w14:textId="77777777" w:rsidR="00803B3E" w:rsidRPr="004637C7" w:rsidRDefault="00803B3E" w:rsidP="00803B3E">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p>
        </w:tc>
      </w:tr>
      <w:tr w:rsidR="00803B3E" w:rsidRPr="00803B3E" w14:paraId="79A2BF77" w14:textId="77777777" w:rsidTr="005A7661">
        <w:tc>
          <w:tcPr>
            <w:cnfStyle w:val="001000000000" w:firstRow="0" w:lastRow="0" w:firstColumn="1" w:lastColumn="0" w:oddVBand="0" w:evenVBand="0" w:oddHBand="0" w:evenHBand="0" w:firstRowFirstColumn="0" w:firstRowLastColumn="0" w:lastRowFirstColumn="0" w:lastRowLastColumn="0"/>
            <w:tcW w:w="0" w:type="auto"/>
            <w:vMerge/>
          </w:tcPr>
          <w:p w14:paraId="42BC3E18" w14:textId="77777777" w:rsidR="00803B3E" w:rsidRPr="004637C7" w:rsidRDefault="00803B3E" w:rsidP="00803B3E">
            <w:pPr>
              <w:rPr>
                <w:rFonts w:asciiTheme="minorHAnsi" w:hAnsiTheme="minorHAnsi" w:cstheme="minorHAnsi"/>
                <w:szCs w:val="20"/>
              </w:rPr>
            </w:pPr>
          </w:p>
        </w:tc>
        <w:tc>
          <w:tcPr>
            <w:tcW w:w="0" w:type="auto"/>
            <w:vAlign w:val="center"/>
          </w:tcPr>
          <w:p w14:paraId="4AA6E719" w14:textId="36FDD53D" w:rsidR="00803B3E" w:rsidRPr="004637C7" w:rsidRDefault="00803B3E" w:rsidP="00803B3E">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4637C7">
              <w:rPr>
                <w:rFonts w:asciiTheme="minorHAnsi" w:hAnsiTheme="minorHAnsi" w:cstheme="minorHAnsi"/>
                <w:b/>
                <w:bCs/>
                <w:szCs w:val="20"/>
                <w:lang w:eastAsia="fr-FR" w:bidi="ar-SA"/>
              </w:rPr>
              <w:t>Intensité de l’impact</w:t>
            </w:r>
          </w:p>
        </w:tc>
        <w:tc>
          <w:tcPr>
            <w:tcW w:w="0" w:type="auto"/>
            <w:vAlign w:val="center"/>
          </w:tcPr>
          <w:p w14:paraId="7FFC95C0" w14:textId="42EA55B5" w:rsidR="00803B3E" w:rsidRPr="004637C7" w:rsidRDefault="00803B3E" w:rsidP="00803B3E">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Cs w:val="20"/>
              </w:rPr>
            </w:pPr>
            <w:r w:rsidRPr="004637C7">
              <w:rPr>
                <w:rFonts w:asciiTheme="minorHAnsi" w:hAnsiTheme="minorHAnsi" w:cstheme="minorHAnsi"/>
                <w:b/>
                <w:bCs/>
                <w:szCs w:val="20"/>
                <w:lang w:eastAsia="fr-FR" w:bidi="ar-SA"/>
              </w:rPr>
              <w:t>Récepteurs</w:t>
            </w:r>
          </w:p>
        </w:tc>
        <w:tc>
          <w:tcPr>
            <w:tcW w:w="0" w:type="auto"/>
            <w:vAlign w:val="center"/>
          </w:tcPr>
          <w:p w14:paraId="1809E7A1" w14:textId="32E6E4B6" w:rsidR="00803B3E" w:rsidRPr="004637C7" w:rsidRDefault="00803B3E" w:rsidP="00803B3E">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4637C7">
              <w:rPr>
                <w:rFonts w:asciiTheme="minorHAnsi" w:hAnsiTheme="minorHAnsi" w:cstheme="minorHAnsi"/>
                <w:b/>
                <w:bCs/>
                <w:szCs w:val="20"/>
                <w:lang w:eastAsia="fr-FR" w:bidi="ar-SA"/>
              </w:rPr>
              <w:t>Sensibilité</w:t>
            </w:r>
          </w:p>
        </w:tc>
        <w:tc>
          <w:tcPr>
            <w:tcW w:w="0" w:type="auto"/>
            <w:vAlign w:val="center"/>
          </w:tcPr>
          <w:p w14:paraId="4F07CF26" w14:textId="5EE0D96E" w:rsidR="00803B3E" w:rsidRPr="004637C7" w:rsidRDefault="00803B3E" w:rsidP="00803B3E">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4637C7">
              <w:rPr>
                <w:rFonts w:asciiTheme="minorHAnsi" w:hAnsiTheme="minorHAnsi" w:cstheme="minorHAnsi"/>
                <w:b/>
                <w:bCs/>
                <w:szCs w:val="20"/>
                <w:lang w:eastAsia="fr-FR" w:bidi="ar-SA"/>
              </w:rPr>
              <w:t>Importance de l’impact</w:t>
            </w:r>
          </w:p>
        </w:tc>
      </w:tr>
      <w:tr w:rsidR="00803B3E" w:rsidRPr="00803B3E" w14:paraId="23281FA2" w14:textId="77777777" w:rsidTr="00803B3E">
        <w:tc>
          <w:tcPr>
            <w:cnfStyle w:val="001000000000" w:firstRow="0" w:lastRow="0" w:firstColumn="1" w:lastColumn="0" w:oddVBand="0" w:evenVBand="0" w:oddHBand="0" w:evenHBand="0" w:firstRowFirstColumn="0" w:firstRowLastColumn="0" w:lastRowFirstColumn="0" w:lastRowLastColumn="0"/>
            <w:tcW w:w="0" w:type="auto"/>
            <w:vMerge/>
          </w:tcPr>
          <w:p w14:paraId="73983030" w14:textId="77777777" w:rsidR="00803B3E" w:rsidRPr="004637C7" w:rsidRDefault="00803B3E" w:rsidP="00803B3E">
            <w:pPr>
              <w:rPr>
                <w:rFonts w:asciiTheme="minorHAnsi" w:hAnsiTheme="minorHAnsi" w:cstheme="minorHAnsi"/>
                <w:szCs w:val="20"/>
              </w:rPr>
            </w:pPr>
          </w:p>
        </w:tc>
        <w:tc>
          <w:tcPr>
            <w:tcW w:w="0" w:type="auto"/>
          </w:tcPr>
          <w:p w14:paraId="307D9A4C" w14:textId="48F74F0D" w:rsidR="00803B3E" w:rsidRPr="004637C7" w:rsidRDefault="0004281A" w:rsidP="00803B3E">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4637C7">
              <w:rPr>
                <w:rFonts w:asciiTheme="minorHAnsi" w:hAnsiTheme="minorHAnsi" w:cstheme="minorHAnsi"/>
                <w:szCs w:val="20"/>
              </w:rPr>
              <w:t>Moyenne à forte</w:t>
            </w:r>
          </w:p>
        </w:tc>
        <w:tc>
          <w:tcPr>
            <w:tcW w:w="0" w:type="auto"/>
          </w:tcPr>
          <w:p w14:paraId="5D952EFF" w14:textId="31F4FA26" w:rsidR="00803B3E" w:rsidRPr="004637C7" w:rsidRDefault="0004281A" w:rsidP="00803B3E">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4637C7">
              <w:rPr>
                <w:rFonts w:asciiTheme="minorHAnsi" w:hAnsiTheme="minorHAnsi" w:cstheme="minorHAnsi"/>
                <w:szCs w:val="20"/>
              </w:rPr>
              <w:t>Agents d’entretien, de maintenance, de piste et de sûreté</w:t>
            </w:r>
          </w:p>
        </w:tc>
        <w:tc>
          <w:tcPr>
            <w:tcW w:w="0" w:type="auto"/>
          </w:tcPr>
          <w:p w14:paraId="3F38E13A" w14:textId="121C4E1F" w:rsidR="00803B3E" w:rsidRPr="004637C7" w:rsidRDefault="0004281A" w:rsidP="00803B3E">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4637C7">
              <w:rPr>
                <w:rFonts w:asciiTheme="minorHAnsi" w:hAnsiTheme="minorHAnsi" w:cstheme="minorHAnsi"/>
                <w:b/>
                <w:bCs/>
                <w:szCs w:val="20"/>
              </w:rPr>
              <w:t>Moyenne à forte</w:t>
            </w:r>
            <w:r w:rsidRPr="004637C7">
              <w:rPr>
                <w:rFonts w:asciiTheme="minorHAnsi" w:hAnsiTheme="minorHAnsi" w:cstheme="minorHAnsi"/>
                <w:szCs w:val="20"/>
              </w:rPr>
              <w:t xml:space="preserve"> : dépendance directe à la qualité sanitaire des installations</w:t>
            </w:r>
          </w:p>
        </w:tc>
        <w:tc>
          <w:tcPr>
            <w:tcW w:w="0" w:type="auto"/>
          </w:tcPr>
          <w:p w14:paraId="042539D4" w14:textId="0C9B1E24" w:rsidR="00803B3E" w:rsidRPr="004637C7" w:rsidRDefault="0004281A" w:rsidP="00803B3E">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4637C7">
              <w:rPr>
                <w:rFonts w:asciiTheme="minorHAnsi" w:hAnsiTheme="minorHAnsi" w:cstheme="minorHAnsi"/>
                <w:b/>
                <w:bCs/>
                <w:szCs w:val="20"/>
                <w:lang w:eastAsia="fr-FR" w:bidi="ar-SA"/>
              </w:rPr>
              <w:t>Modérée à majeure</w:t>
            </w:r>
          </w:p>
        </w:tc>
      </w:tr>
    </w:tbl>
    <w:p w14:paraId="46157DE8" w14:textId="1731F665" w:rsidR="007D15A4" w:rsidRPr="00133EEC" w:rsidRDefault="007D15A4" w:rsidP="0001633E">
      <w:pPr>
        <w:pStyle w:val="AltTitle2"/>
        <w:numPr>
          <w:ilvl w:val="0"/>
          <w:numId w:val="106"/>
        </w:numPr>
      </w:pPr>
      <w:r w:rsidRPr="00133EEC">
        <w:t>Accidents liés aux manœuvres d’aéronefs et de véhicules de service</w:t>
      </w:r>
    </w:p>
    <w:p w14:paraId="65BCDC5F" w14:textId="77777777" w:rsidR="00133EEC" w:rsidRPr="00201084" w:rsidRDefault="007D15A4" w:rsidP="007D15A4">
      <w:r w:rsidRPr="007D15A4">
        <w:t xml:space="preserve">Les opérations de circulation et de stationnement des aéronefs, combinées à la présence de nombreux véhicules de service (bus, tracteurs, camions-citernes), exposent le personnel à des risques de collision, de </w:t>
      </w:r>
      <w:r w:rsidRPr="00201084">
        <w:t>heurts ou d’écrasement.</w:t>
      </w:r>
    </w:p>
    <w:p w14:paraId="37A40667" w14:textId="77777777" w:rsidR="00133EEC" w:rsidRPr="00201084" w:rsidRDefault="007D15A4" w:rsidP="007D15A4">
      <w:r w:rsidRPr="00201084">
        <w:t xml:space="preserve">Le risque est </w:t>
      </w:r>
      <w:r w:rsidRPr="004637C7">
        <w:t>direct</w:t>
      </w:r>
      <w:r w:rsidRPr="00201084">
        <w:t xml:space="preserve">, </w:t>
      </w:r>
      <w:r w:rsidRPr="004637C7">
        <w:t>local</w:t>
      </w:r>
      <w:r w:rsidRPr="00201084">
        <w:t xml:space="preserve"> et </w:t>
      </w:r>
      <w:r w:rsidRPr="004637C7">
        <w:t>continu</w:t>
      </w:r>
      <w:r w:rsidRPr="00201084">
        <w:t xml:space="preserve">, survenant principalement lors des heures de pointe du trafic aérien. La </w:t>
      </w:r>
      <w:r w:rsidRPr="004637C7">
        <w:t>probabilité d’occurrence</w:t>
      </w:r>
      <w:r w:rsidRPr="00201084">
        <w:t xml:space="preserve"> est </w:t>
      </w:r>
      <w:r w:rsidRPr="004637C7">
        <w:t>probable à très probable</w:t>
      </w:r>
      <w:r w:rsidRPr="00201084">
        <w:t xml:space="preserve">, compte tenu du nombre d’intervenants et du rythme opérationnel. La </w:t>
      </w:r>
      <w:r w:rsidRPr="004637C7">
        <w:t>gravité des conséquences</w:t>
      </w:r>
      <w:r w:rsidRPr="00201084">
        <w:t xml:space="preserve"> est </w:t>
      </w:r>
      <w:r w:rsidRPr="004637C7">
        <w:t>majeure</w:t>
      </w:r>
      <w:r w:rsidRPr="00201084">
        <w:t>, pouvant entraîner des blessures graves ou mortelles.</w:t>
      </w:r>
    </w:p>
    <w:p w14:paraId="418C16C8" w14:textId="5AA90EEA" w:rsidR="007D15A4" w:rsidRDefault="007D15A4" w:rsidP="007D15A4">
      <w:r w:rsidRPr="00201084">
        <w:t>L’</w:t>
      </w:r>
      <w:r w:rsidRPr="004637C7">
        <w:t>évaluation globale</w:t>
      </w:r>
      <w:r w:rsidRPr="00201084">
        <w:t xml:space="preserve"> du risque est </w:t>
      </w:r>
      <w:r w:rsidRPr="004637C7">
        <w:t>critique</w:t>
      </w:r>
      <w:r w:rsidRPr="00201084">
        <w:t xml:space="preserve">, nécessitant une stricte coordination des mouvements, des zones balisées et des procédures de sécurité rigoureuses. Les </w:t>
      </w:r>
      <w:r w:rsidRPr="004637C7">
        <w:t>récepteurs sensibles</w:t>
      </w:r>
      <w:r w:rsidRPr="00201084">
        <w:t xml:space="preserve"> sont les agents de piste, conducteurs et superviseurs opérationnels.</w:t>
      </w:r>
    </w:p>
    <w:tbl>
      <w:tblPr>
        <w:tblStyle w:val="TableauGrille1Clair-Accentuation111"/>
        <w:tblW w:w="0" w:type="auto"/>
        <w:tblLook w:val="04A0" w:firstRow="1" w:lastRow="0" w:firstColumn="1" w:lastColumn="0" w:noHBand="0" w:noVBand="1"/>
      </w:tblPr>
      <w:tblGrid>
        <w:gridCol w:w="773"/>
        <w:gridCol w:w="2581"/>
        <w:gridCol w:w="1499"/>
        <w:gridCol w:w="2797"/>
        <w:gridCol w:w="1410"/>
      </w:tblGrid>
      <w:tr w:rsidR="00456DBD" w:rsidRPr="00653F89" w14:paraId="2CC2CA3A" w14:textId="77777777" w:rsidTr="004637C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629F5830" w14:textId="77777777" w:rsidR="00456DBD" w:rsidRPr="00AA22F2" w:rsidRDefault="00456DBD" w:rsidP="00456DBD">
            <w:pPr>
              <w:rPr>
                <w:szCs w:val="20"/>
              </w:rPr>
            </w:pPr>
            <w:r w:rsidRPr="00AA22F2">
              <w:rPr>
                <w:szCs w:val="20"/>
              </w:rPr>
              <w:t>Risque</w:t>
            </w:r>
          </w:p>
        </w:tc>
        <w:tc>
          <w:tcPr>
            <w:tcW w:w="0" w:type="auto"/>
            <w:hideMark/>
          </w:tcPr>
          <w:p w14:paraId="16070EF8" w14:textId="77777777" w:rsidR="00456DBD" w:rsidRPr="00AA22F2" w:rsidRDefault="00456DBD" w:rsidP="00456DBD">
            <w:pPr>
              <w:cnfStyle w:val="100000000000" w:firstRow="1" w:lastRow="0" w:firstColumn="0" w:lastColumn="0" w:oddVBand="0" w:evenVBand="0" w:oddHBand="0" w:evenHBand="0" w:firstRowFirstColumn="0" w:firstRowLastColumn="0" w:lastRowFirstColumn="0" w:lastRowLastColumn="0"/>
              <w:rPr>
                <w:szCs w:val="20"/>
              </w:rPr>
            </w:pPr>
            <w:r w:rsidRPr="00AA22F2">
              <w:rPr>
                <w:szCs w:val="20"/>
              </w:rPr>
              <w:t>Activités génératrices</w:t>
            </w:r>
          </w:p>
        </w:tc>
        <w:tc>
          <w:tcPr>
            <w:tcW w:w="1499" w:type="dxa"/>
            <w:hideMark/>
          </w:tcPr>
          <w:p w14:paraId="27D5F84B" w14:textId="77777777" w:rsidR="00456DBD" w:rsidRPr="00AA22F2" w:rsidRDefault="00456DBD" w:rsidP="00456DBD">
            <w:pPr>
              <w:cnfStyle w:val="100000000000" w:firstRow="1" w:lastRow="0" w:firstColumn="0" w:lastColumn="0" w:oddVBand="0" w:evenVBand="0" w:oddHBand="0" w:evenHBand="0" w:firstRowFirstColumn="0" w:firstRowLastColumn="0" w:lastRowFirstColumn="0" w:lastRowLastColumn="0"/>
              <w:rPr>
                <w:szCs w:val="20"/>
              </w:rPr>
            </w:pPr>
            <w:r w:rsidRPr="00AA22F2">
              <w:rPr>
                <w:szCs w:val="20"/>
              </w:rPr>
              <w:t>Critère</w:t>
            </w:r>
          </w:p>
        </w:tc>
        <w:tc>
          <w:tcPr>
            <w:tcW w:w="2797" w:type="dxa"/>
            <w:hideMark/>
          </w:tcPr>
          <w:p w14:paraId="56A31190" w14:textId="77777777" w:rsidR="00456DBD" w:rsidRPr="00AA22F2" w:rsidRDefault="00456DBD" w:rsidP="00456DBD">
            <w:pPr>
              <w:cnfStyle w:val="100000000000" w:firstRow="1" w:lastRow="0" w:firstColumn="0" w:lastColumn="0" w:oddVBand="0" w:evenVBand="0" w:oddHBand="0" w:evenHBand="0" w:firstRowFirstColumn="0" w:firstRowLastColumn="0" w:lastRowFirstColumn="0" w:lastRowLastColumn="0"/>
              <w:rPr>
                <w:szCs w:val="20"/>
              </w:rPr>
            </w:pPr>
            <w:r w:rsidRPr="00AA22F2">
              <w:rPr>
                <w:szCs w:val="20"/>
              </w:rPr>
              <w:t>Justification</w:t>
            </w:r>
          </w:p>
        </w:tc>
        <w:tc>
          <w:tcPr>
            <w:tcW w:w="1410" w:type="dxa"/>
            <w:hideMark/>
          </w:tcPr>
          <w:p w14:paraId="48E5A39E" w14:textId="77777777" w:rsidR="00456DBD" w:rsidRPr="00AA22F2" w:rsidRDefault="00456DBD" w:rsidP="00456DBD">
            <w:pPr>
              <w:cnfStyle w:val="100000000000" w:firstRow="1" w:lastRow="0" w:firstColumn="0" w:lastColumn="0" w:oddVBand="0" w:evenVBand="0" w:oddHBand="0" w:evenHBand="0" w:firstRowFirstColumn="0" w:firstRowLastColumn="0" w:lastRowFirstColumn="0" w:lastRowLastColumn="0"/>
              <w:rPr>
                <w:szCs w:val="20"/>
              </w:rPr>
            </w:pPr>
            <w:r w:rsidRPr="00AA22F2">
              <w:rPr>
                <w:szCs w:val="20"/>
              </w:rPr>
              <w:t>Niveau</w:t>
            </w:r>
          </w:p>
        </w:tc>
      </w:tr>
      <w:tr w:rsidR="00456DBD" w:rsidRPr="00653F89" w14:paraId="241244EB" w14:textId="77777777" w:rsidTr="004637C7">
        <w:tc>
          <w:tcPr>
            <w:cnfStyle w:val="001000000000" w:firstRow="0" w:lastRow="0" w:firstColumn="1" w:lastColumn="0" w:oddVBand="0" w:evenVBand="0" w:oddHBand="0" w:evenHBand="0" w:firstRowFirstColumn="0" w:firstRowLastColumn="0" w:lastRowFirstColumn="0" w:lastRowLastColumn="0"/>
            <w:tcW w:w="0" w:type="auto"/>
            <w:vMerge w:val="restart"/>
            <w:textDirection w:val="btLr"/>
            <w:hideMark/>
          </w:tcPr>
          <w:p w14:paraId="47D4E724" w14:textId="7C34CAAB" w:rsidR="00456DBD" w:rsidRPr="00AA22F2" w:rsidRDefault="00456DBD" w:rsidP="004637C7">
            <w:pPr>
              <w:ind w:left="113" w:right="113"/>
              <w:rPr>
                <w:szCs w:val="20"/>
              </w:rPr>
            </w:pPr>
            <w:r w:rsidRPr="00AA22F2">
              <w:rPr>
                <w:szCs w:val="20"/>
              </w:rPr>
              <w:t>Accidents liés aux manœuvres d’aéronefs et de véhicules de service</w:t>
            </w:r>
          </w:p>
        </w:tc>
        <w:tc>
          <w:tcPr>
            <w:tcW w:w="0" w:type="auto"/>
            <w:vMerge w:val="restart"/>
            <w:hideMark/>
          </w:tcPr>
          <w:p w14:paraId="4DB42246" w14:textId="77777777" w:rsidR="00456DBD" w:rsidRPr="00AA22F2" w:rsidRDefault="00456DBD" w:rsidP="00456DBD">
            <w:pPr>
              <w:cnfStyle w:val="000000000000" w:firstRow="0" w:lastRow="0" w:firstColumn="0" w:lastColumn="0" w:oddVBand="0" w:evenVBand="0" w:oddHBand="0" w:evenHBand="0" w:firstRowFirstColumn="0" w:firstRowLastColumn="0" w:lastRowFirstColumn="0" w:lastRowLastColumn="0"/>
              <w:rPr>
                <w:szCs w:val="20"/>
              </w:rPr>
            </w:pPr>
            <w:r w:rsidRPr="00AA22F2">
              <w:rPr>
                <w:szCs w:val="20"/>
              </w:rPr>
              <w:t>Circulation simultanée d’aéronefs et de véhicules d’assistance (tracteurs, bus, citernes)</w:t>
            </w:r>
          </w:p>
        </w:tc>
        <w:tc>
          <w:tcPr>
            <w:tcW w:w="1499" w:type="dxa"/>
            <w:hideMark/>
          </w:tcPr>
          <w:p w14:paraId="1293BB3D" w14:textId="77777777" w:rsidR="00456DBD" w:rsidRPr="00AA22F2" w:rsidRDefault="00456DBD" w:rsidP="00456DBD">
            <w:pPr>
              <w:cnfStyle w:val="000000000000" w:firstRow="0" w:lastRow="0" w:firstColumn="0" w:lastColumn="0" w:oddVBand="0" w:evenVBand="0" w:oddHBand="0" w:evenHBand="0" w:firstRowFirstColumn="0" w:firstRowLastColumn="0" w:lastRowFirstColumn="0" w:lastRowLastColumn="0"/>
              <w:rPr>
                <w:szCs w:val="20"/>
              </w:rPr>
            </w:pPr>
            <w:r w:rsidRPr="00AA22F2">
              <w:rPr>
                <w:b/>
                <w:bCs/>
                <w:szCs w:val="20"/>
              </w:rPr>
              <w:t>Probabilité d’occurrence</w:t>
            </w:r>
          </w:p>
        </w:tc>
        <w:tc>
          <w:tcPr>
            <w:tcW w:w="2797" w:type="dxa"/>
            <w:hideMark/>
          </w:tcPr>
          <w:p w14:paraId="4882C48A" w14:textId="77777777" w:rsidR="00456DBD" w:rsidRPr="00AA22F2" w:rsidRDefault="00456DBD" w:rsidP="00456DBD">
            <w:pPr>
              <w:cnfStyle w:val="000000000000" w:firstRow="0" w:lastRow="0" w:firstColumn="0" w:lastColumn="0" w:oddVBand="0" w:evenVBand="0" w:oddHBand="0" w:evenHBand="0" w:firstRowFirstColumn="0" w:firstRowLastColumn="0" w:lastRowFirstColumn="0" w:lastRowLastColumn="0"/>
              <w:rPr>
                <w:szCs w:val="20"/>
              </w:rPr>
            </w:pPr>
            <w:r w:rsidRPr="00AA22F2">
              <w:rPr>
                <w:szCs w:val="20"/>
              </w:rPr>
              <w:t>Élevée, compte tenu du trafic et de la proximité des zones de manœuvre</w:t>
            </w:r>
          </w:p>
        </w:tc>
        <w:tc>
          <w:tcPr>
            <w:tcW w:w="1410" w:type="dxa"/>
            <w:hideMark/>
          </w:tcPr>
          <w:p w14:paraId="5BBAB082" w14:textId="77777777" w:rsidR="00456DBD" w:rsidRPr="00AA22F2" w:rsidRDefault="00456DBD" w:rsidP="00456DBD">
            <w:pPr>
              <w:cnfStyle w:val="000000000000" w:firstRow="0" w:lastRow="0" w:firstColumn="0" w:lastColumn="0" w:oddVBand="0" w:evenVBand="0" w:oddHBand="0" w:evenHBand="0" w:firstRowFirstColumn="0" w:firstRowLastColumn="0" w:lastRowFirstColumn="0" w:lastRowLastColumn="0"/>
              <w:rPr>
                <w:szCs w:val="20"/>
              </w:rPr>
            </w:pPr>
            <w:r w:rsidRPr="00AA22F2">
              <w:rPr>
                <w:szCs w:val="20"/>
              </w:rPr>
              <w:t>Probable à très probable</w:t>
            </w:r>
          </w:p>
        </w:tc>
      </w:tr>
      <w:tr w:rsidR="00456DBD" w:rsidRPr="00653F89" w14:paraId="04B17DCE" w14:textId="77777777" w:rsidTr="004637C7">
        <w:tc>
          <w:tcPr>
            <w:cnfStyle w:val="001000000000" w:firstRow="0" w:lastRow="0" w:firstColumn="1" w:lastColumn="0" w:oddVBand="0" w:evenVBand="0" w:oddHBand="0" w:evenHBand="0" w:firstRowFirstColumn="0" w:firstRowLastColumn="0" w:lastRowFirstColumn="0" w:lastRowLastColumn="0"/>
            <w:tcW w:w="0" w:type="auto"/>
            <w:vMerge/>
            <w:hideMark/>
          </w:tcPr>
          <w:p w14:paraId="6BEAAF1B" w14:textId="77777777" w:rsidR="00456DBD" w:rsidRPr="00AA22F2" w:rsidRDefault="00456DBD" w:rsidP="00456DBD">
            <w:pPr>
              <w:rPr>
                <w:szCs w:val="20"/>
              </w:rPr>
            </w:pPr>
          </w:p>
        </w:tc>
        <w:tc>
          <w:tcPr>
            <w:tcW w:w="0" w:type="auto"/>
            <w:vMerge/>
            <w:hideMark/>
          </w:tcPr>
          <w:p w14:paraId="254C8071" w14:textId="77777777" w:rsidR="00456DBD" w:rsidRPr="00AA22F2" w:rsidRDefault="00456DBD" w:rsidP="00456DBD">
            <w:pPr>
              <w:cnfStyle w:val="000000000000" w:firstRow="0" w:lastRow="0" w:firstColumn="0" w:lastColumn="0" w:oddVBand="0" w:evenVBand="0" w:oddHBand="0" w:evenHBand="0" w:firstRowFirstColumn="0" w:firstRowLastColumn="0" w:lastRowFirstColumn="0" w:lastRowLastColumn="0"/>
              <w:rPr>
                <w:szCs w:val="20"/>
              </w:rPr>
            </w:pPr>
          </w:p>
        </w:tc>
        <w:tc>
          <w:tcPr>
            <w:tcW w:w="1499" w:type="dxa"/>
            <w:hideMark/>
          </w:tcPr>
          <w:p w14:paraId="02E83C9B" w14:textId="77777777" w:rsidR="00456DBD" w:rsidRPr="00AA22F2" w:rsidRDefault="00456DBD" w:rsidP="00456DBD">
            <w:pPr>
              <w:cnfStyle w:val="000000000000" w:firstRow="0" w:lastRow="0" w:firstColumn="0" w:lastColumn="0" w:oddVBand="0" w:evenVBand="0" w:oddHBand="0" w:evenHBand="0" w:firstRowFirstColumn="0" w:firstRowLastColumn="0" w:lastRowFirstColumn="0" w:lastRowLastColumn="0"/>
              <w:rPr>
                <w:szCs w:val="20"/>
              </w:rPr>
            </w:pPr>
            <w:r w:rsidRPr="00AA22F2">
              <w:rPr>
                <w:b/>
                <w:bCs/>
                <w:szCs w:val="20"/>
              </w:rPr>
              <w:t>Gravité des conséquences</w:t>
            </w:r>
          </w:p>
        </w:tc>
        <w:tc>
          <w:tcPr>
            <w:tcW w:w="2797" w:type="dxa"/>
            <w:hideMark/>
          </w:tcPr>
          <w:p w14:paraId="2269B9B6" w14:textId="77777777" w:rsidR="00456DBD" w:rsidRPr="00AA22F2" w:rsidRDefault="00456DBD" w:rsidP="00456DBD">
            <w:pPr>
              <w:cnfStyle w:val="000000000000" w:firstRow="0" w:lastRow="0" w:firstColumn="0" w:lastColumn="0" w:oddVBand="0" w:evenVBand="0" w:oddHBand="0" w:evenHBand="0" w:firstRowFirstColumn="0" w:firstRowLastColumn="0" w:lastRowFirstColumn="0" w:lastRowLastColumn="0"/>
              <w:rPr>
                <w:szCs w:val="20"/>
              </w:rPr>
            </w:pPr>
            <w:r w:rsidRPr="00AA22F2">
              <w:rPr>
                <w:szCs w:val="20"/>
              </w:rPr>
              <w:t>Collisions ou heurts pouvant causer des blessures graves voire mortelles</w:t>
            </w:r>
          </w:p>
        </w:tc>
        <w:tc>
          <w:tcPr>
            <w:tcW w:w="1410" w:type="dxa"/>
            <w:hideMark/>
          </w:tcPr>
          <w:p w14:paraId="4D0645D3" w14:textId="77777777" w:rsidR="00456DBD" w:rsidRPr="00AA22F2" w:rsidRDefault="00456DBD" w:rsidP="00456DBD">
            <w:pPr>
              <w:cnfStyle w:val="000000000000" w:firstRow="0" w:lastRow="0" w:firstColumn="0" w:lastColumn="0" w:oddVBand="0" w:evenVBand="0" w:oddHBand="0" w:evenHBand="0" w:firstRowFirstColumn="0" w:firstRowLastColumn="0" w:lastRowFirstColumn="0" w:lastRowLastColumn="0"/>
              <w:rPr>
                <w:szCs w:val="20"/>
              </w:rPr>
            </w:pPr>
            <w:r w:rsidRPr="00AA22F2">
              <w:rPr>
                <w:szCs w:val="20"/>
              </w:rPr>
              <w:t>Majeure</w:t>
            </w:r>
          </w:p>
        </w:tc>
      </w:tr>
      <w:tr w:rsidR="00456DBD" w:rsidRPr="00653F89" w14:paraId="36B0BD75" w14:textId="77777777" w:rsidTr="004637C7">
        <w:tc>
          <w:tcPr>
            <w:cnfStyle w:val="001000000000" w:firstRow="0" w:lastRow="0" w:firstColumn="1" w:lastColumn="0" w:oddVBand="0" w:evenVBand="0" w:oddHBand="0" w:evenHBand="0" w:firstRowFirstColumn="0" w:firstRowLastColumn="0" w:lastRowFirstColumn="0" w:lastRowLastColumn="0"/>
            <w:tcW w:w="0" w:type="auto"/>
            <w:vMerge/>
            <w:hideMark/>
          </w:tcPr>
          <w:p w14:paraId="28340C9F" w14:textId="77777777" w:rsidR="00456DBD" w:rsidRPr="00AA22F2" w:rsidRDefault="00456DBD" w:rsidP="00456DBD">
            <w:pPr>
              <w:rPr>
                <w:szCs w:val="20"/>
              </w:rPr>
            </w:pPr>
          </w:p>
        </w:tc>
        <w:tc>
          <w:tcPr>
            <w:tcW w:w="0" w:type="auto"/>
            <w:vMerge/>
            <w:hideMark/>
          </w:tcPr>
          <w:p w14:paraId="6FD4FFDC" w14:textId="77777777" w:rsidR="00456DBD" w:rsidRPr="00AA22F2" w:rsidRDefault="00456DBD" w:rsidP="00456DBD">
            <w:pPr>
              <w:cnfStyle w:val="000000000000" w:firstRow="0" w:lastRow="0" w:firstColumn="0" w:lastColumn="0" w:oddVBand="0" w:evenVBand="0" w:oddHBand="0" w:evenHBand="0" w:firstRowFirstColumn="0" w:firstRowLastColumn="0" w:lastRowFirstColumn="0" w:lastRowLastColumn="0"/>
              <w:rPr>
                <w:szCs w:val="20"/>
              </w:rPr>
            </w:pPr>
          </w:p>
        </w:tc>
        <w:tc>
          <w:tcPr>
            <w:tcW w:w="1499" w:type="dxa"/>
            <w:hideMark/>
          </w:tcPr>
          <w:p w14:paraId="59687B6E" w14:textId="77777777" w:rsidR="00456DBD" w:rsidRPr="00AA22F2" w:rsidRDefault="00456DBD" w:rsidP="00456DBD">
            <w:pPr>
              <w:cnfStyle w:val="000000000000" w:firstRow="0" w:lastRow="0" w:firstColumn="0" w:lastColumn="0" w:oddVBand="0" w:evenVBand="0" w:oddHBand="0" w:evenHBand="0" w:firstRowFirstColumn="0" w:firstRowLastColumn="0" w:lastRowFirstColumn="0" w:lastRowLastColumn="0"/>
              <w:rPr>
                <w:szCs w:val="20"/>
              </w:rPr>
            </w:pPr>
            <w:r w:rsidRPr="00AA22F2">
              <w:rPr>
                <w:b/>
                <w:bCs/>
                <w:szCs w:val="20"/>
              </w:rPr>
              <w:t>Évaluation globale du risque</w:t>
            </w:r>
          </w:p>
        </w:tc>
        <w:tc>
          <w:tcPr>
            <w:tcW w:w="2797" w:type="dxa"/>
            <w:hideMark/>
          </w:tcPr>
          <w:p w14:paraId="18540301" w14:textId="77777777" w:rsidR="00456DBD" w:rsidRPr="00AA22F2" w:rsidRDefault="00456DBD" w:rsidP="00456DBD">
            <w:pPr>
              <w:cnfStyle w:val="000000000000" w:firstRow="0" w:lastRow="0" w:firstColumn="0" w:lastColumn="0" w:oddVBand="0" w:evenVBand="0" w:oddHBand="0" w:evenHBand="0" w:firstRowFirstColumn="0" w:firstRowLastColumn="0" w:lastRowFirstColumn="0" w:lastRowLastColumn="0"/>
              <w:rPr>
                <w:szCs w:val="20"/>
              </w:rPr>
            </w:pPr>
            <w:r w:rsidRPr="00AA22F2">
              <w:rPr>
                <w:szCs w:val="20"/>
              </w:rPr>
              <w:t>Criticité élevée, nécessitant une stricte coordination des opérations</w:t>
            </w:r>
          </w:p>
        </w:tc>
        <w:tc>
          <w:tcPr>
            <w:tcW w:w="1410" w:type="dxa"/>
            <w:hideMark/>
          </w:tcPr>
          <w:p w14:paraId="6A04013F" w14:textId="77777777" w:rsidR="00456DBD" w:rsidRPr="00AA22F2" w:rsidRDefault="00456DBD" w:rsidP="00456DBD">
            <w:pPr>
              <w:cnfStyle w:val="000000000000" w:firstRow="0" w:lastRow="0" w:firstColumn="0" w:lastColumn="0" w:oddVBand="0" w:evenVBand="0" w:oddHBand="0" w:evenHBand="0" w:firstRowFirstColumn="0" w:firstRowLastColumn="0" w:lastRowFirstColumn="0" w:lastRowLastColumn="0"/>
              <w:rPr>
                <w:szCs w:val="20"/>
              </w:rPr>
            </w:pPr>
            <w:r w:rsidRPr="00AA22F2">
              <w:rPr>
                <w:szCs w:val="20"/>
              </w:rPr>
              <w:t>Critique</w:t>
            </w:r>
          </w:p>
        </w:tc>
      </w:tr>
    </w:tbl>
    <w:p w14:paraId="20A57A5D" w14:textId="77777777" w:rsidR="007D15A4" w:rsidRPr="00133EEC" w:rsidRDefault="007D15A4" w:rsidP="0001633E">
      <w:pPr>
        <w:pStyle w:val="AltTitle2"/>
        <w:numPr>
          <w:ilvl w:val="0"/>
          <w:numId w:val="106"/>
        </w:numPr>
      </w:pPr>
      <w:r w:rsidRPr="00133EEC">
        <w:t>Incendies et électrocutions lors des opérations de maintenance</w:t>
      </w:r>
    </w:p>
    <w:p w14:paraId="71ED26AC" w14:textId="77777777" w:rsidR="00B159D9" w:rsidRPr="00F55F92" w:rsidRDefault="007D15A4" w:rsidP="007D15A4">
      <w:r w:rsidRPr="007D15A4">
        <w:t xml:space="preserve">Les activités de maintenance électrique et de ravitaillement présentent un risque permanent </w:t>
      </w:r>
      <w:r w:rsidRPr="00F55F92">
        <w:t>d’électrocution, d’incendie ou d’explosion, en raison des hautes tensions, des carburants et des substances inflammables.</w:t>
      </w:r>
    </w:p>
    <w:p w14:paraId="453DE648" w14:textId="77777777" w:rsidR="00201084" w:rsidRPr="00F55F92" w:rsidRDefault="007D15A4" w:rsidP="007D15A4">
      <w:r w:rsidRPr="00F55F92">
        <w:t xml:space="preserve">La </w:t>
      </w:r>
      <w:r w:rsidRPr="004637C7">
        <w:t>probabilité d’occurrence</w:t>
      </w:r>
      <w:r w:rsidRPr="00F55F92">
        <w:t xml:space="preserve"> est </w:t>
      </w:r>
      <w:r w:rsidRPr="004637C7">
        <w:t>occasionnelle à probable</w:t>
      </w:r>
      <w:r w:rsidRPr="00F55F92">
        <w:t xml:space="preserve">, notamment en cas de négligence ou de défaillance technique. La </w:t>
      </w:r>
      <w:r w:rsidRPr="004637C7">
        <w:t>gravité</w:t>
      </w:r>
      <w:r w:rsidRPr="00F55F92">
        <w:t xml:space="preserve"> est </w:t>
      </w:r>
      <w:r w:rsidRPr="004637C7">
        <w:t>majeure</w:t>
      </w:r>
      <w:r w:rsidRPr="00F55F92">
        <w:t xml:space="preserve">, avec des effets potentiellement irréversibles pour les </w:t>
      </w:r>
      <w:r w:rsidRPr="00F55F92">
        <w:lastRenderedPageBreak/>
        <w:t xml:space="preserve">travailleurs et les installations. Le risque est </w:t>
      </w:r>
      <w:r w:rsidRPr="004637C7">
        <w:t>localisé</w:t>
      </w:r>
      <w:r w:rsidRPr="00F55F92">
        <w:t>, mais ses conséquences peuvent s’étendre à plusieurs zones fonctionnelles.</w:t>
      </w:r>
    </w:p>
    <w:p w14:paraId="07541196" w14:textId="2D58DDB3" w:rsidR="007D15A4" w:rsidRPr="007D15A4" w:rsidRDefault="007D15A4" w:rsidP="007D15A4">
      <w:r w:rsidRPr="00F55F92">
        <w:t xml:space="preserve">Les </w:t>
      </w:r>
      <w:r w:rsidRPr="004637C7">
        <w:t>récepteurs sensibles</w:t>
      </w:r>
      <w:r w:rsidRPr="00F55F92">
        <w:t xml:space="preserve"> sont les techniciens électriciens, agents de maintenance et pompiers aéroportuaires. Le risque global est jugé </w:t>
      </w:r>
      <w:r w:rsidRPr="004637C7">
        <w:t>élevé à critique</w:t>
      </w:r>
      <w:r w:rsidRPr="007D15A4">
        <w:t>, appelant des mesures de prévention technique, de formation et d’intervention rapide.</w:t>
      </w:r>
    </w:p>
    <w:tbl>
      <w:tblPr>
        <w:tblStyle w:val="TableauGrille1Clair-Accentuation111"/>
        <w:tblW w:w="0" w:type="auto"/>
        <w:tblLook w:val="04A0" w:firstRow="1" w:lastRow="0" w:firstColumn="1" w:lastColumn="0" w:noHBand="0" w:noVBand="1"/>
      </w:tblPr>
      <w:tblGrid>
        <w:gridCol w:w="773"/>
        <w:gridCol w:w="2555"/>
        <w:gridCol w:w="1648"/>
        <w:gridCol w:w="2442"/>
        <w:gridCol w:w="1642"/>
      </w:tblGrid>
      <w:tr w:rsidR="00456DBD" w:rsidRPr="00653F89" w14:paraId="07653127" w14:textId="77777777" w:rsidTr="00456DB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64AC9BAB" w14:textId="77777777" w:rsidR="00456DBD" w:rsidRPr="00AA22F2" w:rsidRDefault="00456DBD" w:rsidP="00456DBD">
            <w:pPr>
              <w:rPr>
                <w:szCs w:val="20"/>
              </w:rPr>
            </w:pPr>
            <w:r w:rsidRPr="00AA22F2">
              <w:rPr>
                <w:szCs w:val="20"/>
              </w:rPr>
              <w:t>Risque</w:t>
            </w:r>
          </w:p>
        </w:tc>
        <w:tc>
          <w:tcPr>
            <w:tcW w:w="0" w:type="auto"/>
            <w:hideMark/>
          </w:tcPr>
          <w:p w14:paraId="4CDCCDC1" w14:textId="77777777" w:rsidR="00456DBD" w:rsidRPr="00AA22F2" w:rsidRDefault="00456DBD" w:rsidP="00456DBD">
            <w:pPr>
              <w:cnfStyle w:val="100000000000" w:firstRow="1" w:lastRow="0" w:firstColumn="0" w:lastColumn="0" w:oddVBand="0" w:evenVBand="0" w:oddHBand="0" w:evenHBand="0" w:firstRowFirstColumn="0" w:firstRowLastColumn="0" w:lastRowFirstColumn="0" w:lastRowLastColumn="0"/>
              <w:rPr>
                <w:szCs w:val="20"/>
              </w:rPr>
            </w:pPr>
            <w:r w:rsidRPr="00AA22F2">
              <w:rPr>
                <w:szCs w:val="20"/>
              </w:rPr>
              <w:t>Activités génératrices</w:t>
            </w:r>
          </w:p>
        </w:tc>
        <w:tc>
          <w:tcPr>
            <w:tcW w:w="0" w:type="auto"/>
            <w:hideMark/>
          </w:tcPr>
          <w:p w14:paraId="4DCE4EC3" w14:textId="77777777" w:rsidR="00456DBD" w:rsidRPr="00AA22F2" w:rsidRDefault="00456DBD" w:rsidP="00456DBD">
            <w:pPr>
              <w:cnfStyle w:val="100000000000" w:firstRow="1" w:lastRow="0" w:firstColumn="0" w:lastColumn="0" w:oddVBand="0" w:evenVBand="0" w:oddHBand="0" w:evenHBand="0" w:firstRowFirstColumn="0" w:firstRowLastColumn="0" w:lastRowFirstColumn="0" w:lastRowLastColumn="0"/>
              <w:rPr>
                <w:szCs w:val="20"/>
              </w:rPr>
            </w:pPr>
            <w:r w:rsidRPr="00AA22F2">
              <w:rPr>
                <w:szCs w:val="20"/>
              </w:rPr>
              <w:t>Critère</w:t>
            </w:r>
          </w:p>
        </w:tc>
        <w:tc>
          <w:tcPr>
            <w:tcW w:w="0" w:type="auto"/>
            <w:hideMark/>
          </w:tcPr>
          <w:p w14:paraId="7EB06D05" w14:textId="77777777" w:rsidR="00456DBD" w:rsidRPr="00AA22F2" w:rsidRDefault="00456DBD" w:rsidP="00456DBD">
            <w:pPr>
              <w:cnfStyle w:val="100000000000" w:firstRow="1" w:lastRow="0" w:firstColumn="0" w:lastColumn="0" w:oddVBand="0" w:evenVBand="0" w:oddHBand="0" w:evenHBand="0" w:firstRowFirstColumn="0" w:firstRowLastColumn="0" w:lastRowFirstColumn="0" w:lastRowLastColumn="0"/>
              <w:rPr>
                <w:szCs w:val="20"/>
              </w:rPr>
            </w:pPr>
            <w:r w:rsidRPr="00AA22F2">
              <w:rPr>
                <w:szCs w:val="20"/>
              </w:rPr>
              <w:t>Justification</w:t>
            </w:r>
          </w:p>
        </w:tc>
        <w:tc>
          <w:tcPr>
            <w:tcW w:w="0" w:type="auto"/>
            <w:hideMark/>
          </w:tcPr>
          <w:p w14:paraId="51536562" w14:textId="77777777" w:rsidR="00456DBD" w:rsidRPr="00AA22F2" w:rsidRDefault="00456DBD" w:rsidP="00456DBD">
            <w:pPr>
              <w:cnfStyle w:val="100000000000" w:firstRow="1" w:lastRow="0" w:firstColumn="0" w:lastColumn="0" w:oddVBand="0" w:evenVBand="0" w:oddHBand="0" w:evenHBand="0" w:firstRowFirstColumn="0" w:firstRowLastColumn="0" w:lastRowFirstColumn="0" w:lastRowLastColumn="0"/>
              <w:rPr>
                <w:szCs w:val="20"/>
              </w:rPr>
            </w:pPr>
            <w:r w:rsidRPr="00AA22F2">
              <w:rPr>
                <w:szCs w:val="20"/>
              </w:rPr>
              <w:t>Niveau</w:t>
            </w:r>
          </w:p>
        </w:tc>
      </w:tr>
      <w:tr w:rsidR="00456DBD" w:rsidRPr="00653F89" w14:paraId="6EDC59FF" w14:textId="77777777" w:rsidTr="004637C7">
        <w:tc>
          <w:tcPr>
            <w:cnfStyle w:val="001000000000" w:firstRow="0" w:lastRow="0" w:firstColumn="1" w:lastColumn="0" w:oddVBand="0" w:evenVBand="0" w:oddHBand="0" w:evenHBand="0" w:firstRowFirstColumn="0" w:firstRowLastColumn="0" w:lastRowFirstColumn="0" w:lastRowLastColumn="0"/>
            <w:tcW w:w="0" w:type="auto"/>
            <w:vMerge w:val="restart"/>
            <w:textDirection w:val="btLr"/>
            <w:hideMark/>
          </w:tcPr>
          <w:p w14:paraId="501B62C2" w14:textId="48C26E62" w:rsidR="00456DBD" w:rsidRPr="00AA22F2" w:rsidRDefault="00456DBD" w:rsidP="004637C7">
            <w:pPr>
              <w:ind w:left="113" w:right="113"/>
              <w:jc w:val="center"/>
              <w:rPr>
                <w:szCs w:val="20"/>
              </w:rPr>
            </w:pPr>
            <w:r w:rsidRPr="00AA22F2">
              <w:rPr>
                <w:szCs w:val="20"/>
              </w:rPr>
              <w:t>Incendies et électrocutions lors des opérations de maintenance</w:t>
            </w:r>
          </w:p>
        </w:tc>
        <w:tc>
          <w:tcPr>
            <w:tcW w:w="0" w:type="auto"/>
            <w:vMerge w:val="restart"/>
            <w:hideMark/>
          </w:tcPr>
          <w:p w14:paraId="45A89227" w14:textId="77777777" w:rsidR="00456DBD" w:rsidRPr="00AA22F2" w:rsidRDefault="00456DBD" w:rsidP="00456DBD">
            <w:pPr>
              <w:cnfStyle w:val="000000000000" w:firstRow="0" w:lastRow="0" w:firstColumn="0" w:lastColumn="0" w:oddVBand="0" w:evenVBand="0" w:oddHBand="0" w:evenHBand="0" w:firstRowFirstColumn="0" w:firstRowLastColumn="0" w:lastRowFirstColumn="0" w:lastRowLastColumn="0"/>
              <w:rPr>
                <w:szCs w:val="20"/>
              </w:rPr>
            </w:pPr>
            <w:r w:rsidRPr="00AA22F2">
              <w:rPr>
                <w:szCs w:val="20"/>
              </w:rPr>
              <w:t>Travaux électriques, ravitaillement en carburant, maintenance des équipements</w:t>
            </w:r>
          </w:p>
        </w:tc>
        <w:tc>
          <w:tcPr>
            <w:tcW w:w="0" w:type="auto"/>
            <w:hideMark/>
          </w:tcPr>
          <w:p w14:paraId="6EFBCEA9" w14:textId="77777777" w:rsidR="00456DBD" w:rsidRPr="00AA22F2" w:rsidRDefault="00456DBD" w:rsidP="00456DBD">
            <w:pPr>
              <w:cnfStyle w:val="000000000000" w:firstRow="0" w:lastRow="0" w:firstColumn="0" w:lastColumn="0" w:oddVBand="0" w:evenVBand="0" w:oddHBand="0" w:evenHBand="0" w:firstRowFirstColumn="0" w:firstRowLastColumn="0" w:lastRowFirstColumn="0" w:lastRowLastColumn="0"/>
              <w:rPr>
                <w:szCs w:val="20"/>
              </w:rPr>
            </w:pPr>
            <w:r w:rsidRPr="00AA22F2">
              <w:rPr>
                <w:b/>
                <w:bCs/>
                <w:szCs w:val="20"/>
              </w:rPr>
              <w:t>Probabilité d’occurrence</w:t>
            </w:r>
          </w:p>
        </w:tc>
        <w:tc>
          <w:tcPr>
            <w:tcW w:w="0" w:type="auto"/>
            <w:hideMark/>
          </w:tcPr>
          <w:p w14:paraId="4D342A32" w14:textId="77777777" w:rsidR="00456DBD" w:rsidRPr="00AA22F2" w:rsidRDefault="00456DBD" w:rsidP="00456DBD">
            <w:pPr>
              <w:cnfStyle w:val="000000000000" w:firstRow="0" w:lastRow="0" w:firstColumn="0" w:lastColumn="0" w:oddVBand="0" w:evenVBand="0" w:oddHBand="0" w:evenHBand="0" w:firstRowFirstColumn="0" w:firstRowLastColumn="0" w:lastRowFirstColumn="0" w:lastRowLastColumn="0"/>
              <w:rPr>
                <w:szCs w:val="20"/>
              </w:rPr>
            </w:pPr>
            <w:r w:rsidRPr="00AA22F2">
              <w:rPr>
                <w:szCs w:val="20"/>
              </w:rPr>
              <w:t>Occasionnelle à probable selon la complexité des interventions</w:t>
            </w:r>
          </w:p>
        </w:tc>
        <w:tc>
          <w:tcPr>
            <w:tcW w:w="0" w:type="auto"/>
            <w:hideMark/>
          </w:tcPr>
          <w:p w14:paraId="6543A34B" w14:textId="77777777" w:rsidR="00456DBD" w:rsidRPr="00AA22F2" w:rsidRDefault="00456DBD" w:rsidP="00456DBD">
            <w:pPr>
              <w:cnfStyle w:val="000000000000" w:firstRow="0" w:lastRow="0" w:firstColumn="0" w:lastColumn="0" w:oddVBand="0" w:evenVBand="0" w:oddHBand="0" w:evenHBand="0" w:firstRowFirstColumn="0" w:firstRowLastColumn="0" w:lastRowFirstColumn="0" w:lastRowLastColumn="0"/>
              <w:rPr>
                <w:szCs w:val="20"/>
              </w:rPr>
            </w:pPr>
            <w:r w:rsidRPr="00AA22F2">
              <w:rPr>
                <w:szCs w:val="20"/>
              </w:rPr>
              <w:t>Occasionnelle à probable</w:t>
            </w:r>
          </w:p>
        </w:tc>
      </w:tr>
      <w:tr w:rsidR="00456DBD" w:rsidRPr="00653F89" w14:paraId="10BAB853" w14:textId="77777777" w:rsidTr="005A7661">
        <w:tc>
          <w:tcPr>
            <w:cnfStyle w:val="001000000000" w:firstRow="0" w:lastRow="0" w:firstColumn="1" w:lastColumn="0" w:oddVBand="0" w:evenVBand="0" w:oddHBand="0" w:evenHBand="0" w:firstRowFirstColumn="0" w:firstRowLastColumn="0" w:lastRowFirstColumn="0" w:lastRowLastColumn="0"/>
            <w:tcW w:w="0" w:type="auto"/>
            <w:vMerge/>
            <w:hideMark/>
          </w:tcPr>
          <w:p w14:paraId="16757F1B" w14:textId="77777777" w:rsidR="00456DBD" w:rsidRPr="00AA22F2" w:rsidRDefault="00456DBD" w:rsidP="00456DBD">
            <w:pPr>
              <w:rPr>
                <w:szCs w:val="20"/>
              </w:rPr>
            </w:pPr>
          </w:p>
        </w:tc>
        <w:tc>
          <w:tcPr>
            <w:tcW w:w="0" w:type="auto"/>
            <w:vMerge/>
            <w:hideMark/>
          </w:tcPr>
          <w:p w14:paraId="3499DED7" w14:textId="77777777" w:rsidR="00456DBD" w:rsidRPr="00AA22F2" w:rsidRDefault="00456DBD" w:rsidP="00456DBD">
            <w:pPr>
              <w:cnfStyle w:val="000000000000" w:firstRow="0" w:lastRow="0" w:firstColumn="0" w:lastColumn="0" w:oddVBand="0" w:evenVBand="0" w:oddHBand="0" w:evenHBand="0" w:firstRowFirstColumn="0" w:firstRowLastColumn="0" w:lastRowFirstColumn="0" w:lastRowLastColumn="0"/>
              <w:rPr>
                <w:szCs w:val="20"/>
              </w:rPr>
            </w:pPr>
          </w:p>
        </w:tc>
        <w:tc>
          <w:tcPr>
            <w:tcW w:w="0" w:type="auto"/>
            <w:hideMark/>
          </w:tcPr>
          <w:p w14:paraId="0E06A225" w14:textId="77777777" w:rsidR="00456DBD" w:rsidRPr="00AA22F2" w:rsidRDefault="00456DBD" w:rsidP="00456DBD">
            <w:pPr>
              <w:cnfStyle w:val="000000000000" w:firstRow="0" w:lastRow="0" w:firstColumn="0" w:lastColumn="0" w:oddVBand="0" w:evenVBand="0" w:oddHBand="0" w:evenHBand="0" w:firstRowFirstColumn="0" w:firstRowLastColumn="0" w:lastRowFirstColumn="0" w:lastRowLastColumn="0"/>
              <w:rPr>
                <w:szCs w:val="20"/>
              </w:rPr>
            </w:pPr>
            <w:r w:rsidRPr="00AA22F2">
              <w:rPr>
                <w:b/>
                <w:bCs/>
                <w:szCs w:val="20"/>
              </w:rPr>
              <w:t>Gravité des conséquences</w:t>
            </w:r>
          </w:p>
        </w:tc>
        <w:tc>
          <w:tcPr>
            <w:tcW w:w="0" w:type="auto"/>
            <w:hideMark/>
          </w:tcPr>
          <w:p w14:paraId="2F871639" w14:textId="77777777" w:rsidR="00456DBD" w:rsidRPr="00AA22F2" w:rsidRDefault="00456DBD" w:rsidP="00456DBD">
            <w:pPr>
              <w:cnfStyle w:val="000000000000" w:firstRow="0" w:lastRow="0" w:firstColumn="0" w:lastColumn="0" w:oddVBand="0" w:evenVBand="0" w:oddHBand="0" w:evenHBand="0" w:firstRowFirstColumn="0" w:firstRowLastColumn="0" w:lastRowFirstColumn="0" w:lastRowLastColumn="0"/>
              <w:rPr>
                <w:szCs w:val="20"/>
              </w:rPr>
            </w:pPr>
            <w:r w:rsidRPr="00AA22F2">
              <w:rPr>
                <w:szCs w:val="20"/>
              </w:rPr>
              <w:t>Risques d’incendie, explosion ou électrocution graves</w:t>
            </w:r>
          </w:p>
        </w:tc>
        <w:tc>
          <w:tcPr>
            <w:tcW w:w="0" w:type="auto"/>
            <w:hideMark/>
          </w:tcPr>
          <w:p w14:paraId="6C6C45B2" w14:textId="77777777" w:rsidR="00456DBD" w:rsidRPr="00AA22F2" w:rsidRDefault="00456DBD" w:rsidP="00456DBD">
            <w:pPr>
              <w:cnfStyle w:val="000000000000" w:firstRow="0" w:lastRow="0" w:firstColumn="0" w:lastColumn="0" w:oddVBand="0" w:evenVBand="0" w:oddHBand="0" w:evenHBand="0" w:firstRowFirstColumn="0" w:firstRowLastColumn="0" w:lastRowFirstColumn="0" w:lastRowLastColumn="0"/>
              <w:rPr>
                <w:szCs w:val="20"/>
              </w:rPr>
            </w:pPr>
            <w:r w:rsidRPr="00AA22F2">
              <w:rPr>
                <w:szCs w:val="20"/>
              </w:rPr>
              <w:t>Majeure à catastrophique</w:t>
            </w:r>
          </w:p>
        </w:tc>
      </w:tr>
      <w:tr w:rsidR="00456DBD" w:rsidRPr="00653F89" w14:paraId="3759F43D" w14:textId="77777777" w:rsidTr="005A7661">
        <w:tc>
          <w:tcPr>
            <w:cnfStyle w:val="001000000000" w:firstRow="0" w:lastRow="0" w:firstColumn="1" w:lastColumn="0" w:oddVBand="0" w:evenVBand="0" w:oddHBand="0" w:evenHBand="0" w:firstRowFirstColumn="0" w:firstRowLastColumn="0" w:lastRowFirstColumn="0" w:lastRowLastColumn="0"/>
            <w:tcW w:w="0" w:type="auto"/>
            <w:vMerge/>
            <w:hideMark/>
          </w:tcPr>
          <w:p w14:paraId="663E08F7" w14:textId="77777777" w:rsidR="00456DBD" w:rsidRPr="00AA22F2" w:rsidRDefault="00456DBD" w:rsidP="00456DBD">
            <w:pPr>
              <w:rPr>
                <w:szCs w:val="20"/>
              </w:rPr>
            </w:pPr>
          </w:p>
        </w:tc>
        <w:tc>
          <w:tcPr>
            <w:tcW w:w="0" w:type="auto"/>
            <w:vMerge/>
            <w:hideMark/>
          </w:tcPr>
          <w:p w14:paraId="74EACA23" w14:textId="77777777" w:rsidR="00456DBD" w:rsidRPr="00AA22F2" w:rsidRDefault="00456DBD" w:rsidP="00456DBD">
            <w:pPr>
              <w:cnfStyle w:val="000000000000" w:firstRow="0" w:lastRow="0" w:firstColumn="0" w:lastColumn="0" w:oddVBand="0" w:evenVBand="0" w:oddHBand="0" w:evenHBand="0" w:firstRowFirstColumn="0" w:firstRowLastColumn="0" w:lastRowFirstColumn="0" w:lastRowLastColumn="0"/>
              <w:rPr>
                <w:szCs w:val="20"/>
              </w:rPr>
            </w:pPr>
          </w:p>
        </w:tc>
        <w:tc>
          <w:tcPr>
            <w:tcW w:w="0" w:type="auto"/>
            <w:hideMark/>
          </w:tcPr>
          <w:p w14:paraId="6E599BD2" w14:textId="77777777" w:rsidR="00456DBD" w:rsidRPr="00AA22F2" w:rsidRDefault="00456DBD" w:rsidP="00456DBD">
            <w:pPr>
              <w:cnfStyle w:val="000000000000" w:firstRow="0" w:lastRow="0" w:firstColumn="0" w:lastColumn="0" w:oddVBand="0" w:evenVBand="0" w:oddHBand="0" w:evenHBand="0" w:firstRowFirstColumn="0" w:firstRowLastColumn="0" w:lastRowFirstColumn="0" w:lastRowLastColumn="0"/>
              <w:rPr>
                <w:szCs w:val="20"/>
              </w:rPr>
            </w:pPr>
            <w:r w:rsidRPr="00AA22F2">
              <w:rPr>
                <w:b/>
                <w:bCs/>
                <w:szCs w:val="20"/>
              </w:rPr>
              <w:t>Évaluation globale du risque</w:t>
            </w:r>
          </w:p>
        </w:tc>
        <w:tc>
          <w:tcPr>
            <w:tcW w:w="0" w:type="auto"/>
            <w:hideMark/>
          </w:tcPr>
          <w:p w14:paraId="7EBBB1E9" w14:textId="77777777" w:rsidR="00456DBD" w:rsidRPr="00AA22F2" w:rsidRDefault="00456DBD" w:rsidP="00456DBD">
            <w:pPr>
              <w:cnfStyle w:val="000000000000" w:firstRow="0" w:lastRow="0" w:firstColumn="0" w:lastColumn="0" w:oddVBand="0" w:evenVBand="0" w:oddHBand="0" w:evenHBand="0" w:firstRowFirstColumn="0" w:firstRowLastColumn="0" w:lastRowFirstColumn="0" w:lastRowLastColumn="0"/>
              <w:rPr>
                <w:szCs w:val="20"/>
              </w:rPr>
            </w:pPr>
            <w:r w:rsidRPr="00AA22F2">
              <w:rPr>
                <w:szCs w:val="20"/>
              </w:rPr>
              <w:t>Criticité élevée nécessitant procédures strictes et équipements conformes</w:t>
            </w:r>
          </w:p>
        </w:tc>
        <w:tc>
          <w:tcPr>
            <w:tcW w:w="0" w:type="auto"/>
            <w:hideMark/>
          </w:tcPr>
          <w:p w14:paraId="01A523C5" w14:textId="77777777" w:rsidR="00456DBD" w:rsidRPr="00AA22F2" w:rsidRDefault="00456DBD" w:rsidP="00456DBD">
            <w:pPr>
              <w:cnfStyle w:val="000000000000" w:firstRow="0" w:lastRow="0" w:firstColumn="0" w:lastColumn="0" w:oddVBand="0" w:evenVBand="0" w:oddHBand="0" w:evenHBand="0" w:firstRowFirstColumn="0" w:firstRowLastColumn="0" w:lastRowFirstColumn="0" w:lastRowLastColumn="0"/>
              <w:rPr>
                <w:szCs w:val="20"/>
              </w:rPr>
            </w:pPr>
            <w:r w:rsidRPr="00AA22F2">
              <w:rPr>
                <w:szCs w:val="20"/>
              </w:rPr>
              <w:t>Élevé à critique</w:t>
            </w:r>
          </w:p>
        </w:tc>
      </w:tr>
    </w:tbl>
    <w:p w14:paraId="0A563155" w14:textId="77777777" w:rsidR="00ED374B" w:rsidRDefault="00ED374B" w:rsidP="00AF7B75">
      <w:pPr>
        <w:sectPr w:rsidR="00ED374B" w:rsidSect="006C1613">
          <w:headerReference w:type="default" r:id="rId144"/>
          <w:footerReference w:type="default" r:id="rId145"/>
          <w:pgSz w:w="11906" w:h="16838"/>
          <w:pgMar w:top="1418" w:right="1418" w:bottom="1276" w:left="1418" w:header="680" w:footer="680" w:gutter="0"/>
          <w:cols w:space="708"/>
          <w:docGrid w:linePitch="360"/>
        </w:sectPr>
      </w:pPr>
    </w:p>
    <w:p w14:paraId="7C99958A" w14:textId="6AB47AC1" w:rsidR="00B54FA4" w:rsidRPr="006A27B2" w:rsidRDefault="006A27B2" w:rsidP="004637C7">
      <w:pPr>
        <w:pStyle w:val="Title5"/>
      </w:pPr>
      <w:r>
        <w:lastRenderedPageBreak/>
        <w:t>Mesures d’a</w:t>
      </w:r>
      <w:r w:rsidR="00B54FA4" w:rsidRPr="006A27B2">
        <w:t>tténuation</w:t>
      </w:r>
    </w:p>
    <w:p w14:paraId="5746E59B" w14:textId="6FA73B3C" w:rsidR="00B54FA4" w:rsidRDefault="00911732" w:rsidP="004637C7">
      <w:pPr>
        <w:pStyle w:val="Lgende"/>
      </w:pPr>
      <w:bookmarkStart w:id="484" w:name="_Toc213404388"/>
      <w:r>
        <w:t xml:space="preserve">Tableau </w:t>
      </w:r>
      <w:r>
        <w:fldChar w:fldCharType="begin"/>
      </w:r>
      <w:r>
        <w:instrText xml:space="preserve"> SEQ Tableau \* ARABIC </w:instrText>
      </w:r>
      <w:r>
        <w:fldChar w:fldCharType="separate"/>
      </w:r>
      <w:r w:rsidR="00274E71">
        <w:rPr>
          <w:noProof/>
        </w:rPr>
        <w:t>66</w:t>
      </w:r>
      <w:r>
        <w:fldChar w:fldCharType="end"/>
      </w:r>
      <w:r>
        <w:rPr>
          <w:noProof/>
          <w:lang w:val="fr-FR"/>
        </w:rPr>
        <w:t xml:space="preserve"> : </w:t>
      </w:r>
      <w:r w:rsidRPr="00D94848">
        <w:rPr>
          <w:noProof/>
          <w:lang w:val="fr-FR"/>
        </w:rPr>
        <w:t xml:space="preserve">Mesures d'atténuation – Santé sécurité des travailleurs en phase </w:t>
      </w:r>
      <w:r>
        <w:rPr>
          <w:noProof/>
          <w:lang w:val="fr-FR"/>
        </w:rPr>
        <w:t>d'exploitation</w:t>
      </w:r>
      <w:bookmarkEnd w:id="484"/>
    </w:p>
    <w:tbl>
      <w:tblPr>
        <w:tblStyle w:val="TableauGrille1Clair-Accentuation111"/>
        <w:tblW w:w="0" w:type="auto"/>
        <w:tblLook w:val="04A0" w:firstRow="1" w:lastRow="0" w:firstColumn="1" w:lastColumn="0" w:noHBand="0" w:noVBand="1"/>
      </w:tblPr>
      <w:tblGrid>
        <w:gridCol w:w="2342"/>
        <w:gridCol w:w="1407"/>
        <w:gridCol w:w="2585"/>
        <w:gridCol w:w="1613"/>
        <w:gridCol w:w="1088"/>
        <w:gridCol w:w="1223"/>
        <w:gridCol w:w="717"/>
        <w:gridCol w:w="1187"/>
        <w:gridCol w:w="1972"/>
      </w:tblGrid>
      <w:tr w:rsidR="00F43BE0" w:rsidRPr="00911732" w14:paraId="197E5700" w14:textId="77777777" w:rsidTr="00D60FC9">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0" w:type="auto"/>
            <w:hideMark/>
          </w:tcPr>
          <w:p w14:paraId="5A216732" w14:textId="77777777" w:rsidR="00911732" w:rsidRPr="00481B02" w:rsidRDefault="00911732" w:rsidP="00911732">
            <w:pPr>
              <w:jc w:val="center"/>
              <w:rPr>
                <w:rFonts w:eastAsia="Calibri"/>
                <w:szCs w:val="20"/>
                <w:lang w:bidi="ar-SA"/>
              </w:rPr>
            </w:pPr>
            <w:r w:rsidRPr="00481B02">
              <w:rPr>
                <w:rFonts w:eastAsia="Calibri"/>
                <w:szCs w:val="20"/>
                <w:lang w:bidi="ar-SA"/>
              </w:rPr>
              <w:t>Impact / Risque</w:t>
            </w:r>
          </w:p>
        </w:tc>
        <w:tc>
          <w:tcPr>
            <w:tcW w:w="0" w:type="auto"/>
            <w:hideMark/>
          </w:tcPr>
          <w:p w14:paraId="4E80D9A2" w14:textId="77777777" w:rsidR="00911732" w:rsidRPr="00481B02" w:rsidRDefault="00911732" w:rsidP="00911732">
            <w:pPr>
              <w:jc w:val="center"/>
              <w:cnfStyle w:val="100000000000" w:firstRow="1" w:lastRow="0" w:firstColumn="0" w:lastColumn="0" w:oddVBand="0" w:evenVBand="0" w:oddHBand="0" w:evenHBand="0" w:firstRowFirstColumn="0" w:firstRowLastColumn="0" w:lastRowFirstColumn="0" w:lastRowLastColumn="0"/>
              <w:rPr>
                <w:rFonts w:eastAsia="Calibri"/>
                <w:szCs w:val="20"/>
                <w:lang w:bidi="ar-SA"/>
              </w:rPr>
            </w:pPr>
            <w:r w:rsidRPr="00481B02">
              <w:rPr>
                <w:rFonts w:eastAsia="Calibri"/>
                <w:szCs w:val="20"/>
                <w:lang w:bidi="ar-SA"/>
              </w:rPr>
              <w:t>Niveau d’atténuation</w:t>
            </w:r>
          </w:p>
        </w:tc>
        <w:tc>
          <w:tcPr>
            <w:tcW w:w="0" w:type="dxa"/>
            <w:hideMark/>
          </w:tcPr>
          <w:p w14:paraId="4029E7FB" w14:textId="77777777" w:rsidR="00911732" w:rsidRPr="00481B02" w:rsidRDefault="00911732" w:rsidP="00911732">
            <w:pPr>
              <w:jc w:val="center"/>
              <w:cnfStyle w:val="100000000000" w:firstRow="1" w:lastRow="0" w:firstColumn="0" w:lastColumn="0" w:oddVBand="0" w:evenVBand="0" w:oddHBand="0" w:evenHBand="0" w:firstRowFirstColumn="0" w:firstRowLastColumn="0" w:lastRowFirstColumn="0" w:lastRowLastColumn="0"/>
              <w:rPr>
                <w:rFonts w:eastAsia="Calibri"/>
                <w:szCs w:val="20"/>
                <w:lang w:bidi="ar-SA"/>
              </w:rPr>
            </w:pPr>
            <w:r w:rsidRPr="00481B02">
              <w:rPr>
                <w:rFonts w:eastAsia="Calibri"/>
                <w:szCs w:val="20"/>
                <w:lang w:bidi="ar-SA"/>
              </w:rPr>
              <w:t>Mesures d’atténuation / de gestion</w:t>
            </w:r>
          </w:p>
        </w:tc>
        <w:tc>
          <w:tcPr>
            <w:tcW w:w="1613" w:type="dxa"/>
            <w:hideMark/>
          </w:tcPr>
          <w:p w14:paraId="22B550A4" w14:textId="77777777" w:rsidR="00911732" w:rsidRPr="00481B02" w:rsidRDefault="00911732" w:rsidP="00911732">
            <w:pPr>
              <w:jc w:val="center"/>
              <w:cnfStyle w:val="100000000000" w:firstRow="1" w:lastRow="0" w:firstColumn="0" w:lastColumn="0" w:oddVBand="0" w:evenVBand="0" w:oddHBand="0" w:evenHBand="0" w:firstRowFirstColumn="0" w:firstRowLastColumn="0" w:lastRowFirstColumn="0" w:lastRowLastColumn="0"/>
              <w:rPr>
                <w:rFonts w:eastAsia="Calibri"/>
                <w:szCs w:val="20"/>
                <w:lang w:bidi="ar-SA"/>
              </w:rPr>
            </w:pPr>
            <w:r w:rsidRPr="00481B02">
              <w:rPr>
                <w:rFonts w:eastAsia="Calibri"/>
                <w:szCs w:val="20"/>
                <w:lang w:bidi="ar-SA"/>
              </w:rPr>
              <w:t>Indicateurs de performance (KPI)</w:t>
            </w:r>
          </w:p>
        </w:tc>
        <w:tc>
          <w:tcPr>
            <w:tcW w:w="0" w:type="auto"/>
            <w:hideMark/>
          </w:tcPr>
          <w:p w14:paraId="20E36FDB" w14:textId="77777777" w:rsidR="00911732" w:rsidRPr="00481B02" w:rsidRDefault="00911732" w:rsidP="00911732">
            <w:pPr>
              <w:jc w:val="center"/>
              <w:cnfStyle w:val="100000000000" w:firstRow="1" w:lastRow="0" w:firstColumn="0" w:lastColumn="0" w:oddVBand="0" w:evenVBand="0" w:oddHBand="0" w:evenHBand="0" w:firstRowFirstColumn="0" w:firstRowLastColumn="0" w:lastRowFirstColumn="0" w:lastRowLastColumn="0"/>
              <w:rPr>
                <w:rFonts w:eastAsia="Calibri"/>
                <w:szCs w:val="20"/>
                <w:lang w:bidi="ar-SA"/>
              </w:rPr>
            </w:pPr>
            <w:r w:rsidRPr="00481B02">
              <w:rPr>
                <w:rFonts w:eastAsia="Calibri"/>
                <w:szCs w:val="20"/>
                <w:lang w:bidi="ar-SA"/>
              </w:rPr>
              <w:t>Mise en œuvre</w:t>
            </w:r>
          </w:p>
        </w:tc>
        <w:tc>
          <w:tcPr>
            <w:tcW w:w="0" w:type="auto"/>
            <w:hideMark/>
          </w:tcPr>
          <w:p w14:paraId="5046FAF3" w14:textId="77777777" w:rsidR="00911732" w:rsidRPr="00481B02" w:rsidRDefault="00911732" w:rsidP="00911732">
            <w:pPr>
              <w:jc w:val="center"/>
              <w:cnfStyle w:val="100000000000" w:firstRow="1" w:lastRow="0" w:firstColumn="0" w:lastColumn="0" w:oddVBand="0" w:evenVBand="0" w:oddHBand="0" w:evenHBand="0" w:firstRowFirstColumn="0" w:firstRowLastColumn="0" w:lastRowFirstColumn="0" w:lastRowLastColumn="0"/>
              <w:rPr>
                <w:rFonts w:eastAsia="Calibri"/>
                <w:szCs w:val="20"/>
                <w:lang w:bidi="ar-SA"/>
              </w:rPr>
            </w:pPr>
            <w:r w:rsidRPr="00481B02">
              <w:rPr>
                <w:rFonts w:eastAsia="Calibri"/>
                <w:szCs w:val="20"/>
                <w:lang w:bidi="ar-SA"/>
              </w:rPr>
              <w:t>Surveillance</w:t>
            </w:r>
          </w:p>
        </w:tc>
        <w:tc>
          <w:tcPr>
            <w:tcW w:w="0" w:type="auto"/>
            <w:hideMark/>
          </w:tcPr>
          <w:p w14:paraId="4E1626AD" w14:textId="77777777" w:rsidR="00911732" w:rsidRPr="00481B02" w:rsidRDefault="00911732" w:rsidP="00911732">
            <w:pPr>
              <w:jc w:val="center"/>
              <w:cnfStyle w:val="100000000000" w:firstRow="1" w:lastRow="0" w:firstColumn="0" w:lastColumn="0" w:oddVBand="0" w:evenVBand="0" w:oddHBand="0" w:evenHBand="0" w:firstRowFirstColumn="0" w:firstRowLastColumn="0" w:lastRowFirstColumn="0" w:lastRowLastColumn="0"/>
              <w:rPr>
                <w:rFonts w:eastAsia="Calibri"/>
                <w:szCs w:val="20"/>
                <w:lang w:bidi="ar-SA"/>
              </w:rPr>
            </w:pPr>
            <w:r w:rsidRPr="00481B02">
              <w:rPr>
                <w:rFonts w:eastAsia="Calibri"/>
                <w:szCs w:val="20"/>
                <w:lang w:bidi="ar-SA"/>
              </w:rPr>
              <w:t>Suivi</w:t>
            </w:r>
          </w:p>
        </w:tc>
        <w:tc>
          <w:tcPr>
            <w:tcW w:w="0" w:type="auto"/>
            <w:hideMark/>
          </w:tcPr>
          <w:p w14:paraId="42D691FD" w14:textId="77777777" w:rsidR="00911732" w:rsidRPr="00481B02" w:rsidRDefault="00911732" w:rsidP="00911732">
            <w:pPr>
              <w:jc w:val="center"/>
              <w:cnfStyle w:val="100000000000" w:firstRow="1" w:lastRow="0" w:firstColumn="0" w:lastColumn="0" w:oddVBand="0" w:evenVBand="0" w:oddHBand="0" w:evenHBand="0" w:firstRowFirstColumn="0" w:firstRowLastColumn="0" w:lastRowFirstColumn="0" w:lastRowLastColumn="0"/>
              <w:rPr>
                <w:rFonts w:eastAsia="Calibri"/>
                <w:szCs w:val="20"/>
                <w:lang w:bidi="ar-SA"/>
              </w:rPr>
            </w:pPr>
            <w:r w:rsidRPr="00481B02">
              <w:rPr>
                <w:rFonts w:eastAsia="Calibri"/>
                <w:szCs w:val="20"/>
                <w:lang w:bidi="ar-SA"/>
              </w:rPr>
              <w:t>Calendrier</w:t>
            </w:r>
          </w:p>
        </w:tc>
        <w:tc>
          <w:tcPr>
            <w:tcW w:w="0" w:type="auto"/>
            <w:vAlign w:val="center"/>
            <w:hideMark/>
          </w:tcPr>
          <w:p w14:paraId="3CAB7A44" w14:textId="77777777" w:rsidR="00911732" w:rsidRPr="00481B02" w:rsidRDefault="00911732" w:rsidP="006631E5">
            <w:pPr>
              <w:jc w:val="center"/>
              <w:cnfStyle w:val="100000000000" w:firstRow="1" w:lastRow="0" w:firstColumn="0" w:lastColumn="0" w:oddVBand="0" w:evenVBand="0" w:oddHBand="0" w:evenHBand="0" w:firstRowFirstColumn="0" w:firstRowLastColumn="0" w:lastRowFirstColumn="0" w:lastRowLastColumn="0"/>
              <w:rPr>
                <w:rFonts w:eastAsia="Calibri"/>
                <w:szCs w:val="20"/>
                <w:lang w:bidi="ar-SA"/>
              </w:rPr>
            </w:pPr>
            <w:r w:rsidRPr="00481B02">
              <w:rPr>
                <w:rFonts w:eastAsia="Calibri"/>
                <w:szCs w:val="20"/>
                <w:lang w:bidi="ar-SA"/>
              </w:rPr>
              <w:t>Coût</w:t>
            </w:r>
          </w:p>
        </w:tc>
      </w:tr>
      <w:tr w:rsidR="00B309D9" w:rsidRPr="00911732" w14:paraId="3DFF7665" w14:textId="77777777" w:rsidTr="005A7661">
        <w:tc>
          <w:tcPr>
            <w:cnfStyle w:val="001000000000" w:firstRow="0" w:lastRow="0" w:firstColumn="1" w:lastColumn="0" w:oddVBand="0" w:evenVBand="0" w:oddHBand="0" w:evenHBand="0" w:firstRowFirstColumn="0" w:firstRowLastColumn="0" w:lastRowFirstColumn="0" w:lastRowLastColumn="0"/>
            <w:tcW w:w="0" w:type="auto"/>
            <w:vMerge w:val="restart"/>
            <w:hideMark/>
          </w:tcPr>
          <w:p w14:paraId="1EDC5BBE" w14:textId="77777777" w:rsidR="00B309D9" w:rsidRPr="00481B02" w:rsidRDefault="00B309D9" w:rsidP="004637C7">
            <w:pPr>
              <w:jc w:val="left"/>
              <w:rPr>
                <w:rFonts w:eastAsia="Calibri"/>
                <w:szCs w:val="20"/>
                <w:lang w:bidi="ar-SA"/>
              </w:rPr>
            </w:pPr>
            <w:r w:rsidRPr="00481B02">
              <w:rPr>
                <w:rFonts w:eastAsia="Calibri"/>
                <w:szCs w:val="20"/>
                <w:lang w:bidi="ar-SA"/>
              </w:rPr>
              <w:t>Contraintes thermiques et fatigue physique liée au travail sur piste</w:t>
            </w:r>
          </w:p>
        </w:tc>
        <w:tc>
          <w:tcPr>
            <w:tcW w:w="0" w:type="auto"/>
            <w:hideMark/>
          </w:tcPr>
          <w:p w14:paraId="06B8391B" w14:textId="77777777" w:rsidR="00B309D9" w:rsidRPr="004637C7" w:rsidRDefault="00B309D9" w:rsidP="004637C7">
            <w:pPr>
              <w:jc w:val="left"/>
              <w:cnfStyle w:val="000000000000" w:firstRow="0" w:lastRow="0" w:firstColumn="0" w:lastColumn="0" w:oddVBand="0" w:evenVBand="0" w:oddHBand="0" w:evenHBand="0" w:firstRowFirstColumn="0" w:firstRowLastColumn="0" w:lastRowFirstColumn="0" w:lastRowLastColumn="0"/>
              <w:rPr>
                <w:rFonts w:eastAsia="Calibri"/>
                <w:szCs w:val="20"/>
                <w:lang w:bidi="ar-SA"/>
              </w:rPr>
            </w:pPr>
            <w:r w:rsidRPr="004637C7">
              <w:rPr>
                <w:rFonts w:eastAsia="Calibri"/>
                <w:szCs w:val="20"/>
                <w:lang w:bidi="ar-SA"/>
              </w:rPr>
              <w:t>Éviter</w:t>
            </w:r>
          </w:p>
        </w:tc>
        <w:tc>
          <w:tcPr>
            <w:tcW w:w="2585" w:type="dxa"/>
            <w:hideMark/>
          </w:tcPr>
          <w:p w14:paraId="43BBA6B1" w14:textId="77777777" w:rsidR="00B309D9" w:rsidRPr="00481B02" w:rsidRDefault="00B309D9" w:rsidP="00D75525">
            <w:pPr>
              <w:jc w:val="left"/>
              <w:cnfStyle w:val="000000000000" w:firstRow="0" w:lastRow="0" w:firstColumn="0" w:lastColumn="0" w:oddVBand="0" w:evenVBand="0" w:oddHBand="0" w:evenHBand="0" w:firstRowFirstColumn="0" w:firstRowLastColumn="0" w:lastRowFirstColumn="0" w:lastRowLastColumn="0"/>
              <w:rPr>
                <w:rFonts w:eastAsia="Calibri"/>
                <w:szCs w:val="20"/>
                <w:lang w:bidi="ar-SA"/>
              </w:rPr>
            </w:pPr>
            <w:r w:rsidRPr="004637C7">
              <w:rPr>
                <w:rFonts w:eastAsia="Calibri"/>
                <w:szCs w:val="20"/>
                <w:lang w:bidi="ar-SA"/>
              </w:rPr>
              <w:t xml:space="preserve">Réorganiser les tâches extérieures selon les conditions météo ; </w:t>
            </w:r>
          </w:p>
          <w:p w14:paraId="6473734F" w14:textId="6A4376C9" w:rsidR="00B309D9" w:rsidRPr="004637C7" w:rsidRDefault="00B309D9" w:rsidP="004637C7">
            <w:pPr>
              <w:jc w:val="left"/>
              <w:cnfStyle w:val="000000000000" w:firstRow="0" w:lastRow="0" w:firstColumn="0" w:lastColumn="0" w:oddVBand="0" w:evenVBand="0" w:oddHBand="0" w:evenHBand="0" w:firstRowFirstColumn="0" w:firstRowLastColumn="0" w:lastRowFirstColumn="0" w:lastRowLastColumn="0"/>
              <w:rPr>
                <w:rFonts w:eastAsia="Calibri"/>
                <w:szCs w:val="20"/>
                <w:lang w:bidi="ar-SA"/>
              </w:rPr>
            </w:pPr>
            <w:r w:rsidRPr="00481B02">
              <w:rPr>
                <w:rFonts w:eastAsia="Calibri"/>
                <w:szCs w:val="20"/>
                <w:lang w:bidi="ar-SA"/>
              </w:rPr>
              <w:t>A</w:t>
            </w:r>
            <w:r w:rsidRPr="004637C7">
              <w:rPr>
                <w:rFonts w:eastAsia="Calibri"/>
                <w:szCs w:val="20"/>
                <w:lang w:bidi="ar-SA"/>
              </w:rPr>
              <w:t>ménager des abris fixes sur les zones d’attente.</w:t>
            </w:r>
          </w:p>
        </w:tc>
        <w:tc>
          <w:tcPr>
            <w:tcW w:w="1613" w:type="dxa"/>
            <w:hideMark/>
          </w:tcPr>
          <w:p w14:paraId="3C1B87E0" w14:textId="3C405CD5" w:rsidR="00B309D9" w:rsidRPr="004637C7" w:rsidRDefault="00B309D9" w:rsidP="004637C7">
            <w:pPr>
              <w:jc w:val="left"/>
              <w:cnfStyle w:val="000000000000" w:firstRow="0" w:lastRow="0" w:firstColumn="0" w:lastColumn="0" w:oddVBand="0" w:evenVBand="0" w:oddHBand="0" w:evenHBand="0" w:firstRowFirstColumn="0" w:firstRowLastColumn="0" w:lastRowFirstColumn="0" w:lastRowLastColumn="0"/>
              <w:rPr>
                <w:rFonts w:eastAsia="Calibri"/>
                <w:szCs w:val="20"/>
                <w:lang w:bidi="ar-SA"/>
              </w:rPr>
            </w:pPr>
            <w:r w:rsidRPr="004637C7">
              <w:rPr>
                <w:rFonts w:eastAsia="Calibri"/>
                <w:szCs w:val="20"/>
                <w:lang w:bidi="ar-SA"/>
              </w:rPr>
              <w:t>Nb d’abris installés</w:t>
            </w:r>
          </w:p>
        </w:tc>
        <w:tc>
          <w:tcPr>
            <w:tcW w:w="0" w:type="auto"/>
            <w:hideMark/>
          </w:tcPr>
          <w:p w14:paraId="07385E9E" w14:textId="4FA09CB0" w:rsidR="00B309D9" w:rsidRPr="004637C7" w:rsidRDefault="00B309D9" w:rsidP="00D75525">
            <w:pPr>
              <w:jc w:val="center"/>
              <w:cnfStyle w:val="000000000000" w:firstRow="0" w:lastRow="0" w:firstColumn="0" w:lastColumn="0" w:oddVBand="0" w:evenVBand="0" w:oddHBand="0" w:evenHBand="0" w:firstRowFirstColumn="0" w:firstRowLastColumn="0" w:lastRowFirstColumn="0" w:lastRowLastColumn="0"/>
              <w:rPr>
                <w:rFonts w:eastAsia="Calibri"/>
                <w:szCs w:val="20"/>
                <w:lang w:bidi="ar-SA"/>
              </w:rPr>
            </w:pPr>
            <w:r w:rsidRPr="00481B02">
              <w:rPr>
                <w:rFonts w:eastAsia="Calibri"/>
                <w:szCs w:val="20"/>
                <w:lang w:bidi="ar-SA"/>
              </w:rPr>
              <w:t>ONDA / Exploitant</w:t>
            </w:r>
          </w:p>
        </w:tc>
        <w:tc>
          <w:tcPr>
            <w:tcW w:w="0" w:type="auto"/>
            <w:hideMark/>
          </w:tcPr>
          <w:p w14:paraId="18927665" w14:textId="78CE5FD5" w:rsidR="00B309D9" w:rsidRPr="004637C7" w:rsidRDefault="00B309D9" w:rsidP="00D75525">
            <w:pPr>
              <w:jc w:val="center"/>
              <w:cnfStyle w:val="000000000000" w:firstRow="0" w:lastRow="0" w:firstColumn="0" w:lastColumn="0" w:oddVBand="0" w:evenVBand="0" w:oddHBand="0" w:evenHBand="0" w:firstRowFirstColumn="0" w:firstRowLastColumn="0" w:lastRowFirstColumn="0" w:lastRowLastColumn="0"/>
              <w:rPr>
                <w:rFonts w:eastAsia="Calibri"/>
                <w:szCs w:val="20"/>
                <w:lang w:bidi="ar-SA"/>
              </w:rPr>
            </w:pPr>
            <w:r w:rsidRPr="00481B02">
              <w:rPr>
                <w:szCs w:val="20"/>
                <w:lang w:eastAsia="fr-FR" w:bidi="ar-SA"/>
              </w:rPr>
              <w:t>ONDA</w:t>
            </w:r>
          </w:p>
        </w:tc>
        <w:tc>
          <w:tcPr>
            <w:tcW w:w="0" w:type="auto"/>
            <w:hideMark/>
          </w:tcPr>
          <w:p w14:paraId="45D4AD80" w14:textId="3D4A61EB" w:rsidR="00B309D9" w:rsidRPr="004637C7" w:rsidRDefault="00B309D9" w:rsidP="00D75525">
            <w:pPr>
              <w:jc w:val="center"/>
              <w:cnfStyle w:val="000000000000" w:firstRow="0" w:lastRow="0" w:firstColumn="0" w:lastColumn="0" w:oddVBand="0" w:evenVBand="0" w:oddHBand="0" w:evenHBand="0" w:firstRowFirstColumn="0" w:firstRowLastColumn="0" w:lastRowFirstColumn="0" w:lastRowLastColumn="0"/>
              <w:rPr>
                <w:rFonts w:eastAsia="Calibri"/>
                <w:szCs w:val="20"/>
                <w:lang w:bidi="ar-SA"/>
              </w:rPr>
            </w:pPr>
            <w:r w:rsidRPr="00481B02">
              <w:rPr>
                <w:szCs w:val="20"/>
                <w:lang w:eastAsia="fr-FR" w:bidi="ar-SA"/>
              </w:rPr>
              <w:t>ONDA</w:t>
            </w:r>
          </w:p>
        </w:tc>
        <w:tc>
          <w:tcPr>
            <w:tcW w:w="0" w:type="auto"/>
            <w:hideMark/>
          </w:tcPr>
          <w:p w14:paraId="0B10D2CE" w14:textId="77777777" w:rsidR="00B309D9" w:rsidRPr="004637C7" w:rsidRDefault="00B309D9" w:rsidP="00D75525">
            <w:pPr>
              <w:jc w:val="center"/>
              <w:cnfStyle w:val="000000000000" w:firstRow="0" w:lastRow="0" w:firstColumn="0" w:lastColumn="0" w:oddVBand="0" w:evenVBand="0" w:oddHBand="0" w:evenHBand="0" w:firstRowFirstColumn="0" w:firstRowLastColumn="0" w:lastRowFirstColumn="0" w:lastRowLastColumn="0"/>
              <w:rPr>
                <w:rFonts w:eastAsia="Calibri"/>
                <w:szCs w:val="20"/>
                <w:lang w:bidi="ar-SA"/>
              </w:rPr>
            </w:pPr>
            <w:r w:rsidRPr="004637C7">
              <w:rPr>
                <w:rFonts w:eastAsia="Calibri"/>
                <w:szCs w:val="20"/>
                <w:lang w:bidi="ar-SA"/>
              </w:rPr>
              <w:t>Saison chaude</w:t>
            </w:r>
          </w:p>
        </w:tc>
        <w:tc>
          <w:tcPr>
            <w:tcW w:w="0" w:type="auto"/>
            <w:hideMark/>
          </w:tcPr>
          <w:p w14:paraId="58F6CBAD" w14:textId="35958826" w:rsidR="00B309D9" w:rsidRDefault="00B309D9" w:rsidP="006631E5">
            <w:pPr>
              <w:jc w:val="left"/>
              <w:cnfStyle w:val="000000000000" w:firstRow="0" w:lastRow="0" w:firstColumn="0" w:lastColumn="0" w:oddVBand="0" w:evenVBand="0" w:oddHBand="0" w:evenHBand="0" w:firstRowFirstColumn="0" w:firstRowLastColumn="0" w:lastRowFirstColumn="0" w:lastRowLastColumn="0"/>
              <w:rPr>
                <w:rFonts w:eastAsia="Calibri"/>
                <w:szCs w:val="20"/>
                <w:lang w:bidi="ar-SA"/>
              </w:rPr>
            </w:pPr>
            <w:r>
              <w:rPr>
                <w:rFonts w:eastAsia="Calibri"/>
                <w:szCs w:val="20"/>
                <w:lang w:bidi="ar-SA"/>
              </w:rPr>
              <w:t>Aucun coût spécifique</w:t>
            </w:r>
          </w:p>
          <w:p w14:paraId="62EDEBF9" w14:textId="77777777" w:rsidR="00B309D9" w:rsidRDefault="00B309D9" w:rsidP="006631E5">
            <w:pPr>
              <w:jc w:val="left"/>
              <w:cnfStyle w:val="000000000000" w:firstRow="0" w:lastRow="0" w:firstColumn="0" w:lastColumn="0" w:oddVBand="0" w:evenVBand="0" w:oddHBand="0" w:evenHBand="0" w:firstRowFirstColumn="0" w:firstRowLastColumn="0" w:lastRowFirstColumn="0" w:lastRowLastColumn="0"/>
              <w:rPr>
                <w:rFonts w:eastAsia="Calibri"/>
                <w:szCs w:val="20"/>
                <w:lang w:bidi="ar-SA"/>
              </w:rPr>
            </w:pPr>
          </w:p>
          <w:p w14:paraId="1F73F15E" w14:textId="3EF26576" w:rsidR="00B309D9" w:rsidRPr="004637C7" w:rsidRDefault="00B309D9" w:rsidP="00D60FC9">
            <w:pPr>
              <w:jc w:val="left"/>
              <w:cnfStyle w:val="000000000000" w:firstRow="0" w:lastRow="0" w:firstColumn="0" w:lastColumn="0" w:oddVBand="0" w:evenVBand="0" w:oddHBand="0" w:evenHBand="0" w:firstRowFirstColumn="0" w:firstRowLastColumn="0" w:lastRowFirstColumn="0" w:lastRowLastColumn="0"/>
              <w:rPr>
                <w:rFonts w:eastAsia="Calibri"/>
                <w:szCs w:val="20"/>
                <w:lang w:bidi="ar-SA"/>
              </w:rPr>
            </w:pPr>
            <w:r w:rsidRPr="006631E5">
              <w:rPr>
                <w:rFonts w:eastAsia="Calibri"/>
                <w:szCs w:val="20"/>
                <w:lang w:bidi="ar-SA"/>
              </w:rPr>
              <w:t>3 000 – 4 000 MAD / abri</w:t>
            </w:r>
            <w:r>
              <w:rPr>
                <w:rFonts w:eastAsia="Calibri"/>
                <w:szCs w:val="20"/>
                <w:lang w:bidi="ar-SA"/>
              </w:rPr>
              <w:t xml:space="preserve"> (</w:t>
            </w:r>
            <w:r w:rsidRPr="006631E5">
              <w:rPr>
                <w:rFonts w:eastAsia="Calibri"/>
                <w:szCs w:val="20"/>
                <w:lang w:bidi="ar-SA"/>
              </w:rPr>
              <w:t>Abris métalliques légers ou toiles ignifugées fixes (3×3 m)</w:t>
            </w:r>
          </w:p>
        </w:tc>
      </w:tr>
      <w:tr w:rsidR="00B309D9" w:rsidRPr="00911732" w14:paraId="65A5FCEF" w14:textId="77777777" w:rsidTr="005A7661">
        <w:trPr>
          <w:trHeight w:val="753"/>
        </w:trPr>
        <w:tc>
          <w:tcPr>
            <w:cnfStyle w:val="001000000000" w:firstRow="0" w:lastRow="0" w:firstColumn="1" w:lastColumn="0" w:oddVBand="0" w:evenVBand="0" w:oddHBand="0" w:evenHBand="0" w:firstRowFirstColumn="0" w:firstRowLastColumn="0" w:lastRowFirstColumn="0" w:lastRowLastColumn="0"/>
            <w:tcW w:w="0" w:type="auto"/>
            <w:vMerge/>
            <w:hideMark/>
          </w:tcPr>
          <w:p w14:paraId="0C6DD2F7" w14:textId="77777777" w:rsidR="00B309D9" w:rsidRPr="004637C7" w:rsidRDefault="00B309D9" w:rsidP="00D75525">
            <w:pPr>
              <w:jc w:val="center"/>
              <w:rPr>
                <w:rFonts w:eastAsia="Calibri"/>
                <w:b w:val="0"/>
                <w:bCs w:val="0"/>
                <w:szCs w:val="20"/>
                <w:lang w:bidi="ar-SA"/>
              </w:rPr>
            </w:pPr>
          </w:p>
        </w:tc>
        <w:tc>
          <w:tcPr>
            <w:tcW w:w="0" w:type="auto"/>
            <w:vMerge w:val="restart"/>
            <w:hideMark/>
          </w:tcPr>
          <w:p w14:paraId="6C431223" w14:textId="77777777" w:rsidR="00B309D9" w:rsidRPr="004637C7" w:rsidRDefault="00B309D9" w:rsidP="004637C7">
            <w:pPr>
              <w:jc w:val="left"/>
              <w:cnfStyle w:val="000000000000" w:firstRow="0" w:lastRow="0" w:firstColumn="0" w:lastColumn="0" w:oddVBand="0" w:evenVBand="0" w:oddHBand="0" w:evenHBand="0" w:firstRowFirstColumn="0" w:firstRowLastColumn="0" w:lastRowFirstColumn="0" w:lastRowLastColumn="0"/>
              <w:rPr>
                <w:rFonts w:eastAsia="Calibri"/>
                <w:szCs w:val="20"/>
                <w:lang w:bidi="ar-SA"/>
              </w:rPr>
            </w:pPr>
            <w:r w:rsidRPr="004637C7">
              <w:rPr>
                <w:rFonts w:eastAsia="Calibri"/>
                <w:szCs w:val="20"/>
                <w:lang w:bidi="ar-SA"/>
              </w:rPr>
              <w:t>Réduire</w:t>
            </w:r>
          </w:p>
        </w:tc>
        <w:tc>
          <w:tcPr>
            <w:tcW w:w="2585" w:type="dxa"/>
            <w:vMerge w:val="restart"/>
            <w:hideMark/>
          </w:tcPr>
          <w:p w14:paraId="641BC2B2" w14:textId="1E5DCEEF" w:rsidR="00B309D9" w:rsidRPr="004637C7" w:rsidRDefault="00B309D9" w:rsidP="00D75525">
            <w:pPr>
              <w:jc w:val="left"/>
              <w:cnfStyle w:val="000000000000" w:firstRow="0" w:lastRow="0" w:firstColumn="0" w:lastColumn="0" w:oddVBand="0" w:evenVBand="0" w:oddHBand="0" w:evenHBand="0" w:firstRowFirstColumn="0" w:firstRowLastColumn="0" w:lastRowFirstColumn="0" w:lastRowLastColumn="0"/>
              <w:rPr>
                <w:rFonts w:eastAsia="Calibri"/>
                <w:szCs w:val="20"/>
                <w:lang w:bidi="ar-SA"/>
              </w:rPr>
            </w:pPr>
            <w:r w:rsidRPr="004637C7">
              <w:rPr>
                <w:rFonts w:eastAsia="Calibri"/>
                <w:szCs w:val="20"/>
                <w:lang w:bidi="ar-SA"/>
              </w:rPr>
              <w:t xml:space="preserve">Fournir 5 L d’eau/jour/personne et boissons isotoniques ; </w:t>
            </w:r>
          </w:p>
        </w:tc>
        <w:tc>
          <w:tcPr>
            <w:tcW w:w="1613" w:type="dxa"/>
            <w:vMerge w:val="restart"/>
            <w:hideMark/>
          </w:tcPr>
          <w:p w14:paraId="6BFD1311" w14:textId="77777777" w:rsidR="00B309D9" w:rsidRPr="00481B02" w:rsidRDefault="00B309D9" w:rsidP="00D75525">
            <w:pPr>
              <w:jc w:val="left"/>
              <w:cnfStyle w:val="000000000000" w:firstRow="0" w:lastRow="0" w:firstColumn="0" w:lastColumn="0" w:oddVBand="0" w:evenVBand="0" w:oddHBand="0" w:evenHBand="0" w:firstRowFirstColumn="0" w:firstRowLastColumn="0" w:lastRowFirstColumn="0" w:lastRowLastColumn="0"/>
              <w:rPr>
                <w:rFonts w:eastAsia="Calibri"/>
                <w:szCs w:val="20"/>
                <w:lang w:bidi="ar-SA"/>
              </w:rPr>
            </w:pPr>
            <w:r w:rsidRPr="004637C7">
              <w:rPr>
                <w:rFonts w:eastAsia="Calibri"/>
                <w:szCs w:val="20"/>
                <w:lang w:bidi="ar-SA"/>
              </w:rPr>
              <w:t xml:space="preserve">% du personnel équipé </w:t>
            </w:r>
          </w:p>
          <w:p w14:paraId="00FB3379" w14:textId="77777777" w:rsidR="00B309D9" w:rsidRPr="00481B02" w:rsidRDefault="00B309D9" w:rsidP="00D75525">
            <w:pPr>
              <w:jc w:val="left"/>
              <w:cnfStyle w:val="000000000000" w:firstRow="0" w:lastRow="0" w:firstColumn="0" w:lastColumn="0" w:oddVBand="0" w:evenVBand="0" w:oddHBand="0" w:evenHBand="0" w:firstRowFirstColumn="0" w:firstRowLastColumn="0" w:lastRowFirstColumn="0" w:lastRowLastColumn="0"/>
              <w:rPr>
                <w:rFonts w:eastAsia="Calibri"/>
                <w:szCs w:val="20"/>
                <w:lang w:bidi="ar-SA"/>
              </w:rPr>
            </w:pPr>
            <w:r w:rsidRPr="004637C7">
              <w:rPr>
                <w:rFonts w:eastAsia="Calibri"/>
                <w:szCs w:val="20"/>
                <w:lang w:bidi="ar-SA"/>
              </w:rPr>
              <w:t xml:space="preserve">Nb de points d’eau </w:t>
            </w:r>
          </w:p>
          <w:p w14:paraId="18091BC8" w14:textId="3FF25F5B" w:rsidR="00B309D9" w:rsidRPr="004637C7" w:rsidRDefault="00B309D9" w:rsidP="004637C7">
            <w:pPr>
              <w:jc w:val="left"/>
              <w:cnfStyle w:val="000000000000" w:firstRow="0" w:lastRow="0" w:firstColumn="0" w:lastColumn="0" w:oddVBand="0" w:evenVBand="0" w:oddHBand="0" w:evenHBand="0" w:firstRowFirstColumn="0" w:firstRowLastColumn="0" w:lastRowFirstColumn="0" w:lastRowLastColumn="0"/>
              <w:rPr>
                <w:rFonts w:eastAsia="Calibri"/>
                <w:szCs w:val="20"/>
                <w:lang w:bidi="ar-SA"/>
              </w:rPr>
            </w:pPr>
            <w:r w:rsidRPr="004637C7">
              <w:rPr>
                <w:rFonts w:eastAsia="Calibri"/>
                <w:szCs w:val="20"/>
                <w:lang w:bidi="ar-SA"/>
              </w:rPr>
              <w:t>Nb de pauses respectées</w:t>
            </w:r>
          </w:p>
        </w:tc>
        <w:tc>
          <w:tcPr>
            <w:tcW w:w="0" w:type="auto"/>
            <w:vMerge w:val="restart"/>
            <w:hideMark/>
          </w:tcPr>
          <w:p w14:paraId="307B7776" w14:textId="6CB82DE2" w:rsidR="00B309D9" w:rsidRPr="004637C7" w:rsidRDefault="00B309D9" w:rsidP="00D75525">
            <w:pPr>
              <w:jc w:val="center"/>
              <w:cnfStyle w:val="000000000000" w:firstRow="0" w:lastRow="0" w:firstColumn="0" w:lastColumn="0" w:oddVBand="0" w:evenVBand="0" w:oddHBand="0" w:evenHBand="0" w:firstRowFirstColumn="0" w:firstRowLastColumn="0" w:lastRowFirstColumn="0" w:lastRowLastColumn="0"/>
              <w:rPr>
                <w:rFonts w:eastAsia="Calibri"/>
                <w:szCs w:val="20"/>
                <w:lang w:bidi="ar-SA"/>
              </w:rPr>
            </w:pPr>
            <w:r w:rsidRPr="00481B02">
              <w:rPr>
                <w:szCs w:val="20"/>
                <w:lang w:eastAsia="fr-FR" w:bidi="ar-SA"/>
              </w:rPr>
              <w:t>ONDA / Exploitant</w:t>
            </w:r>
          </w:p>
        </w:tc>
        <w:tc>
          <w:tcPr>
            <w:tcW w:w="0" w:type="auto"/>
            <w:vMerge w:val="restart"/>
            <w:hideMark/>
          </w:tcPr>
          <w:p w14:paraId="0BA2BF5D" w14:textId="389CA8AD" w:rsidR="00B309D9" w:rsidRPr="004637C7" w:rsidRDefault="00B309D9" w:rsidP="00D75525">
            <w:pPr>
              <w:jc w:val="center"/>
              <w:cnfStyle w:val="000000000000" w:firstRow="0" w:lastRow="0" w:firstColumn="0" w:lastColumn="0" w:oddVBand="0" w:evenVBand="0" w:oddHBand="0" w:evenHBand="0" w:firstRowFirstColumn="0" w:firstRowLastColumn="0" w:lastRowFirstColumn="0" w:lastRowLastColumn="0"/>
              <w:rPr>
                <w:rFonts w:eastAsia="Calibri"/>
                <w:szCs w:val="20"/>
                <w:lang w:bidi="ar-SA"/>
              </w:rPr>
            </w:pPr>
            <w:r w:rsidRPr="00481B02">
              <w:rPr>
                <w:szCs w:val="20"/>
                <w:lang w:eastAsia="fr-FR" w:bidi="ar-SA"/>
              </w:rPr>
              <w:t>ONDA</w:t>
            </w:r>
          </w:p>
        </w:tc>
        <w:tc>
          <w:tcPr>
            <w:tcW w:w="0" w:type="auto"/>
            <w:vMerge w:val="restart"/>
            <w:hideMark/>
          </w:tcPr>
          <w:p w14:paraId="7D940FEC" w14:textId="02DE2448" w:rsidR="00B309D9" w:rsidRPr="004637C7" w:rsidRDefault="00B309D9" w:rsidP="00D75525">
            <w:pPr>
              <w:jc w:val="center"/>
              <w:cnfStyle w:val="000000000000" w:firstRow="0" w:lastRow="0" w:firstColumn="0" w:lastColumn="0" w:oddVBand="0" w:evenVBand="0" w:oddHBand="0" w:evenHBand="0" w:firstRowFirstColumn="0" w:firstRowLastColumn="0" w:lastRowFirstColumn="0" w:lastRowLastColumn="0"/>
              <w:rPr>
                <w:rFonts w:eastAsia="Calibri"/>
                <w:szCs w:val="20"/>
                <w:lang w:bidi="ar-SA"/>
              </w:rPr>
            </w:pPr>
            <w:r w:rsidRPr="00481B02">
              <w:rPr>
                <w:szCs w:val="20"/>
                <w:lang w:eastAsia="fr-FR" w:bidi="ar-SA"/>
              </w:rPr>
              <w:t>ONDA</w:t>
            </w:r>
          </w:p>
        </w:tc>
        <w:tc>
          <w:tcPr>
            <w:tcW w:w="0" w:type="auto"/>
            <w:vMerge w:val="restart"/>
            <w:hideMark/>
          </w:tcPr>
          <w:p w14:paraId="3433D954" w14:textId="77777777" w:rsidR="00B309D9" w:rsidRPr="004637C7" w:rsidRDefault="00B309D9" w:rsidP="00D75525">
            <w:pPr>
              <w:jc w:val="center"/>
              <w:cnfStyle w:val="000000000000" w:firstRow="0" w:lastRow="0" w:firstColumn="0" w:lastColumn="0" w:oddVBand="0" w:evenVBand="0" w:oddHBand="0" w:evenHBand="0" w:firstRowFirstColumn="0" w:firstRowLastColumn="0" w:lastRowFirstColumn="0" w:lastRowLastColumn="0"/>
              <w:rPr>
                <w:rFonts w:eastAsia="Calibri"/>
                <w:szCs w:val="20"/>
                <w:lang w:bidi="ar-SA"/>
              </w:rPr>
            </w:pPr>
            <w:r w:rsidRPr="004637C7">
              <w:rPr>
                <w:rFonts w:eastAsia="Calibri"/>
                <w:szCs w:val="20"/>
                <w:lang w:bidi="ar-SA"/>
              </w:rPr>
              <w:t>Continu</w:t>
            </w:r>
          </w:p>
        </w:tc>
        <w:tc>
          <w:tcPr>
            <w:tcW w:w="0" w:type="auto"/>
            <w:tcBorders>
              <w:bottom w:val="single" w:sz="4" w:space="0" w:color="B4C6E7" w:themeColor="accent1" w:themeTint="66"/>
            </w:tcBorders>
            <w:hideMark/>
          </w:tcPr>
          <w:p w14:paraId="44254A73" w14:textId="2107FB45" w:rsidR="00B309D9" w:rsidRPr="004637C7" w:rsidRDefault="00B309D9" w:rsidP="00D60FC9">
            <w:pPr>
              <w:jc w:val="left"/>
              <w:cnfStyle w:val="000000000000" w:firstRow="0" w:lastRow="0" w:firstColumn="0" w:lastColumn="0" w:oddVBand="0" w:evenVBand="0" w:oddHBand="0" w:evenHBand="0" w:firstRowFirstColumn="0" w:firstRowLastColumn="0" w:lastRowFirstColumn="0" w:lastRowLastColumn="0"/>
              <w:rPr>
                <w:rFonts w:eastAsia="Calibri"/>
                <w:szCs w:val="20"/>
                <w:lang w:bidi="ar-SA"/>
              </w:rPr>
            </w:pPr>
            <w:r w:rsidRPr="006631E5">
              <w:rPr>
                <w:rFonts w:eastAsia="Calibri"/>
                <w:szCs w:val="20"/>
                <w:lang w:bidi="ar-SA"/>
              </w:rPr>
              <w:t>≈ 10 MAD / personne / jour</w:t>
            </w:r>
          </w:p>
        </w:tc>
      </w:tr>
      <w:tr w:rsidR="00B309D9" w:rsidRPr="00911732" w14:paraId="40D04FEE" w14:textId="77777777" w:rsidTr="005A7661">
        <w:trPr>
          <w:trHeight w:val="521"/>
        </w:trPr>
        <w:tc>
          <w:tcPr>
            <w:cnfStyle w:val="001000000000" w:firstRow="0" w:lastRow="0" w:firstColumn="1" w:lastColumn="0" w:oddVBand="0" w:evenVBand="0" w:oddHBand="0" w:evenHBand="0" w:firstRowFirstColumn="0" w:firstRowLastColumn="0" w:lastRowFirstColumn="0" w:lastRowLastColumn="0"/>
            <w:tcW w:w="0" w:type="auto"/>
            <w:vMerge/>
          </w:tcPr>
          <w:p w14:paraId="37082801" w14:textId="77777777" w:rsidR="00B309D9" w:rsidRPr="004637C7" w:rsidRDefault="00B309D9" w:rsidP="00D75525">
            <w:pPr>
              <w:jc w:val="center"/>
              <w:rPr>
                <w:rFonts w:eastAsia="Calibri"/>
                <w:b w:val="0"/>
                <w:bCs w:val="0"/>
                <w:szCs w:val="20"/>
                <w:lang w:bidi="ar-SA"/>
              </w:rPr>
            </w:pPr>
          </w:p>
        </w:tc>
        <w:tc>
          <w:tcPr>
            <w:tcW w:w="0" w:type="auto"/>
            <w:vMerge/>
          </w:tcPr>
          <w:p w14:paraId="4EF38894" w14:textId="77777777" w:rsidR="00B309D9" w:rsidRPr="004637C7" w:rsidRDefault="00B309D9" w:rsidP="004637C7">
            <w:pPr>
              <w:jc w:val="left"/>
              <w:cnfStyle w:val="000000000000" w:firstRow="0" w:lastRow="0" w:firstColumn="0" w:lastColumn="0" w:oddVBand="0" w:evenVBand="0" w:oddHBand="0" w:evenHBand="0" w:firstRowFirstColumn="0" w:firstRowLastColumn="0" w:lastRowFirstColumn="0" w:lastRowLastColumn="0"/>
              <w:rPr>
                <w:rFonts w:eastAsia="Calibri"/>
                <w:szCs w:val="20"/>
                <w:lang w:bidi="ar-SA"/>
              </w:rPr>
            </w:pPr>
          </w:p>
        </w:tc>
        <w:tc>
          <w:tcPr>
            <w:tcW w:w="2585" w:type="dxa"/>
            <w:vMerge/>
            <w:tcBorders>
              <w:bottom w:val="single" w:sz="4" w:space="0" w:color="B4C6E7" w:themeColor="accent1" w:themeTint="66"/>
            </w:tcBorders>
          </w:tcPr>
          <w:p w14:paraId="6FCB63EA" w14:textId="77777777" w:rsidR="00B309D9" w:rsidRPr="004637C7" w:rsidRDefault="00B309D9" w:rsidP="00D75525">
            <w:pPr>
              <w:jc w:val="left"/>
              <w:cnfStyle w:val="000000000000" w:firstRow="0" w:lastRow="0" w:firstColumn="0" w:lastColumn="0" w:oddVBand="0" w:evenVBand="0" w:oddHBand="0" w:evenHBand="0" w:firstRowFirstColumn="0" w:firstRowLastColumn="0" w:lastRowFirstColumn="0" w:lastRowLastColumn="0"/>
              <w:rPr>
                <w:rFonts w:eastAsia="Calibri"/>
                <w:szCs w:val="20"/>
                <w:lang w:bidi="ar-SA"/>
              </w:rPr>
            </w:pPr>
          </w:p>
        </w:tc>
        <w:tc>
          <w:tcPr>
            <w:tcW w:w="1613" w:type="dxa"/>
            <w:vMerge/>
          </w:tcPr>
          <w:p w14:paraId="68C4F327" w14:textId="77777777" w:rsidR="00B309D9" w:rsidRPr="004637C7" w:rsidRDefault="00B309D9" w:rsidP="00D75525">
            <w:pPr>
              <w:jc w:val="left"/>
              <w:cnfStyle w:val="000000000000" w:firstRow="0" w:lastRow="0" w:firstColumn="0" w:lastColumn="0" w:oddVBand="0" w:evenVBand="0" w:oddHBand="0" w:evenHBand="0" w:firstRowFirstColumn="0" w:firstRowLastColumn="0" w:lastRowFirstColumn="0" w:lastRowLastColumn="0"/>
              <w:rPr>
                <w:rFonts w:eastAsia="Calibri"/>
                <w:szCs w:val="20"/>
                <w:lang w:bidi="ar-SA"/>
              </w:rPr>
            </w:pPr>
          </w:p>
        </w:tc>
        <w:tc>
          <w:tcPr>
            <w:tcW w:w="0" w:type="auto"/>
            <w:vMerge/>
          </w:tcPr>
          <w:p w14:paraId="66B115C7" w14:textId="77777777" w:rsidR="00B309D9" w:rsidRPr="00481B02" w:rsidRDefault="00B309D9" w:rsidP="00D75525">
            <w:pPr>
              <w:jc w:val="center"/>
              <w:cnfStyle w:val="000000000000" w:firstRow="0" w:lastRow="0" w:firstColumn="0" w:lastColumn="0" w:oddVBand="0" w:evenVBand="0" w:oddHBand="0" w:evenHBand="0" w:firstRowFirstColumn="0" w:firstRowLastColumn="0" w:lastRowFirstColumn="0" w:lastRowLastColumn="0"/>
              <w:rPr>
                <w:szCs w:val="20"/>
                <w:lang w:eastAsia="fr-FR" w:bidi="ar-SA"/>
              </w:rPr>
            </w:pPr>
          </w:p>
        </w:tc>
        <w:tc>
          <w:tcPr>
            <w:tcW w:w="0" w:type="auto"/>
            <w:vMerge/>
          </w:tcPr>
          <w:p w14:paraId="329D61BD" w14:textId="77777777" w:rsidR="00B309D9" w:rsidRPr="00481B02" w:rsidRDefault="00B309D9" w:rsidP="00D75525">
            <w:pPr>
              <w:jc w:val="center"/>
              <w:cnfStyle w:val="000000000000" w:firstRow="0" w:lastRow="0" w:firstColumn="0" w:lastColumn="0" w:oddVBand="0" w:evenVBand="0" w:oddHBand="0" w:evenHBand="0" w:firstRowFirstColumn="0" w:firstRowLastColumn="0" w:lastRowFirstColumn="0" w:lastRowLastColumn="0"/>
              <w:rPr>
                <w:szCs w:val="20"/>
                <w:lang w:eastAsia="fr-FR" w:bidi="ar-SA"/>
              </w:rPr>
            </w:pPr>
          </w:p>
        </w:tc>
        <w:tc>
          <w:tcPr>
            <w:tcW w:w="0" w:type="auto"/>
            <w:vMerge/>
          </w:tcPr>
          <w:p w14:paraId="5ABB5F75" w14:textId="77777777" w:rsidR="00B309D9" w:rsidRPr="00481B02" w:rsidRDefault="00B309D9" w:rsidP="00D75525">
            <w:pPr>
              <w:jc w:val="center"/>
              <w:cnfStyle w:val="000000000000" w:firstRow="0" w:lastRow="0" w:firstColumn="0" w:lastColumn="0" w:oddVBand="0" w:evenVBand="0" w:oddHBand="0" w:evenHBand="0" w:firstRowFirstColumn="0" w:firstRowLastColumn="0" w:lastRowFirstColumn="0" w:lastRowLastColumn="0"/>
              <w:rPr>
                <w:szCs w:val="20"/>
                <w:lang w:eastAsia="fr-FR" w:bidi="ar-SA"/>
              </w:rPr>
            </w:pPr>
          </w:p>
        </w:tc>
        <w:tc>
          <w:tcPr>
            <w:tcW w:w="0" w:type="auto"/>
            <w:vMerge/>
          </w:tcPr>
          <w:p w14:paraId="6149F680" w14:textId="77777777" w:rsidR="00B309D9" w:rsidRPr="004637C7" w:rsidRDefault="00B309D9" w:rsidP="00D75525">
            <w:pPr>
              <w:jc w:val="center"/>
              <w:cnfStyle w:val="000000000000" w:firstRow="0" w:lastRow="0" w:firstColumn="0" w:lastColumn="0" w:oddVBand="0" w:evenVBand="0" w:oddHBand="0" w:evenHBand="0" w:firstRowFirstColumn="0" w:firstRowLastColumn="0" w:lastRowFirstColumn="0" w:lastRowLastColumn="0"/>
              <w:rPr>
                <w:rFonts w:eastAsia="Calibri"/>
                <w:szCs w:val="20"/>
                <w:lang w:bidi="ar-SA"/>
              </w:rPr>
            </w:pPr>
          </w:p>
        </w:tc>
        <w:tc>
          <w:tcPr>
            <w:tcW w:w="0" w:type="auto"/>
            <w:vMerge w:val="restart"/>
            <w:tcBorders>
              <w:top w:val="single" w:sz="4" w:space="0" w:color="B4C6E7" w:themeColor="accent1" w:themeTint="66"/>
            </w:tcBorders>
          </w:tcPr>
          <w:p w14:paraId="6D827506" w14:textId="4494E974" w:rsidR="00B309D9" w:rsidRPr="006631E5" w:rsidRDefault="00B309D9" w:rsidP="006631E5">
            <w:pPr>
              <w:jc w:val="left"/>
              <w:cnfStyle w:val="000000000000" w:firstRow="0" w:lastRow="0" w:firstColumn="0" w:lastColumn="0" w:oddVBand="0" w:evenVBand="0" w:oddHBand="0" w:evenHBand="0" w:firstRowFirstColumn="0" w:firstRowLastColumn="0" w:lastRowFirstColumn="0" w:lastRowLastColumn="0"/>
              <w:rPr>
                <w:rFonts w:eastAsia="Calibri"/>
                <w:szCs w:val="20"/>
                <w:lang w:bidi="ar-SA"/>
              </w:rPr>
            </w:pPr>
            <w:r>
              <w:rPr>
                <w:rFonts w:eastAsia="Calibri"/>
                <w:szCs w:val="20"/>
                <w:lang w:bidi="ar-SA"/>
              </w:rPr>
              <w:t>A</w:t>
            </w:r>
            <w:r w:rsidRPr="006631E5">
              <w:rPr>
                <w:rFonts w:eastAsia="Calibri"/>
                <w:szCs w:val="20"/>
                <w:lang w:bidi="ar-SA"/>
              </w:rPr>
              <w:t>ucun coût spécifique</w:t>
            </w:r>
          </w:p>
        </w:tc>
      </w:tr>
      <w:tr w:rsidR="00B309D9" w:rsidRPr="00911732" w14:paraId="5E398FE9" w14:textId="77777777" w:rsidTr="005A7661">
        <w:trPr>
          <w:trHeight w:val="1505"/>
        </w:trPr>
        <w:tc>
          <w:tcPr>
            <w:cnfStyle w:val="001000000000" w:firstRow="0" w:lastRow="0" w:firstColumn="1" w:lastColumn="0" w:oddVBand="0" w:evenVBand="0" w:oddHBand="0" w:evenHBand="0" w:firstRowFirstColumn="0" w:firstRowLastColumn="0" w:lastRowFirstColumn="0" w:lastRowLastColumn="0"/>
            <w:tcW w:w="0" w:type="auto"/>
            <w:vMerge/>
          </w:tcPr>
          <w:p w14:paraId="265C6A02" w14:textId="77777777" w:rsidR="00B309D9" w:rsidRPr="004637C7" w:rsidRDefault="00B309D9" w:rsidP="00D75525">
            <w:pPr>
              <w:jc w:val="center"/>
              <w:rPr>
                <w:rFonts w:eastAsia="Calibri"/>
                <w:b w:val="0"/>
                <w:bCs w:val="0"/>
                <w:szCs w:val="20"/>
                <w:lang w:bidi="ar-SA"/>
              </w:rPr>
            </w:pPr>
          </w:p>
        </w:tc>
        <w:tc>
          <w:tcPr>
            <w:tcW w:w="0" w:type="auto"/>
            <w:vMerge/>
          </w:tcPr>
          <w:p w14:paraId="425B9768" w14:textId="77777777" w:rsidR="00B309D9" w:rsidRPr="004637C7" w:rsidRDefault="00B309D9" w:rsidP="004637C7">
            <w:pPr>
              <w:jc w:val="left"/>
              <w:cnfStyle w:val="000000000000" w:firstRow="0" w:lastRow="0" w:firstColumn="0" w:lastColumn="0" w:oddVBand="0" w:evenVBand="0" w:oddHBand="0" w:evenHBand="0" w:firstRowFirstColumn="0" w:firstRowLastColumn="0" w:lastRowFirstColumn="0" w:lastRowLastColumn="0"/>
              <w:rPr>
                <w:rFonts w:eastAsia="Calibri"/>
                <w:szCs w:val="20"/>
                <w:lang w:bidi="ar-SA"/>
              </w:rPr>
            </w:pPr>
          </w:p>
        </w:tc>
        <w:tc>
          <w:tcPr>
            <w:tcW w:w="2585" w:type="dxa"/>
            <w:tcBorders>
              <w:top w:val="single" w:sz="4" w:space="0" w:color="B4C6E7" w:themeColor="accent1" w:themeTint="66"/>
              <w:bottom w:val="single" w:sz="4" w:space="0" w:color="B4C6E7" w:themeColor="accent1" w:themeTint="66"/>
            </w:tcBorders>
          </w:tcPr>
          <w:p w14:paraId="4ECC51F6" w14:textId="77777777" w:rsidR="00B309D9" w:rsidRPr="004637C7" w:rsidRDefault="00B309D9" w:rsidP="00B309D9">
            <w:pPr>
              <w:jc w:val="left"/>
              <w:cnfStyle w:val="000000000000" w:firstRow="0" w:lastRow="0" w:firstColumn="0" w:lastColumn="0" w:oddVBand="0" w:evenVBand="0" w:oddHBand="0" w:evenHBand="0" w:firstRowFirstColumn="0" w:firstRowLastColumn="0" w:lastRowFirstColumn="0" w:lastRowLastColumn="0"/>
              <w:rPr>
                <w:rFonts w:eastAsia="Calibri"/>
                <w:szCs w:val="20"/>
                <w:lang w:bidi="ar-SA"/>
              </w:rPr>
            </w:pPr>
            <w:r w:rsidRPr="00481B02">
              <w:rPr>
                <w:rFonts w:eastAsia="Calibri"/>
                <w:szCs w:val="20"/>
                <w:lang w:bidi="ar-SA"/>
              </w:rPr>
              <w:t>P</w:t>
            </w:r>
            <w:r w:rsidRPr="004637C7">
              <w:rPr>
                <w:rFonts w:eastAsia="Calibri"/>
                <w:szCs w:val="20"/>
                <w:lang w:bidi="ar-SA"/>
              </w:rPr>
              <w:t xml:space="preserve">lanifier les pauses toutes les 2 h dans des locaux climatisés ; </w:t>
            </w:r>
          </w:p>
        </w:tc>
        <w:tc>
          <w:tcPr>
            <w:tcW w:w="1613" w:type="dxa"/>
            <w:vMerge/>
          </w:tcPr>
          <w:p w14:paraId="0F713AC3" w14:textId="77777777" w:rsidR="00B309D9" w:rsidRPr="004637C7" w:rsidRDefault="00B309D9" w:rsidP="00D75525">
            <w:pPr>
              <w:jc w:val="left"/>
              <w:cnfStyle w:val="000000000000" w:firstRow="0" w:lastRow="0" w:firstColumn="0" w:lastColumn="0" w:oddVBand="0" w:evenVBand="0" w:oddHBand="0" w:evenHBand="0" w:firstRowFirstColumn="0" w:firstRowLastColumn="0" w:lastRowFirstColumn="0" w:lastRowLastColumn="0"/>
              <w:rPr>
                <w:rFonts w:eastAsia="Calibri"/>
                <w:szCs w:val="20"/>
                <w:lang w:bidi="ar-SA"/>
              </w:rPr>
            </w:pPr>
          </w:p>
        </w:tc>
        <w:tc>
          <w:tcPr>
            <w:tcW w:w="0" w:type="auto"/>
            <w:vMerge/>
          </w:tcPr>
          <w:p w14:paraId="05E81001" w14:textId="77777777" w:rsidR="00B309D9" w:rsidRPr="00481B02" w:rsidRDefault="00B309D9" w:rsidP="00D75525">
            <w:pPr>
              <w:jc w:val="center"/>
              <w:cnfStyle w:val="000000000000" w:firstRow="0" w:lastRow="0" w:firstColumn="0" w:lastColumn="0" w:oddVBand="0" w:evenVBand="0" w:oddHBand="0" w:evenHBand="0" w:firstRowFirstColumn="0" w:firstRowLastColumn="0" w:lastRowFirstColumn="0" w:lastRowLastColumn="0"/>
              <w:rPr>
                <w:szCs w:val="20"/>
                <w:lang w:eastAsia="fr-FR" w:bidi="ar-SA"/>
              </w:rPr>
            </w:pPr>
          </w:p>
        </w:tc>
        <w:tc>
          <w:tcPr>
            <w:tcW w:w="0" w:type="auto"/>
            <w:vMerge/>
          </w:tcPr>
          <w:p w14:paraId="32BA9C94" w14:textId="77777777" w:rsidR="00B309D9" w:rsidRPr="00481B02" w:rsidRDefault="00B309D9" w:rsidP="00D75525">
            <w:pPr>
              <w:jc w:val="center"/>
              <w:cnfStyle w:val="000000000000" w:firstRow="0" w:lastRow="0" w:firstColumn="0" w:lastColumn="0" w:oddVBand="0" w:evenVBand="0" w:oddHBand="0" w:evenHBand="0" w:firstRowFirstColumn="0" w:firstRowLastColumn="0" w:lastRowFirstColumn="0" w:lastRowLastColumn="0"/>
              <w:rPr>
                <w:szCs w:val="20"/>
                <w:lang w:eastAsia="fr-FR" w:bidi="ar-SA"/>
              </w:rPr>
            </w:pPr>
          </w:p>
        </w:tc>
        <w:tc>
          <w:tcPr>
            <w:tcW w:w="0" w:type="auto"/>
            <w:vMerge/>
          </w:tcPr>
          <w:p w14:paraId="3C15A5AB" w14:textId="77777777" w:rsidR="00B309D9" w:rsidRPr="00481B02" w:rsidRDefault="00B309D9" w:rsidP="00D75525">
            <w:pPr>
              <w:jc w:val="center"/>
              <w:cnfStyle w:val="000000000000" w:firstRow="0" w:lastRow="0" w:firstColumn="0" w:lastColumn="0" w:oddVBand="0" w:evenVBand="0" w:oddHBand="0" w:evenHBand="0" w:firstRowFirstColumn="0" w:firstRowLastColumn="0" w:lastRowFirstColumn="0" w:lastRowLastColumn="0"/>
              <w:rPr>
                <w:szCs w:val="20"/>
                <w:lang w:eastAsia="fr-FR" w:bidi="ar-SA"/>
              </w:rPr>
            </w:pPr>
          </w:p>
        </w:tc>
        <w:tc>
          <w:tcPr>
            <w:tcW w:w="0" w:type="auto"/>
            <w:vMerge/>
          </w:tcPr>
          <w:p w14:paraId="25816B09" w14:textId="77777777" w:rsidR="00B309D9" w:rsidRPr="004637C7" w:rsidRDefault="00B309D9" w:rsidP="00D75525">
            <w:pPr>
              <w:jc w:val="center"/>
              <w:cnfStyle w:val="000000000000" w:firstRow="0" w:lastRow="0" w:firstColumn="0" w:lastColumn="0" w:oddVBand="0" w:evenVBand="0" w:oddHBand="0" w:evenHBand="0" w:firstRowFirstColumn="0" w:firstRowLastColumn="0" w:lastRowFirstColumn="0" w:lastRowLastColumn="0"/>
              <w:rPr>
                <w:rFonts w:eastAsia="Calibri"/>
                <w:szCs w:val="20"/>
                <w:lang w:bidi="ar-SA"/>
              </w:rPr>
            </w:pPr>
          </w:p>
        </w:tc>
        <w:tc>
          <w:tcPr>
            <w:tcW w:w="0" w:type="auto"/>
            <w:vMerge/>
            <w:tcBorders>
              <w:bottom w:val="single" w:sz="4" w:space="0" w:color="B4C6E7" w:themeColor="accent1" w:themeTint="66"/>
            </w:tcBorders>
          </w:tcPr>
          <w:p w14:paraId="70F410E8" w14:textId="77777777" w:rsidR="00B309D9" w:rsidRPr="00481B02" w:rsidDel="006631E5" w:rsidRDefault="00B309D9" w:rsidP="00B309D9">
            <w:pPr>
              <w:jc w:val="left"/>
              <w:cnfStyle w:val="000000000000" w:firstRow="0" w:lastRow="0" w:firstColumn="0" w:lastColumn="0" w:oddVBand="0" w:evenVBand="0" w:oddHBand="0" w:evenHBand="0" w:firstRowFirstColumn="0" w:firstRowLastColumn="0" w:lastRowFirstColumn="0" w:lastRowLastColumn="0"/>
              <w:rPr>
                <w:rFonts w:eastAsia="Calibri"/>
                <w:szCs w:val="20"/>
                <w:lang w:bidi="ar-SA"/>
              </w:rPr>
            </w:pPr>
          </w:p>
        </w:tc>
      </w:tr>
      <w:tr w:rsidR="00B309D9" w:rsidRPr="00911732" w14:paraId="35C7A056" w14:textId="77777777" w:rsidTr="00B309D9">
        <w:trPr>
          <w:trHeight w:val="1582"/>
        </w:trPr>
        <w:tc>
          <w:tcPr>
            <w:cnfStyle w:val="001000000000" w:firstRow="0" w:lastRow="0" w:firstColumn="1" w:lastColumn="0" w:oddVBand="0" w:evenVBand="0" w:oddHBand="0" w:evenHBand="0" w:firstRowFirstColumn="0" w:firstRowLastColumn="0" w:lastRowFirstColumn="0" w:lastRowLastColumn="0"/>
            <w:tcW w:w="0" w:type="auto"/>
            <w:vMerge/>
          </w:tcPr>
          <w:p w14:paraId="7AEA2156" w14:textId="77777777" w:rsidR="00B309D9" w:rsidRPr="004637C7" w:rsidRDefault="00B309D9" w:rsidP="00D75525">
            <w:pPr>
              <w:jc w:val="center"/>
              <w:rPr>
                <w:rFonts w:eastAsia="Calibri"/>
                <w:b w:val="0"/>
                <w:bCs w:val="0"/>
                <w:szCs w:val="20"/>
                <w:lang w:bidi="ar-SA"/>
              </w:rPr>
            </w:pPr>
          </w:p>
        </w:tc>
        <w:tc>
          <w:tcPr>
            <w:tcW w:w="0" w:type="auto"/>
            <w:vMerge/>
          </w:tcPr>
          <w:p w14:paraId="030DCDF1" w14:textId="77777777" w:rsidR="00B309D9" w:rsidRPr="004637C7" w:rsidRDefault="00B309D9" w:rsidP="004637C7">
            <w:pPr>
              <w:jc w:val="left"/>
              <w:cnfStyle w:val="000000000000" w:firstRow="0" w:lastRow="0" w:firstColumn="0" w:lastColumn="0" w:oddVBand="0" w:evenVBand="0" w:oddHBand="0" w:evenHBand="0" w:firstRowFirstColumn="0" w:firstRowLastColumn="0" w:lastRowFirstColumn="0" w:lastRowLastColumn="0"/>
              <w:rPr>
                <w:rFonts w:eastAsia="Calibri"/>
                <w:szCs w:val="20"/>
                <w:lang w:bidi="ar-SA"/>
              </w:rPr>
            </w:pPr>
          </w:p>
        </w:tc>
        <w:tc>
          <w:tcPr>
            <w:tcW w:w="2585" w:type="dxa"/>
            <w:tcBorders>
              <w:top w:val="single" w:sz="4" w:space="0" w:color="B4C6E7" w:themeColor="accent1" w:themeTint="66"/>
            </w:tcBorders>
          </w:tcPr>
          <w:p w14:paraId="43A24708" w14:textId="77777777" w:rsidR="00B309D9" w:rsidRPr="004637C7" w:rsidRDefault="00B309D9" w:rsidP="00B309D9">
            <w:pPr>
              <w:jc w:val="left"/>
              <w:cnfStyle w:val="000000000000" w:firstRow="0" w:lastRow="0" w:firstColumn="0" w:lastColumn="0" w:oddVBand="0" w:evenVBand="0" w:oddHBand="0" w:evenHBand="0" w:firstRowFirstColumn="0" w:firstRowLastColumn="0" w:lastRowFirstColumn="0" w:lastRowLastColumn="0"/>
              <w:rPr>
                <w:rFonts w:eastAsia="Calibri"/>
                <w:szCs w:val="20"/>
                <w:lang w:bidi="ar-SA"/>
              </w:rPr>
            </w:pPr>
            <w:r w:rsidRPr="00481B02">
              <w:rPr>
                <w:rFonts w:eastAsia="Calibri"/>
                <w:szCs w:val="20"/>
                <w:lang w:bidi="ar-SA"/>
              </w:rPr>
              <w:t>E</w:t>
            </w:r>
            <w:r w:rsidRPr="004637C7">
              <w:rPr>
                <w:rFonts w:eastAsia="Calibri"/>
                <w:szCs w:val="20"/>
                <w:lang w:bidi="ar-SA"/>
              </w:rPr>
              <w:t>quiper en vêtements anti-UV, gilets réfléchissants, lunettes et casquettes.</w:t>
            </w:r>
          </w:p>
        </w:tc>
        <w:tc>
          <w:tcPr>
            <w:tcW w:w="1613" w:type="dxa"/>
            <w:vMerge/>
          </w:tcPr>
          <w:p w14:paraId="438BC564" w14:textId="77777777" w:rsidR="00B309D9" w:rsidRPr="004637C7" w:rsidRDefault="00B309D9" w:rsidP="00D75525">
            <w:pPr>
              <w:jc w:val="left"/>
              <w:cnfStyle w:val="000000000000" w:firstRow="0" w:lastRow="0" w:firstColumn="0" w:lastColumn="0" w:oddVBand="0" w:evenVBand="0" w:oddHBand="0" w:evenHBand="0" w:firstRowFirstColumn="0" w:firstRowLastColumn="0" w:lastRowFirstColumn="0" w:lastRowLastColumn="0"/>
              <w:rPr>
                <w:rFonts w:eastAsia="Calibri"/>
                <w:szCs w:val="20"/>
                <w:lang w:bidi="ar-SA"/>
              </w:rPr>
            </w:pPr>
          </w:p>
        </w:tc>
        <w:tc>
          <w:tcPr>
            <w:tcW w:w="0" w:type="auto"/>
            <w:vMerge/>
          </w:tcPr>
          <w:p w14:paraId="642062BF" w14:textId="77777777" w:rsidR="00B309D9" w:rsidRPr="00481B02" w:rsidRDefault="00B309D9" w:rsidP="00D75525">
            <w:pPr>
              <w:jc w:val="center"/>
              <w:cnfStyle w:val="000000000000" w:firstRow="0" w:lastRow="0" w:firstColumn="0" w:lastColumn="0" w:oddVBand="0" w:evenVBand="0" w:oddHBand="0" w:evenHBand="0" w:firstRowFirstColumn="0" w:firstRowLastColumn="0" w:lastRowFirstColumn="0" w:lastRowLastColumn="0"/>
              <w:rPr>
                <w:szCs w:val="20"/>
                <w:lang w:eastAsia="fr-FR" w:bidi="ar-SA"/>
              </w:rPr>
            </w:pPr>
          </w:p>
        </w:tc>
        <w:tc>
          <w:tcPr>
            <w:tcW w:w="0" w:type="auto"/>
            <w:vMerge/>
          </w:tcPr>
          <w:p w14:paraId="497915EC" w14:textId="77777777" w:rsidR="00B309D9" w:rsidRPr="00481B02" w:rsidRDefault="00B309D9" w:rsidP="00D75525">
            <w:pPr>
              <w:jc w:val="center"/>
              <w:cnfStyle w:val="000000000000" w:firstRow="0" w:lastRow="0" w:firstColumn="0" w:lastColumn="0" w:oddVBand="0" w:evenVBand="0" w:oddHBand="0" w:evenHBand="0" w:firstRowFirstColumn="0" w:firstRowLastColumn="0" w:lastRowFirstColumn="0" w:lastRowLastColumn="0"/>
              <w:rPr>
                <w:szCs w:val="20"/>
                <w:lang w:eastAsia="fr-FR" w:bidi="ar-SA"/>
              </w:rPr>
            </w:pPr>
          </w:p>
        </w:tc>
        <w:tc>
          <w:tcPr>
            <w:tcW w:w="0" w:type="auto"/>
            <w:vMerge/>
          </w:tcPr>
          <w:p w14:paraId="454AE516" w14:textId="77777777" w:rsidR="00B309D9" w:rsidRPr="00481B02" w:rsidRDefault="00B309D9" w:rsidP="00D75525">
            <w:pPr>
              <w:jc w:val="center"/>
              <w:cnfStyle w:val="000000000000" w:firstRow="0" w:lastRow="0" w:firstColumn="0" w:lastColumn="0" w:oddVBand="0" w:evenVBand="0" w:oddHBand="0" w:evenHBand="0" w:firstRowFirstColumn="0" w:firstRowLastColumn="0" w:lastRowFirstColumn="0" w:lastRowLastColumn="0"/>
              <w:rPr>
                <w:szCs w:val="20"/>
                <w:lang w:eastAsia="fr-FR" w:bidi="ar-SA"/>
              </w:rPr>
            </w:pPr>
          </w:p>
        </w:tc>
        <w:tc>
          <w:tcPr>
            <w:tcW w:w="0" w:type="auto"/>
            <w:vMerge/>
          </w:tcPr>
          <w:p w14:paraId="65435B7A" w14:textId="77777777" w:rsidR="00B309D9" w:rsidRPr="004637C7" w:rsidRDefault="00B309D9" w:rsidP="00D75525">
            <w:pPr>
              <w:jc w:val="center"/>
              <w:cnfStyle w:val="000000000000" w:firstRow="0" w:lastRow="0" w:firstColumn="0" w:lastColumn="0" w:oddVBand="0" w:evenVBand="0" w:oddHBand="0" w:evenHBand="0" w:firstRowFirstColumn="0" w:firstRowLastColumn="0" w:lastRowFirstColumn="0" w:lastRowLastColumn="0"/>
              <w:rPr>
                <w:rFonts w:eastAsia="Calibri"/>
                <w:szCs w:val="20"/>
                <w:lang w:bidi="ar-SA"/>
              </w:rPr>
            </w:pPr>
          </w:p>
        </w:tc>
        <w:tc>
          <w:tcPr>
            <w:tcW w:w="0" w:type="auto"/>
            <w:tcBorders>
              <w:top w:val="single" w:sz="4" w:space="0" w:color="B4C6E7" w:themeColor="accent1" w:themeTint="66"/>
            </w:tcBorders>
          </w:tcPr>
          <w:p w14:paraId="64193308" w14:textId="77777777" w:rsidR="00B309D9" w:rsidRPr="006631E5" w:rsidRDefault="00B309D9" w:rsidP="00B309D9">
            <w:pPr>
              <w:jc w:val="left"/>
              <w:cnfStyle w:val="000000000000" w:firstRow="0" w:lastRow="0" w:firstColumn="0" w:lastColumn="0" w:oddVBand="0" w:evenVBand="0" w:oddHBand="0" w:evenHBand="0" w:firstRowFirstColumn="0" w:firstRowLastColumn="0" w:lastRowFirstColumn="0" w:lastRowLastColumn="0"/>
              <w:rPr>
                <w:rFonts w:eastAsia="Calibri"/>
                <w:szCs w:val="20"/>
                <w:lang w:bidi="ar-SA"/>
              </w:rPr>
            </w:pPr>
            <w:r w:rsidRPr="006631E5">
              <w:rPr>
                <w:rFonts w:eastAsia="Calibri"/>
                <w:szCs w:val="20"/>
                <w:lang w:bidi="ar-SA"/>
              </w:rPr>
              <w:t>≈ 400 MAD / travailleur</w:t>
            </w:r>
            <w:r>
              <w:rPr>
                <w:rFonts w:eastAsia="Calibri"/>
                <w:szCs w:val="20"/>
                <w:lang w:bidi="ar-SA"/>
              </w:rPr>
              <w:t xml:space="preserve"> (</w:t>
            </w:r>
            <w:r w:rsidRPr="006631E5">
              <w:rPr>
                <w:rFonts w:eastAsia="Calibri"/>
                <w:szCs w:val="20"/>
                <w:lang w:bidi="ar-SA"/>
              </w:rPr>
              <w:t>Kit complet : gilet HV (100), casquette anti-UV (100), lunettes (150), t-shirt respirant (50)</w:t>
            </w:r>
            <w:r>
              <w:rPr>
                <w:rFonts w:eastAsia="Calibri"/>
                <w:szCs w:val="20"/>
                <w:lang w:bidi="ar-SA"/>
              </w:rPr>
              <w:t>)</w:t>
            </w:r>
          </w:p>
        </w:tc>
      </w:tr>
      <w:tr w:rsidR="00B309D9" w:rsidRPr="00911732" w14:paraId="6ECE8413" w14:textId="77777777" w:rsidTr="00B309D9">
        <w:trPr>
          <w:trHeight w:val="1047"/>
        </w:trPr>
        <w:tc>
          <w:tcPr>
            <w:cnfStyle w:val="001000000000" w:firstRow="0" w:lastRow="0" w:firstColumn="1" w:lastColumn="0" w:oddVBand="0" w:evenVBand="0" w:oddHBand="0" w:evenHBand="0" w:firstRowFirstColumn="0" w:firstRowLastColumn="0" w:lastRowFirstColumn="0" w:lastRowLastColumn="0"/>
            <w:tcW w:w="0" w:type="auto"/>
            <w:vMerge/>
            <w:hideMark/>
          </w:tcPr>
          <w:p w14:paraId="2BE550E4" w14:textId="77777777" w:rsidR="00B309D9" w:rsidRPr="004637C7" w:rsidRDefault="00B309D9" w:rsidP="00D75525">
            <w:pPr>
              <w:jc w:val="center"/>
              <w:rPr>
                <w:rFonts w:eastAsia="Calibri"/>
                <w:b w:val="0"/>
                <w:bCs w:val="0"/>
                <w:szCs w:val="20"/>
                <w:lang w:bidi="ar-SA"/>
              </w:rPr>
            </w:pPr>
          </w:p>
        </w:tc>
        <w:tc>
          <w:tcPr>
            <w:tcW w:w="0" w:type="auto"/>
            <w:vMerge w:val="restart"/>
            <w:hideMark/>
          </w:tcPr>
          <w:p w14:paraId="175CFC2B" w14:textId="77777777" w:rsidR="00B309D9" w:rsidRPr="004637C7" w:rsidRDefault="00B309D9" w:rsidP="004637C7">
            <w:pPr>
              <w:jc w:val="left"/>
              <w:cnfStyle w:val="000000000000" w:firstRow="0" w:lastRow="0" w:firstColumn="0" w:lastColumn="0" w:oddVBand="0" w:evenVBand="0" w:oddHBand="0" w:evenHBand="0" w:firstRowFirstColumn="0" w:firstRowLastColumn="0" w:lastRowFirstColumn="0" w:lastRowLastColumn="0"/>
              <w:rPr>
                <w:rFonts w:eastAsia="Calibri"/>
                <w:szCs w:val="20"/>
                <w:lang w:bidi="ar-SA"/>
              </w:rPr>
            </w:pPr>
            <w:r w:rsidRPr="004637C7">
              <w:rPr>
                <w:rFonts w:eastAsia="Calibri"/>
                <w:szCs w:val="20"/>
                <w:lang w:bidi="ar-SA"/>
              </w:rPr>
              <w:t>Atténuer</w:t>
            </w:r>
          </w:p>
        </w:tc>
        <w:tc>
          <w:tcPr>
            <w:tcW w:w="2585" w:type="dxa"/>
            <w:tcBorders>
              <w:bottom w:val="single" w:sz="4" w:space="0" w:color="B4C6E7" w:themeColor="accent1" w:themeTint="66"/>
            </w:tcBorders>
            <w:hideMark/>
          </w:tcPr>
          <w:p w14:paraId="6542C015" w14:textId="1624D47A" w:rsidR="00B309D9" w:rsidRPr="004637C7" w:rsidRDefault="00B309D9" w:rsidP="00D75525">
            <w:pPr>
              <w:jc w:val="left"/>
              <w:cnfStyle w:val="000000000000" w:firstRow="0" w:lastRow="0" w:firstColumn="0" w:lastColumn="0" w:oddVBand="0" w:evenVBand="0" w:oddHBand="0" w:evenHBand="0" w:firstRowFirstColumn="0" w:firstRowLastColumn="0" w:lastRowFirstColumn="0" w:lastRowLastColumn="0"/>
              <w:rPr>
                <w:rFonts w:eastAsia="Calibri"/>
                <w:szCs w:val="20"/>
                <w:lang w:bidi="ar-SA"/>
              </w:rPr>
            </w:pPr>
            <w:r w:rsidRPr="004637C7">
              <w:rPr>
                <w:rFonts w:eastAsia="Calibri"/>
                <w:szCs w:val="20"/>
                <w:lang w:bidi="ar-SA"/>
              </w:rPr>
              <w:t xml:space="preserve">Former tout le personnel à la prévention du stress thermique ; </w:t>
            </w:r>
          </w:p>
        </w:tc>
        <w:tc>
          <w:tcPr>
            <w:tcW w:w="1613" w:type="dxa"/>
            <w:vMerge w:val="restart"/>
            <w:hideMark/>
          </w:tcPr>
          <w:p w14:paraId="383E3501" w14:textId="77777777" w:rsidR="00B309D9" w:rsidRPr="00481B02" w:rsidRDefault="00B309D9" w:rsidP="00D75525">
            <w:pPr>
              <w:jc w:val="left"/>
              <w:cnfStyle w:val="000000000000" w:firstRow="0" w:lastRow="0" w:firstColumn="0" w:lastColumn="0" w:oddVBand="0" w:evenVBand="0" w:oddHBand="0" w:evenHBand="0" w:firstRowFirstColumn="0" w:firstRowLastColumn="0" w:lastRowFirstColumn="0" w:lastRowLastColumn="0"/>
              <w:rPr>
                <w:rFonts w:eastAsia="Calibri"/>
                <w:szCs w:val="20"/>
                <w:lang w:bidi="ar-SA"/>
              </w:rPr>
            </w:pPr>
            <w:r w:rsidRPr="004637C7">
              <w:rPr>
                <w:rFonts w:eastAsia="Calibri"/>
                <w:szCs w:val="20"/>
                <w:lang w:bidi="ar-SA"/>
              </w:rPr>
              <w:t xml:space="preserve">Nb de formations </w:t>
            </w:r>
          </w:p>
          <w:p w14:paraId="4CCFC3E3" w14:textId="797C7FC2" w:rsidR="00B309D9" w:rsidRPr="004637C7" w:rsidRDefault="00B309D9" w:rsidP="004637C7">
            <w:pPr>
              <w:jc w:val="left"/>
              <w:cnfStyle w:val="000000000000" w:firstRow="0" w:lastRow="0" w:firstColumn="0" w:lastColumn="0" w:oddVBand="0" w:evenVBand="0" w:oddHBand="0" w:evenHBand="0" w:firstRowFirstColumn="0" w:firstRowLastColumn="0" w:lastRowFirstColumn="0" w:lastRowLastColumn="0"/>
              <w:rPr>
                <w:rFonts w:eastAsia="Calibri"/>
                <w:szCs w:val="20"/>
                <w:lang w:bidi="ar-SA"/>
              </w:rPr>
            </w:pPr>
            <w:r w:rsidRPr="004637C7">
              <w:rPr>
                <w:rFonts w:eastAsia="Calibri"/>
                <w:szCs w:val="20"/>
                <w:lang w:bidi="ar-SA"/>
              </w:rPr>
              <w:t>Nb d’incidents thermiques</w:t>
            </w:r>
          </w:p>
        </w:tc>
        <w:tc>
          <w:tcPr>
            <w:tcW w:w="0" w:type="auto"/>
            <w:vMerge w:val="restart"/>
            <w:hideMark/>
          </w:tcPr>
          <w:p w14:paraId="599AC8A2" w14:textId="54ABE4D7" w:rsidR="00B309D9" w:rsidRPr="004637C7" w:rsidRDefault="00B309D9" w:rsidP="00D75525">
            <w:pPr>
              <w:jc w:val="center"/>
              <w:cnfStyle w:val="000000000000" w:firstRow="0" w:lastRow="0" w:firstColumn="0" w:lastColumn="0" w:oddVBand="0" w:evenVBand="0" w:oddHBand="0" w:evenHBand="0" w:firstRowFirstColumn="0" w:firstRowLastColumn="0" w:lastRowFirstColumn="0" w:lastRowLastColumn="0"/>
              <w:rPr>
                <w:rFonts w:eastAsia="Calibri"/>
                <w:szCs w:val="20"/>
                <w:lang w:bidi="ar-SA"/>
              </w:rPr>
            </w:pPr>
            <w:r w:rsidRPr="00481B02">
              <w:rPr>
                <w:szCs w:val="20"/>
                <w:lang w:eastAsia="fr-FR" w:bidi="ar-SA"/>
              </w:rPr>
              <w:t>ONDA / Exploitant</w:t>
            </w:r>
          </w:p>
        </w:tc>
        <w:tc>
          <w:tcPr>
            <w:tcW w:w="0" w:type="auto"/>
            <w:vMerge w:val="restart"/>
            <w:hideMark/>
          </w:tcPr>
          <w:p w14:paraId="220FE1A5" w14:textId="2E2D1627" w:rsidR="00B309D9" w:rsidRPr="004637C7" w:rsidRDefault="00B309D9" w:rsidP="00D75525">
            <w:pPr>
              <w:jc w:val="center"/>
              <w:cnfStyle w:val="000000000000" w:firstRow="0" w:lastRow="0" w:firstColumn="0" w:lastColumn="0" w:oddVBand="0" w:evenVBand="0" w:oddHBand="0" w:evenHBand="0" w:firstRowFirstColumn="0" w:firstRowLastColumn="0" w:lastRowFirstColumn="0" w:lastRowLastColumn="0"/>
              <w:rPr>
                <w:rFonts w:eastAsia="Calibri"/>
                <w:szCs w:val="20"/>
                <w:lang w:bidi="ar-SA"/>
              </w:rPr>
            </w:pPr>
            <w:r w:rsidRPr="00481B02">
              <w:rPr>
                <w:szCs w:val="20"/>
                <w:lang w:eastAsia="fr-FR" w:bidi="ar-SA"/>
              </w:rPr>
              <w:t>ONDA</w:t>
            </w:r>
          </w:p>
        </w:tc>
        <w:tc>
          <w:tcPr>
            <w:tcW w:w="0" w:type="auto"/>
            <w:vMerge w:val="restart"/>
            <w:hideMark/>
          </w:tcPr>
          <w:p w14:paraId="565034E8" w14:textId="0A9058AB" w:rsidR="00B309D9" w:rsidRPr="004637C7" w:rsidRDefault="00B309D9" w:rsidP="00D75525">
            <w:pPr>
              <w:jc w:val="center"/>
              <w:cnfStyle w:val="000000000000" w:firstRow="0" w:lastRow="0" w:firstColumn="0" w:lastColumn="0" w:oddVBand="0" w:evenVBand="0" w:oddHBand="0" w:evenHBand="0" w:firstRowFirstColumn="0" w:firstRowLastColumn="0" w:lastRowFirstColumn="0" w:lastRowLastColumn="0"/>
              <w:rPr>
                <w:rFonts w:eastAsia="Calibri"/>
                <w:szCs w:val="20"/>
                <w:lang w:bidi="ar-SA"/>
              </w:rPr>
            </w:pPr>
            <w:r w:rsidRPr="00481B02">
              <w:rPr>
                <w:szCs w:val="20"/>
                <w:lang w:eastAsia="fr-FR" w:bidi="ar-SA"/>
              </w:rPr>
              <w:t>ONDA</w:t>
            </w:r>
          </w:p>
        </w:tc>
        <w:tc>
          <w:tcPr>
            <w:tcW w:w="0" w:type="auto"/>
            <w:vMerge w:val="restart"/>
            <w:hideMark/>
          </w:tcPr>
          <w:p w14:paraId="5E0A8A70" w14:textId="77777777" w:rsidR="00B309D9" w:rsidRPr="004637C7" w:rsidRDefault="00B309D9" w:rsidP="00D75525">
            <w:pPr>
              <w:jc w:val="center"/>
              <w:cnfStyle w:val="000000000000" w:firstRow="0" w:lastRow="0" w:firstColumn="0" w:lastColumn="0" w:oddVBand="0" w:evenVBand="0" w:oddHBand="0" w:evenHBand="0" w:firstRowFirstColumn="0" w:firstRowLastColumn="0" w:lastRowFirstColumn="0" w:lastRowLastColumn="0"/>
              <w:rPr>
                <w:rFonts w:eastAsia="Calibri"/>
                <w:szCs w:val="20"/>
                <w:lang w:bidi="ar-SA"/>
              </w:rPr>
            </w:pPr>
            <w:r w:rsidRPr="004637C7">
              <w:rPr>
                <w:rFonts w:eastAsia="Calibri"/>
                <w:szCs w:val="20"/>
                <w:lang w:bidi="ar-SA"/>
              </w:rPr>
              <w:t>Trimestriel</w:t>
            </w:r>
          </w:p>
        </w:tc>
        <w:tc>
          <w:tcPr>
            <w:tcW w:w="0" w:type="auto"/>
            <w:tcBorders>
              <w:bottom w:val="single" w:sz="4" w:space="0" w:color="B4C6E7" w:themeColor="accent1" w:themeTint="66"/>
            </w:tcBorders>
            <w:hideMark/>
          </w:tcPr>
          <w:p w14:paraId="556DC294" w14:textId="1FCCE434" w:rsidR="00B309D9" w:rsidRPr="004637C7" w:rsidRDefault="00B309D9" w:rsidP="00D60FC9">
            <w:pPr>
              <w:jc w:val="left"/>
              <w:cnfStyle w:val="000000000000" w:firstRow="0" w:lastRow="0" w:firstColumn="0" w:lastColumn="0" w:oddVBand="0" w:evenVBand="0" w:oddHBand="0" w:evenHBand="0" w:firstRowFirstColumn="0" w:firstRowLastColumn="0" w:lastRowFirstColumn="0" w:lastRowLastColumn="0"/>
              <w:rPr>
                <w:rFonts w:eastAsia="Calibri"/>
                <w:szCs w:val="20"/>
                <w:lang w:bidi="ar-SA"/>
              </w:rPr>
            </w:pPr>
            <w:r>
              <w:rPr>
                <w:rFonts w:eastAsia="Calibri"/>
                <w:szCs w:val="20"/>
                <w:lang w:bidi="ar-SA"/>
              </w:rPr>
              <w:t>Aucun coût spécifique (animé par le médecin de travail)</w:t>
            </w:r>
          </w:p>
        </w:tc>
      </w:tr>
      <w:tr w:rsidR="00B309D9" w:rsidRPr="00911732" w14:paraId="3FD97087" w14:textId="77777777" w:rsidTr="00B309D9">
        <w:trPr>
          <w:trHeight w:val="960"/>
        </w:trPr>
        <w:tc>
          <w:tcPr>
            <w:cnfStyle w:val="001000000000" w:firstRow="0" w:lastRow="0" w:firstColumn="1" w:lastColumn="0" w:oddVBand="0" w:evenVBand="0" w:oddHBand="0" w:evenHBand="0" w:firstRowFirstColumn="0" w:firstRowLastColumn="0" w:lastRowFirstColumn="0" w:lastRowLastColumn="0"/>
            <w:tcW w:w="0" w:type="auto"/>
            <w:vMerge/>
          </w:tcPr>
          <w:p w14:paraId="7866E089" w14:textId="77777777" w:rsidR="00B309D9" w:rsidRPr="004637C7" w:rsidRDefault="00B309D9" w:rsidP="00D75525">
            <w:pPr>
              <w:jc w:val="center"/>
              <w:rPr>
                <w:rFonts w:eastAsia="Calibri"/>
                <w:b w:val="0"/>
                <w:bCs w:val="0"/>
                <w:szCs w:val="20"/>
                <w:lang w:bidi="ar-SA"/>
              </w:rPr>
            </w:pPr>
          </w:p>
        </w:tc>
        <w:tc>
          <w:tcPr>
            <w:tcW w:w="0" w:type="auto"/>
            <w:vMerge/>
          </w:tcPr>
          <w:p w14:paraId="1DC0DAC9" w14:textId="77777777" w:rsidR="00B309D9" w:rsidRPr="004637C7" w:rsidRDefault="00B309D9" w:rsidP="004637C7">
            <w:pPr>
              <w:jc w:val="left"/>
              <w:cnfStyle w:val="000000000000" w:firstRow="0" w:lastRow="0" w:firstColumn="0" w:lastColumn="0" w:oddVBand="0" w:evenVBand="0" w:oddHBand="0" w:evenHBand="0" w:firstRowFirstColumn="0" w:firstRowLastColumn="0" w:lastRowFirstColumn="0" w:lastRowLastColumn="0"/>
              <w:rPr>
                <w:rFonts w:eastAsia="Calibri"/>
                <w:szCs w:val="20"/>
                <w:lang w:bidi="ar-SA"/>
              </w:rPr>
            </w:pPr>
          </w:p>
        </w:tc>
        <w:tc>
          <w:tcPr>
            <w:tcW w:w="2585" w:type="dxa"/>
            <w:tcBorders>
              <w:top w:val="single" w:sz="4" w:space="0" w:color="B4C6E7" w:themeColor="accent1" w:themeTint="66"/>
              <w:bottom w:val="single" w:sz="4" w:space="0" w:color="B4C6E7" w:themeColor="accent1" w:themeTint="66"/>
            </w:tcBorders>
          </w:tcPr>
          <w:p w14:paraId="0A9623F8" w14:textId="203EC026" w:rsidR="00B309D9" w:rsidRPr="004637C7" w:rsidRDefault="00B309D9" w:rsidP="00B309D9">
            <w:pPr>
              <w:jc w:val="left"/>
              <w:cnfStyle w:val="000000000000" w:firstRow="0" w:lastRow="0" w:firstColumn="0" w:lastColumn="0" w:oddVBand="0" w:evenVBand="0" w:oddHBand="0" w:evenHBand="0" w:firstRowFirstColumn="0" w:firstRowLastColumn="0" w:lastRowFirstColumn="0" w:lastRowLastColumn="0"/>
              <w:rPr>
                <w:rFonts w:eastAsia="Calibri"/>
                <w:szCs w:val="20"/>
                <w:lang w:bidi="ar-SA"/>
              </w:rPr>
            </w:pPr>
            <w:r w:rsidRPr="00481B02">
              <w:rPr>
                <w:rFonts w:eastAsia="Calibri"/>
                <w:szCs w:val="20"/>
                <w:lang w:bidi="ar-SA"/>
              </w:rPr>
              <w:t>I</w:t>
            </w:r>
            <w:r w:rsidRPr="004637C7">
              <w:rPr>
                <w:rFonts w:eastAsia="Calibri"/>
                <w:szCs w:val="20"/>
                <w:lang w:bidi="ar-SA"/>
              </w:rPr>
              <w:t xml:space="preserve">nstaller un système de brumisation dans les zones de trafic les plus exposées ; </w:t>
            </w:r>
          </w:p>
        </w:tc>
        <w:tc>
          <w:tcPr>
            <w:tcW w:w="1613" w:type="dxa"/>
            <w:vMerge/>
          </w:tcPr>
          <w:p w14:paraId="3CEE977E" w14:textId="77777777" w:rsidR="00B309D9" w:rsidRPr="004637C7" w:rsidRDefault="00B309D9" w:rsidP="00D75525">
            <w:pPr>
              <w:jc w:val="left"/>
              <w:cnfStyle w:val="000000000000" w:firstRow="0" w:lastRow="0" w:firstColumn="0" w:lastColumn="0" w:oddVBand="0" w:evenVBand="0" w:oddHBand="0" w:evenHBand="0" w:firstRowFirstColumn="0" w:firstRowLastColumn="0" w:lastRowFirstColumn="0" w:lastRowLastColumn="0"/>
              <w:rPr>
                <w:rFonts w:eastAsia="Calibri"/>
                <w:szCs w:val="20"/>
                <w:lang w:bidi="ar-SA"/>
              </w:rPr>
            </w:pPr>
          </w:p>
        </w:tc>
        <w:tc>
          <w:tcPr>
            <w:tcW w:w="0" w:type="auto"/>
            <w:vMerge/>
          </w:tcPr>
          <w:p w14:paraId="283691AB" w14:textId="77777777" w:rsidR="00B309D9" w:rsidRPr="00481B02" w:rsidRDefault="00B309D9" w:rsidP="00D75525">
            <w:pPr>
              <w:jc w:val="center"/>
              <w:cnfStyle w:val="000000000000" w:firstRow="0" w:lastRow="0" w:firstColumn="0" w:lastColumn="0" w:oddVBand="0" w:evenVBand="0" w:oddHBand="0" w:evenHBand="0" w:firstRowFirstColumn="0" w:firstRowLastColumn="0" w:lastRowFirstColumn="0" w:lastRowLastColumn="0"/>
              <w:rPr>
                <w:szCs w:val="20"/>
                <w:lang w:eastAsia="fr-FR" w:bidi="ar-SA"/>
              </w:rPr>
            </w:pPr>
          </w:p>
        </w:tc>
        <w:tc>
          <w:tcPr>
            <w:tcW w:w="0" w:type="auto"/>
            <w:vMerge/>
          </w:tcPr>
          <w:p w14:paraId="507F1F3E" w14:textId="77777777" w:rsidR="00B309D9" w:rsidRPr="00481B02" w:rsidRDefault="00B309D9" w:rsidP="00D75525">
            <w:pPr>
              <w:jc w:val="center"/>
              <w:cnfStyle w:val="000000000000" w:firstRow="0" w:lastRow="0" w:firstColumn="0" w:lastColumn="0" w:oddVBand="0" w:evenVBand="0" w:oddHBand="0" w:evenHBand="0" w:firstRowFirstColumn="0" w:firstRowLastColumn="0" w:lastRowFirstColumn="0" w:lastRowLastColumn="0"/>
              <w:rPr>
                <w:szCs w:val="20"/>
                <w:lang w:eastAsia="fr-FR" w:bidi="ar-SA"/>
              </w:rPr>
            </w:pPr>
          </w:p>
        </w:tc>
        <w:tc>
          <w:tcPr>
            <w:tcW w:w="0" w:type="auto"/>
            <w:vMerge/>
          </w:tcPr>
          <w:p w14:paraId="37DE6A5C" w14:textId="77777777" w:rsidR="00B309D9" w:rsidRPr="00481B02" w:rsidRDefault="00B309D9" w:rsidP="00D75525">
            <w:pPr>
              <w:jc w:val="center"/>
              <w:cnfStyle w:val="000000000000" w:firstRow="0" w:lastRow="0" w:firstColumn="0" w:lastColumn="0" w:oddVBand="0" w:evenVBand="0" w:oddHBand="0" w:evenHBand="0" w:firstRowFirstColumn="0" w:firstRowLastColumn="0" w:lastRowFirstColumn="0" w:lastRowLastColumn="0"/>
              <w:rPr>
                <w:szCs w:val="20"/>
                <w:lang w:eastAsia="fr-FR" w:bidi="ar-SA"/>
              </w:rPr>
            </w:pPr>
          </w:p>
        </w:tc>
        <w:tc>
          <w:tcPr>
            <w:tcW w:w="0" w:type="auto"/>
            <w:vMerge/>
          </w:tcPr>
          <w:p w14:paraId="6AA32748" w14:textId="77777777" w:rsidR="00B309D9" w:rsidRPr="004637C7" w:rsidRDefault="00B309D9" w:rsidP="00D75525">
            <w:pPr>
              <w:jc w:val="center"/>
              <w:cnfStyle w:val="000000000000" w:firstRow="0" w:lastRow="0" w:firstColumn="0" w:lastColumn="0" w:oddVBand="0" w:evenVBand="0" w:oddHBand="0" w:evenHBand="0" w:firstRowFirstColumn="0" w:firstRowLastColumn="0" w:lastRowFirstColumn="0" w:lastRowLastColumn="0"/>
              <w:rPr>
                <w:rFonts w:eastAsia="Calibri"/>
                <w:szCs w:val="20"/>
                <w:lang w:bidi="ar-SA"/>
              </w:rPr>
            </w:pPr>
          </w:p>
        </w:tc>
        <w:tc>
          <w:tcPr>
            <w:tcW w:w="0" w:type="auto"/>
            <w:tcBorders>
              <w:top w:val="single" w:sz="4" w:space="0" w:color="B4C6E7" w:themeColor="accent1" w:themeTint="66"/>
              <w:bottom w:val="single" w:sz="4" w:space="0" w:color="B4C6E7" w:themeColor="accent1" w:themeTint="66"/>
            </w:tcBorders>
          </w:tcPr>
          <w:p w14:paraId="1026E986" w14:textId="4208E7F0" w:rsidR="00B309D9" w:rsidRPr="00481B02" w:rsidRDefault="00B309D9" w:rsidP="006631E5">
            <w:pPr>
              <w:jc w:val="left"/>
              <w:cnfStyle w:val="000000000000" w:firstRow="0" w:lastRow="0" w:firstColumn="0" w:lastColumn="0" w:oddVBand="0" w:evenVBand="0" w:oddHBand="0" w:evenHBand="0" w:firstRowFirstColumn="0" w:firstRowLastColumn="0" w:lastRowFirstColumn="0" w:lastRowLastColumn="0"/>
              <w:rPr>
                <w:rFonts w:eastAsia="Calibri"/>
                <w:szCs w:val="20"/>
                <w:lang w:bidi="ar-SA"/>
              </w:rPr>
            </w:pPr>
            <w:r w:rsidRPr="00B309D9">
              <w:rPr>
                <w:rFonts w:eastAsia="Calibri"/>
                <w:szCs w:val="20"/>
                <w:lang w:bidi="ar-SA"/>
              </w:rPr>
              <w:t>5 000 MAD / unité</w:t>
            </w:r>
            <w:r w:rsidR="00606297">
              <w:rPr>
                <w:rFonts w:eastAsia="Calibri"/>
                <w:szCs w:val="20"/>
                <w:lang w:bidi="ar-SA"/>
              </w:rPr>
              <w:t xml:space="preserve"> (</w:t>
            </w:r>
            <w:r w:rsidR="00606297" w:rsidRPr="00606297">
              <w:rPr>
                <w:rFonts w:eastAsia="Calibri"/>
                <w:szCs w:val="20"/>
                <w:lang w:bidi="ar-SA"/>
              </w:rPr>
              <w:t>Brumisateurs portatifs à réservoir de 10–20 L, adaptés aux aires de trafic</w:t>
            </w:r>
            <w:r w:rsidR="00606297">
              <w:rPr>
                <w:rFonts w:eastAsia="Calibri"/>
                <w:szCs w:val="20"/>
                <w:lang w:bidi="ar-SA"/>
              </w:rPr>
              <w:t>)</w:t>
            </w:r>
          </w:p>
        </w:tc>
      </w:tr>
      <w:tr w:rsidR="00B309D9" w:rsidRPr="00911732" w14:paraId="3846CFEC" w14:textId="77777777" w:rsidTr="00B309D9">
        <w:trPr>
          <w:trHeight w:val="796"/>
        </w:trPr>
        <w:tc>
          <w:tcPr>
            <w:cnfStyle w:val="001000000000" w:firstRow="0" w:lastRow="0" w:firstColumn="1" w:lastColumn="0" w:oddVBand="0" w:evenVBand="0" w:oddHBand="0" w:evenHBand="0" w:firstRowFirstColumn="0" w:firstRowLastColumn="0" w:lastRowFirstColumn="0" w:lastRowLastColumn="0"/>
            <w:tcW w:w="0" w:type="auto"/>
            <w:vMerge/>
          </w:tcPr>
          <w:p w14:paraId="7032E89B" w14:textId="77777777" w:rsidR="00B309D9" w:rsidRPr="004637C7" w:rsidRDefault="00B309D9" w:rsidP="00D75525">
            <w:pPr>
              <w:jc w:val="center"/>
              <w:rPr>
                <w:rFonts w:eastAsia="Calibri"/>
                <w:b w:val="0"/>
                <w:bCs w:val="0"/>
                <w:szCs w:val="20"/>
                <w:lang w:bidi="ar-SA"/>
              </w:rPr>
            </w:pPr>
          </w:p>
        </w:tc>
        <w:tc>
          <w:tcPr>
            <w:tcW w:w="0" w:type="auto"/>
            <w:vMerge/>
          </w:tcPr>
          <w:p w14:paraId="6C12764C" w14:textId="77777777" w:rsidR="00B309D9" w:rsidRPr="004637C7" w:rsidRDefault="00B309D9" w:rsidP="004637C7">
            <w:pPr>
              <w:jc w:val="left"/>
              <w:cnfStyle w:val="000000000000" w:firstRow="0" w:lastRow="0" w:firstColumn="0" w:lastColumn="0" w:oddVBand="0" w:evenVBand="0" w:oddHBand="0" w:evenHBand="0" w:firstRowFirstColumn="0" w:firstRowLastColumn="0" w:lastRowFirstColumn="0" w:lastRowLastColumn="0"/>
              <w:rPr>
                <w:rFonts w:eastAsia="Calibri"/>
                <w:szCs w:val="20"/>
                <w:lang w:bidi="ar-SA"/>
              </w:rPr>
            </w:pPr>
          </w:p>
        </w:tc>
        <w:tc>
          <w:tcPr>
            <w:tcW w:w="2585" w:type="dxa"/>
            <w:tcBorders>
              <w:top w:val="single" w:sz="4" w:space="0" w:color="B4C6E7" w:themeColor="accent1" w:themeTint="66"/>
            </w:tcBorders>
          </w:tcPr>
          <w:p w14:paraId="1B512258" w14:textId="77777777" w:rsidR="00B309D9" w:rsidRPr="00481B02" w:rsidRDefault="00B309D9" w:rsidP="00B309D9">
            <w:pPr>
              <w:jc w:val="left"/>
              <w:cnfStyle w:val="000000000000" w:firstRow="0" w:lastRow="0" w:firstColumn="0" w:lastColumn="0" w:oddVBand="0" w:evenVBand="0" w:oddHBand="0" w:evenHBand="0" w:firstRowFirstColumn="0" w:firstRowLastColumn="0" w:lastRowFirstColumn="0" w:lastRowLastColumn="0"/>
              <w:rPr>
                <w:rFonts w:eastAsia="Calibri"/>
                <w:szCs w:val="20"/>
                <w:lang w:bidi="ar-SA"/>
              </w:rPr>
            </w:pPr>
            <w:r w:rsidRPr="00481B02">
              <w:rPr>
                <w:rFonts w:eastAsia="Calibri"/>
                <w:szCs w:val="20"/>
                <w:lang w:bidi="ar-SA"/>
              </w:rPr>
              <w:t>R</w:t>
            </w:r>
            <w:r w:rsidRPr="004637C7">
              <w:rPr>
                <w:rFonts w:eastAsia="Calibri"/>
                <w:szCs w:val="20"/>
                <w:lang w:bidi="ar-SA"/>
              </w:rPr>
              <w:t>enforcer la surveillance médicale estivale.</w:t>
            </w:r>
          </w:p>
        </w:tc>
        <w:tc>
          <w:tcPr>
            <w:tcW w:w="1613" w:type="dxa"/>
            <w:vMerge/>
          </w:tcPr>
          <w:p w14:paraId="129F50A1" w14:textId="77777777" w:rsidR="00B309D9" w:rsidRPr="004637C7" w:rsidRDefault="00B309D9" w:rsidP="00D75525">
            <w:pPr>
              <w:jc w:val="left"/>
              <w:cnfStyle w:val="000000000000" w:firstRow="0" w:lastRow="0" w:firstColumn="0" w:lastColumn="0" w:oddVBand="0" w:evenVBand="0" w:oddHBand="0" w:evenHBand="0" w:firstRowFirstColumn="0" w:firstRowLastColumn="0" w:lastRowFirstColumn="0" w:lastRowLastColumn="0"/>
              <w:rPr>
                <w:rFonts w:eastAsia="Calibri"/>
                <w:szCs w:val="20"/>
                <w:lang w:bidi="ar-SA"/>
              </w:rPr>
            </w:pPr>
          </w:p>
        </w:tc>
        <w:tc>
          <w:tcPr>
            <w:tcW w:w="0" w:type="auto"/>
            <w:vMerge/>
          </w:tcPr>
          <w:p w14:paraId="04E4EEFB" w14:textId="77777777" w:rsidR="00B309D9" w:rsidRPr="00481B02" w:rsidRDefault="00B309D9" w:rsidP="00D75525">
            <w:pPr>
              <w:jc w:val="center"/>
              <w:cnfStyle w:val="000000000000" w:firstRow="0" w:lastRow="0" w:firstColumn="0" w:lastColumn="0" w:oddVBand="0" w:evenVBand="0" w:oddHBand="0" w:evenHBand="0" w:firstRowFirstColumn="0" w:firstRowLastColumn="0" w:lastRowFirstColumn="0" w:lastRowLastColumn="0"/>
              <w:rPr>
                <w:szCs w:val="20"/>
                <w:lang w:eastAsia="fr-FR" w:bidi="ar-SA"/>
              </w:rPr>
            </w:pPr>
          </w:p>
        </w:tc>
        <w:tc>
          <w:tcPr>
            <w:tcW w:w="0" w:type="auto"/>
            <w:vMerge/>
          </w:tcPr>
          <w:p w14:paraId="5DB0D964" w14:textId="77777777" w:rsidR="00B309D9" w:rsidRPr="00481B02" w:rsidRDefault="00B309D9" w:rsidP="00D75525">
            <w:pPr>
              <w:jc w:val="center"/>
              <w:cnfStyle w:val="000000000000" w:firstRow="0" w:lastRow="0" w:firstColumn="0" w:lastColumn="0" w:oddVBand="0" w:evenVBand="0" w:oddHBand="0" w:evenHBand="0" w:firstRowFirstColumn="0" w:firstRowLastColumn="0" w:lastRowFirstColumn="0" w:lastRowLastColumn="0"/>
              <w:rPr>
                <w:szCs w:val="20"/>
                <w:lang w:eastAsia="fr-FR" w:bidi="ar-SA"/>
              </w:rPr>
            </w:pPr>
          </w:p>
        </w:tc>
        <w:tc>
          <w:tcPr>
            <w:tcW w:w="0" w:type="auto"/>
            <w:vMerge/>
          </w:tcPr>
          <w:p w14:paraId="6490B2BC" w14:textId="77777777" w:rsidR="00B309D9" w:rsidRPr="00481B02" w:rsidRDefault="00B309D9" w:rsidP="00D75525">
            <w:pPr>
              <w:jc w:val="center"/>
              <w:cnfStyle w:val="000000000000" w:firstRow="0" w:lastRow="0" w:firstColumn="0" w:lastColumn="0" w:oddVBand="0" w:evenVBand="0" w:oddHBand="0" w:evenHBand="0" w:firstRowFirstColumn="0" w:firstRowLastColumn="0" w:lastRowFirstColumn="0" w:lastRowLastColumn="0"/>
              <w:rPr>
                <w:szCs w:val="20"/>
                <w:lang w:eastAsia="fr-FR" w:bidi="ar-SA"/>
              </w:rPr>
            </w:pPr>
          </w:p>
        </w:tc>
        <w:tc>
          <w:tcPr>
            <w:tcW w:w="0" w:type="auto"/>
            <w:vMerge/>
          </w:tcPr>
          <w:p w14:paraId="1E25B53C" w14:textId="77777777" w:rsidR="00B309D9" w:rsidRPr="004637C7" w:rsidRDefault="00B309D9" w:rsidP="00D75525">
            <w:pPr>
              <w:jc w:val="center"/>
              <w:cnfStyle w:val="000000000000" w:firstRow="0" w:lastRow="0" w:firstColumn="0" w:lastColumn="0" w:oddVBand="0" w:evenVBand="0" w:oddHBand="0" w:evenHBand="0" w:firstRowFirstColumn="0" w:firstRowLastColumn="0" w:lastRowFirstColumn="0" w:lastRowLastColumn="0"/>
              <w:rPr>
                <w:rFonts w:eastAsia="Calibri"/>
                <w:szCs w:val="20"/>
                <w:lang w:bidi="ar-SA"/>
              </w:rPr>
            </w:pPr>
          </w:p>
        </w:tc>
        <w:tc>
          <w:tcPr>
            <w:tcW w:w="0" w:type="auto"/>
            <w:tcBorders>
              <w:top w:val="single" w:sz="4" w:space="0" w:color="B4C6E7" w:themeColor="accent1" w:themeTint="66"/>
            </w:tcBorders>
          </w:tcPr>
          <w:p w14:paraId="27A67798" w14:textId="004BD0D9" w:rsidR="00B309D9" w:rsidRPr="00481B02" w:rsidRDefault="00606297" w:rsidP="006631E5">
            <w:pPr>
              <w:jc w:val="left"/>
              <w:cnfStyle w:val="000000000000" w:firstRow="0" w:lastRow="0" w:firstColumn="0" w:lastColumn="0" w:oddVBand="0" w:evenVBand="0" w:oddHBand="0" w:evenHBand="0" w:firstRowFirstColumn="0" w:firstRowLastColumn="0" w:lastRowFirstColumn="0" w:lastRowLastColumn="0"/>
              <w:rPr>
                <w:rFonts w:eastAsia="Calibri"/>
                <w:szCs w:val="20"/>
                <w:lang w:bidi="ar-SA"/>
              </w:rPr>
            </w:pPr>
            <w:r w:rsidRPr="00606297">
              <w:rPr>
                <w:rFonts w:eastAsia="Calibri"/>
                <w:szCs w:val="20"/>
                <w:lang w:bidi="ar-SA"/>
              </w:rPr>
              <w:t>Aucun coût spécifique (</w:t>
            </w:r>
            <w:r>
              <w:rPr>
                <w:rFonts w:eastAsia="Calibri"/>
                <w:szCs w:val="20"/>
                <w:lang w:bidi="ar-SA"/>
              </w:rPr>
              <w:t xml:space="preserve">assuré </w:t>
            </w:r>
            <w:r w:rsidRPr="00606297">
              <w:rPr>
                <w:rFonts w:eastAsia="Calibri"/>
                <w:szCs w:val="20"/>
                <w:lang w:bidi="ar-SA"/>
              </w:rPr>
              <w:t>par le médecin de travail)</w:t>
            </w:r>
          </w:p>
        </w:tc>
      </w:tr>
      <w:tr w:rsidR="00B309D9" w:rsidRPr="00911732" w14:paraId="3B5FF369" w14:textId="77777777" w:rsidTr="00B309D9">
        <w:trPr>
          <w:trHeight w:val="1069"/>
        </w:trPr>
        <w:tc>
          <w:tcPr>
            <w:cnfStyle w:val="001000000000" w:firstRow="0" w:lastRow="0" w:firstColumn="1" w:lastColumn="0" w:oddVBand="0" w:evenVBand="0" w:oddHBand="0" w:evenHBand="0" w:firstRowFirstColumn="0" w:firstRowLastColumn="0" w:lastRowFirstColumn="0" w:lastRowLastColumn="0"/>
            <w:tcW w:w="0" w:type="auto"/>
            <w:vMerge/>
            <w:hideMark/>
          </w:tcPr>
          <w:p w14:paraId="03ADC4B7" w14:textId="77777777" w:rsidR="00B309D9" w:rsidRPr="004637C7" w:rsidRDefault="00B309D9" w:rsidP="00D75525">
            <w:pPr>
              <w:jc w:val="center"/>
              <w:rPr>
                <w:rFonts w:eastAsia="Calibri"/>
                <w:b w:val="0"/>
                <w:bCs w:val="0"/>
                <w:szCs w:val="20"/>
                <w:lang w:bidi="ar-SA"/>
              </w:rPr>
            </w:pPr>
          </w:p>
        </w:tc>
        <w:tc>
          <w:tcPr>
            <w:tcW w:w="0" w:type="auto"/>
            <w:vMerge w:val="restart"/>
            <w:hideMark/>
          </w:tcPr>
          <w:p w14:paraId="3C60650A" w14:textId="77777777" w:rsidR="00B309D9" w:rsidRPr="004637C7" w:rsidRDefault="00B309D9" w:rsidP="004637C7">
            <w:pPr>
              <w:jc w:val="left"/>
              <w:cnfStyle w:val="000000000000" w:firstRow="0" w:lastRow="0" w:firstColumn="0" w:lastColumn="0" w:oddVBand="0" w:evenVBand="0" w:oddHBand="0" w:evenHBand="0" w:firstRowFirstColumn="0" w:firstRowLastColumn="0" w:lastRowFirstColumn="0" w:lastRowLastColumn="0"/>
              <w:rPr>
                <w:rFonts w:eastAsia="Calibri"/>
                <w:szCs w:val="20"/>
                <w:lang w:bidi="ar-SA"/>
              </w:rPr>
            </w:pPr>
            <w:r w:rsidRPr="004637C7">
              <w:rPr>
                <w:rFonts w:eastAsia="Calibri"/>
                <w:szCs w:val="20"/>
                <w:lang w:bidi="ar-SA"/>
              </w:rPr>
              <w:t>Compenser</w:t>
            </w:r>
          </w:p>
        </w:tc>
        <w:tc>
          <w:tcPr>
            <w:tcW w:w="2585" w:type="dxa"/>
            <w:tcBorders>
              <w:bottom w:val="single" w:sz="4" w:space="0" w:color="B4C6E7" w:themeColor="accent1" w:themeTint="66"/>
            </w:tcBorders>
            <w:hideMark/>
          </w:tcPr>
          <w:p w14:paraId="59111230" w14:textId="3F7B4563" w:rsidR="00B309D9" w:rsidRPr="004637C7" w:rsidRDefault="00B309D9" w:rsidP="00D75525">
            <w:pPr>
              <w:jc w:val="left"/>
              <w:cnfStyle w:val="000000000000" w:firstRow="0" w:lastRow="0" w:firstColumn="0" w:lastColumn="0" w:oddVBand="0" w:evenVBand="0" w:oddHBand="0" w:evenHBand="0" w:firstRowFirstColumn="0" w:firstRowLastColumn="0" w:lastRowFirstColumn="0" w:lastRowLastColumn="0"/>
              <w:rPr>
                <w:rFonts w:eastAsia="Calibri"/>
                <w:szCs w:val="20"/>
                <w:lang w:bidi="ar-SA"/>
              </w:rPr>
            </w:pPr>
            <w:r w:rsidRPr="004637C7">
              <w:rPr>
                <w:rFonts w:eastAsia="Calibri"/>
                <w:szCs w:val="20"/>
                <w:lang w:bidi="ar-SA"/>
              </w:rPr>
              <w:t xml:space="preserve">Réaffecter temporairement les employés vulnérables à des postes couverts ; </w:t>
            </w:r>
          </w:p>
        </w:tc>
        <w:tc>
          <w:tcPr>
            <w:tcW w:w="1613" w:type="dxa"/>
            <w:vMerge w:val="restart"/>
            <w:hideMark/>
          </w:tcPr>
          <w:p w14:paraId="28036C2C" w14:textId="77777777" w:rsidR="00B309D9" w:rsidRPr="00481B02" w:rsidRDefault="00B309D9" w:rsidP="00D75525">
            <w:pPr>
              <w:jc w:val="left"/>
              <w:cnfStyle w:val="000000000000" w:firstRow="0" w:lastRow="0" w:firstColumn="0" w:lastColumn="0" w:oddVBand="0" w:evenVBand="0" w:oddHBand="0" w:evenHBand="0" w:firstRowFirstColumn="0" w:firstRowLastColumn="0" w:lastRowFirstColumn="0" w:lastRowLastColumn="0"/>
              <w:rPr>
                <w:rFonts w:eastAsia="Calibri"/>
                <w:szCs w:val="20"/>
                <w:lang w:bidi="ar-SA"/>
              </w:rPr>
            </w:pPr>
            <w:r w:rsidRPr="004637C7">
              <w:rPr>
                <w:rFonts w:eastAsia="Calibri"/>
                <w:szCs w:val="20"/>
                <w:lang w:bidi="ar-SA"/>
              </w:rPr>
              <w:t xml:space="preserve">Nb de réaffectations </w:t>
            </w:r>
          </w:p>
          <w:p w14:paraId="7EF3A84E" w14:textId="288240FA" w:rsidR="00B309D9" w:rsidRPr="004637C7" w:rsidRDefault="00B309D9" w:rsidP="004637C7">
            <w:pPr>
              <w:jc w:val="left"/>
              <w:cnfStyle w:val="000000000000" w:firstRow="0" w:lastRow="0" w:firstColumn="0" w:lastColumn="0" w:oddVBand="0" w:evenVBand="0" w:oddHBand="0" w:evenHBand="0" w:firstRowFirstColumn="0" w:firstRowLastColumn="0" w:lastRowFirstColumn="0" w:lastRowLastColumn="0"/>
              <w:rPr>
                <w:rFonts w:eastAsia="Calibri"/>
                <w:szCs w:val="20"/>
                <w:lang w:bidi="ar-SA"/>
              </w:rPr>
            </w:pPr>
            <w:r w:rsidRPr="004637C7">
              <w:rPr>
                <w:rFonts w:eastAsia="Calibri"/>
                <w:szCs w:val="20"/>
                <w:lang w:bidi="ar-SA"/>
              </w:rPr>
              <w:lastRenderedPageBreak/>
              <w:t>Délai de traitement</w:t>
            </w:r>
          </w:p>
        </w:tc>
        <w:tc>
          <w:tcPr>
            <w:tcW w:w="0" w:type="auto"/>
            <w:vMerge w:val="restart"/>
            <w:hideMark/>
          </w:tcPr>
          <w:p w14:paraId="648CB59D" w14:textId="1F20B0B1" w:rsidR="00B309D9" w:rsidRPr="004637C7" w:rsidRDefault="00B309D9" w:rsidP="00D75525">
            <w:pPr>
              <w:jc w:val="center"/>
              <w:cnfStyle w:val="000000000000" w:firstRow="0" w:lastRow="0" w:firstColumn="0" w:lastColumn="0" w:oddVBand="0" w:evenVBand="0" w:oddHBand="0" w:evenHBand="0" w:firstRowFirstColumn="0" w:firstRowLastColumn="0" w:lastRowFirstColumn="0" w:lastRowLastColumn="0"/>
              <w:rPr>
                <w:rFonts w:eastAsia="Calibri"/>
                <w:szCs w:val="20"/>
                <w:lang w:bidi="ar-SA"/>
              </w:rPr>
            </w:pPr>
            <w:r w:rsidRPr="00481B02">
              <w:rPr>
                <w:szCs w:val="20"/>
                <w:lang w:eastAsia="fr-FR" w:bidi="ar-SA"/>
              </w:rPr>
              <w:lastRenderedPageBreak/>
              <w:t>ONDA / Exploitant</w:t>
            </w:r>
          </w:p>
        </w:tc>
        <w:tc>
          <w:tcPr>
            <w:tcW w:w="0" w:type="auto"/>
            <w:vMerge w:val="restart"/>
            <w:hideMark/>
          </w:tcPr>
          <w:p w14:paraId="05203CDA" w14:textId="28F6F049" w:rsidR="00B309D9" w:rsidRPr="004637C7" w:rsidRDefault="00B309D9" w:rsidP="00D75525">
            <w:pPr>
              <w:jc w:val="center"/>
              <w:cnfStyle w:val="000000000000" w:firstRow="0" w:lastRow="0" w:firstColumn="0" w:lastColumn="0" w:oddVBand="0" w:evenVBand="0" w:oddHBand="0" w:evenHBand="0" w:firstRowFirstColumn="0" w:firstRowLastColumn="0" w:lastRowFirstColumn="0" w:lastRowLastColumn="0"/>
              <w:rPr>
                <w:rFonts w:eastAsia="Calibri"/>
                <w:szCs w:val="20"/>
                <w:lang w:bidi="ar-SA"/>
              </w:rPr>
            </w:pPr>
            <w:r w:rsidRPr="00481B02">
              <w:rPr>
                <w:szCs w:val="20"/>
                <w:lang w:eastAsia="fr-FR" w:bidi="ar-SA"/>
              </w:rPr>
              <w:t>ONDA</w:t>
            </w:r>
          </w:p>
        </w:tc>
        <w:tc>
          <w:tcPr>
            <w:tcW w:w="0" w:type="auto"/>
            <w:vMerge w:val="restart"/>
            <w:hideMark/>
          </w:tcPr>
          <w:p w14:paraId="40CB317D" w14:textId="2F7ABE0E" w:rsidR="00B309D9" w:rsidRPr="004637C7" w:rsidRDefault="00B309D9" w:rsidP="00D75525">
            <w:pPr>
              <w:jc w:val="center"/>
              <w:cnfStyle w:val="000000000000" w:firstRow="0" w:lastRow="0" w:firstColumn="0" w:lastColumn="0" w:oddVBand="0" w:evenVBand="0" w:oddHBand="0" w:evenHBand="0" w:firstRowFirstColumn="0" w:firstRowLastColumn="0" w:lastRowFirstColumn="0" w:lastRowLastColumn="0"/>
              <w:rPr>
                <w:rFonts w:eastAsia="Calibri"/>
                <w:szCs w:val="20"/>
                <w:lang w:bidi="ar-SA"/>
              </w:rPr>
            </w:pPr>
            <w:r w:rsidRPr="00481B02">
              <w:rPr>
                <w:szCs w:val="20"/>
                <w:lang w:eastAsia="fr-FR" w:bidi="ar-SA"/>
              </w:rPr>
              <w:t>ONDA</w:t>
            </w:r>
          </w:p>
        </w:tc>
        <w:tc>
          <w:tcPr>
            <w:tcW w:w="0" w:type="auto"/>
            <w:vMerge w:val="restart"/>
            <w:hideMark/>
          </w:tcPr>
          <w:p w14:paraId="4E366E63" w14:textId="77777777" w:rsidR="00B309D9" w:rsidRPr="004637C7" w:rsidRDefault="00B309D9" w:rsidP="00D75525">
            <w:pPr>
              <w:jc w:val="center"/>
              <w:cnfStyle w:val="000000000000" w:firstRow="0" w:lastRow="0" w:firstColumn="0" w:lastColumn="0" w:oddVBand="0" w:evenVBand="0" w:oddHBand="0" w:evenHBand="0" w:firstRowFirstColumn="0" w:firstRowLastColumn="0" w:lastRowFirstColumn="0" w:lastRowLastColumn="0"/>
              <w:rPr>
                <w:rFonts w:eastAsia="Calibri"/>
                <w:szCs w:val="20"/>
                <w:lang w:bidi="ar-SA"/>
              </w:rPr>
            </w:pPr>
            <w:r w:rsidRPr="004637C7">
              <w:rPr>
                <w:rFonts w:eastAsia="Calibri"/>
                <w:szCs w:val="20"/>
                <w:lang w:bidi="ar-SA"/>
              </w:rPr>
              <w:t>Selon cas</w:t>
            </w:r>
          </w:p>
        </w:tc>
        <w:tc>
          <w:tcPr>
            <w:tcW w:w="0" w:type="auto"/>
            <w:tcBorders>
              <w:bottom w:val="single" w:sz="4" w:space="0" w:color="B4C6E7" w:themeColor="accent1" w:themeTint="66"/>
            </w:tcBorders>
            <w:hideMark/>
          </w:tcPr>
          <w:p w14:paraId="1935ADF9" w14:textId="125B694C" w:rsidR="00B309D9" w:rsidRPr="004637C7" w:rsidRDefault="00606297" w:rsidP="00D60FC9">
            <w:pPr>
              <w:jc w:val="left"/>
              <w:cnfStyle w:val="000000000000" w:firstRow="0" w:lastRow="0" w:firstColumn="0" w:lastColumn="0" w:oddVBand="0" w:evenVBand="0" w:oddHBand="0" w:evenHBand="0" w:firstRowFirstColumn="0" w:firstRowLastColumn="0" w:lastRowFirstColumn="0" w:lastRowLastColumn="0"/>
              <w:rPr>
                <w:rFonts w:eastAsia="Calibri"/>
                <w:szCs w:val="20"/>
                <w:lang w:bidi="ar-SA"/>
              </w:rPr>
            </w:pPr>
            <w:r w:rsidRPr="00606297">
              <w:rPr>
                <w:rFonts w:eastAsia="Calibri"/>
                <w:szCs w:val="20"/>
                <w:lang w:bidi="ar-SA"/>
              </w:rPr>
              <w:t>Aucun coût spécifique</w:t>
            </w:r>
          </w:p>
        </w:tc>
      </w:tr>
      <w:tr w:rsidR="00B309D9" w:rsidRPr="00911732" w14:paraId="11D1F659" w14:textId="77777777" w:rsidTr="00B309D9">
        <w:trPr>
          <w:trHeight w:val="687"/>
        </w:trPr>
        <w:tc>
          <w:tcPr>
            <w:cnfStyle w:val="001000000000" w:firstRow="0" w:lastRow="0" w:firstColumn="1" w:lastColumn="0" w:oddVBand="0" w:evenVBand="0" w:oddHBand="0" w:evenHBand="0" w:firstRowFirstColumn="0" w:firstRowLastColumn="0" w:lastRowFirstColumn="0" w:lastRowLastColumn="0"/>
            <w:tcW w:w="0" w:type="auto"/>
            <w:vMerge/>
          </w:tcPr>
          <w:p w14:paraId="3DB17B1A" w14:textId="77777777" w:rsidR="00B309D9" w:rsidRPr="004637C7" w:rsidRDefault="00B309D9" w:rsidP="00D75525">
            <w:pPr>
              <w:jc w:val="center"/>
              <w:rPr>
                <w:rFonts w:eastAsia="Calibri"/>
                <w:b w:val="0"/>
                <w:bCs w:val="0"/>
                <w:szCs w:val="20"/>
                <w:lang w:bidi="ar-SA"/>
              </w:rPr>
            </w:pPr>
          </w:p>
        </w:tc>
        <w:tc>
          <w:tcPr>
            <w:tcW w:w="0" w:type="auto"/>
            <w:vMerge/>
          </w:tcPr>
          <w:p w14:paraId="5CCC6032" w14:textId="77777777" w:rsidR="00B309D9" w:rsidRPr="004637C7" w:rsidRDefault="00B309D9" w:rsidP="004637C7">
            <w:pPr>
              <w:jc w:val="left"/>
              <w:cnfStyle w:val="000000000000" w:firstRow="0" w:lastRow="0" w:firstColumn="0" w:lastColumn="0" w:oddVBand="0" w:evenVBand="0" w:oddHBand="0" w:evenHBand="0" w:firstRowFirstColumn="0" w:firstRowLastColumn="0" w:lastRowFirstColumn="0" w:lastRowLastColumn="0"/>
              <w:rPr>
                <w:rFonts w:eastAsia="Calibri"/>
                <w:szCs w:val="20"/>
                <w:lang w:bidi="ar-SA"/>
              </w:rPr>
            </w:pPr>
          </w:p>
        </w:tc>
        <w:tc>
          <w:tcPr>
            <w:tcW w:w="2585" w:type="dxa"/>
            <w:tcBorders>
              <w:top w:val="single" w:sz="4" w:space="0" w:color="B4C6E7" w:themeColor="accent1" w:themeTint="66"/>
            </w:tcBorders>
          </w:tcPr>
          <w:p w14:paraId="27935082" w14:textId="77777777" w:rsidR="00B309D9" w:rsidRPr="004637C7" w:rsidRDefault="00B309D9" w:rsidP="00B309D9">
            <w:pPr>
              <w:jc w:val="left"/>
              <w:cnfStyle w:val="000000000000" w:firstRow="0" w:lastRow="0" w:firstColumn="0" w:lastColumn="0" w:oddVBand="0" w:evenVBand="0" w:oddHBand="0" w:evenHBand="0" w:firstRowFirstColumn="0" w:firstRowLastColumn="0" w:lastRowFirstColumn="0" w:lastRowLastColumn="0"/>
              <w:rPr>
                <w:rFonts w:eastAsia="Calibri"/>
                <w:szCs w:val="20"/>
                <w:lang w:bidi="ar-SA"/>
              </w:rPr>
            </w:pPr>
            <w:r w:rsidRPr="00481B02">
              <w:rPr>
                <w:rFonts w:eastAsia="Calibri"/>
                <w:szCs w:val="20"/>
                <w:lang w:bidi="ar-SA"/>
              </w:rPr>
              <w:t>F</w:t>
            </w:r>
            <w:r w:rsidRPr="004637C7">
              <w:rPr>
                <w:rFonts w:eastAsia="Calibri"/>
                <w:szCs w:val="20"/>
                <w:lang w:bidi="ar-SA"/>
              </w:rPr>
              <w:t>ournir une prise en charge médicale immédiate.</w:t>
            </w:r>
          </w:p>
        </w:tc>
        <w:tc>
          <w:tcPr>
            <w:tcW w:w="1613" w:type="dxa"/>
            <w:vMerge/>
          </w:tcPr>
          <w:p w14:paraId="598445BF" w14:textId="77777777" w:rsidR="00B309D9" w:rsidRPr="004637C7" w:rsidRDefault="00B309D9" w:rsidP="00D75525">
            <w:pPr>
              <w:jc w:val="left"/>
              <w:cnfStyle w:val="000000000000" w:firstRow="0" w:lastRow="0" w:firstColumn="0" w:lastColumn="0" w:oddVBand="0" w:evenVBand="0" w:oddHBand="0" w:evenHBand="0" w:firstRowFirstColumn="0" w:firstRowLastColumn="0" w:lastRowFirstColumn="0" w:lastRowLastColumn="0"/>
              <w:rPr>
                <w:rFonts w:eastAsia="Calibri"/>
                <w:szCs w:val="20"/>
                <w:lang w:bidi="ar-SA"/>
              </w:rPr>
            </w:pPr>
          </w:p>
        </w:tc>
        <w:tc>
          <w:tcPr>
            <w:tcW w:w="0" w:type="auto"/>
            <w:vMerge/>
          </w:tcPr>
          <w:p w14:paraId="427484E8" w14:textId="77777777" w:rsidR="00B309D9" w:rsidRPr="00481B02" w:rsidRDefault="00B309D9" w:rsidP="00D75525">
            <w:pPr>
              <w:jc w:val="center"/>
              <w:cnfStyle w:val="000000000000" w:firstRow="0" w:lastRow="0" w:firstColumn="0" w:lastColumn="0" w:oddVBand="0" w:evenVBand="0" w:oddHBand="0" w:evenHBand="0" w:firstRowFirstColumn="0" w:firstRowLastColumn="0" w:lastRowFirstColumn="0" w:lastRowLastColumn="0"/>
              <w:rPr>
                <w:szCs w:val="20"/>
                <w:lang w:eastAsia="fr-FR" w:bidi="ar-SA"/>
              </w:rPr>
            </w:pPr>
          </w:p>
        </w:tc>
        <w:tc>
          <w:tcPr>
            <w:tcW w:w="0" w:type="auto"/>
            <w:vMerge/>
          </w:tcPr>
          <w:p w14:paraId="0B1B8DEE" w14:textId="77777777" w:rsidR="00B309D9" w:rsidRPr="00481B02" w:rsidRDefault="00B309D9" w:rsidP="00D75525">
            <w:pPr>
              <w:jc w:val="center"/>
              <w:cnfStyle w:val="000000000000" w:firstRow="0" w:lastRow="0" w:firstColumn="0" w:lastColumn="0" w:oddVBand="0" w:evenVBand="0" w:oddHBand="0" w:evenHBand="0" w:firstRowFirstColumn="0" w:firstRowLastColumn="0" w:lastRowFirstColumn="0" w:lastRowLastColumn="0"/>
              <w:rPr>
                <w:szCs w:val="20"/>
                <w:lang w:eastAsia="fr-FR" w:bidi="ar-SA"/>
              </w:rPr>
            </w:pPr>
          </w:p>
        </w:tc>
        <w:tc>
          <w:tcPr>
            <w:tcW w:w="0" w:type="auto"/>
            <w:vMerge/>
          </w:tcPr>
          <w:p w14:paraId="3B20882D" w14:textId="77777777" w:rsidR="00B309D9" w:rsidRPr="00481B02" w:rsidRDefault="00B309D9" w:rsidP="00D75525">
            <w:pPr>
              <w:jc w:val="center"/>
              <w:cnfStyle w:val="000000000000" w:firstRow="0" w:lastRow="0" w:firstColumn="0" w:lastColumn="0" w:oddVBand="0" w:evenVBand="0" w:oddHBand="0" w:evenHBand="0" w:firstRowFirstColumn="0" w:firstRowLastColumn="0" w:lastRowFirstColumn="0" w:lastRowLastColumn="0"/>
              <w:rPr>
                <w:szCs w:val="20"/>
                <w:lang w:eastAsia="fr-FR" w:bidi="ar-SA"/>
              </w:rPr>
            </w:pPr>
          </w:p>
        </w:tc>
        <w:tc>
          <w:tcPr>
            <w:tcW w:w="0" w:type="auto"/>
            <w:vMerge/>
          </w:tcPr>
          <w:p w14:paraId="6A150056" w14:textId="77777777" w:rsidR="00B309D9" w:rsidRPr="004637C7" w:rsidRDefault="00B309D9" w:rsidP="00D75525">
            <w:pPr>
              <w:jc w:val="center"/>
              <w:cnfStyle w:val="000000000000" w:firstRow="0" w:lastRow="0" w:firstColumn="0" w:lastColumn="0" w:oddVBand="0" w:evenVBand="0" w:oddHBand="0" w:evenHBand="0" w:firstRowFirstColumn="0" w:firstRowLastColumn="0" w:lastRowFirstColumn="0" w:lastRowLastColumn="0"/>
              <w:rPr>
                <w:rFonts w:eastAsia="Calibri"/>
                <w:szCs w:val="20"/>
                <w:lang w:bidi="ar-SA"/>
              </w:rPr>
            </w:pPr>
          </w:p>
        </w:tc>
        <w:tc>
          <w:tcPr>
            <w:tcW w:w="0" w:type="auto"/>
            <w:tcBorders>
              <w:top w:val="single" w:sz="4" w:space="0" w:color="B4C6E7" w:themeColor="accent1" w:themeTint="66"/>
            </w:tcBorders>
          </w:tcPr>
          <w:p w14:paraId="42BAC2DA" w14:textId="058A7CFD" w:rsidR="00B309D9" w:rsidRPr="00481B02" w:rsidRDefault="00606297" w:rsidP="006631E5">
            <w:pPr>
              <w:jc w:val="left"/>
              <w:cnfStyle w:val="000000000000" w:firstRow="0" w:lastRow="0" w:firstColumn="0" w:lastColumn="0" w:oddVBand="0" w:evenVBand="0" w:oddHBand="0" w:evenHBand="0" w:firstRowFirstColumn="0" w:firstRowLastColumn="0" w:lastRowFirstColumn="0" w:lastRowLastColumn="0"/>
              <w:rPr>
                <w:rFonts w:eastAsia="Calibri"/>
                <w:szCs w:val="20"/>
                <w:lang w:bidi="ar-SA"/>
              </w:rPr>
            </w:pPr>
            <w:r w:rsidRPr="00606297">
              <w:rPr>
                <w:rFonts w:eastAsia="Calibri"/>
                <w:szCs w:val="20"/>
                <w:lang w:bidi="ar-SA"/>
              </w:rPr>
              <w:t>Aucun coût spécifique (assuré par le médecin de travail)</w:t>
            </w:r>
          </w:p>
        </w:tc>
      </w:tr>
      <w:tr w:rsidR="00B96C3E" w:rsidRPr="00911732" w14:paraId="72E480C8" w14:textId="77777777" w:rsidTr="00872C3D">
        <w:trPr>
          <w:trHeight w:val="731"/>
        </w:trPr>
        <w:tc>
          <w:tcPr>
            <w:cnfStyle w:val="001000000000" w:firstRow="0" w:lastRow="0" w:firstColumn="1" w:lastColumn="0" w:oddVBand="0" w:evenVBand="0" w:oddHBand="0" w:evenHBand="0" w:firstRowFirstColumn="0" w:firstRowLastColumn="0" w:lastRowFirstColumn="0" w:lastRowLastColumn="0"/>
            <w:tcW w:w="0" w:type="auto"/>
            <w:vMerge w:val="restart"/>
            <w:hideMark/>
          </w:tcPr>
          <w:p w14:paraId="6B09E7B2" w14:textId="77777777" w:rsidR="00B96C3E" w:rsidRPr="00481B02" w:rsidRDefault="00B96C3E" w:rsidP="00D75525">
            <w:pPr>
              <w:jc w:val="center"/>
              <w:rPr>
                <w:rFonts w:eastAsia="Calibri"/>
                <w:szCs w:val="20"/>
                <w:lang w:bidi="ar-SA"/>
              </w:rPr>
            </w:pPr>
            <w:r w:rsidRPr="00481B02">
              <w:rPr>
                <w:rFonts w:eastAsia="Calibri"/>
                <w:szCs w:val="20"/>
                <w:lang w:bidi="ar-SA"/>
              </w:rPr>
              <w:lastRenderedPageBreak/>
              <w:t>Troubles musculosquelettiques (TMS) dus à la manutention répétitive</w:t>
            </w:r>
          </w:p>
        </w:tc>
        <w:tc>
          <w:tcPr>
            <w:tcW w:w="0" w:type="auto"/>
            <w:vMerge w:val="restart"/>
            <w:hideMark/>
          </w:tcPr>
          <w:p w14:paraId="760A8EB9" w14:textId="77777777" w:rsidR="00B96C3E" w:rsidRPr="004637C7" w:rsidRDefault="00B96C3E" w:rsidP="004637C7">
            <w:pPr>
              <w:jc w:val="left"/>
              <w:cnfStyle w:val="000000000000" w:firstRow="0" w:lastRow="0" w:firstColumn="0" w:lastColumn="0" w:oddVBand="0" w:evenVBand="0" w:oddHBand="0" w:evenHBand="0" w:firstRowFirstColumn="0" w:firstRowLastColumn="0" w:lastRowFirstColumn="0" w:lastRowLastColumn="0"/>
              <w:rPr>
                <w:rFonts w:eastAsia="Calibri"/>
                <w:szCs w:val="20"/>
                <w:lang w:bidi="ar-SA"/>
              </w:rPr>
            </w:pPr>
            <w:r w:rsidRPr="004637C7">
              <w:rPr>
                <w:rFonts w:eastAsia="Calibri"/>
                <w:szCs w:val="20"/>
                <w:lang w:bidi="ar-SA"/>
              </w:rPr>
              <w:t>Éviter</w:t>
            </w:r>
          </w:p>
        </w:tc>
        <w:tc>
          <w:tcPr>
            <w:tcW w:w="2585" w:type="dxa"/>
            <w:tcBorders>
              <w:bottom w:val="single" w:sz="4" w:space="0" w:color="B4C6E7" w:themeColor="accent1" w:themeTint="66"/>
            </w:tcBorders>
            <w:hideMark/>
          </w:tcPr>
          <w:p w14:paraId="0E12412D" w14:textId="2D8BF626" w:rsidR="00B96C3E" w:rsidRPr="004637C7" w:rsidRDefault="00B96C3E" w:rsidP="00D75525">
            <w:pPr>
              <w:jc w:val="left"/>
              <w:cnfStyle w:val="000000000000" w:firstRow="0" w:lastRow="0" w:firstColumn="0" w:lastColumn="0" w:oddVBand="0" w:evenVBand="0" w:oddHBand="0" w:evenHBand="0" w:firstRowFirstColumn="0" w:firstRowLastColumn="0" w:lastRowFirstColumn="0" w:lastRowLastColumn="0"/>
              <w:rPr>
                <w:rFonts w:eastAsia="Calibri"/>
                <w:szCs w:val="20"/>
                <w:lang w:bidi="ar-SA"/>
              </w:rPr>
            </w:pPr>
            <w:r w:rsidRPr="004637C7">
              <w:rPr>
                <w:rFonts w:eastAsia="Calibri"/>
                <w:szCs w:val="20"/>
                <w:lang w:bidi="ar-SA"/>
              </w:rPr>
              <w:t xml:space="preserve">Mécaniser au maximum les opérations de manutention ; </w:t>
            </w:r>
          </w:p>
        </w:tc>
        <w:tc>
          <w:tcPr>
            <w:tcW w:w="1613" w:type="dxa"/>
            <w:vMerge w:val="restart"/>
            <w:hideMark/>
          </w:tcPr>
          <w:p w14:paraId="58287C35" w14:textId="77777777" w:rsidR="00B96C3E" w:rsidRPr="00481B02" w:rsidRDefault="00B96C3E" w:rsidP="00D75525">
            <w:pPr>
              <w:jc w:val="left"/>
              <w:cnfStyle w:val="000000000000" w:firstRow="0" w:lastRow="0" w:firstColumn="0" w:lastColumn="0" w:oddVBand="0" w:evenVBand="0" w:oddHBand="0" w:evenHBand="0" w:firstRowFirstColumn="0" w:firstRowLastColumn="0" w:lastRowFirstColumn="0" w:lastRowLastColumn="0"/>
              <w:rPr>
                <w:rFonts w:eastAsia="Calibri"/>
                <w:szCs w:val="20"/>
                <w:lang w:bidi="ar-SA"/>
              </w:rPr>
            </w:pPr>
            <w:r w:rsidRPr="004637C7">
              <w:rPr>
                <w:rFonts w:eastAsia="Calibri"/>
                <w:szCs w:val="20"/>
                <w:lang w:bidi="ar-SA"/>
              </w:rPr>
              <w:t xml:space="preserve">% d’équipements mécaniques </w:t>
            </w:r>
          </w:p>
          <w:p w14:paraId="6D5B1976" w14:textId="37DA98E6" w:rsidR="00B96C3E" w:rsidRPr="004637C7" w:rsidRDefault="00B96C3E" w:rsidP="004637C7">
            <w:pPr>
              <w:jc w:val="left"/>
              <w:cnfStyle w:val="000000000000" w:firstRow="0" w:lastRow="0" w:firstColumn="0" w:lastColumn="0" w:oddVBand="0" w:evenVBand="0" w:oddHBand="0" w:evenHBand="0" w:firstRowFirstColumn="0" w:firstRowLastColumn="0" w:lastRowFirstColumn="0" w:lastRowLastColumn="0"/>
              <w:rPr>
                <w:rFonts w:eastAsia="Calibri"/>
                <w:szCs w:val="20"/>
                <w:lang w:bidi="ar-SA"/>
              </w:rPr>
            </w:pPr>
            <w:r w:rsidRPr="004637C7">
              <w:rPr>
                <w:rFonts w:eastAsia="Calibri"/>
                <w:szCs w:val="20"/>
                <w:lang w:bidi="ar-SA"/>
              </w:rPr>
              <w:t>Nb de manutentions manuelles</w:t>
            </w:r>
          </w:p>
        </w:tc>
        <w:tc>
          <w:tcPr>
            <w:tcW w:w="0" w:type="auto"/>
            <w:vMerge w:val="restart"/>
            <w:hideMark/>
          </w:tcPr>
          <w:p w14:paraId="5AECB3F5" w14:textId="2FDBED8D" w:rsidR="00B96C3E" w:rsidRPr="004637C7" w:rsidRDefault="00B96C3E" w:rsidP="00D75525">
            <w:pPr>
              <w:jc w:val="center"/>
              <w:cnfStyle w:val="000000000000" w:firstRow="0" w:lastRow="0" w:firstColumn="0" w:lastColumn="0" w:oddVBand="0" w:evenVBand="0" w:oddHBand="0" w:evenHBand="0" w:firstRowFirstColumn="0" w:firstRowLastColumn="0" w:lastRowFirstColumn="0" w:lastRowLastColumn="0"/>
              <w:rPr>
                <w:rFonts w:eastAsia="Calibri"/>
                <w:szCs w:val="20"/>
                <w:lang w:bidi="ar-SA"/>
              </w:rPr>
            </w:pPr>
            <w:r w:rsidRPr="00481B02">
              <w:rPr>
                <w:szCs w:val="20"/>
                <w:lang w:eastAsia="fr-FR" w:bidi="ar-SA"/>
              </w:rPr>
              <w:t>ONDA / Exploitant</w:t>
            </w:r>
          </w:p>
        </w:tc>
        <w:tc>
          <w:tcPr>
            <w:tcW w:w="0" w:type="auto"/>
            <w:vMerge w:val="restart"/>
            <w:hideMark/>
          </w:tcPr>
          <w:p w14:paraId="45C0B404" w14:textId="7ED12683" w:rsidR="00B96C3E" w:rsidRPr="004637C7" w:rsidRDefault="00B96C3E" w:rsidP="00D75525">
            <w:pPr>
              <w:jc w:val="center"/>
              <w:cnfStyle w:val="000000000000" w:firstRow="0" w:lastRow="0" w:firstColumn="0" w:lastColumn="0" w:oddVBand="0" w:evenVBand="0" w:oddHBand="0" w:evenHBand="0" w:firstRowFirstColumn="0" w:firstRowLastColumn="0" w:lastRowFirstColumn="0" w:lastRowLastColumn="0"/>
              <w:rPr>
                <w:rFonts w:eastAsia="Calibri"/>
                <w:szCs w:val="20"/>
                <w:lang w:bidi="ar-SA"/>
              </w:rPr>
            </w:pPr>
            <w:r w:rsidRPr="00481B02">
              <w:rPr>
                <w:szCs w:val="20"/>
                <w:lang w:eastAsia="fr-FR" w:bidi="ar-SA"/>
              </w:rPr>
              <w:t>ONDA</w:t>
            </w:r>
          </w:p>
        </w:tc>
        <w:tc>
          <w:tcPr>
            <w:tcW w:w="0" w:type="auto"/>
            <w:vMerge w:val="restart"/>
            <w:hideMark/>
          </w:tcPr>
          <w:p w14:paraId="0CC6DA84" w14:textId="4AD14014" w:rsidR="00B96C3E" w:rsidRPr="004637C7" w:rsidRDefault="00B96C3E" w:rsidP="00D75525">
            <w:pPr>
              <w:jc w:val="center"/>
              <w:cnfStyle w:val="000000000000" w:firstRow="0" w:lastRow="0" w:firstColumn="0" w:lastColumn="0" w:oddVBand="0" w:evenVBand="0" w:oddHBand="0" w:evenHBand="0" w:firstRowFirstColumn="0" w:firstRowLastColumn="0" w:lastRowFirstColumn="0" w:lastRowLastColumn="0"/>
              <w:rPr>
                <w:rFonts w:eastAsia="Calibri"/>
                <w:szCs w:val="20"/>
                <w:lang w:bidi="ar-SA"/>
              </w:rPr>
            </w:pPr>
            <w:r w:rsidRPr="00481B02">
              <w:rPr>
                <w:szCs w:val="20"/>
                <w:lang w:eastAsia="fr-FR" w:bidi="ar-SA"/>
              </w:rPr>
              <w:t>ONDA</w:t>
            </w:r>
          </w:p>
        </w:tc>
        <w:tc>
          <w:tcPr>
            <w:tcW w:w="0" w:type="auto"/>
            <w:vMerge w:val="restart"/>
            <w:hideMark/>
          </w:tcPr>
          <w:p w14:paraId="43B9C45B" w14:textId="77777777" w:rsidR="00B96C3E" w:rsidRPr="004637C7" w:rsidRDefault="00B96C3E" w:rsidP="00D75525">
            <w:pPr>
              <w:jc w:val="center"/>
              <w:cnfStyle w:val="000000000000" w:firstRow="0" w:lastRow="0" w:firstColumn="0" w:lastColumn="0" w:oddVBand="0" w:evenVBand="0" w:oddHBand="0" w:evenHBand="0" w:firstRowFirstColumn="0" w:firstRowLastColumn="0" w:lastRowFirstColumn="0" w:lastRowLastColumn="0"/>
              <w:rPr>
                <w:rFonts w:eastAsia="Calibri"/>
                <w:szCs w:val="20"/>
                <w:lang w:bidi="ar-SA"/>
              </w:rPr>
            </w:pPr>
            <w:r w:rsidRPr="004637C7">
              <w:rPr>
                <w:rFonts w:eastAsia="Calibri"/>
                <w:szCs w:val="20"/>
                <w:lang w:bidi="ar-SA"/>
              </w:rPr>
              <w:t>Permanent</w:t>
            </w:r>
          </w:p>
        </w:tc>
        <w:tc>
          <w:tcPr>
            <w:tcW w:w="0" w:type="auto"/>
            <w:tcBorders>
              <w:bottom w:val="single" w:sz="4" w:space="0" w:color="B4C6E7" w:themeColor="accent1" w:themeTint="66"/>
            </w:tcBorders>
            <w:hideMark/>
          </w:tcPr>
          <w:p w14:paraId="48AEBF0F" w14:textId="57E34A3F" w:rsidR="00B96C3E" w:rsidRPr="004637C7" w:rsidRDefault="00B96C3E" w:rsidP="00D60FC9">
            <w:pPr>
              <w:jc w:val="left"/>
              <w:cnfStyle w:val="000000000000" w:firstRow="0" w:lastRow="0" w:firstColumn="0" w:lastColumn="0" w:oddVBand="0" w:evenVBand="0" w:oddHBand="0" w:evenHBand="0" w:firstRowFirstColumn="0" w:firstRowLastColumn="0" w:lastRowFirstColumn="0" w:lastRowLastColumn="0"/>
              <w:rPr>
                <w:rFonts w:eastAsia="Calibri"/>
                <w:szCs w:val="20"/>
                <w:lang w:bidi="ar-SA"/>
              </w:rPr>
            </w:pPr>
            <w:r w:rsidRPr="00872C3D">
              <w:rPr>
                <w:rFonts w:eastAsia="Calibri"/>
                <w:szCs w:val="20"/>
                <w:lang w:bidi="ar-SA"/>
              </w:rPr>
              <w:t>Selon acquisition spécifique (≈ 20 000 MAD / transpalette électrique)</w:t>
            </w:r>
          </w:p>
        </w:tc>
      </w:tr>
      <w:tr w:rsidR="00B96C3E" w:rsidRPr="00911732" w14:paraId="3C75DEE2" w14:textId="77777777" w:rsidTr="00872C3D">
        <w:trPr>
          <w:trHeight w:val="731"/>
        </w:trPr>
        <w:tc>
          <w:tcPr>
            <w:cnfStyle w:val="001000000000" w:firstRow="0" w:lastRow="0" w:firstColumn="1" w:lastColumn="0" w:oddVBand="0" w:evenVBand="0" w:oddHBand="0" w:evenHBand="0" w:firstRowFirstColumn="0" w:firstRowLastColumn="0" w:lastRowFirstColumn="0" w:lastRowLastColumn="0"/>
            <w:tcW w:w="0" w:type="auto"/>
            <w:vMerge/>
          </w:tcPr>
          <w:p w14:paraId="73053284" w14:textId="77777777" w:rsidR="00B96C3E" w:rsidRPr="00481B02" w:rsidRDefault="00B96C3E" w:rsidP="00D75525">
            <w:pPr>
              <w:jc w:val="center"/>
              <w:rPr>
                <w:rFonts w:eastAsia="Calibri"/>
                <w:szCs w:val="20"/>
                <w:lang w:bidi="ar-SA"/>
              </w:rPr>
            </w:pPr>
          </w:p>
        </w:tc>
        <w:tc>
          <w:tcPr>
            <w:tcW w:w="0" w:type="auto"/>
            <w:vMerge/>
          </w:tcPr>
          <w:p w14:paraId="296FD9F5" w14:textId="77777777" w:rsidR="00B96C3E" w:rsidRPr="004637C7" w:rsidRDefault="00B96C3E" w:rsidP="004637C7">
            <w:pPr>
              <w:jc w:val="left"/>
              <w:cnfStyle w:val="000000000000" w:firstRow="0" w:lastRow="0" w:firstColumn="0" w:lastColumn="0" w:oddVBand="0" w:evenVBand="0" w:oddHBand="0" w:evenHBand="0" w:firstRowFirstColumn="0" w:firstRowLastColumn="0" w:lastRowFirstColumn="0" w:lastRowLastColumn="0"/>
              <w:rPr>
                <w:rFonts w:eastAsia="Calibri"/>
                <w:szCs w:val="20"/>
                <w:lang w:bidi="ar-SA"/>
              </w:rPr>
            </w:pPr>
          </w:p>
        </w:tc>
        <w:tc>
          <w:tcPr>
            <w:tcW w:w="2585" w:type="dxa"/>
            <w:tcBorders>
              <w:top w:val="single" w:sz="4" w:space="0" w:color="B4C6E7" w:themeColor="accent1" w:themeTint="66"/>
              <w:bottom w:val="single" w:sz="4" w:space="0" w:color="B4C6E7" w:themeColor="accent1" w:themeTint="66"/>
            </w:tcBorders>
          </w:tcPr>
          <w:p w14:paraId="430943FA" w14:textId="36F107A9" w:rsidR="00B96C3E" w:rsidRPr="004637C7" w:rsidRDefault="00B96C3E" w:rsidP="00872C3D">
            <w:pPr>
              <w:jc w:val="left"/>
              <w:cnfStyle w:val="000000000000" w:firstRow="0" w:lastRow="0" w:firstColumn="0" w:lastColumn="0" w:oddVBand="0" w:evenVBand="0" w:oddHBand="0" w:evenHBand="0" w:firstRowFirstColumn="0" w:firstRowLastColumn="0" w:lastRowFirstColumn="0" w:lastRowLastColumn="0"/>
              <w:rPr>
                <w:rFonts w:eastAsia="Calibri"/>
                <w:szCs w:val="20"/>
                <w:lang w:bidi="ar-SA"/>
              </w:rPr>
            </w:pPr>
            <w:r w:rsidRPr="00481B02">
              <w:rPr>
                <w:rFonts w:eastAsia="Calibri"/>
                <w:szCs w:val="20"/>
                <w:lang w:bidi="ar-SA"/>
              </w:rPr>
              <w:t>L</w:t>
            </w:r>
            <w:r w:rsidRPr="004637C7">
              <w:rPr>
                <w:rFonts w:eastAsia="Calibri"/>
                <w:szCs w:val="20"/>
                <w:lang w:bidi="ar-SA"/>
              </w:rPr>
              <w:t xml:space="preserve">imiter le poids des charges manuelles à 25 kg ; </w:t>
            </w:r>
          </w:p>
        </w:tc>
        <w:tc>
          <w:tcPr>
            <w:tcW w:w="1613" w:type="dxa"/>
            <w:vMerge/>
          </w:tcPr>
          <w:p w14:paraId="55819B98" w14:textId="77777777" w:rsidR="00B96C3E" w:rsidRPr="004637C7" w:rsidRDefault="00B96C3E" w:rsidP="00D75525">
            <w:pPr>
              <w:jc w:val="left"/>
              <w:cnfStyle w:val="000000000000" w:firstRow="0" w:lastRow="0" w:firstColumn="0" w:lastColumn="0" w:oddVBand="0" w:evenVBand="0" w:oddHBand="0" w:evenHBand="0" w:firstRowFirstColumn="0" w:firstRowLastColumn="0" w:lastRowFirstColumn="0" w:lastRowLastColumn="0"/>
              <w:rPr>
                <w:rFonts w:eastAsia="Calibri"/>
                <w:szCs w:val="20"/>
                <w:lang w:bidi="ar-SA"/>
              </w:rPr>
            </w:pPr>
          </w:p>
        </w:tc>
        <w:tc>
          <w:tcPr>
            <w:tcW w:w="0" w:type="auto"/>
            <w:vMerge/>
          </w:tcPr>
          <w:p w14:paraId="683B04E3" w14:textId="77777777" w:rsidR="00B96C3E" w:rsidRPr="00481B02" w:rsidRDefault="00B96C3E" w:rsidP="00D75525">
            <w:pPr>
              <w:jc w:val="center"/>
              <w:cnfStyle w:val="000000000000" w:firstRow="0" w:lastRow="0" w:firstColumn="0" w:lastColumn="0" w:oddVBand="0" w:evenVBand="0" w:oddHBand="0" w:evenHBand="0" w:firstRowFirstColumn="0" w:firstRowLastColumn="0" w:lastRowFirstColumn="0" w:lastRowLastColumn="0"/>
              <w:rPr>
                <w:szCs w:val="20"/>
                <w:lang w:eastAsia="fr-FR" w:bidi="ar-SA"/>
              </w:rPr>
            </w:pPr>
          </w:p>
        </w:tc>
        <w:tc>
          <w:tcPr>
            <w:tcW w:w="0" w:type="auto"/>
            <w:vMerge/>
          </w:tcPr>
          <w:p w14:paraId="3B375D2B" w14:textId="77777777" w:rsidR="00B96C3E" w:rsidRPr="00481B02" w:rsidRDefault="00B96C3E" w:rsidP="00D75525">
            <w:pPr>
              <w:jc w:val="center"/>
              <w:cnfStyle w:val="000000000000" w:firstRow="0" w:lastRow="0" w:firstColumn="0" w:lastColumn="0" w:oddVBand="0" w:evenVBand="0" w:oddHBand="0" w:evenHBand="0" w:firstRowFirstColumn="0" w:firstRowLastColumn="0" w:lastRowFirstColumn="0" w:lastRowLastColumn="0"/>
              <w:rPr>
                <w:szCs w:val="20"/>
                <w:lang w:eastAsia="fr-FR" w:bidi="ar-SA"/>
              </w:rPr>
            </w:pPr>
          </w:p>
        </w:tc>
        <w:tc>
          <w:tcPr>
            <w:tcW w:w="0" w:type="auto"/>
            <w:vMerge/>
          </w:tcPr>
          <w:p w14:paraId="55FE1941" w14:textId="77777777" w:rsidR="00B96C3E" w:rsidRPr="00481B02" w:rsidRDefault="00B96C3E" w:rsidP="00D75525">
            <w:pPr>
              <w:jc w:val="center"/>
              <w:cnfStyle w:val="000000000000" w:firstRow="0" w:lastRow="0" w:firstColumn="0" w:lastColumn="0" w:oddVBand="0" w:evenVBand="0" w:oddHBand="0" w:evenHBand="0" w:firstRowFirstColumn="0" w:firstRowLastColumn="0" w:lastRowFirstColumn="0" w:lastRowLastColumn="0"/>
              <w:rPr>
                <w:szCs w:val="20"/>
                <w:lang w:eastAsia="fr-FR" w:bidi="ar-SA"/>
              </w:rPr>
            </w:pPr>
          </w:p>
        </w:tc>
        <w:tc>
          <w:tcPr>
            <w:tcW w:w="0" w:type="auto"/>
            <w:vMerge/>
          </w:tcPr>
          <w:p w14:paraId="101BBC44" w14:textId="77777777" w:rsidR="00B96C3E" w:rsidRPr="004637C7" w:rsidRDefault="00B96C3E" w:rsidP="00D75525">
            <w:pPr>
              <w:jc w:val="center"/>
              <w:cnfStyle w:val="000000000000" w:firstRow="0" w:lastRow="0" w:firstColumn="0" w:lastColumn="0" w:oddVBand="0" w:evenVBand="0" w:oddHBand="0" w:evenHBand="0" w:firstRowFirstColumn="0" w:firstRowLastColumn="0" w:lastRowFirstColumn="0" w:lastRowLastColumn="0"/>
              <w:rPr>
                <w:rFonts w:eastAsia="Calibri"/>
                <w:szCs w:val="20"/>
                <w:lang w:bidi="ar-SA"/>
              </w:rPr>
            </w:pPr>
          </w:p>
        </w:tc>
        <w:tc>
          <w:tcPr>
            <w:tcW w:w="0" w:type="auto"/>
            <w:tcBorders>
              <w:top w:val="single" w:sz="4" w:space="0" w:color="B4C6E7" w:themeColor="accent1" w:themeTint="66"/>
              <w:bottom w:val="single" w:sz="4" w:space="0" w:color="B4C6E7" w:themeColor="accent1" w:themeTint="66"/>
            </w:tcBorders>
          </w:tcPr>
          <w:p w14:paraId="13123487" w14:textId="22D9BD26" w:rsidR="00B96C3E" w:rsidRPr="00481B02" w:rsidRDefault="00B96C3E" w:rsidP="006631E5">
            <w:pPr>
              <w:jc w:val="left"/>
              <w:cnfStyle w:val="000000000000" w:firstRow="0" w:lastRow="0" w:firstColumn="0" w:lastColumn="0" w:oddVBand="0" w:evenVBand="0" w:oddHBand="0" w:evenHBand="0" w:firstRowFirstColumn="0" w:firstRowLastColumn="0" w:lastRowFirstColumn="0" w:lastRowLastColumn="0"/>
              <w:rPr>
                <w:rFonts w:eastAsia="Calibri"/>
                <w:szCs w:val="20"/>
                <w:lang w:bidi="ar-SA"/>
              </w:rPr>
            </w:pPr>
            <w:r w:rsidRPr="00872C3D">
              <w:rPr>
                <w:rFonts w:eastAsia="Calibri"/>
                <w:szCs w:val="20"/>
                <w:lang w:bidi="ar-SA"/>
              </w:rPr>
              <w:t>Aucun coût spécifique</w:t>
            </w:r>
          </w:p>
        </w:tc>
      </w:tr>
      <w:tr w:rsidR="00B96C3E" w:rsidRPr="00911732" w14:paraId="2FBFAEAE" w14:textId="77777777" w:rsidTr="00872C3D">
        <w:trPr>
          <w:trHeight w:val="742"/>
        </w:trPr>
        <w:tc>
          <w:tcPr>
            <w:cnfStyle w:val="001000000000" w:firstRow="0" w:lastRow="0" w:firstColumn="1" w:lastColumn="0" w:oddVBand="0" w:evenVBand="0" w:oddHBand="0" w:evenHBand="0" w:firstRowFirstColumn="0" w:firstRowLastColumn="0" w:lastRowFirstColumn="0" w:lastRowLastColumn="0"/>
            <w:tcW w:w="0" w:type="auto"/>
            <w:vMerge/>
          </w:tcPr>
          <w:p w14:paraId="598D19C0" w14:textId="77777777" w:rsidR="00B96C3E" w:rsidRPr="00481B02" w:rsidRDefault="00B96C3E" w:rsidP="00D75525">
            <w:pPr>
              <w:jc w:val="center"/>
              <w:rPr>
                <w:rFonts w:eastAsia="Calibri"/>
                <w:szCs w:val="20"/>
                <w:lang w:bidi="ar-SA"/>
              </w:rPr>
            </w:pPr>
          </w:p>
        </w:tc>
        <w:tc>
          <w:tcPr>
            <w:tcW w:w="0" w:type="auto"/>
            <w:vMerge/>
          </w:tcPr>
          <w:p w14:paraId="1521C646" w14:textId="77777777" w:rsidR="00B96C3E" w:rsidRPr="004637C7" w:rsidRDefault="00B96C3E" w:rsidP="004637C7">
            <w:pPr>
              <w:jc w:val="left"/>
              <w:cnfStyle w:val="000000000000" w:firstRow="0" w:lastRow="0" w:firstColumn="0" w:lastColumn="0" w:oddVBand="0" w:evenVBand="0" w:oddHBand="0" w:evenHBand="0" w:firstRowFirstColumn="0" w:firstRowLastColumn="0" w:lastRowFirstColumn="0" w:lastRowLastColumn="0"/>
              <w:rPr>
                <w:rFonts w:eastAsia="Calibri"/>
                <w:szCs w:val="20"/>
                <w:lang w:bidi="ar-SA"/>
              </w:rPr>
            </w:pPr>
          </w:p>
        </w:tc>
        <w:tc>
          <w:tcPr>
            <w:tcW w:w="2585" w:type="dxa"/>
            <w:tcBorders>
              <w:top w:val="single" w:sz="4" w:space="0" w:color="B4C6E7" w:themeColor="accent1" w:themeTint="66"/>
            </w:tcBorders>
          </w:tcPr>
          <w:p w14:paraId="4BC03802" w14:textId="77777777" w:rsidR="00B96C3E" w:rsidRPr="00481B02" w:rsidDel="00872C3D" w:rsidRDefault="00B96C3E" w:rsidP="00872C3D">
            <w:pPr>
              <w:jc w:val="left"/>
              <w:cnfStyle w:val="000000000000" w:firstRow="0" w:lastRow="0" w:firstColumn="0" w:lastColumn="0" w:oddVBand="0" w:evenVBand="0" w:oddHBand="0" w:evenHBand="0" w:firstRowFirstColumn="0" w:firstRowLastColumn="0" w:lastRowFirstColumn="0" w:lastRowLastColumn="0"/>
              <w:rPr>
                <w:rFonts w:eastAsia="Calibri"/>
                <w:szCs w:val="20"/>
                <w:lang w:bidi="ar-SA"/>
              </w:rPr>
            </w:pPr>
            <w:r w:rsidRPr="00481B02">
              <w:rPr>
                <w:rFonts w:eastAsia="Calibri"/>
                <w:szCs w:val="20"/>
                <w:lang w:bidi="ar-SA"/>
              </w:rPr>
              <w:t>A</w:t>
            </w:r>
            <w:r w:rsidRPr="004637C7">
              <w:rPr>
                <w:rFonts w:eastAsia="Calibri"/>
                <w:szCs w:val="20"/>
                <w:lang w:bidi="ar-SA"/>
              </w:rPr>
              <w:t>dapter les plans de travail à hauteur ergonomique.</w:t>
            </w:r>
          </w:p>
        </w:tc>
        <w:tc>
          <w:tcPr>
            <w:tcW w:w="1613" w:type="dxa"/>
            <w:vMerge/>
          </w:tcPr>
          <w:p w14:paraId="283170A1" w14:textId="77777777" w:rsidR="00B96C3E" w:rsidRPr="004637C7" w:rsidRDefault="00B96C3E" w:rsidP="00D75525">
            <w:pPr>
              <w:jc w:val="left"/>
              <w:cnfStyle w:val="000000000000" w:firstRow="0" w:lastRow="0" w:firstColumn="0" w:lastColumn="0" w:oddVBand="0" w:evenVBand="0" w:oddHBand="0" w:evenHBand="0" w:firstRowFirstColumn="0" w:firstRowLastColumn="0" w:lastRowFirstColumn="0" w:lastRowLastColumn="0"/>
              <w:rPr>
                <w:rFonts w:eastAsia="Calibri"/>
                <w:szCs w:val="20"/>
                <w:lang w:bidi="ar-SA"/>
              </w:rPr>
            </w:pPr>
          </w:p>
        </w:tc>
        <w:tc>
          <w:tcPr>
            <w:tcW w:w="0" w:type="auto"/>
            <w:vMerge/>
          </w:tcPr>
          <w:p w14:paraId="0BBAAA68" w14:textId="77777777" w:rsidR="00B96C3E" w:rsidRPr="00481B02" w:rsidRDefault="00B96C3E" w:rsidP="00D75525">
            <w:pPr>
              <w:jc w:val="center"/>
              <w:cnfStyle w:val="000000000000" w:firstRow="0" w:lastRow="0" w:firstColumn="0" w:lastColumn="0" w:oddVBand="0" w:evenVBand="0" w:oddHBand="0" w:evenHBand="0" w:firstRowFirstColumn="0" w:firstRowLastColumn="0" w:lastRowFirstColumn="0" w:lastRowLastColumn="0"/>
              <w:rPr>
                <w:szCs w:val="20"/>
                <w:lang w:eastAsia="fr-FR" w:bidi="ar-SA"/>
              </w:rPr>
            </w:pPr>
          </w:p>
        </w:tc>
        <w:tc>
          <w:tcPr>
            <w:tcW w:w="0" w:type="auto"/>
            <w:vMerge/>
          </w:tcPr>
          <w:p w14:paraId="13280A10" w14:textId="77777777" w:rsidR="00B96C3E" w:rsidRPr="00481B02" w:rsidRDefault="00B96C3E" w:rsidP="00D75525">
            <w:pPr>
              <w:jc w:val="center"/>
              <w:cnfStyle w:val="000000000000" w:firstRow="0" w:lastRow="0" w:firstColumn="0" w:lastColumn="0" w:oddVBand="0" w:evenVBand="0" w:oddHBand="0" w:evenHBand="0" w:firstRowFirstColumn="0" w:firstRowLastColumn="0" w:lastRowFirstColumn="0" w:lastRowLastColumn="0"/>
              <w:rPr>
                <w:szCs w:val="20"/>
                <w:lang w:eastAsia="fr-FR" w:bidi="ar-SA"/>
              </w:rPr>
            </w:pPr>
          </w:p>
        </w:tc>
        <w:tc>
          <w:tcPr>
            <w:tcW w:w="0" w:type="auto"/>
            <w:vMerge/>
          </w:tcPr>
          <w:p w14:paraId="0216B6B9" w14:textId="77777777" w:rsidR="00B96C3E" w:rsidRPr="00481B02" w:rsidRDefault="00B96C3E" w:rsidP="00D75525">
            <w:pPr>
              <w:jc w:val="center"/>
              <w:cnfStyle w:val="000000000000" w:firstRow="0" w:lastRow="0" w:firstColumn="0" w:lastColumn="0" w:oddVBand="0" w:evenVBand="0" w:oddHBand="0" w:evenHBand="0" w:firstRowFirstColumn="0" w:firstRowLastColumn="0" w:lastRowFirstColumn="0" w:lastRowLastColumn="0"/>
              <w:rPr>
                <w:szCs w:val="20"/>
                <w:lang w:eastAsia="fr-FR" w:bidi="ar-SA"/>
              </w:rPr>
            </w:pPr>
          </w:p>
        </w:tc>
        <w:tc>
          <w:tcPr>
            <w:tcW w:w="0" w:type="auto"/>
            <w:vMerge/>
          </w:tcPr>
          <w:p w14:paraId="3C6C7F72" w14:textId="77777777" w:rsidR="00B96C3E" w:rsidRPr="004637C7" w:rsidRDefault="00B96C3E" w:rsidP="00D75525">
            <w:pPr>
              <w:jc w:val="center"/>
              <w:cnfStyle w:val="000000000000" w:firstRow="0" w:lastRow="0" w:firstColumn="0" w:lastColumn="0" w:oddVBand="0" w:evenVBand="0" w:oddHBand="0" w:evenHBand="0" w:firstRowFirstColumn="0" w:firstRowLastColumn="0" w:lastRowFirstColumn="0" w:lastRowLastColumn="0"/>
              <w:rPr>
                <w:rFonts w:eastAsia="Calibri"/>
                <w:szCs w:val="20"/>
                <w:lang w:bidi="ar-SA"/>
              </w:rPr>
            </w:pPr>
          </w:p>
        </w:tc>
        <w:tc>
          <w:tcPr>
            <w:tcW w:w="0" w:type="auto"/>
            <w:tcBorders>
              <w:top w:val="single" w:sz="4" w:space="0" w:color="B4C6E7" w:themeColor="accent1" w:themeTint="66"/>
            </w:tcBorders>
          </w:tcPr>
          <w:p w14:paraId="296200A6" w14:textId="4C91E1EB" w:rsidR="00B96C3E" w:rsidRPr="00481B02" w:rsidRDefault="00B96C3E" w:rsidP="006631E5">
            <w:pPr>
              <w:jc w:val="left"/>
              <w:cnfStyle w:val="000000000000" w:firstRow="0" w:lastRow="0" w:firstColumn="0" w:lastColumn="0" w:oddVBand="0" w:evenVBand="0" w:oddHBand="0" w:evenHBand="0" w:firstRowFirstColumn="0" w:firstRowLastColumn="0" w:lastRowFirstColumn="0" w:lastRowLastColumn="0"/>
              <w:rPr>
                <w:rFonts w:eastAsia="Calibri"/>
                <w:szCs w:val="20"/>
                <w:lang w:bidi="ar-SA"/>
              </w:rPr>
            </w:pPr>
            <w:r w:rsidRPr="00872C3D">
              <w:rPr>
                <w:rFonts w:eastAsia="Calibri"/>
                <w:szCs w:val="20"/>
                <w:lang w:bidi="ar-SA"/>
              </w:rPr>
              <w:t>Aucun coût spécifique</w:t>
            </w:r>
          </w:p>
        </w:tc>
      </w:tr>
      <w:tr w:rsidR="00B96C3E" w:rsidRPr="00911732" w14:paraId="4D96DECE" w14:textId="77777777" w:rsidTr="008348A2">
        <w:trPr>
          <w:trHeight w:val="1277"/>
        </w:trPr>
        <w:tc>
          <w:tcPr>
            <w:cnfStyle w:val="001000000000" w:firstRow="0" w:lastRow="0" w:firstColumn="1" w:lastColumn="0" w:oddVBand="0" w:evenVBand="0" w:oddHBand="0" w:evenHBand="0" w:firstRowFirstColumn="0" w:firstRowLastColumn="0" w:lastRowFirstColumn="0" w:lastRowLastColumn="0"/>
            <w:tcW w:w="0" w:type="auto"/>
            <w:vMerge/>
            <w:hideMark/>
          </w:tcPr>
          <w:p w14:paraId="432D6CCC" w14:textId="77777777" w:rsidR="00B96C3E" w:rsidRPr="004637C7" w:rsidRDefault="00B96C3E" w:rsidP="00D75525">
            <w:pPr>
              <w:jc w:val="center"/>
              <w:rPr>
                <w:rFonts w:eastAsia="Calibri"/>
                <w:b w:val="0"/>
                <w:bCs w:val="0"/>
                <w:szCs w:val="20"/>
                <w:lang w:bidi="ar-SA"/>
              </w:rPr>
            </w:pPr>
          </w:p>
        </w:tc>
        <w:tc>
          <w:tcPr>
            <w:tcW w:w="0" w:type="auto"/>
            <w:vMerge w:val="restart"/>
            <w:hideMark/>
          </w:tcPr>
          <w:p w14:paraId="40B39691" w14:textId="77777777" w:rsidR="00B96C3E" w:rsidRPr="004637C7" w:rsidRDefault="00B96C3E" w:rsidP="004637C7">
            <w:pPr>
              <w:jc w:val="left"/>
              <w:cnfStyle w:val="000000000000" w:firstRow="0" w:lastRow="0" w:firstColumn="0" w:lastColumn="0" w:oddVBand="0" w:evenVBand="0" w:oddHBand="0" w:evenHBand="0" w:firstRowFirstColumn="0" w:firstRowLastColumn="0" w:lastRowFirstColumn="0" w:lastRowLastColumn="0"/>
              <w:rPr>
                <w:rFonts w:eastAsia="Calibri"/>
                <w:szCs w:val="20"/>
                <w:lang w:bidi="ar-SA"/>
              </w:rPr>
            </w:pPr>
            <w:r w:rsidRPr="004637C7">
              <w:rPr>
                <w:rFonts w:eastAsia="Calibri"/>
                <w:szCs w:val="20"/>
                <w:lang w:bidi="ar-SA"/>
              </w:rPr>
              <w:t>Réduire</w:t>
            </w:r>
          </w:p>
        </w:tc>
        <w:tc>
          <w:tcPr>
            <w:tcW w:w="2585" w:type="dxa"/>
            <w:tcBorders>
              <w:bottom w:val="single" w:sz="4" w:space="0" w:color="B4C6E7" w:themeColor="accent1" w:themeTint="66"/>
            </w:tcBorders>
            <w:hideMark/>
          </w:tcPr>
          <w:p w14:paraId="44A404F4" w14:textId="4469AB14" w:rsidR="00B96C3E" w:rsidRPr="004637C7" w:rsidRDefault="00B96C3E" w:rsidP="00D75525">
            <w:pPr>
              <w:jc w:val="left"/>
              <w:cnfStyle w:val="000000000000" w:firstRow="0" w:lastRow="0" w:firstColumn="0" w:lastColumn="0" w:oddVBand="0" w:evenVBand="0" w:oddHBand="0" w:evenHBand="0" w:firstRowFirstColumn="0" w:firstRowLastColumn="0" w:lastRowFirstColumn="0" w:lastRowLastColumn="0"/>
              <w:rPr>
                <w:rFonts w:eastAsia="Calibri"/>
                <w:szCs w:val="20"/>
                <w:lang w:bidi="ar-SA"/>
              </w:rPr>
            </w:pPr>
            <w:r w:rsidRPr="004637C7">
              <w:rPr>
                <w:rFonts w:eastAsia="Calibri"/>
                <w:szCs w:val="20"/>
                <w:lang w:bidi="ar-SA"/>
              </w:rPr>
              <w:t xml:space="preserve">Former les manutentionnaires aux gestes et postures sécuritaires ; </w:t>
            </w:r>
          </w:p>
        </w:tc>
        <w:tc>
          <w:tcPr>
            <w:tcW w:w="1613" w:type="dxa"/>
            <w:vMerge w:val="restart"/>
            <w:hideMark/>
          </w:tcPr>
          <w:p w14:paraId="654C03A8" w14:textId="77777777" w:rsidR="00B96C3E" w:rsidRPr="00481B02" w:rsidRDefault="00B96C3E" w:rsidP="00D75525">
            <w:pPr>
              <w:jc w:val="left"/>
              <w:cnfStyle w:val="000000000000" w:firstRow="0" w:lastRow="0" w:firstColumn="0" w:lastColumn="0" w:oddVBand="0" w:evenVBand="0" w:oddHBand="0" w:evenHBand="0" w:firstRowFirstColumn="0" w:firstRowLastColumn="0" w:lastRowFirstColumn="0" w:lastRowLastColumn="0"/>
              <w:rPr>
                <w:rFonts w:eastAsia="Calibri"/>
                <w:szCs w:val="20"/>
                <w:lang w:bidi="ar-SA"/>
              </w:rPr>
            </w:pPr>
            <w:r w:rsidRPr="004637C7">
              <w:rPr>
                <w:rFonts w:eastAsia="Calibri"/>
                <w:szCs w:val="20"/>
                <w:lang w:bidi="ar-SA"/>
              </w:rPr>
              <w:t xml:space="preserve">% du personnel formé </w:t>
            </w:r>
          </w:p>
          <w:p w14:paraId="635EDB08" w14:textId="473F5FD3" w:rsidR="00B96C3E" w:rsidRPr="004637C7" w:rsidRDefault="00B96C3E" w:rsidP="004637C7">
            <w:pPr>
              <w:jc w:val="left"/>
              <w:cnfStyle w:val="000000000000" w:firstRow="0" w:lastRow="0" w:firstColumn="0" w:lastColumn="0" w:oddVBand="0" w:evenVBand="0" w:oddHBand="0" w:evenHBand="0" w:firstRowFirstColumn="0" w:firstRowLastColumn="0" w:lastRowFirstColumn="0" w:lastRowLastColumn="0"/>
              <w:rPr>
                <w:rFonts w:eastAsia="Calibri"/>
                <w:szCs w:val="20"/>
                <w:lang w:bidi="ar-SA"/>
              </w:rPr>
            </w:pPr>
            <w:r w:rsidRPr="004637C7">
              <w:rPr>
                <w:rFonts w:eastAsia="Calibri"/>
                <w:szCs w:val="20"/>
                <w:lang w:bidi="ar-SA"/>
              </w:rPr>
              <w:t>Nb de rotations</w:t>
            </w:r>
          </w:p>
        </w:tc>
        <w:tc>
          <w:tcPr>
            <w:tcW w:w="0" w:type="auto"/>
            <w:vMerge w:val="restart"/>
            <w:hideMark/>
          </w:tcPr>
          <w:p w14:paraId="4905AC4E" w14:textId="41CBEF79" w:rsidR="00B96C3E" w:rsidRPr="004637C7" w:rsidRDefault="00B96C3E" w:rsidP="00D75525">
            <w:pPr>
              <w:jc w:val="center"/>
              <w:cnfStyle w:val="000000000000" w:firstRow="0" w:lastRow="0" w:firstColumn="0" w:lastColumn="0" w:oddVBand="0" w:evenVBand="0" w:oddHBand="0" w:evenHBand="0" w:firstRowFirstColumn="0" w:firstRowLastColumn="0" w:lastRowFirstColumn="0" w:lastRowLastColumn="0"/>
              <w:rPr>
                <w:rFonts w:eastAsia="Calibri"/>
                <w:szCs w:val="20"/>
                <w:lang w:bidi="ar-SA"/>
              </w:rPr>
            </w:pPr>
            <w:r w:rsidRPr="00481B02">
              <w:rPr>
                <w:szCs w:val="20"/>
                <w:lang w:eastAsia="fr-FR" w:bidi="ar-SA"/>
              </w:rPr>
              <w:t>ONDA / Exploitant</w:t>
            </w:r>
          </w:p>
        </w:tc>
        <w:tc>
          <w:tcPr>
            <w:tcW w:w="0" w:type="auto"/>
            <w:vMerge w:val="restart"/>
            <w:hideMark/>
          </w:tcPr>
          <w:p w14:paraId="79B00379" w14:textId="215EE572" w:rsidR="00B96C3E" w:rsidRPr="004637C7" w:rsidRDefault="00B96C3E" w:rsidP="00D75525">
            <w:pPr>
              <w:jc w:val="center"/>
              <w:cnfStyle w:val="000000000000" w:firstRow="0" w:lastRow="0" w:firstColumn="0" w:lastColumn="0" w:oddVBand="0" w:evenVBand="0" w:oddHBand="0" w:evenHBand="0" w:firstRowFirstColumn="0" w:firstRowLastColumn="0" w:lastRowFirstColumn="0" w:lastRowLastColumn="0"/>
              <w:rPr>
                <w:rFonts w:eastAsia="Calibri"/>
                <w:szCs w:val="20"/>
                <w:lang w:bidi="ar-SA"/>
              </w:rPr>
            </w:pPr>
            <w:r w:rsidRPr="00481B02">
              <w:rPr>
                <w:szCs w:val="20"/>
                <w:lang w:eastAsia="fr-FR" w:bidi="ar-SA"/>
              </w:rPr>
              <w:t>ONDA</w:t>
            </w:r>
          </w:p>
        </w:tc>
        <w:tc>
          <w:tcPr>
            <w:tcW w:w="0" w:type="auto"/>
            <w:vMerge w:val="restart"/>
            <w:hideMark/>
          </w:tcPr>
          <w:p w14:paraId="708242AC" w14:textId="4349615A" w:rsidR="00B96C3E" w:rsidRPr="004637C7" w:rsidRDefault="00B96C3E" w:rsidP="00D75525">
            <w:pPr>
              <w:jc w:val="center"/>
              <w:cnfStyle w:val="000000000000" w:firstRow="0" w:lastRow="0" w:firstColumn="0" w:lastColumn="0" w:oddVBand="0" w:evenVBand="0" w:oddHBand="0" w:evenHBand="0" w:firstRowFirstColumn="0" w:firstRowLastColumn="0" w:lastRowFirstColumn="0" w:lastRowLastColumn="0"/>
              <w:rPr>
                <w:rFonts w:eastAsia="Calibri"/>
                <w:szCs w:val="20"/>
                <w:lang w:bidi="ar-SA"/>
              </w:rPr>
            </w:pPr>
            <w:r w:rsidRPr="00481B02">
              <w:rPr>
                <w:szCs w:val="20"/>
                <w:lang w:eastAsia="fr-FR" w:bidi="ar-SA"/>
              </w:rPr>
              <w:t>ONDA</w:t>
            </w:r>
          </w:p>
        </w:tc>
        <w:tc>
          <w:tcPr>
            <w:tcW w:w="0" w:type="auto"/>
            <w:vMerge w:val="restart"/>
            <w:hideMark/>
          </w:tcPr>
          <w:p w14:paraId="5044BB4B" w14:textId="77777777" w:rsidR="00B96C3E" w:rsidRPr="004637C7" w:rsidRDefault="00B96C3E" w:rsidP="00D75525">
            <w:pPr>
              <w:jc w:val="center"/>
              <w:cnfStyle w:val="000000000000" w:firstRow="0" w:lastRow="0" w:firstColumn="0" w:lastColumn="0" w:oddVBand="0" w:evenVBand="0" w:oddHBand="0" w:evenHBand="0" w:firstRowFirstColumn="0" w:firstRowLastColumn="0" w:lastRowFirstColumn="0" w:lastRowLastColumn="0"/>
              <w:rPr>
                <w:rFonts w:eastAsia="Calibri"/>
                <w:szCs w:val="20"/>
                <w:lang w:bidi="ar-SA"/>
              </w:rPr>
            </w:pPr>
            <w:r w:rsidRPr="004637C7">
              <w:rPr>
                <w:rFonts w:eastAsia="Calibri"/>
                <w:szCs w:val="20"/>
                <w:lang w:bidi="ar-SA"/>
              </w:rPr>
              <w:t>En continu</w:t>
            </w:r>
          </w:p>
        </w:tc>
        <w:tc>
          <w:tcPr>
            <w:tcW w:w="0" w:type="auto"/>
            <w:tcBorders>
              <w:bottom w:val="single" w:sz="4" w:space="0" w:color="B4C6E7" w:themeColor="accent1" w:themeTint="66"/>
            </w:tcBorders>
            <w:hideMark/>
          </w:tcPr>
          <w:p w14:paraId="77D1FAFE" w14:textId="1207CE5B" w:rsidR="00B96C3E" w:rsidRPr="004637C7" w:rsidRDefault="00B96C3E" w:rsidP="00D60FC9">
            <w:pPr>
              <w:jc w:val="left"/>
              <w:cnfStyle w:val="000000000000" w:firstRow="0" w:lastRow="0" w:firstColumn="0" w:lastColumn="0" w:oddVBand="0" w:evenVBand="0" w:oddHBand="0" w:evenHBand="0" w:firstRowFirstColumn="0" w:firstRowLastColumn="0" w:lastRowFirstColumn="0" w:lastRowLastColumn="0"/>
              <w:rPr>
                <w:rFonts w:eastAsia="Calibri"/>
                <w:szCs w:val="20"/>
                <w:lang w:bidi="ar-SA"/>
              </w:rPr>
            </w:pPr>
            <w:r w:rsidRPr="00B96C3E">
              <w:rPr>
                <w:rFonts w:eastAsia="Calibri"/>
                <w:szCs w:val="20"/>
                <w:lang w:bidi="ar-SA"/>
              </w:rPr>
              <w:t>6 000 MAD / session (15 pers.)</w:t>
            </w:r>
          </w:p>
        </w:tc>
      </w:tr>
      <w:tr w:rsidR="00B96C3E" w:rsidRPr="00911732" w14:paraId="06517B11" w14:textId="77777777" w:rsidTr="008348A2">
        <w:trPr>
          <w:trHeight w:val="1047"/>
        </w:trPr>
        <w:tc>
          <w:tcPr>
            <w:cnfStyle w:val="001000000000" w:firstRow="0" w:lastRow="0" w:firstColumn="1" w:lastColumn="0" w:oddVBand="0" w:evenVBand="0" w:oddHBand="0" w:evenHBand="0" w:firstRowFirstColumn="0" w:firstRowLastColumn="0" w:lastRowFirstColumn="0" w:lastRowLastColumn="0"/>
            <w:tcW w:w="0" w:type="auto"/>
            <w:vMerge/>
          </w:tcPr>
          <w:p w14:paraId="6F976E93" w14:textId="77777777" w:rsidR="00B96C3E" w:rsidRPr="004637C7" w:rsidRDefault="00B96C3E" w:rsidP="00D75525">
            <w:pPr>
              <w:jc w:val="center"/>
              <w:rPr>
                <w:rFonts w:eastAsia="Calibri"/>
                <w:b w:val="0"/>
                <w:bCs w:val="0"/>
                <w:szCs w:val="20"/>
                <w:lang w:bidi="ar-SA"/>
              </w:rPr>
            </w:pPr>
          </w:p>
        </w:tc>
        <w:tc>
          <w:tcPr>
            <w:tcW w:w="0" w:type="auto"/>
            <w:vMerge/>
          </w:tcPr>
          <w:p w14:paraId="1F79F0B8" w14:textId="77777777" w:rsidR="00B96C3E" w:rsidRPr="004637C7" w:rsidRDefault="00B96C3E" w:rsidP="004637C7">
            <w:pPr>
              <w:jc w:val="left"/>
              <w:cnfStyle w:val="000000000000" w:firstRow="0" w:lastRow="0" w:firstColumn="0" w:lastColumn="0" w:oddVBand="0" w:evenVBand="0" w:oddHBand="0" w:evenHBand="0" w:firstRowFirstColumn="0" w:firstRowLastColumn="0" w:lastRowFirstColumn="0" w:lastRowLastColumn="0"/>
              <w:rPr>
                <w:rFonts w:eastAsia="Calibri"/>
                <w:szCs w:val="20"/>
                <w:lang w:bidi="ar-SA"/>
              </w:rPr>
            </w:pPr>
          </w:p>
        </w:tc>
        <w:tc>
          <w:tcPr>
            <w:tcW w:w="2585" w:type="dxa"/>
            <w:tcBorders>
              <w:top w:val="single" w:sz="4" w:space="0" w:color="B4C6E7" w:themeColor="accent1" w:themeTint="66"/>
            </w:tcBorders>
          </w:tcPr>
          <w:p w14:paraId="24148B4D" w14:textId="77777777" w:rsidR="00B96C3E" w:rsidRPr="004637C7" w:rsidRDefault="00B96C3E" w:rsidP="008348A2">
            <w:pPr>
              <w:jc w:val="left"/>
              <w:cnfStyle w:val="000000000000" w:firstRow="0" w:lastRow="0" w:firstColumn="0" w:lastColumn="0" w:oddVBand="0" w:evenVBand="0" w:oddHBand="0" w:evenHBand="0" w:firstRowFirstColumn="0" w:firstRowLastColumn="0" w:lastRowFirstColumn="0" w:lastRowLastColumn="0"/>
              <w:rPr>
                <w:rFonts w:eastAsia="Calibri"/>
                <w:szCs w:val="20"/>
                <w:lang w:bidi="ar-SA"/>
              </w:rPr>
            </w:pPr>
            <w:r w:rsidRPr="00481B02">
              <w:rPr>
                <w:rFonts w:eastAsia="Calibri"/>
                <w:szCs w:val="20"/>
                <w:lang w:bidi="ar-SA"/>
              </w:rPr>
              <w:t>M</w:t>
            </w:r>
            <w:r w:rsidRPr="004637C7">
              <w:rPr>
                <w:rFonts w:eastAsia="Calibri"/>
                <w:szCs w:val="20"/>
                <w:lang w:bidi="ar-SA"/>
              </w:rPr>
              <w:t>ettre en place une rotation des postes pour éviter la répétitivité.</w:t>
            </w:r>
          </w:p>
        </w:tc>
        <w:tc>
          <w:tcPr>
            <w:tcW w:w="1613" w:type="dxa"/>
            <w:vMerge/>
          </w:tcPr>
          <w:p w14:paraId="4330D540" w14:textId="77777777" w:rsidR="00B96C3E" w:rsidRPr="004637C7" w:rsidRDefault="00B96C3E" w:rsidP="00D75525">
            <w:pPr>
              <w:jc w:val="left"/>
              <w:cnfStyle w:val="000000000000" w:firstRow="0" w:lastRow="0" w:firstColumn="0" w:lastColumn="0" w:oddVBand="0" w:evenVBand="0" w:oddHBand="0" w:evenHBand="0" w:firstRowFirstColumn="0" w:firstRowLastColumn="0" w:lastRowFirstColumn="0" w:lastRowLastColumn="0"/>
              <w:rPr>
                <w:rFonts w:eastAsia="Calibri"/>
                <w:szCs w:val="20"/>
                <w:lang w:bidi="ar-SA"/>
              </w:rPr>
            </w:pPr>
          </w:p>
        </w:tc>
        <w:tc>
          <w:tcPr>
            <w:tcW w:w="0" w:type="auto"/>
            <w:vMerge/>
          </w:tcPr>
          <w:p w14:paraId="4371CEA4" w14:textId="77777777" w:rsidR="00B96C3E" w:rsidRPr="00481B02" w:rsidRDefault="00B96C3E" w:rsidP="00D75525">
            <w:pPr>
              <w:jc w:val="center"/>
              <w:cnfStyle w:val="000000000000" w:firstRow="0" w:lastRow="0" w:firstColumn="0" w:lastColumn="0" w:oddVBand="0" w:evenVBand="0" w:oddHBand="0" w:evenHBand="0" w:firstRowFirstColumn="0" w:firstRowLastColumn="0" w:lastRowFirstColumn="0" w:lastRowLastColumn="0"/>
              <w:rPr>
                <w:szCs w:val="20"/>
                <w:lang w:eastAsia="fr-FR" w:bidi="ar-SA"/>
              </w:rPr>
            </w:pPr>
          </w:p>
        </w:tc>
        <w:tc>
          <w:tcPr>
            <w:tcW w:w="0" w:type="auto"/>
            <w:vMerge/>
          </w:tcPr>
          <w:p w14:paraId="001153FB" w14:textId="77777777" w:rsidR="00B96C3E" w:rsidRPr="00481B02" w:rsidRDefault="00B96C3E" w:rsidP="00D75525">
            <w:pPr>
              <w:jc w:val="center"/>
              <w:cnfStyle w:val="000000000000" w:firstRow="0" w:lastRow="0" w:firstColumn="0" w:lastColumn="0" w:oddVBand="0" w:evenVBand="0" w:oddHBand="0" w:evenHBand="0" w:firstRowFirstColumn="0" w:firstRowLastColumn="0" w:lastRowFirstColumn="0" w:lastRowLastColumn="0"/>
              <w:rPr>
                <w:szCs w:val="20"/>
                <w:lang w:eastAsia="fr-FR" w:bidi="ar-SA"/>
              </w:rPr>
            </w:pPr>
          </w:p>
        </w:tc>
        <w:tc>
          <w:tcPr>
            <w:tcW w:w="0" w:type="auto"/>
            <w:vMerge/>
          </w:tcPr>
          <w:p w14:paraId="33CF74F7" w14:textId="77777777" w:rsidR="00B96C3E" w:rsidRPr="00481B02" w:rsidRDefault="00B96C3E" w:rsidP="00D75525">
            <w:pPr>
              <w:jc w:val="center"/>
              <w:cnfStyle w:val="000000000000" w:firstRow="0" w:lastRow="0" w:firstColumn="0" w:lastColumn="0" w:oddVBand="0" w:evenVBand="0" w:oddHBand="0" w:evenHBand="0" w:firstRowFirstColumn="0" w:firstRowLastColumn="0" w:lastRowFirstColumn="0" w:lastRowLastColumn="0"/>
              <w:rPr>
                <w:szCs w:val="20"/>
                <w:lang w:eastAsia="fr-FR" w:bidi="ar-SA"/>
              </w:rPr>
            </w:pPr>
          </w:p>
        </w:tc>
        <w:tc>
          <w:tcPr>
            <w:tcW w:w="0" w:type="auto"/>
            <w:vMerge/>
          </w:tcPr>
          <w:p w14:paraId="38C6E4B9" w14:textId="77777777" w:rsidR="00B96C3E" w:rsidRPr="004637C7" w:rsidRDefault="00B96C3E" w:rsidP="00D75525">
            <w:pPr>
              <w:jc w:val="center"/>
              <w:cnfStyle w:val="000000000000" w:firstRow="0" w:lastRow="0" w:firstColumn="0" w:lastColumn="0" w:oddVBand="0" w:evenVBand="0" w:oddHBand="0" w:evenHBand="0" w:firstRowFirstColumn="0" w:firstRowLastColumn="0" w:lastRowFirstColumn="0" w:lastRowLastColumn="0"/>
              <w:rPr>
                <w:rFonts w:eastAsia="Calibri"/>
                <w:szCs w:val="20"/>
                <w:lang w:bidi="ar-SA"/>
              </w:rPr>
            </w:pPr>
          </w:p>
        </w:tc>
        <w:tc>
          <w:tcPr>
            <w:tcW w:w="0" w:type="auto"/>
            <w:tcBorders>
              <w:top w:val="single" w:sz="4" w:space="0" w:color="B4C6E7" w:themeColor="accent1" w:themeTint="66"/>
            </w:tcBorders>
          </w:tcPr>
          <w:p w14:paraId="41416F23" w14:textId="31333C40" w:rsidR="00B96C3E" w:rsidRPr="00481B02" w:rsidRDefault="00B96C3E" w:rsidP="006631E5">
            <w:pPr>
              <w:jc w:val="left"/>
              <w:cnfStyle w:val="000000000000" w:firstRow="0" w:lastRow="0" w:firstColumn="0" w:lastColumn="0" w:oddVBand="0" w:evenVBand="0" w:oddHBand="0" w:evenHBand="0" w:firstRowFirstColumn="0" w:firstRowLastColumn="0" w:lastRowFirstColumn="0" w:lastRowLastColumn="0"/>
              <w:rPr>
                <w:rFonts w:eastAsia="Calibri"/>
                <w:szCs w:val="20"/>
                <w:lang w:bidi="ar-SA"/>
              </w:rPr>
            </w:pPr>
            <w:r w:rsidRPr="00B96C3E">
              <w:rPr>
                <w:rFonts w:eastAsia="Calibri"/>
                <w:szCs w:val="20"/>
                <w:lang w:bidi="ar-SA"/>
              </w:rPr>
              <w:t>Aucun coût spécifique</w:t>
            </w:r>
          </w:p>
        </w:tc>
      </w:tr>
      <w:tr w:rsidR="00B96C3E" w:rsidRPr="00911732" w14:paraId="647463E4" w14:textId="77777777" w:rsidTr="008348A2">
        <w:trPr>
          <w:trHeight w:val="1025"/>
        </w:trPr>
        <w:tc>
          <w:tcPr>
            <w:cnfStyle w:val="001000000000" w:firstRow="0" w:lastRow="0" w:firstColumn="1" w:lastColumn="0" w:oddVBand="0" w:evenVBand="0" w:oddHBand="0" w:evenHBand="0" w:firstRowFirstColumn="0" w:firstRowLastColumn="0" w:lastRowFirstColumn="0" w:lastRowLastColumn="0"/>
            <w:tcW w:w="0" w:type="auto"/>
            <w:vMerge/>
            <w:hideMark/>
          </w:tcPr>
          <w:p w14:paraId="2FEE5A7B" w14:textId="77777777" w:rsidR="00B96C3E" w:rsidRPr="004637C7" w:rsidRDefault="00B96C3E" w:rsidP="00D75525">
            <w:pPr>
              <w:jc w:val="center"/>
              <w:rPr>
                <w:rFonts w:eastAsia="Calibri"/>
                <w:b w:val="0"/>
                <w:bCs w:val="0"/>
                <w:szCs w:val="20"/>
                <w:lang w:bidi="ar-SA"/>
              </w:rPr>
            </w:pPr>
          </w:p>
        </w:tc>
        <w:tc>
          <w:tcPr>
            <w:tcW w:w="0" w:type="auto"/>
            <w:vMerge w:val="restart"/>
            <w:hideMark/>
          </w:tcPr>
          <w:p w14:paraId="6611EBC2" w14:textId="77777777" w:rsidR="00B96C3E" w:rsidRPr="004637C7" w:rsidRDefault="00B96C3E" w:rsidP="004637C7">
            <w:pPr>
              <w:jc w:val="left"/>
              <w:cnfStyle w:val="000000000000" w:firstRow="0" w:lastRow="0" w:firstColumn="0" w:lastColumn="0" w:oddVBand="0" w:evenVBand="0" w:oddHBand="0" w:evenHBand="0" w:firstRowFirstColumn="0" w:firstRowLastColumn="0" w:lastRowFirstColumn="0" w:lastRowLastColumn="0"/>
              <w:rPr>
                <w:rFonts w:eastAsia="Calibri"/>
                <w:szCs w:val="20"/>
                <w:lang w:bidi="ar-SA"/>
              </w:rPr>
            </w:pPr>
            <w:r w:rsidRPr="004637C7">
              <w:rPr>
                <w:rFonts w:eastAsia="Calibri"/>
                <w:szCs w:val="20"/>
                <w:lang w:bidi="ar-SA"/>
              </w:rPr>
              <w:t>Atténuer</w:t>
            </w:r>
          </w:p>
        </w:tc>
        <w:tc>
          <w:tcPr>
            <w:tcW w:w="2585" w:type="dxa"/>
            <w:tcBorders>
              <w:bottom w:val="single" w:sz="4" w:space="0" w:color="B4C6E7" w:themeColor="accent1" w:themeTint="66"/>
            </w:tcBorders>
            <w:hideMark/>
          </w:tcPr>
          <w:p w14:paraId="588E71D4" w14:textId="2D326A01" w:rsidR="00B96C3E" w:rsidRPr="004637C7" w:rsidRDefault="00B96C3E" w:rsidP="00D75525">
            <w:pPr>
              <w:jc w:val="left"/>
              <w:cnfStyle w:val="000000000000" w:firstRow="0" w:lastRow="0" w:firstColumn="0" w:lastColumn="0" w:oddVBand="0" w:evenVBand="0" w:oddHBand="0" w:evenHBand="0" w:firstRowFirstColumn="0" w:firstRowLastColumn="0" w:lastRowFirstColumn="0" w:lastRowLastColumn="0"/>
              <w:rPr>
                <w:rFonts w:eastAsia="Calibri"/>
                <w:szCs w:val="20"/>
                <w:lang w:bidi="ar-SA"/>
              </w:rPr>
            </w:pPr>
            <w:r w:rsidRPr="004637C7">
              <w:rPr>
                <w:rFonts w:eastAsia="Calibri"/>
                <w:szCs w:val="20"/>
                <w:lang w:bidi="ar-SA"/>
              </w:rPr>
              <w:t xml:space="preserve">Effectuer des évaluations ergonomiques semestrielles ; </w:t>
            </w:r>
          </w:p>
        </w:tc>
        <w:tc>
          <w:tcPr>
            <w:tcW w:w="1613" w:type="dxa"/>
            <w:vMerge w:val="restart"/>
            <w:hideMark/>
          </w:tcPr>
          <w:p w14:paraId="126974AE" w14:textId="77777777" w:rsidR="00B96C3E" w:rsidRPr="00481B02" w:rsidRDefault="00B96C3E" w:rsidP="00D75525">
            <w:pPr>
              <w:jc w:val="left"/>
              <w:cnfStyle w:val="000000000000" w:firstRow="0" w:lastRow="0" w:firstColumn="0" w:lastColumn="0" w:oddVBand="0" w:evenVBand="0" w:oddHBand="0" w:evenHBand="0" w:firstRowFirstColumn="0" w:firstRowLastColumn="0" w:lastRowFirstColumn="0" w:lastRowLastColumn="0"/>
              <w:rPr>
                <w:rFonts w:eastAsia="Calibri"/>
                <w:szCs w:val="20"/>
                <w:lang w:bidi="ar-SA"/>
              </w:rPr>
            </w:pPr>
            <w:r w:rsidRPr="004637C7">
              <w:rPr>
                <w:rFonts w:eastAsia="Calibri"/>
                <w:szCs w:val="20"/>
                <w:lang w:bidi="ar-SA"/>
              </w:rPr>
              <w:t xml:space="preserve">Nb d’évaluations </w:t>
            </w:r>
          </w:p>
          <w:p w14:paraId="6BB1B19F" w14:textId="295A9095" w:rsidR="00B96C3E" w:rsidRPr="004637C7" w:rsidRDefault="00B96C3E" w:rsidP="004637C7">
            <w:pPr>
              <w:jc w:val="left"/>
              <w:cnfStyle w:val="000000000000" w:firstRow="0" w:lastRow="0" w:firstColumn="0" w:lastColumn="0" w:oddVBand="0" w:evenVBand="0" w:oddHBand="0" w:evenHBand="0" w:firstRowFirstColumn="0" w:firstRowLastColumn="0" w:lastRowFirstColumn="0" w:lastRowLastColumn="0"/>
              <w:rPr>
                <w:rFonts w:eastAsia="Calibri"/>
                <w:szCs w:val="20"/>
                <w:lang w:bidi="ar-SA"/>
              </w:rPr>
            </w:pPr>
            <w:r w:rsidRPr="004637C7">
              <w:rPr>
                <w:rFonts w:eastAsia="Calibri"/>
                <w:szCs w:val="20"/>
                <w:lang w:bidi="ar-SA"/>
              </w:rPr>
              <w:t xml:space="preserve"> Nb de séances médicales</w:t>
            </w:r>
          </w:p>
        </w:tc>
        <w:tc>
          <w:tcPr>
            <w:tcW w:w="0" w:type="auto"/>
            <w:vMerge w:val="restart"/>
            <w:hideMark/>
          </w:tcPr>
          <w:p w14:paraId="1AF81846" w14:textId="20E59C89" w:rsidR="00B96C3E" w:rsidRPr="004637C7" w:rsidRDefault="00B96C3E" w:rsidP="00D75525">
            <w:pPr>
              <w:jc w:val="center"/>
              <w:cnfStyle w:val="000000000000" w:firstRow="0" w:lastRow="0" w:firstColumn="0" w:lastColumn="0" w:oddVBand="0" w:evenVBand="0" w:oddHBand="0" w:evenHBand="0" w:firstRowFirstColumn="0" w:firstRowLastColumn="0" w:lastRowFirstColumn="0" w:lastRowLastColumn="0"/>
              <w:rPr>
                <w:rFonts w:eastAsia="Calibri"/>
                <w:szCs w:val="20"/>
                <w:lang w:bidi="ar-SA"/>
              </w:rPr>
            </w:pPr>
            <w:r w:rsidRPr="00481B02">
              <w:rPr>
                <w:szCs w:val="20"/>
                <w:lang w:eastAsia="fr-FR" w:bidi="ar-SA"/>
              </w:rPr>
              <w:t>ONDA / Exploitant</w:t>
            </w:r>
          </w:p>
        </w:tc>
        <w:tc>
          <w:tcPr>
            <w:tcW w:w="0" w:type="auto"/>
            <w:vMerge w:val="restart"/>
            <w:hideMark/>
          </w:tcPr>
          <w:p w14:paraId="3AC8047B" w14:textId="018DAB9D" w:rsidR="00B96C3E" w:rsidRPr="004637C7" w:rsidRDefault="00B96C3E" w:rsidP="00D75525">
            <w:pPr>
              <w:jc w:val="center"/>
              <w:cnfStyle w:val="000000000000" w:firstRow="0" w:lastRow="0" w:firstColumn="0" w:lastColumn="0" w:oddVBand="0" w:evenVBand="0" w:oddHBand="0" w:evenHBand="0" w:firstRowFirstColumn="0" w:firstRowLastColumn="0" w:lastRowFirstColumn="0" w:lastRowLastColumn="0"/>
              <w:rPr>
                <w:rFonts w:eastAsia="Calibri"/>
                <w:szCs w:val="20"/>
                <w:lang w:bidi="ar-SA"/>
              </w:rPr>
            </w:pPr>
            <w:r w:rsidRPr="00481B02">
              <w:rPr>
                <w:szCs w:val="20"/>
                <w:lang w:eastAsia="fr-FR" w:bidi="ar-SA"/>
              </w:rPr>
              <w:t>ONDA</w:t>
            </w:r>
          </w:p>
        </w:tc>
        <w:tc>
          <w:tcPr>
            <w:tcW w:w="0" w:type="auto"/>
            <w:vMerge w:val="restart"/>
            <w:hideMark/>
          </w:tcPr>
          <w:p w14:paraId="2660AE5D" w14:textId="3EA7C9CF" w:rsidR="00B96C3E" w:rsidRPr="004637C7" w:rsidRDefault="00B96C3E" w:rsidP="00D75525">
            <w:pPr>
              <w:jc w:val="center"/>
              <w:cnfStyle w:val="000000000000" w:firstRow="0" w:lastRow="0" w:firstColumn="0" w:lastColumn="0" w:oddVBand="0" w:evenVBand="0" w:oddHBand="0" w:evenHBand="0" w:firstRowFirstColumn="0" w:firstRowLastColumn="0" w:lastRowFirstColumn="0" w:lastRowLastColumn="0"/>
              <w:rPr>
                <w:rFonts w:eastAsia="Calibri"/>
                <w:szCs w:val="20"/>
                <w:lang w:bidi="ar-SA"/>
              </w:rPr>
            </w:pPr>
            <w:r w:rsidRPr="00481B02">
              <w:rPr>
                <w:szCs w:val="20"/>
                <w:lang w:eastAsia="fr-FR" w:bidi="ar-SA"/>
              </w:rPr>
              <w:t>ONDA</w:t>
            </w:r>
          </w:p>
        </w:tc>
        <w:tc>
          <w:tcPr>
            <w:tcW w:w="0" w:type="auto"/>
            <w:vMerge w:val="restart"/>
            <w:hideMark/>
          </w:tcPr>
          <w:p w14:paraId="660DEACB" w14:textId="77777777" w:rsidR="00B96C3E" w:rsidRPr="004637C7" w:rsidRDefault="00B96C3E" w:rsidP="00D75525">
            <w:pPr>
              <w:jc w:val="center"/>
              <w:cnfStyle w:val="000000000000" w:firstRow="0" w:lastRow="0" w:firstColumn="0" w:lastColumn="0" w:oddVBand="0" w:evenVBand="0" w:oddHBand="0" w:evenHBand="0" w:firstRowFirstColumn="0" w:firstRowLastColumn="0" w:lastRowFirstColumn="0" w:lastRowLastColumn="0"/>
              <w:rPr>
                <w:rFonts w:eastAsia="Calibri"/>
                <w:szCs w:val="20"/>
                <w:lang w:bidi="ar-SA"/>
              </w:rPr>
            </w:pPr>
            <w:r w:rsidRPr="004637C7">
              <w:rPr>
                <w:rFonts w:eastAsia="Calibri"/>
                <w:szCs w:val="20"/>
                <w:lang w:bidi="ar-SA"/>
              </w:rPr>
              <w:t>Semestriel</w:t>
            </w:r>
          </w:p>
        </w:tc>
        <w:tc>
          <w:tcPr>
            <w:tcW w:w="0" w:type="auto"/>
            <w:tcBorders>
              <w:bottom w:val="single" w:sz="4" w:space="0" w:color="B4C6E7" w:themeColor="accent1" w:themeTint="66"/>
            </w:tcBorders>
            <w:hideMark/>
          </w:tcPr>
          <w:p w14:paraId="3EF552C0" w14:textId="50843766" w:rsidR="00B96C3E" w:rsidRPr="004637C7" w:rsidRDefault="00B96C3E" w:rsidP="00D60FC9">
            <w:pPr>
              <w:jc w:val="left"/>
              <w:cnfStyle w:val="000000000000" w:firstRow="0" w:lastRow="0" w:firstColumn="0" w:lastColumn="0" w:oddVBand="0" w:evenVBand="0" w:oddHBand="0" w:evenHBand="0" w:firstRowFirstColumn="0" w:firstRowLastColumn="0" w:lastRowFirstColumn="0" w:lastRowLastColumn="0"/>
              <w:rPr>
                <w:rFonts w:eastAsia="Calibri"/>
                <w:szCs w:val="20"/>
                <w:lang w:bidi="ar-SA"/>
              </w:rPr>
            </w:pPr>
            <w:r w:rsidRPr="00B96C3E">
              <w:rPr>
                <w:szCs w:val="20"/>
              </w:rPr>
              <w:t>8 000 MAD / campagne</w:t>
            </w:r>
          </w:p>
        </w:tc>
      </w:tr>
      <w:tr w:rsidR="00B96C3E" w:rsidRPr="00911732" w14:paraId="7E550FD9" w14:textId="77777777" w:rsidTr="008348A2">
        <w:trPr>
          <w:trHeight w:val="687"/>
        </w:trPr>
        <w:tc>
          <w:tcPr>
            <w:cnfStyle w:val="001000000000" w:firstRow="0" w:lastRow="0" w:firstColumn="1" w:lastColumn="0" w:oddVBand="0" w:evenVBand="0" w:oddHBand="0" w:evenHBand="0" w:firstRowFirstColumn="0" w:firstRowLastColumn="0" w:lastRowFirstColumn="0" w:lastRowLastColumn="0"/>
            <w:tcW w:w="0" w:type="auto"/>
            <w:vMerge/>
          </w:tcPr>
          <w:p w14:paraId="677006D2" w14:textId="77777777" w:rsidR="00B96C3E" w:rsidRPr="004637C7" w:rsidRDefault="00B96C3E" w:rsidP="00D75525">
            <w:pPr>
              <w:jc w:val="center"/>
              <w:rPr>
                <w:rFonts w:eastAsia="Calibri"/>
                <w:b w:val="0"/>
                <w:bCs w:val="0"/>
                <w:szCs w:val="20"/>
                <w:lang w:bidi="ar-SA"/>
              </w:rPr>
            </w:pPr>
          </w:p>
        </w:tc>
        <w:tc>
          <w:tcPr>
            <w:tcW w:w="0" w:type="auto"/>
            <w:vMerge/>
          </w:tcPr>
          <w:p w14:paraId="4FC284FF" w14:textId="77777777" w:rsidR="00B96C3E" w:rsidRPr="004637C7" w:rsidRDefault="00B96C3E" w:rsidP="004637C7">
            <w:pPr>
              <w:jc w:val="left"/>
              <w:cnfStyle w:val="000000000000" w:firstRow="0" w:lastRow="0" w:firstColumn="0" w:lastColumn="0" w:oddVBand="0" w:evenVBand="0" w:oddHBand="0" w:evenHBand="0" w:firstRowFirstColumn="0" w:firstRowLastColumn="0" w:lastRowFirstColumn="0" w:lastRowLastColumn="0"/>
              <w:rPr>
                <w:rFonts w:eastAsia="Calibri"/>
                <w:szCs w:val="20"/>
                <w:lang w:bidi="ar-SA"/>
              </w:rPr>
            </w:pPr>
          </w:p>
        </w:tc>
        <w:tc>
          <w:tcPr>
            <w:tcW w:w="2585" w:type="dxa"/>
            <w:tcBorders>
              <w:top w:val="single" w:sz="4" w:space="0" w:color="B4C6E7" w:themeColor="accent1" w:themeTint="66"/>
              <w:bottom w:val="single" w:sz="4" w:space="0" w:color="B4C6E7" w:themeColor="accent1" w:themeTint="66"/>
            </w:tcBorders>
          </w:tcPr>
          <w:p w14:paraId="74751B40" w14:textId="01589F32" w:rsidR="00B96C3E" w:rsidRPr="004637C7" w:rsidRDefault="00B96C3E" w:rsidP="008348A2">
            <w:pPr>
              <w:jc w:val="left"/>
              <w:cnfStyle w:val="000000000000" w:firstRow="0" w:lastRow="0" w:firstColumn="0" w:lastColumn="0" w:oddVBand="0" w:evenVBand="0" w:oddHBand="0" w:evenHBand="0" w:firstRowFirstColumn="0" w:firstRowLastColumn="0" w:lastRowFirstColumn="0" w:lastRowLastColumn="0"/>
              <w:rPr>
                <w:rFonts w:eastAsia="Calibri"/>
                <w:szCs w:val="20"/>
                <w:lang w:bidi="ar-SA"/>
              </w:rPr>
            </w:pPr>
            <w:r w:rsidRPr="00481B02">
              <w:rPr>
                <w:rFonts w:eastAsia="Calibri"/>
                <w:szCs w:val="20"/>
                <w:lang w:bidi="ar-SA"/>
              </w:rPr>
              <w:t>I</w:t>
            </w:r>
            <w:r w:rsidRPr="004637C7">
              <w:rPr>
                <w:rFonts w:eastAsia="Calibri"/>
                <w:szCs w:val="20"/>
                <w:lang w:bidi="ar-SA"/>
              </w:rPr>
              <w:t xml:space="preserve">nstaller tapis anti-fatigue dans les zones de tri ; </w:t>
            </w:r>
          </w:p>
        </w:tc>
        <w:tc>
          <w:tcPr>
            <w:tcW w:w="1613" w:type="dxa"/>
            <w:vMerge/>
          </w:tcPr>
          <w:p w14:paraId="4BA366AD" w14:textId="77777777" w:rsidR="00B96C3E" w:rsidRPr="004637C7" w:rsidRDefault="00B96C3E" w:rsidP="00D75525">
            <w:pPr>
              <w:jc w:val="left"/>
              <w:cnfStyle w:val="000000000000" w:firstRow="0" w:lastRow="0" w:firstColumn="0" w:lastColumn="0" w:oddVBand="0" w:evenVBand="0" w:oddHBand="0" w:evenHBand="0" w:firstRowFirstColumn="0" w:firstRowLastColumn="0" w:lastRowFirstColumn="0" w:lastRowLastColumn="0"/>
              <w:rPr>
                <w:rFonts w:eastAsia="Calibri"/>
                <w:szCs w:val="20"/>
                <w:lang w:bidi="ar-SA"/>
              </w:rPr>
            </w:pPr>
          </w:p>
        </w:tc>
        <w:tc>
          <w:tcPr>
            <w:tcW w:w="0" w:type="auto"/>
            <w:vMerge/>
          </w:tcPr>
          <w:p w14:paraId="56A6E193" w14:textId="77777777" w:rsidR="00B96C3E" w:rsidRPr="00481B02" w:rsidRDefault="00B96C3E" w:rsidP="00D75525">
            <w:pPr>
              <w:jc w:val="center"/>
              <w:cnfStyle w:val="000000000000" w:firstRow="0" w:lastRow="0" w:firstColumn="0" w:lastColumn="0" w:oddVBand="0" w:evenVBand="0" w:oddHBand="0" w:evenHBand="0" w:firstRowFirstColumn="0" w:firstRowLastColumn="0" w:lastRowFirstColumn="0" w:lastRowLastColumn="0"/>
              <w:rPr>
                <w:szCs w:val="20"/>
                <w:lang w:eastAsia="fr-FR" w:bidi="ar-SA"/>
              </w:rPr>
            </w:pPr>
          </w:p>
        </w:tc>
        <w:tc>
          <w:tcPr>
            <w:tcW w:w="0" w:type="auto"/>
            <w:vMerge/>
          </w:tcPr>
          <w:p w14:paraId="5B289F5D" w14:textId="77777777" w:rsidR="00B96C3E" w:rsidRPr="00481B02" w:rsidRDefault="00B96C3E" w:rsidP="00D75525">
            <w:pPr>
              <w:jc w:val="center"/>
              <w:cnfStyle w:val="000000000000" w:firstRow="0" w:lastRow="0" w:firstColumn="0" w:lastColumn="0" w:oddVBand="0" w:evenVBand="0" w:oddHBand="0" w:evenHBand="0" w:firstRowFirstColumn="0" w:firstRowLastColumn="0" w:lastRowFirstColumn="0" w:lastRowLastColumn="0"/>
              <w:rPr>
                <w:szCs w:val="20"/>
                <w:lang w:eastAsia="fr-FR" w:bidi="ar-SA"/>
              </w:rPr>
            </w:pPr>
          </w:p>
        </w:tc>
        <w:tc>
          <w:tcPr>
            <w:tcW w:w="0" w:type="auto"/>
            <w:vMerge/>
          </w:tcPr>
          <w:p w14:paraId="4076A041" w14:textId="77777777" w:rsidR="00B96C3E" w:rsidRPr="00481B02" w:rsidRDefault="00B96C3E" w:rsidP="00D75525">
            <w:pPr>
              <w:jc w:val="center"/>
              <w:cnfStyle w:val="000000000000" w:firstRow="0" w:lastRow="0" w:firstColumn="0" w:lastColumn="0" w:oddVBand="0" w:evenVBand="0" w:oddHBand="0" w:evenHBand="0" w:firstRowFirstColumn="0" w:firstRowLastColumn="0" w:lastRowFirstColumn="0" w:lastRowLastColumn="0"/>
              <w:rPr>
                <w:szCs w:val="20"/>
                <w:lang w:eastAsia="fr-FR" w:bidi="ar-SA"/>
              </w:rPr>
            </w:pPr>
          </w:p>
        </w:tc>
        <w:tc>
          <w:tcPr>
            <w:tcW w:w="0" w:type="auto"/>
            <w:vMerge/>
          </w:tcPr>
          <w:p w14:paraId="21EEC5EA" w14:textId="77777777" w:rsidR="00B96C3E" w:rsidRPr="004637C7" w:rsidRDefault="00B96C3E" w:rsidP="00D75525">
            <w:pPr>
              <w:jc w:val="center"/>
              <w:cnfStyle w:val="000000000000" w:firstRow="0" w:lastRow="0" w:firstColumn="0" w:lastColumn="0" w:oddVBand="0" w:evenVBand="0" w:oddHBand="0" w:evenHBand="0" w:firstRowFirstColumn="0" w:firstRowLastColumn="0" w:lastRowFirstColumn="0" w:lastRowLastColumn="0"/>
              <w:rPr>
                <w:rFonts w:eastAsia="Calibri"/>
                <w:szCs w:val="20"/>
                <w:lang w:bidi="ar-SA"/>
              </w:rPr>
            </w:pPr>
          </w:p>
        </w:tc>
        <w:tc>
          <w:tcPr>
            <w:tcW w:w="0" w:type="auto"/>
            <w:tcBorders>
              <w:top w:val="single" w:sz="4" w:space="0" w:color="B4C6E7" w:themeColor="accent1" w:themeTint="66"/>
              <w:bottom w:val="single" w:sz="4" w:space="0" w:color="B4C6E7" w:themeColor="accent1" w:themeTint="66"/>
            </w:tcBorders>
          </w:tcPr>
          <w:p w14:paraId="602B75DA" w14:textId="03A4E6F6" w:rsidR="00B96C3E" w:rsidRPr="00AA22F2" w:rsidRDefault="00B96C3E" w:rsidP="006631E5">
            <w:pPr>
              <w:jc w:val="left"/>
              <w:cnfStyle w:val="000000000000" w:firstRow="0" w:lastRow="0" w:firstColumn="0" w:lastColumn="0" w:oddVBand="0" w:evenVBand="0" w:oddHBand="0" w:evenHBand="0" w:firstRowFirstColumn="0" w:firstRowLastColumn="0" w:lastRowFirstColumn="0" w:lastRowLastColumn="0"/>
              <w:rPr>
                <w:szCs w:val="20"/>
              </w:rPr>
            </w:pPr>
            <w:r w:rsidRPr="00B96C3E">
              <w:rPr>
                <w:szCs w:val="20"/>
              </w:rPr>
              <w:t>400 – 600 MAD / tapis (1 m²)</w:t>
            </w:r>
          </w:p>
        </w:tc>
      </w:tr>
      <w:tr w:rsidR="00B96C3E" w:rsidRPr="00911732" w14:paraId="7EEDF8B9" w14:textId="77777777" w:rsidTr="008348A2">
        <w:trPr>
          <w:trHeight w:val="1069"/>
        </w:trPr>
        <w:tc>
          <w:tcPr>
            <w:cnfStyle w:val="001000000000" w:firstRow="0" w:lastRow="0" w:firstColumn="1" w:lastColumn="0" w:oddVBand="0" w:evenVBand="0" w:oddHBand="0" w:evenHBand="0" w:firstRowFirstColumn="0" w:firstRowLastColumn="0" w:lastRowFirstColumn="0" w:lastRowLastColumn="0"/>
            <w:tcW w:w="0" w:type="auto"/>
            <w:vMerge/>
          </w:tcPr>
          <w:p w14:paraId="77EA1A4A" w14:textId="77777777" w:rsidR="00B96C3E" w:rsidRPr="004637C7" w:rsidRDefault="00B96C3E" w:rsidP="00D75525">
            <w:pPr>
              <w:jc w:val="center"/>
              <w:rPr>
                <w:rFonts w:eastAsia="Calibri"/>
                <w:b w:val="0"/>
                <w:bCs w:val="0"/>
                <w:szCs w:val="20"/>
                <w:lang w:bidi="ar-SA"/>
              </w:rPr>
            </w:pPr>
          </w:p>
        </w:tc>
        <w:tc>
          <w:tcPr>
            <w:tcW w:w="0" w:type="auto"/>
            <w:vMerge/>
          </w:tcPr>
          <w:p w14:paraId="6AFF8377" w14:textId="77777777" w:rsidR="00B96C3E" w:rsidRPr="004637C7" w:rsidRDefault="00B96C3E" w:rsidP="004637C7">
            <w:pPr>
              <w:jc w:val="left"/>
              <w:cnfStyle w:val="000000000000" w:firstRow="0" w:lastRow="0" w:firstColumn="0" w:lastColumn="0" w:oddVBand="0" w:evenVBand="0" w:oddHBand="0" w:evenHBand="0" w:firstRowFirstColumn="0" w:firstRowLastColumn="0" w:lastRowFirstColumn="0" w:lastRowLastColumn="0"/>
              <w:rPr>
                <w:rFonts w:eastAsia="Calibri"/>
                <w:szCs w:val="20"/>
                <w:lang w:bidi="ar-SA"/>
              </w:rPr>
            </w:pPr>
          </w:p>
        </w:tc>
        <w:tc>
          <w:tcPr>
            <w:tcW w:w="2585" w:type="dxa"/>
            <w:tcBorders>
              <w:top w:val="single" w:sz="4" w:space="0" w:color="B4C6E7" w:themeColor="accent1" w:themeTint="66"/>
            </w:tcBorders>
          </w:tcPr>
          <w:p w14:paraId="67634C5D" w14:textId="77777777" w:rsidR="00B96C3E" w:rsidRPr="00481B02" w:rsidRDefault="00B96C3E" w:rsidP="008348A2">
            <w:pPr>
              <w:jc w:val="left"/>
              <w:cnfStyle w:val="000000000000" w:firstRow="0" w:lastRow="0" w:firstColumn="0" w:lastColumn="0" w:oddVBand="0" w:evenVBand="0" w:oddHBand="0" w:evenHBand="0" w:firstRowFirstColumn="0" w:firstRowLastColumn="0" w:lastRowFirstColumn="0" w:lastRowLastColumn="0"/>
              <w:rPr>
                <w:rFonts w:eastAsia="Calibri"/>
                <w:szCs w:val="20"/>
                <w:lang w:bidi="ar-SA"/>
              </w:rPr>
            </w:pPr>
            <w:r w:rsidRPr="00481B02">
              <w:rPr>
                <w:rFonts w:eastAsia="Calibri"/>
                <w:szCs w:val="20"/>
                <w:lang w:bidi="ar-SA"/>
              </w:rPr>
              <w:t>O</w:t>
            </w:r>
            <w:r w:rsidRPr="004637C7">
              <w:rPr>
                <w:rFonts w:eastAsia="Calibri"/>
                <w:szCs w:val="20"/>
                <w:lang w:bidi="ar-SA"/>
              </w:rPr>
              <w:t>ffrir un suivi kinésithérapeutique des agents.</w:t>
            </w:r>
          </w:p>
        </w:tc>
        <w:tc>
          <w:tcPr>
            <w:tcW w:w="1613" w:type="dxa"/>
            <w:vMerge/>
          </w:tcPr>
          <w:p w14:paraId="6775676C" w14:textId="77777777" w:rsidR="00B96C3E" w:rsidRPr="004637C7" w:rsidRDefault="00B96C3E" w:rsidP="00D75525">
            <w:pPr>
              <w:jc w:val="left"/>
              <w:cnfStyle w:val="000000000000" w:firstRow="0" w:lastRow="0" w:firstColumn="0" w:lastColumn="0" w:oddVBand="0" w:evenVBand="0" w:oddHBand="0" w:evenHBand="0" w:firstRowFirstColumn="0" w:firstRowLastColumn="0" w:lastRowFirstColumn="0" w:lastRowLastColumn="0"/>
              <w:rPr>
                <w:rFonts w:eastAsia="Calibri"/>
                <w:szCs w:val="20"/>
                <w:lang w:bidi="ar-SA"/>
              </w:rPr>
            </w:pPr>
          </w:p>
        </w:tc>
        <w:tc>
          <w:tcPr>
            <w:tcW w:w="0" w:type="auto"/>
            <w:vMerge/>
          </w:tcPr>
          <w:p w14:paraId="1E0D79B2" w14:textId="77777777" w:rsidR="00B96C3E" w:rsidRPr="00481B02" w:rsidRDefault="00B96C3E" w:rsidP="00D75525">
            <w:pPr>
              <w:jc w:val="center"/>
              <w:cnfStyle w:val="000000000000" w:firstRow="0" w:lastRow="0" w:firstColumn="0" w:lastColumn="0" w:oddVBand="0" w:evenVBand="0" w:oddHBand="0" w:evenHBand="0" w:firstRowFirstColumn="0" w:firstRowLastColumn="0" w:lastRowFirstColumn="0" w:lastRowLastColumn="0"/>
              <w:rPr>
                <w:szCs w:val="20"/>
                <w:lang w:eastAsia="fr-FR" w:bidi="ar-SA"/>
              </w:rPr>
            </w:pPr>
          </w:p>
        </w:tc>
        <w:tc>
          <w:tcPr>
            <w:tcW w:w="0" w:type="auto"/>
            <w:vMerge/>
          </w:tcPr>
          <w:p w14:paraId="060264E1" w14:textId="77777777" w:rsidR="00B96C3E" w:rsidRPr="00481B02" w:rsidRDefault="00B96C3E" w:rsidP="00D75525">
            <w:pPr>
              <w:jc w:val="center"/>
              <w:cnfStyle w:val="000000000000" w:firstRow="0" w:lastRow="0" w:firstColumn="0" w:lastColumn="0" w:oddVBand="0" w:evenVBand="0" w:oddHBand="0" w:evenHBand="0" w:firstRowFirstColumn="0" w:firstRowLastColumn="0" w:lastRowFirstColumn="0" w:lastRowLastColumn="0"/>
              <w:rPr>
                <w:szCs w:val="20"/>
                <w:lang w:eastAsia="fr-FR" w:bidi="ar-SA"/>
              </w:rPr>
            </w:pPr>
          </w:p>
        </w:tc>
        <w:tc>
          <w:tcPr>
            <w:tcW w:w="0" w:type="auto"/>
            <w:vMerge/>
          </w:tcPr>
          <w:p w14:paraId="24E4BC98" w14:textId="77777777" w:rsidR="00B96C3E" w:rsidRPr="00481B02" w:rsidRDefault="00B96C3E" w:rsidP="00D75525">
            <w:pPr>
              <w:jc w:val="center"/>
              <w:cnfStyle w:val="000000000000" w:firstRow="0" w:lastRow="0" w:firstColumn="0" w:lastColumn="0" w:oddVBand="0" w:evenVBand="0" w:oddHBand="0" w:evenHBand="0" w:firstRowFirstColumn="0" w:firstRowLastColumn="0" w:lastRowFirstColumn="0" w:lastRowLastColumn="0"/>
              <w:rPr>
                <w:szCs w:val="20"/>
                <w:lang w:eastAsia="fr-FR" w:bidi="ar-SA"/>
              </w:rPr>
            </w:pPr>
          </w:p>
        </w:tc>
        <w:tc>
          <w:tcPr>
            <w:tcW w:w="0" w:type="auto"/>
            <w:vMerge/>
          </w:tcPr>
          <w:p w14:paraId="7623D72D" w14:textId="77777777" w:rsidR="00B96C3E" w:rsidRPr="004637C7" w:rsidRDefault="00B96C3E" w:rsidP="00D75525">
            <w:pPr>
              <w:jc w:val="center"/>
              <w:cnfStyle w:val="000000000000" w:firstRow="0" w:lastRow="0" w:firstColumn="0" w:lastColumn="0" w:oddVBand="0" w:evenVBand="0" w:oddHBand="0" w:evenHBand="0" w:firstRowFirstColumn="0" w:firstRowLastColumn="0" w:lastRowFirstColumn="0" w:lastRowLastColumn="0"/>
              <w:rPr>
                <w:rFonts w:eastAsia="Calibri"/>
                <w:szCs w:val="20"/>
                <w:lang w:bidi="ar-SA"/>
              </w:rPr>
            </w:pPr>
          </w:p>
        </w:tc>
        <w:tc>
          <w:tcPr>
            <w:tcW w:w="0" w:type="auto"/>
            <w:tcBorders>
              <w:top w:val="single" w:sz="4" w:space="0" w:color="B4C6E7" w:themeColor="accent1" w:themeTint="66"/>
            </w:tcBorders>
          </w:tcPr>
          <w:p w14:paraId="5802CFE2" w14:textId="420D574C" w:rsidR="00B96C3E" w:rsidRPr="00AA22F2" w:rsidRDefault="00B96C3E" w:rsidP="006631E5">
            <w:pPr>
              <w:jc w:val="left"/>
              <w:cnfStyle w:val="000000000000" w:firstRow="0" w:lastRow="0" w:firstColumn="0" w:lastColumn="0" w:oddVBand="0" w:evenVBand="0" w:oddHBand="0" w:evenHBand="0" w:firstRowFirstColumn="0" w:firstRowLastColumn="0" w:lastRowFirstColumn="0" w:lastRowLastColumn="0"/>
              <w:rPr>
                <w:szCs w:val="20"/>
              </w:rPr>
            </w:pPr>
            <w:r w:rsidRPr="00B96C3E">
              <w:rPr>
                <w:szCs w:val="20"/>
              </w:rPr>
              <w:t>300 MAD / séance / agent</w:t>
            </w:r>
          </w:p>
        </w:tc>
      </w:tr>
      <w:tr w:rsidR="00B96C3E" w:rsidRPr="00911732" w14:paraId="1352D282" w14:textId="77777777" w:rsidTr="00B96C3E">
        <w:trPr>
          <w:trHeight w:val="1047"/>
        </w:trPr>
        <w:tc>
          <w:tcPr>
            <w:cnfStyle w:val="001000000000" w:firstRow="0" w:lastRow="0" w:firstColumn="1" w:lastColumn="0" w:oddVBand="0" w:evenVBand="0" w:oddHBand="0" w:evenHBand="0" w:firstRowFirstColumn="0" w:firstRowLastColumn="0" w:lastRowFirstColumn="0" w:lastRowLastColumn="0"/>
            <w:tcW w:w="0" w:type="auto"/>
            <w:vMerge/>
            <w:hideMark/>
          </w:tcPr>
          <w:p w14:paraId="6029215B" w14:textId="77777777" w:rsidR="00B96C3E" w:rsidRPr="004637C7" w:rsidRDefault="00B96C3E" w:rsidP="00D75525">
            <w:pPr>
              <w:jc w:val="center"/>
              <w:rPr>
                <w:rFonts w:eastAsia="Calibri"/>
                <w:b w:val="0"/>
                <w:bCs w:val="0"/>
                <w:szCs w:val="20"/>
                <w:lang w:bidi="ar-SA"/>
              </w:rPr>
            </w:pPr>
          </w:p>
        </w:tc>
        <w:tc>
          <w:tcPr>
            <w:tcW w:w="0" w:type="auto"/>
            <w:vMerge w:val="restart"/>
            <w:hideMark/>
          </w:tcPr>
          <w:p w14:paraId="24F17FBE" w14:textId="77777777" w:rsidR="00B96C3E" w:rsidRPr="004637C7" w:rsidRDefault="00B96C3E" w:rsidP="004637C7">
            <w:pPr>
              <w:jc w:val="left"/>
              <w:cnfStyle w:val="000000000000" w:firstRow="0" w:lastRow="0" w:firstColumn="0" w:lastColumn="0" w:oddVBand="0" w:evenVBand="0" w:oddHBand="0" w:evenHBand="0" w:firstRowFirstColumn="0" w:firstRowLastColumn="0" w:lastRowFirstColumn="0" w:lastRowLastColumn="0"/>
              <w:rPr>
                <w:rFonts w:eastAsia="Calibri"/>
                <w:szCs w:val="20"/>
                <w:lang w:bidi="ar-SA"/>
              </w:rPr>
            </w:pPr>
            <w:r w:rsidRPr="004637C7">
              <w:rPr>
                <w:rFonts w:eastAsia="Calibri"/>
                <w:szCs w:val="20"/>
                <w:lang w:bidi="ar-SA"/>
              </w:rPr>
              <w:t>Compenser</w:t>
            </w:r>
          </w:p>
        </w:tc>
        <w:tc>
          <w:tcPr>
            <w:tcW w:w="2585" w:type="dxa"/>
            <w:tcBorders>
              <w:bottom w:val="single" w:sz="4" w:space="0" w:color="B4C6E7" w:themeColor="accent1" w:themeTint="66"/>
            </w:tcBorders>
            <w:hideMark/>
          </w:tcPr>
          <w:p w14:paraId="5FBE7423" w14:textId="6D0CB14E" w:rsidR="00B96C3E" w:rsidRPr="004637C7" w:rsidRDefault="00B96C3E" w:rsidP="00D75525">
            <w:pPr>
              <w:jc w:val="left"/>
              <w:cnfStyle w:val="000000000000" w:firstRow="0" w:lastRow="0" w:firstColumn="0" w:lastColumn="0" w:oddVBand="0" w:evenVBand="0" w:oddHBand="0" w:evenHBand="0" w:firstRowFirstColumn="0" w:firstRowLastColumn="0" w:lastRowFirstColumn="0" w:lastRowLastColumn="0"/>
              <w:rPr>
                <w:rFonts w:eastAsia="Calibri"/>
                <w:szCs w:val="20"/>
                <w:lang w:bidi="ar-SA"/>
              </w:rPr>
            </w:pPr>
            <w:r w:rsidRPr="004637C7">
              <w:rPr>
                <w:rFonts w:eastAsia="Calibri"/>
                <w:szCs w:val="20"/>
                <w:lang w:bidi="ar-SA"/>
              </w:rPr>
              <w:t xml:space="preserve">Assurer le reclassement ou la réaffectation des agents atteints de TMS ; </w:t>
            </w:r>
          </w:p>
        </w:tc>
        <w:tc>
          <w:tcPr>
            <w:tcW w:w="1613" w:type="dxa"/>
            <w:vMerge w:val="restart"/>
            <w:hideMark/>
          </w:tcPr>
          <w:p w14:paraId="6EE79F69" w14:textId="77777777" w:rsidR="00B96C3E" w:rsidRPr="00481B02" w:rsidRDefault="00B96C3E" w:rsidP="00D75525">
            <w:pPr>
              <w:jc w:val="left"/>
              <w:cnfStyle w:val="000000000000" w:firstRow="0" w:lastRow="0" w:firstColumn="0" w:lastColumn="0" w:oddVBand="0" w:evenVBand="0" w:oddHBand="0" w:evenHBand="0" w:firstRowFirstColumn="0" w:firstRowLastColumn="0" w:lastRowFirstColumn="0" w:lastRowLastColumn="0"/>
              <w:rPr>
                <w:rFonts w:eastAsia="Calibri"/>
                <w:szCs w:val="20"/>
                <w:lang w:bidi="ar-SA"/>
              </w:rPr>
            </w:pPr>
            <w:r w:rsidRPr="004637C7">
              <w:rPr>
                <w:rFonts w:eastAsia="Calibri"/>
                <w:szCs w:val="20"/>
                <w:lang w:bidi="ar-SA"/>
              </w:rPr>
              <w:t xml:space="preserve">Nb de reclassements </w:t>
            </w:r>
          </w:p>
          <w:p w14:paraId="287A53EF" w14:textId="27291A6D" w:rsidR="00B96C3E" w:rsidRPr="004637C7" w:rsidRDefault="00B96C3E" w:rsidP="004637C7">
            <w:pPr>
              <w:jc w:val="left"/>
              <w:cnfStyle w:val="000000000000" w:firstRow="0" w:lastRow="0" w:firstColumn="0" w:lastColumn="0" w:oddVBand="0" w:evenVBand="0" w:oddHBand="0" w:evenHBand="0" w:firstRowFirstColumn="0" w:firstRowLastColumn="0" w:lastRowFirstColumn="0" w:lastRowLastColumn="0"/>
              <w:rPr>
                <w:rFonts w:eastAsia="Calibri"/>
                <w:szCs w:val="20"/>
                <w:lang w:bidi="ar-SA"/>
              </w:rPr>
            </w:pPr>
            <w:r w:rsidRPr="004637C7">
              <w:rPr>
                <w:rFonts w:eastAsia="Calibri"/>
                <w:szCs w:val="20"/>
                <w:lang w:bidi="ar-SA"/>
              </w:rPr>
              <w:t xml:space="preserve"> Nb de compensations</w:t>
            </w:r>
          </w:p>
        </w:tc>
        <w:tc>
          <w:tcPr>
            <w:tcW w:w="0" w:type="auto"/>
            <w:vMerge w:val="restart"/>
            <w:hideMark/>
          </w:tcPr>
          <w:p w14:paraId="77F2BCE8" w14:textId="1F453915" w:rsidR="00B96C3E" w:rsidRPr="004637C7" w:rsidRDefault="00B96C3E" w:rsidP="00D75525">
            <w:pPr>
              <w:jc w:val="center"/>
              <w:cnfStyle w:val="000000000000" w:firstRow="0" w:lastRow="0" w:firstColumn="0" w:lastColumn="0" w:oddVBand="0" w:evenVBand="0" w:oddHBand="0" w:evenHBand="0" w:firstRowFirstColumn="0" w:firstRowLastColumn="0" w:lastRowFirstColumn="0" w:lastRowLastColumn="0"/>
              <w:rPr>
                <w:rFonts w:eastAsia="Calibri"/>
                <w:szCs w:val="20"/>
                <w:lang w:bidi="ar-SA"/>
              </w:rPr>
            </w:pPr>
            <w:r w:rsidRPr="00481B02">
              <w:rPr>
                <w:szCs w:val="20"/>
                <w:lang w:eastAsia="fr-FR" w:bidi="ar-SA"/>
              </w:rPr>
              <w:t>ONDA / Exploitant</w:t>
            </w:r>
          </w:p>
        </w:tc>
        <w:tc>
          <w:tcPr>
            <w:tcW w:w="0" w:type="auto"/>
            <w:vMerge w:val="restart"/>
            <w:hideMark/>
          </w:tcPr>
          <w:p w14:paraId="3645FC41" w14:textId="39940877" w:rsidR="00B96C3E" w:rsidRPr="004637C7" w:rsidRDefault="00B96C3E" w:rsidP="00D75525">
            <w:pPr>
              <w:jc w:val="center"/>
              <w:cnfStyle w:val="000000000000" w:firstRow="0" w:lastRow="0" w:firstColumn="0" w:lastColumn="0" w:oddVBand="0" w:evenVBand="0" w:oddHBand="0" w:evenHBand="0" w:firstRowFirstColumn="0" w:firstRowLastColumn="0" w:lastRowFirstColumn="0" w:lastRowLastColumn="0"/>
              <w:rPr>
                <w:rFonts w:eastAsia="Calibri"/>
                <w:szCs w:val="20"/>
                <w:lang w:bidi="ar-SA"/>
              </w:rPr>
            </w:pPr>
            <w:r w:rsidRPr="00481B02">
              <w:rPr>
                <w:szCs w:val="20"/>
                <w:lang w:eastAsia="fr-FR" w:bidi="ar-SA"/>
              </w:rPr>
              <w:t>ONDA</w:t>
            </w:r>
          </w:p>
        </w:tc>
        <w:tc>
          <w:tcPr>
            <w:tcW w:w="0" w:type="auto"/>
            <w:vMerge w:val="restart"/>
            <w:hideMark/>
          </w:tcPr>
          <w:p w14:paraId="35EB19B6" w14:textId="0653D8A2" w:rsidR="00B96C3E" w:rsidRPr="004637C7" w:rsidRDefault="00B96C3E" w:rsidP="00D75525">
            <w:pPr>
              <w:jc w:val="center"/>
              <w:cnfStyle w:val="000000000000" w:firstRow="0" w:lastRow="0" w:firstColumn="0" w:lastColumn="0" w:oddVBand="0" w:evenVBand="0" w:oddHBand="0" w:evenHBand="0" w:firstRowFirstColumn="0" w:firstRowLastColumn="0" w:lastRowFirstColumn="0" w:lastRowLastColumn="0"/>
              <w:rPr>
                <w:rFonts w:eastAsia="Calibri"/>
                <w:szCs w:val="20"/>
                <w:lang w:bidi="ar-SA"/>
              </w:rPr>
            </w:pPr>
            <w:r w:rsidRPr="00481B02">
              <w:rPr>
                <w:szCs w:val="20"/>
                <w:lang w:eastAsia="fr-FR" w:bidi="ar-SA"/>
              </w:rPr>
              <w:t>ONDA</w:t>
            </w:r>
          </w:p>
        </w:tc>
        <w:tc>
          <w:tcPr>
            <w:tcW w:w="0" w:type="auto"/>
            <w:vMerge w:val="restart"/>
            <w:hideMark/>
          </w:tcPr>
          <w:p w14:paraId="17463BA1" w14:textId="77777777" w:rsidR="00B96C3E" w:rsidRPr="004637C7" w:rsidRDefault="00B96C3E" w:rsidP="00D75525">
            <w:pPr>
              <w:jc w:val="center"/>
              <w:cnfStyle w:val="000000000000" w:firstRow="0" w:lastRow="0" w:firstColumn="0" w:lastColumn="0" w:oddVBand="0" w:evenVBand="0" w:oddHBand="0" w:evenHBand="0" w:firstRowFirstColumn="0" w:firstRowLastColumn="0" w:lastRowFirstColumn="0" w:lastRowLastColumn="0"/>
              <w:rPr>
                <w:rFonts w:eastAsia="Calibri"/>
                <w:szCs w:val="20"/>
                <w:lang w:bidi="ar-SA"/>
              </w:rPr>
            </w:pPr>
            <w:r w:rsidRPr="004637C7">
              <w:rPr>
                <w:rFonts w:eastAsia="Calibri"/>
                <w:szCs w:val="20"/>
                <w:lang w:bidi="ar-SA"/>
              </w:rPr>
              <w:t>Selon besoin</w:t>
            </w:r>
          </w:p>
        </w:tc>
        <w:tc>
          <w:tcPr>
            <w:tcW w:w="0" w:type="auto"/>
            <w:tcBorders>
              <w:bottom w:val="single" w:sz="4" w:space="0" w:color="B4C6E7" w:themeColor="accent1" w:themeTint="66"/>
            </w:tcBorders>
            <w:hideMark/>
          </w:tcPr>
          <w:p w14:paraId="7C6A412A" w14:textId="7B4E22B0" w:rsidR="00B96C3E" w:rsidRPr="004637C7" w:rsidRDefault="006B18FD" w:rsidP="00D60FC9">
            <w:pPr>
              <w:jc w:val="left"/>
              <w:cnfStyle w:val="000000000000" w:firstRow="0" w:lastRow="0" w:firstColumn="0" w:lastColumn="0" w:oddVBand="0" w:evenVBand="0" w:oddHBand="0" w:evenHBand="0" w:firstRowFirstColumn="0" w:firstRowLastColumn="0" w:lastRowFirstColumn="0" w:lastRowLastColumn="0"/>
              <w:rPr>
                <w:rFonts w:eastAsia="Calibri"/>
                <w:szCs w:val="20"/>
                <w:lang w:bidi="ar-SA"/>
              </w:rPr>
            </w:pPr>
            <w:r w:rsidRPr="006B18FD">
              <w:rPr>
                <w:szCs w:val="20"/>
              </w:rPr>
              <w:t>Aucun coût spécifique</w:t>
            </w:r>
          </w:p>
        </w:tc>
      </w:tr>
      <w:tr w:rsidR="00B96C3E" w:rsidRPr="00911732" w14:paraId="28F804E5" w14:textId="77777777" w:rsidTr="00B96C3E">
        <w:trPr>
          <w:trHeight w:val="720"/>
        </w:trPr>
        <w:tc>
          <w:tcPr>
            <w:cnfStyle w:val="001000000000" w:firstRow="0" w:lastRow="0" w:firstColumn="1" w:lastColumn="0" w:oddVBand="0" w:evenVBand="0" w:oddHBand="0" w:evenHBand="0" w:firstRowFirstColumn="0" w:firstRowLastColumn="0" w:lastRowFirstColumn="0" w:lastRowLastColumn="0"/>
            <w:tcW w:w="0" w:type="auto"/>
            <w:vMerge/>
          </w:tcPr>
          <w:p w14:paraId="4E6B735C" w14:textId="77777777" w:rsidR="00B96C3E" w:rsidRPr="004637C7" w:rsidRDefault="00B96C3E" w:rsidP="00D75525">
            <w:pPr>
              <w:jc w:val="center"/>
              <w:rPr>
                <w:rFonts w:eastAsia="Calibri"/>
                <w:b w:val="0"/>
                <w:bCs w:val="0"/>
                <w:szCs w:val="20"/>
                <w:lang w:bidi="ar-SA"/>
              </w:rPr>
            </w:pPr>
          </w:p>
        </w:tc>
        <w:tc>
          <w:tcPr>
            <w:tcW w:w="0" w:type="auto"/>
            <w:vMerge/>
          </w:tcPr>
          <w:p w14:paraId="0B357A73" w14:textId="77777777" w:rsidR="00B96C3E" w:rsidRPr="004637C7" w:rsidRDefault="00B96C3E" w:rsidP="004637C7">
            <w:pPr>
              <w:jc w:val="left"/>
              <w:cnfStyle w:val="000000000000" w:firstRow="0" w:lastRow="0" w:firstColumn="0" w:lastColumn="0" w:oddVBand="0" w:evenVBand="0" w:oddHBand="0" w:evenHBand="0" w:firstRowFirstColumn="0" w:firstRowLastColumn="0" w:lastRowFirstColumn="0" w:lastRowLastColumn="0"/>
              <w:rPr>
                <w:rFonts w:eastAsia="Calibri"/>
                <w:szCs w:val="20"/>
                <w:lang w:bidi="ar-SA"/>
              </w:rPr>
            </w:pPr>
          </w:p>
        </w:tc>
        <w:tc>
          <w:tcPr>
            <w:tcW w:w="2585" w:type="dxa"/>
            <w:tcBorders>
              <w:top w:val="single" w:sz="4" w:space="0" w:color="B4C6E7" w:themeColor="accent1" w:themeTint="66"/>
            </w:tcBorders>
          </w:tcPr>
          <w:p w14:paraId="1DA74214" w14:textId="77777777" w:rsidR="00B96C3E" w:rsidRPr="004637C7" w:rsidRDefault="00B96C3E" w:rsidP="00B96C3E">
            <w:pPr>
              <w:jc w:val="left"/>
              <w:cnfStyle w:val="000000000000" w:firstRow="0" w:lastRow="0" w:firstColumn="0" w:lastColumn="0" w:oddVBand="0" w:evenVBand="0" w:oddHBand="0" w:evenHBand="0" w:firstRowFirstColumn="0" w:firstRowLastColumn="0" w:lastRowFirstColumn="0" w:lastRowLastColumn="0"/>
              <w:rPr>
                <w:rFonts w:eastAsia="Calibri"/>
                <w:szCs w:val="20"/>
                <w:lang w:bidi="ar-SA"/>
              </w:rPr>
            </w:pPr>
            <w:r w:rsidRPr="00481B02">
              <w:rPr>
                <w:rFonts w:eastAsia="Calibri"/>
                <w:szCs w:val="20"/>
                <w:lang w:bidi="ar-SA"/>
              </w:rPr>
              <w:t>I</w:t>
            </w:r>
            <w:r w:rsidRPr="004637C7">
              <w:rPr>
                <w:rFonts w:eastAsia="Calibri"/>
                <w:szCs w:val="20"/>
                <w:lang w:bidi="ar-SA"/>
              </w:rPr>
              <w:t>ndemniser les arrêts prolongés.</w:t>
            </w:r>
          </w:p>
        </w:tc>
        <w:tc>
          <w:tcPr>
            <w:tcW w:w="1613" w:type="dxa"/>
            <w:vMerge/>
          </w:tcPr>
          <w:p w14:paraId="349ECADD" w14:textId="77777777" w:rsidR="00B96C3E" w:rsidRPr="004637C7" w:rsidRDefault="00B96C3E" w:rsidP="00D75525">
            <w:pPr>
              <w:jc w:val="left"/>
              <w:cnfStyle w:val="000000000000" w:firstRow="0" w:lastRow="0" w:firstColumn="0" w:lastColumn="0" w:oddVBand="0" w:evenVBand="0" w:oddHBand="0" w:evenHBand="0" w:firstRowFirstColumn="0" w:firstRowLastColumn="0" w:lastRowFirstColumn="0" w:lastRowLastColumn="0"/>
              <w:rPr>
                <w:rFonts w:eastAsia="Calibri"/>
                <w:szCs w:val="20"/>
                <w:lang w:bidi="ar-SA"/>
              </w:rPr>
            </w:pPr>
          </w:p>
        </w:tc>
        <w:tc>
          <w:tcPr>
            <w:tcW w:w="0" w:type="auto"/>
            <w:vMerge/>
          </w:tcPr>
          <w:p w14:paraId="4AD952B5" w14:textId="77777777" w:rsidR="00B96C3E" w:rsidRPr="00481B02" w:rsidRDefault="00B96C3E" w:rsidP="00D75525">
            <w:pPr>
              <w:jc w:val="center"/>
              <w:cnfStyle w:val="000000000000" w:firstRow="0" w:lastRow="0" w:firstColumn="0" w:lastColumn="0" w:oddVBand="0" w:evenVBand="0" w:oddHBand="0" w:evenHBand="0" w:firstRowFirstColumn="0" w:firstRowLastColumn="0" w:lastRowFirstColumn="0" w:lastRowLastColumn="0"/>
              <w:rPr>
                <w:szCs w:val="20"/>
                <w:lang w:eastAsia="fr-FR" w:bidi="ar-SA"/>
              </w:rPr>
            </w:pPr>
          </w:p>
        </w:tc>
        <w:tc>
          <w:tcPr>
            <w:tcW w:w="0" w:type="auto"/>
            <w:vMerge/>
          </w:tcPr>
          <w:p w14:paraId="0E46BC1A" w14:textId="77777777" w:rsidR="00B96C3E" w:rsidRPr="00481B02" w:rsidRDefault="00B96C3E" w:rsidP="00D75525">
            <w:pPr>
              <w:jc w:val="center"/>
              <w:cnfStyle w:val="000000000000" w:firstRow="0" w:lastRow="0" w:firstColumn="0" w:lastColumn="0" w:oddVBand="0" w:evenVBand="0" w:oddHBand="0" w:evenHBand="0" w:firstRowFirstColumn="0" w:firstRowLastColumn="0" w:lastRowFirstColumn="0" w:lastRowLastColumn="0"/>
              <w:rPr>
                <w:szCs w:val="20"/>
                <w:lang w:eastAsia="fr-FR" w:bidi="ar-SA"/>
              </w:rPr>
            </w:pPr>
          </w:p>
        </w:tc>
        <w:tc>
          <w:tcPr>
            <w:tcW w:w="0" w:type="auto"/>
            <w:vMerge/>
          </w:tcPr>
          <w:p w14:paraId="4AAAFCD3" w14:textId="77777777" w:rsidR="00B96C3E" w:rsidRPr="00481B02" w:rsidRDefault="00B96C3E" w:rsidP="00D75525">
            <w:pPr>
              <w:jc w:val="center"/>
              <w:cnfStyle w:val="000000000000" w:firstRow="0" w:lastRow="0" w:firstColumn="0" w:lastColumn="0" w:oddVBand="0" w:evenVBand="0" w:oddHBand="0" w:evenHBand="0" w:firstRowFirstColumn="0" w:firstRowLastColumn="0" w:lastRowFirstColumn="0" w:lastRowLastColumn="0"/>
              <w:rPr>
                <w:szCs w:val="20"/>
                <w:lang w:eastAsia="fr-FR" w:bidi="ar-SA"/>
              </w:rPr>
            </w:pPr>
          </w:p>
        </w:tc>
        <w:tc>
          <w:tcPr>
            <w:tcW w:w="0" w:type="auto"/>
            <w:vMerge/>
          </w:tcPr>
          <w:p w14:paraId="1CB1FA27" w14:textId="77777777" w:rsidR="00B96C3E" w:rsidRPr="004637C7" w:rsidRDefault="00B96C3E" w:rsidP="00D75525">
            <w:pPr>
              <w:jc w:val="center"/>
              <w:cnfStyle w:val="000000000000" w:firstRow="0" w:lastRow="0" w:firstColumn="0" w:lastColumn="0" w:oddVBand="0" w:evenVBand="0" w:oddHBand="0" w:evenHBand="0" w:firstRowFirstColumn="0" w:firstRowLastColumn="0" w:lastRowFirstColumn="0" w:lastRowLastColumn="0"/>
              <w:rPr>
                <w:rFonts w:eastAsia="Calibri"/>
                <w:szCs w:val="20"/>
                <w:lang w:bidi="ar-SA"/>
              </w:rPr>
            </w:pPr>
          </w:p>
        </w:tc>
        <w:tc>
          <w:tcPr>
            <w:tcW w:w="0" w:type="auto"/>
            <w:tcBorders>
              <w:top w:val="single" w:sz="4" w:space="0" w:color="B4C6E7" w:themeColor="accent1" w:themeTint="66"/>
            </w:tcBorders>
          </w:tcPr>
          <w:p w14:paraId="72D6794A" w14:textId="58F53B13" w:rsidR="00B96C3E" w:rsidRPr="00AA22F2" w:rsidRDefault="006B18FD" w:rsidP="006631E5">
            <w:pPr>
              <w:jc w:val="left"/>
              <w:cnfStyle w:val="000000000000" w:firstRow="0" w:lastRow="0" w:firstColumn="0" w:lastColumn="0" w:oddVBand="0" w:evenVBand="0" w:oddHBand="0" w:evenHBand="0" w:firstRowFirstColumn="0" w:firstRowLastColumn="0" w:lastRowFirstColumn="0" w:lastRowLastColumn="0"/>
              <w:rPr>
                <w:szCs w:val="20"/>
              </w:rPr>
            </w:pPr>
            <w:r w:rsidRPr="006B18FD">
              <w:rPr>
                <w:szCs w:val="20"/>
              </w:rPr>
              <w:t>Couverts par assurance ONDA / CNSS</w:t>
            </w:r>
          </w:p>
        </w:tc>
      </w:tr>
      <w:tr w:rsidR="001B673F" w:rsidRPr="00911732" w14:paraId="4AB5231F" w14:textId="77777777" w:rsidTr="00B96C3E">
        <w:trPr>
          <w:trHeight w:val="698"/>
        </w:trPr>
        <w:tc>
          <w:tcPr>
            <w:cnfStyle w:val="001000000000" w:firstRow="0" w:lastRow="0" w:firstColumn="1" w:lastColumn="0" w:oddVBand="0" w:evenVBand="0" w:oddHBand="0" w:evenHBand="0" w:firstRowFirstColumn="0" w:firstRowLastColumn="0" w:lastRowFirstColumn="0" w:lastRowLastColumn="0"/>
            <w:tcW w:w="0" w:type="auto"/>
            <w:vMerge w:val="restart"/>
            <w:hideMark/>
          </w:tcPr>
          <w:p w14:paraId="6B628E94" w14:textId="77777777" w:rsidR="001B673F" w:rsidRPr="00481B02" w:rsidRDefault="001B673F" w:rsidP="00D75525">
            <w:pPr>
              <w:jc w:val="center"/>
              <w:rPr>
                <w:rFonts w:eastAsia="Calibri"/>
                <w:szCs w:val="20"/>
                <w:lang w:bidi="ar-SA"/>
              </w:rPr>
            </w:pPr>
            <w:r w:rsidRPr="00481B02">
              <w:rPr>
                <w:rFonts w:eastAsia="Calibri"/>
                <w:szCs w:val="20"/>
                <w:lang w:bidi="ar-SA"/>
              </w:rPr>
              <w:t>Stress professionnel lié aux horaires décalés et à la charge de travail</w:t>
            </w:r>
          </w:p>
        </w:tc>
        <w:tc>
          <w:tcPr>
            <w:tcW w:w="0" w:type="auto"/>
            <w:vMerge w:val="restart"/>
            <w:hideMark/>
          </w:tcPr>
          <w:p w14:paraId="3F04BD4D" w14:textId="77777777" w:rsidR="001B673F" w:rsidRPr="004637C7" w:rsidRDefault="001B673F" w:rsidP="004637C7">
            <w:pPr>
              <w:jc w:val="left"/>
              <w:cnfStyle w:val="000000000000" w:firstRow="0" w:lastRow="0" w:firstColumn="0" w:lastColumn="0" w:oddVBand="0" w:evenVBand="0" w:oddHBand="0" w:evenHBand="0" w:firstRowFirstColumn="0" w:firstRowLastColumn="0" w:lastRowFirstColumn="0" w:lastRowLastColumn="0"/>
              <w:rPr>
                <w:rFonts w:eastAsia="Calibri"/>
                <w:szCs w:val="20"/>
                <w:lang w:bidi="ar-SA"/>
              </w:rPr>
            </w:pPr>
            <w:r w:rsidRPr="004637C7">
              <w:rPr>
                <w:rFonts w:eastAsia="Calibri"/>
                <w:szCs w:val="20"/>
                <w:lang w:bidi="ar-SA"/>
              </w:rPr>
              <w:t>Éviter</w:t>
            </w:r>
          </w:p>
        </w:tc>
        <w:tc>
          <w:tcPr>
            <w:tcW w:w="2585" w:type="dxa"/>
            <w:tcBorders>
              <w:bottom w:val="single" w:sz="4" w:space="0" w:color="B4C6E7" w:themeColor="accent1" w:themeTint="66"/>
            </w:tcBorders>
            <w:hideMark/>
          </w:tcPr>
          <w:p w14:paraId="33DEFE6D" w14:textId="5E8B0096" w:rsidR="001B673F" w:rsidRPr="004637C7" w:rsidRDefault="001B673F" w:rsidP="00D75525">
            <w:pPr>
              <w:jc w:val="left"/>
              <w:cnfStyle w:val="000000000000" w:firstRow="0" w:lastRow="0" w:firstColumn="0" w:lastColumn="0" w:oddVBand="0" w:evenVBand="0" w:oddHBand="0" w:evenHBand="0" w:firstRowFirstColumn="0" w:firstRowLastColumn="0" w:lastRowFirstColumn="0" w:lastRowLastColumn="0"/>
              <w:rPr>
                <w:rFonts w:eastAsia="Calibri"/>
                <w:szCs w:val="20"/>
                <w:lang w:bidi="ar-SA"/>
              </w:rPr>
            </w:pPr>
            <w:r w:rsidRPr="004637C7">
              <w:rPr>
                <w:rFonts w:eastAsia="Calibri"/>
                <w:szCs w:val="20"/>
                <w:lang w:bidi="ar-SA"/>
              </w:rPr>
              <w:t xml:space="preserve">Mettre en place un planning équitable de rotation ; </w:t>
            </w:r>
          </w:p>
        </w:tc>
        <w:tc>
          <w:tcPr>
            <w:tcW w:w="1613" w:type="dxa"/>
            <w:vMerge w:val="restart"/>
            <w:hideMark/>
          </w:tcPr>
          <w:p w14:paraId="0CD37211" w14:textId="77777777" w:rsidR="001B673F" w:rsidRPr="004637C7" w:rsidRDefault="001B673F" w:rsidP="004637C7">
            <w:pPr>
              <w:jc w:val="left"/>
              <w:cnfStyle w:val="000000000000" w:firstRow="0" w:lastRow="0" w:firstColumn="0" w:lastColumn="0" w:oddVBand="0" w:evenVBand="0" w:oddHBand="0" w:evenHBand="0" w:firstRowFirstColumn="0" w:firstRowLastColumn="0" w:lastRowFirstColumn="0" w:lastRowLastColumn="0"/>
              <w:rPr>
                <w:rFonts w:eastAsia="Calibri"/>
                <w:szCs w:val="20"/>
                <w:lang w:bidi="ar-SA"/>
              </w:rPr>
            </w:pPr>
            <w:r w:rsidRPr="004637C7">
              <w:rPr>
                <w:rFonts w:eastAsia="Calibri"/>
                <w:szCs w:val="20"/>
                <w:lang w:bidi="ar-SA"/>
              </w:rPr>
              <w:t>% de conformité horaire / Nb de rotations planifiées</w:t>
            </w:r>
          </w:p>
        </w:tc>
        <w:tc>
          <w:tcPr>
            <w:tcW w:w="0" w:type="auto"/>
            <w:vMerge w:val="restart"/>
            <w:hideMark/>
          </w:tcPr>
          <w:p w14:paraId="26CBC12E" w14:textId="7CB06E5C" w:rsidR="001B673F" w:rsidRPr="004637C7" w:rsidRDefault="001B673F" w:rsidP="00D75525">
            <w:pPr>
              <w:jc w:val="center"/>
              <w:cnfStyle w:val="000000000000" w:firstRow="0" w:lastRow="0" w:firstColumn="0" w:lastColumn="0" w:oddVBand="0" w:evenVBand="0" w:oddHBand="0" w:evenHBand="0" w:firstRowFirstColumn="0" w:firstRowLastColumn="0" w:lastRowFirstColumn="0" w:lastRowLastColumn="0"/>
              <w:rPr>
                <w:rFonts w:eastAsia="Calibri"/>
                <w:szCs w:val="20"/>
                <w:lang w:bidi="ar-SA"/>
              </w:rPr>
            </w:pPr>
            <w:r w:rsidRPr="00481B02">
              <w:rPr>
                <w:szCs w:val="20"/>
                <w:lang w:eastAsia="fr-FR" w:bidi="ar-SA"/>
              </w:rPr>
              <w:t>ONDA / Exploitant</w:t>
            </w:r>
          </w:p>
        </w:tc>
        <w:tc>
          <w:tcPr>
            <w:tcW w:w="0" w:type="auto"/>
            <w:vMerge w:val="restart"/>
            <w:hideMark/>
          </w:tcPr>
          <w:p w14:paraId="71BED4BB" w14:textId="7A868CC7" w:rsidR="001B673F" w:rsidRPr="004637C7" w:rsidRDefault="001B673F" w:rsidP="00D75525">
            <w:pPr>
              <w:jc w:val="center"/>
              <w:cnfStyle w:val="000000000000" w:firstRow="0" w:lastRow="0" w:firstColumn="0" w:lastColumn="0" w:oddVBand="0" w:evenVBand="0" w:oddHBand="0" w:evenHBand="0" w:firstRowFirstColumn="0" w:firstRowLastColumn="0" w:lastRowFirstColumn="0" w:lastRowLastColumn="0"/>
              <w:rPr>
                <w:rFonts w:eastAsia="Calibri"/>
                <w:szCs w:val="20"/>
                <w:lang w:bidi="ar-SA"/>
              </w:rPr>
            </w:pPr>
            <w:r w:rsidRPr="00481B02">
              <w:rPr>
                <w:szCs w:val="20"/>
                <w:lang w:eastAsia="fr-FR" w:bidi="ar-SA"/>
              </w:rPr>
              <w:t>ONDA</w:t>
            </w:r>
          </w:p>
        </w:tc>
        <w:tc>
          <w:tcPr>
            <w:tcW w:w="0" w:type="auto"/>
            <w:vMerge w:val="restart"/>
            <w:hideMark/>
          </w:tcPr>
          <w:p w14:paraId="40F3EDAA" w14:textId="7D9733AA" w:rsidR="001B673F" w:rsidRPr="004637C7" w:rsidRDefault="001B673F" w:rsidP="00D75525">
            <w:pPr>
              <w:jc w:val="center"/>
              <w:cnfStyle w:val="000000000000" w:firstRow="0" w:lastRow="0" w:firstColumn="0" w:lastColumn="0" w:oddVBand="0" w:evenVBand="0" w:oddHBand="0" w:evenHBand="0" w:firstRowFirstColumn="0" w:firstRowLastColumn="0" w:lastRowFirstColumn="0" w:lastRowLastColumn="0"/>
              <w:rPr>
                <w:rFonts w:eastAsia="Calibri"/>
                <w:szCs w:val="20"/>
                <w:lang w:bidi="ar-SA"/>
              </w:rPr>
            </w:pPr>
            <w:r w:rsidRPr="00481B02">
              <w:rPr>
                <w:szCs w:val="20"/>
                <w:lang w:eastAsia="fr-FR" w:bidi="ar-SA"/>
              </w:rPr>
              <w:t>ONDA</w:t>
            </w:r>
          </w:p>
        </w:tc>
        <w:tc>
          <w:tcPr>
            <w:tcW w:w="0" w:type="auto"/>
            <w:vMerge w:val="restart"/>
            <w:hideMark/>
          </w:tcPr>
          <w:p w14:paraId="68F1639A" w14:textId="77777777" w:rsidR="001B673F" w:rsidRPr="004637C7" w:rsidRDefault="001B673F" w:rsidP="00D75525">
            <w:pPr>
              <w:jc w:val="center"/>
              <w:cnfStyle w:val="000000000000" w:firstRow="0" w:lastRow="0" w:firstColumn="0" w:lastColumn="0" w:oddVBand="0" w:evenVBand="0" w:oddHBand="0" w:evenHBand="0" w:firstRowFirstColumn="0" w:firstRowLastColumn="0" w:lastRowFirstColumn="0" w:lastRowLastColumn="0"/>
              <w:rPr>
                <w:rFonts w:eastAsia="Calibri"/>
                <w:szCs w:val="20"/>
                <w:lang w:bidi="ar-SA"/>
              </w:rPr>
            </w:pPr>
            <w:r w:rsidRPr="004637C7">
              <w:rPr>
                <w:rFonts w:eastAsia="Calibri"/>
                <w:szCs w:val="20"/>
                <w:lang w:bidi="ar-SA"/>
              </w:rPr>
              <w:t>Continu</w:t>
            </w:r>
          </w:p>
        </w:tc>
        <w:tc>
          <w:tcPr>
            <w:tcW w:w="0" w:type="auto"/>
            <w:tcBorders>
              <w:bottom w:val="single" w:sz="4" w:space="0" w:color="B4C6E7" w:themeColor="accent1" w:themeTint="66"/>
            </w:tcBorders>
            <w:hideMark/>
          </w:tcPr>
          <w:p w14:paraId="0F870AC7" w14:textId="50F3D2CB" w:rsidR="001B673F" w:rsidRPr="004637C7" w:rsidRDefault="001B673F" w:rsidP="00D60FC9">
            <w:pPr>
              <w:jc w:val="left"/>
              <w:cnfStyle w:val="000000000000" w:firstRow="0" w:lastRow="0" w:firstColumn="0" w:lastColumn="0" w:oddVBand="0" w:evenVBand="0" w:oddHBand="0" w:evenHBand="0" w:firstRowFirstColumn="0" w:firstRowLastColumn="0" w:lastRowFirstColumn="0" w:lastRowLastColumn="0"/>
              <w:rPr>
                <w:rFonts w:eastAsia="Calibri"/>
                <w:szCs w:val="20"/>
                <w:lang w:bidi="ar-SA"/>
              </w:rPr>
            </w:pPr>
            <w:r w:rsidRPr="00481B02">
              <w:rPr>
                <w:rFonts w:eastAsia="Calibri"/>
                <w:szCs w:val="20"/>
                <w:lang w:bidi="ar-SA"/>
              </w:rPr>
              <w:t>Aucun coût spécifique</w:t>
            </w:r>
          </w:p>
        </w:tc>
      </w:tr>
      <w:tr w:rsidR="001B673F" w:rsidRPr="00911732" w14:paraId="617A6BB1" w14:textId="77777777" w:rsidTr="00B96C3E">
        <w:trPr>
          <w:trHeight w:val="753"/>
        </w:trPr>
        <w:tc>
          <w:tcPr>
            <w:cnfStyle w:val="001000000000" w:firstRow="0" w:lastRow="0" w:firstColumn="1" w:lastColumn="0" w:oddVBand="0" w:evenVBand="0" w:oddHBand="0" w:evenHBand="0" w:firstRowFirstColumn="0" w:firstRowLastColumn="0" w:lastRowFirstColumn="0" w:lastRowLastColumn="0"/>
            <w:tcW w:w="0" w:type="auto"/>
            <w:vMerge/>
          </w:tcPr>
          <w:p w14:paraId="4B57CD4E" w14:textId="77777777" w:rsidR="001B673F" w:rsidRPr="00481B02" w:rsidRDefault="001B673F" w:rsidP="006B18FD">
            <w:pPr>
              <w:jc w:val="center"/>
              <w:rPr>
                <w:rFonts w:eastAsia="Calibri"/>
                <w:szCs w:val="20"/>
                <w:lang w:bidi="ar-SA"/>
              </w:rPr>
            </w:pPr>
          </w:p>
        </w:tc>
        <w:tc>
          <w:tcPr>
            <w:tcW w:w="0" w:type="auto"/>
            <w:vMerge/>
          </w:tcPr>
          <w:p w14:paraId="026C02BB" w14:textId="77777777" w:rsidR="001B673F" w:rsidRPr="004637C7" w:rsidRDefault="001B673F" w:rsidP="006B18FD">
            <w:pPr>
              <w:jc w:val="left"/>
              <w:cnfStyle w:val="000000000000" w:firstRow="0" w:lastRow="0" w:firstColumn="0" w:lastColumn="0" w:oddVBand="0" w:evenVBand="0" w:oddHBand="0" w:evenHBand="0" w:firstRowFirstColumn="0" w:firstRowLastColumn="0" w:lastRowFirstColumn="0" w:lastRowLastColumn="0"/>
              <w:rPr>
                <w:rFonts w:eastAsia="Calibri"/>
                <w:szCs w:val="20"/>
                <w:lang w:bidi="ar-SA"/>
              </w:rPr>
            </w:pPr>
          </w:p>
        </w:tc>
        <w:tc>
          <w:tcPr>
            <w:tcW w:w="2585" w:type="dxa"/>
            <w:tcBorders>
              <w:top w:val="single" w:sz="4" w:space="0" w:color="B4C6E7" w:themeColor="accent1" w:themeTint="66"/>
              <w:bottom w:val="single" w:sz="4" w:space="0" w:color="B4C6E7" w:themeColor="accent1" w:themeTint="66"/>
            </w:tcBorders>
          </w:tcPr>
          <w:p w14:paraId="04B167CD" w14:textId="7F5C51CB" w:rsidR="001B673F" w:rsidRPr="004637C7" w:rsidRDefault="001B673F" w:rsidP="006B18FD">
            <w:pPr>
              <w:jc w:val="left"/>
              <w:cnfStyle w:val="000000000000" w:firstRow="0" w:lastRow="0" w:firstColumn="0" w:lastColumn="0" w:oddVBand="0" w:evenVBand="0" w:oddHBand="0" w:evenHBand="0" w:firstRowFirstColumn="0" w:firstRowLastColumn="0" w:lastRowFirstColumn="0" w:lastRowLastColumn="0"/>
              <w:rPr>
                <w:rFonts w:eastAsia="Calibri"/>
                <w:szCs w:val="20"/>
                <w:lang w:bidi="ar-SA"/>
              </w:rPr>
            </w:pPr>
            <w:r w:rsidRPr="00481B02">
              <w:rPr>
                <w:rFonts w:eastAsia="Calibri"/>
                <w:szCs w:val="20"/>
                <w:lang w:bidi="ar-SA"/>
              </w:rPr>
              <w:t>L</w:t>
            </w:r>
            <w:r w:rsidRPr="004637C7">
              <w:rPr>
                <w:rFonts w:eastAsia="Calibri"/>
                <w:szCs w:val="20"/>
                <w:lang w:bidi="ar-SA"/>
              </w:rPr>
              <w:t xml:space="preserve">imiter les heures consécutives à 10 h/jour ; </w:t>
            </w:r>
          </w:p>
        </w:tc>
        <w:tc>
          <w:tcPr>
            <w:tcW w:w="1613" w:type="dxa"/>
            <w:vMerge/>
          </w:tcPr>
          <w:p w14:paraId="24E7C8DE" w14:textId="77777777" w:rsidR="001B673F" w:rsidRPr="004637C7" w:rsidRDefault="001B673F" w:rsidP="006B18FD">
            <w:pPr>
              <w:jc w:val="left"/>
              <w:cnfStyle w:val="000000000000" w:firstRow="0" w:lastRow="0" w:firstColumn="0" w:lastColumn="0" w:oddVBand="0" w:evenVBand="0" w:oddHBand="0" w:evenHBand="0" w:firstRowFirstColumn="0" w:firstRowLastColumn="0" w:lastRowFirstColumn="0" w:lastRowLastColumn="0"/>
              <w:rPr>
                <w:rFonts w:eastAsia="Calibri"/>
                <w:szCs w:val="20"/>
                <w:lang w:bidi="ar-SA"/>
              </w:rPr>
            </w:pPr>
          </w:p>
        </w:tc>
        <w:tc>
          <w:tcPr>
            <w:tcW w:w="0" w:type="auto"/>
            <w:vMerge/>
          </w:tcPr>
          <w:p w14:paraId="6B11A941" w14:textId="77777777" w:rsidR="001B673F" w:rsidRPr="00481B02" w:rsidRDefault="001B673F" w:rsidP="006B18FD">
            <w:pPr>
              <w:jc w:val="center"/>
              <w:cnfStyle w:val="000000000000" w:firstRow="0" w:lastRow="0" w:firstColumn="0" w:lastColumn="0" w:oddVBand="0" w:evenVBand="0" w:oddHBand="0" w:evenHBand="0" w:firstRowFirstColumn="0" w:firstRowLastColumn="0" w:lastRowFirstColumn="0" w:lastRowLastColumn="0"/>
              <w:rPr>
                <w:szCs w:val="20"/>
                <w:lang w:eastAsia="fr-FR" w:bidi="ar-SA"/>
              </w:rPr>
            </w:pPr>
          </w:p>
        </w:tc>
        <w:tc>
          <w:tcPr>
            <w:tcW w:w="0" w:type="auto"/>
            <w:vMerge/>
          </w:tcPr>
          <w:p w14:paraId="1F97118C" w14:textId="77777777" w:rsidR="001B673F" w:rsidRPr="00481B02" w:rsidRDefault="001B673F" w:rsidP="006B18FD">
            <w:pPr>
              <w:jc w:val="center"/>
              <w:cnfStyle w:val="000000000000" w:firstRow="0" w:lastRow="0" w:firstColumn="0" w:lastColumn="0" w:oddVBand="0" w:evenVBand="0" w:oddHBand="0" w:evenHBand="0" w:firstRowFirstColumn="0" w:firstRowLastColumn="0" w:lastRowFirstColumn="0" w:lastRowLastColumn="0"/>
              <w:rPr>
                <w:szCs w:val="20"/>
                <w:lang w:eastAsia="fr-FR" w:bidi="ar-SA"/>
              </w:rPr>
            </w:pPr>
          </w:p>
        </w:tc>
        <w:tc>
          <w:tcPr>
            <w:tcW w:w="0" w:type="auto"/>
            <w:vMerge/>
          </w:tcPr>
          <w:p w14:paraId="0188EB86" w14:textId="77777777" w:rsidR="001B673F" w:rsidRPr="00481B02" w:rsidRDefault="001B673F" w:rsidP="006B18FD">
            <w:pPr>
              <w:jc w:val="center"/>
              <w:cnfStyle w:val="000000000000" w:firstRow="0" w:lastRow="0" w:firstColumn="0" w:lastColumn="0" w:oddVBand="0" w:evenVBand="0" w:oddHBand="0" w:evenHBand="0" w:firstRowFirstColumn="0" w:firstRowLastColumn="0" w:lastRowFirstColumn="0" w:lastRowLastColumn="0"/>
              <w:rPr>
                <w:szCs w:val="20"/>
                <w:lang w:eastAsia="fr-FR" w:bidi="ar-SA"/>
              </w:rPr>
            </w:pPr>
          </w:p>
        </w:tc>
        <w:tc>
          <w:tcPr>
            <w:tcW w:w="0" w:type="auto"/>
            <w:vMerge/>
          </w:tcPr>
          <w:p w14:paraId="7CC027FA" w14:textId="77777777" w:rsidR="001B673F" w:rsidRPr="004637C7" w:rsidRDefault="001B673F" w:rsidP="006B18FD">
            <w:pPr>
              <w:jc w:val="center"/>
              <w:cnfStyle w:val="000000000000" w:firstRow="0" w:lastRow="0" w:firstColumn="0" w:lastColumn="0" w:oddVBand="0" w:evenVBand="0" w:oddHBand="0" w:evenHBand="0" w:firstRowFirstColumn="0" w:firstRowLastColumn="0" w:lastRowFirstColumn="0" w:lastRowLastColumn="0"/>
              <w:rPr>
                <w:rFonts w:eastAsia="Calibri"/>
                <w:szCs w:val="20"/>
                <w:lang w:bidi="ar-SA"/>
              </w:rPr>
            </w:pPr>
          </w:p>
        </w:tc>
        <w:tc>
          <w:tcPr>
            <w:tcW w:w="0" w:type="auto"/>
            <w:tcBorders>
              <w:top w:val="single" w:sz="4" w:space="0" w:color="B4C6E7" w:themeColor="accent1" w:themeTint="66"/>
              <w:bottom w:val="single" w:sz="4" w:space="0" w:color="B4C6E7" w:themeColor="accent1" w:themeTint="66"/>
            </w:tcBorders>
          </w:tcPr>
          <w:p w14:paraId="72CA99C7" w14:textId="168EBE0F" w:rsidR="001B673F" w:rsidRPr="00481B02" w:rsidRDefault="001B673F" w:rsidP="006B18FD">
            <w:pPr>
              <w:jc w:val="left"/>
              <w:cnfStyle w:val="000000000000" w:firstRow="0" w:lastRow="0" w:firstColumn="0" w:lastColumn="0" w:oddVBand="0" w:evenVBand="0" w:oddHBand="0" w:evenHBand="0" w:firstRowFirstColumn="0" w:firstRowLastColumn="0" w:lastRowFirstColumn="0" w:lastRowLastColumn="0"/>
              <w:rPr>
                <w:rFonts w:eastAsia="Calibri"/>
                <w:szCs w:val="20"/>
                <w:lang w:bidi="ar-SA"/>
              </w:rPr>
            </w:pPr>
            <w:r w:rsidRPr="00481B02">
              <w:rPr>
                <w:rFonts w:eastAsia="Calibri"/>
                <w:szCs w:val="20"/>
                <w:lang w:bidi="ar-SA"/>
              </w:rPr>
              <w:t>Aucun coût spécifique</w:t>
            </w:r>
          </w:p>
        </w:tc>
      </w:tr>
      <w:tr w:rsidR="001B673F" w:rsidRPr="00911732" w14:paraId="36759470" w14:textId="77777777" w:rsidTr="00B96C3E">
        <w:trPr>
          <w:trHeight w:val="720"/>
        </w:trPr>
        <w:tc>
          <w:tcPr>
            <w:cnfStyle w:val="001000000000" w:firstRow="0" w:lastRow="0" w:firstColumn="1" w:lastColumn="0" w:oddVBand="0" w:evenVBand="0" w:oddHBand="0" w:evenHBand="0" w:firstRowFirstColumn="0" w:firstRowLastColumn="0" w:lastRowFirstColumn="0" w:lastRowLastColumn="0"/>
            <w:tcW w:w="0" w:type="auto"/>
            <w:vMerge/>
          </w:tcPr>
          <w:p w14:paraId="6212AACD" w14:textId="77777777" w:rsidR="001B673F" w:rsidRPr="00481B02" w:rsidRDefault="001B673F" w:rsidP="006B18FD">
            <w:pPr>
              <w:jc w:val="center"/>
              <w:rPr>
                <w:rFonts w:eastAsia="Calibri"/>
                <w:szCs w:val="20"/>
                <w:lang w:bidi="ar-SA"/>
              </w:rPr>
            </w:pPr>
          </w:p>
        </w:tc>
        <w:tc>
          <w:tcPr>
            <w:tcW w:w="0" w:type="auto"/>
            <w:vMerge/>
          </w:tcPr>
          <w:p w14:paraId="012F5F7B" w14:textId="77777777" w:rsidR="001B673F" w:rsidRPr="004637C7" w:rsidRDefault="001B673F" w:rsidP="006B18FD">
            <w:pPr>
              <w:jc w:val="left"/>
              <w:cnfStyle w:val="000000000000" w:firstRow="0" w:lastRow="0" w:firstColumn="0" w:lastColumn="0" w:oddVBand="0" w:evenVBand="0" w:oddHBand="0" w:evenHBand="0" w:firstRowFirstColumn="0" w:firstRowLastColumn="0" w:lastRowFirstColumn="0" w:lastRowLastColumn="0"/>
              <w:rPr>
                <w:rFonts w:eastAsia="Calibri"/>
                <w:szCs w:val="20"/>
                <w:lang w:bidi="ar-SA"/>
              </w:rPr>
            </w:pPr>
          </w:p>
        </w:tc>
        <w:tc>
          <w:tcPr>
            <w:tcW w:w="2585" w:type="dxa"/>
            <w:tcBorders>
              <w:top w:val="single" w:sz="4" w:space="0" w:color="B4C6E7" w:themeColor="accent1" w:themeTint="66"/>
            </w:tcBorders>
          </w:tcPr>
          <w:p w14:paraId="116E9F78" w14:textId="77777777" w:rsidR="001B673F" w:rsidRPr="00481B02" w:rsidRDefault="001B673F" w:rsidP="006B18FD">
            <w:pPr>
              <w:jc w:val="left"/>
              <w:cnfStyle w:val="000000000000" w:firstRow="0" w:lastRow="0" w:firstColumn="0" w:lastColumn="0" w:oddVBand="0" w:evenVBand="0" w:oddHBand="0" w:evenHBand="0" w:firstRowFirstColumn="0" w:firstRowLastColumn="0" w:lastRowFirstColumn="0" w:lastRowLastColumn="0"/>
              <w:rPr>
                <w:rFonts w:eastAsia="Calibri"/>
                <w:szCs w:val="20"/>
                <w:lang w:bidi="ar-SA"/>
              </w:rPr>
            </w:pPr>
            <w:r w:rsidRPr="00481B02">
              <w:rPr>
                <w:rFonts w:eastAsia="Calibri"/>
                <w:szCs w:val="20"/>
                <w:lang w:bidi="ar-SA"/>
              </w:rPr>
              <w:t>I</w:t>
            </w:r>
            <w:r w:rsidRPr="004637C7">
              <w:rPr>
                <w:rFonts w:eastAsia="Calibri"/>
                <w:szCs w:val="20"/>
                <w:lang w:bidi="ar-SA"/>
              </w:rPr>
              <w:t>mposer 48 h de repos toutes les 2 semaines.</w:t>
            </w:r>
          </w:p>
        </w:tc>
        <w:tc>
          <w:tcPr>
            <w:tcW w:w="1613" w:type="dxa"/>
            <w:vMerge/>
          </w:tcPr>
          <w:p w14:paraId="5BE87165" w14:textId="77777777" w:rsidR="001B673F" w:rsidRPr="004637C7" w:rsidRDefault="001B673F" w:rsidP="006B18FD">
            <w:pPr>
              <w:jc w:val="left"/>
              <w:cnfStyle w:val="000000000000" w:firstRow="0" w:lastRow="0" w:firstColumn="0" w:lastColumn="0" w:oddVBand="0" w:evenVBand="0" w:oddHBand="0" w:evenHBand="0" w:firstRowFirstColumn="0" w:firstRowLastColumn="0" w:lastRowFirstColumn="0" w:lastRowLastColumn="0"/>
              <w:rPr>
                <w:rFonts w:eastAsia="Calibri"/>
                <w:szCs w:val="20"/>
                <w:lang w:bidi="ar-SA"/>
              </w:rPr>
            </w:pPr>
          </w:p>
        </w:tc>
        <w:tc>
          <w:tcPr>
            <w:tcW w:w="0" w:type="auto"/>
            <w:vMerge/>
          </w:tcPr>
          <w:p w14:paraId="7F531ADF" w14:textId="77777777" w:rsidR="001B673F" w:rsidRPr="00481B02" w:rsidRDefault="001B673F" w:rsidP="006B18FD">
            <w:pPr>
              <w:jc w:val="center"/>
              <w:cnfStyle w:val="000000000000" w:firstRow="0" w:lastRow="0" w:firstColumn="0" w:lastColumn="0" w:oddVBand="0" w:evenVBand="0" w:oddHBand="0" w:evenHBand="0" w:firstRowFirstColumn="0" w:firstRowLastColumn="0" w:lastRowFirstColumn="0" w:lastRowLastColumn="0"/>
              <w:rPr>
                <w:szCs w:val="20"/>
                <w:lang w:eastAsia="fr-FR" w:bidi="ar-SA"/>
              </w:rPr>
            </w:pPr>
          </w:p>
        </w:tc>
        <w:tc>
          <w:tcPr>
            <w:tcW w:w="0" w:type="auto"/>
            <w:vMerge/>
          </w:tcPr>
          <w:p w14:paraId="323AEA2E" w14:textId="77777777" w:rsidR="001B673F" w:rsidRPr="00481B02" w:rsidRDefault="001B673F" w:rsidP="006B18FD">
            <w:pPr>
              <w:jc w:val="center"/>
              <w:cnfStyle w:val="000000000000" w:firstRow="0" w:lastRow="0" w:firstColumn="0" w:lastColumn="0" w:oddVBand="0" w:evenVBand="0" w:oddHBand="0" w:evenHBand="0" w:firstRowFirstColumn="0" w:firstRowLastColumn="0" w:lastRowFirstColumn="0" w:lastRowLastColumn="0"/>
              <w:rPr>
                <w:szCs w:val="20"/>
                <w:lang w:eastAsia="fr-FR" w:bidi="ar-SA"/>
              </w:rPr>
            </w:pPr>
          </w:p>
        </w:tc>
        <w:tc>
          <w:tcPr>
            <w:tcW w:w="0" w:type="auto"/>
            <w:vMerge/>
          </w:tcPr>
          <w:p w14:paraId="1936A248" w14:textId="77777777" w:rsidR="001B673F" w:rsidRPr="00481B02" w:rsidRDefault="001B673F" w:rsidP="006B18FD">
            <w:pPr>
              <w:jc w:val="center"/>
              <w:cnfStyle w:val="000000000000" w:firstRow="0" w:lastRow="0" w:firstColumn="0" w:lastColumn="0" w:oddVBand="0" w:evenVBand="0" w:oddHBand="0" w:evenHBand="0" w:firstRowFirstColumn="0" w:firstRowLastColumn="0" w:lastRowFirstColumn="0" w:lastRowLastColumn="0"/>
              <w:rPr>
                <w:szCs w:val="20"/>
                <w:lang w:eastAsia="fr-FR" w:bidi="ar-SA"/>
              </w:rPr>
            </w:pPr>
          </w:p>
        </w:tc>
        <w:tc>
          <w:tcPr>
            <w:tcW w:w="0" w:type="auto"/>
            <w:vMerge/>
          </w:tcPr>
          <w:p w14:paraId="5FFC6724" w14:textId="77777777" w:rsidR="001B673F" w:rsidRPr="004637C7" w:rsidRDefault="001B673F" w:rsidP="006B18FD">
            <w:pPr>
              <w:jc w:val="center"/>
              <w:cnfStyle w:val="000000000000" w:firstRow="0" w:lastRow="0" w:firstColumn="0" w:lastColumn="0" w:oddVBand="0" w:evenVBand="0" w:oddHBand="0" w:evenHBand="0" w:firstRowFirstColumn="0" w:firstRowLastColumn="0" w:lastRowFirstColumn="0" w:lastRowLastColumn="0"/>
              <w:rPr>
                <w:rFonts w:eastAsia="Calibri"/>
                <w:szCs w:val="20"/>
                <w:lang w:bidi="ar-SA"/>
              </w:rPr>
            </w:pPr>
          </w:p>
        </w:tc>
        <w:tc>
          <w:tcPr>
            <w:tcW w:w="0" w:type="auto"/>
            <w:tcBorders>
              <w:top w:val="single" w:sz="4" w:space="0" w:color="B4C6E7" w:themeColor="accent1" w:themeTint="66"/>
            </w:tcBorders>
          </w:tcPr>
          <w:p w14:paraId="710DB8C0" w14:textId="2491E6F1" w:rsidR="001B673F" w:rsidRPr="00481B02" w:rsidRDefault="001B673F" w:rsidP="006B18FD">
            <w:pPr>
              <w:jc w:val="left"/>
              <w:cnfStyle w:val="000000000000" w:firstRow="0" w:lastRow="0" w:firstColumn="0" w:lastColumn="0" w:oddVBand="0" w:evenVBand="0" w:oddHBand="0" w:evenHBand="0" w:firstRowFirstColumn="0" w:firstRowLastColumn="0" w:lastRowFirstColumn="0" w:lastRowLastColumn="0"/>
              <w:rPr>
                <w:rFonts w:eastAsia="Calibri"/>
                <w:szCs w:val="20"/>
                <w:lang w:bidi="ar-SA"/>
              </w:rPr>
            </w:pPr>
            <w:r w:rsidRPr="00481B02">
              <w:rPr>
                <w:rFonts w:eastAsia="Calibri"/>
                <w:szCs w:val="20"/>
                <w:lang w:bidi="ar-SA"/>
              </w:rPr>
              <w:t>Aucun coût spécifique</w:t>
            </w:r>
          </w:p>
        </w:tc>
      </w:tr>
      <w:tr w:rsidR="001B673F" w:rsidRPr="00911732" w14:paraId="43C5DF0A" w14:textId="77777777" w:rsidTr="00B96C3E">
        <w:trPr>
          <w:trHeight w:val="731"/>
        </w:trPr>
        <w:tc>
          <w:tcPr>
            <w:cnfStyle w:val="001000000000" w:firstRow="0" w:lastRow="0" w:firstColumn="1" w:lastColumn="0" w:oddVBand="0" w:evenVBand="0" w:oddHBand="0" w:evenHBand="0" w:firstRowFirstColumn="0" w:firstRowLastColumn="0" w:lastRowFirstColumn="0" w:lastRowLastColumn="0"/>
            <w:tcW w:w="0" w:type="auto"/>
            <w:vMerge/>
            <w:hideMark/>
          </w:tcPr>
          <w:p w14:paraId="22114A42" w14:textId="77777777" w:rsidR="001B673F" w:rsidRPr="004637C7" w:rsidRDefault="001B673F" w:rsidP="006B18FD">
            <w:pPr>
              <w:jc w:val="center"/>
              <w:rPr>
                <w:rFonts w:eastAsia="Calibri"/>
                <w:b w:val="0"/>
                <w:bCs w:val="0"/>
                <w:szCs w:val="20"/>
                <w:lang w:bidi="ar-SA"/>
              </w:rPr>
            </w:pPr>
          </w:p>
        </w:tc>
        <w:tc>
          <w:tcPr>
            <w:tcW w:w="0" w:type="auto"/>
            <w:vMerge w:val="restart"/>
            <w:hideMark/>
          </w:tcPr>
          <w:p w14:paraId="0C5A9255" w14:textId="77777777" w:rsidR="001B673F" w:rsidRPr="004637C7" w:rsidRDefault="001B673F" w:rsidP="006B18FD">
            <w:pPr>
              <w:jc w:val="left"/>
              <w:cnfStyle w:val="000000000000" w:firstRow="0" w:lastRow="0" w:firstColumn="0" w:lastColumn="0" w:oddVBand="0" w:evenVBand="0" w:oddHBand="0" w:evenHBand="0" w:firstRowFirstColumn="0" w:firstRowLastColumn="0" w:lastRowFirstColumn="0" w:lastRowLastColumn="0"/>
              <w:rPr>
                <w:rFonts w:eastAsia="Calibri"/>
                <w:szCs w:val="20"/>
                <w:lang w:bidi="ar-SA"/>
              </w:rPr>
            </w:pPr>
            <w:r w:rsidRPr="004637C7">
              <w:rPr>
                <w:rFonts w:eastAsia="Calibri"/>
                <w:szCs w:val="20"/>
                <w:lang w:bidi="ar-SA"/>
              </w:rPr>
              <w:t>Réduire</w:t>
            </w:r>
          </w:p>
        </w:tc>
        <w:tc>
          <w:tcPr>
            <w:tcW w:w="2585" w:type="dxa"/>
            <w:tcBorders>
              <w:bottom w:val="single" w:sz="4" w:space="0" w:color="B4C6E7" w:themeColor="accent1" w:themeTint="66"/>
            </w:tcBorders>
            <w:hideMark/>
          </w:tcPr>
          <w:p w14:paraId="09AC7DE1" w14:textId="0F7D1CE3" w:rsidR="001B673F" w:rsidRPr="004637C7" w:rsidRDefault="001B673F" w:rsidP="006B18FD">
            <w:pPr>
              <w:jc w:val="left"/>
              <w:cnfStyle w:val="000000000000" w:firstRow="0" w:lastRow="0" w:firstColumn="0" w:lastColumn="0" w:oddVBand="0" w:evenVBand="0" w:oddHBand="0" w:evenHBand="0" w:firstRowFirstColumn="0" w:firstRowLastColumn="0" w:lastRowFirstColumn="0" w:lastRowLastColumn="0"/>
              <w:rPr>
                <w:rFonts w:eastAsia="Calibri"/>
                <w:szCs w:val="20"/>
                <w:lang w:bidi="ar-SA"/>
              </w:rPr>
            </w:pPr>
            <w:r w:rsidRPr="004637C7">
              <w:rPr>
                <w:rFonts w:eastAsia="Calibri"/>
                <w:szCs w:val="20"/>
                <w:lang w:bidi="ar-SA"/>
              </w:rPr>
              <w:t xml:space="preserve">Créer un dispositif d’écoute psychosociale anonyme ; </w:t>
            </w:r>
          </w:p>
        </w:tc>
        <w:tc>
          <w:tcPr>
            <w:tcW w:w="1613" w:type="dxa"/>
            <w:vMerge w:val="restart"/>
            <w:hideMark/>
          </w:tcPr>
          <w:p w14:paraId="3FFFD533" w14:textId="77777777" w:rsidR="001B673F" w:rsidRPr="00481B02" w:rsidRDefault="001B673F" w:rsidP="006B18FD">
            <w:pPr>
              <w:jc w:val="left"/>
              <w:cnfStyle w:val="000000000000" w:firstRow="0" w:lastRow="0" w:firstColumn="0" w:lastColumn="0" w:oddVBand="0" w:evenVBand="0" w:oddHBand="0" w:evenHBand="0" w:firstRowFirstColumn="0" w:firstRowLastColumn="0" w:lastRowFirstColumn="0" w:lastRowLastColumn="0"/>
              <w:rPr>
                <w:rFonts w:eastAsia="Calibri"/>
                <w:szCs w:val="20"/>
                <w:lang w:bidi="ar-SA"/>
              </w:rPr>
            </w:pPr>
            <w:r w:rsidRPr="004637C7">
              <w:rPr>
                <w:rFonts w:eastAsia="Calibri"/>
                <w:szCs w:val="20"/>
                <w:lang w:bidi="ar-SA"/>
              </w:rPr>
              <w:t xml:space="preserve">Nb de séances </w:t>
            </w:r>
          </w:p>
          <w:p w14:paraId="3965E0A7" w14:textId="445D07C4" w:rsidR="001B673F" w:rsidRPr="004637C7" w:rsidRDefault="001B673F" w:rsidP="006B18FD">
            <w:pPr>
              <w:jc w:val="left"/>
              <w:cnfStyle w:val="000000000000" w:firstRow="0" w:lastRow="0" w:firstColumn="0" w:lastColumn="0" w:oddVBand="0" w:evenVBand="0" w:oddHBand="0" w:evenHBand="0" w:firstRowFirstColumn="0" w:firstRowLastColumn="0" w:lastRowFirstColumn="0" w:lastRowLastColumn="0"/>
              <w:rPr>
                <w:rFonts w:eastAsia="Calibri"/>
                <w:szCs w:val="20"/>
                <w:lang w:bidi="ar-SA"/>
              </w:rPr>
            </w:pPr>
            <w:r w:rsidRPr="004637C7">
              <w:rPr>
                <w:rFonts w:eastAsia="Calibri"/>
                <w:szCs w:val="20"/>
                <w:lang w:bidi="ar-SA"/>
              </w:rPr>
              <w:t>% d’encadrants formés</w:t>
            </w:r>
          </w:p>
        </w:tc>
        <w:tc>
          <w:tcPr>
            <w:tcW w:w="0" w:type="auto"/>
            <w:vMerge w:val="restart"/>
            <w:hideMark/>
          </w:tcPr>
          <w:p w14:paraId="14683E30" w14:textId="285B0453" w:rsidR="001B673F" w:rsidRPr="004637C7" w:rsidRDefault="001B673F" w:rsidP="006B18FD">
            <w:pPr>
              <w:jc w:val="center"/>
              <w:cnfStyle w:val="000000000000" w:firstRow="0" w:lastRow="0" w:firstColumn="0" w:lastColumn="0" w:oddVBand="0" w:evenVBand="0" w:oddHBand="0" w:evenHBand="0" w:firstRowFirstColumn="0" w:firstRowLastColumn="0" w:lastRowFirstColumn="0" w:lastRowLastColumn="0"/>
              <w:rPr>
                <w:rFonts w:eastAsia="Calibri"/>
                <w:szCs w:val="20"/>
                <w:lang w:bidi="ar-SA"/>
              </w:rPr>
            </w:pPr>
            <w:r w:rsidRPr="00481B02">
              <w:rPr>
                <w:szCs w:val="20"/>
                <w:lang w:eastAsia="fr-FR" w:bidi="ar-SA"/>
              </w:rPr>
              <w:t>ONDA / Exploitant</w:t>
            </w:r>
          </w:p>
        </w:tc>
        <w:tc>
          <w:tcPr>
            <w:tcW w:w="0" w:type="auto"/>
            <w:vMerge w:val="restart"/>
            <w:hideMark/>
          </w:tcPr>
          <w:p w14:paraId="7E2670E7" w14:textId="515B9593" w:rsidR="001B673F" w:rsidRPr="004637C7" w:rsidRDefault="001B673F" w:rsidP="006B18FD">
            <w:pPr>
              <w:jc w:val="center"/>
              <w:cnfStyle w:val="000000000000" w:firstRow="0" w:lastRow="0" w:firstColumn="0" w:lastColumn="0" w:oddVBand="0" w:evenVBand="0" w:oddHBand="0" w:evenHBand="0" w:firstRowFirstColumn="0" w:firstRowLastColumn="0" w:lastRowFirstColumn="0" w:lastRowLastColumn="0"/>
              <w:rPr>
                <w:rFonts w:eastAsia="Calibri"/>
                <w:szCs w:val="20"/>
                <w:lang w:bidi="ar-SA"/>
              </w:rPr>
            </w:pPr>
            <w:r w:rsidRPr="00481B02">
              <w:rPr>
                <w:szCs w:val="20"/>
                <w:lang w:eastAsia="fr-FR" w:bidi="ar-SA"/>
              </w:rPr>
              <w:t>ONDA</w:t>
            </w:r>
          </w:p>
        </w:tc>
        <w:tc>
          <w:tcPr>
            <w:tcW w:w="0" w:type="auto"/>
            <w:vMerge w:val="restart"/>
            <w:hideMark/>
          </w:tcPr>
          <w:p w14:paraId="23C65A56" w14:textId="7569072A" w:rsidR="001B673F" w:rsidRPr="004637C7" w:rsidRDefault="001B673F" w:rsidP="006B18FD">
            <w:pPr>
              <w:jc w:val="center"/>
              <w:cnfStyle w:val="000000000000" w:firstRow="0" w:lastRow="0" w:firstColumn="0" w:lastColumn="0" w:oddVBand="0" w:evenVBand="0" w:oddHBand="0" w:evenHBand="0" w:firstRowFirstColumn="0" w:firstRowLastColumn="0" w:lastRowFirstColumn="0" w:lastRowLastColumn="0"/>
              <w:rPr>
                <w:rFonts w:eastAsia="Calibri"/>
                <w:szCs w:val="20"/>
                <w:lang w:bidi="ar-SA"/>
              </w:rPr>
            </w:pPr>
            <w:r w:rsidRPr="00481B02">
              <w:rPr>
                <w:szCs w:val="20"/>
                <w:lang w:eastAsia="fr-FR" w:bidi="ar-SA"/>
              </w:rPr>
              <w:t>ONDA</w:t>
            </w:r>
          </w:p>
        </w:tc>
        <w:tc>
          <w:tcPr>
            <w:tcW w:w="0" w:type="auto"/>
            <w:vMerge w:val="restart"/>
            <w:hideMark/>
          </w:tcPr>
          <w:p w14:paraId="0B845802" w14:textId="77777777" w:rsidR="001B673F" w:rsidRPr="004637C7" w:rsidRDefault="001B673F" w:rsidP="006B18FD">
            <w:pPr>
              <w:jc w:val="center"/>
              <w:cnfStyle w:val="000000000000" w:firstRow="0" w:lastRow="0" w:firstColumn="0" w:lastColumn="0" w:oddVBand="0" w:evenVBand="0" w:oddHBand="0" w:evenHBand="0" w:firstRowFirstColumn="0" w:firstRowLastColumn="0" w:lastRowFirstColumn="0" w:lastRowLastColumn="0"/>
              <w:rPr>
                <w:rFonts w:eastAsia="Calibri"/>
                <w:szCs w:val="20"/>
                <w:lang w:bidi="ar-SA"/>
              </w:rPr>
            </w:pPr>
            <w:r w:rsidRPr="004637C7">
              <w:rPr>
                <w:rFonts w:eastAsia="Calibri"/>
                <w:szCs w:val="20"/>
                <w:lang w:bidi="ar-SA"/>
              </w:rPr>
              <w:t>Trimestriel</w:t>
            </w:r>
          </w:p>
        </w:tc>
        <w:tc>
          <w:tcPr>
            <w:tcW w:w="0" w:type="auto"/>
            <w:tcBorders>
              <w:bottom w:val="single" w:sz="4" w:space="0" w:color="B4C6E7" w:themeColor="accent1" w:themeTint="66"/>
            </w:tcBorders>
            <w:hideMark/>
          </w:tcPr>
          <w:p w14:paraId="6F30F221" w14:textId="7F95A395" w:rsidR="001B673F" w:rsidRPr="004637C7" w:rsidRDefault="001B673F" w:rsidP="00D60FC9">
            <w:pPr>
              <w:jc w:val="left"/>
              <w:cnfStyle w:val="000000000000" w:firstRow="0" w:lastRow="0" w:firstColumn="0" w:lastColumn="0" w:oddVBand="0" w:evenVBand="0" w:oddHBand="0" w:evenHBand="0" w:firstRowFirstColumn="0" w:firstRowLastColumn="0" w:lastRowFirstColumn="0" w:lastRowLastColumn="0"/>
              <w:rPr>
                <w:rFonts w:eastAsia="Calibri"/>
                <w:szCs w:val="20"/>
                <w:lang w:bidi="ar-SA"/>
              </w:rPr>
            </w:pPr>
            <w:r w:rsidRPr="001B673F">
              <w:rPr>
                <w:szCs w:val="20"/>
              </w:rPr>
              <w:t>6 000 MAD / mois</w:t>
            </w:r>
          </w:p>
        </w:tc>
      </w:tr>
      <w:tr w:rsidR="001B673F" w:rsidRPr="00911732" w14:paraId="7C950547" w14:textId="77777777" w:rsidTr="00B96C3E">
        <w:trPr>
          <w:trHeight w:val="753"/>
        </w:trPr>
        <w:tc>
          <w:tcPr>
            <w:cnfStyle w:val="001000000000" w:firstRow="0" w:lastRow="0" w:firstColumn="1" w:lastColumn="0" w:oddVBand="0" w:evenVBand="0" w:oddHBand="0" w:evenHBand="0" w:firstRowFirstColumn="0" w:firstRowLastColumn="0" w:lastRowFirstColumn="0" w:lastRowLastColumn="0"/>
            <w:tcW w:w="0" w:type="auto"/>
            <w:vMerge/>
          </w:tcPr>
          <w:p w14:paraId="3A2B8146" w14:textId="77777777" w:rsidR="001B673F" w:rsidRPr="004637C7" w:rsidRDefault="001B673F" w:rsidP="006B18FD">
            <w:pPr>
              <w:jc w:val="center"/>
              <w:rPr>
                <w:rFonts w:eastAsia="Calibri"/>
                <w:b w:val="0"/>
                <w:bCs w:val="0"/>
                <w:szCs w:val="20"/>
                <w:lang w:bidi="ar-SA"/>
              </w:rPr>
            </w:pPr>
          </w:p>
        </w:tc>
        <w:tc>
          <w:tcPr>
            <w:tcW w:w="0" w:type="auto"/>
            <w:vMerge/>
          </w:tcPr>
          <w:p w14:paraId="320B2B21" w14:textId="77777777" w:rsidR="001B673F" w:rsidRPr="004637C7" w:rsidRDefault="001B673F" w:rsidP="006B18FD">
            <w:pPr>
              <w:jc w:val="left"/>
              <w:cnfStyle w:val="000000000000" w:firstRow="0" w:lastRow="0" w:firstColumn="0" w:lastColumn="0" w:oddVBand="0" w:evenVBand="0" w:oddHBand="0" w:evenHBand="0" w:firstRowFirstColumn="0" w:firstRowLastColumn="0" w:lastRowFirstColumn="0" w:lastRowLastColumn="0"/>
              <w:rPr>
                <w:rFonts w:eastAsia="Calibri"/>
                <w:szCs w:val="20"/>
                <w:lang w:bidi="ar-SA"/>
              </w:rPr>
            </w:pPr>
          </w:p>
        </w:tc>
        <w:tc>
          <w:tcPr>
            <w:tcW w:w="2585" w:type="dxa"/>
            <w:tcBorders>
              <w:top w:val="single" w:sz="4" w:space="0" w:color="B4C6E7" w:themeColor="accent1" w:themeTint="66"/>
              <w:bottom w:val="single" w:sz="4" w:space="0" w:color="B4C6E7" w:themeColor="accent1" w:themeTint="66"/>
            </w:tcBorders>
          </w:tcPr>
          <w:p w14:paraId="71825C83" w14:textId="4CD8F5AF" w:rsidR="001B673F" w:rsidRPr="004637C7" w:rsidRDefault="001B673F" w:rsidP="006B18FD">
            <w:pPr>
              <w:jc w:val="left"/>
              <w:cnfStyle w:val="000000000000" w:firstRow="0" w:lastRow="0" w:firstColumn="0" w:lastColumn="0" w:oddVBand="0" w:evenVBand="0" w:oddHBand="0" w:evenHBand="0" w:firstRowFirstColumn="0" w:firstRowLastColumn="0" w:lastRowFirstColumn="0" w:lastRowLastColumn="0"/>
              <w:rPr>
                <w:rFonts w:eastAsia="Calibri"/>
                <w:szCs w:val="20"/>
                <w:lang w:bidi="ar-SA"/>
              </w:rPr>
            </w:pPr>
            <w:r w:rsidRPr="00481B02">
              <w:rPr>
                <w:rFonts w:eastAsia="Calibri"/>
                <w:szCs w:val="20"/>
                <w:lang w:bidi="ar-SA"/>
              </w:rPr>
              <w:t>F</w:t>
            </w:r>
            <w:r w:rsidRPr="004637C7">
              <w:rPr>
                <w:rFonts w:eastAsia="Calibri"/>
                <w:szCs w:val="20"/>
                <w:lang w:bidi="ar-SA"/>
              </w:rPr>
              <w:t xml:space="preserve">ormer les superviseurs à la gestion du stress ; </w:t>
            </w:r>
          </w:p>
        </w:tc>
        <w:tc>
          <w:tcPr>
            <w:tcW w:w="1613" w:type="dxa"/>
            <w:vMerge/>
          </w:tcPr>
          <w:p w14:paraId="31241164" w14:textId="77777777" w:rsidR="001B673F" w:rsidRPr="004637C7" w:rsidRDefault="001B673F" w:rsidP="006B18FD">
            <w:pPr>
              <w:jc w:val="left"/>
              <w:cnfStyle w:val="000000000000" w:firstRow="0" w:lastRow="0" w:firstColumn="0" w:lastColumn="0" w:oddVBand="0" w:evenVBand="0" w:oddHBand="0" w:evenHBand="0" w:firstRowFirstColumn="0" w:firstRowLastColumn="0" w:lastRowFirstColumn="0" w:lastRowLastColumn="0"/>
              <w:rPr>
                <w:rFonts w:eastAsia="Calibri"/>
                <w:szCs w:val="20"/>
                <w:lang w:bidi="ar-SA"/>
              </w:rPr>
            </w:pPr>
          </w:p>
        </w:tc>
        <w:tc>
          <w:tcPr>
            <w:tcW w:w="0" w:type="auto"/>
            <w:vMerge/>
          </w:tcPr>
          <w:p w14:paraId="4FBBF049" w14:textId="77777777" w:rsidR="001B673F" w:rsidRPr="00481B02" w:rsidRDefault="001B673F" w:rsidP="006B18FD">
            <w:pPr>
              <w:jc w:val="center"/>
              <w:cnfStyle w:val="000000000000" w:firstRow="0" w:lastRow="0" w:firstColumn="0" w:lastColumn="0" w:oddVBand="0" w:evenVBand="0" w:oddHBand="0" w:evenHBand="0" w:firstRowFirstColumn="0" w:firstRowLastColumn="0" w:lastRowFirstColumn="0" w:lastRowLastColumn="0"/>
              <w:rPr>
                <w:szCs w:val="20"/>
                <w:lang w:eastAsia="fr-FR" w:bidi="ar-SA"/>
              </w:rPr>
            </w:pPr>
          </w:p>
        </w:tc>
        <w:tc>
          <w:tcPr>
            <w:tcW w:w="0" w:type="auto"/>
            <w:vMerge/>
          </w:tcPr>
          <w:p w14:paraId="77FDFAE1" w14:textId="77777777" w:rsidR="001B673F" w:rsidRPr="00481B02" w:rsidRDefault="001B673F" w:rsidP="006B18FD">
            <w:pPr>
              <w:jc w:val="center"/>
              <w:cnfStyle w:val="000000000000" w:firstRow="0" w:lastRow="0" w:firstColumn="0" w:lastColumn="0" w:oddVBand="0" w:evenVBand="0" w:oddHBand="0" w:evenHBand="0" w:firstRowFirstColumn="0" w:firstRowLastColumn="0" w:lastRowFirstColumn="0" w:lastRowLastColumn="0"/>
              <w:rPr>
                <w:szCs w:val="20"/>
                <w:lang w:eastAsia="fr-FR" w:bidi="ar-SA"/>
              </w:rPr>
            </w:pPr>
          </w:p>
        </w:tc>
        <w:tc>
          <w:tcPr>
            <w:tcW w:w="0" w:type="auto"/>
            <w:vMerge/>
          </w:tcPr>
          <w:p w14:paraId="658E8C30" w14:textId="77777777" w:rsidR="001B673F" w:rsidRPr="00481B02" w:rsidRDefault="001B673F" w:rsidP="006B18FD">
            <w:pPr>
              <w:jc w:val="center"/>
              <w:cnfStyle w:val="000000000000" w:firstRow="0" w:lastRow="0" w:firstColumn="0" w:lastColumn="0" w:oddVBand="0" w:evenVBand="0" w:oddHBand="0" w:evenHBand="0" w:firstRowFirstColumn="0" w:firstRowLastColumn="0" w:lastRowFirstColumn="0" w:lastRowLastColumn="0"/>
              <w:rPr>
                <w:szCs w:val="20"/>
                <w:lang w:eastAsia="fr-FR" w:bidi="ar-SA"/>
              </w:rPr>
            </w:pPr>
          </w:p>
        </w:tc>
        <w:tc>
          <w:tcPr>
            <w:tcW w:w="0" w:type="auto"/>
            <w:vMerge/>
          </w:tcPr>
          <w:p w14:paraId="28A4F06B" w14:textId="77777777" w:rsidR="001B673F" w:rsidRPr="004637C7" w:rsidRDefault="001B673F" w:rsidP="006B18FD">
            <w:pPr>
              <w:jc w:val="center"/>
              <w:cnfStyle w:val="000000000000" w:firstRow="0" w:lastRow="0" w:firstColumn="0" w:lastColumn="0" w:oddVBand="0" w:evenVBand="0" w:oddHBand="0" w:evenHBand="0" w:firstRowFirstColumn="0" w:firstRowLastColumn="0" w:lastRowFirstColumn="0" w:lastRowLastColumn="0"/>
              <w:rPr>
                <w:rFonts w:eastAsia="Calibri"/>
                <w:szCs w:val="20"/>
                <w:lang w:bidi="ar-SA"/>
              </w:rPr>
            </w:pPr>
          </w:p>
        </w:tc>
        <w:tc>
          <w:tcPr>
            <w:tcW w:w="0" w:type="auto"/>
            <w:tcBorders>
              <w:top w:val="single" w:sz="4" w:space="0" w:color="B4C6E7" w:themeColor="accent1" w:themeTint="66"/>
              <w:bottom w:val="single" w:sz="4" w:space="0" w:color="B4C6E7" w:themeColor="accent1" w:themeTint="66"/>
            </w:tcBorders>
          </w:tcPr>
          <w:p w14:paraId="5AA810B0" w14:textId="7EE4B6E2" w:rsidR="001B673F" w:rsidRPr="00AA22F2" w:rsidRDefault="001B673F" w:rsidP="006B18FD">
            <w:pPr>
              <w:jc w:val="left"/>
              <w:cnfStyle w:val="000000000000" w:firstRow="0" w:lastRow="0" w:firstColumn="0" w:lastColumn="0" w:oddVBand="0" w:evenVBand="0" w:oddHBand="0" w:evenHBand="0" w:firstRowFirstColumn="0" w:firstRowLastColumn="0" w:lastRowFirstColumn="0" w:lastRowLastColumn="0"/>
              <w:rPr>
                <w:szCs w:val="20"/>
              </w:rPr>
            </w:pPr>
            <w:r w:rsidRPr="001B673F">
              <w:rPr>
                <w:szCs w:val="20"/>
              </w:rPr>
              <w:t>5 000 MAD / session</w:t>
            </w:r>
          </w:p>
        </w:tc>
      </w:tr>
      <w:tr w:rsidR="001B673F" w:rsidRPr="00911732" w14:paraId="14901508" w14:textId="77777777" w:rsidTr="00B96C3E">
        <w:trPr>
          <w:trHeight w:val="1015"/>
        </w:trPr>
        <w:tc>
          <w:tcPr>
            <w:cnfStyle w:val="001000000000" w:firstRow="0" w:lastRow="0" w:firstColumn="1" w:lastColumn="0" w:oddVBand="0" w:evenVBand="0" w:oddHBand="0" w:evenHBand="0" w:firstRowFirstColumn="0" w:firstRowLastColumn="0" w:lastRowFirstColumn="0" w:lastRowLastColumn="0"/>
            <w:tcW w:w="0" w:type="auto"/>
            <w:vMerge/>
          </w:tcPr>
          <w:p w14:paraId="53B0DB75" w14:textId="77777777" w:rsidR="001B673F" w:rsidRPr="004637C7" w:rsidRDefault="001B673F" w:rsidP="006B18FD">
            <w:pPr>
              <w:jc w:val="center"/>
              <w:rPr>
                <w:rFonts w:eastAsia="Calibri"/>
                <w:b w:val="0"/>
                <w:bCs w:val="0"/>
                <w:szCs w:val="20"/>
                <w:lang w:bidi="ar-SA"/>
              </w:rPr>
            </w:pPr>
          </w:p>
        </w:tc>
        <w:tc>
          <w:tcPr>
            <w:tcW w:w="0" w:type="auto"/>
            <w:vMerge/>
          </w:tcPr>
          <w:p w14:paraId="42DFE85A" w14:textId="77777777" w:rsidR="001B673F" w:rsidRPr="004637C7" w:rsidRDefault="001B673F" w:rsidP="006B18FD">
            <w:pPr>
              <w:jc w:val="left"/>
              <w:cnfStyle w:val="000000000000" w:firstRow="0" w:lastRow="0" w:firstColumn="0" w:lastColumn="0" w:oddVBand="0" w:evenVBand="0" w:oddHBand="0" w:evenHBand="0" w:firstRowFirstColumn="0" w:firstRowLastColumn="0" w:lastRowFirstColumn="0" w:lastRowLastColumn="0"/>
              <w:rPr>
                <w:rFonts w:eastAsia="Calibri"/>
                <w:szCs w:val="20"/>
                <w:lang w:bidi="ar-SA"/>
              </w:rPr>
            </w:pPr>
          </w:p>
        </w:tc>
        <w:tc>
          <w:tcPr>
            <w:tcW w:w="2585" w:type="dxa"/>
            <w:tcBorders>
              <w:top w:val="single" w:sz="4" w:space="0" w:color="B4C6E7" w:themeColor="accent1" w:themeTint="66"/>
            </w:tcBorders>
          </w:tcPr>
          <w:p w14:paraId="22E19E29" w14:textId="77777777" w:rsidR="001B673F" w:rsidRPr="00481B02" w:rsidRDefault="001B673F" w:rsidP="006B18FD">
            <w:pPr>
              <w:jc w:val="left"/>
              <w:cnfStyle w:val="000000000000" w:firstRow="0" w:lastRow="0" w:firstColumn="0" w:lastColumn="0" w:oddVBand="0" w:evenVBand="0" w:oddHBand="0" w:evenHBand="0" w:firstRowFirstColumn="0" w:firstRowLastColumn="0" w:lastRowFirstColumn="0" w:lastRowLastColumn="0"/>
              <w:rPr>
                <w:rFonts w:eastAsia="Calibri"/>
                <w:szCs w:val="20"/>
                <w:lang w:bidi="ar-SA"/>
              </w:rPr>
            </w:pPr>
            <w:r w:rsidRPr="00481B02">
              <w:rPr>
                <w:rFonts w:eastAsia="Calibri"/>
                <w:szCs w:val="20"/>
                <w:lang w:bidi="ar-SA"/>
              </w:rPr>
              <w:t>D</w:t>
            </w:r>
            <w:r w:rsidRPr="004637C7">
              <w:rPr>
                <w:rFonts w:eastAsia="Calibri"/>
                <w:szCs w:val="20"/>
                <w:lang w:bidi="ar-SA"/>
              </w:rPr>
              <w:t>iffuser des messages de sensibilisation sur la santé mentale.</w:t>
            </w:r>
          </w:p>
        </w:tc>
        <w:tc>
          <w:tcPr>
            <w:tcW w:w="1613" w:type="dxa"/>
            <w:vMerge/>
          </w:tcPr>
          <w:p w14:paraId="447D6017" w14:textId="77777777" w:rsidR="001B673F" w:rsidRPr="004637C7" w:rsidRDefault="001B673F" w:rsidP="006B18FD">
            <w:pPr>
              <w:jc w:val="left"/>
              <w:cnfStyle w:val="000000000000" w:firstRow="0" w:lastRow="0" w:firstColumn="0" w:lastColumn="0" w:oddVBand="0" w:evenVBand="0" w:oddHBand="0" w:evenHBand="0" w:firstRowFirstColumn="0" w:firstRowLastColumn="0" w:lastRowFirstColumn="0" w:lastRowLastColumn="0"/>
              <w:rPr>
                <w:rFonts w:eastAsia="Calibri"/>
                <w:szCs w:val="20"/>
                <w:lang w:bidi="ar-SA"/>
              </w:rPr>
            </w:pPr>
          </w:p>
        </w:tc>
        <w:tc>
          <w:tcPr>
            <w:tcW w:w="0" w:type="auto"/>
            <w:vMerge/>
          </w:tcPr>
          <w:p w14:paraId="18DC19FD" w14:textId="77777777" w:rsidR="001B673F" w:rsidRPr="00481B02" w:rsidRDefault="001B673F" w:rsidP="006B18FD">
            <w:pPr>
              <w:jc w:val="center"/>
              <w:cnfStyle w:val="000000000000" w:firstRow="0" w:lastRow="0" w:firstColumn="0" w:lastColumn="0" w:oddVBand="0" w:evenVBand="0" w:oddHBand="0" w:evenHBand="0" w:firstRowFirstColumn="0" w:firstRowLastColumn="0" w:lastRowFirstColumn="0" w:lastRowLastColumn="0"/>
              <w:rPr>
                <w:szCs w:val="20"/>
                <w:lang w:eastAsia="fr-FR" w:bidi="ar-SA"/>
              </w:rPr>
            </w:pPr>
          </w:p>
        </w:tc>
        <w:tc>
          <w:tcPr>
            <w:tcW w:w="0" w:type="auto"/>
            <w:vMerge/>
          </w:tcPr>
          <w:p w14:paraId="4EDDCB43" w14:textId="77777777" w:rsidR="001B673F" w:rsidRPr="00481B02" w:rsidRDefault="001B673F" w:rsidP="006B18FD">
            <w:pPr>
              <w:jc w:val="center"/>
              <w:cnfStyle w:val="000000000000" w:firstRow="0" w:lastRow="0" w:firstColumn="0" w:lastColumn="0" w:oddVBand="0" w:evenVBand="0" w:oddHBand="0" w:evenHBand="0" w:firstRowFirstColumn="0" w:firstRowLastColumn="0" w:lastRowFirstColumn="0" w:lastRowLastColumn="0"/>
              <w:rPr>
                <w:szCs w:val="20"/>
                <w:lang w:eastAsia="fr-FR" w:bidi="ar-SA"/>
              </w:rPr>
            </w:pPr>
          </w:p>
        </w:tc>
        <w:tc>
          <w:tcPr>
            <w:tcW w:w="0" w:type="auto"/>
            <w:vMerge/>
          </w:tcPr>
          <w:p w14:paraId="2DCBA6B4" w14:textId="77777777" w:rsidR="001B673F" w:rsidRPr="00481B02" w:rsidRDefault="001B673F" w:rsidP="006B18FD">
            <w:pPr>
              <w:jc w:val="center"/>
              <w:cnfStyle w:val="000000000000" w:firstRow="0" w:lastRow="0" w:firstColumn="0" w:lastColumn="0" w:oddVBand="0" w:evenVBand="0" w:oddHBand="0" w:evenHBand="0" w:firstRowFirstColumn="0" w:firstRowLastColumn="0" w:lastRowFirstColumn="0" w:lastRowLastColumn="0"/>
              <w:rPr>
                <w:szCs w:val="20"/>
                <w:lang w:eastAsia="fr-FR" w:bidi="ar-SA"/>
              </w:rPr>
            </w:pPr>
          </w:p>
        </w:tc>
        <w:tc>
          <w:tcPr>
            <w:tcW w:w="0" w:type="auto"/>
            <w:vMerge/>
          </w:tcPr>
          <w:p w14:paraId="78C7074D" w14:textId="77777777" w:rsidR="001B673F" w:rsidRPr="004637C7" w:rsidRDefault="001B673F" w:rsidP="006B18FD">
            <w:pPr>
              <w:jc w:val="center"/>
              <w:cnfStyle w:val="000000000000" w:firstRow="0" w:lastRow="0" w:firstColumn="0" w:lastColumn="0" w:oddVBand="0" w:evenVBand="0" w:oddHBand="0" w:evenHBand="0" w:firstRowFirstColumn="0" w:firstRowLastColumn="0" w:lastRowFirstColumn="0" w:lastRowLastColumn="0"/>
              <w:rPr>
                <w:rFonts w:eastAsia="Calibri"/>
                <w:szCs w:val="20"/>
                <w:lang w:bidi="ar-SA"/>
              </w:rPr>
            </w:pPr>
          </w:p>
        </w:tc>
        <w:tc>
          <w:tcPr>
            <w:tcW w:w="0" w:type="auto"/>
            <w:tcBorders>
              <w:top w:val="single" w:sz="4" w:space="0" w:color="B4C6E7" w:themeColor="accent1" w:themeTint="66"/>
            </w:tcBorders>
          </w:tcPr>
          <w:p w14:paraId="067012DB" w14:textId="7CAB7E00" w:rsidR="001B673F" w:rsidRPr="00AA22F2" w:rsidRDefault="001B673F" w:rsidP="006B18FD">
            <w:pPr>
              <w:jc w:val="left"/>
              <w:cnfStyle w:val="000000000000" w:firstRow="0" w:lastRow="0" w:firstColumn="0" w:lastColumn="0" w:oddVBand="0" w:evenVBand="0" w:oddHBand="0" w:evenHBand="0" w:firstRowFirstColumn="0" w:firstRowLastColumn="0" w:lastRowFirstColumn="0" w:lastRowLastColumn="0"/>
              <w:rPr>
                <w:szCs w:val="20"/>
              </w:rPr>
            </w:pPr>
            <w:r w:rsidRPr="001B673F">
              <w:rPr>
                <w:szCs w:val="20"/>
              </w:rPr>
              <w:t>1 000 MAD / lot de supports</w:t>
            </w:r>
          </w:p>
        </w:tc>
      </w:tr>
      <w:tr w:rsidR="001B673F" w:rsidRPr="00911732" w14:paraId="432CA675" w14:textId="77777777" w:rsidTr="001B673F">
        <w:trPr>
          <w:trHeight w:val="1025"/>
        </w:trPr>
        <w:tc>
          <w:tcPr>
            <w:cnfStyle w:val="001000000000" w:firstRow="0" w:lastRow="0" w:firstColumn="1" w:lastColumn="0" w:oddVBand="0" w:evenVBand="0" w:oddHBand="0" w:evenHBand="0" w:firstRowFirstColumn="0" w:firstRowLastColumn="0" w:lastRowFirstColumn="0" w:lastRowLastColumn="0"/>
            <w:tcW w:w="0" w:type="auto"/>
            <w:vMerge/>
            <w:hideMark/>
          </w:tcPr>
          <w:p w14:paraId="190A50A3" w14:textId="77777777" w:rsidR="001B673F" w:rsidRPr="004637C7" w:rsidRDefault="001B673F" w:rsidP="006B18FD">
            <w:pPr>
              <w:jc w:val="center"/>
              <w:rPr>
                <w:rFonts w:eastAsia="Calibri"/>
                <w:b w:val="0"/>
                <w:bCs w:val="0"/>
                <w:szCs w:val="20"/>
                <w:lang w:bidi="ar-SA"/>
              </w:rPr>
            </w:pPr>
          </w:p>
        </w:tc>
        <w:tc>
          <w:tcPr>
            <w:tcW w:w="0" w:type="auto"/>
            <w:vMerge w:val="restart"/>
            <w:hideMark/>
          </w:tcPr>
          <w:p w14:paraId="3BC43410" w14:textId="77777777" w:rsidR="001B673F" w:rsidRPr="004637C7" w:rsidRDefault="001B673F" w:rsidP="006B18FD">
            <w:pPr>
              <w:jc w:val="left"/>
              <w:cnfStyle w:val="000000000000" w:firstRow="0" w:lastRow="0" w:firstColumn="0" w:lastColumn="0" w:oddVBand="0" w:evenVBand="0" w:oddHBand="0" w:evenHBand="0" w:firstRowFirstColumn="0" w:firstRowLastColumn="0" w:lastRowFirstColumn="0" w:lastRowLastColumn="0"/>
              <w:rPr>
                <w:rFonts w:eastAsia="Calibri"/>
                <w:szCs w:val="20"/>
                <w:lang w:bidi="ar-SA"/>
              </w:rPr>
            </w:pPr>
            <w:r w:rsidRPr="004637C7">
              <w:rPr>
                <w:rFonts w:eastAsia="Calibri"/>
                <w:szCs w:val="20"/>
                <w:lang w:bidi="ar-SA"/>
              </w:rPr>
              <w:t>Atténuer</w:t>
            </w:r>
          </w:p>
        </w:tc>
        <w:tc>
          <w:tcPr>
            <w:tcW w:w="2585" w:type="dxa"/>
            <w:tcBorders>
              <w:bottom w:val="single" w:sz="4" w:space="0" w:color="B4C6E7" w:themeColor="accent1" w:themeTint="66"/>
            </w:tcBorders>
            <w:hideMark/>
          </w:tcPr>
          <w:p w14:paraId="710E2226" w14:textId="071C8DA6" w:rsidR="001B673F" w:rsidRPr="004637C7" w:rsidRDefault="001B673F" w:rsidP="006B18FD">
            <w:pPr>
              <w:jc w:val="left"/>
              <w:cnfStyle w:val="000000000000" w:firstRow="0" w:lastRow="0" w:firstColumn="0" w:lastColumn="0" w:oddVBand="0" w:evenVBand="0" w:oddHBand="0" w:evenHBand="0" w:firstRowFirstColumn="0" w:firstRowLastColumn="0" w:lastRowFirstColumn="0" w:lastRowLastColumn="0"/>
              <w:rPr>
                <w:rFonts w:eastAsia="Calibri"/>
                <w:szCs w:val="20"/>
                <w:lang w:bidi="ar-SA"/>
              </w:rPr>
            </w:pPr>
            <w:r w:rsidRPr="004637C7">
              <w:rPr>
                <w:rFonts w:eastAsia="Calibri"/>
                <w:szCs w:val="20"/>
                <w:lang w:bidi="ar-SA"/>
              </w:rPr>
              <w:t xml:space="preserve">Aménager des espaces de détente climatisés et un coin restauration nocturne ; </w:t>
            </w:r>
          </w:p>
        </w:tc>
        <w:tc>
          <w:tcPr>
            <w:tcW w:w="1613" w:type="dxa"/>
            <w:vMerge w:val="restart"/>
            <w:hideMark/>
          </w:tcPr>
          <w:p w14:paraId="049E4D97" w14:textId="77777777" w:rsidR="001B673F" w:rsidRPr="00481B02" w:rsidRDefault="001B673F" w:rsidP="006B18FD">
            <w:pPr>
              <w:jc w:val="left"/>
              <w:cnfStyle w:val="000000000000" w:firstRow="0" w:lastRow="0" w:firstColumn="0" w:lastColumn="0" w:oddVBand="0" w:evenVBand="0" w:oddHBand="0" w:evenHBand="0" w:firstRowFirstColumn="0" w:firstRowLastColumn="0" w:lastRowFirstColumn="0" w:lastRowLastColumn="0"/>
              <w:rPr>
                <w:rFonts w:eastAsia="Calibri"/>
                <w:szCs w:val="20"/>
                <w:lang w:bidi="ar-SA"/>
              </w:rPr>
            </w:pPr>
            <w:r w:rsidRPr="004637C7">
              <w:rPr>
                <w:rFonts w:eastAsia="Calibri"/>
                <w:szCs w:val="20"/>
                <w:lang w:bidi="ar-SA"/>
              </w:rPr>
              <w:t xml:space="preserve">Nb d’espaces </w:t>
            </w:r>
          </w:p>
          <w:p w14:paraId="464111ED" w14:textId="387F3EF0" w:rsidR="001B673F" w:rsidRPr="004637C7" w:rsidRDefault="001B673F" w:rsidP="006B18FD">
            <w:pPr>
              <w:jc w:val="left"/>
              <w:cnfStyle w:val="000000000000" w:firstRow="0" w:lastRow="0" w:firstColumn="0" w:lastColumn="0" w:oddVBand="0" w:evenVBand="0" w:oddHBand="0" w:evenHBand="0" w:firstRowFirstColumn="0" w:firstRowLastColumn="0" w:lastRowFirstColumn="0" w:lastRowLastColumn="0"/>
              <w:rPr>
                <w:rFonts w:eastAsia="Calibri"/>
                <w:szCs w:val="20"/>
                <w:lang w:bidi="ar-SA"/>
              </w:rPr>
            </w:pPr>
            <w:r w:rsidRPr="004637C7">
              <w:rPr>
                <w:rFonts w:eastAsia="Calibri"/>
                <w:szCs w:val="20"/>
                <w:lang w:bidi="ar-SA"/>
              </w:rPr>
              <w:t>Nb d’activités</w:t>
            </w:r>
          </w:p>
        </w:tc>
        <w:tc>
          <w:tcPr>
            <w:tcW w:w="0" w:type="auto"/>
            <w:vMerge w:val="restart"/>
            <w:hideMark/>
          </w:tcPr>
          <w:p w14:paraId="49599055" w14:textId="0D895A27" w:rsidR="001B673F" w:rsidRPr="004637C7" w:rsidRDefault="001B673F" w:rsidP="006B18FD">
            <w:pPr>
              <w:jc w:val="center"/>
              <w:cnfStyle w:val="000000000000" w:firstRow="0" w:lastRow="0" w:firstColumn="0" w:lastColumn="0" w:oddVBand="0" w:evenVBand="0" w:oddHBand="0" w:evenHBand="0" w:firstRowFirstColumn="0" w:firstRowLastColumn="0" w:lastRowFirstColumn="0" w:lastRowLastColumn="0"/>
              <w:rPr>
                <w:rFonts w:eastAsia="Calibri"/>
                <w:szCs w:val="20"/>
                <w:lang w:bidi="ar-SA"/>
              </w:rPr>
            </w:pPr>
            <w:r w:rsidRPr="00481B02">
              <w:rPr>
                <w:szCs w:val="20"/>
                <w:lang w:eastAsia="fr-FR" w:bidi="ar-SA"/>
              </w:rPr>
              <w:t>ONDA / Exploitant</w:t>
            </w:r>
          </w:p>
        </w:tc>
        <w:tc>
          <w:tcPr>
            <w:tcW w:w="0" w:type="auto"/>
            <w:vMerge w:val="restart"/>
            <w:hideMark/>
          </w:tcPr>
          <w:p w14:paraId="0C02E18D" w14:textId="4C787D0D" w:rsidR="001B673F" w:rsidRPr="004637C7" w:rsidRDefault="001B673F" w:rsidP="006B18FD">
            <w:pPr>
              <w:jc w:val="center"/>
              <w:cnfStyle w:val="000000000000" w:firstRow="0" w:lastRow="0" w:firstColumn="0" w:lastColumn="0" w:oddVBand="0" w:evenVBand="0" w:oddHBand="0" w:evenHBand="0" w:firstRowFirstColumn="0" w:firstRowLastColumn="0" w:lastRowFirstColumn="0" w:lastRowLastColumn="0"/>
              <w:rPr>
                <w:rFonts w:eastAsia="Calibri"/>
                <w:szCs w:val="20"/>
                <w:lang w:bidi="ar-SA"/>
              </w:rPr>
            </w:pPr>
            <w:r w:rsidRPr="00481B02">
              <w:rPr>
                <w:szCs w:val="20"/>
                <w:lang w:eastAsia="fr-FR" w:bidi="ar-SA"/>
              </w:rPr>
              <w:t>ONDA</w:t>
            </w:r>
          </w:p>
        </w:tc>
        <w:tc>
          <w:tcPr>
            <w:tcW w:w="0" w:type="auto"/>
            <w:vMerge w:val="restart"/>
            <w:hideMark/>
          </w:tcPr>
          <w:p w14:paraId="65939B70" w14:textId="41C19495" w:rsidR="001B673F" w:rsidRPr="004637C7" w:rsidRDefault="001B673F" w:rsidP="006B18FD">
            <w:pPr>
              <w:jc w:val="center"/>
              <w:cnfStyle w:val="000000000000" w:firstRow="0" w:lastRow="0" w:firstColumn="0" w:lastColumn="0" w:oddVBand="0" w:evenVBand="0" w:oddHBand="0" w:evenHBand="0" w:firstRowFirstColumn="0" w:firstRowLastColumn="0" w:lastRowFirstColumn="0" w:lastRowLastColumn="0"/>
              <w:rPr>
                <w:rFonts w:eastAsia="Calibri"/>
                <w:szCs w:val="20"/>
                <w:lang w:bidi="ar-SA"/>
              </w:rPr>
            </w:pPr>
            <w:r w:rsidRPr="00481B02">
              <w:rPr>
                <w:szCs w:val="20"/>
                <w:lang w:eastAsia="fr-FR" w:bidi="ar-SA"/>
              </w:rPr>
              <w:t>ONDA</w:t>
            </w:r>
          </w:p>
        </w:tc>
        <w:tc>
          <w:tcPr>
            <w:tcW w:w="0" w:type="auto"/>
            <w:vMerge w:val="restart"/>
            <w:hideMark/>
          </w:tcPr>
          <w:p w14:paraId="6ABF00E2" w14:textId="77777777" w:rsidR="001B673F" w:rsidRPr="004637C7" w:rsidRDefault="001B673F" w:rsidP="006B18FD">
            <w:pPr>
              <w:jc w:val="center"/>
              <w:cnfStyle w:val="000000000000" w:firstRow="0" w:lastRow="0" w:firstColumn="0" w:lastColumn="0" w:oddVBand="0" w:evenVBand="0" w:oddHBand="0" w:evenHBand="0" w:firstRowFirstColumn="0" w:firstRowLastColumn="0" w:lastRowFirstColumn="0" w:lastRowLastColumn="0"/>
              <w:rPr>
                <w:rFonts w:eastAsia="Calibri"/>
                <w:szCs w:val="20"/>
                <w:lang w:bidi="ar-SA"/>
              </w:rPr>
            </w:pPr>
            <w:r w:rsidRPr="004637C7">
              <w:rPr>
                <w:rFonts w:eastAsia="Calibri"/>
                <w:szCs w:val="20"/>
                <w:lang w:bidi="ar-SA"/>
              </w:rPr>
              <w:t>Semestriel</w:t>
            </w:r>
          </w:p>
        </w:tc>
        <w:tc>
          <w:tcPr>
            <w:tcW w:w="0" w:type="auto"/>
            <w:tcBorders>
              <w:bottom w:val="single" w:sz="4" w:space="0" w:color="B4C6E7" w:themeColor="accent1" w:themeTint="66"/>
            </w:tcBorders>
            <w:hideMark/>
          </w:tcPr>
          <w:p w14:paraId="3C91DF34" w14:textId="2AB18FD4" w:rsidR="001B673F" w:rsidRPr="004637C7" w:rsidRDefault="002A2FCF" w:rsidP="00D60FC9">
            <w:pPr>
              <w:jc w:val="left"/>
              <w:cnfStyle w:val="000000000000" w:firstRow="0" w:lastRow="0" w:firstColumn="0" w:lastColumn="0" w:oddVBand="0" w:evenVBand="0" w:oddHBand="0" w:evenHBand="0" w:firstRowFirstColumn="0" w:firstRowLastColumn="0" w:lastRowFirstColumn="0" w:lastRowLastColumn="0"/>
              <w:rPr>
                <w:rFonts w:eastAsia="Calibri"/>
                <w:szCs w:val="20"/>
                <w:lang w:bidi="ar-SA"/>
              </w:rPr>
            </w:pPr>
            <w:r w:rsidRPr="002A2FCF">
              <w:rPr>
                <w:szCs w:val="20"/>
              </w:rPr>
              <w:t>≈ 10 000 MAD / espace</w:t>
            </w:r>
          </w:p>
        </w:tc>
      </w:tr>
      <w:tr w:rsidR="001B673F" w:rsidRPr="00911732" w14:paraId="4D7F5C4B" w14:textId="77777777" w:rsidTr="001B673F">
        <w:trPr>
          <w:trHeight w:val="742"/>
        </w:trPr>
        <w:tc>
          <w:tcPr>
            <w:cnfStyle w:val="001000000000" w:firstRow="0" w:lastRow="0" w:firstColumn="1" w:lastColumn="0" w:oddVBand="0" w:evenVBand="0" w:oddHBand="0" w:evenHBand="0" w:firstRowFirstColumn="0" w:firstRowLastColumn="0" w:lastRowFirstColumn="0" w:lastRowLastColumn="0"/>
            <w:tcW w:w="0" w:type="auto"/>
            <w:vMerge/>
          </w:tcPr>
          <w:p w14:paraId="5EC75A3A" w14:textId="77777777" w:rsidR="001B673F" w:rsidRPr="004637C7" w:rsidRDefault="001B673F" w:rsidP="006B18FD">
            <w:pPr>
              <w:jc w:val="center"/>
              <w:rPr>
                <w:rFonts w:eastAsia="Calibri"/>
                <w:b w:val="0"/>
                <w:bCs w:val="0"/>
                <w:szCs w:val="20"/>
                <w:lang w:bidi="ar-SA"/>
              </w:rPr>
            </w:pPr>
          </w:p>
        </w:tc>
        <w:tc>
          <w:tcPr>
            <w:tcW w:w="0" w:type="auto"/>
            <w:vMerge/>
          </w:tcPr>
          <w:p w14:paraId="20DD5710" w14:textId="77777777" w:rsidR="001B673F" w:rsidRPr="004637C7" w:rsidRDefault="001B673F" w:rsidP="006B18FD">
            <w:pPr>
              <w:jc w:val="left"/>
              <w:cnfStyle w:val="000000000000" w:firstRow="0" w:lastRow="0" w:firstColumn="0" w:lastColumn="0" w:oddVBand="0" w:evenVBand="0" w:oddHBand="0" w:evenHBand="0" w:firstRowFirstColumn="0" w:firstRowLastColumn="0" w:lastRowFirstColumn="0" w:lastRowLastColumn="0"/>
              <w:rPr>
                <w:rFonts w:eastAsia="Calibri"/>
                <w:szCs w:val="20"/>
                <w:lang w:bidi="ar-SA"/>
              </w:rPr>
            </w:pPr>
          </w:p>
        </w:tc>
        <w:tc>
          <w:tcPr>
            <w:tcW w:w="2585" w:type="dxa"/>
            <w:tcBorders>
              <w:top w:val="single" w:sz="4" w:space="0" w:color="B4C6E7" w:themeColor="accent1" w:themeTint="66"/>
            </w:tcBorders>
          </w:tcPr>
          <w:p w14:paraId="6661BB2E" w14:textId="77777777" w:rsidR="001B673F" w:rsidRPr="004637C7" w:rsidRDefault="001B673F" w:rsidP="001B673F">
            <w:pPr>
              <w:jc w:val="left"/>
              <w:cnfStyle w:val="000000000000" w:firstRow="0" w:lastRow="0" w:firstColumn="0" w:lastColumn="0" w:oddVBand="0" w:evenVBand="0" w:oddHBand="0" w:evenHBand="0" w:firstRowFirstColumn="0" w:firstRowLastColumn="0" w:lastRowFirstColumn="0" w:lastRowLastColumn="0"/>
              <w:rPr>
                <w:rFonts w:eastAsia="Calibri"/>
                <w:szCs w:val="20"/>
                <w:lang w:bidi="ar-SA"/>
              </w:rPr>
            </w:pPr>
            <w:r w:rsidRPr="00481B02">
              <w:rPr>
                <w:rFonts w:eastAsia="Calibri"/>
                <w:szCs w:val="20"/>
                <w:lang w:bidi="ar-SA"/>
              </w:rPr>
              <w:t>O</w:t>
            </w:r>
            <w:r w:rsidRPr="004637C7">
              <w:rPr>
                <w:rFonts w:eastAsia="Calibri"/>
                <w:szCs w:val="20"/>
                <w:lang w:bidi="ar-SA"/>
              </w:rPr>
              <w:t>rganiser des activités sociales.</w:t>
            </w:r>
          </w:p>
        </w:tc>
        <w:tc>
          <w:tcPr>
            <w:tcW w:w="1613" w:type="dxa"/>
            <w:vMerge/>
          </w:tcPr>
          <w:p w14:paraId="4E56C0A8" w14:textId="77777777" w:rsidR="001B673F" w:rsidRPr="004637C7" w:rsidRDefault="001B673F" w:rsidP="006B18FD">
            <w:pPr>
              <w:jc w:val="left"/>
              <w:cnfStyle w:val="000000000000" w:firstRow="0" w:lastRow="0" w:firstColumn="0" w:lastColumn="0" w:oddVBand="0" w:evenVBand="0" w:oddHBand="0" w:evenHBand="0" w:firstRowFirstColumn="0" w:firstRowLastColumn="0" w:lastRowFirstColumn="0" w:lastRowLastColumn="0"/>
              <w:rPr>
                <w:rFonts w:eastAsia="Calibri"/>
                <w:szCs w:val="20"/>
                <w:lang w:bidi="ar-SA"/>
              </w:rPr>
            </w:pPr>
          </w:p>
        </w:tc>
        <w:tc>
          <w:tcPr>
            <w:tcW w:w="0" w:type="auto"/>
            <w:vMerge/>
          </w:tcPr>
          <w:p w14:paraId="7129CAEA" w14:textId="77777777" w:rsidR="001B673F" w:rsidRPr="00481B02" w:rsidRDefault="001B673F" w:rsidP="006B18FD">
            <w:pPr>
              <w:jc w:val="center"/>
              <w:cnfStyle w:val="000000000000" w:firstRow="0" w:lastRow="0" w:firstColumn="0" w:lastColumn="0" w:oddVBand="0" w:evenVBand="0" w:oddHBand="0" w:evenHBand="0" w:firstRowFirstColumn="0" w:firstRowLastColumn="0" w:lastRowFirstColumn="0" w:lastRowLastColumn="0"/>
              <w:rPr>
                <w:szCs w:val="20"/>
                <w:lang w:eastAsia="fr-FR" w:bidi="ar-SA"/>
              </w:rPr>
            </w:pPr>
          </w:p>
        </w:tc>
        <w:tc>
          <w:tcPr>
            <w:tcW w:w="0" w:type="auto"/>
            <w:vMerge/>
          </w:tcPr>
          <w:p w14:paraId="6B5A63B3" w14:textId="77777777" w:rsidR="001B673F" w:rsidRPr="00481B02" w:rsidRDefault="001B673F" w:rsidP="006B18FD">
            <w:pPr>
              <w:jc w:val="center"/>
              <w:cnfStyle w:val="000000000000" w:firstRow="0" w:lastRow="0" w:firstColumn="0" w:lastColumn="0" w:oddVBand="0" w:evenVBand="0" w:oddHBand="0" w:evenHBand="0" w:firstRowFirstColumn="0" w:firstRowLastColumn="0" w:lastRowFirstColumn="0" w:lastRowLastColumn="0"/>
              <w:rPr>
                <w:szCs w:val="20"/>
                <w:lang w:eastAsia="fr-FR" w:bidi="ar-SA"/>
              </w:rPr>
            </w:pPr>
          </w:p>
        </w:tc>
        <w:tc>
          <w:tcPr>
            <w:tcW w:w="0" w:type="auto"/>
            <w:vMerge/>
          </w:tcPr>
          <w:p w14:paraId="05AFAB10" w14:textId="77777777" w:rsidR="001B673F" w:rsidRPr="00481B02" w:rsidRDefault="001B673F" w:rsidP="006B18FD">
            <w:pPr>
              <w:jc w:val="center"/>
              <w:cnfStyle w:val="000000000000" w:firstRow="0" w:lastRow="0" w:firstColumn="0" w:lastColumn="0" w:oddVBand="0" w:evenVBand="0" w:oddHBand="0" w:evenHBand="0" w:firstRowFirstColumn="0" w:firstRowLastColumn="0" w:lastRowFirstColumn="0" w:lastRowLastColumn="0"/>
              <w:rPr>
                <w:szCs w:val="20"/>
                <w:lang w:eastAsia="fr-FR" w:bidi="ar-SA"/>
              </w:rPr>
            </w:pPr>
          </w:p>
        </w:tc>
        <w:tc>
          <w:tcPr>
            <w:tcW w:w="0" w:type="auto"/>
            <w:vMerge/>
          </w:tcPr>
          <w:p w14:paraId="3F4240FB" w14:textId="77777777" w:rsidR="001B673F" w:rsidRPr="004637C7" w:rsidRDefault="001B673F" w:rsidP="006B18FD">
            <w:pPr>
              <w:jc w:val="center"/>
              <w:cnfStyle w:val="000000000000" w:firstRow="0" w:lastRow="0" w:firstColumn="0" w:lastColumn="0" w:oddVBand="0" w:evenVBand="0" w:oddHBand="0" w:evenHBand="0" w:firstRowFirstColumn="0" w:firstRowLastColumn="0" w:lastRowFirstColumn="0" w:lastRowLastColumn="0"/>
              <w:rPr>
                <w:rFonts w:eastAsia="Calibri"/>
                <w:szCs w:val="20"/>
                <w:lang w:bidi="ar-SA"/>
              </w:rPr>
            </w:pPr>
          </w:p>
        </w:tc>
        <w:tc>
          <w:tcPr>
            <w:tcW w:w="0" w:type="auto"/>
            <w:tcBorders>
              <w:top w:val="single" w:sz="4" w:space="0" w:color="B4C6E7" w:themeColor="accent1" w:themeTint="66"/>
            </w:tcBorders>
          </w:tcPr>
          <w:p w14:paraId="6BC3B18D" w14:textId="7EF6DD22" w:rsidR="001B673F" w:rsidRPr="00AA22F2" w:rsidRDefault="002A2FCF" w:rsidP="006B18FD">
            <w:pPr>
              <w:jc w:val="left"/>
              <w:cnfStyle w:val="000000000000" w:firstRow="0" w:lastRow="0" w:firstColumn="0" w:lastColumn="0" w:oddVBand="0" w:evenVBand="0" w:oddHBand="0" w:evenHBand="0" w:firstRowFirstColumn="0" w:firstRowLastColumn="0" w:lastRowFirstColumn="0" w:lastRowLastColumn="0"/>
              <w:rPr>
                <w:szCs w:val="20"/>
              </w:rPr>
            </w:pPr>
            <w:r w:rsidRPr="002A2FCF">
              <w:rPr>
                <w:szCs w:val="20"/>
              </w:rPr>
              <w:t>2 000 MAD / activité</w:t>
            </w:r>
          </w:p>
        </w:tc>
      </w:tr>
      <w:tr w:rsidR="001B673F" w:rsidRPr="00911732" w14:paraId="6512F831" w14:textId="77777777" w:rsidTr="005A7661">
        <w:trPr>
          <w:trHeight w:val="1189"/>
        </w:trPr>
        <w:tc>
          <w:tcPr>
            <w:cnfStyle w:val="001000000000" w:firstRow="0" w:lastRow="0" w:firstColumn="1" w:lastColumn="0" w:oddVBand="0" w:evenVBand="0" w:oddHBand="0" w:evenHBand="0" w:firstRowFirstColumn="0" w:firstRowLastColumn="0" w:lastRowFirstColumn="0" w:lastRowLastColumn="0"/>
            <w:tcW w:w="0" w:type="auto"/>
            <w:vMerge/>
            <w:hideMark/>
          </w:tcPr>
          <w:p w14:paraId="22FAA4CE" w14:textId="77777777" w:rsidR="001B673F" w:rsidRPr="004637C7" w:rsidRDefault="001B673F" w:rsidP="006B18FD">
            <w:pPr>
              <w:jc w:val="center"/>
              <w:rPr>
                <w:rFonts w:eastAsia="Calibri"/>
                <w:b w:val="0"/>
                <w:bCs w:val="0"/>
                <w:szCs w:val="20"/>
                <w:lang w:bidi="ar-SA"/>
              </w:rPr>
            </w:pPr>
          </w:p>
        </w:tc>
        <w:tc>
          <w:tcPr>
            <w:tcW w:w="0" w:type="auto"/>
            <w:vMerge w:val="restart"/>
            <w:hideMark/>
          </w:tcPr>
          <w:p w14:paraId="04914590" w14:textId="77777777" w:rsidR="001B673F" w:rsidRPr="004637C7" w:rsidRDefault="001B673F" w:rsidP="006B18FD">
            <w:pPr>
              <w:jc w:val="left"/>
              <w:cnfStyle w:val="000000000000" w:firstRow="0" w:lastRow="0" w:firstColumn="0" w:lastColumn="0" w:oddVBand="0" w:evenVBand="0" w:oddHBand="0" w:evenHBand="0" w:firstRowFirstColumn="0" w:firstRowLastColumn="0" w:lastRowFirstColumn="0" w:lastRowLastColumn="0"/>
              <w:rPr>
                <w:rFonts w:eastAsia="Calibri"/>
                <w:szCs w:val="20"/>
                <w:lang w:bidi="ar-SA"/>
              </w:rPr>
            </w:pPr>
            <w:r w:rsidRPr="004637C7">
              <w:rPr>
                <w:rFonts w:eastAsia="Calibri"/>
                <w:szCs w:val="20"/>
                <w:lang w:bidi="ar-SA"/>
              </w:rPr>
              <w:t>Compenser</w:t>
            </w:r>
          </w:p>
        </w:tc>
        <w:tc>
          <w:tcPr>
            <w:tcW w:w="2585" w:type="dxa"/>
            <w:vMerge w:val="restart"/>
            <w:hideMark/>
          </w:tcPr>
          <w:p w14:paraId="542646CE" w14:textId="2AA8A34B" w:rsidR="001B673F" w:rsidRPr="004637C7" w:rsidRDefault="001B673F" w:rsidP="006B18FD">
            <w:pPr>
              <w:jc w:val="left"/>
              <w:cnfStyle w:val="000000000000" w:firstRow="0" w:lastRow="0" w:firstColumn="0" w:lastColumn="0" w:oddVBand="0" w:evenVBand="0" w:oddHBand="0" w:evenHBand="0" w:firstRowFirstColumn="0" w:firstRowLastColumn="0" w:lastRowFirstColumn="0" w:lastRowLastColumn="0"/>
              <w:rPr>
                <w:rFonts w:eastAsia="Calibri"/>
                <w:szCs w:val="20"/>
                <w:lang w:bidi="ar-SA"/>
              </w:rPr>
            </w:pPr>
            <w:r w:rsidRPr="004637C7">
              <w:rPr>
                <w:rFonts w:eastAsia="Calibri"/>
                <w:szCs w:val="20"/>
                <w:lang w:bidi="ar-SA"/>
              </w:rPr>
              <w:t xml:space="preserve">Offrir suivi médical et psychologique pour les cas identifiés de stress chronique ; </w:t>
            </w:r>
          </w:p>
        </w:tc>
        <w:tc>
          <w:tcPr>
            <w:tcW w:w="1613" w:type="dxa"/>
            <w:vMerge w:val="restart"/>
            <w:hideMark/>
          </w:tcPr>
          <w:p w14:paraId="489A63E4" w14:textId="77777777" w:rsidR="001B673F" w:rsidRPr="00481B02" w:rsidRDefault="001B673F" w:rsidP="006B18FD">
            <w:pPr>
              <w:jc w:val="left"/>
              <w:cnfStyle w:val="000000000000" w:firstRow="0" w:lastRow="0" w:firstColumn="0" w:lastColumn="0" w:oddVBand="0" w:evenVBand="0" w:oddHBand="0" w:evenHBand="0" w:firstRowFirstColumn="0" w:firstRowLastColumn="0" w:lastRowFirstColumn="0" w:lastRowLastColumn="0"/>
              <w:rPr>
                <w:rFonts w:eastAsia="Calibri"/>
                <w:szCs w:val="20"/>
                <w:lang w:bidi="ar-SA"/>
              </w:rPr>
            </w:pPr>
            <w:r w:rsidRPr="004637C7">
              <w:rPr>
                <w:rFonts w:eastAsia="Calibri"/>
                <w:szCs w:val="20"/>
                <w:lang w:bidi="ar-SA"/>
              </w:rPr>
              <w:t xml:space="preserve">Nb de suivis </w:t>
            </w:r>
          </w:p>
          <w:p w14:paraId="5B772E17" w14:textId="7DD3FCE9" w:rsidR="001B673F" w:rsidRPr="004637C7" w:rsidRDefault="001B673F" w:rsidP="006B18FD">
            <w:pPr>
              <w:jc w:val="left"/>
              <w:cnfStyle w:val="000000000000" w:firstRow="0" w:lastRow="0" w:firstColumn="0" w:lastColumn="0" w:oddVBand="0" w:evenVBand="0" w:oddHBand="0" w:evenHBand="0" w:firstRowFirstColumn="0" w:firstRowLastColumn="0" w:lastRowFirstColumn="0" w:lastRowLastColumn="0"/>
              <w:rPr>
                <w:rFonts w:eastAsia="Calibri"/>
                <w:szCs w:val="20"/>
                <w:lang w:bidi="ar-SA"/>
              </w:rPr>
            </w:pPr>
            <w:r w:rsidRPr="004637C7">
              <w:rPr>
                <w:rFonts w:eastAsia="Calibri"/>
                <w:szCs w:val="20"/>
                <w:lang w:bidi="ar-SA"/>
              </w:rPr>
              <w:t>Nb de congés</w:t>
            </w:r>
          </w:p>
        </w:tc>
        <w:tc>
          <w:tcPr>
            <w:tcW w:w="0" w:type="auto"/>
            <w:vMerge w:val="restart"/>
            <w:hideMark/>
          </w:tcPr>
          <w:p w14:paraId="06301FB8" w14:textId="60F0078D" w:rsidR="001B673F" w:rsidRPr="004637C7" w:rsidRDefault="001B673F" w:rsidP="006B18FD">
            <w:pPr>
              <w:jc w:val="center"/>
              <w:cnfStyle w:val="000000000000" w:firstRow="0" w:lastRow="0" w:firstColumn="0" w:lastColumn="0" w:oddVBand="0" w:evenVBand="0" w:oddHBand="0" w:evenHBand="0" w:firstRowFirstColumn="0" w:firstRowLastColumn="0" w:lastRowFirstColumn="0" w:lastRowLastColumn="0"/>
              <w:rPr>
                <w:rFonts w:eastAsia="Calibri"/>
                <w:szCs w:val="20"/>
                <w:lang w:bidi="ar-SA"/>
              </w:rPr>
            </w:pPr>
            <w:r w:rsidRPr="00481B02">
              <w:rPr>
                <w:szCs w:val="20"/>
                <w:lang w:eastAsia="fr-FR" w:bidi="ar-SA"/>
              </w:rPr>
              <w:t>ONDA / Exploitant</w:t>
            </w:r>
          </w:p>
        </w:tc>
        <w:tc>
          <w:tcPr>
            <w:tcW w:w="0" w:type="auto"/>
            <w:vMerge w:val="restart"/>
            <w:hideMark/>
          </w:tcPr>
          <w:p w14:paraId="7F3D96E1" w14:textId="61D91C10" w:rsidR="001B673F" w:rsidRPr="004637C7" w:rsidRDefault="001B673F" w:rsidP="006B18FD">
            <w:pPr>
              <w:jc w:val="center"/>
              <w:cnfStyle w:val="000000000000" w:firstRow="0" w:lastRow="0" w:firstColumn="0" w:lastColumn="0" w:oddVBand="0" w:evenVBand="0" w:oddHBand="0" w:evenHBand="0" w:firstRowFirstColumn="0" w:firstRowLastColumn="0" w:lastRowFirstColumn="0" w:lastRowLastColumn="0"/>
              <w:rPr>
                <w:rFonts w:eastAsia="Calibri"/>
                <w:szCs w:val="20"/>
                <w:lang w:bidi="ar-SA"/>
              </w:rPr>
            </w:pPr>
            <w:r w:rsidRPr="00481B02">
              <w:rPr>
                <w:szCs w:val="20"/>
                <w:lang w:eastAsia="fr-FR" w:bidi="ar-SA"/>
              </w:rPr>
              <w:t>ONDA</w:t>
            </w:r>
          </w:p>
        </w:tc>
        <w:tc>
          <w:tcPr>
            <w:tcW w:w="0" w:type="auto"/>
            <w:vMerge w:val="restart"/>
            <w:hideMark/>
          </w:tcPr>
          <w:p w14:paraId="78D2290D" w14:textId="2547BB85" w:rsidR="001B673F" w:rsidRPr="004637C7" w:rsidRDefault="001B673F" w:rsidP="006B18FD">
            <w:pPr>
              <w:jc w:val="center"/>
              <w:cnfStyle w:val="000000000000" w:firstRow="0" w:lastRow="0" w:firstColumn="0" w:lastColumn="0" w:oddVBand="0" w:evenVBand="0" w:oddHBand="0" w:evenHBand="0" w:firstRowFirstColumn="0" w:firstRowLastColumn="0" w:lastRowFirstColumn="0" w:lastRowLastColumn="0"/>
              <w:rPr>
                <w:rFonts w:eastAsia="Calibri"/>
                <w:szCs w:val="20"/>
                <w:lang w:bidi="ar-SA"/>
              </w:rPr>
            </w:pPr>
            <w:r w:rsidRPr="00481B02">
              <w:rPr>
                <w:szCs w:val="20"/>
                <w:lang w:eastAsia="fr-FR" w:bidi="ar-SA"/>
              </w:rPr>
              <w:t>ONDA</w:t>
            </w:r>
          </w:p>
        </w:tc>
        <w:tc>
          <w:tcPr>
            <w:tcW w:w="0" w:type="auto"/>
            <w:vMerge w:val="restart"/>
            <w:hideMark/>
          </w:tcPr>
          <w:p w14:paraId="317DC68B" w14:textId="77777777" w:rsidR="001B673F" w:rsidRPr="004637C7" w:rsidRDefault="001B673F" w:rsidP="006B18FD">
            <w:pPr>
              <w:jc w:val="center"/>
              <w:cnfStyle w:val="000000000000" w:firstRow="0" w:lastRow="0" w:firstColumn="0" w:lastColumn="0" w:oddVBand="0" w:evenVBand="0" w:oddHBand="0" w:evenHBand="0" w:firstRowFirstColumn="0" w:firstRowLastColumn="0" w:lastRowFirstColumn="0" w:lastRowLastColumn="0"/>
              <w:rPr>
                <w:rFonts w:eastAsia="Calibri"/>
                <w:szCs w:val="20"/>
                <w:lang w:bidi="ar-SA"/>
              </w:rPr>
            </w:pPr>
            <w:r w:rsidRPr="004637C7">
              <w:rPr>
                <w:rFonts w:eastAsia="Calibri"/>
                <w:szCs w:val="20"/>
                <w:lang w:bidi="ar-SA"/>
              </w:rPr>
              <w:t>Selon cas</w:t>
            </w:r>
          </w:p>
        </w:tc>
        <w:tc>
          <w:tcPr>
            <w:tcW w:w="0" w:type="auto"/>
            <w:tcBorders>
              <w:bottom w:val="single" w:sz="4" w:space="0" w:color="B4C6E7" w:themeColor="accent1" w:themeTint="66"/>
            </w:tcBorders>
            <w:hideMark/>
          </w:tcPr>
          <w:p w14:paraId="41368ED9" w14:textId="78E785DD" w:rsidR="001B673F" w:rsidRPr="004637C7" w:rsidRDefault="00A131CA" w:rsidP="00D60FC9">
            <w:pPr>
              <w:jc w:val="left"/>
              <w:cnfStyle w:val="000000000000" w:firstRow="0" w:lastRow="0" w:firstColumn="0" w:lastColumn="0" w:oddVBand="0" w:evenVBand="0" w:oddHBand="0" w:evenHBand="0" w:firstRowFirstColumn="0" w:firstRowLastColumn="0" w:lastRowFirstColumn="0" w:lastRowLastColumn="0"/>
              <w:rPr>
                <w:rFonts w:eastAsia="Calibri"/>
                <w:szCs w:val="20"/>
                <w:lang w:bidi="ar-SA"/>
              </w:rPr>
            </w:pPr>
            <w:r w:rsidRPr="00A131CA">
              <w:rPr>
                <w:szCs w:val="20"/>
              </w:rPr>
              <w:t>Aucun coût spécifique (assuré par le médecin de travail)</w:t>
            </w:r>
          </w:p>
        </w:tc>
      </w:tr>
      <w:tr w:rsidR="001B673F" w:rsidRPr="00911732" w14:paraId="0E00339C" w14:textId="77777777" w:rsidTr="001B673F">
        <w:trPr>
          <w:trHeight w:val="521"/>
        </w:trPr>
        <w:tc>
          <w:tcPr>
            <w:cnfStyle w:val="001000000000" w:firstRow="0" w:lastRow="0" w:firstColumn="1" w:lastColumn="0" w:oddVBand="0" w:evenVBand="0" w:oddHBand="0" w:evenHBand="0" w:firstRowFirstColumn="0" w:firstRowLastColumn="0" w:lastRowFirstColumn="0" w:lastRowLastColumn="0"/>
            <w:tcW w:w="0" w:type="auto"/>
            <w:vMerge/>
          </w:tcPr>
          <w:p w14:paraId="78D6C353" w14:textId="77777777" w:rsidR="001B673F" w:rsidRPr="004637C7" w:rsidRDefault="001B673F" w:rsidP="006B18FD">
            <w:pPr>
              <w:jc w:val="center"/>
              <w:rPr>
                <w:rFonts w:eastAsia="Calibri"/>
                <w:b w:val="0"/>
                <w:bCs w:val="0"/>
                <w:szCs w:val="20"/>
                <w:lang w:bidi="ar-SA"/>
              </w:rPr>
            </w:pPr>
          </w:p>
        </w:tc>
        <w:tc>
          <w:tcPr>
            <w:tcW w:w="0" w:type="auto"/>
            <w:vMerge/>
          </w:tcPr>
          <w:p w14:paraId="621047CD" w14:textId="77777777" w:rsidR="001B673F" w:rsidRPr="004637C7" w:rsidRDefault="001B673F" w:rsidP="006B18FD">
            <w:pPr>
              <w:jc w:val="left"/>
              <w:cnfStyle w:val="000000000000" w:firstRow="0" w:lastRow="0" w:firstColumn="0" w:lastColumn="0" w:oddVBand="0" w:evenVBand="0" w:oddHBand="0" w:evenHBand="0" w:firstRowFirstColumn="0" w:firstRowLastColumn="0" w:lastRowFirstColumn="0" w:lastRowLastColumn="0"/>
              <w:rPr>
                <w:rFonts w:eastAsia="Calibri"/>
                <w:szCs w:val="20"/>
                <w:lang w:bidi="ar-SA"/>
              </w:rPr>
            </w:pPr>
          </w:p>
        </w:tc>
        <w:tc>
          <w:tcPr>
            <w:tcW w:w="2585" w:type="dxa"/>
            <w:vMerge/>
            <w:tcBorders>
              <w:bottom w:val="single" w:sz="4" w:space="0" w:color="B4C6E7" w:themeColor="accent1" w:themeTint="66"/>
            </w:tcBorders>
          </w:tcPr>
          <w:p w14:paraId="259F7F08" w14:textId="77777777" w:rsidR="001B673F" w:rsidRPr="004637C7" w:rsidRDefault="001B673F" w:rsidP="006B18FD">
            <w:pPr>
              <w:jc w:val="left"/>
              <w:cnfStyle w:val="000000000000" w:firstRow="0" w:lastRow="0" w:firstColumn="0" w:lastColumn="0" w:oddVBand="0" w:evenVBand="0" w:oddHBand="0" w:evenHBand="0" w:firstRowFirstColumn="0" w:firstRowLastColumn="0" w:lastRowFirstColumn="0" w:lastRowLastColumn="0"/>
              <w:rPr>
                <w:rFonts w:eastAsia="Calibri"/>
                <w:szCs w:val="20"/>
                <w:lang w:bidi="ar-SA"/>
              </w:rPr>
            </w:pPr>
          </w:p>
        </w:tc>
        <w:tc>
          <w:tcPr>
            <w:tcW w:w="1613" w:type="dxa"/>
            <w:vMerge/>
          </w:tcPr>
          <w:p w14:paraId="72D91D89" w14:textId="77777777" w:rsidR="001B673F" w:rsidRPr="004637C7" w:rsidRDefault="001B673F" w:rsidP="006B18FD">
            <w:pPr>
              <w:jc w:val="left"/>
              <w:cnfStyle w:val="000000000000" w:firstRow="0" w:lastRow="0" w:firstColumn="0" w:lastColumn="0" w:oddVBand="0" w:evenVBand="0" w:oddHBand="0" w:evenHBand="0" w:firstRowFirstColumn="0" w:firstRowLastColumn="0" w:lastRowFirstColumn="0" w:lastRowLastColumn="0"/>
              <w:rPr>
                <w:rFonts w:eastAsia="Calibri"/>
                <w:szCs w:val="20"/>
                <w:lang w:bidi="ar-SA"/>
              </w:rPr>
            </w:pPr>
          </w:p>
        </w:tc>
        <w:tc>
          <w:tcPr>
            <w:tcW w:w="0" w:type="auto"/>
            <w:vMerge/>
          </w:tcPr>
          <w:p w14:paraId="0E4F037D" w14:textId="77777777" w:rsidR="001B673F" w:rsidRPr="00481B02" w:rsidRDefault="001B673F" w:rsidP="006B18FD">
            <w:pPr>
              <w:jc w:val="center"/>
              <w:cnfStyle w:val="000000000000" w:firstRow="0" w:lastRow="0" w:firstColumn="0" w:lastColumn="0" w:oddVBand="0" w:evenVBand="0" w:oddHBand="0" w:evenHBand="0" w:firstRowFirstColumn="0" w:firstRowLastColumn="0" w:lastRowFirstColumn="0" w:lastRowLastColumn="0"/>
              <w:rPr>
                <w:szCs w:val="20"/>
                <w:lang w:eastAsia="fr-FR" w:bidi="ar-SA"/>
              </w:rPr>
            </w:pPr>
          </w:p>
        </w:tc>
        <w:tc>
          <w:tcPr>
            <w:tcW w:w="0" w:type="auto"/>
            <w:vMerge/>
          </w:tcPr>
          <w:p w14:paraId="0845897C" w14:textId="77777777" w:rsidR="001B673F" w:rsidRPr="00481B02" w:rsidRDefault="001B673F" w:rsidP="006B18FD">
            <w:pPr>
              <w:jc w:val="center"/>
              <w:cnfStyle w:val="000000000000" w:firstRow="0" w:lastRow="0" w:firstColumn="0" w:lastColumn="0" w:oddVBand="0" w:evenVBand="0" w:oddHBand="0" w:evenHBand="0" w:firstRowFirstColumn="0" w:firstRowLastColumn="0" w:lastRowFirstColumn="0" w:lastRowLastColumn="0"/>
              <w:rPr>
                <w:szCs w:val="20"/>
                <w:lang w:eastAsia="fr-FR" w:bidi="ar-SA"/>
              </w:rPr>
            </w:pPr>
          </w:p>
        </w:tc>
        <w:tc>
          <w:tcPr>
            <w:tcW w:w="0" w:type="auto"/>
            <w:vMerge/>
          </w:tcPr>
          <w:p w14:paraId="6EB820ED" w14:textId="77777777" w:rsidR="001B673F" w:rsidRPr="00481B02" w:rsidRDefault="001B673F" w:rsidP="006B18FD">
            <w:pPr>
              <w:jc w:val="center"/>
              <w:cnfStyle w:val="000000000000" w:firstRow="0" w:lastRow="0" w:firstColumn="0" w:lastColumn="0" w:oddVBand="0" w:evenVBand="0" w:oddHBand="0" w:evenHBand="0" w:firstRowFirstColumn="0" w:firstRowLastColumn="0" w:lastRowFirstColumn="0" w:lastRowLastColumn="0"/>
              <w:rPr>
                <w:szCs w:val="20"/>
                <w:lang w:eastAsia="fr-FR" w:bidi="ar-SA"/>
              </w:rPr>
            </w:pPr>
          </w:p>
        </w:tc>
        <w:tc>
          <w:tcPr>
            <w:tcW w:w="0" w:type="auto"/>
            <w:vMerge/>
          </w:tcPr>
          <w:p w14:paraId="28D41DDC" w14:textId="77777777" w:rsidR="001B673F" w:rsidRPr="004637C7" w:rsidRDefault="001B673F" w:rsidP="006B18FD">
            <w:pPr>
              <w:jc w:val="center"/>
              <w:cnfStyle w:val="000000000000" w:firstRow="0" w:lastRow="0" w:firstColumn="0" w:lastColumn="0" w:oddVBand="0" w:evenVBand="0" w:oddHBand="0" w:evenHBand="0" w:firstRowFirstColumn="0" w:firstRowLastColumn="0" w:lastRowFirstColumn="0" w:lastRowLastColumn="0"/>
              <w:rPr>
                <w:rFonts w:eastAsia="Calibri"/>
                <w:szCs w:val="20"/>
                <w:lang w:bidi="ar-SA"/>
              </w:rPr>
            </w:pPr>
          </w:p>
        </w:tc>
        <w:tc>
          <w:tcPr>
            <w:tcW w:w="0" w:type="auto"/>
            <w:vMerge w:val="restart"/>
            <w:tcBorders>
              <w:top w:val="single" w:sz="4" w:space="0" w:color="B4C6E7" w:themeColor="accent1" w:themeTint="66"/>
            </w:tcBorders>
          </w:tcPr>
          <w:p w14:paraId="6C8A3AD7" w14:textId="651D289D" w:rsidR="001B673F" w:rsidRPr="00AA22F2" w:rsidRDefault="00312C69" w:rsidP="006B18FD">
            <w:pPr>
              <w:jc w:val="left"/>
              <w:cnfStyle w:val="000000000000" w:firstRow="0" w:lastRow="0" w:firstColumn="0" w:lastColumn="0" w:oddVBand="0" w:evenVBand="0" w:oddHBand="0" w:evenHBand="0" w:firstRowFirstColumn="0" w:firstRowLastColumn="0" w:lastRowFirstColumn="0" w:lastRowLastColumn="0"/>
              <w:rPr>
                <w:szCs w:val="20"/>
              </w:rPr>
            </w:pPr>
            <w:r w:rsidRPr="00312C69">
              <w:rPr>
                <w:szCs w:val="20"/>
              </w:rPr>
              <w:t>Aucun coût spécifique</w:t>
            </w:r>
          </w:p>
        </w:tc>
      </w:tr>
      <w:tr w:rsidR="001B673F" w:rsidRPr="00911732" w14:paraId="1DC8B99D" w14:textId="77777777" w:rsidTr="001B673F">
        <w:trPr>
          <w:trHeight w:val="709"/>
        </w:trPr>
        <w:tc>
          <w:tcPr>
            <w:cnfStyle w:val="001000000000" w:firstRow="0" w:lastRow="0" w:firstColumn="1" w:lastColumn="0" w:oddVBand="0" w:evenVBand="0" w:oddHBand="0" w:evenHBand="0" w:firstRowFirstColumn="0" w:firstRowLastColumn="0" w:lastRowFirstColumn="0" w:lastRowLastColumn="0"/>
            <w:tcW w:w="0" w:type="auto"/>
            <w:vMerge/>
          </w:tcPr>
          <w:p w14:paraId="284C3C3A" w14:textId="77777777" w:rsidR="001B673F" w:rsidRPr="004637C7" w:rsidRDefault="001B673F" w:rsidP="006B18FD">
            <w:pPr>
              <w:jc w:val="center"/>
              <w:rPr>
                <w:rFonts w:eastAsia="Calibri"/>
                <w:b w:val="0"/>
                <w:bCs w:val="0"/>
                <w:szCs w:val="20"/>
                <w:lang w:bidi="ar-SA"/>
              </w:rPr>
            </w:pPr>
          </w:p>
        </w:tc>
        <w:tc>
          <w:tcPr>
            <w:tcW w:w="0" w:type="auto"/>
            <w:vMerge/>
          </w:tcPr>
          <w:p w14:paraId="0FAF406F" w14:textId="77777777" w:rsidR="001B673F" w:rsidRPr="004637C7" w:rsidRDefault="001B673F" w:rsidP="006B18FD">
            <w:pPr>
              <w:jc w:val="left"/>
              <w:cnfStyle w:val="000000000000" w:firstRow="0" w:lastRow="0" w:firstColumn="0" w:lastColumn="0" w:oddVBand="0" w:evenVBand="0" w:oddHBand="0" w:evenHBand="0" w:firstRowFirstColumn="0" w:firstRowLastColumn="0" w:lastRowFirstColumn="0" w:lastRowLastColumn="0"/>
              <w:rPr>
                <w:rFonts w:eastAsia="Calibri"/>
                <w:szCs w:val="20"/>
                <w:lang w:bidi="ar-SA"/>
              </w:rPr>
            </w:pPr>
          </w:p>
        </w:tc>
        <w:tc>
          <w:tcPr>
            <w:tcW w:w="2585" w:type="dxa"/>
            <w:tcBorders>
              <w:top w:val="single" w:sz="4" w:space="0" w:color="B4C6E7" w:themeColor="accent1" w:themeTint="66"/>
            </w:tcBorders>
          </w:tcPr>
          <w:p w14:paraId="5147A11D" w14:textId="77777777" w:rsidR="001B673F" w:rsidRPr="004637C7" w:rsidRDefault="001B673F" w:rsidP="001B673F">
            <w:pPr>
              <w:jc w:val="left"/>
              <w:cnfStyle w:val="000000000000" w:firstRow="0" w:lastRow="0" w:firstColumn="0" w:lastColumn="0" w:oddVBand="0" w:evenVBand="0" w:oddHBand="0" w:evenHBand="0" w:firstRowFirstColumn="0" w:firstRowLastColumn="0" w:lastRowFirstColumn="0" w:lastRowLastColumn="0"/>
              <w:rPr>
                <w:rFonts w:eastAsia="Calibri"/>
                <w:szCs w:val="20"/>
                <w:lang w:bidi="ar-SA"/>
              </w:rPr>
            </w:pPr>
            <w:r w:rsidRPr="00481B02">
              <w:rPr>
                <w:rFonts w:eastAsia="Calibri"/>
                <w:szCs w:val="20"/>
                <w:lang w:bidi="ar-SA"/>
              </w:rPr>
              <w:t>P</w:t>
            </w:r>
            <w:r w:rsidRPr="004637C7">
              <w:rPr>
                <w:rFonts w:eastAsia="Calibri"/>
                <w:szCs w:val="20"/>
                <w:lang w:bidi="ar-SA"/>
              </w:rPr>
              <w:t>révoir congés de récupération.</w:t>
            </w:r>
          </w:p>
        </w:tc>
        <w:tc>
          <w:tcPr>
            <w:tcW w:w="1613" w:type="dxa"/>
            <w:vMerge/>
          </w:tcPr>
          <w:p w14:paraId="43FCB79E" w14:textId="77777777" w:rsidR="001B673F" w:rsidRPr="004637C7" w:rsidRDefault="001B673F" w:rsidP="006B18FD">
            <w:pPr>
              <w:jc w:val="left"/>
              <w:cnfStyle w:val="000000000000" w:firstRow="0" w:lastRow="0" w:firstColumn="0" w:lastColumn="0" w:oddVBand="0" w:evenVBand="0" w:oddHBand="0" w:evenHBand="0" w:firstRowFirstColumn="0" w:firstRowLastColumn="0" w:lastRowFirstColumn="0" w:lastRowLastColumn="0"/>
              <w:rPr>
                <w:rFonts w:eastAsia="Calibri"/>
                <w:szCs w:val="20"/>
                <w:lang w:bidi="ar-SA"/>
              </w:rPr>
            </w:pPr>
          </w:p>
        </w:tc>
        <w:tc>
          <w:tcPr>
            <w:tcW w:w="0" w:type="auto"/>
            <w:vMerge/>
          </w:tcPr>
          <w:p w14:paraId="511CF952" w14:textId="77777777" w:rsidR="001B673F" w:rsidRPr="00481B02" w:rsidRDefault="001B673F" w:rsidP="006B18FD">
            <w:pPr>
              <w:jc w:val="center"/>
              <w:cnfStyle w:val="000000000000" w:firstRow="0" w:lastRow="0" w:firstColumn="0" w:lastColumn="0" w:oddVBand="0" w:evenVBand="0" w:oddHBand="0" w:evenHBand="0" w:firstRowFirstColumn="0" w:firstRowLastColumn="0" w:lastRowFirstColumn="0" w:lastRowLastColumn="0"/>
              <w:rPr>
                <w:szCs w:val="20"/>
                <w:lang w:eastAsia="fr-FR" w:bidi="ar-SA"/>
              </w:rPr>
            </w:pPr>
          </w:p>
        </w:tc>
        <w:tc>
          <w:tcPr>
            <w:tcW w:w="0" w:type="auto"/>
            <w:vMerge/>
          </w:tcPr>
          <w:p w14:paraId="5F959F38" w14:textId="77777777" w:rsidR="001B673F" w:rsidRPr="00481B02" w:rsidRDefault="001B673F" w:rsidP="006B18FD">
            <w:pPr>
              <w:jc w:val="center"/>
              <w:cnfStyle w:val="000000000000" w:firstRow="0" w:lastRow="0" w:firstColumn="0" w:lastColumn="0" w:oddVBand="0" w:evenVBand="0" w:oddHBand="0" w:evenHBand="0" w:firstRowFirstColumn="0" w:firstRowLastColumn="0" w:lastRowFirstColumn="0" w:lastRowLastColumn="0"/>
              <w:rPr>
                <w:szCs w:val="20"/>
                <w:lang w:eastAsia="fr-FR" w:bidi="ar-SA"/>
              </w:rPr>
            </w:pPr>
          </w:p>
        </w:tc>
        <w:tc>
          <w:tcPr>
            <w:tcW w:w="0" w:type="auto"/>
            <w:vMerge/>
          </w:tcPr>
          <w:p w14:paraId="0A0A1EC8" w14:textId="77777777" w:rsidR="001B673F" w:rsidRPr="00481B02" w:rsidRDefault="001B673F" w:rsidP="006B18FD">
            <w:pPr>
              <w:jc w:val="center"/>
              <w:cnfStyle w:val="000000000000" w:firstRow="0" w:lastRow="0" w:firstColumn="0" w:lastColumn="0" w:oddVBand="0" w:evenVBand="0" w:oddHBand="0" w:evenHBand="0" w:firstRowFirstColumn="0" w:firstRowLastColumn="0" w:lastRowFirstColumn="0" w:lastRowLastColumn="0"/>
              <w:rPr>
                <w:szCs w:val="20"/>
                <w:lang w:eastAsia="fr-FR" w:bidi="ar-SA"/>
              </w:rPr>
            </w:pPr>
          </w:p>
        </w:tc>
        <w:tc>
          <w:tcPr>
            <w:tcW w:w="0" w:type="auto"/>
            <w:vMerge/>
          </w:tcPr>
          <w:p w14:paraId="414BA6AA" w14:textId="77777777" w:rsidR="001B673F" w:rsidRPr="004637C7" w:rsidRDefault="001B673F" w:rsidP="006B18FD">
            <w:pPr>
              <w:jc w:val="center"/>
              <w:cnfStyle w:val="000000000000" w:firstRow="0" w:lastRow="0" w:firstColumn="0" w:lastColumn="0" w:oddVBand="0" w:evenVBand="0" w:oddHBand="0" w:evenHBand="0" w:firstRowFirstColumn="0" w:firstRowLastColumn="0" w:lastRowFirstColumn="0" w:lastRowLastColumn="0"/>
              <w:rPr>
                <w:rFonts w:eastAsia="Calibri"/>
                <w:szCs w:val="20"/>
                <w:lang w:bidi="ar-SA"/>
              </w:rPr>
            </w:pPr>
          </w:p>
        </w:tc>
        <w:tc>
          <w:tcPr>
            <w:tcW w:w="0" w:type="auto"/>
            <w:vMerge/>
          </w:tcPr>
          <w:p w14:paraId="0E459097" w14:textId="77777777" w:rsidR="001B673F" w:rsidRPr="00AA22F2" w:rsidRDefault="001B673F" w:rsidP="006B18FD">
            <w:pPr>
              <w:jc w:val="left"/>
              <w:cnfStyle w:val="000000000000" w:firstRow="0" w:lastRow="0" w:firstColumn="0" w:lastColumn="0" w:oddVBand="0" w:evenVBand="0" w:oddHBand="0" w:evenHBand="0" w:firstRowFirstColumn="0" w:firstRowLastColumn="0" w:lastRowFirstColumn="0" w:lastRowLastColumn="0"/>
              <w:rPr>
                <w:szCs w:val="20"/>
              </w:rPr>
            </w:pPr>
          </w:p>
        </w:tc>
      </w:tr>
      <w:tr w:rsidR="00312C69" w:rsidRPr="00911732" w14:paraId="4D02C67C" w14:textId="77777777" w:rsidTr="005A7661">
        <w:trPr>
          <w:trHeight w:val="1764"/>
        </w:trPr>
        <w:tc>
          <w:tcPr>
            <w:cnfStyle w:val="001000000000" w:firstRow="0" w:lastRow="0" w:firstColumn="1" w:lastColumn="0" w:oddVBand="0" w:evenVBand="0" w:oddHBand="0" w:evenHBand="0" w:firstRowFirstColumn="0" w:firstRowLastColumn="0" w:lastRowFirstColumn="0" w:lastRowLastColumn="0"/>
            <w:tcW w:w="0" w:type="auto"/>
            <w:vMerge w:val="restart"/>
            <w:hideMark/>
          </w:tcPr>
          <w:p w14:paraId="23C85614" w14:textId="77777777" w:rsidR="00312C69" w:rsidRPr="00481B02" w:rsidRDefault="00312C69" w:rsidP="006B18FD">
            <w:pPr>
              <w:jc w:val="center"/>
              <w:rPr>
                <w:rFonts w:eastAsia="Calibri"/>
                <w:szCs w:val="20"/>
                <w:lang w:bidi="ar-SA"/>
              </w:rPr>
            </w:pPr>
            <w:r w:rsidRPr="00481B02">
              <w:rPr>
                <w:rFonts w:eastAsia="Calibri"/>
                <w:szCs w:val="20"/>
                <w:lang w:bidi="ar-SA"/>
              </w:rPr>
              <w:lastRenderedPageBreak/>
              <w:t>Accidents liés aux manœuvres d’aéronefs et véhicules de service</w:t>
            </w:r>
          </w:p>
        </w:tc>
        <w:tc>
          <w:tcPr>
            <w:tcW w:w="0" w:type="auto"/>
            <w:vMerge w:val="restart"/>
            <w:hideMark/>
          </w:tcPr>
          <w:p w14:paraId="579B14C8" w14:textId="77777777" w:rsidR="00312C69" w:rsidRPr="004637C7" w:rsidRDefault="00312C69" w:rsidP="006B18FD">
            <w:pPr>
              <w:jc w:val="left"/>
              <w:cnfStyle w:val="000000000000" w:firstRow="0" w:lastRow="0" w:firstColumn="0" w:lastColumn="0" w:oddVBand="0" w:evenVBand="0" w:oddHBand="0" w:evenHBand="0" w:firstRowFirstColumn="0" w:firstRowLastColumn="0" w:lastRowFirstColumn="0" w:lastRowLastColumn="0"/>
              <w:rPr>
                <w:rFonts w:eastAsia="Calibri"/>
                <w:szCs w:val="20"/>
                <w:lang w:bidi="ar-SA"/>
              </w:rPr>
            </w:pPr>
            <w:r w:rsidRPr="004637C7">
              <w:rPr>
                <w:rFonts w:eastAsia="Calibri"/>
                <w:szCs w:val="20"/>
                <w:lang w:bidi="ar-SA"/>
              </w:rPr>
              <w:t>Éviter</w:t>
            </w:r>
          </w:p>
        </w:tc>
        <w:tc>
          <w:tcPr>
            <w:tcW w:w="2585" w:type="dxa"/>
            <w:hideMark/>
          </w:tcPr>
          <w:p w14:paraId="73791C7D" w14:textId="54092751" w:rsidR="00312C69" w:rsidRPr="004637C7" w:rsidRDefault="00312C69" w:rsidP="006B18FD">
            <w:pPr>
              <w:jc w:val="left"/>
              <w:cnfStyle w:val="000000000000" w:firstRow="0" w:lastRow="0" w:firstColumn="0" w:lastColumn="0" w:oddVBand="0" w:evenVBand="0" w:oddHBand="0" w:evenHBand="0" w:firstRowFirstColumn="0" w:firstRowLastColumn="0" w:lastRowFirstColumn="0" w:lastRowLastColumn="0"/>
              <w:rPr>
                <w:rFonts w:eastAsia="Calibri"/>
                <w:szCs w:val="20"/>
                <w:lang w:bidi="ar-SA"/>
              </w:rPr>
            </w:pPr>
            <w:r w:rsidRPr="004637C7">
              <w:rPr>
                <w:rFonts w:eastAsia="Calibri"/>
                <w:szCs w:val="20"/>
                <w:lang w:bidi="ar-SA"/>
              </w:rPr>
              <w:t xml:space="preserve">Maintenir une stricte séparation entre zones d’aéronefs et voies véhicules ; </w:t>
            </w:r>
          </w:p>
        </w:tc>
        <w:tc>
          <w:tcPr>
            <w:tcW w:w="1613" w:type="dxa"/>
            <w:vMerge w:val="restart"/>
            <w:hideMark/>
          </w:tcPr>
          <w:p w14:paraId="622B845D" w14:textId="77777777" w:rsidR="00312C69" w:rsidRPr="00481B02" w:rsidRDefault="00312C69" w:rsidP="006B18FD">
            <w:pPr>
              <w:jc w:val="left"/>
              <w:cnfStyle w:val="000000000000" w:firstRow="0" w:lastRow="0" w:firstColumn="0" w:lastColumn="0" w:oddVBand="0" w:evenVBand="0" w:oddHBand="0" w:evenHBand="0" w:firstRowFirstColumn="0" w:firstRowLastColumn="0" w:lastRowFirstColumn="0" w:lastRowLastColumn="0"/>
              <w:rPr>
                <w:rFonts w:eastAsia="Calibri"/>
                <w:szCs w:val="20"/>
                <w:lang w:bidi="ar-SA"/>
              </w:rPr>
            </w:pPr>
            <w:r w:rsidRPr="004637C7">
              <w:rPr>
                <w:rFonts w:eastAsia="Calibri"/>
                <w:szCs w:val="20"/>
                <w:lang w:bidi="ar-SA"/>
              </w:rPr>
              <w:t xml:space="preserve">% zones balisées </w:t>
            </w:r>
          </w:p>
          <w:p w14:paraId="0846CD77" w14:textId="43A5B190" w:rsidR="00312C69" w:rsidRPr="004637C7" w:rsidRDefault="00312C69" w:rsidP="006B18FD">
            <w:pPr>
              <w:jc w:val="left"/>
              <w:cnfStyle w:val="000000000000" w:firstRow="0" w:lastRow="0" w:firstColumn="0" w:lastColumn="0" w:oddVBand="0" w:evenVBand="0" w:oddHBand="0" w:evenHBand="0" w:firstRowFirstColumn="0" w:firstRowLastColumn="0" w:lastRowFirstColumn="0" w:lastRowLastColumn="0"/>
              <w:rPr>
                <w:rFonts w:eastAsia="Calibri"/>
                <w:szCs w:val="20"/>
                <w:lang w:bidi="ar-SA"/>
              </w:rPr>
            </w:pPr>
            <w:r w:rsidRPr="004637C7">
              <w:rPr>
                <w:rFonts w:eastAsia="Calibri"/>
                <w:szCs w:val="20"/>
                <w:lang w:bidi="ar-SA"/>
              </w:rPr>
              <w:t>Nb de panneaux installés</w:t>
            </w:r>
          </w:p>
        </w:tc>
        <w:tc>
          <w:tcPr>
            <w:tcW w:w="0" w:type="auto"/>
            <w:vMerge w:val="restart"/>
            <w:hideMark/>
          </w:tcPr>
          <w:p w14:paraId="1F4510FE" w14:textId="0D15FC4E" w:rsidR="00312C69" w:rsidRPr="004637C7" w:rsidRDefault="00312C69" w:rsidP="006B18FD">
            <w:pPr>
              <w:jc w:val="center"/>
              <w:cnfStyle w:val="000000000000" w:firstRow="0" w:lastRow="0" w:firstColumn="0" w:lastColumn="0" w:oddVBand="0" w:evenVBand="0" w:oddHBand="0" w:evenHBand="0" w:firstRowFirstColumn="0" w:firstRowLastColumn="0" w:lastRowFirstColumn="0" w:lastRowLastColumn="0"/>
              <w:rPr>
                <w:rFonts w:eastAsia="Calibri"/>
                <w:szCs w:val="20"/>
                <w:lang w:bidi="ar-SA"/>
              </w:rPr>
            </w:pPr>
            <w:r w:rsidRPr="00481B02">
              <w:rPr>
                <w:szCs w:val="20"/>
                <w:lang w:eastAsia="fr-FR" w:bidi="ar-SA"/>
              </w:rPr>
              <w:t>ONDA / Exploitant</w:t>
            </w:r>
          </w:p>
        </w:tc>
        <w:tc>
          <w:tcPr>
            <w:tcW w:w="0" w:type="auto"/>
            <w:vMerge w:val="restart"/>
            <w:hideMark/>
          </w:tcPr>
          <w:p w14:paraId="37A9B40B" w14:textId="3709B65D" w:rsidR="00312C69" w:rsidRPr="004637C7" w:rsidRDefault="00312C69" w:rsidP="006B18FD">
            <w:pPr>
              <w:jc w:val="center"/>
              <w:cnfStyle w:val="000000000000" w:firstRow="0" w:lastRow="0" w:firstColumn="0" w:lastColumn="0" w:oddVBand="0" w:evenVBand="0" w:oddHBand="0" w:evenHBand="0" w:firstRowFirstColumn="0" w:firstRowLastColumn="0" w:lastRowFirstColumn="0" w:lastRowLastColumn="0"/>
              <w:rPr>
                <w:rFonts w:eastAsia="Calibri"/>
                <w:szCs w:val="20"/>
                <w:lang w:bidi="ar-SA"/>
              </w:rPr>
            </w:pPr>
            <w:r w:rsidRPr="00481B02">
              <w:rPr>
                <w:szCs w:val="20"/>
                <w:lang w:eastAsia="fr-FR" w:bidi="ar-SA"/>
              </w:rPr>
              <w:t>ONDA</w:t>
            </w:r>
          </w:p>
        </w:tc>
        <w:tc>
          <w:tcPr>
            <w:tcW w:w="0" w:type="auto"/>
            <w:vMerge w:val="restart"/>
            <w:hideMark/>
          </w:tcPr>
          <w:p w14:paraId="046CE6B0" w14:textId="108B480C" w:rsidR="00312C69" w:rsidRPr="004637C7" w:rsidRDefault="00312C69" w:rsidP="006B18FD">
            <w:pPr>
              <w:jc w:val="center"/>
              <w:cnfStyle w:val="000000000000" w:firstRow="0" w:lastRow="0" w:firstColumn="0" w:lastColumn="0" w:oddVBand="0" w:evenVBand="0" w:oddHBand="0" w:evenHBand="0" w:firstRowFirstColumn="0" w:firstRowLastColumn="0" w:lastRowFirstColumn="0" w:lastRowLastColumn="0"/>
              <w:rPr>
                <w:rFonts w:eastAsia="Calibri"/>
                <w:szCs w:val="20"/>
                <w:lang w:bidi="ar-SA"/>
              </w:rPr>
            </w:pPr>
            <w:r w:rsidRPr="00481B02">
              <w:rPr>
                <w:szCs w:val="20"/>
                <w:lang w:eastAsia="fr-FR" w:bidi="ar-SA"/>
              </w:rPr>
              <w:t>ONDA</w:t>
            </w:r>
          </w:p>
        </w:tc>
        <w:tc>
          <w:tcPr>
            <w:tcW w:w="0" w:type="auto"/>
            <w:vMerge w:val="restart"/>
            <w:hideMark/>
          </w:tcPr>
          <w:p w14:paraId="60DA957F" w14:textId="77777777" w:rsidR="00312C69" w:rsidRPr="004637C7" w:rsidRDefault="00312C69" w:rsidP="006B18FD">
            <w:pPr>
              <w:jc w:val="center"/>
              <w:cnfStyle w:val="000000000000" w:firstRow="0" w:lastRow="0" w:firstColumn="0" w:lastColumn="0" w:oddVBand="0" w:evenVBand="0" w:oddHBand="0" w:evenHBand="0" w:firstRowFirstColumn="0" w:firstRowLastColumn="0" w:lastRowFirstColumn="0" w:lastRowLastColumn="0"/>
              <w:rPr>
                <w:rFonts w:eastAsia="Calibri"/>
                <w:szCs w:val="20"/>
                <w:lang w:bidi="ar-SA"/>
              </w:rPr>
            </w:pPr>
            <w:r w:rsidRPr="004637C7">
              <w:rPr>
                <w:rFonts w:eastAsia="Calibri"/>
                <w:szCs w:val="20"/>
                <w:lang w:bidi="ar-SA"/>
              </w:rPr>
              <w:t>Permanent</w:t>
            </w:r>
          </w:p>
        </w:tc>
        <w:tc>
          <w:tcPr>
            <w:tcW w:w="0" w:type="auto"/>
            <w:hideMark/>
          </w:tcPr>
          <w:p w14:paraId="3CA625BE" w14:textId="650764EC" w:rsidR="00312C69" w:rsidRPr="004637C7" w:rsidRDefault="00312C69" w:rsidP="00D60FC9">
            <w:pPr>
              <w:jc w:val="left"/>
              <w:cnfStyle w:val="000000000000" w:firstRow="0" w:lastRow="0" w:firstColumn="0" w:lastColumn="0" w:oddVBand="0" w:evenVBand="0" w:oddHBand="0" w:evenHBand="0" w:firstRowFirstColumn="0" w:firstRowLastColumn="0" w:lastRowFirstColumn="0" w:lastRowLastColumn="0"/>
              <w:rPr>
                <w:rFonts w:eastAsia="Calibri"/>
                <w:szCs w:val="20"/>
                <w:lang w:bidi="ar-SA"/>
              </w:rPr>
            </w:pPr>
            <w:r w:rsidRPr="00312C69">
              <w:rPr>
                <w:rFonts w:eastAsia="Calibri"/>
                <w:szCs w:val="20"/>
                <w:lang w:bidi="ar-SA"/>
              </w:rPr>
              <w:t>Aucun coût spécifique</w:t>
            </w:r>
          </w:p>
        </w:tc>
      </w:tr>
      <w:tr w:rsidR="00312C69" w:rsidRPr="00911732" w14:paraId="2D38669A" w14:textId="77777777" w:rsidTr="00312C69">
        <w:trPr>
          <w:trHeight w:val="1342"/>
        </w:trPr>
        <w:tc>
          <w:tcPr>
            <w:cnfStyle w:val="001000000000" w:firstRow="0" w:lastRow="0" w:firstColumn="1" w:lastColumn="0" w:oddVBand="0" w:evenVBand="0" w:oddHBand="0" w:evenHBand="0" w:firstRowFirstColumn="0" w:firstRowLastColumn="0" w:lastRowFirstColumn="0" w:lastRowLastColumn="0"/>
            <w:tcW w:w="0" w:type="auto"/>
            <w:vMerge/>
          </w:tcPr>
          <w:p w14:paraId="105C8AA3" w14:textId="77777777" w:rsidR="00312C69" w:rsidRPr="00481B02" w:rsidRDefault="00312C69" w:rsidP="00312C69">
            <w:pPr>
              <w:jc w:val="center"/>
              <w:rPr>
                <w:rFonts w:eastAsia="Calibri"/>
                <w:szCs w:val="20"/>
                <w:lang w:bidi="ar-SA"/>
              </w:rPr>
            </w:pPr>
          </w:p>
        </w:tc>
        <w:tc>
          <w:tcPr>
            <w:tcW w:w="0" w:type="auto"/>
            <w:vMerge/>
          </w:tcPr>
          <w:p w14:paraId="493F4790" w14:textId="77777777" w:rsidR="00312C69" w:rsidRPr="004637C7" w:rsidRDefault="00312C69" w:rsidP="00312C69">
            <w:pPr>
              <w:jc w:val="left"/>
              <w:cnfStyle w:val="000000000000" w:firstRow="0" w:lastRow="0" w:firstColumn="0" w:lastColumn="0" w:oddVBand="0" w:evenVBand="0" w:oddHBand="0" w:evenHBand="0" w:firstRowFirstColumn="0" w:firstRowLastColumn="0" w:lastRowFirstColumn="0" w:lastRowLastColumn="0"/>
              <w:rPr>
                <w:rFonts w:eastAsia="Calibri"/>
                <w:szCs w:val="20"/>
                <w:lang w:bidi="ar-SA"/>
              </w:rPr>
            </w:pPr>
          </w:p>
        </w:tc>
        <w:tc>
          <w:tcPr>
            <w:tcW w:w="2585" w:type="dxa"/>
            <w:tcBorders>
              <w:top w:val="single" w:sz="4" w:space="0" w:color="B4C6E7" w:themeColor="accent1" w:themeTint="66"/>
            </w:tcBorders>
          </w:tcPr>
          <w:p w14:paraId="1BA92992" w14:textId="77777777" w:rsidR="00312C69" w:rsidRPr="004637C7" w:rsidRDefault="00312C69" w:rsidP="00312C69">
            <w:pPr>
              <w:jc w:val="left"/>
              <w:cnfStyle w:val="000000000000" w:firstRow="0" w:lastRow="0" w:firstColumn="0" w:lastColumn="0" w:oddVBand="0" w:evenVBand="0" w:oddHBand="0" w:evenHBand="0" w:firstRowFirstColumn="0" w:firstRowLastColumn="0" w:lastRowFirstColumn="0" w:lastRowLastColumn="0"/>
              <w:rPr>
                <w:rFonts w:eastAsia="Calibri"/>
                <w:szCs w:val="20"/>
                <w:lang w:bidi="ar-SA"/>
              </w:rPr>
            </w:pPr>
            <w:r w:rsidRPr="00481B02">
              <w:rPr>
                <w:rFonts w:eastAsia="Calibri"/>
                <w:szCs w:val="20"/>
                <w:lang w:bidi="ar-SA"/>
              </w:rPr>
              <w:t>I</w:t>
            </w:r>
            <w:r w:rsidRPr="004637C7">
              <w:rPr>
                <w:rFonts w:eastAsia="Calibri"/>
                <w:szCs w:val="20"/>
                <w:lang w:bidi="ar-SA"/>
              </w:rPr>
              <w:t>nstaller feux de signalisation, lignes de guidage et zones d’attente sécurisées.</w:t>
            </w:r>
          </w:p>
        </w:tc>
        <w:tc>
          <w:tcPr>
            <w:tcW w:w="1613" w:type="dxa"/>
            <w:vMerge/>
          </w:tcPr>
          <w:p w14:paraId="43AC79BD" w14:textId="77777777" w:rsidR="00312C69" w:rsidRPr="004637C7" w:rsidRDefault="00312C69" w:rsidP="00312C69">
            <w:pPr>
              <w:jc w:val="left"/>
              <w:cnfStyle w:val="000000000000" w:firstRow="0" w:lastRow="0" w:firstColumn="0" w:lastColumn="0" w:oddVBand="0" w:evenVBand="0" w:oddHBand="0" w:evenHBand="0" w:firstRowFirstColumn="0" w:firstRowLastColumn="0" w:lastRowFirstColumn="0" w:lastRowLastColumn="0"/>
              <w:rPr>
                <w:rFonts w:eastAsia="Calibri"/>
                <w:szCs w:val="20"/>
                <w:lang w:bidi="ar-SA"/>
              </w:rPr>
            </w:pPr>
          </w:p>
        </w:tc>
        <w:tc>
          <w:tcPr>
            <w:tcW w:w="0" w:type="auto"/>
            <w:vMerge/>
          </w:tcPr>
          <w:p w14:paraId="4AC72E3D" w14:textId="77777777" w:rsidR="00312C69" w:rsidRPr="00481B02" w:rsidRDefault="00312C69" w:rsidP="00312C69">
            <w:pPr>
              <w:jc w:val="center"/>
              <w:cnfStyle w:val="000000000000" w:firstRow="0" w:lastRow="0" w:firstColumn="0" w:lastColumn="0" w:oddVBand="0" w:evenVBand="0" w:oddHBand="0" w:evenHBand="0" w:firstRowFirstColumn="0" w:firstRowLastColumn="0" w:lastRowFirstColumn="0" w:lastRowLastColumn="0"/>
              <w:rPr>
                <w:szCs w:val="20"/>
                <w:lang w:eastAsia="fr-FR" w:bidi="ar-SA"/>
              </w:rPr>
            </w:pPr>
          </w:p>
        </w:tc>
        <w:tc>
          <w:tcPr>
            <w:tcW w:w="0" w:type="auto"/>
            <w:vMerge/>
          </w:tcPr>
          <w:p w14:paraId="5645A72F" w14:textId="77777777" w:rsidR="00312C69" w:rsidRPr="00481B02" w:rsidRDefault="00312C69" w:rsidP="00312C69">
            <w:pPr>
              <w:jc w:val="center"/>
              <w:cnfStyle w:val="000000000000" w:firstRow="0" w:lastRow="0" w:firstColumn="0" w:lastColumn="0" w:oddVBand="0" w:evenVBand="0" w:oddHBand="0" w:evenHBand="0" w:firstRowFirstColumn="0" w:firstRowLastColumn="0" w:lastRowFirstColumn="0" w:lastRowLastColumn="0"/>
              <w:rPr>
                <w:szCs w:val="20"/>
                <w:lang w:eastAsia="fr-FR" w:bidi="ar-SA"/>
              </w:rPr>
            </w:pPr>
          </w:p>
        </w:tc>
        <w:tc>
          <w:tcPr>
            <w:tcW w:w="0" w:type="auto"/>
            <w:vMerge/>
          </w:tcPr>
          <w:p w14:paraId="492BABC9" w14:textId="77777777" w:rsidR="00312C69" w:rsidRPr="00481B02" w:rsidRDefault="00312C69" w:rsidP="00312C69">
            <w:pPr>
              <w:jc w:val="center"/>
              <w:cnfStyle w:val="000000000000" w:firstRow="0" w:lastRow="0" w:firstColumn="0" w:lastColumn="0" w:oddVBand="0" w:evenVBand="0" w:oddHBand="0" w:evenHBand="0" w:firstRowFirstColumn="0" w:firstRowLastColumn="0" w:lastRowFirstColumn="0" w:lastRowLastColumn="0"/>
              <w:rPr>
                <w:szCs w:val="20"/>
                <w:lang w:eastAsia="fr-FR" w:bidi="ar-SA"/>
              </w:rPr>
            </w:pPr>
          </w:p>
        </w:tc>
        <w:tc>
          <w:tcPr>
            <w:tcW w:w="0" w:type="auto"/>
            <w:vMerge/>
          </w:tcPr>
          <w:p w14:paraId="2B6A2592" w14:textId="77777777" w:rsidR="00312C69" w:rsidRPr="004637C7" w:rsidRDefault="00312C69" w:rsidP="00312C69">
            <w:pPr>
              <w:jc w:val="center"/>
              <w:cnfStyle w:val="000000000000" w:firstRow="0" w:lastRow="0" w:firstColumn="0" w:lastColumn="0" w:oddVBand="0" w:evenVBand="0" w:oddHBand="0" w:evenHBand="0" w:firstRowFirstColumn="0" w:firstRowLastColumn="0" w:lastRowFirstColumn="0" w:lastRowLastColumn="0"/>
              <w:rPr>
                <w:rFonts w:eastAsia="Calibri"/>
                <w:szCs w:val="20"/>
                <w:lang w:bidi="ar-SA"/>
              </w:rPr>
            </w:pPr>
          </w:p>
        </w:tc>
        <w:tc>
          <w:tcPr>
            <w:tcW w:w="0" w:type="auto"/>
            <w:tcBorders>
              <w:top w:val="single" w:sz="4" w:space="0" w:color="B4C6E7" w:themeColor="accent1" w:themeTint="66"/>
            </w:tcBorders>
          </w:tcPr>
          <w:p w14:paraId="22302CEE" w14:textId="37FE9C4A" w:rsidR="00312C69" w:rsidRPr="00481B02" w:rsidRDefault="00312C69" w:rsidP="00312C69">
            <w:pPr>
              <w:jc w:val="left"/>
              <w:cnfStyle w:val="000000000000" w:firstRow="0" w:lastRow="0" w:firstColumn="0" w:lastColumn="0" w:oddVBand="0" w:evenVBand="0" w:oddHBand="0" w:evenHBand="0" w:firstRowFirstColumn="0" w:firstRowLastColumn="0" w:lastRowFirstColumn="0" w:lastRowLastColumn="0"/>
              <w:rPr>
                <w:rFonts w:eastAsia="Calibri"/>
                <w:szCs w:val="20"/>
                <w:lang w:bidi="ar-SA"/>
              </w:rPr>
            </w:pPr>
            <w:r w:rsidRPr="00312C69">
              <w:rPr>
                <w:rFonts w:eastAsia="Calibri"/>
                <w:szCs w:val="20"/>
                <w:lang w:bidi="ar-SA"/>
              </w:rPr>
              <w:t>5 000 MAD / dispositif</w:t>
            </w:r>
          </w:p>
        </w:tc>
      </w:tr>
      <w:tr w:rsidR="00312C69" w:rsidRPr="00911732" w14:paraId="34ED92B2" w14:textId="77777777" w:rsidTr="001B673F">
        <w:trPr>
          <w:trHeight w:val="993"/>
        </w:trPr>
        <w:tc>
          <w:tcPr>
            <w:cnfStyle w:val="001000000000" w:firstRow="0" w:lastRow="0" w:firstColumn="1" w:lastColumn="0" w:oddVBand="0" w:evenVBand="0" w:oddHBand="0" w:evenHBand="0" w:firstRowFirstColumn="0" w:firstRowLastColumn="0" w:lastRowFirstColumn="0" w:lastRowLastColumn="0"/>
            <w:tcW w:w="0" w:type="auto"/>
            <w:vMerge/>
            <w:hideMark/>
          </w:tcPr>
          <w:p w14:paraId="7E85626D" w14:textId="77777777" w:rsidR="00312C69" w:rsidRPr="004637C7" w:rsidRDefault="00312C69" w:rsidP="00312C69">
            <w:pPr>
              <w:jc w:val="center"/>
              <w:rPr>
                <w:rFonts w:eastAsia="Calibri"/>
                <w:b w:val="0"/>
                <w:bCs w:val="0"/>
                <w:szCs w:val="20"/>
                <w:lang w:bidi="ar-SA"/>
              </w:rPr>
            </w:pPr>
          </w:p>
        </w:tc>
        <w:tc>
          <w:tcPr>
            <w:tcW w:w="0" w:type="auto"/>
            <w:vMerge w:val="restart"/>
            <w:hideMark/>
          </w:tcPr>
          <w:p w14:paraId="5E1DF891" w14:textId="77777777" w:rsidR="00312C69" w:rsidRPr="004637C7" w:rsidRDefault="00312C69" w:rsidP="00312C69">
            <w:pPr>
              <w:jc w:val="left"/>
              <w:cnfStyle w:val="000000000000" w:firstRow="0" w:lastRow="0" w:firstColumn="0" w:lastColumn="0" w:oddVBand="0" w:evenVBand="0" w:oddHBand="0" w:evenHBand="0" w:firstRowFirstColumn="0" w:firstRowLastColumn="0" w:lastRowFirstColumn="0" w:lastRowLastColumn="0"/>
              <w:rPr>
                <w:rFonts w:eastAsia="Calibri"/>
                <w:szCs w:val="20"/>
                <w:lang w:bidi="ar-SA"/>
              </w:rPr>
            </w:pPr>
            <w:r w:rsidRPr="004637C7">
              <w:rPr>
                <w:rFonts w:eastAsia="Calibri"/>
                <w:szCs w:val="20"/>
                <w:lang w:bidi="ar-SA"/>
              </w:rPr>
              <w:t>Réduire</w:t>
            </w:r>
          </w:p>
        </w:tc>
        <w:tc>
          <w:tcPr>
            <w:tcW w:w="2585" w:type="dxa"/>
            <w:tcBorders>
              <w:bottom w:val="single" w:sz="4" w:space="0" w:color="B4C6E7" w:themeColor="accent1" w:themeTint="66"/>
            </w:tcBorders>
            <w:hideMark/>
          </w:tcPr>
          <w:p w14:paraId="3ED5AE04" w14:textId="10CA4BE1" w:rsidR="00312C69" w:rsidRPr="004637C7" w:rsidRDefault="00312C69" w:rsidP="00312C69">
            <w:pPr>
              <w:jc w:val="left"/>
              <w:cnfStyle w:val="000000000000" w:firstRow="0" w:lastRow="0" w:firstColumn="0" w:lastColumn="0" w:oddVBand="0" w:evenVBand="0" w:oddHBand="0" w:evenHBand="0" w:firstRowFirstColumn="0" w:firstRowLastColumn="0" w:lastRowFirstColumn="0" w:lastRowLastColumn="0"/>
              <w:rPr>
                <w:rFonts w:eastAsia="Calibri"/>
                <w:szCs w:val="20"/>
                <w:lang w:bidi="ar-SA"/>
              </w:rPr>
            </w:pPr>
            <w:r w:rsidRPr="004637C7">
              <w:rPr>
                <w:rFonts w:eastAsia="Calibri"/>
                <w:szCs w:val="20"/>
                <w:lang w:bidi="ar-SA"/>
              </w:rPr>
              <w:t xml:space="preserve">Former tous les conducteurs et agents de piste aux règles de circulation ; </w:t>
            </w:r>
          </w:p>
        </w:tc>
        <w:tc>
          <w:tcPr>
            <w:tcW w:w="1613" w:type="dxa"/>
            <w:vMerge w:val="restart"/>
            <w:hideMark/>
          </w:tcPr>
          <w:p w14:paraId="102D6EB7" w14:textId="77777777" w:rsidR="00312C69" w:rsidRPr="00481B02" w:rsidRDefault="00312C69" w:rsidP="00312C69">
            <w:pPr>
              <w:jc w:val="left"/>
              <w:cnfStyle w:val="000000000000" w:firstRow="0" w:lastRow="0" w:firstColumn="0" w:lastColumn="0" w:oddVBand="0" w:evenVBand="0" w:oddHBand="0" w:evenHBand="0" w:firstRowFirstColumn="0" w:firstRowLastColumn="0" w:lastRowFirstColumn="0" w:lastRowLastColumn="0"/>
              <w:rPr>
                <w:rFonts w:eastAsia="Calibri"/>
                <w:szCs w:val="20"/>
                <w:lang w:bidi="ar-SA"/>
              </w:rPr>
            </w:pPr>
            <w:r w:rsidRPr="004637C7">
              <w:rPr>
                <w:rFonts w:eastAsia="Calibri"/>
                <w:szCs w:val="20"/>
                <w:lang w:bidi="ar-SA"/>
              </w:rPr>
              <w:t xml:space="preserve">% du personnel certifié </w:t>
            </w:r>
          </w:p>
          <w:p w14:paraId="2681930A" w14:textId="6B8609A8" w:rsidR="00312C69" w:rsidRPr="004637C7" w:rsidRDefault="00312C69" w:rsidP="00312C69">
            <w:pPr>
              <w:jc w:val="left"/>
              <w:cnfStyle w:val="000000000000" w:firstRow="0" w:lastRow="0" w:firstColumn="0" w:lastColumn="0" w:oddVBand="0" w:evenVBand="0" w:oddHBand="0" w:evenHBand="0" w:firstRowFirstColumn="0" w:firstRowLastColumn="0" w:lastRowFirstColumn="0" w:lastRowLastColumn="0"/>
              <w:rPr>
                <w:rFonts w:eastAsia="Calibri"/>
                <w:szCs w:val="20"/>
                <w:lang w:bidi="ar-SA"/>
              </w:rPr>
            </w:pPr>
            <w:r w:rsidRPr="004637C7">
              <w:rPr>
                <w:rFonts w:eastAsia="Calibri"/>
                <w:szCs w:val="20"/>
                <w:lang w:bidi="ar-SA"/>
              </w:rPr>
              <w:t xml:space="preserve"> Nb de sessions</w:t>
            </w:r>
          </w:p>
        </w:tc>
        <w:tc>
          <w:tcPr>
            <w:tcW w:w="0" w:type="auto"/>
            <w:vMerge w:val="restart"/>
            <w:hideMark/>
          </w:tcPr>
          <w:p w14:paraId="53F2BA54" w14:textId="191F782F" w:rsidR="00312C69" w:rsidRPr="004637C7" w:rsidRDefault="00312C69" w:rsidP="00312C69">
            <w:pPr>
              <w:jc w:val="center"/>
              <w:cnfStyle w:val="000000000000" w:firstRow="0" w:lastRow="0" w:firstColumn="0" w:lastColumn="0" w:oddVBand="0" w:evenVBand="0" w:oddHBand="0" w:evenHBand="0" w:firstRowFirstColumn="0" w:firstRowLastColumn="0" w:lastRowFirstColumn="0" w:lastRowLastColumn="0"/>
              <w:rPr>
                <w:rFonts w:eastAsia="Calibri"/>
                <w:szCs w:val="20"/>
                <w:lang w:bidi="ar-SA"/>
              </w:rPr>
            </w:pPr>
            <w:r w:rsidRPr="00481B02">
              <w:rPr>
                <w:szCs w:val="20"/>
                <w:lang w:eastAsia="fr-FR" w:bidi="ar-SA"/>
              </w:rPr>
              <w:t>ONDA / Exploitant</w:t>
            </w:r>
          </w:p>
        </w:tc>
        <w:tc>
          <w:tcPr>
            <w:tcW w:w="0" w:type="auto"/>
            <w:vMerge w:val="restart"/>
            <w:hideMark/>
          </w:tcPr>
          <w:p w14:paraId="21E2FE3C" w14:textId="1760B192" w:rsidR="00312C69" w:rsidRPr="004637C7" w:rsidRDefault="00312C69" w:rsidP="00312C69">
            <w:pPr>
              <w:jc w:val="center"/>
              <w:cnfStyle w:val="000000000000" w:firstRow="0" w:lastRow="0" w:firstColumn="0" w:lastColumn="0" w:oddVBand="0" w:evenVBand="0" w:oddHBand="0" w:evenHBand="0" w:firstRowFirstColumn="0" w:firstRowLastColumn="0" w:lastRowFirstColumn="0" w:lastRowLastColumn="0"/>
              <w:rPr>
                <w:rFonts w:eastAsia="Calibri"/>
                <w:szCs w:val="20"/>
                <w:lang w:bidi="ar-SA"/>
              </w:rPr>
            </w:pPr>
            <w:r w:rsidRPr="00481B02">
              <w:rPr>
                <w:szCs w:val="20"/>
                <w:lang w:eastAsia="fr-FR" w:bidi="ar-SA"/>
              </w:rPr>
              <w:t>ONDA</w:t>
            </w:r>
          </w:p>
        </w:tc>
        <w:tc>
          <w:tcPr>
            <w:tcW w:w="0" w:type="auto"/>
            <w:vMerge w:val="restart"/>
            <w:hideMark/>
          </w:tcPr>
          <w:p w14:paraId="1C4015D9" w14:textId="1F7B322B" w:rsidR="00312C69" w:rsidRPr="004637C7" w:rsidRDefault="00312C69" w:rsidP="00312C69">
            <w:pPr>
              <w:jc w:val="center"/>
              <w:cnfStyle w:val="000000000000" w:firstRow="0" w:lastRow="0" w:firstColumn="0" w:lastColumn="0" w:oddVBand="0" w:evenVBand="0" w:oddHBand="0" w:evenHBand="0" w:firstRowFirstColumn="0" w:firstRowLastColumn="0" w:lastRowFirstColumn="0" w:lastRowLastColumn="0"/>
              <w:rPr>
                <w:rFonts w:eastAsia="Calibri"/>
                <w:szCs w:val="20"/>
                <w:lang w:bidi="ar-SA"/>
              </w:rPr>
            </w:pPr>
            <w:r w:rsidRPr="00481B02">
              <w:rPr>
                <w:szCs w:val="20"/>
                <w:lang w:eastAsia="fr-FR" w:bidi="ar-SA"/>
              </w:rPr>
              <w:t>ONDA</w:t>
            </w:r>
          </w:p>
        </w:tc>
        <w:tc>
          <w:tcPr>
            <w:tcW w:w="0" w:type="auto"/>
            <w:vMerge w:val="restart"/>
            <w:hideMark/>
          </w:tcPr>
          <w:p w14:paraId="6192D556" w14:textId="77777777" w:rsidR="00312C69" w:rsidRPr="004637C7" w:rsidRDefault="00312C69" w:rsidP="00312C69">
            <w:pPr>
              <w:jc w:val="center"/>
              <w:cnfStyle w:val="000000000000" w:firstRow="0" w:lastRow="0" w:firstColumn="0" w:lastColumn="0" w:oddVBand="0" w:evenVBand="0" w:oddHBand="0" w:evenHBand="0" w:firstRowFirstColumn="0" w:firstRowLastColumn="0" w:lastRowFirstColumn="0" w:lastRowLastColumn="0"/>
              <w:rPr>
                <w:rFonts w:eastAsia="Calibri"/>
                <w:szCs w:val="20"/>
                <w:lang w:bidi="ar-SA"/>
              </w:rPr>
            </w:pPr>
            <w:r w:rsidRPr="004637C7">
              <w:rPr>
                <w:rFonts w:eastAsia="Calibri"/>
                <w:szCs w:val="20"/>
                <w:lang w:bidi="ar-SA"/>
              </w:rPr>
              <w:t>Continu</w:t>
            </w:r>
          </w:p>
        </w:tc>
        <w:tc>
          <w:tcPr>
            <w:tcW w:w="0" w:type="auto"/>
            <w:tcBorders>
              <w:bottom w:val="single" w:sz="4" w:space="0" w:color="B4C6E7" w:themeColor="accent1" w:themeTint="66"/>
            </w:tcBorders>
            <w:hideMark/>
          </w:tcPr>
          <w:p w14:paraId="590F2439" w14:textId="67B79277" w:rsidR="00312C69" w:rsidRPr="004637C7" w:rsidRDefault="00312C69" w:rsidP="00D60FC9">
            <w:pPr>
              <w:jc w:val="left"/>
              <w:cnfStyle w:val="000000000000" w:firstRow="0" w:lastRow="0" w:firstColumn="0" w:lastColumn="0" w:oddVBand="0" w:evenVBand="0" w:oddHBand="0" w:evenHBand="0" w:firstRowFirstColumn="0" w:firstRowLastColumn="0" w:lastRowFirstColumn="0" w:lastRowLastColumn="0"/>
              <w:rPr>
                <w:rFonts w:eastAsia="Calibri"/>
                <w:szCs w:val="20"/>
                <w:lang w:bidi="ar-SA"/>
              </w:rPr>
            </w:pPr>
            <w:r w:rsidRPr="00312C69">
              <w:rPr>
                <w:rFonts w:eastAsia="Calibri"/>
                <w:szCs w:val="20"/>
                <w:lang w:bidi="ar-SA"/>
              </w:rPr>
              <w:t>8 000 MAD / session (15 pers.)</w:t>
            </w:r>
          </w:p>
        </w:tc>
      </w:tr>
      <w:tr w:rsidR="00312C69" w:rsidRPr="00911732" w14:paraId="0A4264E4" w14:textId="77777777" w:rsidTr="001B673F">
        <w:trPr>
          <w:trHeight w:val="1047"/>
        </w:trPr>
        <w:tc>
          <w:tcPr>
            <w:cnfStyle w:val="001000000000" w:firstRow="0" w:lastRow="0" w:firstColumn="1" w:lastColumn="0" w:oddVBand="0" w:evenVBand="0" w:oddHBand="0" w:evenHBand="0" w:firstRowFirstColumn="0" w:firstRowLastColumn="0" w:lastRowFirstColumn="0" w:lastRowLastColumn="0"/>
            <w:tcW w:w="0" w:type="auto"/>
            <w:vMerge/>
          </w:tcPr>
          <w:p w14:paraId="60AF6A0F" w14:textId="77777777" w:rsidR="00312C69" w:rsidRPr="004637C7" w:rsidRDefault="00312C69" w:rsidP="00312C69">
            <w:pPr>
              <w:jc w:val="center"/>
              <w:rPr>
                <w:rFonts w:eastAsia="Calibri"/>
                <w:b w:val="0"/>
                <w:bCs w:val="0"/>
                <w:szCs w:val="20"/>
                <w:lang w:bidi="ar-SA"/>
              </w:rPr>
            </w:pPr>
          </w:p>
        </w:tc>
        <w:tc>
          <w:tcPr>
            <w:tcW w:w="0" w:type="auto"/>
            <w:vMerge/>
          </w:tcPr>
          <w:p w14:paraId="4484B793" w14:textId="77777777" w:rsidR="00312C69" w:rsidRPr="004637C7" w:rsidRDefault="00312C69" w:rsidP="00312C69">
            <w:pPr>
              <w:jc w:val="left"/>
              <w:cnfStyle w:val="000000000000" w:firstRow="0" w:lastRow="0" w:firstColumn="0" w:lastColumn="0" w:oddVBand="0" w:evenVBand="0" w:oddHBand="0" w:evenHBand="0" w:firstRowFirstColumn="0" w:firstRowLastColumn="0" w:lastRowFirstColumn="0" w:lastRowLastColumn="0"/>
              <w:rPr>
                <w:rFonts w:eastAsia="Calibri"/>
                <w:szCs w:val="20"/>
                <w:lang w:bidi="ar-SA"/>
              </w:rPr>
            </w:pPr>
          </w:p>
        </w:tc>
        <w:tc>
          <w:tcPr>
            <w:tcW w:w="2585" w:type="dxa"/>
            <w:tcBorders>
              <w:top w:val="single" w:sz="4" w:space="0" w:color="B4C6E7" w:themeColor="accent1" w:themeTint="66"/>
            </w:tcBorders>
          </w:tcPr>
          <w:p w14:paraId="328356C6" w14:textId="77777777" w:rsidR="00312C69" w:rsidRPr="004637C7" w:rsidRDefault="00312C69" w:rsidP="00312C69">
            <w:pPr>
              <w:jc w:val="left"/>
              <w:cnfStyle w:val="000000000000" w:firstRow="0" w:lastRow="0" w:firstColumn="0" w:lastColumn="0" w:oddVBand="0" w:evenVBand="0" w:oddHBand="0" w:evenHBand="0" w:firstRowFirstColumn="0" w:firstRowLastColumn="0" w:lastRowFirstColumn="0" w:lastRowLastColumn="0"/>
              <w:rPr>
                <w:rFonts w:eastAsia="Calibri"/>
                <w:szCs w:val="20"/>
                <w:lang w:bidi="ar-SA"/>
              </w:rPr>
            </w:pPr>
            <w:r w:rsidRPr="00481B02">
              <w:rPr>
                <w:rFonts w:eastAsia="Calibri"/>
                <w:szCs w:val="20"/>
                <w:lang w:bidi="ar-SA"/>
              </w:rPr>
              <w:t>I</w:t>
            </w:r>
            <w:r w:rsidRPr="004637C7">
              <w:rPr>
                <w:rFonts w:eastAsia="Calibri"/>
                <w:szCs w:val="20"/>
                <w:lang w:bidi="ar-SA"/>
              </w:rPr>
              <w:t>mposer un permis interne de conduite en zone aéronautique.</w:t>
            </w:r>
          </w:p>
        </w:tc>
        <w:tc>
          <w:tcPr>
            <w:tcW w:w="1613" w:type="dxa"/>
            <w:vMerge/>
          </w:tcPr>
          <w:p w14:paraId="73A4B1A2" w14:textId="77777777" w:rsidR="00312C69" w:rsidRPr="004637C7" w:rsidRDefault="00312C69" w:rsidP="00312C69">
            <w:pPr>
              <w:jc w:val="left"/>
              <w:cnfStyle w:val="000000000000" w:firstRow="0" w:lastRow="0" w:firstColumn="0" w:lastColumn="0" w:oddVBand="0" w:evenVBand="0" w:oddHBand="0" w:evenHBand="0" w:firstRowFirstColumn="0" w:firstRowLastColumn="0" w:lastRowFirstColumn="0" w:lastRowLastColumn="0"/>
              <w:rPr>
                <w:rFonts w:eastAsia="Calibri"/>
                <w:szCs w:val="20"/>
                <w:lang w:bidi="ar-SA"/>
              </w:rPr>
            </w:pPr>
          </w:p>
        </w:tc>
        <w:tc>
          <w:tcPr>
            <w:tcW w:w="0" w:type="auto"/>
            <w:vMerge/>
          </w:tcPr>
          <w:p w14:paraId="103F8D8A" w14:textId="77777777" w:rsidR="00312C69" w:rsidRPr="00481B02" w:rsidRDefault="00312C69" w:rsidP="00312C69">
            <w:pPr>
              <w:jc w:val="center"/>
              <w:cnfStyle w:val="000000000000" w:firstRow="0" w:lastRow="0" w:firstColumn="0" w:lastColumn="0" w:oddVBand="0" w:evenVBand="0" w:oddHBand="0" w:evenHBand="0" w:firstRowFirstColumn="0" w:firstRowLastColumn="0" w:lastRowFirstColumn="0" w:lastRowLastColumn="0"/>
              <w:rPr>
                <w:szCs w:val="20"/>
                <w:lang w:eastAsia="fr-FR" w:bidi="ar-SA"/>
              </w:rPr>
            </w:pPr>
          </w:p>
        </w:tc>
        <w:tc>
          <w:tcPr>
            <w:tcW w:w="0" w:type="auto"/>
            <w:vMerge/>
          </w:tcPr>
          <w:p w14:paraId="71259A02" w14:textId="77777777" w:rsidR="00312C69" w:rsidRPr="00481B02" w:rsidRDefault="00312C69" w:rsidP="00312C69">
            <w:pPr>
              <w:jc w:val="center"/>
              <w:cnfStyle w:val="000000000000" w:firstRow="0" w:lastRow="0" w:firstColumn="0" w:lastColumn="0" w:oddVBand="0" w:evenVBand="0" w:oddHBand="0" w:evenHBand="0" w:firstRowFirstColumn="0" w:firstRowLastColumn="0" w:lastRowFirstColumn="0" w:lastRowLastColumn="0"/>
              <w:rPr>
                <w:szCs w:val="20"/>
                <w:lang w:eastAsia="fr-FR" w:bidi="ar-SA"/>
              </w:rPr>
            </w:pPr>
          </w:p>
        </w:tc>
        <w:tc>
          <w:tcPr>
            <w:tcW w:w="0" w:type="auto"/>
            <w:vMerge/>
          </w:tcPr>
          <w:p w14:paraId="4A922561" w14:textId="77777777" w:rsidR="00312C69" w:rsidRPr="00481B02" w:rsidRDefault="00312C69" w:rsidP="00312C69">
            <w:pPr>
              <w:jc w:val="center"/>
              <w:cnfStyle w:val="000000000000" w:firstRow="0" w:lastRow="0" w:firstColumn="0" w:lastColumn="0" w:oddVBand="0" w:evenVBand="0" w:oddHBand="0" w:evenHBand="0" w:firstRowFirstColumn="0" w:firstRowLastColumn="0" w:lastRowFirstColumn="0" w:lastRowLastColumn="0"/>
              <w:rPr>
                <w:szCs w:val="20"/>
                <w:lang w:eastAsia="fr-FR" w:bidi="ar-SA"/>
              </w:rPr>
            </w:pPr>
          </w:p>
        </w:tc>
        <w:tc>
          <w:tcPr>
            <w:tcW w:w="0" w:type="auto"/>
            <w:vMerge/>
          </w:tcPr>
          <w:p w14:paraId="63B0CE62" w14:textId="77777777" w:rsidR="00312C69" w:rsidRPr="004637C7" w:rsidRDefault="00312C69" w:rsidP="00312C69">
            <w:pPr>
              <w:jc w:val="center"/>
              <w:cnfStyle w:val="000000000000" w:firstRow="0" w:lastRow="0" w:firstColumn="0" w:lastColumn="0" w:oddVBand="0" w:evenVBand="0" w:oddHBand="0" w:evenHBand="0" w:firstRowFirstColumn="0" w:firstRowLastColumn="0" w:lastRowFirstColumn="0" w:lastRowLastColumn="0"/>
              <w:rPr>
                <w:rFonts w:eastAsia="Calibri"/>
                <w:szCs w:val="20"/>
                <w:lang w:bidi="ar-SA"/>
              </w:rPr>
            </w:pPr>
          </w:p>
        </w:tc>
        <w:tc>
          <w:tcPr>
            <w:tcW w:w="0" w:type="auto"/>
            <w:tcBorders>
              <w:top w:val="single" w:sz="4" w:space="0" w:color="B4C6E7" w:themeColor="accent1" w:themeTint="66"/>
            </w:tcBorders>
          </w:tcPr>
          <w:p w14:paraId="10EA5EC5" w14:textId="1CF630B8" w:rsidR="00312C69" w:rsidRPr="00481B02" w:rsidRDefault="000A1410" w:rsidP="00312C69">
            <w:pPr>
              <w:jc w:val="left"/>
              <w:cnfStyle w:val="000000000000" w:firstRow="0" w:lastRow="0" w:firstColumn="0" w:lastColumn="0" w:oddVBand="0" w:evenVBand="0" w:oddHBand="0" w:evenHBand="0" w:firstRowFirstColumn="0" w:firstRowLastColumn="0" w:lastRowFirstColumn="0" w:lastRowLastColumn="0"/>
              <w:rPr>
                <w:rFonts w:eastAsia="Calibri"/>
                <w:szCs w:val="20"/>
                <w:lang w:bidi="ar-SA"/>
              </w:rPr>
            </w:pPr>
            <w:r w:rsidRPr="000A1410">
              <w:rPr>
                <w:rFonts w:eastAsia="Calibri"/>
                <w:szCs w:val="20"/>
                <w:lang w:bidi="ar-SA"/>
              </w:rPr>
              <w:t>1 000 MAD / formation / agent</w:t>
            </w:r>
          </w:p>
        </w:tc>
      </w:tr>
      <w:tr w:rsidR="00312C69" w:rsidRPr="00911732" w14:paraId="1A35578D" w14:textId="77777777" w:rsidTr="001B673F">
        <w:trPr>
          <w:trHeight w:val="1015"/>
        </w:trPr>
        <w:tc>
          <w:tcPr>
            <w:cnfStyle w:val="001000000000" w:firstRow="0" w:lastRow="0" w:firstColumn="1" w:lastColumn="0" w:oddVBand="0" w:evenVBand="0" w:oddHBand="0" w:evenHBand="0" w:firstRowFirstColumn="0" w:firstRowLastColumn="0" w:lastRowFirstColumn="0" w:lastRowLastColumn="0"/>
            <w:tcW w:w="0" w:type="auto"/>
            <w:vMerge/>
            <w:hideMark/>
          </w:tcPr>
          <w:p w14:paraId="19219766" w14:textId="77777777" w:rsidR="00312C69" w:rsidRPr="004637C7" w:rsidRDefault="00312C69" w:rsidP="00312C69">
            <w:pPr>
              <w:jc w:val="center"/>
              <w:rPr>
                <w:rFonts w:eastAsia="Calibri"/>
                <w:b w:val="0"/>
                <w:bCs w:val="0"/>
                <w:szCs w:val="20"/>
                <w:lang w:bidi="ar-SA"/>
              </w:rPr>
            </w:pPr>
          </w:p>
        </w:tc>
        <w:tc>
          <w:tcPr>
            <w:tcW w:w="0" w:type="auto"/>
            <w:vMerge w:val="restart"/>
            <w:hideMark/>
          </w:tcPr>
          <w:p w14:paraId="38B9EAA3" w14:textId="77777777" w:rsidR="00312C69" w:rsidRPr="004637C7" w:rsidRDefault="00312C69" w:rsidP="00312C69">
            <w:pPr>
              <w:jc w:val="left"/>
              <w:cnfStyle w:val="000000000000" w:firstRow="0" w:lastRow="0" w:firstColumn="0" w:lastColumn="0" w:oddVBand="0" w:evenVBand="0" w:oddHBand="0" w:evenHBand="0" w:firstRowFirstColumn="0" w:firstRowLastColumn="0" w:lastRowFirstColumn="0" w:lastRowLastColumn="0"/>
              <w:rPr>
                <w:rFonts w:eastAsia="Calibri"/>
                <w:szCs w:val="20"/>
                <w:lang w:bidi="ar-SA"/>
              </w:rPr>
            </w:pPr>
            <w:r w:rsidRPr="004637C7">
              <w:rPr>
                <w:rFonts w:eastAsia="Calibri"/>
                <w:szCs w:val="20"/>
                <w:lang w:bidi="ar-SA"/>
              </w:rPr>
              <w:t>Atténuer</w:t>
            </w:r>
          </w:p>
        </w:tc>
        <w:tc>
          <w:tcPr>
            <w:tcW w:w="2585" w:type="dxa"/>
            <w:tcBorders>
              <w:bottom w:val="single" w:sz="4" w:space="0" w:color="B4C6E7" w:themeColor="accent1" w:themeTint="66"/>
            </w:tcBorders>
            <w:hideMark/>
          </w:tcPr>
          <w:p w14:paraId="4F6B4D19" w14:textId="16170580" w:rsidR="00312C69" w:rsidRPr="004637C7" w:rsidRDefault="00312C69" w:rsidP="00312C69">
            <w:pPr>
              <w:jc w:val="left"/>
              <w:cnfStyle w:val="000000000000" w:firstRow="0" w:lastRow="0" w:firstColumn="0" w:lastColumn="0" w:oddVBand="0" w:evenVBand="0" w:oddHBand="0" w:evenHBand="0" w:firstRowFirstColumn="0" w:firstRowLastColumn="0" w:lastRowFirstColumn="0" w:lastRowLastColumn="0"/>
              <w:rPr>
                <w:rFonts w:eastAsia="Calibri"/>
                <w:szCs w:val="20"/>
                <w:lang w:bidi="ar-SA"/>
              </w:rPr>
            </w:pPr>
            <w:r w:rsidRPr="004637C7">
              <w:rPr>
                <w:rFonts w:eastAsia="Calibri"/>
                <w:szCs w:val="20"/>
                <w:lang w:bidi="ar-SA"/>
              </w:rPr>
              <w:t xml:space="preserve">Installer alarmes de recul et gyrophares sur tous les engins ; </w:t>
            </w:r>
          </w:p>
        </w:tc>
        <w:tc>
          <w:tcPr>
            <w:tcW w:w="1613" w:type="dxa"/>
            <w:vMerge w:val="restart"/>
            <w:hideMark/>
          </w:tcPr>
          <w:p w14:paraId="1C70FFAA" w14:textId="77777777" w:rsidR="00312C69" w:rsidRPr="00481B02" w:rsidRDefault="00312C69" w:rsidP="00312C69">
            <w:pPr>
              <w:jc w:val="left"/>
              <w:cnfStyle w:val="000000000000" w:firstRow="0" w:lastRow="0" w:firstColumn="0" w:lastColumn="0" w:oddVBand="0" w:evenVBand="0" w:oddHBand="0" w:evenHBand="0" w:firstRowFirstColumn="0" w:firstRowLastColumn="0" w:lastRowFirstColumn="0" w:lastRowLastColumn="0"/>
              <w:rPr>
                <w:rFonts w:eastAsia="Calibri"/>
                <w:szCs w:val="20"/>
                <w:lang w:bidi="ar-SA"/>
              </w:rPr>
            </w:pPr>
            <w:r w:rsidRPr="004637C7">
              <w:rPr>
                <w:rFonts w:eastAsia="Calibri"/>
                <w:szCs w:val="20"/>
                <w:lang w:bidi="ar-SA"/>
              </w:rPr>
              <w:t xml:space="preserve">Nb d’alarmes installées </w:t>
            </w:r>
          </w:p>
          <w:p w14:paraId="6279A8C6" w14:textId="619496FB" w:rsidR="00312C69" w:rsidRPr="004637C7" w:rsidRDefault="00312C69" w:rsidP="00312C69">
            <w:pPr>
              <w:jc w:val="left"/>
              <w:cnfStyle w:val="000000000000" w:firstRow="0" w:lastRow="0" w:firstColumn="0" w:lastColumn="0" w:oddVBand="0" w:evenVBand="0" w:oddHBand="0" w:evenHBand="0" w:firstRowFirstColumn="0" w:firstRowLastColumn="0" w:lastRowFirstColumn="0" w:lastRowLastColumn="0"/>
              <w:rPr>
                <w:rFonts w:eastAsia="Calibri"/>
                <w:szCs w:val="20"/>
                <w:lang w:bidi="ar-SA"/>
              </w:rPr>
            </w:pPr>
            <w:r w:rsidRPr="004637C7">
              <w:rPr>
                <w:rFonts w:eastAsia="Calibri"/>
                <w:szCs w:val="20"/>
                <w:lang w:bidi="ar-SA"/>
              </w:rPr>
              <w:t>Nb d’agents affectés</w:t>
            </w:r>
          </w:p>
        </w:tc>
        <w:tc>
          <w:tcPr>
            <w:tcW w:w="0" w:type="auto"/>
            <w:vMerge w:val="restart"/>
            <w:hideMark/>
          </w:tcPr>
          <w:p w14:paraId="704C94F6" w14:textId="5CDAB060" w:rsidR="00312C69" w:rsidRPr="004637C7" w:rsidRDefault="00312C69" w:rsidP="00312C69">
            <w:pPr>
              <w:jc w:val="center"/>
              <w:cnfStyle w:val="000000000000" w:firstRow="0" w:lastRow="0" w:firstColumn="0" w:lastColumn="0" w:oddVBand="0" w:evenVBand="0" w:oddHBand="0" w:evenHBand="0" w:firstRowFirstColumn="0" w:firstRowLastColumn="0" w:lastRowFirstColumn="0" w:lastRowLastColumn="0"/>
              <w:rPr>
                <w:rFonts w:eastAsia="Calibri"/>
                <w:szCs w:val="20"/>
                <w:lang w:bidi="ar-SA"/>
              </w:rPr>
            </w:pPr>
            <w:r w:rsidRPr="00481B02">
              <w:rPr>
                <w:szCs w:val="20"/>
                <w:lang w:eastAsia="fr-FR" w:bidi="ar-SA"/>
              </w:rPr>
              <w:t>ONDA / Exploitant</w:t>
            </w:r>
          </w:p>
        </w:tc>
        <w:tc>
          <w:tcPr>
            <w:tcW w:w="0" w:type="auto"/>
            <w:vMerge w:val="restart"/>
            <w:hideMark/>
          </w:tcPr>
          <w:p w14:paraId="44FB83D3" w14:textId="668AE7C0" w:rsidR="00312C69" w:rsidRPr="004637C7" w:rsidRDefault="00312C69" w:rsidP="00312C69">
            <w:pPr>
              <w:jc w:val="center"/>
              <w:cnfStyle w:val="000000000000" w:firstRow="0" w:lastRow="0" w:firstColumn="0" w:lastColumn="0" w:oddVBand="0" w:evenVBand="0" w:oddHBand="0" w:evenHBand="0" w:firstRowFirstColumn="0" w:firstRowLastColumn="0" w:lastRowFirstColumn="0" w:lastRowLastColumn="0"/>
              <w:rPr>
                <w:rFonts w:eastAsia="Calibri"/>
                <w:szCs w:val="20"/>
                <w:lang w:bidi="ar-SA"/>
              </w:rPr>
            </w:pPr>
            <w:r w:rsidRPr="00481B02">
              <w:rPr>
                <w:szCs w:val="20"/>
                <w:lang w:eastAsia="fr-FR" w:bidi="ar-SA"/>
              </w:rPr>
              <w:t>ONDA</w:t>
            </w:r>
          </w:p>
        </w:tc>
        <w:tc>
          <w:tcPr>
            <w:tcW w:w="0" w:type="auto"/>
            <w:vMerge w:val="restart"/>
            <w:hideMark/>
          </w:tcPr>
          <w:p w14:paraId="7FFD0333" w14:textId="42BF9CE6" w:rsidR="00312C69" w:rsidRPr="004637C7" w:rsidRDefault="00312C69" w:rsidP="00312C69">
            <w:pPr>
              <w:jc w:val="center"/>
              <w:cnfStyle w:val="000000000000" w:firstRow="0" w:lastRow="0" w:firstColumn="0" w:lastColumn="0" w:oddVBand="0" w:evenVBand="0" w:oddHBand="0" w:evenHBand="0" w:firstRowFirstColumn="0" w:firstRowLastColumn="0" w:lastRowFirstColumn="0" w:lastRowLastColumn="0"/>
              <w:rPr>
                <w:rFonts w:eastAsia="Calibri"/>
                <w:szCs w:val="20"/>
                <w:lang w:bidi="ar-SA"/>
              </w:rPr>
            </w:pPr>
            <w:r w:rsidRPr="00481B02">
              <w:rPr>
                <w:szCs w:val="20"/>
                <w:lang w:eastAsia="fr-FR" w:bidi="ar-SA"/>
              </w:rPr>
              <w:t>ONDA</w:t>
            </w:r>
          </w:p>
        </w:tc>
        <w:tc>
          <w:tcPr>
            <w:tcW w:w="0" w:type="auto"/>
            <w:vMerge w:val="restart"/>
            <w:hideMark/>
          </w:tcPr>
          <w:p w14:paraId="2870BBA8" w14:textId="77777777" w:rsidR="00312C69" w:rsidRPr="004637C7" w:rsidRDefault="00312C69" w:rsidP="00312C69">
            <w:pPr>
              <w:jc w:val="center"/>
              <w:cnfStyle w:val="000000000000" w:firstRow="0" w:lastRow="0" w:firstColumn="0" w:lastColumn="0" w:oddVBand="0" w:evenVBand="0" w:oddHBand="0" w:evenHBand="0" w:firstRowFirstColumn="0" w:firstRowLastColumn="0" w:lastRowFirstColumn="0" w:lastRowLastColumn="0"/>
              <w:rPr>
                <w:rFonts w:eastAsia="Calibri"/>
                <w:szCs w:val="20"/>
                <w:lang w:bidi="ar-SA"/>
              </w:rPr>
            </w:pPr>
            <w:r w:rsidRPr="004637C7">
              <w:rPr>
                <w:rFonts w:eastAsia="Calibri"/>
                <w:szCs w:val="20"/>
                <w:lang w:bidi="ar-SA"/>
              </w:rPr>
              <w:t>Quotidien</w:t>
            </w:r>
          </w:p>
        </w:tc>
        <w:tc>
          <w:tcPr>
            <w:tcW w:w="0" w:type="auto"/>
            <w:tcBorders>
              <w:bottom w:val="single" w:sz="4" w:space="0" w:color="B4C6E7" w:themeColor="accent1" w:themeTint="66"/>
            </w:tcBorders>
            <w:hideMark/>
          </w:tcPr>
          <w:p w14:paraId="07DBE6E3" w14:textId="087ACC2E" w:rsidR="00312C69" w:rsidRPr="004637C7" w:rsidRDefault="000A1410" w:rsidP="00D60FC9">
            <w:pPr>
              <w:jc w:val="left"/>
              <w:cnfStyle w:val="000000000000" w:firstRow="0" w:lastRow="0" w:firstColumn="0" w:lastColumn="0" w:oddVBand="0" w:evenVBand="0" w:oddHBand="0" w:evenHBand="0" w:firstRowFirstColumn="0" w:firstRowLastColumn="0" w:lastRowFirstColumn="0" w:lastRowLastColumn="0"/>
              <w:rPr>
                <w:rFonts w:eastAsia="Calibri"/>
                <w:szCs w:val="20"/>
                <w:lang w:bidi="ar-SA"/>
              </w:rPr>
            </w:pPr>
            <w:r w:rsidRPr="000A1410">
              <w:rPr>
                <w:szCs w:val="20"/>
              </w:rPr>
              <w:t>1 500 MAD / engin</w:t>
            </w:r>
          </w:p>
        </w:tc>
      </w:tr>
      <w:tr w:rsidR="00312C69" w:rsidRPr="00911732" w14:paraId="738A21A3" w14:textId="77777777" w:rsidTr="001B673F">
        <w:trPr>
          <w:trHeight w:val="1036"/>
        </w:trPr>
        <w:tc>
          <w:tcPr>
            <w:cnfStyle w:val="001000000000" w:firstRow="0" w:lastRow="0" w:firstColumn="1" w:lastColumn="0" w:oddVBand="0" w:evenVBand="0" w:oddHBand="0" w:evenHBand="0" w:firstRowFirstColumn="0" w:firstRowLastColumn="0" w:lastRowFirstColumn="0" w:lastRowLastColumn="0"/>
            <w:tcW w:w="0" w:type="auto"/>
            <w:vMerge/>
          </w:tcPr>
          <w:p w14:paraId="6869FAE8" w14:textId="77777777" w:rsidR="00312C69" w:rsidRPr="004637C7" w:rsidRDefault="00312C69" w:rsidP="00312C69">
            <w:pPr>
              <w:jc w:val="center"/>
              <w:rPr>
                <w:rFonts w:eastAsia="Calibri"/>
                <w:b w:val="0"/>
                <w:bCs w:val="0"/>
                <w:szCs w:val="20"/>
                <w:lang w:bidi="ar-SA"/>
              </w:rPr>
            </w:pPr>
          </w:p>
        </w:tc>
        <w:tc>
          <w:tcPr>
            <w:tcW w:w="0" w:type="auto"/>
            <w:vMerge/>
          </w:tcPr>
          <w:p w14:paraId="44CB79DC" w14:textId="77777777" w:rsidR="00312C69" w:rsidRPr="004637C7" w:rsidRDefault="00312C69" w:rsidP="00312C69">
            <w:pPr>
              <w:jc w:val="left"/>
              <w:cnfStyle w:val="000000000000" w:firstRow="0" w:lastRow="0" w:firstColumn="0" w:lastColumn="0" w:oddVBand="0" w:evenVBand="0" w:oddHBand="0" w:evenHBand="0" w:firstRowFirstColumn="0" w:firstRowLastColumn="0" w:lastRowFirstColumn="0" w:lastRowLastColumn="0"/>
              <w:rPr>
                <w:rFonts w:eastAsia="Calibri"/>
                <w:szCs w:val="20"/>
                <w:lang w:bidi="ar-SA"/>
              </w:rPr>
            </w:pPr>
          </w:p>
        </w:tc>
        <w:tc>
          <w:tcPr>
            <w:tcW w:w="2585" w:type="dxa"/>
            <w:tcBorders>
              <w:top w:val="single" w:sz="4" w:space="0" w:color="B4C6E7" w:themeColor="accent1" w:themeTint="66"/>
            </w:tcBorders>
          </w:tcPr>
          <w:p w14:paraId="4D0ED61F" w14:textId="77777777" w:rsidR="00312C69" w:rsidRPr="004637C7" w:rsidRDefault="00312C69" w:rsidP="00312C69">
            <w:pPr>
              <w:jc w:val="left"/>
              <w:cnfStyle w:val="000000000000" w:firstRow="0" w:lastRow="0" w:firstColumn="0" w:lastColumn="0" w:oddVBand="0" w:evenVBand="0" w:oddHBand="0" w:evenHBand="0" w:firstRowFirstColumn="0" w:firstRowLastColumn="0" w:lastRowFirstColumn="0" w:lastRowLastColumn="0"/>
              <w:rPr>
                <w:rFonts w:eastAsia="Calibri"/>
                <w:szCs w:val="20"/>
                <w:lang w:bidi="ar-SA"/>
              </w:rPr>
            </w:pPr>
            <w:r w:rsidRPr="00481B02">
              <w:rPr>
                <w:rFonts w:eastAsia="Calibri"/>
                <w:szCs w:val="20"/>
                <w:lang w:bidi="ar-SA"/>
              </w:rPr>
              <w:t>P</w:t>
            </w:r>
            <w:r w:rsidRPr="004637C7">
              <w:rPr>
                <w:rFonts w:eastAsia="Calibri"/>
                <w:szCs w:val="20"/>
                <w:lang w:bidi="ar-SA"/>
              </w:rPr>
              <w:t>ositionner des agents de circulation aux heures de pointe.</w:t>
            </w:r>
          </w:p>
        </w:tc>
        <w:tc>
          <w:tcPr>
            <w:tcW w:w="1613" w:type="dxa"/>
            <w:vMerge/>
          </w:tcPr>
          <w:p w14:paraId="4D393E00" w14:textId="77777777" w:rsidR="00312C69" w:rsidRPr="004637C7" w:rsidRDefault="00312C69" w:rsidP="00312C69">
            <w:pPr>
              <w:jc w:val="left"/>
              <w:cnfStyle w:val="000000000000" w:firstRow="0" w:lastRow="0" w:firstColumn="0" w:lastColumn="0" w:oddVBand="0" w:evenVBand="0" w:oddHBand="0" w:evenHBand="0" w:firstRowFirstColumn="0" w:firstRowLastColumn="0" w:lastRowFirstColumn="0" w:lastRowLastColumn="0"/>
              <w:rPr>
                <w:rFonts w:eastAsia="Calibri"/>
                <w:szCs w:val="20"/>
                <w:lang w:bidi="ar-SA"/>
              </w:rPr>
            </w:pPr>
          </w:p>
        </w:tc>
        <w:tc>
          <w:tcPr>
            <w:tcW w:w="0" w:type="auto"/>
            <w:vMerge/>
          </w:tcPr>
          <w:p w14:paraId="280C5E91" w14:textId="77777777" w:rsidR="00312C69" w:rsidRPr="00481B02" w:rsidRDefault="00312C69" w:rsidP="00312C69">
            <w:pPr>
              <w:jc w:val="center"/>
              <w:cnfStyle w:val="000000000000" w:firstRow="0" w:lastRow="0" w:firstColumn="0" w:lastColumn="0" w:oddVBand="0" w:evenVBand="0" w:oddHBand="0" w:evenHBand="0" w:firstRowFirstColumn="0" w:firstRowLastColumn="0" w:lastRowFirstColumn="0" w:lastRowLastColumn="0"/>
              <w:rPr>
                <w:szCs w:val="20"/>
                <w:lang w:eastAsia="fr-FR" w:bidi="ar-SA"/>
              </w:rPr>
            </w:pPr>
          </w:p>
        </w:tc>
        <w:tc>
          <w:tcPr>
            <w:tcW w:w="0" w:type="auto"/>
            <w:vMerge/>
          </w:tcPr>
          <w:p w14:paraId="7D94AEF9" w14:textId="77777777" w:rsidR="00312C69" w:rsidRPr="00481B02" w:rsidRDefault="00312C69" w:rsidP="00312C69">
            <w:pPr>
              <w:jc w:val="center"/>
              <w:cnfStyle w:val="000000000000" w:firstRow="0" w:lastRow="0" w:firstColumn="0" w:lastColumn="0" w:oddVBand="0" w:evenVBand="0" w:oddHBand="0" w:evenHBand="0" w:firstRowFirstColumn="0" w:firstRowLastColumn="0" w:lastRowFirstColumn="0" w:lastRowLastColumn="0"/>
              <w:rPr>
                <w:szCs w:val="20"/>
                <w:lang w:eastAsia="fr-FR" w:bidi="ar-SA"/>
              </w:rPr>
            </w:pPr>
          </w:p>
        </w:tc>
        <w:tc>
          <w:tcPr>
            <w:tcW w:w="0" w:type="auto"/>
            <w:vMerge/>
          </w:tcPr>
          <w:p w14:paraId="4C097F8A" w14:textId="77777777" w:rsidR="00312C69" w:rsidRPr="00481B02" w:rsidRDefault="00312C69" w:rsidP="00312C69">
            <w:pPr>
              <w:jc w:val="center"/>
              <w:cnfStyle w:val="000000000000" w:firstRow="0" w:lastRow="0" w:firstColumn="0" w:lastColumn="0" w:oddVBand="0" w:evenVBand="0" w:oddHBand="0" w:evenHBand="0" w:firstRowFirstColumn="0" w:firstRowLastColumn="0" w:lastRowFirstColumn="0" w:lastRowLastColumn="0"/>
              <w:rPr>
                <w:szCs w:val="20"/>
                <w:lang w:eastAsia="fr-FR" w:bidi="ar-SA"/>
              </w:rPr>
            </w:pPr>
          </w:p>
        </w:tc>
        <w:tc>
          <w:tcPr>
            <w:tcW w:w="0" w:type="auto"/>
            <w:vMerge/>
          </w:tcPr>
          <w:p w14:paraId="236EBF5B" w14:textId="77777777" w:rsidR="00312C69" w:rsidRPr="004637C7" w:rsidRDefault="00312C69" w:rsidP="00312C69">
            <w:pPr>
              <w:jc w:val="center"/>
              <w:cnfStyle w:val="000000000000" w:firstRow="0" w:lastRow="0" w:firstColumn="0" w:lastColumn="0" w:oddVBand="0" w:evenVBand="0" w:oddHBand="0" w:evenHBand="0" w:firstRowFirstColumn="0" w:firstRowLastColumn="0" w:lastRowFirstColumn="0" w:lastRowLastColumn="0"/>
              <w:rPr>
                <w:rFonts w:eastAsia="Calibri"/>
                <w:szCs w:val="20"/>
                <w:lang w:bidi="ar-SA"/>
              </w:rPr>
            </w:pPr>
          </w:p>
        </w:tc>
        <w:tc>
          <w:tcPr>
            <w:tcW w:w="0" w:type="auto"/>
            <w:tcBorders>
              <w:top w:val="single" w:sz="4" w:space="0" w:color="B4C6E7" w:themeColor="accent1" w:themeTint="66"/>
            </w:tcBorders>
          </w:tcPr>
          <w:p w14:paraId="6AAFC0F3" w14:textId="4269D621" w:rsidR="00312C69" w:rsidRPr="00AA22F2" w:rsidRDefault="000A1410" w:rsidP="00312C69">
            <w:pPr>
              <w:jc w:val="left"/>
              <w:cnfStyle w:val="000000000000" w:firstRow="0" w:lastRow="0" w:firstColumn="0" w:lastColumn="0" w:oddVBand="0" w:evenVBand="0" w:oddHBand="0" w:evenHBand="0" w:firstRowFirstColumn="0" w:firstRowLastColumn="0" w:lastRowFirstColumn="0" w:lastRowLastColumn="0"/>
              <w:rPr>
                <w:szCs w:val="20"/>
              </w:rPr>
            </w:pPr>
            <w:r w:rsidRPr="000A1410">
              <w:rPr>
                <w:szCs w:val="20"/>
              </w:rPr>
              <w:t>4 000 MAD / mois / agent</w:t>
            </w:r>
          </w:p>
        </w:tc>
      </w:tr>
      <w:tr w:rsidR="00312C69" w:rsidRPr="00911732" w14:paraId="0F809859" w14:textId="77777777" w:rsidTr="001B673F">
        <w:trPr>
          <w:trHeight w:val="1036"/>
        </w:trPr>
        <w:tc>
          <w:tcPr>
            <w:cnfStyle w:val="001000000000" w:firstRow="0" w:lastRow="0" w:firstColumn="1" w:lastColumn="0" w:oddVBand="0" w:evenVBand="0" w:oddHBand="0" w:evenHBand="0" w:firstRowFirstColumn="0" w:firstRowLastColumn="0" w:lastRowFirstColumn="0" w:lastRowLastColumn="0"/>
            <w:tcW w:w="0" w:type="auto"/>
            <w:vMerge/>
            <w:hideMark/>
          </w:tcPr>
          <w:p w14:paraId="0B6C81D6" w14:textId="77777777" w:rsidR="00312C69" w:rsidRPr="004637C7" w:rsidRDefault="00312C69" w:rsidP="00312C69">
            <w:pPr>
              <w:jc w:val="center"/>
              <w:rPr>
                <w:rFonts w:eastAsia="Calibri"/>
                <w:b w:val="0"/>
                <w:bCs w:val="0"/>
                <w:szCs w:val="20"/>
                <w:lang w:bidi="ar-SA"/>
              </w:rPr>
            </w:pPr>
          </w:p>
        </w:tc>
        <w:tc>
          <w:tcPr>
            <w:tcW w:w="0" w:type="auto"/>
            <w:vMerge w:val="restart"/>
            <w:hideMark/>
          </w:tcPr>
          <w:p w14:paraId="5CBD9867" w14:textId="77777777" w:rsidR="00312C69" w:rsidRPr="004637C7" w:rsidRDefault="00312C69" w:rsidP="00312C69">
            <w:pPr>
              <w:jc w:val="left"/>
              <w:cnfStyle w:val="000000000000" w:firstRow="0" w:lastRow="0" w:firstColumn="0" w:lastColumn="0" w:oddVBand="0" w:evenVBand="0" w:oddHBand="0" w:evenHBand="0" w:firstRowFirstColumn="0" w:firstRowLastColumn="0" w:lastRowFirstColumn="0" w:lastRowLastColumn="0"/>
              <w:rPr>
                <w:rFonts w:eastAsia="Calibri"/>
                <w:szCs w:val="20"/>
                <w:lang w:bidi="ar-SA"/>
              </w:rPr>
            </w:pPr>
            <w:r w:rsidRPr="004637C7">
              <w:rPr>
                <w:rFonts w:eastAsia="Calibri"/>
                <w:szCs w:val="20"/>
                <w:lang w:bidi="ar-SA"/>
              </w:rPr>
              <w:t>Compenser</w:t>
            </w:r>
          </w:p>
        </w:tc>
        <w:tc>
          <w:tcPr>
            <w:tcW w:w="2585" w:type="dxa"/>
            <w:tcBorders>
              <w:bottom w:val="single" w:sz="4" w:space="0" w:color="B4C6E7" w:themeColor="accent1" w:themeTint="66"/>
            </w:tcBorders>
            <w:hideMark/>
          </w:tcPr>
          <w:p w14:paraId="708C80F4" w14:textId="7FA8A3E6" w:rsidR="00312C69" w:rsidRPr="004637C7" w:rsidRDefault="00312C69" w:rsidP="00312C69">
            <w:pPr>
              <w:jc w:val="left"/>
              <w:cnfStyle w:val="000000000000" w:firstRow="0" w:lastRow="0" w:firstColumn="0" w:lastColumn="0" w:oddVBand="0" w:evenVBand="0" w:oddHBand="0" w:evenHBand="0" w:firstRowFirstColumn="0" w:firstRowLastColumn="0" w:lastRowFirstColumn="0" w:lastRowLastColumn="0"/>
              <w:rPr>
                <w:rFonts w:eastAsia="Calibri"/>
                <w:szCs w:val="20"/>
                <w:lang w:bidi="ar-SA"/>
              </w:rPr>
            </w:pPr>
            <w:r w:rsidRPr="004637C7">
              <w:rPr>
                <w:rFonts w:eastAsia="Calibri"/>
                <w:szCs w:val="20"/>
                <w:lang w:bidi="ar-SA"/>
              </w:rPr>
              <w:t xml:space="preserve">Documenter tout accident, organiser des retours d’expérience trimestriels ; </w:t>
            </w:r>
          </w:p>
        </w:tc>
        <w:tc>
          <w:tcPr>
            <w:tcW w:w="1613" w:type="dxa"/>
            <w:vMerge w:val="restart"/>
            <w:hideMark/>
          </w:tcPr>
          <w:p w14:paraId="7F7126BF" w14:textId="77777777" w:rsidR="00312C69" w:rsidRPr="00481B02" w:rsidRDefault="00312C69" w:rsidP="00312C69">
            <w:pPr>
              <w:jc w:val="left"/>
              <w:cnfStyle w:val="000000000000" w:firstRow="0" w:lastRow="0" w:firstColumn="0" w:lastColumn="0" w:oddVBand="0" w:evenVBand="0" w:oddHBand="0" w:evenHBand="0" w:firstRowFirstColumn="0" w:firstRowLastColumn="0" w:lastRowFirstColumn="0" w:lastRowLastColumn="0"/>
              <w:rPr>
                <w:rFonts w:eastAsia="Calibri"/>
                <w:szCs w:val="20"/>
                <w:lang w:bidi="ar-SA"/>
              </w:rPr>
            </w:pPr>
            <w:r w:rsidRPr="004637C7">
              <w:rPr>
                <w:rFonts w:eastAsia="Calibri"/>
                <w:szCs w:val="20"/>
                <w:lang w:bidi="ar-SA"/>
              </w:rPr>
              <w:t xml:space="preserve">Nb de REX </w:t>
            </w:r>
          </w:p>
          <w:p w14:paraId="593C132A" w14:textId="3E9F46EF" w:rsidR="00312C69" w:rsidRPr="004637C7" w:rsidRDefault="00312C69" w:rsidP="00312C69">
            <w:pPr>
              <w:jc w:val="left"/>
              <w:cnfStyle w:val="000000000000" w:firstRow="0" w:lastRow="0" w:firstColumn="0" w:lastColumn="0" w:oddVBand="0" w:evenVBand="0" w:oddHBand="0" w:evenHBand="0" w:firstRowFirstColumn="0" w:firstRowLastColumn="0" w:lastRowFirstColumn="0" w:lastRowLastColumn="0"/>
              <w:rPr>
                <w:rFonts w:eastAsia="Calibri"/>
                <w:szCs w:val="20"/>
                <w:lang w:bidi="ar-SA"/>
              </w:rPr>
            </w:pPr>
            <w:r w:rsidRPr="004637C7">
              <w:rPr>
                <w:rFonts w:eastAsia="Calibri"/>
                <w:szCs w:val="20"/>
                <w:lang w:bidi="ar-SA"/>
              </w:rPr>
              <w:t>Délai de traitement</w:t>
            </w:r>
          </w:p>
        </w:tc>
        <w:tc>
          <w:tcPr>
            <w:tcW w:w="0" w:type="auto"/>
            <w:vMerge w:val="restart"/>
            <w:hideMark/>
          </w:tcPr>
          <w:p w14:paraId="70B81C47" w14:textId="5BB2AF58" w:rsidR="00312C69" w:rsidRPr="004637C7" w:rsidRDefault="00312C69" w:rsidP="00312C69">
            <w:pPr>
              <w:jc w:val="center"/>
              <w:cnfStyle w:val="000000000000" w:firstRow="0" w:lastRow="0" w:firstColumn="0" w:lastColumn="0" w:oddVBand="0" w:evenVBand="0" w:oddHBand="0" w:evenHBand="0" w:firstRowFirstColumn="0" w:firstRowLastColumn="0" w:lastRowFirstColumn="0" w:lastRowLastColumn="0"/>
              <w:rPr>
                <w:rFonts w:eastAsia="Calibri"/>
                <w:szCs w:val="20"/>
                <w:lang w:bidi="ar-SA"/>
              </w:rPr>
            </w:pPr>
            <w:r w:rsidRPr="00481B02">
              <w:rPr>
                <w:szCs w:val="20"/>
                <w:lang w:eastAsia="fr-FR" w:bidi="ar-SA"/>
              </w:rPr>
              <w:t>ONDA / Exploitant</w:t>
            </w:r>
          </w:p>
        </w:tc>
        <w:tc>
          <w:tcPr>
            <w:tcW w:w="0" w:type="auto"/>
            <w:vMerge w:val="restart"/>
            <w:hideMark/>
          </w:tcPr>
          <w:p w14:paraId="6221D0D1" w14:textId="131FAA5F" w:rsidR="00312C69" w:rsidRPr="004637C7" w:rsidRDefault="00312C69" w:rsidP="00312C69">
            <w:pPr>
              <w:jc w:val="center"/>
              <w:cnfStyle w:val="000000000000" w:firstRow="0" w:lastRow="0" w:firstColumn="0" w:lastColumn="0" w:oddVBand="0" w:evenVBand="0" w:oddHBand="0" w:evenHBand="0" w:firstRowFirstColumn="0" w:firstRowLastColumn="0" w:lastRowFirstColumn="0" w:lastRowLastColumn="0"/>
              <w:rPr>
                <w:rFonts w:eastAsia="Calibri"/>
                <w:szCs w:val="20"/>
                <w:lang w:bidi="ar-SA"/>
              </w:rPr>
            </w:pPr>
            <w:r w:rsidRPr="00481B02">
              <w:rPr>
                <w:szCs w:val="20"/>
                <w:lang w:eastAsia="fr-FR" w:bidi="ar-SA"/>
              </w:rPr>
              <w:t>ONDA</w:t>
            </w:r>
          </w:p>
        </w:tc>
        <w:tc>
          <w:tcPr>
            <w:tcW w:w="0" w:type="auto"/>
            <w:vMerge w:val="restart"/>
            <w:hideMark/>
          </w:tcPr>
          <w:p w14:paraId="4654DA09" w14:textId="45A1E9D6" w:rsidR="00312C69" w:rsidRPr="004637C7" w:rsidRDefault="00312C69" w:rsidP="00312C69">
            <w:pPr>
              <w:jc w:val="center"/>
              <w:cnfStyle w:val="000000000000" w:firstRow="0" w:lastRow="0" w:firstColumn="0" w:lastColumn="0" w:oddVBand="0" w:evenVBand="0" w:oddHBand="0" w:evenHBand="0" w:firstRowFirstColumn="0" w:firstRowLastColumn="0" w:lastRowFirstColumn="0" w:lastRowLastColumn="0"/>
              <w:rPr>
                <w:rFonts w:eastAsia="Calibri"/>
                <w:szCs w:val="20"/>
                <w:lang w:bidi="ar-SA"/>
              </w:rPr>
            </w:pPr>
            <w:r w:rsidRPr="00481B02">
              <w:rPr>
                <w:szCs w:val="20"/>
                <w:lang w:eastAsia="fr-FR" w:bidi="ar-SA"/>
              </w:rPr>
              <w:t>ONDA</w:t>
            </w:r>
          </w:p>
        </w:tc>
        <w:tc>
          <w:tcPr>
            <w:tcW w:w="0" w:type="auto"/>
            <w:vMerge w:val="restart"/>
            <w:hideMark/>
          </w:tcPr>
          <w:p w14:paraId="403D6BA1" w14:textId="77777777" w:rsidR="00312C69" w:rsidRPr="004637C7" w:rsidRDefault="00312C69" w:rsidP="00312C69">
            <w:pPr>
              <w:jc w:val="center"/>
              <w:cnfStyle w:val="000000000000" w:firstRow="0" w:lastRow="0" w:firstColumn="0" w:lastColumn="0" w:oddVBand="0" w:evenVBand="0" w:oddHBand="0" w:evenHBand="0" w:firstRowFirstColumn="0" w:firstRowLastColumn="0" w:lastRowFirstColumn="0" w:lastRowLastColumn="0"/>
              <w:rPr>
                <w:rFonts w:eastAsia="Calibri"/>
                <w:szCs w:val="20"/>
                <w:lang w:bidi="ar-SA"/>
              </w:rPr>
            </w:pPr>
            <w:r w:rsidRPr="004637C7">
              <w:rPr>
                <w:rFonts w:eastAsia="Calibri"/>
                <w:szCs w:val="20"/>
                <w:lang w:bidi="ar-SA"/>
              </w:rPr>
              <w:t>Après incident</w:t>
            </w:r>
          </w:p>
        </w:tc>
        <w:tc>
          <w:tcPr>
            <w:tcW w:w="0" w:type="auto"/>
            <w:tcBorders>
              <w:bottom w:val="single" w:sz="4" w:space="0" w:color="B4C6E7" w:themeColor="accent1" w:themeTint="66"/>
            </w:tcBorders>
            <w:hideMark/>
          </w:tcPr>
          <w:p w14:paraId="0F56C998" w14:textId="69F7B83B" w:rsidR="00312C69" w:rsidRPr="004637C7" w:rsidRDefault="000A1410" w:rsidP="00D60FC9">
            <w:pPr>
              <w:jc w:val="left"/>
              <w:cnfStyle w:val="000000000000" w:firstRow="0" w:lastRow="0" w:firstColumn="0" w:lastColumn="0" w:oddVBand="0" w:evenVBand="0" w:oddHBand="0" w:evenHBand="0" w:firstRowFirstColumn="0" w:firstRowLastColumn="0" w:lastRowFirstColumn="0" w:lastRowLastColumn="0"/>
              <w:rPr>
                <w:rFonts w:eastAsia="Calibri"/>
                <w:szCs w:val="20"/>
                <w:lang w:bidi="ar-SA"/>
              </w:rPr>
            </w:pPr>
            <w:r w:rsidRPr="000A1410">
              <w:rPr>
                <w:szCs w:val="20"/>
              </w:rPr>
              <w:t>Aucun coût spécifique</w:t>
            </w:r>
          </w:p>
        </w:tc>
      </w:tr>
      <w:tr w:rsidR="00312C69" w:rsidRPr="00911732" w14:paraId="246958E8" w14:textId="77777777" w:rsidTr="001B673F">
        <w:trPr>
          <w:trHeight w:val="1004"/>
        </w:trPr>
        <w:tc>
          <w:tcPr>
            <w:cnfStyle w:val="001000000000" w:firstRow="0" w:lastRow="0" w:firstColumn="1" w:lastColumn="0" w:oddVBand="0" w:evenVBand="0" w:oddHBand="0" w:evenHBand="0" w:firstRowFirstColumn="0" w:firstRowLastColumn="0" w:lastRowFirstColumn="0" w:lastRowLastColumn="0"/>
            <w:tcW w:w="0" w:type="auto"/>
            <w:vMerge/>
          </w:tcPr>
          <w:p w14:paraId="19C0140E" w14:textId="77777777" w:rsidR="00312C69" w:rsidRPr="004637C7" w:rsidRDefault="00312C69" w:rsidP="00312C69">
            <w:pPr>
              <w:jc w:val="center"/>
              <w:rPr>
                <w:rFonts w:eastAsia="Calibri"/>
                <w:b w:val="0"/>
                <w:bCs w:val="0"/>
                <w:szCs w:val="20"/>
                <w:lang w:bidi="ar-SA"/>
              </w:rPr>
            </w:pPr>
          </w:p>
        </w:tc>
        <w:tc>
          <w:tcPr>
            <w:tcW w:w="0" w:type="auto"/>
            <w:vMerge/>
          </w:tcPr>
          <w:p w14:paraId="78CE0B2A" w14:textId="77777777" w:rsidR="00312C69" w:rsidRPr="004637C7" w:rsidRDefault="00312C69" w:rsidP="00312C69">
            <w:pPr>
              <w:jc w:val="left"/>
              <w:cnfStyle w:val="000000000000" w:firstRow="0" w:lastRow="0" w:firstColumn="0" w:lastColumn="0" w:oddVBand="0" w:evenVBand="0" w:oddHBand="0" w:evenHBand="0" w:firstRowFirstColumn="0" w:firstRowLastColumn="0" w:lastRowFirstColumn="0" w:lastRowLastColumn="0"/>
              <w:rPr>
                <w:rFonts w:eastAsia="Calibri"/>
                <w:szCs w:val="20"/>
                <w:lang w:bidi="ar-SA"/>
              </w:rPr>
            </w:pPr>
          </w:p>
        </w:tc>
        <w:tc>
          <w:tcPr>
            <w:tcW w:w="2585" w:type="dxa"/>
            <w:tcBorders>
              <w:top w:val="single" w:sz="4" w:space="0" w:color="B4C6E7" w:themeColor="accent1" w:themeTint="66"/>
            </w:tcBorders>
          </w:tcPr>
          <w:p w14:paraId="138F3F4D" w14:textId="77777777" w:rsidR="00312C69" w:rsidRPr="004637C7" w:rsidRDefault="00312C69" w:rsidP="00312C69">
            <w:pPr>
              <w:jc w:val="left"/>
              <w:cnfStyle w:val="000000000000" w:firstRow="0" w:lastRow="0" w:firstColumn="0" w:lastColumn="0" w:oddVBand="0" w:evenVBand="0" w:oddHBand="0" w:evenHBand="0" w:firstRowFirstColumn="0" w:firstRowLastColumn="0" w:lastRowFirstColumn="0" w:lastRowLastColumn="0"/>
              <w:rPr>
                <w:rFonts w:eastAsia="Calibri"/>
                <w:szCs w:val="20"/>
                <w:lang w:bidi="ar-SA"/>
              </w:rPr>
            </w:pPr>
            <w:r w:rsidRPr="00481B02">
              <w:rPr>
                <w:rFonts w:eastAsia="Calibri"/>
                <w:szCs w:val="20"/>
                <w:lang w:bidi="ar-SA"/>
              </w:rPr>
              <w:t>A</w:t>
            </w:r>
            <w:r w:rsidRPr="004637C7">
              <w:rPr>
                <w:rFonts w:eastAsia="Calibri"/>
                <w:szCs w:val="20"/>
                <w:lang w:bidi="ar-SA"/>
              </w:rPr>
              <w:t>ssurer la réparation et la compensation selon la réglementation.</w:t>
            </w:r>
          </w:p>
        </w:tc>
        <w:tc>
          <w:tcPr>
            <w:tcW w:w="1613" w:type="dxa"/>
            <w:vMerge/>
          </w:tcPr>
          <w:p w14:paraId="797C15F5" w14:textId="77777777" w:rsidR="00312C69" w:rsidRPr="004637C7" w:rsidRDefault="00312C69" w:rsidP="00312C69">
            <w:pPr>
              <w:jc w:val="left"/>
              <w:cnfStyle w:val="000000000000" w:firstRow="0" w:lastRow="0" w:firstColumn="0" w:lastColumn="0" w:oddVBand="0" w:evenVBand="0" w:oddHBand="0" w:evenHBand="0" w:firstRowFirstColumn="0" w:firstRowLastColumn="0" w:lastRowFirstColumn="0" w:lastRowLastColumn="0"/>
              <w:rPr>
                <w:rFonts w:eastAsia="Calibri"/>
                <w:szCs w:val="20"/>
                <w:lang w:bidi="ar-SA"/>
              </w:rPr>
            </w:pPr>
          </w:p>
        </w:tc>
        <w:tc>
          <w:tcPr>
            <w:tcW w:w="0" w:type="auto"/>
            <w:vMerge/>
          </w:tcPr>
          <w:p w14:paraId="28633F8E" w14:textId="77777777" w:rsidR="00312C69" w:rsidRPr="00481B02" w:rsidRDefault="00312C69" w:rsidP="00312C69">
            <w:pPr>
              <w:jc w:val="center"/>
              <w:cnfStyle w:val="000000000000" w:firstRow="0" w:lastRow="0" w:firstColumn="0" w:lastColumn="0" w:oddVBand="0" w:evenVBand="0" w:oddHBand="0" w:evenHBand="0" w:firstRowFirstColumn="0" w:firstRowLastColumn="0" w:lastRowFirstColumn="0" w:lastRowLastColumn="0"/>
              <w:rPr>
                <w:szCs w:val="20"/>
                <w:lang w:eastAsia="fr-FR" w:bidi="ar-SA"/>
              </w:rPr>
            </w:pPr>
          </w:p>
        </w:tc>
        <w:tc>
          <w:tcPr>
            <w:tcW w:w="0" w:type="auto"/>
            <w:vMerge/>
          </w:tcPr>
          <w:p w14:paraId="028A05A1" w14:textId="77777777" w:rsidR="00312C69" w:rsidRPr="00481B02" w:rsidRDefault="00312C69" w:rsidP="00312C69">
            <w:pPr>
              <w:jc w:val="center"/>
              <w:cnfStyle w:val="000000000000" w:firstRow="0" w:lastRow="0" w:firstColumn="0" w:lastColumn="0" w:oddVBand="0" w:evenVBand="0" w:oddHBand="0" w:evenHBand="0" w:firstRowFirstColumn="0" w:firstRowLastColumn="0" w:lastRowFirstColumn="0" w:lastRowLastColumn="0"/>
              <w:rPr>
                <w:szCs w:val="20"/>
                <w:lang w:eastAsia="fr-FR" w:bidi="ar-SA"/>
              </w:rPr>
            </w:pPr>
          </w:p>
        </w:tc>
        <w:tc>
          <w:tcPr>
            <w:tcW w:w="0" w:type="auto"/>
            <w:vMerge/>
          </w:tcPr>
          <w:p w14:paraId="04069934" w14:textId="77777777" w:rsidR="00312C69" w:rsidRPr="00481B02" w:rsidRDefault="00312C69" w:rsidP="00312C69">
            <w:pPr>
              <w:jc w:val="center"/>
              <w:cnfStyle w:val="000000000000" w:firstRow="0" w:lastRow="0" w:firstColumn="0" w:lastColumn="0" w:oddVBand="0" w:evenVBand="0" w:oddHBand="0" w:evenHBand="0" w:firstRowFirstColumn="0" w:firstRowLastColumn="0" w:lastRowFirstColumn="0" w:lastRowLastColumn="0"/>
              <w:rPr>
                <w:szCs w:val="20"/>
                <w:lang w:eastAsia="fr-FR" w:bidi="ar-SA"/>
              </w:rPr>
            </w:pPr>
          </w:p>
        </w:tc>
        <w:tc>
          <w:tcPr>
            <w:tcW w:w="0" w:type="auto"/>
            <w:vMerge/>
          </w:tcPr>
          <w:p w14:paraId="0C301DB6" w14:textId="77777777" w:rsidR="00312C69" w:rsidRPr="004637C7" w:rsidRDefault="00312C69" w:rsidP="00312C69">
            <w:pPr>
              <w:jc w:val="center"/>
              <w:cnfStyle w:val="000000000000" w:firstRow="0" w:lastRow="0" w:firstColumn="0" w:lastColumn="0" w:oddVBand="0" w:evenVBand="0" w:oddHBand="0" w:evenHBand="0" w:firstRowFirstColumn="0" w:firstRowLastColumn="0" w:lastRowFirstColumn="0" w:lastRowLastColumn="0"/>
              <w:rPr>
                <w:rFonts w:eastAsia="Calibri"/>
                <w:szCs w:val="20"/>
                <w:lang w:bidi="ar-SA"/>
              </w:rPr>
            </w:pPr>
          </w:p>
        </w:tc>
        <w:tc>
          <w:tcPr>
            <w:tcW w:w="0" w:type="auto"/>
            <w:tcBorders>
              <w:top w:val="single" w:sz="4" w:space="0" w:color="B4C6E7" w:themeColor="accent1" w:themeTint="66"/>
            </w:tcBorders>
          </w:tcPr>
          <w:p w14:paraId="2CF093F8" w14:textId="228B6A7A" w:rsidR="00312C69" w:rsidRPr="00AA22F2" w:rsidRDefault="000A1410" w:rsidP="00312C69">
            <w:pPr>
              <w:jc w:val="left"/>
              <w:cnfStyle w:val="000000000000" w:firstRow="0" w:lastRow="0" w:firstColumn="0" w:lastColumn="0" w:oddVBand="0" w:evenVBand="0" w:oddHBand="0" w:evenHBand="0" w:firstRowFirstColumn="0" w:firstRowLastColumn="0" w:lastRowFirstColumn="0" w:lastRowLastColumn="0"/>
              <w:rPr>
                <w:szCs w:val="20"/>
              </w:rPr>
            </w:pPr>
            <w:r w:rsidRPr="000A1410">
              <w:rPr>
                <w:szCs w:val="20"/>
              </w:rPr>
              <w:t>Couverte par assurance ONDA / CNSS</w:t>
            </w:r>
          </w:p>
        </w:tc>
      </w:tr>
      <w:tr w:rsidR="00312C69" w:rsidRPr="00911732" w14:paraId="0568AF05" w14:textId="77777777" w:rsidTr="005A7661">
        <w:trPr>
          <w:trHeight w:val="840"/>
        </w:trPr>
        <w:tc>
          <w:tcPr>
            <w:cnfStyle w:val="001000000000" w:firstRow="0" w:lastRow="0" w:firstColumn="1" w:lastColumn="0" w:oddVBand="0" w:evenVBand="0" w:oddHBand="0" w:evenHBand="0" w:firstRowFirstColumn="0" w:firstRowLastColumn="0" w:lastRowFirstColumn="0" w:lastRowLastColumn="0"/>
            <w:tcW w:w="0" w:type="auto"/>
            <w:vMerge w:val="restart"/>
            <w:hideMark/>
          </w:tcPr>
          <w:p w14:paraId="536156C9" w14:textId="77777777" w:rsidR="00312C69" w:rsidRPr="00481B02" w:rsidRDefault="00312C69" w:rsidP="00312C69">
            <w:pPr>
              <w:jc w:val="center"/>
              <w:rPr>
                <w:rFonts w:eastAsia="Calibri"/>
                <w:szCs w:val="20"/>
                <w:lang w:bidi="ar-SA"/>
              </w:rPr>
            </w:pPr>
            <w:r w:rsidRPr="00481B02">
              <w:rPr>
                <w:rFonts w:eastAsia="Calibri"/>
                <w:szCs w:val="20"/>
                <w:lang w:bidi="ar-SA"/>
              </w:rPr>
              <w:t>Incendies et électrocutions lors des opérations de maintenance</w:t>
            </w:r>
          </w:p>
        </w:tc>
        <w:tc>
          <w:tcPr>
            <w:tcW w:w="0" w:type="auto"/>
            <w:vMerge w:val="restart"/>
            <w:hideMark/>
          </w:tcPr>
          <w:p w14:paraId="584B4FA9" w14:textId="77777777" w:rsidR="00312C69" w:rsidRPr="004637C7" w:rsidRDefault="00312C69" w:rsidP="00312C69">
            <w:pPr>
              <w:jc w:val="left"/>
              <w:cnfStyle w:val="000000000000" w:firstRow="0" w:lastRow="0" w:firstColumn="0" w:lastColumn="0" w:oddVBand="0" w:evenVBand="0" w:oddHBand="0" w:evenHBand="0" w:firstRowFirstColumn="0" w:firstRowLastColumn="0" w:lastRowFirstColumn="0" w:lastRowLastColumn="0"/>
              <w:rPr>
                <w:rFonts w:eastAsia="Calibri"/>
                <w:szCs w:val="20"/>
                <w:lang w:bidi="ar-SA"/>
              </w:rPr>
            </w:pPr>
            <w:r w:rsidRPr="004637C7">
              <w:rPr>
                <w:rFonts w:eastAsia="Calibri"/>
                <w:szCs w:val="20"/>
                <w:lang w:bidi="ar-SA"/>
              </w:rPr>
              <w:t>Éviter</w:t>
            </w:r>
          </w:p>
        </w:tc>
        <w:tc>
          <w:tcPr>
            <w:tcW w:w="2585" w:type="dxa"/>
            <w:tcBorders>
              <w:bottom w:val="single" w:sz="4" w:space="0" w:color="B4C6E7" w:themeColor="accent1" w:themeTint="66"/>
            </w:tcBorders>
            <w:hideMark/>
          </w:tcPr>
          <w:p w14:paraId="19AB52F6" w14:textId="77777777" w:rsidR="00312C69" w:rsidRPr="00481B02" w:rsidRDefault="00312C69" w:rsidP="00312C69">
            <w:pPr>
              <w:jc w:val="left"/>
              <w:cnfStyle w:val="000000000000" w:firstRow="0" w:lastRow="0" w:firstColumn="0" w:lastColumn="0" w:oddVBand="0" w:evenVBand="0" w:oddHBand="0" w:evenHBand="0" w:firstRowFirstColumn="0" w:firstRowLastColumn="0" w:lastRowFirstColumn="0" w:lastRowLastColumn="0"/>
              <w:rPr>
                <w:rFonts w:eastAsia="Calibri"/>
                <w:szCs w:val="20"/>
                <w:lang w:bidi="ar-SA"/>
              </w:rPr>
            </w:pPr>
            <w:r w:rsidRPr="004637C7">
              <w:rPr>
                <w:rFonts w:eastAsia="Calibri"/>
                <w:szCs w:val="20"/>
                <w:lang w:bidi="ar-SA"/>
              </w:rPr>
              <w:t xml:space="preserve">Imposer la consignation électrique avant toute intervention ; </w:t>
            </w:r>
          </w:p>
          <w:p w14:paraId="5C3BDCC9" w14:textId="718555A7" w:rsidR="00312C69" w:rsidRPr="004637C7" w:rsidRDefault="00312C69" w:rsidP="00312C69">
            <w:pPr>
              <w:jc w:val="left"/>
              <w:cnfStyle w:val="000000000000" w:firstRow="0" w:lastRow="0" w:firstColumn="0" w:lastColumn="0" w:oddVBand="0" w:evenVBand="0" w:oddHBand="0" w:evenHBand="0" w:firstRowFirstColumn="0" w:firstRowLastColumn="0" w:lastRowFirstColumn="0" w:lastRowLastColumn="0"/>
              <w:rPr>
                <w:rFonts w:eastAsia="Calibri"/>
                <w:szCs w:val="20"/>
                <w:lang w:bidi="ar-SA"/>
              </w:rPr>
            </w:pPr>
            <w:r w:rsidRPr="00481B02">
              <w:rPr>
                <w:rFonts w:eastAsia="Calibri"/>
                <w:szCs w:val="20"/>
                <w:lang w:bidi="ar-SA"/>
              </w:rPr>
              <w:t>I</w:t>
            </w:r>
            <w:r w:rsidRPr="004637C7">
              <w:rPr>
                <w:rFonts w:eastAsia="Calibri"/>
                <w:szCs w:val="20"/>
                <w:lang w:bidi="ar-SA"/>
              </w:rPr>
              <w:t xml:space="preserve">nterdire tout stockage de carburants hors zones autorisées ; </w:t>
            </w:r>
          </w:p>
        </w:tc>
        <w:tc>
          <w:tcPr>
            <w:tcW w:w="1613" w:type="dxa"/>
            <w:vMerge w:val="restart"/>
            <w:hideMark/>
          </w:tcPr>
          <w:p w14:paraId="2CCA4C65" w14:textId="77777777" w:rsidR="00312C69" w:rsidRPr="00481B02" w:rsidRDefault="00312C69" w:rsidP="00312C69">
            <w:pPr>
              <w:jc w:val="left"/>
              <w:cnfStyle w:val="000000000000" w:firstRow="0" w:lastRow="0" w:firstColumn="0" w:lastColumn="0" w:oddVBand="0" w:evenVBand="0" w:oddHBand="0" w:evenHBand="0" w:firstRowFirstColumn="0" w:firstRowLastColumn="0" w:lastRowFirstColumn="0" w:lastRowLastColumn="0"/>
              <w:rPr>
                <w:rFonts w:eastAsia="Calibri"/>
                <w:szCs w:val="20"/>
                <w:lang w:bidi="ar-SA"/>
              </w:rPr>
            </w:pPr>
            <w:r w:rsidRPr="004637C7">
              <w:rPr>
                <w:rFonts w:eastAsia="Calibri"/>
                <w:szCs w:val="20"/>
                <w:lang w:bidi="ar-SA"/>
              </w:rPr>
              <w:t xml:space="preserve">% d’équipements conformes </w:t>
            </w:r>
          </w:p>
          <w:p w14:paraId="7F91F56A" w14:textId="60A1731F" w:rsidR="00312C69" w:rsidRPr="004637C7" w:rsidRDefault="00312C69" w:rsidP="00312C69">
            <w:pPr>
              <w:jc w:val="left"/>
              <w:cnfStyle w:val="000000000000" w:firstRow="0" w:lastRow="0" w:firstColumn="0" w:lastColumn="0" w:oddVBand="0" w:evenVBand="0" w:oddHBand="0" w:evenHBand="0" w:firstRowFirstColumn="0" w:firstRowLastColumn="0" w:lastRowFirstColumn="0" w:lastRowLastColumn="0"/>
              <w:rPr>
                <w:rFonts w:eastAsia="Calibri"/>
                <w:szCs w:val="20"/>
                <w:lang w:bidi="ar-SA"/>
              </w:rPr>
            </w:pPr>
            <w:r w:rsidRPr="004637C7">
              <w:rPr>
                <w:rFonts w:eastAsia="Calibri"/>
                <w:szCs w:val="20"/>
                <w:lang w:bidi="ar-SA"/>
              </w:rPr>
              <w:t>Nb d’inspections</w:t>
            </w:r>
          </w:p>
        </w:tc>
        <w:tc>
          <w:tcPr>
            <w:tcW w:w="0" w:type="auto"/>
            <w:vMerge w:val="restart"/>
            <w:hideMark/>
          </w:tcPr>
          <w:p w14:paraId="1D80E104" w14:textId="4F891F6F" w:rsidR="00312C69" w:rsidRPr="004637C7" w:rsidRDefault="00312C69" w:rsidP="00312C69">
            <w:pPr>
              <w:jc w:val="center"/>
              <w:cnfStyle w:val="000000000000" w:firstRow="0" w:lastRow="0" w:firstColumn="0" w:lastColumn="0" w:oddVBand="0" w:evenVBand="0" w:oddHBand="0" w:evenHBand="0" w:firstRowFirstColumn="0" w:firstRowLastColumn="0" w:lastRowFirstColumn="0" w:lastRowLastColumn="0"/>
              <w:rPr>
                <w:rFonts w:eastAsia="Calibri"/>
                <w:szCs w:val="20"/>
                <w:lang w:bidi="ar-SA"/>
              </w:rPr>
            </w:pPr>
            <w:r w:rsidRPr="00481B02">
              <w:rPr>
                <w:szCs w:val="20"/>
                <w:lang w:eastAsia="fr-FR" w:bidi="ar-SA"/>
              </w:rPr>
              <w:t>ONDA / Exploitant</w:t>
            </w:r>
          </w:p>
        </w:tc>
        <w:tc>
          <w:tcPr>
            <w:tcW w:w="0" w:type="auto"/>
            <w:vMerge w:val="restart"/>
            <w:hideMark/>
          </w:tcPr>
          <w:p w14:paraId="74451384" w14:textId="2DA60AA7" w:rsidR="00312C69" w:rsidRPr="004637C7" w:rsidRDefault="00312C69" w:rsidP="00312C69">
            <w:pPr>
              <w:jc w:val="center"/>
              <w:cnfStyle w:val="000000000000" w:firstRow="0" w:lastRow="0" w:firstColumn="0" w:lastColumn="0" w:oddVBand="0" w:evenVBand="0" w:oddHBand="0" w:evenHBand="0" w:firstRowFirstColumn="0" w:firstRowLastColumn="0" w:lastRowFirstColumn="0" w:lastRowLastColumn="0"/>
              <w:rPr>
                <w:rFonts w:eastAsia="Calibri"/>
                <w:szCs w:val="20"/>
                <w:lang w:bidi="ar-SA"/>
              </w:rPr>
            </w:pPr>
            <w:r w:rsidRPr="00481B02">
              <w:rPr>
                <w:szCs w:val="20"/>
                <w:lang w:eastAsia="fr-FR" w:bidi="ar-SA"/>
              </w:rPr>
              <w:t>ONDA</w:t>
            </w:r>
          </w:p>
        </w:tc>
        <w:tc>
          <w:tcPr>
            <w:tcW w:w="0" w:type="auto"/>
            <w:vMerge w:val="restart"/>
            <w:hideMark/>
          </w:tcPr>
          <w:p w14:paraId="190AB095" w14:textId="30256531" w:rsidR="00312C69" w:rsidRPr="004637C7" w:rsidRDefault="00312C69" w:rsidP="00312C69">
            <w:pPr>
              <w:jc w:val="center"/>
              <w:cnfStyle w:val="000000000000" w:firstRow="0" w:lastRow="0" w:firstColumn="0" w:lastColumn="0" w:oddVBand="0" w:evenVBand="0" w:oddHBand="0" w:evenHBand="0" w:firstRowFirstColumn="0" w:firstRowLastColumn="0" w:lastRowFirstColumn="0" w:lastRowLastColumn="0"/>
              <w:rPr>
                <w:rFonts w:eastAsia="Calibri"/>
                <w:szCs w:val="20"/>
                <w:lang w:bidi="ar-SA"/>
              </w:rPr>
            </w:pPr>
            <w:r w:rsidRPr="00481B02">
              <w:rPr>
                <w:szCs w:val="20"/>
                <w:lang w:eastAsia="fr-FR" w:bidi="ar-SA"/>
              </w:rPr>
              <w:t>ONDA</w:t>
            </w:r>
          </w:p>
        </w:tc>
        <w:tc>
          <w:tcPr>
            <w:tcW w:w="0" w:type="auto"/>
            <w:vMerge w:val="restart"/>
            <w:hideMark/>
          </w:tcPr>
          <w:p w14:paraId="4A2500E5" w14:textId="77777777" w:rsidR="00312C69" w:rsidRPr="004637C7" w:rsidRDefault="00312C69" w:rsidP="00312C69">
            <w:pPr>
              <w:jc w:val="center"/>
              <w:cnfStyle w:val="000000000000" w:firstRow="0" w:lastRow="0" w:firstColumn="0" w:lastColumn="0" w:oddVBand="0" w:evenVBand="0" w:oddHBand="0" w:evenHBand="0" w:firstRowFirstColumn="0" w:firstRowLastColumn="0" w:lastRowFirstColumn="0" w:lastRowLastColumn="0"/>
              <w:rPr>
                <w:rFonts w:eastAsia="Calibri"/>
                <w:szCs w:val="20"/>
                <w:lang w:bidi="ar-SA"/>
              </w:rPr>
            </w:pPr>
            <w:r w:rsidRPr="004637C7">
              <w:rPr>
                <w:rFonts w:eastAsia="Calibri"/>
                <w:szCs w:val="20"/>
                <w:lang w:bidi="ar-SA"/>
              </w:rPr>
              <w:t>Permanent</w:t>
            </w:r>
          </w:p>
        </w:tc>
        <w:tc>
          <w:tcPr>
            <w:tcW w:w="0" w:type="auto"/>
            <w:vMerge w:val="restart"/>
            <w:hideMark/>
          </w:tcPr>
          <w:p w14:paraId="4C8EAA63" w14:textId="5F63A020" w:rsidR="00312C69" w:rsidRDefault="00C46509" w:rsidP="00312C69">
            <w:pPr>
              <w:jc w:val="left"/>
              <w:cnfStyle w:val="000000000000" w:firstRow="0" w:lastRow="0" w:firstColumn="0" w:lastColumn="0" w:oddVBand="0" w:evenVBand="0" w:oddHBand="0" w:evenHBand="0" w:firstRowFirstColumn="0" w:firstRowLastColumn="0" w:lastRowFirstColumn="0" w:lastRowLastColumn="0"/>
              <w:rPr>
                <w:szCs w:val="20"/>
              </w:rPr>
            </w:pPr>
            <w:r w:rsidRPr="00C46509">
              <w:rPr>
                <w:szCs w:val="20"/>
              </w:rPr>
              <w:t>Aucun coût spécifique</w:t>
            </w:r>
          </w:p>
          <w:p w14:paraId="77870B0B" w14:textId="77777777" w:rsidR="00C46509" w:rsidRDefault="00C46509" w:rsidP="00312C69">
            <w:pPr>
              <w:jc w:val="left"/>
              <w:cnfStyle w:val="000000000000" w:firstRow="0" w:lastRow="0" w:firstColumn="0" w:lastColumn="0" w:oddVBand="0" w:evenVBand="0" w:oddHBand="0" w:evenHBand="0" w:firstRowFirstColumn="0" w:firstRowLastColumn="0" w:lastRowFirstColumn="0" w:lastRowLastColumn="0"/>
              <w:rPr>
                <w:szCs w:val="20"/>
              </w:rPr>
            </w:pPr>
          </w:p>
          <w:p w14:paraId="260F1C28" w14:textId="77777777" w:rsidR="00C46509" w:rsidRDefault="00C46509" w:rsidP="00312C69">
            <w:pPr>
              <w:jc w:val="left"/>
              <w:cnfStyle w:val="000000000000" w:firstRow="0" w:lastRow="0" w:firstColumn="0" w:lastColumn="0" w:oddVBand="0" w:evenVBand="0" w:oddHBand="0" w:evenHBand="0" w:firstRowFirstColumn="0" w:firstRowLastColumn="0" w:lastRowFirstColumn="0" w:lastRowLastColumn="0"/>
              <w:rPr>
                <w:szCs w:val="20"/>
              </w:rPr>
            </w:pPr>
          </w:p>
          <w:p w14:paraId="5EB59564" w14:textId="77777777" w:rsidR="00C46509" w:rsidRDefault="00C46509" w:rsidP="00312C69">
            <w:pPr>
              <w:jc w:val="left"/>
              <w:cnfStyle w:val="000000000000" w:firstRow="0" w:lastRow="0" w:firstColumn="0" w:lastColumn="0" w:oddVBand="0" w:evenVBand="0" w:oddHBand="0" w:evenHBand="0" w:firstRowFirstColumn="0" w:firstRowLastColumn="0" w:lastRowFirstColumn="0" w:lastRowLastColumn="0"/>
              <w:rPr>
                <w:szCs w:val="20"/>
              </w:rPr>
            </w:pPr>
          </w:p>
          <w:p w14:paraId="4FC0922F" w14:textId="77777777" w:rsidR="00C46509" w:rsidRDefault="00C46509" w:rsidP="00312C69">
            <w:pPr>
              <w:jc w:val="left"/>
              <w:cnfStyle w:val="000000000000" w:firstRow="0" w:lastRow="0" w:firstColumn="0" w:lastColumn="0" w:oddVBand="0" w:evenVBand="0" w:oddHBand="0" w:evenHBand="0" w:firstRowFirstColumn="0" w:firstRowLastColumn="0" w:lastRowFirstColumn="0" w:lastRowLastColumn="0"/>
              <w:rPr>
                <w:szCs w:val="20"/>
              </w:rPr>
            </w:pPr>
          </w:p>
          <w:p w14:paraId="08A036F3" w14:textId="25BAFA89" w:rsidR="00C46509" w:rsidRPr="004637C7" w:rsidRDefault="00C46509" w:rsidP="00D60FC9">
            <w:pPr>
              <w:jc w:val="left"/>
              <w:cnfStyle w:val="000000000000" w:firstRow="0" w:lastRow="0" w:firstColumn="0" w:lastColumn="0" w:oddVBand="0" w:evenVBand="0" w:oddHBand="0" w:evenHBand="0" w:firstRowFirstColumn="0" w:firstRowLastColumn="0" w:lastRowFirstColumn="0" w:lastRowLastColumn="0"/>
              <w:rPr>
                <w:rFonts w:eastAsia="Calibri"/>
                <w:szCs w:val="20"/>
                <w:lang w:bidi="ar-SA"/>
              </w:rPr>
            </w:pPr>
            <w:r w:rsidRPr="00C46509">
              <w:rPr>
                <w:rFonts w:eastAsia="Calibri"/>
                <w:szCs w:val="20"/>
                <w:lang w:bidi="ar-SA"/>
              </w:rPr>
              <w:t>1 200 MAD / extincteur, 800 MAD / détecteur</w:t>
            </w:r>
          </w:p>
        </w:tc>
      </w:tr>
      <w:tr w:rsidR="00312C69" w:rsidRPr="00911732" w14:paraId="5C27195E" w14:textId="77777777" w:rsidTr="001B673F">
        <w:trPr>
          <w:trHeight w:val="807"/>
        </w:trPr>
        <w:tc>
          <w:tcPr>
            <w:cnfStyle w:val="001000000000" w:firstRow="0" w:lastRow="0" w:firstColumn="1" w:lastColumn="0" w:oddVBand="0" w:evenVBand="0" w:oddHBand="0" w:evenHBand="0" w:firstRowFirstColumn="0" w:firstRowLastColumn="0" w:lastRowFirstColumn="0" w:lastRowLastColumn="0"/>
            <w:tcW w:w="0" w:type="auto"/>
            <w:vMerge/>
          </w:tcPr>
          <w:p w14:paraId="7B64EA90" w14:textId="77777777" w:rsidR="00312C69" w:rsidRPr="00481B02" w:rsidRDefault="00312C69" w:rsidP="00312C69">
            <w:pPr>
              <w:jc w:val="center"/>
              <w:rPr>
                <w:rFonts w:eastAsia="Calibri"/>
                <w:szCs w:val="20"/>
                <w:lang w:bidi="ar-SA"/>
              </w:rPr>
            </w:pPr>
          </w:p>
        </w:tc>
        <w:tc>
          <w:tcPr>
            <w:tcW w:w="0" w:type="auto"/>
            <w:vMerge/>
          </w:tcPr>
          <w:p w14:paraId="69878F78" w14:textId="77777777" w:rsidR="00312C69" w:rsidRPr="004637C7" w:rsidRDefault="00312C69" w:rsidP="00312C69">
            <w:pPr>
              <w:jc w:val="left"/>
              <w:cnfStyle w:val="000000000000" w:firstRow="0" w:lastRow="0" w:firstColumn="0" w:lastColumn="0" w:oddVBand="0" w:evenVBand="0" w:oddHBand="0" w:evenHBand="0" w:firstRowFirstColumn="0" w:firstRowLastColumn="0" w:lastRowFirstColumn="0" w:lastRowLastColumn="0"/>
              <w:rPr>
                <w:rFonts w:eastAsia="Calibri"/>
                <w:szCs w:val="20"/>
                <w:lang w:bidi="ar-SA"/>
              </w:rPr>
            </w:pPr>
          </w:p>
        </w:tc>
        <w:tc>
          <w:tcPr>
            <w:tcW w:w="2585" w:type="dxa"/>
            <w:tcBorders>
              <w:top w:val="single" w:sz="4" w:space="0" w:color="B4C6E7" w:themeColor="accent1" w:themeTint="66"/>
            </w:tcBorders>
          </w:tcPr>
          <w:p w14:paraId="1097E3DC" w14:textId="77777777" w:rsidR="00312C69" w:rsidRPr="004637C7" w:rsidRDefault="00312C69" w:rsidP="00312C69">
            <w:pPr>
              <w:jc w:val="left"/>
              <w:cnfStyle w:val="000000000000" w:firstRow="0" w:lastRow="0" w:firstColumn="0" w:lastColumn="0" w:oddVBand="0" w:evenVBand="0" w:oddHBand="0" w:evenHBand="0" w:firstRowFirstColumn="0" w:firstRowLastColumn="0" w:lastRowFirstColumn="0" w:lastRowLastColumn="0"/>
              <w:rPr>
                <w:rFonts w:eastAsia="Calibri"/>
                <w:szCs w:val="20"/>
                <w:lang w:bidi="ar-SA"/>
              </w:rPr>
            </w:pPr>
            <w:r w:rsidRPr="00481B02">
              <w:rPr>
                <w:rFonts w:eastAsia="Calibri"/>
                <w:szCs w:val="20"/>
                <w:lang w:bidi="ar-SA"/>
              </w:rPr>
              <w:t>M</w:t>
            </w:r>
            <w:r w:rsidRPr="004637C7">
              <w:rPr>
                <w:rFonts w:eastAsia="Calibri"/>
                <w:szCs w:val="20"/>
                <w:lang w:bidi="ar-SA"/>
              </w:rPr>
              <w:t>aintenir extincteurs et détecteurs en service.</w:t>
            </w:r>
          </w:p>
        </w:tc>
        <w:tc>
          <w:tcPr>
            <w:tcW w:w="1613" w:type="dxa"/>
            <w:vMerge/>
          </w:tcPr>
          <w:p w14:paraId="2E0D2CAA" w14:textId="77777777" w:rsidR="00312C69" w:rsidRPr="004637C7" w:rsidRDefault="00312C69" w:rsidP="00312C69">
            <w:pPr>
              <w:jc w:val="left"/>
              <w:cnfStyle w:val="000000000000" w:firstRow="0" w:lastRow="0" w:firstColumn="0" w:lastColumn="0" w:oddVBand="0" w:evenVBand="0" w:oddHBand="0" w:evenHBand="0" w:firstRowFirstColumn="0" w:firstRowLastColumn="0" w:lastRowFirstColumn="0" w:lastRowLastColumn="0"/>
              <w:rPr>
                <w:rFonts w:eastAsia="Calibri"/>
                <w:szCs w:val="20"/>
                <w:lang w:bidi="ar-SA"/>
              </w:rPr>
            </w:pPr>
          </w:p>
        </w:tc>
        <w:tc>
          <w:tcPr>
            <w:tcW w:w="0" w:type="auto"/>
            <w:vMerge/>
          </w:tcPr>
          <w:p w14:paraId="4A774302" w14:textId="77777777" w:rsidR="00312C69" w:rsidRPr="00481B02" w:rsidRDefault="00312C69" w:rsidP="00312C69">
            <w:pPr>
              <w:jc w:val="center"/>
              <w:cnfStyle w:val="000000000000" w:firstRow="0" w:lastRow="0" w:firstColumn="0" w:lastColumn="0" w:oddVBand="0" w:evenVBand="0" w:oddHBand="0" w:evenHBand="0" w:firstRowFirstColumn="0" w:firstRowLastColumn="0" w:lastRowFirstColumn="0" w:lastRowLastColumn="0"/>
              <w:rPr>
                <w:szCs w:val="20"/>
                <w:lang w:eastAsia="fr-FR" w:bidi="ar-SA"/>
              </w:rPr>
            </w:pPr>
          </w:p>
        </w:tc>
        <w:tc>
          <w:tcPr>
            <w:tcW w:w="0" w:type="auto"/>
            <w:vMerge/>
          </w:tcPr>
          <w:p w14:paraId="5C5287FB" w14:textId="77777777" w:rsidR="00312C69" w:rsidRPr="00481B02" w:rsidRDefault="00312C69" w:rsidP="00312C69">
            <w:pPr>
              <w:jc w:val="center"/>
              <w:cnfStyle w:val="000000000000" w:firstRow="0" w:lastRow="0" w:firstColumn="0" w:lastColumn="0" w:oddVBand="0" w:evenVBand="0" w:oddHBand="0" w:evenHBand="0" w:firstRowFirstColumn="0" w:firstRowLastColumn="0" w:lastRowFirstColumn="0" w:lastRowLastColumn="0"/>
              <w:rPr>
                <w:szCs w:val="20"/>
                <w:lang w:eastAsia="fr-FR" w:bidi="ar-SA"/>
              </w:rPr>
            </w:pPr>
          </w:p>
        </w:tc>
        <w:tc>
          <w:tcPr>
            <w:tcW w:w="0" w:type="auto"/>
            <w:vMerge/>
          </w:tcPr>
          <w:p w14:paraId="6537835F" w14:textId="77777777" w:rsidR="00312C69" w:rsidRPr="00481B02" w:rsidRDefault="00312C69" w:rsidP="00312C69">
            <w:pPr>
              <w:jc w:val="center"/>
              <w:cnfStyle w:val="000000000000" w:firstRow="0" w:lastRow="0" w:firstColumn="0" w:lastColumn="0" w:oddVBand="0" w:evenVBand="0" w:oddHBand="0" w:evenHBand="0" w:firstRowFirstColumn="0" w:firstRowLastColumn="0" w:lastRowFirstColumn="0" w:lastRowLastColumn="0"/>
              <w:rPr>
                <w:szCs w:val="20"/>
                <w:lang w:eastAsia="fr-FR" w:bidi="ar-SA"/>
              </w:rPr>
            </w:pPr>
          </w:p>
        </w:tc>
        <w:tc>
          <w:tcPr>
            <w:tcW w:w="0" w:type="auto"/>
            <w:vMerge/>
          </w:tcPr>
          <w:p w14:paraId="1DB7AF87" w14:textId="77777777" w:rsidR="00312C69" w:rsidRPr="004637C7" w:rsidRDefault="00312C69" w:rsidP="00312C69">
            <w:pPr>
              <w:jc w:val="center"/>
              <w:cnfStyle w:val="000000000000" w:firstRow="0" w:lastRow="0" w:firstColumn="0" w:lastColumn="0" w:oddVBand="0" w:evenVBand="0" w:oddHBand="0" w:evenHBand="0" w:firstRowFirstColumn="0" w:firstRowLastColumn="0" w:lastRowFirstColumn="0" w:lastRowLastColumn="0"/>
              <w:rPr>
                <w:rFonts w:eastAsia="Calibri"/>
                <w:szCs w:val="20"/>
                <w:lang w:bidi="ar-SA"/>
              </w:rPr>
            </w:pPr>
          </w:p>
        </w:tc>
        <w:tc>
          <w:tcPr>
            <w:tcW w:w="0" w:type="auto"/>
            <w:vMerge/>
          </w:tcPr>
          <w:p w14:paraId="2AD5839E" w14:textId="77777777" w:rsidR="00312C69" w:rsidRPr="00AA22F2" w:rsidRDefault="00312C69" w:rsidP="00312C69">
            <w:pPr>
              <w:jc w:val="left"/>
              <w:cnfStyle w:val="000000000000" w:firstRow="0" w:lastRow="0" w:firstColumn="0" w:lastColumn="0" w:oddVBand="0" w:evenVBand="0" w:oddHBand="0" w:evenHBand="0" w:firstRowFirstColumn="0" w:firstRowLastColumn="0" w:lastRowFirstColumn="0" w:lastRowLastColumn="0"/>
              <w:rPr>
                <w:szCs w:val="20"/>
              </w:rPr>
            </w:pPr>
          </w:p>
        </w:tc>
      </w:tr>
      <w:tr w:rsidR="00312C69" w:rsidRPr="00911732" w14:paraId="684F64F3" w14:textId="77777777" w:rsidTr="00D60FC9">
        <w:tc>
          <w:tcPr>
            <w:cnfStyle w:val="001000000000" w:firstRow="0" w:lastRow="0" w:firstColumn="1" w:lastColumn="0" w:oddVBand="0" w:evenVBand="0" w:oddHBand="0" w:evenHBand="0" w:firstRowFirstColumn="0" w:firstRowLastColumn="0" w:lastRowFirstColumn="0" w:lastRowLastColumn="0"/>
            <w:tcW w:w="0" w:type="auto"/>
            <w:vMerge/>
            <w:hideMark/>
          </w:tcPr>
          <w:p w14:paraId="1C0F02C6" w14:textId="77777777" w:rsidR="00312C69" w:rsidRPr="004637C7" w:rsidRDefault="00312C69" w:rsidP="00312C69">
            <w:pPr>
              <w:jc w:val="center"/>
              <w:rPr>
                <w:rFonts w:eastAsia="Calibri"/>
                <w:b w:val="0"/>
                <w:bCs w:val="0"/>
                <w:szCs w:val="20"/>
                <w:lang w:bidi="ar-SA"/>
              </w:rPr>
            </w:pPr>
          </w:p>
        </w:tc>
        <w:tc>
          <w:tcPr>
            <w:tcW w:w="0" w:type="auto"/>
            <w:hideMark/>
          </w:tcPr>
          <w:p w14:paraId="06EA2300" w14:textId="77777777" w:rsidR="00312C69" w:rsidRPr="004637C7" w:rsidRDefault="00312C69" w:rsidP="00312C69">
            <w:pPr>
              <w:jc w:val="left"/>
              <w:cnfStyle w:val="000000000000" w:firstRow="0" w:lastRow="0" w:firstColumn="0" w:lastColumn="0" w:oddVBand="0" w:evenVBand="0" w:oddHBand="0" w:evenHBand="0" w:firstRowFirstColumn="0" w:firstRowLastColumn="0" w:lastRowFirstColumn="0" w:lastRowLastColumn="0"/>
              <w:rPr>
                <w:rFonts w:eastAsia="Calibri"/>
                <w:szCs w:val="20"/>
                <w:lang w:bidi="ar-SA"/>
              </w:rPr>
            </w:pPr>
            <w:r w:rsidRPr="004637C7">
              <w:rPr>
                <w:rFonts w:eastAsia="Calibri"/>
                <w:szCs w:val="20"/>
                <w:lang w:bidi="ar-SA"/>
              </w:rPr>
              <w:t>Réduire</w:t>
            </w:r>
          </w:p>
        </w:tc>
        <w:tc>
          <w:tcPr>
            <w:tcW w:w="0" w:type="dxa"/>
            <w:hideMark/>
          </w:tcPr>
          <w:p w14:paraId="13739D0D" w14:textId="77777777" w:rsidR="00312C69" w:rsidRPr="00481B02" w:rsidRDefault="00312C69" w:rsidP="00312C69">
            <w:pPr>
              <w:jc w:val="left"/>
              <w:cnfStyle w:val="000000000000" w:firstRow="0" w:lastRow="0" w:firstColumn="0" w:lastColumn="0" w:oddVBand="0" w:evenVBand="0" w:oddHBand="0" w:evenHBand="0" w:firstRowFirstColumn="0" w:firstRowLastColumn="0" w:lastRowFirstColumn="0" w:lastRowLastColumn="0"/>
              <w:rPr>
                <w:rFonts w:eastAsia="Calibri"/>
                <w:szCs w:val="20"/>
                <w:lang w:bidi="ar-SA"/>
              </w:rPr>
            </w:pPr>
            <w:r w:rsidRPr="004637C7">
              <w:rPr>
                <w:rFonts w:eastAsia="Calibri"/>
                <w:szCs w:val="20"/>
                <w:lang w:bidi="ar-SA"/>
              </w:rPr>
              <w:t xml:space="preserve">Former les techniciens à la prévention incendie et au risque électrique ; </w:t>
            </w:r>
          </w:p>
          <w:p w14:paraId="5F4D6BE6" w14:textId="3948DCDA" w:rsidR="00312C69" w:rsidRPr="004637C7" w:rsidRDefault="00312C69" w:rsidP="00312C69">
            <w:pPr>
              <w:jc w:val="left"/>
              <w:cnfStyle w:val="000000000000" w:firstRow="0" w:lastRow="0" w:firstColumn="0" w:lastColumn="0" w:oddVBand="0" w:evenVBand="0" w:oddHBand="0" w:evenHBand="0" w:firstRowFirstColumn="0" w:firstRowLastColumn="0" w:lastRowFirstColumn="0" w:lastRowLastColumn="0"/>
              <w:rPr>
                <w:rFonts w:eastAsia="Calibri"/>
                <w:szCs w:val="20"/>
                <w:lang w:bidi="ar-SA"/>
              </w:rPr>
            </w:pPr>
            <w:r w:rsidRPr="00481B02">
              <w:rPr>
                <w:rFonts w:eastAsia="Calibri"/>
                <w:szCs w:val="20"/>
                <w:lang w:bidi="ar-SA"/>
              </w:rPr>
              <w:t>R</w:t>
            </w:r>
            <w:r w:rsidRPr="004637C7">
              <w:rPr>
                <w:rFonts w:eastAsia="Calibri"/>
                <w:szCs w:val="20"/>
                <w:lang w:bidi="ar-SA"/>
              </w:rPr>
              <w:t>éaliser des exercices trimestriels d’évacuation.</w:t>
            </w:r>
          </w:p>
        </w:tc>
        <w:tc>
          <w:tcPr>
            <w:tcW w:w="1613" w:type="dxa"/>
            <w:hideMark/>
          </w:tcPr>
          <w:p w14:paraId="7E9B19E0" w14:textId="77777777" w:rsidR="00312C69" w:rsidRPr="00481B02" w:rsidRDefault="00312C69" w:rsidP="00312C69">
            <w:pPr>
              <w:jc w:val="left"/>
              <w:cnfStyle w:val="000000000000" w:firstRow="0" w:lastRow="0" w:firstColumn="0" w:lastColumn="0" w:oddVBand="0" w:evenVBand="0" w:oddHBand="0" w:evenHBand="0" w:firstRowFirstColumn="0" w:firstRowLastColumn="0" w:lastRowFirstColumn="0" w:lastRowLastColumn="0"/>
              <w:rPr>
                <w:rFonts w:eastAsia="Calibri"/>
                <w:szCs w:val="20"/>
                <w:lang w:bidi="ar-SA"/>
              </w:rPr>
            </w:pPr>
            <w:r w:rsidRPr="004637C7">
              <w:rPr>
                <w:rFonts w:eastAsia="Calibri"/>
                <w:szCs w:val="20"/>
                <w:lang w:bidi="ar-SA"/>
              </w:rPr>
              <w:t xml:space="preserve">% de personnel formé </w:t>
            </w:r>
          </w:p>
          <w:p w14:paraId="38313989" w14:textId="5EEB2945" w:rsidR="00312C69" w:rsidRPr="004637C7" w:rsidRDefault="00312C69" w:rsidP="00312C69">
            <w:pPr>
              <w:jc w:val="left"/>
              <w:cnfStyle w:val="000000000000" w:firstRow="0" w:lastRow="0" w:firstColumn="0" w:lastColumn="0" w:oddVBand="0" w:evenVBand="0" w:oddHBand="0" w:evenHBand="0" w:firstRowFirstColumn="0" w:firstRowLastColumn="0" w:lastRowFirstColumn="0" w:lastRowLastColumn="0"/>
              <w:rPr>
                <w:rFonts w:eastAsia="Calibri"/>
                <w:szCs w:val="20"/>
                <w:lang w:bidi="ar-SA"/>
              </w:rPr>
            </w:pPr>
            <w:r w:rsidRPr="004637C7">
              <w:rPr>
                <w:rFonts w:eastAsia="Calibri"/>
                <w:szCs w:val="20"/>
                <w:lang w:bidi="ar-SA"/>
              </w:rPr>
              <w:t>Nb d’exercices</w:t>
            </w:r>
          </w:p>
        </w:tc>
        <w:tc>
          <w:tcPr>
            <w:tcW w:w="0" w:type="auto"/>
            <w:hideMark/>
          </w:tcPr>
          <w:p w14:paraId="53791496" w14:textId="27EDDB34" w:rsidR="00312C69" w:rsidRPr="004637C7" w:rsidRDefault="00312C69" w:rsidP="00312C69">
            <w:pPr>
              <w:jc w:val="center"/>
              <w:cnfStyle w:val="000000000000" w:firstRow="0" w:lastRow="0" w:firstColumn="0" w:lastColumn="0" w:oddVBand="0" w:evenVBand="0" w:oddHBand="0" w:evenHBand="0" w:firstRowFirstColumn="0" w:firstRowLastColumn="0" w:lastRowFirstColumn="0" w:lastRowLastColumn="0"/>
              <w:rPr>
                <w:rFonts w:eastAsia="Calibri"/>
                <w:szCs w:val="20"/>
                <w:lang w:bidi="ar-SA"/>
              </w:rPr>
            </w:pPr>
            <w:r w:rsidRPr="00481B02">
              <w:rPr>
                <w:szCs w:val="20"/>
                <w:lang w:eastAsia="fr-FR" w:bidi="ar-SA"/>
              </w:rPr>
              <w:t>ONDA / Exploitant</w:t>
            </w:r>
          </w:p>
        </w:tc>
        <w:tc>
          <w:tcPr>
            <w:tcW w:w="0" w:type="auto"/>
            <w:hideMark/>
          </w:tcPr>
          <w:p w14:paraId="671793D5" w14:textId="78335A4B" w:rsidR="00312C69" w:rsidRPr="004637C7" w:rsidRDefault="00312C69" w:rsidP="00312C69">
            <w:pPr>
              <w:jc w:val="center"/>
              <w:cnfStyle w:val="000000000000" w:firstRow="0" w:lastRow="0" w:firstColumn="0" w:lastColumn="0" w:oddVBand="0" w:evenVBand="0" w:oddHBand="0" w:evenHBand="0" w:firstRowFirstColumn="0" w:firstRowLastColumn="0" w:lastRowFirstColumn="0" w:lastRowLastColumn="0"/>
              <w:rPr>
                <w:rFonts w:eastAsia="Calibri"/>
                <w:szCs w:val="20"/>
                <w:lang w:bidi="ar-SA"/>
              </w:rPr>
            </w:pPr>
            <w:r w:rsidRPr="00481B02">
              <w:rPr>
                <w:szCs w:val="20"/>
                <w:lang w:eastAsia="fr-FR" w:bidi="ar-SA"/>
              </w:rPr>
              <w:t>ONDA</w:t>
            </w:r>
          </w:p>
        </w:tc>
        <w:tc>
          <w:tcPr>
            <w:tcW w:w="0" w:type="auto"/>
            <w:hideMark/>
          </w:tcPr>
          <w:p w14:paraId="0E8F4E50" w14:textId="33610E41" w:rsidR="00312C69" w:rsidRPr="004637C7" w:rsidRDefault="00312C69" w:rsidP="00312C69">
            <w:pPr>
              <w:jc w:val="center"/>
              <w:cnfStyle w:val="000000000000" w:firstRow="0" w:lastRow="0" w:firstColumn="0" w:lastColumn="0" w:oddVBand="0" w:evenVBand="0" w:oddHBand="0" w:evenHBand="0" w:firstRowFirstColumn="0" w:firstRowLastColumn="0" w:lastRowFirstColumn="0" w:lastRowLastColumn="0"/>
              <w:rPr>
                <w:rFonts w:eastAsia="Calibri"/>
                <w:szCs w:val="20"/>
                <w:lang w:bidi="ar-SA"/>
              </w:rPr>
            </w:pPr>
            <w:r w:rsidRPr="00481B02">
              <w:rPr>
                <w:szCs w:val="20"/>
                <w:lang w:eastAsia="fr-FR" w:bidi="ar-SA"/>
              </w:rPr>
              <w:t>ONDA</w:t>
            </w:r>
          </w:p>
        </w:tc>
        <w:tc>
          <w:tcPr>
            <w:tcW w:w="0" w:type="auto"/>
            <w:hideMark/>
          </w:tcPr>
          <w:p w14:paraId="2ABC172D" w14:textId="77777777" w:rsidR="00312C69" w:rsidRPr="004637C7" w:rsidRDefault="00312C69" w:rsidP="00312C69">
            <w:pPr>
              <w:jc w:val="center"/>
              <w:cnfStyle w:val="000000000000" w:firstRow="0" w:lastRow="0" w:firstColumn="0" w:lastColumn="0" w:oddVBand="0" w:evenVBand="0" w:oddHBand="0" w:evenHBand="0" w:firstRowFirstColumn="0" w:firstRowLastColumn="0" w:lastRowFirstColumn="0" w:lastRowLastColumn="0"/>
              <w:rPr>
                <w:rFonts w:eastAsia="Calibri"/>
                <w:szCs w:val="20"/>
                <w:lang w:bidi="ar-SA"/>
              </w:rPr>
            </w:pPr>
            <w:r w:rsidRPr="004637C7">
              <w:rPr>
                <w:rFonts w:eastAsia="Calibri"/>
                <w:szCs w:val="20"/>
                <w:lang w:bidi="ar-SA"/>
              </w:rPr>
              <w:t>Trimestriel</w:t>
            </w:r>
          </w:p>
        </w:tc>
        <w:tc>
          <w:tcPr>
            <w:tcW w:w="0" w:type="auto"/>
            <w:hideMark/>
          </w:tcPr>
          <w:p w14:paraId="4BC88B27" w14:textId="0C02CCA9" w:rsidR="00312C69" w:rsidRDefault="00C46509" w:rsidP="00312C69">
            <w:pPr>
              <w:jc w:val="left"/>
              <w:cnfStyle w:val="000000000000" w:firstRow="0" w:lastRow="0" w:firstColumn="0" w:lastColumn="0" w:oddVBand="0" w:evenVBand="0" w:oddHBand="0" w:evenHBand="0" w:firstRowFirstColumn="0" w:firstRowLastColumn="0" w:lastRowFirstColumn="0" w:lastRowLastColumn="0"/>
              <w:rPr>
                <w:rFonts w:eastAsia="Calibri"/>
                <w:szCs w:val="20"/>
                <w:lang w:bidi="ar-SA"/>
              </w:rPr>
            </w:pPr>
            <w:r w:rsidRPr="00C46509">
              <w:rPr>
                <w:rFonts w:eastAsia="Calibri"/>
                <w:szCs w:val="20"/>
                <w:lang w:bidi="ar-SA"/>
              </w:rPr>
              <w:t>6 000 MAD / session (15 pers.)</w:t>
            </w:r>
          </w:p>
          <w:p w14:paraId="63127F3F" w14:textId="77777777" w:rsidR="00C46509" w:rsidRDefault="00C46509" w:rsidP="00312C69">
            <w:pPr>
              <w:jc w:val="left"/>
              <w:cnfStyle w:val="000000000000" w:firstRow="0" w:lastRow="0" w:firstColumn="0" w:lastColumn="0" w:oddVBand="0" w:evenVBand="0" w:oddHBand="0" w:evenHBand="0" w:firstRowFirstColumn="0" w:firstRowLastColumn="0" w:lastRowFirstColumn="0" w:lastRowLastColumn="0"/>
              <w:rPr>
                <w:rFonts w:eastAsia="Calibri"/>
                <w:szCs w:val="20"/>
                <w:lang w:bidi="ar-SA"/>
              </w:rPr>
            </w:pPr>
          </w:p>
          <w:p w14:paraId="0CD1D119" w14:textId="0E1BEBEE" w:rsidR="00C46509" w:rsidRPr="004637C7" w:rsidRDefault="00C46509" w:rsidP="00D60FC9">
            <w:pPr>
              <w:jc w:val="left"/>
              <w:cnfStyle w:val="000000000000" w:firstRow="0" w:lastRow="0" w:firstColumn="0" w:lastColumn="0" w:oddVBand="0" w:evenVBand="0" w:oddHBand="0" w:evenHBand="0" w:firstRowFirstColumn="0" w:firstRowLastColumn="0" w:lastRowFirstColumn="0" w:lastRowLastColumn="0"/>
              <w:rPr>
                <w:rFonts w:eastAsia="Calibri"/>
                <w:szCs w:val="20"/>
                <w:lang w:bidi="ar-SA"/>
              </w:rPr>
            </w:pPr>
            <w:r w:rsidRPr="00C46509">
              <w:rPr>
                <w:rFonts w:eastAsia="Calibri"/>
                <w:szCs w:val="20"/>
                <w:lang w:bidi="ar-SA"/>
              </w:rPr>
              <w:t>5 000 MAD / exercice</w:t>
            </w:r>
          </w:p>
        </w:tc>
      </w:tr>
      <w:tr w:rsidR="00312C69" w:rsidRPr="00911732" w14:paraId="793F41EE" w14:textId="77777777" w:rsidTr="00D60FC9">
        <w:tc>
          <w:tcPr>
            <w:cnfStyle w:val="001000000000" w:firstRow="0" w:lastRow="0" w:firstColumn="1" w:lastColumn="0" w:oddVBand="0" w:evenVBand="0" w:oddHBand="0" w:evenHBand="0" w:firstRowFirstColumn="0" w:firstRowLastColumn="0" w:lastRowFirstColumn="0" w:lastRowLastColumn="0"/>
            <w:tcW w:w="0" w:type="auto"/>
            <w:vMerge/>
            <w:hideMark/>
          </w:tcPr>
          <w:p w14:paraId="48E0B94F" w14:textId="77777777" w:rsidR="00312C69" w:rsidRPr="004637C7" w:rsidRDefault="00312C69" w:rsidP="00312C69">
            <w:pPr>
              <w:jc w:val="center"/>
              <w:rPr>
                <w:rFonts w:eastAsia="Calibri"/>
                <w:b w:val="0"/>
                <w:bCs w:val="0"/>
                <w:szCs w:val="20"/>
                <w:lang w:bidi="ar-SA"/>
              </w:rPr>
            </w:pPr>
          </w:p>
        </w:tc>
        <w:tc>
          <w:tcPr>
            <w:tcW w:w="0" w:type="auto"/>
            <w:hideMark/>
          </w:tcPr>
          <w:p w14:paraId="7031EF47" w14:textId="77777777" w:rsidR="00312C69" w:rsidRPr="004637C7" w:rsidRDefault="00312C69" w:rsidP="00312C69">
            <w:pPr>
              <w:jc w:val="left"/>
              <w:cnfStyle w:val="000000000000" w:firstRow="0" w:lastRow="0" w:firstColumn="0" w:lastColumn="0" w:oddVBand="0" w:evenVBand="0" w:oddHBand="0" w:evenHBand="0" w:firstRowFirstColumn="0" w:firstRowLastColumn="0" w:lastRowFirstColumn="0" w:lastRowLastColumn="0"/>
              <w:rPr>
                <w:rFonts w:eastAsia="Calibri"/>
                <w:szCs w:val="20"/>
                <w:lang w:bidi="ar-SA"/>
              </w:rPr>
            </w:pPr>
            <w:r w:rsidRPr="004637C7">
              <w:rPr>
                <w:rFonts w:eastAsia="Calibri"/>
                <w:szCs w:val="20"/>
                <w:lang w:bidi="ar-SA"/>
              </w:rPr>
              <w:t>Atténuer</w:t>
            </w:r>
          </w:p>
        </w:tc>
        <w:tc>
          <w:tcPr>
            <w:tcW w:w="0" w:type="dxa"/>
            <w:hideMark/>
          </w:tcPr>
          <w:p w14:paraId="7CF62CE8" w14:textId="77777777" w:rsidR="00312C69" w:rsidRPr="00481B02" w:rsidRDefault="00312C69" w:rsidP="00312C69">
            <w:pPr>
              <w:jc w:val="left"/>
              <w:cnfStyle w:val="000000000000" w:firstRow="0" w:lastRow="0" w:firstColumn="0" w:lastColumn="0" w:oddVBand="0" w:evenVBand="0" w:oddHBand="0" w:evenHBand="0" w:firstRowFirstColumn="0" w:firstRowLastColumn="0" w:lastRowFirstColumn="0" w:lastRowLastColumn="0"/>
              <w:rPr>
                <w:rFonts w:eastAsia="Calibri"/>
                <w:szCs w:val="20"/>
                <w:lang w:bidi="ar-SA"/>
              </w:rPr>
            </w:pPr>
            <w:r w:rsidRPr="004637C7">
              <w:rPr>
                <w:rFonts w:eastAsia="Calibri"/>
                <w:szCs w:val="20"/>
                <w:lang w:bidi="ar-SA"/>
              </w:rPr>
              <w:t xml:space="preserve">Installer alarmes incendie connectées au PC sécurité ; </w:t>
            </w:r>
          </w:p>
          <w:p w14:paraId="46B55FFE" w14:textId="33D02CD3" w:rsidR="00312C69" w:rsidRPr="004637C7" w:rsidRDefault="00312C69" w:rsidP="00312C69">
            <w:pPr>
              <w:jc w:val="left"/>
              <w:cnfStyle w:val="000000000000" w:firstRow="0" w:lastRow="0" w:firstColumn="0" w:lastColumn="0" w:oddVBand="0" w:evenVBand="0" w:oddHBand="0" w:evenHBand="0" w:firstRowFirstColumn="0" w:firstRowLastColumn="0" w:lastRowFirstColumn="0" w:lastRowLastColumn="0"/>
              <w:rPr>
                <w:rFonts w:eastAsia="Calibri"/>
                <w:szCs w:val="20"/>
                <w:lang w:bidi="ar-SA"/>
              </w:rPr>
            </w:pPr>
            <w:r w:rsidRPr="00481B02">
              <w:rPr>
                <w:rFonts w:eastAsia="Calibri"/>
                <w:szCs w:val="20"/>
                <w:lang w:bidi="ar-SA"/>
              </w:rPr>
              <w:t>C</w:t>
            </w:r>
            <w:r w:rsidRPr="004637C7">
              <w:rPr>
                <w:rFonts w:eastAsia="Calibri"/>
                <w:szCs w:val="20"/>
                <w:lang w:bidi="ar-SA"/>
              </w:rPr>
              <w:t>ontrôler la maintenance des extincteurs et systèmes de détection.</w:t>
            </w:r>
          </w:p>
        </w:tc>
        <w:tc>
          <w:tcPr>
            <w:tcW w:w="1613" w:type="dxa"/>
            <w:hideMark/>
          </w:tcPr>
          <w:p w14:paraId="44E55BE5" w14:textId="77777777" w:rsidR="00312C69" w:rsidRPr="00481B02" w:rsidRDefault="00312C69" w:rsidP="00312C69">
            <w:pPr>
              <w:jc w:val="left"/>
              <w:cnfStyle w:val="000000000000" w:firstRow="0" w:lastRow="0" w:firstColumn="0" w:lastColumn="0" w:oddVBand="0" w:evenVBand="0" w:oddHBand="0" w:evenHBand="0" w:firstRowFirstColumn="0" w:firstRowLastColumn="0" w:lastRowFirstColumn="0" w:lastRowLastColumn="0"/>
              <w:rPr>
                <w:rFonts w:eastAsia="Calibri"/>
                <w:szCs w:val="20"/>
                <w:lang w:bidi="ar-SA"/>
              </w:rPr>
            </w:pPr>
            <w:r w:rsidRPr="004637C7">
              <w:rPr>
                <w:rFonts w:eastAsia="Calibri"/>
                <w:szCs w:val="20"/>
                <w:lang w:bidi="ar-SA"/>
              </w:rPr>
              <w:t xml:space="preserve">Nb d’alarmes </w:t>
            </w:r>
          </w:p>
          <w:p w14:paraId="37306E03" w14:textId="2C6BF6BC" w:rsidR="00312C69" w:rsidRPr="004637C7" w:rsidRDefault="00312C69" w:rsidP="00312C69">
            <w:pPr>
              <w:jc w:val="left"/>
              <w:cnfStyle w:val="000000000000" w:firstRow="0" w:lastRow="0" w:firstColumn="0" w:lastColumn="0" w:oddVBand="0" w:evenVBand="0" w:oddHBand="0" w:evenHBand="0" w:firstRowFirstColumn="0" w:firstRowLastColumn="0" w:lastRowFirstColumn="0" w:lastRowLastColumn="0"/>
              <w:rPr>
                <w:rFonts w:eastAsia="Calibri"/>
                <w:szCs w:val="20"/>
                <w:lang w:bidi="ar-SA"/>
              </w:rPr>
            </w:pPr>
            <w:r w:rsidRPr="004637C7">
              <w:rPr>
                <w:rFonts w:eastAsia="Calibri"/>
                <w:szCs w:val="20"/>
                <w:lang w:bidi="ar-SA"/>
              </w:rPr>
              <w:t>Nb de contrôles</w:t>
            </w:r>
          </w:p>
        </w:tc>
        <w:tc>
          <w:tcPr>
            <w:tcW w:w="0" w:type="auto"/>
            <w:hideMark/>
          </w:tcPr>
          <w:p w14:paraId="57F941A7" w14:textId="5873C101" w:rsidR="00312C69" w:rsidRPr="004637C7" w:rsidRDefault="00312C69" w:rsidP="00312C69">
            <w:pPr>
              <w:jc w:val="center"/>
              <w:cnfStyle w:val="000000000000" w:firstRow="0" w:lastRow="0" w:firstColumn="0" w:lastColumn="0" w:oddVBand="0" w:evenVBand="0" w:oddHBand="0" w:evenHBand="0" w:firstRowFirstColumn="0" w:firstRowLastColumn="0" w:lastRowFirstColumn="0" w:lastRowLastColumn="0"/>
              <w:rPr>
                <w:rFonts w:eastAsia="Calibri"/>
                <w:szCs w:val="20"/>
                <w:lang w:bidi="ar-SA"/>
              </w:rPr>
            </w:pPr>
            <w:r w:rsidRPr="00481B02">
              <w:rPr>
                <w:szCs w:val="20"/>
                <w:lang w:eastAsia="fr-FR" w:bidi="ar-SA"/>
              </w:rPr>
              <w:t>ONDA / Exploitant</w:t>
            </w:r>
          </w:p>
        </w:tc>
        <w:tc>
          <w:tcPr>
            <w:tcW w:w="0" w:type="auto"/>
            <w:hideMark/>
          </w:tcPr>
          <w:p w14:paraId="10589856" w14:textId="7C5359CC" w:rsidR="00312C69" w:rsidRPr="004637C7" w:rsidRDefault="00312C69" w:rsidP="00312C69">
            <w:pPr>
              <w:jc w:val="center"/>
              <w:cnfStyle w:val="000000000000" w:firstRow="0" w:lastRow="0" w:firstColumn="0" w:lastColumn="0" w:oddVBand="0" w:evenVBand="0" w:oddHBand="0" w:evenHBand="0" w:firstRowFirstColumn="0" w:firstRowLastColumn="0" w:lastRowFirstColumn="0" w:lastRowLastColumn="0"/>
              <w:rPr>
                <w:rFonts w:eastAsia="Calibri"/>
                <w:szCs w:val="20"/>
                <w:lang w:bidi="ar-SA"/>
              </w:rPr>
            </w:pPr>
            <w:r w:rsidRPr="00481B02">
              <w:rPr>
                <w:szCs w:val="20"/>
                <w:lang w:eastAsia="fr-FR" w:bidi="ar-SA"/>
              </w:rPr>
              <w:t>ONDA</w:t>
            </w:r>
          </w:p>
        </w:tc>
        <w:tc>
          <w:tcPr>
            <w:tcW w:w="0" w:type="auto"/>
            <w:hideMark/>
          </w:tcPr>
          <w:p w14:paraId="31D8C79A" w14:textId="3A1C7148" w:rsidR="00312C69" w:rsidRPr="004637C7" w:rsidRDefault="00312C69" w:rsidP="00312C69">
            <w:pPr>
              <w:jc w:val="center"/>
              <w:cnfStyle w:val="000000000000" w:firstRow="0" w:lastRow="0" w:firstColumn="0" w:lastColumn="0" w:oddVBand="0" w:evenVBand="0" w:oddHBand="0" w:evenHBand="0" w:firstRowFirstColumn="0" w:firstRowLastColumn="0" w:lastRowFirstColumn="0" w:lastRowLastColumn="0"/>
              <w:rPr>
                <w:rFonts w:eastAsia="Calibri"/>
                <w:szCs w:val="20"/>
                <w:lang w:bidi="ar-SA"/>
              </w:rPr>
            </w:pPr>
            <w:r w:rsidRPr="00481B02">
              <w:rPr>
                <w:szCs w:val="20"/>
                <w:lang w:eastAsia="fr-FR" w:bidi="ar-SA"/>
              </w:rPr>
              <w:t>ONDA</w:t>
            </w:r>
          </w:p>
        </w:tc>
        <w:tc>
          <w:tcPr>
            <w:tcW w:w="0" w:type="auto"/>
            <w:hideMark/>
          </w:tcPr>
          <w:p w14:paraId="646E26CD" w14:textId="77777777" w:rsidR="00312C69" w:rsidRPr="004637C7" w:rsidRDefault="00312C69" w:rsidP="00312C69">
            <w:pPr>
              <w:jc w:val="center"/>
              <w:cnfStyle w:val="000000000000" w:firstRow="0" w:lastRow="0" w:firstColumn="0" w:lastColumn="0" w:oddVBand="0" w:evenVBand="0" w:oddHBand="0" w:evenHBand="0" w:firstRowFirstColumn="0" w:firstRowLastColumn="0" w:lastRowFirstColumn="0" w:lastRowLastColumn="0"/>
              <w:rPr>
                <w:rFonts w:eastAsia="Calibri"/>
                <w:szCs w:val="20"/>
                <w:lang w:bidi="ar-SA"/>
              </w:rPr>
            </w:pPr>
            <w:r w:rsidRPr="004637C7">
              <w:rPr>
                <w:rFonts w:eastAsia="Calibri"/>
                <w:szCs w:val="20"/>
                <w:lang w:bidi="ar-SA"/>
              </w:rPr>
              <w:t>En continu</w:t>
            </w:r>
          </w:p>
        </w:tc>
        <w:tc>
          <w:tcPr>
            <w:tcW w:w="0" w:type="auto"/>
            <w:hideMark/>
          </w:tcPr>
          <w:p w14:paraId="5A00F1F8" w14:textId="62722B7C" w:rsidR="00312C69" w:rsidRDefault="00C46509" w:rsidP="00312C69">
            <w:pPr>
              <w:jc w:val="left"/>
              <w:cnfStyle w:val="000000000000" w:firstRow="0" w:lastRow="0" w:firstColumn="0" w:lastColumn="0" w:oddVBand="0" w:evenVBand="0" w:oddHBand="0" w:evenHBand="0" w:firstRowFirstColumn="0" w:firstRowLastColumn="0" w:lastRowFirstColumn="0" w:lastRowLastColumn="0"/>
              <w:rPr>
                <w:szCs w:val="20"/>
              </w:rPr>
            </w:pPr>
            <w:r w:rsidRPr="00C46509">
              <w:rPr>
                <w:szCs w:val="20"/>
              </w:rPr>
              <w:t>7 000 – 10 000 MAD / unité</w:t>
            </w:r>
          </w:p>
          <w:p w14:paraId="18F7E6B1" w14:textId="77777777" w:rsidR="004F002B" w:rsidRDefault="004F002B" w:rsidP="00312C69">
            <w:pPr>
              <w:jc w:val="left"/>
              <w:cnfStyle w:val="000000000000" w:firstRow="0" w:lastRow="0" w:firstColumn="0" w:lastColumn="0" w:oddVBand="0" w:evenVBand="0" w:oddHBand="0" w:evenHBand="0" w:firstRowFirstColumn="0" w:firstRowLastColumn="0" w:lastRowFirstColumn="0" w:lastRowLastColumn="0"/>
              <w:rPr>
                <w:szCs w:val="20"/>
              </w:rPr>
            </w:pPr>
          </w:p>
          <w:p w14:paraId="50A29CE5" w14:textId="77777777" w:rsidR="004F002B" w:rsidRDefault="004F002B" w:rsidP="00312C69">
            <w:pPr>
              <w:jc w:val="left"/>
              <w:cnfStyle w:val="000000000000" w:firstRow="0" w:lastRow="0" w:firstColumn="0" w:lastColumn="0" w:oddVBand="0" w:evenVBand="0" w:oddHBand="0" w:evenHBand="0" w:firstRowFirstColumn="0" w:firstRowLastColumn="0" w:lastRowFirstColumn="0" w:lastRowLastColumn="0"/>
              <w:rPr>
                <w:szCs w:val="20"/>
              </w:rPr>
            </w:pPr>
          </w:p>
          <w:p w14:paraId="70D367BA" w14:textId="068F7937" w:rsidR="004F002B" w:rsidRPr="004637C7" w:rsidRDefault="004F002B" w:rsidP="00D60FC9">
            <w:pPr>
              <w:jc w:val="left"/>
              <w:cnfStyle w:val="000000000000" w:firstRow="0" w:lastRow="0" w:firstColumn="0" w:lastColumn="0" w:oddVBand="0" w:evenVBand="0" w:oddHBand="0" w:evenHBand="0" w:firstRowFirstColumn="0" w:firstRowLastColumn="0" w:lastRowFirstColumn="0" w:lastRowLastColumn="0"/>
              <w:rPr>
                <w:rFonts w:eastAsia="Calibri"/>
                <w:szCs w:val="20"/>
                <w:lang w:bidi="ar-SA"/>
              </w:rPr>
            </w:pPr>
            <w:r w:rsidRPr="004F002B">
              <w:rPr>
                <w:rFonts w:eastAsia="Calibri"/>
                <w:szCs w:val="20"/>
                <w:lang w:bidi="ar-SA"/>
              </w:rPr>
              <w:t>2 000 MAD / contrôle annuel</w:t>
            </w:r>
          </w:p>
        </w:tc>
      </w:tr>
      <w:tr w:rsidR="00312C69" w:rsidRPr="00911732" w14:paraId="0E16D681" w14:textId="77777777" w:rsidTr="00D60FC9">
        <w:tc>
          <w:tcPr>
            <w:cnfStyle w:val="001000000000" w:firstRow="0" w:lastRow="0" w:firstColumn="1" w:lastColumn="0" w:oddVBand="0" w:evenVBand="0" w:oddHBand="0" w:evenHBand="0" w:firstRowFirstColumn="0" w:firstRowLastColumn="0" w:lastRowFirstColumn="0" w:lastRowLastColumn="0"/>
            <w:tcW w:w="0" w:type="auto"/>
            <w:vMerge/>
            <w:hideMark/>
          </w:tcPr>
          <w:p w14:paraId="0AD12EF1" w14:textId="77777777" w:rsidR="00312C69" w:rsidRPr="004637C7" w:rsidRDefault="00312C69" w:rsidP="00312C69">
            <w:pPr>
              <w:jc w:val="center"/>
              <w:rPr>
                <w:rFonts w:eastAsia="Calibri"/>
                <w:b w:val="0"/>
                <w:bCs w:val="0"/>
                <w:szCs w:val="20"/>
                <w:lang w:bidi="ar-SA"/>
              </w:rPr>
            </w:pPr>
          </w:p>
        </w:tc>
        <w:tc>
          <w:tcPr>
            <w:tcW w:w="0" w:type="auto"/>
            <w:hideMark/>
          </w:tcPr>
          <w:p w14:paraId="1602812F" w14:textId="77777777" w:rsidR="00312C69" w:rsidRPr="004637C7" w:rsidRDefault="00312C69" w:rsidP="00312C69">
            <w:pPr>
              <w:jc w:val="left"/>
              <w:cnfStyle w:val="000000000000" w:firstRow="0" w:lastRow="0" w:firstColumn="0" w:lastColumn="0" w:oddVBand="0" w:evenVBand="0" w:oddHBand="0" w:evenHBand="0" w:firstRowFirstColumn="0" w:firstRowLastColumn="0" w:lastRowFirstColumn="0" w:lastRowLastColumn="0"/>
              <w:rPr>
                <w:rFonts w:eastAsia="Calibri"/>
                <w:szCs w:val="20"/>
                <w:lang w:bidi="ar-SA"/>
              </w:rPr>
            </w:pPr>
            <w:r w:rsidRPr="004637C7">
              <w:rPr>
                <w:rFonts w:eastAsia="Calibri"/>
                <w:szCs w:val="20"/>
                <w:lang w:bidi="ar-SA"/>
              </w:rPr>
              <w:t>Compenser</w:t>
            </w:r>
          </w:p>
        </w:tc>
        <w:tc>
          <w:tcPr>
            <w:tcW w:w="0" w:type="dxa"/>
            <w:hideMark/>
          </w:tcPr>
          <w:p w14:paraId="7172BEA4" w14:textId="77777777" w:rsidR="00312C69" w:rsidRPr="00481B02" w:rsidRDefault="00312C69" w:rsidP="00312C69">
            <w:pPr>
              <w:jc w:val="left"/>
              <w:cnfStyle w:val="000000000000" w:firstRow="0" w:lastRow="0" w:firstColumn="0" w:lastColumn="0" w:oddVBand="0" w:evenVBand="0" w:oddHBand="0" w:evenHBand="0" w:firstRowFirstColumn="0" w:firstRowLastColumn="0" w:lastRowFirstColumn="0" w:lastRowLastColumn="0"/>
              <w:rPr>
                <w:rFonts w:eastAsia="Calibri"/>
                <w:szCs w:val="20"/>
                <w:lang w:bidi="ar-SA"/>
              </w:rPr>
            </w:pPr>
            <w:r w:rsidRPr="004637C7">
              <w:rPr>
                <w:rFonts w:eastAsia="Calibri"/>
                <w:szCs w:val="20"/>
                <w:lang w:bidi="ar-SA"/>
              </w:rPr>
              <w:t xml:space="preserve">Prévoir assistance médicale immédiate et indemnisation des victimes ; </w:t>
            </w:r>
          </w:p>
          <w:p w14:paraId="7922B34D" w14:textId="274C3403" w:rsidR="00312C69" w:rsidRPr="004637C7" w:rsidRDefault="00312C69" w:rsidP="00312C69">
            <w:pPr>
              <w:jc w:val="left"/>
              <w:cnfStyle w:val="000000000000" w:firstRow="0" w:lastRow="0" w:firstColumn="0" w:lastColumn="0" w:oddVBand="0" w:evenVBand="0" w:oddHBand="0" w:evenHBand="0" w:firstRowFirstColumn="0" w:firstRowLastColumn="0" w:lastRowFirstColumn="0" w:lastRowLastColumn="0"/>
              <w:rPr>
                <w:rFonts w:eastAsia="Calibri"/>
                <w:szCs w:val="20"/>
                <w:lang w:bidi="ar-SA"/>
              </w:rPr>
            </w:pPr>
            <w:r w:rsidRPr="00481B02">
              <w:rPr>
                <w:rFonts w:eastAsia="Calibri"/>
                <w:szCs w:val="20"/>
                <w:lang w:bidi="ar-SA"/>
              </w:rPr>
              <w:t>R</w:t>
            </w:r>
            <w:r w:rsidRPr="004637C7">
              <w:rPr>
                <w:rFonts w:eastAsia="Calibri"/>
                <w:szCs w:val="20"/>
                <w:lang w:bidi="ar-SA"/>
              </w:rPr>
              <w:t>emplacer tout matériel défectueux.</w:t>
            </w:r>
          </w:p>
        </w:tc>
        <w:tc>
          <w:tcPr>
            <w:tcW w:w="1613" w:type="dxa"/>
            <w:hideMark/>
          </w:tcPr>
          <w:p w14:paraId="4712BB44" w14:textId="77777777" w:rsidR="00312C69" w:rsidRPr="00481B02" w:rsidRDefault="00312C69" w:rsidP="00312C69">
            <w:pPr>
              <w:jc w:val="left"/>
              <w:cnfStyle w:val="000000000000" w:firstRow="0" w:lastRow="0" w:firstColumn="0" w:lastColumn="0" w:oddVBand="0" w:evenVBand="0" w:oddHBand="0" w:evenHBand="0" w:firstRowFirstColumn="0" w:firstRowLastColumn="0" w:lastRowFirstColumn="0" w:lastRowLastColumn="0"/>
              <w:rPr>
                <w:rFonts w:eastAsia="Calibri"/>
                <w:szCs w:val="20"/>
                <w:lang w:bidi="ar-SA"/>
              </w:rPr>
            </w:pPr>
            <w:r w:rsidRPr="004637C7">
              <w:rPr>
                <w:rFonts w:eastAsia="Calibri"/>
                <w:szCs w:val="20"/>
                <w:lang w:bidi="ar-SA"/>
              </w:rPr>
              <w:t xml:space="preserve">Délai d’intervention </w:t>
            </w:r>
          </w:p>
          <w:p w14:paraId="434578E6" w14:textId="6DC203A5" w:rsidR="00312C69" w:rsidRPr="004637C7" w:rsidRDefault="00312C69" w:rsidP="00312C69">
            <w:pPr>
              <w:jc w:val="left"/>
              <w:cnfStyle w:val="000000000000" w:firstRow="0" w:lastRow="0" w:firstColumn="0" w:lastColumn="0" w:oddVBand="0" w:evenVBand="0" w:oddHBand="0" w:evenHBand="0" w:firstRowFirstColumn="0" w:firstRowLastColumn="0" w:lastRowFirstColumn="0" w:lastRowLastColumn="0"/>
              <w:rPr>
                <w:rFonts w:eastAsia="Calibri"/>
                <w:szCs w:val="20"/>
                <w:lang w:bidi="ar-SA"/>
              </w:rPr>
            </w:pPr>
            <w:r w:rsidRPr="004637C7">
              <w:rPr>
                <w:rFonts w:eastAsia="Calibri"/>
                <w:szCs w:val="20"/>
                <w:lang w:bidi="ar-SA"/>
              </w:rPr>
              <w:t>Nb de remplacements</w:t>
            </w:r>
          </w:p>
        </w:tc>
        <w:tc>
          <w:tcPr>
            <w:tcW w:w="0" w:type="auto"/>
            <w:hideMark/>
          </w:tcPr>
          <w:p w14:paraId="5B3BE6FF" w14:textId="400B911C" w:rsidR="00312C69" w:rsidRPr="004637C7" w:rsidRDefault="00312C69" w:rsidP="00312C69">
            <w:pPr>
              <w:jc w:val="center"/>
              <w:cnfStyle w:val="000000000000" w:firstRow="0" w:lastRow="0" w:firstColumn="0" w:lastColumn="0" w:oddVBand="0" w:evenVBand="0" w:oddHBand="0" w:evenHBand="0" w:firstRowFirstColumn="0" w:firstRowLastColumn="0" w:lastRowFirstColumn="0" w:lastRowLastColumn="0"/>
              <w:rPr>
                <w:rFonts w:eastAsia="Calibri"/>
                <w:szCs w:val="20"/>
                <w:lang w:bidi="ar-SA"/>
              </w:rPr>
            </w:pPr>
            <w:r w:rsidRPr="00481B02">
              <w:rPr>
                <w:szCs w:val="20"/>
                <w:lang w:eastAsia="fr-FR" w:bidi="ar-SA"/>
              </w:rPr>
              <w:t>ONDA / Exploitant</w:t>
            </w:r>
          </w:p>
        </w:tc>
        <w:tc>
          <w:tcPr>
            <w:tcW w:w="0" w:type="auto"/>
            <w:hideMark/>
          </w:tcPr>
          <w:p w14:paraId="24199D81" w14:textId="7C5A756D" w:rsidR="00312C69" w:rsidRPr="004637C7" w:rsidRDefault="00312C69" w:rsidP="00312C69">
            <w:pPr>
              <w:jc w:val="center"/>
              <w:cnfStyle w:val="000000000000" w:firstRow="0" w:lastRow="0" w:firstColumn="0" w:lastColumn="0" w:oddVBand="0" w:evenVBand="0" w:oddHBand="0" w:evenHBand="0" w:firstRowFirstColumn="0" w:firstRowLastColumn="0" w:lastRowFirstColumn="0" w:lastRowLastColumn="0"/>
              <w:rPr>
                <w:rFonts w:eastAsia="Calibri"/>
                <w:szCs w:val="20"/>
                <w:lang w:bidi="ar-SA"/>
              </w:rPr>
            </w:pPr>
            <w:r w:rsidRPr="00481B02">
              <w:rPr>
                <w:szCs w:val="20"/>
                <w:lang w:eastAsia="fr-FR" w:bidi="ar-SA"/>
              </w:rPr>
              <w:t>ONDA</w:t>
            </w:r>
          </w:p>
        </w:tc>
        <w:tc>
          <w:tcPr>
            <w:tcW w:w="0" w:type="auto"/>
            <w:hideMark/>
          </w:tcPr>
          <w:p w14:paraId="05BC21AD" w14:textId="655AE5AF" w:rsidR="00312C69" w:rsidRPr="004637C7" w:rsidRDefault="00312C69" w:rsidP="00312C69">
            <w:pPr>
              <w:jc w:val="center"/>
              <w:cnfStyle w:val="000000000000" w:firstRow="0" w:lastRow="0" w:firstColumn="0" w:lastColumn="0" w:oddVBand="0" w:evenVBand="0" w:oddHBand="0" w:evenHBand="0" w:firstRowFirstColumn="0" w:firstRowLastColumn="0" w:lastRowFirstColumn="0" w:lastRowLastColumn="0"/>
              <w:rPr>
                <w:rFonts w:eastAsia="Calibri"/>
                <w:szCs w:val="20"/>
                <w:lang w:bidi="ar-SA"/>
              </w:rPr>
            </w:pPr>
            <w:r w:rsidRPr="00481B02">
              <w:rPr>
                <w:szCs w:val="20"/>
                <w:lang w:eastAsia="fr-FR" w:bidi="ar-SA"/>
              </w:rPr>
              <w:t>ONDA</w:t>
            </w:r>
          </w:p>
        </w:tc>
        <w:tc>
          <w:tcPr>
            <w:tcW w:w="0" w:type="auto"/>
            <w:hideMark/>
          </w:tcPr>
          <w:p w14:paraId="1D64AC16" w14:textId="77777777" w:rsidR="00312C69" w:rsidRPr="004637C7" w:rsidRDefault="00312C69" w:rsidP="00312C69">
            <w:pPr>
              <w:jc w:val="center"/>
              <w:cnfStyle w:val="000000000000" w:firstRow="0" w:lastRow="0" w:firstColumn="0" w:lastColumn="0" w:oddVBand="0" w:evenVBand="0" w:oddHBand="0" w:evenHBand="0" w:firstRowFirstColumn="0" w:firstRowLastColumn="0" w:lastRowFirstColumn="0" w:lastRowLastColumn="0"/>
              <w:rPr>
                <w:rFonts w:eastAsia="Calibri"/>
                <w:szCs w:val="20"/>
                <w:lang w:bidi="ar-SA"/>
              </w:rPr>
            </w:pPr>
            <w:r w:rsidRPr="004637C7">
              <w:rPr>
                <w:rFonts w:eastAsia="Calibri"/>
                <w:szCs w:val="20"/>
                <w:lang w:bidi="ar-SA"/>
              </w:rPr>
              <w:t>Selon besoin</w:t>
            </w:r>
          </w:p>
        </w:tc>
        <w:tc>
          <w:tcPr>
            <w:tcW w:w="0" w:type="auto"/>
            <w:hideMark/>
          </w:tcPr>
          <w:p w14:paraId="2E2FCEC8" w14:textId="50FB27CF" w:rsidR="00312C69" w:rsidRDefault="004F002B" w:rsidP="00312C69">
            <w:pPr>
              <w:jc w:val="left"/>
              <w:cnfStyle w:val="000000000000" w:firstRow="0" w:lastRow="0" w:firstColumn="0" w:lastColumn="0" w:oddVBand="0" w:evenVBand="0" w:oddHBand="0" w:evenHBand="0" w:firstRowFirstColumn="0" w:firstRowLastColumn="0" w:lastRowFirstColumn="0" w:lastRowLastColumn="0"/>
              <w:rPr>
                <w:szCs w:val="20"/>
              </w:rPr>
            </w:pPr>
            <w:r w:rsidRPr="004F002B">
              <w:rPr>
                <w:szCs w:val="20"/>
              </w:rPr>
              <w:t>Aucun coût spécifique (assuré par le médecin de travail)</w:t>
            </w:r>
          </w:p>
          <w:p w14:paraId="099718F6" w14:textId="77777777" w:rsidR="004F002B" w:rsidRDefault="004F002B" w:rsidP="00312C69">
            <w:pPr>
              <w:jc w:val="left"/>
              <w:cnfStyle w:val="000000000000" w:firstRow="0" w:lastRow="0" w:firstColumn="0" w:lastColumn="0" w:oddVBand="0" w:evenVBand="0" w:oddHBand="0" w:evenHBand="0" w:firstRowFirstColumn="0" w:firstRowLastColumn="0" w:lastRowFirstColumn="0" w:lastRowLastColumn="0"/>
              <w:rPr>
                <w:szCs w:val="20"/>
              </w:rPr>
            </w:pPr>
          </w:p>
          <w:p w14:paraId="3A2A9159" w14:textId="6CD2F838" w:rsidR="004F002B" w:rsidRPr="004637C7" w:rsidRDefault="004F002B" w:rsidP="00D60FC9">
            <w:pPr>
              <w:jc w:val="left"/>
              <w:cnfStyle w:val="000000000000" w:firstRow="0" w:lastRow="0" w:firstColumn="0" w:lastColumn="0" w:oddVBand="0" w:evenVBand="0" w:oddHBand="0" w:evenHBand="0" w:firstRowFirstColumn="0" w:firstRowLastColumn="0" w:lastRowFirstColumn="0" w:lastRowLastColumn="0"/>
              <w:rPr>
                <w:rFonts w:eastAsia="Calibri"/>
                <w:szCs w:val="20"/>
                <w:lang w:bidi="ar-SA"/>
              </w:rPr>
            </w:pPr>
            <w:r w:rsidRPr="004F002B">
              <w:rPr>
                <w:rFonts w:eastAsia="Calibri"/>
                <w:szCs w:val="20"/>
                <w:lang w:bidi="ar-SA"/>
              </w:rPr>
              <w:t>Couverts par le budget maintenance ONDA</w:t>
            </w:r>
          </w:p>
        </w:tc>
      </w:tr>
      <w:tr w:rsidR="00312C69" w:rsidRPr="00911732" w14:paraId="7D3AD455" w14:textId="77777777" w:rsidTr="00D60FC9">
        <w:tc>
          <w:tcPr>
            <w:cnfStyle w:val="001000000000" w:firstRow="0" w:lastRow="0" w:firstColumn="1" w:lastColumn="0" w:oddVBand="0" w:evenVBand="0" w:oddHBand="0" w:evenHBand="0" w:firstRowFirstColumn="0" w:firstRowLastColumn="0" w:lastRowFirstColumn="0" w:lastRowLastColumn="0"/>
            <w:tcW w:w="0" w:type="auto"/>
            <w:vMerge w:val="restart"/>
            <w:hideMark/>
          </w:tcPr>
          <w:p w14:paraId="1D2FDE2B" w14:textId="77777777" w:rsidR="00312C69" w:rsidRPr="00481B02" w:rsidRDefault="00312C69" w:rsidP="00312C69">
            <w:pPr>
              <w:jc w:val="center"/>
              <w:rPr>
                <w:rFonts w:eastAsia="Calibri"/>
                <w:szCs w:val="20"/>
                <w:lang w:bidi="ar-SA"/>
              </w:rPr>
            </w:pPr>
            <w:r w:rsidRPr="00481B02">
              <w:rPr>
                <w:rFonts w:eastAsia="Calibri"/>
                <w:szCs w:val="20"/>
                <w:lang w:bidi="ar-SA"/>
              </w:rPr>
              <w:t>Hygiène et conditions sanitaires du personnel</w:t>
            </w:r>
          </w:p>
        </w:tc>
        <w:tc>
          <w:tcPr>
            <w:tcW w:w="0" w:type="auto"/>
            <w:hideMark/>
          </w:tcPr>
          <w:p w14:paraId="506AE027" w14:textId="77777777" w:rsidR="00312C69" w:rsidRPr="004637C7" w:rsidRDefault="00312C69" w:rsidP="00312C69">
            <w:pPr>
              <w:jc w:val="left"/>
              <w:cnfStyle w:val="000000000000" w:firstRow="0" w:lastRow="0" w:firstColumn="0" w:lastColumn="0" w:oddVBand="0" w:evenVBand="0" w:oddHBand="0" w:evenHBand="0" w:firstRowFirstColumn="0" w:firstRowLastColumn="0" w:lastRowFirstColumn="0" w:lastRowLastColumn="0"/>
              <w:rPr>
                <w:rFonts w:eastAsia="Calibri"/>
                <w:szCs w:val="20"/>
                <w:lang w:bidi="ar-SA"/>
              </w:rPr>
            </w:pPr>
            <w:r w:rsidRPr="004637C7">
              <w:rPr>
                <w:rFonts w:eastAsia="Calibri"/>
                <w:szCs w:val="20"/>
                <w:lang w:bidi="ar-SA"/>
              </w:rPr>
              <w:t>Éviter</w:t>
            </w:r>
          </w:p>
        </w:tc>
        <w:tc>
          <w:tcPr>
            <w:tcW w:w="0" w:type="dxa"/>
            <w:hideMark/>
          </w:tcPr>
          <w:p w14:paraId="3807880C" w14:textId="77777777" w:rsidR="00312C69" w:rsidRPr="00481B02" w:rsidRDefault="00312C69" w:rsidP="00312C69">
            <w:pPr>
              <w:jc w:val="left"/>
              <w:cnfStyle w:val="000000000000" w:firstRow="0" w:lastRow="0" w:firstColumn="0" w:lastColumn="0" w:oddVBand="0" w:evenVBand="0" w:oddHBand="0" w:evenHBand="0" w:firstRowFirstColumn="0" w:firstRowLastColumn="0" w:lastRowFirstColumn="0" w:lastRowLastColumn="0"/>
              <w:rPr>
                <w:rFonts w:eastAsia="Calibri"/>
                <w:szCs w:val="20"/>
                <w:lang w:bidi="ar-SA"/>
              </w:rPr>
            </w:pPr>
            <w:r w:rsidRPr="004637C7">
              <w:rPr>
                <w:rFonts w:eastAsia="Calibri"/>
                <w:szCs w:val="20"/>
                <w:lang w:bidi="ar-SA"/>
              </w:rPr>
              <w:t xml:space="preserve">Garantir la présence de sanitaires en nombre suffisant (1/20 employés) ; </w:t>
            </w:r>
          </w:p>
          <w:p w14:paraId="2F260B6A" w14:textId="7822C5C1" w:rsidR="00312C69" w:rsidRPr="004637C7" w:rsidRDefault="00312C69" w:rsidP="00312C69">
            <w:pPr>
              <w:jc w:val="left"/>
              <w:cnfStyle w:val="000000000000" w:firstRow="0" w:lastRow="0" w:firstColumn="0" w:lastColumn="0" w:oddVBand="0" w:evenVBand="0" w:oddHBand="0" w:evenHBand="0" w:firstRowFirstColumn="0" w:firstRowLastColumn="0" w:lastRowFirstColumn="0" w:lastRowLastColumn="0"/>
              <w:rPr>
                <w:rFonts w:eastAsia="Calibri"/>
                <w:szCs w:val="20"/>
                <w:lang w:bidi="ar-SA"/>
              </w:rPr>
            </w:pPr>
            <w:r w:rsidRPr="00481B02">
              <w:rPr>
                <w:rFonts w:eastAsia="Calibri"/>
                <w:szCs w:val="20"/>
                <w:lang w:bidi="ar-SA"/>
              </w:rPr>
              <w:t>I</w:t>
            </w:r>
            <w:r w:rsidRPr="004637C7">
              <w:rPr>
                <w:rFonts w:eastAsia="Calibri"/>
                <w:szCs w:val="20"/>
                <w:lang w:bidi="ar-SA"/>
              </w:rPr>
              <w:t>nstaller des douches et vestiaires séparés hommes/femmes</w:t>
            </w:r>
            <w:r w:rsidRPr="00481B02">
              <w:rPr>
                <w:rFonts w:eastAsia="Calibri"/>
                <w:szCs w:val="20"/>
                <w:lang w:bidi="ar-SA"/>
              </w:rPr>
              <w:t>.</w:t>
            </w:r>
          </w:p>
        </w:tc>
        <w:tc>
          <w:tcPr>
            <w:tcW w:w="1613" w:type="dxa"/>
            <w:hideMark/>
          </w:tcPr>
          <w:p w14:paraId="5025C3C8" w14:textId="77777777" w:rsidR="00312C69" w:rsidRPr="00481B02" w:rsidRDefault="00312C69" w:rsidP="00312C69">
            <w:pPr>
              <w:jc w:val="left"/>
              <w:cnfStyle w:val="000000000000" w:firstRow="0" w:lastRow="0" w:firstColumn="0" w:lastColumn="0" w:oddVBand="0" w:evenVBand="0" w:oddHBand="0" w:evenHBand="0" w:firstRowFirstColumn="0" w:firstRowLastColumn="0" w:lastRowFirstColumn="0" w:lastRowLastColumn="0"/>
              <w:rPr>
                <w:rFonts w:eastAsia="Calibri"/>
                <w:szCs w:val="20"/>
                <w:lang w:bidi="ar-SA"/>
              </w:rPr>
            </w:pPr>
            <w:r w:rsidRPr="004637C7">
              <w:rPr>
                <w:rFonts w:eastAsia="Calibri"/>
                <w:szCs w:val="20"/>
                <w:lang w:bidi="ar-SA"/>
              </w:rPr>
              <w:t xml:space="preserve">Nb de sanitaires </w:t>
            </w:r>
          </w:p>
          <w:p w14:paraId="6190B3C7" w14:textId="2E8C1C48" w:rsidR="00312C69" w:rsidRPr="004637C7" w:rsidRDefault="00312C69" w:rsidP="00312C69">
            <w:pPr>
              <w:jc w:val="left"/>
              <w:cnfStyle w:val="000000000000" w:firstRow="0" w:lastRow="0" w:firstColumn="0" w:lastColumn="0" w:oddVBand="0" w:evenVBand="0" w:oddHBand="0" w:evenHBand="0" w:firstRowFirstColumn="0" w:firstRowLastColumn="0" w:lastRowFirstColumn="0" w:lastRowLastColumn="0"/>
              <w:rPr>
                <w:rFonts w:eastAsia="Calibri"/>
                <w:szCs w:val="20"/>
                <w:lang w:bidi="ar-SA"/>
              </w:rPr>
            </w:pPr>
            <w:r w:rsidRPr="004637C7">
              <w:rPr>
                <w:rFonts w:eastAsia="Calibri"/>
                <w:szCs w:val="20"/>
                <w:lang w:bidi="ar-SA"/>
              </w:rPr>
              <w:t>Nb de contrôles conformité</w:t>
            </w:r>
          </w:p>
        </w:tc>
        <w:tc>
          <w:tcPr>
            <w:tcW w:w="0" w:type="auto"/>
            <w:hideMark/>
          </w:tcPr>
          <w:p w14:paraId="074DC412" w14:textId="76F53E9E" w:rsidR="00312C69" w:rsidRPr="004637C7" w:rsidRDefault="00312C69" w:rsidP="00312C69">
            <w:pPr>
              <w:jc w:val="center"/>
              <w:cnfStyle w:val="000000000000" w:firstRow="0" w:lastRow="0" w:firstColumn="0" w:lastColumn="0" w:oddVBand="0" w:evenVBand="0" w:oddHBand="0" w:evenHBand="0" w:firstRowFirstColumn="0" w:firstRowLastColumn="0" w:lastRowFirstColumn="0" w:lastRowLastColumn="0"/>
              <w:rPr>
                <w:rFonts w:eastAsia="Calibri"/>
                <w:szCs w:val="20"/>
                <w:lang w:bidi="ar-SA"/>
              </w:rPr>
            </w:pPr>
            <w:r w:rsidRPr="00481B02">
              <w:rPr>
                <w:szCs w:val="20"/>
                <w:lang w:eastAsia="fr-FR" w:bidi="ar-SA"/>
              </w:rPr>
              <w:t>ONDA / Exploitant</w:t>
            </w:r>
          </w:p>
        </w:tc>
        <w:tc>
          <w:tcPr>
            <w:tcW w:w="0" w:type="auto"/>
            <w:hideMark/>
          </w:tcPr>
          <w:p w14:paraId="4D6793CC" w14:textId="072E58E9" w:rsidR="00312C69" w:rsidRPr="004637C7" w:rsidRDefault="00312C69" w:rsidP="00312C69">
            <w:pPr>
              <w:jc w:val="center"/>
              <w:cnfStyle w:val="000000000000" w:firstRow="0" w:lastRow="0" w:firstColumn="0" w:lastColumn="0" w:oddVBand="0" w:evenVBand="0" w:oddHBand="0" w:evenHBand="0" w:firstRowFirstColumn="0" w:firstRowLastColumn="0" w:lastRowFirstColumn="0" w:lastRowLastColumn="0"/>
              <w:rPr>
                <w:rFonts w:eastAsia="Calibri"/>
                <w:szCs w:val="20"/>
                <w:lang w:bidi="ar-SA"/>
              </w:rPr>
            </w:pPr>
            <w:r w:rsidRPr="00481B02">
              <w:rPr>
                <w:szCs w:val="20"/>
                <w:lang w:eastAsia="fr-FR" w:bidi="ar-SA"/>
              </w:rPr>
              <w:t>ONDA</w:t>
            </w:r>
          </w:p>
        </w:tc>
        <w:tc>
          <w:tcPr>
            <w:tcW w:w="0" w:type="auto"/>
            <w:hideMark/>
          </w:tcPr>
          <w:p w14:paraId="199DC7DD" w14:textId="5291C585" w:rsidR="00312C69" w:rsidRPr="004637C7" w:rsidRDefault="00312C69" w:rsidP="00312C69">
            <w:pPr>
              <w:jc w:val="center"/>
              <w:cnfStyle w:val="000000000000" w:firstRow="0" w:lastRow="0" w:firstColumn="0" w:lastColumn="0" w:oddVBand="0" w:evenVBand="0" w:oddHBand="0" w:evenHBand="0" w:firstRowFirstColumn="0" w:firstRowLastColumn="0" w:lastRowFirstColumn="0" w:lastRowLastColumn="0"/>
              <w:rPr>
                <w:rFonts w:eastAsia="Calibri"/>
                <w:szCs w:val="20"/>
                <w:lang w:bidi="ar-SA"/>
              </w:rPr>
            </w:pPr>
            <w:r w:rsidRPr="00481B02">
              <w:rPr>
                <w:szCs w:val="20"/>
                <w:lang w:eastAsia="fr-FR" w:bidi="ar-SA"/>
              </w:rPr>
              <w:t>ONDA</w:t>
            </w:r>
          </w:p>
        </w:tc>
        <w:tc>
          <w:tcPr>
            <w:tcW w:w="0" w:type="auto"/>
            <w:hideMark/>
          </w:tcPr>
          <w:p w14:paraId="55091917" w14:textId="77777777" w:rsidR="00312C69" w:rsidRPr="004637C7" w:rsidRDefault="00312C69" w:rsidP="00312C69">
            <w:pPr>
              <w:jc w:val="center"/>
              <w:cnfStyle w:val="000000000000" w:firstRow="0" w:lastRow="0" w:firstColumn="0" w:lastColumn="0" w:oddVBand="0" w:evenVBand="0" w:oddHBand="0" w:evenHBand="0" w:firstRowFirstColumn="0" w:firstRowLastColumn="0" w:lastRowFirstColumn="0" w:lastRowLastColumn="0"/>
              <w:rPr>
                <w:rFonts w:eastAsia="Calibri"/>
                <w:szCs w:val="20"/>
                <w:lang w:bidi="ar-SA"/>
              </w:rPr>
            </w:pPr>
            <w:r w:rsidRPr="004637C7">
              <w:rPr>
                <w:rFonts w:eastAsia="Calibri"/>
                <w:szCs w:val="20"/>
                <w:lang w:bidi="ar-SA"/>
              </w:rPr>
              <w:t>Permanent</w:t>
            </w:r>
          </w:p>
        </w:tc>
        <w:tc>
          <w:tcPr>
            <w:tcW w:w="0" w:type="auto"/>
            <w:hideMark/>
          </w:tcPr>
          <w:p w14:paraId="1F21FD21" w14:textId="4E332264" w:rsidR="00312C69" w:rsidRDefault="004F002B" w:rsidP="00312C69">
            <w:pPr>
              <w:jc w:val="left"/>
              <w:cnfStyle w:val="000000000000" w:firstRow="0" w:lastRow="0" w:firstColumn="0" w:lastColumn="0" w:oddVBand="0" w:evenVBand="0" w:oddHBand="0" w:evenHBand="0" w:firstRowFirstColumn="0" w:firstRowLastColumn="0" w:lastRowFirstColumn="0" w:lastRowLastColumn="0"/>
              <w:rPr>
                <w:szCs w:val="20"/>
              </w:rPr>
            </w:pPr>
            <w:r w:rsidRPr="004F002B">
              <w:rPr>
                <w:szCs w:val="20"/>
              </w:rPr>
              <w:t>Aucun coût spécifique</w:t>
            </w:r>
          </w:p>
          <w:p w14:paraId="3F7C1FE4" w14:textId="77777777" w:rsidR="004F002B" w:rsidRDefault="004F002B" w:rsidP="00312C69">
            <w:pPr>
              <w:jc w:val="left"/>
              <w:cnfStyle w:val="000000000000" w:firstRow="0" w:lastRow="0" w:firstColumn="0" w:lastColumn="0" w:oddVBand="0" w:evenVBand="0" w:oddHBand="0" w:evenHBand="0" w:firstRowFirstColumn="0" w:firstRowLastColumn="0" w:lastRowFirstColumn="0" w:lastRowLastColumn="0"/>
              <w:rPr>
                <w:szCs w:val="20"/>
              </w:rPr>
            </w:pPr>
          </w:p>
          <w:p w14:paraId="53E30789" w14:textId="77777777" w:rsidR="004F002B" w:rsidRDefault="004F002B" w:rsidP="00312C69">
            <w:pPr>
              <w:jc w:val="left"/>
              <w:cnfStyle w:val="000000000000" w:firstRow="0" w:lastRow="0" w:firstColumn="0" w:lastColumn="0" w:oddVBand="0" w:evenVBand="0" w:oddHBand="0" w:evenHBand="0" w:firstRowFirstColumn="0" w:firstRowLastColumn="0" w:lastRowFirstColumn="0" w:lastRowLastColumn="0"/>
              <w:rPr>
                <w:szCs w:val="20"/>
              </w:rPr>
            </w:pPr>
          </w:p>
          <w:p w14:paraId="6330E81C" w14:textId="77777777" w:rsidR="004F002B" w:rsidRDefault="004F002B" w:rsidP="00312C69">
            <w:pPr>
              <w:jc w:val="left"/>
              <w:cnfStyle w:val="000000000000" w:firstRow="0" w:lastRow="0" w:firstColumn="0" w:lastColumn="0" w:oddVBand="0" w:evenVBand="0" w:oddHBand="0" w:evenHBand="0" w:firstRowFirstColumn="0" w:firstRowLastColumn="0" w:lastRowFirstColumn="0" w:lastRowLastColumn="0"/>
              <w:rPr>
                <w:szCs w:val="20"/>
              </w:rPr>
            </w:pPr>
          </w:p>
          <w:p w14:paraId="517620BD" w14:textId="77777777" w:rsidR="004F002B" w:rsidRDefault="004F002B" w:rsidP="00312C69">
            <w:pPr>
              <w:jc w:val="left"/>
              <w:cnfStyle w:val="000000000000" w:firstRow="0" w:lastRow="0" w:firstColumn="0" w:lastColumn="0" w:oddVBand="0" w:evenVBand="0" w:oddHBand="0" w:evenHBand="0" w:firstRowFirstColumn="0" w:firstRowLastColumn="0" w:lastRowFirstColumn="0" w:lastRowLastColumn="0"/>
              <w:rPr>
                <w:szCs w:val="20"/>
              </w:rPr>
            </w:pPr>
          </w:p>
          <w:p w14:paraId="59145CD9" w14:textId="539C8914" w:rsidR="004F002B" w:rsidRPr="004637C7" w:rsidRDefault="004F002B" w:rsidP="00D60FC9">
            <w:pPr>
              <w:jc w:val="left"/>
              <w:cnfStyle w:val="000000000000" w:firstRow="0" w:lastRow="0" w:firstColumn="0" w:lastColumn="0" w:oddVBand="0" w:evenVBand="0" w:oddHBand="0" w:evenHBand="0" w:firstRowFirstColumn="0" w:firstRowLastColumn="0" w:lastRowFirstColumn="0" w:lastRowLastColumn="0"/>
              <w:rPr>
                <w:rFonts w:eastAsia="Calibri"/>
                <w:szCs w:val="20"/>
                <w:lang w:bidi="ar-SA"/>
              </w:rPr>
            </w:pPr>
            <w:r w:rsidRPr="004F002B">
              <w:rPr>
                <w:rFonts w:eastAsia="Calibri"/>
                <w:szCs w:val="20"/>
                <w:lang w:bidi="ar-SA"/>
              </w:rPr>
              <w:lastRenderedPageBreak/>
              <w:t>15 000 MAD / bloc</w:t>
            </w:r>
          </w:p>
        </w:tc>
      </w:tr>
      <w:tr w:rsidR="00312C69" w:rsidRPr="00911732" w14:paraId="73E4B1E1" w14:textId="77777777" w:rsidTr="00D60FC9">
        <w:tc>
          <w:tcPr>
            <w:cnfStyle w:val="001000000000" w:firstRow="0" w:lastRow="0" w:firstColumn="1" w:lastColumn="0" w:oddVBand="0" w:evenVBand="0" w:oddHBand="0" w:evenHBand="0" w:firstRowFirstColumn="0" w:firstRowLastColumn="0" w:lastRowFirstColumn="0" w:lastRowLastColumn="0"/>
            <w:tcW w:w="0" w:type="auto"/>
            <w:vMerge/>
            <w:hideMark/>
          </w:tcPr>
          <w:p w14:paraId="54F0C979" w14:textId="77777777" w:rsidR="00312C69" w:rsidRPr="004637C7" w:rsidRDefault="00312C69" w:rsidP="00312C69">
            <w:pPr>
              <w:jc w:val="center"/>
              <w:rPr>
                <w:rFonts w:eastAsia="Calibri"/>
                <w:b w:val="0"/>
                <w:bCs w:val="0"/>
                <w:szCs w:val="20"/>
                <w:lang w:bidi="ar-SA"/>
              </w:rPr>
            </w:pPr>
          </w:p>
        </w:tc>
        <w:tc>
          <w:tcPr>
            <w:tcW w:w="0" w:type="auto"/>
            <w:hideMark/>
          </w:tcPr>
          <w:p w14:paraId="346E05E4" w14:textId="77777777" w:rsidR="00312C69" w:rsidRPr="004637C7" w:rsidRDefault="00312C69" w:rsidP="00312C69">
            <w:pPr>
              <w:jc w:val="left"/>
              <w:cnfStyle w:val="000000000000" w:firstRow="0" w:lastRow="0" w:firstColumn="0" w:lastColumn="0" w:oddVBand="0" w:evenVBand="0" w:oddHBand="0" w:evenHBand="0" w:firstRowFirstColumn="0" w:firstRowLastColumn="0" w:lastRowFirstColumn="0" w:lastRowLastColumn="0"/>
              <w:rPr>
                <w:rFonts w:eastAsia="Calibri"/>
                <w:szCs w:val="20"/>
                <w:lang w:bidi="ar-SA"/>
              </w:rPr>
            </w:pPr>
            <w:r w:rsidRPr="004637C7">
              <w:rPr>
                <w:rFonts w:eastAsia="Calibri"/>
                <w:szCs w:val="20"/>
                <w:lang w:bidi="ar-SA"/>
              </w:rPr>
              <w:t>Réduire</w:t>
            </w:r>
          </w:p>
        </w:tc>
        <w:tc>
          <w:tcPr>
            <w:tcW w:w="0" w:type="dxa"/>
            <w:hideMark/>
          </w:tcPr>
          <w:p w14:paraId="74E12A5C" w14:textId="77777777" w:rsidR="00312C69" w:rsidRPr="00481B02" w:rsidRDefault="00312C69" w:rsidP="00312C69">
            <w:pPr>
              <w:jc w:val="left"/>
              <w:cnfStyle w:val="000000000000" w:firstRow="0" w:lastRow="0" w:firstColumn="0" w:lastColumn="0" w:oddVBand="0" w:evenVBand="0" w:oddHBand="0" w:evenHBand="0" w:firstRowFirstColumn="0" w:firstRowLastColumn="0" w:lastRowFirstColumn="0" w:lastRowLastColumn="0"/>
              <w:rPr>
                <w:rFonts w:eastAsia="Calibri"/>
                <w:szCs w:val="20"/>
                <w:lang w:bidi="ar-SA"/>
              </w:rPr>
            </w:pPr>
            <w:r w:rsidRPr="004637C7">
              <w:rPr>
                <w:rFonts w:eastAsia="Calibri"/>
                <w:szCs w:val="20"/>
                <w:lang w:bidi="ar-SA"/>
              </w:rPr>
              <w:t xml:space="preserve">Mettre en place un contrat de nettoyage quotidien ; </w:t>
            </w:r>
          </w:p>
          <w:p w14:paraId="0A1D0955" w14:textId="534185F4" w:rsidR="00312C69" w:rsidRPr="00481B02" w:rsidRDefault="00312C69" w:rsidP="00312C69">
            <w:pPr>
              <w:jc w:val="left"/>
              <w:cnfStyle w:val="000000000000" w:firstRow="0" w:lastRow="0" w:firstColumn="0" w:lastColumn="0" w:oddVBand="0" w:evenVBand="0" w:oddHBand="0" w:evenHBand="0" w:firstRowFirstColumn="0" w:firstRowLastColumn="0" w:lastRowFirstColumn="0" w:lastRowLastColumn="0"/>
              <w:rPr>
                <w:rFonts w:eastAsia="Calibri"/>
                <w:szCs w:val="20"/>
                <w:lang w:bidi="ar-SA"/>
              </w:rPr>
            </w:pPr>
            <w:r w:rsidRPr="00481B02">
              <w:rPr>
                <w:rFonts w:eastAsia="Calibri"/>
                <w:szCs w:val="20"/>
                <w:lang w:bidi="ar-SA"/>
              </w:rPr>
              <w:t>C</w:t>
            </w:r>
            <w:r w:rsidRPr="004637C7">
              <w:rPr>
                <w:rFonts w:eastAsia="Calibri"/>
                <w:szCs w:val="20"/>
                <w:lang w:bidi="ar-SA"/>
              </w:rPr>
              <w:t xml:space="preserve">ontrôler la ventilation des locaux ; </w:t>
            </w:r>
          </w:p>
          <w:p w14:paraId="7BE4DAFC" w14:textId="51D3BE86" w:rsidR="00312C69" w:rsidRPr="004637C7" w:rsidRDefault="00312C69" w:rsidP="00312C69">
            <w:pPr>
              <w:jc w:val="left"/>
              <w:cnfStyle w:val="000000000000" w:firstRow="0" w:lastRow="0" w:firstColumn="0" w:lastColumn="0" w:oddVBand="0" w:evenVBand="0" w:oddHBand="0" w:evenHBand="0" w:firstRowFirstColumn="0" w:firstRowLastColumn="0" w:lastRowFirstColumn="0" w:lastRowLastColumn="0"/>
              <w:rPr>
                <w:rFonts w:eastAsia="Calibri"/>
                <w:szCs w:val="20"/>
                <w:lang w:bidi="ar-SA"/>
              </w:rPr>
            </w:pPr>
            <w:r w:rsidRPr="00481B02">
              <w:rPr>
                <w:rFonts w:eastAsia="Calibri"/>
                <w:szCs w:val="20"/>
                <w:lang w:bidi="ar-SA"/>
              </w:rPr>
              <w:t>P</w:t>
            </w:r>
            <w:r w:rsidRPr="004637C7">
              <w:rPr>
                <w:rFonts w:eastAsia="Calibri"/>
                <w:szCs w:val="20"/>
                <w:lang w:bidi="ar-SA"/>
              </w:rPr>
              <w:t>révoir un système de gestion des déchets domestiques.</w:t>
            </w:r>
          </w:p>
        </w:tc>
        <w:tc>
          <w:tcPr>
            <w:tcW w:w="1613" w:type="dxa"/>
            <w:hideMark/>
          </w:tcPr>
          <w:p w14:paraId="27BFAB87" w14:textId="77777777" w:rsidR="00312C69" w:rsidRPr="00481B02" w:rsidRDefault="00312C69" w:rsidP="00312C69">
            <w:pPr>
              <w:jc w:val="left"/>
              <w:cnfStyle w:val="000000000000" w:firstRow="0" w:lastRow="0" w:firstColumn="0" w:lastColumn="0" w:oddVBand="0" w:evenVBand="0" w:oddHBand="0" w:evenHBand="0" w:firstRowFirstColumn="0" w:firstRowLastColumn="0" w:lastRowFirstColumn="0" w:lastRowLastColumn="0"/>
              <w:rPr>
                <w:rFonts w:eastAsia="Calibri"/>
                <w:szCs w:val="20"/>
                <w:lang w:bidi="ar-SA"/>
              </w:rPr>
            </w:pPr>
            <w:r w:rsidRPr="004637C7">
              <w:rPr>
                <w:rFonts w:eastAsia="Calibri"/>
                <w:szCs w:val="20"/>
                <w:lang w:bidi="ar-SA"/>
              </w:rPr>
              <w:t xml:space="preserve">Nb d’audits </w:t>
            </w:r>
          </w:p>
          <w:p w14:paraId="15B1E99D" w14:textId="642C060D" w:rsidR="00312C69" w:rsidRPr="004637C7" w:rsidRDefault="00312C69" w:rsidP="00312C69">
            <w:pPr>
              <w:jc w:val="left"/>
              <w:cnfStyle w:val="000000000000" w:firstRow="0" w:lastRow="0" w:firstColumn="0" w:lastColumn="0" w:oddVBand="0" w:evenVBand="0" w:oddHBand="0" w:evenHBand="0" w:firstRowFirstColumn="0" w:firstRowLastColumn="0" w:lastRowFirstColumn="0" w:lastRowLastColumn="0"/>
              <w:rPr>
                <w:rFonts w:eastAsia="Calibri"/>
                <w:szCs w:val="20"/>
                <w:lang w:bidi="ar-SA"/>
              </w:rPr>
            </w:pPr>
            <w:r w:rsidRPr="004637C7">
              <w:rPr>
                <w:rFonts w:eastAsia="Calibri"/>
                <w:szCs w:val="20"/>
                <w:lang w:bidi="ar-SA"/>
              </w:rPr>
              <w:t>Taux de propreté</w:t>
            </w:r>
          </w:p>
        </w:tc>
        <w:tc>
          <w:tcPr>
            <w:tcW w:w="0" w:type="auto"/>
            <w:hideMark/>
          </w:tcPr>
          <w:p w14:paraId="655BED72" w14:textId="1E30E6DF" w:rsidR="00312C69" w:rsidRPr="004637C7" w:rsidRDefault="00312C69" w:rsidP="00312C69">
            <w:pPr>
              <w:jc w:val="center"/>
              <w:cnfStyle w:val="000000000000" w:firstRow="0" w:lastRow="0" w:firstColumn="0" w:lastColumn="0" w:oddVBand="0" w:evenVBand="0" w:oddHBand="0" w:evenHBand="0" w:firstRowFirstColumn="0" w:firstRowLastColumn="0" w:lastRowFirstColumn="0" w:lastRowLastColumn="0"/>
              <w:rPr>
                <w:rFonts w:eastAsia="Calibri"/>
                <w:szCs w:val="20"/>
                <w:lang w:bidi="ar-SA"/>
              </w:rPr>
            </w:pPr>
            <w:r w:rsidRPr="00481B02">
              <w:rPr>
                <w:szCs w:val="20"/>
                <w:lang w:eastAsia="fr-FR" w:bidi="ar-SA"/>
              </w:rPr>
              <w:t>ONDA / Exploitant</w:t>
            </w:r>
          </w:p>
        </w:tc>
        <w:tc>
          <w:tcPr>
            <w:tcW w:w="0" w:type="auto"/>
            <w:hideMark/>
          </w:tcPr>
          <w:p w14:paraId="12B11E36" w14:textId="0CB1B185" w:rsidR="00312C69" w:rsidRPr="004637C7" w:rsidRDefault="00312C69" w:rsidP="00312C69">
            <w:pPr>
              <w:jc w:val="center"/>
              <w:cnfStyle w:val="000000000000" w:firstRow="0" w:lastRow="0" w:firstColumn="0" w:lastColumn="0" w:oddVBand="0" w:evenVBand="0" w:oddHBand="0" w:evenHBand="0" w:firstRowFirstColumn="0" w:firstRowLastColumn="0" w:lastRowFirstColumn="0" w:lastRowLastColumn="0"/>
              <w:rPr>
                <w:rFonts w:eastAsia="Calibri"/>
                <w:szCs w:val="20"/>
                <w:lang w:bidi="ar-SA"/>
              </w:rPr>
            </w:pPr>
            <w:r w:rsidRPr="00481B02">
              <w:rPr>
                <w:szCs w:val="20"/>
                <w:lang w:eastAsia="fr-FR" w:bidi="ar-SA"/>
              </w:rPr>
              <w:t>ONDA</w:t>
            </w:r>
          </w:p>
        </w:tc>
        <w:tc>
          <w:tcPr>
            <w:tcW w:w="0" w:type="auto"/>
            <w:hideMark/>
          </w:tcPr>
          <w:p w14:paraId="2FE0B165" w14:textId="42BB17C1" w:rsidR="00312C69" w:rsidRPr="004637C7" w:rsidRDefault="00312C69" w:rsidP="00312C69">
            <w:pPr>
              <w:jc w:val="center"/>
              <w:cnfStyle w:val="000000000000" w:firstRow="0" w:lastRow="0" w:firstColumn="0" w:lastColumn="0" w:oddVBand="0" w:evenVBand="0" w:oddHBand="0" w:evenHBand="0" w:firstRowFirstColumn="0" w:firstRowLastColumn="0" w:lastRowFirstColumn="0" w:lastRowLastColumn="0"/>
              <w:rPr>
                <w:rFonts w:eastAsia="Calibri"/>
                <w:szCs w:val="20"/>
                <w:lang w:bidi="ar-SA"/>
              </w:rPr>
            </w:pPr>
            <w:r w:rsidRPr="00481B02">
              <w:rPr>
                <w:szCs w:val="20"/>
                <w:lang w:eastAsia="fr-FR" w:bidi="ar-SA"/>
              </w:rPr>
              <w:t>ONDA</w:t>
            </w:r>
          </w:p>
        </w:tc>
        <w:tc>
          <w:tcPr>
            <w:tcW w:w="0" w:type="auto"/>
            <w:hideMark/>
          </w:tcPr>
          <w:p w14:paraId="5A0236DF" w14:textId="77777777" w:rsidR="00312C69" w:rsidRPr="004637C7" w:rsidRDefault="00312C69" w:rsidP="00312C69">
            <w:pPr>
              <w:jc w:val="center"/>
              <w:cnfStyle w:val="000000000000" w:firstRow="0" w:lastRow="0" w:firstColumn="0" w:lastColumn="0" w:oddVBand="0" w:evenVBand="0" w:oddHBand="0" w:evenHBand="0" w:firstRowFirstColumn="0" w:firstRowLastColumn="0" w:lastRowFirstColumn="0" w:lastRowLastColumn="0"/>
              <w:rPr>
                <w:rFonts w:eastAsia="Calibri"/>
                <w:szCs w:val="20"/>
                <w:lang w:bidi="ar-SA"/>
              </w:rPr>
            </w:pPr>
            <w:r w:rsidRPr="004637C7">
              <w:rPr>
                <w:rFonts w:eastAsia="Calibri"/>
                <w:szCs w:val="20"/>
                <w:lang w:bidi="ar-SA"/>
              </w:rPr>
              <w:t>Quotidien</w:t>
            </w:r>
          </w:p>
        </w:tc>
        <w:tc>
          <w:tcPr>
            <w:tcW w:w="0" w:type="auto"/>
            <w:hideMark/>
          </w:tcPr>
          <w:p w14:paraId="73B81411" w14:textId="1ABB2947" w:rsidR="00312C69" w:rsidRDefault="004F002B" w:rsidP="00312C69">
            <w:pPr>
              <w:jc w:val="left"/>
              <w:cnfStyle w:val="000000000000" w:firstRow="0" w:lastRow="0" w:firstColumn="0" w:lastColumn="0" w:oddVBand="0" w:evenVBand="0" w:oddHBand="0" w:evenHBand="0" w:firstRowFirstColumn="0" w:firstRowLastColumn="0" w:lastRowFirstColumn="0" w:lastRowLastColumn="0"/>
              <w:rPr>
                <w:szCs w:val="20"/>
              </w:rPr>
            </w:pPr>
            <w:r w:rsidRPr="004F002B">
              <w:rPr>
                <w:szCs w:val="20"/>
              </w:rPr>
              <w:t>6 000 – 8 000 MAD / mois</w:t>
            </w:r>
          </w:p>
          <w:p w14:paraId="593416B1" w14:textId="77777777" w:rsidR="004F002B" w:rsidRDefault="004F002B" w:rsidP="00312C69">
            <w:pPr>
              <w:jc w:val="left"/>
              <w:cnfStyle w:val="000000000000" w:firstRow="0" w:lastRow="0" w:firstColumn="0" w:lastColumn="0" w:oddVBand="0" w:evenVBand="0" w:oddHBand="0" w:evenHBand="0" w:firstRowFirstColumn="0" w:firstRowLastColumn="0" w:lastRowFirstColumn="0" w:lastRowLastColumn="0"/>
              <w:rPr>
                <w:szCs w:val="20"/>
              </w:rPr>
            </w:pPr>
          </w:p>
          <w:p w14:paraId="27E1C7AF" w14:textId="77777777" w:rsidR="004F002B" w:rsidRDefault="004F002B" w:rsidP="00312C69">
            <w:pPr>
              <w:jc w:val="left"/>
              <w:cnfStyle w:val="000000000000" w:firstRow="0" w:lastRow="0" w:firstColumn="0" w:lastColumn="0" w:oddVBand="0" w:evenVBand="0" w:oddHBand="0" w:evenHBand="0" w:firstRowFirstColumn="0" w:firstRowLastColumn="0" w:lastRowFirstColumn="0" w:lastRowLastColumn="0"/>
              <w:rPr>
                <w:rFonts w:eastAsia="Calibri"/>
                <w:szCs w:val="20"/>
                <w:lang w:bidi="ar-SA"/>
              </w:rPr>
            </w:pPr>
            <w:r w:rsidRPr="004F002B">
              <w:rPr>
                <w:rFonts w:eastAsia="Calibri"/>
                <w:szCs w:val="20"/>
                <w:lang w:bidi="ar-SA"/>
              </w:rPr>
              <w:t>2 000 MAD / inspection annuelle</w:t>
            </w:r>
          </w:p>
          <w:p w14:paraId="25596346" w14:textId="77777777" w:rsidR="004F002B" w:rsidRDefault="004F002B" w:rsidP="00312C69">
            <w:pPr>
              <w:jc w:val="left"/>
              <w:cnfStyle w:val="000000000000" w:firstRow="0" w:lastRow="0" w:firstColumn="0" w:lastColumn="0" w:oddVBand="0" w:evenVBand="0" w:oddHBand="0" w:evenHBand="0" w:firstRowFirstColumn="0" w:firstRowLastColumn="0" w:lastRowFirstColumn="0" w:lastRowLastColumn="0"/>
              <w:rPr>
                <w:rFonts w:eastAsia="Calibri"/>
                <w:szCs w:val="20"/>
                <w:lang w:bidi="ar-SA"/>
              </w:rPr>
            </w:pPr>
          </w:p>
          <w:p w14:paraId="21FFF848" w14:textId="647D7262" w:rsidR="004F002B" w:rsidRPr="004637C7" w:rsidRDefault="00AE111C" w:rsidP="00D60FC9">
            <w:pPr>
              <w:jc w:val="left"/>
              <w:cnfStyle w:val="000000000000" w:firstRow="0" w:lastRow="0" w:firstColumn="0" w:lastColumn="0" w:oddVBand="0" w:evenVBand="0" w:oddHBand="0" w:evenHBand="0" w:firstRowFirstColumn="0" w:firstRowLastColumn="0" w:lastRowFirstColumn="0" w:lastRowLastColumn="0"/>
              <w:rPr>
                <w:rFonts w:eastAsia="Calibri"/>
                <w:szCs w:val="20"/>
                <w:lang w:bidi="ar-SA"/>
              </w:rPr>
            </w:pPr>
            <w:r>
              <w:rPr>
                <w:rFonts w:eastAsia="Calibri"/>
                <w:szCs w:val="20"/>
                <w:lang w:bidi="ar-SA"/>
              </w:rPr>
              <w:t>2</w:t>
            </w:r>
            <w:r w:rsidRPr="00AE111C">
              <w:rPr>
                <w:rFonts w:eastAsia="Calibri"/>
                <w:szCs w:val="20"/>
                <w:lang w:bidi="ar-SA"/>
              </w:rPr>
              <w:t>00 MAD/tonne</w:t>
            </w:r>
          </w:p>
        </w:tc>
      </w:tr>
      <w:tr w:rsidR="00312C69" w:rsidRPr="00911732" w14:paraId="20FEAC4E" w14:textId="77777777" w:rsidTr="00D60FC9">
        <w:tc>
          <w:tcPr>
            <w:cnfStyle w:val="001000000000" w:firstRow="0" w:lastRow="0" w:firstColumn="1" w:lastColumn="0" w:oddVBand="0" w:evenVBand="0" w:oddHBand="0" w:evenHBand="0" w:firstRowFirstColumn="0" w:firstRowLastColumn="0" w:lastRowFirstColumn="0" w:lastRowLastColumn="0"/>
            <w:tcW w:w="0" w:type="auto"/>
            <w:vMerge/>
            <w:hideMark/>
          </w:tcPr>
          <w:p w14:paraId="2788E8C5" w14:textId="77777777" w:rsidR="00312C69" w:rsidRPr="004637C7" w:rsidRDefault="00312C69" w:rsidP="00312C69">
            <w:pPr>
              <w:jc w:val="center"/>
              <w:rPr>
                <w:rFonts w:eastAsia="Calibri"/>
                <w:b w:val="0"/>
                <w:bCs w:val="0"/>
                <w:szCs w:val="20"/>
                <w:lang w:bidi="ar-SA"/>
              </w:rPr>
            </w:pPr>
          </w:p>
        </w:tc>
        <w:tc>
          <w:tcPr>
            <w:tcW w:w="0" w:type="auto"/>
            <w:hideMark/>
          </w:tcPr>
          <w:p w14:paraId="4A5693EC" w14:textId="77777777" w:rsidR="00312C69" w:rsidRPr="004637C7" w:rsidRDefault="00312C69" w:rsidP="00312C69">
            <w:pPr>
              <w:jc w:val="left"/>
              <w:cnfStyle w:val="000000000000" w:firstRow="0" w:lastRow="0" w:firstColumn="0" w:lastColumn="0" w:oddVBand="0" w:evenVBand="0" w:oddHBand="0" w:evenHBand="0" w:firstRowFirstColumn="0" w:firstRowLastColumn="0" w:lastRowFirstColumn="0" w:lastRowLastColumn="0"/>
              <w:rPr>
                <w:rFonts w:eastAsia="Calibri"/>
                <w:szCs w:val="20"/>
                <w:lang w:bidi="ar-SA"/>
              </w:rPr>
            </w:pPr>
            <w:r w:rsidRPr="004637C7">
              <w:rPr>
                <w:rFonts w:eastAsia="Calibri"/>
                <w:szCs w:val="20"/>
                <w:lang w:bidi="ar-SA"/>
              </w:rPr>
              <w:t>Atténuer</w:t>
            </w:r>
          </w:p>
        </w:tc>
        <w:tc>
          <w:tcPr>
            <w:tcW w:w="0" w:type="dxa"/>
            <w:hideMark/>
          </w:tcPr>
          <w:p w14:paraId="1CF080BE" w14:textId="77777777" w:rsidR="00312C69" w:rsidRPr="00481B02" w:rsidRDefault="00312C69" w:rsidP="00312C69">
            <w:pPr>
              <w:jc w:val="left"/>
              <w:cnfStyle w:val="000000000000" w:firstRow="0" w:lastRow="0" w:firstColumn="0" w:lastColumn="0" w:oddVBand="0" w:evenVBand="0" w:oddHBand="0" w:evenHBand="0" w:firstRowFirstColumn="0" w:firstRowLastColumn="0" w:lastRowFirstColumn="0" w:lastRowLastColumn="0"/>
              <w:rPr>
                <w:rFonts w:eastAsia="Calibri"/>
                <w:szCs w:val="20"/>
                <w:lang w:bidi="ar-SA"/>
              </w:rPr>
            </w:pPr>
            <w:r w:rsidRPr="004637C7">
              <w:rPr>
                <w:rFonts w:eastAsia="Calibri"/>
                <w:szCs w:val="20"/>
                <w:lang w:bidi="ar-SA"/>
              </w:rPr>
              <w:t xml:space="preserve">Fournir un service médical interne capable de traiter les infections mineures ; </w:t>
            </w:r>
          </w:p>
          <w:p w14:paraId="7675B413" w14:textId="2B2049D0" w:rsidR="00312C69" w:rsidRPr="004637C7" w:rsidRDefault="00312C69" w:rsidP="00312C69">
            <w:pPr>
              <w:jc w:val="left"/>
              <w:cnfStyle w:val="000000000000" w:firstRow="0" w:lastRow="0" w:firstColumn="0" w:lastColumn="0" w:oddVBand="0" w:evenVBand="0" w:oddHBand="0" w:evenHBand="0" w:firstRowFirstColumn="0" w:firstRowLastColumn="0" w:lastRowFirstColumn="0" w:lastRowLastColumn="0"/>
              <w:rPr>
                <w:rFonts w:eastAsia="Calibri"/>
                <w:szCs w:val="20"/>
                <w:lang w:bidi="ar-SA"/>
              </w:rPr>
            </w:pPr>
            <w:r w:rsidRPr="00481B02">
              <w:rPr>
                <w:rFonts w:eastAsia="Calibri"/>
                <w:szCs w:val="20"/>
                <w:lang w:bidi="ar-SA"/>
              </w:rPr>
              <w:t>I</w:t>
            </w:r>
            <w:r w:rsidRPr="004637C7">
              <w:rPr>
                <w:rFonts w:eastAsia="Calibri"/>
                <w:szCs w:val="20"/>
                <w:lang w:bidi="ar-SA"/>
              </w:rPr>
              <w:t>nstaller distributeurs de savon, sèche-mains et gels désinfectants.</w:t>
            </w:r>
          </w:p>
        </w:tc>
        <w:tc>
          <w:tcPr>
            <w:tcW w:w="1613" w:type="dxa"/>
            <w:hideMark/>
          </w:tcPr>
          <w:p w14:paraId="6E1B535D" w14:textId="77777777" w:rsidR="00312C69" w:rsidRPr="00481B02" w:rsidRDefault="00312C69" w:rsidP="00312C69">
            <w:pPr>
              <w:jc w:val="left"/>
              <w:cnfStyle w:val="000000000000" w:firstRow="0" w:lastRow="0" w:firstColumn="0" w:lastColumn="0" w:oddVBand="0" w:evenVBand="0" w:oddHBand="0" w:evenHBand="0" w:firstRowFirstColumn="0" w:firstRowLastColumn="0" w:lastRowFirstColumn="0" w:lastRowLastColumn="0"/>
              <w:rPr>
                <w:rFonts w:eastAsia="Calibri"/>
                <w:szCs w:val="20"/>
                <w:lang w:bidi="ar-SA"/>
              </w:rPr>
            </w:pPr>
            <w:r w:rsidRPr="004637C7">
              <w:rPr>
                <w:rFonts w:eastAsia="Calibri"/>
                <w:szCs w:val="20"/>
                <w:lang w:bidi="ar-SA"/>
              </w:rPr>
              <w:t xml:space="preserve">Nb d’infirmeries équipées </w:t>
            </w:r>
          </w:p>
          <w:p w14:paraId="1C8A39F6" w14:textId="59D2267C" w:rsidR="00312C69" w:rsidRPr="004637C7" w:rsidRDefault="00312C69" w:rsidP="00312C69">
            <w:pPr>
              <w:jc w:val="left"/>
              <w:cnfStyle w:val="000000000000" w:firstRow="0" w:lastRow="0" w:firstColumn="0" w:lastColumn="0" w:oddVBand="0" w:evenVBand="0" w:oddHBand="0" w:evenHBand="0" w:firstRowFirstColumn="0" w:firstRowLastColumn="0" w:lastRowFirstColumn="0" w:lastRowLastColumn="0"/>
              <w:rPr>
                <w:rFonts w:eastAsia="Calibri"/>
                <w:szCs w:val="20"/>
                <w:lang w:bidi="ar-SA"/>
              </w:rPr>
            </w:pPr>
            <w:r w:rsidRPr="004637C7">
              <w:rPr>
                <w:rFonts w:eastAsia="Calibri"/>
                <w:szCs w:val="20"/>
                <w:lang w:bidi="ar-SA"/>
              </w:rPr>
              <w:t>Nb de produits distribués</w:t>
            </w:r>
          </w:p>
        </w:tc>
        <w:tc>
          <w:tcPr>
            <w:tcW w:w="0" w:type="auto"/>
            <w:hideMark/>
          </w:tcPr>
          <w:p w14:paraId="7DDE4BFC" w14:textId="4018F472" w:rsidR="00312C69" w:rsidRPr="004637C7" w:rsidRDefault="00312C69" w:rsidP="00312C69">
            <w:pPr>
              <w:jc w:val="center"/>
              <w:cnfStyle w:val="000000000000" w:firstRow="0" w:lastRow="0" w:firstColumn="0" w:lastColumn="0" w:oddVBand="0" w:evenVBand="0" w:oddHBand="0" w:evenHBand="0" w:firstRowFirstColumn="0" w:firstRowLastColumn="0" w:lastRowFirstColumn="0" w:lastRowLastColumn="0"/>
              <w:rPr>
                <w:rFonts w:eastAsia="Calibri"/>
                <w:szCs w:val="20"/>
                <w:lang w:bidi="ar-SA"/>
              </w:rPr>
            </w:pPr>
            <w:r w:rsidRPr="00481B02">
              <w:rPr>
                <w:szCs w:val="20"/>
                <w:lang w:eastAsia="fr-FR" w:bidi="ar-SA"/>
              </w:rPr>
              <w:t>ONDA / Exploitant</w:t>
            </w:r>
          </w:p>
        </w:tc>
        <w:tc>
          <w:tcPr>
            <w:tcW w:w="0" w:type="auto"/>
            <w:hideMark/>
          </w:tcPr>
          <w:p w14:paraId="5415F689" w14:textId="028D2566" w:rsidR="00312C69" w:rsidRPr="004637C7" w:rsidRDefault="00312C69" w:rsidP="00312C69">
            <w:pPr>
              <w:jc w:val="center"/>
              <w:cnfStyle w:val="000000000000" w:firstRow="0" w:lastRow="0" w:firstColumn="0" w:lastColumn="0" w:oddVBand="0" w:evenVBand="0" w:oddHBand="0" w:evenHBand="0" w:firstRowFirstColumn="0" w:firstRowLastColumn="0" w:lastRowFirstColumn="0" w:lastRowLastColumn="0"/>
              <w:rPr>
                <w:rFonts w:eastAsia="Calibri"/>
                <w:szCs w:val="20"/>
                <w:lang w:bidi="ar-SA"/>
              </w:rPr>
            </w:pPr>
            <w:r w:rsidRPr="00481B02">
              <w:rPr>
                <w:szCs w:val="20"/>
                <w:lang w:eastAsia="fr-FR" w:bidi="ar-SA"/>
              </w:rPr>
              <w:t>ONDA</w:t>
            </w:r>
          </w:p>
        </w:tc>
        <w:tc>
          <w:tcPr>
            <w:tcW w:w="0" w:type="auto"/>
            <w:hideMark/>
          </w:tcPr>
          <w:p w14:paraId="699FC680" w14:textId="596DCE78" w:rsidR="00312C69" w:rsidRPr="004637C7" w:rsidRDefault="00312C69" w:rsidP="00312C69">
            <w:pPr>
              <w:jc w:val="center"/>
              <w:cnfStyle w:val="000000000000" w:firstRow="0" w:lastRow="0" w:firstColumn="0" w:lastColumn="0" w:oddVBand="0" w:evenVBand="0" w:oddHBand="0" w:evenHBand="0" w:firstRowFirstColumn="0" w:firstRowLastColumn="0" w:lastRowFirstColumn="0" w:lastRowLastColumn="0"/>
              <w:rPr>
                <w:rFonts w:eastAsia="Calibri"/>
                <w:szCs w:val="20"/>
                <w:lang w:bidi="ar-SA"/>
              </w:rPr>
            </w:pPr>
            <w:r w:rsidRPr="00481B02">
              <w:rPr>
                <w:szCs w:val="20"/>
                <w:lang w:eastAsia="fr-FR" w:bidi="ar-SA"/>
              </w:rPr>
              <w:t>ONDA</w:t>
            </w:r>
          </w:p>
        </w:tc>
        <w:tc>
          <w:tcPr>
            <w:tcW w:w="0" w:type="auto"/>
            <w:hideMark/>
          </w:tcPr>
          <w:p w14:paraId="318F0972" w14:textId="77777777" w:rsidR="00312C69" w:rsidRPr="004637C7" w:rsidRDefault="00312C69" w:rsidP="00312C69">
            <w:pPr>
              <w:jc w:val="center"/>
              <w:cnfStyle w:val="000000000000" w:firstRow="0" w:lastRow="0" w:firstColumn="0" w:lastColumn="0" w:oddVBand="0" w:evenVBand="0" w:oddHBand="0" w:evenHBand="0" w:firstRowFirstColumn="0" w:firstRowLastColumn="0" w:lastRowFirstColumn="0" w:lastRowLastColumn="0"/>
              <w:rPr>
                <w:rFonts w:eastAsia="Calibri"/>
                <w:szCs w:val="20"/>
                <w:lang w:bidi="ar-SA"/>
              </w:rPr>
            </w:pPr>
            <w:r w:rsidRPr="004637C7">
              <w:rPr>
                <w:rFonts w:eastAsia="Calibri"/>
                <w:szCs w:val="20"/>
                <w:lang w:bidi="ar-SA"/>
              </w:rPr>
              <w:t>En continu</w:t>
            </w:r>
          </w:p>
        </w:tc>
        <w:tc>
          <w:tcPr>
            <w:tcW w:w="0" w:type="auto"/>
            <w:hideMark/>
          </w:tcPr>
          <w:p w14:paraId="15934872" w14:textId="192B3F32" w:rsidR="00312C69" w:rsidRDefault="009A0F3D" w:rsidP="00312C69">
            <w:pPr>
              <w:jc w:val="left"/>
              <w:cnfStyle w:val="000000000000" w:firstRow="0" w:lastRow="0" w:firstColumn="0" w:lastColumn="0" w:oddVBand="0" w:evenVBand="0" w:oddHBand="0" w:evenHBand="0" w:firstRowFirstColumn="0" w:firstRowLastColumn="0" w:lastRowFirstColumn="0" w:lastRowLastColumn="0"/>
              <w:rPr>
                <w:szCs w:val="20"/>
              </w:rPr>
            </w:pPr>
            <w:r>
              <w:rPr>
                <w:szCs w:val="20"/>
              </w:rPr>
              <w:t>Médecin de travail ONDA</w:t>
            </w:r>
          </w:p>
          <w:p w14:paraId="7D9679DA" w14:textId="77777777" w:rsidR="009A0F3D" w:rsidRDefault="009A0F3D" w:rsidP="00312C69">
            <w:pPr>
              <w:jc w:val="left"/>
              <w:cnfStyle w:val="000000000000" w:firstRow="0" w:lastRow="0" w:firstColumn="0" w:lastColumn="0" w:oddVBand="0" w:evenVBand="0" w:oddHBand="0" w:evenHBand="0" w:firstRowFirstColumn="0" w:firstRowLastColumn="0" w:lastRowFirstColumn="0" w:lastRowLastColumn="0"/>
              <w:rPr>
                <w:szCs w:val="20"/>
              </w:rPr>
            </w:pPr>
          </w:p>
          <w:p w14:paraId="2141716B" w14:textId="77777777" w:rsidR="009A0F3D" w:rsidRDefault="009A0F3D" w:rsidP="00312C69">
            <w:pPr>
              <w:jc w:val="left"/>
              <w:cnfStyle w:val="000000000000" w:firstRow="0" w:lastRow="0" w:firstColumn="0" w:lastColumn="0" w:oddVBand="0" w:evenVBand="0" w:oddHBand="0" w:evenHBand="0" w:firstRowFirstColumn="0" w:firstRowLastColumn="0" w:lastRowFirstColumn="0" w:lastRowLastColumn="0"/>
              <w:rPr>
                <w:szCs w:val="20"/>
              </w:rPr>
            </w:pPr>
          </w:p>
          <w:p w14:paraId="576A384C" w14:textId="370DB8AA" w:rsidR="009A0F3D" w:rsidRPr="004637C7" w:rsidRDefault="009A0F3D" w:rsidP="00D60FC9">
            <w:pPr>
              <w:jc w:val="left"/>
              <w:cnfStyle w:val="000000000000" w:firstRow="0" w:lastRow="0" w:firstColumn="0" w:lastColumn="0" w:oddVBand="0" w:evenVBand="0" w:oddHBand="0" w:evenHBand="0" w:firstRowFirstColumn="0" w:firstRowLastColumn="0" w:lastRowFirstColumn="0" w:lastRowLastColumn="0"/>
              <w:rPr>
                <w:rFonts w:eastAsia="Calibri"/>
                <w:szCs w:val="20"/>
                <w:lang w:bidi="ar-SA"/>
              </w:rPr>
            </w:pPr>
            <w:r w:rsidRPr="009A0F3D">
              <w:rPr>
                <w:rFonts w:eastAsia="Calibri"/>
                <w:szCs w:val="20"/>
                <w:lang w:bidi="ar-SA"/>
              </w:rPr>
              <w:t>500 – 800 MAD / point</w:t>
            </w:r>
          </w:p>
        </w:tc>
      </w:tr>
      <w:tr w:rsidR="00312C69" w:rsidRPr="00911732" w14:paraId="325FCAE1" w14:textId="77777777" w:rsidTr="00D60FC9">
        <w:tc>
          <w:tcPr>
            <w:cnfStyle w:val="001000000000" w:firstRow="0" w:lastRow="0" w:firstColumn="1" w:lastColumn="0" w:oddVBand="0" w:evenVBand="0" w:oddHBand="0" w:evenHBand="0" w:firstRowFirstColumn="0" w:firstRowLastColumn="0" w:lastRowFirstColumn="0" w:lastRowLastColumn="0"/>
            <w:tcW w:w="0" w:type="auto"/>
            <w:vMerge/>
            <w:hideMark/>
          </w:tcPr>
          <w:p w14:paraId="6524E701" w14:textId="77777777" w:rsidR="00312C69" w:rsidRPr="004637C7" w:rsidRDefault="00312C69" w:rsidP="00312C69">
            <w:pPr>
              <w:jc w:val="center"/>
              <w:rPr>
                <w:rFonts w:eastAsia="Calibri"/>
                <w:b w:val="0"/>
                <w:bCs w:val="0"/>
                <w:szCs w:val="20"/>
                <w:lang w:bidi="ar-SA"/>
              </w:rPr>
            </w:pPr>
          </w:p>
        </w:tc>
        <w:tc>
          <w:tcPr>
            <w:tcW w:w="0" w:type="auto"/>
            <w:hideMark/>
          </w:tcPr>
          <w:p w14:paraId="53BEF3D1" w14:textId="77777777" w:rsidR="00312C69" w:rsidRPr="004637C7" w:rsidRDefault="00312C69" w:rsidP="00312C69">
            <w:pPr>
              <w:jc w:val="left"/>
              <w:cnfStyle w:val="000000000000" w:firstRow="0" w:lastRow="0" w:firstColumn="0" w:lastColumn="0" w:oddVBand="0" w:evenVBand="0" w:oddHBand="0" w:evenHBand="0" w:firstRowFirstColumn="0" w:firstRowLastColumn="0" w:lastRowFirstColumn="0" w:lastRowLastColumn="0"/>
              <w:rPr>
                <w:rFonts w:eastAsia="Calibri"/>
                <w:szCs w:val="20"/>
                <w:lang w:bidi="ar-SA"/>
              </w:rPr>
            </w:pPr>
            <w:r w:rsidRPr="004637C7">
              <w:rPr>
                <w:rFonts w:eastAsia="Calibri"/>
                <w:szCs w:val="20"/>
                <w:lang w:bidi="ar-SA"/>
              </w:rPr>
              <w:t>Compenser</w:t>
            </w:r>
          </w:p>
        </w:tc>
        <w:tc>
          <w:tcPr>
            <w:tcW w:w="0" w:type="dxa"/>
            <w:hideMark/>
          </w:tcPr>
          <w:p w14:paraId="417622DB" w14:textId="77777777" w:rsidR="00312C69" w:rsidRPr="00481B02" w:rsidRDefault="00312C69" w:rsidP="00312C69">
            <w:pPr>
              <w:jc w:val="left"/>
              <w:cnfStyle w:val="000000000000" w:firstRow="0" w:lastRow="0" w:firstColumn="0" w:lastColumn="0" w:oddVBand="0" w:evenVBand="0" w:oddHBand="0" w:evenHBand="0" w:firstRowFirstColumn="0" w:firstRowLastColumn="0" w:lastRowFirstColumn="0" w:lastRowLastColumn="0"/>
              <w:rPr>
                <w:rFonts w:eastAsia="Calibri"/>
                <w:szCs w:val="20"/>
                <w:lang w:bidi="ar-SA"/>
              </w:rPr>
            </w:pPr>
            <w:r w:rsidRPr="004637C7">
              <w:rPr>
                <w:rFonts w:eastAsia="Calibri"/>
                <w:szCs w:val="20"/>
                <w:lang w:bidi="ar-SA"/>
              </w:rPr>
              <w:t xml:space="preserve">Assurer un suivi médical périodique et la couverture CNSS de tout le personnel ; </w:t>
            </w:r>
          </w:p>
          <w:p w14:paraId="5F9C8CB0" w14:textId="6C240F49" w:rsidR="00312C69" w:rsidRPr="004637C7" w:rsidRDefault="00312C69" w:rsidP="00312C69">
            <w:pPr>
              <w:jc w:val="left"/>
              <w:cnfStyle w:val="000000000000" w:firstRow="0" w:lastRow="0" w:firstColumn="0" w:lastColumn="0" w:oddVBand="0" w:evenVBand="0" w:oddHBand="0" w:evenHBand="0" w:firstRowFirstColumn="0" w:firstRowLastColumn="0" w:lastRowFirstColumn="0" w:lastRowLastColumn="0"/>
              <w:rPr>
                <w:rFonts w:eastAsia="Calibri"/>
                <w:szCs w:val="20"/>
                <w:lang w:bidi="ar-SA"/>
              </w:rPr>
            </w:pPr>
            <w:r w:rsidRPr="00481B02">
              <w:rPr>
                <w:rFonts w:eastAsia="Calibri"/>
                <w:szCs w:val="20"/>
                <w:lang w:bidi="ar-SA"/>
              </w:rPr>
              <w:t>R</w:t>
            </w:r>
            <w:r w:rsidRPr="004637C7">
              <w:rPr>
                <w:rFonts w:eastAsia="Calibri"/>
                <w:szCs w:val="20"/>
                <w:lang w:bidi="ar-SA"/>
              </w:rPr>
              <w:t>eloger ou indemniser les employés en cas d’insalubrité constatée.</w:t>
            </w:r>
          </w:p>
        </w:tc>
        <w:tc>
          <w:tcPr>
            <w:tcW w:w="1613" w:type="dxa"/>
            <w:hideMark/>
          </w:tcPr>
          <w:p w14:paraId="4F6C093C" w14:textId="0BA1E7C3" w:rsidR="00312C69" w:rsidRPr="00481B02" w:rsidRDefault="00312C69" w:rsidP="00312C69">
            <w:pPr>
              <w:jc w:val="left"/>
              <w:cnfStyle w:val="000000000000" w:firstRow="0" w:lastRow="0" w:firstColumn="0" w:lastColumn="0" w:oddVBand="0" w:evenVBand="0" w:oddHBand="0" w:evenHBand="0" w:firstRowFirstColumn="0" w:firstRowLastColumn="0" w:lastRowFirstColumn="0" w:lastRowLastColumn="0"/>
              <w:rPr>
                <w:rFonts w:eastAsia="Calibri"/>
                <w:szCs w:val="20"/>
                <w:lang w:bidi="ar-SA"/>
              </w:rPr>
            </w:pPr>
            <w:r w:rsidRPr="004637C7">
              <w:rPr>
                <w:rFonts w:eastAsia="Calibri"/>
                <w:szCs w:val="20"/>
                <w:lang w:bidi="ar-SA"/>
              </w:rPr>
              <w:t xml:space="preserve">Nb de suivis médicaux </w:t>
            </w:r>
          </w:p>
          <w:p w14:paraId="13CE2E22" w14:textId="0D13E605" w:rsidR="00312C69" w:rsidRPr="004637C7" w:rsidRDefault="00312C69" w:rsidP="00312C69">
            <w:pPr>
              <w:jc w:val="left"/>
              <w:cnfStyle w:val="000000000000" w:firstRow="0" w:lastRow="0" w:firstColumn="0" w:lastColumn="0" w:oddVBand="0" w:evenVBand="0" w:oddHBand="0" w:evenHBand="0" w:firstRowFirstColumn="0" w:firstRowLastColumn="0" w:lastRowFirstColumn="0" w:lastRowLastColumn="0"/>
              <w:rPr>
                <w:rFonts w:eastAsia="Calibri"/>
                <w:szCs w:val="20"/>
                <w:lang w:bidi="ar-SA"/>
              </w:rPr>
            </w:pPr>
            <w:r w:rsidRPr="004637C7">
              <w:rPr>
                <w:rFonts w:eastAsia="Calibri"/>
                <w:szCs w:val="20"/>
                <w:lang w:bidi="ar-SA"/>
              </w:rPr>
              <w:t>Nb d’indemnisations</w:t>
            </w:r>
          </w:p>
        </w:tc>
        <w:tc>
          <w:tcPr>
            <w:tcW w:w="0" w:type="auto"/>
            <w:hideMark/>
          </w:tcPr>
          <w:p w14:paraId="67CC7AEF" w14:textId="33B5C492" w:rsidR="00312C69" w:rsidRPr="004637C7" w:rsidRDefault="00312C69" w:rsidP="00312C69">
            <w:pPr>
              <w:jc w:val="center"/>
              <w:cnfStyle w:val="000000000000" w:firstRow="0" w:lastRow="0" w:firstColumn="0" w:lastColumn="0" w:oddVBand="0" w:evenVBand="0" w:oddHBand="0" w:evenHBand="0" w:firstRowFirstColumn="0" w:firstRowLastColumn="0" w:lastRowFirstColumn="0" w:lastRowLastColumn="0"/>
              <w:rPr>
                <w:rFonts w:eastAsia="Calibri"/>
                <w:szCs w:val="20"/>
                <w:lang w:bidi="ar-SA"/>
              </w:rPr>
            </w:pPr>
            <w:r w:rsidRPr="00481B02">
              <w:rPr>
                <w:szCs w:val="20"/>
                <w:lang w:eastAsia="fr-FR" w:bidi="ar-SA"/>
              </w:rPr>
              <w:t>ONDA / Exploitant</w:t>
            </w:r>
          </w:p>
        </w:tc>
        <w:tc>
          <w:tcPr>
            <w:tcW w:w="0" w:type="auto"/>
            <w:hideMark/>
          </w:tcPr>
          <w:p w14:paraId="2A94FF96" w14:textId="6B60F161" w:rsidR="00312C69" w:rsidRPr="004637C7" w:rsidRDefault="00312C69" w:rsidP="00312C69">
            <w:pPr>
              <w:jc w:val="center"/>
              <w:cnfStyle w:val="000000000000" w:firstRow="0" w:lastRow="0" w:firstColumn="0" w:lastColumn="0" w:oddVBand="0" w:evenVBand="0" w:oddHBand="0" w:evenHBand="0" w:firstRowFirstColumn="0" w:firstRowLastColumn="0" w:lastRowFirstColumn="0" w:lastRowLastColumn="0"/>
              <w:rPr>
                <w:rFonts w:eastAsia="Calibri"/>
                <w:szCs w:val="20"/>
                <w:lang w:bidi="ar-SA"/>
              </w:rPr>
            </w:pPr>
            <w:r w:rsidRPr="00481B02">
              <w:rPr>
                <w:szCs w:val="20"/>
                <w:lang w:eastAsia="fr-FR" w:bidi="ar-SA"/>
              </w:rPr>
              <w:t>ONDA</w:t>
            </w:r>
          </w:p>
        </w:tc>
        <w:tc>
          <w:tcPr>
            <w:tcW w:w="0" w:type="auto"/>
            <w:hideMark/>
          </w:tcPr>
          <w:p w14:paraId="311DF263" w14:textId="03BA0D4F" w:rsidR="00312C69" w:rsidRPr="004637C7" w:rsidRDefault="00312C69" w:rsidP="00312C69">
            <w:pPr>
              <w:jc w:val="center"/>
              <w:cnfStyle w:val="000000000000" w:firstRow="0" w:lastRow="0" w:firstColumn="0" w:lastColumn="0" w:oddVBand="0" w:evenVBand="0" w:oddHBand="0" w:evenHBand="0" w:firstRowFirstColumn="0" w:firstRowLastColumn="0" w:lastRowFirstColumn="0" w:lastRowLastColumn="0"/>
              <w:rPr>
                <w:rFonts w:eastAsia="Calibri"/>
                <w:szCs w:val="20"/>
                <w:lang w:bidi="ar-SA"/>
              </w:rPr>
            </w:pPr>
            <w:r w:rsidRPr="00481B02">
              <w:rPr>
                <w:szCs w:val="20"/>
                <w:lang w:eastAsia="fr-FR" w:bidi="ar-SA"/>
              </w:rPr>
              <w:t>ONDA</w:t>
            </w:r>
          </w:p>
        </w:tc>
        <w:tc>
          <w:tcPr>
            <w:tcW w:w="0" w:type="auto"/>
            <w:hideMark/>
          </w:tcPr>
          <w:p w14:paraId="64E89216" w14:textId="77777777" w:rsidR="00312C69" w:rsidRPr="004637C7" w:rsidRDefault="00312C69" w:rsidP="00312C69">
            <w:pPr>
              <w:cnfStyle w:val="000000000000" w:firstRow="0" w:lastRow="0" w:firstColumn="0" w:lastColumn="0" w:oddVBand="0" w:evenVBand="0" w:oddHBand="0" w:evenHBand="0" w:firstRowFirstColumn="0" w:firstRowLastColumn="0" w:lastRowFirstColumn="0" w:lastRowLastColumn="0"/>
              <w:rPr>
                <w:rFonts w:eastAsia="Calibri"/>
                <w:szCs w:val="20"/>
                <w:lang w:bidi="ar-SA"/>
              </w:rPr>
            </w:pPr>
            <w:r w:rsidRPr="004637C7">
              <w:rPr>
                <w:rFonts w:eastAsia="Calibri"/>
                <w:szCs w:val="20"/>
                <w:lang w:bidi="ar-SA"/>
              </w:rPr>
              <w:t>Annuel / Selon besoin</w:t>
            </w:r>
          </w:p>
        </w:tc>
        <w:tc>
          <w:tcPr>
            <w:tcW w:w="0" w:type="auto"/>
            <w:hideMark/>
          </w:tcPr>
          <w:p w14:paraId="05812CA0" w14:textId="2B240FB2" w:rsidR="00312C69" w:rsidRDefault="009A0F3D" w:rsidP="00312C69">
            <w:pPr>
              <w:jc w:val="left"/>
              <w:cnfStyle w:val="000000000000" w:firstRow="0" w:lastRow="0" w:firstColumn="0" w:lastColumn="0" w:oddVBand="0" w:evenVBand="0" w:oddHBand="0" w:evenHBand="0" w:firstRowFirstColumn="0" w:firstRowLastColumn="0" w:lastRowFirstColumn="0" w:lastRowLastColumn="0"/>
              <w:rPr>
                <w:szCs w:val="20"/>
              </w:rPr>
            </w:pPr>
            <w:r w:rsidRPr="009A0F3D">
              <w:rPr>
                <w:szCs w:val="20"/>
              </w:rPr>
              <w:t>Inclut dans les coûts de gestion RH</w:t>
            </w:r>
          </w:p>
          <w:p w14:paraId="57A3C78A" w14:textId="77777777" w:rsidR="009A0F3D" w:rsidRDefault="009A0F3D" w:rsidP="00312C69">
            <w:pPr>
              <w:jc w:val="left"/>
              <w:cnfStyle w:val="000000000000" w:firstRow="0" w:lastRow="0" w:firstColumn="0" w:lastColumn="0" w:oddVBand="0" w:evenVBand="0" w:oddHBand="0" w:evenHBand="0" w:firstRowFirstColumn="0" w:firstRowLastColumn="0" w:lastRowFirstColumn="0" w:lastRowLastColumn="0"/>
              <w:rPr>
                <w:szCs w:val="20"/>
              </w:rPr>
            </w:pPr>
          </w:p>
          <w:p w14:paraId="493932D4" w14:textId="7482E2C4" w:rsidR="009A0F3D" w:rsidRPr="004637C7" w:rsidRDefault="009A0F3D" w:rsidP="00D60FC9">
            <w:pPr>
              <w:jc w:val="left"/>
              <w:cnfStyle w:val="000000000000" w:firstRow="0" w:lastRow="0" w:firstColumn="0" w:lastColumn="0" w:oddVBand="0" w:evenVBand="0" w:oddHBand="0" w:evenHBand="0" w:firstRowFirstColumn="0" w:firstRowLastColumn="0" w:lastRowFirstColumn="0" w:lastRowLastColumn="0"/>
              <w:rPr>
                <w:rFonts w:eastAsia="Calibri"/>
                <w:szCs w:val="20"/>
                <w:lang w:bidi="ar-SA"/>
              </w:rPr>
            </w:pPr>
            <w:r w:rsidRPr="009A0F3D">
              <w:rPr>
                <w:rFonts w:eastAsia="Calibri"/>
                <w:szCs w:val="20"/>
                <w:lang w:bidi="ar-SA"/>
              </w:rPr>
              <w:t>Cas exceptionnel – estimation forfaitaire 5 000 MAD / cas</w:t>
            </w:r>
          </w:p>
        </w:tc>
      </w:tr>
    </w:tbl>
    <w:p w14:paraId="50116365" w14:textId="77777777" w:rsidR="0069450E" w:rsidRDefault="0069450E" w:rsidP="00CE45B6">
      <w:pPr>
        <w:jc w:val="center"/>
        <w:rPr>
          <w:rFonts w:eastAsia="Calibri"/>
          <w:b/>
          <w:bCs/>
          <w:sz w:val="20"/>
          <w:szCs w:val="20"/>
          <w:lang w:bidi="ar-SA"/>
        </w:rPr>
      </w:pPr>
    </w:p>
    <w:p w14:paraId="7DBD004D" w14:textId="77777777" w:rsidR="00ED374B" w:rsidRDefault="00ED374B" w:rsidP="00CE45B6">
      <w:pPr>
        <w:jc w:val="center"/>
        <w:rPr>
          <w:rFonts w:eastAsia="Calibri"/>
          <w:b/>
          <w:bCs/>
          <w:sz w:val="20"/>
          <w:szCs w:val="20"/>
          <w:lang w:bidi="ar-SA"/>
        </w:rPr>
      </w:pPr>
    </w:p>
    <w:p w14:paraId="021A4E2A" w14:textId="77777777" w:rsidR="00ED374B" w:rsidRDefault="00ED374B" w:rsidP="00CE45B6">
      <w:pPr>
        <w:jc w:val="center"/>
        <w:rPr>
          <w:rFonts w:eastAsia="Calibri"/>
          <w:b/>
          <w:bCs/>
          <w:sz w:val="20"/>
          <w:szCs w:val="20"/>
          <w:lang w:bidi="ar-SA"/>
        </w:rPr>
      </w:pPr>
    </w:p>
    <w:p w14:paraId="34ABFDA9" w14:textId="77777777" w:rsidR="00ED374B" w:rsidRDefault="00ED374B" w:rsidP="00CE45B6">
      <w:pPr>
        <w:jc w:val="center"/>
        <w:rPr>
          <w:rFonts w:eastAsia="Calibri"/>
          <w:b/>
          <w:bCs/>
          <w:sz w:val="20"/>
          <w:szCs w:val="20"/>
          <w:lang w:bidi="ar-SA"/>
        </w:rPr>
        <w:sectPr w:rsidR="00ED374B" w:rsidSect="004637C7">
          <w:pgSz w:w="16838" w:h="11906" w:orient="landscape"/>
          <w:pgMar w:top="1418" w:right="1418" w:bottom="1418" w:left="1276" w:header="680" w:footer="680" w:gutter="0"/>
          <w:cols w:space="708"/>
          <w:docGrid w:linePitch="360"/>
        </w:sectPr>
      </w:pPr>
    </w:p>
    <w:p w14:paraId="1B6D4C2B" w14:textId="124A43D5" w:rsidR="00AA1D6D" w:rsidRPr="00AA1D6D" w:rsidRDefault="00AA1D6D" w:rsidP="004637C7">
      <w:pPr>
        <w:pStyle w:val="Title5"/>
        <w:rPr>
          <w:lang w:eastAsia="zh-CN"/>
        </w:rPr>
      </w:pPr>
      <w:r w:rsidRPr="00AA1D6D">
        <w:rPr>
          <w:lang w:eastAsia="zh-CN"/>
        </w:rPr>
        <w:lastRenderedPageBreak/>
        <w:t>Évaluation de</w:t>
      </w:r>
      <w:r w:rsidR="00F43BE0">
        <w:rPr>
          <w:lang w:eastAsia="zh-CN"/>
        </w:rPr>
        <w:t>s impacts résiduels</w:t>
      </w:r>
    </w:p>
    <w:p w14:paraId="2550DF2D" w14:textId="77777777" w:rsidR="00E72CBC" w:rsidRPr="00E72CBC" w:rsidRDefault="00E72CBC" w:rsidP="004637C7">
      <w:pPr>
        <w:rPr>
          <w:lang w:eastAsia="zh-CN"/>
        </w:rPr>
      </w:pPr>
      <w:r w:rsidRPr="00E72CBC">
        <w:rPr>
          <w:lang w:eastAsia="zh-CN"/>
        </w:rPr>
        <w:t>En phase d’exploitation, les mesures de prévention intégrées au système de gestion HSE de l’aéroport et au plan d’entretien des infrastructures permettront de maintenir un niveau de risque faible à acceptable pour le personnel. Les programmes de formation, la maintenance préventive et le contrôle médical régulier garantissent la pérennité des conditions de travail sûres.</w:t>
      </w:r>
    </w:p>
    <w:p w14:paraId="38523B3C" w14:textId="34267D3D" w:rsidR="00E72CBC" w:rsidRPr="00E72CBC" w:rsidRDefault="00E72CBC" w:rsidP="0001633E">
      <w:pPr>
        <w:pStyle w:val="Paragraphedeliste"/>
        <w:numPr>
          <w:ilvl w:val="0"/>
          <w:numId w:val="123"/>
        </w:numPr>
        <w:rPr>
          <w:lang w:eastAsia="zh-CN"/>
        </w:rPr>
      </w:pPr>
      <w:r w:rsidRPr="00E72CBC">
        <w:rPr>
          <w:lang w:eastAsia="zh-CN"/>
        </w:rPr>
        <w:t xml:space="preserve">Contraintes thermiques et fatigue physique liée au travail sur piste : la réorganisation des horaires, les pauses climatisées et l’équipement anti-UV limiteront le stress thermique. L’impact résiduel est </w:t>
      </w:r>
      <w:r w:rsidR="00481B02">
        <w:rPr>
          <w:lang w:eastAsia="zh-CN"/>
        </w:rPr>
        <w:t>mineur</w:t>
      </w:r>
      <w:r w:rsidRPr="00E72CBC">
        <w:rPr>
          <w:lang w:eastAsia="zh-CN"/>
        </w:rPr>
        <w:t>, localisé aux périodes estivales, sans effet cumulatif à long terme.</w:t>
      </w:r>
    </w:p>
    <w:p w14:paraId="23F8230F" w14:textId="1FC58CD9" w:rsidR="00E72CBC" w:rsidRPr="00E72CBC" w:rsidRDefault="00481B02" w:rsidP="0001633E">
      <w:pPr>
        <w:pStyle w:val="Paragraphedeliste"/>
        <w:numPr>
          <w:ilvl w:val="0"/>
          <w:numId w:val="123"/>
        </w:numPr>
        <w:rPr>
          <w:lang w:eastAsia="zh-CN"/>
        </w:rPr>
      </w:pPr>
      <w:r>
        <w:rPr>
          <w:lang w:eastAsia="zh-CN"/>
        </w:rPr>
        <w:t>T</w:t>
      </w:r>
      <w:r w:rsidR="00E72CBC" w:rsidRPr="00E72CBC">
        <w:rPr>
          <w:lang w:eastAsia="zh-CN"/>
        </w:rPr>
        <w:t xml:space="preserve">roubles musculosquelettiques (TMS) : la mécanisation progressive, la formation ergonomique et la rotation des tâches réduisent la fréquence et la gravité. L’impact résiduel est </w:t>
      </w:r>
      <w:r>
        <w:rPr>
          <w:lang w:eastAsia="zh-CN"/>
        </w:rPr>
        <w:t>mineur</w:t>
      </w:r>
      <w:r w:rsidR="00E72CBC" w:rsidRPr="00E72CBC">
        <w:rPr>
          <w:lang w:eastAsia="zh-CN"/>
        </w:rPr>
        <w:t>, principalement sur les agents les plus anciens.</w:t>
      </w:r>
    </w:p>
    <w:p w14:paraId="38F1C432" w14:textId="4896164B" w:rsidR="00E72CBC" w:rsidRPr="00E72CBC" w:rsidRDefault="00E72CBC" w:rsidP="0001633E">
      <w:pPr>
        <w:pStyle w:val="Paragraphedeliste"/>
        <w:numPr>
          <w:ilvl w:val="0"/>
          <w:numId w:val="123"/>
        </w:numPr>
        <w:rPr>
          <w:lang w:eastAsia="zh-CN"/>
        </w:rPr>
      </w:pPr>
      <w:r w:rsidRPr="00E72CBC">
        <w:rPr>
          <w:lang w:eastAsia="zh-CN"/>
        </w:rPr>
        <w:t xml:space="preserve">Stress professionnel lié aux horaires décalés et charge de travail : les rotations de postes, le soutien psychosocial et le suivi RH réduisent significativement les effets. L’impact résiduel est </w:t>
      </w:r>
      <w:r w:rsidR="00481B02">
        <w:rPr>
          <w:lang w:eastAsia="zh-CN"/>
        </w:rPr>
        <w:t>mineur</w:t>
      </w:r>
      <w:r w:rsidRPr="00E72CBC">
        <w:rPr>
          <w:lang w:eastAsia="zh-CN"/>
        </w:rPr>
        <w:t>, non cumulatif, et contrôlable par une supervision continue.</w:t>
      </w:r>
    </w:p>
    <w:p w14:paraId="640DF642" w14:textId="4F4F0791" w:rsidR="00E72CBC" w:rsidRPr="00E72CBC" w:rsidRDefault="00E72CBC" w:rsidP="0001633E">
      <w:pPr>
        <w:pStyle w:val="Paragraphedeliste"/>
        <w:numPr>
          <w:ilvl w:val="0"/>
          <w:numId w:val="123"/>
        </w:numPr>
        <w:rPr>
          <w:lang w:eastAsia="zh-CN"/>
        </w:rPr>
      </w:pPr>
      <w:r w:rsidRPr="00E72CBC">
        <w:rPr>
          <w:lang w:eastAsia="zh-CN"/>
        </w:rPr>
        <w:t xml:space="preserve">Accidents liés aux manœuvres d’aéronefs et véhicules de service : la signalisation renforcée, les alarmes et la formation du personnel réduisent la probabilité d’occurrence. Le risque résiduel est </w:t>
      </w:r>
      <w:r w:rsidR="00481B02">
        <w:rPr>
          <w:lang w:eastAsia="zh-CN"/>
        </w:rPr>
        <w:t>mineur</w:t>
      </w:r>
      <w:r w:rsidRPr="00E72CBC">
        <w:rPr>
          <w:lang w:eastAsia="zh-CN"/>
        </w:rPr>
        <w:t>, sous réserve de discipline constante des conducteurs et agents de piste.</w:t>
      </w:r>
    </w:p>
    <w:p w14:paraId="3E01E534" w14:textId="53D27E38" w:rsidR="00E72CBC" w:rsidRPr="00E72CBC" w:rsidRDefault="00E72CBC" w:rsidP="0001633E">
      <w:pPr>
        <w:pStyle w:val="Paragraphedeliste"/>
        <w:numPr>
          <w:ilvl w:val="0"/>
          <w:numId w:val="123"/>
        </w:numPr>
        <w:rPr>
          <w:lang w:eastAsia="zh-CN"/>
        </w:rPr>
      </w:pPr>
      <w:r w:rsidRPr="00E72CBC">
        <w:rPr>
          <w:lang w:eastAsia="zh-CN"/>
        </w:rPr>
        <w:t xml:space="preserve">Incendies et électrocutions lors des opérations de maintenance : la consignation électrique, la conformité des installations et la présence permanente de pompiers aéroportuaires réduisent le risque à un niveau </w:t>
      </w:r>
      <w:r w:rsidR="00481B02">
        <w:rPr>
          <w:lang w:eastAsia="zh-CN"/>
        </w:rPr>
        <w:t>mineur</w:t>
      </w:r>
      <w:r w:rsidRPr="00E72CBC">
        <w:rPr>
          <w:lang w:eastAsia="zh-CN"/>
        </w:rPr>
        <w:t>, circonscrit à des incidents techniques isolés.</w:t>
      </w:r>
    </w:p>
    <w:p w14:paraId="4B0FD67D" w14:textId="4618F64E" w:rsidR="00AA1D6D" w:rsidRDefault="00E72CBC" w:rsidP="0001633E">
      <w:pPr>
        <w:pStyle w:val="Paragraphedeliste"/>
        <w:numPr>
          <w:ilvl w:val="0"/>
          <w:numId w:val="123"/>
        </w:numPr>
        <w:rPr>
          <w:lang w:eastAsia="zh-CN"/>
        </w:rPr>
      </w:pPr>
      <w:r w:rsidRPr="00E72CBC">
        <w:rPr>
          <w:lang w:eastAsia="zh-CN"/>
        </w:rPr>
        <w:t>Hygiène et conditions sanitaires du personnel : le nettoyage quotidien, la maintenance des sanitaires et la surveillance médicale continue assurent un environnement sain. L’impact résiduel est mineur, durablement maîtrisé par la gestion interne de l’aéroport et le suivi ONDA.</w:t>
      </w:r>
    </w:p>
    <w:p w14:paraId="0AC73363" w14:textId="77777777" w:rsidR="00E72CBC" w:rsidRDefault="00E72CBC" w:rsidP="00AA1D6D">
      <w:pPr>
        <w:rPr>
          <w:lang w:eastAsia="zh-CN"/>
        </w:rPr>
      </w:pPr>
    </w:p>
    <w:p w14:paraId="26FB12D6" w14:textId="77777777" w:rsidR="00E72CBC" w:rsidRPr="00AA1D6D" w:rsidRDefault="00E72CBC" w:rsidP="00AA1D6D">
      <w:pPr>
        <w:rPr>
          <w:lang w:eastAsia="zh-CN"/>
        </w:rPr>
      </w:pPr>
    </w:p>
    <w:p w14:paraId="452EFE08" w14:textId="77777777" w:rsidR="0069450E" w:rsidRDefault="0069450E" w:rsidP="00AA1D6D">
      <w:pPr>
        <w:pStyle w:val="Title3"/>
        <w:rPr>
          <w:lang w:eastAsia="zh-CN"/>
        </w:rPr>
        <w:sectPr w:rsidR="0069450E" w:rsidSect="004637C7">
          <w:headerReference w:type="default" r:id="rId146"/>
          <w:footerReference w:type="default" r:id="rId147"/>
          <w:pgSz w:w="11906" w:h="16838"/>
          <w:pgMar w:top="1418" w:right="1418" w:bottom="1276" w:left="1418" w:header="340" w:footer="567" w:gutter="0"/>
          <w:cols w:space="708"/>
          <w:docGrid w:linePitch="360"/>
        </w:sectPr>
      </w:pPr>
      <w:bookmarkStart w:id="485" w:name="_Toc181619044"/>
    </w:p>
    <w:p w14:paraId="038218A8" w14:textId="7575A174" w:rsidR="00ED34D8" w:rsidRDefault="00ED34D8" w:rsidP="00943E28">
      <w:pPr>
        <w:pStyle w:val="Title3"/>
        <w:rPr>
          <w:lang w:eastAsia="zh-CN"/>
        </w:rPr>
      </w:pPr>
      <w:bookmarkStart w:id="486" w:name="_Toc215131887"/>
      <w:r>
        <w:rPr>
          <w:lang w:eastAsia="zh-CN"/>
        </w:rPr>
        <w:lastRenderedPageBreak/>
        <w:t>Santé, sureté et sécurité communautaire</w:t>
      </w:r>
      <w:bookmarkEnd w:id="486"/>
    </w:p>
    <w:p w14:paraId="1450D605" w14:textId="5B1C9A92" w:rsidR="00ED34D8" w:rsidRDefault="00ED34D8" w:rsidP="004637C7">
      <w:pPr>
        <w:pStyle w:val="Title4"/>
      </w:pPr>
      <w:r>
        <w:t>Contexte d’évaluation</w:t>
      </w:r>
    </w:p>
    <w:bookmarkEnd w:id="485"/>
    <w:p w14:paraId="0DBCDE02" w14:textId="7F5D2F30" w:rsidR="0019611E" w:rsidRDefault="0019611E" w:rsidP="0019611E">
      <w:r w:rsidRPr="0019611E">
        <w:t xml:space="preserve">L’aéroport international </w:t>
      </w:r>
      <w:r w:rsidR="00463A8F">
        <w:t xml:space="preserve">Marrakech </w:t>
      </w:r>
      <w:r w:rsidR="000A70DD">
        <w:t>Ménara</w:t>
      </w:r>
      <w:r w:rsidRPr="0019611E">
        <w:t xml:space="preserve"> est implanté dans une zone à dominante </w:t>
      </w:r>
      <w:r w:rsidR="000A70DD">
        <w:t>urbaine</w:t>
      </w:r>
      <w:r w:rsidRPr="0019611E">
        <w:t xml:space="preserve">, située </w:t>
      </w:r>
      <w:r w:rsidR="000A70DD">
        <w:t>sur</w:t>
      </w:r>
      <w:r w:rsidRPr="0019611E">
        <w:t xml:space="preserve"> la </w:t>
      </w:r>
      <w:r w:rsidRPr="004637C7">
        <w:t xml:space="preserve">Route </w:t>
      </w:r>
      <w:r w:rsidR="00463A8F">
        <w:t>régionale</w:t>
      </w:r>
      <w:r w:rsidRPr="004637C7">
        <w:t xml:space="preserve"> </w:t>
      </w:r>
      <w:r w:rsidR="00463A8F">
        <w:t>212</w:t>
      </w:r>
      <w:r w:rsidRPr="0019611E">
        <w:t>.</w:t>
      </w:r>
    </w:p>
    <w:p w14:paraId="70405F03" w14:textId="6E03D5E3" w:rsidR="0019611E" w:rsidRPr="0019611E" w:rsidRDefault="0019611E" w:rsidP="00463A8F">
      <w:r w:rsidRPr="0019611E">
        <w:t xml:space="preserve">La plateforme aéroportuaire est </w:t>
      </w:r>
      <w:r w:rsidRPr="00DB08A1">
        <w:t>entièrement clôturée</w:t>
      </w:r>
      <w:r w:rsidRPr="0019611E">
        <w:t xml:space="preserve">, ce qui limite considérablement les interactions directes entre les zones de chantier et les communautés locales. </w:t>
      </w:r>
    </w:p>
    <w:p w14:paraId="7089F3F7" w14:textId="77777777" w:rsidR="0019611E" w:rsidRPr="0019611E" w:rsidRDefault="0019611E" w:rsidP="004637C7">
      <w:r w:rsidRPr="0019611E">
        <w:t>Dans ce contexte, les risques communautaires susceptibles de découler de la phase de construction concernent principalement :</w:t>
      </w:r>
    </w:p>
    <w:p w14:paraId="776150ED" w14:textId="19A3CF53" w:rsidR="0019611E" w:rsidRPr="0019611E" w:rsidRDefault="0019611E" w:rsidP="0001633E">
      <w:pPr>
        <w:pStyle w:val="Paragraphedeliste"/>
        <w:numPr>
          <w:ilvl w:val="0"/>
          <w:numId w:val="125"/>
        </w:numPr>
      </w:pPr>
      <w:r w:rsidRPr="0019611E">
        <w:t xml:space="preserve">la </w:t>
      </w:r>
      <w:r w:rsidRPr="00DB08A1">
        <w:t>sécurité routière</w:t>
      </w:r>
      <w:r w:rsidRPr="0019611E">
        <w:t xml:space="preserve">, le long de la </w:t>
      </w:r>
      <w:r w:rsidR="00463A8F">
        <w:t>RR212</w:t>
      </w:r>
      <w:r w:rsidRPr="0019611E">
        <w:t xml:space="preserve"> et des pistes d’accès empruntées par les camions de chantier ;</w:t>
      </w:r>
    </w:p>
    <w:p w14:paraId="6B6A7A39" w14:textId="77777777" w:rsidR="0019611E" w:rsidRPr="0019611E" w:rsidRDefault="0019611E" w:rsidP="0001633E">
      <w:pPr>
        <w:pStyle w:val="Paragraphedeliste"/>
        <w:numPr>
          <w:ilvl w:val="0"/>
          <w:numId w:val="125"/>
        </w:numPr>
      </w:pPr>
      <w:r w:rsidRPr="0019611E">
        <w:t xml:space="preserve">la </w:t>
      </w:r>
      <w:r w:rsidRPr="00DB08A1">
        <w:t>santé publique</w:t>
      </w:r>
      <w:r w:rsidRPr="0019611E">
        <w:t>, en lien avec la circulation accrue de main-d’œuvre temporaire et les interactions sociales associées ;</w:t>
      </w:r>
    </w:p>
    <w:p w14:paraId="6EDFCCB9" w14:textId="77777777" w:rsidR="0019611E" w:rsidRPr="0019611E" w:rsidRDefault="0019611E" w:rsidP="0001633E">
      <w:pPr>
        <w:pStyle w:val="Paragraphedeliste"/>
        <w:numPr>
          <w:ilvl w:val="0"/>
          <w:numId w:val="125"/>
        </w:numPr>
      </w:pPr>
      <w:r w:rsidRPr="0019611E">
        <w:t xml:space="preserve">la </w:t>
      </w:r>
      <w:r w:rsidRPr="00DB08A1">
        <w:t>sécurité et la sûreté communautaires</w:t>
      </w:r>
      <w:r w:rsidRPr="0019611E">
        <w:t>, notamment en matière de prévention des violences basées sur le genre, de gestion des situations d’urgence, et de maîtrise des produits dangereux.</w:t>
      </w:r>
    </w:p>
    <w:p w14:paraId="1ABDC454" w14:textId="77777777" w:rsidR="0019611E" w:rsidRDefault="0019611E" w:rsidP="0019611E">
      <w:r w:rsidRPr="0019611E">
        <w:t xml:space="preserve">L’évaluation est donc focalisée sur les </w:t>
      </w:r>
      <w:r w:rsidRPr="00DB08A1">
        <w:t>risques indirects mais plausibles</w:t>
      </w:r>
      <w:r w:rsidRPr="0019611E">
        <w:t xml:space="preserve"> pouvant affecter les communautés riveraines du fait des activités de construction, conformément aux exigences de la </w:t>
      </w:r>
      <w:r w:rsidRPr="00DB08A1">
        <w:t>Sauvegarde Opérationnelle 4 (SO4) de la Banque Africaine de Développement</w:t>
      </w:r>
      <w:r w:rsidRPr="0019611E">
        <w:t>.</w:t>
      </w:r>
    </w:p>
    <w:p w14:paraId="02F71E58" w14:textId="33FC3EA5" w:rsidR="00ED34D8" w:rsidRDefault="00ED34D8" w:rsidP="00ED34D8">
      <w:pPr>
        <w:pStyle w:val="Title4"/>
        <w:rPr>
          <w:lang w:bidi="en-US"/>
        </w:rPr>
      </w:pPr>
      <w:r>
        <w:t>Phase construction</w:t>
      </w:r>
    </w:p>
    <w:p w14:paraId="33B68749" w14:textId="10B98CFC" w:rsidR="00ED34D8" w:rsidRPr="0019611E" w:rsidRDefault="00ED34D8" w:rsidP="004637C7">
      <w:pPr>
        <w:pStyle w:val="Title5"/>
      </w:pPr>
      <w:r>
        <w:t>Identification et évaluation des impacts et risques</w:t>
      </w:r>
    </w:p>
    <w:p w14:paraId="0DC94DF0" w14:textId="794B94D2" w:rsidR="00132D39" w:rsidRDefault="00132D39" w:rsidP="0001633E">
      <w:pPr>
        <w:pStyle w:val="AltTitle2"/>
        <w:numPr>
          <w:ilvl w:val="0"/>
          <w:numId w:val="106"/>
        </w:numPr>
      </w:pPr>
      <w:r>
        <w:t>Perturbation temporaire du cadre de vie et gêne pour les riverains</w:t>
      </w:r>
    </w:p>
    <w:p w14:paraId="0AF9410D" w14:textId="6D6013C3" w:rsidR="0051348A" w:rsidRDefault="0051348A" w:rsidP="0051348A">
      <w:bookmarkStart w:id="487" w:name="_bookmark220"/>
      <w:bookmarkStart w:id="488" w:name="_Toc181619045"/>
      <w:bookmarkEnd w:id="487"/>
      <w:r>
        <w:t xml:space="preserve">Les travaux de terrassement, de nivellement, de transport de matériaux et de circulation d’engins lourds induiront une gêne temporaire pour les populations vivant dans le voisinage immédiat de la plateforme aéroportuaire, principalement le long de la </w:t>
      </w:r>
      <w:r w:rsidR="00463A8F">
        <w:t>RR212</w:t>
      </w:r>
      <w:r>
        <w:t xml:space="preserve"> et dans </w:t>
      </w:r>
      <w:r w:rsidR="00463A8F">
        <w:t>Bouakkaz</w:t>
      </w:r>
      <w:r>
        <w:t>. Ces activités provoqueront une augmentation du bruit ambiant, des émissions de poussières et des vibrations, ainsi qu’un accroissement ponctuel du trafic poids lourds.</w:t>
      </w:r>
    </w:p>
    <w:p w14:paraId="17414D9E" w14:textId="561C8ACB" w:rsidR="0051348A" w:rsidRDefault="0051348A" w:rsidP="0051348A">
      <w:r>
        <w:t xml:space="preserve">L’impact est direct et négatif, car il résulte des activités de construction sans médiation indirecte. Il est local, limité au voisinage immédiat du chantier et aux zones traversées par les véhicules de transport, notamment sur la </w:t>
      </w:r>
      <w:r w:rsidR="00463A8F">
        <w:t>RR212</w:t>
      </w:r>
      <w:r>
        <w:t>. Sa durée est temporaire, se confondant avec la période de travaux, et sa fréquence est continue durant les heures de travail diurnes. L’intensité est moyenne, car bien que les nuisances soient perceptibles, elles restent confinées et réversibles.</w:t>
      </w:r>
    </w:p>
    <w:p w14:paraId="3558E3BF" w14:textId="10470102" w:rsidR="00493174" w:rsidRDefault="0051348A" w:rsidP="0051348A">
      <w:r>
        <w:t xml:space="preserve">Les récepteurs sensibles sont les habitants </w:t>
      </w:r>
      <w:r w:rsidR="00463A8F">
        <w:t>de Bouakkaz</w:t>
      </w:r>
      <w:r>
        <w:t xml:space="preserve">, </w:t>
      </w:r>
      <w:r w:rsidR="00463A8F">
        <w:t xml:space="preserve">et </w:t>
      </w:r>
      <w:r>
        <w:t xml:space="preserve">les usagers de la </w:t>
      </w:r>
      <w:r w:rsidR="00463A8F">
        <w:t>RR212</w:t>
      </w:r>
      <w:r>
        <w:t xml:space="preserve"> à proximité. Leur sensibilité est moyenne, la distance atténuant l’exposition directe. L’importance globale de l’impact est donc modérée, en raison de sa réversibilité et du caractère temporaire de la gêne.</w:t>
      </w:r>
    </w:p>
    <w:tbl>
      <w:tblPr>
        <w:tblStyle w:val="TableauGrille1Clair-Accentuation111"/>
        <w:tblW w:w="0" w:type="auto"/>
        <w:tblLook w:val="04A0" w:firstRow="1" w:lastRow="0" w:firstColumn="1" w:lastColumn="0" w:noHBand="0" w:noVBand="1"/>
      </w:tblPr>
      <w:tblGrid>
        <w:gridCol w:w="792"/>
        <w:gridCol w:w="2807"/>
        <w:gridCol w:w="1641"/>
        <w:gridCol w:w="2398"/>
        <w:gridCol w:w="1422"/>
      </w:tblGrid>
      <w:tr w:rsidR="00D60FC9" w:rsidRPr="003174E5" w14:paraId="1CE5CB1F" w14:textId="77777777" w:rsidTr="004A38B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42C30176" w14:textId="77777777" w:rsidR="004A38B5" w:rsidRPr="00AA22F2" w:rsidRDefault="004A38B5" w:rsidP="004A38B5">
            <w:pPr>
              <w:rPr>
                <w:szCs w:val="20"/>
              </w:rPr>
            </w:pPr>
            <w:r w:rsidRPr="00AA22F2">
              <w:rPr>
                <w:szCs w:val="20"/>
              </w:rPr>
              <w:t>Impact</w:t>
            </w:r>
          </w:p>
        </w:tc>
        <w:tc>
          <w:tcPr>
            <w:tcW w:w="0" w:type="auto"/>
            <w:hideMark/>
          </w:tcPr>
          <w:p w14:paraId="4E1BE87A" w14:textId="77777777" w:rsidR="004A38B5" w:rsidRPr="00AA22F2" w:rsidRDefault="004A38B5" w:rsidP="004A38B5">
            <w:pPr>
              <w:cnfStyle w:val="100000000000" w:firstRow="1" w:lastRow="0" w:firstColumn="0" w:lastColumn="0" w:oddVBand="0" w:evenVBand="0" w:oddHBand="0" w:evenHBand="0" w:firstRowFirstColumn="0" w:firstRowLastColumn="0" w:lastRowFirstColumn="0" w:lastRowLastColumn="0"/>
              <w:rPr>
                <w:szCs w:val="20"/>
              </w:rPr>
            </w:pPr>
            <w:r w:rsidRPr="00AA22F2">
              <w:rPr>
                <w:szCs w:val="20"/>
              </w:rPr>
              <w:t>Activités génératrices</w:t>
            </w:r>
          </w:p>
        </w:tc>
        <w:tc>
          <w:tcPr>
            <w:tcW w:w="0" w:type="auto"/>
            <w:hideMark/>
          </w:tcPr>
          <w:p w14:paraId="1FB27DA5" w14:textId="77777777" w:rsidR="004A38B5" w:rsidRPr="00AA22F2" w:rsidRDefault="004A38B5" w:rsidP="004A38B5">
            <w:pPr>
              <w:cnfStyle w:val="100000000000" w:firstRow="1" w:lastRow="0" w:firstColumn="0" w:lastColumn="0" w:oddVBand="0" w:evenVBand="0" w:oddHBand="0" w:evenHBand="0" w:firstRowFirstColumn="0" w:firstRowLastColumn="0" w:lastRowFirstColumn="0" w:lastRowLastColumn="0"/>
              <w:rPr>
                <w:szCs w:val="20"/>
              </w:rPr>
            </w:pPr>
            <w:r w:rsidRPr="00AA22F2">
              <w:rPr>
                <w:szCs w:val="20"/>
              </w:rPr>
              <w:t>Critère</w:t>
            </w:r>
          </w:p>
        </w:tc>
        <w:tc>
          <w:tcPr>
            <w:tcW w:w="0" w:type="auto"/>
            <w:hideMark/>
          </w:tcPr>
          <w:p w14:paraId="1D8AD6F2" w14:textId="77777777" w:rsidR="004A38B5" w:rsidRPr="00AA22F2" w:rsidRDefault="004A38B5" w:rsidP="004A38B5">
            <w:pPr>
              <w:cnfStyle w:val="100000000000" w:firstRow="1" w:lastRow="0" w:firstColumn="0" w:lastColumn="0" w:oddVBand="0" w:evenVBand="0" w:oddHBand="0" w:evenHBand="0" w:firstRowFirstColumn="0" w:firstRowLastColumn="0" w:lastRowFirstColumn="0" w:lastRowLastColumn="0"/>
              <w:rPr>
                <w:szCs w:val="20"/>
              </w:rPr>
            </w:pPr>
            <w:r w:rsidRPr="00AA22F2">
              <w:rPr>
                <w:szCs w:val="20"/>
              </w:rPr>
              <w:t>Justification</w:t>
            </w:r>
          </w:p>
        </w:tc>
        <w:tc>
          <w:tcPr>
            <w:tcW w:w="0" w:type="auto"/>
            <w:hideMark/>
          </w:tcPr>
          <w:p w14:paraId="7264B7A3" w14:textId="77777777" w:rsidR="004A38B5" w:rsidRPr="00AA22F2" w:rsidRDefault="004A38B5" w:rsidP="004A38B5">
            <w:pPr>
              <w:cnfStyle w:val="100000000000" w:firstRow="1" w:lastRow="0" w:firstColumn="0" w:lastColumn="0" w:oddVBand="0" w:evenVBand="0" w:oddHBand="0" w:evenHBand="0" w:firstRowFirstColumn="0" w:firstRowLastColumn="0" w:lastRowFirstColumn="0" w:lastRowLastColumn="0"/>
              <w:rPr>
                <w:szCs w:val="20"/>
              </w:rPr>
            </w:pPr>
            <w:r w:rsidRPr="00AA22F2">
              <w:rPr>
                <w:szCs w:val="20"/>
              </w:rPr>
              <w:t>Niveau</w:t>
            </w:r>
          </w:p>
        </w:tc>
      </w:tr>
      <w:tr w:rsidR="004A38B5" w:rsidRPr="00655B94" w14:paraId="52032E4D" w14:textId="77777777" w:rsidTr="005A7661">
        <w:tc>
          <w:tcPr>
            <w:cnfStyle w:val="001000000000" w:firstRow="0" w:lastRow="0" w:firstColumn="1" w:lastColumn="0" w:oddVBand="0" w:evenVBand="0" w:oddHBand="0" w:evenHBand="0" w:firstRowFirstColumn="0" w:firstRowLastColumn="0" w:lastRowFirstColumn="0" w:lastRowLastColumn="0"/>
            <w:tcW w:w="0" w:type="auto"/>
            <w:vMerge w:val="restart"/>
            <w:textDirection w:val="btLr"/>
            <w:vAlign w:val="center"/>
            <w:hideMark/>
          </w:tcPr>
          <w:p w14:paraId="36AE351C" w14:textId="77777777" w:rsidR="004A38B5" w:rsidRPr="00AA22F2" w:rsidRDefault="004A38B5" w:rsidP="004637C7">
            <w:pPr>
              <w:ind w:left="113" w:right="113"/>
              <w:jc w:val="center"/>
              <w:rPr>
                <w:szCs w:val="20"/>
              </w:rPr>
            </w:pPr>
            <w:r w:rsidRPr="00AA22F2">
              <w:rPr>
                <w:szCs w:val="20"/>
              </w:rPr>
              <w:t>Perturbation temporaire du cadre de vie et gêne pour les riverains</w:t>
            </w:r>
          </w:p>
        </w:tc>
        <w:tc>
          <w:tcPr>
            <w:tcW w:w="0" w:type="auto"/>
            <w:vMerge w:val="restart"/>
            <w:hideMark/>
          </w:tcPr>
          <w:p w14:paraId="54384CA3" w14:textId="77777777" w:rsidR="004A38B5" w:rsidRPr="00AA22F2" w:rsidRDefault="004A38B5" w:rsidP="004A38B5">
            <w:pPr>
              <w:cnfStyle w:val="000000000000" w:firstRow="0" w:lastRow="0" w:firstColumn="0" w:lastColumn="0" w:oddVBand="0" w:evenVBand="0" w:oddHBand="0" w:evenHBand="0" w:firstRowFirstColumn="0" w:firstRowLastColumn="0" w:lastRowFirstColumn="0" w:lastRowLastColumn="0"/>
              <w:rPr>
                <w:szCs w:val="20"/>
              </w:rPr>
            </w:pPr>
            <w:r w:rsidRPr="00AA22F2">
              <w:rPr>
                <w:szCs w:val="20"/>
              </w:rPr>
              <w:t>Travaux de terrassement, nivellement, circulation d’engins et transport de matériaux</w:t>
            </w:r>
          </w:p>
        </w:tc>
        <w:tc>
          <w:tcPr>
            <w:tcW w:w="0" w:type="auto"/>
            <w:hideMark/>
          </w:tcPr>
          <w:p w14:paraId="0EE0DE69" w14:textId="77777777" w:rsidR="004A38B5" w:rsidRPr="00AA22F2" w:rsidRDefault="004A38B5" w:rsidP="004A38B5">
            <w:pPr>
              <w:cnfStyle w:val="000000000000" w:firstRow="0" w:lastRow="0" w:firstColumn="0" w:lastColumn="0" w:oddVBand="0" w:evenVBand="0" w:oddHBand="0" w:evenHBand="0" w:firstRowFirstColumn="0" w:firstRowLastColumn="0" w:lastRowFirstColumn="0" w:lastRowLastColumn="0"/>
              <w:rPr>
                <w:szCs w:val="20"/>
              </w:rPr>
            </w:pPr>
            <w:r w:rsidRPr="00AA22F2">
              <w:rPr>
                <w:b/>
                <w:bCs/>
                <w:szCs w:val="20"/>
              </w:rPr>
              <w:t>Nature</w:t>
            </w:r>
          </w:p>
        </w:tc>
        <w:tc>
          <w:tcPr>
            <w:tcW w:w="0" w:type="auto"/>
            <w:gridSpan w:val="2"/>
            <w:hideMark/>
          </w:tcPr>
          <w:p w14:paraId="046C83A6" w14:textId="77777777" w:rsidR="004A38B5" w:rsidRPr="00AA22F2" w:rsidRDefault="004A38B5" w:rsidP="004A38B5">
            <w:pPr>
              <w:cnfStyle w:val="000000000000" w:firstRow="0" w:lastRow="0" w:firstColumn="0" w:lastColumn="0" w:oddVBand="0" w:evenVBand="0" w:oddHBand="0" w:evenHBand="0" w:firstRowFirstColumn="0" w:firstRowLastColumn="0" w:lastRowFirstColumn="0" w:lastRowLastColumn="0"/>
              <w:rPr>
                <w:szCs w:val="20"/>
              </w:rPr>
            </w:pPr>
            <w:r w:rsidRPr="00AA22F2">
              <w:rPr>
                <w:szCs w:val="20"/>
              </w:rPr>
              <w:t>Direct négatif</w:t>
            </w:r>
          </w:p>
        </w:tc>
      </w:tr>
      <w:tr w:rsidR="00D60FC9" w:rsidRPr="00655B94" w14:paraId="739BFD09" w14:textId="77777777" w:rsidTr="005A7661">
        <w:tc>
          <w:tcPr>
            <w:cnfStyle w:val="001000000000" w:firstRow="0" w:lastRow="0" w:firstColumn="1" w:lastColumn="0" w:oddVBand="0" w:evenVBand="0" w:oddHBand="0" w:evenHBand="0" w:firstRowFirstColumn="0" w:firstRowLastColumn="0" w:lastRowFirstColumn="0" w:lastRowLastColumn="0"/>
            <w:tcW w:w="0" w:type="auto"/>
            <w:vMerge/>
            <w:hideMark/>
          </w:tcPr>
          <w:p w14:paraId="5F142640" w14:textId="77777777" w:rsidR="004A38B5" w:rsidRPr="00AA22F2" w:rsidRDefault="004A38B5" w:rsidP="004A38B5">
            <w:pPr>
              <w:rPr>
                <w:szCs w:val="20"/>
              </w:rPr>
            </w:pPr>
          </w:p>
        </w:tc>
        <w:tc>
          <w:tcPr>
            <w:tcW w:w="0" w:type="auto"/>
            <w:vMerge/>
            <w:hideMark/>
          </w:tcPr>
          <w:p w14:paraId="230C3CC5" w14:textId="77777777" w:rsidR="004A38B5" w:rsidRPr="00AA22F2" w:rsidRDefault="004A38B5" w:rsidP="004A38B5">
            <w:pPr>
              <w:cnfStyle w:val="000000000000" w:firstRow="0" w:lastRow="0" w:firstColumn="0" w:lastColumn="0" w:oddVBand="0" w:evenVBand="0" w:oddHBand="0" w:evenHBand="0" w:firstRowFirstColumn="0" w:firstRowLastColumn="0" w:lastRowFirstColumn="0" w:lastRowLastColumn="0"/>
              <w:rPr>
                <w:szCs w:val="20"/>
              </w:rPr>
            </w:pPr>
          </w:p>
        </w:tc>
        <w:tc>
          <w:tcPr>
            <w:tcW w:w="0" w:type="auto"/>
            <w:hideMark/>
          </w:tcPr>
          <w:p w14:paraId="27840B0A" w14:textId="77777777" w:rsidR="004A38B5" w:rsidRPr="00AA22F2" w:rsidRDefault="004A38B5" w:rsidP="004A38B5">
            <w:pPr>
              <w:cnfStyle w:val="000000000000" w:firstRow="0" w:lastRow="0" w:firstColumn="0" w:lastColumn="0" w:oddVBand="0" w:evenVBand="0" w:oddHBand="0" w:evenHBand="0" w:firstRowFirstColumn="0" w:firstRowLastColumn="0" w:lastRowFirstColumn="0" w:lastRowLastColumn="0"/>
              <w:rPr>
                <w:szCs w:val="20"/>
              </w:rPr>
            </w:pPr>
            <w:r w:rsidRPr="00AA22F2">
              <w:rPr>
                <w:b/>
                <w:bCs/>
                <w:szCs w:val="20"/>
              </w:rPr>
              <w:t>Étendue</w:t>
            </w:r>
          </w:p>
        </w:tc>
        <w:tc>
          <w:tcPr>
            <w:tcW w:w="0" w:type="auto"/>
            <w:hideMark/>
          </w:tcPr>
          <w:p w14:paraId="0FA83E53" w14:textId="624D26CB" w:rsidR="004A38B5" w:rsidRPr="00AA22F2" w:rsidRDefault="004A38B5" w:rsidP="004A38B5">
            <w:pPr>
              <w:cnfStyle w:val="000000000000" w:firstRow="0" w:lastRow="0" w:firstColumn="0" w:lastColumn="0" w:oddVBand="0" w:evenVBand="0" w:oddHBand="0" w:evenHBand="0" w:firstRowFirstColumn="0" w:firstRowLastColumn="0" w:lastRowFirstColumn="0" w:lastRowLastColumn="0"/>
              <w:rPr>
                <w:szCs w:val="20"/>
              </w:rPr>
            </w:pPr>
            <w:r w:rsidRPr="00AA22F2">
              <w:rPr>
                <w:szCs w:val="20"/>
              </w:rPr>
              <w:t>Limitée au voisinage immédiat du chantier (</w:t>
            </w:r>
            <w:r w:rsidR="00463A8F">
              <w:rPr>
                <w:szCs w:val="20"/>
              </w:rPr>
              <w:t>RR212</w:t>
            </w:r>
            <w:r w:rsidRPr="00AA22F2">
              <w:rPr>
                <w:szCs w:val="20"/>
              </w:rPr>
              <w:t xml:space="preserve">, </w:t>
            </w:r>
            <w:r w:rsidR="00463A8F">
              <w:rPr>
                <w:szCs w:val="20"/>
              </w:rPr>
              <w:t>Bouakkaz</w:t>
            </w:r>
            <w:r w:rsidRPr="00AA22F2">
              <w:rPr>
                <w:szCs w:val="20"/>
              </w:rPr>
              <w:t>)</w:t>
            </w:r>
          </w:p>
        </w:tc>
        <w:tc>
          <w:tcPr>
            <w:tcW w:w="0" w:type="auto"/>
            <w:hideMark/>
          </w:tcPr>
          <w:p w14:paraId="446BB8C3" w14:textId="77777777" w:rsidR="004A38B5" w:rsidRPr="00AA22F2" w:rsidRDefault="004A38B5" w:rsidP="004A38B5">
            <w:pPr>
              <w:cnfStyle w:val="000000000000" w:firstRow="0" w:lastRow="0" w:firstColumn="0" w:lastColumn="0" w:oddVBand="0" w:evenVBand="0" w:oddHBand="0" w:evenHBand="0" w:firstRowFirstColumn="0" w:firstRowLastColumn="0" w:lastRowFirstColumn="0" w:lastRowLastColumn="0"/>
              <w:rPr>
                <w:szCs w:val="20"/>
              </w:rPr>
            </w:pPr>
            <w:r w:rsidRPr="00AA22F2">
              <w:rPr>
                <w:szCs w:val="20"/>
              </w:rPr>
              <w:t>Locale</w:t>
            </w:r>
          </w:p>
        </w:tc>
      </w:tr>
      <w:tr w:rsidR="00D60FC9" w:rsidRPr="00655B94" w14:paraId="0A9D1074" w14:textId="77777777" w:rsidTr="005A7661">
        <w:tc>
          <w:tcPr>
            <w:cnfStyle w:val="001000000000" w:firstRow="0" w:lastRow="0" w:firstColumn="1" w:lastColumn="0" w:oddVBand="0" w:evenVBand="0" w:oddHBand="0" w:evenHBand="0" w:firstRowFirstColumn="0" w:firstRowLastColumn="0" w:lastRowFirstColumn="0" w:lastRowLastColumn="0"/>
            <w:tcW w:w="0" w:type="auto"/>
            <w:vMerge/>
            <w:hideMark/>
          </w:tcPr>
          <w:p w14:paraId="42472733" w14:textId="77777777" w:rsidR="004A38B5" w:rsidRPr="00AA22F2" w:rsidRDefault="004A38B5" w:rsidP="004A38B5">
            <w:pPr>
              <w:rPr>
                <w:szCs w:val="20"/>
              </w:rPr>
            </w:pPr>
          </w:p>
        </w:tc>
        <w:tc>
          <w:tcPr>
            <w:tcW w:w="0" w:type="auto"/>
            <w:vMerge/>
            <w:hideMark/>
          </w:tcPr>
          <w:p w14:paraId="3EB79CC7" w14:textId="77777777" w:rsidR="004A38B5" w:rsidRPr="00AA22F2" w:rsidRDefault="004A38B5" w:rsidP="004A38B5">
            <w:pPr>
              <w:cnfStyle w:val="000000000000" w:firstRow="0" w:lastRow="0" w:firstColumn="0" w:lastColumn="0" w:oddVBand="0" w:evenVBand="0" w:oddHBand="0" w:evenHBand="0" w:firstRowFirstColumn="0" w:firstRowLastColumn="0" w:lastRowFirstColumn="0" w:lastRowLastColumn="0"/>
              <w:rPr>
                <w:szCs w:val="20"/>
              </w:rPr>
            </w:pPr>
          </w:p>
        </w:tc>
        <w:tc>
          <w:tcPr>
            <w:tcW w:w="0" w:type="auto"/>
            <w:hideMark/>
          </w:tcPr>
          <w:p w14:paraId="2506628D" w14:textId="77777777" w:rsidR="004A38B5" w:rsidRPr="00AA22F2" w:rsidRDefault="004A38B5" w:rsidP="004A38B5">
            <w:pPr>
              <w:cnfStyle w:val="000000000000" w:firstRow="0" w:lastRow="0" w:firstColumn="0" w:lastColumn="0" w:oddVBand="0" w:evenVBand="0" w:oddHBand="0" w:evenHBand="0" w:firstRowFirstColumn="0" w:firstRowLastColumn="0" w:lastRowFirstColumn="0" w:lastRowLastColumn="0"/>
              <w:rPr>
                <w:szCs w:val="20"/>
              </w:rPr>
            </w:pPr>
            <w:r w:rsidRPr="00AA22F2">
              <w:rPr>
                <w:b/>
                <w:bCs/>
                <w:szCs w:val="20"/>
              </w:rPr>
              <w:t>Durée</w:t>
            </w:r>
          </w:p>
        </w:tc>
        <w:tc>
          <w:tcPr>
            <w:tcW w:w="0" w:type="auto"/>
            <w:hideMark/>
          </w:tcPr>
          <w:p w14:paraId="00FF700D" w14:textId="77777777" w:rsidR="004A38B5" w:rsidRPr="00AA22F2" w:rsidRDefault="004A38B5" w:rsidP="004A38B5">
            <w:pPr>
              <w:cnfStyle w:val="000000000000" w:firstRow="0" w:lastRow="0" w:firstColumn="0" w:lastColumn="0" w:oddVBand="0" w:evenVBand="0" w:oddHBand="0" w:evenHBand="0" w:firstRowFirstColumn="0" w:firstRowLastColumn="0" w:lastRowFirstColumn="0" w:lastRowLastColumn="0"/>
              <w:rPr>
                <w:szCs w:val="20"/>
              </w:rPr>
            </w:pPr>
            <w:r w:rsidRPr="00AA22F2">
              <w:rPr>
                <w:szCs w:val="20"/>
              </w:rPr>
              <w:t>Restreinte à la période de travaux</w:t>
            </w:r>
          </w:p>
        </w:tc>
        <w:tc>
          <w:tcPr>
            <w:tcW w:w="0" w:type="auto"/>
            <w:hideMark/>
          </w:tcPr>
          <w:p w14:paraId="627A585F" w14:textId="3AAA75CA" w:rsidR="004A38B5" w:rsidRPr="00AA22F2" w:rsidRDefault="004A38B5" w:rsidP="004A38B5">
            <w:pPr>
              <w:cnfStyle w:val="000000000000" w:firstRow="0" w:lastRow="0" w:firstColumn="0" w:lastColumn="0" w:oddVBand="0" w:evenVBand="0" w:oddHBand="0" w:evenHBand="0" w:firstRowFirstColumn="0" w:firstRowLastColumn="0" w:lastRowFirstColumn="0" w:lastRowLastColumn="0"/>
              <w:rPr>
                <w:szCs w:val="20"/>
              </w:rPr>
            </w:pPr>
            <w:r w:rsidRPr="00AA22F2">
              <w:rPr>
                <w:szCs w:val="20"/>
              </w:rPr>
              <w:t>Court terme</w:t>
            </w:r>
          </w:p>
        </w:tc>
      </w:tr>
      <w:tr w:rsidR="00D60FC9" w:rsidRPr="00655B94" w14:paraId="38F7900C" w14:textId="77777777" w:rsidTr="005A7661">
        <w:tc>
          <w:tcPr>
            <w:cnfStyle w:val="001000000000" w:firstRow="0" w:lastRow="0" w:firstColumn="1" w:lastColumn="0" w:oddVBand="0" w:evenVBand="0" w:oddHBand="0" w:evenHBand="0" w:firstRowFirstColumn="0" w:firstRowLastColumn="0" w:lastRowFirstColumn="0" w:lastRowLastColumn="0"/>
            <w:tcW w:w="0" w:type="auto"/>
            <w:vMerge/>
            <w:hideMark/>
          </w:tcPr>
          <w:p w14:paraId="468CEC36" w14:textId="77777777" w:rsidR="004A38B5" w:rsidRPr="00AA22F2" w:rsidRDefault="004A38B5" w:rsidP="004A38B5">
            <w:pPr>
              <w:rPr>
                <w:szCs w:val="20"/>
              </w:rPr>
            </w:pPr>
          </w:p>
        </w:tc>
        <w:tc>
          <w:tcPr>
            <w:tcW w:w="0" w:type="auto"/>
            <w:vMerge/>
            <w:hideMark/>
          </w:tcPr>
          <w:p w14:paraId="274EA4B1" w14:textId="77777777" w:rsidR="004A38B5" w:rsidRPr="00AA22F2" w:rsidRDefault="004A38B5" w:rsidP="004A38B5">
            <w:pPr>
              <w:cnfStyle w:val="000000000000" w:firstRow="0" w:lastRow="0" w:firstColumn="0" w:lastColumn="0" w:oddVBand="0" w:evenVBand="0" w:oddHBand="0" w:evenHBand="0" w:firstRowFirstColumn="0" w:firstRowLastColumn="0" w:lastRowFirstColumn="0" w:lastRowLastColumn="0"/>
              <w:rPr>
                <w:szCs w:val="20"/>
              </w:rPr>
            </w:pPr>
          </w:p>
        </w:tc>
        <w:tc>
          <w:tcPr>
            <w:tcW w:w="0" w:type="auto"/>
            <w:hideMark/>
          </w:tcPr>
          <w:p w14:paraId="0F10E24F" w14:textId="77777777" w:rsidR="004A38B5" w:rsidRPr="00AA22F2" w:rsidRDefault="004A38B5" w:rsidP="004A38B5">
            <w:pPr>
              <w:cnfStyle w:val="000000000000" w:firstRow="0" w:lastRow="0" w:firstColumn="0" w:lastColumn="0" w:oddVBand="0" w:evenVBand="0" w:oddHBand="0" w:evenHBand="0" w:firstRowFirstColumn="0" w:firstRowLastColumn="0" w:lastRowFirstColumn="0" w:lastRowLastColumn="0"/>
              <w:rPr>
                <w:szCs w:val="20"/>
              </w:rPr>
            </w:pPr>
            <w:r w:rsidRPr="00AA22F2">
              <w:rPr>
                <w:b/>
                <w:bCs/>
                <w:szCs w:val="20"/>
              </w:rPr>
              <w:t>Fréquence</w:t>
            </w:r>
          </w:p>
        </w:tc>
        <w:tc>
          <w:tcPr>
            <w:tcW w:w="0" w:type="auto"/>
            <w:hideMark/>
          </w:tcPr>
          <w:p w14:paraId="15C6B988" w14:textId="77777777" w:rsidR="004A38B5" w:rsidRPr="00AA22F2" w:rsidRDefault="004A38B5" w:rsidP="004A38B5">
            <w:pPr>
              <w:cnfStyle w:val="000000000000" w:firstRow="0" w:lastRow="0" w:firstColumn="0" w:lastColumn="0" w:oddVBand="0" w:evenVBand="0" w:oddHBand="0" w:evenHBand="0" w:firstRowFirstColumn="0" w:firstRowLastColumn="0" w:lastRowFirstColumn="0" w:lastRowLastColumn="0"/>
              <w:rPr>
                <w:szCs w:val="20"/>
              </w:rPr>
            </w:pPr>
            <w:r w:rsidRPr="00AA22F2">
              <w:rPr>
                <w:szCs w:val="20"/>
              </w:rPr>
              <w:t>Continue pendant les heures diurnes</w:t>
            </w:r>
          </w:p>
        </w:tc>
        <w:tc>
          <w:tcPr>
            <w:tcW w:w="0" w:type="auto"/>
            <w:hideMark/>
          </w:tcPr>
          <w:p w14:paraId="03C85F2A" w14:textId="77777777" w:rsidR="004A38B5" w:rsidRPr="00AA22F2" w:rsidRDefault="004A38B5" w:rsidP="004A38B5">
            <w:pPr>
              <w:cnfStyle w:val="000000000000" w:firstRow="0" w:lastRow="0" w:firstColumn="0" w:lastColumn="0" w:oddVBand="0" w:evenVBand="0" w:oddHBand="0" w:evenHBand="0" w:firstRowFirstColumn="0" w:firstRowLastColumn="0" w:lastRowFirstColumn="0" w:lastRowLastColumn="0"/>
              <w:rPr>
                <w:szCs w:val="20"/>
              </w:rPr>
            </w:pPr>
            <w:r w:rsidRPr="00AA22F2">
              <w:rPr>
                <w:szCs w:val="20"/>
              </w:rPr>
              <w:t>Continue</w:t>
            </w:r>
          </w:p>
        </w:tc>
      </w:tr>
      <w:tr w:rsidR="00463A8F" w:rsidRPr="00655B94" w14:paraId="608ED11B" w14:textId="77777777" w:rsidTr="004637C7">
        <w:tc>
          <w:tcPr>
            <w:cnfStyle w:val="001000000000" w:firstRow="0" w:lastRow="0" w:firstColumn="1" w:lastColumn="0" w:oddVBand="0" w:evenVBand="0" w:oddHBand="0" w:evenHBand="0" w:firstRowFirstColumn="0" w:firstRowLastColumn="0" w:lastRowFirstColumn="0" w:lastRowLastColumn="0"/>
            <w:tcW w:w="0" w:type="auto"/>
            <w:vMerge/>
            <w:hideMark/>
          </w:tcPr>
          <w:p w14:paraId="0C5DE245" w14:textId="77777777" w:rsidR="004A38B5" w:rsidRPr="00AA22F2" w:rsidRDefault="004A38B5" w:rsidP="004A38B5">
            <w:pPr>
              <w:rPr>
                <w:szCs w:val="20"/>
              </w:rPr>
            </w:pPr>
          </w:p>
        </w:tc>
        <w:tc>
          <w:tcPr>
            <w:tcW w:w="0" w:type="auto"/>
            <w:vMerge/>
            <w:hideMark/>
          </w:tcPr>
          <w:p w14:paraId="08BE369B" w14:textId="77777777" w:rsidR="004A38B5" w:rsidRPr="00AA22F2" w:rsidRDefault="004A38B5" w:rsidP="004A38B5">
            <w:pPr>
              <w:cnfStyle w:val="000000000000" w:firstRow="0" w:lastRow="0" w:firstColumn="0" w:lastColumn="0" w:oddVBand="0" w:evenVBand="0" w:oddHBand="0" w:evenHBand="0" w:firstRowFirstColumn="0" w:firstRowLastColumn="0" w:lastRowFirstColumn="0" w:lastRowLastColumn="0"/>
              <w:rPr>
                <w:szCs w:val="20"/>
              </w:rPr>
            </w:pPr>
          </w:p>
        </w:tc>
        <w:tc>
          <w:tcPr>
            <w:tcW w:w="0" w:type="auto"/>
            <w:shd w:val="clear" w:color="auto" w:fill="D9E2F3" w:themeFill="accent1" w:themeFillTint="33"/>
            <w:hideMark/>
          </w:tcPr>
          <w:p w14:paraId="04417B01" w14:textId="77777777" w:rsidR="004A38B5" w:rsidRPr="00AA22F2" w:rsidRDefault="004A38B5" w:rsidP="004A38B5">
            <w:pPr>
              <w:cnfStyle w:val="000000000000" w:firstRow="0" w:lastRow="0" w:firstColumn="0" w:lastColumn="0" w:oddVBand="0" w:evenVBand="0" w:oddHBand="0" w:evenHBand="0" w:firstRowFirstColumn="0" w:firstRowLastColumn="0" w:lastRowFirstColumn="0" w:lastRowLastColumn="0"/>
              <w:rPr>
                <w:szCs w:val="20"/>
              </w:rPr>
            </w:pPr>
            <w:r w:rsidRPr="00AA22F2">
              <w:rPr>
                <w:b/>
                <w:bCs/>
                <w:szCs w:val="20"/>
              </w:rPr>
              <w:t>Intensité</w:t>
            </w:r>
          </w:p>
        </w:tc>
        <w:tc>
          <w:tcPr>
            <w:tcW w:w="0" w:type="auto"/>
            <w:shd w:val="clear" w:color="auto" w:fill="D9E2F3" w:themeFill="accent1" w:themeFillTint="33"/>
            <w:hideMark/>
          </w:tcPr>
          <w:p w14:paraId="5F188CA9" w14:textId="77777777" w:rsidR="004A38B5" w:rsidRPr="00AA22F2" w:rsidRDefault="004A38B5" w:rsidP="004A38B5">
            <w:pPr>
              <w:cnfStyle w:val="000000000000" w:firstRow="0" w:lastRow="0" w:firstColumn="0" w:lastColumn="0" w:oddVBand="0" w:evenVBand="0" w:oddHBand="0" w:evenHBand="0" w:firstRowFirstColumn="0" w:firstRowLastColumn="0" w:lastRowFirstColumn="0" w:lastRowLastColumn="0"/>
              <w:rPr>
                <w:szCs w:val="20"/>
              </w:rPr>
            </w:pPr>
            <w:r w:rsidRPr="00AA22F2">
              <w:rPr>
                <w:szCs w:val="20"/>
              </w:rPr>
              <w:t>Nuisances perceptibles mais confinées, réversibles à la fin des travaux</w:t>
            </w:r>
          </w:p>
        </w:tc>
        <w:tc>
          <w:tcPr>
            <w:tcW w:w="0" w:type="auto"/>
            <w:shd w:val="clear" w:color="auto" w:fill="D9E2F3" w:themeFill="accent1" w:themeFillTint="33"/>
            <w:hideMark/>
          </w:tcPr>
          <w:p w14:paraId="4BD90B2E" w14:textId="77777777" w:rsidR="004A38B5" w:rsidRPr="00AA22F2" w:rsidRDefault="004A38B5" w:rsidP="004A38B5">
            <w:pPr>
              <w:cnfStyle w:val="000000000000" w:firstRow="0" w:lastRow="0" w:firstColumn="0" w:lastColumn="0" w:oddVBand="0" w:evenVBand="0" w:oddHBand="0" w:evenHBand="0" w:firstRowFirstColumn="0" w:firstRowLastColumn="0" w:lastRowFirstColumn="0" w:lastRowLastColumn="0"/>
              <w:rPr>
                <w:szCs w:val="20"/>
              </w:rPr>
            </w:pPr>
            <w:r w:rsidRPr="00AA22F2">
              <w:rPr>
                <w:szCs w:val="20"/>
              </w:rPr>
              <w:t>Moyenne</w:t>
            </w:r>
          </w:p>
        </w:tc>
      </w:tr>
      <w:tr w:rsidR="004A38B5" w:rsidRPr="00655B94" w14:paraId="08BEE409" w14:textId="77777777" w:rsidTr="005A7661">
        <w:tc>
          <w:tcPr>
            <w:cnfStyle w:val="001000000000" w:firstRow="0" w:lastRow="0" w:firstColumn="1" w:lastColumn="0" w:oddVBand="0" w:evenVBand="0" w:oddHBand="0" w:evenHBand="0" w:firstRowFirstColumn="0" w:firstRowLastColumn="0" w:lastRowFirstColumn="0" w:lastRowLastColumn="0"/>
            <w:tcW w:w="0" w:type="auto"/>
            <w:vMerge/>
          </w:tcPr>
          <w:p w14:paraId="318DF6D1" w14:textId="77777777" w:rsidR="004A38B5" w:rsidRPr="00AA22F2" w:rsidRDefault="004A38B5" w:rsidP="004A38B5">
            <w:pPr>
              <w:rPr>
                <w:szCs w:val="20"/>
              </w:rPr>
            </w:pPr>
          </w:p>
        </w:tc>
        <w:tc>
          <w:tcPr>
            <w:tcW w:w="0" w:type="auto"/>
            <w:gridSpan w:val="4"/>
          </w:tcPr>
          <w:p w14:paraId="2A974856" w14:textId="77777777" w:rsidR="004A38B5" w:rsidRPr="00AA22F2" w:rsidRDefault="004A38B5" w:rsidP="004637C7">
            <w:pPr>
              <w:spacing w:before="0" w:after="0"/>
              <w:cnfStyle w:val="000000000000" w:firstRow="0" w:lastRow="0" w:firstColumn="0" w:lastColumn="0" w:oddVBand="0" w:evenVBand="0" w:oddHBand="0" w:evenHBand="0" w:firstRowFirstColumn="0" w:firstRowLastColumn="0" w:lastRowFirstColumn="0" w:lastRowLastColumn="0"/>
              <w:rPr>
                <w:b/>
                <w:bCs/>
                <w:szCs w:val="20"/>
              </w:rPr>
            </w:pPr>
          </w:p>
        </w:tc>
      </w:tr>
      <w:tr w:rsidR="00463A8F" w:rsidRPr="00655B94" w14:paraId="662F0354" w14:textId="77777777" w:rsidTr="004637C7">
        <w:tc>
          <w:tcPr>
            <w:cnfStyle w:val="001000000000" w:firstRow="0" w:lastRow="0" w:firstColumn="1" w:lastColumn="0" w:oddVBand="0" w:evenVBand="0" w:oddHBand="0" w:evenHBand="0" w:firstRowFirstColumn="0" w:firstRowLastColumn="0" w:lastRowFirstColumn="0" w:lastRowLastColumn="0"/>
            <w:tcW w:w="0" w:type="auto"/>
            <w:vMerge/>
            <w:hideMark/>
          </w:tcPr>
          <w:p w14:paraId="61F8DA24" w14:textId="77777777" w:rsidR="004A38B5" w:rsidRPr="00AA22F2" w:rsidRDefault="004A38B5" w:rsidP="004A38B5">
            <w:pPr>
              <w:rPr>
                <w:szCs w:val="20"/>
              </w:rPr>
            </w:pPr>
          </w:p>
        </w:tc>
        <w:tc>
          <w:tcPr>
            <w:tcW w:w="0" w:type="auto"/>
            <w:shd w:val="clear" w:color="auto" w:fill="8EAADB" w:themeFill="accent1" w:themeFillTint="99"/>
            <w:hideMark/>
          </w:tcPr>
          <w:p w14:paraId="22D56F0C" w14:textId="77777777" w:rsidR="004A38B5" w:rsidRPr="00AA22F2" w:rsidRDefault="004A38B5" w:rsidP="004A38B5">
            <w:pPr>
              <w:cnfStyle w:val="000000000000" w:firstRow="0" w:lastRow="0" w:firstColumn="0" w:lastColumn="0" w:oddVBand="0" w:evenVBand="0" w:oddHBand="0" w:evenHBand="0" w:firstRowFirstColumn="0" w:firstRowLastColumn="0" w:lastRowFirstColumn="0" w:lastRowLastColumn="0"/>
              <w:rPr>
                <w:szCs w:val="20"/>
              </w:rPr>
            </w:pPr>
            <w:r w:rsidRPr="00AA22F2">
              <w:rPr>
                <w:b/>
                <w:bCs/>
                <w:szCs w:val="20"/>
              </w:rPr>
              <w:t>Intensité de l’impact</w:t>
            </w:r>
          </w:p>
        </w:tc>
        <w:tc>
          <w:tcPr>
            <w:tcW w:w="0" w:type="auto"/>
            <w:shd w:val="clear" w:color="auto" w:fill="8EAADB" w:themeFill="accent1" w:themeFillTint="99"/>
            <w:hideMark/>
          </w:tcPr>
          <w:p w14:paraId="7111DC46" w14:textId="77777777" w:rsidR="004A38B5" w:rsidRPr="00AA22F2" w:rsidRDefault="004A38B5" w:rsidP="004A38B5">
            <w:pPr>
              <w:cnfStyle w:val="000000000000" w:firstRow="0" w:lastRow="0" w:firstColumn="0" w:lastColumn="0" w:oddVBand="0" w:evenVBand="0" w:oddHBand="0" w:evenHBand="0" w:firstRowFirstColumn="0" w:firstRowLastColumn="0" w:lastRowFirstColumn="0" w:lastRowLastColumn="0"/>
              <w:rPr>
                <w:szCs w:val="20"/>
              </w:rPr>
            </w:pPr>
            <w:r w:rsidRPr="00AA22F2">
              <w:rPr>
                <w:b/>
                <w:bCs/>
                <w:szCs w:val="20"/>
              </w:rPr>
              <w:t>Récepteurs</w:t>
            </w:r>
          </w:p>
        </w:tc>
        <w:tc>
          <w:tcPr>
            <w:tcW w:w="0" w:type="auto"/>
            <w:shd w:val="clear" w:color="auto" w:fill="8EAADB" w:themeFill="accent1" w:themeFillTint="99"/>
            <w:hideMark/>
          </w:tcPr>
          <w:p w14:paraId="553C5D1E" w14:textId="77777777" w:rsidR="004A38B5" w:rsidRPr="00AA22F2" w:rsidRDefault="004A38B5" w:rsidP="004A38B5">
            <w:pPr>
              <w:cnfStyle w:val="000000000000" w:firstRow="0" w:lastRow="0" w:firstColumn="0" w:lastColumn="0" w:oddVBand="0" w:evenVBand="0" w:oddHBand="0" w:evenHBand="0" w:firstRowFirstColumn="0" w:firstRowLastColumn="0" w:lastRowFirstColumn="0" w:lastRowLastColumn="0"/>
              <w:rPr>
                <w:szCs w:val="20"/>
              </w:rPr>
            </w:pPr>
            <w:r w:rsidRPr="00AA22F2">
              <w:rPr>
                <w:b/>
                <w:bCs/>
                <w:szCs w:val="20"/>
              </w:rPr>
              <w:t>Sensibilité</w:t>
            </w:r>
          </w:p>
        </w:tc>
        <w:tc>
          <w:tcPr>
            <w:tcW w:w="0" w:type="auto"/>
            <w:shd w:val="clear" w:color="auto" w:fill="8EAADB" w:themeFill="accent1" w:themeFillTint="99"/>
            <w:hideMark/>
          </w:tcPr>
          <w:p w14:paraId="07CD3320" w14:textId="77777777" w:rsidR="004A38B5" w:rsidRPr="00AA22F2" w:rsidRDefault="004A38B5" w:rsidP="004A38B5">
            <w:pPr>
              <w:cnfStyle w:val="000000000000" w:firstRow="0" w:lastRow="0" w:firstColumn="0" w:lastColumn="0" w:oddVBand="0" w:evenVBand="0" w:oddHBand="0" w:evenHBand="0" w:firstRowFirstColumn="0" w:firstRowLastColumn="0" w:lastRowFirstColumn="0" w:lastRowLastColumn="0"/>
              <w:rPr>
                <w:szCs w:val="20"/>
              </w:rPr>
            </w:pPr>
            <w:r w:rsidRPr="00AA22F2">
              <w:rPr>
                <w:b/>
                <w:bCs/>
                <w:szCs w:val="20"/>
              </w:rPr>
              <w:t>Importance de l’impact</w:t>
            </w:r>
          </w:p>
        </w:tc>
      </w:tr>
      <w:tr w:rsidR="00D60FC9" w:rsidRPr="00655B94" w14:paraId="74E1FB11" w14:textId="77777777" w:rsidTr="005A7661">
        <w:tc>
          <w:tcPr>
            <w:cnfStyle w:val="001000000000" w:firstRow="0" w:lastRow="0" w:firstColumn="1" w:lastColumn="0" w:oddVBand="0" w:evenVBand="0" w:oddHBand="0" w:evenHBand="0" w:firstRowFirstColumn="0" w:firstRowLastColumn="0" w:lastRowFirstColumn="0" w:lastRowLastColumn="0"/>
            <w:tcW w:w="0" w:type="auto"/>
            <w:vMerge/>
            <w:hideMark/>
          </w:tcPr>
          <w:p w14:paraId="349F89E7" w14:textId="77777777" w:rsidR="004A38B5" w:rsidRPr="00AA22F2" w:rsidRDefault="004A38B5" w:rsidP="004A38B5">
            <w:pPr>
              <w:rPr>
                <w:szCs w:val="20"/>
              </w:rPr>
            </w:pPr>
          </w:p>
        </w:tc>
        <w:tc>
          <w:tcPr>
            <w:tcW w:w="0" w:type="auto"/>
            <w:hideMark/>
          </w:tcPr>
          <w:p w14:paraId="677A3B55" w14:textId="77777777" w:rsidR="004A38B5" w:rsidRPr="00AA22F2" w:rsidRDefault="004A38B5" w:rsidP="004A38B5">
            <w:pPr>
              <w:cnfStyle w:val="000000000000" w:firstRow="0" w:lastRow="0" w:firstColumn="0" w:lastColumn="0" w:oddVBand="0" w:evenVBand="0" w:oddHBand="0" w:evenHBand="0" w:firstRowFirstColumn="0" w:firstRowLastColumn="0" w:lastRowFirstColumn="0" w:lastRowLastColumn="0"/>
              <w:rPr>
                <w:szCs w:val="20"/>
              </w:rPr>
            </w:pPr>
            <w:r w:rsidRPr="00AA22F2">
              <w:rPr>
                <w:szCs w:val="20"/>
              </w:rPr>
              <w:t>Moyenne</w:t>
            </w:r>
          </w:p>
        </w:tc>
        <w:tc>
          <w:tcPr>
            <w:tcW w:w="0" w:type="auto"/>
            <w:hideMark/>
          </w:tcPr>
          <w:p w14:paraId="5743129B" w14:textId="0517610D" w:rsidR="004A38B5" w:rsidRPr="00AA22F2" w:rsidRDefault="004A38B5" w:rsidP="004A38B5">
            <w:pPr>
              <w:cnfStyle w:val="000000000000" w:firstRow="0" w:lastRow="0" w:firstColumn="0" w:lastColumn="0" w:oddVBand="0" w:evenVBand="0" w:oddHBand="0" w:evenHBand="0" w:firstRowFirstColumn="0" w:firstRowLastColumn="0" w:lastRowFirstColumn="0" w:lastRowLastColumn="0"/>
              <w:rPr>
                <w:szCs w:val="20"/>
              </w:rPr>
            </w:pPr>
            <w:r w:rsidRPr="00AA22F2">
              <w:rPr>
                <w:szCs w:val="20"/>
              </w:rPr>
              <w:t xml:space="preserve">Habitants </w:t>
            </w:r>
            <w:r w:rsidR="00463A8F">
              <w:rPr>
                <w:szCs w:val="20"/>
              </w:rPr>
              <w:t>Bouakkaz</w:t>
            </w:r>
            <w:r w:rsidRPr="00AA22F2">
              <w:rPr>
                <w:szCs w:val="20"/>
              </w:rPr>
              <w:t xml:space="preserve">, usagers </w:t>
            </w:r>
            <w:r w:rsidR="00463A8F">
              <w:rPr>
                <w:szCs w:val="20"/>
              </w:rPr>
              <w:t>RR212</w:t>
            </w:r>
          </w:p>
        </w:tc>
        <w:tc>
          <w:tcPr>
            <w:tcW w:w="0" w:type="auto"/>
            <w:hideMark/>
          </w:tcPr>
          <w:p w14:paraId="432D9F46" w14:textId="7FBB7AA4" w:rsidR="004A38B5" w:rsidRPr="00AA22F2" w:rsidRDefault="004A38B5" w:rsidP="004A38B5">
            <w:pPr>
              <w:cnfStyle w:val="000000000000" w:firstRow="0" w:lastRow="0" w:firstColumn="0" w:lastColumn="0" w:oddVBand="0" w:evenVBand="0" w:oddHBand="0" w:evenHBand="0" w:firstRowFirstColumn="0" w:firstRowLastColumn="0" w:lastRowFirstColumn="0" w:lastRowLastColumn="0"/>
              <w:rPr>
                <w:szCs w:val="20"/>
              </w:rPr>
            </w:pPr>
            <w:r w:rsidRPr="004637C7">
              <w:rPr>
                <w:b/>
                <w:bCs/>
                <w:szCs w:val="20"/>
              </w:rPr>
              <w:t>Moyenne</w:t>
            </w:r>
            <w:r w:rsidRPr="00AA22F2">
              <w:rPr>
                <w:szCs w:val="20"/>
              </w:rPr>
              <w:t> : distance atténuant l’exposition directe</w:t>
            </w:r>
          </w:p>
        </w:tc>
        <w:tc>
          <w:tcPr>
            <w:tcW w:w="0" w:type="auto"/>
            <w:hideMark/>
          </w:tcPr>
          <w:p w14:paraId="48440789" w14:textId="77777777" w:rsidR="004A38B5" w:rsidRPr="00AA22F2" w:rsidRDefault="004A38B5" w:rsidP="004A38B5">
            <w:pPr>
              <w:cnfStyle w:val="000000000000" w:firstRow="0" w:lastRow="0" w:firstColumn="0" w:lastColumn="0" w:oddVBand="0" w:evenVBand="0" w:oddHBand="0" w:evenHBand="0" w:firstRowFirstColumn="0" w:firstRowLastColumn="0" w:lastRowFirstColumn="0" w:lastRowLastColumn="0"/>
              <w:rPr>
                <w:szCs w:val="20"/>
              </w:rPr>
            </w:pPr>
            <w:r w:rsidRPr="00AA22F2">
              <w:rPr>
                <w:szCs w:val="20"/>
              </w:rPr>
              <w:t>Modérée</w:t>
            </w:r>
          </w:p>
        </w:tc>
      </w:tr>
    </w:tbl>
    <w:p w14:paraId="0E2BFC44" w14:textId="77777777" w:rsidR="00A13FD9" w:rsidRPr="00DB08A1" w:rsidRDefault="00A13FD9" w:rsidP="0001633E">
      <w:pPr>
        <w:pStyle w:val="AltTitle2"/>
        <w:numPr>
          <w:ilvl w:val="0"/>
          <w:numId w:val="106"/>
        </w:numPr>
      </w:pPr>
      <w:r w:rsidRPr="00DB08A1">
        <w:t>Risque d’accidents de circulation liés aux engins de chantier</w:t>
      </w:r>
    </w:p>
    <w:p w14:paraId="0D8C6F3D" w14:textId="177B893D" w:rsidR="00880D67" w:rsidRDefault="00880D67" w:rsidP="00880D67">
      <w:r>
        <w:t>Ce risque a été analysé de manière détaillée dans la section “Trafic routier”.</w:t>
      </w:r>
    </w:p>
    <w:p w14:paraId="5F944203" w14:textId="46991FB6" w:rsidR="00880D67" w:rsidRDefault="00880D67" w:rsidP="00880D67">
      <w:r>
        <w:t xml:space="preserve">Toutefois, il est également pertinent dans le cadre de la santé et sécurité communautaires, car il concerne directement la sécurité des populations riveraines et des usagers de la </w:t>
      </w:r>
      <w:r w:rsidR="009A6771">
        <w:t>RR212</w:t>
      </w:r>
      <w:r>
        <w:t>, qui pourraient être affectés par la circulation temporaire des camions et engins lourds liés au chantier.</w:t>
      </w:r>
    </w:p>
    <w:p w14:paraId="29126BBE" w14:textId="6EA6B665" w:rsidR="00880D67" w:rsidRDefault="00880D67" w:rsidP="00880D67">
      <w:r>
        <w:t xml:space="preserve">Durant la phase de construction, la circulation des véhicules de chantier (camions de transport de matériaux, engins de terrassement, véhicules utilitaires) sur la Route </w:t>
      </w:r>
      <w:r w:rsidR="009A6771">
        <w:t>régionale</w:t>
      </w:r>
      <w:r>
        <w:t xml:space="preserve"> </w:t>
      </w:r>
      <w:r w:rsidR="009A6771">
        <w:t xml:space="preserve">212 </w:t>
      </w:r>
      <w:r>
        <w:t>(</w:t>
      </w:r>
      <w:r w:rsidR="009A6771">
        <w:t xml:space="preserve">RR212) </w:t>
      </w:r>
      <w:r>
        <w:t>entraînera une cohabitation ponctuelle avec le trafic public, générant un risque d’accident routier.</w:t>
      </w:r>
    </w:p>
    <w:p w14:paraId="42BC280C" w14:textId="66A677C1" w:rsidR="00880D67" w:rsidRDefault="00880D67" w:rsidP="00880D67">
      <w:r>
        <w:t xml:space="preserve">Les zones d’insertion et de sortie des véhicules sur la </w:t>
      </w:r>
      <w:r w:rsidR="009A6771">
        <w:t>RR212</w:t>
      </w:r>
      <w:r>
        <w:t xml:space="preserve"> constituent les points critiques, où les différences de vitesse, de visibilité et de gabarit peuvent occasionner des situations de conflit de trajectoire.</w:t>
      </w:r>
    </w:p>
    <w:p w14:paraId="4342ACB7" w14:textId="77777777" w:rsidR="00880D67" w:rsidRDefault="00880D67" w:rsidP="00880D67">
      <w:r>
        <w:t>L’accès au chantier sera organisé via un point d’entrée unique et contrôlé, afin de minimiser les interférences avec le trafic de desserte aéroportuaire et de maintenir la fluidité de la circulation.</w:t>
      </w:r>
    </w:p>
    <w:p w14:paraId="4F162DDC" w14:textId="77777777" w:rsidR="00880D67" w:rsidRDefault="00880D67" w:rsidP="00880D67">
      <w:r>
        <w:t>La probabilité d’occurrence est jugée occasionnelle, le risque d’accident existant mais restant maîtrisable grâce à une gestion adaptée de la circulation.</w:t>
      </w:r>
    </w:p>
    <w:p w14:paraId="20EA2299" w14:textId="77777777" w:rsidR="00880D67" w:rsidRDefault="00880D67" w:rsidP="00880D67">
      <w:r>
        <w:t>La gravité est modérée à majeure, car un accident pourrait provoquer des blessures ou des dommages matériels.</w:t>
      </w:r>
    </w:p>
    <w:p w14:paraId="487966D0" w14:textId="513DFA9C" w:rsidR="00A13FD9" w:rsidRDefault="00880D67" w:rsidP="00880D67">
      <w:r>
        <w:t>L’évaluation globale du risque est modérée, selon la matrice probabilité–gravité du projet.</w:t>
      </w:r>
    </w:p>
    <w:tbl>
      <w:tblPr>
        <w:tblStyle w:val="TableauGrille1Clair-Accentuation111"/>
        <w:tblW w:w="0" w:type="auto"/>
        <w:tblLook w:val="04A0" w:firstRow="1" w:lastRow="0" w:firstColumn="1" w:lastColumn="0" w:noHBand="0" w:noVBand="1"/>
      </w:tblPr>
      <w:tblGrid>
        <w:gridCol w:w="2026"/>
        <w:gridCol w:w="2021"/>
        <w:gridCol w:w="1463"/>
        <w:gridCol w:w="2155"/>
        <w:gridCol w:w="1395"/>
      </w:tblGrid>
      <w:tr w:rsidR="00624BF1" w:rsidRPr="00655B94" w14:paraId="720A9896" w14:textId="77777777" w:rsidTr="004637C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65B7C8DB" w14:textId="77777777" w:rsidR="00976178" w:rsidRPr="00AA22F2" w:rsidRDefault="00976178" w:rsidP="00976178">
            <w:pPr>
              <w:rPr>
                <w:szCs w:val="20"/>
              </w:rPr>
            </w:pPr>
            <w:r w:rsidRPr="00AA22F2">
              <w:rPr>
                <w:szCs w:val="20"/>
              </w:rPr>
              <w:t>Risque</w:t>
            </w:r>
          </w:p>
        </w:tc>
        <w:tc>
          <w:tcPr>
            <w:tcW w:w="0" w:type="auto"/>
            <w:hideMark/>
          </w:tcPr>
          <w:p w14:paraId="56A16634" w14:textId="77777777" w:rsidR="00976178" w:rsidRPr="00AA22F2" w:rsidRDefault="00976178" w:rsidP="00976178">
            <w:pPr>
              <w:cnfStyle w:val="100000000000" w:firstRow="1" w:lastRow="0" w:firstColumn="0" w:lastColumn="0" w:oddVBand="0" w:evenVBand="0" w:oddHBand="0" w:evenHBand="0" w:firstRowFirstColumn="0" w:firstRowLastColumn="0" w:lastRowFirstColumn="0" w:lastRowLastColumn="0"/>
              <w:rPr>
                <w:szCs w:val="20"/>
              </w:rPr>
            </w:pPr>
            <w:r w:rsidRPr="00AA22F2">
              <w:rPr>
                <w:szCs w:val="20"/>
              </w:rPr>
              <w:t>Activités génératrices</w:t>
            </w:r>
          </w:p>
        </w:tc>
        <w:tc>
          <w:tcPr>
            <w:tcW w:w="0" w:type="auto"/>
            <w:hideMark/>
          </w:tcPr>
          <w:p w14:paraId="08DAC145" w14:textId="77777777" w:rsidR="00976178" w:rsidRPr="00AA22F2" w:rsidRDefault="00976178" w:rsidP="00976178">
            <w:pPr>
              <w:cnfStyle w:val="100000000000" w:firstRow="1" w:lastRow="0" w:firstColumn="0" w:lastColumn="0" w:oddVBand="0" w:evenVBand="0" w:oddHBand="0" w:evenHBand="0" w:firstRowFirstColumn="0" w:firstRowLastColumn="0" w:lastRowFirstColumn="0" w:lastRowLastColumn="0"/>
              <w:rPr>
                <w:szCs w:val="20"/>
              </w:rPr>
            </w:pPr>
            <w:r w:rsidRPr="00AA22F2">
              <w:rPr>
                <w:szCs w:val="20"/>
              </w:rPr>
              <w:t>Critère</w:t>
            </w:r>
          </w:p>
        </w:tc>
        <w:tc>
          <w:tcPr>
            <w:tcW w:w="0" w:type="auto"/>
            <w:hideMark/>
          </w:tcPr>
          <w:p w14:paraId="4B352884" w14:textId="77777777" w:rsidR="00976178" w:rsidRPr="00AA22F2" w:rsidRDefault="00976178" w:rsidP="00976178">
            <w:pPr>
              <w:cnfStyle w:val="100000000000" w:firstRow="1" w:lastRow="0" w:firstColumn="0" w:lastColumn="0" w:oddVBand="0" w:evenVBand="0" w:oddHBand="0" w:evenHBand="0" w:firstRowFirstColumn="0" w:firstRowLastColumn="0" w:lastRowFirstColumn="0" w:lastRowLastColumn="0"/>
              <w:rPr>
                <w:szCs w:val="20"/>
              </w:rPr>
            </w:pPr>
            <w:r w:rsidRPr="00AA22F2">
              <w:rPr>
                <w:szCs w:val="20"/>
              </w:rPr>
              <w:t>Justification</w:t>
            </w:r>
          </w:p>
        </w:tc>
        <w:tc>
          <w:tcPr>
            <w:tcW w:w="0" w:type="auto"/>
            <w:hideMark/>
          </w:tcPr>
          <w:p w14:paraId="51602F7C" w14:textId="77777777" w:rsidR="00976178" w:rsidRPr="00AA22F2" w:rsidRDefault="00976178" w:rsidP="00976178">
            <w:pPr>
              <w:cnfStyle w:val="100000000000" w:firstRow="1" w:lastRow="0" w:firstColumn="0" w:lastColumn="0" w:oddVBand="0" w:evenVBand="0" w:oddHBand="0" w:evenHBand="0" w:firstRowFirstColumn="0" w:firstRowLastColumn="0" w:lastRowFirstColumn="0" w:lastRowLastColumn="0"/>
              <w:rPr>
                <w:szCs w:val="20"/>
              </w:rPr>
            </w:pPr>
            <w:r w:rsidRPr="00AA22F2">
              <w:rPr>
                <w:szCs w:val="20"/>
              </w:rPr>
              <w:t>Niveau</w:t>
            </w:r>
          </w:p>
        </w:tc>
      </w:tr>
      <w:tr w:rsidR="00053819" w:rsidRPr="00655B94" w14:paraId="6B816D95" w14:textId="77777777" w:rsidTr="005A7661">
        <w:tc>
          <w:tcPr>
            <w:cnfStyle w:val="001000000000" w:firstRow="0" w:lastRow="0" w:firstColumn="1" w:lastColumn="0" w:oddVBand="0" w:evenVBand="0" w:oddHBand="0" w:evenHBand="0" w:firstRowFirstColumn="0" w:firstRowLastColumn="0" w:lastRowFirstColumn="0" w:lastRowLastColumn="0"/>
            <w:tcW w:w="0" w:type="auto"/>
            <w:vMerge w:val="restart"/>
            <w:hideMark/>
          </w:tcPr>
          <w:p w14:paraId="1B8CABF4" w14:textId="77777777" w:rsidR="00053819" w:rsidRPr="00AA22F2" w:rsidRDefault="00053819" w:rsidP="00976178">
            <w:pPr>
              <w:rPr>
                <w:szCs w:val="20"/>
              </w:rPr>
            </w:pPr>
            <w:r w:rsidRPr="00AA22F2">
              <w:rPr>
                <w:szCs w:val="20"/>
              </w:rPr>
              <w:lastRenderedPageBreak/>
              <w:t>Risque d’accidents de circulation liés aux engins de chantier (répercussion communautaire)</w:t>
            </w:r>
          </w:p>
        </w:tc>
        <w:tc>
          <w:tcPr>
            <w:tcW w:w="0" w:type="auto"/>
            <w:vMerge w:val="restart"/>
            <w:hideMark/>
          </w:tcPr>
          <w:p w14:paraId="7EAD740C" w14:textId="2C3EDF89" w:rsidR="00053819" w:rsidRPr="00AA22F2" w:rsidRDefault="00053819" w:rsidP="00976178">
            <w:pPr>
              <w:cnfStyle w:val="000000000000" w:firstRow="0" w:lastRow="0" w:firstColumn="0" w:lastColumn="0" w:oddVBand="0" w:evenVBand="0" w:oddHBand="0" w:evenHBand="0" w:firstRowFirstColumn="0" w:firstRowLastColumn="0" w:lastRowFirstColumn="0" w:lastRowLastColumn="0"/>
              <w:rPr>
                <w:szCs w:val="20"/>
              </w:rPr>
            </w:pPr>
            <w:r w:rsidRPr="00AA22F2">
              <w:rPr>
                <w:szCs w:val="20"/>
              </w:rPr>
              <w:t xml:space="preserve">Circulation des camions de transport de matériaux, engins de terrassement et véhicules utilitaires sur la </w:t>
            </w:r>
            <w:r w:rsidR="009A6771">
              <w:rPr>
                <w:szCs w:val="20"/>
              </w:rPr>
              <w:t>RR212</w:t>
            </w:r>
            <w:r w:rsidRPr="00AA22F2">
              <w:rPr>
                <w:szCs w:val="20"/>
              </w:rPr>
              <w:t xml:space="preserve"> et les voies d’accès au chantier</w:t>
            </w:r>
          </w:p>
        </w:tc>
        <w:tc>
          <w:tcPr>
            <w:tcW w:w="0" w:type="auto"/>
            <w:hideMark/>
          </w:tcPr>
          <w:p w14:paraId="5F49EA57" w14:textId="77777777" w:rsidR="00053819" w:rsidRPr="00AA22F2" w:rsidRDefault="00053819" w:rsidP="00976178">
            <w:pPr>
              <w:cnfStyle w:val="000000000000" w:firstRow="0" w:lastRow="0" w:firstColumn="0" w:lastColumn="0" w:oddVBand="0" w:evenVBand="0" w:oddHBand="0" w:evenHBand="0" w:firstRowFirstColumn="0" w:firstRowLastColumn="0" w:lastRowFirstColumn="0" w:lastRowLastColumn="0"/>
              <w:rPr>
                <w:szCs w:val="20"/>
              </w:rPr>
            </w:pPr>
            <w:r w:rsidRPr="00AA22F2">
              <w:rPr>
                <w:b/>
                <w:bCs/>
                <w:szCs w:val="20"/>
              </w:rPr>
              <w:t>Probabilité d’occurrence</w:t>
            </w:r>
          </w:p>
        </w:tc>
        <w:tc>
          <w:tcPr>
            <w:tcW w:w="0" w:type="auto"/>
            <w:hideMark/>
          </w:tcPr>
          <w:p w14:paraId="31B000B8" w14:textId="4F9F3524" w:rsidR="00053819" w:rsidRPr="00AA22F2" w:rsidRDefault="006A7B38" w:rsidP="00976178">
            <w:pPr>
              <w:cnfStyle w:val="000000000000" w:firstRow="0" w:lastRow="0" w:firstColumn="0" w:lastColumn="0" w:oddVBand="0" w:evenVBand="0" w:oddHBand="0" w:evenHBand="0" w:firstRowFirstColumn="0" w:firstRowLastColumn="0" w:lastRowFirstColumn="0" w:lastRowLastColumn="0"/>
              <w:rPr>
                <w:szCs w:val="20"/>
              </w:rPr>
            </w:pPr>
            <w:r w:rsidRPr="00C93C6A">
              <w:rPr>
                <w:szCs w:val="20"/>
              </w:rPr>
              <w:t>Risque</w:t>
            </w:r>
            <w:r w:rsidR="00053819" w:rsidRPr="00AA22F2">
              <w:rPr>
                <w:szCs w:val="20"/>
              </w:rPr>
              <w:t xml:space="preserve"> ponctuel lors des croisements avec le trafic public, mais encadré par un plan de circulation et signalisation adaptée.</w:t>
            </w:r>
          </w:p>
        </w:tc>
        <w:tc>
          <w:tcPr>
            <w:tcW w:w="0" w:type="auto"/>
            <w:hideMark/>
          </w:tcPr>
          <w:p w14:paraId="48186903" w14:textId="441357B5" w:rsidR="00053819" w:rsidRPr="00AA22F2" w:rsidRDefault="00053819" w:rsidP="00976178">
            <w:pPr>
              <w:cnfStyle w:val="000000000000" w:firstRow="0" w:lastRow="0" w:firstColumn="0" w:lastColumn="0" w:oddVBand="0" w:evenVBand="0" w:oddHBand="0" w:evenHBand="0" w:firstRowFirstColumn="0" w:firstRowLastColumn="0" w:lastRowFirstColumn="0" w:lastRowLastColumn="0"/>
              <w:rPr>
                <w:szCs w:val="20"/>
              </w:rPr>
            </w:pPr>
            <w:r w:rsidRPr="00AA22F2">
              <w:rPr>
                <w:b/>
                <w:bCs/>
                <w:szCs w:val="20"/>
              </w:rPr>
              <w:t>Occasionnelle</w:t>
            </w:r>
          </w:p>
        </w:tc>
      </w:tr>
      <w:tr w:rsidR="00053819" w:rsidRPr="00655B94" w14:paraId="2A87D376" w14:textId="77777777" w:rsidTr="005A7661">
        <w:tc>
          <w:tcPr>
            <w:cnfStyle w:val="001000000000" w:firstRow="0" w:lastRow="0" w:firstColumn="1" w:lastColumn="0" w:oddVBand="0" w:evenVBand="0" w:oddHBand="0" w:evenHBand="0" w:firstRowFirstColumn="0" w:firstRowLastColumn="0" w:lastRowFirstColumn="0" w:lastRowLastColumn="0"/>
            <w:tcW w:w="0" w:type="auto"/>
            <w:vMerge/>
            <w:hideMark/>
          </w:tcPr>
          <w:p w14:paraId="5F55D0A2" w14:textId="77777777" w:rsidR="00053819" w:rsidRPr="00AA22F2" w:rsidRDefault="00053819" w:rsidP="00976178">
            <w:pPr>
              <w:rPr>
                <w:szCs w:val="20"/>
              </w:rPr>
            </w:pPr>
          </w:p>
        </w:tc>
        <w:tc>
          <w:tcPr>
            <w:tcW w:w="0" w:type="auto"/>
            <w:vMerge/>
            <w:hideMark/>
          </w:tcPr>
          <w:p w14:paraId="7A31B914" w14:textId="77777777" w:rsidR="00053819" w:rsidRPr="00AA22F2" w:rsidRDefault="00053819" w:rsidP="00976178">
            <w:pPr>
              <w:cnfStyle w:val="000000000000" w:firstRow="0" w:lastRow="0" w:firstColumn="0" w:lastColumn="0" w:oddVBand="0" w:evenVBand="0" w:oddHBand="0" w:evenHBand="0" w:firstRowFirstColumn="0" w:firstRowLastColumn="0" w:lastRowFirstColumn="0" w:lastRowLastColumn="0"/>
              <w:rPr>
                <w:szCs w:val="20"/>
              </w:rPr>
            </w:pPr>
          </w:p>
        </w:tc>
        <w:tc>
          <w:tcPr>
            <w:tcW w:w="0" w:type="auto"/>
            <w:hideMark/>
          </w:tcPr>
          <w:p w14:paraId="6096397D" w14:textId="77777777" w:rsidR="00053819" w:rsidRPr="00AA22F2" w:rsidRDefault="00053819" w:rsidP="00976178">
            <w:pPr>
              <w:cnfStyle w:val="000000000000" w:firstRow="0" w:lastRow="0" w:firstColumn="0" w:lastColumn="0" w:oddVBand="0" w:evenVBand="0" w:oddHBand="0" w:evenHBand="0" w:firstRowFirstColumn="0" w:firstRowLastColumn="0" w:lastRowFirstColumn="0" w:lastRowLastColumn="0"/>
              <w:rPr>
                <w:szCs w:val="20"/>
              </w:rPr>
            </w:pPr>
            <w:r w:rsidRPr="00AA22F2">
              <w:rPr>
                <w:b/>
                <w:bCs/>
                <w:szCs w:val="20"/>
              </w:rPr>
              <w:t>Gravité des conséquences</w:t>
            </w:r>
          </w:p>
        </w:tc>
        <w:tc>
          <w:tcPr>
            <w:tcW w:w="0" w:type="auto"/>
            <w:hideMark/>
          </w:tcPr>
          <w:p w14:paraId="7E2848BF" w14:textId="43F59BA8" w:rsidR="00053819" w:rsidRPr="00AA22F2" w:rsidRDefault="00053819" w:rsidP="00976178">
            <w:pPr>
              <w:cnfStyle w:val="000000000000" w:firstRow="0" w:lastRow="0" w:firstColumn="0" w:lastColumn="0" w:oddVBand="0" w:evenVBand="0" w:oddHBand="0" w:evenHBand="0" w:firstRowFirstColumn="0" w:firstRowLastColumn="0" w:lastRowFirstColumn="0" w:lastRowLastColumn="0"/>
              <w:rPr>
                <w:szCs w:val="20"/>
              </w:rPr>
            </w:pPr>
            <w:r w:rsidRPr="00AA22F2">
              <w:rPr>
                <w:szCs w:val="20"/>
              </w:rPr>
              <w:t>Collisions possibles mais effets limités par les mesures préventives.</w:t>
            </w:r>
          </w:p>
        </w:tc>
        <w:tc>
          <w:tcPr>
            <w:tcW w:w="0" w:type="auto"/>
            <w:hideMark/>
          </w:tcPr>
          <w:p w14:paraId="6A7BCD82" w14:textId="77777777" w:rsidR="00053819" w:rsidRPr="00AA22F2" w:rsidRDefault="00053819" w:rsidP="00976178">
            <w:pPr>
              <w:cnfStyle w:val="000000000000" w:firstRow="0" w:lastRow="0" w:firstColumn="0" w:lastColumn="0" w:oddVBand="0" w:evenVBand="0" w:oddHBand="0" w:evenHBand="0" w:firstRowFirstColumn="0" w:firstRowLastColumn="0" w:lastRowFirstColumn="0" w:lastRowLastColumn="0"/>
              <w:rPr>
                <w:szCs w:val="20"/>
              </w:rPr>
            </w:pPr>
            <w:r w:rsidRPr="00AA22F2">
              <w:rPr>
                <w:b/>
                <w:bCs/>
                <w:szCs w:val="20"/>
              </w:rPr>
              <w:t>Moyenne à élevée</w:t>
            </w:r>
          </w:p>
        </w:tc>
      </w:tr>
      <w:tr w:rsidR="00053819" w:rsidRPr="00655B94" w14:paraId="632F0306" w14:textId="77777777" w:rsidTr="005A7661">
        <w:tc>
          <w:tcPr>
            <w:cnfStyle w:val="001000000000" w:firstRow="0" w:lastRow="0" w:firstColumn="1" w:lastColumn="0" w:oddVBand="0" w:evenVBand="0" w:oddHBand="0" w:evenHBand="0" w:firstRowFirstColumn="0" w:firstRowLastColumn="0" w:lastRowFirstColumn="0" w:lastRowLastColumn="0"/>
            <w:tcW w:w="0" w:type="auto"/>
            <w:vMerge/>
            <w:hideMark/>
          </w:tcPr>
          <w:p w14:paraId="37C82A89" w14:textId="77777777" w:rsidR="00053819" w:rsidRPr="00AA22F2" w:rsidRDefault="00053819" w:rsidP="00976178">
            <w:pPr>
              <w:rPr>
                <w:szCs w:val="20"/>
              </w:rPr>
            </w:pPr>
          </w:p>
        </w:tc>
        <w:tc>
          <w:tcPr>
            <w:tcW w:w="0" w:type="auto"/>
            <w:vMerge/>
            <w:hideMark/>
          </w:tcPr>
          <w:p w14:paraId="1514AD5A" w14:textId="77777777" w:rsidR="00053819" w:rsidRPr="00AA22F2" w:rsidRDefault="00053819" w:rsidP="00976178">
            <w:pPr>
              <w:cnfStyle w:val="000000000000" w:firstRow="0" w:lastRow="0" w:firstColumn="0" w:lastColumn="0" w:oddVBand="0" w:evenVBand="0" w:oddHBand="0" w:evenHBand="0" w:firstRowFirstColumn="0" w:firstRowLastColumn="0" w:lastRowFirstColumn="0" w:lastRowLastColumn="0"/>
              <w:rPr>
                <w:szCs w:val="20"/>
              </w:rPr>
            </w:pPr>
          </w:p>
        </w:tc>
        <w:tc>
          <w:tcPr>
            <w:tcW w:w="0" w:type="auto"/>
            <w:hideMark/>
          </w:tcPr>
          <w:p w14:paraId="554B1888" w14:textId="77777777" w:rsidR="00053819" w:rsidRPr="00AA22F2" w:rsidRDefault="00053819" w:rsidP="00976178">
            <w:pPr>
              <w:cnfStyle w:val="000000000000" w:firstRow="0" w:lastRow="0" w:firstColumn="0" w:lastColumn="0" w:oddVBand="0" w:evenVBand="0" w:oddHBand="0" w:evenHBand="0" w:firstRowFirstColumn="0" w:firstRowLastColumn="0" w:lastRowFirstColumn="0" w:lastRowLastColumn="0"/>
              <w:rPr>
                <w:szCs w:val="20"/>
              </w:rPr>
            </w:pPr>
            <w:r w:rsidRPr="00AA22F2">
              <w:rPr>
                <w:b/>
                <w:bCs/>
                <w:szCs w:val="20"/>
              </w:rPr>
              <w:t>Évaluation globale du risque</w:t>
            </w:r>
          </w:p>
        </w:tc>
        <w:tc>
          <w:tcPr>
            <w:tcW w:w="0" w:type="auto"/>
            <w:hideMark/>
          </w:tcPr>
          <w:p w14:paraId="3CF8F425" w14:textId="2D69BBF3" w:rsidR="00053819" w:rsidRPr="00AA22F2" w:rsidRDefault="00053819" w:rsidP="00976178">
            <w:pPr>
              <w:cnfStyle w:val="000000000000" w:firstRow="0" w:lastRow="0" w:firstColumn="0" w:lastColumn="0" w:oddVBand="0" w:evenVBand="0" w:oddHBand="0" w:evenHBand="0" w:firstRowFirstColumn="0" w:firstRowLastColumn="0" w:lastRowFirstColumn="0" w:lastRowLastColumn="0"/>
              <w:rPr>
                <w:szCs w:val="20"/>
              </w:rPr>
            </w:pPr>
            <w:r w:rsidRPr="00AA22F2">
              <w:rPr>
                <w:szCs w:val="20"/>
              </w:rPr>
              <w:t>Localisé</w:t>
            </w:r>
            <w:r w:rsidRPr="004637C7">
              <w:rPr>
                <w:szCs w:val="20"/>
              </w:rPr>
              <w:t xml:space="preserve"> et temporaire. Déjà traité dans la section Trafic routier ; repris ici pour sa dimension communautaire.</w:t>
            </w:r>
          </w:p>
        </w:tc>
        <w:tc>
          <w:tcPr>
            <w:tcW w:w="0" w:type="auto"/>
            <w:hideMark/>
          </w:tcPr>
          <w:p w14:paraId="35BB0802" w14:textId="77777777" w:rsidR="00053819" w:rsidRPr="00AA22F2" w:rsidRDefault="00053819" w:rsidP="00976178">
            <w:pPr>
              <w:cnfStyle w:val="000000000000" w:firstRow="0" w:lastRow="0" w:firstColumn="0" w:lastColumn="0" w:oddVBand="0" w:evenVBand="0" w:oddHBand="0" w:evenHBand="0" w:firstRowFirstColumn="0" w:firstRowLastColumn="0" w:lastRowFirstColumn="0" w:lastRowLastColumn="0"/>
              <w:rPr>
                <w:szCs w:val="20"/>
              </w:rPr>
            </w:pPr>
            <w:r w:rsidRPr="00AA22F2">
              <w:rPr>
                <w:b/>
                <w:bCs/>
                <w:szCs w:val="20"/>
              </w:rPr>
              <w:t>Modéré</w:t>
            </w:r>
          </w:p>
        </w:tc>
      </w:tr>
    </w:tbl>
    <w:p w14:paraId="2334888B" w14:textId="77777777" w:rsidR="00DB08A1" w:rsidRPr="00DB08A1" w:rsidRDefault="00DB08A1" w:rsidP="0001633E">
      <w:pPr>
        <w:pStyle w:val="AltTitle2"/>
        <w:numPr>
          <w:ilvl w:val="0"/>
          <w:numId w:val="106"/>
        </w:numPr>
      </w:pPr>
      <w:r w:rsidRPr="00DB08A1">
        <w:t>Risque sanitaire communautaire et transmission de maladies (MST/VIH, infections respiratoires)</w:t>
      </w:r>
    </w:p>
    <w:p w14:paraId="12507D1B" w14:textId="77777777" w:rsidR="00573981" w:rsidRDefault="00DB08A1" w:rsidP="00DB08A1">
      <w:r w:rsidRPr="00DB08A1">
        <w:t xml:space="preserve">L’arrivée temporaire d’une main-d’œuvre nombreuse, combinée à une interaction sociale accrue avec les communautés locales, peut accroître les risques de transmission de maladies transmissibles, notamment les </w:t>
      </w:r>
      <w:r w:rsidRPr="004637C7">
        <w:t>maladies sexuellement transmissibles (MST/VIH)</w:t>
      </w:r>
      <w:r w:rsidRPr="00DB08A1">
        <w:t xml:space="preserve"> et les </w:t>
      </w:r>
      <w:r w:rsidRPr="004637C7">
        <w:t>infections respiratoires</w:t>
      </w:r>
      <w:r w:rsidRPr="00573981">
        <w:t xml:space="preserve"> </w:t>
      </w:r>
      <w:r w:rsidRPr="00DB08A1">
        <w:t>dues à la promiscuité. Les risques sont aggravés en l’absence de sensibilisation, de dépistage ou d’accès adéquat aux soins.</w:t>
      </w:r>
    </w:p>
    <w:p w14:paraId="0217EFCC" w14:textId="77777777" w:rsidR="00573981" w:rsidRPr="00573981" w:rsidRDefault="00DB08A1" w:rsidP="00DB08A1">
      <w:r w:rsidRPr="00573981">
        <w:t xml:space="preserve">Ce risque est </w:t>
      </w:r>
      <w:r w:rsidRPr="004637C7">
        <w:t>indirect</w:t>
      </w:r>
      <w:r w:rsidRPr="00573981">
        <w:t xml:space="preserve">, car il résulte d’interactions sociales et comportementales induites par le projet. Il est </w:t>
      </w:r>
      <w:r w:rsidRPr="004637C7">
        <w:t>local</w:t>
      </w:r>
      <w:r w:rsidRPr="00573981">
        <w:t xml:space="preserve"> et </w:t>
      </w:r>
      <w:r w:rsidRPr="004637C7">
        <w:t>temporaire</w:t>
      </w:r>
      <w:r w:rsidRPr="00573981">
        <w:t xml:space="preserve">, limité à la période de construction et à la zone d’influence sociale proche. Sa </w:t>
      </w:r>
      <w:r w:rsidRPr="004637C7">
        <w:t>probabilité</w:t>
      </w:r>
      <w:r w:rsidRPr="00573981">
        <w:t xml:space="preserve"> est </w:t>
      </w:r>
      <w:r w:rsidRPr="004637C7">
        <w:t>probable</w:t>
      </w:r>
      <w:r w:rsidRPr="00573981">
        <w:t xml:space="preserve">, et sa </w:t>
      </w:r>
      <w:r w:rsidRPr="004637C7">
        <w:t>gravité</w:t>
      </w:r>
      <w:r w:rsidRPr="00573981">
        <w:t xml:space="preserve"> </w:t>
      </w:r>
      <w:r w:rsidRPr="004637C7">
        <w:t>majeure</w:t>
      </w:r>
      <w:r w:rsidRPr="00573981">
        <w:t>, compte tenu des conséquences sanitaires et sociales potentielles.</w:t>
      </w:r>
    </w:p>
    <w:p w14:paraId="31670182" w14:textId="582DAFFC" w:rsidR="00DB08A1" w:rsidRDefault="00DB08A1" w:rsidP="00DB08A1">
      <w:r w:rsidRPr="00573981">
        <w:t xml:space="preserve">Les </w:t>
      </w:r>
      <w:r w:rsidRPr="004637C7">
        <w:t>récepteurs sensibles</w:t>
      </w:r>
      <w:r w:rsidRPr="00573981">
        <w:t xml:space="preserve"> sont les travailleurs du chantier et les habitants </w:t>
      </w:r>
      <w:r w:rsidR="009A6771">
        <w:t>e Bouakkaz</w:t>
      </w:r>
      <w:r w:rsidRPr="00573981">
        <w:t xml:space="preserve">, notamment les jeunes et femmes, dont la </w:t>
      </w:r>
      <w:r w:rsidRPr="004637C7">
        <w:t>sensibilité</w:t>
      </w:r>
      <w:r w:rsidRPr="00573981">
        <w:t xml:space="preserve"> est </w:t>
      </w:r>
      <w:r w:rsidRPr="004637C7">
        <w:t>moyenne</w:t>
      </w:r>
      <w:r w:rsidRPr="00573981">
        <w:t>, car la population locale reste relativement limitée mais vulnérable sur le plan sanitaire. L’</w:t>
      </w:r>
      <w:r w:rsidRPr="004637C7">
        <w:t>évaluation globale</w:t>
      </w:r>
      <w:r w:rsidRPr="00573981">
        <w:t xml:space="preserve"> du risque est </w:t>
      </w:r>
      <w:r w:rsidRPr="004637C7">
        <w:t>élevée</w:t>
      </w:r>
      <w:r w:rsidRPr="00573981">
        <w:t>, en raison de son impact potentiel sur la santé communautaire.</w:t>
      </w:r>
    </w:p>
    <w:tbl>
      <w:tblPr>
        <w:tblStyle w:val="TableauGrille1Clair-Accentuation111"/>
        <w:tblW w:w="0" w:type="auto"/>
        <w:tblLook w:val="04A0" w:firstRow="1" w:lastRow="0" w:firstColumn="1" w:lastColumn="0" w:noHBand="0" w:noVBand="1"/>
      </w:tblPr>
      <w:tblGrid>
        <w:gridCol w:w="2442"/>
        <w:gridCol w:w="2010"/>
        <w:gridCol w:w="1231"/>
        <w:gridCol w:w="2431"/>
        <w:gridCol w:w="946"/>
      </w:tblGrid>
      <w:tr w:rsidR="00655B94" w:rsidRPr="003174E5" w14:paraId="5BA49470" w14:textId="77777777" w:rsidTr="00A71E2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6D292213" w14:textId="77777777" w:rsidR="00A71E21" w:rsidRPr="00AA22F2" w:rsidRDefault="00A71E21" w:rsidP="00A71E21">
            <w:pPr>
              <w:rPr>
                <w:szCs w:val="20"/>
              </w:rPr>
            </w:pPr>
            <w:r w:rsidRPr="00AA22F2">
              <w:rPr>
                <w:szCs w:val="20"/>
              </w:rPr>
              <w:t>Risque</w:t>
            </w:r>
          </w:p>
        </w:tc>
        <w:tc>
          <w:tcPr>
            <w:tcW w:w="0" w:type="auto"/>
            <w:hideMark/>
          </w:tcPr>
          <w:p w14:paraId="5E0D1F3F" w14:textId="77777777" w:rsidR="00A71E21" w:rsidRPr="00AA22F2" w:rsidRDefault="00A71E21" w:rsidP="00A71E21">
            <w:pPr>
              <w:cnfStyle w:val="100000000000" w:firstRow="1" w:lastRow="0" w:firstColumn="0" w:lastColumn="0" w:oddVBand="0" w:evenVBand="0" w:oddHBand="0" w:evenHBand="0" w:firstRowFirstColumn="0" w:firstRowLastColumn="0" w:lastRowFirstColumn="0" w:lastRowLastColumn="0"/>
              <w:rPr>
                <w:szCs w:val="20"/>
              </w:rPr>
            </w:pPr>
            <w:r w:rsidRPr="00AA22F2">
              <w:rPr>
                <w:szCs w:val="20"/>
              </w:rPr>
              <w:t>Activités génératrices</w:t>
            </w:r>
          </w:p>
        </w:tc>
        <w:tc>
          <w:tcPr>
            <w:tcW w:w="0" w:type="auto"/>
            <w:hideMark/>
          </w:tcPr>
          <w:p w14:paraId="3874A6E7" w14:textId="77777777" w:rsidR="00A71E21" w:rsidRPr="00AA22F2" w:rsidRDefault="00A71E21" w:rsidP="00A71E21">
            <w:pPr>
              <w:cnfStyle w:val="100000000000" w:firstRow="1" w:lastRow="0" w:firstColumn="0" w:lastColumn="0" w:oddVBand="0" w:evenVBand="0" w:oddHBand="0" w:evenHBand="0" w:firstRowFirstColumn="0" w:firstRowLastColumn="0" w:lastRowFirstColumn="0" w:lastRowLastColumn="0"/>
              <w:rPr>
                <w:szCs w:val="20"/>
              </w:rPr>
            </w:pPr>
            <w:r w:rsidRPr="00AA22F2">
              <w:rPr>
                <w:szCs w:val="20"/>
              </w:rPr>
              <w:t>Critère</w:t>
            </w:r>
          </w:p>
        </w:tc>
        <w:tc>
          <w:tcPr>
            <w:tcW w:w="0" w:type="auto"/>
            <w:hideMark/>
          </w:tcPr>
          <w:p w14:paraId="6E33BEC9" w14:textId="77777777" w:rsidR="00A71E21" w:rsidRPr="00AA22F2" w:rsidRDefault="00A71E21" w:rsidP="00A71E21">
            <w:pPr>
              <w:cnfStyle w:val="100000000000" w:firstRow="1" w:lastRow="0" w:firstColumn="0" w:lastColumn="0" w:oddVBand="0" w:evenVBand="0" w:oddHBand="0" w:evenHBand="0" w:firstRowFirstColumn="0" w:firstRowLastColumn="0" w:lastRowFirstColumn="0" w:lastRowLastColumn="0"/>
              <w:rPr>
                <w:szCs w:val="20"/>
              </w:rPr>
            </w:pPr>
            <w:r w:rsidRPr="00AA22F2">
              <w:rPr>
                <w:szCs w:val="20"/>
              </w:rPr>
              <w:t>Justification</w:t>
            </w:r>
          </w:p>
        </w:tc>
        <w:tc>
          <w:tcPr>
            <w:tcW w:w="0" w:type="auto"/>
            <w:hideMark/>
          </w:tcPr>
          <w:p w14:paraId="522B212D" w14:textId="77777777" w:rsidR="00A71E21" w:rsidRPr="00AA22F2" w:rsidRDefault="00A71E21" w:rsidP="00A71E21">
            <w:pPr>
              <w:cnfStyle w:val="100000000000" w:firstRow="1" w:lastRow="0" w:firstColumn="0" w:lastColumn="0" w:oddVBand="0" w:evenVBand="0" w:oddHBand="0" w:evenHBand="0" w:firstRowFirstColumn="0" w:firstRowLastColumn="0" w:lastRowFirstColumn="0" w:lastRowLastColumn="0"/>
              <w:rPr>
                <w:szCs w:val="20"/>
              </w:rPr>
            </w:pPr>
            <w:r w:rsidRPr="00AA22F2">
              <w:rPr>
                <w:szCs w:val="20"/>
              </w:rPr>
              <w:t>Niveau</w:t>
            </w:r>
          </w:p>
        </w:tc>
      </w:tr>
      <w:tr w:rsidR="00A71E21" w:rsidRPr="00655B94" w14:paraId="4B3D1863" w14:textId="77777777" w:rsidTr="005A7661">
        <w:tc>
          <w:tcPr>
            <w:cnfStyle w:val="001000000000" w:firstRow="0" w:lastRow="0" w:firstColumn="1" w:lastColumn="0" w:oddVBand="0" w:evenVBand="0" w:oddHBand="0" w:evenHBand="0" w:firstRowFirstColumn="0" w:firstRowLastColumn="0" w:lastRowFirstColumn="0" w:lastRowLastColumn="0"/>
            <w:tcW w:w="0" w:type="auto"/>
            <w:vMerge w:val="restart"/>
            <w:hideMark/>
          </w:tcPr>
          <w:p w14:paraId="53DF6567" w14:textId="77777777" w:rsidR="00A71E21" w:rsidRPr="00AA22F2" w:rsidRDefault="00A71E21" w:rsidP="00A71E21">
            <w:pPr>
              <w:rPr>
                <w:szCs w:val="20"/>
              </w:rPr>
            </w:pPr>
            <w:r w:rsidRPr="00AA22F2">
              <w:rPr>
                <w:szCs w:val="20"/>
              </w:rPr>
              <w:t>Transmission de maladies communautaires (MST/VIH, infections respiratoires)</w:t>
            </w:r>
          </w:p>
        </w:tc>
        <w:tc>
          <w:tcPr>
            <w:tcW w:w="0" w:type="auto"/>
            <w:vMerge w:val="restart"/>
            <w:hideMark/>
          </w:tcPr>
          <w:p w14:paraId="3C41FCA8" w14:textId="77777777" w:rsidR="00A71E21" w:rsidRPr="00AA22F2" w:rsidRDefault="00A71E21" w:rsidP="00A71E21">
            <w:pPr>
              <w:cnfStyle w:val="000000000000" w:firstRow="0" w:lastRow="0" w:firstColumn="0" w:lastColumn="0" w:oddVBand="0" w:evenVBand="0" w:oddHBand="0" w:evenHBand="0" w:firstRowFirstColumn="0" w:firstRowLastColumn="0" w:lastRowFirstColumn="0" w:lastRowLastColumn="0"/>
              <w:rPr>
                <w:szCs w:val="20"/>
              </w:rPr>
            </w:pPr>
            <w:r w:rsidRPr="00AA22F2">
              <w:rPr>
                <w:szCs w:val="20"/>
              </w:rPr>
              <w:t>Mobilisation temporaire d’ouvriers, interactions sociales et promiscuité</w:t>
            </w:r>
          </w:p>
        </w:tc>
        <w:tc>
          <w:tcPr>
            <w:tcW w:w="0" w:type="auto"/>
            <w:hideMark/>
          </w:tcPr>
          <w:p w14:paraId="4A868382" w14:textId="77777777" w:rsidR="00A71E21" w:rsidRPr="00AA22F2" w:rsidRDefault="00A71E21" w:rsidP="00A71E21">
            <w:pPr>
              <w:cnfStyle w:val="000000000000" w:firstRow="0" w:lastRow="0" w:firstColumn="0" w:lastColumn="0" w:oddVBand="0" w:evenVBand="0" w:oddHBand="0" w:evenHBand="0" w:firstRowFirstColumn="0" w:firstRowLastColumn="0" w:lastRowFirstColumn="0" w:lastRowLastColumn="0"/>
              <w:rPr>
                <w:szCs w:val="20"/>
              </w:rPr>
            </w:pPr>
            <w:r w:rsidRPr="00AA22F2">
              <w:rPr>
                <w:b/>
                <w:bCs/>
                <w:szCs w:val="20"/>
              </w:rPr>
              <w:t>Probabilité</w:t>
            </w:r>
          </w:p>
        </w:tc>
        <w:tc>
          <w:tcPr>
            <w:tcW w:w="0" w:type="auto"/>
            <w:hideMark/>
          </w:tcPr>
          <w:p w14:paraId="25700133" w14:textId="553DFE9B" w:rsidR="00A71E21" w:rsidRPr="00AA22F2" w:rsidRDefault="00A71E21" w:rsidP="00A71E21">
            <w:pPr>
              <w:cnfStyle w:val="000000000000" w:firstRow="0" w:lastRow="0" w:firstColumn="0" w:lastColumn="0" w:oddVBand="0" w:evenVBand="0" w:oddHBand="0" w:evenHBand="0" w:firstRowFirstColumn="0" w:firstRowLastColumn="0" w:lastRowFirstColumn="0" w:lastRowLastColumn="0"/>
              <w:rPr>
                <w:szCs w:val="20"/>
              </w:rPr>
            </w:pPr>
            <w:r w:rsidRPr="00AA22F2">
              <w:rPr>
                <w:szCs w:val="20"/>
              </w:rPr>
              <w:t>Interactions limitées mais possibles entre travailleurs et communauté locale.</w:t>
            </w:r>
          </w:p>
        </w:tc>
        <w:tc>
          <w:tcPr>
            <w:tcW w:w="0" w:type="auto"/>
            <w:hideMark/>
          </w:tcPr>
          <w:p w14:paraId="54EAB560" w14:textId="1BE8056D" w:rsidR="00A71E21" w:rsidRPr="00AA22F2" w:rsidRDefault="00A71E21" w:rsidP="00A71E21">
            <w:pPr>
              <w:cnfStyle w:val="000000000000" w:firstRow="0" w:lastRow="0" w:firstColumn="0" w:lastColumn="0" w:oddVBand="0" w:evenVBand="0" w:oddHBand="0" w:evenHBand="0" w:firstRowFirstColumn="0" w:firstRowLastColumn="0" w:lastRowFirstColumn="0" w:lastRowLastColumn="0"/>
              <w:rPr>
                <w:szCs w:val="20"/>
              </w:rPr>
            </w:pPr>
            <w:r w:rsidRPr="00AA22F2">
              <w:rPr>
                <w:szCs w:val="20"/>
              </w:rPr>
              <w:t>Probable</w:t>
            </w:r>
          </w:p>
        </w:tc>
      </w:tr>
      <w:tr w:rsidR="00A71E21" w:rsidRPr="00655B94" w14:paraId="1E4BB28A" w14:textId="77777777" w:rsidTr="005A7661">
        <w:tc>
          <w:tcPr>
            <w:cnfStyle w:val="001000000000" w:firstRow="0" w:lastRow="0" w:firstColumn="1" w:lastColumn="0" w:oddVBand="0" w:evenVBand="0" w:oddHBand="0" w:evenHBand="0" w:firstRowFirstColumn="0" w:firstRowLastColumn="0" w:lastRowFirstColumn="0" w:lastRowLastColumn="0"/>
            <w:tcW w:w="0" w:type="auto"/>
            <w:vMerge/>
            <w:hideMark/>
          </w:tcPr>
          <w:p w14:paraId="01DD791E" w14:textId="77777777" w:rsidR="00A71E21" w:rsidRPr="00AA22F2" w:rsidRDefault="00A71E21" w:rsidP="00A71E21">
            <w:pPr>
              <w:rPr>
                <w:szCs w:val="20"/>
              </w:rPr>
            </w:pPr>
          </w:p>
        </w:tc>
        <w:tc>
          <w:tcPr>
            <w:tcW w:w="0" w:type="auto"/>
            <w:vMerge/>
            <w:hideMark/>
          </w:tcPr>
          <w:p w14:paraId="287C1DA3" w14:textId="77777777" w:rsidR="00A71E21" w:rsidRPr="00AA22F2" w:rsidRDefault="00A71E21" w:rsidP="00A71E21">
            <w:pPr>
              <w:cnfStyle w:val="000000000000" w:firstRow="0" w:lastRow="0" w:firstColumn="0" w:lastColumn="0" w:oddVBand="0" w:evenVBand="0" w:oddHBand="0" w:evenHBand="0" w:firstRowFirstColumn="0" w:firstRowLastColumn="0" w:lastRowFirstColumn="0" w:lastRowLastColumn="0"/>
              <w:rPr>
                <w:szCs w:val="20"/>
              </w:rPr>
            </w:pPr>
          </w:p>
        </w:tc>
        <w:tc>
          <w:tcPr>
            <w:tcW w:w="0" w:type="auto"/>
            <w:hideMark/>
          </w:tcPr>
          <w:p w14:paraId="3C89B05D" w14:textId="77777777" w:rsidR="00A71E21" w:rsidRPr="00AA22F2" w:rsidRDefault="00A71E21" w:rsidP="00A71E21">
            <w:pPr>
              <w:cnfStyle w:val="000000000000" w:firstRow="0" w:lastRow="0" w:firstColumn="0" w:lastColumn="0" w:oddVBand="0" w:evenVBand="0" w:oddHBand="0" w:evenHBand="0" w:firstRowFirstColumn="0" w:firstRowLastColumn="0" w:lastRowFirstColumn="0" w:lastRowLastColumn="0"/>
              <w:rPr>
                <w:szCs w:val="20"/>
              </w:rPr>
            </w:pPr>
            <w:r w:rsidRPr="00AA22F2">
              <w:rPr>
                <w:b/>
                <w:bCs/>
                <w:szCs w:val="20"/>
              </w:rPr>
              <w:t>Gravité</w:t>
            </w:r>
          </w:p>
        </w:tc>
        <w:tc>
          <w:tcPr>
            <w:tcW w:w="0" w:type="auto"/>
            <w:hideMark/>
          </w:tcPr>
          <w:p w14:paraId="093FA878" w14:textId="759D48F8" w:rsidR="00A71E21" w:rsidRPr="00AA22F2" w:rsidRDefault="00A71E21" w:rsidP="00A71E21">
            <w:pPr>
              <w:cnfStyle w:val="000000000000" w:firstRow="0" w:lastRow="0" w:firstColumn="0" w:lastColumn="0" w:oddVBand="0" w:evenVBand="0" w:oddHBand="0" w:evenHBand="0" w:firstRowFirstColumn="0" w:firstRowLastColumn="0" w:lastRowFirstColumn="0" w:lastRowLastColumn="0"/>
              <w:rPr>
                <w:szCs w:val="20"/>
              </w:rPr>
            </w:pPr>
            <w:r w:rsidRPr="00AA22F2">
              <w:rPr>
                <w:szCs w:val="20"/>
              </w:rPr>
              <w:t>Atteintes à la santé publique, conséquences sociales durables.</w:t>
            </w:r>
          </w:p>
        </w:tc>
        <w:tc>
          <w:tcPr>
            <w:tcW w:w="0" w:type="auto"/>
            <w:hideMark/>
          </w:tcPr>
          <w:p w14:paraId="6A2EBE69" w14:textId="070224FE" w:rsidR="00A71E21" w:rsidRPr="00AA22F2" w:rsidRDefault="00A71E21" w:rsidP="00A71E21">
            <w:pPr>
              <w:cnfStyle w:val="000000000000" w:firstRow="0" w:lastRow="0" w:firstColumn="0" w:lastColumn="0" w:oddVBand="0" w:evenVBand="0" w:oddHBand="0" w:evenHBand="0" w:firstRowFirstColumn="0" w:firstRowLastColumn="0" w:lastRowFirstColumn="0" w:lastRowLastColumn="0"/>
              <w:rPr>
                <w:szCs w:val="20"/>
              </w:rPr>
            </w:pPr>
            <w:r w:rsidRPr="00AA22F2">
              <w:rPr>
                <w:szCs w:val="20"/>
              </w:rPr>
              <w:t>Majeure</w:t>
            </w:r>
          </w:p>
        </w:tc>
      </w:tr>
      <w:tr w:rsidR="00A71E21" w:rsidRPr="00655B94" w14:paraId="2143F259" w14:textId="77777777" w:rsidTr="005A7661">
        <w:tc>
          <w:tcPr>
            <w:cnfStyle w:val="001000000000" w:firstRow="0" w:lastRow="0" w:firstColumn="1" w:lastColumn="0" w:oddVBand="0" w:evenVBand="0" w:oddHBand="0" w:evenHBand="0" w:firstRowFirstColumn="0" w:firstRowLastColumn="0" w:lastRowFirstColumn="0" w:lastRowLastColumn="0"/>
            <w:tcW w:w="0" w:type="auto"/>
            <w:vMerge/>
            <w:hideMark/>
          </w:tcPr>
          <w:p w14:paraId="590D1D4A" w14:textId="77777777" w:rsidR="00A71E21" w:rsidRPr="00AA22F2" w:rsidRDefault="00A71E21" w:rsidP="00A71E21">
            <w:pPr>
              <w:rPr>
                <w:szCs w:val="20"/>
              </w:rPr>
            </w:pPr>
          </w:p>
        </w:tc>
        <w:tc>
          <w:tcPr>
            <w:tcW w:w="0" w:type="auto"/>
            <w:vMerge/>
            <w:hideMark/>
          </w:tcPr>
          <w:p w14:paraId="672992D2" w14:textId="77777777" w:rsidR="00A71E21" w:rsidRPr="00AA22F2" w:rsidRDefault="00A71E21" w:rsidP="00A71E21">
            <w:pPr>
              <w:cnfStyle w:val="000000000000" w:firstRow="0" w:lastRow="0" w:firstColumn="0" w:lastColumn="0" w:oddVBand="0" w:evenVBand="0" w:oddHBand="0" w:evenHBand="0" w:firstRowFirstColumn="0" w:firstRowLastColumn="0" w:lastRowFirstColumn="0" w:lastRowLastColumn="0"/>
              <w:rPr>
                <w:szCs w:val="20"/>
              </w:rPr>
            </w:pPr>
          </w:p>
        </w:tc>
        <w:tc>
          <w:tcPr>
            <w:tcW w:w="0" w:type="auto"/>
            <w:hideMark/>
          </w:tcPr>
          <w:p w14:paraId="40F2748E" w14:textId="77777777" w:rsidR="00A71E21" w:rsidRPr="00AA22F2" w:rsidRDefault="00A71E21" w:rsidP="00A71E21">
            <w:pPr>
              <w:cnfStyle w:val="000000000000" w:firstRow="0" w:lastRow="0" w:firstColumn="0" w:lastColumn="0" w:oddVBand="0" w:evenVBand="0" w:oddHBand="0" w:evenHBand="0" w:firstRowFirstColumn="0" w:firstRowLastColumn="0" w:lastRowFirstColumn="0" w:lastRowLastColumn="0"/>
              <w:rPr>
                <w:szCs w:val="20"/>
              </w:rPr>
            </w:pPr>
            <w:r w:rsidRPr="00AA22F2">
              <w:rPr>
                <w:b/>
                <w:bCs/>
                <w:szCs w:val="20"/>
              </w:rPr>
              <w:t>Évaluation globale</w:t>
            </w:r>
          </w:p>
        </w:tc>
        <w:tc>
          <w:tcPr>
            <w:tcW w:w="0" w:type="auto"/>
            <w:hideMark/>
          </w:tcPr>
          <w:p w14:paraId="306E4580" w14:textId="54FC9C44" w:rsidR="00A71E21" w:rsidRPr="00AA22F2" w:rsidRDefault="00A71E21" w:rsidP="00A71E21">
            <w:pPr>
              <w:cnfStyle w:val="000000000000" w:firstRow="0" w:lastRow="0" w:firstColumn="0" w:lastColumn="0" w:oddVBand="0" w:evenVBand="0" w:oddHBand="0" w:evenHBand="0" w:firstRowFirstColumn="0" w:firstRowLastColumn="0" w:lastRowFirstColumn="0" w:lastRowLastColumn="0"/>
              <w:rPr>
                <w:szCs w:val="20"/>
              </w:rPr>
            </w:pPr>
            <w:r w:rsidRPr="00AA22F2">
              <w:rPr>
                <w:szCs w:val="20"/>
              </w:rPr>
              <w:t>Risque local et temporaire, maîtrisable par des campagnes de sensibilisation et un suivi médical.</w:t>
            </w:r>
          </w:p>
        </w:tc>
        <w:tc>
          <w:tcPr>
            <w:tcW w:w="0" w:type="auto"/>
            <w:hideMark/>
          </w:tcPr>
          <w:p w14:paraId="116D1825" w14:textId="5B58AB2A" w:rsidR="00A71E21" w:rsidRPr="00AA22F2" w:rsidRDefault="00A71E21" w:rsidP="00A71E21">
            <w:pPr>
              <w:cnfStyle w:val="000000000000" w:firstRow="0" w:lastRow="0" w:firstColumn="0" w:lastColumn="0" w:oddVBand="0" w:evenVBand="0" w:oddHBand="0" w:evenHBand="0" w:firstRowFirstColumn="0" w:firstRowLastColumn="0" w:lastRowFirstColumn="0" w:lastRowLastColumn="0"/>
              <w:rPr>
                <w:szCs w:val="20"/>
              </w:rPr>
            </w:pPr>
            <w:r w:rsidRPr="004637C7">
              <w:rPr>
                <w:szCs w:val="20"/>
              </w:rPr>
              <w:t>Critique</w:t>
            </w:r>
          </w:p>
        </w:tc>
      </w:tr>
    </w:tbl>
    <w:p w14:paraId="52F596CB" w14:textId="77777777" w:rsidR="00DB08A1" w:rsidRPr="00573981" w:rsidRDefault="00DB08A1" w:rsidP="0001633E">
      <w:pPr>
        <w:pStyle w:val="AltTitle2"/>
        <w:numPr>
          <w:ilvl w:val="0"/>
          <w:numId w:val="106"/>
        </w:numPr>
      </w:pPr>
      <w:r w:rsidRPr="00573981">
        <w:lastRenderedPageBreak/>
        <w:t>Risque de violences basées sur le genre et tensions sociales (VBG/SEAH)</w:t>
      </w:r>
    </w:p>
    <w:p w14:paraId="29A36421" w14:textId="77777777" w:rsidR="00573981" w:rsidRDefault="00DB08A1" w:rsidP="00DB08A1">
      <w:r w:rsidRPr="00DB08A1">
        <w:t>La concentration d’une main-d’œuvre masculine temporaire à proximité du chantier et l’absence de mécanismes de contrôle social peuvent générer des situations de harcèlement sexuel, de comportements inappropriés ou de violences basées sur le genre (VBG/SEAH). Ce risque social est souvent accentué par le manque de formation et de sensibilisation du personnel à la prévention de ces comportements.</w:t>
      </w:r>
    </w:p>
    <w:p w14:paraId="2B6C1943" w14:textId="77777777" w:rsidR="00573981" w:rsidRDefault="00DB08A1" w:rsidP="00DB08A1">
      <w:r w:rsidRPr="00DB08A1">
        <w:t xml:space="preserve">Le risque est </w:t>
      </w:r>
      <w:r w:rsidRPr="004637C7">
        <w:t>direct et social</w:t>
      </w:r>
      <w:r w:rsidRPr="00DB08A1">
        <w:t xml:space="preserve">, de </w:t>
      </w:r>
      <w:r w:rsidRPr="004637C7">
        <w:t>probabilité probable</w:t>
      </w:r>
      <w:r w:rsidRPr="00DB08A1">
        <w:t xml:space="preserve"> et de </w:t>
      </w:r>
      <w:r w:rsidRPr="004637C7">
        <w:t>gravité majeure</w:t>
      </w:r>
      <w:r w:rsidRPr="00DB08A1">
        <w:t xml:space="preserve">, car il touche à la dignité et à la sécurité des femmes, en particulier les travailleuses et les habitantes des zones proches. Les </w:t>
      </w:r>
      <w:r w:rsidRPr="004637C7">
        <w:t>récepteurs sensibles</w:t>
      </w:r>
      <w:r w:rsidRPr="00DB08A1">
        <w:t xml:space="preserve"> sont les </w:t>
      </w:r>
      <w:r w:rsidRPr="004637C7">
        <w:t>femmes et jeunes filles</w:t>
      </w:r>
      <w:r w:rsidRPr="00DB08A1">
        <w:t xml:space="preserve"> des communautés environnantes, avec une </w:t>
      </w:r>
      <w:r w:rsidRPr="004637C7">
        <w:t>sensibilité moyenne</w:t>
      </w:r>
      <w:r w:rsidRPr="00DB08A1">
        <w:t>, la population locale étant peu dense mais socialement vulnérable.</w:t>
      </w:r>
    </w:p>
    <w:p w14:paraId="32A6C2E9" w14:textId="1B6FCF30" w:rsidR="00DB08A1" w:rsidRDefault="00DB08A1" w:rsidP="00DB08A1">
      <w:r w:rsidRPr="00DB08A1">
        <w:t>L’</w:t>
      </w:r>
      <w:r w:rsidRPr="004637C7">
        <w:t>évaluation globale</w:t>
      </w:r>
      <w:r w:rsidRPr="00DB08A1">
        <w:t xml:space="preserve"> du risque est </w:t>
      </w:r>
      <w:r w:rsidRPr="004637C7">
        <w:t>critique</w:t>
      </w:r>
      <w:r w:rsidRPr="00DB08A1">
        <w:t>, car les répercussions sociales et réputationnelles peuvent être graves pour le projet.</w:t>
      </w:r>
    </w:p>
    <w:tbl>
      <w:tblPr>
        <w:tblStyle w:val="TableauGrille1Clair-Accentuation111"/>
        <w:tblW w:w="0" w:type="auto"/>
        <w:tblLook w:val="04A0" w:firstRow="1" w:lastRow="0" w:firstColumn="1" w:lastColumn="0" w:noHBand="0" w:noVBand="1"/>
      </w:tblPr>
      <w:tblGrid>
        <w:gridCol w:w="1958"/>
        <w:gridCol w:w="2457"/>
        <w:gridCol w:w="1231"/>
        <w:gridCol w:w="2468"/>
        <w:gridCol w:w="946"/>
      </w:tblGrid>
      <w:tr w:rsidR="00655B94" w:rsidRPr="00655B94" w14:paraId="369B0572" w14:textId="77777777" w:rsidTr="00F0564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3286A7EB" w14:textId="77777777" w:rsidR="00F0564D" w:rsidRPr="00AA22F2" w:rsidRDefault="00F0564D" w:rsidP="00F0564D">
            <w:pPr>
              <w:rPr>
                <w:szCs w:val="20"/>
              </w:rPr>
            </w:pPr>
            <w:r w:rsidRPr="00AA22F2">
              <w:rPr>
                <w:szCs w:val="20"/>
              </w:rPr>
              <w:t>Risque</w:t>
            </w:r>
          </w:p>
        </w:tc>
        <w:tc>
          <w:tcPr>
            <w:tcW w:w="0" w:type="auto"/>
            <w:hideMark/>
          </w:tcPr>
          <w:p w14:paraId="72E4AC79" w14:textId="77777777" w:rsidR="00F0564D" w:rsidRPr="00AA22F2" w:rsidRDefault="00F0564D" w:rsidP="00F0564D">
            <w:pPr>
              <w:cnfStyle w:val="100000000000" w:firstRow="1" w:lastRow="0" w:firstColumn="0" w:lastColumn="0" w:oddVBand="0" w:evenVBand="0" w:oddHBand="0" w:evenHBand="0" w:firstRowFirstColumn="0" w:firstRowLastColumn="0" w:lastRowFirstColumn="0" w:lastRowLastColumn="0"/>
              <w:rPr>
                <w:szCs w:val="20"/>
              </w:rPr>
            </w:pPr>
            <w:r w:rsidRPr="00AA22F2">
              <w:rPr>
                <w:szCs w:val="20"/>
              </w:rPr>
              <w:t>Activités génératrices</w:t>
            </w:r>
          </w:p>
        </w:tc>
        <w:tc>
          <w:tcPr>
            <w:tcW w:w="0" w:type="auto"/>
            <w:hideMark/>
          </w:tcPr>
          <w:p w14:paraId="49B99072" w14:textId="77777777" w:rsidR="00F0564D" w:rsidRPr="00AA22F2" w:rsidRDefault="00F0564D" w:rsidP="00F0564D">
            <w:pPr>
              <w:cnfStyle w:val="100000000000" w:firstRow="1" w:lastRow="0" w:firstColumn="0" w:lastColumn="0" w:oddVBand="0" w:evenVBand="0" w:oddHBand="0" w:evenHBand="0" w:firstRowFirstColumn="0" w:firstRowLastColumn="0" w:lastRowFirstColumn="0" w:lastRowLastColumn="0"/>
              <w:rPr>
                <w:szCs w:val="20"/>
              </w:rPr>
            </w:pPr>
            <w:r w:rsidRPr="00AA22F2">
              <w:rPr>
                <w:szCs w:val="20"/>
              </w:rPr>
              <w:t>Critère</w:t>
            </w:r>
          </w:p>
        </w:tc>
        <w:tc>
          <w:tcPr>
            <w:tcW w:w="0" w:type="auto"/>
            <w:hideMark/>
          </w:tcPr>
          <w:p w14:paraId="6EE7543B" w14:textId="77777777" w:rsidR="00F0564D" w:rsidRPr="00AA22F2" w:rsidRDefault="00F0564D" w:rsidP="00F0564D">
            <w:pPr>
              <w:cnfStyle w:val="100000000000" w:firstRow="1" w:lastRow="0" w:firstColumn="0" w:lastColumn="0" w:oddVBand="0" w:evenVBand="0" w:oddHBand="0" w:evenHBand="0" w:firstRowFirstColumn="0" w:firstRowLastColumn="0" w:lastRowFirstColumn="0" w:lastRowLastColumn="0"/>
              <w:rPr>
                <w:szCs w:val="20"/>
              </w:rPr>
            </w:pPr>
            <w:r w:rsidRPr="00AA22F2">
              <w:rPr>
                <w:szCs w:val="20"/>
              </w:rPr>
              <w:t>Justification</w:t>
            </w:r>
          </w:p>
        </w:tc>
        <w:tc>
          <w:tcPr>
            <w:tcW w:w="0" w:type="auto"/>
            <w:hideMark/>
          </w:tcPr>
          <w:p w14:paraId="3B974E13" w14:textId="77777777" w:rsidR="00F0564D" w:rsidRPr="00AA22F2" w:rsidRDefault="00F0564D" w:rsidP="00F0564D">
            <w:pPr>
              <w:cnfStyle w:val="100000000000" w:firstRow="1" w:lastRow="0" w:firstColumn="0" w:lastColumn="0" w:oddVBand="0" w:evenVBand="0" w:oddHBand="0" w:evenHBand="0" w:firstRowFirstColumn="0" w:firstRowLastColumn="0" w:lastRowFirstColumn="0" w:lastRowLastColumn="0"/>
              <w:rPr>
                <w:szCs w:val="20"/>
              </w:rPr>
            </w:pPr>
            <w:r w:rsidRPr="00AA22F2">
              <w:rPr>
                <w:szCs w:val="20"/>
              </w:rPr>
              <w:t>Niveau</w:t>
            </w:r>
          </w:p>
        </w:tc>
      </w:tr>
      <w:tr w:rsidR="00655B94" w:rsidRPr="00655B94" w14:paraId="34C8F619" w14:textId="77777777" w:rsidTr="005A7661">
        <w:tc>
          <w:tcPr>
            <w:cnfStyle w:val="001000000000" w:firstRow="0" w:lastRow="0" w:firstColumn="1" w:lastColumn="0" w:oddVBand="0" w:evenVBand="0" w:oddHBand="0" w:evenHBand="0" w:firstRowFirstColumn="0" w:firstRowLastColumn="0" w:lastRowFirstColumn="0" w:lastRowLastColumn="0"/>
            <w:tcW w:w="0" w:type="auto"/>
            <w:vMerge w:val="restart"/>
            <w:hideMark/>
          </w:tcPr>
          <w:p w14:paraId="742CB862" w14:textId="77777777" w:rsidR="00655B94" w:rsidRPr="00AA22F2" w:rsidRDefault="00655B94" w:rsidP="00F0564D">
            <w:pPr>
              <w:rPr>
                <w:szCs w:val="20"/>
              </w:rPr>
            </w:pPr>
            <w:r w:rsidRPr="00AA22F2">
              <w:rPr>
                <w:szCs w:val="20"/>
              </w:rPr>
              <w:t>Violences basées sur le genre et harcèlement sexuel (VBG/SEAH)</w:t>
            </w:r>
          </w:p>
        </w:tc>
        <w:tc>
          <w:tcPr>
            <w:tcW w:w="0" w:type="auto"/>
            <w:vMerge w:val="restart"/>
            <w:hideMark/>
          </w:tcPr>
          <w:p w14:paraId="72AA7CDD" w14:textId="77777777" w:rsidR="00655B94" w:rsidRPr="00AA22F2" w:rsidRDefault="00655B94" w:rsidP="00F0564D">
            <w:pPr>
              <w:cnfStyle w:val="000000000000" w:firstRow="0" w:lastRow="0" w:firstColumn="0" w:lastColumn="0" w:oddVBand="0" w:evenVBand="0" w:oddHBand="0" w:evenHBand="0" w:firstRowFirstColumn="0" w:firstRowLastColumn="0" w:lastRowFirstColumn="0" w:lastRowLastColumn="0"/>
              <w:rPr>
                <w:szCs w:val="20"/>
              </w:rPr>
            </w:pPr>
            <w:r w:rsidRPr="00AA22F2">
              <w:rPr>
                <w:szCs w:val="20"/>
              </w:rPr>
              <w:t>Coexistence d’une main-d’œuvre masculine nombreuse, logement temporaire, absence de contrôle social</w:t>
            </w:r>
          </w:p>
        </w:tc>
        <w:tc>
          <w:tcPr>
            <w:tcW w:w="0" w:type="auto"/>
            <w:hideMark/>
          </w:tcPr>
          <w:p w14:paraId="11850E78" w14:textId="77777777" w:rsidR="00655B94" w:rsidRPr="00AA22F2" w:rsidRDefault="00655B94" w:rsidP="00F0564D">
            <w:pPr>
              <w:cnfStyle w:val="000000000000" w:firstRow="0" w:lastRow="0" w:firstColumn="0" w:lastColumn="0" w:oddVBand="0" w:evenVBand="0" w:oddHBand="0" w:evenHBand="0" w:firstRowFirstColumn="0" w:firstRowLastColumn="0" w:lastRowFirstColumn="0" w:lastRowLastColumn="0"/>
              <w:rPr>
                <w:szCs w:val="20"/>
              </w:rPr>
            </w:pPr>
            <w:r w:rsidRPr="00AA22F2">
              <w:rPr>
                <w:b/>
                <w:bCs/>
                <w:szCs w:val="20"/>
              </w:rPr>
              <w:t>Probabilité</w:t>
            </w:r>
          </w:p>
        </w:tc>
        <w:tc>
          <w:tcPr>
            <w:tcW w:w="0" w:type="auto"/>
            <w:hideMark/>
          </w:tcPr>
          <w:p w14:paraId="3888BF87" w14:textId="1F4FF3B7" w:rsidR="00655B94" w:rsidRPr="00AA22F2" w:rsidRDefault="00655B94" w:rsidP="00F0564D">
            <w:pPr>
              <w:cnfStyle w:val="000000000000" w:firstRow="0" w:lastRow="0" w:firstColumn="0" w:lastColumn="0" w:oddVBand="0" w:evenVBand="0" w:oddHBand="0" w:evenHBand="0" w:firstRowFirstColumn="0" w:firstRowLastColumn="0" w:lastRowFirstColumn="0" w:lastRowLastColumn="0"/>
              <w:rPr>
                <w:szCs w:val="20"/>
              </w:rPr>
            </w:pPr>
            <w:r w:rsidRPr="00AA22F2">
              <w:rPr>
                <w:szCs w:val="20"/>
              </w:rPr>
              <w:t>Contexte de chantier propice sans mesures de prévention.</w:t>
            </w:r>
          </w:p>
        </w:tc>
        <w:tc>
          <w:tcPr>
            <w:tcW w:w="0" w:type="auto"/>
            <w:hideMark/>
          </w:tcPr>
          <w:p w14:paraId="71285EC7" w14:textId="0DFCF936" w:rsidR="00655B94" w:rsidRPr="00AA22F2" w:rsidRDefault="00655B94" w:rsidP="00F0564D">
            <w:pPr>
              <w:cnfStyle w:val="000000000000" w:firstRow="0" w:lastRow="0" w:firstColumn="0" w:lastColumn="0" w:oddVBand="0" w:evenVBand="0" w:oddHBand="0" w:evenHBand="0" w:firstRowFirstColumn="0" w:firstRowLastColumn="0" w:lastRowFirstColumn="0" w:lastRowLastColumn="0"/>
              <w:rPr>
                <w:szCs w:val="20"/>
              </w:rPr>
            </w:pPr>
            <w:r w:rsidRPr="00AA22F2">
              <w:rPr>
                <w:szCs w:val="20"/>
              </w:rPr>
              <w:t>Probable</w:t>
            </w:r>
          </w:p>
        </w:tc>
      </w:tr>
      <w:tr w:rsidR="00655B94" w:rsidRPr="00655B94" w14:paraId="5123BAB0" w14:textId="77777777" w:rsidTr="005A7661">
        <w:tc>
          <w:tcPr>
            <w:cnfStyle w:val="001000000000" w:firstRow="0" w:lastRow="0" w:firstColumn="1" w:lastColumn="0" w:oddVBand="0" w:evenVBand="0" w:oddHBand="0" w:evenHBand="0" w:firstRowFirstColumn="0" w:firstRowLastColumn="0" w:lastRowFirstColumn="0" w:lastRowLastColumn="0"/>
            <w:tcW w:w="0" w:type="auto"/>
            <w:vMerge/>
            <w:hideMark/>
          </w:tcPr>
          <w:p w14:paraId="1C95F606" w14:textId="77777777" w:rsidR="00655B94" w:rsidRPr="00AA22F2" w:rsidRDefault="00655B94" w:rsidP="00F0564D">
            <w:pPr>
              <w:rPr>
                <w:szCs w:val="20"/>
              </w:rPr>
            </w:pPr>
          </w:p>
        </w:tc>
        <w:tc>
          <w:tcPr>
            <w:tcW w:w="0" w:type="auto"/>
            <w:vMerge/>
            <w:hideMark/>
          </w:tcPr>
          <w:p w14:paraId="400C0EF5" w14:textId="77777777" w:rsidR="00655B94" w:rsidRPr="00AA22F2" w:rsidRDefault="00655B94" w:rsidP="00F0564D">
            <w:pPr>
              <w:cnfStyle w:val="000000000000" w:firstRow="0" w:lastRow="0" w:firstColumn="0" w:lastColumn="0" w:oddVBand="0" w:evenVBand="0" w:oddHBand="0" w:evenHBand="0" w:firstRowFirstColumn="0" w:firstRowLastColumn="0" w:lastRowFirstColumn="0" w:lastRowLastColumn="0"/>
              <w:rPr>
                <w:szCs w:val="20"/>
              </w:rPr>
            </w:pPr>
          </w:p>
        </w:tc>
        <w:tc>
          <w:tcPr>
            <w:tcW w:w="0" w:type="auto"/>
            <w:hideMark/>
          </w:tcPr>
          <w:p w14:paraId="29A6B17C" w14:textId="77777777" w:rsidR="00655B94" w:rsidRPr="00AA22F2" w:rsidRDefault="00655B94" w:rsidP="00F0564D">
            <w:pPr>
              <w:cnfStyle w:val="000000000000" w:firstRow="0" w:lastRow="0" w:firstColumn="0" w:lastColumn="0" w:oddVBand="0" w:evenVBand="0" w:oddHBand="0" w:evenHBand="0" w:firstRowFirstColumn="0" w:firstRowLastColumn="0" w:lastRowFirstColumn="0" w:lastRowLastColumn="0"/>
              <w:rPr>
                <w:szCs w:val="20"/>
              </w:rPr>
            </w:pPr>
            <w:r w:rsidRPr="00AA22F2">
              <w:rPr>
                <w:b/>
                <w:bCs/>
                <w:szCs w:val="20"/>
              </w:rPr>
              <w:t>Gravité</w:t>
            </w:r>
          </w:p>
        </w:tc>
        <w:tc>
          <w:tcPr>
            <w:tcW w:w="0" w:type="auto"/>
            <w:hideMark/>
          </w:tcPr>
          <w:p w14:paraId="7AF3ABC6" w14:textId="7F66849F" w:rsidR="00655B94" w:rsidRPr="00AA22F2" w:rsidRDefault="00655B94" w:rsidP="00F0564D">
            <w:pPr>
              <w:cnfStyle w:val="000000000000" w:firstRow="0" w:lastRow="0" w:firstColumn="0" w:lastColumn="0" w:oddVBand="0" w:evenVBand="0" w:oddHBand="0" w:evenHBand="0" w:firstRowFirstColumn="0" w:firstRowLastColumn="0" w:lastRowFirstColumn="0" w:lastRowLastColumn="0"/>
              <w:rPr>
                <w:szCs w:val="20"/>
              </w:rPr>
            </w:pPr>
            <w:r w:rsidRPr="00AA22F2">
              <w:rPr>
                <w:szCs w:val="20"/>
              </w:rPr>
              <w:t>Atteinte à la dignité et à la sécurité des femmes, impact réputationnel.</w:t>
            </w:r>
          </w:p>
        </w:tc>
        <w:tc>
          <w:tcPr>
            <w:tcW w:w="0" w:type="auto"/>
            <w:hideMark/>
          </w:tcPr>
          <w:p w14:paraId="7111C0F0" w14:textId="4EC09F0A" w:rsidR="00655B94" w:rsidRPr="00AA22F2" w:rsidRDefault="00655B94" w:rsidP="00F0564D">
            <w:pPr>
              <w:cnfStyle w:val="000000000000" w:firstRow="0" w:lastRow="0" w:firstColumn="0" w:lastColumn="0" w:oddVBand="0" w:evenVBand="0" w:oddHBand="0" w:evenHBand="0" w:firstRowFirstColumn="0" w:firstRowLastColumn="0" w:lastRowFirstColumn="0" w:lastRowLastColumn="0"/>
              <w:rPr>
                <w:szCs w:val="20"/>
              </w:rPr>
            </w:pPr>
            <w:r w:rsidRPr="00AA22F2">
              <w:rPr>
                <w:szCs w:val="20"/>
              </w:rPr>
              <w:t>Majeure</w:t>
            </w:r>
          </w:p>
        </w:tc>
      </w:tr>
      <w:tr w:rsidR="00655B94" w:rsidRPr="00655B94" w14:paraId="043C7AB8" w14:textId="77777777" w:rsidTr="005A7661">
        <w:tc>
          <w:tcPr>
            <w:cnfStyle w:val="001000000000" w:firstRow="0" w:lastRow="0" w:firstColumn="1" w:lastColumn="0" w:oddVBand="0" w:evenVBand="0" w:oddHBand="0" w:evenHBand="0" w:firstRowFirstColumn="0" w:firstRowLastColumn="0" w:lastRowFirstColumn="0" w:lastRowLastColumn="0"/>
            <w:tcW w:w="0" w:type="auto"/>
            <w:vMerge/>
            <w:hideMark/>
          </w:tcPr>
          <w:p w14:paraId="62BDC362" w14:textId="77777777" w:rsidR="00655B94" w:rsidRPr="00AA22F2" w:rsidRDefault="00655B94" w:rsidP="00F0564D">
            <w:pPr>
              <w:rPr>
                <w:szCs w:val="20"/>
              </w:rPr>
            </w:pPr>
          </w:p>
        </w:tc>
        <w:tc>
          <w:tcPr>
            <w:tcW w:w="0" w:type="auto"/>
            <w:vMerge/>
            <w:hideMark/>
          </w:tcPr>
          <w:p w14:paraId="24FD7174" w14:textId="77777777" w:rsidR="00655B94" w:rsidRPr="00AA22F2" w:rsidRDefault="00655B94" w:rsidP="00F0564D">
            <w:pPr>
              <w:cnfStyle w:val="000000000000" w:firstRow="0" w:lastRow="0" w:firstColumn="0" w:lastColumn="0" w:oddVBand="0" w:evenVBand="0" w:oddHBand="0" w:evenHBand="0" w:firstRowFirstColumn="0" w:firstRowLastColumn="0" w:lastRowFirstColumn="0" w:lastRowLastColumn="0"/>
              <w:rPr>
                <w:szCs w:val="20"/>
              </w:rPr>
            </w:pPr>
          </w:p>
        </w:tc>
        <w:tc>
          <w:tcPr>
            <w:tcW w:w="0" w:type="auto"/>
            <w:hideMark/>
          </w:tcPr>
          <w:p w14:paraId="29F6235E" w14:textId="77777777" w:rsidR="00655B94" w:rsidRPr="00AA22F2" w:rsidRDefault="00655B94" w:rsidP="00F0564D">
            <w:pPr>
              <w:cnfStyle w:val="000000000000" w:firstRow="0" w:lastRow="0" w:firstColumn="0" w:lastColumn="0" w:oddVBand="0" w:evenVBand="0" w:oddHBand="0" w:evenHBand="0" w:firstRowFirstColumn="0" w:firstRowLastColumn="0" w:lastRowFirstColumn="0" w:lastRowLastColumn="0"/>
              <w:rPr>
                <w:szCs w:val="20"/>
              </w:rPr>
            </w:pPr>
            <w:r w:rsidRPr="00AA22F2">
              <w:rPr>
                <w:b/>
                <w:bCs/>
                <w:szCs w:val="20"/>
              </w:rPr>
              <w:t>Évaluation globale</w:t>
            </w:r>
          </w:p>
        </w:tc>
        <w:tc>
          <w:tcPr>
            <w:tcW w:w="0" w:type="auto"/>
            <w:hideMark/>
          </w:tcPr>
          <w:p w14:paraId="62B797C6" w14:textId="302E9AAE" w:rsidR="00655B94" w:rsidRPr="00AA22F2" w:rsidRDefault="00655B94" w:rsidP="00F0564D">
            <w:pPr>
              <w:cnfStyle w:val="000000000000" w:firstRow="0" w:lastRow="0" w:firstColumn="0" w:lastColumn="0" w:oddVBand="0" w:evenVBand="0" w:oddHBand="0" w:evenHBand="0" w:firstRowFirstColumn="0" w:firstRowLastColumn="0" w:lastRowFirstColumn="0" w:lastRowLastColumn="0"/>
              <w:rPr>
                <w:szCs w:val="20"/>
              </w:rPr>
            </w:pPr>
            <w:r w:rsidRPr="00AA22F2">
              <w:rPr>
                <w:szCs w:val="20"/>
              </w:rPr>
              <w:t>Risque critique, de nature sociale, exigeant formation, code de conduite et mécanisme de plainte.</w:t>
            </w:r>
          </w:p>
        </w:tc>
        <w:tc>
          <w:tcPr>
            <w:tcW w:w="0" w:type="auto"/>
            <w:hideMark/>
          </w:tcPr>
          <w:p w14:paraId="384683D6" w14:textId="454108FC" w:rsidR="00655B94" w:rsidRPr="00AA22F2" w:rsidRDefault="00655B94" w:rsidP="00F0564D">
            <w:pPr>
              <w:cnfStyle w:val="000000000000" w:firstRow="0" w:lastRow="0" w:firstColumn="0" w:lastColumn="0" w:oddVBand="0" w:evenVBand="0" w:oddHBand="0" w:evenHBand="0" w:firstRowFirstColumn="0" w:firstRowLastColumn="0" w:lastRowFirstColumn="0" w:lastRowLastColumn="0"/>
              <w:rPr>
                <w:szCs w:val="20"/>
              </w:rPr>
            </w:pPr>
            <w:r w:rsidRPr="00AA22F2">
              <w:rPr>
                <w:b/>
                <w:bCs/>
                <w:szCs w:val="20"/>
              </w:rPr>
              <w:t>Critique</w:t>
            </w:r>
          </w:p>
        </w:tc>
      </w:tr>
    </w:tbl>
    <w:p w14:paraId="339A22A2" w14:textId="77777777" w:rsidR="00DB08A1" w:rsidRPr="002E24D5" w:rsidRDefault="00DB08A1" w:rsidP="0001633E">
      <w:pPr>
        <w:pStyle w:val="AltTitle2"/>
        <w:numPr>
          <w:ilvl w:val="0"/>
          <w:numId w:val="106"/>
        </w:numPr>
      </w:pPr>
      <w:r w:rsidRPr="002E24D5">
        <w:t>Risque d’incendie ou d’explosion affectant les communautés voisines</w:t>
      </w:r>
    </w:p>
    <w:p w14:paraId="7CE66A98" w14:textId="77777777" w:rsidR="00573981" w:rsidRDefault="00DB08A1" w:rsidP="00DB08A1">
      <w:r w:rsidRPr="00DB08A1">
        <w:t>L’entreposage de carburants, de solvants et d’huiles pour l’alimentation des engins de chantier comporte un risque d’incendie ou d’explosion. Une mauvaise manipulation, une fuite ou un court-circuit peuvent provoquer des incendies pouvant se propager au-delà du périmètre du chantier.</w:t>
      </w:r>
    </w:p>
    <w:p w14:paraId="0DF39752" w14:textId="311CBA15" w:rsidR="002E24D5" w:rsidRDefault="00DB08A1" w:rsidP="00DB08A1">
      <w:r w:rsidRPr="00DB08A1">
        <w:t xml:space="preserve">Le risque est </w:t>
      </w:r>
      <w:r w:rsidRPr="004637C7">
        <w:t>local et direct</w:t>
      </w:r>
      <w:r w:rsidRPr="00DB08A1">
        <w:t xml:space="preserve">, de </w:t>
      </w:r>
      <w:r w:rsidRPr="004637C7">
        <w:t>probabilité occasionnelle à probable</w:t>
      </w:r>
      <w:r w:rsidRPr="00DB08A1">
        <w:t xml:space="preserve"> selon les conditions de stockage, et de </w:t>
      </w:r>
      <w:r w:rsidRPr="004637C7">
        <w:t>gravité majeure</w:t>
      </w:r>
      <w:r w:rsidRPr="00DB08A1">
        <w:t xml:space="preserve"> en cas de sinistre. L’</w:t>
      </w:r>
      <w:r w:rsidRPr="004637C7">
        <w:t>évaluation globale</w:t>
      </w:r>
      <w:r w:rsidRPr="00DB08A1">
        <w:t xml:space="preserve"> est </w:t>
      </w:r>
      <w:r w:rsidRPr="004637C7">
        <w:t>élevée</w:t>
      </w:r>
      <w:r w:rsidRPr="00DB08A1">
        <w:t xml:space="preserve">, bien que la </w:t>
      </w:r>
      <w:r w:rsidRPr="004637C7">
        <w:t>sensibilité</w:t>
      </w:r>
      <w:r w:rsidRPr="00DB08A1">
        <w:t xml:space="preserve"> des récepteurs soit </w:t>
      </w:r>
      <w:r w:rsidRPr="004637C7">
        <w:t>moyenne</w:t>
      </w:r>
      <w:r w:rsidRPr="00DB08A1">
        <w:t xml:space="preserve"> en raison de la distance entre le chantier et les habitations les plus proches</w:t>
      </w:r>
      <w:r w:rsidR="00E57844">
        <w:t>.</w:t>
      </w:r>
    </w:p>
    <w:p w14:paraId="3B2F6BB5" w14:textId="2B022FE1" w:rsidR="00DB08A1" w:rsidRDefault="00DB08A1" w:rsidP="00DB08A1">
      <w:r w:rsidRPr="00DB08A1">
        <w:t>Les effets potentiels incluent la détérioration du sentiment de sécurité communautaire et des dommages matériels en cas d’incident majeur.</w:t>
      </w:r>
    </w:p>
    <w:tbl>
      <w:tblPr>
        <w:tblStyle w:val="TableauGrille1Clair-Accentuation111"/>
        <w:tblW w:w="0" w:type="auto"/>
        <w:tblLook w:val="04A0" w:firstRow="1" w:lastRow="0" w:firstColumn="1" w:lastColumn="0" w:noHBand="0" w:noVBand="1"/>
      </w:tblPr>
      <w:tblGrid>
        <w:gridCol w:w="1979"/>
        <w:gridCol w:w="2064"/>
        <w:gridCol w:w="1229"/>
        <w:gridCol w:w="2444"/>
        <w:gridCol w:w="1344"/>
      </w:tblGrid>
      <w:tr w:rsidR="00655B94" w:rsidRPr="00655B94" w14:paraId="1479A6AA" w14:textId="77777777" w:rsidTr="00655B9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240541F6" w14:textId="77777777" w:rsidR="00655B94" w:rsidRPr="00AA22F2" w:rsidRDefault="00655B94" w:rsidP="00655B94">
            <w:pPr>
              <w:rPr>
                <w:szCs w:val="20"/>
              </w:rPr>
            </w:pPr>
            <w:r w:rsidRPr="00AA22F2">
              <w:rPr>
                <w:szCs w:val="20"/>
              </w:rPr>
              <w:lastRenderedPageBreak/>
              <w:t>Risque</w:t>
            </w:r>
          </w:p>
        </w:tc>
        <w:tc>
          <w:tcPr>
            <w:tcW w:w="0" w:type="auto"/>
            <w:hideMark/>
          </w:tcPr>
          <w:p w14:paraId="78C0315D" w14:textId="77777777" w:rsidR="00655B94" w:rsidRPr="00AA22F2" w:rsidRDefault="00655B94" w:rsidP="00655B94">
            <w:pPr>
              <w:cnfStyle w:val="100000000000" w:firstRow="1" w:lastRow="0" w:firstColumn="0" w:lastColumn="0" w:oddVBand="0" w:evenVBand="0" w:oddHBand="0" w:evenHBand="0" w:firstRowFirstColumn="0" w:firstRowLastColumn="0" w:lastRowFirstColumn="0" w:lastRowLastColumn="0"/>
              <w:rPr>
                <w:szCs w:val="20"/>
              </w:rPr>
            </w:pPr>
            <w:r w:rsidRPr="00AA22F2">
              <w:rPr>
                <w:szCs w:val="20"/>
              </w:rPr>
              <w:t>Activités génératrices</w:t>
            </w:r>
          </w:p>
        </w:tc>
        <w:tc>
          <w:tcPr>
            <w:tcW w:w="0" w:type="auto"/>
            <w:hideMark/>
          </w:tcPr>
          <w:p w14:paraId="0032A311" w14:textId="77777777" w:rsidR="00655B94" w:rsidRPr="00AA22F2" w:rsidRDefault="00655B94" w:rsidP="00655B94">
            <w:pPr>
              <w:cnfStyle w:val="100000000000" w:firstRow="1" w:lastRow="0" w:firstColumn="0" w:lastColumn="0" w:oddVBand="0" w:evenVBand="0" w:oddHBand="0" w:evenHBand="0" w:firstRowFirstColumn="0" w:firstRowLastColumn="0" w:lastRowFirstColumn="0" w:lastRowLastColumn="0"/>
              <w:rPr>
                <w:szCs w:val="20"/>
              </w:rPr>
            </w:pPr>
            <w:r w:rsidRPr="00AA22F2">
              <w:rPr>
                <w:szCs w:val="20"/>
              </w:rPr>
              <w:t>Critère</w:t>
            </w:r>
          </w:p>
        </w:tc>
        <w:tc>
          <w:tcPr>
            <w:tcW w:w="0" w:type="auto"/>
            <w:hideMark/>
          </w:tcPr>
          <w:p w14:paraId="31A67468" w14:textId="77777777" w:rsidR="00655B94" w:rsidRPr="00AA22F2" w:rsidRDefault="00655B94" w:rsidP="00655B94">
            <w:pPr>
              <w:cnfStyle w:val="100000000000" w:firstRow="1" w:lastRow="0" w:firstColumn="0" w:lastColumn="0" w:oddVBand="0" w:evenVBand="0" w:oddHBand="0" w:evenHBand="0" w:firstRowFirstColumn="0" w:firstRowLastColumn="0" w:lastRowFirstColumn="0" w:lastRowLastColumn="0"/>
              <w:rPr>
                <w:szCs w:val="20"/>
              </w:rPr>
            </w:pPr>
            <w:r w:rsidRPr="00AA22F2">
              <w:rPr>
                <w:szCs w:val="20"/>
              </w:rPr>
              <w:t>Justification</w:t>
            </w:r>
          </w:p>
        </w:tc>
        <w:tc>
          <w:tcPr>
            <w:tcW w:w="0" w:type="auto"/>
            <w:hideMark/>
          </w:tcPr>
          <w:p w14:paraId="59CC7A38" w14:textId="77777777" w:rsidR="00655B94" w:rsidRPr="00AA22F2" w:rsidRDefault="00655B94" w:rsidP="00655B94">
            <w:pPr>
              <w:cnfStyle w:val="100000000000" w:firstRow="1" w:lastRow="0" w:firstColumn="0" w:lastColumn="0" w:oddVBand="0" w:evenVBand="0" w:oddHBand="0" w:evenHBand="0" w:firstRowFirstColumn="0" w:firstRowLastColumn="0" w:lastRowFirstColumn="0" w:lastRowLastColumn="0"/>
              <w:rPr>
                <w:szCs w:val="20"/>
              </w:rPr>
            </w:pPr>
            <w:r w:rsidRPr="00AA22F2">
              <w:rPr>
                <w:szCs w:val="20"/>
              </w:rPr>
              <w:t>Niveau</w:t>
            </w:r>
          </w:p>
        </w:tc>
      </w:tr>
      <w:tr w:rsidR="00655B94" w:rsidRPr="00655B94" w14:paraId="09947B2D" w14:textId="77777777" w:rsidTr="005A7661">
        <w:tc>
          <w:tcPr>
            <w:cnfStyle w:val="001000000000" w:firstRow="0" w:lastRow="0" w:firstColumn="1" w:lastColumn="0" w:oddVBand="0" w:evenVBand="0" w:oddHBand="0" w:evenHBand="0" w:firstRowFirstColumn="0" w:firstRowLastColumn="0" w:lastRowFirstColumn="0" w:lastRowLastColumn="0"/>
            <w:tcW w:w="0" w:type="auto"/>
            <w:vMerge w:val="restart"/>
            <w:hideMark/>
          </w:tcPr>
          <w:p w14:paraId="19FB85F3" w14:textId="77777777" w:rsidR="00655B94" w:rsidRPr="00AA22F2" w:rsidRDefault="00655B94" w:rsidP="00655B94">
            <w:pPr>
              <w:rPr>
                <w:szCs w:val="20"/>
              </w:rPr>
            </w:pPr>
            <w:r w:rsidRPr="00AA22F2">
              <w:rPr>
                <w:szCs w:val="20"/>
              </w:rPr>
              <w:t>Incendie ou explosion affectant les communautés voisines</w:t>
            </w:r>
          </w:p>
        </w:tc>
        <w:tc>
          <w:tcPr>
            <w:tcW w:w="0" w:type="auto"/>
            <w:vMerge w:val="restart"/>
            <w:hideMark/>
          </w:tcPr>
          <w:p w14:paraId="614E8BF9" w14:textId="77777777" w:rsidR="00655B94" w:rsidRPr="00AA22F2" w:rsidRDefault="00655B94" w:rsidP="00655B94">
            <w:pPr>
              <w:cnfStyle w:val="000000000000" w:firstRow="0" w:lastRow="0" w:firstColumn="0" w:lastColumn="0" w:oddVBand="0" w:evenVBand="0" w:oddHBand="0" w:evenHBand="0" w:firstRowFirstColumn="0" w:firstRowLastColumn="0" w:lastRowFirstColumn="0" w:lastRowLastColumn="0"/>
              <w:rPr>
                <w:szCs w:val="20"/>
              </w:rPr>
            </w:pPr>
            <w:r w:rsidRPr="00AA22F2">
              <w:rPr>
                <w:szCs w:val="20"/>
              </w:rPr>
              <w:t>Stockage et manipulation de carburants, solvants et huiles sur le chantier</w:t>
            </w:r>
          </w:p>
        </w:tc>
        <w:tc>
          <w:tcPr>
            <w:tcW w:w="0" w:type="auto"/>
            <w:hideMark/>
          </w:tcPr>
          <w:p w14:paraId="1D5CC15A" w14:textId="77777777" w:rsidR="00655B94" w:rsidRPr="00AA22F2" w:rsidRDefault="00655B94" w:rsidP="00655B94">
            <w:pPr>
              <w:cnfStyle w:val="000000000000" w:firstRow="0" w:lastRow="0" w:firstColumn="0" w:lastColumn="0" w:oddVBand="0" w:evenVBand="0" w:oddHBand="0" w:evenHBand="0" w:firstRowFirstColumn="0" w:firstRowLastColumn="0" w:lastRowFirstColumn="0" w:lastRowLastColumn="0"/>
              <w:rPr>
                <w:szCs w:val="20"/>
              </w:rPr>
            </w:pPr>
            <w:r w:rsidRPr="00AA22F2">
              <w:rPr>
                <w:b/>
                <w:bCs/>
                <w:szCs w:val="20"/>
              </w:rPr>
              <w:t>Probabilité</w:t>
            </w:r>
          </w:p>
        </w:tc>
        <w:tc>
          <w:tcPr>
            <w:tcW w:w="0" w:type="auto"/>
            <w:hideMark/>
          </w:tcPr>
          <w:p w14:paraId="0A7250C5" w14:textId="112DB30F" w:rsidR="00655B94" w:rsidRPr="00AA22F2" w:rsidRDefault="00655B94" w:rsidP="00655B94">
            <w:pPr>
              <w:cnfStyle w:val="000000000000" w:firstRow="0" w:lastRow="0" w:firstColumn="0" w:lastColumn="0" w:oddVBand="0" w:evenVBand="0" w:oddHBand="0" w:evenHBand="0" w:firstRowFirstColumn="0" w:firstRowLastColumn="0" w:lastRowFirstColumn="0" w:lastRowLastColumn="0"/>
              <w:rPr>
                <w:szCs w:val="20"/>
              </w:rPr>
            </w:pPr>
            <w:r w:rsidRPr="00AA22F2">
              <w:rPr>
                <w:szCs w:val="20"/>
              </w:rPr>
              <w:t>Dépend des conditions de stockage et des procédures.</w:t>
            </w:r>
          </w:p>
        </w:tc>
        <w:tc>
          <w:tcPr>
            <w:tcW w:w="0" w:type="auto"/>
            <w:hideMark/>
          </w:tcPr>
          <w:p w14:paraId="5E915C72" w14:textId="3A00B04A" w:rsidR="00655B94" w:rsidRPr="00AA22F2" w:rsidRDefault="00655B94" w:rsidP="00655B94">
            <w:pPr>
              <w:cnfStyle w:val="000000000000" w:firstRow="0" w:lastRow="0" w:firstColumn="0" w:lastColumn="0" w:oddVBand="0" w:evenVBand="0" w:oddHBand="0" w:evenHBand="0" w:firstRowFirstColumn="0" w:firstRowLastColumn="0" w:lastRowFirstColumn="0" w:lastRowLastColumn="0"/>
              <w:rPr>
                <w:szCs w:val="20"/>
              </w:rPr>
            </w:pPr>
            <w:r w:rsidRPr="00AA22F2">
              <w:rPr>
                <w:szCs w:val="20"/>
              </w:rPr>
              <w:t>Occasionnelle</w:t>
            </w:r>
          </w:p>
        </w:tc>
      </w:tr>
      <w:tr w:rsidR="00655B94" w:rsidRPr="00655B94" w14:paraId="2AC18365" w14:textId="77777777" w:rsidTr="005A7661">
        <w:tc>
          <w:tcPr>
            <w:cnfStyle w:val="001000000000" w:firstRow="0" w:lastRow="0" w:firstColumn="1" w:lastColumn="0" w:oddVBand="0" w:evenVBand="0" w:oddHBand="0" w:evenHBand="0" w:firstRowFirstColumn="0" w:firstRowLastColumn="0" w:lastRowFirstColumn="0" w:lastRowLastColumn="0"/>
            <w:tcW w:w="0" w:type="auto"/>
            <w:vMerge/>
            <w:hideMark/>
          </w:tcPr>
          <w:p w14:paraId="20462732" w14:textId="77777777" w:rsidR="00655B94" w:rsidRPr="00AA22F2" w:rsidRDefault="00655B94" w:rsidP="00655B94">
            <w:pPr>
              <w:rPr>
                <w:szCs w:val="20"/>
              </w:rPr>
            </w:pPr>
          </w:p>
        </w:tc>
        <w:tc>
          <w:tcPr>
            <w:tcW w:w="0" w:type="auto"/>
            <w:vMerge/>
            <w:hideMark/>
          </w:tcPr>
          <w:p w14:paraId="3E5A6555" w14:textId="77777777" w:rsidR="00655B94" w:rsidRPr="00AA22F2" w:rsidRDefault="00655B94" w:rsidP="00655B94">
            <w:pPr>
              <w:cnfStyle w:val="000000000000" w:firstRow="0" w:lastRow="0" w:firstColumn="0" w:lastColumn="0" w:oddVBand="0" w:evenVBand="0" w:oddHBand="0" w:evenHBand="0" w:firstRowFirstColumn="0" w:firstRowLastColumn="0" w:lastRowFirstColumn="0" w:lastRowLastColumn="0"/>
              <w:rPr>
                <w:szCs w:val="20"/>
              </w:rPr>
            </w:pPr>
          </w:p>
        </w:tc>
        <w:tc>
          <w:tcPr>
            <w:tcW w:w="0" w:type="auto"/>
            <w:hideMark/>
          </w:tcPr>
          <w:p w14:paraId="2CEE4240" w14:textId="77777777" w:rsidR="00655B94" w:rsidRPr="00AA22F2" w:rsidRDefault="00655B94" w:rsidP="00655B94">
            <w:pPr>
              <w:cnfStyle w:val="000000000000" w:firstRow="0" w:lastRow="0" w:firstColumn="0" w:lastColumn="0" w:oddVBand="0" w:evenVBand="0" w:oddHBand="0" w:evenHBand="0" w:firstRowFirstColumn="0" w:firstRowLastColumn="0" w:lastRowFirstColumn="0" w:lastRowLastColumn="0"/>
              <w:rPr>
                <w:szCs w:val="20"/>
              </w:rPr>
            </w:pPr>
            <w:r w:rsidRPr="00AA22F2">
              <w:rPr>
                <w:b/>
                <w:bCs/>
                <w:szCs w:val="20"/>
              </w:rPr>
              <w:t>Gravité</w:t>
            </w:r>
          </w:p>
        </w:tc>
        <w:tc>
          <w:tcPr>
            <w:tcW w:w="0" w:type="auto"/>
            <w:hideMark/>
          </w:tcPr>
          <w:p w14:paraId="4B7058F5" w14:textId="35CA9D08" w:rsidR="00655B94" w:rsidRPr="00AA22F2" w:rsidRDefault="00655B94" w:rsidP="00655B94">
            <w:pPr>
              <w:cnfStyle w:val="000000000000" w:firstRow="0" w:lastRow="0" w:firstColumn="0" w:lastColumn="0" w:oddVBand="0" w:evenVBand="0" w:oddHBand="0" w:evenHBand="0" w:firstRowFirstColumn="0" w:firstRowLastColumn="0" w:lastRowFirstColumn="0" w:lastRowLastColumn="0"/>
              <w:rPr>
                <w:szCs w:val="20"/>
              </w:rPr>
            </w:pPr>
            <w:r w:rsidRPr="00AA22F2">
              <w:rPr>
                <w:szCs w:val="20"/>
              </w:rPr>
              <w:t>Risque d’incendie et panique communautaire, effets matériels limités par la distance</w:t>
            </w:r>
            <w:r w:rsidR="00E57844">
              <w:rPr>
                <w:szCs w:val="20"/>
              </w:rPr>
              <w:t>.</w:t>
            </w:r>
          </w:p>
        </w:tc>
        <w:tc>
          <w:tcPr>
            <w:tcW w:w="0" w:type="auto"/>
            <w:hideMark/>
          </w:tcPr>
          <w:p w14:paraId="30118253" w14:textId="6E082C8B" w:rsidR="00655B94" w:rsidRPr="00AA22F2" w:rsidRDefault="00655B94" w:rsidP="00655B94">
            <w:pPr>
              <w:cnfStyle w:val="000000000000" w:firstRow="0" w:lastRow="0" w:firstColumn="0" w:lastColumn="0" w:oddVBand="0" w:evenVBand="0" w:oddHBand="0" w:evenHBand="0" w:firstRowFirstColumn="0" w:firstRowLastColumn="0" w:lastRowFirstColumn="0" w:lastRowLastColumn="0"/>
              <w:rPr>
                <w:szCs w:val="20"/>
              </w:rPr>
            </w:pPr>
            <w:r w:rsidRPr="00AA22F2">
              <w:rPr>
                <w:szCs w:val="20"/>
              </w:rPr>
              <w:t>Majeure</w:t>
            </w:r>
          </w:p>
        </w:tc>
      </w:tr>
      <w:tr w:rsidR="00655B94" w:rsidRPr="00655B94" w14:paraId="364A2AC3" w14:textId="77777777" w:rsidTr="005A7661">
        <w:tc>
          <w:tcPr>
            <w:cnfStyle w:val="001000000000" w:firstRow="0" w:lastRow="0" w:firstColumn="1" w:lastColumn="0" w:oddVBand="0" w:evenVBand="0" w:oddHBand="0" w:evenHBand="0" w:firstRowFirstColumn="0" w:firstRowLastColumn="0" w:lastRowFirstColumn="0" w:lastRowLastColumn="0"/>
            <w:tcW w:w="0" w:type="auto"/>
            <w:vMerge/>
            <w:hideMark/>
          </w:tcPr>
          <w:p w14:paraId="5CDA79FA" w14:textId="77777777" w:rsidR="00655B94" w:rsidRPr="00AA22F2" w:rsidRDefault="00655B94" w:rsidP="00655B94">
            <w:pPr>
              <w:rPr>
                <w:szCs w:val="20"/>
              </w:rPr>
            </w:pPr>
          </w:p>
        </w:tc>
        <w:tc>
          <w:tcPr>
            <w:tcW w:w="0" w:type="auto"/>
            <w:vMerge/>
            <w:hideMark/>
          </w:tcPr>
          <w:p w14:paraId="4486662E" w14:textId="77777777" w:rsidR="00655B94" w:rsidRPr="00AA22F2" w:rsidRDefault="00655B94" w:rsidP="00655B94">
            <w:pPr>
              <w:cnfStyle w:val="000000000000" w:firstRow="0" w:lastRow="0" w:firstColumn="0" w:lastColumn="0" w:oddVBand="0" w:evenVBand="0" w:oddHBand="0" w:evenHBand="0" w:firstRowFirstColumn="0" w:firstRowLastColumn="0" w:lastRowFirstColumn="0" w:lastRowLastColumn="0"/>
              <w:rPr>
                <w:szCs w:val="20"/>
              </w:rPr>
            </w:pPr>
          </w:p>
        </w:tc>
        <w:tc>
          <w:tcPr>
            <w:tcW w:w="0" w:type="auto"/>
            <w:hideMark/>
          </w:tcPr>
          <w:p w14:paraId="730ABDF0" w14:textId="77777777" w:rsidR="00655B94" w:rsidRPr="00AA22F2" w:rsidRDefault="00655B94" w:rsidP="00655B94">
            <w:pPr>
              <w:cnfStyle w:val="000000000000" w:firstRow="0" w:lastRow="0" w:firstColumn="0" w:lastColumn="0" w:oddVBand="0" w:evenVBand="0" w:oddHBand="0" w:evenHBand="0" w:firstRowFirstColumn="0" w:firstRowLastColumn="0" w:lastRowFirstColumn="0" w:lastRowLastColumn="0"/>
              <w:rPr>
                <w:szCs w:val="20"/>
              </w:rPr>
            </w:pPr>
            <w:r w:rsidRPr="00AA22F2">
              <w:rPr>
                <w:b/>
                <w:bCs/>
                <w:szCs w:val="20"/>
              </w:rPr>
              <w:t>Évaluation globale</w:t>
            </w:r>
          </w:p>
        </w:tc>
        <w:tc>
          <w:tcPr>
            <w:tcW w:w="0" w:type="auto"/>
            <w:hideMark/>
          </w:tcPr>
          <w:p w14:paraId="7E25881C" w14:textId="71D433DE" w:rsidR="00655B94" w:rsidRPr="00AA22F2" w:rsidRDefault="00655B94" w:rsidP="00655B94">
            <w:pPr>
              <w:cnfStyle w:val="000000000000" w:firstRow="0" w:lastRow="0" w:firstColumn="0" w:lastColumn="0" w:oddVBand="0" w:evenVBand="0" w:oddHBand="0" w:evenHBand="0" w:firstRowFirstColumn="0" w:firstRowLastColumn="0" w:lastRowFirstColumn="0" w:lastRowLastColumn="0"/>
              <w:rPr>
                <w:szCs w:val="20"/>
              </w:rPr>
            </w:pPr>
            <w:r w:rsidRPr="00AA22F2">
              <w:rPr>
                <w:szCs w:val="20"/>
              </w:rPr>
              <w:t xml:space="preserve">Risque </w:t>
            </w:r>
            <w:r w:rsidRPr="004637C7">
              <w:rPr>
                <w:szCs w:val="20"/>
              </w:rPr>
              <w:t>critique</w:t>
            </w:r>
            <w:r w:rsidRPr="00AA22F2">
              <w:rPr>
                <w:szCs w:val="20"/>
              </w:rPr>
              <w:t>, localisé et contrôlable par un plan de prévention incendie.</w:t>
            </w:r>
          </w:p>
        </w:tc>
        <w:tc>
          <w:tcPr>
            <w:tcW w:w="0" w:type="auto"/>
            <w:hideMark/>
          </w:tcPr>
          <w:p w14:paraId="00E397FB" w14:textId="49CBA616" w:rsidR="00655B94" w:rsidRPr="00AA22F2" w:rsidRDefault="00655B94" w:rsidP="00655B94">
            <w:pPr>
              <w:cnfStyle w:val="000000000000" w:firstRow="0" w:lastRow="0" w:firstColumn="0" w:lastColumn="0" w:oddVBand="0" w:evenVBand="0" w:oddHBand="0" w:evenHBand="0" w:firstRowFirstColumn="0" w:firstRowLastColumn="0" w:lastRowFirstColumn="0" w:lastRowLastColumn="0"/>
              <w:rPr>
                <w:szCs w:val="20"/>
              </w:rPr>
            </w:pPr>
            <w:r w:rsidRPr="00AA22F2">
              <w:rPr>
                <w:b/>
                <w:bCs/>
                <w:szCs w:val="20"/>
              </w:rPr>
              <w:t>Critique</w:t>
            </w:r>
          </w:p>
        </w:tc>
      </w:tr>
    </w:tbl>
    <w:p w14:paraId="0AE52BAC" w14:textId="3F384FFA" w:rsidR="002E24D5" w:rsidRDefault="002E24D5" w:rsidP="0001633E">
      <w:pPr>
        <w:pStyle w:val="AltTitle2"/>
        <w:numPr>
          <w:ilvl w:val="0"/>
          <w:numId w:val="106"/>
        </w:numPr>
      </w:pPr>
      <w:r>
        <w:t xml:space="preserve">Risque d’altération du climat social </w:t>
      </w:r>
      <w:r w:rsidR="00D27FC8" w:rsidRPr="00D27FC8">
        <w:t>et de la perception communautaire du projet</w:t>
      </w:r>
    </w:p>
    <w:p w14:paraId="218EFC8D" w14:textId="0321A511" w:rsidR="00D27FC8" w:rsidRDefault="00D27FC8" w:rsidP="00D27FC8">
      <w:r>
        <w:t>Bien que le projet d’extension du parking avions et des voies de circulation se déroule entièrement à l’intérieur de l’enceinte aéroportuaire clôturée, sans emprise sur les terrains environnants, certaines perceptions sociales négatives peuvent néanmoins apparaître si la communication communautaire n’est pas correctement assurée.</w:t>
      </w:r>
    </w:p>
    <w:p w14:paraId="057B81E5" w14:textId="77777777" w:rsidR="00D27FC8" w:rsidRDefault="00D27FC8" w:rsidP="00D27FC8">
      <w:r>
        <w:t>Ce risque, davantage psychosocial et réputationnel que matériel, peut découler de malentendus ou d’un manque d’information concernant les retombées locales du projet, notamment sur l’emploi ou l’accès aux opportunités économiques.</w:t>
      </w:r>
    </w:p>
    <w:p w14:paraId="327DDDFB" w14:textId="7F8EED02" w:rsidR="00D27FC8" w:rsidRDefault="00D27FC8" w:rsidP="00D27FC8">
      <w:r>
        <w:t xml:space="preserve">La probabilité d’occurrence est </w:t>
      </w:r>
      <w:r w:rsidR="004331E0">
        <w:t>rare</w:t>
      </w:r>
      <w:r>
        <w:t>, car l’absence d’empiètement sur les terrains privés et la distance du chantier par rapport aux habitations limitent fortement les interactions directes avec les riverains. La gravité est faible, car les effets concernent surtout la perception sociale, sans incidence physique ni économique directe.</w:t>
      </w:r>
    </w:p>
    <w:p w14:paraId="66475E75" w14:textId="2D4AA494" w:rsidR="00A13FD9" w:rsidRDefault="00D27FC8" w:rsidP="00D27FC8">
      <w:r>
        <w:t xml:space="preserve">Les récepteurs sensibles sont les habitants du </w:t>
      </w:r>
      <w:r w:rsidR="00E57844">
        <w:t xml:space="preserve">Bouakkaz </w:t>
      </w:r>
      <w:r>
        <w:t>les plus proches, caractérisés par une sensibilité moyenne, liée à leur dépendance territoriale et à l’intérêt pour les retombées économiques locales.</w:t>
      </w:r>
    </w:p>
    <w:tbl>
      <w:tblPr>
        <w:tblStyle w:val="TableauGrille1Clair-Accentuation111"/>
        <w:tblW w:w="0" w:type="auto"/>
        <w:tblLook w:val="04A0" w:firstRow="1" w:lastRow="0" w:firstColumn="1" w:lastColumn="0" w:noHBand="0" w:noVBand="1"/>
      </w:tblPr>
      <w:tblGrid>
        <w:gridCol w:w="2027"/>
        <w:gridCol w:w="2072"/>
        <w:gridCol w:w="1489"/>
        <w:gridCol w:w="2560"/>
        <w:gridCol w:w="912"/>
      </w:tblGrid>
      <w:tr w:rsidR="00D27FC8" w:rsidRPr="00655B94" w14:paraId="25FDF0D0" w14:textId="77777777" w:rsidTr="004637C7">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0" w:type="auto"/>
            <w:hideMark/>
          </w:tcPr>
          <w:p w14:paraId="039158CE" w14:textId="77777777" w:rsidR="00D27FC8" w:rsidRPr="00AA22F2" w:rsidRDefault="00D27FC8" w:rsidP="00D27FC8">
            <w:pPr>
              <w:rPr>
                <w:szCs w:val="20"/>
              </w:rPr>
            </w:pPr>
            <w:r w:rsidRPr="00AA22F2">
              <w:rPr>
                <w:szCs w:val="20"/>
              </w:rPr>
              <w:t>Risque</w:t>
            </w:r>
          </w:p>
        </w:tc>
        <w:tc>
          <w:tcPr>
            <w:tcW w:w="0" w:type="auto"/>
            <w:hideMark/>
          </w:tcPr>
          <w:p w14:paraId="7A08933A" w14:textId="77777777" w:rsidR="00D27FC8" w:rsidRPr="00AA22F2" w:rsidRDefault="00D27FC8" w:rsidP="00D27FC8">
            <w:pPr>
              <w:cnfStyle w:val="100000000000" w:firstRow="1" w:lastRow="0" w:firstColumn="0" w:lastColumn="0" w:oddVBand="0" w:evenVBand="0" w:oddHBand="0" w:evenHBand="0" w:firstRowFirstColumn="0" w:firstRowLastColumn="0" w:lastRowFirstColumn="0" w:lastRowLastColumn="0"/>
              <w:rPr>
                <w:szCs w:val="20"/>
              </w:rPr>
            </w:pPr>
            <w:r w:rsidRPr="00AA22F2">
              <w:rPr>
                <w:szCs w:val="20"/>
              </w:rPr>
              <w:t>Activités génératrices</w:t>
            </w:r>
          </w:p>
        </w:tc>
        <w:tc>
          <w:tcPr>
            <w:tcW w:w="0" w:type="auto"/>
            <w:hideMark/>
          </w:tcPr>
          <w:p w14:paraId="36050158" w14:textId="77777777" w:rsidR="00D27FC8" w:rsidRPr="00AA22F2" w:rsidRDefault="00D27FC8" w:rsidP="00D27FC8">
            <w:pPr>
              <w:cnfStyle w:val="100000000000" w:firstRow="1" w:lastRow="0" w:firstColumn="0" w:lastColumn="0" w:oddVBand="0" w:evenVBand="0" w:oddHBand="0" w:evenHBand="0" w:firstRowFirstColumn="0" w:firstRowLastColumn="0" w:lastRowFirstColumn="0" w:lastRowLastColumn="0"/>
              <w:rPr>
                <w:szCs w:val="20"/>
              </w:rPr>
            </w:pPr>
            <w:r w:rsidRPr="00AA22F2">
              <w:rPr>
                <w:szCs w:val="20"/>
              </w:rPr>
              <w:t>Critère</w:t>
            </w:r>
          </w:p>
        </w:tc>
        <w:tc>
          <w:tcPr>
            <w:tcW w:w="0" w:type="auto"/>
            <w:hideMark/>
          </w:tcPr>
          <w:p w14:paraId="79116EBF" w14:textId="77777777" w:rsidR="00D27FC8" w:rsidRPr="00AA22F2" w:rsidRDefault="00D27FC8" w:rsidP="00D27FC8">
            <w:pPr>
              <w:cnfStyle w:val="100000000000" w:firstRow="1" w:lastRow="0" w:firstColumn="0" w:lastColumn="0" w:oddVBand="0" w:evenVBand="0" w:oddHBand="0" w:evenHBand="0" w:firstRowFirstColumn="0" w:firstRowLastColumn="0" w:lastRowFirstColumn="0" w:lastRowLastColumn="0"/>
              <w:rPr>
                <w:szCs w:val="20"/>
              </w:rPr>
            </w:pPr>
            <w:r w:rsidRPr="00AA22F2">
              <w:rPr>
                <w:szCs w:val="20"/>
              </w:rPr>
              <w:t>Justification</w:t>
            </w:r>
          </w:p>
        </w:tc>
        <w:tc>
          <w:tcPr>
            <w:tcW w:w="0" w:type="auto"/>
            <w:hideMark/>
          </w:tcPr>
          <w:p w14:paraId="2CD2972A" w14:textId="77777777" w:rsidR="00D27FC8" w:rsidRPr="00AA22F2" w:rsidRDefault="00D27FC8" w:rsidP="00D27FC8">
            <w:pPr>
              <w:cnfStyle w:val="100000000000" w:firstRow="1" w:lastRow="0" w:firstColumn="0" w:lastColumn="0" w:oddVBand="0" w:evenVBand="0" w:oddHBand="0" w:evenHBand="0" w:firstRowFirstColumn="0" w:firstRowLastColumn="0" w:lastRowFirstColumn="0" w:lastRowLastColumn="0"/>
              <w:rPr>
                <w:szCs w:val="20"/>
              </w:rPr>
            </w:pPr>
            <w:r w:rsidRPr="00AA22F2">
              <w:rPr>
                <w:szCs w:val="20"/>
              </w:rPr>
              <w:t>Niveau</w:t>
            </w:r>
          </w:p>
        </w:tc>
      </w:tr>
      <w:tr w:rsidR="00D27FC8" w:rsidRPr="00655B94" w14:paraId="26293B54" w14:textId="77777777" w:rsidTr="00D27FC8">
        <w:tc>
          <w:tcPr>
            <w:cnfStyle w:val="001000000000" w:firstRow="0" w:lastRow="0" w:firstColumn="1" w:lastColumn="0" w:oddVBand="0" w:evenVBand="0" w:oddHBand="0" w:evenHBand="0" w:firstRowFirstColumn="0" w:firstRowLastColumn="0" w:lastRowFirstColumn="0" w:lastRowLastColumn="0"/>
            <w:tcW w:w="0" w:type="auto"/>
            <w:vMerge w:val="restart"/>
            <w:hideMark/>
          </w:tcPr>
          <w:p w14:paraId="1A0C2B24" w14:textId="6D997454" w:rsidR="00D27FC8" w:rsidRPr="00AA22F2" w:rsidRDefault="00D27FC8" w:rsidP="00D27FC8">
            <w:pPr>
              <w:rPr>
                <w:szCs w:val="20"/>
              </w:rPr>
            </w:pPr>
            <w:r w:rsidRPr="00AA22F2">
              <w:rPr>
                <w:szCs w:val="20"/>
              </w:rPr>
              <w:t>Risque d’altération du climat social et de la perception communautaire du projet</w:t>
            </w:r>
          </w:p>
        </w:tc>
        <w:tc>
          <w:tcPr>
            <w:tcW w:w="0" w:type="auto"/>
            <w:vMerge w:val="restart"/>
            <w:hideMark/>
          </w:tcPr>
          <w:p w14:paraId="5FDFB3CE" w14:textId="59169A86" w:rsidR="00D27FC8" w:rsidRPr="00AA22F2" w:rsidRDefault="00D27FC8" w:rsidP="00D27FC8">
            <w:pPr>
              <w:cnfStyle w:val="000000000000" w:firstRow="0" w:lastRow="0" w:firstColumn="0" w:lastColumn="0" w:oddVBand="0" w:evenVBand="0" w:oddHBand="0" w:evenHBand="0" w:firstRowFirstColumn="0" w:firstRowLastColumn="0" w:lastRowFirstColumn="0" w:lastRowLastColumn="0"/>
              <w:rPr>
                <w:szCs w:val="20"/>
              </w:rPr>
            </w:pPr>
            <w:r w:rsidRPr="00AA22F2">
              <w:rPr>
                <w:szCs w:val="20"/>
              </w:rPr>
              <w:t xml:space="preserve">Travaux visibles depuis la </w:t>
            </w:r>
            <w:r w:rsidR="00E57844">
              <w:rPr>
                <w:szCs w:val="20"/>
              </w:rPr>
              <w:t>RR212</w:t>
            </w:r>
            <w:r w:rsidRPr="00AA22F2">
              <w:rPr>
                <w:szCs w:val="20"/>
              </w:rPr>
              <w:t>, mobilisation d’entreprises extérieures, communication limitée</w:t>
            </w:r>
          </w:p>
        </w:tc>
        <w:tc>
          <w:tcPr>
            <w:tcW w:w="0" w:type="auto"/>
            <w:hideMark/>
          </w:tcPr>
          <w:p w14:paraId="2401DABA" w14:textId="77777777" w:rsidR="00D27FC8" w:rsidRPr="00AA22F2" w:rsidRDefault="00D27FC8" w:rsidP="00D27FC8">
            <w:pPr>
              <w:cnfStyle w:val="000000000000" w:firstRow="0" w:lastRow="0" w:firstColumn="0" w:lastColumn="0" w:oddVBand="0" w:evenVBand="0" w:oddHBand="0" w:evenHBand="0" w:firstRowFirstColumn="0" w:firstRowLastColumn="0" w:lastRowFirstColumn="0" w:lastRowLastColumn="0"/>
              <w:rPr>
                <w:szCs w:val="20"/>
              </w:rPr>
            </w:pPr>
            <w:r w:rsidRPr="00AA22F2">
              <w:rPr>
                <w:b/>
                <w:bCs/>
                <w:szCs w:val="20"/>
              </w:rPr>
              <w:t>Probabilité d’occurrence</w:t>
            </w:r>
          </w:p>
        </w:tc>
        <w:tc>
          <w:tcPr>
            <w:tcW w:w="0" w:type="auto"/>
            <w:hideMark/>
          </w:tcPr>
          <w:p w14:paraId="7630D2D4" w14:textId="38713D0A" w:rsidR="00D27FC8" w:rsidRPr="00AA22F2" w:rsidRDefault="00D27FC8" w:rsidP="00D27FC8">
            <w:pPr>
              <w:cnfStyle w:val="000000000000" w:firstRow="0" w:lastRow="0" w:firstColumn="0" w:lastColumn="0" w:oddVBand="0" w:evenVBand="0" w:oddHBand="0" w:evenHBand="0" w:firstRowFirstColumn="0" w:firstRowLastColumn="0" w:lastRowFirstColumn="0" w:lastRowLastColumn="0"/>
              <w:rPr>
                <w:szCs w:val="20"/>
              </w:rPr>
            </w:pPr>
            <w:r w:rsidRPr="00AA22F2">
              <w:rPr>
                <w:szCs w:val="20"/>
              </w:rPr>
              <w:t>La localisation en zone clôturée réduit les interactions directes, mais un déficit de communication peut susciter des incompréhensions</w:t>
            </w:r>
          </w:p>
        </w:tc>
        <w:tc>
          <w:tcPr>
            <w:tcW w:w="0" w:type="auto"/>
            <w:hideMark/>
          </w:tcPr>
          <w:p w14:paraId="4A15173C" w14:textId="11A19A44" w:rsidR="00D27FC8" w:rsidRPr="00AA22F2" w:rsidRDefault="00E37687" w:rsidP="00D27FC8">
            <w:pPr>
              <w:cnfStyle w:val="000000000000" w:firstRow="0" w:lastRow="0" w:firstColumn="0" w:lastColumn="0" w:oddVBand="0" w:evenVBand="0" w:oddHBand="0" w:evenHBand="0" w:firstRowFirstColumn="0" w:firstRowLastColumn="0" w:lastRowFirstColumn="0" w:lastRowLastColumn="0"/>
              <w:rPr>
                <w:szCs w:val="20"/>
              </w:rPr>
            </w:pPr>
            <w:r w:rsidRPr="00AA22F2">
              <w:rPr>
                <w:szCs w:val="20"/>
              </w:rPr>
              <w:t>Rare</w:t>
            </w:r>
            <w:r w:rsidR="00D27FC8" w:rsidRPr="00AA22F2">
              <w:rPr>
                <w:szCs w:val="20"/>
              </w:rPr>
              <w:t xml:space="preserve"> </w:t>
            </w:r>
          </w:p>
        </w:tc>
      </w:tr>
      <w:tr w:rsidR="00D27FC8" w:rsidRPr="00655B94" w14:paraId="57137C14" w14:textId="77777777" w:rsidTr="00D27FC8">
        <w:tc>
          <w:tcPr>
            <w:cnfStyle w:val="001000000000" w:firstRow="0" w:lastRow="0" w:firstColumn="1" w:lastColumn="0" w:oddVBand="0" w:evenVBand="0" w:oddHBand="0" w:evenHBand="0" w:firstRowFirstColumn="0" w:firstRowLastColumn="0" w:lastRowFirstColumn="0" w:lastRowLastColumn="0"/>
            <w:tcW w:w="0" w:type="auto"/>
            <w:vMerge/>
            <w:hideMark/>
          </w:tcPr>
          <w:p w14:paraId="16D5D9E3" w14:textId="77777777" w:rsidR="00D27FC8" w:rsidRPr="00AA22F2" w:rsidRDefault="00D27FC8" w:rsidP="00D27FC8">
            <w:pPr>
              <w:rPr>
                <w:szCs w:val="20"/>
              </w:rPr>
            </w:pPr>
          </w:p>
        </w:tc>
        <w:tc>
          <w:tcPr>
            <w:tcW w:w="0" w:type="auto"/>
            <w:vMerge/>
            <w:hideMark/>
          </w:tcPr>
          <w:p w14:paraId="2514A12C" w14:textId="77777777" w:rsidR="00D27FC8" w:rsidRPr="00AA22F2" w:rsidRDefault="00D27FC8" w:rsidP="00D27FC8">
            <w:pPr>
              <w:cnfStyle w:val="000000000000" w:firstRow="0" w:lastRow="0" w:firstColumn="0" w:lastColumn="0" w:oddVBand="0" w:evenVBand="0" w:oddHBand="0" w:evenHBand="0" w:firstRowFirstColumn="0" w:firstRowLastColumn="0" w:lastRowFirstColumn="0" w:lastRowLastColumn="0"/>
              <w:rPr>
                <w:szCs w:val="20"/>
              </w:rPr>
            </w:pPr>
          </w:p>
        </w:tc>
        <w:tc>
          <w:tcPr>
            <w:tcW w:w="0" w:type="auto"/>
            <w:hideMark/>
          </w:tcPr>
          <w:p w14:paraId="2377E84F" w14:textId="77777777" w:rsidR="00D27FC8" w:rsidRPr="00AA22F2" w:rsidRDefault="00D27FC8" w:rsidP="00D27FC8">
            <w:pPr>
              <w:cnfStyle w:val="000000000000" w:firstRow="0" w:lastRow="0" w:firstColumn="0" w:lastColumn="0" w:oddVBand="0" w:evenVBand="0" w:oddHBand="0" w:evenHBand="0" w:firstRowFirstColumn="0" w:firstRowLastColumn="0" w:lastRowFirstColumn="0" w:lastRowLastColumn="0"/>
              <w:rPr>
                <w:szCs w:val="20"/>
              </w:rPr>
            </w:pPr>
            <w:r w:rsidRPr="00AA22F2">
              <w:rPr>
                <w:b/>
                <w:bCs/>
                <w:szCs w:val="20"/>
              </w:rPr>
              <w:t>Gravité des conséquences</w:t>
            </w:r>
          </w:p>
        </w:tc>
        <w:tc>
          <w:tcPr>
            <w:tcW w:w="0" w:type="auto"/>
            <w:hideMark/>
          </w:tcPr>
          <w:p w14:paraId="4A17D193" w14:textId="3A9E9A69" w:rsidR="00D27FC8" w:rsidRPr="00AA22F2" w:rsidRDefault="00D27FC8" w:rsidP="00D27FC8">
            <w:pPr>
              <w:cnfStyle w:val="000000000000" w:firstRow="0" w:lastRow="0" w:firstColumn="0" w:lastColumn="0" w:oddVBand="0" w:evenVBand="0" w:oddHBand="0" w:evenHBand="0" w:firstRowFirstColumn="0" w:firstRowLastColumn="0" w:lastRowFirstColumn="0" w:lastRowLastColumn="0"/>
              <w:rPr>
                <w:szCs w:val="20"/>
              </w:rPr>
            </w:pPr>
            <w:r w:rsidRPr="00AA22F2">
              <w:rPr>
                <w:szCs w:val="20"/>
              </w:rPr>
              <w:t>Effets essentiellement psychosociaux, sans atteinte physique ni économique</w:t>
            </w:r>
          </w:p>
        </w:tc>
        <w:tc>
          <w:tcPr>
            <w:tcW w:w="0" w:type="auto"/>
            <w:hideMark/>
          </w:tcPr>
          <w:p w14:paraId="0ECFDB0F" w14:textId="0DECEF72" w:rsidR="00D27FC8" w:rsidRPr="00AA22F2" w:rsidRDefault="00E37687" w:rsidP="00D27FC8">
            <w:pPr>
              <w:cnfStyle w:val="000000000000" w:firstRow="0" w:lastRow="0" w:firstColumn="0" w:lastColumn="0" w:oddVBand="0" w:evenVBand="0" w:oddHBand="0" w:evenHBand="0" w:firstRowFirstColumn="0" w:firstRowLastColumn="0" w:lastRowFirstColumn="0" w:lastRowLastColumn="0"/>
              <w:rPr>
                <w:szCs w:val="20"/>
              </w:rPr>
            </w:pPr>
            <w:r w:rsidRPr="00AA22F2">
              <w:rPr>
                <w:szCs w:val="20"/>
              </w:rPr>
              <w:t>Mineure</w:t>
            </w:r>
          </w:p>
        </w:tc>
      </w:tr>
      <w:tr w:rsidR="00D27FC8" w:rsidRPr="00655B94" w14:paraId="621C9C49" w14:textId="77777777" w:rsidTr="00D27FC8">
        <w:tc>
          <w:tcPr>
            <w:cnfStyle w:val="001000000000" w:firstRow="0" w:lastRow="0" w:firstColumn="1" w:lastColumn="0" w:oddVBand="0" w:evenVBand="0" w:oddHBand="0" w:evenHBand="0" w:firstRowFirstColumn="0" w:firstRowLastColumn="0" w:lastRowFirstColumn="0" w:lastRowLastColumn="0"/>
            <w:tcW w:w="0" w:type="auto"/>
            <w:vMerge/>
            <w:hideMark/>
          </w:tcPr>
          <w:p w14:paraId="218BFCDC" w14:textId="77777777" w:rsidR="00D27FC8" w:rsidRPr="00AA22F2" w:rsidRDefault="00D27FC8" w:rsidP="00D27FC8">
            <w:pPr>
              <w:rPr>
                <w:szCs w:val="20"/>
              </w:rPr>
            </w:pPr>
          </w:p>
        </w:tc>
        <w:tc>
          <w:tcPr>
            <w:tcW w:w="0" w:type="auto"/>
            <w:vMerge/>
            <w:hideMark/>
          </w:tcPr>
          <w:p w14:paraId="1270457D" w14:textId="77777777" w:rsidR="00D27FC8" w:rsidRPr="00AA22F2" w:rsidRDefault="00D27FC8" w:rsidP="00D27FC8">
            <w:pPr>
              <w:cnfStyle w:val="000000000000" w:firstRow="0" w:lastRow="0" w:firstColumn="0" w:lastColumn="0" w:oddVBand="0" w:evenVBand="0" w:oddHBand="0" w:evenHBand="0" w:firstRowFirstColumn="0" w:firstRowLastColumn="0" w:lastRowFirstColumn="0" w:lastRowLastColumn="0"/>
              <w:rPr>
                <w:szCs w:val="20"/>
              </w:rPr>
            </w:pPr>
          </w:p>
        </w:tc>
        <w:tc>
          <w:tcPr>
            <w:tcW w:w="0" w:type="auto"/>
            <w:hideMark/>
          </w:tcPr>
          <w:p w14:paraId="78267D69" w14:textId="77777777" w:rsidR="00D27FC8" w:rsidRPr="00AA22F2" w:rsidRDefault="00D27FC8" w:rsidP="00D27FC8">
            <w:pPr>
              <w:cnfStyle w:val="000000000000" w:firstRow="0" w:lastRow="0" w:firstColumn="0" w:lastColumn="0" w:oddVBand="0" w:evenVBand="0" w:oddHBand="0" w:evenHBand="0" w:firstRowFirstColumn="0" w:firstRowLastColumn="0" w:lastRowFirstColumn="0" w:lastRowLastColumn="0"/>
              <w:rPr>
                <w:szCs w:val="20"/>
              </w:rPr>
            </w:pPr>
            <w:r w:rsidRPr="00AA22F2">
              <w:rPr>
                <w:b/>
                <w:bCs/>
                <w:szCs w:val="20"/>
              </w:rPr>
              <w:t>Évaluation globale du risque</w:t>
            </w:r>
          </w:p>
        </w:tc>
        <w:tc>
          <w:tcPr>
            <w:tcW w:w="0" w:type="auto"/>
            <w:hideMark/>
          </w:tcPr>
          <w:p w14:paraId="77A61D67" w14:textId="7EEA6B76" w:rsidR="00D27FC8" w:rsidRPr="00AA22F2" w:rsidRDefault="00D27FC8" w:rsidP="00D27FC8">
            <w:pPr>
              <w:cnfStyle w:val="000000000000" w:firstRow="0" w:lastRow="0" w:firstColumn="0" w:lastColumn="0" w:oddVBand="0" w:evenVBand="0" w:oddHBand="0" w:evenHBand="0" w:firstRowFirstColumn="0" w:firstRowLastColumn="0" w:lastRowFirstColumn="0" w:lastRowLastColumn="0"/>
              <w:rPr>
                <w:szCs w:val="20"/>
              </w:rPr>
            </w:pPr>
            <w:r w:rsidRPr="00AA22F2">
              <w:rPr>
                <w:szCs w:val="20"/>
              </w:rPr>
              <w:t>Risque maîtrisable par une communication proactive et un dispositif de doléances accessible</w:t>
            </w:r>
          </w:p>
        </w:tc>
        <w:tc>
          <w:tcPr>
            <w:tcW w:w="0" w:type="auto"/>
            <w:hideMark/>
          </w:tcPr>
          <w:p w14:paraId="3AC2E6CA" w14:textId="08EDF29D" w:rsidR="00D27FC8" w:rsidRPr="00AA22F2" w:rsidRDefault="00E37687" w:rsidP="00D27FC8">
            <w:pPr>
              <w:cnfStyle w:val="000000000000" w:firstRow="0" w:lastRow="0" w:firstColumn="0" w:lastColumn="0" w:oddVBand="0" w:evenVBand="0" w:oddHBand="0" w:evenHBand="0" w:firstRowFirstColumn="0" w:firstRowLastColumn="0" w:lastRowFirstColumn="0" w:lastRowLastColumn="0"/>
              <w:rPr>
                <w:szCs w:val="20"/>
              </w:rPr>
            </w:pPr>
            <w:r w:rsidRPr="00AA22F2">
              <w:rPr>
                <w:b/>
                <w:bCs/>
                <w:szCs w:val="20"/>
              </w:rPr>
              <w:t>Faible</w:t>
            </w:r>
          </w:p>
        </w:tc>
      </w:tr>
    </w:tbl>
    <w:p w14:paraId="10587964" w14:textId="77777777" w:rsidR="00D27FC8" w:rsidRPr="009B0114" w:rsidRDefault="00D27FC8" w:rsidP="0001633E">
      <w:pPr>
        <w:pStyle w:val="AltTitle2"/>
        <w:numPr>
          <w:ilvl w:val="0"/>
          <w:numId w:val="106"/>
        </w:numPr>
      </w:pPr>
      <w:r w:rsidRPr="009B0114">
        <w:lastRenderedPageBreak/>
        <w:t>Stress psychologique et perturbation du sentiment de sécurité communautaire</w:t>
      </w:r>
    </w:p>
    <w:p w14:paraId="406CA8F6" w14:textId="6ABF88C8" w:rsidR="009B0114" w:rsidRDefault="009B0114" w:rsidP="009B0114">
      <w:r>
        <w:t xml:space="preserve">Durant la phase de travaux, la circulation d’engins, les bruits ponctuels de terrassement et la présence accrue de travailleurs peuvent occasionner une gêne passagère ou une inquiétude momentanée chez certains habitants du </w:t>
      </w:r>
      <w:r w:rsidR="000A5B68">
        <w:t>Bouakkaz</w:t>
      </w:r>
      <w:r>
        <w:t xml:space="preserve"> environnant</w:t>
      </w:r>
      <w:r w:rsidR="000A5B68">
        <w:t>es</w:t>
      </w:r>
      <w:r>
        <w:t>.</w:t>
      </w:r>
    </w:p>
    <w:p w14:paraId="239AC6DA" w14:textId="77777777" w:rsidR="009B0114" w:rsidRDefault="009B0114" w:rsidP="009B0114">
      <w:r>
        <w:t>Toutefois, le chantier étant entièrement localisé à l’intérieur de l’enceinte clôturée de l’aéroport, les nuisances perçues resteront limitées et temporaires, sans effet notable sur le bien-être ou la sécurité des communautés.</w:t>
      </w:r>
    </w:p>
    <w:p w14:paraId="2B17FF56" w14:textId="77777777" w:rsidR="009B0114" w:rsidRDefault="009B0114" w:rsidP="009B0114">
      <w:r>
        <w:t>Le risque est donc faible, indirect et circonscrit, d’étendue locale et de durée courte, concentrée sur les moments d’activité les plus visibles (transport de matériaux, engins lourds).</w:t>
      </w:r>
    </w:p>
    <w:p w14:paraId="52AB5451" w14:textId="0953DA62" w:rsidR="009B0114" w:rsidRDefault="009B0114" w:rsidP="009B0114">
      <w:r>
        <w:t xml:space="preserve">La probabilité d’occurrence est </w:t>
      </w:r>
      <w:r w:rsidR="004331E0">
        <w:t>rare</w:t>
      </w:r>
      <w:r>
        <w:t>, car la population n’est pas directement exposée.</w:t>
      </w:r>
    </w:p>
    <w:p w14:paraId="11CE8B9C" w14:textId="68EA061D" w:rsidR="009B0114" w:rsidRDefault="009B0114" w:rsidP="009B0114">
      <w:r>
        <w:t xml:space="preserve">La gravité est </w:t>
      </w:r>
      <w:r w:rsidR="004331E0">
        <w:t>mineur</w:t>
      </w:r>
      <w:r>
        <w:t>, puisqu’il ne s’agit ni d’un dommage matériel ni d’une menace réelle pour la sécurité.</w:t>
      </w:r>
    </w:p>
    <w:p w14:paraId="3BCE8D87" w14:textId="34E83821" w:rsidR="009B0114" w:rsidRDefault="009B0114" w:rsidP="009B0114">
      <w:r>
        <w:t>Les récepteurs sensibles (habitants proches) présentent une sensibilité faible à moyenne, liée principalement à la curiosité ou à la méconnaissance du calendrier des travaux.</w:t>
      </w:r>
    </w:p>
    <w:p w14:paraId="2D35ADA6" w14:textId="4C9BC604" w:rsidR="00CB0752" w:rsidRDefault="009B0114" w:rsidP="009B0114">
      <w:r>
        <w:t>L’évaluation globale du risque est donc mineure et entièrement réversible.</w:t>
      </w:r>
      <w:r w:rsidR="00CB0752">
        <w:br w:type="page"/>
      </w:r>
    </w:p>
    <w:tbl>
      <w:tblPr>
        <w:tblStyle w:val="TableauGrille1Clair-Accentuation111"/>
        <w:tblW w:w="0" w:type="auto"/>
        <w:tblLook w:val="04A0" w:firstRow="1" w:lastRow="0" w:firstColumn="1" w:lastColumn="0" w:noHBand="0" w:noVBand="1"/>
      </w:tblPr>
      <w:tblGrid>
        <w:gridCol w:w="2209"/>
        <w:gridCol w:w="1948"/>
        <w:gridCol w:w="1536"/>
        <w:gridCol w:w="2455"/>
        <w:gridCol w:w="912"/>
      </w:tblGrid>
      <w:tr w:rsidR="004331E0" w:rsidRPr="00655B94" w14:paraId="2EAB2887" w14:textId="77777777" w:rsidTr="004331E0">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0" w:type="auto"/>
            <w:hideMark/>
          </w:tcPr>
          <w:p w14:paraId="1DEDA78F" w14:textId="77777777" w:rsidR="00696C8B" w:rsidRPr="00AA22F2" w:rsidRDefault="00696C8B" w:rsidP="00696C8B">
            <w:pPr>
              <w:rPr>
                <w:szCs w:val="20"/>
              </w:rPr>
            </w:pPr>
            <w:r w:rsidRPr="00AA22F2">
              <w:rPr>
                <w:szCs w:val="20"/>
              </w:rPr>
              <w:lastRenderedPageBreak/>
              <w:t>Risque</w:t>
            </w:r>
          </w:p>
        </w:tc>
        <w:tc>
          <w:tcPr>
            <w:tcW w:w="0" w:type="auto"/>
            <w:hideMark/>
          </w:tcPr>
          <w:p w14:paraId="4141C8AE" w14:textId="77777777" w:rsidR="00696C8B" w:rsidRPr="00AA22F2" w:rsidRDefault="00696C8B" w:rsidP="00696C8B">
            <w:pPr>
              <w:cnfStyle w:val="100000000000" w:firstRow="1" w:lastRow="0" w:firstColumn="0" w:lastColumn="0" w:oddVBand="0" w:evenVBand="0" w:oddHBand="0" w:evenHBand="0" w:firstRowFirstColumn="0" w:firstRowLastColumn="0" w:lastRowFirstColumn="0" w:lastRowLastColumn="0"/>
              <w:rPr>
                <w:szCs w:val="20"/>
              </w:rPr>
            </w:pPr>
            <w:r w:rsidRPr="00AA22F2">
              <w:rPr>
                <w:szCs w:val="20"/>
              </w:rPr>
              <w:t>Activités génératrices</w:t>
            </w:r>
          </w:p>
        </w:tc>
        <w:tc>
          <w:tcPr>
            <w:tcW w:w="0" w:type="auto"/>
            <w:hideMark/>
          </w:tcPr>
          <w:p w14:paraId="13BC89BD" w14:textId="77777777" w:rsidR="00696C8B" w:rsidRPr="00AA22F2" w:rsidRDefault="00696C8B" w:rsidP="00696C8B">
            <w:pPr>
              <w:cnfStyle w:val="100000000000" w:firstRow="1" w:lastRow="0" w:firstColumn="0" w:lastColumn="0" w:oddVBand="0" w:evenVBand="0" w:oddHBand="0" w:evenHBand="0" w:firstRowFirstColumn="0" w:firstRowLastColumn="0" w:lastRowFirstColumn="0" w:lastRowLastColumn="0"/>
              <w:rPr>
                <w:szCs w:val="20"/>
              </w:rPr>
            </w:pPr>
            <w:r w:rsidRPr="00AA22F2">
              <w:rPr>
                <w:szCs w:val="20"/>
              </w:rPr>
              <w:t>Critère</w:t>
            </w:r>
          </w:p>
        </w:tc>
        <w:tc>
          <w:tcPr>
            <w:tcW w:w="0" w:type="auto"/>
            <w:hideMark/>
          </w:tcPr>
          <w:p w14:paraId="42FCD8EC" w14:textId="77777777" w:rsidR="00696C8B" w:rsidRPr="00AA22F2" w:rsidRDefault="00696C8B" w:rsidP="00696C8B">
            <w:pPr>
              <w:cnfStyle w:val="100000000000" w:firstRow="1" w:lastRow="0" w:firstColumn="0" w:lastColumn="0" w:oddVBand="0" w:evenVBand="0" w:oddHBand="0" w:evenHBand="0" w:firstRowFirstColumn="0" w:firstRowLastColumn="0" w:lastRowFirstColumn="0" w:lastRowLastColumn="0"/>
              <w:rPr>
                <w:szCs w:val="20"/>
              </w:rPr>
            </w:pPr>
            <w:r w:rsidRPr="00AA22F2">
              <w:rPr>
                <w:szCs w:val="20"/>
              </w:rPr>
              <w:t>Justification</w:t>
            </w:r>
          </w:p>
        </w:tc>
        <w:tc>
          <w:tcPr>
            <w:tcW w:w="0" w:type="auto"/>
            <w:hideMark/>
          </w:tcPr>
          <w:p w14:paraId="791AB796" w14:textId="77777777" w:rsidR="00696C8B" w:rsidRPr="00AA22F2" w:rsidRDefault="00696C8B" w:rsidP="00696C8B">
            <w:pPr>
              <w:cnfStyle w:val="100000000000" w:firstRow="1" w:lastRow="0" w:firstColumn="0" w:lastColumn="0" w:oddVBand="0" w:evenVBand="0" w:oddHBand="0" w:evenHBand="0" w:firstRowFirstColumn="0" w:firstRowLastColumn="0" w:lastRowFirstColumn="0" w:lastRowLastColumn="0"/>
              <w:rPr>
                <w:szCs w:val="20"/>
              </w:rPr>
            </w:pPr>
            <w:r w:rsidRPr="00AA22F2">
              <w:rPr>
                <w:szCs w:val="20"/>
              </w:rPr>
              <w:t>Niveau</w:t>
            </w:r>
          </w:p>
        </w:tc>
      </w:tr>
      <w:tr w:rsidR="00E37687" w:rsidRPr="00655B94" w14:paraId="01C83AE4" w14:textId="77777777" w:rsidTr="005A7661">
        <w:tc>
          <w:tcPr>
            <w:cnfStyle w:val="001000000000" w:firstRow="0" w:lastRow="0" w:firstColumn="1" w:lastColumn="0" w:oddVBand="0" w:evenVBand="0" w:oddHBand="0" w:evenHBand="0" w:firstRowFirstColumn="0" w:firstRowLastColumn="0" w:lastRowFirstColumn="0" w:lastRowLastColumn="0"/>
            <w:tcW w:w="0" w:type="auto"/>
            <w:vMerge w:val="restart"/>
            <w:hideMark/>
          </w:tcPr>
          <w:p w14:paraId="148330AC" w14:textId="77777777" w:rsidR="00E37687" w:rsidRPr="00AA22F2" w:rsidRDefault="00E37687" w:rsidP="00E37687">
            <w:pPr>
              <w:rPr>
                <w:szCs w:val="20"/>
              </w:rPr>
            </w:pPr>
            <w:r w:rsidRPr="00AA22F2">
              <w:rPr>
                <w:szCs w:val="20"/>
              </w:rPr>
              <w:t>Stress ponctuel et sentiment d’inquiétude temporaire au sein des communautés voisines</w:t>
            </w:r>
          </w:p>
        </w:tc>
        <w:tc>
          <w:tcPr>
            <w:tcW w:w="0" w:type="auto"/>
            <w:vMerge w:val="restart"/>
            <w:hideMark/>
          </w:tcPr>
          <w:p w14:paraId="07EEE70B" w14:textId="77777777" w:rsidR="00E37687" w:rsidRPr="00AA22F2" w:rsidRDefault="00E37687" w:rsidP="00E37687">
            <w:pPr>
              <w:cnfStyle w:val="000000000000" w:firstRow="0" w:lastRow="0" w:firstColumn="0" w:lastColumn="0" w:oddVBand="0" w:evenVBand="0" w:oddHBand="0" w:evenHBand="0" w:firstRowFirstColumn="0" w:firstRowLastColumn="0" w:lastRowFirstColumn="0" w:lastRowLastColumn="0"/>
              <w:rPr>
                <w:szCs w:val="20"/>
              </w:rPr>
            </w:pPr>
            <w:r w:rsidRPr="00AA22F2">
              <w:rPr>
                <w:szCs w:val="20"/>
              </w:rPr>
              <w:t>Circulation d’engins, bruit ponctuel de chantier, présence accrue de travailleurs</w:t>
            </w:r>
          </w:p>
        </w:tc>
        <w:tc>
          <w:tcPr>
            <w:tcW w:w="0" w:type="auto"/>
            <w:hideMark/>
          </w:tcPr>
          <w:p w14:paraId="73223914" w14:textId="77777777" w:rsidR="00E37687" w:rsidRPr="00AA22F2" w:rsidRDefault="00E37687" w:rsidP="00E37687">
            <w:pPr>
              <w:cnfStyle w:val="000000000000" w:firstRow="0" w:lastRow="0" w:firstColumn="0" w:lastColumn="0" w:oddVBand="0" w:evenVBand="0" w:oddHBand="0" w:evenHBand="0" w:firstRowFirstColumn="0" w:firstRowLastColumn="0" w:lastRowFirstColumn="0" w:lastRowLastColumn="0"/>
              <w:rPr>
                <w:szCs w:val="20"/>
              </w:rPr>
            </w:pPr>
            <w:r w:rsidRPr="00AA22F2">
              <w:rPr>
                <w:b/>
                <w:bCs/>
                <w:szCs w:val="20"/>
              </w:rPr>
              <w:t>Probabilité d’occurrence</w:t>
            </w:r>
          </w:p>
        </w:tc>
        <w:tc>
          <w:tcPr>
            <w:tcW w:w="0" w:type="auto"/>
            <w:hideMark/>
          </w:tcPr>
          <w:p w14:paraId="02F4BB4A" w14:textId="27696976" w:rsidR="00E37687" w:rsidRPr="00AA22F2" w:rsidRDefault="00E37687" w:rsidP="00E37687">
            <w:pPr>
              <w:cnfStyle w:val="000000000000" w:firstRow="0" w:lastRow="0" w:firstColumn="0" w:lastColumn="0" w:oddVBand="0" w:evenVBand="0" w:oddHBand="0" w:evenHBand="0" w:firstRowFirstColumn="0" w:firstRowLastColumn="0" w:lastRowFirstColumn="0" w:lastRowLastColumn="0"/>
              <w:rPr>
                <w:szCs w:val="20"/>
              </w:rPr>
            </w:pPr>
            <w:r w:rsidRPr="00AA22F2">
              <w:rPr>
                <w:szCs w:val="20"/>
              </w:rPr>
              <w:t>Les nuisances restent internes à la plateforme aéroportuaire et faiblement perceptibles à distance</w:t>
            </w:r>
          </w:p>
        </w:tc>
        <w:tc>
          <w:tcPr>
            <w:tcW w:w="0" w:type="auto"/>
            <w:hideMark/>
          </w:tcPr>
          <w:p w14:paraId="01C1C5A7" w14:textId="1FED6E10" w:rsidR="00E37687" w:rsidRPr="00AA22F2" w:rsidRDefault="00E37687" w:rsidP="00E37687">
            <w:pPr>
              <w:cnfStyle w:val="000000000000" w:firstRow="0" w:lastRow="0" w:firstColumn="0" w:lastColumn="0" w:oddVBand="0" w:evenVBand="0" w:oddHBand="0" w:evenHBand="0" w:firstRowFirstColumn="0" w:firstRowLastColumn="0" w:lastRowFirstColumn="0" w:lastRowLastColumn="0"/>
              <w:rPr>
                <w:szCs w:val="20"/>
              </w:rPr>
            </w:pPr>
            <w:r w:rsidRPr="00AA22F2">
              <w:rPr>
                <w:szCs w:val="20"/>
              </w:rPr>
              <w:t xml:space="preserve">Rare </w:t>
            </w:r>
          </w:p>
        </w:tc>
      </w:tr>
      <w:tr w:rsidR="00E37687" w:rsidRPr="00655B94" w14:paraId="51D6CA90" w14:textId="77777777" w:rsidTr="005A7661">
        <w:tc>
          <w:tcPr>
            <w:cnfStyle w:val="001000000000" w:firstRow="0" w:lastRow="0" w:firstColumn="1" w:lastColumn="0" w:oddVBand="0" w:evenVBand="0" w:oddHBand="0" w:evenHBand="0" w:firstRowFirstColumn="0" w:firstRowLastColumn="0" w:lastRowFirstColumn="0" w:lastRowLastColumn="0"/>
            <w:tcW w:w="0" w:type="auto"/>
            <w:vMerge/>
            <w:hideMark/>
          </w:tcPr>
          <w:p w14:paraId="7987EF2C" w14:textId="77777777" w:rsidR="00E37687" w:rsidRPr="00AA22F2" w:rsidRDefault="00E37687" w:rsidP="00E37687">
            <w:pPr>
              <w:rPr>
                <w:szCs w:val="20"/>
              </w:rPr>
            </w:pPr>
          </w:p>
        </w:tc>
        <w:tc>
          <w:tcPr>
            <w:tcW w:w="0" w:type="auto"/>
            <w:vMerge/>
            <w:hideMark/>
          </w:tcPr>
          <w:p w14:paraId="6EEF65F5" w14:textId="77777777" w:rsidR="00E37687" w:rsidRPr="00AA22F2" w:rsidRDefault="00E37687" w:rsidP="00E37687">
            <w:pPr>
              <w:cnfStyle w:val="000000000000" w:firstRow="0" w:lastRow="0" w:firstColumn="0" w:lastColumn="0" w:oddVBand="0" w:evenVBand="0" w:oddHBand="0" w:evenHBand="0" w:firstRowFirstColumn="0" w:firstRowLastColumn="0" w:lastRowFirstColumn="0" w:lastRowLastColumn="0"/>
              <w:rPr>
                <w:szCs w:val="20"/>
              </w:rPr>
            </w:pPr>
          </w:p>
        </w:tc>
        <w:tc>
          <w:tcPr>
            <w:tcW w:w="0" w:type="auto"/>
            <w:hideMark/>
          </w:tcPr>
          <w:p w14:paraId="71274C2E" w14:textId="77777777" w:rsidR="00E37687" w:rsidRPr="00AA22F2" w:rsidRDefault="00E37687" w:rsidP="00E37687">
            <w:pPr>
              <w:cnfStyle w:val="000000000000" w:firstRow="0" w:lastRow="0" w:firstColumn="0" w:lastColumn="0" w:oddVBand="0" w:evenVBand="0" w:oddHBand="0" w:evenHBand="0" w:firstRowFirstColumn="0" w:firstRowLastColumn="0" w:lastRowFirstColumn="0" w:lastRowLastColumn="0"/>
              <w:rPr>
                <w:szCs w:val="20"/>
              </w:rPr>
            </w:pPr>
            <w:r w:rsidRPr="00AA22F2">
              <w:rPr>
                <w:b/>
                <w:bCs/>
                <w:szCs w:val="20"/>
              </w:rPr>
              <w:t>Gravité des conséquences</w:t>
            </w:r>
          </w:p>
        </w:tc>
        <w:tc>
          <w:tcPr>
            <w:tcW w:w="0" w:type="auto"/>
            <w:hideMark/>
          </w:tcPr>
          <w:p w14:paraId="0BA27B5F" w14:textId="055847C5" w:rsidR="00E37687" w:rsidRPr="00AA22F2" w:rsidRDefault="00E37687" w:rsidP="00E37687">
            <w:pPr>
              <w:cnfStyle w:val="000000000000" w:firstRow="0" w:lastRow="0" w:firstColumn="0" w:lastColumn="0" w:oddVBand="0" w:evenVBand="0" w:oddHBand="0" w:evenHBand="0" w:firstRowFirstColumn="0" w:firstRowLastColumn="0" w:lastRowFirstColumn="0" w:lastRowLastColumn="0"/>
              <w:rPr>
                <w:szCs w:val="20"/>
              </w:rPr>
            </w:pPr>
            <w:r w:rsidRPr="00AA22F2">
              <w:rPr>
                <w:szCs w:val="20"/>
              </w:rPr>
              <w:t>Effets uniquement perceptifs et temporaires, sans atteinte physique ni sociale</w:t>
            </w:r>
          </w:p>
        </w:tc>
        <w:tc>
          <w:tcPr>
            <w:tcW w:w="0" w:type="auto"/>
            <w:hideMark/>
          </w:tcPr>
          <w:p w14:paraId="7363AC52" w14:textId="1F01AC7B" w:rsidR="00E37687" w:rsidRPr="00AA22F2" w:rsidRDefault="00E37687" w:rsidP="00E37687">
            <w:pPr>
              <w:cnfStyle w:val="000000000000" w:firstRow="0" w:lastRow="0" w:firstColumn="0" w:lastColumn="0" w:oddVBand="0" w:evenVBand="0" w:oddHBand="0" w:evenHBand="0" w:firstRowFirstColumn="0" w:firstRowLastColumn="0" w:lastRowFirstColumn="0" w:lastRowLastColumn="0"/>
              <w:rPr>
                <w:szCs w:val="20"/>
              </w:rPr>
            </w:pPr>
            <w:r w:rsidRPr="00AA22F2">
              <w:rPr>
                <w:szCs w:val="20"/>
              </w:rPr>
              <w:t>Mineure</w:t>
            </w:r>
          </w:p>
        </w:tc>
      </w:tr>
      <w:tr w:rsidR="00E37687" w:rsidRPr="00655B94" w14:paraId="4392878C" w14:textId="77777777" w:rsidTr="005A7661">
        <w:tc>
          <w:tcPr>
            <w:cnfStyle w:val="001000000000" w:firstRow="0" w:lastRow="0" w:firstColumn="1" w:lastColumn="0" w:oddVBand="0" w:evenVBand="0" w:oddHBand="0" w:evenHBand="0" w:firstRowFirstColumn="0" w:firstRowLastColumn="0" w:lastRowFirstColumn="0" w:lastRowLastColumn="0"/>
            <w:tcW w:w="0" w:type="auto"/>
            <w:vMerge/>
            <w:hideMark/>
          </w:tcPr>
          <w:p w14:paraId="3825CB0F" w14:textId="77777777" w:rsidR="00E37687" w:rsidRPr="00AA22F2" w:rsidRDefault="00E37687" w:rsidP="00E37687">
            <w:pPr>
              <w:rPr>
                <w:szCs w:val="20"/>
              </w:rPr>
            </w:pPr>
          </w:p>
        </w:tc>
        <w:tc>
          <w:tcPr>
            <w:tcW w:w="0" w:type="auto"/>
            <w:vMerge/>
            <w:hideMark/>
          </w:tcPr>
          <w:p w14:paraId="1CEBC2A3" w14:textId="77777777" w:rsidR="00E37687" w:rsidRPr="00AA22F2" w:rsidRDefault="00E37687" w:rsidP="00E37687">
            <w:pPr>
              <w:cnfStyle w:val="000000000000" w:firstRow="0" w:lastRow="0" w:firstColumn="0" w:lastColumn="0" w:oddVBand="0" w:evenVBand="0" w:oddHBand="0" w:evenHBand="0" w:firstRowFirstColumn="0" w:firstRowLastColumn="0" w:lastRowFirstColumn="0" w:lastRowLastColumn="0"/>
              <w:rPr>
                <w:szCs w:val="20"/>
              </w:rPr>
            </w:pPr>
          </w:p>
        </w:tc>
        <w:tc>
          <w:tcPr>
            <w:tcW w:w="0" w:type="auto"/>
            <w:hideMark/>
          </w:tcPr>
          <w:p w14:paraId="1B96A5EF" w14:textId="77777777" w:rsidR="00E37687" w:rsidRPr="00AA22F2" w:rsidRDefault="00E37687" w:rsidP="00E37687">
            <w:pPr>
              <w:cnfStyle w:val="000000000000" w:firstRow="0" w:lastRow="0" w:firstColumn="0" w:lastColumn="0" w:oddVBand="0" w:evenVBand="0" w:oddHBand="0" w:evenHBand="0" w:firstRowFirstColumn="0" w:firstRowLastColumn="0" w:lastRowFirstColumn="0" w:lastRowLastColumn="0"/>
              <w:rPr>
                <w:szCs w:val="20"/>
              </w:rPr>
            </w:pPr>
            <w:r w:rsidRPr="00AA22F2">
              <w:rPr>
                <w:b/>
                <w:bCs/>
                <w:szCs w:val="20"/>
              </w:rPr>
              <w:t>Évaluation globale du risque</w:t>
            </w:r>
          </w:p>
        </w:tc>
        <w:tc>
          <w:tcPr>
            <w:tcW w:w="0" w:type="auto"/>
            <w:hideMark/>
          </w:tcPr>
          <w:p w14:paraId="7D687692" w14:textId="77777777" w:rsidR="00E37687" w:rsidRPr="00AA22F2" w:rsidRDefault="00E37687" w:rsidP="00E37687">
            <w:pPr>
              <w:cnfStyle w:val="000000000000" w:firstRow="0" w:lastRow="0" w:firstColumn="0" w:lastColumn="0" w:oddVBand="0" w:evenVBand="0" w:oddHBand="0" w:evenHBand="0" w:firstRowFirstColumn="0" w:firstRowLastColumn="0" w:lastRowFirstColumn="0" w:lastRowLastColumn="0"/>
              <w:rPr>
                <w:szCs w:val="20"/>
              </w:rPr>
            </w:pPr>
            <w:r w:rsidRPr="00AA22F2">
              <w:rPr>
                <w:szCs w:val="20"/>
              </w:rPr>
              <w:t xml:space="preserve">Risque </w:t>
            </w:r>
            <w:r w:rsidRPr="00AA22F2">
              <w:rPr>
                <w:b/>
                <w:bCs/>
                <w:szCs w:val="20"/>
              </w:rPr>
              <w:t>mineur</w:t>
            </w:r>
            <w:r w:rsidRPr="00AA22F2">
              <w:rPr>
                <w:szCs w:val="20"/>
              </w:rPr>
              <w:t>, entièrement réversible et maîtrisable par l’information communautaire et la signalisation</w:t>
            </w:r>
          </w:p>
        </w:tc>
        <w:tc>
          <w:tcPr>
            <w:tcW w:w="0" w:type="auto"/>
            <w:hideMark/>
          </w:tcPr>
          <w:p w14:paraId="2B99BA73" w14:textId="01D92199" w:rsidR="00E37687" w:rsidRPr="00AA22F2" w:rsidRDefault="00E37687" w:rsidP="00E37687">
            <w:pPr>
              <w:cnfStyle w:val="000000000000" w:firstRow="0" w:lastRow="0" w:firstColumn="0" w:lastColumn="0" w:oddVBand="0" w:evenVBand="0" w:oddHBand="0" w:evenHBand="0" w:firstRowFirstColumn="0" w:firstRowLastColumn="0" w:lastRowFirstColumn="0" w:lastRowLastColumn="0"/>
              <w:rPr>
                <w:szCs w:val="20"/>
              </w:rPr>
            </w:pPr>
            <w:r w:rsidRPr="00AA22F2">
              <w:rPr>
                <w:b/>
                <w:bCs/>
                <w:szCs w:val="20"/>
              </w:rPr>
              <w:t>Faible</w:t>
            </w:r>
          </w:p>
        </w:tc>
      </w:tr>
    </w:tbl>
    <w:p w14:paraId="4308CD73" w14:textId="77777777" w:rsidR="00120B68" w:rsidRDefault="00120B68" w:rsidP="004637C7">
      <w:pPr>
        <w:rPr>
          <w:i/>
          <w:iCs/>
        </w:rPr>
        <w:sectPr w:rsidR="00120B68" w:rsidSect="006C1613">
          <w:headerReference w:type="default" r:id="rId148"/>
          <w:footerReference w:type="default" r:id="rId149"/>
          <w:pgSz w:w="11906" w:h="16838"/>
          <w:pgMar w:top="1418" w:right="1418" w:bottom="1276" w:left="1418" w:header="680" w:footer="680" w:gutter="0"/>
          <w:cols w:space="708"/>
          <w:docGrid w:linePitch="360"/>
        </w:sectPr>
      </w:pPr>
    </w:p>
    <w:p w14:paraId="376A32E7" w14:textId="20DB0A40" w:rsidR="00120B68" w:rsidRDefault="00120B68" w:rsidP="00120B68">
      <w:pPr>
        <w:pStyle w:val="Title5"/>
      </w:pPr>
      <w:r>
        <w:lastRenderedPageBreak/>
        <w:t>Mesures d’atténuation</w:t>
      </w:r>
    </w:p>
    <w:p w14:paraId="654E6FAC" w14:textId="3C4F0FB0" w:rsidR="009D4AE4" w:rsidRDefault="009D4AE4" w:rsidP="004637C7">
      <w:pPr>
        <w:pStyle w:val="Lgende"/>
        <w:keepNext/>
      </w:pPr>
      <w:bookmarkStart w:id="489" w:name="_Toc213404389"/>
      <w:r>
        <w:t xml:space="preserve">Tableau </w:t>
      </w:r>
      <w:r>
        <w:fldChar w:fldCharType="begin"/>
      </w:r>
      <w:r>
        <w:instrText xml:space="preserve"> SEQ Tableau \* ARABIC </w:instrText>
      </w:r>
      <w:r>
        <w:fldChar w:fldCharType="separate"/>
      </w:r>
      <w:r w:rsidR="00274E71">
        <w:rPr>
          <w:noProof/>
        </w:rPr>
        <w:t>67</w:t>
      </w:r>
      <w:r>
        <w:fldChar w:fldCharType="end"/>
      </w:r>
      <w:r>
        <w:rPr>
          <w:lang w:val="fr-FR"/>
        </w:rPr>
        <w:t xml:space="preserve"> : </w:t>
      </w:r>
      <w:r w:rsidRPr="00717E9C">
        <w:rPr>
          <w:lang w:val="fr-FR"/>
        </w:rPr>
        <w:t>Mesures d'atténuation – Santé</w:t>
      </w:r>
      <w:r>
        <w:rPr>
          <w:lang w:val="fr-FR"/>
        </w:rPr>
        <w:t>, sureté et</w:t>
      </w:r>
      <w:r w:rsidRPr="00717E9C">
        <w:rPr>
          <w:lang w:val="fr-FR"/>
        </w:rPr>
        <w:t xml:space="preserve"> sécurité </w:t>
      </w:r>
      <w:r>
        <w:rPr>
          <w:lang w:val="fr-FR"/>
        </w:rPr>
        <w:t>communautaires</w:t>
      </w:r>
      <w:r w:rsidRPr="00717E9C">
        <w:rPr>
          <w:lang w:val="fr-FR"/>
        </w:rPr>
        <w:t xml:space="preserve"> en phase construction</w:t>
      </w:r>
      <w:bookmarkEnd w:id="489"/>
    </w:p>
    <w:tbl>
      <w:tblPr>
        <w:tblStyle w:val="TableauGrille1Clair-Accentuation111"/>
        <w:tblW w:w="0" w:type="auto"/>
        <w:tblLook w:val="04A0" w:firstRow="1" w:lastRow="0" w:firstColumn="1" w:lastColumn="0" w:noHBand="0" w:noVBand="1"/>
      </w:tblPr>
      <w:tblGrid>
        <w:gridCol w:w="1978"/>
        <w:gridCol w:w="1396"/>
        <w:gridCol w:w="2177"/>
        <w:gridCol w:w="1891"/>
        <w:gridCol w:w="999"/>
        <w:gridCol w:w="1486"/>
        <w:gridCol w:w="717"/>
        <w:gridCol w:w="1363"/>
        <w:gridCol w:w="2127"/>
      </w:tblGrid>
      <w:tr w:rsidR="00CB6B6C" w:rsidRPr="00C965DA" w14:paraId="14686663" w14:textId="77777777" w:rsidTr="00296EB5">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0" w:type="auto"/>
            <w:hideMark/>
          </w:tcPr>
          <w:p w14:paraId="591E5FCB" w14:textId="77777777" w:rsidR="002F0722" w:rsidRPr="00AA22F2" w:rsidRDefault="002F0722" w:rsidP="002F0722">
            <w:pPr>
              <w:rPr>
                <w:szCs w:val="20"/>
              </w:rPr>
            </w:pPr>
            <w:r w:rsidRPr="00AA22F2">
              <w:rPr>
                <w:szCs w:val="20"/>
              </w:rPr>
              <w:t>Impact / Risque</w:t>
            </w:r>
          </w:p>
        </w:tc>
        <w:tc>
          <w:tcPr>
            <w:tcW w:w="0" w:type="auto"/>
            <w:hideMark/>
          </w:tcPr>
          <w:p w14:paraId="7D4DCEBA" w14:textId="77777777" w:rsidR="002F0722" w:rsidRPr="00AA22F2" w:rsidRDefault="002F0722" w:rsidP="002F0722">
            <w:pPr>
              <w:cnfStyle w:val="100000000000" w:firstRow="1" w:lastRow="0" w:firstColumn="0" w:lastColumn="0" w:oddVBand="0" w:evenVBand="0" w:oddHBand="0" w:evenHBand="0" w:firstRowFirstColumn="0" w:firstRowLastColumn="0" w:lastRowFirstColumn="0" w:lastRowLastColumn="0"/>
              <w:rPr>
                <w:szCs w:val="20"/>
              </w:rPr>
            </w:pPr>
            <w:r w:rsidRPr="00AA22F2">
              <w:rPr>
                <w:szCs w:val="20"/>
              </w:rPr>
              <w:t>Niveau d’atténuation</w:t>
            </w:r>
          </w:p>
        </w:tc>
        <w:tc>
          <w:tcPr>
            <w:tcW w:w="0" w:type="auto"/>
            <w:hideMark/>
          </w:tcPr>
          <w:p w14:paraId="2D00A990" w14:textId="77777777" w:rsidR="002F0722" w:rsidRPr="00AA22F2" w:rsidRDefault="002F0722" w:rsidP="002F0722">
            <w:pPr>
              <w:cnfStyle w:val="100000000000" w:firstRow="1" w:lastRow="0" w:firstColumn="0" w:lastColumn="0" w:oddVBand="0" w:evenVBand="0" w:oddHBand="0" w:evenHBand="0" w:firstRowFirstColumn="0" w:firstRowLastColumn="0" w:lastRowFirstColumn="0" w:lastRowLastColumn="0"/>
              <w:rPr>
                <w:szCs w:val="20"/>
              </w:rPr>
            </w:pPr>
            <w:r w:rsidRPr="00AA22F2">
              <w:rPr>
                <w:szCs w:val="20"/>
              </w:rPr>
              <w:t>Mesures d’atténuation / de gestion</w:t>
            </w:r>
          </w:p>
        </w:tc>
        <w:tc>
          <w:tcPr>
            <w:tcW w:w="0" w:type="auto"/>
            <w:hideMark/>
          </w:tcPr>
          <w:p w14:paraId="0D75B3AF" w14:textId="77777777" w:rsidR="002F0722" w:rsidRPr="00AA22F2" w:rsidRDefault="002F0722" w:rsidP="002F0722">
            <w:pPr>
              <w:cnfStyle w:val="100000000000" w:firstRow="1" w:lastRow="0" w:firstColumn="0" w:lastColumn="0" w:oddVBand="0" w:evenVBand="0" w:oddHBand="0" w:evenHBand="0" w:firstRowFirstColumn="0" w:firstRowLastColumn="0" w:lastRowFirstColumn="0" w:lastRowLastColumn="0"/>
              <w:rPr>
                <w:szCs w:val="20"/>
              </w:rPr>
            </w:pPr>
            <w:r w:rsidRPr="00AA22F2">
              <w:rPr>
                <w:szCs w:val="20"/>
              </w:rPr>
              <w:t>Indicateurs de performance (KPI)</w:t>
            </w:r>
          </w:p>
        </w:tc>
        <w:tc>
          <w:tcPr>
            <w:tcW w:w="0" w:type="auto"/>
            <w:hideMark/>
          </w:tcPr>
          <w:p w14:paraId="777B0727" w14:textId="77777777" w:rsidR="002F0722" w:rsidRPr="00AA22F2" w:rsidRDefault="002F0722" w:rsidP="002F0722">
            <w:pPr>
              <w:cnfStyle w:val="100000000000" w:firstRow="1" w:lastRow="0" w:firstColumn="0" w:lastColumn="0" w:oddVBand="0" w:evenVBand="0" w:oddHBand="0" w:evenHBand="0" w:firstRowFirstColumn="0" w:firstRowLastColumn="0" w:lastRowFirstColumn="0" w:lastRowLastColumn="0"/>
              <w:rPr>
                <w:szCs w:val="20"/>
              </w:rPr>
            </w:pPr>
            <w:r w:rsidRPr="00AA22F2">
              <w:rPr>
                <w:szCs w:val="20"/>
              </w:rPr>
              <w:t>Mise en œuvre</w:t>
            </w:r>
          </w:p>
        </w:tc>
        <w:tc>
          <w:tcPr>
            <w:tcW w:w="0" w:type="auto"/>
            <w:hideMark/>
          </w:tcPr>
          <w:p w14:paraId="45CE676B" w14:textId="77777777" w:rsidR="002F0722" w:rsidRPr="00AA22F2" w:rsidRDefault="002F0722" w:rsidP="002F0722">
            <w:pPr>
              <w:cnfStyle w:val="100000000000" w:firstRow="1" w:lastRow="0" w:firstColumn="0" w:lastColumn="0" w:oddVBand="0" w:evenVBand="0" w:oddHBand="0" w:evenHBand="0" w:firstRowFirstColumn="0" w:firstRowLastColumn="0" w:lastRowFirstColumn="0" w:lastRowLastColumn="0"/>
              <w:rPr>
                <w:szCs w:val="20"/>
              </w:rPr>
            </w:pPr>
            <w:r w:rsidRPr="00AA22F2">
              <w:rPr>
                <w:szCs w:val="20"/>
              </w:rPr>
              <w:t>Surveillance</w:t>
            </w:r>
          </w:p>
        </w:tc>
        <w:tc>
          <w:tcPr>
            <w:tcW w:w="0" w:type="auto"/>
            <w:hideMark/>
          </w:tcPr>
          <w:p w14:paraId="1A623E47" w14:textId="77777777" w:rsidR="002F0722" w:rsidRPr="00AA22F2" w:rsidRDefault="002F0722" w:rsidP="002F0722">
            <w:pPr>
              <w:cnfStyle w:val="100000000000" w:firstRow="1" w:lastRow="0" w:firstColumn="0" w:lastColumn="0" w:oddVBand="0" w:evenVBand="0" w:oddHBand="0" w:evenHBand="0" w:firstRowFirstColumn="0" w:firstRowLastColumn="0" w:lastRowFirstColumn="0" w:lastRowLastColumn="0"/>
              <w:rPr>
                <w:szCs w:val="20"/>
              </w:rPr>
            </w:pPr>
            <w:r w:rsidRPr="00AA22F2">
              <w:rPr>
                <w:szCs w:val="20"/>
              </w:rPr>
              <w:t>Suivi</w:t>
            </w:r>
          </w:p>
        </w:tc>
        <w:tc>
          <w:tcPr>
            <w:tcW w:w="0" w:type="auto"/>
            <w:hideMark/>
          </w:tcPr>
          <w:p w14:paraId="45FBEB6E" w14:textId="77777777" w:rsidR="002F0722" w:rsidRPr="00AA22F2" w:rsidRDefault="002F0722" w:rsidP="002F0722">
            <w:pPr>
              <w:cnfStyle w:val="100000000000" w:firstRow="1" w:lastRow="0" w:firstColumn="0" w:lastColumn="0" w:oddVBand="0" w:evenVBand="0" w:oddHBand="0" w:evenHBand="0" w:firstRowFirstColumn="0" w:firstRowLastColumn="0" w:lastRowFirstColumn="0" w:lastRowLastColumn="0"/>
              <w:rPr>
                <w:szCs w:val="20"/>
              </w:rPr>
            </w:pPr>
            <w:r w:rsidRPr="00AA22F2">
              <w:rPr>
                <w:szCs w:val="20"/>
              </w:rPr>
              <w:t>Calendrier</w:t>
            </w:r>
          </w:p>
        </w:tc>
        <w:tc>
          <w:tcPr>
            <w:tcW w:w="0" w:type="auto"/>
            <w:hideMark/>
          </w:tcPr>
          <w:p w14:paraId="6C83B94B" w14:textId="77777777" w:rsidR="002F0722" w:rsidRPr="00AA22F2" w:rsidRDefault="002F0722" w:rsidP="002F0722">
            <w:pPr>
              <w:cnfStyle w:val="100000000000" w:firstRow="1" w:lastRow="0" w:firstColumn="0" w:lastColumn="0" w:oddVBand="0" w:evenVBand="0" w:oddHBand="0" w:evenHBand="0" w:firstRowFirstColumn="0" w:firstRowLastColumn="0" w:lastRowFirstColumn="0" w:lastRowLastColumn="0"/>
              <w:rPr>
                <w:szCs w:val="20"/>
              </w:rPr>
            </w:pPr>
            <w:r w:rsidRPr="00AA22F2">
              <w:rPr>
                <w:szCs w:val="20"/>
              </w:rPr>
              <w:t>Coût</w:t>
            </w:r>
          </w:p>
        </w:tc>
      </w:tr>
      <w:tr w:rsidR="00CB6B6C" w:rsidRPr="00C93C6A" w14:paraId="33BF2B8A" w14:textId="77777777" w:rsidTr="00E81F22">
        <w:trPr>
          <w:trHeight w:val="1571"/>
        </w:trPr>
        <w:tc>
          <w:tcPr>
            <w:cnfStyle w:val="001000000000" w:firstRow="0" w:lastRow="0" w:firstColumn="1" w:lastColumn="0" w:oddVBand="0" w:evenVBand="0" w:oddHBand="0" w:evenHBand="0" w:firstRowFirstColumn="0" w:firstRowLastColumn="0" w:lastRowFirstColumn="0" w:lastRowLastColumn="0"/>
            <w:tcW w:w="0" w:type="auto"/>
            <w:vMerge w:val="restart"/>
            <w:hideMark/>
          </w:tcPr>
          <w:p w14:paraId="042CAC6D" w14:textId="77777777" w:rsidR="00E81F22" w:rsidRPr="00AA22F2" w:rsidRDefault="00E81F22" w:rsidP="006D1412">
            <w:pPr>
              <w:rPr>
                <w:szCs w:val="20"/>
              </w:rPr>
            </w:pPr>
            <w:r w:rsidRPr="00AA22F2">
              <w:rPr>
                <w:szCs w:val="20"/>
              </w:rPr>
              <w:t>Perturbation temporaire du cadre de vie et gêne pour les riverains</w:t>
            </w:r>
          </w:p>
        </w:tc>
        <w:tc>
          <w:tcPr>
            <w:tcW w:w="0" w:type="auto"/>
            <w:vMerge w:val="restart"/>
            <w:hideMark/>
          </w:tcPr>
          <w:p w14:paraId="40DF7783" w14:textId="77777777" w:rsidR="00E81F22" w:rsidRPr="00AA22F2" w:rsidRDefault="00E81F22" w:rsidP="006D1412">
            <w:pPr>
              <w:cnfStyle w:val="000000000000" w:firstRow="0" w:lastRow="0" w:firstColumn="0" w:lastColumn="0" w:oddVBand="0" w:evenVBand="0" w:oddHBand="0" w:evenHBand="0" w:firstRowFirstColumn="0" w:firstRowLastColumn="0" w:lastRowFirstColumn="0" w:lastRowLastColumn="0"/>
              <w:rPr>
                <w:szCs w:val="20"/>
              </w:rPr>
            </w:pPr>
            <w:r w:rsidRPr="00AA22F2">
              <w:rPr>
                <w:b/>
                <w:bCs/>
                <w:szCs w:val="20"/>
              </w:rPr>
              <w:t>Éviter</w:t>
            </w:r>
          </w:p>
        </w:tc>
        <w:tc>
          <w:tcPr>
            <w:tcW w:w="0" w:type="auto"/>
            <w:tcBorders>
              <w:bottom w:val="single" w:sz="4" w:space="0" w:color="B4C6E7" w:themeColor="accent1" w:themeTint="66"/>
            </w:tcBorders>
            <w:hideMark/>
          </w:tcPr>
          <w:p w14:paraId="57F8B2FB" w14:textId="6920ADE1" w:rsidR="00E81F22" w:rsidRPr="00AA22F2" w:rsidRDefault="00E81F22" w:rsidP="006D1412">
            <w:pPr>
              <w:cnfStyle w:val="000000000000" w:firstRow="0" w:lastRow="0" w:firstColumn="0" w:lastColumn="0" w:oddVBand="0" w:evenVBand="0" w:oddHBand="0" w:evenHBand="0" w:firstRowFirstColumn="0" w:firstRowLastColumn="0" w:lastRowFirstColumn="0" w:lastRowLastColumn="0"/>
              <w:rPr>
                <w:szCs w:val="20"/>
              </w:rPr>
            </w:pPr>
            <w:r w:rsidRPr="00AA22F2">
              <w:rPr>
                <w:szCs w:val="20"/>
              </w:rPr>
              <w:t xml:space="preserve">Planifier les travaux générateurs de nuisances (terrassement, transport de matériaux) uniquement en heures diurnes ; </w:t>
            </w:r>
          </w:p>
        </w:tc>
        <w:tc>
          <w:tcPr>
            <w:tcW w:w="0" w:type="auto"/>
            <w:vMerge w:val="restart"/>
            <w:hideMark/>
          </w:tcPr>
          <w:p w14:paraId="6C267663" w14:textId="77777777" w:rsidR="00E81F22" w:rsidRPr="00AA22F2" w:rsidRDefault="00E81F22" w:rsidP="006D1412">
            <w:pPr>
              <w:cnfStyle w:val="000000000000" w:firstRow="0" w:lastRow="0" w:firstColumn="0" w:lastColumn="0" w:oddVBand="0" w:evenVBand="0" w:oddHBand="0" w:evenHBand="0" w:firstRowFirstColumn="0" w:firstRowLastColumn="0" w:lastRowFirstColumn="0" w:lastRowLastColumn="0"/>
              <w:rPr>
                <w:szCs w:val="20"/>
              </w:rPr>
            </w:pPr>
            <w:r w:rsidRPr="00AA22F2">
              <w:rPr>
                <w:szCs w:val="20"/>
              </w:rPr>
              <w:t xml:space="preserve">- % des travaux planifiés aux heures diurnes ; </w:t>
            </w:r>
          </w:p>
          <w:p w14:paraId="7AF73194" w14:textId="2BBF7CE0" w:rsidR="00E81F22" w:rsidRPr="00AA22F2" w:rsidRDefault="00E81F22" w:rsidP="006D1412">
            <w:pPr>
              <w:cnfStyle w:val="000000000000" w:firstRow="0" w:lastRow="0" w:firstColumn="0" w:lastColumn="0" w:oddVBand="0" w:evenVBand="0" w:oddHBand="0" w:evenHBand="0" w:firstRowFirstColumn="0" w:firstRowLastColumn="0" w:lastRowFirstColumn="0" w:lastRowLastColumn="0"/>
              <w:rPr>
                <w:szCs w:val="20"/>
              </w:rPr>
            </w:pPr>
            <w:r w:rsidRPr="00AA22F2">
              <w:rPr>
                <w:szCs w:val="20"/>
              </w:rPr>
              <w:t>Nb de plaintes liées à des nuisances hors horaire.</w:t>
            </w:r>
          </w:p>
        </w:tc>
        <w:tc>
          <w:tcPr>
            <w:tcW w:w="0" w:type="auto"/>
            <w:vMerge w:val="restart"/>
            <w:hideMark/>
          </w:tcPr>
          <w:p w14:paraId="7835F844" w14:textId="77777777" w:rsidR="00E81F22" w:rsidRPr="00AA22F2" w:rsidRDefault="00E81F22" w:rsidP="006D1412">
            <w:pPr>
              <w:cnfStyle w:val="000000000000" w:firstRow="0" w:lastRow="0" w:firstColumn="0" w:lastColumn="0" w:oddVBand="0" w:evenVBand="0" w:oddHBand="0" w:evenHBand="0" w:firstRowFirstColumn="0" w:firstRowLastColumn="0" w:lastRowFirstColumn="0" w:lastRowLastColumn="0"/>
              <w:rPr>
                <w:szCs w:val="20"/>
              </w:rPr>
            </w:pPr>
            <w:r w:rsidRPr="00AA22F2">
              <w:rPr>
                <w:szCs w:val="20"/>
              </w:rPr>
              <w:t>EPC / Sous-traitants</w:t>
            </w:r>
          </w:p>
        </w:tc>
        <w:tc>
          <w:tcPr>
            <w:tcW w:w="0" w:type="auto"/>
            <w:vMerge w:val="restart"/>
            <w:hideMark/>
          </w:tcPr>
          <w:p w14:paraId="4982527F" w14:textId="7F908330" w:rsidR="00E81F22" w:rsidRPr="00AA22F2" w:rsidRDefault="00E81F22" w:rsidP="006D1412">
            <w:pPr>
              <w:cnfStyle w:val="000000000000" w:firstRow="0" w:lastRow="0" w:firstColumn="0" w:lastColumn="0" w:oddVBand="0" w:evenVBand="0" w:oddHBand="0" w:evenHBand="0" w:firstRowFirstColumn="0" w:firstRowLastColumn="0" w:lastRowFirstColumn="0" w:lastRowLastColumn="0"/>
              <w:rPr>
                <w:szCs w:val="20"/>
              </w:rPr>
            </w:pPr>
            <w:r w:rsidRPr="00BC1745">
              <w:rPr>
                <w:szCs w:val="20"/>
              </w:rPr>
              <w:t>Bureau de contrôle / Consultant de supervision mandaté par l’ONDA</w:t>
            </w:r>
          </w:p>
        </w:tc>
        <w:tc>
          <w:tcPr>
            <w:tcW w:w="0" w:type="auto"/>
            <w:vMerge w:val="restart"/>
            <w:hideMark/>
          </w:tcPr>
          <w:p w14:paraId="27A3AD7A" w14:textId="394A4A0A" w:rsidR="00E81F22" w:rsidRPr="00AA22F2" w:rsidRDefault="00E81F22" w:rsidP="006D1412">
            <w:pPr>
              <w:cnfStyle w:val="000000000000" w:firstRow="0" w:lastRow="0" w:firstColumn="0" w:lastColumn="0" w:oddVBand="0" w:evenVBand="0" w:oddHBand="0" w:evenHBand="0" w:firstRowFirstColumn="0" w:firstRowLastColumn="0" w:lastRowFirstColumn="0" w:lastRowLastColumn="0"/>
              <w:rPr>
                <w:szCs w:val="20"/>
              </w:rPr>
            </w:pPr>
            <w:r w:rsidRPr="00AA22F2">
              <w:rPr>
                <w:szCs w:val="20"/>
              </w:rPr>
              <w:t xml:space="preserve">ONDA </w:t>
            </w:r>
          </w:p>
        </w:tc>
        <w:tc>
          <w:tcPr>
            <w:tcW w:w="0" w:type="auto"/>
            <w:vMerge w:val="restart"/>
            <w:hideMark/>
          </w:tcPr>
          <w:p w14:paraId="4D42E4E8" w14:textId="77777777" w:rsidR="00E81F22" w:rsidRPr="00AA22F2" w:rsidRDefault="00E81F22" w:rsidP="006D1412">
            <w:pPr>
              <w:cnfStyle w:val="000000000000" w:firstRow="0" w:lastRow="0" w:firstColumn="0" w:lastColumn="0" w:oddVBand="0" w:evenVBand="0" w:oddHBand="0" w:evenHBand="0" w:firstRowFirstColumn="0" w:firstRowLastColumn="0" w:lastRowFirstColumn="0" w:lastRowLastColumn="0"/>
              <w:rPr>
                <w:szCs w:val="20"/>
              </w:rPr>
            </w:pPr>
            <w:r w:rsidRPr="00AA22F2">
              <w:rPr>
                <w:szCs w:val="20"/>
              </w:rPr>
              <w:t>Avant et pendant les travaux</w:t>
            </w:r>
          </w:p>
        </w:tc>
        <w:tc>
          <w:tcPr>
            <w:tcW w:w="0" w:type="auto"/>
            <w:tcBorders>
              <w:bottom w:val="single" w:sz="4" w:space="0" w:color="B4C6E7" w:themeColor="accent1" w:themeTint="66"/>
            </w:tcBorders>
            <w:hideMark/>
          </w:tcPr>
          <w:p w14:paraId="1A546BFB" w14:textId="4E064102" w:rsidR="00E81F22" w:rsidRPr="00AA22F2" w:rsidRDefault="00CB6B6C" w:rsidP="006D1412">
            <w:pPr>
              <w:cnfStyle w:val="000000000000" w:firstRow="0" w:lastRow="0" w:firstColumn="0" w:lastColumn="0" w:oddVBand="0" w:evenVBand="0" w:oddHBand="0" w:evenHBand="0" w:firstRowFirstColumn="0" w:firstRowLastColumn="0" w:lastRowFirstColumn="0" w:lastRowLastColumn="0"/>
              <w:rPr>
                <w:szCs w:val="20"/>
              </w:rPr>
            </w:pPr>
            <w:r>
              <w:rPr>
                <w:szCs w:val="20"/>
              </w:rPr>
              <w:t>Aucun coût spécifique</w:t>
            </w:r>
          </w:p>
        </w:tc>
      </w:tr>
      <w:tr w:rsidR="00CB6B6C" w:rsidRPr="00C93C6A" w14:paraId="468EF5EC" w14:textId="77777777" w:rsidTr="00E81F22">
        <w:trPr>
          <w:trHeight w:val="1004"/>
        </w:trPr>
        <w:tc>
          <w:tcPr>
            <w:cnfStyle w:val="001000000000" w:firstRow="0" w:lastRow="0" w:firstColumn="1" w:lastColumn="0" w:oddVBand="0" w:evenVBand="0" w:oddHBand="0" w:evenHBand="0" w:firstRowFirstColumn="0" w:firstRowLastColumn="0" w:lastRowFirstColumn="0" w:lastRowLastColumn="0"/>
            <w:tcW w:w="0" w:type="auto"/>
            <w:vMerge/>
          </w:tcPr>
          <w:p w14:paraId="72944C2F" w14:textId="77777777" w:rsidR="00CB6B6C" w:rsidRPr="00AA22F2" w:rsidRDefault="00CB6B6C" w:rsidP="00CB6B6C">
            <w:pPr>
              <w:rPr>
                <w:szCs w:val="20"/>
              </w:rPr>
            </w:pPr>
          </w:p>
        </w:tc>
        <w:tc>
          <w:tcPr>
            <w:tcW w:w="0" w:type="auto"/>
            <w:vMerge/>
          </w:tcPr>
          <w:p w14:paraId="3E3B919F" w14:textId="77777777" w:rsidR="00CB6B6C" w:rsidRPr="00AA22F2" w:rsidRDefault="00CB6B6C" w:rsidP="00CB6B6C">
            <w:pPr>
              <w:cnfStyle w:val="000000000000" w:firstRow="0" w:lastRow="0" w:firstColumn="0" w:lastColumn="0" w:oddVBand="0" w:evenVBand="0" w:oddHBand="0" w:evenHBand="0" w:firstRowFirstColumn="0" w:firstRowLastColumn="0" w:lastRowFirstColumn="0" w:lastRowLastColumn="0"/>
              <w:rPr>
                <w:b/>
                <w:bCs/>
                <w:szCs w:val="20"/>
              </w:rPr>
            </w:pPr>
          </w:p>
        </w:tc>
        <w:tc>
          <w:tcPr>
            <w:tcW w:w="0" w:type="auto"/>
            <w:tcBorders>
              <w:top w:val="single" w:sz="4" w:space="0" w:color="B4C6E7" w:themeColor="accent1" w:themeTint="66"/>
              <w:bottom w:val="single" w:sz="4" w:space="0" w:color="B4C6E7" w:themeColor="accent1" w:themeTint="66"/>
            </w:tcBorders>
          </w:tcPr>
          <w:p w14:paraId="0E4E65FE" w14:textId="730483C1" w:rsidR="00CB6B6C" w:rsidRPr="00AA22F2" w:rsidRDefault="00CB6B6C" w:rsidP="00CB6B6C">
            <w:pPr>
              <w:cnfStyle w:val="000000000000" w:firstRow="0" w:lastRow="0" w:firstColumn="0" w:lastColumn="0" w:oddVBand="0" w:evenVBand="0" w:oddHBand="0" w:evenHBand="0" w:firstRowFirstColumn="0" w:firstRowLastColumn="0" w:lastRowFirstColumn="0" w:lastRowLastColumn="0"/>
              <w:rPr>
                <w:szCs w:val="20"/>
              </w:rPr>
            </w:pPr>
            <w:r w:rsidRPr="00AA22F2">
              <w:rPr>
                <w:szCs w:val="20"/>
              </w:rPr>
              <w:t xml:space="preserve">Définir des itinéraires de transport évitant le passage près des habitations ; </w:t>
            </w:r>
          </w:p>
        </w:tc>
        <w:tc>
          <w:tcPr>
            <w:tcW w:w="0" w:type="auto"/>
            <w:vMerge/>
          </w:tcPr>
          <w:p w14:paraId="70AB83F5" w14:textId="77777777" w:rsidR="00CB6B6C" w:rsidRPr="00AA22F2" w:rsidRDefault="00CB6B6C" w:rsidP="00CB6B6C">
            <w:pPr>
              <w:cnfStyle w:val="000000000000" w:firstRow="0" w:lastRow="0" w:firstColumn="0" w:lastColumn="0" w:oddVBand="0" w:evenVBand="0" w:oddHBand="0" w:evenHBand="0" w:firstRowFirstColumn="0" w:firstRowLastColumn="0" w:lastRowFirstColumn="0" w:lastRowLastColumn="0"/>
              <w:rPr>
                <w:szCs w:val="20"/>
              </w:rPr>
            </w:pPr>
          </w:p>
        </w:tc>
        <w:tc>
          <w:tcPr>
            <w:tcW w:w="0" w:type="auto"/>
            <w:vMerge/>
          </w:tcPr>
          <w:p w14:paraId="7EF2412A" w14:textId="77777777" w:rsidR="00CB6B6C" w:rsidRPr="00AA22F2" w:rsidRDefault="00CB6B6C" w:rsidP="00CB6B6C">
            <w:pPr>
              <w:cnfStyle w:val="000000000000" w:firstRow="0" w:lastRow="0" w:firstColumn="0" w:lastColumn="0" w:oddVBand="0" w:evenVBand="0" w:oddHBand="0" w:evenHBand="0" w:firstRowFirstColumn="0" w:firstRowLastColumn="0" w:lastRowFirstColumn="0" w:lastRowLastColumn="0"/>
              <w:rPr>
                <w:szCs w:val="20"/>
              </w:rPr>
            </w:pPr>
          </w:p>
        </w:tc>
        <w:tc>
          <w:tcPr>
            <w:tcW w:w="0" w:type="auto"/>
            <w:vMerge/>
          </w:tcPr>
          <w:p w14:paraId="2EBAEF81" w14:textId="77777777" w:rsidR="00CB6B6C" w:rsidRPr="00BC1745" w:rsidRDefault="00CB6B6C" w:rsidP="00CB6B6C">
            <w:pPr>
              <w:cnfStyle w:val="000000000000" w:firstRow="0" w:lastRow="0" w:firstColumn="0" w:lastColumn="0" w:oddVBand="0" w:evenVBand="0" w:oddHBand="0" w:evenHBand="0" w:firstRowFirstColumn="0" w:firstRowLastColumn="0" w:lastRowFirstColumn="0" w:lastRowLastColumn="0"/>
              <w:rPr>
                <w:szCs w:val="20"/>
              </w:rPr>
            </w:pPr>
          </w:p>
        </w:tc>
        <w:tc>
          <w:tcPr>
            <w:tcW w:w="0" w:type="auto"/>
            <w:vMerge/>
          </w:tcPr>
          <w:p w14:paraId="5482FC75" w14:textId="77777777" w:rsidR="00CB6B6C" w:rsidRPr="00AA22F2" w:rsidRDefault="00CB6B6C" w:rsidP="00CB6B6C">
            <w:pPr>
              <w:cnfStyle w:val="000000000000" w:firstRow="0" w:lastRow="0" w:firstColumn="0" w:lastColumn="0" w:oddVBand="0" w:evenVBand="0" w:oddHBand="0" w:evenHBand="0" w:firstRowFirstColumn="0" w:firstRowLastColumn="0" w:lastRowFirstColumn="0" w:lastRowLastColumn="0"/>
              <w:rPr>
                <w:szCs w:val="20"/>
              </w:rPr>
            </w:pPr>
          </w:p>
        </w:tc>
        <w:tc>
          <w:tcPr>
            <w:tcW w:w="0" w:type="auto"/>
            <w:vMerge/>
          </w:tcPr>
          <w:p w14:paraId="401BF11E" w14:textId="77777777" w:rsidR="00CB6B6C" w:rsidRPr="00AA22F2" w:rsidRDefault="00CB6B6C" w:rsidP="00CB6B6C">
            <w:pPr>
              <w:cnfStyle w:val="000000000000" w:firstRow="0" w:lastRow="0" w:firstColumn="0" w:lastColumn="0" w:oddVBand="0" w:evenVBand="0" w:oddHBand="0" w:evenHBand="0" w:firstRowFirstColumn="0" w:firstRowLastColumn="0" w:lastRowFirstColumn="0" w:lastRowLastColumn="0"/>
              <w:rPr>
                <w:szCs w:val="20"/>
              </w:rPr>
            </w:pPr>
          </w:p>
        </w:tc>
        <w:tc>
          <w:tcPr>
            <w:tcW w:w="0" w:type="auto"/>
            <w:tcBorders>
              <w:top w:val="single" w:sz="4" w:space="0" w:color="B4C6E7" w:themeColor="accent1" w:themeTint="66"/>
              <w:bottom w:val="single" w:sz="4" w:space="0" w:color="B4C6E7" w:themeColor="accent1" w:themeTint="66"/>
            </w:tcBorders>
          </w:tcPr>
          <w:p w14:paraId="0AFDD2DC" w14:textId="164E63B4" w:rsidR="00CB6B6C" w:rsidRPr="00AA22F2" w:rsidRDefault="00CB6B6C" w:rsidP="00CB6B6C">
            <w:pPr>
              <w:cnfStyle w:val="000000000000" w:firstRow="0" w:lastRow="0" w:firstColumn="0" w:lastColumn="0" w:oddVBand="0" w:evenVBand="0" w:oddHBand="0" w:evenHBand="0" w:firstRowFirstColumn="0" w:firstRowLastColumn="0" w:lastRowFirstColumn="0" w:lastRowLastColumn="0"/>
              <w:rPr>
                <w:szCs w:val="20"/>
              </w:rPr>
            </w:pPr>
            <w:r>
              <w:rPr>
                <w:szCs w:val="20"/>
              </w:rPr>
              <w:t>Aucun coût spécifique</w:t>
            </w:r>
          </w:p>
        </w:tc>
      </w:tr>
      <w:tr w:rsidR="00CB6B6C" w:rsidRPr="00C93C6A" w14:paraId="1AA7E977" w14:textId="77777777" w:rsidTr="00E81F22">
        <w:trPr>
          <w:trHeight w:val="932"/>
        </w:trPr>
        <w:tc>
          <w:tcPr>
            <w:cnfStyle w:val="001000000000" w:firstRow="0" w:lastRow="0" w:firstColumn="1" w:lastColumn="0" w:oddVBand="0" w:evenVBand="0" w:oddHBand="0" w:evenHBand="0" w:firstRowFirstColumn="0" w:firstRowLastColumn="0" w:lastRowFirstColumn="0" w:lastRowLastColumn="0"/>
            <w:tcW w:w="0" w:type="auto"/>
            <w:vMerge/>
          </w:tcPr>
          <w:p w14:paraId="5952D116" w14:textId="77777777" w:rsidR="00CB6B6C" w:rsidRPr="00AA22F2" w:rsidRDefault="00CB6B6C" w:rsidP="00CB6B6C">
            <w:pPr>
              <w:rPr>
                <w:szCs w:val="20"/>
              </w:rPr>
            </w:pPr>
          </w:p>
        </w:tc>
        <w:tc>
          <w:tcPr>
            <w:tcW w:w="0" w:type="auto"/>
            <w:vMerge/>
          </w:tcPr>
          <w:p w14:paraId="592C0D5C" w14:textId="77777777" w:rsidR="00CB6B6C" w:rsidRPr="00AA22F2" w:rsidRDefault="00CB6B6C" w:rsidP="00CB6B6C">
            <w:pPr>
              <w:cnfStyle w:val="000000000000" w:firstRow="0" w:lastRow="0" w:firstColumn="0" w:lastColumn="0" w:oddVBand="0" w:evenVBand="0" w:oddHBand="0" w:evenHBand="0" w:firstRowFirstColumn="0" w:firstRowLastColumn="0" w:lastRowFirstColumn="0" w:lastRowLastColumn="0"/>
              <w:rPr>
                <w:b/>
                <w:bCs/>
                <w:szCs w:val="20"/>
              </w:rPr>
            </w:pPr>
          </w:p>
        </w:tc>
        <w:tc>
          <w:tcPr>
            <w:tcW w:w="0" w:type="auto"/>
            <w:tcBorders>
              <w:top w:val="single" w:sz="4" w:space="0" w:color="B4C6E7" w:themeColor="accent1" w:themeTint="66"/>
              <w:bottom w:val="single" w:sz="4" w:space="0" w:color="B4C6E7" w:themeColor="accent1" w:themeTint="66"/>
            </w:tcBorders>
          </w:tcPr>
          <w:p w14:paraId="0A09707F" w14:textId="1A25361D" w:rsidR="00CB6B6C" w:rsidRPr="00AA22F2" w:rsidRDefault="00CB6B6C" w:rsidP="00CB6B6C">
            <w:pPr>
              <w:cnfStyle w:val="000000000000" w:firstRow="0" w:lastRow="0" w:firstColumn="0" w:lastColumn="0" w:oddVBand="0" w:evenVBand="0" w:oddHBand="0" w:evenHBand="0" w:firstRowFirstColumn="0" w:firstRowLastColumn="0" w:lastRowFirstColumn="0" w:lastRowLastColumn="0"/>
              <w:rPr>
                <w:szCs w:val="20"/>
              </w:rPr>
            </w:pPr>
            <w:r w:rsidRPr="00AA22F2">
              <w:rPr>
                <w:szCs w:val="20"/>
              </w:rPr>
              <w:t xml:space="preserve">Interdire toute activité de chantier durant la nuit et les week-ends ; </w:t>
            </w:r>
          </w:p>
        </w:tc>
        <w:tc>
          <w:tcPr>
            <w:tcW w:w="0" w:type="auto"/>
            <w:vMerge/>
          </w:tcPr>
          <w:p w14:paraId="272D6518" w14:textId="77777777" w:rsidR="00CB6B6C" w:rsidRPr="00AA22F2" w:rsidRDefault="00CB6B6C" w:rsidP="00CB6B6C">
            <w:pPr>
              <w:cnfStyle w:val="000000000000" w:firstRow="0" w:lastRow="0" w:firstColumn="0" w:lastColumn="0" w:oddVBand="0" w:evenVBand="0" w:oddHBand="0" w:evenHBand="0" w:firstRowFirstColumn="0" w:firstRowLastColumn="0" w:lastRowFirstColumn="0" w:lastRowLastColumn="0"/>
              <w:rPr>
                <w:szCs w:val="20"/>
              </w:rPr>
            </w:pPr>
          </w:p>
        </w:tc>
        <w:tc>
          <w:tcPr>
            <w:tcW w:w="0" w:type="auto"/>
            <w:vMerge/>
          </w:tcPr>
          <w:p w14:paraId="138C22F6" w14:textId="77777777" w:rsidR="00CB6B6C" w:rsidRPr="00AA22F2" w:rsidRDefault="00CB6B6C" w:rsidP="00CB6B6C">
            <w:pPr>
              <w:cnfStyle w:val="000000000000" w:firstRow="0" w:lastRow="0" w:firstColumn="0" w:lastColumn="0" w:oddVBand="0" w:evenVBand="0" w:oddHBand="0" w:evenHBand="0" w:firstRowFirstColumn="0" w:firstRowLastColumn="0" w:lastRowFirstColumn="0" w:lastRowLastColumn="0"/>
              <w:rPr>
                <w:szCs w:val="20"/>
              </w:rPr>
            </w:pPr>
          </w:p>
        </w:tc>
        <w:tc>
          <w:tcPr>
            <w:tcW w:w="0" w:type="auto"/>
            <w:vMerge/>
          </w:tcPr>
          <w:p w14:paraId="0225F7A9" w14:textId="77777777" w:rsidR="00CB6B6C" w:rsidRPr="00BC1745" w:rsidRDefault="00CB6B6C" w:rsidP="00CB6B6C">
            <w:pPr>
              <w:cnfStyle w:val="000000000000" w:firstRow="0" w:lastRow="0" w:firstColumn="0" w:lastColumn="0" w:oddVBand="0" w:evenVBand="0" w:oddHBand="0" w:evenHBand="0" w:firstRowFirstColumn="0" w:firstRowLastColumn="0" w:lastRowFirstColumn="0" w:lastRowLastColumn="0"/>
              <w:rPr>
                <w:szCs w:val="20"/>
              </w:rPr>
            </w:pPr>
          </w:p>
        </w:tc>
        <w:tc>
          <w:tcPr>
            <w:tcW w:w="0" w:type="auto"/>
            <w:vMerge/>
          </w:tcPr>
          <w:p w14:paraId="059ABC08" w14:textId="77777777" w:rsidR="00CB6B6C" w:rsidRPr="00AA22F2" w:rsidRDefault="00CB6B6C" w:rsidP="00CB6B6C">
            <w:pPr>
              <w:cnfStyle w:val="000000000000" w:firstRow="0" w:lastRow="0" w:firstColumn="0" w:lastColumn="0" w:oddVBand="0" w:evenVBand="0" w:oddHBand="0" w:evenHBand="0" w:firstRowFirstColumn="0" w:firstRowLastColumn="0" w:lastRowFirstColumn="0" w:lastRowLastColumn="0"/>
              <w:rPr>
                <w:szCs w:val="20"/>
              </w:rPr>
            </w:pPr>
          </w:p>
        </w:tc>
        <w:tc>
          <w:tcPr>
            <w:tcW w:w="0" w:type="auto"/>
            <w:vMerge/>
          </w:tcPr>
          <w:p w14:paraId="1C2C23C7" w14:textId="77777777" w:rsidR="00CB6B6C" w:rsidRPr="00AA22F2" w:rsidRDefault="00CB6B6C" w:rsidP="00CB6B6C">
            <w:pPr>
              <w:cnfStyle w:val="000000000000" w:firstRow="0" w:lastRow="0" w:firstColumn="0" w:lastColumn="0" w:oddVBand="0" w:evenVBand="0" w:oddHBand="0" w:evenHBand="0" w:firstRowFirstColumn="0" w:firstRowLastColumn="0" w:lastRowFirstColumn="0" w:lastRowLastColumn="0"/>
              <w:rPr>
                <w:szCs w:val="20"/>
              </w:rPr>
            </w:pPr>
          </w:p>
        </w:tc>
        <w:tc>
          <w:tcPr>
            <w:tcW w:w="0" w:type="auto"/>
            <w:tcBorders>
              <w:top w:val="single" w:sz="4" w:space="0" w:color="B4C6E7" w:themeColor="accent1" w:themeTint="66"/>
              <w:bottom w:val="single" w:sz="4" w:space="0" w:color="B4C6E7" w:themeColor="accent1" w:themeTint="66"/>
            </w:tcBorders>
          </w:tcPr>
          <w:p w14:paraId="64653B7C" w14:textId="5853A3DE" w:rsidR="00CB6B6C" w:rsidRPr="00AA22F2" w:rsidRDefault="00CB6B6C" w:rsidP="00CB6B6C">
            <w:pPr>
              <w:cnfStyle w:val="000000000000" w:firstRow="0" w:lastRow="0" w:firstColumn="0" w:lastColumn="0" w:oddVBand="0" w:evenVBand="0" w:oddHBand="0" w:evenHBand="0" w:firstRowFirstColumn="0" w:firstRowLastColumn="0" w:lastRowFirstColumn="0" w:lastRowLastColumn="0"/>
              <w:rPr>
                <w:szCs w:val="20"/>
              </w:rPr>
            </w:pPr>
            <w:r>
              <w:rPr>
                <w:szCs w:val="20"/>
              </w:rPr>
              <w:t>Aucun coût spécifique</w:t>
            </w:r>
          </w:p>
        </w:tc>
      </w:tr>
      <w:tr w:rsidR="00CB6B6C" w:rsidRPr="00C93C6A" w14:paraId="4B0268CD" w14:textId="77777777" w:rsidTr="00E81F22">
        <w:trPr>
          <w:trHeight w:val="1102"/>
        </w:trPr>
        <w:tc>
          <w:tcPr>
            <w:cnfStyle w:val="001000000000" w:firstRow="0" w:lastRow="0" w:firstColumn="1" w:lastColumn="0" w:oddVBand="0" w:evenVBand="0" w:oddHBand="0" w:evenHBand="0" w:firstRowFirstColumn="0" w:firstRowLastColumn="0" w:lastRowFirstColumn="0" w:lastRowLastColumn="0"/>
            <w:tcW w:w="0" w:type="auto"/>
            <w:vMerge/>
          </w:tcPr>
          <w:p w14:paraId="3CC4C8EE" w14:textId="77777777" w:rsidR="00E81F22" w:rsidRPr="00AA22F2" w:rsidRDefault="00E81F22" w:rsidP="006D1412">
            <w:pPr>
              <w:rPr>
                <w:szCs w:val="20"/>
              </w:rPr>
            </w:pPr>
          </w:p>
        </w:tc>
        <w:tc>
          <w:tcPr>
            <w:tcW w:w="0" w:type="auto"/>
            <w:vMerge/>
          </w:tcPr>
          <w:p w14:paraId="645D2AA6" w14:textId="77777777" w:rsidR="00E81F22" w:rsidRPr="00AA22F2" w:rsidRDefault="00E81F22" w:rsidP="006D1412">
            <w:pPr>
              <w:cnfStyle w:val="000000000000" w:firstRow="0" w:lastRow="0" w:firstColumn="0" w:lastColumn="0" w:oddVBand="0" w:evenVBand="0" w:oddHBand="0" w:evenHBand="0" w:firstRowFirstColumn="0" w:firstRowLastColumn="0" w:lastRowFirstColumn="0" w:lastRowLastColumn="0"/>
              <w:rPr>
                <w:b/>
                <w:bCs/>
                <w:szCs w:val="20"/>
              </w:rPr>
            </w:pPr>
          </w:p>
        </w:tc>
        <w:tc>
          <w:tcPr>
            <w:tcW w:w="0" w:type="auto"/>
            <w:tcBorders>
              <w:top w:val="single" w:sz="4" w:space="0" w:color="B4C6E7" w:themeColor="accent1" w:themeTint="66"/>
            </w:tcBorders>
          </w:tcPr>
          <w:p w14:paraId="653A1A7D" w14:textId="77777777" w:rsidR="00E81F22" w:rsidRPr="00AA22F2" w:rsidRDefault="00E81F22" w:rsidP="00E81F22">
            <w:pPr>
              <w:cnfStyle w:val="000000000000" w:firstRow="0" w:lastRow="0" w:firstColumn="0" w:lastColumn="0" w:oddVBand="0" w:evenVBand="0" w:oddHBand="0" w:evenHBand="0" w:firstRowFirstColumn="0" w:firstRowLastColumn="0" w:lastRowFirstColumn="0" w:lastRowLastColumn="0"/>
              <w:rPr>
                <w:szCs w:val="20"/>
              </w:rPr>
            </w:pPr>
            <w:r w:rsidRPr="00AA22F2">
              <w:rPr>
                <w:szCs w:val="20"/>
              </w:rPr>
              <w:t>Mettre en place des zones tampons de sécurité à la limite du chantier.</w:t>
            </w:r>
          </w:p>
        </w:tc>
        <w:tc>
          <w:tcPr>
            <w:tcW w:w="0" w:type="auto"/>
            <w:vMerge/>
          </w:tcPr>
          <w:p w14:paraId="011714BE" w14:textId="77777777" w:rsidR="00E81F22" w:rsidRPr="00AA22F2" w:rsidRDefault="00E81F22" w:rsidP="006D1412">
            <w:pPr>
              <w:cnfStyle w:val="000000000000" w:firstRow="0" w:lastRow="0" w:firstColumn="0" w:lastColumn="0" w:oddVBand="0" w:evenVBand="0" w:oddHBand="0" w:evenHBand="0" w:firstRowFirstColumn="0" w:firstRowLastColumn="0" w:lastRowFirstColumn="0" w:lastRowLastColumn="0"/>
              <w:rPr>
                <w:szCs w:val="20"/>
              </w:rPr>
            </w:pPr>
          </w:p>
        </w:tc>
        <w:tc>
          <w:tcPr>
            <w:tcW w:w="0" w:type="auto"/>
            <w:vMerge/>
          </w:tcPr>
          <w:p w14:paraId="6D835CA4" w14:textId="77777777" w:rsidR="00E81F22" w:rsidRPr="00AA22F2" w:rsidRDefault="00E81F22" w:rsidP="006D1412">
            <w:pPr>
              <w:cnfStyle w:val="000000000000" w:firstRow="0" w:lastRow="0" w:firstColumn="0" w:lastColumn="0" w:oddVBand="0" w:evenVBand="0" w:oddHBand="0" w:evenHBand="0" w:firstRowFirstColumn="0" w:firstRowLastColumn="0" w:lastRowFirstColumn="0" w:lastRowLastColumn="0"/>
              <w:rPr>
                <w:szCs w:val="20"/>
              </w:rPr>
            </w:pPr>
          </w:p>
        </w:tc>
        <w:tc>
          <w:tcPr>
            <w:tcW w:w="0" w:type="auto"/>
            <w:vMerge/>
          </w:tcPr>
          <w:p w14:paraId="6385F271" w14:textId="77777777" w:rsidR="00E81F22" w:rsidRPr="00BC1745" w:rsidRDefault="00E81F22" w:rsidP="006D1412">
            <w:pPr>
              <w:cnfStyle w:val="000000000000" w:firstRow="0" w:lastRow="0" w:firstColumn="0" w:lastColumn="0" w:oddVBand="0" w:evenVBand="0" w:oddHBand="0" w:evenHBand="0" w:firstRowFirstColumn="0" w:firstRowLastColumn="0" w:lastRowFirstColumn="0" w:lastRowLastColumn="0"/>
              <w:rPr>
                <w:szCs w:val="20"/>
              </w:rPr>
            </w:pPr>
          </w:p>
        </w:tc>
        <w:tc>
          <w:tcPr>
            <w:tcW w:w="0" w:type="auto"/>
            <w:vMerge/>
          </w:tcPr>
          <w:p w14:paraId="24B2CFF7" w14:textId="77777777" w:rsidR="00E81F22" w:rsidRPr="00AA22F2" w:rsidRDefault="00E81F22" w:rsidP="006D1412">
            <w:pPr>
              <w:cnfStyle w:val="000000000000" w:firstRow="0" w:lastRow="0" w:firstColumn="0" w:lastColumn="0" w:oddVBand="0" w:evenVBand="0" w:oddHBand="0" w:evenHBand="0" w:firstRowFirstColumn="0" w:firstRowLastColumn="0" w:lastRowFirstColumn="0" w:lastRowLastColumn="0"/>
              <w:rPr>
                <w:szCs w:val="20"/>
              </w:rPr>
            </w:pPr>
          </w:p>
        </w:tc>
        <w:tc>
          <w:tcPr>
            <w:tcW w:w="0" w:type="auto"/>
            <w:vMerge/>
          </w:tcPr>
          <w:p w14:paraId="7AE0F451" w14:textId="77777777" w:rsidR="00E81F22" w:rsidRPr="00AA22F2" w:rsidRDefault="00E81F22" w:rsidP="006D1412">
            <w:pPr>
              <w:cnfStyle w:val="000000000000" w:firstRow="0" w:lastRow="0" w:firstColumn="0" w:lastColumn="0" w:oddVBand="0" w:evenVBand="0" w:oddHBand="0" w:evenHBand="0" w:firstRowFirstColumn="0" w:firstRowLastColumn="0" w:lastRowFirstColumn="0" w:lastRowLastColumn="0"/>
              <w:rPr>
                <w:szCs w:val="20"/>
              </w:rPr>
            </w:pPr>
          </w:p>
        </w:tc>
        <w:tc>
          <w:tcPr>
            <w:tcW w:w="0" w:type="auto"/>
            <w:tcBorders>
              <w:top w:val="single" w:sz="4" w:space="0" w:color="B4C6E7" w:themeColor="accent1" w:themeTint="66"/>
            </w:tcBorders>
          </w:tcPr>
          <w:p w14:paraId="2309D378" w14:textId="46A27599" w:rsidR="00E81F22" w:rsidRPr="00AA22F2" w:rsidRDefault="00CB6B6C" w:rsidP="006D1412">
            <w:pPr>
              <w:cnfStyle w:val="000000000000" w:firstRow="0" w:lastRow="0" w:firstColumn="0" w:lastColumn="0" w:oddVBand="0" w:evenVBand="0" w:oddHBand="0" w:evenHBand="0" w:firstRowFirstColumn="0" w:firstRowLastColumn="0" w:lastRowFirstColumn="0" w:lastRowLastColumn="0"/>
              <w:rPr>
                <w:szCs w:val="20"/>
              </w:rPr>
            </w:pPr>
            <w:r w:rsidRPr="00CB6B6C">
              <w:rPr>
                <w:szCs w:val="20"/>
              </w:rPr>
              <w:t>3 000 MAD / zone (balisage, ruban, barrière)</w:t>
            </w:r>
          </w:p>
        </w:tc>
      </w:tr>
      <w:tr w:rsidR="00CB6B6C" w:rsidRPr="008A72E6" w14:paraId="3B83620B" w14:textId="77777777" w:rsidTr="00E81F22">
        <w:trPr>
          <w:trHeight w:val="1025"/>
        </w:trPr>
        <w:tc>
          <w:tcPr>
            <w:cnfStyle w:val="001000000000" w:firstRow="0" w:lastRow="0" w:firstColumn="1" w:lastColumn="0" w:oddVBand="0" w:evenVBand="0" w:oddHBand="0" w:evenHBand="0" w:firstRowFirstColumn="0" w:firstRowLastColumn="0" w:lastRowFirstColumn="0" w:lastRowLastColumn="0"/>
            <w:tcW w:w="0" w:type="auto"/>
            <w:vMerge/>
            <w:hideMark/>
          </w:tcPr>
          <w:p w14:paraId="47F61F2E" w14:textId="77777777" w:rsidR="00E81F22" w:rsidRPr="00AA22F2" w:rsidRDefault="00E81F22" w:rsidP="006D1412">
            <w:pPr>
              <w:rPr>
                <w:szCs w:val="20"/>
              </w:rPr>
            </w:pPr>
          </w:p>
        </w:tc>
        <w:tc>
          <w:tcPr>
            <w:tcW w:w="0" w:type="auto"/>
            <w:vMerge w:val="restart"/>
            <w:hideMark/>
          </w:tcPr>
          <w:p w14:paraId="4816FD94" w14:textId="77777777" w:rsidR="00E81F22" w:rsidRPr="00AA22F2" w:rsidRDefault="00E81F22" w:rsidP="006D1412">
            <w:pPr>
              <w:cnfStyle w:val="000000000000" w:firstRow="0" w:lastRow="0" w:firstColumn="0" w:lastColumn="0" w:oddVBand="0" w:evenVBand="0" w:oddHBand="0" w:evenHBand="0" w:firstRowFirstColumn="0" w:firstRowLastColumn="0" w:lastRowFirstColumn="0" w:lastRowLastColumn="0"/>
              <w:rPr>
                <w:szCs w:val="20"/>
              </w:rPr>
            </w:pPr>
            <w:r w:rsidRPr="00AA22F2">
              <w:rPr>
                <w:b/>
                <w:bCs/>
                <w:szCs w:val="20"/>
              </w:rPr>
              <w:t>Réduire</w:t>
            </w:r>
          </w:p>
        </w:tc>
        <w:tc>
          <w:tcPr>
            <w:tcW w:w="0" w:type="auto"/>
            <w:tcBorders>
              <w:bottom w:val="single" w:sz="4" w:space="0" w:color="B4C6E7" w:themeColor="accent1" w:themeTint="66"/>
            </w:tcBorders>
            <w:hideMark/>
          </w:tcPr>
          <w:p w14:paraId="350AF6C0" w14:textId="6C238FD0" w:rsidR="00E81F22" w:rsidRPr="00AA22F2" w:rsidRDefault="00E81F22" w:rsidP="006D1412">
            <w:pPr>
              <w:cnfStyle w:val="000000000000" w:firstRow="0" w:lastRow="0" w:firstColumn="0" w:lastColumn="0" w:oddVBand="0" w:evenVBand="0" w:oddHBand="0" w:evenHBand="0" w:firstRowFirstColumn="0" w:firstRowLastColumn="0" w:lastRowFirstColumn="0" w:lastRowLastColumn="0"/>
              <w:rPr>
                <w:szCs w:val="20"/>
              </w:rPr>
            </w:pPr>
            <w:r w:rsidRPr="00AA22F2">
              <w:rPr>
                <w:szCs w:val="20"/>
              </w:rPr>
              <w:t xml:space="preserve">Arroser régulièrement les pistes et déblais pour limiter la poussière ; </w:t>
            </w:r>
          </w:p>
        </w:tc>
        <w:tc>
          <w:tcPr>
            <w:tcW w:w="0" w:type="auto"/>
            <w:vMerge w:val="restart"/>
            <w:hideMark/>
          </w:tcPr>
          <w:p w14:paraId="5594E1EF" w14:textId="77777777" w:rsidR="00E81F22" w:rsidRPr="00AA22F2" w:rsidRDefault="00E81F22" w:rsidP="006D1412">
            <w:pPr>
              <w:cnfStyle w:val="000000000000" w:firstRow="0" w:lastRow="0" w:firstColumn="0" w:lastColumn="0" w:oddVBand="0" w:evenVBand="0" w:oddHBand="0" w:evenHBand="0" w:firstRowFirstColumn="0" w:firstRowLastColumn="0" w:lastRowFirstColumn="0" w:lastRowLastColumn="0"/>
              <w:rPr>
                <w:szCs w:val="20"/>
              </w:rPr>
            </w:pPr>
            <w:r w:rsidRPr="00AA22F2">
              <w:rPr>
                <w:szCs w:val="20"/>
              </w:rPr>
              <w:t>Nb d’arrosages par jour ; -</w:t>
            </w:r>
          </w:p>
          <w:p w14:paraId="3359831E" w14:textId="0ABD69F2" w:rsidR="00E81F22" w:rsidRPr="00AA22F2" w:rsidRDefault="00E81F22" w:rsidP="006D1412">
            <w:pPr>
              <w:cnfStyle w:val="000000000000" w:firstRow="0" w:lastRow="0" w:firstColumn="0" w:lastColumn="0" w:oddVBand="0" w:evenVBand="0" w:oddHBand="0" w:evenHBand="0" w:firstRowFirstColumn="0" w:firstRowLastColumn="0" w:lastRowFirstColumn="0" w:lastRowLastColumn="0"/>
              <w:rPr>
                <w:szCs w:val="20"/>
              </w:rPr>
            </w:pPr>
            <w:r w:rsidRPr="00AA22F2">
              <w:rPr>
                <w:szCs w:val="20"/>
              </w:rPr>
              <w:lastRenderedPageBreak/>
              <w:t xml:space="preserve">Résultats de mesure de poussières (mg/m³) ; </w:t>
            </w:r>
          </w:p>
          <w:p w14:paraId="00A8F161" w14:textId="4A302072" w:rsidR="00E81F22" w:rsidRPr="00AA22F2" w:rsidRDefault="00E81F22" w:rsidP="006D1412">
            <w:pPr>
              <w:cnfStyle w:val="000000000000" w:firstRow="0" w:lastRow="0" w:firstColumn="0" w:lastColumn="0" w:oddVBand="0" w:evenVBand="0" w:oddHBand="0" w:evenHBand="0" w:firstRowFirstColumn="0" w:firstRowLastColumn="0" w:lastRowFirstColumn="0" w:lastRowLastColumn="0"/>
              <w:rPr>
                <w:szCs w:val="20"/>
              </w:rPr>
            </w:pPr>
            <w:r w:rsidRPr="00AA22F2">
              <w:rPr>
                <w:szCs w:val="20"/>
              </w:rPr>
              <w:t>Nb d’engins vérifiés et conformes.</w:t>
            </w:r>
          </w:p>
        </w:tc>
        <w:tc>
          <w:tcPr>
            <w:tcW w:w="0" w:type="auto"/>
            <w:vMerge w:val="restart"/>
            <w:hideMark/>
          </w:tcPr>
          <w:p w14:paraId="6C40D09B" w14:textId="77777777" w:rsidR="00E81F22" w:rsidRPr="00AA22F2" w:rsidRDefault="00E81F22" w:rsidP="006D1412">
            <w:pPr>
              <w:cnfStyle w:val="000000000000" w:firstRow="0" w:lastRow="0" w:firstColumn="0" w:lastColumn="0" w:oddVBand="0" w:evenVBand="0" w:oddHBand="0" w:evenHBand="0" w:firstRowFirstColumn="0" w:firstRowLastColumn="0" w:lastRowFirstColumn="0" w:lastRowLastColumn="0"/>
              <w:rPr>
                <w:szCs w:val="20"/>
              </w:rPr>
            </w:pPr>
            <w:r w:rsidRPr="00AA22F2">
              <w:rPr>
                <w:szCs w:val="20"/>
              </w:rPr>
              <w:lastRenderedPageBreak/>
              <w:t>EPC / Sous-traitants</w:t>
            </w:r>
          </w:p>
        </w:tc>
        <w:tc>
          <w:tcPr>
            <w:tcW w:w="0" w:type="auto"/>
            <w:vMerge w:val="restart"/>
            <w:hideMark/>
          </w:tcPr>
          <w:p w14:paraId="0D8FB742" w14:textId="08EBD65D" w:rsidR="00E81F22" w:rsidRPr="00AA22F2" w:rsidRDefault="00E81F22" w:rsidP="006D1412">
            <w:pPr>
              <w:cnfStyle w:val="000000000000" w:firstRow="0" w:lastRow="0" w:firstColumn="0" w:lastColumn="0" w:oddVBand="0" w:evenVBand="0" w:oddHBand="0" w:evenHBand="0" w:firstRowFirstColumn="0" w:firstRowLastColumn="0" w:lastRowFirstColumn="0" w:lastRowLastColumn="0"/>
              <w:rPr>
                <w:szCs w:val="20"/>
              </w:rPr>
            </w:pPr>
            <w:r w:rsidRPr="00BC1745">
              <w:rPr>
                <w:szCs w:val="20"/>
              </w:rPr>
              <w:t xml:space="preserve">Bureau de contrôle / Consultant de </w:t>
            </w:r>
            <w:r w:rsidRPr="00BC1745">
              <w:rPr>
                <w:szCs w:val="20"/>
              </w:rPr>
              <w:lastRenderedPageBreak/>
              <w:t>supervision mandaté par l’ONDA</w:t>
            </w:r>
          </w:p>
        </w:tc>
        <w:tc>
          <w:tcPr>
            <w:tcW w:w="0" w:type="auto"/>
            <w:vMerge w:val="restart"/>
            <w:hideMark/>
          </w:tcPr>
          <w:p w14:paraId="5D762209" w14:textId="6A5CC178" w:rsidR="00E81F22" w:rsidRPr="00AA22F2" w:rsidRDefault="00E81F22" w:rsidP="006D1412">
            <w:pPr>
              <w:cnfStyle w:val="000000000000" w:firstRow="0" w:lastRow="0" w:firstColumn="0" w:lastColumn="0" w:oddVBand="0" w:evenVBand="0" w:oddHBand="0" w:evenHBand="0" w:firstRowFirstColumn="0" w:firstRowLastColumn="0" w:lastRowFirstColumn="0" w:lastRowLastColumn="0"/>
              <w:rPr>
                <w:szCs w:val="20"/>
              </w:rPr>
            </w:pPr>
            <w:r w:rsidRPr="00AA22F2">
              <w:rPr>
                <w:szCs w:val="20"/>
              </w:rPr>
              <w:lastRenderedPageBreak/>
              <w:t xml:space="preserve">ONDA </w:t>
            </w:r>
          </w:p>
        </w:tc>
        <w:tc>
          <w:tcPr>
            <w:tcW w:w="0" w:type="auto"/>
            <w:vMerge w:val="restart"/>
            <w:hideMark/>
          </w:tcPr>
          <w:p w14:paraId="1804A2EA" w14:textId="77777777" w:rsidR="00E81F22" w:rsidRPr="00AA22F2" w:rsidRDefault="00E81F22" w:rsidP="006D1412">
            <w:pPr>
              <w:cnfStyle w:val="000000000000" w:firstRow="0" w:lastRow="0" w:firstColumn="0" w:lastColumn="0" w:oddVBand="0" w:evenVBand="0" w:oddHBand="0" w:evenHBand="0" w:firstRowFirstColumn="0" w:firstRowLastColumn="0" w:lastRowFirstColumn="0" w:lastRowLastColumn="0"/>
              <w:rPr>
                <w:szCs w:val="20"/>
              </w:rPr>
            </w:pPr>
            <w:r w:rsidRPr="00AA22F2">
              <w:rPr>
                <w:szCs w:val="20"/>
              </w:rPr>
              <w:t>Continu durant les travaux</w:t>
            </w:r>
          </w:p>
        </w:tc>
        <w:tc>
          <w:tcPr>
            <w:tcW w:w="0" w:type="auto"/>
            <w:tcBorders>
              <w:bottom w:val="single" w:sz="4" w:space="0" w:color="B4C6E7" w:themeColor="accent1" w:themeTint="66"/>
            </w:tcBorders>
            <w:hideMark/>
          </w:tcPr>
          <w:p w14:paraId="04EAB737" w14:textId="60F8C211" w:rsidR="00E81F22" w:rsidRPr="00AA22F2" w:rsidRDefault="00CB6B6C" w:rsidP="006D1412">
            <w:pPr>
              <w:cnfStyle w:val="000000000000" w:firstRow="0" w:lastRow="0" w:firstColumn="0" w:lastColumn="0" w:oddVBand="0" w:evenVBand="0" w:oddHBand="0" w:evenHBand="0" w:firstRowFirstColumn="0" w:firstRowLastColumn="0" w:lastRowFirstColumn="0" w:lastRowLastColumn="0"/>
              <w:rPr>
                <w:szCs w:val="20"/>
              </w:rPr>
            </w:pPr>
            <w:r w:rsidRPr="00CB6B6C">
              <w:rPr>
                <w:szCs w:val="20"/>
              </w:rPr>
              <w:t>250 MAD / arrosage (camion-citerne)</w:t>
            </w:r>
          </w:p>
        </w:tc>
      </w:tr>
      <w:tr w:rsidR="00CB6B6C" w:rsidRPr="008A72E6" w14:paraId="26ED4997" w14:textId="77777777" w:rsidTr="00CB6B6C">
        <w:trPr>
          <w:trHeight w:val="1125"/>
        </w:trPr>
        <w:tc>
          <w:tcPr>
            <w:cnfStyle w:val="001000000000" w:firstRow="0" w:lastRow="0" w:firstColumn="1" w:lastColumn="0" w:oddVBand="0" w:evenVBand="0" w:oddHBand="0" w:evenHBand="0" w:firstRowFirstColumn="0" w:firstRowLastColumn="0" w:lastRowFirstColumn="0" w:lastRowLastColumn="0"/>
            <w:tcW w:w="0" w:type="auto"/>
            <w:vMerge/>
          </w:tcPr>
          <w:p w14:paraId="45DDA343" w14:textId="77777777" w:rsidR="00E81F22" w:rsidRPr="00AA22F2" w:rsidRDefault="00E81F22" w:rsidP="006D1412">
            <w:pPr>
              <w:rPr>
                <w:szCs w:val="20"/>
              </w:rPr>
            </w:pPr>
          </w:p>
        </w:tc>
        <w:tc>
          <w:tcPr>
            <w:tcW w:w="0" w:type="auto"/>
            <w:vMerge/>
          </w:tcPr>
          <w:p w14:paraId="62CD0FF0" w14:textId="77777777" w:rsidR="00E81F22" w:rsidRPr="00AA22F2" w:rsidRDefault="00E81F22" w:rsidP="006D1412">
            <w:pPr>
              <w:cnfStyle w:val="000000000000" w:firstRow="0" w:lastRow="0" w:firstColumn="0" w:lastColumn="0" w:oddVBand="0" w:evenVBand="0" w:oddHBand="0" w:evenHBand="0" w:firstRowFirstColumn="0" w:firstRowLastColumn="0" w:lastRowFirstColumn="0" w:lastRowLastColumn="0"/>
              <w:rPr>
                <w:b/>
                <w:bCs/>
                <w:szCs w:val="20"/>
              </w:rPr>
            </w:pPr>
          </w:p>
        </w:tc>
        <w:tc>
          <w:tcPr>
            <w:tcW w:w="0" w:type="auto"/>
            <w:tcBorders>
              <w:top w:val="single" w:sz="4" w:space="0" w:color="B4C6E7" w:themeColor="accent1" w:themeTint="66"/>
              <w:bottom w:val="single" w:sz="4" w:space="0" w:color="B4C6E7" w:themeColor="accent1" w:themeTint="66"/>
            </w:tcBorders>
          </w:tcPr>
          <w:p w14:paraId="6FE958C7" w14:textId="302A7BB3" w:rsidR="00E81F22" w:rsidRPr="00AA22F2" w:rsidRDefault="00E81F22" w:rsidP="00E81F22">
            <w:pPr>
              <w:cnfStyle w:val="000000000000" w:firstRow="0" w:lastRow="0" w:firstColumn="0" w:lastColumn="0" w:oddVBand="0" w:evenVBand="0" w:oddHBand="0" w:evenHBand="0" w:firstRowFirstColumn="0" w:firstRowLastColumn="0" w:lastRowFirstColumn="0" w:lastRowLastColumn="0"/>
              <w:rPr>
                <w:szCs w:val="20"/>
              </w:rPr>
            </w:pPr>
            <w:r w:rsidRPr="00AA22F2">
              <w:rPr>
                <w:szCs w:val="20"/>
              </w:rPr>
              <w:t xml:space="preserve">Maintenir en bon état les engins pour réduire les émissions et le bruit ; </w:t>
            </w:r>
          </w:p>
        </w:tc>
        <w:tc>
          <w:tcPr>
            <w:tcW w:w="0" w:type="auto"/>
            <w:vMerge/>
          </w:tcPr>
          <w:p w14:paraId="65FFCE64" w14:textId="77777777" w:rsidR="00E81F22" w:rsidRPr="00AA22F2" w:rsidRDefault="00E81F22" w:rsidP="006D1412">
            <w:pPr>
              <w:cnfStyle w:val="000000000000" w:firstRow="0" w:lastRow="0" w:firstColumn="0" w:lastColumn="0" w:oddVBand="0" w:evenVBand="0" w:oddHBand="0" w:evenHBand="0" w:firstRowFirstColumn="0" w:firstRowLastColumn="0" w:lastRowFirstColumn="0" w:lastRowLastColumn="0"/>
              <w:rPr>
                <w:szCs w:val="20"/>
              </w:rPr>
            </w:pPr>
          </w:p>
        </w:tc>
        <w:tc>
          <w:tcPr>
            <w:tcW w:w="0" w:type="auto"/>
            <w:vMerge/>
          </w:tcPr>
          <w:p w14:paraId="219DB529" w14:textId="77777777" w:rsidR="00E81F22" w:rsidRPr="00AA22F2" w:rsidRDefault="00E81F22" w:rsidP="006D1412">
            <w:pPr>
              <w:cnfStyle w:val="000000000000" w:firstRow="0" w:lastRow="0" w:firstColumn="0" w:lastColumn="0" w:oddVBand="0" w:evenVBand="0" w:oddHBand="0" w:evenHBand="0" w:firstRowFirstColumn="0" w:firstRowLastColumn="0" w:lastRowFirstColumn="0" w:lastRowLastColumn="0"/>
              <w:rPr>
                <w:szCs w:val="20"/>
              </w:rPr>
            </w:pPr>
          </w:p>
        </w:tc>
        <w:tc>
          <w:tcPr>
            <w:tcW w:w="0" w:type="auto"/>
            <w:vMerge/>
          </w:tcPr>
          <w:p w14:paraId="3A3BAFC6" w14:textId="77777777" w:rsidR="00E81F22" w:rsidRPr="00BC1745" w:rsidRDefault="00E81F22" w:rsidP="006D1412">
            <w:pPr>
              <w:cnfStyle w:val="000000000000" w:firstRow="0" w:lastRow="0" w:firstColumn="0" w:lastColumn="0" w:oddVBand="0" w:evenVBand="0" w:oddHBand="0" w:evenHBand="0" w:firstRowFirstColumn="0" w:firstRowLastColumn="0" w:lastRowFirstColumn="0" w:lastRowLastColumn="0"/>
              <w:rPr>
                <w:szCs w:val="20"/>
              </w:rPr>
            </w:pPr>
          </w:p>
        </w:tc>
        <w:tc>
          <w:tcPr>
            <w:tcW w:w="0" w:type="auto"/>
            <w:vMerge/>
          </w:tcPr>
          <w:p w14:paraId="1ED31C84" w14:textId="77777777" w:rsidR="00E81F22" w:rsidRPr="00AA22F2" w:rsidRDefault="00E81F22" w:rsidP="006D1412">
            <w:pPr>
              <w:cnfStyle w:val="000000000000" w:firstRow="0" w:lastRow="0" w:firstColumn="0" w:lastColumn="0" w:oddVBand="0" w:evenVBand="0" w:oddHBand="0" w:evenHBand="0" w:firstRowFirstColumn="0" w:firstRowLastColumn="0" w:lastRowFirstColumn="0" w:lastRowLastColumn="0"/>
              <w:rPr>
                <w:szCs w:val="20"/>
              </w:rPr>
            </w:pPr>
          </w:p>
        </w:tc>
        <w:tc>
          <w:tcPr>
            <w:tcW w:w="0" w:type="auto"/>
            <w:vMerge/>
          </w:tcPr>
          <w:p w14:paraId="23F9C8C6" w14:textId="77777777" w:rsidR="00E81F22" w:rsidRPr="00AA22F2" w:rsidRDefault="00E81F22" w:rsidP="006D1412">
            <w:pPr>
              <w:cnfStyle w:val="000000000000" w:firstRow="0" w:lastRow="0" w:firstColumn="0" w:lastColumn="0" w:oddVBand="0" w:evenVBand="0" w:oddHBand="0" w:evenHBand="0" w:firstRowFirstColumn="0" w:firstRowLastColumn="0" w:lastRowFirstColumn="0" w:lastRowLastColumn="0"/>
              <w:rPr>
                <w:szCs w:val="20"/>
              </w:rPr>
            </w:pPr>
          </w:p>
        </w:tc>
        <w:tc>
          <w:tcPr>
            <w:tcW w:w="0" w:type="auto"/>
            <w:tcBorders>
              <w:top w:val="single" w:sz="4" w:space="0" w:color="B4C6E7" w:themeColor="accent1" w:themeTint="66"/>
              <w:bottom w:val="single" w:sz="4" w:space="0" w:color="B4C6E7" w:themeColor="accent1" w:themeTint="66"/>
            </w:tcBorders>
          </w:tcPr>
          <w:p w14:paraId="40981F15" w14:textId="5FFA0203" w:rsidR="00E81F22" w:rsidRPr="00AA22F2" w:rsidRDefault="00CB6B6C" w:rsidP="006D1412">
            <w:pPr>
              <w:cnfStyle w:val="000000000000" w:firstRow="0" w:lastRow="0" w:firstColumn="0" w:lastColumn="0" w:oddVBand="0" w:evenVBand="0" w:oddHBand="0" w:evenHBand="0" w:firstRowFirstColumn="0" w:firstRowLastColumn="0" w:lastRowFirstColumn="0" w:lastRowLastColumn="0"/>
              <w:rPr>
                <w:szCs w:val="20"/>
              </w:rPr>
            </w:pPr>
            <w:r w:rsidRPr="00CB6B6C">
              <w:rPr>
                <w:szCs w:val="20"/>
              </w:rPr>
              <w:t>500 MAD / engin / mois (maintenance préventive)</w:t>
            </w:r>
          </w:p>
        </w:tc>
      </w:tr>
      <w:tr w:rsidR="00561579" w:rsidRPr="008A72E6" w14:paraId="22613F4C" w14:textId="77777777" w:rsidTr="00323B0F">
        <w:trPr>
          <w:trHeight w:val="1191"/>
        </w:trPr>
        <w:tc>
          <w:tcPr>
            <w:cnfStyle w:val="001000000000" w:firstRow="0" w:lastRow="0" w:firstColumn="1" w:lastColumn="0" w:oddVBand="0" w:evenVBand="0" w:oddHBand="0" w:evenHBand="0" w:firstRowFirstColumn="0" w:firstRowLastColumn="0" w:lastRowFirstColumn="0" w:lastRowLastColumn="0"/>
            <w:tcW w:w="0" w:type="auto"/>
            <w:vMerge/>
          </w:tcPr>
          <w:p w14:paraId="0F30DBCB" w14:textId="77777777" w:rsidR="00323B0F" w:rsidRPr="00AA22F2" w:rsidRDefault="00323B0F" w:rsidP="006D1412">
            <w:pPr>
              <w:rPr>
                <w:szCs w:val="20"/>
              </w:rPr>
            </w:pPr>
          </w:p>
        </w:tc>
        <w:tc>
          <w:tcPr>
            <w:tcW w:w="0" w:type="auto"/>
            <w:vMerge/>
          </w:tcPr>
          <w:p w14:paraId="606CA574" w14:textId="77777777" w:rsidR="00323B0F" w:rsidRPr="00AA22F2" w:rsidRDefault="00323B0F" w:rsidP="006D1412">
            <w:pPr>
              <w:cnfStyle w:val="000000000000" w:firstRow="0" w:lastRow="0" w:firstColumn="0" w:lastColumn="0" w:oddVBand="0" w:evenVBand="0" w:oddHBand="0" w:evenHBand="0" w:firstRowFirstColumn="0" w:firstRowLastColumn="0" w:lastRowFirstColumn="0" w:lastRowLastColumn="0"/>
              <w:rPr>
                <w:b/>
                <w:bCs/>
                <w:szCs w:val="20"/>
              </w:rPr>
            </w:pPr>
          </w:p>
        </w:tc>
        <w:tc>
          <w:tcPr>
            <w:tcW w:w="0" w:type="auto"/>
            <w:tcBorders>
              <w:top w:val="single" w:sz="4" w:space="0" w:color="B4C6E7" w:themeColor="accent1" w:themeTint="66"/>
            </w:tcBorders>
          </w:tcPr>
          <w:p w14:paraId="43144183" w14:textId="68D8441D" w:rsidR="00323B0F" w:rsidRPr="00AA22F2" w:rsidRDefault="00323B0F" w:rsidP="00E81F22">
            <w:pPr>
              <w:cnfStyle w:val="000000000000" w:firstRow="0" w:lastRow="0" w:firstColumn="0" w:lastColumn="0" w:oddVBand="0" w:evenVBand="0" w:oddHBand="0" w:evenHBand="0" w:firstRowFirstColumn="0" w:firstRowLastColumn="0" w:lastRowFirstColumn="0" w:lastRowLastColumn="0"/>
              <w:rPr>
                <w:szCs w:val="20"/>
              </w:rPr>
            </w:pPr>
            <w:r w:rsidRPr="00AA22F2">
              <w:rPr>
                <w:szCs w:val="20"/>
              </w:rPr>
              <w:t>Installer des panneaux de signalisation et des dispositifs anti-poussières ;</w:t>
            </w:r>
          </w:p>
        </w:tc>
        <w:tc>
          <w:tcPr>
            <w:tcW w:w="0" w:type="auto"/>
            <w:vMerge/>
          </w:tcPr>
          <w:p w14:paraId="7B22076B" w14:textId="77777777" w:rsidR="00323B0F" w:rsidRPr="00AA22F2" w:rsidRDefault="00323B0F" w:rsidP="006D1412">
            <w:pPr>
              <w:cnfStyle w:val="000000000000" w:firstRow="0" w:lastRow="0" w:firstColumn="0" w:lastColumn="0" w:oddVBand="0" w:evenVBand="0" w:oddHBand="0" w:evenHBand="0" w:firstRowFirstColumn="0" w:firstRowLastColumn="0" w:lastRowFirstColumn="0" w:lastRowLastColumn="0"/>
              <w:rPr>
                <w:szCs w:val="20"/>
              </w:rPr>
            </w:pPr>
          </w:p>
        </w:tc>
        <w:tc>
          <w:tcPr>
            <w:tcW w:w="0" w:type="auto"/>
            <w:vMerge/>
          </w:tcPr>
          <w:p w14:paraId="638382FD" w14:textId="77777777" w:rsidR="00323B0F" w:rsidRPr="00AA22F2" w:rsidRDefault="00323B0F" w:rsidP="006D1412">
            <w:pPr>
              <w:cnfStyle w:val="000000000000" w:firstRow="0" w:lastRow="0" w:firstColumn="0" w:lastColumn="0" w:oddVBand="0" w:evenVBand="0" w:oddHBand="0" w:evenHBand="0" w:firstRowFirstColumn="0" w:firstRowLastColumn="0" w:lastRowFirstColumn="0" w:lastRowLastColumn="0"/>
              <w:rPr>
                <w:szCs w:val="20"/>
              </w:rPr>
            </w:pPr>
          </w:p>
        </w:tc>
        <w:tc>
          <w:tcPr>
            <w:tcW w:w="0" w:type="auto"/>
            <w:vMerge/>
          </w:tcPr>
          <w:p w14:paraId="47450C23" w14:textId="77777777" w:rsidR="00323B0F" w:rsidRPr="00BC1745" w:rsidRDefault="00323B0F" w:rsidP="006D1412">
            <w:pPr>
              <w:cnfStyle w:val="000000000000" w:firstRow="0" w:lastRow="0" w:firstColumn="0" w:lastColumn="0" w:oddVBand="0" w:evenVBand="0" w:oddHBand="0" w:evenHBand="0" w:firstRowFirstColumn="0" w:firstRowLastColumn="0" w:lastRowFirstColumn="0" w:lastRowLastColumn="0"/>
              <w:rPr>
                <w:szCs w:val="20"/>
              </w:rPr>
            </w:pPr>
          </w:p>
        </w:tc>
        <w:tc>
          <w:tcPr>
            <w:tcW w:w="0" w:type="auto"/>
            <w:vMerge/>
          </w:tcPr>
          <w:p w14:paraId="3EEF6797" w14:textId="77777777" w:rsidR="00323B0F" w:rsidRPr="00AA22F2" w:rsidRDefault="00323B0F" w:rsidP="006D1412">
            <w:pPr>
              <w:cnfStyle w:val="000000000000" w:firstRow="0" w:lastRow="0" w:firstColumn="0" w:lastColumn="0" w:oddVBand="0" w:evenVBand="0" w:oddHBand="0" w:evenHBand="0" w:firstRowFirstColumn="0" w:firstRowLastColumn="0" w:lastRowFirstColumn="0" w:lastRowLastColumn="0"/>
              <w:rPr>
                <w:szCs w:val="20"/>
              </w:rPr>
            </w:pPr>
          </w:p>
        </w:tc>
        <w:tc>
          <w:tcPr>
            <w:tcW w:w="0" w:type="auto"/>
            <w:vMerge/>
          </w:tcPr>
          <w:p w14:paraId="0165F3A3" w14:textId="77777777" w:rsidR="00323B0F" w:rsidRPr="00AA22F2" w:rsidRDefault="00323B0F" w:rsidP="006D1412">
            <w:pPr>
              <w:cnfStyle w:val="000000000000" w:firstRow="0" w:lastRow="0" w:firstColumn="0" w:lastColumn="0" w:oddVBand="0" w:evenVBand="0" w:oddHBand="0" w:evenHBand="0" w:firstRowFirstColumn="0" w:firstRowLastColumn="0" w:lastRowFirstColumn="0" w:lastRowLastColumn="0"/>
              <w:rPr>
                <w:szCs w:val="20"/>
              </w:rPr>
            </w:pPr>
          </w:p>
        </w:tc>
        <w:tc>
          <w:tcPr>
            <w:tcW w:w="0" w:type="auto"/>
            <w:tcBorders>
              <w:top w:val="single" w:sz="4" w:space="0" w:color="B4C6E7" w:themeColor="accent1" w:themeTint="66"/>
            </w:tcBorders>
          </w:tcPr>
          <w:p w14:paraId="3F405748" w14:textId="147607E4" w:rsidR="00323B0F" w:rsidRPr="00CB6B6C" w:rsidRDefault="00323B0F" w:rsidP="006D1412">
            <w:pPr>
              <w:cnfStyle w:val="000000000000" w:firstRow="0" w:lastRow="0" w:firstColumn="0" w:lastColumn="0" w:oddVBand="0" w:evenVBand="0" w:oddHBand="0" w:evenHBand="0" w:firstRowFirstColumn="0" w:firstRowLastColumn="0" w:lastRowFirstColumn="0" w:lastRowLastColumn="0"/>
              <w:rPr>
                <w:szCs w:val="20"/>
              </w:rPr>
            </w:pPr>
            <w:r w:rsidRPr="00323B0F">
              <w:rPr>
                <w:szCs w:val="20"/>
              </w:rPr>
              <w:t>1 500 MAD / panneau</w:t>
            </w:r>
          </w:p>
        </w:tc>
      </w:tr>
      <w:tr w:rsidR="00CB6B6C" w:rsidRPr="008A72E6" w14:paraId="54D3DDAB" w14:textId="77777777" w:rsidTr="00323B0F">
        <w:trPr>
          <w:trHeight w:val="1777"/>
        </w:trPr>
        <w:tc>
          <w:tcPr>
            <w:cnfStyle w:val="001000000000" w:firstRow="0" w:lastRow="0" w:firstColumn="1" w:lastColumn="0" w:oddVBand="0" w:evenVBand="0" w:oddHBand="0" w:evenHBand="0" w:firstRowFirstColumn="0" w:firstRowLastColumn="0" w:lastRowFirstColumn="0" w:lastRowLastColumn="0"/>
            <w:tcW w:w="0" w:type="auto"/>
            <w:vMerge/>
          </w:tcPr>
          <w:p w14:paraId="13941385" w14:textId="77777777" w:rsidR="00E81F22" w:rsidRPr="00AA22F2" w:rsidRDefault="00E81F22" w:rsidP="006D1412">
            <w:pPr>
              <w:rPr>
                <w:szCs w:val="20"/>
              </w:rPr>
            </w:pPr>
          </w:p>
        </w:tc>
        <w:tc>
          <w:tcPr>
            <w:tcW w:w="0" w:type="auto"/>
            <w:vMerge/>
          </w:tcPr>
          <w:p w14:paraId="32BD8532" w14:textId="77777777" w:rsidR="00E81F22" w:rsidRPr="00AA22F2" w:rsidRDefault="00E81F22" w:rsidP="006D1412">
            <w:pPr>
              <w:cnfStyle w:val="000000000000" w:firstRow="0" w:lastRow="0" w:firstColumn="0" w:lastColumn="0" w:oddVBand="0" w:evenVBand="0" w:oddHBand="0" w:evenHBand="0" w:firstRowFirstColumn="0" w:firstRowLastColumn="0" w:lastRowFirstColumn="0" w:lastRowLastColumn="0"/>
              <w:rPr>
                <w:b/>
                <w:bCs/>
                <w:szCs w:val="20"/>
              </w:rPr>
            </w:pPr>
          </w:p>
        </w:tc>
        <w:tc>
          <w:tcPr>
            <w:tcW w:w="0" w:type="auto"/>
            <w:tcBorders>
              <w:top w:val="single" w:sz="4" w:space="0" w:color="B4C6E7" w:themeColor="accent1" w:themeTint="66"/>
            </w:tcBorders>
          </w:tcPr>
          <w:p w14:paraId="2BABABA1" w14:textId="77777777" w:rsidR="00E81F22" w:rsidRPr="00AA22F2" w:rsidRDefault="00E81F22" w:rsidP="00E81F22">
            <w:pPr>
              <w:cnfStyle w:val="000000000000" w:firstRow="0" w:lastRow="0" w:firstColumn="0" w:lastColumn="0" w:oddVBand="0" w:evenVBand="0" w:oddHBand="0" w:evenHBand="0" w:firstRowFirstColumn="0" w:firstRowLastColumn="0" w:lastRowFirstColumn="0" w:lastRowLastColumn="0"/>
              <w:rPr>
                <w:szCs w:val="20"/>
              </w:rPr>
            </w:pPr>
            <w:r w:rsidRPr="00AA22F2">
              <w:rPr>
                <w:szCs w:val="20"/>
              </w:rPr>
              <w:t>Limiter la vitesse des engins à 30 km/h sur site.</w:t>
            </w:r>
          </w:p>
        </w:tc>
        <w:tc>
          <w:tcPr>
            <w:tcW w:w="0" w:type="auto"/>
            <w:vMerge/>
          </w:tcPr>
          <w:p w14:paraId="73E3F882" w14:textId="77777777" w:rsidR="00E81F22" w:rsidRPr="00AA22F2" w:rsidRDefault="00E81F22" w:rsidP="006D1412">
            <w:pPr>
              <w:cnfStyle w:val="000000000000" w:firstRow="0" w:lastRow="0" w:firstColumn="0" w:lastColumn="0" w:oddVBand="0" w:evenVBand="0" w:oddHBand="0" w:evenHBand="0" w:firstRowFirstColumn="0" w:firstRowLastColumn="0" w:lastRowFirstColumn="0" w:lastRowLastColumn="0"/>
              <w:rPr>
                <w:szCs w:val="20"/>
              </w:rPr>
            </w:pPr>
          </w:p>
        </w:tc>
        <w:tc>
          <w:tcPr>
            <w:tcW w:w="0" w:type="auto"/>
            <w:vMerge/>
          </w:tcPr>
          <w:p w14:paraId="0BC175D6" w14:textId="77777777" w:rsidR="00E81F22" w:rsidRPr="00AA22F2" w:rsidRDefault="00E81F22" w:rsidP="006D1412">
            <w:pPr>
              <w:cnfStyle w:val="000000000000" w:firstRow="0" w:lastRow="0" w:firstColumn="0" w:lastColumn="0" w:oddVBand="0" w:evenVBand="0" w:oddHBand="0" w:evenHBand="0" w:firstRowFirstColumn="0" w:firstRowLastColumn="0" w:lastRowFirstColumn="0" w:lastRowLastColumn="0"/>
              <w:rPr>
                <w:szCs w:val="20"/>
              </w:rPr>
            </w:pPr>
          </w:p>
        </w:tc>
        <w:tc>
          <w:tcPr>
            <w:tcW w:w="0" w:type="auto"/>
            <w:vMerge/>
          </w:tcPr>
          <w:p w14:paraId="17D247B8" w14:textId="77777777" w:rsidR="00E81F22" w:rsidRPr="00BC1745" w:rsidRDefault="00E81F22" w:rsidP="006D1412">
            <w:pPr>
              <w:cnfStyle w:val="000000000000" w:firstRow="0" w:lastRow="0" w:firstColumn="0" w:lastColumn="0" w:oddVBand="0" w:evenVBand="0" w:oddHBand="0" w:evenHBand="0" w:firstRowFirstColumn="0" w:firstRowLastColumn="0" w:lastRowFirstColumn="0" w:lastRowLastColumn="0"/>
              <w:rPr>
                <w:szCs w:val="20"/>
              </w:rPr>
            </w:pPr>
          </w:p>
        </w:tc>
        <w:tc>
          <w:tcPr>
            <w:tcW w:w="0" w:type="auto"/>
            <w:vMerge/>
          </w:tcPr>
          <w:p w14:paraId="7916216D" w14:textId="77777777" w:rsidR="00E81F22" w:rsidRPr="00AA22F2" w:rsidRDefault="00E81F22" w:rsidP="006D1412">
            <w:pPr>
              <w:cnfStyle w:val="000000000000" w:firstRow="0" w:lastRow="0" w:firstColumn="0" w:lastColumn="0" w:oddVBand="0" w:evenVBand="0" w:oddHBand="0" w:evenHBand="0" w:firstRowFirstColumn="0" w:firstRowLastColumn="0" w:lastRowFirstColumn="0" w:lastRowLastColumn="0"/>
              <w:rPr>
                <w:szCs w:val="20"/>
              </w:rPr>
            </w:pPr>
          </w:p>
        </w:tc>
        <w:tc>
          <w:tcPr>
            <w:tcW w:w="0" w:type="auto"/>
            <w:vMerge/>
          </w:tcPr>
          <w:p w14:paraId="610D4CA7" w14:textId="77777777" w:rsidR="00E81F22" w:rsidRPr="00AA22F2" w:rsidRDefault="00E81F22" w:rsidP="006D1412">
            <w:pPr>
              <w:cnfStyle w:val="000000000000" w:firstRow="0" w:lastRow="0" w:firstColumn="0" w:lastColumn="0" w:oddVBand="0" w:evenVBand="0" w:oddHBand="0" w:evenHBand="0" w:firstRowFirstColumn="0" w:firstRowLastColumn="0" w:lastRowFirstColumn="0" w:lastRowLastColumn="0"/>
              <w:rPr>
                <w:szCs w:val="20"/>
              </w:rPr>
            </w:pPr>
          </w:p>
        </w:tc>
        <w:tc>
          <w:tcPr>
            <w:tcW w:w="0" w:type="auto"/>
            <w:tcBorders>
              <w:top w:val="single" w:sz="4" w:space="0" w:color="B4C6E7" w:themeColor="accent1" w:themeTint="66"/>
            </w:tcBorders>
          </w:tcPr>
          <w:p w14:paraId="56429ED3" w14:textId="1FC226C1" w:rsidR="00E81F22" w:rsidRPr="00AA22F2" w:rsidRDefault="00323B0F" w:rsidP="006D1412">
            <w:pPr>
              <w:cnfStyle w:val="000000000000" w:firstRow="0" w:lastRow="0" w:firstColumn="0" w:lastColumn="0" w:oddVBand="0" w:evenVBand="0" w:oddHBand="0" w:evenHBand="0" w:firstRowFirstColumn="0" w:firstRowLastColumn="0" w:lastRowFirstColumn="0" w:lastRowLastColumn="0"/>
              <w:rPr>
                <w:szCs w:val="20"/>
              </w:rPr>
            </w:pPr>
            <w:r w:rsidRPr="00323B0F">
              <w:rPr>
                <w:szCs w:val="20"/>
              </w:rPr>
              <w:t>Aucun coût spécifique</w:t>
            </w:r>
          </w:p>
        </w:tc>
      </w:tr>
      <w:tr w:rsidR="00CB6B6C" w:rsidRPr="008A72E6" w14:paraId="1CB6160F" w14:textId="77777777" w:rsidTr="00E81F22">
        <w:trPr>
          <w:trHeight w:val="982"/>
        </w:trPr>
        <w:tc>
          <w:tcPr>
            <w:cnfStyle w:val="001000000000" w:firstRow="0" w:lastRow="0" w:firstColumn="1" w:lastColumn="0" w:oddVBand="0" w:evenVBand="0" w:oddHBand="0" w:evenHBand="0" w:firstRowFirstColumn="0" w:firstRowLastColumn="0" w:lastRowFirstColumn="0" w:lastRowLastColumn="0"/>
            <w:tcW w:w="0" w:type="auto"/>
            <w:vMerge/>
            <w:hideMark/>
          </w:tcPr>
          <w:p w14:paraId="3A550827" w14:textId="77777777" w:rsidR="00E81F22" w:rsidRPr="00AA22F2" w:rsidRDefault="00E81F22" w:rsidP="006D1412">
            <w:pPr>
              <w:rPr>
                <w:szCs w:val="20"/>
              </w:rPr>
            </w:pPr>
          </w:p>
        </w:tc>
        <w:tc>
          <w:tcPr>
            <w:tcW w:w="0" w:type="auto"/>
            <w:vMerge w:val="restart"/>
            <w:hideMark/>
          </w:tcPr>
          <w:p w14:paraId="6B2696EF" w14:textId="77777777" w:rsidR="00E81F22" w:rsidRPr="00AA22F2" w:rsidRDefault="00E81F22" w:rsidP="006D1412">
            <w:pPr>
              <w:cnfStyle w:val="000000000000" w:firstRow="0" w:lastRow="0" w:firstColumn="0" w:lastColumn="0" w:oddVBand="0" w:evenVBand="0" w:oddHBand="0" w:evenHBand="0" w:firstRowFirstColumn="0" w:firstRowLastColumn="0" w:lastRowFirstColumn="0" w:lastRowLastColumn="0"/>
              <w:rPr>
                <w:szCs w:val="20"/>
              </w:rPr>
            </w:pPr>
            <w:r w:rsidRPr="00AA22F2">
              <w:rPr>
                <w:b/>
                <w:bCs/>
                <w:szCs w:val="20"/>
              </w:rPr>
              <w:t>Atténuer</w:t>
            </w:r>
          </w:p>
        </w:tc>
        <w:tc>
          <w:tcPr>
            <w:tcW w:w="0" w:type="auto"/>
            <w:tcBorders>
              <w:bottom w:val="single" w:sz="4" w:space="0" w:color="B4C6E7" w:themeColor="accent1" w:themeTint="66"/>
            </w:tcBorders>
            <w:hideMark/>
          </w:tcPr>
          <w:p w14:paraId="427935B3" w14:textId="7C5CB815" w:rsidR="00E81F22" w:rsidRPr="00AA22F2" w:rsidRDefault="00E81F22" w:rsidP="006D1412">
            <w:pPr>
              <w:cnfStyle w:val="000000000000" w:firstRow="0" w:lastRow="0" w:firstColumn="0" w:lastColumn="0" w:oddVBand="0" w:evenVBand="0" w:oddHBand="0" w:evenHBand="0" w:firstRowFirstColumn="0" w:firstRowLastColumn="0" w:lastRowFirstColumn="0" w:lastRowLastColumn="0"/>
              <w:rPr>
                <w:szCs w:val="20"/>
              </w:rPr>
            </w:pPr>
            <w:r w:rsidRPr="00AA22F2">
              <w:rPr>
                <w:szCs w:val="20"/>
              </w:rPr>
              <w:t xml:space="preserve">Prévoir une signalisation visuelle aux abords du chantier ; </w:t>
            </w:r>
          </w:p>
        </w:tc>
        <w:tc>
          <w:tcPr>
            <w:tcW w:w="0" w:type="auto"/>
            <w:vMerge w:val="restart"/>
            <w:hideMark/>
          </w:tcPr>
          <w:p w14:paraId="77F46241" w14:textId="77777777" w:rsidR="00E81F22" w:rsidRPr="00AA22F2" w:rsidRDefault="00E81F22" w:rsidP="006D1412">
            <w:pPr>
              <w:cnfStyle w:val="000000000000" w:firstRow="0" w:lastRow="0" w:firstColumn="0" w:lastColumn="0" w:oddVBand="0" w:evenVBand="0" w:oddHBand="0" w:evenHBand="0" w:firstRowFirstColumn="0" w:firstRowLastColumn="0" w:lastRowFirstColumn="0" w:lastRowLastColumn="0"/>
              <w:rPr>
                <w:szCs w:val="20"/>
              </w:rPr>
            </w:pPr>
            <w:r w:rsidRPr="00AA22F2">
              <w:rPr>
                <w:szCs w:val="20"/>
              </w:rPr>
              <w:t xml:space="preserve">Nb de sessions d’information communautaire ; </w:t>
            </w:r>
          </w:p>
          <w:p w14:paraId="3F0DFD01" w14:textId="528C73A5" w:rsidR="00E81F22" w:rsidRPr="00AA22F2" w:rsidRDefault="00E81F22" w:rsidP="006D1412">
            <w:pPr>
              <w:cnfStyle w:val="000000000000" w:firstRow="0" w:lastRow="0" w:firstColumn="0" w:lastColumn="0" w:oddVBand="0" w:evenVBand="0" w:oddHBand="0" w:evenHBand="0" w:firstRowFirstColumn="0" w:firstRowLastColumn="0" w:lastRowFirstColumn="0" w:lastRowLastColumn="0"/>
              <w:rPr>
                <w:szCs w:val="20"/>
              </w:rPr>
            </w:pPr>
            <w:r w:rsidRPr="00AA22F2">
              <w:rPr>
                <w:szCs w:val="20"/>
              </w:rPr>
              <w:t>Nb de doléances reçues et traitées.</w:t>
            </w:r>
          </w:p>
        </w:tc>
        <w:tc>
          <w:tcPr>
            <w:tcW w:w="0" w:type="auto"/>
            <w:vMerge w:val="restart"/>
            <w:hideMark/>
          </w:tcPr>
          <w:p w14:paraId="16AFD533" w14:textId="77777777" w:rsidR="00E81F22" w:rsidRPr="00AA22F2" w:rsidRDefault="00E81F22" w:rsidP="006D1412">
            <w:pPr>
              <w:cnfStyle w:val="000000000000" w:firstRow="0" w:lastRow="0" w:firstColumn="0" w:lastColumn="0" w:oddVBand="0" w:evenVBand="0" w:oddHBand="0" w:evenHBand="0" w:firstRowFirstColumn="0" w:firstRowLastColumn="0" w:lastRowFirstColumn="0" w:lastRowLastColumn="0"/>
              <w:rPr>
                <w:szCs w:val="20"/>
              </w:rPr>
            </w:pPr>
            <w:r w:rsidRPr="00AA22F2">
              <w:rPr>
                <w:szCs w:val="20"/>
              </w:rPr>
              <w:t>ONDA / EPC</w:t>
            </w:r>
          </w:p>
        </w:tc>
        <w:tc>
          <w:tcPr>
            <w:tcW w:w="0" w:type="auto"/>
            <w:vMerge w:val="restart"/>
            <w:hideMark/>
          </w:tcPr>
          <w:p w14:paraId="7292C417" w14:textId="371BA12D" w:rsidR="00E81F22" w:rsidRPr="00AA22F2" w:rsidRDefault="00E81F22" w:rsidP="006D1412">
            <w:pPr>
              <w:cnfStyle w:val="000000000000" w:firstRow="0" w:lastRow="0" w:firstColumn="0" w:lastColumn="0" w:oddVBand="0" w:evenVBand="0" w:oddHBand="0" w:evenHBand="0" w:firstRowFirstColumn="0" w:firstRowLastColumn="0" w:lastRowFirstColumn="0" w:lastRowLastColumn="0"/>
              <w:rPr>
                <w:szCs w:val="20"/>
              </w:rPr>
            </w:pPr>
            <w:r w:rsidRPr="00BC1745">
              <w:rPr>
                <w:szCs w:val="20"/>
              </w:rPr>
              <w:t>Bureau de contrôle / Consultant de supervision mandaté par l’ONDA</w:t>
            </w:r>
          </w:p>
        </w:tc>
        <w:tc>
          <w:tcPr>
            <w:tcW w:w="0" w:type="auto"/>
            <w:vMerge w:val="restart"/>
            <w:hideMark/>
          </w:tcPr>
          <w:p w14:paraId="037999E6" w14:textId="77777777" w:rsidR="00E81F22" w:rsidRPr="00AA22F2" w:rsidRDefault="00E81F22" w:rsidP="006D1412">
            <w:pPr>
              <w:cnfStyle w:val="000000000000" w:firstRow="0" w:lastRow="0" w:firstColumn="0" w:lastColumn="0" w:oddVBand="0" w:evenVBand="0" w:oddHBand="0" w:evenHBand="0" w:firstRowFirstColumn="0" w:firstRowLastColumn="0" w:lastRowFirstColumn="0" w:lastRowLastColumn="0"/>
              <w:rPr>
                <w:szCs w:val="20"/>
              </w:rPr>
            </w:pPr>
            <w:r w:rsidRPr="00AA22F2">
              <w:rPr>
                <w:szCs w:val="20"/>
              </w:rPr>
              <w:t>ONDA</w:t>
            </w:r>
          </w:p>
        </w:tc>
        <w:tc>
          <w:tcPr>
            <w:tcW w:w="0" w:type="auto"/>
            <w:vMerge w:val="restart"/>
            <w:hideMark/>
          </w:tcPr>
          <w:p w14:paraId="6B11C3A0" w14:textId="77777777" w:rsidR="00E81F22" w:rsidRPr="00AA22F2" w:rsidRDefault="00E81F22" w:rsidP="006D1412">
            <w:pPr>
              <w:cnfStyle w:val="000000000000" w:firstRow="0" w:lastRow="0" w:firstColumn="0" w:lastColumn="0" w:oddVBand="0" w:evenVBand="0" w:oddHBand="0" w:evenHBand="0" w:firstRowFirstColumn="0" w:firstRowLastColumn="0" w:lastRowFirstColumn="0" w:lastRowLastColumn="0"/>
              <w:rPr>
                <w:szCs w:val="20"/>
              </w:rPr>
            </w:pPr>
            <w:r w:rsidRPr="00AA22F2">
              <w:rPr>
                <w:szCs w:val="20"/>
              </w:rPr>
              <w:t>Mensuel</w:t>
            </w:r>
          </w:p>
        </w:tc>
        <w:tc>
          <w:tcPr>
            <w:tcW w:w="0" w:type="auto"/>
            <w:tcBorders>
              <w:bottom w:val="single" w:sz="4" w:space="0" w:color="B4C6E7" w:themeColor="accent1" w:themeTint="66"/>
            </w:tcBorders>
            <w:hideMark/>
          </w:tcPr>
          <w:p w14:paraId="238ABE5F" w14:textId="74A726A8" w:rsidR="00E81F22" w:rsidRPr="00AA22F2" w:rsidRDefault="00005190" w:rsidP="006D1412">
            <w:pPr>
              <w:cnfStyle w:val="000000000000" w:firstRow="0" w:lastRow="0" w:firstColumn="0" w:lastColumn="0" w:oddVBand="0" w:evenVBand="0" w:oddHBand="0" w:evenHBand="0" w:firstRowFirstColumn="0" w:firstRowLastColumn="0" w:lastRowFirstColumn="0" w:lastRowLastColumn="0"/>
              <w:rPr>
                <w:szCs w:val="20"/>
              </w:rPr>
            </w:pPr>
            <w:r w:rsidRPr="00005190">
              <w:rPr>
                <w:szCs w:val="20"/>
              </w:rPr>
              <w:t>1 000 MAD / panneau lumineux ou réflecteur</w:t>
            </w:r>
          </w:p>
        </w:tc>
      </w:tr>
      <w:tr w:rsidR="00CB6B6C" w:rsidRPr="008A72E6" w14:paraId="1A71B801" w14:textId="77777777" w:rsidTr="00E81F22">
        <w:trPr>
          <w:trHeight w:val="1014"/>
        </w:trPr>
        <w:tc>
          <w:tcPr>
            <w:cnfStyle w:val="001000000000" w:firstRow="0" w:lastRow="0" w:firstColumn="1" w:lastColumn="0" w:oddVBand="0" w:evenVBand="0" w:oddHBand="0" w:evenHBand="0" w:firstRowFirstColumn="0" w:firstRowLastColumn="0" w:lastRowFirstColumn="0" w:lastRowLastColumn="0"/>
            <w:tcW w:w="0" w:type="auto"/>
            <w:vMerge/>
          </w:tcPr>
          <w:p w14:paraId="250714E3" w14:textId="77777777" w:rsidR="00E81F22" w:rsidRPr="00AA22F2" w:rsidRDefault="00E81F22" w:rsidP="006D1412">
            <w:pPr>
              <w:rPr>
                <w:szCs w:val="20"/>
              </w:rPr>
            </w:pPr>
          </w:p>
        </w:tc>
        <w:tc>
          <w:tcPr>
            <w:tcW w:w="0" w:type="auto"/>
            <w:vMerge/>
          </w:tcPr>
          <w:p w14:paraId="1BB91053" w14:textId="77777777" w:rsidR="00E81F22" w:rsidRPr="00AA22F2" w:rsidRDefault="00E81F22" w:rsidP="006D1412">
            <w:pPr>
              <w:cnfStyle w:val="000000000000" w:firstRow="0" w:lastRow="0" w:firstColumn="0" w:lastColumn="0" w:oddVBand="0" w:evenVBand="0" w:oddHBand="0" w:evenHBand="0" w:firstRowFirstColumn="0" w:firstRowLastColumn="0" w:lastRowFirstColumn="0" w:lastRowLastColumn="0"/>
              <w:rPr>
                <w:b/>
                <w:bCs/>
                <w:szCs w:val="20"/>
              </w:rPr>
            </w:pPr>
          </w:p>
        </w:tc>
        <w:tc>
          <w:tcPr>
            <w:tcW w:w="0" w:type="auto"/>
            <w:tcBorders>
              <w:top w:val="single" w:sz="4" w:space="0" w:color="B4C6E7" w:themeColor="accent1" w:themeTint="66"/>
              <w:bottom w:val="single" w:sz="4" w:space="0" w:color="B4C6E7" w:themeColor="accent1" w:themeTint="66"/>
            </w:tcBorders>
          </w:tcPr>
          <w:p w14:paraId="25B3FB0C" w14:textId="5099DEA0" w:rsidR="00E81F22" w:rsidRPr="00AA22F2" w:rsidRDefault="00E81F22" w:rsidP="00E81F22">
            <w:pPr>
              <w:cnfStyle w:val="000000000000" w:firstRow="0" w:lastRow="0" w:firstColumn="0" w:lastColumn="0" w:oddVBand="0" w:evenVBand="0" w:oddHBand="0" w:evenHBand="0" w:firstRowFirstColumn="0" w:firstRowLastColumn="0" w:lastRowFirstColumn="0" w:lastRowLastColumn="0"/>
              <w:rPr>
                <w:szCs w:val="20"/>
              </w:rPr>
            </w:pPr>
            <w:r w:rsidRPr="00AA22F2">
              <w:rPr>
                <w:szCs w:val="20"/>
              </w:rPr>
              <w:t xml:space="preserve">Prévoir un canal de communication pour les doléances ; </w:t>
            </w:r>
          </w:p>
        </w:tc>
        <w:tc>
          <w:tcPr>
            <w:tcW w:w="0" w:type="auto"/>
            <w:vMerge/>
          </w:tcPr>
          <w:p w14:paraId="04B2CC5C" w14:textId="77777777" w:rsidR="00E81F22" w:rsidRPr="00AA22F2" w:rsidRDefault="00E81F22" w:rsidP="006D1412">
            <w:pPr>
              <w:cnfStyle w:val="000000000000" w:firstRow="0" w:lastRow="0" w:firstColumn="0" w:lastColumn="0" w:oddVBand="0" w:evenVBand="0" w:oddHBand="0" w:evenHBand="0" w:firstRowFirstColumn="0" w:firstRowLastColumn="0" w:lastRowFirstColumn="0" w:lastRowLastColumn="0"/>
              <w:rPr>
                <w:szCs w:val="20"/>
              </w:rPr>
            </w:pPr>
          </w:p>
        </w:tc>
        <w:tc>
          <w:tcPr>
            <w:tcW w:w="0" w:type="auto"/>
            <w:vMerge/>
          </w:tcPr>
          <w:p w14:paraId="5A56A675" w14:textId="77777777" w:rsidR="00E81F22" w:rsidRPr="00AA22F2" w:rsidRDefault="00E81F22" w:rsidP="006D1412">
            <w:pPr>
              <w:cnfStyle w:val="000000000000" w:firstRow="0" w:lastRow="0" w:firstColumn="0" w:lastColumn="0" w:oddVBand="0" w:evenVBand="0" w:oddHBand="0" w:evenHBand="0" w:firstRowFirstColumn="0" w:firstRowLastColumn="0" w:lastRowFirstColumn="0" w:lastRowLastColumn="0"/>
              <w:rPr>
                <w:szCs w:val="20"/>
              </w:rPr>
            </w:pPr>
          </w:p>
        </w:tc>
        <w:tc>
          <w:tcPr>
            <w:tcW w:w="0" w:type="auto"/>
            <w:vMerge/>
          </w:tcPr>
          <w:p w14:paraId="493CC9D1" w14:textId="77777777" w:rsidR="00E81F22" w:rsidRPr="00BC1745" w:rsidRDefault="00E81F22" w:rsidP="006D1412">
            <w:pPr>
              <w:cnfStyle w:val="000000000000" w:firstRow="0" w:lastRow="0" w:firstColumn="0" w:lastColumn="0" w:oddVBand="0" w:evenVBand="0" w:oddHBand="0" w:evenHBand="0" w:firstRowFirstColumn="0" w:firstRowLastColumn="0" w:lastRowFirstColumn="0" w:lastRowLastColumn="0"/>
              <w:rPr>
                <w:szCs w:val="20"/>
              </w:rPr>
            </w:pPr>
          </w:p>
        </w:tc>
        <w:tc>
          <w:tcPr>
            <w:tcW w:w="0" w:type="auto"/>
            <w:vMerge/>
          </w:tcPr>
          <w:p w14:paraId="3C1745AC" w14:textId="77777777" w:rsidR="00E81F22" w:rsidRPr="00AA22F2" w:rsidRDefault="00E81F22" w:rsidP="006D1412">
            <w:pPr>
              <w:cnfStyle w:val="000000000000" w:firstRow="0" w:lastRow="0" w:firstColumn="0" w:lastColumn="0" w:oddVBand="0" w:evenVBand="0" w:oddHBand="0" w:evenHBand="0" w:firstRowFirstColumn="0" w:firstRowLastColumn="0" w:lastRowFirstColumn="0" w:lastRowLastColumn="0"/>
              <w:rPr>
                <w:szCs w:val="20"/>
              </w:rPr>
            </w:pPr>
          </w:p>
        </w:tc>
        <w:tc>
          <w:tcPr>
            <w:tcW w:w="0" w:type="auto"/>
            <w:vMerge/>
          </w:tcPr>
          <w:p w14:paraId="63D89CCB" w14:textId="77777777" w:rsidR="00E81F22" w:rsidRPr="00AA22F2" w:rsidRDefault="00E81F22" w:rsidP="006D1412">
            <w:pPr>
              <w:cnfStyle w:val="000000000000" w:firstRow="0" w:lastRow="0" w:firstColumn="0" w:lastColumn="0" w:oddVBand="0" w:evenVBand="0" w:oddHBand="0" w:evenHBand="0" w:firstRowFirstColumn="0" w:firstRowLastColumn="0" w:lastRowFirstColumn="0" w:lastRowLastColumn="0"/>
              <w:rPr>
                <w:szCs w:val="20"/>
              </w:rPr>
            </w:pPr>
          </w:p>
        </w:tc>
        <w:tc>
          <w:tcPr>
            <w:tcW w:w="0" w:type="auto"/>
            <w:tcBorders>
              <w:top w:val="single" w:sz="4" w:space="0" w:color="B4C6E7" w:themeColor="accent1" w:themeTint="66"/>
              <w:bottom w:val="single" w:sz="4" w:space="0" w:color="B4C6E7" w:themeColor="accent1" w:themeTint="66"/>
            </w:tcBorders>
          </w:tcPr>
          <w:p w14:paraId="0803F243" w14:textId="069B54D8" w:rsidR="00E81F22" w:rsidRPr="00AA22F2" w:rsidRDefault="00005190" w:rsidP="006D1412">
            <w:pPr>
              <w:cnfStyle w:val="000000000000" w:firstRow="0" w:lastRow="0" w:firstColumn="0" w:lastColumn="0" w:oddVBand="0" w:evenVBand="0" w:oddHBand="0" w:evenHBand="0" w:firstRowFirstColumn="0" w:firstRowLastColumn="0" w:lastRowFirstColumn="0" w:lastRowLastColumn="0"/>
              <w:rPr>
                <w:szCs w:val="20"/>
              </w:rPr>
            </w:pPr>
            <w:r w:rsidRPr="00005190">
              <w:rPr>
                <w:szCs w:val="20"/>
              </w:rPr>
              <w:t>20 000 MAD / an</w:t>
            </w:r>
          </w:p>
        </w:tc>
      </w:tr>
      <w:tr w:rsidR="00CB6B6C" w:rsidRPr="008A72E6" w14:paraId="2042711C" w14:textId="77777777" w:rsidTr="00E81F22">
        <w:trPr>
          <w:trHeight w:val="1020"/>
        </w:trPr>
        <w:tc>
          <w:tcPr>
            <w:cnfStyle w:val="001000000000" w:firstRow="0" w:lastRow="0" w:firstColumn="1" w:lastColumn="0" w:oddVBand="0" w:evenVBand="0" w:oddHBand="0" w:evenHBand="0" w:firstRowFirstColumn="0" w:firstRowLastColumn="0" w:lastRowFirstColumn="0" w:lastRowLastColumn="0"/>
            <w:tcW w:w="0" w:type="auto"/>
            <w:vMerge/>
          </w:tcPr>
          <w:p w14:paraId="30856E67" w14:textId="77777777" w:rsidR="00E81F22" w:rsidRPr="00AA22F2" w:rsidRDefault="00E81F22" w:rsidP="006D1412">
            <w:pPr>
              <w:rPr>
                <w:szCs w:val="20"/>
              </w:rPr>
            </w:pPr>
          </w:p>
        </w:tc>
        <w:tc>
          <w:tcPr>
            <w:tcW w:w="0" w:type="auto"/>
            <w:vMerge/>
          </w:tcPr>
          <w:p w14:paraId="09E934C5" w14:textId="77777777" w:rsidR="00E81F22" w:rsidRPr="00AA22F2" w:rsidRDefault="00E81F22" w:rsidP="006D1412">
            <w:pPr>
              <w:cnfStyle w:val="000000000000" w:firstRow="0" w:lastRow="0" w:firstColumn="0" w:lastColumn="0" w:oddVBand="0" w:evenVBand="0" w:oddHBand="0" w:evenHBand="0" w:firstRowFirstColumn="0" w:firstRowLastColumn="0" w:lastRowFirstColumn="0" w:lastRowLastColumn="0"/>
              <w:rPr>
                <w:b/>
                <w:bCs/>
                <w:szCs w:val="20"/>
              </w:rPr>
            </w:pPr>
          </w:p>
        </w:tc>
        <w:tc>
          <w:tcPr>
            <w:tcW w:w="0" w:type="auto"/>
            <w:tcBorders>
              <w:top w:val="single" w:sz="4" w:space="0" w:color="B4C6E7" w:themeColor="accent1" w:themeTint="66"/>
            </w:tcBorders>
          </w:tcPr>
          <w:p w14:paraId="529A2AC1" w14:textId="77777777" w:rsidR="00E81F22" w:rsidRPr="00AA22F2" w:rsidRDefault="00E81F22" w:rsidP="00E81F22">
            <w:pPr>
              <w:cnfStyle w:val="000000000000" w:firstRow="0" w:lastRow="0" w:firstColumn="0" w:lastColumn="0" w:oddVBand="0" w:evenVBand="0" w:oddHBand="0" w:evenHBand="0" w:firstRowFirstColumn="0" w:firstRowLastColumn="0" w:lastRowFirstColumn="0" w:lastRowLastColumn="0"/>
              <w:rPr>
                <w:szCs w:val="20"/>
              </w:rPr>
            </w:pPr>
            <w:r w:rsidRPr="00AA22F2">
              <w:rPr>
                <w:szCs w:val="20"/>
              </w:rPr>
              <w:t xml:space="preserve">Installer, si nécessaire, des écrans acoustiques </w:t>
            </w:r>
            <w:r w:rsidRPr="00AA22F2">
              <w:rPr>
                <w:szCs w:val="20"/>
              </w:rPr>
              <w:lastRenderedPageBreak/>
              <w:t>ou barrières temporaires.</w:t>
            </w:r>
          </w:p>
        </w:tc>
        <w:tc>
          <w:tcPr>
            <w:tcW w:w="0" w:type="auto"/>
            <w:vMerge/>
          </w:tcPr>
          <w:p w14:paraId="7F6708FF" w14:textId="77777777" w:rsidR="00E81F22" w:rsidRPr="00AA22F2" w:rsidRDefault="00E81F22" w:rsidP="006D1412">
            <w:pPr>
              <w:cnfStyle w:val="000000000000" w:firstRow="0" w:lastRow="0" w:firstColumn="0" w:lastColumn="0" w:oddVBand="0" w:evenVBand="0" w:oddHBand="0" w:evenHBand="0" w:firstRowFirstColumn="0" w:firstRowLastColumn="0" w:lastRowFirstColumn="0" w:lastRowLastColumn="0"/>
              <w:rPr>
                <w:szCs w:val="20"/>
              </w:rPr>
            </w:pPr>
          </w:p>
        </w:tc>
        <w:tc>
          <w:tcPr>
            <w:tcW w:w="0" w:type="auto"/>
            <w:vMerge/>
          </w:tcPr>
          <w:p w14:paraId="2ED12B81" w14:textId="77777777" w:rsidR="00E81F22" w:rsidRPr="00AA22F2" w:rsidRDefault="00E81F22" w:rsidP="006D1412">
            <w:pPr>
              <w:cnfStyle w:val="000000000000" w:firstRow="0" w:lastRow="0" w:firstColumn="0" w:lastColumn="0" w:oddVBand="0" w:evenVBand="0" w:oddHBand="0" w:evenHBand="0" w:firstRowFirstColumn="0" w:firstRowLastColumn="0" w:lastRowFirstColumn="0" w:lastRowLastColumn="0"/>
              <w:rPr>
                <w:szCs w:val="20"/>
              </w:rPr>
            </w:pPr>
          </w:p>
        </w:tc>
        <w:tc>
          <w:tcPr>
            <w:tcW w:w="0" w:type="auto"/>
            <w:vMerge/>
          </w:tcPr>
          <w:p w14:paraId="297EB9EC" w14:textId="77777777" w:rsidR="00E81F22" w:rsidRPr="00BC1745" w:rsidRDefault="00E81F22" w:rsidP="006D1412">
            <w:pPr>
              <w:cnfStyle w:val="000000000000" w:firstRow="0" w:lastRow="0" w:firstColumn="0" w:lastColumn="0" w:oddVBand="0" w:evenVBand="0" w:oddHBand="0" w:evenHBand="0" w:firstRowFirstColumn="0" w:firstRowLastColumn="0" w:lastRowFirstColumn="0" w:lastRowLastColumn="0"/>
              <w:rPr>
                <w:szCs w:val="20"/>
              </w:rPr>
            </w:pPr>
          </w:p>
        </w:tc>
        <w:tc>
          <w:tcPr>
            <w:tcW w:w="0" w:type="auto"/>
            <w:vMerge/>
          </w:tcPr>
          <w:p w14:paraId="7DAF6633" w14:textId="77777777" w:rsidR="00E81F22" w:rsidRPr="00AA22F2" w:rsidRDefault="00E81F22" w:rsidP="006D1412">
            <w:pPr>
              <w:cnfStyle w:val="000000000000" w:firstRow="0" w:lastRow="0" w:firstColumn="0" w:lastColumn="0" w:oddVBand="0" w:evenVBand="0" w:oddHBand="0" w:evenHBand="0" w:firstRowFirstColumn="0" w:firstRowLastColumn="0" w:lastRowFirstColumn="0" w:lastRowLastColumn="0"/>
              <w:rPr>
                <w:szCs w:val="20"/>
              </w:rPr>
            </w:pPr>
          </w:p>
        </w:tc>
        <w:tc>
          <w:tcPr>
            <w:tcW w:w="0" w:type="auto"/>
            <w:vMerge/>
          </w:tcPr>
          <w:p w14:paraId="4CF0C011" w14:textId="77777777" w:rsidR="00E81F22" w:rsidRPr="00AA22F2" w:rsidRDefault="00E81F22" w:rsidP="006D1412">
            <w:pPr>
              <w:cnfStyle w:val="000000000000" w:firstRow="0" w:lastRow="0" w:firstColumn="0" w:lastColumn="0" w:oddVBand="0" w:evenVBand="0" w:oddHBand="0" w:evenHBand="0" w:firstRowFirstColumn="0" w:firstRowLastColumn="0" w:lastRowFirstColumn="0" w:lastRowLastColumn="0"/>
              <w:rPr>
                <w:szCs w:val="20"/>
              </w:rPr>
            </w:pPr>
          </w:p>
        </w:tc>
        <w:tc>
          <w:tcPr>
            <w:tcW w:w="0" w:type="auto"/>
            <w:tcBorders>
              <w:top w:val="single" w:sz="4" w:space="0" w:color="B4C6E7" w:themeColor="accent1" w:themeTint="66"/>
            </w:tcBorders>
          </w:tcPr>
          <w:p w14:paraId="4B052AA9" w14:textId="75048687" w:rsidR="00E81F22" w:rsidRPr="00AA22F2" w:rsidRDefault="00005190" w:rsidP="006D1412">
            <w:pPr>
              <w:cnfStyle w:val="000000000000" w:firstRow="0" w:lastRow="0" w:firstColumn="0" w:lastColumn="0" w:oddVBand="0" w:evenVBand="0" w:oddHBand="0" w:evenHBand="0" w:firstRowFirstColumn="0" w:firstRowLastColumn="0" w:lastRowFirstColumn="0" w:lastRowLastColumn="0"/>
              <w:rPr>
                <w:szCs w:val="20"/>
              </w:rPr>
            </w:pPr>
            <w:r w:rsidRPr="00005190">
              <w:rPr>
                <w:szCs w:val="20"/>
              </w:rPr>
              <w:t>2 000 – 3 000 MAD / ml</w:t>
            </w:r>
          </w:p>
        </w:tc>
      </w:tr>
      <w:tr w:rsidR="00CB6B6C" w:rsidRPr="008A72E6" w14:paraId="508CF172" w14:textId="77777777" w:rsidTr="005A7661">
        <w:tc>
          <w:tcPr>
            <w:cnfStyle w:val="001000000000" w:firstRow="0" w:lastRow="0" w:firstColumn="1" w:lastColumn="0" w:oddVBand="0" w:evenVBand="0" w:oddHBand="0" w:evenHBand="0" w:firstRowFirstColumn="0" w:firstRowLastColumn="0" w:lastRowFirstColumn="0" w:lastRowLastColumn="0"/>
            <w:tcW w:w="0" w:type="auto"/>
            <w:vMerge/>
            <w:hideMark/>
          </w:tcPr>
          <w:p w14:paraId="1079053C" w14:textId="77777777" w:rsidR="006D1412" w:rsidRPr="00AA22F2" w:rsidRDefault="006D1412" w:rsidP="006D1412">
            <w:pPr>
              <w:rPr>
                <w:szCs w:val="20"/>
              </w:rPr>
            </w:pPr>
          </w:p>
        </w:tc>
        <w:tc>
          <w:tcPr>
            <w:tcW w:w="0" w:type="auto"/>
            <w:hideMark/>
          </w:tcPr>
          <w:p w14:paraId="0DCA82BA" w14:textId="77777777" w:rsidR="006D1412" w:rsidRPr="00AA22F2" w:rsidRDefault="006D1412" w:rsidP="006D1412">
            <w:pPr>
              <w:cnfStyle w:val="000000000000" w:firstRow="0" w:lastRow="0" w:firstColumn="0" w:lastColumn="0" w:oddVBand="0" w:evenVBand="0" w:oddHBand="0" w:evenHBand="0" w:firstRowFirstColumn="0" w:firstRowLastColumn="0" w:lastRowFirstColumn="0" w:lastRowLastColumn="0"/>
              <w:rPr>
                <w:szCs w:val="20"/>
              </w:rPr>
            </w:pPr>
            <w:r w:rsidRPr="00AA22F2">
              <w:rPr>
                <w:b/>
                <w:bCs/>
                <w:szCs w:val="20"/>
              </w:rPr>
              <w:t>Compenser</w:t>
            </w:r>
          </w:p>
        </w:tc>
        <w:tc>
          <w:tcPr>
            <w:tcW w:w="0" w:type="auto"/>
            <w:hideMark/>
          </w:tcPr>
          <w:p w14:paraId="2D05C854" w14:textId="6B7ADCF6" w:rsidR="006D1412" w:rsidRPr="00AA22F2" w:rsidRDefault="006D1412" w:rsidP="006D1412">
            <w:pPr>
              <w:cnfStyle w:val="000000000000" w:firstRow="0" w:lastRow="0" w:firstColumn="0" w:lastColumn="0" w:oddVBand="0" w:evenVBand="0" w:oddHBand="0" w:evenHBand="0" w:firstRowFirstColumn="0" w:firstRowLastColumn="0" w:lastRowFirstColumn="0" w:lastRowLastColumn="0"/>
              <w:rPr>
                <w:szCs w:val="20"/>
              </w:rPr>
            </w:pPr>
            <w:r w:rsidRPr="00AA22F2">
              <w:rPr>
                <w:szCs w:val="20"/>
              </w:rPr>
              <w:t>Favoriser le recrutement local pour les emplois non qualifiés.</w:t>
            </w:r>
          </w:p>
        </w:tc>
        <w:tc>
          <w:tcPr>
            <w:tcW w:w="0" w:type="auto"/>
            <w:hideMark/>
          </w:tcPr>
          <w:p w14:paraId="51E2FF2E" w14:textId="0EA989E3" w:rsidR="006D1412" w:rsidRPr="00AA22F2" w:rsidRDefault="006D1412" w:rsidP="006D1412">
            <w:pPr>
              <w:cnfStyle w:val="000000000000" w:firstRow="0" w:lastRow="0" w:firstColumn="0" w:lastColumn="0" w:oddVBand="0" w:evenVBand="0" w:oddHBand="0" w:evenHBand="0" w:firstRowFirstColumn="0" w:firstRowLastColumn="0" w:lastRowFirstColumn="0" w:lastRowLastColumn="0"/>
              <w:rPr>
                <w:szCs w:val="20"/>
              </w:rPr>
            </w:pPr>
            <w:r w:rsidRPr="00AA22F2">
              <w:rPr>
                <w:szCs w:val="20"/>
              </w:rPr>
              <w:t xml:space="preserve">- Taux d’emploi local </w:t>
            </w:r>
          </w:p>
        </w:tc>
        <w:tc>
          <w:tcPr>
            <w:tcW w:w="0" w:type="auto"/>
            <w:hideMark/>
          </w:tcPr>
          <w:p w14:paraId="0C645830" w14:textId="77777777" w:rsidR="006D1412" w:rsidRPr="00AA22F2" w:rsidRDefault="006D1412" w:rsidP="006D1412">
            <w:pPr>
              <w:cnfStyle w:val="000000000000" w:firstRow="0" w:lastRow="0" w:firstColumn="0" w:lastColumn="0" w:oddVBand="0" w:evenVBand="0" w:oddHBand="0" w:evenHBand="0" w:firstRowFirstColumn="0" w:firstRowLastColumn="0" w:lastRowFirstColumn="0" w:lastRowLastColumn="0"/>
              <w:rPr>
                <w:szCs w:val="20"/>
              </w:rPr>
            </w:pPr>
            <w:r w:rsidRPr="00AA22F2">
              <w:rPr>
                <w:szCs w:val="20"/>
              </w:rPr>
              <w:t>ONDA / EPC</w:t>
            </w:r>
          </w:p>
        </w:tc>
        <w:tc>
          <w:tcPr>
            <w:tcW w:w="0" w:type="auto"/>
            <w:hideMark/>
          </w:tcPr>
          <w:p w14:paraId="0097E010" w14:textId="545E909F" w:rsidR="006D1412" w:rsidRPr="00AA22F2" w:rsidRDefault="006D1412" w:rsidP="006D1412">
            <w:pPr>
              <w:cnfStyle w:val="000000000000" w:firstRow="0" w:lastRow="0" w:firstColumn="0" w:lastColumn="0" w:oddVBand="0" w:evenVBand="0" w:oddHBand="0" w:evenHBand="0" w:firstRowFirstColumn="0" w:firstRowLastColumn="0" w:lastRowFirstColumn="0" w:lastRowLastColumn="0"/>
              <w:rPr>
                <w:szCs w:val="20"/>
              </w:rPr>
            </w:pPr>
            <w:r w:rsidRPr="00BC1745">
              <w:rPr>
                <w:szCs w:val="20"/>
              </w:rPr>
              <w:t>Bureau de contrôle / Consultant de supervision mandaté par l’ONDA</w:t>
            </w:r>
          </w:p>
        </w:tc>
        <w:tc>
          <w:tcPr>
            <w:tcW w:w="0" w:type="auto"/>
            <w:hideMark/>
          </w:tcPr>
          <w:p w14:paraId="5D7B893F" w14:textId="1752A534" w:rsidR="006D1412" w:rsidRPr="00AA22F2" w:rsidRDefault="006D1412" w:rsidP="006D1412">
            <w:pPr>
              <w:cnfStyle w:val="000000000000" w:firstRow="0" w:lastRow="0" w:firstColumn="0" w:lastColumn="0" w:oddVBand="0" w:evenVBand="0" w:oddHBand="0" w:evenHBand="0" w:firstRowFirstColumn="0" w:firstRowLastColumn="0" w:lastRowFirstColumn="0" w:lastRowLastColumn="0"/>
              <w:rPr>
                <w:szCs w:val="20"/>
              </w:rPr>
            </w:pPr>
            <w:r w:rsidRPr="00AA22F2">
              <w:rPr>
                <w:szCs w:val="20"/>
              </w:rPr>
              <w:t xml:space="preserve">ONDA </w:t>
            </w:r>
          </w:p>
        </w:tc>
        <w:tc>
          <w:tcPr>
            <w:tcW w:w="0" w:type="auto"/>
            <w:hideMark/>
          </w:tcPr>
          <w:p w14:paraId="674D2202" w14:textId="478704D3" w:rsidR="006D1412" w:rsidRPr="00AA22F2" w:rsidRDefault="006D1412" w:rsidP="006D1412">
            <w:pPr>
              <w:cnfStyle w:val="000000000000" w:firstRow="0" w:lastRow="0" w:firstColumn="0" w:lastColumn="0" w:oddVBand="0" w:evenVBand="0" w:oddHBand="0" w:evenHBand="0" w:firstRowFirstColumn="0" w:firstRowLastColumn="0" w:lastRowFirstColumn="0" w:lastRowLastColumn="0"/>
              <w:rPr>
                <w:szCs w:val="20"/>
              </w:rPr>
            </w:pPr>
            <w:r w:rsidRPr="00AA22F2">
              <w:rPr>
                <w:szCs w:val="20"/>
              </w:rPr>
              <w:t>Phase de recrutement</w:t>
            </w:r>
          </w:p>
        </w:tc>
        <w:tc>
          <w:tcPr>
            <w:tcW w:w="0" w:type="auto"/>
            <w:hideMark/>
          </w:tcPr>
          <w:p w14:paraId="151E9027" w14:textId="4B82F0F8" w:rsidR="006D1412" w:rsidRPr="00AA22F2" w:rsidRDefault="00005190" w:rsidP="006D1412">
            <w:pPr>
              <w:cnfStyle w:val="000000000000" w:firstRow="0" w:lastRow="0" w:firstColumn="0" w:lastColumn="0" w:oddVBand="0" w:evenVBand="0" w:oddHBand="0" w:evenHBand="0" w:firstRowFirstColumn="0" w:firstRowLastColumn="0" w:lastRowFirstColumn="0" w:lastRowLastColumn="0"/>
              <w:rPr>
                <w:szCs w:val="20"/>
              </w:rPr>
            </w:pPr>
            <w:r w:rsidRPr="00005190">
              <w:rPr>
                <w:szCs w:val="20"/>
              </w:rPr>
              <w:t>Aucun coût spécifique</w:t>
            </w:r>
          </w:p>
        </w:tc>
      </w:tr>
      <w:tr w:rsidR="00005190" w:rsidRPr="008A72E6" w14:paraId="74091D7D" w14:textId="77777777" w:rsidTr="005A7661">
        <w:trPr>
          <w:trHeight w:val="1611"/>
        </w:trPr>
        <w:tc>
          <w:tcPr>
            <w:cnfStyle w:val="001000000000" w:firstRow="0" w:lastRow="0" w:firstColumn="1" w:lastColumn="0" w:oddVBand="0" w:evenVBand="0" w:oddHBand="0" w:evenHBand="0" w:firstRowFirstColumn="0" w:firstRowLastColumn="0" w:lastRowFirstColumn="0" w:lastRowLastColumn="0"/>
            <w:tcW w:w="0" w:type="auto"/>
            <w:vMerge w:val="restart"/>
            <w:hideMark/>
          </w:tcPr>
          <w:p w14:paraId="18A5F62E" w14:textId="77777777" w:rsidR="00005190" w:rsidRPr="00AA22F2" w:rsidRDefault="00005190" w:rsidP="006D1412">
            <w:pPr>
              <w:rPr>
                <w:szCs w:val="20"/>
              </w:rPr>
            </w:pPr>
            <w:r w:rsidRPr="00AA22F2">
              <w:rPr>
                <w:szCs w:val="20"/>
              </w:rPr>
              <w:t>Risque d’accidents de circulation liés aux engins de chantier (répercussion communautaire)</w:t>
            </w:r>
          </w:p>
        </w:tc>
        <w:tc>
          <w:tcPr>
            <w:tcW w:w="0" w:type="auto"/>
            <w:vMerge w:val="restart"/>
            <w:hideMark/>
          </w:tcPr>
          <w:p w14:paraId="31E20F10" w14:textId="77777777" w:rsidR="00005190" w:rsidRPr="00AA22F2" w:rsidRDefault="00005190" w:rsidP="006D1412">
            <w:pPr>
              <w:cnfStyle w:val="000000000000" w:firstRow="0" w:lastRow="0" w:firstColumn="0" w:lastColumn="0" w:oddVBand="0" w:evenVBand="0" w:oddHBand="0" w:evenHBand="0" w:firstRowFirstColumn="0" w:firstRowLastColumn="0" w:lastRowFirstColumn="0" w:lastRowLastColumn="0"/>
              <w:rPr>
                <w:b/>
                <w:bCs/>
                <w:szCs w:val="20"/>
              </w:rPr>
            </w:pPr>
            <w:r w:rsidRPr="00AA22F2">
              <w:rPr>
                <w:b/>
                <w:bCs/>
                <w:szCs w:val="20"/>
              </w:rPr>
              <w:t>Éviter</w:t>
            </w:r>
          </w:p>
        </w:tc>
        <w:tc>
          <w:tcPr>
            <w:tcW w:w="0" w:type="auto"/>
            <w:hideMark/>
          </w:tcPr>
          <w:p w14:paraId="4868B62C" w14:textId="42200EE8" w:rsidR="00005190" w:rsidRPr="00AA22F2" w:rsidRDefault="00005190" w:rsidP="006D1412">
            <w:pPr>
              <w:cnfStyle w:val="000000000000" w:firstRow="0" w:lastRow="0" w:firstColumn="0" w:lastColumn="0" w:oddVBand="0" w:evenVBand="0" w:oddHBand="0" w:evenHBand="0" w:firstRowFirstColumn="0" w:firstRowLastColumn="0" w:lastRowFirstColumn="0" w:lastRowLastColumn="0"/>
              <w:rPr>
                <w:szCs w:val="20"/>
              </w:rPr>
            </w:pPr>
            <w:r w:rsidRPr="00AA22F2">
              <w:rPr>
                <w:szCs w:val="20"/>
              </w:rPr>
              <w:t xml:space="preserve">Identifier et planifier les itinéraires de transport évitant la traversée des zones habitées ; </w:t>
            </w:r>
          </w:p>
        </w:tc>
        <w:tc>
          <w:tcPr>
            <w:tcW w:w="0" w:type="auto"/>
            <w:vMerge w:val="restart"/>
            <w:hideMark/>
          </w:tcPr>
          <w:p w14:paraId="5CF6E2B2" w14:textId="77777777" w:rsidR="00005190" w:rsidRPr="00AA22F2" w:rsidRDefault="00005190" w:rsidP="006D1412">
            <w:pPr>
              <w:cnfStyle w:val="000000000000" w:firstRow="0" w:lastRow="0" w:firstColumn="0" w:lastColumn="0" w:oddVBand="0" w:evenVBand="0" w:oddHBand="0" w:evenHBand="0" w:firstRowFirstColumn="0" w:firstRowLastColumn="0" w:lastRowFirstColumn="0" w:lastRowLastColumn="0"/>
              <w:rPr>
                <w:szCs w:val="20"/>
              </w:rPr>
            </w:pPr>
            <w:r w:rsidRPr="00AA22F2">
              <w:rPr>
                <w:szCs w:val="20"/>
              </w:rPr>
              <w:t xml:space="preserve">Nb d’itinéraires validés hors zones habitées ; </w:t>
            </w:r>
          </w:p>
          <w:p w14:paraId="7301618C" w14:textId="77777777" w:rsidR="00005190" w:rsidRPr="00AA22F2" w:rsidRDefault="00005190" w:rsidP="006D1412">
            <w:pPr>
              <w:cnfStyle w:val="000000000000" w:firstRow="0" w:lastRow="0" w:firstColumn="0" w:lastColumn="0" w:oddVBand="0" w:evenVBand="0" w:oddHBand="0" w:evenHBand="0" w:firstRowFirstColumn="0" w:firstRowLastColumn="0" w:lastRowFirstColumn="0" w:lastRowLastColumn="0"/>
              <w:rPr>
                <w:szCs w:val="20"/>
              </w:rPr>
            </w:pPr>
            <w:r w:rsidRPr="00AA22F2">
              <w:rPr>
                <w:szCs w:val="20"/>
              </w:rPr>
              <w:t xml:space="preserve">Nb d’heures d’interdiction respectées ; </w:t>
            </w:r>
          </w:p>
          <w:p w14:paraId="74219C42" w14:textId="3C570FAE" w:rsidR="00005190" w:rsidRPr="00AA22F2" w:rsidRDefault="00005190" w:rsidP="006D1412">
            <w:pPr>
              <w:cnfStyle w:val="000000000000" w:firstRow="0" w:lastRow="0" w:firstColumn="0" w:lastColumn="0" w:oddVBand="0" w:evenVBand="0" w:oddHBand="0" w:evenHBand="0" w:firstRowFirstColumn="0" w:firstRowLastColumn="0" w:lastRowFirstColumn="0" w:lastRowLastColumn="0"/>
              <w:rPr>
                <w:szCs w:val="20"/>
              </w:rPr>
            </w:pPr>
            <w:r w:rsidRPr="00AA22F2">
              <w:rPr>
                <w:szCs w:val="20"/>
              </w:rPr>
              <w:t>Nb de points d’accès fonctionnels.</w:t>
            </w:r>
          </w:p>
        </w:tc>
        <w:tc>
          <w:tcPr>
            <w:tcW w:w="0" w:type="auto"/>
            <w:vMerge w:val="restart"/>
            <w:hideMark/>
          </w:tcPr>
          <w:p w14:paraId="48748DDB" w14:textId="77777777" w:rsidR="00005190" w:rsidRPr="00AA22F2" w:rsidRDefault="00005190" w:rsidP="006D1412">
            <w:pPr>
              <w:cnfStyle w:val="000000000000" w:firstRow="0" w:lastRow="0" w:firstColumn="0" w:lastColumn="0" w:oddVBand="0" w:evenVBand="0" w:oddHBand="0" w:evenHBand="0" w:firstRowFirstColumn="0" w:firstRowLastColumn="0" w:lastRowFirstColumn="0" w:lastRowLastColumn="0"/>
              <w:rPr>
                <w:szCs w:val="20"/>
              </w:rPr>
            </w:pPr>
            <w:r w:rsidRPr="00AA22F2">
              <w:rPr>
                <w:szCs w:val="20"/>
              </w:rPr>
              <w:t>EPC / Sous-traitants</w:t>
            </w:r>
          </w:p>
        </w:tc>
        <w:tc>
          <w:tcPr>
            <w:tcW w:w="0" w:type="auto"/>
            <w:vMerge w:val="restart"/>
            <w:hideMark/>
          </w:tcPr>
          <w:p w14:paraId="3A72EA64" w14:textId="6BB60072" w:rsidR="00005190" w:rsidRPr="00AA22F2" w:rsidRDefault="00005190" w:rsidP="006D1412">
            <w:pPr>
              <w:cnfStyle w:val="000000000000" w:firstRow="0" w:lastRow="0" w:firstColumn="0" w:lastColumn="0" w:oddVBand="0" w:evenVBand="0" w:oddHBand="0" w:evenHBand="0" w:firstRowFirstColumn="0" w:firstRowLastColumn="0" w:lastRowFirstColumn="0" w:lastRowLastColumn="0"/>
              <w:rPr>
                <w:szCs w:val="20"/>
              </w:rPr>
            </w:pPr>
            <w:r w:rsidRPr="00BC1745">
              <w:rPr>
                <w:szCs w:val="20"/>
              </w:rPr>
              <w:t>Bureau de contrôle / Consultant de supervision mandaté par l’ONDA</w:t>
            </w:r>
          </w:p>
        </w:tc>
        <w:tc>
          <w:tcPr>
            <w:tcW w:w="0" w:type="auto"/>
            <w:vMerge w:val="restart"/>
            <w:hideMark/>
          </w:tcPr>
          <w:p w14:paraId="6596E461" w14:textId="1BCDCEA8" w:rsidR="00005190" w:rsidRPr="00AA22F2" w:rsidRDefault="00005190" w:rsidP="006D1412">
            <w:pPr>
              <w:cnfStyle w:val="000000000000" w:firstRow="0" w:lastRow="0" w:firstColumn="0" w:lastColumn="0" w:oddVBand="0" w:evenVBand="0" w:oddHBand="0" w:evenHBand="0" w:firstRowFirstColumn="0" w:firstRowLastColumn="0" w:lastRowFirstColumn="0" w:lastRowLastColumn="0"/>
              <w:rPr>
                <w:szCs w:val="20"/>
              </w:rPr>
            </w:pPr>
            <w:r w:rsidRPr="00AA22F2">
              <w:rPr>
                <w:szCs w:val="20"/>
              </w:rPr>
              <w:t xml:space="preserve">ONDA </w:t>
            </w:r>
          </w:p>
        </w:tc>
        <w:tc>
          <w:tcPr>
            <w:tcW w:w="0" w:type="auto"/>
            <w:vMerge w:val="restart"/>
            <w:hideMark/>
          </w:tcPr>
          <w:p w14:paraId="68C44636" w14:textId="77777777" w:rsidR="00005190" w:rsidRPr="00AA22F2" w:rsidRDefault="00005190" w:rsidP="006D1412">
            <w:pPr>
              <w:cnfStyle w:val="000000000000" w:firstRow="0" w:lastRow="0" w:firstColumn="0" w:lastColumn="0" w:oddVBand="0" w:evenVBand="0" w:oddHBand="0" w:evenHBand="0" w:firstRowFirstColumn="0" w:firstRowLastColumn="0" w:lastRowFirstColumn="0" w:lastRowLastColumn="0"/>
              <w:rPr>
                <w:szCs w:val="20"/>
              </w:rPr>
            </w:pPr>
            <w:r w:rsidRPr="00AA22F2">
              <w:rPr>
                <w:szCs w:val="20"/>
              </w:rPr>
              <w:t>Avant le démarrage des travaux</w:t>
            </w:r>
          </w:p>
        </w:tc>
        <w:tc>
          <w:tcPr>
            <w:tcW w:w="0" w:type="auto"/>
            <w:hideMark/>
          </w:tcPr>
          <w:p w14:paraId="4CC671D0" w14:textId="79633055" w:rsidR="00005190" w:rsidRPr="00AA22F2" w:rsidRDefault="009E5FFD" w:rsidP="006D1412">
            <w:pPr>
              <w:cnfStyle w:val="000000000000" w:firstRow="0" w:lastRow="0" w:firstColumn="0" w:lastColumn="0" w:oddVBand="0" w:evenVBand="0" w:oddHBand="0" w:evenHBand="0" w:firstRowFirstColumn="0" w:firstRowLastColumn="0" w:lastRowFirstColumn="0" w:lastRowLastColumn="0"/>
              <w:rPr>
                <w:szCs w:val="20"/>
              </w:rPr>
            </w:pPr>
            <w:r w:rsidRPr="009E5FFD">
              <w:rPr>
                <w:szCs w:val="20"/>
              </w:rPr>
              <w:t>Aucun coût spécifique</w:t>
            </w:r>
          </w:p>
        </w:tc>
      </w:tr>
      <w:tr w:rsidR="00CB6B6C" w:rsidRPr="008A72E6" w14:paraId="54BFEB62" w14:textId="77777777" w:rsidTr="00E81F22">
        <w:trPr>
          <w:trHeight w:val="1200"/>
        </w:trPr>
        <w:tc>
          <w:tcPr>
            <w:cnfStyle w:val="001000000000" w:firstRow="0" w:lastRow="0" w:firstColumn="1" w:lastColumn="0" w:oddVBand="0" w:evenVBand="0" w:oddHBand="0" w:evenHBand="0" w:firstRowFirstColumn="0" w:firstRowLastColumn="0" w:lastRowFirstColumn="0" w:lastRowLastColumn="0"/>
            <w:tcW w:w="0" w:type="auto"/>
            <w:vMerge/>
          </w:tcPr>
          <w:p w14:paraId="59176D7E" w14:textId="77777777" w:rsidR="00E81F22" w:rsidRPr="00AA22F2" w:rsidRDefault="00E81F22" w:rsidP="006D1412">
            <w:pPr>
              <w:rPr>
                <w:szCs w:val="20"/>
              </w:rPr>
            </w:pPr>
          </w:p>
        </w:tc>
        <w:tc>
          <w:tcPr>
            <w:tcW w:w="0" w:type="auto"/>
            <w:vMerge/>
          </w:tcPr>
          <w:p w14:paraId="72D0671E" w14:textId="77777777" w:rsidR="00E81F22" w:rsidRPr="00AA22F2" w:rsidRDefault="00E81F22" w:rsidP="006D1412">
            <w:pPr>
              <w:cnfStyle w:val="000000000000" w:firstRow="0" w:lastRow="0" w:firstColumn="0" w:lastColumn="0" w:oddVBand="0" w:evenVBand="0" w:oddHBand="0" w:evenHBand="0" w:firstRowFirstColumn="0" w:firstRowLastColumn="0" w:lastRowFirstColumn="0" w:lastRowLastColumn="0"/>
              <w:rPr>
                <w:b/>
                <w:bCs/>
                <w:szCs w:val="20"/>
              </w:rPr>
            </w:pPr>
          </w:p>
        </w:tc>
        <w:tc>
          <w:tcPr>
            <w:tcW w:w="0" w:type="auto"/>
            <w:tcBorders>
              <w:top w:val="single" w:sz="4" w:space="0" w:color="B4C6E7" w:themeColor="accent1" w:themeTint="66"/>
              <w:bottom w:val="single" w:sz="4" w:space="0" w:color="B4C6E7" w:themeColor="accent1" w:themeTint="66"/>
            </w:tcBorders>
          </w:tcPr>
          <w:p w14:paraId="4010DCC4" w14:textId="05DEB17A" w:rsidR="00E81F22" w:rsidRPr="00AA22F2" w:rsidRDefault="00E81F22" w:rsidP="00E81F22">
            <w:pPr>
              <w:cnfStyle w:val="000000000000" w:firstRow="0" w:lastRow="0" w:firstColumn="0" w:lastColumn="0" w:oddVBand="0" w:evenVBand="0" w:oddHBand="0" w:evenHBand="0" w:firstRowFirstColumn="0" w:firstRowLastColumn="0" w:lastRowFirstColumn="0" w:lastRowLastColumn="0"/>
              <w:rPr>
                <w:szCs w:val="20"/>
              </w:rPr>
            </w:pPr>
            <w:r w:rsidRPr="00AA22F2">
              <w:rPr>
                <w:szCs w:val="20"/>
              </w:rPr>
              <w:t xml:space="preserve">Interdire la circulation des poids lourds aux heures de pointe locales (trafic scolaire, prière, marché) ; </w:t>
            </w:r>
          </w:p>
        </w:tc>
        <w:tc>
          <w:tcPr>
            <w:tcW w:w="0" w:type="auto"/>
            <w:vMerge/>
          </w:tcPr>
          <w:p w14:paraId="61F21036" w14:textId="77777777" w:rsidR="00E81F22" w:rsidRPr="00AA22F2" w:rsidRDefault="00E81F22" w:rsidP="006D1412">
            <w:pPr>
              <w:cnfStyle w:val="000000000000" w:firstRow="0" w:lastRow="0" w:firstColumn="0" w:lastColumn="0" w:oddVBand="0" w:evenVBand="0" w:oddHBand="0" w:evenHBand="0" w:firstRowFirstColumn="0" w:firstRowLastColumn="0" w:lastRowFirstColumn="0" w:lastRowLastColumn="0"/>
              <w:rPr>
                <w:szCs w:val="20"/>
              </w:rPr>
            </w:pPr>
          </w:p>
        </w:tc>
        <w:tc>
          <w:tcPr>
            <w:tcW w:w="0" w:type="auto"/>
            <w:vMerge/>
          </w:tcPr>
          <w:p w14:paraId="1E64CC9F" w14:textId="77777777" w:rsidR="00E81F22" w:rsidRPr="00AA22F2" w:rsidRDefault="00E81F22" w:rsidP="006D1412">
            <w:pPr>
              <w:cnfStyle w:val="000000000000" w:firstRow="0" w:lastRow="0" w:firstColumn="0" w:lastColumn="0" w:oddVBand="0" w:evenVBand="0" w:oddHBand="0" w:evenHBand="0" w:firstRowFirstColumn="0" w:firstRowLastColumn="0" w:lastRowFirstColumn="0" w:lastRowLastColumn="0"/>
              <w:rPr>
                <w:szCs w:val="20"/>
              </w:rPr>
            </w:pPr>
          </w:p>
        </w:tc>
        <w:tc>
          <w:tcPr>
            <w:tcW w:w="0" w:type="auto"/>
            <w:vMerge/>
          </w:tcPr>
          <w:p w14:paraId="1C0AC3E9" w14:textId="77777777" w:rsidR="00E81F22" w:rsidRPr="00BC1745" w:rsidRDefault="00E81F22" w:rsidP="006D1412">
            <w:pPr>
              <w:cnfStyle w:val="000000000000" w:firstRow="0" w:lastRow="0" w:firstColumn="0" w:lastColumn="0" w:oddVBand="0" w:evenVBand="0" w:oddHBand="0" w:evenHBand="0" w:firstRowFirstColumn="0" w:firstRowLastColumn="0" w:lastRowFirstColumn="0" w:lastRowLastColumn="0"/>
              <w:rPr>
                <w:szCs w:val="20"/>
              </w:rPr>
            </w:pPr>
          </w:p>
        </w:tc>
        <w:tc>
          <w:tcPr>
            <w:tcW w:w="0" w:type="auto"/>
            <w:vMerge/>
          </w:tcPr>
          <w:p w14:paraId="640A7472" w14:textId="77777777" w:rsidR="00E81F22" w:rsidRPr="00AA22F2" w:rsidRDefault="00E81F22" w:rsidP="006D1412">
            <w:pPr>
              <w:cnfStyle w:val="000000000000" w:firstRow="0" w:lastRow="0" w:firstColumn="0" w:lastColumn="0" w:oddVBand="0" w:evenVBand="0" w:oddHBand="0" w:evenHBand="0" w:firstRowFirstColumn="0" w:firstRowLastColumn="0" w:lastRowFirstColumn="0" w:lastRowLastColumn="0"/>
              <w:rPr>
                <w:szCs w:val="20"/>
              </w:rPr>
            </w:pPr>
          </w:p>
        </w:tc>
        <w:tc>
          <w:tcPr>
            <w:tcW w:w="0" w:type="auto"/>
            <w:vMerge/>
          </w:tcPr>
          <w:p w14:paraId="0022191A" w14:textId="77777777" w:rsidR="00E81F22" w:rsidRPr="00AA22F2" w:rsidRDefault="00E81F22" w:rsidP="006D1412">
            <w:pPr>
              <w:cnfStyle w:val="000000000000" w:firstRow="0" w:lastRow="0" w:firstColumn="0" w:lastColumn="0" w:oddVBand="0" w:evenVBand="0" w:oddHBand="0" w:evenHBand="0" w:firstRowFirstColumn="0" w:firstRowLastColumn="0" w:lastRowFirstColumn="0" w:lastRowLastColumn="0"/>
              <w:rPr>
                <w:szCs w:val="20"/>
              </w:rPr>
            </w:pPr>
          </w:p>
        </w:tc>
        <w:tc>
          <w:tcPr>
            <w:tcW w:w="0" w:type="auto"/>
            <w:vMerge w:val="restart"/>
            <w:tcBorders>
              <w:top w:val="single" w:sz="4" w:space="0" w:color="B4C6E7" w:themeColor="accent1" w:themeTint="66"/>
            </w:tcBorders>
          </w:tcPr>
          <w:p w14:paraId="3729AC33" w14:textId="47E88DCB" w:rsidR="00E81F22" w:rsidRPr="00AA22F2" w:rsidRDefault="009E5FFD" w:rsidP="006D1412">
            <w:pPr>
              <w:cnfStyle w:val="000000000000" w:firstRow="0" w:lastRow="0" w:firstColumn="0" w:lastColumn="0" w:oddVBand="0" w:evenVBand="0" w:oddHBand="0" w:evenHBand="0" w:firstRowFirstColumn="0" w:firstRowLastColumn="0" w:lastRowFirstColumn="0" w:lastRowLastColumn="0"/>
              <w:rPr>
                <w:szCs w:val="20"/>
              </w:rPr>
            </w:pPr>
            <w:r w:rsidRPr="009E5FFD">
              <w:rPr>
                <w:szCs w:val="20"/>
              </w:rPr>
              <w:t>Aucun coût spécifique</w:t>
            </w:r>
          </w:p>
        </w:tc>
      </w:tr>
      <w:tr w:rsidR="00CB6B6C" w:rsidRPr="008A72E6" w14:paraId="64E72066" w14:textId="77777777" w:rsidTr="005A7661">
        <w:trPr>
          <w:trHeight w:val="521"/>
        </w:trPr>
        <w:tc>
          <w:tcPr>
            <w:cnfStyle w:val="001000000000" w:firstRow="0" w:lastRow="0" w:firstColumn="1" w:lastColumn="0" w:oddVBand="0" w:evenVBand="0" w:oddHBand="0" w:evenHBand="0" w:firstRowFirstColumn="0" w:firstRowLastColumn="0" w:lastRowFirstColumn="0" w:lastRowLastColumn="0"/>
            <w:tcW w:w="0" w:type="auto"/>
            <w:vMerge/>
          </w:tcPr>
          <w:p w14:paraId="0174E197" w14:textId="77777777" w:rsidR="00E81F22" w:rsidRPr="00AA22F2" w:rsidRDefault="00E81F22" w:rsidP="006D1412">
            <w:pPr>
              <w:rPr>
                <w:szCs w:val="20"/>
              </w:rPr>
            </w:pPr>
          </w:p>
        </w:tc>
        <w:tc>
          <w:tcPr>
            <w:tcW w:w="0" w:type="auto"/>
            <w:vMerge/>
          </w:tcPr>
          <w:p w14:paraId="7BFF08A3" w14:textId="77777777" w:rsidR="00E81F22" w:rsidRPr="00AA22F2" w:rsidRDefault="00E81F22" w:rsidP="006D1412">
            <w:pPr>
              <w:cnfStyle w:val="000000000000" w:firstRow="0" w:lastRow="0" w:firstColumn="0" w:lastColumn="0" w:oddVBand="0" w:evenVBand="0" w:oddHBand="0" w:evenHBand="0" w:firstRowFirstColumn="0" w:firstRowLastColumn="0" w:lastRowFirstColumn="0" w:lastRowLastColumn="0"/>
              <w:rPr>
                <w:b/>
                <w:bCs/>
                <w:szCs w:val="20"/>
              </w:rPr>
            </w:pPr>
          </w:p>
        </w:tc>
        <w:tc>
          <w:tcPr>
            <w:tcW w:w="0" w:type="auto"/>
            <w:vMerge w:val="restart"/>
            <w:tcBorders>
              <w:top w:val="single" w:sz="4" w:space="0" w:color="B4C6E7" w:themeColor="accent1" w:themeTint="66"/>
            </w:tcBorders>
          </w:tcPr>
          <w:p w14:paraId="01FB4A8F" w14:textId="73A702E2" w:rsidR="00E81F22" w:rsidRPr="00AA22F2" w:rsidRDefault="00E81F22" w:rsidP="00E81F22">
            <w:pPr>
              <w:cnfStyle w:val="000000000000" w:firstRow="0" w:lastRow="0" w:firstColumn="0" w:lastColumn="0" w:oddVBand="0" w:evenVBand="0" w:oddHBand="0" w:evenHBand="0" w:firstRowFirstColumn="0" w:firstRowLastColumn="0" w:lastRowFirstColumn="0" w:lastRowLastColumn="0"/>
              <w:rPr>
                <w:szCs w:val="20"/>
              </w:rPr>
            </w:pPr>
            <w:r w:rsidRPr="00AA22F2">
              <w:rPr>
                <w:szCs w:val="20"/>
              </w:rPr>
              <w:t xml:space="preserve">Installer des zones d’attente temporaires à l’intérieur du chantier pour éviter les stationnements sur la </w:t>
            </w:r>
            <w:r w:rsidR="00000F82">
              <w:rPr>
                <w:szCs w:val="20"/>
              </w:rPr>
              <w:t>RR212</w:t>
            </w:r>
            <w:r w:rsidRPr="00AA22F2">
              <w:rPr>
                <w:szCs w:val="20"/>
              </w:rPr>
              <w:t xml:space="preserve"> ; </w:t>
            </w:r>
          </w:p>
        </w:tc>
        <w:tc>
          <w:tcPr>
            <w:tcW w:w="0" w:type="auto"/>
            <w:vMerge/>
          </w:tcPr>
          <w:p w14:paraId="2067F9D6" w14:textId="77777777" w:rsidR="00E81F22" w:rsidRPr="00AA22F2" w:rsidRDefault="00E81F22" w:rsidP="006D1412">
            <w:pPr>
              <w:cnfStyle w:val="000000000000" w:firstRow="0" w:lastRow="0" w:firstColumn="0" w:lastColumn="0" w:oddVBand="0" w:evenVBand="0" w:oddHBand="0" w:evenHBand="0" w:firstRowFirstColumn="0" w:firstRowLastColumn="0" w:lastRowFirstColumn="0" w:lastRowLastColumn="0"/>
              <w:rPr>
                <w:szCs w:val="20"/>
              </w:rPr>
            </w:pPr>
          </w:p>
        </w:tc>
        <w:tc>
          <w:tcPr>
            <w:tcW w:w="0" w:type="auto"/>
            <w:vMerge/>
          </w:tcPr>
          <w:p w14:paraId="4FE84ED3" w14:textId="77777777" w:rsidR="00E81F22" w:rsidRPr="00AA22F2" w:rsidRDefault="00E81F22" w:rsidP="006D1412">
            <w:pPr>
              <w:cnfStyle w:val="000000000000" w:firstRow="0" w:lastRow="0" w:firstColumn="0" w:lastColumn="0" w:oddVBand="0" w:evenVBand="0" w:oddHBand="0" w:evenHBand="0" w:firstRowFirstColumn="0" w:firstRowLastColumn="0" w:lastRowFirstColumn="0" w:lastRowLastColumn="0"/>
              <w:rPr>
                <w:szCs w:val="20"/>
              </w:rPr>
            </w:pPr>
          </w:p>
        </w:tc>
        <w:tc>
          <w:tcPr>
            <w:tcW w:w="0" w:type="auto"/>
            <w:vMerge/>
          </w:tcPr>
          <w:p w14:paraId="1E24DB75" w14:textId="77777777" w:rsidR="00E81F22" w:rsidRPr="00BC1745" w:rsidRDefault="00E81F22" w:rsidP="006D1412">
            <w:pPr>
              <w:cnfStyle w:val="000000000000" w:firstRow="0" w:lastRow="0" w:firstColumn="0" w:lastColumn="0" w:oddVBand="0" w:evenVBand="0" w:oddHBand="0" w:evenHBand="0" w:firstRowFirstColumn="0" w:firstRowLastColumn="0" w:lastRowFirstColumn="0" w:lastRowLastColumn="0"/>
              <w:rPr>
                <w:szCs w:val="20"/>
              </w:rPr>
            </w:pPr>
          </w:p>
        </w:tc>
        <w:tc>
          <w:tcPr>
            <w:tcW w:w="0" w:type="auto"/>
            <w:vMerge/>
          </w:tcPr>
          <w:p w14:paraId="0703D313" w14:textId="77777777" w:rsidR="00E81F22" w:rsidRPr="00AA22F2" w:rsidRDefault="00E81F22" w:rsidP="006D1412">
            <w:pPr>
              <w:cnfStyle w:val="000000000000" w:firstRow="0" w:lastRow="0" w:firstColumn="0" w:lastColumn="0" w:oddVBand="0" w:evenVBand="0" w:oddHBand="0" w:evenHBand="0" w:firstRowFirstColumn="0" w:firstRowLastColumn="0" w:lastRowFirstColumn="0" w:lastRowLastColumn="0"/>
              <w:rPr>
                <w:szCs w:val="20"/>
              </w:rPr>
            </w:pPr>
          </w:p>
        </w:tc>
        <w:tc>
          <w:tcPr>
            <w:tcW w:w="0" w:type="auto"/>
            <w:vMerge/>
          </w:tcPr>
          <w:p w14:paraId="38C542E4" w14:textId="77777777" w:rsidR="00E81F22" w:rsidRPr="00AA22F2" w:rsidRDefault="00E81F22" w:rsidP="006D1412">
            <w:pPr>
              <w:cnfStyle w:val="000000000000" w:firstRow="0" w:lastRow="0" w:firstColumn="0" w:lastColumn="0" w:oddVBand="0" w:evenVBand="0" w:oddHBand="0" w:evenHBand="0" w:firstRowFirstColumn="0" w:firstRowLastColumn="0" w:lastRowFirstColumn="0" w:lastRowLastColumn="0"/>
              <w:rPr>
                <w:szCs w:val="20"/>
              </w:rPr>
            </w:pPr>
          </w:p>
        </w:tc>
        <w:tc>
          <w:tcPr>
            <w:tcW w:w="0" w:type="auto"/>
            <w:vMerge/>
            <w:tcBorders>
              <w:bottom w:val="single" w:sz="4" w:space="0" w:color="B4C6E7" w:themeColor="accent1" w:themeTint="66"/>
            </w:tcBorders>
          </w:tcPr>
          <w:p w14:paraId="02A3E725" w14:textId="77777777" w:rsidR="00E81F22" w:rsidRPr="00AA22F2" w:rsidRDefault="00E81F22" w:rsidP="006D1412">
            <w:pPr>
              <w:cnfStyle w:val="000000000000" w:firstRow="0" w:lastRow="0" w:firstColumn="0" w:lastColumn="0" w:oddVBand="0" w:evenVBand="0" w:oddHBand="0" w:evenHBand="0" w:firstRowFirstColumn="0" w:firstRowLastColumn="0" w:lastRowFirstColumn="0" w:lastRowLastColumn="0"/>
              <w:rPr>
                <w:szCs w:val="20"/>
              </w:rPr>
            </w:pPr>
          </w:p>
        </w:tc>
      </w:tr>
      <w:tr w:rsidR="00CB6B6C" w:rsidRPr="008A72E6" w14:paraId="744F4F75" w14:textId="77777777" w:rsidTr="005A7661">
        <w:trPr>
          <w:trHeight w:val="1538"/>
        </w:trPr>
        <w:tc>
          <w:tcPr>
            <w:cnfStyle w:val="001000000000" w:firstRow="0" w:lastRow="0" w:firstColumn="1" w:lastColumn="0" w:oddVBand="0" w:evenVBand="0" w:oddHBand="0" w:evenHBand="0" w:firstRowFirstColumn="0" w:firstRowLastColumn="0" w:lastRowFirstColumn="0" w:lastRowLastColumn="0"/>
            <w:tcW w:w="0" w:type="auto"/>
            <w:vMerge/>
          </w:tcPr>
          <w:p w14:paraId="7F1A8463" w14:textId="77777777" w:rsidR="00E81F22" w:rsidRPr="00AA22F2" w:rsidRDefault="00E81F22" w:rsidP="006D1412">
            <w:pPr>
              <w:rPr>
                <w:szCs w:val="20"/>
              </w:rPr>
            </w:pPr>
          </w:p>
        </w:tc>
        <w:tc>
          <w:tcPr>
            <w:tcW w:w="0" w:type="auto"/>
            <w:vMerge/>
          </w:tcPr>
          <w:p w14:paraId="3755C599" w14:textId="77777777" w:rsidR="00E81F22" w:rsidRPr="00AA22F2" w:rsidRDefault="00E81F22" w:rsidP="006D1412">
            <w:pPr>
              <w:cnfStyle w:val="000000000000" w:firstRow="0" w:lastRow="0" w:firstColumn="0" w:lastColumn="0" w:oddVBand="0" w:evenVBand="0" w:oddHBand="0" w:evenHBand="0" w:firstRowFirstColumn="0" w:firstRowLastColumn="0" w:lastRowFirstColumn="0" w:lastRowLastColumn="0"/>
              <w:rPr>
                <w:b/>
                <w:bCs/>
                <w:szCs w:val="20"/>
              </w:rPr>
            </w:pPr>
          </w:p>
        </w:tc>
        <w:tc>
          <w:tcPr>
            <w:tcW w:w="0" w:type="auto"/>
            <w:vMerge/>
            <w:tcBorders>
              <w:bottom w:val="single" w:sz="4" w:space="0" w:color="B4C6E7" w:themeColor="accent1" w:themeTint="66"/>
            </w:tcBorders>
          </w:tcPr>
          <w:p w14:paraId="708A4D54" w14:textId="77777777" w:rsidR="00E81F22" w:rsidRPr="00AA22F2" w:rsidRDefault="00E81F22" w:rsidP="00E81F22">
            <w:pPr>
              <w:cnfStyle w:val="000000000000" w:firstRow="0" w:lastRow="0" w:firstColumn="0" w:lastColumn="0" w:oddVBand="0" w:evenVBand="0" w:oddHBand="0" w:evenHBand="0" w:firstRowFirstColumn="0" w:firstRowLastColumn="0" w:lastRowFirstColumn="0" w:lastRowLastColumn="0"/>
              <w:rPr>
                <w:szCs w:val="20"/>
              </w:rPr>
            </w:pPr>
          </w:p>
        </w:tc>
        <w:tc>
          <w:tcPr>
            <w:tcW w:w="0" w:type="auto"/>
            <w:vMerge/>
          </w:tcPr>
          <w:p w14:paraId="04C58C0D" w14:textId="77777777" w:rsidR="00E81F22" w:rsidRPr="00AA22F2" w:rsidRDefault="00E81F22" w:rsidP="006D1412">
            <w:pPr>
              <w:cnfStyle w:val="000000000000" w:firstRow="0" w:lastRow="0" w:firstColumn="0" w:lastColumn="0" w:oddVBand="0" w:evenVBand="0" w:oddHBand="0" w:evenHBand="0" w:firstRowFirstColumn="0" w:firstRowLastColumn="0" w:lastRowFirstColumn="0" w:lastRowLastColumn="0"/>
              <w:rPr>
                <w:szCs w:val="20"/>
              </w:rPr>
            </w:pPr>
          </w:p>
        </w:tc>
        <w:tc>
          <w:tcPr>
            <w:tcW w:w="0" w:type="auto"/>
            <w:vMerge/>
          </w:tcPr>
          <w:p w14:paraId="299A7E01" w14:textId="77777777" w:rsidR="00E81F22" w:rsidRPr="00AA22F2" w:rsidRDefault="00E81F22" w:rsidP="006D1412">
            <w:pPr>
              <w:cnfStyle w:val="000000000000" w:firstRow="0" w:lastRow="0" w:firstColumn="0" w:lastColumn="0" w:oddVBand="0" w:evenVBand="0" w:oddHBand="0" w:evenHBand="0" w:firstRowFirstColumn="0" w:firstRowLastColumn="0" w:lastRowFirstColumn="0" w:lastRowLastColumn="0"/>
              <w:rPr>
                <w:szCs w:val="20"/>
              </w:rPr>
            </w:pPr>
          </w:p>
        </w:tc>
        <w:tc>
          <w:tcPr>
            <w:tcW w:w="0" w:type="auto"/>
            <w:vMerge/>
          </w:tcPr>
          <w:p w14:paraId="26E0B771" w14:textId="77777777" w:rsidR="00E81F22" w:rsidRPr="00BC1745" w:rsidRDefault="00E81F22" w:rsidP="006D1412">
            <w:pPr>
              <w:cnfStyle w:val="000000000000" w:firstRow="0" w:lastRow="0" w:firstColumn="0" w:lastColumn="0" w:oddVBand="0" w:evenVBand="0" w:oddHBand="0" w:evenHBand="0" w:firstRowFirstColumn="0" w:firstRowLastColumn="0" w:lastRowFirstColumn="0" w:lastRowLastColumn="0"/>
              <w:rPr>
                <w:szCs w:val="20"/>
              </w:rPr>
            </w:pPr>
          </w:p>
        </w:tc>
        <w:tc>
          <w:tcPr>
            <w:tcW w:w="0" w:type="auto"/>
            <w:vMerge/>
          </w:tcPr>
          <w:p w14:paraId="15EA440B" w14:textId="77777777" w:rsidR="00E81F22" w:rsidRPr="00AA22F2" w:rsidRDefault="00E81F22" w:rsidP="006D1412">
            <w:pPr>
              <w:cnfStyle w:val="000000000000" w:firstRow="0" w:lastRow="0" w:firstColumn="0" w:lastColumn="0" w:oddVBand="0" w:evenVBand="0" w:oddHBand="0" w:evenHBand="0" w:firstRowFirstColumn="0" w:firstRowLastColumn="0" w:lastRowFirstColumn="0" w:lastRowLastColumn="0"/>
              <w:rPr>
                <w:szCs w:val="20"/>
              </w:rPr>
            </w:pPr>
          </w:p>
        </w:tc>
        <w:tc>
          <w:tcPr>
            <w:tcW w:w="0" w:type="auto"/>
            <w:vMerge/>
          </w:tcPr>
          <w:p w14:paraId="5741133D" w14:textId="77777777" w:rsidR="00E81F22" w:rsidRPr="00AA22F2" w:rsidRDefault="00E81F22" w:rsidP="006D1412">
            <w:pPr>
              <w:cnfStyle w:val="000000000000" w:firstRow="0" w:lastRow="0" w:firstColumn="0" w:lastColumn="0" w:oddVBand="0" w:evenVBand="0" w:oddHBand="0" w:evenHBand="0" w:firstRowFirstColumn="0" w:firstRowLastColumn="0" w:lastRowFirstColumn="0" w:lastRowLastColumn="0"/>
              <w:rPr>
                <w:szCs w:val="20"/>
              </w:rPr>
            </w:pPr>
          </w:p>
        </w:tc>
        <w:tc>
          <w:tcPr>
            <w:tcW w:w="0" w:type="auto"/>
            <w:tcBorders>
              <w:top w:val="single" w:sz="4" w:space="0" w:color="B4C6E7" w:themeColor="accent1" w:themeTint="66"/>
              <w:bottom w:val="single" w:sz="4" w:space="0" w:color="B4C6E7" w:themeColor="accent1" w:themeTint="66"/>
            </w:tcBorders>
          </w:tcPr>
          <w:p w14:paraId="768C02AB" w14:textId="0896E511" w:rsidR="00E81F22" w:rsidRPr="00AA22F2" w:rsidRDefault="009E5FFD" w:rsidP="006D1412">
            <w:pPr>
              <w:cnfStyle w:val="000000000000" w:firstRow="0" w:lastRow="0" w:firstColumn="0" w:lastColumn="0" w:oddVBand="0" w:evenVBand="0" w:oddHBand="0" w:evenHBand="0" w:firstRowFirstColumn="0" w:firstRowLastColumn="0" w:lastRowFirstColumn="0" w:lastRowLastColumn="0"/>
              <w:rPr>
                <w:szCs w:val="20"/>
              </w:rPr>
            </w:pPr>
            <w:r w:rsidRPr="009E5FFD">
              <w:rPr>
                <w:szCs w:val="20"/>
              </w:rPr>
              <w:t>5 000 MAD / aménagement temporaire</w:t>
            </w:r>
          </w:p>
        </w:tc>
      </w:tr>
      <w:tr w:rsidR="00CB6B6C" w:rsidRPr="008A72E6" w14:paraId="0A39F747" w14:textId="77777777" w:rsidTr="00E81F22">
        <w:trPr>
          <w:trHeight w:val="1058"/>
        </w:trPr>
        <w:tc>
          <w:tcPr>
            <w:cnfStyle w:val="001000000000" w:firstRow="0" w:lastRow="0" w:firstColumn="1" w:lastColumn="0" w:oddVBand="0" w:evenVBand="0" w:oddHBand="0" w:evenHBand="0" w:firstRowFirstColumn="0" w:firstRowLastColumn="0" w:lastRowFirstColumn="0" w:lastRowLastColumn="0"/>
            <w:tcW w:w="0" w:type="auto"/>
            <w:vMerge/>
          </w:tcPr>
          <w:p w14:paraId="300CD191" w14:textId="77777777" w:rsidR="00E81F22" w:rsidRPr="00AA22F2" w:rsidRDefault="00E81F22" w:rsidP="006D1412">
            <w:pPr>
              <w:rPr>
                <w:szCs w:val="20"/>
              </w:rPr>
            </w:pPr>
          </w:p>
        </w:tc>
        <w:tc>
          <w:tcPr>
            <w:tcW w:w="0" w:type="auto"/>
            <w:vMerge/>
          </w:tcPr>
          <w:p w14:paraId="76D070F4" w14:textId="77777777" w:rsidR="00E81F22" w:rsidRPr="00AA22F2" w:rsidRDefault="00E81F22" w:rsidP="006D1412">
            <w:pPr>
              <w:cnfStyle w:val="000000000000" w:firstRow="0" w:lastRow="0" w:firstColumn="0" w:lastColumn="0" w:oddVBand="0" w:evenVBand="0" w:oddHBand="0" w:evenHBand="0" w:firstRowFirstColumn="0" w:firstRowLastColumn="0" w:lastRowFirstColumn="0" w:lastRowLastColumn="0"/>
              <w:rPr>
                <w:b/>
                <w:bCs/>
                <w:szCs w:val="20"/>
              </w:rPr>
            </w:pPr>
          </w:p>
        </w:tc>
        <w:tc>
          <w:tcPr>
            <w:tcW w:w="0" w:type="auto"/>
            <w:tcBorders>
              <w:top w:val="single" w:sz="4" w:space="0" w:color="B4C6E7" w:themeColor="accent1" w:themeTint="66"/>
            </w:tcBorders>
          </w:tcPr>
          <w:p w14:paraId="358A3335" w14:textId="77777777" w:rsidR="00E81F22" w:rsidRPr="00AA22F2" w:rsidRDefault="00E81F22" w:rsidP="00E81F22">
            <w:pPr>
              <w:cnfStyle w:val="000000000000" w:firstRow="0" w:lastRow="0" w:firstColumn="0" w:lastColumn="0" w:oddVBand="0" w:evenVBand="0" w:oddHBand="0" w:evenHBand="0" w:firstRowFirstColumn="0" w:firstRowLastColumn="0" w:lastRowFirstColumn="0" w:lastRowLastColumn="0"/>
              <w:rPr>
                <w:szCs w:val="20"/>
              </w:rPr>
            </w:pPr>
            <w:r w:rsidRPr="00AA22F2">
              <w:rPr>
                <w:szCs w:val="20"/>
              </w:rPr>
              <w:t>Définir un seul point d’accès au chantier avec contrôle d’entrée/sortie.</w:t>
            </w:r>
          </w:p>
        </w:tc>
        <w:tc>
          <w:tcPr>
            <w:tcW w:w="0" w:type="auto"/>
            <w:vMerge/>
          </w:tcPr>
          <w:p w14:paraId="11DB47C2" w14:textId="77777777" w:rsidR="00E81F22" w:rsidRPr="00AA22F2" w:rsidRDefault="00E81F22" w:rsidP="006D1412">
            <w:pPr>
              <w:cnfStyle w:val="000000000000" w:firstRow="0" w:lastRow="0" w:firstColumn="0" w:lastColumn="0" w:oddVBand="0" w:evenVBand="0" w:oddHBand="0" w:evenHBand="0" w:firstRowFirstColumn="0" w:firstRowLastColumn="0" w:lastRowFirstColumn="0" w:lastRowLastColumn="0"/>
              <w:rPr>
                <w:szCs w:val="20"/>
              </w:rPr>
            </w:pPr>
          </w:p>
        </w:tc>
        <w:tc>
          <w:tcPr>
            <w:tcW w:w="0" w:type="auto"/>
            <w:vMerge/>
          </w:tcPr>
          <w:p w14:paraId="245C863D" w14:textId="77777777" w:rsidR="00E81F22" w:rsidRPr="00AA22F2" w:rsidRDefault="00E81F22" w:rsidP="006D1412">
            <w:pPr>
              <w:cnfStyle w:val="000000000000" w:firstRow="0" w:lastRow="0" w:firstColumn="0" w:lastColumn="0" w:oddVBand="0" w:evenVBand="0" w:oddHBand="0" w:evenHBand="0" w:firstRowFirstColumn="0" w:firstRowLastColumn="0" w:lastRowFirstColumn="0" w:lastRowLastColumn="0"/>
              <w:rPr>
                <w:szCs w:val="20"/>
              </w:rPr>
            </w:pPr>
          </w:p>
        </w:tc>
        <w:tc>
          <w:tcPr>
            <w:tcW w:w="0" w:type="auto"/>
            <w:vMerge/>
          </w:tcPr>
          <w:p w14:paraId="0C96A4CF" w14:textId="77777777" w:rsidR="00E81F22" w:rsidRPr="00BC1745" w:rsidRDefault="00E81F22" w:rsidP="006D1412">
            <w:pPr>
              <w:cnfStyle w:val="000000000000" w:firstRow="0" w:lastRow="0" w:firstColumn="0" w:lastColumn="0" w:oddVBand="0" w:evenVBand="0" w:oddHBand="0" w:evenHBand="0" w:firstRowFirstColumn="0" w:firstRowLastColumn="0" w:lastRowFirstColumn="0" w:lastRowLastColumn="0"/>
              <w:rPr>
                <w:szCs w:val="20"/>
              </w:rPr>
            </w:pPr>
          </w:p>
        </w:tc>
        <w:tc>
          <w:tcPr>
            <w:tcW w:w="0" w:type="auto"/>
            <w:vMerge/>
          </w:tcPr>
          <w:p w14:paraId="0A3D5A17" w14:textId="77777777" w:rsidR="00E81F22" w:rsidRPr="00AA22F2" w:rsidRDefault="00E81F22" w:rsidP="006D1412">
            <w:pPr>
              <w:cnfStyle w:val="000000000000" w:firstRow="0" w:lastRow="0" w:firstColumn="0" w:lastColumn="0" w:oddVBand="0" w:evenVBand="0" w:oddHBand="0" w:evenHBand="0" w:firstRowFirstColumn="0" w:firstRowLastColumn="0" w:lastRowFirstColumn="0" w:lastRowLastColumn="0"/>
              <w:rPr>
                <w:szCs w:val="20"/>
              </w:rPr>
            </w:pPr>
          </w:p>
        </w:tc>
        <w:tc>
          <w:tcPr>
            <w:tcW w:w="0" w:type="auto"/>
            <w:vMerge/>
          </w:tcPr>
          <w:p w14:paraId="6EB5E35E" w14:textId="77777777" w:rsidR="00E81F22" w:rsidRPr="00AA22F2" w:rsidRDefault="00E81F22" w:rsidP="006D1412">
            <w:pPr>
              <w:cnfStyle w:val="000000000000" w:firstRow="0" w:lastRow="0" w:firstColumn="0" w:lastColumn="0" w:oddVBand="0" w:evenVBand="0" w:oddHBand="0" w:evenHBand="0" w:firstRowFirstColumn="0" w:firstRowLastColumn="0" w:lastRowFirstColumn="0" w:lastRowLastColumn="0"/>
              <w:rPr>
                <w:szCs w:val="20"/>
              </w:rPr>
            </w:pPr>
          </w:p>
        </w:tc>
        <w:tc>
          <w:tcPr>
            <w:tcW w:w="0" w:type="auto"/>
            <w:tcBorders>
              <w:top w:val="single" w:sz="4" w:space="0" w:color="B4C6E7" w:themeColor="accent1" w:themeTint="66"/>
            </w:tcBorders>
          </w:tcPr>
          <w:p w14:paraId="52E08422" w14:textId="3B632B7A" w:rsidR="00E81F22" w:rsidRPr="00AA22F2" w:rsidRDefault="003428D3" w:rsidP="006D1412">
            <w:pPr>
              <w:cnfStyle w:val="000000000000" w:firstRow="0" w:lastRow="0" w:firstColumn="0" w:lastColumn="0" w:oddVBand="0" w:evenVBand="0" w:oddHBand="0" w:evenHBand="0" w:firstRowFirstColumn="0" w:firstRowLastColumn="0" w:lastRowFirstColumn="0" w:lastRowLastColumn="0"/>
              <w:rPr>
                <w:szCs w:val="20"/>
              </w:rPr>
            </w:pPr>
            <w:r w:rsidRPr="003428D3">
              <w:rPr>
                <w:szCs w:val="20"/>
              </w:rPr>
              <w:t>3 000 MAD / poste (barrière, panneau, badge)</w:t>
            </w:r>
          </w:p>
        </w:tc>
      </w:tr>
      <w:tr w:rsidR="0006255E" w:rsidRPr="008A72E6" w14:paraId="7CB12CDD" w14:textId="77777777" w:rsidTr="0006255E">
        <w:trPr>
          <w:trHeight w:val="1004"/>
        </w:trPr>
        <w:tc>
          <w:tcPr>
            <w:cnfStyle w:val="001000000000" w:firstRow="0" w:lastRow="0" w:firstColumn="1" w:lastColumn="0" w:oddVBand="0" w:evenVBand="0" w:oddHBand="0" w:evenHBand="0" w:firstRowFirstColumn="0" w:firstRowLastColumn="0" w:lastRowFirstColumn="0" w:lastRowLastColumn="0"/>
            <w:tcW w:w="0" w:type="auto"/>
            <w:vMerge/>
            <w:hideMark/>
          </w:tcPr>
          <w:p w14:paraId="1CBD37F4" w14:textId="77777777" w:rsidR="0006255E" w:rsidRPr="00AA22F2" w:rsidRDefault="0006255E" w:rsidP="006D1412">
            <w:pPr>
              <w:rPr>
                <w:szCs w:val="20"/>
              </w:rPr>
            </w:pPr>
          </w:p>
        </w:tc>
        <w:tc>
          <w:tcPr>
            <w:tcW w:w="0" w:type="auto"/>
            <w:vMerge w:val="restart"/>
            <w:hideMark/>
          </w:tcPr>
          <w:p w14:paraId="221842B7" w14:textId="77777777" w:rsidR="0006255E" w:rsidRPr="00AA22F2" w:rsidRDefault="0006255E" w:rsidP="006D1412">
            <w:pPr>
              <w:cnfStyle w:val="000000000000" w:firstRow="0" w:lastRow="0" w:firstColumn="0" w:lastColumn="0" w:oddVBand="0" w:evenVBand="0" w:oddHBand="0" w:evenHBand="0" w:firstRowFirstColumn="0" w:firstRowLastColumn="0" w:lastRowFirstColumn="0" w:lastRowLastColumn="0"/>
              <w:rPr>
                <w:b/>
                <w:bCs/>
                <w:szCs w:val="20"/>
              </w:rPr>
            </w:pPr>
            <w:r w:rsidRPr="00AA22F2">
              <w:rPr>
                <w:b/>
                <w:bCs/>
                <w:szCs w:val="20"/>
              </w:rPr>
              <w:t>Réduire</w:t>
            </w:r>
          </w:p>
        </w:tc>
        <w:tc>
          <w:tcPr>
            <w:tcW w:w="0" w:type="auto"/>
            <w:tcBorders>
              <w:bottom w:val="single" w:sz="4" w:space="0" w:color="B4C6E7" w:themeColor="accent1" w:themeTint="66"/>
            </w:tcBorders>
            <w:hideMark/>
          </w:tcPr>
          <w:p w14:paraId="17C42D5E" w14:textId="7E8CD224" w:rsidR="0006255E" w:rsidRPr="00AA22F2" w:rsidRDefault="0006255E" w:rsidP="006D1412">
            <w:pPr>
              <w:cnfStyle w:val="000000000000" w:firstRow="0" w:lastRow="0" w:firstColumn="0" w:lastColumn="0" w:oddVBand="0" w:evenVBand="0" w:oddHBand="0" w:evenHBand="0" w:firstRowFirstColumn="0" w:firstRowLastColumn="0" w:lastRowFirstColumn="0" w:lastRowLastColumn="0"/>
              <w:rPr>
                <w:szCs w:val="20"/>
              </w:rPr>
            </w:pPr>
            <w:r w:rsidRPr="00AA22F2">
              <w:rPr>
                <w:szCs w:val="20"/>
              </w:rPr>
              <w:t xml:space="preserve">Mettre en œuvre un plan de circulation interne et externe validé ; </w:t>
            </w:r>
          </w:p>
        </w:tc>
        <w:tc>
          <w:tcPr>
            <w:tcW w:w="0" w:type="auto"/>
            <w:vMerge w:val="restart"/>
            <w:hideMark/>
          </w:tcPr>
          <w:p w14:paraId="446AC50B" w14:textId="77777777" w:rsidR="0006255E" w:rsidRPr="00AA22F2" w:rsidRDefault="0006255E" w:rsidP="006D1412">
            <w:pPr>
              <w:cnfStyle w:val="000000000000" w:firstRow="0" w:lastRow="0" w:firstColumn="0" w:lastColumn="0" w:oddVBand="0" w:evenVBand="0" w:oddHBand="0" w:evenHBand="0" w:firstRowFirstColumn="0" w:firstRowLastColumn="0" w:lastRowFirstColumn="0" w:lastRowLastColumn="0"/>
              <w:rPr>
                <w:szCs w:val="20"/>
              </w:rPr>
            </w:pPr>
            <w:r w:rsidRPr="00AA22F2">
              <w:rPr>
                <w:szCs w:val="20"/>
              </w:rPr>
              <w:t xml:space="preserve">Nb de conducteurs formés ; </w:t>
            </w:r>
          </w:p>
          <w:p w14:paraId="15DACC67" w14:textId="77777777" w:rsidR="0006255E" w:rsidRPr="00AA22F2" w:rsidRDefault="0006255E" w:rsidP="006D1412">
            <w:pPr>
              <w:cnfStyle w:val="000000000000" w:firstRow="0" w:lastRow="0" w:firstColumn="0" w:lastColumn="0" w:oddVBand="0" w:evenVBand="0" w:oddHBand="0" w:evenHBand="0" w:firstRowFirstColumn="0" w:firstRowLastColumn="0" w:lastRowFirstColumn="0" w:lastRowLastColumn="0"/>
              <w:rPr>
                <w:szCs w:val="20"/>
              </w:rPr>
            </w:pPr>
            <w:r w:rsidRPr="00AA22F2">
              <w:rPr>
                <w:szCs w:val="20"/>
              </w:rPr>
              <w:t xml:space="preserve">Nb d’incidents / mois ; </w:t>
            </w:r>
          </w:p>
          <w:p w14:paraId="5C0D1C2E" w14:textId="7469B1E6" w:rsidR="0006255E" w:rsidRPr="00AA22F2" w:rsidRDefault="0006255E" w:rsidP="006D1412">
            <w:pPr>
              <w:cnfStyle w:val="000000000000" w:firstRow="0" w:lastRow="0" w:firstColumn="0" w:lastColumn="0" w:oddVBand="0" w:evenVBand="0" w:oddHBand="0" w:evenHBand="0" w:firstRowFirstColumn="0" w:firstRowLastColumn="0" w:lastRowFirstColumn="0" w:lastRowLastColumn="0"/>
              <w:rPr>
                <w:szCs w:val="20"/>
              </w:rPr>
            </w:pPr>
            <w:r w:rsidRPr="00AA22F2">
              <w:rPr>
                <w:szCs w:val="20"/>
              </w:rPr>
              <w:t>Nb d’inspections de sécurité des véhicules.</w:t>
            </w:r>
          </w:p>
        </w:tc>
        <w:tc>
          <w:tcPr>
            <w:tcW w:w="0" w:type="auto"/>
            <w:vMerge w:val="restart"/>
            <w:hideMark/>
          </w:tcPr>
          <w:p w14:paraId="7DFEF0EA" w14:textId="77777777" w:rsidR="0006255E" w:rsidRPr="00AA22F2" w:rsidRDefault="0006255E" w:rsidP="006D1412">
            <w:pPr>
              <w:cnfStyle w:val="000000000000" w:firstRow="0" w:lastRow="0" w:firstColumn="0" w:lastColumn="0" w:oddVBand="0" w:evenVBand="0" w:oddHBand="0" w:evenHBand="0" w:firstRowFirstColumn="0" w:firstRowLastColumn="0" w:lastRowFirstColumn="0" w:lastRowLastColumn="0"/>
              <w:rPr>
                <w:szCs w:val="20"/>
              </w:rPr>
            </w:pPr>
            <w:r w:rsidRPr="00AA22F2">
              <w:rPr>
                <w:szCs w:val="20"/>
              </w:rPr>
              <w:t>EPC / Sous-traitants</w:t>
            </w:r>
          </w:p>
        </w:tc>
        <w:tc>
          <w:tcPr>
            <w:tcW w:w="0" w:type="auto"/>
            <w:vMerge w:val="restart"/>
            <w:hideMark/>
          </w:tcPr>
          <w:p w14:paraId="386D49E7" w14:textId="15D05C8C" w:rsidR="0006255E" w:rsidRPr="00AA22F2" w:rsidRDefault="0006255E" w:rsidP="006D1412">
            <w:pPr>
              <w:cnfStyle w:val="000000000000" w:firstRow="0" w:lastRow="0" w:firstColumn="0" w:lastColumn="0" w:oddVBand="0" w:evenVBand="0" w:oddHBand="0" w:evenHBand="0" w:firstRowFirstColumn="0" w:firstRowLastColumn="0" w:lastRowFirstColumn="0" w:lastRowLastColumn="0"/>
              <w:rPr>
                <w:szCs w:val="20"/>
              </w:rPr>
            </w:pPr>
            <w:r w:rsidRPr="00BC1745">
              <w:rPr>
                <w:szCs w:val="20"/>
              </w:rPr>
              <w:t>Bureau de contrôle / Consultant de supervision mandaté par l’ONDA</w:t>
            </w:r>
          </w:p>
        </w:tc>
        <w:tc>
          <w:tcPr>
            <w:tcW w:w="0" w:type="auto"/>
            <w:vMerge w:val="restart"/>
            <w:hideMark/>
          </w:tcPr>
          <w:p w14:paraId="53B8F75C" w14:textId="77777777" w:rsidR="0006255E" w:rsidRPr="00AA22F2" w:rsidRDefault="0006255E" w:rsidP="006D1412">
            <w:pPr>
              <w:cnfStyle w:val="000000000000" w:firstRow="0" w:lastRow="0" w:firstColumn="0" w:lastColumn="0" w:oddVBand="0" w:evenVBand="0" w:oddHBand="0" w:evenHBand="0" w:firstRowFirstColumn="0" w:firstRowLastColumn="0" w:lastRowFirstColumn="0" w:lastRowLastColumn="0"/>
              <w:rPr>
                <w:szCs w:val="20"/>
              </w:rPr>
            </w:pPr>
            <w:r w:rsidRPr="00AA22F2">
              <w:rPr>
                <w:szCs w:val="20"/>
              </w:rPr>
              <w:t>ONDA</w:t>
            </w:r>
          </w:p>
        </w:tc>
        <w:tc>
          <w:tcPr>
            <w:tcW w:w="0" w:type="auto"/>
            <w:vMerge w:val="restart"/>
            <w:hideMark/>
          </w:tcPr>
          <w:p w14:paraId="79F67975" w14:textId="77777777" w:rsidR="0006255E" w:rsidRPr="00AA22F2" w:rsidRDefault="0006255E" w:rsidP="006D1412">
            <w:pPr>
              <w:cnfStyle w:val="000000000000" w:firstRow="0" w:lastRow="0" w:firstColumn="0" w:lastColumn="0" w:oddVBand="0" w:evenVBand="0" w:oddHBand="0" w:evenHBand="0" w:firstRowFirstColumn="0" w:firstRowLastColumn="0" w:lastRowFirstColumn="0" w:lastRowLastColumn="0"/>
              <w:rPr>
                <w:szCs w:val="20"/>
              </w:rPr>
            </w:pPr>
            <w:r w:rsidRPr="00AA22F2">
              <w:rPr>
                <w:szCs w:val="20"/>
              </w:rPr>
              <w:t>Continu durant les travaux</w:t>
            </w:r>
          </w:p>
        </w:tc>
        <w:tc>
          <w:tcPr>
            <w:tcW w:w="0" w:type="auto"/>
            <w:tcBorders>
              <w:bottom w:val="single" w:sz="4" w:space="0" w:color="B4C6E7" w:themeColor="accent1" w:themeTint="66"/>
            </w:tcBorders>
            <w:hideMark/>
          </w:tcPr>
          <w:p w14:paraId="7F9E7310" w14:textId="6D422FB4" w:rsidR="0006255E" w:rsidRPr="00AA22F2" w:rsidRDefault="00FD2AE7" w:rsidP="006D1412">
            <w:pPr>
              <w:cnfStyle w:val="000000000000" w:firstRow="0" w:lastRow="0" w:firstColumn="0" w:lastColumn="0" w:oddVBand="0" w:evenVBand="0" w:oddHBand="0" w:evenHBand="0" w:firstRowFirstColumn="0" w:firstRowLastColumn="0" w:lastRowFirstColumn="0" w:lastRowLastColumn="0"/>
              <w:rPr>
                <w:szCs w:val="20"/>
              </w:rPr>
            </w:pPr>
            <w:r w:rsidRPr="00FD2AE7">
              <w:rPr>
                <w:szCs w:val="20"/>
              </w:rPr>
              <w:t>Aucun coût spécifique</w:t>
            </w:r>
          </w:p>
        </w:tc>
      </w:tr>
      <w:tr w:rsidR="0006255E" w:rsidRPr="008A72E6" w14:paraId="6C82A0B0" w14:textId="77777777" w:rsidTr="0006255E">
        <w:trPr>
          <w:trHeight w:val="1604"/>
        </w:trPr>
        <w:tc>
          <w:tcPr>
            <w:cnfStyle w:val="001000000000" w:firstRow="0" w:lastRow="0" w:firstColumn="1" w:lastColumn="0" w:oddVBand="0" w:evenVBand="0" w:oddHBand="0" w:evenHBand="0" w:firstRowFirstColumn="0" w:firstRowLastColumn="0" w:lastRowFirstColumn="0" w:lastRowLastColumn="0"/>
            <w:tcW w:w="0" w:type="auto"/>
            <w:vMerge/>
          </w:tcPr>
          <w:p w14:paraId="2357EF4A" w14:textId="77777777" w:rsidR="0006255E" w:rsidRPr="00AA22F2" w:rsidRDefault="0006255E" w:rsidP="006D1412">
            <w:pPr>
              <w:rPr>
                <w:szCs w:val="20"/>
              </w:rPr>
            </w:pPr>
          </w:p>
        </w:tc>
        <w:tc>
          <w:tcPr>
            <w:tcW w:w="0" w:type="auto"/>
            <w:vMerge/>
          </w:tcPr>
          <w:p w14:paraId="7F83C01F" w14:textId="77777777" w:rsidR="0006255E" w:rsidRPr="00AA22F2" w:rsidRDefault="0006255E" w:rsidP="006D1412">
            <w:pPr>
              <w:cnfStyle w:val="000000000000" w:firstRow="0" w:lastRow="0" w:firstColumn="0" w:lastColumn="0" w:oddVBand="0" w:evenVBand="0" w:oddHBand="0" w:evenHBand="0" w:firstRowFirstColumn="0" w:firstRowLastColumn="0" w:lastRowFirstColumn="0" w:lastRowLastColumn="0"/>
              <w:rPr>
                <w:b/>
                <w:bCs/>
                <w:szCs w:val="20"/>
              </w:rPr>
            </w:pPr>
          </w:p>
        </w:tc>
        <w:tc>
          <w:tcPr>
            <w:tcW w:w="0" w:type="auto"/>
            <w:tcBorders>
              <w:top w:val="single" w:sz="4" w:space="0" w:color="B4C6E7" w:themeColor="accent1" w:themeTint="66"/>
              <w:bottom w:val="single" w:sz="4" w:space="0" w:color="B4C6E7" w:themeColor="accent1" w:themeTint="66"/>
            </w:tcBorders>
          </w:tcPr>
          <w:p w14:paraId="7C6E6815" w14:textId="45EF0538" w:rsidR="0006255E" w:rsidRPr="00AA22F2" w:rsidRDefault="0006255E" w:rsidP="0006255E">
            <w:pPr>
              <w:cnfStyle w:val="000000000000" w:firstRow="0" w:lastRow="0" w:firstColumn="0" w:lastColumn="0" w:oddVBand="0" w:evenVBand="0" w:oddHBand="0" w:evenHBand="0" w:firstRowFirstColumn="0" w:firstRowLastColumn="0" w:lastRowFirstColumn="0" w:lastRowLastColumn="0"/>
              <w:rPr>
                <w:szCs w:val="20"/>
              </w:rPr>
            </w:pPr>
            <w:r w:rsidRPr="00AA22F2">
              <w:rPr>
                <w:szCs w:val="20"/>
              </w:rPr>
              <w:t>Installer des panneaux de signalisation et des dispositifs réfléchissants aux croisements critiques ;</w:t>
            </w:r>
          </w:p>
        </w:tc>
        <w:tc>
          <w:tcPr>
            <w:tcW w:w="0" w:type="auto"/>
            <w:vMerge/>
          </w:tcPr>
          <w:p w14:paraId="329BF387" w14:textId="77777777" w:rsidR="0006255E" w:rsidRPr="00AA22F2" w:rsidRDefault="0006255E" w:rsidP="006D1412">
            <w:pPr>
              <w:cnfStyle w:val="000000000000" w:firstRow="0" w:lastRow="0" w:firstColumn="0" w:lastColumn="0" w:oddVBand="0" w:evenVBand="0" w:oddHBand="0" w:evenHBand="0" w:firstRowFirstColumn="0" w:firstRowLastColumn="0" w:lastRowFirstColumn="0" w:lastRowLastColumn="0"/>
              <w:rPr>
                <w:szCs w:val="20"/>
              </w:rPr>
            </w:pPr>
          </w:p>
        </w:tc>
        <w:tc>
          <w:tcPr>
            <w:tcW w:w="0" w:type="auto"/>
            <w:vMerge/>
          </w:tcPr>
          <w:p w14:paraId="23DA4C4D" w14:textId="77777777" w:rsidR="0006255E" w:rsidRPr="00AA22F2" w:rsidRDefault="0006255E" w:rsidP="006D1412">
            <w:pPr>
              <w:cnfStyle w:val="000000000000" w:firstRow="0" w:lastRow="0" w:firstColumn="0" w:lastColumn="0" w:oddVBand="0" w:evenVBand="0" w:oddHBand="0" w:evenHBand="0" w:firstRowFirstColumn="0" w:firstRowLastColumn="0" w:lastRowFirstColumn="0" w:lastRowLastColumn="0"/>
              <w:rPr>
                <w:szCs w:val="20"/>
              </w:rPr>
            </w:pPr>
          </w:p>
        </w:tc>
        <w:tc>
          <w:tcPr>
            <w:tcW w:w="0" w:type="auto"/>
            <w:vMerge/>
          </w:tcPr>
          <w:p w14:paraId="08ADD9AD" w14:textId="77777777" w:rsidR="0006255E" w:rsidRPr="00BC1745" w:rsidRDefault="0006255E" w:rsidP="006D1412">
            <w:pPr>
              <w:cnfStyle w:val="000000000000" w:firstRow="0" w:lastRow="0" w:firstColumn="0" w:lastColumn="0" w:oddVBand="0" w:evenVBand="0" w:oddHBand="0" w:evenHBand="0" w:firstRowFirstColumn="0" w:firstRowLastColumn="0" w:lastRowFirstColumn="0" w:lastRowLastColumn="0"/>
              <w:rPr>
                <w:szCs w:val="20"/>
              </w:rPr>
            </w:pPr>
          </w:p>
        </w:tc>
        <w:tc>
          <w:tcPr>
            <w:tcW w:w="0" w:type="auto"/>
            <w:vMerge/>
          </w:tcPr>
          <w:p w14:paraId="10848210" w14:textId="77777777" w:rsidR="0006255E" w:rsidRPr="00AA22F2" w:rsidRDefault="0006255E" w:rsidP="006D1412">
            <w:pPr>
              <w:cnfStyle w:val="000000000000" w:firstRow="0" w:lastRow="0" w:firstColumn="0" w:lastColumn="0" w:oddVBand="0" w:evenVBand="0" w:oddHBand="0" w:evenHBand="0" w:firstRowFirstColumn="0" w:firstRowLastColumn="0" w:lastRowFirstColumn="0" w:lastRowLastColumn="0"/>
              <w:rPr>
                <w:szCs w:val="20"/>
              </w:rPr>
            </w:pPr>
          </w:p>
        </w:tc>
        <w:tc>
          <w:tcPr>
            <w:tcW w:w="0" w:type="auto"/>
            <w:vMerge/>
          </w:tcPr>
          <w:p w14:paraId="467E6CD7" w14:textId="77777777" w:rsidR="0006255E" w:rsidRPr="00AA22F2" w:rsidRDefault="0006255E" w:rsidP="006D1412">
            <w:pPr>
              <w:cnfStyle w:val="000000000000" w:firstRow="0" w:lastRow="0" w:firstColumn="0" w:lastColumn="0" w:oddVBand="0" w:evenVBand="0" w:oddHBand="0" w:evenHBand="0" w:firstRowFirstColumn="0" w:firstRowLastColumn="0" w:lastRowFirstColumn="0" w:lastRowLastColumn="0"/>
              <w:rPr>
                <w:szCs w:val="20"/>
              </w:rPr>
            </w:pPr>
          </w:p>
        </w:tc>
        <w:tc>
          <w:tcPr>
            <w:tcW w:w="0" w:type="auto"/>
            <w:tcBorders>
              <w:top w:val="single" w:sz="4" w:space="0" w:color="B4C6E7" w:themeColor="accent1" w:themeTint="66"/>
              <w:bottom w:val="single" w:sz="4" w:space="0" w:color="B4C6E7" w:themeColor="accent1" w:themeTint="66"/>
            </w:tcBorders>
          </w:tcPr>
          <w:p w14:paraId="7B224374" w14:textId="64EF1B1F" w:rsidR="0006255E" w:rsidRPr="00AA22F2" w:rsidRDefault="00FD2AE7" w:rsidP="006D1412">
            <w:pPr>
              <w:cnfStyle w:val="000000000000" w:firstRow="0" w:lastRow="0" w:firstColumn="0" w:lastColumn="0" w:oddVBand="0" w:evenVBand="0" w:oddHBand="0" w:evenHBand="0" w:firstRowFirstColumn="0" w:firstRowLastColumn="0" w:lastRowFirstColumn="0" w:lastRowLastColumn="0"/>
              <w:rPr>
                <w:szCs w:val="20"/>
              </w:rPr>
            </w:pPr>
            <w:r w:rsidRPr="00FD2AE7">
              <w:rPr>
                <w:szCs w:val="20"/>
              </w:rPr>
              <w:t>1 000 MAD / croisement</w:t>
            </w:r>
          </w:p>
        </w:tc>
      </w:tr>
      <w:tr w:rsidR="0006255E" w:rsidRPr="008A72E6" w14:paraId="5B7B97AF" w14:textId="77777777" w:rsidTr="0006255E">
        <w:trPr>
          <w:trHeight w:val="1298"/>
        </w:trPr>
        <w:tc>
          <w:tcPr>
            <w:cnfStyle w:val="001000000000" w:firstRow="0" w:lastRow="0" w:firstColumn="1" w:lastColumn="0" w:oddVBand="0" w:evenVBand="0" w:oddHBand="0" w:evenHBand="0" w:firstRowFirstColumn="0" w:firstRowLastColumn="0" w:lastRowFirstColumn="0" w:lastRowLastColumn="0"/>
            <w:tcW w:w="0" w:type="auto"/>
            <w:vMerge/>
          </w:tcPr>
          <w:p w14:paraId="0C36D4EE" w14:textId="77777777" w:rsidR="0006255E" w:rsidRPr="00AA22F2" w:rsidRDefault="0006255E" w:rsidP="006D1412">
            <w:pPr>
              <w:rPr>
                <w:szCs w:val="20"/>
              </w:rPr>
            </w:pPr>
          </w:p>
        </w:tc>
        <w:tc>
          <w:tcPr>
            <w:tcW w:w="0" w:type="auto"/>
            <w:vMerge/>
          </w:tcPr>
          <w:p w14:paraId="2E935DBE" w14:textId="77777777" w:rsidR="0006255E" w:rsidRPr="00AA22F2" w:rsidRDefault="0006255E" w:rsidP="006D1412">
            <w:pPr>
              <w:cnfStyle w:val="000000000000" w:firstRow="0" w:lastRow="0" w:firstColumn="0" w:lastColumn="0" w:oddVBand="0" w:evenVBand="0" w:oddHBand="0" w:evenHBand="0" w:firstRowFirstColumn="0" w:firstRowLastColumn="0" w:lastRowFirstColumn="0" w:lastRowLastColumn="0"/>
              <w:rPr>
                <w:b/>
                <w:bCs/>
                <w:szCs w:val="20"/>
              </w:rPr>
            </w:pPr>
          </w:p>
        </w:tc>
        <w:tc>
          <w:tcPr>
            <w:tcW w:w="0" w:type="auto"/>
            <w:tcBorders>
              <w:top w:val="single" w:sz="4" w:space="0" w:color="B4C6E7" w:themeColor="accent1" w:themeTint="66"/>
              <w:bottom w:val="single" w:sz="4" w:space="0" w:color="B4C6E7" w:themeColor="accent1" w:themeTint="66"/>
            </w:tcBorders>
          </w:tcPr>
          <w:p w14:paraId="66800D19" w14:textId="318C347E" w:rsidR="0006255E" w:rsidRPr="00AA22F2" w:rsidRDefault="0006255E" w:rsidP="0006255E">
            <w:pPr>
              <w:cnfStyle w:val="000000000000" w:firstRow="0" w:lastRow="0" w:firstColumn="0" w:lastColumn="0" w:oddVBand="0" w:evenVBand="0" w:oddHBand="0" w:evenHBand="0" w:firstRowFirstColumn="0" w:firstRowLastColumn="0" w:lastRowFirstColumn="0" w:lastRowLastColumn="0"/>
              <w:rPr>
                <w:szCs w:val="20"/>
              </w:rPr>
            </w:pPr>
            <w:r w:rsidRPr="00AA22F2">
              <w:rPr>
                <w:szCs w:val="20"/>
              </w:rPr>
              <w:t xml:space="preserve">Former les conducteurs sur la conduite défensive et les règles de sécurité communautaire ; </w:t>
            </w:r>
          </w:p>
        </w:tc>
        <w:tc>
          <w:tcPr>
            <w:tcW w:w="0" w:type="auto"/>
            <w:vMerge/>
          </w:tcPr>
          <w:p w14:paraId="5983786F" w14:textId="77777777" w:rsidR="0006255E" w:rsidRPr="00AA22F2" w:rsidRDefault="0006255E" w:rsidP="006D1412">
            <w:pPr>
              <w:cnfStyle w:val="000000000000" w:firstRow="0" w:lastRow="0" w:firstColumn="0" w:lastColumn="0" w:oddVBand="0" w:evenVBand="0" w:oddHBand="0" w:evenHBand="0" w:firstRowFirstColumn="0" w:firstRowLastColumn="0" w:lastRowFirstColumn="0" w:lastRowLastColumn="0"/>
              <w:rPr>
                <w:szCs w:val="20"/>
              </w:rPr>
            </w:pPr>
          </w:p>
        </w:tc>
        <w:tc>
          <w:tcPr>
            <w:tcW w:w="0" w:type="auto"/>
            <w:vMerge/>
          </w:tcPr>
          <w:p w14:paraId="23B019EF" w14:textId="77777777" w:rsidR="0006255E" w:rsidRPr="00AA22F2" w:rsidRDefault="0006255E" w:rsidP="006D1412">
            <w:pPr>
              <w:cnfStyle w:val="000000000000" w:firstRow="0" w:lastRow="0" w:firstColumn="0" w:lastColumn="0" w:oddVBand="0" w:evenVBand="0" w:oddHBand="0" w:evenHBand="0" w:firstRowFirstColumn="0" w:firstRowLastColumn="0" w:lastRowFirstColumn="0" w:lastRowLastColumn="0"/>
              <w:rPr>
                <w:szCs w:val="20"/>
              </w:rPr>
            </w:pPr>
          </w:p>
        </w:tc>
        <w:tc>
          <w:tcPr>
            <w:tcW w:w="0" w:type="auto"/>
            <w:vMerge/>
          </w:tcPr>
          <w:p w14:paraId="35DFB6F9" w14:textId="77777777" w:rsidR="0006255E" w:rsidRPr="00BC1745" w:rsidRDefault="0006255E" w:rsidP="006D1412">
            <w:pPr>
              <w:cnfStyle w:val="000000000000" w:firstRow="0" w:lastRow="0" w:firstColumn="0" w:lastColumn="0" w:oddVBand="0" w:evenVBand="0" w:oddHBand="0" w:evenHBand="0" w:firstRowFirstColumn="0" w:firstRowLastColumn="0" w:lastRowFirstColumn="0" w:lastRowLastColumn="0"/>
              <w:rPr>
                <w:szCs w:val="20"/>
              </w:rPr>
            </w:pPr>
          </w:p>
        </w:tc>
        <w:tc>
          <w:tcPr>
            <w:tcW w:w="0" w:type="auto"/>
            <w:vMerge/>
          </w:tcPr>
          <w:p w14:paraId="627B3D6E" w14:textId="77777777" w:rsidR="0006255E" w:rsidRPr="00AA22F2" w:rsidRDefault="0006255E" w:rsidP="006D1412">
            <w:pPr>
              <w:cnfStyle w:val="000000000000" w:firstRow="0" w:lastRow="0" w:firstColumn="0" w:lastColumn="0" w:oddVBand="0" w:evenVBand="0" w:oddHBand="0" w:evenHBand="0" w:firstRowFirstColumn="0" w:firstRowLastColumn="0" w:lastRowFirstColumn="0" w:lastRowLastColumn="0"/>
              <w:rPr>
                <w:szCs w:val="20"/>
              </w:rPr>
            </w:pPr>
          </w:p>
        </w:tc>
        <w:tc>
          <w:tcPr>
            <w:tcW w:w="0" w:type="auto"/>
            <w:vMerge/>
          </w:tcPr>
          <w:p w14:paraId="2CF09009" w14:textId="77777777" w:rsidR="0006255E" w:rsidRPr="00AA22F2" w:rsidRDefault="0006255E" w:rsidP="006D1412">
            <w:pPr>
              <w:cnfStyle w:val="000000000000" w:firstRow="0" w:lastRow="0" w:firstColumn="0" w:lastColumn="0" w:oddVBand="0" w:evenVBand="0" w:oddHBand="0" w:evenHBand="0" w:firstRowFirstColumn="0" w:firstRowLastColumn="0" w:lastRowFirstColumn="0" w:lastRowLastColumn="0"/>
              <w:rPr>
                <w:szCs w:val="20"/>
              </w:rPr>
            </w:pPr>
          </w:p>
        </w:tc>
        <w:tc>
          <w:tcPr>
            <w:tcW w:w="0" w:type="auto"/>
            <w:tcBorders>
              <w:top w:val="single" w:sz="4" w:space="0" w:color="B4C6E7" w:themeColor="accent1" w:themeTint="66"/>
              <w:bottom w:val="single" w:sz="4" w:space="0" w:color="B4C6E7" w:themeColor="accent1" w:themeTint="66"/>
            </w:tcBorders>
          </w:tcPr>
          <w:p w14:paraId="23D27267" w14:textId="030B1D81" w:rsidR="0006255E" w:rsidRPr="00AA22F2" w:rsidRDefault="00FD2AE7" w:rsidP="006D1412">
            <w:pPr>
              <w:cnfStyle w:val="000000000000" w:firstRow="0" w:lastRow="0" w:firstColumn="0" w:lastColumn="0" w:oddVBand="0" w:evenVBand="0" w:oddHBand="0" w:evenHBand="0" w:firstRowFirstColumn="0" w:firstRowLastColumn="0" w:lastRowFirstColumn="0" w:lastRowLastColumn="0"/>
              <w:rPr>
                <w:szCs w:val="20"/>
              </w:rPr>
            </w:pPr>
            <w:r w:rsidRPr="00FD2AE7">
              <w:rPr>
                <w:szCs w:val="20"/>
              </w:rPr>
              <w:t>5 000 MAD / session (15 chauffeurs)</w:t>
            </w:r>
          </w:p>
        </w:tc>
      </w:tr>
      <w:tr w:rsidR="0006255E" w:rsidRPr="008A72E6" w14:paraId="4430C99F" w14:textId="77777777" w:rsidTr="0006255E">
        <w:trPr>
          <w:trHeight w:val="1298"/>
        </w:trPr>
        <w:tc>
          <w:tcPr>
            <w:cnfStyle w:val="001000000000" w:firstRow="0" w:lastRow="0" w:firstColumn="1" w:lastColumn="0" w:oddVBand="0" w:evenVBand="0" w:oddHBand="0" w:evenHBand="0" w:firstRowFirstColumn="0" w:firstRowLastColumn="0" w:lastRowFirstColumn="0" w:lastRowLastColumn="0"/>
            <w:tcW w:w="0" w:type="auto"/>
            <w:vMerge/>
          </w:tcPr>
          <w:p w14:paraId="39B236C6" w14:textId="77777777" w:rsidR="0006255E" w:rsidRPr="00AA22F2" w:rsidRDefault="0006255E" w:rsidP="006D1412">
            <w:pPr>
              <w:rPr>
                <w:szCs w:val="20"/>
              </w:rPr>
            </w:pPr>
          </w:p>
        </w:tc>
        <w:tc>
          <w:tcPr>
            <w:tcW w:w="0" w:type="auto"/>
            <w:vMerge/>
          </w:tcPr>
          <w:p w14:paraId="04EC0F3E" w14:textId="77777777" w:rsidR="0006255E" w:rsidRPr="00AA22F2" w:rsidRDefault="0006255E" w:rsidP="006D1412">
            <w:pPr>
              <w:cnfStyle w:val="000000000000" w:firstRow="0" w:lastRow="0" w:firstColumn="0" w:lastColumn="0" w:oddVBand="0" w:evenVBand="0" w:oddHBand="0" w:evenHBand="0" w:firstRowFirstColumn="0" w:firstRowLastColumn="0" w:lastRowFirstColumn="0" w:lastRowLastColumn="0"/>
              <w:rPr>
                <w:b/>
                <w:bCs/>
                <w:szCs w:val="20"/>
              </w:rPr>
            </w:pPr>
          </w:p>
        </w:tc>
        <w:tc>
          <w:tcPr>
            <w:tcW w:w="0" w:type="auto"/>
            <w:tcBorders>
              <w:top w:val="single" w:sz="4" w:space="0" w:color="B4C6E7" w:themeColor="accent1" w:themeTint="66"/>
            </w:tcBorders>
          </w:tcPr>
          <w:p w14:paraId="6F1171AC" w14:textId="77777777" w:rsidR="0006255E" w:rsidRPr="00AA22F2" w:rsidRDefault="0006255E" w:rsidP="0006255E">
            <w:pPr>
              <w:cnfStyle w:val="000000000000" w:firstRow="0" w:lastRow="0" w:firstColumn="0" w:lastColumn="0" w:oddVBand="0" w:evenVBand="0" w:oddHBand="0" w:evenHBand="0" w:firstRowFirstColumn="0" w:firstRowLastColumn="0" w:lastRowFirstColumn="0" w:lastRowLastColumn="0"/>
              <w:rPr>
                <w:szCs w:val="20"/>
              </w:rPr>
            </w:pPr>
            <w:r w:rsidRPr="00AA22F2">
              <w:rPr>
                <w:szCs w:val="20"/>
              </w:rPr>
              <w:t>Vérifier quotidiennement l’état mécanique des engins (freins, phares, pneus).</w:t>
            </w:r>
          </w:p>
        </w:tc>
        <w:tc>
          <w:tcPr>
            <w:tcW w:w="0" w:type="auto"/>
            <w:vMerge/>
          </w:tcPr>
          <w:p w14:paraId="0B42BD83" w14:textId="77777777" w:rsidR="0006255E" w:rsidRPr="00AA22F2" w:rsidRDefault="0006255E" w:rsidP="006D1412">
            <w:pPr>
              <w:cnfStyle w:val="000000000000" w:firstRow="0" w:lastRow="0" w:firstColumn="0" w:lastColumn="0" w:oddVBand="0" w:evenVBand="0" w:oddHBand="0" w:evenHBand="0" w:firstRowFirstColumn="0" w:firstRowLastColumn="0" w:lastRowFirstColumn="0" w:lastRowLastColumn="0"/>
              <w:rPr>
                <w:szCs w:val="20"/>
              </w:rPr>
            </w:pPr>
          </w:p>
        </w:tc>
        <w:tc>
          <w:tcPr>
            <w:tcW w:w="0" w:type="auto"/>
            <w:vMerge/>
          </w:tcPr>
          <w:p w14:paraId="1A6CFEF8" w14:textId="77777777" w:rsidR="0006255E" w:rsidRPr="00AA22F2" w:rsidRDefault="0006255E" w:rsidP="006D1412">
            <w:pPr>
              <w:cnfStyle w:val="000000000000" w:firstRow="0" w:lastRow="0" w:firstColumn="0" w:lastColumn="0" w:oddVBand="0" w:evenVBand="0" w:oddHBand="0" w:evenHBand="0" w:firstRowFirstColumn="0" w:firstRowLastColumn="0" w:lastRowFirstColumn="0" w:lastRowLastColumn="0"/>
              <w:rPr>
                <w:szCs w:val="20"/>
              </w:rPr>
            </w:pPr>
          </w:p>
        </w:tc>
        <w:tc>
          <w:tcPr>
            <w:tcW w:w="0" w:type="auto"/>
            <w:vMerge/>
          </w:tcPr>
          <w:p w14:paraId="627E224B" w14:textId="77777777" w:rsidR="0006255E" w:rsidRPr="00BC1745" w:rsidRDefault="0006255E" w:rsidP="006D1412">
            <w:pPr>
              <w:cnfStyle w:val="000000000000" w:firstRow="0" w:lastRow="0" w:firstColumn="0" w:lastColumn="0" w:oddVBand="0" w:evenVBand="0" w:oddHBand="0" w:evenHBand="0" w:firstRowFirstColumn="0" w:firstRowLastColumn="0" w:lastRowFirstColumn="0" w:lastRowLastColumn="0"/>
              <w:rPr>
                <w:szCs w:val="20"/>
              </w:rPr>
            </w:pPr>
          </w:p>
        </w:tc>
        <w:tc>
          <w:tcPr>
            <w:tcW w:w="0" w:type="auto"/>
            <w:vMerge/>
          </w:tcPr>
          <w:p w14:paraId="1BF68BE9" w14:textId="77777777" w:rsidR="0006255E" w:rsidRPr="00AA22F2" w:rsidRDefault="0006255E" w:rsidP="006D1412">
            <w:pPr>
              <w:cnfStyle w:val="000000000000" w:firstRow="0" w:lastRow="0" w:firstColumn="0" w:lastColumn="0" w:oddVBand="0" w:evenVBand="0" w:oddHBand="0" w:evenHBand="0" w:firstRowFirstColumn="0" w:firstRowLastColumn="0" w:lastRowFirstColumn="0" w:lastRowLastColumn="0"/>
              <w:rPr>
                <w:szCs w:val="20"/>
              </w:rPr>
            </w:pPr>
          </w:p>
        </w:tc>
        <w:tc>
          <w:tcPr>
            <w:tcW w:w="0" w:type="auto"/>
            <w:vMerge/>
          </w:tcPr>
          <w:p w14:paraId="5C623C5D" w14:textId="77777777" w:rsidR="0006255E" w:rsidRPr="00AA22F2" w:rsidRDefault="0006255E" w:rsidP="006D1412">
            <w:pPr>
              <w:cnfStyle w:val="000000000000" w:firstRow="0" w:lastRow="0" w:firstColumn="0" w:lastColumn="0" w:oddVBand="0" w:evenVBand="0" w:oddHBand="0" w:evenHBand="0" w:firstRowFirstColumn="0" w:firstRowLastColumn="0" w:lastRowFirstColumn="0" w:lastRowLastColumn="0"/>
              <w:rPr>
                <w:szCs w:val="20"/>
              </w:rPr>
            </w:pPr>
          </w:p>
        </w:tc>
        <w:tc>
          <w:tcPr>
            <w:tcW w:w="0" w:type="auto"/>
            <w:tcBorders>
              <w:top w:val="single" w:sz="4" w:space="0" w:color="B4C6E7" w:themeColor="accent1" w:themeTint="66"/>
            </w:tcBorders>
          </w:tcPr>
          <w:p w14:paraId="3FB2AA01" w14:textId="4BEBC385" w:rsidR="0006255E" w:rsidRPr="00AA22F2" w:rsidRDefault="00FD2AE7" w:rsidP="006D1412">
            <w:pPr>
              <w:cnfStyle w:val="000000000000" w:firstRow="0" w:lastRow="0" w:firstColumn="0" w:lastColumn="0" w:oddVBand="0" w:evenVBand="0" w:oddHBand="0" w:evenHBand="0" w:firstRowFirstColumn="0" w:firstRowLastColumn="0" w:lastRowFirstColumn="0" w:lastRowLastColumn="0"/>
              <w:rPr>
                <w:szCs w:val="20"/>
              </w:rPr>
            </w:pPr>
            <w:r w:rsidRPr="00FD2AE7">
              <w:rPr>
                <w:szCs w:val="20"/>
              </w:rPr>
              <w:t>Aucun coût spécifique</w:t>
            </w:r>
          </w:p>
        </w:tc>
      </w:tr>
      <w:tr w:rsidR="00CB6B6C" w:rsidRPr="008A72E6" w14:paraId="680AF8BE" w14:textId="77777777" w:rsidTr="00774FC4">
        <w:tc>
          <w:tcPr>
            <w:cnfStyle w:val="001000000000" w:firstRow="0" w:lastRow="0" w:firstColumn="1" w:lastColumn="0" w:oddVBand="0" w:evenVBand="0" w:oddHBand="0" w:evenHBand="0" w:firstRowFirstColumn="0" w:firstRowLastColumn="0" w:lastRowFirstColumn="0" w:lastRowLastColumn="0"/>
            <w:tcW w:w="0" w:type="auto"/>
            <w:vMerge/>
            <w:hideMark/>
          </w:tcPr>
          <w:p w14:paraId="34130476" w14:textId="77777777" w:rsidR="006D1412" w:rsidRPr="00AA22F2" w:rsidRDefault="006D1412" w:rsidP="006D1412">
            <w:pPr>
              <w:rPr>
                <w:szCs w:val="20"/>
              </w:rPr>
            </w:pPr>
          </w:p>
        </w:tc>
        <w:tc>
          <w:tcPr>
            <w:tcW w:w="0" w:type="auto"/>
            <w:hideMark/>
          </w:tcPr>
          <w:p w14:paraId="589EE52D" w14:textId="77777777" w:rsidR="006D1412" w:rsidRPr="00AA22F2" w:rsidRDefault="006D1412" w:rsidP="006D1412">
            <w:pPr>
              <w:cnfStyle w:val="000000000000" w:firstRow="0" w:lastRow="0" w:firstColumn="0" w:lastColumn="0" w:oddVBand="0" w:evenVBand="0" w:oddHBand="0" w:evenHBand="0" w:firstRowFirstColumn="0" w:firstRowLastColumn="0" w:lastRowFirstColumn="0" w:lastRowLastColumn="0"/>
              <w:rPr>
                <w:b/>
                <w:bCs/>
                <w:szCs w:val="20"/>
              </w:rPr>
            </w:pPr>
            <w:r w:rsidRPr="00AA22F2">
              <w:rPr>
                <w:b/>
                <w:bCs/>
                <w:szCs w:val="20"/>
              </w:rPr>
              <w:t>Atténuer</w:t>
            </w:r>
          </w:p>
        </w:tc>
        <w:tc>
          <w:tcPr>
            <w:tcW w:w="0" w:type="auto"/>
            <w:hideMark/>
          </w:tcPr>
          <w:p w14:paraId="28252851" w14:textId="3F3326EA" w:rsidR="006D1412" w:rsidRPr="00AA22F2" w:rsidRDefault="006D1412" w:rsidP="006D1412">
            <w:pPr>
              <w:cnfStyle w:val="000000000000" w:firstRow="0" w:lastRow="0" w:firstColumn="0" w:lastColumn="0" w:oddVBand="0" w:evenVBand="0" w:oddHBand="0" w:evenHBand="0" w:firstRowFirstColumn="0" w:firstRowLastColumn="0" w:lastRowFirstColumn="0" w:lastRowLastColumn="0"/>
              <w:rPr>
                <w:szCs w:val="20"/>
              </w:rPr>
            </w:pPr>
            <w:r w:rsidRPr="00AA22F2">
              <w:rPr>
                <w:szCs w:val="20"/>
              </w:rPr>
              <w:t xml:space="preserve">Afficher un plan de circulation et de déviation à l’entrée du chantier et le long de la </w:t>
            </w:r>
            <w:r w:rsidR="00A12CC2">
              <w:rPr>
                <w:szCs w:val="20"/>
              </w:rPr>
              <w:t>RR212</w:t>
            </w:r>
            <w:r w:rsidRPr="00AA22F2">
              <w:rPr>
                <w:szCs w:val="20"/>
              </w:rPr>
              <w:t xml:space="preserve"> ; </w:t>
            </w:r>
          </w:p>
          <w:p w14:paraId="0A03ECFF" w14:textId="77777777" w:rsidR="006D1412" w:rsidRPr="00AA22F2" w:rsidRDefault="006D1412" w:rsidP="006D1412">
            <w:pPr>
              <w:cnfStyle w:val="000000000000" w:firstRow="0" w:lastRow="0" w:firstColumn="0" w:lastColumn="0" w:oddVBand="0" w:evenVBand="0" w:oddHBand="0" w:evenHBand="0" w:firstRowFirstColumn="0" w:firstRowLastColumn="0" w:lastRowFirstColumn="0" w:lastRowLastColumn="0"/>
              <w:rPr>
                <w:szCs w:val="20"/>
              </w:rPr>
            </w:pPr>
            <w:r w:rsidRPr="00AA22F2">
              <w:rPr>
                <w:szCs w:val="20"/>
              </w:rPr>
              <w:t xml:space="preserve">Sensibiliser les riverains (écoles, agriculteurs) sur les risques de cohabitation avec les engins ; </w:t>
            </w:r>
          </w:p>
          <w:p w14:paraId="62CAE608" w14:textId="48734AA8" w:rsidR="006D1412" w:rsidRPr="00AA22F2" w:rsidRDefault="006D1412" w:rsidP="006D1412">
            <w:pPr>
              <w:cnfStyle w:val="000000000000" w:firstRow="0" w:lastRow="0" w:firstColumn="0" w:lastColumn="0" w:oddVBand="0" w:evenVBand="0" w:oddHBand="0" w:evenHBand="0" w:firstRowFirstColumn="0" w:firstRowLastColumn="0" w:lastRowFirstColumn="0" w:lastRowLastColumn="0"/>
              <w:rPr>
                <w:szCs w:val="20"/>
              </w:rPr>
            </w:pPr>
            <w:r w:rsidRPr="00AA22F2">
              <w:rPr>
                <w:szCs w:val="20"/>
              </w:rPr>
              <w:t>Maintenir une présence d’agents de sécurité ou de circulation aux heures critiques.</w:t>
            </w:r>
          </w:p>
        </w:tc>
        <w:tc>
          <w:tcPr>
            <w:tcW w:w="0" w:type="auto"/>
            <w:hideMark/>
          </w:tcPr>
          <w:p w14:paraId="6BCADC47" w14:textId="77777777" w:rsidR="006D1412" w:rsidRPr="00AA22F2" w:rsidRDefault="006D1412" w:rsidP="006D1412">
            <w:pPr>
              <w:cnfStyle w:val="000000000000" w:firstRow="0" w:lastRow="0" w:firstColumn="0" w:lastColumn="0" w:oddVBand="0" w:evenVBand="0" w:oddHBand="0" w:evenHBand="0" w:firstRowFirstColumn="0" w:firstRowLastColumn="0" w:lastRowFirstColumn="0" w:lastRowLastColumn="0"/>
              <w:rPr>
                <w:szCs w:val="20"/>
              </w:rPr>
            </w:pPr>
            <w:r w:rsidRPr="00AA22F2">
              <w:rPr>
                <w:szCs w:val="20"/>
              </w:rPr>
              <w:t xml:space="preserve">Nb d’affichages et panneaux visibles ; </w:t>
            </w:r>
          </w:p>
          <w:p w14:paraId="515DF2E8" w14:textId="77777777" w:rsidR="006D1412" w:rsidRPr="00AA22F2" w:rsidRDefault="006D1412" w:rsidP="006D1412">
            <w:pPr>
              <w:cnfStyle w:val="000000000000" w:firstRow="0" w:lastRow="0" w:firstColumn="0" w:lastColumn="0" w:oddVBand="0" w:evenVBand="0" w:oddHBand="0" w:evenHBand="0" w:firstRowFirstColumn="0" w:firstRowLastColumn="0" w:lastRowFirstColumn="0" w:lastRowLastColumn="0"/>
              <w:rPr>
                <w:szCs w:val="20"/>
              </w:rPr>
            </w:pPr>
            <w:r w:rsidRPr="00AA22F2">
              <w:rPr>
                <w:szCs w:val="20"/>
              </w:rPr>
              <w:t xml:space="preserve">Nb de séances de sensibilisation communautaire ; </w:t>
            </w:r>
          </w:p>
          <w:p w14:paraId="1CE7B652" w14:textId="576659FD" w:rsidR="006D1412" w:rsidRPr="00AA22F2" w:rsidRDefault="006D1412" w:rsidP="006D1412">
            <w:pPr>
              <w:cnfStyle w:val="000000000000" w:firstRow="0" w:lastRow="0" w:firstColumn="0" w:lastColumn="0" w:oddVBand="0" w:evenVBand="0" w:oddHBand="0" w:evenHBand="0" w:firstRowFirstColumn="0" w:firstRowLastColumn="0" w:lastRowFirstColumn="0" w:lastRowLastColumn="0"/>
              <w:rPr>
                <w:szCs w:val="20"/>
              </w:rPr>
            </w:pPr>
            <w:r w:rsidRPr="00AA22F2">
              <w:rPr>
                <w:szCs w:val="20"/>
              </w:rPr>
              <w:t>Nb de postes de régulation actifs.</w:t>
            </w:r>
          </w:p>
        </w:tc>
        <w:tc>
          <w:tcPr>
            <w:tcW w:w="0" w:type="auto"/>
            <w:hideMark/>
          </w:tcPr>
          <w:p w14:paraId="004A3379" w14:textId="77777777" w:rsidR="006D1412" w:rsidRPr="00AA22F2" w:rsidRDefault="006D1412" w:rsidP="006D1412">
            <w:pPr>
              <w:cnfStyle w:val="000000000000" w:firstRow="0" w:lastRow="0" w:firstColumn="0" w:lastColumn="0" w:oddVBand="0" w:evenVBand="0" w:oddHBand="0" w:evenHBand="0" w:firstRowFirstColumn="0" w:firstRowLastColumn="0" w:lastRowFirstColumn="0" w:lastRowLastColumn="0"/>
              <w:rPr>
                <w:szCs w:val="20"/>
              </w:rPr>
            </w:pPr>
            <w:r w:rsidRPr="00AA22F2">
              <w:rPr>
                <w:szCs w:val="20"/>
              </w:rPr>
              <w:t>EPC / Sous-traitants / ONDA</w:t>
            </w:r>
          </w:p>
        </w:tc>
        <w:tc>
          <w:tcPr>
            <w:tcW w:w="0" w:type="auto"/>
            <w:hideMark/>
          </w:tcPr>
          <w:p w14:paraId="39A5479A" w14:textId="7FA66A63" w:rsidR="006D1412" w:rsidRPr="00AA22F2" w:rsidRDefault="006D1412" w:rsidP="006D1412">
            <w:pPr>
              <w:cnfStyle w:val="000000000000" w:firstRow="0" w:lastRow="0" w:firstColumn="0" w:lastColumn="0" w:oddVBand="0" w:evenVBand="0" w:oddHBand="0" w:evenHBand="0" w:firstRowFirstColumn="0" w:firstRowLastColumn="0" w:lastRowFirstColumn="0" w:lastRowLastColumn="0"/>
              <w:rPr>
                <w:szCs w:val="20"/>
              </w:rPr>
            </w:pPr>
            <w:r w:rsidRPr="00BC1745">
              <w:rPr>
                <w:szCs w:val="20"/>
              </w:rPr>
              <w:t>Bureau de contrôle / Consultant de supervision mandaté par l’ONDA</w:t>
            </w:r>
          </w:p>
        </w:tc>
        <w:tc>
          <w:tcPr>
            <w:tcW w:w="0" w:type="auto"/>
            <w:hideMark/>
          </w:tcPr>
          <w:p w14:paraId="14B8C3F4" w14:textId="77777777" w:rsidR="006D1412" w:rsidRPr="00AA22F2" w:rsidRDefault="006D1412" w:rsidP="006D1412">
            <w:pPr>
              <w:cnfStyle w:val="000000000000" w:firstRow="0" w:lastRow="0" w:firstColumn="0" w:lastColumn="0" w:oddVBand="0" w:evenVBand="0" w:oddHBand="0" w:evenHBand="0" w:firstRowFirstColumn="0" w:firstRowLastColumn="0" w:lastRowFirstColumn="0" w:lastRowLastColumn="0"/>
              <w:rPr>
                <w:szCs w:val="20"/>
              </w:rPr>
            </w:pPr>
            <w:r w:rsidRPr="00AA22F2">
              <w:rPr>
                <w:szCs w:val="20"/>
              </w:rPr>
              <w:t>ONDA</w:t>
            </w:r>
          </w:p>
        </w:tc>
        <w:tc>
          <w:tcPr>
            <w:tcW w:w="0" w:type="auto"/>
            <w:hideMark/>
          </w:tcPr>
          <w:p w14:paraId="0F4223D0" w14:textId="77777777" w:rsidR="006D1412" w:rsidRPr="00AA22F2" w:rsidRDefault="006D1412" w:rsidP="006D1412">
            <w:pPr>
              <w:cnfStyle w:val="000000000000" w:firstRow="0" w:lastRow="0" w:firstColumn="0" w:lastColumn="0" w:oddVBand="0" w:evenVBand="0" w:oddHBand="0" w:evenHBand="0" w:firstRowFirstColumn="0" w:firstRowLastColumn="0" w:lastRowFirstColumn="0" w:lastRowLastColumn="0"/>
              <w:rPr>
                <w:szCs w:val="20"/>
              </w:rPr>
            </w:pPr>
            <w:r w:rsidRPr="00AA22F2">
              <w:rPr>
                <w:szCs w:val="20"/>
              </w:rPr>
              <w:t>Quotidien</w:t>
            </w:r>
          </w:p>
        </w:tc>
        <w:tc>
          <w:tcPr>
            <w:tcW w:w="0" w:type="auto"/>
            <w:hideMark/>
          </w:tcPr>
          <w:p w14:paraId="35A6F778" w14:textId="1F2CEBED" w:rsidR="006D1412" w:rsidRDefault="00FD2AE7" w:rsidP="006D1412">
            <w:pPr>
              <w:cnfStyle w:val="000000000000" w:firstRow="0" w:lastRow="0" w:firstColumn="0" w:lastColumn="0" w:oddVBand="0" w:evenVBand="0" w:oddHBand="0" w:evenHBand="0" w:firstRowFirstColumn="0" w:firstRowLastColumn="0" w:lastRowFirstColumn="0" w:lastRowLastColumn="0"/>
              <w:rPr>
                <w:szCs w:val="20"/>
              </w:rPr>
            </w:pPr>
            <w:r w:rsidRPr="00FD2AE7">
              <w:rPr>
                <w:szCs w:val="20"/>
              </w:rPr>
              <w:t>1 500 MAD / panneau</w:t>
            </w:r>
          </w:p>
          <w:p w14:paraId="366A639C" w14:textId="77777777" w:rsidR="00FD2AE7" w:rsidRDefault="00FD2AE7" w:rsidP="006D1412">
            <w:pPr>
              <w:cnfStyle w:val="000000000000" w:firstRow="0" w:lastRow="0" w:firstColumn="0" w:lastColumn="0" w:oddVBand="0" w:evenVBand="0" w:oddHBand="0" w:evenHBand="0" w:firstRowFirstColumn="0" w:firstRowLastColumn="0" w:lastRowFirstColumn="0" w:lastRowLastColumn="0"/>
              <w:rPr>
                <w:szCs w:val="20"/>
              </w:rPr>
            </w:pPr>
          </w:p>
          <w:p w14:paraId="119CC156" w14:textId="77777777" w:rsidR="00FD2AE7" w:rsidRDefault="00FD2AE7" w:rsidP="006D1412">
            <w:pPr>
              <w:cnfStyle w:val="000000000000" w:firstRow="0" w:lastRow="0" w:firstColumn="0" w:lastColumn="0" w:oddVBand="0" w:evenVBand="0" w:oddHBand="0" w:evenHBand="0" w:firstRowFirstColumn="0" w:firstRowLastColumn="0" w:lastRowFirstColumn="0" w:lastRowLastColumn="0"/>
              <w:rPr>
                <w:szCs w:val="20"/>
              </w:rPr>
            </w:pPr>
          </w:p>
          <w:p w14:paraId="64EEBA21" w14:textId="77777777" w:rsidR="00FD2AE7" w:rsidRDefault="00FD2AE7" w:rsidP="006D1412">
            <w:pPr>
              <w:cnfStyle w:val="000000000000" w:firstRow="0" w:lastRow="0" w:firstColumn="0" w:lastColumn="0" w:oddVBand="0" w:evenVBand="0" w:oddHBand="0" w:evenHBand="0" w:firstRowFirstColumn="0" w:firstRowLastColumn="0" w:lastRowFirstColumn="0" w:lastRowLastColumn="0"/>
              <w:rPr>
                <w:szCs w:val="20"/>
              </w:rPr>
            </w:pPr>
          </w:p>
          <w:p w14:paraId="4C5E69FF" w14:textId="77777777" w:rsidR="00FD2AE7" w:rsidRDefault="00FD2AE7" w:rsidP="006D1412">
            <w:pPr>
              <w:cnfStyle w:val="000000000000" w:firstRow="0" w:lastRow="0" w:firstColumn="0" w:lastColumn="0" w:oddVBand="0" w:evenVBand="0" w:oddHBand="0" w:evenHBand="0" w:firstRowFirstColumn="0" w:firstRowLastColumn="0" w:lastRowFirstColumn="0" w:lastRowLastColumn="0"/>
              <w:rPr>
                <w:szCs w:val="20"/>
              </w:rPr>
            </w:pPr>
            <w:r w:rsidRPr="00FD2AE7">
              <w:rPr>
                <w:szCs w:val="20"/>
              </w:rPr>
              <w:t>4 000 MAD / campagne locale</w:t>
            </w:r>
          </w:p>
          <w:p w14:paraId="107254D1" w14:textId="77777777" w:rsidR="00FD2AE7" w:rsidRDefault="00FD2AE7" w:rsidP="006D1412">
            <w:pPr>
              <w:cnfStyle w:val="000000000000" w:firstRow="0" w:lastRow="0" w:firstColumn="0" w:lastColumn="0" w:oddVBand="0" w:evenVBand="0" w:oddHBand="0" w:evenHBand="0" w:firstRowFirstColumn="0" w:firstRowLastColumn="0" w:lastRowFirstColumn="0" w:lastRowLastColumn="0"/>
              <w:rPr>
                <w:szCs w:val="20"/>
              </w:rPr>
            </w:pPr>
          </w:p>
          <w:p w14:paraId="7AB58AC8" w14:textId="77777777" w:rsidR="00FD2AE7" w:rsidRDefault="00FD2AE7" w:rsidP="006D1412">
            <w:pPr>
              <w:cnfStyle w:val="000000000000" w:firstRow="0" w:lastRow="0" w:firstColumn="0" w:lastColumn="0" w:oddVBand="0" w:evenVBand="0" w:oddHBand="0" w:evenHBand="0" w:firstRowFirstColumn="0" w:firstRowLastColumn="0" w:lastRowFirstColumn="0" w:lastRowLastColumn="0"/>
              <w:rPr>
                <w:szCs w:val="20"/>
              </w:rPr>
            </w:pPr>
          </w:p>
          <w:p w14:paraId="77649091" w14:textId="3CD36F06" w:rsidR="00FD2AE7" w:rsidRPr="00AA22F2" w:rsidRDefault="00334477" w:rsidP="006D1412">
            <w:pPr>
              <w:cnfStyle w:val="000000000000" w:firstRow="0" w:lastRow="0" w:firstColumn="0" w:lastColumn="0" w:oddVBand="0" w:evenVBand="0" w:oddHBand="0" w:evenHBand="0" w:firstRowFirstColumn="0" w:firstRowLastColumn="0" w:lastRowFirstColumn="0" w:lastRowLastColumn="0"/>
              <w:rPr>
                <w:szCs w:val="20"/>
              </w:rPr>
            </w:pPr>
            <w:r w:rsidRPr="00334477">
              <w:rPr>
                <w:szCs w:val="20"/>
              </w:rPr>
              <w:t>4 000 MAD / agent / mois</w:t>
            </w:r>
          </w:p>
        </w:tc>
      </w:tr>
      <w:tr w:rsidR="00CB6B6C" w:rsidRPr="008A72E6" w14:paraId="617CBD6A" w14:textId="77777777" w:rsidTr="00774FC4">
        <w:tc>
          <w:tcPr>
            <w:cnfStyle w:val="001000000000" w:firstRow="0" w:lastRow="0" w:firstColumn="1" w:lastColumn="0" w:oddVBand="0" w:evenVBand="0" w:oddHBand="0" w:evenHBand="0" w:firstRowFirstColumn="0" w:firstRowLastColumn="0" w:lastRowFirstColumn="0" w:lastRowLastColumn="0"/>
            <w:tcW w:w="0" w:type="auto"/>
            <w:vMerge/>
            <w:hideMark/>
          </w:tcPr>
          <w:p w14:paraId="07F58AC9" w14:textId="77777777" w:rsidR="006D1412" w:rsidRPr="00AA22F2" w:rsidRDefault="006D1412" w:rsidP="006D1412">
            <w:pPr>
              <w:rPr>
                <w:szCs w:val="20"/>
              </w:rPr>
            </w:pPr>
          </w:p>
        </w:tc>
        <w:tc>
          <w:tcPr>
            <w:tcW w:w="0" w:type="auto"/>
            <w:hideMark/>
          </w:tcPr>
          <w:p w14:paraId="71D9FADD" w14:textId="77777777" w:rsidR="006D1412" w:rsidRPr="00AA22F2" w:rsidRDefault="006D1412" w:rsidP="006D1412">
            <w:pPr>
              <w:cnfStyle w:val="000000000000" w:firstRow="0" w:lastRow="0" w:firstColumn="0" w:lastColumn="0" w:oddVBand="0" w:evenVBand="0" w:oddHBand="0" w:evenHBand="0" w:firstRowFirstColumn="0" w:firstRowLastColumn="0" w:lastRowFirstColumn="0" w:lastRowLastColumn="0"/>
              <w:rPr>
                <w:b/>
                <w:bCs/>
                <w:szCs w:val="20"/>
              </w:rPr>
            </w:pPr>
            <w:r w:rsidRPr="00AA22F2">
              <w:rPr>
                <w:b/>
                <w:bCs/>
                <w:szCs w:val="20"/>
              </w:rPr>
              <w:t>Compenser</w:t>
            </w:r>
          </w:p>
        </w:tc>
        <w:tc>
          <w:tcPr>
            <w:tcW w:w="0" w:type="auto"/>
            <w:hideMark/>
          </w:tcPr>
          <w:p w14:paraId="32F75DD1" w14:textId="77777777" w:rsidR="006D1412" w:rsidRPr="00AA22F2" w:rsidRDefault="006D1412" w:rsidP="006D1412">
            <w:pPr>
              <w:cnfStyle w:val="000000000000" w:firstRow="0" w:lastRow="0" w:firstColumn="0" w:lastColumn="0" w:oddVBand="0" w:evenVBand="0" w:oddHBand="0" w:evenHBand="0" w:firstRowFirstColumn="0" w:firstRowLastColumn="0" w:lastRowFirstColumn="0" w:lastRowLastColumn="0"/>
              <w:rPr>
                <w:szCs w:val="20"/>
              </w:rPr>
            </w:pPr>
            <w:r w:rsidRPr="00AA22F2">
              <w:rPr>
                <w:szCs w:val="20"/>
              </w:rPr>
              <w:t xml:space="preserve">Réhabiliter ou renforcer les accotements et chemins communautaires détériorés par le trafic de chantier ; </w:t>
            </w:r>
          </w:p>
          <w:p w14:paraId="5279D2D1" w14:textId="213C69D4" w:rsidR="006D1412" w:rsidRPr="00AA22F2" w:rsidRDefault="006D1412" w:rsidP="006D1412">
            <w:pPr>
              <w:cnfStyle w:val="000000000000" w:firstRow="0" w:lastRow="0" w:firstColumn="0" w:lastColumn="0" w:oddVBand="0" w:evenVBand="0" w:oddHBand="0" w:evenHBand="0" w:firstRowFirstColumn="0" w:firstRowLastColumn="0" w:lastRowFirstColumn="0" w:lastRowLastColumn="0"/>
              <w:rPr>
                <w:szCs w:val="20"/>
              </w:rPr>
            </w:pPr>
            <w:r w:rsidRPr="00AA22F2">
              <w:rPr>
                <w:szCs w:val="20"/>
              </w:rPr>
              <w:lastRenderedPageBreak/>
              <w:t>Installer temporairement des ralentisseurs dans les zones de cohabitation.</w:t>
            </w:r>
          </w:p>
        </w:tc>
        <w:tc>
          <w:tcPr>
            <w:tcW w:w="0" w:type="auto"/>
            <w:hideMark/>
          </w:tcPr>
          <w:p w14:paraId="61413AAB" w14:textId="77777777" w:rsidR="006D1412" w:rsidRPr="00AA22F2" w:rsidRDefault="006D1412" w:rsidP="006D1412">
            <w:pPr>
              <w:cnfStyle w:val="000000000000" w:firstRow="0" w:lastRow="0" w:firstColumn="0" w:lastColumn="0" w:oddVBand="0" w:evenVBand="0" w:oddHBand="0" w:evenHBand="0" w:firstRowFirstColumn="0" w:firstRowLastColumn="0" w:lastRowFirstColumn="0" w:lastRowLastColumn="0"/>
              <w:rPr>
                <w:szCs w:val="20"/>
              </w:rPr>
            </w:pPr>
            <w:r w:rsidRPr="00AA22F2">
              <w:rPr>
                <w:szCs w:val="20"/>
              </w:rPr>
              <w:lastRenderedPageBreak/>
              <w:t>Longueur de routes réhabilitées (m) ; -</w:t>
            </w:r>
          </w:p>
          <w:p w14:paraId="2699705F" w14:textId="75A44CC8" w:rsidR="006D1412" w:rsidRPr="00AA22F2" w:rsidRDefault="006D1412" w:rsidP="006D1412">
            <w:pPr>
              <w:cnfStyle w:val="000000000000" w:firstRow="0" w:lastRow="0" w:firstColumn="0" w:lastColumn="0" w:oddVBand="0" w:evenVBand="0" w:oddHBand="0" w:evenHBand="0" w:firstRowFirstColumn="0" w:firstRowLastColumn="0" w:lastRowFirstColumn="0" w:lastRowLastColumn="0"/>
              <w:rPr>
                <w:szCs w:val="20"/>
              </w:rPr>
            </w:pPr>
            <w:r w:rsidRPr="00AA22F2">
              <w:rPr>
                <w:szCs w:val="20"/>
              </w:rPr>
              <w:t xml:space="preserve">Nb d’aménagements de ralentissement réalisés </w:t>
            </w:r>
          </w:p>
        </w:tc>
        <w:tc>
          <w:tcPr>
            <w:tcW w:w="0" w:type="auto"/>
            <w:hideMark/>
          </w:tcPr>
          <w:p w14:paraId="6778BB2F" w14:textId="77777777" w:rsidR="006D1412" w:rsidRPr="00AA22F2" w:rsidRDefault="006D1412" w:rsidP="006D1412">
            <w:pPr>
              <w:cnfStyle w:val="000000000000" w:firstRow="0" w:lastRow="0" w:firstColumn="0" w:lastColumn="0" w:oddVBand="0" w:evenVBand="0" w:oddHBand="0" w:evenHBand="0" w:firstRowFirstColumn="0" w:firstRowLastColumn="0" w:lastRowFirstColumn="0" w:lastRowLastColumn="0"/>
              <w:rPr>
                <w:szCs w:val="20"/>
              </w:rPr>
            </w:pPr>
            <w:r w:rsidRPr="00AA22F2">
              <w:rPr>
                <w:szCs w:val="20"/>
              </w:rPr>
              <w:t>ONDA / EPC</w:t>
            </w:r>
          </w:p>
        </w:tc>
        <w:tc>
          <w:tcPr>
            <w:tcW w:w="0" w:type="auto"/>
            <w:hideMark/>
          </w:tcPr>
          <w:p w14:paraId="1DB1EFA4" w14:textId="3FE27255" w:rsidR="006D1412" w:rsidRPr="00AA22F2" w:rsidRDefault="006D1412" w:rsidP="006D1412">
            <w:pPr>
              <w:cnfStyle w:val="000000000000" w:firstRow="0" w:lastRow="0" w:firstColumn="0" w:lastColumn="0" w:oddVBand="0" w:evenVBand="0" w:oddHBand="0" w:evenHBand="0" w:firstRowFirstColumn="0" w:firstRowLastColumn="0" w:lastRowFirstColumn="0" w:lastRowLastColumn="0"/>
              <w:rPr>
                <w:szCs w:val="20"/>
              </w:rPr>
            </w:pPr>
            <w:r w:rsidRPr="00BC1745">
              <w:rPr>
                <w:szCs w:val="20"/>
              </w:rPr>
              <w:t>Bureau de contrôle / Consultant de supervision mandaté par l’ONDA</w:t>
            </w:r>
          </w:p>
        </w:tc>
        <w:tc>
          <w:tcPr>
            <w:tcW w:w="0" w:type="auto"/>
            <w:hideMark/>
          </w:tcPr>
          <w:p w14:paraId="4E4319D4" w14:textId="6C2F6824" w:rsidR="006D1412" w:rsidRPr="00AA22F2" w:rsidRDefault="006D1412" w:rsidP="006D1412">
            <w:pPr>
              <w:cnfStyle w:val="000000000000" w:firstRow="0" w:lastRow="0" w:firstColumn="0" w:lastColumn="0" w:oddVBand="0" w:evenVBand="0" w:oddHBand="0" w:evenHBand="0" w:firstRowFirstColumn="0" w:firstRowLastColumn="0" w:lastRowFirstColumn="0" w:lastRowLastColumn="0"/>
              <w:rPr>
                <w:szCs w:val="20"/>
              </w:rPr>
            </w:pPr>
            <w:r w:rsidRPr="00AA22F2">
              <w:rPr>
                <w:szCs w:val="20"/>
              </w:rPr>
              <w:t xml:space="preserve">ONDA </w:t>
            </w:r>
          </w:p>
        </w:tc>
        <w:tc>
          <w:tcPr>
            <w:tcW w:w="0" w:type="auto"/>
            <w:hideMark/>
          </w:tcPr>
          <w:p w14:paraId="7F42BD24" w14:textId="77777777" w:rsidR="006D1412" w:rsidRPr="00AA22F2" w:rsidRDefault="006D1412" w:rsidP="006D1412">
            <w:pPr>
              <w:cnfStyle w:val="000000000000" w:firstRow="0" w:lastRow="0" w:firstColumn="0" w:lastColumn="0" w:oddVBand="0" w:evenVBand="0" w:oddHBand="0" w:evenHBand="0" w:firstRowFirstColumn="0" w:firstRowLastColumn="0" w:lastRowFirstColumn="0" w:lastRowLastColumn="0"/>
              <w:rPr>
                <w:szCs w:val="20"/>
              </w:rPr>
            </w:pPr>
            <w:r w:rsidRPr="00AA22F2">
              <w:rPr>
                <w:szCs w:val="20"/>
              </w:rPr>
              <w:t>Selon avancement du chantier</w:t>
            </w:r>
          </w:p>
        </w:tc>
        <w:tc>
          <w:tcPr>
            <w:tcW w:w="0" w:type="auto"/>
            <w:hideMark/>
          </w:tcPr>
          <w:p w14:paraId="41A82898" w14:textId="1963AD5B" w:rsidR="006D1412" w:rsidRDefault="00334477" w:rsidP="006D1412">
            <w:pPr>
              <w:cnfStyle w:val="000000000000" w:firstRow="0" w:lastRow="0" w:firstColumn="0" w:lastColumn="0" w:oddVBand="0" w:evenVBand="0" w:oddHBand="0" w:evenHBand="0" w:firstRowFirstColumn="0" w:firstRowLastColumn="0" w:lastRowFirstColumn="0" w:lastRowLastColumn="0"/>
              <w:rPr>
                <w:szCs w:val="20"/>
              </w:rPr>
            </w:pPr>
            <w:r w:rsidRPr="00334477">
              <w:rPr>
                <w:szCs w:val="20"/>
              </w:rPr>
              <w:t>150 MAD / ml</w:t>
            </w:r>
          </w:p>
          <w:p w14:paraId="4DD75AB4" w14:textId="77777777" w:rsidR="00334477" w:rsidRDefault="00334477" w:rsidP="006D1412">
            <w:pPr>
              <w:cnfStyle w:val="000000000000" w:firstRow="0" w:lastRow="0" w:firstColumn="0" w:lastColumn="0" w:oddVBand="0" w:evenVBand="0" w:oddHBand="0" w:evenHBand="0" w:firstRowFirstColumn="0" w:firstRowLastColumn="0" w:lastRowFirstColumn="0" w:lastRowLastColumn="0"/>
              <w:rPr>
                <w:szCs w:val="20"/>
              </w:rPr>
            </w:pPr>
          </w:p>
          <w:p w14:paraId="7EACDA9C" w14:textId="77777777" w:rsidR="00334477" w:rsidRDefault="00334477" w:rsidP="006D1412">
            <w:pPr>
              <w:cnfStyle w:val="000000000000" w:firstRow="0" w:lastRow="0" w:firstColumn="0" w:lastColumn="0" w:oddVBand="0" w:evenVBand="0" w:oddHBand="0" w:evenHBand="0" w:firstRowFirstColumn="0" w:firstRowLastColumn="0" w:lastRowFirstColumn="0" w:lastRowLastColumn="0"/>
              <w:rPr>
                <w:szCs w:val="20"/>
              </w:rPr>
            </w:pPr>
          </w:p>
          <w:p w14:paraId="070846A0" w14:textId="77777777" w:rsidR="00334477" w:rsidRDefault="00334477" w:rsidP="006D1412">
            <w:pPr>
              <w:cnfStyle w:val="000000000000" w:firstRow="0" w:lastRow="0" w:firstColumn="0" w:lastColumn="0" w:oddVBand="0" w:evenVBand="0" w:oddHBand="0" w:evenHBand="0" w:firstRowFirstColumn="0" w:firstRowLastColumn="0" w:lastRowFirstColumn="0" w:lastRowLastColumn="0"/>
              <w:rPr>
                <w:szCs w:val="20"/>
              </w:rPr>
            </w:pPr>
          </w:p>
          <w:p w14:paraId="3E5F1A32" w14:textId="5E655B47" w:rsidR="00334477" w:rsidRPr="00AA22F2" w:rsidRDefault="00334477" w:rsidP="006D1412">
            <w:pPr>
              <w:cnfStyle w:val="000000000000" w:firstRow="0" w:lastRow="0" w:firstColumn="0" w:lastColumn="0" w:oddVBand="0" w:evenVBand="0" w:oddHBand="0" w:evenHBand="0" w:firstRowFirstColumn="0" w:firstRowLastColumn="0" w:lastRowFirstColumn="0" w:lastRowLastColumn="0"/>
              <w:rPr>
                <w:szCs w:val="20"/>
              </w:rPr>
            </w:pPr>
            <w:r w:rsidRPr="00334477">
              <w:rPr>
                <w:szCs w:val="20"/>
              </w:rPr>
              <w:lastRenderedPageBreak/>
              <w:t>1 500 MAD / ralentisseur caoutchouc modulable</w:t>
            </w:r>
          </w:p>
        </w:tc>
      </w:tr>
      <w:tr w:rsidR="00BC12AD" w:rsidRPr="008A72E6" w14:paraId="0C6CCEE1" w14:textId="77777777" w:rsidTr="00774FC4">
        <w:tc>
          <w:tcPr>
            <w:cnfStyle w:val="001000000000" w:firstRow="0" w:lastRow="0" w:firstColumn="1" w:lastColumn="0" w:oddVBand="0" w:evenVBand="0" w:oddHBand="0" w:evenHBand="0" w:firstRowFirstColumn="0" w:firstRowLastColumn="0" w:lastRowFirstColumn="0" w:lastRowLastColumn="0"/>
            <w:tcW w:w="0" w:type="auto"/>
            <w:vMerge w:val="restart"/>
            <w:hideMark/>
          </w:tcPr>
          <w:p w14:paraId="479FF887" w14:textId="77777777" w:rsidR="00BC12AD" w:rsidRPr="00AA22F2" w:rsidRDefault="00BC12AD" w:rsidP="006D1412">
            <w:pPr>
              <w:rPr>
                <w:szCs w:val="20"/>
              </w:rPr>
            </w:pPr>
            <w:r w:rsidRPr="00AA22F2">
              <w:rPr>
                <w:szCs w:val="20"/>
              </w:rPr>
              <w:lastRenderedPageBreak/>
              <w:t>Transmission de maladies communautaires (MST/VIH, infections respiratoires)</w:t>
            </w:r>
          </w:p>
        </w:tc>
        <w:tc>
          <w:tcPr>
            <w:tcW w:w="0" w:type="auto"/>
            <w:hideMark/>
          </w:tcPr>
          <w:p w14:paraId="5F0E2B3B" w14:textId="77777777" w:rsidR="00BC12AD" w:rsidRPr="00AA22F2" w:rsidRDefault="00BC12AD" w:rsidP="006D1412">
            <w:pPr>
              <w:cnfStyle w:val="000000000000" w:firstRow="0" w:lastRow="0" w:firstColumn="0" w:lastColumn="0" w:oddVBand="0" w:evenVBand="0" w:oddHBand="0" w:evenHBand="0" w:firstRowFirstColumn="0" w:firstRowLastColumn="0" w:lastRowFirstColumn="0" w:lastRowLastColumn="0"/>
              <w:rPr>
                <w:b/>
                <w:bCs/>
                <w:szCs w:val="20"/>
              </w:rPr>
            </w:pPr>
            <w:r w:rsidRPr="00AA22F2">
              <w:rPr>
                <w:b/>
                <w:bCs/>
                <w:szCs w:val="20"/>
              </w:rPr>
              <w:t>Éviter</w:t>
            </w:r>
          </w:p>
        </w:tc>
        <w:tc>
          <w:tcPr>
            <w:tcW w:w="0" w:type="auto"/>
            <w:hideMark/>
          </w:tcPr>
          <w:p w14:paraId="4147E5F6" w14:textId="77777777" w:rsidR="00BC12AD" w:rsidRPr="00AA22F2" w:rsidRDefault="00BC12AD" w:rsidP="006D1412">
            <w:pPr>
              <w:cnfStyle w:val="000000000000" w:firstRow="0" w:lastRow="0" w:firstColumn="0" w:lastColumn="0" w:oddVBand="0" w:evenVBand="0" w:oddHBand="0" w:evenHBand="0" w:firstRowFirstColumn="0" w:firstRowLastColumn="0" w:lastRowFirstColumn="0" w:lastRowLastColumn="0"/>
              <w:rPr>
                <w:szCs w:val="20"/>
              </w:rPr>
            </w:pPr>
            <w:r w:rsidRPr="00AA22F2">
              <w:rPr>
                <w:szCs w:val="20"/>
              </w:rPr>
              <w:t xml:space="preserve">Sélectionner des prestataires disposant de certificats médicaux à jour ; </w:t>
            </w:r>
          </w:p>
          <w:p w14:paraId="43D72A7B" w14:textId="77777777" w:rsidR="00BC12AD" w:rsidRPr="00AA22F2" w:rsidRDefault="00BC12AD" w:rsidP="006D1412">
            <w:pPr>
              <w:cnfStyle w:val="000000000000" w:firstRow="0" w:lastRow="0" w:firstColumn="0" w:lastColumn="0" w:oddVBand="0" w:evenVBand="0" w:oddHBand="0" w:evenHBand="0" w:firstRowFirstColumn="0" w:firstRowLastColumn="0" w:lastRowFirstColumn="0" w:lastRowLastColumn="0"/>
              <w:rPr>
                <w:szCs w:val="20"/>
              </w:rPr>
            </w:pPr>
            <w:r w:rsidRPr="00AA22F2">
              <w:rPr>
                <w:szCs w:val="20"/>
              </w:rPr>
              <w:t xml:space="preserve">Interdire le recrutement de travailleurs présentant des maladies contagieuses non traitées ; </w:t>
            </w:r>
          </w:p>
          <w:p w14:paraId="3D9D6E9E" w14:textId="5822A314" w:rsidR="00BC12AD" w:rsidRPr="00AA22F2" w:rsidRDefault="00BC12AD" w:rsidP="006D1412">
            <w:pPr>
              <w:cnfStyle w:val="000000000000" w:firstRow="0" w:lastRow="0" w:firstColumn="0" w:lastColumn="0" w:oddVBand="0" w:evenVBand="0" w:oddHBand="0" w:evenHBand="0" w:firstRowFirstColumn="0" w:firstRowLastColumn="0" w:lastRowFirstColumn="0" w:lastRowLastColumn="0"/>
              <w:rPr>
                <w:szCs w:val="20"/>
              </w:rPr>
            </w:pPr>
            <w:r w:rsidRPr="00AA22F2">
              <w:rPr>
                <w:szCs w:val="20"/>
              </w:rPr>
              <w:t>Prévoir des espaces d’hébergement distincts pour réduire la promiscuité.</w:t>
            </w:r>
          </w:p>
        </w:tc>
        <w:tc>
          <w:tcPr>
            <w:tcW w:w="0" w:type="auto"/>
            <w:hideMark/>
          </w:tcPr>
          <w:p w14:paraId="0F33F303" w14:textId="77777777" w:rsidR="00BC12AD" w:rsidRPr="00AA22F2" w:rsidRDefault="00BC12AD" w:rsidP="006D1412">
            <w:pPr>
              <w:cnfStyle w:val="000000000000" w:firstRow="0" w:lastRow="0" w:firstColumn="0" w:lastColumn="0" w:oddVBand="0" w:evenVBand="0" w:oddHBand="0" w:evenHBand="0" w:firstRowFirstColumn="0" w:firstRowLastColumn="0" w:lastRowFirstColumn="0" w:lastRowLastColumn="0"/>
              <w:rPr>
                <w:szCs w:val="20"/>
              </w:rPr>
            </w:pPr>
            <w:r w:rsidRPr="00AA22F2">
              <w:rPr>
                <w:szCs w:val="20"/>
              </w:rPr>
              <w:t xml:space="preserve">Nb de contrôles médicaux réalisés ; </w:t>
            </w:r>
          </w:p>
          <w:p w14:paraId="5BA98AB9" w14:textId="19D433F9" w:rsidR="00BC12AD" w:rsidRPr="00AA22F2" w:rsidRDefault="00BC12AD" w:rsidP="006D1412">
            <w:pPr>
              <w:cnfStyle w:val="000000000000" w:firstRow="0" w:lastRow="0" w:firstColumn="0" w:lastColumn="0" w:oddVBand="0" w:evenVBand="0" w:oddHBand="0" w:evenHBand="0" w:firstRowFirstColumn="0" w:firstRowLastColumn="0" w:lastRowFirstColumn="0" w:lastRowLastColumn="0"/>
              <w:rPr>
                <w:szCs w:val="20"/>
              </w:rPr>
            </w:pPr>
            <w:r w:rsidRPr="00AA22F2">
              <w:rPr>
                <w:szCs w:val="20"/>
              </w:rPr>
              <w:t>Nb de prestataires conformes.</w:t>
            </w:r>
          </w:p>
        </w:tc>
        <w:tc>
          <w:tcPr>
            <w:tcW w:w="0" w:type="auto"/>
            <w:hideMark/>
          </w:tcPr>
          <w:p w14:paraId="123BC78E" w14:textId="77777777" w:rsidR="00BC12AD" w:rsidRPr="00AA22F2" w:rsidRDefault="00BC12AD" w:rsidP="006D1412">
            <w:pPr>
              <w:cnfStyle w:val="000000000000" w:firstRow="0" w:lastRow="0" w:firstColumn="0" w:lastColumn="0" w:oddVBand="0" w:evenVBand="0" w:oddHBand="0" w:evenHBand="0" w:firstRowFirstColumn="0" w:firstRowLastColumn="0" w:lastRowFirstColumn="0" w:lastRowLastColumn="0"/>
              <w:rPr>
                <w:szCs w:val="20"/>
              </w:rPr>
            </w:pPr>
            <w:r w:rsidRPr="00AA22F2">
              <w:rPr>
                <w:szCs w:val="20"/>
              </w:rPr>
              <w:t>EPC / Sous-traitants</w:t>
            </w:r>
          </w:p>
        </w:tc>
        <w:tc>
          <w:tcPr>
            <w:tcW w:w="0" w:type="auto"/>
            <w:hideMark/>
          </w:tcPr>
          <w:p w14:paraId="1A635F17" w14:textId="78415ED0" w:rsidR="00BC12AD" w:rsidRPr="00AA22F2" w:rsidRDefault="00BC12AD" w:rsidP="006D1412">
            <w:pPr>
              <w:cnfStyle w:val="000000000000" w:firstRow="0" w:lastRow="0" w:firstColumn="0" w:lastColumn="0" w:oddVBand="0" w:evenVBand="0" w:oddHBand="0" w:evenHBand="0" w:firstRowFirstColumn="0" w:firstRowLastColumn="0" w:lastRowFirstColumn="0" w:lastRowLastColumn="0"/>
              <w:rPr>
                <w:szCs w:val="20"/>
              </w:rPr>
            </w:pPr>
            <w:r w:rsidRPr="00BC1745">
              <w:rPr>
                <w:szCs w:val="20"/>
              </w:rPr>
              <w:t>Bureau de contrôle / Consultant de supervision mandaté par l’ONDA</w:t>
            </w:r>
          </w:p>
        </w:tc>
        <w:tc>
          <w:tcPr>
            <w:tcW w:w="0" w:type="auto"/>
            <w:hideMark/>
          </w:tcPr>
          <w:p w14:paraId="7143BA49" w14:textId="77777777" w:rsidR="00BC12AD" w:rsidRPr="00AA22F2" w:rsidRDefault="00BC12AD" w:rsidP="006D1412">
            <w:pPr>
              <w:cnfStyle w:val="000000000000" w:firstRow="0" w:lastRow="0" w:firstColumn="0" w:lastColumn="0" w:oddVBand="0" w:evenVBand="0" w:oddHBand="0" w:evenHBand="0" w:firstRowFirstColumn="0" w:firstRowLastColumn="0" w:lastRowFirstColumn="0" w:lastRowLastColumn="0"/>
              <w:rPr>
                <w:szCs w:val="20"/>
              </w:rPr>
            </w:pPr>
            <w:r w:rsidRPr="00AA22F2">
              <w:rPr>
                <w:szCs w:val="20"/>
              </w:rPr>
              <w:t>ONDA</w:t>
            </w:r>
          </w:p>
        </w:tc>
        <w:tc>
          <w:tcPr>
            <w:tcW w:w="0" w:type="auto"/>
            <w:hideMark/>
          </w:tcPr>
          <w:p w14:paraId="4E4E86EB" w14:textId="77777777" w:rsidR="00BC12AD" w:rsidRPr="00AA22F2" w:rsidRDefault="00BC12AD" w:rsidP="006D1412">
            <w:pPr>
              <w:cnfStyle w:val="000000000000" w:firstRow="0" w:lastRow="0" w:firstColumn="0" w:lastColumn="0" w:oddVBand="0" w:evenVBand="0" w:oddHBand="0" w:evenHBand="0" w:firstRowFirstColumn="0" w:firstRowLastColumn="0" w:lastRowFirstColumn="0" w:lastRowLastColumn="0"/>
              <w:rPr>
                <w:szCs w:val="20"/>
              </w:rPr>
            </w:pPr>
            <w:r w:rsidRPr="00AA22F2">
              <w:rPr>
                <w:szCs w:val="20"/>
              </w:rPr>
              <w:t>Avant le démarrage des travaux</w:t>
            </w:r>
          </w:p>
        </w:tc>
        <w:tc>
          <w:tcPr>
            <w:tcW w:w="0" w:type="auto"/>
            <w:hideMark/>
          </w:tcPr>
          <w:p w14:paraId="036DDB0B" w14:textId="1FFE2FC3" w:rsidR="00BC12AD" w:rsidRDefault="00BC12AD" w:rsidP="006D1412">
            <w:pPr>
              <w:cnfStyle w:val="000000000000" w:firstRow="0" w:lastRow="0" w:firstColumn="0" w:lastColumn="0" w:oddVBand="0" w:evenVBand="0" w:oddHBand="0" w:evenHBand="0" w:firstRowFirstColumn="0" w:firstRowLastColumn="0" w:lastRowFirstColumn="0" w:lastRowLastColumn="0"/>
              <w:rPr>
                <w:szCs w:val="20"/>
              </w:rPr>
            </w:pPr>
            <w:r w:rsidRPr="00BC12AD">
              <w:rPr>
                <w:szCs w:val="20"/>
              </w:rPr>
              <w:t>Aucun coût spécifique</w:t>
            </w:r>
          </w:p>
          <w:p w14:paraId="43DB384B" w14:textId="77777777" w:rsidR="00BC12AD" w:rsidRDefault="00BC12AD" w:rsidP="006D1412">
            <w:pPr>
              <w:cnfStyle w:val="000000000000" w:firstRow="0" w:lastRow="0" w:firstColumn="0" w:lastColumn="0" w:oddVBand="0" w:evenVBand="0" w:oddHBand="0" w:evenHBand="0" w:firstRowFirstColumn="0" w:firstRowLastColumn="0" w:lastRowFirstColumn="0" w:lastRowLastColumn="0"/>
              <w:rPr>
                <w:szCs w:val="20"/>
              </w:rPr>
            </w:pPr>
          </w:p>
          <w:p w14:paraId="58B0926C" w14:textId="77777777" w:rsidR="00BC12AD" w:rsidRDefault="00BC12AD" w:rsidP="006D1412">
            <w:pPr>
              <w:cnfStyle w:val="000000000000" w:firstRow="0" w:lastRow="0" w:firstColumn="0" w:lastColumn="0" w:oddVBand="0" w:evenVBand="0" w:oddHBand="0" w:evenHBand="0" w:firstRowFirstColumn="0" w:firstRowLastColumn="0" w:lastRowFirstColumn="0" w:lastRowLastColumn="0"/>
              <w:rPr>
                <w:szCs w:val="20"/>
              </w:rPr>
            </w:pPr>
          </w:p>
          <w:p w14:paraId="30975EBA" w14:textId="77777777" w:rsidR="00BC12AD" w:rsidRDefault="00BC12AD" w:rsidP="006D1412">
            <w:pPr>
              <w:cnfStyle w:val="000000000000" w:firstRow="0" w:lastRow="0" w:firstColumn="0" w:lastColumn="0" w:oddVBand="0" w:evenVBand="0" w:oddHBand="0" w:evenHBand="0" w:firstRowFirstColumn="0" w:firstRowLastColumn="0" w:lastRowFirstColumn="0" w:lastRowLastColumn="0"/>
              <w:rPr>
                <w:szCs w:val="20"/>
              </w:rPr>
            </w:pPr>
          </w:p>
          <w:p w14:paraId="51A91E95" w14:textId="77777777" w:rsidR="00BC12AD" w:rsidRDefault="00BC12AD" w:rsidP="006D1412">
            <w:pPr>
              <w:cnfStyle w:val="000000000000" w:firstRow="0" w:lastRow="0" w:firstColumn="0" w:lastColumn="0" w:oddVBand="0" w:evenVBand="0" w:oddHBand="0" w:evenHBand="0" w:firstRowFirstColumn="0" w:firstRowLastColumn="0" w:lastRowFirstColumn="0" w:lastRowLastColumn="0"/>
              <w:rPr>
                <w:szCs w:val="20"/>
              </w:rPr>
            </w:pPr>
          </w:p>
          <w:p w14:paraId="2DD65E60" w14:textId="77777777" w:rsidR="00BC12AD" w:rsidRDefault="00BC12AD" w:rsidP="006D1412">
            <w:pPr>
              <w:cnfStyle w:val="000000000000" w:firstRow="0" w:lastRow="0" w:firstColumn="0" w:lastColumn="0" w:oddVBand="0" w:evenVBand="0" w:oddHBand="0" w:evenHBand="0" w:firstRowFirstColumn="0" w:firstRowLastColumn="0" w:lastRowFirstColumn="0" w:lastRowLastColumn="0"/>
              <w:rPr>
                <w:szCs w:val="20"/>
              </w:rPr>
            </w:pPr>
          </w:p>
          <w:p w14:paraId="359ABDB6" w14:textId="7B6DBB6F" w:rsidR="00BC12AD" w:rsidRPr="00AA22F2" w:rsidRDefault="00BC12AD" w:rsidP="006D1412">
            <w:pPr>
              <w:cnfStyle w:val="000000000000" w:firstRow="0" w:lastRow="0" w:firstColumn="0" w:lastColumn="0" w:oddVBand="0" w:evenVBand="0" w:oddHBand="0" w:evenHBand="0" w:firstRowFirstColumn="0" w:firstRowLastColumn="0" w:lastRowFirstColumn="0" w:lastRowLastColumn="0"/>
              <w:rPr>
                <w:szCs w:val="20"/>
              </w:rPr>
            </w:pPr>
            <w:r w:rsidRPr="00BC12AD">
              <w:rPr>
                <w:szCs w:val="20"/>
              </w:rPr>
              <w:t>3 000 MAD / unité d’aménagement</w:t>
            </w:r>
          </w:p>
        </w:tc>
      </w:tr>
      <w:tr w:rsidR="00BC12AD" w:rsidRPr="008A72E6" w14:paraId="4552BDCF" w14:textId="77777777" w:rsidTr="00774FC4">
        <w:tc>
          <w:tcPr>
            <w:cnfStyle w:val="001000000000" w:firstRow="0" w:lastRow="0" w:firstColumn="1" w:lastColumn="0" w:oddVBand="0" w:evenVBand="0" w:oddHBand="0" w:evenHBand="0" w:firstRowFirstColumn="0" w:firstRowLastColumn="0" w:lastRowFirstColumn="0" w:lastRowLastColumn="0"/>
            <w:tcW w:w="0" w:type="auto"/>
            <w:vMerge/>
            <w:hideMark/>
          </w:tcPr>
          <w:p w14:paraId="45494676" w14:textId="77777777" w:rsidR="00BC12AD" w:rsidRPr="00AA22F2" w:rsidRDefault="00BC12AD" w:rsidP="006D1412">
            <w:pPr>
              <w:rPr>
                <w:szCs w:val="20"/>
              </w:rPr>
            </w:pPr>
          </w:p>
        </w:tc>
        <w:tc>
          <w:tcPr>
            <w:tcW w:w="0" w:type="auto"/>
            <w:hideMark/>
          </w:tcPr>
          <w:p w14:paraId="2720E39A" w14:textId="77777777" w:rsidR="00BC12AD" w:rsidRPr="00AA22F2" w:rsidRDefault="00BC12AD" w:rsidP="006D1412">
            <w:pPr>
              <w:cnfStyle w:val="000000000000" w:firstRow="0" w:lastRow="0" w:firstColumn="0" w:lastColumn="0" w:oddVBand="0" w:evenVBand="0" w:oddHBand="0" w:evenHBand="0" w:firstRowFirstColumn="0" w:firstRowLastColumn="0" w:lastRowFirstColumn="0" w:lastRowLastColumn="0"/>
              <w:rPr>
                <w:b/>
                <w:bCs/>
                <w:szCs w:val="20"/>
              </w:rPr>
            </w:pPr>
            <w:r w:rsidRPr="00AA22F2">
              <w:rPr>
                <w:b/>
                <w:bCs/>
                <w:szCs w:val="20"/>
              </w:rPr>
              <w:t>Réduire</w:t>
            </w:r>
          </w:p>
        </w:tc>
        <w:tc>
          <w:tcPr>
            <w:tcW w:w="0" w:type="auto"/>
            <w:hideMark/>
          </w:tcPr>
          <w:p w14:paraId="01EF98D7" w14:textId="77777777" w:rsidR="00BC12AD" w:rsidRPr="00AA22F2" w:rsidRDefault="00BC12AD" w:rsidP="006D1412">
            <w:pPr>
              <w:cnfStyle w:val="000000000000" w:firstRow="0" w:lastRow="0" w:firstColumn="0" w:lastColumn="0" w:oddVBand="0" w:evenVBand="0" w:oddHBand="0" w:evenHBand="0" w:firstRowFirstColumn="0" w:firstRowLastColumn="0" w:lastRowFirstColumn="0" w:lastRowLastColumn="0"/>
              <w:rPr>
                <w:szCs w:val="20"/>
              </w:rPr>
            </w:pPr>
            <w:r w:rsidRPr="00AA22F2">
              <w:rPr>
                <w:szCs w:val="20"/>
              </w:rPr>
              <w:t xml:space="preserve">Mettre en place un protocole sanitaire (lavage des mains, masques, ventilation, nettoyage des dortoirs) ; </w:t>
            </w:r>
          </w:p>
          <w:p w14:paraId="79E751A3" w14:textId="77777777" w:rsidR="00BC12AD" w:rsidRPr="00AA22F2" w:rsidRDefault="00BC12AD" w:rsidP="006D1412">
            <w:pPr>
              <w:cnfStyle w:val="000000000000" w:firstRow="0" w:lastRow="0" w:firstColumn="0" w:lastColumn="0" w:oddVBand="0" w:evenVBand="0" w:oddHBand="0" w:evenHBand="0" w:firstRowFirstColumn="0" w:firstRowLastColumn="0" w:lastRowFirstColumn="0" w:lastRowLastColumn="0"/>
              <w:rPr>
                <w:szCs w:val="20"/>
              </w:rPr>
            </w:pPr>
            <w:r w:rsidRPr="00AA22F2">
              <w:rPr>
                <w:szCs w:val="20"/>
              </w:rPr>
              <w:t xml:space="preserve">Fournir des équipements de </w:t>
            </w:r>
            <w:r w:rsidRPr="00AA22F2">
              <w:rPr>
                <w:szCs w:val="20"/>
              </w:rPr>
              <w:lastRenderedPageBreak/>
              <w:t xml:space="preserve">protection individuelle (EPI sanitaires) ; </w:t>
            </w:r>
          </w:p>
          <w:p w14:paraId="33C85068" w14:textId="1901ECD4" w:rsidR="00BC12AD" w:rsidRPr="00AA22F2" w:rsidRDefault="00BC12AD" w:rsidP="006D1412">
            <w:pPr>
              <w:cnfStyle w:val="000000000000" w:firstRow="0" w:lastRow="0" w:firstColumn="0" w:lastColumn="0" w:oddVBand="0" w:evenVBand="0" w:oddHBand="0" w:evenHBand="0" w:firstRowFirstColumn="0" w:firstRowLastColumn="0" w:lastRowFirstColumn="0" w:lastRowLastColumn="0"/>
              <w:rPr>
                <w:szCs w:val="20"/>
              </w:rPr>
            </w:pPr>
            <w:r w:rsidRPr="00AA22F2">
              <w:rPr>
                <w:szCs w:val="20"/>
              </w:rPr>
              <w:t>Assurer un suivi médical périodique des travailleurs.</w:t>
            </w:r>
          </w:p>
        </w:tc>
        <w:tc>
          <w:tcPr>
            <w:tcW w:w="0" w:type="auto"/>
            <w:hideMark/>
          </w:tcPr>
          <w:p w14:paraId="26C167DF" w14:textId="77777777" w:rsidR="00BC12AD" w:rsidRPr="00AA22F2" w:rsidRDefault="00BC12AD" w:rsidP="006D1412">
            <w:pPr>
              <w:cnfStyle w:val="000000000000" w:firstRow="0" w:lastRow="0" w:firstColumn="0" w:lastColumn="0" w:oddVBand="0" w:evenVBand="0" w:oddHBand="0" w:evenHBand="0" w:firstRowFirstColumn="0" w:firstRowLastColumn="0" w:lastRowFirstColumn="0" w:lastRowLastColumn="0"/>
              <w:rPr>
                <w:szCs w:val="20"/>
              </w:rPr>
            </w:pPr>
            <w:r w:rsidRPr="00AA22F2">
              <w:rPr>
                <w:szCs w:val="20"/>
              </w:rPr>
              <w:lastRenderedPageBreak/>
              <w:t>- Nb de contrôles sanitaires effectués ; - Taux de conformité hygiène/EPI.</w:t>
            </w:r>
          </w:p>
        </w:tc>
        <w:tc>
          <w:tcPr>
            <w:tcW w:w="0" w:type="auto"/>
            <w:hideMark/>
          </w:tcPr>
          <w:p w14:paraId="64BA916E" w14:textId="77777777" w:rsidR="00BC12AD" w:rsidRPr="00AA22F2" w:rsidRDefault="00BC12AD" w:rsidP="006D1412">
            <w:pPr>
              <w:cnfStyle w:val="000000000000" w:firstRow="0" w:lastRow="0" w:firstColumn="0" w:lastColumn="0" w:oddVBand="0" w:evenVBand="0" w:oddHBand="0" w:evenHBand="0" w:firstRowFirstColumn="0" w:firstRowLastColumn="0" w:lastRowFirstColumn="0" w:lastRowLastColumn="0"/>
              <w:rPr>
                <w:szCs w:val="20"/>
              </w:rPr>
            </w:pPr>
            <w:r w:rsidRPr="00AA22F2">
              <w:rPr>
                <w:szCs w:val="20"/>
              </w:rPr>
              <w:t>EPC / Sous-traitants</w:t>
            </w:r>
          </w:p>
        </w:tc>
        <w:tc>
          <w:tcPr>
            <w:tcW w:w="0" w:type="auto"/>
            <w:hideMark/>
          </w:tcPr>
          <w:p w14:paraId="646A045F" w14:textId="57CC63E6" w:rsidR="00BC12AD" w:rsidRPr="00AA22F2" w:rsidRDefault="00BC12AD" w:rsidP="006D1412">
            <w:pPr>
              <w:cnfStyle w:val="000000000000" w:firstRow="0" w:lastRow="0" w:firstColumn="0" w:lastColumn="0" w:oddVBand="0" w:evenVBand="0" w:oddHBand="0" w:evenHBand="0" w:firstRowFirstColumn="0" w:firstRowLastColumn="0" w:lastRowFirstColumn="0" w:lastRowLastColumn="0"/>
              <w:rPr>
                <w:szCs w:val="20"/>
              </w:rPr>
            </w:pPr>
            <w:r w:rsidRPr="00BC1745">
              <w:rPr>
                <w:szCs w:val="20"/>
              </w:rPr>
              <w:t>Bureau de contrôle / Consultant de supervision mandaté par l’ONDA</w:t>
            </w:r>
          </w:p>
        </w:tc>
        <w:tc>
          <w:tcPr>
            <w:tcW w:w="0" w:type="auto"/>
            <w:hideMark/>
          </w:tcPr>
          <w:p w14:paraId="5236A16E" w14:textId="0D1B1F1F" w:rsidR="00BC12AD" w:rsidRPr="00AA22F2" w:rsidRDefault="00BC12AD" w:rsidP="006D1412">
            <w:pPr>
              <w:cnfStyle w:val="000000000000" w:firstRow="0" w:lastRow="0" w:firstColumn="0" w:lastColumn="0" w:oddVBand="0" w:evenVBand="0" w:oddHBand="0" w:evenHBand="0" w:firstRowFirstColumn="0" w:firstRowLastColumn="0" w:lastRowFirstColumn="0" w:lastRowLastColumn="0"/>
              <w:rPr>
                <w:szCs w:val="20"/>
              </w:rPr>
            </w:pPr>
            <w:r w:rsidRPr="00AA22F2">
              <w:rPr>
                <w:szCs w:val="20"/>
              </w:rPr>
              <w:t xml:space="preserve">ONDA </w:t>
            </w:r>
          </w:p>
        </w:tc>
        <w:tc>
          <w:tcPr>
            <w:tcW w:w="0" w:type="auto"/>
            <w:hideMark/>
          </w:tcPr>
          <w:p w14:paraId="14DBC88A" w14:textId="77777777" w:rsidR="00BC12AD" w:rsidRPr="00AA22F2" w:rsidRDefault="00BC12AD" w:rsidP="006D1412">
            <w:pPr>
              <w:cnfStyle w:val="000000000000" w:firstRow="0" w:lastRow="0" w:firstColumn="0" w:lastColumn="0" w:oddVBand="0" w:evenVBand="0" w:oddHBand="0" w:evenHBand="0" w:firstRowFirstColumn="0" w:firstRowLastColumn="0" w:lastRowFirstColumn="0" w:lastRowLastColumn="0"/>
              <w:rPr>
                <w:szCs w:val="20"/>
              </w:rPr>
            </w:pPr>
            <w:r w:rsidRPr="00AA22F2">
              <w:rPr>
                <w:szCs w:val="20"/>
              </w:rPr>
              <w:t>Mensuel</w:t>
            </w:r>
          </w:p>
        </w:tc>
        <w:tc>
          <w:tcPr>
            <w:tcW w:w="0" w:type="auto"/>
            <w:hideMark/>
          </w:tcPr>
          <w:p w14:paraId="3EB8E574" w14:textId="757B0C0D" w:rsidR="00BC12AD" w:rsidRDefault="00BC12AD" w:rsidP="006D1412">
            <w:pPr>
              <w:cnfStyle w:val="000000000000" w:firstRow="0" w:lastRow="0" w:firstColumn="0" w:lastColumn="0" w:oddVBand="0" w:evenVBand="0" w:oddHBand="0" w:evenHBand="0" w:firstRowFirstColumn="0" w:firstRowLastColumn="0" w:lastRowFirstColumn="0" w:lastRowLastColumn="0"/>
              <w:rPr>
                <w:szCs w:val="20"/>
              </w:rPr>
            </w:pPr>
            <w:r w:rsidRPr="00BC12AD">
              <w:rPr>
                <w:szCs w:val="20"/>
              </w:rPr>
              <w:t>5 000 MAD / mois</w:t>
            </w:r>
            <w:r>
              <w:rPr>
                <w:szCs w:val="20"/>
              </w:rPr>
              <w:t xml:space="preserve"> (</w:t>
            </w:r>
            <w:r w:rsidRPr="00BC12AD">
              <w:rPr>
                <w:szCs w:val="20"/>
              </w:rPr>
              <w:t>Achat et renouvellement EPI sanitaires + produits d’entretien + affichage procédures.</w:t>
            </w:r>
            <w:r>
              <w:rPr>
                <w:szCs w:val="20"/>
              </w:rPr>
              <w:t>)</w:t>
            </w:r>
          </w:p>
          <w:p w14:paraId="00A33E1A" w14:textId="77777777" w:rsidR="00BC12AD" w:rsidRDefault="00BC12AD" w:rsidP="006D1412">
            <w:pPr>
              <w:cnfStyle w:val="000000000000" w:firstRow="0" w:lastRow="0" w:firstColumn="0" w:lastColumn="0" w:oddVBand="0" w:evenVBand="0" w:oddHBand="0" w:evenHBand="0" w:firstRowFirstColumn="0" w:firstRowLastColumn="0" w:lastRowFirstColumn="0" w:lastRowLastColumn="0"/>
              <w:rPr>
                <w:szCs w:val="20"/>
              </w:rPr>
            </w:pPr>
            <w:r w:rsidRPr="00BC12AD">
              <w:rPr>
                <w:szCs w:val="20"/>
              </w:rPr>
              <w:t>10 MAD / kit / personne / semaine</w:t>
            </w:r>
          </w:p>
          <w:p w14:paraId="58EFD283" w14:textId="77777777" w:rsidR="00BC12AD" w:rsidRDefault="00BC12AD" w:rsidP="006D1412">
            <w:pPr>
              <w:cnfStyle w:val="000000000000" w:firstRow="0" w:lastRow="0" w:firstColumn="0" w:lastColumn="0" w:oddVBand="0" w:evenVBand="0" w:oddHBand="0" w:evenHBand="0" w:firstRowFirstColumn="0" w:firstRowLastColumn="0" w:lastRowFirstColumn="0" w:lastRowLastColumn="0"/>
              <w:rPr>
                <w:szCs w:val="20"/>
              </w:rPr>
            </w:pPr>
          </w:p>
          <w:p w14:paraId="3AC159A2" w14:textId="77777777" w:rsidR="00BC12AD" w:rsidRDefault="00BC12AD" w:rsidP="006D1412">
            <w:pPr>
              <w:cnfStyle w:val="000000000000" w:firstRow="0" w:lastRow="0" w:firstColumn="0" w:lastColumn="0" w:oddVBand="0" w:evenVBand="0" w:oddHBand="0" w:evenHBand="0" w:firstRowFirstColumn="0" w:firstRowLastColumn="0" w:lastRowFirstColumn="0" w:lastRowLastColumn="0"/>
              <w:rPr>
                <w:szCs w:val="20"/>
              </w:rPr>
            </w:pPr>
          </w:p>
          <w:p w14:paraId="4EA905DD" w14:textId="1193E245" w:rsidR="00BC12AD" w:rsidRPr="00AA22F2" w:rsidRDefault="00BC12AD" w:rsidP="006D1412">
            <w:pPr>
              <w:cnfStyle w:val="000000000000" w:firstRow="0" w:lastRow="0" w:firstColumn="0" w:lastColumn="0" w:oddVBand="0" w:evenVBand="0" w:oddHBand="0" w:evenHBand="0" w:firstRowFirstColumn="0" w:firstRowLastColumn="0" w:lastRowFirstColumn="0" w:lastRowLastColumn="0"/>
              <w:rPr>
                <w:szCs w:val="20"/>
              </w:rPr>
            </w:pPr>
            <w:r>
              <w:rPr>
                <w:szCs w:val="20"/>
              </w:rPr>
              <w:t>Médecin de travail (18000MAD/mois)</w:t>
            </w:r>
          </w:p>
        </w:tc>
      </w:tr>
      <w:tr w:rsidR="00BC12AD" w:rsidRPr="008A72E6" w14:paraId="12D6092F" w14:textId="77777777" w:rsidTr="00BC12AD">
        <w:trPr>
          <w:trHeight w:val="1586"/>
        </w:trPr>
        <w:tc>
          <w:tcPr>
            <w:cnfStyle w:val="001000000000" w:firstRow="0" w:lastRow="0" w:firstColumn="1" w:lastColumn="0" w:oddVBand="0" w:evenVBand="0" w:oddHBand="0" w:evenHBand="0" w:firstRowFirstColumn="0" w:firstRowLastColumn="0" w:lastRowFirstColumn="0" w:lastRowLastColumn="0"/>
            <w:tcW w:w="0" w:type="auto"/>
            <w:vMerge/>
            <w:hideMark/>
          </w:tcPr>
          <w:p w14:paraId="124895D4" w14:textId="77777777" w:rsidR="00BC12AD" w:rsidRPr="00AA22F2" w:rsidRDefault="00BC12AD" w:rsidP="006D1412">
            <w:pPr>
              <w:rPr>
                <w:szCs w:val="20"/>
              </w:rPr>
            </w:pPr>
          </w:p>
        </w:tc>
        <w:tc>
          <w:tcPr>
            <w:tcW w:w="0" w:type="auto"/>
            <w:vMerge w:val="restart"/>
            <w:hideMark/>
          </w:tcPr>
          <w:p w14:paraId="05A8A183" w14:textId="77777777" w:rsidR="00BC12AD" w:rsidRPr="00AA22F2" w:rsidRDefault="00BC12AD" w:rsidP="006D1412">
            <w:pPr>
              <w:cnfStyle w:val="000000000000" w:firstRow="0" w:lastRow="0" w:firstColumn="0" w:lastColumn="0" w:oddVBand="0" w:evenVBand="0" w:oddHBand="0" w:evenHBand="0" w:firstRowFirstColumn="0" w:firstRowLastColumn="0" w:lastRowFirstColumn="0" w:lastRowLastColumn="0"/>
              <w:rPr>
                <w:b/>
                <w:bCs/>
                <w:szCs w:val="20"/>
              </w:rPr>
            </w:pPr>
            <w:r w:rsidRPr="00AA22F2">
              <w:rPr>
                <w:b/>
                <w:bCs/>
                <w:szCs w:val="20"/>
              </w:rPr>
              <w:t>Atténuer</w:t>
            </w:r>
          </w:p>
        </w:tc>
        <w:tc>
          <w:tcPr>
            <w:tcW w:w="0" w:type="auto"/>
            <w:tcBorders>
              <w:bottom w:val="single" w:sz="4" w:space="0" w:color="B4C6E7" w:themeColor="accent1" w:themeTint="66"/>
            </w:tcBorders>
            <w:hideMark/>
          </w:tcPr>
          <w:p w14:paraId="3148DA9C" w14:textId="46EF742F" w:rsidR="00BC12AD" w:rsidRPr="00AA22F2" w:rsidRDefault="00BC12AD" w:rsidP="006D1412">
            <w:pPr>
              <w:cnfStyle w:val="000000000000" w:firstRow="0" w:lastRow="0" w:firstColumn="0" w:lastColumn="0" w:oddVBand="0" w:evenVBand="0" w:oddHBand="0" w:evenHBand="0" w:firstRowFirstColumn="0" w:firstRowLastColumn="0" w:lastRowFirstColumn="0" w:lastRowLastColumn="0"/>
              <w:rPr>
                <w:szCs w:val="20"/>
              </w:rPr>
            </w:pPr>
            <w:r w:rsidRPr="00AA22F2">
              <w:rPr>
                <w:szCs w:val="20"/>
              </w:rPr>
              <w:t xml:space="preserve">Organiser des campagnes de sensibilisation sur les MST/VIH et infections respiratoires ; </w:t>
            </w:r>
          </w:p>
        </w:tc>
        <w:tc>
          <w:tcPr>
            <w:tcW w:w="0" w:type="auto"/>
            <w:vMerge w:val="restart"/>
            <w:hideMark/>
          </w:tcPr>
          <w:p w14:paraId="46B1458E" w14:textId="77777777" w:rsidR="00BC12AD" w:rsidRPr="00AA22F2" w:rsidRDefault="00BC12AD" w:rsidP="006D1412">
            <w:pPr>
              <w:cnfStyle w:val="000000000000" w:firstRow="0" w:lastRow="0" w:firstColumn="0" w:lastColumn="0" w:oddVBand="0" w:evenVBand="0" w:oddHBand="0" w:evenHBand="0" w:firstRowFirstColumn="0" w:firstRowLastColumn="0" w:lastRowFirstColumn="0" w:lastRowLastColumn="0"/>
              <w:rPr>
                <w:szCs w:val="20"/>
              </w:rPr>
            </w:pPr>
            <w:r w:rsidRPr="00AA22F2">
              <w:rPr>
                <w:szCs w:val="20"/>
              </w:rPr>
              <w:t xml:space="preserve">Nb de sessions de sensibilisation ; </w:t>
            </w:r>
          </w:p>
          <w:p w14:paraId="52F7591B" w14:textId="61D86BED" w:rsidR="00BC12AD" w:rsidRPr="00AA22F2" w:rsidRDefault="00BC12AD" w:rsidP="006D1412">
            <w:pPr>
              <w:cnfStyle w:val="000000000000" w:firstRow="0" w:lastRow="0" w:firstColumn="0" w:lastColumn="0" w:oddVBand="0" w:evenVBand="0" w:oddHBand="0" w:evenHBand="0" w:firstRowFirstColumn="0" w:firstRowLastColumn="0" w:lastRowFirstColumn="0" w:lastRowLastColumn="0"/>
              <w:rPr>
                <w:szCs w:val="20"/>
              </w:rPr>
            </w:pPr>
            <w:r w:rsidRPr="00AA22F2">
              <w:rPr>
                <w:szCs w:val="20"/>
              </w:rPr>
              <w:t>Nb de travailleurs sensibilisés.</w:t>
            </w:r>
          </w:p>
        </w:tc>
        <w:tc>
          <w:tcPr>
            <w:tcW w:w="0" w:type="auto"/>
            <w:vMerge w:val="restart"/>
            <w:hideMark/>
          </w:tcPr>
          <w:p w14:paraId="762230C1" w14:textId="77777777" w:rsidR="00BC12AD" w:rsidRPr="00AA22F2" w:rsidRDefault="00BC12AD" w:rsidP="006D1412">
            <w:pPr>
              <w:cnfStyle w:val="000000000000" w:firstRow="0" w:lastRow="0" w:firstColumn="0" w:lastColumn="0" w:oddVBand="0" w:evenVBand="0" w:oddHBand="0" w:evenHBand="0" w:firstRowFirstColumn="0" w:firstRowLastColumn="0" w:lastRowFirstColumn="0" w:lastRowLastColumn="0"/>
              <w:rPr>
                <w:szCs w:val="20"/>
              </w:rPr>
            </w:pPr>
            <w:r w:rsidRPr="00AA22F2">
              <w:rPr>
                <w:szCs w:val="20"/>
              </w:rPr>
              <w:t>EPC / Sous-traitants</w:t>
            </w:r>
          </w:p>
        </w:tc>
        <w:tc>
          <w:tcPr>
            <w:tcW w:w="0" w:type="auto"/>
            <w:vMerge w:val="restart"/>
            <w:hideMark/>
          </w:tcPr>
          <w:p w14:paraId="18B5550D" w14:textId="3F74DC63" w:rsidR="00BC12AD" w:rsidRPr="00AA22F2" w:rsidRDefault="00BC12AD" w:rsidP="006D1412">
            <w:pPr>
              <w:cnfStyle w:val="000000000000" w:firstRow="0" w:lastRow="0" w:firstColumn="0" w:lastColumn="0" w:oddVBand="0" w:evenVBand="0" w:oddHBand="0" w:evenHBand="0" w:firstRowFirstColumn="0" w:firstRowLastColumn="0" w:lastRowFirstColumn="0" w:lastRowLastColumn="0"/>
              <w:rPr>
                <w:szCs w:val="20"/>
              </w:rPr>
            </w:pPr>
            <w:r w:rsidRPr="00BC1745">
              <w:rPr>
                <w:szCs w:val="20"/>
              </w:rPr>
              <w:t>Bureau de contrôle / Consultant de supervision mandaté par l’ONDA</w:t>
            </w:r>
          </w:p>
        </w:tc>
        <w:tc>
          <w:tcPr>
            <w:tcW w:w="0" w:type="auto"/>
            <w:vMerge w:val="restart"/>
            <w:hideMark/>
          </w:tcPr>
          <w:p w14:paraId="7F8C8DCA" w14:textId="77777777" w:rsidR="00BC12AD" w:rsidRPr="00AA22F2" w:rsidRDefault="00BC12AD" w:rsidP="006D1412">
            <w:pPr>
              <w:cnfStyle w:val="000000000000" w:firstRow="0" w:lastRow="0" w:firstColumn="0" w:lastColumn="0" w:oddVBand="0" w:evenVBand="0" w:oddHBand="0" w:evenHBand="0" w:firstRowFirstColumn="0" w:firstRowLastColumn="0" w:lastRowFirstColumn="0" w:lastRowLastColumn="0"/>
              <w:rPr>
                <w:szCs w:val="20"/>
              </w:rPr>
            </w:pPr>
            <w:r w:rsidRPr="00AA22F2">
              <w:rPr>
                <w:szCs w:val="20"/>
              </w:rPr>
              <w:t>ONDA</w:t>
            </w:r>
          </w:p>
        </w:tc>
        <w:tc>
          <w:tcPr>
            <w:tcW w:w="0" w:type="auto"/>
            <w:vMerge w:val="restart"/>
            <w:hideMark/>
          </w:tcPr>
          <w:p w14:paraId="4E2875D1" w14:textId="77777777" w:rsidR="00BC12AD" w:rsidRPr="00AA22F2" w:rsidRDefault="00BC12AD" w:rsidP="006D1412">
            <w:pPr>
              <w:cnfStyle w:val="000000000000" w:firstRow="0" w:lastRow="0" w:firstColumn="0" w:lastColumn="0" w:oddVBand="0" w:evenVBand="0" w:oddHBand="0" w:evenHBand="0" w:firstRowFirstColumn="0" w:firstRowLastColumn="0" w:lastRowFirstColumn="0" w:lastRowLastColumn="0"/>
              <w:rPr>
                <w:szCs w:val="20"/>
              </w:rPr>
            </w:pPr>
            <w:r w:rsidRPr="00AA22F2">
              <w:rPr>
                <w:szCs w:val="20"/>
              </w:rPr>
              <w:t>Trimestriel</w:t>
            </w:r>
          </w:p>
        </w:tc>
        <w:tc>
          <w:tcPr>
            <w:tcW w:w="0" w:type="auto"/>
            <w:tcBorders>
              <w:bottom w:val="single" w:sz="4" w:space="0" w:color="B4C6E7" w:themeColor="accent1" w:themeTint="66"/>
            </w:tcBorders>
            <w:hideMark/>
          </w:tcPr>
          <w:p w14:paraId="013CC173" w14:textId="0C8A421E" w:rsidR="00BC12AD" w:rsidRPr="00AA22F2" w:rsidRDefault="00A156D9" w:rsidP="006D1412">
            <w:pPr>
              <w:cnfStyle w:val="000000000000" w:firstRow="0" w:lastRow="0" w:firstColumn="0" w:lastColumn="0" w:oddVBand="0" w:evenVBand="0" w:oddHBand="0" w:evenHBand="0" w:firstRowFirstColumn="0" w:firstRowLastColumn="0" w:lastRowFirstColumn="0" w:lastRowLastColumn="0"/>
              <w:rPr>
                <w:szCs w:val="20"/>
              </w:rPr>
            </w:pPr>
            <w:r w:rsidRPr="00A156D9">
              <w:rPr>
                <w:szCs w:val="20"/>
              </w:rPr>
              <w:t>35 000 MAD / session</w:t>
            </w:r>
          </w:p>
        </w:tc>
      </w:tr>
      <w:tr w:rsidR="00BC12AD" w:rsidRPr="008A72E6" w14:paraId="00170685" w14:textId="77777777" w:rsidTr="00BC12AD">
        <w:trPr>
          <w:trHeight w:val="1334"/>
        </w:trPr>
        <w:tc>
          <w:tcPr>
            <w:cnfStyle w:val="001000000000" w:firstRow="0" w:lastRow="0" w:firstColumn="1" w:lastColumn="0" w:oddVBand="0" w:evenVBand="0" w:oddHBand="0" w:evenHBand="0" w:firstRowFirstColumn="0" w:firstRowLastColumn="0" w:lastRowFirstColumn="0" w:lastRowLastColumn="0"/>
            <w:tcW w:w="0" w:type="auto"/>
            <w:vMerge/>
          </w:tcPr>
          <w:p w14:paraId="3CC2906A" w14:textId="77777777" w:rsidR="00BC12AD" w:rsidRPr="00AA22F2" w:rsidRDefault="00BC12AD" w:rsidP="006D1412">
            <w:pPr>
              <w:rPr>
                <w:szCs w:val="20"/>
              </w:rPr>
            </w:pPr>
          </w:p>
        </w:tc>
        <w:tc>
          <w:tcPr>
            <w:tcW w:w="0" w:type="auto"/>
            <w:vMerge/>
          </w:tcPr>
          <w:p w14:paraId="0F2AF62C" w14:textId="77777777" w:rsidR="00BC12AD" w:rsidRPr="00AA22F2" w:rsidRDefault="00BC12AD" w:rsidP="006D1412">
            <w:pPr>
              <w:cnfStyle w:val="000000000000" w:firstRow="0" w:lastRow="0" w:firstColumn="0" w:lastColumn="0" w:oddVBand="0" w:evenVBand="0" w:oddHBand="0" w:evenHBand="0" w:firstRowFirstColumn="0" w:firstRowLastColumn="0" w:lastRowFirstColumn="0" w:lastRowLastColumn="0"/>
              <w:rPr>
                <w:b/>
                <w:bCs/>
                <w:szCs w:val="20"/>
              </w:rPr>
            </w:pPr>
          </w:p>
        </w:tc>
        <w:tc>
          <w:tcPr>
            <w:tcW w:w="0" w:type="auto"/>
            <w:tcBorders>
              <w:top w:val="single" w:sz="4" w:space="0" w:color="B4C6E7" w:themeColor="accent1" w:themeTint="66"/>
              <w:bottom w:val="single" w:sz="4" w:space="0" w:color="B4C6E7" w:themeColor="accent1" w:themeTint="66"/>
            </w:tcBorders>
          </w:tcPr>
          <w:p w14:paraId="7E32AA48" w14:textId="7EF14797" w:rsidR="00BC12AD" w:rsidRPr="00AA22F2" w:rsidRDefault="00BC12AD" w:rsidP="00BC12AD">
            <w:pPr>
              <w:cnfStyle w:val="000000000000" w:firstRow="0" w:lastRow="0" w:firstColumn="0" w:lastColumn="0" w:oddVBand="0" w:evenVBand="0" w:oddHBand="0" w:evenHBand="0" w:firstRowFirstColumn="0" w:firstRowLastColumn="0" w:lastRowFirstColumn="0" w:lastRowLastColumn="0"/>
              <w:rPr>
                <w:szCs w:val="20"/>
              </w:rPr>
            </w:pPr>
            <w:r w:rsidRPr="00AA22F2">
              <w:rPr>
                <w:szCs w:val="20"/>
              </w:rPr>
              <w:t xml:space="preserve">Distribuer du matériel de prévention (masques, dépliants) ; </w:t>
            </w:r>
          </w:p>
        </w:tc>
        <w:tc>
          <w:tcPr>
            <w:tcW w:w="0" w:type="auto"/>
            <w:vMerge/>
          </w:tcPr>
          <w:p w14:paraId="78BB841D" w14:textId="77777777" w:rsidR="00BC12AD" w:rsidRPr="00AA22F2" w:rsidRDefault="00BC12AD" w:rsidP="006D1412">
            <w:pPr>
              <w:cnfStyle w:val="000000000000" w:firstRow="0" w:lastRow="0" w:firstColumn="0" w:lastColumn="0" w:oddVBand="0" w:evenVBand="0" w:oddHBand="0" w:evenHBand="0" w:firstRowFirstColumn="0" w:firstRowLastColumn="0" w:lastRowFirstColumn="0" w:lastRowLastColumn="0"/>
              <w:rPr>
                <w:szCs w:val="20"/>
              </w:rPr>
            </w:pPr>
          </w:p>
        </w:tc>
        <w:tc>
          <w:tcPr>
            <w:tcW w:w="0" w:type="auto"/>
            <w:vMerge/>
          </w:tcPr>
          <w:p w14:paraId="4CC84565" w14:textId="77777777" w:rsidR="00BC12AD" w:rsidRPr="00AA22F2" w:rsidRDefault="00BC12AD" w:rsidP="006D1412">
            <w:pPr>
              <w:cnfStyle w:val="000000000000" w:firstRow="0" w:lastRow="0" w:firstColumn="0" w:lastColumn="0" w:oddVBand="0" w:evenVBand="0" w:oddHBand="0" w:evenHBand="0" w:firstRowFirstColumn="0" w:firstRowLastColumn="0" w:lastRowFirstColumn="0" w:lastRowLastColumn="0"/>
              <w:rPr>
                <w:szCs w:val="20"/>
              </w:rPr>
            </w:pPr>
          </w:p>
        </w:tc>
        <w:tc>
          <w:tcPr>
            <w:tcW w:w="0" w:type="auto"/>
            <w:vMerge/>
          </w:tcPr>
          <w:p w14:paraId="3A1B0D15" w14:textId="77777777" w:rsidR="00BC12AD" w:rsidRPr="00BC1745" w:rsidRDefault="00BC12AD" w:rsidP="006D1412">
            <w:pPr>
              <w:cnfStyle w:val="000000000000" w:firstRow="0" w:lastRow="0" w:firstColumn="0" w:lastColumn="0" w:oddVBand="0" w:evenVBand="0" w:oddHBand="0" w:evenHBand="0" w:firstRowFirstColumn="0" w:firstRowLastColumn="0" w:lastRowFirstColumn="0" w:lastRowLastColumn="0"/>
              <w:rPr>
                <w:szCs w:val="20"/>
              </w:rPr>
            </w:pPr>
          </w:p>
        </w:tc>
        <w:tc>
          <w:tcPr>
            <w:tcW w:w="0" w:type="auto"/>
            <w:vMerge/>
          </w:tcPr>
          <w:p w14:paraId="3AD1ACDB" w14:textId="77777777" w:rsidR="00BC12AD" w:rsidRPr="00AA22F2" w:rsidRDefault="00BC12AD" w:rsidP="006D1412">
            <w:pPr>
              <w:cnfStyle w:val="000000000000" w:firstRow="0" w:lastRow="0" w:firstColumn="0" w:lastColumn="0" w:oddVBand="0" w:evenVBand="0" w:oddHBand="0" w:evenHBand="0" w:firstRowFirstColumn="0" w:firstRowLastColumn="0" w:lastRowFirstColumn="0" w:lastRowLastColumn="0"/>
              <w:rPr>
                <w:szCs w:val="20"/>
              </w:rPr>
            </w:pPr>
          </w:p>
        </w:tc>
        <w:tc>
          <w:tcPr>
            <w:tcW w:w="0" w:type="auto"/>
            <w:vMerge/>
          </w:tcPr>
          <w:p w14:paraId="18E11950" w14:textId="77777777" w:rsidR="00BC12AD" w:rsidRPr="00AA22F2" w:rsidRDefault="00BC12AD" w:rsidP="006D1412">
            <w:pPr>
              <w:cnfStyle w:val="000000000000" w:firstRow="0" w:lastRow="0" w:firstColumn="0" w:lastColumn="0" w:oddVBand="0" w:evenVBand="0" w:oddHBand="0" w:evenHBand="0" w:firstRowFirstColumn="0" w:firstRowLastColumn="0" w:lastRowFirstColumn="0" w:lastRowLastColumn="0"/>
              <w:rPr>
                <w:szCs w:val="20"/>
              </w:rPr>
            </w:pPr>
          </w:p>
        </w:tc>
        <w:tc>
          <w:tcPr>
            <w:tcW w:w="0" w:type="auto"/>
            <w:vMerge w:val="restart"/>
            <w:tcBorders>
              <w:top w:val="single" w:sz="4" w:space="0" w:color="B4C6E7" w:themeColor="accent1" w:themeTint="66"/>
            </w:tcBorders>
          </w:tcPr>
          <w:p w14:paraId="58F7EE55" w14:textId="77777777" w:rsidR="00BC12AD" w:rsidRDefault="00A156D9" w:rsidP="006D1412">
            <w:pPr>
              <w:cnfStyle w:val="000000000000" w:firstRow="0" w:lastRow="0" w:firstColumn="0" w:lastColumn="0" w:oddVBand="0" w:evenVBand="0" w:oddHBand="0" w:evenHBand="0" w:firstRowFirstColumn="0" w:firstRowLastColumn="0" w:lastRowFirstColumn="0" w:lastRowLastColumn="0"/>
              <w:rPr>
                <w:szCs w:val="20"/>
              </w:rPr>
            </w:pPr>
            <w:r w:rsidRPr="00A156D9">
              <w:rPr>
                <w:szCs w:val="20"/>
              </w:rPr>
              <w:t>1 500 MAD / campagne</w:t>
            </w:r>
          </w:p>
          <w:p w14:paraId="2602C600" w14:textId="77777777" w:rsidR="00A156D9" w:rsidRDefault="00A156D9" w:rsidP="006D1412">
            <w:pPr>
              <w:cnfStyle w:val="000000000000" w:firstRow="0" w:lastRow="0" w:firstColumn="0" w:lastColumn="0" w:oddVBand="0" w:evenVBand="0" w:oddHBand="0" w:evenHBand="0" w:firstRowFirstColumn="0" w:firstRowLastColumn="0" w:lastRowFirstColumn="0" w:lastRowLastColumn="0"/>
              <w:rPr>
                <w:szCs w:val="20"/>
              </w:rPr>
            </w:pPr>
          </w:p>
          <w:p w14:paraId="4A803931" w14:textId="77777777" w:rsidR="00A156D9" w:rsidRDefault="00A156D9" w:rsidP="006D1412">
            <w:pPr>
              <w:cnfStyle w:val="000000000000" w:firstRow="0" w:lastRow="0" w:firstColumn="0" w:lastColumn="0" w:oddVBand="0" w:evenVBand="0" w:oddHBand="0" w:evenHBand="0" w:firstRowFirstColumn="0" w:firstRowLastColumn="0" w:lastRowFirstColumn="0" w:lastRowLastColumn="0"/>
              <w:rPr>
                <w:szCs w:val="20"/>
              </w:rPr>
            </w:pPr>
          </w:p>
          <w:p w14:paraId="0E94DE0B" w14:textId="323A169C" w:rsidR="00A156D9" w:rsidRPr="00AA22F2" w:rsidRDefault="00A156D9" w:rsidP="006D1412">
            <w:pPr>
              <w:cnfStyle w:val="000000000000" w:firstRow="0" w:lastRow="0" w:firstColumn="0" w:lastColumn="0" w:oddVBand="0" w:evenVBand="0" w:oddHBand="0" w:evenHBand="0" w:firstRowFirstColumn="0" w:firstRowLastColumn="0" w:lastRowFirstColumn="0" w:lastRowLastColumn="0"/>
              <w:rPr>
                <w:szCs w:val="20"/>
              </w:rPr>
            </w:pPr>
            <w:r w:rsidRPr="00A156D9">
              <w:rPr>
                <w:szCs w:val="20"/>
              </w:rPr>
              <w:t>5 000 MAD / session</w:t>
            </w:r>
          </w:p>
        </w:tc>
      </w:tr>
      <w:tr w:rsidR="00BC12AD" w:rsidRPr="008A72E6" w14:paraId="30CFA035" w14:textId="77777777" w:rsidTr="005A7661">
        <w:trPr>
          <w:trHeight w:val="1272"/>
        </w:trPr>
        <w:tc>
          <w:tcPr>
            <w:cnfStyle w:val="001000000000" w:firstRow="0" w:lastRow="0" w:firstColumn="1" w:lastColumn="0" w:oddVBand="0" w:evenVBand="0" w:oddHBand="0" w:evenHBand="0" w:firstRowFirstColumn="0" w:firstRowLastColumn="0" w:lastRowFirstColumn="0" w:lastRowLastColumn="0"/>
            <w:tcW w:w="0" w:type="auto"/>
            <w:vMerge/>
          </w:tcPr>
          <w:p w14:paraId="6E0F2FA1" w14:textId="77777777" w:rsidR="00BC12AD" w:rsidRPr="00AA22F2" w:rsidRDefault="00BC12AD" w:rsidP="006D1412">
            <w:pPr>
              <w:rPr>
                <w:szCs w:val="20"/>
              </w:rPr>
            </w:pPr>
          </w:p>
        </w:tc>
        <w:tc>
          <w:tcPr>
            <w:tcW w:w="0" w:type="auto"/>
            <w:vMerge/>
          </w:tcPr>
          <w:p w14:paraId="57A32394" w14:textId="77777777" w:rsidR="00BC12AD" w:rsidRPr="00AA22F2" w:rsidRDefault="00BC12AD" w:rsidP="006D1412">
            <w:pPr>
              <w:cnfStyle w:val="000000000000" w:firstRow="0" w:lastRow="0" w:firstColumn="0" w:lastColumn="0" w:oddVBand="0" w:evenVBand="0" w:oddHBand="0" w:evenHBand="0" w:firstRowFirstColumn="0" w:firstRowLastColumn="0" w:lastRowFirstColumn="0" w:lastRowLastColumn="0"/>
              <w:rPr>
                <w:b/>
                <w:bCs/>
                <w:szCs w:val="20"/>
              </w:rPr>
            </w:pPr>
          </w:p>
        </w:tc>
        <w:tc>
          <w:tcPr>
            <w:tcW w:w="0" w:type="auto"/>
            <w:tcBorders>
              <w:top w:val="single" w:sz="4" w:space="0" w:color="B4C6E7" w:themeColor="accent1" w:themeTint="66"/>
            </w:tcBorders>
          </w:tcPr>
          <w:p w14:paraId="2898DAC8" w14:textId="77777777" w:rsidR="00BC12AD" w:rsidRPr="00AA22F2" w:rsidRDefault="00BC12AD" w:rsidP="00BC12AD">
            <w:pPr>
              <w:cnfStyle w:val="000000000000" w:firstRow="0" w:lastRow="0" w:firstColumn="0" w:lastColumn="0" w:oddVBand="0" w:evenVBand="0" w:oddHBand="0" w:evenHBand="0" w:firstRowFirstColumn="0" w:firstRowLastColumn="0" w:lastRowFirstColumn="0" w:lastRowLastColumn="0"/>
              <w:rPr>
                <w:szCs w:val="20"/>
              </w:rPr>
            </w:pPr>
            <w:r w:rsidRPr="00AA22F2">
              <w:rPr>
                <w:szCs w:val="20"/>
              </w:rPr>
              <w:t>Coopérer avec les services de santé locaux pour le dépistage volontaire.</w:t>
            </w:r>
          </w:p>
        </w:tc>
        <w:tc>
          <w:tcPr>
            <w:tcW w:w="0" w:type="auto"/>
            <w:vMerge/>
          </w:tcPr>
          <w:p w14:paraId="0B0DE15C" w14:textId="77777777" w:rsidR="00BC12AD" w:rsidRPr="00AA22F2" w:rsidRDefault="00BC12AD" w:rsidP="006D1412">
            <w:pPr>
              <w:cnfStyle w:val="000000000000" w:firstRow="0" w:lastRow="0" w:firstColumn="0" w:lastColumn="0" w:oddVBand="0" w:evenVBand="0" w:oddHBand="0" w:evenHBand="0" w:firstRowFirstColumn="0" w:firstRowLastColumn="0" w:lastRowFirstColumn="0" w:lastRowLastColumn="0"/>
              <w:rPr>
                <w:szCs w:val="20"/>
              </w:rPr>
            </w:pPr>
          </w:p>
        </w:tc>
        <w:tc>
          <w:tcPr>
            <w:tcW w:w="0" w:type="auto"/>
            <w:vMerge/>
          </w:tcPr>
          <w:p w14:paraId="2E8B2A77" w14:textId="77777777" w:rsidR="00BC12AD" w:rsidRPr="00AA22F2" w:rsidRDefault="00BC12AD" w:rsidP="006D1412">
            <w:pPr>
              <w:cnfStyle w:val="000000000000" w:firstRow="0" w:lastRow="0" w:firstColumn="0" w:lastColumn="0" w:oddVBand="0" w:evenVBand="0" w:oddHBand="0" w:evenHBand="0" w:firstRowFirstColumn="0" w:firstRowLastColumn="0" w:lastRowFirstColumn="0" w:lastRowLastColumn="0"/>
              <w:rPr>
                <w:szCs w:val="20"/>
              </w:rPr>
            </w:pPr>
          </w:p>
        </w:tc>
        <w:tc>
          <w:tcPr>
            <w:tcW w:w="0" w:type="auto"/>
            <w:vMerge/>
          </w:tcPr>
          <w:p w14:paraId="2BE8D8DF" w14:textId="77777777" w:rsidR="00BC12AD" w:rsidRPr="00BC1745" w:rsidRDefault="00BC12AD" w:rsidP="006D1412">
            <w:pPr>
              <w:cnfStyle w:val="000000000000" w:firstRow="0" w:lastRow="0" w:firstColumn="0" w:lastColumn="0" w:oddVBand="0" w:evenVBand="0" w:oddHBand="0" w:evenHBand="0" w:firstRowFirstColumn="0" w:firstRowLastColumn="0" w:lastRowFirstColumn="0" w:lastRowLastColumn="0"/>
              <w:rPr>
                <w:szCs w:val="20"/>
              </w:rPr>
            </w:pPr>
          </w:p>
        </w:tc>
        <w:tc>
          <w:tcPr>
            <w:tcW w:w="0" w:type="auto"/>
            <w:vMerge/>
          </w:tcPr>
          <w:p w14:paraId="1ED49AFC" w14:textId="77777777" w:rsidR="00BC12AD" w:rsidRPr="00AA22F2" w:rsidRDefault="00BC12AD" w:rsidP="006D1412">
            <w:pPr>
              <w:cnfStyle w:val="000000000000" w:firstRow="0" w:lastRow="0" w:firstColumn="0" w:lastColumn="0" w:oddVBand="0" w:evenVBand="0" w:oddHBand="0" w:evenHBand="0" w:firstRowFirstColumn="0" w:firstRowLastColumn="0" w:lastRowFirstColumn="0" w:lastRowLastColumn="0"/>
              <w:rPr>
                <w:szCs w:val="20"/>
              </w:rPr>
            </w:pPr>
          </w:p>
        </w:tc>
        <w:tc>
          <w:tcPr>
            <w:tcW w:w="0" w:type="auto"/>
            <w:vMerge/>
          </w:tcPr>
          <w:p w14:paraId="5D4A8352" w14:textId="77777777" w:rsidR="00BC12AD" w:rsidRPr="00AA22F2" w:rsidRDefault="00BC12AD" w:rsidP="006D1412">
            <w:pPr>
              <w:cnfStyle w:val="000000000000" w:firstRow="0" w:lastRow="0" w:firstColumn="0" w:lastColumn="0" w:oddVBand="0" w:evenVBand="0" w:oddHBand="0" w:evenHBand="0" w:firstRowFirstColumn="0" w:firstRowLastColumn="0" w:lastRowFirstColumn="0" w:lastRowLastColumn="0"/>
              <w:rPr>
                <w:szCs w:val="20"/>
              </w:rPr>
            </w:pPr>
          </w:p>
        </w:tc>
        <w:tc>
          <w:tcPr>
            <w:tcW w:w="0" w:type="auto"/>
            <w:vMerge/>
          </w:tcPr>
          <w:p w14:paraId="0E9CCF76" w14:textId="77777777" w:rsidR="00BC12AD" w:rsidRPr="00AA22F2" w:rsidRDefault="00BC12AD" w:rsidP="006D1412">
            <w:pPr>
              <w:cnfStyle w:val="000000000000" w:firstRow="0" w:lastRow="0" w:firstColumn="0" w:lastColumn="0" w:oddVBand="0" w:evenVBand="0" w:oddHBand="0" w:evenHBand="0" w:firstRowFirstColumn="0" w:firstRowLastColumn="0" w:lastRowFirstColumn="0" w:lastRowLastColumn="0"/>
              <w:rPr>
                <w:szCs w:val="20"/>
              </w:rPr>
            </w:pPr>
          </w:p>
        </w:tc>
      </w:tr>
      <w:tr w:rsidR="00A156D9" w:rsidRPr="008A72E6" w14:paraId="0CF1F588" w14:textId="77777777" w:rsidTr="005A7661">
        <w:trPr>
          <w:trHeight w:val="2480"/>
        </w:trPr>
        <w:tc>
          <w:tcPr>
            <w:cnfStyle w:val="001000000000" w:firstRow="0" w:lastRow="0" w:firstColumn="1" w:lastColumn="0" w:oddVBand="0" w:evenVBand="0" w:oddHBand="0" w:evenHBand="0" w:firstRowFirstColumn="0" w:firstRowLastColumn="0" w:lastRowFirstColumn="0" w:lastRowLastColumn="0"/>
            <w:tcW w:w="0" w:type="auto"/>
            <w:vMerge w:val="restart"/>
            <w:hideMark/>
          </w:tcPr>
          <w:p w14:paraId="4B5D6913" w14:textId="77777777" w:rsidR="00A156D9" w:rsidRPr="00AA22F2" w:rsidRDefault="00A156D9" w:rsidP="006D1412">
            <w:pPr>
              <w:rPr>
                <w:szCs w:val="20"/>
              </w:rPr>
            </w:pPr>
            <w:r w:rsidRPr="00AA22F2">
              <w:rPr>
                <w:szCs w:val="20"/>
              </w:rPr>
              <w:lastRenderedPageBreak/>
              <w:t>Violences basées sur le genre et harcèlement sexuel (VBG/SEAH)</w:t>
            </w:r>
          </w:p>
        </w:tc>
        <w:tc>
          <w:tcPr>
            <w:tcW w:w="0" w:type="auto"/>
            <w:vMerge w:val="restart"/>
            <w:hideMark/>
          </w:tcPr>
          <w:p w14:paraId="5994DE2F" w14:textId="77777777" w:rsidR="00A156D9" w:rsidRPr="00AA22F2" w:rsidRDefault="00A156D9" w:rsidP="006D1412">
            <w:pPr>
              <w:cnfStyle w:val="000000000000" w:firstRow="0" w:lastRow="0" w:firstColumn="0" w:lastColumn="0" w:oddVBand="0" w:evenVBand="0" w:oddHBand="0" w:evenHBand="0" w:firstRowFirstColumn="0" w:firstRowLastColumn="0" w:lastRowFirstColumn="0" w:lastRowLastColumn="0"/>
              <w:rPr>
                <w:b/>
                <w:bCs/>
                <w:szCs w:val="20"/>
              </w:rPr>
            </w:pPr>
            <w:r w:rsidRPr="00AA22F2">
              <w:rPr>
                <w:b/>
                <w:bCs/>
                <w:szCs w:val="20"/>
              </w:rPr>
              <w:t>Éviter</w:t>
            </w:r>
          </w:p>
        </w:tc>
        <w:tc>
          <w:tcPr>
            <w:tcW w:w="0" w:type="auto"/>
            <w:vMerge w:val="restart"/>
            <w:hideMark/>
          </w:tcPr>
          <w:p w14:paraId="3B02B28B" w14:textId="77777777" w:rsidR="00A156D9" w:rsidRPr="00AA22F2" w:rsidRDefault="00A156D9" w:rsidP="006D1412">
            <w:pPr>
              <w:cnfStyle w:val="000000000000" w:firstRow="0" w:lastRow="0" w:firstColumn="0" w:lastColumn="0" w:oddVBand="0" w:evenVBand="0" w:oddHBand="0" w:evenHBand="0" w:firstRowFirstColumn="0" w:firstRowLastColumn="0" w:lastRowFirstColumn="0" w:lastRowLastColumn="0"/>
              <w:rPr>
                <w:szCs w:val="20"/>
              </w:rPr>
            </w:pPr>
            <w:r w:rsidRPr="00AA22F2">
              <w:rPr>
                <w:szCs w:val="20"/>
              </w:rPr>
              <w:t>Exiger un Code de conduite signé par tout le personnel de chantier ;</w:t>
            </w:r>
          </w:p>
          <w:p w14:paraId="3F1C9A93" w14:textId="5882E139" w:rsidR="00A156D9" w:rsidRPr="00AA22F2" w:rsidRDefault="00A156D9" w:rsidP="006D1412">
            <w:pPr>
              <w:cnfStyle w:val="000000000000" w:firstRow="0" w:lastRow="0" w:firstColumn="0" w:lastColumn="0" w:oddVBand="0" w:evenVBand="0" w:oddHBand="0" w:evenHBand="0" w:firstRowFirstColumn="0" w:firstRowLastColumn="0" w:lastRowFirstColumn="0" w:lastRowLastColumn="0"/>
              <w:rPr>
                <w:szCs w:val="20"/>
              </w:rPr>
            </w:pPr>
            <w:r w:rsidRPr="00AA22F2">
              <w:rPr>
                <w:szCs w:val="20"/>
              </w:rPr>
              <w:t xml:space="preserve">Exclure immédiatement tout sous-traitant non conforme aux obligations VBG ; </w:t>
            </w:r>
          </w:p>
        </w:tc>
        <w:tc>
          <w:tcPr>
            <w:tcW w:w="0" w:type="auto"/>
            <w:vMerge w:val="restart"/>
            <w:hideMark/>
          </w:tcPr>
          <w:p w14:paraId="3A3C4263" w14:textId="77777777" w:rsidR="00A156D9" w:rsidRPr="00AA22F2" w:rsidRDefault="00A156D9" w:rsidP="006D1412">
            <w:pPr>
              <w:cnfStyle w:val="000000000000" w:firstRow="0" w:lastRow="0" w:firstColumn="0" w:lastColumn="0" w:oddVBand="0" w:evenVBand="0" w:oddHBand="0" w:evenHBand="0" w:firstRowFirstColumn="0" w:firstRowLastColumn="0" w:lastRowFirstColumn="0" w:lastRowLastColumn="0"/>
              <w:rPr>
                <w:szCs w:val="20"/>
              </w:rPr>
            </w:pPr>
            <w:r w:rsidRPr="00AA22F2">
              <w:rPr>
                <w:szCs w:val="20"/>
              </w:rPr>
              <w:t xml:space="preserve">% de travailleurs signataires du Code de conduite ; </w:t>
            </w:r>
          </w:p>
          <w:p w14:paraId="4762C9A7" w14:textId="203206D1" w:rsidR="00A156D9" w:rsidRPr="00AA22F2" w:rsidRDefault="00A156D9" w:rsidP="006D1412">
            <w:pPr>
              <w:cnfStyle w:val="000000000000" w:firstRow="0" w:lastRow="0" w:firstColumn="0" w:lastColumn="0" w:oddVBand="0" w:evenVBand="0" w:oddHBand="0" w:evenHBand="0" w:firstRowFirstColumn="0" w:firstRowLastColumn="0" w:lastRowFirstColumn="0" w:lastRowLastColumn="0"/>
              <w:rPr>
                <w:szCs w:val="20"/>
              </w:rPr>
            </w:pPr>
            <w:r w:rsidRPr="00AA22F2">
              <w:rPr>
                <w:szCs w:val="20"/>
              </w:rPr>
              <w:t>Nb de sous-traitants audités.</w:t>
            </w:r>
          </w:p>
        </w:tc>
        <w:tc>
          <w:tcPr>
            <w:tcW w:w="0" w:type="auto"/>
            <w:vMerge w:val="restart"/>
            <w:hideMark/>
          </w:tcPr>
          <w:p w14:paraId="33DED3C0" w14:textId="77777777" w:rsidR="00A156D9" w:rsidRPr="00AA22F2" w:rsidRDefault="00A156D9" w:rsidP="006D1412">
            <w:pPr>
              <w:cnfStyle w:val="000000000000" w:firstRow="0" w:lastRow="0" w:firstColumn="0" w:lastColumn="0" w:oddVBand="0" w:evenVBand="0" w:oddHBand="0" w:evenHBand="0" w:firstRowFirstColumn="0" w:firstRowLastColumn="0" w:lastRowFirstColumn="0" w:lastRowLastColumn="0"/>
              <w:rPr>
                <w:szCs w:val="20"/>
              </w:rPr>
            </w:pPr>
            <w:r w:rsidRPr="00AA22F2">
              <w:rPr>
                <w:szCs w:val="20"/>
              </w:rPr>
              <w:t>EPC</w:t>
            </w:r>
          </w:p>
        </w:tc>
        <w:tc>
          <w:tcPr>
            <w:tcW w:w="0" w:type="auto"/>
            <w:vMerge w:val="restart"/>
            <w:hideMark/>
          </w:tcPr>
          <w:p w14:paraId="066E3C8D" w14:textId="4A8CA019" w:rsidR="00A156D9" w:rsidRPr="00AA22F2" w:rsidRDefault="00A156D9" w:rsidP="006D1412">
            <w:pPr>
              <w:cnfStyle w:val="000000000000" w:firstRow="0" w:lastRow="0" w:firstColumn="0" w:lastColumn="0" w:oddVBand="0" w:evenVBand="0" w:oddHBand="0" w:evenHBand="0" w:firstRowFirstColumn="0" w:firstRowLastColumn="0" w:lastRowFirstColumn="0" w:lastRowLastColumn="0"/>
              <w:rPr>
                <w:szCs w:val="20"/>
              </w:rPr>
            </w:pPr>
            <w:r w:rsidRPr="00BC1745">
              <w:rPr>
                <w:szCs w:val="20"/>
              </w:rPr>
              <w:t>Bureau de contrôle / Consultant de supervision mandaté par l’ONDA</w:t>
            </w:r>
          </w:p>
        </w:tc>
        <w:tc>
          <w:tcPr>
            <w:tcW w:w="0" w:type="auto"/>
            <w:vMerge w:val="restart"/>
            <w:hideMark/>
          </w:tcPr>
          <w:p w14:paraId="4E15B1DB" w14:textId="5CDB5C67" w:rsidR="00A156D9" w:rsidRPr="00AA22F2" w:rsidRDefault="00A156D9" w:rsidP="006D1412">
            <w:pPr>
              <w:cnfStyle w:val="000000000000" w:firstRow="0" w:lastRow="0" w:firstColumn="0" w:lastColumn="0" w:oddVBand="0" w:evenVBand="0" w:oddHBand="0" w:evenHBand="0" w:firstRowFirstColumn="0" w:firstRowLastColumn="0" w:lastRowFirstColumn="0" w:lastRowLastColumn="0"/>
              <w:rPr>
                <w:szCs w:val="20"/>
              </w:rPr>
            </w:pPr>
            <w:r w:rsidRPr="00AA22F2">
              <w:rPr>
                <w:szCs w:val="20"/>
              </w:rPr>
              <w:t xml:space="preserve">ONDA </w:t>
            </w:r>
          </w:p>
        </w:tc>
        <w:tc>
          <w:tcPr>
            <w:tcW w:w="0" w:type="auto"/>
            <w:vMerge w:val="restart"/>
            <w:hideMark/>
          </w:tcPr>
          <w:p w14:paraId="31550716" w14:textId="77777777" w:rsidR="00A156D9" w:rsidRPr="00AA22F2" w:rsidRDefault="00A156D9" w:rsidP="006D1412">
            <w:pPr>
              <w:cnfStyle w:val="000000000000" w:firstRow="0" w:lastRow="0" w:firstColumn="0" w:lastColumn="0" w:oddVBand="0" w:evenVBand="0" w:oddHBand="0" w:evenHBand="0" w:firstRowFirstColumn="0" w:firstRowLastColumn="0" w:lastRowFirstColumn="0" w:lastRowLastColumn="0"/>
              <w:rPr>
                <w:szCs w:val="20"/>
              </w:rPr>
            </w:pPr>
            <w:r w:rsidRPr="00AA22F2">
              <w:rPr>
                <w:szCs w:val="20"/>
              </w:rPr>
              <w:t>Avant le démarrage des travaux</w:t>
            </w:r>
          </w:p>
        </w:tc>
        <w:tc>
          <w:tcPr>
            <w:tcW w:w="0" w:type="auto"/>
            <w:tcBorders>
              <w:bottom w:val="single" w:sz="4" w:space="0" w:color="B4C6E7" w:themeColor="accent1" w:themeTint="66"/>
            </w:tcBorders>
            <w:hideMark/>
          </w:tcPr>
          <w:p w14:paraId="32EE851A" w14:textId="77777777" w:rsidR="00A156D9" w:rsidRDefault="00A156D9" w:rsidP="006D1412">
            <w:pPr>
              <w:cnfStyle w:val="000000000000" w:firstRow="0" w:lastRow="0" w:firstColumn="0" w:lastColumn="0" w:oddVBand="0" w:evenVBand="0" w:oddHBand="0" w:evenHBand="0" w:firstRowFirstColumn="0" w:firstRowLastColumn="0" w:lastRowFirstColumn="0" w:lastRowLastColumn="0"/>
              <w:rPr>
                <w:szCs w:val="20"/>
              </w:rPr>
            </w:pPr>
            <w:r w:rsidRPr="00AA22F2">
              <w:rPr>
                <w:szCs w:val="20"/>
              </w:rPr>
              <w:t>Aucun coût spécifique</w:t>
            </w:r>
          </w:p>
          <w:p w14:paraId="24ACF20C" w14:textId="77777777" w:rsidR="00A156D9" w:rsidRDefault="00A156D9" w:rsidP="006D1412">
            <w:pPr>
              <w:cnfStyle w:val="000000000000" w:firstRow="0" w:lastRow="0" w:firstColumn="0" w:lastColumn="0" w:oddVBand="0" w:evenVBand="0" w:oddHBand="0" w:evenHBand="0" w:firstRowFirstColumn="0" w:firstRowLastColumn="0" w:lastRowFirstColumn="0" w:lastRowLastColumn="0"/>
              <w:rPr>
                <w:szCs w:val="20"/>
              </w:rPr>
            </w:pPr>
          </w:p>
          <w:p w14:paraId="769966CD" w14:textId="77777777" w:rsidR="00A156D9" w:rsidRDefault="00A156D9" w:rsidP="006D1412">
            <w:pPr>
              <w:cnfStyle w:val="000000000000" w:firstRow="0" w:lastRow="0" w:firstColumn="0" w:lastColumn="0" w:oddVBand="0" w:evenVBand="0" w:oddHBand="0" w:evenHBand="0" w:firstRowFirstColumn="0" w:firstRowLastColumn="0" w:lastRowFirstColumn="0" w:lastRowLastColumn="0"/>
              <w:rPr>
                <w:szCs w:val="20"/>
              </w:rPr>
            </w:pPr>
          </w:p>
          <w:p w14:paraId="7AA6E844" w14:textId="77777777" w:rsidR="00A156D9" w:rsidRDefault="00A156D9" w:rsidP="006D1412">
            <w:pPr>
              <w:cnfStyle w:val="000000000000" w:firstRow="0" w:lastRow="0" w:firstColumn="0" w:lastColumn="0" w:oddVBand="0" w:evenVBand="0" w:oddHBand="0" w:evenHBand="0" w:firstRowFirstColumn="0" w:firstRowLastColumn="0" w:lastRowFirstColumn="0" w:lastRowLastColumn="0"/>
              <w:rPr>
                <w:szCs w:val="20"/>
              </w:rPr>
            </w:pPr>
          </w:p>
          <w:p w14:paraId="65A993B3" w14:textId="77777777" w:rsidR="00A156D9" w:rsidRDefault="00A156D9" w:rsidP="006D1412">
            <w:pPr>
              <w:cnfStyle w:val="000000000000" w:firstRow="0" w:lastRow="0" w:firstColumn="0" w:lastColumn="0" w:oddVBand="0" w:evenVBand="0" w:oddHBand="0" w:evenHBand="0" w:firstRowFirstColumn="0" w:firstRowLastColumn="0" w:lastRowFirstColumn="0" w:lastRowLastColumn="0"/>
              <w:rPr>
                <w:szCs w:val="20"/>
              </w:rPr>
            </w:pPr>
          </w:p>
          <w:p w14:paraId="25FD9961" w14:textId="150C705A" w:rsidR="00A156D9" w:rsidRPr="00AA22F2" w:rsidRDefault="00A156D9" w:rsidP="006D1412">
            <w:pPr>
              <w:cnfStyle w:val="000000000000" w:firstRow="0" w:lastRow="0" w:firstColumn="0" w:lastColumn="0" w:oddVBand="0" w:evenVBand="0" w:oddHBand="0" w:evenHBand="0" w:firstRowFirstColumn="0" w:firstRowLastColumn="0" w:lastRowFirstColumn="0" w:lastRowLastColumn="0"/>
              <w:rPr>
                <w:szCs w:val="20"/>
              </w:rPr>
            </w:pPr>
          </w:p>
        </w:tc>
      </w:tr>
      <w:tr w:rsidR="00A156D9" w:rsidRPr="008A72E6" w14:paraId="3144217A" w14:textId="77777777" w:rsidTr="00A156D9">
        <w:trPr>
          <w:trHeight w:val="521"/>
        </w:trPr>
        <w:tc>
          <w:tcPr>
            <w:cnfStyle w:val="001000000000" w:firstRow="0" w:lastRow="0" w:firstColumn="1" w:lastColumn="0" w:oddVBand="0" w:evenVBand="0" w:oddHBand="0" w:evenHBand="0" w:firstRowFirstColumn="0" w:firstRowLastColumn="0" w:lastRowFirstColumn="0" w:lastRowLastColumn="0"/>
            <w:tcW w:w="0" w:type="auto"/>
            <w:vMerge/>
          </w:tcPr>
          <w:p w14:paraId="146103BC" w14:textId="77777777" w:rsidR="00A156D9" w:rsidRPr="00AA22F2" w:rsidRDefault="00A156D9" w:rsidP="006D1412">
            <w:pPr>
              <w:rPr>
                <w:szCs w:val="20"/>
              </w:rPr>
            </w:pPr>
          </w:p>
        </w:tc>
        <w:tc>
          <w:tcPr>
            <w:tcW w:w="0" w:type="auto"/>
            <w:vMerge/>
          </w:tcPr>
          <w:p w14:paraId="68D90036" w14:textId="77777777" w:rsidR="00A156D9" w:rsidRPr="00AA22F2" w:rsidRDefault="00A156D9" w:rsidP="006D1412">
            <w:pPr>
              <w:cnfStyle w:val="000000000000" w:firstRow="0" w:lastRow="0" w:firstColumn="0" w:lastColumn="0" w:oddVBand="0" w:evenVBand="0" w:oddHBand="0" w:evenHBand="0" w:firstRowFirstColumn="0" w:firstRowLastColumn="0" w:lastRowFirstColumn="0" w:lastRowLastColumn="0"/>
              <w:rPr>
                <w:b/>
                <w:bCs/>
                <w:szCs w:val="20"/>
              </w:rPr>
            </w:pPr>
          </w:p>
        </w:tc>
        <w:tc>
          <w:tcPr>
            <w:tcW w:w="0" w:type="auto"/>
            <w:vMerge/>
            <w:tcBorders>
              <w:bottom w:val="single" w:sz="4" w:space="0" w:color="B4C6E7" w:themeColor="accent1" w:themeTint="66"/>
            </w:tcBorders>
          </w:tcPr>
          <w:p w14:paraId="67EA0B4E" w14:textId="77777777" w:rsidR="00A156D9" w:rsidRPr="00AA22F2" w:rsidRDefault="00A156D9" w:rsidP="006D1412">
            <w:pPr>
              <w:cnfStyle w:val="000000000000" w:firstRow="0" w:lastRow="0" w:firstColumn="0" w:lastColumn="0" w:oddVBand="0" w:evenVBand="0" w:oddHBand="0" w:evenHBand="0" w:firstRowFirstColumn="0" w:firstRowLastColumn="0" w:lastRowFirstColumn="0" w:lastRowLastColumn="0"/>
              <w:rPr>
                <w:szCs w:val="20"/>
              </w:rPr>
            </w:pPr>
          </w:p>
        </w:tc>
        <w:tc>
          <w:tcPr>
            <w:tcW w:w="0" w:type="auto"/>
            <w:vMerge/>
          </w:tcPr>
          <w:p w14:paraId="18C09A90" w14:textId="77777777" w:rsidR="00A156D9" w:rsidRPr="00AA22F2" w:rsidRDefault="00A156D9" w:rsidP="006D1412">
            <w:pPr>
              <w:cnfStyle w:val="000000000000" w:firstRow="0" w:lastRow="0" w:firstColumn="0" w:lastColumn="0" w:oddVBand="0" w:evenVBand="0" w:oddHBand="0" w:evenHBand="0" w:firstRowFirstColumn="0" w:firstRowLastColumn="0" w:lastRowFirstColumn="0" w:lastRowLastColumn="0"/>
              <w:rPr>
                <w:szCs w:val="20"/>
              </w:rPr>
            </w:pPr>
          </w:p>
        </w:tc>
        <w:tc>
          <w:tcPr>
            <w:tcW w:w="0" w:type="auto"/>
            <w:vMerge/>
          </w:tcPr>
          <w:p w14:paraId="2FF63704" w14:textId="77777777" w:rsidR="00A156D9" w:rsidRPr="00AA22F2" w:rsidRDefault="00A156D9" w:rsidP="006D1412">
            <w:pPr>
              <w:cnfStyle w:val="000000000000" w:firstRow="0" w:lastRow="0" w:firstColumn="0" w:lastColumn="0" w:oddVBand="0" w:evenVBand="0" w:oddHBand="0" w:evenHBand="0" w:firstRowFirstColumn="0" w:firstRowLastColumn="0" w:lastRowFirstColumn="0" w:lastRowLastColumn="0"/>
              <w:rPr>
                <w:szCs w:val="20"/>
              </w:rPr>
            </w:pPr>
          </w:p>
        </w:tc>
        <w:tc>
          <w:tcPr>
            <w:tcW w:w="0" w:type="auto"/>
            <w:vMerge/>
          </w:tcPr>
          <w:p w14:paraId="13A970D8" w14:textId="77777777" w:rsidR="00A156D9" w:rsidRPr="00BC1745" w:rsidRDefault="00A156D9" w:rsidP="006D1412">
            <w:pPr>
              <w:cnfStyle w:val="000000000000" w:firstRow="0" w:lastRow="0" w:firstColumn="0" w:lastColumn="0" w:oddVBand="0" w:evenVBand="0" w:oddHBand="0" w:evenHBand="0" w:firstRowFirstColumn="0" w:firstRowLastColumn="0" w:lastRowFirstColumn="0" w:lastRowLastColumn="0"/>
              <w:rPr>
                <w:szCs w:val="20"/>
              </w:rPr>
            </w:pPr>
          </w:p>
        </w:tc>
        <w:tc>
          <w:tcPr>
            <w:tcW w:w="0" w:type="auto"/>
            <w:vMerge/>
          </w:tcPr>
          <w:p w14:paraId="665AC085" w14:textId="77777777" w:rsidR="00A156D9" w:rsidRPr="00AA22F2" w:rsidRDefault="00A156D9" w:rsidP="006D1412">
            <w:pPr>
              <w:cnfStyle w:val="000000000000" w:firstRow="0" w:lastRow="0" w:firstColumn="0" w:lastColumn="0" w:oddVBand="0" w:evenVBand="0" w:oddHBand="0" w:evenHBand="0" w:firstRowFirstColumn="0" w:firstRowLastColumn="0" w:lastRowFirstColumn="0" w:lastRowLastColumn="0"/>
              <w:rPr>
                <w:szCs w:val="20"/>
              </w:rPr>
            </w:pPr>
          </w:p>
        </w:tc>
        <w:tc>
          <w:tcPr>
            <w:tcW w:w="0" w:type="auto"/>
            <w:vMerge/>
          </w:tcPr>
          <w:p w14:paraId="4298950B" w14:textId="77777777" w:rsidR="00A156D9" w:rsidRPr="00AA22F2" w:rsidRDefault="00A156D9" w:rsidP="006D1412">
            <w:pPr>
              <w:cnfStyle w:val="000000000000" w:firstRow="0" w:lastRow="0" w:firstColumn="0" w:lastColumn="0" w:oddVBand="0" w:evenVBand="0" w:oddHBand="0" w:evenHBand="0" w:firstRowFirstColumn="0" w:firstRowLastColumn="0" w:lastRowFirstColumn="0" w:lastRowLastColumn="0"/>
              <w:rPr>
                <w:szCs w:val="20"/>
              </w:rPr>
            </w:pPr>
          </w:p>
        </w:tc>
        <w:tc>
          <w:tcPr>
            <w:tcW w:w="0" w:type="auto"/>
            <w:vMerge w:val="restart"/>
            <w:tcBorders>
              <w:top w:val="single" w:sz="4" w:space="0" w:color="B4C6E7" w:themeColor="accent1" w:themeTint="66"/>
            </w:tcBorders>
          </w:tcPr>
          <w:p w14:paraId="729AA1F5" w14:textId="77777777" w:rsidR="00A156D9" w:rsidRPr="00AA22F2" w:rsidRDefault="00A156D9" w:rsidP="00A156D9">
            <w:pPr>
              <w:cnfStyle w:val="000000000000" w:firstRow="0" w:lastRow="0" w:firstColumn="0" w:lastColumn="0" w:oddVBand="0" w:evenVBand="0" w:oddHBand="0" w:evenHBand="0" w:firstRowFirstColumn="0" w:firstRowLastColumn="0" w:lastRowFirstColumn="0" w:lastRowLastColumn="0"/>
              <w:rPr>
                <w:szCs w:val="20"/>
              </w:rPr>
            </w:pPr>
            <w:r w:rsidRPr="00A156D9">
              <w:rPr>
                <w:szCs w:val="20"/>
              </w:rPr>
              <w:t>2 000 MAD / séparation (cloison ou tente)</w:t>
            </w:r>
          </w:p>
        </w:tc>
      </w:tr>
      <w:tr w:rsidR="00A156D9" w:rsidRPr="008A72E6" w14:paraId="2FE0D257" w14:textId="77777777" w:rsidTr="00A156D9">
        <w:trPr>
          <w:trHeight w:val="1000"/>
        </w:trPr>
        <w:tc>
          <w:tcPr>
            <w:cnfStyle w:val="001000000000" w:firstRow="0" w:lastRow="0" w:firstColumn="1" w:lastColumn="0" w:oddVBand="0" w:evenVBand="0" w:oddHBand="0" w:evenHBand="0" w:firstRowFirstColumn="0" w:firstRowLastColumn="0" w:lastRowFirstColumn="0" w:lastRowLastColumn="0"/>
            <w:tcW w:w="0" w:type="auto"/>
            <w:vMerge/>
          </w:tcPr>
          <w:p w14:paraId="00770DD2" w14:textId="77777777" w:rsidR="00A156D9" w:rsidRPr="00AA22F2" w:rsidRDefault="00A156D9" w:rsidP="006D1412">
            <w:pPr>
              <w:rPr>
                <w:szCs w:val="20"/>
              </w:rPr>
            </w:pPr>
          </w:p>
        </w:tc>
        <w:tc>
          <w:tcPr>
            <w:tcW w:w="0" w:type="auto"/>
            <w:vMerge/>
          </w:tcPr>
          <w:p w14:paraId="7259E643" w14:textId="77777777" w:rsidR="00A156D9" w:rsidRPr="00AA22F2" w:rsidRDefault="00A156D9" w:rsidP="006D1412">
            <w:pPr>
              <w:cnfStyle w:val="000000000000" w:firstRow="0" w:lastRow="0" w:firstColumn="0" w:lastColumn="0" w:oddVBand="0" w:evenVBand="0" w:oddHBand="0" w:evenHBand="0" w:firstRowFirstColumn="0" w:firstRowLastColumn="0" w:lastRowFirstColumn="0" w:lastRowLastColumn="0"/>
              <w:rPr>
                <w:b/>
                <w:bCs/>
                <w:szCs w:val="20"/>
              </w:rPr>
            </w:pPr>
          </w:p>
        </w:tc>
        <w:tc>
          <w:tcPr>
            <w:tcW w:w="0" w:type="auto"/>
            <w:tcBorders>
              <w:top w:val="single" w:sz="4" w:space="0" w:color="B4C6E7" w:themeColor="accent1" w:themeTint="66"/>
            </w:tcBorders>
          </w:tcPr>
          <w:p w14:paraId="7DE38249" w14:textId="77777777" w:rsidR="00A156D9" w:rsidRPr="00AA22F2" w:rsidRDefault="00A156D9" w:rsidP="00A156D9">
            <w:pPr>
              <w:cnfStyle w:val="000000000000" w:firstRow="0" w:lastRow="0" w:firstColumn="0" w:lastColumn="0" w:oddVBand="0" w:evenVBand="0" w:oddHBand="0" w:evenHBand="0" w:firstRowFirstColumn="0" w:firstRowLastColumn="0" w:lastRowFirstColumn="0" w:lastRowLastColumn="0"/>
              <w:rPr>
                <w:szCs w:val="20"/>
              </w:rPr>
            </w:pPr>
            <w:r w:rsidRPr="00AA22F2">
              <w:rPr>
                <w:szCs w:val="20"/>
              </w:rPr>
              <w:t>Séparer les zones d’hébergement hommes/femmes.</w:t>
            </w:r>
          </w:p>
        </w:tc>
        <w:tc>
          <w:tcPr>
            <w:tcW w:w="0" w:type="auto"/>
            <w:vMerge/>
          </w:tcPr>
          <w:p w14:paraId="1C0A301F" w14:textId="77777777" w:rsidR="00A156D9" w:rsidRPr="00AA22F2" w:rsidRDefault="00A156D9" w:rsidP="006D1412">
            <w:pPr>
              <w:cnfStyle w:val="000000000000" w:firstRow="0" w:lastRow="0" w:firstColumn="0" w:lastColumn="0" w:oddVBand="0" w:evenVBand="0" w:oddHBand="0" w:evenHBand="0" w:firstRowFirstColumn="0" w:firstRowLastColumn="0" w:lastRowFirstColumn="0" w:lastRowLastColumn="0"/>
              <w:rPr>
                <w:szCs w:val="20"/>
              </w:rPr>
            </w:pPr>
          </w:p>
        </w:tc>
        <w:tc>
          <w:tcPr>
            <w:tcW w:w="0" w:type="auto"/>
            <w:vMerge/>
          </w:tcPr>
          <w:p w14:paraId="4DE4C3A4" w14:textId="77777777" w:rsidR="00A156D9" w:rsidRPr="00AA22F2" w:rsidRDefault="00A156D9" w:rsidP="006D1412">
            <w:pPr>
              <w:cnfStyle w:val="000000000000" w:firstRow="0" w:lastRow="0" w:firstColumn="0" w:lastColumn="0" w:oddVBand="0" w:evenVBand="0" w:oddHBand="0" w:evenHBand="0" w:firstRowFirstColumn="0" w:firstRowLastColumn="0" w:lastRowFirstColumn="0" w:lastRowLastColumn="0"/>
              <w:rPr>
                <w:szCs w:val="20"/>
              </w:rPr>
            </w:pPr>
          </w:p>
        </w:tc>
        <w:tc>
          <w:tcPr>
            <w:tcW w:w="0" w:type="auto"/>
            <w:vMerge/>
          </w:tcPr>
          <w:p w14:paraId="5C325520" w14:textId="77777777" w:rsidR="00A156D9" w:rsidRPr="00BC1745" w:rsidRDefault="00A156D9" w:rsidP="006D1412">
            <w:pPr>
              <w:cnfStyle w:val="000000000000" w:firstRow="0" w:lastRow="0" w:firstColumn="0" w:lastColumn="0" w:oddVBand="0" w:evenVBand="0" w:oddHBand="0" w:evenHBand="0" w:firstRowFirstColumn="0" w:firstRowLastColumn="0" w:lastRowFirstColumn="0" w:lastRowLastColumn="0"/>
              <w:rPr>
                <w:szCs w:val="20"/>
              </w:rPr>
            </w:pPr>
          </w:p>
        </w:tc>
        <w:tc>
          <w:tcPr>
            <w:tcW w:w="0" w:type="auto"/>
            <w:vMerge/>
          </w:tcPr>
          <w:p w14:paraId="11F891B5" w14:textId="77777777" w:rsidR="00A156D9" w:rsidRPr="00AA22F2" w:rsidRDefault="00A156D9" w:rsidP="006D1412">
            <w:pPr>
              <w:cnfStyle w:val="000000000000" w:firstRow="0" w:lastRow="0" w:firstColumn="0" w:lastColumn="0" w:oddVBand="0" w:evenVBand="0" w:oddHBand="0" w:evenHBand="0" w:firstRowFirstColumn="0" w:firstRowLastColumn="0" w:lastRowFirstColumn="0" w:lastRowLastColumn="0"/>
              <w:rPr>
                <w:szCs w:val="20"/>
              </w:rPr>
            </w:pPr>
          </w:p>
        </w:tc>
        <w:tc>
          <w:tcPr>
            <w:tcW w:w="0" w:type="auto"/>
            <w:vMerge/>
          </w:tcPr>
          <w:p w14:paraId="07FA8182" w14:textId="77777777" w:rsidR="00A156D9" w:rsidRPr="00AA22F2" w:rsidRDefault="00A156D9" w:rsidP="006D1412">
            <w:pPr>
              <w:cnfStyle w:val="000000000000" w:firstRow="0" w:lastRow="0" w:firstColumn="0" w:lastColumn="0" w:oddVBand="0" w:evenVBand="0" w:oddHBand="0" w:evenHBand="0" w:firstRowFirstColumn="0" w:firstRowLastColumn="0" w:lastRowFirstColumn="0" w:lastRowLastColumn="0"/>
              <w:rPr>
                <w:szCs w:val="20"/>
              </w:rPr>
            </w:pPr>
          </w:p>
        </w:tc>
        <w:tc>
          <w:tcPr>
            <w:tcW w:w="0" w:type="auto"/>
            <w:vMerge/>
          </w:tcPr>
          <w:p w14:paraId="304706E8" w14:textId="77777777" w:rsidR="00A156D9" w:rsidRPr="00AA22F2" w:rsidRDefault="00A156D9" w:rsidP="006D1412">
            <w:pPr>
              <w:cnfStyle w:val="000000000000" w:firstRow="0" w:lastRow="0" w:firstColumn="0" w:lastColumn="0" w:oddVBand="0" w:evenVBand="0" w:oddHBand="0" w:evenHBand="0" w:firstRowFirstColumn="0" w:firstRowLastColumn="0" w:lastRowFirstColumn="0" w:lastRowLastColumn="0"/>
              <w:rPr>
                <w:szCs w:val="20"/>
              </w:rPr>
            </w:pPr>
          </w:p>
        </w:tc>
      </w:tr>
      <w:tr w:rsidR="00561579" w:rsidRPr="008A72E6" w14:paraId="3394B524" w14:textId="77777777" w:rsidTr="00561579">
        <w:trPr>
          <w:trHeight w:val="1293"/>
        </w:trPr>
        <w:tc>
          <w:tcPr>
            <w:cnfStyle w:val="001000000000" w:firstRow="0" w:lastRow="0" w:firstColumn="1" w:lastColumn="0" w:oddVBand="0" w:evenVBand="0" w:oddHBand="0" w:evenHBand="0" w:firstRowFirstColumn="0" w:firstRowLastColumn="0" w:lastRowFirstColumn="0" w:lastRowLastColumn="0"/>
            <w:tcW w:w="0" w:type="auto"/>
            <w:vMerge/>
            <w:hideMark/>
          </w:tcPr>
          <w:p w14:paraId="39652D56" w14:textId="77777777" w:rsidR="00561579" w:rsidRPr="00AA22F2" w:rsidRDefault="00561579" w:rsidP="006D1412">
            <w:pPr>
              <w:rPr>
                <w:szCs w:val="20"/>
              </w:rPr>
            </w:pPr>
          </w:p>
        </w:tc>
        <w:tc>
          <w:tcPr>
            <w:tcW w:w="0" w:type="auto"/>
            <w:vMerge w:val="restart"/>
            <w:hideMark/>
          </w:tcPr>
          <w:p w14:paraId="7989084B" w14:textId="77777777" w:rsidR="00561579" w:rsidRPr="00AA22F2" w:rsidRDefault="00561579" w:rsidP="006D1412">
            <w:pPr>
              <w:cnfStyle w:val="000000000000" w:firstRow="0" w:lastRow="0" w:firstColumn="0" w:lastColumn="0" w:oddVBand="0" w:evenVBand="0" w:oddHBand="0" w:evenHBand="0" w:firstRowFirstColumn="0" w:firstRowLastColumn="0" w:lastRowFirstColumn="0" w:lastRowLastColumn="0"/>
              <w:rPr>
                <w:b/>
                <w:bCs/>
                <w:szCs w:val="20"/>
              </w:rPr>
            </w:pPr>
            <w:r w:rsidRPr="00AA22F2">
              <w:rPr>
                <w:b/>
                <w:bCs/>
                <w:szCs w:val="20"/>
              </w:rPr>
              <w:t>Réduire</w:t>
            </w:r>
          </w:p>
        </w:tc>
        <w:tc>
          <w:tcPr>
            <w:tcW w:w="0" w:type="auto"/>
            <w:tcBorders>
              <w:bottom w:val="single" w:sz="4" w:space="0" w:color="B4C6E7" w:themeColor="accent1" w:themeTint="66"/>
            </w:tcBorders>
            <w:hideMark/>
          </w:tcPr>
          <w:p w14:paraId="19100D19" w14:textId="24B895CB" w:rsidR="00561579" w:rsidRPr="00AA22F2" w:rsidRDefault="00561579" w:rsidP="006D1412">
            <w:pPr>
              <w:cnfStyle w:val="000000000000" w:firstRow="0" w:lastRow="0" w:firstColumn="0" w:lastColumn="0" w:oddVBand="0" w:evenVBand="0" w:oddHBand="0" w:evenHBand="0" w:firstRowFirstColumn="0" w:firstRowLastColumn="0" w:lastRowFirstColumn="0" w:lastRowLastColumn="0"/>
              <w:rPr>
                <w:szCs w:val="20"/>
              </w:rPr>
            </w:pPr>
            <w:r w:rsidRPr="00AA22F2">
              <w:rPr>
                <w:szCs w:val="20"/>
              </w:rPr>
              <w:t xml:space="preserve">Former l’ensemble du personnel à la prévention des VBG/SEAH ; </w:t>
            </w:r>
          </w:p>
        </w:tc>
        <w:tc>
          <w:tcPr>
            <w:tcW w:w="0" w:type="auto"/>
            <w:vMerge w:val="restart"/>
            <w:hideMark/>
          </w:tcPr>
          <w:p w14:paraId="720E7E87" w14:textId="622CD8EC" w:rsidR="00561579" w:rsidRPr="00AA22F2" w:rsidRDefault="00561579" w:rsidP="006D1412">
            <w:pPr>
              <w:cnfStyle w:val="000000000000" w:firstRow="0" w:lastRow="0" w:firstColumn="0" w:lastColumn="0" w:oddVBand="0" w:evenVBand="0" w:oddHBand="0" w:evenHBand="0" w:firstRowFirstColumn="0" w:firstRowLastColumn="0" w:lastRowFirstColumn="0" w:lastRowLastColumn="0"/>
              <w:rPr>
                <w:szCs w:val="20"/>
              </w:rPr>
            </w:pPr>
            <w:r w:rsidRPr="00AA22F2">
              <w:rPr>
                <w:szCs w:val="20"/>
              </w:rPr>
              <w:t xml:space="preserve">Nb de formations réalisées ; </w:t>
            </w:r>
          </w:p>
          <w:p w14:paraId="17D348A2" w14:textId="77041109" w:rsidR="00561579" w:rsidRPr="00AA22F2" w:rsidRDefault="00561579" w:rsidP="006D1412">
            <w:pPr>
              <w:cnfStyle w:val="000000000000" w:firstRow="0" w:lastRow="0" w:firstColumn="0" w:lastColumn="0" w:oddVBand="0" w:evenVBand="0" w:oddHBand="0" w:evenHBand="0" w:firstRowFirstColumn="0" w:firstRowLastColumn="0" w:lastRowFirstColumn="0" w:lastRowLastColumn="0"/>
              <w:rPr>
                <w:szCs w:val="20"/>
              </w:rPr>
            </w:pPr>
            <w:r w:rsidRPr="00AA22F2">
              <w:rPr>
                <w:szCs w:val="20"/>
              </w:rPr>
              <w:t>Nb de cas signalés et traités.</w:t>
            </w:r>
          </w:p>
        </w:tc>
        <w:tc>
          <w:tcPr>
            <w:tcW w:w="0" w:type="auto"/>
            <w:vMerge w:val="restart"/>
            <w:hideMark/>
          </w:tcPr>
          <w:p w14:paraId="1F962C72" w14:textId="77777777" w:rsidR="00561579" w:rsidRPr="00AA22F2" w:rsidRDefault="00561579" w:rsidP="006D1412">
            <w:pPr>
              <w:cnfStyle w:val="000000000000" w:firstRow="0" w:lastRow="0" w:firstColumn="0" w:lastColumn="0" w:oddVBand="0" w:evenVBand="0" w:oddHBand="0" w:evenHBand="0" w:firstRowFirstColumn="0" w:firstRowLastColumn="0" w:lastRowFirstColumn="0" w:lastRowLastColumn="0"/>
              <w:rPr>
                <w:szCs w:val="20"/>
              </w:rPr>
            </w:pPr>
            <w:r w:rsidRPr="00AA22F2">
              <w:rPr>
                <w:szCs w:val="20"/>
              </w:rPr>
              <w:t>EPC / Sous-traitants</w:t>
            </w:r>
          </w:p>
        </w:tc>
        <w:tc>
          <w:tcPr>
            <w:tcW w:w="0" w:type="auto"/>
            <w:vMerge w:val="restart"/>
            <w:hideMark/>
          </w:tcPr>
          <w:p w14:paraId="5F33D0BA" w14:textId="37134178" w:rsidR="00561579" w:rsidRPr="00AA22F2" w:rsidRDefault="00561579" w:rsidP="006D1412">
            <w:pPr>
              <w:cnfStyle w:val="000000000000" w:firstRow="0" w:lastRow="0" w:firstColumn="0" w:lastColumn="0" w:oddVBand="0" w:evenVBand="0" w:oddHBand="0" w:evenHBand="0" w:firstRowFirstColumn="0" w:firstRowLastColumn="0" w:lastRowFirstColumn="0" w:lastRowLastColumn="0"/>
              <w:rPr>
                <w:szCs w:val="20"/>
              </w:rPr>
            </w:pPr>
            <w:r w:rsidRPr="00BC1745">
              <w:rPr>
                <w:szCs w:val="20"/>
              </w:rPr>
              <w:t>Bureau de contrôle / Consultant de supervision mandaté par l’ONDA</w:t>
            </w:r>
          </w:p>
        </w:tc>
        <w:tc>
          <w:tcPr>
            <w:tcW w:w="0" w:type="auto"/>
            <w:vMerge w:val="restart"/>
            <w:hideMark/>
          </w:tcPr>
          <w:p w14:paraId="61DB5C11" w14:textId="77777777" w:rsidR="00561579" w:rsidRPr="00AA22F2" w:rsidRDefault="00561579" w:rsidP="006D1412">
            <w:pPr>
              <w:cnfStyle w:val="000000000000" w:firstRow="0" w:lastRow="0" w:firstColumn="0" w:lastColumn="0" w:oddVBand="0" w:evenVBand="0" w:oddHBand="0" w:evenHBand="0" w:firstRowFirstColumn="0" w:firstRowLastColumn="0" w:lastRowFirstColumn="0" w:lastRowLastColumn="0"/>
              <w:rPr>
                <w:szCs w:val="20"/>
              </w:rPr>
            </w:pPr>
            <w:r w:rsidRPr="00AA22F2">
              <w:rPr>
                <w:szCs w:val="20"/>
              </w:rPr>
              <w:t>ONDA</w:t>
            </w:r>
          </w:p>
        </w:tc>
        <w:tc>
          <w:tcPr>
            <w:tcW w:w="0" w:type="auto"/>
            <w:vMerge w:val="restart"/>
            <w:hideMark/>
          </w:tcPr>
          <w:p w14:paraId="3767D29D" w14:textId="77777777" w:rsidR="00561579" w:rsidRPr="00AA22F2" w:rsidRDefault="00561579" w:rsidP="006D1412">
            <w:pPr>
              <w:cnfStyle w:val="000000000000" w:firstRow="0" w:lastRow="0" w:firstColumn="0" w:lastColumn="0" w:oddVBand="0" w:evenVBand="0" w:oddHBand="0" w:evenHBand="0" w:firstRowFirstColumn="0" w:firstRowLastColumn="0" w:lastRowFirstColumn="0" w:lastRowLastColumn="0"/>
              <w:rPr>
                <w:szCs w:val="20"/>
              </w:rPr>
            </w:pPr>
            <w:r w:rsidRPr="00AA22F2">
              <w:rPr>
                <w:szCs w:val="20"/>
              </w:rPr>
              <w:t>Trimestriel</w:t>
            </w:r>
          </w:p>
        </w:tc>
        <w:tc>
          <w:tcPr>
            <w:tcW w:w="0" w:type="auto"/>
            <w:vMerge w:val="restart"/>
            <w:hideMark/>
          </w:tcPr>
          <w:p w14:paraId="7FE57746" w14:textId="2F1721E3" w:rsidR="00561579" w:rsidRDefault="00561579" w:rsidP="006D1412">
            <w:pPr>
              <w:cnfStyle w:val="000000000000" w:firstRow="0" w:lastRow="0" w:firstColumn="0" w:lastColumn="0" w:oddVBand="0" w:evenVBand="0" w:oddHBand="0" w:evenHBand="0" w:firstRowFirstColumn="0" w:firstRowLastColumn="0" w:lastRowFirstColumn="0" w:lastRowLastColumn="0"/>
              <w:rPr>
                <w:szCs w:val="20"/>
              </w:rPr>
            </w:pPr>
            <w:r w:rsidRPr="00561579">
              <w:rPr>
                <w:szCs w:val="20"/>
              </w:rPr>
              <w:t>35 000 MAD / session</w:t>
            </w:r>
          </w:p>
          <w:p w14:paraId="5199FCFE" w14:textId="77777777" w:rsidR="00561579" w:rsidRDefault="00561579" w:rsidP="006D1412">
            <w:pPr>
              <w:cnfStyle w:val="000000000000" w:firstRow="0" w:lastRow="0" w:firstColumn="0" w:lastColumn="0" w:oddVBand="0" w:evenVBand="0" w:oddHBand="0" w:evenHBand="0" w:firstRowFirstColumn="0" w:firstRowLastColumn="0" w:lastRowFirstColumn="0" w:lastRowLastColumn="0"/>
              <w:rPr>
                <w:szCs w:val="20"/>
              </w:rPr>
            </w:pPr>
          </w:p>
          <w:p w14:paraId="7D337714" w14:textId="77777777" w:rsidR="00561579" w:rsidRDefault="00561579" w:rsidP="006D1412">
            <w:pPr>
              <w:cnfStyle w:val="000000000000" w:firstRow="0" w:lastRow="0" w:firstColumn="0" w:lastColumn="0" w:oddVBand="0" w:evenVBand="0" w:oddHBand="0" w:evenHBand="0" w:firstRowFirstColumn="0" w:firstRowLastColumn="0" w:lastRowFirstColumn="0" w:lastRowLastColumn="0"/>
              <w:rPr>
                <w:szCs w:val="20"/>
              </w:rPr>
            </w:pPr>
          </w:p>
          <w:p w14:paraId="0AF4AD1E" w14:textId="480C4C07" w:rsidR="00561579" w:rsidRDefault="00561579" w:rsidP="006D1412">
            <w:pPr>
              <w:cnfStyle w:val="000000000000" w:firstRow="0" w:lastRow="0" w:firstColumn="0" w:lastColumn="0" w:oddVBand="0" w:evenVBand="0" w:oddHBand="0" w:evenHBand="0" w:firstRowFirstColumn="0" w:firstRowLastColumn="0" w:lastRowFirstColumn="0" w:lastRowLastColumn="0"/>
              <w:rPr>
                <w:szCs w:val="20"/>
              </w:rPr>
            </w:pPr>
            <w:r w:rsidRPr="00561579">
              <w:rPr>
                <w:szCs w:val="20"/>
              </w:rPr>
              <w:t>Aucun coût spécifique</w:t>
            </w:r>
          </w:p>
          <w:p w14:paraId="2507B418" w14:textId="4926E10B" w:rsidR="00561579" w:rsidRPr="00AA22F2" w:rsidRDefault="00561579" w:rsidP="006D1412">
            <w:pPr>
              <w:cnfStyle w:val="000000000000" w:firstRow="0" w:lastRow="0" w:firstColumn="0" w:lastColumn="0" w:oddVBand="0" w:evenVBand="0" w:oddHBand="0" w:evenHBand="0" w:firstRowFirstColumn="0" w:firstRowLastColumn="0" w:lastRowFirstColumn="0" w:lastRowLastColumn="0"/>
              <w:rPr>
                <w:szCs w:val="20"/>
              </w:rPr>
            </w:pPr>
          </w:p>
        </w:tc>
      </w:tr>
      <w:tr w:rsidR="00561579" w:rsidRPr="008A72E6" w14:paraId="516F2814" w14:textId="77777777" w:rsidTr="00561579">
        <w:trPr>
          <w:trHeight w:val="1027"/>
        </w:trPr>
        <w:tc>
          <w:tcPr>
            <w:cnfStyle w:val="001000000000" w:firstRow="0" w:lastRow="0" w:firstColumn="1" w:lastColumn="0" w:oddVBand="0" w:evenVBand="0" w:oddHBand="0" w:evenHBand="0" w:firstRowFirstColumn="0" w:firstRowLastColumn="0" w:lastRowFirstColumn="0" w:lastRowLastColumn="0"/>
            <w:tcW w:w="0" w:type="auto"/>
            <w:vMerge/>
          </w:tcPr>
          <w:p w14:paraId="318DC0EA" w14:textId="77777777" w:rsidR="00561579" w:rsidRPr="00AA22F2" w:rsidRDefault="00561579" w:rsidP="006D1412">
            <w:pPr>
              <w:rPr>
                <w:szCs w:val="20"/>
              </w:rPr>
            </w:pPr>
          </w:p>
        </w:tc>
        <w:tc>
          <w:tcPr>
            <w:tcW w:w="0" w:type="auto"/>
            <w:vMerge/>
          </w:tcPr>
          <w:p w14:paraId="262E9964" w14:textId="77777777" w:rsidR="00561579" w:rsidRPr="00AA22F2" w:rsidRDefault="00561579" w:rsidP="006D1412">
            <w:pPr>
              <w:cnfStyle w:val="000000000000" w:firstRow="0" w:lastRow="0" w:firstColumn="0" w:lastColumn="0" w:oddVBand="0" w:evenVBand="0" w:oddHBand="0" w:evenHBand="0" w:firstRowFirstColumn="0" w:firstRowLastColumn="0" w:lastRowFirstColumn="0" w:lastRowLastColumn="0"/>
              <w:rPr>
                <w:b/>
                <w:bCs/>
                <w:szCs w:val="20"/>
              </w:rPr>
            </w:pPr>
          </w:p>
        </w:tc>
        <w:tc>
          <w:tcPr>
            <w:tcW w:w="0" w:type="auto"/>
            <w:tcBorders>
              <w:top w:val="single" w:sz="4" w:space="0" w:color="B4C6E7" w:themeColor="accent1" w:themeTint="66"/>
            </w:tcBorders>
          </w:tcPr>
          <w:p w14:paraId="1F128658" w14:textId="77777777" w:rsidR="00561579" w:rsidRPr="00AA22F2" w:rsidRDefault="00561579" w:rsidP="00561579">
            <w:pPr>
              <w:cnfStyle w:val="000000000000" w:firstRow="0" w:lastRow="0" w:firstColumn="0" w:lastColumn="0" w:oddVBand="0" w:evenVBand="0" w:oddHBand="0" w:evenHBand="0" w:firstRowFirstColumn="0" w:firstRowLastColumn="0" w:lastRowFirstColumn="0" w:lastRowLastColumn="0"/>
              <w:rPr>
                <w:szCs w:val="20"/>
              </w:rPr>
            </w:pPr>
            <w:r w:rsidRPr="00AA22F2">
              <w:rPr>
                <w:szCs w:val="20"/>
              </w:rPr>
              <w:t xml:space="preserve">Mettre en place une politique de tolérance zéro au harcèlement ; </w:t>
            </w:r>
          </w:p>
          <w:p w14:paraId="64BF56A3" w14:textId="77777777" w:rsidR="00561579" w:rsidRPr="00AA22F2" w:rsidRDefault="00561579" w:rsidP="00561579">
            <w:pPr>
              <w:cnfStyle w:val="000000000000" w:firstRow="0" w:lastRow="0" w:firstColumn="0" w:lastColumn="0" w:oddVBand="0" w:evenVBand="0" w:oddHBand="0" w:evenHBand="0" w:firstRowFirstColumn="0" w:firstRowLastColumn="0" w:lastRowFirstColumn="0" w:lastRowLastColumn="0"/>
              <w:rPr>
                <w:szCs w:val="20"/>
              </w:rPr>
            </w:pPr>
            <w:r w:rsidRPr="00AA22F2">
              <w:rPr>
                <w:szCs w:val="20"/>
              </w:rPr>
              <w:t>Assurer un encadrement mixte (superviseurs femmes).</w:t>
            </w:r>
          </w:p>
        </w:tc>
        <w:tc>
          <w:tcPr>
            <w:tcW w:w="0" w:type="auto"/>
            <w:vMerge/>
          </w:tcPr>
          <w:p w14:paraId="1B6B85BB" w14:textId="77777777" w:rsidR="00561579" w:rsidRPr="00AA22F2" w:rsidRDefault="00561579" w:rsidP="006D1412">
            <w:pPr>
              <w:cnfStyle w:val="000000000000" w:firstRow="0" w:lastRow="0" w:firstColumn="0" w:lastColumn="0" w:oddVBand="0" w:evenVBand="0" w:oddHBand="0" w:evenHBand="0" w:firstRowFirstColumn="0" w:firstRowLastColumn="0" w:lastRowFirstColumn="0" w:lastRowLastColumn="0"/>
              <w:rPr>
                <w:szCs w:val="20"/>
              </w:rPr>
            </w:pPr>
          </w:p>
        </w:tc>
        <w:tc>
          <w:tcPr>
            <w:tcW w:w="0" w:type="auto"/>
            <w:vMerge/>
          </w:tcPr>
          <w:p w14:paraId="06F61A99" w14:textId="77777777" w:rsidR="00561579" w:rsidRPr="00AA22F2" w:rsidRDefault="00561579" w:rsidP="006D1412">
            <w:pPr>
              <w:cnfStyle w:val="000000000000" w:firstRow="0" w:lastRow="0" w:firstColumn="0" w:lastColumn="0" w:oddVBand="0" w:evenVBand="0" w:oddHBand="0" w:evenHBand="0" w:firstRowFirstColumn="0" w:firstRowLastColumn="0" w:lastRowFirstColumn="0" w:lastRowLastColumn="0"/>
              <w:rPr>
                <w:szCs w:val="20"/>
              </w:rPr>
            </w:pPr>
          </w:p>
        </w:tc>
        <w:tc>
          <w:tcPr>
            <w:tcW w:w="0" w:type="auto"/>
            <w:vMerge/>
          </w:tcPr>
          <w:p w14:paraId="2A6713E2" w14:textId="77777777" w:rsidR="00561579" w:rsidRPr="00BC1745" w:rsidRDefault="00561579" w:rsidP="006D1412">
            <w:pPr>
              <w:cnfStyle w:val="000000000000" w:firstRow="0" w:lastRow="0" w:firstColumn="0" w:lastColumn="0" w:oddVBand="0" w:evenVBand="0" w:oddHBand="0" w:evenHBand="0" w:firstRowFirstColumn="0" w:firstRowLastColumn="0" w:lastRowFirstColumn="0" w:lastRowLastColumn="0"/>
              <w:rPr>
                <w:szCs w:val="20"/>
              </w:rPr>
            </w:pPr>
          </w:p>
        </w:tc>
        <w:tc>
          <w:tcPr>
            <w:tcW w:w="0" w:type="auto"/>
            <w:vMerge/>
          </w:tcPr>
          <w:p w14:paraId="4F7296B3" w14:textId="77777777" w:rsidR="00561579" w:rsidRPr="00AA22F2" w:rsidRDefault="00561579" w:rsidP="006D1412">
            <w:pPr>
              <w:cnfStyle w:val="000000000000" w:firstRow="0" w:lastRow="0" w:firstColumn="0" w:lastColumn="0" w:oddVBand="0" w:evenVBand="0" w:oddHBand="0" w:evenHBand="0" w:firstRowFirstColumn="0" w:firstRowLastColumn="0" w:lastRowFirstColumn="0" w:lastRowLastColumn="0"/>
              <w:rPr>
                <w:szCs w:val="20"/>
              </w:rPr>
            </w:pPr>
          </w:p>
        </w:tc>
        <w:tc>
          <w:tcPr>
            <w:tcW w:w="0" w:type="auto"/>
            <w:vMerge/>
          </w:tcPr>
          <w:p w14:paraId="7A0C2372" w14:textId="77777777" w:rsidR="00561579" w:rsidRPr="00AA22F2" w:rsidRDefault="00561579" w:rsidP="006D1412">
            <w:pPr>
              <w:cnfStyle w:val="000000000000" w:firstRow="0" w:lastRow="0" w:firstColumn="0" w:lastColumn="0" w:oddVBand="0" w:evenVBand="0" w:oddHBand="0" w:evenHBand="0" w:firstRowFirstColumn="0" w:firstRowLastColumn="0" w:lastRowFirstColumn="0" w:lastRowLastColumn="0"/>
              <w:rPr>
                <w:szCs w:val="20"/>
              </w:rPr>
            </w:pPr>
          </w:p>
        </w:tc>
        <w:tc>
          <w:tcPr>
            <w:tcW w:w="0" w:type="auto"/>
            <w:vMerge/>
          </w:tcPr>
          <w:p w14:paraId="3EB8C520" w14:textId="77777777" w:rsidR="00561579" w:rsidRPr="00561579" w:rsidRDefault="00561579" w:rsidP="006D1412">
            <w:pPr>
              <w:cnfStyle w:val="000000000000" w:firstRow="0" w:lastRow="0" w:firstColumn="0" w:lastColumn="0" w:oddVBand="0" w:evenVBand="0" w:oddHBand="0" w:evenHBand="0" w:firstRowFirstColumn="0" w:firstRowLastColumn="0" w:lastRowFirstColumn="0" w:lastRowLastColumn="0"/>
              <w:rPr>
                <w:szCs w:val="20"/>
              </w:rPr>
            </w:pPr>
          </w:p>
        </w:tc>
      </w:tr>
      <w:tr w:rsidR="00CB6B6C" w:rsidRPr="008A72E6" w14:paraId="2D56A7BC" w14:textId="77777777" w:rsidTr="00774FC4">
        <w:tc>
          <w:tcPr>
            <w:cnfStyle w:val="001000000000" w:firstRow="0" w:lastRow="0" w:firstColumn="1" w:lastColumn="0" w:oddVBand="0" w:evenVBand="0" w:oddHBand="0" w:evenHBand="0" w:firstRowFirstColumn="0" w:firstRowLastColumn="0" w:lastRowFirstColumn="0" w:lastRowLastColumn="0"/>
            <w:tcW w:w="0" w:type="auto"/>
            <w:vMerge/>
            <w:hideMark/>
          </w:tcPr>
          <w:p w14:paraId="6AF5F74C" w14:textId="77777777" w:rsidR="006D1412" w:rsidRPr="00AA22F2" w:rsidRDefault="006D1412" w:rsidP="006D1412">
            <w:pPr>
              <w:rPr>
                <w:szCs w:val="20"/>
              </w:rPr>
            </w:pPr>
          </w:p>
        </w:tc>
        <w:tc>
          <w:tcPr>
            <w:tcW w:w="0" w:type="auto"/>
            <w:hideMark/>
          </w:tcPr>
          <w:p w14:paraId="791D1AEA" w14:textId="77777777" w:rsidR="006D1412" w:rsidRPr="00AA22F2" w:rsidRDefault="006D1412" w:rsidP="006D1412">
            <w:pPr>
              <w:cnfStyle w:val="000000000000" w:firstRow="0" w:lastRow="0" w:firstColumn="0" w:lastColumn="0" w:oddVBand="0" w:evenVBand="0" w:oddHBand="0" w:evenHBand="0" w:firstRowFirstColumn="0" w:firstRowLastColumn="0" w:lastRowFirstColumn="0" w:lastRowLastColumn="0"/>
              <w:rPr>
                <w:b/>
                <w:bCs/>
                <w:szCs w:val="20"/>
              </w:rPr>
            </w:pPr>
            <w:r w:rsidRPr="00AA22F2">
              <w:rPr>
                <w:b/>
                <w:bCs/>
                <w:szCs w:val="20"/>
              </w:rPr>
              <w:t>Atténuer</w:t>
            </w:r>
          </w:p>
        </w:tc>
        <w:tc>
          <w:tcPr>
            <w:tcW w:w="0" w:type="auto"/>
            <w:hideMark/>
          </w:tcPr>
          <w:p w14:paraId="5A917983" w14:textId="77777777" w:rsidR="006D1412" w:rsidRPr="00AA22F2" w:rsidRDefault="006D1412" w:rsidP="006D1412">
            <w:pPr>
              <w:cnfStyle w:val="000000000000" w:firstRow="0" w:lastRow="0" w:firstColumn="0" w:lastColumn="0" w:oddVBand="0" w:evenVBand="0" w:oddHBand="0" w:evenHBand="0" w:firstRowFirstColumn="0" w:firstRowLastColumn="0" w:lastRowFirstColumn="0" w:lastRowLastColumn="0"/>
              <w:rPr>
                <w:szCs w:val="20"/>
              </w:rPr>
            </w:pPr>
            <w:r w:rsidRPr="00AA22F2">
              <w:rPr>
                <w:szCs w:val="20"/>
              </w:rPr>
              <w:t xml:space="preserve">Créer un mécanisme de plainte confidentiel et accessible (boîtes à doléances, hotline) ; </w:t>
            </w:r>
          </w:p>
          <w:p w14:paraId="6C9E6A08" w14:textId="5398F4D0" w:rsidR="006D1412" w:rsidRPr="00AA22F2" w:rsidRDefault="006D1412" w:rsidP="006D1412">
            <w:pPr>
              <w:cnfStyle w:val="000000000000" w:firstRow="0" w:lastRow="0" w:firstColumn="0" w:lastColumn="0" w:oddVBand="0" w:evenVBand="0" w:oddHBand="0" w:evenHBand="0" w:firstRowFirstColumn="0" w:firstRowLastColumn="0" w:lastRowFirstColumn="0" w:lastRowLastColumn="0"/>
              <w:rPr>
                <w:szCs w:val="20"/>
              </w:rPr>
            </w:pPr>
            <w:r w:rsidRPr="00AA22F2">
              <w:rPr>
                <w:szCs w:val="20"/>
              </w:rPr>
              <w:t>Mettre en place un comité mixte de médiation.</w:t>
            </w:r>
          </w:p>
        </w:tc>
        <w:tc>
          <w:tcPr>
            <w:tcW w:w="0" w:type="auto"/>
            <w:hideMark/>
          </w:tcPr>
          <w:p w14:paraId="5DFB5143" w14:textId="2D699E1F" w:rsidR="006D1412" w:rsidRPr="00AA22F2" w:rsidRDefault="006D1412" w:rsidP="006D1412">
            <w:pPr>
              <w:cnfStyle w:val="000000000000" w:firstRow="0" w:lastRow="0" w:firstColumn="0" w:lastColumn="0" w:oddVBand="0" w:evenVBand="0" w:oddHBand="0" w:evenHBand="0" w:firstRowFirstColumn="0" w:firstRowLastColumn="0" w:lastRowFirstColumn="0" w:lastRowLastColumn="0"/>
              <w:rPr>
                <w:szCs w:val="20"/>
              </w:rPr>
            </w:pPr>
            <w:r w:rsidRPr="00AA22F2">
              <w:rPr>
                <w:szCs w:val="20"/>
              </w:rPr>
              <w:t xml:space="preserve">Nb de plaintes reçues et résolues ; </w:t>
            </w:r>
          </w:p>
          <w:p w14:paraId="1456ABD2" w14:textId="017E5F92" w:rsidR="006D1412" w:rsidRPr="00AA22F2" w:rsidRDefault="006D1412" w:rsidP="006D1412">
            <w:pPr>
              <w:cnfStyle w:val="000000000000" w:firstRow="0" w:lastRow="0" w:firstColumn="0" w:lastColumn="0" w:oddVBand="0" w:evenVBand="0" w:oddHBand="0" w:evenHBand="0" w:firstRowFirstColumn="0" w:firstRowLastColumn="0" w:lastRowFirstColumn="0" w:lastRowLastColumn="0"/>
              <w:rPr>
                <w:szCs w:val="20"/>
              </w:rPr>
            </w:pPr>
            <w:r w:rsidRPr="00AA22F2">
              <w:rPr>
                <w:szCs w:val="20"/>
              </w:rPr>
              <w:t>Nb de réunions du comité.</w:t>
            </w:r>
          </w:p>
        </w:tc>
        <w:tc>
          <w:tcPr>
            <w:tcW w:w="0" w:type="auto"/>
            <w:hideMark/>
          </w:tcPr>
          <w:p w14:paraId="5C0A54F4" w14:textId="0FDC56B8" w:rsidR="006D1412" w:rsidRPr="00AA22F2" w:rsidRDefault="006D1412" w:rsidP="006D1412">
            <w:pPr>
              <w:cnfStyle w:val="000000000000" w:firstRow="0" w:lastRow="0" w:firstColumn="0" w:lastColumn="0" w:oddVBand="0" w:evenVBand="0" w:oddHBand="0" w:evenHBand="0" w:firstRowFirstColumn="0" w:firstRowLastColumn="0" w:lastRowFirstColumn="0" w:lastRowLastColumn="0"/>
              <w:rPr>
                <w:szCs w:val="20"/>
              </w:rPr>
            </w:pPr>
            <w:r w:rsidRPr="00AA22F2">
              <w:rPr>
                <w:szCs w:val="20"/>
              </w:rPr>
              <w:t xml:space="preserve">ONDA </w:t>
            </w:r>
          </w:p>
        </w:tc>
        <w:tc>
          <w:tcPr>
            <w:tcW w:w="0" w:type="auto"/>
            <w:hideMark/>
          </w:tcPr>
          <w:p w14:paraId="136A014A" w14:textId="26F93F56" w:rsidR="006D1412" w:rsidRPr="00AA22F2" w:rsidRDefault="006D1412" w:rsidP="006D1412">
            <w:pPr>
              <w:cnfStyle w:val="000000000000" w:firstRow="0" w:lastRow="0" w:firstColumn="0" w:lastColumn="0" w:oddVBand="0" w:evenVBand="0" w:oddHBand="0" w:evenHBand="0" w:firstRowFirstColumn="0" w:firstRowLastColumn="0" w:lastRowFirstColumn="0" w:lastRowLastColumn="0"/>
              <w:rPr>
                <w:szCs w:val="20"/>
              </w:rPr>
            </w:pPr>
            <w:r w:rsidRPr="00BC1745">
              <w:rPr>
                <w:szCs w:val="20"/>
              </w:rPr>
              <w:t>Bureau de contrôle / Consultant de supervision mandaté par l’ONDA</w:t>
            </w:r>
          </w:p>
        </w:tc>
        <w:tc>
          <w:tcPr>
            <w:tcW w:w="0" w:type="auto"/>
            <w:hideMark/>
          </w:tcPr>
          <w:p w14:paraId="64C035E5" w14:textId="77777777" w:rsidR="006D1412" w:rsidRPr="00AA22F2" w:rsidRDefault="006D1412" w:rsidP="006D1412">
            <w:pPr>
              <w:cnfStyle w:val="000000000000" w:firstRow="0" w:lastRow="0" w:firstColumn="0" w:lastColumn="0" w:oddVBand="0" w:evenVBand="0" w:oddHBand="0" w:evenHBand="0" w:firstRowFirstColumn="0" w:firstRowLastColumn="0" w:lastRowFirstColumn="0" w:lastRowLastColumn="0"/>
              <w:rPr>
                <w:szCs w:val="20"/>
              </w:rPr>
            </w:pPr>
            <w:r w:rsidRPr="00AA22F2">
              <w:rPr>
                <w:szCs w:val="20"/>
              </w:rPr>
              <w:t>ONDA</w:t>
            </w:r>
          </w:p>
        </w:tc>
        <w:tc>
          <w:tcPr>
            <w:tcW w:w="0" w:type="auto"/>
            <w:hideMark/>
          </w:tcPr>
          <w:p w14:paraId="3CE06D01" w14:textId="77777777" w:rsidR="006D1412" w:rsidRPr="00AA22F2" w:rsidRDefault="006D1412" w:rsidP="006D1412">
            <w:pPr>
              <w:cnfStyle w:val="000000000000" w:firstRow="0" w:lastRow="0" w:firstColumn="0" w:lastColumn="0" w:oddVBand="0" w:evenVBand="0" w:oddHBand="0" w:evenHBand="0" w:firstRowFirstColumn="0" w:firstRowLastColumn="0" w:lastRowFirstColumn="0" w:lastRowLastColumn="0"/>
              <w:rPr>
                <w:szCs w:val="20"/>
              </w:rPr>
            </w:pPr>
            <w:r w:rsidRPr="00AA22F2">
              <w:rPr>
                <w:szCs w:val="20"/>
              </w:rPr>
              <w:t>Continu</w:t>
            </w:r>
          </w:p>
        </w:tc>
        <w:tc>
          <w:tcPr>
            <w:tcW w:w="0" w:type="auto"/>
            <w:hideMark/>
          </w:tcPr>
          <w:p w14:paraId="08C29EE7" w14:textId="257BC2A8" w:rsidR="006D1412" w:rsidRPr="00AA22F2" w:rsidRDefault="00561579" w:rsidP="006D1412">
            <w:pPr>
              <w:cnfStyle w:val="000000000000" w:firstRow="0" w:lastRow="0" w:firstColumn="0" w:lastColumn="0" w:oddVBand="0" w:evenVBand="0" w:oddHBand="0" w:evenHBand="0" w:firstRowFirstColumn="0" w:firstRowLastColumn="0" w:lastRowFirstColumn="0" w:lastRowLastColumn="0"/>
              <w:rPr>
                <w:szCs w:val="20"/>
              </w:rPr>
            </w:pPr>
            <w:r>
              <w:rPr>
                <w:szCs w:val="20"/>
              </w:rPr>
              <w:t>80 000MAD/an</w:t>
            </w:r>
          </w:p>
        </w:tc>
      </w:tr>
      <w:tr w:rsidR="00CB6B6C" w:rsidRPr="008A72E6" w14:paraId="5B5B77B8" w14:textId="77777777" w:rsidTr="00774FC4">
        <w:tc>
          <w:tcPr>
            <w:cnfStyle w:val="001000000000" w:firstRow="0" w:lastRow="0" w:firstColumn="1" w:lastColumn="0" w:oddVBand="0" w:evenVBand="0" w:oddHBand="0" w:evenHBand="0" w:firstRowFirstColumn="0" w:firstRowLastColumn="0" w:lastRowFirstColumn="0" w:lastRowLastColumn="0"/>
            <w:tcW w:w="0" w:type="auto"/>
            <w:vMerge/>
            <w:hideMark/>
          </w:tcPr>
          <w:p w14:paraId="706DAA64" w14:textId="77777777" w:rsidR="006D1412" w:rsidRPr="00AA22F2" w:rsidRDefault="006D1412" w:rsidP="006D1412">
            <w:pPr>
              <w:rPr>
                <w:szCs w:val="20"/>
              </w:rPr>
            </w:pPr>
          </w:p>
        </w:tc>
        <w:tc>
          <w:tcPr>
            <w:tcW w:w="0" w:type="auto"/>
            <w:hideMark/>
          </w:tcPr>
          <w:p w14:paraId="3A2EA907" w14:textId="77777777" w:rsidR="006D1412" w:rsidRPr="00AA22F2" w:rsidRDefault="006D1412" w:rsidP="006D1412">
            <w:pPr>
              <w:cnfStyle w:val="000000000000" w:firstRow="0" w:lastRow="0" w:firstColumn="0" w:lastColumn="0" w:oddVBand="0" w:evenVBand="0" w:oddHBand="0" w:evenHBand="0" w:firstRowFirstColumn="0" w:firstRowLastColumn="0" w:lastRowFirstColumn="0" w:lastRowLastColumn="0"/>
              <w:rPr>
                <w:b/>
                <w:bCs/>
                <w:szCs w:val="20"/>
              </w:rPr>
            </w:pPr>
            <w:r w:rsidRPr="00AA22F2">
              <w:rPr>
                <w:b/>
                <w:bCs/>
                <w:szCs w:val="20"/>
              </w:rPr>
              <w:t>Compenser</w:t>
            </w:r>
          </w:p>
        </w:tc>
        <w:tc>
          <w:tcPr>
            <w:tcW w:w="0" w:type="auto"/>
            <w:hideMark/>
          </w:tcPr>
          <w:p w14:paraId="2B173E32" w14:textId="1C5B7B88" w:rsidR="006D1412" w:rsidRPr="00AA22F2" w:rsidRDefault="006D1412" w:rsidP="006D1412">
            <w:pPr>
              <w:cnfStyle w:val="000000000000" w:firstRow="0" w:lastRow="0" w:firstColumn="0" w:lastColumn="0" w:oddVBand="0" w:evenVBand="0" w:oddHBand="0" w:evenHBand="0" w:firstRowFirstColumn="0" w:firstRowLastColumn="0" w:lastRowFirstColumn="0" w:lastRowLastColumn="0"/>
              <w:rPr>
                <w:szCs w:val="20"/>
              </w:rPr>
            </w:pPr>
            <w:r w:rsidRPr="00AA22F2">
              <w:rPr>
                <w:szCs w:val="20"/>
              </w:rPr>
              <w:t>Organiser des sessions communautaires conjointes (travailleurs + habitants) sur la cohabitation respectueuse.</w:t>
            </w:r>
          </w:p>
        </w:tc>
        <w:tc>
          <w:tcPr>
            <w:tcW w:w="0" w:type="auto"/>
            <w:hideMark/>
          </w:tcPr>
          <w:p w14:paraId="43BB9459" w14:textId="77777777" w:rsidR="006D1412" w:rsidRPr="00AA22F2" w:rsidRDefault="006D1412" w:rsidP="006D1412">
            <w:pPr>
              <w:cnfStyle w:val="000000000000" w:firstRow="0" w:lastRow="0" w:firstColumn="0" w:lastColumn="0" w:oddVBand="0" w:evenVBand="0" w:oddHBand="0" w:evenHBand="0" w:firstRowFirstColumn="0" w:firstRowLastColumn="0" w:lastRowFirstColumn="0" w:lastRowLastColumn="0"/>
              <w:rPr>
                <w:szCs w:val="20"/>
              </w:rPr>
            </w:pPr>
            <w:r w:rsidRPr="00AA22F2">
              <w:rPr>
                <w:szCs w:val="20"/>
              </w:rPr>
              <w:t xml:space="preserve">Nb d’initiatives communautaires soutenues ; </w:t>
            </w:r>
          </w:p>
          <w:p w14:paraId="35B9D709" w14:textId="243C98B8" w:rsidR="006D1412" w:rsidRPr="00AA22F2" w:rsidRDefault="006D1412" w:rsidP="006D1412">
            <w:pPr>
              <w:cnfStyle w:val="000000000000" w:firstRow="0" w:lastRow="0" w:firstColumn="0" w:lastColumn="0" w:oddVBand="0" w:evenVBand="0" w:oddHBand="0" w:evenHBand="0" w:firstRowFirstColumn="0" w:firstRowLastColumn="0" w:lastRowFirstColumn="0" w:lastRowLastColumn="0"/>
              <w:rPr>
                <w:szCs w:val="20"/>
              </w:rPr>
            </w:pPr>
            <w:r w:rsidRPr="00AA22F2">
              <w:rPr>
                <w:szCs w:val="20"/>
              </w:rPr>
              <w:t>Nb de participants.</w:t>
            </w:r>
          </w:p>
        </w:tc>
        <w:tc>
          <w:tcPr>
            <w:tcW w:w="0" w:type="auto"/>
            <w:hideMark/>
          </w:tcPr>
          <w:p w14:paraId="357B4A10" w14:textId="77777777" w:rsidR="006D1412" w:rsidRPr="00AA22F2" w:rsidRDefault="006D1412" w:rsidP="006D1412">
            <w:pPr>
              <w:cnfStyle w:val="000000000000" w:firstRow="0" w:lastRow="0" w:firstColumn="0" w:lastColumn="0" w:oddVBand="0" w:evenVBand="0" w:oddHBand="0" w:evenHBand="0" w:firstRowFirstColumn="0" w:firstRowLastColumn="0" w:lastRowFirstColumn="0" w:lastRowLastColumn="0"/>
              <w:rPr>
                <w:szCs w:val="20"/>
              </w:rPr>
            </w:pPr>
            <w:r w:rsidRPr="00AA22F2">
              <w:rPr>
                <w:szCs w:val="20"/>
              </w:rPr>
              <w:t>ONDA</w:t>
            </w:r>
          </w:p>
        </w:tc>
        <w:tc>
          <w:tcPr>
            <w:tcW w:w="0" w:type="auto"/>
            <w:hideMark/>
          </w:tcPr>
          <w:p w14:paraId="55D520D4" w14:textId="625FA64D" w:rsidR="006D1412" w:rsidRPr="00AA22F2" w:rsidRDefault="006D1412" w:rsidP="006D1412">
            <w:pPr>
              <w:cnfStyle w:val="000000000000" w:firstRow="0" w:lastRow="0" w:firstColumn="0" w:lastColumn="0" w:oddVBand="0" w:evenVBand="0" w:oddHBand="0" w:evenHBand="0" w:firstRowFirstColumn="0" w:firstRowLastColumn="0" w:lastRowFirstColumn="0" w:lastRowLastColumn="0"/>
              <w:rPr>
                <w:szCs w:val="20"/>
              </w:rPr>
            </w:pPr>
            <w:r w:rsidRPr="00BC1745">
              <w:rPr>
                <w:szCs w:val="20"/>
              </w:rPr>
              <w:t>Bureau de contrôle / Consultant de supervision mandaté par l’ONDA</w:t>
            </w:r>
          </w:p>
        </w:tc>
        <w:tc>
          <w:tcPr>
            <w:tcW w:w="0" w:type="auto"/>
            <w:hideMark/>
          </w:tcPr>
          <w:p w14:paraId="6C5936C3" w14:textId="77777777" w:rsidR="006D1412" w:rsidRPr="00AA22F2" w:rsidRDefault="006D1412" w:rsidP="006D1412">
            <w:pPr>
              <w:cnfStyle w:val="000000000000" w:firstRow="0" w:lastRow="0" w:firstColumn="0" w:lastColumn="0" w:oddVBand="0" w:evenVBand="0" w:oddHBand="0" w:evenHBand="0" w:firstRowFirstColumn="0" w:firstRowLastColumn="0" w:lastRowFirstColumn="0" w:lastRowLastColumn="0"/>
              <w:rPr>
                <w:szCs w:val="20"/>
              </w:rPr>
            </w:pPr>
            <w:r w:rsidRPr="00AA22F2">
              <w:rPr>
                <w:szCs w:val="20"/>
              </w:rPr>
              <w:t>ONDA</w:t>
            </w:r>
          </w:p>
        </w:tc>
        <w:tc>
          <w:tcPr>
            <w:tcW w:w="0" w:type="auto"/>
            <w:hideMark/>
          </w:tcPr>
          <w:p w14:paraId="3596B733" w14:textId="77777777" w:rsidR="006D1412" w:rsidRPr="00AA22F2" w:rsidRDefault="006D1412" w:rsidP="006D1412">
            <w:pPr>
              <w:cnfStyle w:val="000000000000" w:firstRow="0" w:lastRow="0" w:firstColumn="0" w:lastColumn="0" w:oddVBand="0" w:evenVBand="0" w:oddHBand="0" w:evenHBand="0" w:firstRowFirstColumn="0" w:firstRowLastColumn="0" w:lastRowFirstColumn="0" w:lastRowLastColumn="0"/>
              <w:rPr>
                <w:szCs w:val="20"/>
              </w:rPr>
            </w:pPr>
            <w:r w:rsidRPr="00AA22F2">
              <w:rPr>
                <w:szCs w:val="20"/>
              </w:rPr>
              <w:t>Selon les besoins</w:t>
            </w:r>
          </w:p>
        </w:tc>
        <w:tc>
          <w:tcPr>
            <w:tcW w:w="0" w:type="auto"/>
            <w:hideMark/>
          </w:tcPr>
          <w:p w14:paraId="71FEE9C7" w14:textId="17E75B8F" w:rsidR="006D1412" w:rsidRPr="00AA22F2" w:rsidRDefault="00561579" w:rsidP="006D1412">
            <w:pPr>
              <w:cnfStyle w:val="000000000000" w:firstRow="0" w:lastRow="0" w:firstColumn="0" w:lastColumn="0" w:oddVBand="0" w:evenVBand="0" w:oddHBand="0" w:evenHBand="0" w:firstRowFirstColumn="0" w:firstRowLastColumn="0" w:lastRowFirstColumn="0" w:lastRowLastColumn="0"/>
              <w:rPr>
                <w:szCs w:val="20"/>
              </w:rPr>
            </w:pPr>
            <w:r w:rsidRPr="00561579">
              <w:rPr>
                <w:szCs w:val="20"/>
              </w:rPr>
              <w:t>4 000 MAD / session</w:t>
            </w:r>
          </w:p>
        </w:tc>
      </w:tr>
      <w:tr w:rsidR="00CB6B6C" w:rsidRPr="008A72E6" w14:paraId="5BD8EF78" w14:textId="77777777" w:rsidTr="00774FC4">
        <w:tc>
          <w:tcPr>
            <w:cnfStyle w:val="001000000000" w:firstRow="0" w:lastRow="0" w:firstColumn="1" w:lastColumn="0" w:oddVBand="0" w:evenVBand="0" w:oddHBand="0" w:evenHBand="0" w:firstRowFirstColumn="0" w:firstRowLastColumn="0" w:lastRowFirstColumn="0" w:lastRowLastColumn="0"/>
            <w:tcW w:w="0" w:type="auto"/>
            <w:vMerge w:val="restart"/>
            <w:hideMark/>
          </w:tcPr>
          <w:p w14:paraId="326DD42E" w14:textId="77777777" w:rsidR="006D1412" w:rsidRPr="00AA22F2" w:rsidRDefault="006D1412" w:rsidP="006D1412">
            <w:pPr>
              <w:rPr>
                <w:szCs w:val="20"/>
              </w:rPr>
            </w:pPr>
            <w:r w:rsidRPr="00AA22F2">
              <w:rPr>
                <w:szCs w:val="20"/>
              </w:rPr>
              <w:t>Risque d’incendie ou d’explosion affectant les communautés voisines</w:t>
            </w:r>
          </w:p>
        </w:tc>
        <w:tc>
          <w:tcPr>
            <w:tcW w:w="0" w:type="auto"/>
            <w:hideMark/>
          </w:tcPr>
          <w:p w14:paraId="3A71BA9C" w14:textId="77777777" w:rsidR="006D1412" w:rsidRPr="00AA22F2" w:rsidRDefault="006D1412" w:rsidP="006D1412">
            <w:pPr>
              <w:cnfStyle w:val="000000000000" w:firstRow="0" w:lastRow="0" w:firstColumn="0" w:lastColumn="0" w:oddVBand="0" w:evenVBand="0" w:oddHBand="0" w:evenHBand="0" w:firstRowFirstColumn="0" w:firstRowLastColumn="0" w:lastRowFirstColumn="0" w:lastRowLastColumn="0"/>
              <w:rPr>
                <w:b/>
                <w:bCs/>
                <w:szCs w:val="20"/>
              </w:rPr>
            </w:pPr>
            <w:r w:rsidRPr="00AA22F2">
              <w:rPr>
                <w:b/>
                <w:bCs/>
                <w:szCs w:val="20"/>
              </w:rPr>
              <w:t>Éviter</w:t>
            </w:r>
          </w:p>
        </w:tc>
        <w:tc>
          <w:tcPr>
            <w:tcW w:w="0" w:type="auto"/>
            <w:hideMark/>
          </w:tcPr>
          <w:p w14:paraId="515B22AC" w14:textId="77777777" w:rsidR="006D1412" w:rsidRPr="00AA22F2" w:rsidRDefault="006D1412" w:rsidP="006D1412">
            <w:pPr>
              <w:cnfStyle w:val="000000000000" w:firstRow="0" w:lastRow="0" w:firstColumn="0" w:lastColumn="0" w:oddVBand="0" w:evenVBand="0" w:oddHBand="0" w:evenHBand="0" w:firstRowFirstColumn="0" w:firstRowLastColumn="0" w:lastRowFirstColumn="0" w:lastRowLastColumn="0"/>
              <w:rPr>
                <w:szCs w:val="20"/>
              </w:rPr>
            </w:pPr>
            <w:r w:rsidRPr="00AA22F2">
              <w:rPr>
                <w:szCs w:val="20"/>
              </w:rPr>
              <w:t xml:space="preserve">Éviter le stockage massif de carburants à proximité des zones actives ; </w:t>
            </w:r>
          </w:p>
          <w:p w14:paraId="7C5E4F76" w14:textId="77777777" w:rsidR="006D1412" w:rsidRPr="00AA22F2" w:rsidRDefault="006D1412" w:rsidP="006D1412">
            <w:pPr>
              <w:cnfStyle w:val="000000000000" w:firstRow="0" w:lastRow="0" w:firstColumn="0" w:lastColumn="0" w:oddVBand="0" w:evenVBand="0" w:oddHBand="0" w:evenHBand="0" w:firstRowFirstColumn="0" w:firstRowLastColumn="0" w:lastRowFirstColumn="0" w:lastRowLastColumn="0"/>
              <w:rPr>
                <w:szCs w:val="20"/>
              </w:rPr>
            </w:pPr>
            <w:r w:rsidRPr="00AA22F2">
              <w:rPr>
                <w:szCs w:val="20"/>
              </w:rPr>
              <w:t xml:space="preserve">Localiser les zones de stockage à plus de 500 m des habitations ; </w:t>
            </w:r>
          </w:p>
          <w:p w14:paraId="3810BA9B" w14:textId="05D8C8B5" w:rsidR="006D1412" w:rsidRPr="00AA22F2" w:rsidRDefault="006D1412" w:rsidP="006D1412">
            <w:pPr>
              <w:cnfStyle w:val="000000000000" w:firstRow="0" w:lastRow="0" w:firstColumn="0" w:lastColumn="0" w:oddVBand="0" w:evenVBand="0" w:oddHBand="0" w:evenHBand="0" w:firstRowFirstColumn="0" w:firstRowLastColumn="0" w:lastRowFirstColumn="0" w:lastRowLastColumn="0"/>
              <w:rPr>
                <w:szCs w:val="20"/>
              </w:rPr>
            </w:pPr>
            <w:r w:rsidRPr="00AA22F2">
              <w:rPr>
                <w:szCs w:val="20"/>
              </w:rPr>
              <w:t>Séparer les zones de maintenance et de stockage.</w:t>
            </w:r>
          </w:p>
        </w:tc>
        <w:tc>
          <w:tcPr>
            <w:tcW w:w="0" w:type="auto"/>
            <w:hideMark/>
          </w:tcPr>
          <w:p w14:paraId="232A7AFE" w14:textId="77777777" w:rsidR="006D1412" w:rsidRPr="00AA22F2" w:rsidRDefault="006D1412" w:rsidP="006D1412">
            <w:pPr>
              <w:cnfStyle w:val="000000000000" w:firstRow="0" w:lastRow="0" w:firstColumn="0" w:lastColumn="0" w:oddVBand="0" w:evenVBand="0" w:oddHBand="0" w:evenHBand="0" w:firstRowFirstColumn="0" w:firstRowLastColumn="0" w:lastRowFirstColumn="0" w:lastRowLastColumn="0"/>
              <w:rPr>
                <w:szCs w:val="20"/>
              </w:rPr>
            </w:pPr>
            <w:r w:rsidRPr="00AA22F2">
              <w:rPr>
                <w:szCs w:val="20"/>
              </w:rPr>
              <w:t xml:space="preserve">Nb de zones de stockage sécurisées ; </w:t>
            </w:r>
          </w:p>
          <w:p w14:paraId="74D38E2B" w14:textId="36457F1E" w:rsidR="006D1412" w:rsidRPr="00AA22F2" w:rsidRDefault="006D1412" w:rsidP="006D1412">
            <w:pPr>
              <w:cnfStyle w:val="000000000000" w:firstRow="0" w:lastRow="0" w:firstColumn="0" w:lastColumn="0" w:oddVBand="0" w:evenVBand="0" w:oddHBand="0" w:evenHBand="0" w:firstRowFirstColumn="0" w:firstRowLastColumn="0" w:lastRowFirstColumn="0" w:lastRowLastColumn="0"/>
              <w:rPr>
                <w:szCs w:val="20"/>
              </w:rPr>
            </w:pPr>
            <w:r w:rsidRPr="00AA22F2">
              <w:rPr>
                <w:szCs w:val="20"/>
              </w:rPr>
              <w:t>Nb de contrôles de conformité.</w:t>
            </w:r>
          </w:p>
        </w:tc>
        <w:tc>
          <w:tcPr>
            <w:tcW w:w="0" w:type="auto"/>
            <w:hideMark/>
          </w:tcPr>
          <w:p w14:paraId="7301FADC" w14:textId="77777777" w:rsidR="006D1412" w:rsidRPr="00AA22F2" w:rsidRDefault="006D1412" w:rsidP="006D1412">
            <w:pPr>
              <w:cnfStyle w:val="000000000000" w:firstRow="0" w:lastRow="0" w:firstColumn="0" w:lastColumn="0" w:oddVBand="0" w:evenVBand="0" w:oddHBand="0" w:evenHBand="0" w:firstRowFirstColumn="0" w:firstRowLastColumn="0" w:lastRowFirstColumn="0" w:lastRowLastColumn="0"/>
              <w:rPr>
                <w:szCs w:val="20"/>
              </w:rPr>
            </w:pPr>
            <w:r w:rsidRPr="00AA22F2">
              <w:rPr>
                <w:szCs w:val="20"/>
              </w:rPr>
              <w:t>EPC / Sous-traitants</w:t>
            </w:r>
          </w:p>
        </w:tc>
        <w:tc>
          <w:tcPr>
            <w:tcW w:w="0" w:type="auto"/>
            <w:hideMark/>
          </w:tcPr>
          <w:p w14:paraId="2E01B1D9" w14:textId="48F66C7D" w:rsidR="006D1412" w:rsidRPr="00AA22F2" w:rsidRDefault="006D1412" w:rsidP="006D1412">
            <w:pPr>
              <w:cnfStyle w:val="000000000000" w:firstRow="0" w:lastRow="0" w:firstColumn="0" w:lastColumn="0" w:oddVBand="0" w:evenVBand="0" w:oddHBand="0" w:evenHBand="0" w:firstRowFirstColumn="0" w:firstRowLastColumn="0" w:lastRowFirstColumn="0" w:lastRowLastColumn="0"/>
              <w:rPr>
                <w:szCs w:val="20"/>
              </w:rPr>
            </w:pPr>
            <w:r w:rsidRPr="00BC1745">
              <w:rPr>
                <w:szCs w:val="20"/>
              </w:rPr>
              <w:t>Bureau de contrôle / Consultant de supervision mandaté par l’ONDA</w:t>
            </w:r>
          </w:p>
        </w:tc>
        <w:tc>
          <w:tcPr>
            <w:tcW w:w="0" w:type="auto"/>
            <w:hideMark/>
          </w:tcPr>
          <w:p w14:paraId="1210A947" w14:textId="3684B112" w:rsidR="006D1412" w:rsidRPr="00AA22F2" w:rsidRDefault="006D1412" w:rsidP="006D1412">
            <w:pPr>
              <w:cnfStyle w:val="000000000000" w:firstRow="0" w:lastRow="0" w:firstColumn="0" w:lastColumn="0" w:oddVBand="0" w:evenVBand="0" w:oddHBand="0" w:evenHBand="0" w:firstRowFirstColumn="0" w:firstRowLastColumn="0" w:lastRowFirstColumn="0" w:lastRowLastColumn="0"/>
              <w:rPr>
                <w:szCs w:val="20"/>
              </w:rPr>
            </w:pPr>
            <w:r w:rsidRPr="00AA22F2">
              <w:rPr>
                <w:szCs w:val="20"/>
              </w:rPr>
              <w:t xml:space="preserve">ONDA </w:t>
            </w:r>
          </w:p>
        </w:tc>
        <w:tc>
          <w:tcPr>
            <w:tcW w:w="0" w:type="auto"/>
            <w:hideMark/>
          </w:tcPr>
          <w:p w14:paraId="243ABB4C" w14:textId="77777777" w:rsidR="006D1412" w:rsidRPr="00AA22F2" w:rsidRDefault="006D1412" w:rsidP="006D1412">
            <w:pPr>
              <w:cnfStyle w:val="000000000000" w:firstRow="0" w:lastRow="0" w:firstColumn="0" w:lastColumn="0" w:oddVBand="0" w:evenVBand="0" w:oddHBand="0" w:evenHBand="0" w:firstRowFirstColumn="0" w:firstRowLastColumn="0" w:lastRowFirstColumn="0" w:lastRowLastColumn="0"/>
              <w:rPr>
                <w:szCs w:val="20"/>
              </w:rPr>
            </w:pPr>
            <w:r w:rsidRPr="00AA22F2">
              <w:rPr>
                <w:szCs w:val="20"/>
              </w:rPr>
              <w:t>Avant travaux</w:t>
            </w:r>
          </w:p>
        </w:tc>
        <w:tc>
          <w:tcPr>
            <w:tcW w:w="0" w:type="auto"/>
            <w:hideMark/>
          </w:tcPr>
          <w:p w14:paraId="7C30166B" w14:textId="21B03D17" w:rsidR="006D1412" w:rsidRPr="00AA22F2" w:rsidRDefault="00561579" w:rsidP="006D1412">
            <w:pPr>
              <w:cnfStyle w:val="000000000000" w:firstRow="0" w:lastRow="0" w:firstColumn="0" w:lastColumn="0" w:oddVBand="0" w:evenVBand="0" w:oddHBand="0" w:evenHBand="0" w:firstRowFirstColumn="0" w:firstRowLastColumn="0" w:lastRowFirstColumn="0" w:lastRowLastColumn="0"/>
              <w:rPr>
                <w:szCs w:val="20"/>
              </w:rPr>
            </w:pPr>
            <w:r w:rsidRPr="00561579">
              <w:rPr>
                <w:szCs w:val="20"/>
              </w:rPr>
              <w:t>Aucun coût spécifique</w:t>
            </w:r>
          </w:p>
        </w:tc>
      </w:tr>
      <w:tr w:rsidR="00CB6B6C" w:rsidRPr="008A72E6" w14:paraId="1D188D11" w14:textId="77777777" w:rsidTr="00774FC4">
        <w:tc>
          <w:tcPr>
            <w:cnfStyle w:val="001000000000" w:firstRow="0" w:lastRow="0" w:firstColumn="1" w:lastColumn="0" w:oddVBand="0" w:evenVBand="0" w:oddHBand="0" w:evenHBand="0" w:firstRowFirstColumn="0" w:firstRowLastColumn="0" w:lastRowFirstColumn="0" w:lastRowLastColumn="0"/>
            <w:tcW w:w="0" w:type="auto"/>
            <w:vMerge/>
            <w:hideMark/>
          </w:tcPr>
          <w:p w14:paraId="2C67BE50" w14:textId="77777777" w:rsidR="006D1412" w:rsidRPr="00AA22F2" w:rsidRDefault="006D1412" w:rsidP="006D1412">
            <w:pPr>
              <w:rPr>
                <w:szCs w:val="20"/>
              </w:rPr>
            </w:pPr>
          </w:p>
        </w:tc>
        <w:tc>
          <w:tcPr>
            <w:tcW w:w="0" w:type="auto"/>
            <w:hideMark/>
          </w:tcPr>
          <w:p w14:paraId="22FCD63C" w14:textId="77777777" w:rsidR="006D1412" w:rsidRPr="00AA22F2" w:rsidRDefault="006D1412" w:rsidP="006D1412">
            <w:pPr>
              <w:cnfStyle w:val="000000000000" w:firstRow="0" w:lastRow="0" w:firstColumn="0" w:lastColumn="0" w:oddVBand="0" w:evenVBand="0" w:oddHBand="0" w:evenHBand="0" w:firstRowFirstColumn="0" w:firstRowLastColumn="0" w:lastRowFirstColumn="0" w:lastRowLastColumn="0"/>
              <w:rPr>
                <w:b/>
                <w:bCs/>
                <w:szCs w:val="20"/>
              </w:rPr>
            </w:pPr>
            <w:r w:rsidRPr="00AA22F2">
              <w:rPr>
                <w:b/>
                <w:bCs/>
                <w:szCs w:val="20"/>
              </w:rPr>
              <w:t>Réduire</w:t>
            </w:r>
          </w:p>
        </w:tc>
        <w:tc>
          <w:tcPr>
            <w:tcW w:w="0" w:type="auto"/>
            <w:hideMark/>
          </w:tcPr>
          <w:p w14:paraId="26E0A676" w14:textId="77777777" w:rsidR="006D1412" w:rsidRPr="00AA22F2" w:rsidRDefault="006D1412" w:rsidP="006D1412">
            <w:pPr>
              <w:cnfStyle w:val="000000000000" w:firstRow="0" w:lastRow="0" w:firstColumn="0" w:lastColumn="0" w:oddVBand="0" w:evenVBand="0" w:oddHBand="0" w:evenHBand="0" w:firstRowFirstColumn="0" w:firstRowLastColumn="0" w:lastRowFirstColumn="0" w:lastRowLastColumn="0"/>
              <w:rPr>
                <w:szCs w:val="20"/>
              </w:rPr>
            </w:pPr>
            <w:r w:rsidRPr="00AA22F2">
              <w:rPr>
                <w:szCs w:val="20"/>
              </w:rPr>
              <w:t xml:space="preserve">Prévoir des extincteurs, bacs à sable, et kits anti-déversement ; </w:t>
            </w:r>
          </w:p>
          <w:p w14:paraId="73EC681A" w14:textId="77777777" w:rsidR="006D1412" w:rsidRPr="00AA22F2" w:rsidRDefault="006D1412" w:rsidP="006D1412">
            <w:pPr>
              <w:cnfStyle w:val="000000000000" w:firstRow="0" w:lastRow="0" w:firstColumn="0" w:lastColumn="0" w:oddVBand="0" w:evenVBand="0" w:oddHBand="0" w:evenHBand="0" w:firstRowFirstColumn="0" w:firstRowLastColumn="0" w:lastRowFirstColumn="0" w:lastRowLastColumn="0"/>
              <w:rPr>
                <w:szCs w:val="20"/>
              </w:rPr>
            </w:pPr>
            <w:r w:rsidRPr="00AA22F2">
              <w:rPr>
                <w:szCs w:val="20"/>
              </w:rPr>
              <w:t xml:space="preserve">Interdire le brûlage de déchets sur site ; </w:t>
            </w:r>
          </w:p>
          <w:p w14:paraId="58B38719" w14:textId="60B752B2" w:rsidR="006D1412" w:rsidRPr="00AA22F2" w:rsidRDefault="006D1412" w:rsidP="006D1412">
            <w:pPr>
              <w:cnfStyle w:val="000000000000" w:firstRow="0" w:lastRow="0" w:firstColumn="0" w:lastColumn="0" w:oddVBand="0" w:evenVBand="0" w:oddHBand="0" w:evenHBand="0" w:firstRowFirstColumn="0" w:firstRowLastColumn="0" w:lastRowFirstColumn="0" w:lastRowLastColumn="0"/>
              <w:rPr>
                <w:szCs w:val="20"/>
              </w:rPr>
            </w:pPr>
            <w:r w:rsidRPr="00AA22F2">
              <w:rPr>
                <w:szCs w:val="20"/>
              </w:rPr>
              <w:t>Mettre en place une formation incendie pour le personnel.</w:t>
            </w:r>
          </w:p>
        </w:tc>
        <w:tc>
          <w:tcPr>
            <w:tcW w:w="0" w:type="auto"/>
            <w:hideMark/>
          </w:tcPr>
          <w:p w14:paraId="4B0EC5EE" w14:textId="77777777" w:rsidR="006D1412" w:rsidRPr="00AA22F2" w:rsidRDefault="006D1412" w:rsidP="006D1412">
            <w:pPr>
              <w:cnfStyle w:val="000000000000" w:firstRow="0" w:lastRow="0" w:firstColumn="0" w:lastColumn="0" w:oddVBand="0" w:evenVBand="0" w:oddHBand="0" w:evenHBand="0" w:firstRowFirstColumn="0" w:firstRowLastColumn="0" w:lastRowFirstColumn="0" w:lastRowLastColumn="0"/>
              <w:rPr>
                <w:szCs w:val="20"/>
              </w:rPr>
            </w:pPr>
            <w:r w:rsidRPr="00AA22F2">
              <w:rPr>
                <w:szCs w:val="20"/>
              </w:rPr>
              <w:t xml:space="preserve">Nb de formations incendie / an ; </w:t>
            </w:r>
          </w:p>
          <w:p w14:paraId="7A52B8F9" w14:textId="373017D3" w:rsidR="006D1412" w:rsidRPr="00AA22F2" w:rsidRDefault="006D1412" w:rsidP="006D1412">
            <w:pPr>
              <w:cnfStyle w:val="000000000000" w:firstRow="0" w:lastRow="0" w:firstColumn="0" w:lastColumn="0" w:oddVBand="0" w:evenVBand="0" w:oddHBand="0" w:evenHBand="0" w:firstRowFirstColumn="0" w:firstRowLastColumn="0" w:lastRowFirstColumn="0" w:lastRowLastColumn="0"/>
              <w:rPr>
                <w:szCs w:val="20"/>
              </w:rPr>
            </w:pPr>
            <w:r w:rsidRPr="00AA22F2">
              <w:rPr>
                <w:szCs w:val="20"/>
              </w:rPr>
              <w:t>Nb d’exercices simulés.</w:t>
            </w:r>
          </w:p>
        </w:tc>
        <w:tc>
          <w:tcPr>
            <w:tcW w:w="0" w:type="auto"/>
            <w:hideMark/>
          </w:tcPr>
          <w:p w14:paraId="528F2211" w14:textId="6E3773A3" w:rsidR="006D1412" w:rsidRPr="00AA22F2" w:rsidRDefault="006D1412" w:rsidP="006D1412">
            <w:pPr>
              <w:cnfStyle w:val="000000000000" w:firstRow="0" w:lastRow="0" w:firstColumn="0" w:lastColumn="0" w:oddVBand="0" w:evenVBand="0" w:oddHBand="0" w:evenHBand="0" w:firstRowFirstColumn="0" w:firstRowLastColumn="0" w:lastRowFirstColumn="0" w:lastRowLastColumn="0"/>
              <w:rPr>
                <w:szCs w:val="20"/>
              </w:rPr>
            </w:pPr>
            <w:r w:rsidRPr="00AA22F2">
              <w:rPr>
                <w:szCs w:val="20"/>
              </w:rPr>
              <w:t>EPC / Sous-traitants</w:t>
            </w:r>
          </w:p>
        </w:tc>
        <w:tc>
          <w:tcPr>
            <w:tcW w:w="0" w:type="auto"/>
            <w:hideMark/>
          </w:tcPr>
          <w:p w14:paraId="581AB885" w14:textId="31F046DA" w:rsidR="006D1412" w:rsidRPr="00AA22F2" w:rsidRDefault="006D1412" w:rsidP="006D1412">
            <w:pPr>
              <w:cnfStyle w:val="000000000000" w:firstRow="0" w:lastRow="0" w:firstColumn="0" w:lastColumn="0" w:oddVBand="0" w:evenVBand="0" w:oddHBand="0" w:evenHBand="0" w:firstRowFirstColumn="0" w:firstRowLastColumn="0" w:lastRowFirstColumn="0" w:lastRowLastColumn="0"/>
              <w:rPr>
                <w:szCs w:val="20"/>
              </w:rPr>
            </w:pPr>
            <w:r w:rsidRPr="00BC1745">
              <w:rPr>
                <w:szCs w:val="20"/>
              </w:rPr>
              <w:t>Bureau de contrôle / Consultant de supervision mandaté par l’ONDA</w:t>
            </w:r>
          </w:p>
        </w:tc>
        <w:tc>
          <w:tcPr>
            <w:tcW w:w="0" w:type="auto"/>
            <w:hideMark/>
          </w:tcPr>
          <w:p w14:paraId="1425B810" w14:textId="77777777" w:rsidR="006D1412" w:rsidRPr="00AA22F2" w:rsidRDefault="006D1412" w:rsidP="006D1412">
            <w:pPr>
              <w:cnfStyle w:val="000000000000" w:firstRow="0" w:lastRow="0" w:firstColumn="0" w:lastColumn="0" w:oddVBand="0" w:evenVBand="0" w:oddHBand="0" w:evenHBand="0" w:firstRowFirstColumn="0" w:firstRowLastColumn="0" w:lastRowFirstColumn="0" w:lastRowLastColumn="0"/>
              <w:rPr>
                <w:szCs w:val="20"/>
              </w:rPr>
            </w:pPr>
            <w:r w:rsidRPr="00AA22F2">
              <w:rPr>
                <w:szCs w:val="20"/>
              </w:rPr>
              <w:t>ONDA</w:t>
            </w:r>
          </w:p>
        </w:tc>
        <w:tc>
          <w:tcPr>
            <w:tcW w:w="0" w:type="auto"/>
            <w:hideMark/>
          </w:tcPr>
          <w:p w14:paraId="0612E6F4" w14:textId="77777777" w:rsidR="006D1412" w:rsidRPr="00AA22F2" w:rsidRDefault="006D1412" w:rsidP="006D1412">
            <w:pPr>
              <w:cnfStyle w:val="000000000000" w:firstRow="0" w:lastRow="0" w:firstColumn="0" w:lastColumn="0" w:oddVBand="0" w:evenVBand="0" w:oddHBand="0" w:evenHBand="0" w:firstRowFirstColumn="0" w:firstRowLastColumn="0" w:lastRowFirstColumn="0" w:lastRowLastColumn="0"/>
              <w:rPr>
                <w:szCs w:val="20"/>
              </w:rPr>
            </w:pPr>
            <w:r w:rsidRPr="00AA22F2">
              <w:rPr>
                <w:szCs w:val="20"/>
              </w:rPr>
              <w:t>Semestriel</w:t>
            </w:r>
          </w:p>
        </w:tc>
        <w:tc>
          <w:tcPr>
            <w:tcW w:w="0" w:type="auto"/>
            <w:hideMark/>
          </w:tcPr>
          <w:p w14:paraId="06D64D84" w14:textId="0124616B" w:rsidR="006D1412" w:rsidRDefault="00561579" w:rsidP="006D1412">
            <w:pPr>
              <w:cnfStyle w:val="000000000000" w:firstRow="0" w:lastRow="0" w:firstColumn="0" w:lastColumn="0" w:oddVBand="0" w:evenVBand="0" w:oddHBand="0" w:evenHBand="0" w:firstRowFirstColumn="0" w:firstRowLastColumn="0" w:lastRowFirstColumn="0" w:lastRowLastColumn="0"/>
              <w:rPr>
                <w:szCs w:val="20"/>
              </w:rPr>
            </w:pPr>
            <w:r w:rsidRPr="00561579">
              <w:rPr>
                <w:szCs w:val="20"/>
              </w:rPr>
              <w:t>20 000 MAD / mois</w:t>
            </w:r>
          </w:p>
          <w:p w14:paraId="4E64875C" w14:textId="77777777" w:rsidR="00904FE9" w:rsidRDefault="00904FE9" w:rsidP="006D1412">
            <w:pPr>
              <w:cnfStyle w:val="000000000000" w:firstRow="0" w:lastRow="0" w:firstColumn="0" w:lastColumn="0" w:oddVBand="0" w:evenVBand="0" w:oddHBand="0" w:evenHBand="0" w:firstRowFirstColumn="0" w:firstRowLastColumn="0" w:lastRowFirstColumn="0" w:lastRowLastColumn="0"/>
              <w:rPr>
                <w:szCs w:val="20"/>
              </w:rPr>
            </w:pPr>
          </w:p>
          <w:p w14:paraId="10976707" w14:textId="77777777" w:rsidR="00904FE9" w:rsidRDefault="00904FE9" w:rsidP="006D1412">
            <w:pPr>
              <w:cnfStyle w:val="000000000000" w:firstRow="0" w:lastRow="0" w:firstColumn="0" w:lastColumn="0" w:oddVBand="0" w:evenVBand="0" w:oddHBand="0" w:evenHBand="0" w:firstRowFirstColumn="0" w:firstRowLastColumn="0" w:lastRowFirstColumn="0" w:lastRowLastColumn="0"/>
              <w:rPr>
                <w:szCs w:val="20"/>
              </w:rPr>
            </w:pPr>
          </w:p>
          <w:p w14:paraId="40971D3E" w14:textId="77777777" w:rsidR="00904FE9" w:rsidRDefault="00904FE9" w:rsidP="006D1412">
            <w:pPr>
              <w:cnfStyle w:val="000000000000" w:firstRow="0" w:lastRow="0" w:firstColumn="0" w:lastColumn="0" w:oddVBand="0" w:evenVBand="0" w:oddHBand="0" w:evenHBand="0" w:firstRowFirstColumn="0" w:firstRowLastColumn="0" w:lastRowFirstColumn="0" w:lastRowLastColumn="0"/>
              <w:rPr>
                <w:szCs w:val="20"/>
              </w:rPr>
            </w:pPr>
          </w:p>
          <w:p w14:paraId="1E32C767" w14:textId="12654DB4" w:rsidR="00904FE9" w:rsidRPr="00AA22F2" w:rsidRDefault="00904FE9" w:rsidP="006D1412">
            <w:pPr>
              <w:cnfStyle w:val="000000000000" w:firstRow="0" w:lastRow="0" w:firstColumn="0" w:lastColumn="0" w:oddVBand="0" w:evenVBand="0" w:oddHBand="0" w:evenHBand="0" w:firstRowFirstColumn="0" w:firstRowLastColumn="0" w:lastRowFirstColumn="0" w:lastRowLastColumn="0"/>
              <w:rPr>
                <w:szCs w:val="20"/>
              </w:rPr>
            </w:pPr>
            <w:r w:rsidRPr="00904FE9">
              <w:rPr>
                <w:szCs w:val="20"/>
              </w:rPr>
              <w:t>Aucun coût spécifique</w:t>
            </w:r>
          </w:p>
        </w:tc>
      </w:tr>
      <w:tr w:rsidR="00CB6B6C" w:rsidRPr="008A72E6" w14:paraId="22615F52" w14:textId="77777777" w:rsidTr="00774FC4">
        <w:tc>
          <w:tcPr>
            <w:cnfStyle w:val="001000000000" w:firstRow="0" w:lastRow="0" w:firstColumn="1" w:lastColumn="0" w:oddVBand="0" w:evenVBand="0" w:oddHBand="0" w:evenHBand="0" w:firstRowFirstColumn="0" w:firstRowLastColumn="0" w:lastRowFirstColumn="0" w:lastRowLastColumn="0"/>
            <w:tcW w:w="0" w:type="auto"/>
            <w:vMerge/>
            <w:hideMark/>
          </w:tcPr>
          <w:p w14:paraId="51E88610" w14:textId="77777777" w:rsidR="006D1412" w:rsidRPr="00AA22F2" w:rsidRDefault="006D1412" w:rsidP="006D1412">
            <w:pPr>
              <w:rPr>
                <w:szCs w:val="20"/>
              </w:rPr>
            </w:pPr>
          </w:p>
        </w:tc>
        <w:tc>
          <w:tcPr>
            <w:tcW w:w="0" w:type="auto"/>
            <w:hideMark/>
          </w:tcPr>
          <w:p w14:paraId="606BF930" w14:textId="77777777" w:rsidR="006D1412" w:rsidRPr="00AA22F2" w:rsidRDefault="006D1412" w:rsidP="006D1412">
            <w:pPr>
              <w:cnfStyle w:val="000000000000" w:firstRow="0" w:lastRow="0" w:firstColumn="0" w:lastColumn="0" w:oddVBand="0" w:evenVBand="0" w:oddHBand="0" w:evenHBand="0" w:firstRowFirstColumn="0" w:firstRowLastColumn="0" w:lastRowFirstColumn="0" w:lastRowLastColumn="0"/>
              <w:rPr>
                <w:b/>
                <w:bCs/>
                <w:szCs w:val="20"/>
              </w:rPr>
            </w:pPr>
            <w:r w:rsidRPr="00AA22F2">
              <w:rPr>
                <w:b/>
                <w:bCs/>
                <w:szCs w:val="20"/>
              </w:rPr>
              <w:t>Atténuer</w:t>
            </w:r>
          </w:p>
        </w:tc>
        <w:tc>
          <w:tcPr>
            <w:tcW w:w="0" w:type="auto"/>
            <w:hideMark/>
          </w:tcPr>
          <w:p w14:paraId="180F50DC" w14:textId="77777777" w:rsidR="006D1412" w:rsidRPr="00AA22F2" w:rsidRDefault="006D1412" w:rsidP="006D1412">
            <w:pPr>
              <w:cnfStyle w:val="000000000000" w:firstRow="0" w:lastRow="0" w:firstColumn="0" w:lastColumn="0" w:oddVBand="0" w:evenVBand="0" w:oddHBand="0" w:evenHBand="0" w:firstRowFirstColumn="0" w:firstRowLastColumn="0" w:lastRowFirstColumn="0" w:lastRowLastColumn="0"/>
              <w:rPr>
                <w:szCs w:val="20"/>
              </w:rPr>
            </w:pPr>
            <w:r w:rsidRPr="00AA22F2">
              <w:rPr>
                <w:szCs w:val="20"/>
              </w:rPr>
              <w:t xml:space="preserve">Prévoir un plan d’urgence interne (PUI) spécifique aux incendies ; </w:t>
            </w:r>
          </w:p>
          <w:p w14:paraId="60C0FAD5" w14:textId="77777777" w:rsidR="006D1412" w:rsidRPr="00AA22F2" w:rsidRDefault="006D1412" w:rsidP="006D1412">
            <w:pPr>
              <w:cnfStyle w:val="000000000000" w:firstRow="0" w:lastRow="0" w:firstColumn="0" w:lastColumn="0" w:oddVBand="0" w:evenVBand="0" w:oddHBand="0" w:evenHBand="0" w:firstRowFirstColumn="0" w:firstRowLastColumn="0" w:lastRowFirstColumn="0" w:lastRowLastColumn="0"/>
              <w:rPr>
                <w:szCs w:val="20"/>
              </w:rPr>
            </w:pPr>
            <w:r w:rsidRPr="00AA22F2">
              <w:rPr>
                <w:szCs w:val="20"/>
              </w:rPr>
              <w:t xml:space="preserve">Maintenir une coordination directe avec la Protection Civile et la Gendarmerie ; </w:t>
            </w:r>
          </w:p>
          <w:p w14:paraId="29439D6D" w14:textId="02990880" w:rsidR="006D1412" w:rsidRPr="00AA22F2" w:rsidRDefault="006D1412" w:rsidP="006D1412">
            <w:pPr>
              <w:cnfStyle w:val="000000000000" w:firstRow="0" w:lastRow="0" w:firstColumn="0" w:lastColumn="0" w:oddVBand="0" w:evenVBand="0" w:oddHBand="0" w:evenHBand="0" w:firstRowFirstColumn="0" w:firstRowLastColumn="0" w:lastRowFirstColumn="0" w:lastRowLastColumn="0"/>
              <w:rPr>
                <w:szCs w:val="20"/>
              </w:rPr>
            </w:pPr>
            <w:r w:rsidRPr="00AA22F2">
              <w:rPr>
                <w:szCs w:val="20"/>
              </w:rPr>
              <w:t>Communiquer les procédures d’alerte aux communautés proches.</w:t>
            </w:r>
          </w:p>
        </w:tc>
        <w:tc>
          <w:tcPr>
            <w:tcW w:w="0" w:type="auto"/>
            <w:hideMark/>
          </w:tcPr>
          <w:p w14:paraId="00E3B6E2" w14:textId="77777777" w:rsidR="006D1412" w:rsidRPr="00AA22F2" w:rsidRDefault="006D1412" w:rsidP="006D1412">
            <w:pPr>
              <w:cnfStyle w:val="000000000000" w:firstRow="0" w:lastRow="0" w:firstColumn="0" w:lastColumn="0" w:oddVBand="0" w:evenVBand="0" w:oddHBand="0" w:evenHBand="0" w:firstRowFirstColumn="0" w:firstRowLastColumn="0" w:lastRowFirstColumn="0" w:lastRowLastColumn="0"/>
              <w:rPr>
                <w:szCs w:val="20"/>
              </w:rPr>
            </w:pPr>
            <w:r w:rsidRPr="00AA22F2">
              <w:rPr>
                <w:szCs w:val="20"/>
              </w:rPr>
              <w:t xml:space="preserve">Nb d’exercices PUI réalisés ; </w:t>
            </w:r>
          </w:p>
          <w:p w14:paraId="21FB2329" w14:textId="569A84C1" w:rsidR="006D1412" w:rsidRPr="00AA22F2" w:rsidRDefault="006D1412" w:rsidP="006D1412">
            <w:pPr>
              <w:cnfStyle w:val="000000000000" w:firstRow="0" w:lastRow="0" w:firstColumn="0" w:lastColumn="0" w:oddVBand="0" w:evenVBand="0" w:oddHBand="0" w:evenHBand="0" w:firstRowFirstColumn="0" w:firstRowLastColumn="0" w:lastRowFirstColumn="0" w:lastRowLastColumn="0"/>
              <w:rPr>
                <w:szCs w:val="20"/>
              </w:rPr>
            </w:pPr>
            <w:r w:rsidRPr="00AA22F2">
              <w:rPr>
                <w:szCs w:val="20"/>
              </w:rPr>
              <w:t>Délai moyen d’intervention.</w:t>
            </w:r>
          </w:p>
        </w:tc>
        <w:tc>
          <w:tcPr>
            <w:tcW w:w="0" w:type="auto"/>
            <w:hideMark/>
          </w:tcPr>
          <w:p w14:paraId="3A809717" w14:textId="60DC1B38" w:rsidR="006D1412" w:rsidRPr="00AA22F2" w:rsidRDefault="006D1412" w:rsidP="006D1412">
            <w:pPr>
              <w:cnfStyle w:val="000000000000" w:firstRow="0" w:lastRow="0" w:firstColumn="0" w:lastColumn="0" w:oddVBand="0" w:evenVBand="0" w:oddHBand="0" w:evenHBand="0" w:firstRowFirstColumn="0" w:firstRowLastColumn="0" w:lastRowFirstColumn="0" w:lastRowLastColumn="0"/>
              <w:rPr>
                <w:szCs w:val="20"/>
              </w:rPr>
            </w:pPr>
            <w:r w:rsidRPr="00AA22F2">
              <w:rPr>
                <w:szCs w:val="20"/>
              </w:rPr>
              <w:t>EPC / Sous-traitants</w:t>
            </w:r>
          </w:p>
        </w:tc>
        <w:tc>
          <w:tcPr>
            <w:tcW w:w="0" w:type="auto"/>
            <w:hideMark/>
          </w:tcPr>
          <w:p w14:paraId="723113DC" w14:textId="075E179A" w:rsidR="006D1412" w:rsidRPr="00AA22F2" w:rsidRDefault="006D1412" w:rsidP="006D1412">
            <w:pPr>
              <w:cnfStyle w:val="000000000000" w:firstRow="0" w:lastRow="0" w:firstColumn="0" w:lastColumn="0" w:oddVBand="0" w:evenVBand="0" w:oddHBand="0" w:evenHBand="0" w:firstRowFirstColumn="0" w:firstRowLastColumn="0" w:lastRowFirstColumn="0" w:lastRowLastColumn="0"/>
              <w:rPr>
                <w:szCs w:val="20"/>
              </w:rPr>
            </w:pPr>
            <w:r w:rsidRPr="00BC1745">
              <w:rPr>
                <w:szCs w:val="20"/>
              </w:rPr>
              <w:t>Bureau de contrôle / Consultant de supervision mandaté par l’ONDA</w:t>
            </w:r>
          </w:p>
        </w:tc>
        <w:tc>
          <w:tcPr>
            <w:tcW w:w="0" w:type="auto"/>
            <w:hideMark/>
          </w:tcPr>
          <w:p w14:paraId="5FD3DC33" w14:textId="77777777" w:rsidR="006D1412" w:rsidRPr="00AA22F2" w:rsidRDefault="006D1412" w:rsidP="006D1412">
            <w:pPr>
              <w:cnfStyle w:val="000000000000" w:firstRow="0" w:lastRow="0" w:firstColumn="0" w:lastColumn="0" w:oddVBand="0" w:evenVBand="0" w:oddHBand="0" w:evenHBand="0" w:firstRowFirstColumn="0" w:firstRowLastColumn="0" w:lastRowFirstColumn="0" w:lastRowLastColumn="0"/>
              <w:rPr>
                <w:szCs w:val="20"/>
              </w:rPr>
            </w:pPr>
            <w:r w:rsidRPr="00AA22F2">
              <w:rPr>
                <w:szCs w:val="20"/>
              </w:rPr>
              <w:t>ONDA</w:t>
            </w:r>
          </w:p>
        </w:tc>
        <w:tc>
          <w:tcPr>
            <w:tcW w:w="0" w:type="auto"/>
            <w:hideMark/>
          </w:tcPr>
          <w:p w14:paraId="5DB38557" w14:textId="77777777" w:rsidR="006D1412" w:rsidRPr="00AA22F2" w:rsidRDefault="006D1412" w:rsidP="006D1412">
            <w:pPr>
              <w:cnfStyle w:val="000000000000" w:firstRow="0" w:lastRow="0" w:firstColumn="0" w:lastColumn="0" w:oddVBand="0" w:evenVBand="0" w:oddHBand="0" w:evenHBand="0" w:firstRowFirstColumn="0" w:firstRowLastColumn="0" w:lastRowFirstColumn="0" w:lastRowLastColumn="0"/>
              <w:rPr>
                <w:szCs w:val="20"/>
              </w:rPr>
            </w:pPr>
            <w:r w:rsidRPr="00AA22F2">
              <w:rPr>
                <w:szCs w:val="20"/>
              </w:rPr>
              <w:t>Continu</w:t>
            </w:r>
          </w:p>
        </w:tc>
        <w:tc>
          <w:tcPr>
            <w:tcW w:w="0" w:type="auto"/>
            <w:hideMark/>
          </w:tcPr>
          <w:p w14:paraId="4B0F3B43" w14:textId="6BB9F2FA" w:rsidR="006D1412" w:rsidRPr="00AA22F2" w:rsidRDefault="00784E91" w:rsidP="006D1412">
            <w:pPr>
              <w:cnfStyle w:val="000000000000" w:firstRow="0" w:lastRow="0" w:firstColumn="0" w:lastColumn="0" w:oddVBand="0" w:evenVBand="0" w:oddHBand="0" w:evenHBand="0" w:firstRowFirstColumn="0" w:firstRowLastColumn="0" w:lastRowFirstColumn="0" w:lastRowLastColumn="0"/>
              <w:rPr>
                <w:szCs w:val="20"/>
              </w:rPr>
            </w:pPr>
            <w:r w:rsidRPr="00784E91">
              <w:rPr>
                <w:szCs w:val="20"/>
              </w:rPr>
              <w:t>Aucun coût spécifique</w:t>
            </w:r>
          </w:p>
        </w:tc>
      </w:tr>
      <w:tr w:rsidR="00CB6B6C" w:rsidRPr="008A72E6" w14:paraId="3E92ADD5" w14:textId="77777777" w:rsidTr="00774FC4">
        <w:tc>
          <w:tcPr>
            <w:cnfStyle w:val="001000000000" w:firstRow="0" w:lastRow="0" w:firstColumn="1" w:lastColumn="0" w:oddVBand="0" w:evenVBand="0" w:oddHBand="0" w:evenHBand="0" w:firstRowFirstColumn="0" w:firstRowLastColumn="0" w:lastRowFirstColumn="0" w:lastRowLastColumn="0"/>
            <w:tcW w:w="0" w:type="auto"/>
            <w:vMerge w:val="restart"/>
            <w:hideMark/>
          </w:tcPr>
          <w:p w14:paraId="4D3E27F0" w14:textId="77777777" w:rsidR="006D1412" w:rsidRPr="00AA22F2" w:rsidRDefault="006D1412" w:rsidP="006D1412">
            <w:pPr>
              <w:rPr>
                <w:szCs w:val="20"/>
              </w:rPr>
            </w:pPr>
            <w:r w:rsidRPr="00AA22F2">
              <w:rPr>
                <w:szCs w:val="20"/>
              </w:rPr>
              <w:t>Risque d’altération du climat social et de la perception communautaire du projet</w:t>
            </w:r>
          </w:p>
        </w:tc>
        <w:tc>
          <w:tcPr>
            <w:tcW w:w="0" w:type="auto"/>
            <w:hideMark/>
          </w:tcPr>
          <w:p w14:paraId="648F0E75" w14:textId="77777777" w:rsidR="006D1412" w:rsidRPr="00AA22F2" w:rsidRDefault="006D1412" w:rsidP="006D1412">
            <w:pPr>
              <w:cnfStyle w:val="000000000000" w:firstRow="0" w:lastRow="0" w:firstColumn="0" w:lastColumn="0" w:oddVBand="0" w:evenVBand="0" w:oddHBand="0" w:evenHBand="0" w:firstRowFirstColumn="0" w:firstRowLastColumn="0" w:lastRowFirstColumn="0" w:lastRowLastColumn="0"/>
              <w:rPr>
                <w:b/>
                <w:bCs/>
                <w:szCs w:val="20"/>
              </w:rPr>
            </w:pPr>
            <w:r w:rsidRPr="00AA22F2">
              <w:rPr>
                <w:b/>
                <w:bCs/>
                <w:szCs w:val="20"/>
              </w:rPr>
              <w:t>Éviter</w:t>
            </w:r>
          </w:p>
        </w:tc>
        <w:tc>
          <w:tcPr>
            <w:tcW w:w="0" w:type="auto"/>
            <w:hideMark/>
          </w:tcPr>
          <w:p w14:paraId="4EB58C2D" w14:textId="77777777" w:rsidR="006D1412" w:rsidRPr="00AA22F2" w:rsidRDefault="006D1412" w:rsidP="006D1412">
            <w:pPr>
              <w:cnfStyle w:val="000000000000" w:firstRow="0" w:lastRow="0" w:firstColumn="0" w:lastColumn="0" w:oddVBand="0" w:evenVBand="0" w:oddHBand="0" w:evenHBand="0" w:firstRowFirstColumn="0" w:firstRowLastColumn="0" w:lastRowFirstColumn="0" w:lastRowLastColumn="0"/>
              <w:rPr>
                <w:szCs w:val="20"/>
              </w:rPr>
            </w:pPr>
            <w:r w:rsidRPr="00AA22F2">
              <w:rPr>
                <w:szCs w:val="20"/>
              </w:rPr>
              <w:t xml:space="preserve">Diffuser une information transparente sur les objectifs et bénéfices du projet ; </w:t>
            </w:r>
          </w:p>
          <w:p w14:paraId="5F2A8A66" w14:textId="3E8D52FD" w:rsidR="006D1412" w:rsidRPr="00AA22F2" w:rsidRDefault="006D1412" w:rsidP="006D1412">
            <w:pPr>
              <w:cnfStyle w:val="000000000000" w:firstRow="0" w:lastRow="0" w:firstColumn="0" w:lastColumn="0" w:oddVBand="0" w:evenVBand="0" w:oddHBand="0" w:evenHBand="0" w:firstRowFirstColumn="0" w:firstRowLastColumn="0" w:lastRowFirstColumn="0" w:lastRowLastColumn="0"/>
              <w:rPr>
                <w:szCs w:val="20"/>
              </w:rPr>
            </w:pPr>
            <w:r w:rsidRPr="00AA22F2">
              <w:rPr>
                <w:szCs w:val="20"/>
              </w:rPr>
              <w:lastRenderedPageBreak/>
              <w:t>S’assurer que les besoins locaux sont considérés.</w:t>
            </w:r>
          </w:p>
        </w:tc>
        <w:tc>
          <w:tcPr>
            <w:tcW w:w="0" w:type="auto"/>
            <w:hideMark/>
          </w:tcPr>
          <w:p w14:paraId="177F1F9F" w14:textId="77777777" w:rsidR="006D1412" w:rsidRPr="00AA22F2" w:rsidRDefault="006D1412" w:rsidP="006D1412">
            <w:pPr>
              <w:cnfStyle w:val="000000000000" w:firstRow="0" w:lastRow="0" w:firstColumn="0" w:lastColumn="0" w:oddVBand="0" w:evenVBand="0" w:oddHBand="0" w:evenHBand="0" w:firstRowFirstColumn="0" w:firstRowLastColumn="0" w:lastRowFirstColumn="0" w:lastRowLastColumn="0"/>
              <w:rPr>
                <w:szCs w:val="20"/>
              </w:rPr>
            </w:pPr>
            <w:r w:rsidRPr="00AA22F2">
              <w:rPr>
                <w:szCs w:val="20"/>
              </w:rPr>
              <w:lastRenderedPageBreak/>
              <w:t xml:space="preserve">Nb de réunions d’information tenues ; </w:t>
            </w:r>
          </w:p>
          <w:p w14:paraId="7E0C5A78" w14:textId="3E60829A" w:rsidR="006D1412" w:rsidRPr="00AA22F2" w:rsidRDefault="006D1412" w:rsidP="006D1412">
            <w:pPr>
              <w:cnfStyle w:val="000000000000" w:firstRow="0" w:lastRow="0" w:firstColumn="0" w:lastColumn="0" w:oddVBand="0" w:evenVBand="0" w:oddHBand="0" w:evenHBand="0" w:firstRowFirstColumn="0" w:firstRowLastColumn="0" w:lastRowFirstColumn="0" w:lastRowLastColumn="0"/>
              <w:rPr>
                <w:szCs w:val="20"/>
              </w:rPr>
            </w:pPr>
            <w:r w:rsidRPr="00AA22F2">
              <w:rPr>
                <w:szCs w:val="20"/>
              </w:rPr>
              <w:lastRenderedPageBreak/>
              <w:t>Taux de satisfaction communautaire.</w:t>
            </w:r>
          </w:p>
        </w:tc>
        <w:tc>
          <w:tcPr>
            <w:tcW w:w="0" w:type="auto"/>
            <w:hideMark/>
          </w:tcPr>
          <w:p w14:paraId="3AF7B19E" w14:textId="78A45039" w:rsidR="006D1412" w:rsidRPr="00AA22F2" w:rsidRDefault="006D1412" w:rsidP="006D1412">
            <w:pPr>
              <w:cnfStyle w:val="000000000000" w:firstRow="0" w:lastRow="0" w:firstColumn="0" w:lastColumn="0" w:oddVBand="0" w:evenVBand="0" w:oddHBand="0" w:evenHBand="0" w:firstRowFirstColumn="0" w:firstRowLastColumn="0" w:lastRowFirstColumn="0" w:lastRowLastColumn="0"/>
              <w:rPr>
                <w:szCs w:val="20"/>
              </w:rPr>
            </w:pPr>
            <w:r w:rsidRPr="00AA22F2">
              <w:rPr>
                <w:szCs w:val="20"/>
              </w:rPr>
              <w:lastRenderedPageBreak/>
              <w:t>EPC / Sous-traitants</w:t>
            </w:r>
          </w:p>
        </w:tc>
        <w:tc>
          <w:tcPr>
            <w:tcW w:w="0" w:type="auto"/>
            <w:hideMark/>
          </w:tcPr>
          <w:p w14:paraId="4B65D656" w14:textId="69359D19" w:rsidR="006D1412" w:rsidRPr="00AA22F2" w:rsidRDefault="006D1412" w:rsidP="006D1412">
            <w:pPr>
              <w:cnfStyle w:val="000000000000" w:firstRow="0" w:lastRow="0" w:firstColumn="0" w:lastColumn="0" w:oddVBand="0" w:evenVBand="0" w:oddHBand="0" w:evenHBand="0" w:firstRowFirstColumn="0" w:firstRowLastColumn="0" w:lastRowFirstColumn="0" w:lastRowLastColumn="0"/>
              <w:rPr>
                <w:szCs w:val="20"/>
              </w:rPr>
            </w:pPr>
            <w:r w:rsidRPr="00BC1745">
              <w:rPr>
                <w:szCs w:val="20"/>
              </w:rPr>
              <w:t xml:space="preserve">Bureau de contrôle / Consultant de supervision </w:t>
            </w:r>
            <w:r w:rsidRPr="00BC1745">
              <w:rPr>
                <w:szCs w:val="20"/>
              </w:rPr>
              <w:lastRenderedPageBreak/>
              <w:t>mandaté par l’ONDA</w:t>
            </w:r>
          </w:p>
        </w:tc>
        <w:tc>
          <w:tcPr>
            <w:tcW w:w="0" w:type="auto"/>
            <w:hideMark/>
          </w:tcPr>
          <w:p w14:paraId="1CDC7637" w14:textId="18FBB0FE" w:rsidR="006D1412" w:rsidRPr="00AA22F2" w:rsidRDefault="006D1412" w:rsidP="006D1412">
            <w:pPr>
              <w:cnfStyle w:val="000000000000" w:firstRow="0" w:lastRow="0" w:firstColumn="0" w:lastColumn="0" w:oddVBand="0" w:evenVBand="0" w:oddHBand="0" w:evenHBand="0" w:firstRowFirstColumn="0" w:firstRowLastColumn="0" w:lastRowFirstColumn="0" w:lastRowLastColumn="0"/>
              <w:rPr>
                <w:szCs w:val="20"/>
              </w:rPr>
            </w:pPr>
            <w:r w:rsidRPr="00AA22F2">
              <w:rPr>
                <w:szCs w:val="20"/>
              </w:rPr>
              <w:lastRenderedPageBreak/>
              <w:t>ONDA</w:t>
            </w:r>
          </w:p>
        </w:tc>
        <w:tc>
          <w:tcPr>
            <w:tcW w:w="0" w:type="auto"/>
            <w:hideMark/>
          </w:tcPr>
          <w:p w14:paraId="50AFCEB5" w14:textId="77777777" w:rsidR="006D1412" w:rsidRPr="00AA22F2" w:rsidRDefault="006D1412" w:rsidP="006D1412">
            <w:pPr>
              <w:cnfStyle w:val="000000000000" w:firstRow="0" w:lastRow="0" w:firstColumn="0" w:lastColumn="0" w:oddVBand="0" w:evenVBand="0" w:oddHBand="0" w:evenHBand="0" w:firstRowFirstColumn="0" w:firstRowLastColumn="0" w:lastRowFirstColumn="0" w:lastRowLastColumn="0"/>
              <w:rPr>
                <w:szCs w:val="20"/>
              </w:rPr>
            </w:pPr>
            <w:r w:rsidRPr="00AA22F2">
              <w:rPr>
                <w:szCs w:val="20"/>
              </w:rPr>
              <w:t>Avant et pendant les travaux</w:t>
            </w:r>
          </w:p>
        </w:tc>
        <w:tc>
          <w:tcPr>
            <w:tcW w:w="0" w:type="auto"/>
            <w:hideMark/>
          </w:tcPr>
          <w:p w14:paraId="0399CE79" w14:textId="57AB47FF" w:rsidR="006D1412" w:rsidRPr="00AA22F2" w:rsidRDefault="00784E91" w:rsidP="006D1412">
            <w:pPr>
              <w:cnfStyle w:val="000000000000" w:firstRow="0" w:lastRow="0" w:firstColumn="0" w:lastColumn="0" w:oddVBand="0" w:evenVBand="0" w:oddHBand="0" w:evenHBand="0" w:firstRowFirstColumn="0" w:firstRowLastColumn="0" w:lastRowFirstColumn="0" w:lastRowLastColumn="0"/>
              <w:rPr>
                <w:szCs w:val="20"/>
              </w:rPr>
            </w:pPr>
            <w:r w:rsidRPr="00784E91">
              <w:rPr>
                <w:szCs w:val="20"/>
              </w:rPr>
              <w:t>4 000 MAD / campagne d’information</w:t>
            </w:r>
          </w:p>
        </w:tc>
      </w:tr>
      <w:tr w:rsidR="00CB6B6C" w:rsidRPr="008A72E6" w14:paraId="48D9188F" w14:textId="77777777" w:rsidTr="00774FC4">
        <w:tc>
          <w:tcPr>
            <w:cnfStyle w:val="001000000000" w:firstRow="0" w:lastRow="0" w:firstColumn="1" w:lastColumn="0" w:oddVBand="0" w:evenVBand="0" w:oddHBand="0" w:evenHBand="0" w:firstRowFirstColumn="0" w:firstRowLastColumn="0" w:lastRowFirstColumn="0" w:lastRowLastColumn="0"/>
            <w:tcW w:w="0" w:type="auto"/>
            <w:vMerge/>
            <w:hideMark/>
          </w:tcPr>
          <w:p w14:paraId="1C238EDC" w14:textId="77777777" w:rsidR="006D1412" w:rsidRPr="00AA22F2" w:rsidRDefault="006D1412" w:rsidP="006D1412">
            <w:pPr>
              <w:rPr>
                <w:szCs w:val="20"/>
              </w:rPr>
            </w:pPr>
          </w:p>
        </w:tc>
        <w:tc>
          <w:tcPr>
            <w:tcW w:w="0" w:type="auto"/>
            <w:hideMark/>
          </w:tcPr>
          <w:p w14:paraId="1B2C5688" w14:textId="77777777" w:rsidR="006D1412" w:rsidRPr="00AA22F2" w:rsidRDefault="006D1412" w:rsidP="006D1412">
            <w:pPr>
              <w:cnfStyle w:val="000000000000" w:firstRow="0" w:lastRow="0" w:firstColumn="0" w:lastColumn="0" w:oddVBand="0" w:evenVBand="0" w:oddHBand="0" w:evenHBand="0" w:firstRowFirstColumn="0" w:firstRowLastColumn="0" w:lastRowFirstColumn="0" w:lastRowLastColumn="0"/>
              <w:rPr>
                <w:b/>
                <w:bCs/>
                <w:szCs w:val="20"/>
              </w:rPr>
            </w:pPr>
            <w:r w:rsidRPr="00AA22F2">
              <w:rPr>
                <w:b/>
                <w:bCs/>
                <w:szCs w:val="20"/>
              </w:rPr>
              <w:t>Réduire</w:t>
            </w:r>
          </w:p>
        </w:tc>
        <w:tc>
          <w:tcPr>
            <w:tcW w:w="0" w:type="auto"/>
            <w:hideMark/>
          </w:tcPr>
          <w:p w14:paraId="1AED13AF" w14:textId="77777777" w:rsidR="006D1412" w:rsidRPr="00AA22F2" w:rsidRDefault="006D1412" w:rsidP="006D1412">
            <w:pPr>
              <w:cnfStyle w:val="000000000000" w:firstRow="0" w:lastRow="0" w:firstColumn="0" w:lastColumn="0" w:oddVBand="0" w:evenVBand="0" w:oddHBand="0" w:evenHBand="0" w:firstRowFirstColumn="0" w:firstRowLastColumn="0" w:lastRowFirstColumn="0" w:lastRowLastColumn="0"/>
              <w:rPr>
                <w:szCs w:val="20"/>
              </w:rPr>
            </w:pPr>
            <w:r w:rsidRPr="00AA22F2">
              <w:rPr>
                <w:szCs w:val="20"/>
              </w:rPr>
              <w:t xml:space="preserve">Afficher régulièrement l’état d’avancement des travaux ; </w:t>
            </w:r>
          </w:p>
          <w:p w14:paraId="1AB1B466" w14:textId="77777777" w:rsidR="006D1412" w:rsidRPr="00AA22F2" w:rsidRDefault="006D1412" w:rsidP="006D1412">
            <w:pPr>
              <w:cnfStyle w:val="000000000000" w:firstRow="0" w:lastRow="0" w:firstColumn="0" w:lastColumn="0" w:oddVBand="0" w:evenVBand="0" w:oddHBand="0" w:evenHBand="0" w:firstRowFirstColumn="0" w:firstRowLastColumn="0" w:lastRowFirstColumn="0" w:lastRowLastColumn="0"/>
              <w:rPr>
                <w:szCs w:val="20"/>
              </w:rPr>
            </w:pPr>
            <w:r w:rsidRPr="00AA22F2">
              <w:rPr>
                <w:szCs w:val="20"/>
              </w:rPr>
              <w:t xml:space="preserve">Répondre aux questions via un mécanisme de doléances accessible ; </w:t>
            </w:r>
          </w:p>
          <w:p w14:paraId="0F005343" w14:textId="0F170C32" w:rsidR="006D1412" w:rsidRPr="00AA22F2" w:rsidRDefault="006D1412" w:rsidP="006D1412">
            <w:pPr>
              <w:cnfStyle w:val="000000000000" w:firstRow="0" w:lastRow="0" w:firstColumn="0" w:lastColumn="0" w:oddVBand="0" w:evenVBand="0" w:oddHBand="0" w:evenHBand="0" w:firstRowFirstColumn="0" w:firstRowLastColumn="0" w:lastRowFirstColumn="0" w:lastRowLastColumn="0"/>
              <w:rPr>
                <w:szCs w:val="20"/>
              </w:rPr>
            </w:pPr>
            <w:r w:rsidRPr="00AA22F2">
              <w:rPr>
                <w:szCs w:val="20"/>
              </w:rPr>
              <w:t>Donner la priorité à l’emploi local.</w:t>
            </w:r>
          </w:p>
        </w:tc>
        <w:tc>
          <w:tcPr>
            <w:tcW w:w="0" w:type="auto"/>
            <w:hideMark/>
          </w:tcPr>
          <w:p w14:paraId="68FFBC88" w14:textId="77777777" w:rsidR="006D1412" w:rsidRPr="00AA22F2" w:rsidRDefault="006D1412" w:rsidP="006D1412">
            <w:pPr>
              <w:cnfStyle w:val="000000000000" w:firstRow="0" w:lastRow="0" w:firstColumn="0" w:lastColumn="0" w:oddVBand="0" w:evenVBand="0" w:oddHBand="0" w:evenHBand="0" w:firstRowFirstColumn="0" w:firstRowLastColumn="0" w:lastRowFirstColumn="0" w:lastRowLastColumn="0"/>
              <w:rPr>
                <w:szCs w:val="20"/>
              </w:rPr>
            </w:pPr>
            <w:r w:rsidRPr="00AA22F2">
              <w:rPr>
                <w:szCs w:val="20"/>
              </w:rPr>
              <w:t xml:space="preserve">Nb de doléances enregistrées ; </w:t>
            </w:r>
          </w:p>
          <w:p w14:paraId="1A86D921" w14:textId="09284585" w:rsidR="006D1412" w:rsidRPr="00AA22F2" w:rsidRDefault="006D1412" w:rsidP="006D1412">
            <w:pPr>
              <w:cnfStyle w:val="000000000000" w:firstRow="0" w:lastRow="0" w:firstColumn="0" w:lastColumn="0" w:oddVBand="0" w:evenVBand="0" w:oddHBand="0" w:evenHBand="0" w:firstRowFirstColumn="0" w:firstRowLastColumn="0" w:lastRowFirstColumn="0" w:lastRowLastColumn="0"/>
              <w:rPr>
                <w:szCs w:val="20"/>
              </w:rPr>
            </w:pPr>
            <w:r w:rsidRPr="00AA22F2">
              <w:rPr>
                <w:szCs w:val="20"/>
              </w:rPr>
              <w:t>% d’emplois locaux.</w:t>
            </w:r>
          </w:p>
        </w:tc>
        <w:tc>
          <w:tcPr>
            <w:tcW w:w="0" w:type="auto"/>
            <w:hideMark/>
          </w:tcPr>
          <w:p w14:paraId="42448BC6" w14:textId="45A36CB4" w:rsidR="006D1412" w:rsidRPr="00AA22F2" w:rsidRDefault="006D1412" w:rsidP="006D1412">
            <w:pPr>
              <w:cnfStyle w:val="000000000000" w:firstRow="0" w:lastRow="0" w:firstColumn="0" w:lastColumn="0" w:oddVBand="0" w:evenVBand="0" w:oddHBand="0" w:evenHBand="0" w:firstRowFirstColumn="0" w:firstRowLastColumn="0" w:lastRowFirstColumn="0" w:lastRowLastColumn="0"/>
              <w:rPr>
                <w:szCs w:val="20"/>
              </w:rPr>
            </w:pPr>
            <w:r w:rsidRPr="00AA22F2">
              <w:rPr>
                <w:szCs w:val="20"/>
              </w:rPr>
              <w:t>EPC / Sous-traitants</w:t>
            </w:r>
          </w:p>
        </w:tc>
        <w:tc>
          <w:tcPr>
            <w:tcW w:w="0" w:type="auto"/>
            <w:hideMark/>
          </w:tcPr>
          <w:p w14:paraId="5AB2FB07" w14:textId="3D57E369" w:rsidR="006D1412" w:rsidRPr="00AA22F2" w:rsidRDefault="006D1412" w:rsidP="006D1412">
            <w:pPr>
              <w:cnfStyle w:val="000000000000" w:firstRow="0" w:lastRow="0" w:firstColumn="0" w:lastColumn="0" w:oddVBand="0" w:evenVBand="0" w:oddHBand="0" w:evenHBand="0" w:firstRowFirstColumn="0" w:firstRowLastColumn="0" w:lastRowFirstColumn="0" w:lastRowLastColumn="0"/>
              <w:rPr>
                <w:szCs w:val="20"/>
              </w:rPr>
            </w:pPr>
            <w:r w:rsidRPr="00BC1745">
              <w:rPr>
                <w:szCs w:val="20"/>
              </w:rPr>
              <w:t>Bureau de contrôle / Consultant de supervision mandaté par l’ONDA</w:t>
            </w:r>
          </w:p>
        </w:tc>
        <w:tc>
          <w:tcPr>
            <w:tcW w:w="0" w:type="auto"/>
            <w:hideMark/>
          </w:tcPr>
          <w:p w14:paraId="1F551C0E" w14:textId="3DEA2BF0" w:rsidR="006D1412" w:rsidRPr="00AA22F2" w:rsidRDefault="006D1412" w:rsidP="006D1412">
            <w:pPr>
              <w:cnfStyle w:val="000000000000" w:firstRow="0" w:lastRow="0" w:firstColumn="0" w:lastColumn="0" w:oddVBand="0" w:evenVBand="0" w:oddHBand="0" w:evenHBand="0" w:firstRowFirstColumn="0" w:firstRowLastColumn="0" w:lastRowFirstColumn="0" w:lastRowLastColumn="0"/>
              <w:rPr>
                <w:szCs w:val="20"/>
              </w:rPr>
            </w:pPr>
            <w:r w:rsidRPr="00AA22F2">
              <w:rPr>
                <w:szCs w:val="20"/>
              </w:rPr>
              <w:t>ONDA</w:t>
            </w:r>
          </w:p>
        </w:tc>
        <w:tc>
          <w:tcPr>
            <w:tcW w:w="0" w:type="auto"/>
            <w:hideMark/>
          </w:tcPr>
          <w:p w14:paraId="1F21F6C4" w14:textId="77777777" w:rsidR="006D1412" w:rsidRPr="00AA22F2" w:rsidRDefault="006D1412" w:rsidP="006D1412">
            <w:pPr>
              <w:cnfStyle w:val="000000000000" w:firstRow="0" w:lastRow="0" w:firstColumn="0" w:lastColumn="0" w:oddVBand="0" w:evenVBand="0" w:oddHBand="0" w:evenHBand="0" w:firstRowFirstColumn="0" w:firstRowLastColumn="0" w:lastRowFirstColumn="0" w:lastRowLastColumn="0"/>
              <w:rPr>
                <w:szCs w:val="20"/>
              </w:rPr>
            </w:pPr>
            <w:r w:rsidRPr="00AA22F2">
              <w:rPr>
                <w:szCs w:val="20"/>
              </w:rPr>
              <w:t>Continu</w:t>
            </w:r>
          </w:p>
        </w:tc>
        <w:tc>
          <w:tcPr>
            <w:tcW w:w="0" w:type="auto"/>
            <w:hideMark/>
          </w:tcPr>
          <w:p w14:paraId="75048116" w14:textId="60F5EBA9" w:rsidR="006D1412" w:rsidRPr="00AA22F2" w:rsidRDefault="00784E91" w:rsidP="006D1412">
            <w:pPr>
              <w:cnfStyle w:val="000000000000" w:firstRow="0" w:lastRow="0" w:firstColumn="0" w:lastColumn="0" w:oddVBand="0" w:evenVBand="0" w:oddHBand="0" w:evenHBand="0" w:firstRowFirstColumn="0" w:firstRowLastColumn="0" w:lastRowFirstColumn="0" w:lastRowLastColumn="0"/>
              <w:rPr>
                <w:szCs w:val="20"/>
              </w:rPr>
            </w:pPr>
            <w:r>
              <w:rPr>
                <w:szCs w:val="20"/>
              </w:rPr>
              <w:t>80 000 MAD/an</w:t>
            </w:r>
          </w:p>
        </w:tc>
      </w:tr>
      <w:tr w:rsidR="00CB6B6C" w:rsidRPr="008A72E6" w14:paraId="33E9039D" w14:textId="77777777" w:rsidTr="00774FC4">
        <w:tc>
          <w:tcPr>
            <w:cnfStyle w:val="001000000000" w:firstRow="0" w:lastRow="0" w:firstColumn="1" w:lastColumn="0" w:oddVBand="0" w:evenVBand="0" w:oddHBand="0" w:evenHBand="0" w:firstRowFirstColumn="0" w:firstRowLastColumn="0" w:lastRowFirstColumn="0" w:lastRowLastColumn="0"/>
            <w:tcW w:w="0" w:type="auto"/>
            <w:vMerge/>
            <w:hideMark/>
          </w:tcPr>
          <w:p w14:paraId="4B90119F" w14:textId="77777777" w:rsidR="006D1412" w:rsidRPr="00AA22F2" w:rsidRDefault="006D1412" w:rsidP="006D1412">
            <w:pPr>
              <w:rPr>
                <w:szCs w:val="20"/>
              </w:rPr>
            </w:pPr>
          </w:p>
        </w:tc>
        <w:tc>
          <w:tcPr>
            <w:tcW w:w="0" w:type="auto"/>
            <w:hideMark/>
          </w:tcPr>
          <w:p w14:paraId="7100DB46" w14:textId="77777777" w:rsidR="006D1412" w:rsidRPr="00AA22F2" w:rsidRDefault="006D1412" w:rsidP="006D1412">
            <w:pPr>
              <w:cnfStyle w:val="000000000000" w:firstRow="0" w:lastRow="0" w:firstColumn="0" w:lastColumn="0" w:oddVBand="0" w:evenVBand="0" w:oddHBand="0" w:evenHBand="0" w:firstRowFirstColumn="0" w:firstRowLastColumn="0" w:lastRowFirstColumn="0" w:lastRowLastColumn="0"/>
              <w:rPr>
                <w:b/>
                <w:bCs/>
                <w:szCs w:val="20"/>
              </w:rPr>
            </w:pPr>
            <w:r w:rsidRPr="00AA22F2">
              <w:rPr>
                <w:b/>
                <w:bCs/>
                <w:szCs w:val="20"/>
              </w:rPr>
              <w:t>Atténuer</w:t>
            </w:r>
          </w:p>
        </w:tc>
        <w:tc>
          <w:tcPr>
            <w:tcW w:w="0" w:type="auto"/>
            <w:hideMark/>
          </w:tcPr>
          <w:p w14:paraId="73D5B1EF" w14:textId="77777777" w:rsidR="006D1412" w:rsidRPr="00AA22F2" w:rsidRDefault="006D1412" w:rsidP="006D1412">
            <w:pPr>
              <w:cnfStyle w:val="000000000000" w:firstRow="0" w:lastRow="0" w:firstColumn="0" w:lastColumn="0" w:oddVBand="0" w:evenVBand="0" w:oddHBand="0" w:evenHBand="0" w:firstRowFirstColumn="0" w:firstRowLastColumn="0" w:lastRowFirstColumn="0" w:lastRowLastColumn="0"/>
              <w:rPr>
                <w:szCs w:val="20"/>
              </w:rPr>
            </w:pPr>
            <w:r w:rsidRPr="00AA22F2">
              <w:rPr>
                <w:szCs w:val="20"/>
              </w:rPr>
              <w:t xml:space="preserve">Mettre en œuvre une communication continue (communiqués, réunions publiques) ; </w:t>
            </w:r>
          </w:p>
          <w:p w14:paraId="48E8F674" w14:textId="4A853882" w:rsidR="006D1412" w:rsidRPr="00AA22F2" w:rsidRDefault="006D1412" w:rsidP="006D1412">
            <w:pPr>
              <w:cnfStyle w:val="000000000000" w:firstRow="0" w:lastRow="0" w:firstColumn="0" w:lastColumn="0" w:oddVBand="0" w:evenVBand="0" w:oddHBand="0" w:evenHBand="0" w:firstRowFirstColumn="0" w:firstRowLastColumn="0" w:lastRowFirstColumn="0" w:lastRowLastColumn="0"/>
              <w:rPr>
                <w:szCs w:val="20"/>
              </w:rPr>
            </w:pPr>
            <w:r w:rsidRPr="00AA22F2">
              <w:rPr>
                <w:szCs w:val="20"/>
              </w:rPr>
              <w:t>Former les chefs d’équipe à la communication interculturelle et au respect communautaire.</w:t>
            </w:r>
          </w:p>
        </w:tc>
        <w:tc>
          <w:tcPr>
            <w:tcW w:w="0" w:type="auto"/>
            <w:hideMark/>
          </w:tcPr>
          <w:p w14:paraId="0209BE8E" w14:textId="77777777" w:rsidR="006D1412" w:rsidRPr="00AA22F2" w:rsidRDefault="006D1412" w:rsidP="006D1412">
            <w:pPr>
              <w:cnfStyle w:val="000000000000" w:firstRow="0" w:lastRow="0" w:firstColumn="0" w:lastColumn="0" w:oddVBand="0" w:evenVBand="0" w:oddHBand="0" w:evenHBand="0" w:firstRowFirstColumn="0" w:firstRowLastColumn="0" w:lastRowFirstColumn="0" w:lastRowLastColumn="0"/>
              <w:rPr>
                <w:szCs w:val="20"/>
              </w:rPr>
            </w:pPr>
            <w:r w:rsidRPr="00AA22F2">
              <w:rPr>
                <w:szCs w:val="20"/>
              </w:rPr>
              <w:t xml:space="preserve">Nb de réunions communautaires ; </w:t>
            </w:r>
          </w:p>
          <w:p w14:paraId="2C439AE1" w14:textId="229D941B" w:rsidR="006D1412" w:rsidRPr="00AA22F2" w:rsidRDefault="006D1412" w:rsidP="006D1412">
            <w:pPr>
              <w:cnfStyle w:val="000000000000" w:firstRow="0" w:lastRow="0" w:firstColumn="0" w:lastColumn="0" w:oddVBand="0" w:evenVBand="0" w:oddHBand="0" w:evenHBand="0" w:firstRowFirstColumn="0" w:firstRowLastColumn="0" w:lastRowFirstColumn="0" w:lastRowLastColumn="0"/>
              <w:rPr>
                <w:szCs w:val="20"/>
              </w:rPr>
            </w:pPr>
            <w:r w:rsidRPr="00AA22F2">
              <w:rPr>
                <w:szCs w:val="20"/>
              </w:rPr>
              <w:t>Nb de formations réalisées.</w:t>
            </w:r>
          </w:p>
        </w:tc>
        <w:tc>
          <w:tcPr>
            <w:tcW w:w="0" w:type="auto"/>
            <w:hideMark/>
          </w:tcPr>
          <w:p w14:paraId="3899824E" w14:textId="4DAFB69F" w:rsidR="006D1412" w:rsidRPr="00AA22F2" w:rsidRDefault="006D1412" w:rsidP="006D1412">
            <w:pPr>
              <w:cnfStyle w:val="000000000000" w:firstRow="0" w:lastRow="0" w:firstColumn="0" w:lastColumn="0" w:oddVBand="0" w:evenVBand="0" w:oddHBand="0" w:evenHBand="0" w:firstRowFirstColumn="0" w:firstRowLastColumn="0" w:lastRowFirstColumn="0" w:lastRowLastColumn="0"/>
              <w:rPr>
                <w:szCs w:val="20"/>
              </w:rPr>
            </w:pPr>
            <w:r w:rsidRPr="00AA22F2">
              <w:rPr>
                <w:szCs w:val="20"/>
              </w:rPr>
              <w:t>EPC / Sous-traitants</w:t>
            </w:r>
          </w:p>
        </w:tc>
        <w:tc>
          <w:tcPr>
            <w:tcW w:w="0" w:type="auto"/>
            <w:hideMark/>
          </w:tcPr>
          <w:p w14:paraId="7428B8A2" w14:textId="1BEC157D" w:rsidR="006D1412" w:rsidRPr="00AA22F2" w:rsidRDefault="006D1412" w:rsidP="006D1412">
            <w:pPr>
              <w:cnfStyle w:val="000000000000" w:firstRow="0" w:lastRow="0" w:firstColumn="0" w:lastColumn="0" w:oddVBand="0" w:evenVBand="0" w:oddHBand="0" w:evenHBand="0" w:firstRowFirstColumn="0" w:firstRowLastColumn="0" w:lastRowFirstColumn="0" w:lastRowLastColumn="0"/>
              <w:rPr>
                <w:szCs w:val="20"/>
              </w:rPr>
            </w:pPr>
            <w:r w:rsidRPr="00BC1745">
              <w:rPr>
                <w:szCs w:val="20"/>
              </w:rPr>
              <w:t>Bureau de contrôle / Consultant de supervision mandaté par l’ONDA</w:t>
            </w:r>
          </w:p>
        </w:tc>
        <w:tc>
          <w:tcPr>
            <w:tcW w:w="0" w:type="auto"/>
            <w:hideMark/>
          </w:tcPr>
          <w:p w14:paraId="594017EF" w14:textId="00A7D2B8" w:rsidR="006D1412" w:rsidRPr="00AA22F2" w:rsidRDefault="006D1412" w:rsidP="006D1412">
            <w:pPr>
              <w:cnfStyle w:val="000000000000" w:firstRow="0" w:lastRow="0" w:firstColumn="0" w:lastColumn="0" w:oddVBand="0" w:evenVBand="0" w:oddHBand="0" w:evenHBand="0" w:firstRowFirstColumn="0" w:firstRowLastColumn="0" w:lastRowFirstColumn="0" w:lastRowLastColumn="0"/>
              <w:rPr>
                <w:szCs w:val="20"/>
              </w:rPr>
            </w:pPr>
            <w:r w:rsidRPr="00AA22F2">
              <w:rPr>
                <w:szCs w:val="20"/>
              </w:rPr>
              <w:t>ONDA</w:t>
            </w:r>
          </w:p>
        </w:tc>
        <w:tc>
          <w:tcPr>
            <w:tcW w:w="0" w:type="auto"/>
            <w:hideMark/>
          </w:tcPr>
          <w:p w14:paraId="0AE31A0C" w14:textId="77777777" w:rsidR="006D1412" w:rsidRPr="00AA22F2" w:rsidRDefault="006D1412" w:rsidP="006D1412">
            <w:pPr>
              <w:cnfStyle w:val="000000000000" w:firstRow="0" w:lastRow="0" w:firstColumn="0" w:lastColumn="0" w:oddVBand="0" w:evenVBand="0" w:oddHBand="0" w:evenHBand="0" w:firstRowFirstColumn="0" w:firstRowLastColumn="0" w:lastRowFirstColumn="0" w:lastRowLastColumn="0"/>
              <w:rPr>
                <w:szCs w:val="20"/>
              </w:rPr>
            </w:pPr>
            <w:r w:rsidRPr="00AA22F2">
              <w:rPr>
                <w:szCs w:val="20"/>
              </w:rPr>
              <w:t>Trimestriel</w:t>
            </w:r>
          </w:p>
        </w:tc>
        <w:tc>
          <w:tcPr>
            <w:tcW w:w="0" w:type="auto"/>
            <w:hideMark/>
          </w:tcPr>
          <w:p w14:paraId="456AF941" w14:textId="555E8D0F" w:rsidR="006D1412" w:rsidRPr="00AA22F2" w:rsidRDefault="00784E91" w:rsidP="006D1412">
            <w:pPr>
              <w:cnfStyle w:val="000000000000" w:firstRow="0" w:lastRow="0" w:firstColumn="0" w:lastColumn="0" w:oddVBand="0" w:evenVBand="0" w:oddHBand="0" w:evenHBand="0" w:firstRowFirstColumn="0" w:firstRowLastColumn="0" w:lastRowFirstColumn="0" w:lastRowLastColumn="0"/>
              <w:rPr>
                <w:szCs w:val="20"/>
              </w:rPr>
            </w:pPr>
            <w:r w:rsidRPr="00784E91">
              <w:rPr>
                <w:szCs w:val="20"/>
              </w:rPr>
              <w:t>6 000 MAD / session (30 pers.)</w:t>
            </w:r>
          </w:p>
        </w:tc>
      </w:tr>
      <w:tr w:rsidR="00CB6B6C" w:rsidRPr="008A72E6" w14:paraId="1D407BB1" w14:textId="77777777" w:rsidTr="00774FC4">
        <w:tc>
          <w:tcPr>
            <w:cnfStyle w:val="001000000000" w:firstRow="0" w:lastRow="0" w:firstColumn="1" w:lastColumn="0" w:oddVBand="0" w:evenVBand="0" w:oddHBand="0" w:evenHBand="0" w:firstRowFirstColumn="0" w:firstRowLastColumn="0" w:lastRowFirstColumn="0" w:lastRowLastColumn="0"/>
            <w:tcW w:w="0" w:type="auto"/>
            <w:vMerge/>
            <w:hideMark/>
          </w:tcPr>
          <w:p w14:paraId="0D3C5F14" w14:textId="77777777" w:rsidR="006D1412" w:rsidRPr="00AA22F2" w:rsidRDefault="006D1412" w:rsidP="006D1412">
            <w:pPr>
              <w:rPr>
                <w:szCs w:val="20"/>
              </w:rPr>
            </w:pPr>
          </w:p>
        </w:tc>
        <w:tc>
          <w:tcPr>
            <w:tcW w:w="0" w:type="auto"/>
            <w:hideMark/>
          </w:tcPr>
          <w:p w14:paraId="601828DA" w14:textId="77777777" w:rsidR="006D1412" w:rsidRPr="00AA22F2" w:rsidRDefault="006D1412" w:rsidP="006D1412">
            <w:pPr>
              <w:cnfStyle w:val="000000000000" w:firstRow="0" w:lastRow="0" w:firstColumn="0" w:lastColumn="0" w:oddVBand="0" w:evenVBand="0" w:oddHBand="0" w:evenHBand="0" w:firstRowFirstColumn="0" w:firstRowLastColumn="0" w:lastRowFirstColumn="0" w:lastRowLastColumn="0"/>
              <w:rPr>
                <w:b/>
                <w:bCs/>
                <w:szCs w:val="20"/>
              </w:rPr>
            </w:pPr>
            <w:r w:rsidRPr="00AA22F2">
              <w:rPr>
                <w:b/>
                <w:bCs/>
                <w:szCs w:val="20"/>
              </w:rPr>
              <w:t>Compenser</w:t>
            </w:r>
          </w:p>
        </w:tc>
        <w:tc>
          <w:tcPr>
            <w:tcW w:w="0" w:type="auto"/>
            <w:hideMark/>
          </w:tcPr>
          <w:p w14:paraId="19E421F1" w14:textId="31E7F014" w:rsidR="006D1412" w:rsidRPr="00AA22F2" w:rsidRDefault="006D1412" w:rsidP="006D1412">
            <w:pPr>
              <w:cnfStyle w:val="000000000000" w:firstRow="0" w:lastRow="0" w:firstColumn="0" w:lastColumn="0" w:oddVBand="0" w:evenVBand="0" w:oddHBand="0" w:evenHBand="0" w:firstRowFirstColumn="0" w:firstRowLastColumn="0" w:lastRowFirstColumn="0" w:lastRowLastColumn="0"/>
              <w:rPr>
                <w:szCs w:val="20"/>
              </w:rPr>
            </w:pPr>
            <w:r w:rsidRPr="00AA22F2">
              <w:rPr>
                <w:szCs w:val="20"/>
              </w:rPr>
              <w:t>Valoriser les retombées sociales positives (emplois, services).</w:t>
            </w:r>
          </w:p>
        </w:tc>
        <w:tc>
          <w:tcPr>
            <w:tcW w:w="0" w:type="auto"/>
            <w:hideMark/>
          </w:tcPr>
          <w:p w14:paraId="5FF6DFDC" w14:textId="20744C71" w:rsidR="006D1412" w:rsidRPr="00AA22F2" w:rsidRDefault="006D1412" w:rsidP="006D1412">
            <w:pPr>
              <w:cnfStyle w:val="000000000000" w:firstRow="0" w:lastRow="0" w:firstColumn="0" w:lastColumn="0" w:oddVBand="0" w:evenVBand="0" w:oddHBand="0" w:evenHBand="0" w:firstRowFirstColumn="0" w:firstRowLastColumn="0" w:lastRowFirstColumn="0" w:lastRowLastColumn="0"/>
              <w:rPr>
                <w:szCs w:val="20"/>
              </w:rPr>
            </w:pPr>
            <w:r w:rsidRPr="00AA22F2">
              <w:rPr>
                <w:szCs w:val="20"/>
              </w:rPr>
              <w:t>% d’emplois locaux.</w:t>
            </w:r>
          </w:p>
        </w:tc>
        <w:tc>
          <w:tcPr>
            <w:tcW w:w="0" w:type="auto"/>
            <w:hideMark/>
          </w:tcPr>
          <w:p w14:paraId="1CF6D570" w14:textId="7B73A0AD" w:rsidR="006D1412" w:rsidRPr="00AA22F2" w:rsidRDefault="006D1412" w:rsidP="006D1412">
            <w:pPr>
              <w:cnfStyle w:val="000000000000" w:firstRow="0" w:lastRow="0" w:firstColumn="0" w:lastColumn="0" w:oddVBand="0" w:evenVBand="0" w:oddHBand="0" w:evenHBand="0" w:firstRowFirstColumn="0" w:firstRowLastColumn="0" w:lastRowFirstColumn="0" w:lastRowLastColumn="0"/>
              <w:rPr>
                <w:szCs w:val="20"/>
              </w:rPr>
            </w:pPr>
            <w:r w:rsidRPr="00AA22F2">
              <w:rPr>
                <w:szCs w:val="20"/>
              </w:rPr>
              <w:t>EPC / Sous-traitants</w:t>
            </w:r>
          </w:p>
        </w:tc>
        <w:tc>
          <w:tcPr>
            <w:tcW w:w="0" w:type="auto"/>
            <w:hideMark/>
          </w:tcPr>
          <w:p w14:paraId="4466ED59" w14:textId="74731FE2" w:rsidR="006D1412" w:rsidRPr="00AA22F2" w:rsidRDefault="006D1412" w:rsidP="006D1412">
            <w:pPr>
              <w:cnfStyle w:val="000000000000" w:firstRow="0" w:lastRow="0" w:firstColumn="0" w:lastColumn="0" w:oddVBand="0" w:evenVBand="0" w:oddHBand="0" w:evenHBand="0" w:firstRowFirstColumn="0" w:firstRowLastColumn="0" w:lastRowFirstColumn="0" w:lastRowLastColumn="0"/>
              <w:rPr>
                <w:szCs w:val="20"/>
              </w:rPr>
            </w:pPr>
            <w:r w:rsidRPr="00BC1745">
              <w:rPr>
                <w:szCs w:val="20"/>
              </w:rPr>
              <w:t>Bureau de contrôle / Consultant de supervision mandaté par l’ONDA</w:t>
            </w:r>
          </w:p>
        </w:tc>
        <w:tc>
          <w:tcPr>
            <w:tcW w:w="0" w:type="auto"/>
            <w:hideMark/>
          </w:tcPr>
          <w:p w14:paraId="3BAC49FF" w14:textId="0465EE88" w:rsidR="006D1412" w:rsidRPr="00AA22F2" w:rsidRDefault="006D1412" w:rsidP="006D1412">
            <w:pPr>
              <w:cnfStyle w:val="000000000000" w:firstRow="0" w:lastRow="0" w:firstColumn="0" w:lastColumn="0" w:oddVBand="0" w:evenVBand="0" w:oddHBand="0" w:evenHBand="0" w:firstRowFirstColumn="0" w:firstRowLastColumn="0" w:lastRowFirstColumn="0" w:lastRowLastColumn="0"/>
              <w:rPr>
                <w:szCs w:val="20"/>
              </w:rPr>
            </w:pPr>
            <w:r w:rsidRPr="00AA22F2">
              <w:rPr>
                <w:szCs w:val="20"/>
              </w:rPr>
              <w:t>ONDA</w:t>
            </w:r>
          </w:p>
        </w:tc>
        <w:tc>
          <w:tcPr>
            <w:tcW w:w="0" w:type="auto"/>
            <w:hideMark/>
          </w:tcPr>
          <w:p w14:paraId="5B9F8D3B" w14:textId="77777777" w:rsidR="006D1412" w:rsidRPr="00AA22F2" w:rsidRDefault="006D1412" w:rsidP="006D1412">
            <w:pPr>
              <w:cnfStyle w:val="000000000000" w:firstRow="0" w:lastRow="0" w:firstColumn="0" w:lastColumn="0" w:oddVBand="0" w:evenVBand="0" w:oddHBand="0" w:evenHBand="0" w:firstRowFirstColumn="0" w:firstRowLastColumn="0" w:lastRowFirstColumn="0" w:lastRowLastColumn="0"/>
              <w:rPr>
                <w:szCs w:val="20"/>
              </w:rPr>
            </w:pPr>
            <w:r w:rsidRPr="00AA22F2">
              <w:rPr>
                <w:szCs w:val="20"/>
              </w:rPr>
              <w:t>Selon opportunités locales</w:t>
            </w:r>
          </w:p>
        </w:tc>
        <w:tc>
          <w:tcPr>
            <w:tcW w:w="0" w:type="auto"/>
            <w:hideMark/>
          </w:tcPr>
          <w:p w14:paraId="12FA0939" w14:textId="27564A0C" w:rsidR="006D1412" w:rsidRPr="00AA22F2" w:rsidRDefault="00784E91" w:rsidP="006D1412">
            <w:pPr>
              <w:cnfStyle w:val="000000000000" w:firstRow="0" w:lastRow="0" w:firstColumn="0" w:lastColumn="0" w:oddVBand="0" w:evenVBand="0" w:oddHBand="0" w:evenHBand="0" w:firstRowFirstColumn="0" w:firstRowLastColumn="0" w:lastRowFirstColumn="0" w:lastRowLastColumn="0"/>
              <w:rPr>
                <w:szCs w:val="20"/>
              </w:rPr>
            </w:pPr>
            <w:r w:rsidRPr="00784E91">
              <w:rPr>
                <w:szCs w:val="20"/>
              </w:rPr>
              <w:t>Aucun coût spécifique</w:t>
            </w:r>
          </w:p>
        </w:tc>
      </w:tr>
      <w:tr w:rsidR="00CB6B6C" w:rsidRPr="008A72E6" w14:paraId="15D435E8" w14:textId="77777777" w:rsidTr="00774FC4">
        <w:tc>
          <w:tcPr>
            <w:cnfStyle w:val="001000000000" w:firstRow="0" w:lastRow="0" w:firstColumn="1" w:lastColumn="0" w:oddVBand="0" w:evenVBand="0" w:oddHBand="0" w:evenHBand="0" w:firstRowFirstColumn="0" w:firstRowLastColumn="0" w:lastRowFirstColumn="0" w:lastRowLastColumn="0"/>
            <w:tcW w:w="0" w:type="auto"/>
            <w:vMerge w:val="restart"/>
            <w:hideMark/>
          </w:tcPr>
          <w:p w14:paraId="2957F2C7" w14:textId="77777777" w:rsidR="006D1412" w:rsidRPr="00AA22F2" w:rsidRDefault="006D1412" w:rsidP="006D1412">
            <w:pPr>
              <w:rPr>
                <w:szCs w:val="20"/>
              </w:rPr>
            </w:pPr>
            <w:r w:rsidRPr="00AA22F2">
              <w:rPr>
                <w:szCs w:val="20"/>
              </w:rPr>
              <w:lastRenderedPageBreak/>
              <w:t>Stress psychologique et perturbation du sentiment de sécurité communautaire</w:t>
            </w:r>
          </w:p>
        </w:tc>
        <w:tc>
          <w:tcPr>
            <w:tcW w:w="0" w:type="auto"/>
            <w:hideMark/>
          </w:tcPr>
          <w:p w14:paraId="2E09850D" w14:textId="77777777" w:rsidR="006D1412" w:rsidRPr="00AA22F2" w:rsidRDefault="006D1412" w:rsidP="006D1412">
            <w:pPr>
              <w:cnfStyle w:val="000000000000" w:firstRow="0" w:lastRow="0" w:firstColumn="0" w:lastColumn="0" w:oddVBand="0" w:evenVBand="0" w:oddHBand="0" w:evenHBand="0" w:firstRowFirstColumn="0" w:firstRowLastColumn="0" w:lastRowFirstColumn="0" w:lastRowLastColumn="0"/>
              <w:rPr>
                <w:b/>
                <w:bCs/>
                <w:szCs w:val="20"/>
              </w:rPr>
            </w:pPr>
            <w:r w:rsidRPr="00AA22F2">
              <w:rPr>
                <w:b/>
                <w:bCs/>
                <w:szCs w:val="20"/>
              </w:rPr>
              <w:t>Éviter</w:t>
            </w:r>
          </w:p>
        </w:tc>
        <w:tc>
          <w:tcPr>
            <w:tcW w:w="0" w:type="auto"/>
            <w:hideMark/>
          </w:tcPr>
          <w:p w14:paraId="1DBDD963" w14:textId="77777777" w:rsidR="006D1412" w:rsidRPr="00AA22F2" w:rsidRDefault="006D1412" w:rsidP="006D1412">
            <w:pPr>
              <w:cnfStyle w:val="000000000000" w:firstRow="0" w:lastRow="0" w:firstColumn="0" w:lastColumn="0" w:oddVBand="0" w:evenVBand="0" w:oddHBand="0" w:evenHBand="0" w:firstRowFirstColumn="0" w:firstRowLastColumn="0" w:lastRowFirstColumn="0" w:lastRowLastColumn="0"/>
              <w:rPr>
                <w:szCs w:val="20"/>
              </w:rPr>
            </w:pPr>
            <w:r w:rsidRPr="00AA22F2">
              <w:rPr>
                <w:szCs w:val="20"/>
              </w:rPr>
              <w:t xml:space="preserve">Localiser les zones de travail à distance suffisante des habitations ; </w:t>
            </w:r>
          </w:p>
          <w:p w14:paraId="14406A49" w14:textId="14B1E548" w:rsidR="006D1412" w:rsidRPr="00AA22F2" w:rsidRDefault="006D1412" w:rsidP="006D1412">
            <w:pPr>
              <w:cnfStyle w:val="000000000000" w:firstRow="0" w:lastRow="0" w:firstColumn="0" w:lastColumn="0" w:oddVBand="0" w:evenVBand="0" w:oddHBand="0" w:evenHBand="0" w:firstRowFirstColumn="0" w:firstRowLastColumn="0" w:lastRowFirstColumn="0" w:lastRowLastColumn="0"/>
              <w:rPr>
                <w:szCs w:val="20"/>
              </w:rPr>
            </w:pPr>
            <w:r w:rsidRPr="00AA22F2">
              <w:rPr>
                <w:szCs w:val="20"/>
              </w:rPr>
              <w:t xml:space="preserve">Interdire les travaux bruyants la nuit ; </w:t>
            </w:r>
          </w:p>
          <w:p w14:paraId="3E420583" w14:textId="61083E07" w:rsidR="006D1412" w:rsidRPr="00AA22F2" w:rsidRDefault="006D1412" w:rsidP="006D1412">
            <w:pPr>
              <w:cnfStyle w:val="000000000000" w:firstRow="0" w:lastRow="0" w:firstColumn="0" w:lastColumn="0" w:oddVBand="0" w:evenVBand="0" w:oddHBand="0" w:evenHBand="0" w:firstRowFirstColumn="0" w:firstRowLastColumn="0" w:lastRowFirstColumn="0" w:lastRowLastColumn="0"/>
              <w:rPr>
                <w:szCs w:val="20"/>
              </w:rPr>
            </w:pPr>
            <w:r w:rsidRPr="00AA22F2">
              <w:rPr>
                <w:szCs w:val="20"/>
              </w:rPr>
              <w:t>Communiquer préalablement les périodes de travaux intenses.</w:t>
            </w:r>
          </w:p>
        </w:tc>
        <w:tc>
          <w:tcPr>
            <w:tcW w:w="0" w:type="auto"/>
            <w:hideMark/>
          </w:tcPr>
          <w:p w14:paraId="28592BD6" w14:textId="672C5821" w:rsidR="006D1412" w:rsidRPr="00AA22F2" w:rsidRDefault="006D1412" w:rsidP="006D1412">
            <w:pPr>
              <w:cnfStyle w:val="000000000000" w:firstRow="0" w:lastRow="0" w:firstColumn="0" w:lastColumn="0" w:oddVBand="0" w:evenVBand="0" w:oddHBand="0" w:evenHBand="0" w:firstRowFirstColumn="0" w:firstRowLastColumn="0" w:lastRowFirstColumn="0" w:lastRowLastColumn="0"/>
              <w:rPr>
                <w:szCs w:val="20"/>
              </w:rPr>
            </w:pPr>
            <w:r w:rsidRPr="00AA22F2">
              <w:rPr>
                <w:szCs w:val="20"/>
              </w:rPr>
              <w:t xml:space="preserve">Nb de plaintes liées aux nuisances sonores ; </w:t>
            </w:r>
          </w:p>
          <w:p w14:paraId="05DA3880" w14:textId="6541CCC2" w:rsidR="006D1412" w:rsidRPr="00AA22F2" w:rsidRDefault="006D1412" w:rsidP="006D1412">
            <w:pPr>
              <w:cnfStyle w:val="000000000000" w:firstRow="0" w:lastRow="0" w:firstColumn="0" w:lastColumn="0" w:oddVBand="0" w:evenVBand="0" w:oddHBand="0" w:evenHBand="0" w:firstRowFirstColumn="0" w:firstRowLastColumn="0" w:lastRowFirstColumn="0" w:lastRowLastColumn="0"/>
              <w:rPr>
                <w:szCs w:val="20"/>
              </w:rPr>
            </w:pPr>
            <w:r w:rsidRPr="00AA22F2">
              <w:rPr>
                <w:szCs w:val="20"/>
              </w:rPr>
              <w:t>Nb de notifications communautaires émises.</w:t>
            </w:r>
          </w:p>
        </w:tc>
        <w:tc>
          <w:tcPr>
            <w:tcW w:w="0" w:type="auto"/>
            <w:hideMark/>
          </w:tcPr>
          <w:p w14:paraId="1FB64C09" w14:textId="4C6F6D27" w:rsidR="006D1412" w:rsidRPr="00AA22F2" w:rsidRDefault="006D1412" w:rsidP="006D1412">
            <w:pPr>
              <w:cnfStyle w:val="000000000000" w:firstRow="0" w:lastRow="0" w:firstColumn="0" w:lastColumn="0" w:oddVBand="0" w:evenVBand="0" w:oddHBand="0" w:evenHBand="0" w:firstRowFirstColumn="0" w:firstRowLastColumn="0" w:lastRowFirstColumn="0" w:lastRowLastColumn="0"/>
              <w:rPr>
                <w:szCs w:val="20"/>
              </w:rPr>
            </w:pPr>
            <w:r w:rsidRPr="00AA22F2">
              <w:rPr>
                <w:szCs w:val="20"/>
              </w:rPr>
              <w:t>EPC / Sous-traitants</w:t>
            </w:r>
          </w:p>
        </w:tc>
        <w:tc>
          <w:tcPr>
            <w:tcW w:w="0" w:type="auto"/>
            <w:hideMark/>
          </w:tcPr>
          <w:p w14:paraId="2F8FBE53" w14:textId="7B82144A" w:rsidR="006D1412" w:rsidRPr="00AA22F2" w:rsidRDefault="006D1412" w:rsidP="006D1412">
            <w:pPr>
              <w:cnfStyle w:val="000000000000" w:firstRow="0" w:lastRow="0" w:firstColumn="0" w:lastColumn="0" w:oddVBand="0" w:evenVBand="0" w:oddHBand="0" w:evenHBand="0" w:firstRowFirstColumn="0" w:firstRowLastColumn="0" w:lastRowFirstColumn="0" w:lastRowLastColumn="0"/>
              <w:rPr>
                <w:szCs w:val="20"/>
              </w:rPr>
            </w:pPr>
            <w:r w:rsidRPr="00BC1745">
              <w:rPr>
                <w:szCs w:val="20"/>
              </w:rPr>
              <w:t>Bureau de contrôle / Consultant de supervision mandaté par l’ONDA</w:t>
            </w:r>
          </w:p>
        </w:tc>
        <w:tc>
          <w:tcPr>
            <w:tcW w:w="0" w:type="auto"/>
            <w:hideMark/>
          </w:tcPr>
          <w:p w14:paraId="388553D0" w14:textId="4C1E0451" w:rsidR="006D1412" w:rsidRPr="00AA22F2" w:rsidRDefault="006D1412" w:rsidP="006D1412">
            <w:pPr>
              <w:cnfStyle w:val="000000000000" w:firstRow="0" w:lastRow="0" w:firstColumn="0" w:lastColumn="0" w:oddVBand="0" w:evenVBand="0" w:oddHBand="0" w:evenHBand="0" w:firstRowFirstColumn="0" w:firstRowLastColumn="0" w:lastRowFirstColumn="0" w:lastRowLastColumn="0"/>
              <w:rPr>
                <w:szCs w:val="20"/>
              </w:rPr>
            </w:pPr>
            <w:r w:rsidRPr="00AA22F2">
              <w:rPr>
                <w:szCs w:val="20"/>
              </w:rPr>
              <w:t>ONDA</w:t>
            </w:r>
          </w:p>
        </w:tc>
        <w:tc>
          <w:tcPr>
            <w:tcW w:w="0" w:type="auto"/>
            <w:hideMark/>
          </w:tcPr>
          <w:p w14:paraId="6DED2E59" w14:textId="77777777" w:rsidR="006D1412" w:rsidRPr="00AA22F2" w:rsidRDefault="006D1412" w:rsidP="006D1412">
            <w:pPr>
              <w:cnfStyle w:val="000000000000" w:firstRow="0" w:lastRow="0" w:firstColumn="0" w:lastColumn="0" w:oddVBand="0" w:evenVBand="0" w:oddHBand="0" w:evenHBand="0" w:firstRowFirstColumn="0" w:firstRowLastColumn="0" w:lastRowFirstColumn="0" w:lastRowLastColumn="0"/>
              <w:rPr>
                <w:szCs w:val="20"/>
              </w:rPr>
            </w:pPr>
            <w:r w:rsidRPr="00AA22F2">
              <w:rPr>
                <w:szCs w:val="20"/>
              </w:rPr>
              <w:t>Avant et pendant les travaux</w:t>
            </w:r>
          </w:p>
        </w:tc>
        <w:tc>
          <w:tcPr>
            <w:tcW w:w="0" w:type="auto"/>
            <w:hideMark/>
          </w:tcPr>
          <w:p w14:paraId="3F17F9BA" w14:textId="346380C8" w:rsidR="006D1412" w:rsidRPr="00AA22F2" w:rsidRDefault="00F31333" w:rsidP="006D1412">
            <w:pPr>
              <w:cnfStyle w:val="000000000000" w:firstRow="0" w:lastRow="0" w:firstColumn="0" w:lastColumn="0" w:oddVBand="0" w:evenVBand="0" w:oddHBand="0" w:evenHBand="0" w:firstRowFirstColumn="0" w:firstRowLastColumn="0" w:lastRowFirstColumn="0" w:lastRowLastColumn="0"/>
              <w:rPr>
                <w:szCs w:val="20"/>
              </w:rPr>
            </w:pPr>
            <w:r w:rsidRPr="00F31333">
              <w:rPr>
                <w:szCs w:val="20"/>
              </w:rPr>
              <w:t>Aucun coût spécifique</w:t>
            </w:r>
          </w:p>
        </w:tc>
      </w:tr>
      <w:tr w:rsidR="00CB6B6C" w:rsidRPr="008A72E6" w14:paraId="6E85066C" w14:textId="77777777" w:rsidTr="00774FC4">
        <w:tc>
          <w:tcPr>
            <w:cnfStyle w:val="001000000000" w:firstRow="0" w:lastRow="0" w:firstColumn="1" w:lastColumn="0" w:oddVBand="0" w:evenVBand="0" w:oddHBand="0" w:evenHBand="0" w:firstRowFirstColumn="0" w:firstRowLastColumn="0" w:lastRowFirstColumn="0" w:lastRowLastColumn="0"/>
            <w:tcW w:w="0" w:type="auto"/>
            <w:vMerge/>
            <w:hideMark/>
          </w:tcPr>
          <w:p w14:paraId="0924B6E3" w14:textId="77777777" w:rsidR="006D1412" w:rsidRPr="00AA22F2" w:rsidRDefault="006D1412" w:rsidP="006D1412">
            <w:pPr>
              <w:rPr>
                <w:szCs w:val="20"/>
              </w:rPr>
            </w:pPr>
          </w:p>
        </w:tc>
        <w:tc>
          <w:tcPr>
            <w:tcW w:w="0" w:type="auto"/>
            <w:hideMark/>
          </w:tcPr>
          <w:p w14:paraId="6088DF61" w14:textId="77777777" w:rsidR="006D1412" w:rsidRPr="00AA22F2" w:rsidRDefault="006D1412" w:rsidP="006D1412">
            <w:pPr>
              <w:cnfStyle w:val="000000000000" w:firstRow="0" w:lastRow="0" w:firstColumn="0" w:lastColumn="0" w:oddVBand="0" w:evenVBand="0" w:oddHBand="0" w:evenHBand="0" w:firstRowFirstColumn="0" w:firstRowLastColumn="0" w:lastRowFirstColumn="0" w:lastRowLastColumn="0"/>
              <w:rPr>
                <w:b/>
                <w:bCs/>
                <w:szCs w:val="20"/>
              </w:rPr>
            </w:pPr>
            <w:r w:rsidRPr="00AA22F2">
              <w:rPr>
                <w:b/>
                <w:bCs/>
                <w:szCs w:val="20"/>
              </w:rPr>
              <w:t>Réduire</w:t>
            </w:r>
          </w:p>
        </w:tc>
        <w:tc>
          <w:tcPr>
            <w:tcW w:w="0" w:type="auto"/>
            <w:hideMark/>
          </w:tcPr>
          <w:p w14:paraId="7F9A53C5" w14:textId="77777777" w:rsidR="006D1412" w:rsidRPr="00AA22F2" w:rsidRDefault="006D1412" w:rsidP="006D1412">
            <w:pPr>
              <w:cnfStyle w:val="000000000000" w:firstRow="0" w:lastRow="0" w:firstColumn="0" w:lastColumn="0" w:oddVBand="0" w:evenVBand="0" w:oddHBand="0" w:evenHBand="0" w:firstRowFirstColumn="0" w:firstRowLastColumn="0" w:lastRowFirstColumn="0" w:lastRowLastColumn="0"/>
              <w:rPr>
                <w:szCs w:val="20"/>
              </w:rPr>
            </w:pPr>
            <w:r w:rsidRPr="00AA22F2">
              <w:rPr>
                <w:szCs w:val="20"/>
              </w:rPr>
              <w:t xml:space="preserve">Mettre en place une barrière physique et visuelle autour du chantier ; </w:t>
            </w:r>
          </w:p>
          <w:p w14:paraId="72426AD2" w14:textId="77777777" w:rsidR="006D1412" w:rsidRPr="00AA22F2" w:rsidRDefault="006D1412" w:rsidP="006D1412">
            <w:pPr>
              <w:cnfStyle w:val="000000000000" w:firstRow="0" w:lastRow="0" w:firstColumn="0" w:lastColumn="0" w:oddVBand="0" w:evenVBand="0" w:oddHBand="0" w:evenHBand="0" w:firstRowFirstColumn="0" w:firstRowLastColumn="0" w:lastRowFirstColumn="0" w:lastRowLastColumn="0"/>
              <w:rPr>
                <w:szCs w:val="20"/>
              </w:rPr>
            </w:pPr>
            <w:r w:rsidRPr="00AA22F2">
              <w:rPr>
                <w:szCs w:val="20"/>
              </w:rPr>
              <w:t xml:space="preserve">Maintenir la propreté et le balisage permanent des zones actives ; </w:t>
            </w:r>
          </w:p>
          <w:p w14:paraId="7DEE7FED" w14:textId="183C1DFB" w:rsidR="006D1412" w:rsidRPr="00AA22F2" w:rsidRDefault="006D1412" w:rsidP="006D1412">
            <w:pPr>
              <w:cnfStyle w:val="000000000000" w:firstRow="0" w:lastRow="0" w:firstColumn="0" w:lastColumn="0" w:oddVBand="0" w:evenVBand="0" w:oddHBand="0" w:evenHBand="0" w:firstRowFirstColumn="0" w:firstRowLastColumn="0" w:lastRowFirstColumn="0" w:lastRowLastColumn="0"/>
              <w:rPr>
                <w:szCs w:val="20"/>
              </w:rPr>
            </w:pPr>
            <w:r w:rsidRPr="00AA22F2">
              <w:rPr>
                <w:szCs w:val="20"/>
              </w:rPr>
              <w:lastRenderedPageBreak/>
              <w:t>Restreindre les signaux sonores au strict nécessaire.</w:t>
            </w:r>
          </w:p>
        </w:tc>
        <w:tc>
          <w:tcPr>
            <w:tcW w:w="0" w:type="auto"/>
            <w:hideMark/>
          </w:tcPr>
          <w:p w14:paraId="74227FF3" w14:textId="77777777" w:rsidR="006D1412" w:rsidRPr="00AA22F2" w:rsidRDefault="006D1412" w:rsidP="006D1412">
            <w:pPr>
              <w:cnfStyle w:val="000000000000" w:firstRow="0" w:lastRow="0" w:firstColumn="0" w:lastColumn="0" w:oddVBand="0" w:evenVBand="0" w:oddHBand="0" w:evenHBand="0" w:firstRowFirstColumn="0" w:firstRowLastColumn="0" w:lastRowFirstColumn="0" w:lastRowLastColumn="0"/>
              <w:rPr>
                <w:szCs w:val="20"/>
              </w:rPr>
            </w:pPr>
            <w:r w:rsidRPr="00AA22F2">
              <w:rPr>
                <w:szCs w:val="20"/>
              </w:rPr>
              <w:lastRenderedPageBreak/>
              <w:t>Nb d’inspections hebdomadaires ;</w:t>
            </w:r>
          </w:p>
          <w:p w14:paraId="41AE9252" w14:textId="2868BBFF" w:rsidR="006D1412" w:rsidRPr="00AA22F2" w:rsidRDefault="006D1412" w:rsidP="006D1412">
            <w:pPr>
              <w:cnfStyle w:val="000000000000" w:firstRow="0" w:lastRow="0" w:firstColumn="0" w:lastColumn="0" w:oddVBand="0" w:evenVBand="0" w:oddHBand="0" w:evenHBand="0" w:firstRowFirstColumn="0" w:firstRowLastColumn="0" w:lastRowFirstColumn="0" w:lastRowLastColumn="0"/>
              <w:rPr>
                <w:szCs w:val="20"/>
              </w:rPr>
            </w:pPr>
            <w:r w:rsidRPr="00AA22F2">
              <w:rPr>
                <w:szCs w:val="20"/>
              </w:rPr>
              <w:t xml:space="preserve"> Nb de plaintes </w:t>
            </w:r>
            <w:r w:rsidR="00A12CC2">
              <w:rPr>
                <w:szCs w:val="20"/>
              </w:rPr>
              <w:t>r</w:t>
            </w:r>
            <w:r w:rsidRPr="00AA22F2">
              <w:rPr>
                <w:szCs w:val="20"/>
              </w:rPr>
              <w:t>eçues.</w:t>
            </w:r>
          </w:p>
        </w:tc>
        <w:tc>
          <w:tcPr>
            <w:tcW w:w="0" w:type="auto"/>
            <w:hideMark/>
          </w:tcPr>
          <w:p w14:paraId="61302AEE" w14:textId="71570366" w:rsidR="006D1412" w:rsidRPr="00AA22F2" w:rsidRDefault="006D1412" w:rsidP="006D1412">
            <w:pPr>
              <w:cnfStyle w:val="000000000000" w:firstRow="0" w:lastRow="0" w:firstColumn="0" w:lastColumn="0" w:oddVBand="0" w:evenVBand="0" w:oddHBand="0" w:evenHBand="0" w:firstRowFirstColumn="0" w:firstRowLastColumn="0" w:lastRowFirstColumn="0" w:lastRowLastColumn="0"/>
              <w:rPr>
                <w:szCs w:val="20"/>
              </w:rPr>
            </w:pPr>
            <w:r w:rsidRPr="00AA22F2">
              <w:rPr>
                <w:szCs w:val="20"/>
              </w:rPr>
              <w:t>EPC / Sous-traitants</w:t>
            </w:r>
          </w:p>
        </w:tc>
        <w:tc>
          <w:tcPr>
            <w:tcW w:w="0" w:type="auto"/>
            <w:hideMark/>
          </w:tcPr>
          <w:p w14:paraId="0FEBCFD2" w14:textId="415B3F79" w:rsidR="006D1412" w:rsidRPr="00AA22F2" w:rsidRDefault="006D1412" w:rsidP="006D1412">
            <w:pPr>
              <w:cnfStyle w:val="000000000000" w:firstRow="0" w:lastRow="0" w:firstColumn="0" w:lastColumn="0" w:oddVBand="0" w:evenVBand="0" w:oddHBand="0" w:evenHBand="0" w:firstRowFirstColumn="0" w:firstRowLastColumn="0" w:lastRowFirstColumn="0" w:lastRowLastColumn="0"/>
              <w:rPr>
                <w:szCs w:val="20"/>
              </w:rPr>
            </w:pPr>
            <w:r w:rsidRPr="00BC1745">
              <w:rPr>
                <w:szCs w:val="20"/>
              </w:rPr>
              <w:t>Bureau de contrôle / Consultant de supervision mandaté par l’ONDA</w:t>
            </w:r>
          </w:p>
        </w:tc>
        <w:tc>
          <w:tcPr>
            <w:tcW w:w="0" w:type="auto"/>
            <w:hideMark/>
          </w:tcPr>
          <w:p w14:paraId="64905938" w14:textId="5CAAF7FF" w:rsidR="006D1412" w:rsidRPr="00AA22F2" w:rsidRDefault="006D1412" w:rsidP="006D1412">
            <w:pPr>
              <w:cnfStyle w:val="000000000000" w:firstRow="0" w:lastRow="0" w:firstColumn="0" w:lastColumn="0" w:oddVBand="0" w:evenVBand="0" w:oddHBand="0" w:evenHBand="0" w:firstRowFirstColumn="0" w:firstRowLastColumn="0" w:lastRowFirstColumn="0" w:lastRowLastColumn="0"/>
              <w:rPr>
                <w:szCs w:val="20"/>
              </w:rPr>
            </w:pPr>
            <w:r w:rsidRPr="00AA22F2">
              <w:rPr>
                <w:szCs w:val="20"/>
              </w:rPr>
              <w:t>ONDA</w:t>
            </w:r>
          </w:p>
        </w:tc>
        <w:tc>
          <w:tcPr>
            <w:tcW w:w="0" w:type="auto"/>
            <w:hideMark/>
          </w:tcPr>
          <w:p w14:paraId="10BBA073" w14:textId="77777777" w:rsidR="006D1412" w:rsidRPr="00AA22F2" w:rsidRDefault="006D1412" w:rsidP="006D1412">
            <w:pPr>
              <w:cnfStyle w:val="000000000000" w:firstRow="0" w:lastRow="0" w:firstColumn="0" w:lastColumn="0" w:oddVBand="0" w:evenVBand="0" w:oddHBand="0" w:evenHBand="0" w:firstRowFirstColumn="0" w:firstRowLastColumn="0" w:lastRowFirstColumn="0" w:lastRowLastColumn="0"/>
              <w:rPr>
                <w:szCs w:val="20"/>
              </w:rPr>
            </w:pPr>
            <w:r w:rsidRPr="00AA22F2">
              <w:rPr>
                <w:szCs w:val="20"/>
              </w:rPr>
              <w:t>Continu</w:t>
            </w:r>
          </w:p>
        </w:tc>
        <w:tc>
          <w:tcPr>
            <w:tcW w:w="0" w:type="auto"/>
            <w:hideMark/>
          </w:tcPr>
          <w:p w14:paraId="09070CDC" w14:textId="68504B00" w:rsidR="006D1412" w:rsidRPr="00AA22F2" w:rsidRDefault="00F31333" w:rsidP="006D1412">
            <w:pPr>
              <w:cnfStyle w:val="000000000000" w:firstRow="0" w:lastRow="0" w:firstColumn="0" w:lastColumn="0" w:oddVBand="0" w:evenVBand="0" w:oddHBand="0" w:evenHBand="0" w:firstRowFirstColumn="0" w:firstRowLastColumn="0" w:lastRowFirstColumn="0" w:lastRowLastColumn="0"/>
              <w:rPr>
                <w:szCs w:val="20"/>
              </w:rPr>
            </w:pPr>
            <w:r w:rsidRPr="00F31333">
              <w:rPr>
                <w:szCs w:val="20"/>
              </w:rPr>
              <w:t>3 000 MAD / zone</w:t>
            </w:r>
          </w:p>
        </w:tc>
      </w:tr>
      <w:tr w:rsidR="00CB6B6C" w:rsidRPr="008A72E6" w14:paraId="301D83EB" w14:textId="77777777" w:rsidTr="00774FC4">
        <w:tc>
          <w:tcPr>
            <w:cnfStyle w:val="001000000000" w:firstRow="0" w:lastRow="0" w:firstColumn="1" w:lastColumn="0" w:oddVBand="0" w:evenVBand="0" w:oddHBand="0" w:evenHBand="0" w:firstRowFirstColumn="0" w:firstRowLastColumn="0" w:lastRowFirstColumn="0" w:lastRowLastColumn="0"/>
            <w:tcW w:w="0" w:type="auto"/>
            <w:vMerge/>
            <w:hideMark/>
          </w:tcPr>
          <w:p w14:paraId="00544769" w14:textId="77777777" w:rsidR="006D1412" w:rsidRPr="00AA22F2" w:rsidRDefault="006D1412" w:rsidP="006D1412">
            <w:pPr>
              <w:rPr>
                <w:szCs w:val="20"/>
              </w:rPr>
            </w:pPr>
          </w:p>
        </w:tc>
        <w:tc>
          <w:tcPr>
            <w:tcW w:w="0" w:type="auto"/>
            <w:hideMark/>
          </w:tcPr>
          <w:p w14:paraId="3C444975" w14:textId="77777777" w:rsidR="006D1412" w:rsidRPr="00AA22F2" w:rsidRDefault="006D1412" w:rsidP="006D1412">
            <w:pPr>
              <w:cnfStyle w:val="000000000000" w:firstRow="0" w:lastRow="0" w:firstColumn="0" w:lastColumn="0" w:oddVBand="0" w:evenVBand="0" w:oddHBand="0" w:evenHBand="0" w:firstRowFirstColumn="0" w:firstRowLastColumn="0" w:lastRowFirstColumn="0" w:lastRowLastColumn="0"/>
              <w:rPr>
                <w:b/>
                <w:bCs/>
                <w:szCs w:val="20"/>
              </w:rPr>
            </w:pPr>
            <w:r w:rsidRPr="00AA22F2">
              <w:rPr>
                <w:b/>
                <w:bCs/>
                <w:szCs w:val="20"/>
              </w:rPr>
              <w:t>Atténuer</w:t>
            </w:r>
          </w:p>
        </w:tc>
        <w:tc>
          <w:tcPr>
            <w:tcW w:w="0" w:type="auto"/>
            <w:hideMark/>
          </w:tcPr>
          <w:p w14:paraId="2A210485" w14:textId="77777777" w:rsidR="006D1412" w:rsidRPr="00AA22F2" w:rsidRDefault="006D1412" w:rsidP="006D1412">
            <w:pPr>
              <w:cnfStyle w:val="000000000000" w:firstRow="0" w:lastRow="0" w:firstColumn="0" w:lastColumn="0" w:oddVBand="0" w:evenVBand="0" w:oddHBand="0" w:evenHBand="0" w:firstRowFirstColumn="0" w:firstRowLastColumn="0" w:lastRowFirstColumn="0" w:lastRowLastColumn="0"/>
              <w:rPr>
                <w:szCs w:val="20"/>
              </w:rPr>
            </w:pPr>
            <w:r w:rsidRPr="00AA22F2">
              <w:rPr>
                <w:szCs w:val="20"/>
              </w:rPr>
              <w:t xml:space="preserve">Diffuser l’information communautaire via les autorités locales ; </w:t>
            </w:r>
          </w:p>
          <w:p w14:paraId="1A9BB5C7" w14:textId="77777777" w:rsidR="006D1412" w:rsidRPr="00AA22F2" w:rsidRDefault="006D1412" w:rsidP="006D1412">
            <w:pPr>
              <w:cnfStyle w:val="000000000000" w:firstRow="0" w:lastRow="0" w:firstColumn="0" w:lastColumn="0" w:oddVBand="0" w:evenVBand="0" w:oddHBand="0" w:evenHBand="0" w:firstRowFirstColumn="0" w:firstRowLastColumn="0" w:lastRowFirstColumn="0" w:lastRowLastColumn="0"/>
              <w:rPr>
                <w:szCs w:val="20"/>
              </w:rPr>
            </w:pPr>
            <w:r w:rsidRPr="00AA22F2">
              <w:rPr>
                <w:szCs w:val="20"/>
              </w:rPr>
              <w:t>Mettre à disposition un canal de doléances rapide (téléphone, affichage) ;</w:t>
            </w:r>
          </w:p>
          <w:p w14:paraId="22C2DDD5" w14:textId="4DB02D4C" w:rsidR="006D1412" w:rsidRPr="00AA22F2" w:rsidRDefault="006D1412" w:rsidP="006D1412">
            <w:pPr>
              <w:cnfStyle w:val="000000000000" w:firstRow="0" w:lastRow="0" w:firstColumn="0" w:lastColumn="0" w:oddVBand="0" w:evenVBand="0" w:oddHBand="0" w:evenHBand="0" w:firstRowFirstColumn="0" w:firstRowLastColumn="0" w:lastRowFirstColumn="0" w:lastRowLastColumn="0"/>
              <w:rPr>
                <w:szCs w:val="20"/>
              </w:rPr>
            </w:pPr>
            <w:r w:rsidRPr="00AA22F2">
              <w:rPr>
                <w:szCs w:val="20"/>
              </w:rPr>
              <w:t>Assurer la présence d’un point focal social sur site.</w:t>
            </w:r>
          </w:p>
        </w:tc>
        <w:tc>
          <w:tcPr>
            <w:tcW w:w="0" w:type="auto"/>
            <w:hideMark/>
          </w:tcPr>
          <w:p w14:paraId="4CA7C2F5" w14:textId="77777777" w:rsidR="006D1412" w:rsidRPr="00AA22F2" w:rsidRDefault="006D1412" w:rsidP="006D1412">
            <w:pPr>
              <w:cnfStyle w:val="000000000000" w:firstRow="0" w:lastRow="0" w:firstColumn="0" w:lastColumn="0" w:oddVBand="0" w:evenVBand="0" w:oddHBand="0" w:evenHBand="0" w:firstRowFirstColumn="0" w:firstRowLastColumn="0" w:lastRowFirstColumn="0" w:lastRowLastColumn="0"/>
              <w:rPr>
                <w:szCs w:val="20"/>
              </w:rPr>
            </w:pPr>
            <w:r w:rsidRPr="00AA22F2">
              <w:rPr>
                <w:szCs w:val="20"/>
              </w:rPr>
              <w:t xml:space="preserve">Nb de doléances traitées dans les délais ; </w:t>
            </w:r>
          </w:p>
          <w:p w14:paraId="28C4EB74" w14:textId="53505A5F" w:rsidR="006D1412" w:rsidRPr="00AA22F2" w:rsidRDefault="006D1412" w:rsidP="006D1412">
            <w:pPr>
              <w:cnfStyle w:val="000000000000" w:firstRow="0" w:lastRow="0" w:firstColumn="0" w:lastColumn="0" w:oddVBand="0" w:evenVBand="0" w:oddHBand="0" w:evenHBand="0" w:firstRowFirstColumn="0" w:firstRowLastColumn="0" w:lastRowFirstColumn="0" w:lastRowLastColumn="0"/>
              <w:rPr>
                <w:szCs w:val="20"/>
              </w:rPr>
            </w:pPr>
            <w:r w:rsidRPr="00AA22F2">
              <w:rPr>
                <w:szCs w:val="20"/>
              </w:rPr>
              <w:t>Nb de rencontres communautaires tenues.</w:t>
            </w:r>
          </w:p>
        </w:tc>
        <w:tc>
          <w:tcPr>
            <w:tcW w:w="0" w:type="auto"/>
            <w:hideMark/>
          </w:tcPr>
          <w:p w14:paraId="25898806" w14:textId="5529F2EA" w:rsidR="006D1412" w:rsidRPr="00AA22F2" w:rsidRDefault="006D1412" w:rsidP="006D1412">
            <w:pPr>
              <w:cnfStyle w:val="000000000000" w:firstRow="0" w:lastRow="0" w:firstColumn="0" w:lastColumn="0" w:oddVBand="0" w:evenVBand="0" w:oddHBand="0" w:evenHBand="0" w:firstRowFirstColumn="0" w:firstRowLastColumn="0" w:lastRowFirstColumn="0" w:lastRowLastColumn="0"/>
              <w:rPr>
                <w:szCs w:val="20"/>
              </w:rPr>
            </w:pPr>
            <w:r w:rsidRPr="00AA22F2">
              <w:rPr>
                <w:szCs w:val="20"/>
              </w:rPr>
              <w:t>EPC / Sous-traitants</w:t>
            </w:r>
          </w:p>
        </w:tc>
        <w:tc>
          <w:tcPr>
            <w:tcW w:w="0" w:type="auto"/>
            <w:hideMark/>
          </w:tcPr>
          <w:p w14:paraId="28342194" w14:textId="3CFE737B" w:rsidR="006D1412" w:rsidRPr="00AA22F2" w:rsidRDefault="006D1412" w:rsidP="006D1412">
            <w:pPr>
              <w:cnfStyle w:val="000000000000" w:firstRow="0" w:lastRow="0" w:firstColumn="0" w:lastColumn="0" w:oddVBand="0" w:evenVBand="0" w:oddHBand="0" w:evenHBand="0" w:firstRowFirstColumn="0" w:firstRowLastColumn="0" w:lastRowFirstColumn="0" w:lastRowLastColumn="0"/>
              <w:rPr>
                <w:szCs w:val="20"/>
              </w:rPr>
            </w:pPr>
            <w:r w:rsidRPr="00BC1745">
              <w:rPr>
                <w:szCs w:val="20"/>
              </w:rPr>
              <w:t>Bureau de contrôle / Consultant de supervision mandaté par l’ONDA</w:t>
            </w:r>
          </w:p>
        </w:tc>
        <w:tc>
          <w:tcPr>
            <w:tcW w:w="0" w:type="auto"/>
            <w:hideMark/>
          </w:tcPr>
          <w:p w14:paraId="72F8E49C" w14:textId="4BD035B4" w:rsidR="006D1412" w:rsidRPr="00AA22F2" w:rsidRDefault="006D1412" w:rsidP="006D1412">
            <w:pPr>
              <w:cnfStyle w:val="000000000000" w:firstRow="0" w:lastRow="0" w:firstColumn="0" w:lastColumn="0" w:oddVBand="0" w:evenVBand="0" w:oddHBand="0" w:evenHBand="0" w:firstRowFirstColumn="0" w:firstRowLastColumn="0" w:lastRowFirstColumn="0" w:lastRowLastColumn="0"/>
              <w:rPr>
                <w:szCs w:val="20"/>
              </w:rPr>
            </w:pPr>
            <w:r w:rsidRPr="00AA22F2">
              <w:rPr>
                <w:szCs w:val="20"/>
              </w:rPr>
              <w:t>ONDA</w:t>
            </w:r>
          </w:p>
        </w:tc>
        <w:tc>
          <w:tcPr>
            <w:tcW w:w="0" w:type="auto"/>
            <w:hideMark/>
          </w:tcPr>
          <w:p w14:paraId="51671734" w14:textId="77777777" w:rsidR="006D1412" w:rsidRPr="00AA22F2" w:rsidRDefault="006D1412" w:rsidP="006D1412">
            <w:pPr>
              <w:cnfStyle w:val="000000000000" w:firstRow="0" w:lastRow="0" w:firstColumn="0" w:lastColumn="0" w:oddVBand="0" w:evenVBand="0" w:oddHBand="0" w:evenHBand="0" w:firstRowFirstColumn="0" w:firstRowLastColumn="0" w:lastRowFirstColumn="0" w:lastRowLastColumn="0"/>
              <w:rPr>
                <w:szCs w:val="20"/>
              </w:rPr>
            </w:pPr>
            <w:r w:rsidRPr="00AA22F2">
              <w:rPr>
                <w:szCs w:val="20"/>
              </w:rPr>
              <w:t>Mensuel</w:t>
            </w:r>
          </w:p>
        </w:tc>
        <w:tc>
          <w:tcPr>
            <w:tcW w:w="0" w:type="auto"/>
            <w:hideMark/>
          </w:tcPr>
          <w:p w14:paraId="7AF1FA55" w14:textId="6B5A30BD" w:rsidR="006D1412" w:rsidRPr="00AA22F2" w:rsidRDefault="006D1412" w:rsidP="006D1412">
            <w:pPr>
              <w:cnfStyle w:val="000000000000" w:firstRow="0" w:lastRow="0" w:firstColumn="0" w:lastColumn="0" w:oddVBand="0" w:evenVBand="0" w:oddHBand="0" w:evenHBand="0" w:firstRowFirstColumn="0" w:firstRowLastColumn="0" w:lastRowFirstColumn="0" w:lastRowLastColumn="0"/>
              <w:rPr>
                <w:szCs w:val="20"/>
              </w:rPr>
            </w:pPr>
            <w:r w:rsidRPr="00AA22F2">
              <w:rPr>
                <w:szCs w:val="20"/>
              </w:rPr>
              <w:t xml:space="preserve">Inclus dans le coût du </w:t>
            </w:r>
            <w:r w:rsidR="00F31333">
              <w:rPr>
                <w:szCs w:val="20"/>
              </w:rPr>
              <w:t xml:space="preserve">MGP et </w:t>
            </w:r>
            <w:r w:rsidR="00F31333" w:rsidRPr="00F31333">
              <w:rPr>
                <w:szCs w:val="20"/>
              </w:rPr>
              <w:t>6000 MAD/mois</w:t>
            </w:r>
            <w:r w:rsidR="00F31333">
              <w:rPr>
                <w:szCs w:val="20"/>
              </w:rPr>
              <w:t xml:space="preserve"> pour CLO</w:t>
            </w:r>
          </w:p>
        </w:tc>
      </w:tr>
    </w:tbl>
    <w:p w14:paraId="7575C0D1" w14:textId="77777777" w:rsidR="00120B68" w:rsidRDefault="00120B68" w:rsidP="004637C7"/>
    <w:p w14:paraId="06F16F36" w14:textId="77777777" w:rsidR="00120B68" w:rsidRDefault="00120B68" w:rsidP="00120B68"/>
    <w:p w14:paraId="66E42AAD" w14:textId="77777777" w:rsidR="007E5843" w:rsidRDefault="007E5843" w:rsidP="004637C7">
      <w:pPr>
        <w:rPr>
          <w:i/>
          <w:iCs/>
        </w:rPr>
        <w:sectPr w:rsidR="007E5843" w:rsidSect="004637C7">
          <w:pgSz w:w="16838" w:h="11906" w:orient="landscape"/>
          <w:pgMar w:top="1418" w:right="1418" w:bottom="1418" w:left="1276" w:header="680" w:footer="680" w:gutter="0"/>
          <w:cols w:space="708"/>
          <w:docGrid w:linePitch="360"/>
        </w:sectPr>
      </w:pPr>
    </w:p>
    <w:p w14:paraId="0078F689" w14:textId="481E2312" w:rsidR="00120B68" w:rsidRDefault="00AB59AD" w:rsidP="00120B68">
      <w:pPr>
        <w:pStyle w:val="Title5"/>
      </w:pPr>
      <w:r>
        <w:lastRenderedPageBreak/>
        <w:t>Evaluation des impacts résiduels</w:t>
      </w:r>
    </w:p>
    <w:p w14:paraId="1302AC3E" w14:textId="77777777" w:rsidR="00C5412E" w:rsidRDefault="00C5412E" w:rsidP="00C5412E">
      <w:r>
        <w:t>Après la mise en œuvre de l’ensemble des mesures de prévention et de gestion prévues, les risques communautaires résiduels en phase de construction sont jugés mineurs à négligeables.</w:t>
      </w:r>
    </w:p>
    <w:p w14:paraId="68968550" w14:textId="1BD24D6F" w:rsidR="00C5412E" w:rsidRDefault="00C5412E" w:rsidP="0001633E">
      <w:pPr>
        <w:pStyle w:val="Paragraphedeliste"/>
        <w:numPr>
          <w:ilvl w:val="0"/>
          <w:numId w:val="126"/>
        </w:numPr>
      </w:pPr>
      <w:r>
        <w:t xml:space="preserve">Les nuisances liées aux travaux (bruit, poussières, vibrations, trafic de camions) seront confinées à l’intérieur de la plateforme aéroportuaire, loin des habitations les plus proches, et feront l’objet d’un suivi régulier. Grâce à l’arrosage quotidien, à la planification diurne des activités et à la limitation de vitesse des engins, les effets perçus par la communauté </w:t>
      </w:r>
      <w:r w:rsidR="00A12CC2">
        <w:t>de Bouakkaz</w:t>
      </w:r>
      <w:r>
        <w:t xml:space="preserve"> resteront ponctuels et faibles. L’impact résiduel sur le cadre de vie est donc </w:t>
      </w:r>
      <w:r w:rsidRPr="004637C7">
        <w:rPr>
          <w:b/>
          <w:bCs/>
        </w:rPr>
        <w:t>négligeable</w:t>
      </w:r>
      <w:r>
        <w:t>, sans atteinte à la santé ni au bien-être des riverains.</w:t>
      </w:r>
    </w:p>
    <w:p w14:paraId="1D94CC5E" w14:textId="4BB15983" w:rsidR="00C5412E" w:rsidRDefault="00C5412E" w:rsidP="0001633E">
      <w:pPr>
        <w:pStyle w:val="Paragraphedeliste"/>
        <w:numPr>
          <w:ilvl w:val="0"/>
          <w:numId w:val="126"/>
        </w:numPr>
      </w:pPr>
      <w:r>
        <w:t xml:space="preserve">Le risque d’accident de circulation lié aux engins de chantier est fortement réduit grâce au plan de circulation approuvé par les autorités, à la signalisation installée le long de la </w:t>
      </w:r>
      <w:r w:rsidR="00A12CC2">
        <w:t>RR212</w:t>
      </w:r>
      <w:r>
        <w:t xml:space="preserve"> et à la formation systématique des chauffeurs. Les croisements entre trafic de chantier et circulation publique seront rares et encadrés, rendant la probabilité très faible. Ce risque est donc </w:t>
      </w:r>
      <w:r w:rsidRPr="004637C7">
        <w:rPr>
          <w:b/>
          <w:bCs/>
        </w:rPr>
        <w:t>mineur</w:t>
      </w:r>
      <w:r>
        <w:t xml:space="preserve"> et pleinement maîtrisé.</w:t>
      </w:r>
    </w:p>
    <w:p w14:paraId="3722F16B" w14:textId="77777777" w:rsidR="00C5412E" w:rsidRDefault="00C5412E" w:rsidP="0001633E">
      <w:pPr>
        <w:pStyle w:val="Paragraphedeliste"/>
        <w:numPr>
          <w:ilvl w:val="0"/>
          <w:numId w:val="126"/>
        </w:numPr>
      </w:pPr>
      <w:r>
        <w:t xml:space="preserve">Les risques sanitaires communautaires, tels que la transmission de maladies (MST/VIH ou infections respiratoires), sont également maîtrisés. Les campagnes de sensibilisation, la présence de personnel médical, et la surveillance des conditions d’hygiène dans les bases vie garantissent un niveau de sécurité sanitaire satisfaisant. Le risque de contagion ou d’impact sur la santé publique est considéré </w:t>
      </w:r>
      <w:r w:rsidRPr="004637C7">
        <w:rPr>
          <w:b/>
          <w:bCs/>
        </w:rPr>
        <w:t>négligeable</w:t>
      </w:r>
      <w:r>
        <w:t>.</w:t>
      </w:r>
    </w:p>
    <w:p w14:paraId="20E80950" w14:textId="77777777" w:rsidR="00C5412E" w:rsidRDefault="00C5412E" w:rsidP="0001633E">
      <w:pPr>
        <w:pStyle w:val="Paragraphedeliste"/>
        <w:numPr>
          <w:ilvl w:val="0"/>
          <w:numId w:val="126"/>
        </w:numPr>
      </w:pPr>
      <w:r>
        <w:t xml:space="preserve">Les risques sociaux liés à des comportements inappropriés ou à des violences basées sur le genre (VBG/SEAH) deviennent hautement improbables. La mise en place du code de conduite, les formations obligatoires, la supervision continue du personnel et le mécanisme de plainte confidentiel réduisent presque totalement la probabilité d’occurrence. L’effet résiduel est </w:t>
      </w:r>
      <w:r w:rsidRPr="004637C7">
        <w:rPr>
          <w:b/>
          <w:bCs/>
        </w:rPr>
        <w:t>mineur</w:t>
      </w:r>
      <w:r>
        <w:t>, limité à des situations exceptionnelles.</w:t>
      </w:r>
    </w:p>
    <w:p w14:paraId="7B01AA4C" w14:textId="77777777" w:rsidR="00C5412E" w:rsidRDefault="00C5412E" w:rsidP="0001633E">
      <w:pPr>
        <w:pStyle w:val="Paragraphedeliste"/>
        <w:numPr>
          <w:ilvl w:val="0"/>
          <w:numId w:val="126"/>
        </w:numPr>
      </w:pPr>
      <w:r>
        <w:t xml:space="preserve">Le risque d’incendie ou d’explosion est également maîtrisé. Les produits inflammables seront stockés dans des zones isolées, conformes aux normes ONDA et protégées par des dispositifs anti-feu. Compte tenu de la distance avec les zones habitées et de la préparation des équipes, l’effet potentiel sur les communautés serait quasi nul. Le risque résiduel est donc </w:t>
      </w:r>
      <w:r w:rsidRPr="004637C7">
        <w:rPr>
          <w:b/>
          <w:bCs/>
        </w:rPr>
        <w:t>négligeable</w:t>
      </w:r>
      <w:r>
        <w:t>.</w:t>
      </w:r>
    </w:p>
    <w:p w14:paraId="383F6631" w14:textId="77777777" w:rsidR="00C5412E" w:rsidRDefault="00C5412E" w:rsidP="0001633E">
      <w:pPr>
        <w:pStyle w:val="Paragraphedeliste"/>
        <w:numPr>
          <w:ilvl w:val="0"/>
          <w:numId w:val="126"/>
        </w:numPr>
      </w:pPr>
      <w:r>
        <w:t xml:space="preserve">De même, le risque d’altération du climat social ou d’une perception négative du projet est quasi inexistant. La communication communautaire, la transparence sur le calendrier des travaux et la gestion des doléances garantissent la confiance des riverains. Ce risque est évalué </w:t>
      </w:r>
      <w:r w:rsidRPr="004637C7">
        <w:rPr>
          <w:b/>
          <w:bCs/>
        </w:rPr>
        <w:t>négligeable</w:t>
      </w:r>
      <w:r>
        <w:t>, sans répercussion sur la cohésion sociale locale.</w:t>
      </w:r>
    </w:p>
    <w:p w14:paraId="01C5348A" w14:textId="7A40C551" w:rsidR="00C5412E" w:rsidRDefault="00C5412E" w:rsidP="0001633E">
      <w:pPr>
        <w:pStyle w:val="Paragraphedeliste"/>
        <w:numPr>
          <w:ilvl w:val="0"/>
          <w:numId w:val="126"/>
        </w:numPr>
      </w:pPr>
      <w:r>
        <w:t xml:space="preserve">Enfin, le stress psychologique ou sentiment d’inquiétude chez certains habitants </w:t>
      </w:r>
      <w:r w:rsidR="00A12CC2">
        <w:t>de Bouakkaz</w:t>
      </w:r>
      <w:r>
        <w:t xml:space="preserve"> est très peu probable. Les travaux étant confinés dans une enceinte clôturée, visibles mais distants, et de courte durée, les nuisances perçues resteront faibles, réversibles et sans impact émotionnel notable. Ce risque est donc </w:t>
      </w:r>
      <w:r w:rsidRPr="004637C7">
        <w:rPr>
          <w:b/>
          <w:bCs/>
        </w:rPr>
        <w:t>mineur et temporaire</w:t>
      </w:r>
      <w:r>
        <w:t>.</w:t>
      </w:r>
    </w:p>
    <w:p w14:paraId="65879BD3" w14:textId="3303B66A" w:rsidR="00AB59AD" w:rsidRDefault="00C5412E" w:rsidP="004637C7">
      <w:r>
        <w:t>Dans l’ensemble, les impacts et risques communautaires résiduels en phase de construction sont mineurs à négligeables, localisés, temporaires et totalement maîtrisés par les mesures techniques, organisationnelles et sociales prévues.</w:t>
      </w:r>
    </w:p>
    <w:p w14:paraId="6D3BDD78" w14:textId="096D0BCB" w:rsidR="003174E5" w:rsidRDefault="003174E5" w:rsidP="002F0722">
      <w:pPr>
        <w:pStyle w:val="Title4"/>
      </w:pPr>
      <w:r>
        <w:t>Phase exploitation</w:t>
      </w:r>
    </w:p>
    <w:p w14:paraId="43E237B8" w14:textId="31F5124E" w:rsidR="003174E5" w:rsidRDefault="00C143D5" w:rsidP="00C143D5">
      <w:pPr>
        <w:pStyle w:val="Title5"/>
      </w:pPr>
      <w:r>
        <w:t>Identification et évaluation des impacts et risques</w:t>
      </w:r>
    </w:p>
    <w:p w14:paraId="78D06BD2" w14:textId="1C4B61F8" w:rsidR="00792523" w:rsidRDefault="00792523" w:rsidP="0001633E">
      <w:pPr>
        <w:pStyle w:val="AltTitle2"/>
        <w:numPr>
          <w:ilvl w:val="0"/>
          <w:numId w:val="106"/>
        </w:numPr>
      </w:pPr>
      <w:r>
        <w:lastRenderedPageBreak/>
        <w:t>Risque d’e</w:t>
      </w:r>
      <w:r w:rsidRPr="00792523">
        <w:t>xposition indirecte de la communauté à un incident technique ou opérationnel interne</w:t>
      </w:r>
    </w:p>
    <w:p w14:paraId="4CB284A9" w14:textId="1E7046AC" w:rsidR="00A32461" w:rsidRDefault="00A32461" w:rsidP="00A32461">
      <w:r>
        <w:t xml:space="preserve">L’aéroport </w:t>
      </w:r>
      <w:r w:rsidR="00A12CC2">
        <w:t>Marrakech</w:t>
      </w:r>
      <w:r>
        <w:t xml:space="preserve"> étant déjà opérationnel, les nouvelles infrastructures prévues dans le cadre de l’extension (voies de circulation, parkings avions, systèmes techniques additionnels) ne modifient pas substantiellement l’exposition de la communauté aux risques. Toutefois, des incidents techniques internes, tels qu’un départ de feu rapidement maîtrisé, un déclenchement d’alarme, ou un dégagement ponctuel de fumées, pourraient occasionner une perception de danger ou une inquiétude temporaire parmi les populations riveraines et les voyageurs sur site.</w:t>
      </w:r>
    </w:p>
    <w:p w14:paraId="77981E75" w14:textId="77777777" w:rsidR="00A32461" w:rsidRDefault="00A32461" w:rsidP="00A32461">
      <w:r>
        <w:t>Ces effets, bien que limités, relèvent de la sphère de la santé communautaire (stress, perception d’insécurité) et de la sûreté collective, notamment lorsqu’ils entraînent une mobilisation visible des secours ou une évacuation préventive.</w:t>
      </w:r>
    </w:p>
    <w:p w14:paraId="52DE13E2" w14:textId="1F1C058C" w:rsidR="00792523" w:rsidRDefault="00A32461" w:rsidP="00A32461">
      <w:r>
        <w:t xml:space="preserve">L’impact est indirect et négatif, limité à l’environnement proche de l’aéroport (moins d’un kilomètre) et de courte durée, car il disparaît avec la fin de l’incident. Les récepteurs sensibles sont les voyageurs présents dans les zones publiques de l’aéroport et les habitants </w:t>
      </w:r>
      <w:r w:rsidR="00A12CC2">
        <w:t>de Bouakkaz</w:t>
      </w:r>
      <w:r>
        <w:t>, dont la sensibilité est jugée moyenne, compte tenu de leur familiarité avec les activités aéroportuaires.</w:t>
      </w:r>
    </w:p>
    <w:tbl>
      <w:tblPr>
        <w:tblStyle w:val="TableauGrille1Clair-Accentuation111"/>
        <w:tblW w:w="0" w:type="auto"/>
        <w:tblLook w:val="04A0" w:firstRow="1" w:lastRow="0" w:firstColumn="1" w:lastColumn="0" w:noHBand="0" w:noVBand="1"/>
      </w:tblPr>
      <w:tblGrid>
        <w:gridCol w:w="1820"/>
        <w:gridCol w:w="2440"/>
        <w:gridCol w:w="1478"/>
        <w:gridCol w:w="2343"/>
        <w:gridCol w:w="979"/>
      </w:tblGrid>
      <w:tr w:rsidR="00B84904" w:rsidRPr="00B84904" w14:paraId="71585A13" w14:textId="77777777" w:rsidTr="004637C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0EE5D5CF" w14:textId="77777777" w:rsidR="00B84904" w:rsidRPr="00B84904" w:rsidRDefault="00B84904" w:rsidP="00B84904">
            <w:r w:rsidRPr="00B84904">
              <w:t>Risque</w:t>
            </w:r>
          </w:p>
        </w:tc>
        <w:tc>
          <w:tcPr>
            <w:tcW w:w="0" w:type="auto"/>
            <w:hideMark/>
          </w:tcPr>
          <w:p w14:paraId="22481E2C" w14:textId="77777777" w:rsidR="00B84904" w:rsidRPr="00B84904" w:rsidRDefault="00B84904" w:rsidP="00B84904">
            <w:pPr>
              <w:cnfStyle w:val="100000000000" w:firstRow="1" w:lastRow="0" w:firstColumn="0" w:lastColumn="0" w:oddVBand="0" w:evenVBand="0" w:oddHBand="0" w:evenHBand="0" w:firstRowFirstColumn="0" w:firstRowLastColumn="0" w:lastRowFirstColumn="0" w:lastRowLastColumn="0"/>
            </w:pPr>
            <w:r w:rsidRPr="00B84904">
              <w:t>Activités génératrices</w:t>
            </w:r>
          </w:p>
        </w:tc>
        <w:tc>
          <w:tcPr>
            <w:tcW w:w="0" w:type="auto"/>
            <w:hideMark/>
          </w:tcPr>
          <w:p w14:paraId="43BA4BC3" w14:textId="77777777" w:rsidR="00B84904" w:rsidRPr="00B84904" w:rsidRDefault="00B84904" w:rsidP="00B84904">
            <w:pPr>
              <w:cnfStyle w:val="100000000000" w:firstRow="1" w:lastRow="0" w:firstColumn="0" w:lastColumn="0" w:oddVBand="0" w:evenVBand="0" w:oddHBand="0" w:evenHBand="0" w:firstRowFirstColumn="0" w:firstRowLastColumn="0" w:lastRowFirstColumn="0" w:lastRowLastColumn="0"/>
            </w:pPr>
            <w:r w:rsidRPr="00B84904">
              <w:t>Critère</w:t>
            </w:r>
          </w:p>
        </w:tc>
        <w:tc>
          <w:tcPr>
            <w:tcW w:w="0" w:type="auto"/>
            <w:hideMark/>
          </w:tcPr>
          <w:p w14:paraId="5CF94025" w14:textId="77777777" w:rsidR="00B84904" w:rsidRPr="00B84904" w:rsidRDefault="00B84904" w:rsidP="00B84904">
            <w:pPr>
              <w:cnfStyle w:val="100000000000" w:firstRow="1" w:lastRow="0" w:firstColumn="0" w:lastColumn="0" w:oddVBand="0" w:evenVBand="0" w:oddHBand="0" w:evenHBand="0" w:firstRowFirstColumn="0" w:firstRowLastColumn="0" w:lastRowFirstColumn="0" w:lastRowLastColumn="0"/>
            </w:pPr>
            <w:r w:rsidRPr="00B84904">
              <w:t>Justification</w:t>
            </w:r>
          </w:p>
        </w:tc>
        <w:tc>
          <w:tcPr>
            <w:tcW w:w="0" w:type="auto"/>
            <w:hideMark/>
          </w:tcPr>
          <w:p w14:paraId="611EB025" w14:textId="77777777" w:rsidR="00B84904" w:rsidRPr="00B84904" w:rsidRDefault="00B84904" w:rsidP="00B84904">
            <w:pPr>
              <w:cnfStyle w:val="100000000000" w:firstRow="1" w:lastRow="0" w:firstColumn="0" w:lastColumn="0" w:oddVBand="0" w:evenVBand="0" w:oddHBand="0" w:evenHBand="0" w:firstRowFirstColumn="0" w:firstRowLastColumn="0" w:lastRowFirstColumn="0" w:lastRowLastColumn="0"/>
            </w:pPr>
            <w:r w:rsidRPr="00B84904">
              <w:t>Niveau</w:t>
            </w:r>
          </w:p>
        </w:tc>
      </w:tr>
      <w:tr w:rsidR="00B84904" w:rsidRPr="00B84904" w14:paraId="039794E7" w14:textId="77777777" w:rsidTr="005A7661">
        <w:tc>
          <w:tcPr>
            <w:cnfStyle w:val="001000000000" w:firstRow="0" w:lastRow="0" w:firstColumn="1" w:lastColumn="0" w:oddVBand="0" w:evenVBand="0" w:oddHBand="0" w:evenHBand="0" w:firstRowFirstColumn="0" w:firstRowLastColumn="0" w:lastRowFirstColumn="0" w:lastRowLastColumn="0"/>
            <w:tcW w:w="0" w:type="auto"/>
            <w:vMerge w:val="restart"/>
            <w:hideMark/>
          </w:tcPr>
          <w:p w14:paraId="6584748D" w14:textId="77777777" w:rsidR="00B84904" w:rsidRPr="00B84904" w:rsidRDefault="00B84904" w:rsidP="00B84904">
            <w:r w:rsidRPr="00B84904">
              <w:t>Exposition indirecte de la communauté à un incident technique ou opérationnel interne</w:t>
            </w:r>
          </w:p>
        </w:tc>
        <w:tc>
          <w:tcPr>
            <w:tcW w:w="0" w:type="auto"/>
            <w:vMerge w:val="restart"/>
            <w:hideMark/>
          </w:tcPr>
          <w:p w14:paraId="2578238F" w14:textId="77777777" w:rsidR="00B84904" w:rsidRPr="00B84904" w:rsidRDefault="00B84904" w:rsidP="00B84904">
            <w:pPr>
              <w:cnfStyle w:val="000000000000" w:firstRow="0" w:lastRow="0" w:firstColumn="0" w:lastColumn="0" w:oddVBand="0" w:evenVBand="0" w:oddHBand="0" w:evenHBand="0" w:firstRowFirstColumn="0" w:firstRowLastColumn="0" w:lastRowFirstColumn="0" w:lastRowLastColumn="0"/>
            </w:pPr>
            <w:r w:rsidRPr="00B84904">
              <w:t>Fonctionnement des systèmes techniques, opérations de maintenance, stockage et utilisation de produits inflammables ou chimiques, tests d’alarmes.</w:t>
            </w:r>
          </w:p>
        </w:tc>
        <w:tc>
          <w:tcPr>
            <w:tcW w:w="0" w:type="auto"/>
            <w:hideMark/>
          </w:tcPr>
          <w:p w14:paraId="0CF8F2BA" w14:textId="77777777" w:rsidR="00B84904" w:rsidRPr="00B84904" w:rsidRDefault="00B84904" w:rsidP="00B84904">
            <w:pPr>
              <w:cnfStyle w:val="000000000000" w:firstRow="0" w:lastRow="0" w:firstColumn="0" w:lastColumn="0" w:oddVBand="0" w:evenVBand="0" w:oddHBand="0" w:evenHBand="0" w:firstRowFirstColumn="0" w:firstRowLastColumn="0" w:lastRowFirstColumn="0" w:lastRowLastColumn="0"/>
            </w:pPr>
            <w:r w:rsidRPr="00B84904">
              <w:rPr>
                <w:b/>
                <w:bCs/>
              </w:rPr>
              <w:t>Probabilité d’occurrence</w:t>
            </w:r>
          </w:p>
        </w:tc>
        <w:tc>
          <w:tcPr>
            <w:tcW w:w="0" w:type="auto"/>
            <w:hideMark/>
          </w:tcPr>
          <w:p w14:paraId="458491E0" w14:textId="235C93FD" w:rsidR="00B84904" w:rsidRPr="00B84904" w:rsidRDefault="00B84904" w:rsidP="00B84904">
            <w:pPr>
              <w:cnfStyle w:val="000000000000" w:firstRow="0" w:lastRow="0" w:firstColumn="0" w:lastColumn="0" w:oddVBand="0" w:evenVBand="0" w:oddHBand="0" w:evenHBand="0" w:firstRowFirstColumn="0" w:firstRowLastColumn="0" w:lastRowFirstColumn="0" w:lastRowLastColumn="0"/>
            </w:pPr>
            <w:r w:rsidRPr="00B84904">
              <w:t>Les incidents internes (départ de feu, dégagement de fumée, alarme) sont rares et maîtrisés rapidement grâce aux dispositifs existants.</w:t>
            </w:r>
          </w:p>
        </w:tc>
        <w:tc>
          <w:tcPr>
            <w:tcW w:w="0" w:type="auto"/>
            <w:hideMark/>
          </w:tcPr>
          <w:p w14:paraId="09DD2315" w14:textId="77777777" w:rsidR="00B84904" w:rsidRPr="00B84904" w:rsidRDefault="00B84904" w:rsidP="00B84904">
            <w:pPr>
              <w:cnfStyle w:val="000000000000" w:firstRow="0" w:lastRow="0" w:firstColumn="0" w:lastColumn="0" w:oddVBand="0" w:evenVBand="0" w:oddHBand="0" w:evenHBand="0" w:firstRowFirstColumn="0" w:firstRowLastColumn="0" w:lastRowFirstColumn="0" w:lastRowLastColumn="0"/>
            </w:pPr>
            <w:r w:rsidRPr="00B84904">
              <w:rPr>
                <w:b/>
                <w:bCs/>
              </w:rPr>
              <w:t>Rare</w:t>
            </w:r>
          </w:p>
        </w:tc>
      </w:tr>
      <w:tr w:rsidR="00B84904" w:rsidRPr="00B84904" w14:paraId="51ED14C4" w14:textId="77777777" w:rsidTr="005A7661">
        <w:tc>
          <w:tcPr>
            <w:cnfStyle w:val="001000000000" w:firstRow="0" w:lastRow="0" w:firstColumn="1" w:lastColumn="0" w:oddVBand="0" w:evenVBand="0" w:oddHBand="0" w:evenHBand="0" w:firstRowFirstColumn="0" w:firstRowLastColumn="0" w:lastRowFirstColumn="0" w:lastRowLastColumn="0"/>
            <w:tcW w:w="0" w:type="auto"/>
            <w:vMerge/>
            <w:hideMark/>
          </w:tcPr>
          <w:p w14:paraId="69382534" w14:textId="77777777" w:rsidR="00B84904" w:rsidRPr="00B84904" w:rsidRDefault="00B84904" w:rsidP="00B84904"/>
        </w:tc>
        <w:tc>
          <w:tcPr>
            <w:tcW w:w="0" w:type="auto"/>
            <w:vMerge/>
            <w:hideMark/>
          </w:tcPr>
          <w:p w14:paraId="29F81A14" w14:textId="77777777" w:rsidR="00B84904" w:rsidRPr="00B84904" w:rsidRDefault="00B84904" w:rsidP="00B84904">
            <w:pPr>
              <w:cnfStyle w:val="000000000000" w:firstRow="0" w:lastRow="0" w:firstColumn="0" w:lastColumn="0" w:oddVBand="0" w:evenVBand="0" w:oddHBand="0" w:evenHBand="0" w:firstRowFirstColumn="0" w:firstRowLastColumn="0" w:lastRowFirstColumn="0" w:lastRowLastColumn="0"/>
            </w:pPr>
          </w:p>
        </w:tc>
        <w:tc>
          <w:tcPr>
            <w:tcW w:w="0" w:type="auto"/>
            <w:hideMark/>
          </w:tcPr>
          <w:p w14:paraId="2E0D311B" w14:textId="77777777" w:rsidR="00B84904" w:rsidRPr="00B84904" w:rsidRDefault="00B84904" w:rsidP="00B84904">
            <w:pPr>
              <w:cnfStyle w:val="000000000000" w:firstRow="0" w:lastRow="0" w:firstColumn="0" w:lastColumn="0" w:oddVBand="0" w:evenVBand="0" w:oddHBand="0" w:evenHBand="0" w:firstRowFirstColumn="0" w:firstRowLastColumn="0" w:lastRowFirstColumn="0" w:lastRowLastColumn="0"/>
            </w:pPr>
            <w:r w:rsidRPr="00B84904">
              <w:rPr>
                <w:b/>
                <w:bCs/>
              </w:rPr>
              <w:t>Gravité des conséquences</w:t>
            </w:r>
          </w:p>
        </w:tc>
        <w:tc>
          <w:tcPr>
            <w:tcW w:w="0" w:type="auto"/>
            <w:hideMark/>
          </w:tcPr>
          <w:p w14:paraId="4B21A95B" w14:textId="77777777" w:rsidR="00B84904" w:rsidRPr="00B84904" w:rsidRDefault="00B84904" w:rsidP="00B84904">
            <w:pPr>
              <w:cnfStyle w:val="000000000000" w:firstRow="0" w:lastRow="0" w:firstColumn="0" w:lastColumn="0" w:oddVBand="0" w:evenVBand="0" w:oddHBand="0" w:evenHBand="0" w:firstRowFirstColumn="0" w:firstRowLastColumn="0" w:lastRowFirstColumn="0" w:lastRowLastColumn="0"/>
            </w:pPr>
            <w:r w:rsidRPr="00B84904">
              <w:t>Les effets se limitent à une inquiétude temporaire ou à une gêne perceptible par les voyageurs et riverains ; absence d’impact durable sur la santé.</w:t>
            </w:r>
          </w:p>
        </w:tc>
        <w:tc>
          <w:tcPr>
            <w:tcW w:w="0" w:type="auto"/>
            <w:hideMark/>
          </w:tcPr>
          <w:p w14:paraId="656AEC03" w14:textId="77777777" w:rsidR="00B84904" w:rsidRPr="00B84904" w:rsidRDefault="00B84904" w:rsidP="00B84904">
            <w:pPr>
              <w:cnfStyle w:val="000000000000" w:firstRow="0" w:lastRow="0" w:firstColumn="0" w:lastColumn="0" w:oddVBand="0" w:evenVBand="0" w:oddHBand="0" w:evenHBand="0" w:firstRowFirstColumn="0" w:firstRowLastColumn="0" w:lastRowFirstColumn="0" w:lastRowLastColumn="0"/>
            </w:pPr>
            <w:r w:rsidRPr="00B84904">
              <w:rPr>
                <w:b/>
                <w:bCs/>
              </w:rPr>
              <w:t>Modérée</w:t>
            </w:r>
          </w:p>
        </w:tc>
      </w:tr>
      <w:tr w:rsidR="00B84904" w:rsidRPr="00B84904" w14:paraId="05AEDFE5" w14:textId="77777777" w:rsidTr="005A7661">
        <w:tc>
          <w:tcPr>
            <w:cnfStyle w:val="001000000000" w:firstRow="0" w:lastRow="0" w:firstColumn="1" w:lastColumn="0" w:oddVBand="0" w:evenVBand="0" w:oddHBand="0" w:evenHBand="0" w:firstRowFirstColumn="0" w:firstRowLastColumn="0" w:lastRowFirstColumn="0" w:lastRowLastColumn="0"/>
            <w:tcW w:w="0" w:type="auto"/>
            <w:vMerge/>
            <w:hideMark/>
          </w:tcPr>
          <w:p w14:paraId="0F428FB4" w14:textId="77777777" w:rsidR="00B84904" w:rsidRPr="00B84904" w:rsidRDefault="00B84904" w:rsidP="00B84904"/>
        </w:tc>
        <w:tc>
          <w:tcPr>
            <w:tcW w:w="0" w:type="auto"/>
            <w:vMerge/>
            <w:hideMark/>
          </w:tcPr>
          <w:p w14:paraId="078FA078" w14:textId="77777777" w:rsidR="00B84904" w:rsidRPr="00B84904" w:rsidRDefault="00B84904" w:rsidP="00B84904">
            <w:pPr>
              <w:cnfStyle w:val="000000000000" w:firstRow="0" w:lastRow="0" w:firstColumn="0" w:lastColumn="0" w:oddVBand="0" w:evenVBand="0" w:oddHBand="0" w:evenHBand="0" w:firstRowFirstColumn="0" w:firstRowLastColumn="0" w:lastRowFirstColumn="0" w:lastRowLastColumn="0"/>
            </w:pPr>
          </w:p>
        </w:tc>
        <w:tc>
          <w:tcPr>
            <w:tcW w:w="0" w:type="auto"/>
            <w:hideMark/>
          </w:tcPr>
          <w:p w14:paraId="2C0BD84A" w14:textId="77777777" w:rsidR="00B84904" w:rsidRPr="00B84904" w:rsidRDefault="00B84904" w:rsidP="00B84904">
            <w:pPr>
              <w:cnfStyle w:val="000000000000" w:firstRow="0" w:lastRow="0" w:firstColumn="0" w:lastColumn="0" w:oddVBand="0" w:evenVBand="0" w:oddHBand="0" w:evenHBand="0" w:firstRowFirstColumn="0" w:firstRowLastColumn="0" w:lastRowFirstColumn="0" w:lastRowLastColumn="0"/>
            </w:pPr>
            <w:r w:rsidRPr="00B84904">
              <w:rPr>
                <w:b/>
                <w:bCs/>
              </w:rPr>
              <w:t>Évaluation globale du risque</w:t>
            </w:r>
          </w:p>
        </w:tc>
        <w:tc>
          <w:tcPr>
            <w:tcW w:w="0" w:type="auto"/>
            <w:hideMark/>
          </w:tcPr>
          <w:p w14:paraId="5D75474D" w14:textId="722FA00A" w:rsidR="00B84904" w:rsidRPr="00B84904" w:rsidRDefault="00B84904" w:rsidP="00B84904">
            <w:pPr>
              <w:cnfStyle w:val="000000000000" w:firstRow="0" w:lastRow="0" w:firstColumn="0" w:lastColumn="0" w:oddVBand="0" w:evenVBand="0" w:oddHBand="0" w:evenHBand="0" w:firstRowFirstColumn="0" w:firstRowLastColumn="0" w:lastRowFirstColumn="0" w:lastRowLastColumn="0"/>
            </w:pPr>
            <w:r w:rsidRPr="00B84904">
              <w:t xml:space="preserve">Risque </w:t>
            </w:r>
            <w:r w:rsidRPr="00B84904">
              <w:rPr>
                <w:b/>
                <w:bCs/>
              </w:rPr>
              <w:t>faible</w:t>
            </w:r>
            <w:r w:rsidRPr="00B84904">
              <w:t>, ponctuel, maîtrisable par les procédures d’urgence et la communication préventive avec la population et les voyageurs.</w:t>
            </w:r>
          </w:p>
        </w:tc>
        <w:tc>
          <w:tcPr>
            <w:tcW w:w="0" w:type="auto"/>
            <w:hideMark/>
          </w:tcPr>
          <w:p w14:paraId="773D4C8E" w14:textId="7B26EA5D" w:rsidR="00B84904" w:rsidRPr="00B84904" w:rsidRDefault="00B84904" w:rsidP="00B84904">
            <w:pPr>
              <w:cnfStyle w:val="000000000000" w:firstRow="0" w:lastRow="0" w:firstColumn="0" w:lastColumn="0" w:oddVBand="0" w:evenVBand="0" w:oddHBand="0" w:evenHBand="0" w:firstRowFirstColumn="0" w:firstRowLastColumn="0" w:lastRowFirstColumn="0" w:lastRowLastColumn="0"/>
            </w:pPr>
            <w:r w:rsidRPr="00B84904">
              <w:rPr>
                <w:b/>
                <w:bCs/>
              </w:rPr>
              <w:t xml:space="preserve">Faible </w:t>
            </w:r>
          </w:p>
        </w:tc>
      </w:tr>
    </w:tbl>
    <w:p w14:paraId="2B1E62AF" w14:textId="3ECCF99E" w:rsidR="00483706" w:rsidRPr="008F5AE6" w:rsidRDefault="00483706" w:rsidP="0001633E">
      <w:pPr>
        <w:pStyle w:val="AltTitle2"/>
        <w:numPr>
          <w:ilvl w:val="0"/>
          <w:numId w:val="106"/>
        </w:numPr>
      </w:pPr>
      <w:r w:rsidRPr="008F5AE6">
        <w:t>Risque de perception d’insécurité ou d’inconfort psychologique lié aux opérations aériennes et aux signaux techniques</w:t>
      </w:r>
    </w:p>
    <w:p w14:paraId="7A134E67" w14:textId="6F2CFFA2" w:rsidR="00A81B65" w:rsidRDefault="00A81B65" w:rsidP="00A81B65">
      <w:r>
        <w:t xml:space="preserve">Dans le cadre de l’exploitation de l’aéroport </w:t>
      </w:r>
      <w:r w:rsidR="00A12CC2">
        <w:t>Marrakech Ménara</w:t>
      </w:r>
      <w:r>
        <w:t xml:space="preserve">, certaines activités régulières telles que les décollages et atterrissages, les signaux lumineux de guidage, les annonces de sûreté, ou encore </w:t>
      </w:r>
      <w:r>
        <w:lastRenderedPageBreak/>
        <w:t>les déclenchements ponctuels d’alarmes techniques peuvent susciter, chez certains voyageurs ou riverains proches, un sentiment d’inquiétude ou un inconfort psychologique temporaire.</w:t>
      </w:r>
    </w:p>
    <w:p w14:paraId="51B3C4DF" w14:textId="77777777" w:rsidR="00A81B65" w:rsidRDefault="00A81B65" w:rsidP="00A81B65">
      <w:r>
        <w:t>Ce risque ne traduit pas un danger réel pour la sécurité des personnes, mais résulte plutôt d’une perception subjective du risque aérien ou d’une sensibilité au bruit et aux signaux techniques.</w:t>
      </w:r>
    </w:p>
    <w:p w14:paraId="2A1DD6B9" w14:textId="789477CC" w:rsidR="00483706" w:rsidRDefault="00A81B65" w:rsidP="00A81B65">
      <w:r>
        <w:t>Les situations de ce type peuvent se produire lors de vols nocturnes, de fortes affluences ou d’événements techniques mineurs (alarme, test d’équipement, exercices de sécurité).</w:t>
      </w:r>
    </w:p>
    <w:tbl>
      <w:tblPr>
        <w:tblStyle w:val="TableauGrille1Clair-Accentuation111"/>
        <w:tblW w:w="0" w:type="auto"/>
        <w:tblLook w:val="04A0" w:firstRow="1" w:lastRow="0" w:firstColumn="1" w:lastColumn="0" w:noHBand="0" w:noVBand="1"/>
      </w:tblPr>
      <w:tblGrid>
        <w:gridCol w:w="1952"/>
        <w:gridCol w:w="2375"/>
        <w:gridCol w:w="1464"/>
        <w:gridCol w:w="2304"/>
        <w:gridCol w:w="965"/>
      </w:tblGrid>
      <w:tr w:rsidR="00B84904" w:rsidRPr="00B84904" w14:paraId="6CF8D2C3" w14:textId="77777777" w:rsidTr="004637C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45266F29" w14:textId="77777777" w:rsidR="00B84904" w:rsidRPr="00B84904" w:rsidRDefault="00B84904" w:rsidP="00B84904">
            <w:r w:rsidRPr="00B84904">
              <w:t>Risque</w:t>
            </w:r>
          </w:p>
        </w:tc>
        <w:tc>
          <w:tcPr>
            <w:tcW w:w="0" w:type="auto"/>
            <w:hideMark/>
          </w:tcPr>
          <w:p w14:paraId="6E83607E" w14:textId="77777777" w:rsidR="00B84904" w:rsidRPr="00B84904" w:rsidRDefault="00B84904" w:rsidP="00B84904">
            <w:pPr>
              <w:cnfStyle w:val="100000000000" w:firstRow="1" w:lastRow="0" w:firstColumn="0" w:lastColumn="0" w:oddVBand="0" w:evenVBand="0" w:oddHBand="0" w:evenHBand="0" w:firstRowFirstColumn="0" w:firstRowLastColumn="0" w:lastRowFirstColumn="0" w:lastRowLastColumn="0"/>
            </w:pPr>
            <w:r w:rsidRPr="00B84904">
              <w:t>Activités génératrices</w:t>
            </w:r>
          </w:p>
        </w:tc>
        <w:tc>
          <w:tcPr>
            <w:tcW w:w="0" w:type="auto"/>
            <w:hideMark/>
          </w:tcPr>
          <w:p w14:paraId="4119B17E" w14:textId="77777777" w:rsidR="00B84904" w:rsidRPr="00B84904" w:rsidRDefault="00B84904" w:rsidP="00B84904">
            <w:pPr>
              <w:cnfStyle w:val="100000000000" w:firstRow="1" w:lastRow="0" w:firstColumn="0" w:lastColumn="0" w:oddVBand="0" w:evenVBand="0" w:oddHBand="0" w:evenHBand="0" w:firstRowFirstColumn="0" w:firstRowLastColumn="0" w:lastRowFirstColumn="0" w:lastRowLastColumn="0"/>
            </w:pPr>
            <w:r w:rsidRPr="00B84904">
              <w:t>Critère</w:t>
            </w:r>
          </w:p>
        </w:tc>
        <w:tc>
          <w:tcPr>
            <w:tcW w:w="0" w:type="auto"/>
            <w:hideMark/>
          </w:tcPr>
          <w:p w14:paraId="11BB0206" w14:textId="77777777" w:rsidR="00B84904" w:rsidRPr="00B84904" w:rsidRDefault="00B84904" w:rsidP="00B84904">
            <w:pPr>
              <w:cnfStyle w:val="100000000000" w:firstRow="1" w:lastRow="0" w:firstColumn="0" w:lastColumn="0" w:oddVBand="0" w:evenVBand="0" w:oddHBand="0" w:evenHBand="0" w:firstRowFirstColumn="0" w:firstRowLastColumn="0" w:lastRowFirstColumn="0" w:lastRowLastColumn="0"/>
            </w:pPr>
            <w:r w:rsidRPr="00B84904">
              <w:t>Justification</w:t>
            </w:r>
          </w:p>
        </w:tc>
        <w:tc>
          <w:tcPr>
            <w:tcW w:w="0" w:type="auto"/>
            <w:hideMark/>
          </w:tcPr>
          <w:p w14:paraId="4E494C16" w14:textId="77777777" w:rsidR="00B84904" w:rsidRPr="00B84904" w:rsidRDefault="00B84904" w:rsidP="00B84904">
            <w:pPr>
              <w:cnfStyle w:val="100000000000" w:firstRow="1" w:lastRow="0" w:firstColumn="0" w:lastColumn="0" w:oddVBand="0" w:evenVBand="0" w:oddHBand="0" w:evenHBand="0" w:firstRowFirstColumn="0" w:firstRowLastColumn="0" w:lastRowFirstColumn="0" w:lastRowLastColumn="0"/>
            </w:pPr>
            <w:r w:rsidRPr="00B84904">
              <w:t>Niveau</w:t>
            </w:r>
          </w:p>
        </w:tc>
      </w:tr>
      <w:tr w:rsidR="00B84904" w:rsidRPr="00B84904" w14:paraId="059888D4" w14:textId="77777777" w:rsidTr="005A7661">
        <w:tc>
          <w:tcPr>
            <w:cnfStyle w:val="001000000000" w:firstRow="0" w:lastRow="0" w:firstColumn="1" w:lastColumn="0" w:oddVBand="0" w:evenVBand="0" w:oddHBand="0" w:evenHBand="0" w:firstRowFirstColumn="0" w:firstRowLastColumn="0" w:lastRowFirstColumn="0" w:lastRowLastColumn="0"/>
            <w:tcW w:w="0" w:type="auto"/>
            <w:vMerge w:val="restart"/>
            <w:hideMark/>
          </w:tcPr>
          <w:p w14:paraId="20BA7CD3" w14:textId="77777777" w:rsidR="00B84904" w:rsidRPr="00B84904" w:rsidRDefault="00B84904" w:rsidP="00B84904">
            <w:r w:rsidRPr="00B84904">
              <w:t>Perception d’insécurité ou d’inconfort psychologique lié aux opérations aériennes et aux signaux techniques</w:t>
            </w:r>
          </w:p>
        </w:tc>
        <w:tc>
          <w:tcPr>
            <w:tcW w:w="0" w:type="auto"/>
            <w:vMerge w:val="restart"/>
            <w:hideMark/>
          </w:tcPr>
          <w:p w14:paraId="2D537967" w14:textId="77777777" w:rsidR="00B84904" w:rsidRPr="00B84904" w:rsidRDefault="00B84904" w:rsidP="00B84904">
            <w:pPr>
              <w:cnfStyle w:val="000000000000" w:firstRow="0" w:lastRow="0" w:firstColumn="0" w:lastColumn="0" w:oddVBand="0" w:evenVBand="0" w:oddHBand="0" w:evenHBand="0" w:firstRowFirstColumn="0" w:firstRowLastColumn="0" w:lastRowFirstColumn="0" w:lastRowLastColumn="0"/>
            </w:pPr>
            <w:r w:rsidRPr="00B84904">
              <w:t>Décollages et atterrissages, signaux lumineux et sonores, annonces de sûreté, déclenchements ponctuels d’alarmes, tests d’équipements ou exercices de sécurité.</w:t>
            </w:r>
          </w:p>
        </w:tc>
        <w:tc>
          <w:tcPr>
            <w:tcW w:w="0" w:type="auto"/>
            <w:hideMark/>
          </w:tcPr>
          <w:p w14:paraId="76653A95" w14:textId="77777777" w:rsidR="00B84904" w:rsidRPr="00B84904" w:rsidRDefault="00B84904" w:rsidP="00B84904">
            <w:pPr>
              <w:cnfStyle w:val="000000000000" w:firstRow="0" w:lastRow="0" w:firstColumn="0" w:lastColumn="0" w:oddVBand="0" w:evenVBand="0" w:oddHBand="0" w:evenHBand="0" w:firstRowFirstColumn="0" w:firstRowLastColumn="0" w:lastRowFirstColumn="0" w:lastRowLastColumn="0"/>
            </w:pPr>
            <w:r w:rsidRPr="00B84904">
              <w:rPr>
                <w:b/>
                <w:bCs/>
              </w:rPr>
              <w:t>Probabilité d’occurrence</w:t>
            </w:r>
          </w:p>
        </w:tc>
        <w:tc>
          <w:tcPr>
            <w:tcW w:w="0" w:type="auto"/>
            <w:hideMark/>
          </w:tcPr>
          <w:p w14:paraId="248561FD" w14:textId="77777777" w:rsidR="00B84904" w:rsidRPr="00B84904" w:rsidRDefault="00B84904" w:rsidP="00B84904">
            <w:pPr>
              <w:cnfStyle w:val="000000000000" w:firstRow="0" w:lastRow="0" w:firstColumn="0" w:lastColumn="0" w:oddVBand="0" w:evenVBand="0" w:oddHBand="0" w:evenHBand="0" w:firstRowFirstColumn="0" w:firstRowLastColumn="0" w:lastRowFirstColumn="0" w:lastRowLastColumn="0"/>
            </w:pPr>
            <w:r w:rsidRPr="00B84904">
              <w:t>Ce type de gêne perceptive peut survenir de manière récurrente, notamment lors des opérations nocturnes ou en période de forte affluence.</w:t>
            </w:r>
          </w:p>
        </w:tc>
        <w:tc>
          <w:tcPr>
            <w:tcW w:w="0" w:type="auto"/>
            <w:hideMark/>
          </w:tcPr>
          <w:p w14:paraId="2C0CE421" w14:textId="77777777" w:rsidR="00B84904" w:rsidRPr="00B84904" w:rsidRDefault="00B84904" w:rsidP="00B84904">
            <w:pPr>
              <w:cnfStyle w:val="000000000000" w:firstRow="0" w:lastRow="0" w:firstColumn="0" w:lastColumn="0" w:oddVBand="0" w:evenVBand="0" w:oddHBand="0" w:evenHBand="0" w:firstRowFirstColumn="0" w:firstRowLastColumn="0" w:lastRowFirstColumn="0" w:lastRowLastColumn="0"/>
            </w:pPr>
            <w:r w:rsidRPr="00B84904">
              <w:rPr>
                <w:b/>
                <w:bCs/>
              </w:rPr>
              <w:t>Probable</w:t>
            </w:r>
          </w:p>
        </w:tc>
      </w:tr>
      <w:tr w:rsidR="00B84904" w:rsidRPr="00B84904" w14:paraId="18D8749C" w14:textId="77777777" w:rsidTr="005A7661">
        <w:tc>
          <w:tcPr>
            <w:cnfStyle w:val="001000000000" w:firstRow="0" w:lastRow="0" w:firstColumn="1" w:lastColumn="0" w:oddVBand="0" w:evenVBand="0" w:oddHBand="0" w:evenHBand="0" w:firstRowFirstColumn="0" w:firstRowLastColumn="0" w:lastRowFirstColumn="0" w:lastRowLastColumn="0"/>
            <w:tcW w:w="0" w:type="auto"/>
            <w:vMerge/>
            <w:hideMark/>
          </w:tcPr>
          <w:p w14:paraId="47C5E164" w14:textId="77777777" w:rsidR="00B84904" w:rsidRPr="00B84904" w:rsidRDefault="00B84904" w:rsidP="00B84904"/>
        </w:tc>
        <w:tc>
          <w:tcPr>
            <w:tcW w:w="0" w:type="auto"/>
            <w:vMerge/>
            <w:hideMark/>
          </w:tcPr>
          <w:p w14:paraId="0D6491E6" w14:textId="77777777" w:rsidR="00B84904" w:rsidRPr="00B84904" w:rsidRDefault="00B84904" w:rsidP="00B84904">
            <w:pPr>
              <w:cnfStyle w:val="000000000000" w:firstRow="0" w:lastRow="0" w:firstColumn="0" w:lastColumn="0" w:oddVBand="0" w:evenVBand="0" w:oddHBand="0" w:evenHBand="0" w:firstRowFirstColumn="0" w:firstRowLastColumn="0" w:lastRowFirstColumn="0" w:lastRowLastColumn="0"/>
            </w:pPr>
          </w:p>
        </w:tc>
        <w:tc>
          <w:tcPr>
            <w:tcW w:w="0" w:type="auto"/>
            <w:hideMark/>
          </w:tcPr>
          <w:p w14:paraId="663DCC7D" w14:textId="77777777" w:rsidR="00B84904" w:rsidRPr="00B84904" w:rsidRDefault="00B84904" w:rsidP="00B84904">
            <w:pPr>
              <w:cnfStyle w:val="000000000000" w:firstRow="0" w:lastRow="0" w:firstColumn="0" w:lastColumn="0" w:oddVBand="0" w:evenVBand="0" w:oddHBand="0" w:evenHBand="0" w:firstRowFirstColumn="0" w:firstRowLastColumn="0" w:lastRowFirstColumn="0" w:lastRowLastColumn="0"/>
            </w:pPr>
            <w:r w:rsidRPr="00B84904">
              <w:rPr>
                <w:b/>
                <w:bCs/>
              </w:rPr>
              <w:t>Gravité des conséquences</w:t>
            </w:r>
          </w:p>
        </w:tc>
        <w:tc>
          <w:tcPr>
            <w:tcW w:w="0" w:type="auto"/>
            <w:hideMark/>
          </w:tcPr>
          <w:p w14:paraId="6BDAD07E" w14:textId="77777777" w:rsidR="00B84904" w:rsidRPr="00B84904" w:rsidRDefault="00B84904" w:rsidP="00B84904">
            <w:pPr>
              <w:cnfStyle w:val="000000000000" w:firstRow="0" w:lastRow="0" w:firstColumn="0" w:lastColumn="0" w:oddVBand="0" w:evenVBand="0" w:oddHBand="0" w:evenHBand="0" w:firstRowFirstColumn="0" w:firstRowLastColumn="0" w:lastRowFirstColumn="0" w:lastRowLastColumn="0"/>
            </w:pPr>
            <w:r w:rsidRPr="00B84904">
              <w:t>Effets exclusivement perceptifs et temporaires ; inconfort psychologique passager sans atteinte physique ni sociale.</w:t>
            </w:r>
          </w:p>
        </w:tc>
        <w:tc>
          <w:tcPr>
            <w:tcW w:w="0" w:type="auto"/>
            <w:hideMark/>
          </w:tcPr>
          <w:p w14:paraId="447D5FFE" w14:textId="77777777" w:rsidR="00B84904" w:rsidRPr="00B84904" w:rsidRDefault="00B84904" w:rsidP="00B84904">
            <w:pPr>
              <w:cnfStyle w:val="000000000000" w:firstRow="0" w:lastRow="0" w:firstColumn="0" w:lastColumn="0" w:oddVBand="0" w:evenVBand="0" w:oddHBand="0" w:evenHBand="0" w:firstRowFirstColumn="0" w:firstRowLastColumn="0" w:lastRowFirstColumn="0" w:lastRowLastColumn="0"/>
            </w:pPr>
            <w:r w:rsidRPr="00B84904">
              <w:rPr>
                <w:b/>
                <w:bCs/>
              </w:rPr>
              <w:t>Mineure</w:t>
            </w:r>
          </w:p>
        </w:tc>
      </w:tr>
      <w:tr w:rsidR="00B84904" w:rsidRPr="00B84904" w14:paraId="51CC2F78" w14:textId="77777777" w:rsidTr="005A7661">
        <w:tc>
          <w:tcPr>
            <w:cnfStyle w:val="001000000000" w:firstRow="0" w:lastRow="0" w:firstColumn="1" w:lastColumn="0" w:oddVBand="0" w:evenVBand="0" w:oddHBand="0" w:evenHBand="0" w:firstRowFirstColumn="0" w:firstRowLastColumn="0" w:lastRowFirstColumn="0" w:lastRowLastColumn="0"/>
            <w:tcW w:w="0" w:type="auto"/>
            <w:vMerge/>
            <w:hideMark/>
          </w:tcPr>
          <w:p w14:paraId="42FE3646" w14:textId="77777777" w:rsidR="00B84904" w:rsidRPr="00B84904" w:rsidRDefault="00B84904" w:rsidP="00B84904"/>
        </w:tc>
        <w:tc>
          <w:tcPr>
            <w:tcW w:w="0" w:type="auto"/>
            <w:vMerge/>
            <w:hideMark/>
          </w:tcPr>
          <w:p w14:paraId="2D74FEB6" w14:textId="77777777" w:rsidR="00B84904" w:rsidRPr="00B84904" w:rsidRDefault="00B84904" w:rsidP="00B84904">
            <w:pPr>
              <w:cnfStyle w:val="000000000000" w:firstRow="0" w:lastRow="0" w:firstColumn="0" w:lastColumn="0" w:oddVBand="0" w:evenVBand="0" w:oddHBand="0" w:evenHBand="0" w:firstRowFirstColumn="0" w:firstRowLastColumn="0" w:lastRowFirstColumn="0" w:lastRowLastColumn="0"/>
            </w:pPr>
          </w:p>
        </w:tc>
        <w:tc>
          <w:tcPr>
            <w:tcW w:w="0" w:type="auto"/>
            <w:hideMark/>
          </w:tcPr>
          <w:p w14:paraId="7C5C5971" w14:textId="77777777" w:rsidR="00B84904" w:rsidRPr="00B84904" w:rsidRDefault="00B84904" w:rsidP="00B84904">
            <w:pPr>
              <w:cnfStyle w:val="000000000000" w:firstRow="0" w:lastRow="0" w:firstColumn="0" w:lastColumn="0" w:oddVBand="0" w:evenVBand="0" w:oddHBand="0" w:evenHBand="0" w:firstRowFirstColumn="0" w:firstRowLastColumn="0" w:lastRowFirstColumn="0" w:lastRowLastColumn="0"/>
            </w:pPr>
            <w:r w:rsidRPr="00B84904">
              <w:rPr>
                <w:b/>
                <w:bCs/>
              </w:rPr>
              <w:t>Évaluation globale du risque</w:t>
            </w:r>
          </w:p>
        </w:tc>
        <w:tc>
          <w:tcPr>
            <w:tcW w:w="0" w:type="auto"/>
            <w:hideMark/>
          </w:tcPr>
          <w:p w14:paraId="7DE02F45" w14:textId="77777777" w:rsidR="00B84904" w:rsidRPr="00B84904" w:rsidRDefault="00B84904" w:rsidP="00B84904">
            <w:pPr>
              <w:cnfStyle w:val="000000000000" w:firstRow="0" w:lastRow="0" w:firstColumn="0" w:lastColumn="0" w:oddVBand="0" w:evenVBand="0" w:oddHBand="0" w:evenHBand="0" w:firstRowFirstColumn="0" w:firstRowLastColumn="0" w:lastRowFirstColumn="0" w:lastRowLastColumn="0"/>
            </w:pPr>
            <w:r w:rsidRPr="00B84904">
              <w:t xml:space="preserve">Risque </w:t>
            </w:r>
            <w:r w:rsidRPr="00B84904">
              <w:rPr>
                <w:b/>
                <w:bCs/>
              </w:rPr>
              <w:t>modéré</w:t>
            </w:r>
            <w:r w:rsidRPr="00B84904">
              <w:t>, résiduel et subjectif, entièrement maîtrisable par la communication, l’information sonore et visuelle claire, et la sensibilisation du public.</w:t>
            </w:r>
          </w:p>
        </w:tc>
        <w:tc>
          <w:tcPr>
            <w:tcW w:w="0" w:type="auto"/>
            <w:hideMark/>
          </w:tcPr>
          <w:p w14:paraId="1C826793" w14:textId="77777777" w:rsidR="00B84904" w:rsidRPr="00B84904" w:rsidRDefault="00B84904" w:rsidP="00B84904">
            <w:pPr>
              <w:cnfStyle w:val="000000000000" w:firstRow="0" w:lastRow="0" w:firstColumn="0" w:lastColumn="0" w:oddVBand="0" w:evenVBand="0" w:oddHBand="0" w:evenHBand="0" w:firstRowFirstColumn="0" w:firstRowLastColumn="0" w:lastRowFirstColumn="0" w:lastRowLastColumn="0"/>
            </w:pPr>
            <w:r w:rsidRPr="00B84904">
              <w:rPr>
                <w:b/>
                <w:bCs/>
              </w:rPr>
              <w:t>Modéré</w:t>
            </w:r>
          </w:p>
        </w:tc>
      </w:tr>
    </w:tbl>
    <w:p w14:paraId="13628D16" w14:textId="75EFD997" w:rsidR="008F5AE6" w:rsidRPr="00A81B65" w:rsidRDefault="008F5AE6" w:rsidP="0001633E">
      <w:pPr>
        <w:pStyle w:val="AltTitle2"/>
        <w:numPr>
          <w:ilvl w:val="0"/>
          <w:numId w:val="106"/>
        </w:numPr>
      </w:pPr>
      <w:r w:rsidRPr="00A81B65">
        <w:t xml:space="preserve">Risque </w:t>
      </w:r>
      <w:r w:rsidR="00A81B65" w:rsidRPr="00A81B65">
        <w:t>d’i</w:t>
      </w:r>
      <w:r w:rsidRPr="00A81B65">
        <w:t>nteraction entre la communauté et les flux de circulation interne (taxis, bus, parkings voyageurs)</w:t>
      </w:r>
    </w:p>
    <w:p w14:paraId="652E883C" w14:textId="62C01892" w:rsidR="00A81B65" w:rsidRDefault="008F5AE6" w:rsidP="008F5AE6">
      <w:r w:rsidRPr="008F5AE6">
        <w:t xml:space="preserve">L’exploitation du projet d’extension de l’aéroport </w:t>
      </w:r>
      <w:r w:rsidR="00A12CC2">
        <w:t>de Marrakech</w:t>
      </w:r>
      <w:r w:rsidRPr="008F5AE6">
        <w:t xml:space="preserve"> entraînera une légère augmentation des flux de véhicules dans les zones publiques : parkings, voies de dépose-minute et espaces d’attente. Ces flux concernent principalement les </w:t>
      </w:r>
      <w:r w:rsidRPr="004637C7">
        <w:t>taxis, bus touristiques, voitures de location et véhicules particuliers</w:t>
      </w:r>
      <w:r w:rsidRPr="00A81B65">
        <w:t>.</w:t>
      </w:r>
    </w:p>
    <w:p w14:paraId="67F60B8E" w14:textId="77777777" w:rsidR="00A81B65" w:rsidRDefault="008F5AE6" w:rsidP="008F5AE6">
      <w:r w:rsidRPr="008F5AE6">
        <w:t>Malgré la présence d’une organisation interne et de signalisation</w:t>
      </w:r>
      <w:r w:rsidRPr="00A81B65">
        <w:t xml:space="preserve">, la </w:t>
      </w:r>
      <w:r w:rsidRPr="004637C7">
        <w:t>cohabitation entre les différents usagers</w:t>
      </w:r>
      <w:r w:rsidRPr="00A81B65">
        <w:t xml:space="preserve"> (voyageurs, accompagnants, chauffeurs, agents de sécurité) peut provoquer des </w:t>
      </w:r>
      <w:r w:rsidRPr="004637C7">
        <w:t>situations de confusion ou de quasi-accident</w:t>
      </w:r>
      <w:r w:rsidRPr="00A81B65">
        <w:t xml:space="preserve">, en particulier lors des </w:t>
      </w:r>
      <w:r w:rsidRPr="004637C7">
        <w:t>pics saisonniers</w:t>
      </w:r>
      <w:r w:rsidRPr="008F5AE6">
        <w:t xml:space="preserve"> ou des arrivées simultanées de vols.</w:t>
      </w:r>
    </w:p>
    <w:p w14:paraId="46CB4C66" w14:textId="52D59D08" w:rsidR="008F5AE6" w:rsidRPr="00A81B65" w:rsidRDefault="008F5AE6" w:rsidP="008F5AE6">
      <w:r w:rsidRPr="008F5AE6">
        <w:t xml:space="preserve">Ce risque ne se traduit généralement </w:t>
      </w:r>
      <w:r w:rsidRPr="00A81B65">
        <w:t xml:space="preserve">pas par des dommages matériels ou corporels, mais peut occasionner une </w:t>
      </w:r>
      <w:r w:rsidRPr="004637C7">
        <w:t>gêne fonctionnelle</w:t>
      </w:r>
      <w:r w:rsidRPr="00A81B65">
        <w:t xml:space="preserve">, du </w:t>
      </w:r>
      <w:r w:rsidRPr="004637C7">
        <w:t>stress</w:t>
      </w:r>
      <w:r w:rsidRPr="00A81B65">
        <w:t xml:space="preserve"> et une </w:t>
      </w:r>
      <w:r w:rsidRPr="004637C7">
        <w:t>dégradation temporaire du confort et du sentiment de sécurité</w:t>
      </w:r>
      <w:r w:rsidRPr="00A81B65">
        <w:t xml:space="preserve"> des voyageurs.</w:t>
      </w:r>
    </w:p>
    <w:tbl>
      <w:tblPr>
        <w:tblStyle w:val="TableauGrille1Clair-Accentuation111"/>
        <w:tblW w:w="0" w:type="auto"/>
        <w:tblLook w:val="04A0" w:firstRow="1" w:lastRow="0" w:firstColumn="1" w:lastColumn="0" w:noHBand="0" w:noVBand="1"/>
      </w:tblPr>
      <w:tblGrid>
        <w:gridCol w:w="1959"/>
        <w:gridCol w:w="2024"/>
        <w:gridCol w:w="1490"/>
        <w:gridCol w:w="2622"/>
        <w:gridCol w:w="965"/>
      </w:tblGrid>
      <w:tr w:rsidR="00120B68" w:rsidRPr="00120B68" w14:paraId="693CEF67" w14:textId="77777777" w:rsidTr="004637C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75D4FA45" w14:textId="77777777" w:rsidR="00120B68" w:rsidRPr="00120B68" w:rsidRDefault="00120B68" w:rsidP="00120B68">
            <w:r w:rsidRPr="00120B68">
              <w:lastRenderedPageBreak/>
              <w:t>Risque</w:t>
            </w:r>
          </w:p>
        </w:tc>
        <w:tc>
          <w:tcPr>
            <w:tcW w:w="0" w:type="auto"/>
            <w:hideMark/>
          </w:tcPr>
          <w:p w14:paraId="0692230E" w14:textId="77777777" w:rsidR="00120B68" w:rsidRPr="00120B68" w:rsidRDefault="00120B68" w:rsidP="00120B68">
            <w:pPr>
              <w:cnfStyle w:val="100000000000" w:firstRow="1" w:lastRow="0" w:firstColumn="0" w:lastColumn="0" w:oddVBand="0" w:evenVBand="0" w:oddHBand="0" w:evenHBand="0" w:firstRowFirstColumn="0" w:firstRowLastColumn="0" w:lastRowFirstColumn="0" w:lastRowLastColumn="0"/>
            </w:pPr>
            <w:r w:rsidRPr="00120B68">
              <w:t>Activités génératrices</w:t>
            </w:r>
          </w:p>
        </w:tc>
        <w:tc>
          <w:tcPr>
            <w:tcW w:w="0" w:type="auto"/>
            <w:hideMark/>
          </w:tcPr>
          <w:p w14:paraId="2F577879" w14:textId="77777777" w:rsidR="00120B68" w:rsidRPr="00120B68" w:rsidRDefault="00120B68" w:rsidP="00120B68">
            <w:pPr>
              <w:cnfStyle w:val="100000000000" w:firstRow="1" w:lastRow="0" w:firstColumn="0" w:lastColumn="0" w:oddVBand="0" w:evenVBand="0" w:oddHBand="0" w:evenHBand="0" w:firstRowFirstColumn="0" w:firstRowLastColumn="0" w:lastRowFirstColumn="0" w:lastRowLastColumn="0"/>
            </w:pPr>
            <w:r w:rsidRPr="00120B68">
              <w:t>Critère</w:t>
            </w:r>
          </w:p>
        </w:tc>
        <w:tc>
          <w:tcPr>
            <w:tcW w:w="0" w:type="auto"/>
            <w:hideMark/>
          </w:tcPr>
          <w:p w14:paraId="49B59020" w14:textId="77777777" w:rsidR="00120B68" w:rsidRPr="00120B68" w:rsidRDefault="00120B68" w:rsidP="00120B68">
            <w:pPr>
              <w:cnfStyle w:val="100000000000" w:firstRow="1" w:lastRow="0" w:firstColumn="0" w:lastColumn="0" w:oddVBand="0" w:evenVBand="0" w:oddHBand="0" w:evenHBand="0" w:firstRowFirstColumn="0" w:firstRowLastColumn="0" w:lastRowFirstColumn="0" w:lastRowLastColumn="0"/>
            </w:pPr>
            <w:r w:rsidRPr="00120B68">
              <w:t>Justification</w:t>
            </w:r>
          </w:p>
        </w:tc>
        <w:tc>
          <w:tcPr>
            <w:tcW w:w="0" w:type="auto"/>
            <w:hideMark/>
          </w:tcPr>
          <w:p w14:paraId="5566F11E" w14:textId="77777777" w:rsidR="00120B68" w:rsidRPr="00120B68" w:rsidRDefault="00120B68" w:rsidP="00120B68">
            <w:pPr>
              <w:cnfStyle w:val="100000000000" w:firstRow="1" w:lastRow="0" w:firstColumn="0" w:lastColumn="0" w:oddVBand="0" w:evenVBand="0" w:oddHBand="0" w:evenHBand="0" w:firstRowFirstColumn="0" w:firstRowLastColumn="0" w:lastRowFirstColumn="0" w:lastRowLastColumn="0"/>
            </w:pPr>
            <w:r w:rsidRPr="00120B68">
              <w:t>Niveau</w:t>
            </w:r>
          </w:p>
        </w:tc>
      </w:tr>
      <w:tr w:rsidR="00120B68" w:rsidRPr="00120B68" w14:paraId="6A14DBA0" w14:textId="77777777" w:rsidTr="005A7661">
        <w:tc>
          <w:tcPr>
            <w:cnfStyle w:val="001000000000" w:firstRow="0" w:lastRow="0" w:firstColumn="1" w:lastColumn="0" w:oddVBand="0" w:evenVBand="0" w:oddHBand="0" w:evenHBand="0" w:firstRowFirstColumn="0" w:firstRowLastColumn="0" w:lastRowFirstColumn="0" w:lastRowLastColumn="0"/>
            <w:tcW w:w="0" w:type="auto"/>
            <w:vMerge w:val="restart"/>
            <w:hideMark/>
          </w:tcPr>
          <w:p w14:paraId="61B924A6" w14:textId="77777777" w:rsidR="00120B68" w:rsidRPr="00120B68" w:rsidRDefault="00120B68" w:rsidP="00120B68">
            <w:r w:rsidRPr="00120B68">
              <w:t>Interaction entre la communauté et les flux de circulation interne (taxis, bus, parkings voyageurs)</w:t>
            </w:r>
          </w:p>
        </w:tc>
        <w:tc>
          <w:tcPr>
            <w:tcW w:w="0" w:type="auto"/>
            <w:vMerge w:val="restart"/>
            <w:hideMark/>
          </w:tcPr>
          <w:p w14:paraId="16BFD32B" w14:textId="77777777" w:rsidR="00120B68" w:rsidRPr="00120B68" w:rsidRDefault="00120B68" w:rsidP="00120B68">
            <w:pPr>
              <w:cnfStyle w:val="000000000000" w:firstRow="0" w:lastRow="0" w:firstColumn="0" w:lastColumn="0" w:oddVBand="0" w:evenVBand="0" w:oddHBand="0" w:evenHBand="0" w:firstRowFirstColumn="0" w:firstRowLastColumn="0" w:lastRowFirstColumn="0" w:lastRowLastColumn="0"/>
            </w:pPr>
            <w:r w:rsidRPr="00120B68">
              <w:t>Circulation interne dans les zones publiques : parkings, voies de dépose-minute, zones d’attente et d’accès voyageurs.</w:t>
            </w:r>
          </w:p>
        </w:tc>
        <w:tc>
          <w:tcPr>
            <w:tcW w:w="0" w:type="auto"/>
            <w:hideMark/>
          </w:tcPr>
          <w:p w14:paraId="5814CA73" w14:textId="77777777" w:rsidR="00120B68" w:rsidRPr="00120B68" w:rsidRDefault="00120B68" w:rsidP="00120B68">
            <w:pPr>
              <w:cnfStyle w:val="000000000000" w:firstRow="0" w:lastRow="0" w:firstColumn="0" w:lastColumn="0" w:oddVBand="0" w:evenVBand="0" w:oddHBand="0" w:evenHBand="0" w:firstRowFirstColumn="0" w:firstRowLastColumn="0" w:lastRowFirstColumn="0" w:lastRowLastColumn="0"/>
            </w:pPr>
            <w:r w:rsidRPr="00120B68">
              <w:rPr>
                <w:b/>
                <w:bCs/>
              </w:rPr>
              <w:t>Probabilité d’occurrence</w:t>
            </w:r>
          </w:p>
        </w:tc>
        <w:tc>
          <w:tcPr>
            <w:tcW w:w="0" w:type="auto"/>
            <w:hideMark/>
          </w:tcPr>
          <w:p w14:paraId="30A76F9A" w14:textId="77777777" w:rsidR="00120B68" w:rsidRPr="00120B68" w:rsidRDefault="00120B68" w:rsidP="00120B68">
            <w:pPr>
              <w:cnfStyle w:val="000000000000" w:firstRow="0" w:lastRow="0" w:firstColumn="0" w:lastColumn="0" w:oddVBand="0" w:evenVBand="0" w:oddHBand="0" w:evenHBand="0" w:firstRowFirstColumn="0" w:firstRowLastColumn="0" w:lastRowFirstColumn="0" w:lastRowLastColumn="0"/>
            </w:pPr>
            <w:r w:rsidRPr="00120B68">
              <w:t>Des situations de congestion, de confusion ou de non-respect des consignes de circulation peuvent se produire régulièrement, notamment lors des arrivées simultanées de vols.</w:t>
            </w:r>
          </w:p>
        </w:tc>
        <w:tc>
          <w:tcPr>
            <w:tcW w:w="0" w:type="auto"/>
            <w:hideMark/>
          </w:tcPr>
          <w:p w14:paraId="227127E9" w14:textId="77777777" w:rsidR="00120B68" w:rsidRPr="00120B68" w:rsidRDefault="00120B68" w:rsidP="00120B68">
            <w:pPr>
              <w:cnfStyle w:val="000000000000" w:firstRow="0" w:lastRow="0" w:firstColumn="0" w:lastColumn="0" w:oddVBand="0" w:evenVBand="0" w:oddHBand="0" w:evenHBand="0" w:firstRowFirstColumn="0" w:firstRowLastColumn="0" w:lastRowFirstColumn="0" w:lastRowLastColumn="0"/>
            </w:pPr>
            <w:r w:rsidRPr="00120B68">
              <w:rPr>
                <w:b/>
                <w:bCs/>
              </w:rPr>
              <w:t>Probable</w:t>
            </w:r>
          </w:p>
        </w:tc>
      </w:tr>
      <w:tr w:rsidR="00120B68" w:rsidRPr="00120B68" w14:paraId="5D64426C" w14:textId="77777777" w:rsidTr="005A7661">
        <w:tc>
          <w:tcPr>
            <w:cnfStyle w:val="001000000000" w:firstRow="0" w:lastRow="0" w:firstColumn="1" w:lastColumn="0" w:oddVBand="0" w:evenVBand="0" w:oddHBand="0" w:evenHBand="0" w:firstRowFirstColumn="0" w:firstRowLastColumn="0" w:lastRowFirstColumn="0" w:lastRowLastColumn="0"/>
            <w:tcW w:w="0" w:type="auto"/>
            <w:vMerge/>
            <w:hideMark/>
          </w:tcPr>
          <w:p w14:paraId="3D3A7BFE" w14:textId="77777777" w:rsidR="00120B68" w:rsidRPr="00120B68" w:rsidRDefault="00120B68" w:rsidP="00120B68"/>
        </w:tc>
        <w:tc>
          <w:tcPr>
            <w:tcW w:w="0" w:type="auto"/>
            <w:vMerge/>
            <w:hideMark/>
          </w:tcPr>
          <w:p w14:paraId="07B38436" w14:textId="77777777" w:rsidR="00120B68" w:rsidRPr="00120B68" w:rsidRDefault="00120B68" w:rsidP="00120B68">
            <w:pPr>
              <w:cnfStyle w:val="000000000000" w:firstRow="0" w:lastRow="0" w:firstColumn="0" w:lastColumn="0" w:oddVBand="0" w:evenVBand="0" w:oddHBand="0" w:evenHBand="0" w:firstRowFirstColumn="0" w:firstRowLastColumn="0" w:lastRowFirstColumn="0" w:lastRowLastColumn="0"/>
            </w:pPr>
          </w:p>
        </w:tc>
        <w:tc>
          <w:tcPr>
            <w:tcW w:w="0" w:type="auto"/>
            <w:hideMark/>
          </w:tcPr>
          <w:p w14:paraId="0CE3C34B" w14:textId="77777777" w:rsidR="00120B68" w:rsidRPr="00120B68" w:rsidRDefault="00120B68" w:rsidP="00120B68">
            <w:pPr>
              <w:cnfStyle w:val="000000000000" w:firstRow="0" w:lastRow="0" w:firstColumn="0" w:lastColumn="0" w:oddVBand="0" w:evenVBand="0" w:oddHBand="0" w:evenHBand="0" w:firstRowFirstColumn="0" w:firstRowLastColumn="0" w:lastRowFirstColumn="0" w:lastRowLastColumn="0"/>
            </w:pPr>
            <w:r w:rsidRPr="00120B68">
              <w:rPr>
                <w:b/>
                <w:bCs/>
              </w:rPr>
              <w:t>Gravité des conséquences</w:t>
            </w:r>
          </w:p>
        </w:tc>
        <w:tc>
          <w:tcPr>
            <w:tcW w:w="0" w:type="auto"/>
            <w:hideMark/>
          </w:tcPr>
          <w:p w14:paraId="18C7C627" w14:textId="77777777" w:rsidR="00120B68" w:rsidRPr="00120B68" w:rsidRDefault="00120B68" w:rsidP="00120B68">
            <w:pPr>
              <w:cnfStyle w:val="000000000000" w:firstRow="0" w:lastRow="0" w:firstColumn="0" w:lastColumn="0" w:oddVBand="0" w:evenVBand="0" w:oddHBand="0" w:evenHBand="0" w:firstRowFirstColumn="0" w:firstRowLastColumn="0" w:lastRowFirstColumn="0" w:lastRowLastColumn="0"/>
            </w:pPr>
            <w:r w:rsidRPr="00120B68">
              <w:t>Perturbations fonctionnelles légères, stress ou incidents matériels mineurs sans atteinte corporelle.</w:t>
            </w:r>
          </w:p>
        </w:tc>
        <w:tc>
          <w:tcPr>
            <w:tcW w:w="0" w:type="auto"/>
            <w:hideMark/>
          </w:tcPr>
          <w:p w14:paraId="43097898" w14:textId="77777777" w:rsidR="00120B68" w:rsidRPr="00120B68" w:rsidRDefault="00120B68" w:rsidP="00120B68">
            <w:pPr>
              <w:cnfStyle w:val="000000000000" w:firstRow="0" w:lastRow="0" w:firstColumn="0" w:lastColumn="0" w:oddVBand="0" w:evenVBand="0" w:oddHBand="0" w:evenHBand="0" w:firstRowFirstColumn="0" w:firstRowLastColumn="0" w:lastRowFirstColumn="0" w:lastRowLastColumn="0"/>
            </w:pPr>
            <w:r w:rsidRPr="00120B68">
              <w:rPr>
                <w:b/>
                <w:bCs/>
              </w:rPr>
              <w:t>Mineure</w:t>
            </w:r>
          </w:p>
        </w:tc>
      </w:tr>
      <w:tr w:rsidR="00120B68" w:rsidRPr="00120B68" w14:paraId="6AE59E04" w14:textId="77777777" w:rsidTr="005A7661">
        <w:tc>
          <w:tcPr>
            <w:cnfStyle w:val="001000000000" w:firstRow="0" w:lastRow="0" w:firstColumn="1" w:lastColumn="0" w:oddVBand="0" w:evenVBand="0" w:oddHBand="0" w:evenHBand="0" w:firstRowFirstColumn="0" w:firstRowLastColumn="0" w:lastRowFirstColumn="0" w:lastRowLastColumn="0"/>
            <w:tcW w:w="0" w:type="auto"/>
            <w:vMerge/>
            <w:hideMark/>
          </w:tcPr>
          <w:p w14:paraId="6A5515F4" w14:textId="77777777" w:rsidR="00120B68" w:rsidRPr="00120B68" w:rsidRDefault="00120B68" w:rsidP="00120B68"/>
        </w:tc>
        <w:tc>
          <w:tcPr>
            <w:tcW w:w="0" w:type="auto"/>
            <w:vMerge/>
            <w:hideMark/>
          </w:tcPr>
          <w:p w14:paraId="5D3820FC" w14:textId="77777777" w:rsidR="00120B68" w:rsidRPr="00120B68" w:rsidRDefault="00120B68" w:rsidP="00120B68">
            <w:pPr>
              <w:cnfStyle w:val="000000000000" w:firstRow="0" w:lastRow="0" w:firstColumn="0" w:lastColumn="0" w:oddVBand="0" w:evenVBand="0" w:oddHBand="0" w:evenHBand="0" w:firstRowFirstColumn="0" w:firstRowLastColumn="0" w:lastRowFirstColumn="0" w:lastRowLastColumn="0"/>
            </w:pPr>
          </w:p>
        </w:tc>
        <w:tc>
          <w:tcPr>
            <w:tcW w:w="0" w:type="auto"/>
            <w:hideMark/>
          </w:tcPr>
          <w:p w14:paraId="4D563A3D" w14:textId="77777777" w:rsidR="00120B68" w:rsidRPr="00120B68" w:rsidRDefault="00120B68" w:rsidP="00120B68">
            <w:pPr>
              <w:cnfStyle w:val="000000000000" w:firstRow="0" w:lastRow="0" w:firstColumn="0" w:lastColumn="0" w:oddVBand="0" w:evenVBand="0" w:oddHBand="0" w:evenHBand="0" w:firstRowFirstColumn="0" w:firstRowLastColumn="0" w:lastRowFirstColumn="0" w:lastRowLastColumn="0"/>
            </w:pPr>
            <w:r w:rsidRPr="00120B68">
              <w:rPr>
                <w:b/>
                <w:bCs/>
              </w:rPr>
              <w:t>Évaluation globale du risque</w:t>
            </w:r>
          </w:p>
        </w:tc>
        <w:tc>
          <w:tcPr>
            <w:tcW w:w="0" w:type="auto"/>
            <w:hideMark/>
          </w:tcPr>
          <w:p w14:paraId="00051613" w14:textId="77777777" w:rsidR="00120B68" w:rsidRPr="00120B68" w:rsidRDefault="00120B68" w:rsidP="00120B68">
            <w:pPr>
              <w:cnfStyle w:val="000000000000" w:firstRow="0" w:lastRow="0" w:firstColumn="0" w:lastColumn="0" w:oddVBand="0" w:evenVBand="0" w:oddHBand="0" w:evenHBand="0" w:firstRowFirstColumn="0" w:firstRowLastColumn="0" w:lastRowFirstColumn="0" w:lastRowLastColumn="0"/>
            </w:pPr>
            <w:r w:rsidRPr="00120B68">
              <w:t xml:space="preserve">Risque </w:t>
            </w:r>
            <w:r w:rsidRPr="00120B68">
              <w:rPr>
                <w:b/>
                <w:bCs/>
              </w:rPr>
              <w:t>modéré</w:t>
            </w:r>
            <w:r w:rsidRPr="00120B68">
              <w:t>, lié à la densité des flux de voyageurs, maîtrisable par une signalisation claire, un plan de circulation interne actualisé et une présence de régulation</w:t>
            </w:r>
          </w:p>
        </w:tc>
        <w:tc>
          <w:tcPr>
            <w:tcW w:w="0" w:type="auto"/>
            <w:hideMark/>
          </w:tcPr>
          <w:p w14:paraId="5E2C7732" w14:textId="22590E2F" w:rsidR="00120B68" w:rsidRPr="004637C7" w:rsidRDefault="00120B68" w:rsidP="00120B68">
            <w:pPr>
              <w:cnfStyle w:val="000000000000" w:firstRow="0" w:lastRow="0" w:firstColumn="0" w:lastColumn="0" w:oddVBand="0" w:evenVBand="0" w:oddHBand="0" w:evenHBand="0" w:firstRowFirstColumn="0" w:firstRowLastColumn="0" w:lastRowFirstColumn="0" w:lastRowLastColumn="0"/>
              <w:rPr>
                <w:b/>
                <w:bCs/>
              </w:rPr>
            </w:pPr>
            <w:r w:rsidRPr="004637C7">
              <w:rPr>
                <w:b/>
                <w:bCs/>
              </w:rPr>
              <w:t>Modéré</w:t>
            </w:r>
          </w:p>
        </w:tc>
      </w:tr>
    </w:tbl>
    <w:p w14:paraId="406E14F5" w14:textId="77777777" w:rsidR="00120B68" w:rsidRDefault="00120B68" w:rsidP="00A32461">
      <w:pPr>
        <w:sectPr w:rsidR="00120B68" w:rsidSect="006C1613">
          <w:pgSz w:w="11906" w:h="16838"/>
          <w:pgMar w:top="1418" w:right="1418" w:bottom="1276" w:left="1418" w:header="680" w:footer="680" w:gutter="0"/>
          <w:cols w:space="708"/>
          <w:docGrid w:linePitch="360"/>
        </w:sectPr>
      </w:pPr>
    </w:p>
    <w:p w14:paraId="3996516A" w14:textId="77777777" w:rsidR="00120B68" w:rsidRDefault="00120B68" w:rsidP="00C143D5">
      <w:pPr>
        <w:pStyle w:val="Title5"/>
      </w:pPr>
      <w:r>
        <w:lastRenderedPageBreak/>
        <w:t>Mesures d’atténuation</w:t>
      </w:r>
    </w:p>
    <w:p w14:paraId="7EE25AF8" w14:textId="716033ED" w:rsidR="00C50FF7" w:rsidRDefault="00C50FF7" w:rsidP="004637C7">
      <w:pPr>
        <w:pStyle w:val="Lgende"/>
        <w:keepNext/>
      </w:pPr>
      <w:bookmarkStart w:id="490" w:name="_Toc213404390"/>
      <w:r>
        <w:t xml:space="preserve">Tableau </w:t>
      </w:r>
      <w:r>
        <w:fldChar w:fldCharType="begin"/>
      </w:r>
      <w:r>
        <w:instrText xml:space="preserve"> SEQ Tableau \* ARABIC </w:instrText>
      </w:r>
      <w:r>
        <w:fldChar w:fldCharType="separate"/>
      </w:r>
      <w:r w:rsidR="00274E71">
        <w:rPr>
          <w:noProof/>
        </w:rPr>
        <w:t>68</w:t>
      </w:r>
      <w:r>
        <w:fldChar w:fldCharType="end"/>
      </w:r>
      <w:r>
        <w:rPr>
          <w:lang w:val="fr-FR"/>
        </w:rPr>
        <w:t xml:space="preserve"> : </w:t>
      </w:r>
      <w:r w:rsidRPr="000C237A">
        <w:rPr>
          <w:lang w:val="fr-FR"/>
        </w:rPr>
        <w:t xml:space="preserve">Mesures d'atténuation – Santé, sureté et sécurité communautaires en phase </w:t>
      </w:r>
      <w:r>
        <w:rPr>
          <w:lang w:val="fr-FR"/>
        </w:rPr>
        <w:t>exploitation</w:t>
      </w:r>
      <w:bookmarkEnd w:id="490"/>
    </w:p>
    <w:tbl>
      <w:tblPr>
        <w:tblStyle w:val="TableauGrille1Clair-Accentuation111"/>
        <w:tblW w:w="0" w:type="auto"/>
        <w:tblLook w:val="04A0" w:firstRow="1" w:lastRow="0" w:firstColumn="1" w:lastColumn="0" w:noHBand="0" w:noVBand="1"/>
      </w:tblPr>
      <w:tblGrid>
        <w:gridCol w:w="2131"/>
        <w:gridCol w:w="1418"/>
        <w:gridCol w:w="2483"/>
        <w:gridCol w:w="2086"/>
        <w:gridCol w:w="1099"/>
        <w:gridCol w:w="1223"/>
        <w:gridCol w:w="717"/>
        <w:gridCol w:w="1193"/>
        <w:gridCol w:w="1784"/>
      </w:tblGrid>
      <w:tr w:rsidR="00367BBA" w:rsidRPr="009D4AE4" w14:paraId="3C335442" w14:textId="77777777" w:rsidTr="00A75AC1">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0" w:type="auto"/>
            <w:hideMark/>
          </w:tcPr>
          <w:p w14:paraId="72A0E124" w14:textId="77777777" w:rsidR="009D4AE4" w:rsidRPr="009D4AE4" w:rsidRDefault="009D4AE4" w:rsidP="009D4AE4">
            <w:r w:rsidRPr="009D4AE4">
              <w:t>Risque</w:t>
            </w:r>
          </w:p>
        </w:tc>
        <w:tc>
          <w:tcPr>
            <w:tcW w:w="0" w:type="auto"/>
            <w:hideMark/>
          </w:tcPr>
          <w:p w14:paraId="20EA2295" w14:textId="77777777" w:rsidR="009D4AE4" w:rsidRPr="009D4AE4" w:rsidRDefault="009D4AE4" w:rsidP="009D4AE4">
            <w:pPr>
              <w:cnfStyle w:val="100000000000" w:firstRow="1" w:lastRow="0" w:firstColumn="0" w:lastColumn="0" w:oddVBand="0" w:evenVBand="0" w:oddHBand="0" w:evenHBand="0" w:firstRowFirstColumn="0" w:firstRowLastColumn="0" w:lastRowFirstColumn="0" w:lastRowLastColumn="0"/>
            </w:pPr>
            <w:r w:rsidRPr="009D4AE4">
              <w:t>Niveau d’atténuation</w:t>
            </w:r>
          </w:p>
        </w:tc>
        <w:tc>
          <w:tcPr>
            <w:tcW w:w="0" w:type="auto"/>
            <w:hideMark/>
          </w:tcPr>
          <w:p w14:paraId="513D7563" w14:textId="77777777" w:rsidR="009D4AE4" w:rsidRPr="009D4AE4" w:rsidRDefault="009D4AE4" w:rsidP="009D4AE4">
            <w:pPr>
              <w:cnfStyle w:val="100000000000" w:firstRow="1" w:lastRow="0" w:firstColumn="0" w:lastColumn="0" w:oddVBand="0" w:evenVBand="0" w:oddHBand="0" w:evenHBand="0" w:firstRowFirstColumn="0" w:firstRowLastColumn="0" w:lastRowFirstColumn="0" w:lastRowLastColumn="0"/>
            </w:pPr>
            <w:r w:rsidRPr="009D4AE4">
              <w:t>Mesures d’atténuation / de gestion</w:t>
            </w:r>
          </w:p>
        </w:tc>
        <w:tc>
          <w:tcPr>
            <w:tcW w:w="0" w:type="auto"/>
            <w:hideMark/>
          </w:tcPr>
          <w:p w14:paraId="3DCD26D7" w14:textId="77777777" w:rsidR="009D4AE4" w:rsidRPr="009D4AE4" w:rsidRDefault="009D4AE4" w:rsidP="009D4AE4">
            <w:pPr>
              <w:cnfStyle w:val="100000000000" w:firstRow="1" w:lastRow="0" w:firstColumn="0" w:lastColumn="0" w:oddVBand="0" w:evenVBand="0" w:oddHBand="0" w:evenHBand="0" w:firstRowFirstColumn="0" w:firstRowLastColumn="0" w:lastRowFirstColumn="0" w:lastRowLastColumn="0"/>
            </w:pPr>
            <w:r w:rsidRPr="009D4AE4">
              <w:t>Indicateurs de performance (KPI)</w:t>
            </w:r>
          </w:p>
        </w:tc>
        <w:tc>
          <w:tcPr>
            <w:tcW w:w="0" w:type="auto"/>
            <w:hideMark/>
          </w:tcPr>
          <w:p w14:paraId="0257D1B6" w14:textId="77777777" w:rsidR="009D4AE4" w:rsidRPr="009D4AE4" w:rsidRDefault="009D4AE4" w:rsidP="009D4AE4">
            <w:pPr>
              <w:cnfStyle w:val="100000000000" w:firstRow="1" w:lastRow="0" w:firstColumn="0" w:lastColumn="0" w:oddVBand="0" w:evenVBand="0" w:oddHBand="0" w:evenHBand="0" w:firstRowFirstColumn="0" w:firstRowLastColumn="0" w:lastRowFirstColumn="0" w:lastRowLastColumn="0"/>
            </w:pPr>
            <w:r w:rsidRPr="009D4AE4">
              <w:t>Mise en œuvre</w:t>
            </w:r>
          </w:p>
        </w:tc>
        <w:tc>
          <w:tcPr>
            <w:tcW w:w="0" w:type="auto"/>
            <w:hideMark/>
          </w:tcPr>
          <w:p w14:paraId="7E14F128" w14:textId="77777777" w:rsidR="009D4AE4" w:rsidRPr="009D4AE4" w:rsidRDefault="009D4AE4" w:rsidP="009D4AE4">
            <w:pPr>
              <w:cnfStyle w:val="100000000000" w:firstRow="1" w:lastRow="0" w:firstColumn="0" w:lastColumn="0" w:oddVBand="0" w:evenVBand="0" w:oddHBand="0" w:evenHBand="0" w:firstRowFirstColumn="0" w:firstRowLastColumn="0" w:lastRowFirstColumn="0" w:lastRowLastColumn="0"/>
            </w:pPr>
            <w:r w:rsidRPr="009D4AE4">
              <w:t>Surveillance</w:t>
            </w:r>
          </w:p>
        </w:tc>
        <w:tc>
          <w:tcPr>
            <w:tcW w:w="0" w:type="auto"/>
            <w:hideMark/>
          </w:tcPr>
          <w:p w14:paraId="047474A9" w14:textId="77777777" w:rsidR="009D4AE4" w:rsidRPr="009D4AE4" w:rsidRDefault="009D4AE4" w:rsidP="009D4AE4">
            <w:pPr>
              <w:cnfStyle w:val="100000000000" w:firstRow="1" w:lastRow="0" w:firstColumn="0" w:lastColumn="0" w:oddVBand="0" w:evenVBand="0" w:oddHBand="0" w:evenHBand="0" w:firstRowFirstColumn="0" w:firstRowLastColumn="0" w:lastRowFirstColumn="0" w:lastRowLastColumn="0"/>
            </w:pPr>
            <w:r w:rsidRPr="009D4AE4">
              <w:t>Suivi</w:t>
            </w:r>
          </w:p>
        </w:tc>
        <w:tc>
          <w:tcPr>
            <w:tcW w:w="0" w:type="auto"/>
            <w:hideMark/>
          </w:tcPr>
          <w:p w14:paraId="02AC3BCF" w14:textId="77777777" w:rsidR="009D4AE4" w:rsidRPr="009D4AE4" w:rsidRDefault="009D4AE4" w:rsidP="009D4AE4">
            <w:pPr>
              <w:cnfStyle w:val="100000000000" w:firstRow="1" w:lastRow="0" w:firstColumn="0" w:lastColumn="0" w:oddVBand="0" w:evenVBand="0" w:oddHBand="0" w:evenHBand="0" w:firstRowFirstColumn="0" w:firstRowLastColumn="0" w:lastRowFirstColumn="0" w:lastRowLastColumn="0"/>
            </w:pPr>
            <w:r w:rsidRPr="009D4AE4">
              <w:t>Calendrier</w:t>
            </w:r>
          </w:p>
        </w:tc>
        <w:tc>
          <w:tcPr>
            <w:tcW w:w="0" w:type="auto"/>
            <w:hideMark/>
          </w:tcPr>
          <w:p w14:paraId="247F2175" w14:textId="77777777" w:rsidR="009D4AE4" w:rsidRPr="009D4AE4" w:rsidRDefault="009D4AE4" w:rsidP="009D4AE4">
            <w:pPr>
              <w:cnfStyle w:val="100000000000" w:firstRow="1" w:lastRow="0" w:firstColumn="0" w:lastColumn="0" w:oddVBand="0" w:evenVBand="0" w:oddHBand="0" w:evenHBand="0" w:firstRowFirstColumn="0" w:firstRowLastColumn="0" w:lastRowFirstColumn="0" w:lastRowLastColumn="0"/>
            </w:pPr>
            <w:r w:rsidRPr="009D4AE4">
              <w:t>Coût</w:t>
            </w:r>
          </w:p>
        </w:tc>
      </w:tr>
      <w:tr w:rsidR="00367BBA" w:rsidRPr="009D4AE4" w14:paraId="2C5CAEF9" w14:textId="77777777" w:rsidTr="00C7687E">
        <w:trPr>
          <w:trHeight w:val="1613"/>
        </w:trPr>
        <w:tc>
          <w:tcPr>
            <w:cnfStyle w:val="001000000000" w:firstRow="0" w:lastRow="0" w:firstColumn="1" w:lastColumn="0" w:oddVBand="0" w:evenVBand="0" w:oddHBand="0" w:evenHBand="0" w:firstRowFirstColumn="0" w:firstRowLastColumn="0" w:lastRowFirstColumn="0" w:lastRowLastColumn="0"/>
            <w:tcW w:w="0" w:type="auto"/>
            <w:vMerge w:val="restart"/>
            <w:hideMark/>
          </w:tcPr>
          <w:p w14:paraId="18342EC9" w14:textId="77777777" w:rsidR="00BC012C" w:rsidRPr="009D4AE4" w:rsidRDefault="00BC012C" w:rsidP="00A75AC1">
            <w:r w:rsidRPr="009D4AE4">
              <w:t>Risque d’exposition indirecte de la communauté à un incident technique ou opérationnel interne</w:t>
            </w:r>
          </w:p>
        </w:tc>
        <w:tc>
          <w:tcPr>
            <w:tcW w:w="0" w:type="auto"/>
            <w:vMerge w:val="restart"/>
            <w:hideMark/>
          </w:tcPr>
          <w:p w14:paraId="24F3A173" w14:textId="77777777" w:rsidR="00BC012C" w:rsidRPr="009D4AE4" w:rsidRDefault="00BC012C" w:rsidP="00A75AC1">
            <w:pPr>
              <w:cnfStyle w:val="000000000000" w:firstRow="0" w:lastRow="0" w:firstColumn="0" w:lastColumn="0" w:oddVBand="0" w:evenVBand="0" w:oddHBand="0" w:evenHBand="0" w:firstRowFirstColumn="0" w:firstRowLastColumn="0" w:lastRowFirstColumn="0" w:lastRowLastColumn="0"/>
            </w:pPr>
            <w:r w:rsidRPr="009D4AE4">
              <w:rPr>
                <w:b/>
                <w:bCs/>
              </w:rPr>
              <w:t>Éviter</w:t>
            </w:r>
          </w:p>
        </w:tc>
        <w:tc>
          <w:tcPr>
            <w:tcW w:w="0" w:type="auto"/>
            <w:tcBorders>
              <w:bottom w:val="single" w:sz="4" w:space="0" w:color="B4C6E7" w:themeColor="accent1" w:themeTint="66"/>
            </w:tcBorders>
            <w:hideMark/>
          </w:tcPr>
          <w:p w14:paraId="318576BF" w14:textId="7C1F83F9" w:rsidR="00BC012C" w:rsidRPr="009D4AE4" w:rsidRDefault="00BC012C" w:rsidP="00A75AC1">
            <w:pPr>
              <w:cnfStyle w:val="000000000000" w:firstRow="0" w:lastRow="0" w:firstColumn="0" w:lastColumn="0" w:oddVBand="0" w:evenVBand="0" w:oddHBand="0" w:evenHBand="0" w:firstRowFirstColumn="0" w:firstRowLastColumn="0" w:lastRowFirstColumn="0" w:lastRowLastColumn="0"/>
            </w:pPr>
            <w:r w:rsidRPr="009D4AE4">
              <w:t>Maintenir la conformité des installations électriques, mécaniques et de stockage (carburant, huiles, produits chimiques)</w:t>
            </w:r>
            <w:r>
              <w:t xml:space="preserve"> </w:t>
            </w:r>
            <w:r w:rsidRPr="009D4AE4">
              <w:t xml:space="preserve">; </w:t>
            </w:r>
          </w:p>
        </w:tc>
        <w:tc>
          <w:tcPr>
            <w:tcW w:w="0" w:type="auto"/>
            <w:vMerge w:val="restart"/>
            <w:hideMark/>
          </w:tcPr>
          <w:p w14:paraId="0E2F45F8" w14:textId="77777777" w:rsidR="00BC012C" w:rsidRDefault="00BC012C" w:rsidP="00A75AC1">
            <w:pPr>
              <w:cnfStyle w:val="000000000000" w:firstRow="0" w:lastRow="0" w:firstColumn="0" w:lastColumn="0" w:oddVBand="0" w:evenVBand="0" w:oddHBand="0" w:evenHBand="0" w:firstRowFirstColumn="0" w:firstRowLastColumn="0" w:lastRowFirstColumn="0" w:lastRowLastColumn="0"/>
            </w:pPr>
            <w:r w:rsidRPr="009D4AE4">
              <w:t xml:space="preserve">Nb d’audits de conformité réalisés/an ; </w:t>
            </w:r>
          </w:p>
          <w:p w14:paraId="6829392D" w14:textId="4873667B" w:rsidR="00BC012C" w:rsidRPr="009D4AE4" w:rsidRDefault="00BC012C" w:rsidP="00A75AC1">
            <w:pPr>
              <w:cnfStyle w:val="000000000000" w:firstRow="0" w:lastRow="0" w:firstColumn="0" w:lastColumn="0" w:oddVBand="0" w:evenVBand="0" w:oddHBand="0" w:evenHBand="0" w:firstRowFirstColumn="0" w:firstRowLastColumn="0" w:lastRowFirstColumn="0" w:lastRowLastColumn="0"/>
            </w:pPr>
            <w:r w:rsidRPr="009D4AE4">
              <w:t>Nb de non-conformités détectées et corrigées.</w:t>
            </w:r>
          </w:p>
        </w:tc>
        <w:tc>
          <w:tcPr>
            <w:tcW w:w="0" w:type="auto"/>
            <w:vMerge w:val="restart"/>
            <w:hideMark/>
          </w:tcPr>
          <w:p w14:paraId="1083719B" w14:textId="77777777" w:rsidR="00BC012C" w:rsidRPr="009D4AE4" w:rsidRDefault="00BC012C" w:rsidP="00A75AC1">
            <w:pPr>
              <w:cnfStyle w:val="000000000000" w:firstRow="0" w:lastRow="0" w:firstColumn="0" w:lastColumn="0" w:oddVBand="0" w:evenVBand="0" w:oddHBand="0" w:evenHBand="0" w:firstRowFirstColumn="0" w:firstRowLastColumn="0" w:lastRowFirstColumn="0" w:lastRowLastColumn="0"/>
            </w:pPr>
            <w:r w:rsidRPr="009D4AE4">
              <w:t>ONDA / Exploitant</w:t>
            </w:r>
          </w:p>
        </w:tc>
        <w:tc>
          <w:tcPr>
            <w:tcW w:w="0" w:type="auto"/>
            <w:vMerge w:val="restart"/>
            <w:hideMark/>
          </w:tcPr>
          <w:p w14:paraId="1DA9FD42" w14:textId="797283F1" w:rsidR="00BC012C" w:rsidRPr="009D4AE4" w:rsidRDefault="00BC012C" w:rsidP="00A75AC1">
            <w:pPr>
              <w:cnfStyle w:val="000000000000" w:firstRow="0" w:lastRow="0" w:firstColumn="0" w:lastColumn="0" w:oddVBand="0" w:evenVBand="0" w:oddHBand="0" w:evenHBand="0" w:firstRowFirstColumn="0" w:firstRowLastColumn="0" w:lastRowFirstColumn="0" w:lastRowLastColumn="0"/>
            </w:pPr>
            <w:r>
              <w:t>ONDA</w:t>
            </w:r>
          </w:p>
        </w:tc>
        <w:tc>
          <w:tcPr>
            <w:tcW w:w="0" w:type="auto"/>
            <w:vMerge w:val="restart"/>
            <w:hideMark/>
          </w:tcPr>
          <w:p w14:paraId="1D659E6D" w14:textId="1F88A5C6" w:rsidR="00BC012C" w:rsidRPr="009D4AE4" w:rsidRDefault="00BC012C" w:rsidP="00A75AC1">
            <w:pPr>
              <w:cnfStyle w:val="000000000000" w:firstRow="0" w:lastRow="0" w:firstColumn="0" w:lastColumn="0" w:oddVBand="0" w:evenVBand="0" w:oddHBand="0" w:evenHBand="0" w:firstRowFirstColumn="0" w:firstRowLastColumn="0" w:lastRowFirstColumn="0" w:lastRowLastColumn="0"/>
            </w:pPr>
            <w:r w:rsidRPr="009D4AE4">
              <w:t xml:space="preserve">ONDA </w:t>
            </w:r>
          </w:p>
        </w:tc>
        <w:tc>
          <w:tcPr>
            <w:tcW w:w="0" w:type="auto"/>
            <w:vMerge w:val="restart"/>
            <w:hideMark/>
          </w:tcPr>
          <w:p w14:paraId="5E7B8015" w14:textId="77777777" w:rsidR="00BC012C" w:rsidRPr="009D4AE4" w:rsidRDefault="00BC012C" w:rsidP="00A75AC1">
            <w:pPr>
              <w:cnfStyle w:val="000000000000" w:firstRow="0" w:lastRow="0" w:firstColumn="0" w:lastColumn="0" w:oddVBand="0" w:evenVBand="0" w:oddHBand="0" w:evenHBand="0" w:firstRowFirstColumn="0" w:firstRowLastColumn="0" w:lastRowFirstColumn="0" w:lastRowLastColumn="0"/>
            </w:pPr>
            <w:r w:rsidRPr="009D4AE4">
              <w:t>Trimestriel</w:t>
            </w:r>
          </w:p>
        </w:tc>
        <w:tc>
          <w:tcPr>
            <w:tcW w:w="0" w:type="auto"/>
            <w:tcBorders>
              <w:bottom w:val="single" w:sz="4" w:space="0" w:color="B4C6E7" w:themeColor="accent1" w:themeTint="66"/>
            </w:tcBorders>
            <w:hideMark/>
          </w:tcPr>
          <w:p w14:paraId="42ED8038" w14:textId="490FBBE1" w:rsidR="00BC012C" w:rsidRPr="009D4AE4" w:rsidRDefault="00613BC3" w:rsidP="00A75AC1">
            <w:pPr>
              <w:cnfStyle w:val="000000000000" w:firstRow="0" w:lastRow="0" w:firstColumn="0" w:lastColumn="0" w:oddVBand="0" w:evenVBand="0" w:oddHBand="0" w:evenHBand="0" w:firstRowFirstColumn="0" w:firstRowLastColumn="0" w:lastRowFirstColumn="0" w:lastRowLastColumn="0"/>
            </w:pPr>
            <w:r w:rsidRPr="00613BC3">
              <w:t>10 000 MAD / audit technique annuel</w:t>
            </w:r>
          </w:p>
        </w:tc>
      </w:tr>
      <w:tr w:rsidR="00367BBA" w:rsidRPr="009D4AE4" w14:paraId="49838E41" w14:textId="77777777" w:rsidTr="00C7687E">
        <w:trPr>
          <w:trHeight w:val="1307"/>
        </w:trPr>
        <w:tc>
          <w:tcPr>
            <w:cnfStyle w:val="001000000000" w:firstRow="0" w:lastRow="0" w:firstColumn="1" w:lastColumn="0" w:oddVBand="0" w:evenVBand="0" w:oddHBand="0" w:evenHBand="0" w:firstRowFirstColumn="0" w:firstRowLastColumn="0" w:lastRowFirstColumn="0" w:lastRowLastColumn="0"/>
            <w:tcW w:w="0" w:type="auto"/>
            <w:vMerge/>
          </w:tcPr>
          <w:p w14:paraId="267AE989" w14:textId="77777777" w:rsidR="00BC012C" w:rsidRPr="009D4AE4" w:rsidRDefault="00BC012C" w:rsidP="00A75AC1"/>
        </w:tc>
        <w:tc>
          <w:tcPr>
            <w:tcW w:w="0" w:type="auto"/>
            <w:vMerge/>
          </w:tcPr>
          <w:p w14:paraId="545DFF0A" w14:textId="77777777" w:rsidR="00BC012C" w:rsidRPr="009D4AE4" w:rsidRDefault="00BC012C" w:rsidP="00A75AC1">
            <w:pPr>
              <w:cnfStyle w:val="000000000000" w:firstRow="0" w:lastRow="0" w:firstColumn="0" w:lastColumn="0" w:oddVBand="0" w:evenVBand="0" w:oddHBand="0" w:evenHBand="0" w:firstRowFirstColumn="0" w:firstRowLastColumn="0" w:lastRowFirstColumn="0" w:lastRowLastColumn="0"/>
              <w:rPr>
                <w:b/>
                <w:bCs/>
              </w:rPr>
            </w:pPr>
          </w:p>
        </w:tc>
        <w:tc>
          <w:tcPr>
            <w:tcW w:w="0" w:type="auto"/>
            <w:tcBorders>
              <w:top w:val="single" w:sz="4" w:space="0" w:color="B4C6E7" w:themeColor="accent1" w:themeTint="66"/>
              <w:bottom w:val="single" w:sz="4" w:space="0" w:color="B4C6E7" w:themeColor="accent1" w:themeTint="66"/>
            </w:tcBorders>
          </w:tcPr>
          <w:p w14:paraId="350E0D68" w14:textId="57173AE9" w:rsidR="00BC012C" w:rsidRPr="009D4AE4" w:rsidRDefault="00BC012C" w:rsidP="00C7687E">
            <w:pPr>
              <w:cnfStyle w:val="000000000000" w:firstRow="0" w:lastRow="0" w:firstColumn="0" w:lastColumn="0" w:oddVBand="0" w:evenVBand="0" w:oddHBand="0" w:evenHBand="0" w:firstRowFirstColumn="0" w:firstRowLastColumn="0" w:lastRowFirstColumn="0" w:lastRowLastColumn="0"/>
            </w:pPr>
            <w:r w:rsidRPr="009D4AE4">
              <w:t xml:space="preserve">Appliquer rigoureusement le Plan de Sécurité et d’Urgence (PSE/PUI) validé par la Protection Civile ; </w:t>
            </w:r>
          </w:p>
        </w:tc>
        <w:tc>
          <w:tcPr>
            <w:tcW w:w="0" w:type="auto"/>
            <w:vMerge/>
          </w:tcPr>
          <w:p w14:paraId="77252266" w14:textId="77777777" w:rsidR="00BC012C" w:rsidRPr="009D4AE4" w:rsidRDefault="00BC012C" w:rsidP="00A75AC1">
            <w:pPr>
              <w:cnfStyle w:val="000000000000" w:firstRow="0" w:lastRow="0" w:firstColumn="0" w:lastColumn="0" w:oddVBand="0" w:evenVBand="0" w:oddHBand="0" w:evenHBand="0" w:firstRowFirstColumn="0" w:firstRowLastColumn="0" w:lastRowFirstColumn="0" w:lastRowLastColumn="0"/>
            </w:pPr>
          </w:p>
        </w:tc>
        <w:tc>
          <w:tcPr>
            <w:tcW w:w="0" w:type="auto"/>
            <w:vMerge/>
          </w:tcPr>
          <w:p w14:paraId="66A5982A" w14:textId="77777777" w:rsidR="00BC012C" w:rsidRPr="009D4AE4" w:rsidRDefault="00BC012C" w:rsidP="00A75AC1">
            <w:pPr>
              <w:cnfStyle w:val="000000000000" w:firstRow="0" w:lastRow="0" w:firstColumn="0" w:lastColumn="0" w:oddVBand="0" w:evenVBand="0" w:oddHBand="0" w:evenHBand="0" w:firstRowFirstColumn="0" w:firstRowLastColumn="0" w:lastRowFirstColumn="0" w:lastRowLastColumn="0"/>
            </w:pPr>
          </w:p>
        </w:tc>
        <w:tc>
          <w:tcPr>
            <w:tcW w:w="0" w:type="auto"/>
            <w:vMerge/>
          </w:tcPr>
          <w:p w14:paraId="79CB7FDC" w14:textId="77777777" w:rsidR="00BC012C" w:rsidRDefault="00BC012C" w:rsidP="00A75AC1">
            <w:pPr>
              <w:cnfStyle w:val="000000000000" w:firstRow="0" w:lastRow="0" w:firstColumn="0" w:lastColumn="0" w:oddVBand="0" w:evenVBand="0" w:oddHBand="0" w:evenHBand="0" w:firstRowFirstColumn="0" w:firstRowLastColumn="0" w:lastRowFirstColumn="0" w:lastRowLastColumn="0"/>
            </w:pPr>
          </w:p>
        </w:tc>
        <w:tc>
          <w:tcPr>
            <w:tcW w:w="0" w:type="auto"/>
            <w:vMerge/>
          </w:tcPr>
          <w:p w14:paraId="0EF51DC0" w14:textId="77777777" w:rsidR="00BC012C" w:rsidRPr="009D4AE4" w:rsidRDefault="00BC012C" w:rsidP="00A75AC1">
            <w:pPr>
              <w:cnfStyle w:val="000000000000" w:firstRow="0" w:lastRow="0" w:firstColumn="0" w:lastColumn="0" w:oddVBand="0" w:evenVBand="0" w:oddHBand="0" w:evenHBand="0" w:firstRowFirstColumn="0" w:firstRowLastColumn="0" w:lastRowFirstColumn="0" w:lastRowLastColumn="0"/>
            </w:pPr>
          </w:p>
        </w:tc>
        <w:tc>
          <w:tcPr>
            <w:tcW w:w="0" w:type="auto"/>
            <w:vMerge/>
          </w:tcPr>
          <w:p w14:paraId="6C8307EB" w14:textId="77777777" w:rsidR="00BC012C" w:rsidRPr="009D4AE4" w:rsidRDefault="00BC012C" w:rsidP="00A75AC1">
            <w:pPr>
              <w:cnfStyle w:val="000000000000" w:firstRow="0" w:lastRow="0" w:firstColumn="0" w:lastColumn="0" w:oddVBand="0" w:evenVBand="0" w:oddHBand="0" w:evenHBand="0" w:firstRowFirstColumn="0" w:firstRowLastColumn="0" w:lastRowFirstColumn="0" w:lastRowLastColumn="0"/>
            </w:pPr>
          </w:p>
        </w:tc>
        <w:tc>
          <w:tcPr>
            <w:tcW w:w="0" w:type="auto"/>
            <w:tcBorders>
              <w:top w:val="single" w:sz="4" w:space="0" w:color="B4C6E7" w:themeColor="accent1" w:themeTint="66"/>
              <w:bottom w:val="single" w:sz="4" w:space="0" w:color="B4C6E7" w:themeColor="accent1" w:themeTint="66"/>
            </w:tcBorders>
          </w:tcPr>
          <w:p w14:paraId="79D3B2E9" w14:textId="7724AAD0" w:rsidR="00BC012C" w:rsidRPr="009D4AE4" w:rsidRDefault="00613BC3" w:rsidP="00A75AC1">
            <w:pPr>
              <w:cnfStyle w:val="000000000000" w:firstRow="0" w:lastRow="0" w:firstColumn="0" w:lastColumn="0" w:oddVBand="0" w:evenVBand="0" w:oddHBand="0" w:evenHBand="0" w:firstRowFirstColumn="0" w:firstRowLastColumn="0" w:lastRowFirstColumn="0" w:lastRowLastColumn="0"/>
            </w:pPr>
            <w:r w:rsidRPr="00613BC3">
              <w:t>Aucun coût spécifique</w:t>
            </w:r>
          </w:p>
        </w:tc>
      </w:tr>
      <w:tr w:rsidR="00367BBA" w:rsidRPr="009D4AE4" w14:paraId="50B835CB" w14:textId="77777777" w:rsidTr="00C7687E">
        <w:trPr>
          <w:trHeight w:val="1005"/>
        </w:trPr>
        <w:tc>
          <w:tcPr>
            <w:cnfStyle w:val="001000000000" w:firstRow="0" w:lastRow="0" w:firstColumn="1" w:lastColumn="0" w:oddVBand="0" w:evenVBand="0" w:oddHBand="0" w:evenHBand="0" w:firstRowFirstColumn="0" w:firstRowLastColumn="0" w:lastRowFirstColumn="0" w:lastRowLastColumn="0"/>
            <w:tcW w:w="0" w:type="auto"/>
            <w:vMerge/>
          </w:tcPr>
          <w:p w14:paraId="04A61E7A" w14:textId="77777777" w:rsidR="00BC012C" w:rsidRPr="009D4AE4" w:rsidRDefault="00BC012C" w:rsidP="00A75AC1"/>
        </w:tc>
        <w:tc>
          <w:tcPr>
            <w:tcW w:w="0" w:type="auto"/>
            <w:vMerge/>
          </w:tcPr>
          <w:p w14:paraId="73EBD175" w14:textId="77777777" w:rsidR="00BC012C" w:rsidRPr="009D4AE4" w:rsidRDefault="00BC012C" w:rsidP="00A75AC1">
            <w:pPr>
              <w:cnfStyle w:val="000000000000" w:firstRow="0" w:lastRow="0" w:firstColumn="0" w:lastColumn="0" w:oddVBand="0" w:evenVBand="0" w:oddHBand="0" w:evenHBand="0" w:firstRowFirstColumn="0" w:firstRowLastColumn="0" w:lastRowFirstColumn="0" w:lastRowLastColumn="0"/>
              <w:rPr>
                <w:b/>
                <w:bCs/>
              </w:rPr>
            </w:pPr>
          </w:p>
        </w:tc>
        <w:tc>
          <w:tcPr>
            <w:tcW w:w="0" w:type="auto"/>
            <w:tcBorders>
              <w:top w:val="single" w:sz="4" w:space="0" w:color="B4C6E7" w:themeColor="accent1" w:themeTint="66"/>
            </w:tcBorders>
          </w:tcPr>
          <w:p w14:paraId="38CF7CFA" w14:textId="77777777" w:rsidR="00BC012C" w:rsidRPr="009D4AE4" w:rsidRDefault="00BC012C" w:rsidP="00C7687E">
            <w:pPr>
              <w:cnfStyle w:val="000000000000" w:firstRow="0" w:lastRow="0" w:firstColumn="0" w:lastColumn="0" w:oddVBand="0" w:evenVBand="0" w:oddHBand="0" w:evenHBand="0" w:firstRowFirstColumn="0" w:firstRowLastColumn="0" w:lastRowFirstColumn="0" w:lastRowLastColumn="0"/>
            </w:pPr>
            <w:r w:rsidRPr="009D4AE4">
              <w:t>Effectuer un contrôle périodique des systèmes de détection et d’alerte incendie.</w:t>
            </w:r>
          </w:p>
        </w:tc>
        <w:tc>
          <w:tcPr>
            <w:tcW w:w="0" w:type="auto"/>
            <w:vMerge/>
          </w:tcPr>
          <w:p w14:paraId="0AFA45E2" w14:textId="77777777" w:rsidR="00BC012C" w:rsidRPr="009D4AE4" w:rsidRDefault="00BC012C" w:rsidP="00A75AC1">
            <w:pPr>
              <w:cnfStyle w:val="000000000000" w:firstRow="0" w:lastRow="0" w:firstColumn="0" w:lastColumn="0" w:oddVBand="0" w:evenVBand="0" w:oddHBand="0" w:evenHBand="0" w:firstRowFirstColumn="0" w:firstRowLastColumn="0" w:lastRowFirstColumn="0" w:lastRowLastColumn="0"/>
            </w:pPr>
          </w:p>
        </w:tc>
        <w:tc>
          <w:tcPr>
            <w:tcW w:w="0" w:type="auto"/>
            <w:vMerge/>
          </w:tcPr>
          <w:p w14:paraId="3E57B862" w14:textId="77777777" w:rsidR="00BC012C" w:rsidRPr="009D4AE4" w:rsidRDefault="00BC012C" w:rsidP="00A75AC1">
            <w:pPr>
              <w:cnfStyle w:val="000000000000" w:firstRow="0" w:lastRow="0" w:firstColumn="0" w:lastColumn="0" w:oddVBand="0" w:evenVBand="0" w:oddHBand="0" w:evenHBand="0" w:firstRowFirstColumn="0" w:firstRowLastColumn="0" w:lastRowFirstColumn="0" w:lastRowLastColumn="0"/>
            </w:pPr>
          </w:p>
        </w:tc>
        <w:tc>
          <w:tcPr>
            <w:tcW w:w="0" w:type="auto"/>
            <w:vMerge/>
          </w:tcPr>
          <w:p w14:paraId="464953CE" w14:textId="77777777" w:rsidR="00BC012C" w:rsidRDefault="00BC012C" w:rsidP="00A75AC1">
            <w:pPr>
              <w:cnfStyle w:val="000000000000" w:firstRow="0" w:lastRow="0" w:firstColumn="0" w:lastColumn="0" w:oddVBand="0" w:evenVBand="0" w:oddHBand="0" w:evenHBand="0" w:firstRowFirstColumn="0" w:firstRowLastColumn="0" w:lastRowFirstColumn="0" w:lastRowLastColumn="0"/>
            </w:pPr>
          </w:p>
        </w:tc>
        <w:tc>
          <w:tcPr>
            <w:tcW w:w="0" w:type="auto"/>
            <w:vMerge/>
          </w:tcPr>
          <w:p w14:paraId="0620D544" w14:textId="77777777" w:rsidR="00BC012C" w:rsidRPr="009D4AE4" w:rsidRDefault="00BC012C" w:rsidP="00A75AC1">
            <w:pPr>
              <w:cnfStyle w:val="000000000000" w:firstRow="0" w:lastRow="0" w:firstColumn="0" w:lastColumn="0" w:oddVBand="0" w:evenVBand="0" w:oddHBand="0" w:evenHBand="0" w:firstRowFirstColumn="0" w:firstRowLastColumn="0" w:lastRowFirstColumn="0" w:lastRowLastColumn="0"/>
            </w:pPr>
          </w:p>
        </w:tc>
        <w:tc>
          <w:tcPr>
            <w:tcW w:w="0" w:type="auto"/>
            <w:vMerge/>
          </w:tcPr>
          <w:p w14:paraId="34A2337F" w14:textId="77777777" w:rsidR="00BC012C" w:rsidRPr="009D4AE4" w:rsidRDefault="00BC012C" w:rsidP="00A75AC1">
            <w:pPr>
              <w:cnfStyle w:val="000000000000" w:firstRow="0" w:lastRow="0" w:firstColumn="0" w:lastColumn="0" w:oddVBand="0" w:evenVBand="0" w:oddHBand="0" w:evenHBand="0" w:firstRowFirstColumn="0" w:firstRowLastColumn="0" w:lastRowFirstColumn="0" w:lastRowLastColumn="0"/>
            </w:pPr>
          </w:p>
        </w:tc>
        <w:tc>
          <w:tcPr>
            <w:tcW w:w="0" w:type="auto"/>
            <w:tcBorders>
              <w:top w:val="single" w:sz="4" w:space="0" w:color="B4C6E7" w:themeColor="accent1" w:themeTint="66"/>
            </w:tcBorders>
          </w:tcPr>
          <w:p w14:paraId="4D9E65E7" w14:textId="405086C4" w:rsidR="00BC012C" w:rsidRPr="009D4AE4" w:rsidRDefault="00613BC3" w:rsidP="00A75AC1">
            <w:pPr>
              <w:cnfStyle w:val="000000000000" w:firstRow="0" w:lastRow="0" w:firstColumn="0" w:lastColumn="0" w:oddVBand="0" w:evenVBand="0" w:oddHBand="0" w:evenHBand="0" w:firstRowFirstColumn="0" w:firstRowLastColumn="0" w:lastRowFirstColumn="0" w:lastRowLastColumn="0"/>
            </w:pPr>
            <w:r w:rsidRPr="00613BC3">
              <w:t>5 000 MAD / semestre</w:t>
            </w:r>
          </w:p>
        </w:tc>
      </w:tr>
      <w:tr w:rsidR="00367BBA" w:rsidRPr="009D4AE4" w14:paraId="2A07EE4F" w14:textId="77777777" w:rsidTr="00BC012C">
        <w:trPr>
          <w:trHeight w:val="1600"/>
        </w:trPr>
        <w:tc>
          <w:tcPr>
            <w:cnfStyle w:val="001000000000" w:firstRow="0" w:lastRow="0" w:firstColumn="1" w:lastColumn="0" w:oddVBand="0" w:evenVBand="0" w:oddHBand="0" w:evenHBand="0" w:firstRowFirstColumn="0" w:firstRowLastColumn="0" w:lastRowFirstColumn="0" w:lastRowLastColumn="0"/>
            <w:tcW w:w="0" w:type="auto"/>
            <w:vMerge/>
            <w:hideMark/>
          </w:tcPr>
          <w:p w14:paraId="7AB15CFF" w14:textId="77777777" w:rsidR="00BC012C" w:rsidRPr="009D4AE4" w:rsidRDefault="00BC012C" w:rsidP="00A75AC1"/>
        </w:tc>
        <w:tc>
          <w:tcPr>
            <w:tcW w:w="0" w:type="auto"/>
            <w:vMerge w:val="restart"/>
            <w:hideMark/>
          </w:tcPr>
          <w:p w14:paraId="01499AFA" w14:textId="77777777" w:rsidR="00BC012C" w:rsidRPr="009D4AE4" w:rsidRDefault="00BC012C" w:rsidP="00A75AC1">
            <w:pPr>
              <w:cnfStyle w:val="000000000000" w:firstRow="0" w:lastRow="0" w:firstColumn="0" w:lastColumn="0" w:oddVBand="0" w:evenVBand="0" w:oddHBand="0" w:evenHBand="0" w:firstRowFirstColumn="0" w:firstRowLastColumn="0" w:lastRowFirstColumn="0" w:lastRowLastColumn="0"/>
            </w:pPr>
            <w:r w:rsidRPr="009D4AE4">
              <w:rPr>
                <w:b/>
                <w:bCs/>
              </w:rPr>
              <w:t>Réduire</w:t>
            </w:r>
          </w:p>
        </w:tc>
        <w:tc>
          <w:tcPr>
            <w:tcW w:w="0" w:type="auto"/>
            <w:tcBorders>
              <w:bottom w:val="single" w:sz="4" w:space="0" w:color="B4C6E7" w:themeColor="accent1" w:themeTint="66"/>
            </w:tcBorders>
            <w:hideMark/>
          </w:tcPr>
          <w:p w14:paraId="7FCB1181" w14:textId="0DE2B04D" w:rsidR="00BC012C" w:rsidRPr="009D4AE4" w:rsidRDefault="00BC012C" w:rsidP="00A75AC1">
            <w:pPr>
              <w:cnfStyle w:val="000000000000" w:firstRow="0" w:lastRow="0" w:firstColumn="0" w:lastColumn="0" w:oddVBand="0" w:evenVBand="0" w:oddHBand="0" w:evenHBand="0" w:firstRowFirstColumn="0" w:firstRowLastColumn="0" w:lastRowFirstColumn="0" w:lastRowLastColumn="0"/>
            </w:pPr>
            <w:r w:rsidRPr="009D4AE4">
              <w:t xml:space="preserve">Former régulièrement le personnel et les services d’intervention aux procédures d’urgence (incendie, alarme, évacuation) ; </w:t>
            </w:r>
          </w:p>
        </w:tc>
        <w:tc>
          <w:tcPr>
            <w:tcW w:w="0" w:type="auto"/>
            <w:vMerge w:val="restart"/>
            <w:hideMark/>
          </w:tcPr>
          <w:p w14:paraId="2C6B73E8" w14:textId="77777777" w:rsidR="00BC012C" w:rsidRPr="009D4AE4" w:rsidRDefault="00BC012C" w:rsidP="00A75AC1">
            <w:pPr>
              <w:cnfStyle w:val="000000000000" w:firstRow="0" w:lastRow="0" w:firstColumn="0" w:lastColumn="0" w:oddVBand="0" w:evenVBand="0" w:oddHBand="0" w:evenHBand="0" w:firstRowFirstColumn="0" w:firstRowLastColumn="0" w:lastRowFirstColumn="0" w:lastRowLastColumn="0"/>
            </w:pPr>
            <w:r w:rsidRPr="009D4AE4">
              <w:t>- Nb d’exercices PUI réalisés/an ; - Temps moyen de réaction en cas d’incident.</w:t>
            </w:r>
          </w:p>
        </w:tc>
        <w:tc>
          <w:tcPr>
            <w:tcW w:w="0" w:type="auto"/>
            <w:vMerge w:val="restart"/>
            <w:hideMark/>
          </w:tcPr>
          <w:p w14:paraId="314A5BD5" w14:textId="76E28449" w:rsidR="00BC012C" w:rsidRPr="009D4AE4" w:rsidRDefault="00BC012C" w:rsidP="00A75AC1">
            <w:pPr>
              <w:cnfStyle w:val="000000000000" w:firstRow="0" w:lastRow="0" w:firstColumn="0" w:lastColumn="0" w:oddVBand="0" w:evenVBand="0" w:oddHBand="0" w:evenHBand="0" w:firstRowFirstColumn="0" w:firstRowLastColumn="0" w:lastRowFirstColumn="0" w:lastRowLastColumn="0"/>
            </w:pPr>
            <w:r w:rsidRPr="009D4AE4">
              <w:t>ONDA / Exploitant</w:t>
            </w:r>
          </w:p>
        </w:tc>
        <w:tc>
          <w:tcPr>
            <w:tcW w:w="0" w:type="auto"/>
            <w:vMerge w:val="restart"/>
            <w:hideMark/>
          </w:tcPr>
          <w:p w14:paraId="0CB1B7F9" w14:textId="0C89A468" w:rsidR="00BC012C" w:rsidRPr="009D4AE4" w:rsidRDefault="00BC012C" w:rsidP="00A75AC1">
            <w:pPr>
              <w:cnfStyle w:val="000000000000" w:firstRow="0" w:lastRow="0" w:firstColumn="0" w:lastColumn="0" w:oddVBand="0" w:evenVBand="0" w:oddHBand="0" w:evenHBand="0" w:firstRowFirstColumn="0" w:firstRowLastColumn="0" w:lastRowFirstColumn="0" w:lastRowLastColumn="0"/>
            </w:pPr>
            <w:r>
              <w:t>ONDA</w:t>
            </w:r>
          </w:p>
        </w:tc>
        <w:tc>
          <w:tcPr>
            <w:tcW w:w="0" w:type="auto"/>
            <w:vMerge w:val="restart"/>
            <w:hideMark/>
          </w:tcPr>
          <w:p w14:paraId="18EB8AC6" w14:textId="7BA36443" w:rsidR="00BC012C" w:rsidRPr="009D4AE4" w:rsidRDefault="00BC012C" w:rsidP="00A75AC1">
            <w:pPr>
              <w:cnfStyle w:val="000000000000" w:firstRow="0" w:lastRow="0" w:firstColumn="0" w:lastColumn="0" w:oddVBand="0" w:evenVBand="0" w:oddHBand="0" w:evenHBand="0" w:firstRowFirstColumn="0" w:firstRowLastColumn="0" w:lastRowFirstColumn="0" w:lastRowLastColumn="0"/>
            </w:pPr>
            <w:r w:rsidRPr="009D4AE4">
              <w:t xml:space="preserve">ONDA </w:t>
            </w:r>
          </w:p>
        </w:tc>
        <w:tc>
          <w:tcPr>
            <w:tcW w:w="0" w:type="auto"/>
            <w:vMerge w:val="restart"/>
            <w:hideMark/>
          </w:tcPr>
          <w:p w14:paraId="1F379411" w14:textId="77777777" w:rsidR="00BC012C" w:rsidRPr="009D4AE4" w:rsidRDefault="00BC012C" w:rsidP="00A75AC1">
            <w:pPr>
              <w:cnfStyle w:val="000000000000" w:firstRow="0" w:lastRow="0" w:firstColumn="0" w:lastColumn="0" w:oddVBand="0" w:evenVBand="0" w:oddHBand="0" w:evenHBand="0" w:firstRowFirstColumn="0" w:firstRowLastColumn="0" w:lastRowFirstColumn="0" w:lastRowLastColumn="0"/>
            </w:pPr>
            <w:r w:rsidRPr="009D4AE4">
              <w:t>Annuel</w:t>
            </w:r>
          </w:p>
        </w:tc>
        <w:tc>
          <w:tcPr>
            <w:tcW w:w="0" w:type="auto"/>
            <w:tcBorders>
              <w:bottom w:val="single" w:sz="4" w:space="0" w:color="B4C6E7" w:themeColor="accent1" w:themeTint="66"/>
            </w:tcBorders>
            <w:hideMark/>
          </w:tcPr>
          <w:p w14:paraId="32380441" w14:textId="63F6BFB2" w:rsidR="00BC012C" w:rsidRPr="009D4AE4" w:rsidRDefault="00613BC3" w:rsidP="00A75AC1">
            <w:pPr>
              <w:cnfStyle w:val="000000000000" w:firstRow="0" w:lastRow="0" w:firstColumn="0" w:lastColumn="0" w:oddVBand="0" w:evenVBand="0" w:oddHBand="0" w:evenHBand="0" w:firstRowFirstColumn="0" w:firstRowLastColumn="0" w:lastRowFirstColumn="0" w:lastRowLastColumn="0"/>
            </w:pPr>
            <w:r w:rsidRPr="00613BC3">
              <w:t>35 000 MAD / session</w:t>
            </w:r>
          </w:p>
        </w:tc>
      </w:tr>
      <w:tr w:rsidR="00367BBA" w:rsidRPr="009D4AE4" w14:paraId="658F2DBD" w14:textId="77777777" w:rsidTr="00BC012C">
        <w:trPr>
          <w:trHeight w:val="1280"/>
        </w:trPr>
        <w:tc>
          <w:tcPr>
            <w:cnfStyle w:val="001000000000" w:firstRow="0" w:lastRow="0" w:firstColumn="1" w:lastColumn="0" w:oddVBand="0" w:evenVBand="0" w:oddHBand="0" w:evenHBand="0" w:firstRowFirstColumn="0" w:firstRowLastColumn="0" w:lastRowFirstColumn="0" w:lastRowLastColumn="0"/>
            <w:tcW w:w="0" w:type="auto"/>
            <w:vMerge/>
          </w:tcPr>
          <w:p w14:paraId="0FC2CBC8" w14:textId="77777777" w:rsidR="00BC012C" w:rsidRPr="009D4AE4" w:rsidRDefault="00BC012C" w:rsidP="00A75AC1"/>
        </w:tc>
        <w:tc>
          <w:tcPr>
            <w:tcW w:w="0" w:type="auto"/>
            <w:vMerge/>
          </w:tcPr>
          <w:p w14:paraId="3F107014" w14:textId="77777777" w:rsidR="00BC012C" w:rsidRPr="009D4AE4" w:rsidRDefault="00BC012C" w:rsidP="00A75AC1">
            <w:pPr>
              <w:cnfStyle w:val="000000000000" w:firstRow="0" w:lastRow="0" w:firstColumn="0" w:lastColumn="0" w:oddVBand="0" w:evenVBand="0" w:oddHBand="0" w:evenHBand="0" w:firstRowFirstColumn="0" w:firstRowLastColumn="0" w:lastRowFirstColumn="0" w:lastRowLastColumn="0"/>
              <w:rPr>
                <w:b/>
                <w:bCs/>
              </w:rPr>
            </w:pPr>
          </w:p>
        </w:tc>
        <w:tc>
          <w:tcPr>
            <w:tcW w:w="0" w:type="auto"/>
            <w:tcBorders>
              <w:top w:val="single" w:sz="4" w:space="0" w:color="B4C6E7" w:themeColor="accent1" w:themeTint="66"/>
            </w:tcBorders>
          </w:tcPr>
          <w:p w14:paraId="6C40D2C5" w14:textId="77777777" w:rsidR="00BC012C" w:rsidRDefault="00BC012C" w:rsidP="00BC012C">
            <w:pPr>
              <w:cnfStyle w:val="000000000000" w:firstRow="0" w:lastRow="0" w:firstColumn="0" w:lastColumn="0" w:oddVBand="0" w:evenVBand="0" w:oddHBand="0" w:evenHBand="0" w:firstRowFirstColumn="0" w:firstRowLastColumn="0" w:lastRowFirstColumn="0" w:lastRowLastColumn="0"/>
            </w:pPr>
            <w:r w:rsidRPr="009D4AE4">
              <w:t xml:space="preserve">Assurer la coordination continue avec la Protection Civile et la Gendarmerie Royale pour la réponse rapide ; </w:t>
            </w:r>
          </w:p>
          <w:p w14:paraId="74A8807C" w14:textId="77777777" w:rsidR="00BC012C" w:rsidRPr="009D4AE4" w:rsidRDefault="00BC012C" w:rsidP="00BC012C">
            <w:pPr>
              <w:cnfStyle w:val="000000000000" w:firstRow="0" w:lastRow="0" w:firstColumn="0" w:lastColumn="0" w:oddVBand="0" w:evenVBand="0" w:oddHBand="0" w:evenHBand="0" w:firstRowFirstColumn="0" w:firstRowLastColumn="0" w:lastRowFirstColumn="0" w:lastRowLastColumn="0"/>
            </w:pPr>
            <w:r w:rsidRPr="009D4AE4">
              <w:t>Maintenir une zone tampon de sécurité entre installations techniques et zones publiques.</w:t>
            </w:r>
          </w:p>
        </w:tc>
        <w:tc>
          <w:tcPr>
            <w:tcW w:w="0" w:type="auto"/>
            <w:vMerge/>
          </w:tcPr>
          <w:p w14:paraId="7F561159" w14:textId="77777777" w:rsidR="00BC012C" w:rsidRPr="009D4AE4" w:rsidRDefault="00BC012C" w:rsidP="00A75AC1">
            <w:pPr>
              <w:cnfStyle w:val="000000000000" w:firstRow="0" w:lastRow="0" w:firstColumn="0" w:lastColumn="0" w:oddVBand="0" w:evenVBand="0" w:oddHBand="0" w:evenHBand="0" w:firstRowFirstColumn="0" w:firstRowLastColumn="0" w:lastRowFirstColumn="0" w:lastRowLastColumn="0"/>
            </w:pPr>
          </w:p>
        </w:tc>
        <w:tc>
          <w:tcPr>
            <w:tcW w:w="0" w:type="auto"/>
            <w:vMerge/>
          </w:tcPr>
          <w:p w14:paraId="23E490B9" w14:textId="77777777" w:rsidR="00BC012C" w:rsidRPr="009D4AE4" w:rsidRDefault="00BC012C" w:rsidP="00A75AC1">
            <w:pPr>
              <w:cnfStyle w:val="000000000000" w:firstRow="0" w:lastRow="0" w:firstColumn="0" w:lastColumn="0" w:oddVBand="0" w:evenVBand="0" w:oddHBand="0" w:evenHBand="0" w:firstRowFirstColumn="0" w:firstRowLastColumn="0" w:lastRowFirstColumn="0" w:lastRowLastColumn="0"/>
            </w:pPr>
          </w:p>
        </w:tc>
        <w:tc>
          <w:tcPr>
            <w:tcW w:w="0" w:type="auto"/>
            <w:vMerge/>
          </w:tcPr>
          <w:p w14:paraId="1290D9C2" w14:textId="77777777" w:rsidR="00BC012C" w:rsidRDefault="00BC012C" w:rsidP="00A75AC1">
            <w:pPr>
              <w:cnfStyle w:val="000000000000" w:firstRow="0" w:lastRow="0" w:firstColumn="0" w:lastColumn="0" w:oddVBand="0" w:evenVBand="0" w:oddHBand="0" w:evenHBand="0" w:firstRowFirstColumn="0" w:firstRowLastColumn="0" w:lastRowFirstColumn="0" w:lastRowLastColumn="0"/>
            </w:pPr>
          </w:p>
        </w:tc>
        <w:tc>
          <w:tcPr>
            <w:tcW w:w="0" w:type="auto"/>
            <w:vMerge/>
          </w:tcPr>
          <w:p w14:paraId="59FEA511" w14:textId="77777777" w:rsidR="00BC012C" w:rsidRPr="009D4AE4" w:rsidRDefault="00BC012C" w:rsidP="00A75AC1">
            <w:pPr>
              <w:cnfStyle w:val="000000000000" w:firstRow="0" w:lastRow="0" w:firstColumn="0" w:lastColumn="0" w:oddVBand="0" w:evenVBand="0" w:oddHBand="0" w:evenHBand="0" w:firstRowFirstColumn="0" w:firstRowLastColumn="0" w:lastRowFirstColumn="0" w:lastRowLastColumn="0"/>
            </w:pPr>
          </w:p>
        </w:tc>
        <w:tc>
          <w:tcPr>
            <w:tcW w:w="0" w:type="auto"/>
            <w:vMerge/>
          </w:tcPr>
          <w:p w14:paraId="190F62DB" w14:textId="77777777" w:rsidR="00BC012C" w:rsidRPr="009D4AE4" w:rsidRDefault="00BC012C" w:rsidP="00A75AC1">
            <w:pPr>
              <w:cnfStyle w:val="000000000000" w:firstRow="0" w:lastRow="0" w:firstColumn="0" w:lastColumn="0" w:oddVBand="0" w:evenVBand="0" w:oddHBand="0" w:evenHBand="0" w:firstRowFirstColumn="0" w:firstRowLastColumn="0" w:lastRowFirstColumn="0" w:lastRowLastColumn="0"/>
            </w:pPr>
          </w:p>
        </w:tc>
        <w:tc>
          <w:tcPr>
            <w:tcW w:w="0" w:type="auto"/>
            <w:tcBorders>
              <w:top w:val="single" w:sz="4" w:space="0" w:color="B4C6E7" w:themeColor="accent1" w:themeTint="66"/>
            </w:tcBorders>
          </w:tcPr>
          <w:p w14:paraId="7E5031B0" w14:textId="2E8FC153" w:rsidR="00BC012C" w:rsidRPr="009D4AE4" w:rsidRDefault="00613BC3" w:rsidP="00A75AC1">
            <w:pPr>
              <w:cnfStyle w:val="000000000000" w:firstRow="0" w:lastRow="0" w:firstColumn="0" w:lastColumn="0" w:oddVBand="0" w:evenVBand="0" w:oddHBand="0" w:evenHBand="0" w:firstRowFirstColumn="0" w:firstRowLastColumn="0" w:lastRowFirstColumn="0" w:lastRowLastColumn="0"/>
            </w:pPr>
            <w:r w:rsidRPr="00613BC3">
              <w:t>Aucun coût spécifique</w:t>
            </w:r>
          </w:p>
        </w:tc>
      </w:tr>
      <w:tr w:rsidR="00367BBA" w:rsidRPr="009D4AE4" w14:paraId="64A8DA06" w14:textId="77777777" w:rsidTr="00BC012C">
        <w:trPr>
          <w:trHeight w:val="1587"/>
        </w:trPr>
        <w:tc>
          <w:tcPr>
            <w:cnfStyle w:val="001000000000" w:firstRow="0" w:lastRow="0" w:firstColumn="1" w:lastColumn="0" w:oddVBand="0" w:evenVBand="0" w:oddHBand="0" w:evenHBand="0" w:firstRowFirstColumn="0" w:firstRowLastColumn="0" w:lastRowFirstColumn="0" w:lastRowLastColumn="0"/>
            <w:tcW w:w="0" w:type="auto"/>
            <w:vMerge/>
            <w:hideMark/>
          </w:tcPr>
          <w:p w14:paraId="0D4E0520" w14:textId="77777777" w:rsidR="00BC012C" w:rsidRPr="009D4AE4" w:rsidRDefault="00BC012C" w:rsidP="00A75AC1"/>
        </w:tc>
        <w:tc>
          <w:tcPr>
            <w:tcW w:w="0" w:type="auto"/>
            <w:vMerge w:val="restart"/>
            <w:hideMark/>
          </w:tcPr>
          <w:p w14:paraId="0527477D" w14:textId="77777777" w:rsidR="00BC012C" w:rsidRPr="009D4AE4" w:rsidRDefault="00BC012C" w:rsidP="00A75AC1">
            <w:pPr>
              <w:cnfStyle w:val="000000000000" w:firstRow="0" w:lastRow="0" w:firstColumn="0" w:lastColumn="0" w:oddVBand="0" w:evenVBand="0" w:oddHBand="0" w:evenHBand="0" w:firstRowFirstColumn="0" w:firstRowLastColumn="0" w:lastRowFirstColumn="0" w:lastRowLastColumn="0"/>
            </w:pPr>
            <w:r w:rsidRPr="009D4AE4">
              <w:rPr>
                <w:b/>
                <w:bCs/>
              </w:rPr>
              <w:t>Atténuer</w:t>
            </w:r>
          </w:p>
        </w:tc>
        <w:tc>
          <w:tcPr>
            <w:tcW w:w="0" w:type="auto"/>
            <w:tcBorders>
              <w:bottom w:val="single" w:sz="4" w:space="0" w:color="B4C6E7" w:themeColor="accent1" w:themeTint="66"/>
            </w:tcBorders>
            <w:hideMark/>
          </w:tcPr>
          <w:p w14:paraId="4EEE35FD" w14:textId="731F3BE1" w:rsidR="00BC012C" w:rsidRPr="009D4AE4" w:rsidRDefault="00BC012C" w:rsidP="00A75AC1">
            <w:pPr>
              <w:cnfStyle w:val="000000000000" w:firstRow="0" w:lastRow="0" w:firstColumn="0" w:lastColumn="0" w:oddVBand="0" w:evenVBand="0" w:oddHBand="0" w:evenHBand="0" w:firstRowFirstColumn="0" w:firstRowLastColumn="0" w:lastRowFirstColumn="0" w:lastRowLastColumn="0"/>
            </w:pPr>
            <w:r w:rsidRPr="009D4AE4">
              <w:t xml:space="preserve">Mettre en place un protocole de communication publique en cas d’incident (affichage, messages sonores, communiqué ONDA) ; </w:t>
            </w:r>
          </w:p>
        </w:tc>
        <w:tc>
          <w:tcPr>
            <w:tcW w:w="0" w:type="auto"/>
            <w:vMerge w:val="restart"/>
            <w:hideMark/>
          </w:tcPr>
          <w:p w14:paraId="05BAD8A4" w14:textId="77777777" w:rsidR="00BC012C" w:rsidRDefault="00BC012C" w:rsidP="00A75AC1">
            <w:pPr>
              <w:cnfStyle w:val="000000000000" w:firstRow="0" w:lastRow="0" w:firstColumn="0" w:lastColumn="0" w:oddVBand="0" w:evenVBand="0" w:oddHBand="0" w:evenHBand="0" w:firstRowFirstColumn="0" w:firstRowLastColumn="0" w:lastRowFirstColumn="0" w:lastRowLastColumn="0"/>
            </w:pPr>
            <w:r w:rsidRPr="009D4AE4">
              <w:t xml:space="preserve">Nb de communications publiques diffusées ; </w:t>
            </w:r>
          </w:p>
          <w:p w14:paraId="239A11DD" w14:textId="6125E479" w:rsidR="00BC012C" w:rsidRPr="009D4AE4" w:rsidRDefault="00BC012C" w:rsidP="00A75AC1">
            <w:pPr>
              <w:cnfStyle w:val="000000000000" w:firstRow="0" w:lastRow="0" w:firstColumn="0" w:lastColumn="0" w:oddVBand="0" w:evenVBand="0" w:oddHBand="0" w:evenHBand="0" w:firstRowFirstColumn="0" w:firstRowLastColumn="0" w:lastRowFirstColumn="0" w:lastRowLastColumn="0"/>
            </w:pPr>
            <w:r w:rsidRPr="009D4AE4">
              <w:t>Taux de satisfaction des voyageurs.</w:t>
            </w:r>
          </w:p>
        </w:tc>
        <w:tc>
          <w:tcPr>
            <w:tcW w:w="0" w:type="auto"/>
            <w:vMerge w:val="restart"/>
            <w:hideMark/>
          </w:tcPr>
          <w:p w14:paraId="68AC14CA" w14:textId="16C5A4B0" w:rsidR="00BC012C" w:rsidRPr="009D4AE4" w:rsidRDefault="00BC012C" w:rsidP="00A75AC1">
            <w:pPr>
              <w:cnfStyle w:val="000000000000" w:firstRow="0" w:lastRow="0" w:firstColumn="0" w:lastColumn="0" w:oddVBand="0" w:evenVBand="0" w:oddHBand="0" w:evenHBand="0" w:firstRowFirstColumn="0" w:firstRowLastColumn="0" w:lastRowFirstColumn="0" w:lastRowLastColumn="0"/>
            </w:pPr>
            <w:r w:rsidRPr="009D4AE4">
              <w:t>ONDA / Exploitant</w:t>
            </w:r>
          </w:p>
        </w:tc>
        <w:tc>
          <w:tcPr>
            <w:tcW w:w="0" w:type="auto"/>
            <w:vMerge w:val="restart"/>
            <w:hideMark/>
          </w:tcPr>
          <w:p w14:paraId="2CA66A7E" w14:textId="6B656A8F" w:rsidR="00BC012C" w:rsidRPr="009D4AE4" w:rsidRDefault="00BC012C" w:rsidP="00A75AC1">
            <w:pPr>
              <w:cnfStyle w:val="000000000000" w:firstRow="0" w:lastRow="0" w:firstColumn="0" w:lastColumn="0" w:oddVBand="0" w:evenVBand="0" w:oddHBand="0" w:evenHBand="0" w:firstRowFirstColumn="0" w:firstRowLastColumn="0" w:lastRowFirstColumn="0" w:lastRowLastColumn="0"/>
            </w:pPr>
            <w:r>
              <w:t>ONDA</w:t>
            </w:r>
          </w:p>
        </w:tc>
        <w:tc>
          <w:tcPr>
            <w:tcW w:w="0" w:type="auto"/>
            <w:vMerge w:val="restart"/>
            <w:hideMark/>
          </w:tcPr>
          <w:p w14:paraId="075026D7" w14:textId="5794BEE7" w:rsidR="00BC012C" w:rsidRPr="009D4AE4" w:rsidRDefault="00BC012C" w:rsidP="00A75AC1">
            <w:pPr>
              <w:cnfStyle w:val="000000000000" w:firstRow="0" w:lastRow="0" w:firstColumn="0" w:lastColumn="0" w:oddVBand="0" w:evenVBand="0" w:oddHBand="0" w:evenHBand="0" w:firstRowFirstColumn="0" w:firstRowLastColumn="0" w:lastRowFirstColumn="0" w:lastRowLastColumn="0"/>
            </w:pPr>
            <w:r w:rsidRPr="009D4AE4">
              <w:t xml:space="preserve">ONDA </w:t>
            </w:r>
          </w:p>
        </w:tc>
        <w:tc>
          <w:tcPr>
            <w:tcW w:w="0" w:type="auto"/>
            <w:vMerge w:val="restart"/>
            <w:hideMark/>
          </w:tcPr>
          <w:p w14:paraId="28EEA906" w14:textId="77777777" w:rsidR="00BC012C" w:rsidRPr="009D4AE4" w:rsidRDefault="00BC012C" w:rsidP="00A75AC1">
            <w:pPr>
              <w:cnfStyle w:val="000000000000" w:firstRow="0" w:lastRow="0" w:firstColumn="0" w:lastColumn="0" w:oddVBand="0" w:evenVBand="0" w:oddHBand="0" w:evenHBand="0" w:firstRowFirstColumn="0" w:firstRowLastColumn="0" w:lastRowFirstColumn="0" w:lastRowLastColumn="0"/>
            </w:pPr>
            <w:r w:rsidRPr="009D4AE4">
              <w:t>En cas d’incident</w:t>
            </w:r>
          </w:p>
        </w:tc>
        <w:tc>
          <w:tcPr>
            <w:tcW w:w="0" w:type="auto"/>
            <w:tcBorders>
              <w:bottom w:val="single" w:sz="4" w:space="0" w:color="B4C6E7" w:themeColor="accent1" w:themeTint="66"/>
            </w:tcBorders>
            <w:hideMark/>
          </w:tcPr>
          <w:p w14:paraId="66D71761" w14:textId="0049BE17" w:rsidR="00BC012C" w:rsidRPr="009D4AE4" w:rsidRDefault="00613BC3" w:rsidP="00A75AC1">
            <w:pPr>
              <w:cnfStyle w:val="000000000000" w:firstRow="0" w:lastRow="0" w:firstColumn="0" w:lastColumn="0" w:oddVBand="0" w:evenVBand="0" w:oddHBand="0" w:evenHBand="0" w:firstRowFirstColumn="0" w:firstRowLastColumn="0" w:lastRowFirstColumn="0" w:lastRowLastColumn="0"/>
            </w:pPr>
            <w:r w:rsidRPr="00613BC3">
              <w:t>4 000 MAD / campagne</w:t>
            </w:r>
          </w:p>
        </w:tc>
      </w:tr>
      <w:tr w:rsidR="00367BBA" w:rsidRPr="009D4AE4" w14:paraId="15A56BCF" w14:textId="77777777" w:rsidTr="00BC012C">
        <w:trPr>
          <w:trHeight w:val="1267"/>
        </w:trPr>
        <w:tc>
          <w:tcPr>
            <w:cnfStyle w:val="001000000000" w:firstRow="0" w:lastRow="0" w:firstColumn="1" w:lastColumn="0" w:oddVBand="0" w:evenVBand="0" w:oddHBand="0" w:evenHBand="0" w:firstRowFirstColumn="0" w:firstRowLastColumn="0" w:lastRowFirstColumn="0" w:lastRowLastColumn="0"/>
            <w:tcW w:w="0" w:type="auto"/>
            <w:vMerge/>
          </w:tcPr>
          <w:p w14:paraId="5646E5CD" w14:textId="77777777" w:rsidR="00BC012C" w:rsidRPr="009D4AE4" w:rsidRDefault="00BC012C" w:rsidP="00A75AC1"/>
        </w:tc>
        <w:tc>
          <w:tcPr>
            <w:tcW w:w="0" w:type="auto"/>
            <w:vMerge/>
          </w:tcPr>
          <w:p w14:paraId="78EAD691" w14:textId="77777777" w:rsidR="00BC012C" w:rsidRPr="009D4AE4" w:rsidRDefault="00BC012C" w:rsidP="00A75AC1">
            <w:pPr>
              <w:cnfStyle w:val="000000000000" w:firstRow="0" w:lastRow="0" w:firstColumn="0" w:lastColumn="0" w:oddVBand="0" w:evenVBand="0" w:oddHBand="0" w:evenHBand="0" w:firstRowFirstColumn="0" w:firstRowLastColumn="0" w:lastRowFirstColumn="0" w:lastRowLastColumn="0"/>
              <w:rPr>
                <w:b/>
                <w:bCs/>
              </w:rPr>
            </w:pPr>
          </w:p>
        </w:tc>
        <w:tc>
          <w:tcPr>
            <w:tcW w:w="0" w:type="auto"/>
            <w:tcBorders>
              <w:top w:val="single" w:sz="4" w:space="0" w:color="B4C6E7" w:themeColor="accent1" w:themeTint="66"/>
              <w:bottom w:val="single" w:sz="4" w:space="0" w:color="B4C6E7" w:themeColor="accent1" w:themeTint="66"/>
            </w:tcBorders>
          </w:tcPr>
          <w:p w14:paraId="6436647F" w14:textId="298D320C" w:rsidR="00BC012C" w:rsidRPr="009D4AE4" w:rsidRDefault="00BC012C" w:rsidP="00BC012C">
            <w:pPr>
              <w:cnfStyle w:val="000000000000" w:firstRow="0" w:lastRow="0" w:firstColumn="0" w:lastColumn="0" w:oddVBand="0" w:evenVBand="0" w:oddHBand="0" w:evenHBand="0" w:firstRowFirstColumn="0" w:firstRowLastColumn="0" w:lastRowFirstColumn="0" w:lastRowLastColumn="0"/>
            </w:pPr>
            <w:r w:rsidRPr="009D4AE4">
              <w:t xml:space="preserve">Créer un point d’information voyageurs pour apaiser les inquiétudes et informer en temps réel ; </w:t>
            </w:r>
          </w:p>
        </w:tc>
        <w:tc>
          <w:tcPr>
            <w:tcW w:w="0" w:type="auto"/>
            <w:vMerge/>
          </w:tcPr>
          <w:p w14:paraId="15BA44AA" w14:textId="77777777" w:rsidR="00BC012C" w:rsidRPr="009D4AE4" w:rsidRDefault="00BC012C" w:rsidP="00A75AC1">
            <w:pPr>
              <w:cnfStyle w:val="000000000000" w:firstRow="0" w:lastRow="0" w:firstColumn="0" w:lastColumn="0" w:oddVBand="0" w:evenVBand="0" w:oddHBand="0" w:evenHBand="0" w:firstRowFirstColumn="0" w:firstRowLastColumn="0" w:lastRowFirstColumn="0" w:lastRowLastColumn="0"/>
            </w:pPr>
          </w:p>
        </w:tc>
        <w:tc>
          <w:tcPr>
            <w:tcW w:w="0" w:type="auto"/>
            <w:vMerge/>
          </w:tcPr>
          <w:p w14:paraId="25E8F025" w14:textId="77777777" w:rsidR="00BC012C" w:rsidRPr="009D4AE4" w:rsidRDefault="00BC012C" w:rsidP="00A75AC1">
            <w:pPr>
              <w:cnfStyle w:val="000000000000" w:firstRow="0" w:lastRow="0" w:firstColumn="0" w:lastColumn="0" w:oddVBand="0" w:evenVBand="0" w:oddHBand="0" w:evenHBand="0" w:firstRowFirstColumn="0" w:firstRowLastColumn="0" w:lastRowFirstColumn="0" w:lastRowLastColumn="0"/>
            </w:pPr>
          </w:p>
        </w:tc>
        <w:tc>
          <w:tcPr>
            <w:tcW w:w="0" w:type="auto"/>
            <w:vMerge/>
          </w:tcPr>
          <w:p w14:paraId="745192BB" w14:textId="77777777" w:rsidR="00BC012C" w:rsidRDefault="00BC012C" w:rsidP="00A75AC1">
            <w:pPr>
              <w:cnfStyle w:val="000000000000" w:firstRow="0" w:lastRow="0" w:firstColumn="0" w:lastColumn="0" w:oddVBand="0" w:evenVBand="0" w:oddHBand="0" w:evenHBand="0" w:firstRowFirstColumn="0" w:firstRowLastColumn="0" w:lastRowFirstColumn="0" w:lastRowLastColumn="0"/>
            </w:pPr>
          </w:p>
        </w:tc>
        <w:tc>
          <w:tcPr>
            <w:tcW w:w="0" w:type="auto"/>
            <w:vMerge/>
          </w:tcPr>
          <w:p w14:paraId="78770139" w14:textId="77777777" w:rsidR="00BC012C" w:rsidRPr="009D4AE4" w:rsidRDefault="00BC012C" w:rsidP="00A75AC1">
            <w:pPr>
              <w:cnfStyle w:val="000000000000" w:firstRow="0" w:lastRow="0" w:firstColumn="0" w:lastColumn="0" w:oddVBand="0" w:evenVBand="0" w:oddHBand="0" w:evenHBand="0" w:firstRowFirstColumn="0" w:firstRowLastColumn="0" w:lastRowFirstColumn="0" w:lastRowLastColumn="0"/>
            </w:pPr>
          </w:p>
        </w:tc>
        <w:tc>
          <w:tcPr>
            <w:tcW w:w="0" w:type="auto"/>
            <w:vMerge/>
          </w:tcPr>
          <w:p w14:paraId="0876DA20" w14:textId="77777777" w:rsidR="00BC012C" w:rsidRPr="009D4AE4" w:rsidRDefault="00BC012C" w:rsidP="00A75AC1">
            <w:pPr>
              <w:cnfStyle w:val="000000000000" w:firstRow="0" w:lastRow="0" w:firstColumn="0" w:lastColumn="0" w:oddVBand="0" w:evenVBand="0" w:oddHBand="0" w:evenHBand="0" w:firstRowFirstColumn="0" w:firstRowLastColumn="0" w:lastRowFirstColumn="0" w:lastRowLastColumn="0"/>
            </w:pPr>
          </w:p>
        </w:tc>
        <w:tc>
          <w:tcPr>
            <w:tcW w:w="0" w:type="auto"/>
            <w:tcBorders>
              <w:top w:val="single" w:sz="4" w:space="0" w:color="B4C6E7" w:themeColor="accent1" w:themeTint="66"/>
              <w:bottom w:val="single" w:sz="4" w:space="0" w:color="B4C6E7" w:themeColor="accent1" w:themeTint="66"/>
            </w:tcBorders>
          </w:tcPr>
          <w:p w14:paraId="529ABF30" w14:textId="03350BD1" w:rsidR="00BC012C" w:rsidRPr="009D4AE4" w:rsidRDefault="00613BC3" w:rsidP="00A75AC1">
            <w:pPr>
              <w:cnfStyle w:val="000000000000" w:firstRow="0" w:lastRow="0" w:firstColumn="0" w:lastColumn="0" w:oddVBand="0" w:evenVBand="0" w:oddHBand="0" w:evenHBand="0" w:firstRowFirstColumn="0" w:firstRowLastColumn="0" w:lastRowFirstColumn="0" w:lastRowLastColumn="0"/>
            </w:pPr>
            <w:r w:rsidRPr="00613BC3">
              <w:t>10 000 MAD / aménagement</w:t>
            </w:r>
          </w:p>
        </w:tc>
      </w:tr>
      <w:tr w:rsidR="00367BBA" w:rsidRPr="009D4AE4" w14:paraId="4478FAC5" w14:textId="77777777" w:rsidTr="00BC012C">
        <w:trPr>
          <w:trHeight w:val="1045"/>
        </w:trPr>
        <w:tc>
          <w:tcPr>
            <w:cnfStyle w:val="001000000000" w:firstRow="0" w:lastRow="0" w:firstColumn="1" w:lastColumn="0" w:oddVBand="0" w:evenVBand="0" w:oddHBand="0" w:evenHBand="0" w:firstRowFirstColumn="0" w:firstRowLastColumn="0" w:lastRowFirstColumn="0" w:lastRowLastColumn="0"/>
            <w:tcW w:w="0" w:type="auto"/>
            <w:vMerge/>
          </w:tcPr>
          <w:p w14:paraId="06E3D060" w14:textId="77777777" w:rsidR="00BC012C" w:rsidRPr="009D4AE4" w:rsidRDefault="00BC012C" w:rsidP="00A75AC1"/>
        </w:tc>
        <w:tc>
          <w:tcPr>
            <w:tcW w:w="0" w:type="auto"/>
            <w:vMerge/>
          </w:tcPr>
          <w:p w14:paraId="6CBD9FD4" w14:textId="77777777" w:rsidR="00BC012C" w:rsidRPr="009D4AE4" w:rsidRDefault="00BC012C" w:rsidP="00A75AC1">
            <w:pPr>
              <w:cnfStyle w:val="000000000000" w:firstRow="0" w:lastRow="0" w:firstColumn="0" w:lastColumn="0" w:oddVBand="0" w:evenVBand="0" w:oddHBand="0" w:evenHBand="0" w:firstRowFirstColumn="0" w:firstRowLastColumn="0" w:lastRowFirstColumn="0" w:lastRowLastColumn="0"/>
              <w:rPr>
                <w:b/>
                <w:bCs/>
              </w:rPr>
            </w:pPr>
          </w:p>
        </w:tc>
        <w:tc>
          <w:tcPr>
            <w:tcW w:w="0" w:type="auto"/>
            <w:tcBorders>
              <w:top w:val="single" w:sz="4" w:space="0" w:color="B4C6E7" w:themeColor="accent1" w:themeTint="66"/>
            </w:tcBorders>
          </w:tcPr>
          <w:p w14:paraId="41A9879E" w14:textId="77777777" w:rsidR="00BC012C" w:rsidRPr="009D4AE4" w:rsidRDefault="00BC012C" w:rsidP="00BC012C">
            <w:pPr>
              <w:cnfStyle w:val="000000000000" w:firstRow="0" w:lastRow="0" w:firstColumn="0" w:lastColumn="0" w:oddVBand="0" w:evenVBand="0" w:oddHBand="0" w:evenHBand="0" w:firstRowFirstColumn="0" w:firstRowLastColumn="0" w:lastRowFirstColumn="0" w:lastRowLastColumn="0"/>
            </w:pPr>
            <w:r w:rsidRPr="009D4AE4">
              <w:t>Prévoir un système de suivi des retours d’expérience post-incident.</w:t>
            </w:r>
          </w:p>
        </w:tc>
        <w:tc>
          <w:tcPr>
            <w:tcW w:w="0" w:type="auto"/>
            <w:vMerge/>
          </w:tcPr>
          <w:p w14:paraId="1FC49F21" w14:textId="77777777" w:rsidR="00BC012C" w:rsidRPr="009D4AE4" w:rsidRDefault="00BC012C" w:rsidP="00A75AC1">
            <w:pPr>
              <w:cnfStyle w:val="000000000000" w:firstRow="0" w:lastRow="0" w:firstColumn="0" w:lastColumn="0" w:oddVBand="0" w:evenVBand="0" w:oddHBand="0" w:evenHBand="0" w:firstRowFirstColumn="0" w:firstRowLastColumn="0" w:lastRowFirstColumn="0" w:lastRowLastColumn="0"/>
            </w:pPr>
          </w:p>
        </w:tc>
        <w:tc>
          <w:tcPr>
            <w:tcW w:w="0" w:type="auto"/>
            <w:vMerge/>
          </w:tcPr>
          <w:p w14:paraId="55196996" w14:textId="77777777" w:rsidR="00BC012C" w:rsidRPr="009D4AE4" w:rsidRDefault="00BC012C" w:rsidP="00A75AC1">
            <w:pPr>
              <w:cnfStyle w:val="000000000000" w:firstRow="0" w:lastRow="0" w:firstColumn="0" w:lastColumn="0" w:oddVBand="0" w:evenVBand="0" w:oddHBand="0" w:evenHBand="0" w:firstRowFirstColumn="0" w:firstRowLastColumn="0" w:lastRowFirstColumn="0" w:lastRowLastColumn="0"/>
            </w:pPr>
          </w:p>
        </w:tc>
        <w:tc>
          <w:tcPr>
            <w:tcW w:w="0" w:type="auto"/>
            <w:vMerge/>
          </w:tcPr>
          <w:p w14:paraId="4AF48CF6" w14:textId="77777777" w:rsidR="00BC012C" w:rsidRDefault="00BC012C" w:rsidP="00A75AC1">
            <w:pPr>
              <w:cnfStyle w:val="000000000000" w:firstRow="0" w:lastRow="0" w:firstColumn="0" w:lastColumn="0" w:oddVBand="0" w:evenVBand="0" w:oddHBand="0" w:evenHBand="0" w:firstRowFirstColumn="0" w:firstRowLastColumn="0" w:lastRowFirstColumn="0" w:lastRowLastColumn="0"/>
            </w:pPr>
          </w:p>
        </w:tc>
        <w:tc>
          <w:tcPr>
            <w:tcW w:w="0" w:type="auto"/>
            <w:vMerge/>
          </w:tcPr>
          <w:p w14:paraId="22D0A1AB" w14:textId="77777777" w:rsidR="00BC012C" w:rsidRPr="009D4AE4" w:rsidRDefault="00BC012C" w:rsidP="00A75AC1">
            <w:pPr>
              <w:cnfStyle w:val="000000000000" w:firstRow="0" w:lastRow="0" w:firstColumn="0" w:lastColumn="0" w:oddVBand="0" w:evenVBand="0" w:oddHBand="0" w:evenHBand="0" w:firstRowFirstColumn="0" w:firstRowLastColumn="0" w:lastRowFirstColumn="0" w:lastRowLastColumn="0"/>
            </w:pPr>
          </w:p>
        </w:tc>
        <w:tc>
          <w:tcPr>
            <w:tcW w:w="0" w:type="auto"/>
            <w:vMerge/>
          </w:tcPr>
          <w:p w14:paraId="38D6F0F7" w14:textId="77777777" w:rsidR="00BC012C" w:rsidRPr="009D4AE4" w:rsidRDefault="00BC012C" w:rsidP="00A75AC1">
            <w:pPr>
              <w:cnfStyle w:val="000000000000" w:firstRow="0" w:lastRow="0" w:firstColumn="0" w:lastColumn="0" w:oddVBand="0" w:evenVBand="0" w:oddHBand="0" w:evenHBand="0" w:firstRowFirstColumn="0" w:firstRowLastColumn="0" w:lastRowFirstColumn="0" w:lastRowLastColumn="0"/>
            </w:pPr>
          </w:p>
        </w:tc>
        <w:tc>
          <w:tcPr>
            <w:tcW w:w="0" w:type="auto"/>
            <w:tcBorders>
              <w:top w:val="single" w:sz="4" w:space="0" w:color="B4C6E7" w:themeColor="accent1" w:themeTint="66"/>
            </w:tcBorders>
          </w:tcPr>
          <w:p w14:paraId="28E71763" w14:textId="39845965" w:rsidR="00BC012C" w:rsidRPr="009D4AE4" w:rsidRDefault="00613BC3" w:rsidP="00A75AC1">
            <w:pPr>
              <w:cnfStyle w:val="000000000000" w:firstRow="0" w:lastRow="0" w:firstColumn="0" w:lastColumn="0" w:oddVBand="0" w:evenVBand="0" w:oddHBand="0" w:evenHBand="0" w:firstRowFirstColumn="0" w:firstRowLastColumn="0" w:lastRowFirstColumn="0" w:lastRowLastColumn="0"/>
            </w:pPr>
            <w:r w:rsidRPr="00613BC3">
              <w:t>Aucun coût spécifique</w:t>
            </w:r>
          </w:p>
        </w:tc>
      </w:tr>
      <w:tr w:rsidR="00367BBA" w:rsidRPr="009D4AE4" w14:paraId="17F6EC55" w14:textId="77777777" w:rsidTr="00BC012C">
        <w:trPr>
          <w:trHeight w:val="1307"/>
        </w:trPr>
        <w:tc>
          <w:tcPr>
            <w:cnfStyle w:val="001000000000" w:firstRow="0" w:lastRow="0" w:firstColumn="1" w:lastColumn="0" w:oddVBand="0" w:evenVBand="0" w:oddHBand="0" w:evenHBand="0" w:firstRowFirstColumn="0" w:firstRowLastColumn="0" w:lastRowFirstColumn="0" w:lastRowLastColumn="0"/>
            <w:tcW w:w="0" w:type="auto"/>
            <w:vMerge/>
            <w:hideMark/>
          </w:tcPr>
          <w:p w14:paraId="3CC106B3" w14:textId="77777777" w:rsidR="00BC012C" w:rsidRPr="009D4AE4" w:rsidRDefault="00BC012C" w:rsidP="00A75AC1"/>
        </w:tc>
        <w:tc>
          <w:tcPr>
            <w:tcW w:w="0" w:type="auto"/>
            <w:vMerge w:val="restart"/>
            <w:hideMark/>
          </w:tcPr>
          <w:p w14:paraId="542AD7CB" w14:textId="77777777" w:rsidR="00BC012C" w:rsidRPr="009D4AE4" w:rsidRDefault="00BC012C" w:rsidP="00A75AC1">
            <w:pPr>
              <w:cnfStyle w:val="000000000000" w:firstRow="0" w:lastRow="0" w:firstColumn="0" w:lastColumn="0" w:oddVBand="0" w:evenVBand="0" w:oddHBand="0" w:evenHBand="0" w:firstRowFirstColumn="0" w:firstRowLastColumn="0" w:lastRowFirstColumn="0" w:lastRowLastColumn="0"/>
            </w:pPr>
            <w:r w:rsidRPr="009D4AE4">
              <w:rPr>
                <w:b/>
                <w:bCs/>
              </w:rPr>
              <w:t>Compenser</w:t>
            </w:r>
          </w:p>
        </w:tc>
        <w:tc>
          <w:tcPr>
            <w:tcW w:w="0" w:type="auto"/>
            <w:tcBorders>
              <w:bottom w:val="single" w:sz="4" w:space="0" w:color="B4C6E7" w:themeColor="accent1" w:themeTint="66"/>
            </w:tcBorders>
            <w:hideMark/>
          </w:tcPr>
          <w:p w14:paraId="0AA56DA0" w14:textId="4DBE0A28" w:rsidR="00BC012C" w:rsidRPr="009D4AE4" w:rsidRDefault="00BC012C" w:rsidP="00A75AC1">
            <w:pPr>
              <w:cnfStyle w:val="000000000000" w:firstRow="0" w:lastRow="0" w:firstColumn="0" w:lastColumn="0" w:oddVBand="0" w:evenVBand="0" w:oddHBand="0" w:evenHBand="0" w:firstRowFirstColumn="0" w:firstRowLastColumn="0" w:lastRowFirstColumn="0" w:lastRowLastColumn="0"/>
            </w:pPr>
            <w:r w:rsidRPr="009D4AE4">
              <w:t xml:space="preserve">Participer à des exercices de sécurité conjoints avec la communauté locale et les services d’urgence régionaux ; </w:t>
            </w:r>
          </w:p>
        </w:tc>
        <w:tc>
          <w:tcPr>
            <w:tcW w:w="0" w:type="auto"/>
            <w:vMerge w:val="restart"/>
            <w:hideMark/>
          </w:tcPr>
          <w:p w14:paraId="1CDDF45F" w14:textId="77777777" w:rsidR="00BC012C" w:rsidRDefault="00BC012C" w:rsidP="00A75AC1">
            <w:pPr>
              <w:cnfStyle w:val="000000000000" w:firstRow="0" w:lastRow="0" w:firstColumn="0" w:lastColumn="0" w:oddVBand="0" w:evenVBand="0" w:oddHBand="0" w:evenHBand="0" w:firstRowFirstColumn="0" w:firstRowLastColumn="0" w:lastRowFirstColumn="0" w:lastRowLastColumn="0"/>
            </w:pPr>
            <w:r w:rsidRPr="009D4AE4">
              <w:t xml:space="preserve">Nb d’actions conjointes menées ; </w:t>
            </w:r>
          </w:p>
          <w:p w14:paraId="076B55AA" w14:textId="2907973B" w:rsidR="00BC012C" w:rsidRPr="009D4AE4" w:rsidRDefault="00BC012C" w:rsidP="00A75AC1">
            <w:pPr>
              <w:cnfStyle w:val="000000000000" w:firstRow="0" w:lastRow="0" w:firstColumn="0" w:lastColumn="0" w:oddVBand="0" w:evenVBand="0" w:oddHBand="0" w:evenHBand="0" w:firstRowFirstColumn="0" w:firstRowLastColumn="0" w:lastRowFirstColumn="0" w:lastRowLastColumn="0"/>
            </w:pPr>
            <w:r w:rsidRPr="009D4AE4">
              <w:t>Nb de participants communautaires aux exercices.</w:t>
            </w:r>
          </w:p>
        </w:tc>
        <w:tc>
          <w:tcPr>
            <w:tcW w:w="0" w:type="auto"/>
            <w:vMerge w:val="restart"/>
            <w:hideMark/>
          </w:tcPr>
          <w:p w14:paraId="3BC219A0" w14:textId="71FF77E8" w:rsidR="00BC012C" w:rsidRPr="009D4AE4" w:rsidRDefault="00BC012C" w:rsidP="00A75AC1">
            <w:pPr>
              <w:cnfStyle w:val="000000000000" w:firstRow="0" w:lastRow="0" w:firstColumn="0" w:lastColumn="0" w:oddVBand="0" w:evenVBand="0" w:oddHBand="0" w:evenHBand="0" w:firstRowFirstColumn="0" w:firstRowLastColumn="0" w:lastRowFirstColumn="0" w:lastRowLastColumn="0"/>
            </w:pPr>
            <w:r w:rsidRPr="009D4AE4">
              <w:t>ONDA / Exploitant</w:t>
            </w:r>
          </w:p>
        </w:tc>
        <w:tc>
          <w:tcPr>
            <w:tcW w:w="0" w:type="auto"/>
            <w:vMerge w:val="restart"/>
            <w:hideMark/>
          </w:tcPr>
          <w:p w14:paraId="205DD1D0" w14:textId="781AE88D" w:rsidR="00BC012C" w:rsidRPr="009D4AE4" w:rsidRDefault="00BC012C" w:rsidP="00A75AC1">
            <w:pPr>
              <w:cnfStyle w:val="000000000000" w:firstRow="0" w:lastRow="0" w:firstColumn="0" w:lastColumn="0" w:oddVBand="0" w:evenVBand="0" w:oddHBand="0" w:evenHBand="0" w:firstRowFirstColumn="0" w:firstRowLastColumn="0" w:lastRowFirstColumn="0" w:lastRowLastColumn="0"/>
            </w:pPr>
            <w:r>
              <w:t>ONDA</w:t>
            </w:r>
          </w:p>
        </w:tc>
        <w:tc>
          <w:tcPr>
            <w:tcW w:w="0" w:type="auto"/>
            <w:vMerge w:val="restart"/>
            <w:hideMark/>
          </w:tcPr>
          <w:p w14:paraId="4A46E55D" w14:textId="49F3CACB" w:rsidR="00BC012C" w:rsidRPr="009D4AE4" w:rsidRDefault="00BC012C" w:rsidP="00A75AC1">
            <w:pPr>
              <w:cnfStyle w:val="000000000000" w:firstRow="0" w:lastRow="0" w:firstColumn="0" w:lastColumn="0" w:oddVBand="0" w:evenVBand="0" w:oddHBand="0" w:evenHBand="0" w:firstRowFirstColumn="0" w:firstRowLastColumn="0" w:lastRowFirstColumn="0" w:lastRowLastColumn="0"/>
            </w:pPr>
            <w:r w:rsidRPr="009D4AE4">
              <w:t xml:space="preserve">ONDA </w:t>
            </w:r>
          </w:p>
        </w:tc>
        <w:tc>
          <w:tcPr>
            <w:tcW w:w="0" w:type="auto"/>
            <w:vMerge w:val="restart"/>
            <w:hideMark/>
          </w:tcPr>
          <w:p w14:paraId="1CDA0198" w14:textId="77777777" w:rsidR="00BC012C" w:rsidRPr="009D4AE4" w:rsidRDefault="00BC012C" w:rsidP="00A75AC1">
            <w:pPr>
              <w:cnfStyle w:val="000000000000" w:firstRow="0" w:lastRow="0" w:firstColumn="0" w:lastColumn="0" w:oddVBand="0" w:evenVBand="0" w:oddHBand="0" w:evenHBand="0" w:firstRowFirstColumn="0" w:firstRowLastColumn="0" w:lastRowFirstColumn="0" w:lastRowLastColumn="0"/>
            </w:pPr>
            <w:r w:rsidRPr="009D4AE4">
              <w:t>Annuel</w:t>
            </w:r>
          </w:p>
        </w:tc>
        <w:tc>
          <w:tcPr>
            <w:tcW w:w="0" w:type="auto"/>
            <w:tcBorders>
              <w:bottom w:val="single" w:sz="4" w:space="0" w:color="B4C6E7" w:themeColor="accent1" w:themeTint="66"/>
            </w:tcBorders>
            <w:hideMark/>
          </w:tcPr>
          <w:p w14:paraId="727BF1C4" w14:textId="41A62836" w:rsidR="00BC012C" w:rsidRPr="009D4AE4" w:rsidRDefault="00613BC3" w:rsidP="00A75AC1">
            <w:pPr>
              <w:cnfStyle w:val="000000000000" w:firstRow="0" w:lastRow="0" w:firstColumn="0" w:lastColumn="0" w:oddVBand="0" w:evenVBand="0" w:oddHBand="0" w:evenHBand="0" w:firstRowFirstColumn="0" w:firstRowLastColumn="0" w:lastRowFirstColumn="0" w:lastRowLastColumn="0"/>
            </w:pPr>
            <w:r w:rsidRPr="00613BC3">
              <w:t>15 000 MAD / exercice</w:t>
            </w:r>
          </w:p>
        </w:tc>
      </w:tr>
      <w:tr w:rsidR="00367BBA" w:rsidRPr="009D4AE4" w14:paraId="12CC00F5" w14:textId="77777777" w:rsidTr="00BC012C">
        <w:trPr>
          <w:trHeight w:val="613"/>
        </w:trPr>
        <w:tc>
          <w:tcPr>
            <w:cnfStyle w:val="001000000000" w:firstRow="0" w:lastRow="0" w:firstColumn="1" w:lastColumn="0" w:oddVBand="0" w:evenVBand="0" w:oddHBand="0" w:evenHBand="0" w:firstRowFirstColumn="0" w:firstRowLastColumn="0" w:lastRowFirstColumn="0" w:lastRowLastColumn="0"/>
            <w:tcW w:w="0" w:type="auto"/>
            <w:vMerge/>
          </w:tcPr>
          <w:p w14:paraId="70FF44CE" w14:textId="77777777" w:rsidR="00BC012C" w:rsidRPr="009D4AE4" w:rsidRDefault="00BC012C" w:rsidP="00A75AC1"/>
        </w:tc>
        <w:tc>
          <w:tcPr>
            <w:tcW w:w="0" w:type="auto"/>
            <w:vMerge/>
          </w:tcPr>
          <w:p w14:paraId="0BFF7BAA" w14:textId="77777777" w:rsidR="00BC012C" w:rsidRPr="009D4AE4" w:rsidRDefault="00BC012C" w:rsidP="00A75AC1">
            <w:pPr>
              <w:cnfStyle w:val="000000000000" w:firstRow="0" w:lastRow="0" w:firstColumn="0" w:lastColumn="0" w:oddVBand="0" w:evenVBand="0" w:oddHBand="0" w:evenHBand="0" w:firstRowFirstColumn="0" w:firstRowLastColumn="0" w:lastRowFirstColumn="0" w:lastRowLastColumn="0"/>
              <w:rPr>
                <w:b/>
                <w:bCs/>
              </w:rPr>
            </w:pPr>
          </w:p>
        </w:tc>
        <w:tc>
          <w:tcPr>
            <w:tcW w:w="0" w:type="auto"/>
            <w:tcBorders>
              <w:top w:val="single" w:sz="4" w:space="0" w:color="B4C6E7" w:themeColor="accent1" w:themeTint="66"/>
            </w:tcBorders>
          </w:tcPr>
          <w:p w14:paraId="6337E0BA" w14:textId="77777777" w:rsidR="00BC012C" w:rsidRPr="009D4AE4" w:rsidRDefault="00BC012C" w:rsidP="00BC012C">
            <w:pPr>
              <w:cnfStyle w:val="000000000000" w:firstRow="0" w:lastRow="0" w:firstColumn="0" w:lastColumn="0" w:oddVBand="0" w:evenVBand="0" w:oddHBand="0" w:evenHBand="0" w:firstRowFirstColumn="0" w:firstRowLastColumn="0" w:lastRowFirstColumn="0" w:lastRowLastColumn="0"/>
            </w:pPr>
            <w:r w:rsidRPr="009D4AE4">
              <w:t>Contribuer à la sensibilisation du public sur la gestion des situations d’urgence (affiches, journées d’information).</w:t>
            </w:r>
          </w:p>
        </w:tc>
        <w:tc>
          <w:tcPr>
            <w:tcW w:w="0" w:type="auto"/>
            <w:vMerge/>
          </w:tcPr>
          <w:p w14:paraId="71B533B5" w14:textId="77777777" w:rsidR="00BC012C" w:rsidRPr="009D4AE4" w:rsidRDefault="00BC012C" w:rsidP="00A75AC1">
            <w:pPr>
              <w:cnfStyle w:val="000000000000" w:firstRow="0" w:lastRow="0" w:firstColumn="0" w:lastColumn="0" w:oddVBand="0" w:evenVBand="0" w:oddHBand="0" w:evenHBand="0" w:firstRowFirstColumn="0" w:firstRowLastColumn="0" w:lastRowFirstColumn="0" w:lastRowLastColumn="0"/>
            </w:pPr>
          </w:p>
        </w:tc>
        <w:tc>
          <w:tcPr>
            <w:tcW w:w="0" w:type="auto"/>
            <w:vMerge/>
          </w:tcPr>
          <w:p w14:paraId="4F8D956C" w14:textId="77777777" w:rsidR="00BC012C" w:rsidRPr="009D4AE4" w:rsidRDefault="00BC012C" w:rsidP="00A75AC1">
            <w:pPr>
              <w:cnfStyle w:val="000000000000" w:firstRow="0" w:lastRow="0" w:firstColumn="0" w:lastColumn="0" w:oddVBand="0" w:evenVBand="0" w:oddHBand="0" w:evenHBand="0" w:firstRowFirstColumn="0" w:firstRowLastColumn="0" w:lastRowFirstColumn="0" w:lastRowLastColumn="0"/>
            </w:pPr>
          </w:p>
        </w:tc>
        <w:tc>
          <w:tcPr>
            <w:tcW w:w="0" w:type="auto"/>
            <w:vMerge/>
          </w:tcPr>
          <w:p w14:paraId="05AA3504" w14:textId="77777777" w:rsidR="00BC012C" w:rsidRDefault="00BC012C" w:rsidP="00A75AC1">
            <w:pPr>
              <w:cnfStyle w:val="000000000000" w:firstRow="0" w:lastRow="0" w:firstColumn="0" w:lastColumn="0" w:oddVBand="0" w:evenVBand="0" w:oddHBand="0" w:evenHBand="0" w:firstRowFirstColumn="0" w:firstRowLastColumn="0" w:lastRowFirstColumn="0" w:lastRowLastColumn="0"/>
            </w:pPr>
          </w:p>
        </w:tc>
        <w:tc>
          <w:tcPr>
            <w:tcW w:w="0" w:type="auto"/>
            <w:vMerge/>
          </w:tcPr>
          <w:p w14:paraId="6DC099B1" w14:textId="77777777" w:rsidR="00BC012C" w:rsidRPr="009D4AE4" w:rsidRDefault="00BC012C" w:rsidP="00A75AC1">
            <w:pPr>
              <w:cnfStyle w:val="000000000000" w:firstRow="0" w:lastRow="0" w:firstColumn="0" w:lastColumn="0" w:oddVBand="0" w:evenVBand="0" w:oddHBand="0" w:evenHBand="0" w:firstRowFirstColumn="0" w:firstRowLastColumn="0" w:lastRowFirstColumn="0" w:lastRowLastColumn="0"/>
            </w:pPr>
          </w:p>
        </w:tc>
        <w:tc>
          <w:tcPr>
            <w:tcW w:w="0" w:type="auto"/>
            <w:vMerge/>
          </w:tcPr>
          <w:p w14:paraId="10D500D5" w14:textId="77777777" w:rsidR="00BC012C" w:rsidRPr="009D4AE4" w:rsidRDefault="00BC012C" w:rsidP="00A75AC1">
            <w:pPr>
              <w:cnfStyle w:val="000000000000" w:firstRow="0" w:lastRow="0" w:firstColumn="0" w:lastColumn="0" w:oddVBand="0" w:evenVBand="0" w:oddHBand="0" w:evenHBand="0" w:firstRowFirstColumn="0" w:firstRowLastColumn="0" w:lastRowFirstColumn="0" w:lastRowLastColumn="0"/>
            </w:pPr>
          </w:p>
        </w:tc>
        <w:tc>
          <w:tcPr>
            <w:tcW w:w="0" w:type="auto"/>
            <w:tcBorders>
              <w:top w:val="single" w:sz="4" w:space="0" w:color="B4C6E7" w:themeColor="accent1" w:themeTint="66"/>
            </w:tcBorders>
          </w:tcPr>
          <w:p w14:paraId="568DA3A6" w14:textId="7B14EF0E" w:rsidR="00BC012C" w:rsidRPr="009D4AE4" w:rsidRDefault="00613BC3" w:rsidP="00A75AC1">
            <w:pPr>
              <w:cnfStyle w:val="000000000000" w:firstRow="0" w:lastRow="0" w:firstColumn="0" w:lastColumn="0" w:oddVBand="0" w:evenVBand="0" w:oddHBand="0" w:evenHBand="0" w:firstRowFirstColumn="0" w:firstRowLastColumn="0" w:lastRowFirstColumn="0" w:lastRowLastColumn="0"/>
            </w:pPr>
            <w:r w:rsidRPr="00613BC3">
              <w:t>5 000 MAD / campagne</w:t>
            </w:r>
          </w:p>
        </w:tc>
      </w:tr>
      <w:tr w:rsidR="00367BBA" w:rsidRPr="009D4AE4" w14:paraId="7D988AB2" w14:textId="77777777" w:rsidTr="00BC012C">
        <w:trPr>
          <w:trHeight w:val="1307"/>
        </w:trPr>
        <w:tc>
          <w:tcPr>
            <w:cnfStyle w:val="001000000000" w:firstRow="0" w:lastRow="0" w:firstColumn="1" w:lastColumn="0" w:oddVBand="0" w:evenVBand="0" w:oddHBand="0" w:evenHBand="0" w:firstRowFirstColumn="0" w:firstRowLastColumn="0" w:lastRowFirstColumn="0" w:lastRowLastColumn="0"/>
            <w:tcW w:w="0" w:type="auto"/>
            <w:vMerge w:val="restart"/>
            <w:hideMark/>
          </w:tcPr>
          <w:p w14:paraId="4E5B1B1C" w14:textId="77777777" w:rsidR="00BC012C" w:rsidRPr="009D4AE4" w:rsidRDefault="00BC012C" w:rsidP="00A75AC1">
            <w:r w:rsidRPr="009D4AE4">
              <w:rPr>
                <w:b w:val="0"/>
                <w:bCs w:val="0"/>
              </w:rPr>
              <w:t>Risque de perception d’insécurité ou d’inconfort psychologique lié aux opérations aériennes et signaux techniques</w:t>
            </w:r>
          </w:p>
        </w:tc>
        <w:tc>
          <w:tcPr>
            <w:tcW w:w="0" w:type="auto"/>
            <w:vMerge w:val="restart"/>
            <w:hideMark/>
          </w:tcPr>
          <w:p w14:paraId="182BE069" w14:textId="77777777" w:rsidR="00BC012C" w:rsidRPr="009D4AE4" w:rsidRDefault="00BC012C" w:rsidP="00A75AC1">
            <w:pPr>
              <w:cnfStyle w:val="000000000000" w:firstRow="0" w:lastRow="0" w:firstColumn="0" w:lastColumn="0" w:oddVBand="0" w:evenVBand="0" w:oddHBand="0" w:evenHBand="0" w:firstRowFirstColumn="0" w:firstRowLastColumn="0" w:lastRowFirstColumn="0" w:lastRowLastColumn="0"/>
              <w:rPr>
                <w:b/>
                <w:bCs/>
              </w:rPr>
            </w:pPr>
            <w:r w:rsidRPr="009D4AE4">
              <w:rPr>
                <w:b/>
                <w:bCs/>
              </w:rPr>
              <w:t>Éviter</w:t>
            </w:r>
          </w:p>
        </w:tc>
        <w:tc>
          <w:tcPr>
            <w:tcW w:w="0" w:type="auto"/>
            <w:tcBorders>
              <w:bottom w:val="single" w:sz="4" w:space="0" w:color="B4C6E7" w:themeColor="accent1" w:themeTint="66"/>
            </w:tcBorders>
            <w:hideMark/>
          </w:tcPr>
          <w:p w14:paraId="664CCA73" w14:textId="24B85753" w:rsidR="00BC012C" w:rsidRPr="009D4AE4" w:rsidRDefault="00BC012C" w:rsidP="00A75AC1">
            <w:pPr>
              <w:cnfStyle w:val="000000000000" w:firstRow="0" w:lastRow="0" w:firstColumn="0" w:lastColumn="0" w:oddVBand="0" w:evenVBand="0" w:oddHBand="0" w:evenHBand="0" w:firstRowFirstColumn="0" w:firstRowLastColumn="0" w:lastRowFirstColumn="0" w:lastRowLastColumn="0"/>
            </w:pPr>
            <w:r w:rsidRPr="009D4AE4">
              <w:t xml:space="preserve">Maintenir une planification optimale du trafic aérien nocturne pour éviter les concentrations de vols tardifs ; </w:t>
            </w:r>
          </w:p>
        </w:tc>
        <w:tc>
          <w:tcPr>
            <w:tcW w:w="0" w:type="auto"/>
            <w:vMerge w:val="restart"/>
            <w:hideMark/>
          </w:tcPr>
          <w:p w14:paraId="2AFF815C" w14:textId="76CD90E1" w:rsidR="00BC012C" w:rsidRPr="009D4AE4" w:rsidRDefault="00BC012C" w:rsidP="00A75AC1">
            <w:pPr>
              <w:cnfStyle w:val="000000000000" w:firstRow="0" w:lastRow="0" w:firstColumn="0" w:lastColumn="0" w:oddVBand="0" w:evenVBand="0" w:oddHBand="0" w:evenHBand="0" w:firstRowFirstColumn="0" w:firstRowLastColumn="0" w:lastRowFirstColumn="0" w:lastRowLastColumn="0"/>
            </w:pPr>
            <w:r w:rsidRPr="009D4AE4">
              <w:t xml:space="preserve">Nb d’incidents liés à des signaux intempestifs ; </w:t>
            </w:r>
          </w:p>
        </w:tc>
        <w:tc>
          <w:tcPr>
            <w:tcW w:w="0" w:type="auto"/>
            <w:vMerge w:val="restart"/>
            <w:hideMark/>
          </w:tcPr>
          <w:p w14:paraId="27126942" w14:textId="01C08701" w:rsidR="00BC012C" w:rsidRPr="009D4AE4" w:rsidRDefault="00BC012C" w:rsidP="00A75AC1">
            <w:pPr>
              <w:cnfStyle w:val="000000000000" w:firstRow="0" w:lastRow="0" w:firstColumn="0" w:lastColumn="0" w:oddVBand="0" w:evenVBand="0" w:oddHBand="0" w:evenHBand="0" w:firstRowFirstColumn="0" w:firstRowLastColumn="0" w:lastRowFirstColumn="0" w:lastRowLastColumn="0"/>
            </w:pPr>
            <w:r w:rsidRPr="009D4AE4">
              <w:t>ONDA / Exploitant</w:t>
            </w:r>
          </w:p>
        </w:tc>
        <w:tc>
          <w:tcPr>
            <w:tcW w:w="0" w:type="auto"/>
            <w:vMerge w:val="restart"/>
            <w:hideMark/>
          </w:tcPr>
          <w:p w14:paraId="085CE3B8" w14:textId="144A5920" w:rsidR="00BC012C" w:rsidRPr="009D4AE4" w:rsidRDefault="00BC012C" w:rsidP="00A75AC1">
            <w:pPr>
              <w:cnfStyle w:val="000000000000" w:firstRow="0" w:lastRow="0" w:firstColumn="0" w:lastColumn="0" w:oddVBand="0" w:evenVBand="0" w:oddHBand="0" w:evenHBand="0" w:firstRowFirstColumn="0" w:firstRowLastColumn="0" w:lastRowFirstColumn="0" w:lastRowLastColumn="0"/>
            </w:pPr>
            <w:r>
              <w:t>ONDA</w:t>
            </w:r>
          </w:p>
        </w:tc>
        <w:tc>
          <w:tcPr>
            <w:tcW w:w="0" w:type="auto"/>
            <w:vMerge w:val="restart"/>
            <w:hideMark/>
          </w:tcPr>
          <w:p w14:paraId="6E98BC0B" w14:textId="467F6B65" w:rsidR="00BC012C" w:rsidRPr="009D4AE4" w:rsidRDefault="00BC012C" w:rsidP="00A75AC1">
            <w:pPr>
              <w:cnfStyle w:val="000000000000" w:firstRow="0" w:lastRow="0" w:firstColumn="0" w:lastColumn="0" w:oddVBand="0" w:evenVBand="0" w:oddHBand="0" w:evenHBand="0" w:firstRowFirstColumn="0" w:firstRowLastColumn="0" w:lastRowFirstColumn="0" w:lastRowLastColumn="0"/>
            </w:pPr>
            <w:r w:rsidRPr="009D4AE4">
              <w:t xml:space="preserve">ONDA </w:t>
            </w:r>
          </w:p>
        </w:tc>
        <w:tc>
          <w:tcPr>
            <w:tcW w:w="0" w:type="auto"/>
            <w:vMerge w:val="restart"/>
            <w:tcBorders>
              <w:right w:val="single" w:sz="4" w:space="0" w:color="B4C6E7" w:themeColor="accent1" w:themeTint="66"/>
            </w:tcBorders>
            <w:hideMark/>
          </w:tcPr>
          <w:p w14:paraId="7472E6A8" w14:textId="77777777" w:rsidR="00BC012C" w:rsidRPr="009D4AE4" w:rsidRDefault="00BC012C" w:rsidP="00A75AC1">
            <w:pPr>
              <w:cnfStyle w:val="000000000000" w:firstRow="0" w:lastRow="0" w:firstColumn="0" w:lastColumn="0" w:oddVBand="0" w:evenVBand="0" w:oddHBand="0" w:evenHBand="0" w:firstRowFirstColumn="0" w:firstRowLastColumn="0" w:lastRowFirstColumn="0" w:lastRowLastColumn="0"/>
            </w:pPr>
            <w:r w:rsidRPr="009D4AE4">
              <w:t>Continu</w:t>
            </w:r>
          </w:p>
        </w:tc>
        <w:tc>
          <w:tcPr>
            <w:tcW w:w="0" w:type="auto"/>
            <w:tcBorders>
              <w:left w:val="single" w:sz="4" w:space="0" w:color="B4C6E7" w:themeColor="accent1" w:themeTint="66"/>
              <w:bottom w:val="single" w:sz="4" w:space="0" w:color="B4C6E7" w:themeColor="accent1" w:themeTint="66"/>
            </w:tcBorders>
            <w:hideMark/>
          </w:tcPr>
          <w:p w14:paraId="7707B430" w14:textId="1963F2DF" w:rsidR="00BC012C" w:rsidRPr="009D4AE4" w:rsidRDefault="00613BC3" w:rsidP="00A75AC1">
            <w:pPr>
              <w:cnfStyle w:val="000000000000" w:firstRow="0" w:lastRow="0" w:firstColumn="0" w:lastColumn="0" w:oddVBand="0" w:evenVBand="0" w:oddHBand="0" w:evenHBand="0" w:firstRowFirstColumn="0" w:firstRowLastColumn="0" w:lastRowFirstColumn="0" w:lastRowLastColumn="0"/>
            </w:pPr>
            <w:r w:rsidRPr="00613BC3">
              <w:t>Aucun coût spécifique</w:t>
            </w:r>
          </w:p>
        </w:tc>
      </w:tr>
      <w:tr w:rsidR="00367BBA" w:rsidRPr="009D4AE4" w14:paraId="417461B7" w14:textId="77777777" w:rsidTr="00BC012C">
        <w:trPr>
          <w:trHeight w:val="1573"/>
        </w:trPr>
        <w:tc>
          <w:tcPr>
            <w:cnfStyle w:val="001000000000" w:firstRow="0" w:lastRow="0" w:firstColumn="1" w:lastColumn="0" w:oddVBand="0" w:evenVBand="0" w:oddHBand="0" w:evenHBand="0" w:firstRowFirstColumn="0" w:firstRowLastColumn="0" w:lastRowFirstColumn="0" w:lastRowLastColumn="0"/>
            <w:tcW w:w="0" w:type="auto"/>
            <w:vMerge/>
          </w:tcPr>
          <w:p w14:paraId="60C75D6A" w14:textId="77777777" w:rsidR="00BC012C" w:rsidRPr="009D4AE4" w:rsidRDefault="00BC012C" w:rsidP="00A75AC1"/>
        </w:tc>
        <w:tc>
          <w:tcPr>
            <w:tcW w:w="0" w:type="auto"/>
            <w:vMerge/>
          </w:tcPr>
          <w:p w14:paraId="5B57A7E3" w14:textId="77777777" w:rsidR="00BC012C" w:rsidRPr="009D4AE4" w:rsidRDefault="00BC012C" w:rsidP="00A75AC1">
            <w:pPr>
              <w:cnfStyle w:val="000000000000" w:firstRow="0" w:lastRow="0" w:firstColumn="0" w:lastColumn="0" w:oddVBand="0" w:evenVBand="0" w:oddHBand="0" w:evenHBand="0" w:firstRowFirstColumn="0" w:firstRowLastColumn="0" w:lastRowFirstColumn="0" w:lastRowLastColumn="0"/>
              <w:rPr>
                <w:b/>
                <w:bCs/>
              </w:rPr>
            </w:pPr>
          </w:p>
        </w:tc>
        <w:tc>
          <w:tcPr>
            <w:tcW w:w="0" w:type="auto"/>
            <w:tcBorders>
              <w:top w:val="single" w:sz="4" w:space="0" w:color="B4C6E7" w:themeColor="accent1" w:themeTint="66"/>
            </w:tcBorders>
          </w:tcPr>
          <w:p w14:paraId="4CD09D62" w14:textId="77777777" w:rsidR="00BC012C" w:rsidRPr="009D4AE4" w:rsidRDefault="00BC012C" w:rsidP="00BC012C">
            <w:pPr>
              <w:cnfStyle w:val="000000000000" w:firstRow="0" w:lastRow="0" w:firstColumn="0" w:lastColumn="0" w:oddVBand="0" w:evenVBand="0" w:oddHBand="0" w:evenHBand="0" w:firstRowFirstColumn="0" w:firstRowLastColumn="0" w:lastRowFirstColumn="0" w:lastRowLastColumn="0"/>
            </w:pPr>
            <w:r w:rsidRPr="009D4AE4">
              <w:t>Vérifier régulièrement le bon fonctionnement des dispositifs lumineux et sonores pour éviter tout déclenchement intempestif</w:t>
            </w:r>
            <w:r>
              <w:t>.</w:t>
            </w:r>
          </w:p>
        </w:tc>
        <w:tc>
          <w:tcPr>
            <w:tcW w:w="0" w:type="auto"/>
            <w:vMerge/>
          </w:tcPr>
          <w:p w14:paraId="7A32A458" w14:textId="77777777" w:rsidR="00BC012C" w:rsidRPr="009D4AE4" w:rsidRDefault="00BC012C" w:rsidP="00A75AC1">
            <w:pPr>
              <w:cnfStyle w:val="000000000000" w:firstRow="0" w:lastRow="0" w:firstColumn="0" w:lastColumn="0" w:oddVBand="0" w:evenVBand="0" w:oddHBand="0" w:evenHBand="0" w:firstRowFirstColumn="0" w:firstRowLastColumn="0" w:lastRowFirstColumn="0" w:lastRowLastColumn="0"/>
            </w:pPr>
          </w:p>
        </w:tc>
        <w:tc>
          <w:tcPr>
            <w:tcW w:w="0" w:type="auto"/>
            <w:vMerge/>
          </w:tcPr>
          <w:p w14:paraId="03D7CBD1" w14:textId="77777777" w:rsidR="00BC012C" w:rsidRPr="009D4AE4" w:rsidRDefault="00BC012C" w:rsidP="00A75AC1">
            <w:pPr>
              <w:cnfStyle w:val="000000000000" w:firstRow="0" w:lastRow="0" w:firstColumn="0" w:lastColumn="0" w:oddVBand="0" w:evenVBand="0" w:oddHBand="0" w:evenHBand="0" w:firstRowFirstColumn="0" w:firstRowLastColumn="0" w:lastRowFirstColumn="0" w:lastRowLastColumn="0"/>
            </w:pPr>
          </w:p>
        </w:tc>
        <w:tc>
          <w:tcPr>
            <w:tcW w:w="0" w:type="auto"/>
            <w:vMerge/>
          </w:tcPr>
          <w:p w14:paraId="08B2D08B" w14:textId="77777777" w:rsidR="00BC012C" w:rsidRDefault="00BC012C" w:rsidP="00A75AC1">
            <w:pPr>
              <w:cnfStyle w:val="000000000000" w:firstRow="0" w:lastRow="0" w:firstColumn="0" w:lastColumn="0" w:oddVBand="0" w:evenVBand="0" w:oddHBand="0" w:evenHBand="0" w:firstRowFirstColumn="0" w:firstRowLastColumn="0" w:lastRowFirstColumn="0" w:lastRowLastColumn="0"/>
            </w:pPr>
          </w:p>
        </w:tc>
        <w:tc>
          <w:tcPr>
            <w:tcW w:w="0" w:type="auto"/>
            <w:vMerge/>
          </w:tcPr>
          <w:p w14:paraId="4EF72023" w14:textId="77777777" w:rsidR="00BC012C" w:rsidRPr="009D4AE4" w:rsidRDefault="00BC012C" w:rsidP="00A75AC1">
            <w:pPr>
              <w:cnfStyle w:val="000000000000" w:firstRow="0" w:lastRow="0" w:firstColumn="0" w:lastColumn="0" w:oddVBand="0" w:evenVBand="0" w:oddHBand="0" w:evenHBand="0" w:firstRowFirstColumn="0" w:firstRowLastColumn="0" w:lastRowFirstColumn="0" w:lastRowLastColumn="0"/>
            </w:pPr>
          </w:p>
        </w:tc>
        <w:tc>
          <w:tcPr>
            <w:tcW w:w="0" w:type="auto"/>
            <w:vMerge/>
            <w:tcBorders>
              <w:right w:val="single" w:sz="4" w:space="0" w:color="B4C6E7" w:themeColor="accent1" w:themeTint="66"/>
            </w:tcBorders>
          </w:tcPr>
          <w:p w14:paraId="7998CF07" w14:textId="77777777" w:rsidR="00BC012C" w:rsidRPr="009D4AE4" w:rsidRDefault="00BC012C" w:rsidP="00A75AC1">
            <w:pPr>
              <w:cnfStyle w:val="000000000000" w:firstRow="0" w:lastRow="0" w:firstColumn="0" w:lastColumn="0" w:oddVBand="0" w:evenVBand="0" w:oddHBand="0" w:evenHBand="0" w:firstRowFirstColumn="0" w:firstRowLastColumn="0" w:lastRowFirstColumn="0" w:lastRowLastColumn="0"/>
            </w:pPr>
          </w:p>
        </w:tc>
        <w:tc>
          <w:tcPr>
            <w:tcW w:w="0" w:type="auto"/>
            <w:tcBorders>
              <w:top w:val="single" w:sz="4" w:space="0" w:color="B4C6E7" w:themeColor="accent1" w:themeTint="66"/>
              <w:left w:val="single" w:sz="4" w:space="0" w:color="B4C6E7" w:themeColor="accent1" w:themeTint="66"/>
            </w:tcBorders>
          </w:tcPr>
          <w:p w14:paraId="764B4A75" w14:textId="14C5F031" w:rsidR="00BC012C" w:rsidRPr="009D4AE4" w:rsidRDefault="00613BC3" w:rsidP="00A75AC1">
            <w:pPr>
              <w:cnfStyle w:val="000000000000" w:firstRow="0" w:lastRow="0" w:firstColumn="0" w:lastColumn="0" w:oddVBand="0" w:evenVBand="0" w:oddHBand="0" w:evenHBand="0" w:firstRowFirstColumn="0" w:firstRowLastColumn="0" w:lastRowFirstColumn="0" w:lastRowLastColumn="0"/>
            </w:pPr>
            <w:r w:rsidRPr="00613BC3">
              <w:t>10 000 – 20 000 MAD / échantillon</w:t>
            </w:r>
          </w:p>
        </w:tc>
      </w:tr>
      <w:tr w:rsidR="00367BBA" w:rsidRPr="009D4AE4" w14:paraId="2C9346A1" w14:textId="77777777" w:rsidTr="005A7661">
        <w:trPr>
          <w:trHeight w:val="4390"/>
        </w:trPr>
        <w:tc>
          <w:tcPr>
            <w:cnfStyle w:val="001000000000" w:firstRow="0" w:lastRow="0" w:firstColumn="1" w:lastColumn="0" w:oddVBand="0" w:evenVBand="0" w:oddHBand="0" w:evenHBand="0" w:firstRowFirstColumn="0" w:firstRowLastColumn="0" w:lastRowFirstColumn="0" w:lastRowLastColumn="0"/>
            <w:tcW w:w="0" w:type="auto"/>
            <w:vMerge/>
            <w:hideMark/>
          </w:tcPr>
          <w:p w14:paraId="600DD934" w14:textId="77777777" w:rsidR="001179A1" w:rsidRPr="009D4AE4" w:rsidRDefault="001179A1" w:rsidP="00A75AC1"/>
        </w:tc>
        <w:tc>
          <w:tcPr>
            <w:tcW w:w="0" w:type="auto"/>
            <w:hideMark/>
          </w:tcPr>
          <w:p w14:paraId="0E529A8D" w14:textId="77777777" w:rsidR="001179A1" w:rsidRPr="009D4AE4" w:rsidRDefault="001179A1" w:rsidP="00A75AC1">
            <w:pPr>
              <w:cnfStyle w:val="000000000000" w:firstRow="0" w:lastRow="0" w:firstColumn="0" w:lastColumn="0" w:oddVBand="0" w:evenVBand="0" w:oddHBand="0" w:evenHBand="0" w:firstRowFirstColumn="0" w:firstRowLastColumn="0" w:lastRowFirstColumn="0" w:lastRowLastColumn="0"/>
              <w:rPr>
                <w:b/>
                <w:bCs/>
              </w:rPr>
            </w:pPr>
            <w:r w:rsidRPr="009D4AE4">
              <w:rPr>
                <w:b/>
                <w:bCs/>
              </w:rPr>
              <w:t>Réduire</w:t>
            </w:r>
          </w:p>
        </w:tc>
        <w:tc>
          <w:tcPr>
            <w:tcW w:w="0" w:type="auto"/>
            <w:hideMark/>
          </w:tcPr>
          <w:p w14:paraId="5FDC0D43" w14:textId="77777777" w:rsidR="001179A1" w:rsidRPr="009D4AE4" w:rsidRDefault="001179A1" w:rsidP="00A75AC1">
            <w:pPr>
              <w:cnfStyle w:val="000000000000" w:firstRow="0" w:lastRow="0" w:firstColumn="0" w:lastColumn="0" w:oddVBand="0" w:evenVBand="0" w:oddHBand="0" w:evenHBand="0" w:firstRowFirstColumn="0" w:firstRowLastColumn="0" w:lastRowFirstColumn="0" w:lastRowLastColumn="0"/>
            </w:pPr>
            <w:r w:rsidRPr="009D4AE4">
              <w:t xml:space="preserve">Améliorer la communication sonore et visuelle destinée aux voyageurs (annonces, affichages informatifs) ; </w:t>
            </w:r>
          </w:p>
          <w:p w14:paraId="17F5A01B" w14:textId="77777777" w:rsidR="001179A1" w:rsidRPr="009D4AE4" w:rsidRDefault="001179A1" w:rsidP="00BC012C">
            <w:pPr>
              <w:cnfStyle w:val="000000000000" w:firstRow="0" w:lastRow="0" w:firstColumn="0" w:lastColumn="0" w:oddVBand="0" w:evenVBand="0" w:oddHBand="0" w:evenHBand="0" w:firstRowFirstColumn="0" w:firstRowLastColumn="0" w:lastRowFirstColumn="0" w:lastRowLastColumn="0"/>
            </w:pPr>
            <w:r w:rsidRPr="009D4AE4">
              <w:t xml:space="preserve">Informer la population locale des exercices et tests de sécurité avant leur réalisation ; </w:t>
            </w:r>
          </w:p>
          <w:p w14:paraId="11FFD3F7" w14:textId="72C40DB9" w:rsidR="001179A1" w:rsidRPr="009D4AE4" w:rsidRDefault="001179A1" w:rsidP="00BC012C">
            <w:pPr>
              <w:cnfStyle w:val="000000000000" w:firstRow="0" w:lastRow="0" w:firstColumn="0" w:lastColumn="0" w:oddVBand="0" w:evenVBand="0" w:oddHBand="0" w:evenHBand="0" w:firstRowFirstColumn="0" w:firstRowLastColumn="0" w:lastRowFirstColumn="0" w:lastRowLastColumn="0"/>
            </w:pPr>
            <w:r w:rsidRPr="009D4AE4">
              <w:t>Mettre en place des messages rassurants diffusés pendant les alarmes de test.</w:t>
            </w:r>
          </w:p>
        </w:tc>
        <w:tc>
          <w:tcPr>
            <w:tcW w:w="0" w:type="auto"/>
            <w:hideMark/>
          </w:tcPr>
          <w:p w14:paraId="0D947A92" w14:textId="77777777" w:rsidR="001179A1" w:rsidRDefault="001179A1" w:rsidP="00A75AC1">
            <w:pPr>
              <w:cnfStyle w:val="000000000000" w:firstRow="0" w:lastRow="0" w:firstColumn="0" w:lastColumn="0" w:oddVBand="0" w:evenVBand="0" w:oddHBand="0" w:evenHBand="0" w:firstRowFirstColumn="0" w:firstRowLastColumn="0" w:lastRowFirstColumn="0" w:lastRowLastColumn="0"/>
            </w:pPr>
            <w:r w:rsidRPr="009D4AE4">
              <w:t>Nb de plaintes pour nuisances psychologiques ; -</w:t>
            </w:r>
          </w:p>
          <w:p w14:paraId="1E735BD0" w14:textId="7166BE03" w:rsidR="001179A1" w:rsidRPr="009D4AE4" w:rsidRDefault="001179A1" w:rsidP="00A75AC1">
            <w:pPr>
              <w:cnfStyle w:val="000000000000" w:firstRow="0" w:lastRow="0" w:firstColumn="0" w:lastColumn="0" w:oddVBand="0" w:evenVBand="0" w:oddHBand="0" w:evenHBand="0" w:firstRowFirstColumn="0" w:firstRowLastColumn="0" w:lastRowFirstColumn="0" w:lastRowLastColumn="0"/>
            </w:pPr>
            <w:r w:rsidRPr="009D4AE4">
              <w:t>Nb de communications préventives diffusées.</w:t>
            </w:r>
          </w:p>
        </w:tc>
        <w:tc>
          <w:tcPr>
            <w:tcW w:w="0" w:type="auto"/>
            <w:hideMark/>
          </w:tcPr>
          <w:p w14:paraId="4A95ED10" w14:textId="45C92029" w:rsidR="001179A1" w:rsidRPr="009D4AE4" w:rsidRDefault="001179A1" w:rsidP="00A75AC1">
            <w:pPr>
              <w:cnfStyle w:val="000000000000" w:firstRow="0" w:lastRow="0" w:firstColumn="0" w:lastColumn="0" w:oddVBand="0" w:evenVBand="0" w:oddHBand="0" w:evenHBand="0" w:firstRowFirstColumn="0" w:firstRowLastColumn="0" w:lastRowFirstColumn="0" w:lastRowLastColumn="0"/>
            </w:pPr>
            <w:r w:rsidRPr="009D4AE4">
              <w:t>ONDA / Exploitant</w:t>
            </w:r>
          </w:p>
        </w:tc>
        <w:tc>
          <w:tcPr>
            <w:tcW w:w="0" w:type="auto"/>
            <w:hideMark/>
          </w:tcPr>
          <w:p w14:paraId="74B468FC" w14:textId="68565A99" w:rsidR="001179A1" w:rsidRPr="009D4AE4" w:rsidRDefault="001179A1" w:rsidP="00A75AC1">
            <w:pPr>
              <w:cnfStyle w:val="000000000000" w:firstRow="0" w:lastRow="0" w:firstColumn="0" w:lastColumn="0" w:oddVBand="0" w:evenVBand="0" w:oddHBand="0" w:evenHBand="0" w:firstRowFirstColumn="0" w:firstRowLastColumn="0" w:lastRowFirstColumn="0" w:lastRowLastColumn="0"/>
            </w:pPr>
            <w:r>
              <w:t>ONDA</w:t>
            </w:r>
          </w:p>
        </w:tc>
        <w:tc>
          <w:tcPr>
            <w:tcW w:w="0" w:type="auto"/>
            <w:hideMark/>
          </w:tcPr>
          <w:p w14:paraId="482C7426" w14:textId="1D6B61CA" w:rsidR="001179A1" w:rsidRPr="009D4AE4" w:rsidRDefault="001179A1" w:rsidP="00A75AC1">
            <w:pPr>
              <w:cnfStyle w:val="000000000000" w:firstRow="0" w:lastRow="0" w:firstColumn="0" w:lastColumn="0" w:oddVBand="0" w:evenVBand="0" w:oddHBand="0" w:evenHBand="0" w:firstRowFirstColumn="0" w:firstRowLastColumn="0" w:lastRowFirstColumn="0" w:lastRowLastColumn="0"/>
            </w:pPr>
            <w:r w:rsidRPr="009D4AE4">
              <w:t xml:space="preserve">ONDA </w:t>
            </w:r>
          </w:p>
        </w:tc>
        <w:tc>
          <w:tcPr>
            <w:tcW w:w="0" w:type="auto"/>
            <w:hideMark/>
          </w:tcPr>
          <w:p w14:paraId="6C709F28" w14:textId="77777777" w:rsidR="001179A1" w:rsidRPr="009D4AE4" w:rsidRDefault="001179A1" w:rsidP="00A75AC1">
            <w:pPr>
              <w:cnfStyle w:val="000000000000" w:firstRow="0" w:lastRow="0" w:firstColumn="0" w:lastColumn="0" w:oddVBand="0" w:evenVBand="0" w:oddHBand="0" w:evenHBand="0" w:firstRowFirstColumn="0" w:firstRowLastColumn="0" w:lastRowFirstColumn="0" w:lastRowLastColumn="0"/>
            </w:pPr>
            <w:r w:rsidRPr="009D4AE4">
              <w:t>Trimestriel</w:t>
            </w:r>
          </w:p>
        </w:tc>
        <w:tc>
          <w:tcPr>
            <w:tcW w:w="0" w:type="auto"/>
            <w:hideMark/>
          </w:tcPr>
          <w:p w14:paraId="3796BB11" w14:textId="7703D039" w:rsidR="001179A1" w:rsidRPr="009D4AE4" w:rsidRDefault="001179A1" w:rsidP="00A75AC1">
            <w:pPr>
              <w:cnfStyle w:val="000000000000" w:firstRow="0" w:lastRow="0" w:firstColumn="0" w:lastColumn="0" w:oddVBand="0" w:evenVBand="0" w:oddHBand="0" w:evenHBand="0" w:firstRowFirstColumn="0" w:firstRowLastColumn="0" w:lastRowFirstColumn="0" w:lastRowLastColumn="0"/>
            </w:pPr>
            <w:r w:rsidRPr="001179A1">
              <w:t>(4 000 MAD / campagne</w:t>
            </w:r>
          </w:p>
        </w:tc>
      </w:tr>
      <w:tr w:rsidR="00367BBA" w:rsidRPr="009D4AE4" w14:paraId="6EA1344C" w14:textId="77777777" w:rsidTr="00BC012C">
        <w:trPr>
          <w:trHeight w:val="1293"/>
        </w:trPr>
        <w:tc>
          <w:tcPr>
            <w:cnfStyle w:val="001000000000" w:firstRow="0" w:lastRow="0" w:firstColumn="1" w:lastColumn="0" w:oddVBand="0" w:evenVBand="0" w:oddHBand="0" w:evenHBand="0" w:firstRowFirstColumn="0" w:firstRowLastColumn="0" w:lastRowFirstColumn="0" w:lastRowLastColumn="0"/>
            <w:tcW w:w="0" w:type="auto"/>
            <w:vMerge/>
            <w:hideMark/>
          </w:tcPr>
          <w:p w14:paraId="290964F5" w14:textId="77777777" w:rsidR="00BC012C" w:rsidRPr="009D4AE4" w:rsidRDefault="00BC012C" w:rsidP="00A75AC1"/>
        </w:tc>
        <w:tc>
          <w:tcPr>
            <w:tcW w:w="0" w:type="auto"/>
            <w:vMerge w:val="restart"/>
            <w:hideMark/>
          </w:tcPr>
          <w:p w14:paraId="6872D601" w14:textId="77777777" w:rsidR="00BC012C" w:rsidRPr="009D4AE4" w:rsidRDefault="00BC012C" w:rsidP="00A75AC1">
            <w:pPr>
              <w:cnfStyle w:val="000000000000" w:firstRow="0" w:lastRow="0" w:firstColumn="0" w:lastColumn="0" w:oddVBand="0" w:evenVBand="0" w:oddHBand="0" w:evenHBand="0" w:firstRowFirstColumn="0" w:firstRowLastColumn="0" w:lastRowFirstColumn="0" w:lastRowLastColumn="0"/>
              <w:rPr>
                <w:b/>
                <w:bCs/>
              </w:rPr>
            </w:pPr>
            <w:r w:rsidRPr="009D4AE4">
              <w:rPr>
                <w:b/>
                <w:bCs/>
              </w:rPr>
              <w:t>Atténuer</w:t>
            </w:r>
          </w:p>
        </w:tc>
        <w:tc>
          <w:tcPr>
            <w:tcW w:w="0" w:type="auto"/>
            <w:tcBorders>
              <w:bottom w:val="single" w:sz="4" w:space="0" w:color="B4C6E7" w:themeColor="accent1" w:themeTint="66"/>
            </w:tcBorders>
            <w:hideMark/>
          </w:tcPr>
          <w:p w14:paraId="1888DDC0" w14:textId="5E31933F" w:rsidR="00BC012C" w:rsidRPr="009D4AE4" w:rsidRDefault="00BC012C" w:rsidP="00A75AC1">
            <w:pPr>
              <w:cnfStyle w:val="000000000000" w:firstRow="0" w:lastRow="0" w:firstColumn="0" w:lastColumn="0" w:oddVBand="0" w:evenVBand="0" w:oddHBand="0" w:evenHBand="0" w:firstRowFirstColumn="0" w:firstRowLastColumn="0" w:lastRowFirstColumn="0" w:lastRowLastColumn="0"/>
            </w:pPr>
            <w:r w:rsidRPr="009D4AE4">
              <w:t xml:space="preserve">Assurer la formation continue du personnel d’accueil et d’information pour la gestion des situations anxiogènes ; </w:t>
            </w:r>
          </w:p>
        </w:tc>
        <w:tc>
          <w:tcPr>
            <w:tcW w:w="0" w:type="auto"/>
            <w:vMerge w:val="restart"/>
            <w:hideMark/>
          </w:tcPr>
          <w:p w14:paraId="44BED5F6" w14:textId="77777777" w:rsidR="00BC012C" w:rsidRDefault="00BC012C" w:rsidP="00A75AC1">
            <w:pPr>
              <w:cnfStyle w:val="000000000000" w:firstRow="0" w:lastRow="0" w:firstColumn="0" w:lastColumn="0" w:oddVBand="0" w:evenVBand="0" w:oddHBand="0" w:evenHBand="0" w:firstRowFirstColumn="0" w:firstRowLastColumn="0" w:lastRowFirstColumn="0" w:lastRowLastColumn="0"/>
            </w:pPr>
            <w:r w:rsidRPr="009D4AE4">
              <w:t xml:space="preserve">Nb de personnels formés ; </w:t>
            </w:r>
          </w:p>
          <w:p w14:paraId="55AFCC1E" w14:textId="5EFA55EA" w:rsidR="00BC012C" w:rsidRPr="009D4AE4" w:rsidRDefault="00BC012C" w:rsidP="00A75AC1">
            <w:pPr>
              <w:cnfStyle w:val="000000000000" w:firstRow="0" w:lastRow="0" w:firstColumn="0" w:lastColumn="0" w:oddVBand="0" w:evenVBand="0" w:oddHBand="0" w:evenHBand="0" w:firstRowFirstColumn="0" w:firstRowLastColumn="0" w:lastRowFirstColumn="0" w:lastRowLastColumn="0"/>
            </w:pPr>
            <w:r w:rsidRPr="009D4AE4">
              <w:t>Taux de satisfaction des usagers.</w:t>
            </w:r>
          </w:p>
        </w:tc>
        <w:tc>
          <w:tcPr>
            <w:tcW w:w="0" w:type="auto"/>
            <w:vMerge w:val="restart"/>
            <w:hideMark/>
          </w:tcPr>
          <w:p w14:paraId="54366BAC" w14:textId="009FC9E5" w:rsidR="00BC012C" w:rsidRPr="009D4AE4" w:rsidRDefault="00BC012C" w:rsidP="00A75AC1">
            <w:pPr>
              <w:cnfStyle w:val="000000000000" w:firstRow="0" w:lastRow="0" w:firstColumn="0" w:lastColumn="0" w:oddVBand="0" w:evenVBand="0" w:oddHBand="0" w:evenHBand="0" w:firstRowFirstColumn="0" w:firstRowLastColumn="0" w:lastRowFirstColumn="0" w:lastRowLastColumn="0"/>
            </w:pPr>
            <w:r w:rsidRPr="009D4AE4">
              <w:t>ONDA / Exploitant</w:t>
            </w:r>
          </w:p>
        </w:tc>
        <w:tc>
          <w:tcPr>
            <w:tcW w:w="0" w:type="auto"/>
            <w:vMerge w:val="restart"/>
            <w:hideMark/>
          </w:tcPr>
          <w:p w14:paraId="46CD77FB" w14:textId="6344E46E" w:rsidR="00BC012C" w:rsidRPr="009D4AE4" w:rsidRDefault="00BC012C" w:rsidP="00A75AC1">
            <w:pPr>
              <w:cnfStyle w:val="000000000000" w:firstRow="0" w:lastRow="0" w:firstColumn="0" w:lastColumn="0" w:oddVBand="0" w:evenVBand="0" w:oddHBand="0" w:evenHBand="0" w:firstRowFirstColumn="0" w:firstRowLastColumn="0" w:lastRowFirstColumn="0" w:lastRowLastColumn="0"/>
            </w:pPr>
            <w:r>
              <w:t>ONDA</w:t>
            </w:r>
          </w:p>
        </w:tc>
        <w:tc>
          <w:tcPr>
            <w:tcW w:w="0" w:type="auto"/>
            <w:vMerge w:val="restart"/>
            <w:hideMark/>
          </w:tcPr>
          <w:p w14:paraId="5380B17F" w14:textId="390EBCEB" w:rsidR="00BC012C" w:rsidRPr="009D4AE4" w:rsidRDefault="00BC012C" w:rsidP="00A75AC1">
            <w:pPr>
              <w:cnfStyle w:val="000000000000" w:firstRow="0" w:lastRow="0" w:firstColumn="0" w:lastColumn="0" w:oddVBand="0" w:evenVBand="0" w:oddHBand="0" w:evenHBand="0" w:firstRowFirstColumn="0" w:firstRowLastColumn="0" w:lastRowFirstColumn="0" w:lastRowLastColumn="0"/>
            </w:pPr>
            <w:r w:rsidRPr="009D4AE4">
              <w:t xml:space="preserve">ONDA </w:t>
            </w:r>
          </w:p>
        </w:tc>
        <w:tc>
          <w:tcPr>
            <w:tcW w:w="0" w:type="auto"/>
            <w:vMerge w:val="restart"/>
            <w:hideMark/>
          </w:tcPr>
          <w:p w14:paraId="0B2642C3" w14:textId="77777777" w:rsidR="00BC012C" w:rsidRPr="009D4AE4" w:rsidRDefault="00BC012C" w:rsidP="00A75AC1">
            <w:pPr>
              <w:cnfStyle w:val="000000000000" w:firstRow="0" w:lastRow="0" w:firstColumn="0" w:lastColumn="0" w:oddVBand="0" w:evenVBand="0" w:oddHBand="0" w:evenHBand="0" w:firstRowFirstColumn="0" w:firstRowLastColumn="0" w:lastRowFirstColumn="0" w:lastRowLastColumn="0"/>
            </w:pPr>
            <w:r w:rsidRPr="009D4AE4">
              <w:t>Continu</w:t>
            </w:r>
          </w:p>
        </w:tc>
        <w:tc>
          <w:tcPr>
            <w:tcW w:w="0" w:type="auto"/>
            <w:tcBorders>
              <w:bottom w:val="single" w:sz="4" w:space="0" w:color="B4C6E7" w:themeColor="accent1" w:themeTint="66"/>
            </w:tcBorders>
            <w:hideMark/>
          </w:tcPr>
          <w:p w14:paraId="55DBDC59" w14:textId="17A2A7AB" w:rsidR="00BC012C" w:rsidRPr="009D4AE4" w:rsidRDefault="001179A1" w:rsidP="00A75AC1">
            <w:pPr>
              <w:cnfStyle w:val="000000000000" w:firstRow="0" w:lastRow="0" w:firstColumn="0" w:lastColumn="0" w:oddVBand="0" w:evenVBand="0" w:oddHBand="0" w:evenHBand="0" w:firstRowFirstColumn="0" w:firstRowLastColumn="0" w:lastRowFirstColumn="0" w:lastRowLastColumn="0"/>
            </w:pPr>
            <w:r w:rsidRPr="001179A1">
              <w:t>6 000 MAD / session (30 pers.)</w:t>
            </w:r>
          </w:p>
        </w:tc>
      </w:tr>
      <w:tr w:rsidR="00367BBA" w:rsidRPr="009D4AE4" w14:paraId="798D4DEA" w14:textId="77777777" w:rsidTr="00BC012C">
        <w:trPr>
          <w:trHeight w:val="1587"/>
        </w:trPr>
        <w:tc>
          <w:tcPr>
            <w:cnfStyle w:val="001000000000" w:firstRow="0" w:lastRow="0" w:firstColumn="1" w:lastColumn="0" w:oddVBand="0" w:evenVBand="0" w:oddHBand="0" w:evenHBand="0" w:firstRowFirstColumn="0" w:firstRowLastColumn="0" w:lastRowFirstColumn="0" w:lastRowLastColumn="0"/>
            <w:tcW w:w="0" w:type="auto"/>
            <w:vMerge/>
          </w:tcPr>
          <w:p w14:paraId="6DDA0F93" w14:textId="77777777" w:rsidR="00BC012C" w:rsidRPr="009D4AE4" w:rsidRDefault="00BC012C" w:rsidP="00A75AC1"/>
        </w:tc>
        <w:tc>
          <w:tcPr>
            <w:tcW w:w="0" w:type="auto"/>
            <w:vMerge/>
          </w:tcPr>
          <w:p w14:paraId="61946DF1" w14:textId="77777777" w:rsidR="00BC012C" w:rsidRPr="009D4AE4" w:rsidRDefault="00BC012C" w:rsidP="00A75AC1">
            <w:pPr>
              <w:cnfStyle w:val="000000000000" w:firstRow="0" w:lastRow="0" w:firstColumn="0" w:lastColumn="0" w:oddVBand="0" w:evenVBand="0" w:oddHBand="0" w:evenHBand="0" w:firstRowFirstColumn="0" w:firstRowLastColumn="0" w:lastRowFirstColumn="0" w:lastRowLastColumn="0"/>
              <w:rPr>
                <w:b/>
                <w:bCs/>
              </w:rPr>
            </w:pPr>
          </w:p>
        </w:tc>
        <w:tc>
          <w:tcPr>
            <w:tcW w:w="0" w:type="auto"/>
            <w:tcBorders>
              <w:top w:val="single" w:sz="4" w:space="0" w:color="B4C6E7" w:themeColor="accent1" w:themeTint="66"/>
            </w:tcBorders>
          </w:tcPr>
          <w:p w14:paraId="164A93FD" w14:textId="77777777" w:rsidR="00BC012C" w:rsidRPr="009D4AE4" w:rsidRDefault="00BC012C" w:rsidP="00BC012C">
            <w:pPr>
              <w:cnfStyle w:val="000000000000" w:firstRow="0" w:lastRow="0" w:firstColumn="0" w:lastColumn="0" w:oddVBand="0" w:evenVBand="0" w:oddHBand="0" w:evenHBand="0" w:firstRowFirstColumn="0" w:firstRowLastColumn="0" w:lastRowFirstColumn="0" w:lastRowLastColumn="0"/>
            </w:pPr>
            <w:r w:rsidRPr="009D4AE4">
              <w:t>Mettre à disposition des voyageurs un service d’assistance ou d’écoute psychologique en cas d’incident prolongé.</w:t>
            </w:r>
          </w:p>
        </w:tc>
        <w:tc>
          <w:tcPr>
            <w:tcW w:w="0" w:type="auto"/>
            <w:vMerge/>
          </w:tcPr>
          <w:p w14:paraId="461C17CB" w14:textId="77777777" w:rsidR="00BC012C" w:rsidRPr="009D4AE4" w:rsidRDefault="00BC012C" w:rsidP="00A75AC1">
            <w:pPr>
              <w:cnfStyle w:val="000000000000" w:firstRow="0" w:lastRow="0" w:firstColumn="0" w:lastColumn="0" w:oddVBand="0" w:evenVBand="0" w:oddHBand="0" w:evenHBand="0" w:firstRowFirstColumn="0" w:firstRowLastColumn="0" w:lastRowFirstColumn="0" w:lastRowLastColumn="0"/>
            </w:pPr>
          </w:p>
        </w:tc>
        <w:tc>
          <w:tcPr>
            <w:tcW w:w="0" w:type="auto"/>
            <w:vMerge/>
          </w:tcPr>
          <w:p w14:paraId="3EC99A24" w14:textId="77777777" w:rsidR="00BC012C" w:rsidRPr="009D4AE4" w:rsidRDefault="00BC012C" w:rsidP="00A75AC1">
            <w:pPr>
              <w:cnfStyle w:val="000000000000" w:firstRow="0" w:lastRow="0" w:firstColumn="0" w:lastColumn="0" w:oddVBand="0" w:evenVBand="0" w:oddHBand="0" w:evenHBand="0" w:firstRowFirstColumn="0" w:firstRowLastColumn="0" w:lastRowFirstColumn="0" w:lastRowLastColumn="0"/>
            </w:pPr>
          </w:p>
        </w:tc>
        <w:tc>
          <w:tcPr>
            <w:tcW w:w="0" w:type="auto"/>
            <w:vMerge/>
          </w:tcPr>
          <w:p w14:paraId="572B3749" w14:textId="77777777" w:rsidR="00BC012C" w:rsidRDefault="00BC012C" w:rsidP="00A75AC1">
            <w:pPr>
              <w:cnfStyle w:val="000000000000" w:firstRow="0" w:lastRow="0" w:firstColumn="0" w:lastColumn="0" w:oddVBand="0" w:evenVBand="0" w:oddHBand="0" w:evenHBand="0" w:firstRowFirstColumn="0" w:firstRowLastColumn="0" w:lastRowFirstColumn="0" w:lastRowLastColumn="0"/>
            </w:pPr>
          </w:p>
        </w:tc>
        <w:tc>
          <w:tcPr>
            <w:tcW w:w="0" w:type="auto"/>
            <w:vMerge/>
          </w:tcPr>
          <w:p w14:paraId="2FF4CE0D" w14:textId="77777777" w:rsidR="00BC012C" w:rsidRPr="009D4AE4" w:rsidRDefault="00BC012C" w:rsidP="00A75AC1">
            <w:pPr>
              <w:cnfStyle w:val="000000000000" w:firstRow="0" w:lastRow="0" w:firstColumn="0" w:lastColumn="0" w:oddVBand="0" w:evenVBand="0" w:oddHBand="0" w:evenHBand="0" w:firstRowFirstColumn="0" w:firstRowLastColumn="0" w:lastRowFirstColumn="0" w:lastRowLastColumn="0"/>
            </w:pPr>
          </w:p>
        </w:tc>
        <w:tc>
          <w:tcPr>
            <w:tcW w:w="0" w:type="auto"/>
            <w:vMerge/>
          </w:tcPr>
          <w:p w14:paraId="5D919D17" w14:textId="77777777" w:rsidR="00BC012C" w:rsidRPr="009D4AE4" w:rsidRDefault="00BC012C" w:rsidP="00A75AC1">
            <w:pPr>
              <w:cnfStyle w:val="000000000000" w:firstRow="0" w:lastRow="0" w:firstColumn="0" w:lastColumn="0" w:oddVBand="0" w:evenVBand="0" w:oddHBand="0" w:evenHBand="0" w:firstRowFirstColumn="0" w:firstRowLastColumn="0" w:lastRowFirstColumn="0" w:lastRowLastColumn="0"/>
            </w:pPr>
          </w:p>
        </w:tc>
        <w:tc>
          <w:tcPr>
            <w:tcW w:w="0" w:type="auto"/>
            <w:tcBorders>
              <w:top w:val="single" w:sz="4" w:space="0" w:color="B4C6E7" w:themeColor="accent1" w:themeTint="66"/>
            </w:tcBorders>
          </w:tcPr>
          <w:p w14:paraId="3644696D" w14:textId="55D6FFAF" w:rsidR="00BC012C" w:rsidRPr="009D4AE4" w:rsidRDefault="001179A1" w:rsidP="00A75AC1">
            <w:pPr>
              <w:cnfStyle w:val="000000000000" w:firstRow="0" w:lastRow="0" w:firstColumn="0" w:lastColumn="0" w:oddVBand="0" w:evenVBand="0" w:oddHBand="0" w:evenHBand="0" w:firstRowFirstColumn="0" w:firstRowLastColumn="0" w:lastRowFirstColumn="0" w:lastRowLastColumn="0"/>
            </w:pPr>
            <w:r w:rsidRPr="001179A1">
              <w:t>5 000 MAD / an (contrat prestataire externe)</w:t>
            </w:r>
          </w:p>
        </w:tc>
      </w:tr>
      <w:tr w:rsidR="00367BBA" w:rsidRPr="009D4AE4" w14:paraId="2A77E111" w14:textId="77777777" w:rsidTr="005A7661">
        <w:trPr>
          <w:trHeight w:val="3017"/>
        </w:trPr>
        <w:tc>
          <w:tcPr>
            <w:cnfStyle w:val="001000000000" w:firstRow="0" w:lastRow="0" w:firstColumn="1" w:lastColumn="0" w:oddVBand="0" w:evenVBand="0" w:oddHBand="0" w:evenHBand="0" w:firstRowFirstColumn="0" w:firstRowLastColumn="0" w:lastRowFirstColumn="0" w:lastRowLastColumn="0"/>
            <w:tcW w:w="0" w:type="auto"/>
            <w:vMerge/>
            <w:hideMark/>
          </w:tcPr>
          <w:p w14:paraId="39602C04" w14:textId="77777777" w:rsidR="00E3591F" w:rsidRPr="009D4AE4" w:rsidRDefault="00E3591F" w:rsidP="00A75AC1"/>
        </w:tc>
        <w:tc>
          <w:tcPr>
            <w:tcW w:w="0" w:type="auto"/>
            <w:hideMark/>
          </w:tcPr>
          <w:p w14:paraId="39855837" w14:textId="77777777" w:rsidR="00E3591F" w:rsidRPr="009D4AE4" w:rsidRDefault="00E3591F" w:rsidP="00A75AC1">
            <w:pPr>
              <w:cnfStyle w:val="000000000000" w:firstRow="0" w:lastRow="0" w:firstColumn="0" w:lastColumn="0" w:oddVBand="0" w:evenVBand="0" w:oddHBand="0" w:evenHBand="0" w:firstRowFirstColumn="0" w:firstRowLastColumn="0" w:lastRowFirstColumn="0" w:lastRowLastColumn="0"/>
              <w:rPr>
                <w:b/>
                <w:bCs/>
              </w:rPr>
            </w:pPr>
            <w:r w:rsidRPr="009D4AE4">
              <w:rPr>
                <w:b/>
                <w:bCs/>
              </w:rPr>
              <w:t>Compenser</w:t>
            </w:r>
          </w:p>
        </w:tc>
        <w:tc>
          <w:tcPr>
            <w:tcW w:w="0" w:type="auto"/>
            <w:hideMark/>
          </w:tcPr>
          <w:p w14:paraId="1F991779" w14:textId="77777777" w:rsidR="00E3591F" w:rsidRPr="009D4AE4" w:rsidRDefault="00E3591F" w:rsidP="00A75AC1">
            <w:pPr>
              <w:cnfStyle w:val="000000000000" w:firstRow="0" w:lastRow="0" w:firstColumn="0" w:lastColumn="0" w:oddVBand="0" w:evenVBand="0" w:oddHBand="0" w:evenHBand="0" w:firstRowFirstColumn="0" w:firstRowLastColumn="0" w:lastRowFirstColumn="0" w:lastRowLastColumn="0"/>
            </w:pPr>
            <w:r w:rsidRPr="009D4AE4">
              <w:t>Organiser des campagnes de sensibilisation au fonctionnement aéroportuaire et à la sécurité du trafic aérien ;</w:t>
            </w:r>
          </w:p>
          <w:p w14:paraId="4B9609C0" w14:textId="48AE1550" w:rsidR="00E3591F" w:rsidRPr="009D4AE4" w:rsidRDefault="00E3591F" w:rsidP="00E3591F">
            <w:pPr>
              <w:cnfStyle w:val="000000000000" w:firstRow="0" w:lastRow="0" w:firstColumn="0" w:lastColumn="0" w:oddVBand="0" w:evenVBand="0" w:oddHBand="0" w:evenHBand="0" w:firstRowFirstColumn="0" w:firstRowLastColumn="0" w:lastRowFirstColumn="0" w:lastRowLastColumn="0"/>
            </w:pPr>
            <w:r w:rsidRPr="009D4AE4">
              <w:t xml:space="preserve"> Diffuser du contenu éducatif sur les protocoles de sûreté (affiches, spots audiovisuels).</w:t>
            </w:r>
          </w:p>
        </w:tc>
        <w:tc>
          <w:tcPr>
            <w:tcW w:w="0" w:type="auto"/>
            <w:hideMark/>
          </w:tcPr>
          <w:p w14:paraId="68971793" w14:textId="77777777" w:rsidR="00E3591F" w:rsidRDefault="00E3591F" w:rsidP="00A75AC1">
            <w:pPr>
              <w:cnfStyle w:val="000000000000" w:firstRow="0" w:lastRow="0" w:firstColumn="0" w:lastColumn="0" w:oddVBand="0" w:evenVBand="0" w:oddHBand="0" w:evenHBand="0" w:firstRowFirstColumn="0" w:firstRowLastColumn="0" w:lastRowFirstColumn="0" w:lastRowLastColumn="0"/>
            </w:pPr>
            <w:r w:rsidRPr="009D4AE4">
              <w:t xml:space="preserve">Nb de campagnes de sensibilisation réalisées ; </w:t>
            </w:r>
          </w:p>
          <w:p w14:paraId="5600E76F" w14:textId="4670987F" w:rsidR="00E3591F" w:rsidRPr="009D4AE4" w:rsidRDefault="00E3591F" w:rsidP="00A75AC1">
            <w:pPr>
              <w:cnfStyle w:val="000000000000" w:firstRow="0" w:lastRow="0" w:firstColumn="0" w:lastColumn="0" w:oddVBand="0" w:evenVBand="0" w:oddHBand="0" w:evenHBand="0" w:firstRowFirstColumn="0" w:firstRowLastColumn="0" w:lastRowFirstColumn="0" w:lastRowLastColumn="0"/>
            </w:pPr>
            <w:r w:rsidRPr="009D4AE4">
              <w:t>Nb de supports diffusés.</w:t>
            </w:r>
          </w:p>
        </w:tc>
        <w:tc>
          <w:tcPr>
            <w:tcW w:w="0" w:type="auto"/>
            <w:hideMark/>
          </w:tcPr>
          <w:p w14:paraId="7BBB819C" w14:textId="592CA62D" w:rsidR="00E3591F" w:rsidRPr="009D4AE4" w:rsidRDefault="00E3591F" w:rsidP="00A75AC1">
            <w:pPr>
              <w:cnfStyle w:val="000000000000" w:firstRow="0" w:lastRow="0" w:firstColumn="0" w:lastColumn="0" w:oddVBand="0" w:evenVBand="0" w:oddHBand="0" w:evenHBand="0" w:firstRowFirstColumn="0" w:firstRowLastColumn="0" w:lastRowFirstColumn="0" w:lastRowLastColumn="0"/>
            </w:pPr>
            <w:r w:rsidRPr="009D4AE4">
              <w:t>ONDA / Exploitant</w:t>
            </w:r>
          </w:p>
        </w:tc>
        <w:tc>
          <w:tcPr>
            <w:tcW w:w="0" w:type="auto"/>
            <w:hideMark/>
          </w:tcPr>
          <w:p w14:paraId="63683A47" w14:textId="2DAC5921" w:rsidR="00E3591F" w:rsidRPr="009D4AE4" w:rsidRDefault="00E3591F" w:rsidP="00A75AC1">
            <w:pPr>
              <w:cnfStyle w:val="000000000000" w:firstRow="0" w:lastRow="0" w:firstColumn="0" w:lastColumn="0" w:oddVBand="0" w:evenVBand="0" w:oddHBand="0" w:evenHBand="0" w:firstRowFirstColumn="0" w:firstRowLastColumn="0" w:lastRowFirstColumn="0" w:lastRowLastColumn="0"/>
            </w:pPr>
            <w:r>
              <w:t>ONDA</w:t>
            </w:r>
          </w:p>
        </w:tc>
        <w:tc>
          <w:tcPr>
            <w:tcW w:w="0" w:type="auto"/>
            <w:hideMark/>
          </w:tcPr>
          <w:p w14:paraId="30909255" w14:textId="13C6CDF8" w:rsidR="00E3591F" w:rsidRPr="009D4AE4" w:rsidRDefault="00E3591F" w:rsidP="00A75AC1">
            <w:pPr>
              <w:cnfStyle w:val="000000000000" w:firstRow="0" w:lastRow="0" w:firstColumn="0" w:lastColumn="0" w:oddVBand="0" w:evenVBand="0" w:oddHBand="0" w:evenHBand="0" w:firstRowFirstColumn="0" w:firstRowLastColumn="0" w:lastRowFirstColumn="0" w:lastRowLastColumn="0"/>
            </w:pPr>
            <w:r w:rsidRPr="009D4AE4">
              <w:t xml:space="preserve">ONDA </w:t>
            </w:r>
          </w:p>
        </w:tc>
        <w:tc>
          <w:tcPr>
            <w:tcW w:w="0" w:type="auto"/>
            <w:hideMark/>
          </w:tcPr>
          <w:p w14:paraId="354A86DE" w14:textId="77777777" w:rsidR="00E3591F" w:rsidRPr="009D4AE4" w:rsidRDefault="00E3591F" w:rsidP="00A75AC1">
            <w:pPr>
              <w:cnfStyle w:val="000000000000" w:firstRow="0" w:lastRow="0" w:firstColumn="0" w:lastColumn="0" w:oddVBand="0" w:evenVBand="0" w:oddHBand="0" w:evenHBand="0" w:firstRowFirstColumn="0" w:firstRowLastColumn="0" w:lastRowFirstColumn="0" w:lastRowLastColumn="0"/>
            </w:pPr>
            <w:r w:rsidRPr="009D4AE4">
              <w:t>Semestriel</w:t>
            </w:r>
          </w:p>
        </w:tc>
        <w:tc>
          <w:tcPr>
            <w:tcW w:w="0" w:type="auto"/>
            <w:hideMark/>
          </w:tcPr>
          <w:p w14:paraId="0724D123" w14:textId="61F543F0" w:rsidR="00E3591F" w:rsidRPr="009D4AE4" w:rsidRDefault="00E3591F" w:rsidP="00A75AC1">
            <w:pPr>
              <w:cnfStyle w:val="000000000000" w:firstRow="0" w:lastRow="0" w:firstColumn="0" w:lastColumn="0" w:oddVBand="0" w:evenVBand="0" w:oddHBand="0" w:evenHBand="0" w:firstRowFirstColumn="0" w:firstRowLastColumn="0" w:lastRowFirstColumn="0" w:lastRowLastColumn="0"/>
            </w:pPr>
            <w:r w:rsidRPr="001179A1">
              <w:t>5 000 MAD / campagne</w:t>
            </w:r>
          </w:p>
        </w:tc>
      </w:tr>
      <w:tr w:rsidR="00367BBA" w:rsidRPr="009D4AE4" w14:paraId="0ED01B5A" w14:textId="77777777" w:rsidTr="00BC012C">
        <w:trPr>
          <w:trHeight w:val="1320"/>
        </w:trPr>
        <w:tc>
          <w:tcPr>
            <w:cnfStyle w:val="001000000000" w:firstRow="0" w:lastRow="0" w:firstColumn="1" w:lastColumn="0" w:oddVBand="0" w:evenVBand="0" w:oddHBand="0" w:evenHBand="0" w:firstRowFirstColumn="0" w:firstRowLastColumn="0" w:lastRowFirstColumn="0" w:lastRowLastColumn="0"/>
            <w:tcW w:w="0" w:type="auto"/>
            <w:vMerge w:val="restart"/>
            <w:hideMark/>
          </w:tcPr>
          <w:p w14:paraId="0290212B" w14:textId="77777777" w:rsidR="00BC012C" w:rsidRPr="009D4AE4" w:rsidRDefault="00BC012C" w:rsidP="00A75AC1">
            <w:r w:rsidRPr="009D4AE4">
              <w:rPr>
                <w:b w:val="0"/>
                <w:bCs w:val="0"/>
              </w:rPr>
              <w:lastRenderedPageBreak/>
              <w:t>Risque d’interaction entre la communauté et les flux de circulation interne (taxis, bus, parkings voyageurs)</w:t>
            </w:r>
          </w:p>
        </w:tc>
        <w:tc>
          <w:tcPr>
            <w:tcW w:w="0" w:type="auto"/>
            <w:vMerge w:val="restart"/>
            <w:hideMark/>
          </w:tcPr>
          <w:p w14:paraId="6E552CA9" w14:textId="77777777" w:rsidR="00BC012C" w:rsidRPr="009D4AE4" w:rsidRDefault="00BC012C" w:rsidP="00A75AC1">
            <w:pPr>
              <w:cnfStyle w:val="000000000000" w:firstRow="0" w:lastRow="0" w:firstColumn="0" w:lastColumn="0" w:oddVBand="0" w:evenVBand="0" w:oddHBand="0" w:evenHBand="0" w:firstRowFirstColumn="0" w:firstRowLastColumn="0" w:lastRowFirstColumn="0" w:lastRowLastColumn="0"/>
              <w:rPr>
                <w:b/>
                <w:bCs/>
              </w:rPr>
            </w:pPr>
            <w:r w:rsidRPr="009D4AE4">
              <w:rPr>
                <w:b/>
                <w:bCs/>
              </w:rPr>
              <w:t>Éviter</w:t>
            </w:r>
          </w:p>
        </w:tc>
        <w:tc>
          <w:tcPr>
            <w:tcW w:w="0" w:type="auto"/>
            <w:tcBorders>
              <w:bottom w:val="single" w:sz="4" w:space="0" w:color="B4C6E7" w:themeColor="accent1" w:themeTint="66"/>
            </w:tcBorders>
            <w:hideMark/>
          </w:tcPr>
          <w:p w14:paraId="549F3885" w14:textId="7E1A9CAD" w:rsidR="00BC012C" w:rsidRPr="009D4AE4" w:rsidRDefault="00BC012C" w:rsidP="00A75AC1">
            <w:pPr>
              <w:cnfStyle w:val="000000000000" w:firstRow="0" w:lastRow="0" w:firstColumn="0" w:lastColumn="0" w:oddVBand="0" w:evenVBand="0" w:oddHBand="0" w:evenHBand="0" w:firstRowFirstColumn="0" w:firstRowLastColumn="0" w:lastRowFirstColumn="0" w:lastRowLastColumn="0"/>
            </w:pPr>
            <w:r w:rsidRPr="009D4AE4">
              <w:t xml:space="preserve">Mettre en œuvre un plan de circulation interne séparant clairement les flux (personnel / voyageurs / services) ; </w:t>
            </w:r>
          </w:p>
        </w:tc>
        <w:tc>
          <w:tcPr>
            <w:tcW w:w="0" w:type="auto"/>
            <w:vMerge w:val="restart"/>
            <w:hideMark/>
          </w:tcPr>
          <w:p w14:paraId="01F19BB2" w14:textId="77777777" w:rsidR="00BC012C" w:rsidRDefault="00BC012C" w:rsidP="00A75AC1">
            <w:pPr>
              <w:cnfStyle w:val="000000000000" w:firstRow="0" w:lastRow="0" w:firstColumn="0" w:lastColumn="0" w:oddVBand="0" w:evenVBand="0" w:oddHBand="0" w:evenHBand="0" w:firstRowFirstColumn="0" w:firstRowLastColumn="0" w:lastRowFirstColumn="0" w:lastRowLastColumn="0"/>
            </w:pPr>
            <w:r w:rsidRPr="009D4AE4">
              <w:t xml:space="preserve">Plan de circulation approuvé et affiché ;  </w:t>
            </w:r>
          </w:p>
          <w:p w14:paraId="7B483116" w14:textId="3DE7D560" w:rsidR="00BC012C" w:rsidRPr="009D4AE4" w:rsidRDefault="00BC012C" w:rsidP="00A75AC1">
            <w:pPr>
              <w:cnfStyle w:val="000000000000" w:firstRow="0" w:lastRow="0" w:firstColumn="0" w:lastColumn="0" w:oddVBand="0" w:evenVBand="0" w:oddHBand="0" w:evenHBand="0" w:firstRowFirstColumn="0" w:firstRowLastColumn="0" w:lastRowFirstColumn="0" w:lastRowLastColumn="0"/>
            </w:pPr>
            <w:r w:rsidRPr="009D4AE4">
              <w:t>Nb de déviations de flux observées.</w:t>
            </w:r>
          </w:p>
        </w:tc>
        <w:tc>
          <w:tcPr>
            <w:tcW w:w="0" w:type="auto"/>
            <w:vMerge w:val="restart"/>
            <w:hideMark/>
          </w:tcPr>
          <w:p w14:paraId="1B9012FA" w14:textId="73344267" w:rsidR="00BC012C" w:rsidRPr="009D4AE4" w:rsidRDefault="00BC012C" w:rsidP="00A75AC1">
            <w:pPr>
              <w:cnfStyle w:val="000000000000" w:firstRow="0" w:lastRow="0" w:firstColumn="0" w:lastColumn="0" w:oddVBand="0" w:evenVBand="0" w:oddHBand="0" w:evenHBand="0" w:firstRowFirstColumn="0" w:firstRowLastColumn="0" w:lastRowFirstColumn="0" w:lastRowLastColumn="0"/>
            </w:pPr>
            <w:r w:rsidRPr="009D4AE4">
              <w:t>ONDA / Exploitant</w:t>
            </w:r>
          </w:p>
        </w:tc>
        <w:tc>
          <w:tcPr>
            <w:tcW w:w="0" w:type="auto"/>
            <w:vMerge w:val="restart"/>
            <w:hideMark/>
          </w:tcPr>
          <w:p w14:paraId="0134CF93" w14:textId="70F76A10" w:rsidR="00BC012C" w:rsidRPr="009D4AE4" w:rsidRDefault="00BC012C" w:rsidP="00A75AC1">
            <w:pPr>
              <w:cnfStyle w:val="000000000000" w:firstRow="0" w:lastRow="0" w:firstColumn="0" w:lastColumn="0" w:oddVBand="0" w:evenVBand="0" w:oddHBand="0" w:evenHBand="0" w:firstRowFirstColumn="0" w:firstRowLastColumn="0" w:lastRowFirstColumn="0" w:lastRowLastColumn="0"/>
            </w:pPr>
            <w:r>
              <w:t>ONDA</w:t>
            </w:r>
          </w:p>
        </w:tc>
        <w:tc>
          <w:tcPr>
            <w:tcW w:w="0" w:type="auto"/>
            <w:vMerge w:val="restart"/>
            <w:hideMark/>
          </w:tcPr>
          <w:p w14:paraId="620BEA34" w14:textId="26BE7C46" w:rsidR="00BC012C" w:rsidRPr="009D4AE4" w:rsidRDefault="00BC012C" w:rsidP="00A75AC1">
            <w:pPr>
              <w:cnfStyle w:val="000000000000" w:firstRow="0" w:lastRow="0" w:firstColumn="0" w:lastColumn="0" w:oddVBand="0" w:evenVBand="0" w:oddHBand="0" w:evenHBand="0" w:firstRowFirstColumn="0" w:firstRowLastColumn="0" w:lastRowFirstColumn="0" w:lastRowLastColumn="0"/>
            </w:pPr>
            <w:r w:rsidRPr="009D4AE4">
              <w:t xml:space="preserve">ONDA </w:t>
            </w:r>
          </w:p>
        </w:tc>
        <w:tc>
          <w:tcPr>
            <w:tcW w:w="0" w:type="auto"/>
            <w:vMerge w:val="restart"/>
            <w:hideMark/>
          </w:tcPr>
          <w:p w14:paraId="7E24C8BF" w14:textId="77777777" w:rsidR="00BC012C" w:rsidRPr="009D4AE4" w:rsidRDefault="00BC012C" w:rsidP="00A75AC1">
            <w:pPr>
              <w:cnfStyle w:val="000000000000" w:firstRow="0" w:lastRow="0" w:firstColumn="0" w:lastColumn="0" w:oddVBand="0" w:evenVBand="0" w:oddHBand="0" w:evenHBand="0" w:firstRowFirstColumn="0" w:firstRowLastColumn="0" w:lastRowFirstColumn="0" w:lastRowLastColumn="0"/>
            </w:pPr>
            <w:r w:rsidRPr="009D4AE4">
              <w:t>Avant la mise en service</w:t>
            </w:r>
          </w:p>
        </w:tc>
        <w:tc>
          <w:tcPr>
            <w:tcW w:w="0" w:type="auto"/>
            <w:tcBorders>
              <w:bottom w:val="single" w:sz="4" w:space="0" w:color="B4C6E7" w:themeColor="accent1" w:themeTint="66"/>
            </w:tcBorders>
            <w:hideMark/>
          </w:tcPr>
          <w:p w14:paraId="6436365B" w14:textId="3417A35F" w:rsidR="00BC012C" w:rsidRPr="009D4AE4" w:rsidRDefault="00013B46" w:rsidP="00A75AC1">
            <w:pPr>
              <w:cnfStyle w:val="000000000000" w:firstRow="0" w:lastRow="0" w:firstColumn="0" w:lastColumn="0" w:oddVBand="0" w:evenVBand="0" w:oddHBand="0" w:evenHBand="0" w:firstRowFirstColumn="0" w:firstRowLastColumn="0" w:lastRowFirstColumn="0" w:lastRowLastColumn="0"/>
            </w:pPr>
            <w:r w:rsidRPr="00013B46">
              <w:t>Aucun coût additionnel</w:t>
            </w:r>
          </w:p>
        </w:tc>
      </w:tr>
      <w:tr w:rsidR="00367BBA" w:rsidRPr="009D4AE4" w14:paraId="49D70C0F" w14:textId="77777777" w:rsidTr="00BC012C">
        <w:trPr>
          <w:trHeight w:val="1040"/>
        </w:trPr>
        <w:tc>
          <w:tcPr>
            <w:cnfStyle w:val="001000000000" w:firstRow="0" w:lastRow="0" w:firstColumn="1" w:lastColumn="0" w:oddVBand="0" w:evenVBand="0" w:oddHBand="0" w:evenHBand="0" w:firstRowFirstColumn="0" w:firstRowLastColumn="0" w:lastRowFirstColumn="0" w:lastRowLastColumn="0"/>
            <w:tcW w:w="0" w:type="auto"/>
            <w:vMerge/>
          </w:tcPr>
          <w:p w14:paraId="3BE3C760" w14:textId="77777777" w:rsidR="00BC012C" w:rsidRPr="009D4AE4" w:rsidRDefault="00BC012C" w:rsidP="00A75AC1"/>
        </w:tc>
        <w:tc>
          <w:tcPr>
            <w:tcW w:w="0" w:type="auto"/>
            <w:vMerge/>
          </w:tcPr>
          <w:p w14:paraId="2C6492F4" w14:textId="77777777" w:rsidR="00BC012C" w:rsidRPr="009D4AE4" w:rsidRDefault="00BC012C" w:rsidP="00A75AC1">
            <w:pPr>
              <w:cnfStyle w:val="000000000000" w:firstRow="0" w:lastRow="0" w:firstColumn="0" w:lastColumn="0" w:oddVBand="0" w:evenVBand="0" w:oddHBand="0" w:evenHBand="0" w:firstRowFirstColumn="0" w:firstRowLastColumn="0" w:lastRowFirstColumn="0" w:lastRowLastColumn="0"/>
              <w:rPr>
                <w:b/>
                <w:bCs/>
              </w:rPr>
            </w:pPr>
          </w:p>
        </w:tc>
        <w:tc>
          <w:tcPr>
            <w:tcW w:w="0" w:type="auto"/>
            <w:tcBorders>
              <w:top w:val="single" w:sz="4" w:space="0" w:color="B4C6E7" w:themeColor="accent1" w:themeTint="66"/>
              <w:bottom w:val="single" w:sz="4" w:space="0" w:color="B4C6E7" w:themeColor="accent1" w:themeTint="66"/>
            </w:tcBorders>
          </w:tcPr>
          <w:p w14:paraId="296675C1" w14:textId="0D32A05A" w:rsidR="00BC012C" w:rsidRPr="009D4AE4" w:rsidRDefault="00BC012C" w:rsidP="00BC012C">
            <w:pPr>
              <w:cnfStyle w:val="000000000000" w:firstRow="0" w:lastRow="0" w:firstColumn="0" w:lastColumn="0" w:oddVBand="0" w:evenVBand="0" w:oddHBand="0" w:evenHBand="0" w:firstRowFirstColumn="0" w:firstRowLastColumn="0" w:lastRowFirstColumn="0" w:lastRowLastColumn="0"/>
            </w:pPr>
            <w:r w:rsidRPr="009D4AE4">
              <w:t xml:space="preserve">Délimiter physiquement les zones de dépose-minute et parkings ; </w:t>
            </w:r>
          </w:p>
        </w:tc>
        <w:tc>
          <w:tcPr>
            <w:tcW w:w="0" w:type="auto"/>
            <w:vMerge/>
          </w:tcPr>
          <w:p w14:paraId="5AC04228" w14:textId="77777777" w:rsidR="00BC012C" w:rsidRPr="009D4AE4" w:rsidRDefault="00BC012C" w:rsidP="00A75AC1">
            <w:pPr>
              <w:cnfStyle w:val="000000000000" w:firstRow="0" w:lastRow="0" w:firstColumn="0" w:lastColumn="0" w:oddVBand="0" w:evenVBand="0" w:oddHBand="0" w:evenHBand="0" w:firstRowFirstColumn="0" w:firstRowLastColumn="0" w:lastRowFirstColumn="0" w:lastRowLastColumn="0"/>
            </w:pPr>
          </w:p>
        </w:tc>
        <w:tc>
          <w:tcPr>
            <w:tcW w:w="0" w:type="auto"/>
            <w:vMerge/>
          </w:tcPr>
          <w:p w14:paraId="1CB6D898" w14:textId="77777777" w:rsidR="00BC012C" w:rsidRPr="009D4AE4" w:rsidRDefault="00BC012C" w:rsidP="00A75AC1">
            <w:pPr>
              <w:cnfStyle w:val="000000000000" w:firstRow="0" w:lastRow="0" w:firstColumn="0" w:lastColumn="0" w:oddVBand="0" w:evenVBand="0" w:oddHBand="0" w:evenHBand="0" w:firstRowFirstColumn="0" w:firstRowLastColumn="0" w:lastRowFirstColumn="0" w:lastRowLastColumn="0"/>
            </w:pPr>
          </w:p>
        </w:tc>
        <w:tc>
          <w:tcPr>
            <w:tcW w:w="0" w:type="auto"/>
            <w:vMerge/>
          </w:tcPr>
          <w:p w14:paraId="2D9FED73" w14:textId="77777777" w:rsidR="00BC012C" w:rsidRDefault="00BC012C" w:rsidP="00A75AC1">
            <w:pPr>
              <w:cnfStyle w:val="000000000000" w:firstRow="0" w:lastRow="0" w:firstColumn="0" w:lastColumn="0" w:oddVBand="0" w:evenVBand="0" w:oddHBand="0" w:evenHBand="0" w:firstRowFirstColumn="0" w:firstRowLastColumn="0" w:lastRowFirstColumn="0" w:lastRowLastColumn="0"/>
            </w:pPr>
          </w:p>
        </w:tc>
        <w:tc>
          <w:tcPr>
            <w:tcW w:w="0" w:type="auto"/>
            <w:vMerge/>
          </w:tcPr>
          <w:p w14:paraId="6B653163" w14:textId="77777777" w:rsidR="00BC012C" w:rsidRPr="009D4AE4" w:rsidRDefault="00BC012C" w:rsidP="00A75AC1">
            <w:pPr>
              <w:cnfStyle w:val="000000000000" w:firstRow="0" w:lastRow="0" w:firstColumn="0" w:lastColumn="0" w:oddVBand="0" w:evenVBand="0" w:oddHBand="0" w:evenHBand="0" w:firstRowFirstColumn="0" w:firstRowLastColumn="0" w:lastRowFirstColumn="0" w:lastRowLastColumn="0"/>
            </w:pPr>
          </w:p>
        </w:tc>
        <w:tc>
          <w:tcPr>
            <w:tcW w:w="0" w:type="auto"/>
            <w:vMerge/>
          </w:tcPr>
          <w:p w14:paraId="2424904A" w14:textId="77777777" w:rsidR="00BC012C" w:rsidRPr="009D4AE4" w:rsidRDefault="00BC012C" w:rsidP="00A75AC1">
            <w:pPr>
              <w:cnfStyle w:val="000000000000" w:firstRow="0" w:lastRow="0" w:firstColumn="0" w:lastColumn="0" w:oddVBand="0" w:evenVBand="0" w:oddHBand="0" w:evenHBand="0" w:firstRowFirstColumn="0" w:firstRowLastColumn="0" w:lastRowFirstColumn="0" w:lastRowLastColumn="0"/>
            </w:pPr>
          </w:p>
        </w:tc>
        <w:tc>
          <w:tcPr>
            <w:tcW w:w="0" w:type="auto"/>
            <w:tcBorders>
              <w:top w:val="single" w:sz="4" w:space="0" w:color="B4C6E7" w:themeColor="accent1" w:themeTint="66"/>
              <w:bottom w:val="single" w:sz="4" w:space="0" w:color="B4C6E7" w:themeColor="accent1" w:themeTint="66"/>
            </w:tcBorders>
          </w:tcPr>
          <w:p w14:paraId="29C01AF6" w14:textId="7EC5DC66" w:rsidR="00BC012C" w:rsidRPr="009D4AE4" w:rsidRDefault="00013B46" w:rsidP="00A75AC1">
            <w:pPr>
              <w:cnfStyle w:val="000000000000" w:firstRow="0" w:lastRow="0" w:firstColumn="0" w:lastColumn="0" w:oddVBand="0" w:evenVBand="0" w:oddHBand="0" w:evenHBand="0" w:firstRowFirstColumn="0" w:firstRowLastColumn="0" w:lastRowFirstColumn="0" w:lastRowLastColumn="0"/>
            </w:pPr>
            <w:r w:rsidRPr="00013B46">
              <w:t>10 000 MAD / zone</w:t>
            </w:r>
          </w:p>
        </w:tc>
      </w:tr>
      <w:tr w:rsidR="00367BBA" w:rsidRPr="009D4AE4" w14:paraId="01C613F2" w14:textId="77777777" w:rsidTr="00BC012C">
        <w:trPr>
          <w:trHeight w:val="992"/>
        </w:trPr>
        <w:tc>
          <w:tcPr>
            <w:cnfStyle w:val="001000000000" w:firstRow="0" w:lastRow="0" w:firstColumn="1" w:lastColumn="0" w:oddVBand="0" w:evenVBand="0" w:oddHBand="0" w:evenHBand="0" w:firstRowFirstColumn="0" w:firstRowLastColumn="0" w:lastRowFirstColumn="0" w:lastRowLastColumn="0"/>
            <w:tcW w:w="0" w:type="auto"/>
            <w:vMerge/>
          </w:tcPr>
          <w:p w14:paraId="7A999BB8" w14:textId="77777777" w:rsidR="00BC012C" w:rsidRPr="009D4AE4" w:rsidRDefault="00BC012C" w:rsidP="00A75AC1"/>
        </w:tc>
        <w:tc>
          <w:tcPr>
            <w:tcW w:w="0" w:type="auto"/>
            <w:vMerge/>
          </w:tcPr>
          <w:p w14:paraId="71F7E15E" w14:textId="77777777" w:rsidR="00BC012C" w:rsidRPr="009D4AE4" w:rsidRDefault="00BC012C" w:rsidP="00A75AC1">
            <w:pPr>
              <w:cnfStyle w:val="000000000000" w:firstRow="0" w:lastRow="0" w:firstColumn="0" w:lastColumn="0" w:oddVBand="0" w:evenVBand="0" w:oddHBand="0" w:evenHBand="0" w:firstRowFirstColumn="0" w:firstRowLastColumn="0" w:lastRowFirstColumn="0" w:lastRowLastColumn="0"/>
              <w:rPr>
                <w:b/>
                <w:bCs/>
              </w:rPr>
            </w:pPr>
          </w:p>
        </w:tc>
        <w:tc>
          <w:tcPr>
            <w:tcW w:w="0" w:type="auto"/>
            <w:tcBorders>
              <w:top w:val="single" w:sz="4" w:space="0" w:color="B4C6E7" w:themeColor="accent1" w:themeTint="66"/>
            </w:tcBorders>
          </w:tcPr>
          <w:p w14:paraId="4D8DD958" w14:textId="77777777" w:rsidR="00BC012C" w:rsidRPr="009D4AE4" w:rsidRDefault="00BC012C" w:rsidP="00BC012C">
            <w:pPr>
              <w:cnfStyle w:val="000000000000" w:firstRow="0" w:lastRow="0" w:firstColumn="0" w:lastColumn="0" w:oddVBand="0" w:evenVBand="0" w:oddHBand="0" w:evenHBand="0" w:firstRowFirstColumn="0" w:firstRowLastColumn="0" w:lastRowFirstColumn="0" w:lastRowLastColumn="0"/>
            </w:pPr>
            <w:r w:rsidRPr="009D4AE4">
              <w:t>Interdire la circulation de véhicules non autorisés dans les zones restreintes.</w:t>
            </w:r>
          </w:p>
        </w:tc>
        <w:tc>
          <w:tcPr>
            <w:tcW w:w="0" w:type="auto"/>
            <w:vMerge/>
          </w:tcPr>
          <w:p w14:paraId="55D7EB18" w14:textId="77777777" w:rsidR="00BC012C" w:rsidRPr="009D4AE4" w:rsidRDefault="00BC012C" w:rsidP="00A75AC1">
            <w:pPr>
              <w:cnfStyle w:val="000000000000" w:firstRow="0" w:lastRow="0" w:firstColumn="0" w:lastColumn="0" w:oddVBand="0" w:evenVBand="0" w:oddHBand="0" w:evenHBand="0" w:firstRowFirstColumn="0" w:firstRowLastColumn="0" w:lastRowFirstColumn="0" w:lastRowLastColumn="0"/>
            </w:pPr>
          </w:p>
        </w:tc>
        <w:tc>
          <w:tcPr>
            <w:tcW w:w="0" w:type="auto"/>
            <w:vMerge/>
          </w:tcPr>
          <w:p w14:paraId="5762E7A9" w14:textId="77777777" w:rsidR="00BC012C" w:rsidRPr="009D4AE4" w:rsidRDefault="00BC012C" w:rsidP="00A75AC1">
            <w:pPr>
              <w:cnfStyle w:val="000000000000" w:firstRow="0" w:lastRow="0" w:firstColumn="0" w:lastColumn="0" w:oddVBand="0" w:evenVBand="0" w:oddHBand="0" w:evenHBand="0" w:firstRowFirstColumn="0" w:firstRowLastColumn="0" w:lastRowFirstColumn="0" w:lastRowLastColumn="0"/>
            </w:pPr>
          </w:p>
        </w:tc>
        <w:tc>
          <w:tcPr>
            <w:tcW w:w="0" w:type="auto"/>
            <w:vMerge/>
          </w:tcPr>
          <w:p w14:paraId="085E2679" w14:textId="77777777" w:rsidR="00BC012C" w:rsidRDefault="00BC012C" w:rsidP="00A75AC1">
            <w:pPr>
              <w:cnfStyle w:val="000000000000" w:firstRow="0" w:lastRow="0" w:firstColumn="0" w:lastColumn="0" w:oddVBand="0" w:evenVBand="0" w:oddHBand="0" w:evenHBand="0" w:firstRowFirstColumn="0" w:firstRowLastColumn="0" w:lastRowFirstColumn="0" w:lastRowLastColumn="0"/>
            </w:pPr>
          </w:p>
        </w:tc>
        <w:tc>
          <w:tcPr>
            <w:tcW w:w="0" w:type="auto"/>
            <w:vMerge/>
          </w:tcPr>
          <w:p w14:paraId="1EF6AEE6" w14:textId="77777777" w:rsidR="00BC012C" w:rsidRPr="009D4AE4" w:rsidRDefault="00BC012C" w:rsidP="00A75AC1">
            <w:pPr>
              <w:cnfStyle w:val="000000000000" w:firstRow="0" w:lastRow="0" w:firstColumn="0" w:lastColumn="0" w:oddVBand="0" w:evenVBand="0" w:oddHBand="0" w:evenHBand="0" w:firstRowFirstColumn="0" w:firstRowLastColumn="0" w:lastRowFirstColumn="0" w:lastRowLastColumn="0"/>
            </w:pPr>
          </w:p>
        </w:tc>
        <w:tc>
          <w:tcPr>
            <w:tcW w:w="0" w:type="auto"/>
            <w:vMerge/>
          </w:tcPr>
          <w:p w14:paraId="78A07735" w14:textId="77777777" w:rsidR="00BC012C" w:rsidRPr="009D4AE4" w:rsidRDefault="00BC012C" w:rsidP="00A75AC1">
            <w:pPr>
              <w:cnfStyle w:val="000000000000" w:firstRow="0" w:lastRow="0" w:firstColumn="0" w:lastColumn="0" w:oddVBand="0" w:evenVBand="0" w:oddHBand="0" w:evenHBand="0" w:firstRowFirstColumn="0" w:firstRowLastColumn="0" w:lastRowFirstColumn="0" w:lastRowLastColumn="0"/>
            </w:pPr>
          </w:p>
        </w:tc>
        <w:tc>
          <w:tcPr>
            <w:tcW w:w="0" w:type="auto"/>
            <w:tcBorders>
              <w:top w:val="single" w:sz="4" w:space="0" w:color="B4C6E7" w:themeColor="accent1" w:themeTint="66"/>
            </w:tcBorders>
          </w:tcPr>
          <w:p w14:paraId="3F0A1B4C" w14:textId="719B6AE8" w:rsidR="00BC012C" w:rsidRPr="009D4AE4" w:rsidRDefault="00013B46" w:rsidP="00A75AC1">
            <w:pPr>
              <w:cnfStyle w:val="000000000000" w:firstRow="0" w:lastRow="0" w:firstColumn="0" w:lastColumn="0" w:oddVBand="0" w:evenVBand="0" w:oddHBand="0" w:evenHBand="0" w:firstRowFirstColumn="0" w:firstRowLastColumn="0" w:lastRowFirstColumn="0" w:lastRowLastColumn="0"/>
            </w:pPr>
            <w:r>
              <w:t>Aucun coût spécifique</w:t>
            </w:r>
          </w:p>
        </w:tc>
      </w:tr>
      <w:tr w:rsidR="00367BBA" w:rsidRPr="009D4AE4" w14:paraId="474ABB36" w14:textId="77777777" w:rsidTr="00BC012C">
        <w:trPr>
          <w:trHeight w:val="1600"/>
        </w:trPr>
        <w:tc>
          <w:tcPr>
            <w:cnfStyle w:val="001000000000" w:firstRow="0" w:lastRow="0" w:firstColumn="1" w:lastColumn="0" w:oddVBand="0" w:evenVBand="0" w:oddHBand="0" w:evenHBand="0" w:firstRowFirstColumn="0" w:firstRowLastColumn="0" w:lastRowFirstColumn="0" w:lastRowLastColumn="0"/>
            <w:tcW w:w="0" w:type="auto"/>
            <w:vMerge/>
            <w:hideMark/>
          </w:tcPr>
          <w:p w14:paraId="60B5FA73" w14:textId="77777777" w:rsidR="00BC012C" w:rsidRPr="009D4AE4" w:rsidRDefault="00BC012C" w:rsidP="00A75AC1"/>
        </w:tc>
        <w:tc>
          <w:tcPr>
            <w:tcW w:w="0" w:type="auto"/>
            <w:vMerge w:val="restart"/>
            <w:hideMark/>
          </w:tcPr>
          <w:p w14:paraId="4055F4CE" w14:textId="77777777" w:rsidR="00BC012C" w:rsidRPr="009D4AE4" w:rsidRDefault="00BC012C" w:rsidP="00A75AC1">
            <w:pPr>
              <w:cnfStyle w:val="000000000000" w:firstRow="0" w:lastRow="0" w:firstColumn="0" w:lastColumn="0" w:oddVBand="0" w:evenVBand="0" w:oddHBand="0" w:evenHBand="0" w:firstRowFirstColumn="0" w:firstRowLastColumn="0" w:lastRowFirstColumn="0" w:lastRowLastColumn="0"/>
              <w:rPr>
                <w:b/>
                <w:bCs/>
              </w:rPr>
            </w:pPr>
            <w:r w:rsidRPr="009D4AE4">
              <w:rPr>
                <w:b/>
                <w:bCs/>
              </w:rPr>
              <w:t>Réduire</w:t>
            </w:r>
          </w:p>
        </w:tc>
        <w:tc>
          <w:tcPr>
            <w:tcW w:w="0" w:type="auto"/>
            <w:tcBorders>
              <w:bottom w:val="single" w:sz="4" w:space="0" w:color="B4C6E7" w:themeColor="accent1" w:themeTint="66"/>
            </w:tcBorders>
            <w:hideMark/>
          </w:tcPr>
          <w:p w14:paraId="3C9D534F" w14:textId="78376EF8" w:rsidR="00BC012C" w:rsidRPr="009D4AE4" w:rsidRDefault="00BC012C" w:rsidP="00A75AC1">
            <w:pPr>
              <w:cnfStyle w:val="000000000000" w:firstRow="0" w:lastRow="0" w:firstColumn="0" w:lastColumn="0" w:oddVBand="0" w:evenVBand="0" w:oddHBand="0" w:evenHBand="0" w:firstRowFirstColumn="0" w:firstRowLastColumn="0" w:lastRowFirstColumn="0" w:lastRowLastColumn="0"/>
            </w:pPr>
            <w:r w:rsidRPr="009D4AE4">
              <w:t xml:space="preserve">Mettre en place une signalisation verticale et horizontale adaptée (marquage au sol, panneaux directionnels) ; </w:t>
            </w:r>
          </w:p>
        </w:tc>
        <w:tc>
          <w:tcPr>
            <w:tcW w:w="0" w:type="auto"/>
            <w:vMerge w:val="restart"/>
            <w:hideMark/>
          </w:tcPr>
          <w:p w14:paraId="02AD3077" w14:textId="77777777" w:rsidR="00BC012C" w:rsidRDefault="00BC012C" w:rsidP="00A75AC1">
            <w:pPr>
              <w:cnfStyle w:val="000000000000" w:firstRow="0" w:lastRow="0" w:firstColumn="0" w:lastColumn="0" w:oddVBand="0" w:evenVBand="0" w:oddHBand="0" w:evenHBand="0" w:firstRowFirstColumn="0" w:firstRowLastColumn="0" w:lastRowFirstColumn="0" w:lastRowLastColumn="0"/>
            </w:pPr>
            <w:r w:rsidRPr="009D4AE4">
              <w:t xml:space="preserve">Nb d’agents affectés à la régulation ; </w:t>
            </w:r>
          </w:p>
          <w:p w14:paraId="7A91DAAF" w14:textId="2B4EA218" w:rsidR="00BC012C" w:rsidRPr="009D4AE4" w:rsidRDefault="00BC012C" w:rsidP="00A75AC1">
            <w:pPr>
              <w:cnfStyle w:val="000000000000" w:firstRow="0" w:lastRow="0" w:firstColumn="0" w:lastColumn="0" w:oddVBand="0" w:evenVBand="0" w:oddHBand="0" w:evenHBand="0" w:firstRowFirstColumn="0" w:firstRowLastColumn="0" w:lastRowFirstColumn="0" w:lastRowLastColumn="0"/>
            </w:pPr>
            <w:r w:rsidRPr="009D4AE4">
              <w:t>Nb de sessions de formation chauffeurs.</w:t>
            </w:r>
          </w:p>
        </w:tc>
        <w:tc>
          <w:tcPr>
            <w:tcW w:w="0" w:type="auto"/>
            <w:vMerge w:val="restart"/>
            <w:hideMark/>
          </w:tcPr>
          <w:p w14:paraId="487F555F" w14:textId="4713F72E" w:rsidR="00BC012C" w:rsidRPr="009D4AE4" w:rsidRDefault="00BC012C" w:rsidP="00A75AC1">
            <w:pPr>
              <w:cnfStyle w:val="000000000000" w:firstRow="0" w:lastRow="0" w:firstColumn="0" w:lastColumn="0" w:oddVBand="0" w:evenVBand="0" w:oddHBand="0" w:evenHBand="0" w:firstRowFirstColumn="0" w:firstRowLastColumn="0" w:lastRowFirstColumn="0" w:lastRowLastColumn="0"/>
            </w:pPr>
            <w:r w:rsidRPr="009D4AE4">
              <w:t>ONDA / Exploitant</w:t>
            </w:r>
          </w:p>
        </w:tc>
        <w:tc>
          <w:tcPr>
            <w:tcW w:w="0" w:type="auto"/>
            <w:vMerge w:val="restart"/>
            <w:hideMark/>
          </w:tcPr>
          <w:p w14:paraId="57FB09A2" w14:textId="329E5E03" w:rsidR="00BC012C" w:rsidRPr="009D4AE4" w:rsidRDefault="00BC012C" w:rsidP="00A75AC1">
            <w:pPr>
              <w:cnfStyle w:val="000000000000" w:firstRow="0" w:lastRow="0" w:firstColumn="0" w:lastColumn="0" w:oddVBand="0" w:evenVBand="0" w:oddHBand="0" w:evenHBand="0" w:firstRowFirstColumn="0" w:firstRowLastColumn="0" w:lastRowFirstColumn="0" w:lastRowLastColumn="0"/>
            </w:pPr>
            <w:r>
              <w:t>ONDA</w:t>
            </w:r>
          </w:p>
        </w:tc>
        <w:tc>
          <w:tcPr>
            <w:tcW w:w="0" w:type="auto"/>
            <w:vMerge w:val="restart"/>
            <w:hideMark/>
          </w:tcPr>
          <w:p w14:paraId="54AD69D0" w14:textId="305930AF" w:rsidR="00BC012C" w:rsidRPr="009D4AE4" w:rsidRDefault="00BC012C" w:rsidP="00A75AC1">
            <w:pPr>
              <w:cnfStyle w:val="000000000000" w:firstRow="0" w:lastRow="0" w:firstColumn="0" w:lastColumn="0" w:oddVBand="0" w:evenVBand="0" w:oddHBand="0" w:evenHBand="0" w:firstRowFirstColumn="0" w:firstRowLastColumn="0" w:lastRowFirstColumn="0" w:lastRowLastColumn="0"/>
            </w:pPr>
            <w:r w:rsidRPr="009D4AE4">
              <w:t xml:space="preserve">ONDA </w:t>
            </w:r>
          </w:p>
        </w:tc>
        <w:tc>
          <w:tcPr>
            <w:tcW w:w="0" w:type="auto"/>
            <w:vMerge w:val="restart"/>
            <w:hideMark/>
          </w:tcPr>
          <w:p w14:paraId="1BC121DD" w14:textId="77777777" w:rsidR="00BC012C" w:rsidRPr="009D4AE4" w:rsidRDefault="00BC012C" w:rsidP="00A75AC1">
            <w:pPr>
              <w:cnfStyle w:val="000000000000" w:firstRow="0" w:lastRow="0" w:firstColumn="0" w:lastColumn="0" w:oddVBand="0" w:evenVBand="0" w:oddHBand="0" w:evenHBand="0" w:firstRowFirstColumn="0" w:firstRowLastColumn="0" w:lastRowFirstColumn="0" w:lastRowLastColumn="0"/>
            </w:pPr>
            <w:r w:rsidRPr="009D4AE4">
              <w:t>Continu</w:t>
            </w:r>
          </w:p>
        </w:tc>
        <w:tc>
          <w:tcPr>
            <w:tcW w:w="0" w:type="auto"/>
            <w:tcBorders>
              <w:bottom w:val="single" w:sz="4" w:space="0" w:color="B4C6E7" w:themeColor="accent1" w:themeTint="66"/>
            </w:tcBorders>
            <w:hideMark/>
          </w:tcPr>
          <w:p w14:paraId="5B3CD1D5" w14:textId="6DF36032" w:rsidR="00BC012C" w:rsidRPr="009D4AE4" w:rsidRDefault="00013B46" w:rsidP="00A75AC1">
            <w:pPr>
              <w:cnfStyle w:val="000000000000" w:firstRow="0" w:lastRow="0" w:firstColumn="0" w:lastColumn="0" w:oddVBand="0" w:evenVBand="0" w:oddHBand="0" w:evenHBand="0" w:firstRowFirstColumn="0" w:firstRowLastColumn="0" w:lastRowFirstColumn="0" w:lastRowLastColumn="0"/>
            </w:pPr>
            <w:r w:rsidRPr="00013B46">
              <w:t>10 000 MAD / zone</w:t>
            </w:r>
          </w:p>
        </w:tc>
      </w:tr>
      <w:tr w:rsidR="00367BBA" w:rsidRPr="009D4AE4" w14:paraId="5996F02E" w14:textId="77777777" w:rsidTr="00BC012C">
        <w:trPr>
          <w:trHeight w:val="987"/>
        </w:trPr>
        <w:tc>
          <w:tcPr>
            <w:cnfStyle w:val="001000000000" w:firstRow="0" w:lastRow="0" w:firstColumn="1" w:lastColumn="0" w:oddVBand="0" w:evenVBand="0" w:oddHBand="0" w:evenHBand="0" w:firstRowFirstColumn="0" w:firstRowLastColumn="0" w:lastRowFirstColumn="0" w:lastRowLastColumn="0"/>
            <w:tcW w:w="0" w:type="auto"/>
            <w:vMerge/>
          </w:tcPr>
          <w:p w14:paraId="3FE356A8" w14:textId="77777777" w:rsidR="00BC012C" w:rsidRPr="009D4AE4" w:rsidRDefault="00BC012C" w:rsidP="00A75AC1"/>
        </w:tc>
        <w:tc>
          <w:tcPr>
            <w:tcW w:w="0" w:type="auto"/>
            <w:vMerge/>
          </w:tcPr>
          <w:p w14:paraId="0F804805" w14:textId="77777777" w:rsidR="00BC012C" w:rsidRPr="009D4AE4" w:rsidRDefault="00BC012C" w:rsidP="00A75AC1">
            <w:pPr>
              <w:cnfStyle w:val="000000000000" w:firstRow="0" w:lastRow="0" w:firstColumn="0" w:lastColumn="0" w:oddVBand="0" w:evenVBand="0" w:oddHBand="0" w:evenHBand="0" w:firstRowFirstColumn="0" w:firstRowLastColumn="0" w:lastRowFirstColumn="0" w:lastRowLastColumn="0"/>
              <w:rPr>
                <w:b/>
                <w:bCs/>
              </w:rPr>
            </w:pPr>
          </w:p>
        </w:tc>
        <w:tc>
          <w:tcPr>
            <w:tcW w:w="0" w:type="auto"/>
            <w:tcBorders>
              <w:top w:val="single" w:sz="4" w:space="0" w:color="B4C6E7" w:themeColor="accent1" w:themeTint="66"/>
              <w:bottom w:val="single" w:sz="4" w:space="0" w:color="B4C6E7" w:themeColor="accent1" w:themeTint="66"/>
            </w:tcBorders>
          </w:tcPr>
          <w:p w14:paraId="4757AB40" w14:textId="67B03707" w:rsidR="00BC012C" w:rsidRPr="009D4AE4" w:rsidRDefault="00BC012C" w:rsidP="00BC012C">
            <w:pPr>
              <w:cnfStyle w:val="000000000000" w:firstRow="0" w:lastRow="0" w:firstColumn="0" w:lastColumn="0" w:oddVBand="0" w:evenVBand="0" w:oddHBand="0" w:evenHBand="0" w:firstRowFirstColumn="0" w:firstRowLastColumn="0" w:lastRowFirstColumn="0" w:lastRowLastColumn="0"/>
            </w:pPr>
            <w:r w:rsidRPr="009D4AE4">
              <w:t xml:space="preserve">Assurer la présence d’agents de circulation et de régulation pendant les heures de pointe ; </w:t>
            </w:r>
          </w:p>
        </w:tc>
        <w:tc>
          <w:tcPr>
            <w:tcW w:w="0" w:type="auto"/>
            <w:vMerge/>
          </w:tcPr>
          <w:p w14:paraId="0951A260" w14:textId="77777777" w:rsidR="00BC012C" w:rsidRPr="009D4AE4" w:rsidRDefault="00BC012C" w:rsidP="00A75AC1">
            <w:pPr>
              <w:cnfStyle w:val="000000000000" w:firstRow="0" w:lastRow="0" w:firstColumn="0" w:lastColumn="0" w:oddVBand="0" w:evenVBand="0" w:oddHBand="0" w:evenHBand="0" w:firstRowFirstColumn="0" w:firstRowLastColumn="0" w:lastRowFirstColumn="0" w:lastRowLastColumn="0"/>
            </w:pPr>
          </w:p>
        </w:tc>
        <w:tc>
          <w:tcPr>
            <w:tcW w:w="0" w:type="auto"/>
            <w:vMerge/>
          </w:tcPr>
          <w:p w14:paraId="1BCEF479" w14:textId="77777777" w:rsidR="00BC012C" w:rsidRPr="009D4AE4" w:rsidRDefault="00BC012C" w:rsidP="00A75AC1">
            <w:pPr>
              <w:cnfStyle w:val="000000000000" w:firstRow="0" w:lastRow="0" w:firstColumn="0" w:lastColumn="0" w:oddVBand="0" w:evenVBand="0" w:oddHBand="0" w:evenHBand="0" w:firstRowFirstColumn="0" w:firstRowLastColumn="0" w:lastRowFirstColumn="0" w:lastRowLastColumn="0"/>
            </w:pPr>
          </w:p>
        </w:tc>
        <w:tc>
          <w:tcPr>
            <w:tcW w:w="0" w:type="auto"/>
            <w:vMerge/>
          </w:tcPr>
          <w:p w14:paraId="6D859740" w14:textId="77777777" w:rsidR="00BC012C" w:rsidRDefault="00BC012C" w:rsidP="00A75AC1">
            <w:pPr>
              <w:cnfStyle w:val="000000000000" w:firstRow="0" w:lastRow="0" w:firstColumn="0" w:lastColumn="0" w:oddVBand="0" w:evenVBand="0" w:oddHBand="0" w:evenHBand="0" w:firstRowFirstColumn="0" w:firstRowLastColumn="0" w:lastRowFirstColumn="0" w:lastRowLastColumn="0"/>
            </w:pPr>
          </w:p>
        </w:tc>
        <w:tc>
          <w:tcPr>
            <w:tcW w:w="0" w:type="auto"/>
            <w:vMerge/>
          </w:tcPr>
          <w:p w14:paraId="39087586" w14:textId="77777777" w:rsidR="00BC012C" w:rsidRPr="009D4AE4" w:rsidRDefault="00BC012C" w:rsidP="00A75AC1">
            <w:pPr>
              <w:cnfStyle w:val="000000000000" w:firstRow="0" w:lastRow="0" w:firstColumn="0" w:lastColumn="0" w:oddVBand="0" w:evenVBand="0" w:oddHBand="0" w:evenHBand="0" w:firstRowFirstColumn="0" w:firstRowLastColumn="0" w:lastRowFirstColumn="0" w:lastRowLastColumn="0"/>
            </w:pPr>
          </w:p>
        </w:tc>
        <w:tc>
          <w:tcPr>
            <w:tcW w:w="0" w:type="auto"/>
            <w:vMerge/>
          </w:tcPr>
          <w:p w14:paraId="14917883" w14:textId="77777777" w:rsidR="00BC012C" w:rsidRPr="009D4AE4" w:rsidRDefault="00BC012C" w:rsidP="00A75AC1">
            <w:pPr>
              <w:cnfStyle w:val="000000000000" w:firstRow="0" w:lastRow="0" w:firstColumn="0" w:lastColumn="0" w:oddVBand="0" w:evenVBand="0" w:oddHBand="0" w:evenHBand="0" w:firstRowFirstColumn="0" w:firstRowLastColumn="0" w:lastRowFirstColumn="0" w:lastRowLastColumn="0"/>
            </w:pPr>
          </w:p>
        </w:tc>
        <w:tc>
          <w:tcPr>
            <w:tcW w:w="0" w:type="auto"/>
            <w:tcBorders>
              <w:top w:val="single" w:sz="4" w:space="0" w:color="B4C6E7" w:themeColor="accent1" w:themeTint="66"/>
              <w:bottom w:val="single" w:sz="4" w:space="0" w:color="B4C6E7" w:themeColor="accent1" w:themeTint="66"/>
            </w:tcBorders>
          </w:tcPr>
          <w:p w14:paraId="2BC90378" w14:textId="22501783" w:rsidR="00BC012C" w:rsidRPr="009D4AE4" w:rsidRDefault="00367BBA" w:rsidP="00A75AC1">
            <w:pPr>
              <w:cnfStyle w:val="000000000000" w:firstRow="0" w:lastRow="0" w:firstColumn="0" w:lastColumn="0" w:oddVBand="0" w:evenVBand="0" w:oddHBand="0" w:evenHBand="0" w:firstRowFirstColumn="0" w:firstRowLastColumn="0" w:lastRowFirstColumn="0" w:lastRowLastColumn="0"/>
            </w:pPr>
            <w:r w:rsidRPr="00367BBA">
              <w:t>8 000 MAD / mois</w:t>
            </w:r>
          </w:p>
        </w:tc>
      </w:tr>
      <w:tr w:rsidR="00367BBA" w:rsidRPr="009D4AE4" w14:paraId="69CBC48B" w14:textId="77777777" w:rsidTr="00BC012C">
        <w:trPr>
          <w:trHeight w:val="1053"/>
        </w:trPr>
        <w:tc>
          <w:tcPr>
            <w:cnfStyle w:val="001000000000" w:firstRow="0" w:lastRow="0" w:firstColumn="1" w:lastColumn="0" w:oddVBand="0" w:evenVBand="0" w:oddHBand="0" w:evenHBand="0" w:firstRowFirstColumn="0" w:firstRowLastColumn="0" w:lastRowFirstColumn="0" w:lastRowLastColumn="0"/>
            <w:tcW w:w="0" w:type="auto"/>
            <w:vMerge/>
          </w:tcPr>
          <w:p w14:paraId="35290475" w14:textId="77777777" w:rsidR="00367BBA" w:rsidRPr="009D4AE4" w:rsidRDefault="00367BBA" w:rsidP="00367BBA"/>
        </w:tc>
        <w:tc>
          <w:tcPr>
            <w:tcW w:w="0" w:type="auto"/>
            <w:vMerge/>
          </w:tcPr>
          <w:p w14:paraId="019CCFFA" w14:textId="77777777" w:rsidR="00367BBA" w:rsidRPr="009D4AE4" w:rsidRDefault="00367BBA" w:rsidP="00367BBA">
            <w:pPr>
              <w:cnfStyle w:val="000000000000" w:firstRow="0" w:lastRow="0" w:firstColumn="0" w:lastColumn="0" w:oddVBand="0" w:evenVBand="0" w:oddHBand="0" w:evenHBand="0" w:firstRowFirstColumn="0" w:firstRowLastColumn="0" w:lastRowFirstColumn="0" w:lastRowLastColumn="0"/>
              <w:rPr>
                <w:b/>
                <w:bCs/>
              </w:rPr>
            </w:pPr>
          </w:p>
        </w:tc>
        <w:tc>
          <w:tcPr>
            <w:tcW w:w="0" w:type="auto"/>
            <w:tcBorders>
              <w:top w:val="single" w:sz="4" w:space="0" w:color="B4C6E7" w:themeColor="accent1" w:themeTint="66"/>
            </w:tcBorders>
          </w:tcPr>
          <w:p w14:paraId="77E36AA1" w14:textId="77777777" w:rsidR="00367BBA" w:rsidRPr="009D4AE4" w:rsidRDefault="00367BBA" w:rsidP="00367BBA">
            <w:pPr>
              <w:cnfStyle w:val="000000000000" w:firstRow="0" w:lastRow="0" w:firstColumn="0" w:lastColumn="0" w:oddVBand="0" w:evenVBand="0" w:oddHBand="0" w:evenHBand="0" w:firstRowFirstColumn="0" w:firstRowLastColumn="0" w:lastRowFirstColumn="0" w:lastRowLastColumn="0"/>
            </w:pPr>
            <w:r w:rsidRPr="009D4AE4">
              <w:t>Sensibiliser les chauffeurs de taxi et de bus aux consignes de sécurité aéroportuaire.</w:t>
            </w:r>
          </w:p>
        </w:tc>
        <w:tc>
          <w:tcPr>
            <w:tcW w:w="0" w:type="auto"/>
            <w:vMerge/>
          </w:tcPr>
          <w:p w14:paraId="6A7EA743" w14:textId="77777777" w:rsidR="00367BBA" w:rsidRPr="009D4AE4" w:rsidRDefault="00367BBA" w:rsidP="00367BBA">
            <w:pPr>
              <w:cnfStyle w:val="000000000000" w:firstRow="0" w:lastRow="0" w:firstColumn="0" w:lastColumn="0" w:oddVBand="0" w:evenVBand="0" w:oddHBand="0" w:evenHBand="0" w:firstRowFirstColumn="0" w:firstRowLastColumn="0" w:lastRowFirstColumn="0" w:lastRowLastColumn="0"/>
            </w:pPr>
          </w:p>
        </w:tc>
        <w:tc>
          <w:tcPr>
            <w:tcW w:w="0" w:type="auto"/>
            <w:vMerge/>
          </w:tcPr>
          <w:p w14:paraId="17E395A0" w14:textId="77777777" w:rsidR="00367BBA" w:rsidRPr="009D4AE4" w:rsidRDefault="00367BBA" w:rsidP="00367BBA">
            <w:pPr>
              <w:cnfStyle w:val="000000000000" w:firstRow="0" w:lastRow="0" w:firstColumn="0" w:lastColumn="0" w:oddVBand="0" w:evenVBand="0" w:oddHBand="0" w:evenHBand="0" w:firstRowFirstColumn="0" w:firstRowLastColumn="0" w:lastRowFirstColumn="0" w:lastRowLastColumn="0"/>
            </w:pPr>
          </w:p>
        </w:tc>
        <w:tc>
          <w:tcPr>
            <w:tcW w:w="0" w:type="auto"/>
            <w:vMerge/>
          </w:tcPr>
          <w:p w14:paraId="10EFDE44" w14:textId="77777777" w:rsidR="00367BBA" w:rsidRDefault="00367BBA" w:rsidP="00367BBA">
            <w:pPr>
              <w:cnfStyle w:val="000000000000" w:firstRow="0" w:lastRow="0" w:firstColumn="0" w:lastColumn="0" w:oddVBand="0" w:evenVBand="0" w:oddHBand="0" w:evenHBand="0" w:firstRowFirstColumn="0" w:firstRowLastColumn="0" w:lastRowFirstColumn="0" w:lastRowLastColumn="0"/>
            </w:pPr>
          </w:p>
        </w:tc>
        <w:tc>
          <w:tcPr>
            <w:tcW w:w="0" w:type="auto"/>
            <w:vMerge/>
          </w:tcPr>
          <w:p w14:paraId="5D2E8096" w14:textId="77777777" w:rsidR="00367BBA" w:rsidRPr="009D4AE4" w:rsidRDefault="00367BBA" w:rsidP="00367BBA">
            <w:pPr>
              <w:cnfStyle w:val="000000000000" w:firstRow="0" w:lastRow="0" w:firstColumn="0" w:lastColumn="0" w:oddVBand="0" w:evenVBand="0" w:oddHBand="0" w:evenHBand="0" w:firstRowFirstColumn="0" w:firstRowLastColumn="0" w:lastRowFirstColumn="0" w:lastRowLastColumn="0"/>
            </w:pPr>
          </w:p>
        </w:tc>
        <w:tc>
          <w:tcPr>
            <w:tcW w:w="0" w:type="auto"/>
            <w:vMerge/>
          </w:tcPr>
          <w:p w14:paraId="5C07E8EF" w14:textId="77777777" w:rsidR="00367BBA" w:rsidRPr="009D4AE4" w:rsidRDefault="00367BBA" w:rsidP="00367BBA">
            <w:pPr>
              <w:cnfStyle w:val="000000000000" w:firstRow="0" w:lastRow="0" w:firstColumn="0" w:lastColumn="0" w:oddVBand="0" w:evenVBand="0" w:oddHBand="0" w:evenHBand="0" w:firstRowFirstColumn="0" w:firstRowLastColumn="0" w:lastRowFirstColumn="0" w:lastRowLastColumn="0"/>
            </w:pPr>
          </w:p>
        </w:tc>
        <w:tc>
          <w:tcPr>
            <w:tcW w:w="0" w:type="auto"/>
            <w:tcBorders>
              <w:top w:val="single" w:sz="4" w:space="0" w:color="B4C6E7" w:themeColor="accent1" w:themeTint="66"/>
            </w:tcBorders>
          </w:tcPr>
          <w:p w14:paraId="36800EFD" w14:textId="0C52F06F" w:rsidR="00367BBA" w:rsidRPr="009D4AE4" w:rsidRDefault="00367BBA" w:rsidP="00367BBA">
            <w:pPr>
              <w:cnfStyle w:val="000000000000" w:firstRow="0" w:lastRow="0" w:firstColumn="0" w:lastColumn="0" w:oddVBand="0" w:evenVBand="0" w:oddHBand="0" w:evenHBand="0" w:firstRowFirstColumn="0" w:firstRowLastColumn="0" w:lastRowFirstColumn="0" w:lastRowLastColumn="0"/>
            </w:pPr>
            <w:r>
              <w:t>Aucun coût spécifique (assuré par responsable HSSE de l’aéroport)</w:t>
            </w:r>
          </w:p>
        </w:tc>
      </w:tr>
      <w:tr w:rsidR="00367BBA" w:rsidRPr="009D4AE4" w14:paraId="7934410C" w14:textId="77777777" w:rsidTr="005A7661">
        <w:trPr>
          <w:trHeight w:val="3167"/>
        </w:trPr>
        <w:tc>
          <w:tcPr>
            <w:cnfStyle w:val="001000000000" w:firstRow="0" w:lastRow="0" w:firstColumn="1" w:lastColumn="0" w:oddVBand="0" w:evenVBand="0" w:oddHBand="0" w:evenHBand="0" w:firstRowFirstColumn="0" w:firstRowLastColumn="0" w:lastRowFirstColumn="0" w:lastRowLastColumn="0"/>
            <w:tcW w:w="0" w:type="auto"/>
            <w:vMerge/>
            <w:tcBorders>
              <w:bottom w:val="single" w:sz="4" w:space="0" w:color="B4C6E7"/>
            </w:tcBorders>
            <w:hideMark/>
          </w:tcPr>
          <w:p w14:paraId="18FCD080" w14:textId="77777777" w:rsidR="00367BBA" w:rsidRPr="009D4AE4" w:rsidRDefault="00367BBA" w:rsidP="00367BBA"/>
        </w:tc>
        <w:tc>
          <w:tcPr>
            <w:tcW w:w="0" w:type="auto"/>
            <w:tcBorders>
              <w:bottom w:val="single" w:sz="4" w:space="0" w:color="B4C6E7"/>
            </w:tcBorders>
            <w:hideMark/>
          </w:tcPr>
          <w:p w14:paraId="35D775B9" w14:textId="77777777" w:rsidR="00367BBA" w:rsidRPr="009D4AE4" w:rsidRDefault="00367BBA" w:rsidP="00367BBA">
            <w:pPr>
              <w:cnfStyle w:val="000000000000" w:firstRow="0" w:lastRow="0" w:firstColumn="0" w:lastColumn="0" w:oddVBand="0" w:evenVBand="0" w:oddHBand="0" w:evenHBand="0" w:firstRowFirstColumn="0" w:firstRowLastColumn="0" w:lastRowFirstColumn="0" w:lastRowLastColumn="0"/>
              <w:rPr>
                <w:b/>
                <w:bCs/>
              </w:rPr>
            </w:pPr>
            <w:r w:rsidRPr="009D4AE4">
              <w:rPr>
                <w:b/>
                <w:bCs/>
              </w:rPr>
              <w:t>Atténuer</w:t>
            </w:r>
          </w:p>
        </w:tc>
        <w:tc>
          <w:tcPr>
            <w:tcW w:w="0" w:type="auto"/>
            <w:tcBorders>
              <w:bottom w:val="single" w:sz="4" w:space="0" w:color="B4C6E7"/>
            </w:tcBorders>
            <w:hideMark/>
          </w:tcPr>
          <w:p w14:paraId="25CC0F07" w14:textId="6D5CE8A7" w:rsidR="00367BBA" w:rsidRPr="009D4AE4" w:rsidRDefault="00367BBA" w:rsidP="00367BBA">
            <w:pPr>
              <w:cnfStyle w:val="000000000000" w:firstRow="0" w:lastRow="0" w:firstColumn="0" w:lastColumn="0" w:oddVBand="0" w:evenVBand="0" w:oddHBand="0" w:evenHBand="0" w:firstRowFirstColumn="0" w:firstRowLastColumn="0" w:lastRowFirstColumn="0" w:lastRowLastColumn="0"/>
            </w:pPr>
            <w:r w:rsidRPr="009D4AE4">
              <w:t xml:space="preserve"> Évaluer et ajuster périodiquement la configuration des flux internes (audit de circulation).</w:t>
            </w:r>
          </w:p>
        </w:tc>
        <w:tc>
          <w:tcPr>
            <w:tcW w:w="0" w:type="auto"/>
            <w:tcBorders>
              <w:bottom w:val="single" w:sz="4" w:space="0" w:color="B4C6E7"/>
            </w:tcBorders>
            <w:hideMark/>
          </w:tcPr>
          <w:p w14:paraId="028B01FF" w14:textId="3A813AA4" w:rsidR="00367BBA" w:rsidRDefault="00367BBA" w:rsidP="00367BBA">
            <w:pPr>
              <w:cnfStyle w:val="000000000000" w:firstRow="0" w:lastRow="0" w:firstColumn="0" w:lastColumn="0" w:oddVBand="0" w:evenVBand="0" w:oddHBand="0" w:evenHBand="0" w:firstRowFirstColumn="0" w:firstRowLastColumn="0" w:lastRowFirstColumn="0" w:lastRowLastColumn="0"/>
            </w:pPr>
            <w:r w:rsidRPr="009D4AE4">
              <w:t xml:space="preserve">Nb de réajustements effectués/an ; </w:t>
            </w:r>
          </w:p>
          <w:p w14:paraId="20694AB3" w14:textId="637E6239" w:rsidR="00367BBA" w:rsidRPr="009D4AE4" w:rsidRDefault="00367BBA" w:rsidP="00367BBA">
            <w:pPr>
              <w:cnfStyle w:val="000000000000" w:firstRow="0" w:lastRow="0" w:firstColumn="0" w:lastColumn="0" w:oddVBand="0" w:evenVBand="0" w:oddHBand="0" w:evenHBand="0" w:firstRowFirstColumn="0" w:firstRowLastColumn="0" w:lastRowFirstColumn="0" w:lastRowLastColumn="0"/>
            </w:pPr>
            <w:r w:rsidRPr="009D4AE4">
              <w:t>Temps moyen d’attente dans les zones de dépose.</w:t>
            </w:r>
          </w:p>
        </w:tc>
        <w:tc>
          <w:tcPr>
            <w:tcW w:w="0" w:type="auto"/>
            <w:tcBorders>
              <w:bottom w:val="single" w:sz="4" w:space="0" w:color="B4C6E7"/>
            </w:tcBorders>
            <w:hideMark/>
          </w:tcPr>
          <w:p w14:paraId="02636FA0" w14:textId="01876544" w:rsidR="00367BBA" w:rsidRPr="009D4AE4" w:rsidRDefault="00367BBA" w:rsidP="00367BBA">
            <w:pPr>
              <w:cnfStyle w:val="000000000000" w:firstRow="0" w:lastRow="0" w:firstColumn="0" w:lastColumn="0" w:oddVBand="0" w:evenVBand="0" w:oddHBand="0" w:evenHBand="0" w:firstRowFirstColumn="0" w:firstRowLastColumn="0" w:lastRowFirstColumn="0" w:lastRowLastColumn="0"/>
            </w:pPr>
            <w:r w:rsidRPr="009D4AE4">
              <w:t>ONDA / Exploitant</w:t>
            </w:r>
          </w:p>
        </w:tc>
        <w:tc>
          <w:tcPr>
            <w:tcW w:w="0" w:type="auto"/>
            <w:tcBorders>
              <w:bottom w:val="single" w:sz="4" w:space="0" w:color="B4C6E7"/>
            </w:tcBorders>
            <w:hideMark/>
          </w:tcPr>
          <w:p w14:paraId="3BBE0240" w14:textId="5AEB2517" w:rsidR="00367BBA" w:rsidRPr="009D4AE4" w:rsidRDefault="00367BBA" w:rsidP="00367BBA">
            <w:pPr>
              <w:cnfStyle w:val="000000000000" w:firstRow="0" w:lastRow="0" w:firstColumn="0" w:lastColumn="0" w:oddVBand="0" w:evenVBand="0" w:oddHBand="0" w:evenHBand="0" w:firstRowFirstColumn="0" w:firstRowLastColumn="0" w:lastRowFirstColumn="0" w:lastRowLastColumn="0"/>
            </w:pPr>
            <w:r>
              <w:t>ONDA</w:t>
            </w:r>
          </w:p>
        </w:tc>
        <w:tc>
          <w:tcPr>
            <w:tcW w:w="0" w:type="auto"/>
            <w:tcBorders>
              <w:bottom w:val="single" w:sz="4" w:space="0" w:color="B4C6E7"/>
            </w:tcBorders>
            <w:hideMark/>
          </w:tcPr>
          <w:p w14:paraId="036922C7" w14:textId="7718AC37" w:rsidR="00367BBA" w:rsidRPr="009D4AE4" w:rsidRDefault="00367BBA" w:rsidP="00367BBA">
            <w:pPr>
              <w:cnfStyle w:val="000000000000" w:firstRow="0" w:lastRow="0" w:firstColumn="0" w:lastColumn="0" w:oddVBand="0" w:evenVBand="0" w:oddHBand="0" w:evenHBand="0" w:firstRowFirstColumn="0" w:firstRowLastColumn="0" w:lastRowFirstColumn="0" w:lastRowLastColumn="0"/>
            </w:pPr>
            <w:r w:rsidRPr="009D4AE4">
              <w:t xml:space="preserve">ONDA </w:t>
            </w:r>
          </w:p>
        </w:tc>
        <w:tc>
          <w:tcPr>
            <w:tcW w:w="0" w:type="auto"/>
            <w:tcBorders>
              <w:bottom w:val="single" w:sz="4" w:space="0" w:color="B4C6E7"/>
            </w:tcBorders>
            <w:hideMark/>
          </w:tcPr>
          <w:p w14:paraId="7367E862" w14:textId="77777777" w:rsidR="00367BBA" w:rsidRPr="009D4AE4" w:rsidRDefault="00367BBA" w:rsidP="00367BBA">
            <w:pPr>
              <w:cnfStyle w:val="000000000000" w:firstRow="0" w:lastRow="0" w:firstColumn="0" w:lastColumn="0" w:oddVBand="0" w:evenVBand="0" w:oddHBand="0" w:evenHBand="0" w:firstRowFirstColumn="0" w:firstRowLastColumn="0" w:lastRowFirstColumn="0" w:lastRowLastColumn="0"/>
            </w:pPr>
            <w:r w:rsidRPr="009D4AE4">
              <w:t>Trimestriel</w:t>
            </w:r>
          </w:p>
        </w:tc>
        <w:tc>
          <w:tcPr>
            <w:tcW w:w="0" w:type="auto"/>
            <w:hideMark/>
          </w:tcPr>
          <w:p w14:paraId="744AEB5D" w14:textId="2A8CBC07" w:rsidR="00367BBA" w:rsidRPr="009D4AE4" w:rsidRDefault="00367BBA" w:rsidP="00367BBA">
            <w:pPr>
              <w:cnfStyle w:val="000000000000" w:firstRow="0" w:lastRow="0" w:firstColumn="0" w:lastColumn="0" w:oddVBand="0" w:evenVBand="0" w:oddHBand="0" w:evenHBand="0" w:firstRowFirstColumn="0" w:firstRowLastColumn="0" w:lastRowFirstColumn="0" w:lastRowLastColumn="0"/>
            </w:pPr>
            <w:r>
              <w:t>1</w:t>
            </w:r>
            <w:r w:rsidRPr="00367BBA">
              <w:t>5 000 MAD / audit annuel</w:t>
            </w:r>
          </w:p>
        </w:tc>
      </w:tr>
      <w:tr w:rsidR="00367BBA" w:rsidRPr="009D4AE4" w14:paraId="3C33DEE3" w14:textId="77777777" w:rsidTr="00BC012C">
        <w:trPr>
          <w:trHeight w:val="947"/>
        </w:trPr>
        <w:tc>
          <w:tcPr>
            <w:cnfStyle w:val="001000000000" w:firstRow="0" w:lastRow="0" w:firstColumn="1" w:lastColumn="0" w:oddVBand="0" w:evenVBand="0" w:oddHBand="0" w:evenHBand="0" w:firstRowFirstColumn="0" w:firstRowLastColumn="0" w:lastRowFirstColumn="0" w:lastRowLastColumn="0"/>
            <w:tcW w:w="0" w:type="auto"/>
            <w:vMerge/>
            <w:hideMark/>
          </w:tcPr>
          <w:p w14:paraId="64B069B6" w14:textId="77777777" w:rsidR="00367BBA" w:rsidRPr="009D4AE4" w:rsidRDefault="00367BBA" w:rsidP="00367BBA"/>
        </w:tc>
        <w:tc>
          <w:tcPr>
            <w:tcW w:w="0" w:type="auto"/>
            <w:vMerge w:val="restart"/>
            <w:hideMark/>
          </w:tcPr>
          <w:p w14:paraId="5ED44ACD" w14:textId="77777777" w:rsidR="00367BBA" w:rsidRPr="009D4AE4" w:rsidRDefault="00367BBA" w:rsidP="00367BBA">
            <w:pPr>
              <w:cnfStyle w:val="000000000000" w:firstRow="0" w:lastRow="0" w:firstColumn="0" w:lastColumn="0" w:oddVBand="0" w:evenVBand="0" w:oddHBand="0" w:evenHBand="0" w:firstRowFirstColumn="0" w:firstRowLastColumn="0" w:lastRowFirstColumn="0" w:lastRowLastColumn="0"/>
              <w:rPr>
                <w:b/>
                <w:bCs/>
              </w:rPr>
            </w:pPr>
            <w:r w:rsidRPr="009D4AE4">
              <w:rPr>
                <w:b/>
                <w:bCs/>
              </w:rPr>
              <w:t>Compenser</w:t>
            </w:r>
          </w:p>
        </w:tc>
        <w:tc>
          <w:tcPr>
            <w:tcW w:w="0" w:type="auto"/>
            <w:tcBorders>
              <w:bottom w:val="single" w:sz="4" w:space="0" w:color="B4C6E7" w:themeColor="accent1" w:themeTint="66"/>
            </w:tcBorders>
            <w:hideMark/>
          </w:tcPr>
          <w:p w14:paraId="11467297" w14:textId="1DB89926" w:rsidR="00367BBA" w:rsidRPr="009D4AE4" w:rsidRDefault="00367BBA" w:rsidP="00367BBA">
            <w:pPr>
              <w:cnfStyle w:val="000000000000" w:firstRow="0" w:lastRow="0" w:firstColumn="0" w:lastColumn="0" w:oddVBand="0" w:evenVBand="0" w:oddHBand="0" w:evenHBand="0" w:firstRowFirstColumn="0" w:firstRowLastColumn="0" w:lastRowFirstColumn="0" w:lastRowLastColumn="0"/>
            </w:pPr>
            <w:r w:rsidRPr="009D4AE4">
              <w:t xml:space="preserve">Améliorer les infrastructures de confort pour les usagers (abris, signalétique, assises) ; </w:t>
            </w:r>
          </w:p>
        </w:tc>
        <w:tc>
          <w:tcPr>
            <w:tcW w:w="0" w:type="auto"/>
            <w:vMerge w:val="restart"/>
            <w:hideMark/>
          </w:tcPr>
          <w:p w14:paraId="6D601804" w14:textId="5717A1B6" w:rsidR="00367BBA" w:rsidRDefault="00367BBA" w:rsidP="00367BBA">
            <w:pPr>
              <w:cnfStyle w:val="000000000000" w:firstRow="0" w:lastRow="0" w:firstColumn="0" w:lastColumn="0" w:oddVBand="0" w:evenVBand="0" w:oddHBand="0" w:evenHBand="0" w:firstRowFirstColumn="0" w:firstRowLastColumn="0" w:lastRowFirstColumn="0" w:lastRowLastColumn="0"/>
            </w:pPr>
            <w:r w:rsidRPr="009D4AE4">
              <w:t xml:space="preserve">Nb d’aménagements réalisés ; </w:t>
            </w:r>
          </w:p>
          <w:p w14:paraId="56A6D5B5" w14:textId="5866733F" w:rsidR="00367BBA" w:rsidRPr="009D4AE4" w:rsidRDefault="00367BBA" w:rsidP="00367BBA">
            <w:pPr>
              <w:cnfStyle w:val="000000000000" w:firstRow="0" w:lastRow="0" w:firstColumn="0" w:lastColumn="0" w:oddVBand="0" w:evenVBand="0" w:oddHBand="0" w:evenHBand="0" w:firstRowFirstColumn="0" w:firstRowLastColumn="0" w:lastRowFirstColumn="0" w:lastRowLastColumn="0"/>
            </w:pPr>
            <w:r w:rsidRPr="009D4AE4">
              <w:t>Niveau de satisfaction des usagers.</w:t>
            </w:r>
          </w:p>
        </w:tc>
        <w:tc>
          <w:tcPr>
            <w:tcW w:w="0" w:type="auto"/>
            <w:vMerge w:val="restart"/>
            <w:hideMark/>
          </w:tcPr>
          <w:p w14:paraId="59616C33" w14:textId="7E83E0DC" w:rsidR="00367BBA" w:rsidRPr="009D4AE4" w:rsidRDefault="00367BBA" w:rsidP="00367BBA">
            <w:pPr>
              <w:cnfStyle w:val="000000000000" w:firstRow="0" w:lastRow="0" w:firstColumn="0" w:lastColumn="0" w:oddVBand="0" w:evenVBand="0" w:oddHBand="0" w:evenHBand="0" w:firstRowFirstColumn="0" w:firstRowLastColumn="0" w:lastRowFirstColumn="0" w:lastRowLastColumn="0"/>
            </w:pPr>
            <w:r w:rsidRPr="009D4AE4">
              <w:t>ONDA / Exploitant</w:t>
            </w:r>
          </w:p>
        </w:tc>
        <w:tc>
          <w:tcPr>
            <w:tcW w:w="0" w:type="auto"/>
            <w:vMerge w:val="restart"/>
            <w:hideMark/>
          </w:tcPr>
          <w:p w14:paraId="0980CC81" w14:textId="1D2C9012" w:rsidR="00367BBA" w:rsidRPr="009D4AE4" w:rsidRDefault="00367BBA" w:rsidP="00367BBA">
            <w:pPr>
              <w:cnfStyle w:val="000000000000" w:firstRow="0" w:lastRow="0" w:firstColumn="0" w:lastColumn="0" w:oddVBand="0" w:evenVBand="0" w:oddHBand="0" w:evenHBand="0" w:firstRowFirstColumn="0" w:firstRowLastColumn="0" w:lastRowFirstColumn="0" w:lastRowLastColumn="0"/>
            </w:pPr>
            <w:r>
              <w:t>ONDA</w:t>
            </w:r>
          </w:p>
        </w:tc>
        <w:tc>
          <w:tcPr>
            <w:tcW w:w="0" w:type="auto"/>
            <w:vMerge w:val="restart"/>
            <w:hideMark/>
          </w:tcPr>
          <w:p w14:paraId="2D321A86" w14:textId="78611A40" w:rsidR="00367BBA" w:rsidRPr="009D4AE4" w:rsidRDefault="00367BBA" w:rsidP="00367BBA">
            <w:pPr>
              <w:cnfStyle w:val="000000000000" w:firstRow="0" w:lastRow="0" w:firstColumn="0" w:lastColumn="0" w:oddVBand="0" w:evenVBand="0" w:oddHBand="0" w:evenHBand="0" w:firstRowFirstColumn="0" w:firstRowLastColumn="0" w:lastRowFirstColumn="0" w:lastRowLastColumn="0"/>
            </w:pPr>
            <w:r w:rsidRPr="009D4AE4">
              <w:t xml:space="preserve">ONDA </w:t>
            </w:r>
          </w:p>
        </w:tc>
        <w:tc>
          <w:tcPr>
            <w:tcW w:w="0" w:type="auto"/>
            <w:vMerge w:val="restart"/>
            <w:hideMark/>
          </w:tcPr>
          <w:p w14:paraId="76306037" w14:textId="77777777" w:rsidR="00367BBA" w:rsidRPr="009D4AE4" w:rsidRDefault="00367BBA" w:rsidP="00367BBA">
            <w:pPr>
              <w:cnfStyle w:val="000000000000" w:firstRow="0" w:lastRow="0" w:firstColumn="0" w:lastColumn="0" w:oddVBand="0" w:evenVBand="0" w:oddHBand="0" w:evenHBand="0" w:firstRowFirstColumn="0" w:firstRowLastColumn="0" w:lastRowFirstColumn="0" w:lastRowLastColumn="0"/>
            </w:pPr>
            <w:r w:rsidRPr="009D4AE4">
              <w:t>Annuel</w:t>
            </w:r>
          </w:p>
        </w:tc>
        <w:tc>
          <w:tcPr>
            <w:tcW w:w="0" w:type="auto"/>
            <w:vMerge w:val="restart"/>
            <w:hideMark/>
          </w:tcPr>
          <w:p w14:paraId="38E82082" w14:textId="10B7A0E0" w:rsidR="00367BBA" w:rsidRPr="009D4AE4" w:rsidRDefault="00367BBA" w:rsidP="00367BBA">
            <w:pPr>
              <w:cnfStyle w:val="000000000000" w:firstRow="0" w:lastRow="0" w:firstColumn="0" w:lastColumn="0" w:oddVBand="0" w:evenVBand="0" w:oddHBand="0" w:evenHBand="0" w:firstRowFirstColumn="0" w:firstRowLastColumn="0" w:lastRowFirstColumn="0" w:lastRowLastColumn="0"/>
            </w:pPr>
            <w:r>
              <w:t>Inclus dans le coût de maintenance de l’aéroport</w:t>
            </w:r>
          </w:p>
        </w:tc>
      </w:tr>
      <w:tr w:rsidR="00367BBA" w:rsidRPr="009D4AE4" w14:paraId="07065077" w14:textId="77777777" w:rsidTr="005A7661">
        <w:trPr>
          <w:trHeight w:val="521"/>
        </w:trPr>
        <w:tc>
          <w:tcPr>
            <w:cnfStyle w:val="001000000000" w:firstRow="0" w:lastRow="0" w:firstColumn="1" w:lastColumn="0" w:oddVBand="0" w:evenVBand="0" w:oddHBand="0" w:evenHBand="0" w:firstRowFirstColumn="0" w:firstRowLastColumn="0" w:lastRowFirstColumn="0" w:lastRowLastColumn="0"/>
            <w:tcW w:w="0" w:type="auto"/>
            <w:vMerge/>
          </w:tcPr>
          <w:p w14:paraId="4491D41F" w14:textId="77777777" w:rsidR="00367BBA" w:rsidRPr="009D4AE4" w:rsidRDefault="00367BBA" w:rsidP="00367BBA"/>
        </w:tc>
        <w:tc>
          <w:tcPr>
            <w:tcW w:w="0" w:type="auto"/>
            <w:vMerge/>
          </w:tcPr>
          <w:p w14:paraId="29838DF8" w14:textId="77777777" w:rsidR="00367BBA" w:rsidRPr="009D4AE4" w:rsidRDefault="00367BBA" w:rsidP="00367BBA">
            <w:pPr>
              <w:cnfStyle w:val="000000000000" w:firstRow="0" w:lastRow="0" w:firstColumn="0" w:lastColumn="0" w:oddVBand="0" w:evenVBand="0" w:oddHBand="0" w:evenHBand="0" w:firstRowFirstColumn="0" w:firstRowLastColumn="0" w:lastRowFirstColumn="0" w:lastRowLastColumn="0"/>
              <w:rPr>
                <w:b/>
                <w:bCs/>
              </w:rPr>
            </w:pPr>
          </w:p>
        </w:tc>
        <w:tc>
          <w:tcPr>
            <w:tcW w:w="0" w:type="auto"/>
            <w:vMerge w:val="restart"/>
            <w:tcBorders>
              <w:top w:val="single" w:sz="4" w:space="0" w:color="B4C6E7" w:themeColor="accent1" w:themeTint="66"/>
            </w:tcBorders>
          </w:tcPr>
          <w:p w14:paraId="36EA1B5E" w14:textId="77777777" w:rsidR="00367BBA" w:rsidRPr="009D4AE4" w:rsidRDefault="00367BBA" w:rsidP="00367BBA">
            <w:pPr>
              <w:cnfStyle w:val="000000000000" w:firstRow="0" w:lastRow="0" w:firstColumn="0" w:lastColumn="0" w:oddVBand="0" w:evenVBand="0" w:oddHBand="0" w:evenHBand="0" w:firstRowFirstColumn="0" w:firstRowLastColumn="0" w:lastRowFirstColumn="0" w:lastRowLastColumn="0"/>
            </w:pPr>
            <w:r w:rsidRPr="009D4AE4">
              <w:t>Mettre en œuvre un programme d’embellissement paysager des zones publiques pour renforcer l’acceptabilité sociale.</w:t>
            </w:r>
          </w:p>
        </w:tc>
        <w:tc>
          <w:tcPr>
            <w:tcW w:w="0" w:type="auto"/>
            <w:vMerge/>
          </w:tcPr>
          <w:p w14:paraId="4E28A86F" w14:textId="77777777" w:rsidR="00367BBA" w:rsidRPr="009D4AE4" w:rsidRDefault="00367BBA" w:rsidP="00367BBA">
            <w:pPr>
              <w:cnfStyle w:val="000000000000" w:firstRow="0" w:lastRow="0" w:firstColumn="0" w:lastColumn="0" w:oddVBand="0" w:evenVBand="0" w:oddHBand="0" w:evenHBand="0" w:firstRowFirstColumn="0" w:firstRowLastColumn="0" w:lastRowFirstColumn="0" w:lastRowLastColumn="0"/>
            </w:pPr>
          </w:p>
        </w:tc>
        <w:tc>
          <w:tcPr>
            <w:tcW w:w="0" w:type="auto"/>
            <w:vMerge/>
          </w:tcPr>
          <w:p w14:paraId="08D28883" w14:textId="77777777" w:rsidR="00367BBA" w:rsidRPr="009D4AE4" w:rsidRDefault="00367BBA" w:rsidP="00367BBA">
            <w:pPr>
              <w:cnfStyle w:val="000000000000" w:firstRow="0" w:lastRow="0" w:firstColumn="0" w:lastColumn="0" w:oddVBand="0" w:evenVBand="0" w:oddHBand="0" w:evenHBand="0" w:firstRowFirstColumn="0" w:firstRowLastColumn="0" w:lastRowFirstColumn="0" w:lastRowLastColumn="0"/>
            </w:pPr>
          </w:p>
        </w:tc>
        <w:tc>
          <w:tcPr>
            <w:tcW w:w="0" w:type="auto"/>
            <w:vMerge/>
          </w:tcPr>
          <w:p w14:paraId="0FCBC96F" w14:textId="77777777" w:rsidR="00367BBA" w:rsidRDefault="00367BBA" w:rsidP="00367BBA">
            <w:pPr>
              <w:cnfStyle w:val="000000000000" w:firstRow="0" w:lastRow="0" w:firstColumn="0" w:lastColumn="0" w:oddVBand="0" w:evenVBand="0" w:oddHBand="0" w:evenHBand="0" w:firstRowFirstColumn="0" w:firstRowLastColumn="0" w:lastRowFirstColumn="0" w:lastRowLastColumn="0"/>
            </w:pPr>
          </w:p>
        </w:tc>
        <w:tc>
          <w:tcPr>
            <w:tcW w:w="0" w:type="auto"/>
            <w:vMerge/>
          </w:tcPr>
          <w:p w14:paraId="17FB5183" w14:textId="77777777" w:rsidR="00367BBA" w:rsidRPr="009D4AE4" w:rsidRDefault="00367BBA" w:rsidP="00367BBA">
            <w:pPr>
              <w:cnfStyle w:val="000000000000" w:firstRow="0" w:lastRow="0" w:firstColumn="0" w:lastColumn="0" w:oddVBand="0" w:evenVBand="0" w:oddHBand="0" w:evenHBand="0" w:firstRowFirstColumn="0" w:firstRowLastColumn="0" w:lastRowFirstColumn="0" w:lastRowLastColumn="0"/>
            </w:pPr>
          </w:p>
        </w:tc>
        <w:tc>
          <w:tcPr>
            <w:tcW w:w="0" w:type="auto"/>
            <w:vMerge/>
          </w:tcPr>
          <w:p w14:paraId="1F72CC2F" w14:textId="77777777" w:rsidR="00367BBA" w:rsidRPr="009D4AE4" w:rsidRDefault="00367BBA" w:rsidP="00367BBA">
            <w:pPr>
              <w:cnfStyle w:val="000000000000" w:firstRow="0" w:lastRow="0" w:firstColumn="0" w:lastColumn="0" w:oddVBand="0" w:evenVBand="0" w:oddHBand="0" w:evenHBand="0" w:firstRowFirstColumn="0" w:firstRowLastColumn="0" w:lastRowFirstColumn="0" w:lastRowLastColumn="0"/>
            </w:pPr>
          </w:p>
        </w:tc>
        <w:tc>
          <w:tcPr>
            <w:tcW w:w="0" w:type="auto"/>
            <w:vMerge/>
            <w:tcBorders>
              <w:bottom w:val="single" w:sz="4" w:space="0" w:color="B4C6E7" w:themeColor="accent1" w:themeTint="66"/>
            </w:tcBorders>
          </w:tcPr>
          <w:p w14:paraId="120FE664" w14:textId="77777777" w:rsidR="00367BBA" w:rsidRPr="009D4AE4" w:rsidRDefault="00367BBA" w:rsidP="00367BBA">
            <w:pPr>
              <w:cnfStyle w:val="000000000000" w:firstRow="0" w:lastRow="0" w:firstColumn="0" w:lastColumn="0" w:oddVBand="0" w:evenVBand="0" w:oddHBand="0" w:evenHBand="0" w:firstRowFirstColumn="0" w:firstRowLastColumn="0" w:lastRowFirstColumn="0" w:lastRowLastColumn="0"/>
            </w:pPr>
          </w:p>
        </w:tc>
      </w:tr>
      <w:tr w:rsidR="00367BBA" w:rsidRPr="009D4AE4" w14:paraId="090AAD34" w14:textId="77777777" w:rsidTr="005A7661">
        <w:trPr>
          <w:trHeight w:val="1560"/>
        </w:trPr>
        <w:tc>
          <w:tcPr>
            <w:cnfStyle w:val="001000000000" w:firstRow="0" w:lastRow="0" w:firstColumn="1" w:lastColumn="0" w:oddVBand="0" w:evenVBand="0" w:oddHBand="0" w:evenHBand="0" w:firstRowFirstColumn="0" w:firstRowLastColumn="0" w:lastRowFirstColumn="0" w:lastRowLastColumn="0"/>
            <w:tcW w:w="0" w:type="auto"/>
            <w:vMerge/>
          </w:tcPr>
          <w:p w14:paraId="3A26005D" w14:textId="77777777" w:rsidR="00367BBA" w:rsidRPr="009D4AE4" w:rsidRDefault="00367BBA" w:rsidP="00367BBA"/>
        </w:tc>
        <w:tc>
          <w:tcPr>
            <w:tcW w:w="0" w:type="auto"/>
            <w:vMerge/>
          </w:tcPr>
          <w:p w14:paraId="5EE8B6BE" w14:textId="77777777" w:rsidR="00367BBA" w:rsidRPr="009D4AE4" w:rsidRDefault="00367BBA" w:rsidP="00367BBA">
            <w:pPr>
              <w:cnfStyle w:val="000000000000" w:firstRow="0" w:lastRow="0" w:firstColumn="0" w:lastColumn="0" w:oddVBand="0" w:evenVBand="0" w:oddHBand="0" w:evenHBand="0" w:firstRowFirstColumn="0" w:firstRowLastColumn="0" w:lastRowFirstColumn="0" w:lastRowLastColumn="0"/>
              <w:rPr>
                <w:b/>
                <w:bCs/>
              </w:rPr>
            </w:pPr>
          </w:p>
        </w:tc>
        <w:tc>
          <w:tcPr>
            <w:tcW w:w="0" w:type="auto"/>
            <w:vMerge/>
          </w:tcPr>
          <w:p w14:paraId="20B77164" w14:textId="77777777" w:rsidR="00367BBA" w:rsidRPr="009D4AE4" w:rsidRDefault="00367BBA" w:rsidP="00367BBA">
            <w:pPr>
              <w:cnfStyle w:val="000000000000" w:firstRow="0" w:lastRow="0" w:firstColumn="0" w:lastColumn="0" w:oddVBand="0" w:evenVBand="0" w:oddHBand="0" w:evenHBand="0" w:firstRowFirstColumn="0" w:firstRowLastColumn="0" w:lastRowFirstColumn="0" w:lastRowLastColumn="0"/>
            </w:pPr>
          </w:p>
        </w:tc>
        <w:tc>
          <w:tcPr>
            <w:tcW w:w="0" w:type="auto"/>
            <w:vMerge/>
          </w:tcPr>
          <w:p w14:paraId="3885BF0D" w14:textId="77777777" w:rsidR="00367BBA" w:rsidRPr="009D4AE4" w:rsidRDefault="00367BBA" w:rsidP="00367BBA">
            <w:pPr>
              <w:cnfStyle w:val="000000000000" w:firstRow="0" w:lastRow="0" w:firstColumn="0" w:lastColumn="0" w:oddVBand="0" w:evenVBand="0" w:oddHBand="0" w:evenHBand="0" w:firstRowFirstColumn="0" w:firstRowLastColumn="0" w:lastRowFirstColumn="0" w:lastRowLastColumn="0"/>
            </w:pPr>
          </w:p>
        </w:tc>
        <w:tc>
          <w:tcPr>
            <w:tcW w:w="0" w:type="auto"/>
            <w:vMerge/>
          </w:tcPr>
          <w:p w14:paraId="7DFF38A0" w14:textId="77777777" w:rsidR="00367BBA" w:rsidRPr="009D4AE4" w:rsidRDefault="00367BBA" w:rsidP="00367BBA">
            <w:pPr>
              <w:cnfStyle w:val="000000000000" w:firstRow="0" w:lastRow="0" w:firstColumn="0" w:lastColumn="0" w:oddVBand="0" w:evenVBand="0" w:oddHBand="0" w:evenHBand="0" w:firstRowFirstColumn="0" w:firstRowLastColumn="0" w:lastRowFirstColumn="0" w:lastRowLastColumn="0"/>
            </w:pPr>
          </w:p>
        </w:tc>
        <w:tc>
          <w:tcPr>
            <w:tcW w:w="0" w:type="auto"/>
            <w:vMerge/>
          </w:tcPr>
          <w:p w14:paraId="432C4956" w14:textId="77777777" w:rsidR="00367BBA" w:rsidRDefault="00367BBA" w:rsidP="00367BBA">
            <w:pPr>
              <w:cnfStyle w:val="000000000000" w:firstRow="0" w:lastRow="0" w:firstColumn="0" w:lastColumn="0" w:oddVBand="0" w:evenVBand="0" w:oddHBand="0" w:evenHBand="0" w:firstRowFirstColumn="0" w:firstRowLastColumn="0" w:lastRowFirstColumn="0" w:lastRowLastColumn="0"/>
            </w:pPr>
          </w:p>
        </w:tc>
        <w:tc>
          <w:tcPr>
            <w:tcW w:w="0" w:type="auto"/>
            <w:vMerge/>
          </w:tcPr>
          <w:p w14:paraId="150641C9" w14:textId="77777777" w:rsidR="00367BBA" w:rsidRPr="009D4AE4" w:rsidRDefault="00367BBA" w:rsidP="00367BBA">
            <w:pPr>
              <w:cnfStyle w:val="000000000000" w:firstRow="0" w:lastRow="0" w:firstColumn="0" w:lastColumn="0" w:oddVBand="0" w:evenVBand="0" w:oddHBand="0" w:evenHBand="0" w:firstRowFirstColumn="0" w:firstRowLastColumn="0" w:lastRowFirstColumn="0" w:lastRowLastColumn="0"/>
            </w:pPr>
          </w:p>
        </w:tc>
        <w:tc>
          <w:tcPr>
            <w:tcW w:w="0" w:type="auto"/>
            <w:vMerge/>
          </w:tcPr>
          <w:p w14:paraId="2C1671D2" w14:textId="77777777" w:rsidR="00367BBA" w:rsidRPr="009D4AE4" w:rsidRDefault="00367BBA" w:rsidP="00367BBA">
            <w:pPr>
              <w:cnfStyle w:val="000000000000" w:firstRow="0" w:lastRow="0" w:firstColumn="0" w:lastColumn="0" w:oddVBand="0" w:evenVBand="0" w:oddHBand="0" w:evenHBand="0" w:firstRowFirstColumn="0" w:firstRowLastColumn="0" w:lastRowFirstColumn="0" w:lastRowLastColumn="0"/>
            </w:pPr>
          </w:p>
        </w:tc>
        <w:tc>
          <w:tcPr>
            <w:tcW w:w="0" w:type="auto"/>
            <w:tcBorders>
              <w:top w:val="single" w:sz="4" w:space="0" w:color="B4C6E7" w:themeColor="accent1" w:themeTint="66"/>
            </w:tcBorders>
          </w:tcPr>
          <w:p w14:paraId="741948CC" w14:textId="55303116" w:rsidR="00367BBA" w:rsidRPr="009D4AE4" w:rsidRDefault="00367BBA" w:rsidP="00367BBA">
            <w:pPr>
              <w:cnfStyle w:val="000000000000" w:firstRow="0" w:lastRow="0" w:firstColumn="0" w:lastColumn="0" w:oddVBand="0" w:evenVBand="0" w:oddHBand="0" w:evenHBand="0" w:firstRowFirstColumn="0" w:firstRowLastColumn="0" w:lastRowFirstColumn="0" w:lastRowLastColumn="0"/>
            </w:pPr>
            <w:r>
              <w:t>Inclus dans le coût de maintenance de l’aéroport</w:t>
            </w:r>
          </w:p>
        </w:tc>
      </w:tr>
    </w:tbl>
    <w:p w14:paraId="12E1A932" w14:textId="77777777" w:rsidR="00C10A6B" w:rsidRDefault="00C10A6B" w:rsidP="004637C7"/>
    <w:p w14:paraId="7FCA9B28" w14:textId="77777777" w:rsidR="00C10A6B" w:rsidRDefault="00C10A6B" w:rsidP="004637C7"/>
    <w:p w14:paraId="5497CF92" w14:textId="77777777" w:rsidR="00C10A6B" w:rsidRDefault="00C10A6B" w:rsidP="004637C7">
      <w:pPr>
        <w:pStyle w:val="Title1"/>
        <w:numPr>
          <w:ilvl w:val="0"/>
          <w:numId w:val="0"/>
        </w:numPr>
        <w:ind w:left="723" w:hanging="360"/>
        <w:rPr>
          <w:b w:val="0"/>
          <w:bCs w:val="0"/>
          <w:i/>
          <w:iCs/>
        </w:rPr>
        <w:sectPr w:rsidR="00C10A6B" w:rsidSect="004637C7">
          <w:pgSz w:w="16838" w:h="11906" w:orient="landscape"/>
          <w:pgMar w:top="1418" w:right="1418" w:bottom="1418" w:left="1276" w:header="680" w:footer="680" w:gutter="0"/>
          <w:cols w:space="708"/>
          <w:docGrid w:linePitch="360"/>
        </w:sectPr>
      </w:pPr>
    </w:p>
    <w:p w14:paraId="7C8FDAD4" w14:textId="53BA57AF" w:rsidR="00C143D5" w:rsidRDefault="004F593A" w:rsidP="00C143D5">
      <w:pPr>
        <w:pStyle w:val="Title5"/>
      </w:pPr>
      <w:r>
        <w:lastRenderedPageBreak/>
        <w:t>Evaluation des impacts résiduels</w:t>
      </w:r>
    </w:p>
    <w:p w14:paraId="5E7499B4" w14:textId="77777777" w:rsidR="00316C56" w:rsidRDefault="00316C56" w:rsidP="00316C56">
      <w:r>
        <w:t>En phase d’exploitation, les risques communautaires sont encore plus faibles, compte tenu de la nature du projet : un aéroport déjà existant, doté de procédures de sûreté, d’urgence et de communication pleinement opérationnelles.</w:t>
      </w:r>
    </w:p>
    <w:p w14:paraId="3A397E8F" w14:textId="77777777" w:rsidR="00316C56" w:rsidRDefault="00316C56" w:rsidP="00316C56">
      <w:r>
        <w:t>Les risques potentiels sont donc résiduels, mineurs et majoritairement perceptifs.</w:t>
      </w:r>
    </w:p>
    <w:p w14:paraId="37D7359E" w14:textId="77777777" w:rsidR="00316C56" w:rsidRDefault="00316C56" w:rsidP="0001633E">
      <w:pPr>
        <w:pStyle w:val="Paragraphedeliste"/>
        <w:numPr>
          <w:ilvl w:val="0"/>
          <w:numId w:val="127"/>
        </w:numPr>
      </w:pPr>
      <w:r>
        <w:t xml:space="preserve">Le risque d’exposition indirecte à un incident technique ou opérationnel interne (tel qu’un départ de feu rapidement maîtrisé, un déclenchement d’alarme ou un dégagement de fumée) est considéré </w:t>
      </w:r>
      <w:r w:rsidRPr="004637C7">
        <w:rPr>
          <w:b/>
          <w:bCs/>
        </w:rPr>
        <w:t>négligeable</w:t>
      </w:r>
      <w:r>
        <w:t>. Les dispositifs d’alerte, le plan d’urgence intégré (PUI) et la coordination continue avec la Protection Civile assurent une réaction immédiate et efficace. Les effets éventuels se limiteraient à une inquiétude passagère sans conséquence sur la santé ou la sécurité.</w:t>
      </w:r>
    </w:p>
    <w:p w14:paraId="263CD7D4" w14:textId="77777777" w:rsidR="00316C56" w:rsidRDefault="00316C56" w:rsidP="0001633E">
      <w:pPr>
        <w:pStyle w:val="Paragraphedeliste"/>
        <w:numPr>
          <w:ilvl w:val="0"/>
          <w:numId w:val="127"/>
        </w:numPr>
      </w:pPr>
      <w:r>
        <w:t xml:space="preserve">Le risque de perception d’insécurité ou d’inconfort psychologique lié aux signaux lumineux et sonores ou aux décollages nocturnes est également mineur. Ces phénomènes font partie du fonctionnement normal d’un aéroport et les voyageurs y sont familiarisés. Les messages d’information et la planification opérationnelle garantissent une acceptabilité sociale élevée et une gêne </w:t>
      </w:r>
      <w:r w:rsidRPr="004637C7">
        <w:rPr>
          <w:b/>
          <w:bCs/>
        </w:rPr>
        <w:t>quasi inexistante</w:t>
      </w:r>
      <w:r>
        <w:t xml:space="preserve"> pour les riverains.</w:t>
      </w:r>
    </w:p>
    <w:p w14:paraId="70ECD408" w14:textId="77777777" w:rsidR="00316C56" w:rsidRDefault="00316C56" w:rsidP="0001633E">
      <w:pPr>
        <w:pStyle w:val="Paragraphedeliste"/>
        <w:numPr>
          <w:ilvl w:val="0"/>
          <w:numId w:val="127"/>
        </w:numPr>
      </w:pPr>
      <w:r>
        <w:t>Enfin, le risque d’interaction entre la communauté et les flux de circulation interne (taxis, bus, parkings) reste marginal. Les zones publiques disposent d’une signalisation claire, d’un plan de circulation régulé et d’agents présents aux heures de pointe. Les rares situations de congestion n’entraînent pas de dommages corporels ni matériels significatifs. Ce risque est donc</w:t>
      </w:r>
      <w:r w:rsidRPr="004637C7">
        <w:rPr>
          <w:b/>
          <w:bCs/>
        </w:rPr>
        <w:t xml:space="preserve"> mineur</w:t>
      </w:r>
      <w:r>
        <w:t xml:space="preserve"> et fonctionnel, sans impact social ou environnemental.</w:t>
      </w:r>
    </w:p>
    <w:p w14:paraId="39BD996F" w14:textId="77777777" w:rsidR="00316C56" w:rsidRDefault="00316C56" w:rsidP="00316C56">
      <w:r>
        <w:t xml:space="preserve">Dans leur ensemble, les risques communautaires associés à la phase d’exploitation sont </w:t>
      </w:r>
      <w:r w:rsidRPr="004637C7">
        <w:rPr>
          <w:b/>
          <w:bCs/>
        </w:rPr>
        <w:t>négligeables à mineurs</w:t>
      </w:r>
      <w:r>
        <w:t>, sans menace pour la santé ou la sûreté publique, ni effet permanent sur la qualité de vie ou la cohésion sociale.</w:t>
      </w:r>
    </w:p>
    <w:p w14:paraId="68808B32" w14:textId="2C33C5F9" w:rsidR="00A364D3" w:rsidRDefault="00316C56" w:rsidP="00316C56">
      <w:r>
        <w:t xml:space="preserve">L’environnement humain et communautaire autour de l’aéroport </w:t>
      </w:r>
      <w:r w:rsidR="00A12CC2">
        <w:t>de Marrakech Ménara</w:t>
      </w:r>
      <w:r>
        <w:t xml:space="preserve"> demeurera stable, sûr et compatible avec les activités aéroportuaires.</w:t>
      </w:r>
    </w:p>
    <w:p w14:paraId="01803846" w14:textId="7FCB37CB" w:rsidR="00AA1D6D" w:rsidRPr="00AA1D6D" w:rsidRDefault="00AA1D6D" w:rsidP="00AA1D6D">
      <w:pPr>
        <w:pStyle w:val="Title3"/>
        <w:rPr>
          <w:lang w:eastAsia="zh-CN"/>
        </w:rPr>
      </w:pPr>
      <w:bookmarkStart w:id="491" w:name="_Toc215131888"/>
      <w:r w:rsidRPr="00AA1D6D">
        <w:rPr>
          <w:lang w:eastAsia="zh-CN"/>
        </w:rPr>
        <w:t>Patrimoine culturel et archéologique</w:t>
      </w:r>
      <w:bookmarkEnd w:id="488"/>
      <w:bookmarkEnd w:id="491"/>
    </w:p>
    <w:p w14:paraId="2EFB92DF" w14:textId="77777777" w:rsidR="00AA1D6D" w:rsidRDefault="00AA1D6D" w:rsidP="00AA1D6D">
      <w:pPr>
        <w:pStyle w:val="Title4"/>
      </w:pPr>
      <w:r w:rsidRPr="00AA1D6D">
        <w:t>Phase construction</w:t>
      </w:r>
    </w:p>
    <w:p w14:paraId="2A84A650" w14:textId="67FBB13E" w:rsidR="008A72E6" w:rsidRDefault="008A72E6" w:rsidP="004637C7">
      <w:pPr>
        <w:pStyle w:val="Title5"/>
      </w:pPr>
      <w:r>
        <w:t>Identification et évaluation des impacts et risques</w:t>
      </w:r>
    </w:p>
    <w:p w14:paraId="75326524" w14:textId="7FDBF36B" w:rsidR="008A72E6" w:rsidRDefault="008A72E6" w:rsidP="0001633E">
      <w:pPr>
        <w:pStyle w:val="AltTitle2"/>
        <w:numPr>
          <w:ilvl w:val="0"/>
          <w:numId w:val="106"/>
        </w:numPr>
      </w:pPr>
      <w:r w:rsidRPr="008A72E6">
        <w:t>Découverte fortuite de vestiges archéologiques ou culturels</w:t>
      </w:r>
    </w:p>
    <w:p w14:paraId="10B90048" w14:textId="0FE6C8E6" w:rsidR="008A72E6" w:rsidRDefault="008A72E6" w:rsidP="008A72E6">
      <w:r>
        <w:t xml:space="preserve">Le site du projet d’extension se situe à l’intérieur de l’enceinte clôturée de l’aéroport </w:t>
      </w:r>
      <w:r w:rsidR="00A12CC2">
        <w:t>Marrakech Ménara</w:t>
      </w:r>
      <w:r>
        <w:t>, déjà anthropisée et occupée par des infrastructures aéronautiques et techniques depuis plusieurs décennies. Aucune zone à valeur archéologique, historique ou culturelle connue n’est répertoriée dans l’emprise du projet, ni dans son voisinage immédiat.</w:t>
      </w:r>
    </w:p>
    <w:p w14:paraId="244C7CBC" w14:textId="77777777" w:rsidR="008A72E6" w:rsidRDefault="008A72E6" w:rsidP="008A72E6">
      <w:r>
        <w:t>Toutefois, la possibilité d’une découverte fortuite de vestiges archéologiques inconnus ne peut être totalement écartée, notamment lors des travaux de terrassement ou de creusement de tranchées pour les réseaux.</w:t>
      </w:r>
    </w:p>
    <w:p w14:paraId="0934D463" w14:textId="77777777" w:rsidR="008A72E6" w:rsidRDefault="008A72E6" w:rsidP="008A72E6">
      <w:r>
        <w:t xml:space="preserve">L’impact potentiel est indirect et négatif, car il ne découle pas de la nature du projet mais de la rencontre fortuite avec un élément patrimonial. Son étendue est strictement locale, limitée à la zone </w:t>
      </w:r>
      <w:r>
        <w:lastRenderedPageBreak/>
        <w:t>d’excavation concernée. La durée serait temporaire, correspondant au temps nécessaire à la découverte, à l’arrêt du chantier et à l’intervention des autorités compétentes. La fréquence de survenue est très rare, les sondages archéologiques antérieurs dans la région n’ayant jamais révélé de sites significatifs.</w:t>
      </w:r>
    </w:p>
    <w:p w14:paraId="4AC47D55" w14:textId="77777777" w:rsidR="008A72E6" w:rsidRDefault="008A72E6" w:rsidP="008A72E6">
      <w:r>
        <w:t>L’intensité de l’impact est jugée faible, car le risque de destruction patrimoniale est très limité et immédiatement maîtrisable par les procédures réglementaires en vigueur.</w:t>
      </w:r>
    </w:p>
    <w:p w14:paraId="45C0191B" w14:textId="77777777" w:rsidR="008A72E6" w:rsidRDefault="008A72E6" w:rsidP="008A72E6">
      <w:r>
        <w:t>Les récepteurs sensibles sont les biens archéologiques éventuels présents dans le sous-sol, considérés comme éléments du patrimoine national relevant du ministère de la Culture. La sensibilité du milieu est moyenne, en raison de la valeur potentielle de tout vestige historique non encore identifié.</w:t>
      </w:r>
    </w:p>
    <w:p w14:paraId="3D1ECE40" w14:textId="1F65D706" w:rsidR="008A72E6" w:rsidRDefault="008A72E6" w:rsidP="008A72E6">
      <w:r>
        <w:t>Dans ce contexte, l’importance globale de l’impact potentiel est mineure à modérée, car il s’agit d’un risque hypothétique mais pris en compte dans la gestion du projet.</w:t>
      </w:r>
    </w:p>
    <w:p w14:paraId="39F41D76" w14:textId="77777777" w:rsidR="00C50FF7" w:rsidRDefault="00C50FF7" w:rsidP="008A72E6">
      <w:pPr>
        <w:sectPr w:rsidR="00C50FF7" w:rsidSect="006C1613">
          <w:pgSz w:w="11906" w:h="16838"/>
          <w:pgMar w:top="1418" w:right="1418" w:bottom="1276" w:left="1418" w:header="680" w:footer="680" w:gutter="0"/>
          <w:cols w:space="708"/>
          <w:docGrid w:linePitch="360"/>
        </w:sectPr>
      </w:pPr>
    </w:p>
    <w:p w14:paraId="5D0C1C3A" w14:textId="5AB4D3E3" w:rsidR="00936978" w:rsidRDefault="00936978" w:rsidP="00C50FF7">
      <w:pPr>
        <w:pStyle w:val="Title5"/>
        <w:rPr>
          <w:lang w:eastAsia="zh-CN"/>
        </w:rPr>
      </w:pPr>
      <w:bookmarkStart w:id="492" w:name="_bookmark221"/>
      <w:bookmarkEnd w:id="492"/>
      <w:r w:rsidRPr="00936978">
        <w:rPr>
          <w:lang w:eastAsia="zh-CN"/>
        </w:rPr>
        <w:lastRenderedPageBreak/>
        <w:t>Mesures d’atténuation</w:t>
      </w:r>
    </w:p>
    <w:p w14:paraId="0916C719" w14:textId="7DD5BAF5" w:rsidR="00683673" w:rsidRDefault="00683673" w:rsidP="004637C7">
      <w:pPr>
        <w:rPr>
          <w:lang w:eastAsia="zh-CN"/>
        </w:rPr>
      </w:pPr>
      <w:r w:rsidRPr="00683673">
        <w:rPr>
          <w:lang w:eastAsia="zh-CN"/>
        </w:rPr>
        <w:t xml:space="preserve">Conformément à la réglementation nationale </w:t>
      </w:r>
      <w:r>
        <w:rPr>
          <w:lang w:eastAsia="zh-CN"/>
        </w:rPr>
        <w:t xml:space="preserve">(loi 33-22) </w:t>
      </w:r>
      <w:r w:rsidRPr="00683673">
        <w:rPr>
          <w:lang w:eastAsia="zh-CN"/>
        </w:rPr>
        <w:t>et aux bonnes pratiques de sauvegarde du patrimoine les mesures suivantes seront mises en œuvre :</w:t>
      </w:r>
    </w:p>
    <w:p w14:paraId="0C587C5D" w14:textId="22EF4052" w:rsidR="00715640" w:rsidRDefault="00715640" w:rsidP="004637C7">
      <w:pPr>
        <w:pStyle w:val="Lgende"/>
        <w:keepNext/>
      </w:pPr>
      <w:bookmarkStart w:id="493" w:name="_Toc213404391"/>
      <w:r>
        <w:t xml:space="preserve">Tableau </w:t>
      </w:r>
      <w:r>
        <w:fldChar w:fldCharType="begin"/>
      </w:r>
      <w:r>
        <w:instrText xml:space="preserve"> SEQ Tableau \* ARABIC </w:instrText>
      </w:r>
      <w:r>
        <w:fldChar w:fldCharType="separate"/>
      </w:r>
      <w:r w:rsidR="00274E71">
        <w:rPr>
          <w:noProof/>
        </w:rPr>
        <w:t>69</w:t>
      </w:r>
      <w:r>
        <w:fldChar w:fldCharType="end"/>
      </w:r>
      <w:r>
        <w:rPr>
          <w:lang w:val="fr-FR"/>
        </w:rPr>
        <w:t xml:space="preserve"> : </w:t>
      </w:r>
      <w:r w:rsidRPr="005A2D5C">
        <w:rPr>
          <w:lang w:val="fr-FR"/>
        </w:rPr>
        <w:t xml:space="preserve">Mesures d'atténuation – </w:t>
      </w:r>
      <w:r>
        <w:rPr>
          <w:lang w:val="fr-FR"/>
        </w:rPr>
        <w:t>Patrimoine culturel et archéologique</w:t>
      </w:r>
      <w:r w:rsidRPr="005A2D5C">
        <w:rPr>
          <w:lang w:val="fr-FR"/>
        </w:rPr>
        <w:t xml:space="preserve"> en phase</w:t>
      </w:r>
      <w:r>
        <w:rPr>
          <w:lang w:val="fr-FR"/>
        </w:rPr>
        <w:t xml:space="preserve"> de construction</w:t>
      </w:r>
      <w:bookmarkEnd w:id="493"/>
    </w:p>
    <w:tbl>
      <w:tblPr>
        <w:tblStyle w:val="TableauGrille1Clair-Accentuation111"/>
        <w:tblW w:w="0" w:type="auto"/>
        <w:tblLook w:val="04A0" w:firstRow="1" w:lastRow="0" w:firstColumn="1" w:lastColumn="0" w:noHBand="0" w:noVBand="1"/>
      </w:tblPr>
      <w:tblGrid>
        <w:gridCol w:w="1740"/>
        <w:gridCol w:w="1404"/>
        <w:gridCol w:w="2418"/>
        <w:gridCol w:w="2036"/>
        <w:gridCol w:w="978"/>
        <w:gridCol w:w="1306"/>
        <w:gridCol w:w="717"/>
        <w:gridCol w:w="1241"/>
        <w:gridCol w:w="2294"/>
      </w:tblGrid>
      <w:tr w:rsidR="003161EA" w:rsidRPr="008B7652" w14:paraId="7B57D948" w14:textId="77777777" w:rsidTr="00D11930">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0" w:type="auto"/>
            <w:hideMark/>
          </w:tcPr>
          <w:p w14:paraId="283998EB" w14:textId="6365B2FF" w:rsidR="00C50FF7" w:rsidRPr="004637C7" w:rsidRDefault="00E0436B" w:rsidP="005A7661">
            <w:pPr>
              <w:rPr>
                <w:rFonts w:asciiTheme="minorHAnsi" w:hAnsiTheme="minorHAnsi" w:cstheme="minorHAnsi"/>
                <w:szCs w:val="20"/>
              </w:rPr>
            </w:pPr>
            <w:r w:rsidRPr="004637C7">
              <w:rPr>
                <w:rFonts w:asciiTheme="minorHAnsi" w:hAnsiTheme="minorHAnsi" w:cstheme="minorHAnsi"/>
                <w:szCs w:val="20"/>
              </w:rPr>
              <w:t>Impact/risque</w:t>
            </w:r>
          </w:p>
        </w:tc>
        <w:tc>
          <w:tcPr>
            <w:tcW w:w="0" w:type="auto"/>
            <w:hideMark/>
          </w:tcPr>
          <w:p w14:paraId="44AC2A1D" w14:textId="77777777" w:rsidR="00C50FF7" w:rsidRPr="004637C7" w:rsidRDefault="00C50FF7" w:rsidP="005A7661">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4637C7">
              <w:rPr>
                <w:rFonts w:asciiTheme="minorHAnsi" w:hAnsiTheme="minorHAnsi" w:cstheme="minorHAnsi"/>
                <w:szCs w:val="20"/>
              </w:rPr>
              <w:t>Niveau d’atténuation</w:t>
            </w:r>
          </w:p>
        </w:tc>
        <w:tc>
          <w:tcPr>
            <w:tcW w:w="0" w:type="auto"/>
            <w:hideMark/>
          </w:tcPr>
          <w:p w14:paraId="1BD883F6" w14:textId="77777777" w:rsidR="00C50FF7" w:rsidRPr="004637C7" w:rsidRDefault="00C50FF7" w:rsidP="005A7661">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4637C7">
              <w:rPr>
                <w:rFonts w:asciiTheme="minorHAnsi" w:hAnsiTheme="minorHAnsi" w:cstheme="minorHAnsi"/>
                <w:szCs w:val="20"/>
              </w:rPr>
              <w:t>Mesures d’atténuation / de gestion</w:t>
            </w:r>
          </w:p>
        </w:tc>
        <w:tc>
          <w:tcPr>
            <w:tcW w:w="0" w:type="auto"/>
            <w:hideMark/>
          </w:tcPr>
          <w:p w14:paraId="5C4B3DA5" w14:textId="77777777" w:rsidR="00C50FF7" w:rsidRPr="004637C7" w:rsidRDefault="00C50FF7" w:rsidP="005A7661">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4637C7">
              <w:rPr>
                <w:rFonts w:asciiTheme="minorHAnsi" w:hAnsiTheme="minorHAnsi" w:cstheme="minorHAnsi"/>
                <w:szCs w:val="20"/>
              </w:rPr>
              <w:t>Indicateurs de performance (KPI)</w:t>
            </w:r>
          </w:p>
        </w:tc>
        <w:tc>
          <w:tcPr>
            <w:tcW w:w="0" w:type="auto"/>
            <w:hideMark/>
          </w:tcPr>
          <w:p w14:paraId="4D88D582" w14:textId="77777777" w:rsidR="00C50FF7" w:rsidRPr="004637C7" w:rsidRDefault="00C50FF7" w:rsidP="005A7661">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4637C7">
              <w:rPr>
                <w:rFonts w:asciiTheme="minorHAnsi" w:hAnsiTheme="minorHAnsi" w:cstheme="minorHAnsi"/>
                <w:szCs w:val="20"/>
              </w:rPr>
              <w:t>Mise en œuvre</w:t>
            </w:r>
          </w:p>
        </w:tc>
        <w:tc>
          <w:tcPr>
            <w:tcW w:w="0" w:type="auto"/>
            <w:hideMark/>
          </w:tcPr>
          <w:p w14:paraId="1573ABA7" w14:textId="77777777" w:rsidR="00C50FF7" w:rsidRPr="004637C7" w:rsidRDefault="00C50FF7" w:rsidP="005A7661">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4637C7">
              <w:rPr>
                <w:rFonts w:asciiTheme="minorHAnsi" w:hAnsiTheme="minorHAnsi" w:cstheme="minorHAnsi"/>
                <w:szCs w:val="20"/>
              </w:rPr>
              <w:t>Surveillance</w:t>
            </w:r>
          </w:p>
        </w:tc>
        <w:tc>
          <w:tcPr>
            <w:tcW w:w="0" w:type="auto"/>
            <w:hideMark/>
          </w:tcPr>
          <w:p w14:paraId="118CEDD4" w14:textId="77777777" w:rsidR="00C50FF7" w:rsidRPr="004637C7" w:rsidRDefault="00C50FF7" w:rsidP="005A7661">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4637C7">
              <w:rPr>
                <w:rFonts w:asciiTheme="minorHAnsi" w:hAnsiTheme="minorHAnsi" w:cstheme="minorHAnsi"/>
                <w:szCs w:val="20"/>
              </w:rPr>
              <w:t>Suivi</w:t>
            </w:r>
          </w:p>
        </w:tc>
        <w:tc>
          <w:tcPr>
            <w:tcW w:w="0" w:type="auto"/>
            <w:hideMark/>
          </w:tcPr>
          <w:p w14:paraId="668C8E6B" w14:textId="77777777" w:rsidR="00C50FF7" w:rsidRPr="004637C7" w:rsidRDefault="00C50FF7" w:rsidP="005A7661">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4637C7">
              <w:rPr>
                <w:rFonts w:asciiTheme="minorHAnsi" w:hAnsiTheme="minorHAnsi" w:cstheme="minorHAnsi"/>
                <w:szCs w:val="20"/>
              </w:rPr>
              <w:t>Calendrier</w:t>
            </w:r>
          </w:p>
        </w:tc>
        <w:tc>
          <w:tcPr>
            <w:tcW w:w="0" w:type="auto"/>
            <w:hideMark/>
          </w:tcPr>
          <w:p w14:paraId="394085C0" w14:textId="77777777" w:rsidR="00C50FF7" w:rsidRPr="004637C7" w:rsidRDefault="00C50FF7" w:rsidP="005A7661">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4637C7">
              <w:rPr>
                <w:rFonts w:asciiTheme="minorHAnsi" w:hAnsiTheme="minorHAnsi" w:cstheme="minorHAnsi"/>
                <w:szCs w:val="20"/>
              </w:rPr>
              <w:t>Coût</w:t>
            </w:r>
          </w:p>
        </w:tc>
      </w:tr>
      <w:tr w:rsidR="00007BDC" w:rsidRPr="008B7652" w14:paraId="715F6F9E" w14:textId="77777777" w:rsidTr="00007BDC">
        <w:trPr>
          <w:trHeight w:val="1015"/>
        </w:trPr>
        <w:tc>
          <w:tcPr>
            <w:cnfStyle w:val="001000000000" w:firstRow="0" w:lastRow="0" w:firstColumn="1" w:lastColumn="0" w:oddVBand="0" w:evenVBand="0" w:oddHBand="0" w:evenHBand="0" w:firstRowFirstColumn="0" w:firstRowLastColumn="0" w:lastRowFirstColumn="0" w:lastRowLastColumn="0"/>
            <w:tcW w:w="0" w:type="auto"/>
            <w:vMerge w:val="restart"/>
            <w:shd w:val="clear" w:color="auto" w:fill="auto"/>
          </w:tcPr>
          <w:p w14:paraId="654054B1" w14:textId="626F7E4D" w:rsidR="00007BDC" w:rsidRPr="004637C7" w:rsidRDefault="00007BDC" w:rsidP="003161EA">
            <w:pPr>
              <w:rPr>
                <w:rFonts w:asciiTheme="minorHAnsi" w:hAnsiTheme="minorHAnsi" w:cstheme="minorHAnsi"/>
                <w:b w:val="0"/>
                <w:bCs w:val="0"/>
                <w:szCs w:val="20"/>
              </w:rPr>
            </w:pPr>
            <w:r w:rsidRPr="004637C7">
              <w:rPr>
                <w:rFonts w:asciiTheme="minorHAnsi" w:hAnsiTheme="minorHAnsi" w:cstheme="minorHAnsi"/>
                <w:szCs w:val="20"/>
              </w:rPr>
              <w:t>Découverte fortuite de vestiges archéologiques ou culturels</w:t>
            </w:r>
          </w:p>
        </w:tc>
        <w:tc>
          <w:tcPr>
            <w:tcW w:w="0" w:type="auto"/>
            <w:vMerge w:val="restart"/>
            <w:shd w:val="clear" w:color="auto" w:fill="auto"/>
          </w:tcPr>
          <w:p w14:paraId="6FFE08B4" w14:textId="43BA45E1" w:rsidR="00007BDC" w:rsidRPr="004637C7" w:rsidRDefault="00007BDC" w:rsidP="003161EA">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Cs w:val="20"/>
              </w:rPr>
            </w:pPr>
            <w:r w:rsidRPr="004637C7">
              <w:rPr>
                <w:rFonts w:asciiTheme="minorHAnsi" w:hAnsiTheme="minorHAnsi" w:cstheme="minorHAnsi"/>
                <w:b/>
                <w:bCs/>
                <w:szCs w:val="20"/>
              </w:rPr>
              <w:t>Eviter</w:t>
            </w:r>
          </w:p>
        </w:tc>
        <w:tc>
          <w:tcPr>
            <w:tcW w:w="0" w:type="auto"/>
            <w:tcBorders>
              <w:bottom w:val="single" w:sz="4" w:space="0" w:color="B4C6E7" w:themeColor="accent1" w:themeTint="66"/>
            </w:tcBorders>
            <w:shd w:val="clear" w:color="auto" w:fill="auto"/>
          </w:tcPr>
          <w:p w14:paraId="7FA0CBA3" w14:textId="510FEA2E" w:rsidR="00007BDC" w:rsidRPr="004637C7" w:rsidRDefault="00007BDC" w:rsidP="003161EA">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4637C7">
              <w:rPr>
                <w:rFonts w:asciiTheme="minorHAnsi" w:hAnsiTheme="minorHAnsi" w:cstheme="minorHAnsi"/>
                <w:szCs w:val="20"/>
              </w:rPr>
              <w:t>Intégrer la gestion du patrimoine dans le plan environnemental et social du chantier (CESMP).</w:t>
            </w:r>
          </w:p>
        </w:tc>
        <w:tc>
          <w:tcPr>
            <w:tcW w:w="0" w:type="auto"/>
            <w:vMerge w:val="restart"/>
            <w:shd w:val="clear" w:color="auto" w:fill="auto"/>
          </w:tcPr>
          <w:p w14:paraId="6B6EB736" w14:textId="77777777" w:rsidR="00007BDC" w:rsidRPr="004637C7" w:rsidRDefault="00007BDC" w:rsidP="003161EA">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4637C7">
              <w:rPr>
                <w:rFonts w:asciiTheme="minorHAnsi" w:hAnsiTheme="minorHAnsi" w:cstheme="minorHAnsi"/>
                <w:szCs w:val="20"/>
              </w:rPr>
              <w:t>% du personnel formé sur la procédure de découverte fortuite.</w:t>
            </w:r>
          </w:p>
          <w:p w14:paraId="7850E821" w14:textId="77777777" w:rsidR="00007BDC" w:rsidRPr="004637C7" w:rsidRDefault="00007BDC" w:rsidP="003161EA">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4637C7">
              <w:rPr>
                <w:rFonts w:asciiTheme="minorHAnsi" w:hAnsiTheme="minorHAnsi" w:cstheme="minorHAnsi"/>
                <w:szCs w:val="20"/>
              </w:rPr>
              <w:t xml:space="preserve">Nb de sessions de formation réalisées avant le démarrage des terrassements. </w:t>
            </w:r>
          </w:p>
          <w:p w14:paraId="56B11BEF" w14:textId="4D3EABC8" w:rsidR="00007BDC" w:rsidRPr="004637C7" w:rsidRDefault="00007BDC" w:rsidP="003161EA">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4637C7">
              <w:rPr>
                <w:rFonts w:asciiTheme="minorHAnsi" w:hAnsiTheme="minorHAnsi" w:cstheme="minorHAnsi"/>
                <w:szCs w:val="20"/>
              </w:rPr>
              <w:t>Nb de clauses contractuelles intégrant la procédure.</w:t>
            </w:r>
          </w:p>
        </w:tc>
        <w:tc>
          <w:tcPr>
            <w:tcW w:w="0" w:type="auto"/>
            <w:vMerge w:val="restart"/>
            <w:shd w:val="clear" w:color="auto" w:fill="auto"/>
          </w:tcPr>
          <w:p w14:paraId="63897311" w14:textId="133AFFE7" w:rsidR="00007BDC" w:rsidRPr="004637C7" w:rsidRDefault="00007BDC" w:rsidP="003161EA">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4637C7">
              <w:rPr>
                <w:rFonts w:asciiTheme="minorHAnsi" w:hAnsiTheme="minorHAnsi" w:cstheme="minorHAnsi"/>
                <w:szCs w:val="20"/>
              </w:rPr>
              <w:t>EPC et sous-traitants</w:t>
            </w:r>
          </w:p>
        </w:tc>
        <w:tc>
          <w:tcPr>
            <w:tcW w:w="0" w:type="auto"/>
            <w:vMerge w:val="restart"/>
            <w:shd w:val="clear" w:color="auto" w:fill="auto"/>
          </w:tcPr>
          <w:p w14:paraId="2B104BD0" w14:textId="69B96F72" w:rsidR="00007BDC" w:rsidRPr="004637C7" w:rsidRDefault="00007BDC" w:rsidP="003161EA">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Cs w:val="20"/>
              </w:rPr>
            </w:pPr>
            <w:r w:rsidRPr="004637C7">
              <w:rPr>
                <w:rFonts w:asciiTheme="minorHAnsi" w:hAnsiTheme="minorHAnsi" w:cstheme="minorHAnsi"/>
                <w:szCs w:val="20"/>
              </w:rPr>
              <w:t>Mission de contrôle / AMO</w:t>
            </w:r>
          </w:p>
        </w:tc>
        <w:tc>
          <w:tcPr>
            <w:tcW w:w="0" w:type="auto"/>
            <w:vMerge w:val="restart"/>
            <w:shd w:val="clear" w:color="auto" w:fill="auto"/>
          </w:tcPr>
          <w:p w14:paraId="2B392EF9" w14:textId="09F553DD" w:rsidR="00007BDC" w:rsidRPr="004637C7" w:rsidRDefault="00007BDC" w:rsidP="003161EA">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Cs w:val="20"/>
              </w:rPr>
            </w:pPr>
            <w:r w:rsidRPr="004637C7">
              <w:rPr>
                <w:rFonts w:asciiTheme="minorHAnsi" w:hAnsiTheme="minorHAnsi" w:cstheme="minorHAnsi"/>
                <w:szCs w:val="20"/>
              </w:rPr>
              <w:t xml:space="preserve">ONDA </w:t>
            </w:r>
          </w:p>
        </w:tc>
        <w:tc>
          <w:tcPr>
            <w:tcW w:w="0" w:type="auto"/>
            <w:vMerge w:val="restart"/>
            <w:shd w:val="clear" w:color="auto" w:fill="auto"/>
          </w:tcPr>
          <w:p w14:paraId="4BCBDA14" w14:textId="7477895A" w:rsidR="00007BDC" w:rsidRPr="004637C7" w:rsidRDefault="00007BDC" w:rsidP="003161EA">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Cs w:val="20"/>
              </w:rPr>
            </w:pPr>
            <w:r w:rsidRPr="00BC1745">
              <w:rPr>
                <w:szCs w:val="20"/>
              </w:rPr>
              <w:t>Avant et pendant les travaux</w:t>
            </w:r>
          </w:p>
        </w:tc>
        <w:tc>
          <w:tcPr>
            <w:tcW w:w="0" w:type="auto"/>
            <w:tcBorders>
              <w:bottom w:val="single" w:sz="4" w:space="0" w:color="B4C6E7" w:themeColor="accent1" w:themeTint="66"/>
            </w:tcBorders>
            <w:shd w:val="clear" w:color="auto" w:fill="auto"/>
          </w:tcPr>
          <w:p w14:paraId="667A0003" w14:textId="72005E4D" w:rsidR="00007BDC" w:rsidRPr="004637C7" w:rsidRDefault="00007BDC" w:rsidP="003161EA">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007BDC">
              <w:rPr>
                <w:rFonts w:asciiTheme="minorHAnsi" w:hAnsiTheme="minorHAnsi" w:cstheme="minorHAnsi"/>
                <w:szCs w:val="20"/>
              </w:rPr>
              <w:t>Aucun coût spécifique</w:t>
            </w:r>
          </w:p>
        </w:tc>
      </w:tr>
      <w:tr w:rsidR="00007BDC" w:rsidRPr="008B7652" w14:paraId="02008B05" w14:textId="77777777" w:rsidTr="005A7661">
        <w:trPr>
          <w:trHeight w:val="1371"/>
        </w:trPr>
        <w:tc>
          <w:tcPr>
            <w:cnfStyle w:val="001000000000" w:firstRow="0" w:lastRow="0" w:firstColumn="1" w:lastColumn="0" w:oddVBand="0" w:evenVBand="0" w:oddHBand="0" w:evenHBand="0" w:firstRowFirstColumn="0" w:firstRowLastColumn="0" w:lastRowFirstColumn="0" w:lastRowLastColumn="0"/>
            <w:tcW w:w="0" w:type="auto"/>
            <w:vMerge/>
            <w:shd w:val="clear" w:color="auto" w:fill="auto"/>
          </w:tcPr>
          <w:p w14:paraId="2739853F" w14:textId="77777777" w:rsidR="00007BDC" w:rsidRPr="004637C7" w:rsidRDefault="00007BDC" w:rsidP="003161EA">
            <w:pPr>
              <w:rPr>
                <w:rFonts w:asciiTheme="minorHAnsi" w:hAnsiTheme="minorHAnsi" w:cstheme="minorHAnsi"/>
                <w:szCs w:val="20"/>
              </w:rPr>
            </w:pPr>
          </w:p>
        </w:tc>
        <w:tc>
          <w:tcPr>
            <w:tcW w:w="0" w:type="auto"/>
            <w:vMerge/>
            <w:shd w:val="clear" w:color="auto" w:fill="auto"/>
          </w:tcPr>
          <w:p w14:paraId="64B978A8" w14:textId="77777777" w:rsidR="00007BDC" w:rsidRPr="004637C7" w:rsidRDefault="00007BDC" w:rsidP="003161EA">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Cs w:val="20"/>
              </w:rPr>
            </w:pPr>
          </w:p>
        </w:tc>
        <w:tc>
          <w:tcPr>
            <w:tcW w:w="0" w:type="auto"/>
            <w:tcBorders>
              <w:top w:val="single" w:sz="4" w:space="0" w:color="B4C6E7" w:themeColor="accent1" w:themeTint="66"/>
            </w:tcBorders>
            <w:shd w:val="clear" w:color="auto" w:fill="auto"/>
          </w:tcPr>
          <w:p w14:paraId="3A56BCC4" w14:textId="41727F1D" w:rsidR="00007BDC" w:rsidRPr="004637C7" w:rsidRDefault="00007BDC" w:rsidP="00007BDC">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4637C7">
              <w:rPr>
                <w:rFonts w:asciiTheme="minorHAnsi" w:hAnsiTheme="minorHAnsi" w:cstheme="minorHAnsi"/>
                <w:szCs w:val="20"/>
              </w:rPr>
              <w:t>Informer et former le personnel du chantier sur la conduite à tenir en cas de découverte fortuite.</w:t>
            </w:r>
          </w:p>
        </w:tc>
        <w:tc>
          <w:tcPr>
            <w:tcW w:w="0" w:type="auto"/>
            <w:vMerge/>
            <w:shd w:val="clear" w:color="auto" w:fill="auto"/>
          </w:tcPr>
          <w:p w14:paraId="2C948F16" w14:textId="77777777" w:rsidR="00007BDC" w:rsidRPr="004637C7" w:rsidRDefault="00007BDC" w:rsidP="003161EA">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p>
        </w:tc>
        <w:tc>
          <w:tcPr>
            <w:tcW w:w="0" w:type="auto"/>
            <w:vMerge/>
            <w:shd w:val="clear" w:color="auto" w:fill="auto"/>
          </w:tcPr>
          <w:p w14:paraId="5A41F756" w14:textId="77777777" w:rsidR="00007BDC" w:rsidRPr="004637C7" w:rsidRDefault="00007BDC" w:rsidP="003161EA">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p>
        </w:tc>
        <w:tc>
          <w:tcPr>
            <w:tcW w:w="0" w:type="auto"/>
            <w:vMerge/>
            <w:shd w:val="clear" w:color="auto" w:fill="auto"/>
          </w:tcPr>
          <w:p w14:paraId="2FBA8EDC" w14:textId="77777777" w:rsidR="00007BDC" w:rsidRPr="004637C7" w:rsidRDefault="00007BDC" w:rsidP="003161EA">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p>
        </w:tc>
        <w:tc>
          <w:tcPr>
            <w:tcW w:w="0" w:type="auto"/>
            <w:vMerge/>
            <w:shd w:val="clear" w:color="auto" w:fill="auto"/>
          </w:tcPr>
          <w:p w14:paraId="230767FD" w14:textId="77777777" w:rsidR="00007BDC" w:rsidRPr="004637C7" w:rsidRDefault="00007BDC" w:rsidP="003161EA">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p>
        </w:tc>
        <w:tc>
          <w:tcPr>
            <w:tcW w:w="0" w:type="auto"/>
            <w:vMerge/>
            <w:shd w:val="clear" w:color="auto" w:fill="auto"/>
          </w:tcPr>
          <w:p w14:paraId="6E2D151F" w14:textId="77777777" w:rsidR="00007BDC" w:rsidRPr="00BC1745" w:rsidRDefault="00007BDC" w:rsidP="003161EA">
            <w:pPr>
              <w:cnfStyle w:val="000000000000" w:firstRow="0" w:lastRow="0" w:firstColumn="0" w:lastColumn="0" w:oddVBand="0" w:evenVBand="0" w:oddHBand="0" w:evenHBand="0" w:firstRowFirstColumn="0" w:firstRowLastColumn="0" w:lastRowFirstColumn="0" w:lastRowLastColumn="0"/>
              <w:rPr>
                <w:szCs w:val="20"/>
              </w:rPr>
            </w:pPr>
          </w:p>
        </w:tc>
        <w:tc>
          <w:tcPr>
            <w:tcW w:w="0" w:type="auto"/>
            <w:tcBorders>
              <w:top w:val="single" w:sz="4" w:space="0" w:color="B4C6E7" w:themeColor="accent1" w:themeTint="66"/>
            </w:tcBorders>
            <w:shd w:val="clear" w:color="auto" w:fill="auto"/>
          </w:tcPr>
          <w:p w14:paraId="529039A7" w14:textId="552E247E" w:rsidR="00007BDC" w:rsidRPr="004637C7" w:rsidRDefault="00007BDC" w:rsidP="003161EA">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007BDC">
              <w:rPr>
                <w:rFonts w:asciiTheme="minorHAnsi" w:hAnsiTheme="minorHAnsi" w:cstheme="minorHAnsi"/>
                <w:szCs w:val="20"/>
              </w:rPr>
              <w:t>6 000 MAD / session (30 pers.)</w:t>
            </w:r>
          </w:p>
        </w:tc>
      </w:tr>
      <w:tr w:rsidR="00007BDC" w:rsidRPr="008B7652" w14:paraId="30E31DA2" w14:textId="77777777" w:rsidTr="00007BDC">
        <w:trPr>
          <w:trHeight w:val="1309"/>
        </w:trPr>
        <w:tc>
          <w:tcPr>
            <w:cnfStyle w:val="001000000000" w:firstRow="0" w:lastRow="0" w:firstColumn="1" w:lastColumn="0" w:oddVBand="0" w:evenVBand="0" w:oddHBand="0" w:evenHBand="0" w:firstRowFirstColumn="0" w:firstRowLastColumn="0" w:lastRowFirstColumn="0" w:lastRowLastColumn="0"/>
            <w:tcW w:w="0" w:type="auto"/>
            <w:vMerge/>
            <w:shd w:val="clear" w:color="auto" w:fill="auto"/>
          </w:tcPr>
          <w:p w14:paraId="5748ED39" w14:textId="77777777" w:rsidR="00007BDC" w:rsidRPr="004637C7" w:rsidRDefault="00007BDC" w:rsidP="00007BDC">
            <w:pPr>
              <w:rPr>
                <w:rFonts w:asciiTheme="minorHAnsi" w:hAnsiTheme="minorHAnsi" w:cstheme="minorHAnsi"/>
                <w:szCs w:val="20"/>
              </w:rPr>
            </w:pPr>
          </w:p>
        </w:tc>
        <w:tc>
          <w:tcPr>
            <w:tcW w:w="0" w:type="auto"/>
            <w:vMerge/>
            <w:shd w:val="clear" w:color="auto" w:fill="auto"/>
          </w:tcPr>
          <w:p w14:paraId="23C17F0C" w14:textId="77777777" w:rsidR="00007BDC" w:rsidRPr="004637C7" w:rsidRDefault="00007BDC" w:rsidP="00007BDC">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Cs w:val="20"/>
              </w:rPr>
            </w:pPr>
          </w:p>
        </w:tc>
        <w:tc>
          <w:tcPr>
            <w:tcW w:w="0" w:type="auto"/>
            <w:tcBorders>
              <w:top w:val="single" w:sz="4" w:space="0" w:color="B4C6E7" w:themeColor="accent1" w:themeTint="66"/>
            </w:tcBorders>
            <w:shd w:val="clear" w:color="auto" w:fill="auto"/>
          </w:tcPr>
          <w:p w14:paraId="5133B2F2" w14:textId="77777777" w:rsidR="00007BDC" w:rsidRPr="004637C7" w:rsidRDefault="00007BDC" w:rsidP="00007BDC">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4637C7">
              <w:rPr>
                <w:rFonts w:asciiTheme="minorHAnsi" w:hAnsiTheme="minorHAnsi" w:cstheme="minorHAnsi"/>
                <w:szCs w:val="20"/>
              </w:rPr>
              <w:t>Prévoir une procédure d’arrêt immédiat des travaux dans la zone concernée dès la découverte d’un vestige.</w:t>
            </w:r>
          </w:p>
        </w:tc>
        <w:tc>
          <w:tcPr>
            <w:tcW w:w="0" w:type="auto"/>
            <w:vMerge/>
            <w:shd w:val="clear" w:color="auto" w:fill="auto"/>
          </w:tcPr>
          <w:p w14:paraId="4764C19C" w14:textId="77777777" w:rsidR="00007BDC" w:rsidRPr="004637C7" w:rsidRDefault="00007BDC" w:rsidP="00007BDC">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p>
        </w:tc>
        <w:tc>
          <w:tcPr>
            <w:tcW w:w="0" w:type="auto"/>
            <w:vMerge/>
            <w:shd w:val="clear" w:color="auto" w:fill="auto"/>
          </w:tcPr>
          <w:p w14:paraId="7F645363" w14:textId="77777777" w:rsidR="00007BDC" w:rsidRPr="004637C7" w:rsidRDefault="00007BDC" w:rsidP="00007BDC">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p>
        </w:tc>
        <w:tc>
          <w:tcPr>
            <w:tcW w:w="0" w:type="auto"/>
            <w:vMerge/>
            <w:shd w:val="clear" w:color="auto" w:fill="auto"/>
          </w:tcPr>
          <w:p w14:paraId="46DFF560" w14:textId="77777777" w:rsidR="00007BDC" w:rsidRPr="004637C7" w:rsidRDefault="00007BDC" w:rsidP="00007BDC">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p>
        </w:tc>
        <w:tc>
          <w:tcPr>
            <w:tcW w:w="0" w:type="auto"/>
            <w:vMerge/>
            <w:shd w:val="clear" w:color="auto" w:fill="auto"/>
          </w:tcPr>
          <w:p w14:paraId="18D539D2" w14:textId="77777777" w:rsidR="00007BDC" w:rsidRPr="004637C7" w:rsidRDefault="00007BDC" w:rsidP="00007BDC">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p>
        </w:tc>
        <w:tc>
          <w:tcPr>
            <w:tcW w:w="0" w:type="auto"/>
            <w:vMerge/>
            <w:shd w:val="clear" w:color="auto" w:fill="auto"/>
          </w:tcPr>
          <w:p w14:paraId="4717EDE1" w14:textId="77777777" w:rsidR="00007BDC" w:rsidRPr="00BC1745" w:rsidRDefault="00007BDC" w:rsidP="00007BDC">
            <w:pPr>
              <w:cnfStyle w:val="000000000000" w:firstRow="0" w:lastRow="0" w:firstColumn="0" w:lastColumn="0" w:oddVBand="0" w:evenVBand="0" w:oddHBand="0" w:evenHBand="0" w:firstRowFirstColumn="0" w:firstRowLastColumn="0" w:lastRowFirstColumn="0" w:lastRowLastColumn="0"/>
              <w:rPr>
                <w:szCs w:val="20"/>
              </w:rPr>
            </w:pPr>
          </w:p>
        </w:tc>
        <w:tc>
          <w:tcPr>
            <w:tcW w:w="0" w:type="auto"/>
            <w:tcBorders>
              <w:top w:val="single" w:sz="4" w:space="0" w:color="B4C6E7" w:themeColor="accent1" w:themeTint="66"/>
            </w:tcBorders>
            <w:shd w:val="clear" w:color="auto" w:fill="auto"/>
          </w:tcPr>
          <w:p w14:paraId="7C0D9A3D" w14:textId="05C3F460" w:rsidR="00007BDC" w:rsidRPr="004637C7" w:rsidRDefault="00007BDC" w:rsidP="00007BDC">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007BDC">
              <w:rPr>
                <w:rFonts w:asciiTheme="minorHAnsi" w:hAnsiTheme="minorHAnsi" w:cstheme="minorHAnsi"/>
                <w:szCs w:val="20"/>
              </w:rPr>
              <w:t>Aucun coût spécifique</w:t>
            </w:r>
          </w:p>
        </w:tc>
      </w:tr>
      <w:tr w:rsidR="00007BDC" w:rsidRPr="008B7652" w14:paraId="2A4CECAD" w14:textId="77777777" w:rsidTr="00007BDC">
        <w:trPr>
          <w:trHeight w:val="1025"/>
        </w:trPr>
        <w:tc>
          <w:tcPr>
            <w:cnfStyle w:val="001000000000" w:firstRow="0" w:lastRow="0" w:firstColumn="1" w:lastColumn="0" w:oddVBand="0" w:evenVBand="0" w:oddHBand="0" w:evenHBand="0" w:firstRowFirstColumn="0" w:firstRowLastColumn="0" w:lastRowFirstColumn="0" w:lastRowLastColumn="0"/>
            <w:tcW w:w="0" w:type="auto"/>
            <w:vMerge/>
            <w:shd w:val="clear" w:color="auto" w:fill="auto"/>
          </w:tcPr>
          <w:p w14:paraId="521B4C9A" w14:textId="77777777" w:rsidR="00007BDC" w:rsidRPr="004637C7" w:rsidRDefault="00007BDC" w:rsidP="00007BDC">
            <w:pPr>
              <w:rPr>
                <w:rFonts w:asciiTheme="minorHAnsi" w:hAnsiTheme="minorHAnsi" w:cstheme="minorHAnsi"/>
                <w:b w:val="0"/>
                <w:bCs w:val="0"/>
                <w:szCs w:val="20"/>
              </w:rPr>
            </w:pPr>
          </w:p>
        </w:tc>
        <w:tc>
          <w:tcPr>
            <w:tcW w:w="0" w:type="auto"/>
            <w:vMerge w:val="restart"/>
            <w:shd w:val="clear" w:color="auto" w:fill="auto"/>
          </w:tcPr>
          <w:p w14:paraId="7C5694A5" w14:textId="37DEEF41" w:rsidR="00007BDC" w:rsidRPr="004637C7" w:rsidRDefault="00007BDC" w:rsidP="00007BDC">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Cs w:val="20"/>
              </w:rPr>
            </w:pPr>
            <w:r w:rsidRPr="004637C7">
              <w:rPr>
                <w:rFonts w:asciiTheme="minorHAnsi" w:hAnsiTheme="minorHAnsi" w:cstheme="minorHAnsi"/>
                <w:b/>
                <w:bCs/>
                <w:szCs w:val="20"/>
              </w:rPr>
              <w:t>Réduire</w:t>
            </w:r>
          </w:p>
        </w:tc>
        <w:tc>
          <w:tcPr>
            <w:tcW w:w="0" w:type="auto"/>
            <w:tcBorders>
              <w:bottom w:val="single" w:sz="4" w:space="0" w:color="B4C6E7" w:themeColor="accent1" w:themeTint="66"/>
            </w:tcBorders>
            <w:shd w:val="clear" w:color="auto" w:fill="auto"/>
          </w:tcPr>
          <w:p w14:paraId="209182F1" w14:textId="504ED5EA" w:rsidR="00007BDC" w:rsidRPr="004637C7" w:rsidRDefault="00007BDC" w:rsidP="00007BDC">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4637C7">
              <w:rPr>
                <w:rFonts w:asciiTheme="minorHAnsi" w:hAnsiTheme="minorHAnsi" w:cstheme="minorHAnsi"/>
                <w:szCs w:val="20"/>
              </w:rPr>
              <w:t>Délimiter et protéger la zone de découverte par un balisage temporaire.</w:t>
            </w:r>
          </w:p>
        </w:tc>
        <w:tc>
          <w:tcPr>
            <w:tcW w:w="0" w:type="auto"/>
            <w:vMerge w:val="restart"/>
            <w:shd w:val="clear" w:color="auto" w:fill="auto"/>
          </w:tcPr>
          <w:p w14:paraId="60316D5B" w14:textId="7B58BAE6" w:rsidR="00007BDC" w:rsidRPr="004637C7" w:rsidRDefault="00007BDC" w:rsidP="00007BDC">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4637C7">
              <w:rPr>
                <w:rFonts w:asciiTheme="minorHAnsi" w:hAnsiTheme="minorHAnsi" w:cstheme="minorHAnsi"/>
                <w:szCs w:val="20"/>
              </w:rPr>
              <w:t>Temps moyen de réaction entre découverte et signalement (en heures).</w:t>
            </w:r>
          </w:p>
          <w:p w14:paraId="633D1AEA" w14:textId="0797ADCF" w:rsidR="00007BDC" w:rsidRPr="004637C7" w:rsidRDefault="00007BDC" w:rsidP="00007BDC">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4637C7">
              <w:rPr>
                <w:rFonts w:asciiTheme="minorHAnsi" w:hAnsiTheme="minorHAnsi" w:cstheme="minorHAnsi"/>
                <w:szCs w:val="20"/>
              </w:rPr>
              <w:lastRenderedPageBreak/>
              <w:t>Nb de zones balisées suite à découverte.</w:t>
            </w:r>
          </w:p>
          <w:p w14:paraId="09591AEA" w14:textId="426B24BC" w:rsidR="00007BDC" w:rsidRPr="004637C7" w:rsidRDefault="00007BDC" w:rsidP="00007BDC">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4637C7">
              <w:rPr>
                <w:rFonts w:asciiTheme="minorHAnsi" w:hAnsiTheme="minorHAnsi" w:cstheme="minorHAnsi"/>
                <w:szCs w:val="20"/>
              </w:rPr>
              <w:t>% de conformité au protocole de suspension.</w:t>
            </w:r>
          </w:p>
        </w:tc>
        <w:tc>
          <w:tcPr>
            <w:tcW w:w="0" w:type="auto"/>
            <w:vMerge w:val="restart"/>
            <w:shd w:val="clear" w:color="auto" w:fill="auto"/>
          </w:tcPr>
          <w:p w14:paraId="3A6A41CC" w14:textId="462E3E68" w:rsidR="00007BDC" w:rsidRPr="004637C7" w:rsidRDefault="00007BDC" w:rsidP="00007BDC">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Cs w:val="20"/>
              </w:rPr>
            </w:pPr>
            <w:r w:rsidRPr="00BC1745">
              <w:rPr>
                <w:rFonts w:asciiTheme="minorHAnsi" w:hAnsiTheme="minorHAnsi" w:cstheme="minorHAnsi"/>
                <w:szCs w:val="20"/>
              </w:rPr>
              <w:lastRenderedPageBreak/>
              <w:t>EPC et sous-traitants</w:t>
            </w:r>
          </w:p>
        </w:tc>
        <w:tc>
          <w:tcPr>
            <w:tcW w:w="0" w:type="auto"/>
            <w:vMerge w:val="restart"/>
            <w:shd w:val="clear" w:color="auto" w:fill="auto"/>
          </w:tcPr>
          <w:p w14:paraId="196B1131" w14:textId="771D0427" w:rsidR="00007BDC" w:rsidRPr="004637C7" w:rsidRDefault="00007BDC" w:rsidP="00007BDC">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Cs w:val="20"/>
              </w:rPr>
            </w:pPr>
            <w:r w:rsidRPr="00BC1745">
              <w:rPr>
                <w:rFonts w:asciiTheme="minorHAnsi" w:hAnsiTheme="minorHAnsi" w:cstheme="minorHAnsi"/>
                <w:szCs w:val="20"/>
              </w:rPr>
              <w:t>Mission de contrôle / AMO</w:t>
            </w:r>
          </w:p>
        </w:tc>
        <w:tc>
          <w:tcPr>
            <w:tcW w:w="0" w:type="auto"/>
            <w:vMerge w:val="restart"/>
            <w:shd w:val="clear" w:color="auto" w:fill="auto"/>
          </w:tcPr>
          <w:p w14:paraId="3B7F55B9" w14:textId="2F354D58" w:rsidR="00007BDC" w:rsidRPr="004637C7" w:rsidRDefault="00007BDC" w:rsidP="00007BDC">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Cs w:val="20"/>
              </w:rPr>
            </w:pPr>
            <w:r w:rsidRPr="00BC1745">
              <w:rPr>
                <w:rFonts w:asciiTheme="minorHAnsi" w:hAnsiTheme="minorHAnsi" w:cstheme="minorHAnsi"/>
                <w:szCs w:val="20"/>
              </w:rPr>
              <w:t xml:space="preserve">ONDA </w:t>
            </w:r>
          </w:p>
        </w:tc>
        <w:tc>
          <w:tcPr>
            <w:tcW w:w="0" w:type="auto"/>
            <w:vMerge w:val="restart"/>
            <w:shd w:val="clear" w:color="auto" w:fill="auto"/>
          </w:tcPr>
          <w:p w14:paraId="1F087AA4" w14:textId="40627F29" w:rsidR="00007BDC" w:rsidRPr="004637C7" w:rsidRDefault="00007BDC" w:rsidP="00007BDC">
            <w:pPr>
              <w:cnfStyle w:val="000000000000" w:firstRow="0" w:lastRow="0" w:firstColumn="0" w:lastColumn="0" w:oddVBand="0" w:evenVBand="0" w:oddHBand="0" w:evenHBand="0" w:firstRowFirstColumn="0" w:firstRowLastColumn="0" w:lastRowFirstColumn="0" w:lastRowLastColumn="0"/>
              <w:rPr>
                <w:szCs w:val="20"/>
              </w:rPr>
            </w:pPr>
            <w:r>
              <w:rPr>
                <w:szCs w:val="20"/>
              </w:rPr>
              <w:t xml:space="preserve">En cas de découverte </w:t>
            </w:r>
          </w:p>
        </w:tc>
        <w:tc>
          <w:tcPr>
            <w:tcW w:w="0" w:type="auto"/>
            <w:tcBorders>
              <w:bottom w:val="single" w:sz="4" w:space="0" w:color="B4C6E7" w:themeColor="accent1" w:themeTint="66"/>
            </w:tcBorders>
            <w:shd w:val="clear" w:color="auto" w:fill="auto"/>
          </w:tcPr>
          <w:p w14:paraId="2355B6A7" w14:textId="132EA444" w:rsidR="00007BDC" w:rsidRPr="004637C7" w:rsidRDefault="00341C58" w:rsidP="00007BDC">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Cs w:val="20"/>
              </w:rPr>
            </w:pPr>
            <w:r w:rsidRPr="00341C58">
              <w:rPr>
                <w:rFonts w:asciiTheme="minorHAnsi" w:hAnsiTheme="minorHAnsi" w:cstheme="minorHAnsi"/>
                <w:szCs w:val="20"/>
              </w:rPr>
              <w:t>2 000 MAD / site potentie</w:t>
            </w:r>
            <w:r>
              <w:rPr>
                <w:rFonts w:asciiTheme="minorHAnsi" w:hAnsiTheme="minorHAnsi" w:cstheme="minorHAnsi"/>
                <w:szCs w:val="20"/>
              </w:rPr>
              <w:t>l (</w:t>
            </w:r>
            <w:r w:rsidRPr="00341C58">
              <w:rPr>
                <w:rFonts w:asciiTheme="minorHAnsi" w:hAnsiTheme="minorHAnsi" w:cstheme="minorHAnsi"/>
                <w:szCs w:val="20"/>
              </w:rPr>
              <w:t>Achat/réutilisation de rubans de signalisation, piquets, panneaux temporaires</w:t>
            </w:r>
            <w:r>
              <w:rPr>
                <w:rFonts w:asciiTheme="minorHAnsi" w:hAnsiTheme="minorHAnsi" w:cstheme="minorHAnsi"/>
                <w:szCs w:val="20"/>
              </w:rPr>
              <w:t>)</w:t>
            </w:r>
          </w:p>
        </w:tc>
      </w:tr>
      <w:tr w:rsidR="00007BDC" w:rsidRPr="008B7652" w14:paraId="602B878E" w14:textId="77777777" w:rsidTr="00007BDC">
        <w:trPr>
          <w:trHeight w:val="1702"/>
        </w:trPr>
        <w:tc>
          <w:tcPr>
            <w:cnfStyle w:val="001000000000" w:firstRow="0" w:lastRow="0" w:firstColumn="1" w:lastColumn="0" w:oddVBand="0" w:evenVBand="0" w:oddHBand="0" w:evenHBand="0" w:firstRowFirstColumn="0" w:firstRowLastColumn="0" w:lastRowFirstColumn="0" w:lastRowLastColumn="0"/>
            <w:tcW w:w="0" w:type="auto"/>
            <w:vMerge/>
            <w:shd w:val="clear" w:color="auto" w:fill="auto"/>
          </w:tcPr>
          <w:p w14:paraId="5F49B164" w14:textId="77777777" w:rsidR="00007BDC" w:rsidRPr="004637C7" w:rsidRDefault="00007BDC" w:rsidP="00007BDC">
            <w:pPr>
              <w:rPr>
                <w:rFonts w:asciiTheme="minorHAnsi" w:hAnsiTheme="minorHAnsi" w:cstheme="minorHAnsi"/>
                <w:b w:val="0"/>
                <w:bCs w:val="0"/>
                <w:szCs w:val="20"/>
              </w:rPr>
            </w:pPr>
          </w:p>
        </w:tc>
        <w:tc>
          <w:tcPr>
            <w:tcW w:w="0" w:type="auto"/>
            <w:vMerge/>
            <w:shd w:val="clear" w:color="auto" w:fill="auto"/>
          </w:tcPr>
          <w:p w14:paraId="29272DE2" w14:textId="77777777" w:rsidR="00007BDC" w:rsidRPr="004637C7" w:rsidRDefault="00007BDC" w:rsidP="00007BDC">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Cs w:val="20"/>
              </w:rPr>
            </w:pPr>
          </w:p>
        </w:tc>
        <w:tc>
          <w:tcPr>
            <w:tcW w:w="0" w:type="auto"/>
            <w:tcBorders>
              <w:top w:val="single" w:sz="4" w:space="0" w:color="B4C6E7" w:themeColor="accent1" w:themeTint="66"/>
            </w:tcBorders>
            <w:shd w:val="clear" w:color="auto" w:fill="auto"/>
          </w:tcPr>
          <w:p w14:paraId="70643B96" w14:textId="77777777" w:rsidR="00007BDC" w:rsidRPr="004637C7" w:rsidRDefault="00007BDC" w:rsidP="00007BDC">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4637C7">
              <w:rPr>
                <w:rFonts w:asciiTheme="minorHAnsi" w:hAnsiTheme="minorHAnsi" w:cstheme="minorHAnsi"/>
                <w:szCs w:val="20"/>
              </w:rPr>
              <w:t>Alerter immédiatement les autorités compétentes (Direction Régionale du Ministère de la Culture et ONDA).</w:t>
            </w:r>
          </w:p>
          <w:p w14:paraId="5F1807CC" w14:textId="77777777" w:rsidR="00007BDC" w:rsidRPr="004637C7" w:rsidRDefault="00007BDC" w:rsidP="00007BDC">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4637C7">
              <w:rPr>
                <w:rFonts w:asciiTheme="minorHAnsi" w:hAnsiTheme="minorHAnsi" w:cstheme="minorHAnsi"/>
                <w:szCs w:val="20"/>
              </w:rPr>
              <w:t>Interdire toute manipulation ou déplacement non autorisé des objets mis au jour.</w:t>
            </w:r>
          </w:p>
        </w:tc>
        <w:tc>
          <w:tcPr>
            <w:tcW w:w="0" w:type="auto"/>
            <w:vMerge/>
            <w:shd w:val="clear" w:color="auto" w:fill="auto"/>
          </w:tcPr>
          <w:p w14:paraId="37F00F00" w14:textId="77777777" w:rsidR="00007BDC" w:rsidRPr="004637C7" w:rsidRDefault="00007BDC" w:rsidP="00007BDC">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p>
        </w:tc>
        <w:tc>
          <w:tcPr>
            <w:tcW w:w="0" w:type="auto"/>
            <w:vMerge/>
            <w:shd w:val="clear" w:color="auto" w:fill="auto"/>
          </w:tcPr>
          <w:p w14:paraId="0F7C5070" w14:textId="77777777" w:rsidR="00007BDC" w:rsidRPr="00BC1745" w:rsidRDefault="00007BDC" w:rsidP="00007BDC">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p>
        </w:tc>
        <w:tc>
          <w:tcPr>
            <w:tcW w:w="0" w:type="auto"/>
            <w:vMerge/>
            <w:shd w:val="clear" w:color="auto" w:fill="auto"/>
          </w:tcPr>
          <w:p w14:paraId="2F269F92" w14:textId="77777777" w:rsidR="00007BDC" w:rsidRPr="00BC1745" w:rsidRDefault="00007BDC" w:rsidP="00007BDC">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p>
        </w:tc>
        <w:tc>
          <w:tcPr>
            <w:tcW w:w="0" w:type="auto"/>
            <w:vMerge/>
            <w:shd w:val="clear" w:color="auto" w:fill="auto"/>
          </w:tcPr>
          <w:p w14:paraId="77C4776E" w14:textId="77777777" w:rsidR="00007BDC" w:rsidRPr="00BC1745" w:rsidRDefault="00007BDC" w:rsidP="00007BDC">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p>
        </w:tc>
        <w:tc>
          <w:tcPr>
            <w:tcW w:w="0" w:type="auto"/>
            <w:vMerge/>
            <w:shd w:val="clear" w:color="auto" w:fill="auto"/>
          </w:tcPr>
          <w:p w14:paraId="4726BD88" w14:textId="77777777" w:rsidR="00007BDC" w:rsidRDefault="00007BDC" w:rsidP="00007BDC">
            <w:pPr>
              <w:cnfStyle w:val="000000000000" w:firstRow="0" w:lastRow="0" w:firstColumn="0" w:lastColumn="0" w:oddVBand="0" w:evenVBand="0" w:oddHBand="0" w:evenHBand="0" w:firstRowFirstColumn="0" w:firstRowLastColumn="0" w:lastRowFirstColumn="0" w:lastRowLastColumn="0"/>
              <w:rPr>
                <w:szCs w:val="20"/>
              </w:rPr>
            </w:pPr>
          </w:p>
        </w:tc>
        <w:tc>
          <w:tcPr>
            <w:tcW w:w="0" w:type="auto"/>
            <w:tcBorders>
              <w:top w:val="single" w:sz="4" w:space="0" w:color="B4C6E7" w:themeColor="accent1" w:themeTint="66"/>
            </w:tcBorders>
            <w:shd w:val="clear" w:color="auto" w:fill="auto"/>
          </w:tcPr>
          <w:p w14:paraId="3441ECF0" w14:textId="363E176D" w:rsidR="00007BDC" w:rsidRPr="004637C7" w:rsidRDefault="00341C58" w:rsidP="00007BDC">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341C58">
              <w:rPr>
                <w:rFonts w:asciiTheme="minorHAnsi" w:hAnsiTheme="minorHAnsi" w:cstheme="minorHAnsi"/>
                <w:szCs w:val="20"/>
              </w:rPr>
              <w:t>Aucun coût spécifique</w:t>
            </w:r>
          </w:p>
        </w:tc>
      </w:tr>
      <w:tr w:rsidR="00007BDC" w:rsidRPr="008B7652" w14:paraId="287CD547" w14:textId="77777777" w:rsidTr="00007BDC">
        <w:trPr>
          <w:trHeight w:val="1015"/>
        </w:trPr>
        <w:tc>
          <w:tcPr>
            <w:cnfStyle w:val="001000000000" w:firstRow="0" w:lastRow="0" w:firstColumn="1" w:lastColumn="0" w:oddVBand="0" w:evenVBand="0" w:oddHBand="0" w:evenHBand="0" w:firstRowFirstColumn="0" w:firstRowLastColumn="0" w:lastRowFirstColumn="0" w:lastRowLastColumn="0"/>
            <w:tcW w:w="0" w:type="auto"/>
            <w:vMerge/>
            <w:shd w:val="clear" w:color="auto" w:fill="auto"/>
          </w:tcPr>
          <w:p w14:paraId="31DCEFF8" w14:textId="77777777" w:rsidR="00007BDC" w:rsidRPr="004637C7" w:rsidRDefault="00007BDC" w:rsidP="00007BDC">
            <w:pPr>
              <w:rPr>
                <w:rFonts w:asciiTheme="minorHAnsi" w:hAnsiTheme="minorHAnsi" w:cstheme="minorHAnsi"/>
                <w:b w:val="0"/>
                <w:bCs w:val="0"/>
                <w:szCs w:val="20"/>
              </w:rPr>
            </w:pPr>
          </w:p>
        </w:tc>
        <w:tc>
          <w:tcPr>
            <w:tcW w:w="0" w:type="auto"/>
            <w:vMerge w:val="restart"/>
            <w:shd w:val="clear" w:color="auto" w:fill="auto"/>
          </w:tcPr>
          <w:p w14:paraId="03EED8F6" w14:textId="0CEFFBAA" w:rsidR="00007BDC" w:rsidRPr="004637C7" w:rsidRDefault="00007BDC" w:rsidP="00007BDC">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Cs w:val="20"/>
              </w:rPr>
            </w:pPr>
            <w:r w:rsidRPr="004637C7">
              <w:rPr>
                <w:rFonts w:asciiTheme="minorHAnsi" w:hAnsiTheme="minorHAnsi" w:cstheme="minorHAnsi"/>
                <w:b/>
                <w:bCs/>
                <w:szCs w:val="20"/>
              </w:rPr>
              <w:t>Atténuer</w:t>
            </w:r>
          </w:p>
        </w:tc>
        <w:tc>
          <w:tcPr>
            <w:tcW w:w="0" w:type="auto"/>
            <w:tcBorders>
              <w:bottom w:val="single" w:sz="4" w:space="0" w:color="B4C6E7" w:themeColor="accent1" w:themeTint="66"/>
            </w:tcBorders>
            <w:shd w:val="clear" w:color="auto" w:fill="auto"/>
          </w:tcPr>
          <w:p w14:paraId="7D05FD00" w14:textId="31830206" w:rsidR="00007BDC" w:rsidRPr="004637C7" w:rsidRDefault="00007BDC" w:rsidP="00007BDC">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4637C7">
              <w:rPr>
                <w:rFonts w:asciiTheme="minorHAnsi" w:hAnsiTheme="minorHAnsi" w:cstheme="minorHAnsi"/>
                <w:szCs w:val="20"/>
              </w:rPr>
              <w:t>Permettre l’intervention rapide d’un archéologue agréé pour diagnostic et documentation.</w:t>
            </w:r>
          </w:p>
        </w:tc>
        <w:tc>
          <w:tcPr>
            <w:tcW w:w="0" w:type="auto"/>
            <w:vMerge w:val="restart"/>
            <w:shd w:val="clear" w:color="auto" w:fill="auto"/>
          </w:tcPr>
          <w:p w14:paraId="7F7D0828" w14:textId="77777777" w:rsidR="00007BDC" w:rsidRPr="004637C7" w:rsidRDefault="00007BDC" w:rsidP="00007BDC">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4637C7">
              <w:rPr>
                <w:rFonts w:asciiTheme="minorHAnsi" w:hAnsiTheme="minorHAnsi" w:cstheme="minorHAnsi"/>
                <w:szCs w:val="20"/>
              </w:rPr>
              <w:t>Délai moyen entre signalement et intervention archéologique.</w:t>
            </w:r>
          </w:p>
          <w:p w14:paraId="7AAEEDEC" w14:textId="19C4D5C1" w:rsidR="00007BDC" w:rsidRPr="004637C7" w:rsidRDefault="00007BDC" w:rsidP="00007BDC">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4637C7">
              <w:rPr>
                <w:rFonts w:asciiTheme="minorHAnsi" w:hAnsiTheme="minorHAnsi" w:cstheme="minorHAnsi"/>
                <w:szCs w:val="20"/>
              </w:rPr>
              <w:t>Nb de rapports d’expertise produits par le spécialiste agréé.</w:t>
            </w:r>
          </w:p>
          <w:p w14:paraId="69C7EC92" w14:textId="2927C917" w:rsidR="00007BDC" w:rsidRPr="004637C7" w:rsidRDefault="00007BDC" w:rsidP="00007BDC">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4637C7">
              <w:rPr>
                <w:rFonts w:asciiTheme="minorHAnsi" w:hAnsiTheme="minorHAnsi" w:cstheme="minorHAnsi"/>
                <w:szCs w:val="20"/>
              </w:rPr>
              <w:t>Taux d’application des recommandations du Ministère de la Culture.</w:t>
            </w:r>
          </w:p>
        </w:tc>
        <w:tc>
          <w:tcPr>
            <w:tcW w:w="0" w:type="auto"/>
            <w:vMerge w:val="restart"/>
            <w:shd w:val="clear" w:color="auto" w:fill="auto"/>
          </w:tcPr>
          <w:p w14:paraId="35CB9BBE" w14:textId="1BDAD913" w:rsidR="00007BDC" w:rsidRPr="004637C7" w:rsidRDefault="00007BDC" w:rsidP="00007BDC">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Cs w:val="20"/>
              </w:rPr>
            </w:pPr>
            <w:r w:rsidRPr="00BC1745">
              <w:rPr>
                <w:rFonts w:asciiTheme="minorHAnsi" w:hAnsiTheme="minorHAnsi" w:cstheme="minorHAnsi"/>
                <w:szCs w:val="20"/>
              </w:rPr>
              <w:t>EPC et sous-traitants</w:t>
            </w:r>
          </w:p>
        </w:tc>
        <w:tc>
          <w:tcPr>
            <w:tcW w:w="0" w:type="auto"/>
            <w:vMerge w:val="restart"/>
            <w:shd w:val="clear" w:color="auto" w:fill="auto"/>
          </w:tcPr>
          <w:p w14:paraId="5F22A7C8" w14:textId="35C65DB5" w:rsidR="00007BDC" w:rsidRPr="004637C7" w:rsidRDefault="00007BDC" w:rsidP="00007BDC">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Cs w:val="20"/>
              </w:rPr>
            </w:pPr>
            <w:r w:rsidRPr="00BC1745">
              <w:rPr>
                <w:rFonts w:asciiTheme="minorHAnsi" w:hAnsiTheme="minorHAnsi" w:cstheme="minorHAnsi"/>
                <w:szCs w:val="20"/>
              </w:rPr>
              <w:t>Mission de contrôle / AMO</w:t>
            </w:r>
          </w:p>
        </w:tc>
        <w:tc>
          <w:tcPr>
            <w:tcW w:w="0" w:type="auto"/>
            <w:vMerge w:val="restart"/>
            <w:shd w:val="clear" w:color="auto" w:fill="auto"/>
          </w:tcPr>
          <w:p w14:paraId="4F8B82BD" w14:textId="1605BE40" w:rsidR="00007BDC" w:rsidRPr="004637C7" w:rsidRDefault="00007BDC" w:rsidP="00007BDC">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Cs w:val="20"/>
              </w:rPr>
            </w:pPr>
            <w:r w:rsidRPr="00BC1745">
              <w:rPr>
                <w:rFonts w:asciiTheme="minorHAnsi" w:hAnsiTheme="minorHAnsi" w:cstheme="minorHAnsi"/>
                <w:szCs w:val="20"/>
              </w:rPr>
              <w:t xml:space="preserve">ONDA </w:t>
            </w:r>
          </w:p>
        </w:tc>
        <w:tc>
          <w:tcPr>
            <w:tcW w:w="0" w:type="auto"/>
            <w:vMerge w:val="restart"/>
            <w:shd w:val="clear" w:color="auto" w:fill="auto"/>
          </w:tcPr>
          <w:p w14:paraId="362379C2" w14:textId="11BC7F11" w:rsidR="00007BDC" w:rsidRPr="004637C7" w:rsidRDefault="00007BDC" w:rsidP="00007BDC">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Cs w:val="20"/>
              </w:rPr>
            </w:pPr>
            <w:r>
              <w:rPr>
                <w:szCs w:val="20"/>
              </w:rPr>
              <w:t xml:space="preserve">En cas de découverte </w:t>
            </w:r>
          </w:p>
        </w:tc>
        <w:tc>
          <w:tcPr>
            <w:tcW w:w="0" w:type="auto"/>
            <w:tcBorders>
              <w:bottom w:val="single" w:sz="4" w:space="0" w:color="B4C6E7" w:themeColor="accent1" w:themeTint="66"/>
            </w:tcBorders>
            <w:shd w:val="clear" w:color="auto" w:fill="auto"/>
          </w:tcPr>
          <w:p w14:paraId="0A02CCF0" w14:textId="7F607494" w:rsidR="00007BDC" w:rsidRPr="004637C7" w:rsidRDefault="00341C58" w:rsidP="00007BDC">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Cs w:val="20"/>
              </w:rPr>
            </w:pPr>
            <w:r w:rsidRPr="00341C58">
              <w:rPr>
                <w:rFonts w:asciiTheme="minorHAnsi" w:hAnsiTheme="minorHAnsi" w:cstheme="minorHAnsi"/>
                <w:szCs w:val="20"/>
              </w:rPr>
              <w:t>10 000 – 15 000 MAD / mission</w:t>
            </w:r>
            <w:r>
              <w:rPr>
                <w:rFonts w:asciiTheme="minorHAnsi" w:hAnsiTheme="minorHAnsi" w:cstheme="minorHAnsi"/>
                <w:szCs w:val="20"/>
              </w:rPr>
              <w:t xml:space="preserve"> (</w:t>
            </w:r>
            <w:r w:rsidRPr="00341C58">
              <w:rPr>
                <w:rFonts w:asciiTheme="minorHAnsi" w:hAnsiTheme="minorHAnsi" w:cstheme="minorHAnsi"/>
                <w:szCs w:val="20"/>
              </w:rPr>
              <w:t>Intervention ponctuelle (1 jour terrain + rapport succinct).</w:t>
            </w:r>
            <w:r>
              <w:rPr>
                <w:rFonts w:asciiTheme="minorHAnsi" w:hAnsiTheme="minorHAnsi" w:cstheme="minorHAnsi"/>
                <w:szCs w:val="20"/>
              </w:rPr>
              <w:t>)</w:t>
            </w:r>
          </w:p>
        </w:tc>
      </w:tr>
      <w:tr w:rsidR="00007BDC" w:rsidRPr="008B7652" w14:paraId="554E5776" w14:textId="77777777" w:rsidTr="00007BDC">
        <w:trPr>
          <w:trHeight w:val="2269"/>
        </w:trPr>
        <w:tc>
          <w:tcPr>
            <w:cnfStyle w:val="001000000000" w:firstRow="0" w:lastRow="0" w:firstColumn="1" w:lastColumn="0" w:oddVBand="0" w:evenVBand="0" w:oddHBand="0" w:evenHBand="0" w:firstRowFirstColumn="0" w:firstRowLastColumn="0" w:lastRowFirstColumn="0" w:lastRowLastColumn="0"/>
            <w:tcW w:w="0" w:type="auto"/>
            <w:vMerge/>
            <w:shd w:val="clear" w:color="auto" w:fill="auto"/>
          </w:tcPr>
          <w:p w14:paraId="695E8476" w14:textId="77777777" w:rsidR="00007BDC" w:rsidRPr="004637C7" w:rsidRDefault="00007BDC" w:rsidP="00007BDC">
            <w:pPr>
              <w:rPr>
                <w:rFonts w:asciiTheme="minorHAnsi" w:hAnsiTheme="minorHAnsi" w:cstheme="minorHAnsi"/>
                <w:b w:val="0"/>
                <w:bCs w:val="0"/>
                <w:szCs w:val="20"/>
              </w:rPr>
            </w:pPr>
          </w:p>
        </w:tc>
        <w:tc>
          <w:tcPr>
            <w:tcW w:w="0" w:type="auto"/>
            <w:vMerge/>
            <w:shd w:val="clear" w:color="auto" w:fill="auto"/>
          </w:tcPr>
          <w:p w14:paraId="6A0C8180" w14:textId="77777777" w:rsidR="00007BDC" w:rsidRPr="004637C7" w:rsidRDefault="00007BDC" w:rsidP="00007BDC">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Cs w:val="20"/>
              </w:rPr>
            </w:pPr>
          </w:p>
        </w:tc>
        <w:tc>
          <w:tcPr>
            <w:tcW w:w="0" w:type="auto"/>
            <w:tcBorders>
              <w:top w:val="single" w:sz="4" w:space="0" w:color="B4C6E7" w:themeColor="accent1" w:themeTint="66"/>
            </w:tcBorders>
            <w:shd w:val="clear" w:color="auto" w:fill="auto"/>
          </w:tcPr>
          <w:p w14:paraId="7CD0F525" w14:textId="77777777" w:rsidR="00007BDC" w:rsidRPr="004637C7" w:rsidRDefault="00007BDC" w:rsidP="00007BDC">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4637C7">
              <w:rPr>
                <w:rFonts w:asciiTheme="minorHAnsi" w:hAnsiTheme="minorHAnsi" w:cstheme="minorHAnsi"/>
                <w:szCs w:val="20"/>
              </w:rPr>
              <w:t>Adapter, si nécessaire, le tracé ou la conception locale de l’infrastructure pour préserver le site découvert.</w:t>
            </w:r>
          </w:p>
        </w:tc>
        <w:tc>
          <w:tcPr>
            <w:tcW w:w="0" w:type="auto"/>
            <w:vMerge/>
            <w:shd w:val="clear" w:color="auto" w:fill="auto"/>
          </w:tcPr>
          <w:p w14:paraId="775990FD" w14:textId="77777777" w:rsidR="00007BDC" w:rsidRPr="004637C7" w:rsidRDefault="00007BDC" w:rsidP="00007BDC">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p>
        </w:tc>
        <w:tc>
          <w:tcPr>
            <w:tcW w:w="0" w:type="auto"/>
            <w:vMerge/>
            <w:shd w:val="clear" w:color="auto" w:fill="auto"/>
          </w:tcPr>
          <w:p w14:paraId="421C2030" w14:textId="77777777" w:rsidR="00007BDC" w:rsidRPr="00BC1745" w:rsidRDefault="00007BDC" w:rsidP="00007BDC">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p>
        </w:tc>
        <w:tc>
          <w:tcPr>
            <w:tcW w:w="0" w:type="auto"/>
            <w:vMerge/>
            <w:shd w:val="clear" w:color="auto" w:fill="auto"/>
          </w:tcPr>
          <w:p w14:paraId="4C0BA907" w14:textId="77777777" w:rsidR="00007BDC" w:rsidRPr="00BC1745" w:rsidRDefault="00007BDC" w:rsidP="00007BDC">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p>
        </w:tc>
        <w:tc>
          <w:tcPr>
            <w:tcW w:w="0" w:type="auto"/>
            <w:vMerge/>
            <w:shd w:val="clear" w:color="auto" w:fill="auto"/>
          </w:tcPr>
          <w:p w14:paraId="76605857" w14:textId="77777777" w:rsidR="00007BDC" w:rsidRPr="00BC1745" w:rsidRDefault="00007BDC" w:rsidP="00007BDC">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p>
        </w:tc>
        <w:tc>
          <w:tcPr>
            <w:tcW w:w="0" w:type="auto"/>
            <w:vMerge/>
            <w:shd w:val="clear" w:color="auto" w:fill="auto"/>
          </w:tcPr>
          <w:p w14:paraId="692A09E6" w14:textId="77777777" w:rsidR="00007BDC" w:rsidRDefault="00007BDC" w:rsidP="00007BDC">
            <w:pPr>
              <w:cnfStyle w:val="000000000000" w:firstRow="0" w:lastRow="0" w:firstColumn="0" w:lastColumn="0" w:oddVBand="0" w:evenVBand="0" w:oddHBand="0" w:evenHBand="0" w:firstRowFirstColumn="0" w:firstRowLastColumn="0" w:lastRowFirstColumn="0" w:lastRowLastColumn="0"/>
              <w:rPr>
                <w:szCs w:val="20"/>
              </w:rPr>
            </w:pPr>
          </w:p>
        </w:tc>
        <w:tc>
          <w:tcPr>
            <w:tcW w:w="0" w:type="auto"/>
            <w:tcBorders>
              <w:top w:val="single" w:sz="4" w:space="0" w:color="B4C6E7" w:themeColor="accent1" w:themeTint="66"/>
            </w:tcBorders>
            <w:shd w:val="clear" w:color="auto" w:fill="auto"/>
          </w:tcPr>
          <w:p w14:paraId="0CCAA5FB" w14:textId="048AFCB0" w:rsidR="00007BDC" w:rsidRPr="004637C7" w:rsidRDefault="00341C58" w:rsidP="00007BDC">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341C58">
              <w:rPr>
                <w:rFonts w:asciiTheme="minorHAnsi" w:hAnsiTheme="minorHAnsi" w:cstheme="minorHAnsi"/>
                <w:szCs w:val="20"/>
              </w:rPr>
              <w:t>Budget de contingence 20 000 MAD / cas</w:t>
            </w:r>
          </w:p>
        </w:tc>
      </w:tr>
      <w:tr w:rsidR="00007BDC" w:rsidRPr="008B7652" w14:paraId="7AAA56BD" w14:textId="77777777" w:rsidTr="00D11930">
        <w:tc>
          <w:tcPr>
            <w:cnfStyle w:val="001000000000" w:firstRow="0" w:lastRow="0" w:firstColumn="1" w:lastColumn="0" w:oddVBand="0" w:evenVBand="0" w:oddHBand="0" w:evenHBand="0" w:firstRowFirstColumn="0" w:firstRowLastColumn="0" w:lastRowFirstColumn="0" w:lastRowLastColumn="0"/>
            <w:tcW w:w="0" w:type="auto"/>
            <w:vMerge/>
            <w:shd w:val="clear" w:color="auto" w:fill="auto"/>
          </w:tcPr>
          <w:p w14:paraId="3ED6A305" w14:textId="77777777" w:rsidR="00007BDC" w:rsidRPr="004637C7" w:rsidRDefault="00007BDC" w:rsidP="00007BDC">
            <w:pPr>
              <w:rPr>
                <w:rFonts w:asciiTheme="minorHAnsi" w:hAnsiTheme="minorHAnsi" w:cstheme="minorHAnsi"/>
                <w:b w:val="0"/>
                <w:bCs w:val="0"/>
                <w:szCs w:val="20"/>
              </w:rPr>
            </w:pPr>
          </w:p>
        </w:tc>
        <w:tc>
          <w:tcPr>
            <w:tcW w:w="0" w:type="auto"/>
            <w:shd w:val="clear" w:color="auto" w:fill="auto"/>
          </w:tcPr>
          <w:p w14:paraId="4B38C0D8" w14:textId="3B9F2C72" w:rsidR="00007BDC" w:rsidRPr="004637C7" w:rsidRDefault="00007BDC" w:rsidP="00007BDC">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Cs w:val="20"/>
              </w:rPr>
            </w:pPr>
            <w:r w:rsidRPr="004637C7">
              <w:rPr>
                <w:rFonts w:asciiTheme="minorHAnsi" w:hAnsiTheme="minorHAnsi" w:cstheme="minorHAnsi"/>
                <w:b/>
                <w:bCs/>
                <w:szCs w:val="20"/>
              </w:rPr>
              <w:t>Compenser</w:t>
            </w:r>
          </w:p>
        </w:tc>
        <w:tc>
          <w:tcPr>
            <w:tcW w:w="0" w:type="auto"/>
            <w:shd w:val="clear" w:color="auto" w:fill="auto"/>
          </w:tcPr>
          <w:p w14:paraId="5B4B09FD" w14:textId="78C69EAC" w:rsidR="00007BDC" w:rsidRPr="004637C7" w:rsidRDefault="00007BDC" w:rsidP="00007BDC">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4637C7">
              <w:rPr>
                <w:rFonts w:asciiTheme="minorHAnsi" w:hAnsiTheme="minorHAnsi" w:cstheme="minorHAnsi"/>
                <w:szCs w:val="20"/>
              </w:rPr>
              <w:t xml:space="preserve">En cas de mise au jour d’un vestige significatif, contribuer à sa mise en valeur (documentation, </w:t>
            </w:r>
            <w:r w:rsidRPr="004637C7">
              <w:rPr>
                <w:rFonts w:asciiTheme="minorHAnsi" w:hAnsiTheme="minorHAnsi" w:cstheme="minorHAnsi"/>
                <w:szCs w:val="20"/>
              </w:rPr>
              <w:lastRenderedPageBreak/>
              <w:t>appui logistique aux autorités culturelles, ou exposition locale).</w:t>
            </w:r>
          </w:p>
        </w:tc>
        <w:tc>
          <w:tcPr>
            <w:tcW w:w="0" w:type="auto"/>
            <w:shd w:val="clear" w:color="auto" w:fill="auto"/>
          </w:tcPr>
          <w:p w14:paraId="2B95A204" w14:textId="77777777" w:rsidR="00007BDC" w:rsidRPr="004637C7" w:rsidRDefault="00007BDC" w:rsidP="00007BDC">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4637C7">
              <w:rPr>
                <w:rFonts w:asciiTheme="minorHAnsi" w:hAnsiTheme="minorHAnsi" w:cstheme="minorHAnsi"/>
                <w:szCs w:val="20"/>
              </w:rPr>
              <w:lastRenderedPageBreak/>
              <w:t>Nb d’actions de soutien ou de valorisation menées.</w:t>
            </w:r>
          </w:p>
          <w:p w14:paraId="26754F8B" w14:textId="7DB1889C" w:rsidR="00007BDC" w:rsidRPr="004637C7" w:rsidRDefault="00007BDC" w:rsidP="00007BDC">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4637C7">
              <w:rPr>
                <w:rFonts w:asciiTheme="minorHAnsi" w:hAnsiTheme="minorHAnsi" w:cstheme="minorHAnsi"/>
                <w:szCs w:val="20"/>
              </w:rPr>
              <w:lastRenderedPageBreak/>
              <w:t>Montant ou volume de ressources mobilisées pour la valorisation.</w:t>
            </w:r>
          </w:p>
          <w:p w14:paraId="68CB21D9" w14:textId="2E5713D3" w:rsidR="00007BDC" w:rsidRPr="004637C7" w:rsidRDefault="00007BDC" w:rsidP="00007BDC">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4637C7">
              <w:rPr>
                <w:rFonts w:asciiTheme="minorHAnsi" w:hAnsiTheme="minorHAnsi" w:cstheme="minorHAnsi"/>
                <w:szCs w:val="20"/>
              </w:rPr>
              <w:t>Nb d’artefacts enregistrés et conservés selon les normes nationales.</w:t>
            </w:r>
          </w:p>
        </w:tc>
        <w:tc>
          <w:tcPr>
            <w:tcW w:w="0" w:type="auto"/>
            <w:shd w:val="clear" w:color="auto" w:fill="auto"/>
          </w:tcPr>
          <w:p w14:paraId="53DE7419" w14:textId="75605A63" w:rsidR="00007BDC" w:rsidRPr="004637C7" w:rsidRDefault="00007BDC" w:rsidP="00007BDC">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Cs w:val="20"/>
              </w:rPr>
            </w:pPr>
            <w:r w:rsidRPr="00BC1745">
              <w:rPr>
                <w:rFonts w:asciiTheme="minorHAnsi" w:hAnsiTheme="minorHAnsi" w:cstheme="minorHAnsi"/>
                <w:szCs w:val="20"/>
              </w:rPr>
              <w:lastRenderedPageBreak/>
              <w:t>EPC et sous-traitants</w:t>
            </w:r>
          </w:p>
        </w:tc>
        <w:tc>
          <w:tcPr>
            <w:tcW w:w="0" w:type="auto"/>
            <w:shd w:val="clear" w:color="auto" w:fill="auto"/>
          </w:tcPr>
          <w:p w14:paraId="1818BD00" w14:textId="0C789090" w:rsidR="00007BDC" w:rsidRPr="004637C7" w:rsidRDefault="00007BDC" w:rsidP="00007BDC">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Cs w:val="20"/>
              </w:rPr>
            </w:pPr>
            <w:r w:rsidRPr="00BC1745">
              <w:rPr>
                <w:rFonts w:asciiTheme="minorHAnsi" w:hAnsiTheme="minorHAnsi" w:cstheme="minorHAnsi"/>
                <w:szCs w:val="20"/>
              </w:rPr>
              <w:t>Mission de contrôle / AMO</w:t>
            </w:r>
          </w:p>
        </w:tc>
        <w:tc>
          <w:tcPr>
            <w:tcW w:w="0" w:type="auto"/>
            <w:shd w:val="clear" w:color="auto" w:fill="auto"/>
          </w:tcPr>
          <w:p w14:paraId="08175B48" w14:textId="084E9CE3" w:rsidR="00007BDC" w:rsidRPr="004637C7" w:rsidRDefault="00007BDC" w:rsidP="00007BDC">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Cs w:val="20"/>
              </w:rPr>
            </w:pPr>
            <w:r w:rsidRPr="00BC1745">
              <w:rPr>
                <w:rFonts w:asciiTheme="minorHAnsi" w:hAnsiTheme="minorHAnsi" w:cstheme="minorHAnsi"/>
                <w:szCs w:val="20"/>
              </w:rPr>
              <w:t xml:space="preserve">ONDA </w:t>
            </w:r>
          </w:p>
        </w:tc>
        <w:tc>
          <w:tcPr>
            <w:tcW w:w="0" w:type="auto"/>
            <w:shd w:val="clear" w:color="auto" w:fill="auto"/>
          </w:tcPr>
          <w:p w14:paraId="03158811" w14:textId="017F613C" w:rsidR="00007BDC" w:rsidRPr="004637C7" w:rsidRDefault="00007BDC" w:rsidP="00007BDC">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Cs w:val="20"/>
              </w:rPr>
            </w:pPr>
            <w:r>
              <w:rPr>
                <w:szCs w:val="20"/>
              </w:rPr>
              <w:t xml:space="preserve">En cas de découverte </w:t>
            </w:r>
          </w:p>
        </w:tc>
        <w:tc>
          <w:tcPr>
            <w:tcW w:w="0" w:type="auto"/>
            <w:shd w:val="clear" w:color="auto" w:fill="auto"/>
          </w:tcPr>
          <w:p w14:paraId="6C119C69" w14:textId="32655497" w:rsidR="00007BDC" w:rsidRPr="004637C7" w:rsidRDefault="00341C58" w:rsidP="00007BDC">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Cs w:val="20"/>
              </w:rPr>
            </w:pPr>
            <w:r w:rsidRPr="00341C58">
              <w:rPr>
                <w:rFonts w:asciiTheme="minorHAnsi" w:hAnsiTheme="minorHAnsi" w:cstheme="minorHAnsi"/>
                <w:szCs w:val="20"/>
              </w:rPr>
              <w:t>15 000 – 25 000 MAD / site significatif</w:t>
            </w:r>
          </w:p>
        </w:tc>
      </w:tr>
    </w:tbl>
    <w:p w14:paraId="14D9925D" w14:textId="77777777" w:rsidR="00C50FF7" w:rsidRPr="00936978" w:rsidRDefault="00C50FF7" w:rsidP="004637C7"/>
    <w:p w14:paraId="08CD990B" w14:textId="77777777" w:rsidR="00C50FF7" w:rsidRDefault="00C50FF7" w:rsidP="004637C7"/>
    <w:p w14:paraId="4CDB92D9" w14:textId="77777777" w:rsidR="00C50FF7" w:rsidRDefault="00C50FF7" w:rsidP="004637C7">
      <w:pPr>
        <w:sectPr w:rsidR="00C50FF7" w:rsidSect="004637C7">
          <w:pgSz w:w="16838" w:h="11906" w:orient="landscape"/>
          <w:pgMar w:top="1418" w:right="1418" w:bottom="1418" w:left="1276" w:header="680" w:footer="680" w:gutter="0"/>
          <w:cols w:space="708"/>
          <w:docGrid w:linePitch="360"/>
        </w:sectPr>
      </w:pPr>
    </w:p>
    <w:p w14:paraId="437115FE" w14:textId="5B269D7B" w:rsidR="00936978" w:rsidRDefault="00936978" w:rsidP="004637C7">
      <w:pPr>
        <w:pStyle w:val="Title5"/>
        <w:rPr>
          <w:lang w:eastAsia="zh-CN"/>
        </w:rPr>
      </w:pPr>
      <w:r w:rsidRPr="00936978">
        <w:rPr>
          <w:lang w:eastAsia="zh-CN"/>
        </w:rPr>
        <w:lastRenderedPageBreak/>
        <w:t xml:space="preserve">Évaluation </w:t>
      </w:r>
      <w:r w:rsidR="00D43E4F">
        <w:rPr>
          <w:lang w:eastAsia="zh-CN"/>
        </w:rPr>
        <w:t>des impacts résiduels</w:t>
      </w:r>
    </w:p>
    <w:p w14:paraId="2FFACAA5" w14:textId="77777777" w:rsidR="00037A7A" w:rsidRPr="00037A7A" w:rsidRDefault="00037A7A" w:rsidP="004637C7">
      <w:pPr>
        <w:rPr>
          <w:lang w:eastAsia="zh-CN"/>
        </w:rPr>
      </w:pPr>
      <w:r w:rsidRPr="00037A7A">
        <w:rPr>
          <w:lang w:eastAsia="zh-CN"/>
        </w:rPr>
        <w:t>À la suite de la mise en œuvre des mesures préventives et des protocoles de gestion intégrés dans le Plan de Gestion du Patrimoine Culturel et Procédure de Découverte Fortuite, le risque d’endommager un bien archéologique ou culturel est considéré comme extrêmement faible.</w:t>
      </w:r>
    </w:p>
    <w:p w14:paraId="10E7F6C9" w14:textId="77777777" w:rsidR="00037A7A" w:rsidRPr="00037A7A" w:rsidRDefault="00037A7A" w:rsidP="004637C7">
      <w:pPr>
        <w:rPr>
          <w:lang w:eastAsia="zh-CN"/>
        </w:rPr>
      </w:pPr>
      <w:r w:rsidRPr="00037A7A">
        <w:rPr>
          <w:lang w:eastAsia="zh-CN"/>
        </w:rPr>
        <w:t>L’impact résiduel demeure indirect et négatif, car il découle d’un événement fortuit plutôt que d’une activité programmée du projet. Son étendue est strictement locale, limitée à la zone d’excavation concernée au moment des travaux. La durée d’un tel impact serait très courte, correspondant uniquement au temps nécessaire pour la suspension des activités et l’intervention des autorités culturelles. La fréquence de survenue est très rare, les investigations antérieures et la nature anthropisée du site ne laissant pas présager de découverte majeure.</w:t>
      </w:r>
    </w:p>
    <w:p w14:paraId="2ACA76F8" w14:textId="77777777" w:rsidR="008B7652" w:rsidRDefault="00037A7A" w:rsidP="008B7652">
      <w:pPr>
        <w:rPr>
          <w:lang w:eastAsia="zh-CN"/>
        </w:rPr>
      </w:pPr>
      <w:r w:rsidRPr="00037A7A">
        <w:rPr>
          <w:lang w:eastAsia="zh-CN"/>
        </w:rPr>
        <w:t xml:space="preserve">L’intensité potentielle est faible, car la procédure prévoit l’arrêt immédiat des travaux, la délimitation et la protection du site, ainsi que l’intervention rapide d’un archéologue agréé. </w:t>
      </w:r>
    </w:p>
    <w:p w14:paraId="66110460" w14:textId="50781BAC" w:rsidR="00037A7A" w:rsidRPr="00037A7A" w:rsidRDefault="00037A7A" w:rsidP="004637C7">
      <w:pPr>
        <w:rPr>
          <w:lang w:eastAsia="zh-CN"/>
        </w:rPr>
      </w:pPr>
      <w:r w:rsidRPr="00037A7A">
        <w:rPr>
          <w:lang w:eastAsia="zh-CN"/>
        </w:rPr>
        <w:t>Les récepteurs sensibles (vestiges potentiels) bénéficient ainsi d’une protection immédiate et complète. Leur sensibilité reste moyenne, en raison de la valeur scientifique potentielle d’une découverte éventuelle, mais cette sensibilité est pleinement prise en compte dans le dispositif de gestion.</w:t>
      </w:r>
    </w:p>
    <w:p w14:paraId="13E614CC" w14:textId="73746B12" w:rsidR="00936978" w:rsidRPr="00936978" w:rsidRDefault="00037A7A" w:rsidP="004637C7">
      <w:pPr>
        <w:rPr>
          <w:lang w:eastAsia="zh-CN"/>
        </w:rPr>
      </w:pPr>
      <w:r w:rsidRPr="00037A7A">
        <w:rPr>
          <w:lang w:eastAsia="zh-CN"/>
        </w:rPr>
        <w:t>Dès lors, l’importance globale de l’impact résiduel est jugée négligeable</w:t>
      </w:r>
      <w:r w:rsidRPr="00037A7A" w:rsidDel="00037A7A">
        <w:rPr>
          <w:lang w:eastAsia="zh-CN"/>
        </w:rPr>
        <w:t xml:space="preserve"> </w:t>
      </w:r>
    </w:p>
    <w:p w14:paraId="7CB89F3C" w14:textId="3F010F8C" w:rsidR="00936978" w:rsidRPr="00936978" w:rsidRDefault="00936978" w:rsidP="009A7AD3">
      <w:pPr>
        <w:pStyle w:val="Title4"/>
        <w:tabs>
          <w:tab w:val="clear" w:pos="1134"/>
          <w:tab w:val="left" w:pos="993"/>
        </w:tabs>
      </w:pPr>
      <w:r w:rsidRPr="00936978">
        <w:t>Phase exploitation</w:t>
      </w:r>
    </w:p>
    <w:p w14:paraId="51C1CBCA" w14:textId="543C8740" w:rsidR="00936978" w:rsidRPr="00936978" w:rsidRDefault="00936978" w:rsidP="009A7AD3">
      <w:pPr>
        <w:rPr>
          <w:lang w:eastAsia="zh-CN"/>
        </w:rPr>
      </w:pPr>
      <w:r w:rsidRPr="00936978">
        <w:rPr>
          <w:lang w:eastAsia="zh-CN"/>
        </w:rPr>
        <w:t>Il n’y aura pas d’impacts sur le patrimoine historique et cultuel en phase d’exploitation, il n’y a donc pas de mesures identifiées.</w:t>
      </w:r>
    </w:p>
    <w:p w14:paraId="12B3DC20" w14:textId="4A16E9F6" w:rsidR="00936978" w:rsidRPr="00936978" w:rsidRDefault="00936978" w:rsidP="002638FA">
      <w:pPr>
        <w:pStyle w:val="Title2"/>
        <w:rPr>
          <w:lang w:eastAsia="zh-CN"/>
        </w:rPr>
      </w:pPr>
      <w:bookmarkStart w:id="494" w:name="_bookmark222"/>
      <w:bookmarkStart w:id="495" w:name="_Toc181619046"/>
      <w:bookmarkStart w:id="496" w:name="_Toc215131889"/>
      <w:bookmarkEnd w:id="494"/>
      <w:r w:rsidRPr="00936978">
        <w:rPr>
          <w:lang w:eastAsia="zh-CN"/>
        </w:rPr>
        <w:t>Évaluation des impacts environnementaux et sociaux du Projet lors de la phase de démantèlement</w:t>
      </w:r>
      <w:bookmarkEnd w:id="495"/>
      <w:bookmarkEnd w:id="496"/>
    </w:p>
    <w:p w14:paraId="19108601" w14:textId="289EC162" w:rsidR="00936978" w:rsidRPr="00936978" w:rsidRDefault="00936978" w:rsidP="004637C7">
      <w:pPr>
        <w:pStyle w:val="Title3"/>
        <w:rPr>
          <w:lang w:eastAsia="zh-CN"/>
        </w:rPr>
      </w:pPr>
      <w:bookmarkStart w:id="497" w:name="_Toc215131890"/>
      <w:r w:rsidRPr="00936978">
        <w:rPr>
          <w:lang w:eastAsia="zh-CN"/>
        </w:rPr>
        <w:t>Impact</w:t>
      </w:r>
      <w:r w:rsidR="007B339A">
        <w:rPr>
          <w:lang w:eastAsia="zh-CN"/>
        </w:rPr>
        <w:t>s</w:t>
      </w:r>
      <w:bookmarkEnd w:id="497"/>
    </w:p>
    <w:p w14:paraId="29F187B1" w14:textId="77777777" w:rsidR="00936978" w:rsidRPr="00936978" w:rsidRDefault="00936978" w:rsidP="00936978">
      <w:pPr>
        <w:rPr>
          <w:lang w:eastAsia="zh-CN"/>
        </w:rPr>
      </w:pPr>
      <w:r w:rsidRPr="00936978">
        <w:rPr>
          <w:lang w:eastAsia="zh-CN"/>
        </w:rPr>
        <w:t>Si le démantèlement devait avoir lieu, le coût du démantèlement pourrait être en partie couvert par la vente des matériaux recyclables. Durant cette phase, le démantèlement concernera :</w:t>
      </w:r>
    </w:p>
    <w:p w14:paraId="639420FD" w14:textId="77777777" w:rsidR="002638FA" w:rsidRPr="002638FA" w:rsidRDefault="002638FA">
      <w:pPr>
        <w:pStyle w:val="Tirets"/>
        <w:ind w:left="1097"/>
        <w:rPr>
          <w:lang w:eastAsia="zh-CN"/>
        </w:rPr>
      </w:pPr>
      <w:r w:rsidRPr="002638FA">
        <w:rPr>
          <w:lang w:eastAsia="zh-CN"/>
        </w:rPr>
        <w:t>Démontage des équipements électriques et des équipements mécaniques</w:t>
      </w:r>
    </w:p>
    <w:p w14:paraId="44C26326" w14:textId="77777777" w:rsidR="002638FA" w:rsidRPr="002638FA" w:rsidRDefault="002638FA">
      <w:pPr>
        <w:pStyle w:val="Tirets"/>
        <w:ind w:left="1097"/>
        <w:rPr>
          <w:lang w:eastAsia="zh-CN"/>
        </w:rPr>
      </w:pPr>
      <w:r w:rsidRPr="002638FA">
        <w:rPr>
          <w:lang w:eastAsia="zh-CN"/>
        </w:rPr>
        <w:t>Destruction des locaux techniques</w:t>
      </w:r>
    </w:p>
    <w:p w14:paraId="70628F74" w14:textId="77777777" w:rsidR="002638FA" w:rsidRPr="002638FA" w:rsidRDefault="002638FA">
      <w:pPr>
        <w:pStyle w:val="Tirets"/>
        <w:ind w:left="1097"/>
        <w:rPr>
          <w:lang w:eastAsia="zh-CN"/>
        </w:rPr>
      </w:pPr>
      <w:r w:rsidRPr="002638FA">
        <w:rPr>
          <w:lang w:eastAsia="zh-CN"/>
        </w:rPr>
        <w:t>Enlèvement des clôtures</w:t>
      </w:r>
    </w:p>
    <w:p w14:paraId="10264F80" w14:textId="77777777" w:rsidR="002638FA" w:rsidRPr="002638FA" w:rsidRDefault="002638FA">
      <w:pPr>
        <w:pStyle w:val="Tirets"/>
        <w:ind w:left="1097"/>
        <w:rPr>
          <w:lang w:eastAsia="zh-CN"/>
        </w:rPr>
      </w:pPr>
      <w:r w:rsidRPr="002638FA">
        <w:rPr>
          <w:lang w:eastAsia="zh-CN"/>
        </w:rPr>
        <w:t>Destruction des fondations et des pieux battus</w:t>
      </w:r>
    </w:p>
    <w:p w14:paraId="28C4ACCE" w14:textId="77777777" w:rsidR="002638FA" w:rsidRPr="002638FA" w:rsidRDefault="002638FA">
      <w:pPr>
        <w:pStyle w:val="Tirets"/>
        <w:ind w:left="1097"/>
        <w:rPr>
          <w:lang w:eastAsia="zh-CN"/>
        </w:rPr>
      </w:pPr>
      <w:r w:rsidRPr="002638FA">
        <w:rPr>
          <w:lang w:eastAsia="zh-CN"/>
        </w:rPr>
        <w:t>La neutralisation du réseau local, démantèlement des lignes de connexion et de raccordement</w:t>
      </w:r>
    </w:p>
    <w:p w14:paraId="1C26235E" w14:textId="77777777" w:rsidR="002638FA" w:rsidRPr="002638FA" w:rsidRDefault="002638FA">
      <w:pPr>
        <w:pStyle w:val="Tirets"/>
        <w:ind w:left="1097"/>
        <w:rPr>
          <w:lang w:eastAsia="zh-CN"/>
        </w:rPr>
      </w:pPr>
      <w:r w:rsidRPr="002638FA">
        <w:rPr>
          <w:lang w:eastAsia="zh-CN"/>
        </w:rPr>
        <w:t>Remise en état du site pour permettre à la végétation de prendre place.</w:t>
      </w:r>
    </w:p>
    <w:p w14:paraId="514114F6" w14:textId="77777777" w:rsidR="002638FA" w:rsidRDefault="002638FA" w:rsidP="002638FA">
      <w:pPr>
        <w:rPr>
          <w:lang w:eastAsia="zh-CN"/>
        </w:rPr>
      </w:pPr>
      <w:r w:rsidRPr="002638FA">
        <w:rPr>
          <w:lang w:eastAsia="zh-CN"/>
        </w:rPr>
        <w:t>Une fois que tous les éléments du projet seront démantelés et récupérés, ils pourront faire l'objet du recyclage. Le tableau ci-après présente les principaux éléments à recycler dans le projet.</w:t>
      </w:r>
    </w:p>
    <w:p w14:paraId="6D0C7C92" w14:textId="77777777" w:rsidR="004E045A" w:rsidRDefault="004E045A" w:rsidP="002638FA">
      <w:pPr>
        <w:rPr>
          <w:lang w:eastAsia="zh-CN"/>
        </w:rPr>
      </w:pPr>
    </w:p>
    <w:p w14:paraId="7C760CCE" w14:textId="77777777" w:rsidR="004E045A" w:rsidRPr="002638FA" w:rsidRDefault="004E045A" w:rsidP="002638FA">
      <w:pPr>
        <w:rPr>
          <w:lang w:eastAsia="zh-CN"/>
        </w:rPr>
      </w:pPr>
    </w:p>
    <w:p w14:paraId="48CE0C4A" w14:textId="0224B42F" w:rsidR="002638FA" w:rsidRPr="002A0860" w:rsidRDefault="004B4D12" w:rsidP="004B4D12">
      <w:pPr>
        <w:pStyle w:val="Lgende"/>
        <w:rPr>
          <w:b w:val="0"/>
          <w:bCs w:val="0"/>
          <w:lang w:val="fr-FR" w:eastAsia="zh-CN"/>
        </w:rPr>
      </w:pPr>
      <w:bookmarkStart w:id="498" w:name="_bookmark223"/>
      <w:bookmarkStart w:id="499" w:name="_Toc213404392"/>
      <w:bookmarkEnd w:id="498"/>
      <w:r w:rsidRPr="002A0860">
        <w:rPr>
          <w:lang w:val="fr-FR"/>
        </w:rPr>
        <w:lastRenderedPageBreak/>
        <w:t xml:space="preserve">Tableau </w:t>
      </w:r>
      <w:r>
        <w:fldChar w:fldCharType="begin"/>
      </w:r>
      <w:r w:rsidRPr="002A0860">
        <w:rPr>
          <w:lang w:val="fr-FR"/>
        </w:rPr>
        <w:instrText xml:space="preserve"> SEQ Tableau \* ARABIC </w:instrText>
      </w:r>
      <w:r>
        <w:fldChar w:fldCharType="separate"/>
      </w:r>
      <w:r w:rsidR="00274E71">
        <w:rPr>
          <w:noProof/>
          <w:lang w:val="fr-FR"/>
        </w:rPr>
        <w:t>70</w:t>
      </w:r>
      <w:r>
        <w:fldChar w:fldCharType="end"/>
      </w:r>
      <w:r>
        <w:rPr>
          <w:noProof/>
          <w:lang w:val="fr-FR"/>
        </w:rPr>
        <w:t>:</w:t>
      </w:r>
      <w:r w:rsidR="002638FA" w:rsidRPr="002A0860">
        <w:rPr>
          <w:lang w:val="fr-FR" w:eastAsia="zh-CN"/>
        </w:rPr>
        <w:t>Recyclage des matériaux issus de démantèlement du projet</w:t>
      </w:r>
      <w:bookmarkEnd w:id="499"/>
    </w:p>
    <w:tbl>
      <w:tblPr>
        <w:tblStyle w:val="TableauGrille1Clair-Accentuation111"/>
        <w:tblW w:w="9084" w:type="dxa"/>
        <w:tblLayout w:type="fixed"/>
        <w:tblLook w:val="01E0" w:firstRow="1" w:lastRow="1" w:firstColumn="1" w:lastColumn="1" w:noHBand="0" w:noVBand="0"/>
      </w:tblPr>
      <w:tblGrid>
        <w:gridCol w:w="1951"/>
        <w:gridCol w:w="2415"/>
        <w:gridCol w:w="2508"/>
        <w:gridCol w:w="2210"/>
      </w:tblGrid>
      <w:tr w:rsidR="002638FA" w:rsidRPr="004B4D12" w14:paraId="77A29D69" w14:textId="77777777" w:rsidTr="004E045A">
        <w:trPr>
          <w:cnfStyle w:val="100000000000" w:firstRow="1" w:lastRow="0" w:firstColumn="0" w:lastColumn="0" w:oddVBand="0" w:evenVBand="0" w:oddHBand="0" w:evenHBand="0" w:firstRowFirstColumn="0" w:firstRowLastColumn="0" w:lastRowFirstColumn="0" w:lastRowLastColumn="0"/>
          <w:trHeight w:val="524"/>
        </w:trPr>
        <w:tc>
          <w:tcPr>
            <w:cnfStyle w:val="001000000000" w:firstRow="0" w:lastRow="0" w:firstColumn="1" w:lastColumn="0" w:oddVBand="0" w:evenVBand="0" w:oddHBand="0" w:evenHBand="0" w:firstRowFirstColumn="0" w:firstRowLastColumn="0" w:lastRowFirstColumn="0" w:lastRowLastColumn="0"/>
            <w:tcW w:w="1951" w:type="dxa"/>
          </w:tcPr>
          <w:p w14:paraId="3E46398F" w14:textId="77777777" w:rsidR="002638FA" w:rsidRPr="004B4D12" w:rsidRDefault="002638FA" w:rsidP="002638FA">
            <w:pPr>
              <w:spacing w:before="0" w:after="0"/>
              <w:jc w:val="left"/>
              <w:rPr>
                <w:color w:val="FFFFFF" w:themeColor="background1"/>
                <w:szCs w:val="20"/>
                <w:lang w:eastAsia="zh-CN"/>
              </w:rPr>
            </w:pPr>
          </w:p>
        </w:tc>
        <w:tc>
          <w:tcPr>
            <w:tcW w:w="2415" w:type="dxa"/>
          </w:tcPr>
          <w:p w14:paraId="50F08819" w14:textId="77777777" w:rsidR="002638FA" w:rsidRPr="004E045A" w:rsidRDefault="002638FA" w:rsidP="00B84795">
            <w:pPr>
              <w:spacing w:before="0" w:after="0"/>
              <w:jc w:val="center"/>
              <w:cnfStyle w:val="100000000000" w:firstRow="1" w:lastRow="0" w:firstColumn="0" w:lastColumn="0" w:oddVBand="0" w:evenVBand="0" w:oddHBand="0" w:evenHBand="0" w:firstRowFirstColumn="0" w:firstRowLastColumn="0" w:lastRowFirstColumn="0" w:lastRowLastColumn="0"/>
              <w:rPr>
                <w:color w:val="000000" w:themeColor="text1"/>
                <w:szCs w:val="20"/>
                <w:lang w:eastAsia="zh-CN"/>
              </w:rPr>
            </w:pPr>
            <w:r w:rsidRPr="004E045A">
              <w:rPr>
                <w:color w:val="000000" w:themeColor="text1"/>
                <w:szCs w:val="20"/>
                <w:lang w:eastAsia="zh-CN"/>
              </w:rPr>
              <w:t>Nature</w:t>
            </w:r>
          </w:p>
        </w:tc>
        <w:tc>
          <w:tcPr>
            <w:tcW w:w="2508" w:type="dxa"/>
          </w:tcPr>
          <w:p w14:paraId="010FC3A4" w14:textId="77777777" w:rsidR="002638FA" w:rsidRPr="004E045A" w:rsidRDefault="002638FA" w:rsidP="00B84795">
            <w:pPr>
              <w:spacing w:before="0" w:after="0"/>
              <w:jc w:val="center"/>
              <w:cnfStyle w:val="100000000000" w:firstRow="1" w:lastRow="0" w:firstColumn="0" w:lastColumn="0" w:oddVBand="0" w:evenVBand="0" w:oddHBand="0" w:evenHBand="0" w:firstRowFirstColumn="0" w:firstRowLastColumn="0" w:lastRowFirstColumn="0" w:lastRowLastColumn="0"/>
              <w:rPr>
                <w:color w:val="000000" w:themeColor="text1"/>
                <w:szCs w:val="20"/>
                <w:lang w:eastAsia="zh-CN"/>
              </w:rPr>
            </w:pPr>
            <w:r w:rsidRPr="004E045A">
              <w:rPr>
                <w:color w:val="000000" w:themeColor="text1"/>
                <w:szCs w:val="20"/>
                <w:lang w:eastAsia="zh-CN"/>
              </w:rPr>
              <w:t>Provenance</w:t>
            </w:r>
          </w:p>
        </w:tc>
        <w:tc>
          <w:tcPr>
            <w:cnfStyle w:val="000100000000" w:firstRow="0" w:lastRow="0" w:firstColumn="0" w:lastColumn="1" w:oddVBand="0" w:evenVBand="0" w:oddHBand="0" w:evenHBand="0" w:firstRowFirstColumn="0" w:firstRowLastColumn="0" w:lastRowFirstColumn="0" w:lastRowLastColumn="0"/>
            <w:tcW w:w="2210" w:type="dxa"/>
          </w:tcPr>
          <w:p w14:paraId="76B422A9" w14:textId="77777777" w:rsidR="002638FA" w:rsidRPr="004E045A" w:rsidRDefault="002638FA" w:rsidP="00B84795">
            <w:pPr>
              <w:spacing w:before="0" w:after="0"/>
              <w:jc w:val="center"/>
              <w:rPr>
                <w:color w:val="000000" w:themeColor="text1"/>
                <w:szCs w:val="20"/>
                <w:lang w:eastAsia="zh-CN"/>
              </w:rPr>
            </w:pPr>
            <w:r w:rsidRPr="004E045A">
              <w:rPr>
                <w:color w:val="000000" w:themeColor="text1"/>
                <w:szCs w:val="20"/>
                <w:lang w:eastAsia="zh-CN"/>
              </w:rPr>
              <w:t>Traitement / recyclage</w:t>
            </w:r>
          </w:p>
        </w:tc>
      </w:tr>
      <w:tr w:rsidR="002638FA" w:rsidRPr="004B4D12" w14:paraId="73E25289" w14:textId="77777777" w:rsidTr="004E045A">
        <w:trPr>
          <w:trHeight w:val="1168"/>
        </w:trPr>
        <w:tc>
          <w:tcPr>
            <w:cnfStyle w:val="001000000000" w:firstRow="0" w:lastRow="0" w:firstColumn="1" w:lastColumn="0" w:oddVBand="0" w:evenVBand="0" w:oddHBand="0" w:evenHBand="0" w:firstRowFirstColumn="0" w:firstRowLastColumn="0" w:lastRowFirstColumn="0" w:lastRowLastColumn="0"/>
            <w:tcW w:w="1951" w:type="dxa"/>
          </w:tcPr>
          <w:p w14:paraId="55795690" w14:textId="77777777" w:rsidR="002638FA" w:rsidRPr="004B4D12" w:rsidRDefault="002638FA" w:rsidP="002638FA">
            <w:pPr>
              <w:spacing w:before="0" w:after="0"/>
              <w:jc w:val="left"/>
              <w:rPr>
                <w:b w:val="0"/>
                <w:szCs w:val="20"/>
                <w:lang w:eastAsia="zh-CN"/>
              </w:rPr>
            </w:pPr>
            <w:r w:rsidRPr="004B4D12">
              <w:rPr>
                <w:szCs w:val="20"/>
                <w:lang w:eastAsia="zh-CN"/>
              </w:rPr>
              <w:t>Filière métaux</w:t>
            </w:r>
          </w:p>
        </w:tc>
        <w:tc>
          <w:tcPr>
            <w:tcW w:w="2415" w:type="dxa"/>
          </w:tcPr>
          <w:p w14:paraId="717999FF" w14:textId="77777777" w:rsidR="002638FA" w:rsidRPr="004E045A" w:rsidRDefault="002638FA" w:rsidP="002638FA">
            <w:pPr>
              <w:spacing w:before="0" w:after="0"/>
              <w:jc w:val="left"/>
              <w:cnfStyle w:val="000000000000" w:firstRow="0" w:lastRow="0" w:firstColumn="0" w:lastColumn="0" w:oddVBand="0" w:evenVBand="0" w:oddHBand="0" w:evenHBand="0" w:firstRowFirstColumn="0" w:firstRowLastColumn="0" w:lastRowFirstColumn="0" w:lastRowLastColumn="0"/>
              <w:rPr>
                <w:szCs w:val="20"/>
                <w:lang w:eastAsia="zh-CN"/>
              </w:rPr>
            </w:pPr>
            <w:r w:rsidRPr="004E045A">
              <w:rPr>
                <w:szCs w:val="20"/>
                <w:lang w:eastAsia="zh-CN"/>
              </w:rPr>
              <w:t>Acier galvanisé</w:t>
            </w:r>
          </w:p>
          <w:p w14:paraId="6115BB6E" w14:textId="77777777" w:rsidR="002638FA" w:rsidRPr="004E045A" w:rsidRDefault="002638FA" w:rsidP="002638FA">
            <w:pPr>
              <w:spacing w:before="0" w:after="0"/>
              <w:jc w:val="left"/>
              <w:cnfStyle w:val="000000000000" w:firstRow="0" w:lastRow="0" w:firstColumn="0" w:lastColumn="0" w:oddVBand="0" w:evenVBand="0" w:oddHBand="0" w:evenHBand="0" w:firstRowFirstColumn="0" w:firstRowLastColumn="0" w:lastRowFirstColumn="0" w:lastRowLastColumn="0"/>
              <w:rPr>
                <w:szCs w:val="20"/>
                <w:lang w:eastAsia="zh-CN"/>
              </w:rPr>
            </w:pPr>
            <w:r w:rsidRPr="004E045A">
              <w:rPr>
                <w:szCs w:val="20"/>
                <w:lang w:eastAsia="zh-CN"/>
              </w:rPr>
              <w:t>Aluminium, cuivre et autre métaux</w:t>
            </w:r>
          </w:p>
        </w:tc>
        <w:tc>
          <w:tcPr>
            <w:tcW w:w="2508" w:type="dxa"/>
          </w:tcPr>
          <w:p w14:paraId="199BBDA1" w14:textId="77777777" w:rsidR="002638FA" w:rsidRPr="004E045A" w:rsidRDefault="002638FA" w:rsidP="002638FA">
            <w:pPr>
              <w:spacing w:before="0" w:after="0"/>
              <w:jc w:val="left"/>
              <w:cnfStyle w:val="000000000000" w:firstRow="0" w:lastRow="0" w:firstColumn="0" w:lastColumn="0" w:oddVBand="0" w:evenVBand="0" w:oddHBand="0" w:evenHBand="0" w:firstRowFirstColumn="0" w:firstRowLastColumn="0" w:lastRowFirstColumn="0" w:lastRowLastColumn="0"/>
              <w:rPr>
                <w:szCs w:val="20"/>
                <w:lang w:eastAsia="zh-CN"/>
              </w:rPr>
            </w:pPr>
            <w:r w:rsidRPr="004E045A">
              <w:rPr>
                <w:szCs w:val="20"/>
                <w:lang w:eastAsia="zh-CN"/>
              </w:rPr>
              <w:t>Structures, vis, pieux battus</w:t>
            </w:r>
          </w:p>
        </w:tc>
        <w:tc>
          <w:tcPr>
            <w:cnfStyle w:val="000100000000" w:firstRow="0" w:lastRow="0" w:firstColumn="0" w:lastColumn="1" w:oddVBand="0" w:evenVBand="0" w:oddHBand="0" w:evenHBand="0" w:firstRowFirstColumn="0" w:firstRowLastColumn="0" w:lastRowFirstColumn="0" w:lastRowLastColumn="0"/>
            <w:tcW w:w="2210" w:type="dxa"/>
          </w:tcPr>
          <w:p w14:paraId="0AEAFC6B" w14:textId="77777777" w:rsidR="002638FA" w:rsidRPr="004E045A" w:rsidRDefault="002638FA" w:rsidP="002638FA">
            <w:pPr>
              <w:spacing w:before="0" w:after="0"/>
              <w:jc w:val="left"/>
              <w:rPr>
                <w:b w:val="0"/>
                <w:bCs w:val="0"/>
                <w:szCs w:val="20"/>
                <w:lang w:eastAsia="zh-CN"/>
              </w:rPr>
            </w:pPr>
            <w:r w:rsidRPr="004E045A">
              <w:rPr>
                <w:b w:val="0"/>
                <w:bCs w:val="0"/>
                <w:szCs w:val="20"/>
                <w:lang w:eastAsia="zh-CN"/>
              </w:rPr>
              <w:t>Récupérateurs de ferraille</w:t>
            </w:r>
          </w:p>
        </w:tc>
      </w:tr>
      <w:tr w:rsidR="002638FA" w:rsidRPr="004B4D12" w14:paraId="77A85227" w14:textId="77777777" w:rsidTr="004E045A">
        <w:trPr>
          <w:trHeight w:val="1403"/>
        </w:trPr>
        <w:tc>
          <w:tcPr>
            <w:cnfStyle w:val="001000000000" w:firstRow="0" w:lastRow="0" w:firstColumn="1" w:lastColumn="0" w:oddVBand="0" w:evenVBand="0" w:oddHBand="0" w:evenHBand="0" w:firstRowFirstColumn="0" w:firstRowLastColumn="0" w:lastRowFirstColumn="0" w:lastRowLastColumn="0"/>
            <w:tcW w:w="1951" w:type="dxa"/>
            <w:tcBorders>
              <w:bottom w:val="single" w:sz="4" w:space="0" w:color="D9E2F3" w:themeColor="accent1" w:themeTint="33"/>
            </w:tcBorders>
          </w:tcPr>
          <w:p w14:paraId="2EB85109" w14:textId="77777777" w:rsidR="002638FA" w:rsidRPr="004B4D12" w:rsidRDefault="002638FA" w:rsidP="002638FA">
            <w:pPr>
              <w:spacing w:before="0" w:after="0"/>
              <w:jc w:val="left"/>
              <w:rPr>
                <w:b w:val="0"/>
                <w:szCs w:val="20"/>
                <w:lang w:eastAsia="zh-CN"/>
              </w:rPr>
            </w:pPr>
            <w:r w:rsidRPr="004B4D12">
              <w:rPr>
                <w:szCs w:val="20"/>
                <w:lang w:eastAsia="zh-CN"/>
              </w:rPr>
              <w:t>Filière plastique</w:t>
            </w:r>
          </w:p>
        </w:tc>
        <w:tc>
          <w:tcPr>
            <w:tcW w:w="2415" w:type="dxa"/>
            <w:tcBorders>
              <w:bottom w:val="single" w:sz="4" w:space="0" w:color="D9E2F3" w:themeColor="accent1" w:themeTint="33"/>
            </w:tcBorders>
          </w:tcPr>
          <w:p w14:paraId="38CC6C53" w14:textId="77777777" w:rsidR="002638FA" w:rsidRPr="004E045A" w:rsidRDefault="002638FA" w:rsidP="002638FA">
            <w:pPr>
              <w:spacing w:before="0" w:after="0"/>
              <w:jc w:val="left"/>
              <w:cnfStyle w:val="000000000000" w:firstRow="0" w:lastRow="0" w:firstColumn="0" w:lastColumn="0" w:oddVBand="0" w:evenVBand="0" w:oddHBand="0" w:evenHBand="0" w:firstRowFirstColumn="0" w:firstRowLastColumn="0" w:lastRowFirstColumn="0" w:lastRowLastColumn="0"/>
              <w:rPr>
                <w:szCs w:val="20"/>
                <w:lang w:eastAsia="zh-CN"/>
              </w:rPr>
            </w:pPr>
            <w:r w:rsidRPr="004E045A">
              <w:rPr>
                <w:szCs w:val="20"/>
                <w:lang w:eastAsia="zh-CN"/>
              </w:rPr>
              <w:t>Plastique</w:t>
            </w:r>
          </w:p>
        </w:tc>
        <w:tc>
          <w:tcPr>
            <w:tcW w:w="2508" w:type="dxa"/>
            <w:tcBorders>
              <w:bottom w:val="single" w:sz="4" w:space="0" w:color="D9E2F3" w:themeColor="accent1" w:themeTint="33"/>
            </w:tcBorders>
          </w:tcPr>
          <w:p w14:paraId="4A3C0C8D" w14:textId="77777777" w:rsidR="002638FA" w:rsidRPr="004E045A" w:rsidRDefault="002638FA" w:rsidP="002638FA">
            <w:pPr>
              <w:spacing w:before="0" w:after="0"/>
              <w:jc w:val="left"/>
              <w:cnfStyle w:val="000000000000" w:firstRow="0" w:lastRow="0" w:firstColumn="0" w:lastColumn="0" w:oddVBand="0" w:evenVBand="0" w:oddHBand="0" w:evenHBand="0" w:firstRowFirstColumn="0" w:firstRowLastColumn="0" w:lastRowFirstColumn="0" w:lastRowLastColumn="0"/>
              <w:rPr>
                <w:szCs w:val="20"/>
                <w:lang w:eastAsia="zh-CN"/>
              </w:rPr>
            </w:pPr>
            <w:r w:rsidRPr="004E045A">
              <w:rPr>
                <w:szCs w:val="20"/>
                <w:lang w:eastAsia="zh-CN"/>
              </w:rPr>
              <w:t>Les matières plastiques sont essentiellement utilisées pour l’isolement et la protection mécanique des câbles électriques</w:t>
            </w:r>
          </w:p>
        </w:tc>
        <w:tc>
          <w:tcPr>
            <w:cnfStyle w:val="000100000000" w:firstRow="0" w:lastRow="0" w:firstColumn="0" w:lastColumn="1" w:oddVBand="0" w:evenVBand="0" w:oddHBand="0" w:evenHBand="0" w:firstRowFirstColumn="0" w:firstRowLastColumn="0" w:lastRowFirstColumn="0" w:lastRowLastColumn="0"/>
            <w:tcW w:w="2210" w:type="dxa"/>
            <w:tcBorders>
              <w:bottom w:val="single" w:sz="4" w:space="0" w:color="D9E2F3" w:themeColor="accent1" w:themeTint="33"/>
            </w:tcBorders>
          </w:tcPr>
          <w:p w14:paraId="1526416B" w14:textId="77777777" w:rsidR="002638FA" w:rsidRPr="004E045A" w:rsidRDefault="002638FA" w:rsidP="002638FA">
            <w:pPr>
              <w:spacing w:before="0" w:after="0"/>
              <w:jc w:val="left"/>
              <w:rPr>
                <w:b w:val="0"/>
                <w:bCs w:val="0"/>
                <w:szCs w:val="20"/>
                <w:lang w:eastAsia="zh-CN"/>
              </w:rPr>
            </w:pPr>
            <w:r w:rsidRPr="004E045A">
              <w:rPr>
                <w:b w:val="0"/>
                <w:bCs w:val="0"/>
                <w:szCs w:val="20"/>
                <w:lang w:eastAsia="zh-CN"/>
              </w:rPr>
              <w:t>Société spécialisée dans le recyclage des câbles</w:t>
            </w:r>
          </w:p>
        </w:tc>
      </w:tr>
      <w:tr w:rsidR="002638FA" w:rsidRPr="004B4D12" w14:paraId="6A21E64A" w14:textId="77777777" w:rsidTr="004E045A">
        <w:trPr>
          <w:cnfStyle w:val="010000000000" w:firstRow="0" w:lastRow="1" w:firstColumn="0" w:lastColumn="0" w:oddVBand="0" w:evenVBand="0" w:oddHBand="0" w:evenHBand="0" w:firstRowFirstColumn="0" w:firstRowLastColumn="0" w:lastRowFirstColumn="0" w:lastRowLastColumn="0"/>
          <w:trHeight w:val="1066"/>
        </w:trPr>
        <w:tc>
          <w:tcPr>
            <w:cnfStyle w:val="001000000000" w:firstRow="0" w:lastRow="0" w:firstColumn="1" w:lastColumn="0" w:oddVBand="0" w:evenVBand="0" w:oddHBand="0" w:evenHBand="0" w:firstRowFirstColumn="0" w:firstRowLastColumn="0" w:lastRowFirstColumn="0" w:lastRowLastColumn="0"/>
            <w:tcW w:w="1951" w:type="dxa"/>
            <w:tcBorders>
              <w:top w:val="single" w:sz="4" w:space="0" w:color="D9E2F3" w:themeColor="accent1" w:themeTint="33"/>
            </w:tcBorders>
          </w:tcPr>
          <w:p w14:paraId="1EF8B367" w14:textId="77777777" w:rsidR="002638FA" w:rsidRPr="004B4D12" w:rsidRDefault="002638FA" w:rsidP="002638FA">
            <w:pPr>
              <w:spacing w:before="0" w:after="0"/>
              <w:jc w:val="left"/>
              <w:rPr>
                <w:b w:val="0"/>
                <w:szCs w:val="20"/>
                <w:lang w:eastAsia="zh-CN"/>
              </w:rPr>
            </w:pPr>
            <w:r w:rsidRPr="004B4D12">
              <w:rPr>
                <w:szCs w:val="20"/>
                <w:lang w:eastAsia="zh-CN"/>
              </w:rPr>
              <w:t>Équipement électriques</w:t>
            </w:r>
          </w:p>
        </w:tc>
        <w:tc>
          <w:tcPr>
            <w:tcW w:w="2415" w:type="dxa"/>
            <w:tcBorders>
              <w:top w:val="single" w:sz="4" w:space="0" w:color="D9E2F3" w:themeColor="accent1" w:themeTint="33"/>
            </w:tcBorders>
          </w:tcPr>
          <w:p w14:paraId="799191C8" w14:textId="3B78EC54" w:rsidR="002638FA" w:rsidRPr="004E045A" w:rsidRDefault="00FC20EF" w:rsidP="00FC20EF">
            <w:pPr>
              <w:spacing w:before="0" w:after="0"/>
              <w:jc w:val="left"/>
              <w:cnfStyle w:val="010000000000" w:firstRow="0" w:lastRow="1" w:firstColumn="0" w:lastColumn="0" w:oddVBand="0" w:evenVBand="0" w:oddHBand="0" w:evenHBand="0" w:firstRowFirstColumn="0" w:firstRowLastColumn="0" w:lastRowFirstColumn="0" w:lastRowLastColumn="0"/>
              <w:rPr>
                <w:b w:val="0"/>
                <w:bCs w:val="0"/>
                <w:szCs w:val="20"/>
                <w:lang w:eastAsia="zh-CN"/>
              </w:rPr>
            </w:pPr>
            <w:r w:rsidRPr="004E045A">
              <w:rPr>
                <w:b w:val="0"/>
                <w:bCs w:val="0"/>
                <w:szCs w:val="20"/>
                <w:lang w:eastAsia="zh-CN"/>
              </w:rPr>
              <w:t xml:space="preserve">Substances potentiellement </w:t>
            </w:r>
            <w:r w:rsidR="002638FA" w:rsidRPr="004E045A">
              <w:rPr>
                <w:b w:val="0"/>
                <w:bCs w:val="0"/>
                <w:szCs w:val="20"/>
                <w:lang w:eastAsia="zh-CN"/>
              </w:rPr>
              <w:t>dangereu</w:t>
            </w:r>
            <w:r w:rsidRPr="004E045A">
              <w:rPr>
                <w:b w:val="0"/>
                <w:bCs w:val="0"/>
                <w:szCs w:val="20"/>
                <w:lang w:eastAsia="zh-CN"/>
              </w:rPr>
              <w:t>ses</w:t>
            </w:r>
            <w:r w:rsidR="002638FA" w:rsidRPr="004E045A">
              <w:rPr>
                <w:b w:val="0"/>
                <w:bCs w:val="0"/>
                <w:szCs w:val="20"/>
                <w:lang w:eastAsia="zh-CN"/>
              </w:rPr>
              <w:t xml:space="preserve"> (Gaz, huile…)</w:t>
            </w:r>
          </w:p>
        </w:tc>
        <w:tc>
          <w:tcPr>
            <w:tcW w:w="2508" w:type="dxa"/>
            <w:tcBorders>
              <w:top w:val="single" w:sz="4" w:space="0" w:color="D9E2F3" w:themeColor="accent1" w:themeTint="33"/>
            </w:tcBorders>
          </w:tcPr>
          <w:p w14:paraId="76BDA5F9" w14:textId="6BDA0232" w:rsidR="002638FA" w:rsidRPr="004E045A" w:rsidRDefault="002638FA" w:rsidP="002638FA">
            <w:pPr>
              <w:spacing w:before="0" w:after="0"/>
              <w:jc w:val="left"/>
              <w:cnfStyle w:val="010000000000" w:firstRow="0" w:lastRow="1" w:firstColumn="0" w:lastColumn="0" w:oddVBand="0" w:evenVBand="0" w:oddHBand="0" w:evenHBand="0" w:firstRowFirstColumn="0" w:firstRowLastColumn="0" w:lastRowFirstColumn="0" w:lastRowLastColumn="0"/>
              <w:rPr>
                <w:b w:val="0"/>
                <w:bCs w:val="0"/>
                <w:szCs w:val="20"/>
                <w:lang w:eastAsia="zh-CN"/>
              </w:rPr>
            </w:pPr>
            <w:r w:rsidRPr="004E045A">
              <w:rPr>
                <w:b w:val="0"/>
                <w:bCs w:val="0"/>
                <w:szCs w:val="20"/>
                <w:lang w:eastAsia="zh-CN"/>
              </w:rPr>
              <w:t>Cellules, transformateurs, onduleurs</w:t>
            </w:r>
          </w:p>
        </w:tc>
        <w:tc>
          <w:tcPr>
            <w:cnfStyle w:val="000100000000" w:firstRow="0" w:lastRow="0" w:firstColumn="0" w:lastColumn="1" w:oddVBand="0" w:evenVBand="0" w:oddHBand="0" w:evenHBand="0" w:firstRowFirstColumn="0" w:firstRowLastColumn="0" w:lastRowFirstColumn="0" w:lastRowLastColumn="0"/>
            <w:tcW w:w="2210" w:type="dxa"/>
            <w:tcBorders>
              <w:top w:val="single" w:sz="4" w:space="0" w:color="D9E2F3" w:themeColor="accent1" w:themeTint="33"/>
            </w:tcBorders>
          </w:tcPr>
          <w:p w14:paraId="4CEAE361" w14:textId="48E0562F" w:rsidR="002638FA" w:rsidRPr="004E045A" w:rsidRDefault="002638FA" w:rsidP="002638FA">
            <w:pPr>
              <w:spacing w:before="0" w:after="0"/>
              <w:jc w:val="left"/>
              <w:rPr>
                <w:b w:val="0"/>
                <w:bCs w:val="0"/>
                <w:szCs w:val="20"/>
                <w:lang w:eastAsia="zh-CN"/>
              </w:rPr>
            </w:pPr>
            <w:r w:rsidRPr="004E045A">
              <w:rPr>
                <w:b w:val="0"/>
                <w:bCs w:val="0"/>
                <w:szCs w:val="20"/>
                <w:lang w:eastAsia="zh-CN"/>
              </w:rPr>
              <w:t>Traitement dans des filières spécialisées</w:t>
            </w:r>
          </w:p>
        </w:tc>
      </w:tr>
    </w:tbl>
    <w:p w14:paraId="318C8DDC" w14:textId="77777777" w:rsidR="002638FA" w:rsidRPr="002638FA" w:rsidRDefault="002638FA" w:rsidP="002638FA">
      <w:pPr>
        <w:rPr>
          <w:lang w:eastAsia="zh-CN"/>
        </w:rPr>
      </w:pPr>
      <w:r w:rsidRPr="002638FA">
        <w:rPr>
          <w:lang w:eastAsia="zh-CN"/>
        </w:rPr>
        <w:t>Durant la phase de démantèlement, les impacts sont notamment liés aux transports des différents équipements démantelés du site du projet vers la destination finale pour une éventuelle réutilisation/ recyclage. Cette opération sera assurée par une société spécialisée en démantèlement.</w:t>
      </w:r>
    </w:p>
    <w:p w14:paraId="782AF6C0" w14:textId="2F2B9654" w:rsidR="002638FA" w:rsidRPr="002638FA" w:rsidRDefault="002638FA" w:rsidP="002638FA">
      <w:pPr>
        <w:rPr>
          <w:lang w:eastAsia="zh-CN"/>
        </w:rPr>
      </w:pPr>
      <w:r w:rsidRPr="002638FA">
        <w:rPr>
          <w:lang w:eastAsia="zh-CN"/>
        </w:rPr>
        <w:t>Les impacts en phases de démantèlement sont ponctuels, l’intensité de l’impact est faible et positive.</w:t>
      </w:r>
    </w:p>
    <w:p w14:paraId="19B5547A" w14:textId="666E160D" w:rsidR="002638FA" w:rsidRDefault="002638FA" w:rsidP="004637C7">
      <w:pPr>
        <w:pStyle w:val="Title3"/>
        <w:rPr>
          <w:lang w:eastAsia="zh-CN"/>
        </w:rPr>
      </w:pPr>
      <w:bookmarkStart w:id="500" w:name="_Toc215131891"/>
      <w:r w:rsidRPr="00936978">
        <w:rPr>
          <w:lang w:eastAsia="zh-CN"/>
        </w:rPr>
        <w:t>Mesures d’atténuation</w:t>
      </w:r>
      <w:bookmarkEnd w:id="500"/>
    </w:p>
    <w:p w14:paraId="61910324" w14:textId="4403C819" w:rsidR="002638FA" w:rsidRPr="002638FA" w:rsidRDefault="002638FA" w:rsidP="002638FA">
      <w:pPr>
        <w:rPr>
          <w:lang w:eastAsia="zh-CN"/>
        </w:rPr>
      </w:pPr>
      <w:r w:rsidRPr="002638FA">
        <w:rPr>
          <w:lang w:eastAsia="zh-CN"/>
        </w:rPr>
        <w:t>Afin de garantir que les opérations de démantèlement des équipements du site soient menées selon les règles de l'art, un plan de gestion environnemental sera mis en place par la société responsable de cette opération. Ce plan détaillera les aspects environnementaux à prendre en compte durant les</w:t>
      </w:r>
      <w:r w:rsidR="00E872C4">
        <w:rPr>
          <w:lang w:eastAsia="zh-CN"/>
        </w:rPr>
        <w:t xml:space="preserve"> </w:t>
      </w:r>
      <w:r w:rsidRPr="002638FA">
        <w:rPr>
          <w:lang w:eastAsia="zh-CN"/>
        </w:rPr>
        <w:t>différentes étapes de démantèlement et le devenir des équipements démantelés.</w:t>
      </w:r>
    </w:p>
    <w:p w14:paraId="13325745" w14:textId="6C3284CE" w:rsidR="002638FA" w:rsidRPr="002638FA" w:rsidRDefault="00BF0B34" w:rsidP="00E872C4">
      <w:pPr>
        <w:pStyle w:val="Title2"/>
        <w:rPr>
          <w:lang w:eastAsia="zh-CN"/>
        </w:rPr>
      </w:pPr>
      <w:bookmarkStart w:id="501" w:name="_Toc181619047"/>
      <w:bookmarkStart w:id="502" w:name="_Toc215131892"/>
      <w:r>
        <w:rPr>
          <w:lang w:eastAsia="zh-CN"/>
        </w:rPr>
        <w:t>Evaluation des i</w:t>
      </w:r>
      <w:r w:rsidR="002638FA" w:rsidRPr="002638FA">
        <w:rPr>
          <w:lang w:eastAsia="zh-CN"/>
        </w:rPr>
        <w:t>mpacts cumulatifs</w:t>
      </w:r>
      <w:bookmarkEnd w:id="501"/>
      <w:bookmarkEnd w:id="502"/>
    </w:p>
    <w:p w14:paraId="0FEC4435" w14:textId="1BAF5E11" w:rsidR="00EE0542" w:rsidRDefault="00EE0542" w:rsidP="00EE0542">
      <w:pPr>
        <w:pStyle w:val="Title3"/>
      </w:pPr>
      <w:bookmarkStart w:id="503" w:name="_Toc215131893"/>
      <w:r w:rsidRPr="00EE0542">
        <w:t>Approche méthodologique</w:t>
      </w:r>
      <w:bookmarkEnd w:id="503"/>
      <w:r w:rsidRPr="00EE0542">
        <w:t xml:space="preserve"> </w:t>
      </w:r>
    </w:p>
    <w:p w14:paraId="36E863B8" w14:textId="0EEF52E7" w:rsidR="00652975" w:rsidRDefault="00652975" w:rsidP="00652975">
      <w:r>
        <w:t xml:space="preserve">L’évaluation des impacts cumulatifs (EIC) vise à déterminer si les effets combinés du projet d’extension du parking avions et des voies de circulation de l’aéroport </w:t>
      </w:r>
      <w:r w:rsidR="00A12CC2">
        <w:t>de Marrakech Ménara</w:t>
      </w:r>
      <w:r>
        <w:t>, associés à d’autres activités existantes ou planifiées dans la zone d’influence, pourraient générer des incidences environnementales ou sociales significatives dépassant celles du projet seul.</w:t>
      </w:r>
    </w:p>
    <w:p w14:paraId="2DB4CB04" w14:textId="1A05B4E2" w:rsidR="00DD453F" w:rsidRDefault="00652975" w:rsidP="00652975">
      <w:r>
        <w:t xml:space="preserve">Cette approche repose sur les </w:t>
      </w:r>
      <w:r w:rsidR="00A12CC2">
        <w:t>recommandations des</w:t>
      </w:r>
      <w:r>
        <w:t xml:space="preserve"> Sauvegardes Opérationnelles de la BAD et de la SFI (IFC, Good Practice Handbook on Cumulative Impact Assessment).</w:t>
      </w:r>
    </w:p>
    <w:p w14:paraId="4EF63E5D" w14:textId="5A508D14" w:rsidR="00652975" w:rsidRDefault="00652975" w:rsidP="00D6380B">
      <w:bookmarkStart w:id="504" w:name="_bookmark225"/>
      <w:bookmarkStart w:id="505" w:name="_Toc181619048"/>
      <w:bookmarkEnd w:id="504"/>
      <w:r w:rsidRPr="00652975">
        <w:t>Les étapes méthodologiques suivies sont les suivantes :</w:t>
      </w:r>
      <w:bookmarkEnd w:id="505"/>
    </w:p>
    <w:p w14:paraId="62A3C1BE" w14:textId="77777777" w:rsidR="004E045A" w:rsidRDefault="004E045A" w:rsidP="00D6380B"/>
    <w:p w14:paraId="5458CC70" w14:textId="77777777" w:rsidR="004E045A" w:rsidRDefault="004E045A" w:rsidP="00D6380B"/>
    <w:p w14:paraId="589B2353" w14:textId="77777777" w:rsidR="004E045A" w:rsidRDefault="004E045A" w:rsidP="00D6380B"/>
    <w:p w14:paraId="6D0E943C" w14:textId="77777777" w:rsidR="004E045A" w:rsidRDefault="004E045A" w:rsidP="00D6380B"/>
    <w:tbl>
      <w:tblPr>
        <w:tblStyle w:val="TableauGrille1Clair-Accentuation111"/>
        <w:tblW w:w="0" w:type="auto"/>
        <w:tblLook w:val="04A0" w:firstRow="1" w:lastRow="0" w:firstColumn="1" w:lastColumn="0" w:noHBand="0" w:noVBand="1"/>
      </w:tblPr>
      <w:tblGrid>
        <w:gridCol w:w="3597"/>
        <w:gridCol w:w="5463"/>
      </w:tblGrid>
      <w:tr w:rsidR="00652975" w:rsidRPr="00652975" w14:paraId="35B9C75C" w14:textId="77777777" w:rsidTr="004637C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4205FCCD" w14:textId="77777777" w:rsidR="00652975" w:rsidRPr="00652975" w:rsidRDefault="00652975" w:rsidP="00652975">
            <w:r w:rsidRPr="00652975">
              <w:lastRenderedPageBreak/>
              <w:t>Étape</w:t>
            </w:r>
          </w:p>
        </w:tc>
        <w:tc>
          <w:tcPr>
            <w:tcW w:w="0" w:type="auto"/>
            <w:hideMark/>
          </w:tcPr>
          <w:p w14:paraId="7AC01385" w14:textId="77777777" w:rsidR="00652975" w:rsidRPr="00652975" w:rsidRDefault="00652975" w:rsidP="00652975">
            <w:pPr>
              <w:cnfStyle w:val="100000000000" w:firstRow="1" w:lastRow="0" w:firstColumn="0" w:lastColumn="0" w:oddVBand="0" w:evenVBand="0" w:oddHBand="0" w:evenHBand="0" w:firstRowFirstColumn="0" w:firstRowLastColumn="0" w:lastRowFirstColumn="0" w:lastRowLastColumn="0"/>
            </w:pPr>
            <w:r w:rsidRPr="00652975">
              <w:t>Description</w:t>
            </w:r>
          </w:p>
        </w:tc>
      </w:tr>
      <w:tr w:rsidR="00652975" w:rsidRPr="00652975" w14:paraId="3772ECA8" w14:textId="77777777" w:rsidTr="004637C7">
        <w:tc>
          <w:tcPr>
            <w:cnfStyle w:val="001000000000" w:firstRow="0" w:lastRow="0" w:firstColumn="1" w:lastColumn="0" w:oddVBand="0" w:evenVBand="0" w:oddHBand="0" w:evenHBand="0" w:firstRowFirstColumn="0" w:firstRowLastColumn="0" w:lastRowFirstColumn="0" w:lastRowLastColumn="0"/>
            <w:tcW w:w="0" w:type="auto"/>
            <w:hideMark/>
          </w:tcPr>
          <w:p w14:paraId="3321D995" w14:textId="77777777" w:rsidR="00652975" w:rsidRPr="00652975" w:rsidRDefault="00652975" w:rsidP="00652975">
            <w:r w:rsidRPr="00652975">
              <w:t>1. Définition de la zone d’influence cumulative (ZIC)</w:t>
            </w:r>
          </w:p>
        </w:tc>
        <w:tc>
          <w:tcPr>
            <w:tcW w:w="0" w:type="auto"/>
            <w:hideMark/>
          </w:tcPr>
          <w:p w14:paraId="34A4F5B5" w14:textId="77777777" w:rsidR="00652975" w:rsidRPr="00652975" w:rsidRDefault="00652975" w:rsidP="00652975">
            <w:pPr>
              <w:cnfStyle w:val="000000000000" w:firstRow="0" w:lastRow="0" w:firstColumn="0" w:lastColumn="0" w:oddVBand="0" w:evenVBand="0" w:oddHBand="0" w:evenHBand="0" w:firstRowFirstColumn="0" w:firstRowLastColumn="0" w:lastRowFirstColumn="0" w:lastRowLastColumn="0"/>
            </w:pPr>
            <w:r w:rsidRPr="00652975">
              <w:t>Zone géographique où les effets combinés du projet et d’autres activités peuvent interagir.</w:t>
            </w:r>
          </w:p>
        </w:tc>
      </w:tr>
      <w:tr w:rsidR="00652975" w:rsidRPr="00652975" w14:paraId="05089ADC" w14:textId="77777777" w:rsidTr="004637C7">
        <w:tc>
          <w:tcPr>
            <w:cnfStyle w:val="001000000000" w:firstRow="0" w:lastRow="0" w:firstColumn="1" w:lastColumn="0" w:oddVBand="0" w:evenVBand="0" w:oddHBand="0" w:evenHBand="0" w:firstRowFirstColumn="0" w:firstRowLastColumn="0" w:lastRowFirstColumn="0" w:lastRowLastColumn="0"/>
            <w:tcW w:w="0" w:type="auto"/>
            <w:hideMark/>
          </w:tcPr>
          <w:p w14:paraId="4EEDC2F2" w14:textId="77777777" w:rsidR="00652975" w:rsidRPr="00652975" w:rsidRDefault="00652975" w:rsidP="00652975">
            <w:r w:rsidRPr="00652975">
              <w:t>2. Identification des activités cumulables</w:t>
            </w:r>
          </w:p>
        </w:tc>
        <w:tc>
          <w:tcPr>
            <w:tcW w:w="0" w:type="auto"/>
            <w:hideMark/>
          </w:tcPr>
          <w:p w14:paraId="125C968F" w14:textId="77777777" w:rsidR="00652975" w:rsidRPr="00652975" w:rsidRDefault="00652975" w:rsidP="00652975">
            <w:pPr>
              <w:cnfStyle w:val="000000000000" w:firstRow="0" w:lastRow="0" w:firstColumn="0" w:lastColumn="0" w:oddVBand="0" w:evenVBand="0" w:oddHBand="0" w:evenHBand="0" w:firstRowFirstColumn="0" w:firstRowLastColumn="0" w:lastRowFirstColumn="0" w:lastRowLastColumn="0"/>
            </w:pPr>
            <w:r w:rsidRPr="00652975">
              <w:t>Sélection des projets en cours ou planifiés dont les effets peuvent se superposer dans le temps ou dans l’espace.</w:t>
            </w:r>
          </w:p>
        </w:tc>
      </w:tr>
      <w:tr w:rsidR="00652975" w:rsidRPr="00652975" w14:paraId="658D645C" w14:textId="77777777" w:rsidTr="004637C7">
        <w:tc>
          <w:tcPr>
            <w:cnfStyle w:val="001000000000" w:firstRow="0" w:lastRow="0" w:firstColumn="1" w:lastColumn="0" w:oddVBand="0" w:evenVBand="0" w:oddHBand="0" w:evenHBand="0" w:firstRowFirstColumn="0" w:firstRowLastColumn="0" w:lastRowFirstColumn="0" w:lastRowLastColumn="0"/>
            <w:tcW w:w="0" w:type="auto"/>
            <w:hideMark/>
          </w:tcPr>
          <w:p w14:paraId="36299229" w14:textId="77777777" w:rsidR="00652975" w:rsidRPr="00652975" w:rsidRDefault="00652975" w:rsidP="00652975">
            <w:r w:rsidRPr="00652975">
              <w:t>3. Sélection des VEC (Valued Environmental and Social Components)</w:t>
            </w:r>
          </w:p>
        </w:tc>
        <w:tc>
          <w:tcPr>
            <w:tcW w:w="0" w:type="auto"/>
            <w:hideMark/>
          </w:tcPr>
          <w:p w14:paraId="73D8F71F" w14:textId="77777777" w:rsidR="00652975" w:rsidRPr="00652975" w:rsidRDefault="00652975" w:rsidP="00652975">
            <w:pPr>
              <w:cnfStyle w:val="000000000000" w:firstRow="0" w:lastRow="0" w:firstColumn="0" w:lastColumn="0" w:oddVBand="0" w:evenVBand="0" w:oddHBand="0" w:evenHBand="0" w:firstRowFirstColumn="0" w:firstRowLastColumn="0" w:lastRowFirstColumn="0" w:lastRowLastColumn="0"/>
            </w:pPr>
            <w:r w:rsidRPr="00652975">
              <w:t>Identification des composantes environnementales et sociales sensibles.</w:t>
            </w:r>
          </w:p>
        </w:tc>
      </w:tr>
      <w:tr w:rsidR="00652975" w:rsidRPr="00652975" w14:paraId="7528CA81" w14:textId="77777777" w:rsidTr="004637C7">
        <w:tc>
          <w:tcPr>
            <w:cnfStyle w:val="001000000000" w:firstRow="0" w:lastRow="0" w:firstColumn="1" w:lastColumn="0" w:oddVBand="0" w:evenVBand="0" w:oddHBand="0" w:evenHBand="0" w:firstRowFirstColumn="0" w:firstRowLastColumn="0" w:lastRowFirstColumn="0" w:lastRowLastColumn="0"/>
            <w:tcW w:w="0" w:type="auto"/>
            <w:hideMark/>
          </w:tcPr>
          <w:p w14:paraId="7C500040" w14:textId="77777777" w:rsidR="00652975" w:rsidRPr="00652975" w:rsidRDefault="00652975" w:rsidP="00652975">
            <w:r w:rsidRPr="00652975">
              <w:t>4. Analyse des mécanismes d’interaction</w:t>
            </w:r>
          </w:p>
        </w:tc>
        <w:tc>
          <w:tcPr>
            <w:tcW w:w="0" w:type="auto"/>
            <w:hideMark/>
          </w:tcPr>
          <w:p w14:paraId="2426877F" w14:textId="77777777" w:rsidR="00652975" w:rsidRPr="00652975" w:rsidRDefault="00652975" w:rsidP="00652975">
            <w:pPr>
              <w:cnfStyle w:val="000000000000" w:firstRow="0" w:lastRow="0" w:firstColumn="0" w:lastColumn="0" w:oddVBand="0" w:evenVBand="0" w:oddHBand="0" w:evenHBand="0" w:firstRowFirstColumn="0" w:firstRowLastColumn="0" w:lastRowFirstColumn="0" w:lastRowLastColumn="0"/>
            </w:pPr>
            <w:r w:rsidRPr="00652975">
              <w:t>Description des processus par lesquels les effets du projet peuvent interagir avec ceux d’autres activités.</w:t>
            </w:r>
          </w:p>
        </w:tc>
      </w:tr>
      <w:tr w:rsidR="00652975" w:rsidRPr="00652975" w14:paraId="3610CEF4" w14:textId="77777777" w:rsidTr="004637C7">
        <w:tc>
          <w:tcPr>
            <w:cnfStyle w:val="001000000000" w:firstRow="0" w:lastRow="0" w:firstColumn="1" w:lastColumn="0" w:oddVBand="0" w:evenVBand="0" w:oddHBand="0" w:evenHBand="0" w:firstRowFirstColumn="0" w:firstRowLastColumn="0" w:lastRowFirstColumn="0" w:lastRowLastColumn="0"/>
            <w:tcW w:w="0" w:type="auto"/>
            <w:hideMark/>
          </w:tcPr>
          <w:p w14:paraId="38EDBFFC" w14:textId="77777777" w:rsidR="00652975" w:rsidRPr="00652975" w:rsidRDefault="00652975" w:rsidP="00652975">
            <w:r w:rsidRPr="00652975">
              <w:t>5. Évaluation de la magnitude des effets cumulés</w:t>
            </w:r>
          </w:p>
        </w:tc>
        <w:tc>
          <w:tcPr>
            <w:tcW w:w="0" w:type="auto"/>
            <w:hideMark/>
          </w:tcPr>
          <w:p w14:paraId="13EAE99C" w14:textId="77777777" w:rsidR="00652975" w:rsidRPr="00652975" w:rsidRDefault="00652975" w:rsidP="00652975">
            <w:pPr>
              <w:cnfStyle w:val="000000000000" w:firstRow="0" w:lastRow="0" w:firstColumn="0" w:lastColumn="0" w:oddVBand="0" w:evenVBand="0" w:oddHBand="0" w:evenHBand="0" w:firstRowFirstColumn="0" w:firstRowLastColumn="0" w:lastRowFirstColumn="0" w:lastRowLastColumn="0"/>
            </w:pPr>
            <w:r w:rsidRPr="00652975">
              <w:t>Appréciation de l’intensité, de l’étendue, de la durée et de la réversibilité des effets combinés.</w:t>
            </w:r>
          </w:p>
        </w:tc>
      </w:tr>
      <w:tr w:rsidR="00652975" w:rsidRPr="00652975" w14:paraId="1737B45A" w14:textId="77777777" w:rsidTr="004637C7">
        <w:tc>
          <w:tcPr>
            <w:cnfStyle w:val="001000000000" w:firstRow="0" w:lastRow="0" w:firstColumn="1" w:lastColumn="0" w:oddVBand="0" w:evenVBand="0" w:oddHBand="0" w:evenHBand="0" w:firstRowFirstColumn="0" w:firstRowLastColumn="0" w:lastRowFirstColumn="0" w:lastRowLastColumn="0"/>
            <w:tcW w:w="0" w:type="auto"/>
            <w:hideMark/>
          </w:tcPr>
          <w:p w14:paraId="3DE032D8" w14:textId="77777777" w:rsidR="00652975" w:rsidRPr="00652975" w:rsidRDefault="00652975" w:rsidP="00652975">
            <w:r w:rsidRPr="00652975">
              <w:t>6. Proposition de mesures de gestion coordonnées</w:t>
            </w:r>
          </w:p>
        </w:tc>
        <w:tc>
          <w:tcPr>
            <w:tcW w:w="0" w:type="auto"/>
            <w:hideMark/>
          </w:tcPr>
          <w:p w14:paraId="5D0B57E4" w14:textId="77777777" w:rsidR="00652975" w:rsidRPr="00652975" w:rsidRDefault="00652975" w:rsidP="00652975">
            <w:pPr>
              <w:cnfStyle w:val="000000000000" w:firstRow="0" w:lastRow="0" w:firstColumn="0" w:lastColumn="0" w:oddVBand="0" w:evenVBand="0" w:oddHBand="0" w:evenHBand="0" w:firstRowFirstColumn="0" w:firstRowLastColumn="0" w:lastRowFirstColumn="0" w:lastRowLastColumn="0"/>
            </w:pPr>
            <w:r w:rsidRPr="00652975">
              <w:t>Recommandations pour atténuer, surveiller ou compenser les effets cumulatifs identifiés.</w:t>
            </w:r>
          </w:p>
        </w:tc>
      </w:tr>
    </w:tbl>
    <w:p w14:paraId="01265979" w14:textId="6F33F76E" w:rsidR="00652975" w:rsidRDefault="00652975" w:rsidP="004637C7">
      <w:pPr>
        <w:pStyle w:val="Title3"/>
      </w:pPr>
      <w:bookmarkStart w:id="506" w:name="_Toc215131894"/>
      <w:r w:rsidRPr="00652975">
        <w:t>Zone d’influence cumulative (ZIC)</w:t>
      </w:r>
      <w:bookmarkEnd w:id="506"/>
    </w:p>
    <w:p w14:paraId="7BF823EB" w14:textId="77777777" w:rsidR="005F0D28" w:rsidRPr="005F0D28" w:rsidRDefault="005F0D28" w:rsidP="004637C7">
      <w:r w:rsidRPr="005F0D28">
        <w:t>La ZIC correspond à la zone géographique où les effets combinés des projets considérés sont susceptibles d’interagir. Elle comprend :</w:t>
      </w:r>
    </w:p>
    <w:p w14:paraId="7986DE29" w14:textId="2D445789" w:rsidR="005F0D28" w:rsidRPr="005F0D28" w:rsidRDefault="005F0D28" w:rsidP="0001633E">
      <w:pPr>
        <w:pStyle w:val="Paragraphedeliste"/>
        <w:numPr>
          <w:ilvl w:val="0"/>
          <w:numId w:val="128"/>
        </w:numPr>
      </w:pPr>
      <w:r w:rsidRPr="005F0D28">
        <w:t xml:space="preserve">l’ensemble de la </w:t>
      </w:r>
      <w:r w:rsidRPr="00D6380B">
        <w:t>plateforme aéroportuaire</w:t>
      </w:r>
      <w:r w:rsidRPr="005F0D28">
        <w:t xml:space="preserve"> </w:t>
      </w:r>
      <w:r w:rsidR="00A12CC2">
        <w:t>Marrakech Ménara</w:t>
      </w:r>
      <w:r w:rsidRPr="005F0D28">
        <w:t xml:space="preserve"> ;</w:t>
      </w:r>
    </w:p>
    <w:p w14:paraId="4605CB66" w14:textId="7C6E42E3" w:rsidR="005F0D28" w:rsidRPr="005F0D28" w:rsidRDefault="005F0D28" w:rsidP="0001633E">
      <w:pPr>
        <w:pStyle w:val="Paragraphedeliste"/>
        <w:numPr>
          <w:ilvl w:val="0"/>
          <w:numId w:val="128"/>
        </w:numPr>
      </w:pPr>
      <w:r w:rsidRPr="005F0D28">
        <w:t xml:space="preserve">une </w:t>
      </w:r>
      <w:r w:rsidRPr="00D6380B">
        <w:t>zone tampon de 5 km</w:t>
      </w:r>
      <w:r w:rsidRPr="005F0D28">
        <w:t xml:space="preserve"> autour de l’enceinte, incluant </w:t>
      </w:r>
      <w:r w:rsidR="008A06D3">
        <w:t>Bouakkaz</w:t>
      </w:r>
      <w:r w:rsidRPr="005F0D28">
        <w:t xml:space="preserve">, la </w:t>
      </w:r>
      <w:r w:rsidR="008A06D3">
        <w:t>RR212</w:t>
      </w:r>
      <w:r w:rsidRPr="005F0D28">
        <w:t xml:space="preserve"> ;</w:t>
      </w:r>
    </w:p>
    <w:p w14:paraId="0D26A6E8" w14:textId="4BABF487" w:rsidR="00096250" w:rsidRDefault="00096250" w:rsidP="004637C7">
      <w:pPr>
        <w:pStyle w:val="Title3"/>
      </w:pPr>
      <w:bookmarkStart w:id="507" w:name="_Toc215131895"/>
      <w:r>
        <w:t>I</w:t>
      </w:r>
      <w:r w:rsidRPr="003D275E">
        <w:t>dentification des projets et activités cumulables</w:t>
      </w:r>
      <w:bookmarkEnd w:id="507"/>
    </w:p>
    <w:p w14:paraId="21495412" w14:textId="5097E2C9" w:rsidR="003D275E" w:rsidRDefault="003D275E" w:rsidP="003D275E">
      <w:r w:rsidRPr="003D275E">
        <w:t xml:space="preserve">L’analyse des effets cumulatifs repose sur l’identification des </w:t>
      </w:r>
      <w:r w:rsidRPr="004637C7">
        <w:t>projets et activités existants ou planifiés</w:t>
      </w:r>
      <w:r w:rsidRPr="003D275E">
        <w:t xml:space="preserve"> susceptibles d’interagir avec les impacts du projet d’extension du parking avions et des voies de circulation de l’aéroport </w:t>
      </w:r>
      <w:r w:rsidR="008A06D3">
        <w:t>Marrakech Ménara</w:t>
      </w:r>
      <w:r w:rsidRPr="003D275E">
        <w:t>.</w:t>
      </w:r>
    </w:p>
    <w:p w14:paraId="70766AAE" w14:textId="657A5630" w:rsidR="003D275E" w:rsidRPr="003D275E" w:rsidRDefault="003D275E" w:rsidP="003D275E">
      <w:r w:rsidRPr="003D275E">
        <w:t xml:space="preserve">Cette démarche permet de déterminer les </w:t>
      </w:r>
      <w:r w:rsidRPr="004637C7">
        <w:t>sources d’impacts externes</w:t>
      </w:r>
      <w:r w:rsidRPr="003D275E">
        <w:t xml:space="preserve"> pouvant influencer les mêmes composantes environnementales et sociales, dans une perspective spatiale et temporelle combinée.</w:t>
      </w:r>
    </w:p>
    <w:p w14:paraId="09E78070" w14:textId="32B66272" w:rsidR="003D275E" w:rsidRPr="00D6380B" w:rsidRDefault="003D275E" w:rsidP="003D275E">
      <w:r w:rsidRPr="003D275E">
        <w:t xml:space="preserve">Conformément au </w:t>
      </w:r>
      <w:r w:rsidRPr="004637C7">
        <w:t>Guide de bonnes pratiques de la SF</w:t>
      </w:r>
      <w:r>
        <w:t>I</w:t>
      </w:r>
      <w:r w:rsidRPr="00D6380B">
        <w:t>, cette identification repose sur :</w:t>
      </w:r>
    </w:p>
    <w:p w14:paraId="1136F978" w14:textId="77777777" w:rsidR="003D275E" w:rsidRPr="00D6380B" w:rsidRDefault="003D275E" w:rsidP="0001633E">
      <w:pPr>
        <w:numPr>
          <w:ilvl w:val="0"/>
          <w:numId w:val="129"/>
        </w:numPr>
      </w:pPr>
      <w:r w:rsidRPr="00D6380B">
        <w:t xml:space="preserve">l’examen des </w:t>
      </w:r>
      <w:r w:rsidRPr="004637C7">
        <w:t>programmes d’aménagement et de modernisation prévus au sein de la plateforme aéroportuaire</w:t>
      </w:r>
      <w:r w:rsidRPr="00D6380B">
        <w:t xml:space="preserve"> ;</w:t>
      </w:r>
    </w:p>
    <w:p w14:paraId="050D2D97" w14:textId="1AFDE519" w:rsidR="003D275E" w:rsidRPr="00D6380B" w:rsidRDefault="003D275E" w:rsidP="0001633E">
      <w:pPr>
        <w:numPr>
          <w:ilvl w:val="0"/>
          <w:numId w:val="129"/>
        </w:numPr>
      </w:pPr>
      <w:r w:rsidRPr="00D6380B">
        <w:t xml:space="preserve">la prise en compte des </w:t>
      </w:r>
      <w:r w:rsidRPr="004637C7">
        <w:t>infrastructures régionales structurantes</w:t>
      </w:r>
      <w:r w:rsidRPr="00D6380B">
        <w:t xml:space="preserve">, telles que la </w:t>
      </w:r>
      <w:r w:rsidR="008A06D3">
        <w:t>RR212</w:t>
      </w:r>
      <w:r w:rsidRPr="00D6380B">
        <w:t>, assurant la desserte de l’aéroport ;</w:t>
      </w:r>
    </w:p>
    <w:p w14:paraId="659AA7C9" w14:textId="194AB518" w:rsidR="003D275E" w:rsidRPr="00D6380B" w:rsidRDefault="003D275E" w:rsidP="0001633E">
      <w:pPr>
        <w:numPr>
          <w:ilvl w:val="0"/>
          <w:numId w:val="129"/>
        </w:numPr>
      </w:pPr>
      <w:r w:rsidRPr="00D6380B">
        <w:t>et la présence d’</w:t>
      </w:r>
      <w:r w:rsidRPr="004637C7">
        <w:t>activités économiques permanentes</w:t>
      </w:r>
      <w:r w:rsidRPr="00D6380B">
        <w:t>, utilisant les mêmes ressources naturelles (sols, eau, air).</w:t>
      </w:r>
    </w:p>
    <w:p w14:paraId="7923B11E" w14:textId="7C04D12B" w:rsidR="003D275E" w:rsidRDefault="003D275E" w:rsidP="003D275E">
      <w:r w:rsidRPr="003D275E">
        <w:t xml:space="preserve">L’inventaire </w:t>
      </w:r>
      <w:r>
        <w:t>englobe les</w:t>
      </w:r>
      <w:r w:rsidRPr="003D275E">
        <w:t xml:space="preserve"> activités présentant une </w:t>
      </w:r>
      <w:r w:rsidRPr="004637C7">
        <w:t>interaction plausible</w:t>
      </w:r>
      <w:r w:rsidRPr="003D275E">
        <w:t xml:space="preserve"> avec les composantes environnementales du projet, en termes de proximité géographique, de simultanéité temporelle ou de similarité des sources de pression.</w:t>
      </w:r>
    </w:p>
    <w:p w14:paraId="3531D67D" w14:textId="2ACBFE43" w:rsidR="003D275E" w:rsidRPr="003D275E" w:rsidRDefault="00D12F45" w:rsidP="004637C7">
      <w:pPr>
        <w:pStyle w:val="Title3"/>
      </w:pPr>
      <w:bookmarkStart w:id="508" w:name="_Toc215131896"/>
      <w:r w:rsidRPr="00D12F45">
        <w:lastRenderedPageBreak/>
        <w:t>Composantes environnementales et sociales sensibles (VECs)</w:t>
      </w:r>
      <w:bookmarkEnd w:id="508"/>
    </w:p>
    <w:tbl>
      <w:tblPr>
        <w:tblStyle w:val="TableauGrille1Clair-Accentuation111"/>
        <w:tblW w:w="0" w:type="auto"/>
        <w:tblLook w:val="04A0" w:firstRow="1" w:lastRow="0" w:firstColumn="1" w:lastColumn="0" w:noHBand="0" w:noVBand="1"/>
      </w:tblPr>
      <w:tblGrid>
        <w:gridCol w:w="2233"/>
        <w:gridCol w:w="1380"/>
        <w:gridCol w:w="5447"/>
      </w:tblGrid>
      <w:tr w:rsidR="00D12F45" w:rsidRPr="00D12F45" w14:paraId="22B735A2" w14:textId="77777777" w:rsidTr="004637C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17F26477" w14:textId="77777777" w:rsidR="00D12F45" w:rsidRPr="00D12F45" w:rsidRDefault="00D12F45" w:rsidP="00D12F45">
            <w:r w:rsidRPr="00D12F45">
              <w:t>Composante (VEC)</w:t>
            </w:r>
          </w:p>
        </w:tc>
        <w:tc>
          <w:tcPr>
            <w:tcW w:w="0" w:type="auto"/>
            <w:hideMark/>
          </w:tcPr>
          <w:p w14:paraId="4904E52C" w14:textId="77777777" w:rsidR="00D12F45" w:rsidRPr="00D12F45" w:rsidRDefault="00D12F45" w:rsidP="00D12F45">
            <w:pPr>
              <w:cnfStyle w:val="100000000000" w:firstRow="1" w:lastRow="0" w:firstColumn="0" w:lastColumn="0" w:oddVBand="0" w:evenVBand="0" w:oddHBand="0" w:evenHBand="0" w:firstRowFirstColumn="0" w:firstRowLastColumn="0" w:lastRowFirstColumn="0" w:lastRowLastColumn="0"/>
            </w:pPr>
            <w:r w:rsidRPr="00D12F45">
              <w:t>Sensibilité</w:t>
            </w:r>
          </w:p>
        </w:tc>
        <w:tc>
          <w:tcPr>
            <w:tcW w:w="0" w:type="auto"/>
            <w:hideMark/>
          </w:tcPr>
          <w:p w14:paraId="5BD8AED0" w14:textId="77777777" w:rsidR="00D12F45" w:rsidRPr="00D12F45" w:rsidRDefault="00D12F45" w:rsidP="00D12F45">
            <w:pPr>
              <w:cnfStyle w:val="100000000000" w:firstRow="1" w:lastRow="0" w:firstColumn="0" w:lastColumn="0" w:oddVBand="0" w:evenVBand="0" w:oddHBand="0" w:evenHBand="0" w:firstRowFirstColumn="0" w:firstRowLastColumn="0" w:lastRowFirstColumn="0" w:lastRowLastColumn="0"/>
            </w:pPr>
            <w:r w:rsidRPr="00D12F45">
              <w:t>Justification</w:t>
            </w:r>
          </w:p>
        </w:tc>
      </w:tr>
      <w:tr w:rsidR="00D12F45" w:rsidRPr="00D12F45" w14:paraId="7AD1775F" w14:textId="77777777" w:rsidTr="004637C7">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69915A0C" w14:textId="77777777" w:rsidR="00D12F45" w:rsidRPr="00D12F45" w:rsidRDefault="00D12F45" w:rsidP="004637C7">
            <w:pPr>
              <w:jc w:val="left"/>
            </w:pPr>
            <w:r w:rsidRPr="00D12F45">
              <w:t>Qualité de l’air</w:t>
            </w:r>
          </w:p>
        </w:tc>
        <w:tc>
          <w:tcPr>
            <w:tcW w:w="0" w:type="auto"/>
            <w:vAlign w:val="center"/>
            <w:hideMark/>
          </w:tcPr>
          <w:p w14:paraId="0838622B" w14:textId="77777777" w:rsidR="00D12F45" w:rsidRPr="00D12F45" w:rsidRDefault="00D12F45" w:rsidP="004637C7">
            <w:pPr>
              <w:jc w:val="left"/>
              <w:cnfStyle w:val="000000000000" w:firstRow="0" w:lastRow="0" w:firstColumn="0" w:lastColumn="0" w:oddVBand="0" w:evenVBand="0" w:oddHBand="0" w:evenHBand="0" w:firstRowFirstColumn="0" w:firstRowLastColumn="0" w:lastRowFirstColumn="0" w:lastRowLastColumn="0"/>
            </w:pPr>
            <w:r w:rsidRPr="00D12F45">
              <w:t>Moyenne</w:t>
            </w:r>
          </w:p>
        </w:tc>
        <w:tc>
          <w:tcPr>
            <w:tcW w:w="0" w:type="auto"/>
            <w:hideMark/>
          </w:tcPr>
          <w:p w14:paraId="761ABCFF" w14:textId="77777777" w:rsidR="00D12F45" w:rsidRPr="00D12F45" w:rsidRDefault="00D12F45" w:rsidP="00D12F45">
            <w:pPr>
              <w:cnfStyle w:val="000000000000" w:firstRow="0" w:lastRow="0" w:firstColumn="0" w:lastColumn="0" w:oddVBand="0" w:evenVBand="0" w:oddHBand="0" w:evenHBand="0" w:firstRowFirstColumn="0" w:firstRowLastColumn="0" w:lastRowFirstColumn="0" w:lastRowLastColumn="0"/>
            </w:pPr>
            <w:r w:rsidRPr="00D12F45">
              <w:t>Les émissions de poussières et gaz d’échappement peuvent se combiner entre les chantiers et le trafic routier.</w:t>
            </w:r>
          </w:p>
        </w:tc>
      </w:tr>
      <w:tr w:rsidR="00D12F45" w:rsidRPr="00D12F45" w14:paraId="1E22F411" w14:textId="77777777" w:rsidTr="004637C7">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50DD77B7" w14:textId="77777777" w:rsidR="00D12F45" w:rsidRPr="00D12F45" w:rsidRDefault="00D12F45" w:rsidP="004637C7">
            <w:pPr>
              <w:jc w:val="left"/>
            </w:pPr>
            <w:r w:rsidRPr="00D12F45">
              <w:t>Bruit</w:t>
            </w:r>
          </w:p>
        </w:tc>
        <w:tc>
          <w:tcPr>
            <w:tcW w:w="0" w:type="auto"/>
            <w:vAlign w:val="center"/>
            <w:hideMark/>
          </w:tcPr>
          <w:p w14:paraId="5B46793A" w14:textId="77777777" w:rsidR="00D12F45" w:rsidRPr="00D12F45" w:rsidRDefault="00D12F45" w:rsidP="004637C7">
            <w:pPr>
              <w:jc w:val="left"/>
              <w:cnfStyle w:val="000000000000" w:firstRow="0" w:lastRow="0" w:firstColumn="0" w:lastColumn="0" w:oddVBand="0" w:evenVBand="0" w:oddHBand="0" w:evenHBand="0" w:firstRowFirstColumn="0" w:firstRowLastColumn="0" w:lastRowFirstColumn="0" w:lastRowLastColumn="0"/>
            </w:pPr>
            <w:r w:rsidRPr="00D12F45">
              <w:t>Moyenne</w:t>
            </w:r>
          </w:p>
        </w:tc>
        <w:tc>
          <w:tcPr>
            <w:tcW w:w="0" w:type="auto"/>
            <w:hideMark/>
          </w:tcPr>
          <w:p w14:paraId="39A5866E" w14:textId="77777777" w:rsidR="00D12F45" w:rsidRPr="00D12F45" w:rsidRDefault="00D12F45" w:rsidP="00D12F45">
            <w:pPr>
              <w:cnfStyle w:val="000000000000" w:firstRow="0" w:lastRow="0" w:firstColumn="0" w:lastColumn="0" w:oddVBand="0" w:evenVBand="0" w:oddHBand="0" w:evenHBand="0" w:firstRowFirstColumn="0" w:firstRowLastColumn="0" w:lastRowFirstColumn="0" w:lastRowLastColumn="0"/>
            </w:pPr>
            <w:r w:rsidRPr="00D12F45">
              <w:t>Superposition possible des nuisances des travaux et du trafic aérien/terrestre.</w:t>
            </w:r>
          </w:p>
        </w:tc>
      </w:tr>
      <w:tr w:rsidR="00D12F45" w:rsidRPr="00D12F45" w14:paraId="79A13892" w14:textId="77777777" w:rsidTr="004637C7">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3DF9FC4E" w14:textId="77777777" w:rsidR="00D12F45" w:rsidRPr="00D12F45" w:rsidRDefault="00D12F45" w:rsidP="004637C7">
            <w:pPr>
              <w:jc w:val="left"/>
            </w:pPr>
            <w:r w:rsidRPr="00D12F45">
              <w:t>Ressources en eau</w:t>
            </w:r>
          </w:p>
        </w:tc>
        <w:tc>
          <w:tcPr>
            <w:tcW w:w="0" w:type="auto"/>
            <w:vAlign w:val="center"/>
            <w:hideMark/>
          </w:tcPr>
          <w:p w14:paraId="3A5104CB" w14:textId="77777777" w:rsidR="00D12F45" w:rsidRPr="00D12F45" w:rsidRDefault="00D12F45" w:rsidP="004637C7">
            <w:pPr>
              <w:jc w:val="left"/>
              <w:cnfStyle w:val="000000000000" w:firstRow="0" w:lastRow="0" w:firstColumn="0" w:lastColumn="0" w:oddVBand="0" w:evenVBand="0" w:oddHBand="0" w:evenHBand="0" w:firstRowFirstColumn="0" w:firstRowLastColumn="0" w:lastRowFirstColumn="0" w:lastRowLastColumn="0"/>
            </w:pPr>
            <w:r w:rsidRPr="00D12F45">
              <w:t>Moyenne à élevée</w:t>
            </w:r>
          </w:p>
        </w:tc>
        <w:tc>
          <w:tcPr>
            <w:tcW w:w="0" w:type="auto"/>
            <w:hideMark/>
          </w:tcPr>
          <w:p w14:paraId="5131AC06" w14:textId="77777777" w:rsidR="00D12F45" w:rsidRPr="00D12F45" w:rsidRDefault="00D12F45" w:rsidP="00D12F45">
            <w:pPr>
              <w:cnfStyle w:val="000000000000" w:firstRow="0" w:lastRow="0" w:firstColumn="0" w:lastColumn="0" w:oddVBand="0" w:evenVBand="0" w:oddHBand="0" w:evenHBand="0" w:firstRowFirstColumn="0" w:firstRowLastColumn="0" w:lastRowFirstColumn="0" w:lastRowLastColumn="0"/>
            </w:pPr>
            <w:r w:rsidRPr="00D12F45">
              <w:t>Partage de la même nappe phréatique entre les besoins du chantier et l’agriculture irriguée.</w:t>
            </w:r>
          </w:p>
        </w:tc>
      </w:tr>
      <w:tr w:rsidR="00D12F45" w:rsidRPr="00D12F45" w14:paraId="16559EF5" w14:textId="77777777" w:rsidTr="004637C7">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39042370" w14:textId="77777777" w:rsidR="00D12F45" w:rsidRPr="00D12F45" w:rsidRDefault="00D12F45" w:rsidP="004637C7">
            <w:pPr>
              <w:jc w:val="left"/>
            </w:pPr>
            <w:r w:rsidRPr="00D12F45">
              <w:t>Circulation et sécurité routière</w:t>
            </w:r>
          </w:p>
        </w:tc>
        <w:tc>
          <w:tcPr>
            <w:tcW w:w="0" w:type="auto"/>
            <w:vAlign w:val="center"/>
            <w:hideMark/>
          </w:tcPr>
          <w:p w14:paraId="6ED056D4" w14:textId="77777777" w:rsidR="00D12F45" w:rsidRPr="00D12F45" w:rsidRDefault="00D12F45" w:rsidP="004637C7">
            <w:pPr>
              <w:jc w:val="left"/>
              <w:cnfStyle w:val="000000000000" w:firstRow="0" w:lastRow="0" w:firstColumn="0" w:lastColumn="0" w:oddVBand="0" w:evenVBand="0" w:oddHBand="0" w:evenHBand="0" w:firstRowFirstColumn="0" w:firstRowLastColumn="0" w:lastRowFirstColumn="0" w:lastRowLastColumn="0"/>
            </w:pPr>
            <w:r w:rsidRPr="00D12F45">
              <w:t>Moyenne</w:t>
            </w:r>
          </w:p>
        </w:tc>
        <w:tc>
          <w:tcPr>
            <w:tcW w:w="0" w:type="auto"/>
            <w:hideMark/>
          </w:tcPr>
          <w:p w14:paraId="499FE65F" w14:textId="77777777" w:rsidR="00D12F45" w:rsidRPr="00D12F45" w:rsidRDefault="00D12F45" w:rsidP="00D12F45">
            <w:pPr>
              <w:cnfStyle w:val="000000000000" w:firstRow="0" w:lastRow="0" w:firstColumn="0" w:lastColumn="0" w:oddVBand="0" w:evenVBand="0" w:oddHBand="0" w:evenHBand="0" w:firstRowFirstColumn="0" w:firstRowLastColumn="0" w:lastRowFirstColumn="0" w:lastRowLastColumn="0"/>
            </w:pPr>
            <w:r w:rsidRPr="00D12F45">
              <w:t>Flux croisés entre véhicules d’approvisionnement, taxis, bus et circulation publique.</w:t>
            </w:r>
          </w:p>
        </w:tc>
      </w:tr>
      <w:tr w:rsidR="00D12F45" w:rsidRPr="00D12F45" w14:paraId="1C65FF8E" w14:textId="77777777" w:rsidTr="004637C7">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6DBFEBAD" w14:textId="77777777" w:rsidR="00D12F45" w:rsidRPr="00D12F45" w:rsidRDefault="00D12F45" w:rsidP="004637C7">
            <w:pPr>
              <w:jc w:val="left"/>
            </w:pPr>
            <w:r w:rsidRPr="00D12F45">
              <w:t>Santé et sécurité communautaire</w:t>
            </w:r>
          </w:p>
        </w:tc>
        <w:tc>
          <w:tcPr>
            <w:tcW w:w="0" w:type="auto"/>
            <w:vAlign w:val="center"/>
            <w:hideMark/>
          </w:tcPr>
          <w:p w14:paraId="76C14168" w14:textId="77777777" w:rsidR="00D12F45" w:rsidRPr="00D12F45" w:rsidRDefault="00D12F45" w:rsidP="004637C7">
            <w:pPr>
              <w:jc w:val="left"/>
              <w:cnfStyle w:val="000000000000" w:firstRow="0" w:lastRow="0" w:firstColumn="0" w:lastColumn="0" w:oddVBand="0" w:evenVBand="0" w:oddHBand="0" w:evenHBand="0" w:firstRowFirstColumn="0" w:firstRowLastColumn="0" w:lastRowFirstColumn="0" w:lastRowLastColumn="0"/>
            </w:pPr>
            <w:r w:rsidRPr="00D12F45">
              <w:t>Moyenne</w:t>
            </w:r>
          </w:p>
        </w:tc>
        <w:tc>
          <w:tcPr>
            <w:tcW w:w="0" w:type="auto"/>
            <w:hideMark/>
          </w:tcPr>
          <w:p w14:paraId="6EF732D5" w14:textId="77777777" w:rsidR="00D12F45" w:rsidRPr="00D12F45" w:rsidRDefault="00D12F45" w:rsidP="00D12F45">
            <w:pPr>
              <w:cnfStyle w:val="000000000000" w:firstRow="0" w:lastRow="0" w:firstColumn="0" w:lastColumn="0" w:oddVBand="0" w:evenVBand="0" w:oddHBand="0" w:evenHBand="0" w:firstRowFirstColumn="0" w:firstRowLastColumn="0" w:lastRowFirstColumn="0" w:lastRowLastColumn="0"/>
            </w:pPr>
            <w:r w:rsidRPr="00D12F45">
              <w:t>Perception d’insécurité, stress ou gêne liée à la proximité des chantiers et au trafic.</w:t>
            </w:r>
          </w:p>
        </w:tc>
      </w:tr>
      <w:tr w:rsidR="00D12F45" w:rsidRPr="00D12F45" w14:paraId="3E0FDA10" w14:textId="77777777" w:rsidTr="004637C7">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1009ACE7" w14:textId="77777777" w:rsidR="00D12F45" w:rsidRPr="00D12F45" w:rsidRDefault="00D12F45" w:rsidP="004637C7">
            <w:pPr>
              <w:jc w:val="left"/>
            </w:pPr>
            <w:r w:rsidRPr="00D12F45">
              <w:t>Biodiversité locale</w:t>
            </w:r>
          </w:p>
        </w:tc>
        <w:tc>
          <w:tcPr>
            <w:tcW w:w="0" w:type="auto"/>
            <w:vAlign w:val="center"/>
            <w:hideMark/>
          </w:tcPr>
          <w:p w14:paraId="5E3AC3E0" w14:textId="77777777" w:rsidR="00D12F45" w:rsidRPr="00D12F45" w:rsidRDefault="00D12F45" w:rsidP="004637C7">
            <w:pPr>
              <w:jc w:val="left"/>
              <w:cnfStyle w:val="000000000000" w:firstRow="0" w:lastRow="0" w:firstColumn="0" w:lastColumn="0" w:oddVBand="0" w:evenVBand="0" w:oddHBand="0" w:evenHBand="0" w:firstRowFirstColumn="0" w:firstRowLastColumn="0" w:lastRowFirstColumn="0" w:lastRowLastColumn="0"/>
            </w:pPr>
            <w:r w:rsidRPr="00D12F45">
              <w:t>Faible</w:t>
            </w:r>
          </w:p>
        </w:tc>
        <w:tc>
          <w:tcPr>
            <w:tcW w:w="0" w:type="auto"/>
            <w:hideMark/>
          </w:tcPr>
          <w:p w14:paraId="0F795DCA" w14:textId="77777777" w:rsidR="00D12F45" w:rsidRPr="00D12F45" w:rsidRDefault="00D12F45" w:rsidP="00D12F45">
            <w:pPr>
              <w:cnfStyle w:val="000000000000" w:firstRow="0" w:lastRow="0" w:firstColumn="0" w:lastColumn="0" w:oddVBand="0" w:evenVBand="0" w:oddHBand="0" w:evenHBand="0" w:firstRowFirstColumn="0" w:firstRowLastColumn="0" w:lastRowFirstColumn="0" w:lastRowLastColumn="0"/>
            </w:pPr>
            <w:r w:rsidRPr="00D12F45">
              <w:t>Milieu anthropisé, végétation rudérale et avifaune commune.</w:t>
            </w:r>
          </w:p>
        </w:tc>
      </w:tr>
    </w:tbl>
    <w:p w14:paraId="1D52EDD3" w14:textId="18E8A2DD" w:rsidR="005F0D28" w:rsidRDefault="00D12F45" w:rsidP="00D12F45">
      <w:pPr>
        <w:pStyle w:val="Title3"/>
      </w:pPr>
      <w:bookmarkStart w:id="509" w:name="_Toc215131897"/>
      <w:r w:rsidRPr="00D12F45">
        <w:t>Analyse des interactions cumulatives</w:t>
      </w:r>
      <w:bookmarkEnd w:id="509"/>
    </w:p>
    <w:p w14:paraId="647B483E" w14:textId="432C0C4E" w:rsidR="00D12F45" w:rsidRDefault="005020E7" w:rsidP="004637C7">
      <w:pPr>
        <w:pStyle w:val="Title4"/>
      </w:pPr>
      <w:r>
        <w:t>Qualité de l’air</w:t>
      </w:r>
    </w:p>
    <w:p w14:paraId="22A36FA2" w14:textId="2C523FCA" w:rsidR="005020E7" w:rsidRDefault="005020E7" w:rsidP="00BB6978">
      <w:r>
        <w:t xml:space="preserve">L’interaction principale en matière de qualité de l’air concerne la superposition des émissions générées par les travaux simultanés de l’aéroport (projet actuel et extension du terminal) et les émissions liées à la circulation sur la </w:t>
      </w:r>
      <w:r w:rsidR="008A06D3">
        <w:t>RR212</w:t>
      </w:r>
      <w:r>
        <w:t>. Les engins de chantier et les véhicules de transport mobilisés utiliseront des carburants fossiles, émettant des particules fines (PM₁₀ et PM₂,₅), des oxydes d’azote (NOₓ) et du dioxyde de carbone (CO₂). Ces émissions, bien que limitées individuellement, peuvent se cumuler temporairement à proximité des points d’accès à la plateforme, notamment lors des heures de forte activité logistique.</w:t>
      </w:r>
    </w:p>
    <w:p w14:paraId="04162A0E" w14:textId="2C6BD892" w:rsidR="005020E7" w:rsidRDefault="005020E7" w:rsidP="005020E7">
      <w:r>
        <w:t>Toutefois, la dispersion atmosphérique dans cette zone ouverte et la direction dominante des vents favorisent une dilution rapide des polluants. En conséquence, l’effet cumulatif attendu reste temporaire, localisé et d’intensité faible à moyenne.</w:t>
      </w:r>
    </w:p>
    <w:p w14:paraId="1E0B1FA7" w14:textId="16A15482" w:rsidR="005020E7" w:rsidRDefault="005020E7" w:rsidP="004637C7">
      <w:pPr>
        <w:pStyle w:val="Title4"/>
      </w:pPr>
      <w:r>
        <w:t>Nuisances sonores</w:t>
      </w:r>
    </w:p>
    <w:p w14:paraId="5D104C37" w14:textId="77777777" w:rsidR="002467B6" w:rsidRDefault="002467B6" w:rsidP="002467B6">
      <w:r>
        <w:t>Les nuisances sonores cumulées au niveau de la plateforme aéroportuaire proviendront principalement de trois sources :</w:t>
      </w:r>
    </w:p>
    <w:p w14:paraId="5548C846" w14:textId="77777777" w:rsidR="002467B6" w:rsidRDefault="002467B6" w:rsidP="004637C7">
      <w:pPr>
        <w:ind w:left="709"/>
      </w:pPr>
      <w:r>
        <w:t>(i) les travaux de génie civil liés à l’extension du parking avions et du terminal,</w:t>
      </w:r>
    </w:p>
    <w:p w14:paraId="64380DA7" w14:textId="5A32BD2E" w:rsidR="002467B6" w:rsidRDefault="002467B6" w:rsidP="004637C7">
      <w:pPr>
        <w:ind w:left="709"/>
      </w:pPr>
      <w:r>
        <w:t xml:space="preserve">(ii) le trafic routier sur la </w:t>
      </w:r>
      <w:r w:rsidR="008A06D3">
        <w:t>RR212</w:t>
      </w:r>
      <w:r>
        <w:t xml:space="preserve"> assurant l’accès à l’aéroport, et</w:t>
      </w:r>
    </w:p>
    <w:p w14:paraId="5570B2E8" w14:textId="77777777" w:rsidR="002467B6" w:rsidRDefault="002467B6" w:rsidP="004637C7">
      <w:pPr>
        <w:ind w:left="709"/>
      </w:pPr>
      <w:r>
        <w:t>(iii) les opérations aéronautiques existantes (décollages et atterrissages).</w:t>
      </w:r>
    </w:p>
    <w:p w14:paraId="25CE46E2" w14:textId="3D1F30CC" w:rsidR="002467B6" w:rsidRDefault="002467B6" w:rsidP="002467B6">
      <w:r>
        <w:t xml:space="preserve">Durant les phases de travaux concomitants, le bruit généré par les engins de chantier (pelles mécaniques, camions-bennes, compacteurs) s’ajoutera au bruit de fond permanent de la plateforme </w:t>
      </w:r>
      <w:r>
        <w:lastRenderedPageBreak/>
        <w:t xml:space="preserve">et du trafic. Les modélisations simplifiées et les comparaisons empiriques avec des projets similaires indiquent que les niveaux sonores combinés pourraient atteindre 53 à 58 dB(A) en période diurne dans les zones les plus proches du </w:t>
      </w:r>
      <w:r w:rsidR="00FE544F">
        <w:t xml:space="preserve">Bouakkaz </w:t>
      </w:r>
      <w:r>
        <w:t xml:space="preserve">et le long de la </w:t>
      </w:r>
      <w:r w:rsidR="00FE544F">
        <w:t>RR212</w:t>
      </w:r>
      <w:r>
        <w:t>.</w:t>
      </w:r>
    </w:p>
    <w:p w14:paraId="174221EC" w14:textId="77777777" w:rsidR="002467B6" w:rsidRDefault="002467B6" w:rsidP="002467B6">
      <w:r>
        <w:t>Ces valeurs demeurent inférieures au seuil de 55 dB(A) fixé par les lignes directrices de la SFI/IFC (EHS Guidelines, 2007) pour les zones à usage résidentiel, institutionnel ou éducatif en période de jour (07h00–22h00).</w:t>
      </w:r>
    </w:p>
    <w:p w14:paraId="5F1C23CA" w14:textId="77777777" w:rsidR="002467B6" w:rsidRDefault="002467B6" w:rsidP="002467B6">
      <w:r>
        <w:t>En période nocturne (22h00–07h00), aucune activité bruyante n’est programmée dans le cadre des travaux, garantissant le respect du seuil de 45 dB(A) applicable aux récepteurs sensibles.</w:t>
      </w:r>
    </w:p>
    <w:p w14:paraId="70DAB3C8" w14:textId="1BB33E53" w:rsidR="002467B6" w:rsidRDefault="002467B6" w:rsidP="002467B6">
      <w:r>
        <w:t xml:space="preserve">Les récepteurs concernés (habitants </w:t>
      </w:r>
      <w:r w:rsidR="00FE544F">
        <w:t>de Bouakkaz</w:t>
      </w:r>
      <w:r>
        <w:t xml:space="preserve">, et usagers de la </w:t>
      </w:r>
      <w:r w:rsidR="00FE544F">
        <w:t>RR212</w:t>
      </w:r>
      <w:r>
        <w:t xml:space="preserve">) se situent à environ </w:t>
      </w:r>
      <w:r w:rsidR="00FE544F">
        <w:t>300</w:t>
      </w:r>
      <w:r>
        <w:t xml:space="preserve"> m du périmètre des travaux, distance suffisante pour réduire la propagation acoustique grâce à l’atténuation naturelle (dissipation atmosphérique et obstacles physiques tels que clôtures et bâtiments techniques).</w:t>
      </w:r>
    </w:p>
    <w:p w14:paraId="4164961B" w14:textId="42D45A41" w:rsidR="005020E7" w:rsidRDefault="002467B6" w:rsidP="002467B6">
      <w:r>
        <w:t>En conséquence, l’effet cumulatif du bruit est jugé mineur et entièrement réversible, limité à la période de chevauchement des chantiers.</w:t>
      </w:r>
    </w:p>
    <w:p w14:paraId="316B3E81" w14:textId="5573908B" w:rsidR="002467B6" w:rsidRDefault="006033F8" w:rsidP="004637C7">
      <w:pPr>
        <w:pStyle w:val="Title4"/>
      </w:pPr>
      <w:r>
        <w:t>Utilisation des r</w:t>
      </w:r>
      <w:r w:rsidR="00B72FA9">
        <w:t>essources en eaux</w:t>
      </w:r>
    </w:p>
    <w:p w14:paraId="4791782A" w14:textId="547DD1FF" w:rsidR="006033F8" w:rsidRPr="006033F8" w:rsidRDefault="006033F8" w:rsidP="004637C7">
      <w:r w:rsidRPr="006033F8">
        <w:t>Le projet d’extension du parking avions et des voies de circulation n’entraînera aucun prélèvement direct dans les eaux souterraines ou superficielles.</w:t>
      </w:r>
    </w:p>
    <w:p w14:paraId="32BBAFE9" w14:textId="77777777" w:rsidR="006033F8" w:rsidRPr="006033F8" w:rsidRDefault="006033F8" w:rsidP="004637C7">
      <w:r w:rsidRPr="006033F8">
        <w:t>En phase de construction, l’entreprise EPC utilisera des citernes d’approvisionnement et des bonbonnes d’eau potable pour les besoins du personnel et des opérations de chantier.</w:t>
      </w:r>
    </w:p>
    <w:p w14:paraId="65585083" w14:textId="0236ED82" w:rsidR="006033F8" w:rsidRPr="006033F8" w:rsidRDefault="006033F8" w:rsidP="004637C7">
      <w:r w:rsidRPr="006033F8">
        <w:t>En phase d’exploitation, l’ensemble des installations sera raccordé au réseau d’alimentation en eau de la plateforme aéroportuaire existante, garantissant un usage maîtrisé et contrôlé de la ressource.</w:t>
      </w:r>
    </w:p>
    <w:p w14:paraId="0954F196" w14:textId="77777777" w:rsidR="00D6380B" w:rsidRDefault="00D6380B" w:rsidP="00D6380B">
      <w:r>
        <w:t>D</w:t>
      </w:r>
      <w:r w:rsidR="006033F8" w:rsidRPr="006033F8">
        <w:t>ans ce contexte, le projet ne représente aucune pression hydrique directe sur la nappe phréatique ni sur les ressources en surface.</w:t>
      </w:r>
    </w:p>
    <w:p w14:paraId="7CE411FB" w14:textId="308FD1D6" w:rsidR="006033F8" w:rsidRDefault="006033F8" w:rsidP="004637C7">
      <w:r w:rsidRPr="006033F8">
        <w:t>Les effets cumulatifs sur la ressource en eau sont donc négligeables.</w:t>
      </w:r>
    </w:p>
    <w:p w14:paraId="6167D21D" w14:textId="18A072A0" w:rsidR="00D6380B" w:rsidRDefault="00D6380B" w:rsidP="004637C7">
      <w:pPr>
        <w:pStyle w:val="Title4"/>
      </w:pPr>
      <w:r>
        <w:t>Circulation et sécurité routière</w:t>
      </w:r>
    </w:p>
    <w:p w14:paraId="141A3252" w14:textId="77777777" w:rsidR="000C31D0" w:rsidRDefault="000C31D0" w:rsidP="000C31D0">
      <w:r>
        <w:t>Les effets cumulatifs sur la circulation sont principalement liés à la coexistence de plusieurs activités sur et autour de la plateforme aéroportuaire :</w:t>
      </w:r>
    </w:p>
    <w:p w14:paraId="26044503" w14:textId="77777777" w:rsidR="000C31D0" w:rsidRDefault="000C31D0" w:rsidP="0001633E">
      <w:pPr>
        <w:pStyle w:val="Paragraphedeliste"/>
        <w:numPr>
          <w:ilvl w:val="0"/>
          <w:numId w:val="128"/>
        </w:numPr>
      </w:pPr>
      <w:r>
        <w:t>les travaux d’extension du parking avions et du terminal,</w:t>
      </w:r>
    </w:p>
    <w:p w14:paraId="3B7A9FF3" w14:textId="77777777" w:rsidR="000C31D0" w:rsidRDefault="000C31D0" w:rsidP="0001633E">
      <w:pPr>
        <w:pStyle w:val="Paragraphedeliste"/>
        <w:numPr>
          <w:ilvl w:val="0"/>
          <w:numId w:val="128"/>
        </w:numPr>
      </w:pPr>
      <w:r>
        <w:t>les flux réguliers du trafic aérien et des voyageurs,</w:t>
      </w:r>
    </w:p>
    <w:p w14:paraId="18135BCF" w14:textId="2A654053" w:rsidR="000C31D0" w:rsidRDefault="000C31D0" w:rsidP="0001633E">
      <w:pPr>
        <w:pStyle w:val="Paragraphedeliste"/>
        <w:numPr>
          <w:ilvl w:val="0"/>
          <w:numId w:val="128"/>
        </w:numPr>
      </w:pPr>
      <w:r>
        <w:t xml:space="preserve">la circulation régionale sur la </w:t>
      </w:r>
      <w:r w:rsidR="005C180B">
        <w:t>RR212</w:t>
      </w:r>
      <w:r>
        <w:t>.</w:t>
      </w:r>
    </w:p>
    <w:p w14:paraId="0EBCBDE2" w14:textId="4C412DB5" w:rsidR="000C31D0" w:rsidRDefault="000C31D0" w:rsidP="000C31D0">
      <w:r>
        <w:t xml:space="preserve">Pendant la phase de construction, le trafic des camions de transport de matériaux et d’engins de chantier s’ajoutera temporairement à celui des véhicules publics et des usagers de la </w:t>
      </w:r>
      <w:r w:rsidR="005C180B">
        <w:t>RR212</w:t>
      </w:r>
      <w:r>
        <w:t>.</w:t>
      </w:r>
    </w:p>
    <w:p w14:paraId="79CD46DD" w14:textId="77777777" w:rsidR="000C31D0" w:rsidRDefault="000C31D0" w:rsidP="000C31D0">
      <w:r>
        <w:t>Ces flux pourraient provoquer un ralentissement localisé ou une augmentation ponctuelle du temps de parcours aux abords de l’entrée principale de l’aéroport, sans congestion majeure, compte tenu de la largeur de la voie et de la faible densité urbaine du secteur.</w:t>
      </w:r>
    </w:p>
    <w:p w14:paraId="39BEA54C" w14:textId="77777777" w:rsidR="000C31D0" w:rsidRDefault="000C31D0" w:rsidP="000C31D0">
      <w:r>
        <w:lastRenderedPageBreak/>
        <w:t>En phase d’exploitation, les mouvements supplémentaires liés à l’extension du parking avions demeureront marginaux comparativement au trafic général de desserte aéroportuaire.</w:t>
      </w:r>
    </w:p>
    <w:p w14:paraId="61D8217C" w14:textId="1B242624" w:rsidR="000C31D0" w:rsidRDefault="000C31D0" w:rsidP="000C31D0">
      <w:r>
        <w:t xml:space="preserve">Les flux internes (taxis, véhicules de location, parkings voyageurs) feront l’objet d’une gestion spécifique par l’ONDA, notamment à travers une une signalisation directionnelle claire, ce qui permettra de minimiser tout effet cumulatif avec la </w:t>
      </w:r>
      <w:r w:rsidR="005C180B">
        <w:t>RR212</w:t>
      </w:r>
      <w:r>
        <w:t>.</w:t>
      </w:r>
    </w:p>
    <w:p w14:paraId="24135D16" w14:textId="77777777" w:rsidR="000C31D0" w:rsidRDefault="000C31D0" w:rsidP="000C31D0">
      <w:r>
        <w:t>Aucune dégradation structurelle du niveau de service routier n’est anticipée.</w:t>
      </w:r>
    </w:p>
    <w:p w14:paraId="652F3356" w14:textId="15E6C8C5" w:rsidR="00ED0F33" w:rsidRDefault="000C31D0" w:rsidP="000C31D0">
      <w:r>
        <w:t>Les effets cumulatifs potentiels se limitent donc à des gênes fonctionnelles temporaires, localisées aux heures de pointe ou en période estivale, sans incidence durable sur la sécurité ni la fluidité du trafic.</w:t>
      </w:r>
    </w:p>
    <w:p w14:paraId="79BA3A70" w14:textId="77777777" w:rsidR="00756AED" w:rsidRPr="00756AED" w:rsidRDefault="00756AED" w:rsidP="004637C7">
      <w:pPr>
        <w:pStyle w:val="Title4"/>
      </w:pPr>
      <w:r w:rsidRPr="00756AED">
        <w:t>Santé et sécurité communautaire</w:t>
      </w:r>
    </w:p>
    <w:p w14:paraId="7860DFFB" w14:textId="6F493AFF" w:rsidR="00756AED" w:rsidRPr="00756AED" w:rsidRDefault="00756AED" w:rsidP="00756AED">
      <w:pPr>
        <w:rPr>
          <w:lang w:eastAsia="zh-CN"/>
        </w:rPr>
      </w:pPr>
      <w:r w:rsidRPr="00756AED">
        <w:rPr>
          <w:lang w:eastAsia="zh-CN"/>
        </w:rPr>
        <w:t xml:space="preserve">Les effets cumulés sur la santé communautaire concernent surtout la </w:t>
      </w:r>
      <w:r w:rsidRPr="004637C7">
        <w:rPr>
          <w:lang w:eastAsia="zh-CN"/>
        </w:rPr>
        <w:t>perception d’insécurité</w:t>
      </w:r>
      <w:r w:rsidRPr="00756AED">
        <w:rPr>
          <w:lang w:eastAsia="zh-CN"/>
        </w:rPr>
        <w:t xml:space="preserve"> et le </w:t>
      </w:r>
      <w:r w:rsidRPr="004637C7">
        <w:rPr>
          <w:lang w:eastAsia="zh-CN"/>
        </w:rPr>
        <w:t>stress psychologique</w:t>
      </w:r>
      <w:r w:rsidRPr="00756AED">
        <w:rPr>
          <w:lang w:eastAsia="zh-CN"/>
        </w:rPr>
        <w:t xml:space="preserve"> liés à la visibilité simultanée de plusieurs chantiers (parking avions, terminal, aménagements extérieurs) et à l’intensité du trafic sur la </w:t>
      </w:r>
      <w:r w:rsidR="005C180B">
        <w:rPr>
          <w:lang w:eastAsia="zh-CN"/>
        </w:rPr>
        <w:t>RR212</w:t>
      </w:r>
      <w:r w:rsidRPr="00756AED">
        <w:rPr>
          <w:lang w:eastAsia="zh-CN"/>
        </w:rPr>
        <w:t>.</w:t>
      </w:r>
    </w:p>
    <w:p w14:paraId="48E46F60" w14:textId="0D639FC3" w:rsidR="00756AED" w:rsidRDefault="00756AED" w:rsidP="00756AED">
      <w:pPr>
        <w:rPr>
          <w:lang w:eastAsia="zh-CN"/>
        </w:rPr>
      </w:pPr>
      <w:r w:rsidRPr="00756AED">
        <w:rPr>
          <w:lang w:eastAsia="zh-CN"/>
        </w:rPr>
        <w:t xml:space="preserve">Les populations potentiellement réceptrices sont les </w:t>
      </w:r>
      <w:r w:rsidRPr="004637C7">
        <w:rPr>
          <w:lang w:eastAsia="zh-CN"/>
        </w:rPr>
        <w:t xml:space="preserve">habitants </w:t>
      </w:r>
      <w:r w:rsidR="005C180B">
        <w:rPr>
          <w:lang w:eastAsia="zh-CN"/>
        </w:rPr>
        <w:t>de Bouakkaz</w:t>
      </w:r>
      <w:r w:rsidRPr="00756AED">
        <w:rPr>
          <w:lang w:eastAsia="zh-CN"/>
        </w:rPr>
        <w:t xml:space="preserve"> et les </w:t>
      </w:r>
      <w:r w:rsidRPr="004637C7">
        <w:rPr>
          <w:lang w:eastAsia="zh-CN"/>
        </w:rPr>
        <w:t>voyageurs fréquentant la plateforme</w:t>
      </w:r>
      <w:r w:rsidRPr="00756AED">
        <w:rPr>
          <w:lang w:eastAsia="zh-CN"/>
        </w:rPr>
        <w:t>. Le cumul d’alarmes, de signaux lumineux ou de mouvements inhabituels peut générer un inconfort perceptif, sans conséquence sanitaire réelle.</w:t>
      </w:r>
    </w:p>
    <w:p w14:paraId="377DA5C8" w14:textId="08F8B92C" w:rsidR="00756AED" w:rsidRPr="00756AED" w:rsidRDefault="00756AED" w:rsidP="00756AED">
      <w:pPr>
        <w:rPr>
          <w:lang w:eastAsia="zh-CN"/>
        </w:rPr>
      </w:pPr>
      <w:r w:rsidRPr="00756AED">
        <w:rPr>
          <w:lang w:eastAsia="zh-CN"/>
        </w:rPr>
        <w:t xml:space="preserve">Ce type d’effet est </w:t>
      </w:r>
      <w:r w:rsidRPr="004637C7">
        <w:rPr>
          <w:lang w:eastAsia="zh-CN"/>
        </w:rPr>
        <w:t>indirect, subjectif et réversible</w:t>
      </w:r>
      <w:r w:rsidRPr="00756AED">
        <w:rPr>
          <w:lang w:eastAsia="zh-CN"/>
        </w:rPr>
        <w:t>, se dissipant dès la stabilisation des activités aéroportuaires.</w:t>
      </w:r>
    </w:p>
    <w:p w14:paraId="6A4DBE66" w14:textId="77777777" w:rsidR="00756AED" w:rsidRPr="00756AED" w:rsidRDefault="00756AED" w:rsidP="00756AED">
      <w:pPr>
        <w:rPr>
          <w:lang w:eastAsia="zh-CN"/>
        </w:rPr>
      </w:pPr>
      <w:r w:rsidRPr="00756AED">
        <w:rPr>
          <w:lang w:eastAsia="zh-CN"/>
        </w:rPr>
        <w:t>Une bonne communication publique sur le calendrier et les mesures de sécurité prévues contribuera à réduire cette perception et à renforcer la confiance entre le gestionnaire aéroportuaire et la population locale.</w:t>
      </w:r>
    </w:p>
    <w:p w14:paraId="74E760E2" w14:textId="77777777" w:rsidR="00756AED" w:rsidRDefault="00756AED" w:rsidP="004637C7">
      <w:pPr>
        <w:pStyle w:val="Title4"/>
      </w:pPr>
      <w:r>
        <w:t>Biodiversité et milieux naturels</w:t>
      </w:r>
    </w:p>
    <w:p w14:paraId="2972C11F" w14:textId="6A65F170" w:rsidR="00756AED" w:rsidRDefault="00756AED" w:rsidP="00756AED">
      <w:pPr>
        <w:rPr>
          <w:lang w:eastAsia="zh-CN"/>
        </w:rPr>
      </w:pPr>
      <w:r>
        <w:rPr>
          <w:lang w:eastAsia="zh-CN"/>
        </w:rPr>
        <w:t>La zone d’étude étant entièrement anthropisée, les effets cumulatifs sur la biodiversité sont négligeables. Les activités aéroportuaires partagent un milieu dominé par des formations rudérales et des espèces aviaires communes. Les perturbations cumulées se limiteront à des déplacements temporaires d’oiseaux ou à une légère modification des comportements d’alimentation.</w:t>
      </w:r>
    </w:p>
    <w:p w14:paraId="7A7D7BBF" w14:textId="32677909" w:rsidR="000C31D0" w:rsidRDefault="00756AED" w:rsidP="00756AED">
      <w:pPr>
        <w:rPr>
          <w:lang w:eastAsia="zh-CN"/>
        </w:rPr>
      </w:pPr>
      <w:r>
        <w:rPr>
          <w:lang w:eastAsia="zh-CN"/>
        </w:rPr>
        <w:t>Aucun impact cumulatif significatif n’est anticipé, et la recolonisation naturelle des espaces non exploités est attendue à court terme.</w:t>
      </w:r>
    </w:p>
    <w:p w14:paraId="622F335A" w14:textId="6748CFC2" w:rsidR="00756AED" w:rsidRDefault="00756AED" w:rsidP="004637C7">
      <w:pPr>
        <w:pStyle w:val="Title3"/>
      </w:pPr>
      <w:bookmarkStart w:id="510" w:name="_Toc215131898"/>
      <w:r w:rsidRPr="00756AED">
        <w:t>Mesures de gestion et suivi des effets cumulatifs</w:t>
      </w:r>
      <w:bookmarkEnd w:id="510"/>
    </w:p>
    <w:p w14:paraId="38289EDA" w14:textId="761B68C6" w:rsidR="00D6380B" w:rsidRDefault="00B56DB6" w:rsidP="00E872C4">
      <w:pPr>
        <w:rPr>
          <w:lang w:eastAsia="zh-CN"/>
        </w:rPr>
      </w:pPr>
      <w:r w:rsidRPr="00B56DB6">
        <w:rPr>
          <w:lang w:eastAsia="zh-CN"/>
        </w:rPr>
        <w:t>Afin de limiter les effets cumulatifs identifiés, des mesures coordonnées de gestion environnementale et sociale sont proposées. Ces actions complètent les mesures spécifiques déjà prévues pour le projet dans le PGES.</w:t>
      </w:r>
    </w:p>
    <w:p w14:paraId="618C0B44" w14:textId="77777777" w:rsidR="00B56DB6" w:rsidRDefault="00B56DB6" w:rsidP="00E872C4">
      <w:pPr>
        <w:rPr>
          <w:lang w:eastAsia="zh-CN"/>
        </w:rPr>
        <w:sectPr w:rsidR="00B56DB6" w:rsidSect="006C1613">
          <w:pgSz w:w="11906" w:h="16838"/>
          <w:pgMar w:top="1418" w:right="1418" w:bottom="1276" w:left="1418" w:header="680" w:footer="680" w:gutter="0"/>
          <w:cols w:space="708"/>
          <w:docGrid w:linePitch="360"/>
        </w:sectPr>
      </w:pPr>
    </w:p>
    <w:p w14:paraId="559C20A1" w14:textId="6BFCF7B6" w:rsidR="00B56DB6" w:rsidRDefault="00B56DB6" w:rsidP="00AA22F2">
      <w:pPr>
        <w:pStyle w:val="Lgende"/>
        <w:keepNext/>
      </w:pPr>
      <w:bookmarkStart w:id="511" w:name="_Toc213404393"/>
      <w:r>
        <w:lastRenderedPageBreak/>
        <w:t xml:space="preserve">Tableau </w:t>
      </w:r>
      <w:r>
        <w:fldChar w:fldCharType="begin"/>
      </w:r>
      <w:r>
        <w:instrText xml:space="preserve"> SEQ Tableau \* ARABIC </w:instrText>
      </w:r>
      <w:r>
        <w:fldChar w:fldCharType="separate"/>
      </w:r>
      <w:r w:rsidR="00274E71">
        <w:rPr>
          <w:noProof/>
        </w:rPr>
        <w:t>71</w:t>
      </w:r>
      <w:r>
        <w:fldChar w:fldCharType="end"/>
      </w:r>
      <w:r>
        <w:rPr>
          <w:lang w:val="fr-FR"/>
        </w:rPr>
        <w:t xml:space="preserve"> : Mesures d'atténuation des impacts cumulatifs</w:t>
      </w:r>
      <w:bookmarkEnd w:id="511"/>
    </w:p>
    <w:tbl>
      <w:tblPr>
        <w:tblStyle w:val="TableauGrille1Clair-Accentuation111"/>
        <w:tblW w:w="0" w:type="auto"/>
        <w:tblLook w:val="04A0" w:firstRow="1" w:lastRow="0" w:firstColumn="1" w:lastColumn="0" w:noHBand="0" w:noVBand="1"/>
      </w:tblPr>
      <w:tblGrid>
        <w:gridCol w:w="1608"/>
        <w:gridCol w:w="3243"/>
        <w:gridCol w:w="2580"/>
        <w:gridCol w:w="1128"/>
        <w:gridCol w:w="2231"/>
        <w:gridCol w:w="717"/>
        <w:gridCol w:w="1519"/>
        <w:gridCol w:w="1108"/>
      </w:tblGrid>
      <w:tr w:rsidR="00B56DB6" w:rsidRPr="00B56DB6" w14:paraId="188FA30D" w14:textId="77777777" w:rsidTr="004637C7">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0" w:type="auto"/>
            <w:hideMark/>
          </w:tcPr>
          <w:p w14:paraId="5166B382" w14:textId="7CDFDB75" w:rsidR="00B56DB6" w:rsidRPr="00B56DB6" w:rsidRDefault="00B56DB6" w:rsidP="00B56DB6">
            <w:pPr>
              <w:rPr>
                <w:lang w:eastAsia="zh-CN"/>
              </w:rPr>
            </w:pPr>
            <w:r w:rsidRPr="00B56DB6">
              <w:rPr>
                <w:lang w:eastAsia="zh-CN"/>
              </w:rPr>
              <w:t>Impact cumulatif</w:t>
            </w:r>
          </w:p>
        </w:tc>
        <w:tc>
          <w:tcPr>
            <w:tcW w:w="0" w:type="auto"/>
            <w:hideMark/>
          </w:tcPr>
          <w:p w14:paraId="0B55686E" w14:textId="77777777" w:rsidR="00B56DB6" w:rsidRPr="00B56DB6" w:rsidRDefault="00B56DB6" w:rsidP="00B56DB6">
            <w:pPr>
              <w:cnfStyle w:val="100000000000" w:firstRow="1" w:lastRow="0" w:firstColumn="0" w:lastColumn="0" w:oddVBand="0" w:evenVBand="0" w:oddHBand="0" w:evenHBand="0" w:firstRowFirstColumn="0" w:firstRowLastColumn="0" w:lastRowFirstColumn="0" w:lastRowLastColumn="0"/>
              <w:rPr>
                <w:lang w:eastAsia="zh-CN"/>
              </w:rPr>
            </w:pPr>
            <w:r w:rsidRPr="00B56DB6">
              <w:rPr>
                <w:lang w:eastAsia="zh-CN"/>
              </w:rPr>
              <w:t>Mesures d’atténuation / de gestion</w:t>
            </w:r>
          </w:p>
        </w:tc>
        <w:tc>
          <w:tcPr>
            <w:tcW w:w="0" w:type="auto"/>
            <w:hideMark/>
          </w:tcPr>
          <w:p w14:paraId="6693F017" w14:textId="77777777" w:rsidR="00B56DB6" w:rsidRPr="00B56DB6" w:rsidRDefault="00B56DB6" w:rsidP="00B56DB6">
            <w:pPr>
              <w:cnfStyle w:val="100000000000" w:firstRow="1" w:lastRow="0" w:firstColumn="0" w:lastColumn="0" w:oddVBand="0" w:evenVBand="0" w:oddHBand="0" w:evenHBand="0" w:firstRowFirstColumn="0" w:firstRowLastColumn="0" w:lastRowFirstColumn="0" w:lastRowLastColumn="0"/>
              <w:rPr>
                <w:lang w:eastAsia="zh-CN"/>
              </w:rPr>
            </w:pPr>
            <w:r w:rsidRPr="00B56DB6">
              <w:rPr>
                <w:lang w:eastAsia="zh-CN"/>
              </w:rPr>
              <w:t>Indicateurs de performance (KPI)</w:t>
            </w:r>
          </w:p>
        </w:tc>
        <w:tc>
          <w:tcPr>
            <w:tcW w:w="0" w:type="auto"/>
            <w:hideMark/>
          </w:tcPr>
          <w:p w14:paraId="546EA208" w14:textId="77777777" w:rsidR="00B56DB6" w:rsidRPr="00B56DB6" w:rsidRDefault="00B56DB6" w:rsidP="00B56DB6">
            <w:pPr>
              <w:cnfStyle w:val="100000000000" w:firstRow="1" w:lastRow="0" w:firstColumn="0" w:lastColumn="0" w:oddVBand="0" w:evenVBand="0" w:oddHBand="0" w:evenHBand="0" w:firstRowFirstColumn="0" w:firstRowLastColumn="0" w:lastRowFirstColumn="0" w:lastRowLastColumn="0"/>
              <w:rPr>
                <w:lang w:eastAsia="zh-CN"/>
              </w:rPr>
            </w:pPr>
            <w:r w:rsidRPr="00B56DB6">
              <w:rPr>
                <w:lang w:eastAsia="zh-CN"/>
              </w:rPr>
              <w:t>Mise en œuvre</w:t>
            </w:r>
          </w:p>
        </w:tc>
        <w:tc>
          <w:tcPr>
            <w:tcW w:w="0" w:type="auto"/>
            <w:hideMark/>
          </w:tcPr>
          <w:p w14:paraId="334AFA87" w14:textId="77777777" w:rsidR="00B56DB6" w:rsidRPr="00B56DB6" w:rsidRDefault="00B56DB6" w:rsidP="00B56DB6">
            <w:pPr>
              <w:cnfStyle w:val="100000000000" w:firstRow="1" w:lastRow="0" w:firstColumn="0" w:lastColumn="0" w:oddVBand="0" w:evenVBand="0" w:oddHBand="0" w:evenHBand="0" w:firstRowFirstColumn="0" w:firstRowLastColumn="0" w:lastRowFirstColumn="0" w:lastRowLastColumn="0"/>
              <w:rPr>
                <w:lang w:eastAsia="zh-CN"/>
              </w:rPr>
            </w:pPr>
            <w:r w:rsidRPr="00B56DB6">
              <w:rPr>
                <w:lang w:eastAsia="zh-CN"/>
              </w:rPr>
              <w:t>Surveillance</w:t>
            </w:r>
          </w:p>
        </w:tc>
        <w:tc>
          <w:tcPr>
            <w:tcW w:w="0" w:type="auto"/>
            <w:hideMark/>
          </w:tcPr>
          <w:p w14:paraId="5E79DCEA" w14:textId="77777777" w:rsidR="00B56DB6" w:rsidRPr="00B56DB6" w:rsidRDefault="00B56DB6" w:rsidP="00B56DB6">
            <w:pPr>
              <w:cnfStyle w:val="100000000000" w:firstRow="1" w:lastRow="0" w:firstColumn="0" w:lastColumn="0" w:oddVBand="0" w:evenVBand="0" w:oddHBand="0" w:evenHBand="0" w:firstRowFirstColumn="0" w:firstRowLastColumn="0" w:lastRowFirstColumn="0" w:lastRowLastColumn="0"/>
              <w:rPr>
                <w:lang w:eastAsia="zh-CN"/>
              </w:rPr>
            </w:pPr>
            <w:r w:rsidRPr="00B56DB6">
              <w:rPr>
                <w:lang w:eastAsia="zh-CN"/>
              </w:rPr>
              <w:t>Suivi</w:t>
            </w:r>
          </w:p>
        </w:tc>
        <w:tc>
          <w:tcPr>
            <w:tcW w:w="0" w:type="auto"/>
            <w:hideMark/>
          </w:tcPr>
          <w:p w14:paraId="041CEEFA" w14:textId="77777777" w:rsidR="00B56DB6" w:rsidRPr="00B56DB6" w:rsidRDefault="00B56DB6" w:rsidP="00B56DB6">
            <w:pPr>
              <w:cnfStyle w:val="100000000000" w:firstRow="1" w:lastRow="0" w:firstColumn="0" w:lastColumn="0" w:oddVBand="0" w:evenVBand="0" w:oddHBand="0" w:evenHBand="0" w:firstRowFirstColumn="0" w:firstRowLastColumn="0" w:lastRowFirstColumn="0" w:lastRowLastColumn="0"/>
              <w:rPr>
                <w:lang w:eastAsia="zh-CN"/>
              </w:rPr>
            </w:pPr>
            <w:r w:rsidRPr="00B56DB6">
              <w:rPr>
                <w:lang w:eastAsia="zh-CN"/>
              </w:rPr>
              <w:t>Calendrier</w:t>
            </w:r>
          </w:p>
        </w:tc>
        <w:tc>
          <w:tcPr>
            <w:tcW w:w="0" w:type="auto"/>
            <w:hideMark/>
          </w:tcPr>
          <w:p w14:paraId="6508AADC" w14:textId="77777777" w:rsidR="00B56DB6" w:rsidRPr="00B56DB6" w:rsidRDefault="00B56DB6" w:rsidP="00B56DB6">
            <w:pPr>
              <w:cnfStyle w:val="100000000000" w:firstRow="1" w:lastRow="0" w:firstColumn="0" w:lastColumn="0" w:oddVBand="0" w:evenVBand="0" w:oddHBand="0" w:evenHBand="0" w:firstRowFirstColumn="0" w:firstRowLastColumn="0" w:lastRowFirstColumn="0" w:lastRowLastColumn="0"/>
              <w:rPr>
                <w:lang w:eastAsia="zh-CN"/>
              </w:rPr>
            </w:pPr>
            <w:r w:rsidRPr="00B56DB6">
              <w:rPr>
                <w:lang w:eastAsia="zh-CN"/>
              </w:rPr>
              <w:t>Coût</w:t>
            </w:r>
          </w:p>
        </w:tc>
      </w:tr>
      <w:tr w:rsidR="006D1412" w:rsidRPr="00B56DB6" w14:paraId="167BEC39" w14:textId="77777777" w:rsidTr="00B56DB6">
        <w:tc>
          <w:tcPr>
            <w:cnfStyle w:val="001000000000" w:firstRow="0" w:lastRow="0" w:firstColumn="1" w:lastColumn="0" w:oddVBand="0" w:evenVBand="0" w:oddHBand="0" w:evenHBand="0" w:firstRowFirstColumn="0" w:firstRowLastColumn="0" w:lastRowFirstColumn="0" w:lastRowLastColumn="0"/>
            <w:tcW w:w="0" w:type="auto"/>
            <w:hideMark/>
          </w:tcPr>
          <w:p w14:paraId="596ED721" w14:textId="3CAFCDED" w:rsidR="006D1412" w:rsidRPr="00B56DB6" w:rsidRDefault="006D1412" w:rsidP="006D1412">
            <w:pPr>
              <w:rPr>
                <w:lang w:eastAsia="zh-CN"/>
              </w:rPr>
            </w:pPr>
            <w:r w:rsidRPr="00B56DB6">
              <w:rPr>
                <w:lang w:eastAsia="zh-CN"/>
              </w:rPr>
              <w:t xml:space="preserve">Qualité de l’air </w:t>
            </w:r>
          </w:p>
        </w:tc>
        <w:tc>
          <w:tcPr>
            <w:tcW w:w="0" w:type="auto"/>
            <w:hideMark/>
          </w:tcPr>
          <w:p w14:paraId="2A9D4459" w14:textId="5BFE89FE" w:rsidR="006D1412" w:rsidRDefault="006D1412" w:rsidP="006D1412">
            <w:pPr>
              <w:cnfStyle w:val="000000000000" w:firstRow="0" w:lastRow="0" w:firstColumn="0" w:lastColumn="0" w:oddVBand="0" w:evenVBand="0" w:oddHBand="0" w:evenHBand="0" w:firstRowFirstColumn="0" w:firstRowLastColumn="0" w:lastRowFirstColumn="0" w:lastRowLastColumn="0"/>
              <w:rPr>
                <w:lang w:eastAsia="zh-CN"/>
              </w:rPr>
            </w:pPr>
            <w:r w:rsidRPr="00B56DB6">
              <w:rPr>
                <w:lang w:eastAsia="zh-CN"/>
              </w:rPr>
              <w:t xml:space="preserve">Planifier les transports en dehors des heures de pointe sur la </w:t>
            </w:r>
            <w:r w:rsidR="005C180B">
              <w:rPr>
                <w:lang w:eastAsia="zh-CN"/>
              </w:rPr>
              <w:t>RR212</w:t>
            </w:r>
            <w:r w:rsidRPr="00B56DB6">
              <w:rPr>
                <w:lang w:eastAsia="zh-CN"/>
              </w:rPr>
              <w:t>.</w:t>
            </w:r>
          </w:p>
          <w:p w14:paraId="1EF56DEE" w14:textId="77777777" w:rsidR="006D1412" w:rsidRDefault="006D1412" w:rsidP="006D1412">
            <w:pPr>
              <w:cnfStyle w:val="000000000000" w:firstRow="0" w:lastRow="0" w:firstColumn="0" w:lastColumn="0" w:oddVBand="0" w:evenVBand="0" w:oddHBand="0" w:evenHBand="0" w:firstRowFirstColumn="0" w:firstRowLastColumn="0" w:lastRowFirstColumn="0" w:lastRowLastColumn="0"/>
              <w:rPr>
                <w:lang w:eastAsia="zh-CN"/>
              </w:rPr>
            </w:pPr>
            <w:r w:rsidRPr="00B56DB6">
              <w:rPr>
                <w:lang w:eastAsia="zh-CN"/>
              </w:rPr>
              <w:t>Couvrir les bennes et matériaux poussiéreux.</w:t>
            </w:r>
          </w:p>
          <w:p w14:paraId="0AF45FC7" w14:textId="77649B93" w:rsidR="006D1412" w:rsidRPr="00B56DB6" w:rsidRDefault="006D1412" w:rsidP="00BB6978">
            <w:pPr>
              <w:cnfStyle w:val="000000000000" w:firstRow="0" w:lastRow="0" w:firstColumn="0" w:lastColumn="0" w:oddVBand="0" w:evenVBand="0" w:oddHBand="0" w:evenHBand="0" w:firstRowFirstColumn="0" w:firstRowLastColumn="0" w:lastRowFirstColumn="0" w:lastRowLastColumn="0"/>
              <w:rPr>
                <w:lang w:eastAsia="zh-CN"/>
              </w:rPr>
            </w:pPr>
            <w:r w:rsidRPr="00B56DB6">
              <w:rPr>
                <w:lang w:eastAsia="zh-CN"/>
              </w:rPr>
              <w:t>Entretien régulier des engins.</w:t>
            </w:r>
          </w:p>
        </w:tc>
        <w:tc>
          <w:tcPr>
            <w:tcW w:w="0" w:type="auto"/>
            <w:hideMark/>
          </w:tcPr>
          <w:p w14:paraId="28012130" w14:textId="77777777" w:rsidR="006D1412" w:rsidRDefault="006D1412" w:rsidP="006D1412">
            <w:pPr>
              <w:cnfStyle w:val="000000000000" w:firstRow="0" w:lastRow="0" w:firstColumn="0" w:lastColumn="0" w:oddVBand="0" w:evenVBand="0" w:oddHBand="0" w:evenHBand="0" w:firstRowFirstColumn="0" w:firstRowLastColumn="0" w:lastRowFirstColumn="0" w:lastRowLastColumn="0"/>
              <w:rPr>
                <w:lang w:eastAsia="zh-CN"/>
              </w:rPr>
            </w:pPr>
            <w:r w:rsidRPr="00B56DB6">
              <w:rPr>
                <w:lang w:eastAsia="zh-CN"/>
              </w:rPr>
              <w:t>-% de camions bâchés</w:t>
            </w:r>
          </w:p>
          <w:p w14:paraId="4398DA58" w14:textId="77777777" w:rsidR="006D1412" w:rsidRDefault="006D1412" w:rsidP="006D1412">
            <w:pPr>
              <w:cnfStyle w:val="000000000000" w:firstRow="0" w:lastRow="0" w:firstColumn="0" w:lastColumn="0" w:oddVBand="0" w:evenVBand="0" w:oddHBand="0" w:evenHBand="0" w:firstRowFirstColumn="0" w:firstRowLastColumn="0" w:lastRowFirstColumn="0" w:lastRowLastColumn="0"/>
              <w:rPr>
                <w:lang w:eastAsia="zh-CN"/>
              </w:rPr>
            </w:pPr>
            <w:r w:rsidRPr="00B56DB6">
              <w:rPr>
                <w:lang w:eastAsia="zh-CN"/>
              </w:rPr>
              <w:t>Nombre de plaintes liées à la poussière</w:t>
            </w:r>
          </w:p>
          <w:p w14:paraId="5C0B052C" w14:textId="7ED02F49" w:rsidR="006D1412" w:rsidRPr="00B56DB6" w:rsidRDefault="006D1412" w:rsidP="006D1412">
            <w:pPr>
              <w:cnfStyle w:val="000000000000" w:firstRow="0" w:lastRow="0" w:firstColumn="0" w:lastColumn="0" w:oddVBand="0" w:evenVBand="0" w:oddHBand="0" w:evenHBand="0" w:firstRowFirstColumn="0" w:firstRowLastColumn="0" w:lastRowFirstColumn="0" w:lastRowLastColumn="0"/>
              <w:rPr>
                <w:lang w:eastAsia="zh-CN"/>
              </w:rPr>
            </w:pPr>
            <w:r w:rsidRPr="00B56DB6">
              <w:rPr>
                <w:lang w:eastAsia="zh-CN"/>
              </w:rPr>
              <w:t>Taux de maintenance des engins</w:t>
            </w:r>
          </w:p>
        </w:tc>
        <w:tc>
          <w:tcPr>
            <w:tcW w:w="0" w:type="auto"/>
            <w:hideMark/>
          </w:tcPr>
          <w:p w14:paraId="2DD24573" w14:textId="77777777" w:rsidR="006D1412" w:rsidRPr="00B56DB6" w:rsidRDefault="006D1412" w:rsidP="006D1412">
            <w:pPr>
              <w:cnfStyle w:val="000000000000" w:firstRow="0" w:lastRow="0" w:firstColumn="0" w:lastColumn="0" w:oddVBand="0" w:evenVBand="0" w:oddHBand="0" w:evenHBand="0" w:firstRowFirstColumn="0" w:firstRowLastColumn="0" w:lastRowFirstColumn="0" w:lastRowLastColumn="0"/>
              <w:rPr>
                <w:lang w:eastAsia="zh-CN"/>
              </w:rPr>
            </w:pPr>
            <w:r w:rsidRPr="00B56DB6">
              <w:rPr>
                <w:lang w:eastAsia="zh-CN"/>
              </w:rPr>
              <w:t>EPC et sous-traitants</w:t>
            </w:r>
          </w:p>
        </w:tc>
        <w:tc>
          <w:tcPr>
            <w:tcW w:w="0" w:type="auto"/>
            <w:hideMark/>
          </w:tcPr>
          <w:p w14:paraId="76BF05CB" w14:textId="361B8DE1" w:rsidR="006D1412" w:rsidRPr="00B56DB6" w:rsidRDefault="006D1412" w:rsidP="006D1412">
            <w:pPr>
              <w:cnfStyle w:val="000000000000" w:firstRow="0" w:lastRow="0" w:firstColumn="0" w:lastColumn="0" w:oddVBand="0" w:evenVBand="0" w:oddHBand="0" w:evenHBand="0" w:firstRowFirstColumn="0" w:firstRowLastColumn="0" w:lastRowFirstColumn="0" w:lastRowLastColumn="0"/>
              <w:rPr>
                <w:lang w:eastAsia="zh-CN"/>
              </w:rPr>
            </w:pPr>
            <w:r w:rsidRPr="00BC1745">
              <w:rPr>
                <w:szCs w:val="20"/>
              </w:rPr>
              <w:t>Bureau de contrôle / Consultant de supervision mandaté par l’ONDA</w:t>
            </w:r>
          </w:p>
        </w:tc>
        <w:tc>
          <w:tcPr>
            <w:tcW w:w="0" w:type="auto"/>
            <w:hideMark/>
          </w:tcPr>
          <w:p w14:paraId="194E45B8" w14:textId="05C06EC5" w:rsidR="006D1412" w:rsidRPr="00B56DB6" w:rsidRDefault="006D1412" w:rsidP="006D1412">
            <w:pPr>
              <w:cnfStyle w:val="000000000000" w:firstRow="0" w:lastRow="0" w:firstColumn="0" w:lastColumn="0" w:oddVBand="0" w:evenVBand="0" w:oddHBand="0" w:evenHBand="0" w:firstRowFirstColumn="0" w:firstRowLastColumn="0" w:lastRowFirstColumn="0" w:lastRowLastColumn="0"/>
              <w:rPr>
                <w:lang w:eastAsia="zh-CN"/>
              </w:rPr>
            </w:pPr>
            <w:r w:rsidRPr="00B56DB6">
              <w:rPr>
                <w:lang w:eastAsia="zh-CN"/>
              </w:rPr>
              <w:t xml:space="preserve">ONDA </w:t>
            </w:r>
          </w:p>
        </w:tc>
        <w:tc>
          <w:tcPr>
            <w:tcW w:w="0" w:type="auto"/>
            <w:hideMark/>
          </w:tcPr>
          <w:p w14:paraId="6AD558D1" w14:textId="77777777" w:rsidR="006D1412" w:rsidRPr="00B56DB6" w:rsidRDefault="006D1412" w:rsidP="006D1412">
            <w:pPr>
              <w:cnfStyle w:val="000000000000" w:firstRow="0" w:lastRow="0" w:firstColumn="0" w:lastColumn="0" w:oddVBand="0" w:evenVBand="0" w:oddHBand="0" w:evenHBand="0" w:firstRowFirstColumn="0" w:firstRowLastColumn="0" w:lastRowFirstColumn="0" w:lastRowLastColumn="0"/>
              <w:rPr>
                <w:lang w:eastAsia="zh-CN"/>
              </w:rPr>
            </w:pPr>
            <w:r w:rsidRPr="00B56DB6">
              <w:rPr>
                <w:lang w:eastAsia="zh-CN"/>
              </w:rPr>
              <w:t>Continu durant la phase de travaux</w:t>
            </w:r>
          </w:p>
        </w:tc>
        <w:tc>
          <w:tcPr>
            <w:tcW w:w="0" w:type="auto"/>
            <w:hideMark/>
          </w:tcPr>
          <w:p w14:paraId="15BD33E1" w14:textId="77777777" w:rsidR="006D1412" w:rsidRPr="00B56DB6" w:rsidRDefault="006D1412" w:rsidP="006D1412">
            <w:pPr>
              <w:cnfStyle w:val="000000000000" w:firstRow="0" w:lastRow="0" w:firstColumn="0" w:lastColumn="0" w:oddVBand="0" w:evenVBand="0" w:oddHBand="0" w:evenHBand="0" w:firstRowFirstColumn="0" w:firstRowLastColumn="0" w:lastRowFirstColumn="0" w:lastRowLastColumn="0"/>
              <w:rPr>
                <w:lang w:eastAsia="zh-CN"/>
              </w:rPr>
            </w:pPr>
            <w:r w:rsidRPr="00B56DB6">
              <w:rPr>
                <w:lang w:eastAsia="zh-CN"/>
              </w:rPr>
              <w:t>Inclus dans le coût du projet</w:t>
            </w:r>
          </w:p>
        </w:tc>
      </w:tr>
      <w:tr w:rsidR="006D1412" w:rsidRPr="00B56DB6" w14:paraId="1E0007E8" w14:textId="77777777" w:rsidTr="00B56DB6">
        <w:tc>
          <w:tcPr>
            <w:cnfStyle w:val="001000000000" w:firstRow="0" w:lastRow="0" w:firstColumn="1" w:lastColumn="0" w:oddVBand="0" w:evenVBand="0" w:oddHBand="0" w:evenHBand="0" w:firstRowFirstColumn="0" w:firstRowLastColumn="0" w:lastRowFirstColumn="0" w:lastRowLastColumn="0"/>
            <w:tcW w:w="0" w:type="auto"/>
            <w:hideMark/>
          </w:tcPr>
          <w:p w14:paraId="2B220400" w14:textId="5DD065C0" w:rsidR="006D1412" w:rsidRPr="00B56DB6" w:rsidRDefault="006D1412" w:rsidP="006D1412">
            <w:pPr>
              <w:rPr>
                <w:lang w:eastAsia="zh-CN"/>
              </w:rPr>
            </w:pPr>
            <w:r>
              <w:rPr>
                <w:lang w:eastAsia="zh-CN"/>
              </w:rPr>
              <w:t>Nuisances sonores</w:t>
            </w:r>
            <w:r w:rsidRPr="00B56DB6">
              <w:rPr>
                <w:lang w:eastAsia="zh-CN"/>
              </w:rPr>
              <w:t xml:space="preserve"> </w:t>
            </w:r>
          </w:p>
        </w:tc>
        <w:tc>
          <w:tcPr>
            <w:tcW w:w="0" w:type="auto"/>
            <w:hideMark/>
          </w:tcPr>
          <w:p w14:paraId="4532D547" w14:textId="77777777" w:rsidR="006D1412" w:rsidRDefault="006D1412" w:rsidP="006D1412">
            <w:pPr>
              <w:cnfStyle w:val="000000000000" w:firstRow="0" w:lastRow="0" w:firstColumn="0" w:lastColumn="0" w:oddVBand="0" w:evenVBand="0" w:oddHBand="0" w:evenHBand="0" w:firstRowFirstColumn="0" w:firstRowLastColumn="0" w:lastRowFirstColumn="0" w:lastRowLastColumn="0"/>
              <w:rPr>
                <w:lang w:eastAsia="zh-CN"/>
              </w:rPr>
            </w:pPr>
            <w:r w:rsidRPr="00B56DB6">
              <w:rPr>
                <w:lang w:eastAsia="zh-CN"/>
              </w:rPr>
              <w:t>•Limiter les travaux bruyants aux heures diurnes.</w:t>
            </w:r>
          </w:p>
          <w:p w14:paraId="6E0DC771" w14:textId="77777777" w:rsidR="006D1412" w:rsidRDefault="006D1412" w:rsidP="006D1412">
            <w:pPr>
              <w:cnfStyle w:val="000000000000" w:firstRow="0" w:lastRow="0" w:firstColumn="0" w:lastColumn="0" w:oddVBand="0" w:evenVBand="0" w:oddHBand="0" w:evenHBand="0" w:firstRowFirstColumn="0" w:firstRowLastColumn="0" w:lastRowFirstColumn="0" w:lastRowLastColumn="0"/>
              <w:rPr>
                <w:lang w:eastAsia="zh-CN"/>
              </w:rPr>
            </w:pPr>
            <w:r w:rsidRPr="00B56DB6">
              <w:rPr>
                <w:lang w:eastAsia="zh-CN"/>
              </w:rPr>
              <w:t>Entretenir les engins pour éviter les bruits mécaniques anormaux.</w:t>
            </w:r>
          </w:p>
          <w:p w14:paraId="4B4FDE74" w14:textId="0A62095C" w:rsidR="006D1412" w:rsidRPr="00B56DB6" w:rsidRDefault="006D1412" w:rsidP="006D1412">
            <w:pPr>
              <w:cnfStyle w:val="000000000000" w:firstRow="0" w:lastRow="0" w:firstColumn="0" w:lastColumn="0" w:oddVBand="0" w:evenVBand="0" w:oddHBand="0" w:evenHBand="0" w:firstRowFirstColumn="0" w:firstRowLastColumn="0" w:lastRowFirstColumn="0" w:lastRowLastColumn="0"/>
              <w:rPr>
                <w:lang w:eastAsia="zh-CN"/>
              </w:rPr>
            </w:pPr>
            <w:r w:rsidRPr="00B56DB6">
              <w:rPr>
                <w:lang w:eastAsia="zh-CN"/>
              </w:rPr>
              <w:t>Installer des panneaux d’information pour prévenir la population en cas d’activités nocturnes exceptionnelles.</w:t>
            </w:r>
          </w:p>
        </w:tc>
        <w:tc>
          <w:tcPr>
            <w:tcW w:w="0" w:type="auto"/>
            <w:hideMark/>
          </w:tcPr>
          <w:p w14:paraId="489BAA6B" w14:textId="77777777" w:rsidR="006D1412" w:rsidRDefault="006D1412" w:rsidP="006D1412">
            <w:pPr>
              <w:cnfStyle w:val="000000000000" w:firstRow="0" w:lastRow="0" w:firstColumn="0" w:lastColumn="0" w:oddVBand="0" w:evenVBand="0" w:oddHBand="0" w:evenHBand="0" w:firstRowFirstColumn="0" w:firstRowLastColumn="0" w:lastRowFirstColumn="0" w:lastRowLastColumn="0"/>
              <w:rPr>
                <w:lang w:eastAsia="zh-CN"/>
              </w:rPr>
            </w:pPr>
            <w:r w:rsidRPr="00B56DB6">
              <w:rPr>
                <w:lang w:eastAsia="zh-CN"/>
              </w:rPr>
              <w:t>Niveaux LAeq mesurés</w:t>
            </w:r>
          </w:p>
          <w:p w14:paraId="37174CB5" w14:textId="77777777" w:rsidR="006D1412" w:rsidRDefault="006D1412" w:rsidP="006D1412">
            <w:pPr>
              <w:cnfStyle w:val="000000000000" w:firstRow="0" w:lastRow="0" w:firstColumn="0" w:lastColumn="0" w:oddVBand="0" w:evenVBand="0" w:oddHBand="0" w:evenHBand="0" w:firstRowFirstColumn="0" w:firstRowLastColumn="0" w:lastRowFirstColumn="0" w:lastRowLastColumn="0"/>
              <w:rPr>
                <w:lang w:eastAsia="zh-CN"/>
              </w:rPr>
            </w:pPr>
            <w:r w:rsidRPr="00B56DB6">
              <w:rPr>
                <w:lang w:eastAsia="zh-CN"/>
              </w:rPr>
              <w:t>Nombre d’activités bruyantes hors horaires</w:t>
            </w:r>
          </w:p>
          <w:p w14:paraId="5215E114" w14:textId="620D6638" w:rsidR="006D1412" w:rsidRPr="00B56DB6" w:rsidRDefault="006D1412" w:rsidP="006D1412">
            <w:pPr>
              <w:cnfStyle w:val="000000000000" w:firstRow="0" w:lastRow="0" w:firstColumn="0" w:lastColumn="0" w:oddVBand="0" w:evenVBand="0" w:oddHBand="0" w:evenHBand="0" w:firstRowFirstColumn="0" w:firstRowLastColumn="0" w:lastRowFirstColumn="0" w:lastRowLastColumn="0"/>
              <w:rPr>
                <w:lang w:eastAsia="zh-CN"/>
              </w:rPr>
            </w:pPr>
            <w:r w:rsidRPr="00B56DB6">
              <w:rPr>
                <w:lang w:eastAsia="zh-CN"/>
              </w:rPr>
              <w:t>Nombre de plaintes enregistrées</w:t>
            </w:r>
          </w:p>
        </w:tc>
        <w:tc>
          <w:tcPr>
            <w:tcW w:w="0" w:type="auto"/>
            <w:hideMark/>
          </w:tcPr>
          <w:p w14:paraId="2C68AD69" w14:textId="6BF4A97C" w:rsidR="006D1412" w:rsidRPr="00B56DB6" w:rsidRDefault="006D1412" w:rsidP="006D1412">
            <w:pPr>
              <w:cnfStyle w:val="000000000000" w:firstRow="0" w:lastRow="0" w:firstColumn="0" w:lastColumn="0" w:oddVBand="0" w:evenVBand="0" w:oddHBand="0" w:evenHBand="0" w:firstRowFirstColumn="0" w:firstRowLastColumn="0" w:lastRowFirstColumn="0" w:lastRowLastColumn="0"/>
              <w:rPr>
                <w:lang w:eastAsia="zh-CN"/>
              </w:rPr>
            </w:pPr>
            <w:r w:rsidRPr="00B56DB6">
              <w:rPr>
                <w:lang w:eastAsia="zh-CN"/>
              </w:rPr>
              <w:t>EPC et sous-traitants</w:t>
            </w:r>
          </w:p>
        </w:tc>
        <w:tc>
          <w:tcPr>
            <w:tcW w:w="0" w:type="auto"/>
            <w:hideMark/>
          </w:tcPr>
          <w:p w14:paraId="46D15343" w14:textId="696B4BA7" w:rsidR="006D1412" w:rsidRPr="00B56DB6" w:rsidRDefault="006D1412" w:rsidP="006D1412">
            <w:pPr>
              <w:cnfStyle w:val="000000000000" w:firstRow="0" w:lastRow="0" w:firstColumn="0" w:lastColumn="0" w:oddVBand="0" w:evenVBand="0" w:oddHBand="0" w:evenHBand="0" w:firstRowFirstColumn="0" w:firstRowLastColumn="0" w:lastRowFirstColumn="0" w:lastRowLastColumn="0"/>
              <w:rPr>
                <w:lang w:eastAsia="zh-CN"/>
              </w:rPr>
            </w:pPr>
            <w:r w:rsidRPr="00BC1745">
              <w:rPr>
                <w:szCs w:val="20"/>
              </w:rPr>
              <w:t>Bureau de contrôle / Consultant de supervision mandaté par l’ONDA</w:t>
            </w:r>
          </w:p>
        </w:tc>
        <w:tc>
          <w:tcPr>
            <w:tcW w:w="0" w:type="auto"/>
            <w:hideMark/>
          </w:tcPr>
          <w:p w14:paraId="6773FB11" w14:textId="0683F9E1" w:rsidR="006D1412" w:rsidRPr="00B56DB6" w:rsidRDefault="006D1412" w:rsidP="006D1412">
            <w:pPr>
              <w:cnfStyle w:val="000000000000" w:firstRow="0" w:lastRow="0" w:firstColumn="0" w:lastColumn="0" w:oddVBand="0" w:evenVBand="0" w:oddHBand="0" w:evenHBand="0" w:firstRowFirstColumn="0" w:firstRowLastColumn="0" w:lastRowFirstColumn="0" w:lastRowLastColumn="0"/>
              <w:rPr>
                <w:lang w:eastAsia="zh-CN"/>
              </w:rPr>
            </w:pPr>
            <w:r w:rsidRPr="00B56DB6">
              <w:rPr>
                <w:lang w:eastAsia="zh-CN"/>
              </w:rPr>
              <w:t xml:space="preserve">ONDA </w:t>
            </w:r>
          </w:p>
        </w:tc>
        <w:tc>
          <w:tcPr>
            <w:tcW w:w="0" w:type="auto"/>
            <w:hideMark/>
          </w:tcPr>
          <w:p w14:paraId="6773B130" w14:textId="77777777" w:rsidR="006D1412" w:rsidRPr="00B56DB6" w:rsidRDefault="006D1412" w:rsidP="006D1412">
            <w:pPr>
              <w:cnfStyle w:val="000000000000" w:firstRow="0" w:lastRow="0" w:firstColumn="0" w:lastColumn="0" w:oddVBand="0" w:evenVBand="0" w:oddHBand="0" w:evenHBand="0" w:firstRowFirstColumn="0" w:firstRowLastColumn="0" w:lastRowFirstColumn="0" w:lastRowLastColumn="0"/>
              <w:rPr>
                <w:lang w:eastAsia="zh-CN"/>
              </w:rPr>
            </w:pPr>
            <w:r w:rsidRPr="00B56DB6">
              <w:rPr>
                <w:lang w:eastAsia="zh-CN"/>
              </w:rPr>
              <w:t>Mensuel en phase travaux</w:t>
            </w:r>
          </w:p>
        </w:tc>
        <w:tc>
          <w:tcPr>
            <w:tcW w:w="0" w:type="auto"/>
            <w:hideMark/>
          </w:tcPr>
          <w:p w14:paraId="5C615B7F" w14:textId="77777777" w:rsidR="006D1412" w:rsidRPr="00B56DB6" w:rsidRDefault="006D1412" w:rsidP="006D1412">
            <w:pPr>
              <w:cnfStyle w:val="000000000000" w:firstRow="0" w:lastRow="0" w:firstColumn="0" w:lastColumn="0" w:oddVBand="0" w:evenVBand="0" w:oddHBand="0" w:evenHBand="0" w:firstRowFirstColumn="0" w:firstRowLastColumn="0" w:lastRowFirstColumn="0" w:lastRowLastColumn="0"/>
              <w:rPr>
                <w:lang w:eastAsia="zh-CN"/>
              </w:rPr>
            </w:pPr>
            <w:r w:rsidRPr="00B56DB6">
              <w:rPr>
                <w:lang w:eastAsia="zh-CN"/>
              </w:rPr>
              <w:t>Inclus dans le coût du projet</w:t>
            </w:r>
          </w:p>
        </w:tc>
      </w:tr>
      <w:tr w:rsidR="006D1412" w:rsidRPr="00B56DB6" w14:paraId="5C0D42AC" w14:textId="77777777" w:rsidTr="00B56DB6">
        <w:tc>
          <w:tcPr>
            <w:cnfStyle w:val="001000000000" w:firstRow="0" w:lastRow="0" w:firstColumn="1" w:lastColumn="0" w:oddVBand="0" w:evenVBand="0" w:oddHBand="0" w:evenHBand="0" w:firstRowFirstColumn="0" w:firstRowLastColumn="0" w:lastRowFirstColumn="0" w:lastRowLastColumn="0"/>
            <w:tcW w:w="0" w:type="auto"/>
            <w:hideMark/>
          </w:tcPr>
          <w:p w14:paraId="023C10EC" w14:textId="53A8F669" w:rsidR="006D1412" w:rsidRPr="00B56DB6" w:rsidRDefault="006D1412" w:rsidP="006D1412">
            <w:pPr>
              <w:rPr>
                <w:lang w:eastAsia="zh-CN"/>
              </w:rPr>
            </w:pPr>
            <w:r>
              <w:rPr>
                <w:lang w:eastAsia="zh-CN"/>
              </w:rPr>
              <w:t>Utilisation des r</w:t>
            </w:r>
            <w:r w:rsidRPr="00B56DB6">
              <w:rPr>
                <w:lang w:eastAsia="zh-CN"/>
              </w:rPr>
              <w:t xml:space="preserve">essources en eau </w:t>
            </w:r>
          </w:p>
        </w:tc>
        <w:tc>
          <w:tcPr>
            <w:tcW w:w="0" w:type="auto"/>
            <w:hideMark/>
          </w:tcPr>
          <w:p w14:paraId="5E111DE8" w14:textId="77777777" w:rsidR="006D1412" w:rsidRDefault="006D1412" w:rsidP="006D1412">
            <w:pPr>
              <w:cnfStyle w:val="000000000000" w:firstRow="0" w:lastRow="0" w:firstColumn="0" w:lastColumn="0" w:oddVBand="0" w:evenVBand="0" w:oddHBand="0" w:evenHBand="0" w:firstRowFirstColumn="0" w:firstRowLastColumn="0" w:lastRowFirstColumn="0" w:lastRowLastColumn="0"/>
              <w:rPr>
                <w:lang w:eastAsia="zh-CN"/>
              </w:rPr>
            </w:pPr>
            <w:r w:rsidRPr="00B56DB6">
              <w:rPr>
                <w:lang w:eastAsia="zh-CN"/>
              </w:rPr>
              <w:t>Sensibiliser les entreprises et exploitants à la gestion rationnelle de l’eau.</w:t>
            </w:r>
          </w:p>
          <w:p w14:paraId="42E0A1A3" w14:textId="6A20C3E5" w:rsidR="006D1412" w:rsidRDefault="006D1412" w:rsidP="006D1412">
            <w:pPr>
              <w:cnfStyle w:val="000000000000" w:firstRow="0" w:lastRow="0" w:firstColumn="0" w:lastColumn="0" w:oddVBand="0" w:evenVBand="0" w:oddHBand="0" w:evenHBand="0" w:firstRowFirstColumn="0" w:firstRowLastColumn="0" w:lastRowFirstColumn="0" w:lastRowLastColumn="0"/>
              <w:rPr>
                <w:lang w:eastAsia="zh-CN"/>
              </w:rPr>
            </w:pPr>
            <w:r w:rsidRPr="00B56DB6">
              <w:rPr>
                <w:lang w:eastAsia="zh-CN"/>
              </w:rPr>
              <w:t>Interdire tout captage direct dans la nappe.</w:t>
            </w:r>
          </w:p>
          <w:p w14:paraId="27B61E89" w14:textId="41891468" w:rsidR="006D1412" w:rsidRPr="00B56DB6" w:rsidRDefault="006D1412" w:rsidP="006D1412">
            <w:pPr>
              <w:cnfStyle w:val="000000000000" w:firstRow="0" w:lastRow="0" w:firstColumn="0" w:lastColumn="0" w:oddVBand="0" w:evenVBand="0" w:oddHBand="0" w:evenHBand="0" w:firstRowFirstColumn="0" w:firstRowLastColumn="0" w:lastRowFirstColumn="0" w:lastRowLastColumn="0"/>
              <w:rPr>
                <w:lang w:eastAsia="zh-CN"/>
              </w:rPr>
            </w:pPr>
            <w:r w:rsidRPr="00B56DB6">
              <w:rPr>
                <w:lang w:eastAsia="zh-CN"/>
              </w:rPr>
              <w:t>Assurer le raccordement à la conduite interne de l’aéroport pour l’exploitation.</w:t>
            </w:r>
          </w:p>
        </w:tc>
        <w:tc>
          <w:tcPr>
            <w:tcW w:w="0" w:type="auto"/>
            <w:hideMark/>
          </w:tcPr>
          <w:p w14:paraId="0D38511F" w14:textId="77777777" w:rsidR="006D1412" w:rsidRDefault="006D1412" w:rsidP="006D1412">
            <w:pPr>
              <w:cnfStyle w:val="000000000000" w:firstRow="0" w:lastRow="0" w:firstColumn="0" w:lastColumn="0" w:oddVBand="0" w:evenVBand="0" w:oddHBand="0" w:evenHBand="0" w:firstRowFirstColumn="0" w:firstRowLastColumn="0" w:lastRowFirstColumn="0" w:lastRowLastColumn="0"/>
              <w:rPr>
                <w:lang w:eastAsia="zh-CN"/>
              </w:rPr>
            </w:pPr>
            <w:r w:rsidRPr="00B56DB6">
              <w:rPr>
                <w:lang w:eastAsia="zh-CN"/>
              </w:rPr>
              <w:t>Absence de captage externe</w:t>
            </w:r>
          </w:p>
          <w:p w14:paraId="13C820E8" w14:textId="77777777" w:rsidR="006D1412" w:rsidRDefault="006D1412" w:rsidP="006D1412">
            <w:pPr>
              <w:cnfStyle w:val="000000000000" w:firstRow="0" w:lastRow="0" w:firstColumn="0" w:lastColumn="0" w:oddVBand="0" w:evenVBand="0" w:oddHBand="0" w:evenHBand="0" w:firstRowFirstColumn="0" w:firstRowLastColumn="0" w:lastRowFirstColumn="0" w:lastRowLastColumn="0"/>
              <w:rPr>
                <w:lang w:eastAsia="zh-CN"/>
              </w:rPr>
            </w:pPr>
            <w:r w:rsidRPr="00B56DB6">
              <w:rPr>
                <w:lang w:eastAsia="zh-CN"/>
              </w:rPr>
              <w:t>Volume d’eau consommé enregistré</w:t>
            </w:r>
          </w:p>
          <w:p w14:paraId="10BE26B8" w14:textId="0DD08698" w:rsidR="006D1412" w:rsidRPr="00B56DB6" w:rsidRDefault="006D1412" w:rsidP="006D1412">
            <w:pPr>
              <w:cnfStyle w:val="000000000000" w:firstRow="0" w:lastRow="0" w:firstColumn="0" w:lastColumn="0" w:oddVBand="0" w:evenVBand="0" w:oddHBand="0" w:evenHBand="0" w:firstRowFirstColumn="0" w:firstRowLastColumn="0" w:lastRowFirstColumn="0" w:lastRowLastColumn="0"/>
              <w:rPr>
                <w:lang w:eastAsia="zh-CN"/>
              </w:rPr>
            </w:pPr>
            <w:r w:rsidRPr="00B56DB6">
              <w:rPr>
                <w:lang w:eastAsia="zh-CN"/>
              </w:rPr>
              <w:t>Taux de conformité des raccordements</w:t>
            </w:r>
          </w:p>
        </w:tc>
        <w:tc>
          <w:tcPr>
            <w:tcW w:w="0" w:type="auto"/>
            <w:hideMark/>
          </w:tcPr>
          <w:p w14:paraId="69E0161E" w14:textId="6724E0F8" w:rsidR="006D1412" w:rsidRPr="00B56DB6" w:rsidRDefault="006D1412" w:rsidP="006D1412">
            <w:pPr>
              <w:cnfStyle w:val="000000000000" w:firstRow="0" w:lastRow="0" w:firstColumn="0" w:lastColumn="0" w:oddVBand="0" w:evenVBand="0" w:oddHBand="0" w:evenHBand="0" w:firstRowFirstColumn="0" w:firstRowLastColumn="0" w:lastRowFirstColumn="0" w:lastRowLastColumn="0"/>
              <w:rPr>
                <w:lang w:eastAsia="zh-CN"/>
              </w:rPr>
            </w:pPr>
            <w:r w:rsidRPr="00B56DB6">
              <w:rPr>
                <w:lang w:eastAsia="zh-CN"/>
              </w:rPr>
              <w:t>EPC et sous-traitants</w:t>
            </w:r>
          </w:p>
        </w:tc>
        <w:tc>
          <w:tcPr>
            <w:tcW w:w="0" w:type="auto"/>
            <w:hideMark/>
          </w:tcPr>
          <w:p w14:paraId="54BD5C5B" w14:textId="6A6CC3ED" w:rsidR="006D1412" w:rsidRPr="00B56DB6" w:rsidRDefault="006D1412" w:rsidP="006D1412">
            <w:pPr>
              <w:cnfStyle w:val="000000000000" w:firstRow="0" w:lastRow="0" w:firstColumn="0" w:lastColumn="0" w:oddVBand="0" w:evenVBand="0" w:oddHBand="0" w:evenHBand="0" w:firstRowFirstColumn="0" w:firstRowLastColumn="0" w:lastRowFirstColumn="0" w:lastRowLastColumn="0"/>
              <w:rPr>
                <w:lang w:eastAsia="zh-CN"/>
              </w:rPr>
            </w:pPr>
            <w:r w:rsidRPr="00BC1745">
              <w:rPr>
                <w:szCs w:val="20"/>
              </w:rPr>
              <w:t>Bureau de contrôle / Consultant de supervision mandaté par l’ONDA</w:t>
            </w:r>
          </w:p>
        </w:tc>
        <w:tc>
          <w:tcPr>
            <w:tcW w:w="0" w:type="auto"/>
            <w:hideMark/>
          </w:tcPr>
          <w:p w14:paraId="7F8CF8A1" w14:textId="55249CCC" w:rsidR="006D1412" w:rsidRPr="00B56DB6" w:rsidRDefault="006D1412" w:rsidP="006D1412">
            <w:pPr>
              <w:cnfStyle w:val="000000000000" w:firstRow="0" w:lastRow="0" w:firstColumn="0" w:lastColumn="0" w:oddVBand="0" w:evenVBand="0" w:oddHBand="0" w:evenHBand="0" w:firstRowFirstColumn="0" w:firstRowLastColumn="0" w:lastRowFirstColumn="0" w:lastRowLastColumn="0"/>
              <w:rPr>
                <w:lang w:eastAsia="zh-CN"/>
              </w:rPr>
            </w:pPr>
            <w:r w:rsidRPr="00B56DB6">
              <w:rPr>
                <w:lang w:eastAsia="zh-CN"/>
              </w:rPr>
              <w:t xml:space="preserve">ONDA </w:t>
            </w:r>
          </w:p>
        </w:tc>
        <w:tc>
          <w:tcPr>
            <w:tcW w:w="0" w:type="auto"/>
            <w:hideMark/>
          </w:tcPr>
          <w:p w14:paraId="5E2B3611" w14:textId="77777777" w:rsidR="006D1412" w:rsidRPr="00B56DB6" w:rsidRDefault="006D1412" w:rsidP="006D1412">
            <w:pPr>
              <w:cnfStyle w:val="000000000000" w:firstRow="0" w:lastRow="0" w:firstColumn="0" w:lastColumn="0" w:oddVBand="0" w:evenVBand="0" w:oddHBand="0" w:evenHBand="0" w:firstRowFirstColumn="0" w:firstRowLastColumn="0" w:lastRowFirstColumn="0" w:lastRowLastColumn="0"/>
              <w:rPr>
                <w:lang w:eastAsia="zh-CN"/>
              </w:rPr>
            </w:pPr>
            <w:r w:rsidRPr="00B56DB6">
              <w:rPr>
                <w:lang w:eastAsia="zh-CN"/>
              </w:rPr>
              <w:t>Continu durant le projet</w:t>
            </w:r>
          </w:p>
        </w:tc>
        <w:tc>
          <w:tcPr>
            <w:tcW w:w="0" w:type="auto"/>
            <w:hideMark/>
          </w:tcPr>
          <w:p w14:paraId="3AC61480" w14:textId="77777777" w:rsidR="006D1412" w:rsidRPr="00B56DB6" w:rsidRDefault="006D1412" w:rsidP="006D1412">
            <w:pPr>
              <w:cnfStyle w:val="000000000000" w:firstRow="0" w:lastRow="0" w:firstColumn="0" w:lastColumn="0" w:oddVBand="0" w:evenVBand="0" w:oddHBand="0" w:evenHBand="0" w:firstRowFirstColumn="0" w:firstRowLastColumn="0" w:lastRowFirstColumn="0" w:lastRowLastColumn="0"/>
              <w:rPr>
                <w:lang w:eastAsia="zh-CN"/>
              </w:rPr>
            </w:pPr>
            <w:r w:rsidRPr="00B56DB6">
              <w:rPr>
                <w:lang w:eastAsia="zh-CN"/>
              </w:rPr>
              <w:t>Inclus dans le coût du projet</w:t>
            </w:r>
          </w:p>
        </w:tc>
      </w:tr>
      <w:tr w:rsidR="006D1412" w:rsidRPr="00B56DB6" w14:paraId="6F9CBF9E" w14:textId="77777777" w:rsidTr="00B56DB6">
        <w:tc>
          <w:tcPr>
            <w:cnfStyle w:val="001000000000" w:firstRow="0" w:lastRow="0" w:firstColumn="1" w:lastColumn="0" w:oddVBand="0" w:evenVBand="0" w:oddHBand="0" w:evenHBand="0" w:firstRowFirstColumn="0" w:firstRowLastColumn="0" w:lastRowFirstColumn="0" w:lastRowLastColumn="0"/>
            <w:tcW w:w="0" w:type="auto"/>
            <w:hideMark/>
          </w:tcPr>
          <w:p w14:paraId="03C3A7F7" w14:textId="4B87139F" w:rsidR="006D1412" w:rsidRPr="00B56DB6" w:rsidRDefault="006D1412" w:rsidP="006D1412">
            <w:pPr>
              <w:rPr>
                <w:lang w:eastAsia="zh-CN"/>
              </w:rPr>
            </w:pPr>
            <w:r w:rsidRPr="00B56DB6">
              <w:rPr>
                <w:lang w:eastAsia="zh-CN"/>
              </w:rPr>
              <w:lastRenderedPageBreak/>
              <w:t xml:space="preserve">Trafic routier et circulation </w:t>
            </w:r>
          </w:p>
        </w:tc>
        <w:tc>
          <w:tcPr>
            <w:tcW w:w="0" w:type="auto"/>
            <w:hideMark/>
          </w:tcPr>
          <w:p w14:paraId="4987C1E6" w14:textId="77777777" w:rsidR="006D1412" w:rsidRDefault="006D1412" w:rsidP="006D1412">
            <w:pPr>
              <w:cnfStyle w:val="000000000000" w:firstRow="0" w:lastRow="0" w:firstColumn="0" w:lastColumn="0" w:oddVBand="0" w:evenVBand="0" w:oddHBand="0" w:evenHBand="0" w:firstRowFirstColumn="0" w:firstRowLastColumn="0" w:lastRowFirstColumn="0" w:lastRowLastColumn="0"/>
              <w:rPr>
                <w:lang w:eastAsia="zh-CN"/>
              </w:rPr>
            </w:pPr>
            <w:r w:rsidRPr="00B56DB6">
              <w:rPr>
                <w:lang w:eastAsia="zh-CN"/>
              </w:rPr>
              <w:t>Maintenir un plan de circulation.</w:t>
            </w:r>
          </w:p>
          <w:p w14:paraId="39A40BB6" w14:textId="77777777" w:rsidR="006D1412" w:rsidRDefault="006D1412" w:rsidP="006D1412">
            <w:pPr>
              <w:cnfStyle w:val="000000000000" w:firstRow="0" w:lastRow="0" w:firstColumn="0" w:lastColumn="0" w:oddVBand="0" w:evenVBand="0" w:oddHBand="0" w:evenHBand="0" w:firstRowFirstColumn="0" w:firstRowLastColumn="0" w:lastRowFirstColumn="0" w:lastRowLastColumn="0"/>
              <w:rPr>
                <w:lang w:eastAsia="zh-CN"/>
              </w:rPr>
            </w:pPr>
            <w:r w:rsidRPr="00B56DB6">
              <w:rPr>
                <w:lang w:eastAsia="zh-CN"/>
              </w:rPr>
              <w:t>Installer une signalisation temporaire.</w:t>
            </w:r>
          </w:p>
          <w:p w14:paraId="5C544724" w14:textId="30A4B442" w:rsidR="006D1412" w:rsidRPr="00B56DB6" w:rsidRDefault="006D1412" w:rsidP="006D1412">
            <w:pPr>
              <w:cnfStyle w:val="000000000000" w:firstRow="0" w:lastRow="0" w:firstColumn="0" w:lastColumn="0" w:oddVBand="0" w:evenVBand="0" w:oddHBand="0" w:evenHBand="0" w:firstRowFirstColumn="0" w:firstRowLastColumn="0" w:lastRowFirstColumn="0" w:lastRowLastColumn="0"/>
              <w:rPr>
                <w:lang w:eastAsia="zh-CN"/>
              </w:rPr>
            </w:pPr>
            <w:r w:rsidRPr="00B56DB6">
              <w:rPr>
                <w:lang w:eastAsia="zh-CN"/>
              </w:rPr>
              <w:t>Former les chauffeurs sur la sécurité routière et la cohabitation avec les usagers.</w:t>
            </w:r>
          </w:p>
        </w:tc>
        <w:tc>
          <w:tcPr>
            <w:tcW w:w="0" w:type="auto"/>
            <w:hideMark/>
          </w:tcPr>
          <w:p w14:paraId="2676F05E" w14:textId="77777777" w:rsidR="006D1412" w:rsidRDefault="006D1412" w:rsidP="006D1412">
            <w:pPr>
              <w:cnfStyle w:val="000000000000" w:firstRow="0" w:lastRow="0" w:firstColumn="0" w:lastColumn="0" w:oddVBand="0" w:evenVBand="0" w:oddHBand="0" w:evenHBand="0" w:firstRowFirstColumn="0" w:firstRowLastColumn="0" w:lastRowFirstColumn="0" w:lastRowLastColumn="0"/>
              <w:rPr>
                <w:lang w:eastAsia="zh-CN"/>
              </w:rPr>
            </w:pPr>
            <w:r w:rsidRPr="00B56DB6">
              <w:rPr>
                <w:lang w:eastAsia="zh-CN"/>
              </w:rPr>
              <w:t>Nombre d’incidents routiers</w:t>
            </w:r>
          </w:p>
          <w:p w14:paraId="3AD27072" w14:textId="77777777" w:rsidR="006D1412" w:rsidRDefault="006D1412" w:rsidP="006D1412">
            <w:pPr>
              <w:cnfStyle w:val="000000000000" w:firstRow="0" w:lastRow="0" w:firstColumn="0" w:lastColumn="0" w:oddVBand="0" w:evenVBand="0" w:oddHBand="0" w:evenHBand="0" w:firstRowFirstColumn="0" w:firstRowLastColumn="0" w:lastRowFirstColumn="0" w:lastRowLastColumn="0"/>
              <w:rPr>
                <w:lang w:eastAsia="zh-CN"/>
              </w:rPr>
            </w:pPr>
            <w:r w:rsidRPr="00B56DB6">
              <w:rPr>
                <w:lang w:eastAsia="zh-CN"/>
              </w:rPr>
              <w:t>Nombre de chauffeurs formés</w:t>
            </w:r>
          </w:p>
          <w:p w14:paraId="283A1C20" w14:textId="624CE3F7" w:rsidR="006D1412" w:rsidRPr="00B56DB6" w:rsidRDefault="006D1412" w:rsidP="006D1412">
            <w:pPr>
              <w:cnfStyle w:val="000000000000" w:firstRow="0" w:lastRow="0" w:firstColumn="0" w:lastColumn="0" w:oddVBand="0" w:evenVBand="0" w:oddHBand="0" w:evenHBand="0" w:firstRowFirstColumn="0" w:firstRowLastColumn="0" w:lastRowFirstColumn="0" w:lastRowLastColumn="0"/>
              <w:rPr>
                <w:lang w:eastAsia="zh-CN"/>
              </w:rPr>
            </w:pPr>
            <w:r w:rsidRPr="00B56DB6">
              <w:rPr>
                <w:lang w:eastAsia="zh-CN"/>
              </w:rPr>
              <w:t>Conformité du plan de circulation validé</w:t>
            </w:r>
          </w:p>
        </w:tc>
        <w:tc>
          <w:tcPr>
            <w:tcW w:w="0" w:type="auto"/>
            <w:hideMark/>
          </w:tcPr>
          <w:p w14:paraId="5855CE9E" w14:textId="330DFC91" w:rsidR="006D1412" w:rsidRPr="00B56DB6" w:rsidRDefault="006D1412" w:rsidP="006D1412">
            <w:pPr>
              <w:cnfStyle w:val="000000000000" w:firstRow="0" w:lastRow="0" w:firstColumn="0" w:lastColumn="0" w:oddVBand="0" w:evenVBand="0" w:oddHBand="0" w:evenHBand="0" w:firstRowFirstColumn="0" w:firstRowLastColumn="0" w:lastRowFirstColumn="0" w:lastRowLastColumn="0"/>
              <w:rPr>
                <w:lang w:eastAsia="zh-CN"/>
              </w:rPr>
            </w:pPr>
            <w:r w:rsidRPr="00B56DB6">
              <w:rPr>
                <w:lang w:eastAsia="zh-CN"/>
              </w:rPr>
              <w:t>EPC et sous-traitants</w:t>
            </w:r>
          </w:p>
        </w:tc>
        <w:tc>
          <w:tcPr>
            <w:tcW w:w="0" w:type="auto"/>
            <w:hideMark/>
          </w:tcPr>
          <w:p w14:paraId="6EE458D0" w14:textId="576EC461" w:rsidR="006D1412" w:rsidRPr="00B56DB6" w:rsidRDefault="006D1412" w:rsidP="006D1412">
            <w:pPr>
              <w:cnfStyle w:val="000000000000" w:firstRow="0" w:lastRow="0" w:firstColumn="0" w:lastColumn="0" w:oddVBand="0" w:evenVBand="0" w:oddHBand="0" w:evenHBand="0" w:firstRowFirstColumn="0" w:firstRowLastColumn="0" w:lastRowFirstColumn="0" w:lastRowLastColumn="0"/>
              <w:rPr>
                <w:lang w:eastAsia="zh-CN"/>
              </w:rPr>
            </w:pPr>
            <w:r w:rsidRPr="00BC1745">
              <w:rPr>
                <w:szCs w:val="20"/>
              </w:rPr>
              <w:t>Bureau de contrôle / Consultant de supervision mandaté par l’ONDA</w:t>
            </w:r>
          </w:p>
        </w:tc>
        <w:tc>
          <w:tcPr>
            <w:tcW w:w="0" w:type="auto"/>
            <w:hideMark/>
          </w:tcPr>
          <w:p w14:paraId="49302676" w14:textId="4D68864A" w:rsidR="006D1412" w:rsidRPr="00B56DB6" w:rsidRDefault="006D1412" w:rsidP="006D1412">
            <w:pPr>
              <w:cnfStyle w:val="000000000000" w:firstRow="0" w:lastRow="0" w:firstColumn="0" w:lastColumn="0" w:oddVBand="0" w:evenVBand="0" w:oddHBand="0" w:evenHBand="0" w:firstRowFirstColumn="0" w:firstRowLastColumn="0" w:lastRowFirstColumn="0" w:lastRowLastColumn="0"/>
              <w:rPr>
                <w:lang w:eastAsia="zh-CN"/>
              </w:rPr>
            </w:pPr>
            <w:r w:rsidRPr="00B56DB6">
              <w:rPr>
                <w:lang w:eastAsia="zh-CN"/>
              </w:rPr>
              <w:t xml:space="preserve">ONDA </w:t>
            </w:r>
          </w:p>
        </w:tc>
        <w:tc>
          <w:tcPr>
            <w:tcW w:w="0" w:type="auto"/>
            <w:hideMark/>
          </w:tcPr>
          <w:p w14:paraId="5740634B" w14:textId="77777777" w:rsidR="006D1412" w:rsidRPr="00B56DB6" w:rsidRDefault="006D1412" w:rsidP="006D1412">
            <w:pPr>
              <w:cnfStyle w:val="000000000000" w:firstRow="0" w:lastRow="0" w:firstColumn="0" w:lastColumn="0" w:oddVBand="0" w:evenVBand="0" w:oddHBand="0" w:evenHBand="0" w:firstRowFirstColumn="0" w:firstRowLastColumn="0" w:lastRowFirstColumn="0" w:lastRowLastColumn="0"/>
              <w:rPr>
                <w:lang w:eastAsia="zh-CN"/>
              </w:rPr>
            </w:pPr>
            <w:r w:rsidRPr="00B56DB6">
              <w:rPr>
                <w:lang w:eastAsia="zh-CN"/>
              </w:rPr>
              <w:t>Avant et pendant la phase travaux</w:t>
            </w:r>
          </w:p>
        </w:tc>
        <w:tc>
          <w:tcPr>
            <w:tcW w:w="0" w:type="auto"/>
            <w:hideMark/>
          </w:tcPr>
          <w:p w14:paraId="5C2E19B3" w14:textId="77777777" w:rsidR="006D1412" w:rsidRPr="00B56DB6" w:rsidRDefault="006D1412" w:rsidP="006D1412">
            <w:pPr>
              <w:cnfStyle w:val="000000000000" w:firstRow="0" w:lastRow="0" w:firstColumn="0" w:lastColumn="0" w:oddVBand="0" w:evenVBand="0" w:oddHBand="0" w:evenHBand="0" w:firstRowFirstColumn="0" w:firstRowLastColumn="0" w:lastRowFirstColumn="0" w:lastRowLastColumn="0"/>
              <w:rPr>
                <w:lang w:eastAsia="zh-CN"/>
              </w:rPr>
            </w:pPr>
            <w:r w:rsidRPr="00B56DB6">
              <w:rPr>
                <w:lang w:eastAsia="zh-CN"/>
              </w:rPr>
              <w:t>Inclus dans le coût du projet</w:t>
            </w:r>
          </w:p>
        </w:tc>
      </w:tr>
      <w:tr w:rsidR="006D1412" w:rsidRPr="00B56DB6" w14:paraId="70CFC7A1" w14:textId="77777777" w:rsidTr="00B56DB6">
        <w:tc>
          <w:tcPr>
            <w:cnfStyle w:val="001000000000" w:firstRow="0" w:lastRow="0" w:firstColumn="1" w:lastColumn="0" w:oddVBand="0" w:evenVBand="0" w:oddHBand="0" w:evenHBand="0" w:firstRowFirstColumn="0" w:firstRowLastColumn="0" w:lastRowFirstColumn="0" w:lastRowLastColumn="0"/>
            <w:tcW w:w="0" w:type="auto"/>
            <w:hideMark/>
          </w:tcPr>
          <w:p w14:paraId="6B6FF733" w14:textId="7B803DC8" w:rsidR="006D1412" w:rsidRPr="00B56DB6" w:rsidRDefault="006D1412" w:rsidP="006D1412">
            <w:pPr>
              <w:rPr>
                <w:lang w:eastAsia="zh-CN"/>
              </w:rPr>
            </w:pPr>
            <w:r w:rsidRPr="00B56DB6">
              <w:rPr>
                <w:lang w:eastAsia="zh-CN"/>
              </w:rPr>
              <w:t xml:space="preserve">Biodiversité et sols </w:t>
            </w:r>
          </w:p>
        </w:tc>
        <w:tc>
          <w:tcPr>
            <w:tcW w:w="0" w:type="auto"/>
            <w:hideMark/>
          </w:tcPr>
          <w:p w14:paraId="4F3582FF" w14:textId="77777777" w:rsidR="006D1412" w:rsidRDefault="006D1412" w:rsidP="006D1412">
            <w:pPr>
              <w:cnfStyle w:val="000000000000" w:firstRow="0" w:lastRow="0" w:firstColumn="0" w:lastColumn="0" w:oddVBand="0" w:evenVBand="0" w:oddHBand="0" w:evenHBand="0" w:firstRowFirstColumn="0" w:firstRowLastColumn="0" w:lastRowFirstColumn="0" w:lastRowLastColumn="0"/>
              <w:rPr>
                <w:lang w:eastAsia="zh-CN"/>
              </w:rPr>
            </w:pPr>
            <w:r w:rsidRPr="00B56DB6">
              <w:rPr>
                <w:lang w:eastAsia="zh-CN"/>
              </w:rPr>
              <w:t>Interdire tout débordement de chantier hors emprise.</w:t>
            </w:r>
          </w:p>
          <w:p w14:paraId="2BE709F5" w14:textId="77777777" w:rsidR="006D1412" w:rsidRDefault="006D1412" w:rsidP="006D1412">
            <w:pPr>
              <w:cnfStyle w:val="000000000000" w:firstRow="0" w:lastRow="0" w:firstColumn="0" w:lastColumn="0" w:oddVBand="0" w:evenVBand="0" w:oddHBand="0" w:evenHBand="0" w:firstRowFirstColumn="0" w:firstRowLastColumn="0" w:lastRowFirstColumn="0" w:lastRowLastColumn="0"/>
              <w:rPr>
                <w:lang w:eastAsia="zh-CN"/>
              </w:rPr>
            </w:pPr>
            <w:r w:rsidRPr="00B56DB6">
              <w:rPr>
                <w:lang w:eastAsia="zh-CN"/>
              </w:rPr>
              <w:t>Restaurer les zones temporairement occupées.</w:t>
            </w:r>
          </w:p>
          <w:p w14:paraId="4ABB0EED" w14:textId="415D99B3" w:rsidR="006D1412" w:rsidRPr="00B56DB6" w:rsidRDefault="006D1412" w:rsidP="006D1412">
            <w:pPr>
              <w:cnfStyle w:val="000000000000" w:firstRow="0" w:lastRow="0" w:firstColumn="0" w:lastColumn="0" w:oddVBand="0" w:evenVBand="0" w:oddHBand="0" w:evenHBand="0" w:firstRowFirstColumn="0" w:firstRowLastColumn="0" w:lastRowFirstColumn="0" w:lastRowLastColumn="0"/>
              <w:rPr>
                <w:lang w:eastAsia="zh-CN"/>
              </w:rPr>
            </w:pPr>
            <w:r w:rsidRPr="00B56DB6">
              <w:rPr>
                <w:lang w:eastAsia="zh-CN"/>
              </w:rPr>
              <w:t>Planter des espèces locales en zones stabilisées.</w:t>
            </w:r>
          </w:p>
        </w:tc>
        <w:tc>
          <w:tcPr>
            <w:tcW w:w="0" w:type="auto"/>
            <w:hideMark/>
          </w:tcPr>
          <w:p w14:paraId="7E782E0E" w14:textId="77777777" w:rsidR="006D1412" w:rsidRDefault="006D1412" w:rsidP="006D1412">
            <w:pPr>
              <w:cnfStyle w:val="000000000000" w:firstRow="0" w:lastRow="0" w:firstColumn="0" w:lastColumn="0" w:oddVBand="0" w:evenVBand="0" w:oddHBand="0" w:evenHBand="0" w:firstRowFirstColumn="0" w:firstRowLastColumn="0" w:lastRowFirstColumn="0" w:lastRowLastColumn="0"/>
              <w:rPr>
                <w:lang w:eastAsia="zh-CN"/>
              </w:rPr>
            </w:pPr>
            <w:r w:rsidRPr="00B56DB6">
              <w:rPr>
                <w:lang w:eastAsia="zh-CN"/>
              </w:rPr>
              <w:t>Superficie restaurée (m²)</w:t>
            </w:r>
          </w:p>
          <w:p w14:paraId="14342A7C" w14:textId="77777777" w:rsidR="006D1412" w:rsidRDefault="006D1412" w:rsidP="006D1412">
            <w:pPr>
              <w:cnfStyle w:val="000000000000" w:firstRow="0" w:lastRow="0" w:firstColumn="0" w:lastColumn="0" w:oddVBand="0" w:evenVBand="0" w:oddHBand="0" w:evenHBand="0" w:firstRowFirstColumn="0" w:firstRowLastColumn="0" w:lastRowFirstColumn="0" w:lastRowLastColumn="0"/>
              <w:rPr>
                <w:lang w:eastAsia="zh-CN"/>
              </w:rPr>
            </w:pPr>
            <w:r w:rsidRPr="00B56DB6">
              <w:rPr>
                <w:lang w:eastAsia="zh-CN"/>
              </w:rPr>
              <w:t>Nombre de plantations réalisées</w:t>
            </w:r>
          </w:p>
          <w:p w14:paraId="053889BF" w14:textId="2B0924BC" w:rsidR="006D1412" w:rsidRPr="00B56DB6" w:rsidRDefault="006D1412" w:rsidP="006D1412">
            <w:pPr>
              <w:cnfStyle w:val="000000000000" w:firstRow="0" w:lastRow="0" w:firstColumn="0" w:lastColumn="0" w:oddVBand="0" w:evenVBand="0" w:oddHBand="0" w:evenHBand="0" w:firstRowFirstColumn="0" w:firstRowLastColumn="0" w:lastRowFirstColumn="0" w:lastRowLastColumn="0"/>
              <w:rPr>
                <w:lang w:eastAsia="zh-CN"/>
              </w:rPr>
            </w:pPr>
            <w:r w:rsidRPr="00B56DB6">
              <w:rPr>
                <w:lang w:eastAsia="zh-CN"/>
              </w:rPr>
              <w:t>Taux de survie des espèces plantées</w:t>
            </w:r>
          </w:p>
        </w:tc>
        <w:tc>
          <w:tcPr>
            <w:tcW w:w="0" w:type="auto"/>
            <w:hideMark/>
          </w:tcPr>
          <w:p w14:paraId="65090A39" w14:textId="73E41D69" w:rsidR="006D1412" w:rsidRPr="00B56DB6" w:rsidRDefault="006D1412" w:rsidP="006D1412">
            <w:pPr>
              <w:cnfStyle w:val="000000000000" w:firstRow="0" w:lastRow="0" w:firstColumn="0" w:lastColumn="0" w:oddVBand="0" w:evenVBand="0" w:oddHBand="0" w:evenHBand="0" w:firstRowFirstColumn="0" w:firstRowLastColumn="0" w:lastRowFirstColumn="0" w:lastRowLastColumn="0"/>
              <w:rPr>
                <w:lang w:eastAsia="zh-CN"/>
              </w:rPr>
            </w:pPr>
            <w:r w:rsidRPr="00B56DB6">
              <w:rPr>
                <w:lang w:eastAsia="zh-CN"/>
              </w:rPr>
              <w:t>EPC et sous-traitants</w:t>
            </w:r>
          </w:p>
        </w:tc>
        <w:tc>
          <w:tcPr>
            <w:tcW w:w="0" w:type="auto"/>
            <w:hideMark/>
          </w:tcPr>
          <w:p w14:paraId="26DA227F" w14:textId="2CE231A1" w:rsidR="006D1412" w:rsidRPr="00B56DB6" w:rsidRDefault="006D1412" w:rsidP="006D1412">
            <w:pPr>
              <w:cnfStyle w:val="000000000000" w:firstRow="0" w:lastRow="0" w:firstColumn="0" w:lastColumn="0" w:oddVBand="0" w:evenVBand="0" w:oddHBand="0" w:evenHBand="0" w:firstRowFirstColumn="0" w:firstRowLastColumn="0" w:lastRowFirstColumn="0" w:lastRowLastColumn="0"/>
              <w:rPr>
                <w:lang w:eastAsia="zh-CN"/>
              </w:rPr>
            </w:pPr>
            <w:r w:rsidRPr="00BC1745">
              <w:rPr>
                <w:szCs w:val="20"/>
              </w:rPr>
              <w:t>Bureau de contrôle / Consultant de supervision mandaté par l’ONDA</w:t>
            </w:r>
          </w:p>
        </w:tc>
        <w:tc>
          <w:tcPr>
            <w:tcW w:w="0" w:type="auto"/>
            <w:hideMark/>
          </w:tcPr>
          <w:p w14:paraId="196A2A4C" w14:textId="171FC762" w:rsidR="006D1412" w:rsidRPr="00B56DB6" w:rsidRDefault="006D1412" w:rsidP="006D1412">
            <w:pPr>
              <w:cnfStyle w:val="000000000000" w:firstRow="0" w:lastRow="0" w:firstColumn="0" w:lastColumn="0" w:oddVBand="0" w:evenVBand="0" w:oddHBand="0" w:evenHBand="0" w:firstRowFirstColumn="0" w:firstRowLastColumn="0" w:lastRowFirstColumn="0" w:lastRowLastColumn="0"/>
              <w:rPr>
                <w:lang w:eastAsia="zh-CN"/>
              </w:rPr>
            </w:pPr>
            <w:r w:rsidRPr="00B56DB6">
              <w:rPr>
                <w:lang w:eastAsia="zh-CN"/>
              </w:rPr>
              <w:t xml:space="preserve">ONDA </w:t>
            </w:r>
          </w:p>
        </w:tc>
        <w:tc>
          <w:tcPr>
            <w:tcW w:w="0" w:type="auto"/>
            <w:hideMark/>
          </w:tcPr>
          <w:p w14:paraId="18E55604" w14:textId="77777777" w:rsidR="006D1412" w:rsidRPr="00B56DB6" w:rsidRDefault="006D1412" w:rsidP="006D1412">
            <w:pPr>
              <w:cnfStyle w:val="000000000000" w:firstRow="0" w:lastRow="0" w:firstColumn="0" w:lastColumn="0" w:oddVBand="0" w:evenVBand="0" w:oddHBand="0" w:evenHBand="0" w:firstRowFirstColumn="0" w:firstRowLastColumn="0" w:lastRowFirstColumn="0" w:lastRowLastColumn="0"/>
              <w:rPr>
                <w:lang w:eastAsia="zh-CN"/>
              </w:rPr>
            </w:pPr>
            <w:r w:rsidRPr="00B56DB6">
              <w:rPr>
                <w:lang w:eastAsia="zh-CN"/>
              </w:rPr>
              <w:t>À la fin des travaux</w:t>
            </w:r>
          </w:p>
        </w:tc>
        <w:tc>
          <w:tcPr>
            <w:tcW w:w="0" w:type="auto"/>
            <w:hideMark/>
          </w:tcPr>
          <w:p w14:paraId="312197F8" w14:textId="77777777" w:rsidR="006D1412" w:rsidRPr="00B56DB6" w:rsidRDefault="006D1412" w:rsidP="006D1412">
            <w:pPr>
              <w:cnfStyle w:val="000000000000" w:firstRow="0" w:lastRow="0" w:firstColumn="0" w:lastColumn="0" w:oddVBand="0" w:evenVBand="0" w:oddHBand="0" w:evenHBand="0" w:firstRowFirstColumn="0" w:firstRowLastColumn="0" w:lastRowFirstColumn="0" w:lastRowLastColumn="0"/>
              <w:rPr>
                <w:lang w:eastAsia="zh-CN"/>
              </w:rPr>
            </w:pPr>
            <w:r w:rsidRPr="00B56DB6">
              <w:rPr>
                <w:lang w:eastAsia="zh-CN"/>
              </w:rPr>
              <w:t>Inclus dans le coût du projet</w:t>
            </w:r>
          </w:p>
        </w:tc>
      </w:tr>
      <w:tr w:rsidR="006D1412" w:rsidRPr="00B56DB6" w14:paraId="7416E10A" w14:textId="77777777" w:rsidTr="00B56DB6">
        <w:tc>
          <w:tcPr>
            <w:cnfStyle w:val="001000000000" w:firstRow="0" w:lastRow="0" w:firstColumn="1" w:lastColumn="0" w:oddVBand="0" w:evenVBand="0" w:oddHBand="0" w:evenHBand="0" w:firstRowFirstColumn="0" w:firstRowLastColumn="0" w:lastRowFirstColumn="0" w:lastRowLastColumn="0"/>
            <w:tcW w:w="0" w:type="auto"/>
            <w:hideMark/>
          </w:tcPr>
          <w:p w14:paraId="6E2A50B7" w14:textId="1002CD43" w:rsidR="006D1412" w:rsidRPr="00B56DB6" w:rsidRDefault="006D1412" w:rsidP="006D1412">
            <w:pPr>
              <w:rPr>
                <w:lang w:eastAsia="zh-CN"/>
              </w:rPr>
            </w:pPr>
            <w:r w:rsidRPr="00B56DB6">
              <w:rPr>
                <w:lang w:eastAsia="zh-CN"/>
              </w:rPr>
              <w:t xml:space="preserve">Cadre de vie et perception sociale </w:t>
            </w:r>
          </w:p>
        </w:tc>
        <w:tc>
          <w:tcPr>
            <w:tcW w:w="0" w:type="auto"/>
            <w:hideMark/>
          </w:tcPr>
          <w:p w14:paraId="0DA27433" w14:textId="77777777" w:rsidR="006D1412" w:rsidRDefault="006D1412" w:rsidP="006D1412">
            <w:pPr>
              <w:cnfStyle w:val="000000000000" w:firstRow="0" w:lastRow="0" w:firstColumn="0" w:lastColumn="0" w:oddVBand="0" w:evenVBand="0" w:oddHBand="0" w:evenHBand="0" w:firstRowFirstColumn="0" w:firstRowLastColumn="0" w:lastRowFirstColumn="0" w:lastRowLastColumn="0"/>
              <w:rPr>
                <w:lang w:eastAsia="zh-CN"/>
              </w:rPr>
            </w:pPr>
            <w:r w:rsidRPr="00B56DB6">
              <w:rPr>
                <w:lang w:eastAsia="zh-CN"/>
              </w:rPr>
              <w:t>Informer régulièrement la communauté et les usagers de l’évolution du projet.</w:t>
            </w:r>
          </w:p>
          <w:p w14:paraId="111934A2" w14:textId="77777777" w:rsidR="006D1412" w:rsidRDefault="006D1412" w:rsidP="006D1412">
            <w:pPr>
              <w:cnfStyle w:val="000000000000" w:firstRow="0" w:lastRow="0" w:firstColumn="0" w:lastColumn="0" w:oddVBand="0" w:evenVBand="0" w:oddHBand="0" w:evenHBand="0" w:firstRowFirstColumn="0" w:firstRowLastColumn="0" w:lastRowFirstColumn="0" w:lastRowLastColumn="0"/>
              <w:rPr>
                <w:lang w:eastAsia="zh-CN"/>
              </w:rPr>
            </w:pPr>
            <w:r w:rsidRPr="00B56DB6">
              <w:rPr>
                <w:lang w:eastAsia="zh-CN"/>
              </w:rPr>
              <w:t>Mettre à jour le mécanisme de gestion des plaintes.</w:t>
            </w:r>
          </w:p>
          <w:p w14:paraId="61B1BF27" w14:textId="0156B797" w:rsidR="006D1412" w:rsidRPr="00B56DB6" w:rsidRDefault="006D1412" w:rsidP="006D1412">
            <w:pPr>
              <w:cnfStyle w:val="000000000000" w:firstRow="0" w:lastRow="0" w:firstColumn="0" w:lastColumn="0" w:oddVBand="0" w:evenVBand="0" w:oddHBand="0" w:evenHBand="0" w:firstRowFirstColumn="0" w:firstRowLastColumn="0" w:lastRowFirstColumn="0" w:lastRowLastColumn="0"/>
              <w:rPr>
                <w:lang w:eastAsia="zh-CN"/>
              </w:rPr>
            </w:pPr>
            <w:r w:rsidRPr="00B56DB6">
              <w:rPr>
                <w:lang w:eastAsia="zh-CN"/>
              </w:rPr>
              <w:t>Maintenir la signalisation claire pour les parkings et voies publiques.</w:t>
            </w:r>
          </w:p>
        </w:tc>
        <w:tc>
          <w:tcPr>
            <w:tcW w:w="0" w:type="auto"/>
            <w:hideMark/>
          </w:tcPr>
          <w:p w14:paraId="18B3F04C" w14:textId="77777777" w:rsidR="006D1412" w:rsidRDefault="006D1412" w:rsidP="006D1412">
            <w:pPr>
              <w:cnfStyle w:val="000000000000" w:firstRow="0" w:lastRow="0" w:firstColumn="0" w:lastColumn="0" w:oddVBand="0" w:evenVBand="0" w:oddHBand="0" w:evenHBand="0" w:firstRowFirstColumn="0" w:firstRowLastColumn="0" w:lastRowFirstColumn="0" w:lastRowLastColumn="0"/>
              <w:rPr>
                <w:lang w:eastAsia="zh-CN"/>
              </w:rPr>
            </w:pPr>
            <w:r w:rsidRPr="00B56DB6">
              <w:rPr>
                <w:lang w:eastAsia="zh-CN"/>
              </w:rPr>
              <w:t>Nombre d’informations diffusées / affichées</w:t>
            </w:r>
          </w:p>
          <w:p w14:paraId="7AFF1ED2" w14:textId="6E94797E" w:rsidR="006D1412" w:rsidRPr="00B56DB6" w:rsidRDefault="006D1412" w:rsidP="006D1412">
            <w:pPr>
              <w:cnfStyle w:val="000000000000" w:firstRow="0" w:lastRow="0" w:firstColumn="0" w:lastColumn="0" w:oddVBand="0" w:evenVBand="0" w:oddHBand="0" w:evenHBand="0" w:firstRowFirstColumn="0" w:firstRowLastColumn="0" w:lastRowFirstColumn="0" w:lastRowLastColumn="0"/>
              <w:rPr>
                <w:lang w:eastAsia="zh-CN"/>
              </w:rPr>
            </w:pPr>
            <w:r w:rsidRPr="00B56DB6">
              <w:rPr>
                <w:lang w:eastAsia="zh-CN"/>
              </w:rPr>
              <w:t>Nombre et nature des plaintes reçues- Délai moyen de traitement des plaintes</w:t>
            </w:r>
          </w:p>
        </w:tc>
        <w:tc>
          <w:tcPr>
            <w:tcW w:w="0" w:type="auto"/>
            <w:hideMark/>
          </w:tcPr>
          <w:p w14:paraId="284E4E75" w14:textId="63849E69" w:rsidR="006D1412" w:rsidRPr="00B56DB6" w:rsidRDefault="006D1412" w:rsidP="006D1412">
            <w:pPr>
              <w:cnfStyle w:val="000000000000" w:firstRow="0" w:lastRow="0" w:firstColumn="0" w:lastColumn="0" w:oddVBand="0" w:evenVBand="0" w:oddHBand="0" w:evenHBand="0" w:firstRowFirstColumn="0" w:firstRowLastColumn="0" w:lastRowFirstColumn="0" w:lastRowLastColumn="0"/>
              <w:rPr>
                <w:lang w:eastAsia="zh-CN"/>
              </w:rPr>
            </w:pPr>
            <w:r w:rsidRPr="00B56DB6">
              <w:rPr>
                <w:lang w:eastAsia="zh-CN"/>
              </w:rPr>
              <w:t>EPC et sous-traitants</w:t>
            </w:r>
          </w:p>
        </w:tc>
        <w:tc>
          <w:tcPr>
            <w:tcW w:w="0" w:type="auto"/>
            <w:hideMark/>
          </w:tcPr>
          <w:p w14:paraId="5F24B532" w14:textId="3DC60612" w:rsidR="006D1412" w:rsidRPr="00B56DB6" w:rsidRDefault="006D1412" w:rsidP="006D1412">
            <w:pPr>
              <w:cnfStyle w:val="000000000000" w:firstRow="0" w:lastRow="0" w:firstColumn="0" w:lastColumn="0" w:oddVBand="0" w:evenVBand="0" w:oddHBand="0" w:evenHBand="0" w:firstRowFirstColumn="0" w:firstRowLastColumn="0" w:lastRowFirstColumn="0" w:lastRowLastColumn="0"/>
              <w:rPr>
                <w:lang w:eastAsia="zh-CN"/>
              </w:rPr>
            </w:pPr>
            <w:r w:rsidRPr="00BC1745">
              <w:rPr>
                <w:szCs w:val="20"/>
              </w:rPr>
              <w:t>Bureau de contrôle / Consultant de supervision mandaté par l’ONDA</w:t>
            </w:r>
          </w:p>
        </w:tc>
        <w:tc>
          <w:tcPr>
            <w:tcW w:w="0" w:type="auto"/>
            <w:hideMark/>
          </w:tcPr>
          <w:p w14:paraId="1E481F13" w14:textId="12BEC860" w:rsidR="006D1412" w:rsidRPr="00B56DB6" w:rsidRDefault="006D1412" w:rsidP="006D1412">
            <w:pPr>
              <w:cnfStyle w:val="000000000000" w:firstRow="0" w:lastRow="0" w:firstColumn="0" w:lastColumn="0" w:oddVBand="0" w:evenVBand="0" w:oddHBand="0" w:evenHBand="0" w:firstRowFirstColumn="0" w:firstRowLastColumn="0" w:lastRowFirstColumn="0" w:lastRowLastColumn="0"/>
              <w:rPr>
                <w:lang w:eastAsia="zh-CN"/>
              </w:rPr>
            </w:pPr>
            <w:r w:rsidRPr="00B56DB6">
              <w:rPr>
                <w:lang w:eastAsia="zh-CN"/>
              </w:rPr>
              <w:t xml:space="preserve">ONDA </w:t>
            </w:r>
          </w:p>
        </w:tc>
        <w:tc>
          <w:tcPr>
            <w:tcW w:w="0" w:type="auto"/>
            <w:hideMark/>
          </w:tcPr>
          <w:p w14:paraId="4FDCE28F" w14:textId="77777777" w:rsidR="006D1412" w:rsidRPr="00B56DB6" w:rsidRDefault="006D1412" w:rsidP="006D1412">
            <w:pPr>
              <w:cnfStyle w:val="000000000000" w:firstRow="0" w:lastRow="0" w:firstColumn="0" w:lastColumn="0" w:oddVBand="0" w:evenVBand="0" w:oddHBand="0" w:evenHBand="0" w:firstRowFirstColumn="0" w:firstRowLastColumn="0" w:lastRowFirstColumn="0" w:lastRowLastColumn="0"/>
              <w:rPr>
                <w:lang w:eastAsia="zh-CN"/>
              </w:rPr>
            </w:pPr>
            <w:r w:rsidRPr="00B56DB6">
              <w:rPr>
                <w:lang w:eastAsia="zh-CN"/>
              </w:rPr>
              <w:t>Continu</w:t>
            </w:r>
          </w:p>
        </w:tc>
        <w:tc>
          <w:tcPr>
            <w:tcW w:w="0" w:type="auto"/>
            <w:hideMark/>
          </w:tcPr>
          <w:p w14:paraId="67EC6CCD" w14:textId="77777777" w:rsidR="006D1412" w:rsidRPr="00B56DB6" w:rsidRDefault="006D1412" w:rsidP="006D1412">
            <w:pPr>
              <w:cnfStyle w:val="000000000000" w:firstRow="0" w:lastRow="0" w:firstColumn="0" w:lastColumn="0" w:oddVBand="0" w:evenVBand="0" w:oddHBand="0" w:evenHBand="0" w:firstRowFirstColumn="0" w:firstRowLastColumn="0" w:lastRowFirstColumn="0" w:lastRowLastColumn="0"/>
              <w:rPr>
                <w:lang w:eastAsia="zh-CN"/>
              </w:rPr>
            </w:pPr>
            <w:r w:rsidRPr="00B56DB6">
              <w:rPr>
                <w:lang w:eastAsia="zh-CN"/>
              </w:rPr>
              <w:t>Inclus dans le coût du projet</w:t>
            </w:r>
          </w:p>
        </w:tc>
      </w:tr>
    </w:tbl>
    <w:p w14:paraId="6960F93E" w14:textId="77777777" w:rsidR="00B56DB6" w:rsidRDefault="00B56DB6" w:rsidP="00E872C4">
      <w:pPr>
        <w:rPr>
          <w:lang w:eastAsia="zh-CN"/>
        </w:rPr>
      </w:pPr>
    </w:p>
    <w:p w14:paraId="4E55B24F" w14:textId="77777777" w:rsidR="00D6380B" w:rsidRDefault="00D6380B" w:rsidP="00E872C4">
      <w:pPr>
        <w:rPr>
          <w:lang w:eastAsia="zh-CN"/>
        </w:rPr>
      </w:pPr>
    </w:p>
    <w:p w14:paraId="69D21BE4" w14:textId="77777777" w:rsidR="00B56DB6" w:rsidRDefault="00B56DB6" w:rsidP="00E872C4">
      <w:pPr>
        <w:rPr>
          <w:lang w:eastAsia="zh-CN"/>
        </w:rPr>
        <w:sectPr w:rsidR="00B56DB6" w:rsidSect="00AA22F2">
          <w:pgSz w:w="16838" w:h="11906" w:orient="landscape"/>
          <w:pgMar w:top="1418" w:right="1418" w:bottom="1418" w:left="1276" w:header="680" w:footer="680" w:gutter="0"/>
          <w:cols w:space="708"/>
          <w:docGrid w:linePitch="360"/>
        </w:sectPr>
      </w:pPr>
    </w:p>
    <w:p w14:paraId="336C3547" w14:textId="77777777" w:rsidR="00C75DCA" w:rsidRPr="00C75DCA" w:rsidRDefault="00C75DCA" w:rsidP="004637C7">
      <w:pPr>
        <w:pStyle w:val="Title3"/>
        <w:rPr>
          <w:lang w:eastAsia="zh-CN"/>
        </w:rPr>
      </w:pPr>
      <w:bookmarkStart w:id="512" w:name="_Toc215131899"/>
      <w:r w:rsidRPr="00C75DCA">
        <w:rPr>
          <w:lang w:eastAsia="zh-CN"/>
        </w:rPr>
        <w:lastRenderedPageBreak/>
        <w:t>Évaluation des impacts cumulatifs résiduels</w:t>
      </w:r>
      <w:bookmarkEnd w:id="512"/>
    </w:p>
    <w:p w14:paraId="0E496B0A" w14:textId="77777777" w:rsidR="00C75DCA" w:rsidRDefault="00C75DCA" w:rsidP="00C75DCA">
      <w:pPr>
        <w:rPr>
          <w:lang w:eastAsia="zh-CN"/>
        </w:rPr>
      </w:pPr>
      <w:r w:rsidRPr="00C75DCA">
        <w:rPr>
          <w:lang w:eastAsia="zh-CN"/>
        </w:rPr>
        <w:t>Après mise en œuvre des mesures d’atténuation et de gestion identifiées pour chaque composante, les effets cumulatifs ont été réévalués afin d’apprécier leur importance résiduelle, en intégrant les paramètres de durée, étendue, intensité et réversibilité.</w:t>
      </w:r>
    </w:p>
    <w:p w14:paraId="5944B617" w14:textId="37130BF9" w:rsidR="00C75DCA" w:rsidRPr="00C75DCA" w:rsidRDefault="00C75DCA" w:rsidP="004637C7">
      <w:pPr>
        <w:rPr>
          <w:lang w:eastAsia="zh-CN"/>
        </w:rPr>
      </w:pPr>
      <w:r w:rsidRPr="00C75DCA">
        <w:rPr>
          <w:lang w:eastAsia="zh-CN"/>
        </w:rPr>
        <w:t xml:space="preserve">L’évaluation s’appuie sur le scénario le plus défavorable de concomitance des projets (extension de l’aéroport, trafic </w:t>
      </w:r>
      <w:r w:rsidR="005C180B">
        <w:rPr>
          <w:lang w:eastAsia="zh-CN"/>
        </w:rPr>
        <w:t>RR212</w:t>
      </w:r>
      <w:r w:rsidRPr="00C75DCA">
        <w:rPr>
          <w:lang w:eastAsia="zh-CN"/>
        </w:rPr>
        <w:t>), selon une approche de précaution</w:t>
      </w:r>
      <w:r>
        <w:rPr>
          <w:lang w:eastAsia="zh-CN"/>
        </w:rPr>
        <w:t> :</w:t>
      </w:r>
    </w:p>
    <w:p w14:paraId="3C0A6D44" w14:textId="71844608" w:rsidR="00C75DCA" w:rsidRPr="00C75DCA" w:rsidRDefault="00C75DCA" w:rsidP="0001633E">
      <w:pPr>
        <w:pStyle w:val="AltTitle2"/>
        <w:numPr>
          <w:ilvl w:val="0"/>
          <w:numId w:val="106"/>
        </w:numPr>
      </w:pPr>
      <w:r w:rsidRPr="00C75DCA">
        <w:t>Qualité de l’air</w:t>
      </w:r>
    </w:p>
    <w:p w14:paraId="462EED98" w14:textId="77777777" w:rsidR="00C75DCA" w:rsidRDefault="00C75DCA" w:rsidP="00C75DCA">
      <w:pPr>
        <w:rPr>
          <w:lang w:eastAsia="zh-CN"/>
        </w:rPr>
      </w:pPr>
      <w:r w:rsidRPr="00C75DCA">
        <w:rPr>
          <w:lang w:eastAsia="zh-CN"/>
        </w:rPr>
        <w:t>Les émissions de poussières et de gaz d’échappement seront largement maîtrisées par les mesures de réduction à la source (arrosage, bâchage, plan de circulation). La dispersion naturelle et la courte durée des activités limiteront fortement les effets.</w:t>
      </w:r>
    </w:p>
    <w:p w14:paraId="770EAC88" w14:textId="75F9B866" w:rsidR="00C75DCA" w:rsidRPr="00C75DCA" w:rsidRDefault="00C75DCA" w:rsidP="004637C7">
      <w:pPr>
        <w:rPr>
          <w:lang w:eastAsia="zh-CN"/>
        </w:rPr>
      </w:pPr>
      <w:r>
        <w:rPr>
          <w:lang w:eastAsia="zh-CN"/>
        </w:rPr>
        <w:t>L’i</w:t>
      </w:r>
      <w:r w:rsidRPr="00C75DCA">
        <w:rPr>
          <w:lang w:eastAsia="zh-CN"/>
        </w:rPr>
        <w:t xml:space="preserve">mpact résiduel </w:t>
      </w:r>
      <w:r>
        <w:rPr>
          <w:lang w:eastAsia="zh-CN"/>
        </w:rPr>
        <w:t xml:space="preserve">demeure </w:t>
      </w:r>
      <w:r w:rsidRPr="00C75DCA">
        <w:rPr>
          <w:lang w:eastAsia="zh-CN"/>
        </w:rPr>
        <w:t>négligeable, localisé et temporaire, entièrement réversible à la fin des travaux.</w:t>
      </w:r>
    </w:p>
    <w:p w14:paraId="08FDCDA7" w14:textId="7F7F803C" w:rsidR="00C75DCA" w:rsidRPr="00C75DCA" w:rsidRDefault="00C75DCA" w:rsidP="0001633E">
      <w:pPr>
        <w:pStyle w:val="AltTitle2"/>
        <w:numPr>
          <w:ilvl w:val="0"/>
          <w:numId w:val="106"/>
        </w:numPr>
      </w:pPr>
      <w:r>
        <w:t>Nuisances sonores</w:t>
      </w:r>
    </w:p>
    <w:p w14:paraId="49BCC1D9" w14:textId="77777777" w:rsidR="00C75DCA" w:rsidRDefault="00C75DCA" w:rsidP="00C75DCA">
      <w:pPr>
        <w:rPr>
          <w:lang w:eastAsia="zh-CN"/>
        </w:rPr>
      </w:pPr>
      <w:r w:rsidRPr="00C75DCA">
        <w:rPr>
          <w:lang w:eastAsia="zh-CN"/>
        </w:rPr>
        <w:t>Les niveaux sonores cumulés resteront inférieurs aux seuils IFC de 55 dB(A) le jour pour les récepteurs résidentiels. L’absence d’activités nocturnes élimine tout risque de dépassement.</w:t>
      </w:r>
    </w:p>
    <w:p w14:paraId="0BC7370B" w14:textId="39157AC9" w:rsidR="00C75DCA" w:rsidRPr="00C75DCA" w:rsidRDefault="00C75DCA" w:rsidP="004637C7">
      <w:pPr>
        <w:rPr>
          <w:lang w:eastAsia="zh-CN"/>
        </w:rPr>
      </w:pPr>
      <w:r w:rsidRPr="00C75DCA">
        <w:rPr>
          <w:lang w:eastAsia="zh-CN"/>
        </w:rPr>
        <w:t xml:space="preserve">Impact résiduel </w:t>
      </w:r>
      <w:r>
        <w:rPr>
          <w:lang w:eastAsia="zh-CN"/>
        </w:rPr>
        <w:t>est</w:t>
      </w:r>
      <w:r w:rsidRPr="00C75DCA">
        <w:rPr>
          <w:lang w:eastAsia="zh-CN"/>
        </w:rPr>
        <w:t xml:space="preserve"> </w:t>
      </w:r>
      <w:r>
        <w:rPr>
          <w:lang w:eastAsia="zh-CN"/>
        </w:rPr>
        <w:t>m</w:t>
      </w:r>
      <w:r w:rsidRPr="00C75DCA">
        <w:rPr>
          <w:lang w:eastAsia="zh-CN"/>
        </w:rPr>
        <w:t>ineur, local et de courte durée, sans effet durable sur le confort acoustique.</w:t>
      </w:r>
    </w:p>
    <w:p w14:paraId="74975D63" w14:textId="3B36B9EE" w:rsidR="00C75DCA" w:rsidRPr="00C75DCA" w:rsidRDefault="00C75DCA" w:rsidP="0001633E">
      <w:pPr>
        <w:pStyle w:val="AltTitle2"/>
        <w:numPr>
          <w:ilvl w:val="0"/>
          <w:numId w:val="106"/>
        </w:numPr>
      </w:pPr>
      <w:r>
        <w:t>Utilisation des r</w:t>
      </w:r>
      <w:r w:rsidRPr="00C75DCA">
        <w:t>essources en eau</w:t>
      </w:r>
    </w:p>
    <w:p w14:paraId="2644F58B" w14:textId="77777777" w:rsidR="00C75DCA" w:rsidRDefault="00C75DCA" w:rsidP="00C75DCA">
      <w:pPr>
        <w:rPr>
          <w:lang w:eastAsia="zh-CN"/>
        </w:rPr>
      </w:pPr>
      <w:r w:rsidRPr="00C75DCA">
        <w:rPr>
          <w:lang w:eastAsia="zh-CN"/>
        </w:rPr>
        <w:t>Aucun captage n’étant prévu, et l’approvisionnement en eau étant assuré par des citernes et le réseau aéroportuaire, le projet ne génère pas d’interaction directe avec la nappe ou les eaux superficielles.</w:t>
      </w:r>
    </w:p>
    <w:p w14:paraId="6DE6883D" w14:textId="1DCC606A" w:rsidR="00C75DCA" w:rsidRPr="00C75DCA" w:rsidRDefault="00C75DCA" w:rsidP="004637C7">
      <w:pPr>
        <w:rPr>
          <w:lang w:eastAsia="zh-CN"/>
        </w:rPr>
      </w:pPr>
      <w:r w:rsidRPr="00C75DCA">
        <w:rPr>
          <w:lang w:eastAsia="zh-CN"/>
        </w:rPr>
        <w:t xml:space="preserve">Impact résiduel </w:t>
      </w:r>
      <w:r>
        <w:rPr>
          <w:lang w:eastAsia="zh-CN"/>
        </w:rPr>
        <w:t>est nul</w:t>
      </w:r>
      <w:r w:rsidRPr="00C75DCA">
        <w:rPr>
          <w:lang w:eastAsia="zh-CN"/>
        </w:rPr>
        <w:t>, aucune incidence hydrologique cumulée.</w:t>
      </w:r>
    </w:p>
    <w:p w14:paraId="40056DF1" w14:textId="3524C095" w:rsidR="00C75DCA" w:rsidRPr="00C75DCA" w:rsidRDefault="00C75DCA" w:rsidP="0001633E">
      <w:pPr>
        <w:pStyle w:val="AltTitle2"/>
        <w:numPr>
          <w:ilvl w:val="0"/>
          <w:numId w:val="106"/>
        </w:numPr>
      </w:pPr>
      <w:r w:rsidRPr="00C75DCA">
        <w:t>Circulation et sécurité routière</w:t>
      </w:r>
    </w:p>
    <w:p w14:paraId="717F3F44" w14:textId="189BAD10" w:rsidR="00C75DCA" w:rsidRDefault="00C75DCA" w:rsidP="00C75DCA">
      <w:pPr>
        <w:rPr>
          <w:lang w:eastAsia="zh-CN"/>
        </w:rPr>
      </w:pPr>
      <w:r w:rsidRPr="00C75DCA">
        <w:rPr>
          <w:lang w:eastAsia="zh-CN"/>
        </w:rPr>
        <w:t xml:space="preserve">Les flux temporaires liés aux chantiers seront coordonnés et régulés, ce qui évite toute perturbation significative du trafic sur la </w:t>
      </w:r>
      <w:r w:rsidR="005C180B">
        <w:rPr>
          <w:lang w:eastAsia="zh-CN"/>
        </w:rPr>
        <w:t>RR212</w:t>
      </w:r>
      <w:r w:rsidRPr="00C75DCA">
        <w:rPr>
          <w:lang w:eastAsia="zh-CN"/>
        </w:rPr>
        <w:t>.</w:t>
      </w:r>
    </w:p>
    <w:p w14:paraId="2B57920A" w14:textId="2F56B579" w:rsidR="00C75DCA" w:rsidRPr="00C75DCA" w:rsidRDefault="00C75DCA" w:rsidP="004637C7">
      <w:pPr>
        <w:rPr>
          <w:lang w:eastAsia="zh-CN"/>
        </w:rPr>
      </w:pPr>
      <w:r w:rsidRPr="00C75DCA">
        <w:rPr>
          <w:lang w:eastAsia="zh-CN"/>
        </w:rPr>
        <w:t xml:space="preserve">Impact résiduel </w:t>
      </w:r>
      <w:r>
        <w:rPr>
          <w:lang w:eastAsia="zh-CN"/>
        </w:rPr>
        <w:t>est mineur</w:t>
      </w:r>
      <w:r w:rsidRPr="00C75DCA">
        <w:rPr>
          <w:lang w:eastAsia="zh-CN"/>
        </w:rPr>
        <w:t>, ponctuel et maîtrisé par la signalisation et la coordination des accès.</w:t>
      </w:r>
    </w:p>
    <w:p w14:paraId="598A5B27" w14:textId="586314F8" w:rsidR="00C75DCA" w:rsidRPr="00C75DCA" w:rsidRDefault="00C75DCA" w:rsidP="0001633E">
      <w:pPr>
        <w:pStyle w:val="AltTitle2"/>
        <w:numPr>
          <w:ilvl w:val="0"/>
          <w:numId w:val="106"/>
        </w:numPr>
      </w:pPr>
      <w:r w:rsidRPr="00C75DCA">
        <w:t>Santé et sécurité communautaire</w:t>
      </w:r>
    </w:p>
    <w:p w14:paraId="70BCDF00" w14:textId="77777777" w:rsidR="00C75DCA" w:rsidRDefault="00C75DCA" w:rsidP="00C75DCA">
      <w:pPr>
        <w:rPr>
          <w:lang w:eastAsia="zh-CN"/>
        </w:rPr>
      </w:pPr>
      <w:r w:rsidRPr="00C75DCA">
        <w:rPr>
          <w:lang w:eastAsia="zh-CN"/>
        </w:rPr>
        <w:t>La perception d’insécurité ou de gêne restera limitée, grâce à la communication communautaire, aux dispositifs d’information et à la présence du mécanisme de doléances.</w:t>
      </w:r>
    </w:p>
    <w:p w14:paraId="2BD7D8FC" w14:textId="19FD48ED" w:rsidR="00C75DCA" w:rsidRPr="00C75DCA" w:rsidRDefault="00C75DCA" w:rsidP="004637C7">
      <w:pPr>
        <w:rPr>
          <w:lang w:eastAsia="zh-CN"/>
        </w:rPr>
      </w:pPr>
      <w:r w:rsidRPr="00C75DCA">
        <w:rPr>
          <w:lang w:eastAsia="zh-CN"/>
        </w:rPr>
        <w:t xml:space="preserve">Impact résiduel </w:t>
      </w:r>
      <w:r>
        <w:rPr>
          <w:lang w:eastAsia="zh-CN"/>
        </w:rPr>
        <w:t>est m</w:t>
      </w:r>
      <w:r w:rsidRPr="00C75DCA">
        <w:rPr>
          <w:lang w:eastAsia="zh-CN"/>
        </w:rPr>
        <w:t>ineur, indirect et intégralement réversible.</w:t>
      </w:r>
    </w:p>
    <w:p w14:paraId="12AC1204" w14:textId="6954AB9B" w:rsidR="00C75DCA" w:rsidRPr="00C75DCA" w:rsidRDefault="00C75DCA" w:rsidP="0001633E">
      <w:pPr>
        <w:pStyle w:val="AltTitle2"/>
        <w:numPr>
          <w:ilvl w:val="0"/>
          <w:numId w:val="106"/>
        </w:numPr>
      </w:pPr>
      <w:r w:rsidRPr="00C75DCA">
        <w:t>Biodiversité et milieux naturels</w:t>
      </w:r>
    </w:p>
    <w:p w14:paraId="047AF795" w14:textId="699E2B2C" w:rsidR="00C75DCA" w:rsidRDefault="00C75DCA" w:rsidP="00C75DCA">
      <w:pPr>
        <w:rPr>
          <w:lang w:eastAsia="zh-CN"/>
        </w:rPr>
      </w:pPr>
      <w:r w:rsidRPr="00C75DCA">
        <w:rPr>
          <w:lang w:eastAsia="zh-CN"/>
        </w:rPr>
        <w:t>Les perturbations cumulées sur la faune et la flore sont quasi nulles compte tenu de la nature anthropisée du site.</w:t>
      </w:r>
    </w:p>
    <w:p w14:paraId="6E3BEE74" w14:textId="7E4CF69A" w:rsidR="00C75DCA" w:rsidRPr="00C75DCA" w:rsidRDefault="00C75DCA" w:rsidP="004637C7">
      <w:pPr>
        <w:rPr>
          <w:lang w:eastAsia="zh-CN"/>
        </w:rPr>
      </w:pPr>
      <w:r w:rsidRPr="00C75DCA">
        <w:rPr>
          <w:lang w:eastAsia="zh-CN"/>
        </w:rPr>
        <w:t xml:space="preserve">Impact résiduel </w:t>
      </w:r>
      <w:r>
        <w:rPr>
          <w:lang w:eastAsia="zh-CN"/>
        </w:rPr>
        <w:t>est négligeable</w:t>
      </w:r>
      <w:r w:rsidRPr="00C75DCA">
        <w:rPr>
          <w:lang w:eastAsia="zh-CN"/>
        </w:rPr>
        <w:t>, sans perte d’habitat ni effet durable.</w:t>
      </w:r>
    </w:p>
    <w:p w14:paraId="4C129023" w14:textId="77777777" w:rsidR="00ED0F33" w:rsidRDefault="00ED0F33" w:rsidP="00ED0F33">
      <w:pPr>
        <w:jc w:val="center"/>
        <w:rPr>
          <w:b/>
          <w:bCs/>
          <w:lang w:eastAsia="zh-CN"/>
        </w:rPr>
      </w:pPr>
    </w:p>
    <w:p w14:paraId="138123E9" w14:textId="5E642DC7" w:rsidR="00DE23CF" w:rsidRDefault="00DE23CF" w:rsidP="00DE23CF">
      <w:pPr>
        <w:spacing w:after="0"/>
        <w:jc w:val="center"/>
        <w:rPr>
          <w:b/>
          <w:bCs/>
          <w:lang w:eastAsia="zh-CN"/>
        </w:rPr>
      </w:pPr>
    </w:p>
    <w:p w14:paraId="3C84DA69" w14:textId="1F94334F" w:rsidR="00DE23CF" w:rsidRPr="00ED0F33" w:rsidRDefault="00DE23CF" w:rsidP="00DE23CF">
      <w:pPr>
        <w:spacing w:after="0"/>
        <w:jc w:val="center"/>
        <w:rPr>
          <w:b/>
          <w:bCs/>
          <w:lang w:eastAsia="zh-CN"/>
        </w:rPr>
        <w:sectPr w:rsidR="00DE23CF" w:rsidRPr="00ED0F33" w:rsidSect="004637C7">
          <w:headerReference w:type="default" r:id="rId150"/>
          <w:footerReference w:type="default" r:id="rId151"/>
          <w:pgSz w:w="11906" w:h="16838"/>
          <w:pgMar w:top="1418" w:right="1418" w:bottom="1276" w:left="1418" w:header="567" w:footer="510" w:gutter="0"/>
          <w:cols w:space="708"/>
          <w:docGrid w:linePitch="360"/>
        </w:sectPr>
      </w:pPr>
    </w:p>
    <w:p w14:paraId="12502B53" w14:textId="77777777" w:rsidR="00E872C4" w:rsidRPr="002638FA" w:rsidRDefault="00E872C4" w:rsidP="00E872C4">
      <w:pPr>
        <w:rPr>
          <w:lang w:eastAsia="zh-CN"/>
        </w:rPr>
      </w:pPr>
    </w:p>
    <w:p w14:paraId="080C286B" w14:textId="6F9B6475" w:rsidR="00EC5226" w:rsidRDefault="004348C7" w:rsidP="00AC2854">
      <w:pPr>
        <w:pStyle w:val="Title1"/>
      </w:pPr>
      <w:bookmarkStart w:id="513" w:name="_bookmark228"/>
      <w:bookmarkStart w:id="514" w:name="_bookmark229"/>
      <w:bookmarkEnd w:id="513"/>
      <w:bookmarkEnd w:id="514"/>
      <w:r>
        <w:t xml:space="preserve"> </w:t>
      </w:r>
      <w:bookmarkStart w:id="515" w:name="_Toc215131900"/>
      <w:r w:rsidR="00EC5226">
        <w:t xml:space="preserve">Consultation  des Parties Prenantes </w:t>
      </w:r>
      <w:r w:rsidR="00EC5226" w:rsidRPr="00D14671">
        <w:t xml:space="preserve">et </w:t>
      </w:r>
      <w:r w:rsidR="00EC5226">
        <w:t>M</w:t>
      </w:r>
      <w:r w:rsidR="00EC5226" w:rsidRPr="00D14671">
        <w:t xml:space="preserve">écanisme de </w:t>
      </w:r>
      <w:r w:rsidR="00EC5226">
        <w:t>G</w:t>
      </w:r>
      <w:r w:rsidR="00EC5226" w:rsidRPr="00D14671">
        <w:t xml:space="preserve">estion des </w:t>
      </w:r>
      <w:r w:rsidR="00EC5226">
        <w:t>P</w:t>
      </w:r>
      <w:r w:rsidR="00EC5226" w:rsidRPr="00D14671">
        <w:t>laintes</w:t>
      </w:r>
      <w:bookmarkEnd w:id="515"/>
    </w:p>
    <w:p w14:paraId="55774A0A" w14:textId="77777777" w:rsidR="00EC5226" w:rsidRDefault="00EC5226" w:rsidP="00EC5226">
      <w:r>
        <w:t>La participation des parties prenantes constitue un pilier fondamental de la conformité du projet avec les Sauvegardes Opérationnelles (SO) de la Banque africaine de développement, notamment la SO10 relative à la participation et à la divulgation.</w:t>
      </w:r>
    </w:p>
    <w:p w14:paraId="5C60522C" w14:textId="77777777" w:rsidR="00EC5226" w:rsidRDefault="00EC5226" w:rsidP="00EC5226">
      <w:r>
        <w:t>L’Office National des Aéroports (ONDA) s’engage à assurer un dialogue continu, inclusif et transparent avec l’ensemble des acteurs concernés, de la conception à l’exploitation du projet, afin de garantir une compréhension commune des enjeux et d’améliorer l’acceptabilité sociale des activités prévues.</w:t>
      </w:r>
    </w:p>
    <w:p w14:paraId="763D5B71" w14:textId="77777777" w:rsidR="00EC5226" w:rsidRDefault="00EC5226" w:rsidP="00EC5226">
      <w:r>
        <w:t>Cette démarche repose sur les principes suivants :</w:t>
      </w:r>
    </w:p>
    <w:p w14:paraId="2AE9E8C0" w14:textId="77777777" w:rsidR="00EC5226" w:rsidRDefault="00EC5226" w:rsidP="0001633E">
      <w:pPr>
        <w:pStyle w:val="Paragraphedeliste"/>
        <w:numPr>
          <w:ilvl w:val="0"/>
          <w:numId w:val="128"/>
        </w:numPr>
      </w:pPr>
      <w:r>
        <w:t>Inclusion et équité : toutes les parties concernées, y compris les groupes vulnérables (femmes, jeunes, personnes âgées, handicapées, ménages à faibles revenus), doivent pouvoir s’exprimer et être entendues ;</w:t>
      </w:r>
    </w:p>
    <w:p w14:paraId="6A92DA66" w14:textId="77777777" w:rsidR="00EC5226" w:rsidRDefault="00EC5226" w:rsidP="0001633E">
      <w:pPr>
        <w:pStyle w:val="Paragraphedeliste"/>
        <w:numPr>
          <w:ilvl w:val="0"/>
          <w:numId w:val="128"/>
        </w:numPr>
      </w:pPr>
      <w:r>
        <w:t>Transparence et accessibilité : les informations relatives au projet seront communiquées de manière claire, régulière et adaptée au niveau de compréhension des publics ciblés ;</w:t>
      </w:r>
    </w:p>
    <w:p w14:paraId="1ED1744A" w14:textId="77777777" w:rsidR="00EC5226" w:rsidRDefault="00EC5226" w:rsidP="0001633E">
      <w:pPr>
        <w:pStyle w:val="Paragraphedeliste"/>
        <w:numPr>
          <w:ilvl w:val="0"/>
          <w:numId w:val="128"/>
        </w:numPr>
      </w:pPr>
      <w:r>
        <w:t>Dialogue constructif : le processus de participation vise la recherche de solutions partagées et l’intégration des remarques dans la planification environnementale et sociale ;</w:t>
      </w:r>
    </w:p>
    <w:p w14:paraId="646710AC" w14:textId="77777777" w:rsidR="00EC5226" w:rsidRDefault="00EC5226" w:rsidP="0001633E">
      <w:pPr>
        <w:pStyle w:val="Paragraphedeliste"/>
        <w:numPr>
          <w:ilvl w:val="0"/>
          <w:numId w:val="128"/>
        </w:numPr>
      </w:pPr>
      <w:r>
        <w:t>Responsabilité et traçabilité : chaque consultation fera l’objet d’un compte rendu et d’une réponse documentée afin d’assurer un suivi institutionnel et communautaire ;</w:t>
      </w:r>
    </w:p>
    <w:p w14:paraId="60F795DC" w14:textId="77777777" w:rsidR="00EC5226" w:rsidRDefault="00EC5226" w:rsidP="0001633E">
      <w:pPr>
        <w:pStyle w:val="Paragraphedeliste"/>
        <w:numPr>
          <w:ilvl w:val="0"/>
          <w:numId w:val="128"/>
        </w:numPr>
      </w:pPr>
      <w:r>
        <w:t>Réactivité : les préoccupations soulevées seront traitées dans des délais précis, favorisant la confiance et la coopération entre l’ONDA et les parties prenantes.</w:t>
      </w:r>
    </w:p>
    <w:p w14:paraId="153D1109" w14:textId="77777777" w:rsidR="00EC5226" w:rsidRDefault="00EC5226" w:rsidP="00AC2854">
      <w:pPr>
        <w:pStyle w:val="Title2"/>
        <w:rPr>
          <w:rFonts w:ascii="Times New Roman" w:hAnsi="Times New Roman"/>
          <w:lang w:bidi="ar-SA"/>
        </w:rPr>
      </w:pPr>
      <w:bookmarkStart w:id="516" w:name="_Toc215131901"/>
      <w:r>
        <w:rPr>
          <w:rStyle w:val="lev"/>
          <w:bCs w:val="0"/>
        </w:rPr>
        <w:t>Parties prenantes et modalités d’engagement</w:t>
      </w:r>
      <w:bookmarkEnd w:id="516"/>
    </w:p>
    <w:p w14:paraId="62C34043" w14:textId="77777777" w:rsidR="00EC5226" w:rsidRDefault="00EC5226" w:rsidP="00EC5226">
      <w:r>
        <w:t>Les parties prenantes identifiées dans le Plan de Participation (P3P) sont réparties en trois catégories principales :</w:t>
      </w:r>
    </w:p>
    <w:p w14:paraId="77853ACE" w14:textId="77777777" w:rsidR="00EC5226" w:rsidRDefault="00EC5226" w:rsidP="0001633E">
      <w:pPr>
        <w:pStyle w:val="Paragraphedeliste"/>
        <w:numPr>
          <w:ilvl w:val="0"/>
          <w:numId w:val="128"/>
        </w:numPr>
      </w:pPr>
      <w:r>
        <w:t>Les parties prenantes affectées, comprenant les riverains, les travailleurs du chantier, les usagers et exploitants de l’aéroport ainsi que les communes limitrophes ;</w:t>
      </w:r>
    </w:p>
    <w:p w14:paraId="4D2DE353" w14:textId="77777777" w:rsidR="00EC5226" w:rsidRDefault="00EC5226" w:rsidP="0001633E">
      <w:pPr>
        <w:pStyle w:val="Paragraphedeliste"/>
        <w:numPr>
          <w:ilvl w:val="0"/>
          <w:numId w:val="128"/>
        </w:numPr>
      </w:pPr>
      <w:r>
        <w:t>Les parties prenantes intéressées, incluant la Direction Régionale de l’Environnement, la Direction Régionale de l’Équipement et de l’Eau, l’Agence Nationale des Eaux et Forêts (ANEF), et la commune territoriale ;</w:t>
      </w:r>
    </w:p>
    <w:p w14:paraId="7476D5F8" w14:textId="77777777" w:rsidR="00EC5226" w:rsidRDefault="00EC5226" w:rsidP="0001633E">
      <w:pPr>
        <w:pStyle w:val="Paragraphedeliste"/>
        <w:numPr>
          <w:ilvl w:val="0"/>
          <w:numId w:val="128"/>
        </w:numPr>
      </w:pPr>
      <w:r>
        <w:t>Les groupes vulnérables, notamment les femmes, les jeunes, les personnes âgées et handicapées, identifiés comme nécessitant une attention et des moyens spécifiques pour leur participation.</w:t>
      </w:r>
    </w:p>
    <w:p w14:paraId="0DFB7DBD" w14:textId="77777777" w:rsidR="00EC5226" w:rsidRDefault="00EC5226" w:rsidP="00EC5226">
      <w:r>
        <w:t>L’ONDA maintiendra plusieurs canaux d’échange et d’information : réunions publiques, ateliers de concertation, affichage dans les zones de travaux, diffusion d’informations via les médias locaux, site web de l’ONDA et ligne téléphonique dédiée. Un point focal social sera désigné sur site pour recevoir les doléances et orienter les plaignants. Ces dispositifs seront complétés par des actions de communication ciblées, notamment sur la santé, la sécurité, la gestion des déchets et la prévention des violences basées sur le genre.</w:t>
      </w:r>
    </w:p>
    <w:p w14:paraId="04136BD8" w14:textId="77777777" w:rsidR="00EC5226" w:rsidRDefault="00EC5226" w:rsidP="00AC2854">
      <w:pPr>
        <w:pStyle w:val="Title2"/>
        <w:rPr>
          <w:rStyle w:val="lev"/>
          <w:rFonts w:ascii="Calibri" w:hAnsi="Calibri" w:cs="Arial"/>
          <w:b w:val="0"/>
          <w:bCs w:val="0"/>
          <w:szCs w:val="22"/>
        </w:rPr>
      </w:pPr>
      <w:bookmarkStart w:id="517" w:name="_Toc215131902"/>
      <w:r w:rsidRPr="00D60FC9">
        <w:rPr>
          <w:rStyle w:val="lev"/>
          <w:bCs w:val="0"/>
        </w:rPr>
        <w:lastRenderedPageBreak/>
        <w:t>Préoccupations exprimées par les parties prenantes</w:t>
      </w:r>
      <w:bookmarkEnd w:id="517"/>
    </w:p>
    <w:p w14:paraId="781CE913" w14:textId="77777777" w:rsidR="00EC5226" w:rsidRPr="00D60FC9" w:rsidRDefault="00EC5226" w:rsidP="00EC5226">
      <w:r w:rsidRPr="00D60FC9">
        <w:t>Les consultations menées dans le cadre du P</w:t>
      </w:r>
      <w:r>
        <w:t>PP</w:t>
      </w:r>
      <w:r w:rsidRPr="00D60FC9">
        <w:t xml:space="preserve">P ont permis d’identifier </w:t>
      </w:r>
      <w:r>
        <w:t>les</w:t>
      </w:r>
      <w:r w:rsidRPr="00D60FC9">
        <w:t xml:space="preserve"> préoccupations majeures parmi les administrations et institutions concernées, notamment :</w:t>
      </w:r>
    </w:p>
    <w:p w14:paraId="0826732B" w14:textId="77777777" w:rsidR="00EC5226" w:rsidRPr="00D60FC9" w:rsidRDefault="00EC5226" w:rsidP="0001633E">
      <w:pPr>
        <w:pStyle w:val="Paragraphedeliste"/>
        <w:numPr>
          <w:ilvl w:val="0"/>
          <w:numId w:val="177"/>
        </w:numPr>
      </w:pPr>
      <w:r w:rsidRPr="00D60FC9">
        <w:t xml:space="preserve">La préservation de la biodiversité et de l’avifaune, en particulier les espèces migratrices observées dans la région. </w:t>
      </w:r>
    </w:p>
    <w:p w14:paraId="461CF670" w14:textId="77777777" w:rsidR="00EC5226" w:rsidRPr="00D60FC9" w:rsidRDefault="00EC5226" w:rsidP="0001633E">
      <w:pPr>
        <w:pStyle w:val="Paragraphedeliste"/>
        <w:numPr>
          <w:ilvl w:val="0"/>
          <w:numId w:val="177"/>
        </w:numPr>
      </w:pPr>
      <w:r w:rsidRPr="00D60FC9">
        <w:t xml:space="preserve">La gestion des accès et de la circulation, </w:t>
      </w:r>
      <w:r>
        <w:t>en</w:t>
      </w:r>
      <w:r w:rsidRPr="00D60FC9">
        <w:t xml:space="preserve"> recommand</w:t>
      </w:r>
      <w:r>
        <w:t>ant</w:t>
      </w:r>
      <w:r w:rsidRPr="00D60FC9">
        <w:t xml:space="preserve"> la mise en œuvre de plans de circulation temporaires, de signalisation adaptée et de mesures de sécurité routière pendant le transport des matériaux.</w:t>
      </w:r>
    </w:p>
    <w:p w14:paraId="6026FAE8" w14:textId="77777777" w:rsidR="00EC5226" w:rsidRPr="00D60FC9" w:rsidRDefault="00EC5226" w:rsidP="0001633E">
      <w:pPr>
        <w:pStyle w:val="Paragraphedeliste"/>
        <w:numPr>
          <w:ilvl w:val="0"/>
          <w:numId w:val="177"/>
        </w:numPr>
      </w:pPr>
      <w:r w:rsidRPr="00D60FC9">
        <w:t>L’empreinte carbone et l’efficacité énergétique, avec un encouragement à privilégier l’usage d’équipements à haut rendement et à recourir aux énergies renouvelables pour certaines installations du site.</w:t>
      </w:r>
    </w:p>
    <w:p w14:paraId="5274766A" w14:textId="77777777" w:rsidR="00EC5226" w:rsidRPr="00D60FC9" w:rsidRDefault="00EC5226" w:rsidP="0001633E">
      <w:pPr>
        <w:pStyle w:val="Paragraphedeliste"/>
        <w:numPr>
          <w:ilvl w:val="0"/>
          <w:numId w:val="177"/>
        </w:numPr>
      </w:pPr>
      <w:r w:rsidRPr="00D60FC9">
        <w:t>La pollution du sol et de l’air, pour laquelle il a été demandé de renforcer la surveillance des émissions de poussières et de fumées d’échappement, et d’assurer la maîtrise des déversements accidentels.</w:t>
      </w:r>
    </w:p>
    <w:p w14:paraId="58EF9C12" w14:textId="77777777" w:rsidR="00EC5226" w:rsidRPr="00D60FC9" w:rsidRDefault="00EC5226" w:rsidP="0001633E">
      <w:pPr>
        <w:pStyle w:val="Paragraphedeliste"/>
        <w:numPr>
          <w:ilvl w:val="0"/>
          <w:numId w:val="177"/>
        </w:numPr>
      </w:pPr>
      <w:r w:rsidRPr="00D60FC9">
        <w:t>La gestion des dépôts et des zones de stockage, en insistant sur la nécessité de choisir des sites temporaires adaptés, de limiter les emprises et de prévoir une remise en état complète après travaux.</w:t>
      </w:r>
    </w:p>
    <w:p w14:paraId="7B433707" w14:textId="77777777" w:rsidR="00EC5226" w:rsidRPr="00D60FC9" w:rsidRDefault="00EC5226" w:rsidP="0001633E">
      <w:pPr>
        <w:pStyle w:val="Paragraphedeliste"/>
        <w:numPr>
          <w:ilvl w:val="0"/>
          <w:numId w:val="177"/>
        </w:numPr>
      </w:pPr>
      <w:r w:rsidRPr="00D60FC9">
        <w:t>La consommation d’eau, à rationaliser, notamment par l’utilisation d’eaux non conventionnelles pour le nettoyage et l’arrosage.</w:t>
      </w:r>
    </w:p>
    <w:p w14:paraId="5CA2F53D" w14:textId="77777777" w:rsidR="00EC5226" w:rsidRPr="00D60FC9" w:rsidRDefault="00EC5226" w:rsidP="0001633E">
      <w:pPr>
        <w:pStyle w:val="Paragraphedeliste"/>
        <w:numPr>
          <w:ilvl w:val="0"/>
          <w:numId w:val="177"/>
        </w:numPr>
      </w:pPr>
      <w:r w:rsidRPr="00D60FC9">
        <w:t>La gestion des déchets d’emballage et le recyclage, avec une demande d’organisation du tri sélectif et de contractualisation avec des opérateurs agréés pour la valorisation des matériaux.</w:t>
      </w:r>
    </w:p>
    <w:p w14:paraId="72A6FC00" w14:textId="77777777" w:rsidR="00EC5226" w:rsidRDefault="00EC5226" w:rsidP="00EC5226">
      <w:r w:rsidRPr="00D60FC9">
        <w:t xml:space="preserve">Ces préoccupations ont été prises en compte dans la conception des mesures d’atténuation </w:t>
      </w:r>
      <w:r>
        <w:t>de l’EIES et du PGES</w:t>
      </w:r>
      <w:r w:rsidRPr="00D60FC9">
        <w:t xml:space="preserve"> et seront réévaluées régulièrement à travers le dispositif de suivi participatif</w:t>
      </w:r>
      <w:r>
        <w:t xml:space="preserve"> et sont détaillées au niveau du document PPPP</w:t>
      </w:r>
      <w:r w:rsidRPr="00D60FC9">
        <w:t>.</w:t>
      </w:r>
    </w:p>
    <w:p w14:paraId="0B1E79D9" w14:textId="77777777" w:rsidR="00EC5226" w:rsidRDefault="00EC5226" w:rsidP="00AC2854">
      <w:pPr>
        <w:pStyle w:val="Title2"/>
      </w:pPr>
      <w:bookmarkStart w:id="518" w:name="_Toc215131903"/>
      <w:r w:rsidRPr="00F01025">
        <w:t>Dispositif de communication et de sensibilisation</w:t>
      </w:r>
      <w:bookmarkEnd w:id="518"/>
    </w:p>
    <w:p w14:paraId="2B353866" w14:textId="77777777" w:rsidR="00EC5226" w:rsidRDefault="00EC5226" w:rsidP="00EC5226">
      <w:r>
        <w:t>La communication environnementale et sociale constitue un moyen garantissant la compréhension du projet, prévenir les malentendus et favoriser une participation effective des parties prenantes.</w:t>
      </w:r>
    </w:p>
    <w:p w14:paraId="33C16E3B" w14:textId="77777777" w:rsidR="00EC5226" w:rsidRDefault="00EC5226" w:rsidP="00EC5226">
      <w:r>
        <w:t>Le dispositif de communication et de sensibilisation mis en place dans le cadre du présent PGES vise à assurer la diffusion continue, transparente et accessible de l’information, tout en renforçant la culture HSE et la conscience environnementale et sociale des différents acteurs impliqués, qu’il s’agisse des travailleurs, des autorités locales, des riverains ou des usagers de la plateforme aéroportuaire.</w:t>
      </w:r>
    </w:p>
    <w:p w14:paraId="1EAEAAB9" w14:textId="77777777" w:rsidR="00EC5226" w:rsidRPr="000C137E" w:rsidRDefault="00EC5226" w:rsidP="00AC2854">
      <w:pPr>
        <w:pStyle w:val="Title3"/>
      </w:pPr>
      <w:bookmarkStart w:id="519" w:name="_Toc215131904"/>
      <w:r w:rsidRPr="000C137E">
        <w:t>Objectifs du dispositif</w:t>
      </w:r>
      <w:bookmarkEnd w:id="519"/>
    </w:p>
    <w:p w14:paraId="2DD83427" w14:textId="77777777" w:rsidR="00EC5226" w:rsidRPr="000C137E" w:rsidRDefault="00EC5226" w:rsidP="00EC5226">
      <w:r w:rsidRPr="000C137E">
        <w:t>Le dispositif de communication poursuit les objectifs suivants :</w:t>
      </w:r>
    </w:p>
    <w:p w14:paraId="5A5597CE" w14:textId="77777777" w:rsidR="00EC5226" w:rsidRPr="000C137E" w:rsidRDefault="00EC5226" w:rsidP="0001633E">
      <w:pPr>
        <w:numPr>
          <w:ilvl w:val="0"/>
          <w:numId w:val="180"/>
        </w:numPr>
      </w:pPr>
      <w:r w:rsidRPr="00D60FC9">
        <w:t>Informer</w:t>
      </w:r>
      <w:r w:rsidRPr="000C137E">
        <w:t xml:space="preserve"> de manière régulière les parties prenantes sur l’état d’avancement du projet, ses impacts potentiels et les mesures d’atténuation prévues ;</w:t>
      </w:r>
    </w:p>
    <w:p w14:paraId="20AD994C" w14:textId="77777777" w:rsidR="00EC5226" w:rsidRPr="000C137E" w:rsidRDefault="00EC5226" w:rsidP="0001633E">
      <w:pPr>
        <w:numPr>
          <w:ilvl w:val="0"/>
          <w:numId w:val="180"/>
        </w:numPr>
      </w:pPr>
      <w:r w:rsidRPr="00D60FC9">
        <w:t>Sensibiliser</w:t>
      </w:r>
      <w:r w:rsidRPr="000C137E">
        <w:t xml:space="preserve"> les travailleurs, sous-traitants et communautés riveraines aux enjeux de santé, sécurité, environnement et conditions de vie ;</w:t>
      </w:r>
    </w:p>
    <w:p w14:paraId="3EDEBBD2" w14:textId="77777777" w:rsidR="00EC5226" w:rsidRPr="000C137E" w:rsidRDefault="00EC5226" w:rsidP="0001633E">
      <w:pPr>
        <w:numPr>
          <w:ilvl w:val="0"/>
          <w:numId w:val="180"/>
        </w:numPr>
      </w:pPr>
      <w:r w:rsidRPr="00D60FC9">
        <w:t>Encourager</w:t>
      </w:r>
      <w:r w:rsidRPr="000C137E">
        <w:t xml:space="preserve"> le dialogue permanent et le retour d’information (feedback) afin de renforcer la confiance et la coopération entre l’ONDA, les autorités et les populations locales ;</w:t>
      </w:r>
    </w:p>
    <w:p w14:paraId="01D83E82" w14:textId="77777777" w:rsidR="00EC5226" w:rsidRPr="000C137E" w:rsidRDefault="00EC5226" w:rsidP="0001633E">
      <w:pPr>
        <w:numPr>
          <w:ilvl w:val="0"/>
          <w:numId w:val="180"/>
        </w:numPr>
      </w:pPr>
      <w:r w:rsidRPr="00D60FC9">
        <w:lastRenderedPageBreak/>
        <w:t>Garantir</w:t>
      </w:r>
      <w:r w:rsidRPr="000C137E">
        <w:t xml:space="preserve"> la transparence dans la gestion des plaintes et doléances à travers la vulgarisation du Mécanisme de Gestion des Plaintes (MGP) ;</w:t>
      </w:r>
    </w:p>
    <w:p w14:paraId="5FE2C52F" w14:textId="77777777" w:rsidR="00EC5226" w:rsidRPr="000C137E" w:rsidRDefault="00EC5226" w:rsidP="0001633E">
      <w:pPr>
        <w:numPr>
          <w:ilvl w:val="0"/>
          <w:numId w:val="180"/>
        </w:numPr>
      </w:pPr>
      <w:r w:rsidRPr="00D60FC9">
        <w:t>Promouvoir</w:t>
      </w:r>
      <w:r w:rsidRPr="000C137E">
        <w:t xml:space="preserve"> les bonnes pratiques environnementales, sociales et comportementales, notamment la prévention des risques, la gestion des déchets, la sobriété énergétique et la prévention des violences basées sur le genre (VBG).</w:t>
      </w:r>
    </w:p>
    <w:p w14:paraId="19B3929E" w14:textId="77777777" w:rsidR="00EC5226" w:rsidRPr="000C137E" w:rsidRDefault="00EC5226" w:rsidP="00AC2854">
      <w:pPr>
        <w:pStyle w:val="Title3"/>
      </w:pPr>
      <w:bookmarkStart w:id="520" w:name="_Toc215131905"/>
      <w:r w:rsidRPr="000C137E">
        <w:t>Publics cibles</w:t>
      </w:r>
      <w:bookmarkEnd w:id="520"/>
    </w:p>
    <w:p w14:paraId="190C6927" w14:textId="77777777" w:rsidR="00EC5226" w:rsidRPr="000C137E" w:rsidRDefault="00EC5226" w:rsidP="00EC5226">
      <w:r w:rsidRPr="000C137E">
        <w:t>Le dispositif s’adresse à plusieurs catégories de publics :</w:t>
      </w:r>
    </w:p>
    <w:p w14:paraId="0C2AC806" w14:textId="77777777" w:rsidR="00EC5226" w:rsidRPr="000C137E" w:rsidRDefault="00EC5226" w:rsidP="0001633E">
      <w:pPr>
        <w:numPr>
          <w:ilvl w:val="0"/>
          <w:numId w:val="181"/>
        </w:numPr>
      </w:pPr>
      <w:r w:rsidRPr="000C137E">
        <w:t xml:space="preserve">Les </w:t>
      </w:r>
      <w:r w:rsidRPr="00D60FC9">
        <w:t>travailleurs</w:t>
      </w:r>
      <w:r w:rsidRPr="000C137E">
        <w:t xml:space="preserve"> de l’entreprise et des sous-traitants, exposés directement aux risques opérationnels ;</w:t>
      </w:r>
    </w:p>
    <w:p w14:paraId="60485343" w14:textId="77777777" w:rsidR="00EC5226" w:rsidRPr="000C137E" w:rsidRDefault="00EC5226" w:rsidP="0001633E">
      <w:pPr>
        <w:numPr>
          <w:ilvl w:val="0"/>
          <w:numId w:val="181"/>
        </w:numPr>
      </w:pPr>
      <w:r w:rsidRPr="000C137E">
        <w:t xml:space="preserve">Les </w:t>
      </w:r>
      <w:r w:rsidRPr="00D60FC9">
        <w:t>communautés riveraines</w:t>
      </w:r>
      <w:r w:rsidRPr="000C137E">
        <w:t xml:space="preserve"> et les représentants locaux (communes, caïdats, associations) ;</w:t>
      </w:r>
    </w:p>
    <w:p w14:paraId="51AF1D50" w14:textId="77777777" w:rsidR="00EC5226" w:rsidRPr="000C137E" w:rsidRDefault="00EC5226" w:rsidP="0001633E">
      <w:pPr>
        <w:numPr>
          <w:ilvl w:val="0"/>
          <w:numId w:val="181"/>
        </w:numPr>
      </w:pPr>
      <w:r w:rsidRPr="000C137E">
        <w:t xml:space="preserve">Les </w:t>
      </w:r>
      <w:r w:rsidRPr="00D60FC9">
        <w:t>autorités administratives</w:t>
      </w:r>
      <w:r w:rsidRPr="000C137E">
        <w:t xml:space="preserve"> et les services déconcentrés (Environnement, Équipement, ANEF, Santé, etc.) ;</w:t>
      </w:r>
    </w:p>
    <w:p w14:paraId="46045616" w14:textId="77777777" w:rsidR="00EC5226" w:rsidRPr="000C137E" w:rsidRDefault="00EC5226" w:rsidP="0001633E">
      <w:pPr>
        <w:numPr>
          <w:ilvl w:val="0"/>
          <w:numId w:val="181"/>
        </w:numPr>
      </w:pPr>
      <w:r w:rsidRPr="000C137E">
        <w:t xml:space="preserve">Les </w:t>
      </w:r>
      <w:r w:rsidRPr="00D60FC9">
        <w:t>usagers et visiteurs</w:t>
      </w:r>
      <w:r w:rsidRPr="000C137E">
        <w:t xml:space="preserve"> de la plateforme aéroportuaire ;</w:t>
      </w:r>
    </w:p>
    <w:p w14:paraId="2F676388" w14:textId="77777777" w:rsidR="00EC5226" w:rsidRPr="000C137E" w:rsidRDefault="00EC5226" w:rsidP="0001633E">
      <w:pPr>
        <w:numPr>
          <w:ilvl w:val="0"/>
          <w:numId w:val="181"/>
        </w:numPr>
      </w:pPr>
      <w:r w:rsidRPr="000C137E">
        <w:t xml:space="preserve">Les </w:t>
      </w:r>
      <w:r w:rsidRPr="00D60FC9">
        <w:t>médias locaux</w:t>
      </w:r>
      <w:r w:rsidRPr="000C137E">
        <w:t xml:space="preserve"> et relais d’information régionaux.</w:t>
      </w:r>
    </w:p>
    <w:p w14:paraId="2C623492" w14:textId="77777777" w:rsidR="00EC5226" w:rsidRPr="000C137E" w:rsidRDefault="00EC5226" w:rsidP="00AC2854">
      <w:pPr>
        <w:pStyle w:val="Title3"/>
      </w:pPr>
      <w:bookmarkStart w:id="521" w:name="_Toc215131906"/>
      <w:r w:rsidRPr="000C137E">
        <w:t>Outils et supports de communication</w:t>
      </w:r>
      <w:bookmarkEnd w:id="521"/>
    </w:p>
    <w:p w14:paraId="4E87888D" w14:textId="77777777" w:rsidR="00EC5226" w:rsidRPr="000C137E" w:rsidRDefault="00EC5226" w:rsidP="00EC5226">
      <w:r w:rsidRPr="000C137E">
        <w:t xml:space="preserve">La communication sera déployée selon des </w:t>
      </w:r>
      <w:r w:rsidRPr="00D60FC9">
        <w:t>moyens variés et adaptés aux cibles concernées</w:t>
      </w:r>
      <w:r w:rsidRPr="000C137E">
        <w:t>, combinant des outils écrits, visuels et interactifs :</w:t>
      </w:r>
    </w:p>
    <w:p w14:paraId="408E55F3" w14:textId="77777777" w:rsidR="00EC5226" w:rsidRPr="000C137E" w:rsidRDefault="00EC5226" w:rsidP="0001633E">
      <w:pPr>
        <w:numPr>
          <w:ilvl w:val="0"/>
          <w:numId w:val="182"/>
        </w:numPr>
      </w:pPr>
      <w:r w:rsidRPr="00D60FC9">
        <w:t>Affichage et signalétique</w:t>
      </w:r>
      <w:r w:rsidRPr="000C137E">
        <w:t xml:space="preserve"> :</w:t>
      </w:r>
    </w:p>
    <w:p w14:paraId="2F84251E" w14:textId="77777777" w:rsidR="00EC5226" w:rsidRPr="000C137E" w:rsidRDefault="00EC5226" w:rsidP="0001633E">
      <w:pPr>
        <w:numPr>
          <w:ilvl w:val="1"/>
          <w:numId w:val="182"/>
        </w:numPr>
      </w:pPr>
      <w:r w:rsidRPr="000C137E">
        <w:t>Panneaux d’information installés aux entrées du site, à la commune et dans les zones fréquentées par le public, décrivant les objectifs du projet, les mesures environnementales et le dispositif de doléances ;</w:t>
      </w:r>
    </w:p>
    <w:p w14:paraId="7B90C191" w14:textId="77777777" w:rsidR="00EC5226" w:rsidRPr="000C137E" w:rsidRDefault="00EC5226" w:rsidP="0001633E">
      <w:pPr>
        <w:numPr>
          <w:ilvl w:val="1"/>
          <w:numId w:val="182"/>
        </w:numPr>
      </w:pPr>
      <w:r w:rsidRPr="000C137E">
        <w:t>Affiches illustrées multilingues (arabe et français) présentant les consignes HSE, les règles de circulation et les canaux de dépôt de plainte.</w:t>
      </w:r>
    </w:p>
    <w:p w14:paraId="7B5ED76D" w14:textId="77777777" w:rsidR="00EC5226" w:rsidRPr="000C137E" w:rsidRDefault="00EC5226" w:rsidP="0001633E">
      <w:pPr>
        <w:numPr>
          <w:ilvl w:val="0"/>
          <w:numId w:val="182"/>
        </w:numPr>
      </w:pPr>
      <w:r w:rsidRPr="00D60FC9">
        <w:t>Réunions d’information et de concertation</w:t>
      </w:r>
      <w:r w:rsidRPr="000C137E">
        <w:t xml:space="preserve"> :</w:t>
      </w:r>
    </w:p>
    <w:p w14:paraId="007B6544" w14:textId="77777777" w:rsidR="00EC5226" w:rsidRPr="000C137E" w:rsidRDefault="00EC5226" w:rsidP="0001633E">
      <w:pPr>
        <w:numPr>
          <w:ilvl w:val="1"/>
          <w:numId w:val="182"/>
        </w:numPr>
      </w:pPr>
      <w:r w:rsidRPr="000C137E">
        <w:t xml:space="preserve">Sessions trimestrielles d’information communautaire organisées par le </w:t>
      </w:r>
      <w:r w:rsidRPr="00D60FC9">
        <w:t>Community Liaison Officer (CLO)</w:t>
      </w:r>
      <w:r w:rsidRPr="000C137E">
        <w:t xml:space="preserve">, en présence du </w:t>
      </w:r>
      <w:r w:rsidRPr="00D60FC9">
        <w:t>Point Focal HSSE</w:t>
      </w:r>
      <w:r w:rsidRPr="000C137E">
        <w:t>, pour partager les avancées du projet, les résultats de suivi environnemental et les réponses apportées aux doléances ;</w:t>
      </w:r>
    </w:p>
    <w:p w14:paraId="18E88E23" w14:textId="77777777" w:rsidR="00EC5226" w:rsidRPr="000C137E" w:rsidRDefault="00EC5226" w:rsidP="0001633E">
      <w:pPr>
        <w:numPr>
          <w:ilvl w:val="1"/>
          <w:numId w:val="182"/>
        </w:numPr>
      </w:pPr>
      <w:r w:rsidRPr="000C137E">
        <w:t>Réunions spécifiques à la demande des autorités ou associations locales en cas d’incident ou d’événement particulier.</w:t>
      </w:r>
    </w:p>
    <w:p w14:paraId="2CA1A38B" w14:textId="77777777" w:rsidR="00EC5226" w:rsidRPr="000C137E" w:rsidRDefault="00EC5226" w:rsidP="0001633E">
      <w:pPr>
        <w:numPr>
          <w:ilvl w:val="0"/>
          <w:numId w:val="182"/>
        </w:numPr>
      </w:pPr>
      <w:r w:rsidRPr="00D60FC9">
        <w:t>Supports écrits et numériques</w:t>
      </w:r>
      <w:r w:rsidRPr="000C137E">
        <w:t xml:space="preserve"> :</w:t>
      </w:r>
    </w:p>
    <w:p w14:paraId="500BCDC5" w14:textId="77777777" w:rsidR="00EC5226" w:rsidRPr="000C137E" w:rsidRDefault="00EC5226" w:rsidP="0001633E">
      <w:pPr>
        <w:numPr>
          <w:ilvl w:val="1"/>
          <w:numId w:val="182"/>
        </w:numPr>
      </w:pPr>
      <w:r w:rsidRPr="000C137E">
        <w:t>Brochures, fiches d’information et bulletins périodiques distribués dans les administrations, écoles, associations et commerces à proximité ;</w:t>
      </w:r>
    </w:p>
    <w:p w14:paraId="6FE1DE96" w14:textId="77777777" w:rsidR="00EC5226" w:rsidRPr="000C137E" w:rsidRDefault="00EC5226" w:rsidP="0001633E">
      <w:pPr>
        <w:numPr>
          <w:ilvl w:val="1"/>
          <w:numId w:val="182"/>
        </w:numPr>
      </w:pPr>
      <w:r w:rsidRPr="000C137E">
        <w:t>Mise en ligne d’une rubrique dédiée sur le site web de l’ONDA, présentant les informations clés du projet, les rapports de suivi environnemental et le formulaire électronique du MGP.</w:t>
      </w:r>
    </w:p>
    <w:p w14:paraId="472504BF" w14:textId="77777777" w:rsidR="00EC5226" w:rsidRPr="000C137E" w:rsidRDefault="00EC5226" w:rsidP="0001633E">
      <w:pPr>
        <w:numPr>
          <w:ilvl w:val="0"/>
          <w:numId w:val="182"/>
        </w:numPr>
      </w:pPr>
      <w:r w:rsidRPr="00D60FC9">
        <w:t>Médias et communication de proximité</w:t>
      </w:r>
      <w:r w:rsidRPr="000C137E">
        <w:t xml:space="preserve"> :</w:t>
      </w:r>
    </w:p>
    <w:p w14:paraId="7233EEB9" w14:textId="77777777" w:rsidR="00EC5226" w:rsidRPr="000C137E" w:rsidRDefault="00EC5226" w:rsidP="0001633E">
      <w:pPr>
        <w:numPr>
          <w:ilvl w:val="1"/>
          <w:numId w:val="182"/>
        </w:numPr>
      </w:pPr>
      <w:r w:rsidRPr="000C137E">
        <w:lastRenderedPageBreak/>
        <w:t>Annonces radio locales ou communiqués de presse pour diffuser les messages clés du projet et rappeler les coordonnées du CLO et du dispositif de doléances ;</w:t>
      </w:r>
    </w:p>
    <w:p w14:paraId="4D5A1928" w14:textId="77777777" w:rsidR="00EC5226" w:rsidRPr="000C137E" w:rsidRDefault="00EC5226" w:rsidP="0001633E">
      <w:pPr>
        <w:numPr>
          <w:ilvl w:val="1"/>
          <w:numId w:val="182"/>
        </w:numPr>
      </w:pPr>
      <w:r w:rsidRPr="000C137E">
        <w:t>Diffusion de messages de sensibilisation par mégaphone ou via les structures communales lors des périodes de forte activité de chantier.</w:t>
      </w:r>
    </w:p>
    <w:p w14:paraId="1483E761" w14:textId="77777777" w:rsidR="00EC5226" w:rsidRPr="000C137E" w:rsidRDefault="00EC5226" w:rsidP="0001633E">
      <w:pPr>
        <w:numPr>
          <w:ilvl w:val="0"/>
          <w:numId w:val="182"/>
        </w:numPr>
      </w:pPr>
      <w:r w:rsidRPr="00D60FC9">
        <w:t>Communication interne</w:t>
      </w:r>
      <w:r w:rsidRPr="000C137E">
        <w:t xml:space="preserve"> :</w:t>
      </w:r>
    </w:p>
    <w:p w14:paraId="23503188" w14:textId="77777777" w:rsidR="00EC5226" w:rsidRPr="000C137E" w:rsidRDefault="00EC5226" w:rsidP="0001633E">
      <w:pPr>
        <w:numPr>
          <w:ilvl w:val="1"/>
          <w:numId w:val="182"/>
        </w:numPr>
      </w:pPr>
      <w:r w:rsidRPr="000C137E">
        <w:t>Briefings quotidiens et réunions HSE hebdomadaires pour les travailleurs, sous la supervision du Point Focal HSSE et du Responsable HSE de l’entreprise ;</w:t>
      </w:r>
    </w:p>
    <w:p w14:paraId="5688F836" w14:textId="77777777" w:rsidR="00EC5226" w:rsidRPr="000C137E" w:rsidRDefault="00EC5226" w:rsidP="0001633E">
      <w:pPr>
        <w:numPr>
          <w:ilvl w:val="1"/>
          <w:numId w:val="182"/>
        </w:numPr>
      </w:pPr>
      <w:r w:rsidRPr="000C137E">
        <w:t>Affichage permanent des consignes de sécurité, de la charte de conduite et du code de bonne pratique environnementale dans les bases de vie et zones techniques.</w:t>
      </w:r>
    </w:p>
    <w:p w14:paraId="5FA7063C" w14:textId="77777777" w:rsidR="00EC5226" w:rsidRPr="000C137E" w:rsidRDefault="00EC5226" w:rsidP="00AC2854">
      <w:pPr>
        <w:pStyle w:val="Title3"/>
      </w:pPr>
      <w:bookmarkStart w:id="522" w:name="_Toc215131907"/>
      <w:r w:rsidRPr="000C137E">
        <w:t>Actions de sensibilisation</w:t>
      </w:r>
      <w:bookmarkEnd w:id="522"/>
    </w:p>
    <w:p w14:paraId="25A704BD" w14:textId="77777777" w:rsidR="00EC5226" w:rsidRPr="000C137E" w:rsidRDefault="00EC5226" w:rsidP="00EC5226">
      <w:r w:rsidRPr="000C137E">
        <w:t xml:space="preserve">Des campagnes régulières de </w:t>
      </w:r>
      <w:r w:rsidRPr="00D60FC9">
        <w:t>formation et de sensibilisation</w:t>
      </w:r>
      <w:r w:rsidRPr="000C137E">
        <w:t xml:space="preserve"> seront organisées tout au long du cycle du projet afin d’assurer l’appropriation des bonnes pratiques et le respect des engagements environnementaux et sociaux. Ces actions porteront notamment sur :</w:t>
      </w:r>
    </w:p>
    <w:p w14:paraId="136D9171" w14:textId="77777777" w:rsidR="00EC5226" w:rsidRPr="000C137E" w:rsidRDefault="00EC5226" w:rsidP="0001633E">
      <w:pPr>
        <w:numPr>
          <w:ilvl w:val="0"/>
          <w:numId w:val="183"/>
        </w:numPr>
      </w:pPr>
      <w:r w:rsidRPr="000C137E">
        <w:t xml:space="preserve">La prévention des </w:t>
      </w:r>
      <w:r w:rsidRPr="00D60FC9">
        <w:t>risques environnementaux et professionnels</w:t>
      </w:r>
      <w:r w:rsidRPr="000C137E">
        <w:t xml:space="preserve"> (poussières, bruit, déversements, incendies, etc.) ;</w:t>
      </w:r>
    </w:p>
    <w:p w14:paraId="6D715A2A" w14:textId="77777777" w:rsidR="00EC5226" w:rsidRPr="000C137E" w:rsidRDefault="00EC5226" w:rsidP="0001633E">
      <w:pPr>
        <w:numPr>
          <w:ilvl w:val="0"/>
          <w:numId w:val="183"/>
        </w:numPr>
      </w:pPr>
      <w:r w:rsidRPr="000C137E">
        <w:t xml:space="preserve">La </w:t>
      </w:r>
      <w:r w:rsidRPr="00D60FC9">
        <w:t>gestion et tri des déchets</w:t>
      </w:r>
      <w:r w:rsidRPr="000C137E">
        <w:t xml:space="preserve"> et la propreté du chantier ;</w:t>
      </w:r>
    </w:p>
    <w:p w14:paraId="309CED5A" w14:textId="77777777" w:rsidR="00EC5226" w:rsidRPr="000C137E" w:rsidRDefault="00EC5226" w:rsidP="0001633E">
      <w:pPr>
        <w:numPr>
          <w:ilvl w:val="0"/>
          <w:numId w:val="183"/>
        </w:numPr>
      </w:pPr>
      <w:r w:rsidRPr="000C137E">
        <w:t xml:space="preserve">La </w:t>
      </w:r>
      <w:r w:rsidRPr="00D60FC9">
        <w:t>prévention des accidents routiers et des comportements à risque</w:t>
      </w:r>
      <w:r w:rsidRPr="000C137E">
        <w:t xml:space="preserve"> ;</w:t>
      </w:r>
    </w:p>
    <w:p w14:paraId="0F4A6559" w14:textId="77777777" w:rsidR="00EC5226" w:rsidRPr="000C137E" w:rsidRDefault="00EC5226" w:rsidP="0001633E">
      <w:pPr>
        <w:numPr>
          <w:ilvl w:val="0"/>
          <w:numId w:val="183"/>
        </w:numPr>
      </w:pPr>
      <w:r w:rsidRPr="000C137E">
        <w:t xml:space="preserve">Les </w:t>
      </w:r>
      <w:r w:rsidRPr="00D60FC9">
        <w:t>bonnes pratiques de gestion de l’eau et de l’énergie</w:t>
      </w:r>
      <w:r w:rsidRPr="000C137E">
        <w:t xml:space="preserve"> ;</w:t>
      </w:r>
    </w:p>
    <w:p w14:paraId="341EBE08" w14:textId="77777777" w:rsidR="00EC5226" w:rsidRPr="000C137E" w:rsidRDefault="00EC5226" w:rsidP="0001633E">
      <w:pPr>
        <w:numPr>
          <w:ilvl w:val="0"/>
          <w:numId w:val="183"/>
        </w:numPr>
      </w:pPr>
      <w:r w:rsidRPr="000C137E">
        <w:t xml:space="preserve">La </w:t>
      </w:r>
      <w:r w:rsidRPr="00D60FC9">
        <w:t>prévention des violences basées sur le genre (VBG)</w:t>
      </w:r>
      <w:r w:rsidRPr="000C137E">
        <w:t>, du harcèlement et des discriminations sur le lieu de travail ;</w:t>
      </w:r>
    </w:p>
    <w:p w14:paraId="1A6D0350" w14:textId="77777777" w:rsidR="00EC5226" w:rsidRPr="000C137E" w:rsidRDefault="00EC5226" w:rsidP="0001633E">
      <w:pPr>
        <w:numPr>
          <w:ilvl w:val="0"/>
          <w:numId w:val="183"/>
        </w:numPr>
      </w:pPr>
      <w:r w:rsidRPr="000C137E">
        <w:t xml:space="preserve">La </w:t>
      </w:r>
      <w:r w:rsidRPr="00D60FC9">
        <w:t>promotion du respect mutuel</w:t>
      </w:r>
      <w:r w:rsidRPr="000C137E">
        <w:t xml:space="preserve"> entre travailleurs et communautés locales.</w:t>
      </w:r>
    </w:p>
    <w:p w14:paraId="6324D5B3" w14:textId="77777777" w:rsidR="00EC5226" w:rsidRPr="000C137E" w:rsidRDefault="00EC5226" w:rsidP="00EC5226">
      <w:r w:rsidRPr="000C137E">
        <w:t xml:space="preserve">Chaque séance de sensibilisation fera l’objet d’un </w:t>
      </w:r>
      <w:r w:rsidRPr="00D60FC9">
        <w:t>registre de présence</w:t>
      </w:r>
      <w:r w:rsidRPr="000C137E">
        <w:t xml:space="preserve"> et d’un </w:t>
      </w:r>
      <w:r w:rsidRPr="00D60FC9">
        <w:t>rapport synthétique</w:t>
      </w:r>
      <w:r w:rsidRPr="000C137E">
        <w:t xml:space="preserve"> archivé par le CLO et le Point Focal HSSE. Ces activités seront planifiées dans le cadre du </w:t>
      </w:r>
      <w:r w:rsidRPr="00D60FC9">
        <w:t>programme annuel de communication sociale et HSE</w:t>
      </w:r>
      <w:r w:rsidRPr="000C137E">
        <w:t>, intégré au plan de mise en œuvre du PGES.</w:t>
      </w:r>
    </w:p>
    <w:p w14:paraId="1727125D" w14:textId="77777777" w:rsidR="00EC5226" w:rsidRPr="000C137E" w:rsidRDefault="00EC5226" w:rsidP="00AC2854">
      <w:pPr>
        <w:pStyle w:val="Title3"/>
      </w:pPr>
      <w:bookmarkStart w:id="523" w:name="_Toc215131908"/>
      <w:r w:rsidRPr="000C137E">
        <w:t>Fréquence et évaluation</w:t>
      </w:r>
      <w:bookmarkEnd w:id="523"/>
    </w:p>
    <w:p w14:paraId="50F8478F" w14:textId="77777777" w:rsidR="00EC5226" w:rsidRPr="000C137E" w:rsidRDefault="00EC5226" w:rsidP="00EC5226">
      <w:r w:rsidRPr="000C137E">
        <w:t xml:space="preserve">Le dispositif de communication et de sensibilisation est un processus </w:t>
      </w:r>
      <w:r w:rsidRPr="00D60FC9">
        <w:t>continu</w:t>
      </w:r>
      <w:r w:rsidRPr="000C137E">
        <w:t>.</w:t>
      </w:r>
    </w:p>
    <w:p w14:paraId="5FDE279E" w14:textId="77777777" w:rsidR="00EC5226" w:rsidRPr="000C137E" w:rsidRDefault="00EC5226" w:rsidP="00EC5226">
      <w:r w:rsidRPr="000C137E">
        <w:t xml:space="preserve">Des </w:t>
      </w:r>
      <w:r w:rsidRPr="00D60FC9">
        <w:t>revues trimestrielles</w:t>
      </w:r>
      <w:r w:rsidRPr="000C137E">
        <w:t xml:space="preserve"> permettront d’évaluer l’efficacité des messages et supports, à partir d’indicateurs tels que :</w:t>
      </w:r>
    </w:p>
    <w:p w14:paraId="68A2BD1A" w14:textId="77777777" w:rsidR="00EC5226" w:rsidRPr="000C137E" w:rsidRDefault="00EC5226" w:rsidP="0001633E">
      <w:pPr>
        <w:numPr>
          <w:ilvl w:val="0"/>
          <w:numId w:val="184"/>
        </w:numPr>
      </w:pPr>
      <w:r w:rsidRPr="000C137E">
        <w:t>le nombre de réunions communautaires organisées ;</w:t>
      </w:r>
    </w:p>
    <w:p w14:paraId="463D6D14" w14:textId="77777777" w:rsidR="00EC5226" w:rsidRPr="000C137E" w:rsidRDefault="00EC5226" w:rsidP="0001633E">
      <w:pPr>
        <w:numPr>
          <w:ilvl w:val="0"/>
          <w:numId w:val="184"/>
        </w:numPr>
      </w:pPr>
      <w:r w:rsidRPr="000C137E">
        <w:t>le taux de participation des groupes vulnérables ;</w:t>
      </w:r>
    </w:p>
    <w:p w14:paraId="3D8E81EA" w14:textId="77777777" w:rsidR="00EC5226" w:rsidRPr="000C137E" w:rsidRDefault="00EC5226" w:rsidP="0001633E">
      <w:pPr>
        <w:numPr>
          <w:ilvl w:val="0"/>
          <w:numId w:val="184"/>
        </w:numPr>
      </w:pPr>
      <w:r w:rsidRPr="000C137E">
        <w:t>le niveau de connaissance des procédures HSE et du MGP parmi les travailleurs et les habitants ;</w:t>
      </w:r>
    </w:p>
    <w:p w14:paraId="1F1ACC32" w14:textId="77777777" w:rsidR="00EC5226" w:rsidRPr="000C137E" w:rsidRDefault="00EC5226" w:rsidP="0001633E">
      <w:pPr>
        <w:numPr>
          <w:ilvl w:val="0"/>
          <w:numId w:val="184"/>
        </w:numPr>
      </w:pPr>
      <w:r w:rsidRPr="000C137E">
        <w:t>la réduction du nombre d’incidents liés à une mauvaise information.</w:t>
      </w:r>
    </w:p>
    <w:p w14:paraId="62185A00" w14:textId="77777777" w:rsidR="00EC5226" w:rsidRPr="000C137E" w:rsidRDefault="00EC5226" w:rsidP="00EC5226">
      <w:r w:rsidRPr="000C137E">
        <w:t xml:space="preserve">Les résultats de ces évaluations seront présentés lors des </w:t>
      </w:r>
      <w:r w:rsidRPr="00D60FC9">
        <w:t>réunions du Comité de Suivi Social et Environnemental</w:t>
      </w:r>
      <w:r w:rsidRPr="000C137E">
        <w:t xml:space="preserve"> et intégrés dans les </w:t>
      </w:r>
      <w:r w:rsidRPr="00D60FC9">
        <w:t>rapports de suivi trimestriels</w:t>
      </w:r>
      <w:r w:rsidRPr="000C137E">
        <w:t xml:space="preserve"> du PGES transmis à l’ONDA et à la Banque.</w:t>
      </w:r>
    </w:p>
    <w:p w14:paraId="5B41A8E9" w14:textId="77777777" w:rsidR="00EC5226" w:rsidRDefault="00EC5226" w:rsidP="00EC5226"/>
    <w:p w14:paraId="00F9D69A" w14:textId="77777777" w:rsidR="00EC5226" w:rsidRDefault="00EC5226" w:rsidP="00EC5226">
      <w:pPr>
        <w:pStyle w:val="Title3"/>
      </w:pPr>
      <w:bookmarkStart w:id="524" w:name="_Toc215131909"/>
      <w:r>
        <w:t>Mécanisme de Gestion des plaintes</w:t>
      </w:r>
      <w:bookmarkEnd w:id="524"/>
    </w:p>
    <w:p w14:paraId="0BAA9143" w14:textId="77777777" w:rsidR="00EC5226" w:rsidRDefault="00EC5226" w:rsidP="00EC5226">
      <w:r w:rsidRPr="00315E45">
        <w:t>Le Mécanisme de Gestion des Plaintes (MGP) constitue un outil essentiel pour garantir la transparence et la responsabilité du projet. Il vise à offrir à toute personne concernée un moyen simple, confidentiel et accessible pour formuler une plainte, une doléance ou une suggestion, et pour recevoir une réponse équitable et rapide.</w:t>
      </w:r>
    </w:p>
    <w:p w14:paraId="29937D7A" w14:textId="77777777" w:rsidR="00EC5226" w:rsidRPr="0063240E" w:rsidRDefault="00EC5226" w:rsidP="00EC5226">
      <w:r w:rsidRPr="0063240E">
        <w:t xml:space="preserve">Il s’inscrit dans l’engagement de l’ONDA à maintenir un </w:t>
      </w:r>
      <w:r w:rsidRPr="00D60FC9">
        <w:t>dialogue permanent avec les parties prenantes</w:t>
      </w:r>
      <w:r w:rsidRPr="0063240E">
        <w:t xml:space="preserve">, conformément aux principes de la </w:t>
      </w:r>
      <w:r w:rsidRPr="00D60FC9">
        <w:t>Sauvegarde Opérationnelle n°10 de la BAD</w:t>
      </w:r>
      <w:r w:rsidRPr="0063240E">
        <w:t xml:space="preserve"> et aux orientations du </w:t>
      </w:r>
      <w:r w:rsidRPr="00D60FC9">
        <w:t>Plan de Participation des Parties Prenantes (P3P)</w:t>
      </w:r>
      <w:r w:rsidRPr="0063240E">
        <w:t>.</w:t>
      </w:r>
    </w:p>
    <w:p w14:paraId="1A4170E6" w14:textId="77777777" w:rsidR="00EC5226" w:rsidRDefault="00EC5226" w:rsidP="00EC5226">
      <w:pPr>
        <w:pStyle w:val="Title4"/>
      </w:pPr>
      <w:r w:rsidRPr="0063240E">
        <w:t>Dispositif et canaux de communication</w:t>
      </w:r>
    </w:p>
    <w:p w14:paraId="5B94F2E5" w14:textId="77777777" w:rsidR="00EC5226" w:rsidRPr="00315E45" w:rsidRDefault="00EC5226" w:rsidP="00EC5226">
      <w:r w:rsidRPr="00315E45">
        <w:t>Le MGP sera accessible à travers plusieurs canaux :</w:t>
      </w:r>
    </w:p>
    <w:p w14:paraId="7C371A62" w14:textId="77777777" w:rsidR="00EC5226" w:rsidRPr="00C82A3D" w:rsidRDefault="00EC5226" w:rsidP="0001633E">
      <w:pPr>
        <w:numPr>
          <w:ilvl w:val="0"/>
          <w:numId w:val="178"/>
        </w:numPr>
      </w:pPr>
      <w:r w:rsidRPr="00C82A3D">
        <w:t xml:space="preserve">un </w:t>
      </w:r>
      <w:r w:rsidRPr="00D60FC9">
        <w:t>registre physique</w:t>
      </w:r>
      <w:r w:rsidRPr="00C82A3D">
        <w:t xml:space="preserve"> disponible au bureau de chantier et à la commune concernée ;</w:t>
      </w:r>
    </w:p>
    <w:p w14:paraId="68FC2C5E" w14:textId="77777777" w:rsidR="00EC5226" w:rsidRPr="00C82A3D" w:rsidRDefault="00EC5226" w:rsidP="0001633E">
      <w:pPr>
        <w:numPr>
          <w:ilvl w:val="0"/>
          <w:numId w:val="178"/>
        </w:numPr>
      </w:pPr>
      <w:r w:rsidRPr="00C82A3D">
        <w:t xml:space="preserve">un </w:t>
      </w:r>
      <w:r w:rsidRPr="00D60FC9">
        <w:t>formulaire électronique</w:t>
      </w:r>
      <w:r w:rsidRPr="00C82A3D">
        <w:t xml:space="preserve"> accessible sur le site web de l’ONDA ;</w:t>
      </w:r>
    </w:p>
    <w:p w14:paraId="2D3EFB46" w14:textId="77777777" w:rsidR="00EC5226" w:rsidRPr="00C82A3D" w:rsidRDefault="00EC5226" w:rsidP="0001633E">
      <w:pPr>
        <w:numPr>
          <w:ilvl w:val="0"/>
          <w:numId w:val="178"/>
        </w:numPr>
      </w:pPr>
      <w:r w:rsidRPr="00C82A3D">
        <w:t xml:space="preserve">une </w:t>
      </w:r>
      <w:r w:rsidRPr="00D60FC9">
        <w:t>ligne téléphonique gratuite</w:t>
      </w:r>
      <w:r w:rsidRPr="00C82A3D">
        <w:t xml:space="preserve"> et une </w:t>
      </w:r>
      <w:r w:rsidRPr="00D60FC9">
        <w:t>adresse e-mail dédiée</w:t>
      </w:r>
      <w:r w:rsidRPr="00C82A3D">
        <w:t xml:space="preserve"> ;</w:t>
      </w:r>
    </w:p>
    <w:p w14:paraId="643A8033" w14:textId="77777777" w:rsidR="00EC5226" w:rsidRPr="00C82A3D" w:rsidRDefault="00EC5226" w:rsidP="0001633E">
      <w:pPr>
        <w:numPr>
          <w:ilvl w:val="0"/>
          <w:numId w:val="178"/>
        </w:numPr>
      </w:pPr>
      <w:r w:rsidRPr="00C82A3D">
        <w:t xml:space="preserve">des </w:t>
      </w:r>
      <w:r w:rsidRPr="00D60FC9">
        <w:t>boîtes à plaintes</w:t>
      </w:r>
      <w:r w:rsidRPr="00C82A3D">
        <w:t xml:space="preserve"> installées dans les zones publiques de l’aéroport et dans les communes riveraines ;</w:t>
      </w:r>
    </w:p>
    <w:p w14:paraId="33550137" w14:textId="77777777" w:rsidR="00EC5226" w:rsidRPr="00C82A3D" w:rsidRDefault="00EC5226" w:rsidP="0001633E">
      <w:pPr>
        <w:numPr>
          <w:ilvl w:val="0"/>
          <w:numId w:val="178"/>
        </w:numPr>
      </w:pPr>
      <w:r w:rsidRPr="00C82A3D">
        <w:t xml:space="preserve">et, pour les personnes analphabètes, la possibilité de déposer une plainte </w:t>
      </w:r>
      <w:r w:rsidRPr="00D60FC9">
        <w:t>verbalement auprès du point focal social</w:t>
      </w:r>
      <w:r w:rsidRPr="00C82A3D">
        <w:t>, qui l’enregistrera dans le registre officiel.</w:t>
      </w:r>
    </w:p>
    <w:p w14:paraId="5F1C68E8" w14:textId="77777777" w:rsidR="00EC5226" w:rsidRDefault="00EC5226" w:rsidP="00EC5226">
      <w:r w:rsidRPr="00315E45">
        <w:t>Toutes les informations relatives au mécanisme, y compris les coordonnées et les délais de traitement, seront affichées publiquement sur le site et sur les panneaux d’information du chantier. Les communications seront assurées en français et en arabe.</w:t>
      </w:r>
    </w:p>
    <w:p w14:paraId="5FF16286" w14:textId="77777777" w:rsidR="00EC5226" w:rsidRDefault="00EC5226" w:rsidP="00EC5226">
      <w:pPr>
        <w:pStyle w:val="Title4"/>
      </w:pPr>
      <w:r w:rsidRPr="0063240E">
        <w:t>Organisation et responsabilités</w:t>
      </w:r>
    </w:p>
    <w:p w14:paraId="4A5D8B24" w14:textId="77777777" w:rsidR="00EC5226" w:rsidRPr="0063240E" w:rsidRDefault="00EC5226" w:rsidP="00EC5226">
      <w:r w:rsidRPr="0063240E">
        <w:t xml:space="preserve">Le MGP est géré de manière opérationnelle par le </w:t>
      </w:r>
      <w:r w:rsidRPr="00D60FC9">
        <w:t>Point Focal HSSE</w:t>
      </w:r>
      <w:r w:rsidRPr="0063240E">
        <w:t xml:space="preserve"> sur site, en collaboration étroite avec le </w:t>
      </w:r>
      <w:r w:rsidRPr="00D60FC9">
        <w:t>Community Liaison Officer (CLO)</w:t>
      </w:r>
      <w:r w:rsidRPr="0063240E">
        <w:t xml:space="preserve"> :</w:t>
      </w:r>
    </w:p>
    <w:p w14:paraId="01AFC377" w14:textId="77777777" w:rsidR="00EC5226" w:rsidRPr="0063240E" w:rsidRDefault="00EC5226" w:rsidP="0001633E">
      <w:pPr>
        <w:numPr>
          <w:ilvl w:val="0"/>
          <w:numId w:val="185"/>
        </w:numPr>
      </w:pPr>
      <w:r w:rsidRPr="0063240E">
        <w:t xml:space="preserve">Le </w:t>
      </w:r>
      <w:r w:rsidRPr="00D60FC9">
        <w:t>Point Focal HSSE</w:t>
      </w:r>
      <w:r w:rsidRPr="0063240E">
        <w:t xml:space="preserve"> coordonne l’ensemble du processus de gestion des plaintes. Il veille à la bonne tenue du registre, à la classification des plaintes, à la coordination avec les services techniques et à la transmission des cas complexes au Comité de Suivi Social et Environnemental (CSSE).</w:t>
      </w:r>
    </w:p>
    <w:p w14:paraId="4EEA6879" w14:textId="77777777" w:rsidR="00EC5226" w:rsidRPr="0063240E" w:rsidRDefault="00EC5226" w:rsidP="0001633E">
      <w:pPr>
        <w:numPr>
          <w:ilvl w:val="0"/>
          <w:numId w:val="185"/>
        </w:numPr>
      </w:pPr>
      <w:r w:rsidRPr="0063240E">
        <w:t xml:space="preserve">Le </w:t>
      </w:r>
      <w:r w:rsidRPr="00D60FC9">
        <w:t>CLO</w:t>
      </w:r>
      <w:r w:rsidRPr="0063240E">
        <w:t xml:space="preserve"> agit comme interface directe avec les communautés : il reçoit les plaintes, assure leur traçabilité, fournit régulièrement des informations sur l’état d’avancement du traitement et veille au retour d’information (feedback) auprès des plaignants.</w:t>
      </w:r>
    </w:p>
    <w:p w14:paraId="11B6C54D" w14:textId="77777777" w:rsidR="00EC5226" w:rsidRPr="0063240E" w:rsidRDefault="00EC5226" w:rsidP="00EC5226">
      <w:r w:rsidRPr="0063240E">
        <w:t xml:space="preserve">Les plaintes liées aux </w:t>
      </w:r>
      <w:r w:rsidRPr="00D60FC9">
        <w:t>travailleurs</w:t>
      </w:r>
      <w:r w:rsidRPr="0063240E">
        <w:t xml:space="preserve"> sont d’abord traitées par le </w:t>
      </w:r>
      <w:r w:rsidRPr="00D60FC9">
        <w:t>MGP interne de l’EPC</w:t>
      </w:r>
      <w:r w:rsidRPr="0063240E">
        <w:t>, sous la supervision du Responsable HSSE du chantier, avant d’être intégrées au registre consolidé du projet.</w:t>
      </w:r>
    </w:p>
    <w:p w14:paraId="2BBBCF33" w14:textId="77777777" w:rsidR="00EC5226" w:rsidRPr="0063240E" w:rsidRDefault="00EC5226" w:rsidP="00EC5226">
      <w:r w:rsidRPr="0063240E">
        <w:t xml:space="preserve">Le </w:t>
      </w:r>
      <w:r w:rsidRPr="00D60FC9">
        <w:t>Comité de Suivi Social, Sanitaire, Sécurité et Environnemental (CSSE)</w:t>
      </w:r>
      <w:r w:rsidRPr="0063240E">
        <w:t xml:space="preserve">, présidé par le Responsable </w:t>
      </w:r>
      <w:r>
        <w:t>HSSE</w:t>
      </w:r>
      <w:r w:rsidRPr="0063240E">
        <w:t xml:space="preserve"> de l’ONDA, assure la supervision stratégique du mécanisme, en particulier pour les plaintes complexes, collectives ou à dimension institutionnelle.</w:t>
      </w:r>
    </w:p>
    <w:p w14:paraId="5F08A228" w14:textId="77777777" w:rsidR="00EC5226" w:rsidRDefault="00EC5226" w:rsidP="00EC5226">
      <w:pPr>
        <w:pStyle w:val="Title4"/>
      </w:pPr>
      <w:r w:rsidRPr="00C82A3D">
        <w:lastRenderedPageBreak/>
        <w:t xml:space="preserve">Étapes de traitement des </w:t>
      </w:r>
      <w:r>
        <w:t>plaintes</w:t>
      </w:r>
    </w:p>
    <w:p w14:paraId="6941AF12" w14:textId="77777777" w:rsidR="00EC5226" w:rsidRDefault="00EC5226" w:rsidP="00EC5226">
      <w:r w:rsidRPr="00786A00">
        <w:t>Le mécanisme de gestion des plaintes (MGP) du projet suit un processus structuré en cinq phases successives, garantissant la traçabilité, la transparence et la réactivité du traitement. Chaque étape prévoit des délais précis, des responsabilités identifiées, et un dispositif clair de communication et de feedback envers les plaignants.</w:t>
      </w:r>
    </w:p>
    <w:p w14:paraId="17E63DE0" w14:textId="77777777" w:rsidR="00EC5226" w:rsidRPr="00786A00" w:rsidRDefault="00EC5226" w:rsidP="00EC5226">
      <w:pPr>
        <w:rPr>
          <w:b/>
          <w:bCs/>
        </w:rPr>
      </w:pPr>
      <w:r w:rsidRPr="00786A00">
        <w:rPr>
          <w:b/>
          <w:bCs/>
        </w:rPr>
        <w:t>Phase 1 – Réception et enregistrement de la doléance</w:t>
      </w:r>
    </w:p>
    <w:p w14:paraId="76E08945" w14:textId="77777777" w:rsidR="00EC5226" w:rsidRPr="00253B2C" w:rsidRDefault="00EC5226" w:rsidP="00EC5226">
      <w:r w:rsidRPr="00786A00">
        <w:t xml:space="preserve">Cette phase </w:t>
      </w:r>
      <w:r w:rsidRPr="00253B2C">
        <w:t xml:space="preserve">correspond à la </w:t>
      </w:r>
      <w:r w:rsidRPr="00D60FC9">
        <w:t>prise de contact initiale</w:t>
      </w:r>
      <w:r w:rsidRPr="00253B2C">
        <w:t xml:space="preserve"> entre le plaignant et le dispositif du MGP.</w:t>
      </w:r>
    </w:p>
    <w:p w14:paraId="1EFF2689" w14:textId="77777777" w:rsidR="00EC5226" w:rsidRPr="00253B2C" w:rsidRDefault="00EC5226" w:rsidP="00EC5226">
      <w:r w:rsidRPr="00253B2C">
        <w:t>La plainte peut être reçue par différents canaux : registre papier disponible au bureau du chantier ou à la commune, ligne téléphonique gratuite, courrier électronique, boîte à plaintes, ou encore verbalement auprès du point focal social (dans le cas des personnes analphabètes).</w:t>
      </w:r>
    </w:p>
    <w:p w14:paraId="3D762305" w14:textId="77777777" w:rsidR="00EC5226" w:rsidRPr="00786A00" w:rsidRDefault="00EC5226" w:rsidP="00EC5226">
      <w:r w:rsidRPr="00253B2C">
        <w:t xml:space="preserve">Le </w:t>
      </w:r>
      <w:r w:rsidRPr="00D60FC9">
        <w:t>point focal social</w:t>
      </w:r>
      <w:r w:rsidRPr="00253B2C">
        <w:t xml:space="preserve"> est responsable de la</w:t>
      </w:r>
      <w:r w:rsidRPr="00786A00">
        <w:t xml:space="preserve"> </w:t>
      </w:r>
      <w:r w:rsidRPr="00D60FC9">
        <w:t>réception, du constat et de l’enregistrement</w:t>
      </w:r>
      <w:r w:rsidRPr="00786A00">
        <w:t xml:space="preserve"> de la plainte dans le </w:t>
      </w:r>
      <w:r w:rsidRPr="00D60FC9">
        <w:t>registre officiel</w:t>
      </w:r>
      <w:r w:rsidRPr="00786A00">
        <w:t xml:space="preserve"> du projet.</w:t>
      </w:r>
    </w:p>
    <w:p w14:paraId="782A5B11" w14:textId="77777777" w:rsidR="00EC5226" w:rsidRPr="00786A00" w:rsidRDefault="00EC5226" w:rsidP="00EC5226">
      <w:r w:rsidRPr="00786A00">
        <w:t xml:space="preserve">Un </w:t>
      </w:r>
      <w:r w:rsidRPr="00D60FC9">
        <w:t>accusé de réception</w:t>
      </w:r>
      <w:r w:rsidRPr="00786A00">
        <w:t xml:space="preserve"> est transmis au plaignant dans un délai maximum de </w:t>
      </w:r>
      <w:r w:rsidRPr="00D60FC9">
        <w:t>cinq (5) jours ouvrables</w:t>
      </w:r>
      <w:r w:rsidRPr="00786A00">
        <w:t>, confirmant la prise en charge et le numéro de référence de la doléance.</w:t>
      </w:r>
    </w:p>
    <w:p w14:paraId="0BF49CBB" w14:textId="77777777" w:rsidR="00EC5226" w:rsidRPr="00786A00" w:rsidRDefault="00EC5226" w:rsidP="00EC5226">
      <w:pPr>
        <w:rPr>
          <w:b/>
          <w:bCs/>
        </w:rPr>
      </w:pPr>
      <w:r w:rsidRPr="00786A00">
        <w:rPr>
          <w:b/>
          <w:bCs/>
        </w:rPr>
        <w:t>Phase 2 – Identification, consignation et confirmation de la doléance</w:t>
      </w:r>
    </w:p>
    <w:p w14:paraId="422D67A8" w14:textId="77777777" w:rsidR="00EC5226" w:rsidRPr="0033345E" w:rsidRDefault="00EC5226" w:rsidP="00EC5226">
      <w:r w:rsidRPr="00786A00">
        <w:t xml:space="preserve">Une </w:t>
      </w:r>
      <w:r w:rsidRPr="0033345E">
        <w:t>fois la plainte enregistrée, le Community Liaison Officer (</w:t>
      </w:r>
      <w:r w:rsidRPr="00D60FC9">
        <w:t>CLO)</w:t>
      </w:r>
      <w:r w:rsidRPr="0033345E">
        <w:t xml:space="preserve"> en collaboration avec le </w:t>
      </w:r>
      <w:r w:rsidRPr="00D60FC9">
        <w:t>point focal HSSE,</w:t>
      </w:r>
      <w:r w:rsidRPr="0033345E">
        <w:t xml:space="preserve"> procède à l’</w:t>
      </w:r>
      <w:r w:rsidRPr="00D60FC9">
        <w:t>analyse préliminaire</w:t>
      </w:r>
      <w:r w:rsidRPr="0033345E">
        <w:t xml:space="preserve"> de la doléance afin d’en vérifier la nature, la recevabilité et la gravité.</w:t>
      </w:r>
    </w:p>
    <w:p w14:paraId="62EE7AEF" w14:textId="77777777" w:rsidR="00EC5226" w:rsidRPr="0033345E" w:rsidRDefault="00EC5226" w:rsidP="00EC5226">
      <w:r w:rsidRPr="0033345E">
        <w:t>Cette étape permet de classifier la plainte selon sa catégorie (sociale, environnementale, sécuritaire, liée au travail, ou cas de VBG/EAS) et de désigner l’entité compétente pour son traitement.</w:t>
      </w:r>
    </w:p>
    <w:p w14:paraId="71EF1A08" w14:textId="77777777" w:rsidR="00EC5226" w:rsidRPr="0033345E" w:rsidRDefault="00EC5226" w:rsidP="00EC5226">
      <w:r w:rsidRPr="0033345E">
        <w:t xml:space="preserve">Les informations sont consignées dans la base de données du MGP et validées par le </w:t>
      </w:r>
      <w:r w:rsidRPr="00D60FC9">
        <w:t>point focal HSSE sur site</w:t>
      </w:r>
      <w:r w:rsidRPr="0033345E">
        <w:t>.</w:t>
      </w:r>
    </w:p>
    <w:p w14:paraId="7CC6A4BB" w14:textId="77777777" w:rsidR="00EC5226" w:rsidRPr="0033345E" w:rsidRDefault="00EC5226" w:rsidP="00EC5226">
      <w:r w:rsidRPr="0033345E">
        <w:t xml:space="preserve">Le délai de cette phase est fixé à </w:t>
      </w:r>
      <w:r w:rsidRPr="00D60FC9">
        <w:t>cinq (5) jours ouvrables</w:t>
      </w:r>
      <w:r w:rsidRPr="0033345E">
        <w:t xml:space="preserve"> après l’enregistrement.</w:t>
      </w:r>
    </w:p>
    <w:p w14:paraId="6BAA95A3" w14:textId="77777777" w:rsidR="00EC5226" w:rsidRPr="00786A00" w:rsidRDefault="00EC5226" w:rsidP="00EC5226">
      <w:pPr>
        <w:rPr>
          <w:b/>
          <w:bCs/>
        </w:rPr>
      </w:pPr>
      <w:r w:rsidRPr="00786A00">
        <w:rPr>
          <w:b/>
          <w:bCs/>
        </w:rPr>
        <w:t>Phase 3 – Investigation et résolution</w:t>
      </w:r>
    </w:p>
    <w:p w14:paraId="0A3B8A3A" w14:textId="77777777" w:rsidR="00EC5226" w:rsidRPr="001D75E2" w:rsidRDefault="00EC5226" w:rsidP="00EC5226">
      <w:r w:rsidRPr="00786A00">
        <w:t xml:space="preserve">Cette phase </w:t>
      </w:r>
      <w:r w:rsidRPr="001D75E2">
        <w:t xml:space="preserve">consiste en une </w:t>
      </w:r>
      <w:r w:rsidRPr="00D60FC9">
        <w:t>analyse approfondie</w:t>
      </w:r>
      <w:r w:rsidRPr="001D75E2">
        <w:t xml:space="preserve"> des faits par le </w:t>
      </w:r>
      <w:r w:rsidRPr="00D60FC9">
        <w:t>point focal HHSE</w:t>
      </w:r>
      <w:r w:rsidRPr="001D75E2">
        <w:t xml:space="preserve"> assisté des parties concernées (EPC, ONDA, autorités locales).</w:t>
      </w:r>
    </w:p>
    <w:p w14:paraId="293277DD" w14:textId="77777777" w:rsidR="00EC5226" w:rsidRPr="001D75E2" w:rsidRDefault="00EC5226" w:rsidP="00EC5226">
      <w:r w:rsidRPr="001D75E2">
        <w:t>L’enquête vise à comprendre les causes de la doléance, à identifier les mesures correctives nécessaires et à proposer une solution adaptée.</w:t>
      </w:r>
    </w:p>
    <w:p w14:paraId="102D13E2" w14:textId="77777777" w:rsidR="00EC5226" w:rsidRPr="001D75E2" w:rsidRDefault="00EC5226" w:rsidP="00EC5226">
      <w:r w:rsidRPr="001D75E2">
        <w:t>Des réunions sur site ou des entretiens peuvent être organisés avec le plaignant ou les témoins pour clarifier les faits.</w:t>
      </w:r>
    </w:p>
    <w:p w14:paraId="2C607A3A" w14:textId="77777777" w:rsidR="00EC5226" w:rsidRPr="001D75E2" w:rsidRDefault="00EC5226" w:rsidP="00EC5226">
      <w:r w:rsidRPr="001D75E2">
        <w:t xml:space="preserve">Le délai total de traitement et de proposition de résolution est de </w:t>
      </w:r>
      <w:r w:rsidRPr="00D60FC9">
        <w:t>dix (10) jours ouvrables</w:t>
      </w:r>
      <w:r w:rsidRPr="001D75E2">
        <w:t xml:space="preserve"> à compter de la fin de l’analyse préliminaire.</w:t>
      </w:r>
    </w:p>
    <w:p w14:paraId="0C3DD499" w14:textId="77777777" w:rsidR="00EC5226" w:rsidRPr="001D75E2" w:rsidRDefault="00EC5226" w:rsidP="00EC5226">
      <w:r w:rsidRPr="001D75E2">
        <w:t xml:space="preserve">La </w:t>
      </w:r>
      <w:r w:rsidRPr="00D60FC9">
        <w:t>résolution</w:t>
      </w:r>
      <w:r w:rsidRPr="001D75E2">
        <w:t xml:space="preserve"> retenue est ensuite soumise à validation du </w:t>
      </w:r>
      <w:r w:rsidRPr="00D60FC9">
        <w:t>Comité de suivi social et environnemental</w:t>
      </w:r>
      <w:r w:rsidRPr="001D75E2">
        <w:t xml:space="preserve"> avant communication officielle au plaignant.</w:t>
      </w:r>
    </w:p>
    <w:p w14:paraId="3B1196AC" w14:textId="77777777" w:rsidR="00EC5226" w:rsidRPr="00786A00" w:rsidRDefault="00EC5226" w:rsidP="00EC5226">
      <w:pPr>
        <w:rPr>
          <w:b/>
          <w:bCs/>
        </w:rPr>
      </w:pPr>
      <w:r w:rsidRPr="00786A00">
        <w:rPr>
          <w:b/>
          <w:bCs/>
        </w:rPr>
        <w:t>Phase 4 – Communication, validation et clôture</w:t>
      </w:r>
    </w:p>
    <w:p w14:paraId="2CCE1AF4" w14:textId="77777777" w:rsidR="00EC5226" w:rsidRDefault="00EC5226" w:rsidP="00EC5226">
      <w:r w:rsidRPr="00786A00">
        <w:lastRenderedPageBreak/>
        <w:t>La décision issue de la phase d’investigation est communiquée formellement au plaignant (par courrier, courriel, SMS ou rencontre en personne).</w:t>
      </w:r>
    </w:p>
    <w:p w14:paraId="79ECCDA4" w14:textId="77777777" w:rsidR="00EC5226" w:rsidRPr="001D75E2" w:rsidRDefault="00EC5226" w:rsidP="00EC5226">
      <w:r w:rsidRPr="001D75E2">
        <w:t>Deux cas peuvent se présenter :</w:t>
      </w:r>
    </w:p>
    <w:p w14:paraId="0C9A05F7" w14:textId="77777777" w:rsidR="00EC5226" w:rsidRPr="001D75E2" w:rsidRDefault="00EC5226" w:rsidP="0001633E">
      <w:pPr>
        <w:numPr>
          <w:ilvl w:val="0"/>
          <w:numId w:val="179"/>
        </w:numPr>
      </w:pPr>
      <w:r w:rsidRPr="00D60FC9">
        <w:t>Acceptation de la résolution</w:t>
      </w:r>
      <w:r w:rsidRPr="001D75E2">
        <w:t xml:space="preserve"> : la plainte est clôturée, et la décision est archivée dans le registre du MGP. Le plaignant reçoit une confirmation de clôture.</w:t>
      </w:r>
    </w:p>
    <w:p w14:paraId="0BE3921A" w14:textId="77777777" w:rsidR="00EC5226" w:rsidRPr="001D75E2" w:rsidRDefault="00EC5226" w:rsidP="0001633E">
      <w:pPr>
        <w:numPr>
          <w:ilvl w:val="0"/>
          <w:numId w:val="179"/>
        </w:numPr>
      </w:pPr>
      <w:r w:rsidRPr="00D60FC9">
        <w:t>Refus de la résolution</w:t>
      </w:r>
      <w:r w:rsidRPr="001D75E2">
        <w:t xml:space="preserve"> : le plaignant peut demander une </w:t>
      </w:r>
      <w:r w:rsidRPr="00D60FC9">
        <w:t>réévaluation</w:t>
      </w:r>
      <w:r w:rsidRPr="001D75E2">
        <w:t xml:space="preserve"> de sa plainte dans un délai de </w:t>
      </w:r>
      <w:r w:rsidRPr="00D60FC9">
        <w:t>cinq (5) jours ouvrables</w:t>
      </w:r>
      <w:r w:rsidRPr="001D75E2">
        <w:t xml:space="preserve"> suivant la communication. Une nouvelle évaluation est alors conduite dans un délai de </w:t>
      </w:r>
      <w:r w:rsidRPr="00D60FC9">
        <w:t>dix (10) jours</w:t>
      </w:r>
      <w:r w:rsidRPr="001D75E2">
        <w:t xml:space="preserve"> supplémentaires.</w:t>
      </w:r>
    </w:p>
    <w:p w14:paraId="346899DB" w14:textId="77777777" w:rsidR="00EC5226" w:rsidRPr="001D75E2" w:rsidRDefault="00EC5226" w:rsidP="00EC5226">
      <w:pPr>
        <w:ind w:left="720"/>
      </w:pPr>
      <w:r w:rsidRPr="001D75E2">
        <w:t xml:space="preserve">Si le plaignant persiste dans son désaccord, il peut recourir à des </w:t>
      </w:r>
      <w:r w:rsidRPr="00D60FC9">
        <w:t>mécanismes externes</w:t>
      </w:r>
      <w:r w:rsidRPr="001D75E2">
        <w:t xml:space="preserve"> (médiation institutionnelle, autorités locales, ou recours légal).</w:t>
      </w:r>
    </w:p>
    <w:p w14:paraId="2BE3390E" w14:textId="77777777" w:rsidR="00EC5226" w:rsidRPr="00786A00" w:rsidRDefault="00EC5226" w:rsidP="00EC5226">
      <w:r w:rsidRPr="00786A00">
        <w:t xml:space="preserve">À chaque étape, un </w:t>
      </w:r>
      <w:r w:rsidRPr="00D60FC9">
        <w:t>feedback</w:t>
      </w:r>
      <w:r w:rsidRPr="009C0F75">
        <w:t xml:space="preserve"> est systématiquement fourni au plaignant sur l’état d’avancement de sa plainte (par SMS, appel</w:t>
      </w:r>
      <w:r w:rsidRPr="00786A00">
        <w:t xml:space="preserve"> téléphonique ou rencontre). Ce suivi contribue à renforcer la confiance et la transparence du mécanisme.</w:t>
      </w:r>
    </w:p>
    <w:p w14:paraId="4710A766" w14:textId="77777777" w:rsidR="00EC5226" w:rsidRPr="00786A00" w:rsidRDefault="00EC5226" w:rsidP="00EC5226">
      <w:pPr>
        <w:rPr>
          <w:b/>
          <w:bCs/>
        </w:rPr>
      </w:pPr>
      <w:r w:rsidRPr="00786A00">
        <w:rPr>
          <w:b/>
          <w:bCs/>
        </w:rPr>
        <w:t>Phase 5 – Suivi et évaluation</w:t>
      </w:r>
    </w:p>
    <w:p w14:paraId="64F2E1AC" w14:textId="77777777" w:rsidR="00EC5226" w:rsidRPr="009C0F75" w:rsidRDefault="00EC5226" w:rsidP="00EC5226">
      <w:r w:rsidRPr="00786A00">
        <w:t xml:space="preserve">Une fois la plainte résolue et clôturée, </w:t>
      </w:r>
      <w:r w:rsidRPr="009C0F75">
        <w:t xml:space="preserve">le </w:t>
      </w:r>
      <w:r w:rsidRPr="00D60FC9">
        <w:t>CLO</w:t>
      </w:r>
      <w:r w:rsidRPr="009C0F75">
        <w:t xml:space="preserve"> procède au </w:t>
      </w:r>
      <w:r w:rsidRPr="00D60FC9">
        <w:t>suivi de la mise en œuvre des mesures correctives</w:t>
      </w:r>
      <w:r w:rsidRPr="009C0F75">
        <w:t xml:space="preserve"> et à l’évaluation de leur efficacité.</w:t>
      </w:r>
    </w:p>
    <w:p w14:paraId="54C879B8" w14:textId="77777777" w:rsidR="00EC5226" w:rsidRPr="009C0F75" w:rsidRDefault="00EC5226" w:rsidP="00EC5226">
      <w:r w:rsidRPr="009C0F75">
        <w:t xml:space="preserve">Un rapport de clôture est établi et les données sont intégrées au </w:t>
      </w:r>
      <w:r w:rsidRPr="00D60FC9">
        <w:t>registre du MGP</w:t>
      </w:r>
      <w:r w:rsidRPr="009C0F75">
        <w:t xml:space="preserve">. Les informations (nombre de plaintes reçues, résolues, en cours, délais moyens de traitement, taux de satisfaction) alimentent le </w:t>
      </w:r>
      <w:r w:rsidRPr="00D60FC9">
        <w:t>rapport de suivi environnemental et social</w:t>
      </w:r>
      <w:r w:rsidRPr="009C0F75">
        <w:t xml:space="preserve"> du projet.</w:t>
      </w:r>
    </w:p>
    <w:p w14:paraId="29F279D0" w14:textId="77777777" w:rsidR="00EC5226" w:rsidRPr="00A86FD8" w:rsidRDefault="00EC5226" w:rsidP="00EC5226">
      <w:r w:rsidRPr="00786A00">
        <w:t xml:space="preserve">Le mécanisme fera l’objet d’une </w:t>
      </w:r>
      <w:r w:rsidRPr="00D60FC9">
        <w:t>évaluation annuelle</w:t>
      </w:r>
      <w:r w:rsidRPr="00786A00">
        <w:t xml:space="preserve"> pour vérifier son efficacité, identifier les obstacles et proposer des améliorations. Cette évaluation sera menée conjointement par l’ONDA</w:t>
      </w:r>
      <w:r>
        <w:t xml:space="preserve"> </w:t>
      </w:r>
      <w:r w:rsidRPr="00786A00">
        <w:t xml:space="preserve">et les représentants communautaires dans le </w:t>
      </w:r>
      <w:r w:rsidRPr="00A86FD8">
        <w:t xml:space="preserve">cadre du </w:t>
      </w:r>
      <w:r w:rsidRPr="00D60FC9">
        <w:t>suivi participatif</w:t>
      </w:r>
      <w:r w:rsidRPr="00A86FD8">
        <w:t>.</w:t>
      </w:r>
    </w:p>
    <w:p w14:paraId="5637DE9A" w14:textId="77777777" w:rsidR="00EC5226" w:rsidRDefault="00EC5226" w:rsidP="00EC5226">
      <w:pPr>
        <w:keepNext/>
        <w:jc w:val="center"/>
      </w:pPr>
      <w:r>
        <w:rPr>
          <w:noProof/>
          <w:lang w:eastAsia="fr-FR" w:bidi="ar-SA"/>
        </w:rPr>
        <w:lastRenderedPageBreak/>
        <w:drawing>
          <wp:inline distT="0" distB="0" distL="0" distR="0" wp14:anchorId="0B446C98" wp14:editId="5B06C6CE">
            <wp:extent cx="3149600" cy="4724400"/>
            <wp:effectExtent l="0" t="0" r="0" b="0"/>
            <wp:docPr id="268397083"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52" cstate="print">
                      <a:extLst>
                        <a:ext uri="{28A0092B-C50C-407E-A947-70E740481C1C}">
                          <a14:useLocalDpi xmlns:a14="http://schemas.microsoft.com/office/drawing/2010/main" val="0"/>
                        </a:ext>
                      </a:extLst>
                    </a:blip>
                    <a:srcRect/>
                    <a:stretch>
                      <a:fillRect/>
                    </a:stretch>
                  </pic:blipFill>
                  <pic:spPr bwMode="auto">
                    <a:xfrm>
                      <a:off x="0" y="0"/>
                      <a:ext cx="3154814" cy="4732221"/>
                    </a:xfrm>
                    <a:prstGeom prst="rect">
                      <a:avLst/>
                    </a:prstGeom>
                    <a:noFill/>
                    <a:ln>
                      <a:noFill/>
                    </a:ln>
                  </pic:spPr>
                </pic:pic>
              </a:graphicData>
            </a:graphic>
          </wp:inline>
        </w:drawing>
      </w:r>
    </w:p>
    <w:p w14:paraId="3863A312" w14:textId="77777777" w:rsidR="00EC5226" w:rsidRDefault="00EC5226" w:rsidP="00EC5226">
      <w:pPr>
        <w:pStyle w:val="Lgende"/>
      </w:pPr>
      <w:r>
        <w:t xml:space="preserve">Figure </w:t>
      </w:r>
      <w:r>
        <w:fldChar w:fldCharType="begin"/>
      </w:r>
      <w:r>
        <w:instrText xml:space="preserve"> SEQ Figure \* ARABIC </w:instrText>
      </w:r>
      <w:r>
        <w:fldChar w:fldCharType="separate"/>
      </w:r>
      <w:r>
        <w:rPr>
          <w:noProof/>
        </w:rPr>
        <w:t>25</w:t>
      </w:r>
      <w:r>
        <w:fldChar w:fldCharType="end"/>
      </w:r>
      <w:r>
        <w:rPr>
          <w:lang w:val="fr-FR"/>
        </w:rPr>
        <w:t xml:space="preserve"> : Etape de résolution des plaintes</w:t>
      </w:r>
    </w:p>
    <w:p w14:paraId="6173BD4F" w14:textId="77777777" w:rsidR="00EC5226" w:rsidRDefault="00EC5226" w:rsidP="0001633E">
      <w:pPr>
        <w:pStyle w:val="Title4"/>
        <w:numPr>
          <w:ilvl w:val="3"/>
          <w:numId w:val="186"/>
        </w:numPr>
      </w:pPr>
      <w:r>
        <w:t>Confidentialité et cas sensibles</w:t>
      </w:r>
    </w:p>
    <w:p w14:paraId="30325C63" w14:textId="77777777" w:rsidR="00EC5226" w:rsidRDefault="00EC5226" w:rsidP="00EC5226">
      <w:r>
        <w:t>Les plaintes liées aux violences basées sur le genre (VBG), au harcèlement ou à la discrimination font l’objet d’un traitement confidentiel et prioritaire.</w:t>
      </w:r>
    </w:p>
    <w:p w14:paraId="170F0FE5" w14:textId="77777777" w:rsidR="00EC5226" w:rsidRDefault="00EC5226" w:rsidP="00EC5226">
      <w:r>
        <w:t>Le CLO oriente immédiatement la victime vers les structures d’assistance médicale, psychologique et juridique compétentes, tout en garantissant la protection de son identité et l’absence de représailles.</w:t>
      </w:r>
    </w:p>
    <w:p w14:paraId="37E17412" w14:textId="77777777" w:rsidR="00EC5226" w:rsidRPr="00D86AF4" w:rsidRDefault="00EC5226" w:rsidP="00EC5226">
      <w:pPr>
        <w:pStyle w:val="Title4"/>
      </w:pPr>
      <w:r w:rsidRPr="00D86AF4">
        <w:t xml:space="preserve">Évaluation et amélioration </w:t>
      </w:r>
      <w:r w:rsidRPr="00D60FC9">
        <w:rPr>
          <w:rStyle w:val="Title4Car"/>
          <w:rFonts w:eastAsiaTheme="minorEastAsia"/>
        </w:rPr>
        <w:t>du</w:t>
      </w:r>
      <w:r w:rsidRPr="00D86AF4">
        <w:t xml:space="preserve"> mécanisme</w:t>
      </w:r>
    </w:p>
    <w:p w14:paraId="5F2EB300" w14:textId="77777777" w:rsidR="00EC5226" w:rsidRDefault="00EC5226" w:rsidP="00EC5226">
      <w:r w:rsidRPr="00D86AF4">
        <w:t xml:space="preserve">Le MGP fera l’objet d’une </w:t>
      </w:r>
      <w:r w:rsidRPr="00D60FC9">
        <w:t>évaluation annuelle</w:t>
      </w:r>
      <w:r w:rsidRPr="00D86AF4">
        <w:t xml:space="preserve"> menée conjointement par l’ONDA</w:t>
      </w:r>
      <w:r>
        <w:t xml:space="preserve"> </w:t>
      </w:r>
      <w:r w:rsidRPr="00D86AF4">
        <w:t>et les représentants communautaires.</w:t>
      </w:r>
    </w:p>
    <w:p w14:paraId="1D95E663" w14:textId="77777777" w:rsidR="00EC5226" w:rsidRDefault="00EC5226" w:rsidP="00EC5226">
      <w:r w:rsidRPr="00D86AF4">
        <w:t>Cette évaluation analysera les indicateurs de performance et formulera des recommandations pour améliorer l’accessibilité, la rapidité et la transparence du mécanisme.</w:t>
      </w:r>
    </w:p>
    <w:p w14:paraId="1AB42036" w14:textId="77777777" w:rsidR="00EC5226" w:rsidRPr="00D86AF4" w:rsidRDefault="00EC5226" w:rsidP="00EC5226">
      <w:r w:rsidRPr="00D86AF4">
        <w:t xml:space="preserve">Les conclusions </w:t>
      </w:r>
      <w:r>
        <w:t xml:space="preserve">seront </w:t>
      </w:r>
      <w:r w:rsidRPr="00D86AF4">
        <w:t>intégrées dans les rapports annuels du PGES.</w:t>
      </w:r>
    </w:p>
    <w:p w14:paraId="780E0888" w14:textId="5AFD6158" w:rsidR="005E1ABC" w:rsidRDefault="005E1ABC">
      <w:pPr>
        <w:pStyle w:val="Title1"/>
        <w:ind w:left="723"/>
      </w:pPr>
      <w:bookmarkStart w:id="525" w:name="_Toc215131910"/>
      <w:r>
        <w:lastRenderedPageBreak/>
        <w:t>Plan de Gestion Environnementale et Sociale</w:t>
      </w:r>
      <w:bookmarkEnd w:id="525"/>
    </w:p>
    <w:p w14:paraId="5910EDA5" w14:textId="10131E5B" w:rsidR="00077F54" w:rsidRDefault="00D96EE0" w:rsidP="00077F54">
      <w:pPr>
        <w:pStyle w:val="Title2"/>
        <w:rPr>
          <w:lang w:val="fr-MA" w:eastAsia="fr-FR" w:bidi="ar-SA"/>
        </w:rPr>
      </w:pPr>
      <w:bookmarkStart w:id="526" w:name="_Toc215131911"/>
      <w:r>
        <w:rPr>
          <w:lang w:val="fr-MA" w:eastAsia="fr-FR" w:bidi="ar-SA"/>
        </w:rPr>
        <w:t>O</w:t>
      </w:r>
      <w:r w:rsidR="00077F54" w:rsidRPr="004637C7">
        <w:rPr>
          <w:lang w:val="fr-MA" w:eastAsia="fr-FR" w:bidi="ar-SA"/>
        </w:rPr>
        <w:t>bjectifs du PGES</w:t>
      </w:r>
      <w:bookmarkEnd w:id="526"/>
    </w:p>
    <w:p w14:paraId="418DB193" w14:textId="763764D4" w:rsidR="00D96EE0" w:rsidRDefault="00D96EE0" w:rsidP="00D96EE0">
      <w:pPr>
        <w:rPr>
          <w:lang w:eastAsia="fr-FR" w:bidi="ar-SA"/>
        </w:rPr>
      </w:pPr>
      <w:r>
        <w:rPr>
          <w:lang w:eastAsia="fr-FR" w:bidi="ar-SA"/>
        </w:rPr>
        <w:t xml:space="preserve">Le présent Plan de Gestion Environnementale et Sociale (PGES) constitue l’outil de référence pour la mise en œuvre, le suivi et la supervision des mesures environnementales et sociales définies dans l’EIES du projet de développement de l’aéroport international </w:t>
      </w:r>
      <w:r w:rsidR="00C61164">
        <w:rPr>
          <w:lang w:eastAsia="fr-FR" w:bidi="ar-SA"/>
        </w:rPr>
        <w:t>Marrakech Ménara</w:t>
      </w:r>
      <w:r>
        <w:rPr>
          <w:lang w:eastAsia="fr-FR" w:bidi="ar-SA"/>
        </w:rPr>
        <w:t>.</w:t>
      </w:r>
    </w:p>
    <w:p w14:paraId="45BBE1B7" w14:textId="77777777" w:rsidR="00D96EE0" w:rsidRDefault="00D96EE0" w:rsidP="00D96EE0">
      <w:pPr>
        <w:rPr>
          <w:lang w:eastAsia="fr-FR" w:bidi="ar-SA"/>
        </w:rPr>
      </w:pPr>
      <w:r>
        <w:rPr>
          <w:lang w:eastAsia="fr-FR" w:bidi="ar-SA"/>
        </w:rPr>
        <w:t>Il a pour objectif principal de garantir que le projet soit exécuté dans le respect des exigences environnementales, sociales, sanitaires et sécuritaires, conformément :</w:t>
      </w:r>
    </w:p>
    <w:p w14:paraId="188F6A02" w14:textId="77777777" w:rsidR="00D96EE0" w:rsidRDefault="00D96EE0" w:rsidP="0001633E">
      <w:pPr>
        <w:pStyle w:val="Paragraphedeliste"/>
        <w:numPr>
          <w:ilvl w:val="0"/>
          <w:numId w:val="128"/>
        </w:numPr>
        <w:rPr>
          <w:lang w:eastAsia="fr-FR" w:bidi="ar-SA"/>
        </w:rPr>
      </w:pPr>
      <w:r>
        <w:rPr>
          <w:lang w:eastAsia="fr-FR" w:bidi="ar-SA"/>
        </w:rPr>
        <w:t>Aux dispositions de la Loi n°12-03 relative aux études d’impact sur l’environnement et ses textes d’application ;</w:t>
      </w:r>
    </w:p>
    <w:p w14:paraId="7EBDAFA2" w14:textId="77777777" w:rsidR="00D96EE0" w:rsidRDefault="00D96EE0" w:rsidP="0001633E">
      <w:pPr>
        <w:pStyle w:val="Paragraphedeliste"/>
        <w:numPr>
          <w:ilvl w:val="0"/>
          <w:numId w:val="128"/>
        </w:numPr>
        <w:rPr>
          <w:lang w:eastAsia="fr-FR" w:bidi="ar-SA"/>
        </w:rPr>
      </w:pPr>
      <w:r>
        <w:rPr>
          <w:lang w:eastAsia="fr-FR" w:bidi="ar-SA"/>
        </w:rPr>
        <w:t>Aux exigences de la Banque Africaine de Développement (BAD), notamment la Norme Opérationnelle n°1 (SO1) du Système de Sauvegarde Intégré (SSI, édition 2023) relative à l’évaluation et à la gestion des risques et impacts environnementaux et sociaux ;</w:t>
      </w:r>
    </w:p>
    <w:p w14:paraId="1636918A" w14:textId="1863F156" w:rsidR="00D96EE0" w:rsidRDefault="00D96EE0" w:rsidP="0001633E">
      <w:pPr>
        <w:pStyle w:val="Paragraphedeliste"/>
        <w:numPr>
          <w:ilvl w:val="0"/>
          <w:numId w:val="128"/>
        </w:numPr>
        <w:rPr>
          <w:lang w:eastAsia="fr-FR" w:bidi="ar-SA"/>
        </w:rPr>
      </w:pPr>
      <w:r>
        <w:rPr>
          <w:lang w:eastAsia="fr-FR" w:bidi="ar-SA"/>
        </w:rPr>
        <w:t>Ainsi qu’aux bonnes pratiques internationales pour les infrastructures aéroportuaires.</w:t>
      </w:r>
    </w:p>
    <w:p w14:paraId="52B75611" w14:textId="77777777" w:rsidR="00D96EE0" w:rsidRDefault="00D96EE0" w:rsidP="00D96EE0">
      <w:pPr>
        <w:rPr>
          <w:lang w:eastAsia="fr-FR" w:bidi="ar-SA"/>
        </w:rPr>
      </w:pPr>
      <w:r>
        <w:rPr>
          <w:lang w:eastAsia="fr-FR" w:bidi="ar-SA"/>
        </w:rPr>
        <w:t>Le PGES vise spécifiquement à :</w:t>
      </w:r>
    </w:p>
    <w:p w14:paraId="5780CA8E" w14:textId="77777777" w:rsidR="00D96EE0" w:rsidRDefault="00D96EE0" w:rsidP="0001633E">
      <w:pPr>
        <w:pStyle w:val="Paragraphedeliste"/>
        <w:numPr>
          <w:ilvl w:val="0"/>
          <w:numId w:val="128"/>
        </w:numPr>
        <w:rPr>
          <w:lang w:eastAsia="fr-FR" w:bidi="ar-SA"/>
        </w:rPr>
      </w:pPr>
      <w:r>
        <w:rPr>
          <w:lang w:eastAsia="fr-FR" w:bidi="ar-SA"/>
        </w:rPr>
        <w:t>Traduire en plan d’action opérationnel les mesures d’atténuation, de compensation et de bonification issues de l’EIES ;</w:t>
      </w:r>
    </w:p>
    <w:p w14:paraId="673040A6" w14:textId="77777777" w:rsidR="00D96EE0" w:rsidRDefault="00D96EE0" w:rsidP="0001633E">
      <w:pPr>
        <w:pStyle w:val="Paragraphedeliste"/>
        <w:numPr>
          <w:ilvl w:val="0"/>
          <w:numId w:val="128"/>
        </w:numPr>
        <w:rPr>
          <w:lang w:eastAsia="fr-FR" w:bidi="ar-SA"/>
        </w:rPr>
      </w:pPr>
      <w:r>
        <w:rPr>
          <w:lang w:eastAsia="fr-FR" w:bidi="ar-SA"/>
        </w:rPr>
        <w:t>Définir les responsabilités institutionnelles et organisationnelles pour la mise en œuvre et le suivi des mesures ;</w:t>
      </w:r>
    </w:p>
    <w:p w14:paraId="1CE0C5A6" w14:textId="77777777" w:rsidR="00D96EE0" w:rsidRDefault="00D96EE0" w:rsidP="0001633E">
      <w:pPr>
        <w:pStyle w:val="Paragraphedeliste"/>
        <w:numPr>
          <w:ilvl w:val="0"/>
          <w:numId w:val="128"/>
        </w:numPr>
        <w:rPr>
          <w:lang w:eastAsia="fr-FR" w:bidi="ar-SA"/>
        </w:rPr>
      </w:pPr>
      <w:r>
        <w:rPr>
          <w:lang w:eastAsia="fr-FR" w:bidi="ar-SA"/>
        </w:rPr>
        <w:t>Établir le plan de surveillance et de suivi environnemental et social, avec des indicateurs mesurables et vérifiables ;</w:t>
      </w:r>
    </w:p>
    <w:p w14:paraId="3634EB66" w14:textId="77777777" w:rsidR="00D96EE0" w:rsidRDefault="00D96EE0" w:rsidP="0001633E">
      <w:pPr>
        <w:pStyle w:val="Paragraphedeliste"/>
        <w:numPr>
          <w:ilvl w:val="0"/>
          <w:numId w:val="128"/>
        </w:numPr>
        <w:rPr>
          <w:lang w:eastAsia="fr-FR" w:bidi="ar-SA"/>
        </w:rPr>
      </w:pPr>
      <w:r>
        <w:rPr>
          <w:lang w:eastAsia="fr-FR" w:bidi="ar-SA"/>
        </w:rPr>
        <w:t>Mettre en place un mécanisme de gestion des plaintes, accessible et confidentiel ;</w:t>
      </w:r>
    </w:p>
    <w:p w14:paraId="71D1E166" w14:textId="77777777" w:rsidR="00D96EE0" w:rsidRDefault="00D96EE0" w:rsidP="0001633E">
      <w:pPr>
        <w:pStyle w:val="Paragraphedeliste"/>
        <w:numPr>
          <w:ilvl w:val="0"/>
          <w:numId w:val="128"/>
        </w:numPr>
        <w:rPr>
          <w:lang w:eastAsia="fr-FR" w:bidi="ar-SA"/>
        </w:rPr>
      </w:pPr>
      <w:r>
        <w:rPr>
          <w:lang w:eastAsia="fr-FR" w:bidi="ar-SA"/>
        </w:rPr>
        <w:t>Renforcer les capacités du personnel et des parties prenantes impliquées dans la gestion environnementale et sociale du projet ;</w:t>
      </w:r>
    </w:p>
    <w:p w14:paraId="3E178EE5" w14:textId="32DD60A8" w:rsidR="0037316E" w:rsidRPr="0037316E" w:rsidRDefault="00D96EE0" w:rsidP="0001633E">
      <w:pPr>
        <w:pStyle w:val="Paragraphedeliste"/>
        <w:numPr>
          <w:ilvl w:val="0"/>
          <w:numId w:val="128"/>
        </w:numPr>
        <w:rPr>
          <w:lang w:eastAsia="fr-FR" w:bidi="ar-SA"/>
        </w:rPr>
      </w:pPr>
      <w:r>
        <w:rPr>
          <w:lang w:eastAsia="fr-FR" w:bidi="ar-SA"/>
        </w:rPr>
        <w:t>Assurer la traçabilité et la conformité des actions E&amp;S à travers le reporting, l’audit et la mise à jour continue du plan.</w:t>
      </w:r>
    </w:p>
    <w:p w14:paraId="15BE814F" w14:textId="38DAF8D2" w:rsidR="0037316E" w:rsidRDefault="00314E74" w:rsidP="00314E74">
      <w:pPr>
        <w:pStyle w:val="Title2"/>
        <w:rPr>
          <w:lang w:val="fr-MA" w:eastAsia="fr-FR" w:bidi="ar-SA"/>
        </w:rPr>
      </w:pPr>
      <w:bookmarkStart w:id="527" w:name="_Toc215131912"/>
      <w:r>
        <w:rPr>
          <w:lang w:val="fr-MA" w:eastAsia="fr-FR" w:bidi="ar-SA"/>
        </w:rPr>
        <w:t>Portée et application du PGES</w:t>
      </w:r>
      <w:bookmarkEnd w:id="527"/>
    </w:p>
    <w:p w14:paraId="26F3A1F8" w14:textId="0154F2F4" w:rsidR="00314E74" w:rsidRDefault="00314E74" w:rsidP="00314E74">
      <w:pPr>
        <w:rPr>
          <w:lang w:eastAsia="fr-FR" w:bidi="ar-SA"/>
        </w:rPr>
      </w:pPr>
      <w:r w:rsidRPr="00314E74">
        <w:rPr>
          <w:lang w:eastAsia="fr-FR" w:bidi="ar-SA"/>
        </w:rPr>
        <w:t xml:space="preserve">Le PGES s’applique à </w:t>
      </w:r>
      <w:r w:rsidRPr="004637C7">
        <w:rPr>
          <w:lang w:eastAsia="fr-FR" w:bidi="ar-SA"/>
        </w:rPr>
        <w:t>toutes les phases du projet</w:t>
      </w:r>
      <w:r w:rsidRPr="00314E74">
        <w:rPr>
          <w:lang w:eastAsia="fr-FR" w:bidi="ar-SA"/>
        </w:rPr>
        <w:t xml:space="preserve">, incluant la </w:t>
      </w:r>
      <w:r w:rsidRPr="004637C7">
        <w:rPr>
          <w:lang w:eastAsia="fr-FR" w:bidi="ar-SA"/>
        </w:rPr>
        <w:t>conception, la construction, l’exploitation et le démantèlement éventuel</w:t>
      </w:r>
      <w:r w:rsidRPr="00314E74">
        <w:rPr>
          <w:lang w:eastAsia="fr-FR" w:bidi="ar-SA"/>
        </w:rPr>
        <w:t xml:space="preserve">, ainsi qu’à l’ensemble des </w:t>
      </w:r>
      <w:r w:rsidRPr="004637C7">
        <w:rPr>
          <w:lang w:eastAsia="fr-FR" w:bidi="ar-SA"/>
        </w:rPr>
        <w:t>composantes environnementales et sociales</w:t>
      </w:r>
      <w:r w:rsidRPr="00314E74">
        <w:rPr>
          <w:lang w:eastAsia="fr-FR" w:bidi="ar-SA"/>
        </w:rPr>
        <w:t xml:space="preserve"> susceptibles d’être affectées par les activités du projet.</w:t>
      </w:r>
    </w:p>
    <w:p w14:paraId="2971B2AB" w14:textId="4F729063" w:rsidR="00314E74" w:rsidRPr="00314E74" w:rsidRDefault="00B16A47" w:rsidP="00314E74">
      <w:pPr>
        <w:rPr>
          <w:lang w:eastAsia="fr-FR" w:bidi="ar-SA"/>
        </w:rPr>
      </w:pPr>
      <w:r>
        <w:rPr>
          <w:lang w:eastAsia="fr-FR" w:bidi="ar-SA"/>
        </w:rPr>
        <w:t>Il</w:t>
      </w:r>
      <w:r w:rsidR="00314E74" w:rsidRPr="00314E74">
        <w:rPr>
          <w:lang w:eastAsia="fr-FR" w:bidi="ar-SA"/>
        </w:rPr>
        <w:t xml:space="preserve"> couvre notamment :</w:t>
      </w:r>
    </w:p>
    <w:p w14:paraId="09E004B8" w14:textId="77777777" w:rsidR="00314E74" w:rsidRPr="00FB1BD3" w:rsidRDefault="00314E74" w:rsidP="0001633E">
      <w:pPr>
        <w:numPr>
          <w:ilvl w:val="0"/>
          <w:numId w:val="137"/>
        </w:numPr>
        <w:rPr>
          <w:lang w:eastAsia="fr-FR" w:bidi="ar-SA"/>
        </w:rPr>
      </w:pPr>
      <w:r w:rsidRPr="00FB1BD3">
        <w:rPr>
          <w:lang w:eastAsia="fr-FR" w:bidi="ar-SA"/>
        </w:rPr>
        <w:t xml:space="preserve">Les </w:t>
      </w:r>
      <w:r w:rsidRPr="004637C7">
        <w:rPr>
          <w:lang w:eastAsia="fr-FR" w:bidi="ar-SA"/>
        </w:rPr>
        <w:t>mesures environnementales et sociales</w:t>
      </w:r>
      <w:r w:rsidRPr="00FB1BD3">
        <w:rPr>
          <w:lang w:eastAsia="fr-FR" w:bidi="ar-SA"/>
        </w:rPr>
        <w:t xml:space="preserve"> à intégrer dès la conception et la planification du projet ;</w:t>
      </w:r>
    </w:p>
    <w:p w14:paraId="7221BBF7" w14:textId="77777777" w:rsidR="00314E74" w:rsidRPr="00FB1BD3" w:rsidRDefault="00314E74" w:rsidP="0001633E">
      <w:pPr>
        <w:numPr>
          <w:ilvl w:val="0"/>
          <w:numId w:val="137"/>
        </w:numPr>
        <w:rPr>
          <w:lang w:eastAsia="fr-FR" w:bidi="ar-SA"/>
        </w:rPr>
      </w:pPr>
      <w:r w:rsidRPr="00FB1BD3">
        <w:rPr>
          <w:lang w:eastAsia="fr-FR" w:bidi="ar-SA"/>
        </w:rPr>
        <w:t xml:space="preserve">Les </w:t>
      </w:r>
      <w:r w:rsidRPr="004637C7">
        <w:rPr>
          <w:lang w:eastAsia="fr-FR" w:bidi="ar-SA"/>
        </w:rPr>
        <w:t>mesures de bonification</w:t>
      </w:r>
      <w:r w:rsidRPr="00FB1BD3">
        <w:rPr>
          <w:lang w:eastAsia="fr-FR" w:bidi="ar-SA"/>
        </w:rPr>
        <w:t xml:space="preserve"> pour maximiser les retombées positives ;</w:t>
      </w:r>
    </w:p>
    <w:p w14:paraId="1334EA9E" w14:textId="77777777" w:rsidR="00314E74" w:rsidRPr="00FB1BD3" w:rsidRDefault="00314E74" w:rsidP="0001633E">
      <w:pPr>
        <w:numPr>
          <w:ilvl w:val="0"/>
          <w:numId w:val="137"/>
        </w:numPr>
        <w:rPr>
          <w:lang w:eastAsia="fr-FR" w:bidi="ar-SA"/>
        </w:rPr>
      </w:pPr>
      <w:r w:rsidRPr="00FB1BD3">
        <w:rPr>
          <w:lang w:eastAsia="fr-FR" w:bidi="ar-SA"/>
        </w:rPr>
        <w:t xml:space="preserve">Les </w:t>
      </w:r>
      <w:r w:rsidRPr="004637C7">
        <w:rPr>
          <w:lang w:eastAsia="fr-FR" w:bidi="ar-SA"/>
        </w:rPr>
        <w:t>mesures d’atténuation et de gestion des risques</w:t>
      </w:r>
      <w:r w:rsidRPr="00FB1BD3">
        <w:rPr>
          <w:lang w:eastAsia="fr-FR" w:bidi="ar-SA"/>
        </w:rPr>
        <w:t xml:space="preserve"> par phase (construction, exploitation) et par composante du milieu (air, sol, eau, biodiversité, santé et sécurité, milieu humain, etc.) ;</w:t>
      </w:r>
    </w:p>
    <w:p w14:paraId="70197AD9" w14:textId="77777777" w:rsidR="00314E74" w:rsidRPr="00FB1BD3" w:rsidRDefault="00314E74" w:rsidP="0001633E">
      <w:pPr>
        <w:numPr>
          <w:ilvl w:val="0"/>
          <w:numId w:val="137"/>
        </w:numPr>
        <w:rPr>
          <w:lang w:eastAsia="fr-FR" w:bidi="ar-SA"/>
        </w:rPr>
      </w:pPr>
      <w:r w:rsidRPr="00FB1BD3">
        <w:rPr>
          <w:lang w:eastAsia="fr-FR" w:bidi="ar-SA"/>
        </w:rPr>
        <w:t xml:space="preserve">Le </w:t>
      </w:r>
      <w:r w:rsidRPr="004637C7">
        <w:rPr>
          <w:lang w:eastAsia="fr-FR" w:bidi="ar-SA"/>
        </w:rPr>
        <w:t>plan de surveillance et de suivi</w:t>
      </w:r>
      <w:r w:rsidRPr="00FB1BD3">
        <w:rPr>
          <w:lang w:eastAsia="fr-FR" w:bidi="ar-SA"/>
        </w:rPr>
        <w:t xml:space="preserve"> environnemental et social avec des indicateurs de performance vérifiables ;</w:t>
      </w:r>
    </w:p>
    <w:p w14:paraId="1C8AD3AA" w14:textId="77777777" w:rsidR="00314E74" w:rsidRPr="00FB1BD3" w:rsidRDefault="00314E74" w:rsidP="0001633E">
      <w:pPr>
        <w:numPr>
          <w:ilvl w:val="0"/>
          <w:numId w:val="137"/>
        </w:numPr>
        <w:rPr>
          <w:lang w:eastAsia="fr-FR" w:bidi="ar-SA"/>
        </w:rPr>
      </w:pPr>
      <w:r w:rsidRPr="00FB1BD3">
        <w:rPr>
          <w:lang w:eastAsia="fr-FR" w:bidi="ar-SA"/>
        </w:rPr>
        <w:t xml:space="preserve">Le </w:t>
      </w:r>
      <w:r w:rsidRPr="004637C7">
        <w:rPr>
          <w:lang w:eastAsia="fr-FR" w:bidi="ar-SA"/>
        </w:rPr>
        <w:t>plan de renforcement des capacités</w:t>
      </w:r>
      <w:r w:rsidRPr="00FB1BD3">
        <w:rPr>
          <w:lang w:eastAsia="fr-FR" w:bidi="ar-SA"/>
        </w:rPr>
        <w:t>, d’information et de communication ;</w:t>
      </w:r>
    </w:p>
    <w:p w14:paraId="14E6EBEA" w14:textId="77777777" w:rsidR="00314E74" w:rsidRPr="00FB1BD3" w:rsidRDefault="00314E74" w:rsidP="0001633E">
      <w:pPr>
        <w:numPr>
          <w:ilvl w:val="0"/>
          <w:numId w:val="137"/>
        </w:numPr>
        <w:rPr>
          <w:lang w:eastAsia="fr-FR" w:bidi="ar-SA"/>
        </w:rPr>
      </w:pPr>
      <w:r w:rsidRPr="00FB1BD3">
        <w:rPr>
          <w:lang w:eastAsia="fr-FR" w:bidi="ar-SA"/>
        </w:rPr>
        <w:lastRenderedPageBreak/>
        <w:t xml:space="preserve">Le </w:t>
      </w:r>
      <w:r w:rsidRPr="004637C7">
        <w:rPr>
          <w:lang w:eastAsia="fr-FR" w:bidi="ar-SA"/>
        </w:rPr>
        <w:t>mécanisme de gestion des plaintes</w:t>
      </w:r>
      <w:r w:rsidRPr="00FB1BD3">
        <w:rPr>
          <w:lang w:eastAsia="fr-FR" w:bidi="ar-SA"/>
        </w:rPr>
        <w:t xml:space="preserve"> adapté aux parties prenantes ;</w:t>
      </w:r>
    </w:p>
    <w:p w14:paraId="79F52A99" w14:textId="77777777" w:rsidR="00314E74" w:rsidRPr="00FB1BD3" w:rsidRDefault="00314E74" w:rsidP="0001633E">
      <w:pPr>
        <w:numPr>
          <w:ilvl w:val="0"/>
          <w:numId w:val="137"/>
        </w:numPr>
        <w:rPr>
          <w:lang w:eastAsia="fr-FR" w:bidi="ar-SA"/>
        </w:rPr>
      </w:pPr>
      <w:r w:rsidRPr="00FB1BD3">
        <w:rPr>
          <w:lang w:eastAsia="fr-FR" w:bidi="ar-SA"/>
        </w:rPr>
        <w:t xml:space="preserve">Les </w:t>
      </w:r>
      <w:r w:rsidRPr="004637C7">
        <w:rPr>
          <w:lang w:eastAsia="fr-FR" w:bidi="ar-SA"/>
        </w:rPr>
        <w:t>dispositions institutionnelles</w:t>
      </w:r>
      <w:r w:rsidRPr="00FB1BD3">
        <w:rPr>
          <w:lang w:eastAsia="fr-FR" w:bidi="ar-SA"/>
        </w:rPr>
        <w:t xml:space="preserve"> pour la coordination, la supervision et le reporting ;</w:t>
      </w:r>
    </w:p>
    <w:p w14:paraId="4D70316F" w14:textId="77777777" w:rsidR="00314E74" w:rsidRPr="00FB1BD3" w:rsidRDefault="00314E74" w:rsidP="0001633E">
      <w:pPr>
        <w:numPr>
          <w:ilvl w:val="0"/>
          <w:numId w:val="137"/>
        </w:numPr>
        <w:rPr>
          <w:lang w:eastAsia="fr-FR" w:bidi="ar-SA"/>
        </w:rPr>
      </w:pPr>
      <w:r w:rsidRPr="00FB1BD3">
        <w:rPr>
          <w:lang w:eastAsia="fr-FR" w:bidi="ar-SA"/>
        </w:rPr>
        <w:t>L’</w:t>
      </w:r>
      <w:r w:rsidRPr="004637C7">
        <w:rPr>
          <w:lang w:eastAsia="fr-FR" w:bidi="ar-SA"/>
        </w:rPr>
        <w:t>estimation des coûts</w:t>
      </w:r>
      <w:r w:rsidRPr="00FB1BD3">
        <w:rPr>
          <w:lang w:eastAsia="fr-FR" w:bidi="ar-SA"/>
        </w:rPr>
        <w:t xml:space="preserve"> de mise en œuvre, ventilée par poste et par phase.</w:t>
      </w:r>
    </w:p>
    <w:p w14:paraId="51DC3D55" w14:textId="32C92CE7" w:rsidR="00314E74" w:rsidRDefault="009B356C" w:rsidP="009B356C">
      <w:pPr>
        <w:pStyle w:val="Title2"/>
        <w:rPr>
          <w:lang w:val="fr-MA" w:eastAsia="fr-FR" w:bidi="ar-SA"/>
        </w:rPr>
      </w:pPr>
      <w:bookmarkStart w:id="528" w:name="_Toc215131913"/>
      <w:r w:rsidRPr="004637C7">
        <w:rPr>
          <w:lang w:val="fr-MA" w:eastAsia="fr-FR" w:bidi="ar-SA"/>
        </w:rPr>
        <w:t>Organisation et responsabilités institutionnelles</w:t>
      </w:r>
      <w:bookmarkEnd w:id="528"/>
      <w:r w:rsidR="00246F91">
        <w:rPr>
          <w:lang w:val="fr-MA" w:eastAsia="fr-FR" w:bidi="ar-SA"/>
        </w:rPr>
        <w:t xml:space="preserve"> </w:t>
      </w:r>
    </w:p>
    <w:p w14:paraId="0DF920F9" w14:textId="490A110A" w:rsidR="009B356C" w:rsidRDefault="003B3D87" w:rsidP="003B3D87">
      <w:pPr>
        <w:pStyle w:val="Title3"/>
        <w:rPr>
          <w:lang w:val="fr-MA" w:eastAsia="fr-FR" w:bidi="ar-SA"/>
        </w:rPr>
      </w:pPr>
      <w:bookmarkStart w:id="529" w:name="_Toc215131914"/>
      <w:r w:rsidRPr="003B3D87">
        <w:rPr>
          <w:lang w:val="fr-MA" w:eastAsia="fr-FR" w:bidi="ar-SA"/>
        </w:rPr>
        <w:t>Principes de gouvernance environnementale et sociale</w:t>
      </w:r>
      <w:bookmarkEnd w:id="529"/>
    </w:p>
    <w:p w14:paraId="3465653B" w14:textId="77777777" w:rsidR="00CF5BA0" w:rsidRPr="006B3E83" w:rsidRDefault="00CF5BA0" w:rsidP="00CF5BA0">
      <w:pPr>
        <w:rPr>
          <w:lang w:eastAsia="fr-FR" w:bidi="ar-SA"/>
        </w:rPr>
      </w:pPr>
      <w:r w:rsidRPr="00CF5BA0">
        <w:rPr>
          <w:lang w:eastAsia="fr-FR" w:bidi="ar-SA"/>
        </w:rPr>
        <w:t xml:space="preserve">La mise en œuvre du Plan de Gestion Environnementale et Sociale (PGES) repose sur un dispositif institutionnel clairement défini, </w:t>
      </w:r>
      <w:r w:rsidRPr="006B3E83">
        <w:rPr>
          <w:lang w:eastAsia="fr-FR" w:bidi="ar-SA"/>
        </w:rPr>
        <w:t xml:space="preserve">garantissant la </w:t>
      </w:r>
      <w:r w:rsidRPr="004637C7">
        <w:rPr>
          <w:lang w:eastAsia="fr-FR" w:bidi="ar-SA"/>
        </w:rPr>
        <w:t>coordination, la supervision et le suivi</w:t>
      </w:r>
      <w:r w:rsidRPr="006B3E83">
        <w:rPr>
          <w:lang w:eastAsia="fr-FR" w:bidi="ar-SA"/>
        </w:rPr>
        <w:t xml:space="preserve"> de l’ensemble des mesures environnementales et sociales durant les différentes phases du projet.</w:t>
      </w:r>
    </w:p>
    <w:p w14:paraId="30E95B28" w14:textId="77777777" w:rsidR="00CF5BA0" w:rsidRPr="006B3E83" w:rsidRDefault="00CF5BA0" w:rsidP="00CF5BA0">
      <w:pPr>
        <w:rPr>
          <w:lang w:eastAsia="fr-FR" w:bidi="ar-SA"/>
        </w:rPr>
      </w:pPr>
      <w:r w:rsidRPr="006B3E83">
        <w:rPr>
          <w:lang w:eastAsia="fr-FR" w:bidi="ar-SA"/>
        </w:rPr>
        <w:t>Ce dispositif vise à :</w:t>
      </w:r>
    </w:p>
    <w:p w14:paraId="035AD564" w14:textId="77777777" w:rsidR="00CF5BA0" w:rsidRPr="006B3E83" w:rsidRDefault="00CF5BA0" w:rsidP="0001633E">
      <w:pPr>
        <w:numPr>
          <w:ilvl w:val="0"/>
          <w:numId w:val="138"/>
        </w:numPr>
        <w:rPr>
          <w:lang w:eastAsia="fr-FR" w:bidi="ar-SA"/>
        </w:rPr>
      </w:pPr>
      <w:r w:rsidRPr="006B3E83">
        <w:rPr>
          <w:lang w:eastAsia="fr-FR" w:bidi="ar-SA"/>
        </w:rPr>
        <w:t xml:space="preserve">Assurer la </w:t>
      </w:r>
      <w:r w:rsidRPr="004637C7">
        <w:rPr>
          <w:lang w:eastAsia="fr-FR" w:bidi="ar-SA"/>
        </w:rPr>
        <w:t>conformité du projet</w:t>
      </w:r>
      <w:r w:rsidRPr="006B3E83">
        <w:rPr>
          <w:lang w:eastAsia="fr-FR" w:bidi="ar-SA"/>
        </w:rPr>
        <w:t xml:space="preserve"> avec la réglementation nationale et les exigences du </w:t>
      </w:r>
      <w:r w:rsidRPr="004637C7">
        <w:rPr>
          <w:lang w:eastAsia="fr-FR" w:bidi="ar-SA"/>
        </w:rPr>
        <w:t>Système de Sauvegarde Intégré (SSI 2023)</w:t>
      </w:r>
      <w:r w:rsidRPr="006B3E83">
        <w:rPr>
          <w:lang w:eastAsia="fr-FR" w:bidi="ar-SA"/>
        </w:rPr>
        <w:t xml:space="preserve"> de la Banque Africaine de Développement, notamment la SO1 ;</w:t>
      </w:r>
    </w:p>
    <w:p w14:paraId="4EB91839" w14:textId="49050A59" w:rsidR="00CF5BA0" w:rsidRPr="006B3E83" w:rsidRDefault="00CF5BA0" w:rsidP="0001633E">
      <w:pPr>
        <w:numPr>
          <w:ilvl w:val="0"/>
          <w:numId w:val="138"/>
        </w:numPr>
        <w:rPr>
          <w:lang w:eastAsia="fr-FR" w:bidi="ar-SA"/>
        </w:rPr>
      </w:pPr>
      <w:r w:rsidRPr="006B3E83">
        <w:rPr>
          <w:lang w:eastAsia="fr-FR" w:bidi="ar-SA"/>
        </w:rPr>
        <w:t xml:space="preserve">Définir les </w:t>
      </w:r>
      <w:r w:rsidRPr="004637C7">
        <w:rPr>
          <w:lang w:eastAsia="fr-FR" w:bidi="ar-SA"/>
        </w:rPr>
        <w:t>rôles, responsabilités et lignes hiérarchiques</w:t>
      </w:r>
      <w:r w:rsidRPr="006B3E83">
        <w:rPr>
          <w:lang w:eastAsia="fr-FR" w:bidi="ar-SA"/>
        </w:rPr>
        <w:t xml:space="preserve"> entre les différentes entités </w:t>
      </w:r>
      <w:r w:rsidR="00A230AE" w:rsidRPr="006B3E83">
        <w:rPr>
          <w:lang w:eastAsia="fr-FR" w:bidi="ar-SA"/>
        </w:rPr>
        <w:t>impliquées ;</w:t>
      </w:r>
    </w:p>
    <w:p w14:paraId="2DE313B5" w14:textId="77777777" w:rsidR="00CF5BA0" w:rsidRPr="006B3E83" w:rsidRDefault="00CF5BA0" w:rsidP="0001633E">
      <w:pPr>
        <w:numPr>
          <w:ilvl w:val="0"/>
          <w:numId w:val="138"/>
        </w:numPr>
        <w:rPr>
          <w:lang w:eastAsia="fr-FR" w:bidi="ar-SA"/>
        </w:rPr>
      </w:pPr>
      <w:r w:rsidRPr="006B3E83">
        <w:rPr>
          <w:lang w:eastAsia="fr-FR" w:bidi="ar-SA"/>
        </w:rPr>
        <w:t xml:space="preserve">Mettre en place une </w:t>
      </w:r>
      <w:r w:rsidRPr="004637C7">
        <w:rPr>
          <w:lang w:eastAsia="fr-FR" w:bidi="ar-SA"/>
        </w:rPr>
        <w:t>chaîne de communication et de reporting</w:t>
      </w:r>
      <w:r w:rsidRPr="006B3E83">
        <w:rPr>
          <w:lang w:eastAsia="fr-FR" w:bidi="ar-SA"/>
        </w:rPr>
        <w:t xml:space="preserve"> claire, garantissant la traçabilité des informations environnementales et sociales ;</w:t>
      </w:r>
    </w:p>
    <w:p w14:paraId="7B77C7CA" w14:textId="62890349" w:rsidR="00CF5BA0" w:rsidRPr="006B3E83" w:rsidRDefault="00CF5BA0" w:rsidP="0001633E">
      <w:pPr>
        <w:numPr>
          <w:ilvl w:val="0"/>
          <w:numId w:val="138"/>
        </w:numPr>
        <w:rPr>
          <w:lang w:eastAsia="fr-FR" w:bidi="ar-SA"/>
        </w:rPr>
      </w:pPr>
      <w:r w:rsidRPr="006B3E83">
        <w:rPr>
          <w:lang w:eastAsia="fr-FR" w:bidi="ar-SA"/>
        </w:rPr>
        <w:t xml:space="preserve">Favoriser une </w:t>
      </w:r>
      <w:r w:rsidRPr="004637C7">
        <w:rPr>
          <w:lang w:eastAsia="fr-FR" w:bidi="ar-SA"/>
        </w:rPr>
        <w:t>gestion adaptative</w:t>
      </w:r>
      <w:r w:rsidRPr="006B3E83">
        <w:rPr>
          <w:lang w:eastAsia="fr-FR" w:bidi="ar-SA"/>
        </w:rPr>
        <w:t>, intégrant les retours du suivi, des audits et des parties prenantes</w:t>
      </w:r>
      <w:r w:rsidR="00845A73">
        <w:rPr>
          <w:lang w:eastAsia="fr-FR" w:bidi="ar-SA"/>
        </w:rPr>
        <w:t>.</w:t>
      </w:r>
    </w:p>
    <w:p w14:paraId="3195AD13" w14:textId="4BDB55C5" w:rsidR="00CF5BA0" w:rsidRPr="006B3E83" w:rsidRDefault="00845A73" w:rsidP="004637C7">
      <w:pPr>
        <w:pStyle w:val="Title3"/>
        <w:rPr>
          <w:lang w:val="fr-MA" w:eastAsia="fr-FR" w:bidi="ar-SA"/>
        </w:rPr>
      </w:pPr>
      <w:bookmarkStart w:id="530" w:name="_Toc215131915"/>
      <w:r w:rsidRPr="004637C7">
        <w:rPr>
          <w:lang w:val="fr-MA" w:eastAsia="fr-FR" w:bidi="ar-SA"/>
        </w:rPr>
        <w:t>Acteurs et responsabilité</w:t>
      </w:r>
      <w:bookmarkEnd w:id="530"/>
    </w:p>
    <w:p w14:paraId="63A56635" w14:textId="0C5A2187" w:rsidR="00211B4B" w:rsidRPr="00211B4B" w:rsidRDefault="00211B4B" w:rsidP="00211B4B">
      <w:pPr>
        <w:rPr>
          <w:lang w:val="fr-MA" w:eastAsia="fr-FR" w:bidi="ar-SA"/>
        </w:rPr>
      </w:pPr>
      <w:r w:rsidRPr="00211B4B">
        <w:rPr>
          <w:lang w:val="fr-MA" w:eastAsia="fr-FR" w:bidi="ar-SA"/>
        </w:rPr>
        <w:t>La bonne mise en œuvre du présent PGES</w:t>
      </w:r>
      <w:r>
        <w:rPr>
          <w:lang w:val="fr-MA" w:eastAsia="fr-FR" w:bidi="ar-SA"/>
        </w:rPr>
        <w:t xml:space="preserve"> </w:t>
      </w:r>
      <w:r w:rsidRPr="00211B4B">
        <w:rPr>
          <w:lang w:val="fr-MA" w:eastAsia="fr-FR" w:bidi="ar-SA"/>
        </w:rPr>
        <w:t>repose sur une organisation claire définissant, pour chaque entité impliquée, les rôles, responsabilités et obligations de coordination en matière environnementale et sociale.</w:t>
      </w:r>
    </w:p>
    <w:p w14:paraId="7ADA002A" w14:textId="5888D525" w:rsidR="00211B4B" w:rsidRPr="00211B4B" w:rsidRDefault="00211B4B" w:rsidP="00211B4B">
      <w:pPr>
        <w:rPr>
          <w:lang w:val="fr-MA" w:eastAsia="fr-FR" w:bidi="ar-SA"/>
        </w:rPr>
      </w:pPr>
      <w:r w:rsidRPr="00211B4B">
        <w:rPr>
          <w:lang w:val="fr-MA" w:eastAsia="fr-FR" w:bidi="ar-SA"/>
        </w:rPr>
        <w:t>Conformément à la SO1 du SSI 2023</w:t>
      </w:r>
      <w:r w:rsidR="006B3E83">
        <w:rPr>
          <w:lang w:val="fr-MA" w:eastAsia="fr-FR" w:bidi="ar-SA"/>
        </w:rPr>
        <w:t xml:space="preserve"> </w:t>
      </w:r>
      <w:r w:rsidRPr="00211B4B">
        <w:rPr>
          <w:lang w:val="fr-MA" w:eastAsia="fr-FR" w:bidi="ar-SA"/>
        </w:rPr>
        <w:t xml:space="preserve">de la </w:t>
      </w:r>
      <w:r w:rsidR="006B3E83">
        <w:rPr>
          <w:lang w:val="fr-MA" w:eastAsia="fr-FR" w:bidi="ar-SA"/>
        </w:rPr>
        <w:t>BAD</w:t>
      </w:r>
      <w:r w:rsidRPr="00211B4B">
        <w:rPr>
          <w:lang w:val="fr-MA" w:eastAsia="fr-FR" w:bidi="ar-SA"/>
        </w:rPr>
        <w:t>, l’</w:t>
      </w:r>
      <w:r w:rsidR="006B3E83">
        <w:rPr>
          <w:lang w:val="fr-MA" w:eastAsia="fr-FR" w:bidi="ar-SA"/>
        </w:rPr>
        <w:t xml:space="preserve">ONDA </w:t>
      </w:r>
      <w:r w:rsidRPr="00211B4B">
        <w:rPr>
          <w:lang w:val="fr-MA" w:eastAsia="fr-FR" w:bidi="ar-SA"/>
        </w:rPr>
        <w:t>demeure le responsable ultime de la conformité environnementale et sociale du projet.</w:t>
      </w:r>
    </w:p>
    <w:p w14:paraId="18453D60" w14:textId="77777777" w:rsidR="00211B4B" w:rsidRPr="00211B4B" w:rsidRDefault="00211B4B" w:rsidP="00211B4B">
      <w:pPr>
        <w:rPr>
          <w:lang w:val="fr-MA" w:eastAsia="fr-FR" w:bidi="ar-SA"/>
        </w:rPr>
      </w:pPr>
      <w:r w:rsidRPr="00211B4B">
        <w:rPr>
          <w:lang w:val="fr-MA" w:eastAsia="fr-FR" w:bidi="ar-SA"/>
        </w:rPr>
        <w:t>Cependant, cette responsabilité s’exerce à travers une chaîne hiérarchique structurée, comprenant le maître d’ouvrage, l’entreprise EPC, les sous-traitants, la mission de contrôle/AMO et les autorités compétentes.</w:t>
      </w:r>
    </w:p>
    <w:p w14:paraId="2C4A06F3" w14:textId="77777777" w:rsidR="00211B4B" w:rsidRPr="00211B4B" w:rsidRDefault="00211B4B" w:rsidP="00211B4B">
      <w:pPr>
        <w:rPr>
          <w:lang w:val="fr-MA" w:eastAsia="fr-FR" w:bidi="ar-SA"/>
        </w:rPr>
      </w:pPr>
      <w:r w:rsidRPr="00211B4B">
        <w:rPr>
          <w:lang w:val="fr-MA" w:eastAsia="fr-FR" w:bidi="ar-SA"/>
        </w:rPr>
        <w:t>L’objectif de cette organisation est :</w:t>
      </w:r>
    </w:p>
    <w:p w14:paraId="2E4E015E" w14:textId="77777777" w:rsidR="006B3E83" w:rsidRDefault="00211B4B" w:rsidP="0001633E">
      <w:pPr>
        <w:pStyle w:val="Paragraphedeliste"/>
        <w:numPr>
          <w:ilvl w:val="0"/>
          <w:numId w:val="128"/>
        </w:numPr>
        <w:rPr>
          <w:lang w:val="fr-MA" w:eastAsia="fr-FR" w:bidi="ar-SA"/>
        </w:rPr>
      </w:pPr>
      <w:r w:rsidRPr="00B16A47">
        <w:rPr>
          <w:lang w:val="fr-MA" w:eastAsia="fr-FR" w:bidi="ar-SA"/>
        </w:rPr>
        <w:t>d’assurer une exécution efficace et cohérente des mesures d’atténuation, de compensation et de bonification définies dans le PGES ;</w:t>
      </w:r>
    </w:p>
    <w:p w14:paraId="795E6CA2" w14:textId="417B3285" w:rsidR="00211B4B" w:rsidRPr="00B16A47" w:rsidRDefault="00211B4B" w:rsidP="0001633E">
      <w:pPr>
        <w:pStyle w:val="Paragraphedeliste"/>
        <w:numPr>
          <w:ilvl w:val="0"/>
          <w:numId w:val="128"/>
        </w:numPr>
        <w:rPr>
          <w:lang w:val="fr-MA" w:eastAsia="fr-FR" w:bidi="ar-SA"/>
        </w:rPr>
      </w:pPr>
      <w:r w:rsidRPr="00B16A47">
        <w:rPr>
          <w:lang w:val="fr-MA" w:eastAsia="fr-FR" w:bidi="ar-SA"/>
        </w:rPr>
        <w:t>de garantir une communication fluide entre les acteurs institutionnels, techniques et opérationnels ;</w:t>
      </w:r>
    </w:p>
    <w:p w14:paraId="1627B4A5" w14:textId="51D93166" w:rsidR="00211B4B" w:rsidRPr="00B16A47" w:rsidRDefault="00211B4B" w:rsidP="0001633E">
      <w:pPr>
        <w:pStyle w:val="Paragraphedeliste"/>
        <w:numPr>
          <w:ilvl w:val="0"/>
          <w:numId w:val="128"/>
        </w:numPr>
        <w:rPr>
          <w:lang w:val="fr-MA" w:eastAsia="fr-FR" w:bidi="ar-SA"/>
        </w:rPr>
      </w:pPr>
      <w:r w:rsidRPr="00B16A47">
        <w:rPr>
          <w:lang w:val="fr-MA" w:eastAsia="fr-FR" w:bidi="ar-SA"/>
        </w:rPr>
        <w:t>et de favoriser un suivi coordonné et réactif, fondé sur la remontée d’informations, la vérification des performances et la mise en œuvre d’actions correctives en cas de non-conformité.</w:t>
      </w:r>
    </w:p>
    <w:p w14:paraId="45E45F67" w14:textId="082D1973" w:rsidR="003B3D87" w:rsidRDefault="00211B4B" w:rsidP="00211B4B">
      <w:pPr>
        <w:rPr>
          <w:lang w:val="fr-MA" w:eastAsia="fr-FR" w:bidi="ar-SA"/>
        </w:rPr>
      </w:pPr>
      <w:r w:rsidRPr="00211B4B">
        <w:rPr>
          <w:lang w:val="fr-MA" w:eastAsia="fr-FR" w:bidi="ar-SA"/>
        </w:rPr>
        <w:t>Le tableau ci-après présente la répartition des responsabilités des principaux acteurs du projet en matière de gestion environnementale et sociale.</w:t>
      </w:r>
    </w:p>
    <w:p w14:paraId="49A2DF01" w14:textId="29530CC9" w:rsidR="006B3E83" w:rsidRDefault="006B3E83" w:rsidP="00AA22F2">
      <w:pPr>
        <w:pStyle w:val="Lgende"/>
        <w:keepNext/>
      </w:pPr>
      <w:bookmarkStart w:id="531" w:name="_Toc213404394"/>
      <w:r>
        <w:lastRenderedPageBreak/>
        <w:t xml:space="preserve">Tableau </w:t>
      </w:r>
      <w:r>
        <w:fldChar w:fldCharType="begin"/>
      </w:r>
      <w:r>
        <w:instrText xml:space="preserve"> SEQ Tableau \* ARABIC </w:instrText>
      </w:r>
      <w:r>
        <w:fldChar w:fldCharType="separate"/>
      </w:r>
      <w:r w:rsidR="00274E71">
        <w:rPr>
          <w:noProof/>
        </w:rPr>
        <w:t>72</w:t>
      </w:r>
      <w:r>
        <w:fldChar w:fldCharType="end"/>
      </w:r>
      <w:r>
        <w:rPr>
          <w:lang w:val="fr-FR"/>
        </w:rPr>
        <w:t xml:space="preserve"> : </w:t>
      </w:r>
      <w:r w:rsidR="00AA22F2">
        <w:rPr>
          <w:lang w:val="fr-FR"/>
        </w:rPr>
        <w:t>R</w:t>
      </w:r>
      <w:r w:rsidRPr="000219B1">
        <w:rPr>
          <w:lang w:val="fr-FR"/>
        </w:rPr>
        <w:t>épartition des responsabilités des principaux acteurs du projet en matière de gestion environnementale et sociale</w:t>
      </w:r>
      <w:bookmarkEnd w:id="531"/>
    </w:p>
    <w:tbl>
      <w:tblPr>
        <w:tblStyle w:val="TableauGrille1Clair-Accentuation111"/>
        <w:tblW w:w="0" w:type="auto"/>
        <w:tblLook w:val="04A0" w:firstRow="1" w:lastRow="0" w:firstColumn="1" w:lastColumn="0" w:noHBand="0" w:noVBand="1"/>
      </w:tblPr>
      <w:tblGrid>
        <w:gridCol w:w="3424"/>
        <w:gridCol w:w="5636"/>
      </w:tblGrid>
      <w:tr w:rsidR="00E479EA" w:rsidRPr="00E479EA" w14:paraId="346B7582" w14:textId="77777777" w:rsidTr="00D74FB8">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0" w:type="auto"/>
            <w:hideMark/>
          </w:tcPr>
          <w:p w14:paraId="7B4C8524" w14:textId="77777777" w:rsidR="00E85064" w:rsidRPr="00AA22F2" w:rsidRDefault="00E85064" w:rsidP="00E85064">
            <w:pPr>
              <w:rPr>
                <w:szCs w:val="20"/>
                <w:lang w:eastAsia="fr-FR" w:bidi="ar-SA"/>
              </w:rPr>
            </w:pPr>
            <w:r w:rsidRPr="00AA22F2">
              <w:rPr>
                <w:szCs w:val="20"/>
                <w:lang w:eastAsia="fr-FR" w:bidi="ar-SA"/>
              </w:rPr>
              <w:t>Acteur / Structure</w:t>
            </w:r>
          </w:p>
        </w:tc>
        <w:tc>
          <w:tcPr>
            <w:tcW w:w="0" w:type="auto"/>
            <w:hideMark/>
          </w:tcPr>
          <w:p w14:paraId="419CB8D4" w14:textId="77777777" w:rsidR="00E85064" w:rsidRPr="00AA22F2" w:rsidRDefault="00E85064" w:rsidP="00E85064">
            <w:pPr>
              <w:cnfStyle w:val="100000000000" w:firstRow="1" w:lastRow="0" w:firstColumn="0" w:lastColumn="0" w:oddVBand="0" w:evenVBand="0" w:oddHBand="0" w:evenHBand="0" w:firstRowFirstColumn="0" w:firstRowLastColumn="0" w:lastRowFirstColumn="0" w:lastRowLastColumn="0"/>
              <w:rPr>
                <w:szCs w:val="20"/>
                <w:lang w:eastAsia="fr-FR" w:bidi="ar-SA"/>
              </w:rPr>
            </w:pPr>
            <w:r w:rsidRPr="00AA22F2">
              <w:rPr>
                <w:szCs w:val="20"/>
                <w:lang w:eastAsia="fr-FR" w:bidi="ar-SA"/>
              </w:rPr>
              <w:t>Responsabilités principales en matière de gestion E&amp;S</w:t>
            </w:r>
          </w:p>
        </w:tc>
      </w:tr>
      <w:tr w:rsidR="00E479EA" w:rsidRPr="00E479EA" w14:paraId="5045023A" w14:textId="77777777" w:rsidTr="00E85064">
        <w:tc>
          <w:tcPr>
            <w:cnfStyle w:val="001000000000" w:firstRow="0" w:lastRow="0" w:firstColumn="1" w:lastColumn="0" w:oddVBand="0" w:evenVBand="0" w:oddHBand="0" w:evenHBand="0" w:firstRowFirstColumn="0" w:firstRowLastColumn="0" w:lastRowFirstColumn="0" w:lastRowLastColumn="0"/>
            <w:tcW w:w="0" w:type="auto"/>
            <w:hideMark/>
          </w:tcPr>
          <w:p w14:paraId="1987C390" w14:textId="77777777" w:rsidR="00E85064" w:rsidRPr="00AA22F2" w:rsidRDefault="00E85064" w:rsidP="00E85064">
            <w:pPr>
              <w:rPr>
                <w:szCs w:val="20"/>
                <w:lang w:eastAsia="fr-FR" w:bidi="ar-SA"/>
              </w:rPr>
            </w:pPr>
            <w:r w:rsidRPr="00AA22F2">
              <w:rPr>
                <w:szCs w:val="20"/>
                <w:lang w:eastAsia="fr-FR" w:bidi="ar-SA"/>
              </w:rPr>
              <w:t xml:space="preserve">Office National des Aéroports (ONDA) – </w:t>
            </w:r>
            <w:r w:rsidRPr="00AA22F2">
              <w:rPr>
                <w:i/>
                <w:iCs/>
                <w:szCs w:val="20"/>
                <w:lang w:eastAsia="fr-FR" w:bidi="ar-SA"/>
              </w:rPr>
              <w:t>Maître d’ouvrage</w:t>
            </w:r>
          </w:p>
        </w:tc>
        <w:tc>
          <w:tcPr>
            <w:tcW w:w="0" w:type="auto"/>
            <w:hideMark/>
          </w:tcPr>
          <w:p w14:paraId="6ECD9387" w14:textId="77777777" w:rsidR="00E85064" w:rsidRPr="00AA22F2" w:rsidRDefault="00E85064" w:rsidP="00E85064">
            <w:pPr>
              <w:cnfStyle w:val="000000000000" w:firstRow="0" w:lastRow="0" w:firstColumn="0" w:lastColumn="0" w:oddVBand="0" w:evenVBand="0" w:oddHBand="0" w:evenHBand="0" w:firstRowFirstColumn="0" w:firstRowLastColumn="0" w:lastRowFirstColumn="0" w:lastRowLastColumn="0"/>
              <w:rPr>
                <w:szCs w:val="20"/>
                <w:lang w:eastAsia="fr-FR" w:bidi="ar-SA"/>
              </w:rPr>
            </w:pPr>
            <w:r w:rsidRPr="00AA22F2">
              <w:rPr>
                <w:szCs w:val="20"/>
                <w:lang w:eastAsia="fr-FR" w:bidi="ar-SA"/>
              </w:rPr>
              <w:t xml:space="preserve">- Assume la </w:t>
            </w:r>
            <w:r w:rsidRPr="004637C7">
              <w:rPr>
                <w:szCs w:val="20"/>
                <w:lang w:eastAsia="fr-FR" w:bidi="ar-SA"/>
              </w:rPr>
              <w:t>responsabilité globale</w:t>
            </w:r>
            <w:r w:rsidRPr="00AA22F2">
              <w:rPr>
                <w:szCs w:val="20"/>
                <w:lang w:eastAsia="fr-FR" w:bidi="ar-SA"/>
              </w:rPr>
              <w:t xml:space="preserve"> de la conformité environnementale et sociale du projet ; -</w:t>
            </w:r>
          </w:p>
          <w:p w14:paraId="67FDDEA0" w14:textId="77777777" w:rsidR="00E85064" w:rsidRPr="00AA22F2" w:rsidRDefault="00E85064" w:rsidP="00E85064">
            <w:pPr>
              <w:cnfStyle w:val="000000000000" w:firstRow="0" w:lastRow="0" w:firstColumn="0" w:lastColumn="0" w:oddVBand="0" w:evenVBand="0" w:oddHBand="0" w:evenHBand="0" w:firstRowFirstColumn="0" w:firstRowLastColumn="0" w:lastRowFirstColumn="0" w:lastRowLastColumn="0"/>
              <w:rPr>
                <w:szCs w:val="20"/>
                <w:lang w:eastAsia="fr-FR" w:bidi="ar-SA"/>
              </w:rPr>
            </w:pPr>
            <w:r w:rsidRPr="00AA22F2">
              <w:rPr>
                <w:szCs w:val="20"/>
                <w:lang w:eastAsia="fr-FR" w:bidi="ar-SA"/>
              </w:rPr>
              <w:t xml:space="preserve">- Valide le PGES et veille à sa mise en œuvre conformément aux exigences du SSI de la BAD ; </w:t>
            </w:r>
          </w:p>
          <w:p w14:paraId="446E5563" w14:textId="77777777" w:rsidR="00E85064" w:rsidRPr="00AA22F2" w:rsidRDefault="00E85064" w:rsidP="00E85064">
            <w:pPr>
              <w:cnfStyle w:val="000000000000" w:firstRow="0" w:lastRow="0" w:firstColumn="0" w:lastColumn="0" w:oddVBand="0" w:evenVBand="0" w:oddHBand="0" w:evenHBand="0" w:firstRowFirstColumn="0" w:firstRowLastColumn="0" w:lastRowFirstColumn="0" w:lastRowLastColumn="0"/>
              <w:rPr>
                <w:szCs w:val="20"/>
                <w:lang w:eastAsia="fr-FR" w:bidi="ar-SA"/>
              </w:rPr>
            </w:pPr>
            <w:r w:rsidRPr="00AA22F2">
              <w:rPr>
                <w:szCs w:val="20"/>
                <w:lang w:eastAsia="fr-FR" w:bidi="ar-SA"/>
              </w:rPr>
              <w:t xml:space="preserve">- Intègre les clauses environnementales et sociales dans les </w:t>
            </w:r>
            <w:r w:rsidRPr="004637C7">
              <w:rPr>
                <w:szCs w:val="20"/>
                <w:lang w:eastAsia="fr-FR" w:bidi="ar-SA"/>
              </w:rPr>
              <w:t>Dossiers d’Appel d’Offres (DAO)</w:t>
            </w:r>
            <w:r w:rsidRPr="00AA22F2">
              <w:rPr>
                <w:szCs w:val="20"/>
                <w:lang w:eastAsia="fr-FR" w:bidi="ar-SA"/>
              </w:rPr>
              <w:t xml:space="preserve"> et contrats EPC ; </w:t>
            </w:r>
          </w:p>
          <w:p w14:paraId="53D14F4A" w14:textId="2757F51A" w:rsidR="00E85064" w:rsidRPr="00AA22F2" w:rsidRDefault="00E85064" w:rsidP="00E85064">
            <w:pPr>
              <w:cnfStyle w:val="000000000000" w:firstRow="0" w:lastRow="0" w:firstColumn="0" w:lastColumn="0" w:oddVBand="0" w:evenVBand="0" w:oddHBand="0" w:evenHBand="0" w:firstRowFirstColumn="0" w:firstRowLastColumn="0" w:lastRowFirstColumn="0" w:lastRowLastColumn="0"/>
              <w:rPr>
                <w:szCs w:val="20"/>
                <w:lang w:eastAsia="fr-FR" w:bidi="ar-SA"/>
              </w:rPr>
            </w:pPr>
            <w:r w:rsidRPr="00AA22F2">
              <w:rPr>
                <w:szCs w:val="20"/>
                <w:lang w:eastAsia="fr-FR" w:bidi="ar-SA"/>
              </w:rPr>
              <w:t xml:space="preserve">- Désigne un responsable </w:t>
            </w:r>
            <w:r w:rsidR="00E479EA">
              <w:rPr>
                <w:szCs w:val="20"/>
                <w:lang w:eastAsia="fr-FR" w:bidi="ar-SA"/>
              </w:rPr>
              <w:t xml:space="preserve">Health, Safety, Security and Environnent </w:t>
            </w:r>
            <w:r w:rsidRPr="004637C7">
              <w:rPr>
                <w:szCs w:val="20"/>
                <w:lang w:eastAsia="fr-FR" w:bidi="ar-SA"/>
              </w:rPr>
              <w:t>(HSSE)</w:t>
            </w:r>
            <w:r w:rsidRPr="00AA22F2">
              <w:rPr>
                <w:szCs w:val="20"/>
                <w:lang w:eastAsia="fr-FR" w:bidi="ar-SA"/>
              </w:rPr>
              <w:t xml:space="preserve"> chargé de la coordination, du suivi et du reporting ; </w:t>
            </w:r>
          </w:p>
          <w:p w14:paraId="260F9255" w14:textId="77777777" w:rsidR="00E85064" w:rsidRPr="00AA22F2" w:rsidRDefault="00E85064" w:rsidP="00E85064">
            <w:pPr>
              <w:cnfStyle w:val="000000000000" w:firstRow="0" w:lastRow="0" w:firstColumn="0" w:lastColumn="0" w:oddVBand="0" w:evenVBand="0" w:oddHBand="0" w:evenHBand="0" w:firstRowFirstColumn="0" w:firstRowLastColumn="0" w:lastRowFirstColumn="0" w:lastRowLastColumn="0"/>
              <w:rPr>
                <w:szCs w:val="20"/>
                <w:lang w:eastAsia="fr-FR" w:bidi="ar-SA"/>
              </w:rPr>
            </w:pPr>
            <w:r w:rsidRPr="00AA22F2">
              <w:rPr>
                <w:szCs w:val="20"/>
                <w:lang w:eastAsia="fr-FR" w:bidi="ar-SA"/>
              </w:rPr>
              <w:t xml:space="preserve">- Assure la </w:t>
            </w:r>
            <w:r w:rsidRPr="004637C7">
              <w:rPr>
                <w:szCs w:val="20"/>
                <w:lang w:eastAsia="fr-FR" w:bidi="ar-SA"/>
              </w:rPr>
              <w:t>communication avec la BAD</w:t>
            </w:r>
            <w:r w:rsidRPr="00AA22F2">
              <w:rPr>
                <w:szCs w:val="20"/>
                <w:lang w:eastAsia="fr-FR" w:bidi="ar-SA"/>
              </w:rPr>
              <w:t xml:space="preserve"> et les autorités compétentes (MTEDD, collectivités locales, etc.) ; </w:t>
            </w:r>
          </w:p>
          <w:p w14:paraId="5191296D" w14:textId="77777777" w:rsidR="00E85064" w:rsidRPr="00AA22F2" w:rsidRDefault="00E85064" w:rsidP="00E85064">
            <w:pPr>
              <w:cnfStyle w:val="000000000000" w:firstRow="0" w:lastRow="0" w:firstColumn="0" w:lastColumn="0" w:oddVBand="0" w:evenVBand="0" w:oddHBand="0" w:evenHBand="0" w:firstRowFirstColumn="0" w:firstRowLastColumn="0" w:lastRowFirstColumn="0" w:lastRowLastColumn="0"/>
              <w:rPr>
                <w:szCs w:val="20"/>
                <w:lang w:eastAsia="fr-FR" w:bidi="ar-SA"/>
              </w:rPr>
            </w:pPr>
            <w:r w:rsidRPr="00AA22F2">
              <w:rPr>
                <w:szCs w:val="20"/>
                <w:lang w:eastAsia="fr-FR" w:bidi="ar-SA"/>
              </w:rPr>
              <w:t xml:space="preserve">- Supervise la mise en œuvre du </w:t>
            </w:r>
            <w:r w:rsidRPr="004637C7">
              <w:rPr>
                <w:szCs w:val="20"/>
                <w:lang w:eastAsia="fr-FR" w:bidi="ar-SA"/>
              </w:rPr>
              <w:t>mécanisme de gestion des plaintes (MGP)</w:t>
            </w:r>
            <w:r w:rsidRPr="00AA22F2">
              <w:rPr>
                <w:szCs w:val="20"/>
                <w:lang w:eastAsia="fr-FR" w:bidi="ar-SA"/>
              </w:rPr>
              <w:t xml:space="preserve"> ; </w:t>
            </w:r>
          </w:p>
          <w:p w14:paraId="08661BCB" w14:textId="3215C2D3" w:rsidR="00E85064" w:rsidRPr="00AA22F2" w:rsidRDefault="00E85064" w:rsidP="00E85064">
            <w:pPr>
              <w:cnfStyle w:val="000000000000" w:firstRow="0" w:lastRow="0" w:firstColumn="0" w:lastColumn="0" w:oddVBand="0" w:evenVBand="0" w:oddHBand="0" w:evenHBand="0" w:firstRowFirstColumn="0" w:firstRowLastColumn="0" w:lastRowFirstColumn="0" w:lastRowLastColumn="0"/>
              <w:rPr>
                <w:szCs w:val="20"/>
                <w:lang w:eastAsia="fr-FR" w:bidi="ar-SA"/>
              </w:rPr>
            </w:pPr>
            <w:r w:rsidRPr="00AA22F2">
              <w:rPr>
                <w:szCs w:val="20"/>
                <w:lang w:eastAsia="fr-FR" w:bidi="ar-SA"/>
              </w:rPr>
              <w:t>- Valide les rapports de conformité E&amp;S transmis par les contractants.</w:t>
            </w:r>
          </w:p>
        </w:tc>
      </w:tr>
      <w:tr w:rsidR="00E479EA" w:rsidRPr="00E479EA" w14:paraId="373510DB" w14:textId="77777777" w:rsidTr="00E85064">
        <w:tc>
          <w:tcPr>
            <w:cnfStyle w:val="001000000000" w:firstRow="0" w:lastRow="0" w:firstColumn="1" w:lastColumn="0" w:oddVBand="0" w:evenVBand="0" w:oddHBand="0" w:evenHBand="0" w:firstRowFirstColumn="0" w:firstRowLastColumn="0" w:lastRowFirstColumn="0" w:lastRowLastColumn="0"/>
            <w:tcW w:w="0" w:type="auto"/>
            <w:hideMark/>
          </w:tcPr>
          <w:p w14:paraId="02734FDA" w14:textId="48705F8B" w:rsidR="00E85064" w:rsidRPr="00AA22F2" w:rsidRDefault="00E85064" w:rsidP="00E85064">
            <w:pPr>
              <w:rPr>
                <w:szCs w:val="20"/>
                <w:lang w:eastAsia="fr-FR" w:bidi="ar-SA"/>
              </w:rPr>
            </w:pPr>
            <w:r w:rsidRPr="00AA22F2">
              <w:rPr>
                <w:szCs w:val="20"/>
                <w:lang w:eastAsia="fr-FR" w:bidi="ar-SA"/>
              </w:rPr>
              <w:t xml:space="preserve">Entreprise EPC </w:t>
            </w:r>
          </w:p>
        </w:tc>
        <w:tc>
          <w:tcPr>
            <w:tcW w:w="0" w:type="auto"/>
            <w:hideMark/>
          </w:tcPr>
          <w:p w14:paraId="211B844A" w14:textId="77777777" w:rsidR="00E85064" w:rsidRPr="00AA22F2" w:rsidRDefault="00E85064" w:rsidP="00E85064">
            <w:pPr>
              <w:cnfStyle w:val="000000000000" w:firstRow="0" w:lastRow="0" w:firstColumn="0" w:lastColumn="0" w:oddVBand="0" w:evenVBand="0" w:oddHBand="0" w:evenHBand="0" w:firstRowFirstColumn="0" w:firstRowLastColumn="0" w:lastRowFirstColumn="0" w:lastRowLastColumn="0"/>
              <w:rPr>
                <w:szCs w:val="20"/>
                <w:lang w:eastAsia="fr-FR" w:bidi="ar-SA"/>
              </w:rPr>
            </w:pPr>
            <w:r w:rsidRPr="00AA22F2">
              <w:rPr>
                <w:szCs w:val="20"/>
                <w:lang w:eastAsia="fr-FR" w:bidi="ar-SA"/>
              </w:rPr>
              <w:t xml:space="preserve">- Met en œuvre les </w:t>
            </w:r>
            <w:r w:rsidRPr="004637C7">
              <w:rPr>
                <w:szCs w:val="20"/>
                <w:lang w:eastAsia="fr-FR" w:bidi="ar-SA"/>
              </w:rPr>
              <w:t>mesures environnementales et sociales</w:t>
            </w:r>
            <w:r w:rsidRPr="00AA22F2">
              <w:rPr>
                <w:szCs w:val="20"/>
                <w:lang w:eastAsia="fr-FR" w:bidi="ar-SA"/>
              </w:rPr>
              <w:t xml:space="preserve"> du PGES pendant la phase de construction ; </w:t>
            </w:r>
          </w:p>
          <w:p w14:paraId="655C8BC5" w14:textId="77777777" w:rsidR="00E85064" w:rsidRPr="00AA22F2" w:rsidRDefault="00E85064" w:rsidP="00E85064">
            <w:pPr>
              <w:cnfStyle w:val="000000000000" w:firstRow="0" w:lastRow="0" w:firstColumn="0" w:lastColumn="0" w:oddVBand="0" w:evenVBand="0" w:oddHBand="0" w:evenHBand="0" w:firstRowFirstColumn="0" w:firstRowLastColumn="0" w:lastRowFirstColumn="0" w:lastRowLastColumn="0"/>
              <w:rPr>
                <w:szCs w:val="20"/>
                <w:lang w:eastAsia="fr-FR" w:bidi="ar-SA"/>
              </w:rPr>
            </w:pPr>
            <w:r w:rsidRPr="00AA22F2">
              <w:rPr>
                <w:szCs w:val="20"/>
                <w:lang w:eastAsia="fr-FR" w:bidi="ar-SA"/>
              </w:rPr>
              <w:t xml:space="preserve">- Prépare les </w:t>
            </w:r>
            <w:r w:rsidRPr="004637C7">
              <w:rPr>
                <w:szCs w:val="20"/>
                <w:lang w:eastAsia="fr-FR" w:bidi="ar-SA"/>
              </w:rPr>
              <w:t>plans de gestion spécifiques</w:t>
            </w:r>
            <w:r w:rsidRPr="00AA22F2">
              <w:rPr>
                <w:szCs w:val="20"/>
                <w:lang w:eastAsia="fr-FR" w:bidi="ar-SA"/>
              </w:rPr>
              <w:t xml:space="preserve"> (CESMP, Plan déchets, Plan OHS, etc.) pour validation par l’ONDA ; </w:t>
            </w:r>
          </w:p>
          <w:p w14:paraId="367562EB" w14:textId="7AF84C34" w:rsidR="00E85064" w:rsidRPr="00AA22F2" w:rsidRDefault="00E85064" w:rsidP="00E85064">
            <w:pPr>
              <w:cnfStyle w:val="000000000000" w:firstRow="0" w:lastRow="0" w:firstColumn="0" w:lastColumn="0" w:oddVBand="0" w:evenVBand="0" w:oddHBand="0" w:evenHBand="0" w:firstRowFirstColumn="0" w:firstRowLastColumn="0" w:lastRowFirstColumn="0" w:lastRowLastColumn="0"/>
              <w:rPr>
                <w:szCs w:val="20"/>
                <w:lang w:eastAsia="fr-FR" w:bidi="ar-SA"/>
              </w:rPr>
            </w:pPr>
            <w:r w:rsidRPr="00AA22F2">
              <w:rPr>
                <w:szCs w:val="20"/>
                <w:lang w:eastAsia="fr-FR" w:bidi="ar-SA"/>
              </w:rPr>
              <w:t xml:space="preserve">- Affecte un </w:t>
            </w:r>
            <w:r w:rsidR="00723A14" w:rsidRPr="004637C7">
              <w:rPr>
                <w:szCs w:val="20"/>
                <w:lang w:eastAsia="fr-FR" w:bidi="ar-SA"/>
              </w:rPr>
              <w:t>responsable</w:t>
            </w:r>
            <w:r w:rsidRPr="004637C7">
              <w:rPr>
                <w:szCs w:val="20"/>
                <w:lang w:eastAsia="fr-FR" w:bidi="ar-SA"/>
              </w:rPr>
              <w:t xml:space="preserve"> HSSE du chantier</w:t>
            </w:r>
            <w:r w:rsidRPr="00AA22F2">
              <w:rPr>
                <w:szCs w:val="20"/>
                <w:lang w:eastAsia="fr-FR" w:bidi="ar-SA"/>
              </w:rPr>
              <w:t xml:space="preserve"> chargé de la conformité HSE, du suivi et de la formation du personnel ; </w:t>
            </w:r>
          </w:p>
          <w:p w14:paraId="584F1D94" w14:textId="77777777" w:rsidR="00E85064" w:rsidRPr="00AA22F2" w:rsidRDefault="00E85064" w:rsidP="00E85064">
            <w:pPr>
              <w:cnfStyle w:val="000000000000" w:firstRow="0" w:lastRow="0" w:firstColumn="0" w:lastColumn="0" w:oddVBand="0" w:evenVBand="0" w:oddHBand="0" w:evenHBand="0" w:firstRowFirstColumn="0" w:firstRowLastColumn="0" w:lastRowFirstColumn="0" w:lastRowLastColumn="0"/>
              <w:rPr>
                <w:szCs w:val="20"/>
                <w:lang w:eastAsia="fr-FR" w:bidi="ar-SA"/>
              </w:rPr>
            </w:pPr>
            <w:r w:rsidRPr="00AA22F2">
              <w:rPr>
                <w:szCs w:val="20"/>
                <w:lang w:eastAsia="fr-FR" w:bidi="ar-SA"/>
              </w:rPr>
              <w:t xml:space="preserve">- Gère les sous-traitants en assurant leur conformité aux exigences E&amp;S contractuelles ; </w:t>
            </w:r>
          </w:p>
          <w:p w14:paraId="47FA6F48" w14:textId="77777777" w:rsidR="00E85064" w:rsidRPr="00AA22F2" w:rsidRDefault="00E85064" w:rsidP="00E85064">
            <w:pPr>
              <w:cnfStyle w:val="000000000000" w:firstRow="0" w:lastRow="0" w:firstColumn="0" w:lastColumn="0" w:oddVBand="0" w:evenVBand="0" w:oddHBand="0" w:evenHBand="0" w:firstRowFirstColumn="0" w:firstRowLastColumn="0" w:lastRowFirstColumn="0" w:lastRowLastColumn="0"/>
              <w:rPr>
                <w:szCs w:val="20"/>
                <w:lang w:eastAsia="fr-FR" w:bidi="ar-SA"/>
              </w:rPr>
            </w:pPr>
            <w:r w:rsidRPr="00AA22F2">
              <w:rPr>
                <w:szCs w:val="20"/>
                <w:lang w:eastAsia="fr-FR" w:bidi="ar-SA"/>
              </w:rPr>
              <w:t xml:space="preserve">- Informe immédiatement l’ONDA de tout incident ou non-conformité majeure ; </w:t>
            </w:r>
          </w:p>
          <w:p w14:paraId="1CCB1D70" w14:textId="1BC0A158" w:rsidR="00E85064" w:rsidRPr="00AA22F2" w:rsidRDefault="00E85064" w:rsidP="00E85064">
            <w:pPr>
              <w:cnfStyle w:val="000000000000" w:firstRow="0" w:lastRow="0" w:firstColumn="0" w:lastColumn="0" w:oddVBand="0" w:evenVBand="0" w:oddHBand="0" w:evenHBand="0" w:firstRowFirstColumn="0" w:firstRowLastColumn="0" w:lastRowFirstColumn="0" w:lastRowLastColumn="0"/>
              <w:rPr>
                <w:szCs w:val="20"/>
                <w:lang w:eastAsia="fr-FR" w:bidi="ar-SA"/>
              </w:rPr>
            </w:pPr>
            <w:r w:rsidRPr="00AA22F2">
              <w:rPr>
                <w:szCs w:val="20"/>
                <w:lang w:eastAsia="fr-FR" w:bidi="ar-SA"/>
              </w:rPr>
              <w:t>- Participe activement au mécanisme de suivi et de gestion des plaintes.</w:t>
            </w:r>
          </w:p>
        </w:tc>
      </w:tr>
      <w:tr w:rsidR="00E479EA" w:rsidRPr="00E479EA" w14:paraId="50CF017C" w14:textId="77777777" w:rsidTr="00E85064">
        <w:tc>
          <w:tcPr>
            <w:cnfStyle w:val="001000000000" w:firstRow="0" w:lastRow="0" w:firstColumn="1" w:lastColumn="0" w:oddVBand="0" w:evenVBand="0" w:oddHBand="0" w:evenHBand="0" w:firstRowFirstColumn="0" w:firstRowLastColumn="0" w:lastRowFirstColumn="0" w:lastRowLastColumn="0"/>
            <w:tcW w:w="0" w:type="auto"/>
            <w:hideMark/>
          </w:tcPr>
          <w:p w14:paraId="09D470C3" w14:textId="77777777" w:rsidR="00E85064" w:rsidRPr="00AA22F2" w:rsidRDefault="00E85064" w:rsidP="00E85064">
            <w:pPr>
              <w:rPr>
                <w:szCs w:val="20"/>
                <w:lang w:eastAsia="fr-FR" w:bidi="ar-SA"/>
              </w:rPr>
            </w:pPr>
            <w:r w:rsidRPr="00AA22F2">
              <w:rPr>
                <w:szCs w:val="20"/>
                <w:lang w:eastAsia="fr-FR" w:bidi="ar-SA"/>
              </w:rPr>
              <w:t>Sous-traitants</w:t>
            </w:r>
          </w:p>
        </w:tc>
        <w:tc>
          <w:tcPr>
            <w:tcW w:w="0" w:type="auto"/>
            <w:hideMark/>
          </w:tcPr>
          <w:p w14:paraId="665A31F5" w14:textId="77777777" w:rsidR="00E85064" w:rsidRPr="00AA22F2" w:rsidRDefault="00E85064" w:rsidP="00E85064">
            <w:pPr>
              <w:cnfStyle w:val="000000000000" w:firstRow="0" w:lastRow="0" w:firstColumn="0" w:lastColumn="0" w:oddVBand="0" w:evenVBand="0" w:oddHBand="0" w:evenHBand="0" w:firstRowFirstColumn="0" w:firstRowLastColumn="0" w:lastRowFirstColumn="0" w:lastRowLastColumn="0"/>
              <w:rPr>
                <w:szCs w:val="20"/>
                <w:lang w:eastAsia="fr-FR" w:bidi="ar-SA"/>
              </w:rPr>
            </w:pPr>
            <w:r w:rsidRPr="00AA22F2">
              <w:rPr>
                <w:szCs w:val="20"/>
                <w:lang w:eastAsia="fr-FR" w:bidi="ar-SA"/>
              </w:rPr>
              <w:t xml:space="preserve">- Appliquent les exigences environnementales, sociales et de sécurité définies dans leurs contrats ; </w:t>
            </w:r>
          </w:p>
          <w:p w14:paraId="19A4BBC1" w14:textId="77777777" w:rsidR="00E85064" w:rsidRPr="00AA22F2" w:rsidRDefault="00E85064" w:rsidP="00E85064">
            <w:pPr>
              <w:cnfStyle w:val="000000000000" w:firstRow="0" w:lastRow="0" w:firstColumn="0" w:lastColumn="0" w:oddVBand="0" w:evenVBand="0" w:oddHBand="0" w:evenHBand="0" w:firstRowFirstColumn="0" w:firstRowLastColumn="0" w:lastRowFirstColumn="0" w:lastRowLastColumn="0"/>
              <w:rPr>
                <w:szCs w:val="20"/>
                <w:lang w:eastAsia="fr-FR" w:bidi="ar-SA"/>
              </w:rPr>
            </w:pPr>
            <w:r w:rsidRPr="00AA22F2">
              <w:rPr>
                <w:szCs w:val="20"/>
                <w:lang w:eastAsia="fr-FR" w:bidi="ar-SA"/>
              </w:rPr>
              <w:t xml:space="preserve">- Respectent les procédures HSE et participent aux formations obligatoires ; </w:t>
            </w:r>
          </w:p>
          <w:p w14:paraId="35F69C17" w14:textId="164CC16A" w:rsidR="00E85064" w:rsidRPr="00AA22F2" w:rsidRDefault="00E85064" w:rsidP="00E85064">
            <w:pPr>
              <w:cnfStyle w:val="000000000000" w:firstRow="0" w:lastRow="0" w:firstColumn="0" w:lastColumn="0" w:oddVBand="0" w:evenVBand="0" w:oddHBand="0" w:evenHBand="0" w:firstRowFirstColumn="0" w:firstRowLastColumn="0" w:lastRowFirstColumn="0" w:lastRowLastColumn="0"/>
              <w:rPr>
                <w:szCs w:val="20"/>
                <w:lang w:eastAsia="fr-FR" w:bidi="ar-SA"/>
              </w:rPr>
            </w:pPr>
            <w:r w:rsidRPr="00AA22F2">
              <w:rPr>
                <w:szCs w:val="20"/>
                <w:lang w:eastAsia="fr-FR" w:bidi="ar-SA"/>
              </w:rPr>
              <w:t>- Tiennent à jour les registres relatifs aux déchets, incidents, accidents et formations.</w:t>
            </w:r>
          </w:p>
        </w:tc>
      </w:tr>
      <w:tr w:rsidR="00E479EA" w:rsidRPr="00E479EA" w14:paraId="1E4BFDB9" w14:textId="77777777" w:rsidTr="00E85064">
        <w:tc>
          <w:tcPr>
            <w:cnfStyle w:val="001000000000" w:firstRow="0" w:lastRow="0" w:firstColumn="1" w:lastColumn="0" w:oddVBand="0" w:evenVBand="0" w:oddHBand="0" w:evenHBand="0" w:firstRowFirstColumn="0" w:firstRowLastColumn="0" w:lastRowFirstColumn="0" w:lastRowLastColumn="0"/>
            <w:tcW w:w="0" w:type="auto"/>
            <w:hideMark/>
          </w:tcPr>
          <w:p w14:paraId="3078D7CD" w14:textId="77777777" w:rsidR="00E85064" w:rsidRPr="00AA22F2" w:rsidRDefault="00E85064" w:rsidP="00E85064">
            <w:pPr>
              <w:rPr>
                <w:szCs w:val="20"/>
                <w:lang w:eastAsia="fr-FR" w:bidi="ar-SA"/>
              </w:rPr>
            </w:pPr>
            <w:r w:rsidRPr="00AA22F2">
              <w:rPr>
                <w:szCs w:val="20"/>
                <w:lang w:eastAsia="fr-FR" w:bidi="ar-SA"/>
              </w:rPr>
              <w:t xml:space="preserve">Mission de Contrôle / AMO Environnementale </w:t>
            </w:r>
            <w:r w:rsidRPr="00AA22F2">
              <w:rPr>
                <w:i/>
                <w:iCs/>
                <w:szCs w:val="20"/>
                <w:lang w:eastAsia="fr-FR" w:bidi="ar-SA"/>
              </w:rPr>
              <w:t>(à confirmer)</w:t>
            </w:r>
          </w:p>
        </w:tc>
        <w:tc>
          <w:tcPr>
            <w:tcW w:w="0" w:type="auto"/>
            <w:hideMark/>
          </w:tcPr>
          <w:p w14:paraId="09E3D979" w14:textId="77777777" w:rsidR="00E85064" w:rsidRPr="00AA22F2" w:rsidRDefault="00E85064" w:rsidP="00E85064">
            <w:pPr>
              <w:cnfStyle w:val="000000000000" w:firstRow="0" w:lastRow="0" w:firstColumn="0" w:lastColumn="0" w:oddVBand="0" w:evenVBand="0" w:oddHBand="0" w:evenHBand="0" w:firstRowFirstColumn="0" w:firstRowLastColumn="0" w:lastRowFirstColumn="0" w:lastRowLastColumn="0"/>
              <w:rPr>
                <w:szCs w:val="20"/>
                <w:lang w:eastAsia="fr-FR" w:bidi="ar-SA"/>
              </w:rPr>
            </w:pPr>
            <w:r w:rsidRPr="00AA22F2">
              <w:rPr>
                <w:szCs w:val="20"/>
                <w:lang w:eastAsia="fr-FR" w:bidi="ar-SA"/>
              </w:rPr>
              <w:t xml:space="preserve">- Supervise la </w:t>
            </w:r>
            <w:r w:rsidRPr="004637C7">
              <w:rPr>
                <w:szCs w:val="20"/>
                <w:lang w:eastAsia="fr-FR" w:bidi="ar-SA"/>
              </w:rPr>
              <w:t>conformité environnementale et sociale</w:t>
            </w:r>
            <w:r w:rsidRPr="00AA22F2">
              <w:rPr>
                <w:szCs w:val="20"/>
                <w:lang w:eastAsia="fr-FR" w:bidi="ar-SA"/>
              </w:rPr>
              <w:t xml:space="preserve"> du chantier ; </w:t>
            </w:r>
          </w:p>
          <w:p w14:paraId="0D280FF9" w14:textId="77777777" w:rsidR="00E85064" w:rsidRPr="00AA22F2" w:rsidRDefault="00E85064" w:rsidP="00E85064">
            <w:pPr>
              <w:cnfStyle w:val="000000000000" w:firstRow="0" w:lastRow="0" w:firstColumn="0" w:lastColumn="0" w:oddVBand="0" w:evenVBand="0" w:oddHBand="0" w:evenHBand="0" w:firstRowFirstColumn="0" w:firstRowLastColumn="0" w:lastRowFirstColumn="0" w:lastRowLastColumn="0"/>
              <w:rPr>
                <w:szCs w:val="20"/>
                <w:lang w:eastAsia="fr-FR" w:bidi="ar-SA"/>
              </w:rPr>
            </w:pPr>
            <w:r w:rsidRPr="00AA22F2">
              <w:rPr>
                <w:szCs w:val="20"/>
                <w:lang w:eastAsia="fr-FR" w:bidi="ar-SA"/>
              </w:rPr>
              <w:t xml:space="preserve">- Contrôle l’application effective des mesures du PGES et des CESMP ; </w:t>
            </w:r>
          </w:p>
          <w:p w14:paraId="0E2C8E08" w14:textId="77777777" w:rsidR="00E85064" w:rsidRPr="00AA22F2" w:rsidRDefault="00E85064" w:rsidP="00E85064">
            <w:pPr>
              <w:cnfStyle w:val="000000000000" w:firstRow="0" w:lastRow="0" w:firstColumn="0" w:lastColumn="0" w:oddVBand="0" w:evenVBand="0" w:oddHBand="0" w:evenHBand="0" w:firstRowFirstColumn="0" w:firstRowLastColumn="0" w:lastRowFirstColumn="0" w:lastRowLastColumn="0"/>
              <w:rPr>
                <w:szCs w:val="20"/>
                <w:lang w:eastAsia="fr-FR" w:bidi="ar-SA"/>
              </w:rPr>
            </w:pPr>
            <w:r w:rsidRPr="00AA22F2">
              <w:rPr>
                <w:szCs w:val="20"/>
                <w:lang w:eastAsia="fr-FR" w:bidi="ar-SA"/>
              </w:rPr>
              <w:lastRenderedPageBreak/>
              <w:t xml:space="preserve">- Vérifie la qualité du suivi environnemental (analyses, mesures de terrain, conformité aux seuils réglementaires) ; </w:t>
            </w:r>
          </w:p>
          <w:p w14:paraId="26FBA093" w14:textId="09A15AFF" w:rsidR="00E85064" w:rsidRPr="00AA22F2" w:rsidRDefault="00E85064" w:rsidP="00E85064">
            <w:pPr>
              <w:cnfStyle w:val="000000000000" w:firstRow="0" w:lastRow="0" w:firstColumn="0" w:lastColumn="0" w:oddVBand="0" w:evenVBand="0" w:oddHBand="0" w:evenHBand="0" w:firstRowFirstColumn="0" w:firstRowLastColumn="0" w:lastRowFirstColumn="0" w:lastRowLastColumn="0"/>
              <w:rPr>
                <w:szCs w:val="20"/>
                <w:lang w:eastAsia="fr-FR" w:bidi="ar-SA"/>
              </w:rPr>
            </w:pPr>
            <w:r w:rsidRPr="00AA22F2">
              <w:rPr>
                <w:szCs w:val="20"/>
                <w:lang w:eastAsia="fr-FR" w:bidi="ar-SA"/>
              </w:rPr>
              <w:t xml:space="preserve">- Assiste l’ONDA dans la préparation des </w:t>
            </w:r>
            <w:r w:rsidRPr="004637C7">
              <w:rPr>
                <w:szCs w:val="20"/>
                <w:lang w:eastAsia="fr-FR" w:bidi="ar-SA"/>
              </w:rPr>
              <w:t>rapports de conformité E&amp;S</w:t>
            </w:r>
            <w:r w:rsidRPr="00AA22F2">
              <w:rPr>
                <w:szCs w:val="20"/>
                <w:lang w:eastAsia="fr-FR" w:bidi="ar-SA"/>
              </w:rPr>
              <w:t xml:space="preserve"> à transmettre à la BAD.</w:t>
            </w:r>
          </w:p>
        </w:tc>
      </w:tr>
      <w:tr w:rsidR="00E479EA" w:rsidRPr="00E479EA" w14:paraId="21B8F849" w14:textId="77777777" w:rsidTr="00E85064">
        <w:tc>
          <w:tcPr>
            <w:cnfStyle w:val="001000000000" w:firstRow="0" w:lastRow="0" w:firstColumn="1" w:lastColumn="0" w:oddVBand="0" w:evenVBand="0" w:oddHBand="0" w:evenHBand="0" w:firstRowFirstColumn="0" w:firstRowLastColumn="0" w:lastRowFirstColumn="0" w:lastRowLastColumn="0"/>
            <w:tcW w:w="0" w:type="auto"/>
            <w:hideMark/>
          </w:tcPr>
          <w:p w14:paraId="64515F46" w14:textId="77777777" w:rsidR="00E85064" w:rsidRPr="00AA22F2" w:rsidRDefault="00E85064" w:rsidP="00E85064">
            <w:pPr>
              <w:rPr>
                <w:szCs w:val="20"/>
                <w:lang w:eastAsia="fr-FR" w:bidi="ar-SA"/>
              </w:rPr>
            </w:pPr>
            <w:r w:rsidRPr="00AA22F2">
              <w:rPr>
                <w:szCs w:val="20"/>
                <w:lang w:eastAsia="fr-FR" w:bidi="ar-SA"/>
              </w:rPr>
              <w:lastRenderedPageBreak/>
              <w:t>Autorités compétentes (MTEDD, ABH, Collectivités territoriales)</w:t>
            </w:r>
          </w:p>
        </w:tc>
        <w:tc>
          <w:tcPr>
            <w:tcW w:w="0" w:type="auto"/>
            <w:hideMark/>
          </w:tcPr>
          <w:p w14:paraId="3A8A746C" w14:textId="77777777" w:rsidR="00E85064" w:rsidRPr="00AA22F2" w:rsidRDefault="00E85064" w:rsidP="00E85064">
            <w:pPr>
              <w:cnfStyle w:val="000000000000" w:firstRow="0" w:lastRow="0" w:firstColumn="0" w:lastColumn="0" w:oddVBand="0" w:evenVBand="0" w:oddHBand="0" w:evenHBand="0" w:firstRowFirstColumn="0" w:firstRowLastColumn="0" w:lastRowFirstColumn="0" w:lastRowLastColumn="0"/>
              <w:rPr>
                <w:szCs w:val="20"/>
                <w:lang w:eastAsia="fr-FR" w:bidi="ar-SA"/>
              </w:rPr>
            </w:pPr>
            <w:r w:rsidRPr="00AA22F2">
              <w:rPr>
                <w:szCs w:val="20"/>
                <w:lang w:eastAsia="fr-FR" w:bidi="ar-SA"/>
              </w:rPr>
              <w:t xml:space="preserve">- Assurent le </w:t>
            </w:r>
            <w:r w:rsidRPr="004637C7">
              <w:rPr>
                <w:szCs w:val="20"/>
                <w:lang w:eastAsia="fr-FR" w:bidi="ar-SA"/>
              </w:rPr>
              <w:t>contrôle réglementaire</w:t>
            </w:r>
            <w:r w:rsidRPr="00AA22F2">
              <w:rPr>
                <w:szCs w:val="20"/>
                <w:lang w:eastAsia="fr-FR" w:bidi="ar-SA"/>
              </w:rPr>
              <w:t xml:space="preserve"> de la conformité environnementale et sociale du projet ; </w:t>
            </w:r>
          </w:p>
          <w:p w14:paraId="127091BC" w14:textId="77777777" w:rsidR="00E85064" w:rsidRPr="00AA22F2" w:rsidRDefault="00E85064" w:rsidP="00E85064">
            <w:pPr>
              <w:cnfStyle w:val="000000000000" w:firstRow="0" w:lastRow="0" w:firstColumn="0" w:lastColumn="0" w:oddVBand="0" w:evenVBand="0" w:oddHBand="0" w:evenHBand="0" w:firstRowFirstColumn="0" w:firstRowLastColumn="0" w:lastRowFirstColumn="0" w:lastRowLastColumn="0"/>
              <w:rPr>
                <w:szCs w:val="20"/>
                <w:lang w:eastAsia="fr-FR" w:bidi="ar-SA"/>
              </w:rPr>
            </w:pPr>
            <w:r w:rsidRPr="00AA22F2">
              <w:rPr>
                <w:szCs w:val="20"/>
                <w:lang w:eastAsia="fr-FR" w:bidi="ar-SA"/>
              </w:rPr>
              <w:t xml:space="preserve">- Effectuent, le cas échéant, des inspections sur site ; </w:t>
            </w:r>
          </w:p>
          <w:p w14:paraId="20C0DBB2" w14:textId="37B3208C" w:rsidR="00E85064" w:rsidRPr="00AA22F2" w:rsidRDefault="00E85064" w:rsidP="00E85064">
            <w:pPr>
              <w:cnfStyle w:val="000000000000" w:firstRow="0" w:lastRow="0" w:firstColumn="0" w:lastColumn="0" w:oddVBand="0" w:evenVBand="0" w:oddHBand="0" w:evenHBand="0" w:firstRowFirstColumn="0" w:firstRowLastColumn="0" w:lastRowFirstColumn="0" w:lastRowLastColumn="0"/>
              <w:rPr>
                <w:szCs w:val="20"/>
                <w:lang w:eastAsia="fr-FR" w:bidi="ar-SA"/>
              </w:rPr>
            </w:pPr>
            <w:r w:rsidRPr="00AA22F2">
              <w:rPr>
                <w:szCs w:val="20"/>
                <w:lang w:eastAsia="fr-FR" w:bidi="ar-SA"/>
              </w:rPr>
              <w:t>- Participent au suivi externe conformément à la législation nationale.</w:t>
            </w:r>
          </w:p>
        </w:tc>
      </w:tr>
    </w:tbl>
    <w:p w14:paraId="74C93D3C" w14:textId="07155AD4" w:rsidR="00E85064" w:rsidRPr="006E53A9" w:rsidRDefault="00C378BB" w:rsidP="004637C7">
      <w:pPr>
        <w:pStyle w:val="Title3"/>
        <w:rPr>
          <w:lang w:val="fr-MA" w:eastAsia="fr-FR" w:bidi="ar-SA"/>
        </w:rPr>
      </w:pPr>
      <w:bookmarkStart w:id="532" w:name="_Toc215131916"/>
      <w:r w:rsidRPr="004637C7">
        <w:rPr>
          <w:lang w:val="fr-MA" w:eastAsia="fr-FR" w:bidi="ar-SA"/>
        </w:rPr>
        <w:t>Ressources humaines et profils requis</w:t>
      </w:r>
      <w:bookmarkEnd w:id="532"/>
    </w:p>
    <w:p w14:paraId="3622DCAC" w14:textId="0BE86B1E" w:rsidR="00C378BB" w:rsidRPr="00C378BB" w:rsidRDefault="00C378BB" w:rsidP="00C378BB">
      <w:pPr>
        <w:rPr>
          <w:lang w:val="fr-MA" w:eastAsia="fr-FR" w:bidi="ar-SA"/>
        </w:rPr>
      </w:pPr>
      <w:r w:rsidRPr="00C378BB">
        <w:rPr>
          <w:lang w:val="fr-MA" w:eastAsia="fr-FR" w:bidi="ar-SA"/>
        </w:rPr>
        <w:t>La mise en œuvre efficace du PGES repose sur la mobilisation de profils qualifiés, disposant de compétences spécifiques en santé, sécurité, environnement et aspects sociaux.</w:t>
      </w:r>
    </w:p>
    <w:p w14:paraId="7278838E" w14:textId="025E17DA" w:rsidR="00C378BB" w:rsidRPr="00C378BB" w:rsidRDefault="0074783F" w:rsidP="00C378BB">
      <w:pPr>
        <w:rPr>
          <w:lang w:val="fr-MA" w:eastAsia="fr-FR" w:bidi="ar-SA"/>
        </w:rPr>
      </w:pPr>
      <w:r>
        <w:rPr>
          <w:lang w:val="fr-MA" w:eastAsia="fr-FR" w:bidi="ar-SA"/>
        </w:rPr>
        <w:t>Le</w:t>
      </w:r>
      <w:r w:rsidR="00C378BB" w:rsidRPr="00C378BB">
        <w:rPr>
          <w:lang w:val="fr-MA" w:eastAsia="fr-FR" w:bidi="ar-SA"/>
        </w:rPr>
        <w:t xml:space="preserve"> promoteur doit démontrer que :</w:t>
      </w:r>
    </w:p>
    <w:p w14:paraId="08040F47" w14:textId="77777777" w:rsidR="0074783F" w:rsidRDefault="00C378BB" w:rsidP="0001633E">
      <w:pPr>
        <w:pStyle w:val="Paragraphedeliste"/>
        <w:numPr>
          <w:ilvl w:val="0"/>
          <w:numId w:val="128"/>
        </w:numPr>
        <w:rPr>
          <w:lang w:val="fr-MA" w:eastAsia="fr-FR" w:bidi="ar-SA"/>
        </w:rPr>
      </w:pPr>
      <w:r w:rsidRPr="006E53A9">
        <w:rPr>
          <w:lang w:val="fr-MA" w:eastAsia="fr-FR" w:bidi="ar-SA"/>
        </w:rPr>
        <w:t>les ressources humaines affectées disposent des qualifications techniques requises ;</w:t>
      </w:r>
    </w:p>
    <w:p w14:paraId="41F799FE" w14:textId="77777777" w:rsidR="0074783F" w:rsidRDefault="00C378BB" w:rsidP="0001633E">
      <w:pPr>
        <w:pStyle w:val="Paragraphedeliste"/>
        <w:numPr>
          <w:ilvl w:val="0"/>
          <w:numId w:val="128"/>
        </w:numPr>
        <w:rPr>
          <w:lang w:val="fr-MA" w:eastAsia="fr-FR" w:bidi="ar-SA"/>
        </w:rPr>
      </w:pPr>
      <w:r w:rsidRPr="006E53A9">
        <w:rPr>
          <w:lang w:val="fr-MA" w:eastAsia="fr-FR" w:bidi="ar-SA"/>
        </w:rPr>
        <w:t xml:space="preserve">les responsabilités </w:t>
      </w:r>
      <w:r w:rsidR="0074783F">
        <w:rPr>
          <w:lang w:val="fr-MA" w:eastAsia="fr-FR" w:bidi="ar-SA"/>
        </w:rPr>
        <w:t>HSS&amp;E</w:t>
      </w:r>
      <w:r w:rsidRPr="006E53A9">
        <w:rPr>
          <w:lang w:val="fr-MA" w:eastAsia="fr-FR" w:bidi="ar-SA"/>
        </w:rPr>
        <w:t xml:space="preserve"> sont réparties de manière claire entre les entités</w:t>
      </w:r>
      <w:r w:rsidR="0074783F">
        <w:rPr>
          <w:lang w:val="fr-MA" w:eastAsia="fr-FR" w:bidi="ar-SA"/>
        </w:rPr>
        <w:t> ;</w:t>
      </w:r>
    </w:p>
    <w:p w14:paraId="1CE031CD" w14:textId="2FFE1851" w:rsidR="00C378BB" w:rsidRPr="006E53A9" w:rsidRDefault="00C378BB" w:rsidP="0001633E">
      <w:pPr>
        <w:pStyle w:val="Paragraphedeliste"/>
        <w:numPr>
          <w:ilvl w:val="0"/>
          <w:numId w:val="128"/>
        </w:numPr>
        <w:rPr>
          <w:lang w:val="fr-MA" w:eastAsia="fr-FR" w:bidi="ar-SA"/>
        </w:rPr>
      </w:pPr>
      <w:r w:rsidRPr="006E53A9">
        <w:rPr>
          <w:lang w:val="fr-MA" w:eastAsia="fr-FR" w:bidi="ar-SA"/>
        </w:rPr>
        <w:t>les personnels concernés bénéficient de formations adaptées et d’un suivi continu de leurs compétences.</w:t>
      </w:r>
    </w:p>
    <w:p w14:paraId="2FD1705E" w14:textId="2D489A37" w:rsidR="00CF5BA0" w:rsidRDefault="00C378BB" w:rsidP="00C378BB">
      <w:pPr>
        <w:rPr>
          <w:lang w:val="fr-MA" w:eastAsia="fr-FR" w:bidi="ar-SA"/>
        </w:rPr>
      </w:pPr>
      <w:r w:rsidRPr="00C378BB">
        <w:rPr>
          <w:lang w:val="fr-MA" w:eastAsia="fr-FR" w:bidi="ar-SA"/>
        </w:rPr>
        <w:t>Les tableaux ci-après précisent les profils à mobiliser pour chaque phase du projet.</w:t>
      </w:r>
    </w:p>
    <w:p w14:paraId="28C71ADE" w14:textId="36C02B5C" w:rsidR="0074783F" w:rsidRDefault="0074783F" w:rsidP="0074783F">
      <w:pPr>
        <w:pStyle w:val="Title4"/>
        <w:rPr>
          <w:lang w:val="fr-MA"/>
        </w:rPr>
      </w:pPr>
      <w:r>
        <w:rPr>
          <w:lang w:val="fr-MA"/>
        </w:rPr>
        <w:t>Phase de construction</w:t>
      </w:r>
    </w:p>
    <w:p w14:paraId="6EC44A4D" w14:textId="23821E13" w:rsidR="00AA22F2" w:rsidRPr="004637C7" w:rsidRDefault="00AA22F2" w:rsidP="004637C7">
      <w:pPr>
        <w:pStyle w:val="Lgende"/>
        <w:rPr>
          <w:lang w:val="fr-FR"/>
        </w:rPr>
      </w:pPr>
      <w:bookmarkStart w:id="533" w:name="_Toc213404395"/>
      <w:r>
        <w:t xml:space="preserve">Tableau </w:t>
      </w:r>
      <w:r>
        <w:fldChar w:fldCharType="begin"/>
      </w:r>
      <w:r>
        <w:instrText xml:space="preserve"> SEQ Tableau \* ARABIC </w:instrText>
      </w:r>
      <w:r>
        <w:fldChar w:fldCharType="separate"/>
      </w:r>
      <w:r w:rsidR="00274E71">
        <w:rPr>
          <w:noProof/>
        </w:rPr>
        <w:t>73</w:t>
      </w:r>
      <w:r>
        <w:fldChar w:fldCharType="end"/>
      </w:r>
      <w:r>
        <w:t xml:space="preserve"> : </w:t>
      </w:r>
      <w:r>
        <w:rPr>
          <w:lang w:val="fr-FR"/>
        </w:rPr>
        <w:t>Profils et responsabilité requis pour la mise en œuvre du PGES en phase de construction</w:t>
      </w:r>
      <w:bookmarkEnd w:id="533"/>
    </w:p>
    <w:tbl>
      <w:tblPr>
        <w:tblStyle w:val="TableauGrille1Clair-Accentuation111"/>
        <w:tblW w:w="0" w:type="auto"/>
        <w:tblLook w:val="04A0" w:firstRow="1" w:lastRow="0" w:firstColumn="1" w:lastColumn="0" w:noHBand="0" w:noVBand="1"/>
      </w:tblPr>
      <w:tblGrid>
        <w:gridCol w:w="2561"/>
        <w:gridCol w:w="2562"/>
        <w:gridCol w:w="3937"/>
      </w:tblGrid>
      <w:tr w:rsidR="0074783F" w:rsidRPr="0074783F" w14:paraId="722F0C13" w14:textId="77777777" w:rsidTr="004637C7">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0" w:type="auto"/>
            <w:hideMark/>
          </w:tcPr>
          <w:p w14:paraId="3A614A6B" w14:textId="77777777" w:rsidR="0074783F" w:rsidRPr="0074783F" w:rsidRDefault="0074783F" w:rsidP="0074783F">
            <w:r w:rsidRPr="0074783F">
              <w:t>Entité</w:t>
            </w:r>
          </w:p>
        </w:tc>
        <w:tc>
          <w:tcPr>
            <w:tcW w:w="0" w:type="auto"/>
            <w:hideMark/>
          </w:tcPr>
          <w:p w14:paraId="4170C802" w14:textId="77777777" w:rsidR="0074783F" w:rsidRPr="0074783F" w:rsidRDefault="0074783F" w:rsidP="0074783F">
            <w:pPr>
              <w:cnfStyle w:val="100000000000" w:firstRow="1" w:lastRow="0" w:firstColumn="0" w:lastColumn="0" w:oddVBand="0" w:evenVBand="0" w:oddHBand="0" w:evenHBand="0" w:firstRowFirstColumn="0" w:firstRowLastColumn="0" w:lastRowFirstColumn="0" w:lastRowLastColumn="0"/>
            </w:pPr>
            <w:r w:rsidRPr="0074783F">
              <w:t>Profil / Fonction</w:t>
            </w:r>
          </w:p>
        </w:tc>
        <w:tc>
          <w:tcPr>
            <w:tcW w:w="0" w:type="auto"/>
            <w:hideMark/>
          </w:tcPr>
          <w:p w14:paraId="1EB5C61A" w14:textId="77777777" w:rsidR="0074783F" w:rsidRPr="0074783F" w:rsidRDefault="0074783F" w:rsidP="0074783F">
            <w:pPr>
              <w:cnfStyle w:val="100000000000" w:firstRow="1" w:lastRow="0" w:firstColumn="0" w:lastColumn="0" w:oddVBand="0" w:evenVBand="0" w:oddHBand="0" w:evenHBand="0" w:firstRowFirstColumn="0" w:firstRowLastColumn="0" w:lastRowFirstColumn="0" w:lastRowLastColumn="0"/>
            </w:pPr>
            <w:r w:rsidRPr="0074783F">
              <w:t>Rôle et responsabilités principales</w:t>
            </w:r>
          </w:p>
        </w:tc>
      </w:tr>
      <w:tr w:rsidR="004E1603" w:rsidRPr="0074783F" w14:paraId="5C79DA31" w14:textId="77777777" w:rsidTr="0074783F">
        <w:tc>
          <w:tcPr>
            <w:cnfStyle w:val="001000000000" w:firstRow="0" w:lastRow="0" w:firstColumn="1" w:lastColumn="0" w:oddVBand="0" w:evenVBand="0" w:oddHBand="0" w:evenHBand="0" w:firstRowFirstColumn="0" w:firstRowLastColumn="0" w:lastRowFirstColumn="0" w:lastRowLastColumn="0"/>
            <w:tcW w:w="0" w:type="auto"/>
            <w:vMerge w:val="restart"/>
            <w:hideMark/>
          </w:tcPr>
          <w:p w14:paraId="11EF2586" w14:textId="77777777" w:rsidR="004E1603" w:rsidRPr="0074783F" w:rsidRDefault="004E1603" w:rsidP="0074783F">
            <w:r w:rsidRPr="0074783F">
              <w:t>ONDA – Maître d’Ouvrage</w:t>
            </w:r>
          </w:p>
        </w:tc>
        <w:tc>
          <w:tcPr>
            <w:tcW w:w="0" w:type="auto"/>
            <w:hideMark/>
          </w:tcPr>
          <w:p w14:paraId="1E7F3975" w14:textId="40896BB0" w:rsidR="004E1603" w:rsidRPr="0074783F" w:rsidRDefault="004E1603" w:rsidP="0074783F">
            <w:pPr>
              <w:cnfStyle w:val="000000000000" w:firstRow="0" w:lastRow="0" w:firstColumn="0" w:lastColumn="0" w:oddVBand="0" w:evenVBand="0" w:oddHBand="0" w:evenHBand="0" w:firstRowFirstColumn="0" w:firstRowLastColumn="0" w:lastRowFirstColumn="0" w:lastRowLastColumn="0"/>
            </w:pPr>
            <w:r w:rsidRPr="0074783F">
              <w:rPr>
                <w:b/>
                <w:bCs/>
              </w:rPr>
              <w:t xml:space="preserve">Responsable </w:t>
            </w:r>
            <w:r>
              <w:rPr>
                <w:b/>
                <w:bCs/>
              </w:rPr>
              <w:t>HSSE</w:t>
            </w:r>
            <w:r w:rsidRPr="0074783F">
              <w:rPr>
                <w:b/>
                <w:bCs/>
              </w:rPr>
              <w:t xml:space="preserve"> du Projet (niveau central)</w:t>
            </w:r>
          </w:p>
        </w:tc>
        <w:tc>
          <w:tcPr>
            <w:tcW w:w="0" w:type="auto"/>
            <w:hideMark/>
          </w:tcPr>
          <w:p w14:paraId="70B8BB2F" w14:textId="77777777" w:rsidR="004E1603" w:rsidRDefault="004E1603" w:rsidP="0074783F">
            <w:pPr>
              <w:cnfStyle w:val="000000000000" w:firstRow="0" w:lastRow="0" w:firstColumn="0" w:lastColumn="0" w:oddVBand="0" w:evenVBand="0" w:oddHBand="0" w:evenHBand="0" w:firstRowFirstColumn="0" w:firstRowLastColumn="0" w:lastRowFirstColumn="0" w:lastRowLastColumn="0"/>
            </w:pPr>
            <w:r w:rsidRPr="0074783F">
              <w:t xml:space="preserve">Supervise la conformité E&amp;S à l’échelle du projet ; </w:t>
            </w:r>
          </w:p>
          <w:p w14:paraId="445B6530" w14:textId="7776E07C" w:rsidR="004E1603" w:rsidRDefault="004E1603" w:rsidP="0074783F">
            <w:pPr>
              <w:cnfStyle w:val="000000000000" w:firstRow="0" w:lastRow="0" w:firstColumn="0" w:lastColumn="0" w:oddVBand="0" w:evenVBand="0" w:oddHBand="0" w:evenHBand="0" w:firstRowFirstColumn="0" w:firstRowLastColumn="0" w:lastRowFirstColumn="0" w:lastRowLastColumn="0"/>
            </w:pPr>
            <w:r>
              <w:t>V</w:t>
            </w:r>
            <w:r w:rsidRPr="0074783F">
              <w:t xml:space="preserve">alide les rapports CESMP et </w:t>
            </w:r>
            <w:r w:rsidRPr="004637C7">
              <w:t>HSSE</w:t>
            </w:r>
            <w:r w:rsidRPr="0074783F">
              <w:t xml:space="preserve"> ; </w:t>
            </w:r>
          </w:p>
          <w:p w14:paraId="3B5EC258" w14:textId="77777777" w:rsidR="004E1603" w:rsidRDefault="004E1603" w:rsidP="0074783F">
            <w:pPr>
              <w:cnfStyle w:val="000000000000" w:firstRow="0" w:lastRow="0" w:firstColumn="0" w:lastColumn="0" w:oddVBand="0" w:evenVBand="0" w:oddHBand="0" w:evenHBand="0" w:firstRowFirstColumn="0" w:firstRowLastColumn="0" w:lastRowFirstColumn="0" w:lastRowLastColumn="0"/>
            </w:pPr>
            <w:r>
              <w:t>A</w:t>
            </w:r>
            <w:r w:rsidRPr="0074783F">
              <w:t xml:space="preserve">ssure la liaison avec la BAD et les autorités ; </w:t>
            </w:r>
          </w:p>
          <w:p w14:paraId="11CC04B0" w14:textId="7FDCC07B" w:rsidR="004E1603" w:rsidRPr="0074783F" w:rsidRDefault="004E1603" w:rsidP="0074783F">
            <w:pPr>
              <w:cnfStyle w:val="000000000000" w:firstRow="0" w:lastRow="0" w:firstColumn="0" w:lastColumn="0" w:oddVBand="0" w:evenVBand="0" w:oddHBand="0" w:evenHBand="0" w:firstRowFirstColumn="0" w:firstRowLastColumn="0" w:lastRowFirstColumn="0" w:lastRowLastColumn="0"/>
            </w:pPr>
            <w:r>
              <w:t>P</w:t>
            </w:r>
            <w:r w:rsidRPr="0074783F">
              <w:t>réside le comité de suivi E&amp;S.</w:t>
            </w:r>
          </w:p>
        </w:tc>
      </w:tr>
      <w:tr w:rsidR="004E1603" w:rsidRPr="0074783F" w14:paraId="0CA30DC7" w14:textId="77777777" w:rsidTr="0074783F">
        <w:tc>
          <w:tcPr>
            <w:cnfStyle w:val="001000000000" w:firstRow="0" w:lastRow="0" w:firstColumn="1" w:lastColumn="0" w:oddVBand="0" w:evenVBand="0" w:oddHBand="0" w:evenHBand="0" w:firstRowFirstColumn="0" w:firstRowLastColumn="0" w:lastRowFirstColumn="0" w:lastRowLastColumn="0"/>
            <w:tcW w:w="0" w:type="auto"/>
            <w:vMerge/>
            <w:hideMark/>
          </w:tcPr>
          <w:p w14:paraId="49B46DD4" w14:textId="77777777" w:rsidR="004E1603" w:rsidRPr="0074783F" w:rsidRDefault="004E1603" w:rsidP="0074783F"/>
        </w:tc>
        <w:tc>
          <w:tcPr>
            <w:tcW w:w="0" w:type="auto"/>
            <w:hideMark/>
          </w:tcPr>
          <w:p w14:paraId="29E64AAA" w14:textId="1E151704" w:rsidR="004E1603" w:rsidRPr="0074783F" w:rsidRDefault="004E1603" w:rsidP="0074783F">
            <w:pPr>
              <w:cnfStyle w:val="000000000000" w:firstRow="0" w:lastRow="0" w:firstColumn="0" w:lastColumn="0" w:oddVBand="0" w:evenVBand="0" w:oddHBand="0" w:evenHBand="0" w:firstRowFirstColumn="0" w:firstRowLastColumn="0" w:lastRowFirstColumn="0" w:lastRowLastColumn="0"/>
            </w:pPr>
            <w:r w:rsidRPr="0074783F">
              <w:rPr>
                <w:b/>
                <w:bCs/>
              </w:rPr>
              <w:t xml:space="preserve">Point Focal </w:t>
            </w:r>
            <w:r>
              <w:rPr>
                <w:b/>
                <w:bCs/>
              </w:rPr>
              <w:t>HSSE</w:t>
            </w:r>
            <w:r w:rsidRPr="0074783F">
              <w:rPr>
                <w:b/>
                <w:bCs/>
              </w:rPr>
              <w:t xml:space="preserve"> du Site Aéroportuaire</w:t>
            </w:r>
          </w:p>
        </w:tc>
        <w:tc>
          <w:tcPr>
            <w:tcW w:w="0" w:type="auto"/>
            <w:hideMark/>
          </w:tcPr>
          <w:p w14:paraId="07056D5E" w14:textId="5665D5B9" w:rsidR="004E1603" w:rsidRDefault="004E1603" w:rsidP="0074783F">
            <w:pPr>
              <w:cnfStyle w:val="000000000000" w:firstRow="0" w:lastRow="0" w:firstColumn="0" w:lastColumn="0" w:oddVBand="0" w:evenVBand="0" w:oddHBand="0" w:evenHBand="0" w:firstRowFirstColumn="0" w:firstRowLastColumn="0" w:lastRowFirstColumn="0" w:lastRowLastColumn="0"/>
            </w:pPr>
            <w:r w:rsidRPr="0074783F">
              <w:t xml:space="preserve">Suit l’application des mesures </w:t>
            </w:r>
            <w:r w:rsidRPr="004637C7">
              <w:t>HSSE</w:t>
            </w:r>
            <w:r w:rsidRPr="0074783F">
              <w:t xml:space="preserve"> sur le terrain ; </w:t>
            </w:r>
          </w:p>
          <w:p w14:paraId="5CA3680C" w14:textId="77777777" w:rsidR="004E1603" w:rsidRDefault="004E1603" w:rsidP="0074783F">
            <w:pPr>
              <w:cnfStyle w:val="000000000000" w:firstRow="0" w:lastRow="0" w:firstColumn="0" w:lastColumn="0" w:oddVBand="0" w:evenVBand="0" w:oddHBand="0" w:evenHBand="0" w:firstRowFirstColumn="0" w:firstRowLastColumn="0" w:lastRowFirstColumn="0" w:lastRowLastColumn="0"/>
            </w:pPr>
            <w:r>
              <w:t>R</w:t>
            </w:r>
            <w:r w:rsidRPr="0074783F">
              <w:t xml:space="preserve">éalise des inspections conjointes avec l’EPC ; </w:t>
            </w:r>
          </w:p>
          <w:p w14:paraId="02CB1DC6" w14:textId="14E77914" w:rsidR="004E1603" w:rsidRPr="0074783F" w:rsidRDefault="004E1603" w:rsidP="0074783F">
            <w:pPr>
              <w:cnfStyle w:val="000000000000" w:firstRow="0" w:lastRow="0" w:firstColumn="0" w:lastColumn="0" w:oddVBand="0" w:evenVBand="0" w:oddHBand="0" w:evenHBand="0" w:firstRowFirstColumn="0" w:firstRowLastColumn="0" w:lastRowFirstColumn="0" w:lastRowLastColumn="0"/>
            </w:pPr>
            <w:r>
              <w:t>T</w:t>
            </w:r>
            <w:r w:rsidRPr="0074783F">
              <w:t xml:space="preserve">ransmet les rapports de suivi et incidents au Responsable </w:t>
            </w:r>
            <w:r>
              <w:t>HSSE</w:t>
            </w:r>
            <w:r w:rsidRPr="0074783F">
              <w:t xml:space="preserve"> du projet.</w:t>
            </w:r>
          </w:p>
        </w:tc>
      </w:tr>
      <w:tr w:rsidR="004E1603" w:rsidRPr="0074783F" w14:paraId="5B5F2D58" w14:textId="77777777" w:rsidTr="0074783F">
        <w:tc>
          <w:tcPr>
            <w:cnfStyle w:val="001000000000" w:firstRow="0" w:lastRow="0" w:firstColumn="1" w:lastColumn="0" w:oddVBand="0" w:evenVBand="0" w:oddHBand="0" w:evenHBand="0" w:firstRowFirstColumn="0" w:firstRowLastColumn="0" w:lastRowFirstColumn="0" w:lastRowLastColumn="0"/>
            <w:tcW w:w="0" w:type="auto"/>
            <w:vMerge/>
          </w:tcPr>
          <w:p w14:paraId="077841F6" w14:textId="77777777" w:rsidR="004E1603" w:rsidRPr="0074783F" w:rsidRDefault="004E1603" w:rsidP="004E1603"/>
        </w:tc>
        <w:tc>
          <w:tcPr>
            <w:tcW w:w="0" w:type="auto"/>
          </w:tcPr>
          <w:p w14:paraId="2B87320A" w14:textId="7058C808" w:rsidR="004E1603" w:rsidRPr="0074783F" w:rsidRDefault="004E1603" w:rsidP="004E1603">
            <w:pPr>
              <w:cnfStyle w:val="000000000000" w:firstRow="0" w:lastRow="0" w:firstColumn="0" w:lastColumn="0" w:oddVBand="0" w:evenVBand="0" w:oddHBand="0" w:evenHBand="0" w:firstRowFirstColumn="0" w:firstRowLastColumn="0" w:lastRowFirstColumn="0" w:lastRowLastColumn="0"/>
              <w:rPr>
                <w:b/>
                <w:bCs/>
              </w:rPr>
            </w:pPr>
            <w:r w:rsidRPr="0074783F">
              <w:rPr>
                <w:b/>
                <w:bCs/>
              </w:rPr>
              <w:t>Animateur CLO</w:t>
            </w:r>
          </w:p>
        </w:tc>
        <w:tc>
          <w:tcPr>
            <w:tcW w:w="0" w:type="auto"/>
          </w:tcPr>
          <w:p w14:paraId="7C9781E5" w14:textId="41459762" w:rsidR="004E1603" w:rsidRPr="0074783F" w:rsidRDefault="004E1603" w:rsidP="004E1603">
            <w:pPr>
              <w:cnfStyle w:val="000000000000" w:firstRow="0" w:lastRow="0" w:firstColumn="0" w:lastColumn="0" w:oddVBand="0" w:evenVBand="0" w:oddHBand="0" w:evenHBand="0" w:firstRowFirstColumn="0" w:firstRowLastColumn="0" w:lastRowFirstColumn="0" w:lastRowLastColumn="0"/>
            </w:pPr>
            <w:r w:rsidRPr="0074783F">
              <w:t xml:space="preserve">Maintient la communication avec les communautés, collecte les plaintes et appuie la mise en œuvre du </w:t>
            </w:r>
            <w:r>
              <w:t>P</w:t>
            </w:r>
            <w:r w:rsidR="00B75053">
              <w:t>P</w:t>
            </w:r>
            <w:r>
              <w:t>PP</w:t>
            </w:r>
            <w:r w:rsidRPr="0074783F">
              <w:t>.</w:t>
            </w:r>
          </w:p>
        </w:tc>
      </w:tr>
      <w:tr w:rsidR="004E1603" w:rsidRPr="0074783F" w14:paraId="4D0F42B1" w14:textId="77777777" w:rsidTr="0074783F">
        <w:tc>
          <w:tcPr>
            <w:cnfStyle w:val="001000000000" w:firstRow="0" w:lastRow="0" w:firstColumn="1" w:lastColumn="0" w:oddVBand="0" w:evenVBand="0" w:oddHBand="0" w:evenHBand="0" w:firstRowFirstColumn="0" w:firstRowLastColumn="0" w:lastRowFirstColumn="0" w:lastRowLastColumn="0"/>
            <w:tcW w:w="0" w:type="auto"/>
            <w:vMerge w:val="restart"/>
            <w:hideMark/>
          </w:tcPr>
          <w:p w14:paraId="6654461C" w14:textId="77777777" w:rsidR="004E1603" w:rsidRPr="0074783F" w:rsidRDefault="004E1603" w:rsidP="004E1603">
            <w:r w:rsidRPr="0074783F">
              <w:lastRenderedPageBreak/>
              <w:t xml:space="preserve">Mission de Contrôle / AMO environnementale </w:t>
            </w:r>
            <w:r w:rsidRPr="0074783F">
              <w:rPr>
                <w:i/>
                <w:iCs/>
              </w:rPr>
              <w:t>(si désignée)</w:t>
            </w:r>
          </w:p>
        </w:tc>
        <w:tc>
          <w:tcPr>
            <w:tcW w:w="0" w:type="auto"/>
            <w:hideMark/>
          </w:tcPr>
          <w:p w14:paraId="4A129090" w14:textId="77777777" w:rsidR="004E1603" w:rsidRPr="0074783F" w:rsidRDefault="004E1603" w:rsidP="004E1603">
            <w:pPr>
              <w:cnfStyle w:val="000000000000" w:firstRow="0" w:lastRow="0" w:firstColumn="0" w:lastColumn="0" w:oddVBand="0" w:evenVBand="0" w:oddHBand="0" w:evenHBand="0" w:firstRowFirstColumn="0" w:firstRowLastColumn="0" w:lastRowFirstColumn="0" w:lastRowLastColumn="0"/>
            </w:pPr>
            <w:r w:rsidRPr="0074783F">
              <w:rPr>
                <w:b/>
                <w:bCs/>
              </w:rPr>
              <w:t>Expert Environnementaliste</w:t>
            </w:r>
          </w:p>
        </w:tc>
        <w:tc>
          <w:tcPr>
            <w:tcW w:w="0" w:type="auto"/>
            <w:hideMark/>
          </w:tcPr>
          <w:p w14:paraId="4540CFD6" w14:textId="77777777" w:rsidR="004E1603" w:rsidRPr="0074783F" w:rsidRDefault="004E1603" w:rsidP="004E1603">
            <w:pPr>
              <w:cnfStyle w:val="000000000000" w:firstRow="0" w:lastRow="0" w:firstColumn="0" w:lastColumn="0" w:oddVBand="0" w:evenVBand="0" w:oddHBand="0" w:evenHBand="0" w:firstRowFirstColumn="0" w:firstRowLastColumn="0" w:lastRowFirstColumn="0" w:lastRowLastColumn="0"/>
            </w:pPr>
            <w:r w:rsidRPr="0074783F">
              <w:t>Contrôle la conformité environnementale du chantier et la mise en œuvre des mesures d’atténuation.</w:t>
            </w:r>
          </w:p>
        </w:tc>
      </w:tr>
      <w:tr w:rsidR="004E1603" w:rsidRPr="0074783F" w14:paraId="07E13976" w14:textId="77777777" w:rsidTr="0074783F">
        <w:tc>
          <w:tcPr>
            <w:cnfStyle w:val="001000000000" w:firstRow="0" w:lastRow="0" w:firstColumn="1" w:lastColumn="0" w:oddVBand="0" w:evenVBand="0" w:oddHBand="0" w:evenHBand="0" w:firstRowFirstColumn="0" w:firstRowLastColumn="0" w:lastRowFirstColumn="0" w:lastRowLastColumn="0"/>
            <w:tcW w:w="0" w:type="auto"/>
            <w:vMerge/>
            <w:hideMark/>
          </w:tcPr>
          <w:p w14:paraId="5D7E5A37" w14:textId="77777777" w:rsidR="004E1603" w:rsidRPr="0074783F" w:rsidRDefault="004E1603" w:rsidP="004E1603"/>
        </w:tc>
        <w:tc>
          <w:tcPr>
            <w:tcW w:w="0" w:type="auto"/>
            <w:hideMark/>
          </w:tcPr>
          <w:p w14:paraId="5357C89F" w14:textId="77777777" w:rsidR="004E1603" w:rsidRPr="0074783F" w:rsidRDefault="004E1603" w:rsidP="004E1603">
            <w:pPr>
              <w:cnfStyle w:val="000000000000" w:firstRow="0" w:lastRow="0" w:firstColumn="0" w:lastColumn="0" w:oddVBand="0" w:evenVBand="0" w:oddHBand="0" w:evenHBand="0" w:firstRowFirstColumn="0" w:firstRowLastColumn="0" w:lastRowFirstColumn="0" w:lastRowLastColumn="0"/>
            </w:pPr>
            <w:r w:rsidRPr="0074783F">
              <w:rPr>
                <w:b/>
                <w:bCs/>
              </w:rPr>
              <w:t>Spécialiste Social / Genre / Sécurité communautaire</w:t>
            </w:r>
          </w:p>
        </w:tc>
        <w:tc>
          <w:tcPr>
            <w:tcW w:w="0" w:type="auto"/>
            <w:hideMark/>
          </w:tcPr>
          <w:p w14:paraId="69B85107" w14:textId="77777777" w:rsidR="004E1603" w:rsidRPr="0074783F" w:rsidRDefault="004E1603" w:rsidP="004E1603">
            <w:pPr>
              <w:cnfStyle w:val="000000000000" w:firstRow="0" w:lastRow="0" w:firstColumn="0" w:lastColumn="0" w:oddVBand="0" w:evenVBand="0" w:oddHBand="0" w:evenHBand="0" w:firstRowFirstColumn="0" w:firstRowLastColumn="0" w:lastRowFirstColumn="0" w:lastRowLastColumn="0"/>
            </w:pPr>
            <w:r w:rsidRPr="0074783F">
              <w:t>Suit les aspects sociaux, le traitement des plaintes, les risques SEAH/GBV et la communication communautaire.</w:t>
            </w:r>
          </w:p>
        </w:tc>
      </w:tr>
      <w:tr w:rsidR="004E1603" w:rsidRPr="0074783F" w14:paraId="7CC06499" w14:textId="77777777" w:rsidTr="0074783F">
        <w:tc>
          <w:tcPr>
            <w:cnfStyle w:val="001000000000" w:firstRow="0" w:lastRow="0" w:firstColumn="1" w:lastColumn="0" w:oddVBand="0" w:evenVBand="0" w:oddHBand="0" w:evenHBand="0" w:firstRowFirstColumn="0" w:firstRowLastColumn="0" w:lastRowFirstColumn="0" w:lastRowLastColumn="0"/>
            <w:tcW w:w="0" w:type="auto"/>
            <w:vMerge w:val="restart"/>
            <w:hideMark/>
          </w:tcPr>
          <w:p w14:paraId="66661B3D" w14:textId="77777777" w:rsidR="004E1603" w:rsidRPr="0074783F" w:rsidRDefault="004E1603" w:rsidP="004E1603">
            <w:r w:rsidRPr="0074783F">
              <w:t>EPC – Entreprise de Travaux</w:t>
            </w:r>
          </w:p>
        </w:tc>
        <w:tc>
          <w:tcPr>
            <w:tcW w:w="0" w:type="auto"/>
            <w:hideMark/>
          </w:tcPr>
          <w:p w14:paraId="762FD5EA" w14:textId="44FED2A3" w:rsidR="004E1603" w:rsidRPr="0074783F" w:rsidRDefault="004E1603" w:rsidP="004E1603">
            <w:pPr>
              <w:cnfStyle w:val="000000000000" w:firstRow="0" w:lastRow="0" w:firstColumn="0" w:lastColumn="0" w:oddVBand="0" w:evenVBand="0" w:oddHBand="0" w:evenHBand="0" w:firstRowFirstColumn="0" w:firstRowLastColumn="0" w:lastRowFirstColumn="0" w:lastRowLastColumn="0"/>
            </w:pPr>
            <w:r w:rsidRPr="0074783F">
              <w:rPr>
                <w:b/>
                <w:bCs/>
              </w:rPr>
              <w:t xml:space="preserve">Responsable </w:t>
            </w:r>
            <w:r>
              <w:rPr>
                <w:b/>
                <w:bCs/>
              </w:rPr>
              <w:t>HSSE</w:t>
            </w:r>
            <w:r w:rsidRPr="0074783F">
              <w:rPr>
                <w:b/>
                <w:bCs/>
              </w:rPr>
              <w:t xml:space="preserve"> de l’EPC</w:t>
            </w:r>
          </w:p>
        </w:tc>
        <w:tc>
          <w:tcPr>
            <w:tcW w:w="0" w:type="auto"/>
            <w:hideMark/>
          </w:tcPr>
          <w:p w14:paraId="242E5B49" w14:textId="7613A2D2" w:rsidR="004E1603" w:rsidRPr="0074783F" w:rsidRDefault="004E1603" w:rsidP="004E1603">
            <w:pPr>
              <w:cnfStyle w:val="000000000000" w:firstRow="0" w:lastRow="0" w:firstColumn="0" w:lastColumn="0" w:oddVBand="0" w:evenVBand="0" w:oddHBand="0" w:evenHBand="0" w:firstRowFirstColumn="0" w:firstRowLastColumn="0" w:lastRowFirstColumn="0" w:lastRowLastColumn="0"/>
            </w:pPr>
            <w:r w:rsidRPr="0074783F">
              <w:t xml:space="preserve">Dirige le dispositif </w:t>
            </w:r>
            <w:r>
              <w:t>HSSE</w:t>
            </w:r>
            <w:r w:rsidRPr="0074783F">
              <w:t xml:space="preserve"> du chantier, veille au respect des normes et exigences contractuelles, élabore les rapports SSEH mensuels.</w:t>
            </w:r>
          </w:p>
        </w:tc>
      </w:tr>
      <w:tr w:rsidR="004E1603" w:rsidRPr="0074783F" w14:paraId="1BE8FD9E" w14:textId="77777777" w:rsidTr="0074783F">
        <w:tc>
          <w:tcPr>
            <w:cnfStyle w:val="001000000000" w:firstRow="0" w:lastRow="0" w:firstColumn="1" w:lastColumn="0" w:oddVBand="0" w:evenVBand="0" w:oddHBand="0" w:evenHBand="0" w:firstRowFirstColumn="0" w:firstRowLastColumn="0" w:lastRowFirstColumn="0" w:lastRowLastColumn="0"/>
            <w:tcW w:w="0" w:type="auto"/>
            <w:vMerge/>
            <w:hideMark/>
          </w:tcPr>
          <w:p w14:paraId="7BE0327F" w14:textId="77777777" w:rsidR="004E1603" w:rsidRPr="0074783F" w:rsidRDefault="004E1603" w:rsidP="004E1603"/>
        </w:tc>
        <w:tc>
          <w:tcPr>
            <w:tcW w:w="0" w:type="auto"/>
            <w:hideMark/>
          </w:tcPr>
          <w:p w14:paraId="62FE2826" w14:textId="1171C6C5" w:rsidR="004E1603" w:rsidRPr="0074783F" w:rsidRDefault="004E1603" w:rsidP="004E1603">
            <w:pPr>
              <w:cnfStyle w:val="000000000000" w:firstRow="0" w:lastRow="0" w:firstColumn="0" w:lastColumn="0" w:oddVBand="0" w:evenVBand="0" w:oddHBand="0" w:evenHBand="0" w:firstRowFirstColumn="0" w:firstRowLastColumn="0" w:lastRowFirstColumn="0" w:lastRowLastColumn="0"/>
            </w:pPr>
            <w:r w:rsidRPr="0074783F">
              <w:rPr>
                <w:b/>
                <w:bCs/>
              </w:rPr>
              <w:t>Coordinateurs E&amp;S de chantier</w:t>
            </w:r>
            <w:r w:rsidRPr="0074783F">
              <w:t xml:space="preserve"> (au moins un par </w:t>
            </w:r>
            <w:r>
              <w:t>lot</w:t>
            </w:r>
            <w:r w:rsidRPr="0074783F">
              <w:t>)</w:t>
            </w:r>
          </w:p>
        </w:tc>
        <w:tc>
          <w:tcPr>
            <w:tcW w:w="0" w:type="auto"/>
            <w:hideMark/>
          </w:tcPr>
          <w:p w14:paraId="4B5716F1" w14:textId="68EF8C19" w:rsidR="004E1603" w:rsidRPr="0074783F" w:rsidRDefault="004E1603" w:rsidP="004E1603">
            <w:pPr>
              <w:cnfStyle w:val="000000000000" w:firstRow="0" w:lastRow="0" w:firstColumn="0" w:lastColumn="0" w:oddVBand="0" w:evenVBand="0" w:oddHBand="0" w:evenHBand="0" w:firstRowFirstColumn="0" w:firstRowLastColumn="0" w:lastRowFirstColumn="0" w:lastRowLastColumn="0"/>
            </w:pPr>
            <w:r w:rsidRPr="0074783F">
              <w:t xml:space="preserve">Encadrent la mise en œuvre du PGES, forment le personnel, </w:t>
            </w:r>
            <w:r>
              <w:t xml:space="preserve">et </w:t>
            </w:r>
            <w:r w:rsidRPr="0074783F">
              <w:t>assurent le suivi des sous-traitants.</w:t>
            </w:r>
          </w:p>
        </w:tc>
      </w:tr>
      <w:tr w:rsidR="004E1603" w:rsidRPr="0074783F" w14:paraId="278C51F4" w14:textId="77777777" w:rsidTr="0074783F">
        <w:tc>
          <w:tcPr>
            <w:cnfStyle w:val="001000000000" w:firstRow="0" w:lastRow="0" w:firstColumn="1" w:lastColumn="0" w:oddVBand="0" w:evenVBand="0" w:oddHBand="0" w:evenHBand="0" w:firstRowFirstColumn="0" w:firstRowLastColumn="0" w:lastRowFirstColumn="0" w:lastRowLastColumn="0"/>
            <w:tcW w:w="0" w:type="auto"/>
            <w:vMerge/>
            <w:hideMark/>
          </w:tcPr>
          <w:p w14:paraId="47B5D64C" w14:textId="77777777" w:rsidR="004E1603" w:rsidRPr="0074783F" w:rsidRDefault="004E1603" w:rsidP="004E1603"/>
        </w:tc>
        <w:tc>
          <w:tcPr>
            <w:tcW w:w="0" w:type="auto"/>
            <w:hideMark/>
          </w:tcPr>
          <w:p w14:paraId="25EB092A" w14:textId="77777777" w:rsidR="004E1603" w:rsidRPr="0074783F" w:rsidRDefault="004E1603" w:rsidP="004E1603">
            <w:pPr>
              <w:cnfStyle w:val="000000000000" w:firstRow="0" w:lastRow="0" w:firstColumn="0" w:lastColumn="0" w:oddVBand="0" w:evenVBand="0" w:oddHBand="0" w:evenHBand="0" w:firstRowFirstColumn="0" w:firstRowLastColumn="0" w:lastRowFirstColumn="0" w:lastRowLastColumn="0"/>
            </w:pPr>
            <w:r w:rsidRPr="0074783F">
              <w:rPr>
                <w:b/>
                <w:bCs/>
              </w:rPr>
              <w:t>Médecin du travail / Infirmier de chantier</w:t>
            </w:r>
          </w:p>
        </w:tc>
        <w:tc>
          <w:tcPr>
            <w:tcW w:w="0" w:type="auto"/>
            <w:hideMark/>
          </w:tcPr>
          <w:p w14:paraId="44CB44C8" w14:textId="77777777" w:rsidR="004E1603" w:rsidRPr="0074783F" w:rsidRDefault="004E1603" w:rsidP="004E1603">
            <w:pPr>
              <w:cnfStyle w:val="000000000000" w:firstRow="0" w:lastRow="0" w:firstColumn="0" w:lastColumn="0" w:oddVBand="0" w:evenVBand="0" w:oddHBand="0" w:evenHBand="0" w:firstRowFirstColumn="0" w:firstRowLastColumn="0" w:lastRowFirstColumn="0" w:lastRowLastColumn="0"/>
            </w:pPr>
            <w:r w:rsidRPr="0074783F">
              <w:t>Assure la surveillance médicale et la gestion des urgences ; participe à la prévention sanitaire.</w:t>
            </w:r>
          </w:p>
        </w:tc>
      </w:tr>
      <w:tr w:rsidR="004E1603" w:rsidRPr="0074783F" w14:paraId="38798F32" w14:textId="77777777" w:rsidTr="0074783F">
        <w:tc>
          <w:tcPr>
            <w:cnfStyle w:val="001000000000" w:firstRow="0" w:lastRow="0" w:firstColumn="1" w:lastColumn="0" w:oddVBand="0" w:evenVBand="0" w:oddHBand="0" w:evenHBand="0" w:firstRowFirstColumn="0" w:firstRowLastColumn="0" w:lastRowFirstColumn="0" w:lastRowLastColumn="0"/>
            <w:tcW w:w="0" w:type="auto"/>
            <w:hideMark/>
          </w:tcPr>
          <w:p w14:paraId="58778ED4" w14:textId="77777777" w:rsidR="004E1603" w:rsidRPr="0074783F" w:rsidRDefault="004E1603" w:rsidP="004E1603">
            <w:r w:rsidRPr="0074783F">
              <w:t>Sous-traitants</w:t>
            </w:r>
          </w:p>
        </w:tc>
        <w:tc>
          <w:tcPr>
            <w:tcW w:w="0" w:type="auto"/>
            <w:hideMark/>
          </w:tcPr>
          <w:p w14:paraId="7DAF3620" w14:textId="77777777" w:rsidR="004E1603" w:rsidRPr="0074783F" w:rsidRDefault="004E1603" w:rsidP="004E1603">
            <w:pPr>
              <w:cnfStyle w:val="000000000000" w:firstRow="0" w:lastRow="0" w:firstColumn="0" w:lastColumn="0" w:oddVBand="0" w:evenVBand="0" w:oddHBand="0" w:evenHBand="0" w:firstRowFirstColumn="0" w:firstRowLastColumn="0" w:lastRowFirstColumn="0" w:lastRowLastColumn="0"/>
            </w:pPr>
            <w:r w:rsidRPr="0074783F">
              <w:rPr>
                <w:b/>
                <w:bCs/>
              </w:rPr>
              <w:t>Chefs de chantier / Chefs d’équipe</w:t>
            </w:r>
          </w:p>
        </w:tc>
        <w:tc>
          <w:tcPr>
            <w:tcW w:w="0" w:type="auto"/>
            <w:hideMark/>
          </w:tcPr>
          <w:p w14:paraId="45BC6508" w14:textId="44C9C7ED" w:rsidR="004E1603" w:rsidRPr="0074783F" w:rsidRDefault="004E1603" w:rsidP="004E1603">
            <w:pPr>
              <w:cnfStyle w:val="000000000000" w:firstRow="0" w:lastRow="0" w:firstColumn="0" w:lastColumn="0" w:oddVBand="0" w:evenVBand="0" w:oddHBand="0" w:evenHBand="0" w:firstRowFirstColumn="0" w:firstRowLastColumn="0" w:lastRowFirstColumn="0" w:lastRowLastColumn="0"/>
            </w:pPr>
            <w:r w:rsidRPr="0074783F">
              <w:t xml:space="preserve">Appliquent les mesures </w:t>
            </w:r>
            <w:r w:rsidR="0040150D">
              <w:t>HSSE</w:t>
            </w:r>
            <w:r w:rsidRPr="0074783F">
              <w:t xml:space="preserve"> et assurent la conformité quotidienne des opérations.</w:t>
            </w:r>
          </w:p>
        </w:tc>
      </w:tr>
      <w:tr w:rsidR="004E1603" w:rsidRPr="0074783F" w14:paraId="4C36CD06" w14:textId="77777777" w:rsidTr="0074783F">
        <w:tc>
          <w:tcPr>
            <w:cnfStyle w:val="001000000000" w:firstRow="0" w:lastRow="0" w:firstColumn="1" w:lastColumn="0" w:oddVBand="0" w:evenVBand="0" w:oddHBand="0" w:evenHBand="0" w:firstRowFirstColumn="0" w:firstRowLastColumn="0" w:lastRowFirstColumn="0" w:lastRowLastColumn="0"/>
            <w:tcW w:w="0" w:type="auto"/>
            <w:hideMark/>
          </w:tcPr>
          <w:p w14:paraId="2A7749A8" w14:textId="6EC9A6E5" w:rsidR="004E1603" w:rsidRPr="0074783F" w:rsidRDefault="004E1603" w:rsidP="004E1603">
            <w:r w:rsidRPr="0074783F">
              <w:t>Laboratoire agréé</w:t>
            </w:r>
          </w:p>
        </w:tc>
        <w:tc>
          <w:tcPr>
            <w:tcW w:w="0" w:type="auto"/>
            <w:hideMark/>
          </w:tcPr>
          <w:p w14:paraId="3D51795D" w14:textId="77777777" w:rsidR="004E1603" w:rsidRPr="0074783F" w:rsidRDefault="004E1603" w:rsidP="004E1603">
            <w:pPr>
              <w:cnfStyle w:val="000000000000" w:firstRow="0" w:lastRow="0" w:firstColumn="0" w:lastColumn="0" w:oddVBand="0" w:evenVBand="0" w:oddHBand="0" w:evenHBand="0" w:firstRowFirstColumn="0" w:firstRowLastColumn="0" w:lastRowFirstColumn="0" w:lastRowLastColumn="0"/>
            </w:pPr>
            <w:r w:rsidRPr="0074783F">
              <w:rPr>
                <w:b/>
                <w:bCs/>
              </w:rPr>
              <w:t>Technicien environnemental</w:t>
            </w:r>
          </w:p>
        </w:tc>
        <w:tc>
          <w:tcPr>
            <w:tcW w:w="0" w:type="auto"/>
            <w:hideMark/>
          </w:tcPr>
          <w:p w14:paraId="79A9BBA0" w14:textId="61233D1F" w:rsidR="004E1603" w:rsidRPr="0074783F" w:rsidRDefault="004E1603" w:rsidP="004E1603">
            <w:pPr>
              <w:cnfStyle w:val="000000000000" w:firstRow="0" w:lastRow="0" w:firstColumn="0" w:lastColumn="0" w:oddVBand="0" w:evenVBand="0" w:oddHBand="0" w:evenHBand="0" w:firstRowFirstColumn="0" w:firstRowLastColumn="0" w:lastRowFirstColumn="0" w:lastRowLastColumn="0"/>
            </w:pPr>
            <w:r w:rsidRPr="0074783F">
              <w:t>Réalise les mesures environnementales (air, bruit, eau, sol) et transmet les résultats validés à l’EPC.</w:t>
            </w:r>
          </w:p>
        </w:tc>
      </w:tr>
    </w:tbl>
    <w:p w14:paraId="3C191087" w14:textId="77777777" w:rsidR="004E045A" w:rsidRDefault="004E045A" w:rsidP="004E045A">
      <w:pPr>
        <w:rPr>
          <w:lang w:val="fr-MA"/>
        </w:rPr>
      </w:pPr>
      <w:r>
        <w:rPr>
          <w:lang w:val="fr-MA"/>
        </w:rPr>
        <w:br w:type="page"/>
      </w:r>
    </w:p>
    <w:p w14:paraId="6BCC8713" w14:textId="752C35CE" w:rsidR="00982B02" w:rsidRDefault="00982B02" w:rsidP="004E045A">
      <w:pPr>
        <w:pStyle w:val="Title4"/>
        <w:rPr>
          <w:lang w:val="fr-MA"/>
        </w:rPr>
      </w:pPr>
      <w:r>
        <w:rPr>
          <w:lang w:val="fr-MA"/>
        </w:rPr>
        <w:lastRenderedPageBreak/>
        <w:t>Phase exploitation</w:t>
      </w:r>
    </w:p>
    <w:p w14:paraId="28351AB2" w14:textId="25760397" w:rsidR="00AA22F2" w:rsidRPr="004637C7" w:rsidRDefault="00AA22F2" w:rsidP="00AA22F2">
      <w:pPr>
        <w:pStyle w:val="Lgende"/>
        <w:rPr>
          <w:lang w:val="fr-FR"/>
        </w:rPr>
      </w:pPr>
      <w:bookmarkStart w:id="534" w:name="_Toc213404396"/>
      <w:r>
        <w:t xml:space="preserve">Tableau </w:t>
      </w:r>
      <w:r>
        <w:fldChar w:fldCharType="begin"/>
      </w:r>
      <w:r>
        <w:instrText xml:space="preserve"> SEQ Tableau \* ARABIC </w:instrText>
      </w:r>
      <w:r>
        <w:fldChar w:fldCharType="separate"/>
      </w:r>
      <w:r w:rsidR="00274E71">
        <w:rPr>
          <w:noProof/>
        </w:rPr>
        <w:t>74</w:t>
      </w:r>
      <w:r>
        <w:fldChar w:fldCharType="end"/>
      </w:r>
      <w:r>
        <w:t xml:space="preserve"> : Profils et responsabilité requis pour la mise en œuvre du PGES en phase d</w:t>
      </w:r>
      <w:r>
        <w:rPr>
          <w:lang w:val="fr-FR"/>
        </w:rPr>
        <w:t>’exploitation</w:t>
      </w:r>
      <w:bookmarkEnd w:id="534"/>
      <w:r>
        <w:t xml:space="preserve"> </w:t>
      </w:r>
    </w:p>
    <w:tbl>
      <w:tblPr>
        <w:tblStyle w:val="TableauGrille1Clair-Accentuation111"/>
        <w:tblW w:w="0" w:type="auto"/>
        <w:tblLook w:val="04A0" w:firstRow="1" w:lastRow="0" w:firstColumn="1" w:lastColumn="0" w:noHBand="0" w:noVBand="1"/>
      </w:tblPr>
      <w:tblGrid>
        <w:gridCol w:w="2901"/>
        <w:gridCol w:w="2142"/>
        <w:gridCol w:w="4017"/>
      </w:tblGrid>
      <w:tr w:rsidR="00982B02" w:rsidRPr="00982B02" w14:paraId="11C2D216" w14:textId="77777777" w:rsidTr="00982B0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63519E98" w14:textId="77777777" w:rsidR="00982B02" w:rsidRPr="00982B02" w:rsidRDefault="00982B02" w:rsidP="00982B02">
            <w:r w:rsidRPr="00982B02">
              <w:t>Entité</w:t>
            </w:r>
          </w:p>
        </w:tc>
        <w:tc>
          <w:tcPr>
            <w:tcW w:w="0" w:type="auto"/>
            <w:hideMark/>
          </w:tcPr>
          <w:p w14:paraId="4D3E1704" w14:textId="77777777" w:rsidR="00982B02" w:rsidRPr="00982B02" w:rsidRDefault="00982B02" w:rsidP="00982B02">
            <w:pPr>
              <w:cnfStyle w:val="100000000000" w:firstRow="1" w:lastRow="0" w:firstColumn="0" w:lastColumn="0" w:oddVBand="0" w:evenVBand="0" w:oddHBand="0" w:evenHBand="0" w:firstRowFirstColumn="0" w:firstRowLastColumn="0" w:lastRowFirstColumn="0" w:lastRowLastColumn="0"/>
            </w:pPr>
            <w:r w:rsidRPr="00982B02">
              <w:t>Profil / Fonction</w:t>
            </w:r>
          </w:p>
        </w:tc>
        <w:tc>
          <w:tcPr>
            <w:tcW w:w="0" w:type="auto"/>
            <w:hideMark/>
          </w:tcPr>
          <w:p w14:paraId="6205E093" w14:textId="77777777" w:rsidR="00982B02" w:rsidRPr="00982B02" w:rsidRDefault="00982B02" w:rsidP="00982B02">
            <w:pPr>
              <w:cnfStyle w:val="100000000000" w:firstRow="1" w:lastRow="0" w:firstColumn="0" w:lastColumn="0" w:oddVBand="0" w:evenVBand="0" w:oddHBand="0" w:evenHBand="0" w:firstRowFirstColumn="0" w:firstRowLastColumn="0" w:lastRowFirstColumn="0" w:lastRowLastColumn="0"/>
            </w:pPr>
            <w:r w:rsidRPr="00982B02">
              <w:t>Rôle et responsabilités principales</w:t>
            </w:r>
          </w:p>
        </w:tc>
      </w:tr>
      <w:tr w:rsidR="00573A14" w:rsidRPr="00982B02" w14:paraId="50CA79AF" w14:textId="77777777" w:rsidTr="004637C7">
        <w:tc>
          <w:tcPr>
            <w:cnfStyle w:val="001000000000" w:firstRow="0" w:lastRow="0" w:firstColumn="1" w:lastColumn="0" w:oddVBand="0" w:evenVBand="0" w:oddHBand="0" w:evenHBand="0" w:firstRowFirstColumn="0" w:firstRowLastColumn="0" w:lastRowFirstColumn="0" w:lastRowLastColumn="0"/>
            <w:tcW w:w="0" w:type="auto"/>
            <w:vMerge w:val="restart"/>
            <w:vAlign w:val="center"/>
            <w:hideMark/>
          </w:tcPr>
          <w:p w14:paraId="7A024C89" w14:textId="557EF7F4" w:rsidR="00573A14" w:rsidRPr="00982B02" w:rsidRDefault="00573A14" w:rsidP="004637C7">
            <w:pPr>
              <w:jc w:val="left"/>
            </w:pPr>
            <w:r w:rsidRPr="00982B02">
              <w:t xml:space="preserve">ONDA – Aéroport </w:t>
            </w:r>
            <w:r w:rsidR="00C61164">
              <w:t>Marrakech Ménara</w:t>
            </w:r>
          </w:p>
        </w:tc>
        <w:tc>
          <w:tcPr>
            <w:tcW w:w="0" w:type="auto"/>
            <w:hideMark/>
          </w:tcPr>
          <w:p w14:paraId="453F2CF7" w14:textId="44754A5B" w:rsidR="00573A14" w:rsidRPr="004637C7" w:rsidRDefault="00573A14" w:rsidP="00573A14">
            <w:pPr>
              <w:cnfStyle w:val="000000000000" w:firstRow="0" w:lastRow="0" w:firstColumn="0" w:lastColumn="0" w:oddVBand="0" w:evenVBand="0" w:oddHBand="0" w:evenHBand="0" w:firstRowFirstColumn="0" w:firstRowLastColumn="0" w:lastRowFirstColumn="0" w:lastRowLastColumn="0"/>
              <w:rPr>
                <w:b/>
                <w:bCs/>
              </w:rPr>
            </w:pPr>
            <w:r w:rsidRPr="004637C7">
              <w:rPr>
                <w:b/>
                <w:bCs/>
              </w:rPr>
              <w:t>Responsable HSSE du Projet (niveau central)</w:t>
            </w:r>
          </w:p>
        </w:tc>
        <w:tc>
          <w:tcPr>
            <w:tcW w:w="0" w:type="auto"/>
            <w:hideMark/>
          </w:tcPr>
          <w:p w14:paraId="3DCA08DA" w14:textId="77777777" w:rsidR="00573A14" w:rsidRDefault="00573A14" w:rsidP="00573A14">
            <w:pPr>
              <w:cnfStyle w:val="000000000000" w:firstRow="0" w:lastRow="0" w:firstColumn="0" w:lastColumn="0" w:oddVBand="0" w:evenVBand="0" w:oddHBand="0" w:evenHBand="0" w:firstRowFirstColumn="0" w:firstRowLastColumn="0" w:lastRowFirstColumn="0" w:lastRowLastColumn="0"/>
            </w:pPr>
            <w:r w:rsidRPr="00982B02">
              <w:t xml:space="preserve">Supervise la performance </w:t>
            </w:r>
            <w:r>
              <w:t>HSSE</w:t>
            </w:r>
            <w:r w:rsidRPr="00982B02">
              <w:t xml:space="preserve"> de l’aéroport, </w:t>
            </w:r>
          </w:p>
          <w:p w14:paraId="23ACC9B0" w14:textId="6421A6A6" w:rsidR="00573A14" w:rsidRPr="00982B02" w:rsidRDefault="00573A14" w:rsidP="00573A14">
            <w:pPr>
              <w:cnfStyle w:val="000000000000" w:firstRow="0" w:lastRow="0" w:firstColumn="0" w:lastColumn="0" w:oddVBand="0" w:evenVBand="0" w:oddHBand="0" w:evenHBand="0" w:firstRowFirstColumn="0" w:firstRowLastColumn="0" w:lastRowFirstColumn="0" w:lastRowLastColumn="0"/>
            </w:pPr>
            <w:r>
              <w:t>G</w:t>
            </w:r>
            <w:r w:rsidRPr="00982B02">
              <w:t>ère le reporting, la conformité réglementaire et la coordination avec la BAD.</w:t>
            </w:r>
          </w:p>
        </w:tc>
      </w:tr>
      <w:tr w:rsidR="00573A14" w:rsidRPr="00982B02" w14:paraId="23BC38DB" w14:textId="77777777" w:rsidTr="00982B02">
        <w:tc>
          <w:tcPr>
            <w:cnfStyle w:val="001000000000" w:firstRow="0" w:lastRow="0" w:firstColumn="1" w:lastColumn="0" w:oddVBand="0" w:evenVBand="0" w:oddHBand="0" w:evenHBand="0" w:firstRowFirstColumn="0" w:firstRowLastColumn="0" w:lastRowFirstColumn="0" w:lastRowLastColumn="0"/>
            <w:tcW w:w="0" w:type="auto"/>
            <w:vMerge/>
            <w:hideMark/>
          </w:tcPr>
          <w:p w14:paraId="02AB2078" w14:textId="77777777" w:rsidR="00573A14" w:rsidRPr="00982B02" w:rsidRDefault="00573A14" w:rsidP="00573A14"/>
        </w:tc>
        <w:tc>
          <w:tcPr>
            <w:tcW w:w="0" w:type="auto"/>
            <w:hideMark/>
          </w:tcPr>
          <w:p w14:paraId="7A0952AA" w14:textId="6D600CB6" w:rsidR="00573A14" w:rsidRPr="004637C7" w:rsidRDefault="00573A14" w:rsidP="00573A14">
            <w:pPr>
              <w:cnfStyle w:val="000000000000" w:firstRow="0" w:lastRow="0" w:firstColumn="0" w:lastColumn="0" w:oddVBand="0" w:evenVBand="0" w:oddHBand="0" w:evenHBand="0" w:firstRowFirstColumn="0" w:firstRowLastColumn="0" w:lastRowFirstColumn="0" w:lastRowLastColumn="0"/>
              <w:rPr>
                <w:b/>
                <w:bCs/>
              </w:rPr>
            </w:pPr>
            <w:r w:rsidRPr="004637C7">
              <w:rPr>
                <w:b/>
                <w:bCs/>
              </w:rPr>
              <w:t>Point Focal HSSE du Site Aéroportuaire</w:t>
            </w:r>
          </w:p>
        </w:tc>
        <w:tc>
          <w:tcPr>
            <w:tcW w:w="0" w:type="auto"/>
            <w:hideMark/>
          </w:tcPr>
          <w:p w14:paraId="52B53101" w14:textId="77777777" w:rsidR="00573A14" w:rsidRPr="00982B02" w:rsidRDefault="00573A14" w:rsidP="00573A14">
            <w:pPr>
              <w:cnfStyle w:val="000000000000" w:firstRow="0" w:lastRow="0" w:firstColumn="0" w:lastColumn="0" w:oddVBand="0" w:evenVBand="0" w:oddHBand="0" w:evenHBand="0" w:firstRowFirstColumn="0" w:firstRowLastColumn="0" w:lastRowFirstColumn="0" w:lastRowLastColumn="0"/>
            </w:pPr>
            <w:r w:rsidRPr="00982B02">
              <w:t>Suit les paramètres environnementaux, la gestion des déchets, la qualité de l’air et la sécurité des installations.</w:t>
            </w:r>
          </w:p>
        </w:tc>
      </w:tr>
      <w:tr w:rsidR="00573A14" w:rsidRPr="00982B02" w14:paraId="5A40F49D" w14:textId="77777777" w:rsidTr="00982B02">
        <w:tc>
          <w:tcPr>
            <w:cnfStyle w:val="001000000000" w:firstRow="0" w:lastRow="0" w:firstColumn="1" w:lastColumn="0" w:oddVBand="0" w:evenVBand="0" w:oddHBand="0" w:evenHBand="0" w:firstRowFirstColumn="0" w:firstRowLastColumn="0" w:lastRowFirstColumn="0" w:lastRowLastColumn="0"/>
            <w:tcW w:w="0" w:type="auto"/>
            <w:vMerge/>
            <w:hideMark/>
          </w:tcPr>
          <w:p w14:paraId="06DDE26F" w14:textId="77777777" w:rsidR="00573A14" w:rsidRPr="00982B02" w:rsidRDefault="00573A14" w:rsidP="00573A14"/>
        </w:tc>
        <w:tc>
          <w:tcPr>
            <w:tcW w:w="0" w:type="auto"/>
            <w:hideMark/>
          </w:tcPr>
          <w:p w14:paraId="09446AA2" w14:textId="2D6757F0" w:rsidR="00573A14" w:rsidRPr="004637C7" w:rsidRDefault="00573A14" w:rsidP="00573A14">
            <w:pPr>
              <w:cnfStyle w:val="000000000000" w:firstRow="0" w:lastRow="0" w:firstColumn="0" w:lastColumn="0" w:oddVBand="0" w:evenVBand="0" w:oddHBand="0" w:evenHBand="0" w:firstRowFirstColumn="0" w:firstRowLastColumn="0" w:lastRowFirstColumn="0" w:lastRowLastColumn="0"/>
              <w:rPr>
                <w:b/>
                <w:bCs/>
              </w:rPr>
            </w:pPr>
            <w:r w:rsidRPr="004637C7">
              <w:rPr>
                <w:b/>
                <w:bCs/>
              </w:rPr>
              <w:t>Animateur CLO</w:t>
            </w:r>
          </w:p>
        </w:tc>
        <w:tc>
          <w:tcPr>
            <w:tcW w:w="0" w:type="auto"/>
            <w:hideMark/>
          </w:tcPr>
          <w:p w14:paraId="20BB8612" w14:textId="3CA3DC22" w:rsidR="00573A14" w:rsidRPr="00982B02" w:rsidRDefault="00573A14" w:rsidP="00573A14">
            <w:pPr>
              <w:cnfStyle w:val="000000000000" w:firstRow="0" w:lastRow="0" w:firstColumn="0" w:lastColumn="0" w:oddVBand="0" w:evenVBand="0" w:oddHBand="0" w:evenHBand="0" w:firstRowFirstColumn="0" w:firstRowLastColumn="0" w:lastRowFirstColumn="0" w:lastRowLastColumn="0"/>
            </w:pPr>
            <w:r w:rsidRPr="00982B02">
              <w:t>Gère la communication avec les riverains</w:t>
            </w:r>
            <w:r>
              <w:t xml:space="preserve"> et </w:t>
            </w:r>
            <w:r w:rsidRPr="00982B02">
              <w:t>le mécanisme de gestion des plaintes.</w:t>
            </w:r>
          </w:p>
        </w:tc>
      </w:tr>
      <w:tr w:rsidR="00982B02" w:rsidRPr="00982B02" w14:paraId="20A51C61" w14:textId="77777777" w:rsidTr="00982B02">
        <w:tc>
          <w:tcPr>
            <w:cnfStyle w:val="001000000000" w:firstRow="0" w:lastRow="0" w:firstColumn="1" w:lastColumn="0" w:oddVBand="0" w:evenVBand="0" w:oddHBand="0" w:evenHBand="0" w:firstRowFirstColumn="0" w:firstRowLastColumn="0" w:lastRowFirstColumn="0" w:lastRowLastColumn="0"/>
            <w:tcW w:w="0" w:type="auto"/>
            <w:vMerge w:val="restart"/>
            <w:hideMark/>
          </w:tcPr>
          <w:p w14:paraId="08F5039B" w14:textId="77777777" w:rsidR="00982B02" w:rsidRPr="00982B02" w:rsidRDefault="00982B02" w:rsidP="00982B02">
            <w:r w:rsidRPr="00982B02">
              <w:t>Prestataires d’exploitation (maintenance, nettoyage, déchets, sûreté, etc.)</w:t>
            </w:r>
          </w:p>
        </w:tc>
        <w:tc>
          <w:tcPr>
            <w:tcW w:w="0" w:type="auto"/>
            <w:hideMark/>
          </w:tcPr>
          <w:p w14:paraId="3A97F93F" w14:textId="413CA2C6" w:rsidR="00982B02" w:rsidRPr="00982B02" w:rsidRDefault="00982B02" w:rsidP="00982B02">
            <w:pPr>
              <w:cnfStyle w:val="000000000000" w:firstRow="0" w:lastRow="0" w:firstColumn="0" w:lastColumn="0" w:oddVBand="0" w:evenVBand="0" w:oddHBand="0" w:evenHBand="0" w:firstRowFirstColumn="0" w:firstRowLastColumn="0" w:lastRowFirstColumn="0" w:lastRowLastColumn="0"/>
            </w:pPr>
            <w:r w:rsidRPr="00982B02">
              <w:rPr>
                <w:b/>
                <w:bCs/>
              </w:rPr>
              <w:t xml:space="preserve">Superviseur </w:t>
            </w:r>
            <w:r>
              <w:rPr>
                <w:b/>
                <w:bCs/>
              </w:rPr>
              <w:t>HSSE</w:t>
            </w:r>
          </w:p>
        </w:tc>
        <w:tc>
          <w:tcPr>
            <w:tcW w:w="0" w:type="auto"/>
            <w:hideMark/>
          </w:tcPr>
          <w:p w14:paraId="5F2F43AF" w14:textId="77777777" w:rsidR="00982B02" w:rsidRDefault="00982B02" w:rsidP="00982B02">
            <w:pPr>
              <w:cnfStyle w:val="000000000000" w:firstRow="0" w:lastRow="0" w:firstColumn="0" w:lastColumn="0" w:oddVBand="0" w:evenVBand="0" w:oddHBand="0" w:evenHBand="0" w:firstRowFirstColumn="0" w:firstRowLastColumn="0" w:lastRowFirstColumn="0" w:lastRowLastColumn="0"/>
            </w:pPr>
            <w:r w:rsidRPr="00982B02">
              <w:t xml:space="preserve">Applique les protocoles </w:t>
            </w:r>
            <w:r>
              <w:t>HSSE</w:t>
            </w:r>
            <w:r w:rsidRPr="00982B02">
              <w:t xml:space="preserve">, </w:t>
            </w:r>
          </w:p>
          <w:p w14:paraId="7341B89B" w14:textId="761838E2" w:rsidR="00982B02" w:rsidRPr="00982B02" w:rsidRDefault="00982B02" w:rsidP="00982B02">
            <w:pPr>
              <w:cnfStyle w:val="000000000000" w:firstRow="0" w:lastRow="0" w:firstColumn="0" w:lastColumn="0" w:oddVBand="0" w:evenVBand="0" w:oddHBand="0" w:evenHBand="0" w:firstRowFirstColumn="0" w:firstRowLastColumn="0" w:lastRowFirstColumn="0" w:lastRowLastColumn="0"/>
            </w:pPr>
            <w:r>
              <w:t>V</w:t>
            </w:r>
            <w:r w:rsidRPr="00982B02">
              <w:t>eille à la conformité environnementale et sécuritaire des activités sous-traitées.</w:t>
            </w:r>
          </w:p>
        </w:tc>
      </w:tr>
      <w:tr w:rsidR="00982B02" w:rsidRPr="00982B02" w14:paraId="1B5ACEC5" w14:textId="77777777" w:rsidTr="00982B02">
        <w:tc>
          <w:tcPr>
            <w:cnfStyle w:val="001000000000" w:firstRow="0" w:lastRow="0" w:firstColumn="1" w:lastColumn="0" w:oddVBand="0" w:evenVBand="0" w:oddHBand="0" w:evenHBand="0" w:firstRowFirstColumn="0" w:firstRowLastColumn="0" w:lastRowFirstColumn="0" w:lastRowLastColumn="0"/>
            <w:tcW w:w="0" w:type="auto"/>
            <w:vMerge/>
            <w:hideMark/>
          </w:tcPr>
          <w:p w14:paraId="793E66D6" w14:textId="77777777" w:rsidR="00982B02" w:rsidRPr="00982B02" w:rsidRDefault="00982B02" w:rsidP="00982B02"/>
        </w:tc>
        <w:tc>
          <w:tcPr>
            <w:tcW w:w="0" w:type="auto"/>
            <w:hideMark/>
          </w:tcPr>
          <w:p w14:paraId="69FC2962" w14:textId="77777777" w:rsidR="00982B02" w:rsidRPr="00982B02" w:rsidRDefault="00982B02" w:rsidP="00982B02">
            <w:pPr>
              <w:cnfStyle w:val="000000000000" w:firstRow="0" w:lastRow="0" w:firstColumn="0" w:lastColumn="0" w:oddVBand="0" w:evenVBand="0" w:oddHBand="0" w:evenHBand="0" w:firstRowFirstColumn="0" w:firstRowLastColumn="0" w:lastRowFirstColumn="0" w:lastRowLastColumn="0"/>
            </w:pPr>
            <w:r w:rsidRPr="00982B02">
              <w:rPr>
                <w:b/>
                <w:bCs/>
              </w:rPr>
              <w:t>Techniciens spécialisés</w:t>
            </w:r>
          </w:p>
        </w:tc>
        <w:tc>
          <w:tcPr>
            <w:tcW w:w="0" w:type="auto"/>
            <w:hideMark/>
          </w:tcPr>
          <w:p w14:paraId="09CC885F" w14:textId="77777777" w:rsidR="00982B02" w:rsidRPr="00982B02" w:rsidRDefault="00982B02" w:rsidP="00982B02">
            <w:pPr>
              <w:cnfStyle w:val="000000000000" w:firstRow="0" w:lastRow="0" w:firstColumn="0" w:lastColumn="0" w:oddVBand="0" w:evenVBand="0" w:oddHBand="0" w:evenHBand="0" w:firstRowFirstColumn="0" w:firstRowLastColumn="0" w:lastRowFirstColumn="0" w:lastRowLastColumn="0"/>
            </w:pPr>
            <w:r w:rsidRPr="00982B02">
              <w:t>Assurent la maintenance des équipements de traitement et de sûreté environnementale.</w:t>
            </w:r>
          </w:p>
        </w:tc>
      </w:tr>
    </w:tbl>
    <w:p w14:paraId="44C4C981" w14:textId="7B65763A" w:rsidR="00946C67" w:rsidRDefault="00946C67" w:rsidP="004637C7">
      <w:pPr>
        <w:pStyle w:val="Title2"/>
        <w:rPr>
          <w:lang w:val="fr-MA"/>
        </w:rPr>
      </w:pPr>
      <w:bookmarkStart w:id="535" w:name="_Toc215131917"/>
      <w:r>
        <w:t>Synthèse des mesures d’atténuation</w:t>
      </w:r>
      <w:bookmarkEnd w:id="535"/>
    </w:p>
    <w:p w14:paraId="557F0CA7" w14:textId="2E607996" w:rsidR="00946C67" w:rsidRPr="00946C67" w:rsidRDefault="00946C67" w:rsidP="00946C67">
      <w:r w:rsidRPr="00946C67">
        <w:t xml:space="preserve">La présente section concerne l’ensemble des mesures environnementales et sociales prévues pour </w:t>
      </w:r>
      <w:r w:rsidRPr="004637C7">
        <w:t>prévenir, réduire, atténuer, compenser ou bonifier</w:t>
      </w:r>
      <w:r w:rsidRPr="00946C67">
        <w:t xml:space="preserve"> les impacts et risques identifiés dans l’Étude d’Impact Environnemental et Social (EIES) du projet.</w:t>
      </w:r>
    </w:p>
    <w:p w14:paraId="06154E7E" w14:textId="03054DAF" w:rsidR="00946C67" w:rsidRPr="00AC2854" w:rsidRDefault="00946C67" w:rsidP="00946C67">
      <w:pPr>
        <w:rPr>
          <w:b/>
          <w:bCs/>
        </w:rPr>
      </w:pPr>
      <w:r w:rsidRPr="00946C67">
        <w:t xml:space="preserve">Étant donné la </w:t>
      </w:r>
      <w:r w:rsidRPr="004637C7">
        <w:t xml:space="preserve">taille conséquente </w:t>
      </w:r>
      <w:r>
        <w:t>des tableaux des mesures d’atténuation</w:t>
      </w:r>
      <w:r w:rsidRPr="00946C67">
        <w:t xml:space="preserve"> et la </w:t>
      </w:r>
      <w:r w:rsidRPr="004637C7">
        <w:t>densité des informations</w:t>
      </w:r>
      <w:r w:rsidRPr="00946C67">
        <w:t xml:space="preserve"> qu’il</w:t>
      </w:r>
      <w:r>
        <w:t>s</w:t>
      </w:r>
      <w:r w:rsidRPr="00946C67">
        <w:t xml:space="preserve"> contien</w:t>
      </w:r>
      <w:r>
        <w:t>nen</w:t>
      </w:r>
      <w:r w:rsidRPr="00946C67">
        <w:t xml:space="preserve">t, la </w:t>
      </w:r>
      <w:r w:rsidRPr="004637C7">
        <w:t>synthèse détaillée des mesures d’atténuation</w:t>
      </w:r>
      <w:r w:rsidRPr="00946C67">
        <w:t xml:space="preserve"> n’est pas reproduite dans la présente section du PGES. </w:t>
      </w:r>
      <w:r w:rsidRPr="00AC2854">
        <w:rPr>
          <w:b/>
          <w:bCs/>
        </w:rPr>
        <w:t>Ces mesures ont déjà été élaborées et présentées de manière exhaustive au chapitre 7.3 de l’EIES, par aspect environnemental et social et selon les phases du projet (construction et exploitation).</w:t>
      </w:r>
    </w:p>
    <w:p w14:paraId="7A70F9DB" w14:textId="77777777" w:rsidR="00946C67" w:rsidRPr="00946C67" w:rsidRDefault="00946C67" w:rsidP="00946C67">
      <w:r w:rsidRPr="00946C67">
        <w:t>Le présent PGES s’appuie donc sur ces mesures validées, et définit le cadre institutionnel, les responsabilités, les modalités de mise en œuvre, les dispositifs de suivi et de rapportage qui permettront d’assurer leur application effective et leur vérification dans le temps.</w:t>
      </w:r>
    </w:p>
    <w:p w14:paraId="5B2E4EB4" w14:textId="77777777" w:rsidR="00946C67" w:rsidRPr="00946C67" w:rsidRDefault="00946C67" w:rsidP="00946C67">
      <w:r w:rsidRPr="00946C67">
        <w:t>Avant le démarrage des travaux, deux plans opérationnels spécifiques seront élaborés à partir de la présente EIES :</w:t>
      </w:r>
    </w:p>
    <w:p w14:paraId="1A8E2AE1" w14:textId="77777777" w:rsidR="00946C67" w:rsidRPr="00946C67" w:rsidRDefault="00946C67" w:rsidP="0001633E">
      <w:pPr>
        <w:numPr>
          <w:ilvl w:val="0"/>
          <w:numId w:val="142"/>
        </w:numPr>
      </w:pPr>
      <w:r w:rsidRPr="00946C67">
        <w:rPr>
          <w:b/>
          <w:bCs/>
        </w:rPr>
        <w:t>Le Plan de Gestion Environnementale et Sociale de Chantier (PGES-C)</w:t>
      </w:r>
      <w:r w:rsidRPr="00946C67">
        <w:t xml:space="preserve">, qui reprendra toutes les mesures relatives à la </w:t>
      </w:r>
      <w:r w:rsidRPr="004637C7">
        <w:t>phase de construction</w:t>
      </w:r>
      <w:r w:rsidRPr="00946C67">
        <w:t>, intégrant les obligations réglementaires marocaines, les exigences de la BAD et les engagements de l’ONDA et de l’EPC. Ce document détaillera les indicateurs de suivi, les responsabilités, les procédures de contrôle et les coûts associés à la mise en œuvre des mesures environnementales et sociales sur site.</w:t>
      </w:r>
    </w:p>
    <w:p w14:paraId="5B0FCB42" w14:textId="77777777" w:rsidR="00946C67" w:rsidRPr="00946C67" w:rsidRDefault="00946C67" w:rsidP="0001633E">
      <w:pPr>
        <w:numPr>
          <w:ilvl w:val="0"/>
          <w:numId w:val="142"/>
        </w:numPr>
      </w:pPr>
      <w:r w:rsidRPr="00946C67">
        <w:rPr>
          <w:b/>
          <w:bCs/>
        </w:rPr>
        <w:lastRenderedPageBreak/>
        <w:t>Le Plan de Gestion Environnementale et Sociale d’Exploitation (PGES-O)</w:t>
      </w:r>
      <w:r w:rsidRPr="00946C67">
        <w:t xml:space="preserve">, qui sera préparé avant la mise en service du projet. Il décrira l’ensemble des dispositions applicables pendant la </w:t>
      </w:r>
      <w:r w:rsidRPr="004637C7">
        <w:t>phase d’exploitation</w:t>
      </w:r>
      <w:r w:rsidRPr="00946C67">
        <w:t>, notamment les mesures de surveillance des émissions, de gestion des déchets, de maintenance des équipements, de santé et sécurité du personnel et de communication avec les parties prenantes locales.</w:t>
      </w:r>
    </w:p>
    <w:p w14:paraId="2819E019" w14:textId="3DAC2823" w:rsidR="00946C67" w:rsidRPr="004637C7" w:rsidRDefault="00946C67" w:rsidP="004637C7">
      <w:r w:rsidRPr="00946C67">
        <w:t>Ces deux documents constitueront les déclinaisons opérationnelles du présent PGES global et feront partie intégrante du système de management environnemental et social de l’ONDA. Ils seront actualisés au besoin, en fonction de l’évolution du projet, des exigences réglementaires et des retours d’expérience obtenus lors de la mise en œuvre.</w:t>
      </w:r>
    </w:p>
    <w:p w14:paraId="0F9ACB3C" w14:textId="2A0FE0D5" w:rsidR="00246F91" w:rsidRDefault="00246F91" w:rsidP="00946C67">
      <w:pPr>
        <w:pStyle w:val="Title2"/>
        <w:rPr>
          <w:lang w:val="fr-MA"/>
        </w:rPr>
      </w:pPr>
      <w:bookmarkStart w:id="536" w:name="_Toc215131918"/>
      <w:r>
        <w:rPr>
          <w:lang w:val="fr-MA"/>
        </w:rPr>
        <w:t>Programme de surveillance, d’inspection et d’audit</w:t>
      </w:r>
      <w:bookmarkEnd w:id="536"/>
    </w:p>
    <w:p w14:paraId="553155A2" w14:textId="07788407" w:rsidR="00AA22F2" w:rsidRPr="00AA22F2" w:rsidRDefault="00AA22F2" w:rsidP="004637C7">
      <w:pPr>
        <w:pStyle w:val="Title3"/>
        <w:rPr>
          <w:bCs/>
        </w:rPr>
      </w:pPr>
      <w:bookmarkStart w:id="537" w:name="_Toc215131919"/>
      <w:r w:rsidRPr="00AA22F2">
        <w:rPr>
          <w:bCs/>
        </w:rPr>
        <w:t>Dispositif de coordination et de communication</w:t>
      </w:r>
      <w:bookmarkEnd w:id="537"/>
    </w:p>
    <w:p w14:paraId="64D37A7A" w14:textId="77777777" w:rsidR="00AA22F2" w:rsidRDefault="00AA22F2" w:rsidP="004637C7">
      <w:r w:rsidRPr="00AA22F2">
        <w:t>La coordination environnementale et sociale du projet est intégrée dans le dispositif global de gestion de projet mis en place par l’ONDA.</w:t>
      </w:r>
    </w:p>
    <w:p w14:paraId="14E41D88" w14:textId="77777777" w:rsidR="00AA22F2" w:rsidRDefault="00AA22F2" w:rsidP="004637C7">
      <w:r w:rsidRPr="00AA22F2">
        <w:t>Elle s’appuie sur les lignes hiérarchiques déjà établies entre le maître d’ouvrage, l’entreprise EPC, la mission de contrôle ou l’AMO environnementale (si désignée) et les sous-traitants.</w:t>
      </w:r>
    </w:p>
    <w:p w14:paraId="60AF03C9" w14:textId="4E224CAB" w:rsidR="00AA22F2" w:rsidRPr="00AA22F2" w:rsidRDefault="00AA22F2" w:rsidP="004637C7">
      <w:r w:rsidRPr="00AA22F2">
        <w:t>Cette organisation garantit la cohérence des actions, la traçabilité des informations et la réactivité en cas de non-conformité.</w:t>
      </w:r>
    </w:p>
    <w:p w14:paraId="3531315A" w14:textId="29A66275" w:rsidR="00AA22F2" w:rsidRPr="00AA22F2" w:rsidRDefault="00AA22F2" w:rsidP="004637C7">
      <w:pPr>
        <w:pStyle w:val="Title4"/>
      </w:pPr>
      <w:r w:rsidRPr="00AA22F2">
        <w:t>Coordination institutionnelle et opérationnelle</w:t>
      </w:r>
    </w:p>
    <w:p w14:paraId="4A206FD7" w14:textId="77777777" w:rsidR="00AA22F2" w:rsidRDefault="00AA22F2" w:rsidP="00AA22F2">
      <w:r w:rsidRPr="00AA22F2">
        <w:t>L’ONDA, en tant que maître d’ouvrage, assure la supervision globale et la coordination interinstitutionnelle.</w:t>
      </w:r>
    </w:p>
    <w:p w14:paraId="4803E9BB" w14:textId="01C05242" w:rsidR="00AA22F2" w:rsidRPr="00AA22F2" w:rsidRDefault="00AA22F2" w:rsidP="00AA22F2">
      <w:r w:rsidRPr="00AA22F2">
        <w:t xml:space="preserve">Le </w:t>
      </w:r>
      <w:r w:rsidRPr="004637C7">
        <w:t>Responsable HSSE du projet</w:t>
      </w:r>
      <w:r w:rsidRPr="00AA22F2">
        <w:t xml:space="preserve"> constitue l’autorité de référence pour toutes les questions environnementales, sociales, sanitaires et sécuritaires.</w:t>
      </w:r>
    </w:p>
    <w:p w14:paraId="3B3F22C9" w14:textId="562E446D" w:rsidR="00AA22F2" w:rsidRPr="00AA22F2" w:rsidRDefault="00AA22F2" w:rsidP="004637C7">
      <w:r w:rsidRPr="00AA22F2">
        <w:t xml:space="preserve">Le </w:t>
      </w:r>
      <w:r w:rsidRPr="004637C7">
        <w:t>Point Focal HSSE du site aéroportuaire</w:t>
      </w:r>
      <w:r w:rsidRPr="00AA22F2">
        <w:t xml:space="preserve"> assure la coordination quotidienne sur le terrain et le lien permanent avec le </w:t>
      </w:r>
      <w:r w:rsidRPr="004637C7">
        <w:t>Responsable SSEH de l’EPC</w:t>
      </w:r>
      <w:r w:rsidRPr="00AA22F2">
        <w:t>.</w:t>
      </w:r>
    </w:p>
    <w:p w14:paraId="285D186B" w14:textId="77777777" w:rsidR="00AA22F2" w:rsidRPr="00AA22F2" w:rsidRDefault="00AA22F2" w:rsidP="00AA22F2">
      <w:pPr>
        <w:spacing w:before="0" w:after="160" w:line="259" w:lineRule="auto"/>
        <w:jc w:val="left"/>
      </w:pPr>
      <w:r w:rsidRPr="00AA22F2">
        <w:t xml:space="preserve">Le </w:t>
      </w:r>
      <w:r w:rsidRPr="004637C7">
        <w:t>Responsable HSSE de l’EPC</w:t>
      </w:r>
      <w:r w:rsidRPr="00AA22F2">
        <w:t xml:space="preserve"> coordonne l’ensemble des actions de prévention, de suivi et de reporting au niveau du chantier, appuyé par ses coordinateurs E&amp;S.</w:t>
      </w:r>
    </w:p>
    <w:p w14:paraId="6C449AA8" w14:textId="77777777" w:rsidR="00AA22F2" w:rsidRPr="00AA22F2" w:rsidRDefault="00AA22F2" w:rsidP="00AA22F2">
      <w:pPr>
        <w:spacing w:before="0" w:after="160" w:line="259" w:lineRule="auto"/>
        <w:jc w:val="left"/>
      </w:pPr>
      <w:r w:rsidRPr="00AA22F2">
        <w:t xml:space="preserve">Le cas échéant, la </w:t>
      </w:r>
      <w:r w:rsidRPr="004637C7">
        <w:t>Mission de Contrôle / AMO environnementale</w:t>
      </w:r>
      <w:r w:rsidRPr="00AA22F2">
        <w:t xml:space="preserve"> joue un rôle d’appui technique, de vérification indépendante et de conseil auprès de l’ONDA.</w:t>
      </w:r>
    </w:p>
    <w:p w14:paraId="002651BD" w14:textId="75983C0C" w:rsidR="00AA22F2" w:rsidRPr="00AA22F2" w:rsidRDefault="00AA22F2" w:rsidP="00AA22F2">
      <w:pPr>
        <w:spacing w:before="0" w:after="160" w:line="259" w:lineRule="auto"/>
        <w:jc w:val="left"/>
      </w:pPr>
      <w:r w:rsidRPr="00AA22F2">
        <w:t>Cette organisation garantit une chaîne fonctionnelle claire, de la collecte des données de terrain jusqu’à la validation institutionnelle.</w:t>
      </w:r>
    </w:p>
    <w:p w14:paraId="591A7588" w14:textId="2B25D60C" w:rsidR="00AA22F2" w:rsidRPr="00AA22F2" w:rsidRDefault="00AA22F2" w:rsidP="004637C7">
      <w:pPr>
        <w:pStyle w:val="Title4"/>
      </w:pPr>
      <w:r w:rsidRPr="00AA22F2">
        <w:t>Communication interne et externe</w:t>
      </w:r>
    </w:p>
    <w:p w14:paraId="671BD33F" w14:textId="77777777" w:rsidR="00AA22F2" w:rsidRDefault="00AA22F2" w:rsidP="00AA22F2">
      <w:pPr>
        <w:spacing w:before="0" w:after="160" w:line="259" w:lineRule="auto"/>
        <w:jc w:val="left"/>
      </w:pPr>
      <w:r w:rsidRPr="00AA22F2">
        <w:t>La communication entre les acteurs s’effectue selon des circuits hiérarchiques définis, garantissant la fluidité et la réactivité de l’information environnementale et sociale.</w:t>
      </w:r>
    </w:p>
    <w:p w14:paraId="25D6BDA5" w14:textId="77777777" w:rsidR="004E045A" w:rsidRDefault="004E045A" w:rsidP="00AA22F2">
      <w:pPr>
        <w:spacing w:before="0" w:after="160" w:line="259" w:lineRule="auto"/>
        <w:jc w:val="left"/>
      </w:pPr>
    </w:p>
    <w:p w14:paraId="72493A6C" w14:textId="77777777" w:rsidR="004E045A" w:rsidRPr="00AA22F2" w:rsidRDefault="004E045A" w:rsidP="00AA22F2">
      <w:pPr>
        <w:spacing w:before="0" w:after="160" w:line="259" w:lineRule="auto"/>
        <w:jc w:val="left"/>
      </w:pPr>
    </w:p>
    <w:p w14:paraId="3184153E" w14:textId="77777777" w:rsidR="00AA22F2" w:rsidRPr="00AA22F2" w:rsidRDefault="00AA22F2" w:rsidP="004637C7">
      <w:pPr>
        <w:pStyle w:val="Title5"/>
      </w:pPr>
      <w:r w:rsidRPr="00AA22F2">
        <w:lastRenderedPageBreak/>
        <w:t>Flux ascendant (reporting) :</w:t>
      </w:r>
    </w:p>
    <w:p w14:paraId="332FC0F1" w14:textId="77777777" w:rsidR="00AA22F2" w:rsidRPr="00AA22F2" w:rsidRDefault="00AA22F2" w:rsidP="0001633E">
      <w:pPr>
        <w:numPr>
          <w:ilvl w:val="0"/>
          <w:numId w:val="139"/>
        </w:numPr>
        <w:spacing w:before="0" w:after="160"/>
        <w:ind w:left="714" w:hanging="357"/>
        <w:contextualSpacing/>
        <w:jc w:val="left"/>
      </w:pPr>
      <w:r w:rsidRPr="00AA22F2">
        <w:t>Les Coordinateurs E&amp;S transmettent leurs rapports au Responsable HSSE de l’EPC ;</w:t>
      </w:r>
    </w:p>
    <w:p w14:paraId="4A09BA16" w14:textId="77777777" w:rsidR="00AA22F2" w:rsidRPr="00AA22F2" w:rsidRDefault="00AA22F2" w:rsidP="0001633E">
      <w:pPr>
        <w:numPr>
          <w:ilvl w:val="0"/>
          <w:numId w:val="139"/>
        </w:numPr>
        <w:spacing w:before="0" w:after="160"/>
        <w:ind w:left="714" w:hanging="357"/>
        <w:contextualSpacing/>
        <w:jc w:val="left"/>
      </w:pPr>
      <w:r w:rsidRPr="00AA22F2">
        <w:t>Le Responsable HSSE de l’EPC compile un rapport mensuel HSSE consolidé adressé à l’ONDA (Responsable HSSE du projet et Point Focal du site) ;</w:t>
      </w:r>
    </w:p>
    <w:p w14:paraId="7234C457" w14:textId="77777777" w:rsidR="00AA22F2" w:rsidRDefault="00AA22F2" w:rsidP="0001633E">
      <w:pPr>
        <w:numPr>
          <w:ilvl w:val="0"/>
          <w:numId w:val="139"/>
        </w:numPr>
        <w:spacing w:before="0" w:after="160"/>
        <w:ind w:left="714" w:hanging="357"/>
        <w:contextualSpacing/>
        <w:jc w:val="left"/>
      </w:pPr>
      <w:r w:rsidRPr="00AA22F2">
        <w:t>L’ONDA valide et archive ces rapports et prépare, si nécessaire, un rapport trimestriel de conformité à destination de la BAD.</w:t>
      </w:r>
    </w:p>
    <w:p w14:paraId="40A8115E" w14:textId="77777777" w:rsidR="00AA22F2" w:rsidRPr="00AA22F2" w:rsidRDefault="00AA22F2" w:rsidP="004637C7">
      <w:pPr>
        <w:tabs>
          <w:tab w:val="num" w:pos="720"/>
        </w:tabs>
        <w:spacing w:before="0" w:after="160" w:line="240" w:lineRule="auto"/>
        <w:ind w:left="714"/>
        <w:contextualSpacing/>
        <w:jc w:val="left"/>
      </w:pPr>
    </w:p>
    <w:p w14:paraId="6D5D4273" w14:textId="77777777" w:rsidR="00AA22F2" w:rsidRPr="00AA22F2" w:rsidRDefault="00AA22F2" w:rsidP="004637C7">
      <w:pPr>
        <w:pStyle w:val="Title5"/>
      </w:pPr>
      <w:r w:rsidRPr="00AA22F2">
        <w:t>Flux descendant (consignes et directives) :</w:t>
      </w:r>
    </w:p>
    <w:p w14:paraId="2DCB37EE" w14:textId="77777777" w:rsidR="00AA22F2" w:rsidRPr="00AA22F2" w:rsidRDefault="00AA22F2" w:rsidP="0001633E">
      <w:pPr>
        <w:numPr>
          <w:ilvl w:val="0"/>
          <w:numId w:val="139"/>
        </w:numPr>
        <w:spacing w:before="0" w:after="160"/>
        <w:ind w:left="714" w:hanging="357"/>
        <w:contextualSpacing/>
        <w:jc w:val="left"/>
      </w:pPr>
      <w:r w:rsidRPr="00AA22F2">
        <w:t>L’ONDA diffuse les observations, plans d’action et directives correctives vers l’EPC et la Mission de Contrôle ;</w:t>
      </w:r>
    </w:p>
    <w:p w14:paraId="682D6C91" w14:textId="77777777" w:rsidR="00AA22F2" w:rsidRDefault="00AA22F2" w:rsidP="0001633E">
      <w:pPr>
        <w:numPr>
          <w:ilvl w:val="0"/>
          <w:numId w:val="139"/>
        </w:numPr>
        <w:spacing w:before="0" w:after="160"/>
        <w:ind w:left="714" w:hanging="357"/>
        <w:contextualSpacing/>
        <w:jc w:val="left"/>
      </w:pPr>
      <w:r w:rsidRPr="00AA22F2">
        <w:t>L’EPC relaye ces instructions à ses sous-traitants et en assure la mise en œuvre et le suivi.</w:t>
      </w:r>
    </w:p>
    <w:p w14:paraId="49DC527C" w14:textId="77777777" w:rsidR="00AA22F2" w:rsidRPr="00AA22F2" w:rsidRDefault="00AA22F2" w:rsidP="004637C7">
      <w:pPr>
        <w:tabs>
          <w:tab w:val="num" w:pos="720"/>
        </w:tabs>
        <w:spacing w:before="0" w:after="160"/>
        <w:ind w:left="714"/>
        <w:contextualSpacing/>
        <w:jc w:val="left"/>
      </w:pPr>
    </w:p>
    <w:p w14:paraId="1A9E4AC7" w14:textId="77777777" w:rsidR="00AA22F2" w:rsidRDefault="00AA22F2" w:rsidP="004637C7">
      <w:pPr>
        <w:pStyle w:val="Title5"/>
      </w:pPr>
      <w:r w:rsidRPr="00AA22F2">
        <w:t>Outils de communication :</w:t>
      </w:r>
    </w:p>
    <w:p w14:paraId="31AADEFA" w14:textId="0F0A5652" w:rsidR="00AA22F2" w:rsidRPr="00AA22F2" w:rsidRDefault="00AA22F2" w:rsidP="00AA22F2">
      <w:pPr>
        <w:spacing w:before="0" w:after="160" w:line="259" w:lineRule="auto"/>
        <w:jc w:val="left"/>
      </w:pPr>
      <w:r w:rsidRPr="00AA22F2">
        <w:t>Rapports HSSE, fiches de suivi environnemental et social, fiches d’incident, registre des plaintes (MGP), procès-verbaux de réunions, registres de formations et sensibilisations.</w:t>
      </w:r>
    </w:p>
    <w:p w14:paraId="5B51D213" w14:textId="77777777" w:rsidR="00AA22F2" w:rsidRDefault="00AA22F2" w:rsidP="004637C7">
      <w:pPr>
        <w:pStyle w:val="Title5"/>
      </w:pPr>
      <w:r w:rsidRPr="00AA22F2">
        <w:t>Communication externe et transparence :</w:t>
      </w:r>
    </w:p>
    <w:p w14:paraId="0338F0AB" w14:textId="322F4AB5" w:rsidR="00AA22F2" w:rsidRPr="00AA22F2" w:rsidRDefault="00AA22F2" w:rsidP="004637C7">
      <w:pPr>
        <w:spacing w:before="0" w:after="160" w:line="259" w:lineRule="auto"/>
      </w:pPr>
      <w:r w:rsidRPr="00AA22F2">
        <w:t>L’ONDA veille à la diffusion d’informations pertinentes auprès des autorités locales et des parties prenantes concernées et à la gestion centralisée du Mécanisme de Gestion des Plaintes (MGP), garantissant accessibilité, confidentialité et réactivité.</w:t>
      </w:r>
    </w:p>
    <w:p w14:paraId="3A758D6A" w14:textId="66B9F7F8" w:rsidR="00AA22F2" w:rsidRPr="00AA22F2" w:rsidRDefault="00AA22F2" w:rsidP="004637C7">
      <w:pPr>
        <w:pStyle w:val="Title4"/>
      </w:pPr>
      <w:r w:rsidRPr="00AA22F2">
        <w:t>Réunions de coordination</w:t>
      </w:r>
    </w:p>
    <w:p w14:paraId="4ABEE550" w14:textId="4FF1F8F8" w:rsidR="00AA22F2" w:rsidRPr="00AA22F2" w:rsidRDefault="00AA22F2" w:rsidP="004637C7">
      <w:r w:rsidRPr="00AA22F2">
        <w:t>La coordination environnementale et sociale sera assurée à travers les réunions de chantier et de coordination technique déjà existantes, sans création d’un comité distinct.</w:t>
      </w:r>
      <w:r>
        <w:t xml:space="preserve"> </w:t>
      </w:r>
      <w:r w:rsidRPr="00AA22F2">
        <w:t>Les questions E&amp;S figureront systématiquement à l’ordre du jour.</w:t>
      </w:r>
    </w:p>
    <w:p w14:paraId="18701BAF" w14:textId="77777777" w:rsidR="00AA22F2" w:rsidRPr="00AA22F2" w:rsidRDefault="00AA22F2" w:rsidP="0001633E">
      <w:pPr>
        <w:numPr>
          <w:ilvl w:val="0"/>
          <w:numId w:val="140"/>
        </w:numPr>
        <w:spacing w:before="0" w:after="160" w:line="259" w:lineRule="auto"/>
        <w:jc w:val="left"/>
      </w:pPr>
      <w:r w:rsidRPr="00AA22F2">
        <w:rPr>
          <w:b/>
          <w:bCs/>
        </w:rPr>
        <w:t>Réunion de chantier</w:t>
      </w:r>
      <w:r w:rsidRPr="00AA22F2">
        <w:t xml:space="preserve"> : pilotée par l’EPC et suivie par le Point Focal HSSE de l’ONDA ; elle traite des incidents, des mesures correctives et des inspections.</w:t>
      </w:r>
    </w:p>
    <w:p w14:paraId="1FE2D873" w14:textId="77777777" w:rsidR="00AA22F2" w:rsidRPr="00AA22F2" w:rsidRDefault="00AA22F2" w:rsidP="0001633E">
      <w:pPr>
        <w:numPr>
          <w:ilvl w:val="0"/>
          <w:numId w:val="140"/>
        </w:numPr>
        <w:spacing w:before="0" w:after="160" w:line="259" w:lineRule="auto"/>
        <w:jc w:val="left"/>
      </w:pPr>
      <w:r w:rsidRPr="00AA22F2">
        <w:rPr>
          <w:b/>
          <w:bCs/>
        </w:rPr>
        <w:t>Réunion de coordination de projet</w:t>
      </w:r>
      <w:r w:rsidRPr="00AA22F2">
        <w:t xml:space="preserve"> : présidée par la Direction du projet ONDA, incluant un point spécifique sur la conformité environnementale et sociale.</w:t>
      </w:r>
    </w:p>
    <w:p w14:paraId="5C967F61" w14:textId="77777777" w:rsidR="00AA22F2" w:rsidRPr="00AA22F2" w:rsidRDefault="00AA22F2" w:rsidP="00AA22F2">
      <w:pPr>
        <w:spacing w:before="0" w:after="160" w:line="259" w:lineRule="auto"/>
        <w:jc w:val="left"/>
      </w:pPr>
      <w:r w:rsidRPr="00AA22F2">
        <w:t>Les comptes rendus intégreront systématiquement un volet HSSE validé par le Responsable HSSE du projet.</w:t>
      </w:r>
    </w:p>
    <w:p w14:paraId="7257E928" w14:textId="4E638520" w:rsidR="00AA22F2" w:rsidRPr="00AA22F2" w:rsidRDefault="00AA22F2" w:rsidP="004637C7">
      <w:pPr>
        <w:pStyle w:val="Title4"/>
        <w:rPr>
          <w:lang w:bidi="en-US"/>
        </w:rPr>
      </w:pPr>
      <w:r w:rsidRPr="00AA22F2">
        <w:rPr>
          <w:lang w:bidi="en-US"/>
        </w:rPr>
        <w:t>Reporting</w:t>
      </w:r>
      <w:r>
        <w:t xml:space="preserve">, </w:t>
      </w:r>
      <w:r w:rsidRPr="00AA22F2">
        <w:t>amélioration continue et coordination avec la BAD</w:t>
      </w:r>
    </w:p>
    <w:p w14:paraId="3A032BE8" w14:textId="77777777" w:rsidR="00AA22F2" w:rsidRDefault="00AA22F2" w:rsidP="00AA22F2">
      <w:r w:rsidRPr="00AA22F2">
        <w:t xml:space="preserve">La fréquence du reporting est adaptée à la catégorie de risque du projet (Catégorie 2 selon la BAD). Un </w:t>
      </w:r>
      <w:r w:rsidRPr="004637C7">
        <w:t>reporting trimestriel</w:t>
      </w:r>
      <w:r w:rsidRPr="00AA22F2">
        <w:t xml:space="preserve"> est jugé approprié, car les impacts sont localisés, maîtrisables et réversibles, et les activités se déroulent dans un environnement déjà aménagé.</w:t>
      </w:r>
      <w:r>
        <w:t xml:space="preserve"> </w:t>
      </w:r>
    </w:p>
    <w:p w14:paraId="2AA3D1EE" w14:textId="6EEE1786" w:rsidR="00AA22F2" w:rsidRPr="00AA22F2" w:rsidRDefault="00AA22F2" w:rsidP="004637C7">
      <w:r w:rsidRPr="00AA22F2">
        <w:t>En cas d’incident majeur, un rapport ad hoc sera transmis immédiatement à la BAD.</w:t>
      </w:r>
    </w:p>
    <w:p w14:paraId="69B9598C" w14:textId="77777777" w:rsidR="00AA22F2" w:rsidRDefault="00AA22F2" w:rsidP="00AA22F2">
      <w:pPr>
        <w:spacing w:before="0" w:after="160" w:line="259" w:lineRule="auto"/>
        <w:jc w:val="left"/>
      </w:pPr>
      <w:r w:rsidRPr="00AA22F2">
        <w:t>Le système de rapportage garantit la transparence, la réactivité et la diffusion systématique des informations E&amp;S entre les parties prenantes.</w:t>
      </w:r>
    </w:p>
    <w:p w14:paraId="06AD31A5" w14:textId="5BAC5B28" w:rsidR="00AA22F2" w:rsidRPr="00AA22F2" w:rsidRDefault="00AA22F2" w:rsidP="00AA22F2">
      <w:pPr>
        <w:pStyle w:val="Lgende"/>
        <w:rPr>
          <w:lang w:val="fr-FR" w:bidi="en-US"/>
        </w:rPr>
      </w:pPr>
      <w:bookmarkStart w:id="538" w:name="_Toc213404397"/>
      <w:r>
        <w:lastRenderedPageBreak/>
        <w:t xml:space="preserve">Tableau </w:t>
      </w:r>
      <w:r>
        <w:fldChar w:fldCharType="begin"/>
      </w:r>
      <w:r>
        <w:instrText xml:space="preserve"> SEQ Tableau \* ARABIC </w:instrText>
      </w:r>
      <w:r>
        <w:fldChar w:fldCharType="separate"/>
      </w:r>
      <w:r w:rsidR="00274E71">
        <w:rPr>
          <w:noProof/>
        </w:rPr>
        <w:t>75</w:t>
      </w:r>
      <w:r>
        <w:fldChar w:fldCharType="end"/>
      </w:r>
      <w:r>
        <w:rPr>
          <w:lang w:val="fr-FR"/>
        </w:rPr>
        <w:t xml:space="preserve"> : Système et fréquence de reporting</w:t>
      </w:r>
      <w:bookmarkEnd w:id="538"/>
    </w:p>
    <w:tbl>
      <w:tblPr>
        <w:tblStyle w:val="TableauGrille1Clair-Accentuation111"/>
        <w:tblW w:w="0" w:type="auto"/>
        <w:tblLook w:val="04A0" w:firstRow="1" w:lastRow="0" w:firstColumn="1" w:lastColumn="0" w:noHBand="0" w:noVBand="1"/>
      </w:tblPr>
      <w:tblGrid>
        <w:gridCol w:w="2076"/>
        <w:gridCol w:w="3160"/>
        <w:gridCol w:w="1241"/>
        <w:gridCol w:w="1267"/>
        <w:gridCol w:w="1316"/>
      </w:tblGrid>
      <w:tr w:rsidR="00AA22F2" w:rsidRPr="004637C7" w14:paraId="49341B19" w14:textId="77777777" w:rsidTr="004637C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3D563BFE" w14:textId="77777777" w:rsidR="00AA22F2" w:rsidRPr="00AA22F2" w:rsidRDefault="00AA22F2" w:rsidP="005A7661">
            <w:pPr>
              <w:spacing w:before="0" w:after="160" w:line="259" w:lineRule="auto"/>
              <w:jc w:val="left"/>
              <w:rPr>
                <w:szCs w:val="20"/>
              </w:rPr>
            </w:pPr>
            <w:r w:rsidRPr="00AA22F2">
              <w:rPr>
                <w:szCs w:val="20"/>
              </w:rPr>
              <w:t>Type de rapport</w:t>
            </w:r>
          </w:p>
        </w:tc>
        <w:tc>
          <w:tcPr>
            <w:tcW w:w="0" w:type="auto"/>
            <w:hideMark/>
          </w:tcPr>
          <w:p w14:paraId="304849D4" w14:textId="77777777" w:rsidR="00AA22F2" w:rsidRPr="00AA22F2" w:rsidRDefault="00AA22F2" w:rsidP="005A7661">
            <w:pPr>
              <w:spacing w:before="0" w:after="160" w:line="259" w:lineRule="auto"/>
              <w:jc w:val="left"/>
              <w:cnfStyle w:val="100000000000" w:firstRow="1" w:lastRow="0" w:firstColumn="0" w:lastColumn="0" w:oddVBand="0" w:evenVBand="0" w:oddHBand="0" w:evenHBand="0" w:firstRowFirstColumn="0" w:firstRowLastColumn="0" w:lastRowFirstColumn="0" w:lastRowLastColumn="0"/>
              <w:rPr>
                <w:szCs w:val="20"/>
              </w:rPr>
            </w:pPr>
            <w:r w:rsidRPr="00AA22F2">
              <w:rPr>
                <w:szCs w:val="20"/>
              </w:rPr>
              <w:t>Contenu</w:t>
            </w:r>
          </w:p>
        </w:tc>
        <w:tc>
          <w:tcPr>
            <w:tcW w:w="0" w:type="auto"/>
            <w:hideMark/>
          </w:tcPr>
          <w:p w14:paraId="60451996" w14:textId="77777777" w:rsidR="00AA22F2" w:rsidRPr="00AA22F2" w:rsidRDefault="00AA22F2" w:rsidP="005A7661">
            <w:pPr>
              <w:spacing w:before="0" w:after="160" w:line="259" w:lineRule="auto"/>
              <w:jc w:val="left"/>
              <w:cnfStyle w:val="100000000000" w:firstRow="1" w:lastRow="0" w:firstColumn="0" w:lastColumn="0" w:oddVBand="0" w:evenVBand="0" w:oddHBand="0" w:evenHBand="0" w:firstRowFirstColumn="0" w:firstRowLastColumn="0" w:lastRowFirstColumn="0" w:lastRowLastColumn="0"/>
              <w:rPr>
                <w:szCs w:val="20"/>
              </w:rPr>
            </w:pPr>
            <w:r w:rsidRPr="00AA22F2">
              <w:rPr>
                <w:szCs w:val="20"/>
              </w:rPr>
              <w:t>Fréquence</w:t>
            </w:r>
          </w:p>
        </w:tc>
        <w:tc>
          <w:tcPr>
            <w:tcW w:w="0" w:type="auto"/>
            <w:hideMark/>
          </w:tcPr>
          <w:p w14:paraId="55F38BF2" w14:textId="77777777" w:rsidR="00AA22F2" w:rsidRPr="00AA22F2" w:rsidRDefault="00AA22F2" w:rsidP="005A7661">
            <w:pPr>
              <w:spacing w:before="0" w:after="160" w:line="259" w:lineRule="auto"/>
              <w:jc w:val="left"/>
              <w:cnfStyle w:val="100000000000" w:firstRow="1" w:lastRow="0" w:firstColumn="0" w:lastColumn="0" w:oddVBand="0" w:evenVBand="0" w:oddHBand="0" w:evenHBand="0" w:firstRowFirstColumn="0" w:firstRowLastColumn="0" w:lastRowFirstColumn="0" w:lastRowLastColumn="0"/>
              <w:rPr>
                <w:szCs w:val="20"/>
              </w:rPr>
            </w:pPr>
            <w:r w:rsidRPr="00AA22F2">
              <w:rPr>
                <w:szCs w:val="20"/>
              </w:rPr>
              <w:t>Responsable</w:t>
            </w:r>
          </w:p>
        </w:tc>
        <w:tc>
          <w:tcPr>
            <w:tcW w:w="0" w:type="auto"/>
            <w:hideMark/>
          </w:tcPr>
          <w:p w14:paraId="7B4CB7CD" w14:textId="77777777" w:rsidR="00AA22F2" w:rsidRPr="00AA22F2" w:rsidRDefault="00AA22F2" w:rsidP="005A7661">
            <w:pPr>
              <w:spacing w:before="0" w:after="160" w:line="259" w:lineRule="auto"/>
              <w:jc w:val="left"/>
              <w:cnfStyle w:val="100000000000" w:firstRow="1" w:lastRow="0" w:firstColumn="0" w:lastColumn="0" w:oddVBand="0" w:evenVBand="0" w:oddHBand="0" w:evenHBand="0" w:firstRowFirstColumn="0" w:firstRowLastColumn="0" w:lastRowFirstColumn="0" w:lastRowLastColumn="0"/>
              <w:rPr>
                <w:szCs w:val="20"/>
              </w:rPr>
            </w:pPr>
            <w:r w:rsidRPr="00AA22F2">
              <w:rPr>
                <w:szCs w:val="20"/>
              </w:rPr>
              <w:t>Destinataires</w:t>
            </w:r>
          </w:p>
        </w:tc>
      </w:tr>
      <w:tr w:rsidR="00AA22F2" w:rsidRPr="004637C7" w14:paraId="7B7B9EA0" w14:textId="77777777" w:rsidTr="004637C7">
        <w:tc>
          <w:tcPr>
            <w:cnfStyle w:val="001000000000" w:firstRow="0" w:lastRow="0" w:firstColumn="1" w:lastColumn="0" w:oddVBand="0" w:evenVBand="0" w:oddHBand="0" w:evenHBand="0" w:firstRowFirstColumn="0" w:firstRowLastColumn="0" w:lastRowFirstColumn="0" w:lastRowLastColumn="0"/>
            <w:tcW w:w="0" w:type="auto"/>
            <w:hideMark/>
          </w:tcPr>
          <w:p w14:paraId="6F007003" w14:textId="77777777" w:rsidR="00AA22F2" w:rsidRPr="00AA22F2" w:rsidRDefault="00AA22F2" w:rsidP="005A7661">
            <w:pPr>
              <w:spacing w:before="0" w:after="160" w:line="259" w:lineRule="auto"/>
              <w:jc w:val="left"/>
              <w:rPr>
                <w:szCs w:val="20"/>
              </w:rPr>
            </w:pPr>
            <w:r w:rsidRPr="00AA22F2">
              <w:rPr>
                <w:szCs w:val="20"/>
              </w:rPr>
              <w:t>Rapport interne HSSE</w:t>
            </w:r>
          </w:p>
        </w:tc>
        <w:tc>
          <w:tcPr>
            <w:tcW w:w="0" w:type="auto"/>
            <w:hideMark/>
          </w:tcPr>
          <w:p w14:paraId="7ED60C6F" w14:textId="77777777" w:rsidR="00AA22F2" w:rsidRPr="00AA22F2" w:rsidRDefault="00AA22F2" w:rsidP="005A7661">
            <w:pPr>
              <w:spacing w:before="0" w:after="160" w:line="259" w:lineRule="auto"/>
              <w:jc w:val="left"/>
              <w:cnfStyle w:val="000000000000" w:firstRow="0" w:lastRow="0" w:firstColumn="0" w:lastColumn="0" w:oddVBand="0" w:evenVBand="0" w:oddHBand="0" w:evenHBand="0" w:firstRowFirstColumn="0" w:firstRowLastColumn="0" w:lastRowFirstColumn="0" w:lastRowLastColumn="0"/>
              <w:rPr>
                <w:szCs w:val="20"/>
              </w:rPr>
            </w:pPr>
            <w:r w:rsidRPr="00AA22F2">
              <w:rPr>
                <w:szCs w:val="20"/>
              </w:rPr>
              <w:t>Résultats d’inspections, incidents, formations</w:t>
            </w:r>
          </w:p>
        </w:tc>
        <w:tc>
          <w:tcPr>
            <w:tcW w:w="0" w:type="auto"/>
            <w:hideMark/>
          </w:tcPr>
          <w:p w14:paraId="74A80D82" w14:textId="77777777" w:rsidR="00AA22F2" w:rsidRPr="00AA22F2" w:rsidRDefault="00AA22F2" w:rsidP="005A7661">
            <w:pPr>
              <w:spacing w:before="0" w:after="160" w:line="259" w:lineRule="auto"/>
              <w:jc w:val="left"/>
              <w:cnfStyle w:val="000000000000" w:firstRow="0" w:lastRow="0" w:firstColumn="0" w:lastColumn="0" w:oddVBand="0" w:evenVBand="0" w:oddHBand="0" w:evenHBand="0" w:firstRowFirstColumn="0" w:firstRowLastColumn="0" w:lastRowFirstColumn="0" w:lastRowLastColumn="0"/>
              <w:rPr>
                <w:szCs w:val="20"/>
              </w:rPr>
            </w:pPr>
            <w:r w:rsidRPr="00AA22F2">
              <w:rPr>
                <w:szCs w:val="20"/>
              </w:rPr>
              <w:t>Mensuelle</w:t>
            </w:r>
          </w:p>
        </w:tc>
        <w:tc>
          <w:tcPr>
            <w:tcW w:w="0" w:type="auto"/>
            <w:hideMark/>
          </w:tcPr>
          <w:p w14:paraId="6E1B38EC" w14:textId="77777777" w:rsidR="00AA22F2" w:rsidRPr="00AA22F2" w:rsidRDefault="00AA22F2" w:rsidP="005A7661">
            <w:pPr>
              <w:spacing w:before="0" w:after="160" w:line="259" w:lineRule="auto"/>
              <w:jc w:val="left"/>
              <w:cnfStyle w:val="000000000000" w:firstRow="0" w:lastRow="0" w:firstColumn="0" w:lastColumn="0" w:oddVBand="0" w:evenVBand="0" w:oddHBand="0" w:evenHBand="0" w:firstRowFirstColumn="0" w:firstRowLastColumn="0" w:lastRowFirstColumn="0" w:lastRowLastColumn="0"/>
              <w:rPr>
                <w:szCs w:val="20"/>
              </w:rPr>
            </w:pPr>
            <w:r w:rsidRPr="00AA22F2">
              <w:rPr>
                <w:szCs w:val="20"/>
              </w:rPr>
              <w:t>EPC</w:t>
            </w:r>
          </w:p>
        </w:tc>
        <w:tc>
          <w:tcPr>
            <w:tcW w:w="0" w:type="auto"/>
            <w:hideMark/>
          </w:tcPr>
          <w:p w14:paraId="2563A9F3" w14:textId="77777777" w:rsidR="00AA22F2" w:rsidRPr="00AA22F2" w:rsidRDefault="00AA22F2" w:rsidP="005A7661">
            <w:pPr>
              <w:spacing w:before="0" w:after="160" w:line="259" w:lineRule="auto"/>
              <w:jc w:val="left"/>
              <w:cnfStyle w:val="000000000000" w:firstRow="0" w:lastRow="0" w:firstColumn="0" w:lastColumn="0" w:oddVBand="0" w:evenVBand="0" w:oddHBand="0" w:evenHBand="0" w:firstRowFirstColumn="0" w:firstRowLastColumn="0" w:lastRowFirstColumn="0" w:lastRowLastColumn="0"/>
              <w:rPr>
                <w:szCs w:val="20"/>
              </w:rPr>
            </w:pPr>
            <w:r w:rsidRPr="00AA22F2">
              <w:rPr>
                <w:szCs w:val="20"/>
              </w:rPr>
              <w:t>ONDA</w:t>
            </w:r>
          </w:p>
        </w:tc>
      </w:tr>
      <w:tr w:rsidR="00AA22F2" w:rsidRPr="004637C7" w14:paraId="36CD854A" w14:textId="77777777" w:rsidTr="004637C7">
        <w:tc>
          <w:tcPr>
            <w:cnfStyle w:val="001000000000" w:firstRow="0" w:lastRow="0" w:firstColumn="1" w:lastColumn="0" w:oddVBand="0" w:evenVBand="0" w:oddHBand="0" w:evenHBand="0" w:firstRowFirstColumn="0" w:firstRowLastColumn="0" w:lastRowFirstColumn="0" w:lastRowLastColumn="0"/>
            <w:tcW w:w="0" w:type="auto"/>
            <w:hideMark/>
          </w:tcPr>
          <w:p w14:paraId="508147AD" w14:textId="77777777" w:rsidR="00AA22F2" w:rsidRPr="00AA22F2" w:rsidRDefault="00AA22F2" w:rsidP="005A7661">
            <w:pPr>
              <w:spacing w:before="0" w:after="160" w:line="259" w:lineRule="auto"/>
              <w:jc w:val="left"/>
              <w:rPr>
                <w:szCs w:val="20"/>
              </w:rPr>
            </w:pPr>
            <w:r w:rsidRPr="00AA22F2">
              <w:rPr>
                <w:szCs w:val="20"/>
              </w:rPr>
              <w:t>Rapport consolidé de conformité PGES</w:t>
            </w:r>
          </w:p>
        </w:tc>
        <w:tc>
          <w:tcPr>
            <w:tcW w:w="0" w:type="auto"/>
            <w:hideMark/>
          </w:tcPr>
          <w:p w14:paraId="0AA792E4" w14:textId="77777777" w:rsidR="00AA22F2" w:rsidRPr="00AA22F2" w:rsidRDefault="00AA22F2" w:rsidP="005A7661">
            <w:pPr>
              <w:spacing w:before="0" w:after="160" w:line="259" w:lineRule="auto"/>
              <w:jc w:val="left"/>
              <w:cnfStyle w:val="000000000000" w:firstRow="0" w:lastRow="0" w:firstColumn="0" w:lastColumn="0" w:oddVBand="0" w:evenVBand="0" w:oddHBand="0" w:evenHBand="0" w:firstRowFirstColumn="0" w:firstRowLastColumn="0" w:lastRowFirstColumn="0" w:lastRowLastColumn="0"/>
              <w:rPr>
                <w:szCs w:val="20"/>
              </w:rPr>
            </w:pPr>
            <w:r w:rsidRPr="00AA22F2">
              <w:rPr>
                <w:szCs w:val="20"/>
              </w:rPr>
              <w:t>Suivi des indicateurs, plaintes, performance, actions correctives</w:t>
            </w:r>
          </w:p>
        </w:tc>
        <w:tc>
          <w:tcPr>
            <w:tcW w:w="0" w:type="auto"/>
            <w:hideMark/>
          </w:tcPr>
          <w:p w14:paraId="59BADC8A" w14:textId="77777777" w:rsidR="00AA22F2" w:rsidRPr="00AA22F2" w:rsidRDefault="00AA22F2" w:rsidP="005A7661">
            <w:pPr>
              <w:spacing w:before="0" w:after="160" w:line="259" w:lineRule="auto"/>
              <w:jc w:val="left"/>
              <w:cnfStyle w:val="000000000000" w:firstRow="0" w:lastRow="0" w:firstColumn="0" w:lastColumn="0" w:oddVBand="0" w:evenVBand="0" w:oddHBand="0" w:evenHBand="0" w:firstRowFirstColumn="0" w:firstRowLastColumn="0" w:lastRowFirstColumn="0" w:lastRowLastColumn="0"/>
              <w:rPr>
                <w:szCs w:val="20"/>
              </w:rPr>
            </w:pPr>
            <w:r w:rsidRPr="00AA22F2">
              <w:rPr>
                <w:szCs w:val="20"/>
              </w:rPr>
              <w:t>Trimestrielle</w:t>
            </w:r>
          </w:p>
        </w:tc>
        <w:tc>
          <w:tcPr>
            <w:tcW w:w="0" w:type="auto"/>
            <w:hideMark/>
          </w:tcPr>
          <w:p w14:paraId="70AB7E4F" w14:textId="77777777" w:rsidR="00AA22F2" w:rsidRPr="00AA22F2" w:rsidRDefault="00AA22F2" w:rsidP="005A7661">
            <w:pPr>
              <w:spacing w:before="0" w:after="160" w:line="259" w:lineRule="auto"/>
              <w:jc w:val="left"/>
              <w:cnfStyle w:val="000000000000" w:firstRow="0" w:lastRow="0" w:firstColumn="0" w:lastColumn="0" w:oddVBand="0" w:evenVBand="0" w:oddHBand="0" w:evenHBand="0" w:firstRowFirstColumn="0" w:firstRowLastColumn="0" w:lastRowFirstColumn="0" w:lastRowLastColumn="0"/>
              <w:rPr>
                <w:szCs w:val="20"/>
              </w:rPr>
            </w:pPr>
            <w:r w:rsidRPr="00AA22F2">
              <w:rPr>
                <w:szCs w:val="20"/>
              </w:rPr>
              <w:t>ONDA</w:t>
            </w:r>
          </w:p>
        </w:tc>
        <w:tc>
          <w:tcPr>
            <w:tcW w:w="0" w:type="auto"/>
            <w:hideMark/>
          </w:tcPr>
          <w:p w14:paraId="7E199747" w14:textId="77777777" w:rsidR="00AA22F2" w:rsidRPr="00AA22F2" w:rsidRDefault="00AA22F2" w:rsidP="005A7661">
            <w:pPr>
              <w:spacing w:before="0" w:after="160" w:line="259" w:lineRule="auto"/>
              <w:jc w:val="left"/>
              <w:cnfStyle w:val="000000000000" w:firstRow="0" w:lastRow="0" w:firstColumn="0" w:lastColumn="0" w:oddVBand="0" w:evenVBand="0" w:oddHBand="0" w:evenHBand="0" w:firstRowFirstColumn="0" w:firstRowLastColumn="0" w:lastRowFirstColumn="0" w:lastRowLastColumn="0"/>
              <w:rPr>
                <w:szCs w:val="20"/>
              </w:rPr>
            </w:pPr>
            <w:r w:rsidRPr="00AA22F2">
              <w:rPr>
                <w:szCs w:val="20"/>
              </w:rPr>
              <w:t>BAD</w:t>
            </w:r>
          </w:p>
        </w:tc>
      </w:tr>
      <w:tr w:rsidR="00AA22F2" w:rsidRPr="004637C7" w14:paraId="450A58EB" w14:textId="77777777" w:rsidTr="004637C7">
        <w:tc>
          <w:tcPr>
            <w:cnfStyle w:val="001000000000" w:firstRow="0" w:lastRow="0" w:firstColumn="1" w:lastColumn="0" w:oddVBand="0" w:evenVBand="0" w:oddHBand="0" w:evenHBand="0" w:firstRowFirstColumn="0" w:firstRowLastColumn="0" w:lastRowFirstColumn="0" w:lastRowLastColumn="0"/>
            <w:tcW w:w="0" w:type="auto"/>
            <w:hideMark/>
          </w:tcPr>
          <w:p w14:paraId="057F4386" w14:textId="77777777" w:rsidR="00AA22F2" w:rsidRPr="00AA22F2" w:rsidRDefault="00AA22F2" w:rsidP="005A7661">
            <w:pPr>
              <w:spacing w:before="0" w:after="160" w:line="259" w:lineRule="auto"/>
              <w:jc w:val="left"/>
              <w:rPr>
                <w:szCs w:val="20"/>
              </w:rPr>
            </w:pPr>
            <w:r w:rsidRPr="00AA22F2">
              <w:rPr>
                <w:szCs w:val="20"/>
              </w:rPr>
              <w:t xml:space="preserve">Rapport annuel </w:t>
            </w:r>
          </w:p>
        </w:tc>
        <w:tc>
          <w:tcPr>
            <w:tcW w:w="0" w:type="auto"/>
            <w:hideMark/>
          </w:tcPr>
          <w:p w14:paraId="7E4E24C6" w14:textId="1E1D9BA6" w:rsidR="00AA22F2" w:rsidRPr="00AA22F2" w:rsidRDefault="00AA22F2" w:rsidP="005A7661">
            <w:pPr>
              <w:spacing w:before="0" w:after="160" w:line="259" w:lineRule="auto"/>
              <w:jc w:val="left"/>
              <w:cnfStyle w:val="000000000000" w:firstRow="0" w:lastRow="0" w:firstColumn="0" w:lastColumn="0" w:oddVBand="0" w:evenVBand="0" w:oddHBand="0" w:evenHBand="0" w:firstRowFirstColumn="0" w:firstRowLastColumn="0" w:lastRowFirstColumn="0" w:lastRowLastColumn="0"/>
              <w:rPr>
                <w:szCs w:val="20"/>
              </w:rPr>
            </w:pPr>
            <w:r w:rsidRPr="00AA22F2">
              <w:rPr>
                <w:szCs w:val="20"/>
              </w:rPr>
              <w:t>Évaluation globale et mise en œuvre des audits</w:t>
            </w:r>
            <w:r w:rsidR="007B4B66">
              <w:rPr>
                <w:szCs w:val="20"/>
              </w:rPr>
              <w:t xml:space="preserve"> de performance E&amp;S</w:t>
            </w:r>
          </w:p>
        </w:tc>
        <w:tc>
          <w:tcPr>
            <w:tcW w:w="0" w:type="auto"/>
            <w:hideMark/>
          </w:tcPr>
          <w:p w14:paraId="16E5A982" w14:textId="77777777" w:rsidR="00AA22F2" w:rsidRPr="00AA22F2" w:rsidRDefault="00AA22F2" w:rsidP="005A7661">
            <w:pPr>
              <w:spacing w:before="0" w:after="160" w:line="259" w:lineRule="auto"/>
              <w:jc w:val="left"/>
              <w:cnfStyle w:val="000000000000" w:firstRow="0" w:lastRow="0" w:firstColumn="0" w:lastColumn="0" w:oddVBand="0" w:evenVBand="0" w:oddHBand="0" w:evenHBand="0" w:firstRowFirstColumn="0" w:firstRowLastColumn="0" w:lastRowFirstColumn="0" w:lastRowLastColumn="0"/>
              <w:rPr>
                <w:szCs w:val="20"/>
              </w:rPr>
            </w:pPr>
            <w:r w:rsidRPr="00AA22F2">
              <w:rPr>
                <w:szCs w:val="20"/>
              </w:rPr>
              <w:t>Annuelle</w:t>
            </w:r>
          </w:p>
        </w:tc>
        <w:tc>
          <w:tcPr>
            <w:tcW w:w="0" w:type="auto"/>
            <w:hideMark/>
          </w:tcPr>
          <w:p w14:paraId="03A49129" w14:textId="77777777" w:rsidR="00AA22F2" w:rsidRPr="00AA22F2" w:rsidRDefault="00AA22F2" w:rsidP="005A7661">
            <w:pPr>
              <w:spacing w:before="0" w:after="160" w:line="259" w:lineRule="auto"/>
              <w:jc w:val="left"/>
              <w:cnfStyle w:val="000000000000" w:firstRow="0" w:lastRow="0" w:firstColumn="0" w:lastColumn="0" w:oddVBand="0" w:evenVBand="0" w:oddHBand="0" w:evenHBand="0" w:firstRowFirstColumn="0" w:firstRowLastColumn="0" w:lastRowFirstColumn="0" w:lastRowLastColumn="0"/>
              <w:rPr>
                <w:szCs w:val="20"/>
              </w:rPr>
            </w:pPr>
            <w:r w:rsidRPr="00AA22F2">
              <w:rPr>
                <w:szCs w:val="20"/>
              </w:rPr>
              <w:t>ONDA</w:t>
            </w:r>
          </w:p>
        </w:tc>
        <w:tc>
          <w:tcPr>
            <w:tcW w:w="0" w:type="auto"/>
            <w:hideMark/>
          </w:tcPr>
          <w:p w14:paraId="5B617675" w14:textId="77777777" w:rsidR="00AA22F2" w:rsidRPr="00AA22F2" w:rsidRDefault="00AA22F2" w:rsidP="005A7661">
            <w:pPr>
              <w:spacing w:before="0" w:after="160" w:line="259" w:lineRule="auto"/>
              <w:jc w:val="left"/>
              <w:cnfStyle w:val="000000000000" w:firstRow="0" w:lastRow="0" w:firstColumn="0" w:lastColumn="0" w:oddVBand="0" w:evenVBand="0" w:oddHBand="0" w:evenHBand="0" w:firstRowFirstColumn="0" w:firstRowLastColumn="0" w:lastRowFirstColumn="0" w:lastRowLastColumn="0"/>
              <w:rPr>
                <w:szCs w:val="20"/>
              </w:rPr>
            </w:pPr>
            <w:r w:rsidRPr="00AA22F2">
              <w:rPr>
                <w:szCs w:val="20"/>
              </w:rPr>
              <w:t>BAD</w:t>
            </w:r>
          </w:p>
        </w:tc>
      </w:tr>
      <w:tr w:rsidR="00AA22F2" w:rsidRPr="004637C7" w14:paraId="7E69037F" w14:textId="77777777" w:rsidTr="004637C7">
        <w:tc>
          <w:tcPr>
            <w:cnfStyle w:val="001000000000" w:firstRow="0" w:lastRow="0" w:firstColumn="1" w:lastColumn="0" w:oddVBand="0" w:evenVBand="0" w:oddHBand="0" w:evenHBand="0" w:firstRowFirstColumn="0" w:firstRowLastColumn="0" w:lastRowFirstColumn="0" w:lastRowLastColumn="0"/>
            <w:tcW w:w="0" w:type="auto"/>
            <w:hideMark/>
          </w:tcPr>
          <w:p w14:paraId="39021739" w14:textId="77777777" w:rsidR="00AA22F2" w:rsidRPr="00AA22F2" w:rsidRDefault="00AA22F2" w:rsidP="005A7661">
            <w:pPr>
              <w:spacing w:before="0" w:after="160" w:line="259" w:lineRule="auto"/>
              <w:jc w:val="left"/>
              <w:rPr>
                <w:szCs w:val="20"/>
              </w:rPr>
            </w:pPr>
            <w:r w:rsidRPr="00AA22F2">
              <w:rPr>
                <w:szCs w:val="20"/>
              </w:rPr>
              <w:t>Rapport d’incident majeur</w:t>
            </w:r>
          </w:p>
        </w:tc>
        <w:tc>
          <w:tcPr>
            <w:tcW w:w="0" w:type="auto"/>
            <w:hideMark/>
          </w:tcPr>
          <w:p w14:paraId="2041B61B" w14:textId="77777777" w:rsidR="00AA22F2" w:rsidRPr="00AA22F2" w:rsidRDefault="00AA22F2" w:rsidP="005A7661">
            <w:pPr>
              <w:spacing w:before="0" w:after="160" w:line="259" w:lineRule="auto"/>
              <w:jc w:val="left"/>
              <w:cnfStyle w:val="000000000000" w:firstRow="0" w:lastRow="0" w:firstColumn="0" w:lastColumn="0" w:oddVBand="0" w:evenVBand="0" w:oddHBand="0" w:evenHBand="0" w:firstRowFirstColumn="0" w:firstRowLastColumn="0" w:lastRowFirstColumn="0" w:lastRowLastColumn="0"/>
              <w:rPr>
                <w:szCs w:val="20"/>
              </w:rPr>
            </w:pPr>
            <w:r w:rsidRPr="00AA22F2">
              <w:rPr>
                <w:szCs w:val="20"/>
              </w:rPr>
              <w:t>Notification sous 48 h</w:t>
            </w:r>
          </w:p>
        </w:tc>
        <w:tc>
          <w:tcPr>
            <w:tcW w:w="0" w:type="auto"/>
            <w:hideMark/>
          </w:tcPr>
          <w:p w14:paraId="13F3FFD4" w14:textId="77777777" w:rsidR="00AA22F2" w:rsidRPr="00AA22F2" w:rsidRDefault="00AA22F2" w:rsidP="005A7661">
            <w:pPr>
              <w:spacing w:before="0" w:after="160" w:line="259" w:lineRule="auto"/>
              <w:jc w:val="left"/>
              <w:cnfStyle w:val="000000000000" w:firstRow="0" w:lastRow="0" w:firstColumn="0" w:lastColumn="0" w:oddVBand="0" w:evenVBand="0" w:oddHBand="0" w:evenHBand="0" w:firstRowFirstColumn="0" w:firstRowLastColumn="0" w:lastRowFirstColumn="0" w:lastRowLastColumn="0"/>
              <w:rPr>
                <w:szCs w:val="20"/>
              </w:rPr>
            </w:pPr>
            <w:r w:rsidRPr="00AA22F2">
              <w:rPr>
                <w:szCs w:val="20"/>
              </w:rPr>
              <w:t>Ad hoc</w:t>
            </w:r>
          </w:p>
        </w:tc>
        <w:tc>
          <w:tcPr>
            <w:tcW w:w="0" w:type="auto"/>
            <w:hideMark/>
          </w:tcPr>
          <w:p w14:paraId="12AA2F93" w14:textId="77777777" w:rsidR="00AA22F2" w:rsidRPr="00AA22F2" w:rsidRDefault="00AA22F2" w:rsidP="005A7661">
            <w:pPr>
              <w:spacing w:before="0" w:after="160" w:line="259" w:lineRule="auto"/>
              <w:jc w:val="left"/>
              <w:cnfStyle w:val="000000000000" w:firstRow="0" w:lastRow="0" w:firstColumn="0" w:lastColumn="0" w:oddVBand="0" w:evenVBand="0" w:oddHBand="0" w:evenHBand="0" w:firstRowFirstColumn="0" w:firstRowLastColumn="0" w:lastRowFirstColumn="0" w:lastRowLastColumn="0"/>
              <w:rPr>
                <w:szCs w:val="20"/>
              </w:rPr>
            </w:pPr>
            <w:r w:rsidRPr="00AA22F2">
              <w:rPr>
                <w:szCs w:val="20"/>
              </w:rPr>
              <w:t>EPC / ONDA</w:t>
            </w:r>
          </w:p>
        </w:tc>
        <w:tc>
          <w:tcPr>
            <w:tcW w:w="0" w:type="auto"/>
            <w:hideMark/>
          </w:tcPr>
          <w:p w14:paraId="25EFDFCA" w14:textId="77777777" w:rsidR="00AA22F2" w:rsidRPr="00AA22F2" w:rsidRDefault="00AA22F2" w:rsidP="005A7661">
            <w:pPr>
              <w:spacing w:before="0" w:after="160" w:line="259" w:lineRule="auto"/>
              <w:jc w:val="left"/>
              <w:cnfStyle w:val="000000000000" w:firstRow="0" w:lastRow="0" w:firstColumn="0" w:lastColumn="0" w:oddVBand="0" w:evenVBand="0" w:oddHBand="0" w:evenHBand="0" w:firstRowFirstColumn="0" w:firstRowLastColumn="0" w:lastRowFirstColumn="0" w:lastRowLastColumn="0"/>
              <w:rPr>
                <w:szCs w:val="20"/>
              </w:rPr>
            </w:pPr>
            <w:r w:rsidRPr="00AA22F2">
              <w:rPr>
                <w:szCs w:val="20"/>
              </w:rPr>
              <w:t>BAD</w:t>
            </w:r>
          </w:p>
        </w:tc>
      </w:tr>
    </w:tbl>
    <w:p w14:paraId="1DB82B68" w14:textId="77777777" w:rsidR="00AA22F2" w:rsidRPr="00082C8F" w:rsidRDefault="00AA22F2" w:rsidP="00AA22F2">
      <w:pPr>
        <w:spacing w:before="0" w:after="160" w:line="259" w:lineRule="auto"/>
        <w:jc w:val="left"/>
      </w:pPr>
      <w:r w:rsidRPr="00082C8F">
        <w:t>Les conclusions issues de ces rapports et des audits alimentent un processus d’amélioration continue du PGES, reposant sur :</w:t>
      </w:r>
    </w:p>
    <w:p w14:paraId="3D65E975" w14:textId="77777777" w:rsidR="00AA22F2" w:rsidRPr="00082C8F" w:rsidRDefault="00AA22F2" w:rsidP="0001633E">
      <w:pPr>
        <w:numPr>
          <w:ilvl w:val="0"/>
          <w:numId w:val="141"/>
        </w:numPr>
        <w:spacing w:before="0" w:after="160"/>
        <w:ind w:left="714" w:hanging="357"/>
        <w:contextualSpacing/>
        <w:jc w:val="left"/>
      </w:pPr>
      <w:r w:rsidRPr="00082C8F">
        <w:t>la révision trimestrielle des mesures et procédures ;</w:t>
      </w:r>
    </w:p>
    <w:p w14:paraId="09B9FB95" w14:textId="77777777" w:rsidR="00AA22F2" w:rsidRPr="00082C8F" w:rsidRDefault="00AA22F2" w:rsidP="0001633E">
      <w:pPr>
        <w:numPr>
          <w:ilvl w:val="0"/>
          <w:numId w:val="141"/>
        </w:numPr>
        <w:spacing w:before="0" w:after="160"/>
        <w:ind w:left="714" w:hanging="357"/>
        <w:contextualSpacing/>
        <w:jc w:val="left"/>
      </w:pPr>
      <w:r w:rsidRPr="00082C8F">
        <w:t>l’ajustement des plans de formation et de communication ;</w:t>
      </w:r>
    </w:p>
    <w:p w14:paraId="3EF540F2" w14:textId="77777777" w:rsidR="00AA22F2" w:rsidRPr="00082C8F" w:rsidRDefault="00AA22F2" w:rsidP="0001633E">
      <w:pPr>
        <w:numPr>
          <w:ilvl w:val="0"/>
          <w:numId w:val="141"/>
        </w:numPr>
        <w:spacing w:before="0" w:after="160"/>
        <w:ind w:left="714" w:hanging="357"/>
        <w:contextualSpacing/>
        <w:jc w:val="left"/>
      </w:pPr>
      <w:r w:rsidRPr="00082C8F">
        <w:t>l’intégration des retours d’expérience et recommandations des bailleurs.</w:t>
      </w:r>
    </w:p>
    <w:p w14:paraId="6928E4DA" w14:textId="77777777" w:rsidR="00AA22F2" w:rsidRPr="00AA22F2" w:rsidRDefault="00AA22F2" w:rsidP="00AA22F2">
      <w:pPr>
        <w:spacing w:before="0" w:after="160" w:line="259" w:lineRule="auto"/>
        <w:jc w:val="left"/>
      </w:pPr>
    </w:p>
    <w:p w14:paraId="60E07D5F" w14:textId="3769BCB6" w:rsidR="00AA22F2" w:rsidRPr="00AA22F2" w:rsidRDefault="00AA22F2" w:rsidP="004637C7">
      <w:pPr>
        <w:pStyle w:val="Title4"/>
      </w:pPr>
      <w:r w:rsidRPr="00AA22F2">
        <w:t>Contrôle documentaire</w:t>
      </w:r>
      <w:r>
        <w:t>,</w:t>
      </w:r>
      <w:r w:rsidRPr="00AA22F2">
        <w:t xml:space="preserve"> archivage</w:t>
      </w:r>
      <w:r>
        <w:t xml:space="preserve"> et </w:t>
      </w:r>
      <w:r w:rsidR="00EC5226">
        <w:t>traçabilité</w:t>
      </w:r>
    </w:p>
    <w:p w14:paraId="000212C0" w14:textId="1F36A138" w:rsidR="00AA22F2" w:rsidRDefault="00AA22F2" w:rsidP="00AA22F2">
      <w:r w:rsidRPr="00AA22F2">
        <w:t>Tous les documents liés au PGES (rapports, audits, procès-verbaux, fiches d’inspection, plaintes, formations) sont centralisés par l’ONDA dans un système d’archivage physique et numérique.</w:t>
      </w:r>
      <w:r w:rsidRPr="00AA22F2">
        <w:br/>
        <w:t>Chaque mise à jour ou modification est enregistrée, datée et validée, garantissant la traçabilité et la conformité des données E&amp;S.</w:t>
      </w:r>
    </w:p>
    <w:p w14:paraId="7CFE6516" w14:textId="77777777" w:rsidR="00AA22F2" w:rsidRPr="00AA22F2" w:rsidRDefault="00AA22F2" w:rsidP="00AA22F2">
      <w:r w:rsidRPr="00AA22F2">
        <w:t>Ces archives constituent la mémoire documentaire du projet et servent de référence lors des audits et des missions de supervision de la BAD.</w:t>
      </w:r>
    </w:p>
    <w:p w14:paraId="7C73701D" w14:textId="77777777" w:rsidR="00AA22F2" w:rsidRPr="00AA22F2" w:rsidRDefault="00AA22F2" w:rsidP="004637C7"/>
    <w:p w14:paraId="2B497F33" w14:textId="0AC090BE" w:rsidR="00AA22F2" w:rsidRPr="00AA22F2" w:rsidRDefault="00AA22F2" w:rsidP="004637C7">
      <w:pPr>
        <w:pStyle w:val="Title3"/>
      </w:pPr>
      <w:bookmarkStart w:id="539" w:name="_Toc215131920"/>
      <w:r w:rsidRPr="00AA22F2">
        <w:t>Surveillance environnementale et sociale</w:t>
      </w:r>
      <w:bookmarkEnd w:id="539"/>
    </w:p>
    <w:p w14:paraId="3DA19FDE" w14:textId="77777777" w:rsidR="00AA22F2" w:rsidRPr="00AA22F2" w:rsidRDefault="00AA22F2" w:rsidP="004637C7">
      <w:pPr>
        <w:pStyle w:val="Title4"/>
      </w:pPr>
      <w:r w:rsidRPr="00AA22F2">
        <w:t>Objectifs</w:t>
      </w:r>
    </w:p>
    <w:p w14:paraId="7C7EE767" w14:textId="77777777" w:rsidR="00AA22F2" w:rsidRPr="00AA22F2" w:rsidRDefault="00AA22F2" w:rsidP="00AA22F2">
      <w:pPr>
        <w:spacing w:before="0" w:after="160" w:line="259" w:lineRule="auto"/>
        <w:jc w:val="left"/>
      </w:pPr>
      <w:r w:rsidRPr="00AA22F2">
        <w:t>La surveillance vise à s’assurer :</w:t>
      </w:r>
    </w:p>
    <w:p w14:paraId="2B805FDE" w14:textId="464AE917" w:rsidR="00AA22F2" w:rsidRPr="00AA22F2" w:rsidRDefault="00AA22F2" w:rsidP="0001633E">
      <w:pPr>
        <w:numPr>
          <w:ilvl w:val="0"/>
          <w:numId w:val="139"/>
        </w:numPr>
        <w:spacing w:before="0" w:after="160"/>
        <w:ind w:left="714" w:hanging="357"/>
        <w:contextualSpacing/>
        <w:jc w:val="left"/>
      </w:pPr>
      <w:r w:rsidRPr="00AA22F2">
        <w:t>De la bonne application des mesures d’atténuation et de gestion prévues dans le PGES ;</w:t>
      </w:r>
    </w:p>
    <w:p w14:paraId="76EA8E74" w14:textId="23657619" w:rsidR="00AA22F2" w:rsidRPr="00AA22F2" w:rsidRDefault="00AA22F2" w:rsidP="0001633E">
      <w:pPr>
        <w:numPr>
          <w:ilvl w:val="0"/>
          <w:numId w:val="139"/>
        </w:numPr>
        <w:spacing w:before="0" w:after="160"/>
        <w:ind w:left="714" w:hanging="357"/>
        <w:contextualSpacing/>
        <w:jc w:val="left"/>
      </w:pPr>
      <w:r w:rsidRPr="00AA22F2">
        <w:t>Du respect des normes réglementaires et des standards BAD ;</w:t>
      </w:r>
    </w:p>
    <w:p w14:paraId="1F67EAEF" w14:textId="10BA9DC9" w:rsidR="00AA22F2" w:rsidRPr="00AA22F2" w:rsidRDefault="00AA22F2" w:rsidP="0001633E">
      <w:pPr>
        <w:numPr>
          <w:ilvl w:val="0"/>
          <w:numId w:val="139"/>
        </w:numPr>
        <w:spacing w:before="0" w:after="160"/>
        <w:ind w:left="714" w:hanging="357"/>
        <w:contextualSpacing/>
        <w:jc w:val="left"/>
      </w:pPr>
      <w:r w:rsidRPr="00AA22F2">
        <w:t>De la détection précoce des écarts et de leur correction ;</w:t>
      </w:r>
    </w:p>
    <w:p w14:paraId="70AC90CA" w14:textId="5AD88958" w:rsidR="004E045A" w:rsidRDefault="00AA22F2" w:rsidP="0001633E">
      <w:pPr>
        <w:numPr>
          <w:ilvl w:val="0"/>
          <w:numId w:val="139"/>
        </w:numPr>
        <w:spacing w:before="0" w:after="160"/>
        <w:ind w:left="714" w:hanging="357"/>
        <w:contextualSpacing/>
        <w:jc w:val="left"/>
      </w:pPr>
      <w:r w:rsidRPr="00AA22F2">
        <w:t>Et de la transparence dans la gestion des risques environnementaux et sociaux.</w:t>
      </w:r>
      <w:r w:rsidR="004E045A">
        <w:br w:type="page"/>
      </w:r>
    </w:p>
    <w:p w14:paraId="273B778A" w14:textId="77777777" w:rsidR="00AA22F2" w:rsidRPr="00AA22F2" w:rsidRDefault="00AA22F2" w:rsidP="004E045A">
      <w:pPr>
        <w:pStyle w:val="Title4"/>
      </w:pPr>
      <w:r w:rsidRPr="00AA22F2">
        <w:lastRenderedPageBreak/>
        <w:t>Dispositif de mise en œuvre</w:t>
      </w:r>
    </w:p>
    <w:p w14:paraId="2F65C12D" w14:textId="60DCC5AC" w:rsidR="00AA22F2" w:rsidRDefault="00AA22F2" w:rsidP="00AA22F2">
      <w:pPr>
        <w:spacing w:before="0" w:after="160" w:line="259" w:lineRule="auto"/>
        <w:jc w:val="left"/>
      </w:pPr>
      <w:r w:rsidRPr="00AA22F2">
        <w:t xml:space="preserve">La surveillance repose sur </w:t>
      </w:r>
      <w:r>
        <w:t>l’</w:t>
      </w:r>
      <w:r w:rsidRPr="00AA22F2">
        <w:t>approche</w:t>
      </w:r>
      <w:r>
        <w:t xml:space="preserve"> </w:t>
      </w:r>
      <w:r w:rsidR="004E045A">
        <w:t>suivante</w:t>
      </w:r>
      <w:r w:rsidR="004E045A" w:rsidRPr="00AA22F2">
        <w:t xml:space="preserve"> :</w:t>
      </w:r>
    </w:p>
    <w:p w14:paraId="7A0549AD" w14:textId="070E99EF" w:rsidR="00AA22F2" w:rsidRPr="00AA22F2" w:rsidRDefault="00AA22F2" w:rsidP="00AA22F2">
      <w:pPr>
        <w:pStyle w:val="Lgende"/>
        <w:rPr>
          <w:lang w:val="fr-FR" w:bidi="en-US"/>
        </w:rPr>
      </w:pPr>
      <w:bookmarkStart w:id="540" w:name="_Toc213404398"/>
      <w:r>
        <w:t xml:space="preserve">Tableau </w:t>
      </w:r>
      <w:r>
        <w:fldChar w:fldCharType="begin"/>
      </w:r>
      <w:r>
        <w:instrText xml:space="preserve"> SEQ Tableau \* ARABIC </w:instrText>
      </w:r>
      <w:r>
        <w:fldChar w:fldCharType="separate"/>
      </w:r>
      <w:r w:rsidR="00274E71">
        <w:rPr>
          <w:noProof/>
        </w:rPr>
        <w:t>76</w:t>
      </w:r>
      <w:r>
        <w:fldChar w:fldCharType="end"/>
      </w:r>
      <w:r>
        <w:t xml:space="preserve"> : Les types de surveillance à mettre en ouvre dans le cadre du projet</w:t>
      </w:r>
      <w:bookmarkEnd w:id="540"/>
    </w:p>
    <w:tbl>
      <w:tblPr>
        <w:tblStyle w:val="TableauGrille1Clair-Accentuation111"/>
        <w:tblW w:w="0" w:type="auto"/>
        <w:tblLook w:val="04A0" w:firstRow="1" w:lastRow="0" w:firstColumn="1" w:lastColumn="0" w:noHBand="0" w:noVBand="1"/>
      </w:tblPr>
      <w:tblGrid>
        <w:gridCol w:w="1808"/>
        <w:gridCol w:w="1720"/>
        <w:gridCol w:w="1773"/>
        <w:gridCol w:w="3759"/>
      </w:tblGrid>
      <w:tr w:rsidR="00AA22F2" w:rsidRPr="00AA22F2" w14:paraId="5CAE75A9" w14:textId="77777777" w:rsidTr="00AA22F2">
        <w:trPr>
          <w:cnfStyle w:val="100000000000" w:firstRow="1" w:lastRow="0" w:firstColumn="0" w:lastColumn="0" w:oddVBand="0" w:evenVBand="0" w:oddHBand="0" w:evenHBand="0" w:firstRowFirstColumn="0" w:firstRowLastColumn="0" w:lastRowFirstColumn="0" w:lastRowLastColumn="0"/>
          <w:cantSplit/>
          <w:tblHeader/>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6DB09F3B" w14:textId="77777777" w:rsidR="00AA22F2" w:rsidRPr="00AA22F2" w:rsidRDefault="00AA22F2" w:rsidP="00AA22F2">
            <w:pPr>
              <w:spacing w:before="0" w:after="160" w:line="259" w:lineRule="auto"/>
              <w:jc w:val="left"/>
            </w:pPr>
            <w:r w:rsidRPr="00AA22F2">
              <w:t>Type de surveillance</w:t>
            </w:r>
          </w:p>
        </w:tc>
        <w:tc>
          <w:tcPr>
            <w:tcW w:w="0" w:type="auto"/>
            <w:vAlign w:val="center"/>
            <w:hideMark/>
          </w:tcPr>
          <w:p w14:paraId="2BD98A01" w14:textId="77777777" w:rsidR="00AA22F2" w:rsidRPr="00AA22F2" w:rsidRDefault="00AA22F2" w:rsidP="00AA22F2">
            <w:pPr>
              <w:spacing w:before="0" w:after="160" w:line="259" w:lineRule="auto"/>
              <w:jc w:val="left"/>
              <w:cnfStyle w:val="100000000000" w:firstRow="1" w:lastRow="0" w:firstColumn="0" w:lastColumn="0" w:oddVBand="0" w:evenVBand="0" w:oddHBand="0" w:evenHBand="0" w:firstRowFirstColumn="0" w:firstRowLastColumn="0" w:lastRowFirstColumn="0" w:lastRowLastColumn="0"/>
            </w:pPr>
            <w:r w:rsidRPr="00AA22F2">
              <w:t>Responsable principal</w:t>
            </w:r>
          </w:p>
        </w:tc>
        <w:tc>
          <w:tcPr>
            <w:tcW w:w="0" w:type="auto"/>
            <w:vAlign w:val="center"/>
            <w:hideMark/>
          </w:tcPr>
          <w:p w14:paraId="53900DAC" w14:textId="77777777" w:rsidR="00AA22F2" w:rsidRPr="00AA22F2" w:rsidRDefault="00AA22F2" w:rsidP="00AA22F2">
            <w:pPr>
              <w:spacing w:before="0" w:after="160" w:line="259" w:lineRule="auto"/>
              <w:jc w:val="left"/>
              <w:cnfStyle w:val="100000000000" w:firstRow="1" w:lastRow="0" w:firstColumn="0" w:lastColumn="0" w:oddVBand="0" w:evenVBand="0" w:oddHBand="0" w:evenHBand="0" w:firstRowFirstColumn="0" w:firstRowLastColumn="0" w:lastRowFirstColumn="0" w:lastRowLastColumn="0"/>
            </w:pPr>
            <w:r w:rsidRPr="00AA22F2">
              <w:t>Fréquence / Étendue</w:t>
            </w:r>
          </w:p>
        </w:tc>
        <w:tc>
          <w:tcPr>
            <w:tcW w:w="0" w:type="auto"/>
            <w:vAlign w:val="center"/>
            <w:hideMark/>
          </w:tcPr>
          <w:p w14:paraId="586959FF" w14:textId="77777777" w:rsidR="00AA22F2" w:rsidRPr="00AA22F2" w:rsidRDefault="00AA22F2" w:rsidP="00AA22F2">
            <w:pPr>
              <w:spacing w:before="0" w:after="160" w:line="259" w:lineRule="auto"/>
              <w:jc w:val="left"/>
              <w:cnfStyle w:val="100000000000" w:firstRow="1" w:lastRow="0" w:firstColumn="0" w:lastColumn="0" w:oddVBand="0" w:evenVBand="0" w:oddHBand="0" w:evenHBand="0" w:firstRowFirstColumn="0" w:firstRowLastColumn="0" w:lastRowFirstColumn="0" w:lastRowLastColumn="0"/>
            </w:pPr>
            <w:r w:rsidRPr="00AA22F2">
              <w:t>Objectif</w:t>
            </w:r>
          </w:p>
        </w:tc>
      </w:tr>
      <w:tr w:rsidR="00946C67" w:rsidRPr="00AA22F2" w14:paraId="4689F2BE" w14:textId="77777777" w:rsidTr="00AA22F2">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2BE4AF0F" w14:textId="77777777" w:rsidR="00AA22F2" w:rsidRPr="00AA22F2" w:rsidRDefault="00AA22F2" w:rsidP="00AA22F2">
            <w:pPr>
              <w:spacing w:before="0" w:after="160" w:line="259" w:lineRule="auto"/>
              <w:jc w:val="left"/>
            </w:pPr>
            <w:r w:rsidRPr="00AA22F2">
              <w:t>Surveillance de terrain</w:t>
            </w:r>
          </w:p>
        </w:tc>
        <w:tc>
          <w:tcPr>
            <w:tcW w:w="0" w:type="auto"/>
            <w:vAlign w:val="center"/>
            <w:hideMark/>
          </w:tcPr>
          <w:p w14:paraId="7F1CA40B" w14:textId="77777777" w:rsidR="00AA22F2" w:rsidRPr="00AA22F2" w:rsidRDefault="00AA22F2" w:rsidP="00AA22F2">
            <w:pPr>
              <w:spacing w:before="0" w:after="160" w:line="259" w:lineRule="auto"/>
              <w:jc w:val="left"/>
              <w:cnfStyle w:val="000000000000" w:firstRow="0" w:lastRow="0" w:firstColumn="0" w:lastColumn="0" w:oddVBand="0" w:evenVBand="0" w:oddHBand="0" w:evenHBand="0" w:firstRowFirstColumn="0" w:firstRowLastColumn="0" w:lastRowFirstColumn="0" w:lastRowLastColumn="0"/>
            </w:pPr>
            <w:r w:rsidRPr="00AA22F2">
              <w:t>EPC / Coordinateurs E&amp;S</w:t>
            </w:r>
          </w:p>
        </w:tc>
        <w:tc>
          <w:tcPr>
            <w:tcW w:w="0" w:type="auto"/>
            <w:vAlign w:val="center"/>
            <w:hideMark/>
          </w:tcPr>
          <w:p w14:paraId="08CE32C9" w14:textId="77777777" w:rsidR="00AA22F2" w:rsidRPr="00AA22F2" w:rsidRDefault="00AA22F2" w:rsidP="00AA22F2">
            <w:pPr>
              <w:spacing w:before="0" w:after="160" w:line="259" w:lineRule="auto"/>
              <w:jc w:val="left"/>
              <w:cnfStyle w:val="000000000000" w:firstRow="0" w:lastRow="0" w:firstColumn="0" w:lastColumn="0" w:oddVBand="0" w:evenVBand="0" w:oddHBand="0" w:evenHBand="0" w:firstRowFirstColumn="0" w:firstRowLastColumn="0" w:lastRowFirstColumn="0" w:lastRowLastColumn="0"/>
            </w:pPr>
            <w:r w:rsidRPr="00AA22F2">
              <w:t>Quotidienne à hebdomadaire</w:t>
            </w:r>
          </w:p>
        </w:tc>
        <w:tc>
          <w:tcPr>
            <w:tcW w:w="0" w:type="auto"/>
            <w:vAlign w:val="center"/>
            <w:hideMark/>
          </w:tcPr>
          <w:p w14:paraId="697EF500" w14:textId="77777777" w:rsidR="00AA22F2" w:rsidRPr="00AA22F2" w:rsidRDefault="00AA22F2" w:rsidP="00AA22F2">
            <w:pPr>
              <w:spacing w:before="0" w:after="160" w:line="259" w:lineRule="auto"/>
              <w:jc w:val="left"/>
              <w:cnfStyle w:val="000000000000" w:firstRow="0" w:lastRow="0" w:firstColumn="0" w:lastColumn="0" w:oddVBand="0" w:evenVBand="0" w:oddHBand="0" w:evenHBand="0" w:firstRowFirstColumn="0" w:firstRowLastColumn="0" w:lastRowFirstColumn="0" w:lastRowLastColumn="0"/>
            </w:pPr>
            <w:r w:rsidRPr="00AA22F2">
              <w:t>Vérifier la conformité immédiate des pratiques de chantier (poussières, bruit, déchets, sécurité, EPI, signalisation)</w:t>
            </w:r>
          </w:p>
        </w:tc>
      </w:tr>
      <w:tr w:rsidR="00946C67" w:rsidRPr="00AA22F2" w14:paraId="7440D159" w14:textId="77777777" w:rsidTr="00AA22F2">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35323286" w14:textId="77777777" w:rsidR="00AA22F2" w:rsidRPr="00AA22F2" w:rsidRDefault="00AA22F2" w:rsidP="00AA22F2">
            <w:pPr>
              <w:spacing w:before="0" w:after="160" w:line="259" w:lineRule="auto"/>
              <w:jc w:val="left"/>
            </w:pPr>
            <w:r w:rsidRPr="00AA22F2">
              <w:t>Surveillance documentaire</w:t>
            </w:r>
          </w:p>
        </w:tc>
        <w:tc>
          <w:tcPr>
            <w:tcW w:w="0" w:type="auto"/>
            <w:vAlign w:val="center"/>
            <w:hideMark/>
          </w:tcPr>
          <w:p w14:paraId="61C90DCD" w14:textId="77777777" w:rsidR="00AA22F2" w:rsidRPr="00AA22F2" w:rsidRDefault="00AA22F2" w:rsidP="00AA22F2">
            <w:pPr>
              <w:spacing w:before="0" w:after="160" w:line="259" w:lineRule="auto"/>
              <w:jc w:val="left"/>
              <w:cnfStyle w:val="000000000000" w:firstRow="0" w:lastRow="0" w:firstColumn="0" w:lastColumn="0" w:oddVBand="0" w:evenVBand="0" w:oddHBand="0" w:evenHBand="0" w:firstRowFirstColumn="0" w:firstRowLastColumn="0" w:lastRowFirstColumn="0" w:lastRowLastColumn="0"/>
            </w:pPr>
            <w:r w:rsidRPr="00AA22F2">
              <w:t>EPC / ONDA</w:t>
            </w:r>
          </w:p>
        </w:tc>
        <w:tc>
          <w:tcPr>
            <w:tcW w:w="0" w:type="auto"/>
            <w:vAlign w:val="center"/>
            <w:hideMark/>
          </w:tcPr>
          <w:p w14:paraId="79236A7B" w14:textId="77777777" w:rsidR="00AA22F2" w:rsidRPr="00AA22F2" w:rsidRDefault="00AA22F2" w:rsidP="00AA22F2">
            <w:pPr>
              <w:spacing w:before="0" w:after="160" w:line="259" w:lineRule="auto"/>
              <w:jc w:val="left"/>
              <w:cnfStyle w:val="000000000000" w:firstRow="0" w:lastRow="0" w:firstColumn="0" w:lastColumn="0" w:oddVBand="0" w:evenVBand="0" w:oddHBand="0" w:evenHBand="0" w:firstRowFirstColumn="0" w:firstRowLastColumn="0" w:lastRowFirstColumn="0" w:lastRowLastColumn="0"/>
            </w:pPr>
            <w:r w:rsidRPr="00AA22F2">
              <w:t>Mensuelle</w:t>
            </w:r>
          </w:p>
        </w:tc>
        <w:tc>
          <w:tcPr>
            <w:tcW w:w="0" w:type="auto"/>
            <w:vAlign w:val="center"/>
            <w:hideMark/>
          </w:tcPr>
          <w:p w14:paraId="5EB8D7EF" w14:textId="77777777" w:rsidR="00AA22F2" w:rsidRPr="00AA22F2" w:rsidRDefault="00AA22F2" w:rsidP="00AA22F2">
            <w:pPr>
              <w:spacing w:before="0" w:after="160" w:line="259" w:lineRule="auto"/>
              <w:jc w:val="left"/>
              <w:cnfStyle w:val="000000000000" w:firstRow="0" w:lastRow="0" w:firstColumn="0" w:lastColumn="0" w:oddVBand="0" w:evenVBand="0" w:oddHBand="0" w:evenHBand="0" w:firstRowFirstColumn="0" w:firstRowLastColumn="0" w:lastRowFirstColumn="0" w:lastRowLastColumn="0"/>
            </w:pPr>
            <w:r w:rsidRPr="00AA22F2">
              <w:t>Vérifier la cohérence des registres, bordereaux, plaintes et incidents</w:t>
            </w:r>
          </w:p>
        </w:tc>
      </w:tr>
      <w:tr w:rsidR="00946C67" w:rsidRPr="00AA22F2" w14:paraId="253A7AF6" w14:textId="77777777" w:rsidTr="00AA22F2">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75AC4840" w14:textId="77777777" w:rsidR="00AA22F2" w:rsidRPr="00AA22F2" w:rsidRDefault="00AA22F2" w:rsidP="00AA22F2">
            <w:pPr>
              <w:spacing w:before="0" w:after="160" w:line="259" w:lineRule="auto"/>
              <w:jc w:val="left"/>
            </w:pPr>
            <w:r w:rsidRPr="00AA22F2">
              <w:t>Surveillance institutionnelle</w:t>
            </w:r>
          </w:p>
        </w:tc>
        <w:tc>
          <w:tcPr>
            <w:tcW w:w="0" w:type="auto"/>
            <w:vAlign w:val="center"/>
            <w:hideMark/>
          </w:tcPr>
          <w:p w14:paraId="6D5CC871" w14:textId="77777777" w:rsidR="00AA22F2" w:rsidRPr="00AA22F2" w:rsidRDefault="00AA22F2" w:rsidP="00AA22F2">
            <w:pPr>
              <w:spacing w:before="0" w:after="160" w:line="259" w:lineRule="auto"/>
              <w:jc w:val="left"/>
              <w:cnfStyle w:val="000000000000" w:firstRow="0" w:lastRow="0" w:firstColumn="0" w:lastColumn="0" w:oddVBand="0" w:evenVBand="0" w:oddHBand="0" w:evenHBand="0" w:firstRowFirstColumn="0" w:firstRowLastColumn="0" w:lastRowFirstColumn="0" w:lastRowLastColumn="0"/>
            </w:pPr>
            <w:r w:rsidRPr="00AA22F2">
              <w:t>ONDA / Mission de Contrôle</w:t>
            </w:r>
          </w:p>
        </w:tc>
        <w:tc>
          <w:tcPr>
            <w:tcW w:w="0" w:type="auto"/>
            <w:vAlign w:val="center"/>
            <w:hideMark/>
          </w:tcPr>
          <w:p w14:paraId="1B82875F" w14:textId="77777777" w:rsidR="00AA22F2" w:rsidRPr="00AA22F2" w:rsidRDefault="00AA22F2" w:rsidP="00AA22F2">
            <w:pPr>
              <w:spacing w:before="0" w:after="160" w:line="259" w:lineRule="auto"/>
              <w:jc w:val="left"/>
              <w:cnfStyle w:val="000000000000" w:firstRow="0" w:lastRow="0" w:firstColumn="0" w:lastColumn="0" w:oddVBand="0" w:evenVBand="0" w:oddHBand="0" w:evenHBand="0" w:firstRowFirstColumn="0" w:firstRowLastColumn="0" w:lastRowFirstColumn="0" w:lastRowLastColumn="0"/>
            </w:pPr>
            <w:r w:rsidRPr="00AA22F2">
              <w:t>Trimestrielle</w:t>
            </w:r>
          </w:p>
        </w:tc>
        <w:tc>
          <w:tcPr>
            <w:tcW w:w="0" w:type="auto"/>
            <w:vAlign w:val="center"/>
            <w:hideMark/>
          </w:tcPr>
          <w:p w14:paraId="799005C6" w14:textId="77777777" w:rsidR="00AA22F2" w:rsidRPr="00AA22F2" w:rsidRDefault="00AA22F2" w:rsidP="00AA22F2">
            <w:pPr>
              <w:spacing w:before="0" w:after="160" w:line="259" w:lineRule="auto"/>
              <w:jc w:val="left"/>
              <w:cnfStyle w:val="000000000000" w:firstRow="0" w:lastRow="0" w:firstColumn="0" w:lastColumn="0" w:oddVBand="0" w:evenVBand="0" w:oddHBand="0" w:evenHBand="0" w:firstRowFirstColumn="0" w:firstRowLastColumn="0" w:lastRowFirstColumn="0" w:lastRowLastColumn="0"/>
            </w:pPr>
            <w:r w:rsidRPr="00AA22F2">
              <w:t>Consolider les résultats, valider les rapports, vérifier l’efficacité des mesures</w:t>
            </w:r>
          </w:p>
        </w:tc>
      </w:tr>
      <w:tr w:rsidR="00946C67" w:rsidRPr="00AA22F2" w14:paraId="512EDFEF" w14:textId="77777777" w:rsidTr="00AA22F2">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4F8BF6EC" w14:textId="77777777" w:rsidR="00AA22F2" w:rsidRPr="00AA22F2" w:rsidRDefault="00AA22F2" w:rsidP="00AA22F2">
            <w:pPr>
              <w:spacing w:before="0" w:after="160" w:line="259" w:lineRule="auto"/>
              <w:jc w:val="left"/>
            </w:pPr>
            <w:r w:rsidRPr="00AA22F2">
              <w:t>Surveillance indépendante</w:t>
            </w:r>
          </w:p>
        </w:tc>
        <w:tc>
          <w:tcPr>
            <w:tcW w:w="0" w:type="auto"/>
            <w:vAlign w:val="center"/>
            <w:hideMark/>
          </w:tcPr>
          <w:p w14:paraId="478CA77B" w14:textId="77777777" w:rsidR="00AA22F2" w:rsidRPr="00AA22F2" w:rsidRDefault="00AA22F2" w:rsidP="00AA22F2">
            <w:pPr>
              <w:spacing w:before="0" w:after="160" w:line="259" w:lineRule="auto"/>
              <w:jc w:val="left"/>
              <w:cnfStyle w:val="000000000000" w:firstRow="0" w:lastRow="0" w:firstColumn="0" w:lastColumn="0" w:oddVBand="0" w:evenVBand="0" w:oddHBand="0" w:evenHBand="0" w:firstRowFirstColumn="0" w:firstRowLastColumn="0" w:lastRowFirstColumn="0" w:lastRowLastColumn="0"/>
            </w:pPr>
            <w:r w:rsidRPr="00AA22F2">
              <w:t>Auditeur externe agréé</w:t>
            </w:r>
          </w:p>
        </w:tc>
        <w:tc>
          <w:tcPr>
            <w:tcW w:w="0" w:type="auto"/>
            <w:vAlign w:val="center"/>
            <w:hideMark/>
          </w:tcPr>
          <w:p w14:paraId="7A01FB29" w14:textId="77777777" w:rsidR="00AA22F2" w:rsidRPr="00AA22F2" w:rsidRDefault="00AA22F2" w:rsidP="00AA22F2">
            <w:pPr>
              <w:spacing w:before="0" w:after="160" w:line="259" w:lineRule="auto"/>
              <w:jc w:val="left"/>
              <w:cnfStyle w:val="000000000000" w:firstRow="0" w:lastRow="0" w:firstColumn="0" w:lastColumn="0" w:oddVBand="0" w:evenVBand="0" w:oddHBand="0" w:evenHBand="0" w:firstRowFirstColumn="0" w:firstRowLastColumn="0" w:lastRowFirstColumn="0" w:lastRowLastColumn="0"/>
            </w:pPr>
            <w:r w:rsidRPr="00AA22F2">
              <w:t>Annuelle</w:t>
            </w:r>
          </w:p>
        </w:tc>
        <w:tc>
          <w:tcPr>
            <w:tcW w:w="0" w:type="auto"/>
            <w:vAlign w:val="center"/>
            <w:hideMark/>
          </w:tcPr>
          <w:p w14:paraId="390D6029" w14:textId="04912CB5" w:rsidR="00AA22F2" w:rsidRPr="00AA22F2" w:rsidRDefault="00AA22F2" w:rsidP="00AA22F2">
            <w:pPr>
              <w:spacing w:before="0" w:after="160" w:line="259" w:lineRule="auto"/>
              <w:jc w:val="left"/>
              <w:cnfStyle w:val="000000000000" w:firstRow="0" w:lastRow="0" w:firstColumn="0" w:lastColumn="0" w:oddVBand="0" w:evenVBand="0" w:oddHBand="0" w:evenHBand="0" w:firstRowFirstColumn="0" w:firstRowLastColumn="0" w:lastRowFirstColumn="0" w:lastRowLastColumn="0"/>
            </w:pPr>
            <w:r w:rsidRPr="00AA22F2">
              <w:t xml:space="preserve">Évaluer la </w:t>
            </w:r>
            <w:r w:rsidR="007B4B66">
              <w:t>performance</w:t>
            </w:r>
            <w:r w:rsidR="007B4B66" w:rsidRPr="00AA22F2">
              <w:t xml:space="preserve"> </w:t>
            </w:r>
            <w:r w:rsidR="007B4B66">
              <w:t>de la mise en œuvre des mesures E&amp;S</w:t>
            </w:r>
            <w:r w:rsidRPr="00AA22F2">
              <w:t xml:space="preserve"> aux standards BAD et aux lois nationales</w:t>
            </w:r>
          </w:p>
        </w:tc>
      </w:tr>
    </w:tbl>
    <w:p w14:paraId="0E51A1E7" w14:textId="77777777" w:rsidR="00AA22F2" w:rsidRPr="00AA22F2" w:rsidRDefault="00AA22F2" w:rsidP="004637C7">
      <w:r w:rsidRPr="00AA22F2">
        <w:t>Les inspections porteront notamment sur la gestion des déchets, des eaux usées, des matières dangereuses, des émissions atmosphériques et sonores, la santé et la sécurité du personnel, la gestion communautaire, le respect du code de conduite et la préservation des milieux naturels.</w:t>
      </w:r>
    </w:p>
    <w:p w14:paraId="6CBCD8BB" w14:textId="77777777" w:rsidR="00AA22F2" w:rsidRPr="00AA22F2" w:rsidRDefault="00AA22F2" w:rsidP="004637C7">
      <w:r w:rsidRPr="00AA22F2">
        <w:t xml:space="preserve">Chaque inspection fait l’objet d’une </w:t>
      </w:r>
      <w:r w:rsidRPr="004637C7">
        <w:t>fiche de constat</w:t>
      </w:r>
      <w:r w:rsidRPr="00AA22F2">
        <w:t xml:space="preserve"> précisant les écarts observés, les actions correctives et leur statut de résolution.</w:t>
      </w:r>
    </w:p>
    <w:p w14:paraId="02C34017" w14:textId="519CE4EC" w:rsidR="00AA22F2" w:rsidRPr="00AA22F2" w:rsidRDefault="00AA22F2" w:rsidP="004637C7">
      <w:pPr>
        <w:pStyle w:val="Title4"/>
      </w:pPr>
      <w:r w:rsidRPr="00AA22F2">
        <w:t>Audits environnementaux et sociaux</w:t>
      </w:r>
    </w:p>
    <w:p w14:paraId="177E678F" w14:textId="77777777" w:rsidR="00AA22F2" w:rsidRDefault="00AA22F2" w:rsidP="00AA22F2">
      <w:pPr>
        <w:spacing w:before="0" w:after="160" w:line="259" w:lineRule="auto"/>
        <w:jc w:val="left"/>
      </w:pPr>
      <w:r w:rsidRPr="00AA22F2">
        <w:t>Les audits complètent la surveillance en permettant d’évaluer l’efficacité et la conformité globale du PGES.</w:t>
      </w:r>
    </w:p>
    <w:p w14:paraId="00042484" w14:textId="77FBC690" w:rsidR="00AA22F2" w:rsidRPr="00AA22F2" w:rsidRDefault="00AA22F2" w:rsidP="00AA22F2">
      <w:pPr>
        <w:pStyle w:val="Lgende"/>
        <w:rPr>
          <w:lang w:val="fr-FR" w:bidi="en-US"/>
        </w:rPr>
      </w:pPr>
      <w:bookmarkStart w:id="541" w:name="_Toc213404399"/>
      <w:r>
        <w:t xml:space="preserve">Tableau </w:t>
      </w:r>
      <w:r>
        <w:fldChar w:fldCharType="begin"/>
      </w:r>
      <w:r>
        <w:instrText xml:space="preserve"> SEQ Tableau \* ARABIC </w:instrText>
      </w:r>
      <w:r>
        <w:fldChar w:fldCharType="separate"/>
      </w:r>
      <w:r w:rsidR="00274E71">
        <w:rPr>
          <w:noProof/>
        </w:rPr>
        <w:t>77</w:t>
      </w:r>
      <w:r>
        <w:fldChar w:fldCharType="end"/>
      </w:r>
      <w:r>
        <w:t xml:space="preserve"> : </w:t>
      </w:r>
      <w:r>
        <w:rPr>
          <w:lang w:val="fr-FR"/>
        </w:rPr>
        <w:t>Les audits E&amp;S à réaliser dans de la cadre du plan de surveillance du projet</w:t>
      </w:r>
      <w:bookmarkEnd w:id="541"/>
    </w:p>
    <w:tbl>
      <w:tblPr>
        <w:tblStyle w:val="TableauGrille1Clair-Accentuation111"/>
        <w:tblW w:w="0" w:type="auto"/>
        <w:tblLook w:val="04A0" w:firstRow="1" w:lastRow="0" w:firstColumn="1" w:lastColumn="0" w:noHBand="0" w:noVBand="1"/>
      </w:tblPr>
      <w:tblGrid>
        <w:gridCol w:w="1020"/>
        <w:gridCol w:w="1699"/>
        <w:gridCol w:w="1095"/>
        <w:gridCol w:w="5246"/>
      </w:tblGrid>
      <w:tr w:rsidR="00AA22F2" w:rsidRPr="00AA22F2" w14:paraId="31A2D84B" w14:textId="77777777" w:rsidTr="00AA22F2">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67578B14" w14:textId="77777777" w:rsidR="00AA22F2" w:rsidRPr="00AA22F2" w:rsidRDefault="00AA22F2" w:rsidP="00AA22F2">
            <w:pPr>
              <w:spacing w:before="0" w:after="160" w:line="259" w:lineRule="auto"/>
              <w:jc w:val="left"/>
            </w:pPr>
            <w:r w:rsidRPr="00AA22F2">
              <w:t>Type d’audit</w:t>
            </w:r>
          </w:p>
        </w:tc>
        <w:tc>
          <w:tcPr>
            <w:tcW w:w="0" w:type="auto"/>
            <w:vAlign w:val="center"/>
            <w:hideMark/>
          </w:tcPr>
          <w:p w14:paraId="247F5C9A" w14:textId="77777777" w:rsidR="00AA22F2" w:rsidRPr="00AA22F2" w:rsidRDefault="00AA22F2" w:rsidP="00AA22F2">
            <w:pPr>
              <w:spacing w:before="0" w:after="160" w:line="259" w:lineRule="auto"/>
              <w:jc w:val="left"/>
              <w:cnfStyle w:val="100000000000" w:firstRow="1" w:lastRow="0" w:firstColumn="0" w:lastColumn="0" w:oddVBand="0" w:evenVBand="0" w:oddHBand="0" w:evenHBand="0" w:firstRowFirstColumn="0" w:firstRowLastColumn="0" w:lastRowFirstColumn="0" w:lastRowLastColumn="0"/>
            </w:pPr>
            <w:r w:rsidRPr="00AA22F2">
              <w:t>Responsable</w:t>
            </w:r>
          </w:p>
        </w:tc>
        <w:tc>
          <w:tcPr>
            <w:tcW w:w="0" w:type="auto"/>
            <w:vAlign w:val="center"/>
            <w:hideMark/>
          </w:tcPr>
          <w:p w14:paraId="45104DB9" w14:textId="77777777" w:rsidR="00AA22F2" w:rsidRPr="00AA22F2" w:rsidRDefault="00AA22F2" w:rsidP="00AA22F2">
            <w:pPr>
              <w:spacing w:before="0" w:after="160" w:line="259" w:lineRule="auto"/>
              <w:jc w:val="left"/>
              <w:cnfStyle w:val="100000000000" w:firstRow="1" w:lastRow="0" w:firstColumn="0" w:lastColumn="0" w:oddVBand="0" w:evenVBand="0" w:oddHBand="0" w:evenHBand="0" w:firstRowFirstColumn="0" w:firstRowLastColumn="0" w:lastRowFirstColumn="0" w:lastRowLastColumn="0"/>
            </w:pPr>
            <w:r w:rsidRPr="00AA22F2">
              <w:t>Fréquence</w:t>
            </w:r>
          </w:p>
        </w:tc>
        <w:tc>
          <w:tcPr>
            <w:tcW w:w="0" w:type="auto"/>
            <w:vAlign w:val="center"/>
            <w:hideMark/>
          </w:tcPr>
          <w:p w14:paraId="1D827A84" w14:textId="77777777" w:rsidR="00AA22F2" w:rsidRPr="00AA22F2" w:rsidRDefault="00AA22F2" w:rsidP="00AA22F2">
            <w:pPr>
              <w:spacing w:before="0" w:after="160" w:line="259" w:lineRule="auto"/>
              <w:jc w:val="left"/>
              <w:cnfStyle w:val="100000000000" w:firstRow="1" w:lastRow="0" w:firstColumn="0" w:lastColumn="0" w:oddVBand="0" w:evenVBand="0" w:oddHBand="0" w:evenHBand="0" w:firstRowFirstColumn="0" w:firstRowLastColumn="0" w:lastRowFirstColumn="0" w:lastRowLastColumn="0"/>
            </w:pPr>
            <w:r w:rsidRPr="00AA22F2">
              <w:t>Objectif / Contenu principal</w:t>
            </w:r>
          </w:p>
        </w:tc>
      </w:tr>
      <w:tr w:rsidR="00946C67" w:rsidRPr="00AA22F2" w14:paraId="70A0D146" w14:textId="77777777" w:rsidTr="00AA22F2">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4F5093E1" w14:textId="77777777" w:rsidR="00AA22F2" w:rsidRPr="00AA22F2" w:rsidRDefault="00AA22F2" w:rsidP="00AA22F2">
            <w:pPr>
              <w:spacing w:before="0" w:after="160" w:line="259" w:lineRule="auto"/>
              <w:jc w:val="left"/>
            </w:pPr>
            <w:r w:rsidRPr="00AA22F2">
              <w:t>Audit interne</w:t>
            </w:r>
          </w:p>
        </w:tc>
        <w:tc>
          <w:tcPr>
            <w:tcW w:w="0" w:type="auto"/>
            <w:vAlign w:val="center"/>
            <w:hideMark/>
          </w:tcPr>
          <w:p w14:paraId="61460863" w14:textId="77777777" w:rsidR="00AA22F2" w:rsidRPr="00AA22F2" w:rsidRDefault="00AA22F2" w:rsidP="00AA22F2">
            <w:pPr>
              <w:spacing w:before="0" w:after="160" w:line="259" w:lineRule="auto"/>
              <w:jc w:val="left"/>
              <w:cnfStyle w:val="000000000000" w:firstRow="0" w:lastRow="0" w:firstColumn="0" w:lastColumn="0" w:oddVBand="0" w:evenVBand="0" w:oddHBand="0" w:evenHBand="0" w:firstRowFirstColumn="0" w:firstRowLastColumn="0" w:lastRowFirstColumn="0" w:lastRowLastColumn="0"/>
            </w:pPr>
            <w:r w:rsidRPr="00AA22F2">
              <w:t>ONDA (Responsable HSSE)</w:t>
            </w:r>
          </w:p>
        </w:tc>
        <w:tc>
          <w:tcPr>
            <w:tcW w:w="0" w:type="auto"/>
            <w:vAlign w:val="center"/>
            <w:hideMark/>
          </w:tcPr>
          <w:p w14:paraId="56BC9C26" w14:textId="77777777" w:rsidR="00AA22F2" w:rsidRPr="00AA22F2" w:rsidRDefault="00AA22F2" w:rsidP="00AA22F2">
            <w:pPr>
              <w:spacing w:before="0" w:after="160" w:line="259" w:lineRule="auto"/>
              <w:jc w:val="left"/>
              <w:cnfStyle w:val="000000000000" w:firstRow="0" w:lastRow="0" w:firstColumn="0" w:lastColumn="0" w:oddVBand="0" w:evenVBand="0" w:oddHBand="0" w:evenHBand="0" w:firstRowFirstColumn="0" w:firstRowLastColumn="0" w:lastRowFirstColumn="0" w:lastRowLastColumn="0"/>
            </w:pPr>
            <w:r w:rsidRPr="00AA22F2">
              <w:t>Trimestriel</w:t>
            </w:r>
          </w:p>
        </w:tc>
        <w:tc>
          <w:tcPr>
            <w:tcW w:w="0" w:type="auto"/>
            <w:vAlign w:val="center"/>
            <w:hideMark/>
          </w:tcPr>
          <w:p w14:paraId="1CBF4402" w14:textId="77777777" w:rsidR="00AA22F2" w:rsidRPr="00AA22F2" w:rsidRDefault="00AA22F2" w:rsidP="00AA22F2">
            <w:pPr>
              <w:spacing w:before="0" w:after="160" w:line="259" w:lineRule="auto"/>
              <w:jc w:val="left"/>
              <w:cnfStyle w:val="000000000000" w:firstRow="0" w:lastRow="0" w:firstColumn="0" w:lastColumn="0" w:oddVBand="0" w:evenVBand="0" w:oddHBand="0" w:evenHBand="0" w:firstRowFirstColumn="0" w:firstRowLastColumn="0" w:lastRowFirstColumn="0" w:lastRowLastColumn="0"/>
            </w:pPr>
            <w:r w:rsidRPr="00AA22F2">
              <w:t>Vérifier la conformité des activités, registres et pratiques de l’EPC ; évaluer la mise en œuvre du PGES ; identifier les besoins correctifs.</w:t>
            </w:r>
          </w:p>
        </w:tc>
      </w:tr>
      <w:tr w:rsidR="00946C67" w:rsidRPr="00AA22F2" w14:paraId="1767183F" w14:textId="77777777" w:rsidTr="00AA22F2">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64894E62" w14:textId="77777777" w:rsidR="00AA22F2" w:rsidRPr="00AA22F2" w:rsidRDefault="00AA22F2" w:rsidP="00AA22F2">
            <w:pPr>
              <w:spacing w:before="0" w:after="160" w:line="259" w:lineRule="auto"/>
              <w:jc w:val="left"/>
            </w:pPr>
            <w:r w:rsidRPr="00AA22F2">
              <w:t>Audit externe</w:t>
            </w:r>
          </w:p>
        </w:tc>
        <w:tc>
          <w:tcPr>
            <w:tcW w:w="0" w:type="auto"/>
            <w:vAlign w:val="center"/>
            <w:hideMark/>
          </w:tcPr>
          <w:p w14:paraId="0290EB6F" w14:textId="77777777" w:rsidR="00AA22F2" w:rsidRPr="00AA22F2" w:rsidRDefault="00AA22F2" w:rsidP="00AA22F2">
            <w:pPr>
              <w:spacing w:before="0" w:after="160" w:line="259" w:lineRule="auto"/>
              <w:jc w:val="left"/>
              <w:cnfStyle w:val="000000000000" w:firstRow="0" w:lastRow="0" w:firstColumn="0" w:lastColumn="0" w:oddVBand="0" w:evenVBand="0" w:oddHBand="0" w:evenHBand="0" w:firstRowFirstColumn="0" w:firstRowLastColumn="0" w:lastRowFirstColumn="0" w:lastRowLastColumn="0"/>
            </w:pPr>
            <w:r w:rsidRPr="00AA22F2">
              <w:t>Auditeur indépendant agréé</w:t>
            </w:r>
          </w:p>
        </w:tc>
        <w:tc>
          <w:tcPr>
            <w:tcW w:w="0" w:type="auto"/>
            <w:vAlign w:val="center"/>
            <w:hideMark/>
          </w:tcPr>
          <w:p w14:paraId="0CA4AF09" w14:textId="77777777" w:rsidR="00AA22F2" w:rsidRPr="00AA22F2" w:rsidRDefault="00AA22F2" w:rsidP="00AA22F2">
            <w:pPr>
              <w:spacing w:before="0" w:after="160" w:line="259" w:lineRule="auto"/>
              <w:jc w:val="left"/>
              <w:cnfStyle w:val="000000000000" w:firstRow="0" w:lastRow="0" w:firstColumn="0" w:lastColumn="0" w:oddVBand="0" w:evenVBand="0" w:oddHBand="0" w:evenHBand="0" w:firstRowFirstColumn="0" w:firstRowLastColumn="0" w:lastRowFirstColumn="0" w:lastRowLastColumn="0"/>
            </w:pPr>
            <w:r w:rsidRPr="00AA22F2">
              <w:t>Annuel</w:t>
            </w:r>
          </w:p>
        </w:tc>
        <w:tc>
          <w:tcPr>
            <w:tcW w:w="0" w:type="auto"/>
            <w:vAlign w:val="center"/>
            <w:hideMark/>
          </w:tcPr>
          <w:p w14:paraId="24DB981B" w14:textId="77777777" w:rsidR="00AA22F2" w:rsidRPr="00AA22F2" w:rsidRDefault="00AA22F2" w:rsidP="00AA22F2">
            <w:pPr>
              <w:spacing w:before="0" w:after="160" w:line="259" w:lineRule="auto"/>
              <w:jc w:val="left"/>
              <w:cnfStyle w:val="000000000000" w:firstRow="0" w:lastRow="0" w:firstColumn="0" w:lastColumn="0" w:oddVBand="0" w:evenVBand="0" w:oddHBand="0" w:evenHBand="0" w:firstRowFirstColumn="0" w:firstRowLastColumn="0" w:lastRowFirstColumn="0" w:lastRowLastColumn="0"/>
            </w:pPr>
            <w:r w:rsidRPr="00AA22F2">
              <w:t>Évaluer la performance environnementale et sociale globale, la conformité aux exigences BAD (SO1 à SO10), la pertinence du PGES et la qualité du suivi.</w:t>
            </w:r>
          </w:p>
        </w:tc>
      </w:tr>
    </w:tbl>
    <w:p w14:paraId="21F228D5" w14:textId="78628AE2" w:rsidR="00AA22F2" w:rsidRPr="00AA22F2" w:rsidRDefault="00AA22F2" w:rsidP="00AA22F2">
      <w:pPr>
        <w:spacing w:before="0" w:after="160" w:line="259" w:lineRule="auto"/>
        <w:jc w:val="left"/>
      </w:pPr>
      <w:r w:rsidRPr="00AA22F2">
        <w:t xml:space="preserve">Les résultats sont intégrés au </w:t>
      </w:r>
      <w:r w:rsidRPr="004637C7">
        <w:t>rapport annuel de performance environnementale et sociale (ESPR)</w:t>
      </w:r>
      <w:r w:rsidRPr="00AA22F2">
        <w:t xml:space="preserve"> transmis à la BAD.</w:t>
      </w:r>
    </w:p>
    <w:p w14:paraId="6215346A" w14:textId="7776ED1F" w:rsidR="00AA22F2" w:rsidRPr="00AA22F2" w:rsidRDefault="00AA22F2" w:rsidP="004637C7">
      <w:pPr>
        <w:pStyle w:val="Title4"/>
      </w:pPr>
      <w:r w:rsidRPr="00AA22F2">
        <w:lastRenderedPageBreak/>
        <w:t>Programme de formation et de sensibilisation</w:t>
      </w:r>
    </w:p>
    <w:p w14:paraId="6288B9D2" w14:textId="2873A331" w:rsidR="00AA22F2" w:rsidRPr="00AA22F2" w:rsidRDefault="00AA22F2" w:rsidP="004637C7">
      <w:r w:rsidRPr="00AA22F2">
        <w:t>La réussite du PGES repose sur la compétence et la sensibilisation du personnel mobilisé.</w:t>
      </w:r>
      <w:r>
        <w:t xml:space="preserve"> </w:t>
      </w:r>
      <w:r w:rsidRPr="00AA22F2">
        <w:t>L’EPC, sous supervision de l’ONDA, assure la formation continue du personnel, des sous-traitants et des intervenants extérieurs.</w:t>
      </w:r>
      <w:r>
        <w:t xml:space="preserve"> Les types de formation à prévoir sont listés ci-dessous :</w:t>
      </w:r>
    </w:p>
    <w:p w14:paraId="6667CA94" w14:textId="77777777" w:rsidR="00AA22F2" w:rsidRPr="00AA22F2" w:rsidRDefault="00AA22F2" w:rsidP="0001633E">
      <w:pPr>
        <w:numPr>
          <w:ilvl w:val="0"/>
          <w:numId w:val="141"/>
        </w:numPr>
        <w:spacing w:before="0" w:after="160"/>
        <w:ind w:left="714" w:hanging="357"/>
        <w:contextualSpacing/>
        <w:jc w:val="left"/>
      </w:pPr>
      <w:r w:rsidRPr="00AA22F2">
        <w:rPr>
          <w:b/>
          <w:bCs/>
        </w:rPr>
        <w:t>Formation d’intégration</w:t>
      </w:r>
      <w:r w:rsidRPr="00AA22F2">
        <w:t xml:space="preserve"> : obligatoire avant toute activité sur le site.</w:t>
      </w:r>
    </w:p>
    <w:p w14:paraId="36D36A48" w14:textId="0174847C" w:rsidR="00AA22F2" w:rsidRPr="00AA22F2" w:rsidRDefault="00AA22F2" w:rsidP="0001633E">
      <w:pPr>
        <w:numPr>
          <w:ilvl w:val="0"/>
          <w:numId w:val="141"/>
        </w:numPr>
        <w:spacing w:before="0" w:after="160"/>
        <w:ind w:left="714" w:hanging="357"/>
        <w:contextualSpacing/>
        <w:jc w:val="left"/>
      </w:pPr>
      <w:r w:rsidRPr="00AA22F2">
        <w:rPr>
          <w:b/>
          <w:bCs/>
        </w:rPr>
        <w:t>Formation thématique</w:t>
      </w:r>
      <w:r w:rsidRPr="00AA22F2">
        <w:t xml:space="preserve"> : gestion des déchets, sécurité, pollution, </w:t>
      </w:r>
      <w:r>
        <w:t>violence basée sur le Genre, E</w:t>
      </w:r>
      <w:r w:rsidRPr="00AA22F2">
        <w:t>xploitation, Abus et Harcèlement Sexuels, hygiène, santé, premiers secours.</w:t>
      </w:r>
    </w:p>
    <w:p w14:paraId="67A10FD0" w14:textId="3F31FCF5" w:rsidR="00AA22F2" w:rsidRPr="00AA22F2" w:rsidRDefault="00AA22F2" w:rsidP="0001633E">
      <w:pPr>
        <w:numPr>
          <w:ilvl w:val="0"/>
          <w:numId w:val="141"/>
        </w:numPr>
        <w:spacing w:before="0" w:after="160"/>
        <w:ind w:left="714" w:hanging="357"/>
        <w:contextualSpacing/>
        <w:jc w:val="left"/>
      </w:pPr>
      <w:r w:rsidRPr="00AA22F2">
        <w:rPr>
          <w:b/>
          <w:bCs/>
        </w:rPr>
        <w:t xml:space="preserve">Toolbox Talks </w:t>
      </w:r>
      <w:r w:rsidRPr="00AA22F2">
        <w:t xml:space="preserve"> : séances courtes et ciblées en début de poste.</w:t>
      </w:r>
    </w:p>
    <w:p w14:paraId="4C245295" w14:textId="7BC22096" w:rsidR="00AA22F2" w:rsidRDefault="00AA22F2" w:rsidP="0001633E">
      <w:pPr>
        <w:numPr>
          <w:ilvl w:val="0"/>
          <w:numId w:val="141"/>
        </w:numPr>
        <w:spacing w:before="0" w:after="160"/>
        <w:ind w:left="714" w:hanging="357"/>
        <w:contextualSpacing/>
        <w:jc w:val="left"/>
      </w:pPr>
      <w:r w:rsidRPr="00AA22F2">
        <w:rPr>
          <w:b/>
          <w:bCs/>
        </w:rPr>
        <w:t>Recyclage</w:t>
      </w:r>
      <w:r w:rsidRPr="00AA22F2">
        <w:t xml:space="preserve"> : actualisation annuelle pour les encadrants et points focaux HSSE.</w:t>
      </w:r>
    </w:p>
    <w:p w14:paraId="3743AF6C" w14:textId="77777777" w:rsidR="00F37F43" w:rsidRDefault="00AA22F2" w:rsidP="00946C67">
      <w:r w:rsidRPr="00AA22F2">
        <w:t>Les registres de présence et supports de formation sont conservés et vérifiés lors des audits internes.</w:t>
      </w:r>
    </w:p>
    <w:p w14:paraId="3C3A6470" w14:textId="77777777" w:rsidR="004E045A" w:rsidRDefault="004E045A" w:rsidP="004E045A">
      <w:pPr>
        <w:pStyle w:val="Title2"/>
        <w:rPr>
          <w:lang w:eastAsia="zh-CN"/>
        </w:rPr>
      </w:pPr>
      <w:bookmarkStart w:id="542" w:name="_Toc181619051"/>
      <w:bookmarkStart w:id="543" w:name="_Toc215131921"/>
      <w:r w:rsidRPr="003F6918">
        <w:rPr>
          <w:lang w:eastAsia="zh-CN"/>
        </w:rPr>
        <w:t>Programme de suivi environnemental</w:t>
      </w:r>
      <w:bookmarkEnd w:id="542"/>
      <w:bookmarkEnd w:id="543"/>
    </w:p>
    <w:p w14:paraId="272BE2BF" w14:textId="77777777" w:rsidR="004E045A" w:rsidRPr="00E20061" w:rsidRDefault="004E045A" w:rsidP="004E045A">
      <w:pPr>
        <w:rPr>
          <w:lang w:eastAsia="zh-CN"/>
        </w:rPr>
      </w:pPr>
      <w:r w:rsidRPr="00E20061">
        <w:rPr>
          <w:lang w:eastAsia="zh-CN"/>
        </w:rPr>
        <w:t>Le suivi environnemental et social vise à s’assurer que les mesures prévues dans le PGES et détaillées dans le chapitre 7.3 de l’EIES sont effectivement mises en œuvre et demeurent efficaces dans le temps.</w:t>
      </w:r>
      <w:r>
        <w:rPr>
          <w:lang w:eastAsia="zh-CN"/>
        </w:rPr>
        <w:t xml:space="preserve"> </w:t>
      </w:r>
      <w:r w:rsidRPr="00E20061">
        <w:rPr>
          <w:lang w:eastAsia="zh-CN"/>
        </w:rPr>
        <w:t>Il comprend :</w:t>
      </w:r>
    </w:p>
    <w:p w14:paraId="59A68CDB" w14:textId="77777777" w:rsidR="004E045A" w:rsidRPr="00E20061" w:rsidRDefault="004E045A" w:rsidP="0001633E">
      <w:pPr>
        <w:numPr>
          <w:ilvl w:val="0"/>
          <w:numId w:val="143"/>
        </w:numPr>
        <w:rPr>
          <w:lang w:eastAsia="zh-CN"/>
        </w:rPr>
      </w:pPr>
      <w:r w:rsidRPr="00E20061">
        <w:rPr>
          <w:lang w:eastAsia="zh-CN"/>
        </w:rPr>
        <w:t xml:space="preserve">Le </w:t>
      </w:r>
      <w:r w:rsidRPr="004637C7">
        <w:rPr>
          <w:lang w:eastAsia="zh-CN"/>
        </w:rPr>
        <w:t>suivi de conformité</w:t>
      </w:r>
      <w:r w:rsidRPr="00E20061">
        <w:rPr>
          <w:lang w:eastAsia="zh-CN"/>
        </w:rPr>
        <w:t>, vérifiant la mise en œuvre des mesures d’atténuation et de gestion ;</w:t>
      </w:r>
    </w:p>
    <w:p w14:paraId="657694BC" w14:textId="77777777" w:rsidR="004E045A" w:rsidRPr="00E20061" w:rsidRDefault="004E045A" w:rsidP="0001633E">
      <w:pPr>
        <w:numPr>
          <w:ilvl w:val="0"/>
          <w:numId w:val="143"/>
        </w:numPr>
        <w:rPr>
          <w:lang w:eastAsia="zh-CN"/>
        </w:rPr>
      </w:pPr>
      <w:r w:rsidRPr="00E20061">
        <w:rPr>
          <w:lang w:eastAsia="zh-CN"/>
        </w:rPr>
        <w:t xml:space="preserve">Le </w:t>
      </w:r>
      <w:r w:rsidRPr="004637C7">
        <w:rPr>
          <w:lang w:eastAsia="zh-CN"/>
        </w:rPr>
        <w:t>suivi de performance</w:t>
      </w:r>
      <w:r w:rsidRPr="00E20061">
        <w:rPr>
          <w:lang w:eastAsia="zh-CN"/>
        </w:rPr>
        <w:t>, évaluant l’efficacité de ces mesures à réduire les impacts ;</w:t>
      </w:r>
    </w:p>
    <w:p w14:paraId="1134CEB6" w14:textId="77777777" w:rsidR="004E045A" w:rsidRPr="00E20061" w:rsidRDefault="004E045A" w:rsidP="0001633E">
      <w:pPr>
        <w:numPr>
          <w:ilvl w:val="0"/>
          <w:numId w:val="143"/>
        </w:numPr>
        <w:rPr>
          <w:lang w:eastAsia="zh-CN"/>
        </w:rPr>
      </w:pPr>
      <w:r w:rsidRPr="00E20061">
        <w:rPr>
          <w:lang w:eastAsia="zh-CN"/>
        </w:rPr>
        <w:t xml:space="preserve">Le </w:t>
      </w:r>
      <w:r w:rsidRPr="004637C7">
        <w:rPr>
          <w:lang w:eastAsia="zh-CN"/>
        </w:rPr>
        <w:t>suivi de qualité environnementale</w:t>
      </w:r>
      <w:r w:rsidRPr="00E20061">
        <w:rPr>
          <w:lang w:eastAsia="zh-CN"/>
        </w:rPr>
        <w:t>, mesurant l’évolution des paramètres physiques, biologiques et sociaux.</w:t>
      </w:r>
    </w:p>
    <w:p w14:paraId="31EACA80" w14:textId="77777777" w:rsidR="004E045A" w:rsidRPr="00E20061" w:rsidRDefault="004E045A" w:rsidP="004E045A">
      <w:pPr>
        <w:rPr>
          <w:lang w:eastAsia="zh-CN"/>
        </w:rPr>
      </w:pPr>
      <w:r w:rsidRPr="00E20061">
        <w:rPr>
          <w:lang w:eastAsia="zh-CN"/>
        </w:rPr>
        <w:t xml:space="preserve">Les fréquences de mesure indiquées ci-dessous sont issues du programme de suivi validé dans l’EIES, tandis que le </w:t>
      </w:r>
      <w:r w:rsidRPr="004637C7">
        <w:rPr>
          <w:lang w:eastAsia="zh-CN"/>
        </w:rPr>
        <w:t>reporting</w:t>
      </w:r>
      <w:r w:rsidRPr="00E20061">
        <w:rPr>
          <w:lang w:eastAsia="zh-CN"/>
        </w:rPr>
        <w:t xml:space="preserve"> sera réalisé </w:t>
      </w:r>
      <w:r w:rsidRPr="004637C7">
        <w:rPr>
          <w:lang w:eastAsia="zh-CN"/>
        </w:rPr>
        <w:t>trimestriellement</w:t>
      </w:r>
      <w:r w:rsidRPr="00E20061">
        <w:rPr>
          <w:lang w:eastAsia="zh-CN"/>
        </w:rPr>
        <w:t xml:space="preserve"> conformément à la classification de risque modéré du projet (Catégorie 2).</w:t>
      </w:r>
    </w:p>
    <w:p w14:paraId="129FAE93" w14:textId="77777777" w:rsidR="004E045A" w:rsidRDefault="004E045A" w:rsidP="00946C67"/>
    <w:p w14:paraId="2F71C828" w14:textId="77777777" w:rsidR="004E045A" w:rsidRDefault="004E045A" w:rsidP="00946C67">
      <w:pPr>
        <w:rPr>
          <w:rFonts w:eastAsia="Calibri"/>
          <w:lang w:val="fr-MA" w:eastAsia="fr-FR" w:bidi="ar-SA"/>
        </w:rPr>
      </w:pPr>
    </w:p>
    <w:p w14:paraId="324FD8BC" w14:textId="77777777" w:rsidR="004E045A" w:rsidRDefault="004E045A" w:rsidP="00946C67">
      <w:pPr>
        <w:rPr>
          <w:rFonts w:eastAsia="Calibri"/>
          <w:lang w:val="fr-MA" w:eastAsia="fr-FR" w:bidi="ar-SA"/>
        </w:rPr>
      </w:pPr>
    </w:p>
    <w:p w14:paraId="094C9FA2" w14:textId="6478B1B6" w:rsidR="004E045A" w:rsidRDefault="004E045A" w:rsidP="00946C67">
      <w:pPr>
        <w:rPr>
          <w:rFonts w:eastAsia="Calibri"/>
          <w:lang w:val="fr-MA" w:eastAsia="fr-FR" w:bidi="ar-SA"/>
        </w:rPr>
        <w:sectPr w:rsidR="004E045A" w:rsidSect="006C1613">
          <w:headerReference w:type="default" r:id="rId153"/>
          <w:footerReference w:type="default" r:id="rId154"/>
          <w:pgSz w:w="11906" w:h="16838"/>
          <w:pgMar w:top="1418" w:right="1418" w:bottom="1276" w:left="1418" w:header="680" w:footer="680" w:gutter="0"/>
          <w:cols w:space="708"/>
          <w:docGrid w:linePitch="360"/>
        </w:sectPr>
      </w:pPr>
    </w:p>
    <w:p w14:paraId="7374E601" w14:textId="5D2449EB" w:rsidR="00F37F43" w:rsidRPr="004637C7" w:rsidRDefault="00BA2A4D" w:rsidP="004637C7">
      <w:pPr>
        <w:pStyle w:val="Lgende"/>
        <w:rPr>
          <w:lang w:val="fr-FR" w:eastAsia="zh-CN"/>
        </w:rPr>
      </w:pPr>
      <w:bookmarkStart w:id="544" w:name="_Toc213404400"/>
      <w:bookmarkStart w:id="545" w:name="_Toc181619053"/>
      <w:bookmarkStart w:id="546" w:name="_Toc195007780"/>
      <w:r>
        <w:lastRenderedPageBreak/>
        <w:t xml:space="preserve">Tableau </w:t>
      </w:r>
      <w:r>
        <w:fldChar w:fldCharType="begin"/>
      </w:r>
      <w:r>
        <w:instrText xml:space="preserve"> SEQ Tableau \* ARABIC </w:instrText>
      </w:r>
      <w:r>
        <w:fldChar w:fldCharType="separate"/>
      </w:r>
      <w:r w:rsidR="00274E71">
        <w:rPr>
          <w:noProof/>
        </w:rPr>
        <w:t>78</w:t>
      </w:r>
      <w:r>
        <w:fldChar w:fldCharType="end"/>
      </w:r>
      <w:r>
        <w:rPr>
          <w:lang w:val="fr-FR"/>
        </w:rPr>
        <w:t xml:space="preserve"> : </w:t>
      </w:r>
      <w:r w:rsidRPr="00F37F43">
        <w:t>Programme de suivi environnemental et social — Phase d</w:t>
      </w:r>
      <w:r>
        <w:rPr>
          <w:lang w:val="fr-FR"/>
        </w:rPr>
        <w:t>e construction</w:t>
      </w:r>
      <w:bookmarkEnd w:id="544"/>
    </w:p>
    <w:tbl>
      <w:tblPr>
        <w:tblStyle w:val="TableauGrille1Clair-Accentuation111"/>
        <w:tblW w:w="0" w:type="auto"/>
        <w:tblLook w:val="04A0" w:firstRow="1" w:lastRow="0" w:firstColumn="1" w:lastColumn="0" w:noHBand="0" w:noVBand="1"/>
      </w:tblPr>
      <w:tblGrid>
        <w:gridCol w:w="1294"/>
        <w:gridCol w:w="2037"/>
        <w:gridCol w:w="1672"/>
        <w:gridCol w:w="1742"/>
        <w:gridCol w:w="1975"/>
        <w:gridCol w:w="2218"/>
        <w:gridCol w:w="1824"/>
        <w:gridCol w:w="1372"/>
      </w:tblGrid>
      <w:tr w:rsidR="00BA2A4D" w:rsidRPr="00F37F43" w14:paraId="7DFFC27F" w14:textId="77777777" w:rsidTr="00766AF5">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0" w:type="auto"/>
            <w:vAlign w:val="center"/>
          </w:tcPr>
          <w:p w14:paraId="1FBA03E9" w14:textId="2DD1743A" w:rsidR="00BA2A4D" w:rsidRPr="004637C7" w:rsidRDefault="00BA2A4D" w:rsidP="00E20061">
            <w:pPr>
              <w:jc w:val="left"/>
            </w:pPr>
            <w:r w:rsidRPr="004637C7">
              <w:t xml:space="preserve">Aspect </w:t>
            </w:r>
          </w:p>
        </w:tc>
        <w:tc>
          <w:tcPr>
            <w:tcW w:w="0" w:type="auto"/>
            <w:vAlign w:val="center"/>
            <w:hideMark/>
          </w:tcPr>
          <w:p w14:paraId="5F1A7236" w14:textId="6E5DCE23" w:rsidR="00BA2A4D" w:rsidRPr="00F37F43" w:rsidRDefault="00BA2A4D" w:rsidP="004637C7">
            <w:pPr>
              <w:jc w:val="left"/>
              <w:cnfStyle w:val="100000000000" w:firstRow="1" w:lastRow="0" w:firstColumn="0" w:lastColumn="0" w:oddVBand="0" w:evenVBand="0" w:oddHBand="0" w:evenHBand="0" w:firstRowFirstColumn="0" w:firstRowLastColumn="0" w:lastRowFirstColumn="0" w:lastRowLastColumn="0"/>
            </w:pPr>
            <w:r w:rsidRPr="00F37F43">
              <w:t>Ce qu’il faut faire (Quel paramètre ?)</w:t>
            </w:r>
          </w:p>
        </w:tc>
        <w:tc>
          <w:tcPr>
            <w:tcW w:w="0" w:type="auto"/>
            <w:vAlign w:val="center"/>
            <w:hideMark/>
          </w:tcPr>
          <w:p w14:paraId="149C5970" w14:textId="77777777" w:rsidR="00BA2A4D" w:rsidRPr="00F37F43" w:rsidRDefault="00BA2A4D" w:rsidP="004637C7">
            <w:pPr>
              <w:jc w:val="left"/>
              <w:cnfStyle w:val="100000000000" w:firstRow="1" w:lastRow="0" w:firstColumn="0" w:lastColumn="0" w:oddVBand="0" w:evenVBand="0" w:oddHBand="0" w:evenHBand="0" w:firstRowFirstColumn="0" w:firstRowLastColumn="0" w:lastRowFirstColumn="0" w:lastRowLastColumn="0"/>
            </w:pPr>
            <w:r w:rsidRPr="00F37F43">
              <w:t>Où (Point de contrôle ?)</w:t>
            </w:r>
          </w:p>
        </w:tc>
        <w:tc>
          <w:tcPr>
            <w:tcW w:w="0" w:type="auto"/>
            <w:vAlign w:val="center"/>
            <w:hideMark/>
          </w:tcPr>
          <w:p w14:paraId="4D1FCCAB" w14:textId="77777777" w:rsidR="00BA2A4D" w:rsidRPr="00F37F43" w:rsidRDefault="00BA2A4D" w:rsidP="004637C7">
            <w:pPr>
              <w:jc w:val="left"/>
              <w:cnfStyle w:val="100000000000" w:firstRow="1" w:lastRow="0" w:firstColumn="0" w:lastColumn="0" w:oddVBand="0" w:evenVBand="0" w:oddHBand="0" w:evenHBand="0" w:firstRowFirstColumn="0" w:firstRowLastColumn="0" w:lastRowFirstColumn="0" w:lastRowLastColumn="0"/>
            </w:pPr>
            <w:r w:rsidRPr="00F37F43">
              <w:t>Comment (Méthode de suivi ?)</w:t>
            </w:r>
          </w:p>
        </w:tc>
        <w:tc>
          <w:tcPr>
            <w:tcW w:w="0" w:type="auto"/>
            <w:vAlign w:val="center"/>
            <w:hideMark/>
          </w:tcPr>
          <w:p w14:paraId="57FB91B0" w14:textId="77777777" w:rsidR="00BA2A4D" w:rsidRPr="00F37F43" w:rsidRDefault="00BA2A4D" w:rsidP="004637C7">
            <w:pPr>
              <w:jc w:val="left"/>
              <w:cnfStyle w:val="100000000000" w:firstRow="1" w:lastRow="0" w:firstColumn="0" w:lastColumn="0" w:oddVBand="0" w:evenVBand="0" w:oddHBand="0" w:evenHBand="0" w:firstRowFirstColumn="0" w:firstRowLastColumn="0" w:lastRowFirstColumn="0" w:lastRowLastColumn="0"/>
            </w:pPr>
            <w:r w:rsidRPr="00F37F43">
              <w:t>Quand (Fréquence ?)</w:t>
            </w:r>
          </w:p>
        </w:tc>
        <w:tc>
          <w:tcPr>
            <w:tcW w:w="0" w:type="auto"/>
            <w:vAlign w:val="center"/>
            <w:hideMark/>
          </w:tcPr>
          <w:p w14:paraId="6910F769" w14:textId="77777777" w:rsidR="00BA2A4D" w:rsidRPr="00F37F43" w:rsidRDefault="00BA2A4D" w:rsidP="004637C7">
            <w:pPr>
              <w:jc w:val="left"/>
              <w:cnfStyle w:val="100000000000" w:firstRow="1" w:lastRow="0" w:firstColumn="0" w:lastColumn="0" w:oddVBand="0" w:evenVBand="0" w:oddHBand="0" w:evenHBand="0" w:firstRowFirstColumn="0" w:firstRowLastColumn="0" w:lastRowFirstColumn="0" w:lastRowLastColumn="0"/>
            </w:pPr>
            <w:r w:rsidRPr="00F37F43">
              <w:t>Pourquoi (Objectif du suivi ?)</w:t>
            </w:r>
          </w:p>
        </w:tc>
        <w:tc>
          <w:tcPr>
            <w:tcW w:w="0" w:type="auto"/>
            <w:vAlign w:val="center"/>
            <w:hideMark/>
          </w:tcPr>
          <w:p w14:paraId="4AF05541" w14:textId="77777777" w:rsidR="00BA2A4D" w:rsidRPr="00F37F43" w:rsidRDefault="00BA2A4D" w:rsidP="004637C7">
            <w:pPr>
              <w:jc w:val="left"/>
              <w:cnfStyle w:val="100000000000" w:firstRow="1" w:lastRow="0" w:firstColumn="0" w:lastColumn="0" w:oddVBand="0" w:evenVBand="0" w:oddHBand="0" w:evenHBand="0" w:firstRowFirstColumn="0" w:firstRowLastColumn="0" w:lastRowFirstColumn="0" w:lastRowLastColumn="0"/>
            </w:pPr>
            <w:r w:rsidRPr="00F37F43">
              <w:t>Coût</w:t>
            </w:r>
          </w:p>
        </w:tc>
        <w:tc>
          <w:tcPr>
            <w:tcW w:w="0" w:type="auto"/>
            <w:vAlign w:val="center"/>
            <w:hideMark/>
          </w:tcPr>
          <w:p w14:paraId="01037DDA" w14:textId="77777777" w:rsidR="00BA2A4D" w:rsidRPr="00F37F43" w:rsidRDefault="00BA2A4D" w:rsidP="004637C7">
            <w:pPr>
              <w:jc w:val="left"/>
              <w:cnfStyle w:val="100000000000" w:firstRow="1" w:lastRow="0" w:firstColumn="0" w:lastColumn="0" w:oddVBand="0" w:evenVBand="0" w:oddHBand="0" w:evenHBand="0" w:firstRowFirstColumn="0" w:firstRowLastColumn="0" w:lastRowFirstColumn="0" w:lastRowLastColumn="0"/>
            </w:pPr>
            <w:r w:rsidRPr="00F37F43">
              <w:t>Qui (Responsable ?)</w:t>
            </w:r>
          </w:p>
        </w:tc>
      </w:tr>
      <w:tr w:rsidR="00BA2A4D" w:rsidRPr="00712B57" w14:paraId="2FB2DFA3" w14:textId="77777777" w:rsidTr="00BA2A4D">
        <w:tc>
          <w:tcPr>
            <w:cnfStyle w:val="001000000000" w:firstRow="0" w:lastRow="0" w:firstColumn="1" w:lastColumn="0" w:oddVBand="0" w:evenVBand="0" w:oddHBand="0" w:evenHBand="0" w:firstRowFirstColumn="0" w:firstRowLastColumn="0" w:lastRowFirstColumn="0" w:lastRowLastColumn="0"/>
            <w:tcW w:w="0" w:type="auto"/>
            <w:vAlign w:val="center"/>
          </w:tcPr>
          <w:p w14:paraId="0A459335" w14:textId="08158854" w:rsidR="00BA2A4D" w:rsidRPr="00E20061" w:rsidRDefault="00BA2A4D" w:rsidP="00E20061">
            <w:pPr>
              <w:jc w:val="left"/>
            </w:pPr>
            <w:r>
              <w:t>Air</w:t>
            </w:r>
          </w:p>
        </w:tc>
        <w:tc>
          <w:tcPr>
            <w:tcW w:w="0" w:type="auto"/>
            <w:vAlign w:val="center"/>
            <w:hideMark/>
          </w:tcPr>
          <w:p w14:paraId="57D58C14" w14:textId="3E34CA66" w:rsidR="00BA2A4D" w:rsidRPr="00E20061" w:rsidRDefault="00BA2A4D" w:rsidP="004637C7">
            <w:pPr>
              <w:jc w:val="left"/>
              <w:cnfStyle w:val="000000000000" w:firstRow="0" w:lastRow="0" w:firstColumn="0" w:lastColumn="0" w:oddVBand="0" w:evenVBand="0" w:oddHBand="0" w:evenHBand="0" w:firstRowFirstColumn="0" w:firstRowLastColumn="0" w:lastRowFirstColumn="0" w:lastRowLastColumn="0"/>
            </w:pPr>
            <w:r w:rsidRPr="00E20061">
              <w:t>Surveiller les niveaux de poussières et émissions des engins (PM10, PM2.5)</w:t>
            </w:r>
          </w:p>
        </w:tc>
        <w:tc>
          <w:tcPr>
            <w:tcW w:w="0" w:type="auto"/>
            <w:vAlign w:val="center"/>
            <w:hideMark/>
          </w:tcPr>
          <w:p w14:paraId="366BD014" w14:textId="77777777" w:rsidR="00BA2A4D" w:rsidRPr="00E20061" w:rsidRDefault="00BA2A4D" w:rsidP="004637C7">
            <w:pPr>
              <w:jc w:val="left"/>
              <w:cnfStyle w:val="000000000000" w:firstRow="0" w:lastRow="0" w:firstColumn="0" w:lastColumn="0" w:oddVBand="0" w:evenVBand="0" w:oddHBand="0" w:evenHBand="0" w:firstRowFirstColumn="0" w:firstRowLastColumn="0" w:lastRowFirstColumn="0" w:lastRowLastColumn="0"/>
            </w:pPr>
            <w:r w:rsidRPr="00E20061">
              <w:t>Zones de terrassement, voies internes, stockage matériaux</w:t>
            </w:r>
          </w:p>
        </w:tc>
        <w:tc>
          <w:tcPr>
            <w:tcW w:w="0" w:type="auto"/>
            <w:vAlign w:val="center"/>
            <w:hideMark/>
          </w:tcPr>
          <w:p w14:paraId="611A6FEC" w14:textId="77777777" w:rsidR="00BA2A4D" w:rsidRPr="00E20061" w:rsidRDefault="00BA2A4D" w:rsidP="004637C7">
            <w:pPr>
              <w:jc w:val="left"/>
              <w:cnfStyle w:val="000000000000" w:firstRow="0" w:lastRow="0" w:firstColumn="0" w:lastColumn="0" w:oddVBand="0" w:evenVBand="0" w:oddHBand="0" w:evenHBand="0" w:firstRowFirstColumn="0" w:firstRowLastColumn="0" w:lastRowFirstColumn="0" w:lastRowLastColumn="0"/>
            </w:pPr>
            <w:r w:rsidRPr="00E20061">
              <w:t>Inspection visuelle et mesure ponctuelle avec capteur portable</w:t>
            </w:r>
          </w:p>
        </w:tc>
        <w:tc>
          <w:tcPr>
            <w:tcW w:w="0" w:type="auto"/>
            <w:vAlign w:val="center"/>
            <w:hideMark/>
          </w:tcPr>
          <w:p w14:paraId="4E4496B6" w14:textId="77777777" w:rsidR="00BA2A4D" w:rsidRPr="00E20061" w:rsidRDefault="00BA2A4D" w:rsidP="004637C7">
            <w:pPr>
              <w:jc w:val="left"/>
              <w:cnfStyle w:val="000000000000" w:firstRow="0" w:lastRow="0" w:firstColumn="0" w:lastColumn="0" w:oddVBand="0" w:evenVBand="0" w:oddHBand="0" w:evenHBand="0" w:firstRowFirstColumn="0" w:firstRowLastColumn="0" w:lastRowFirstColumn="0" w:lastRowLastColumn="0"/>
            </w:pPr>
            <w:r w:rsidRPr="00E20061">
              <w:t>Hebdomadaire ou après réclamation</w:t>
            </w:r>
          </w:p>
        </w:tc>
        <w:tc>
          <w:tcPr>
            <w:tcW w:w="0" w:type="auto"/>
            <w:vAlign w:val="center"/>
            <w:hideMark/>
          </w:tcPr>
          <w:p w14:paraId="3856A620" w14:textId="77777777" w:rsidR="00BA2A4D" w:rsidRPr="00E20061" w:rsidRDefault="00BA2A4D" w:rsidP="004637C7">
            <w:pPr>
              <w:jc w:val="left"/>
              <w:cnfStyle w:val="000000000000" w:firstRow="0" w:lastRow="0" w:firstColumn="0" w:lastColumn="0" w:oddVBand="0" w:evenVBand="0" w:oddHBand="0" w:evenHBand="0" w:firstRowFirstColumn="0" w:firstRowLastColumn="0" w:lastRowFirstColumn="0" w:lastRowLastColumn="0"/>
            </w:pPr>
            <w:r w:rsidRPr="00E20061">
              <w:t>Vérifier l’efficacité des mesures anti-poussières et prévenir les nuisances locales</w:t>
            </w:r>
          </w:p>
        </w:tc>
        <w:tc>
          <w:tcPr>
            <w:tcW w:w="0" w:type="auto"/>
            <w:vAlign w:val="center"/>
            <w:hideMark/>
          </w:tcPr>
          <w:p w14:paraId="6F2FE394" w14:textId="77777777" w:rsidR="00BA2A4D" w:rsidRPr="00E20061" w:rsidRDefault="00BA2A4D" w:rsidP="004637C7">
            <w:pPr>
              <w:jc w:val="left"/>
              <w:cnfStyle w:val="000000000000" w:firstRow="0" w:lastRow="0" w:firstColumn="0" w:lastColumn="0" w:oddVBand="0" w:evenVBand="0" w:oddHBand="0" w:evenHBand="0" w:firstRowFirstColumn="0" w:firstRowLastColumn="0" w:lastRowFirstColumn="0" w:lastRowLastColumn="0"/>
            </w:pPr>
            <w:r w:rsidRPr="00E20061">
              <w:t>Inclus dans contrat EPC</w:t>
            </w:r>
          </w:p>
        </w:tc>
        <w:tc>
          <w:tcPr>
            <w:tcW w:w="0" w:type="auto"/>
            <w:vAlign w:val="center"/>
            <w:hideMark/>
          </w:tcPr>
          <w:p w14:paraId="1B3A8952" w14:textId="75DCDF9B" w:rsidR="00BA2A4D" w:rsidRPr="004637C7" w:rsidRDefault="00BA2A4D" w:rsidP="004637C7">
            <w:pPr>
              <w:jc w:val="left"/>
              <w:cnfStyle w:val="000000000000" w:firstRow="0" w:lastRow="0" w:firstColumn="0" w:lastColumn="0" w:oddVBand="0" w:evenVBand="0" w:oddHBand="0" w:evenHBand="0" w:firstRowFirstColumn="0" w:firstRowLastColumn="0" w:lastRowFirstColumn="0" w:lastRowLastColumn="0"/>
              <w:rPr>
                <w:lang w:val="en-US"/>
              </w:rPr>
            </w:pPr>
            <w:r w:rsidRPr="004637C7">
              <w:rPr>
                <w:lang w:val="en-US"/>
              </w:rPr>
              <w:t xml:space="preserve">EPC </w:t>
            </w:r>
          </w:p>
        </w:tc>
      </w:tr>
      <w:tr w:rsidR="00BA2A4D" w:rsidRPr="00712B57" w14:paraId="0BF0DEBD" w14:textId="77777777" w:rsidTr="00BA2A4D">
        <w:tc>
          <w:tcPr>
            <w:cnfStyle w:val="001000000000" w:firstRow="0" w:lastRow="0" w:firstColumn="1" w:lastColumn="0" w:oddVBand="0" w:evenVBand="0" w:oddHBand="0" w:evenHBand="0" w:firstRowFirstColumn="0" w:firstRowLastColumn="0" w:lastRowFirstColumn="0" w:lastRowLastColumn="0"/>
            <w:tcW w:w="0" w:type="auto"/>
            <w:vAlign w:val="center"/>
          </w:tcPr>
          <w:p w14:paraId="1FEAF6CB" w14:textId="0DC62E92" w:rsidR="00BA2A4D" w:rsidRPr="00E20061" w:rsidRDefault="00BA2A4D" w:rsidP="00E20061">
            <w:pPr>
              <w:jc w:val="left"/>
            </w:pPr>
            <w:r>
              <w:t>Bruit</w:t>
            </w:r>
          </w:p>
        </w:tc>
        <w:tc>
          <w:tcPr>
            <w:tcW w:w="0" w:type="auto"/>
            <w:vAlign w:val="center"/>
            <w:hideMark/>
          </w:tcPr>
          <w:p w14:paraId="7C3A49AD" w14:textId="2A2D1E2A" w:rsidR="00BA2A4D" w:rsidRPr="00E20061" w:rsidRDefault="00BA2A4D" w:rsidP="004637C7">
            <w:pPr>
              <w:jc w:val="left"/>
              <w:cnfStyle w:val="000000000000" w:firstRow="0" w:lastRow="0" w:firstColumn="0" w:lastColumn="0" w:oddVBand="0" w:evenVBand="0" w:oddHBand="0" w:evenHBand="0" w:firstRowFirstColumn="0" w:firstRowLastColumn="0" w:lastRowFirstColumn="0" w:lastRowLastColumn="0"/>
            </w:pPr>
            <w:r w:rsidRPr="00E20061">
              <w:t>Contrôler le niveau sonore et les vibrations</w:t>
            </w:r>
          </w:p>
        </w:tc>
        <w:tc>
          <w:tcPr>
            <w:tcW w:w="0" w:type="auto"/>
            <w:vAlign w:val="center"/>
            <w:hideMark/>
          </w:tcPr>
          <w:p w14:paraId="63296D67" w14:textId="77777777" w:rsidR="00BA2A4D" w:rsidRPr="00E20061" w:rsidRDefault="00BA2A4D" w:rsidP="004637C7">
            <w:pPr>
              <w:jc w:val="left"/>
              <w:cnfStyle w:val="000000000000" w:firstRow="0" w:lastRow="0" w:firstColumn="0" w:lastColumn="0" w:oddVBand="0" w:evenVBand="0" w:oddHBand="0" w:evenHBand="0" w:firstRowFirstColumn="0" w:firstRowLastColumn="0" w:lastRowFirstColumn="0" w:lastRowLastColumn="0"/>
            </w:pPr>
            <w:r w:rsidRPr="00E20061">
              <w:t>Limites du chantier, zones sensibles (logements, bureaux ONDA)</w:t>
            </w:r>
          </w:p>
        </w:tc>
        <w:tc>
          <w:tcPr>
            <w:tcW w:w="0" w:type="auto"/>
            <w:vAlign w:val="center"/>
            <w:hideMark/>
          </w:tcPr>
          <w:p w14:paraId="4756F67D" w14:textId="77777777" w:rsidR="00BA2A4D" w:rsidRPr="00E20061" w:rsidRDefault="00BA2A4D" w:rsidP="004637C7">
            <w:pPr>
              <w:jc w:val="left"/>
              <w:cnfStyle w:val="000000000000" w:firstRow="0" w:lastRow="0" w:firstColumn="0" w:lastColumn="0" w:oddVBand="0" w:evenVBand="0" w:oddHBand="0" w:evenHBand="0" w:firstRowFirstColumn="0" w:firstRowLastColumn="0" w:lastRowFirstColumn="0" w:lastRowLastColumn="0"/>
            </w:pPr>
            <w:r w:rsidRPr="00E20061">
              <w:t>Mesures sonométriques (norme ISO 1996)</w:t>
            </w:r>
          </w:p>
        </w:tc>
        <w:tc>
          <w:tcPr>
            <w:tcW w:w="0" w:type="auto"/>
            <w:vAlign w:val="center"/>
            <w:hideMark/>
          </w:tcPr>
          <w:p w14:paraId="6E3AECBA" w14:textId="77777777" w:rsidR="00BA2A4D" w:rsidRPr="00E20061" w:rsidRDefault="00BA2A4D" w:rsidP="004637C7">
            <w:pPr>
              <w:jc w:val="left"/>
              <w:cnfStyle w:val="000000000000" w:firstRow="0" w:lastRow="0" w:firstColumn="0" w:lastColumn="0" w:oddVBand="0" w:evenVBand="0" w:oddHBand="0" w:evenHBand="0" w:firstRowFirstColumn="0" w:firstRowLastColumn="0" w:lastRowFirstColumn="0" w:lastRowLastColumn="0"/>
            </w:pPr>
            <w:r w:rsidRPr="00E20061">
              <w:t>Mensuelle / lors des travaux intensifs</w:t>
            </w:r>
          </w:p>
        </w:tc>
        <w:tc>
          <w:tcPr>
            <w:tcW w:w="0" w:type="auto"/>
            <w:vAlign w:val="center"/>
            <w:hideMark/>
          </w:tcPr>
          <w:p w14:paraId="65989B2C" w14:textId="77777777" w:rsidR="00BA2A4D" w:rsidRPr="00E20061" w:rsidRDefault="00BA2A4D" w:rsidP="004637C7">
            <w:pPr>
              <w:jc w:val="left"/>
              <w:cnfStyle w:val="000000000000" w:firstRow="0" w:lastRow="0" w:firstColumn="0" w:lastColumn="0" w:oddVBand="0" w:evenVBand="0" w:oddHBand="0" w:evenHBand="0" w:firstRowFirstColumn="0" w:firstRowLastColumn="0" w:lastRowFirstColumn="0" w:lastRowLastColumn="0"/>
            </w:pPr>
            <w:r w:rsidRPr="00E20061">
              <w:t>S’assurer du respect des seuils réglementaires marocains</w:t>
            </w:r>
          </w:p>
        </w:tc>
        <w:tc>
          <w:tcPr>
            <w:tcW w:w="0" w:type="auto"/>
            <w:vAlign w:val="center"/>
            <w:hideMark/>
          </w:tcPr>
          <w:p w14:paraId="2A85CDB6" w14:textId="77777777" w:rsidR="00BA2A4D" w:rsidRPr="00E20061" w:rsidRDefault="00BA2A4D" w:rsidP="004637C7">
            <w:pPr>
              <w:jc w:val="left"/>
              <w:cnfStyle w:val="000000000000" w:firstRow="0" w:lastRow="0" w:firstColumn="0" w:lastColumn="0" w:oddVBand="0" w:evenVBand="0" w:oddHBand="0" w:evenHBand="0" w:firstRowFirstColumn="0" w:firstRowLastColumn="0" w:lastRowFirstColumn="0" w:lastRowLastColumn="0"/>
            </w:pPr>
            <w:r w:rsidRPr="00E20061">
              <w:t>Inclus dans contrat EPC</w:t>
            </w:r>
          </w:p>
        </w:tc>
        <w:tc>
          <w:tcPr>
            <w:tcW w:w="0" w:type="auto"/>
            <w:vAlign w:val="center"/>
            <w:hideMark/>
          </w:tcPr>
          <w:p w14:paraId="6A319A14" w14:textId="54C852C4" w:rsidR="00BA2A4D" w:rsidRPr="004637C7" w:rsidRDefault="00BA2A4D" w:rsidP="004637C7">
            <w:pPr>
              <w:jc w:val="left"/>
              <w:cnfStyle w:val="000000000000" w:firstRow="0" w:lastRow="0" w:firstColumn="0" w:lastColumn="0" w:oddVBand="0" w:evenVBand="0" w:oddHBand="0" w:evenHBand="0" w:firstRowFirstColumn="0" w:firstRowLastColumn="0" w:lastRowFirstColumn="0" w:lastRowLastColumn="0"/>
              <w:rPr>
                <w:lang w:val="en-US"/>
              </w:rPr>
            </w:pPr>
            <w:r w:rsidRPr="004637C7">
              <w:rPr>
                <w:lang w:val="en-US"/>
              </w:rPr>
              <w:t xml:space="preserve">EPC </w:t>
            </w:r>
          </w:p>
        </w:tc>
      </w:tr>
      <w:tr w:rsidR="00BA2A4D" w:rsidRPr="00712B57" w14:paraId="6FC1EFCE" w14:textId="77777777" w:rsidTr="00BA2A4D">
        <w:tc>
          <w:tcPr>
            <w:cnfStyle w:val="001000000000" w:firstRow="0" w:lastRow="0" w:firstColumn="1" w:lastColumn="0" w:oddVBand="0" w:evenVBand="0" w:oddHBand="0" w:evenHBand="0" w:firstRowFirstColumn="0" w:firstRowLastColumn="0" w:lastRowFirstColumn="0" w:lastRowLastColumn="0"/>
            <w:tcW w:w="0" w:type="auto"/>
            <w:vAlign w:val="center"/>
          </w:tcPr>
          <w:p w14:paraId="74AEA021" w14:textId="4E1E7D04" w:rsidR="00BA2A4D" w:rsidRPr="00E20061" w:rsidRDefault="00BA2A4D" w:rsidP="00E20061">
            <w:pPr>
              <w:jc w:val="left"/>
            </w:pPr>
            <w:r>
              <w:t>Gestion des EU</w:t>
            </w:r>
          </w:p>
        </w:tc>
        <w:tc>
          <w:tcPr>
            <w:tcW w:w="0" w:type="auto"/>
            <w:vAlign w:val="center"/>
            <w:hideMark/>
          </w:tcPr>
          <w:p w14:paraId="329DBA99" w14:textId="140A92CE" w:rsidR="00BA2A4D" w:rsidRPr="00E20061" w:rsidRDefault="00BA2A4D" w:rsidP="004637C7">
            <w:pPr>
              <w:jc w:val="left"/>
              <w:cnfStyle w:val="000000000000" w:firstRow="0" w:lastRow="0" w:firstColumn="0" w:lastColumn="0" w:oddVBand="0" w:evenVBand="0" w:oddHBand="0" w:evenHBand="0" w:firstRowFirstColumn="0" w:firstRowLastColumn="0" w:lastRowFirstColumn="0" w:lastRowLastColumn="0"/>
            </w:pPr>
            <w:r w:rsidRPr="00E20061">
              <w:t>Contrôler la gestion des eaux usées de chantier</w:t>
            </w:r>
          </w:p>
        </w:tc>
        <w:tc>
          <w:tcPr>
            <w:tcW w:w="0" w:type="auto"/>
            <w:vAlign w:val="center"/>
            <w:hideMark/>
          </w:tcPr>
          <w:p w14:paraId="680C536D" w14:textId="77777777" w:rsidR="00BA2A4D" w:rsidRPr="00E20061" w:rsidRDefault="00BA2A4D" w:rsidP="004637C7">
            <w:pPr>
              <w:jc w:val="left"/>
              <w:cnfStyle w:val="000000000000" w:firstRow="0" w:lastRow="0" w:firstColumn="0" w:lastColumn="0" w:oddVBand="0" w:evenVBand="0" w:oddHBand="0" w:evenHBand="0" w:firstRowFirstColumn="0" w:firstRowLastColumn="0" w:lastRowFirstColumn="0" w:lastRowLastColumn="0"/>
            </w:pPr>
            <w:r w:rsidRPr="00E20061">
              <w:t>Aires de vie, sanitaires, zones de lavage</w:t>
            </w:r>
          </w:p>
        </w:tc>
        <w:tc>
          <w:tcPr>
            <w:tcW w:w="0" w:type="auto"/>
            <w:vAlign w:val="center"/>
            <w:hideMark/>
          </w:tcPr>
          <w:p w14:paraId="3BE96041" w14:textId="77777777" w:rsidR="00BA2A4D" w:rsidRPr="00E20061" w:rsidRDefault="00BA2A4D" w:rsidP="004637C7">
            <w:pPr>
              <w:jc w:val="left"/>
              <w:cnfStyle w:val="000000000000" w:firstRow="0" w:lastRow="0" w:firstColumn="0" w:lastColumn="0" w:oddVBand="0" w:evenVBand="0" w:oddHBand="0" w:evenHBand="0" w:firstRowFirstColumn="0" w:firstRowLastColumn="0" w:lastRowFirstColumn="0" w:lastRowLastColumn="0"/>
            </w:pPr>
            <w:r w:rsidRPr="00E20061">
              <w:t>Vérification visuelle + registre de vidange</w:t>
            </w:r>
          </w:p>
        </w:tc>
        <w:tc>
          <w:tcPr>
            <w:tcW w:w="0" w:type="auto"/>
            <w:vAlign w:val="center"/>
            <w:hideMark/>
          </w:tcPr>
          <w:p w14:paraId="031E676C" w14:textId="77777777" w:rsidR="00BA2A4D" w:rsidRPr="00E20061" w:rsidRDefault="00BA2A4D" w:rsidP="004637C7">
            <w:pPr>
              <w:jc w:val="left"/>
              <w:cnfStyle w:val="000000000000" w:firstRow="0" w:lastRow="0" w:firstColumn="0" w:lastColumn="0" w:oddVBand="0" w:evenVBand="0" w:oddHBand="0" w:evenHBand="0" w:firstRowFirstColumn="0" w:firstRowLastColumn="0" w:lastRowFirstColumn="0" w:lastRowLastColumn="0"/>
            </w:pPr>
            <w:r w:rsidRPr="00E20061">
              <w:t>Hebdomadaire</w:t>
            </w:r>
          </w:p>
        </w:tc>
        <w:tc>
          <w:tcPr>
            <w:tcW w:w="0" w:type="auto"/>
            <w:vAlign w:val="center"/>
            <w:hideMark/>
          </w:tcPr>
          <w:p w14:paraId="40724A7D" w14:textId="77777777" w:rsidR="00BA2A4D" w:rsidRPr="00E20061" w:rsidRDefault="00BA2A4D" w:rsidP="004637C7">
            <w:pPr>
              <w:jc w:val="left"/>
              <w:cnfStyle w:val="000000000000" w:firstRow="0" w:lastRow="0" w:firstColumn="0" w:lastColumn="0" w:oddVBand="0" w:evenVBand="0" w:oddHBand="0" w:evenHBand="0" w:firstRowFirstColumn="0" w:firstRowLastColumn="0" w:lastRowFirstColumn="0" w:lastRowLastColumn="0"/>
            </w:pPr>
            <w:r w:rsidRPr="00E20061">
              <w:t>Prévenir les pollutions du sol et des eaux</w:t>
            </w:r>
          </w:p>
        </w:tc>
        <w:tc>
          <w:tcPr>
            <w:tcW w:w="0" w:type="auto"/>
            <w:vAlign w:val="center"/>
            <w:hideMark/>
          </w:tcPr>
          <w:p w14:paraId="7BA07659" w14:textId="77777777" w:rsidR="00BA2A4D" w:rsidRPr="00E20061" w:rsidRDefault="00BA2A4D" w:rsidP="004637C7">
            <w:pPr>
              <w:jc w:val="left"/>
              <w:cnfStyle w:val="000000000000" w:firstRow="0" w:lastRow="0" w:firstColumn="0" w:lastColumn="0" w:oddVBand="0" w:evenVBand="0" w:oddHBand="0" w:evenHBand="0" w:firstRowFirstColumn="0" w:firstRowLastColumn="0" w:lastRowFirstColumn="0" w:lastRowLastColumn="0"/>
            </w:pPr>
            <w:r w:rsidRPr="00E20061">
              <w:t>Inclus dans contrat EPC</w:t>
            </w:r>
          </w:p>
        </w:tc>
        <w:tc>
          <w:tcPr>
            <w:tcW w:w="0" w:type="auto"/>
            <w:vAlign w:val="center"/>
            <w:hideMark/>
          </w:tcPr>
          <w:p w14:paraId="55E93C7A" w14:textId="241C0B83" w:rsidR="00BA2A4D" w:rsidRPr="004637C7" w:rsidRDefault="00BA2A4D" w:rsidP="004637C7">
            <w:pPr>
              <w:jc w:val="left"/>
              <w:cnfStyle w:val="000000000000" w:firstRow="0" w:lastRow="0" w:firstColumn="0" w:lastColumn="0" w:oddVBand="0" w:evenVBand="0" w:oddHBand="0" w:evenHBand="0" w:firstRowFirstColumn="0" w:firstRowLastColumn="0" w:lastRowFirstColumn="0" w:lastRowLastColumn="0"/>
              <w:rPr>
                <w:lang w:val="en-US"/>
              </w:rPr>
            </w:pPr>
            <w:r w:rsidRPr="004637C7">
              <w:rPr>
                <w:lang w:val="en-US"/>
              </w:rPr>
              <w:t xml:space="preserve">EPC </w:t>
            </w:r>
          </w:p>
        </w:tc>
      </w:tr>
      <w:tr w:rsidR="00BA2A4D" w:rsidRPr="00F37F43" w14:paraId="7B9726AA" w14:textId="77777777" w:rsidTr="00BA2A4D">
        <w:tc>
          <w:tcPr>
            <w:cnfStyle w:val="001000000000" w:firstRow="0" w:lastRow="0" w:firstColumn="1" w:lastColumn="0" w:oddVBand="0" w:evenVBand="0" w:oddHBand="0" w:evenHBand="0" w:firstRowFirstColumn="0" w:firstRowLastColumn="0" w:lastRowFirstColumn="0" w:lastRowLastColumn="0"/>
            <w:tcW w:w="0" w:type="auto"/>
            <w:vAlign w:val="center"/>
          </w:tcPr>
          <w:p w14:paraId="040B7030" w14:textId="11B2D89A" w:rsidR="00BA2A4D" w:rsidRPr="00E20061" w:rsidRDefault="00BA2A4D" w:rsidP="00E20061">
            <w:pPr>
              <w:jc w:val="left"/>
            </w:pPr>
            <w:r>
              <w:t>Gestion des déchets</w:t>
            </w:r>
          </w:p>
        </w:tc>
        <w:tc>
          <w:tcPr>
            <w:tcW w:w="0" w:type="auto"/>
            <w:vAlign w:val="center"/>
            <w:hideMark/>
          </w:tcPr>
          <w:p w14:paraId="7E19A9B8" w14:textId="6A421423" w:rsidR="00BA2A4D" w:rsidRPr="00E20061" w:rsidRDefault="00BA2A4D" w:rsidP="004637C7">
            <w:pPr>
              <w:jc w:val="left"/>
              <w:cnfStyle w:val="000000000000" w:firstRow="0" w:lastRow="0" w:firstColumn="0" w:lastColumn="0" w:oddVBand="0" w:evenVBand="0" w:oddHBand="0" w:evenHBand="0" w:firstRowFirstColumn="0" w:firstRowLastColumn="0" w:lastRowFirstColumn="0" w:lastRowLastColumn="0"/>
            </w:pPr>
            <w:r w:rsidRPr="00E20061">
              <w:t>Suivre la gestion et l’élimination des déchets solides et dangereux</w:t>
            </w:r>
          </w:p>
        </w:tc>
        <w:tc>
          <w:tcPr>
            <w:tcW w:w="0" w:type="auto"/>
            <w:vAlign w:val="center"/>
            <w:hideMark/>
          </w:tcPr>
          <w:p w14:paraId="3990E9A9" w14:textId="77777777" w:rsidR="00BA2A4D" w:rsidRPr="00E20061" w:rsidRDefault="00BA2A4D" w:rsidP="004637C7">
            <w:pPr>
              <w:jc w:val="left"/>
              <w:cnfStyle w:val="000000000000" w:firstRow="0" w:lastRow="0" w:firstColumn="0" w:lastColumn="0" w:oddVBand="0" w:evenVBand="0" w:oddHBand="0" w:evenHBand="0" w:firstRowFirstColumn="0" w:firstRowLastColumn="0" w:lastRowFirstColumn="0" w:lastRowLastColumn="0"/>
            </w:pPr>
            <w:r w:rsidRPr="00E20061">
              <w:t>Zone de stockage temporaire, aire de tri</w:t>
            </w:r>
          </w:p>
        </w:tc>
        <w:tc>
          <w:tcPr>
            <w:tcW w:w="0" w:type="auto"/>
            <w:vAlign w:val="center"/>
            <w:hideMark/>
          </w:tcPr>
          <w:p w14:paraId="0760CEF1" w14:textId="77777777" w:rsidR="00BA2A4D" w:rsidRPr="00E20061" w:rsidRDefault="00BA2A4D" w:rsidP="004637C7">
            <w:pPr>
              <w:jc w:val="left"/>
              <w:cnfStyle w:val="000000000000" w:firstRow="0" w:lastRow="0" w:firstColumn="0" w:lastColumn="0" w:oddVBand="0" w:evenVBand="0" w:oddHBand="0" w:evenHBand="0" w:firstRowFirstColumn="0" w:firstRowLastColumn="0" w:lastRowFirstColumn="0" w:lastRowLastColumn="0"/>
            </w:pPr>
            <w:r w:rsidRPr="00E20061">
              <w:t>Registre, bordereaux de suivi et inspection</w:t>
            </w:r>
          </w:p>
        </w:tc>
        <w:tc>
          <w:tcPr>
            <w:tcW w:w="0" w:type="auto"/>
            <w:vAlign w:val="center"/>
            <w:hideMark/>
          </w:tcPr>
          <w:p w14:paraId="27EF9F29" w14:textId="77777777" w:rsidR="00BA2A4D" w:rsidRPr="00E20061" w:rsidRDefault="00BA2A4D" w:rsidP="004637C7">
            <w:pPr>
              <w:jc w:val="left"/>
              <w:cnfStyle w:val="000000000000" w:firstRow="0" w:lastRow="0" w:firstColumn="0" w:lastColumn="0" w:oddVBand="0" w:evenVBand="0" w:oddHBand="0" w:evenHBand="0" w:firstRowFirstColumn="0" w:firstRowLastColumn="0" w:lastRowFirstColumn="0" w:lastRowLastColumn="0"/>
            </w:pPr>
            <w:r w:rsidRPr="00E20061">
              <w:t>Hebdomadaire</w:t>
            </w:r>
          </w:p>
        </w:tc>
        <w:tc>
          <w:tcPr>
            <w:tcW w:w="0" w:type="auto"/>
            <w:vAlign w:val="center"/>
            <w:hideMark/>
          </w:tcPr>
          <w:p w14:paraId="2EB9B6CC" w14:textId="77777777" w:rsidR="00BA2A4D" w:rsidRPr="00E20061" w:rsidRDefault="00BA2A4D" w:rsidP="004637C7">
            <w:pPr>
              <w:jc w:val="left"/>
              <w:cnfStyle w:val="000000000000" w:firstRow="0" w:lastRow="0" w:firstColumn="0" w:lastColumn="0" w:oddVBand="0" w:evenVBand="0" w:oddHBand="0" w:evenHBand="0" w:firstRowFirstColumn="0" w:firstRowLastColumn="0" w:lastRowFirstColumn="0" w:lastRowLastColumn="0"/>
            </w:pPr>
            <w:r w:rsidRPr="00E20061">
              <w:t>Contrôler la conformité au plan de gestion des déchets et éviter les dépôts sauvages</w:t>
            </w:r>
          </w:p>
        </w:tc>
        <w:tc>
          <w:tcPr>
            <w:tcW w:w="0" w:type="auto"/>
            <w:vAlign w:val="center"/>
            <w:hideMark/>
          </w:tcPr>
          <w:p w14:paraId="25A66DDA" w14:textId="77777777" w:rsidR="00BA2A4D" w:rsidRPr="00E20061" w:rsidRDefault="00BA2A4D" w:rsidP="004637C7">
            <w:pPr>
              <w:jc w:val="left"/>
              <w:cnfStyle w:val="000000000000" w:firstRow="0" w:lastRow="0" w:firstColumn="0" w:lastColumn="0" w:oddVBand="0" w:evenVBand="0" w:oddHBand="0" w:evenHBand="0" w:firstRowFirstColumn="0" w:firstRowLastColumn="0" w:lastRowFirstColumn="0" w:lastRowLastColumn="0"/>
            </w:pPr>
            <w:r w:rsidRPr="00E20061">
              <w:t>Inclus dans contrat EPC</w:t>
            </w:r>
          </w:p>
        </w:tc>
        <w:tc>
          <w:tcPr>
            <w:tcW w:w="0" w:type="auto"/>
            <w:vAlign w:val="center"/>
            <w:hideMark/>
          </w:tcPr>
          <w:p w14:paraId="7CD11171" w14:textId="62F2600D" w:rsidR="00BA2A4D" w:rsidRPr="00E20061" w:rsidRDefault="00BA2A4D" w:rsidP="004637C7">
            <w:pPr>
              <w:jc w:val="left"/>
              <w:cnfStyle w:val="000000000000" w:firstRow="0" w:lastRow="0" w:firstColumn="0" w:lastColumn="0" w:oddVBand="0" w:evenVBand="0" w:oddHBand="0" w:evenHBand="0" w:firstRowFirstColumn="0" w:firstRowLastColumn="0" w:lastRowFirstColumn="0" w:lastRowLastColumn="0"/>
            </w:pPr>
            <w:r w:rsidRPr="00E20061">
              <w:t xml:space="preserve">EPC </w:t>
            </w:r>
          </w:p>
        </w:tc>
      </w:tr>
      <w:tr w:rsidR="00BA2A4D" w:rsidRPr="00F37F43" w14:paraId="6D8E842E" w14:textId="77777777" w:rsidTr="00BA2A4D">
        <w:tc>
          <w:tcPr>
            <w:cnfStyle w:val="001000000000" w:firstRow="0" w:lastRow="0" w:firstColumn="1" w:lastColumn="0" w:oddVBand="0" w:evenVBand="0" w:oddHBand="0" w:evenHBand="0" w:firstRowFirstColumn="0" w:firstRowLastColumn="0" w:lastRowFirstColumn="0" w:lastRowLastColumn="0"/>
            <w:tcW w:w="0" w:type="auto"/>
            <w:vAlign w:val="center"/>
          </w:tcPr>
          <w:p w14:paraId="16176DB9" w14:textId="72AE39B4" w:rsidR="00BA2A4D" w:rsidRPr="00E20061" w:rsidRDefault="00BA2A4D" w:rsidP="00E20061">
            <w:pPr>
              <w:jc w:val="left"/>
            </w:pPr>
            <w:r>
              <w:t>Santé et Sécurité des travailleurs</w:t>
            </w:r>
          </w:p>
        </w:tc>
        <w:tc>
          <w:tcPr>
            <w:tcW w:w="0" w:type="auto"/>
            <w:vAlign w:val="center"/>
            <w:hideMark/>
          </w:tcPr>
          <w:p w14:paraId="70B34975" w14:textId="45DBA360" w:rsidR="00BA2A4D" w:rsidRPr="00E20061" w:rsidRDefault="00BA2A4D" w:rsidP="004637C7">
            <w:pPr>
              <w:jc w:val="left"/>
              <w:cnfStyle w:val="000000000000" w:firstRow="0" w:lastRow="0" w:firstColumn="0" w:lastColumn="0" w:oddVBand="0" w:evenVBand="0" w:oddHBand="0" w:evenHBand="0" w:firstRowFirstColumn="0" w:firstRowLastColumn="0" w:lastRowFirstColumn="0" w:lastRowLastColumn="0"/>
            </w:pPr>
            <w:r w:rsidRPr="00E20061">
              <w:t>Contrôler les conditions de travail et la sécurité (EPI, incidents, formations)</w:t>
            </w:r>
          </w:p>
        </w:tc>
        <w:tc>
          <w:tcPr>
            <w:tcW w:w="0" w:type="auto"/>
            <w:vAlign w:val="center"/>
            <w:hideMark/>
          </w:tcPr>
          <w:p w14:paraId="2915F787" w14:textId="77777777" w:rsidR="00BA2A4D" w:rsidRPr="00E20061" w:rsidRDefault="00BA2A4D" w:rsidP="004637C7">
            <w:pPr>
              <w:jc w:val="left"/>
              <w:cnfStyle w:val="000000000000" w:firstRow="0" w:lastRow="0" w:firstColumn="0" w:lastColumn="0" w:oddVBand="0" w:evenVBand="0" w:oddHBand="0" w:evenHBand="0" w:firstRowFirstColumn="0" w:firstRowLastColumn="0" w:lastRowFirstColumn="0" w:lastRowLastColumn="0"/>
            </w:pPr>
            <w:r w:rsidRPr="00E20061">
              <w:t>L’ensemble du chantier</w:t>
            </w:r>
          </w:p>
        </w:tc>
        <w:tc>
          <w:tcPr>
            <w:tcW w:w="0" w:type="auto"/>
            <w:vAlign w:val="center"/>
            <w:hideMark/>
          </w:tcPr>
          <w:p w14:paraId="4AC5D0C8" w14:textId="77777777" w:rsidR="00BA2A4D" w:rsidRPr="00E20061" w:rsidRDefault="00BA2A4D" w:rsidP="004637C7">
            <w:pPr>
              <w:jc w:val="left"/>
              <w:cnfStyle w:val="000000000000" w:firstRow="0" w:lastRow="0" w:firstColumn="0" w:lastColumn="0" w:oddVBand="0" w:evenVBand="0" w:oddHBand="0" w:evenHBand="0" w:firstRowFirstColumn="0" w:firstRowLastColumn="0" w:lastRowFirstColumn="0" w:lastRowLastColumn="0"/>
            </w:pPr>
            <w:r w:rsidRPr="00E20061">
              <w:t xml:space="preserve">Audit sécurité, fiches d’inspection, </w:t>
            </w:r>
            <w:r w:rsidRPr="00E20061">
              <w:lastRenderedPageBreak/>
              <w:t>registres d’accident</w:t>
            </w:r>
          </w:p>
        </w:tc>
        <w:tc>
          <w:tcPr>
            <w:tcW w:w="0" w:type="auto"/>
            <w:vAlign w:val="center"/>
            <w:hideMark/>
          </w:tcPr>
          <w:p w14:paraId="21E76139" w14:textId="77777777" w:rsidR="00BA2A4D" w:rsidRPr="00E20061" w:rsidRDefault="00BA2A4D" w:rsidP="004637C7">
            <w:pPr>
              <w:jc w:val="left"/>
              <w:cnfStyle w:val="000000000000" w:firstRow="0" w:lastRow="0" w:firstColumn="0" w:lastColumn="0" w:oddVBand="0" w:evenVBand="0" w:oddHBand="0" w:evenHBand="0" w:firstRowFirstColumn="0" w:firstRowLastColumn="0" w:lastRowFirstColumn="0" w:lastRowLastColumn="0"/>
            </w:pPr>
            <w:r w:rsidRPr="00E20061">
              <w:lastRenderedPageBreak/>
              <w:t>Quotidien / Hebdomadaire</w:t>
            </w:r>
          </w:p>
        </w:tc>
        <w:tc>
          <w:tcPr>
            <w:tcW w:w="0" w:type="auto"/>
            <w:vAlign w:val="center"/>
            <w:hideMark/>
          </w:tcPr>
          <w:p w14:paraId="44899602" w14:textId="77777777" w:rsidR="00BA2A4D" w:rsidRPr="00E20061" w:rsidRDefault="00BA2A4D" w:rsidP="004637C7">
            <w:pPr>
              <w:jc w:val="left"/>
              <w:cnfStyle w:val="000000000000" w:firstRow="0" w:lastRow="0" w:firstColumn="0" w:lastColumn="0" w:oddVBand="0" w:evenVBand="0" w:oddHBand="0" w:evenHBand="0" w:firstRowFirstColumn="0" w:firstRowLastColumn="0" w:lastRowFirstColumn="0" w:lastRowLastColumn="0"/>
            </w:pPr>
            <w:r w:rsidRPr="00E20061">
              <w:t>Garantir la santé et sécurité du personnel</w:t>
            </w:r>
          </w:p>
        </w:tc>
        <w:tc>
          <w:tcPr>
            <w:tcW w:w="0" w:type="auto"/>
            <w:vAlign w:val="center"/>
            <w:hideMark/>
          </w:tcPr>
          <w:p w14:paraId="6D4C9D72" w14:textId="77777777" w:rsidR="00BA2A4D" w:rsidRPr="00E20061" w:rsidRDefault="00BA2A4D" w:rsidP="004637C7">
            <w:pPr>
              <w:jc w:val="left"/>
              <w:cnfStyle w:val="000000000000" w:firstRow="0" w:lastRow="0" w:firstColumn="0" w:lastColumn="0" w:oddVBand="0" w:evenVBand="0" w:oddHBand="0" w:evenHBand="0" w:firstRowFirstColumn="0" w:firstRowLastColumn="0" w:lastRowFirstColumn="0" w:lastRowLastColumn="0"/>
            </w:pPr>
            <w:r w:rsidRPr="00E20061">
              <w:t>Inclus dans budget HSSE</w:t>
            </w:r>
          </w:p>
        </w:tc>
        <w:tc>
          <w:tcPr>
            <w:tcW w:w="0" w:type="auto"/>
            <w:vAlign w:val="center"/>
            <w:hideMark/>
          </w:tcPr>
          <w:p w14:paraId="2F410CA3" w14:textId="075BCD29" w:rsidR="00BA2A4D" w:rsidRPr="00E20061" w:rsidRDefault="00BA2A4D" w:rsidP="004637C7">
            <w:pPr>
              <w:jc w:val="left"/>
              <w:cnfStyle w:val="000000000000" w:firstRow="0" w:lastRow="0" w:firstColumn="0" w:lastColumn="0" w:oddVBand="0" w:evenVBand="0" w:oddHBand="0" w:evenHBand="0" w:firstRowFirstColumn="0" w:firstRowLastColumn="0" w:lastRowFirstColumn="0" w:lastRowLastColumn="0"/>
            </w:pPr>
            <w:r w:rsidRPr="00E20061">
              <w:t xml:space="preserve">EPC </w:t>
            </w:r>
          </w:p>
        </w:tc>
      </w:tr>
      <w:tr w:rsidR="00BA2A4D" w:rsidRPr="00712B57" w14:paraId="50DBABB4" w14:textId="77777777" w:rsidTr="00BA2A4D">
        <w:tc>
          <w:tcPr>
            <w:cnfStyle w:val="001000000000" w:firstRow="0" w:lastRow="0" w:firstColumn="1" w:lastColumn="0" w:oddVBand="0" w:evenVBand="0" w:oddHBand="0" w:evenHBand="0" w:firstRowFirstColumn="0" w:firstRowLastColumn="0" w:lastRowFirstColumn="0" w:lastRowLastColumn="0"/>
            <w:tcW w:w="0" w:type="auto"/>
            <w:vAlign w:val="center"/>
          </w:tcPr>
          <w:p w14:paraId="71346B4D" w14:textId="76BBC616" w:rsidR="00BA2A4D" w:rsidRPr="00E20061" w:rsidRDefault="00BA2A4D" w:rsidP="00E20061">
            <w:pPr>
              <w:jc w:val="left"/>
            </w:pPr>
            <w:r>
              <w:lastRenderedPageBreak/>
              <w:t>Milieu naturel</w:t>
            </w:r>
          </w:p>
        </w:tc>
        <w:tc>
          <w:tcPr>
            <w:tcW w:w="0" w:type="auto"/>
            <w:vAlign w:val="center"/>
            <w:hideMark/>
          </w:tcPr>
          <w:p w14:paraId="0F71D70B" w14:textId="1BD90F80" w:rsidR="00BA2A4D" w:rsidRPr="00E20061" w:rsidRDefault="00BA2A4D" w:rsidP="004637C7">
            <w:pPr>
              <w:jc w:val="left"/>
              <w:cnfStyle w:val="000000000000" w:firstRow="0" w:lastRow="0" w:firstColumn="0" w:lastColumn="0" w:oddVBand="0" w:evenVBand="0" w:oddHBand="0" w:evenHBand="0" w:firstRowFirstColumn="0" w:firstRowLastColumn="0" w:lastRowFirstColumn="0" w:lastRowLastColumn="0"/>
            </w:pPr>
            <w:r w:rsidRPr="004637C7">
              <w:t>Surveiller la faune, la flore et les habitats dans et autour du chantier (milieu biologique)</w:t>
            </w:r>
          </w:p>
        </w:tc>
        <w:tc>
          <w:tcPr>
            <w:tcW w:w="0" w:type="auto"/>
            <w:vAlign w:val="center"/>
            <w:hideMark/>
          </w:tcPr>
          <w:p w14:paraId="1D537E11" w14:textId="77777777" w:rsidR="00BA2A4D" w:rsidRPr="00E20061" w:rsidRDefault="00BA2A4D" w:rsidP="004637C7">
            <w:pPr>
              <w:jc w:val="left"/>
              <w:cnfStyle w:val="000000000000" w:firstRow="0" w:lastRow="0" w:firstColumn="0" w:lastColumn="0" w:oddVBand="0" w:evenVBand="0" w:oddHBand="0" w:evenHBand="0" w:firstRowFirstColumn="0" w:firstRowLastColumn="0" w:lastRowFirstColumn="0" w:lastRowLastColumn="0"/>
            </w:pPr>
            <w:r w:rsidRPr="00E20061">
              <w:t>Zones périphériques du chantier, emprises non terrassées</w:t>
            </w:r>
          </w:p>
        </w:tc>
        <w:tc>
          <w:tcPr>
            <w:tcW w:w="0" w:type="auto"/>
            <w:vAlign w:val="center"/>
            <w:hideMark/>
          </w:tcPr>
          <w:p w14:paraId="27180714" w14:textId="77777777" w:rsidR="00BA2A4D" w:rsidRPr="00E20061" w:rsidRDefault="00BA2A4D" w:rsidP="004637C7">
            <w:pPr>
              <w:jc w:val="left"/>
              <w:cnfStyle w:val="000000000000" w:firstRow="0" w:lastRow="0" w:firstColumn="0" w:lastColumn="0" w:oddVBand="0" w:evenVBand="0" w:oddHBand="0" w:evenHBand="0" w:firstRowFirstColumn="0" w:firstRowLastColumn="0" w:lastRowFirstColumn="0" w:lastRowLastColumn="0"/>
            </w:pPr>
            <w:r w:rsidRPr="00E20061">
              <w:t>Inspections visuelles, fiches d’observation, photo-tracking</w:t>
            </w:r>
          </w:p>
        </w:tc>
        <w:tc>
          <w:tcPr>
            <w:tcW w:w="0" w:type="auto"/>
            <w:vAlign w:val="center"/>
            <w:hideMark/>
          </w:tcPr>
          <w:p w14:paraId="5FD446E2" w14:textId="77777777" w:rsidR="00BA2A4D" w:rsidRPr="00E20061" w:rsidRDefault="00BA2A4D" w:rsidP="004637C7">
            <w:pPr>
              <w:jc w:val="left"/>
              <w:cnfStyle w:val="000000000000" w:firstRow="0" w:lastRow="0" w:firstColumn="0" w:lastColumn="0" w:oddVBand="0" w:evenVBand="0" w:oddHBand="0" w:evenHBand="0" w:firstRowFirstColumn="0" w:firstRowLastColumn="0" w:lastRowFirstColumn="0" w:lastRowLastColumn="0"/>
            </w:pPr>
            <w:r w:rsidRPr="004637C7">
              <w:t>Saisonnière et avant chaque phase majeure de travaux (terrassement, éclairage, circulation aérienne)</w:t>
            </w:r>
          </w:p>
        </w:tc>
        <w:tc>
          <w:tcPr>
            <w:tcW w:w="0" w:type="auto"/>
            <w:vAlign w:val="center"/>
            <w:hideMark/>
          </w:tcPr>
          <w:p w14:paraId="6DB023EA" w14:textId="77777777" w:rsidR="00BA2A4D" w:rsidRPr="00E20061" w:rsidRDefault="00BA2A4D" w:rsidP="004637C7">
            <w:pPr>
              <w:jc w:val="left"/>
              <w:cnfStyle w:val="000000000000" w:firstRow="0" w:lastRow="0" w:firstColumn="0" w:lastColumn="0" w:oddVBand="0" w:evenVBand="0" w:oddHBand="0" w:evenHBand="0" w:firstRowFirstColumn="0" w:firstRowLastColumn="0" w:lastRowFirstColumn="0" w:lastRowLastColumn="0"/>
            </w:pPr>
            <w:r w:rsidRPr="004637C7">
              <w:t>Vérifier qu’aucune perturbation significative de la faune locale (oiseaux, reptiles) ou destruction d’habitats n’intervient durant les travaux</w:t>
            </w:r>
          </w:p>
        </w:tc>
        <w:tc>
          <w:tcPr>
            <w:tcW w:w="0" w:type="auto"/>
            <w:vAlign w:val="center"/>
            <w:hideMark/>
          </w:tcPr>
          <w:p w14:paraId="195EC3B8" w14:textId="77777777" w:rsidR="00BA2A4D" w:rsidRPr="00E20061" w:rsidRDefault="00BA2A4D" w:rsidP="004637C7">
            <w:pPr>
              <w:jc w:val="left"/>
              <w:cnfStyle w:val="000000000000" w:firstRow="0" w:lastRow="0" w:firstColumn="0" w:lastColumn="0" w:oddVBand="0" w:evenVBand="0" w:oddHBand="0" w:evenHBand="0" w:firstRowFirstColumn="0" w:firstRowLastColumn="0" w:lastRowFirstColumn="0" w:lastRowLastColumn="0"/>
            </w:pPr>
            <w:r w:rsidRPr="00E20061">
              <w:t>Inclus dans AMO environnementale</w:t>
            </w:r>
          </w:p>
        </w:tc>
        <w:tc>
          <w:tcPr>
            <w:tcW w:w="0" w:type="auto"/>
            <w:vAlign w:val="center"/>
            <w:hideMark/>
          </w:tcPr>
          <w:p w14:paraId="6387191F" w14:textId="0EE2AB97" w:rsidR="00BA2A4D" w:rsidRPr="004637C7" w:rsidRDefault="00766AF5" w:rsidP="004637C7">
            <w:pPr>
              <w:jc w:val="left"/>
              <w:cnfStyle w:val="000000000000" w:firstRow="0" w:lastRow="0" w:firstColumn="0" w:lastColumn="0" w:oddVBand="0" w:evenVBand="0" w:oddHBand="0" w:evenHBand="0" w:firstRowFirstColumn="0" w:firstRowLastColumn="0" w:lastRowFirstColumn="0" w:lastRowLastColumn="0"/>
              <w:rPr>
                <w:lang w:val="en-US"/>
              </w:rPr>
            </w:pPr>
            <w:r>
              <w:rPr>
                <w:lang w:val="en-US"/>
              </w:rPr>
              <w:t>EPC</w:t>
            </w:r>
          </w:p>
        </w:tc>
      </w:tr>
      <w:tr w:rsidR="00BA2A4D" w:rsidRPr="00712B57" w14:paraId="2A719B18" w14:textId="77777777" w:rsidTr="00BA2A4D">
        <w:tc>
          <w:tcPr>
            <w:cnfStyle w:val="001000000000" w:firstRow="0" w:lastRow="0" w:firstColumn="1" w:lastColumn="0" w:oddVBand="0" w:evenVBand="0" w:oddHBand="0" w:evenHBand="0" w:firstRowFirstColumn="0" w:firstRowLastColumn="0" w:lastRowFirstColumn="0" w:lastRowLastColumn="0"/>
            <w:tcW w:w="0" w:type="auto"/>
            <w:vAlign w:val="center"/>
          </w:tcPr>
          <w:p w14:paraId="01251A96" w14:textId="427CB95B" w:rsidR="00BA2A4D" w:rsidRPr="00E20061" w:rsidRDefault="00BA2A4D" w:rsidP="00E20061">
            <w:pPr>
              <w:jc w:val="left"/>
            </w:pPr>
            <w:r>
              <w:t>Gestion des plaintes</w:t>
            </w:r>
          </w:p>
        </w:tc>
        <w:tc>
          <w:tcPr>
            <w:tcW w:w="0" w:type="auto"/>
            <w:vAlign w:val="center"/>
            <w:hideMark/>
          </w:tcPr>
          <w:p w14:paraId="1656F262" w14:textId="030565F5" w:rsidR="00BA2A4D" w:rsidRPr="00E20061" w:rsidRDefault="00BA2A4D" w:rsidP="004637C7">
            <w:pPr>
              <w:jc w:val="left"/>
              <w:cnfStyle w:val="000000000000" w:firstRow="0" w:lastRow="0" w:firstColumn="0" w:lastColumn="0" w:oddVBand="0" w:evenVBand="0" w:oddHBand="0" w:evenHBand="0" w:firstRowFirstColumn="0" w:firstRowLastColumn="0" w:lastRowFirstColumn="0" w:lastRowLastColumn="0"/>
            </w:pPr>
            <w:r w:rsidRPr="00E20061">
              <w:t>Suivre les interactions sociales et plaintes communautaires</w:t>
            </w:r>
          </w:p>
        </w:tc>
        <w:tc>
          <w:tcPr>
            <w:tcW w:w="0" w:type="auto"/>
            <w:vAlign w:val="center"/>
            <w:hideMark/>
          </w:tcPr>
          <w:p w14:paraId="209D52D9" w14:textId="77777777" w:rsidR="00BA2A4D" w:rsidRPr="00E20061" w:rsidRDefault="00BA2A4D" w:rsidP="004637C7">
            <w:pPr>
              <w:jc w:val="left"/>
              <w:cnfStyle w:val="000000000000" w:firstRow="0" w:lastRow="0" w:firstColumn="0" w:lastColumn="0" w:oddVBand="0" w:evenVBand="0" w:oddHBand="0" w:evenHBand="0" w:firstRowFirstColumn="0" w:firstRowLastColumn="0" w:lastRowFirstColumn="0" w:lastRowLastColumn="0"/>
            </w:pPr>
            <w:r w:rsidRPr="00E20061">
              <w:t>Communes voisines, accès au chantier</w:t>
            </w:r>
          </w:p>
        </w:tc>
        <w:tc>
          <w:tcPr>
            <w:tcW w:w="0" w:type="auto"/>
            <w:vAlign w:val="center"/>
            <w:hideMark/>
          </w:tcPr>
          <w:p w14:paraId="4E801FFB" w14:textId="77777777" w:rsidR="00BA2A4D" w:rsidRPr="00E20061" w:rsidRDefault="00BA2A4D" w:rsidP="004637C7">
            <w:pPr>
              <w:jc w:val="left"/>
              <w:cnfStyle w:val="000000000000" w:firstRow="0" w:lastRow="0" w:firstColumn="0" w:lastColumn="0" w:oddVBand="0" w:evenVBand="0" w:oddHBand="0" w:evenHBand="0" w:firstRowFirstColumn="0" w:firstRowLastColumn="0" w:lastRowFirstColumn="0" w:lastRowLastColumn="0"/>
            </w:pPr>
            <w:r w:rsidRPr="00E20061">
              <w:t>Registre du Mécanisme de Gestion des Plaintes (MGP)</w:t>
            </w:r>
          </w:p>
        </w:tc>
        <w:tc>
          <w:tcPr>
            <w:tcW w:w="0" w:type="auto"/>
            <w:vAlign w:val="center"/>
            <w:hideMark/>
          </w:tcPr>
          <w:p w14:paraId="2457AF29" w14:textId="77777777" w:rsidR="00BA2A4D" w:rsidRPr="00E20061" w:rsidRDefault="00BA2A4D" w:rsidP="004637C7">
            <w:pPr>
              <w:jc w:val="left"/>
              <w:cnfStyle w:val="000000000000" w:firstRow="0" w:lastRow="0" w:firstColumn="0" w:lastColumn="0" w:oddVBand="0" w:evenVBand="0" w:oddHBand="0" w:evenHBand="0" w:firstRowFirstColumn="0" w:firstRowLastColumn="0" w:lastRowFirstColumn="0" w:lastRowLastColumn="0"/>
            </w:pPr>
            <w:r w:rsidRPr="00E20061">
              <w:t>Continu / revue trimestrielle</w:t>
            </w:r>
          </w:p>
        </w:tc>
        <w:tc>
          <w:tcPr>
            <w:tcW w:w="0" w:type="auto"/>
            <w:vAlign w:val="center"/>
            <w:hideMark/>
          </w:tcPr>
          <w:p w14:paraId="52E77C9A" w14:textId="77777777" w:rsidR="00BA2A4D" w:rsidRPr="00E20061" w:rsidRDefault="00BA2A4D" w:rsidP="004637C7">
            <w:pPr>
              <w:jc w:val="left"/>
              <w:cnfStyle w:val="000000000000" w:firstRow="0" w:lastRow="0" w:firstColumn="0" w:lastColumn="0" w:oddVBand="0" w:evenVBand="0" w:oddHBand="0" w:evenHBand="0" w:firstRowFirstColumn="0" w:firstRowLastColumn="0" w:lastRowFirstColumn="0" w:lastRowLastColumn="0"/>
            </w:pPr>
            <w:r w:rsidRPr="00E20061">
              <w:t>Assurer la bonne relation avec les communautés et réduire les tensions sociales</w:t>
            </w:r>
          </w:p>
        </w:tc>
        <w:tc>
          <w:tcPr>
            <w:tcW w:w="0" w:type="auto"/>
            <w:vAlign w:val="center"/>
            <w:hideMark/>
          </w:tcPr>
          <w:p w14:paraId="15A40F71" w14:textId="77777777" w:rsidR="00BA2A4D" w:rsidRPr="00E20061" w:rsidRDefault="00BA2A4D" w:rsidP="004637C7">
            <w:pPr>
              <w:jc w:val="left"/>
              <w:cnfStyle w:val="000000000000" w:firstRow="0" w:lastRow="0" w:firstColumn="0" w:lastColumn="0" w:oddVBand="0" w:evenVBand="0" w:oddHBand="0" w:evenHBand="0" w:firstRowFirstColumn="0" w:firstRowLastColumn="0" w:lastRowFirstColumn="0" w:lastRowLastColumn="0"/>
            </w:pPr>
            <w:r w:rsidRPr="00E20061">
              <w:t>Négligeable</w:t>
            </w:r>
          </w:p>
        </w:tc>
        <w:tc>
          <w:tcPr>
            <w:tcW w:w="0" w:type="auto"/>
            <w:vAlign w:val="center"/>
            <w:hideMark/>
          </w:tcPr>
          <w:p w14:paraId="51F12051" w14:textId="4ABD009F" w:rsidR="00BA2A4D" w:rsidRPr="004637C7" w:rsidRDefault="00BA2A4D" w:rsidP="004637C7">
            <w:pPr>
              <w:jc w:val="left"/>
              <w:cnfStyle w:val="000000000000" w:firstRow="0" w:lastRow="0" w:firstColumn="0" w:lastColumn="0" w:oddVBand="0" w:evenVBand="0" w:oddHBand="0" w:evenHBand="0" w:firstRowFirstColumn="0" w:firstRowLastColumn="0" w:lastRowFirstColumn="0" w:lastRowLastColumn="0"/>
              <w:rPr>
                <w:lang w:val="en-US"/>
              </w:rPr>
            </w:pPr>
            <w:r w:rsidRPr="004637C7">
              <w:rPr>
                <w:lang w:val="en-US"/>
              </w:rPr>
              <w:t xml:space="preserve">ONDA </w:t>
            </w:r>
          </w:p>
        </w:tc>
      </w:tr>
      <w:tr w:rsidR="00BA2A4D" w:rsidRPr="00F37F43" w14:paraId="224E040E" w14:textId="77777777" w:rsidTr="00BA2A4D">
        <w:tc>
          <w:tcPr>
            <w:cnfStyle w:val="001000000000" w:firstRow="0" w:lastRow="0" w:firstColumn="1" w:lastColumn="0" w:oddVBand="0" w:evenVBand="0" w:oddHBand="0" w:evenHBand="0" w:firstRowFirstColumn="0" w:firstRowLastColumn="0" w:lastRowFirstColumn="0" w:lastRowLastColumn="0"/>
            <w:tcW w:w="0" w:type="auto"/>
            <w:vAlign w:val="center"/>
          </w:tcPr>
          <w:p w14:paraId="5DB90FC1" w14:textId="3D03312C" w:rsidR="00BA2A4D" w:rsidRPr="00E20061" w:rsidRDefault="00BA2A4D" w:rsidP="00E20061">
            <w:pPr>
              <w:jc w:val="left"/>
            </w:pPr>
            <w:r>
              <w:t>Trafic routier</w:t>
            </w:r>
          </w:p>
        </w:tc>
        <w:tc>
          <w:tcPr>
            <w:tcW w:w="0" w:type="auto"/>
            <w:vAlign w:val="center"/>
            <w:hideMark/>
          </w:tcPr>
          <w:p w14:paraId="6357AF20" w14:textId="077990EA" w:rsidR="00BA2A4D" w:rsidRPr="00E20061" w:rsidRDefault="00BA2A4D" w:rsidP="004637C7">
            <w:pPr>
              <w:jc w:val="left"/>
              <w:cnfStyle w:val="000000000000" w:firstRow="0" w:lastRow="0" w:firstColumn="0" w:lastColumn="0" w:oddVBand="0" w:evenVBand="0" w:oddHBand="0" w:evenHBand="0" w:firstRowFirstColumn="0" w:firstRowLastColumn="0" w:lastRowFirstColumn="0" w:lastRowLastColumn="0"/>
            </w:pPr>
            <w:r w:rsidRPr="00E20061">
              <w:t>Contrôler le trafic et la sécurité routière liés au chantier</w:t>
            </w:r>
          </w:p>
        </w:tc>
        <w:tc>
          <w:tcPr>
            <w:tcW w:w="0" w:type="auto"/>
            <w:vAlign w:val="center"/>
            <w:hideMark/>
          </w:tcPr>
          <w:p w14:paraId="35E63C70" w14:textId="77777777" w:rsidR="00BA2A4D" w:rsidRPr="00E20061" w:rsidRDefault="00BA2A4D" w:rsidP="004637C7">
            <w:pPr>
              <w:jc w:val="left"/>
              <w:cnfStyle w:val="000000000000" w:firstRow="0" w:lastRow="0" w:firstColumn="0" w:lastColumn="0" w:oddVBand="0" w:evenVBand="0" w:oddHBand="0" w:evenHBand="0" w:firstRowFirstColumn="0" w:firstRowLastColumn="0" w:lastRowFirstColumn="0" w:lastRowLastColumn="0"/>
            </w:pPr>
            <w:r w:rsidRPr="00E20061">
              <w:t>Voies d’accès et périmètre de l’aéroport</w:t>
            </w:r>
          </w:p>
        </w:tc>
        <w:tc>
          <w:tcPr>
            <w:tcW w:w="0" w:type="auto"/>
            <w:vAlign w:val="center"/>
            <w:hideMark/>
          </w:tcPr>
          <w:p w14:paraId="5CA9580C" w14:textId="77777777" w:rsidR="00BA2A4D" w:rsidRPr="00E20061" w:rsidRDefault="00BA2A4D" w:rsidP="004637C7">
            <w:pPr>
              <w:jc w:val="left"/>
              <w:cnfStyle w:val="000000000000" w:firstRow="0" w:lastRow="0" w:firstColumn="0" w:lastColumn="0" w:oddVBand="0" w:evenVBand="0" w:oddHBand="0" w:evenHBand="0" w:firstRowFirstColumn="0" w:firstRowLastColumn="0" w:lastRowFirstColumn="0" w:lastRowLastColumn="0"/>
            </w:pPr>
            <w:r w:rsidRPr="00E20061">
              <w:t>Comptage visuel, contrôle signalisation et vitesse</w:t>
            </w:r>
          </w:p>
        </w:tc>
        <w:tc>
          <w:tcPr>
            <w:tcW w:w="0" w:type="auto"/>
            <w:vAlign w:val="center"/>
            <w:hideMark/>
          </w:tcPr>
          <w:p w14:paraId="67A3A983" w14:textId="77777777" w:rsidR="00BA2A4D" w:rsidRPr="00E20061" w:rsidRDefault="00BA2A4D" w:rsidP="004637C7">
            <w:pPr>
              <w:jc w:val="left"/>
              <w:cnfStyle w:val="000000000000" w:firstRow="0" w:lastRow="0" w:firstColumn="0" w:lastColumn="0" w:oddVBand="0" w:evenVBand="0" w:oddHBand="0" w:evenHBand="0" w:firstRowFirstColumn="0" w:firstRowLastColumn="0" w:lastRowFirstColumn="0" w:lastRowLastColumn="0"/>
            </w:pPr>
            <w:r w:rsidRPr="00E20061">
              <w:t>Hebdomadaire</w:t>
            </w:r>
          </w:p>
        </w:tc>
        <w:tc>
          <w:tcPr>
            <w:tcW w:w="0" w:type="auto"/>
            <w:vAlign w:val="center"/>
            <w:hideMark/>
          </w:tcPr>
          <w:p w14:paraId="0CAAE8AD" w14:textId="77777777" w:rsidR="00BA2A4D" w:rsidRPr="00E20061" w:rsidRDefault="00BA2A4D" w:rsidP="004637C7">
            <w:pPr>
              <w:jc w:val="left"/>
              <w:cnfStyle w:val="000000000000" w:firstRow="0" w:lastRow="0" w:firstColumn="0" w:lastColumn="0" w:oddVBand="0" w:evenVBand="0" w:oddHBand="0" w:evenHBand="0" w:firstRowFirstColumn="0" w:firstRowLastColumn="0" w:lastRowFirstColumn="0" w:lastRowLastColumn="0"/>
            </w:pPr>
            <w:r w:rsidRPr="00E20061">
              <w:t>Limiter les risques d’accident et la congestion</w:t>
            </w:r>
          </w:p>
        </w:tc>
        <w:tc>
          <w:tcPr>
            <w:tcW w:w="0" w:type="auto"/>
            <w:vAlign w:val="center"/>
            <w:hideMark/>
          </w:tcPr>
          <w:p w14:paraId="13ACDF69" w14:textId="77777777" w:rsidR="00BA2A4D" w:rsidRPr="00E20061" w:rsidRDefault="00BA2A4D" w:rsidP="004637C7">
            <w:pPr>
              <w:jc w:val="left"/>
              <w:cnfStyle w:val="000000000000" w:firstRow="0" w:lastRow="0" w:firstColumn="0" w:lastColumn="0" w:oddVBand="0" w:evenVBand="0" w:oddHBand="0" w:evenHBand="0" w:firstRowFirstColumn="0" w:firstRowLastColumn="0" w:lastRowFirstColumn="0" w:lastRowLastColumn="0"/>
            </w:pPr>
            <w:r w:rsidRPr="00E20061">
              <w:t>Inclus dans EPC</w:t>
            </w:r>
          </w:p>
        </w:tc>
        <w:tc>
          <w:tcPr>
            <w:tcW w:w="0" w:type="auto"/>
            <w:vAlign w:val="center"/>
            <w:hideMark/>
          </w:tcPr>
          <w:p w14:paraId="6A037936" w14:textId="4FCDB05F" w:rsidR="00BA2A4D" w:rsidRPr="00E20061" w:rsidRDefault="00BA2A4D" w:rsidP="004637C7">
            <w:pPr>
              <w:jc w:val="left"/>
              <w:cnfStyle w:val="000000000000" w:firstRow="0" w:lastRow="0" w:firstColumn="0" w:lastColumn="0" w:oddVBand="0" w:evenVBand="0" w:oddHBand="0" w:evenHBand="0" w:firstRowFirstColumn="0" w:firstRowLastColumn="0" w:lastRowFirstColumn="0" w:lastRowLastColumn="0"/>
            </w:pPr>
            <w:r w:rsidRPr="00E20061">
              <w:t xml:space="preserve">EPC </w:t>
            </w:r>
          </w:p>
        </w:tc>
      </w:tr>
    </w:tbl>
    <w:p w14:paraId="27DA0181" w14:textId="05795BA7" w:rsidR="00F37F43" w:rsidRPr="00F37F43" w:rsidRDefault="00F37F43" w:rsidP="00F37F43"/>
    <w:p w14:paraId="1CE1C397" w14:textId="77777777" w:rsidR="004E045A" w:rsidRDefault="004E045A" w:rsidP="004E045A">
      <w:pPr>
        <w:pStyle w:val="Lgende"/>
        <w:jc w:val="both"/>
        <w:rPr>
          <w:lang w:val="fr-FR"/>
        </w:rPr>
      </w:pPr>
    </w:p>
    <w:p w14:paraId="0D0D68A4" w14:textId="77777777" w:rsidR="004E045A" w:rsidRDefault="004E045A" w:rsidP="004E045A">
      <w:pPr>
        <w:pStyle w:val="Lgende"/>
        <w:jc w:val="both"/>
        <w:rPr>
          <w:lang w:val="fr-FR"/>
        </w:rPr>
      </w:pPr>
    </w:p>
    <w:p w14:paraId="3CE863F7" w14:textId="77777777" w:rsidR="004E045A" w:rsidRDefault="004E045A" w:rsidP="004E045A">
      <w:pPr>
        <w:pStyle w:val="Lgende"/>
        <w:jc w:val="both"/>
        <w:rPr>
          <w:lang w:val="fr-FR"/>
        </w:rPr>
      </w:pPr>
    </w:p>
    <w:p w14:paraId="717867BC" w14:textId="01C70AA0" w:rsidR="00F37F43" w:rsidRPr="004637C7" w:rsidRDefault="00BA2A4D" w:rsidP="004E045A">
      <w:pPr>
        <w:pStyle w:val="Lgende"/>
        <w:rPr>
          <w:lang w:val="fr-FR"/>
        </w:rPr>
      </w:pPr>
      <w:bookmarkStart w:id="547" w:name="_Toc213404401"/>
      <w:r>
        <w:lastRenderedPageBreak/>
        <w:t xml:space="preserve">Tableau </w:t>
      </w:r>
      <w:r>
        <w:fldChar w:fldCharType="begin"/>
      </w:r>
      <w:r>
        <w:instrText xml:space="preserve"> SEQ Tableau \* ARABIC </w:instrText>
      </w:r>
      <w:r>
        <w:fldChar w:fldCharType="separate"/>
      </w:r>
      <w:r w:rsidR="00274E71">
        <w:rPr>
          <w:noProof/>
        </w:rPr>
        <w:t>79</w:t>
      </w:r>
      <w:r>
        <w:fldChar w:fldCharType="end"/>
      </w:r>
      <w:r>
        <w:rPr>
          <w:lang w:val="fr-FR"/>
        </w:rPr>
        <w:t xml:space="preserve"> :</w:t>
      </w:r>
      <w:r w:rsidR="00F37F43" w:rsidRPr="00F37F43">
        <w:t>Programme de suivi environnemental et social — Phase d’exploitation</w:t>
      </w:r>
      <w:bookmarkEnd w:id="547"/>
    </w:p>
    <w:tbl>
      <w:tblPr>
        <w:tblStyle w:val="TableauGrille1Clair-Accentuation111"/>
        <w:tblW w:w="0" w:type="auto"/>
        <w:tblLook w:val="04A0" w:firstRow="1" w:lastRow="0" w:firstColumn="1" w:lastColumn="0" w:noHBand="0" w:noVBand="1"/>
      </w:tblPr>
      <w:tblGrid>
        <w:gridCol w:w="1414"/>
        <w:gridCol w:w="2064"/>
        <w:gridCol w:w="1838"/>
        <w:gridCol w:w="1819"/>
        <w:gridCol w:w="1895"/>
        <w:gridCol w:w="2173"/>
        <w:gridCol w:w="1292"/>
        <w:gridCol w:w="1639"/>
      </w:tblGrid>
      <w:tr w:rsidR="00BA2A4D" w:rsidRPr="00F37F43" w14:paraId="26492221" w14:textId="77777777" w:rsidTr="004E045A">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0" w:type="auto"/>
            <w:vAlign w:val="center"/>
          </w:tcPr>
          <w:p w14:paraId="3112E319" w14:textId="1035BE29" w:rsidR="00BA2A4D" w:rsidRPr="00F37F43" w:rsidRDefault="00BA2A4D" w:rsidP="00E20061">
            <w:pPr>
              <w:jc w:val="left"/>
              <w:rPr>
                <w:b w:val="0"/>
                <w:bCs w:val="0"/>
              </w:rPr>
            </w:pPr>
            <w:r w:rsidRPr="00082C8F">
              <w:t xml:space="preserve">Aspect </w:t>
            </w:r>
          </w:p>
        </w:tc>
        <w:tc>
          <w:tcPr>
            <w:tcW w:w="0" w:type="auto"/>
            <w:vAlign w:val="center"/>
            <w:hideMark/>
          </w:tcPr>
          <w:p w14:paraId="33308824" w14:textId="33F3F536" w:rsidR="00BA2A4D" w:rsidRPr="00F37F43" w:rsidRDefault="00BA2A4D" w:rsidP="004637C7">
            <w:pPr>
              <w:jc w:val="left"/>
              <w:cnfStyle w:val="100000000000" w:firstRow="1" w:lastRow="0" w:firstColumn="0" w:lastColumn="0" w:oddVBand="0" w:evenVBand="0" w:oddHBand="0" w:evenHBand="0" w:firstRowFirstColumn="0" w:firstRowLastColumn="0" w:lastRowFirstColumn="0" w:lastRowLastColumn="0"/>
            </w:pPr>
            <w:r w:rsidRPr="00F37F43">
              <w:t>Ce qu’il faut faire (Quel paramètre ?)</w:t>
            </w:r>
          </w:p>
        </w:tc>
        <w:tc>
          <w:tcPr>
            <w:tcW w:w="0" w:type="auto"/>
            <w:vAlign w:val="center"/>
            <w:hideMark/>
          </w:tcPr>
          <w:p w14:paraId="67E395D5" w14:textId="77777777" w:rsidR="00BA2A4D" w:rsidRPr="00F37F43" w:rsidRDefault="00BA2A4D" w:rsidP="004637C7">
            <w:pPr>
              <w:jc w:val="left"/>
              <w:cnfStyle w:val="100000000000" w:firstRow="1" w:lastRow="0" w:firstColumn="0" w:lastColumn="0" w:oddVBand="0" w:evenVBand="0" w:oddHBand="0" w:evenHBand="0" w:firstRowFirstColumn="0" w:firstRowLastColumn="0" w:lastRowFirstColumn="0" w:lastRowLastColumn="0"/>
            </w:pPr>
            <w:r w:rsidRPr="00F37F43">
              <w:t>Où (Point de contrôle ?)</w:t>
            </w:r>
          </w:p>
        </w:tc>
        <w:tc>
          <w:tcPr>
            <w:tcW w:w="0" w:type="auto"/>
            <w:vAlign w:val="center"/>
            <w:hideMark/>
          </w:tcPr>
          <w:p w14:paraId="20F7F488" w14:textId="77777777" w:rsidR="00BA2A4D" w:rsidRPr="00F37F43" w:rsidRDefault="00BA2A4D" w:rsidP="004637C7">
            <w:pPr>
              <w:jc w:val="left"/>
              <w:cnfStyle w:val="100000000000" w:firstRow="1" w:lastRow="0" w:firstColumn="0" w:lastColumn="0" w:oddVBand="0" w:evenVBand="0" w:oddHBand="0" w:evenHBand="0" w:firstRowFirstColumn="0" w:firstRowLastColumn="0" w:lastRowFirstColumn="0" w:lastRowLastColumn="0"/>
            </w:pPr>
            <w:r w:rsidRPr="00F37F43">
              <w:t>Comment (Méthode de suivi ?)</w:t>
            </w:r>
          </w:p>
        </w:tc>
        <w:tc>
          <w:tcPr>
            <w:tcW w:w="0" w:type="auto"/>
            <w:vAlign w:val="center"/>
            <w:hideMark/>
          </w:tcPr>
          <w:p w14:paraId="636CCB50" w14:textId="77777777" w:rsidR="00BA2A4D" w:rsidRPr="00F37F43" w:rsidRDefault="00BA2A4D" w:rsidP="004637C7">
            <w:pPr>
              <w:jc w:val="left"/>
              <w:cnfStyle w:val="100000000000" w:firstRow="1" w:lastRow="0" w:firstColumn="0" w:lastColumn="0" w:oddVBand="0" w:evenVBand="0" w:oddHBand="0" w:evenHBand="0" w:firstRowFirstColumn="0" w:firstRowLastColumn="0" w:lastRowFirstColumn="0" w:lastRowLastColumn="0"/>
            </w:pPr>
            <w:r w:rsidRPr="00F37F43">
              <w:t>Quand (Fréquence ?)</w:t>
            </w:r>
          </w:p>
        </w:tc>
        <w:tc>
          <w:tcPr>
            <w:tcW w:w="0" w:type="auto"/>
            <w:vAlign w:val="center"/>
            <w:hideMark/>
          </w:tcPr>
          <w:p w14:paraId="5FC0A7F5" w14:textId="77777777" w:rsidR="00BA2A4D" w:rsidRPr="00F37F43" w:rsidRDefault="00BA2A4D" w:rsidP="004637C7">
            <w:pPr>
              <w:jc w:val="left"/>
              <w:cnfStyle w:val="100000000000" w:firstRow="1" w:lastRow="0" w:firstColumn="0" w:lastColumn="0" w:oddVBand="0" w:evenVBand="0" w:oddHBand="0" w:evenHBand="0" w:firstRowFirstColumn="0" w:firstRowLastColumn="0" w:lastRowFirstColumn="0" w:lastRowLastColumn="0"/>
            </w:pPr>
            <w:r w:rsidRPr="00F37F43">
              <w:t>Pourquoi (Objectif du suivi ?)</w:t>
            </w:r>
          </w:p>
        </w:tc>
        <w:tc>
          <w:tcPr>
            <w:tcW w:w="0" w:type="auto"/>
            <w:vAlign w:val="center"/>
            <w:hideMark/>
          </w:tcPr>
          <w:p w14:paraId="7CF8516B" w14:textId="77777777" w:rsidR="00BA2A4D" w:rsidRPr="00F37F43" w:rsidRDefault="00BA2A4D" w:rsidP="004637C7">
            <w:pPr>
              <w:jc w:val="left"/>
              <w:cnfStyle w:val="100000000000" w:firstRow="1" w:lastRow="0" w:firstColumn="0" w:lastColumn="0" w:oddVBand="0" w:evenVBand="0" w:oddHBand="0" w:evenHBand="0" w:firstRowFirstColumn="0" w:firstRowLastColumn="0" w:lastRowFirstColumn="0" w:lastRowLastColumn="0"/>
            </w:pPr>
            <w:r w:rsidRPr="00F37F43">
              <w:t>Coût</w:t>
            </w:r>
          </w:p>
        </w:tc>
        <w:tc>
          <w:tcPr>
            <w:tcW w:w="0" w:type="auto"/>
            <w:vAlign w:val="center"/>
            <w:hideMark/>
          </w:tcPr>
          <w:p w14:paraId="5D5879E5" w14:textId="77777777" w:rsidR="00BA2A4D" w:rsidRPr="00F37F43" w:rsidRDefault="00BA2A4D" w:rsidP="004637C7">
            <w:pPr>
              <w:jc w:val="left"/>
              <w:cnfStyle w:val="100000000000" w:firstRow="1" w:lastRow="0" w:firstColumn="0" w:lastColumn="0" w:oddVBand="0" w:evenVBand="0" w:oddHBand="0" w:evenHBand="0" w:firstRowFirstColumn="0" w:firstRowLastColumn="0" w:lastRowFirstColumn="0" w:lastRowLastColumn="0"/>
            </w:pPr>
            <w:r w:rsidRPr="00F37F43">
              <w:t>Qui (Responsable ?)</w:t>
            </w:r>
          </w:p>
        </w:tc>
      </w:tr>
      <w:tr w:rsidR="003B5502" w:rsidRPr="00F37F43" w14:paraId="79FFCBCB" w14:textId="77777777" w:rsidTr="004637C7">
        <w:tc>
          <w:tcPr>
            <w:cnfStyle w:val="001000000000" w:firstRow="0" w:lastRow="0" w:firstColumn="1" w:lastColumn="0" w:oddVBand="0" w:evenVBand="0" w:oddHBand="0" w:evenHBand="0" w:firstRowFirstColumn="0" w:firstRowLastColumn="0" w:lastRowFirstColumn="0" w:lastRowLastColumn="0"/>
            <w:tcW w:w="0" w:type="auto"/>
            <w:vAlign w:val="center"/>
          </w:tcPr>
          <w:p w14:paraId="3A9D8027" w14:textId="78CCE8DB" w:rsidR="003B5502" w:rsidRPr="00F37F43" w:rsidRDefault="003B5502" w:rsidP="003B5502">
            <w:pPr>
              <w:jc w:val="left"/>
            </w:pPr>
            <w:r>
              <w:t>Air</w:t>
            </w:r>
          </w:p>
        </w:tc>
        <w:tc>
          <w:tcPr>
            <w:tcW w:w="0" w:type="auto"/>
            <w:vAlign w:val="center"/>
            <w:hideMark/>
          </w:tcPr>
          <w:p w14:paraId="5EAF20F5" w14:textId="3C9EFEB0" w:rsidR="003B5502" w:rsidRPr="00E20061" w:rsidRDefault="003B5502" w:rsidP="003B5502">
            <w:pPr>
              <w:jc w:val="left"/>
              <w:cnfStyle w:val="000000000000" w:firstRow="0" w:lastRow="0" w:firstColumn="0" w:lastColumn="0" w:oddVBand="0" w:evenVBand="0" w:oddHBand="0" w:evenHBand="0" w:firstRowFirstColumn="0" w:firstRowLastColumn="0" w:lastRowFirstColumn="0" w:lastRowLastColumn="0"/>
            </w:pPr>
            <w:r w:rsidRPr="00E20061">
              <w:t>Surveiller la qualité de l’air (NO₂, SO₂, CO, PM10)</w:t>
            </w:r>
          </w:p>
        </w:tc>
        <w:tc>
          <w:tcPr>
            <w:tcW w:w="0" w:type="auto"/>
            <w:vAlign w:val="center"/>
            <w:hideMark/>
          </w:tcPr>
          <w:p w14:paraId="7F903017" w14:textId="77777777" w:rsidR="003B5502" w:rsidRPr="00E20061" w:rsidRDefault="003B5502" w:rsidP="003B5502">
            <w:pPr>
              <w:jc w:val="left"/>
              <w:cnfStyle w:val="000000000000" w:firstRow="0" w:lastRow="0" w:firstColumn="0" w:lastColumn="0" w:oddVBand="0" w:evenVBand="0" w:oddHBand="0" w:evenHBand="0" w:firstRowFirstColumn="0" w:firstRowLastColumn="0" w:lastRowFirstColumn="0" w:lastRowLastColumn="0"/>
            </w:pPr>
            <w:r w:rsidRPr="00E20061">
              <w:t>Aires de trafic, zones techniques, abords du parking avion</w:t>
            </w:r>
          </w:p>
        </w:tc>
        <w:tc>
          <w:tcPr>
            <w:tcW w:w="0" w:type="auto"/>
            <w:vAlign w:val="center"/>
            <w:hideMark/>
          </w:tcPr>
          <w:p w14:paraId="5991E16F" w14:textId="77777777" w:rsidR="003B5502" w:rsidRPr="00E20061" w:rsidRDefault="003B5502" w:rsidP="003B5502">
            <w:pPr>
              <w:jc w:val="left"/>
              <w:cnfStyle w:val="000000000000" w:firstRow="0" w:lastRow="0" w:firstColumn="0" w:lastColumn="0" w:oddVBand="0" w:evenVBand="0" w:oddHBand="0" w:evenHBand="0" w:firstRowFirstColumn="0" w:firstRowLastColumn="0" w:lastRowFirstColumn="0" w:lastRowLastColumn="0"/>
            </w:pPr>
            <w:r w:rsidRPr="00E20061">
              <w:t>Campagnes de mesure normalisées et inspection visuelle des sources</w:t>
            </w:r>
          </w:p>
        </w:tc>
        <w:tc>
          <w:tcPr>
            <w:tcW w:w="0" w:type="auto"/>
            <w:vAlign w:val="center"/>
            <w:hideMark/>
          </w:tcPr>
          <w:p w14:paraId="4C823B8F" w14:textId="6B664663" w:rsidR="003B5502" w:rsidRPr="00E20061" w:rsidRDefault="0047151C" w:rsidP="003B5502">
            <w:pPr>
              <w:jc w:val="left"/>
              <w:cnfStyle w:val="000000000000" w:firstRow="0" w:lastRow="0" w:firstColumn="0" w:lastColumn="0" w:oddVBand="0" w:evenVBand="0" w:oddHBand="0" w:evenHBand="0" w:firstRowFirstColumn="0" w:firstRowLastColumn="0" w:lastRowFirstColumn="0" w:lastRowLastColumn="0"/>
            </w:pPr>
            <w:r>
              <w:t>Annuel</w:t>
            </w:r>
          </w:p>
        </w:tc>
        <w:tc>
          <w:tcPr>
            <w:tcW w:w="0" w:type="auto"/>
            <w:vAlign w:val="center"/>
            <w:hideMark/>
          </w:tcPr>
          <w:p w14:paraId="3B33CDCB" w14:textId="77777777" w:rsidR="003B5502" w:rsidRPr="00E20061" w:rsidRDefault="003B5502" w:rsidP="003B5502">
            <w:pPr>
              <w:jc w:val="left"/>
              <w:cnfStyle w:val="000000000000" w:firstRow="0" w:lastRow="0" w:firstColumn="0" w:lastColumn="0" w:oddVBand="0" w:evenVBand="0" w:oddHBand="0" w:evenHBand="0" w:firstRowFirstColumn="0" w:firstRowLastColumn="0" w:lastRowFirstColumn="0" w:lastRowLastColumn="0"/>
            </w:pPr>
            <w:r w:rsidRPr="00E20061">
              <w:t>Vérifier la conformité aux normes de qualité de l’air et identifier toute dégradation due aux activités aéroportuaires</w:t>
            </w:r>
          </w:p>
        </w:tc>
        <w:tc>
          <w:tcPr>
            <w:tcW w:w="0" w:type="auto"/>
            <w:vAlign w:val="center"/>
            <w:hideMark/>
          </w:tcPr>
          <w:p w14:paraId="4D6AAD5A" w14:textId="77777777" w:rsidR="003B5502" w:rsidRPr="00E20061" w:rsidRDefault="003B5502" w:rsidP="003B5502">
            <w:pPr>
              <w:jc w:val="left"/>
              <w:cnfStyle w:val="000000000000" w:firstRow="0" w:lastRow="0" w:firstColumn="0" w:lastColumn="0" w:oddVBand="0" w:evenVBand="0" w:oddHBand="0" w:evenHBand="0" w:firstRowFirstColumn="0" w:firstRowLastColumn="0" w:lastRowFirstColumn="0" w:lastRowLastColumn="0"/>
            </w:pPr>
            <w:r w:rsidRPr="00E20061">
              <w:t>Budget exploitation ONDA</w:t>
            </w:r>
          </w:p>
        </w:tc>
        <w:tc>
          <w:tcPr>
            <w:tcW w:w="0" w:type="auto"/>
            <w:vAlign w:val="center"/>
            <w:hideMark/>
          </w:tcPr>
          <w:p w14:paraId="10892FEA" w14:textId="1D139716" w:rsidR="003B5502" w:rsidRPr="00E20061" w:rsidRDefault="003B5502" w:rsidP="003B5502">
            <w:pPr>
              <w:jc w:val="left"/>
              <w:cnfStyle w:val="000000000000" w:firstRow="0" w:lastRow="0" w:firstColumn="0" w:lastColumn="0" w:oddVBand="0" w:evenVBand="0" w:oddHBand="0" w:evenHBand="0" w:firstRowFirstColumn="0" w:firstRowLastColumn="0" w:lastRowFirstColumn="0" w:lastRowLastColumn="0"/>
            </w:pPr>
            <w:r w:rsidRPr="00E20061">
              <w:t>ONDA</w:t>
            </w:r>
            <w:r>
              <w:t>/exploitant</w:t>
            </w:r>
          </w:p>
        </w:tc>
      </w:tr>
      <w:tr w:rsidR="003B5502" w:rsidRPr="00F37F43" w14:paraId="6A5D50BF" w14:textId="77777777" w:rsidTr="004637C7">
        <w:tc>
          <w:tcPr>
            <w:cnfStyle w:val="001000000000" w:firstRow="0" w:lastRow="0" w:firstColumn="1" w:lastColumn="0" w:oddVBand="0" w:evenVBand="0" w:oddHBand="0" w:evenHBand="0" w:firstRowFirstColumn="0" w:firstRowLastColumn="0" w:lastRowFirstColumn="0" w:lastRowLastColumn="0"/>
            <w:tcW w:w="0" w:type="auto"/>
            <w:vAlign w:val="center"/>
          </w:tcPr>
          <w:p w14:paraId="02ACDC94" w14:textId="680E2213" w:rsidR="003B5502" w:rsidRPr="00F37F43" w:rsidRDefault="003B5502" w:rsidP="003B5502">
            <w:pPr>
              <w:jc w:val="left"/>
            </w:pPr>
            <w:r>
              <w:t>Bruit</w:t>
            </w:r>
          </w:p>
        </w:tc>
        <w:tc>
          <w:tcPr>
            <w:tcW w:w="0" w:type="auto"/>
            <w:vAlign w:val="center"/>
            <w:hideMark/>
          </w:tcPr>
          <w:p w14:paraId="653A15E4" w14:textId="474A2651" w:rsidR="003B5502" w:rsidRPr="00E20061" w:rsidRDefault="003B5502" w:rsidP="003B5502">
            <w:pPr>
              <w:jc w:val="left"/>
              <w:cnfStyle w:val="000000000000" w:firstRow="0" w:lastRow="0" w:firstColumn="0" w:lastColumn="0" w:oddVBand="0" w:evenVBand="0" w:oddHBand="0" w:evenHBand="0" w:firstRowFirstColumn="0" w:firstRowLastColumn="0" w:lastRowFirstColumn="0" w:lastRowLastColumn="0"/>
            </w:pPr>
            <w:r w:rsidRPr="00E20061">
              <w:t>Contrôler les niveaux de bruit liés aux opérations aéronautiques et aux équipements</w:t>
            </w:r>
          </w:p>
        </w:tc>
        <w:tc>
          <w:tcPr>
            <w:tcW w:w="0" w:type="auto"/>
            <w:vAlign w:val="center"/>
            <w:hideMark/>
          </w:tcPr>
          <w:p w14:paraId="0066C272" w14:textId="77777777" w:rsidR="003B5502" w:rsidRPr="00E20061" w:rsidRDefault="003B5502" w:rsidP="003B5502">
            <w:pPr>
              <w:jc w:val="left"/>
              <w:cnfStyle w:val="000000000000" w:firstRow="0" w:lastRow="0" w:firstColumn="0" w:lastColumn="0" w:oddVBand="0" w:evenVBand="0" w:oddHBand="0" w:evenHBand="0" w:firstRowFirstColumn="0" w:firstRowLastColumn="0" w:lastRowFirstColumn="0" w:lastRowLastColumn="0"/>
            </w:pPr>
            <w:r w:rsidRPr="00E20061">
              <w:t>Périmètre de l’aéroport, zones techniques et parkings avions</w:t>
            </w:r>
          </w:p>
        </w:tc>
        <w:tc>
          <w:tcPr>
            <w:tcW w:w="0" w:type="auto"/>
            <w:vAlign w:val="center"/>
            <w:hideMark/>
          </w:tcPr>
          <w:p w14:paraId="013E3123" w14:textId="77777777" w:rsidR="003B5502" w:rsidRPr="00E20061" w:rsidRDefault="003B5502" w:rsidP="003B5502">
            <w:pPr>
              <w:jc w:val="left"/>
              <w:cnfStyle w:val="000000000000" w:firstRow="0" w:lastRow="0" w:firstColumn="0" w:lastColumn="0" w:oddVBand="0" w:evenVBand="0" w:oddHBand="0" w:evenHBand="0" w:firstRowFirstColumn="0" w:firstRowLastColumn="0" w:lastRowFirstColumn="0" w:lastRowLastColumn="0"/>
            </w:pPr>
            <w:r w:rsidRPr="00E20061">
              <w:t>Mesures sonométriques selon normes marocaines (NM ISO 1996)</w:t>
            </w:r>
          </w:p>
        </w:tc>
        <w:tc>
          <w:tcPr>
            <w:tcW w:w="0" w:type="auto"/>
            <w:vAlign w:val="center"/>
            <w:hideMark/>
          </w:tcPr>
          <w:p w14:paraId="49EFB527" w14:textId="77777777" w:rsidR="003B5502" w:rsidRPr="00E20061" w:rsidRDefault="003B5502" w:rsidP="003B5502">
            <w:pPr>
              <w:jc w:val="left"/>
              <w:cnfStyle w:val="000000000000" w:firstRow="0" w:lastRow="0" w:firstColumn="0" w:lastColumn="0" w:oddVBand="0" w:evenVBand="0" w:oddHBand="0" w:evenHBand="0" w:firstRowFirstColumn="0" w:firstRowLastColumn="0" w:lastRowFirstColumn="0" w:lastRowLastColumn="0"/>
            </w:pPr>
            <w:r w:rsidRPr="004637C7">
              <w:t>Semestrielle</w:t>
            </w:r>
            <w:r w:rsidRPr="00E20061">
              <w:t xml:space="preserve"> et </w:t>
            </w:r>
            <w:r w:rsidRPr="004637C7">
              <w:t>après tout changement d’infrastructure ou d’équipement</w:t>
            </w:r>
          </w:p>
        </w:tc>
        <w:tc>
          <w:tcPr>
            <w:tcW w:w="0" w:type="auto"/>
            <w:vAlign w:val="center"/>
            <w:hideMark/>
          </w:tcPr>
          <w:p w14:paraId="0C056C2E" w14:textId="77777777" w:rsidR="003B5502" w:rsidRPr="00E20061" w:rsidRDefault="003B5502" w:rsidP="003B5502">
            <w:pPr>
              <w:jc w:val="left"/>
              <w:cnfStyle w:val="000000000000" w:firstRow="0" w:lastRow="0" w:firstColumn="0" w:lastColumn="0" w:oddVBand="0" w:evenVBand="0" w:oddHBand="0" w:evenHBand="0" w:firstRowFirstColumn="0" w:firstRowLastColumn="0" w:lastRowFirstColumn="0" w:lastRowLastColumn="0"/>
            </w:pPr>
            <w:r w:rsidRPr="00E20061">
              <w:t>S’assurer du respect des seuils réglementaires et prévenir les nuisances sonores</w:t>
            </w:r>
          </w:p>
        </w:tc>
        <w:tc>
          <w:tcPr>
            <w:tcW w:w="0" w:type="auto"/>
            <w:vAlign w:val="center"/>
            <w:hideMark/>
          </w:tcPr>
          <w:p w14:paraId="4713D2B0" w14:textId="77777777" w:rsidR="003B5502" w:rsidRPr="00E20061" w:rsidRDefault="003B5502" w:rsidP="003B5502">
            <w:pPr>
              <w:jc w:val="left"/>
              <w:cnfStyle w:val="000000000000" w:firstRow="0" w:lastRow="0" w:firstColumn="0" w:lastColumn="0" w:oddVBand="0" w:evenVBand="0" w:oddHBand="0" w:evenHBand="0" w:firstRowFirstColumn="0" w:firstRowLastColumn="0" w:lastRowFirstColumn="0" w:lastRowLastColumn="0"/>
            </w:pPr>
            <w:r w:rsidRPr="00E20061">
              <w:t>Budget exploitation ONDA</w:t>
            </w:r>
          </w:p>
        </w:tc>
        <w:tc>
          <w:tcPr>
            <w:tcW w:w="0" w:type="auto"/>
            <w:vAlign w:val="center"/>
            <w:hideMark/>
          </w:tcPr>
          <w:p w14:paraId="5E8689B2" w14:textId="63B6DFE4" w:rsidR="003B5502" w:rsidRPr="00E20061" w:rsidRDefault="003B5502" w:rsidP="003B5502">
            <w:pPr>
              <w:jc w:val="left"/>
              <w:cnfStyle w:val="000000000000" w:firstRow="0" w:lastRow="0" w:firstColumn="0" w:lastColumn="0" w:oddVBand="0" w:evenVBand="0" w:oddHBand="0" w:evenHBand="0" w:firstRowFirstColumn="0" w:firstRowLastColumn="0" w:lastRowFirstColumn="0" w:lastRowLastColumn="0"/>
            </w:pPr>
            <w:r w:rsidRPr="00E20061">
              <w:t>ONDA</w:t>
            </w:r>
            <w:r>
              <w:t>/exploitant</w:t>
            </w:r>
          </w:p>
        </w:tc>
      </w:tr>
      <w:tr w:rsidR="00BA2A4D" w:rsidRPr="00F37F43" w14:paraId="12B337A4" w14:textId="77777777" w:rsidTr="004637C7">
        <w:tc>
          <w:tcPr>
            <w:cnfStyle w:val="001000000000" w:firstRow="0" w:lastRow="0" w:firstColumn="1" w:lastColumn="0" w:oddVBand="0" w:evenVBand="0" w:oddHBand="0" w:evenHBand="0" w:firstRowFirstColumn="0" w:firstRowLastColumn="0" w:lastRowFirstColumn="0" w:lastRowLastColumn="0"/>
            <w:tcW w:w="0" w:type="auto"/>
            <w:vAlign w:val="center"/>
          </w:tcPr>
          <w:p w14:paraId="3E436BE6" w14:textId="49F66795" w:rsidR="00BA2A4D" w:rsidRPr="00F37F43" w:rsidRDefault="00BA2A4D" w:rsidP="00E20061">
            <w:pPr>
              <w:jc w:val="left"/>
            </w:pPr>
            <w:r>
              <w:t>Gestion des déchets</w:t>
            </w:r>
          </w:p>
        </w:tc>
        <w:tc>
          <w:tcPr>
            <w:tcW w:w="0" w:type="auto"/>
            <w:vAlign w:val="center"/>
            <w:hideMark/>
          </w:tcPr>
          <w:p w14:paraId="6F868B4F" w14:textId="1542C9C6" w:rsidR="00BA2A4D" w:rsidRPr="00E20061" w:rsidRDefault="00BA2A4D" w:rsidP="004637C7">
            <w:pPr>
              <w:jc w:val="left"/>
              <w:cnfStyle w:val="000000000000" w:firstRow="0" w:lastRow="0" w:firstColumn="0" w:lastColumn="0" w:oddVBand="0" w:evenVBand="0" w:oddHBand="0" w:evenHBand="0" w:firstRowFirstColumn="0" w:firstRowLastColumn="0" w:lastRowFirstColumn="0" w:lastRowLastColumn="0"/>
            </w:pPr>
            <w:r w:rsidRPr="00E20061">
              <w:t>Suivre la gestion et l’élimination des déchets non dangereux et dangereux</w:t>
            </w:r>
          </w:p>
        </w:tc>
        <w:tc>
          <w:tcPr>
            <w:tcW w:w="0" w:type="auto"/>
            <w:vAlign w:val="center"/>
            <w:hideMark/>
          </w:tcPr>
          <w:p w14:paraId="179B4F16" w14:textId="77777777" w:rsidR="00BA2A4D" w:rsidRPr="00E20061" w:rsidRDefault="00BA2A4D" w:rsidP="004637C7">
            <w:pPr>
              <w:jc w:val="left"/>
              <w:cnfStyle w:val="000000000000" w:firstRow="0" w:lastRow="0" w:firstColumn="0" w:lastColumn="0" w:oddVBand="0" w:evenVBand="0" w:oddHBand="0" w:evenHBand="0" w:firstRowFirstColumn="0" w:firstRowLastColumn="0" w:lastRowFirstColumn="0" w:lastRowLastColumn="0"/>
            </w:pPr>
            <w:r w:rsidRPr="00E20061">
              <w:t>Zones de stockage temporaire et circuits de collecte</w:t>
            </w:r>
          </w:p>
        </w:tc>
        <w:tc>
          <w:tcPr>
            <w:tcW w:w="0" w:type="auto"/>
            <w:vAlign w:val="center"/>
            <w:hideMark/>
          </w:tcPr>
          <w:p w14:paraId="3C35BC5C" w14:textId="77777777" w:rsidR="00BA2A4D" w:rsidRPr="00E20061" w:rsidRDefault="00BA2A4D" w:rsidP="004637C7">
            <w:pPr>
              <w:jc w:val="left"/>
              <w:cnfStyle w:val="000000000000" w:firstRow="0" w:lastRow="0" w:firstColumn="0" w:lastColumn="0" w:oddVBand="0" w:evenVBand="0" w:oddHBand="0" w:evenHBand="0" w:firstRowFirstColumn="0" w:firstRowLastColumn="0" w:lastRowFirstColumn="0" w:lastRowLastColumn="0"/>
            </w:pPr>
            <w:r w:rsidRPr="00E20061">
              <w:t>Registres de collecte, bordereaux de suivi, inspections de conformité</w:t>
            </w:r>
          </w:p>
        </w:tc>
        <w:tc>
          <w:tcPr>
            <w:tcW w:w="0" w:type="auto"/>
            <w:vAlign w:val="center"/>
            <w:hideMark/>
          </w:tcPr>
          <w:p w14:paraId="7487E631" w14:textId="77777777" w:rsidR="00BA2A4D" w:rsidRPr="00E20061" w:rsidRDefault="00BA2A4D" w:rsidP="004637C7">
            <w:pPr>
              <w:jc w:val="left"/>
              <w:cnfStyle w:val="000000000000" w:firstRow="0" w:lastRow="0" w:firstColumn="0" w:lastColumn="0" w:oddVBand="0" w:evenVBand="0" w:oddHBand="0" w:evenHBand="0" w:firstRowFirstColumn="0" w:firstRowLastColumn="0" w:lastRowFirstColumn="0" w:lastRowLastColumn="0"/>
            </w:pPr>
            <w:r w:rsidRPr="004637C7">
              <w:t>Trimestrielle</w:t>
            </w:r>
          </w:p>
        </w:tc>
        <w:tc>
          <w:tcPr>
            <w:tcW w:w="0" w:type="auto"/>
            <w:vAlign w:val="center"/>
            <w:hideMark/>
          </w:tcPr>
          <w:p w14:paraId="1C96DEAA" w14:textId="77777777" w:rsidR="00BA2A4D" w:rsidRPr="00E20061" w:rsidRDefault="00BA2A4D" w:rsidP="004637C7">
            <w:pPr>
              <w:jc w:val="left"/>
              <w:cnfStyle w:val="000000000000" w:firstRow="0" w:lastRow="0" w:firstColumn="0" w:lastColumn="0" w:oddVBand="0" w:evenVBand="0" w:oddHBand="0" w:evenHBand="0" w:firstRowFirstColumn="0" w:firstRowLastColumn="0" w:lastRowFirstColumn="0" w:lastRowLastColumn="0"/>
            </w:pPr>
            <w:r w:rsidRPr="00E20061">
              <w:t>Assurer la traçabilité, prévenir les pollutions et améliorer le tri sélectif</w:t>
            </w:r>
          </w:p>
        </w:tc>
        <w:tc>
          <w:tcPr>
            <w:tcW w:w="0" w:type="auto"/>
            <w:vAlign w:val="center"/>
            <w:hideMark/>
          </w:tcPr>
          <w:p w14:paraId="62E8D2C8" w14:textId="77777777" w:rsidR="00BA2A4D" w:rsidRPr="00E20061" w:rsidRDefault="00BA2A4D" w:rsidP="004637C7">
            <w:pPr>
              <w:jc w:val="left"/>
              <w:cnfStyle w:val="000000000000" w:firstRow="0" w:lastRow="0" w:firstColumn="0" w:lastColumn="0" w:oddVBand="0" w:evenVBand="0" w:oddHBand="0" w:evenHBand="0" w:firstRowFirstColumn="0" w:firstRowLastColumn="0" w:lastRowFirstColumn="0" w:lastRowLastColumn="0"/>
            </w:pPr>
            <w:r w:rsidRPr="00E20061">
              <w:t>Contrat prestataire agréé</w:t>
            </w:r>
          </w:p>
        </w:tc>
        <w:tc>
          <w:tcPr>
            <w:tcW w:w="0" w:type="auto"/>
            <w:vAlign w:val="center"/>
            <w:hideMark/>
          </w:tcPr>
          <w:p w14:paraId="18EB373F" w14:textId="49530306" w:rsidR="00BA2A4D" w:rsidRPr="00E20061" w:rsidRDefault="00BA2A4D" w:rsidP="004637C7">
            <w:pPr>
              <w:jc w:val="left"/>
              <w:cnfStyle w:val="000000000000" w:firstRow="0" w:lastRow="0" w:firstColumn="0" w:lastColumn="0" w:oddVBand="0" w:evenVBand="0" w:oddHBand="0" w:evenHBand="0" w:firstRowFirstColumn="0" w:firstRowLastColumn="0" w:lastRowFirstColumn="0" w:lastRowLastColumn="0"/>
            </w:pPr>
            <w:r w:rsidRPr="00E20061">
              <w:t>ONDA</w:t>
            </w:r>
            <w:r w:rsidR="003B5502">
              <w:t>/exploitant</w:t>
            </w:r>
          </w:p>
        </w:tc>
      </w:tr>
      <w:tr w:rsidR="00BA2A4D" w:rsidRPr="00F37F43" w14:paraId="4C825F7C" w14:textId="77777777" w:rsidTr="004637C7">
        <w:tc>
          <w:tcPr>
            <w:cnfStyle w:val="001000000000" w:firstRow="0" w:lastRow="0" w:firstColumn="1" w:lastColumn="0" w:oddVBand="0" w:evenVBand="0" w:oddHBand="0" w:evenHBand="0" w:firstRowFirstColumn="0" w:firstRowLastColumn="0" w:lastRowFirstColumn="0" w:lastRowLastColumn="0"/>
            <w:tcW w:w="0" w:type="auto"/>
            <w:vAlign w:val="center"/>
          </w:tcPr>
          <w:p w14:paraId="7EF88798" w14:textId="0CF0AEB4" w:rsidR="00BA2A4D" w:rsidRPr="00F37F43" w:rsidRDefault="00BA2A4D" w:rsidP="00E20061">
            <w:pPr>
              <w:jc w:val="left"/>
            </w:pPr>
            <w:r>
              <w:t>Santé et Sécurité des travailleurs</w:t>
            </w:r>
          </w:p>
        </w:tc>
        <w:tc>
          <w:tcPr>
            <w:tcW w:w="0" w:type="auto"/>
            <w:vAlign w:val="center"/>
            <w:hideMark/>
          </w:tcPr>
          <w:p w14:paraId="006A5A8F" w14:textId="3B8F2E85" w:rsidR="00BA2A4D" w:rsidRPr="00E20061" w:rsidRDefault="00BA2A4D" w:rsidP="004637C7">
            <w:pPr>
              <w:jc w:val="left"/>
              <w:cnfStyle w:val="000000000000" w:firstRow="0" w:lastRow="0" w:firstColumn="0" w:lastColumn="0" w:oddVBand="0" w:evenVBand="0" w:oddHBand="0" w:evenHBand="0" w:firstRowFirstColumn="0" w:firstRowLastColumn="0" w:lastRowFirstColumn="0" w:lastRowLastColumn="0"/>
            </w:pPr>
            <w:r w:rsidRPr="00E20061">
              <w:t>Contrôler la santé et la sécurité du personnel et des usagers</w:t>
            </w:r>
          </w:p>
        </w:tc>
        <w:tc>
          <w:tcPr>
            <w:tcW w:w="0" w:type="auto"/>
            <w:vAlign w:val="center"/>
            <w:hideMark/>
          </w:tcPr>
          <w:p w14:paraId="0B20DA79" w14:textId="77777777" w:rsidR="00BA2A4D" w:rsidRPr="00E20061" w:rsidRDefault="00BA2A4D" w:rsidP="004637C7">
            <w:pPr>
              <w:jc w:val="left"/>
              <w:cnfStyle w:val="000000000000" w:firstRow="0" w:lastRow="0" w:firstColumn="0" w:lastColumn="0" w:oddVBand="0" w:evenVBand="0" w:oddHBand="0" w:evenHBand="0" w:firstRowFirstColumn="0" w:firstRowLastColumn="0" w:lastRowFirstColumn="0" w:lastRowLastColumn="0"/>
            </w:pPr>
            <w:r w:rsidRPr="00E20061">
              <w:t>Bâtiments techniques, zones d’exploitation, parkings avions</w:t>
            </w:r>
          </w:p>
        </w:tc>
        <w:tc>
          <w:tcPr>
            <w:tcW w:w="0" w:type="auto"/>
            <w:vAlign w:val="center"/>
            <w:hideMark/>
          </w:tcPr>
          <w:p w14:paraId="066A021E" w14:textId="77777777" w:rsidR="00BA2A4D" w:rsidRPr="00E20061" w:rsidRDefault="00BA2A4D" w:rsidP="004637C7">
            <w:pPr>
              <w:jc w:val="left"/>
              <w:cnfStyle w:val="000000000000" w:firstRow="0" w:lastRow="0" w:firstColumn="0" w:lastColumn="0" w:oddVBand="0" w:evenVBand="0" w:oddHBand="0" w:evenHBand="0" w:firstRowFirstColumn="0" w:firstRowLastColumn="0" w:lastRowFirstColumn="0" w:lastRowLastColumn="0"/>
            </w:pPr>
            <w:r w:rsidRPr="00E20061">
              <w:t>Registre d’accidents, audits internes, inspections sécurité</w:t>
            </w:r>
          </w:p>
        </w:tc>
        <w:tc>
          <w:tcPr>
            <w:tcW w:w="0" w:type="auto"/>
            <w:vAlign w:val="center"/>
            <w:hideMark/>
          </w:tcPr>
          <w:p w14:paraId="2BDFF3AE" w14:textId="77777777" w:rsidR="00BA2A4D" w:rsidRPr="00E20061" w:rsidRDefault="00BA2A4D" w:rsidP="004637C7">
            <w:pPr>
              <w:jc w:val="left"/>
              <w:cnfStyle w:val="000000000000" w:firstRow="0" w:lastRow="0" w:firstColumn="0" w:lastColumn="0" w:oddVBand="0" w:evenVBand="0" w:oddHBand="0" w:evenHBand="0" w:firstRowFirstColumn="0" w:firstRowLastColumn="0" w:lastRowFirstColumn="0" w:lastRowLastColumn="0"/>
            </w:pPr>
            <w:r w:rsidRPr="004637C7">
              <w:t>Mensuelle</w:t>
            </w:r>
            <w:r w:rsidRPr="00E20061">
              <w:t xml:space="preserve"> (surveillance) / </w:t>
            </w:r>
            <w:r w:rsidRPr="004637C7">
              <w:t>Trimestrielle</w:t>
            </w:r>
            <w:r w:rsidRPr="00E20061">
              <w:t xml:space="preserve"> (reporting consolidé)</w:t>
            </w:r>
          </w:p>
        </w:tc>
        <w:tc>
          <w:tcPr>
            <w:tcW w:w="0" w:type="auto"/>
            <w:vAlign w:val="center"/>
            <w:hideMark/>
          </w:tcPr>
          <w:p w14:paraId="499433F0" w14:textId="77777777" w:rsidR="00BA2A4D" w:rsidRPr="00E20061" w:rsidRDefault="00BA2A4D" w:rsidP="004637C7">
            <w:pPr>
              <w:jc w:val="left"/>
              <w:cnfStyle w:val="000000000000" w:firstRow="0" w:lastRow="0" w:firstColumn="0" w:lastColumn="0" w:oddVBand="0" w:evenVBand="0" w:oddHBand="0" w:evenHBand="0" w:firstRowFirstColumn="0" w:firstRowLastColumn="0" w:lastRowFirstColumn="0" w:lastRowLastColumn="0"/>
            </w:pPr>
            <w:r w:rsidRPr="00E20061">
              <w:t>Maintenir un environnement de travail sûr et réduire les incidents</w:t>
            </w:r>
          </w:p>
        </w:tc>
        <w:tc>
          <w:tcPr>
            <w:tcW w:w="0" w:type="auto"/>
            <w:vAlign w:val="center"/>
            <w:hideMark/>
          </w:tcPr>
          <w:p w14:paraId="55995896" w14:textId="77777777" w:rsidR="00BA2A4D" w:rsidRPr="00E20061" w:rsidRDefault="00BA2A4D" w:rsidP="004637C7">
            <w:pPr>
              <w:jc w:val="left"/>
              <w:cnfStyle w:val="000000000000" w:firstRow="0" w:lastRow="0" w:firstColumn="0" w:lastColumn="0" w:oddVBand="0" w:evenVBand="0" w:oddHBand="0" w:evenHBand="0" w:firstRowFirstColumn="0" w:firstRowLastColumn="0" w:lastRowFirstColumn="0" w:lastRowLastColumn="0"/>
            </w:pPr>
            <w:r w:rsidRPr="00E20061">
              <w:t>Budget exploitation ONDA</w:t>
            </w:r>
          </w:p>
        </w:tc>
        <w:tc>
          <w:tcPr>
            <w:tcW w:w="0" w:type="auto"/>
            <w:vAlign w:val="center"/>
            <w:hideMark/>
          </w:tcPr>
          <w:p w14:paraId="76E86548" w14:textId="3A85250F" w:rsidR="00BA2A4D" w:rsidRPr="00E20061" w:rsidRDefault="00BA2A4D" w:rsidP="004637C7">
            <w:pPr>
              <w:jc w:val="left"/>
              <w:cnfStyle w:val="000000000000" w:firstRow="0" w:lastRow="0" w:firstColumn="0" w:lastColumn="0" w:oddVBand="0" w:evenVBand="0" w:oddHBand="0" w:evenHBand="0" w:firstRowFirstColumn="0" w:firstRowLastColumn="0" w:lastRowFirstColumn="0" w:lastRowLastColumn="0"/>
            </w:pPr>
            <w:r w:rsidRPr="00E20061">
              <w:t xml:space="preserve">ONDA </w:t>
            </w:r>
          </w:p>
        </w:tc>
      </w:tr>
      <w:tr w:rsidR="00BA2A4D" w:rsidRPr="00712B57" w14:paraId="0F3DB97E" w14:textId="77777777" w:rsidTr="004637C7">
        <w:tc>
          <w:tcPr>
            <w:cnfStyle w:val="001000000000" w:firstRow="0" w:lastRow="0" w:firstColumn="1" w:lastColumn="0" w:oddVBand="0" w:evenVBand="0" w:oddHBand="0" w:evenHBand="0" w:firstRowFirstColumn="0" w:firstRowLastColumn="0" w:lastRowFirstColumn="0" w:lastRowLastColumn="0"/>
            <w:tcW w:w="0" w:type="auto"/>
            <w:vAlign w:val="center"/>
          </w:tcPr>
          <w:p w14:paraId="2A934081" w14:textId="7CEEBB3B" w:rsidR="00BA2A4D" w:rsidRPr="00F37F43" w:rsidRDefault="00BA2A4D" w:rsidP="00E20061">
            <w:pPr>
              <w:jc w:val="left"/>
            </w:pPr>
            <w:r>
              <w:lastRenderedPageBreak/>
              <w:t>Gestion des plaintes</w:t>
            </w:r>
          </w:p>
        </w:tc>
        <w:tc>
          <w:tcPr>
            <w:tcW w:w="0" w:type="auto"/>
            <w:vAlign w:val="center"/>
            <w:hideMark/>
          </w:tcPr>
          <w:p w14:paraId="4095FA47" w14:textId="201A2923" w:rsidR="00BA2A4D" w:rsidRPr="00E20061" w:rsidRDefault="00BA2A4D" w:rsidP="004637C7">
            <w:pPr>
              <w:jc w:val="left"/>
              <w:cnfStyle w:val="000000000000" w:firstRow="0" w:lastRow="0" w:firstColumn="0" w:lastColumn="0" w:oddVBand="0" w:evenVBand="0" w:oddHBand="0" w:evenHBand="0" w:firstRowFirstColumn="0" w:firstRowLastColumn="0" w:lastRowFirstColumn="0" w:lastRowLastColumn="0"/>
            </w:pPr>
            <w:r w:rsidRPr="00E20061">
              <w:t xml:space="preserve">Suivre les relations communautaires et plaintes </w:t>
            </w:r>
          </w:p>
        </w:tc>
        <w:tc>
          <w:tcPr>
            <w:tcW w:w="0" w:type="auto"/>
            <w:vAlign w:val="center"/>
            <w:hideMark/>
          </w:tcPr>
          <w:p w14:paraId="54AF54A7" w14:textId="77777777" w:rsidR="00BA2A4D" w:rsidRPr="00E20061" w:rsidRDefault="00BA2A4D" w:rsidP="004637C7">
            <w:pPr>
              <w:jc w:val="left"/>
              <w:cnfStyle w:val="000000000000" w:firstRow="0" w:lastRow="0" w:firstColumn="0" w:lastColumn="0" w:oddVBand="0" w:evenVBand="0" w:oddHBand="0" w:evenHBand="0" w:firstRowFirstColumn="0" w:firstRowLastColumn="0" w:lastRowFirstColumn="0" w:lastRowLastColumn="0"/>
            </w:pPr>
            <w:r w:rsidRPr="00E20061">
              <w:t>Communes avoisinantes et autorités locales</w:t>
            </w:r>
          </w:p>
        </w:tc>
        <w:tc>
          <w:tcPr>
            <w:tcW w:w="0" w:type="auto"/>
            <w:vAlign w:val="center"/>
            <w:hideMark/>
          </w:tcPr>
          <w:p w14:paraId="654F62DB" w14:textId="77777777" w:rsidR="00BA2A4D" w:rsidRPr="00E20061" w:rsidRDefault="00BA2A4D" w:rsidP="004637C7">
            <w:pPr>
              <w:jc w:val="left"/>
              <w:cnfStyle w:val="000000000000" w:firstRow="0" w:lastRow="0" w:firstColumn="0" w:lastColumn="0" w:oddVBand="0" w:evenVBand="0" w:oddHBand="0" w:evenHBand="0" w:firstRowFirstColumn="0" w:firstRowLastColumn="0" w:lastRowFirstColumn="0" w:lastRowLastColumn="0"/>
            </w:pPr>
            <w:r w:rsidRPr="00E20061">
              <w:t>Registre du MGP, réunions périodiques de concertation</w:t>
            </w:r>
          </w:p>
        </w:tc>
        <w:tc>
          <w:tcPr>
            <w:tcW w:w="0" w:type="auto"/>
            <w:vAlign w:val="center"/>
            <w:hideMark/>
          </w:tcPr>
          <w:p w14:paraId="319063BF" w14:textId="77777777" w:rsidR="00BA2A4D" w:rsidRPr="00E20061" w:rsidRDefault="00BA2A4D" w:rsidP="004637C7">
            <w:pPr>
              <w:jc w:val="left"/>
              <w:cnfStyle w:val="000000000000" w:firstRow="0" w:lastRow="0" w:firstColumn="0" w:lastColumn="0" w:oddVBand="0" w:evenVBand="0" w:oddHBand="0" w:evenHBand="0" w:firstRowFirstColumn="0" w:firstRowLastColumn="0" w:lastRowFirstColumn="0" w:lastRowLastColumn="0"/>
            </w:pPr>
            <w:r w:rsidRPr="004637C7">
              <w:t>Trimestrielle</w:t>
            </w:r>
          </w:p>
        </w:tc>
        <w:tc>
          <w:tcPr>
            <w:tcW w:w="0" w:type="auto"/>
            <w:vAlign w:val="center"/>
            <w:hideMark/>
          </w:tcPr>
          <w:p w14:paraId="0B4F575A" w14:textId="77777777" w:rsidR="00BA2A4D" w:rsidRPr="00E20061" w:rsidRDefault="00BA2A4D" w:rsidP="004637C7">
            <w:pPr>
              <w:jc w:val="left"/>
              <w:cnfStyle w:val="000000000000" w:firstRow="0" w:lastRow="0" w:firstColumn="0" w:lastColumn="0" w:oddVBand="0" w:evenVBand="0" w:oddHBand="0" w:evenHBand="0" w:firstRowFirstColumn="0" w:firstRowLastColumn="0" w:lastRowFirstColumn="0" w:lastRowLastColumn="0"/>
            </w:pPr>
            <w:r w:rsidRPr="00E20061">
              <w:t>Préserver la bonne entente avec les riverains et garantir la transparence</w:t>
            </w:r>
          </w:p>
        </w:tc>
        <w:tc>
          <w:tcPr>
            <w:tcW w:w="0" w:type="auto"/>
            <w:vAlign w:val="center"/>
            <w:hideMark/>
          </w:tcPr>
          <w:p w14:paraId="7DD6DDAD" w14:textId="77777777" w:rsidR="00BA2A4D" w:rsidRPr="00E20061" w:rsidRDefault="00BA2A4D" w:rsidP="004637C7">
            <w:pPr>
              <w:jc w:val="left"/>
              <w:cnfStyle w:val="000000000000" w:firstRow="0" w:lastRow="0" w:firstColumn="0" w:lastColumn="0" w:oddVBand="0" w:evenVBand="0" w:oddHBand="0" w:evenHBand="0" w:firstRowFirstColumn="0" w:firstRowLastColumn="0" w:lastRowFirstColumn="0" w:lastRowLastColumn="0"/>
            </w:pPr>
            <w:r w:rsidRPr="00E20061">
              <w:t>Négligeable</w:t>
            </w:r>
          </w:p>
        </w:tc>
        <w:tc>
          <w:tcPr>
            <w:tcW w:w="0" w:type="auto"/>
            <w:vAlign w:val="center"/>
            <w:hideMark/>
          </w:tcPr>
          <w:p w14:paraId="370328B7" w14:textId="0890EA9C" w:rsidR="00BA2A4D" w:rsidRPr="004637C7" w:rsidRDefault="00BA2A4D" w:rsidP="004637C7">
            <w:pPr>
              <w:jc w:val="left"/>
              <w:cnfStyle w:val="000000000000" w:firstRow="0" w:lastRow="0" w:firstColumn="0" w:lastColumn="0" w:oddVBand="0" w:evenVBand="0" w:oddHBand="0" w:evenHBand="0" w:firstRowFirstColumn="0" w:firstRowLastColumn="0" w:lastRowFirstColumn="0" w:lastRowLastColumn="0"/>
              <w:rPr>
                <w:lang w:val="en-US"/>
              </w:rPr>
            </w:pPr>
            <w:r w:rsidRPr="004637C7">
              <w:rPr>
                <w:lang w:val="en-US"/>
              </w:rPr>
              <w:t xml:space="preserve">ONDA – </w:t>
            </w:r>
            <w:r w:rsidR="00C97A3D">
              <w:rPr>
                <w:lang w:val="en-US"/>
              </w:rPr>
              <w:t>CLO</w:t>
            </w:r>
          </w:p>
        </w:tc>
      </w:tr>
      <w:tr w:rsidR="00BA2A4D" w:rsidRPr="00F37F43" w14:paraId="5D9F2A32" w14:textId="77777777" w:rsidTr="004637C7">
        <w:tc>
          <w:tcPr>
            <w:cnfStyle w:val="001000000000" w:firstRow="0" w:lastRow="0" w:firstColumn="1" w:lastColumn="0" w:oddVBand="0" w:evenVBand="0" w:oddHBand="0" w:evenHBand="0" w:firstRowFirstColumn="0" w:firstRowLastColumn="0" w:lastRowFirstColumn="0" w:lastRowLastColumn="0"/>
            <w:tcW w:w="0" w:type="auto"/>
            <w:vAlign w:val="center"/>
          </w:tcPr>
          <w:p w14:paraId="201F65DA" w14:textId="2D0D16CD" w:rsidR="00BA2A4D" w:rsidRPr="00F37F43" w:rsidRDefault="00BA2A4D" w:rsidP="00E20061">
            <w:pPr>
              <w:jc w:val="left"/>
            </w:pPr>
            <w:r>
              <w:t>Utilisation des ressources en eau et de l’Energie</w:t>
            </w:r>
          </w:p>
        </w:tc>
        <w:tc>
          <w:tcPr>
            <w:tcW w:w="0" w:type="auto"/>
            <w:vAlign w:val="center"/>
            <w:hideMark/>
          </w:tcPr>
          <w:p w14:paraId="4E01D56A" w14:textId="6E1E6BED" w:rsidR="00BA2A4D" w:rsidRPr="00E20061" w:rsidRDefault="00BA2A4D" w:rsidP="004637C7">
            <w:pPr>
              <w:jc w:val="left"/>
              <w:cnfStyle w:val="000000000000" w:firstRow="0" w:lastRow="0" w:firstColumn="0" w:lastColumn="0" w:oddVBand="0" w:evenVBand="0" w:oddHBand="0" w:evenHBand="0" w:firstRowFirstColumn="0" w:firstRowLastColumn="0" w:lastRowFirstColumn="0" w:lastRowLastColumn="0"/>
            </w:pPr>
            <w:r w:rsidRPr="00E20061">
              <w:t>Surveiller la consommation d’énergie et d’eau</w:t>
            </w:r>
          </w:p>
        </w:tc>
        <w:tc>
          <w:tcPr>
            <w:tcW w:w="0" w:type="auto"/>
            <w:vAlign w:val="center"/>
            <w:hideMark/>
          </w:tcPr>
          <w:p w14:paraId="376517A7" w14:textId="77777777" w:rsidR="00BA2A4D" w:rsidRPr="00E20061" w:rsidRDefault="00BA2A4D" w:rsidP="004637C7">
            <w:pPr>
              <w:jc w:val="left"/>
              <w:cnfStyle w:val="000000000000" w:firstRow="0" w:lastRow="0" w:firstColumn="0" w:lastColumn="0" w:oddVBand="0" w:evenVBand="0" w:oddHBand="0" w:evenHBand="0" w:firstRowFirstColumn="0" w:firstRowLastColumn="0" w:lastRowFirstColumn="0" w:lastRowLastColumn="0"/>
            </w:pPr>
            <w:r w:rsidRPr="00E20061">
              <w:t>Postes de consommation principaux (bâtiments, éclairage, équipements)</w:t>
            </w:r>
          </w:p>
        </w:tc>
        <w:tc>
          <w:tcPr>
            <w:tcW w:w="0" w:type="auto"/>
            <w:vAlign w:val="center"/>
            <w:hideMark/>
          </w:tcPr>
          <w:p w14:paraId="3C493AD5" w14:textId="77777777" w:rsidR="00BA2A4D" w:rsidRPr="00E20061" w:rsidRDefault="00BA2A4D" w:rsidP="004637C7">
            <w:pPr>
              <w:jc w:val="left"/>
              <w:cnfStyle w:val="000000000000" w:firstRow="0" w:lastRow="0" w:firstColumn="0" w:lastColumn="0" w:oddVBand="0" w:evenVBand="0" w:oddHBand="0" w:evenHBand="0" w:firstRowFirstColumn="0" w:firstRowLastColumn="0" w:lastRowFirstColumn="0" w:lastRowLastColumn="0"/>
            </w:pPr>
            <w:r w:rsidRPr="00E20061">
              <w:t>Relevés des compteurs, comparaison avec les historiques</w:t>
            </w:r>
          </w:p>
        </w:tc>
        <w:tc>
          <w:tcPr>
            <w:tcW w:w="0" w:type="auto"/>
            <w:vAlign w:val="center"/>
            <w:hideMark/>
          </w:tcPr>
          <w:p w14:paraId="6062DD10" w14:textId="77777777" w:rsidR="00BA2A4D" w:rsidRPr="00E20061" w:rsidRDefault="00BA2A4D" w:rsidP="004637C7">
            <w:pPr>
              <w:jc w:val="left"/>
              <w:cnfStyle w:val="000000000000" w:firstRow="0" w:lastRow="0" w:firstColumn="0" w:lastColumn="0" w:oddVBand="0" w:evenVBand="0" w:oddHBand="0" w:evenHBand="0" w:firstRowFirstColumn="0" w:firstRowLastColumn="0" w:lastRowFirstColumn="0" w:lastRowLastColumn="0"/>
            </w:pPr>
            <w:r w:rsidRPr="004637C7">
              <w:t>Trimestrielle</w:t>
            </w:r>
          </w:p>
        </w:tc>
        <w:tc>
          <w:tcPr>
            <w:tcW w:w="0" w:type="auto"/>
            <w:vAlign w:val="center"/>
            <w:hideMark/>
          </w:tcPr>
          <w:p w14:paraId="4BC786EE" w14:textId="77777777" w:rsidR="00BA2A4D" w:rsidRPr="00E20061" w:rsidRDefault="00BA2A4D" w:rsidP="004637C7">
            <w:pPr>
              <w:jc w:val="left"/>
              <w:cnfStyle w:val="000000000000" w:firstRow="0" w:lastRow="0" w:firstColumn="0" w:lastColumn="0" w:oddVBand="0" w:evenVBand="0" w:oddHBand="0" w:evenHBand="0" w:firstRowFirstColumn="0" w:firstRowLastColumn="0" w:lastRowFirstColumn="0" w:lastRowLastColumn="0"/>
            </w:pPr>
            <w:r w:rsidRPr="00E20061">
              <w:t>Optimiser la performance énergétique et maîtriser les ressources</w:t>
            </w:r>
          </w:p>
        </w:tc>
        <w:tc>
          <w:tcPr>
            <w:tcW w:w="0" w:type="auto"/>
            <w:vAlign w:val="center"/>
            <w:hideMark/>
          </w:tcPr>
          <w:p w14:paraId="40902351" w14:textId="77777777" w:rsidR="00BA2A4D" w:rsidRPr="00E20061" w:rsidRDefault="00BA2A4D" w:rsidP="004637C7">
            <w:pPr>
              <w:jc w:val="left"/>
              <w:cnfStyle w:val="000000000000" w:firstRow="0" w:lastRow="0" w:firstColumn="0" w:lastColumn="0" w:oddVBand="0" w:evenVBand="0" w:oddHBand="0" w:evenHBand="0" w:firstRowFirstColumn="0" w:firstRowLastColumn="0" w:lastRowFirstColumn="0" w:lastRowLastColumn="0"/>
            </w:pPr>
            <w:r w:rsidRPr="00E20061">
              <w:t>Budget exploitation ONDA</w:t>
            </w:r>
          </w:p>
        </w:tc>
        <w:tc>
          <w:tcPr>
            <w:tcW w:w="0" w:type="auto"/>
            <w:vAlign w:val="center"/>
            <w:hideMark/>
          </w:tcPr>
          <w:p w14:paraId="74A79F82" w14:textId="49DECAAA" w:rsidR="00BA2A4D" w:rsidRPr="00E20061" w:rsidRDefault="00BA2A4D" w:rsidP="004637C7">
            <w:pPr>
              <w:jc w:val="left"/>
              <w:cnfStyle w:val="000000000000" w:firstRow="0" w:lastRow="0" w:firstColumn="0" w:lastColumn="0" w:oddVBand="0" w:evenVBand="0" w:oddHBand="0" w:evenHBand="0" w:firstRowFirstColumn="0" w:firstRowLastColumn="0" w:lastRowFirstColumn="0" w:lastRowLastColumn="0"/>
            </w:pPr>
            <w:r w:rsidRPr="00E20061">
              <w:t xml:space="preserve">ONDA </w:t>
            </w:r>
          </w:p>
        </w:tc>
      </w:tr>
      <w:tr w:rsidR="00BA2A4D" w:rsidRPr="00F37F43" w14:paraId="3977A802" w14:textId="77777777" w:rsidTr="004637C7">
        <w:tc>
          <w:tcPr>
            <w:cnfStyle w:val="001000000000" w:firstRow="0" w:lastRow="0" w:firstColumn="1" w:lastColumn="0" w:oddVBand="0" w:evenVBand="0" w:oddHBand="0" w:evenHBand="0" w:firstRowFirstColumn="0" w:firstRowLastColumn="0" w:lastRowFirstColumn="0" w:lastRowLastColumn="0"/>
            <w:tcW w:w="0" w:type="auto"/>
            <w:vAlign w:val="center"/>
          </w:tcPr>
          <w:p w14:paraId="77994D7B" w14:textId="5BA8D958" w:rsidR="00BA2A4D" w:rsidRPr="00F37F43" w:rsidRDefault="00BA2A4D" w:rsidP="00E20061">
            <w:pPr>
              <w:jc w:val="left"/>
            </w:pPr>
            <w:r>
              <w:t>Milieu naturel</w:t>
            </w:r>
          </w:p>
        </w:tc>
        <w:tc>
          <w:tcPr>
            <w:tcW w:w="0" w:type="auto"/>
            <w:vAlign w:val="center"/>
            <w:hideMark/>
          </w:tcPr>
          <w:p w14:paraId="3E22B6A0" w14:textId="6F930E52" w:rsidR="00BA2A4D" w:rsidRPr="00E20061" w:rsidRDefault="00BA2A4D" w:rsidP="004637C7">
            <w:pPr>
              <w:jc w:val="left"/>
              <w:cnfStyle w:val="000000000000" w:firstRow="0" w:lastRow="0" w:firstColumn="0" w:lastColumn="0" w:oddVBand="0" w:evenVBand="0" w:oddHBand="0" w:evenHBand="0" w:firstRowFirstColumn="0" w:firstRowLastColumn="0" w:lastRowFirstColumn="0" w:lastRowLastColumn="0"/>
            </w:pPr>
            <w:r w:rsidRPr="00E20061">
              <w:t>Contrôler la végétation et les aménagements paysagers</w:t>
            </w:r>
          </w:p>
        </w:tc>
        <w:tc>
          <w:tcPr>
            <w:tcW w:w="0" w:type="auto"/>
            <w:vAlign w:val="center"/>
            <w:hideMark/>
          </w:tcPr>
          <w:p w14:paraId="54C4F8A2" w14:textId="77777777" w:rsidR="00BA2A4D" w:rsidRPr="00E20061" w:rsidRDefault="00BA2A4D" w:rsidP="004637C7">
            <w:pPr>
              <w:jc w:val="left"/>
              <w:cnfStyle w:val="000000000000" w:firstRow="0" w:lastRow="0" w:firstColumn="0" w:lastColumn="0" w:oddVBand="0" w:evenVBand="0" w:oddHBand="0" w:evenHBand="0" w:firstRowFirstColumn="0" w:firstRowLastColumn="0" w:lastRowFirstColumn="0" w:lastRowLastColumn="0"/>
            </w:pPr>
            <w:r w:rsidRPr="00E20061">
              <w:t>Zones aménagées autour des infrastructures</w:t>
            </w:r>
          </w:p>
        </w:tc>
        <w:tc>
          <w:tcPr>
            <w:tcW w:w="0" w:type="auto"/>
            <w:vAlign w:val="center"/>
            <w:hideMark/>
          </w:tcPr>
          <w:p w14:paraId="238336E5" w14:textId="77777777" w:rsidR="00BA2A4D" w:rsidRPr="00E20061" w:rsidRDefault="00BA2A4D" w:rsidP="004637C7">
            <w:pPr>
              <w:jc w:val="left"/>
              <w:cnfStyle w:val="000000000000" w:firstRow="0" w:lastRow="0" w:firstColumn="0" w:lastColumn="0" w:oddVBand="0" w:evenVBand="0" w:oddHBand="0" w:evenHBand="0" w:firstRowFirstColumn="0" w:firstRowLastColumn="0" w:lastRowFirstColumn="0" w:lastRowLastColumn="0"/>
            </w:pPr>
            <w:r w:rsidRPr="00E20061">
              <w:t>Inspection visuelle et entretien périodique</w:t>
            </w:r>
          </w:p>
        </w:tc>
        <w:tc>
          <w:tcPr>
            <w:tcW w:w="0" w:type="auto"/>
            <w:vAlign w:val="center"/>
            <w:hideMark/>
          </w:tcPr>
          <w:p w14:paraId="7BDDB313" w14:textId="77777777" w:rsidR="00BA2A4D" w:rsidRPr="00E20061" w:rsidRDefault="00BA2A4D" w:rsidP="004637C7">
            <w:pPr>
              <w:jc w:val="left"/>
              <w:cnfStyle w:val="000000000000" w:firstRow="0" w:lastRow="0" w:firstColumn="0" w:lastColumn="0" w:oddVBand="0" w:evenVBand="0" w:oddHBand="0" w:evenHBand="0" w:firstRowFirstColumn="0" w:firstRowLastColumn="0" w:lastRowFirstColumn="0" w:lastRowLastColumn="0"/>
            </w:pPr>
            <w:r w:rsidRPr="004637C7">
              <w:t>Semestrielle</w:t>
            </w:r>
          </w:p>
        </w:tc>
        <w:tc>
          <w:tcPr>
            <w:tcW w:w="0" w:type="auto"/>
            <w:vAlign w:val="center"/>
            <w:hideMark/>
          </w:tcPr>
          <w:p w14:paraId="032BCF7A" w14:textId="77777777" w:rsidR="00BA2A4D" w:rsidRPr="00E20061" w:rsidRDefault="00BA2A4D" w:rsidP="004637C7">
            <w:pPr>
              <w:jc w:val="left"/>
              <w:cnfStyle w:val="000000000000" w:firstRow="0" w:lastRow="0" w:firstColumn="0" w:lastColumn="0" w:oddVBand="0" w:evenVBand="0" w:oddHBand="0" w:evenHBand="0" w:firstRowFirstColumn="0" w:firstRowLastColumn="0" w:lastRowFirstColumn="0" w:lastRowLastColumn="0"/>
            </w:pPr>
            <w:r w:rsidRPr="00E20061">
              <w:t>Maintenir les conditions esthétiques et éviter les risques d’attraction aviaire</w:t>
            </w:r>
          </w:p>
        </w:tc>
        <w:tc>
          <w:tcPr>
            <w:tcW w:w="0" w:type="auto"/>
            <w:vAlign w:val="center"/>
            <w:hideMark/>
          </w:tcPr>
          <w:p w14:paraId="42C31A44" w14:textId="77777777" w:rsidR="00BA2A4D" w:rsidRPr="00E20061" w:rsidRDefault="00BA2A4D" w:rsidP="004637C7">
            <w:pPr>
              <w:jc w:val="left"/>
              <w:cnfStyle w:val="000000000000" w:firstRow="0" w:lastRow="0" w:firstColumn="0" w:lastColumn="0" w:oddVBand="0" w:evenVBand="0" w:oddHBand="0" w:evenHBand="0" w:firstRowFirstColumn="0" w:firstRowLastColumn="0" w:lastRowFirstColumn="0" w:lastRowLastColumn="0"/>
            </w:pPr>
            <w:r w:rsidRPr="00E20061">
              <w:t>Budget exploitation ONDA</w:t>
            </w:r>
          </w:p>
        </w:tc>
        <w:tc>
          <w:tcPr>
            <w:tcW w:w="0" w:type="auto"/>
            <w:vAlign w:val="center"/>
            <w:hideMark/>
          </w:tcPr>
          <w:p w14:paraId="51D37D38" w14:textId="0311A737" w:rsidR="00BA2A4D" w:rsidRPr="00E20061" w:rsidRDefault="00BA2A4D" w:rsidP="004637C7">
            <w:pPr>
              <w:jc w:val="left"/>
              <w:cnfStyle w:val="000000000000" w:firstRow="0" w:lastRow="0" w:firstColumn="0" w:lastColumn="0" w:oddVBand="0" w:evenVBand="0" w:oddHBand="0" w:evenHBand="0" w:firstRowFirstColumn="0" w:firstRowLastColumn="0" w:lastRowFirstColumn="0" w:lastRowLastColumn="0"/>
            </w:pPr>
            <w:r w:rsidRPr="00E20061">
              <w:t xml:space="preserve">ONDA </w:t>
            </w:r>
          </w:p>
        </w:tc>
      </w:tr>
    </w:tbl>
    <w:p w14:paraId="333A9AE3" w14:textId="24626EDC" w:rsidR="00F37F43" w:rsidRDefault="00F37F43" w:rsidP="009F3B4C"/>
    <w:p w14:paraId="342206D3" w14:textId="77777777" w:rsidR="00F37F43" w:rsidRDefault="00F37F43" w:rsidP="009F3B4C">
      <w:pPr>
        <w:sectPr w:rsidR="00F37F43" w:rsidSect="004637C7">
          <w:headerReference w:type="default" r:id="rId155"/>
          <w:footerReference w:type="default" r:id="rId156"/>
          <w:pgSz w:w="16838" w:h="11906" w:orient="landscape"/>
          <w:pgMar w:top="1418" w:right="1418" w:bottom="1418" w:left="1276" w:header="680" w:footer="680" w:gutter="0"/>
          <w:cols w:space="708"/>
          <w:docGrid w:linePitch="360"/>
        </w:sectPr>
      </w:pPr>
    </w:p>
    <w:p w14:paraId="6C4340E4" w14:textId="7BB78F71" w:rsidR="00D46BD7" w:rsidRPr="00D60FC9" w:rsidRDefault="00D46BD7" w:rsidP="00D60FC9">
      <w:pPr>
        <w:rPr>
          <w:rFonts w:eastAsia="Calibri"/>
          <w:lang w:bidi="ar-SA"/>
        </w:rPr>
      </w:pPr>
    </w:p>
    <w:p w14:paraId="2409E134" w14:textId="733E2FF5" w:rsidR="0080603C" w:rsidRPr="0080603C" w:rsidRDefault="00A14C83" w:rsidP="00741F73">
      <w:pPr>
        <w:pStyle w:val="Title2"/>
        <w:rPr>
          <w:lang w:val="fr-MA" w:bidi="ar-SA"/>
        </w:rPr>
      </w:pPr>
      <w:bookmarkStart w:id="548" w:name="_bookmark233"/>
      <w:bookmarkStart w:id="549" w:name="_bookmark31"/>
      <w:bookmarkStart w:id="550" w:name="_bookmark34"/>
      <w:bookmarkStart w:id="551" w:name="_bookmark35"/>
      <w:bookmarkStart w:id="552" w:name="_bookmark37"/>
      <w:bookmarkStart w:id="553" w:name="_bookmark36"/>
      <w:bookmarkStart w:id="554" w:name="_Toc134628758"/>
      <w:bookmarkStart w:id="555" w:name="_Toc134630293"/>
      <w:bookmarkStart w:id="556" w:name="_Toc33184235"/>
      <w:bookmarkStart w:id="557" w:name="_Toc24716559"/>
      <w:bookmarkStart w:id="558" w:name="_Toc181619052"/>
      <w:bookmarkStart w:id="559" w:name="_Toc215131922"/>
      <w:bookmarkEnd w:id="548"/>
      <w:bookmarkEnd w:id="549"/>
      <w:bookmarkEnd w:id="550"/>
      <w:bookmarkEnd w:id="551"/>
      <w:bookmarkEnd w:id="552"/>
      <w:bookmarkEnd w:id="553"/>
      <w:bookmarkEnd w:id="554"/>
      <w:bookmarkEnd w:id="555"/>
      <w:bookmarkEnd w:id="556"/>
      <w:bookmarkEnd w:id="557"/>
      <w:r>
        <w:rPr>
          <w:lang w:val="fr-MA" w:eastAsia="fr-FR" w:bidi="ar-SA"/>
        </w:rPr>
        <w:t>Les plans de gestion sectoriels</w:t>
      </w:r>
      <w:r w:rsidR="00422FA1">
        <w:rPr>
          <w:lang w:val="fr-MA" w:eastAsia="fr-FR" w:bidi="ar-SA"/>
        </w:rPr>
        <w:t xml:space="preserve"> </w:t>
      </w:r>
      <w:r w:rsidR="00422FA1" w:rsidRPr="00422FA1">
        <w:rPr>
          <w:lang w:val="fr-MA" w:eastAsia="fr-FR" w:bidi="ar-SA"/>
        </w:rPr>
        <w:t>environnementaux et sociaux</w:t>
      </w:r>
      <w:bookmarkEnd w:id="559"/>
    </w:p>
    <w:p w14:paraId="01B9ACC8" w14:textId="34253190" w:rsidR="00D21269" w:rsidRDefault="00D21269" w:rsidP="00D21269">
      <w:pPr>
        <w:rPr>
          <w:rFonts w:eastAsia="Calibri"/>
          <w:lang w:bidi="ar-SA"/>
        </w:rPr>
      </w:pPr>
      <w:r w:rsidRPr="00D46BD7">
        <w:rPr>
          <w:rFonts w:eastAsia="Calibri"/>
          <w:lang w:bidi="ar-SA"/>
        </w:rPr>
        <w:t xml:space="preserve">Des </w:t>
      </w:r>
      <w:r w:rsidRPr="004637C7">
        <w:rPr>
          <w:rFonts w:eastAsia="Calibri"/>
          <w:lang w:bidi="ar-SA"/>
        </w:rPr>
        <w:t>plans de gestion sectoriels</w:t>
      </w:r>
      <w:r w:rsidRPr="00D46BD7">
        <w:rPr>
          <w:rFonts w:eastAsia="Calibri"/>
          <w:lang w:bidi="ar-SA"/>
        </w:rPr>
        <w:t xml:space="preserve"> complètent le présent PGES afin d’assurer la traduction opérationnelle des mesures d’atténuation et de suivi identifiées dans l’EIES.</w:t>
      </w:r>
      <w:r w:rsidR="00D46BD7">
        <w:rPr>
          <w:rFonts w:eastAsia="Calibri"/>
          <w:lang w:bidi="ar-SA"/>
        </w:rPr>
        <w:t xml:space="preserve"> </w:t>
      </w:r>
      <w:r w:rsidRPr="00D46BD7">
        <w:rPr>
          <w:rFonts w:eastAsia="Calibri"/>
          <w:lang w:bidi="ar-SA"/>
        </w:rPr>
        <w:t xml:space="preserve">Ces plans, élaborés par </w:t>
      </w:r>
      <w:r w:rsidRPr="004637C7">
        <w:rPr>
          <w:rFonts w:eastAsia="Calibri"/>
          <w:lang w:bidi="ar-SA"/>
        </w:rPr>
        <w:t>l’EPC</w:t>
      </w:r>
      <w:r w:rsidRPr="00D46BD7">
        <w:rPr>
          <w:rFonts w:eastAsia="Calibri"/>
          <w:lang w:bidi="ar-SA"/>
        </w:rPr>
        <w:t xml:space="preserve">, validés par </w:t>
      </w:r>
      <w:r w:rsidRPr="004637C7">
        <w:rPr>
          <w:rFonts w:eastAsia="Calibri"/>
          <w:lang w:bidi="ar-SA"/>
        </w:rPr>
        <w:t>l’ONDA</w:t>
      </w:r>
      <w:r w:rsidRPr="00D46BD7">
        <w:rPr>
          <w:rFonts w:eastAsia="Calibri"/>
          <w:lang w:bidi="ar-SA"/>
        </w:rPr>
        <w:t xml:space="preserve">, et suivis par la </w:t>
      </w:r>
      <w:r w:rsidRPr="004637C7">
        <w:rPr>
          <w:rFonts w:eastAsia="Calibri"/>
          <w:lang w:bidi="ar-SA"/>
        </w:rPr>
        <w:t>Mission de Contrôle/AMO</w:t>
      </w:r>
      <w:r w:rsidRPr="00D46BD7">
        <w:rPr>
          <w:rFonts w:eastAsia="Calibri"/>
          <w:lang w:bidi="ar-SA"/>
        </w:rPr>
        <w:t>, permettront une mise en œuvre structurée, documentée et traçable des engagements environnementaux et sociaux.</w:t>
      </w:r>
    </w:p>
    <w:p w14:paraId="146805B0" w14:textId="499F5CD8" w:rsidR="00D21269" w:rsidRDefault="00D21269" w:rsidP="00D46BD7">
      <w:pPr>
        <w:rPr>
          <w:rFonts w:eastAsia="Calibri"/>
          <w:lang w:bidi="ar-SA"/>
        </w:rPr>
      </w:pPr>
      <w:r w:rsidRPr="00D46BD7">
        <w:rPr>
          <w:rFonts w:eastAsia="Calibri"/>
          <w:lang w:bidi="ar-SA"/>
        </w:rPr>
        <w:t xml:space="preserve">Ils s’appliquent à la </w:t>
      </w:r>
      <w:r w:rsidRPr="004637C7">
        <w:rPr>
          <w:rFonts w:eastAsia="Calibri"/>
          <w:lang w:bidi="ar-SA"/>
        </w:rPr>
        <w:t>phase de construction</w:t>
      </w:r>
      <w:r w:rsidRPr="00D46BD7">
        <w:rPr>
          <w:rFonts w:eastAsia="Calibri"/>
          <w:lang w:bidi="ar-SA"/>
        </w:rPr>
        <w:t xml:space="preserve"> et/ou à la </w:t>
      </w:r>
      <w:r w:rsidRPr="004637C7">
        <w:rPr>
          <w:rFonts w:eastAsia="Calibri"/>
          <w:lang w:bidi="ar-SA"/>
        </w:rPr>
        <w:t>phase d’exploitation</w:t>
      </w:r>
      <w:r w:rsidRPr="00D46BD7">
        <w:rPr>
          <w:rFonts w:eastAsia="Calibri"/>
          <w:lang w:bidi="ar-SA"/>
        </w:rPr>
        <w:t>, selon la nature du risque concerné.</w:t>
      </w:r>
    </w:p>
    <w:p w14:paraId="1E87196B" w14:textId="77777777" w:rsidR="004E045A" w:rsidRPr="00D46BD7" w:rsidRDefault="004E045A" w:rsidP="00D46BD7">
      <w:pPr>
        <w:rPr>
          <w:rFonts w:eastAsia="Calibri"/>
          <w:lang w:bidi="ar-SA"/>
        </w:rPr>
      </w:pPr>
    </w:p>
    <w:p w14:paraId="5593D91B" w14:textId="716828E6" w:rsidR="00D21269" w:rsidRPr="00D21269" w:rsidRDefault="00D21269" w:rsidP="004637C7">
      <w:pPr>
        <w:pStyle w:val="Title3"/>
        <w:rPr>
          <w:rFonts w:eastAsia="Calibri"/>
          <w:lang w:bidi="ar-SA"/>
        </w:rPr>
      </w:pPr>
      <w:bookmarkStart w:id="560" w:name="_Toc215131923"/>
      <w:r w:rsidRPr="00D21269">
        <w:rPr>
          <w:rFonts w:eastAsia="Calibri"/>
          <w:lang w:bidi="ar-SA"/>
        </w:rPr>
        <w:t>Plan de sécurité et de sûreté</w:t>
      </w:r>
      <w:bookmarkEnd w:id="560"/>
    </w:p>
    <w:p w14:paraId="72A7D9A8" w14:textId="77777777" w:rsidR="00D21269" w:rsidRDefault="00D21269" w:rsidP="00D21269">
      <w:pPr>
        <w:rPr>
          <w:rFonts w:eastAsia="Calibri"/>
          <w:lang w:bidi="ar-SA"/>
        </w:rPr>
      </w:pPr>
      <w:r w:rsidRPr="00D21269">
        <w:rPr>
          <w:rFonts w:eastAsia="Calibri"/>
          <w:lang w:bidi="ar-SA"/>
        </w:rPr>
        <w:t>Ce plan vise à prévenir tout incident lié à la sécurité physique des travailleurs, des infrastructures et des biens, ainsi qu’à garantir la sûreté du chantier et du périmètre aéroportuaire. Il fixe les mesures organisationnelles, techniques et humaines nécessaires pour gérer efficacement les risques d’intrusion, d’incendie ou d’accident majeur.</w:t>
      </w:r>
    </w:p>
    <w:p w14:paraId="23FCB674" w14:textId="1EDF2C01" w:rsidR="00D21269" w:rsidRPr="00D21269" w:rsidRDefault="00D21269" w:rsidP="00D21269">
      <w:pPr>
        <w:rPr>
          <w:rFonts w:eastAsia="Calibri"/>
          <w:lang w:bidi="ar-SA"/>
        </w:rPr>
      </w:pPr>
      <w:r w:rsidRPr="00D21269">
        <w:rPr>
          <w:rFonts w:eastAsia="Calibri"/>
          <w:b/>
          <w:bCs/>
          <w:lang w:bidi="ar-SA"/>
        </w:rPr>
        <w:t xml:space="preserve"> Contenu :</w:t>
      </w:r>
    </w:p>
    <w:p w14:paraId="30F04B38" w14:textId="77777777" w:rsidR="00D21269" w:rsidRPr="00D21269" w:rsidRDefault="00D21269" w:rsidP="0001633E">
      <w:pPr>
        <w:numPr>
          <w:ilvl w:val="0"/>
          <w:numId w:val="144"/>
        </w:numPr>
        <w:spacing w:line="240" w:lineRule="auto"/>
        <w:rPr>
          <w:rFonts w:eastAsia="Calibri"/>
          <w:lang w:bidi="ar-SA"/>
        </w:rPr>
      </w:pPr>
      <w:r w:rsidRPr="00D21269">
        <w:rPr>
          <w:rFonts w:eastAsia="Calibri"/>
          <w:lang w:bidi="ar-SA"/>
        </w:rPr>
        <w:t>Organisation et rôles des responsables de la sécurité (EPC / ONDA / sous-traitants) ;</w:t>
      </w:r>
    </w:p>
    <w:p w14:paraId="0D827D56" w14:textId="77777777" w:rsidR="00D21269" w:rsidRPr="00D21269" w:rsidRDefault="00D21269" w:rsidP="0001633E">
      <w:pPr>
        <w:numPr>
          <w:ilvl w:val="0"/>
          <w:numId w:val="144"/>
        </w:numPr>
        <w:spacing w:line="240" w:lineRule="auto"/>
        <w:rPr>
          <w:rFonts w:eastAsia="Calibri"/>
          <w:lang w:bidi="ar-SA"/>
        </w:rPr>
      </w:pPr>
      <w:r w:rsidRPr="00D21269">
        <w:rPr>
          <w:rFonts w:eastAsia="Calibri"/>
          <w:lang w:bidi="ar-SA"/>
        </w:rPr>
        <w:t>Dispositifs physiques de sûreté : clôtures, signalisation, contrôle d’accès ;</w:t>
      </w:r>
    </w:p>
    <w:p w14:paraId="620F057C" w14:textId="77777777" w:rsidR="00D21269" w:rsidRPr="00D21269" w:rsidRDefault="00D21269" w:rsidP="0001633E">
      <w:pPr>
        <w:numPr>
          <w:ilvl w:val="0"/>
          <w:numId w:val="144"/>
        </w:numPr>
        <w:spacing w:line="240" w:lineRule="auto"/>
        <w:rPr>
          <w:rFonts w:eastAsia="Calibri"/>
          <w:lang w:bidi="ar-SA"/>
        </w:rPr>
      </w:pPr>
      <w:r w:rsidRPr="00D21269">
        <w:rPr>
          <w:rFonts w:eastAsia="Calibri"/>
          <w:lang w:bidi="ar-SA"/>
        </w:rPr>
        <w:t>Plan de prévention des incendies et procédures d’évacuation ;</w:t>
      </w:r>
    </w:p>
    <w:p w14:paraId="75525D8E" w14:textId="77777777" w:rsidR="00D21269" w:rsidRPr="00D21269" w:rsidRDefault="00D21269" w:rsidP="0001633E">
      <w:pPr>
        <w:numPr>
          <w:ilvl w:val="0"/>
          <w:numId w:val="144"/>
        </w:numPr>
        <w:spacing w:line="240" w:lineRule="auto"/>
        <w:rPr>
          <w:rFonts w:eastAsia="Calibri"/>
          <w:lang w:bidi="ar-SA"/>
        </w:rPr>
      </w:pPr>
      <w:r w:rsidRPr="00D21269">
        <w:rPr>
          <w:rFonts w:eastAsia="Calibri"/>
          <w:lang w:bidi="ar-SA"/>
        </w:rPr>
        <w:t>Systèmes de communication d’urgence et coordination avec la Protection Civile ;</w:t>
      </w:r>
    </w:p>
    <w:p w14:paraId="73DC05EC" w14:textId="77777777" w:rsidR="00D21269" w:rsidRPr="00D21269" w:rsidRDefault="00D21269" w:rsidP="0001633E">
      <w:pPr>
        <w:numPr>
          <w:ilvl w:val="0"/>
          <w:numId w:val="144"/>
        </w:numPr>
        <w:spacing w:line="240" w:lineRule="auto"/>
        <w:rPr>
          <w:rFonts w:eastAsia="Calibri"/>
          <w:lang w:bidi="ar-SA"/>
        </w:rPr>
      </w:pPr>
      <w:r w:rsidRPr="00D21269">
        <w:rPr>
          <w:rFonts w:eastAsia="Calibri"/>
          <w:lang w:bidi="ar-SA"/>
        </w:rPr>
        <w:t>Formation du personnel et fiches de sécurité affichées ;</w:t>
      </w:r>
    </w:p>
    <w:p w14:paraId="5ADC19F5" w14:textId="77777777" w:rsidR="00D21269" w:rsidRDefault="00D21269" w:rsidP="0001633E">
      <w:pPr>
        <w:numPr>
          <w:ilvl w:val="0"/>
          <w:numId w:val="144"/>
        </w:numPr>
        <w:spacing w:line="240" w:lineRule="auto"/>
        <w:rPr>
          <w:rFonts w:eastAsia="Calibri"/>
          <w:lang w:bidi="ar-SA"/>
        </w:rPr>
      </w:pPr>
      <w:r w:rsidRPr="00D21269">
        <w:rPr>
          <w:rFonts w:eastAsia="Calibri"/>
          <w:lang w:bidi="ar-SA"/>
        </w:rPr>
        <w:t>Conformité à l’Arrêté marocain n°93-08 et directives BAD/IFC.</w:t>
      </w:r>
    </w:p>
    <w:p w14:paraId="3C679547" w14:textId="77777777" w:rsidR="00D21269" w:rsidRPr="00D21269" w:rsidRDefault="00D21269" w:rsidP="004637C7">
      <w:pPr>
        <w:tabs>
          <w:tab w:val="num" w:pos="720"/>
        </w:tabs>
        <w:spacing w:line="240" w:lineRule="auto"/>
        <w:rPr>
          <w:rFonts w:eastAsia="Calibri"/>
          <w:lang w:bidi="ar-SA"/>
        </w:rPr>
      </w:pPr>
    </w:p>
    <w:p w14:paraId="536BA5CC" w14:textId="27D170A2" w:rsidR="00D21269" w:rsidRPr="00D21269" w:rsidRDefault="00D21269" w:rsidP="004637C7">
      <w:pPr>
        <w:pStyle w:val="Title3"/>
        <w:rPr>
          <w:rFonts w:eastAsia="Calibri"/>
          <w:lang w:bidi="ar-SA"/>
        </w:rPr>
      </w:pPr>
      <w:bookmarkStart w:id="561" w:name="_Toc215131924"/>
      <w:r w:rsidRPr="00D21269">
        <w:rPr>
          <w:rFonts w:eastAsia="Calibri"/>
          <w:lang w:bidi="ar-SA"/>
        </w:rPr>
        <w:t>Plan de santé et de sécurité au travail (SST)</w:t>
      </w:r>
      <w:bookmarkEnd w:id="561"/>
    </w:p>
    <w:p w14:paraId="4A52FD86" w14:textId="77777777" w:rsidR="00D21269" w:rsidRDefault="00D21269" w:rsidP="00D21269">
      <w:pPr>
        <w:rPr>
          <w:rFonts w:eastAsia="Calibri"/>
          <w:lang w:bidi="ar-SA"/>
        </w:rPr>
      </w:pPr>
      <w:r w:rsidRPr="00D21269">
        <w:rPr>
          <w:rFonts w:eastAsia="Calibri"/>
          <w:lang w:bidi="ar-SA"/>
        </w:rPr>
        <w:t>Ce plan établit les mesures nécessaires pour assurer la protection des travailleurs, la prévention des accidents et la conformité avec les standards nationaux et internationaux (Code du Travail, OIT, IFC). Il sert de guide pour la gestion proactive des risques sur le site.</w:t>
      </w:r>
    </w:p>
    <w:p w14:paraId="63C45767" w14:textId="3A28CD26" w:rsidR="00D21269" w:rsidRPr="00D21269" w:rsidRDefault="00D21269" w:rsidP="00D21269">
      <w:pPr>
        <w:rPr>
          <w:rFonts w:eastAsia="Calibri"/>
          <w:lang w:bidi="ar-SA"/>
        </w:rPr>
      </w:pPr>
      <w:r w:rsidRPr="00D21269">
        <w:rPr>
          <w:rFonts w:eastAsia="Calibri"/>
          <w:b/>
          <w:bCs/>
          <w:lang w:bidi="ar-SA"/>
        </w:rPr>
        <w:t>Contenu :</w:t>
      </w:r>
    </w:p>
    <w:p w14:paraId="7E59F184" w14:textId="77777777" w:rsidR="00D21269" w:rsidRPr="00D21269" w:rsidRDefault="00D21269" w:rsidP="0001633E">
      <w:pPr>
        <w:numPr>
          <w:ilvl w:val="0"/>
          <w:numId w:val="145"/>
        </w:numPr>
        <w:spacing w:line="240" w:lineRule="auto"/>
        <w:rPr>
          <w:rFonts w:eastAsia="Calibri"/>
          <w:lang w:bidi="ar-SA"/>
        </w:rPr>
      </w:pPr>
      <w:r w:rsidRPr="00D21269">
        <w:rPr>
          <w:rFonts w:eastAsia="Calibri"/>
          <w:lang w:bidi="ar-SA"/>
        </w:rPr>
        <w:t>Identification et évaluation des risques professionnels ;</w:t>
      </w:r>
    </w:p>
    <w:p w14:paraId="5B9352C2" w14:textId="77777777" w:rsidR="00D21269" w:rsidRPr="00D21269" w:rsidRDefault="00D21269" w:rsidP="0001633E">
      <w:pPr>
        <w:numPr>
          <w:ilvl w:val="0"/>
          <w:numId w:val="145"/>
        </w:numPr>
        <w:spacing w:line="240" w:lineRule="auto"/>
        <w:rPr>
          <w:rFonts w:eastAsia="Calibri"/>
          <w:lang w:bidi="ar-SA"/>
        </w:rPr>
      </w:pPr>
      <w:r w:rsidRPr="00D21269">
        <w:rPr>
          <w:rFonts w:eastAsia="Calibri"/>
          <w:lang w:bidi="ar-SA"/>
        </w:rPr>
        <w:t>Gestion des équipements de protection individuelle (EPI) ;</w:t>
      </w:r>
    </w:p>
    <w:p w14:paraId="3DDAB56B" w14:textId="77777777" w:rsidR="00D21269" w:rsidRPr="00D21269" w:rsidRDefault="00D21269" w:rsidP="0001633E">
      <w:pPr>
        <w:numPr>
          <w:ilvl w:val="0"/>
          <w:numId w:val="145"/>
        </w:numPr>
        <w:spacing w:line="240" w:lineRule="auto"/>
        <w:rPr>
          <w:rFonts w:eastAsia="Calibri"/>
          <w:lang w:bidi="ar-SA"/>
        </w:rPr>
      </w:pPr>
      <w:r w:rsidRPr="00D21269">
        <w:rPr>
          <w:rFonts w:eastAsia="Calibri"/>
          <w:lang w:bidi="ar-SA"/>
        </w:rPr>
        <w:t>Procédures d’accès en zone à risque et permis de travail ;</w:t>
      </w:r>
    </w:p>
    <w:p w14:paraId="0A6E94A7" w14:textId="77777777" w:rsidR="00D21269" w:rsidRPr="00D21269" w:rsidRDefault="00D21269" w:rsidP="0001633E">
      <w:pPr>
        <w:numPr>
          <w:ilvl w:val="0"/>
          <w:numId w:val="145"/>
        </w:numPr>
        <w:spacing w:line="240" w:lineRule="auto"/>
        <w:rPr>
          <w:rFonts w:eastAsia="Calibri"/>
          <w:lang w:bidi="ar-SA"/>
        </w:rPr>
      </w:pPr>
      <w:r w:rsidRPr="00D21269">
        <w:rPr>
          <w:rFonts w:eastAsia="Calibri"/>
          <w:lang w:bidi="ar-SA"/>
        </w:rPr>
        <w:t>Formations HSE obligatoires et sensibilisation continue ;</w:t>
      </w:r>
    </w:p>
    <w:p w14:paraId="4F4988C8" w14:textId="77777777" w:rsidR="00D21269" w:rsidRPr="00D21269" w:rsidRDefault="00D21269" w:rsidP="0001633E">
      <w:pPr>
        <w:numPr>
          <w:ilvl w:val="0"/>
          <w:numId w:val="145"/>
        </w:numPr>
        <w:spacing w:line="240" w:lineRule="auto"/>
        <w:rPr>
          <w:rFonts w:eastAsia="Calibri"/>
          <w:lang w:bidi="ar-SA"/>
        </w:rPr>
      </w:pPr>
      <w:r w:rsidRPr="00D21269">
        <w:rPr>
          <w:rFonts w:eastAsia="Calibri"/>
          <w:lang w:bidi="ar-SA"/>
        </w:rPr>
        <w:t>Gestion des incidents, premiers secours et enquêtes post-accident ;</w:t>
      </w:r>
    </w:p>
    <w:p w14:paraId="531150C0" w14:textId="77777777" w:rsidR="00D21269" w:rsidRPr="00D21269" w:rsidRDefault="00D21269" w:rsidP="0001633E">
      <w:pPr>
        <w:numPr>
          <w:ilvl w:val="0"/>
          <w:numId w:val="145"/>
        </w:numPr>
        <w:spacing w:line="240" w:lineRule="auto"/>
        <w:rPr>
          <w:rFonts w:eastAsia="Calibri"/>
          <w:lang w:bidi="ar-SA"/>
        </w:rPr>
      </w:pPr>
      <w:r w:rsidRPr="00D21269">
        <w:rPr>
          <w:rFonts w:eastAsia="Calibri"/>
          <w:lang w:bidi="ar-SA"/>
        </w:rPr>
        <w:t>Indicateurs SST (taux de fréquence et de gravité) et audits internes.</w:t>
      </w:r>
    </w:p>
    <w:p w14:paraId="5A53A566" w14:textId="4412DFC6" w:rsidR="00D21269" w:rsidRPr="00D21269" w:rsidRDefault="00D21269" w:rsidP="00D21269">
      <w:pPr>
        <w:rPr>
          <w:rFonts w:eastAsia="Calibri"/>
          <w:lang w:bidi="ar-SA"/>
        </w:rPr>
      </w:pPr>
    </w:p>
    <w:p w14:paraId="55FD171D" w14:textId="728067DE" w:rsidR="00D21269" w:rsidRPr="00D21269" w:rsidRDefault="00D21269" w:rsidP="004637C7">
      <w:pPr>
        <w:pStyle w:val="Title3"/>
        <w:rPr>
          <w:rFonts w:eastAsia="Calibri"/>
          <w:bCs/>
          <w:lang w:bidi="ar-SA"/>
        </w:rPr>
      </w:pPr>
      <w:bookmarkStart w:id="562" w:name="_Toc215131925"/>
      <w:r w:rsidRPr="00D21269">
        <w:rPr>
          <w:rFonts w:eastAsia="Calibri"/>
          <w:bCs/>
          <w:lang w:bidi="ar-SA"/>
        </w:rPr>
        <w:lastRenderedPageBreak/>
        <w:t>Plan de gestion de la main-d’œuvre</w:t>
      </w:r>
      <w:bookmarkEnd w:id="562"/>
    </w:p>
    <w:p w14:paraId="18D3CD5B" w14:textId="77777777" w:rsidR="00D21269" w:rsidRDefault="00D21269" w:rsidP="00D21269">
      <w:pPr>
        <w:rPr>
          <w:rFonts w:eastAsia="Calibri"/>
          <w:lang w:bidi="ar-SA"/>
        </w:rPr>
      </w:pPr>
      <w:r w:rsidRPr="00D21269">
        <w:rPr>
          <w:rFonts w:eastAsia="Calibri"/>
          <w:lang w:bidi="ar-SA"/>
        </w:rPr>
        <w:t>Ce plan encadre le recrutement, la formation, les conditions de travail et la démobilisation du personnel. Il garantit le respect des droits fondamentaux des travailleurs et l’équité dans l’emploi, conformément à la SO2 de la BAD et au Code du Travail marocain.</w:t>
      </w:r>
    </w:p>
    <w:p w14:paraId="696CA44D" w14:textId="70341342" w:rsidR="00D21269" w:rsidRPr="00D21269" w:rsidRDefault="00D21269" w:rsidP="00D21269">
      <w:pPr>
        <w:rPr>
          <w:rFonts w:eastAsia="Calibri"/>
          <w:lang w:bidi="ar-SA"/>
        </w:rPr>
      </w:pPr>
      <w:r w:rsidRPr="00D21269">
        <w:rPr>
          <w:rFonts w:eastAsia="Calibri"/>
          <w:b/>
          <w:bCs/>
          <w:lang w:bidi="ar-SA"/>
        </w:rPr>
        <w:t>Contenu :</w:t>
      </w:r>
    </w:p>
    <w:p w14:paraId="07E805FA" w14:textId="77777777" w:rsidR="00D21269" w:rsidRPr="00D21269" w:rsidRDefault="00D21269" w:rsidP="0001633E">
      <w:pPr>
        <w:numPr>
          <w:ilvl w:val="0"/>
          <w:numId w:val="146"/>
        </w:numPr>
        <w:spacing w:line="240" w:lineRule="auto"/>
        <w:rPr>
          <w:rFonts w:eastAsia="Calibri"/>
          <w:lang w:bidi="ar-SA"/>
        </w:rPr>
      </w:pPr>
      <w:r w:rsidRPr="00D21269">
        <w:rPr>
          <w:rFonts w:eastAsia="Calibri"/>
          <w:lang w:bidi="ar-SA"/>
        </w:rPr>
        <w:t>Recrutement local prioritaire et égalité de traitement (genre, âge, statut) ;</w:t>
      </w:r>
    </w:p>
    <w:p w14:paraId="6B39FFCA" w14:textId="77777777" w:rsidR="00D21269" w:rsidRPr="00D21269" w:rsidRDefault="00D21269" w:rsidP="0001633E">
      <w:pPr>
        <w:numPr>
          <w:ilvl w:val="0"/>
          <w:numId w:val="146"/>
        </w:numPr>
        <w:spacing w:line="240" w:lineRule="auto"/>
        <w:rPr>
          <w:rFonts w:eastAsia="Calibri"/>
          <w:lang w:bidi="ar-SA"/>
        </w:rPr>
      </w:pPr>
      <w:r w:rsidRPr="00D21269">
        <w:rPr>
          <w:rFonts w:eastAsia="Calibri"/>
          <w:lang w:bidi="ar-SA"/>
        </w:rPr>
        <w:t>Plan de formation professionnelle et transfert de compétences ;</w:t>
      </w:r>
    </w:p>
    <w:p w14:paraId="2B16DC86" w14:textId="77777777" w:rsidR="00D21269" w:rsidRPr="00D21269" w:rsidRDefault="00D21269" w:rsidP="0001633E">
      <w:pPr>
        <w:numPr>
          <w:ilvl w:val="0"/>
          <w:numId w:val="146"/>
        </w:numPr>
        <w:spacing w:line="240" w:lineRule="auto"/>
        <w:rPr>
          <w:rFonts w:eastAsia="Calibri"/>
          <w:lang w:bidi="ar-SA"/>
        </w:rPr>
      </w:pPr>
      <w:r w:rsidRPr="00D21269">
        <w:rPr>
          <w:rFonts w:eastAsia="Calibri"/>
          <w:lang w:bidi="ar-SA"/>
        </w:rPr>
        <w:t>Conditions d’hygiène et d’hébergement conformes aux normes ;</w:t>
      </w:r>
    </w:p>
    <w:p w14:paraId="2716C923" w14:textId="77777777" w:rsidR="00D21269" w:rsidRPr="00D21269" w:rsidRDefault="00D21269" w:rsidP="0001633E">
      <w:pPr>
        <w:numPr>
          <w:ilvl w:val="0"/>
          <w:numId w:val="146"/>
        </w:numPr>
        <w:spacing w:line="240" w:lineRule="auto"/>
        <w:rPr>
          <w:rFonts w:eastAsia="Calibri"/>
          <w:lang w:bidi="ar-SA"/>
        </w:rPr>
      </w:pPr>
      <w:r w:rsidRPr="00D21269">
        <w:rPr>
          <w:rFonts w:eastAsia="Calibri"/>
          <w:lang w:bidi="ar-SA"/>
        </w:rPr>
        <w:t>Mécanisme de gestion des plaintes des travailleurs ;</w:t>
      </w:r>
    </w:p>
    <w:p w14:paraId="302F0FFE" w14:textId="77777777" w:rsidR="00D21269" w:rsidRPr="00D21269" w:rsidRDefault="00D21269" w:rsidP="0001633E">
      <w:pPr>
        <w:numPr>
          <w:ilvl w:val="0"/>
          <w:numId w:val="146"/>
        </w:numPr>
        <w:spacing w:line="240" w:lineRule="auto"/>
        <w:rPr>
          <w:rFonts w:eastAsia="Calibri"/>
          <w:lang w:bidi="ar-SA"/>
        </w:rPr>
      </w:pPr>
      <w:r w:rsidRPr="00D21269">
        <w:rPr>
          <w:rFonts w:eastAsia="Calibri"/>
          <w:lang w:bidi="ar-SA"/>
        </w:rPr>
        <w:t>Prévention du travail forcé et des discriminations ;</w:t>
      </w:r>
    </w:p>
    <w:p w14:paraId="188559AB" w14:textId="77777777" w:rsidR="00D21269" w:rsidRPr="00D21269" w:rsidRDefault="00D21269" w:rsidP="0001633E">
      <w:pPr>
        <w:numPr>
          <w:ilvl w:val="0"/>
          <w:numId w:val="146"/>
        </w:numPr>
        <w:spacing w:line="240" w:lineRule="auto"/>
        <w:rPr>
          <w:rFonts w:eastAsia="Calibri"/>
          <w:lang w:bidi="ar-SA"/>
        </w:rPr>
      </w:pPr>
      <w:r w:rsidRPr="00D21269">
        <w:rPr>
          <w:rFonts w:eastAsia="Calibri"/>
          <w:lang w:bidi="ar-SA"/>
        </w:rPr>
        <w:t>Plan de démobilisation responsable et traçable.</w:t>
      </w:r>
    </w:p>
    <w:p w14:paraId="4ECDB928" w14:textId="7A2E6AF1" w:rsidR="00D21269" w:rsidRPr="00D21269" w:rsidRDefault="00D21269" w:rsidP="00D21269">
      <w:pPr>
        <w:rPr>
          <w:rFonts w:eastAsia="Calibri"/>
          <w:lang w:bidi="ar-SA"/>
        </w:rPr>
      </w:pPr>
    </w:p>
    <w:p w14:paraId="45450AAC" w14:textId="6665B29C" w:rsidR="00D21269" w:rsidRPr="00D21269" w:rsidRDefault="00D21269" w:rsidP="004637C7">
      <w:pPr>
        <w:pStyle w:val="Title3"/>
        <w:rPr>
          <w:rFonts w:eastAsia="Calibri"/>
          <w:lang w:bidi="ar-SA"/>
        </w:rPr>
      </w:pPr>
      <w:bookmarkStart w:id="563" w:name="_Toc215131926"/>
      <w:r w:rsidRPr="00D21269">
        <w:rPr>
          <w:rFonts w:eastAsia="Calibri"/>
          <w:lang w:bidi="ar-SA"/>
        </w:rPr>
        <w:t>Plan communautaire de santé, sécurité et sûreté</w:t>
      </w:r>
      <w:bookmarkEnd w:id="563"/>
    </w:p>
    <w:p w14:paraId="761EB008" w14:textId="003E6DBC" w:rsidR="00D21269" w:rsidRDefault="00D21269" w:rsidP="00D21269">
      <w:pPr>
        <w:rPr>
          <w:rFonts w:eastAsia="Calibri"/>
          <w:lang w:bidi="ar-SA"/>
        </w:rPr>
      </w:pPr>
      <w:r w:rsidRPr="00D21269">
        <w:rPr>
          <w:rFonts w:eastAsia="Calibri"/>
          <w:lang w:bidi="ar-SA"/>
        </w:rPr>
        <w:t>Ce plan vise à protéger les communautés avoisinantes contre les risques découlant des activités du projet (trafic, nuisances, interactions sociales). Il intègre également les aspects liés à la prévention des violences basées sur le genre.</w:t>
      </w:r>
    </w:p>
    <w:p w14:paraId="04B74BD8" w14:textId="1C9E0B28" w:rsidR="00D21269" w:rsidRPr="00D21269" w:rsidRDefault="00D21269" w:rsidP="00D21269">
      <w:pPr>
        <w:rPr>
          <w:rFonts w:eastAsia="Calibri"/>
          <w:lang w:bidi="ar-SA"/>
        </w:rPr>
      </w:pPr>
      <w:r w:rsidRPr="00D21269">
        <w:rPr>
          <w:rFonts w:eastAsia="Calibri"/>
          <w:b/>
          <w:bCs/>
          <w:lang w:bidi="ar-SA"/>
        </w:rPr>
        <w:t>Contenu :</w:t>
      </w:r>
    </w:p>
    <w:p w14:paraId="06E54B67" w14:textId="77777777" w:rsidR="00D21269" w:rsidRPr="00D21269" w:rsidRDefault="00D21269" w:rsidP="0001633E">
      <w:pPr>
        <w:numPr>
          <w:ilvl w:val="0"/>
          <w:numId w:val="147"/>
        </w:numPr>
        <w:spacing w:line="240" w:lineRule="auto"/>
        <w:rPr>
          <w:rFonts w:eastAsia="Calibri"/>
          <w:lang w:bidi="ar-SA"/>
        </w:rPr>
      </w:pPr>
      <w:r w:rsidRPr="00D21269">
        <w:rPr>
          <w:rFonts w:eastAsia="Calibri"/>
          <w:lang w:bidi="ar-SA"/>
        </w:rPr>
        <w:t>Identification et évaluation des risques communautaires ;</w:t>
      </w:r>
    </w:p>
    <w:p w14:paraId="258A6F28" w14:textId="77777777" w:rsidR="00D21269" w:rsidRPr="00D21269" w:rsidRDefault="00D21269" w:rsidP="0001633E">
      <w:pPr>
        <w:numPr>
          <w:ilvl w:val="0"/>
          <w:numId w:val="147"/>
        </w:numPr>
        <w:spacing w:line="240" w:lineRule="auto"/>
        <w:rPr>
          <w:rFonts w:eastAsia="Calibri"/>
          <w:lang w:bidi="ar-SA"/>
        </w:rPr>
      </w:pPr>
      <w:r w:rsidRPr="00D21269">
        <w:rPr>
          <w:rFonts w:eastAsia="Calibri"/>
          <w:lang w:bidi="ar-SA"/>
        </w:rPr>
        <w:t>Sensibilisation des riverains et communication proactive ;</w:t>
      </w:r>
    </w:p>
    <w:p w14:paraId="4AD728F9" w14:textId="77777777" w:rsidR="00D21269" w:rsidRPr="00D21269" w:rsidRDefault="00D21269" w:rsidP="0001633E">
      <w:pPr>
        <w:numPr>
          <w:ilvl w:val="0"/>
          <w:numId w:val="147"/>
        </w:numPr>
        <w:spacing w:line="240" w:lineRule="auto"/>
        <w:rPr>
          <w:rFonts w:eastAsia="Calibri"/>
          <w:lang w:bidi="ar-SA"/>
        </w:rPr>
      </w:pPr>
      <w:r w:rsidRPr="00D21269">
        <w:rPr>
          <w:rFonts w:eastAsia="Calibri"/>
          <w:lang w:bidi="ar-SA"/>
        </w:rPr>
        <w:t>Coordination avec les autorités locales et les services médicaux ;</w:t>
      </w:r>
    </w:p>
    <w:p w14:paraId="3B4BB153" w14:textId="77777777" w:rsidR="00D21269" w:rsidRPr="00D21269" w:rsidRDefault="00D21269" w:rsidP="0001633E">
      <w:pPr>
        <w:numPr>
          <w:ilvl w:val="0"/>
          <w:numId w:val="147"/>
        </w:numPr>
        <w:spacing w:line="240" w:lineRule="auto"/>
        <w:rPr>
          <w:rFonts w:eastAsia="Calibri"/>
          <w:lang w:bidi="ar-SA"/>
        </w:rPr>
      </w:pPr>
      <w:r w:rsidRPr="00D21269">
        <w:rPr>
          <w:rFonts w:eastAsia="Calibri"/>
          <w:lang w:bidi="ar-SA"/>
        </w:rPr>
        <w:t>Mesures de sécurité liées à la circulation et au bruit ;</w:t>
      </w:r>
    </w:p>
    <w:p w14:paraId="61DE80F6" w14:textId="77777777" w:rsidR="00D21269" w:rsidRPr="00D21269" w:rsidRDefault="00D21269" w:rsidP="0001633E">
      <w:pPr>
        <w:numPr>
          <w:ilvl w:val="0"/>
          <w:numId w:val="147"/>
        </w:numPr>
        <w:spacing w:line="240" w:lineRule="auto"/>
        <w:rPr>
          <w:rFonts w:eastAsia="Calibri"/>
          <w:lang w:bidi="ar-SA"/>
        </w:rPr>
      </w:pPr>
      <w:r w:rsidRPr="00D21269">
        <w:rPr>
          <w:rFonts w:eastAsia="Calibri"/>
          <w:lang w:bidi="ar-SA"/>
        </w:rPr>
        <w:t>Dispositifs de prévention SEAH/GBV et sensibilisation du personnel ;</w:t>
      </w:r>
    </w:p>
    <w:p w14:paraId="300645F8" w14:textId="77777777" w:rsidR="00D21269" w:rsidRPr="00D21269" w:rsidRDefault="00D21269" w:rsidP="0001633E">
      <w:pPr>
        <w:numPr>
          <w:ilvl w:val="0"/>
          <w:numId w:val="147"/>
        </w:numPr>
        <w:spacing w:line="240" w:lineRule="auto"/>
        <w:rPr>
          <w:rFonts w:eastAsia="Calibri"/>
          <w:lang w:bidi="ar-SA"/>
        </w:rPr>
      </w:pPr>
      <w:r w:rsidRPr="00D21269">
        <w:rPr>
          <w:rFonts w:eastAsia="Calibri"/>
          <w:lang w:bidi="ar-SA"/>
        </w:rPr>
        <w:t>Suivi et traitement des plaintes via le Mécanisme de Gestion des Plaintes (MGP).</w:t>
      </w:r>
    </w:p>
    <w:p w14:paraId="7BB70472" w14:textId="3C582D93" w:rsidR="00D21269" w:rsidRPr="00D21269" w:rsidRDefault="00D21269" w:rsidP="00D21269">
      <w:pPr>
        <w:rPr>
          <w:rFonts w:eastAsia="Calibri"/>
          <w:lang w:bidi="ar-SA"/>
        </w:rPr>
      </w:pPr>
    </w:p>
    <w:p w14:paraId="373282F3" w14:textId="630D73D6" w:rsidR="00D21269" w:rsidRPr="00D21269" w:rsidRDefault="00D21269" w:rsidP="004637C7">
      <w:pPr>
        <w:pStyle w:val="Title3"/>
        <w:rPr>
          <w:rFonts w:eastAsia="Calibri"/>
          <w:lang w:bidi="ar-SA"/>
        </w:rPr>
      </w:pPr>
      <w:bookmarkStart w:id="564" w:name="_Toc215131927"/>
      <w:r w:rsidRPr="00D21269">
        <w:rPr>
          <w:rFonts w:eastAsia="Calibri"/>
          <w:lang w:bidi="ar-SA"/>
        </w:rPr>
        <w:t>Plan de gestion des déchets et matières dangereuses</w:t>
      </w:r>
      <w:bookmarkEnd w:id="564"/>
    </w:p>
    <w:p w14:paraId="0413DAD8" w14:textId="77777777" w:rsidR="00D21269" w:rsidRDefault="00D21269" w:rsidP="00D21269">
      <w:pPr>
        <w:rPr>
          <w:rFonts w:eastAsia="Calibri"/>
          <w:lang w:bidi="ar-SA"/>
        </w:rPr>
      </w:pPr>
      <w:r w:rsidRPr="00D21269">
        <w:rPr>
          <w:rFonts w:eastAsia="Calibri"/>
          <w:lang w:bidi="ar-SA"/>
        </w:rPr>
        <w:t>Ce plan définit les mesures de prévention et de gestion des déchets solides, liquides et dangereux pour éviter toute pollution du sol, de l’air ou de l’eau. Il s’appuie sur la hiérarchie de gestion des déchets : réduire, réutiliser, recycler, éliminer.</w:t>
      </w:r>
    </w:p>
    <w:p w14:paraId="27D66FBB" w14:textId="0F4C7AE8" w:rsidR="00D21269" w:rsidRPr="00D21269" w:rsidRDefault="00D21269" w:rsidP="00D21269">
      <w:pPr>
        <w:rPr>
          <w:rFonts w:eastAsia="Calibri"/>
          <w:lang w:bidi="ar-SA"/>
        </w:rPr>
      </w:pPr>
      <w:r w:rsidRPr="00D21269">
        <w:rPr>
          <w:rFonts w:eastAsia="Calibri"/>
          <w:b/>
          <w:bCs/>
          <w:lang w:bidi="ar-SA"/>
        </w:rPr>
        <w:t>Contenu :</w:t>
      </w:r>
    </w:p>
    <w:p w14:paraId="68892F66" w14:textId="77777777" w:rsidR="00D21269" w:rsidRPr="00D21269" w:rsidRDefault="00D21269" w:rsidP="0001633E">
      <w:pPr>
        <w:numPr>
          <w:ilvl w:val="0"/>
          <w:numId w:val="148"/>
        </w:numPr>
        <w:spacing w:line="240" w:lineRule="auto"/>
        <w:rPr>
          <w:rFonts w:eastAsia="Calibri"/>
          <w:lang w:bidi="ar-SA"/>
        </w:rPr>
      </w:pPr>
      <w:r w:rsidRPr="00D21269">
        <w:rPr>
          <w:rFonts w:eastAsia="Calibri"/>
          <w:lang w:bidi="ar-SA"/>
        </w:rPr>
        <w:t>Classification et quantification des déchets par type ;</w:t>
      </w:r>
    </w:p>
    <w:p w14:paraId="71EC4D6B" w14:textId="77777777" w:rsidR="00D21269" w:rsidRPr="00D21269" w:rsidRDefault="00D21269" w:rsidP="0001633E">
      <w:pPr>
        <w:numPr>
          <w:ilvl w:val="0"/>
          <w:numId w:val="148"/>
        </w:numPr>
        <w:spacing w:line="240" w:lineRule="auto"/>
        <w:rPr>
          <w:rFonts w:eastAsia="Calibri"/>
          <w:lang w:bidi="ar-SA"/>
        </w:rPr>
      </w:pPr>
      <w:r w:rsidRPr="00D21269">
        <w:rPr>
          <w:rFonts w:eastAsia="Calibri"/>
          <w:lang w:bidi="ar-SA"/>
        </w:rPr>
        <w:t>Tri, stockage et collecte sécurisés sur site ;</w:t>
      </w:r>
    </w:p>
    <w:p w14:paraId="1162FB42" w14:textId="77777777" w:rsidR="00D21269" w:rsidRPr="00D21269" w:rsidRDefault="00D21269" w:rsidP="0001633E">
      <w:pPr>
        <w:numPr>
          <w:ilvl w:val="0"/>
          <w:numId w:val="148"/>
        </w:numPr>
        <w:spacing w:line="240" w:lineRule="auto"/>
        <w:rPr>
          <w:rFonts w:eastAsia="Calibri"/>
          <w:lang w:bidi="ar-SA"/>
        </w:rPr>
      </w:pPr>
      <w:r w:rsidRPr="00D21269">
        <w:rPr>
          <w:rFonts w:eastAsia="Calibri"/>
          <w:lang w:bidi="ar-SA"/>
        </w:rPr>
        <w:t>Identification des filières agréées et contrats avec prestataires ;</w:t>
      </w:r>
    </w:p>
    <w:p w14:paraId="1D4DD058" w14:textId="77777777" w:rsidR="00D21269" w:rsidRPr="00D21269" w:rsidRDefault="00D21269" w:rsidP="0001633E">
      <w:pPr>
        <w:numPr>
          <w:ilvl w:val="0"/>
          <w:numId w:val="148"/>
        </w:numPr>
        <w:spacing w:line="240" w:lineRule="auto"/>
        <w:rPr>
          <w:rFonts w:eastAsia="Calibri"/>
          <w:lang w:bidi="ar-SA"/>
        </w:rPr>
      </w:pPr>
      <w:r w:rsidRPr="00D21269">
        <w:rPr>
          <w:rFonts w:eastAsia="Calibri"/>
          <w:lang w:bidi="ar-SA"/>
        </w:rPr>
        <w:t>Gestion spécifique des matières dangereuses (huiles, solvants, filtres) ;</w:t>
      </w:r>
    </w:p>
    <w:p w14:paraId="4D3E90BE" w14:textId="77777777" w:rsidR="00D21269" w:rsidRPr="00D21269" w:rsidRDefault="00D21269" w:rsidP="0001633E">
      <w:pPr>
        <w:numPr>
          <w:ilvl w:val="0"/>
          <w:numId w:val="148"/>
        </w:numPr>
        <w:spacing w:line="240" w:lineRule="auto"/>
        <w:rPr>
          <w:rFonts w:eastAsia="Calibri"/>
          <w:lang w:bidi="ar-SA"/>
        </w:rPr>
      </w:pPr>
      <w:r w:rsidRPr="00D21269">
        <w:rPr>
          <w:rFonts w:eastAsia="Calibri"/>
          <w:lang w:bidi="ar-SA"/>
        </w:rPr>
        <w:t>Formation du personnel et registres de traçabilité ;</w:t>
      </w:r>
    </w:p>
    <w:p w14:paraId="74439B84" w14:textId="77777777" w:rsidR="00D21269" w:rsidRPr="00D21269" w:rsidRDefault="00D21269" w:rsidP="0001633E">
      <w:pPr>
        <w:numPr>
          <w:ilvl w:val="0"/>
          <w:numId w:val="148"/>
        </w:numPr>
        <w:spacing w:line="240" w:lineRule="auto"/>
        <w:rPr>
          <w:rFonts w:eastAsia="Calibri"/>
          <w:lang w:bidi="ar-SA"/>
        </w:rPr>
      </w:pPr>
      <w:r w:rsidRPr="00D21269">
        <w:rPr>
          <w:rFonts w:eastAsia="Calibri"/>
          <w:lang w:bidi="ar-SA"/>
        </w:rPr>
        <w:t>Conformité à la Loi 28-00 et au Décret n°2-09-139.</w:t>
      </w:r>
    </w:p>
    <w:p w14:paraId="60B216A1" w14:textId="49BDEDC2" w:rsidR="00D21269" w:rsidRPr="00D21269" w:rsidRDefault="00D21269" w:rsidP="00D21269">
      <w:pPr>
        <w:rPr>
          <w:rFonts w:eastAsia="Calibri"/>
          <w:lang w:bidi="ar-SA"/>
        </w:rPr>
      </w:pPr>
    </w:p>
    <w:p w14:paraId="741F1366" w14:textId="24EA65F0" w:rsidR="00D21269" w:rsidRDefault="00D21269" w:rsidP="004637C7">
      <w:pPr>
        <w:pStyle w:val="Title3"/>
        <w:rPr>
          <w:rFonts w:eastAsia="Calibri"/>
          <w:lang w:bidi="ar-SA"/>
        </w:rPr>
      </w:pPr>
      <w:bookmarkStart w:id="565" w:name="_Toc215131928"/>
      <w:r w:rsidRPr="00D21269">
        <w:rPr>
          <w:rFonts w:eastAsia="Calibri"/>
          <w:lang w:bidi="ar-SA"/>
        </w:rPr>
        <w:lastRenderedPageBreak/>
        <w:t>Plan de préparation et de réponse aux situations d’urgence</w:t>
      </w:r>
      <w:bookmarkEnd w:id="565"/>
      <w:r w:rsidRPr="00D21269">
        <w:rPr>
          <w:rFonts w:eastAsia="Calibri"/>
          <w:lang w:bidi="ar-SA"/>
        </w:rPr>
        <w:t xml:space="preserve"> </w:t>
      </w:r>
    </w:p>
    <w:p w14:paraId="4D5036EB" w14:textId="77777777" w:rsidR="00D21269" w:rsidRDefault="00D21269" w:rsidP="00D21269">
      <w:pPr>
        <w:rPr>
          <w:rFonts w:eastAsia="Calibri"/>
          <w:lang w:bidi="ar-SA"/>
        </w:rPr>
      </w:pPr>
      <w:r w:rsidRPr="00D21269">
        <w:rPr>
          <w:rFonts w:eastAsia="Calibri"/>
          <w:lang w:bidi="ar-SA"/>
        </w:rPr>
        <w:t>Ce plan définit les procédures à suivre pour prévenir et gérer tout incident majeur (incendie, explosion, déversement, accident). Il garantit une réaction rapide, coordonnée et conforme aux standards de sécurité.</w:t>
      </w:r>
    </w:p>
    <w:p w14:paraId="47AC5E0C" w14:textId="71A47603" w:rsidR="00D21269" w:rsidRPr="00D21269" w:rsidRDefault="00D21269" w:rsidP="00D21269">
      <w:pPr>
        <w:rPr>
          <w:rFonts w:eastAsia="Calibri"/>
          <w:lang w:bidi="ar-SA"/>
        </w:rPr>
      </w:pPr>
      <w:r w:rsidRPr="00D21269">
        <w:rPr>
          <w:rFonts w:eastAsia="Calibri"/>
          <w:b/>
          <w:bCs/>
          <w:lang w:bidi="ar-SA"/>
        </w:rPr>
        <w:t xml:space="preserve"> Contenu :</w:t>
      </w:r>
    </w:p>
    <w:p w14:paraId="3AA0BDF6" w14:textId="77777777" w:rsidR="00D21269" w:rsidRPr="00D21269" w:rsidRDefault="00D21269" w:rsidP="0001633E">
      <w:pPr>
        <w:numPr>
          <w:ilvl w:val="0"/>
          <w:numId w:val="149"/>
        </w:numPr>
        <w:spacing w:line="240" w:lineRule="auto"/>
        <w:rPr>
          <w:rFonts w:eastAsia="Calibri"/>
          <w:lang w:bidi="ar-SA"/>
        </w:rPr>
      </w:pPr>
      <w:r w:rsidRPr="00D21269">
        <w:rPr>
          <w:rFonts w:eastAsia="Calibri"/>
          <w:lang w:bidi="ar-SA"/>
        </w:rPr>
        <w:t>Identification des scénarios d’urgence et des zones sensibles ;</w:t>
      </w:r>
    </w:p>
    <w:p w14:paraId="43A46AC5" w14:textId="77777777" w:rsidR="00D21269" w:rsidRPr="00D21269" w:rsidRDefault="00D21269" w:rsidP="0001633E">
      <w:pPr>
        <w:numPr>
          <w:ilvl w:val="0"/>
          <w:numId w:val="149"/>
        </w:numPr>
        <w:spacing w:line="240" w:lineRule="auto"/>
        <w:rPr>
          <w:rFonts w:eastAsia="Calibri"/>
          <w:lang w:bidi="ar-SA"/>
        </w:rPr>
      </w:pPr>
      <w:r w:rsidRPr="00D21269">
        <w:rPr>
          <w:rFonts w:eastAsia="Calibri"/>
          <w:lang w:bidi="ar-SA"/>
        </w:rPr>
        <w:t>Organisation des responsabilités et chaîne de commandement ;</w:t>
      </w:r>
    </w:p>
    <w:p w14:paraId="15A0F0B2" w14:textId="77777777" w:rsidR="00D21269" w:rsidRPr="00D21269" w:rsidRDefault="00D21269" w:rsidP="0001633E">
      <w:pPr>
        <w:numPr>
          <w:ilvl w:val="0"/>
          <w:numId w:val="149"/>
        </w:numPr>
        <w:spacing w:line="240" w:lineRule="auto"/>
        <w:rPr>
          <w:rFonts w:eastAsia="Calibri"/>
          <w:lang w:bidi="ar-SA"/>
        </w:rPr>
      </w:pPr>
      <w:r w:rsidRPr="00D21269">
        <w:rPr>
          <w:rFonts w:eastAsia="Calibri"/>
          <w:lang w:bidi="ar-SA"/>
        </w:rPr>
        <w:t>Protocoles d’alerte et de communication interne/externe ;</w:t>
      </w:r>
    </w:p>
    <w:p w14:paraId="5A3E8A12" w14:textId="77777777" w:rsidR="00D21269" w:rsidRPr="00D21269" w:rsidRDefault="00D21269" w:rsidP="0001633E">
      <w:pPr>
        <w:numPr>
          <w:ilvl w:val="0"/>
          <w:numId w:val="149"/>
        </w:numPr>
        <w:spacing w:line="240" w:lineRule="auto"/>
        <w:rPr>
          <w:rFonts w:eastAsia="Calibri"/>
          <w:lang w:bidi="ar-SA"/>
        </w:rPr>
      </w:pPr>
      <w:r w:rsidRPr="00D21269">
        <w:rPr>
          <w:rFonts w:eastAsia="Calibri"/>
          <w:lang w:bidi="ar-SA"/>
        </w:rPr>
        <w:t>Ressources d’urgence : kits, équipements, contacts, plans du site ;</w:t>
      </w:r>
    </w:p>
    <w:p w14:paraId="2C43B13A" w14:textId="77777777" w:rsidR="00D21269" w:rsidRPr="00D21269" w:rsidRDefault="00D21269" w:rsidP="0001633E">
      <w:pPr>
        <w:numPr>
          <w:ilvl w:val="0"/>
          <w:numId w:val="149"/>
        </w:numPr>
        <w:spacing w:line="240" w:lineRule="auto"/>
        <w:rPr>
          <w:rFonts w:eastAsia="Calibri"/>
          <w:lang w:bidi="ar-SA"/>
        </w:rPr>
      </w:pPr>
      <w:r w:rsidRPr="00D21269">
        <w:rPr>
          <w:rFonts w:eastAsia="Calibri"/>
          <w:lang w:bidi="ar-SA"/>
        </w:rPr>
        <w:t>Exercices de simulation périodiques et retour d’expérience ;</w:t>
      </w:r>
    </w:p>
    <w:p w14:paraId="3BF2CBFF" w14:textId="77777777" w:rsidR="00D21269" w:rsidRPr="00D21269" w:rsidRDefault="00D21269" w:rsidP="0001633E">
      <w:pPr>
        <w:numPr>
          <w:ilvl w:val="0"/>
          <w:numId w:val="149"/>
        </w:numPr>
        <w:spacing w:line="240" w:lineRule="auto"/>
        <w:rPr>
          <w:rFonts w:eastAsia="Calibri"/>
          <w:lang w:bidi="ar-SA"/>
        </w:rPr>
      </w:pPr>
      <w:r w:rsidRPr="00D21269">
        <w:rPr>
          <w:rFonts w:eastAsia="Calibri"/>
          <w:lang w:bidi="ar-SA"/>
        </w:rPr>
        <w:t>Coordination avec la Protection Civile et autorités locales.</w:t>
      </w:r>
    </w:p>
    <w:p w14:paraId="6C88CBE0" w14:textId="404AF4E9" w:rsidR="00D21269" w:rsidRPr="00D21269" w:rsidRDefault="00D21269" w:rsidP="00D21269">
      <w:pPr>
        <w:rPr>
          <w:rFonts w:eastAsia="Calibri"/>
          <w:lang w:bidi="ar-SA"/>
        </w:rPr>
      </w:pPr>
    </w:p>
    <w:p w14:paraId="57025333" w14:textId="738626A9" w:rsidR="00D21269" w:rsidRPr="00D21269" w:rsidRDefault="00D21269" w:rsidP="004637C7">
      <w:pPr>
        <w:pStyle w:val="Title3"/>
        <w:rPr>
          <w:rFonts w:eastAsia="Calibri"/>
          <w:lang w:bidi="ar-SA"/>
        </w:rPr>
      </w:pPr>
      <w:bookmarkStart w:id="566" w:name="_Toc215131929"/>
      <w:r w:rsidRPr="00D21269">
        <w:rPr>
          <w:rFonts w:eastAsia="Calibri"/>
          <w:lang w:bidi="ar-SA"/>
        </w:rPr>
        <w:t>Plan de gestion du trafic et des transports</w:t>
      </w:r>
      <w:bookmarkEnd w:id="566"/>
    </w:p>
    <w:p w14:paraId="7E64B454" w14:textId="77777777" w:rsidR="00D21269" w:rsidRDefault="00D21269" w:rsidP="00D21269">
      <w:pPr>
        <w:rPr>
          <w:rFonts w:eastAsia="Calibri"/>
          <w:lang w:bidi="ar-SA"/>
        </w:rPr>
      </w:pPr>
      <w:r w:rsidRPr="00D21269">
        <w:rPr>
          <w:rFonts w:eastAsia="Calibri"/>
          <w:lang w:bidi="ar-SA"/>
        </w:rPr>
        <w:t>Ce plan vise à sécuriser et à réguler les déplacements des véhicules liés au chantier afin de limiter les risques d’accidents et les nuisances. Il s’applique à tous les transporteurs et sous-traitants.</w:t>
      </w:r>
    </w:p>
    <w:p w14:paraId="0F3EAB10" w14:textId="5B5C48E1" w:rsidR="00D21269" w:rsidRPr="00D21269" w:rsidRDefault="00D21269" w:rsidP="00D21269">
      <w:pPr>
        <w:rPr>
          <w:rFonts w:eastAsia="Calibri"/>
          <w:lang w:bidi="ar-SA"/>
        </w:rPr>
      </w:pPr>
      <w:r w:rsidRPr="00D21269">
        <w:rPr>
          <w:rFonts w:eastAsia="Calibri"/>
          <w:b/>
          <w:bCs/>
          <w:lang w:bidi="ar-SA"/>
        </w:rPr>
        <w:t xml:space="preserve"> Contenu :</w:t>
      </w:r>
    </w:p>
    <w:p w14:paraId="72354EFD" w14:textId="77777777" w:rsidR="00D21269" w:rsidRPr="00D21269" w:rsidRDefault="00D21269" w:rsidP="0001633E">
      <w:pPr>
        <w:numPr>
          <w:ilvl w:val="0"/>
          <w:numId w:val="150"/>
        </w:numPr>
        <w:spacing w:line="240" w:lineRule="auto"/>
        <w:rPr>
          <w:rFonts w:eastAsia="Calibri"/>
          <w:lang w:bidi="ar-SA"/>
        </w:rPr>
      </w:pPr>
      <w:r w:rsidRPr="00D21269">
        <w:rPr>
          <w:rFonts w:eastAsia="Calibri"/>
          <w:lang w:bidi="ar-SA"/>
        </w:rPr>
        <w:t>Planification des itinéraires et validation par les autorités compétentes ;</w:t>
      </w:r>
    </w:p>
    <w:p w14:paraId="0224395F" w14:textId="77777777" w:rsidR="00D21269" w:rsidRPr="00D21269" w:rsidRDefault="00D21269" w:rsidP="0001633E">
      <w:pPr>
        <w:numPr>
          <w:ilvl w:val="0"/>
          <w:numId w:val="150"/>
        </w:numPr>
        <w:spacing w:line="240" w:lineRule="auto"/>
        <w:rPr>
          <w:rFonts w:eastAsia="Calibri"/>
          <w:lang w:bidi="ar-SA"/>
        </w:rPr>
      </w:pPr>
      <w:r w:rsidRPr="00D21269">
        <w:rPr>
          <w:rFonts w:eastAsia="Calibri"/>
          <w:lang w:bidi="ar-SA"/>
        </w:rPr>
        <w:t>Règles de circulation, vitesses maximales et horaires autorisés ;</w:t>
      </w:r>
    </w:p>
    <w:p w14:paraId="42B9B5EC" w14:textId="77777777" w:rsidR="00D21269" w:rsidRPr="00D21269" w:rsidRDefault="00D21269" w:rsidP="0001633E">
      <w:pPr>
        <w:numPr>
          <w:ilvl w:val="0"/>
          <w:numId w:val="150"/>
        </w:numPr>
        <w:spacing w:line="240" w:lineRule="auto"/>
        <w:rPr>
          <w:rFonts w:eastAsia="Calibri"/>
          <w:lang w:bidi="ar-SA"/>
        </w:rPr>
      </w:pPr>
      <w:r w:rsidRPr="00D21269">
        <w:rPr>
          <w:rFonts w:eastAsia="Calibri"/>
          <w:lang w:bidi="ar-SA"/>
        </w:rPr>
        <w:t>Signalisation temporaire et gestion des accès au site ;</w:t>
      </w:r>
    </w:p>
    <w:p w14:paraId="6984F25B" w14:textId="77777777" w:rsidR="00D21269" w:rsidRPr="00D21269" w:rsidRDefault="00D21269" w:rsidP="0001633E">
      <w:pPr>
        <w:numPr>
          <w:ilvl w:val="0"/>
          <w:numId w:val="150"/>
        </w:numPr>
        <w:spacing w:line="240" w:lineRule="auto"/>
        <w:rPr>
          <w:rFonts w:eastAsia="Calibri"/>
          <w:lang w:bidi="ar-SA"/>
        </w:rPr>
      </w:pPr>
      <w:r w:rsidRPr="00D21269">
        <w:rPr>
          <w:rFonts w:eastAsia="Calibri"/>
          <w:lang w:bidi="ar-SA"/>
        </w:rPr>
        <w:t>Sensibilisation des conducteurs et contrôle technique des véhicules ;</w:t>
      </w:r>
    </w:p>
    <w:p w14:paraId="2C5272D0" w14:textId="77777777" w:rsidR="00D21269" w:rsidRPr="00D21269" w:rsidRDefault="00D21269" w:rsidP="0001633E">
      <w:pPr>
        <w:numPr>
          <w:ilvl w:val="0"/>
          <w:numId w:val="150"/>
        </w:numPr>
        <w:spacing w:line="240" w:lineRule="auto"/>
        <w:rPr>
          <w:rFonts w:eastAsia="Calibri"/>
          <w:lang w:bidi="ar-SA"/>
        </w:rPr>
      </w:pPr>
      <w:r w:rsidRPr="00D21269">
        <w:rPr>
          <w:rFonts w:eastAsia="Calibri"/>
          <w:lang w:bidi="ar-SA"/>
        </w:rPr>
        <w:t>Coordination avec la Gendarmerie et la Direction de l’Équipement ;</w:t>
      </w:r>
    </w:p>
    <w:p w14:paraId="720B62A9" w14:textId="77777777" w:rsidR="00D21269" w:rsidRPr="00D21269" w:rsidRDefault="00D21269" w:rsidP="0001633E">
      <w:pPr>
        <w:numPr>
          <w:ilvl w:val="0"/>
          <w:numId w:val="150"/>
        </w:numPr>
        <w:spacing w:line="240" w:lineRule="auto"/>
        <w:rPr>
          <w:rFonts w:eastAsia="Calibri"/>
          <w:lang w:bidi="ar-SA"/>
        </w:rPr>
      </w:pPr>
      <w:r w:rsidRPr="00D21269">
        <w:rPr>
          <w:rFonts w:eastAsia="Calibri"/>
          <w:lang w:bidi="ar-SA"/>
        </w:rPr>
        <w:t>Registre de suivi des incidents de circulation.</w:t>
      </w:r>
    </w:p>
    <w:p w14:paraId="39D4EA13" w14:textId="330228D7" w:rsidR="00D21269" w:rsidRPr="00D21269" w:rsidRDefault="00D21269" w:rsidP="00D21269">
      <w:pPr>
        <w:rPr>
          <w:rFonts w:eastAsia="Calibri"/>
          <w:lang w:bidi="ar-SA"/>
        </w:rPr>
      </w:pPr>
    </w:p>
    <w:p w14:paraId="3824BE55" w14:textId="16A364B7" w:rsidR="00D21269" w:rsidRPr="00D21269" w:rsidRDefault="00D21269" w:rsidP="004637C7">
      <w:pPr>
        <w:pStyle w:val="Title3"/>
        <w:rPr>
          <w:rFonts w:eastAsia="Calibri"/>
          <w:lang w:bidi="ar-SA"/>
        </w:rPr>
      </w:pPr>
      <w:bookmarkStart w:id="567" w:name="_Toc215131930"/>
      <w:r w:rsidRPr="00D21269">
        <w:rPr>
          <w:rFonts w:eastAsia="Calibri"/>
          <w:lang w:bidi="ar-SA"/>
        </w:rPr>
        <w:t>Plan de gestion des ressources en eau</w:t>
      </w:r>
      <w:bookmarkEnd w:id="567"/>
    </w:p>
    <w:p w14:paraId="21F5EF45" w14:textId="77777777" w:rsidR="00D21269" w:rsidRDefault="00D21269" w:rsidP="00D21269">
      <w:pPr>
        <w:rPr>
          <w:rFonts w:eastAsia="Calibri"/>
          <w:lang w:bidi="ar-SA"/>
        </w:rPr>
      </w:pPr>
      <w:r w:rsidRPr="00D21269">
        <w:rPr>
          <w:rFonts w:eastAsia="Calibri"/>
          <w:lang w:bidi="ar-SA"/>
        </w:rPr>
        <w:t>Ce plan encadre la consommation, le stockage et le contrôle qualitatif des ressources en eau mobilisées pour le chantier et la phase d’exploitation. Il garantit la conformité réglementaire et la durabilité de la ressource.</w:t>
      </w:r>
    </w:p>
    <w:p w14:paraId="74A69E24" w14:textId="359B4D6C" w:rsidR="00D21269" w:rsidRPr="00D21269" w:rsidRDefault="00D21269" w:rsidP="00D21269">
      <w:pPr>
        <w:rPr>
          <w:rFonts w:eastAsia="Calibri"/>
          <w:lang w:bidi="ar-SA"/>
        </w:rPr>
      </w:pPr>
      <w:r w:rsidRPr="00D21269">
        <w:rPr>
          <w:rFonts w:eastAsia="Calibri"/>
          <w:b/>
          <w:bCs/>
          <w:lang w:bidi="ar-SA"/>
        </w:rPr>
        <w:t xml:space="preserve"> Contenu :</w:t>
      </w:r>
    </w:p>
    <w:p w14:paraId="370DAE0F" w14:textId="628DBDF9" w:rsidR="00D21269" w:rsidRPr="00D21269" w:rsidRDefault="00D21269" w:rsidP="0001633E">
      <w:pPr>
        <w:numPr>
          <w:ilvl w:val="0"/>
          <w:numId w:val="151"/>
        </w:numPr>
        <w:spacing w:line="240" w:lineRule="auto"/>
        <w:rPr>
          <w:rFonts w:eastAsia="Calibri"/>
          <w:lang w:bidi="ar-SA"/>
        </w:rPr>
      </w:pPr>
      <w:r w:rsidRPr="00D21269">
        <w:rPr>
          <w:rFonts w:eastAsia="Calibri"/>
          <w:lang w:bidi="ar-SA"/>
        </w:rPr>
        <w:t>Recensement des sources d’approvisionnement (ONEE, ABH</w:t>
      </w:r>
      <w:r w:rsidR="00594318">
        <w:rPr>
          <w:rFonts w:eastAsia="Calibri"/>
          <w:lang w:bidi="ar-SA"/>
        </w:rPr>
        <w:t>T</w:t>
      </w:r>
      <w:r w:rsidRPr="00D21269">
        <w:rPr>
          <w:rFonts w:eastAsia="Calibri"/>
          <w:lang w:bidi="ar-SA"/>
        </w:rPr>
        <w:t>, citernes) ;</w:t>
      </w:r>
    </w:p>
    <w:p w14:paraId="22DB4D58" w14:textId="77777777" w:rsidR="00D21269" w:rsidRPr="00D21269" w:rsidRDefault="00D21269" w:rsidP="0001633E">
      <w:pPr>
        <w:numPr>
          <w:ilvl w:val="0"/>
          <w:numId w:val="151"/>
        </w:numPr>
        <w:spacing w:line="240" w:lineRule="auto"/>
        <w:rPr>
          <w:rFonts w:eastAsia="Calibri"/>
          <w:lang w:bidi="ar-SA"/>
        </w:rPr>
      </w:pPr>
      <w:r w:rsidRPr="00D21269">
        <w:rPr>
          <w:rFonts w:eastAsia="Calibri"/>
          <w:lang w:bidi="ar-SA"/>
        </w:rPr>
        <w:t>Estimation et suivi de la consommation par usage ;</w:t>
      </w:r>
    </w:p>
    <w:p w14:paraId="5232DEEB" w14:textId="77777777" w:rsidR="00D21269" w:rsidRPr="00D21269" w:rsidRDefault="00D21269" w:rsidP="0001633E">
      <w:pPr>
        <w:numPr>
          <w:ilvl w:val="0"/>
          <w:numId w:val="151"/>
        </w:numPr>
        <w:spacing w:line="240" w:lineRule="auto"/>
        <w:rPr>
          <w:rFonts w:eastAsia="Calibri"/>
          <w:lang w:bidi="ar-SA"/>
        </w:rPr>
      </w:pPr>
      <w:r w:rsidRPr="00D21269">
        <w:rPr>
          <w:rFonts w:eastAsia="Calibri"/>
          <w:lang w:bidi="ar-SA"/>
        </w:rPr>
        <w:t>Mesures d’économie et dispositifs anti-gaspillage ;</w:t>
      </w:r>
    </w:p>
    <w:p w14:paraId="049EAED2" w14:textId="77777777" w:rsidR="00D21269" w:rsidRPr="00D21269" w:rsidRDefault="00D21269" w:rsidP="0001633E">
      <w:pPr>
        <w:numPr>
          <w:ilvl w:val="0"/>
          <w:numId w:val="151"/>
        </w:numPr>
        <w:spacing w:line="240" w:lineRule="auto"/>
        <w:rPr>
          <w:rFonts w:eastAsia="Calibri"/>
          <w:lang w:bidi="ar-SA"/>
        </w:rPr>
      </w:pPr>
      <w:r w:rsidRPr="00D21269">
        <w:rPr>
          <w:rFonts w:eastAsia="Calibri"/>
          <w:lang w:bidi="ar-SA"/>
        </w:rPr>
        <w:t>Suivi de la qualité de l’eau (analyse périodique) ;</w:t>
      </w:r>
    </w:p>
    <w:p w14:paraId="56A572C6" w14:textId="77777777" w:rsidR="00D21269" w:rsidRPr="00D21269" w:rsidRDefault="00D21269" w:rsidP="0001633E">
      <w:pPr>
        <w:numPr>
          <w:ilvl w:val="0"/>
          <w:numId w:val="151"/>
        </w:numPr>
        <w:spacing w:line="240" w:lineRule="auto"/>
        <w:rPr>
          <w:rFonts w:eastAsia="Calibri"/>
          <w:lang w:bidi="ar-SA"/>
        </w:rPr>
      </w:pPr>
      <w:r w:rsidRPr="00D21269">
        <w:rPr>
          <w:rFonts w:eastAsia="Calibri"/>
          <w:lang w:bidi="ar-SA"/>
        </w:rPr>
        <w:t>Contrôle des rejets et conformité réglementaire ;</w:t>
      </w:r>
    </w:p>
    <w:p w14:paraId="2430F085" w14:textId="77777777" w:rsidR="00D21269" w:rsidRPr="00D21269" w:rsidRDefault="00D21269" w:rsidP="0001633E">
      <w:pPr>
        <w:numPr>
          <w:ilvl w:val="0"/>
          <w:numId w:val="151"/>
        </w:numPr>
        <w:spacing w:line="240" w:lineRule="auto"/>
        <w:rPr>
          <w:rFonts w:eastAsia="Calibri"/>
          <w:lang w:bidi="ar-SA"/>
        </w:rPr>
      </w:pPr>
      <w:r w:rsidRPr="00D21269">
        <w:rPr>
          <w:rFonts w:eastAsia="Calibri"/>
          <w:lang w:bidi="ar-SA"/>
        </w:rPr>
        <w:t>Rapports trimestriels transmis à l’ONDA.</w:t>
      </w:r>
    </w:p>
    <w:p w14:paraId="0487E8F3" w14:textId="0A2B0D8C" w:rsidR="00D21269" w:rsidRPr="00D21269" w:rsidRDefault="00D21269" w:rsidP="00D21269">
      <w:pPr>
        <w:rPr>
          <w:rFonts w:eastAsia="Calibri"/>
          <w:lang w:bidi="ar-SA"/>
        </w:rPr>
      </w:pPr>
    </w:p>
    <w:p w14:paraId="6D006274" w14:textId="15FC72FA" w:rsidR="00D21269" w:rsidRPr="00D21269" w:rsidRDefault="00D21269" w:rsidP="004637C7">
      <w:pPr>
        <w:pStyle w:val="Title3"/>
        <w:rPr>
          <w:rFonts w:eastAsia="Calibri"/>
          <w:lang w:bidi="ar-SA"/>
        </w:rPr>
      </w:pPr>
      <w:bookmarkStart w:id="568" w:name="_Toc215131931"/>
      <w:r w:rsidRPr="00D21269">
        <w:rPr>
          <w:rFonts w:eastAsia="Calibri"/>
          <w:lang w:bidi="ar-SA"/>
        </w:rPr>
        <w:lastRenderedPageBreak/>
        <w:t>Plan de gestion du drainage et des eaux pluviales</w:t>
      </w:r>
      <w:bookmarkEnd w:id="568"/>
    </w:p>
    <w:p w14:paraId="2C81EF53" w14:textId="77777777" w:rsidR="005F1DCE" w:rsidRDefault="00D21269" w:rsidP="00D21269">
      <w:pPr>
        <w:rPr>
          <w:rFonts w:eastAsia="Calibri"/>
          <w:lang w:bidi="ar-SA"/>
        </w:rPr>
      </w:pPr>
      <w:r w:rsidRPr="00D21269">
        <w:rPr>
          <w:rFonts w:eastAsia="Calibri"/>
          <w:lang w:bidi="ar-SA"/>
        </w:rPr>
        <w:t>Ce plan garantit la bonne évacuation des eaux pluviales afin d’éviter l’érosion, les stagnations et la pollution. Il s’appuie sur un dimensionnement adapté des ouvrages et un entretien régulier.</w:t>
      </w:r>
    </w:p>
    <w:p w14:paraId="42CDF47A" w14:textId="76D034AE" w:rsidR="00D21269" w:rsidRPr="00D21269" w:rsidRDefault="00D21269" w:rsidP="00D21269">
      <w:pPr>
        <w:rPr>
          <w:rFonts w:eastAsia="Calibri"/>
          <w:lang w:bidi="ar-SA"/>
        </w:rPr>
      </w:pPr>
      <w:r w:rsidRPr="00D21269">
        <w:rPr>
          <w:rFonts w:eastAsia="Calibri"/>
          <w:b/>
          <w:bCs/>
          <w:lang w:bidi="ar-SA"/>
        </w:rPr>
        <w:t>Contenu :</w:t>
      </w:r>
    </w:p>
    <w:p w14:paraId="7228BB5E" w14:textId="77777777" w:rsidR="00D21269" w:rsidRPr="00D21269" w:rsidRDefault="00D21269" w:rsidP="0001633E">
      <w:pPr>
        <w:numPr>
          <w:ilvl w:val="0"/>
          <w:numId w:val="152"/>
        </w:numPr>
        <w:spacing w:line="240" w:lineRule="auto"/>
        <w:rPr>
          <w:rFonts w:eastAsia="Calibri"/>
          <w:lang w:bidi="ar-SA"/>
        </w:rPr>
      </w:pPr>
      <w:r w:rsidRPr="00D21269">
        <w:rPr>
          <w:rFonts w:eastAsia="Calibri"/>
          <w:lang w:bidi="ar-SA"/>
        </w:rPr>
        <w:t>Études hydrologiques et conception des ouvrages de drainage ;</w:t>
      </w:r>
    </w:p>
    <w:p w14:paraId="1FA8F731" w14:textId="77777777" w:rsidR="00D21269" w:rsidRPr="00D21269" w:rsidRDefault="00D21269" w:rsidP="0001633E">
      <w:pPr>
        <w:numPr>
          <w:ilvl w:val="0"/>
          <w:numId w:val="152"/>
        </w:numPr>
        <w:spacing w:line="240" w:lineRule="auto"/>
        <w:rPr>
          <w:rFonts w:eastAsia="Calibri"/>
          <w:lang w:bidi="ar-SA"/>
        </w:rPr>
      </w:pPr>
      <w:r w:rsidRPr="00D21269">
        <w:rPr>
          <w:rFonts w:eastAsia="Calibri"/>
          <w:lang w:bidi="ar-SA"/>
        </w:rPr>
        <w:t>Séparation des eaux propres et polluées ;</w:t>
      </w:r>
    </w:p>
    <w:p w14:paraId="301FD7F6" w14:textId="77777777" w:rsidR="00D21269" w:rsidRPr="00D21269" w:rsidRDefault="00D21269" w:rsidP="0001633E">
      <w:pPr>
        <w:numPr>
          <w:ilvl w:val="0"/>
          <w:numId w:val="152"/>
        </w:numPr>
        <w:spacing w:line="240" w:lineRule="auto"/>
        <w:rPr>
          <w:rFonts w:eastAsia="Calibri"/>
          <w:lang w:bidi="ar-SA"/>
        </w:rPr>
      </w:pPr>
      <w:r w:rsidRPr="00D21269">
        <w:rPr>
          <w:rFonts w:eastAsia="Calibri"/>
          <w:lang w:bidi="ar-SA"/>
        </w:rPr>
        <w:t>Collecte, stockage temporaire et infiltration maîtrisée ;</w:t>
      </w:r>
    </w:p>
    <w:p w14:paraId="50ACC4F1" w14:textId="77777777" w:rsidR="00D21269" w:rsidRPr="00D21269" w:rsidRDefault="00D21269" w:rsidP="0001633E">
      <w:pPr>
        <w:numPr>
          <w:ilvl w:val="0"/>
          <w:numId w:val="152"/>
        </w:numPr>
        <w:spacing w:line="240" w:lineRule="auto"/>
        <w:rPr>
          <w:rFonts w:eastAsia="Calibri"/>
          <w:lang w:bidi="ar-SA"/>
        </w:rPr>
      </w:pPr>
      <w:r w:rsidRPr="00D21269">
        <w:rPr>
          <w:rFonts w:eastAsia="Calibri"/>
          <w:lang w:bidi="ar-SA"/>
        </w:rPr>
        <w:t>Programme de maintenance des fossés et caniveaux ;</w:t>
      </w:r>
    </w:p>
    <w:p w14:paraId="0F0C43D2" w14:textId="77777777" w:rsidR="00D21269" w:rsidRPr="00D21269" w:rsidRDefault="00D21269" w:rsidP="0001633E">
      <w:pPr>
        <w:numPr>
          <w:ilvl w:val="0"/>
          <w:numId w:val="152"/>
        </w:numPr>
        <w:spacing w:line="240" w:lineRule="auto"/>
        <w:rPr>
          <w:rFonts w:eastAsia="Calibri"/>
          <w:lang w:bidi="ar-SA"/>
        </w:rPr>
      </w:pPr>
      <w:r w:rsidRPr="00D21269">
        <w:rPr>
          <w:rFonts w:eastAsia="Calibri"/>
          <w:lang w:bidi="ar-SA"/>
        </w:rPr>
        <w:t>Inspection après épisodes pluvieux intenses ;</w:t>
      </w:r>
    </w:p>
    <w:p w14:paraId="649282D6" w14:textId="77777777" w:rsidR="00D21269" w:rsidRPr="00D21269" w:rsidRDefault="00D21269" w:rsidP="0001633E">
      <w:pPr>
        <w:numPr>
          <w:ilvl w:val="0"/>
          <w:numId w:val="152"/>
        </w:numPr>
        <w:spacing w:line="240" w:lineRule="auto"/>
        <w:rPr>
          <w:rFonts w:eastAsia="Calibri"/>
          <w:lang w:bidi="ar-SA"/>
        </w:rPr>
      </w:pPr>
      <w:r w:rsidRPr="00D21269">
        <w:rPr>
          <w:rFonts w:eastAsia="Calibri"/>
          <w:lang w:bidi="ar-SA"/>
        </w:rPr>
        <w:t>Coordination avec le plan de gestion des eaux usées.</w:t>
      </w:r>
    </w:p>
    <w:p w14:paraId="63B24ABE" w14:textId="1DE98784" w:rsidR="00D21269" w:rsidRPr="00D21269" w:rsidRDefault="00D21269" w:rsidP="00D21269">
      <w:pPr>
        <w:rPr>
          <w:rFonts w:eastAsia="Calibri"/>
          <w:lang w:bidi="ar-SA"/>
        </w:rPr>
      </w:pPr>
    </w:p>
    <w:p w14:paraId="49EA56A8" w14:textId="1795FD66" w:rsidR="00D21269" w:rsidRPr="00D21269" w:rsidRDefault="00D21269" w:rsidP="004637C7">
      <w:pPr>
        <w:pStyle w:val="Title3"/>
        <w:rPr>
          <w:rFonts w:eastAsia="Calibri"/>
          <w:lang w:bidi="ar-SA"/>
        </w:rPr>
      </w:pPr>
      <w:bookmarkStart w:id="569" w:name="_Toc215131932"/>
      <w:r w:rsidRPr="00D21269">
        <w:rPr>
          <w:rFonts w:eastAsia="Calibri"/>
          <w:lang w:bidi="ar-SA"/>
        </w:rPr>
        <w:t>Plan de gestion des eaux usées</w:t>
      </w:r>
      <w:bookmarkEnd w:id="569"/>
    </w:p>
    <w:p w14:paraId="010056BC" w14:textId="77777777" w:rsidR="00D21269" w:rsidRDefault="00D21269" w:rsidP="00D21269">
      <w:pPr>
        <w:rPr>
          <w:rFonts w:eastAsia="Calibri"/>
          <w:lang w:bidi="ar-SA"/>
        </w:rPr>
      </w:pPr>
      <w:r w:rsidRPr="00D21269">
        <w:rPr>
          <w:rFonts w:eastAsia="Calibri"/>
          <w:lang w:bidi="ar-SA"/>
        </w:rPr>
        <w:t>Ce plan fixe les dispositions pour la collecte, le traitement et le rejet des eaux usées générées sur le site. Il s’applique aux effluents domestiques et techniques.</w:t>
      </w:r>
    </w:p>
    <w:p w14:paraId="3E0B39A2" w14:textId="1894013E" w:rsidR="00D21269" w:rsidRPr="00D21269" w:rsidRDefault="00D21269" w:rsidP="00D21269">
      <w:pPr>
        <w:rPr>
          <w:rFonts w:eastAsia="Calibri"/>
          <w:lang w:bidi="ar-SA"/>
        </w:rPr>
      </w:pPr>
      <w:r w:rsidRPr="00D21269">
        <w:rPr>
          <w:rFonts w:eastAsia="Calibri"/>
          <w:b/>
          <w:bCs/>
          <w:lang w:bidi="ar-SA"/>
        </w:rPr>
        <w:t>Contenu :</w:t>
      </w:r>
    </w:p>
    <w:p w14:paraId="4FAEC415" w14:textId="77777777" w:rsidR="00D21269" w:rsidRPr="00D21269" w:rsidRDefault="00D21269" w:rsidP="0001633E">
      <w:pPr>
        <w:numPr>
          <w:ilvl w:val="0"/>
          <w:numId w:val="153"/>
        </w:numPr>
        <w:spacing w:line="240" w:lineRule="auto"/>
        <w:rPr>
          <w:rFonts w:eastAsia="Calibri"/>
          <w:lang w:bidi="ar-SA"/>
        </w:rPr>
      </w:pPr>
      <w:r w:rsidRPr="00D21269">
        <w:rPr>
          <w:rFonts w:eastAsia="Calibri"/>
          <w:lang w:bidi="ar-SA"/>
        </w:rPr>
        <w:t>Inventaire des sources d’eaux usées et volumes estimés ;</w:t>
      </w:r>
    </w:p>
    <w:p w14:paraId="7EA5375C" w14:textId="77777777" w:rsidR="00D21269" w:rsidRPr="00D21269" w:rsidRDefault="00D21269" w:rsidP="0001633E">
      <w:pPr>
        <w:numPr>
          <w:ilvl w:val="0"/>
          <w:numId w:val="153"/>
        </w:numPr>
        <w:spacing w:line="240" w:lineRule="auto"/>
        <w:rPr>
          <w:rFonts w:eastAsia="Calibri"/>
          <w:lang w:bidi="ar-SA"/>
        </w:rPr>
      </w:pPr>
      <w:r w:rsidRPr="00D21269">
        <w:rPr>
          <w:rFonts w:eastAsia="Calibri"/>
          <w:lang w:bidi="ar-SA"/>
        </w:rPr>
        <w:t>Mise en place de systèmes de stockage (fosses, toilettes chimiques) ;</w:t>
      </w:r>
    </w:p>
    <w:p w14:paraId="2349CD8B" w14:textId="77777777" w:rsidR="00D21269" w:rsidRPr="00D21269" w:rsidRDefault="00D21269" w:rsidP="0001633E">
      <w:pPr>
        <w:numPr>
          <w:ilvl w:val="0"/>
          <w:numId w:val="153"/>
        </w:numPr>
        <w:spacing w:line="240" w:lineRule="auto"/>
        <w:rPr>
          <w:rFonts w:eastAsia="Calibri"/>
          <w:lang w:bidi="ar-SA"/>
        </w:rPr>
      </w:pPr>
      <w:r w:rsidRPr="00D21269">
        <w:rPr>
          <w:rFonts w:eastAsia="Calibri"/>
          <w:lang w:bidi="ar-SA"/>
        </w:rPr>
        <w:t>Recours à des vidangeurs agréés et analyses de conformité ;</w:t>
      </w:r>
    </w:p>
    <w:p w14:paraId="615F108E" w14:textId="77777777" w:rsidR="00D21269" w:rsidRPr="00D21269" w:rsidRDefault="00D21269" w:rsidP="0001633E">
      <w:pPr>
        <w:numPr>
          <w:ilvl w:val="0"/>
          <w:numId w:val="153"/>
        </w:numPr>
        <w:spacing w:line="240" w:lineRule="auto"/>
        <w:rPr>
          <w:rFonts w:eastAsia="Calibri"/>
          <w:lang w:bidi="ar-SA"/>
        </w:rPr>
      </w:pPr>
      <w:r w:rsidRPr="00D21269">
        <w:rPr>
          <w:rFonts w:eastAsia="Calibri"/>
          <w:lang w:bidi="ar-SA"/>
        </w:rPr>
        <w:t>Entretien périodique des dispositifs et traçabilité ;</w:t>
      </w:r>
    </w:p>
    <w:p w14:paraId="170B073B" w14:textId="77777777" w:rsidR="00D21269" w:rsidRPr="00D21269" w:rsidRDefault="00D21269" w:rsidP="0001633E">
      <w:pPr>
        <w:numPr>
          <w:ilvl w:val="0"/>
          <w:numId w:val="153"/>
        </w:numPr>
        <w:spacing w:line="240" w:lineRule="auto"/>
        <w:rPr>
          <w:rFonts w:eastAsia="Calibri"/>
          <w:lang w:bidi="ar-SA"/>
        </w:rPr>
      </w:pPr>
      <w:r w:rsidRPr="00D21269">
        <w:rPr>
          <w:rFonts w:eastAsia="Calibri"/>
          <w:lang w:bidi="ar-SA"/>
        </w:rPr>
        <w:t>Surveillance de la qualité avant tout rejet ;</w:t>
      </w:r>
    </w:p>
    <w:p w14:paraId="1D212EA3" w14:textId="77777777" w:rsidR="00D21269" w:rsidRPr="00D21269" w:rsidRDefault="00D21269" w:rsidP="0001633E">
      <w:pPr>
        <w:numPr>
          <w:ilvl w:val="0"/>
          <w:numId w:val="153"/>
        </w:numPr>
        <w:spacing w:line="240" w:lineRule="auto"/>
        <w:rPr>
          <w:rFonts w:eastAsia="Calibri"/>
          <w:lang w:bidi="ar-SA"/>
        </w:rPr>
      </w:pPr>
      <w:r w:rsidRPr="00D21269">
        <w:rPr>
          <w:rFonts w:eastAsia="Calibri"/>
          <w:lang w:bidi="ar-SA"/>
        </w:rPr>
        <w:t>Application stricte de l’Arrêté conjoint n°1607-06.</w:t>
      </w:r>
    </w:p>
    <w:p w14:paraId="1D06F2A4" w14:textId="57788CA5" w:rsidR="00D21269" w:rsidRPr="00D21269" w:rsidRDefault="00D21269" w:rsidP="00D21269">
      <w:pPr>
        <w:rPr>
          <w:rFonts w:eastAsia="Calibri"/>
          <w:lang w:bidi="ar-SA"/>
        </w:rPr>
      </w:pPr>
    </w:p>
    <w:p w14:paraId="2E9745BC" w14:textId="4AF3F7A5" w:rsidR="00D21269" w:rsidRPr="00D21269" w:rsidRDefault="00D21269" w:rsidP="004637C7">
      <w:pPr>
        <w:pStyle w:val="Title3"/>
        <w:rPr>
          <w:rFonts w:eastAsia="Calibri"/>
          <w:lang w:bidi="ar-SA"/>
        </w:rPr>
      </w:pPr>
      <w:bookmarkStart w:id="570" w:name="_Toc215131933"/>
      <w:r w:rsidRPr="00D21269">
        <w:rPr>
          <w:rFonts w:eastAsia="Calibri"/>
          <w:lang w:bidi="ar-SA"/>
        </w:rPr>
        <w:t>Plan de gestion du patrimoine culturel et historique (Procédure de découverte fortuite)</w:t>
      </w:r>
      <w:bookmarkEnd w:id="570"/>
    </w:p>
    <w:p w14:paraId="30B4D3F2" w14:textId="77777777" w:rsidR="00D21269" w:rsidRDefault="00D21269" w:rsidP="00D21269">
      <w:pPr>
        <w:rPr>
          <w:rFonts w:eastAsia="Calibri"/>
          <w:lang w:bidi="ar-SA"/>
        </w:rPr>
      </w:pPr>
      <w:r w:rsidRPr="00D21269">
        <w:rPr>
          <w:rFonts w:eastAsia="Calibri"/>
          <w:lang w:bidi="ar-SA"/>
        </w:rPr>
        <w:t>Ce plan garantit la préservation du patrimoine archéologique et historique en cas de découverte imprévue. Il formalise la chaîne d’action et les responsabilités.</w:t>
      </w:r>
    </w:p>
    <w:p w14:paraId="7C5B140F" w14:textId="4304F842" w:rsidR="00D21269" w:rsidRPr="00D21269" w:rsidRDefault="00D21269" w:rsidP="00D21269">
      <w:pPr>
        <w:rPr>
          <w:rFonts w:eastAsia="Calibri"/>
          <w:lang w:bidi="ar-SA"/>
        </w:rPr>
      </w:pPr>
      <w:r w:rsidRPr="00D21269">
        <w:rPr>
          <w:rFonts w:eastAsia="Calibri"/>
          <w:b/>
          <w:bCs/>
          <w:lang w:bidi="ar-SA"/>
        </w:rPr>
        <w:t xml:space="preserve"> Contenu :</w:t>
      </w:r>
    </w:p>
    <w:p w14:paraId="4D1D90B0" w14:textId="77777777" w:rsidR="00D21269" w:rsidRPr="00D21269" w:rsidRDefault="00D21269" w:rsidP="0001633E">
      <w:pPr>
        <w:numPr>
          <w:ilvl w:val="0"/>
          <w:numId w:val="154"/>
        </w:numPr>
        <w:spacing w:line="240" w:lineRule="auto"/>
        <w:rPr>
          <w:rFonts w:eastAsia="Calibri"/>
          <w:lang w:bidi="ar-SA"/>
        </w:rPr>
      </w:pPr>
      <w:r w:rsidRPr="00D21269">
        <w:rPr>
          <w:rFonts w:eastAsia="Calibri"/>
          <w:lang w:bidi="ar-SA"/>
        </w:rPr>
        <w:t>Sensibilisation des ouvriers à la reconnaissance de vestiges ;</w:t>
      </w:r>
    </w:p>
    <w:p w14:paraId="024498EB" w14:textId="77777777" w:rsidR="00D21269" w:rsidRPr="00D21269" w:rsidRDefault="00D21269" w:rsidP="0001633E">
      <w:pPr>
        <w:numPr>
          <w:ilvl w:val="0"/>
          <w:numId w:val="154"/>
        </w:numPr>
        <w:spacing w:line="240" w:lineRule="auto"/>
        <w:rPr>
          <w:rFonts w:eastAsia="Calibri"/>
          <w:lang w:bidi="ar-SA"/>
        </w:rPr>
      </w:pPr>
      <w:r w:rsidRPr="00D21269">
        <w:rPr>
          <w:rFonts w:eastAsia="Calibri"/>
          <w:lang w:bidi="ar-SA"/>
        </w:rPr>
        <w:t>Arrêt immédiat des travaux et mise en sécurité du périmètre ;</w:t>
      </w:r>
    </w:p>
    <w:p w14:paraId="1CAB0ED8" w14:textId="77777777" w:rsidR="00D21269" w:rsidRPr="00D21269" w:rsidRDefault="00D21269" w:rsidP="0001633E">
      <w:pPr>
        <w:numPr>
          <w:ilvl w:val="0"/>
          <w:numId w:val="154"/>
        </w:numPr>
        <w:spacing w:line="240" w:lineRule="auto"/>
        <w:rPr>
          <w:rFonts w:eastAsia="Calibri"/>
          <w:lang w:bidi="ar-SA"/>
        </w:rPr>
      </w:pPr>
      <w:r w:rsidRPr="00D21269">
        <w:rPr>
          <w:rFonts w:eastAsia="Calibri"/>
          <w:lang w:bidi="ar-SA"/>
        </w:rPr>
        <w:t>Notification des autorités compétentes (Direction Régionale de la Culture) ;</w:t>
      </w:r>
    </w:p>
    <w:p w14:paraId="69653309" w14:textId="77777777" w:rsidR="00D21269" w:rsidRPr="00D21269" w:rsidRDefault="00D21269" w:rsidP="0001633E">
      <w:pPr>
        <w:numPr>
          <w:ilvl w:val="0"/>
          <w:numId w:val="154"/>
        </w:numPr>
        <w:spacing w:line="240" w:lineRule="auto"/>
        <w:rPr>
          <w:rFonts w:eastAsia="Calibri"/>
          <w:lang w:bidi="ar-SA"/>
        </w:rPr>
      </w:pPr>
      <w:r w:rsidRPr="00D21269">
        <w:rPr>
          <w:rFonts w:eastAsia="Calibri"/>
          <w:lang w:bidi="ar-SA"/>
        </w:rPr>
        <w:t>Documentation photographique et rapport descriptif ;</w:t>
      </w:r>
    </w:p>
    <w:p w14:paraId="6A63C472" w14:textId="77777777" w:rsidR="00D21269" w:rsidRPr="00D21269" w:rsidRDefault="00D21269" w:rsidP="0001633E">
      <w:pPr>
        <w:numPr>
          <w:ilvl w:val="0"/>
          <w:numId w:val="154"/>
        </w:numPr>
        <w:spacing w:line="240" w:lineRule="auto"/>
        <w:rPr>
          <w:rFonts w:eastAsia="Calibri"/>
          <w:lang w:bidi="ar-SA"/>
        </w:rPr>
      </w:pPr>
      <w:r w:rsidRPr="00D21269">
        <w:rPr>
          <w:rFonts w:eastAsia="Calibri"/>
          <w:lang w:bidi="ar-SA"/>
        </w:rPr>
        <w:t>Protection physique du site en attendant instruction ;</w:t>
      </w:r>
    </w:p>
    <w:p w14:paraId="10744400" w14:textId="77777777" w:rsidR="00D21269" w:rsidRPr="00D21269" w:rsidRDefault="00D21269" w:rsidP="0001633E">
      <w:pPr>
        <w:numPr>
          <w:ilvl w:val="0"/>
          <w:numId w:val="154"/>
        </w:numPr>
        <w:spacing w:line="240" w:lineRule="auto"/>
        <w:rPr>
          <w:rFonts w:eastAsia="Calibri"/>
          <w:lang w:bidi="ar-SA"/>
        </w:rPr>
      </w:pPr>
      <w:r w:rsidRPr="00D21269">
        <w:rPr>
          <w:rFonts w:eastAsia="Calibri"/>
          <w:lang w:bidi="ar-SA"/>
        </w:rPr>
        <w:t>Reprise des travaux sur autorisation officielle.</w:t>
      </w:r>
    </w:p>
    <w:p w14:paraId="68EC7F27" w14:textId="32A916B7" w:rsidR="00641C6F" w:rsidRPr="00641C6F" w:rsidRDefault="00641C6F" w:rsidP="004637C7">
      <w:pPr>
        <w:pStyle w:val="Title2"/>
        <w:rPr>
          <w:lang w:val="fr-MA" w:bidi="ar-SA"/>
        </w:rPr>
      </w:pPr>
      <w:bookmarkStart w:id="571" w:name="_Toc119982187"/>
      <w:bookmarkStart w:id="572" w:name="_Toc119987635"/>
      <w:bookmarkStart w:id="573" w:name="_Toc119989170"/>
      <w:bookmarkStart w:id="574" w:name="_Toc47624930"/>
      <w:bookmarkStart w:id="575" w:name="_Toc48136710"/>
      <w:bookmarkStart w:id="576" w:name="_Toc47624931"/>
      <w:bookmarkStart w:id="577" w:name="_Toc48136711"/>
      <w:bookmarkStart w:id="578" w:name="_Toc47624932"/>
      <w:bookmarkStart w:id="579" w:name="_Toc48136712"/>
      <w:bookmarkStart w:id="580" w:name="_Toc47624933"/>
      <w:bookmarkStart w:id="581" w:name="_Toc48136713"/>
      <w:bookmarkStart w:id="582" w:name="_Toc47624934"/>
      <w:bookmarkStart w:id="583" w:name="_Toc48136714"/>
      <w:bookmarkStart w:id="584" w:name="_Toc47624935"/>
      <w:bookmarkStart w:id="585" w:name="_Toc48136715"/>
      <w:bookmarkStart w:id="586" w:name="_Toc47624936"/>
      <w:bookmarkStart w:id="587" w:name="_Toc48136716"/>
      <w:bookmarkStart w:id="588" w:name="_Toc47624937"/>
      <w:bookmarkStart w:id="589" w:name="_Toc48136717"/>
      <w:bookmarkStart w:id="590" w:name="_Toc44693216"/>
      <w:bookmarkStart w:id="591" w:name="_Toc119982192"/>
      <w:bookmarkStart w:id="592" w:name="_Toc119987640"/>
      <w:bookmarkStart w:id="593" w:name="_Toc119989175"/>
      <w:bookmarkStart w:id="594" w:name="_Toc215131934"/>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r w:rsidRPr="00641C6F">
        <w:rPr>
          <w:lang w:val="fr-MA" w:eastAsia="fr-FR" w:bidi="ar-SA"/>
        </w:rPr>
        <w:lastRenderedPageBreak/>
        <w:t xml:space="preserve">Les </w:t>
      </w:r>
      <w:r>
        <w:rPr>
          <w:lang w:val="fr-MA" w:eastAsia="fr-FR" w:bidi="ar-SA"/>
        </w:rPr>
        <w:t>mesures de renforcement des capacités institutionnelles</w:t>
      </w:r>
      <w:bookmarkEnd w:id="594"/>
      <w:r>
        <w:rPr>
          <w:lang w:val="fr-MA" w:eastAsia="fr-FR" w:bidi="ar-SA"/>
        </w:rPr>
        <w:t xml:space="preserve"> </w:t>
      </w:r>
    </w:p>
    <w:p w14:paraId="79883799" w14:textId="77777777" w:rsidR="00641C6F" w:rsidRPr="00D46BD7" w:rsidRDefault="00641C6F" w:rsidP="00641C6F">
      <w:pPr>
        <w:spacing w:before="100" w:beforeAutospacing="1" w:after="100" w:afterAutospacing="1"/>
      </w:pPr>
      <w:r w:rsidRPr="00D46BD7">
        <w:t xml:space="preserve">Le renforcement des capacités constitue une exigence fondamentale du </w:t>
      </w:r>
      <w:r w:rsidRPr="004637C7">
        <w:t>Système de Sauvegarde Intégré (SSI) de la Banque Africaine de Développement (BAD)</w:t>
      </w:r>
      <w:r w:rsidRPr="00D46BD7">
        <w:t xml:space="preserve">, conformément à la </w:t>
      </w:r>
      <w:r w:rsidRPr="004637C7">
        <w:t>Norme Opérationnelle n°1 (SO1)</w:t>
      </w:r>
      <w:r w:rsidRPr="00D46BD7">
        <w:t xml:space="preserve"> relative à l’évaluation et à la gestion des impacts et risques environnementaux et sociaux.</w:t>
      </w:r>
    </w:p>
    <w:p w14:paraId="194A279A" w14:textId="45CD8C32" w:rsidR="00641C6F" w:rsidRPr="00D46BD7" w:rsidRDefault="00641C6F" w:rsidP="00641C6F">
      <w:pPr>
        <w:spacing w:before="100" w:beforeAutospacing="1" w:after="100" w:afterAutospacing="1"/>
      </w:pPr>
      <w:r w:rsidRPr="00D46BD7">
        <w:t xml:space="preserve"> Il vise à garantir que toutes les parties impliquées dans la mise en œuvre du projet disposent des </w:t>
      </w:r>
      <w:r w:rsidRPr="004637C7">
        <w:t>compétences techniques, institutionnelles et organisationnelles</w:t>
      </w:r>
      <w:r w:rsidRPr="00D46BD7">
        <w:t xml:space="preserve"> nécessaires pour assurer la </w:t>
      </w:r>
      <w:r w:rsidRPr="004637C7">
        <w:t>mise en œuvre efficace, conforme et durable du PGES</w:t>
      </w:r>
      <w:r w:rsidRPr="00D46BD7">
        <w:t>.</w:t>
      </w:r>
    </w:p>
    <w:p w14:paraId="7D86BE6A" w14:textId="0BE152D2" w:rsidR="00641C6F" w:rsidRPr="00641C6F" w:rsidRDefault="00641C6F" w:rsidP="00641C6F">
      <w:pPr>
        <w:spacing w:before="100" w:beforeAutospacing="1" w:after="100" w:afterAutospacing="1"/>
      </w:pPr>
      <w:r w:rsidRPr="00D46BD7">
        <w:t xml:space="preserve">Les actions proposées dans ce plan s’appuient sur les conclusions de l’étude d’impact environnemental et social et tiennent compte des </w:t>
      </w:r>
      <w:r w:rsidRPr="004637C7">
        <w:t>besoins réels en capacités</w:t>
      </w:r>
      <w:r w:rsidRPr="00D46BD7">
        <w:t xml:space="preserve"> identifiés au sein de l’ONDA, de l’EPC, des sous-traitants et des acteurs institutionnels et communautaires.</w:t>
      </w:r>
    </w:p>
    <w:p w14:paraId="3543EA0F" w14:textId="40E79293" w:rsidR="00641C6F" w:rsidRPr="00641C6F" w:rsidRDefault="00641C6F" w:rsidP="004637C7">
      <w:pPr>
        <w:pStyle w:val="Title3"/>
      </w:pPr>
      <w:bookmarkStart w:id="595" w:name="_Toc215131935"/>
      <w:r w:rsidRPr="00641C6F">
        <w:t>Objectifs du plan</w:t>
      </w:r>
      <w:bookmarkEnd w:id="595"/>
    </w:p>
    <w:p w14:paraId="09771D8A" w14:textId="77777777" w:rsidR="00641C6F" w:rsidRPr="00641C6F" w:rsidRDefault="00641C6F" w:rsidP="00641C6F">
      <w:pPr>
        <w:spacing w:before="100" w:beforeAutospacing="1" w:after="100" w:afterAutospacing="1"/>
      </w:pPr>
      <w:r w:rsidRPr="00641C6F">
        <w:t>Le plan de renforcement des capacités poursuit les objectifs suivants :</w:t>
      </w:r>
    </w:p>
    <w:p w14:paraId="39B4F3AD" w14:textId="77777777" w:rsidR="00641C6F" w:rsidRPr="00D46BD7" w:rsidRDefault="00641C6F" w:rsidP="0001633E">
      <w:pPr>
        <w:numPr>
          <w:ilvl w:val="0"/>
          <w:numId w:val="155"/>
        </w:numPr>
        <w:spacing w:before="100" w:beforeAutospacing="1" w:after="100" w:afterAutospacing="1"/>
      </w:pPr>
      <w:r w:rsidRPr="00D46BD7">
        <w:t xml:space="preserve">Développer la </w:t>
      </w:r>
      <w:r w:rsidRPr="004637C7">
        <w:t>gouvernance environnementale et sociale</w:t>
      </w:r>
      <w:r w:rsidRPr="00D46BD7">
        <w:t xml:space="preserve"> du projet en consolidant la coordination entre l’ONDA, l’EPC, la Mission de Contrôle/AMO et les autorités locales ;</w:t>
      </w:r>
    </w:p>
    <w:p w14:paraId="6DF504B1" w14:textId="77777777" w:rsidR="00641C6F" w:rsidRPr="00D46BD7" w:rsidRDefault="00641C6F" w:rsidP="0001633E">
      <w:pPr>
        <w:numPr>
          <w:ilvl w:val="0"/>
          <w:numId w:val="155"/>
        </w:numPr>
        <w:spacing w:before="100" w:beforeAutospacing="1" w:after="100" w:afterAutospacing="1"/>
      </w:pPr>
      <w:r w:rsidRPr="00D46BD7">
        <w:t xml:space="preserve">Renforcer les </w:t>
      </w:r>
      <w:r w:rsidRPr="004637C7">
        <w:t>compétences techniques et managériales</w:t>
      </w:r>
      <w:r w:rsidRPr="00D46BD7">
        <w:t xml:space="preserve"> des personnels impliqués dans la mise en œuvre du PGES ;</w:t>
      </w:r>
    </w:p>
    <w:p w14:paraId="6BC1FA20" w14:textId="77777777" w:rsidR="00641C6F" w:rsidRPr="00D46BD7" w:rsidRDefault="00641C6F" w:rsidP="0001633E">
      <w:pPr>
        <w:numPr>
          <w:ilvl w:val="0"/>
          <w:numId w:val="155"/>
        </w:numPr>
        <w:spacing w:before="100" w:beforeAutospacing="1" w:after="100" w:afterAutospacing="1"/>
      </w:pPr>
      <w:r w:rsidRPr="00D46BD7">
        <w:t xml:space="preserve">Garantir l’application uniforme des </w:t>
      </w:r>
      <w:r w:rsidRPr="004637C7">
        <w:t>mesures de prévention, de sécurité, de suivi et de communication</w:t>
      </w:r>
      <w:r w:rsidRPr="00D46BD7">
        <w:t xml:space="preserve"> ;</w:t>
      </w:r>
    </w:p>
    <w:p w14:paraId="0BA59956" w14:textId="77777777" w:rsidR="00641C6F" w:rsidRPr="00D46BD7" w:rsidRDefault="00641C6F" w:rsidP="0001633E">
      <w:pPr>
        <w:numPr>
          <w:ilvl w:val="0"/>
          <w:numId w:val="155"/>
        </w:numPr>
        <w:spacing w:before="100" w:beforeAutospacing="1" w:after="100" w:afterAutospacing="1"/>
      </w:pPr>
      <w:r w:rsidRPr="00D46BD7">
        <w:t xml:space="preserve">Promouvoir une </w:t>
      </w:r>
      <w:r w:rsidRPr="004637C7">
        <w:t>culture de conformité, de transparence et de responsabilité</w:t>
      </w:r>
      <w:r w:rsidRPr="00D46BD7">
        <w:t xml:space="preserve"> environnementale et sociale ;</w:t>
      </w:r>
    </w:p>
    <w:p w14:paraId="4D110AC2" w14:textId="245AE88E" w:rsidR="00641C6F" w:rsidRPr="00641C6F" w:rsidRDefault="00641C6F" w:rsidP="0001633E">
      <w:pPr>
        <w:numPr>
          <w:ilvl w:val="0"/>
          <w:numId w:val="155"/>
        </w:numPr>
        <w:spacing w:before="100" w:beforeAutospacing="1" w:after="100" w:afterAutospacing="1"/>
      </w:pPr>
      <w:r w:rsidRPr="00D46BD7">
        <w:t xml:space="preserve">Améliorer la </w:t>
      </w:r>
      <w:r w:rsidRPr="004637C7">
        <w:t>participation et la sensibilisation</w:t>
      </w:r>
      <w:r w:rsidRPr="00D46BD7">
        <w:t xml:space="preserve"> des communautés locales et parties prenantes affectées par le projet.</w:t>
      </w:r>
    </w:p>
    <w:p w14:paraId="21D68E9E" w14:textId="6188005B" w:rsidR="00641C6F" w:rsidRPr="00641C6F" w:rsidRDefault="00641C6F" w:rsidP="004637C7">
      <w:pPr>
        <w:pStyle w:val="Title3"/>
      </w:pPr>
      <w:bookmarkStart w:id="596" w:name="_Toc215131936"/>
      <w:r w:rsidRPr="00641C6F">
        <w:t>Axes d’intervention</w:t>
      </w:r>
      <w:bookmarkEnd w:id="596"/>
    </w:p>
    <w:p w14:paraId="3F2A0A95" w14:textId="1C0DF59E" w:rsidR="00641C6F" w:rsidRPr="00641C6F" w:rsidRDefault="00641C6F" w:rsidP="004637C7">
      <w:pPr>
        <w:pStyle w:val="Title4"/>
      </w:pPr>
      <w:r w:rsidRPr="00641C6F">
        <w:t>Renforcement institutionnel et organisationnel</w:t>
      </w:r>
    </w:p>
    <w:p w14:paraId="32EAA206" w14:textId="77777777" w:rsidR="00904F0A" w:rsidRDefault="00904F0A" w:rsidP="00904F0A">
      <w:pPr>
        <w:spacing w:before="100" w:beforeAutospacing="1" w:after="100" w:afterAutospacing="1"/>
      </w:pPr>
      <w:r>
        <w:t>Le renforcement institutionnel vise à doter les différentes entités impliquées dans le projet — ONDA, EPC, Mission de Contrôle/AMO et autorités locales — des moyens nécessaires pour assurer une gouvernance environnementale et sociale efficace.</w:t>
      </w:r>
    </w:p>
    <w:p w14:paraId="6038AD51" w14:textId="6E568975" w:rsidR="00904F0A" w:rsidRDefault="00904F0A" w:rsidP="00904F0A">
      <w:pPr>
        <w:spacing w:before="100" w:beforeAutospacing="1" w:after="100" w:afterAutospacing="1"/>
      </w:pPr>
      <w:r>
        <w:t>Il porte sur la clarification des rôles, la mise en place d’un système de gestion E&amp;S, et l’amélioration de la coordination et du reporting entre les acteurs du projet.</w:t>
      </w:r>
    </w:p>
    <w:p w14:paraId="4620ED83" w14:textId="596F67BC" w:rsidR="00904F0A" w:rsidRDefault="00904F0A" w:rsidP="004637C7">
      <w:pPr>
        <w:spacing w:before="100" w:beforeAutospacing="1" w:after="100" w:afterAutospacing="1"/>
      </w:pPr>
      <w:r>
        <w:t>Les mesures clés à prévoir sont :</w:t>
      </w:r>
    </w:p>
    <w:p w14:paraId="4AE4BF09" w14:textId="5F4E7704" w:rsidR="00641C6F" w:rsidRPr="00D46BD7" w:rsidRDefault="00641C6F" w:rsidP="0001633E">
      <w:pPr>
        <w:numPr>
          <w:ilvl w:val="0"/>
          <w:numId w:val="156"/>
        </w:numPr>
        <w:spacing w:before="100" w:beforeAutospacing="1" w:after="100" w:afterAutospacing="1"/>
      </w:pPr>
      <w:r w:rsidRPr="00D46BD7">
        <w:t xml:space="preserve">Formation du </w:t>
      </w:r>
      <w:r w:rsidRPr="004637C7">
        <w:t>Responsable HSSE de l’ONDA</w:t>
      </w:r>
      <w:r w:rsidRPr="00D46BD7">
        <w:t xml:space="preserve"> et de ses homologues EPC/AMO sur la supervision du PGES et les exigences BAD (SO1 à SO10).</w:t>
      </w:r>
    </w:p>
    <w:p w14:paraId="44818BFE" w14:textId="77777777" w:rsidR="00641C6F" w:rsidRPr="00D46BD7" w:rsidRDefault="00641C6F" w:rsidP="0001633E">
      <w:pPr>
        <w:numPr>
          <w:ilvl w:val="0"/>
          <w:numId w:val="156"/>
        </w:numPr>
        <w:spacing w:before="100" w:beforeAutospacing="1" w:after="100" w:afterAutospacing="1"/>
      </w:pPr>
      <w:r w:rsidRPr="00D46BD7">
        <w:lastRenderedPageBreak/>
        <w:t xml:space="preserve">Mise en place d’un </w:t>
      </w:r>
      <w:r w:rsidRPr="004637C7">
        <w:t>système de gestion environnementale et sociale (SGES)</w:t>
      </w:r>
      <w:r w:rsidRPr="00D46BD7">
        <w:t xml:space="preserve"> documenté : procédures internes, fiches de suivi, modèles de rapport, registre des non-conformités.</w:t>
      </w:r>
    </w:p>
    <w:p w14:paraId="38E4734E" w14:textId="77777777" w:rsidR="00641C6F" w:rsidRPr="00D46BD7" w:rsidRDefault="00641C6F" w:rsidP="0001633E">
      <w:pPr>
        <w:numPr>
          <w:ilvl w:val="0"/>
          <w:numId w:val="156"/>
        </w:numPr>
        <w:spacing w:before="100" w:beforeAutospacing="1" w:after="100" w:afterAutospacing="1"/>
      </w:pPr>
      <w:r w:rsidRPr="00D46BD7">
        <w:t xml:space="preserve">Déploiement d’un </w:t>
      </w:r>
      <w:r w:rsidRPr="004637C7">
        <w:t>tableau de bord numérique E&amp;S</w:t>
      </w:r>
      <w:r w:rsidRPr="00D46BD7">
        <w:t xml:space="preserve"> pour centraliser les rapports, incidents, indicateurs et actions correctives.</w:t>
      </w:r>
    </w:p>
    <w:p w14:paraId="2F283D9F" w14:textId="77777777" w:rsidR="00641C6F" w:rsidRPr="00D46BD7" w:rsidRDefault="00641C6F" w:rsidP="0001633E">
      <w:pPr>
        <w:numPr>
          <w:ilvl w:val="0"/>
          <w:numId w:val="156"/>
        </w:numPr>
        <w:spacing w:before="100" w:beforeAutospacing="1" w:after="100" w:afterAutospacing="1"/>
      </w:pPr>
      <w:r w:rsidRPr="00D46BD7">
        <w:t xml:space="preserve">Réunions de coordination E&amp;S </w:t>
      </w:r>
      <w:r w:rsidRPr="004637C7">
        <w:t>trimestrielles</w:t>
      </w:r>
      <w:r w:rsidRPr="00D46BD7">
        <w:t xml:space="preserve"> entre ONDA, EPC et AMO pour harmoniser la supervision et ajuster les mesures.</w:t>
      </w:r>
    </w:p>
    <w:p w14:paraId="35D0BEC6" w14:textId="77777777" w:rsidR="00641C6F" w:rsidRPr="00D46BD7" w:rsidRDefault="00641C6F" w:rsidP="0001633E">
      <w:pPr>
        <w:numPr>
          <w:ilvl w:val="0"/>
          <w:numId w:val="156"/>
        </w:numPr>
        <w:spacing w:before="100" w:beforeAutospacing="1" w:after="100" w:afterAutospacing="1"/>
      </w:pPr>
      <w:r w:rsidRPr="00D46BD7">
        <w:t xml:space="preserve">Rédaction d’un </w:t>
      </w:r>
      <w:r w:rsidRPr="004637C7">
        <w:t>manuel interne HSSE du projet</w:t>
      </w:r>
      <w:r w:rsidRPr="00D46BD7">
        <w:t xml:space="preserve"> (procédures, fiches réflexes, protocoles d’urgence).</w:t>
      </w:r>
    </w:p>
    <w:p w14:paraId="68AB348E" w14:textId="2C22607D" w:rsidR="00641C6F" w:rsidRPr="00641C6F" w:rsidRDefault="00641C6F" w:rsidP="004637C7">
      <w:pPr>
        <w:pStyle w:val="Title4"/>
      </w:pPr>
      <w:r w:rsidRPr="00641C6F">
        <w:t>Formation et sensibilisation du personnel du projet</w:t>
      </w:r>
    </w:p>
    <w:p w14:paraId="23DC836F" w14:textId="77777777" w:rsidR="00904F0A" w:rsidRDefault="00904F0A" w:rsidP="00904F0A">
      <w:pPr>
        <w:spacing w:before="100" w:beforeAutospacing="1" w:after="100" w:afterAutospacing="1"/>
      </w:pPr>
      <w:r>
        <w:t>Cette composante vise à renforcer les compétences techniques et opérationnelles du personnel intervenant dans la mise en œuvre du PGES.</w:t>
      </w:r>
    </w:p>
    <w:p w14:paraId="1BD22E48" w14:textId="5DAB0B4B" w:rsidR="00904F0A" w:rsidRDefault="00904F0A" w:rsidP="00904F0A">
      <w:pPr>
        <w:spacing w:before="100" w:beforeAutospacing="1" w:after="100" w:afterAutospacing="1"/>
      </w:pPr>
      <w:r>
        <w:t>Elle comprend la formation du personnel à la gestion des risques environnementaux, sociaux et de sécurité, ainsi que la sensibilisation continue aux bonnes pratiques, à la conformité réglementaire et aux standards BAD.</w:t>
      </w:r>
    </w:p>
    <w:p w14:paraId="2F0D1CC6" w14:textId="59DACBCE" w:rsidR="00904F0A" w:rsidRDefault="00904F0A" w:rsidP="004637C7">
      <w:pPr>
        <w:spacing w:before="100" w:beforeAutospacing="1" w:after="100" w:afterAutospacing="1"/>
      </w:pPr>
      <w:r>
        <w:t>Les mesures clés à prévoir sont :</w:t>
      </w:r>
    </w:p>
    <w:p w14:paraId="0B0C1C22" w14:textId="3085E5EB" w:rsidR="00641C6F" w:rsidRPr="00D46BD7" w:rsidRDefault="00641C6F" w:rsidP="0001633E">
      <w:pPr>
        <w:numPr>
          <w:ilvl w:val="0"/>
          <w:numId w:val="157"/>
        </w:numPr>
        <w:spacing w:before="100" w:beforeAutospacing="1" w:after="100" w:afterAutospacing="1"/>
      </w:pPr>
      <w:r w:rsidRPr="004637C7">
        <w:t>Induction HSE obligatoire</w:t>
      </w:r>
      <w:r w:rsidRPr="00D46BD7">
        <w:t xml:space="preserve"> pour tout le personnel et sous-traitants avant leur affectation.</w:t>
      </w:r>
    </w:p>
    <w:p w14:paraId="6A9FF115" w14:textId="77777777" w:rsidR="00641C6F" w:rsidRPr="00D46BD7" w:rsidRDefault="00641C6F" w:rsidP="0001633E">
      <w:pPr>
        <w:numPr>
          <w:ilvl w:val="0"/>
          <w:numId w:val="157"/>
        </w:numPr>
        <w:spacing w:before="100" w:beforeAutospacing="1" w:after="100" w:afterAutospacing="1"/>
      </w:pPr>
      <w:r w:rsidRPr="00D46BD7">
        <w:t xml:space="preserve">Sessions trimestrielles sur la </w:t>
      </w:r>
      <w:r w:rsidRPr="004637C7">
        <w:t>gestion des déchets et substances dangereuses</w:t>
      </w:r>
      <w:r w:rsidRPr="00D46BD7">
        <w:t xml:space="preserve">, la </w:t>
      </w:r>
      <w:r w:rsidRPr="004637C7">
        <w:t>prévention des risques professionnels</w:t>
      </w:r>
      <w:r w:rsidRPr="00D46BD7">
        <w:t xml:space="preserve">, la </w:t>
      </w:r>
      <w:r w:rsidRPr="004637C7">
        <w:t>réponse aux urgences</w:t>
      </w:r>
      <w:r w:rsidRPr="00D46BD7">
        <w:t xml:space="preserve">, et la </w:t>
      </w:r>
      <w:r w:rsidRPr="004637C7">
        <w:t>prévention SEAH/GBV</w:t>
      </w:r>
      <w:r w:rsidRPr="00D46BD7">
        <w:t>.</w:t>
      </w:r>
    </w:p>
    <w:p w14:paraId="14F09D54" w14:textId="77777777" w:rsidR="00641C6F" w:rsidRPr="00D46BD7" w:rsidRDefault="00641C6F" w:rsidP="0001633E">
      <w:pPr>
        <w:numPr>
          <w:ilvl w:val="0"/>
          <w:numId w:val="157"/>
        </w:numPr>
        <w:spacing w:before="100" w:beforeAutospacing="1" w:after="100" w:afterAutospacing="1"/>
      </w:pPr>
      <w:r w:rsidRPr="00D46BD7">
        <w:t xml:space="preserve">Formation des </w:t>
      </w:r>
      <w:r w:rsidRPr="004637C7">
        <w:t>chefs d’équipe et coordinateurs E&amp;S</w:t>
      </w:r>
      <w:r w:rsidRPr="00D46BD7">
        <w:t xml:space="preserve"> sur le suivi des indicateurs, la collecte de données et la rédaction de rapports de conformité.</w:t>
      </w:r>
    </w:p>
    <w:p w14:paraId="6FD2807D" w14:textId="3E087F2B" w:rsidR="00641C6F" w:rsidRPr="00641C6F" w:rsidRDefault="00641C6F" w:rsidP="0001633E">
      <w:pPr>
        <w:numPr>
          <w:ilvl w:val="0"/>
          <w:numId w:val="157"/>
        </w:numPr>
        <w:spacing w:before="100" w:beforeAutospacing="1" w:after="100" w:afterAutospacing="1"/>
      </w:pPr>
      <w:r w:rsidRPr="00D46BD7">
        <w:t>Organisation d’</w:t>
      </w:r>
      <w:r w:rsidRPr="004637C7">
        <w:t>ateliers semestriels de partage d’expérience</w:t>
      </w:r>
      <w:r w:rsidRPr="00D46BD7">
        <w:t xml:space="preserve"> et d’analyse des leçons apprises</w:t>
      </w:r>
      <w:r w:rsidRPr="00641C6F">
        <w:t>.</w:t>
      </w:r>
    </w:p>
    <w:p w14:paraId="799837B7" w14:textId="038F113B" w:rsidR="00641C6F" w:rsidRPr="00641C6F" w:rsidRDefault="00641C6F" w:rsidP="004637C7">
      <w:pPr>
        <w:pStyle w:val="Title4"/>
      </w:pPr>
      <w:r w:rsidRPr="00641C6F">
        <w:t>Renforcement des capacit</w:t>
      </w:r>
      <w:r w:rsidRPr="00641C6F">
        <w:rPr>
          <w:rFonts w:ascii="Calibri" w:hAnsi="Calibri" w:cs="Calibri"/>
        </w:rPr>
        <w:t>é</w:t>
      </w:r>
      <w:r w:rsidRPr="00641C6F">
        <w:t>s des structures de supervision et de contr</w:t>
      </w:r>
      <w:r w:rsidRPr="00641C6F">
        <w:rPr>
          <w:rFonts w:ascii="Calibri" w:hAnsi="Calibri" w:cs="Calibri"/>
        </w:rPr>
        <w:t>ô</w:t>
      </w:r>
      <w:r w:rsidRPr="00641C6F">
        <w:t>le</w:t>
      </w:r>
    </w:p>
    <w:p w14:paraId="63026E6F" w14:textId="77777777" w:rsidR="00904F0A" w:rsidRDefault="00904F0A" w:rsidP="00904F0A">
      <w:pPr>
        <w:spacing w:before="100" w:beforeAutospacing="1" w:after="100" w:afterAutospacing="1"/>
      </w:pPr>
      <w:r>
        <w:t>Le renforcement des capacités des structures de supervision garantit que la Mission de Contrôle/AMO et les services techniques disposent des connaissances et outils nécessaires pour assurer un suivi rigoureux du PGES.</w:t>
      </w:r>
    </w:p>
    <w:p w14:paraId="30041AC3" w14:textId="6F53869E" w:rsidR="00904F0A" w:rsidRDefault="00904F0A" w:rsidP="00904F0A">
      <w:pPr>
        <w:spacing w:before="100" w:beforeAutospacing="1" w:after="100" w:afterAutospacing="1"/>
      </w:pPr>
      <w:r>
        <w:t>Cette composante met l’accent sur la maîtrise des méthodes d’audit, la conformité réglementaire et la traçabilité des mesures environnementales et sociales.</w:t>
      </w:r>
    </w:p>
    <w:p w14:paraId="37459767" w14:textId="43096CEC" w:rsidR="00904F0A" w:rsidRDefault="00904F0A" w:rsidP="004637C7">
      <w:pPr>
        <w:spacing w:before="100" w:beforeAutospacing="1" w:after="100" w:afterAutospacing="1"/>
      </w:pPr>
      <w:r>
        <w:t>Les mesures clés à prévoir sont :</w:t>
      </w:r>
    </w:p>
    <w:p w14:paraId="5F9E4E81" w14:textId="712192A8" w:rsidR="00641C6F" w:rsidRPr="00D46BD7" w:rsidRDefault="00641C6F" w:rsidP="0001633E">
      <w:pPr>
        <w:numPr>
          <w:ilvl w:val="0"/>
          <w:numId w:val="158"/>
        </w:numPr>
        <w:spacing w:before="100" w:beforeAutospacing="1" w:after="100" w:afterAutospacing="1"/>
      </w:pPr>
      <w:r w:rsidRPr="00D46BD7">
        <w:t xml:space="preserve">Formation des représentants de la </w:t>
      </w:r>
      <w:r w:rsidRPr="004637C7">
        <w:t>Mission de Contrôle/AMO environnementale</w:t>
      </w:r>
      <w:r w:rsidRPr="00D46BD7">
        <w:t xml:space="preserve"> aux méthodes d’audit E&amp;S, de conformité réglementaire et aux standards BAD/IFC.</w:t>
      </w:r>
    </w:p>
    <w:p w14:paraId="5736A1C6" w14:textId="77777777" w:rsidR="00641C6F" w:rsidRPr="00D46BD7" w:rsidRDefault="00641C6F" w:rsidP="0001633E">
      <w:pPr>
        <w:numPr>
          <w:ilvl w:val="0"/>
          <w:numId w:val="158"/>
        </w:numPr>
        <w:spacing w:before="100" w:beforeAutospacing="1" w:after="100" w:afterAutospacing="1"/>
      </w:pPr>
      <w:r w:rsidRPr="00D46BD7">
        <w:t xml:space="preserve">Utilisation de </w:t>
      </w:r>
      <w:r w:rsidRPr="004637C7">
        <w:t>grilles d’audit standardisées</w:t>
      </w:r>
      <w:r w:rsidRPr="00D46BD7">
        <w:t xml:space="preserve"> pour l’inspection du chantier, la vérification des mesures d’atténuation et la sécurité des travailleurs.</w:t>
      </w:r>
    </w:p>
    <w:p w14:paraId="65E90CE2" w14:textId="722B738B" w:rsidR="00641C6F" w:rsidRPr="00D46BD7" w:rsidRDefault="00641C6F" w:rsidP="0001633E">
      <w:pPr>
        <w:numPr>
          <w:ilvl w:val="0"/>
          <w:numId w:val="158"/>
        </w:numPr>
        <w:spacing w:before="100" w:beforeAutospacing="1" w:after="100" w:afterAutospacing="1"/>
      </w:pPr>
      <w:r w:rsidRPr="00D46BD7">
        <w:t xml:space="preserve">Sessions de renforcement interprojets (capitalisation ONDA : </w:t>
      </w:r>
      <w:r w:rsidR="00904F0A">
        <w:t>Tanger</w:t>
      </w:r>
      <w:r w:rsidRPr="00D46BD7">
        <w:t xml:space="preserve">, </w:t>
      </w:r>
      <w:r w:rsidR="00904F0A">
        <w:t>Marrakech</w:t>
      </w:r>
      <w:r w:rsidRPr="00D46BD7">
        <w:t>, Agadir, etc.).</w:t>
      </w:r>
    </w:p>
    <w:p w14:paraId="71F001C9" w14:textId="7B41AD7A" w:rsidR="00641C6F" w:rsidRPr="00D46BD7" w:rsidRDefault="00641C6F" w:rsidP="0001633E">
      <w:pPr>
        <w:numPr>
          <w:ilvl w:val="0"/>
          <w:numId w:val="158"/>
        </w:numPr>
        <w:spacing w:before="100" w:beforeAutospacing="1" w:after="100" w:afterAutospacing="1"/>
      </w:pPr>
      <w:r w:rsidRPr="00D46BD7">
        <w:lastRenderedPageBreak/>
        <w:t xml:space="preserve">Sensibilisation aux procédures de </w:t>
      </w:r>
      <w:r w:rsidRPr="004637C7">
        <w:t>découverte fortuite</w:t>
      </w:r>
      <w:r w:rsidRPr="00D46BD7">
        <w:t>, gestion des crises et communication externe.</w:t>
      </w:r>
    </w:p>
    <w:p w14:paraId="1F817CD3" w14:textId="54FE8E98" w:rsidR="00641C6F" w:rsidRPr="00641C6F" w:rsidRDefault="00641C6F" w:rsidP="004637C7">
      <w:pPr>
        <w:pStyle w:val="Title4"/>
      </w:pPr>
      <w:r w:rsidRPr="00641C6F">
        <w:t>Renforcement des capacit</w:t>
      </w:r>
      <w:r w:rsidRPr="00641C6F">
        <w:rPr>
          <w:rFonts w:ascii="Calibri" w:hAnsi="Calibri" w:cs="Calibri"/>
        </w:rPr>
        <w:t>é</w:t>
      </w:r>
      <w:r w:rsidRPr="00641C6F">
        <w:t>s des acteurs externes et des parties prenantes</w:t>
      </w:r>
    </w:p>
    <w:p w14:paraId="7F994DEF" w14:textId="77777777" w:rsidR="00904F0A" w:rsidRDefault="00904F0A" w:rsidP="00904F0A">
      <w:pPr>
        <w:spacing w:before="100" w:beforeAutospacing="1" w:after="100" w:afterAutospacing="1"/>
      </w:pPr>
      <w:r>
        <w:t>Le renforcement des capacités des parties prenantes externes vise à favoriser la compréhension, l’adhésion et la participation active des autorités locales, associations et communautés concernées.</w:t>
      </w:r>
    </w:p>
    <w:p w14:paraId="6D540A9F" w14:textId="13804715" w:rsidR="00904F0A" w:rsidRDefault="00904F0A" w:rsidP="00904F0A">
      <w:pPr>
        <w:spacing w:before="100" w:beforeAutospacing="1" w:after="100" w:afterAutospacing="1"/>
      </w:pPr>
      <w:r>
        <w:t>Il inclut la diffusion d’informations accessibles, la formation des points focaux locaux et l’organisation d’ateliers participatifs pour garantir une mise en œuvre transparente et inclusive du projet.</w:t>
      </w:r>
    </w:p>
    <w:p w14:paraId="76913717" w14:textId="1239CA0A" w:rsidR="00904F0A" w:rsidRDefault="00904F0A" w:rsidP="004637C7">
      <w:pPr>
        <w:spacing w:before="100" w:beforeAutospacing="1" w:after="100" w:afterAutospacing="1"/>
      </w:pPr>
      <w:r>
        <w:t>Les mesures clés à prévoir sont :</w:t>
      </w:r>
    </w:p>
    <w:p w14:paraId="459E676B" w14:textId="30071944" w:rsidR="00641C6F" w:rsidRPr="00D46BD7" w:rsidRDefault="00641C6F" w:rsidP="0001633E">
      <w:pPr>
        <w:numPr>
          <w:ilvl w:val="0"/>
          <w:numId w:val="159"/>
        </w:numPr>
        <w:spacing w:before="100" w:beforeAutospacing="1" w:after="100" w:afterAutospacing="1"/>
      </w:pPr>
      <w:r w:rsidRPr="00D46BD7">
        <w:t xml:space="preserve">Sessions d’information destinées aux </w:t>
      </w:r>
      <w:r w:rsidRPr="004637C7">
        <w:t>autorités locales, communes, associations et services techniques</w:t>
      </w:r>
      <w:r w:rsidRPr="00D46BD7">
        <w:t xml:space="preserve"> sur les engagements environnementaux et sociaux du projet.</w:t>
      </w:r>
    </w:p>
    <w:p w14:paraId="68F2599F" w14:textId="77777777" w:rsidR="00641C6F" w:rsidRPr="00D46BD7" w:rsidRDefault="00641C6F" w:rsidP="0001633E">
      <w:pPr>
        <w:numPr>
          <w:ilvl w:val="0"/>
          <w:numId w:val="159"/>
        </w:numPr>
        <w:spacing w:before="100" w:beforeAutospacing="1" w:after="100" w:afterAutospacing="1"/>
      </w:pPr>
      <w:r w:rsidRPr="00D46BD7">
        <w:t xml:space="preserve">Diffusion de </w:t>
      </w:r>
      <w:r w:rsidRPr="004637C7">
        <w:t>supports d’information vulgarisés</w:t>
      </w:r>
      <w:r w:rsidRPr="00D46BD7">
        <w:t xml:space="preserve"> (brochures, affiches, communiqués) expliquant les mesures du PGES, le mécanisme de gestion des plaintes et les contacts de référence.</w:t>
      </w:r>
    </w:p>
    <w:p w14:paraId="34651C3A" w14:textId="77777777" w:rsidR="00641C6F" w:rsidRPr="00D46BD7" w:rsidRDefault="00641C6F" w:rsidP="0001633E">
      <w:pPr>
        <w:numPr>
          <w:ilvl w:val="0"/>
          <w:numId w:val="159"/>
        </w:numPr>
        <w:spacing w:before="100" w:beforeAutospacing="1" w:after="100" w:afterAutospacing="1"/>
      </w:pPr>
      <w:r w:rsidRPr="00D46BD7">
        <w:t xml:space="preserve">Organisation annuelle d’un </w:t>
      </w:r>
      <w:r w:rsidRPr="004637C7">
        <w:t>atelier de concertation et de suivi participatif</w:t>
      </w:r>
      <w:r w:rsidRPr="00D46BD7">
        <w:t xml:space="preserve"> impliquant les représentants des communautés locales.</w:t>
      </w:r>
    </w:p>
    <w:p w14:paraId="5106C065" w14:textId="7AC48B84" w:rsidR="00641C6F" w:rsidRPr="00641C6F" w:rsidRDefault="00641C6F" w:rsidP="0001633E">
      <w:pPr>
        <w:numPr>
          <w:ilvl w:val="0"/>
          <w:numId w:val="159"/>
        </w:numPr>
        <w:spacing w:before="100" w:beforeAutospacing="1" w:after="100" w:afterAutospacing="1"/>
      </w:pPr>
      <w:r w:rsidRPr="00D46BD7">
        <w:t xml:space="preserve">Formation des </w:t>
      </w:r>
      <w:r w:rsidRPr="004637C7">
        <w:t>points focaux communautaires</w:t>
      </w:r>
      <w:r w:rsidRPr="00D46BD7">
        <w:t xml:space="preserve"> sur la gestion des plaintes, la communication et la prévention des risques sociaux.</w:t>
      </w:r>
    </w:p>
    <w:p w14:paraId="0B0FBDF5" w14:textId="16F90630" w:rsidR="00641C6F" w:rsidRPr="00641C6F" w:rsidRDefault="00641C6F" w:rsidP="004637C7">
      <w:pPr>
        <w:pStyle w:val="Title4"/>
      </w:pPr>
      <w:r w:rsidRPr="00641C6F">
        <w:t>Planification et suivi des actions de renforcement</w:t>
      </w:r>
    </w:p>
    <w:tbl>
      <w:tblPr>
        <w:tblStyle w:val="TableauGrille1Clair-Accentuation111"/>
        <w:tblW w:w="9498" w:type="dxa"/>
        <w:jc w:val="center"/>
        <w:tblLayout w:type="fixed"/>
        <w:tblLook w:val="04A0" w:firstRow="1" w:lastRow="0" w:firstColumn="1" w:lastColumn="0" w:noHBand="0" w:noVBand="1"/>
      </w:tblPr>
      <w:tblGrid>
        <w:gridCol w:w="1985"/>
        <w:gridCol w:w="1242"/>
        <w:gridCol w:w="884"/>
        <w:gridCol w:w="1134"/>
        <w:gridCol w:w="992"/>
        <w:gridCol w:w="1843"/>
        <w:gridCol w:w="1418"/>
      </w:tblGrid>
      <w:tr w:rsidR="005358A4" w:rsidRPr="00D46BD7" w14:paraId="3B92721A" w14:textId="1E1E804B" w:rsidTr="005358A4">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985" w:type="dxa"/>
            <w:vAlign w:val="center"/>
            <w:hideMark/>
          </w:tcPr>
          <w:p w14:paraId="75F71C9E" w14:textId="77777777" w:rsidR="007B4B66" w:rsidRPr="00D46BD7" w:rsidRDefault="007B4B66" w:rsidP="00AC2854">
            <w:pPr>
              <w:spacing w:before="100" w:beforeAutospacing="1" w:after="100" w:afterAutospacing="1"/>
              <w:jc w:val="center"/>
              <w:rPr>
                <w:szCs w:val="20"/>
              </w:rPr>
            </w:pPr>
            <w:r w:rsidRPr="00D46BD7">
              <w:rPr>
                <w:szCs w:val="20"/>
              </w:rPr>
              <w:t>Thème / Domaine de formation</w:t>
            </w:r>
          </w:p>
        </w:tc>
        <w:tc>
          <w:tcPr>
            <w:tcW w:w="1242" w:type="dxa"/>
            <w:vAlign w:val="center"/>
            <w:hideMark/>
          </w:tcPr>
          <w:p w14:paraId="2411D794" w14:textId="77777777" w:rsidR="007B4B66" w:rsidRPr="00D46BD7" w:rsidRDefault="007B4B66" w:rsidP="00AC2854">
            <w:pPr>
              <w:spacing w:before="100" w:beforeAutospacing="1" w:after="100" w:afterAutospacing="1"/>
              <w:jc w:val="center"/>
              <w:cnfStyle w:val="100000000000" w:firstRow="1" w:lastRow="0" w:firstColumn="0" w:lastColumn="0" w:oddVBand="0" w:evenVBand="0" w:oddHBand="0" w:evenHBand="0" w:firstRowFirstColumn="0" w:firstRowLastColumn="0" w:lastRowFirstColumn="0" w:lastRowLastColumn="0"/>
              <w:rPr>
                <w:szCs w:val="20"/>
              </w:rPr>
            </w:pPr>
            <w:r w:rsidRPr="00D46BD7">
              <w:rPr>
                <w:szCs w:val="20"/>
              </w:rPr>
              <w:t>Public cible</w:t>
            </w:r>
          </w:p>
        </w:tc>
        <w:tc>
          <w:tcPr>
            <w:tcW w:w="884" w:type="dxa"/>
            <w:vAlign w:val="center"/>
            <w:hideMark/>
          </w:tcPr>
          <w:p w14:paraId="5B881E1C" w14:textId="77777777" w:rsidR="007B4B66" w:rsidRPr="00D46BD7" w:rsidRDefault="007B4B66" w:rsidP="00AC2854">
            <w:pPr>
              <w:spacing w:before="100" w:beforeAutospacing="1" w:after="100" w:afterAutospacing="1"/>
              <w:jc w:val="center"/>
              <w:cnfStyle w:val="100000000000" w:firstRow="1" w:lastRow="0" w:firstColumn="0" w:lastColumn="0" w:oddVBand="0" w:evenVBand="0" w:oddHBand="0" w:evenHBand="0" w:firstRowFirstColumn="0" w:firstRowLastColumn="0" w:lastRowFirstColumn="0" w:lastRowLastColumn="0"/>
              <w:rPr>
                <w:szCs w:val="20"/>
              </w:rPr>
            </w:pPr>
            <w:r w:rsidRPr="00D46BD7">
              <w:rPr>
                <w:szCs w:val="20"/>
              </w:rPr>
              <w:t>Périodicité</w:t>
            </w:r>
          </w:p>
        </w:tc>
        <w:tc>
          <w:tcPr>
            <w:tcW w:w="1134" w:type="dxa"/>
            <w:vAlign w:val="center"/>
            <w:hideMark/>
          </w:tcPr>
          <w:p w14:paraId="0FF7EDBE" w14:textId="77777777" w:rsidR="007B4B66" w:rsidRPr="00D46BD7" w:rsidRDefault="007B4B66" w:rsidP="00AC2854">
            <w:pPr>
              <w:spacing w:before="100" w:beforeAutospacing="1" w:after="100" w:afterAutospacing="1"/>
              <w:jc w:val="center"/>
              <w:cnfStyle w:val="100000000000" w:firstRow="1" w:lastRow="0" w:firstColumn="0" w:lastColumn="0" w:oddVBand="0" w:evenVBand="0" w:oddHBand="0" w:evenHBand="0" w:firstRowFirstColumn="0" w:firstRowLastColumn="0" w:lastRowFirstColumn="0" w:lastRowLastColumn="0"/>
              <w:rPr>
                <w:szCs w:val="20"/>
              </w:rPr>
            </w:pPr>
            <w:r w:rsidRPr="00D46BD7">
              <w:rPr>
                <w:szCs w:val="20"/>
              </w:rPr>
              <w:t>Modalité</w:t>
            </w:r>
          </w:p>
        </w:tc>
        <w:tc>
          <w:tcPr>
            <w:tcW w:w="992" w:type="dxa"/>
            <w:vAlign w:val="center"/>
            <w:hideMark/>
          </w:tcPr>
          <w:p w14:paraId="35685622" w14:textId="77777777" w:rsidR="007B4B66" w:rsidRPr="00D46BD7" w:rsidRDefault="007B4B66" w:rsidP="00AC2854">
            <w:pPr>
              <w:spacing w:before="100" w:beforeAutospacing="1" w:after="100" w:afterAutospacing="1"/>
              <w:jc w:val="center"/>
              <w:cnfStyle w:val="100000000000" w:firstRow="1" w:lastRow="0" w:firstColumn="0" w:lastColumn="0" w:oddVBand="0" w:evenVBand="0" w:oddHBand="0" w:evenHBand="0" w:firstRowFirstColumn="0" w:firstRowLastColumn="0" w:lastRowFirstColumn="0" w:lastRowLastColumn="0"/>
              <w:rPr>
                <w:szCs w:val="20"/>
              </w:rPr>
            </w:pPr>
            <w:r w:rsidRPr="00D46BD7">
              <w:rPr>
                <w:szCs w:val="20"/>
              </w:rPr>
              <w:t>Responsable de mise en œuvre</w:t>
            </w:r>
          </w:p>
        </w:tc>
        <w:tc>
          <w:tcPr>
            <w:tcW w:w="1843" w:type="dxa"/>
            <w:vAlign w:val="center"/>
            <w:hideMark/>
          </w:tcPr>
          <w:p w14:paraId="7EBD3475" w14:textId="77777777" w:rsidR="007B4B66" w:rsidRPr="00D46BD7" w:rsidRDefault="007B4B66" w:rsidP="00AC2854">
            <w:pPr>
              <w:spacing w:before="100" w:beforeAutospacing="1" w:after="100" w:afterAutospacing="1"/>
              <w:jc w:val="center"/>
              <w:cnfStyle w:val="100000000000" w:firstRow="1" w:lastRow="0" w:firstColumn="0" w:lastColumn="0" w:oddVBand="0" w:evenVBand="0" w:oddHBand="0" w:evenHBand="0" w:firstRowFirstColumn="0" w:firstRowLastColumn="0" w:lastRowFirstColumn="0" w:lastRowLastColumn="0"/>
              <w:rPr>
                <w:szCs w:val="20"/>
              </w:rPr>
            </w:pPr>
            <w:r w:rsidRPr="00D46BD7">
              <w:rPr>
                <w:szCs w:val="20"/>
              </w:rPr>
              <w:t>Indicateur SMART</w:t>
            </w:r>
          </w:p>
        </w:tc>
        <w:tc>
          <w:tcPr>
            <w:tcW w:w="1418" w:type="dxa"/>
            <w:vAlign w:val="center"/>
          </w:tcPr>
          <w:p w14:paraId="132C77EB" w14:textId="7A736F4D" w:rsidR="007B4B66" w:rsidRPr="00D46BD7" w:rsidRDefault="007275B9" w:rsidP="00AC2854">
            <w:pPr>
              <w:spacing w:before="100" w:beforeAutospacing="1" w:after="100" w:afterAutospacing="1"/>
              <w:jc w:val="center"/>
              <w:cnfStyle w:val="100000000000" w:firstRow="1" w:lastRow="0" w:firstColumn="0" w:lastColumn="0" w:oddVBand="0" w:evenVBand="0" w:oddHBand="0" w:evenHBand="0" w:firstRowFirstColumn="0" w:firstRowLastColumn="0" w:lastRowFirstColumn="0" w:lastRowLastColumn="0"/>
              <w:rPr>
                <w:szCs w:val="20"/>
              </w:rPr>
            </w:pPr>
            <w:r w:rsidRPr="007275B9">
              <w:rPr>
                <w:szCs w:val="20"/>
              </w:rPr>
              <w:t>Estimation du coût (MAD)</w:t>
            </w:r>
          </w:p>
        </w:tc>
      </w:tr>
      <w:tr w:rsidR="005358A4" w:rsidRPr="00D46BD7" w14:paraId="68C0E47A" w14:textId="2C012E77" w:rsidTr="005358A4">
        <w:trPr>
          <w:jc w:val="center"/>
        </w:trPr>
        <w:tc>
          <w:tcPr>
            <w:cnfStyle w:val="001000000000" w:firstRow="0" w:lastRow="0" w:firstColumn="1" w:lastColumn="0" w:oddVBand="0" w:evenVBand="0" w:oddHBand="0" w:evenHBand="0" w:firstRowFirstColumn="0" w:firstRowLastColumn="0" w:lastRowFirstColumn="0" w:lastRowLastColumn="0"/>
            <w:tcW w:w="1985" w:type="dxa"/>
            <w:vAlign w:val="center"/>
            <w:hideMark/>
          </w:tcPr>
          <w:p w14:paraId="7C302430" w14:textId="77777777" w:rsidR="007275B9" w:rsidRPr="00D46BD7" w:rsidRDefault="007275B9" w:rsidP="007275B9">
            <w:pPr>
              <w:spacing w:before="100" w:beforeAutospacing="1" w:after="100" w:afterAutospacing="1"/>
              <w:jc w:val="left"/>
              <w:rPr>
                <w:szCs w:val="20"/>
              </w:rPr>
            </w:pPr>
            <w:r w:rsidRPr="00D46BD7">
              <w:rPr>
                <w:szCs w:val="20"/>
              </w:rPr>
              <w:t>Gouvernance et suivi environnemental et social</w:t>
            </w:r>
          </w:p>
        </w:tc>
        <w:tc>
          <w:tcPr>
            <w:tcW w:w="1242" w:type="dxa"/>
            <w:vAlign w:val="center"/>
            <w:hideMark/>
          </w:tcPr>
          <w:p w14:paraId="5DE92FFC" w14:textId="77777777" w:rsidR="007275B9" w:rsidRPr="00D46BD7" w:rsidRDefault="007275B9" w:rsidP="007275B9">
            <w:pPr>
              <w:spacing w:before="100" w:beforeAutospacing="1" w:after="100" w:afterAutospacing="1"/>
              <w:jc w:val="left"/>
              <w:cnfStyle w:val="000000000000" w:firstRow="0" w:lastRow="0" w:firstColumn="0" w:lastColumn="0" w:oddVBand="0" w:evenVBand="0" w:oddHBand="0" w:evenHBand="0" w:firstRowFirstColumn="0" w:firstRowLastColumn="0" w:lastRowFirstColumn="0" w:lastRowLastColumn="0"/>
              <w:rPr>
                <w:szCs w:val="20"/>
              </w:rPr>
            </w:pPr>
            <w:r w:rsidRPr="00D46BD7">
              <w:rPr>
                <w:szCs w:val="20"/>
              </w:rPr>
              <w:t>ONDA / EPC / AMO</w:t>
            </w:r>
          </w:p>
        </w:tc>
        <w:tc>
          <w:tcPr>
            <w:tcW w:w="884" w:type="dxa"/>
            <w:vAlign w:val="center"/>
            <w:hideMark/>
          </w:tcPr>
          <w:p w14:paraId="55E2BBC6" w14:textId="77777777" w:rsidR="007275B9" w:rsidRPr="00D46BD7" w:rsidRDefault="007275B9" w:rsidP="007275B9">
            <w:pPr>
              <w:spacing w:before="100" w:beforeAutospacing="1" w:after="100" w:afterAutospacing="1"/>
              <w:jc w:val="left"/>
              <w:cnfStyle w:val="000000000000" w:firstRow="0" w:lastRow="0" w:firstColumn="0" w:lastColumn="0" w:oddVBand="0" w:evenVBand="0" w:oddHBand="0" w:evenHBand="0" w:firstRowFirstColumn="0" w:firstRowLastColumn="0" w:lastRowFirstColumn="0" w:lastRowLastColumn="0"/>
              <w:rPr>
                <w:szCs w:val="20"/>
              </w:rPr>
            </w:pPr>
            <w:r w:rsidRPr="00D46BD7">
              <w:rPr>
                <w:szCs w:val="20"/>
              </w:rPr>
              <w:t>Avant démarrage puis annuel</w:t>
            </w:r>
          </w:p>
        </w:tc>
        <w:tc>
          <w:tcPr>
            <w:tcW w:w="1134" w:type="dxa"/>
            <w:vAlign w:val="center"/>
            <w:hideMark/>
          </w:tcPr>
          <w:p w14:paraId="764A83FA" w14:textId="6B76D96B" w:rsidR="007275B9" w:rsidRPr="00D46BD7" w:rsidRDefault="007275B9" w:rsidP="007275B9">
            <w:pPr>
              <w:spacing w:before="100" w:beforeAutospacing="1" w:after="100" w:afterAutospacing="1"/>
              <w:jc w:val="left"/>
              <w:cnfStyle w:val="000000000000" w:firstRow="0" w:lastRow="0" w:firstColumn="0" w:lastColumn="0" w:oddVBand="0" w:evenVBand="0" w:oddHBand="0" w:evenHBand="0" w:firstRowFirstColumn="0" w:firstRowLastColumn="0" w:lastRowFirstColumn="0" w:lastRowLastColumn="0"/>
              <w:rPr>
                <w:szCs w:val="20"/>
              </w:rPr>
            </w:pPr>
            <w:r w:rsidRPr="00D46BD7">
              <w:rPr>
                <w:szCs w:val="20"/>
              </w:rPr>
              <w:t>Atelier</w:t>
            </w:r>
            <w:r>
              <w:rPr>
                <w:szCs w:val="20"/>
              </w:rPr>
              <w:t xml:space="preserve"> présentiel ou</w:t>
            </w:r>
            <w:r w:rsidRPr="00D46BD7">
              <w:rPr>
                <w:szCs w:val="20"/>
              </w:rPr>
              <w:t xml:space="preserve"> e-learning</w:t>
            </w:r>
          </w:p>
        </w:tc>
        <w:tc>
          <w:tcPr>
            <w:tcW w:w="992" w:type="dxa"/>
            <w:vAlign w:val="center"/>
            <w:hideMark/>
          </w:tcPr>
          <w:p w14:paraId="23B600FD" w14:textId="77777777" w:rsidR="007275B9" w:rsidRPr="00D46BD7" w:rsidRDefault="007275B9" w:rsidP="007275B9">
            <w:pPr>
              <w:spacing w:before="100" w:beforeAutospacing="1" w:after="100" w:afterAutospacing="1"/>
              <w:jc w:val="left"/>
              <w:cnfStyle w:val="000000000000" w:firstRow="0" w:lastRow="0" w:firstColumn="0" w:lastColumn="0" w:oddVBand="0" w:evenVBand="0" w:oddHBand="0" w:evenHBand="0" w:firstRowFirstColumn="0" w:firstRowLastColumn="0" w:lastRowFirstColumn="0" w:lastRowLastColumn="0"/>
              <w:rPr>
                <w:szCs w:val="20"/>
              </w:rPr>
            </w:pPr>
            <w:r w:rsidRPr="00D46BD7">
              <w:rPr>
                <w:szCs w:val="20"/>
              </w:rPr>
              <w:t>ONDA</w:t>
            </w:r>
          </w:p>
        </w:tc>
        <w:tc>
          <w:tcPr>
            <w:tcW w:w="1843" w:type="dxa"/>
            <w:vAlign w:val="center"/>
            <w:hideMark/>
          </w:tcPr>
          <w:p w14:paraId="1850A46F" w14:textId="77777777" w:rsidR="007275B9" w:rsidRPr="00D46BD7" w:rsidRDefault="007275B9" w:rsidP="007275B9">
            <w:pPr>
              <w:spacing w:before="100" w:beforeAutospacing="1" w:after="100" w:afterAutospacing="1"/>
              <w:jc w:val="left"/>
              <w:cnfStyle w:val="000000000000" w:firstRow="0" w:lastRow="0" w:firstColumn="0" w:lastColumn="0" w:oddVBand="0" w:evenVBand="0" w:oddHBand="0" w:evenHBand="0" w:firstRowFirstColumn="0" w:firstRowLastColumn="0" w:lastRowFirstColumn="0" w:lastRowLastColumn="0"/>
              <w:rPr>
                <w:szCs w:val="20"/>
              </w:rPr>
            </w:pPr>
            <w:r w:rsidRPr="00D46BD7">
              <w:rPr>
                <w:szCs w:val="20"/>
              </w:rPr>
              <w:t>% de cadres formés (&gt;90%)</w:t>
            </w:r>
          </w:p>
        </w:tc>
        <w:tc>
          <w:tcPr>
            <w:tcW w:w="1418" w:type="dxa"/>
            <w:shd w:val="clear" w:color="auto" w:fill="auto"/>
            <w:vAlign w:val="center"/>
          </w:tcPr>
          <w:p w14:paraId="446058A2" w14:textId="5A71BB35" w:rsidR="007275B9" w:rsidRPr="00D46BD7" w:rsidRDefault="007275B9" w:rsidP="00AC2854">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szCs w:val="20"/>
              </w:rPr>
            </w:pPr>
            <w:r w:rsidRPr="00FC749F">
              <w:t>25 000 / session</w:t>
            </w:r>
          </w:p>
        </w:tc>
      </w:tr>
      <w:tr w:rsidR="005358A4" w:rsidRPr="00D46BD7" w14:paraId="6410A8AE" w14:textId="3F350AAE" w:rsidTr="005358A4">
        <w:trPr>
          <w:jc w:val="center"/>
        </w:trPr>
        <w:tc>
          <w:tcPr>
            <w:cnfStyle w:val="001000000000" w:firstRow="0" w:lastRow="0" w:firstColumn="1" w:lastColumn="0" w:oddVBand="0" w:evenVBand="0" w:oddHBand="0" w:evenHBand="0" w:firstRowFirstColumn="0" w:firstRowLastColumn="0" w:lastRowFirstColumn="0" w:lastRowLastColumn="0"/>
            <w:tcW w:w="1985" w:type="dxa"/>
            <w:vAlign w:val="center"/>
            <w:hideMark/>
          </w:tcPr>
          <w:p w14:paraId="4B0A1854" w14:textId="77777777" w:rsidR="007275B9" w:rsidRPr="00D46BD7" w:rsidRDefault="007275B9" w:rsidP="007275B9">
            <w:pPr>
              <w:spacing w:before="100" w:beforeAutospacing="1" w:after="100" w:afterAutospacing="1"/>
              <w:jc w:val="left"/>
              <w:rPr>
                <w:szCs w:val="20"/>
              </w:rPr>
            </w:pPr>
            <w:r w:rsidRPr="00D46BD7">
              <w:rPr>
                <w:szCs w:val="20"/>
              </w:rPr>
              <w:t>Santé, sécurité et premiers secours</w:t>
            </w:r>
          </w:p>
        </w:tc>
        <w:tc>
          <w:tcPr>
            <w:tcW w:w="1242" w:type="dxa"/>
            <w:vAlign w:val="center"/>
            <w:hideMark/>
          </w:tcPr>
          <w:p w14:paraId="5D541998" w14:textId="77777777" w:rsidR="007275B9" w:rsidRPr="00D46BD7" w:rsidRDefault="007275B9" w:rsidP="007275B9">
            <w:pPr>
              <w:spacing w:before="100" w:beforeAutospacing="1" w:after="100" w:afterAutospacing="1"/>
              <w:jc w:val="left"/>
              <w:cnfStyle w:val="000000000000" w:firstRow="0" w:lastRow="0" w:firstColumn="0" w:lastColumn="0" w:oddVBand="0" w:evenVBand="0" w:oddHBand="0" w:evenHBand="0" w:firstRowFirstColumn="0" w:firstRowLastColumn="0" w:lastRowFirstColumn="0" w:lastRowLastColumn="0"/>
              <w:rPr>
                <w:szCs w:val="20"/>
              </w:rPr>
            </w:pPr>
            <w:r w:rsidRPr="00D46BD7">
              <w:rPr>
                <w:szCs w:val="20"/>
              </w:rPr>
              <w:t>Travailleurs / Sous-traitants</w:t>
            </w:r>
          </w:p>
        </w:tc>
        <w:tc>
          <w:tcPr>
            <w:tcW w:w="884" w:type="dxa"/>
            <w:vAlign w:val="center"/>
            <w:hideMark/>
          </w:tcPr>
          <w:p w14:paraId="7E66B634" w14:textId="77777777" w:rsidR="007275B9" w:rsidRPr="00D46BD7" w:rsidRDefault="007275B9" w:rsidP="007275B9">
            <w:pPr>
              <w:spacing w:before="100" w:beforeAutospacing="1" w:after="100" w:afterAutospacing="1"/>
              <w:jc w:val="left"/>
              <w:cnfStyle w:val="000000000000" w:firstRow="0" w:lastRow="0" w:firstColumn="0" w:lastColumn="0" w:oddVBand="0" w:evenVBand="0" w:oddHBand="0" w:evenHBand="0" w:firstRowFirstColumn="0" w:firstRowLastColumn="0" w:lastRowFirstColumn="0" w:lastRowLastColumn="0"/>
              <w:rPr>
                <w:szCs w:val="20"/>
              </w:rPr>
            </w:pPr>
            <w:r w:rsidRPr="00D46BD7">
              <w:rPr>
                <w:szCs w:val="20"/>
              </w:rPr>
              <w:t>Trimestriel</w:t>
            </w:r>
          </w:p>
        </w:tc>
        <w:tc>
          <w:tcPr>
            <w:tcW w:w="1134" w:type="dxa"/>
            <w:vAlign w:val="center"/>
            <w:hideMark/>
          </w:tcPr>
          <w:p w14:paraId="4568EEDD" w14:textId="77777777" w:rsidR="007275B9" w:rsidRPr="00D46BD7" w:rsidRDefault="007275B9" w:rsidP="007275B9">
            <w:pPr>
              <w:spacing w:before="100" w:beforeAutospacing="1" w:after="100" w:afterAutospacing="1"/>
              <w:jc w:val="left"/>
              <w:cnfStyle w:val="000000000000" w:firstRow="0" w:lastRow="0" w:firstColumn="0" w:lastColumn="0" w:oddVBand="0" w:evenVBand="0" w:oddHBand="0" w:evenHBand="0" w:firstRowFirstColumn="0" w:firstRowLastColumn="0" w:lastRowFirstColumn="0" w:lastRowLastColumn="0"/>
              <w:rPr>
                <w:szCs w:val="20"/>
              </w:rPr>
            </w:pPr>
            <w:r w:rsidRPr="00D46BD7">
              <w:rPr>
                <w:szCs w:val="20"/>
              </w:rPr>
              <w:t>Formation pratique</w:t>
            </w:r>
          </w:p>
        </w:tc>
        <w:tc>
          <w:tcPr>
            <w:tcW w:w="992" w:type="dxa"/>
            <w:vAlign w:val="center"/>
            <w:hideMark/>
          </w:tcPr>
          <w:p w14:paraId="65A0656E" w14:textId="77777777" w:rsidR="007275B9" w:rsidRPr="00D46BD7" w:rsidRDefault="007275B9" w:rsidP="007275B9">
            <w:pPr>
              <w:spacing w:before="100" w:beforeAutospacing="1" w:after="100" w:afterAutospacing="1"/>
              <w:jc w:val="left"/>
              <w:cnfStyle w:val="000000000000" w:firstRow="0" w:lastRow="0" w:firstColumn="0" w:lastColumn="0" w:oddVBand="0" w:evenVBand="0" w:oddHBand="0" w:evenHBand="0" w:firstRowFirstColumn="0" w:firstRowLastColumn="0" w:lastRowFirstColumn="0" w:lastRowLastColumn="0"/>
              <w:rPr>
                <w:szCs w:val="20"/>
              </w:rPr>
            </w:pPr>
            <w:r w:rsidRPr="00D46BD7">
              <w:rPr>
                <w:szCs w:val="20"/>
              </w:rPr>
              <w:t>EPC / AMO</w:t>
            </w:r>
          </w:p>
        </w:tc>
        <w:tc>
          <w:tcPr>
            <w:tcW w:w="1843" w:type="dxa"/>
            <w:vAlign w:val="center"/>
            <w:hideMark/>
          </w:tcPr>
          <w:p w14:paraId="5560224C" w14:textId="77777777" w:rsidR="007275B9" w:rsidRPr="00D46BD7" w:rsidRDefault="007275B9" w:rsidP="007275B9">
            <w:pPr>
              <w:spacing w:before="100" w:beforeAutospacing="1" w:after="100" w:afterAutospacing="1"/>
              <w:jc w:val="left"/>
              <w:cnfStyle w:val="000000000000" w:firstRow="0" w:lastRow="0" w:firstColumn="0" w:lastColumn="0" w:oddVBand="0" w:evenVBand="0" w:oddHBand="0" w:evenHBand="0" w:firstRowFirstColumn="0" w:firstRowLastColumn="0" w:lastRowFirstColumn="0" w:lastRowLastColumn="0"/>
              <w:rPr>
                <w:szCs w:val="20"/>
              </w:rPr>
            </w:pPr>
            <w:r w:rsidRPr="00D46BD7">
              <w:rPr>
                <w:szCs w:val="20"/>
              </w:rPr>
              <w:t>Nb de formations / trimestre</w:t>
            </w:r>
          </w:p>
        </w:tc>
        <w:tc>
          <w:tcPr>
            <w:tcW w:w="1418" w:type="dxa"/>
            <w:shd w:val="clear" w:color="auto" w:fill="auto"/>
            <w:vAlign w:val="center"/>
          </w:tcPr>
          <w:p w14:paraId="70E78827" w14:textId="5827BF43" w:rsidR="007275B9" w:rsidRPr="00D46BD7" w:rsidRDefault="007275B9" w:rsidP="00AC2854">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szCs w:val="20"/>
              </w:rPr>
            </w:pPr>
            <w:r w:rsidRPr="00FC749F">
              <w:t>10 000 / session</w:t>
            </w:r>
          </w:p>
        </w:tc>
      </w:tr>
      <w:tr w:rsidR="005358A4" w:rsidRPr="00D46BD7" w14:paraId="3AD2049E" w14:textId="7D5F434A" w:rsidTr="005358A4">
        <w:trPr>
          <w:jc w:val="center"/>
        </w:trPr>
        <w:tc>
          <w:tcPr>
            <w:cnfStyle w:val="001000000000" w:firstRow="0" w:lastRow="0" w:firstColumn="1" w:lastColumn="0" w:oddVBand="0" w:evenVBand="0" w:oddHBand="0" w:evenHBand="0" w:firstRowFirstColumn="0" w:firstRowLastColumn="0" w:lastRowFirstColumn="0" w:lastRowLastColumn="0"/>
            <w:tcW w:w="1985" w:type="dxa"/>
            <w:vAlign w:val="center"/>
            <w:hideMark/>
          </w:tcPr>
          <w:p w14:paraId="6E240AB4" w14:textId="77777777" w:rsidR="007275B9" w:rsidRPr="00D46BD7" w:rsidRDefault="007275B9" w:rsidP="007275B9">
            <w:pPr>
              <w:spacing w:before="100" w:beforeAutospacing="1" w:after="100" w:afterAutospacing="1"/>
              <w:jc w:val="left"/>
              <w:rPr>
                <w:szCs w:val="20"/>
              </w:rPr>
            </w:pPr>
            <w:r w:rsidRPr="00D46BD7">
              <w:rPr>
                <w:szCs w:val="20"/>
              </w:rPr>
              <w:t>Gestion des déchets et matières dangereuses</w:t>
            </w:r>
          </w:p>
        </w:tc>
        <w:tc>
          <w:tcPr>
            <w:tcW w:w="1242" w:type="dxa"/>
            <w:vAlign w:val="center"/>
            <w:hideMark/>
          </w:tcPr>
          <w:p w14:paraId="77BB8004" w14:textId="77777777" w:rsidR="007275B9" w:rsidRPr="00D46BD7" w:rsidRDefault="007275B9" w:rsidP="007275B9">
            <w:pPr>
              <w:spacing w:before="100" w:beforeAutospacing="1" w:after="100" w:afterAutospacing="1"/>
              <w:jc w:val="left"/>
              <w:cnfStyle w:val="000000000000" w:firstRow="0" w:lastRow="0" w:firstColumn="0" w:lastColumn="0" w:oddVBand="0" w:evenVBand="0" w:oddHBand="0" w:evenHBand="0" w:firstRowFirstColumn="0" w:firstRowLastColumn="0" w:lastRowFirstColumn="0" w:lastRowLastColumn="0"/>
              <w:rPr>
                <w:szCs w:val="20"/>
              </w:rPr>
            </w:pPr>
            <w:r w:rsidRPr="00D46BD7">
              <w:rPr>
                <w:szCs w:val="20"/>
              </w:rPr>
              <w:t>Personnel de chantier</w:t>
            </w:r>
          </w:p>
        </w:tc>
        <w:tc>
          <w:tcPr>
            <w:tcW w:w="884" w:type="dxa"/>
            <w:vAlign w:val="center"/>
            <w:hideMark/>
          </w:tcPr>
          <w:p w14:paraId="6F2B178E" w14:textId="77777777" w:rsidR="007275B9" w:rsidRPr="00D46BD7" w:rsidRDefault="007275B9" w:rsidP="007275B9">
            <w:pPr>
              <w:spacing w:before="100" w:beforeAutospacing="1" w:after="100" w:afterAutospacing="1"/>
              <w:jc w:val="left"/>
              <w:cnfStyle w:val="000000000000" w:firstRow="0" w:lastRow="0" w:firstColumn="0" w:lastColumn="0" w:oddVBand="0" w:evenVBand="0" w:oddHBand="0" w:evenHBand="0" w:firstRowFirstColumn="0" w:firstRowLastColumn="0" w:lastRowFirstColumn="0" w:lastRowLastColumn="0"/>
              <w:rPr>
                <w:szCs w:val="20"/>
              </w:rPr>
            </w:pPr>
            <w:r w:rsidRPr="00D46BD7">
              <w:rPr>
                <w:szCs w:val="20"/>
              </w:rPr>
              <w:t>Semestriel</w:t>
            </w:r>
          </w:p>
        </w:tc>
        <w:tc>
          <w:tcPr>
            <w:tcW w:w="1134" w:type="dxa"/>
            <w:vAlign w:val="center"/>
            <w:hideMark/>
          </w:tcPr>
          <w:p w14:paraId="63339766" w14:textId="77777777" w:rsidR="007275B9" w:rsidRPr="00D46BD7" w:rsidRDefault="007275B9" w:rsidP="007275B9">
            <w:pPr>
              <w:spacing w:before="100" w:beforeAutospacing="1" w:after="100" w:afterAutospacing="1"/>
              <w:jc w:val="left"/>
              <w:cnfStyle w:val="000000000000" w:firstRow="0" w:lastRow="0" w:firstColumn="0" w:lastColumn="0" w:oddVBand="0" w:evenVBand="0" w:oddHBand="0" w:evenHBand="0" w:firstRowFirstColumn="0" w:firstRowLastColumn="0" w:lastRowFirstColumn="0" w:lastRowLastColumn="0"/>
              <w:rPr>
                <w:szCs w:val="20"/>
              </w:rPr>
            </w:pPr>
            <w:r w:rsidRPr="00D46BD7">
              <w:rPr>
                <w:szCs w:val="20"/>
              </w:rPr>
              <w:t>Atelier terrain</w:t>
            </w:r>
          </w:p>
        </w:tc>
        <w:tc>
          <w:tcPr>
            <w:tcW w:w="992" w:type="dxa"/>
            <w:vAlign w:val="center"/>
            <w:hideMark/>
          </w:tcPr>
          <w:p w14:paraId="4D4404C9" w14:textId="77777777" w:rsidR="007275B9" w:rsidRPr="00D46BD7" w:rsidRDefault="007275B9" w:rsidP="007275B9">
            <w:pPr>
              <w:spacing w:before="100" w:beforeAutospacing="1" w:after="100" w:afterAutospacing="1"/>
              <w:jc w:val="left"/>
              <w:cnfStyle w:val="000000000000" w:firstRow="0" w:lastRow="0" w:firstColumn="0" w:lastColumn="0" w:oddVBand="0" w:evenVBand="0" w:oddHBand="0" w:evenHBand="0" w:firstRowFirstColumn="0" w:firstRowLastColumn="0" w:lastRowFirstColumn="0" w:lastRowLastColumn="0"/>
              <w:rPr>
                <w:szCs w:val="20"/>
              </w:rPr>
            </w:pPr>
            <w:r w:rsidRPr="00D46BD7">
              <w:rPr>
                <w:szCs w:val="20"/>
              </w:rPr>
              <w:t>EPC</w:t>
            </w:r>
          </w:p>
        </w:tc>
        <w:tc>
          <w:tcPr>
            <w:tcW w:w="1843" w:type="dxa"/>
            <w:vAlign w:val="center"/>
            <w:hideMark/>
          </w:tcPr>
          <w:p w14:paraId="45787FF7" w14:textId="77777777" w:rsidR="007275B9" w:rsidRPr="00D46BD7" w:rsidRDefault="007275B9" w:rsidP="007275B9">
            <w:pPr>
              <w:spacing w:before="100" w:beforeAutospacing="1" w:after="100" w:afterAutospacing="1"/>
              <w:jc w:val="left"/>
              <w:cnfStyle w:val="000000000000" w:firstRow="0" w:lastRow="0" w:firstColumn="0" w:lastColumn="0" w:oddVBand="0" w:evenVBand="0" w:oddHBand="0" w:evenHBand="0" w:firstRowFirstColumn="0" w:firstRowLastColumn="0" w:lastRowFirstColumn="0" w:lastRowLastColumn="0"/>
              <w:rPr>
                <w:szCs w:val="20"/>
              </w:rPr>
            </w:pPr>
            <w:r w:rsidRPr="00D46BD7">
              <w:rPr>
                <w:szCs w:val="20"/>
              </w:rPr>
              <w:t>Taux de conformité &gt;95%</w:t>
            </w:r>
          </w:p>
        </w:tc>
        <w:tc>
          <w:tcPr>
            <w:tcW w:w="1418" w:type="dxa"/>
            <w:shd w:val="clear" w:color="auto" w:fill="auto"/>
            <w:vAlign w:val="center"/>
          </w:tcPr>
          <w:p w14:paraId="4AA5694A" w14:textId="07E15379" w:rsidR="007275B9" w:rsidRPr="00D46BD7" w:rsidRDefault="007275B9" w:rsidP="00AC2854">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szCs w:val="20"/>
              </w:rPr>
            </w:pPr>
            <w:r w:rsidRPr="00FC749F">
              <w:t>8 000 / session</w:t>
            </w:r>
          </w:p>
        </w:tc>
      </w:tr>
      <w:tr w:rsidR="005358A4" w:rsidRPr="00D46BD7" w14:paraId="7BA5C13A" w14:textId="46C51C04" w:rsidTr="005358A4">
        <w:trPr>
          <w:jc w:val="center"/>
        </w:trPr>
        <w:tc>
          <w:tcPr>
            <w:cnfStyle w:val="001000000000" w:firstRow="0" w:lastRow="0" w:firstColumn="1" w:lastColumn="0" w:oddVBand="0" w:evenVBand="0" w:oddHBand="0" w:evenHBand="0" w:firstRowFirstColumn="0" w:firstRowLastColumn="0" w:lastRowFirstColumn="0" w:lastRowLastColumn="0"/>
            <w:tcW w:w="1985" w:type="dxa"/>
            <w:vAlign w:val="center"/>
            <w:hideMark/>
          </w:tcPr>
          <w:p w14:paraId="2607EBBB" w14:textId="77777777" w:rsidR="007275B9" w:rsidRPr="00D46BD7" w:rsidRDefault="007275B9" w:rsidP="007275B9">
            <w:pPr>
              <w:spacing w:before="100" w:beforeAutospacing="1" w:after="100" w:afterAutospacing="1"/>
              <w:jc w:val="left"/>
              <w:rPr>
                <w:szCs w:val="20"/>
              </w:rPr>
            </w:pPr>
            <w:r w:rsidRPr="00D46BD7">
              <w:rPr>
                <w:szCs w:val="20"/>
              </w:rPr>
              <w:t>Prévention SEAH/GBV et code de conduite</w:t>
            </w:r>
          </w:p>
        </w:tc>
        <w:tc>
          <w:tcPr>
            <w:tcW w:w="1242" w:type="dxa"/>
            <w:vAlign w:val="center"/>
            <w:hideMark/>
          </w:tcPr>
          <w:p w14:paraId="18EB1F9B" w14:textId="77777777" w:rsidR="007275B9" w:rsidRPr="00D46BD7" w:rsidRDefault="007275B9" w:rsidP="007275B9">
            <w:pPr>
              <w:spacing w:before="100" w:beforeAutospacing="1" w:after="100" w:afterAutospacing="1"/>
              <w:jc w:val="left"/>
              <w:cnfStyle w:val="000000000000" w:firstRow="0" w:lastRow="0" w:firstColumn="0" w:lastColumn="0" w:oddVBand="0" w:evenVBand="0" w:oddHBand="0" w:evenHBand="0" w:firstRowFirstColumn="0" w:firstRowLastColumn="0" w:lastRowFirstColumn="0" w:lastRowLastColumn="0"/>
              <w:rPr>
                <w:szCs w:val="20"/>
              </w:rPr>
            </w:pPr>
            <w:r w:rsidRPr="00D46BD7">
              <w:rPr>
                <w:szCs w:val="20"/>
              </w:rPr>
              <w:t>Tout le personnel</w:t>
            </w:r>
          </w:p>
        </w:tc>
        <w:tc>
          <w:tcPr>
            <w:tcW w:w="884" w:type="dxa"/>
            <w:vAlign w:val="center"/>
            <w:hideMark/>
          </w:tcPr>
          <w:p w14:paraId="0F283968" w14:textId="77777777" w:rsidR="007275B9" w:rsidRPr="00D46BD7" w:rsidRDefault="007275B9" w:rsidP="007275B9">
            <w:pPr>
              <w:spacing w:before="100" w:beforeAutospacing="1" w:after="100" w:afterAutospacing="1"/>
              <w:jc w:val="left"/>
              <w:cnfStyle w:val="000000000000" w:firstRow="0" w:lastRow="0" w:firstColumn="0" w:lastColumn="0" w:oddVBand="0" w:evenVBand="0" w:oddHBand="0" w:evenHBand="0" w:firstRowFirstColumn="0" w:firstRowLastColumn="0" w:lastRowFirstColumn="0" w:lastRowLastColumn="0"/>
              <w:rPr>
                <w:szCs w:val="20"/>
              </w:rPr>
            </w:pPr>
            <w:r w:rsidRPr="00D46BD7">
              <w:rPr>
                <w:szCs w:val="20"/>
              </w:rPr>
              <w:t>Semestriel</w:t>
            </w:r>
          </w:p>
        </w:tc>
        <w:tc>
          <w:tcPr>
            <w:tcW w:w="1134" w:type="dxa"/>
            <w:vAlign w:val="center"/>
            <w:hideMark/>
          </w:tcPr>
          <w:p w14:paraId="152EF1D2" w14:textId="77777777" w:rsidR="007275B9" w:rsidRPr="00D46BD7" w:rsidRDefault="007275B9" w:rsidP="007275B9">
            <w:pPr>
              <w:spacing w:before="100" w:beforeAutospacing="1" w:after="100" w:afterAutospacing="1"/>
              <w:jc w:val="left"/>
              <w:cnfStyle w:val="000000000000" w:firstRow="0" w:lastRow="0" w:firstColumn="0" w:lastColumn="0" w:oddVBand="0" w:evenVBand="0" w:oddHBand="0" w:evenHBand="0" w:firstRowFirstColumn="0" w:firstRowLastColumn="0" w:lastRowFirstColumn="0" w:lastRowLastColumn="0"/>
              <w:rPr>
                <w:szCs w:val="20"/>
              </w:rPr>
            </w:pPr>
            <w:r w:rsidRPr="00D46BD7">
              <w:rPr>
                <w:szCs w:val="20"/>
              </w:rPr>
              <w:t>Sensibilisation interactive</w:t>
            </w:r>
          </w:p>
        </w:tc>
        <w:tc>
          <w:tcPr>
            <w:tcW w:w="992" w:type="dxa"/>
            <w:vAlign w:val="center"/>
            <w:hideMark/>
          </w:tcPr>
          <w:p w14:paraId="44FFD11E" w14:textId="77777777" w:rsidR="007275B9" w:rsidRPr="00D46BD7" w:rsidRDefault="007275B9" w:rsidP="007275B9">
            <w:pPr>
              <w:spacing w:before="100" w:beforeAutospacing="1" w:after="100" w:afterAutospacing="1"/>
              <w:jc w:val="left"/>
              <w:cnfStyle w:val="000000000000" w:firstRow="0" w:lastRow="0" w:firstColumn="0" w:lastColumn="0" w:oddVBand="0" w:evenVBand="0" w:oddHBand="0" w:evenHBand="0" w:firstRowFirstColumn="0" w:firstRowLastColumn="0" w:lastRowFirstColumn="0" w:lastRowLastColumn="0"/>
              <w:rPr>
                <w:szCs w:val="20"/>
              </w:rPr>
            </w:pPr>
            <w:r w:rsidRPr="00D46BD7">
              <w:rPr>
                <w:szCs w:val="20"/>
              </w:rPr>
              <w:t>ONDA / EPC</w:t>
            </w:r>
          </w:p>
        </w:tc>
        <w:tc>
          <w:tcPr>
            <w:tcW w:w="1843" w:type="dxa"/>
            <w:vAlign w:val="center"/>
            <w:hideMark/>
          </w:tcPr>
          <w:p w14:paraId="25063ED9" w14:textId="77777777" w:rsidR="007275B9" w:rsidRPr="00D46BD7" w:rsidRDefault="007275B9" w:rsidP="007275B9">
            <w:pPr>
              <w:spacing w:before="100" w:beforeAutospacing="1" w:after="100" w:afterAutospacing="1"/>
              <w:jc w:val="left"/>
              <w:cnfStyle w:val="000000000000" w:firstRow="0" w:lastRow="0" w:firstColumn="0" w:lastColumn="0" w:oddVBand="0" w:evenVBand="0" w:oddHBand="0" w:evenHBand="0" w:firstRowFirstColumn="0" w:firstRowLastColumn="0" w:lastRowFirstColumn="0" w:lastRowLastColumn="0"/>
              <w:rPr>
                <w:szCs w:val="20"/>
              </w:rPr>
            </w:pPr>
            <w:r w:rsidRPr="00D46BD7">
              <w:rPr>
                <w:szCs w:val="20"/>
              </w:rPr>
              <w:t>% du personnel sensibilisé (&gt;90%)</w:t>
            </w:r>
          </w:p>
        </w:tc>
        <w:tc>
          <w:tcPr>
            <w:tcW w:w="1418" w:type="dxa"/>
            <w:shd w:val="clear" w:color="auto" w:fill="auto"/>
            <w:vAlign w:val="center"/>
          </w:tcPr>
          <w:p w14:paraId="12D0A105" w14:textId="6A4BEC2C" w:rsidR="007275B9" w:rsidRPr="00D46BD7" w:rsidRDefault="007275B9" w:rsidP="00AC2854">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szCs w:val="20"/>
              </w:rPr>
            </w:pPr>
            <w:r w:rsidRPr="00FC749F">
              <w:t>7 000 / session</w:t>
            </w:r>
          </w:p>
        </w:tc>
      </w:tr>
      <w:tr w:rsidR="005358A4" w:rsidRPr="00D46BD7" w14:paraId="2A8CC5CC" w14:textId="68BDEEF1" w:rsidTr="005358A4">
        <w:trPr>
          <w:jc w:val="center"/>
        </w:trPr>
        <w:tc>
          <w:tcPr>
            <w:cnfStyle w:val="001000000000" w:firstRow="0" w:lastRow="0" w:firstColumn="1" w:lastColumn="0" w:oddVBand="0" w:evenVBand="0" w:oddHBand="0" w:evenHBand="0" w:firstRowFirstColumn="0" w:firstRowLastColumn="0" w:lastRowFirstColumn="0" w:lastRowLastColumn="0"/>
            <w:tcW w:w="1985" w:type="dxa"/>
            <w:vAlign w:val="center"/>
            <w:hideMark/>
          </w:tcPr>
          <w:p w14:paraId="20F2C954" w14:textId="77777777" w:rsidR="007275B9" w:rsidRPr="00D46BD7" w:rsidRDefault="007275B9" w:rsidP="007275B9">
            <w:pPr>
              <w:spacing w:before="100" w:beforeAutospacing="1" w:after="100" w:afterAutospacing="1"/>
              <w:jc w:val="left"/>
              <w:rPr>
                <w:szCs w:val="20"/>
              </w:rPr>
            </w:pPr>
            <w:r w:rsidRPr="00D46BD7">
              <w:rPr>
                <w:szCs w:val="20"/>
              </w:rPr>
              <w:t>Réponse aux urgences</w:t>
            </w:r>
          </w:p>
        </w:tc>
        <w:tc>
          <w:tcPr>
            <w:tcW w:w="1242" w:type="dxa"/>
            <w:vAlign w:val="center"/>
            <w:hideMark/>
          </w:tcPr>
          <w:p w14:paraId="1D226DB7" w14:textId="77777777" w:rsidR="007275B9" w:rsidRPr="00D46BD7" w:rsidRDefault="007275B9" w:rsidP="007275B9">
            <w:pPr>
              <w:spacing w:before="100" w:beforeAutospacing="1" w:after="100" w:afterAutospacing="1"/>
              <w:jc w:val="left"/>
              <w:cnfStyle w:val="000000000000" w:firstRow="0" w:lastRow="0" w:firstColumn="0" w:lastColumn="0" w:oddVBand="0" w:evenVBand="0" w:oddHBand="0" w:evenHBand="0" w:firstRowFirstColumn="0" w:firstRowLastColumn="0" w:lastRowFirstColumn="0" w:lastRowLastColumn="0"/>
              <w:rPr>
                <w:szCs w:val="20"/>
              </w:rPr>
            </w:pPr>
            <w:r w:rsidRPr="00D46BD7">
              <w:rPr>
                <w:szCs w:val="20"/>
              </w:rPr>
              <w:t>Équipes HSE / ONDA / EPC</w:t>
            </w:r>
          </w:p>
        </w:tc>
        <w:tc>
          <w:tcPr>
            <w:tcW w:w="884" w:type="dxa"/>
            <w:vAlign w:val="center"/>
            <w:hideMark/>
          </w:tcPr>
          <w:p w14:paraId="4CD7C2EC" w14:textId="77777777" w:rsidR="007275B9" w:rsidRPr="00D46BD7" w:rsidRDefault="007275B9" w:rsidP="007275B9">
            <w:pPr>
              <w:spacing w:before="100" w:beforeAutospacing="1" w:after="100" w:afterAutospacing="1"/>
              <w:jc w:val="left"/>
              <w:cnfStyle w:val="000000000000" w:firstRow="0" w:lastRow="0" w:firstColumn="0" w:lastColumn="0" w:oddVBand="0" w:evenVBand="0" w:oddHBand="0" w:evenHBand="0" w:firstRowFirstColumn="0" w:firstRowLastColumn="0" w:lastRowFirstColumn="0" w:lastRowLastColumn="0"/>
              <w:rPr>
                <w:szCs w:val="20"/>
              </w:rPr>
            </w:pPr>
            <w:r w:rsidRPr="00D46BD7">
              <w:rPr>
                <w:szCs w:val="20"/>
              </w:rPr>
              <w:t>Semestriel</w:t>
            </w:r>
          </w:p>
        </w:tc>
        <w:tc>
          <w:tcPr>
            <w:tcW w:w="1134" w:type="dxa"/>
            <w:vAlign w:val="center"/>
            <w:hideMark/>
          </w:tcPr>
          <w:p w14:paraId="0C5DAF7B" w14:textId="77777777" w:rsidR="007275B9" w:rsidRPr="00D46BD7" w:rsidRDefault="007275B9" w:rsidP="007275B9">
            <w:pPr>
              <w:spacing w:before="100" w:beforeAutospacing="1" w:after="100" w:afterAutospacing="1"/>
              <w:jc w:val="left"/>
              <w:cnfStyle w:val="000000000000" w:firstRow="0" w:lastRow="0" w:firstColumn="0" w:lastColumn="0" w:oddVBand="0" w:evenVBand="0" w:oddHBand="0" w:evenHBand="0" w:firstRowFirstColumn="0" w:firstRowLastColumn="0" w:lastRowFirstColumn="0" w:lastRowLastColumn="0"/>
              <w:rPr>
                <w:szCs w:val="20"/>
              </w:rPr>
            </w:pPr>
            <w:r w:rsidRPr="00D46BD7">
              <w:rPr>
                <w:szCs w:val="20"/>
              </w:rPr>
              <w:t>Simulation</w:t>
            </w:r>
          </w:p>
        </w:tc>
        <w:tc>
          <w:tcPr>
            <w:tcW w:w="992" w:type="dxa"/>
            <w:vAlign w:val="center"/>
            <w:hideMark/>
          </w:tcPr>
          <w:p w14:paraId="0121A9B3" w14:textId="77777777" w:rsidR="007275B9" w:rsidRPr="00D46BD7" w:rsidRDefault="007275B9" w:rsidP="007275B9">
            <w:pPr>
              <w:spacing w:before="100" w:beforeAutospacing="1" w:after="100" w:afterAutospacing="1"/>
              <w:jc w:val="left"/>
              <w:cnfStyle w:val="000000000000" w:firstRow="0" w:lastRow="0" w:firstColumn="0" w:lastColumn="0" w:oddVBand="0" w:evenVBand="0" w:oddHBand="0" w:evenHBand="0" w:firstRowFirstColumn="0" w:firstRowLastColumn="0" w:lastRowFirstColumn="0" w:lastRowLastColumn="0"/>
              <w:rPr>
                <w:szCs w:val="20"/>
              </w:rPr>
            </w:pPr>
            <w:r w:rsidRPr="00D46BD7">
              <w:rPr>
                <w:szCs w:val="20"/>
              </w:rPr>
              <w:t>EPC / ONDA</w:t>
            </w:r>
          </w:p>
        </w:tc>
        <w:tc>
          <w:tcPr>
            <w:tcW w:w="1843" w:type="dxa"/>
            <w:vAlign w:val="center"/>
            <w:hideMark/>
          </w:tcPr>
          <w:p w14:paraId="0377EB5B" w14:textId="77777777" w:rsidR="007275B9" w:rsidRPr="00D46BD7" w:rsidRDefault="007275B9" w:rsidP="007275B9">
            <w:pPr>
              <w:spacing w:before="100" w:beforeAutospacing="1" w:after="100" w:afterAutospacing="1"/>
              <w:jc w:val="left"/>
              <w:cnfStyle w:val="000000000000" w:firstRow="0" w:lastRow="0" w:firstColumn="0" w:lastColumn="0" w:oddVBand="0" w:evenVBand="0" w:oddHBand="0" w:evenHBand="0" w:firstRowFirstColumn="0" w:firstRowLastColumn="0" w:lastRowFirstColumn="0" w:lastRowLastColumn="0"/>
              <w:rPr>
                <w:szCs w:val="20"/>
              </w:rPr>
            </w:pPr>
            <w:r w:rsidRPr="00D46BD7">
              <w:rPr>
                <w:szCs w:val="20"/>
              </w:rPr>
              <w:t>Nb d’exercices réalisés / an</w:t>
            </w:r>
          </w:p>
        </w:tc>
        <w:tc>
          <w:tcPr>
            <w:tcW w:w="1418" w:type="dxa"/>
            <w:shd w:val="clear" w:color="auto" w:fill="auto"/>
            <w:vAlign w:val="center"/>
          </w:tcPr>
          <w:p w14:paraId="5984813F" w14:textId="7DB03C0E" w:rsidR="007275B9" w:rsidRPr="00D46BD7" w:rsidRDefault="007275B9" w:rsidP="00AC2854">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szCs w:val="20"/>
              </w:rPr>
            </w:pPr>
            <w:r w:rsidRPr="00FC749F">
              <w:t>12 000 / exercice</w:t>
            </w:r>
          </w:p>
        </w:tc>
      </w:tr>
      <w:tr w:rsidR="005358A4" w:rsidRPr="00D46BD7" w14:paraId="444717CC" w14:textId="4B5F24BA" w:rsidTr="005358A4">
        <w:trPr>
          <w:jc w:val="center"/>
        </w:trPr>
        <w:tc>
          <w:tcPr>
            <w:cnfStyle w:val="001000000000" w:firstRow="0" w:lastRow="0" w:firstColumn="1" w:lastColumn="0" w:oddVBand="0" w:evenVBand="0" w:oddHBand="0" w:evenHBand="0" w:firstRowFirstColumn="0" w:firstRowLastColumn="0" w:lastRowFirstColumn="0" w:lastRowLastColumn="0"/>
            <w:tcW w:w="1985" w:type="dxa"/>
            <w:vAlign w:val="center"/>
            <w:hideMark/>
          </w:tcPr>
          <w:p w14:paraId="758CE9DF" w14:textId="77777777" w:rsidR="007275B9" w:rsidRPr="00D46BD7" w:rsidRDefault="007275B9" w:rsidP="007275B9">
            <w:pPr>
              <w:spacing w:before="100" w:beforeAutospacing="1" w:after="100" w:afterAutospacing="1"/>
              <w:jc w:val="left"/>
              <w:rPr>
                <w:szCs w:val="20"/>
              </w:rPr>
            </w:pPr>
            <w:r w:rsidRPr="00D46BD7">
              <w:rPr>
                <w:szCs w:val="20"/>
              </w:rPr>
              <w:lastRenderedPageBreak/>
              <w:t>Engagement communautaire et MGP</w:t>
            </w:r>
          </w:p>
        </w:tc>
        <w:tc>
          <w:tcPr>
            <w:tcW w:w="1242" w:type="dxa"/>
            <w:vAlign w:val="center"/>
            <w:hideMark/>
          </w:tcPr>
          <w:p w14:paraId="39F50ADB" w14:textId="77777777" w:rsidR="007275B9" w:rsidRPr="00D46BD7" w:rsidRDefault="007275B9" w:rsidP="007275B9">
            <w:pPr>
              <w:spacing w:before="100" w:beforeAutospacing="1" w:after="100" w:afterAutospacing="1"/>
              <w:jc w:val="left"/>
              <w:cnfStyle w:val="000000000000" w:firstRow="0" w:lastRow="0" w:firstColumn="0" w:lastColumn="0" w:oddVBand="0" w:evenVBand="0" w:oddHBand="0" w:evenHBand="0" w:firstRowFirstColumn="0" w:firstRowLastColumn="0" w:lastRowFirstColumn="0" w:lastRowLastColumn="0"/>
              <w:rPr>
                <w:szCs w:val="20"/>
              </w:rPr>
            </w:pPr>
            <w:r w:rsidRPr="00D46BD7">
              <w:rPr>
                <w:szCs w:val="20"/>
              </w:rPr>
              <w:t>Points focaux / Communes</w:t>
            </w:r>
          </w:p>
        </w:tc>
        <w:tc>
          <w:tcPr>
            <w:tcW w:w="884" w:type="dxa"/>
            <w:vAlign w:val="center"/>
            <w:hideMark/>
          </w:tcPr>
          <w:p w14:paraId="08AE58F1" w14:textId="77777777" w:rsidR="007275B9" w:rsidRPr="00D46BD7" w:rsidRDefault="007275B9" w:rsidP="007275B9">
            <w:pPr>
              <w:spacing w:before="100" w:beforeAutospacing="1" w:after="100" w:afterAutospacing="1"/>
              <w:jc w:val="left"/>
              <w:cnfStyle w:val="000000000000" w:firstRow="0" w:lastRow="0" w:firstColumn="0" w:lastColumn="0" w:oddVBand="0" w:evenVBand="0" w:oddHBand="0" w:evenHBand="0" w:firstRowFirstColumn="0" w:firstRowLastColumn="0" w:lastRowFirstColumn="0" w:lastRowLastColumn="0"/>
              <w:rPr>
                <w:szCs w:val="20"/>
              </w:rPr>
            </w:pPr>
            <w:r w:rsidRPr="00D46BD7">
              <w:rPr>
                <w:szCs w:val="20"/>
              </w:rPr>
              <w:t>Annuel</w:t>
            </w:r>
          </w:p>
        </w:tc>
        <w:tc>
          <w:tcPr>
            <w:tcW w:w="1134" w:type="dxa"/>
            <w:vAlign w:val="center"/>
            <w:hideMark/>
          </w:tcPr>
          <w:p w14:paraId="2396BFD0" w14:textId="77777777" w:rsidR="007275B9" w:rsidRPr="00D46BD7" w:rsidRDefault="007275B9" w:rsidP="007275B9">
            <w:pPr>
              <w:spacing w:before="100" w:beforeAutospacing="1" w:after="100" w:afterAutospacing="1"/>
              <w:jc w:val="left"/>
              <w:cnfStyle w:val="000000000000" w:firstRow="0" w:lastRow="0" w:firstColumn="0" w:lastColumn="0" w:oddVBand="0" w:evenVBand="0" w:oddHBand="0" w:evenHBand="0" w:firstRowFirstColumn="0" w:firstRowLastColumn="0" w:lastRowFirstColumn="0" w:lastRowLastColumn="0"/>
              <w:rPr>
                <w:szCs w:val="20"/>
              </w:rPr>
            </w:pPr>
            <w:r w:rsidRPr="00D46BD7">
              <w:rPr>
                <w:szCs w:val="20"/>
              </w:rPr>
              <w:t>Atelier participatif</w:t>
            </w:r>
          </w:p>
        </w:tc>
        <w:tc>
          <w:tcPr>
            <w:tcW w:w="992" w:type="dxa"/>
            <w:vAlign w:val="center"/>
            <w:hideMark/>
          </w:tcPr>
          <w:p w14:paraId="6949531F" w14:textId="77777777" w:rsidR="007275B9" w:rsidRPr="00D46BD7" w:rsidRDefault="007275B9" w:rsidP="007275B9">
            <w:pPr>
              <w:spacing w:before="100" w:beforeAutospacing="1" w:after="100" w:afterAutospacing="1"/>
              <w:jc w:val="left"/>
              <w:cnfStyle w:val="000000000000" w:firstRow="0" w:lastRow="0" w:firstColumn="0" w:lastColumn="0" w:oddVBand="0" w:evenVBand="0" w:oddHBand="0" w:evenHBand="0" w:firstRowFirstColumn="0" w:firstRowLastColumn="0" w:lastRowFirstColumn="0" w:lastRowLastColumn="0"/>
              <w:rPr>
                <w:szCs w:val="20"/>
              </w:rPr>
            </w:pPr>
            <w:r w:rsidRPr="00D46BD7">
              <w:rPr>
                <w:szCs w:val="20"/>
              </w:rPr>
              <w:t>ONDA / AMO</w:t>
            </w:r>
          </w:p>
        </w:tc>
        <w:tc>
          <w:tcPr>
            <w:tcW w:w="1843" w:type="dxa"/>
            <w:vAlign w:val="center"/>
            <w:hideMark/>
          </w:tcPr>
          <w:p w14:paraId="3D06ADD2" w14:textId="77777777" w:rsidR="007275B9" w:rsidRPr="00D46BD7" w:rsidRDefault="007275B9" w:rsidP="007275B9">
            <w:pPr>
              <w:spacing w:before="100" w:beforeAutospacing="1" w:after="100" w:afterAutospacing="1"/>
              <w:jc w:val="left"/>
              <w:cnfStyle w:val="000000000000" w:firstRow="0" w:lastRow="0" w:firstColumn="0" w:lastColumn="0" w:oddVBand="0" w:evenVBand="0" w:oddHBand="0" w:evenHBand="0" w:firstRowFirstColumn="0" w:firstRowLastColumn="0" w:lastRowFirstColumn="0" w:lastRowLastColumn="0"/>
              <w:rPr>
                <w:szCs w:val="20"/>
              </w:rPr>
            </w:pPr>
            <w:r w:rsidRPr="00D46BD7">
              <w:rPr>
                <w:szCs w:val="20"/>
              </w:rPr>
              <w:t>Nb de participants &gt;80% satisfaction</w:t>
            </w:r>
          </w:p>
        </w:tc>
        <w:tc>
          <w:tcPr>
            <w:tcW w:w="1418" w:type="dxa"/>
            <w:shd w:val="clear" w:color="auto" w:fill="auto"/>
            <w:vAlign w:val="center"/>
          </w:tcPr>
          <w:p w14:paraId="1C10E16B" w14:textId="6CFCF0C0" w:rsidR="007275B9" w:rsidRPr="00D46BD7" w:rsidRDefault="007275B9" w:rsidP="00AC2854">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szCs w:val="20"/>
              </w:rPr>
            </w:pPr>
            <w:r w:rsidRPr="00FC749F">
              <w:t>15 000 / atelier</w:t>
            </w:r>
          </w:p>
        </w:tc>
      </w:tr>
    </w:tbl>
    <w:p w14:paraId="7521E59C" w14:textId="77777777" w:rsidR="00C55F0E" w:rsidRDefault="00C55F0E" w:rsidP="00C55F0E">
      <w:pPr>
        <w:pStyle w:val="Title2"/>
      </w:pPr>
      <w:bookmarkStart w:id="597" w:name="_Toc215131937"/>
      <w:r>
        <w:t>Coûts de mise en œuvre du PGES</w:t>
      </w:r>
      <w:bookmarkEnd w:id="597"/>
    </w:p>
    <w:p w14:paraId="6DE55CE4" w14:textId="1D401CAF" w:rsidR="002E7385" w:rsidRPr="002E7385" w:rsidRDefault="002E7385" w:rsidP="00D60FC9">
      <w:r w:rsidRPr="002E7385">
        <w:t xml:space="preserve">Le </w:t>
      </w:r>
      <w:r>
        <w:t>t</w:t>
      </w:r>
      <w:r w:rsidRPr="002E7385">
        <w:t xml:space="preserve">ableau </w:t>
      </w:r>
      <w:r>
        <w:t xml:space="preserve">suivant présente </w:t>
      </w:r>
      <w:r w:rsidRPr="002E7385">
        <w:t>l’ensemble des coûts de mise en œuvre du Plan de Gestion Environnementale et Sociale (PGES) pour le projet d</w:t>
      </w:r>
      <w:r>
        <w:t>’extension du parking avions et équipements annexes d</w:t>
      </w:r>
      <w:r w:rsidRPr="002E7385">
        <w:t xml:space="preserve">e l’aéroport international </w:t>
      </w:r>
      <w:r w:rsidR="00C162B8">
        <w:t>Marrakech Ménara</w:t>
      </w:r>
      <w:r w:rsidRPr="002E7385">
        <w:t>.</w:t>
      </w:r>
    </w:p>
    <w:p w14:paraId="13299B4E" w14:textId="36CD87E1" w:rsidR="002E7385" w:rsidRPr="002E7385" w:rsidRDefault="002E7385" w:rsidP="00D60FC9">
      <w:r w:rsidRPr="002E7385">
        <w:t>Il intègre les coûts identifiés dans les tableaux des mesures d’atténuation (section 7.3), couvrant les phases de construction et d’exploitation.</w:t>
      </w:r>
    </w:p>
    <w:p w14:paraId="1F7C328B" w14:textId="33A0A4A9" w:rsidR="00B23175" w:rsidRDefault="00144DC2" w:rsidP="00D60FC9">
      <w:r w:rsidRPr="00144DC2">
        <w:t>Le budget global de mise en œuvre du Plan de Gestion Environnementale et Sociale (PGES) présenté ci-dessus constitue une estimation indicative basée sur les coûts unitaires des principales activités, mesures d’atténuation, actions de suivi et dispositifs institutionnels identifiés</w:t>
      </w:r>
    </w:p>
    <w:p w14:paraId="4E82C86E" w14:textId="0A3299A5" w:rsidR="009420DA" w:rsidRDefault="009420DA" w:rsidP="009420DA">
      <w:r>
        <w:t>Toutefois, le coût total global n’a pas été chiffré de manière définitive, car les quantités exactes de certaines mesures (volumes de déchets, nombre d’équipements, fréquence des interventions, durée effective des contrats, etc.) ne sont pas encore connues.</w:t>
      </w:r>
    </w:p>
    <w:p w14:paraId="7FFC4F5C" w14:textId="394CE5BD" w:rsidR="00C55F0E" w:rsidRDefault="009420DA" w:rsidP="00D60FC9">
      <w:r>
        <w:t>L’évaluation financière détaillée sera réalisée au moment de la préparation du PGESC et PGESO, sur la base des données d’exécution réelles et des quantités validées.</w:t>
      </w:r>
    </w:p>
    <w:p w14:paraId="310669D3" w14:textId="561650D6" w:rsidR="00402EAF" w:rsidRDefault="00402EAF" w:rsidP="00402EAF">
      <w:pPr>
        <w:pStyle w:val="Lgende"/>
        <w:keepNext/>
      </w:pPr>
      <w:bookmarkStart w:id="598" w:name="_Toc213404402"/>
      <w:r>
        <w:t xml:space="preserve">Tableau </w:t>
      </w:r>
      <w:r>
        <w:fldChar w:fldCharType="begin"/>
      </w:r>
      <w:r>
        <w:instrText xml:space="preserve"> SEQ Tableau \* ARABIC </w:instrText>
      </w:r>
      <w:r>
        <w:fldChar w:fldCharType="separate"/>
      </w:r>
      <w:r w:rsidR="00274E71">
        <w:rPr>
          <w:noProof/>
        </w:rPr>
        <w:t>80</w:t>
      </w:r>
      <w:r>
        <w:fldChar w:fldCharType="end"/>
      </w:r>
      <w:r>
        <w:rPr>
          <w:lang w:val="fr-FR"/>
        </w:rPr>
        <w:t xml:space="preserve"> : Estimation des coûts de mise en </w:t>
      </w:r>
      <w:r w:rsidR="002E7385">
        <w:rPr>
          <w:lang w:val="fr-FR"/>
        </w:rPr>
        <w:t>œuvre</w:t>
      </w:r>
      <w:r>
        <w:rPr>
          <w:lang w:val="fr-FR"/>
        </w:rPr>
        <w:t xml:space="preserve"> du PGES</w:t>
      </w:r>
      <w:bookmarkEnd w:id="598"/>
    </w:p>
    <w:tbl>
      <w:tblPr>
        <w:tblStyle w:val="TableauGrille1Clair-Accentuation111"/>
        <w:tblW w:w="0" w:type="auto"/>
        <w:tblInd w:w="-113" w:type="dxa"/>
        <w:tblLook w:val="04A0" w:firstRow="1" w:lastRow="0" w:firstColumn="1" w:lastColumn="0" w:noHBand="0" w:noVBand="1"/>
      </w:tblPr>
      <w:tblGrid>
        <w:gridCol w:w="1860"/>
        <w:gridCol w:w="2402"/>
        <w:gridCol w:w="2508"/>
        <w:gridCol w:w="1093"/>
        <w:gridCol w:w="1310"/>
      </w:tblGrid>
      <w:tr w:rsidR="00197DB3" w14:paraId="7972595D" w14:textId="77777777" w:rsidTr="00197DB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B4C6E7"/>
              <w:left w:val="single" w:sz="4" w:space="0" w:color="B4C6E7"/>
              <w:bottom w:val="single" w:sz="4" w:space="0" w:color="B4C6E7"/>
              <w:right w:val="single" w:sz="4" w:space="0" w:color="B4C6E7"/>
            </w:tcBorders>
            <w:hideMark/>
          </w:tcPr>
          <w:p w14:paraId="2968CA35" w14:textId="77777777" w:rsidR="00197DB3" w:rsidRDefault="00197DB3">
            <w:pPr>
              <w:spacing w:before="0" w:after="0" w:line="240" w:lineRule="auto"/>
              <w:jc w:val="center"/>
              <w:rPr>
                <w:rFonts w:asciiTheme="minorHAnsi" w:hAnsiTheme="minorHAnsi" w:cstheme="minorHAnsi"/>
                <w:lang w:eastAsia="fr-FR" w:bidi="ar-SA"/>
              </w:rPr>
            </w:pPr>
            <w:r>
              <w:rPr>
                <w:rFonts w:asciiTheme="minorHAnsi" w:hAnsiTheme="minorHAnsi" w:cstheme="minorHAnsi"/>
                <w:lang w:eastAsia="fr-FR" w:bidi="ar-SA"/>
              </w:rPr>
              <w:t>Catégorie</w:t>
            </w:r>
          </w:p>
        </w:tc>
        <w:tc>
          <w:tcPr>
            <w:tcW w:w="0" w:type="auto"/>
            <w:tcBorders>
              <w:top w:val="single" w:sz="4" w:space="0" w:color="B4C6E7"/>
              <w:left w:val="single" w:sz="4" w:space="0" w:color="B4C6E7"/>
              <w:bottom w:val="single" w:sz="4" w:space="0" w:color="B4C6E7"/>
              <w:right w:val="single" w:sz="4" w:space="0" w:color="B4C6E7"/>
            </w:tcBorders>
            <w:hideMark/>
          </w:tcPr>
          <w:p w14:paraId="3422290C" w14:textId="77777777" w:rsidR="00197DB3" w:rsidRDefault="00197DB3">
            <w:pPr>
              <w:spacing w:before="0"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lang w:eastAsia="fr-FR" w:bidi="ar-SA"/>
              </w:rPr>
            </w:pPr>
            <w:r>
              <w:rPr>
                <w:rFonts w:asciiTheme="minorHAnsi" w:hAnsiTheme="minorHAnsi" w:cstheme="minorHAnsi"/>
                <w:b w:val="0"/>
                <w:bCs w:val="0"/>
                <w:lang w:eastAsia="fr-FR" w:bidi="ar-SA"/>
              </w:rPr>
              <w:t>Activités / Postes</w:t>
            </w:r>
          </w:p>
        </w:tc>
        <w:tc>
          <w:tcPr>
            <w:tcW w:w="0" w:type="auto"/>
            <w:tcBorders>
              <w:top w:val="single" w:sz="4" w:space="0" w:color="B4C6E7"/>
              <w:left w:val="single" w:sz="4" w:space="0" w:color="B4C6E7"/>
              <w:bottom w:val="single" w:sz="4" w:space="0" w:color="B4C6E7"/>
              <w:right w:val="single" w:sz="4" w:space="0" w:color="B4C6E7"/>
            </w:tcBorders>
            <w:hideMark/>
          </w:tcPr>
          <w:p w14:paraId="1D8D8A60" w14:textId="77777777" w:rsidR="00197DB3" w:rsidRDefault="00197DB3">
            <w:pPr>
              <w:spacing w:before="0"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lang w:eastAsia="fr-FR" w:bidi="ar-SA"/>
              </w:rPr>
            </w:pPr>
            <w:r>
              <w:rPr>
                <w:rFonts w:asciiTheme="minorHAnsi" w:hAnsiTheme="minorHAnsi" w:cstheme="minorHAnsi"/>
                <w:b w:val="0"/>
                <w:bCs w:val="0"/>
                <w:lang w:eastAsia="fr-FR" w:bidi="ar-SA"/>
              </w:rPr>
              <w:t>Description</w:t>
            </w:r>
          </w:p>
        </w:tc>
        <w:tc>
          <w:tcPr>
            <w:tcW w:w="0" w:type="auto"/>
            <w:tcBorders>
              <w:top w:val="single" w:sz="4" w:space="0" w:color="B4C6E7"/>
              <w:left w:val="single" w:sz="4" w:space="0" w:color="B4C6E7"/>
              <w:bottom w:val="single" w:sz="4" w:space="0" w:color="B4C6E7"/>
              <w:right w:val="single" w:sz="4" w:space="0" w:color="B4C6E7"/>
            </w:tcBorders>
            <w:hideMark/>
          </w:tcPr>
          <w:p w14:paraId="5A02569F" w14:textId="77777777" w:rsidR="00197DB3" w:rsidRDefault="00197DB3">
            <w:pPr>
              <w:spacing w:before="0"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lang w:eastAsia="fr-FR" w:bidi="ar-SA"/>
              </w:rPr>
            </w:pPr>
            <w:r>
              <w:rPr>
                <w:rFonts w:asciiTheme="minorHAnsi" w:hAnsiTheme="minorHAnsi" w:cstheme="minorHAnsi"/>
                <w:b w:val="0"/>
                <w:bCs w:val="0"/>
                <w:lang w:eastAsia="fr-FR" w:bidi="ar-SA"/>
              </w:rPr>
              <w:t>Prix unitaire (MAD)</w:t>
            </w:r>
          </w:p>
        </w:tc>
        <w:tc>
          <w:tcPr>
            <w:tcW w:w="0" w:type="auto"/>
            <w:tcBorders>
              <w:top w:val="single" w:sz="4" w:space="0" w:color="B4C6E7"/>
              <w:left w:val="single" w:sz="4" w:space="0" w:color="B4C6E7"/>
              <w:bottom w:val="single" w:sz="4" w:space="0" w:color="B4C6E7"/>
              <w:right w:val="single" w:sz="4" w:space="0" w:color="B4C6E7"/>
            </w:tcBorders>
            <w:hideMark/>
          </w:tcPr>
          <w:p w14:paraId="26C1F21F" w14:textId="77777777" w:rsidR="00197DB3" w:rsidRDefault="00197DB3">
            <w:pPr>
              <w:spacing w:before="0"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lang w:eastAsia="fr-FR" w:bidi="ar-SA"/>
              </w:rPr>
            </w:pPr>
            <w:r>
              <w:rPr>
                <w:rFonts w:asciiTheme="minorHAnsi" w:hAnsiTheme="minorHAnsi" w:cstheme="minorHAnsi"/>
                <w:b w:val="0"/>
                <w:bCs w:val="0"/>
                <w:lang w:eastAsia="fr-FR" w:bidi="ar-SA"/>
              </w:rPr>
              <w:t>Responsable / Entité</w:t>
            </w:r>
          </w:p>
        </w:tc>
      </w:tr>
      <w:tr w:rsidR="00197DB3" w14:paraId="1EE46740" w14:textId="77777777" w:rsidTr="00197DB3">
        <w:tc>
          <w:tcPr>
            <w:cnfStyle w:val="001000000000" w:firstRow="0" w:lastRow="0" w:firstColumn="1" w:lastColumn="0" w:oddVBand="0" w:evenVBand="0" w:oddHBand="0" w:evenHBand="0" w:firstRowFirstColumn="0" w:firstRowLastColumn="0" w:lastRowFirstColumn="0" w:lastRowLastColumn="0"/>
            <w:tcW w:w="0" w:type="auto"/>
            <w:gridSpan w:val="5"/>
            <w:tcBorders>
              <w:top w:val="single" w:sz="4" w:space="0" w:color="B4C6E7"/>
              <w:left w:val="single" w:sz="4" w:space="0" w:color="B4C6E7"/>
              <w:bottom w:val="single" w:sz="4" w:space="0" w:color="B4C6E7"/>
              <w:right w:val="single" w:sz="4" w:space="0" w:color="B4C6E7"/>
            </w:tcBorders>
            <w:shd w:val="clear" w:color="auto" w:fill="D9E2F3" w:themeFill="accent1" w:themeFillTint="33"/>
            <w:vAlign w:val="center"/>
            <w:hideMark/>
          </w:tcPr>
          <w:p w14:paraId="32DB3747" w14:textId="77777777" w:rsidR="00197DB3" w:rsidRDefault="00197DB3">
            <w:pPr>
              <w:spacing w:before="0" w:after="0" w:line="240" w:lineRule="auto"/>
              <w:jc w:val="center"/>
              <w:rPr>
                <w:rFonts w:asciiTheme="minorHAnsi" w:hAnsiTheme="minorHAnsi" w:cstheme="minorHAnsi"/>
                <w:lang w:eastAsia="fr-FR" w:bidi="ar-SA"/>
              </w:rPr>
            </w:pPr>
            <w:r>
              <w:rPr>
                <w:rFonts w:asciiTheme="minorHAnsi" w:hAnsiTheme="minorHAnsi" w:cstheme="minorHAnsi"/>
                <w:lang w:eastAsia="fr-FR" w:bidi="ar-SA"/>
              </w:rPr>
              <w:t xml:space="preserve">Phase de Construction </w:t>
            </w:r>
          </w:p>
        </w:tc>
      </w:tr>
      <w:tr w:rsidR="00197DB3" w14:paraId="0B852C1B" w14:textId="77777777" w:rsidTr="00197DB3">
        <w:tc>
          <w:tcPr>
            <w:cnfStyle w:val="001000000000" w:firstRow="0" w:lastRow="0" w:firstColumn="1" w:lastColumn="0" w:oddVBand="0" w:evenVBand="0" w:oddHBand="0" w:evenHBand="0" w:firstRowFirstColumn="0" w:firstRowLastColumn="0" w:lastRowFirstColumn="0" w:lastRowLastColumn="0"/>
            <w:tcW w:w="0" w:type="auto"/>
            <w:vMerge w:val="restart"/>
            <w:tcBorders>
              <w:top w:val="single" w:sz="4" w:space="0" w:color="B4C6E7"/>
              <w:left w:val="single" w:sz="4" w:space="0" w:color="B4C6E7"/>
              <w:bottom w:val="single" w:sz="4" w:space="0" w:color="B4C6E7"/>
              <w:right w:val="single" w:sz="4" w:space="0" w:color="B4C6E7"/>
            </w:tcBorders>
            <w:vAlign w:val="center"/>
            <w:hideMark/>
          </w:tcPr>
          <w:p w14:paraId="3B59CE87" w14:textId="77777777" w:rsidR="00197DB3" w:rsidRDefault="00197DB3">
            <w:pPr>
              <w:spacing w:before="0" w:after="0" w:line="240" w:lineRule="auto"/>
              <w:jc w:val="center"/>
              <w:rPr>
                <w:rFonts w:asciiTheme="minorHAnsi" w:hAnsiTheme="minorHAnsi" w:cstheme="minorHAnsi"/>
                <w:lang w:eastAsia="fr-FR" w:bidi="ar-SA"/>
              </w:rPr>
            </w:pPr>
            <w:r>
              <w:rPr>
                <w:rFonts w:asciiTheme="minorHAnsi" w:hAnsiTheme="minorHAnsi" w:cstheme="minorHAnsi"/>
                <w:lang w:eastAsia="fr-FR" w:bidi="ar-SA"/>
              </w:rPr>
              <w:t>Ressources humaines E&amp;S</w:t>
            </w:r>
          </w:p>
        </w:tc>
        <w:tc>
          <w:tcPr>
            <w:tcW w:w="0" w:type="auto"/>
            <w:tcBorders>
              <w:top w:val="single" w:sz="4" w:space="0" w:color="B4C6E7"/>
              <w:left w:val="single" w:sz="4" w:space="0" w:color="B4C6E7"/>
              <w:bottom w:val="single" w:sz="4" w:space="0" w:color="B4C6E7"/>
              <w:right w:val="single" w:sz="4" w:space="0" w:color="B4C6E7"/>
            </w:tcBorders>
            <w:hideMark/>
          </w:tcPr>
          <w:p w14:paraId="7F54E76F" w14:textId="77777777" w:rsidR="00197DB3" w:rsidRDefault="00197DB3">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eastAsia="fr-FR" w:bidi="ar-SA"/>
              </w:rPr>
            </w:pPr>
            <w:r>
              <w:rPr>
                <w:rFonts w:asciiTheme="minorHAnsi" w:hAnsiTheme="minorHAnsi" w:cstheme="minorHAnsi"/>
                <w:lang w:eastAsia="fr-FR" w:bidi="ar-SA"/>
              </w:rPr>
              <w:t>Responsable HSSE du Projet</w:t>
            </w:r>
          </w:p>
        </w:tc>
        <w:tc>
          <w:tcPr>
            <w:tcW w:w="0" w:type="auto"/>
            <w:tcBorders>
              <w:top w:val="single" w:sz="4" w:space="0" w:color="B4C6E7"/>
              <w:left w:val="single" w:sz="4" w:space="0" w:color="B4C6E7"/>
              <w:bottom w:val="single" w:sz="4" w:space="0" w:color="B4C6E7"/>
              <w:right w:val="single" w:sz="4" w:space="0" w:color="B4C6E7"/>
            </w:tcBorders>
            <w:hideMark/>
          </w:tcPr>
          <w:p w14:paraId="773F77B8" w14:textId="77777777" w:rsidR="00197DB3" w:rsidRDefault="00197DB3">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eastAsia="fr-FR" w:bidi="ar-SA"/>
              </w:rPr>
            </w:pPr>
            <w:r>
              <w:rPr>
                <w:rFonts w:asciiTheme="minorHAnsi" w:hAnsiTheme="minorHAnsi" w:cstheme="minorHAnsi"/>
                <w:lang w:eastAsia="fr-FR" w:bidi="ar-SA"/>
              </w:rPr>
              <w:t>Supervision globale de la conformité E&amp;S</w:t>
            </w:r>
          </w:p>
        </w:tc>
        <w:tc>
          <w:tcPr>
            <w:tcW w:w="0" w:type="auto"/>
            <w:tcBorders>
              <w:top w:val="single" w:sz="4" w:space="0" w:color="B4C6E7"/>
              <w:left w:val="single" w:sz="4" w:space="0" w:color="B4C6E7"/>
              <w:bottom w:val="single" w:sz="4" w:space="0" w:color="B4C6E7"/>
              <w:right w:val="single" w:sz="4" w:space="0" w:color="B4C6E7"/>
            </w:tcBorders>
            <w:hideMark/>
          </w:tcPr>
          <w:p w14:paraId="58E0CB59" w14:textId="77777777" w:rsidR="00197DB3" w:rsidRDefault="00197DB3">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eastAsia="fr-FR" w:bidi="ar-SA"/>
              </w:rPr>
            </w:pPr>
            <w:r>
              <w:rPr>
                <w:rFonts w:asciiTheme="minorHAnsi" w:hAnsiTheme="minorHAnsi" w:cstheme="minorHAnsi"/>
                <w:lang w:eastAsia="fr-FR" w:bidi="ar-SA"/>
              </w:rPr>
              <w:t>Déjà mobilisé au niveau central</w:t>
            </w:r>
          </w:p>
        </w:tc>
        <w:tc>
          <w:tcPr>
            <w:tcW w:w="0" w:type="auto"/>
            <w:tcBorders>
              <w:top w:val="single" w:sz="4" w:space="0" w:color="B4C6E7"/>
              <w:left w:val="single" w:sz="4" w:space="0" w:color="B4C6E7"/>
              <w:bottom w:val="single" w:sz="4" w:space="0" w:color="B4C6E7"/>
              <w:right w:val="single" w:sz="4" w:space="0" w:color="B4C6E7"/>
            </w:tcBorders>
            <w:hideMark/>
          </w:tcPr>
          <w:p w14:paraId="42E5F8C3" w14:textId="77777777" w:rsidR="00197DB3" w:rsidRDefault="00197DB3">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eastAsia="fr-FR" w:bidi="ar-SA"/>
              </w:rPr>
            </w:pPr>
            <w:r>
              <w:rPr>
                <w:rFonts w:asciiTheme="minorHAnsi" w:hAnsiTheme="minorHAnsi" w:cstheme="minorHAnsi"/>
                <w:lang w:eastAsia="fr-FR" w:bidi="ar-SA"/>
              </w:rPr>
              <w:t>ONDA</w:t>
            </w:r>
          </w:p>
        </w:tc>
      </w:tr>
      <w:tr w:rsidR="00197DB3" w14:paraId="7571D62B" w14:textId="77777777" w:rsidTr="00197DB3">
        <w:tc>
          <w:tcPr>
            <w:cnfStyle w:val="001000000000" w:firstRow="0" w:lastRow="0" w:firstColumn="1" w:lastColumn="0" w:oddVBand="0" w:evenVBand="0" w:oddHBand="0" w:evenHBand="0" w:firstRowFirstColumn="0" w:firstRowLastColumn="0" w:lastRowFirstColumn="0" w:lastRowLastColumn="0"/>
            <w:tcW w:w="0" w:type="auto"/>
            <w:vMerge/>
            <w:tcBorders>
              <w:top w:val="single" w:sz="4" w:space="0" w:color="B4C6E7"/>
              <w:left w:val="single" w:sz="4" w:space="0" w:color="B4C6E7"/>
              <w:bottom w:val="single" w:sz="4" w:space="0" w:color="B4C6E7"/>
              <w:right w:val="single" w:sz="4" w:space="0" w:color="B4C6E7"/>
            </w:tcBorders>
            <w:vAlign w:val="center"/>
            <w:hideMark/>
          </w:tcPr>
          <w:p w14:paraId="0EF9C46E" w14:textId="77777777" w:rsidR="00197DB3" w:rsidRDefault="00197DB3">
            <w:pPr>
              <w:spacing w:before="0" w:after="0" w:line="240" w:lineRule="auto"/>
              <w:jc w:val="left"/>
              <w:rPr>
                <w:rFonts w:asciiTheme="minorHAnsi" w:hAnsiTheme="minorHAnsi" w:cstheme="minorHAnsi"/>
                <w:sz w:val="22"/>
                <w:lang w:eastAsia="fr-FR" w:bidi="ar-SA"/>
              </w:rPr>
            </w:pPr>
          </w:p>
        </w:tc>
        <w:tc>
          <w:tcPr>
            <w:tcW w:w="0" w:type="auto"/>
            <w:tcBorders>
              <w:top w:val="single" w:sz="4" w:space="0" w:color="B4C6E7"/>
              <w:left w:val="single" w:sz="4" w:space="0" w:color="B4C6E7"/>
              <w:bottom w:val="single" w:sz="4" w:space="0" w:color="B4C6E7"/>
              <w:right w:val="single" w:sz="4" w:space="0" w:color="B4C6E7"/>
            </w:tcBorders>
            <w:hideMark/>
          </w:tcPr>
          <w:p w14:paraId="1EF1616A" w14:textId="77777777" w:rsidR="00197DB3" w:rsidRDefault="00197DB3">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eastAsia="fr-FR" w:bidi="ar-SA"/>
              </w:rPr>
            </w:pPr>
            <w:r>
              <w:rPr>
                <w:rFonts w:asciiTheme="minorHAnsi" w:hAnsiTheme="minorHAnsi" w:cstheme="minorHAnsi"/>
                <w:lang w:eastAsia="fr-FR" w:bidi="ar-SA"/>
              </w:rPr>
              <w:t>Point focal HSSE site</w:t>
            </w:r>
          </w:p>
        </w:tc>
        <w:tc>
          <w:tcPr>
            <w:tcW w:w="0" w:type="auto"/>
            <w:tcBorders>
              <w:top w:val="single" w:sz="4" w:space="0" w:color="B4C6E7"/>
              <w:left w:val="single" w:sz="4" w:space="0" w:color="B4C6E7"/>
              <w:bottom w:val="single" w:sz="4" w:space="0" w:color="B4C6E7"/>
              <w:right w:val="single" w:sz="4" w:space="0" w:color="B4C6E7"/>
            </w:tcBorders>
            <w:hideMark/>
          </w:tcPr>
          <w:p w14:paraId="2D32F4DA" w14:textId="77777777" w:rsidR="00197DB3" w:rsidRDefault="00197DB3">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eastAsia="fr-FR" w:bidi="ar-SA"/>
              </w:rPr>
            </w:pPr>
            <w:r>
              <w:rPr>
                <w:rFonts w:asciiTheme="minorHAnsi" w:hAnsiTheme="minorHAnsi" w:cstheme="minorHAnsi"/>
                <w:lang w:eastAsia="fr-FR" w:bidi="ar-SA"/>
              </w:rPr>
              <w:t>Suivi opérationnel sur site</w:t>
            </w:r>
          </w:p>
        </w:tc>
        <w:tc>
          <w:tcPr>
            <w:tcW w:w="0" w:type="auto"/>
            <w:tcBorders>
              <w:top w:val="single" w:sz="4" w:space="0" w:color="B4C6E7"/>
              <w:left w:val="single" w:sz="4" w:space="0" w:color="B4C6E7"/>
              <w:bottom w:val="single" w:sz="4" w:space="0" w:color="B4C6E7"/>
              <w:right w:val="single" w:sz="4" w:space="0" w:color="B4C6E7"/>
            </w:tcBorders>
            <w:hideMark/>
          </w:tcPr>
          <w:p w14:paraId="16E824C4" w14:textId="77777777" w:rsidR="00197DB3" w:rsidRDefault="00197DB3">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eastAsia="fr-FR" w:bidi="ar-SA"/>
              </w:rPr>
            </w:pPr>
            <w:r>
              <w:rPr>
                <w:rFonts w:asciiTheme="minorHAnsi" w:hAnsiTheme="minorHAnsi" w:cstheme="minorHAnsi"/>
                <w:lang w:eastAsia="fr-FR" w:bidi="ar-SA"/>
              </w:rPr>
              <w:t>Selon la grille salariale ONDA</w:t>
            </w:r>
          </w:p>
        </w:tc>
        <w:tc>
          <w:tcPr>
            <w:tcW w:w="0" w:type="auto"/>
            <w:tcBorders>
              <w:top w:val="single" w:sz="4" w:space="0" w:color="B4C6E7"/>
              <w:left w:val="single" w:sz="4" w:space="0" w:color="B4C6E7"/>
              <w:bottom w:val="single" w:sz="4" w:space="0" w:color="B4C6E7"/>
              <w:right w:val="single" w:sz="4" w:space="0" w:color="B4C6E7"/>
            </w:tcBorders>
            <w:hideMark/>
          </w:tcPr>
          <w:p w14:paraId="62D73750" w14:textId="77777777" w:rsidR="00197DB3" w:rsidRDefault="00197DB3">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eastAsia="fr-FR" w:bidi="ar-SA"/>
              </w:rPr>
            </w:pPr>
            <w:r>
              <w:rPr>
                <w:rFonts w:asciiTheme="minorHAnsi" w:hAnsiTheme="minorHAnsi" w:cstheme="minorHAnsi"/>
                <w:lang w:eastAsia="fr-FR" w:bidi="ar-SA"/>
              </w:rPr>
              <w:t>ONDA</w:t>
            </w:r>
          </w:p>
        </w:tc>
      </w:tr>
      <w:tr w:rsidR="00197DB3" w14:paraId="2DBED7FB" w14:textId="77777777" w:rsidTr="00197DB3">
        <w:tc>
          <w:tcPr>
            <w:cnfStyle w:val="001000000000" w:firstRow="0" w:lastRow="0" w:firstColumn="1" w:lastColumn="0" w:oddVBand="0" w:evenVBand="0" w:oddHBand="0" w:evenHBand="0" w:firstRowFirstColumn="0" w:firstRowLastColumn="0" w:lastRowFirstColumn="0" w:lastRowLastColumn="0"/>
            <w:tcW w:w="0" w:type="auto"/>
            <w:vMerge/>
            <w:tcBorders>
              <w:top w:val="single" w:sz="4" w:space="0" w:color="B4C6E7"/>
              <w:left w:val="single" w:sz="4" w:space="0" w:color="B4C6E7"/>
              <w:bottom w:val="single" w:sz="4" w:space="0" w:color="B4C6E7"/>
              <w:right w:val="single" w:sz="4" w:space="0" w:color="B4C6E7"/>
            </w:tcBorders>
            <w:vAlign w:val="center"/>
            <w:hideMark/>
          </w:tcPr>
          <w:p w14:paraId="2B323538" w14:textId="77777777" w:rsidR="00197DB3" w:rsidRDefault="00197DB3">
            <w:pPr>
              <w:spacing w:before="0" w:after="0" w:line="240" w:lineRule="auto"/>
              <w:jc w:val="left"/>
              <w:rPr>
                <w:rFonts w:asciiTheme="minorHAnsi" w:hAnsiTheme="minorHAnsi" w:cstheme="minorHAnsi"/>
                <w:sz w:val="22"/>
                <w:lang w:eastAsia="fr-FR" w:bidi="ar-SA"/>
              </w:rPr>
            </w:pPr>
          </w:p>
        </w:tc>
        <w:tc>
          <w:tcPr>
            <w:tcW w:w="0" w:type="auto"/>
            <w:tcBorders>
              <w:top w:val="single" w:sz="4" w:space="0" w:color="B4C6E7"/>
              <w:left w:val="single" w:sz="4" w:space="0" w:color="B4C6E7"/>
              <w:bottom w:val="single" w:sz="4" w:space="0" w:color="B4C6E7"/>
              <w:right w:val="single" w:sz="4" w:space="0" w:color="B4C6E7"/>
            </w:tcBorders>
            <w:hideMark/>
          </w:tcPr>
          <w:p w14:paraId="40307A17" w14:textId="77777777" w:rsidR="00197DB3" w:rsidRDefault="00197DB3">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eastAsia="fr-FR" w:bidi="ar-SA"/>
              </w:rPr>
            </w:pPr>
            <w:r>
              <w:rPr>
                <w:rFonts w:asciiTheme="minorHAnsi" w:hAnsiTheme="minorHAnsi" w:cstheme="minorHAnsi"/>
                <w:lang w:eastAsia="fr-FR" w:bidi="ar-SA"/>
              </w:rPr>
              <w:t>Responsable HSSE EPC</w:t>
            </w:r>
          </w:p>
        </w:tc>
        <w:tc>
          <w:tcPr>
            <w:tcW w:w="0" w:type="auto"/>
            <w:tcBorders>
              <w:top w:val="single" w:sz="4" w:space="0" w:color="B4C6E7"/>
              <w:left w:val="single" w:sz="4" w:space="0" w:color="B4C6E7"/>
              <w:bottom w:val="single" w:sz="4" w:space="0" w:color="B4C6E7"/>
              <w:right w:val="single" w:sz="4" w:space="0" w:color="B4C6E7"/>
            </w:tcBorders>
            <w:hideMark/>
          </w:tcPr>
          <w:p w14:paraId="1EC8888B" w14:textId="77777777" w:rsidR="00197DB3" w:rsidRDefault="00197DB3">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eastAsia="fr-FR" w:bidi="ar-SA"/>
              </w:rPr>
            </w:pPr>
            <w:r>
              <w:rPr>
                <w:rFonts w:asciiTheme="minorHAnsi" w:hAnsiTheme="minorHAnsi" w:cstheme="minorHAnsi"/>
                <w:lang w:eastAsia="fr-FR" w:bidi="ar-SA"/>
              </w:rPr>
              <w:t>Mise en œuvre PGES chantier</w:t>
            </w:r>
          </w:p>
        </w:tc>
        <w:tc>
          <w:tcPr>
            <w:tcW w:w="0" w:type="auto"/>
            <w:tcBorders>
              <w:top w:val="single" w:sz="4" w:space="0" w:color="B4C6E7"/>
              <w:left w:val="single" w:sz="4" w:space="0" w:color="B4C6E7"/>
              <w:bottom w:val="single" w:sz="4" w:space="0" w:color="B4C6E7"/>
              <w:right w:val="single" w:sz="4" w:space="0" w:color="B4C6E7"/>
            </w:tcBorders>
            <w:hideMark/>
          </w:tcPr>
          <w:p w14:paraId="0E2AFB37" w14:textId="77777777" w:rsidR="00197DB3" w:rsidRDefault="00197DB3">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eastAsia="fr-FR" w:bidi="ar-SA"/>
              </w:rPr>
            </w:pPr>
            <w:r>
              <w:rPr>
                <w:rFonts w:asciiTheme="minorHAnsi" w:hAnsiTheme="minorHAnsi" w:cstheme="minorHAnsi"/>
                <w:lang w:eastAsia="fr-FR" w:bidi="ar-SA"/>
              </w:rPr>
              <w:t>204 000</w:t>
            </w:r>
          </w:p>
        </w:tc>
        <w:tc>
          <w:tcPr>
            <w:tcW w:w="0" w:type="auto"/>
            <w:tcBorders>
              <w:top w:val="single" w:sz="4" w:space="0" w:color="B4C6E7"/>
              <w:left w:val="single" w:sz="4" w:space="0" w:color="B4C6E7"/>
              <w:bottom w:val="single" w:sz="4" w:space="0" w:color="B4C6E7"/>
              <w:right w:val="single" w:sz="4" w:space="0" w:color="B4C6E7"/>
            </w:tcBorders>
            <w:hideMark/>
          </w:tcPr>
          <w:p w14:paraId="21F421BB" w14:textId="77777777" w:rsidR="00197DB3" w:rsidRDefault="00197DB3">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eastAsia="fr-FR" w:bidi="ar-SA"/>
              </w:rPr>
            </w:pPr>
            <w:r>
              <w:rPr>
                <w:rFonts w:asciiTheme="minorHAnsi" w:hAnsiTheme="minorHAnsi" w:cstheme="minorHAnsi"/>
                <w:lang w:eastAsia="fr-FR" w:bidi="ar-SA"/>
              </w:rPr>
              <w:t>EPC</w:t>
            </w:r>
          </w:p>
        </w:tc>
      </w:tr>
      <w:tr w:rsidR="00197DB3" w14:paraId="6C856DB2" w14:textId="77777777" w:rsidTr="00197DB3">
        <w:tc>
          <w:tcPr>
            <w:cnfStyle w:val="001000000000" w:firstRow="0" w:lastRow="0" w:firstColumn="1" w:lastColumn="0" w:oddVBand="0" w:evenVBand="0" w:oddHBand="0" w:evenHBand="0" w:firstRowFirstColumn="0" w:firstRowLastColumn="0" w:lastRowFirstColumn="0" w:lastRowLastColumn="0"/>
            <w:tcW w:w="0" w:type="auto"/>
            <w:vMerge/>
            <w:tcBorders>
              <w:top w:val="single" w:sz="4" w:space="0" w:color="B4C6E7"/>
              <w:left w:val="single" w:sz="4" w:space="0" w:color="B4C6E7"/>
              <w:bottom w:val="single" w:sz="4" w:space="0" w:color="B4C6E7"/>
              <w:right w:val="single" w:sz="4" w:space="0" w:color="B4C6E7"/>
            </w:tcBorders>
            <w:vAlign w:val="center"/>
            <w:hideMark/>
          </w:tcPr>
          <w:p w14:paraId="0D7071E2" w14:textId="77777777" w:rsidR="00197DB3" w:rsidRDefault="00197DB3">
            <w:pPr>
              <w:spacing w:before="0" w:after="0" w:line="240" w:lineRule="auto"/>
              <w:jc w:val="left"/>
              <w:rPr>
                <w:rFonts w:asciiTheme="minorHAnsi" w:hAnsiTheme="minorHAnsi" w:cstheme="minorHAnsi"/>
                <w:sz w:val="22"/>
                <w:lang w:eastAsia="fr-FR" w:bidi="ar-SA"/>
              </w:rPr>
            </w:pPr>
          </w:p>
        </w:tc>
        <w:tc>
          <w:tcPr>
            <w:tcW w:w="0" w:type="auto"/>
            <w:tcBorders>
              <w:top w:val="single" w:sz="4" w:space="0" w:color="B4C6E7"/>
              <w:left w:val="single" w:sz="4" w:space="0" w:color="B4C6E7"/>
              <w:bottom w:val="single" w:sz="4" w:space="0" w:color="B4C6E7"/>
              <w:right w:val="single" w:sz="4" w:space="0" w:color="B4C6E7"/>
            </w:tcBorders>
            <w:hideMark/>
          </w:tcPr>
          <w:p w14:paraId="2DCD9955" w14:textId="77777777" w:rsidR="00197DB3" w:rsidRDefault="00197DB3">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eastAsia="fr-FR" w:bidi="ar-SA"/>
              </w:rPr>
            </w:pPr>
            <w:r>
              <w:rPr>
                <w:rFonts w:asciiTheme="minorHAnsi" w:hAnsiTheme="minorHAnsi" w:cstheme="minorHAnsi"/>
                <w:lang w:eastAsia="fr-FR" w:bidi="ar-SA"/>
              </w:rPr>
              <w:t>Coordinateurs E&amp;S</w:t>
            </w:r>
          </w:p>
        </w:tc>
        <w:tc>
          <w:tcPr>
            <w:tcW w:w="0" w:type="auto"/>
            <w:tcBorders>
              <w:top w:val="single" w:sz="4" w:space="0" w:color="B4C6E7"/>
              <w:left w:val="single" w:sz="4" w:space="0" w:color="B4C6E7"/>
              <w:bottom w:val="single" w:sz="4" w:space="0" w:color="B4C6E7"/>
              <w:right w:val="single" w:sz="4" w:space="0" w:color="B4C6E7"/>
            </w:tcBorders>
            <w:hideMark/>
          </w:tcPr>
          <w:p w14:paraId="43802E7E" w14:textId="77777777" w:rsidR="00197DB3" w:rsidRDefault="00197DB3">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eastAsia="fr-FR" w:bidi="ar-SA"/>
              </w:rPr>
            </w:pPr>
            <w:r>
              <w:rPr>
                <w:rFonts w:asciiTheme="minorHAnsi" w:hAnsiTheme="minorHAnsi" w:cstheme="minorHAnsi"/>
                <w:lang w:eastAsia="fr-FR" w:bidi="ar-SA"/>
              </w:rPr>
              <w:t>Encadrement HSE sous-traitants</w:t>
            </w:r>
          </w:p>
        </w:tc>
        <w:tc>
          <w:tcPr>
            <w:tcW w:w="0" w:type="auto"/>
            <w:tcBorders>
              <w:top w:val="single" w:sz="4" w:space="0" w:color="B4C6E7"/>
              <w:left w:val="single" w:sz="4" w:space="0" w:color="B4C6E7"/>
              <w:bottom w:val="single" w:sz="4" w:space="0" w:color="B4C6E7"/>
              <w:right w:val="single" w:sz="4" w:space="0" w:color="B4C6E7"/>
            </w:tcBorders>
            <w:hideMark/>
          </w:tcPr>
          <w:p w14:paraId="27845EBB" w14:textId="77777777" w:rsidR="00197DB3" w:rsidRDefault="00197DB3">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eastAsia="fr-FR" w:bidi="ar-SA"/>
              </w:rPr>
            </w:pPr>
            <w:r>
              <w:rPr>
                <w:rFonts w:asciiTheme="minorHAnsi" w:hAnsiTheme="minorHAnsi" w:cstheme="minorHAnsi"/>
                <w:lang w:eastAsia="fr-FR" w:bidi="ar-SA"/>
              </w:rPr>
              <w:t>96 000</w:t>
            </w:r>
          </w:p>
        </w:tc>
        <w:tc>
          <w:tcPr>
            <w:tcW w:w="0" w:type="auto"/>
            <w:tcBorders>
              <w:top w:val="single" w:sz="4" w:space="0" w:color="B4C6E7"/>
              <w:left w:val="single" w:sz="4" w:space="0" w:color="B4C6E7"/>
              <w:bottom w:val="single" w:sz="4" w:space="0" w:color="B4C6E7"/>
              <w:right w:val="single" w:sz="4" w:space="0" w:color="B4C6E7"/>
            </w:tcBorders>
            <w:hideMark/>
          </w:tcPr>
          <w:p w14:paraId="1C33064D" w14:textId="77777777" w:rsidR="00197DB3" w:rsidRDefault="00197DB3">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eastAsia="fr-FR" w:bidi="ar-SA"/>
              </w:rPr>
            </w:pPr>
            <w:r>
              <w:rPr>
                <w:rFonts w:asciiTheme="minorHAnsi" w:hAnsiTheme="minorHAnsi" w:cstheme="minorHAnsi"/>
                <w:lang w:eastAsia="fr-FR" w:bidi="ar-SA"/>
              </w:rPr>
              <w:t>EPC</w:t>
            </w:r>
          </w:p>
        </w:tc>
      </w:tr>
      <w:tr w:rsidR="00197DB3" w14:paraId="0F557B1D" w14:textId="77777777" w:rsidTr="00197DB3">
        <w:tc>
          <w:tcPr>
            <w:cnfStyle w:val="001000000000" w:firstRow="0" w:lastRow="0" w:firstColumn="1" w:lastColumn="0" w:oddVBand="0" w:evenVBand="0" w:oddHBand="0" w:evenHBand="0" w:firstRowFirstColumn="0" w:firstRowLastColumn="0" w:lastRowFirstColumn="0" w:lastRowLastColumn="0"/>
            <w:tcW w:w="0" w:type="auto"/>
            <w:vMerge/>
            <w:tcBorders>
              <w:top w:val="single" w:sz="4" w:space="0" w:color="B4C6E7"/>
              <w:left w:val="single" w:sz="4" w:space="0" w:color="B4C6E7"/>
              <w:bottom w:val="single" w:sz="4" w:space="0" w:color="B4C6E7"/>
              <w:right w:val="single" w:sz="4" w:space="0" w:color="B4C6E7"/>
            </w:tcBorders>
            <w:vAlign w:val="center"/>
            <w:hideMark/>
          </w:tcPr>
          <w:p w14:paraId="55CE2892" w14:textId="77777777" w:rsidR="00197DB3" w:rsidRDefault="00197DB3">
            <w:pPr>
              <w:spacing w:before="0" w:after="0" w:line="240" w:lineRule="auto"/>
              <w:jc w:val="left"/>
              <w:rPr>
                <w:rFonts w:asciiTheme="minorHAnsi" w:hAnsiTheme="minorHAnsi" w:cstheme="minorHAnsi"/>
                <w:sz w:val="22"/>
                <w:lang w:eastAsia="fr-FR" w:bidi="ar-SA"/>
              </w:rPr>
            </w:pPr>
          </w:p>
        </w:tc>
        <w:tc>
          <w:tcPr>
            <w:tcW w:w="0" w:type="auto"/>
            <w:tcBorders>
              <w:top w:val="single" w:sz="4" w:space="0" w:color="B4C6E7"/>
              <w:left w:val="single" w:sz="4" w:space="0" w:color="B4C6E7"/>
              <w:bottom w:val="single" w:sz="4" w:space="0" w:color="B4C6E7"/>
              <w:right w:val="single" w:sz="4" w:space="0" w:color="B4C6E7"/>
            </w:tcBorders>
            <w:hideMark/>
          </w:tcPr>
          <w:p w14:paraId="60F739E3" w14:textId="77777777" w:rsidR="00197DB3" w:rsidRDefault="00197DB3">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eastAsia="fr-FR" w:bidi="ar-SA"/>
              </w:rPr>
            </w:pPr>
            <w:r>
              <w:rPr>
                <w:rFonts w:asciiTheme="minorHAnsi" w:hAnsiTheme="minorHAnsi" w:cstheme="minorHAnsi"/>
                <w:lang w:eastAsia="fr-FR" w:bidi="ar-SA"/>
              </w:rPr>
              <w:t>Médecin du travail</w:t>
            </w:r>
          </w:p>
        </w:tc>
        <w:tc>
          <w:tcPr>
            <w:tcW w:w="0" w:type="auto"/>
            <w:tcBorders>
              <w:top w:val="single" w:sz="4" w:space="0" w:color="B4C6E7"/>
              <w:left w:val="single" w:sz="4" w:space="0" w:color="B4C6E7"/>
              <w:bottom w:val="single" w:sz="4" w:space="0" w:color="B4C6E7"/>
              <w:right w:val="single" w:sz="4" w:space="0" w:color="B4C6E7"/>
            </w:tcBorders>
            <w:hideMark/>
          </w:tcPr>
          <w:p w14:paraId="077492EF" w14:textId="77777777" w:rsidR="00197DB3" w:rsidRDefault="00197DB3">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eastAsia="fr-FR" w:bidi="ar-SA"/>
              </w:rPr>
            </w:pPr>
            <w:r>
              <w:rPr>
                <w:rFonts w:asciiTheme="minorHAnsi" w:hAnsiTheme="minorHAnsi" w:cstheme="minorHAnsi"/>
                <w:lang w:eastAsia="fr-FR" w:bidi="ar-SA"/>
              </w:rPr>
              <w:t>Suivi médical du personnel</w:t>
            </w:r>
          </w:p>
        </w:tc>
        <w:tc>
          <w:tcPr>
            <w:tcW w:w="0" w:type="auto"/>
            <w:tcBorders>
              <w:top w:val="single" w:sz="4" w:space="0" w:color="B4C6E7"/>
              <w:left w:val="single" w:sz="4" w:space="0" w:color="B4C6E7"/>
              <w:bottom w:val="single" w:sz="4" w:space="0" w:color="B4C6E7"/>
              <w:right w:val="single" w:sz="4" w:space="0" w:color="B4C6E7"/>
            </w:tcBorders>
            <w:hideMark/>
          </w:tcPr>
          <w:p w14:paraId="1E3589A8" w14:textId="77777777" w:rsidR="00197DB3" w:rsidRDefault="00197DB3">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eastAsia="fr-FR" w:bidi="ar-SA"/>
              </w:rPr>
            </w:pPr>
            <w:r>
              <w:rPr>
                <w:rFonts w:asciiTheme="minorHAnsi" w:hAnsiTheme="minorHAnsi" w:cstheme="minorHAnsi"/>
                <w:lang w:eastAsia="fr-FR" w:bidi="ar-SA"/>
              </w:rPr>
              <w:t>216 000</w:t>
            </w:r>
          </w:p>
        </w:tc>
        <w:tc>
          <w:tcPr>
            <w:tcW w:w="0" w:type="auto"/>
            <w:tcBorders>
              <w:top w:val="single" w:sz="4" w:space="0" w:color="B4C6E7"/>
              <w:left w:val="single" w:sz="4" w:space="0" w:color="B4C6E7"/>
              <w:bottom w:val="single" w:sz="4" w:space="0" w:color="B4C6E7"/>
              <w:right w:val="single" w:sz="4" w:space="0" w:color="B4C6E7"/>
            </w:tcBorders>
            <w:hideMark/>
          </w:tcPr>
          <w:p w14:paraId="06EEB9AB" w14:textId="77777777" w:rsidR="00197DB3" w:rsidRDefault="00197DB3">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eastAsia="fr-FR" w:bidi="ar-SA"/>
              </w:rPr>
            </w:pPr>
            <w:r>
              <w:rPr>
                <w:rFonts w:asciiTheme="minorHAnsi" w:hAnsiTheme="minorHAnsi" w:cstheme="minorHAnsi"/>
                <w:lang w:eastAsia="fr-FR" w:bidi="ar-SA"/>
              </w:rPr>
              <w:t>EPC</w:t>
            </w:r>
          </w:p>
        </w:tc>
      </w:tr>
      <w:tr w:rsidR="00197DB3" w14:paraId="030F9364" w14:textId="77777777" w:rsidTr="00197DB3">
        <w:tc>
          <w:tcPr>
            <w:cnfStyle w:val="001000000000" w:firstRow="0" w:lastRow="0" w:firstColumn="1" w:lastColumn="0" w:oddVBand="0" w:evenVBand="0" w:oddHBand="0" w:evenHBand="0" w:firstRowFirstColumn="0" w:firstRowLastColumn="0" w:lastRowFirstColumn="0" w:lastRowLastColumn="0"/>
            <w:tcW w:w="0" w:type="auto"/>
            <w:vMerge/>
            <w:tcBorders>
              <w:top w:val="single" w:sz="4" w:space="0" w:color="B4C6E7"/>
              <w:left w:val="single" w:sz="4" w:space="0" w:color="B4C6E7"/>
              <w:bottom w:val="single" w:sz="4" w:space="0" w:color="B4C6E7"/>
              <w:right w:val="single" w:sz="4" w:space="0" w:color="B4C6E7"/>
            </w:tcBorders>
            <w:vAlign w:val="center"/>
            <w:hideMark/>
          </w:tcPr>
          <w:p w14:paraId="5D60BE88" w14:textId="77777777" w:rsidR="00197DB3" w:rsidRDefault="00197DB3">
            <w:pPr>
              <w:spacing w:before="0" w:after="0" w:line="240" w:lineRule="auto"/>
              <w:jc w:val="left"/>
              <w:rPr>
                <w:rFonts w:asciiTheme="minorHAnsi" w:hAnsiTheme="minorHAnsi" w:cstheme="minorHAnsi"/>
                <w:sz w:val="22"/>
                <w:lang w:eastAsia="fr-FR" w:bidi="ar-SA"/>
              </w:rPr>
            </w:pPr>
          </w:p>
        </w:tc>
        <w:tc>
          <w:tcPr>
            <w:tcW w:w="0" w:type="auto"/>
            <w:tcBorders>
              <w:top w:val="single" w:sz="4" w:space="0" w:color="B4C6E7"/>
              <w:left w:val="single" w:sz="4" w:space="0" w:color="B4C6E7"/>
              <w:bottom w:val="single" w:sz="4" w:space="0" w:color="B4C6E7"/>
              <w:right w:val="single" w:sz="4" w:space="0" w:color="B4C6E7"/>
            </w:tcBorders>
            <w:hideMark/>
          </w:tcPr>
          <w:p w14:paraId="637A4DAE" w14:textId="77777777" w:rsidR="00197DB3" w:rsidRDefault="00197DB3">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eastAsia="fr-FR" w:bidi="ar-SA"/>
              </w:rPr>
            </w:pPr>
            <w:r>
              <w:rPr>
                <w:rFonts w:asciiTheme="minorHAnsi" w:hAnsiTheme="minorHAnsi" w:cstheme="minorHAnsi"/>
                <w:lang w:eastAsia="fr-FR" w:bidi="ar-SA"/>
              </w:rPr>
              <w:t>Infirmier permanent</w:t>
            </w:r>
          </w:p>
        </w:tc>
        <w:tc>
          <w:tcPr>
            <w:tcW w:w="0" w:type="auto"/>
            <w:tcBorders>
              <w:top w:val="single" w:sz="4" w:space="0" w:color="B4C6E7"/>
              <w:left w:val="single" w:sz="4" w:space="0" w:color="B4C6E7"/>
              <w:bottom w:val="single" w:sz="4" w:space="0" w:color="B4C6E7"/>
              <w:right w:val="single" w:sz="4" w:space="0" w:color="B4C6E7"/>
            </w:tcBorders>
            <w:hideMark/>
          </w:tcPr>
          <w:p w14:paraId="66030A17" w14:textId="77777777" w:rsidR="00197DB3" w:rsidRDefault="00197DB3">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eastAsia="fr-FR" w:bidi="ar-SA"/>
              </w:rPr>
            </w:pPr>
            <w:r>
              <w:rPr>
                <w:rFonts w:asciiTheme="minorHAnsi" w:hAnsiTheme="minorHAnsi" w:cstheme="minorHAnsi"/>
                <w:lang w:eastAsia="fr-FR" w:bidi="ar-SA"/>
              </w:rPr>
              <w:t>Appui santé et premiers secours</w:t>
            </w:r>
          </w:p>
        </w:tc>
        <w:tc>
          <w:tcPr>
            <w:tcW w:w="0" w:type="auto"/>
            <w:tcBorders>
              <w:top w:val="single" w:sz="4" w:space="0" w:color="B4C6E7"/>
              <w:left w:val="single" w:sz="4" w:space="0" w:color="B4C6E7"/>
              <w:bottom w:val="single" w:sz="4" w:space="0" w:color="B4C6E7"/>
              <w:right w:val="single" w:sz="4" w:space="0" w:color="B4C6E7"/>
            </w:tcBorders>
            <w:hideMark/>
          </w:tcPr>
          <w:p w14:paraId="1DA6F431" w14:textId="77777777" w:rsidR="00197DB3" w:rsidRDefault="00197DB3">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eastAsia="fr-FR" w:bidi="ar-SA"/>
              </w:rPr>
            </w:pPr>
            <w:r>
              <w:rPr>
                <w:rFonts w:asciiTheme="minorHAnsi" w:hAnsiTheme="minorHAnsi" w:cstheme="minorHAnsi"/>
                <w:lang w:eastAsia="fr-FR" w:bidi="ar-SA"/>
              </w:rPr>
              <w:t>120 000</w:t>
            </w:r>
          </w:p>
        </w:tc>
        <w:tc>
          <w:tcPr>
            <w:tcW w:w="0" w:type="auto"/>
            <w:tcBorders>
              <w:top w:val="single" w:sz="4" w:space="0" w:color="B4C6E7"/>
              <w:left w:val="single" w:sz="4" w:space="0" w:color="B4C6E7"/>
              <w:bottom w:val="single" w:sz="4" w:space="0" w:color="B4C6E7"/>
              <w:right w:val="single" w:sz="4" w:space="0" w:color="B4C6E7"/>
            </w:tcBorders>
            <w:hideMark/>
          </w:tcPr>
          <w:p w14:paraId="28F2BB7E" w14:textId="77777777" w:rsidR="00197DB3" w:rsidRDefault="00197DB3">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eastAsia="fr-FR" w:bidi="ar-SA"/>
              </w:rPr>
            </w:pPr>
            <w:r>
              <w:rPr>
                <w:rFonts w:asciiTheme="minorHAnsi" w:hAnsiTheme="minorHAnsi" w:cstheme="minorHAnsi"/>
                <w:lang w:eastAsia="fr-FR" w:bidi="ar-SA"/>
              </w:rPr>
              <w:t>EPC</w:t>
            </w:r>
          </w:p>
        </w:tc>
      </w:tr>
      <w:tr w:rsidR="00197DB3" w14:paraId="194E031F" w14:textId="77777777" w:rsidTr="00197DB3">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B4C6E7"/>
              <w:left w:val="single" w:sz="4" w:space="0" w:color="B4C6E7"/>
              <w:bottom w:val="single" w:sz="4" w:space="0" w:color="B4C6E7"/>
              <w:right w:val="single" w:sz="4" w:space="0" w:color="B4C6E7"/>
            </w:tcBorders>
            <w:hideMark/>
          </w:tcPr>
          <w:p w14:paraId="079602CD" w14:textId="77777777" w:rsidR="00197DB3" w:rsidRDefault="00197DB3">
            <w:pPr>
              <w:spacing w:before="0" w:after="0" w:line="240" w:lineRule="auto"/>
              <w:jc w:val="left"/>
              <w:rPr>
                <w:rFonts w:asciiTheme="minorHAnsi" w:hAnsiTheme="minorHAnsi" w:cstheme="minorHAnsi"/>
                <w:lang w:eastAsia="fr-FR" w:bidi="ar-SA"/>
              </w:rPr>
            </w:pPr>
            <w:r>
              <w:rPr>
                <w:rFonts w:asciiTheme="minorHAnsi" w:hAnsiTheme="minorHAnsi" w:cstheme="minorHAnsi"/>
                <w:lang w:eastAsia="fr-FR" w:bidi="ar-SA"/>
              </w:rPr>
              <w:t>Mise en œuvre des mesures de mitigation</w:t>
            </w:r>
          </w:p>
        </w:tc>
        <w:tc>
          <w:tcPr>
            <w:tcW w:w="0" w:type="auto"/>
            <w:tcBorders>
              <w:top w:val="single" w:sz="4" w:space="0" w:color="B4C6E7"/>
              <w:left w:val="single" w:sz="4" w:space="0" w:color="B4C6E7"/>
              <w:bottom w:val="single" w:sz="4" w:space="0" w:color="B4C6E7"/>
              <w:right w:val="single" w:sz="4" w:space="0" w:color="B4C6E7"/>
            </w:tcBorders>
            <w:hideMark/>
          </w:tcPr>
          <w:p w14:paraId="20F6310B" w14:textId="77777777" w:rsidR="00197DB3" w:rsidRDefault="00197DB3">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eastAsia="fr-FR" w:bidi="ar-SA"/>
              </w:rPr>
            </w:pPr>
            <w:r>
              <w:rPr>
                <w:rFonts w:asciiTheme="minorHAnsi" w:hAnsiTheme="minorHAnsi" w:cstheme="minorHAnsi"/>
                <w:lang w:eastAsia="fr-FR" w:bidi="ar-SA"/>
              </w:rPr>
              <w:t>Mesures gestion des risques et impacts E&amp;S</w:t>
            </w:r>
          </w:p>
        </w:tc>
        <w:tc>
          <w:tcPr>
            <w:tcW w:w="0" w:type="auto"/>
            <w:tcBorders>
              <w:top w:val="single" w:sz="4" w:space="0" w:color="B4C6E7"/>
              <w:left w:val="single" w:sz="4" w:space="0" w:color="B4C6E7"/>
              <w:bottom w:val="single" w:sz="4" w:space="0" w:color="B4C6E7"/>
              <w:right w:val="single" w:sz="4" w:space="0" w:color="B4C6E7"/>
            </w:tcBorders>
            <w:hideMark/>
          </w:tcPr>
          <w:p w14:paraId="1FC430CE" w14:textId="77777777" w:rsidR="00197DB3" w:rsidRDefault="00197DB3">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eastAsia="fr-FR" w:bidi="ar-SA"/>
              </w:rPr>
            </w:pPr>
            <w:r>
              <w:rPr>
                <w:rFonts w:asciiTheme="minorHAnsi" w:hAnsiTheme="minorHAnsi" w:cstheme="minorHAnsi"/>
                <w:lang w:eastAsia="fr-FR" w:bidi="ar-SA"/>
              </w:rPr>
              <w:t>Mise en œuvre des mesures de mitigation des différents risques et impacts E&amp;S (poussières, bruit, eau, biodiversité, social etc)</w:t>
            </w:r>
          </w:p>
        </w:tc>
        <w:tc>
          <w:tcPr>
            <w:tcW w:w="0" w:type="auto"/>
            <w:tcBorders>
              <w:top w:val="single" w:sz="4" w:space="0" w:color="B4C6E7"/>
              <w:left w:val="single" w:sz="4" w:space="0" w:color="B4C6E7"/>
              <w:bottom w:val="single" w:sz="4" w:space="0" w:color="B4C6E7"/>
              <w:right w:val="single" w:sz="4" w:space="0" w:color="B4C6E7"/>
            </w:tcBorders>
            <w:hideMark/>
          </w:tcPr>
          <w:p w14:paraId="449113CF" w14:textId="77777777" w:rsidR="00197DB3" w:rsidRDefault="00197DB3">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eastAsia="fr-FR" w:bidi="ar-SA"/>
              </w:rPr>
            </w:pPr>
            <w:r>
              <w:rPr>
                <w:rFonts w:asciiTheme="minorHAnsi" w:hAnsiTheme="minorHAnsi" w:cstheme="minorHAnsi"/>
                <w:lang w:eastAsia="fr-FR" w:bidi="ar-SA"/>
              </w:rPr>
              <w:t xml:space="preserve">35 000 </w:t>
            </w:r>
          </w:p>
        </w:tc>
        <w:tc>
          <w:tcPr>
            <w:tcW w:w="0" w:type="auto"/>
            <w:tcBorders>
              <w:top w:val="single" w:sz="4" w:space="0" w:color="B4C6E7"/>
              <w:left w:val="single" w:sz="4" w:space="0" w:color="B4C6E7"/>
              <w:bottom w:val="single" w:sz="4" w:space="0" w:color="B4C6E7"/>
              <w:right w:val="single" w:sz="4" w:space="0" w:color="B4C6E7"/>
            </w:tcBorders>
            <w:hideMark/>
          </w:tcPr>
          <w:p w14:paraId="0CB1BA8A" w14:textId="77777777" w:rsidR="00197DB3" w:rsidRDefault="00197DB3">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eastAsia="fr-FR" w:bidi="ar-SA"/>
              </w:rPr>
            </w:pPr>
            <w:r>
              <w:rPr>
                <w:rFonts w:asciiTheme="minorHAnsi" w:hAnsiTheme="minorHAnsi" w:cstheme="minorHAnsi"/>
                <w:lang w:eastAsia="fr-FR" w:bidi="ar-SA"/>
              </w:rPr>
              <w:t>EPC</w:t>
            </w:r>
          </w:p>
        </w:tc>
      </w:tr>
      <w:tr w:rsidR="00197DB3" w14:paraId="6037B231" w14:textId="77777777" w:rsidTr="00197DB3">
        <w:tc>
          <w:tcPr>
            <w:cnfStyle w:val="001000000000" w:firstRow="0" w:lastRow="0" w:firstColumn="1" w:lastColumn="0" w:oddVBand="0" w:evenVBand="0" w:oddHBand="0" w:evenHBand="0" w:firstRowFirstColumn="0" w:firstRowLastColumn="0" w:lastRowFirstColumn="0" w:lastRowLastColumn="0"/>
            <w:tcW w:w="0" w:type="auto"/>
            <w:vMerge w:val="restart"/>
            <w:tcBorders>
              <w:top w:val="single" w:sz="4" w:space="0" w:color="B4C6E7"/>
              <w:left w:val="single" w:sz="4" w:space="0" w:color="B4C6E7"/>
              <w:bottom w:val="single" w:sz="4" w:space="0" w:color="B4C6E7"/>
              <w:right w:val="single" w:sz="4" w:space="0" w:color="B4C6E7"/>
            </w:tcBorders>
            <w:vAlign w:val="center"/>
            <w:hideMark/>
          </w:tcPr>
          <w:p w14:paraId="60DA7E92" w14:textId="77777777" w:rsidR="00197DB3" w:rsidRDefault="00197DB3">
            <w:pPr>
              <w:spacing w:before="0" w:after="0" w:line="240" w:lineRule="auto"/>
              <w:jc w:val="center"/>
              <w:rPr>
                <w:rFonts w:asciiTheme="minorHAnsi" w:hAnsiTheme="minorHAnsi" w:cstheme="minorHAnsi"/>
                <w:lang w:eastAsia="fr-FR" w:bidi="ar-SA"/>
              </w:rPr>
            </w:pPr>
            <w:r>
              <w:rPr>
                <w:rFonts w:asciiTheme="minorHAnsi" w:hAnsiTheme="minorHAnsi" w:cstheme="minorHAnsi"/>
                <w:lang w:eastAsia="fr-FR" w:bidi="ar-SA"/>
              </w:rPr>
              <w:t>Gestion des déchets</w:t>
            </w:r>
          </w:p>
        </w:tc>
        <w:tc>
          <w:tcPr>
            <w:tcW w:w="0" w:type="auto"/>
            <w:tcBorders>
              <w:top w:val="single" w:sz="4" w:space="0" w:color="B4C6E7"/>
              <w:left w:val="single" w:sz="4" w:space="0" w:color="B4C6E7"/>
              <w:bottom w:val="single" w:sz="4" w:space="0" w:color="B4C6E7"/>
              <w:right w:val="single" w:sz="4" w:space="0" w:color="B4C6E7"/>
            </w:tcBorders>
            <w:hideMark/>
          </w:tcPr>
          <w:p w14:paraId="39369DBA" w14:textId="77777777" w:rsidR="00197DB3" w:rsidRDefault="00197DB3">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eastAsia="fr-FR" w:bidi="ar-SA"/>
              </w:rPr>
            </w:pPr>
            <w:r>
              <w:rPr>
                <w:rFonts w:asciiTheme="minorHAnsi" w:hAnsiTheme="minorHAnsi" w:cstheme="minorHAnsi"/>
                <w:lang w:eastAsia="fr-FR" w:bidi="ar-SA"/>
              </w:rPr>
              <w:t>Déchets ménagers et inertes</w:t>
            </w:r>
          </w:p>
        </w:tc>
        <w:tc>
          <w:tcPr>
            <w:tcW w:w="0" w:type="auto"/>
            <w:tcBorders>
              <w:top w:val="single" w:sz="4" w:space="0" w:color="B4C6E7"/>
              <w:left w:val="single" w:sz="4" w:space="0" w:color="B4C6E7"/>
              <w:bottom w:val="single" w:sz="4" w:space="0" w:color="B4C6E7"/>
              <w:right w:val="single" w:sz="4" w:space="0" w:color="B4C6E7"/>
            </w:tcBorders>
            <w:hideMark/>
          </w:tcPr>
          <w:p w14:paraId="7F4DB79E" w14:textId="77777777" w:rsidR="00197DB3" w:rsidRDefault="00197DB3">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eastAsia="fr-FR" w:bidi="ar-SA"/>
              </w:rPr>
            </w:pPr>
            <w:r>
              <w:rPr>
                <w:rFonts w:asciiTheme="minorHAnsi" w:hAnsiTheme="minorHAnsi" w:cstheme="minorHAnsi"/>
                <w:lang w:eastAsia="fr-FR" w:bidi="ar-SA"/>
              </w:rPr>
              <w:t>Collecte et transport</w:t>
            </w:r>
          </w:p>
        </w:tc>
        <w:tc>
          <w:tcPr>
            <w:tcW w:w="0" w:type="auto"/>
            <w:tcBorders>
              <w:top w:val="single" w:sz="4" w:space="0" w:color="B4C6E7"/>
              <w:left w:val="single" w:sz="4" w:space="0" w:color="B4C6E7"/>
              <w:bottom w:val="single" w:sz="4" w:space="0" w:color="B4C6E7"/>
              <w:right w:val="single" w:sz="4" w:space="0" w:color="B4C6E7"/>
            </w:tcBorders>
            <w:hideMark/>
          </w:tcPr>
          <w:p w14:paraId="638A1A70" w14:textId="77777777" w:rsidR="00197DB3" w:rsidRDefault="00197DB3">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eastAsia="fr-FR" w:bidi="ar-SA"/>
              </w:rPr>
            </w:pPr>
            <w:r>
              <w:rPr>
                <w:rFonts w:asciiTheme="minorHAnsi" w:hAnsiTheme="minorHAnsi" w:cstheme="minorHAnsi"/>
                <w:lang w:eastAsia="fr-FR" w:bidi="ar-SA"/>
              </w:rPr>
              <w:t>44 000</w:t>
            </w:r>
          </w:p>
        </w:tc>
        <w:tc>
          <w:tcPr>
            <w:tcW w:w="0" w:type="auto"/>
            <w:tcBorders>
              <w:top w:val="single" w:sz="4" w:space="0" w:color="B4C6E7"/>
              <w:left w:val="single" w:sz="4" w:space="0" w:color="B4C6E7"/>
              <w:bottom w:val="single" w:sz="4" w:space="0" w:color="B4C6E7"/>
              <w:right w:val="single" w:sz="4" w:space="0" w:color="B4C6E7"/>
            </w:tcBorders>
            <w:hideMark/>
          </w:tcPr>
          <w:p w14:paraId="44252636" w14:textId="77777777" w:rsidR="00197DB3" w:rsidRDefault="00197DB3">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eastAsia="fr-FR" w:bidi="ar-SA"/>
              </w:rPr>
            </w:pPr>
            <w:r>
              <w:rPr>
                <w:rFonts w:asciiTheme="minorHAnsi" w:hAnsiTheme="minorHAnsi" w:cstheme="minorHAnsi"/>
                <w:lang w:eastAsia="fr-FR" w:bidi="ar-SA"/>
              </w:rPr>
              <w:t>EPC</w:t>
            </w:r>
          </w:p>
        </w:tc>
      </w:tr>
      <w:tr w:rsidR="00197DB3" w14:paraId="658A5939" w14:textId="77777777" w:rsidTr="00197DB3">
        <w:tc>
          <w:tcPr>
            <w:cnfStyle w:val="001000000000" w:firstRow="0" w:lastRow="0" w:firstColumn="1" w:lastColumn="0" w:oddVBand="0" w:evenVBand="0" w:oddHBand="0" w:evenHBand="0" w:firstRowFirstColumn="0" w:firstRowLastColumn="0" w:lastRowFirstColumn="0" w:lastRowLastColumn="0"/>
            <w:tcW w:w="0" w:type="auto"/>
            <w:vMerge/>
            <w:tcBorders>
              <w:top w:val="single" w:sz="4" w:space="0" w:color="B4C6E7"/>
              <w:left w:val="single" w:sz="4" w:space="0" w:color="B4C6E7"/>
              <w:bottom w:val="single" w:sz="4" w:space="0" w:color="B4C6E7"/>
              <w:right w:val="single" w:sz="4" w:space="0" w:color="B4C6E7"/>
            </w:tcBorders>
            <w:vAlign w:val="center"/>
            <w:hideMark/>
          </w:tcPr>
          <w:p w14:paraId="53BBF411" w14:textId="77777777" w:rsidR="00197DB3" w:rsidRDefault="00197DB3">
            <w:pPr>
              <w:spacing w:before="0" w:after="0" w:line="240" w:lineRule="auto"/>
              <w:jc w:val="left"/>
              <w:rPr>
                <w:rFonts w:asciiTheme="minorHAnsi" w:hAnsiTheme="minorHAnsi" w:cstheme="minorHAnsi"/>
                <w:sz w:val="22"/>
                <w:lang w:eastAsia="fr-FR" w:bidi="ar-SA"/>
              </w:rPr>
            </w:pPr>
          </w:p>
        </w:tc>
        <w:tc>
          <w:tcPr>
            <w:tcW w:w="0" w:type="auto"/>
            <w:tcBorders>
              <w:top w:val="single" w:sz="4" w:space="0" w:color="B4C6E7"/>
              <w:left w:val="single" w:sz="4" w:space="0" w:color="B4C6E7"/>
              <w:bottom w:val="single" w:sz="4" w:space="0" w:color="B4C6E7"/>
              <w:right w:val="single" w:sz="4" w:space="0" w:color="B4C6E7"/>
            </w:tcBorders>
            <w:hideMark/>
          </w:tcPr>
          <w:p w14:paraId="6C8F0A16" w14:textId="77777777" w:rsidR="00197DB3" w:rsidRDefault="00197DB3">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eastAsia="fr-FR" w:bidi="ar-SA"/>
              </w:rPr>
            </w:pPr>
            <w:r>
              <w:rPr>
                <w:rFonts w:asciiTheme="minorHAnsi" w:hAnsiTheme="minorHAnsi" w:cstheme="minorHAnsi"/>
                <w:lang w:eastAsia="fr-FR" w:bidi="ar-SA"/>
              </w:rPr>
              <w:t>Déchets dangereux</w:t>
            </w:r>
          </w:p>
        </w:tc>
        <w:tc>
          <w:tcPr>
            <w:tcW w:w="0" w:type="auto"/>
            <w:tcBorders>
              <w:top w:val="single" w:sz="4" w:space="0" w:color="B4C6E7"/>
              <w:left w:val="single" w:sz="4" w:space="0" w:color="B4C6E7"/>
              <w:bottom w:val="single" w:sz="4" w:space="0" w:color="B4C6E7"/>
              <w:right w:val="single" w:sz="4" w:space="0" w:color="B4C6E7"/>
            </w:tcBorders>
            <w:hideMark/>
          </w:tcPr>
          <w:p w14:paraId="4682ECFF" w14:textId="77777777" w:rsidR="00197DB3" w:rsidRDefault="00197DB3">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eastAsia="fr-FR" w:bidi="ar-SA"/>
              </w:rPr>
            </w:pPr>
            <w:r>
              <w:rPr>
                <w:rFonts w:asciiTheme="minorHAnsi" w:hAnsiTheme="minorHAnsi" w:cstheme="minorHAnsi"/>
                <w:lang w:eastAsia="fr-FR" w:bidi="ar-SA"/>
              </w:rPr>
              <w:t>Collecte et traitement spécialisé</w:t>
            </w:r>
          </w:p>
        </w:tc>
        <w:tc>
          <w:tcPr>
            <w:tcW w:w="0" w:type="auto"/>
            <w:tcBorders>
              <w:top w:val="single" w:sz="4" w:space="0" w:color="B4C6E7"/>
              <w:left w:val="single" w:sz="4" w:space="0" w:color="B4C6E7"/>
              <w:bottom w:val="single" w:sz="4" w:space="0" w:color="B4C6E7"/>
              <w:right w:val="single" w:sz="4" w:space="0" w:color="B4C6E7"/>
            </w:tcBorders>
            <w:hideMark/>
          </w:tcPr>
          <w:p w14:paraId="27CAC7FB" w14:textId="77777777" w:rsidR="00197DB3" w:rsidRDefault="00197DB3">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eastAsia="fr-FR" w:bidi="ar-SA"/>
              </w:rPr>
            </w:pPr>
            <w:r>
              <w:rPr>
                <w:rFonts w:asciiTheme="minorHAnsi" w:hAnsiTheme="minorHAnsi" w:cstheme="minorHAnsi"/>
                <w:lang w:eastAsia="fr-FR" w:bidi="ar-SA"/>
              </w:rPr>
              <w:t>100 000</w:t>
            </w:r>
          </w:p>
        </w:tc>
        <w:tc>
          <w:tcPr>
            <w:tcW w:w="0" w:type="auto"/>
            <w:tcBorders>
              <w:top w:val="single" w:sz="4" w:space="0" w:color="B4C6E7"/>
              <w:left w:val="single" w:sz="4" w:space="0" w:color="B4C6E7"/>
              <w:bottom w:val="single" w:sz="4" w:space="0" w:color="B4C6E7"/>
              <w:right w:val="single" w:sz="4" w:space="0" w:color="B4C6E7"/>
            </w:tcBorders>
            <w:hideMark/>
          </w:tcPr>
          <w:p w14:paraId="2966BDC1" w14:textId="77777777" w:rsidR="00197DB3" w:rsidRDefault="00197DB3">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eastAsia="fr-FR" w:bidi="ar-SA"/>
              </w:rPr>
            </w:pPr>
            <w:r>
              <w:rPr>
                <w:rFonts w:asciiTheme="minorHAnsi" w:hAnsiTheme="minorHAnsi" w:cstheme="minorHAnsi"/>
                <w:lang w:eastAsia="fr-FR" w:bidi="ar-SA"/>
              </w:rPr>
              <w:t>EPC</w:t>
            </w:r>
          </w:p>
        </w:tc>
      </w:tr>
      <w:tr w:rsidR="00197DB3" w14:paraId="37C07148" w14:textId="77777777" w:rsidTr="00197DB3">
        <w:tc>
          <w:tcPr>
            <w:cnfStyle w:val="001000000000" w:firstRow="0" w:lastRow="0" w:firstColumn="1" w:lastColumn="0" w:oddVBand="0" w:evenVBand="0" w:oddHBand="0" w:evenHBand="0" w:firstRowFirstColumn="0" w:firstRowLastColumn="0" w:lastRowFirstColumn="0" w:lastRowLastColumn="0"/>
            <w:tcW w:w="0" w:type="auto"/>
            <w:vMerge w:val="restart"/>
            <w:tcBorders>
              <w:top w:val="single" w:sz="4" w:space="0" w:color="B4C6E7"/>
              <w:left w:val="single" w:sz="4" w:space="0" w:color="B4C6E7"/>
              <w:bottom w:val="single" w:sz="4" w:space="0" w:color="B4C6E7"/>
              <w:right w:val="single" w:sz="4" w:space="0" w:color="B4C6E7"/>
            </w:tcBorders>
            <w:vAlign w:val="center"/>
            <w:hideMark/>
          </w:tcPr>
          <w:p w14:paraId="078DBDD2" w14:textId="77777777" w:rsidR="00197DB3" w:rsidRDefault="00197DB3">
            <w:pPr>
              <w:spacing w:before="0" w:after="0" w:line="240" w:lineRule="auto"/>
              <w:jc w:val="center"/>
              <w:rPr>
                <w:rFonts w:asciiTheme="minorHAnsi" w:hAnsiTheme="minorHAnsi" w:cstheme="minorHAnsi"/>
                <w:lang w:eastAsia="fr-FR" w:bidi="ar-SA"/>
              </w:rPr>
            </w:pPr>
            <w:r>
              <w:rPr>
                <w:rFonts w:asciiTheme="minorHAnsi" w:hAnsiTheme="minorHAnsi" w:cstheme="minorHAnsi"/>
                <w:lang w:eastAsia="fr-FR" w:bidi="ar-SA"/>
              </w:rPr>
              <w:lastRenderedPageBreak/>
              <w:t>Équipements de suivi et contrôle</w:t>
            </w:r>
          </w:p>
        </w:tc>
        <w:tc>
          <w:tcPr>
            <w:tcW w:w="0" w:type="auto"/>
            <w:tcBorders>
              <w:top w:val="single" w:sz="4" w:space="0" w:color="B4C6E7"/>
              <w:left w:val="single" w:sz="4" w:space="0" w:color="B4C6E7"/>
              <w:bottom w:val="single" w:sz="4" w:space="0" w:color="B4C6E7"/>
              <w:right w:val="single" w:sz="4" w:space="0" w:color="B4C6E7"/>
            </w:tcBorders>
            <w:hideMark/>
          </w:tcPr>
          <w:p w14:paraId="63B7DA28" w14:textId="77777777" w:rsidR="00197DB3" w:rsidRDefault="00197DB3">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eastAsia="fr-FR" w:bidi="ar-SA"/>
              </w:rPr>
            </w:pPr>
            <w:r>
              <w:rPr>
                <w:rFonts w:asciiTheme="minorHAnsi" w:hAnsiTheme="minorHAnsi" w:cstheme="minorHAnsi"/>
                <w:lang w:eastAsia="fr-FR" w:bidi="ar-SA"/>
              </w:rPr>
              <w:t>Appareil de mesure de poussières</w:t>
            </w:r>
          </w:p>
        </w:tc>
        <w:tc>
          <w:tcPr>
            <w:tcW w:w="0" w:type="auto"/>
            <w:tcBorders>
              <w:top w:val="single" w:sz="4" w:space="0" w:color="B4C6E7"/>
              <w:left w:val="single" w:sz="4" w:space="0" w:color="B4C6E7"/>
              <w:bottom w:val="single" w:sz="4" w:space="0" w:color="B4C6E7"/>
              <w:right w:val="single" w:sz="4" w:space="0" w:color="B4C6E7"/>
            </w:tcBorders>
            <w:hideMark/>
          </w:tcPr>
          <w:p w14:paraId="1F392B91" w14:textId="77777777" w:rsidR="00197DB3" w:rsidRDefault="00197DB3">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eastAsia="fr-FR" w:bidi="ar-SA"/>
              </w:rPr>
            </w:pPr>
            <w:r>
              <w:rPr>
                <w:rFonts w:asciiTheme="minorHAnsi" w:hAnsiTheme="minorHAnsi" w:cstheme="minorHAnsi"/>
                <w:lang w:eastAsia="fr-FR" w:bidi="ar-SA"/>
              </w:rPr>
              <w:t>Contrôle de la qualité de l’air</w:t>
            </w:r>
          </w:p>
        </w:tc>
        <w:tc>
          <w:tcPr>
            <w:tcW w:w="0" w:type="auto"/>
            <w:tcBorders>
              <w:top w:val="single" w:sz="4" w:space="0" w:color="B4C6E7"/>
              <w:left w:val="single" w:sz="4" w:space="0" w:color="B4C6E7"/>
              <w:bottom w:val="single" w:sz="4" w:space="0" w:color="B4C6E7"/>
              <w:right w:val="single" w:sz="4" w:space="0" w:color="B4C6E7"/>
            </w:tcBorders>
            <w:hideMark/>
          </w:tcPr>
          <w:p w14:paraId="6F4916E4" w14:textId="77777777" w:rsidR="00197DB3" w:rsidRDefault="00197DB3">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eastAsia="fr-FR" w:bidi="ar-SA"/>
              </w:rPr>
            </w:pPr>
            <w:r>
              <w:rPr>
                <w:rFonts w:asciiTheme="minorHAnsi" w:hAnsiTheme="minorHAnsi" w:cstheme="minorHAnsi"/>
                <w:lang w:eastAsia="fr-FR" w:bidi="ar-SA"/>
              </w:rPr>
              <w:t>2 000</w:t>
            </w:r>
          </w:p>
        </w:tc>
        <w:tc>
          <w:tcPr>
            <w:tcW w:w="0" w:type="auto"/>
            <w:tcBorders>
              <w:top w:val="single" w:sz="4" w:space="0" w:color="B4C6E7"/>
              <w:left w:val="single" w:sz="4" w:space="0" w:color="B4C6E7"/>
              <w:bottom w:val="single" w:sz="4" w:space="0" w:color="B4C6E7"/>
              <w:right w:val="single" w:sz="4" w:space="0" w:color="B4C6E7"/>
            </w:tcBorders>
            <w:hideMark/>
          </w:tcPr>
          <w:p w14:paraId="62001207" w14:textId="77777777" w:rsidR="00197DB3" w:rsidRDefault="00197DB3">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eastAsia="fr-FR" w:bidi="ar-SA"/>
              </w:rPr>
            </w:pPr>
            <w:r>
              <w:rPr>
                <w:rFonts w:asciiTheme="minorHAnsi" w:hAnsiTheme="minorHAnsi" w:cstheme="minorHAnsi"/>
                <w:lang w:eastAsia="fr-FR" w:bidi="ar-SA"/>
              </w:rPr>
              <w:t>EPC</w:t>
            </w:r>
          </w:p>
        </w:tc>
      </w:tr>
      <w:tr w:rsidR="00197DB3" w14:paraId="3C1CF3DF" w14:textId="77777777" w:rsidTr="00197DB3">
        <w:tc>
          <w:tcPr>
            <w:cnfStyle w:val="001000000000" w:firstRow="0" w:lastRow="0" w:firstColumn="1" w:lastColumn="0" w:oddVBand="0" w:evenVBand="0" w:oddHBand="0" w:evenHBand="0" w:firstRowFirstColumn="0" w:firstRowLastColumn="0" w:lastRowFirstColumn="0" w:lastRowLastColumn="0"/>
            <w:tcW w:w="0" w:type="auto"/>
            <w:vMerge/>
            <w:tcBorders>
              <w:top w:val="single" w:sz="4" w:space="0" w:color="B4C6E7"/>
              <w:left w:val="single" w:sz="4" w:space="0" w:color="B4C6E7"/>
              <w:bottom w:val="single" w:sz="4" w:space="0" w:color="B4C6E7"/>
              <w:right w:val="single" w:sz="4" w:space="0" w:color="B4C6E7"/>
            </w:tcBorders>
            <w:vAlign w:val="center"/>
            <w:hideMark/>
          </w:tcPr>
          <w:p w14:paraId="6CC6AFB8" w14:textId="77777777" w:rsidR="00197DB3" w:rsidRDefault="00197DB3">
            <w:pPr>
              <w:spacing w:before="0" w:after="0" w:line="240" w:lineRule="auto"/>
              <w:jc w:val="left"/>
              <w:rPr>
                <w:rFonts w:asciiTheme="minorHAnsi" w:hAnsiTheme="minorHAnsi" w:cstheme="minorHAnsi"/>
                <w:sz w:val="22"/>
                <w:lang w:eastAsia="fr-FR" w:bidi="ar-SA"/>
              </w:rPr>
            </w:pPr>
          </w:p>
        </w:tc>
        <w:tc>
          <w:tcPr>
            <w:tcW w:w="0" w:type="auto"/>
            <w:tcBorders>
              <w:top w:val="single" w:sz="4" w:space="0" w:color="B4C6E7"/>
              <w:left w:val="single" w:sz="4" w:space="0" w:color="B4C6E7"/>
              <w:bottom w:val="single" w:sz="4" w:space="0" w:color="B4C6E7"/>
              <w:right w:val="single" w:sz="4" w:space="0" w:color="B4C6E7"/>
            </w:tcBorders>
            <w:hideMark/>
          </w:tcPr>
          <w:p w14:paraId="1D501A82" w14:textId="77777777" w:rsidR="00197DB3" w:rsidRDefault="00197DB3">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eastAsia="fr-FR" w:bidi="ar-SA"/>
              </w:rPr>
            </w:pPr>
            <w:r>
              <w:rPr>
                <w:rFonts w:asciiTheme="minorHAnsi" w:hAnsiTheme="minorHAnsi" w:cstheme="minorHAnsi"/>
                <w:lang w:eastAsia="fr-FR" w:bidi="ar-SA"/>
              </w:rPr>
              <w:t>Sonomètre</w:t>
            </w:r>
          </w:p>
        </w:tc>
        <w:tc>
          <w:tcPr>
            <w:tcW w:w="0" w:type="auto"/>
            <w:tcBorders>
              <w:top w:val="single" w:sz="4" w:space="0" w:color="B4C6E7"/>
              <w:left w:val="single" w:sz="4" w:space="0" w:color="B4C6E7"/>
              <w:bottom w:val="single" w:sz="4" w:space="0" w:color="B4C6E7"/>
              <w:right w:val="single" w:sz="4" w:space="0" w:color="B4C6E7"/>
            </w:tcBorders>
            <w:hideMark/>
          </w:tcPr>
          <w:p w14:paraId="2515C006" w14:textId="77777777" w:rsidR="00197DB3" w:rsidRDefault="00197DB3">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eastAsia="fr-FR" w:bidi="ar-SA"/>
              </w:rPr>
            </w:pPr>
            <w:r>
              <w:rPr>
                <w:rFonts w:asciiTheme="minorHAnsi" w:hAnsiTheme="minorHAnsi" w:cstheme="minorHAnsi"/>
                <w:lang w:eastAsia="fr-FR" w:bidi="ar-SA"/>
              </w:rPr>
              <w:t>Contrôle du niveau sonore</w:t>
            </w:r>
          </w:p>
        </w:tc>
        <w:tc>
          <w:tcPr>
            <w:tcW w:w="0" w:type="auto"/>
            <w:tcBorders>
              <w:top w:val="single" w:sz="4" w:space="0" w:color="B4C6E7"/>
              <w:left w:val="single" w:sz="4" w:space="0" w:color="B4C6E7"/>
              <w:bottom w:val="single" w:sz="4" w:space="0" w:color="B4C6E7"/>
              <w:right w:val="single" w:sz="4" w:space="0" w:color="B4C6E7"/>
            </w:tcBorders>
            <w:hideMark/>
          </w:tcPr>
          <w:p w14:paraId="4E747501" w14:textId="77777777" w:rsidR="00197DB3" w:rsidRDefault="00197DB3">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eastAsia="fr-FR" w:bidi="ar-SA"/>
              </w:rPr>
            </w:pPr>
            <w:r>
              <w:rPr>
                <w:rFonts w:asciiTheme="minorHAnsi" w:hAnsiTheme="minorHAnsi" w:cstheme="minorHAnsi"/>
                <w:lang w:eastAsia="fr-FR" w:bidi="ar-SA"/>
              </w:rPr>
              <w:t>5 000</w:t>
            </w:r>
          </w:p>
        </w:tc>
        <w:tc>
          <w:tcPr>
            <w:tcW w:w="0" w:type="auto"/>
            <w:tcBorders>
              <w:top w:val="single" w:sz="4" w:space="0" w:color="B4C6E7"/>
              <w:left w:val="single" w:sz="4" w:space="0" w:color="B4C6E7"/>
              <w:bottom w:val="single" w:sz="4" w:space="0" w:color="B4C6E7"/>
              <w:right w:val="single" w:sz="4" w:space="0" w:color="B4C6E7"/>
            </w:tcBorders>
            <w:hideMark/>
          </w:tcPr>
          <w:p w14:paraId="64B9847F" w14:textId="77777777" w:rsidR="00197DB3" w:rsidRDefault="00197DB3">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eastAsia="fr-FR" w:bidi="ar-SA"/>
              </w:rPr>
            </w:pPr>
            <w:r>
              <w:rPr>
                <w:rFonts w:asciiTheme="minorHAnsi" w:hAnsiTheme="minorHAnsi" w:cstheme="minorHAnsi"/>
                <w:lang w:eastAsia="fr-FR" w:bidi="ar-SA"/>
              </w:rPr>
              <w:t>EPC</w:t>
            </w:r>
          </w:p>
        </w:tc>
      </w:tr>
      <w:tr w:rsidR="00197DB3" w14:paraId="30B88B4A" w14:textId="77777777" w:rsidTr="00197DB3">
        <w:tc>
          <w:tcPr>
            <w:cnfStyle w:val="001000000000" w:firstRow="0" w:lastRow="0" w:firstColumn="1" w:lastColumn="0" w:oddVBand="0" w:evenVBand="0" w:oddHBand="0" w:evenHBand="0" w:firstRowFirstColumn="0" w:firstRowLastColumn="0" w:lastRowFirstColumn="0" w:lastRowLastColumn="0"/>
            <w:tcW w:w="0" w:type="auto"/>
            <w:vMerge/>
            <w:tcBorders>
              <w:top w:val="single" w:sz="4" w:space="0" w:color="B4C6E7"/>
              <w:left w:val="single" w:sz="4" w:space="0" w:color="B4C6E7"/>
              <w:bottom w:val="single" w:sz="4" w:space="0" w:color="B4C6E7"/>
              <w:right w:val="single" w:sz="4" w:space="0" w:color="B4C6E7"/>
            </w:tcBorders>
            <w:vAlign w:val="center"/>
            <w:hideMark/>
          </w:tcPr>
          <w:p w14:paraId="3DC495E4" w14:textId="77777777" w:rsidR="00197DB3" w:rsidRDefault="00197DB3">
            <w:pPr>
              <w:spacing w:before="0" w:after="0" w:line="240" w:lineRule="auto"/>
              <w:jc w:val="left"/>
              <w:rPr>
                <w:rFonts w:asciiTheme="minorHAnsi" w:hAnsiTheme="minorHAnsi" w:cstheme="minorHAnsi"/>
                <w:sz w:val="22"/>
                <w:lang w:eastAsia="fr-FR" w:bidi="ar-SA"/>
              </w:rPr>
            </w:pPr>
          </w:p>
        </w:tc>
        <w:tc>
          <w:tcPr>
            <w:tcW w:w="0" w:type="auto"/>
            <w:tcBorders>
              <w:top w:val="single" w:sz="4" w:space="0" w:color="B4C6E7"/>
              <w:left w:val="single" w:sz="4" w:space="0" w:color="B4C6E7"/>
              <w:bottom w:val="single" w:sz="4" w:space="0" w:color="B4C6E7"/>
              <w:right w:val="single" w:sz="4" w:space="0" w:color="B4C6E7"/>
            </w:tcBorders>
            <w:hideMark/>
          </w:tcPr>
          <w:p w14:paraId="39B72A8A" w14:textId="77777777" w:rsidR="00197DB3" w:rsidRDefault="00197DB3">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eastAsia="fr-FR" w:bidi="ar-SA"/>
              </w:rPr>
            </w:pPr>
            <w:r>
              <w:rPr>
                <w:rFonts w:asciiTheme="minorHAnsi" w:hAnsiTheme="minorHAnsi" w:cstheme="minorHAnsi"/>
                <w:lang w:eastAsia="fr-FR" w:bidi="ar-SA"/>
              </w:rPr>
              <w:t>Kits d’urgence HSE</w:t>
            </w:r>
          </w:p>
        </w:tc>
        <w:tc>
          <w:tcPr>
            <w:tcW w:w="0" w:type="auto"/>
            <w:tcBorders>
              <w:top w:val="single" w:sz="4" w:space="0" w:color="B4C6E7"/>
              <w:left w:val="single" w:sz="4" w:space="0" w:color="B4C6E7"/>
              <w:bottom w:val="single" w:sz="4" w:space="0" w:color="B4C6E7"/>
              <w:right w:val="single" w:sz="4" w:space="0" w:color="B4C6E7"/>
            </w:tcBorders>
            <w:hideMark/>
          </w:tcPr>
          <w:p w14:paraId="42E7BA63" w14:textId="77777777" w:rsidR="00197DB3" w:rsidRDefault="00197DB3">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eastAsia="fr-FR" w:bidi="ar-SA"/>
              </w:rPr>
            </w:pPr>
            <w:r>
              <w:rPr>
                <w:rFonts w:asciiTheme="minorHAnsi" w:hAnsiTheme="minorHAnsi" w:cstheme="minorHAnsi"/>
                <w:lang w:eastAsia="fr-FR" w:bidi="ar-SA"/>
              </w:rPr>
              <w:t>Absorbants, barrières anti-pollution</w:t>
            </w:r>
          </w:p>
        </w:tc>
        <w:tc>
          <w:tcPr>
            <w:tcW w:w="0" w:type="auto"/>
            <w:tcBorders>
              <w:top w:val="single" w:sz="4" w:space="0" w:color="B4C6E7"/>
              <w:left w:val="single" w:sz="4" w:space="0" w:color="B4C6E7"/>
              <w:bottom w:val="single" w:sz="4" w:space="0" w:color="B4C6E7"/>
              <w:right w:val="single" w:sz="4" w:space="0" w:color="B4C6E7"/>
            </w:tcBorders>
            <w:hideMark/>
          </w:tcPr>
          <w:p w14:paraId="4EE64207" w14:textId="77777777" w:rsidR="00197DB3" w:rsidRDefault="00197DB3">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eastAsia="fr-FR" w:bidi="ar-SA"/>
              </w:rPr>
            </w:pPr>
            <w:r>
              <w:rPr>
                <w:rFonts w:asciiTheme="minorHAnsi" w:hAnsiTheme="minorHAnsi" w:cstheme="minorHAnsi"/>
                <w:lang w:eastAsia="fr-FR" w:bidi="ar-SA"/>
              </w:rPr>
              <w:t>8 000</w:t>
            </w:r>
          </w:p>
        </w:tc>
        <w:tc>
          <w:tcPr>
            <w:tcW w:w="0" w:type="auto"/>
            <w:tcBorders>
              <w:top w:val="single" w:sz="4" w:space="0" w:color="B4C6E7"/>
              <w:left w:val="single" w:sz="4" w:space="0" w:color="B4C6E7"/>
              <w:bottom w:val="single" w:sz="4" w:space="0" w:color="B4C6E7"/>
              <w:right w:val="single" w:sz="4" w:space="0" w:color="B4C6E7"/>
            </w:tcBorders>
            <w:hideMark/>
          </w:tcPr>
          <w:p w14:paraId="727FED1E" w14:textId="77777777" w:rsidR="00197DB3" w:rsidRDefault="00197DB3">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eastAsia="fr-FR" w:bidi="ar-SA"/>
              </w:rPr>
            </w:pPr>
            <w:r>
              <w:rPr>
                <w:rFonts w:asciiTheme="minorHAnsi" w:hAnsiTheme="minorHAnsi" w:cstheme="minorHAnsi"/>
                <w:lang w:eastAsia="fr-FR" w:bidi="ar-SA"/>
              </w:rPr>
              <w:t>EPC</w:t>
            </w:r>
          </w:p>
        </w:tc>
      </w:tr>
      <w:tr w:rsidR="00197DB3" w14:paraId="7014A85F" w14:textId="77777777" w:rsidTr="00197DB3">
        <w:tc>
          <w:tcPr>
            <w:cnfStyle w:val="001000000000" w:firstRow="0" w:lastRow="0" w:firstColumn="1" w:lastColumn="0" w:oddVBand="0" w:evenVBand="0" w:oddHBand="0" w:evenHBand="0" w:firstRowFirstColumn="0" w:firstRowLastColumn="0" w:lastRowFirstColumn="0" w:lastRowLastColumn="0"/>
            <w:tcW w:w="0" w:type="auto"/>
            <w:vMerge/>
            <w:tcBorders>
              <w:top w:val="single" w:sz="4" w:space="0" w:color="B4C6E7"/>
              <w:left w:val="single" w:sz="4" w:space="0" w:color="B4C6E7"/>
              <w:bottom w:val="single" w:sz="4" w:space="0" w:color="B4C6E7"/>
              <w:right w:val="single" w:sz="4" w:space="0" w:color="B4C6E7"/>
            </w:tcBorders>
            <w:vAlign w:val="center"/>
            <w:hideMark/>
          </w:tcPr>
          <w:p w14:paraId="32C4653C" w14:textId="77777777" w:rsidR="00197DB3" w:rsidRDefault="00197DB3">
            <w:pPr>
              <w:spacing w:before="0" w:after="0" w:line="240" w:lineRule="auto"/>
              <w:jc w:val="left"/>
              <w:rPr>
                <w:rFonts w:asciiTheme="minorHAnsi" w:hAnsiTheme="minorHAnsi" w:cstheme="minorHAnsi"/>
                <w:sz w:val="22"/>
                <w:lang w:eastAsia="fr-FR" w:bidi="ar-SA"/>
              </w:rPr>
            </w:pPr>
          </w:p>
        </w:tc>
        <w:tc>
          <w:tcPr>
            <w:tcW w:w="0" w:type="auto"/>
            <w:tcBorders>
              <w:top w:val="single" w:sz="4" w:space="0" w:color="B4C6E7"/>
              <w:left w:val="single" w:sz="4" w:space="0" w:color="B4C6E7"/>
              <w:bottom w:val="single" w:sz="4" w:space="0" w:color="B4C6E7"/>
              <w:right w:val="single" w:sz="4" w:space="0" w:color="B4C6E7"/>
            </w:tcBorders>
            <w:hideMark/>
          </w:tcPr>
          <w:p w14:paraId="336C6FFC" w14:textId="77777777" w:rsidR="00197DB3" w:rsidRDefault="00197DB3">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eastAsia="fr-FR" w:bidi="ar-SA"/>
              </w:rPr>
            </w:pPr>
            <w:r>
              <w:rPr>
                <w:rFonts w:asciiTheme="minorHAnsi" w:hAnsiTheme="minorHAnsi" w:cstheme="minorHAnsi"/>
                <w:lang w:eastAsia="fr-FR" w:bidi="ar-SA"/>
              </w:rPr>
              <w:t>Latrines chimiques</w:t>
            </w:r>
          </w:p>
        </w:tc>
        <w:tc>
          <w:tcPr>
            <w:tcW w:w="0" w:type="auto"/>
            <w:tcBorders>
              <w:top w:val="single" w:sz="4" w:space="0" w:color="B4C6E7"/>
              <w:left w:val="single" w:sz="4" w:space="0" w:color="B4C6E7"/>
              <w:bottom w:val="single" w:sz="4" w:space="0" w:color="B4C6E7"/>
              <w:right w:val="single" w:sz="4" w:space="0" w:color="B4C6E7"/>
            </w:tcBorders>
            <w:hideMark/>
          </w:tcPr>
          <w:p w14:paraId="6210F16F" w14:textId="77777777" w:rsidR="00197DB3" w:rsidRDefault="00197DB3">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eastAsia="fr-FR" w:bidi="ar-SA"/>
              </w:rPr>
            </w:pPr>
            <w:r>
              <w:rPr>
                <w:rFonts w:asciiTheme="minorHAnsi" w:hAnsiTheme="minorHAnsi" w:cstheme="minorHAnsi"/>
                <w:lang w:eastAsia="fr-FR" w:bidi="ar-SA"/>
              </w:rPr>
              <w:t>Installation sur site</w:t>
            </w:r>
          </w:p>
        </w:tc>
        <w:tc>
          <w:tcPr>
            <w:tcW w:w="0" w:type="auto"/>
            <w:tcBorders>
              <w:top w:val="single" w:sz="4" w:space="0" w:color="B4C6E7"/>
              <w:left w:val="single" w:sz="4" w:space="0" w:color="B4C6E7"/>
              <w:bottom w:val="single" w:sz="4" w:space="0" w:color="B4C6E7"/>
              <w:right w:val="single" w:sz="4" w:space="0" w:color="B4C6E7"/>
            </w:tcBorders>
            <w:hideMark/>
          </w:tcPr>
          <w:p w14:paraId="3F0B15D4" w14:textId="77777777" w:rsidR="00197DB3" w:rsidRDefault="00197DB3">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eastAsia="fr-FR" w:bidi="ar-SA"/>
              </w:rPr>
            </w:pPr>
            <w:r>
              <w:rPr>
                <w:rFonts w:asciiTheme="minorHAnsi" w:hAnsiTheme="minorHAnsi" w:cstheme="minorHAnsi"/>
                <w:lang w:eastAsia="fr-FR" w:bidi="ar-SA"/>
              </w:rPr>
              <w:t>20 000</w:t>
            </w:r>
          </w:p>
        </w:tc>
        <w:tc>
          <w:tcPr>
            <w:tcW w:w="0" w:type="auto"/>
            <w:tcBorders>
              <w:top w:val="single" w:sz="4" w:space="0" w:color="B4C6E7"/>
              <w:left w:val="single" w:sz="4" w:space="0" w:color="B4C6E7"/>
              <w:bottom w:val="single" w:sz="4" w:space="0" w:color="B4C6E7"/>
              <w:right w:val="single" w:sz="4" w:space="0" w:color="B4C6E7"/>
            </w:tcBorders>
            <w:hideMark/>
          </w:tcPr>
          <w:p w14:paraId="27512C13" w14:textId="77777777" w:rsidR="00197DB3" w:rsidRDefault="00197DB3">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eastAsia="fr-FR" w:bidi="ar-SA"/>
              </w:rPr>
            </w:pPr>
            <w:r>
              <w:rPr>
                <w:rFonts w:asciiTheme="minorHAnsi" w:hAnsiTheme="minorHAnsi" w:cstheme="minorHAnsi"/>
                <w:lang w:eastAsia="fr-FR" w:bidi="ar-SA"/>
              </w:rPr>
              <w:t>EPC</w:t>
            </w:r>
          </w:p>
        </w:tc>
      </w:tr>
      <w:tr w:rsidR="00197DB3" w14:paraId="4545830A" w14:textId="77777777" w:rsidTr="00197DB3">
        <w:tc>
          <w:tcPr>
            <w:cnfStyle w:val="001000000000" w:firstRow="0" w:lastRow="0" w:firstColumn="1" w:lastColumn="0" w:oddVBand="0" w:evenVBand="0" w:oddHBand="0" w:evenHBand="0" w:firstRowFirstColumn="0" w:firstRowLastColumn="0" w:lastRowFirstColumn="0" w:lastRowLastColumn="0"/>
            <w:tcW w:w="0" w:type="auto"/>
            <w:vMerge/>
            <w:tcBorders>
              <w:top w:val="single" w:sz="4" w:space="0" w:color="B4C6E7"/>
              <w:left w:val="single" w:sz="4" w:space="0" w:color="B4C6E7"/>
              <w:bottom w:val="single" w:sz="4" w:space="0" w:color="B4C6E7"/>
              <w:right w:val="single" w:sz="4" w:space="0" w:color="B4C6E7"/>
            </w:tcBorders>
            <w:vAlign w:val="center"/>
            <w:hideMark/>
          </w:tcPr>
          <w:p w14:paraId="638C2BB0" w14:textId="77777777" w:rsidR="00197DB3" w:rsidRDefault="00197DB3">
            <w:pPr>
              <w:spacing w:before="0" w:after="0" w:line="240" w:lineRule="auto"/>
              <w:jc w:val="left"/>
              <w:rPr>
                <w:rFonts w:asciiTheme="minorHAnsi" w:hAnsiTheme="minorHAnsi" w:cstheme="minorHAnsi"/>
                <w:sz w:val="22"/>
                <w:lang w:eastAsia="fr-FR" w:bidi="ar-SA"/>
              </w:rPr>
            </w:pPr>
          </w:p>
        </w:tc>
        <w:tc>
          <w:tcPr>
            <w:tcW w:w="0" w:type="auto"/>
            <w:tcBorders>
              <w:top w:val="single" w:sz="4" w:space="0" w:color="B4C6E7"/>
              <w:left w:val="single" w:sz="4" w:space="0" w:color="B4C6E7"/>
              <w:bottom w:val="single" w:sz="4" w:space="0" w:color="B4C6E7"/>
              <w:right w:val="single" w:sz="4" w:space="0" w:color="B4C6E7"/>
            </w:tcBorders>
            <w:hideMark/>
          </w:tcPr>
          <w:p w14:paraId="1374DD6D" w14:textId="77777777" w:rsidR="00197DB3" w:rsidRDefault="00197DB3">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eastAsia="fr-FR" w:bidi="ar-SA"/>
              </w:rPr>
            </w:pPr>
            <w:r>
              <w:rPr>
                <w:rFonts w:asciiTheme="minorHAnsi" w:hAnsiTheme="minorHAnsi" w:cstheme="minorHAnsi"/>
                <w:lang w:eastAsia="fr-FR" w:bidi="ar-SA"/>
              </w:rPr>
              <w:t>Vidange latrines</w:t>
            </w:r>
          </w:p>
        </w:tc>
        <w:tc>
          <w:tcPr>
            <w:tcW w:w="0" w:type="auto"/>
            <w:tcBorders>
              <w:top w:val="single" w:sz="4" w:space="0" w:color="B4C6E7"/>
              <w:left w:val="single" w:sz="4" w:space="0" w:color="B4C6E7"/>
              <w:bottom w:val="single" w:sz="4" w:space="0" w:color="B4C6E7"/>
              <w:right w:val="single" w:sz="4" w:space="0" w:color="B4C6E7"/>
            </w:tcBorders>
            <w:hideMark/>
          </w:tcPr>
          <w:p w14:paraId="055F53F3" w14:textId="77777777" w:rsidR="00197DB3" w:rsidRDefault="00197DB3">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eastAsia="fr-FR" w:bidi="ar-SA"/>
              </w:rPr>
            </w:pPr>
            <w:r>
              <w:rPr>
                <w:rFonts w:asciiTheme="minorHAnsi" w:hAnsiTheme="minorHAnsi" w:cstheme="minorHAnsi"/>
                <w:lang w:eastAsia="fr-FR" w:bidi="ar-SA"/>
              </w:rPr>
              <w:t>Entretien hebdomadaire</w:t>
            </w:r>
          </w:p>
        </w:tc>
        <w:tc>
          <w:tcPr>
            <w:tcW w:w="0" w:type="auto"/>
            <w:tcBorders>
              <w:top w:val="single" w:sz="4" w:space="0" w:color="B4C6E7"/>
              <w:left w:val="single" w:sz="4" w:space="0" w:color="B4C6E7"/>
              <w:bottom w:val="single" w:sz="4" w:space="0" w:color="B4C6E7"/>
              <w:right w:val="single" w:sz="4" w:space="0" w:color="B4C6E7"/>
            </w:tcBorders>
            <w:hideMark/>
          </w:tcPr>
          <w:p w14:paraId="35245158" w14:textId="77777777" w:rsidR="00197DB3" w:rsidRDefault="00197DB3">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eastAsia="fr-FR" w:bidi="ar-SA"/>
              </w:rPr>
            </w:pPr>
            <w:r>
              <w:rPr>
                <w:rFonts w:asciiTheme="minorHAnsi" w:hAnsiTheme="minorHAnsi" w:cstheme="minorHAnsi"/>
                <w:lang w:eastAsia="fr-FR" w:bidi="ar-SA"/>
              </w:rPr>
              <w:t>5 000</w:t>
            </w:r>
          </w:p>
        </w:tc>
        <w:tc>
          <w:tcPr>
            <w:tcW w:w="0" w:type="auto"/>
            <w:tcBorders>
              <w:top w:val="single" w:sz="4" w:space="0" w:color="B4C6E7"/>
              <w:left w:val="single" w:sz="4" w:space="0" w:color="B4C6E7"/>
              <w:bottom w:val="single" w:sz="4" w:space="0" w:color="B4C6E7"/>
              <w:right w:val="single" w:sz="4" w:space="0" w:color="B4C6E7"/>
            </w:tcBorders>
            <w:hideMark/>
          </w:tcPr>
          <w:p w14:paraId="4D515C0F" w14:textId="77777777" w:rsidR="00197DB3" w:rsidRDefault="00197DB3">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eastAsia="fr-FR" w:bidi="ar-SA"/>
              </w:rPr>
            </w:pPr>
            <w:r>
              <w:rPr>
                <w:rFonts w:asciiTheme="minorHAnsi" w:hAnsiTheme="minorHAnsi" w:cstheme="minorHAnsi"/>
                <w:lang w:eastAsia="fr-FR" w:bidi="ar-SA"/>
              </w:rPr>
              <w:t>EPC</w:t>
            </w:r>
          </w:p>
        </w:tc>
      </w:tr>
      <w:tr w:rsidR="00197DB3" w14:paraId="36EF87B6" w14:textId="77777777" w:rsidTr="00197DB3">
        <w:tc>
          <w:tcPr>
            <w:cnfStyle w:val="001000000000" w:firstRow="0" w:lastRow="0" w:firstColumn="1" w:lastColumn="0" w:oddVBand="0" w:evenVBand="0" w:oddHBand="0" w:evenHBand="0" w:firstRowFirstColumn="0" w:firstRowLastColumn="0" w:lastRowFirstColumn="0" w:lastRowLastColumn="0"/>
            <w:tcW w:w="0" w:type="auto"/>
            <w:vMerge w:val="restart"/>
            <w:tcBorders>
              <w:top w:val="single" w:sz="4" w:space="0" w:color="B4C6E7"/>
              <w:left w:val="single" w:sz="4" w:space="0" w:color="B4C6E7"/>
              <w:bottom w:val="single" w:sz="4" w:space="0" w:color="B4C6E7"/>
              <w:right w:val="single" w:sz="4" w:space="0" w:color="B4C6E7"/>
            </w:tcBorders>
            <w:vAlign w:val="center"/>
            <w:hideMark/>
          </w:tcPr>
          <w:p w14:paraId="16C0FD70" w14:textId="77777777" w:rsidR="00197DB3" w:rsidRDefault="00197DB3">
            <w:pPr>
              <w:spacing w:before="0" w:after="0" w:line="240" w:lineRule="auto"/>
              <w:jc w:val="center"/>
              <w:rPr>
                <w:rFonts w:asciiTheme="minorHAnsi" w:hAnsiTheme="minorHAnsi" w:cstheme="minorHAnsi"/>
                <w:lang w:eastAsia="fr-FR" w:bidi="ar-SA"/>
              </w:rPr>
            </w:pPr>
            <w:r>
              <w:rPr>
                <w:rFonts w:asciiTheme="minorHAnsi" w:hAnsiTheme="minorHAnsi" w:cstheme="minorHAnsi"/>
                <w:lang w:eastAsia="fr-FR" w:bidi="ar-SA"/>
              </w:rPr>
              <w:t>Formations et sensibilisation</w:t>
            </w:r>
          </w:p>
        </w:tc>
        <w:tc>
          <w:tcPr>
            <w:tcW w:w="0" w:type="auto"/>
            <w:tcBorders>
              <w:top w:val="single" w:sz="4" w:space="0" w:color="B4C6E7"/>
              <w:left w:val="single" w:sz="4" w:space="0" w:color="B4C6E7"/>
              <w:bottom w:val="single" w:sz="4" w:space="0" w:color="B4C6E7"/>
              <w:right w:val="single" w:sz="4" w:space="0" w:color="B4C6E7"/>
            </w:tcBorders>
            <w:hideMark/>
          </w:tcPr>
          <w:p w14:paraId="04C76D42" w14:textId="77777777" w:rsidR="00197DB3" w:rsidRDefault="00197DB3">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eastAsia="fr-FR" w:bidi="ar-SA"/>
              </w:rPr>
            </w:pPr>
            <w:r>
              <w:rPr>
                <w:rFonts w:asciiTheme="minorHAnsi" w:hAnsiTheme="minorHAnsi" w:cstheme="minorHAnsi"/>
                <w:lang w:eastAsia="fr-FR" w:bidi="ar-SA"/>
              </w:rPr>
              <w:t>Santé, sécurité, premiers secours</w:t>
            </w:r>
          </w:p>
        </w:tc>
        <w:tc>
          <w:tcPr>
            <w:tcW w:w="0" w:type="auto"/>
            <w:tcBorders>
              <w:top w:val="single" w:sz="4" w:space="0" w:color="B4C6E7"/>
              <w:left w:val="single" w:sz="4" w:space="0" w:color="B4C6E7"/>
              <w:bottom w:val="single" w:sz="4" w:space="0" w:color="B4C6E7"/>
              <w:right w:val="single" w:sz="4" w:space="0" w:color="B4C6E7"/>
            </w:tcBorders>
            <w:hideMark/>
          </w:tcPr>
          <w:p w14:paraId="71B73FF6" w14:textId="77777777" w:rsidR="00197DB3" w:rsidRDefault="00197DB3">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eastAsia="fr-FR" w:bidi="ar-SA"/>
              </w:rPr>
            </w:pPr>
            <w:r>
              <w:rPr>
                <w:rFonts w:asciiTheme="minorHAnsi" w:hAnsiTheme="minorHAnsi" w:cstheme="minorHAnsi"/>
                <w:lang w:eastAsia="fr-FR" w:bidi="ar-SA"/>
              </w:rPr>
              <w:t>Formation trimestrielle</w:t>
            </w:r>
          </w:p>
        </w:tc>
        <w:tc>
          <w:tcPr>
            <w:tcW w:w="0" w:type="auto"/>
            <w:tcBorders>
              <w:top w:val="single" w:sz="4" w:space="0" w:color="B4C6E7"/>
              <w:left w:val="single" w:sz="4" w:space="0" w:color="B4C6E7"/>
              <w:bottom w:val="single" w:sz="4" w:space="0" w:color="B4C6E7"/>
              <w:right w:val="single" w:sz="4" w:space="0" w:color="B4C6E7"/>
            </w:tcBorders>
            <w:hideMark/>
          </w:tcPr>
          <w:p w14:paraId="1E1DA90B" w14:textId="77777777" w:rsidR="00197DB3" w:rsidRDefault="00197DB3">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eastAsia="fr-FR" w:bidi="ar-SA"/>
              </w:rPr>
            </w:pPr>
            <w:r>
              <w:rPr>
                <w:rFonts w:asciiTheme="minorHAnsi" w:hAnsiTheme="minorHAnsi" w:cstheme="minorHAnsi"/>
                <w:lang w:eastAsia="fr-FR" w:bidi="ar-SA"/>
              </w:rPr>
              <w:t>15 000</w:t>
            </w:r>
          </w:p>
        </w:tc>
        <w:tc>
          <w:tcPr>
            <w:tcW w:w="0" w:type="auto"/>
            <w:tcBorders>
              <w:top w:val="single" w:sz="4" w:space="0" w:color="B4C6E7"/>
              <w:left w:val="single" w:sz="4" w:space="0" w:color="B4C6E7"/>
              <w:bottom w:val="single" w:sz="4" w:space="0" w:color="B4C6E7"/>
              <w:right w:val="single" w:sz="4" w:space="0" w:color="B4C6E7"/>
            </w:tcBorders>
            <w:hideMark/>
          </w:tcPr>
          <w:p w14:paraId="72EADB64" w14:textId="77777777" w:rsidR="00197DB3" w:rsidRDefault="00197DB3">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eastAsia="fr-FR" w:bidi="ar-SA"/>
              </w:rPr>
            </w:pPr>
            <w:r>
              <w:rPr>
                <w:rFonts w:asciiTheme="minorHAnsi" w:hAnsiTheme="minorHAnsi" w:cstheme="minorHAnsi"/>
                <w:lang w:eastAsia="fr-FR" w:bidi="ar-SA"/>
              </w:rPr>
              <w:t>EPC</w:t>
            </w:r>
          </w:p>
        </w:tc>
      </w:tr>
      <w:tr w:rsidR="00197DB3" w14:paraId="031BE0BA" w14:textId="77777777" w:rsidTr="00197DB3">
        <w:tc>
          <w:tcPr>
            <w:cnfStyle w:val="001000000000" w:firstRow="0" w:lastRow="0" w:firstColumn="1" w:lastColumn="0" w:oddVBand="0" w:evenVBand="0" w:oddHBand="0" w:evenHBand="0" w:firstRowFirstColumn="0" w:firstRowLastColumn="0" w:lastRowFirstColumn="0" w:lastRowLastColumn="0"/>
            <w:tcW w:w="0" w:type="auto"/>
            <w:vMerge/>
            <w:tcBorders>
              <w:top w:val="single" w:sz="4" w:space="0" w:color="B4C6E7"/>
              <w:left w:val="single" w:sz="4" w:space="0" w:color="B4C6E7"/>
              <w:bottom w:val="single" w:sz="4" w:space="0" w:color="B4C6E7"/>
              <w:right w:val="single" w:sz="4" w:space="0" w:color="B4C6E7"/>
            </w:tcBorders>
            <w:vAlign w:val="center"/>
            <w:hideMark/>
          </w:tcPr>
          <w:p w14:paraId="1E3618AD" w14:textId="77777777" w:rsidR="00197DB3" w:rsidRDefault="00197DB3">
            <w:pPr>
              <w:spacing w:before="0" w:after="0" w:line="240" w:lineRule="auto"/>
              <w:jc w:val="left"/>
              <w:rPr>
                <w:rFonts w:asciiTheme="minorHAnsi" w:hAnsiTheme="minorHAnsi" w:cstheme="minorHAnsi"/>
                <w:sz w:val="22"/>
                <w:lang w:eastAsia="fr-FR" w:bidi="ar-SA"/>
              </w:rPr>
            </w:pPr>
          </w:p>
        </w:tc>
        <w:tc>
          <w:tcPr>
            <w:tcW w:w="0" w:type="auto"/>
            <w:tcBorders>
              <w:top w:val="single" w:sz="4" w:space="0" w:color="B4C6E7"/>
              <w:left w:val="single" w:sz="4" w:space="0" w:color="B4C6E7"/>
              <w:bottom w:val="single" w:sz="4" w:space="0" w:color="B4C6E7"/>
              <w:right w:val="single" w:sz="4" w:space="0" w:color="B4C6E7"/>
            </w:tcBorders>
            <w:hideMark/>
          </w:tcPr>
          <w:p w14:paraId="1C5D6A3C" w14:textId="77777777" w:rsidR="00197DB3" w:rsidRDefault="00197DB3">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eastAsia="fr-FR" w:bidi="ar-SA"/>
              </w:rPr>
            </w:pPr>
            <w:r>
              <w:rPr>
                <w:rFonts w:asciiTheme="minorHAnsi" w:hAnsiTheme="minorHAnsi" w:cstheme="minorHAnsi"/>
                <w:lang w:eastAsia="fr-FR" w:bidi="ar-SA"/>
              </w:rPr>
              <w:t>Gestion des déchets et matières dangereuses</w:t>
            </w:r>
          </w:p>
        </w:tc>
        <w:tc>
          <w:tcPr>
            <w:tcW w:w="0" w:type="auto"/>
            <w:tcBorders>
              <w:top w:val="single" w:sz="4" w:space="0" w:color="B4C6E7"/>
              <w:left w:val="single" w:sz="4" w:space="0" w:color="B4C6E7"/>
              <w:bottom w:val="single" w:sz="4" w:space="0" w:color="B4C6E7"/>
              <w:right w:val="single" w:sz="4" w:space="0" w:color="B4C6E7"/>
            </w:tcBorders>
            <w:hideMark/>
          </w:tcPr>
          <w:p w14:paraId="46C13AEA" w14:textId="77777777" w:rsidR="00197DB3" w:rsidRDefault="00197DB3">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eastAsia="fr-FR" w:bidi="ar-SA"/>
              </w:rPr>
            </w:pPr>
            <w:r>
              <w:rPr>
                <w:rFonts w:asciiTheme="minorHAnsi" w:hAnsiTheme="minorHAnsi" w:cstheme="minorHAnsi"/>
                <w:lang w:eastAsia="fr-FR" w:bidi="ar-SA"/>
              </w:rPr>
              <w:t>Formation semestrielle</w:t>
            </w:r>
          </w:p>
        </w:tc>
        <w:tc>
          <w:tcPr>
            <w:tcW w:w="0" w:type="auto"/>
            <w:tcBorders>
              <w:top w:val="single" w:sz="4" w:space="0" w:color="B4C6E7"/>
              <w:left w:val="single" w:sz="4" w:space="0" w:color="B4C6E7"/>
              <w:bottom w:val="single" w:sz="4" w:space="0" w:color="B4C6E7"/>
              <w:right w:val="single" w:sz="4" w:space="0" w:color="B4C6E7"/>
            </w:tcBorders>
            <w:hideMark/>
          </w:tcPr>
          <w:p w14:paraId="7DFE08E8" w14:textId="77777777" w:rsidR="00197DB3" w:rsidRDefault="00197DB3">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eastAsia="fr-FR" w:bidi="ar-SA"/>
              </w:rPr>
            </w:pPr>
            <w:r>
              <w:rPr>
                <w:rFonts w:asciiTheme="minorHAnsi" w:hAnsiTheme="minorHAnsi" w:cstheme="minorHAnsi"/>
                <w:lang w:eastAsia="fr-FR" w:bidi="ar-SA"/>
              </w:rPr>
              <w:t>10 000</w:t>
            </w:r>
          </w:p>
        </w:tc>
        <w:tc>
          <w:tcPr>
            <w:tcW w:w="0" w:type="auto"/>
            <w:tcBorders>
              <w:top w:val="single" w:sz="4" w:space="0" w:color="B4C6E7"/>
              <w:left w:val="single" w:sz="4" w:space="0" w:color="B4C6E7"/>
              <w:bottom w:val="single" w:sz="4" w:space="0" w:color="B4C6E7"/>
              <w:right w:val="single" w:sz="4" w:space="0" w:color="B4C6E7"/>
            </w:tcBorders>
            <w:hideMark/>
          </w:tcPr>
          <w:p w14:paraId="15A8ADAF" w14:textId="77777777" w:rsidR="00197DB3" w:rsidRDefault="00197DB3">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eastAsia="fr-FR" w:bidi="ar-SA"/>
              </w:rPr>
            </w:pPr>
            <w:r>
              <w:rPr>
                <w:rFonts w:asciiTheme="minorHAnsi" w:hAnsiTheme="minorHAnsi" w:cstheme="minorHAnsi"/>
                <w:lang w:eastAsia="fr-FR" w:bidi="ar-SA"/>
              </w:rPr>
              <w:t>EPC</w:t>
            </w:r>
          </w:p>
        </w:tc>
      </w:tr>
      <w:tr w:rsidR="00197DB3" w14:paraId="689454C0" w14:textId="77777777" w:rsidTr="00197DB3">
        <w:tc>
          <w:tcPr>
            <w:cnfStyle w:val="001000000000" w:firstRow="0" w:lastRow="0" w:firstColumn="1" w:lastColumn="0" w:oddVBand="0" w:evenVBand="0" w:oddHBand="0" w:evenHBand="0" w:firstRowFirstColumn="0" w:firstRowLastColumn="0" w:lastRowFirstColumn="0" w:lastRowLastColumn="0"/>
            <w:tcW w:w="0" w:type="auto"/>
            <w:vMerge/>
            <w:tcBorders>
              <w:top w:val="single" w:sz="4" w:space="0" w:color="B4C6E7"/>
              <w:left w:val="single" w:sz="4" w:space="0" w:color="B4C6E7"/>
              <w:bottom w:val="single" w:sz="4" w:space="0" w:color="B4C6E7"/>
              <w:right w:val="single" w:sz="4" w:space="0" w:color="B4C6E7"/>
            </w:tcBorders>
            <w:vAlign w:val="center"/>
            <w:hideMark/>
          </w:tcPr>
          <w:p w14:paraId="5F89045A" w14:textId="77777777" w:rsidR="00197DB3" w:rsidRDefault="00197DB3">
            <w:pPr>
              <w:spacing w:before="0" w:after="0" w:line="240" w:lineRule="auto"/>
              <w:jc w:val="left"/>
              <w:rPr>
                <w:rFonts w:asciiTheme="minorHAnsi" w:hAnsiTheme="minorHAnsi" w:cstheme="minorHAnsi"/>
                <w:sz w:val="22"/>
                <w:lang w:eastAsia="fr-FR" w:bidi="ar-SA"/>
              </w:rPr>
            </w:pPr>
          </w:p>
        </w:tc>
        <w:tc>
          <w:tcPr>
            <w:tcW w:w="0" w:type="auto"/>
            <w:tcBorders>
              <w:top w:val="single" w:sz="4" w:space="0" w:color="B4C6E7"/>
              <w:left w:val="single" w:sz="4" w:space="0" w:color="B4C6E7"/>
              <w:bottom w:val="single" w:sz="4" w:space="0" w:color="B4C6E7"/>
              <w:right w:val="single" w:sz="4" w:space="0" w:color="B4C6E7"/>
            </w:tcBorders>
            <w:hideMark/>
          </w:tcPr>
          <w:p w14:paraId="2678E729" w14:textId="77777777" w:rsidR="00197DB3" w:rsidRDefault="00197DB3">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eastAsia="fr-FR" w:bidi="ar-SA"/>
              </w:rPr>
            </w:pPr>
            <w:r>
              <w:rPr>
                <w:rFonts w:asciiTheme="minorHAnsi" w:hAnsiTheme="minorHAnsi" w:cstheme="minorHAnsi"/>
                <w:lang w:eastAsia="fr-FR" w:bidi="ar-SA"/>
              </w:rPr>
              <w:t>Prévention SEAH/VBG et Code de conduite</w:t>
            </w:r>
          </w:p>
        </w:tc>
        <w:tc>
          <w:tcPr>
            <w:tcW w:w="0" w:type="auto"/>
            <w:tcBorders>
              <w:top w:val="single" w:sz="4" w:space="0" w:color="B4C6E7"/>
              <w:left w:val="single" w:sz="4" w:space="0" w:color="B4C6E7"/>
              <w:bottom w:val="single" w:sz="4" w:space="0" w:color="B4C6E7"/>
              <w:right w:val="single" w:sz="4" w:space="0" w:color="B4C6E7"/>
            </w:tcBorders>
            <w:hideMark/>
          </w:tcPr>
          <w:p w14:paraId="0748E10C" w14:textId="77777777" w:rsidR="00197DB3" w:rsidRDefault="00197DB3">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eastAsia="fr-FR" w:bidi="ar-SA"/>
              </w:rPr>
            </w:pPr>
            <w:r>
              <w:rPr>
                <w:rFonts w:asciiTheme="minorHAnsi" w:hAnsiTheme="minorHAnsi" w:cstheme="minorHAnsi"/>
                <w:lang w:eastAsia="fr-FR" w:bidi="ar-SA"/>
              </w:rPr>
              <w:t>Sensibilisation interactive</w:t>
            </w:r>
          </w:p>
        </w:tc>
        <w:tc>
          <w:tcPr>
            <w:tcW w:w="0" w:type="auto"/>
            <w:tcBorders>
              <w:top w:val="single" w:sz="4" w:space="0" w:color="B4C6E7"/>
              <w:left w:val="single" w:sz="4" w:space="0" w:color="B4C6E7"/>
              <w:bottom w:val="single" w:sz="4" w:space="0" w:color="B4C6E7"/>
              <w:right w:val="single" w:sz="4" w:space="0" w:color="B4C6E7"/>
            </w:tcBorders>
            <w:hideMark/>
          </w:tcPr>
          <w:p w14:paraId="11EE31F9" w14:textId="77777777" w:rsidR="00197DB3" w:rsidRDefault="00197DB3">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eastAsia="fr-FR" w:bidi="ar-SA"/>
              </w:rPr>
            </w:pPr>
            <w:r>
              <w:rPr>
                <w:rFonts w:asciiTheme="minorHAnsi" w:hAnsiTheme="minorHAnsi" w:cstheme="minorHAnsi"/>
                <w:lang w:eastAsia="fr-FR" w:bidi="ar-SA"/>
              </w:rPr>
              <w:t>15 000</w:t>
            </w:r>
          </w:p>
        </w:tc>
        <w:tc>
          <w:tcPr>
            <w:tcW w:w="0" w:type="auto"/>
            <w:tcBorders>
              <w:top w:val="single" w:sz="4" w:space="0" w:color="B4C6E7"/>
              <w:left w:val="single" w:sz="4" w:space="0" w:color="B4C6E7"/>
              <w:bottom w:val="single" w:sz="4" w:space="0" w:color="B4C6E7"/>
              <w:right w:val="single" w:sz="4" w:space="0" w:color="B4C6E7"/>
            </w:tcBorders>
            <w:hideMark/>
          </w:tcPr>
          <w:p w14:paraId="79FFE22A" w14:textId="77777777" w:rsidR="00197DB3" w:rsidRDefault="00197DB3">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eastAsia="fr-FR" w:bidi="ar-SA"/>
              </w:rPr>
            </w:pPr>
            <w:r>
              <w:rPr>
                <w:rFonts w:asciiTheme="minorHAnsi" w:hAnsiTheme="minorHAnsi" w:cstheme="minorHAnsi"/>
                <w:lang w:eastAsia="fr-FR" w:bidi="ar-SA"/>
              </w:rPr>
              <w:t>ONDA / EPC</w:t>
            </w:r>
          </w:p>
        </w:tc>
      </w:tr>
      <w:tr w:rsidR="00197DB3" w14:paraId="6A41D837" w14:textId="77777777" w:rsidTr="00197DB3">
        <w:tc>
          <w:tcPr>
            <w:cnfStyle w:val="001000000000" w:firstRow="0" w:lastRow="0" w:firstColumn="1" w:lastColumn="0" w:oddVBand="0" w:evenVBand="0" w:oddHBand="0" w:evenHBand="0" w:firstRowFirstColumn="0" w:firstRowLastColumn="0" w:lastRowFirstColumn="0" w:lastRowLastColumn="0"/>
            <w:tcW w:w="0" w:type="auto"/>
            <w:vMerge/>
            <w:tcBorders>
              <w:top w:val="single" w:sz="4" w:space="0" w:color="B4C6E7"/>
              <w:left w:val="single" w:sz="4" w:space="0" w:color="B4C6E7"/>
              <w:bottom w:val="single" w:sz="4" w:space="0" w:color="B4C6E7"/>
              <w:right w:val="single" w:sz="4" w:space="0" w:color="B4C6E7"/>
            </w:tcBorders>
            <w:vAlign w:val="center"/>
            <w:hideMark/>
          </w:tcPr>
          <w:p w14:paraId="1D842E62" w14:textId="77777777" w:rsidR="00197DB3" w:rsidRDefault="00197DB3">
            <w:pPr>
              <w:spacing w:before="0" w:after="0" w:line="240" w:lineRule="auto"/>
              <w:jc w:val="left"/>
              <w:rPr>
                <w:rFonts w:asciiTheme="minorHAnsi" w:hAnsiTheme="minorHAnsi" w:cstheme="minorHAnsi"/>
                <w:sz w:val="22"/>
                <w:lang w:eastAsia="fr-FR" w:bidi="ar-SA"/>
              </w:rPr>
            </w:pPr>
          </w:p>
        </w:tc>
        <w:tc>
          <w:tcPr>
            <w:tcW w:w="0" w:type="auto"/>
            <w:tcBorders>
              <w:top w:val="single" w:sz="4" w:space="0" w:color="B4C6E7"/>
              <w:left w:val="single" w:sz="4" w:space="0" w:color="B4C6E7"/>
              <w:bottom w:val="single" w:sz="4" w:space="0" w:color="B4C6E7"/>
              <w:right w:val="single" w:sz="4" w:space="0" w:color="B4C6E7"/>
            </w:tcBorders>
            <w:hideMark/>
          </w:tcPr>
          <w:p w14:paraId="72F416E7" w14:textId="77777777" w:rsidR="00197DB3" w:rsidRDefault="00197DB3">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eastAsia="fr-FR" w:bidi="ar-SA"/>
              </w:rPr>
            </w:pPr>
            <w:r>
              <w:rPr>
                <w:rFonts w:asciiTheme="minorHAnsi" w:hAnsiTheme="minorHAnsi" w:cstheme="minorHAnsi"/>
                <w:lang w:eastAsia="fr-FR" w:bidi="ar-SA"/>
              </w:rPr>
              <w:t>Réponse aux urgences</w:t>
            </w:r>
          </w:p>
        </w:tc>
        <w:tc>
          <w:tcPr>
            <w:tcW w:w="0" w:type="auto"/>
            <w:tcBorders>
              <w:top w:val="single" w:sz="4" w:space="0" w:color="B4C6E7"/>
              <w:left w:val="single" w:sz="4" w:space="0" w:color="B4C6E7"/>
              <w:bottom w:val="single" w:sz="4" w:space="0" w:color="B4C6E7"/>
              <w:right w:val="single" w:sz="4" w:space="0" w:color="B4C6E7"/>
            </w:tcBorders>
            <w:hideMark/>
          </w:tcPr>
          <w:p w14:paraId="191F89B1" w14:textId="77777777" w:rsidR="00197DB3" w:rsidRDefault="00197DB3">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eastAsia="fr-FR" w:bidi="ar-SA"/>
              </w:rPr>
            </w:pPr>
            <w:r>
              <w:rPr>
                <w:rFonts w:asciiTheme="minorHAnsi" w:hAnsiTheme="minorHAnsi" w:cstheme="minorHAnsi"/>
                <w:lang w:eastAsia="fr-FR" w:bidi="ar-SA"/>
              </w:rPr>
              <w:t>Simulation d’incident HSE</w:t>
            </w:r>
          </w:p>
        </w:tc>
        <w:tc>
          <w:tcPr>
            <w:tcW w:w="0" w:type="auto"/>
            <w:tcBorders>
              <w:top w:val="single" w:sz="4" w:space="0" w:color="B4C6E7"/>
              <w:left w:val="single" w:sz="4" w:space="0" w:color="B4C6E7"/>
              <w:bottom w:val="single" w:sz="4" w:space="0" w:color="B4C6E7"/>
              <w:right w:val="single" w:sz="4" w:space="0" w:color="B4C6E7"/>
            </w:tcBorders>
            <w:hideMark/>
          </w:tcPr>
          <w:p w14:paraId="69F202D2" w14:textId="77777777" w:rsidR="00197DB3" w:rsidRDefault="00197DB3">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eastAsia="fr-FR" w:bidi="ar-SA"/>
              </w:rPr>
            </w:pPr>
            <w:r>
              <w:rPr>
                <w:rFonts w:asciiTheme="minorHAnsi" w:hAnsiTheme="minorHAnsi" w:cstheme="minorHAnsi"/>
                <w:lang w:eastAsia="fr-FR" w:bidi="ar-SA"/>
              </w:rPr>
              <w:t>20 000</w:t>
            </w:r>
          </w:p>
        </w:tc>
        <w:tc>
          <w:tcPr>
            <w:tcW w:w="0" w:type="auto"/>
            <w:tcBorders>
              <w:top w:val="single" w:sz="4" w:space="0" w:color="B4C6E7"/>
              <w:left w:val="single" w:sz="4" w:space="0" w:color="B4C6E7"/>
              <w:bottom w:val="single" w:sz="4" w:space="0" w:color="B4C6E7"/>
              <w:right w:val="single" w:sz="4" w:space="0" w:color="B4C6E7"/>
            </w:tcBorders>
            <w:hideMark/>
          </w:tcPr>
          <w:p w14:paraId="046322FC" w14:textId="77777777" w:rsidR="00197DB3" w:rsidRDefault="00197DB3">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eastAsia="fr-FR" w:bidi="ar-SA"/>
              </w:rPr>
            </w:pPr>
            <w:r>
              <w:rPr>
                <w:rFonts w:asciiTheme="minorHAnsi" w:hAnsiTheme="minorHAnsi" w:cstheme="minorHAnsi"/>
                <w:lang w:eastAsia="fr-FR" w:bidi="ar-SA"/>
              </w:rPr>
              <w:t>EPC / ONDA</w:t>
            </w:r>
          </w:p>
        </w:tc>
      </w:tr>
      <w:tr w:rsidR="00197DB3" w14:paraId="1147B0DE" w14:textId="77777777" w:rsidTr="00197DB3">
        <w:tc>
          <w:tcPr>
            <w:cnfStyle w:val="001000000000" w:firstRow="0" w:lastRow="0" w:firstColumn="1" w:lastColumn="0" w:oddVBand="0" w:evenVBand="0" w:oddHBand="0" w:evenHBand="0" w:firstRowFirstColumn="0" w:firstRowLastColumn="0" w:lastRowFirstColumn="0" w:lastRowLastColumn="0"/>
            <w:tcW w:w="0" w:type="auto"/>
            <w:vMerge/>
            <w:tcBorders>
              <w:top w:val="single" w:sz="4" w:space="0" w:color="B4C6E7"/>
              <w:left w:val="single" w:sz="4" w:space="0" w:color="B4C6E7"/>
              <w:bottom w:val="single" w:sz="4" w:space="0" w:color="B4C6E7"/>
              <w:right w:val="single" w:sz="4" w:space="0" w:color="B4C6E7"/>
            </w:tcBorders>
            <w:vAlign w:val="center"/>
            <w:hideMark/>
          </w:tcPr>
          <w:p w14:paraId="7B10986F" w14:textId="77777777" w:rsidR="00197DB3" w:rsidRDefault="00197DB3">
            <w:pPr>
              <w:spacing w:before="0" w:after="0" w:line="240" w:lineRule="auto"/>
              <w:jc w:val="left"/>
              <w:rPr>
                <w:rFonts w:asciiTheme="minorHAnsi" w:hAnsiTheme="minorHAnsi" w:cstheme="minorHAnsi"/>
                <w:sz w:val="22"/>
                <w:lang w:eastAsia="fr-FR" w:bidi="ar-SA"/>
              </w:rPr>
            </w:pPr>
          </w:p>
        </w:tc>
        <w:tc>
          <w:tcPr>
            <w:tcW w:w="0" w:type="auto"/>
            <w:tcBorders>
              <w:top w:val="single" w:sz="4" w:space="0" w:color="B4C6E7"/>
              <w:left w:val="single" w:sz="4" w:space="0" w:color="B4C6E7"/>
              <w:bottom w:val="single" w:sz="4" w:space="0" w:color="B4C6E7"/>
              <w:right w:val="single" w:sz="4" w:space="0" w:color="B4C6E7"/>
            </w:tcBorders>
            <w:hideMark/>
          </w:tcPr>
          <w:p w14:paraId="46B4CE17" w14:textId="77777777" w:rsidR="00197DB3" w:rsidRDefault="00197DB3">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eastAsia="fr-FR" w:bidi="ar-SA"/>
              </w:rPr>
            </w:pPr>
            <w:r>
              <w:rPr>
                <w:rFonts w:asciiTheme="minorHAnsi" w:hAnsiTheme="minorHAnsi" w:cstheme="minorHAnsi"/>
                <w:lang w:eastAsia="fr-FR" w:bidi="ar-SA"/>
              </w:rPr>
              <w:t>Engagement communautaire</w:t>
            </w:r>
          </w:p>
        </w:tc>
        <w:tc>
          <w:tcPr>
            <w:tcW w:w="0" w:type="auto"/>
            <w:tcBorders>
              <w:top w:val="single" w:sz="4" w:space="0" w:color="B4C6E7"/>
              <w:left w:val="single" w:sz="4" w:space="0" w:color="B4C6E7"/>
              <w:bottom w:val="single" w:sz="4" w:space="0" w:color="B4C6E7"/>
              <w:right w:val="single" w:sz="4" w:space="0" w:color="B4C6E7"/>
            </w:tcBorders>
            <w:hideMark/>
          </w:tcPr>
          <w:p w14:paraId="21531443" w14:textId="77777777" w:rsidR="00197DB3" w:rsidRDefault="00197DB3">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eastAsia="fr-FR" w:bidi="ar-SA"/>
              </w:rPr>
            </w:pPr>
            <w:r>
              <w:rPr>
                <w:rFonts w:asciiTheme="minorHAnsi" w:hAnsiTheme="minorHAnsi" w:cstheme="minorHAnsi"/>
                <w:lang w:eastAsia="fr-FR" w:bidi="ar-SA"/>
              </w:rPr>
              <w:t>Atelier participatif annuel</w:t>
            </w:r>
          </w:p>
        </w:tc>
        <w:tc>
          <w:tcPr>
            <w:tcW w:w="0" w:type="auto"/>
            <w:tcBorders>
              <w:top w:val="single" w:sz="4" w:space="0" w:color="B4C6E7"/>
              <w:left w:val="single" w:sz="4" w:space="0" w:color="B4C6E7"/>
              <w:bottom w:val="single" w:sz="4" w:space="0" w:color="B4C6E7"/>
              <w:right w:val="single" w:sz="4" w:space="0" w:color="B4C6E7"/>
            </w:tcBorders>
            <w:hideMark/>
          </w:tcPr>
          <w:p w14:paraId="0B3D01E5" w14:textId="77777777" w:rsidR="00197DB3" w:rsidRDefault="00197DB3">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eastAsia="fr-FR" w:bidi="ar-SA"/>
              </w:rPr>
            </w:pPr>
            <w:r>
              <w:rPr>
                <w:rFonts w:asciiTheme="minorHAnsi" w:hAnsiTheme="minorHAnsi" w:cstheme="minorHAnsi"/>
                <w:lang w:eastAsia="fr-FR" w:bidi="ar-SA"/>
              </w:rPr>
              <w:t>25 000</w:t>
            </w:r>
          </w:p>
        </w:tc>
        <w:tc>
          <w:tcPr>
            <w:tcW w:w="0" w:type="auto"/>
            <w:tcBorders>
              <w:top w:val="single" w:sz="4" w:space="0" w:color="B4C6E7"/>
              <w:left w:val="single" w:sz="4" w:space="0" w:color="B4C6E7"/>
              <w:bottom w:val="single" w:sz="4" w:space="0" w:color="B4C6E7"/>
              <w:right w:val="single" w:sz="4" w:space="0" w:color="B4C6E7"/>
            </w:tcBorders>
            <w:hideMark/>
          </w:tcPr>
          <w:p w14:paraId="3E7E6078" w14:textId="77777777" w:rsidR="00197DB3" w:rsidRDefault="00197DB3">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eastAsia="fr-FR" w:bidi="ar-SA"/>
              </w:rPr>
            </w:pPr>
            <w:r>
              <w:rPr>
                <w:rFonts w:asciiTheme="minorHAnsi" w:hAnsiTheme="minorHAnsi" w:cstheme="minorHAnsi"/>
                <w:lang w:eastAsia="fr-FR" w:bidi="ar-SA"/>
              </w:rPr>
              <w:t xml:space="preserve">ONDA </w:t>
            </w:r>
          </w:p>
        </w:tc>
      </w:tr>
      <w:tr w:rsidR="00197DB3" w14:paraId="1A1EB8B3" w14:textId="77777777" w:rsidTr="00197DB3">
        <w:tc>
          <w:tcPr>
            <w:cnfStyle w:val="001000000000" w:firstRow="0" w:lastRow="0" w:firstColumn="1" w:lastColumn="0" w:oddVBand="0" w:evenVBand="0" w:oddHBand="0" w:evenHBand="0" w:firstRowFirstColumn="0" w:firstRowLastColumn="0" w:lastRowFirstColumn="0" w:lastRowLastColumn="0"/>
            <w:tcW w:w="0" w:type="auto"/>
            <w:gridSpan w:val="5"/>
            <w:tcBorders>
              <w:top w:val="single" w:sz="4" w:space="0" w:color="B4C6E7"/>
              <w:left w:val="single" w:sz="4" w:space="0" w:color="B4C6E7"/>
              <w:bottom w:val="single" w:sz="4" w:space="0" w:color="B4C6E7"/>
              <w:right w:val="single" w:sz="4" w:space="0" w:color="B4C6E7"/>
            </w:tcBorders>
            <w:hideMark/>
          </w:tcPr>
          <w:p w14:paraId="0658DCE4" w14:textId="77777777" w:rsidR="00197DB3" w:rsidRDefault="00197DB3">
            <w:pPr>
              <w:spacing w:before="0" w:after="0" w:line="240" w:lineRule="auto"/>
              <w:jc w:val="center"/>
              <w:rPr>
                <w:rFonts w:asciiTheme="minorHAnsi" w:hAnsiTheme="minorHAnsi" w:cstheme="minorHAnsi"/>
                <w:lang w:eastAsia="fr-FR" w:bidi="ar-SA"/>
              </w:rPr>
            </w:pPr>
            <w:r>
              <w:rPr>
                <w:rFonts w:asciiTheme="minorHAnsi" w:hAnsiTheme="minorHAnsi" w:cstheme="minorHAnsi"/>
                <w:lang w:eastAsia="fr-FR" w:bidi="ar-SA"/>
              </w:rPr>
              <w:t>Coût total pour la mise en œuvre du PGES : 940 000 MAD</w:t>
            </w:r>
          </w:p>
        </w:tc>
      </w:tr>
      <w:tr w:rsidR="00197DB3" w14:paraId="03ADC592" w14:textId="77777777" w:rsidTr="00197DB3">
        <w:tc>
          <w:tcPr>
            <w:cnfStyle w:val="001000000000" w:firstRow="0" w:lastRow="0" w:firstColumn="1" w:lastColumn="0" w:oddVBand="0" w:evenVBand="0" w:oddHBand="0" w:evenHBand="0" w:firstRowFirstColumn="0" w:firstRowLastColumn="0" w:lastRowFirstColumn="0" w:lastRowLastColumn="0"/>
            <w:tcW w:w="0" w:type="auto"/>
            <w:vMerge w:val="restart"/>
            <w:tcBorders>
              <w:top w:val="single" w:sz="4" w:space="0" w:color="B4C6E7"/>
              <w:left w:val="single" w:sz="4" w:space="0" w:color="B4C6E7"/>
              <w:bottom w:val="single" w:sz="4" w:space="0" w:color="B4C6E7"/>
              <w:right w:val="single" w:sz="4" w:space="0" w:color="B4C6E7"/>
            </w:tcBorders>
            <w:vAlign w:val="center"/>
            <w:hideMark/>
          </w:tcPr>
          <w:p w14:paraId="27A06267" w14:textId="77777777" w:rsidR="00197DB3" w:rsidRDefault="00197DB3">
            <w:pPr>
              <w:spacing w:before="0" w:after="0" w:line="240" w:lineRule="auto"/>
              <w:jc w:val="center"/>
              <w:rPr>
                <w:rFonts w:asciiTheme="minorHAnsi" w:hAnsiTheme="minorHAnsi" w:cstheme="minorHAnsi"/>
                <w:lang w:eastAsia="fr-FR" w:bidi="ar-SA"/>
              </w:rPr>
            </w:pPr>
            <w:r>
              <w:rPr>
                <w:rFonts w:asciiTheme="minorHAnsi" w:hAnsiTheme="minorHAnsi" w:cstheme="minorHAnsi"/>
                <w:lang w:eastAsia="fr-FR" w:bidi="ar-SA"/>
              </w:rPr>
              <w:t>MGP</w:t>
            </w:r>
          </w:p>
        </w:tc>
        <w:tc>
          <w:tcPr>
            <w:tcW w:w="0" w:type="auto"/>
            <w:tcBorders>
              <w:top w:val="single" w:sz="4" w:space="0" w:color="B4C6E7"/>
              <w:left w:val="single" w:sz="4" w:space="0" w:color="B4C6E7"/>
              <w:bottom w:val="single" w:sz="4" w:space="0" w:color="B4C6E7"/>
              <w:right w:val="single" w:sz="4" w:space="0" w:color="B4C6E7"/>
            </w:tcBorders>
            <w:hideMark/>
          </w:tcPr>
          <w:p w14:paraId="4EEBC5CF" w14:textId="77777777" w:rsidR="00197DB3" w:rsidRDefault="00197DB3">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eastAsia="fr-FR" w:bidi="ar-SA"/>
              </w:rPr>
            </w:pPr>
            <w:r>
              <w:rPr>
                <w:rFonts w:asciiTheme="minorHAnsi" w:hAnsiTheme="minorHAnsi" w:cstheme="minorHAnsi"/>
                <w:lang w:eastAsia="fr-FR" w:bidi="ar-SA"/>
              </w:rPr>
              <w:t>CLO (Community Liaison Officer)</w:t>
            </w:r>
          </w:p>
        </w:tc>
        <w:tc>
          <w:tcPr>
            <w:tcW w:w="0" w:type="auto"/>
            <w:tcBorders>
              <w:top w:val="single" w:sz="4" w:space="0" w:color="B4C6E7"/>
              <w:left w:val="single" w:sz="4" w:space="0" w:color="B4C6E7"/>
              <w:bottom w:val="single" w:sz="4" w:space="0" w:color="B4C6E7"/>
              <w:right w:val="single" w:sz="4" w:space="0" w:color="B4C6E7"/>
            </w:tcBorders>
            <w:hideMark/>
          </w:tcPr>
          <w:p w14:paraId="46107F79" w14:textId="77777777" w:rsidR="00197DB3" w:rsidRDefault="00197DB3">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eastAsia="fr-FR" w:bidi="ar-SA"/>
              </w:rPr>
            </w:pPr>
            <w:r>
              <w:rPr>
                <w:rFonts w:asciiTheme="minorHAnsi" w:hAnsiTheme="minorHAnsi" w:cstheme="minorHAnsi"/>
                <w:lang w:eastAsia="fr-FR" w:bidi="ar-SA"/>
              </w:rPr>
              <w:t>Mécanisme de gestion des plaintes (MGP)</w:t>
            </w:r>
          </w:p>
        </w:tc>
        <w:tc>
          <w:tcPr>
            <w:tcW w:w="0" w:type="auto"/>
            <w:tcBorders>
              <w:top w:val="single" w:sz="4" w:space="0" w:color="B4C6E7"/>
              <w:left w:val="single" w:sz="4" w:space="0" w:color="B4C6E7"/>
              <w:bottom w:val="single" w:sz="4" w:space="0" w:color="B4C6E7"/>
              <w:right w:val="single" w:sz="4" w:space="0" w:color="B4C6E7"/>
            </w:tcBorders>
            <w:hideMark/>
          </w:tcPr>
          <w:p w14:paraId="01F726AB" w14:textId="77777777" w:rsidR="00197DB3" w:rsidRDefault="00197DB3">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eastAsia="fr-FR" w:bidi="ar-SA"/>
              </w:rPr>
            </w:pPr>
            <w:r>
              <w:rPr>
                <w:rFonts w:asciiTheme="minorHAnsi" w:hAnsiTheme="minorHAnsi" w:cstheme="minorHAnsi"/>
                <w:lang w:eastAsia="fr-FR" w:bidi="ar-SA"/>
              </w:rPr>
              <w:t>72 000</w:t>
            </w:r>
          </w:p>
        </w:tc>
        <w:tc>
          <w:tcPr>
            <w:tcW w:w="0" w:type="auto"/>
            <w:tcBorders>
              <w:top w:val="single" w:sz="4" w:space="0" w:color="B4C6E7"/>
              <w:left w:val="single" w:sz="4" w:space="0" w:color="B4C6E7"/>
              <w:bottom w:val="single" w:sz="4" w:space="0" w:color="B4C6E7"/>
              <w:right w:val="single" w:sz="4" w:space="0" w:color="B4C6E7"/>
            </w:tcBorders>
            <w:hideMark/>
          </w:tcPr>
          <w:p w14:paraId="01931C35" w14:textId="77777777" w:rsidR="00197DB3" w:rsidRDefault="00197DB3">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eastAsia="fr-FR" w:bidi="ar-SA"/>
              </w:rPr>
            </w:pPr>
            <w:r>
              <w:rPr>
                <w:rFonts w:asciiTheme="minorHAnsi" w:hAnsiTheme="minorHAnsi" w:cstheme="minorHAnsi"/>
                <w:lang w:eastAsia="fr-FR" w:bidi="ar-SA"/>
              </w:rPr>
              <w:t>ONDA</w:t>
            </w:r>
          </w:p>
        </w:tc>
      </w:tr>
      <w:tr w:rsidR="00197DB3" w14:paraId="695F59F5" w14:textId="77777777" w:rsidTr="00197DB3">
        <w:tc>
          <w:tcPr>
            <w:cnfStyle w:val="001000000000" w:firstRow="0" w:lastRow="0" w:firstColumn="1" w:lastColumn="0" w:oddVBand="0" w:evenVBand="0" w:oddHBand="0" w:evenHBand="0" w:firstRowFirstColumn="0" w:firstRowLastColumn="0" w:lastRowFirstColumn="0" w:lastRowLastColumn="0"/>
            <w:tcW w:w="0" w:type="auto"/>
            <w:vMerge/>
            <w:tcBorders>
              <w:top w:val="single" w:sz="4" w:space="0" w:color="B4C6E7"/>
              <w:left w:val="single" w:sz="4" w:space="0" w:color="B4C6E7"/>
              <w:bottom w:val="single" w:sz="4" w:space="0" w:color="B4C6E7"/>
              <w:right w:val="single" w:sz="4" w:space="0" w:color="B4C6E7"/>
            </w:tcBorders>
            <w:vAlign w:val="center"/>
            <w:hideMark/>
          </w:tcPr>
          <w:p w14:paraId="3C8131DF" w14:textId="77777777" w:rsidR="00197DB3" w:rsidRDefault="00197DB3">
            <w:pPr>
              <w:spacing w:before="0" w:after="0" w:line="240" w:lineRule="auto"/>
              <w:jc w:val="left"/>
              <w:rPr>
                <w:rFonts w:asciiTheme="minorHAnsi" w:hAnsiTheme="minorHAnsi" w:cstheme="minorHAnsi"/>
                <w:sz w:val="22"/>
                <w:lang w:eastAsia="fr-FR" w:bidi="ar-SA"/>
              </w:rPr>
            </w:pPr>
          </w:p>
        </w:tc>
        <w:tc>
          <w:tcPr>
            <w:tcW w:w="0" w:type="auto"/>
            <w:tcBorders>
              <w:top w:val="single" w:sz="4" w:space="0" w:color="B4C6E7"/>
              <w:left w:val="single" w:sz="4" w:space="0" w:color="B4C6E7"/>
              <w:bottom w:val="single" w:sz="4" w:space="0" w:color="B4C6E7"/>
              <w:right w:val="single" w:sz="4" w:space="0" w:color="B4C6E7"/>
            </w:tcBorders>
            <w:hideMark/>
          </w:tcPr>
          <w:p w14:paraId="43631BCC" w14:textId="77777777" w:rsidR="00197DB3" w:rsidRDefault="00197DB3">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eastAsia="fr-FR" w:bidi="ar-SA"/>
              </w:rPr>
            </w:pPr>
            <w:r>
              <w:rPr>
                <w:rFonts w:asciiTheme="minorHAnsi" w:hAnsiTheme="minorHAnsi" w:cstheme="minorHAnsi"/>
                <w:lang w:eastAsia="fr-FR" w:bidi="ar-SA"/>
              </w:rPr>
              <w:t>Mise en œuvre des outils</w:t>
            </w:r>
          </w:p>
        </w:tc>
        <w:tc>
          <w:tcPr>
            <w:tcW w:w="0" w:type="auto"/>
            <w:tcBorders>
              <w:top w:val="single" w:sz="4" w:space="0" w:color="B4C6E7"/>
              <w:left w:val="single" w:sz="4" w:space="0" w:color="B4C6E7"/>
              <w:bottom w:val="single" w:sz="4" w:space="0" w:color="B4C6E7"/>
              <w:right w:val="single" w:sz="4" w:space="0" w:color="B4C6E7"/>
            </w:tcBorders>
            <w:hideMark/>
          </w:tcPr>
          <w:p w14:paraId="4C2E40B8" w14:textId="77777777" w:rsidR="00197DB3" w:rsidRDefault="00197DB3">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eastAsia="fr-FR" w:bidi="ar-SA"/>
              </w:rPr>
            </w:pPr>
            <w:r>
              <w:rPr>
                <w:rFonts w:asciiTheme="minorHAnsi" w:hAnsiTheme="minorHAnsi" w:cstheme="minorHAnsi"/>
                <w:lang w:eastAsia="fr-FR" w:bidi="ar-SA"/>
              </w:rPr>
              <w:t>Mécanisme de gestion des plaintes (MGP)</w:t>
            </w:r>
          </w:p>
        </w:tc>
        <w:tc>
          <w:tcPr>
            <w:tcW w:w="0" w:type="auto"/>
            <w:tcBorders>
              <w:top w:val="single" w:sz="4" w:space="0" w:color="B4C6E7"/>
              <w:left w:val="single" w:sz="4" w:space="0" w:color="B4C6E7"/>
              <w:bottom w:val="single" w:sz="4" w:space="0" w:color="B4C6E7"/>
              <w:right w:val="single" w:sz="4" w:space="0" w:color="B4C6E7"/>
            </w:tcBorders>
            <w:hideMark/>
          </w:tcPr>
          <w:p w14:paraId="2575A3FE" w14:textId="77777777" w:rsidR="00197DB3" w:rsidRDefault="00197DB3">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eastAsia="fr-FR" w:bidi="ar-SA"/>
              </w:rPr>
            </w:pPr>
            <w:r>
              <w:rPr>
                <w:rFonts w:asciiTheme="minorHAnsi" w:hAnsiTheme="minorHAnsi" w:cstheme="minorHAnsi"/>
                <w:lang w:eastAsia="fr-FR" w:bidi="ar-SA"/>
              </w:rPr>
              <w:t>80 000</w:t>
            </w:r>
          </w:p>
        </w:tc>
        <w:tc>
          <w:tcPr>
            <w:tcW w:w="0" w:type="auto"/>
            <w:tcBorders>
              <w:top w:val="single" w:sz="4" w:space="0" w:color="B4C6E7"/>
              <w:left w:val="single" w:sz="4" w:space="0" w:color="B4C6E7"/>
              <w:bottom w:val="single" w:sz="4" w:space="0" w:color="B4C6E7"/>
              <w:right w:val="single" w:sz="4" w:space="0" w:color="B4C6E7"/>
            </w:tcBorders>
          </w:tcPr>
          <w:p w14:paraId="2D211640" w14:textId="77777777" w:rsidR="00197DB3" w:rsidRDefault="00197DB3">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eastAsia="fr-FR" w:bidi="ar-SA"/>
              </w:rPr>
            </w:pPr>
          </w:p>
        </w:tc>
      </w:tr>
      <w:tr w:rsidR="00197DB3" w14:paraId="7681C5CD" w14:textId="77777777" w:rsidTr="00197DB3">
        <w:tc>
          <w:tcPr>
            <w:cnfStyle w:val="001000000000" w:firstRow="0" w:lastRow="0" w:firstColumn="1" w:lastColumn="0" w:oddVBand="0" w:evenVBand="0" w:oddHBand="0" w:evenHBand="0" w:firstRowFirstColumn="0" w:firstRowLastColumn="0" w:lastRowFirstColumn="0" w:lastRowLastColumn="0"/>
            <w:tcW w:w="0" w:type="auto"/>
            <w:vMerge/>
            <w:tcBorders>
              <w:top w:val="single" w:sz="4" w:space="0" w:color="B4C6E7"/>
              <w:left w:val="single" w:sz="4" w:space="0" w:color="B4C6E7"/>
              <w:bottom w:val="single" w:sz="4" w:space="0" w:color="B4C6E7"/>
              <w:right w:val="single" w:sz="4" w:space="0" w:color="B4C6E7"/>
            </w:tcBorders>
            <w:vAlign w:val="center"/>
            <w:hideMark/>
          </w:tcPr>
          <w:p w14:paraId="0A0AFB80" w14:textId="77777777" w:rsidR="00197DB3" w:rsidRDefault="00197DB3">
            <w:pPr>
              <w:spacing w:before="0" w:after="0" w:line="240" w:lineRule="auto"/>
              <w:jc w:val="left"/>
              <w:rPr>
                <w:rFonts w:asciiTheme="minorHAnsi" w:hAnsiTheme="minorHAnsi" w:cstheme="minorHAnsi"/>
                <w:sz w:val="22"/>
                <w:lang w:eastAsia="fr-FR" w:bidi="ar-SA"/>
              </w:rPr>
            </w:pPr>
          </w:p>
        </w:tc>
        <w:tc>
          <w:tcPr>
            <w:tcW w:w="0" w:type="auto"/>
            <w:tcBorders>
              <w:top w:val="single" w:sz="4" w:space="0" w:color="B4C6E7"/>
              <w:left w:val="single" w:sz="4" w:space="0" w:color="B4C6E7"/>
              <w:bottom w:val="single" w:sz="4" w:space="0" w:color="B4C6E7"/>
              <w:right w:val="single" w:sz="4" w:space="0" w:color="B4C6E7"/>
            </w:tcBorders>
            <w:hideMark/>
          </w:tcPr>
          <w:p w14:paraId="625F1BC3" w14:textId="77777777" w:rsidR="00197DB3" w:rsidRDefault="00197DB3">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eastAsia="fr-FR" w:bidi="ar-SA"/>
              </w:rPr>
            </w:pPr>
            <w:r>
              <w:rPr>
                <w:rFonts w:asciiTheme="minorHAnsi" w:hAnsiTheme="minorHAnsi" w:cstheme="minorHAnsi"/>
                <w:lang w:eastAsia="fr-FR" w:bidi="ar-SA"/>
              </w:rPr>
              <w:t>Informations sensibilisations</w:t>
            </w:r>
          </w:p>
        </w:tc>
        <w:tc>
          <w:tcPr>
            <w:tcW w:w="0" w:type="auto"/>
            <w:tcBorders>
              <w:top w:val="single" w:sz="4" w:space="0" w:color="B4C6E7"/>
              <w:left w:val="single" w:sz="4" w:space="0" w:color="B4C6E7"/>
              <w:bottom w:val="single" w:sz="4" w:space="0" w:color="B4C6E7"/>
              <w:right w:val="single" w:sz="4" w:space="0" w:color="B4C6E7"/>
            </w:tcBorders>
            <w:hideMark/>
          </w:tcPr>
          <w:p w14:paraId="75B905DE" w14:textId="77777777" w:rsidR="00197DB3" w:rsidRDefault="00197DB3">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eastAsia="fr-FR" w:bidi="ar-SA"/>
              </w:rPr>
            </w:pPr>
            <w:r>
              <w:rPr>
                <w:rFonts w:asciiTheme="minorHAnsi" w:hAnsiTheme="minorHAnsi" w:cstheme="minorHAnsi"/>
                <w:lang w:eastAsia="fr-FR" w:bidi="ar-SA"/>
              </w:rPr>
              <w:t>Sensibilisation au MGP</w:t>
            </w:r>
          </w:p>
        </w:tc>
        <w:tc>
          <w:tcPr>
            <w:tcW w:w="0" w:type="auto"/>
            <w:tcBorders>
              <w:top w:val="single" w:sz="4" w:space="0" w:color="B4C6E7"/>
              <w:left w:val="single" w:sz="4" w:space="0" w:color="B4C6E7"/>
              <w:bottom w:val="single" w:sz="4" w:space="0" w:color="B4C6E7"/>
              <w:right w:val="single" w:sz="4" w:space="0" w:color="B4C6E7"/>
            </w:tcBorders>
            <w:hideMark/>
          </w:tcPr>
          <w:p w14:paraId="5623036B" w14:textId="77777777" w:rsidR="00197DB3" w:rsidRDefault="00197DB3">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eastAsia="fr-FR" w:bidi="ar-SA"/>
              </w:rPr>
            </w:pPr>
            <w:r>
              <w:rPr>
                <w:rFonts w:asciiTheme="minorHAnsi" w:hAnsiTheme="minorHAnsi" w:cstheme="minorHAnsi"/>
                <w:lang w:eastAsia="fr-FR" w:bidi="ar-SA"/>
              </w:rPr>
              <w:t>10 000</w:t>
            </w:r>
          </w:p>
        </w:tc>
        <w:tc>
          <w:tcPr>
            <w:tcW w:w="0" w:type="auto"/>
            <w:tcBorders>
              <w:top w:val="single" w:sz="4" w:space="0" w:color="B4C6E7"/>
              <w:left w:val="single" w:sz="4" w:space="0" w:color="B4C6E7"/>
              <w:bottom w:val="single" w:sz="4" w:space="0" w:color="B4C6E7"/>
              <w:right w:val="single" w:sz="4" w:space="0" w:color="B4C6E7"/>
            </w:tcBorders>
          </w:tcPr>
          <w:p w14:paraId="1846FDC2" w14:textId="77777777" w:rsidR="00197DB3" w:rsidRDefault="00197DB3">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eastAsia="fr-FR" w:bidi="ar-SA"/>
              </w:rPr>
            </w:pPr>
          </w:p>
        </w:tc>
      </w:tr>
      <w:tr w:rsidR="00197DB3" w14:paraId="4DC1372E" w14:textId="77777777" w:rsidTr="00197DB3">
        <w:tc>
          <w:tcPr>
            <w:cnfStyle w:val="001000000000" w:firstRow="0" w:lastRow="0" w:firstColumn="1" w:lastColumn="0" w:oddVBand="0" w:evenVBand="0" w:oddHBand="0" w:evenHBand="0" w:firstRowFirstColumn="0" w:firstRowLastColumn="0" w:lastRowFirstColumn="0" w:lastRowLastColumn="0"/>
            <w:tcW w:w="0" w:type="auto"/>
            <w:gridSpan w:val="5"/>
            <w:tcBorders>
              <w:top w:val="single" w:sz="4" w:space="0" w:color="B4C6E7"/>
              <w:left w:val="single" w:sz="4" w:space="0" w:color="B4C6E7"/>
              <w:bottom w:val="single" w:sz="4" w:space="0" w:color="B4C6E7"/>
              <w:right w:val="single" w:sz="4" w:space="0" w:color="B4C6E7"/>
            </w:tcBorders>
            <w:vAlign w:val="center"/>
            <w:hideMark/>
          </w:tcPr>
          <w:p w14:paraId="6B8E50DE" w14:textId="77777777" w:rsidR="00197DB3" w:rsidRDefault="00197DB3">
            <w:pPr>
              <w:spacing w:before="0" w:after="0" w:line="240" w:lineRule="auto"/>
              <w:jc w:val="center"/>
              <w:rPr>
                <w:rFonts w:asciiTheme="minorHAnsi" w:hAnsiTheme="minorHAnsi" w:cstheme="minorHAnsi"/>
                <w:lang w:eastAsia="fr-FR" w:bidi="ar-SA"/>
              </w:rPr>
            </w:pPr>
            <w:r>
              <w:rPr>
                <w:rFonts w:asciiTheme="minorHAnsi" w:hAnsiTheme="minorHAnsi" w:cstheme="minorHAnsi"/>
                <w:lang w:eastAsia="fr-FR" w:bidi="ar-SA"/>
              </w:rPr>
              <w:t>Coût total MGP : 162 000 MAD</w:t>
            </w:r>
          </w:p>
        </w:tc>
      </w:tr>
      <w:tr w:rsidR="00197DB3" w14:paraId="0A347748" w14:textId="77777777" w:rsidTr="00197DB3">
        <w:tc>
          <w:tcPr>
            <w:cnfStyle w:val="001000000000" w:firstRow="0" w:lastRow="0" w:firstColumn="1" w:lastColumn="0" w:oddVBand="0" w:evenVBand="0" w:oddHBand="0" w:evenHBand="0" w:firstRowFirstColumn="0" w:firstRowLastColumn="0" w:lastRowFirstColumn="0" w:lastRowLastColumn="0"/>
            <w:tcW w:w="0" w:type="auto"/>
            <w:vMerge w:val="restart"/>
            <w:tcBorders>
              <w:top w:val="single" w:sz="4" w:space="0" w:color="B4C6E7"/>
              <w:left w:val="single" w:sz="4" w:space="0" w:color="B4C6E7"/>
              <w:bottom w:val="single" w:sz="4" w:space="0" w:color="B4C6E7"/>
              <w:right w:val="single" w:sz="4" w:space="0" w:color="B4C6E7"/>
            </w:tcBorders>
            <w:hideMark/>
          </w:tcPr>
          <w:p w14:paraId="086EB429" w14:textId="77777777" w:rsidR="00197DB3" w:rsidRDefault="00197DB3">
            <w:pPr>
              <w:spacing w:before="0" w:after="0" w:line="240" w:lineRule="auto"/>
              <w:jc w:val="left"/>
              <w:rPr>
                <w:rFonts w:asciiTheme="minorHAnsi" w:hAnsiTheme="minorHAnsi" w:cstheme="minorHAnsi"/>
                <w:lang w:eastAsia="fr-FR" w:bidi="ar-SA"/>
              </w:rPr>
            </w:pPr>
            <w:r>
              <w:rPr>
                <w:rFonts w:asciiTheme="minorHAnsi" w:hAnsiTheme="minorHAnsi" w:cstheme="minorHAnsi"/>
                <w:lang w:eastAsia="fr-FR" w:bidi="ar-SA"/>
              </w:rPr>
              <w:t xml:space="preserve">Suivi </w:t>
            </w:r>
          </w:p>
        </w:tc>
        <w:tc>
          <w:tcPr>
            <w:tcW w:w="0" w:type="auto"/>
            <w:tcBorders>
              <w:top w:val="single" w:sz="4" w:space="0" w:color="B4C6E7"/>
              <w:left w:val="single" w:sz="4" w:space="0" w:color="B4C6E7"/>
              <w:bottom w:val="single" w:sz="4" w:space="0" w:color="B4C6E7"/>
              <w:right w:val="single" w:sz="4" w:space="0" w:color="B4C6E7"/>
            </w:tcBorders>
            <w:hideMark/>
          </w:tcPr>
          <w:p w14:paraId="1A023135" w14:textId="77777777" w:rsidR="00197DB3" w:rsidRDefault="00197DB3">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eastAsia="fr-FR" w:bidi="ar-SA"/>
              </w:rPr>
            </w:pPr>
            <w:r>
              <w:rPr>
                <w:rFonts w:asciiTheme="minorHAnsi" w:hAnsiTheme="minorHAnsi" w:cstheme="minorHAnsi"/>
                <w:lang w:eastAsia="fr-FR" w:bidi="ar-SA"/>
              </w:rPr>
              <w:t>Expert environnementaliste</w:t>
            </w:r>
          </w:p>
        </w:tc>
        <w:tc>
          <w:tcPr>
            <w:tcW w:w="0" w:type="auto"/>
            <w:tcBorders>
              <w:top w:val="single" w:sz="4" w:space="0" w:color="B4C6E7"/>
              <w:left w:val="single" w:sz="4" w:space="0" w:color="B4C6E7"/>
              <w:bottom w:val="single" w:sz="4" w:space="0" w:color="B4C6E7"/>
              <w:right w:val="single" w:sz="4" w:space="0" w:color="B4C6E7"/>
            </w:tcBorders>
            <w:hideMark/>
          </w:tcPr>
          <w:p w14:paraId="61268D74" w14:textId="77777777" w:rsidR="00197DB3" w:rsidRDefault="00197DB3">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eastAsia="fr-FR" w:bidi="ar-SA"/>
              </w:rPr>
            </w:pPr>
            <w:r>
              <w:rPr>
                <w:rFonts w:asciiTheme="minorHAnsi" w:hAnsiTheme="minorHAnsi" w:cstheme="minorHAnsi"/>
                <w:lang w:eastAsia="fr-FR" w:bidi="ar-SA"/>
              </w:rPr>
              <w:t>Appui technique à l’AMO</w:t>
            </w:r>
          </w:p>
        </w:tc>
        <w:tc>
          <w:tcPr>
            <w:tcW w:w="0" w:type="auto"/>
            <w:tcBorders>
              <w:top w:val="single" w:sz="4" w:space="0" w:color="B4C6E7"/>
              <w:left w:val="single" w:sz="4" w:space="0" w:color="B4C6E7"/>
              <w:bottom w:val="single" w:sz="4" w:space="0" w:color="B4C6E7"/>
              <w:right w:val="single" w:sz="4" w:space="0" w:color="B4C6E7"/>
            </w:tcBorders>
            <w:hideMark/>
          </w:tcPr>
          <w:p w14:paraId="1F0D74C2" w14:textId="77777777" w:rsidR="00197DB3" w:rsidRDefault="00197DB3">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eastAsia="fr-FR" w:bidi="ar-SA"/>
              </w:rPr>
            </w:pPr>
            <w:r>
              <w:rPr>
                <w:rFonts w:asciiTheme="minorHAnsi" w:hAnsiTheme="minorHAnsi" w:cstheme="minorHAnsi"/>
                <w:lang w:eastAsia="fr-FR" w:bidi="ar-SA"/>
              </w:rPr>
              <w:t>204 000</w:t>
            </w:r>
          </w:p>
        </w:tc>
        <w:tc>
          <w:tcPr>
            <w:tcW w:w="0" w:type="auto"/>
            <w:tcBorders>
              <w:top w:val="single" w:sz="4" w:space="0" w:color="B4C6E7"/>
              <w:left w:val="single" w:sz="4" w:space="0" w:color="B4C6E7"/>
              <w:bottom w:val="single" w:sz="4" w:space="0" w:color="B4C6E7"/>
              <w:right w:val="single" w:sz="4" w:space="0" w:color="B4C6E7"/>
            </w:tcBorders>
            <w:hideMark/>
          </w:tcPr>
          <w:p w14:paraId="6244F33E" w14:textId="77777777" w:rsidR="00197DB3" w:rsidRDefault="00197DB3">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eastAsia="fr-FR" w:bidi="ar-SA"/>
              </w:rPr>
            </w:pPr>
            <w:r>
              <w:rPr>
                <w:rFonts w:asciiTheme="minorHAnsi" w:hAnsiTheme="minorHAnsi" w:cstheme="minorHAnsi"/>
                <w:lang w:eastAsia="fr-FR" w:bidi="ar-SA"/>
              </w:rPr>
              <w:t>AMO</w:t>
            </w:r>
          </w:p>
        </w:tc>
      </w:tr>
      <w:tr w:rsidR="00197DB3" w14:paraId="05A7D6EE" w14:textId="77777777" w:rsidTr="00197DB3">
        <w:tc>
          <w:tcPr>
            <w:cnfStyle w:val="001000000000" w:firstRow="0" w:lastRow="0" w:firstColumn="1" w:lastColumn="0" w:oddVBand="0" w:evenVBand="0" w:oddHBand="0" w:evenHBand="0" w:firstRowFirstColumn="0" w:firstRowLastColumn="0" w:lastRowFirstColumn="0" w:lastRowLastColumn="0"/>
            <w:tcW w:w="0" w:type="auto"/>
            <w:vMerge/>
            <w:tcBorders>
              <w:top w:val="single" w:sz="4" w:space="0" w:color="B4C6E7"/>
              <w:left w:val="single" w:sz="4" w:space="0" w:color="B4C6E7"/>
              <w:bottom w:val="single" w:sz="4" w:space="0" w:color="B4C6E7"/>
              <w:right w:val="single" w:sz="4" w:space="0" w:color="B4C6E7"/>
            </w:tcBorders>
            <w:vAlign w:val="center"/>
            <w:hideMark/>
          </w:tcPr>
          <w:p w14:paraId="19D0ABE6" w14:textId="77777777" w:rsidR="00197DB3" w:rsidRDefault="00197DB3">
            <w:pPr>
              <w:spacing w:before="0" w:after="0" w:line="240" w:lineRule="auto"/>
              <w:jc w:val="left"/>
              <w:rPr>
                <w:rFonts w:asciiTheme="minorHAnsi" w:hAnsiTheme="minorHAnsi" w:cstheme="minorHAnsi"/>
                <w:sz w:val="22"/>
                <w:lang w:eastAsia="fr-FR" w:bidi="ar-SA"/>
              </w:rPr>
            </w:pPr>
          </w:p>
        </w:tc>
        <w:tc>
          <w:tcPr>
            <w:tcW w:w="0" w:type="auto"/>
            <w:tcBorders>
              <w:top w:val="single" w:sz="4" w:space="0" w:color="B4C6E7"/>
              <w:left w:val="single" w:sz="4" w:space="0" w:color="B4C6E7"/>
              <w:bottom w:val="single" w:sz="4" w:space="0" w:color="B4C6E7"/>
              <w:right w:val="single" w:sz="4" w:space="0" w:color="B4C6E7"/>
            </w:tcBorders>
            <w:hideMark/>
          </w:tcPr>
          <w:p w14:paraId="755F4682" w14:textId="77777777" w:rsidR="00197DB3" w:rsidRDefault="00197DB3">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eastAsia="fr-FR" w:bidi="ar-SA"/>
              </w:rPr>
            </w:pPr>
            <w:r>
              <w:rPr>
                <w:rFonts w:asciiTheme="minorHAnsi" w:hAnsiTheme="minorHAnsi" w:cstheme="minorHAnsi"/>
                <w:lang w:eastAsia="fr-FR" w:bidi="ar-SA"/>
              </w:rPr>
              <w:t>Spécialiste social/genre</w:t>
            </w:r>
          </w:p>
        </w:tc>
        <w:tc>
          <w:tcPr>
            <w:tcW w:w="0" w:type="auto"/>
            <w:tcBorders>
              <w:top w:val="single" w:sz="4" w:space="0" w:color="B4C6E7"/>
              <w:left w:val="single" w:sz="4" w:space="0" w:color="B4C6E7"/>
              <w:bottom w:val="single" w:sz="4" w:space="0" w:color="B4C6E7"/>
              <w:right w:val="single" w:sz="4" w:space="0" w:color="B4C6E7"/>
            </w:tcBorders>
            <w:hideMark/>
          </w:tcPr>
          <w:p w14:paraId="6320CCA8" w14:textId="77777777" w:rsidR="00197DB3" w:rsidRDefault="00197DB3">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eastAsia="fr-FR" w:bidi="ar-SA"/>
              </w:rPr>
            </w:pPr>
            <w:r>
              <w:rPr>
                <w:rFonts w:asciiTheme="minorHAnsi" w:hAnsiTheme="minorHAnsi" w:cstheme="minorHAnsi"/>
                <w:lang w:eastAsia="fr-FR" w:bidi="ar-SA"/>
              </w:rPr>
              <w:t>Suivi SEAH/VBG et relations communautaires</w:t>
            </w:r>
          </w:p>
        </w:tc>
        <w:tc>
          <w:tcPr>
            <w:tcW w:w="0" w:type="auto"/>
            <w:tcBorders>
              <w:top w:val="single" w:sz="4" w:space="0" w:color="B4C6E7"/>
              <w:left w:val="single" w:sz="4" w:space="0" w:color="B4C6E7"/>
              <w:bottom w:val="single" w:sz="4" w:space="0" w:color="B4C6E7"/>
              <w:right w:val="single" w:sz="4" w:space="0" w:color="B4C6E7"/>
            </w:tcBorders>
            <w:hideMark/>
          </w:tcPr>
          <w:p w14:paraId="7C58245E" w14:textId="77777777" w:rsidR="00197DB3" w:rsidRDefault="00197DB3">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eastAsia="fr-FR" w:bidi="ar-SA"/>
              </w:rPr>
            </w:pPr>
            <w:r>
              <w:rPr>
                <w:rFonts w:asciiTheme="minorHAnsi" w:hAnsiTheme="minorHAnsi" w:cstheme="minorHAnsi"/>
                <w:lang w:eastAsia="fr-FR" w:bidi="ar-SA"/>
              </w:rPr>
              <w:t>204 000</w:t>
            </w:r>
          </w:p>
        </w:tc>
        <w:tc>
          <w:tcPr>
            <w:tcW w:w="0" w:type="auto"/>
            <w:tcBorders>
              <w:top w:val="single" w:sz="4" w:space="0" w:color="B4C6E7"/>
              <w:left w:val="single" w:sz="4" w:space="0" w:color="B4C6E7"/>
              <w:bottom w:val="single" w:sz="4" w:space="0" w:color="B4C6E7"/>
              <w:right w:val="single" w:sz="4" w:space="0" w:color="B4C6E7"/>
            </w:tcBorders>
            <w:hideMark/>
          </w:tcPr>
          <w:p w14:paraId="5C781418" w14:textId="77777777" w:rsidR="00197DB3" w:rsidRDefault="00197DB3">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eastAsia="fr-FR" w:bidi="ar-SA"/>
              </w:rPr>
            </w:pPr>
            <w:r>
              <w:rPr>
                <w:rFonts w:asciiTheme="minorHAnsi" w:hAnsiTheme="minorHAnsi" w:cstheme="minorHAnsi"/>
                <w:lang w:eastAsia="fr-FR" w:bidi="ar-SA"/>
              </w:rPr>
              <w:t>AMO</w:t>
            </w:r>
          </w:p>
        </w:tc>
      </w:tr>
      <w:tr w:rsidR="00197DB3" w14:paraId="7CD74EEF" w14:textId="77777777" w:rsidTr="00197DB3">
        <w:tc>
          <w:tcPr>
            <w:cnfStyle w:val="001000000000" w:firstRow="0" w:lastRow="0" w:firstColumn="1" w:lastColumn="0" w:oddVBand="0" w:evenVBand="0" w:oddHBand="0" w:evenHBand="0" w:firstRowFirstColumn="0" w:firstRowLastColumn="0" w:lastRowFirstColumn="0" w:lastRowLastColumn="0"/>
            <w:tcW w:w="0" w:type="auto"/>
            <w:vMerge/>
            <w:tcBorders>
              <w:top w:val="single" w:sz="4" w:space="0" w:color="B4C6E7"/>
              <w:left w:val="single" w:sz="4" w:space="0" w:color="B4C6E7"/>
              <w:bottom w:val="single" w:sz="4" w:space="0" w:color="B4C6E7"/>
              <w:right w:val="single" w:sz="4" w:space="0" w:color="B4C6E7"/>
            </w:tcBorders>
            <w:vAlign w:val="center"/>
            <w:hideMark/>
          </w:tcPr>
          <w:p w14:paraId="12ED25C1" w14:textId="77777777" w:rsidR="00197DB3" w:rsidRDefault="00197DB3">
            <w:pPr>
              <w:spacing w:before="0" w:after="0" w:line="240" w:lineRule="auto"/>
              <w:jc w:val="left"/>
              <w:rPr>
                <w:rFonts w:asciiTheme="minorHAnsi" w:hAnsiTheme="minorHAnsi" w:cstheme="minorHAnsi"/>
                <w:sz w:val="22"/>
                <w:lang w:eastAsia="fr-FR" w:bidi="ar-SA"/>
              </w:rPr>
            </w:pPr>
          </w:p>
        </w:tc>
        <w:tc>
          <w:tcPr>
            <w:tcW w:w="0" w:type="auto"/>
            <w:tcBorders>
              <w:top w:val="single" w:sz="4" w:space="0" w:color="B4C6E7"/>
              <w:left w:val="single" w:sz="4" w:space="0" w:color="B4C6E7"/>
              <w:bottom w:val="single" w:sz="4" w:space="0" w:color="B4C6E7"/>
              <w:right w:val="single" w:sz="4" w:space="0" w:color="B4C6E7"/>
            </w:tcBorders>
            <w:hideMark/>
          </w:tcPr>
          <w:p w14:paraId="2ECE26EB" w14:textId="77777777" w:rsidR="00197DB3" w:rsidRDefault="00197DB3">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eastAsia="fr-FR" w:bidi="ar-SA"/>
              </w:rPr>
            </w:pPr>
            <w:r>
              <w:rPr>
                <w:rFonts w:asciiTheme="minorHAnsi" w:hAnsiTheme="minorHAnsi" w:cstheme="minorHAnsi"/>
                <w:lang w:eastAsia="fr-FR" w:bidi="ar-SA"/>
              </w:rPr>
              <w:t>Suivi par l’ONDA</w:t>
            </w:r>
          </w:p>
        </w:tc>
        <w:tc>
          <w:tcPr>
            <w:tcW w:w="0" w:type="auto"/>
            <w:tcBorders>
              <w:top w:val="single" w:sz="4" w:space="0" w:color="B4C6E7"/>
              <w:left w:val="single" w:sz="4" w:space="0" w:color="B4C6E7"/>
              <w:bottom w:val="single" w:sz="4" w:space="0" w:color="B4C6E7"/>
              <w:right w:val="single" w:sz="4" w:space="0" w:color="B4C6E7"/>
            </w:tcBorders>
            <w:hideMark/>
          </w:tcPr>
          <w:p w14:paraId="35B7DBFD" w14:textId="77777777" w:rsidR="00197DB3" w:rsidRDefault="00197DB3">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eastAsia="fr-FR" w:bidi="ar-SA"/>
              </w:rPr>
            </w:pPr>
            <w:r>
              <w:rPr>
                <w:rFonts w:asciiTheme="minorHAnsi" w:hAnsiTheme="minorHAnsi" w:cstheme="minorHAnsi"/>
                <w:lang w:eastAsia="fr-FR" w:bidi="ar-SA"/>
              </w:rPr>
              <w:t>Vérification conformité BAD &amp; Loi 12-03</w:t>
            </w:r>
          </w:p>
        </w:tc>
        <w:tc>
          <w:tcPr>
            <w:tcW w:w="0" w:type="auto"/>
            <w:tcBorders>
              <w:top w:val="single" w:sz="4" w:space="0" w:color="B4C6E7"/>
              <w:left w:val="single" w:sz="4" w:space="0" w:color="B4C6E7"/>
              <w:bottom w:val="single" w:sz="4" w:space="0" w:color="B4C6E7"/>
              <w:right w:val="single" w:sz="4" w:space="0" w:color="B4C6E7"/>
            </w:tcBorders>
            <w:hideMark/>
          </w:tcPr>
          <w:p w14:paraId="697F51D9" w14:textId="77777777" w:rsidR="00197DB3" w:rsidRDefault="00197DB3">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eastAsia="fr-FR" w:bidi="ar-SA"/>
              </w:rPr>
            </w:pPr>
            <w:r>
              <w:rPr>
                <w:rFonts w:asciiTheme="minorHAnsi" w:hAnsiTheme="minorHAnsi" w:cstheme="minorHAnsi"/>
                <w:lang w:eastAsia="fr-FR" w:bidi="ar-SA"/>
              </w:rPr>
              <w:t>80 000</w:t>
            </w:r>
          </w:p>
        </w:tc>
        <w:tc>
          <w:tcPr>
            <w:tcW w:w="0" w:type="auto"/>
            <w:tcBorders>
              <w:top w:val="single" w:sz="4" w:space="0" w:color="B4C6E7"/>
              <w:left w:val="single" w:sz="4" w:space="0" w:color="B4C6E7"/>
              <w:bottom w:val="single" w:sz="4" w:space="0" w:color="B4C6E7"/>
              <w:right w:val="single" w:sz="4" w:space="0" w:color="B4C6E7"/>
            </w:tcBorders>
            <w:hideMark/>
          </w:tcPr>
          <w:p w14:paraId="5473E2F9" w14:textId="77777777" w:rsidR="00197DB3" w:rsidRDefault="00197DB3">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eastAsia="fr-FR" w:bidi="ar-SA"/>
              </w:rPr>
            </w:pPr>
            <w:r>
              <w:rPr>
                <w:rFonts w:asciiTheme="minorHAnsi" w:hAnsiTheme="minorHAnsi" w:cstheme="minorHAnsi"/>
                <w:lang w:eastAsia="fr-FR" w:bidi="ar-SA"/>
              </w:rPr>
              <w:t>ONDA</w:t>
            </w:r>
          </w:p>
        </w:tc>
      </w:tr>
      <w:tr w:rsidR="00197DB3" w14:paraId="18A159CE" w14:textId="77777777" w:rsidTr="00197DB3">
        <w:tc>
          <w:tcPr>
            <w:cnfStyle w:val="001000000000" w:firstRow="0" w:lastRow="0" w:firstColumn="1" w:lastColumn="0" w:oddVBand="0" w:evenVBand="0" w:oddHBand="0" w:evenHBand="0" w:firstRowFirstColumn="0" w:firstRowLastColumn="0" w:lastRowFirstColumn="0" w:lastRowLastColumn="0"/>
            <w:tcW w:w="0" w:type="auto"/>
            <w:vMerge/>
            <w:tcBorders>
              <w:top w:val="single" w:sz="4" w:space="0" w:color="B4C6E7"/>
              <w:left w:val="single" w:sz="4" w:space="0" w:color="B4C6E7"/>
              <w:bottom w:val="single" w:sz="4" w:space="0" w:color="B4C6E7"/>
              <w:right w:val="single" w:sz="4" w:space="0" w:color="B4C6E7"/>
            </w:tcBorders>
            <w:vAlign w:val="center"/>
            <w:hideMark/>
          </w:tcPr>
          <w:p w14:paraId="6AFC16EA" w14:textId="77777777" w:rsidR="00197DB3" w:rsidRDefault="00197DB3">
            <w:pPr>
              <w:spacing w:before="0" w:after="0" w:line="240" w:lineRule="auto"/>
              <w:jc w:val="left"/>
              <w:rPr>
                <w:rFonts w:asciiTheme="minorHAnsi" w:hAnsiTheme="minorHAnsi" w:cstheme="minorHAnsi"/>
                <w:sz w:val="22"/>
                <w:lang w:eastAsia="fr-FR" w:bidi="ar-SA"/>
              </w:rPr>
            </w:pPr>
          </w:p>
        </w:tc>
        <w:tc>
          <w:tcPr>
            <w:tcW w:w="0" w:type="auto"/>
            <w:tcBorders>
              <w:top w:val="single" w:sz="4" w:space="0" w:color="B4C6E7"/>
              <w:left w:val="single" w:sz="4" w:space="0" w:color="B4C6E7"/>
              <w:bottom w:val="single" w:sz="4" w:space="0" w:color="B4C6E7"/>
              <w:right w:val="single" w:sz="4" w:space="0" w:color="B4C6E7"/>
            </w:tcBorders>
            <w:hideMark/>
          </w:tcPr>
          <w:p w14:paraId="64080505" w14:textId="77777777" w:rsidR="00197DB3" w:rsidRDefault="00197DB3">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eastAsia="fr-FR" w:bidi="ar-SA"/>
              </w:rPr>
            </w:pPr>
            <w:r>
              <w:rPr>
                <w:rFonts w:asciiTheme="minorHAnsi" w:hAnsiTheme="minorHAnsi" w:cstheme="minorHAnsi"/>
                <w:lang w:eastAsia="fr-FR" w:bidi="ar-SA"/>
              </w:rPr>
              <w:t>Surveillance qualité de l’air</w:t>
            </w:r>
          </w:p>
        </w:tc>
        <w:tc>
          <w:tcPr>
            <w:tcW w:w="0" w:type="auto"/>
            <w:tcBorders>
              <w:top w:val="single" w:sz="4" w:space="0" w:color="B4C6E7"/>
              <w:left w:val="single" w:sz="4" w:space="0" w:color="B4C6E7"/>
              <w:bottom w:val="single" w:sz="4" w:space="0" w:color="B4C6E7"/>
              <w:right w:val="single" w:sz="4" w:space="0" w:color="B4C6E7"/>
            </w:tcBorders>
            <w:hideMark/>
          </w:tcPr>
          <w:p w14:paraId="22B56DF4" w14:textId="77777777" w:rsidR="00197DB3" w:rsidRDefault="00197DB3">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eastAsia="fr-FR" w:bidi="ar-SA"/>
              </w:rPr>
            </w:pPr>
            <w:r>
              <w:rPr>
                <w:rFonts w:asciiTheme="minorHAnsi" w:hAnsiTheme="minorHAnsi" w:cstheme="minorHAnsi"/>
                <w:lang w:eastAsia="fr-FR" w:bidi="ar-SA"/>
              </w:rPr>
              <w:t>Campagnes annuelles (NO₂, SO₂, PM₁₀)</w:t>
            </w:r>
          </w:p>
        </w:tc>
        <w:tc>
          <w:tcPr>
            <w:tcW w:w="0" w:type="auto"/>
            <w:tcBorders>
              <w:top w:val="single" w:sz="4" w:space="0" w:color="B4C6E7"/>
              <w:left w:val="single" w:sz="4" w:space="0" w:color="B4C6E7"/>
              <w:bottom w:val="single" w:sz="4" w:space="0" w:color="B4C6E7"/>
              <w:right w:val="single" w:sz="4" w:space="0" w:color="B4C6E7"/>
            </w:tcBorders>
            <w:hideMark/>
          </w:tcPr>
          <w:p w14:paraId="2547FB04" w14:textId="77777777" w:rsidR="00197DB3" w:rsidRDefault="00197DB3">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eastAsia="fr-FR" w:bidi="ar-SA"/>
              </w:rPr>
            </w:pPr>
            <w:r>
              <w:rPr>
                <w:rFonts w:asciiTheme="minorHAnsi" w:hAnsiTheme="minorHAnsi" w:cstheme="minorHAnsi"/>
                <w:lang w:eastAsia="fr-FR" w:bidi="ar-SA"/>
              </w:rPr>
              <w:t>25 000</w:t>
            </w:r>
          </w:p>
        </w:tc>
        <w:tc>
          <w:tcPr>
            <w:tcW w:w="0" w:type="auto"/>
            <w:tcBorders>
              <w:top w:val="single" w:sz="4" w:space="0" w:color="B4C6E7"/>
              <w:left w:val="single" w:sz="4" w:space="0" w:color="B4C6E7"/>
              <w:bottom w:val="single" w:sz="4" w:space="0" w:color="B4C6E7"/>
              <w:right w:val="single" w:sz="4" w:space="0" w:color="B4C6E7"/>
            </w:tcBorders>
            <w:hideMark/>
          </w:tcPr>
          <w:p w14:paraId="557585F8" w14:textId="77777777" w:rsidR="00197DB3" w:rsidRDefault="00197DB3">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eastAsia="fr-FR" w:bidi="ar-SA"/>
              </w:rPr>
            </w:pPr>
            <w:r>
              <w:rPr>
                <w:rFonts w:asciiTheme="minorHAnsi" w:hAnsiTheme="minorHAnsi" w:cstheme="minorHAnsi"/>
                <w:lang w:eastAsia="fr-FR" w:bidi="ar-SA"/>
              </w:rPr>
              <w:t>ONDA</w:t>
            </w:r>
          </w:p>
        </w:tc>
      </w:tr>
      <w:tr w:rsidR="00197DB3" w14:paraId="651B96E5" w14:textId="77777777" w:rsidTr="00197DB3">
        <w:tc>
          <w:tcPr>
            <w:cnfStyle w:val="001000000000" w:firstRow="0" w:lastRow="0" w:firstColumn="1" w:lastColumn="0" w:oddVBand="0" w:evenVBand="0" w:oddHBand="0" w:evenHBand="0" w:firstRowFirstColumn="0" w:firstRowLastColumn="0" w:lastRowFirstColumn="0" w:lastRowLastColumn="0"/>
            <w:tcW w:w="0" w:type="auto"/>
            <w:vMerge/>
            <w:tcBorders>
              <w:top w:val="single" w:sz="4" w:space="0" w:color="B4C6E7"/>
              <w:left w:val="single" w:sz="4" w:space="0" w:color="B4C6E7"/>
              <w:bottom w:val="single" w:sz="4" w:space="0" w:color="B4C6E7"/>
              <w:right w:val="single" w:sz="4" w:space="0" w:color="B4C6E7"/>
            </w:tcBorders>
            <w:vAlign w:val="center"/>
            <w:hideMark/>
          </w:tcPr>
          <w:p w14:paraId="00FEFE18" w14:textId="77777777" w:rsidR="00197DB3" w:rsidRDefault="00197DB3">
            <w:pPr>
              <w:spacing w:before="0" w:after="0" w:line="240" w:lineRule="auto"/>
              <w:jc w:val="left"/>
              <w:rPr>
                <w:rFonts w:asciiTheme="minorHAnsi" w:hAnsiTheme="minorHAnsi" w:cstheme="minorHAnsi"/>
                <w:sz w:val="22"/>
                <w:lang w:eastAsia="fr-FR" w:bidi="ar-SA"/>
              </w:rPr>
            </w:pPr>
          </w:p>
        </w:tc>
        <w:tc>
          <w:tcPr>
            <w:tcW w:w="0" w:type="auto"/>
            <w:tcBorders>
              <w:top w:val="single" w:sz="4" w:space="0" w:color="B4C6E7"/>
              <w:left w:val="single" w:sz="4" w:space="0" w:color="B4C6E7"/>
              <w:bottom w:val="single" w:sz="4" w:space="0" w:color="B4C6E7"/>
              <w:right w:val="single" w:sz="4" w:space="0" w:color="B4C6E7"/>
            </w:tcBorders>
            <w:hideMark/>
          </w:tcPr>
          <w:p w14:paraId="5166926B" w14:textId="77777777" w:rsidR="00197DB3" w:rsidRDefault="00197DB3">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eastAsia="fr-FR" w:bidi="ar-SA"/>
              </w:rPr>
            </w:pPr>
            <w:r>
              <w:rPr>
                <w:rFonts w:asciiTheme="minorHAnsi" w:hAnsiTheme="minorHAnsi" w:cstheme="minorHAnsi"/>
                <w:lang w:eastAsia="fr-FR" w:bidi="ar-SA"/>
              </w:rPr>
              <w:t>Mesure du bruit aéronautique</w:t>
            </w:r>
          </w:p>
        </w:tc>
        <w:tc>
          <w:tcPr>
            <w:tcW w:w="0" w:type="auto"/>
            <w:tcBorders>
              <w:top w:val="single" w:sz="4" w:space="0" w:color="B4C6E7"/>
              <w:left w:val="single" w:sz="4" w:space="0" w:color="B4C6E7"/>
              <w:bottom w:val="single" w:sz="4" w:space="0" w:color="B4C6E7"/>
              <w:right w:val="single" w:sz="4" w:space="0" w:color="B4C6E7"/>
            </w:tcBorders>
            <w:hideMark/>
          </w:tcPr>
          <w:p w14:paraId="670BF972" w14:textId="77777777" w:rsidR="00197DB3" w:rsidRDefault="00197DB3">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eastAsia="fr-FR" w:bidi="ar-SA"/>
              </w:rPr>
            </w:pPr>
            <w:r>
              <w:rPr>
                <w:rFonts w:asciiTheme="minorHAnsi" w:hAnsiTheme="minorHAnsi" w:cstheme="minorHAnsi"/>
                <w:lang w:eastAsia="fr-FR" w:bidi="ar-SA"/>
              </w:rPr>
              <w:t>Campagnes semestrielles</w:t>
            </w:r>
          </w:p>
        </w:tc>
        <w:tc>
          <w:tcPr>
            <w:tcW w:w="0" w:type="auto"/>
            <w:tcBorders>
              <w:top w:val="single" w:sz="4" w:space="0" w:color="B4C6E7"/>
              <w:left w:val="single" w:sz="4" w:space="0" w:color="B4C6E7"/>
              <w:bottom w:val="single" w:sz="4" w:space="0" w:color="B4C6E7"/>
              <w:right w:val="single" w:sz="4" w:space="0" w:color="B4C6E7"/>
            </w:tcBorders>
            <w:hideMark/>
          </w:tcPr>
          <w:p w14:paraId="516D8944" w14:textId="77777777" w:rsidR="00197DB3" w:rsidRDefault="00197DB3">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eastAsia="fr-FR" w:bidi="ar-SA"/>
              </w:rPr>
            </w:pPr>
            <w:r>
              <w:rPr>
                <w:rFonts w:asciiTheme="minorHAnsi" w:hAnsiTheme="minorHAnsi" w:cstheme="minorHAnsi"/>
                <w:lang w:eastAsia="fr-FR" w:bidi="ar-SA"/>
              </w:rPr>
              <w:t>15 000</w:t>
            </w:r>
          </w:p>
        </w:tc>
        <w:tc>
          <w:tcPr>
            <w:tcW w:w="0" w:type="auto"/>
            <w:tcBorders>
              <w:top w:val="single" w:sz="4" w:space="0" w:color="B4C6E7"/>
              <w:left w:val="single" w:sz="4" w:space="0" w:color="B4C6E7"/>
              <w:bottom w:val="single" w:sz="4" w:space="0" w:color="B4C6E7"/>
              <w:right w:val="single" w:sz="4" w:space="0" w:color="B4C6E7"/>
            </w:tcBorders>
            <w:hideMark/>
          </w:tcPr>
          <w:p w14:paraId="7237E365" w14:textId="77777777" w:rsidR="00197DB3" w:rsidRDefault="00197DB3">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eastAsia="fr-FR" w:bidi="ar-SA"/>
              </w:rPr>
            </w:pPr>
            <w:r>
              <w:rPr>
                <w:rFonts w:asciiTheme="minorHAnsi" w:hAnsiTheme="minorHAnsi" w:cstheme="minorHAnsi"/>
                <w:lang w:eastAsia="fr-FR" w:bidi="ar-SA"/>
              </w:rPr>
              <w:t>ONDA</w:t>
            </w:r>
          </w:p>
        </w:tc>
      </w:tr>
      <w:tr w:rsidR="00197DB3" w14:paraId="7C48FCBD" w14:textId="77777777" w:rsidTr="00197DB3">
        <w:tc>
          <w:tcPr>
            <w:cnfStyle w:val="001000000000" w:firstRow="0" w:lastRow="0" w:firstColumn="1" w:lastColumn="0" w:oddVBand="0" w:evenVBand="0" w:oddHBand="0" w:evenHBand="0" w:firstRowFirstColumn="0" w:firstRowLastColumn="0" w:lastRowFirstColumn="0" w:lastRowLastColumn="0"/>
            <w:tcW w:w="0" w:type="auto"/>
            <w:vMerge/>
            <w:tcBorders>
              <w:top w:val="single" w:sz="4" w:space="0" w:color="B4C6E7"/>
              <w:left w:val="single" w:sz="4" w:space="0" w:color="B4C6E7"/>
              <w:bottom w:val="single" w:sz="4" w:space="0" w:color="B4C6E7"/>
              <w:right w:val="single" w:sz="4" w:space="0" w:color="B4C6E7"/>
            </w:tcBorders>
            <w:vAlign w:val="center"/>
            <w:hideMark/>
          </w:tcPr>
          <w:p w14:paraId="6E78BD1C" w14:textId="77777777" w:rsidR="00197DB3" w:rsidRDefault="00197DB3">
            <w:pPr>
              <w:spacing w:before="0" w:after="0" w:line="240" w:lineRule="auto"/>
              <w:jc w:val="left"/>
              <w:rPr>
                <w:rFonts w:asciiTheme="minorHAnsi" w:hAnsiTheme="minorHAnsi" w:cstheme="minorHAnsi"/>
                <w:sz w:val="22"/>
                <w:lang w:eastAsia="fr-FR" w:bidi="ar-SA"/>
              </w:rPr>
            </w:pPr>
          </w:p>
        </w:tc>
        <w:tc>
          <w:tcPr>
            <w:tcW w:w="0" w:type="auto"/>
            <w:tcBorders>
              <w:top w:val="single" w:sz="4" w:space="0" w:color="B4C6E7"/>
              <w:left w:val="single" w:sz="4" w:space="0" w:color="B4C6E7"/>
              <w:bottom w:val="single" w:sz="4" w:space="0" w:color="B4C6E7"/>
              <w:right w:val="single" w:sz="4" w:space="0" w:color="B4C6E7"/>
            </w:tcBorders>
            <w:hideMark/>
          </w:tcPr>
          <w:p w14:paraId="28FBC6EC" w14:textId="77777777" w:rsidR="00197DB3" w:rsidRDefault="00197DB3">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eastAsia="fr-FR" w:bidi="ar-SA"/>
              </w:rPr>
            </w:pPr>
            <w:r>
              <w:rPr>
                <w:rFonts w:asciiTheme="minorHAnsi" w:hAnsiTheme="minorHAnsi" w:cstheme="minorHAnsi"/>
                <w:lang w:eastAsia="fr-FR" w:bidi="ar-SA"/>
              </w:rPr>
              <w:t>Suivi biodiversité / paysage</w:t>
            </w:r>
          </w:p>
        </w:tc>
        <w:tc>
          <w:tcPr>
            <w:tcW w:w="0" w:type="auto"/>
            <w:tcBorders>
              <w:top w:val="single" w:sz="4" w:space="0" w:color="B4C6E7"/>
              <w:left w:val="single" w:sz="4" w:space="0" w:color="B4C6E7"/>
              <w:bottom w:val="single" w:sz="4" w:space="0" w:color="B4C6E7"/>
              <w:right w:val="single" w:sz="4" w:space="0" w:color="B4C6E7"/>
            </w:tcBorders>
            <w:hideMark/>
          </w:tcPr>
          <w:p w14:paraId="5E0B0700" w14:textId="77777777" w:rsidR="00197DB3" w:rsidRDefault="00197DB3">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eastAsia="fr-FR" w:bidi="ar-SA"/>
              </w:rPr>
            </w:pPr>
            <w:r>
              <w:rPr>
                <w:rFonts w:asciiTheme="minorHAnsi" w:hAnsiTheme="minorHAnsi" w:cstheme="minorHAnsi"/>
                <w:lang w:eastAsia="fr-FR" w:bidi="ar-SA"/>
              </w:rPr>
              <w:t>Inspection semestrielle</w:t>
            </w:r>
          </w:p>
        </w:tc>
        <w:tc>
          <w:tcPr>
            <w:tcW w:w="0" w:type="auto"/>
            <w:tcBorders>
              <w:top w:val="single" w:sz="4" w:space="0" w:color="B4C6E7"/>
              <w:left w:val="single" w:sz="4" w:space="0" w:color="B4C6E7"/>
              <w:bottom w:val="single" w:sz="4" w:space="0" w:color="B4C6E7"/>
              <w:right w:val="single" w:sz="4" w:space="0" w:color="B4C6E7"/>
            </w:tcBorders>
            <w:hideMark/>
          </w:tcPr>
          <w:p w14:paraId="68187ED6" w14:textId="77777777" w:rsidR="00197DB3" w:rsidRDefault="00197DB3">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eastAsia="fr-FR" w:bidi="ar-SA"/>
              </w:rPr>
            </w:pPr>
            <w:r>
              <w:rPr>
                <w:rFonts w:asciiTheme="minorHAnsi" w:hAnsiTheme="minorHAnsi" w:cstheme="minorHAnsi"/>
                <w:lang w:eastAsia="fr-FR" w:bidi="ar-SA"/>
              </w:rPr>
              <w:t>10 000</w:t>
            </w:r>
          </w:p>
        </w:tc>
        <w:tc>
          <w:tcPr>
            <w:tcW w:w="0" w:type="auto"/>
            <w:tcBorders>
              <w:top w:val="single" w:sz="4" w:space="0" w:color="B4C6E7"/>
              <w:left w:val="single" w:sz="4" w:space="0" w:color="B4C6E7"/>
              <w:bottom w:val="single" w:sz="4" w:space="0" w:color="B4C6E7"/>
              <w:right w:val="single" w:sz="4" w:space="0" w:color="B4C6E7"/>
            </w:tcBorders>
            <w:hideMark/>
          </w:tcPr>
          <w:p w14:paraId="0EC6D0E8" w14:textId="77777777" w:rsidR="00197DB3" w:rsidRDefault="00197DB3">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eastAsia="fr-FR" w:bidi="ar-SA"/>
              </w:rPr>
            </w:pPr>
            <w:r>
              <w:rPr>
                <w:rFonts w:asciiTheme="minorHAnsi" w:hAnsiTheme="minorHAnsi" w:cstheme="minorHAnsi"/>
                <w:lang w:eastAsia="fr-FR" w:bidi="ar-SA"/>
              </w:rPr>
              <w:t>ONDA</w:t>
            </w:r>
          </w:p>
        </w:tc>
      </w:tr>
      <w:tr w:rsidR="00197DB3" w14:paraId="17351058" w14:textId="77777777" w:rsidTr="00197DB3">
        <w:tc>
          <w:tcPr>
            <w:cnfStyle w:val="001000000000" w:firstRow="0" w:lastRow="0" w:firstColumn="1" w:lastColumn="0" w:oddVBand="0" w:evenVBand="0" w:oddHBand="0" w:evenHBand="0" w:firstRowFirstColumn="0" w:firstRowLastColumn="0" w:lastRowFirstColumn="0" w:lastRowLastColumn="0"/>
            <w:tcW w:w="0" w:type="auto"/>
            <w:gridSpan w:val="5"/>
            <w:tcBorders>
              <w:top w:val="single" w:sz="4" w:space="0" w:color="B4C6E7"/>
              <w:left w:val="single" w:sz="4" w:space="0" w:color="B4C6E7"/>
              <w:bottom w:val="single" w:sz="4" w:space="0" w:color="B4C6E7"/>
              <w:right w:val="single" w:sz="4" w:space="0" w:color="B4C6E7"/>
            </w:tcBorders>
            <w:hideMark/>
          </w:tcPr>
          <w:p w14:paraId="1714E22A" w14:textId="77777777" w:rsidR="00197DB3" w:rsidRDefault="00197DB3">
            <w:pPr>
              <w:spacing w:before="0" w:after="0" w:line="240" w:lineRule="auto"/>
              <w:jc w:val="center"/>
              <w:rPr>
                <w:rFonts w:asciiTheme="minorHAnsi" w:hAnsiTheme="minorHAnsi" w:cstheme="minorHAnsi"/>
                <w:lang w:eastAsia="fr-FR" w:bidi="ar-SA"/>
              </w:rPr>
            </w:pPr>
            <w:r>
              <w:rPr>
                <w:rFonts w:asciiTheme="minorHAnsi" w:hAnsiTheme="minorHAnsi" w:cstheme="minorHAnsi"/>
                <w:lang w:eastAsia="fr-FR" w:bidi="ar-SA"/>
              </w:rPr>
              <w:t>Coût total suivi E&amp;S : 538 000 MAD</w:t>
            </w:r>
          </w:p>
        </w:tc>
      </w:tr>
      <w:tr w:rsidR="00197DB3" w14:paraId="64B3214E" w14:textId="77777777" w:rsidTr="00197DB3">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B4C6E7"/>
              <w:left w:val="single" w:sz="4" w:space="0" w:color="B4C6E7"/>
              <w:bottom w:val="single" w:sz="4" w:space="0" w:color="B4C6E7"/>
              <w:right w:val="single" w:sz="4" w:space="0" w:color="B4C6E7"/>
            </w:tcBorders>
            <w:hideMark/>
          </w:tcPr>
          <w:p w14:paraId="69C0C473" w14:textId="77777777" w:rsidR="00197DB3" w:rsidRDefault="00197DB3">
            <w:pPr>
              <w:spacing w:before="0" w:after="0" w:line="240" w:lineRule="auto"/>
              <w:jc w:val="left"/>
              <w:rPr>
                <w:rFonts w:asciiTheme="minorHAnsi" w:hAnsiTheme="minorHAnsi" w:cstheme="minorHAnsi"/>
                <w:lang w:eastAsia="fr-FR" w:bidi="ar-SA"/>
              </w:rPr>
            </w:pPr>
            <w:r>
              <w:rPr>
                <w:rFonts w:asciiTheme="minorHAnsi" w:hAnsiTheme="minorHAnsi" w:cstheme="minorHAnsi"/>
                <w:lang w:eastAsia="fr-FR" w:bidi="ar-SA"/>
              </w:rPr>
              <w:t>Renforcement des capactité</w:t>
            </w:r>
          </w:p>
        </w:tc>
        <w:tc>
          <w:tcPr>
            <w:tcW w:w="0" w:type="auto"/>
            <w:tcBorders>
              <w:top w:val="single" w:sz="4" w:space="0" w:color="B4C6E7"/>
              <w:left w:val="single" w:sz="4" w:space="0" w:color="B4C6E7"/>
              <w:bottom w:val="single" w:sz="4" w:space="0" w:color="B4C6E7"/>
              <w:right w:val="single" w:sz="4" w:space="0" w:color="B4C6E7"/>
            </w:tcBorders>
            <w:hideMark/>
          </w:tcPr>
          <w:p w14:paraId="233D70BB" w14:textId="77777777" w:rsidR="00197DB3" w:rsidRDefault="00197DB3">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eastAsia="fr-FR" w:bidi="ar-SA"/>
              </w:rPr>
            </w:pPr>
            <w:r>
              <w:rPr>
                <w:rFonts w:asciiTheme="minorHAnsi" w:hAnsiTheme="minorHAnsi" w:cstheme="minorHAnsi"/>
                <w:lang w:eastAsia="fr-FR" w:bidi="ar-SA"/>
              </w:rPr>
              <w:t>Formation sensibilisation des acteurs institutionnels en charge de la gestion E&amp;S</w:t>
            </w:r>
          </w:p>
        </w:tc>
        <w:tc>
          <w:tcPr>
            <w:tcW w:w="0" w:type="auto"/>
            <w:tcBorders>
              <w:top w:val="single" w:sz="4" w:space="0" w:color="B4C6E7"/>
              <w:left w:val="single" w:sz="4" w:space="0" w:color="B4C6E7"/>
              <w:bottom w:val="single" w:sz="4" w:space="0" w:color="B4C6E7"/>
              <w:right w:val="single" w:sz="4" w:space="0" w:color="B4C6E7"/>
            </w:tcBorders>
            <w:hideMark/>
          </w:tcPr>
          <w:p w14:paraId="071A8091" w14:textId="77777777" w:rsidR="00197DB3" w:rsidRDefault="00197DB3">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eastAsia="fr-FR" w:bidi="ar-SA"/>
              </w:rPr>
            </w:pPr>
            <w:r>
              <w:rPr>
                <w:rFonts w:asciiTheme="minorHAnsi" w:hAnsiTheme="minorHAnsi" w:cstheme="minorHAnsi"/>
                <w:lang w:eastAsia="fr-FR" w:bidi="ar-SA"/>
              </w:rPr>
              <w:t>Mise en œuvre des PGES</w:t>
            </w:r>
          </w:p>
        </w:tc>
        <w:tc>
          <w:tcPr>
            <w:tcW w:w="0" w:type="auto"/>
            <w:tcBorders>
              <w:top w:val="single" w:sz="4" w:space="0" w:color="B4C6E7"/>
              <w:left w:val="single" w:sz="4" w:space="0" w:color="B4C6E7"/>
              <w:bottom w:val="single" w:sz="4" w:space="0" w:color="B4C6E7"/>
              <w:right w:val="single" w:sz="4" w:space="0" w:color="B4C6E7"/>
            </w:tcBorders>
            <w:hideMark/>
          </w:tcPr>
          <w:p w14:paraId="1EC2EADB" w14:textId="77777777" w:rsidR="00197DB3" w:rsidRDefault="00197DB3">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eastAsia="fr-FR" w:bidi="ar-SA"/>
              </w:rPr>
            </w:pPr>
            <w:r>
              <w:rPr>
                <w:rFonts w:asciiTheme="minorHAnsi" w:hAnsiTheme="minorHAnsi" w:cstheme="minorHAnsi"/>
                <w:lang w:eastAsia="fr-FR" w:bidi="ar-SA"/>
              </w:rPr>
              <w:t>Déjà mobilisé au niveau central</w:t>
            </w:r>
          </w:p>
        </w:tc>
        <w:tc>
          <w:tcPr>
            <w:tcW w:w="0" w:type="auto"/>
            <w:tcBorders>
              <w:top w:val="single" w:sz="4" w:space="0" w:color="B4C6E7"/>
              <w:left w:val="single" w:sz="4" w:space="0" w:color="B4C6E7"/>
              <w:bottom w:val="single" w:sz="4" w:space="0" w:color="B4C6E7"/>
              <w:right w:val="single" w:sz="4" w:space="0" w:color="B4C6E7"/>
            </w:tcBorders>
            <w:hideMark/>
          </w:tcPr>
          <w:p w14:paraId="36B8A588" w14:textId="77777777" w:rsidR="00197DB3" w:rsidRDefault="00197DB3">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eastAsia="fr-FR" w:bidi="ar-SA"/>
              </w:rPr>
            </w:pPr>
            <w:r>
              <w:rPr>
                <w:rFonts w:asciiTheme="minorHAnsi" w:hAnsiTheme="minorHAnsi" w:cstheme="minorHAnsi"/>
                <w:lang w:eastAsia="fr-FR" w:bidi="ar-SA"/>
              </w:rPr>
              <w:t>ONDA</w:t>
            </w:r>
          </w:p>
        </w:tc>
      </w:tr>
      <w:tr w:rsidR="00197DB3" w14:paraId="142AF3DA" w14:textId="77777777" w:rsidTr="00197DB3">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B4C6E7"/>
              <w:left w:val="single" w:sz="4" w:space="0" w:color="B4C6E7"/>
              <w:bottom w:val="single" w:sz="4" w:space="0" w:color="B4C6E7"/>
              <w:right w:val="single" w:sz="4" w:space="0" w:color="B4C6E7"/>
            </w:tcBorders>
            <w:hideMark/>
          </w:tcPr>
          <w:p w14:paraId="47119171" w14:textId="77777777" w:rsidR="00197DB3" w:rsidRDefault="00197DB3">
            <w:pPr>
              <w:spacing w:before="0" w:after="0" w:line="240" w:lineRule="auto"/>
              <w:jc w:val="left"/>
              <w:rPr>
                <w:rFonts w:asciiTheme="minorHAnsi" w:hAnsiTheme="minorHAnsi" w:cstheme="minorHAnsi"/>
                <w:lang w:eastAsia="fr-FR" w:bidi="ar-SA"/>
              </w:rPr>
            </w:pPr>
            <w:r>
              <w:rPr>
                <w:rFonts w:asciiTheme="minorHAnsi" w:hAnsiTheme="minorHAnsi" w:cstheme="minorHAnsi"/>
                <w:lang w:eastAsia="fr-FR" w:bidi="ar-SA"/>
              </w:rPr>
              <w:t>Audit</w:t>
            </w:r>
          </w:p>
        </w:tc>
        <w:tc>
          <w:tcPr>
            <w:tcW w:w="0" w:type="auto"/>
            <w:tcBorders>
              <w:top w:val="single" w:sz="4" w:space="0" w:color="B4C6E7"/>
              <w:left w:val="single" w:sz="4" w:space="0" w:color="B4C6E7"/>
              <w:bottom w:val="single" w:sz="4" w:space="0" w:color="B4C6E7"/>
              <w:right w:val="single" w:sz="4" w:space="0" w:color="B4C6E7"/>
            </w:tcBorders>
            <w:hideMark/>
          </w:tcPr>
          <w:p w14:paraId="0805694E" w14:textId="77777777" w:rsidR="00197DB3" w:rsidRDefault="00197DB3">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eastAsia="fr-FR" w:bidi="ar-SA"/>
              </w:rPr>
            </w:pPr>
            <w:r>
              <w:rPr>
                <w:rFonts w:asciiTheme="minorHAnsi" w:hAnsiTheme="minorHAnsi" w:cstheme="minorHAnsi"/>
                <w:lang w:eastAsia="fr-FR" w:bidi="ar-SA"/>
              </w:rPr>
              <w:t>Audit E&amp;S</w:t>
            </w:r>
          </w:p>
        </w:tc>
        <w:tc>
          <w:tcPr>
            <w:tcW w:w="0" w:type="auto"/>
            <w:tcBorders>
              <w:top w:val="single" w:sz="4" w:space="0" w:color="B4C6E7"/>
              <w:left w:val="single" w:sz="4" w:space="0" w:color="B4C6E7"/>
              <w:bottom w:val="single" w:sz="4" w:space="0" w:color="B4C6E7"/>
              <w:right w:val="single" w:sz="4" w:space="0" w:color="B4C6E7"/>
            </w:tcBorders>
            <w:hideMark/>
          </w:tcPr>
          <w:p w14:paraId="52A5933A" w14:textId="77777777" w:rsidR="00197DB3" w:rsidRDefault="00197DB3">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eastAsia="fr-FR" w:bidi="ar-SA"/>
              </w:rPr>
            </w:pPr>
            <w:r>
              <w:rPr>
                <w:rFonts w:asciiTheme="minorHAnsi" w:hAnsiTheme="minorHAnsi" w:cstheme="minorHAnsi"/>
                <w:lang w:eastAsia="fr-FR" w:bidi="ar-SA"/>
              </w:rPr>
              <w:t>Audit de performance E&amp;S</w:t>
            </w:r>
          </w:p>
        </w:tc>
        <w:tc>
          <w:tcPr>
            <w:tcW w:w="0" w:type="auto"/>
            <w:tcBorders>
              <w:top w:val="single" w:sz="4" w:space="0" w:color="B4C6E7"/>
              <w:left w:val="single" w:sz="4" w:space="0" w:color="B4C6E7"/>
              <w:bottom w:val="single" w:sz="4" w:space="0" w:color="B4C6E7"/>
              <w:right w:val="single" w:sz="4" w:space="0" w:color="B4C6E7"/>
            </w:tcBorders>
            <w:hideMark/>
          </w:tcPr>
          <w:p w14:paraId="350DF342" w14:textId="77777777" w:rsidR="00197DB3" w:rsidRDefault="00197DB3">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eastAsia="fr-FR" w:bidi="ar-SA"/>
              </w:rPr>
            </w:pPr>
            <w:r>
              <w:rPr>
                <w:rFonts w:asciiTheme="minorHAnsi" w:hAnsiTheme="minorHAnsi" w:cstheme="minorHAnsi"/>
                <w:lang w:eastAsia="fr-FR" w:bidi="ar-SA"/>
              </w:rPr>
              <w:t>200 000</w:t>
            </w:r>
          </w:p>
        </w:tc>
        <w:tc>
          <w:tcPr>
            <w:tcW w:w="0" w:type="auto"/>
            <w:tcBorders>
              <w:top w:val="single" w:sz="4" w:space="0" w:color="B4C6E7"/>
              <w:left w:val="single" w:sz="4" w:space="0" w:color="B4C6E7"/>
              <w:bottom w:val="single" w:sz="4" w:space="0" w:color="B4C6E7"/>
              <w:right w:val="single" w:sz="4" w:space="0" w:color="B4C6E7"/>
            </w:tcBorders>
          </w:tcPr>
          <w:p w14:paraId="733A06FC" w14:textId="77777777" w:rsidR="00197DB3" w:rsidRDefault="00197DB3">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eastAsia="fr-FR" w:bidi="ar-SA"/>
              </w:rPr>
            </w:pPr>
          </w:p>
        </w:tc>
      </w:tr>
      <w:tr w:rsidR="00197DB3" w14:paraId="0DFD9170" w14:textId="77777777" w:rsidTr="00197DB3">
        <w:tc>
          <w:tcPr>
            <w:cnfStyle w:val="001000000000" w:firstRow="0" w:lastRow="0" w:firstColumn="1" w:lastColumn="0" w:oddVBand="0" w:evenVBand="0" w:oddHBand="0" w:evenHBand="0" w:firstRowFirstColumn="0" w:firstRowLastColumn="0" w:lastRowFirstColumn="0" w:lastRowLastColumn="0"/>
            <w:tcW w:w="0" w:type="auto"/>
            <w:gridSpan w:val="5"/>
            <w:tcBorders>
              <w:top w:val="single" w:sz="4" w:space="0" w:color="B4C6E7"/>
              <w:left w:val="single" w:sz="4" w:space="0" w:color="B4C6E7"/>
              <w:bottom w:val="single" w:sz="4" w:space="0" w:color="B4C6E7"/>
              <w:right w:val="single" w:sz="4" w:space="0" w:color="B4C6E7"/>
            </w:tcBorders>
            <w:hideMark/>
          </w:tcPr>
          <w:p w14:paraId="4ED9A0E0" w14:textId="77777777" w:rsidR="00197DB3" w:rsidRDefault="00197DB3">
            <w:pPr>
              <w:spacing w:before="0" w:after="0" w:line="240" w:lineRule="auto"/>
              <w:jc w:val="center"/>
              <w:rPr>
                <w:rFonts w:asciiTheme="minorHAnsi" w:hAnsiTheme="minorHAnsi" w:cstheme="minorHAnsi"/>
                <w:lang w:eastAsia="fr-FR" w:bidi="ar-SA"/>
              </w:rPr>
            </w:pPr>
            <w:r>
              <w:rPr>
                <w:rFonts w:asciiTheme="minorHAnsi" w:hAnsiTheme="minorHAnsi" w:cstheme="minorHAnsi"/>
                <w:lang w:eastAsia="fr-FR" w:bidi="ar-SA"/>
              </w:rPr>
              <w:t>Coût total Audit : 200 000 MAD</w:t>
            </w:r>
          </w:p>
        </w:tc>
      </w:tr>
      <w:tr w:rsidR="00197DB3" w14:paraId="338BCAFC" w14:textId="77777777" w:rsidTr="00197DB3">
        <w:tc>
          <w:tcPr>
            <w:cnfStyle w:val="001000000000" w:firstRow="0" w:lastRow="0" w:firstColumn="1" w:lastColumn="0" w:oddVBand="0" w:evenVBand="0" w:oddHBand="0" w:evenHBand="0" w:firstRowFirstColumn="0" w:firstRowLastColumn="0" w:lastRowFirstColumn="0" w:lastRowLastColumn="0"/>
            <w:tcW w:w="0" w:type="auto"/>
            <w:gridSpan w:val="5"/>
            <w:tcBorders>
              <w:top w:val="single" w:sz="4" w:space="0" w:color="B4C6E7"/>
              <w:left w:val="single" w:sz="4" w:space="0" w:color="B4C6E7"/>
              <w:bottom w:val="single" w:sz="4" w:space="0" w:color="B4C6E7"/>
              <w:right w:val="single" w:sz="4" w:space="0" w:color="B4C6E7"/>
            </w:tcBorders>
            <w:vAlign w:val="center"/>
            <w:hideMark/>
          </w:tcPr>
          <w:p w14:paraId="53C123EB" w14:textId="77777777" w:rsidR="00197DB3" w:rsidRDefault="00197DB3">
            <w:pPr>
              <w:spacing w:before="0" w:after="0" w:line="240" w:lineRule="auto"/>
              <w:jc w:val="center"/>
              <w:rPr>
                <w:rFonts w:asciiTheme="minorHAnsi" w:hAnsiTheme="minorHAnsi" w:cstheme="minorHAnsi"/>
                <w:lang w:eastAsia="fr-FR" w:bidi="ar-SA"/>
              </w:rPr>
            </w:pPr>
            <w:r>
              <w:rPr>
                <w:rFonts w:asciiTheme="minorHAnsi" w:hAnsiTheme="minorHAnsi" w:cstheme="minorHAnsi"/>
                <w:lang w:eastAsia="fr-FR" w:bidi="ar-SA"/>
              </w:rPr>
              <w:t>Coût général des coûts du PGES : 1 840 000</w:t>
            </w:r>
          </w:p>
        </w:tc>
      </w:tr>
      <w:tr w:rsidR="00197DB3" w14:paraId="5FDBEB3A" w14:textId="77777777" w:rsidTr="00197DB3">
        <w:tc>
          <w:tcPr>
            <w:cnfStyle w:val="001000000000" w:firstRow="0" w:lastRow="0" w:firstColumn="1" w:lastColumn="0" w:oddVBand="0" w:evenVBand="0" w:oddHBand="0" w:evenHBand="0" w:firstRowFirstColumn="0" w:firstRowLastColumn="0" w:lastRowFirstColumn="0" w:lastRowLastColumn="0"/>
            <w:tcW w:w="0" w:type="auto"/>
            <w:gridSpan w:val="5"/>
            <w:tcBorders>
              <w:top w:val="single" w:sz="4" w:space="0" w:color="B4C6E7"/>
              <w:left w:val="single" w:sz="4" w:space="0" w:color="B4C6E7"/>
              <w:bottom w:val="single" w:sz="4" w:space="0" w:color="B4C6E7"/>
              <w:right w:val="single" w:sz="4" w:space="0" w:color="B4C6E7"/>
            </w:tcBorders>
            <w:shd w:val="clear" w:color="auto" w:fill="D9E2F3" w:themeFill="accent1" w:themeFillTint="33"/>
            <w:vAlign w:val="center"/>
            <w:hideMark/>
          </w:tcPr>
          <w:p w14:paraId="14F6EC82" w14:textId="77777777" w:rsidR="00197DB3" w:rsidRDefault="00197DB3">
            <w:pPr>
              <w:spacing w:before="0" w:after="0" w:line="240" w:lineRule="auto"/>
              <w:jc w:val="center"/>
              <w:rPr>
                <w:rFonts w:asciiTheme="minorHAnsi" w:hAnsiTheme="minorHAnsi" w:cstheme="minorHAnsi"/>
                <w:lang w:eastAsia="fr-FR" w:bidi="ar-SA"/>
              </w:rPr>
            </w:pPr>
            <w:r>
              <w:rPr>
                <w:rFonts w:asciiTheme="minorHAnsi" w:hAnsiTheme="minorHAnsi" w:cstheme="minorHAnsi"/>
                <w:lang w:eastAsia="fr-FR" w:bidi="ar-SA"/>
              </w:rPr>
              <w:t>Phase exploitation</w:t>
            </w:r>
          </w:p>
        </w:tc>
      </w:tr>
      <w:tr w:rsidR="00197DB3" w14:paraId="741A34A5" w14:textId="77777777" w:rsidTr="00197DB3">
        <w:tc>
          <w:tcPr>
            <w:cnfStyle w:val="001000000000" w:firstRow="0" w:lastRow="0" w:firstColumn="1" w:lastColumn="0" w:oddVBand="0" w:evenVBand="0" w:oddHBand="0" w:evenHBand="0" w:firstRowFirstColumn="0" w:firstRowLastColumn="0" w:lastRowFirstColumn="0" w:lastRowLastColumn="0"/>
            <w:tcW w:w="0" w:type="auto"/>
            <w:vMerge w:val="restart"/>
            <w:tcBorders>
              <w:top w:val="single" w:sz="4" w:space="0" w:color="B4C6E7"/>
              <w:left w:val="single" w:sz="4" w:space="0" w:color="B4C6E7"/>
              <w:bottom w:val="single" w:sz="4" w:space="0" w:color="B4C6E7"/>
              <w:right w:val="single" w:sz="4" w:space="0" w:color="B4C6E7"/>
            </w:tcBorders>
            <w:vAlign w:val="center"/>
            <w:hideMark/>
          </w:tcPr>
          <w:p w14:paraId="12DBEC29" w14:textId="77777777" w:rsidR="00197DB3" w:rsidRDefault="00197DB3">
            <w:pPr>
              <w:spacing w:before="0" w:after="0" w:line="240" w:lineRule="auto"/>
              <w:jc w:val="center"/>
              <w:rPr>
                <w:rFonts w:asciiTheme="minorHAnsi" w:hAnsiTheme="minorHAnsi" w:cstheme="minorHAnsi"/>
                <w:lang w:eastAsia="fr-FR" w:bidi="ar-SA"/>
              </w:rPr>
            </w:pPr>
            <w:r>
              <w:rPr>
                <w:rFonts w:asciiTheme="minorHAnsi" w:hAnsiTheme="minorHAnsi" w:cstheme="minorHAnsi"/>
                <w:lang w:eastAsia="fr-FR" w:bidi="ar-SA"/>
              </w:rPr>
              <w:t>Ressources humaines et suivi</w:t>
            </w:r>
          </w:p>
        </w:tc>
        <w:tc>
          <w:tcPr>
            <w:tcW w:w="0" w:type="auto"/>
            <w:tcBorders>
              <w:top w:val="single" w:sz="4" w:space="0" w:color="B4C6E7"/>
              <w:left w:val="single" w:sz="4" w:space="0" w:color="B4C6E7"/>
              <w:bottom w:val="single" w:sz="4" w:space="0" w:color="B4C6E7"/>
              <w:right w:val="single" w:sz="4" w:space="0" w:color="B4C6E7"/>
            </w:tcBorders>
            <w:hideMark/>
          </w:tcPr>
          <w:p w14:paraId="19FF9D70" w14:textId="77777777" w:rsidR="00197DB3" w:rsidRDefault="00197DB3">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eastAsia="fr-FR" w:bidi="ar-SA"/>
              </w:rPr>
            </w:pPr>
            <w:r>
              <w:rPr>
                <w:rFonts w:asciiTheme="minorHAnsi" w:hAnsiTheme="minorHAnsi" w:cstheme="minorHAnsi"/>
                <w:lang w:eastAsia="fr-FR" w:bidi="ar-SA"/>
              </w:rPr>
              <w:t>Responsable HSSE (ONDA)</w:t>
            </w:r>
          </w:p>
        </w:tc>
        <w:tc>
          <w:tcPr>
            <w:tcW w:w="0" w:type="auto"/>
            <w:tcBorders>
              <w:top w:val="single" w:sz="4" w:space="0" w:color="B4C6E7"/>
              <w:left w:val="single" w:sz="4" w:space="0" w:color="B4C6E7"/>
              <w:bottom w:val="single" w:sz="4" w:space="0" w:color="B4C6E7"/>
              <w:right w:val="single" w:sz="4" w:space="0" w:color="B4C6E7"/>
            </w:tcBorders>
            <w:hideMark/>
          </w:tcPr>
          <w:p w14:paraId="7E47A288" w14:textId="77777777" w:rsidR="00197DB3" w:rsidRDefault="00197DB3">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eastAsia="fr-FR" w:bidi="ar-SA"/>
              </w:rPr>
            </w:pPr>
            <w:r>
              <w:rPr>
                <w:rFonts w:asciiTheme="minorHAnsi" w:hAnsiTheme="minorHAnsi" w:cstheme="minorHAnsi"/>
                <w:lang w:eastAsia="fr-FR" w:bidi="ar-SA"/>
              </w:rPr>
              <w:t>Suivi et reporting annuel</w:t>
            </w:r>
          </w:p>
        </w:tc>
        <w:tc>
          <w:tcPr>
            <w:tcW w:w="0" w:type="auto"/>
            <w:tcBorders>
              <w:top w:val="single" w:sz="4" w:space="0" w:color="B4C6E7"/>
              <w:left w:val="single" w:sz="4" w:space="0" w:color="B4C6E7"/>
              <w:bottom w:val="single" w:sz="4" w:space="0" w:color="B4C6E7"/>
              <w:right w:val="single" w:sz="4" w:space="0" w:color="B4C6E7"/>
            </w:tcBorders>
            <w:hideMark/>
          </w:tcPr>
          <w:p w14:paraId="1D333B3D" w14:textId="77777777" w:rsidR="00197DB3" w:rsidRDefault="00197DB3">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eastAsia="fr-FR" w:bidi="ar-SA"/>
              </w:rPr>
            </w:pPr>
            <w:r>
              <w:rPr>
                <w:rFonts w:asciiTheme="minorHAnsi" w:hAnsiTheme="minorHAnsi" w:cstheme="minorHAnsi"/>
                <w:lang w:eastAsia="fr-FR" w:bidi="ar-SA"/>
              </w:rPr>
              <w:t>Déjà mobilisé au niveau central</w:t>
            </w:r>
          </w:p>
        </w:tc>
        <w:tc>
          <w:tcPr>
            <w:tcW w:w="0" w:type="auto"/>
            <w:tcBorders>
              <w:top w:val="single" w:sz="4" w:space="0" w:color="B4C6E7"/>
              <w:left w:val="single" w:sz="4" w:space="0" w:color="B4C6E7"/>
              <w:bottom w:val="single" w:sz="4" w:space="0" w:color="B4C6E7"/>
              <w:right w:val="single" w:sz="4" w:space="0" w:color="B4C6E7"/>
            </w:tcBorders>
            <w:hideMark/>
          </w:tcPr>
          <w:p w14:paraId="51744224" w14:textId="77777777" w:rsidR="00197DB3" w:rsidRDefault="00197DB3">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eastAsia="fr-FR" w:bidi="ar-SA"/>
              </w:rPr>
            </w:pPr>
            <w:r>
              <w:rPr>
                <w:rFonts w:asciiTheme="minorHAnsi" w:hAnsiTheme="minorHAnsi" w:cstheme="minorHAnsi"/>
                <w:lang w:eastAsia="fr-FR" w:bidi="ar-SA"/>
              </w:rPr>
              <w:t>ONDA</w:t>
            </w:r>
          </w:p>
        </w:tc>
      </w:tr>
      <w:tr w:rsidR="00197DB3" w14:paraId="45BA95C2" w14:textId="77777777" w:rsidTr="00197DB3">
        <w:tc>
          <w:tcPr>
            <w:cnfStyle w:val="001000000000" w:firstRow="0" w:lastRow="0" w:firstColumn="1" w:lastColumn="0" w:oddVBand="0" w:evenVBand="0" w:oddHBand="0" w:evenHBand="0" w:firstRowFirstColumn="0" w:firstRowLastColumn="0" w:lastRowFirstColumn="0" w:lastRowLastColumn="0"/>
            <w:tcW w:w="0" w:type="auto"/>
            <w:vMerge/>
            <w:tcBorders>
              <w:top w:val="single" w:sz="4" w:space="0" w:color="B4C6E7"/>
              <w:left w:val="single" w:sz="4" w:space="0" w:color="B4C6E7"/>
              <w:bottom w:val="single" w:sz="4" w:space="0" w:color="B4C6E7"/>
              <w:right w:val="single" w:sz="4" w:space="0" w:color="B4C6E7"/>
            </w:tcBorders>
            <w:vAlign w:val="center"/>
            <w:hideMark/>
          </w:tcPr>
          <w:p w14:paraId="2C62886B" w14:textId="77777777" w:rsidR="00197DB3" w:rsidRDefault="00197DB3">
            <w:pPr>
              <w:spacing w:before="0" w:after="0" w:line="240" w:lineRule="auto"/>
              <w:jc w:val="left"/>
              <w:rPr>
                <w:rFonts w:asciiTheme="minorHAnsi" w:hAnsiTheme="minorHAnsi" w:cstheme="minorHAnsi"/>
                <w:sz w:val="22"/>
                <w:lang w:eastAsia="fr-FR" w:bidi="ar-SA"/>
              </w:rPr>
            </w:pPr>
          </w:p>
        </w:tc>
        <w:tc>
          <w:tcPr>
            <w:tcW w:w="0" w:type="auto"/>
            <w:tcBorders>
              <w:top w:val="single" w:sz="4" w:space="0" w:color="B4C6E7"/>
              <w:left w:val="single" w:sz="4" w:space="0" w:color="B4C6E7"/>
              <w:bottom w:val="single" w:sz="4" w:space="0" w:color="B4C6E7"/>
              <w:right w:val="single" w:sz="4" w:space="0" w:color="B4C6E7"/>
            </w:tcBorders>
            <w:hideMark/>
          </w:tcPr>
          <w:p w14:paraId="5B1828B1" w14:textId="77777777" w:rsidR="00197DB3" w:rsidRDefault="00197DB3">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eastAsia="fr-FR" w:bidi="ar-SA"/>
              </w:rPr>
            </w:pPr>
            <w:r>
              <w:rPr>
                <w:rFonts w:asciiTheme="minorHAnsi" w:hAnsiTheme="minorHAnsi" w:cstheme="minorHAnsi"/>
                <w:lang w:eastAsia="fr-FR" w:bidi="ar-SA"/>
              </w:rPr>
              <w:t>Point focal HSSE</w:t>
            </w:r>
          </w:p>
        </w:tc>
        <w:tc>
          <w:tcPr>
            <w:tcW w:w="0" w:type="auto"/>
            <w:tcBorders>
              <w:top w:val="single" w:sz="4" w:space="0" w:color="B4C6E7"/>
              <w:left w:val="single" w:sz="4" w:space="0" w:color="B4C6E7"/>
              <w:bottom w:val="single" w:sz="4" w:space="0" w:color="B4C6E7"/>
              <w:right w:val="single" w:sz="4" w:space="0" w:color="B4C6E7"/>
            </w:tcBorders>
            <w:hideMark/>
          </w:tcPr>
          <w:p w14:paraId="48DDF481" w14:textId="77777777" w:rsidR="00197DB3" w:rsidRDefault="00197DB3">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eastAsia="fr-FR" w:bidi="ar-SA"/>
              </w:rPr>
            </w:pPr>
            <w:r>
              <w:rPr>
                <w:rFonts w:asciiTheme="minorHAnsi" w:hAnsiTheme="minorHAnsi" w:cstheme="minorHAnsi"/>
                <w:lang w:eastAsia="fr-FR" w:bidi="ar-SA"/>
              </w:rPr>
              <w:t>Suivi quotidien</w:t>
            </w:r>
          </w:p>
        </w:tc>
        <w:tc>
          <w:tcPr>
            <w:tcW w:w="0" w:type="auto"/>
            <w:tcBorders>
              <w:top w:val="single" w:sz="4" w:space="0" w:color="B4C6E7"/>
              <w:left w:val="single" w:sz="4" w:space="0" w:color="B4C6E7"/>
              <w:bottom w:val="single" w:sz="4" w:space="0" w:color="B4C6E7"/>
              <w:right w:val="single" w:sz="4" w:space="0" w:color="B4C6E7"/>
            </w:tcBorders>
            <w:hideMark/>
          </w:tcPr>
          <w:p w14:paraId="05F9C96A" w14:textId="77777777" w:rsidR="00197DB3" w:rsidRDefault="00197DB3">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eastAsia="fr-FR" w:bidi="ar-SA"/>
              </w:rPr>
            </w:pPr>
            <w:r>
              <w:rPr>
                <w:rFonts w:asciiTheme="minorHAnsi" w:hAnsiTheme="minorHAnsi" w:cstheme="minorHAnsi"/>
                <w:lang w:eastAsia="fr-FR" w:bidi="ar-SA"/>
              </w:rPr>
              <w:t>Selon la grille salariale ONDA</w:t>
            </w:r>
          </w:p>
        </w:tc>
        <w:tc>
          <w:tcPr>
            <w:tcW w:w="0" w:type="auto"/>
            <w:tcBorders>
              <w:top w:val="single" w:sz="4" w:space="0" w:color="B4C6E7"/>
              <w:left w:val="single" w:sz="4" w:space="0" w:color="B4C6E7"/>
              <w:bottom w:val="single" w:sz="4" w:space="0" w:color="B4C6E7"/>
              <w:right w:val="single" w:sz="4" w:space="0" w:color="B4C6E7"/>
            </w:tcBorders>
            <w:hideMark/>
          </w:tcPr>
          <w:p w14:paraId="5AB0A519" w14:textId="77777777" w:rsidR="00197DB3" w:rsidRDefault="00197DB3">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eastAsia="fr-FR" w:bidi="ar-SA"/>
              </w:rPr>
            </w:pPr>
            <w:r>
              <w:rPr>
                <w:rFonts w:asciiTheme="minorHAnsi" w:hAnsiTheme="minorHAnsi" w:cstheme="minorHAnsi"/>
                <w:lang w:eastAsia="fr-FR" w:bidi="ar-SA"/>
              </w:rPr>
              <w:t>ONDA</w:t>
            </w:r>
          </w:p>
        </w:tc>
      </w:tr>
      <w:tr w:rsidR="00197DB3" w14:paraId="3984D8B3" w14:textId="77777777" w:rsidTr="00197DB3">
        <w:tc>
          <w:tcPr>
            <w:cnfStyle w:val="001000000000" w:firstRow="0" w:lastRow="0" w:firstColumn="1" w:lastColumn="0" w:oddVBand="0" w:evenVBand="0" w:oddHBand="0" w:evenHBand="0" w:firstRowFirstColumn="0" w:firstRowLastColumn="0" w:lastRowFirstColumn="0" w:lastRowLastColumn="0"/>
            <w:tcW w:w="0" w:type="auto"/>
            <w:vMerge w:val="restart"/>
            <w:tcBorders>
              <w:top w:val="single" w:sz="4" w:space="0" w:color="B4C6E7"/>
              <w:left w:val="single" w:sz="4" w:space="0" w:color="B4C6E7"/>
              <w:bottom w:val="single" w:sz="4" w:space="0" w:color="B4C6E7"/>
              <w:right w:val="single" w:sz="4" w:space="0" w:color="B4C6E7"/>
            </w:tcBorders>
            <w:vAlign w:val="center"/>
            <w:hideMark/>
          </w:tcPr>
          <w:p w14:paraId="22101FFA" w14:textId="77777777" w:rsidR="00197DB3" w:rsidRDefault="00197DB3">
            <w:pPr>
              <w:spacing w:before="0" w:after="0" w:line="240" w:lineRule="auto"/>
              <w:jc w:val="center"/>
              <w:rPr>
                <w:rFonts w:asciiTheme="minorHAnsi" w:hAnsiTheme="minorHAnsi" w:cstheme="minorHAnsi"/>
                <w:lang w:eastAsia="fr-FR" w:bidi="ar-SA"/>
              </w:rPr>
            </w:pPr>
            <w:r>
              <w:rPr>
                <w:rFonts w:asciiTheme="minorHAnsi" w:hAnsiTheme="minorHAnsi" w:cstheme="minorHAnsi"/>
                <w:lang w:eastAsia="fr-FR" w:bidi="ar-SA"/>
              </w:rPr>
              <w:t>Gestion des déchets</w:t>
            </w:r>
          </w:p>
        </w:tc>
        <w:tc>
          <w:tcPr>
            <w:tcW w:w="0" w:type="auto"/>
            <w:tcBorders>
              <w:top w:val="single" w:sz="4" w:space="0" w:color="B4C6E7"/>
              <w:left w:val="single" w:sz="4" w:space="0" w:color="B4C6E7"/>
              <w:bottom w:val="single" w:sz="4" w:space="0" w:color="B4C6E7"/>
              <w:right w:val="single" w:sz="4" w:space="0" w:color="B4C6E7"/>
            </w:tcBorders>
            <w:hideMark/>
          </w:tcPr>
          <w:p w14:paraId="5FA76DE5" w14:textId="77777777" w:rsidR="00197DB3" w:rsidRDefault="00197DB3">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eastAsia="fr-FR" w:bidi="ar-SA"/>
              </w:rPr>
            </w:pPr>
            <w:r>
              <w:rPr>
                <w:rFonts w:asciiTheme="minorHAnsi" w:hAnsiTheme="minorHAnsi" w:cstheme="minorHAnsi"/>
                <w:lang w:eastAsia="fr-FR" w:bidi="ar-SA"/>
              </w:rPr>
              <w:t>Collecte déchets non dangereux</w:t>
            </w:r>
          </w:p>
        </w:tc>
        <w:tc>
          <w:tcPr>
            <w:tcW w:w="0" w:type="auto"/>
            <w:tcBorders>
              <w:top w:val="single" w:sz="4" w:space="0" w:color="B4C6E7"/>
              <w:left w:val="single" w:sz="4" w:space="0" w:color="B4C6E7"/>
              <w:bottom w:val="single" w:sz="4" w:space="0" w:color="B4C6E7"/>
              <w:right w:val="single" w:sz="4" w:space="0" w:color="B4C6E7"/>
            </w:tcBorders>
            <w:hideMark/>
          </w:tcPr>
          <w:p w14:paraId="352FCD3F" w14:textId="77777777" w:rsidR="00197DB3" w:rsidRDefault="00197DB3">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eastAsia="fr-FR" w:bidi="ar-SA"/>
              </w:rPr>
            </w:pPr>
            <w:r>
              <w:rPr>
                <w:rFonts w:asciiTheme="minorHAnsi" w:hAnsiTheme="minorHAnsi" w:cstheme="minorHAnsi"/>
                <w:lang w:eastAsia="fr-FR" w:bidi="ar-SA"/>
              </w:rPr>
              <w:t>Contrat annuel</w:t>
            </w:r>
          </w:p>
        </w:tc>
        <w:tc>
          <w:tcPr>
            <w:tcW w:w="0" w:type="auto"/>
            <w:tcBorders>
              <w:top w:val="single" w:sz="4" w:space="0" w:color="B4C6E7"/>
              <w:left w:val="single" w:sz="4" w:space="0" w:color="B4C6E7"/>
              <w:bottom w:val="single" w:sz="4" w:space="0" w:color="B4C6E7"/>
              <w:right w:val="single" w:sz="4" w:space="0" w:color="B4C6E7"/>
            </w:tcBorders>
            <w:hideMark/>
          </w:tcPr>
          <w:p w14:paraId="05E1C8AD" w14:textId="77777777" w:rsidR="00197DB3" w:rsidRDefault="00197DB3">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eastAsia="fr-FR" w:bidi="ar-SA"/>
              </w:rPr>
            </w:pPr>
            <w:r>
              <w:rPr>
                <w:rFonts w:asciiTheme="minorHAnsi" w:hAnsiTheme="minorHAnsi" w:cstheme="minorHAnsi"/>
                <w:lang w:eastAsia="fr-FR" w:bidi="ar-SA"/>
              </w:rPr>
              <w:t xml:space="preserve">120 000 </w:t>
            </w:r>
          </w:p>
        </w:tc>
        <w:tc>
          <w:tcPr>
            <w:tcW w:w="0" w:type="auto"/>
            <w:tcBorders>
              <w:top w:val="single" w:sz="4" w:space="0" w:color="B4C6E7"/>
              <w:left w:val="single" w:sz="4" w:space="0" w:color="B4C6E7"/>
              <w:bottom w:val="single" w:sz="4" w:space="0" w:color="B4C6E7"/>
              <w:right w:val="single" w:sz="4" w:space="0" w:color="B4C6E7"/>
            </w:tcBorders>
            <w:hideMark/>
          </w:tcPr>
          <w:p w14:paraId="41DC3FB5" w14:textId="77777777" w:rsidR="00197DB3" w:rsidRDefault="00197DB3">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eastAsia="fr-FR" w:bidi="ar-SA"/>
              </w:rPr>
            </w:pPr>
            <w:r>
              <w:rPr>
                <w:rFonts w:asciiTheme="minorHAnsi" w:hAnsiTheme="minorHAnsi" w:cstheme="minorHAnsi"/>
                <w:lang w:eastAsia="fr-FR" w:bidi="ar-SA"/>
              </w:rPr>
              <w:t>ONDA</w:t>
            </w:r>
          </w:p>
        </w:tc>
      </w:tr>
      <w:tr w:rsidR="00197DB3" w14:paraId="77C90B0E" w14:textId="77777777" w:rsidTr="00197DB3">
        <w:tc>
          <w:tcPr>
            <w:cnfStyle w:val="001000000000" w:firstRow="0" w:lastRow="0" w:firstColumn="1" w:lastColumn="0" w:oddVBand="0" w:evenVBand="0" w:oddHBand="0" w:evenHBand="0" w:firstRowFirstColumn="0" w:firstRowLastColumn="0" w:lastRowFirstColumn="0" w:lastRowLastColumn="0"/>
            <w:tcW w:w="0" w:type="auto"/>
            <w:vMerge/>
            <w:tcBorders>
              <w:top w:val="single" w:sz="4" w:space="0" w:color="B4C6E7"/>
              <w:left w:val="single" w:sz="4" w:space="0" w:color="B4C6E7"/>
              <w:bottom w:val="single" w:sz="4" w:space="0" w:color="B4C6E7"/>
              <w:right w:val="single" w:sz="4" w:space="0" w:color="B4C6E7"/>
            </w:tcBorders>
            <w:vAlign w:val="center"/>
            <w:hideMark/>
          </w:tcPr>
          <w:p w14:paraId="387A0B9E" w14:textId="77777777" w:rsidR="00197DB3" w:rsidRDefault="00197DB3">
            <w:pPr>
              <w:spacing w:before="0" w:after="0" w:line="240" w:lineRule="auto"/>
              <w:jc w:val="left"/>
              <w:rPr>
                <w:rFonts w:asciiTheme="minorHAnsi" w:hAnsiTheme="minorHAnsi" w:cstheme="minorHAnsi"/>
                <w:sz w:val="22"/>
                <w:lang w:eastAsia="fr-FR" w:bidi="ar-SA"/>
              </w:rPr>
            </w:pPr>
          </w:p>
        </w:tc>
        <w:tc>
          <w:tcPr>
            <w:tcW w:w="0" w:type="auto"/>
            <w:tcBorders>
              <w:top w:val="single" w:sz="4" w:space="0" w:color="B4C6E7"/>
              <w:left w:val="single" w:sz="4" w:space="0" w:color="B4C6E7"/>
              <w:bottom w:val="single" w:sz="4" w:space="0" w:color="B4C6E7"/>
              <w:right w:val="single" w:sz="4" w:space="0" w:color="B4C6E7"/>
            </w:tcBorders>
            <w:hideMark/>
          </w:tcPr>
          <w:p w14:paraId="3D1C75E7" w14:textId="77777777" w:rsidR="00197DB3" w:rsidRDefault="00197DB3">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eastAsia="fr-FR" w:bidi="ar-SA"/>
              </w:rPr>
            </w:pPr>
            <w:r>
              <w:rPr>
                <w:rFonts w:asciiTheme="minorHAnsi" w:hAnsiTheme="minorHAnsi" w:cstheme="minorHAnsi"/>
                <w:lang w:eastAsia="fr-FR" w:bidi="ar-SA"/>
              </w:rPr>
              <w:t>Collecte déchets dangereux</w:t>
            </w:r>
          </w:p>
        </w:tc>
        <w:tc>
          <w:tcPr>
            <w:tcW w:w="0" w:type="auto"/>
            <w:tcBorders>
              <w:top w:val="single" w:sz="4" w:space="0" w:color="B4C6E7"/>
              <w:left w:val="single" w:sz="4" w:space="0" w:color="B4C6E7"/>
              <w:bottom w:val="single" w:sz="4" w:space="0" w:color="B4C6E7"/>
              <w:right w:val="single" w:sz="4" w:space="0" w:color="B4C6E7"/>
            </w:tcBorders>
            <w:hideMark/>
          </w:tcPr>
          <w:p w14:paraId="07E40007" w14:textId="77777777" w:rsidR="00197DB3" w:rsidRDefault="00197DB3">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eastAsia="fr-FR" w:bidi="ar-SA"/>
              </w:rPr>
            </w:pPr>
            <w:r>
              <w:rPr>
                <w:rFonts w:asciiTheme="minorHAnsi" w:hAnsiTheme="minorHAnsi" w:cstheme="minorHAnsi"/>
                <w:lang w:eastAsia="fr-FR" w:bidi="ar-SA"/>
              </w:rPr>
              <w:t>Prestataire agréé</w:t>
            </w:r>
          </w:p>
        </w:tc>
        <w:tc>
          <w:tcPr>
            <w:tcW w:w="0" w:type="auto"/>
            <w:tcBorders>
              <w:top w:val="single" w:sz="4" w:space="0" w:color="B4C6E7"/>
              <w:left w:val="single" w:sz="4" w:space="0" w:color="B4C6E7"/>
              <w:bottom w:val="single" w:sz="4" w:space="0" w:color="B4C6E7"/>
              <w:right w:val="single" w:sz="4" w:space="0" w:color="B4C6E7"/>
            </w:tcBorders>
            <w:hideMark/>
          </w:tcPr>
          <w:p w14:paraId="50E1CF9A" w14:textId="77777777" w:rsidR="00197DB3" w:rsidRDefault="00197DB3">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eastAsia="fr-FR" w:bidi="ar-SA"/>
              </w:rPr>
            </w:pPr>
            <w:r>
              <w:rPr>
                <w:rFonts w:asciiTheme="minorHAnsi" w:hAnsiTheme="minorHAnsi" w:cstheme="minorHAnsi"/>
                <w:lang w:eastAsia="fr-FR" w:bidi="ar-SA"/>
              </w:rPr>
              <w:t xml:space="preserve">40 000 </w:t>
            </w:r>
          </w:p>
        </w:tc>
        <w:tc>
          <w:tcPr>
            <w:tcW w:w="0" w:type="auto"/>
            <w:tcBorders>
              <w:top w:val="single" w:sz="4" w:space="0" w:color="B4C6E7"/>
              <w:left w:val="single" w:sz="4" w:space="0" w:color="B4C6E7"/>
              <w:bottom w:val="single" w:sz="4" w:space="0" w:color="B4C6E7"/>
              <w:right w:val="single" w:sz="4" w:space="0" w:color="B4C6E7"/>
            </w:tcBorders>
            <w:hideMark/>
          </w:tcPr>
          <w:p w14:paraId="01E63698" w14:textId="77777777" w:rsidR="00197DB3" w:rsidRDefault="00197DB3">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eastAsia="fr-FR" w:bidi="ar-SA"/>
              </w:rPr>
            </w:pPr>
            <w:r>
              <w:rPr>
                <w:rFonts w:asciiTheme="minorHAnsi" w:hAnsiTheme="minorHAnsi" w:cstheme="minorHAnsi"/>
                <w:lang w:eastAsia="fr-FR" w:bidi="ar-SA"/>
              </w:rPr>
              <w:t>ONDA</w:t>
            </w:r>
          </w:p>
        </w:tc>
      </w:tr>
      <w:tr w:rsidR="00197DB3" w14:paraId="6B0FE35E" w14:textId="77777777" w:rsidTr="00197DB3">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B4C6E7"/>
              <w:left w:val="single" w:sz="4" w:space="0" w:color="B4C6E7"/>
              <w:bottom w:val="single" w:sz="4" w:space="0" w:color="B4C6E7"/>
              <w:right w:val="single" w:sz="4" w:space="0" w:color="B4C6E7"/>
            </w:tcBorders>
            <w:vAlign w:val="center"/>
            <w:hideMark/>
          </w:tcPr>
          <w:p w14:paraId="76BA0DDF" w14:textId="77777777" w:rsidR="00197DB3" w:rsidRDefault="00197DB3">
            <w:pPr>
              <w:spacing w:before="0" w:after="0" w:line="240" w:lineRule="auto"/>
              <w:jc w:val="center"/>
              <w:rPr>
                <w:rFonts w:asciiTheme="minorHAnsi" w:hAnsiTheme="minorHAnsi" w:cstheme="minorHAnsi"/>
                <w:lang w:eastAsia="fr-FR" w:bidi="ar-SA"/>
              </w:rPr>
            </w:pPr>
            <w:r>
              <w:rPr>
                <w:rFonts w:asciiTheme="minorHAnsi" w:hAnsiTheme="minorHAnsi" w:cstheme="minorHAnsi"/>
                <w:lang w:eastAsia="fr-FR" w:bidi="ar-SA"/>
              </w:rPr>
              <w:lastRenderedPageBreak/>
              <w:t>Formation et communication</w:t>
            </w:r>
          </w:p>
        </w:tc>
        <w:tc>
          <w:tcPr>
            <w:tcW w:w="0" w:type="auto"/>
            <w:tcBorders>
              <w:top w:val="single" w:sz="4" w:space="0" w:color="B4C6E7"/>
              <w:left w:val="single" w:sz="4" w:space="0" w:color="B4C6E7"/>
              <w:bottom w:val="single" w:sz="4" w:space="0" w:color="B4C6E7"/>
              <w:right w:val="single" w:sz="4" w:space="0" w:color="B4C6E7"/>
            </w:tcBorders>
            <w:hideMark/>
          </w:tcPr>
          <w:p w14:paraId="5AB3299C" w14:textId="77777777" w:rsidR="00197DB3" w:rsidRDefault="00197DB3">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eastAsia="fr-FR" w:bidi="ar-SA"/>
              </w:rPr>
            </w:pPr>
            <w:r>
              <w:rPr>
                <w:rFonts w:asciiTheme="minorHAnsi" w:hAnsiTheme="minorHAnsi" w:cstheme="minorHAnsi"/>
                <w:lang w:eastAsia="fr-FR" w:bidi="ar-SA"/>
              </w:rPr>
              <w:t>Formation annuelle HSSE du personnel</w:t>
            </w:r>
          </w:p>
        </w:tc>
        <w:tc>
          <w:tcPr>
            <w:tcW w:w="0" w:type="auto"/>
            <w:tcBorders>
              <w:top w:val="single" w:sz="4" w:space="0" w:color="B4C6E7"/>
              <w:left w:val="single" w:sz="4" w:space="0" w:color="B4C6E7"/>
              <w:bottom w:val="single" w:sz="4" w:space="0" w:color="B4C6E7"/>
              <w:right w:val="single" w:sz="4" w:space="0" w:color="B4C6E7"/>
            </w:tcBorders>
            <w:hideMark/>
          </w:tcPr>
          <w:p w14:paraId="26501A6B" w14:textId="77777777" w:rsidR="00197DB3" w:rsidRDefault="00197DB3">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eastAsia="fr-FR" w:bidi="ar-SA"/>
              </w:rPr>
            </w:pPr>
            <w:r>
              <w:rPr>
                <w:rFonts w:asciiTheme="minorHAnsi" w:hAnsiTheme="minorHAnsi" w:cstheme="minorHAnsi"/>
                <w:lang w:eastAsia="fr-FR" w:bidi="ar-SA"/>
              </w:rPr>
              <w:t>Programme interne annuel</w:t>
            </w:r>
          </w:p>
        </w:tc>
        <w:tc>
          <w:tcPr>
            <w:tcW w:w="0" w:type="auto"/>
            <w:tcBorders>
              <w:top w:val="single" w:sz="4" w:space="0" w:color="B4C6E7"/>
              <w:left w:val="single" w:sz="4" w:space="0" w:color="B4C6E7"/>
              <w:bottom w:val="single" w:sz="4" w:space="0" w:color="B4C6E7"/>
              <w:right w:val="single" w:sz="4" w:space="0" w:color="B4C6E7"/>
            </w:tcBorders>
            <w:hideMark/>
          </w:tcPr>
          <w:p w14:paraId="6A123F0E" w14:textId="77777777" w:rsidR="00197DB3" w:rsidRDefault="00197DB3">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eastAsia="fr-FR" w:bidi="ar-SA"/>
              </w:rPr>
            </w:pPr>
            <w:r>
              <w:rPr>
                <w:rFonts w:asciiTheme="minorHAnsi" w:hAnsiTheme="minorHAnsi" w:cstheme="minorHAnsi"/>
                <w:lang w:eastAsia="fr-FR" w:bidi="ar-SA"/>
              </w:rPr>
              <w:t>20 000</w:t>
            </w:r>
          </w:p>
        </w:tc>
        <w:tc>
          <w:tcPr>
            <w:tcW w:w="0" w:type="auto"/>
            <w:tcBorders>
              <w:top w:val="single" w:sz="4" w:space="0" w:color="B4C6E7"/>
              <w:left w:val="single" w:sz="4" w:space="0" w:color="B4C6E7"/>
              <w:bottom w:val="single" w:sz="4" w:space="0" w:color="B4C6E7"/>
              <w:right w:val="single" w:sz="4" w:space="0" w:color="B4C6E7"/>
            </w:tcBorders>
            <w:hideMark/>
          </w:tcPr>
          <w:p w14:paraId="5909E12A" w14:textId="77777777" w:rsidR="00197DB3" w:rsidRDefault="00197DB3">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eastAsia="fr-FR" w:bidi="ar-SA"/>
              </w:rPr>
            </w:pPr>
            <w:r>
              <w:rPr>
                <w:rFonts w:asciiTheme="minorHAnsi" w:hAnsiTheme="minorHAnsi" w:cstheme="minorHAnsi"/>
                <w:lang w:eastAsia="fr-FR" w:bidi="ar-SA"/>
              </w:rPr>
              <w:t>ONDA</w:t>
            </w:r>
          </w:p>
        </w:tc>
      </w:tr>
      <w:tr w:rsidR="00197DB3" w14:paraId="1E1306AF" w14:textId="77777777" w:rsidTr="00197DB3">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B4C6E7"/>
              <w:left w:val="single" w:sz="4" w:space="0" w:color="B4C6E7"/>
              <w:bottom w:val="single" w:sz="4" w:space="0" w:color="B4C6E7"/>
              <w:right w:val="single" w:sz="4" w:space="0" w:color="B4C6E7"/>
            </w:tcBorders>
            <w:vAlign w:val="center"/>
            <w:hideMark/>
          </w:tcPr>
          <w:p w14:paraId="5B92888E" w14:textId="77777777" w:rsidR="00197DB3" w:rsidRDefault="00197DB3">
            <w:pPr>
              <w:spacing w:before="0" w:after="0" w:line="240" w:lineRule="auto"/>
              <w:jc w:val="center"/>
              <w:rPr>
                <w:rFonts w:asciiTheme="minorHAnsi" w:hAnsiTheme="minorHAnsi" w:cstheme="minorHAnsi"/>
                <w:lang w:eastAsia="fr-FR" w:bidi="ar-SA"/>
              </w:rPr>
            </w:pPr>
            <w:r>
              <w:rPr>
                <w:rFonts w:asciiTheme="minorHAnsi" w:hAnsiTheme="minorHAnsi" w:cstheme="minorHAnsi"/>
                <w:lang w:eastAsia="fr-FR" w:bidi="ar-SA"/>
              </w:rPr>
              <w:t>Formation et communication</w:t>
            </w:r>
          </w:p>
        </w:tc>
        <w:tc>
          <w:tcPr>
            <w:tcW w:w="0" w:type="auto"/>
            <w:tcBorders>
              <w:top w:val="single" w:sz="4" w:space="0" w:color="B4C6E7"/>
              <w:left w:val="single" w:sz="4" w:space="0" w:color="B4C6E7"/>
              <w:bottom w:val="single" w:sz="4" w:space="0" w:color="B4C6E7"/>
              <w:right w:val="single" w:sz="4" w:space="0" w:color="B4C6E7"/>
            </w:tcBorders>
            <w:hideMark/>
          </w:tcPr>
          <w:p w14:paraId="1F8D8FB9" w14:textId="77777777" w:rsidR="00197DB3" w:rsidRDefault="00197DB3">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eastAsia="fr-FR" w:bidi="ar-SA"/>
              </w:rPr>
            </w:pPr>
            <w:r>
              <w:rPr>
                <w:rFonts w:asciiTheme="minorHAnsi" w:hAnsiTheme="minorHAnsi" w:cstheme="minorHAnsi"/>
                <w:lang w:eastAsia="fr-FR" w:bidi="ar-SA"/>
              </w:rPr>
              <w:t>Sensibilisation au MGP</w:t>
            </w:r>
          </w:p>
        </w:tc>
        <w:tc>
          <w:tcPr>
            <w:tcW w:w="0" w:type="auto"/>
            <w:tcBorders>
              <w:top w:val="single" w:sz="4" w:space="0" w:color="B4C6E7"/>
              <w:left w:val="single" w:sz="4" w:space="0" w:color="B4C6E7"/>
              <w:bottom w:val="single" w:sz="4" w:space="0" w:color="B4C6E7"/>
              <w:right w:val="single" w:sz="4" w:space="0" w:color="B4C6E7"/>
            </w:tcBorders>
            <w:hideMark/>
          </w:tcPr>
          <w:p w14:paraId="14CF6169" w14:textId="77777777" w:rsidR="00197DB3" w:rsidRDefault="00197DB3">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eastAsia="fr-FR" w:bidi="ar-SA"/>
              </w:rPr>
            </w:pPr>
            <w:r>
              <w:rPr>
                <w:rFonts w:asciiTheme="minorHAnsi" w:hAnsiTheme="minorHAnsi" w:cstheme="minorHAnsi"/>
                <w:lang w:eastAsia="fr-FR" w:bidi="ar-SA"/>
              </w:rPr>
              <w:t>Réunion communautaire annuelle</w:t>
            </w:r>
          </w:p>
        </w:tc>
        <w:tc>
          <w:tcPr>
            <w:tcW w:w="0" w:type="auto"/>
            <w:tcBorders>
              <w:top w:val="single" w:sz="4" w:space="0" w:color="B4C6E7"/>
              <w:left w:val="single" w:sz="4" w:space="0" w:color="B4C6E7"/>
              <w:bottom w:val="single" w:sz="4" w:space="0" w:color="B4C6E7"/>
              <w:right w:val="single" w:sz="4" w:space="0" w:color="B4C6E7"/>
            </w:tcBorders>
            <w:hideMark/>
          </w:tcPr>
          <w:p w14:paraId="72D8AB45" w14:textId="77777777" w:rsidR="00197DB3" w:rsidRDefault="00197DB3">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eastAsia="fr-FR" w:bidi="ar-SA"/>
              </w:rPr>
            </w:pPr>
            <w:r>
              <w:rPr>
                <w:rFonts w:asciiTheme="minorHAnsi" w:hAnsiTheme="minorHAnsi" w:cstheme="minorHAnsi"/>
                <w:lang w:eastAsia="fr-FR" w:bidi="ar-SA"/>
              </w:rPr>
              <w:t>20 000</w:t>
            </w:r>
          </w:p>
        </w:tc>
        <w:tc>
          <w:tcPr>
            <w:tcW w:w="0" w:type="auto"/>
            <w:tcBorders>
              <w:top w:val="single" w:sz="4" w:space="0" w:color="B4C6E7"/>
              <w:left w:val="single" w:sz="4" w:space="0" w:color="B4C6E7"/>
              <w:bottom w:val="single" w:sz="4" w:space="0" w:color="B4C6E7"/>
              <w:right w:val="single" w:sz="4" w:space="0" w:color="B4C6E7"/>
            </w:tcBorders>
            <w:hideMark/>
          </w:tcPr>
          <w:p w14:paraId="7D2F63C2" w14:textId="77777777" w:rsidR="00197DB3" w:rsidRDefault="00197DB3">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eastAsia="fr-FR" w:bidi="ar-SA"/>
              </w:rPr>
            </w:pPr>
            <w:r>
              <w:rPr>
                <w:rFonts w:asciiTheme="minorHAnsi" w:hAnsiTheme="minorHAnsi" w:cstheme="minorHAnsi"/>
                <w:lang w:eastAsia="fr-FR" w:bidi="ar-SA"/>
              </w:rPr>
              <w:t>ONDA</w:t>
            </w:r>
          </w:p>
        </w:tc>
      </w:tr>
      <w:tr w:rsidR="00197DB3" w14:paraId="501A96F7" w14:textId="77777777" w:rsidTr="00197DB3">
        <w:tc>
          <w:tcPr>
            <w:cnfStyle w:val="001000000000" w:firstRow="0" w:lastRow="0" w:firstColumn="1" w:lastColumn="0" w:oddVBand="0" w:evenVBand="0" w:oddHBand="0" w:evenHBand="0" w:firstRowFirstColumn="0" w:firstRowLastColumn="0" w:lastRowFirstColumn="0" w:lastRowLastColumn="0"/>
            <w:tcW w:w="0" w:type="auto"/>
            <w:vMerge w:val="restart"/>
            <w:tcBorders>
              <w:top w:val="single" w:sz="4" w:space="0" w:color="B4C6E7"/>
              <w:left w:val="single" w:sz="4" w:space="0" w:color="B4C6E7"/>
              <w:bottom w:val="single" w:sz="4" w:space="0" w:color="B4C6E7"/>
              <w:right w:val="single" w:sz="4" w:space="0" w:color="B4C6E7"/>
            </w:tcBorders>
            <w:vAlign w:val="center"/>
            <w:hideMark/>
          </w:tcPr>
          <w:p w14:paraId="5AF42F21" w14:textId="77777777" w:rsidR="00197DB3" w:rsidRDefault="00197DB3">
            <w:pPr>
              <w:spacing w:before="0" w:after="0" w:line="240" w:lineRule="auto"/>
              <w:jc w:val="center"/>
              <w:rPr>
                <w:rFonts w:asciiTheme="minorHAnsi" w:hAnsiTheme="minorHAnsi" w:cstheme="minorHAnsi"/>
                <w:lang w:eastAsia="fr-FR" w:bidi="ar-SA"/>
              </w:rPr>
            </w:pPr>
            <w:r>
              <w:rPr>
                <w:rFonts w:asciiTheme="minorHAnsi" w:hAnsiTheme="minorHAnsi" w:cstheme="minorHAnsi"/>
                <w:szCs w:val="20"/>
                <w:lang w:eastAsia="fr-FR" w:bidi="ar-SA"/>
              </w:rPr>
              <w:t>Suivi environnemental</w:t>
            </w:r>
          </w:p>
        </w:tc>
        <w:tc>
          <w:tcPr>
            <w:tcW w:w="0" w:type="auto"/>
            <w:tcBorders>
              <w:top w:val="single" w:sz="4" w:space="0" w:color="B4C6E7"/>
              <w:left w:val="single" w:sz="4" w:space="0" w:color="B4C6E7"/>
              <w:bottom w:val="single" w:sz="4" w:space="0" w:color="B4C6E7"/>
              <w:right w:val="single" w:sz="4" w:space="0" w:color="B4C6E7"/>
            </w:tcBorders>
            <w:hideMark/>
          </w:tcPr>
          <w:p w14:paraId="64C0F0BC" w14:textId="77777777" w:rsidR="00197DB3" w:rsidRDefault="00197DB3">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eastAsia="fr-FR" w:bidi="ar-SA"/>
              </w:rPr>
            </w:pPr>
            <w:r>
              <w:rPr>
                <w:rFonts w:asciiTheme="minorHAnsi" w:hAnsiTheme="minorHAnsi" w:cstheme="minorHAnsi"/>
                <w:lang w:eastAsia="fr-FR" w:bidi="ar-SA"/>
              </w:rPr>
              <w:t>Surveillance qualité de l’air</w:t>
            </w:r>
          </w:p>
        </w:tc>
        <w:tc>
          <w:tcPr>
            <w:tcW w:w="0" w:type="auto"/>
            <w:tcBorders>
              <w:top w:val="single" w:sz="4" w:space="0" w:color="B4C6E7"/>
              <w:left w:val="single" w:sz="4" w:space="0" w:color="B4C6E7"/>
              <w:bottom w:val="single" w:sz="4" w:space="0" w:color="B4C6E7"/>
              <w:right w:val="single" w:sz="4" w:space="0" w:color="B4C6E7"/>
            </w:tcBorders>
            <w:hideMark/>
          </w:tcPr>
          <w:p w14:paraId="58E03DC7" w14:textId="77777777" w:rsidR="00197DB3" w:rsidRDefault="00197DB3">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eastAsia="fr-FR" w:bidi="ar-SA"/>
              </w:rPr>
            </w:pPr>
            <w:r>
              <w:rPr>
                <w:rFonts w:asciiTheme="minorHAnsi" w:hAnsiTheme="minorHAnsi" w:cstheme="minorHAnsi"/>
                <w:lang w:eastAsia="fr-FR" w:bidi="ar-SA"/>
              </w:rPr>
              <w:t>Campagnes annuelles (NO₂, SO₂, PM₁₀)</w:t>
            </w:r>
          </w:p>
        </w:tc>
        <w:tc>
          <w:tcPr>
            <w:tcW w:w="0" w:type="auto"/>
            <w:tcBorders>
              <w:top w:val="single" w:sz="4" w:space="0" w:color="B4C6E7"/>
              <w:left w:val="single" w:sz="4" w:space="0" w:color="B4C6E7"/>
              <w:bottom w:val="single" w:sz="4" w:space="0" w:color="B4C6E7"/>
              <w:right w:val="single" w:sz="4" w:space="0" w:color="B4C6E7"/>
            </w:tcBorders>
            <w:hideMark/>
          </w:tcPr>
          <w:p w14:paraId="2DAEE132" w14:textId="77777777" w:rsidR="00197DB3" w:rsidRDefault="00197DB3">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eastAsia="fr-FR" w:bidi="ar-SA"/>
              </w:rPr>
            </w:pPr>
            <w:r>
              <w:rPr>
                <w:rFonts w:asciiTheme="minorHAnsi" w:hAnsiTheme="minorHAnsi" w:cstheme="minorHAnsi"/>
                <w:lang w:eastAsia="fr-FR" w:bidi="ar-SA"/>
              </w:rPr>
              <w:t>25 000</w:t>
            </w:r>
          </w:p>
        </w:tc>
        <w:tc>
          <w:tcPr>
            <w:tcW w:w="0" w:type="auto"/>
            <w:tcBorders>
              <w:top w:val="single" w:sz="4" w:space="0" w:color="B4C6E7"/>
              <w:left w:val="single" w:sz="4" w:space="0" w:color="B4C6E7"/>
              <w:bottom w:val="single" w:sz="4" w:space="0" w:color="B4C6E7"/>
              <w:right w:val="single" w:sz="4" w:space="0" w:color="B4C6E7"/>
            </w:tcBorders>
            <w:hideMark/>
          </w:tcPr>
          <w:p w14:paraId="29021634" w14:textId="77777777" w:rsidR="00197DB3" w:rsidRDefault="00197DB3">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eastAsia="fr-FR" w:bidi="ar-SA"/>
              </w:rPr>
            </w:pPr>
            <w:r>
              <w:rPr>
                <w:rFonts w:asciiTheme="minorHAnsi" w:hAnsiTheme="minorHAnsi" w:cstheme="minorHAnsi"/>
                <w:lang w:eastAsia="fr-FR" w:bidi="ar-SA"/>
              </w:rPr>
              <w:t>ONDA</w:t>
            </w:r>
          </w:p>
        </w:tc>
      </w:tr>
      <w:tr w:rsidR="00197DB3" w14:paraId="36120442" w14:textId="77777777" w:rsidTr="00197DB3">
        <w:tc>
          <w:tcPr>
            <w:cnfStyle w:val="001000000000" w:firstRow="0" w:lastRow="0" w:firstColumn="1" w:lastColumn="0" w:oddVBand="0" w:evenVBand="0" w:oddHBand="0" w:evenHBand="0" w:firstRowFirstColumn="0" w:firstRowLastColumn="0" w:lastRowFirstColumn="0" w:lastRowLastColumn="0"/>
            <w:tcW w:w="0" w:type="auto"/>
            <w:vMerge/>
            <w:tcBorders>
              <w:top w:val="single" w:sz="4" w:space="0" w:color="B4C6E7"/>
              <w:left w:val="single" w:sz="4" w:space="0" w:color="B4C6E7"/>
              <w:bottom w:val="single" w:sz="4" w:space="0" w:color="B4C6E7"/>
              <w:right w:val="single" w:sz="4" w:space="0" w:color="B4C6E7"/>
            </w:tcBorders>
            <w:vAlign w:val="center"/>
            <w:hideMark/>
          </w:tcPr>
          <w:p w14:paraId="271E65E9" w14:textId="77777777" w:rsidR="00197DB3" w:rsidRDefault="00197DB3">
            <w:pPr>
              <w:spacing w:before="0" w:after="0" w:line="240" w:lineRule="auto"/>
              <w:jc w:val="left"/>
              <w:rPr>
                <w:rFonts w:asciiTheme="minorHAnsi" w:hAnsiTheme="minorHAnsi" w:cstheme="minorHAnsi"/>
                <w:sz w:val="22"/>
                <w:lang w:eastAsia="fr-FR" w:bidi="ar-SA"/>
              </w:rPr>
            </w:pPr>
          </w:p>
        </w:tc>
        <w:tc>
          <w:tcPr>
            <w:tcW w:w="0" w:type="auto"/>
            <w:tcBorders>
              <w:top w:val="single" w:sz="4" w:space="0" w:color="B4C6E7"/>
              <w:left w:val="single" w:sz="4" w:space="0" w:color="B4C6E7"/>
              <w:bottom w:val="single" w:sz="4" w:space="0" w:color="B4C6E7"/>
              <w:right w:val="single" w:sz="4" w:space="0" w:color="B4C6E7"/>
            </w:tcBorders>
            <w:hideMark/>
          </w:tcPr>
          <w:p w14:paraId="54386FDD" w14:textId="77777777" w:rsidR="00197DB3" w:rsidRDefault="00197DB3">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eastAsia="fr-FR" w:bidi="ar-SA"/>
              </w:rPr>
            </w:pPr>
            <w:r>
              <w:rPr>
                <w:rFonts w:asciiTheme="minorHAnsi" w:hAnsiTheme="minorHAnsi" w:cstheme="minorHAnsi"/>
                <w:lang w:eastAsia="fr-FR" w:bidi="ar-SA"/>
              </w:rPr>
              <w:t>Mesure du bruit aéronautique</w:t>
            </w:r>
          </w:p>
        </w:tc>
        <w:tc>
          <w:tcPr>
            <w:tcW w:w="0" w:type="auto"/>
            <w:tcBorders>
              <w:top w:val="single" w:sz="4" w:space="0" w:color="B4C6E7"/>
              <w:left w:val="single" w:sz="4" w:space="0" w:color="B4C6E7"/>
              <w:bottom w:val="single" w:sz="4" w:space="0" w:color="B4C6E7"/>
              <w:right w:val="single" w:sz="4" w:space="0" w:color="B4C6E7"/>
            </w:tcBorders>
            <w:hideMark/>
          </w:tcPr>
          <w:p w14:paraId="1428516C" w14:textId="77777777" w:rsidR="00197DB3" w:rsidRDefault="00197DB3">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eastAsia="fr-FR" w:bidi="ar-SA"/>
              </w:rPr>
            </w:pPr>
            <w:r>
              <w:rPr>
                <w:rFonts w:asciiTheme="minorHAnsi" w:hAnsiTheme="minorHAnsi" w:cstheme="minorHAnsi"/>
                <w:lang w:eastAsia="fr-FR" w:bidi="ar-SA"/>
              </w:rPr>
              <w:t>Campagnes semestrielles</w:t>
            </w:r>
          </w:p>
        </w:tc>
        <w:tc>
          <w:tcPr>
            <w:tcW w:w="0" w:type="auto"/>
            <w:tcBorders>
              <w:top w:val="single" w:sz="4" w:space="0" w:color="B4C6E7"/>
              <w:left w:val="single" w:sz="4" w:space="0" w:color="B4C6E7"/>
              <w:bottom w:val="single" w:sz="4" w:space="0" w:color="B4C6E7"/>
              <w:right w:val="single" w:sz="4" w:space="0" w:color="B4C6E7"/>
            </w:tcBorders>
            <w:hideMark/>
          </w:tcPr>
          <w:p w14:paraId="69C8516E" w14:textId="77777777" w:rsidR="00197DB3" w:rsidRDefault="00197DB3">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eastAsia="fr-FR" w:bidi="ar-SA"/>
              </w:rPr>
            </w:pPr>
            <w:r>
              <w:rPr>
                <w:rFonts w:asciiTheme="minorHAnsi" w:hAnsiTheme="minorHAnsi" w:cstheme="minorHAnsi"/>
                <w:lang w:eastAsia="fr-FR" w:bidi="ar-SA"/>
              </w:rPr>
              <w:t>15 000</w:t>
            </w:r>
          </w:p>
        </w:tc>
        <w:tc>
          <w:tcPr>
            <w:tcW w:w="0" w:type="auto"/>
            <w:tcBorders>
              <w:top w:val="single" w:sz="4" w:space="0" w:color="B4C6E7"/>
              <w:left w:val="single" w:sz="4" w:space="0" w:color="B4C6E7"/>
              <w:bottom w:val="single" w:sz="4" w:space="0" w:color="B4C6E7"/>
              <w:right w:val="single" w:sz="4" w:space="0" w:color="B4C6E7"/>
            </w:tcBorders>
            <w:hideMark/>
          </w:tcPr>
          <w:p w14:paraId="44E8E7D1" w14:textId="77777777" w:rsidR="00197DB3" w:rsidRDefault="00197DB3">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eastAsia="fr-FR" w:bidi="ar-SA"/>
              </w:rPr>
            </w:pPr>
            <w:r>
              <w:rPr>
                <w:rFonts w:asciiTheme="minorHAnsi" w:hAnsiTheme="minorHAnsi" w:cstheme="minorHAnsi"/>
                <w:lang w:eastAsia="fr-FR" w:bidi="ar-SA"/>
              </w:rPr>
              <w:t>ONDA</w:t>
            </w:r>
          </w:p>
        </w:tc>
      </w:tr>
      <w:tr w:rsidR="00197DB3" w14:paraId="6F7DBBA3" w14:textId="77777777" w:rsidTr="00197DB3">
        <w:tc>
          <w:tcPr>
            <w:cnfStyle w:val="001000000000" w:firstRow="0" w:lastRow="0" w:firstColumn="1" w:lastColumn="0" w:oddVBand="0" w:evenVBand="0" w:oddHBand="0" w:evenHBand="0" w:firstRowFirstColumn="0" w:firstRowLastColumn="0" w:lastRowFirstColumn="0" w:lastRowLastColumn="0"/>
            <w:tcW w:w="0" w:type="auto"/>
            <w:vMerge/>
            <w:tcBorders>
              <w:top w:val="single" w:sz="4" w:space="0" w:color="B4C6E7"/>
              <w:left w:val="single" w:sz="4" w:space="0" w:color="B4C6E7"/>
              <w:bottom w:val="single" w:sz="4" w:space="0" w:color="B4C6E7"/>
              <w:right w:val="single" w:sz="4" w:space="0" w:color="B4C6E7"/>
            </w:tcBorders>
            <w:vAlign w:val="center"/>
            <w:hideMark/>
          </w:tcPr>
          <w:p w14:paraId="6C3A2ED1" w14:textId="77777777" w:rsidR="00197DB3" w:rsidRDefault="00197DB3">
            <w:pPr>
              <w:spacing w:before="0" w:after="0" w:line="240" w:lineRule="auto"/>
              <w:jc w:val="left"/>
              <w:rPr>
                <w:rFonts w:asciiTheme="minorHAnsi" w:hAnsiTheme="minorHAnsi" w:cstheme="minorHAnsi"/>
                <w:sz w:val="22"/>
                <w:lang w:eastAsia="fr-FR" w:bidi="ar-SA"/>
              </w:rPr>
            </w:pPr>
          </w:p>
        </w:tc>
        <w:tc>
          <w:tcPr>
            <w:tcW w:w="0" w:type="auto"/>
            <w:tcBorders>
              <w:top w:val="single" w:sz="4" w:space="0" w:color="B4C6E7"/>
              <w:left w:val="single" w:sz="4" w:space="0" w:color="B4C6E7"/>
              <w:bottom w:val="single" w:sz="4" w:space="0" w:color="B4C6E7"/>
              <w:right w:val="single" w:sz="4" w:space="0" w:color="B4C6E7"/>
            </w:tcBorders>
            <w:hideMark/>
          </w:tcPr>
          <w:p w14:paraId="0F22F5C6" w14:textId="77777777" w:rsidR="00197DB3" w:rsidRDefault="00197DB3">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eastAsia="fr-FR" w:bidi="ar-SA"/>
              </w:rPr>
            </w:pPr>
            <w:r>
              <w:rPr>
                <w:rFonts w:asciiTheme="minorHAnsi" w:hAnsiTheme="minorHAnsi" w:cstheme="minorHAnsi"/>
                <w:lang w:eastAsia="fr-FR" w:bidi="ar-SA"/>
              </w:rPr>
              <w:t>Suivi biodiversité / paysage</w:t>
            </w:r>
          </w:p>
        </w:tc>
        <w:tc>
          <w:tcPr>
            <w:tcW w:w="0" w:type="auto"/>
            <w:tcBorders>
              <w:top w:val="single" w:sz="4" w:space="0" w:color="B4C6E7"/>
              <w:left w:val="single" w:sz="4" w:space="0" w:color="B4C6E7"/>
              <w:bottom w:val="single" w:sz="4" w:space="0" w:color="B4C6E7"/>
              <w:right w:val="single" w:sz="4" w:space="0" w:color="B4C6E7"/>
            </w:tcBorders>
            <w:hideMark/>
          </w:tcPr>
          <w:p w14:paraId="4B3B6B7F" w14:textId="77777777" w:rsidR="00197DB3" w:rsidRDefault="00197DB3">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eastAsia="fr-FR" w:bidi="ar-SA"/>
              </w:rPr>
            </w:pPr>
            <w:r>
              <w:rPr>
                <w:rFonts w:asciiTheme="minorHAnsi" w:hAnsiTheme="minorHAnsi" w:cstheme="minorHAnsi"/>
                <w:lang w:eastAsia="fr-FR" w:bidi="ar-SA"/>
              </w:rPr>
              <w:t>Inspection semestrielle</w:t>
            </w:r>
          </w:p>
        </w:tc>
        <w:tc>
          <w:tcPr>
            <w:tcW w:w="0" w:type="auto"/>
            <w:tcBorders>
              <w:top w:val="single" w:sz="4" w:space="0" w:color="B4C6E7"/>
              <w:left w:val="single" w:sz="4" w:space="0" w:color="B4C6E7"/>
              <w:bottom w:val="single" w:sz="4" w:space="0" w:color="B4C6E7"/>
              <w:right w:val="single" w:sz="4" w:space="0" w:color="B4C6E7"/>
            </w:tcBorders>
            <w:hideMark/>
          </w:tcPr>
          <w:p w14:paraId="4197B450" w14:textId="77777777" w:rsidR="00197DB3" w:rsidRDefault="00197DB3">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eastAsia="fr-FR" w:bidi="ar-SA"/>
              </w:rPr>
            </w:pPr>
            <w:r>
              <w:rPr>
                <w:rFonts w:asciiTheme="minorHAnsi" w:hAnsiTheme="minorHAnsi" w:cstheme="minorHAnsi"/>
                <w:lang w:eastAsia="fr-FR" w:bidi="ar-SA"/>
              </w:rPr>
              <w:t>10 000</w:t>
            </w:r>
          </w:p>
        </w:tc>
        <w:tc>
          <w:tcPr>
            <w:tcW w:w="0" w:type="auto"/>
            <w:tcBorders>
              <w:top w:val="single" w:sz="4" w:space="0" w:color="B4C6E7"/>
              <w:left w:val="single" w:sz="4" w:space="0" w:color="B4C6E7"/>
              <w:bottom w:val="single" w:sz="4" w:space="0" w:color="B4C6E7"/>
              <w:right w:val="single" w:sz="4" w:space="0" w:color="B4C6E7"/>
            </w:tcBorders>
            <w:hideMark/>
          </w:tcPr>
          <w:p w14:paraId="73ED3E58" w14:textId="77777777" w:rsidR="00197DB3" w:rsidRDefault="00197DB3">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eastAsia="fr-FR" w:bidi="ar-SA"/>
              </w:rPr>
            </w:pPr>
            <w:r>
              <w:rPr>
                <w:rFonts w:asciiTheme="minorHAnsi" w:hAnsiTheme="minorHAnsi" w:cstheme="minorHAnsi"/>
                <w:lang w:eastAsia="fr-FR" w:bidi="ar-SA"/>
              </w:rPr>
              <w:t>ONDA</w:t>
            </w:r>
          </w:p>
        </w:tc>
      </w:tr>
      <w:tr w:rsidR="00197DB3" w14:paraId="67EF4383" w14:textId="77777777" w:rsidTr="00197DB3">
        <w:tc>
          <w:tcPr>
            <w:cnfStyle w:val="001000000000" w:firstRow="0" w:lastRow="0" w:firstColumn="1" w:lastColumn="0" w:oddVBand="0" w:evenVBand="0" w:oddHBand="0" w:evenHBand="0" w:firstRowFirstColumn="0" w:firstRowLastColumn="0" w:lastRowFirstColumn="0" w:lastRowLastColumn="0"/>
            <w:tcW w:w="0" w:type="auto"/>
            <w:gridSpan w:val="5"/>
            <w:tcBorders>
              <w:top w:val="single" w:sz="4" w:space="0" w:color="B4C6E7"/>
              <w:left w:val="single" w:sz="4" w:space="0" w:color="B4C6E7"/>
              <w:bottom w:val="single" w:sz="4" w:space="0" w:color="B4C6E7"/>
              <w:right w:val="single" w:sz="4" w:space="0" w:color="B4C6E7"/>
            </w:tcBorders>
            <w:vAlign w:val="center"/>
            <w:hideMark/>
          </w:tcPr>
          <w:p w14:paraId="45945E37" w14:textId="77777777" w:rsidR="00197DB3" w:rsidRDefault="00197DB3">
            <w:pPr>
              <w:spacing w:before="0" w:after="0" w:line="240" w:lineRule="auto"/>
              <w:jc w:val="center"/>
              <w:rPr>
                <w:rFonts w:asciiTheme="minorHAnsi" w:hAnsiTheme="minorHAnsi" w:cstheme="minorHAnsi"/>
                <w:lang w:eastAsia="fr-FR" w:bidi="ar-SA"/>
              </w:rPr>
            </w:pPr>
            <w:r>
              <w:rPr>
                <w:rFonts w:asciiTheme="minorHAnsi" w:hAnsiTheme="minorHAnsi" w:cstheme="minorHAnsi"/>
                <w:lang w:eastAsia="fr-FR" w:bidi="ar-SA"/>
              </w:rPr>
              <w:t>Coût général des coûts du PGES en phase d’exploitation : 250 000 MAD</w:t>
            </w:r>
          </w:p>
        </w:tc>
      </w:tr>
    </w:tbl>
    <w:p w14:paraId="1F5FB7B0" w14:textId="77777777" w:rsidR="00C55F0E" w:rsidRDefault="00C55F0E" w:rsidP="00C55F0E"/>
    <w:p w14:paraId="3535CCDB" w14:textId="77777777" w:rsidR="004446C3" w:rsidRDefault="004446C3" w:rsidP="00C55F0E"/>
    <w:p w14:paraId="712E50EB" w14:textId="77777777" w:rsidR="004446C3" w:rsidRDefault="004446C3" w:rsidP="00C55F0E"/>
    <w:p w14:paraId="10355D52" w14:textId="23EF8CAE" w:rsidR="00C55F0E" w:rsidRDefault="00C55F0E" w:rsidP="00C55F0E">
      <w:pPr>
        <w:pStyle w:val="Title1"/>
        <w:numPr>
          <w:ilvl w:val="0"/>
          <w:numId w:val="0"/>
        </w:numPr>
        <w:ind w:left="360" w:hanging="360"/>
        <w:sectPr w:rsidR="00C55F0E" w:rsidSect="00853D24">
          <w:pgSz w:w="11906" w:h="16838"/>
          <w:pgMar w:top="1418" w:right="1418" w:bottom="1276" w:left="1418" w:header="680" w:footer="680" w:gutter="0"/>
          <w:cols w:space="708"/>
          <w:docGrid w:linePitch="360"/>
        </w:sectPr>
      </w:pPr>
    </w:p>
    <w:p w14:paraId="64A4E41B" w14:textId="24CFC0C5" w:rsidR="00024287" w:rsidRPr="00024287" w:rsidRDefault="00024287" w:rsidP="00024287">
      <w:pPr>
        <w:pStyle w:val="Title1"/>
      </w:pPr>
      <w:bookmarkStart w:id="599" w:name="_Toc181619058"/>
      <w:bookmarkEnd w:id="545"/>
      <w:bookmarkEnd w:id="546"/>
      <w:bookmarkEnd w:id="558"/>
      <w:r w:rsidRPr="00024287">
        <w:lastRenderedPageBreak/>
        <w:t xml:space="preserve"> </w:t>
      </w:r>
      <w:bookmarkStart w:id="600" w:name="_Toc215131938"/>
      <w:r w:rsidRPr="00024287">
        <w:t>CONCLUSION</w:t>
      </w:r>
      <w:bookmarkEnd w:id="600"/>
    </w:p>
    <w:p w14:paraId="4317348B" w14:textId="77777777" w:rsidR="00024287" w:rsidRPr="00AC2854" w:rsidRDefault="00024287" w:rsidP="00024287">
      <w:pPr>
        <w:pStyle w:val="Default"/>
        <w:spacing w:after="240" w:line="276" w:lineRule="auto"/>
        <w:jc w:val="both"/>
        <w:rPr>
          <w:rFonts w:asciiTheme="minorHAnsi" w:hAnsiTheme="minorHAnsi" w:cstheme="minorBidi"/>
          <w:color w:val="auto"/>
          <w:sz w:val="22"/>
          <w:szCs w:val="22"/>
        </w:rPr>
      </w:pPr>
      <w:r w:rsidRPr="00AC2854">
        <w:rPr>
          <w:rFonts w:asciiTheme="minorHAnsi" w:hAnsiTheme="minorHAnsi" w:cstheme="minorBidi"/>
          <w:color w:val="auto"/>
          <w:sz w:val="22"/>
          <w:szCs w:val="22"/>
        </w:rPr>
        <w:t>Dans le cadre de ses attributions et en cohérence avec les meilleures pratiques ainsi que les recommandations du secteur aéroportuaire, l’Office National Des Aéroports (ONDA) s’attache à anticiper les besoins en capacités d’accueil des aéroports marocains, afin d’accompagner l’évolution prévisionnelle du trafic aérien. Ces besoins en capacités</w:t>
      </w:r>
      <w:r w:rsidRPr="00AC2854">
        <w:rPr>
          <w:color w:val="auto"/>
          <w:sz w:val="22"/>
          <w:szCs w:val="22"/>
        </w:rPr>
        <w:t xml:space="preserve"> </w:t>
      </w:r>
      <w:r w:rsidRPr="00AC2854">
        <w:rPr>
          <w:rFonts w:asciiTheme="minorHAnsi" w:hAnsiTheme="minorHAnsi" w:cstheme="minorBidi"/>
          <w:color w:val="auto"/>
          <w:sz w:val="22"/>
          <w:szCs w:val="22"/>
        </w:rPr>
        <w:t>s’effectuent en cohérence avec les priorités nationales et les dynamiques des différents secteurs ayant un impact sur la croissance du trafic aérien.</w:t>
      </w:r>
    </w:p>
    <w:p w14:paraId="6C47873E" w14:textId="77777777" w:rsidR="00024287" w:rsidRPr="00AC2854" w:rsidRDefault="00024287" w:rsidP="00024287">
      <w:pPr>
        <w:pStyle w:val="Default"/>
        <w:spacing w:after="240" w:line="276" w:lineRule="auto"/>
        <w:jc w:val="both"/>
        <w:rPr>
          <w:rFonts w:asciiTheme="minorHAnsi" w:hAnsiTheme="minorHAnsi" w:cstheme="minorBidi"/>
          <w:color w:val="auto"/>
          <w:sz w:val="22"/>
          <w:szCs w:val="22"/>
        </w:rPr>
      </w:pPr>
      <w:r w:rsidRPr="00AC2854">
        <w:rPr>
          <w:rFonts w:asciiTheme="minorHAnsi" w:hAnsiTheme="minorHAnsi" w:cstheme="minorBidi"/>
          <w:color w:val="auto"/>
          <w:sz w:val="22"/>
          <w:szCs w:val="22"/>
        </w:rPr>
        <w:t>C’est dans cet objectif que l’ONDA prévoit la modernisation et l’extension des infrastructures aéroportuaires de l’Aéroport Marrakech Ménara. La capacité actuelle de l’Aéroport Marrakech étant estimée à 8 millions de passagers par an, et dans le cadre du projet de développement prévu, cette capacité sera considérablement augmentée pour atteindre 16 millions de passagers par an à l’horizon 2030</w:t>
      </w:r>
      <w:r w:rsidRPr="00AC2854">
        <w:rPr>
          <w:sz w:val="22"/>
          <w:szCs w:val="22"/>
        </w:rPr>
        <w:t xml:space="preserve"> </w:t>
      </w:r>
      <w:r w:rsidRPr="00AC2854">
        <w:rPr>
          <w:rFonts w:asciiTheme="minorHAnsi" w:hAnsiTheme="minorHAnsi" w:cstheme="minorBidi"/>
          <w:color w:val="auto"/>
          <w:sz w:val="22"/>
          <w:szCs w:val="22"/>
        </w:rPr>
        <w:t>pour</w:t>
      </w:r>
      <w:r w:rsidRPr="00AC2854">
        <w:rPr>
          <w:sz w:val="22"/>
          <w:szCs w:val="22"/>
        </w:rPr>
        <w:t xml:space="preserve"> </w:t>
      </w:r>
      <w:r w:rsidRPr="00AC2854">
        <w:rPr>
          <w:rFonts w:asciiTheme="minorHAnsi" w:hAnsiTheme="minorHAnsi" w:cstheme="minorBidi"/>
          <w:color w:val="auto"/>
          <w:sz w:val="22"/>
          <w:szCs w:val="22"/>
        </w:rPr>
        <w:t>répondre à la forte croissance du trafic aérien.</w:t>
      </w:r>
    </w:p>
    <w:p w14:paraId="4C84B8BB" w14:textId="3CD81211" w:rsidR="00024287" w:rsidRPr="00AC2854" w:rsidRDefault="00024287" w:rsidP="00024287">
      <w:pPr>
        <w:pStyle w:val="Default"/>
        <w:spacing w:after="240" w:line="276" w:lineRule="auto"/>
        <w:jc w:val="both"/>
        <w:rPr>
          <w:rFonts w:asciiTheme="minorHAnsi" w:hAnsiTheme="minorHAnsi" w:cstheme="minorBidi"/>
          <w:color w:val="auto"/>
          <w:sz w:val="22"/>
          <w:szCs w:val="22"/>
        </w:rPr>
      </w:pPr>
      <w:r w:rsidRPr="00AC2854">
        <w:rPr>
          <w:rFonts w:asciiTheme="minorHAnsi" w:hAnsiTheme="minorHAnsi" w:cstheme="minorBidi"/>
          <w:color w:val="auto"/>
          <w:sz w:val="22"/>
          <w:szCs w:val="22"/>
        </w:rPr>
        <w:t>Le projet s’intègre ainsi dans la dynamique urbaine et économique, qui vise à moderniser les infrastructures et dynamiser le secteur touristique. En termes d’impacts positifs, le</w:t>
      </w:r>
      <w:r w:rsidR="00EB2D0A">
        <w:rPr>
          <w:rFonts w:asciiTheme="minorHAnsi" w:hAnsiTheme="minorHAnsi" w:cstheme="minorBidi"/>
          <w:color w:val="auto"/>
          <w:sz w:val="22"/>
          <w:szCs w:val="22"/>
        </w:rPr>
        <w:t xml:space="preserve"> projet induit</w:t>
      </w:r>
      <w:r w:rsidRPr="00AC2854">
        <w:rPr>
          <w:rFonts w:asciiTheme="minorHAnsi" w:hAnsiTheme="minorHAnsi" w:cstheme="minorBidi"/>
          <w:color w:val="auto"/>
          <w:sz w:val="22"/>
          <w:szCs w:val="22"/>
        </w:rPr>
        <w:t xml:space="preserve"> principalement :</w:t>
      </w:r>
    </w:p>
    <w:p w14:paraId="1AAFA904" w14:textId="59F7315A" w:rsidR="00024287" w:rsidRPr="00AC2854" w:rsidRDefault="00024287" w:rsidP="0001633E">
      <w:pPr>
        <w:pStyle w:val="Default"/>
        <w:numPr>
          <w:ilvl w:val="0"/>
          <w:numId w:val="209"/>
        </w:numPr>
        <w:spacing w:after="240" w:line="276" w:lineRule="auto"/>
        <w:jc w:val="both"/>
        <w:rPr>
          <w:rFonts w:asciiTheme="minorHAnsi" w:hAnsiTheme="minorHAnsi" w:cstheme="minorBidi"/>
          <w:color w:val="auto"/>
          <w:sz w:val="22"/>
          <w:szCs w:val="22"/>
        </w:rPr>
      </w:pPr>
      <w:r w:rsidRPr="00AC2854">
        <w:rPr>
          <w:rFonts w:asciiTheme="minorHAnsi" w:hAnsiTheme="minorHAnsi" w:cstheme="minorBidi"/>
          <w:color w:val="auto"/>
          <w:sz w:val="22"/>
          <w:szCs w:val="22"/>
        </w:rPr>
        <w:t>Augmenter la capacité d’accueil des aéronefs et des passagers, afin d’accompagner la croissance du trafic aérien national et international.</w:t>
      </w:r>
    </w:p>
    <w:p w14:paraId="5FF3B214" w14:textId="28DAFF99" w:rsidR="00024287" w:rsidRPr="00AC2854" w:rsidRDefault="00024287" w:rsidP="0001633E">
      <w:pPr>
        <w:pStyle w:val="Default"/>
        <w:numPr>
          <w:ilvl w:val="0"/>
          <w:numId w:val="209"/>
        </w:numPr>
        <w:spacing w:after="240" w:line="276" w:lineRule="auto"/>
        <w:jc w:val="both"/>
        <w:rPr>
          <w:rFonts w:asciiTheme="minorHAnsi" w:hAnsiTheme="minorHAnsi" w:cstheme="minorBidi"/>
          <w:color w:val="auto"/>
          <w:sz w:val="22"/>
          <w:szCs w:val="22"/>
        </w:rPr>
      </w:pPr>
      <w:r w:rsidRPr="00AC2854">
        <w:rPr>
          <w:rFonts w:asciiTheme="minorHAnsi" w:hAnsiTheme="minorHAnsi" w:cstheme="minorBidi"/>
          <w:color w:val="auto"/>
          <w:sz w:val="22"/>
          <w:szCs w:val="22"/>
        </w:rPr>
        <w:t>Améliorer la fluidité des opérations aériennes grâce à l’optimisation du balisage, du stationnement et des voies de circulation.</w:t>
      </w:r>
    </w:p>
    <w:p w14:paraId="230388E0" w14:textId="41A96E70" w:rsidR="00024287" w:rsidRPr="00AC2854" w:rsidRDefault="00024287" w:rsidP="0001633E">
      <w:pPr>
        <w:pStyle w:val="Default"/>
        <w:numPr>
          <w:ilvl w:val="0"/>
          <w:numId w:val="209"/>
        </w:numPr>
        <w:spacing w:after="240" w:line="276" w:lineRule="auto"/>
        <w:jc w:val="both"/>
        <w:rPr>
          <w:rFonts w:asciiTheme="minorHAnsi" w:hAnsiTheme="minorHAnsi" w:cstheme="minorBidi"/>
          <w:color w:val="auto"/>
          <w:sz w:val="22"/>
          <w:szCs w:val="22"/>
        </w:rPr>
      </w:pPr>
      <w:r w:rsidRPr="00AC2854">
        <w:rPr>
          <w:rFonts w:asciiTheme="minorHAnsi" w:hAnsiTheme="minorHAnsi" w:cstheme="minorBidi"/>
          <w:color w:val="auto"/>
          <w:sz w:val="22"/>
          <w:szCs w:val="22"/>
        </w:rPr>
        <w:t>Moderniser les équipements de sûreté et de sécurité conformément aux normes OACI.</w:t>
      </w:r>
    </w:p>
    <w:p w14:paraId="59A6CA85" w14:textId="63F8E1BA" w:rsidR="00024287" w:rsidRPr="00AC2854" w:rsidRDefault="00024287" w:rsidP="0001633E">
      <w:pPr>
        <w:pStyle w:val="Default"/>
        <w:numPr>
          <w:ilvl w:val="0"/>
          <w:numId w:val="209"/>
        </w:numPr>
        <w:spacing w:after="240" w:line="276" w:lineRule="auto"/>
        <w:jc w:val="both"/>
        <w:rPr>
          <w:rFonts w:asciiTheme="minorHAnsi" w:hAnsiTheme="minorHAnsi" w:cstheme="minorBidi"/>
          <w:color w:val="auto"/>
          <w:sz w:val="22"/>
          <w:szCs w:val="22"/>
        </w:rPr>
      </w:pPr>
      <w:r w:rsidRPr="00AC2854">
        <w:rPr>
          <w:rFonts w:asciiTheme="minorHAnsi" w:hAnsiTheme="minorHAnsi" w:cstheme="minorBidi"/>
          <w:color w:val="auto"/>
          <w:sz w:val="22"/>
          <w:szCs w:val="22"/>
        </w:rPr>
        <w:t>Renforcer la durabilité environnementale des installations (éclairage LED, gestion des eaux, contrôle rigoureux des nuisances sonores et atmosphériques).</w:t>
      </w:r>
    </w:p>
    <w:p w14:paraId="6EB445A7" w14:textId="77777777" w:rsidR="00024287" w:rsidRPr="00AC2854" w:rsidRDefault="00024287" w:rsidP="0001633E">
      <w:pPr>
        <w:pStyle w:val="Default"/>
        <w:numPr>
          <w:ilvl w:val="0"/>
          <w:numId w:val="209"/>
        </w:numPr>
        <w:spacing w:after="240" w:line="276" w:lineRule="auto"/>
        <w:jc w:val="both"/>
        <w:rPr>
          <w:rFonts w:asciiTheme="minorHAnsi" w:hAnsiTheme="minorHAnsi" w:cstheme="minorBidi"/>
          <w:color w:val="auto"/>
          <w:sz w:val="22"/>
          <w:szCs w:val="22"/>
        </w:rPr>
      </w:pPr>
      <w:r w:rsidRPr="00AC2854">
        <w:rPr>
          <w:rFonts w:asciiTheme="minorHAnsi" w:hAnsiTheme="minorHAnsi" w:cstheme="minorBidi"/>
          <w:color w:val="auto"/>
          <w:sz w:val="22"/>
          <w:szCs w:val="22"/>
        </w:rPr>
        <w:t>Créer des opportunités socio-économiques locales, notamment par l’emploi temporaire en phase travaux et la mobilisation d’entreprises locales.</w:t>
      </w:r>
    </w:p>
    <w:p w14:paraId="14E102BE" w14:textId="77777777" w:rsidR="00024287" w:rsidRPr="00AC2854" w:rsidRDefault="00024287" w:rsidP="00024287">
      <w:pPr>
        <w:pStyle w:val="Default"/>
        <w:spacing w:after="240" w:line="276" w:lineRule="auto"/>
        <w:jc w:val="both"/>
        <w:rPr>
          <w:rFonts w:asciiTheme="minorHAnsi" w:hAnsiTheme="minorHAnsi" w:cstheme="minorBidi"/>
          <w:color w:val="auto"/>
          <w:sz w:val="22"/>
          <w:szCs w:val="22"/>
        </w:rPr>
      </w:pPr>
      <w:r w:rsidRPr="00AC2854">
        <w:rPr>
          <w:rFonts w:asciiTheme="minorHAnsi" w:hAnsiTheme="minorHAnsi" w:cstheme="minorBidi"/>
          <w:color w:val="auto"/>
          <w:sz w:val="22"/>
          <w:szCs w:val="22"/>
        </w:rPr>
        <w:t>Les impacts négatifs potentiels identifiés sont essentiellement en phase de construction, qui seront compensés voire supprimés par l’exécution des mesures d’atténuation préconisées et du plan de suivi et de surveillance établi par la présente étude. L’ONDA prévoit des mesures avec des engagements stricts en matière de qualité, de sécurité et d’environnement permettant d’éviter tout impact négatif en phase des travaux.</w:t>
      </w:r>
    </w:p>
    <w:p w14:paraId="1732FC3B" w14:textId="77777777" w:rsidR="00024287" w:rsidRPr="00AC2854" w:rsidRDefault="00024287" w:rsidP="00024287">
      <w:pPr>
        <w:pStyle w:val="Default"/>
        <w:spacing w:after="240" w:line="276" w:lineRule="auto"/>
        <w:jc w:val="both"/>
        <w:rPr>
          <w:rFonts w:asciiTheme="minorHAnsi" w:hAnsiTheme="minorHAnsi" w:cstheme="minorBidi"/>
          <w:color w:val="auto"/>
          <w:sz w:val="22"/>
          <w:szCs w:val="22"/>
        </w:rPr>
      </w:pPr>
      <w:r w:rsidRPr="00AC2854">
        <w:rPr>
          <w:rFonts w:asciiTheme="minorHAnsi" w:hAnsiTheme="minorHAnsi" w:cstheme="minorBidi"/>
          <w:color w:val="auto"/>
          <w:sz w:val="22"/>
          <w:szCs w:val="22"/>
        </w:rPr>
        <w:t>Durant la phase d'exploitation, l'ONDA prévoit une gestion du projet dans le respect des normes de qualité, de sécurité, d’hygiène et d’environnement. Par ailleurs, l’intégration du programme d’atténuation et de suivi des composantes environnementales liées au projet, préconisé par l’étude, rend les impacts négatifs durant cette phase négligeable voire même inexistants.</w:t>
      </w:r>
    </w:p>
    <w:p w14:paraId="1A0328AC" w14:textId="14172B90" w:rsidR="00024287" w:rsidRPr="00AC2854" w:rsidRDefault="00024287" w:rsidP="00024287">
      <w:r w:rsidRPr="00AC2854">
        <w:t xml:space="preserve">Le projet de modernisation et d’extension des infrastructures aéroportuaires de l’Aéroport international Marrakech vise à renforcer la capacité opérationnelle, la sécurité et la qualité des services aéroportuaires. Le projet s’inscrit dans la dynamique de modernisation du réseau aéroportuaire </w:t>
      </w:r>
      <w:r w:rsidRPr="00AC2854">
        <w:lastRenderedPageBreak/>
        <w:t>national afin d’accompagner la croissance du trafic passager et de soutenir le développement économique et touristique de la région Marrakech – Safi.</w:t>
      </w:r>
    </w:p>
    <w:bookmarkEnd w:id="599"/>
    <w:p w14:paraId="4137747B" w14:textId="10953E6A" w:rsidR="007F25C6" w:rsidRDefault="007F25C6" w:rsidP="000A7EF2"/>
    <w:p w14:paraId="2A687BE5" w14:textId="77777777" w:rsidR="007F25C6" w:rsidRPr="007F25C6" w:rsidRDefault="007F25C6" w:rsidP="007F25C6"/>
    <w:p w14:paraId="2BB2C163" w14:textId="77777777" w:rsidR="007F25C6" w:rsidRPr="007F25C6" w:rsidRDefault="007F25C6" w:rsidP="007F25C6"/>
    <w:p w14:paraId="546D0AA4" w14:textId="77777777" w:rsidR="007F25C6" w:rsidRPr="007F25C6" w:rsidRDefault="007F25C6" w:rsidP="007F25C6"/>
    <w:p w14:paraId="45FC2C61" w14:textId="77777777" w:rsidR="007F25C6" w:rsidRPr="007F25C6" w:rsidRDefault="007F25C6" w:rsidP="007F25C6"/>
    <w:p w14:paraId="7851D262" w14:textId="77777777" w:rsidR="007F25C6" w:rsidRPr="007F25C6" w:rsidRDefault="007F25C6" w:rsidP="007F25C6"/>
    <w:p w14:paraId="1CC7393E" w14:textId="77777777" w:rsidR="007F25C6" w:rsidRPr="007F25C6" w:rsidRDefault="007F25C6" w:rsidP="007F25C6"/>
    <w:p w14:paraId="6D1EB790" w14:textId="77777777" w:rsidR="007F25C6" w:rsidRPr="007F25C6" w:rsidRDefault="007F25C6" w:rsidP="007F25C6"/>
    <w:p w14:paraId="78EFEE95" w14:textId="77777777" w:rsidR="007F25C6" w:rsidRPr="007F25C6" w:rsidRDefault="007F25C6" w:rsidP="007F25C6"/>
    <w:p w14:paraId="5A8DFDF1" w14:textId="77777777" w:rsidR="007F25C6" w:rsidRPr="007F25C6" w:rsidRDefault="007F25C6" w:rsidP="007F25C6"/>
    <w:p w14:paraId="74D0A016" w14:textId="77777777" w:rsidR="007F25C6" w:rsidRPr="007F25C6" w:rsidRDefault="007F25C6" w:rsidP="007F25C6"/>
    <w:p w14:paraId="785DF588" w14:textId="77777777" w:rsidR="007F25C6" w:rsidRPr="007F25C6" w:rsidRDefault="007F25C6" w:rsidP="007F25C6"/>
    <w:p w14:paraId="15930073" w14:textId="77777777" w:rsidR="007F25C6" w:rsidRPr="007F25C6" w:rsidRDefault="007F25C6" w:rsidP="007F25C6"/>
    <w:p w14:paraId="6084A3A2" w14:textId="77777777" w:rsidR="007F25C6" w:rsidRPr="007F25C6" w:rsidRDefault="007F25C6" w:rsidP="007F25C6"/>
    <w:p w14:paraId="4EE9EFED" w14:textId="77777777" w:rsidR="007F25C6" w:rsidRPr="007F25C6" w:rsidRDefault="007F25C6" w:rsidP="007F25C6"/>
    <w:p w14:paraId="24FB2102" w14:textId="77777777" w:rsidR="007F25C6" w:rsidRPr="007F25C6" w:rsidRDefault="007F25C6" w:rsidP="007F25C6"/>
    <w:p w14:paraId="70B2D362" w14:textId="77777777" w:rsidR="007F25C6" w:rsidRPr="007F25C6" w:rsidRDefault="007F25C6" w:rsidP="007F25C6"/>
    <w:p w14:paraId="2065A212" w14:textId="77777777" w:rsidR="007F25C6" w:rsidRDefault="007F25C6" w:rsidP="007F25C6">
      <w:pPr>
        <w:tabs>
          <w:tab w:val="left" w:pos="1050"/>
        </w:tabs>
        <w:sectPr w:rsidR="007F25C6" w:rsidSect="00B04E36">
          <w:pgSz w:w="11906" w:h="16838"/>
          <w:pgMar w:top="1418" w:right="1418" w:bottom="1276" w:left="1418" w:header="680" w:footer="680" w:gutter="0"/>
          <w:cols w:space="708"/>
          <w:docGrid w:linePitch="360"/>
        </w:sectPr>
      </w:pPr>
      <w:r>
        <w:tab/>
      </w:r>
    </w:p>
    <w:p w14:paraId="147A275A" w14:textId="77777777" w:rsidR="007F25C6" w:rsidRDefault="007F25C6" w:rsidP="007F25C6">
      <w:pPr>
        <w:pStyle w:val="Title1"/>
      </w:pPr>
      <w:bookmarkStart w:id="601" w:name="_Toc215131939"/>
      <w:r>
        <w:lastRenderedPageBreak/>
        <w:t>Annexes</w:t>
      </w:r>
      <w:bookmarkEnd w:id="601"/>
    </w:p>
    <w:p w14:paraId="2D445B66" w14:textId="77777777" w:rsidR="007F25C6" w:rsidRDefault="007F25C6" w:rsidP="007F25C6">
      <w:pPr>
        <w:pStyle w:val="Title2"/>
      </w:pPr>
      <w:bookmarkStart w:id="602" w:name="_Toc199154646"/>
      <w:bookmarkStart w:id="603" w:name="_Toc215131940"/>
      <w:r>
        <w:t>Plans de masses du projet</w:t>
      </w:r>
      <w:bookmarkEnd w:id="602"/>
      <w:bookmarkEnd w:id="603"/>
      <w:r>
        <w:t xml:space="preserve"> </w:t>
      </w:r>
    </w:p>
    <w:p w14:paraId="7B695C5C" w14:textId="6B11AEA3" w:rsidR="007F25C6" w:rsidRPr="007F25C6" w:rsidRDefault="007F25C6" w:rsidP="007F25C6">
      <w:pPr>
        <w:tabs>
          <w:tab w:val="left" w:pos="1050"/>
        </w:tabs>
      </w:pPr>
    </w:p>
    <w:p w14:paraId="48881AB6" w14:textId="0B106CA4" w:rsidR="00465D44" w:rsidRPr="007F25C6" w:rsidRDefault="007F25C6" w:rsidP="007F25C6">
      <w:pPr>
        <w:tabs>
          <w:tab w:val="left" w:pos="1050"/>
        </w:tabs>
        <w:sectPr w:rsidR="00465D44" w:rsidRPr="007F25C6" w:rsidSect="00B04E36">
          <w:pgSz w:w="11906" w:h="16838"/>
          <w:pgMar w:top="1418" w:right="1418" w:bottom="1276" w:left="1418" w:header="680" w:footer="680" w:gutter="0"/>
          <w:cols w:space="708"/>
          <w:docGrid w:linePitch="360"/>
        </w:sectPr>
      </w:pPr>
      <w:r>
        <w:tab/>
      </w:r>
    </w:p>
    <w:p w14:paraId="66728CD7" w14:textId="77777777" w:rsidR="000A7EF2" w:rsidRDefault="000A7EF2" w:rsidP="000A7EF2">
      <w:r w:rsidRPr="00B8619A">
        <w:rPr>
          <w:noProof/>
          <w:lang w:eastAsia="fr-FR" w:bidi="ar-SA"/>
        </w:rPr>
        <w:lastRenderedPageBreak/>
        <w:drawing>
          <wp:inline distT="0" distB="0" distL="0" distR="0" wp14:anchorId="53920E03" wp14:editId="2530773D">
            <wp:extent cx="11154455" cy="8506046"/>
            <wp:effectExtent l="0" t="0" r="8890" b="9525"/>
            <wp:docPr id="1527583806" name="Image 1" descr="Une image contenant Plan, texte, diagramme, cart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7583806" name="Image 1" descr="Une image contenant Plan, texte, diagramme, carte&#10;&#10;Description générée automatiquement"/>
                    <pic:cNvPicPr/>
                  </pic:nvPicPr>
                  <pic:blipFill>
                    <a:blip r:embed="rId157"/>
                    <a:stretch>
                      <a:fillRect/>
                    </a:stretch>
                  </pic:blipFill>
                  <pic:spPr>
                    <a:xfrm>
                      <a:off x="0" y="0"/>
                      <a:ext cx="11179340" cy="8525022"/>
                    </a:xfrm>
                    <a:prstGeom prst="rect">
                      <a:avLst/>
                    </a:prstGeom>
                  </pic:spPr>
                </pic:pic>
              </a:graphicData>
            </a:graphic>
          </wp:inline>
        </w:drawing>
      </w:r>
    </w:p>
    <w:p w14:paraId="289EB016" w14:textId="77777777" w:rsidR="00465D44" w:rsidRDefault="00465D44" w:rsidP="006D619E">
      <w:pPr>
        <w:pStyle w:val="Title1"/>
        <w:numPr>
          <w:ilvl w:val="0"/>
          <w:numId w:val="0"/>
        </w:numPr>
      </w:pPr>
    </w:p>
    <w:p w14:paraId="190C2C0C" w14:textId="77777777" w:rsidR="00465D44" w:rsidRDefault="00465D44" w:rsidP="006D619E">
      <w:pPr>
        <w:pStyle w:val="Title1"/>
        <w:numPr>
          <w:ilvl w:val="0"/>
          <w:numId w:val="0"/>
        </w:numPr>
      </w:pPr>
    </w:p>
    <w:p w14:paraId="077C6C87" w14:textId="03027C24" w:rsidR="00F738DE" w:rsidRDefault="00F738DE" w:rsidP="006D619E">
      <w:pPr>
        <w:pStyle w:val="Title1"/>
        <w:numPr>
          <w:ilvl w:val="0"/>
          <w:numId w:val="0"/>
        </w:numPr>
        <w:sectPr w:rsidR="00F738DE" w:rsidSect="00465D44">
          <w:pgSz w:w="23808" w:h="16840" w:orient="landscape" w:code="8"/>
          <w:pgMar w:top="1418" w:right="1418" w:bottom="1418" w:left="1276" w:header="680" w:footer="680" w:gutter="0"/>
          <w:cols w:space="708"/>
          <w:docGrid w:linePitch="360"/>
        </w:sectPr>
      </w:pPr>
      <w:bookmarkStart w:id="604" w:name="_Toc214025397"/>
      <w:bookmarkStart w:id="605" w:name="_Toc215131147"/>
      <w:bookmarkStart w:id="606" w:name="_Toc215131941"/>
      <w:r w:rsidRPr="00B26694">
        <w:rPr>
          <w:noProof/>
          <w:lang w:eastAsia="fr-FR" w:bidi="ar-SA"/>
        </w:rPr>
        <w:drawing>
          <wp:inline distT="0" distB="0" distL="0" distR="0" wp14:anchorId="116111E6" wp14:editId="661E03F5">
            <wp:extent cx="13407390" cy="6329416"/>
            <wp:effectExtent l="0" t="0" r="3810" b="0"/>
            <wp:docPr id="580715303" name="Image 1" descr="Une image contenant diagramme, texte, Plan, cart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0715303" name="Image 1" descr="Une image contenant diagramme, texte, Plan, carte&#10;&#10;Description générée automatiquement"/>
                    <pic:cNvPicPr/>
                  </pic:nvPicPr>
                  <pic:blipFill>
                    <a:blip r:embed="rId158"/>
                    <a:stretch>
                      <a:fillRect/>
                    </a:stretch>
                  </pic:blipFill>
                  <pic:spPr>
                    <a:xfrm>
                      <a:off x="0" y="0"/>
                      <a:ext cx="13407390" cy="6329416"/>
                    </a:xfrm>
                    <a:prstGeom prst="rect">
                      <a:avLst/>
                    </a:prstGeom>
                  </pic:spPr>
                </pic:pic>
              </a:graphicData>
            </a:graphic>
          </wp:inline>
        </w:drawing>
      </w:r>
      <w:bookmarkEnd w:id="604"/>
      <w:bookmarkEnd w:id="605"/>
      <w:bookmarkEnd w:id="606"/>
    </w:p>
    <w:p w14:paraId="592B3F7E" w14:textId="2D57EAF5" w:rsidR="006D619E" w:rsidRDefault="006D619E" w:rsidP="00F738DE">
      <w:pPr>
        <w:pStyle w:val="Title1"/>
        <w:numPr>
          <w:ilvl w:val="0"/>
          <w:numId w:val="0"/>
        </w:numPr>
      </w:pPr>
    </w:p>
    <w:p w14:paraId="298230DC" w14:textId="0D9FD30A" w:rsidR="00603E32" w:rsidRDefault="00603E32" w:rsidP="00603E32">
      <w:pPr>
        <w:pStyle w:val="Title2"/>
      </w:pPr>
      <w:r>
        <w:rPr>
          <w:rFonts w:eastAsia="Times New Roman"/>
        </w:rPr>
        <w:t xml:space="preserve"> </w:t>
      </w:r>
      <w:bookmarkStart w:id="607" w:name="_Toc215131942"/>
      <w:r>
        <w:rPr>
          <w:rFonts w:eastAsia="Times New Roman"/>
        </w:rPr>
        <w:t>Modèle de registres de doléances</w:t>
      </w:r>
      <w:bookmarkEnd w:id="607"/>
      <w:r>
        <w:rPr>
          <w:rFonts w:eastAsia="Times New Roman"/>
        </w:rPr>
        <w:t xml:space="preserve"> </w:t>
      </w:r>
      <w:r>
        <w:t xml:space="preserve"> </w:t>
      </w:r>
    </w:p>
    <w:p w14:paraId="55830634" w14:textId="77777777" w:rsidR="00A50A73" w:rsidRPr="004C4FBD" w:rsidRDefault="00A50A73" w:rsidP="00A50A73">
      <w:pPr>
        <w:pStyle w:val="Titre2"/>
        <w:numPr>
          <w:ilvl w:val="0"/>
          <w:numId w:val="0"/>
        </w:numPr>
        <w:ind w:left="576"/>
        <w:jc w:val="center"/>
      </w:pPr>
      <w:bookmarkStart w:id="608" w:name="_Toc160109347"/>
      <w:bookmarkStart w:id="609" w:name="_Toc170396001"/>
      <w:bookmarkStart w:id="610" w:name="_Toc215130882"/>
      <w:bookmarkStart w:id="611" w:name="_Toc215131149"/>
      <w:bookmarkStart w:id="612" w:name="_Toc215131943"/>
      <w:r w:rsidRPr="004C4FBD">
        <w:t>Modèle de registres de doléances</w:t>
      </w:r>
      <w:bookmarkEnd w:id="608"/>
      <w:bookmarkEnd w:id="609"/>
      <w:bookmarkEnd w:id="610"/>
      <w:bookmarkEnd w:id="611"/>
      <w:bookmarkEnd w:id="612"/>
    </w:p>
    <w:tbl>
      <w:tblPr>
        <w:tblW w:w="10348" w:type="dxa"/>
        <w:tblInd w:w="142" w:type="dxa"/>
        <w:tblLook w:val="04A0" w:firstRow="1" w:lastRow="0" w:firstColumn="1" w:lastColumn="0" w:noHBand="0" w:noVBand="1"/>
      </w:tblPr>
      <w:tblGrid>
        <w:gridCol w:w="10348"/>
      </w:tblGrid>
      <w:tr w:rsidR="00A50A73" w:rsidRPr="004C4FBD" w14:paraId="034E04AF" w14:textId="77777777" w:rsidTr="00241513">
        <w:trPr>
          <w:trHeight w:val="1201"/>
        </w:trPr>
        <w:tc>
          <w:tcPr>
            <w:tcW w:w="10348" w:type="dxa"/>
          </w:tcPr>
          <w:p w14:paraId="1E91CE16" w14:textId="77777777" w:rsidR="00A50A73" w:rsidRPr="004C4FBD" w:rsidRDefault="00A50A73" w:rsidP="00241513">
            <w:pPr>
              <w:ind w:right="3"/>
              <w:jc w:val="center"/>
              <w:rPr>
                <w:rFonts w:cs="Times New Roman"/>
                <w:b/>
                <w:bCs/>
              </w:rPr>
            </w:pPr>
          </w:p>
          <w:p w14:paraId="5A9BE99F" w14:textId="77777777" w:rsidR="00A50A73" w:rsidRPr="00DE1CCE" w:rsidRDefault="00A50A73" w:rsidP="00241513">
            <w:pPr>
              <w:tabs>
                <w:tab w:val="center" w:pos="2552"/>
                <w:tab w:val="center" w:pos="7200"/>
              </w:tabs>
              <w:ind w:right="3"/>
              <w:jc w:val="center"/>
              <w:rPr>
                <w:rFonts w:cs="Times New Roman"/>
                <w:b/>
                <w:bCs/>
                <w:sz w:val="36"/>
                <w:szCs w:val="32"/>
              </w:rPr>
            </w:pPr>
            <w:r w:rsidRPr="00DE1CCE">
              <w:rPr>
                <w:rFonts w:cs="Times New Roman"/>
                <w:b/>
                <w:bCs/>
                <w:sz w:val="36"/>
                <w:szCs w:val="32"/>
              </w:rPr>
              <w:t>Office National Des Aéroports</w:t>
            </w:r>
          </w:p>
          <w:p w14:paraId="2A5E6B7B" w14:textId="6E3E99BE" w:rsidR="00A50A73" w:rsidRPr="004C4FBD" w:rsidRDefault="00A50A73" w:rsidP="00241513">
            <w:pPr>
              <w:tabs>
                <w:tab w:val="center" w:pos="2552"/>
                <w:tab w:val="center" w:pos="7200"/>
              </w:tabs>
              <w:ind w:right="3"/>
              <w:jc w:val="center"/>
              <w:rPr>
                <w:rFonts w:cs="Times New Roman"/>
              </w:rPr>
            </w:pPr>
          </w:p>
        </w:tc>
      </w:tr>
    </w:tbl>
    <w:p w14:paraId="63166D7C" w14:textId="7BA73D54" w:rsidR="00A50A73" w:rsidRDefault="00A50A73" w:rsidP="00A50A73">
      <w:pPr>
        <w:ind w:right="3"/>
        <w:jc w:val="center"/>
        <w:rPr>
          <w:b/>
          <w:smallCaps/>
          <w:sz w:val="20"/>
          <w:szCs w:val="14"/>
        </w:rPr>
      </w:pPr>
      <w:r w:rsidRPr="00A52589">
        <w:rPr>
          <w:rFonts w:cs="Calibri"/>
          <w:b/>
          <w:bCs/>
          <w:smallCaps/>
          <w:sz w:val="32"/>
          <w:szCs w:val="32"/>
          <w:u w:val="single"/>
          <w:rtl/>
          <w:lang w:bidi="ar-TN"/>
        </w:rPr>
        <w:t>مشروع تحديث وتوسيع مرافق وبنى تحتية مطارات أغادير طنجة ومراكش</w:t>
      </w:r>
    </w:p>
    <w:p w14:paraId="6E732BED" w14:textId="1DA6BB18" w:rsidR="00A50A73" w:rsidRDefault="00A50A73" w:rsidP="00A50A73">
      <w:pPr>
        <w:ind w:right="3"/>
        <w:jc w:val="center"/>
        <w:rPr>
          <w:b/>
          <w:smallCaps/>
          <w:sz w:val="20"/>
          <w:szCs w:val="14"/>
        </w:rPr>
      </w:pPr>
      <w:r>
        <w:rPr>
          <w:noProof/>
          <w:lang w:eastAsia="fr-FR" w:bidi="ar-SA"/>
        </w:rPr>
        <w:drawing>
          <wp:anchor distT="0" distB="0" distL="114300" distR="114300" simplePos="0" relativeHeight="251665408" behindDoc="0" locked="0" layoutInCell="1" allowOverlap="1" wp14:anchorId="35FD4C54" wp14:editId="60CA054C">
            <wp:simplePos x="0" y="0"/>
            <wp:positionH relativeFrom="margin">
              <wp:posOffset>2365375</wp:posOffset>
            </wp:positionH>
            <wp:positionV relativeFrom="paragraph">
              <wp:posOffset>13970</wp:posOffset>
            </wp:positionV>
            <wp:extent cx="1457325" cy="862330"/>
            <wp:effectExtent l="0" t="0" r="9525" b="0"/>
            <wp:wrapSquare wrapText="bothSides"/>
            <wp:docPr id="1" name="Image 1" descr="cid:image003.jpg@01DC490A.067BF5C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3" descr="cid:image003.jpg@01DC490A.067BF5C0"/>
                    <pic:cNvPicPr>
                      <a:picLocks noChangeAspect="1" noChangeArrowheads="1"/>
                    </pic:cNvPicPr>
                  </pic:nvPicPr>
                  <pic:blipFill>
                    <a:blip r:embed="rId159" r:link="rId160">
                      <a:extLst>
                        <a:ext uri="{28A0092B-C50C-407E-A947-70E740481C1C}">
                          <a14:useLocalDpi xmlns:a14="http://schemas.microsoft.com/office/drawing/2010/main" val="0"/>
                        </a:ext>
                      </a:extLst>
                    </a:blip>
                    <a:srcRect/>
                    <a:stretch>
                      <a:fillRect/>
                    </a:stretch>
                  </pic:blipFill>
                  <pic:spPr bwMode="auto">
                    <a:xfrm>
                      <a:off x="0" y="0"/>
                      <a:ext cx="1457325" cy="86233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36919EF" w14:textId="2E3E0DDE" w:rsidR="00A50A73" w:rsidRDefault="00A50A73" w:rsidP="00A50A73">
      <w:pPr>
        <w:ind w:right="3"/>
        <w:jc w:val="center"/>
        <w:rPr>
          <w:b/>
          <w:smallCaps/>
          <w:sz w:val="20"/>
          <w:szCs w:val="14"/>
        </w:rPr>
      </w:pPr>
    </w:p>
    <w:p w14:paraId="0214C2F7" w14:textId="77777777" w:rsidR="00A50A73" w:rsidRDefault="00A50A73" w:rsidP="00A50A73">
      <w:pPr>
        <w:ind w:right="3"/>
        <w:jc w:val="center"/>
        <w:rPr>
          <w:b/>
          <w:smallCaps/>
          <w:sz w:val="20"/>
          <w:szCs w:val="14"/>
        </w:rPr>
      </w:pPr>
    </w:p>
    <w:p w14:paraId="718828BD" w14:textId="77777777" w:rsidR="00A50A73" w:rsidRDefault="00A50A73" w:rsidP="00A50A73">
      <w:pPr>
        <w:ind w:right="3"/>
        <w:jc w:val="center"/>
        <w:rPr>
          <w:b/>
          <w:smallCaps/>
          <w:sz w:val="20"/>
          <w:szCs w:val="14"/>
        </w:rPr>
      </w:pPr>
    </w:p>
    <w:p w14:paraId="0F8FBE8C" w14:textId="77777777" w:rsidR="00A50A73" w:rsidRPr="004C4FBD" w:rsidRDefault="00A50A73" w:rsidP="00A50A73">
      <w:pPr>
        <w:ind w:right="3"/>
        <w:jc w:val="center"/>
        <w:rPr>
          <w:b/>
          <w:smallCaps/>
          <w:sz w:val="44"/>
          <w:szCs w:val="32"/>
          <w:lang w:bidi="ar-TN"/>
        </w:rPr>
      </w:pPr>
      <w:r w:rsidRPr="004C4FBD">
        <w:rPr>
          <w:bCs/>
          <w:smallCaps/>
          <w:sz w:val="48"/>
          <w:szCs w:val="36"/>
          <w:rtl/>
          <w:lang w:bidi="ar-TN"/>
        </w:rPr>
        <w:t>تمويل</w:t>
      </w:r>
      <w:r w:rsidRPr="004C4FBD">
        <w:rPr>
          <w:rFonts w:ascii="Arial"/>
          <w:b/>
          <w:bCs/>
          <w:smallCaps/>
          <w:sz w:val="36"/>
          <w:szCs w:val="36"/>
          <w:rtl/>
          <w:lang w:bidi="ar-TN"/>
        </w:rPr>
        <w:t xml:space="preserve"> </w:t>
      </w:r>
      <w:r w:rsidRPr="004C4FBD">
        <w:rPr>
          <w:bCs/>
          <w:smallCaps/>
          <w:sz w:val="48"/>
          <w:szCs w:val="36"/>
          <w:rtl/>
          <w:lang w:bidi="ar-TN"/>
        </w:rPr>
        <w:t>البنك</w:t>
      </w:r>
      <w:r w:rsidRPr="004C4FBD">
        <w:rPr>
          <w:rFonts w:ascii="Arial"/>
          <w:b/>
          <w:bCs/>
          <w:smallCaps/>
          <w:sz w:val="36"/>
          <w:szCs w:val="36"/>
          <w:rtl/>
          <w:lang w:bidi="ar-TN"/>
        </w:rPr>
        <w:t xml:space="preserve"> </w:t>
      </w:r>
      <w:r w:rsidRPr="004C4FBD">
        <w:rPr>
          <w:bCs/>
          <w:smallCaps/>
          <w:sz w:val="48"/>
          <w:szCs w:val="36"/>
          <w:rtl/>
          <w:lang w:bidi="ar-TN"/>
        </w:rPr>
        <w:t>الإفريقي</w:t>
      </w:r>
      <w:r w:rsidRPr="004C4FBD">
        <w:rPr>
          <w:rFonts w:ascii="Arial"/>
          <w:b/>
          <w:bCs/>
          <w:smallCaps/>
          <w:sz w:val="36"/>
          <w:szCs w:val="36"/>
          <w:rtl/>
          <w:lang w:bidi="ar-TN"/>
        </w:rPr>
        <w:t xml:space="preserve"> </w:t>
      </w:r>
      <w:r w:rsidRPr="004C4FBD">
        <w:rPr>
          <w:bCs/>
          <w:smallCaps/>
          <w:sz w:val="48"/>
          <w:szCs w:val="36"/>
          <w:rtl/>
          <w:lang w:bidi="ar-TN"/>
        </w:rPr>
        <w:t>للتنمية</w:t>
      </w:r>
      <w:r w:rsidRPr="004C4FBD">
        <w:rPr>
          <w:rFonts w:ascii="Arial"/>
          <w:b/>
          <w:bCs/>
          <w:smallCaps/>
          <w:sz w:val="36"/>
          <w:szCs w:val="36"/>
          <w:rtl/>
          <w:lang w:bidi="ar-TN"/>
        </w:rPr>
        <w:t xml:space="preserve"> </w:t>
      </w:r>
    </w:p>
    <w:p w14:paraId="188DA9D9" w14:textId="77777777" w:rsidR="00A50A73" w:rsidRPr="00A52589" w:rsidRDefault="00A50A73" w:rsidP="00A50A73">
      <w:pPr>
        <w:ind w:right="3"/>
        <w:jc w:val="center"/>
        <w:rPr>
          <w:rFonts w:ascii="Arial"/>
          <w:b/>
          <w:bCs/>
          <w:smallCaps/>
          <w:sz w:val="36"/>
          <w:szCs w:val="36"/>
        </w:rPr>
      </w:pPr>
      <w:r w:rsidRPr="004C4FBD">
        <w:rPr>
          <w:bCs/>
          <w:smallCaps/>
          <w:sz w:val="48"/>
          <w:szCs w:val="36"/>
        </w:rPr>
        <w:t>(BAD)</w:t>
      </w:r>
    </w:p>
    <w:p w14:paraId="0DB9AB06" w14:textId="77777777" w:rsidR="00A50A73" w:rsidRPr="004C4FBD" w:rsidRDefault="00A50A73" w:rsidP="00A50A73">
      <w:pPr>
        <w:ind w:right="3"/>
        <w:jc w:val="center"/>
        <w:rPr>
          <w:b/>
          <w:bCs/>
          <w:i/>
          <w:sz w:val="52"/>
          <w:szCs w:val="52"/>
          <w:rtl/>
          <w:lang w:bidi="ar-TN"/>
        </w:rPr>
      </w:pPr>
      <w:r w:rsidRPr="004C4FBD">
        <w:rPr>
          <w:b/>
          <w:bCs/>
          <w:i/>
          <w:sz w:val="52"/>
          <w:szCs w:val="52"/>
          <w:rtl/>
          <w:lang w:bidi="ar-TN"/>
        </w:rPr>
        <w:t xml:space="preserve">سجل </w:t>
      </w:r>
      <w:r w:rsidRPr="004C4FBD">
        <w:rPr>
          <w:rFonts w:hint="cs"/>
          <w:b/>
          <w:bCs/>
          <w:i/>
          <w:sz w:val="52"/>
          <w:szCs w:val="52"/>
          <w:rtl/>
          <w:lang w:bidi="ar-TN"/>
        </w:rPr>
        <w:t>الشكاوى</w:t>
      </w:r>
      <w:r w:rsidRPr="004C4FBD">
        <w:rPr>
          <w:b/>
          <w:bCs/>
          <w:i/>
          <w:sz w:val="52"/>
          <w:szCs w:val="52"/>
          <w:rtl/>
          <w:lang w:bidi="ar-TN"/>
        </w:rPr>
        <w:t xml:space="preserve"> والتظلم</w:t>
      </w:r>
    </w:p>
    <w:p w14:paraId="26E2B9B5" w14:textId="77777777" w:rsidR="00A50A73" w:rsidRPr="004C4FBD" w:rsidRDefault="00A50A73" w:rsidP="00A50A73">
      <w:pPr>
        <w:ind w:right="3"/>
        <w:jc w:val="center"/>
        <w:rPr>
          <w:b/>
          <w:bCs/>
          <w:i/>
          <w:sz w:val="32"/>
          <w:szCs w:val="32"/>
          <w:rtl/>
          <w:lang w:bidi="ar-TN"/>
        </w:rPr>
      </w:pPr>
      <w:r w:rsidRPr="004C4FBD">
        <w:rPr>
          <w:b/>
          <w:bCs/>
          <w:i/>
          <w:sz w:val="32"/>
          <w:szCs w:val="32"/>
          <w:rtl/>
          <w:lang w:bidi="ar-TN"/>
        </w:rPr>
        <w:t>النسخة الوقتية</w:t>
      </w:r>
    </w:p>
    <w:p w14:paraId="62FB14E4" w14:textId="47252AE4" w:rsidR="00A50A73" w:rsidRPr="004C4FBD" w:rsidRDefault="00023853" w:rsidP="00A50A73">
      <w:pPr>
        <w:bidi/>
        <w:ind w:left="708" w:right="3"/>
        <w:jc w:val="center"/>
        <w:rPr>
          <w:b/>
          <w:bCs/>
          <w:i/>
          <w:sz w:val="32"/>
          <w:szCs w:val="32"/>
          <w:rtl/>
          <w:lang w:bidi="ar-TN"/>
        </w:rPr>
      </w:pPr>
      <w:r>
        <w:rPr>
          <w:b/>
          <w:bCs/>
          <w:i/>
          <w:sz w:val="32"/>
          <w:szCs w:val="32"/>
          <w:rtl/>
          <w:lang w:bidi="ar-TN"/>
        </w:rPr>
        <w:t>نو</w:t>
      </w:r>
      <w:r>
        <w:rPr>
          <w:rFonts w:hint="cs"/>
          <w:b/>
          <w:bCs/>
          <w:i/>
          <w:sz w:val="32"/>
          <w:szCs w:val="32"/>
          <w:rtl/>
          <w:lang w:bidi="ar-TN"/>
        </w:rPr>
        <w:t>ن</w:t>
      </w:r>
      <w:r w:rsidR="00A50A73" w:rsidRPr="004C4FBD">
        <w:rPr>
          <w:b/>
          <w:bCs/>
          <w:i/>
          <w:sz w:val="32"/>
          <w:szCs w:val="32"/>
          <w:rtl/>
          <w:lang w:bidi="ar-TN"/>
        </w:rPr>
        <w:t xml:space="preserve">بر </w:t>
      </w:r>
      <w:r w:rsidR="00A50A73" w:rsidRPr="004C4FBD">
        <w:rPr>
          <w:b/>
          <w:bCs/>
          <w:i/>
          <w:sz w:val="32"/>
          <w:szCs w:val="32"/>
          <w:lang w:bidi="ar-TN"/>
        </w:rPr>
        <w:t>202</w:t>
      </w:r>
      <w:r w:rsidR="00A50A73">
        <w:rPr>
          <w:b/>
          <w:bCs/>
          <w:i/>
          <w:sz w:val="32"/>
          <w:szCs w:val="32"/>
          <w:lang w:bidi="ar-TN"/>
        </w:rPr>
        <w:t>5</w:t>
      </w:r>
    </w:p>
    <w:p w14:paraId="555D5B40" w14:textId="77777777" w:rsidR="00A50A73" w:rsidRPr="004C4FBD" w:rsidRDefault="00A50A73" w:rsidP="00A50A73">
      <w:pPr>
        <w:ind w:left="2552" w:right="3"/>
        <w:jc w:val="center"/>
        <w:rPr>
          <w:b/>
          <w:bCs/>
          <w:i/>
          <w:sz w:val="40"/>
          <w:szCs w:val="40"/>
          <w:rtl/>
          <w:lang w:bidi="ar-TN"/>
        </w:rPr>
      </w:pPr>
      <w:r w:rsidRPr="004C4FBD">
        <w:rPr>
          <w:b/>
          <w:bCs/>
          <w:i/>
          <w:noProof/>
          <w:sz w:val="40"/>
          <w:szCs w:val="40"/>
          <w:lang w:eastAsia="fr-FR" w:bidi="ar-SA"/>
        </w:rPr>
        <w:drawing>
          <wp:inline distT="0" distB="0" distL="0" distR="0" wp14:anchorId="1171A5D9" wp14:editId="4FF4409C">
            <wp:extent cx="1590675" cy="762000"/>
            <wp:effectExtent l="0" t="0" r="0" b="0"/>
            <wp:docPr id="15" name="Image 5" descr="NOEC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5" descr="NOEC LOGO"/>
                    <pic:cNvPicPr>
                      <a:picLocks noChangeAspect="1" noChangeArrowheads="1"/>
                    </pic:cNvPicPr>
                  </pic:nvPicPr>
                  <pic:blipFill>
                    <a:blip r:embed="rId161">
                      <a:extLst>
                        <a:ext uri="{28A0092B-C50C-407E-A947-70E740481C1C}">
                          <a14:useLocalDpi xmlns:a14="http://schemas.microsoft.com/office/drawing/2010/main" val="0"/>
                        </a:ext>
                      </a:extLst>
                    </a:blip>
                    <a:srcRect/>
                    <a:stretch>
                      <a:fillRect/>
                    </a:stretch>
                  </pic:blipFill>
                  <pic:spPr bwMode="auto">
                    <a:xfrm>
                      <a:off x="0" y="0"/>
                      <a:ext cx="1590675" cy="762000"/>
                    </a:xfrm>
                    <a:prstGeom prst="rect">
                      <a:avLst/>
                    </a:prstGeom>
                    <a:noFill/>
                    <a:ln>
                      <a:noFill/>
                    </a:ln>
                  </pic:spPr>
                </pic:pic>
              </a:graphicData>
            </a:graphic>
          </wp:inline>
        </w:drawing>
      </w:r>
      <w:r w:rsidRPr="004C4FBD">
        <w:rPr>
          <w:b/>
          <w:bCs/>
          <w:i/>
          <w:sz w:val="40"/>
          <w:szCs w:val="40"/>
          <w:rtl/>
          <w:lang w:bidi="ar-TN"/>
        </w:rPr>
        <w:br w:type="page"/>
      </w:r>
    </w:p>
    <w:p w14:paraId="798279B8" w14:textId="77777777" w:rsidR="00A50A73" w:rsidRPr="004C4FBD" w:rsidRDefault="00A50A73" w:rsidP="00A50A73">
      <w:pPr>
        <w:ind w:right="3"/>
        <w:contextualSpacing/>
        <w:jc w:val="center"/>
        <w:rPr>
          <w:rFonts w:ascii="Arial"/>
          <w:b/>
          <w:bCs/>
          <w:rtl/>
        </w:rPr>
      </w:pPr>
      <w:r w:rsidRPr="004C4FBD">
        <w:rPr>
          <w:b/>
          <w:bCs/>
          <w:rtl/>
          <w:lang w:bidi="ar-TN"/>
        </w:rPr>
        <w:lastRenderedPageBreak/>
        <w:t>ملحق</w:t>
      </w:r>
      <w:r w:rsidRPr="004C4FBD">
        <w:rPr>
          <w:rFonts w:ascii="Arial"/>
          <w:b/>
          <w:bCs/>
          <w:rtl/>
        </w:rPr>
        <w:t xml:space="preserve"> 1  </w:t>
      </w:r>
    </w:p>
    <w:p w14:paraId="1D846F06" w14:textId="77777777" w:rsidR="00A50A73" w:rsidRPr="004C4FBD" w:rsidRDefault="00A50A73" w:rsidP="00A50A73">
      <w:pPr>
        <w:ind w:right="3"/>
        <w:contextualSpacing/>
        <w:jc w:val="center"/>
        <w:rPr>
          <w:rFonts w:ascii="Arial"/>
          <w:b/>
          <w:bCs/>
          <w:rtl/>
        </w:rPr>
      </w:pPr>
      <w:r w:rsidRPr="004C4FBD">
        <w:rPr>
          <w:b/>
          <w:bCs/>
          <w:rtl/>
          <w:lang w:bidi="ar-TN"/>
        </w:rPr>
        <w:t>إشعار</w:t>
      </w:r>
      <w:r w:rsidRPr="004C4FBD">
        <w:rPr>
          <w:rFonts w:ascii="Arial"/>
          <w:b/>
          <w:bCs/>
          <w:rtl/>
          <w:lang w:bidi="ar-TN"/>
        </w:rPr>
        <w:t xml:space="preserve"> </w:t>
      </w:r>
      <w:r w:rsidRPr="004C4FBD">
        <w:rPr>
          <w:b/>
          <w:bCs/>
          <w:rtl/>
          <w:lang w:bidi="ar-TN"/>
        </w:rPr>
        <w:t>للعموم</w:t>
      </w:r>
      <w:r w:rsidRPr="004C4FBD">
        <w:rPr>
          <w:rFonts w:ascii="Arial"/>
          <w:b/>
          <w:bCs/>
          <w:rtl/>
        </w:rPr>
        <w:t xml:space="preserve">: </w:t>
      </w:r>
      <w:r w:rsidRPr="004C4FBD">
        <w:rPr>
          <w:b/>
          <w:bCs/>
          <w:rtl/>
          <w:lang w:bidi="ar-TN"/>
        </w:rPr>
        <w:t>استلام</w:t>
      </w:r>
      <w:r w:rsidRPr="004C4FBD">
        <w:rPr>
          <w:rFonts w:ascii="Arial"/>
          <w:b/>
          <w:bCs/>
          <w:rtl/>
          <w:lang w:bidi="ar-TN"/>
        </w:rPr>
        <w:t xml:space="preserve"> </w:t>
      </w:r>
      <w:r w:rsidRPr="004C4FBD">
        <w:rPr>
          <w:b/>
          <w:bCs/>
          <w:rtl/>
          <w:lang w:bidi="ar-TN"/>
        </w:rPr>
        <w:t>الشكاوي</w:t>
      </w:r>
      <w:r w:rsidRPr="004C4FBD">
        <w:rPr>
          <w:rFonts w:ascii="Arial"/>
          <w:b/>
          <w:bCs/>
          <w:rtl/>
          <w:lang w:bidi="ar-TN"/>
        </w:rPr>
        <w:t xml:space="preserve"> </w:t>
      </w:r>
      <w:r w:rsidRPr="004C4FBD">
        <w:rPr>
          <w:b/>
          <w:bCs/>
          <w:rtl/>
          <w:lang w:bidi="ar-TN"/>
        </w:rPr>
        <w:t>أو</w:t>
      </w:r>
      <w:r w:rsidRPr="004C4FBD">
        <w:rPr>
          <w:rFonts w:ascii="Arial"/>
          <w:b/>
          <w:bCs/>
          <w:rtl/>
          <w:lang w:bidi="ar-TN"/>
        </w:rPr>
        <w:t xml:space="preserve"> </w:t>
      </w:r>
      <w:r w:rsidRPr="004C4FBD">
        <w:rPr>
          <w:b/>
          <w:bCs/>
          <w:rtl/>
          <w:lang w:bidi="ar-TN"/>
        </w:rPr>
        <w:t>التظلم</w:t>
      </w:r>
    </w:p>
    <w:p w14:paraId="7CA3F14C" w14:textId="77777777" w:rsidR="00A50A73" w:rsidRPr="00FC5325" w:rsidRDefault="00A50A73" w:rsidP="00A50A73">
      <w:pPr>
        <w:bidi/>
        <w:ind w:right="3"/>
        <w:jc w:val="center"/>
        <w:rPr>
          <w:b/>
          <w:bCs/>
          <w:i/>
          <w:lang w:bidi="ar-TN"/>
        </w:rPr>
      </w:pPr>
      <w:r w:rsidRPr="004C4FBD">
        <w:rPr>
          <w:b/>
          <w:bCs/>
          <w:i/>
          <w:lang w:bidi="ar-TN"/>
        </w:rPr>
        <w:t>(Page à afficher sur site de chantier</w:t>
      </w:r>
      <w:r>
        <w:rPr>
          <w:b/>
          <w:bCs/>
          <w:i/>
          <w:lang w:bidi="ar-TN"/>
        </w:rPr>
        <w:t>,</w:t>
      </w:r>
      <w:r w:rsidRPr="004C4FBD">
        <w:rPr>
          <w:b/>
          <w:bCs/>
          <w:i/>
          <w:lang w:bidi="ar-TN"/>
        </w:rPr>
        <w:t xml:space="preserve"> Plateforme "Chikaya.ma", commune/localité, douar, ou autres site jugé valable</w:t>
      </w:r>
      <w:r>
        <w:rPr>
          <w:b/>
          <w:bCs/>
          <w:i/>
          <w:lang w:bidi="ar-TN"/>
        </w:rPr>
        <w:t>)</w:t>
      </w:r>
    </w:p>
    <w:p w14:paraId="386CF2B0" w14:textId="1548BC1E" w:rsidR="00A50A73" w:rsidRPr="00DE1CCE" w:rsidRDefault="00A50A73" w:rsidP="00A50A73">
      <w:pPr>
        <w:tabs>
          <w:tab w:val="center" w:pos="2552"/>
          <w:tab w:val="center" w:pos="7200"/>
        </w:tabs>
        <w:ind w:right="3"/>
        <w:jc w:val="center"/>
        <w:rPr>
          <w:rFonts w:cs="Times New Roman"/>
          <w:b/>
          <w:bCs/>
          <w:sz w:val="36"/>
          <w:szCs w:val="32"/>
        </w:rPr>
      </w:pPr>
      <w:r>
        <w:rPr>
          <w:noProof/>
          <w:lang w:eastAsia="fr-FR" w:bidi="ar-SA"/>
        </w:rPr>
        <w:drawing>
          <wp:anchor distT="0" distB="0" distL="114300" distR="114300" simplePos="0" relativeHeight="251667456" behindDoc="0" locked="0" layoutInCell="1" allowOverlap="1" wp14:anchorId="49C21E94" wp14:editId="55B98A55">
            <wp:simplePos x="0" y="0"/>
            <wp:positionH relativeFrom="margin">
              <wp:posOffset>2470785</wp:posOffset>
            </wp:positionH>
            <wp:positionV relativeFrom="paragraph">
              <wp:posOffset>334645</wp:posOffset>
            </wp:positionV>
            <wp:extent cx="1335405" cy="790575"/>
            <wp:effectExtent l="0" t="0" r="0" b="9525"/>
            <wp:wrapSquare wrapText="bothSides"/>
            <wp:docPr id="6" name="Image 6" descr="cid:image003.jpg@01DC490A.067BF5C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3" descr="cid:image003.jpg@01DC490A.067BF5C0"/>
                    <pic:cNvPicPr>
                      <a:picLocks noChangeAspect="1" noChangeArrowheads="1"/>
                    </pic:cNvPicPr>
                  </pic:nvPicPr>
                  <pic:blipFill>
                    <a:blip r:embed="rId159" r:link="rId160">
                      <a:extLst>
                        <a:ext uri="{28A0092B-C50C-407E-A947-70E740481C1C}">
                          <a14:useLocalDpi xmlns:a14="http://schemas.microsoft.com/office/drawing/2010/main" val="0"/>
                        </a:ext>
                      </a:extLst>
                    </a:blip>
                    <a:srcRect/>
                    <a:stretch>
                      <a:fillRect/>
                    </a:stretch>
                  </pic:blipFill>
                  <pic:spPr bwMode="auto">
                    <a:xfrm>
                      <a:off x="0" y="0"/>
                      <a:ext cx="1335405" cy="7905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E1CCE">
        <w:rPr>
          <w:rFonts w:cs="Times New Roman"/>
          <w:b/>
          <w:bCs/>
          <w:sz w:val="36"/>
          <w:szCs w:val="32"/>
        </w:rPr>
        <w:t>Office National Des Aéroports</w:t>
      </w:r>
    </w:p>
    <w:p w14:paraId="46A70A00" w14:textId="63B0EB88" w:rsidR="00A50A73" w:rsidRDefault="00A50A73" w:rsidP="00A50A73">
      <w:pPr>
        <w:bidi/>
        <w:ind w:right="3"/>
        <w:jc w:val="center"/>
        <w:rPr>
          <w:b/>
          <w:bCs/>
          <w:i/>
          <w:lang w:bidi="ar-TN"/>
        </w:rPr>
      </w:pPr>
    </w:p>
    <w:p w14:paraId="595F82A7" w14:textId="77777777" w:rsidR="00A50A73" w:rsidRDefault="00A50A73" w:rsidP="00A50A73">
      <w:pPr>
        <w:bidi/>
        <w:ind w:right="3"/>
        <w:jc w:val="center"/>
        <w:rPr>
          <w:b/>
          <w:bCs/>
          <w:i/>
          <w:lang w:bidi="ar-TN"/>
        </w:rPr>
      </w:pPr>
    </w:p>
    <w:p w14:paraId="4E93DF2D" w14:textId="77777777" w:rsidR="00A50A73" w:rsidRDefault="00A50A73" w:rsidP="00A50A73">
      <w:pPr>
        <w:bidi/>
        <w:ind w:right="3"/>
        <w:jc w:val="center"/>
        <w:rPr>
          <w:b/>
          <w:bCs/>
          <w:i/>
          <w:lang w:bidi="ar-TN"/>
        </w:rPr>
      </w:pPr>
    </w:p>
    <w:p w14:paraId="11378775" w14:textId="77777777" w:rsidR="00A50A73" w:rsidRPr="00C23B70" w:rsidRDefault="00A50A73" w:rsidP="00A50A73">
      <w:pPr>
        <w:ind w:right="3"/>
        <w:jc w:val="center"/>
        <w:rPr>
          <w:b/>
          <w:smallCaps/>
          <w:sz w:val="32"/>
          <w:szCs w:val="32"/>
        </w:rPr>
      </w:pPr>
      <w:r w:rsidRPr="00C23B70">
        <w:rPr>
          <w:rFonts w:cs="Calibri"/>
          <w:b/>
          <w:bCs/>
          <w:smallCaps/>
          <w:sz w:val="32"/>
          <w:szCs w:val="32"/>
          <w:u w:val="single"/>
          <w:rtl/>
          <w:lang w:bidi="ar-TN"/>
        </w:rPr>
        <w:t>مشروع تحديث وتوسيع مرافق وبنى تحتية مطارات أغادير طنجة ومراكش</w:t>
      </w:r>
    </w:p>
    <w:p w14:paraId="1A5444BC" w14:textId="77777777" w:rsidR="00A50A73" w:rsidRPr="00C23B70" w:rsidRDefault="00A50A73" w:rsidP="00A50A73">
      <w:pPr>
        <w:ind w:right="3"/>
        <w:jc w:val="center"/>
        <w:rPr>
          <w:b/>
          <w:smallCaps/>
          <w:sz w:val="32"/>
          <w:lang w:bidi="ar-TN"/>
        </w:rPr>
      </w:pPr>
      <w:r w:rsidRPr="00C23B70">
        <w:rPr>
          <w:bCs/>
          <w:smallCaps/>
          <w:sz w:val="36"/>
          <w:szCs w:val="24"/>
          <w:rtl/>
          <w:lang w:bidi="ar-TN"/>
        </w:rPr>
        <w:t>تمويل</w:t>
      </w:r>
      <w:r w:rsidRPr="00C23B70">
        <w:rPr>
          <w:rFonts w:ascii="Arial"/>
          <w:b/>
          <w:bCs/>
          <w:smallCaps/>
          <w:sz w:val="24"/>
          <w:szCs w:val="24"/>
          <w:rtl/>
          <w:lang w:bidi="ar-TN"/>
        </w:rPr>
        <w:t xml:space="preserve"> </w:t>
      </w:r>
      <w:r w:rsidRPr="00C23B70">
        <w:rPr>
          <w:bCs/>
          <w:smallCaps/>
          <w:sz w:val="36"/>
          <w:szCs w:val="24"/>
          <w:rtl/>
          <w:lang w:bidi="ar-TN"/>
        </w:rPr>
        <w:t>البنك</w:t>
      </w:r>
      <w:r w:rsidRPr="00C23B70">
        <w:rPr>
          <w:rFonts w:ascii="Arial"/>
          <w:b/>
          <w:bCs/>
          <w:smallCaps/>
          <w:sz w:val="24"/>
          <w:szCs w:val="24"/>
          <w:rtl/>
          <w:lang w:bidi="ar-TN"/>
        </w:rPr>
        <w:t xml:space="preserve"> </w:t>
      </w:r>
      <w:r w:rsidRPr="00C23B70">
        <w:rPr>
          <w:bCs/>
          <w:smallCaps/>
          <w:sz w:val="36"/>
          <w:szCs w:val="24"/>
          <w:rtl/>
          <w:lang w:bidi="ar-TN"/>
        </w:rPr>
        <w:t>الإفريقي</w:t>
      </w:r>
      <w:r w:rsidRPr="00C23B70">
        <w:rPr>
          <w:rFonts w:ascii="Arial"/>
          <w:b/>
          <w:bCs/>
          <w:smallCaps/>
          <w:sz w:val="24"/>
          <w:szCs w:val="24"/>
          <w:rtl/>
          <w:lang w:bidi="ar-TN"/>
        </w:rPr>
        <w:t xml:space="preserve"> </w:t>
      </w:r>
      <w:r w:rsidRPr="00C23B70">
        <w:rPr>
          <w:bCs/>
          <w:smallCaps/>
          <w:sz w:val="36"/>
          <w:szCs w:val="24"/>
          <w:rtl/>
          <w:lang w:bidi="ar-TN"/>
        </w:rPr>
        <w:t>للتنمية</w:t>
      </w:r>
      <w:r w:rsidRPr="00C23B70">
        <w:rPr>
          <w:rFonts w:ascii="Arial"/>
          <w:b/>
          <w:bCs/>
          <w:smallCaps/>
          <w:sz w:val="24"/>
          <w:szCs w:val="24"/>
          <w:rtl/>
          <w:lang w:bidi="ar-TN"/>
        </w:rPr>
        <w:t xml:space="preserve"> </w:t>
      </w:r>
    </w:p>
    <w:p w14:paraId="2DDDA0BD" w14:textId="77777777" w:rsidR="00A50A73" w:rsidRPr="00C23B70" w:rsidRDefault="00A50A73" w:rsidP="00A50A73">
      <w:pPr>
        <w:ind w:right="3"/>
        <w:jc w:val="center"/>
        <w:rPr>
          <w:rFonts w:ascii="Arial"/>
          <w:b/>
          <w:bCs/>
          <w:smallCaps/>
          <w:sz w:val="24"/>
          <w:szCs w:val="24"/>
        </w:rPr>
      </w:pPr>
      <w:r w:rsidRPr="00C23B70">
        <w:rPr>
          <w:bCs/>
          <w:smallCaps/>
          <w:sz w:val="36"/>
          <w:szCs w:val="24"/>
        </w:rPr>
        <w:t>(BAD)</w:t>
      </w:r>
    </w:p>
    <w:p w14:paraId="2A6C2E3B" w14:textId="77777777" w:rsidR="00A50A73" w:rsidRPr="004C4FBD" w:rsidRDefault="00A50A73" w:rsidP="00A50A73">
      <w:pPr>
        <w:ind w:right="3"/>
        <w:jc w:val="center"/>
        <w:rPr>
          <w:rFonts w:ascii="Arial"/>
          <w:b/>
          <w:bCs/>
          <w:smallCaps/>
          <w:sz w:val="28"/>
          <w:szCs w:val="28"/>
          <w:rtl/>
        </w:rPr>
      </w:pPr>
      <w:r w:rsidRPr="004C4FBD">
        <w:rPr>
          <w:bCs/>
          <w:smallCaps/>
          <w:sz w:val="28"/>
          <w:szCs w:val="28"/>
          <w:rtl/>
          <w:lang w:bidi="ar-TN"/>
        </w:rPr>
        <w:t>إشعار</w:t>
      </w:r>
      <w:r w:rsidRPr="004C4FBD">
        <w:rPr>
          <w:rFonts w:ascii="Arial"/>
          <w:b/>
          <w:bCs/>
          <w:smallCaps/>
          <w:sz w:val="28"/>
          <w:szCs w:val="28"/>
          <w:rtl/>
        </w:rPr>
        <w:t xml:space="preserve"> </w:t>
      </w:r>
      <w:r w:rsidRPr="004C4FBD">
        <w:rPr>
          <w:bCs/>
          <w:smallCaps/>
          <w:sz w:val="28"/>
          <w:szCs w:val="28"/>
          <w:rtl/>
          <w:lang w:bidi="ar-TN"/>
        </w:rPr>
        <w:t>للعموم</w:t>
      </w:r>
      <w:r w:rsidRPr="004C4FBD">
        <w:rPr>
          <w:rFonts w:ascii="Arial"/>
          <w:b/>
          <w:bCs/>
          <w:smallCaps/>
          <w:sz w:val="28"/>
          <w:szCs w:val="28"/>
          <w:rtl/>
        </w:rPr>
        <w:t xml:space="preserve">: </w:t>
      </w:r>
      <w:r w:rsidRPr="004C4FBD">
        <w:rPr>
          <w:bCs/>
          <w:smallCaps/>
          <w:sz w:val="28"/>
          <w:szCs w:val="28"/>
          <w:rtl/>
          <w:lang w:bidi="ar-TN"/>
        </w:rPr>
        <w:t>استلام</w:t>
      </w:r>
      <w:r w:rsidRPr="004C4FBD">
        <w:rPr>
          <w:rFonts w:ascii="Arial"/>
          <w:b/>
          <w:bCs/>
          <w:smallCaps/>
          <w:sz w:val="28"/>
          <w:szCs w:val="28"/>
          <w:rtl/>
        </w:rPr>
        <w:t xml:space="preserve"> </w:t>
      </w:r>
      <w:r w:rsidRPr="004C4FBD">
        <w:rPr>
          <w:rFonts w:hint="cs"/>
          <w:bCs/>
          <w:smallCaps/>
          <w:sz w:val="28"/>
          <w:szCs w:val="28"/>
          <w:rtl/>
          <w:lang w:bidi="ar-TN"/>
        </w:rPr>
        <w:t>الشكاوى</w:t>
      </w:r>
      <w:r w:rsidRPr="004C4FBD">
        <w:rPr>
          <w:rFonts w:ascii="Arial"/>
          <w:b/>
          <w:bCs/>
          <w:smallCaps/>
          <w:sz w:val="28"/>
          <w:szCs w:val="28"/>
          <w:rtl/>
        </w:rPr>
        <w:t xml:space="preserve"> </w:t>
      </w:r>
      <w:r w:rsidRPr="004C4FBD">
        <w:rPr>
          <w:bCs/>
          <w:smallCaps/>
          <w:sz w:val="28"/>
          <w:szCs w:val="28"/>
          <w:rtl/>
          <w:lang w:bidi="ar-TN"/>
        </w:rPr>
        <w:t>أو</w:t>
      </w:r>
      <w:r w:rsidRPr="004C4FBD">
        <w:rPr>
          <w:rFonts w:ascii="Arial"/>
          <w:b/>
          <w:bCs/>
          <w:smallCaps/>
          <w:sz w:val="28"/>
          <w:szCs w:val="28"/>
          <w:rtl/>
        </w:rPr>
        <w:t xml:space="preserve"> </w:t>
      </w:r>
      <w:r w:rsidRPr="004C4FBD">
        <w:rPr>
          <w:bCs/>
          <w:smallCaps/>
          <w:sz w:val="28"/>
          <w:szCs w:val="28"/>
          <w:rtl/>
          <w:lang w:bidi="ar-TN"/>
        </w:rPr>
        <w:t>التظلم</w:t>
      </w:r>
    </w:p>
    <w:p w14:paraId="1336506C" w14:textId="77777777" w:rsidR="00A50A73" w:rsidRPr="004C4FBD" w:rsidRDefault="00A50A73" w:rsidP="00A50A73">
      <w:pPr>
        <w:ind w:right="3"/>
        <w:jc w:val="center"/>
        <w:rPr>
          <w:rFonts w:ascii="Arial"/>
          <w:b/>
          <w:bCs/>
          <w:smallCaps/>
          <w:sz w:val="28"/>
          <w:szCs w:val="28"/>
        </w:rPr>
      </w:pPr>
    </w:p>
    <w:p w14:paraId="25B8018C" w14:textId="4E15727B" w:rsidR="00A50A73" w:rsidRPr="0017561B" w:rsidRDefault="00A50A73" w:rsidP="00A50A73">
      <w:pPr>
        <w:tabs>
          <w:tab w:val="left" w:pos="9498"/>
        </w:tabs>
        <w:bidi/>
        <w:spacing w:line="360" w:lineRule="auto"/>
        <w:ind w:right="3"/>
        <w:jc w:val="center"/>
        <w:rPr>
          <w:rFonts w:ascii="Arial"/>
          <w:bCs/>
          <w:smallCaps/>
          <w:sz w:val="28"/>
          <w:szCs w:val="28"/>
        </w:rPr>
      </w:pPr>
      <w:r w:rsidRPr="0017561B">
        <w:rPr>
          <w:rFonts w:cs="Calibri"/>
          <w:bCs/>
          <w:smallCaps/>
          <w:sz w:val="28"/>
          <w:szCs w:val="28"/>
          <w:rtl/>
          <w:lang w:bidi="ar-TN"/>
        </w:rPr>
        <w:t xml:space="preserve">يضع المكتب الوطني للمطارات </w:t>
      </w:r>
      <w:r w:rsidRPr="0017561B">
        <w:rPr>
          <w:rFonts w:cs="Calibri"/>
          <w:b/>
          <w:bCs/>
          <w:smallCaps/>
          <w:sz w:val="28"/>
          <w:szCs w:val="28"/>
          <w:rtl/>
          <w:lang w:bidi="ar-TN"/>
        </w:rPr>
        <w:t>بمكان تنفيذ المشروع</w:t>
      </w:r>
      <w:r w:rsidRPr="0017561B">
        <w:rPr>
          <w:rFonts w:cs="Calibri"/>
          <w:bCs/>
          <w:smallCaps/>
          <w:sz w:val="28"/>
          <w:szCs w:val="28"/>
          <w:rtl/>
          <w:lang w:bidi="ar-TN"/>
        </w:rPr>
        <w:t xml:space="preserve"> وبمقر القيادة سجل لتقديم الشكاوى </w:t>
      </w:r>
      <w:r w:rsidR="00023853" w:rsidRPr="0017561B">
        <w:rPr>
          <w:rFonts w:cs="Calibri" w:hint="cs"/>
          <w:bCs/>
          <w:smallCaps/>
          <w:sz w:val="28"/>
          <w:szCs w:val="28"/>
          <w:rtl/>
          <w:lang w:bidi="ar-TN"/>
        </w:rPr>
        <w:t>والملاحظات</w:t>
      </w:r>
      <w:r w:rsidRPr="0017561B">
        <w:rPr>
          <w:rFonts w:cs="Calibri"/>
          <w:bCs/>
          <w:smallCaps/>
          <w:sz w:val="28"/>
          <w:szCs w:val="28"/>
          <w:rtl/>
          <w:lang w:bidi="ar-TN"/>
        </w:rPr>
        <w:t xml:space="preserve"> المحتملة طيلة مدة تنفيذ </w:t>
      </w:r>
      <w:r w:rsidR="00023853" w:rsidRPr="0017561B">
        <w:rPr>
          <w:rFonts w:cs="Calibri" w:hint="cs"/>
          <w:bCs/>
          <w:smallCaps/>
          <w:sz w:val="28"/>
          <w:szCs w:val="28"/>
          <w:rtl/>
          <w:lang w:bidi="ar-TN"/>
        </w:rPr>
        <w:t>الأشغال</w:t>
      </w:r>
      <w:r w:rsidRPr="0017561B">
        <w:rPr>
          <w:rFonts w:cs="Calibri"/>
          <w:bCs/>
          <w:smallCaps/>
          <w:sz w:val="28"/>
          <w:szCs w:val="28"/>
          <w:rtl/>
          <w:lang w:bidi="ar-TN"/>
        </w:rPr>
        <w:t xml:space="preserve"> من </w:t>
      </w:r>
      <w:r w:rsidRPr="0017561B">
        <w:rPr>
          <w:bCs/>
          <w:smallCaps/>
          <w:sz w:val="28"/>
          <w:szCs w:val="28"/>
          <w:lang w:bidi="ar-TN"/>
        </w:rPr>
        <w:t xml:space="preserve">...... </w:t>
      </w:r>
      <w:r w:rsidRPr="0017561B">
        <w:rPr>
          <w:rFonts w:cs="Calibri"/>
          <w:bCs/>
          <w:smallCaps/>
          <w:sz w:val="28"/>
          <w:szCs w:val="28"/>
          <w:rtl/>
          <w:lang w:bidi="ar-TN"/>
        </w:rPr>
        <w:t xml:space="preserve">إلى </w:t>
      </w:r>
    </w:p>
    <w:p w14:paraId="1F20282F" w14:textId="77777777" w:rsidR="00A50A73" w:rsidRPr="004C4FBD" w:rsidRDefault="00A50A73" w:rsidP="00A50A73">
      <w:pPr>
        <w:ind w:right="3"/>
        <w:jc w:val="center"/>
        <w:rPr>
          <w:rFonts w:ascii="Arial"/>
          <w:b/>
          <w:bCs/>
          <w:smallCaps/>
          <w:sz w:val="28"/>
          <w:szCs w:val="28"/>
          <w:u w:val="single"/>
          <w:rtl/>
        </w:rPr>
      </w:pPr>
      <w:r w:rsidRPr="004C4FBD">
        <w:rPr>
          <w:bCs/>
          <w:smallCaps/>
          <w:sz w:val="28"/>
          <w:szCs w:val="28"/>
          <w:u w:val="single"/>
          <w:rtl/>
          <w:lang w:bidi="ar-TN"/>
        </w:rPr>
        <w:t>لطلب</w:t>
      </w:r>
      <w:r w:rsidRPr="004C4FBD">
        <w:rPr>
          <w:rFonts w:ascii="Arial"/>
          <w:b/>
          <w:bCs/>
          <w:smallCaps/>
          <w:sz w:val="28"/>
          <w:szCs w:val="28"/>
          <w:u w:val="single"/>
          <w:rtl/>
        </w:rPr>
        <w:t xml:space="preserve"> </w:t>
      </w:r>
      <w:r w:rsidRPr="004C4FBD">
        <w:rPr>
          <w:bCs/>
          <w:smallCaps/>
          <w:sz w:val="28"/>
          <w:szCs w:val="28"/>
          <w:u w:val="single"/>
          <w:rtl/>
          <w:lang w:bidi="ar-TN"/>
        </w:rPr>
        <w:t>الاستفسار</w:t>
      </w:r>
      <w:r w:rsidRPr="004C4FBD">
        <w:rPr>
          <w:rFonts w:ascii="Arial"/>
          <w:b/>
          <w:bCs/>
          <w:smallCaps/>
          <w:sz w:val="28"/>
          <w:szCs w:val="28"/>
          <w:u w:val="single"/>
          <w:rtl/>
        </w:rPr>
        <w:t xml:space="preserve"> </w:t>
      </w:r>
      <w:r w:rsidRPr="004C4FBD">
        <w:rPr>
          <w:bCs/>
          <w:smallCaps/>
          <w:sz w:val="28"/>
          <w:szCs w:val="28"/>
          <w:u w:val="single"/>
          <w:rtl/>
          <w:lang w:bidi="ar-TN"/>
        </w:rPr>
        <w:t>والمساعدة</w:t>
      </w:r>
      <w:r w:rsidRPr="004C4FBD">
        <w:rPr>
          <w:rFonts w:ascii="Arial"/>
          <w:b/>
          <w:bCs/>
          <w:smallCaps/>
          <w:sz w:val="28"/>
          <w:szCs w:val="28"/>
          <w:u w:val="single"/>
          <w:rtl/>
        </w:rPr>
        <w:t xml:space="preserve"> </w:t>
      </w:r>
      <w:r w:rsidRPr="004C4FBD">
        <w:rPr>
          <w:bCs/>
          <w:smallCaps/>
          <w:sz w:val="28"/>
          <w:szCs w:val="28"/>
          <w:u w:val="single"/>
          <w:rtl/>
          <w:lang w:bidi="ar-TN"/>
        </w:rPr>
        <w:t>المرجو</w:t>
      </w:r>
      <w:r w:rsidRPr="004C4FBD">
        <w:rPr>
          <w:rFonts w:ascii="Arial"/>
          <w:b/>
          <w:bCs/>
          <w:smallCaps/>
          <w:sz w:val="28"/>
          <w:szCs w:val="28"/>
          <w:u w:val="single"/>
          <w:rtl/>
        </w:rPr>
        <w:t xml:space="preserve"> </w:t>
      </w:r>
      <w:r w:rsidRPr="004C4FBD">
        <w:rPr>
          <w:bCs/>
          <w:smallCaps/>
          <w:sz w:val="28"/>
          <w:szCs w:val="28"/>
          <w:u w:val="single"/>
          <w:rtl/>
          <w:lang w:bidi="ar-TN"/>
        </w:rPr>
        <w:t>الاتصال</w:t>
      </w:r>
      <w:r w:rsidRPr="004C4FBD">
        <w:rPr>
          <w:rFonts w:ascii="Arial"/>
          <w:b/>
          <w:bCs/>
          <w:smallCaps/>
          <w:sz w:val="28"/>
          <w:szCs w:val="28"/>
          <w:u w:val="single"/>
          <w:rtl/>
        </w:rPr>
        <w:t xml:space="preserve"> </w:t>
      </w:r>
      <w:r w:rsidRPr="004C4FBD">
        <w:rPr>
          <w:bCs/>
          <w:smallCaps/>
          <w:sz w:val="28"/>
          <w:szCs w:val="28"/>
          <w:u w:val="single"/>
          <w:rtl/>
          <w:lang w:bidi="ar-TN"/>
        </w:rPr>
        <w:t>بتقني</w:t>
      </w:r>
      <w:r w:rsidRPr="004C4FBD">
        <w:rPr>
          <w:rFonts w:ascii="Arial"/>
          <w:b/>
          <w:bCs/>
          <w:smallCaps/>
          <w:sz w:val="28"/>
          <w:szCs w:val="28"/>
          <w:u w:val="single"/>
          <w:rtl/>
        </w:rPr>
        <w:t xml:space="preserve"> </w:t>
      </w:r>
      <w:r w:rsidRPr="004C4FBD">
        <w:rPr>
          <w:bCs/>
          <w:smallCaps/>
          <w:sz w:val="28"/>
          <w:szCs w:val="28"/>
          <w:u w:val="single"/>
          <w:rtl/>
          <w:lang w:bidi="ar-TN"/>
        </w:rPr>
        <w:t>المساعدة</w:t>
      </w:r>
      <w:r w:rsidRPr="004C4FBD">
        <w:rPr>
          <w:rFonts w:ascii="Arial"/>
          <w:b/>
          <w:bCs/>
          <w:smallCaps/>
          <w:sz w:val="28"/>
          <w:szCs w:val="28"/>
          <w:u w:val="single"/>
          <w:rtl/>
        </w:rPr>
        <w:t xml:space="preserve"> </w:t>
      </w:r>
      <w:r w:rsidRPr="004C4FBD">
        <w:rPr>
          <w:bCs/>
          <w:smallCaps/>
          <w:sz w:val="28"/>
          <w:szCs w:val="28"/>
          <w:u w:val="single"/>
          <w:rtl/>
          <w:lang w:bidi="ar-TN"/>
        </w:rPr>
        <w:t>التقنية</w:t>
      </w:r>
      <w:r w:rsidRPr="004C4FBD">
        <w:rPr>
          <w:rFonts w:ascii="Arial"/>
          <w:b/>
          <w:bCs/>
          <w:smallCaps/>
          <w:sz w:val="28"/>
          <w:szCs w:val="28"/>
          <w:u w:val="single"/>
          <w:rtl/>
        </w:rPr>
        <w:t>.</w:t>
      </w:r>
    </w:p>
    <w:p w14:paraId="2FB26220" w14:textId="77777777" w:rsidR="00A50A73" w:rsidRPr="004C4FBD" w:rsidRDefault="00A50A73" w:rsidP="00A50A73">
      <w:pPr>
        <w:bidi/>
        <w:ind w:right="3"/>
        <w:rPr>
          <w:rFonts w:ascii="Arial"/>
          <w:i/>
          <w:sz w:val="28"/>
          <w:szCs w:val="28"/>
          <w:rtl/>
        </w:rPr>
      </w:pPr>
      <w:r w:rsidRPr="004C4FBD">
        <w:rPr>
          <w:rFonts w:ascii="Arial"/>
          <w:i/>
          <w:sz w:val="28"/>
          <w:szCs w:val="28"/>
          <w:rtl/>
        </w:rPr>
        <w:t xml:space="preserve">- </w:t>
      </w:r>
      <w:r w:rsidRPr="004C4FBD">
        <w:rPr>
          <w:i/>
          <w:sz w:val="28"/>
          <w:szCs w:val="28"/>
          <w:rtl/>
          <w:lang w:bidi="ar-TN"/>
        </w:rPr>
        <w:t>عبر</w:t>
      </w:r>
      <w:r w:rsidRPr="004C4FBD">
        <w:rPr>
          <w:rFonts w:ascii="Arial"/>
          <w:i/>
          <w:sz w:val="28"/>
          <w:szCs w:val="28"/>
          <w:rtl/>
        </w:rPr>
        <w:t xml:space="preserve"> </w:t>
      </w:r>
      <w:r w:rsidRPr="004C4FBD">
        <w:rPr>
          <w:rFonts w:hint="cs"/>
          <w:i/>
          <w:sz w:val="28"/>
          <w:szCs w:val="28"/>
          <w:rtl/>
          <w:lang w:bidi="ar-TN"/>
        </w:rPr>
        <w:t>الهاتف</w:t>
      </w:r>
      <w:r w:rsidRPr="004C4FBD">
        <w:rPr>
          <w:rFonts w:ascii="Arial" w:hint="cs"/>
          <w:i/>
          <w:sz w:val="28"/>
          <w:szCs w:val="28"/>
          <w:rtl/>
        </w:rPr>
        <w:t>:</w:t>
      </w:r>
      <w:r w:rsidRPr="004C4FBD">
        <w:rPr>
          <w:rFonts w:ascii="Arial"/>
          <w:i/>
          <w:sz w:val="28"/>
          <w:szCs w:val="28"/>
          <w:rtl/>
        </w:rPr>
        <w:t xml:space="preserve"> ..................................</w:t>
      </w:r>
    </w:p>
    <w:p w14:paraId="696B314D" w14:textId="77777777" w:rsidR="00A50A73" w:rsidRPr="004C4FBD" w:rsidRDefault="00A50A73" w:rsidP="00A50A73">
      <w:pPr>
        <w:ind w:right="3"/>
        <w:jc w:val="right"/>
        <w:rPr>
          <w:rFonts w:ascii="Arial"/>
          <w:i/>
          <w:sz w:val="28"/>
          <w:szCs w:val="28"/>
          <w:rtl/>
        </w:rPr>
      </w:pPr>
      <w:r w:rsidRPr="004C4FBD">
        <w:rPr>
          <w:rFonts w:ascii="Arial"/>
          <w:i/>
          <w:sz w:val="28"/>
          <w:szCs w:val="28"/>
          <w:rtl/>
        </w:rPr>
        <w:t xml:space="preserve">- </w:t>
      </w:r>
      <w:r w:rsidRPr="004C4FBD">
        <w:rPr>
          <w:i/>
          <w:sz w:val="28"/>
          <w:szCs w:val="28"/>
          <w:rtl/>
          <w:lang w:bidi="ar-TN"/>
        </w:rPr>
        <w:t>عبر</w:t>
      </w:r>
      <w:r w:rsidRPr="004C4FBD">
        <w:rPr>
          <w:rFonts w:ascii="Arial"/>
          <w:i/>
          <w:sz w:val="28"/>
          <w:szCs w:val="28"/>
          <w:rtl/>
        </w:rPr>
        <w:t xml:space="preserve"> </w:t>
      </w:r>
      <w:r w:rsidRPr="004C4FBD">
        <w:rPr>
          <w:i/>
          <w:sz w:val="28"/>
          <w:szCs w:val="28"/>
          <w:rtl/>
          <w:lang w:bidi="ar-TN"/>
        </w:rPr>
        <w:t>البريد</w:t>
      </w:r>
      <w:r w:rsidRPr="004C4FBD">
        <w:rPr>
          <w:rFonts w:ascii="Arial"/>
          <w:i/>
          <w:sz w:val="28"/>
          <w:szCs w:val="28"/>
          <w:rtl/>
        </w:rPr>
        <w:t xml:space="preserve"> </w:t>
      </w:r>
      <w:r w:rsidRPr="004C4FBD">
        <w:rPr>
          <w:rFonts w:hint="cs"/>
          <w:i/>
          <w:sz w:val="28"/>
          <w:szCs w:val="28"/>
          <w:rtl/>
          <w:lang w:bidi="ar-TN"/>
        </w:rPr>
        <w:t>الإلكتروني</w:t>
      </w:r>
      <w:r w:rsidRPr="004C4FBD">
        <w:rPr>
          <w:rFonts w:ascii="Arial" w:hint="cs"/>
          <w:i/>
          <w:sz w:val="28"/>
          <w:szCs w:val="28"/>
          <w:rtl/>
        </w:rPr>
        <w:t>:</w:t>
      </w:r>
      <w:r w:rsidRPr="004C4FBD">
        <w:rPr>
          <w:rFonts w:ascii="Arial"/>
          <w:i/>
          <w:sz w:val="28"/>
          <w:szCs w:val="28"/>
          <w:rtl/>
        </w:rPr>
        <w:t xml:space="preserve"> .......................</w:t>
      </w:r>
    </w:p>
    <w:p w14:paraId="504F4258" w14:textId="77777777" w:rsidR="00A50A73" w:rsidRDefault="00A50A73" w:rsidP="00A50A73">
      <w:pPr>
        <w:bidi/>
        <w:ind w:right="3"/>
        <w:rPr>
          <w:i/>
          <w:sz w:val="28"/>
          <w:szCs w:val="28"/>
          <w:lang w:bidi="ar-TN"/>
        </w:rPr>
      </w:pPr>
      <w:r w:rsidRPr="004C4FBD">
        <w:rPr>
          <w:rFonts w:ascii="Arial"/>
          <w:i/>
          <w:sz w:val="28"/>
          <w:szCs w:val="28"/>
          <w:rtl/>
        </w:rPr>
        <w:t xml:space="preserve">- </w:t>
      </w:r>
      <w:r w:rsidRPr="004C4FBD">
        <w:rPr>
          <w:i/>
          <w:sz w:val="28"/>
          <w:szCs w:val="28"/>
          <w:rtl/>
          <w:lang w:bidi="ar-TN"/>
        </w:rPr>
        <w:t>عبر</w:t>
      </w:r>
      <w:r w:rsidRPr="004C4FBD">
        <w:rPr>
          <w:rFonts w:ascii="Arial"/>
          <w:i/>
          <w:sz w:val="28"/>
          <w:szCs w:val="28"/>
          <w:rtl/>
        </w:rPr>
        <w:t xml:space="preserve"> </w:t>
      </w:r>
      <w:r w:rsidRPr="004C4FBD">
        <w:rPr>
          <w:i/>
          <w:sz w:val="28"/>
          <w:szCs w:val="28"/>
          <w:rtl/>
          <w:lang w:bidi="ar-TN"/>
        </w:rPr>
        <w:t>البوابة الوطنية</w:t>
      </w:r>
      <w:r w:rsidRPr="004C4FBD">
        <w:rPr>
          <w:rFonts w:ascii="Arial"/>
          <w:i/>
          <w:sz w:val="28"/>
          <w:szCs w:val="28"/>
          <w:rtl/>
        </w:rPr>
        <w:t xml:space="preserve"> </w:t>
      </w:r>
      <w:r w:rsidRPr="004C4FBD">
        <w:rPr>
          <w:rFonts w:hint="cs"/>
          <w:i/>
          <w:sz w:val="28"/>
          <w:szCs w:val="28"/>
          <w:rtl/>
          <w:lang w:bidi="ar-TN"/>
        </w:rPr>
        <w:t>للشكاوى</w:t>
      </w:r>
      <w:r w:rsidRPr="004C4FBD">
        <w:rPr>
          <w:rFonts w:ascii="Arial"/>
          <w:i/>
          <w:sz w:val="28"/>
          <w:szCs w:val="28"/>
          <w:rtl/>
        </w:rPr>
        <w:t xml:space="preserve"> </w:t>
      </w:r>
      <w:r w:rsidRPr="004C4FBD">
        <w:rPr>
          <w:i/>
          <w:sz w:val="28"/>
          <w:szCs w:val="28"/>
          <w:rtl/>
          <w:lang w:bidi="ar-TN"/>
        </w:rPr>
        <w:t>أو</w:t>
      </w:r>
      <w:r w:rsidRPr="004C4FBD">
        <w:rPr>
          <w:rFonts w:ascii="Arial"/>
          <w:i/>
          <w:sz w:val="28"/>
          <w:szCs w:val="28"/>
          <w:rtl/>
        </w:rPr>
        <w:t xml:space="preserve"> </w:t>
      </w:r>
      <w:r w:rsidRPr="004C4FBD">
        <w:rPr>
          <w:i/>
          <w:sz w:val="28"/>
          <w:szCs w:val="28"/>
          <w:rtl/>
          <w:lang w:bidi="ar-TN"/>
        </w:rPr>
        <w:t>التظلم</w:t>
      </w:r>
      <w:r w:rsidRPr="004C4FBD">
        <w:rPr>
          <w:rFonts w:ascii="Arial"/>
          <w:i/>
          <w:sz w:val="28"/>
          <w:szCs w:val="28"/>
          <w:rtl/>
        </w:rPr>
        <w:t xml:space="preserve"> "</w:t>
      </w:r>
      <w:r w:rsidRPr="004C4FBD">
        <w:rPr>
          <w:i/>
          <w:sz w:val="28"/>
          <w:szCs w:val="28"/>
        </w:rPr>
        <w:t>chikaya.ma</w:t>
      </w:r>
      <w:r w:rsidRPr="004C4FBD">
        <w:rPr>
          <w:i/>
          <w:sz w:val="28"/>
          <w:szCs w:val="28"/>
          <w:rtl/>
          <w:lang w:bidi="ar-TN"/>
        </w:rPr>
        <w:t>"</w:t>
      </w:r>
    </w:p>
    <w:p w14:paraId="0BB10EFA" w14:textId="77777777" w:rsidR="00A50A73" w:rsidRPr="006E0C5D" w:rsidRDefault="00A50A73" w:rsidP="00A50A73">
      <w:pPr>
        <w:bidi/>
        <w:ind w:right="3"/>
        <w:rPr>
          <w:i/>
          <w:sz w:val="28"/>
          <w:szCs w:val="28"/>
          <w:lang w:bidi="ar-TN"/>
        </w:rPr>
      </w:pPr>
    </w:p>
    <w:p w14:paraId="22983A9B" w14:textId="77777777" w:rsidR="00A50A73" w:rsidRPr="004C4FBD" w:rsidRDefault="00A50A73" w:rsidP="00A50A73">
      <w:pPr>
        <w:keepNext/>
        <w:keepLines/>
        <w:ind w:right="6"/>
        <w:contextualSpacing/>
        <w:jc w:val="center"/>
        <w:rPr>
          <w:rFonts w:ascii="Arial"/>
          <w:b/>
          <w:bCs/>
          <w:sz w:val="24"/>
          <w:szCs w:val="24"/>
          <w:rtl/>
        </w:rPr>
      </w:pPr>
      <w:r w:rsidRPr="004C4FBD">
        <w:rPr>
          <w:b/>
          <w:bCs/>
          <w:sz w:val="24"/>
          <w:szCs w:val="24"/>
          <w:rtl/>
          <w:lang w:bidi="ar-TN"/>
        </w:rPr>
        <w:t>ملحق</w:t>
      </w:r>
      <w:r w:rsidRPr="004C4FBD">
        <w:rPr>
          <w:rFonts w:ascii="Arial"/>
          <w:b/>
          <w:bCs/>
          <w:sz w:val="24"/>
          <w:szCs w:val="24"/>
          <w:rtl/>
        </w:rPr>
        <w:t xml:space="preserve"> 2 :</w:t>
      </w:r>
    </w:p>
    <w:p w14:paraId="450CFF1C" w14:textId="77777777" w:rsidR="00A50A73" w:rsidRPr="004C4FBD" w:rsidRDefault="00A50A73" w:rsidP="00A50A73">
      <w:pPr>
        <w:keepNext/>
        <w:keepLines/>
        <w:ind w:right="6"/>
        <w:contextualSpacing/>
        <w:jc w:val="center"/>
        <w:rPr>
          <w:rFonts w:ascii="Arial"/>
          <w:b/>
          <w:bCs/>
          <w:sz w:val="24"/>
          <w:szCs w:val="24"/>
          <w:rtl/>
        </w:rPr>
      </w:pPr>
      <w:r w:rsidRPr="004C4FBD">
        <w:rPr>
          <w:b/>
          <w:bCs/>
          <w:sz w:val="24"/>
          <w:szCs w:val="24"/>
          <w:rtl/>
          <w:lang w:bidi="ar-TN"/>
        </w:rPr>
        <w:t>تسجيل</w:t>
      </w:r>
      <w:r w:rsidRPr="004C4FBD">
        <w:rPr>
          <w:rFonts w:ascii="Arial"/>
          <w:b/>
          <w:bCs/>
          <w:sz w:val="24"/>
          <w:szCs w:val="24"/>
          <w:rtl/>
          <w:lang w:bidi="ar-TN"/>
        </w:rPr>
        <w:t xml:space="preserve"> </w:t>
      </w:r>
      <w:r w:rsidRPr="004C4FBD">
        <w:rPr>
          <w:rFonts w:hint="cs"/>
          <w:b/>
          <w:bCs/>
          <w:sz w:val="24"/>
          <w:szCs w:val="24"/>
          <w:rtl/>
          <w:lang w:bidi="ar-TN"/>
        </w:rPr>
        <w:t>الشكاوى</w:t>
      </w:r>
      <w:r w:rsidRPr="004C4FBD">
        <w:rPr>
          <w:rFonts w:ascii="Arial"/>
          <w:b/>
          <w:bCs/>
          <w:sz w:val="24"/>
          <w:szCs w:val="24"/>
          <w:rtl/>
          <w:lang w:bidi="ar-TN"/>
        </w:rPr>
        <w:t xml:space="preserve"> </w:t>
      </w:r>
      <w:r w:rsidRPr="004C4FBD">
        <w:rPr>
          <w:rFonts w:hint="cs"/>
          <w:b/>
          <w:bCs/>
          <w:sz w:val="24"/>
          <w:szCs w:val="24"/>
          <w:rtl/>
          <w:lang w:bidi="ar-TN"/>
        </w:rPr>
        <w:t>أو الملاحظا</w:t>
      </w:r>
      <w:r w:rsidRPr="004C4FBD">
        <w:rPr>
          <w:rFonts w:hint="eastAsia"/>
          <w:b/>
          <w:bCs/>
          <w:sz w:val="24"/>
          <w:szCs w:val="24"/>
          <w:rtl/>
          <w:lang w:bidi="ar-TN"/>
        </w:rPr>
        <w:t>ت</w:t>
      </w:r>
      <w:r w:rsidRPr="004C4FBD">
        <w:rPr>
          <w:rFonts w:ascii="Arial"/>
          <w:b/>
          <w:bCs/>
          <w:sz w:val="24"/>
          <w:szCs w:val="24"/>
          <w:rtl/>
          <w:lang w:bidi="ar-TN"/>
        </w:rPr>
        <w:t xml:space="preserve"> </w:t>
      </w:r>
      <w:r w:rsidRPr="004C4FBD">
        <w:rPr>
          <w:rFonts w:hint="cs"/>
          <w:b/>
          <w:bCs/>
          <w:sz w:val="24"/>
          <w:szCs w:val="24"/>
          <w:rtl/>
          <w:lang w:bidi="ar-TN"/>
        </w:rPr>
        <w:t>أو التظل</w:t>
      </w:r>
      <w:r w:rsidRPr="004C4FBD">
        <w:rPr>
          <w:rFonts w:hint="eastAsia"/>
          <w:b/>
          <w:bCs/>
          <w:sz w:val="24"/>
          <w:szCs w:val="24"/>
          <w:rtl/>
          <w:lang w:bidi="ar-TN"/>
        </w:rPr>
        <w:t>م</w:t>
      </w:r>
    </w:p>
    <w:p w14:paraId="1EA3B4DC" w14:textId="77777777" w:rsidR="00A50A73" w:rsidRPr="004C4FBD" w:rsidRDefault="00A50A73" w:rsidP="00A50A73">
      <w:pPr>
        <w:keepNext/>
        <w:keepLines/>
        <w:bidi/>
        <w:ind w:right="6"/>
        <w:rPr>
          <w:rFonts w:cs="Calibri"/>
          <w:b/>
          <w:bCs/>
          <w:sz w:val="20"/>
        </w:rPr>
      </w:pPr>
      <w:r w:rsidRPr="004C4FBD">
        <w:rPr>
          <w:rFonts w:cs="Times New Roman"/>
          <w:b/>
          <w:bCs/>
          <w:sz w:val="20"/>
          <w:rtl/>
          <w:lang w:bidi="ar-TN"/>
        </w:rPr>
        <w:t>رقم</w:t>
      </w:r>
      <w:r w:rsidRPr="004C4FBD">
        <w:rPr>
          <w:rFonts w:ascii="Arial"/>
          <w:b/>
          <w:bCs/>
          <w:sz w:val="24"/>
          <w:szCs w:val="24"/>
          <w:rtl/>
          <w:lang w:bidi="ar-TN"/>
        </w:rPr>
        <w:t xml:space="preserve"> </w:t>
      </w:r>
      <w:r w:rsidRPr="004C4FBD">
        <w:rPr>
          <w:rFonts w:cs="Times New Roman"/>
          <w:b/>
          <w:bCs/>
          <w:sz w:val="20"/>
          <w:rtl/>
          <w:lang w:bidi="ar-TN"/>
        </w:rPr>
        <w:t>تسجيل</w:t>
      </w:r>
      <w:r w:rsidRPr="004C4FBD">
        <w:rPr>
          <w:rFonts w:ascii="Times New Roman" w:cs="Times New Roman"/>
          <w:b/>
          <w:bCs/>
          <w:sz w:val="20"/>
          <w:rtl/>
          <w:lang w:bidi="ar-TN"/>
        </w:rPr>
        <w:t xml:space="preserve"> </w:t>
      </w:r>
      <w:r w:rsidRPr="004C4FBD">
        <w:rPr>
          <w:rFonts w:cs="Times New Roman"/>
          <w:b/>
          <w:bCs/>
          <w:sz w:val="20"/>
          <w:rtl/>
          <w:lang w:bidi="ar-TN"/>
        </w:rPr>
        <w:t>الشكاية</w:t>
      </w:r>
      <w:r w:rsidRPr="004C4FBD">
        <w:rPr>
          <w:rFonts w:ascii="Times New Roman" w:cs="Times New Roman"/>
          <w:b/>
          <w:bCs/>
          <w:sz w:val="20"/>
          <w:rtl/>
          <w:lang w:bidi="ar-TN"/>
        </w:rPr>
        <w:t xml:space="preserve"> </w:t>
      </w:r>
      <w:r w:rsidRPr="004C4FBD">
        <w:rPr>
          <w:rFonts w:cs="Times New Roman"/>
          <w:b/>
          <w:bCs/>
          <w:sz w:val="20"/>
          <w:rtl/>
          <w:lang w:bidi="ar-TN"/>
        </w:rPr>
        <w:t>أو</w:t>
      </w:r>
      <w:r w:rsidRPr="004C4FBD">
        <w:rPr>
          <w:rFonts w:ascii="Times New Roman" w:cs="Times New Roman"/>
          <w:b/>
          <w:bCs/>
          <w:sz w:val="20"/>
          <w:rtl/>
          <w:lang w:bidi="ar-TN"/>
        </w:rPr>
        <w:t xml:space="preserve"> </w:t>
      </w:r>
      <w:r w:rsidRPr="004C4FBD">
        <w:rPr>
          <w:rFonts w:cs="Times New Roman"/>
          <w:b/>
          <w:bCs/>
          <w:sz w:val="20"/>
          <w:rtl/>
          <w:lang w:bidi="ar-TN"/>
        </w:rPr>
        <w:t>التظلم</w:t>
      </w:r>
      <w:r w:rsidRPr="004C4FBD">
        <w:rPr>
          <w:rFonts w:ascii="Times New Roman" w:cs="Times New Roman"/>
          <w:b/>
          <w:bCs/>
          <w:sz w:val="20"/>
          <w:rtl/>
          <w:lang w:bidi="ar-TN"/>
        </w:rPr>
        <w:t xml:space="preserve"> </w:t>
      </w:r>
      <w:r w:rsidRPr="004C4FBD">
        <w:rPr>
          <w:rFonts w:cs="Times New Roman"/>
          <w:b/>
          <w:bCs/>
          <w:sz w:val="20"/>
          <w:rtl/>
          <w:lang w:bidi="ar-TN"/>
        </w:rPr>
        <w:t>أو</w:t>
      </w:r>
      <w:r w:rsidRPr="004C4FBD">
        <w:rPr>
          <w:rFonts w:ascii="Times New Roman" w:cs="Times New Roman"/>
          <w:b/>
          <w:bCs/>
          <w:sz w:val="20"/>
          <w:rtl/>
          <w:lang w:bidi="ar-TN"/>
        </w:rPr>
        <w:t xml:space="preserve"> </w:t>
      </w:r>
      <w:r w:rsidRPr="004C4FBD">
        <w:rPr>
          <w:rFonts w:cs="Times New Roman" w:hint="cs"/>
          <w:b/>
          <w:bCs/>
          <w:sz w:val="20"/>
          <w:rtl/>
          <w:lang w:bidi="ar-TN"/>
        </w:rPr>
        <w:t>الملاحظات</w:t>
      </w:r>
      <w:r w:rsidRPr="004C4FBD">
        <w:rPr>
          <w:rFonts w:ascii="Times New Roman" w:cs="Times New Roman" w:hint="cs"/>
          <w:b/>
          <w:bCs/>
          <w:rtl/>
        </w:rPr>
        <w:t>:</w:t>
      </w:r>
      <w:r w:rsidRPr="004C4FBD">
        <w:rPr>
          <w:rFonts w:ascii="Times New Roman" w:cs="Times New Roman"/>
          <w:b/>
          <w:bCs/>
          <w:rtl/>
        </w:rPr>
        <w:t xml:space="preserve"> ............................................</w:t>
      </w:r>
    </w:p>
    <w:p w14:paraId="095E0DAE" w14:textId="77777777" w:rsidR="00A50A73" w:rsidRPr="004C4FBD" w:rsidRDefault="00A50A73" w:rsidP="00A50A73">
      <w:pPr>
        <w:ind w:right="3"/>
        <w:jc w:val="right"/>
        <w:rPr>
          <w:rFonts w:ascii="Times New Roman" w:cs="Times New Roman"/>
          <w:b/>
          <w:bCs/>
          <w:rtl/>
        </w:rPr>
      </w:pPr>
      <w:r w:rsidRPr="004C4FBD">
        <w:rPr>
          <w:rFonts w:cs="Times New Roman" w:hint="cs"/>
          <w:b/>
          <w:bCs/>
          <w:sz w:val="20"/>
          <w:rtl/>
          <w:lang w:bidi="ar-TN"/>
        </w:rPr>
        <w:t>تاريخ</w:t>
      </w:r>
      <w:r w:rsidRPr="004C4FBD">
        <w:rPr>
          <w:rFonts w:ascii="Times New Roman" w:cs="Times New Roman" w:hint="cs"/>
          <w:b/>
          <w:bCs/>
          <w:rtl/>
        </w:rPr>
        <w:t>: ...........................................</w:t>
      </w:r>
      <w:r w:rsidRPr="004C4FBD">
        <w:rPr>
          <w:rFonts w:ascii="Times New Roman" w:cs="Times New Roman"/>
          <w:b/>
          <w:bCs/>
          <w:rtl/>
        </w:rPr>
        <w:t>.</w:t>
      </w:r>
    </w:p>
    <w:p w14:paraId="783F70B3" w14:textId="77777777" w:rsidR="00A50A73" w:rsidRPr="004C4FBD" w:rsidRDefault="00A50A73" w:rsidP="00A50A73">
      <w:pPr>
        <w:ind w:right="3" w:firstLine="708"/>
        <w:jc w:val="right"/>
        <w:rPr>
          <w:rFonts w:cs="Calibri"/>
          <w:b/>
          <w:bCs/>
          <w:sz w:val="20"/>
        </w:rPr>
      </w:pPr>
      <w:r w:rsidRPr="004C4FBD">
        <w:rPr>
          <w:rFonts w:cs="Times New Roman"/>
          <w:b/>
          <w:bCs/>
          <w:sz w:val="20"/>
          <w:rtl/>
          <w:lang w:bidi="ar-TN"/>
        </w:rPr>
        <w:t>إسم</w:t>
      </w:r>
      <w:r w:rsidRPr="004C4FBD">
        <w:rPr>
          <w:rFonts w:ascii="Times New Roman" w:cs="Times New Roman"/>
          <w:b/>
          <w:bCs/>
          <w:sz w:val="20"/>
          <w:rtl/>
          <w:lang w:bidi="ar-TN"/>
        </w:rPr>
        <w:t xml:space="preserve"> </w:t>
      </w:r>
      <w:r w:rsidRPr="004C4FBD">
        <w:rPr>
          <w:rFonts w:cs="Times New Roman" w:hint="cs"/>
          <w:b/>
          <w:bCs/>
          <w:sz w:val="20"/>
          <w:rtl/>
          <w:lang w:bidi="ar-TN"/>
        </w:rPr>
        <w:t>المشتكي</w:t>
      </w:r>
      <w:r w:rsidRPr="004C4FBD">
        <w:rPr>
          <w:rFonts w:ascii="Times New Roman" w:cs="Times New Roman" w:hint="cs"/>
          <w:b/>
          <w:bCs/>
          <w:rtl/>
        </w:rPr>
        <w:t>: ............................................................................</w:t>
      </w:r>
      <w:r w:rsidRPr="004C4FBD">
        <w:rPr>
          <w:rFonts w:ascii="Times New Roman" w:cs="Times New Roman"/>
          <w:b/>
          <w:bCs/>
          <w:rtl/>
        </w:rPr>
        <w:t xml:space="preserve">. </w:t>
      </w:r>
      <w:r w:rsidRPr="004C4FBD">
        <w:rPr>
          <w:rFonts w:cs="Times New Roman"/>
          <w:b/>
          <w:bCs/>
          <w:sz w:val="20"/>
          <w:rtl/>
          <w:lang w:bidi="ar-TN"/>
        </w:rPr>
        <w:t>رقم</w:t>
      </w:r>
      <w:r w:rsidRPr="004C4FBD">
        <w:rPr>
          <w:rFonts w:ascii="Times New Roman" w:cs="Times New Roman"/>
          <w:b/>
          <w:bCs/>
          <w:sz w:val="20"/>
          <w:rtl/>
          <w:lang w:bidi="ar-TN"/>
        </w:rPr>
        <w:t xml:space="preserve"> </w:t>
      </w:r>
      <w:r w:rsidRPr="004C4FBD">
        <w:rPr>
          <w:rFonts w:cs="Times New Roman"/>
          <w:b/>
          <w:bCs/>
          <w:sz w:val="20"/>
          <w:rtl/>
          <w:lang w:bidi="ar-TN"/>
        </w:rPr>
        <w:t>الهاتف</w:t>
      </w:r>
      <w:r w:rsidRPr="004C4FBD">
        <w:rPr>
          <w:rFonts w:ascii="Times New Roman" w:cs="Times New Roman"/>
          <w:b/>
          <w:bCs/>
          <w:rtl/>
        </w:rPr>
        <w:t>....................................................</w:t>
      </w:r>
    </w:p>
    <w:p w14:paraId="34D36E7A" w14:textId="77777777" w:rsidR="00A50A73" w:rsidRPr="004C4FBD" w:rsidRDefault="00A50A73" w:rsidP="00A50A73">
      <w:pPr>
        <w:ind w:right="3"/>
        <w:jc w:val="right"/>
        <w:rPr>
          <w:rFonts w:ascii="Times New Roman" w:cs="Times New Roman"/>
          <w:b/>
          <w:bCs/>
          <w:rtl/>
        </w:rPr>
      </w:pPr>
      <w:r w:rsidRPr="004C4FBD">
        <w:rPr>
          <w:rFonts w:cs="Times New Roman"/>
          <w:b/>
          <w:bCs/>
          <w:sz w:val="20"/>
          <w:rtl/>
          <w:lang w:bidi="ar-TN"/>
        </w:rPr>
        <w:t>الساكن</w:t>
      </w:r>
      <w:r w:rsidRPr="004C4FBD">
        <w:rPr>
          <w:rFonts w:ascii="Times New Roman" w:cs="Times New Roman"/>
          <w:b/>
          <w:bCs/>
          <w:sz w:val="20"/>
          <w:rtl/>
          <w:lang w:bidi="ar-TN"/>
        </w:rPr>
        <w:t xml:space="preserve"> </w:t>
      </w:r>
      <w:r w:rsidRPr="004C4FBD">
        <w:rPr>
          <w:rFonts w:cs="Times New Roman" w:hint="cs"/>
          <w:b/>
          <w:bCs/>
          <w:sz w:val="20"/>
          <w:rtl/>
          <w:lang w:bidi="ar-TN"/>
        </w:rPr>
        <w:t>ب</w:t>
      </w:r>
      <w:r w:rsidRPr="004C4FBD">
        <w:rPr>
          <w:rFonts w:ascii="Times New Roman" w:cs="Times New Roman" w:hint="cs"/>
          <w:b/>
          <w:bCs/>
          <w:rtl/>
        </w:rPr>
        <w:t>: ........................................................................................................................................</w:t>
      </w:r>
      <w:r w:rsidRPr="004C4FBD">
        <w:rPr>
          <w:rFonts w:ascii="Times New Roman" w:cs="Times New Roman"/>
          <w:b/>
          <w:bCs/>
          <w:rtl/>
        </w:rPr>
        <w:t>.</w:t>
      </w:r>
    </w:p>
    <w:p w14:paraId="2E420414" w14:textId="77777777" w:rsidR="00A50A73" w:rsidRPr="004C4FBD" w:rsidRDefault="00A50A73" w:rsidP="00A50A73">
      <w:pPr>
        <w:ind w:right="3"/>
        <w:jc w:val="right"/>
        <w:rPr>
          <w:rFonts w:ascii="Arial"/>
          <w:b/>
          <w:bCs/>
          <w:sz w:val="18"/>
          <w:szCs w:val="18"/>
          <w:rtl/>
        </w:rPr>
      </w:pPr>
      <w:r w:rsidRPr="004C4FBD">
        <w:rPr>
          <w:rFonts w:cs="Times New Roman"/>
          <w:b/>
          <w:bCs/>
          <w:sz w:val="20"/>
          <w:rtl/>
          <w:lang w:bidi="ar-TN"/>
        </w:rPr>
        <w:t>موقع</w:t>
      </w:r>
      <w:r w:rsidRPr="004C4FBD">
        <w:rPr>
          <w:rFonts w:ascii="Times New Roman" w:cs="Times New Roman"/>
          <w:b/>
          <w:bCs/>
          <w:sz w:val="20"/>
          <w:rtl/>
          <w:lang w:bidi="ar-TN"/>
        </w:rPr>
        <w:t xml:space="preserve"> </w:t>
      </w:r>
      <w:r w:rsidRPr="004C4FBD">
        <w:rPr>
          <w:rFonts w:cs="Times New Roman" w:hint="cs"/>
          <w:b/>
          <w:bCs/>
          <w:sz w:val="20"/>
          <w:rtl/>
          <w:lang w:bidi="ar-TN"/>
        </w:rPr>
        <w:t>الضرر</w:t>
      </w:r>
      <w:r w:rsidRPr="004C4FBD">
        <w:rPr>
          <w:rFonts w:ascii="Times New Roman" w:cs="Times New Roman" w:hint="cs"/>
          <w:b/>
          <w:bCs/>
          <w:rtl/>
        </w:rPr>
        <w:t>:</w:t>
      </w:r>
      <w:r w:rsidRPr="004C4FBD">
        <w:rPr>
          <w:rFonts w:cs="Times New Roman" w:hint="cs"/>
          <w:b/>
          <w:bCs/>
          <w:sz w:val="20"/>
          <w:rtl/>
          <w:lang w:bidi="ar-TN"/>
        </w:rPr>
        <w:t xml:space="preserve"> الجماع</w:t>
      </w:r>
      <w:r w:rsidRPr="004C4FBD">
        <w:rPr>
          <w:rFonts w:cs="Times New Roman" w:hint="eastAsia"/>
          <w:b/>
          <w:bCs/>
          <w:sz w:val="20"/>
          <w:rtl/>
          <w:lang w:bidi="ar-TN"/>
        </w:rPr>
        <w:t>ة</w:t>
      </w:r>
      <w:r w:rsidRPr="004C4FBD">
        <w:rPr>
          <w:rFonts w:ascii="Times New Roman" w:cs="Times New Roman"/>
          <w:b/>
          <w:bCs/>
          <w:sz w:val="20"/>
          <w:rtl/>
          <w:lang w:bidi="ar-TN"/>
        </w:rPr>
        <w:t xml:space="preserve"> </w:t>
      </w:r>
      <w:r w:rsidRPr="004C4FBD">
        <w:rPr>
          <w:rFonts w:cs="Times New Roman"/>
          <w:b/>
          <w:bCs/>
          <w:sz w:val="20"/>
          <w:rtl/>
          <w:lang w:bidi="ar-TN"/>
        </w:rPr>
        <w:t>الترابية</w:t>
      </w:r>
      <w:r w:rsidRPr="004C4FBD">
        <w:rPr>
          <w:rFonts w:ascii="Times New Roman" w:cs="Times New Roman"/>
          <w:b/>
          <w:bCs/>
          <w:rtl/>
        </w:rPr>
        <w:t>...........................................................</w:t>
      </w:r>
    </w:p>
    <w:tbl>
      <w:tblPr>
        <w:tblW w:w="9821" w:type="dxa"/>
        <w:tblLook w:val="04A0" w:firstRow="1" w:lastRow="0" w:firstColumn="1" w:lastColumn="0" w:noHBand="0" w:noVBand="1"/>
      </w:tblPr>
      <w:tblGrid>
        <w:gridCol w:w="9888"/>
      </w:tblGrid>
      <w:tr w:rsidR="00A50A73" w:rsidRPr="004C4FBD" w14:paraId="556FEF5E" w14:textId="77777777" w:rsidTr="00241513">
        <w:trPr>
          <w:trHeight w:val="333"/>
        </w:trPr>
        <w:tc>
          <w:tcPr>
            <w:tcW w:w="9821" w:type="dxa"/>
            <w:vAlign w:val="center"/>
            <w:hideMark/>
          </w:tcPr>
          <w:p w14:paraId="35A3513A" w14:textId="77777777" w:rsidR="00A50A73" w:rsidRPr="004C4FBD" w:rsidRDefault="00A50A73" w:rsidP="00241513">
            <w:pPr>
              <w:spacing w:line="256" w:lineRule="auto"/>
              <w:ind w:right="3"/>
              <w:jc w:val="center"/>
            </w:pPr>
            <w:r w:rsidRPr="004C4FBD">
              <w:rPr>
                <w:rtl/>
                <w:lang w:bidi="ar-TN"/>
              </w:rPr>
              <w:t>موضـــــــــــوع</w:t>
            </w:r>
            <w:r w:rsidRPr="004C4FBD">
              <w:rPr>
                <w:rFonts w:ascii="Arial"/>
                <w:rtl/>
                <w:lang w:bidi="ar-TN"/>
              </w:rPr>
              <w:t xml:space="preserve"> </w:t>
            </w:r>
            <w:r w:rsidRPr="004C4FBD">
              <w:rPr>
                <w:rtl/>
                <w:lang w:bidi="ar-TN"/>
              </w:rPr>
              <w:t>الشكـــــايـــــــــــة</w:t>
            </w:r>
            <w:r w:rsidRPr="004C4FBD">
              <w:rPr>
                <w:rFonts w:ascii="Arial"/>
                <w:rtl/>
                <w:lang w:bidi="ar-TN"/>
              </w:rPr>
              <w:t xml:space="preserve"> </w:t>
            </w:r>
            <w:r w:rsidRPr="004C4FBD">
              <w:rPr>
                <w:rtl/>
                <w:lang w:bidi="ar-TN"/>
              </w:rPr>
              <w:t>أو</w:t>
            </w:r>
            <w:r w:rsidRPr="004C4FBD">
              <w:rPr>
                <w:rFonts w:ascii="Arial"/>
                <w:rtl/>
                <w:lang w:bidi="ar-TN"/>
              </w:rPr>
              <w:t xml:space="preserve"> </w:t>
            </w:r>
            <w:r w:rsidRPr="004C4FBD">
              <w:rPr>
                <w:rtl/>
                <w:lang w:bidi="ar-TN"/>
              </w:rPr>
              <w:t>التــظلـــــم</w:t>
            </w:r>
            <w:r w:rsidRPr="004C4FBD">
              <w:rPr>
                <w:rFonts w:ascii="Arial"/>
                <w:rtl/>
                <w:lang w:bidi="ar-TN"/>
              </w:rPr>
              <w:t xml:space="preserve"> </w:t>
            </w:r>
            <w:r w:rsidRPr="004C4FBD">
              <w:rPr>
                <w:rtl/>
                <w:lang w:bidi="ar-TN"/>
              </w:rPr>
              <w:t>أو</w:t>
            </w:r>
            <w:r w:rsidRPr="004C4FBD">
              <w:rPr>
                <w:rFonts w:ascii="Arial"/>
                <w:rtl/>
                <w:lang w:bidi="ar-TN"/>
              </w:rPr>
              <w:t xml:space="preserve"> </w:t>
            </w:r>
            <w:r w:rsidRPr="004C4FBD">
              <w:rPr>
                <w:rtl/>
                <w:lang w:bidi="ar-TN"/>
              </w:rPr>
              <w:t>المــــلاحظـــــــات</w:t>
            </w:r>
          </w:p>
        </w:tc>
      </w:tr>
      <w:tr w:rsidR="00A50A73" w:rsidRPr="004C4FBD" w14:paraId="1BED881F" w14:textId="77777777" w:rsidTr="00241513">
        <w:trPr>
          <w:trHeight w:val="2356"/>
        </w:trPr>
        <w:tc>
          <w:tcPr>
            <w:tcW w:w="9821" w:type="dxa"/>
            <w:hideMark/>
          </w:tcPr>
          <w:p w14:paraId="423EC60F" w14:textId="77777777" w:rsidR="00A50A73" w:rsidRPr="004C4FBD" w:rsidRDefault="00A50A73" w:rsidP="00241513">
            <w:pPr>
              <w:spacing w:line="256" w:lineRule="auto"/>
              <w:ind w:right="3"/>
              <w:jc w:val="right"/>
              <w:rPr>
                <w:rFonts w:ascii="Arial"/>
                <w:b/>
                <w:bCs/>
                <w:sz w:val="24"/>
                <w:szCs w:val="24"/>
              </w:rPr>
            </w:pPr>
            <w:r w:rsidRPr="004C4FBD">
              <w:rPr>
                <w:rFonts w:ascii="Arial"/>
                <w:sz w:val="24"/>
                <w:szCs w:val="24"/>
                <w:rtl/>
              </w:rPr>
              <w:lastRenderedPageBreak/>
              <w:t>................................................................................................................................................</w:t>
            </w:r>
          </w:p>
          <w:p w14:paraId="7D411047" w14:textId="77777777" w:rsidR="00A50A73" w:rsidRPr="004C4FBD" w:rsidRDefault="00A50A73" w:rsidP="00241513">
            <w:pPr>
              <w:spacing w:line="256" w:lineRule="auto"/>
              <w:ind w:right="3"/>
              <w:jc w:val="right"/>
              <w:rPr>
                <w:rFonts w:ascii="Arial"/>
                <w:b/>
                <w:bCs/>
                <w:sz w:val="24"/>
                <w:szCs w:val="24"/>
                <w:rtl/>
              </w:rPr>
            </w:pPr>
            <w:r w:rsidRPr="004C4FBD">
              <w:rPr>
                <w:rFonts w:ascii="Arial"/>
                <w:sz w:val="24"/>
                <w:szCs w:val="24"/>
                <w:rtl/>
              </w:rPr>
              <w:t>................................................................................................................................................</w:t>
            </w:r>
          </w:p>
          <w:p w14:paraId="441A6409" w14:textId="77777777" w:rsidR="00A50A73" w:rsidRPr="004C4FBD" w:rsidRDefault="00A50A73" w:rsidP="00241513">
            <w:pPr>
              <w:spacing w:line="256" w:lineRule="auto"/>
              <w:ind w:right="3"/>
              <w:jc w:val="right"/>
              <w:rPr>
                <w:rFonts w:ascii="Arial"/>
                <w:sz w:val="24"/>
                <w:szCs w:val="24"/>
                <w:rtl/>
              </w:rPr>
            </w:pPr>
            <w:r w:rsidRPr="004C4FBD">
              <w:rPr>
                <w:rFonts w:ascii="Arial"/>
                <w:sz w:val="24"/>
                <w:szCs w:val="24"/>
                <w:rtl/>
              </w:rPr>
              <w:t xml:space="preserve">................................................................................................................................................ </w:t>
            </w:r>
          </w:p>
          <w:p w14:paraId="437C8B01" w14:textId="77777777" w:rsidR="00A50A73" w:rsidRPr="004C4FBD" w:rsidRDefault="00A50A73" w:rsidP="00241513">
            <w:pPr>
              <w:spacing w:line="256" w:lineRule="auto"/>
              <w:ind w:right="3"/>
              <w:jc w:val="center"/>
              <w:rPr>
                <w:bCs/>
                <w:u w:val="single"/>
              </w:rPr>
            </w:pPr>
            <w:r w:rsidRPr="004C4FBD">
              <w:rPr>
                <w:u w:val="single"/>
                <w:rtl/>
                <w:lang w:bidi="ar-SA"/>
              </w:rPr>
              <w:t>توقيع</w:t>
            </w:r>
            <w:r w:rsidRPr="004C4FBD">
              <w:rPr>
                <w:rFonts w:ascii="Arial"/>
                <w:u w:val="single"/>
                <w:rtl/>
              </w:rPr>
              <w:t xml:space="preserve"> </w:t>
            </w:r>
            <w:r w:rsidRPr="004C4FBD">
              <w:rPr>
                <w:u w:val="single"/>
                <w:rtl/>
                <w:lang w:bidi="ar-SA"/>
              </w:rPr>
              <w:t>المشتكي</w:t>
            </w:r>
          </w:p>
        </w:tc>
      </w:tr>
    </w:tbl>
    <w:p w14:paraId="028BD02D" w14:textId="77777777" w:rsidR="00A50A73" w:rsidRPr="004C4FBD" w:rsidRDefault="00A50A73" w:rsidP="00A50A73">
      <w:pPr>
        <w:bidi/>
        <w:ind w:right="3"/>
        <w:rPr>
          <w:rFonts w:ascii="Times New Roman" w:cs="Times New Roman"/>
          <w:b/>
          <w:bCs/>
          <w:rtl/>
        </w:rPr>
      </w:pPr>
      <w:r w:rsidRPr="004C4FBD">
        <w:rPr>
          <w:rFonts w:cs="Times New Roman"/>
          <w:b/>
          <w:bCs/>
          <w:sz w:val="20"/>
          <w:rtl/>
          <w:lang w:bidi="ar-TN"/>
        </w:rPr>
        <w:t>رقم</w:t>
      </w:r>
      <w:r w:rsidRPr="004C4FBD">
        <w:rPr>
          <w:rFonts w:ascii="Arial"/>
          <w:b/>
          <w:bCs/>
          <w:sz w:val="24"/>
          <w:szCs w:val="24"/>
          <w:rtl/>
          <w:lang w:bidi="ar-TN"/>
        </w:rPr>
        <w:t xml:space="preserve"> </w:t>
      </w:r>
      <w:r w:rsidRPr="004C4FBD">
        <w:rPr>
          <w:rFonts w:cs="Times New Roman"/>
          <w:b/>
          <w:bCs/>
          <w:sz w:val="20"/>
          <w:rtl/>
          <w:lang w:bidi="ar-TN"/>
        </w:rPr>
        <w:t>تسجيل</w:t>
      </w:r>
      <w:r w:rsidRPr="004C4FBD">
        <w:rPr>
          <w:rFonts w:ascii="Times New Roman" w:cs="Times New Roman"/>
          <w:b/>
          <w:bCs/>
          <w:sz w:val="20"/>
          <w:rtl/>
          <w:lang w:bidi="ar-TN"/>
        </w:rPr>
        <w:t xml:space="preserve"> </w:t>
      </w:r>
      <w:r w:rsidRPr="004C4FBD">
        <w:rPr>
          <w:rFonts w:cs="Times New Roman"/>
          <w:b/>
          <w:bCs/>
          <w:sz w:val="20"/>
          <w:rtl/>
          <w:lang w:bidi="ar-TN"/>
        </w:rPr>
        <w:t>الشكاية</w:t>
      </w:r>
      <w:r w:rsidRPr="004C4FBD">
        <w:rPr>
          <w:rFonts w:ascii="Times New Roman" w:cs="Times New Roman"/>
          <w:b/>
          <w:bCs/>
          <w:sz w:val="20"/>
          <w:rtl/>
          <w:lang w:bidi="ar-TN"/>
        </w:rPr>
        <w:t xml:space="preserve"> </w:t>
      </w:r>
      <w:r w:rsidRPr="004C4FBD">
        <w:rPr>
          <w:rFonts w:cs="Times New Roman"/>
          <w:b/>
          <w:bCs/>
          <w:sz w:val="20"/>
          <w:rtl/>
          <w:lang w:bidi="ar-TN"/>
        </w:rPr>
        <w:t>أو</w:t>
      </w:r>
      <w:r w:rsidRPr="004C4FBD">
        <w:rPr>
          <w:rFonts w:ascii="Times New Roman" w:cs="Times New Roman"/>
          <w:b/>
          <w:bCs/>
          <w:sz w:val="20"/>
          <w:rtl/>
          <w:lang w:bidi="ar-TN"/>
        </w:rPr>
        <w:t xml:space="preserve"> </w:t>
      </w:r>
      <w:r w:rsidRPr="004C4FBD">
        <w:rPr>
          <w:rFonts w:cs="Times New Roman"/>
          <w:b/>
          <w:bCs/>
          <w:sz w:val="20"/>
          <w:rtl/>
          <w:lang w:bidi="ar-TN"/>
        </w:rPr>
        <w:t>التظلم</w:t>
      </w:r>
      <w:r w:rsidRPr="004C4FBD">
        <w:rPr>
          <w:rFonts w:ascii="Times New Roman" w:cs="Times New Roman"/>
          <w:b/>
          <w:bCs/>
          <w:sz w:val="20"/>
          <w:rtl/>
          <w:lang w:bidi="ar-TN"/>
        </w:rPr>
        <w:t xml:space="preserve"> </w:t>
      </w:r>
      <w:r w:rsidRPr="004C4FBD">
        <w:rPr>
          <w:rFonts w:cs="Times New Roman"/>
          <w:b/>
          <w:bCs/>
          <w:sz w:val="20"/>
          <w:rtl/>
          <w:lang w:bidi="ar-TN"/>
        </w:rPr>
        <w:t>أو</w:t>
      </w:r>
      <w:r w:rsidRPr="004C4FBD">
        <w:rPr>
          <w:rFonts w:ascii="Times New Roman" w:cs="Times New Roman"/>
          <w:b/>
          <w:bCs/>
          <w:sz w:val="20"/>
          <w:rtl/>
          <w:lang w:bidi="ar-TN"/>
        </w:rPr>
        <w:t xml:space="preserve"> </w:t>
      </w:r>
      <w:r w:rsidRPr="004C4FBD">
        <w:rPr>
          <w:rFonts w:cs="Times New Roman" w:hint="cs"/>
          <w:b/>
          <w:bCs/>
          <w:sz w:val="20"/>
          <w:rtl/>
          <w:lang w:bidi="ar-TN"/>
        </w:rPr>
        <w:t>الملاحظات</w:t>
      </w:r>
      <w:r w:rsidRPr="004C4FBD">
        <w:rPr>
          <w:rFonts w:ascii="Times New Roman" w:cs="Times New Roman" w:hint="cs"/>
          <w:b/>
          <w:bCs/>
          <w:rtl/>
        </w:rPr>
        <w:t>:</w:t>
      </w:r>
      <w:r w:rsidRPr="004C4FBD">
        <w:rPr>
          <w:rFonts w:ascii="Times New Roman" w:cs="Times New Roman"/>
          <w:b/>
          <w:bCs/>
          <w:rtl/>
        </w:rPr>
        <w:t xml:space="preserve"> ............................................</w:t>
      </w:r>
    </w:p>
    <w:p w14:paraId="48BE09B1" w14:textId="77777777" w:rsidR="00A50A73" w:rsidRPr="004C4FBD" w:rsidRDefault="00A50A73" w:rsidP="00A50A73">
      <w:pPr>
        <w:ind w:right="3"/>
        <w:jc w:val="right"/>
        <w:rPr>
          <w:rFonts w:ascii="Times New Roman" w:cs="Times New Roman"/>
          <w:b/>
          <w:bCs/>
          <w:rtl/>
        </w:rPr>
      </w:pPr>
      <w:r w:rsidRPr="004C4FBD">
        <w:rPr>
          <w:rFonts w:cs="Times New Roman" w:hint="cs"/>
          <w:b/>
          <w:bCs/>
          <w:sz w:val="20"/>
          <w:rtl/>
          <w:lang w:bidi="ar-TN"/>
        </w:rPr>
        <w:t>تاريخ</w:t>
      </w:r>
      <w:r w:rsidRPr="004C4FBD">
        <w:rPr>
          <w:rFonts w:ascii="Times New Roman" w:cs="Times New Roman" w:hint="cs"/>
          <w:b/>
          <w:bCs/>
          <w:rtl/>
        </w:rPr>
        <w:t>: ...........................................</w:t>
      </w:r>
      <w:r w:rsidRPr="004C4FBD">
        <w:rPr>
          <w:rFonts w:ascii="Times New Roman" w:cs="Times New Roman"/>
          <w:b/>
          <w:bCs/>
          <w:rtl/>
        </w:rPr>
        <w:t>.</w:t>
      </w:r>
    </w:p>
    <w:p w14:paraId="3D869FBF" w14:textId="77777777" w:rsidR="00A50A73" w:rsidRPr="004C4FBD" w:rsidRDefault="00A50A73" w:rsidP="00A50A73">
      <w:pPr>
        <w:ind w:right="3" w:firstLine="708"/>
        <w:jc w:val="right"/>
        <w:rPr>
          <w:rFonts w:cs="Calibri"/>
          <w:b/>
          <w:bCs/>
          <w:sz w:val="20"/>
        </w:rPr>
      </w:pPr>
      <w:r w:rsidRPr="004C4FBD">
        <w:rPr>
          <w:rFonts w:cs="Times New Roman"/>
          <w:b/>
          <w:bCs/>
          <w:sz w:val="20"/>
          <w:rtl/>
          <w:lang w:bidi="ar-TN"/>
        </w:rPr>
        <w:t>إسم</w:t>
      </w:r>
      <w:r w:rsidRPr="004C4FBD">
        <w:rPr>
          <w:rFonts w:ascii="Times New Roman" w:cs="Times New Roman"/>
          <w:b/>
          <w:bCs/>
          <w:sz w:val="20"/>
          <w:rtl/>
          <w:lang w:bidi="ar-TN"/>
        </w:rPr>
        <w:t xml:space="preserve"> </w:t>
      </w:r>
      <w:r w:rsidRPr="004C4FBD">
        <w:rPr>
          <w:rFonts w:cs="Times New Roman" w:hint="cs"/>
          <w:b/>
          <w:bCs/>
          <w:sz w:val="20"/>
          <w:rtl/>
          <w:lang w:bidi="ar-TN"/>
        </w:rPr>
        <w:t>المشتكي</w:t>
      </w:r>
      <w:r w:rsidRPr="004C4FBD">
        <w:rPr>
          <w:rFonts w:ascii="Times New Roman" w:cs="Times New Roman" w:hint="cs"/>
          <w:b/>
          <w:bCs/>
          <w:rtl/>
        </w:rPr>
        <w:t>: ............................................................................</w:t>
      </w:r>
      <w:r w:rsidRPr="004C4FBD">
        <w:rPr>
          <w:rFonts w:ascii="Times New Roman" w:cs="Times New Roman"/>
          <w:b/>
          <w:bCs/>
          <w:rtl/>
        </w:rPr>
        <w:t xml:space="preserve">. </w:t>
      </w:r>
      <w:r w:rsidRPr="004C4FBD">
        <w:rPr>
          <w:rFonts w:cs="Times New Roman"/>
          <w:b/>
          <w:bCs/>
          <w:sz w:val="20"/>
          <w:rtl/>
          <w:lang w:bidi="ar-TN"/>
        </w:rPr>
        <w:t>رقم</w:t>
      </w:r>
      <w:r w:rsidRPr="004C4FBD">
        <w:rPr>
          <w:rFonts w:ascii="Times New Roman" w:cs="Times New Roman"/>
          <w:b/>
          <w:bCs/>
          <w:sz w:val="20"/>
          <w:rtl/>
          <w:lang w:bidi="ar-TN"/>
        </w:rPr>
        <w:t xml:space="preserve"> </w:t>
      </w:r>
      <w:r w:rsidRPr="004C4FBD">
        <w:rPr>
          <w:rFonts w:cs="Times New Roman"/>
          <w:b/>
          <w:bCs/>
          <w:sz w:val="20"/>
          <w:rtl/>
          <w:lang w:bidi="ar-TN"/>
        </w:rPr>
        <w:t>الهاتف</w:t>
      </w:r>
      <w:r w:rsidRPr="004C4FBD">
        <w:rPr>
          <w:rFonts w:ascii="Times New Roman" w:cs="Times New Roman"/>
          <w:b/>
          <w:bCs/>
          <w:rtl/>
        </w:rPr>
        <w:t>....................................................</w:t>
      </w:r>
    </w:p>
    <w:p w14:paraId="70AB4810" w14:textId="77777777" w:rsidR="00A50A73" w:rsidRPr="004C4FBD" w:rsidRDefault="00A50A73" w:rsidP="00A50A73">
      <w:pPr>
        <w:ind w:right="3"/>
        <w:jc w:val="right"/>
        <w:rPr>
          <w:rFonts w:ascii="Times New Roman" w:cs="Times New Roman"/>
          <w:b/>
          <w:bCs/>
          <w:rtl/>
        </w:rPr>
      </w:pPr>
      <w:r w:rsidRPr="004C4FBD">
        <w:rPr>
          <w:rFonts w:cs="Times New Roman"/>
          <w:b/>
          <w:bCs/>
          <w:sz w:val="20"/>
          <w:rtl/>
          <w:lang w:bidi="ar-TN"/>
        </w:rPr>
        <w:t>الساكن</w:t>
      </w:r>
      <w:r w:rsidRPr="004C4FBD">
        <w:rPr>
          <w:rFonts w:ascii="Times New Roman" w:cs="Times New Roman"/>
          <w:b/>
          <w:bCs/>
          <w:sz w:val="20"/>
          <w:rtl/>
          <w:lang w:bidi="ar-TN"/>
        </w:rPr>
        <w:t xml:space="preserve"> </w:t>
      </w:r>
      <w:r w:rsidRPr="004C4FBD">
        <w:rPr>
          <w:rFonts w:cs="Times New Roman" w:hint="cs"/>
          <w:b/>
          <w:bCs/>
          <w:sz w:val="20"/>
          <w:rtl/>
          <w:lang w:bidi="ar-TN"/>
        </w:rPr>
        <w:t>ب</w:t>
      </w:r>
      <w:r w:rsidRPr="004C4FBD">
        <w:rPr>
          <w:rFonts w:ascii="Times New Roman" w:cs="Times New Roman" w:hint="cs"/>
          <w:b/>
          <w:bCs/>
          <w:rtl/>
        </w:rPr>
        <w:t>: ........................................................................................................................................</w:t>
      </w:r>
      <w:r w:rsidRPr="004C4FBD">
        <w:rPr>
          <w:rFonts w:ascii="Times New Roman" w:cs="Times New Roman"/>
          <w:b/>
          <w:bCs/>
          <w:rtl/>
        </w:rPr>
        <w:t>.</w:t>
      </w:r>
    </w:p>
    <w:p w14:paraId="75F87A4E" w14:textId="77777777" w:rsidR="00A50A73" w:rsidRPr="004C4FBD" w:rsidRDefault="00A50A73" w:rsidP="00A50A73">
      <w:pPr>
        <w:ind w:right="3"/>
        <w:jc w:val="right"/>
        <w:rPr>
          <w:rFonts w:ascii="Arial"/>
          <w:sz w:val="2"/>
          <w:szCs w:val="2"/>
          <w:rtl/>
        </w:rPr>
      </w:pPr>
      <w:r w:rsidRPr="004C4FBD">
        <w:rPr>
          <w:rFonts w:cs="Times New Roman"/>
          <w:b/>
          <w:bCs/>
          <w:sz w:val="20"/>
          <w:rtl/>
          <w:lang w:bidi="ar-TN"/>
        </w:rPr>
        <w:t>موقع</w:t>
      </w:r>
      <w:r w:rsidRPr="004C4FBD">
        <w:rPr>
          <w:rFonts w:ascii="Times New Roman" w:cs="Times New Roman"/>
          <w:b/>
          <w:bCs/>
          <w:sz w:val="20"/>
          <w:rtl/>
          <w:lang w:bidi="ar-TN"/>
        </w:rPr>
        <w:t xml:space="preserve"> </w:t>
      </w:r>
      <w:r w:rsidRPr="004C4FBD">
        <w:rPr>
          <w:rFonts w:cs="Times New Roman" w:hint="cs"/>
          <w:b/>
          <w:bCs/>
          <w:sz w:val="20"/>
          <w:rtl/>
          <w:lang w:bidi="ar-TN"/>
        </w:rPr>
        <w:t>الضرر</w:t>
      </w:r>
      <w:r w:rsidRPr="004C4FBD">
        <w:rPr>
          <w:rFonts w:ascii="Times New Roman" w:cs="Times New Roman" w:hint="cs"/>
          <w:b/>
          <w:bCs/>
          <w:rtl/>
        </w:rPr>
        <w:t>:</w:t>
      </w:r>
      <w:r w:rsidRPr="004C4FBD">
        <w:rPr>
          <w:rFonts w:cs="Times New Roman" w:hint="cs"/>
          <w:b/>
          <w:bCs/>
          <w:sz w:val="20"/>
          <w:rtl/>
          <w:lang w:bidi="ar-TN"/>
        </w:rPr>
        <w:t xml:space="preserve"> الجماع</w:t>
      </w:r>
      <w:r w:rsidRPr="004C4FBD">
        <w:rPr>
          <w:rFonts w:cs="Times New Roman" w:hint="eastAsia"/>
          <w:b/>
          <w:bCs/>
          <w:sz w:val="20"/>
          <w:rtl/>
          <w:lang w:bidi="ar-TN"/>
        </w:rPr>
        <w:t>ة</w:t>
      </w:r>
      <w:r w:rsidRPr="004C4FBD">
        <w:rPr>
          <w:rFonts w:ascii="Times New Roman" w:cs="Times New Roman"/>
          <w:b/>
          <w:bCs/>
          <w:sz w:val="20"/>
          <w:rtl/>
          <w:lang w:bidi="ar-TN"/>
        </w:rPr>
        <w:t xml:space="preserve"> </w:t>
      </w:r>
      <w:r w:rsidRPr="004C4FBD">
        <w:rPr>
          <w:rFonts w:cs="Times New Roman"/>
          <w:b/>
          <w:bCs/>
          <w:sz w:val="20"/>
          <w:rtl/>
          <w:lang w:bidi="ar-TN"/>
        </w:rPr>
        <w:t>الترابية</w:t>
      </w:r>
      <w:r w:rsidRPr="004C4FBD">
        <w:rPr>
          <w:rFonts w:ascii="Times New Roman" w:cs="Times New Roman"/>
          <w:b/>
          <w:bCs/>
          <w:rtl/>
        </w:rPr>
        <w:t>...........................................................</w:t>
      </w:r>
    </w:p>
    <w:tbl>
      <w:tblPr>
        <w:tblW w:w="9747" w:type="dxa"/>
        <w:tblBorders>
          <w:top w:val="single" w:sz="8" w:space="0" w:color="4BACC6"/>
          <w:left w:val="single" w:sz="8" w:space="0" w:color="4BACC6"/>
          <w:bottom w:val="single" w:sz="8" w:space="0" w:color="4BACC6"/>
          <w:right w:val="single" w:sz="8" w:space="0" w:color="4BACC6"/>
        </w:tblBorders>
        <w:tblLook w:val="04A0" w:firstRow="1" w:lastRow="0" w:firstColumn="1" w:lastColumn="0" w:noHBand="0" w:noVBand="1"/>
      </w:tblPr>
      <w:tblGrid>
        <w:gridCol w:w="9821"/>
      </w:tblGrid>
      <w:tr w:rsidR="00A50A73" w:rsidRPr="004C4FBD" w14:paraId="357A38D9" w14:textId="77777777" w:rsidTr="00241513">
        <w:trPr>
          <w:trHeight w:val="333"/>
        </w:trPr>
        <w:tc>
          <w:tcPr>
            <w:tcW w:w="9747" w:type="dxa"/>
            <w:tcBorders>
              <w:top w:val="single" w:sz="8" w:space="0" w:color="4BACC6"/>
              <w:left w:val="single" w:sz="8" w:space="0" w:color="4BACC6"/>
              <w:bottom w:val="nil"/>
              <w:right w:val="single" w:sz="8" w:space="0" w:color="4BACC6"/>
            </w:tcBorders>
            <w:shd w:val="clear" w:color="auto" w:fill="4BACC6"/>
            <w:vAlign w:val="center"/>
            <w:hideMark/>
          </w:tcPr>
          <w:p w14:paraId="58790323" w14:textId="77777777" w:rsidR="00A50A73" w:rsidRPr="004C4FBD" w:rsidRDefault="00A50A73" w:rsidP="00241513">
            <w:pPr>
              <w:spacing w:line="256" w:lineRule="auto"/>
              <w:ind w:right="3"/>
              <w:jc w:val="center"/>
              <w:rPr>
                <w:b/>
                <w:bCs/>
                <w:lang w:bidi="ar-TN"/>
              </w:rPr>
            </w:pPr>
            <w:r w:rsidRPr="004C4FBD">
              <w:rPr>
                <w:b/>
                <w:bCs/>
                <w:rtl/>
                <w:lang w:bidi="ar-TN"/>
              </w:rPr>
              <w:t>موضـــــــــــوع</w:t>
            </w:r>
            <w:r w:rsidRPr="004C4FBD">
              <w:rPr>
                <w:rFonts w:ascii="Arial"/>
                <w:b/>
                <w:bCs/>
                <w:rtl/>
                <w:lang w:bidi="ar-TN"/>
              </w:rPr>
              <w:t xml:space="preserve"> </w:t>
            </w:r>
            <w:r w:rsidRPr="004C4FBD">
              <w:rPr>
                <w:b/>
                <w:bCs/>
                <w:rtl/>
                <w:lang w:bidi="ar-TN"/>
              </w:rPr>
              <w:t>الشكـــــايـــــــــــة</w:t>
            </w:r>
            <w:r w:rsidRPr="004C4FBD">
              <w:rPr>
                <w:rFonts w:ascii="Arial"/>
                <w:b/>
                <w:bCs/>
                <w:rtl/>
                <w:lang w:bidi="ar-TN"/>
              </w:rPr>
              <w:t xml:space="preserve"> </w:t>
            </w:r>
            <w:r w:rsidRPr="004C4FBD">
              <w:rPr>
                <w:b/>
                <w:bCs/>
                <w:rtl/>
                <w:lang w:bidi="ar-TN"/>
              </w:rPr>
              <w:t>أو</w:t>
            </w:r>
            <w:r w:rsidRPr="004C4FBD">
              <w:rPr>
                <w:rFonts w:ascii="Arial"/>
                <w:b/>
                <w:bCs/>
                <w:rtl/>
                <w:lang w:bidi="ar-TN"/>
              </w:rPr>
              <w:t xml:space="preserve"> </w:t>
            </w:r>
            <w:r w:rsidRPr="004C4FBD">
              <w:rPr>
                <w:b/>
                <w:bCs/>
                <w:rtl/>
                <w:lang w:bidi="ar-TN"/>
              </w:rPr>
              <w:t>التــظلـــــم</w:t>
            </w:r>
            <w:r w:rsidRPr="004C4FBD">
              <w:rPr>
                <w:rFonts w:ascii="Arial"/>
                <w:b/>
                <w:bCs/>
                <w:rtl/>
                <w:lang w:bidi="ar-TN"/>
              </w:rPr>
              <w:t xml:space="preserve"> </w:t>
            </w:r>
            <w:r w:rsidRPr="004C4FBD">
              <w:rPr>
                <w:b/>
                <w:bCs/>
                <w:rtl/>
                <w:lang w:bidi="ar-TN"/>
              </w:rPr>
              <w:t>أو</w:t>
            </w:r>
            <w:r w:rsidRPr="004C4FBD">
              <w:rPr>
                <w:rFonts w:ascii="Arial"/>
                <w:b/>
                <w:bCs/>
                <w:rtl/>
                <w:lang w:bidi="ar-TN"/>
              </w:rPr>
              <w:t xml:space="preserve"> </w:t>
            </w:r>
            <w:r w:rsidRPr="004C4FBD">
              <w:rPr>
                <w:b/>
                <w:bCs/>
                <w:rtl/>
                <w:lang w:bidi="ar-TN"/>
              </w:rPr>
              <w:t>المــــلاحظـــــــات</w:t>
            </w:r>
          </w:p>
        </w:tc>
      </w:tr>
      <w:tr w:rsidR="00A50A73" w:rsidRPr="004C4FBD" w14:paraId="0C72ABDE" w14:textId="77777777" w:rsidTr="00241513">
        <w:trPr>
          <w:trHeight w:val="2295"/>
        </w:trPr>
        <w:tc>
          <w:tcPr>
            <w:tcW w:w="6" w:type="dxa"/>
            <w:tcBorders>
              <w:top w:val="single" w:sz="8" w:space="0" w:color="4BACC6"/>
              <w:left w:val="single" w:sz="8" w:space="0" w:color="4BACC6"/>
              <w:bottom w:val="single" w:sz="8" w:space="0" w:color="4BACC6"/>
              <w:right w:val="single" w:sz="8" w:space="0" w:color="4BACC6"/>
            </w:tcBorders>
          </w:tcPr>
          <w:p w14:paraId="2CE39C39" w14:textId="77777777" w:rsidR="00A50A73" w:rsidRPr="004C4FBD" w:rsidRDefault="00A50A73" w:rsidP="00241513">
            <w:pPr>
              <w:spacing w:line="256" w:lineRule="auto"/>
              <w:ind w:right="3"/>
              <w:jc w:val="right"/>
              <w:rPr>
                <w:rFonts w:ascii="Arial"/>
                <w:b/>
                <w:bCs/>
              </w:rPr>
            </w:pPr>
          </w:p>
          <w:p w14:paraId="32ED03CF" w14:textId="77777777" w:rsidR="00A50A73" w:rsidRPr="004C4FBD" w:rsidRDefault="00A50A73" w:rsidP="00241513">
            <w:pPr>
              <w:spacing w:line="256" w:lineRule="auto"/>
              <w:ind w:right="3"/>
              <w:jc w:val="right"/>
              <w:rPr>
                <w:rFonts w:ascii="Arial"/>
                <w:b/>
                <w:bCs/>
                <w:sz w:val="24"/>
                <w:szCs w:val="24"/>
                <w:rtl/>
              </w:rPr>
            </w:pPr>
            <w:r w:rsidRPr="004C4FBD">
              <w:rPr>
                <w:rFonts w:ascii="Arial"/>
                <w:b/>
                <w:bCs/>
                <w:sz w:val="24"/>
                <w:szCs w:val="24"/>
                <w:rtl/>
              </w:rPr>
              <w:t>................................................................................................................................................</w:t>
            </w:r>
          </w:p>
          <w:p w14:paraId="49B7F284" w14:textId="77777777" w:rsidR="00A50A73" w:rsidRPr="004C4FBD" w:rsidRDefault="00A50A73" w:rsidP="00241513">
            <w:pPr>
              <w:spacing w:line="256" w:lineRule="auto"/>
              <w:ind w:right="3"/>
              <w:jc w:val="right"/>
              <w:rPr>
                <w:rFonts w:ascii="Arial"/>
                <w:b/>
                <w:bCs/>
                <w:sz w:val="24"/>
                <w:szCs w:val="24"/>
                <w:rtl/>
              </w:rPr>
            </w:pPr>
            <w:r w:rsidRPr="004C4FBD">
              <w:rPr>
                <w:rFonts w:ascii="Arial"/>
                <w:b/>
                <w:bCs/>
                <w:sz w:val="24"/>
                <w:szCs w:val="24"/>
                <w:rtl/>
              </w:rPr>
              <w:t>................................................................................................................................................</w:t>
            </w:r>
          </w:p>
          <w:p w14:paraId="30DF9562" w14:textId="77777777" w:rsidR="00A50A73" w:rsidRPr="004C4FBD" w:rsidRDefault="00A50A73" w:rsidP="00241513">
            <w:pPr>
              <w:spacing w:line="256" w:lineRule="auto"/>
              <w:ind w:right="3"/>
              <w:jc w:val="center"/>
              <w:rPr>
                <w:b/>
                <w:bCs/>
                <w:u w:val="single"/>
                <w:lang w:bidi="ar-TN"/>
              </w:rPr>
            </w:pPr>
            <w:r w:rsidRPr="004C4FBD">
              <w:rPr>
                <w:b/>
                <w:bCs/>
                <w:u w:val="single"/>
                <w:rtl/>
                <w:lang w:bidi="ar-SA"/>
              </w:rPr>
              <w:t>توقيع</w:t>
            </w:r>
            <w:r w:rsidRPr="004C4FBD">
              <w:rPr>
                <w:rFonts w:ascii="Arial"/>
                <w:b/>
                <w:bCs/>
                <w:u w:val="single"/>
                <w:rtl/>
              </w:rPr>
              <w:t xml:space="preserve"> </w:t>
            </w:r>
            <w:r w:rsidRPr="004C4FBD">
              <w:rPr>
                <w:b/>
                <w:bCs/>
                <w:u w:val="single"/>
                <w:rtl/>
                <w:lang w:bidi="ar-SA"/>
              </w:rPr>
              <w:t>المشتكي</w:t>
            </w:r>
          </w:p>
        </w:tc>
      </w:tr>
    </w:tbl>
    <w:p w14:paraId="26382044" w14:textId="77777777" w:rsidR="00A50A73" w:rsidRPr="004C4FBD" w:rsidRDefault="00A50A73" w:rsidP="00A50A73">
      <w:pPr>
        <w:ind w:right="3"/>
        <w:rPr>
          <w:i/>
          <w:sz w:val="40"/>
          <w:szCs w:val="40"/>
          <w:rtl/>
          <w:lang w:bidi="ar-TN"/>
        </w:rPr>
      </w:pPr>
      <w:r w:rsidRPr="004C4FBD">
        <w:rPr>
          <w:i/>
          <w:sz w:val="40"/>
          <w:szCs w:val="40"/>
          <w:rtl/>
          <w:lang w:bidi="ar-TN"/>
        </w:rPr>
        <w:br w:type="page"/>
      </w:r>
    </w:p>
    <w:p w14:paraId="523AA885" w14:textId="77777777" w:rsidR="00A50A73" w:rsidRPr="004C4FBD" w:rsidRDefault="00A50A73" w:rsidP="00A50A73">
      <w:pPr>
        <w:spacing w:before="0" w:after="0"/>
        <w:jc w:val="left"/>
        <w:rPr>
          <w:i/>
          <w:sz w:val="40"/>
          <w:szCs w:val="40"/>
          <w:rtl/>
          <w:lang w:bidi="ar-TN"/>
        </w:rPr>
        <w:sectPr w:rsidR="00A50A73" w:rsidRPr="004C4FBD" w:rsidSect="00241513">
          <w:footerReference w:type="default" r:id="rId162"/>
          <w:pgSz w:w="11906" w:h="16838"/>
          <w:pgMar w:top="1134" w:right="1134" w:bottom="1134" w:left="1134" w:header="708" w:footer="708" w:gutter="0"/>
          <w:cols w:space="720"/>
        </w:sectPr>
      </w:pPr>
    </w:p>
    <w:p w14:paraId="2F5FCBA9" w14:textId="77777777" w:rsidR="00A50A73" w:rsidRPr="004C4FBD" w:rsidRDefault="00A50A73" w:rsidP="00A50A73">
      <w:pPr>
        <w:ind w:right="3"/>
        <w:contextualSpacing/>
        <w:jc w:val="center"/>
        <w:rPr>
          <w:b/>
          <w:bCs/>
          <w:sz w:val="24"/>
          <w:szCs w:val="24"/>
          <w:rtl/>
          <w:lang w:bidi="ar-TN"/>
        </w:rPr>
      </w:pPr>
      <w:r w:rsidRPr="004C4FBD">
        <w:rPr>
          <w:b/>
          <w:bCs/>
          <w:sz w:val="24"/>
          <w:szCs w:val="24"/>
          <w:rtl/>
          <w:lang w:bidi="ar-TN"/>
        </w:rPr>
        <w:lastRenderedPageBreak/>
        <w:t>ملحق عدد 3</w:t>
      </w:r>
    </w:p>
    <w:p w14:paraId="0914E7F7" w14:textId="77777777" w:rsidR="00A50A73" w:rsidRPr="004C4FBD" w:rsidRDefault="00A50A73" w:rsidP="00A50A73">
      <w:pPr>
        <w:ind w:right="3"/>
        <w:contextualSpacing/>
        <w:jc w:val="center"/>
        <w:rPr>
          <w:b/>
          <w:bCs/>
          <w:sz w:val="24"/>
          <w:szCs w:val="24"/>
          <w:lang w:bidi="ar-TN"/>
        </w:rPr>
      </w:pPr>
      <w:r w:rsidRPr="004C4FBD">
        <w:rPr>
          <w:b/>
          <w:bCs/>
          <w:sz w:val="24"/>
          <w:szCs w:val="24"/>
          <w:rtl/>
          <w:lang w:bidi="ar-TN"/>
        </w:rPr>
        <w:t xml:space="preserve"> </w:t>
      </w:r>
      <w:r w:rsidRPr="004C4FBD">
        <w:rPr>
          <w:rFonts w:ascii="Arial"/>
          <w:b/>
          <w:bCs/>
          <w:sz w:val="24"/>
          <w:szCs w:val="24"/>
          <w:rtl/>
        </w:rPr>
        <w:t xml:space="preserve"> </w:t>
      </w:r>
      <w:r w:rsidRPr="004C4FBD">
        <w:rPr>
          <w:b/>
          <w:bCs/>
          <w:sz w:val="24"/>
          <w:szCs w:val="24"/>
          <w:rtl/>
          <w:lang w:bidi="ar-TN"/>
        </w:rPr>
        <w:t>جدول متابعة الشكاية أو التظلم</w:t>
      </w:r>
    </w:p>
    <w:p w14:paraId="0213B2D8" w14:textId="77777777" w:rsidR="00A50A73" w:rsidRPr="004C4FBD" w:rsidRDefault="00A50A73" w:rsidP="00A50A73">
      <w:pPr>
        <w:ind w:right="3"/>
        <w:contextualSpacing/>
        <w:jc w:val="center"/>
        <w:rPr>
          <w:rFonts w:ascii="Arial"/>
          <w:b/>
          <w:bCs/>
          <w:sz w:val="24"/>
          <w:szCs w:val="24"/>
          <w:rtl/>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8"/>
        <w:gridCol w:w="922"/>
        <w:gridCol w:w="914"/>
        <w:gridCol w:w="923"/>
        <w:gridCol w:w="909"/>
        <w:gridCol w:w="1369"/>
        <w:gridCol w:w="705"/>
        <w:gridCol w:w="702"/>
        <w:gridCol w:w="839"/>
        <w:gridCol w:w="1063"/>
        <w:gridCol w:w="751"/>
        <w:gridCol w:w="655"/>
        <w:gridCol w:w="577"/>
        <w:gridCol w:w="623"/>
        <w:gridCol w:w="577"/>
        <w:gridCol w:w="623"/>
        <w:gridCol w:w="725"/>
        <w:gridCol w:w="775"/>
      </w:tblGrid>
      <w:tr w:rsidR="00A50A73" w:rsidRPr="004C4FBD" w14:paraId="54AC4B2E" w14:textId="77777777" w:rsidTr="00241513">
        <w:trPr>
          <w:jc w:val="center"/>
        </w:trPr>
        <w:tc>
          <w:tcPr>
            <w:tcW w:w="1571" w:type="pct"/>
            <w:gridSpan w:val="5"/>
            <w:tcBorders>
              <w:top w:val="single" w:sz="4" w:space="0" w:color="auto"/>
              <w:left w:val="single" w:sz="4" w:space="0" w:color="auto"/>
              <w:bottom w:val="single" w:sz="4" w:space="0" w:color="auto"/>
              <w:right w:val="single" w:sz="4" w:space="0" w:color="auto"/>
            </w:tcBorders>
            <w:shd w:val="pct25" w:color="C0504D" w:fill="auto"/>
            <w:hideMark/>
          </w:tcPr>
          <w:p w14:paraId="48C0C037" w14:textId="77777777" w:rsidR="00A50A73" w:rsidRPr="004C4FBD" w:rsidRDefault="00A50A73" w:rsidP="00241513">
            <w:pPr>
              <w:ind w:right="3"/>
              <w:contextualSpacing/>
              <w:jc w:val="center"/>
              <w:rPr>
                <w:b/>
                <w:bCs/>
                <w:sz w:val="16"/>
                <w:szCs w:val="16"/>
              </w:rPr>
            </w:pPr>
            <w:r w:rsidRPr="004C4FBD">
              <w:rPr>
                <w:b/>
                <w:bCs/>
                <w:sz w:val="16"/>
                <w:szCs w:val="16"/>
              </w:rPr>
              <w:t>Identification</w:t>
            </w:r>
          </w:p>
        </w:tc>
        <w:tc>
          <w:tcPr>
            <w:tcW w:w="2089" w:type="pct"/>
            <w:gridSpan w:val="7"/>
            <w:tcBorders>
              <w:top w:val="single" w:sz="4" w:space="0" w:color="auto"/>
              <w:left w:val="single" w:sz="4" w:space="0" w:color="auto"/>
              <w:bottom w:val="single" w:sz="4" w:space="0" w:color="auto"/>
              <w:right w:val="single" w:sz="4" w:space="0" w:color="auto"/>
            </w:tcBorders>
            <w:shd w:val="pct25" w:color="FFC000" w:fill="auto"/>
            <w:hideMark/>
          </w:tcPr>
          <w:p w14:paraId="259ADD38" w14:textId="77777777" w:rsidR="00A50A73" w:rsidRPr="004C4FBD" w:rsidRDefault="00A50A73" w:rsidP="00241513">
            <w:pPr>
              <w:ind w:right="3"/>
              <w:contextualSpacing/>
              <w:jc w:val="center"/>
              <w:rPr>
                <w:b/>
                <w:bCs/>
                <w:sz w:val="16"/>
                <w:szCs w:val="16"/>
              </w:rPr>
            </w:pPr>
            <w:r w:rsidRPr="004C4FBD">
              <w:rPr>
                <w:b/>
                <w:bCs/>
                <w:sz w:val="16"/>
                <w:szCs w:val="16"/>
              </w:rPr>
              <w:t xml:space="preserve">Traitement </w:t>
            </w:r>
          </w:p>
        </w:tc>
        <w:tc>
          <w:tcPr>
            <w:tcW w:w="1339" w:type="pct"/>
            <w:gridSpan w:val="6"/>
            <w:tcBorders>
              <w:top w:val="single" w:sz="4" w:space="0" w:color="auto"/>
              <w:left w:val="single" w:sz="4" w:space="0" w:color="auto"/>
              <w:bottom w:val="single" w:sz="4" w:space="0" w:color="auto"/>
              <w:right w:val="single" w:sz="4" w:space="0" w:color="auto"/>
            </w:tcBorders>
            <w:shd w:val="pct25" w:color="92D050" w:fill="auto"/>
            <w:hideMark/>
          </w:tcPr>
          <w:p w14:paraId="412572A7" w14:textId="77777777" w:rsidR="00A50A73" w:rsidRPr="004C4FBD" w:rsidRDefault="00A50A73" w:rsidP="00241513">
            <w:pPr>
              <w:ind w:right="3"/>
              <w:contextualSpacing/>
              <w:jc w:val="center"/>
              <w:rPr>
                <w:sz w:val="16"/>
                <w:szCs w:val="16"/>
              </w:rPr>
            </w:pPr>
            <w:r w:rsidRPr="004C4FBD">
              <w:rPr>
                <w:b/>
                <w:w w:val="105"/>
                <w:sz w:val="20"/>
              </w:rPr>
              <w:t>Acceptation</w:t>
            </w:r>
          </w:p>
        </w:tc>
      </w:tr>
      <w:tr w:rsidR="00A50A73" w:rsidRPr="004C4FBD" w14:paraId="6D663447" w14:textId="77777777" w:rsidTr="00241513">
        <w:trPr>
          <w:jc w:val="center"/>
        </w:trPr>
        <w:tc>
          <w:tcPr>
            <w:tcW w:w="312" w:type="pct"/>
            <w:vMerge w:val="restart"/>
            <w:tcBorders>
              <w:top w:val="single" w:sz="4" w:space="0" w:color="auto"/>
              <w:left w:val="single" w:sz="4" w:space="0" w:color="auto"/>
              <w:bottom w:val="single" w:sz="4" w:space="0" w:color="auto"/>
              <w:right w:val="single" w:sz="4" w:space="0" w:color="auto"/>
            </w:tcBorders>
            <w:vAlign w:val="center"/>
            <w:hideMark/>
          </w:tcPr>
          <w:p w14:paraId="70CD0DBB" w14:textId="77777777" w:rsidR="00A50A73" w:rsidRPr="004C4FBD" w:rsidRDefault="00A50A73" w:rsidP="00241513">
            <w:pPr>
              <w:ind w:right="3"/>
              <w:contextualSpacing/>
              <w:jc w:val="center"/>
              <w:rPr>
                <w:rFonts w:cs="Times New Roman"/>
                <w:b/>
                <w:bCs/>
                <w:sz w:val="14"/>
                <w:szCs w:val="14"/>
              </w:rPr>
            </w:pPr>
            <w:r w:rsidRPr="004C4FBD">
              <w:rPr>
                <w:sz w:val="14"/>
                <w:szCs w:val="14"/>
              </w:rPr>
              <w:t>Doléance / plainte N°</w:t>
            </w:r>
          </w:p>
        </w:tc>
        <w:tc>
          <w:tcPr>
            <w:tcW w:w="317" w:type="pct"/>
            <w:vMerge w:val="restart"/>
            <w:tcBorders>
              <w:top w:val="single" w:sz="4" w:space="0" w:color="auto"/>
              <w:left w:val="single" w:sz="4" w:space="0" w:color="auto"/>
              <w:bottom w:val="single" w:sz="4" w:space="0" w:color="auto"/>
              <w:right w:val="single" w:sz="4" w:space="0" w:color="auto"/>
            </w:tcBorders>
            <w:vAlign w:val="center"/>
            <w:hideMark/>
          </w:tcPr>
          <w:p w14:paraId="0594BFF7" w14:textId="77777777" w:rsidR="00A50A73" w:rsidRPr="004C4FBD" w:rsidRDefault="00A50A73" w:rsidP="00241513">
            <w:pPr>
              <w:ind w:right="3"/>
              <w:contextualSpacing/>
              <w:jc w:val="center"/>
              <w:rPr>
                <w:rFonts w:cs="Times New Roman"/>
                <w:b/>
                <w:bCs/>
                <w:sz w:val="14"/>
                <w:szCs w:val="14"/>
              </w:rPr>
            </w:pPr>
            <w:r w:rsidRPr="004C4FBD">
              <w:rPr>
                <w:sz w:val="14"/>
                <w:szCs w:val="14"/>
              </w:rPr>
              <w:t>Date de réception de la doléance / plainte</w:t>
            </w:r>
          </w:p>
        </w:tc>
        <w:tc>
          <w:tcPr>
            <w:tcW w:w="314" w:type="pct"/>
            <w:vMerge w:val="restart"/>
            <w:tcBorders>
              <w:top w:val="single" w:sz="4" w:space="0" w:color="auto"/>
              <w:left w:val="single" w:sz="4" w:space="0" w:color="auto"/>
              <w:bottom w:val="single" w:sz="4" w:space="0" w:color="auto"/>
              <w:right w:val="single" w:sz="4" w:space="0" w:color="auto"/>
            </w:tcBorders>
            <w:vAlign w:val="center"/>
            <w:hideMark/>
          </w:tcPr>
          <w:p w14:paraId="3695121D" w14:textId="77777777" w:rsidR="00A50A73" w:rsidRPr="004C4FBD" w:rsidRDefault="00A50A73" w:rsidP="00241513">
            <w:pPr>
              <w:ind w:right="3"/>
              <w:contextualSpacing/>
              <w:jc w:val="center"/>
              <w:rPr>
                <w:rFonts w:cs="Times New Roman"/>
                <w:b/>
                <w:bCs/>
                <w:sz w:val="14"/>
                <w:szCs w:val="14"/>
              </w:rPr>
            </w:pPr>
            <w:r w:rsidRPr="004C4FBD">
              <w:rPr>
                <w:sz w:val="14"/>
                <w:szCs w:val="14"/>
              </w:rPr>
              <w:t>Nom de la personne recevant la doléance / plainte</w:t>
            </w:r>
          </w:p>
        </w:tc>
        <w:tc>
          <w:tcPr>
            <w:tcW w:w="317" w:type="pct"/>
            <w:vMerge w:val="restart"/>
            <w:tcBorders>
              <w:top w:val="single" w:sz="4" w:space="0" w:color="auto"/>
              <w:left w:val="single" w:sz="4" w:space="0" w:color="auto"/>
              <w:bottom w:val="single" w:sz="4" w:space="0" w:color="auto"/>
              <w:right w:val="single" w:sz="4" w:space="0" w:color="auto"/>
            </w:tcBorders>
            <w:vAlign w:val="center"/>
            <w:hideMark/>
          </w:tcPr>
          <w:p w14:paraId="0FE4C2E5" w14:textId="77777777" w:rsidR="00A50A73" w:rsidRPr="004C4FBD" w:rsidRDefault="00A50A73" w:rsidP="00241513">
            <w:pPr>
              <w:ind w:right="3"/>
              <w:contextualSpacing/>
              <w:jc w:val="center"/>
              <w:rPr>
                <w:rFonts w:cs="Times New Roman"/>
                <w:b/>
                <w:bCs/>
                <w:sz w:val="14"/>
                <w:szCs w:val="14"/>
              </w:rPr>
            </w:pPr>
            <w:r w:rsidRPr="004C4FBD">
              <w:rPr>
                <w:sz w:val="14"/>
                <w:szCs w:val="14"/>
              </w:rPr>
              <w:t>Où / comment la doléance / plainte a été reçue</w:t>
            </w:r>
          </w:p>
        </w:tc>
        <w:tc>
          <w:tcPr>
            <w:tcW w:w="312" w:type="pct"/>
            <w:vMerge w:val="restart"/>
            <w:tcBorders>
              <w:top w:val="single" w:sz="4" w:space="0" w:color="auto"/>
              <w:left w:val="single" w:sz="4" w:space="0" w:color="auto"/>
              <w:bottom w:val="single" w:sz="4" w:space="0" w:color="auto"/>
              <w:right w:val="single" w:sz="4" w:space="0" w:color="auto"/>
            </w:tcBorders>
            <w:vAlign w:val="center"/>
            <w:hideMark/>
          </w:tcPr>
          <w:p w14:paraId="5615954B" w14:textId="77777777" w:rsidR="00A50A73" w:rsidRPr="004C4FBD" w:rsidRDefault="00A50A73" w:rsidP="00241513">
            <w:pPr>
              <w:ind w:right="3"/>
              <w:contextualSpacing/>
              <w:jc w:val="center"/>
              <w:rPr>
                <w:rFonts w:cs="Times New Roman"/>
                <w:b/>
                <w:bCs/>
                <w:sz w:val="14"/>
                <w:szCs w:val="14"/>
              </w:rPr>
            </w:pPr>
            <w:r w:rsidRPr="004C4FBD">
              <w:rPr>
                <w:sz w:val="14"/>
                <w:szCs w:val="14"/>
              </w:rPr>
              <w:t>Nom et contact du plaignant (si connus)</w:t>
            </w:r>
          </w:p>
        </w:tc>
        <w:tc>
          <w:tcPr>
            <w:tcW w:w="470" w:type="pct"/>
            <w:vMerge w:val="restart"/>
            <w:tcBorders>
              <w:top w:val="single" w:sz="4" w:space="0" w:color="auto"/>
              <w:left w:val="single" w:sz="4" w:space="0" w:color="auto"/>
              <w:bottom w:val="single" w:sz="4" w:space="0" w:color="auto"/>
              <w:right w:val="single" w:sz="4" w:space="0" w:color="auto"/>
            </w:tcBorders>
            <w:vAlign w:val="center"/>
            <w:hideMark/>
          </w:tcPr>
          <w:p w14:paraId="150D50BD" w14:textId="77777777" w:rsidR="00A50A73" w:rsidRPr="004C4FBD" w:rsidRDefault="00A50A73" w:rsidP="00241513">
            <w:pPr>
              <w:ind w:right="3"/>
              <w:contextualSpacing/>
              <w:jc w:val="center"/>
              <w:rPr>
                <w:rFonts w:cs="Times New Roman"/>
                <w:b/>
                <w:bCs/>
                <w:sz w:val="14"/>
                <w:szCs w:val="14"/>
              </w:rPr>
            </w:pPr>
            <w:r w:rsidRPr="004C4FBD">
              <w:rPr>
                <w:sz w:val="14"/>
                <w:szCs w:val="14"/>
              </w:rPr>
              <w:t>Contenu de la réclamation (inclure toutes les plaintes, suggestions, demandes de renseignements)</w:t>
            </w:r>
          </w:p>
        </w:tc>
        <w:tc>
          <w:tcPr>
            <w:tcW w:w="483" w:type="pct"/>
            <w:gridSpan w:val="2"/>
            <w:tcBorders>
              <w:top w:val="single" w:sz="4" w:space="0" w:color="auto"/>
              <w:left w:val="single" w:sz="4" w:space="0" w:color="auto"/>
              <w:bottom w:val="single" w:sz="4" w:space="0" w:color="auto"/>
              <w:right w:val="single" w:sz="4" w:space="0" w:color="auto"/>
            </w:tcBorders>
            <w:vAlign w:val="center"/>
            <w:hideMark/>
          </w:tcPr>
          <w:p w14:paraId="3ADF2B1E" w14:textId="77777777" w:rsidR="00A50A73" w:rsidRPr="004C4FBD" w:rsidRDefault="00A50A73" w:rsidP="00241513">
            <w:pPr>
              <w:ind w:right="3"/>
              <w:contextualSpacing/>
              <w:jc w:val="center"/>
              <w:rPr>
                <w:sz w:val="14"/>
                <w:szCs w:val="14"/>
              </w:rPr>
            </w:pPr>
            <w:r w:rsidRPr="004C4FBD">
              <w:rPr>
                <w:sz w:val="14"/>
                <w:szCs w:val="14"/>
              </w:rPr>
              <w:t xml:space="preserve">La réception de la doléance / plainte a-t-elle été confirmée au plaignant ? (O / N) </w:t>
            </w:r>
          </w:p>
          <w:p w14:paraId="1E85EA2E" w14:textId="77777777" w:rsidR="00A50A73" w:rsidRPr="004C4FBD" w:rsidRDefault="00A50A73" w:rsidP="00241513">
            <w:pPr>
              <w:ind w:right="3"/>
              <w:contextualSpacing/>
              <w:jc w:val="center"/>
              <w:rPr>
                <w:rFonts w:cs="Times New Roman"/>
                <w:b/>
                <w:bCs/>
                <w:sz w:val="14"/>
                <w:szCs w:val="14"/>
              </w:rPr>
            </w:pPr>
            <w:r w:rsidRPr="004C4FBD">
              <w:rPr>
                <w:b/>
                <w:bCs/>
                <w:sz w:val="14"/>
                <w:szCs w:val="14"/>
              </w:rPr>
              <w:t>Si oui, indiquez la date, la méthode de communication et par qui)</w:t>
            </w:r>
          </w:p>
        </w:tc>
        <w:tc>
          <w:tcPr>
            <w:tcW w:w="288" w:type="pct"/>
            <w:vMerge w:val="restart"/>
            <w:tcBorders>
              <w:top w:val="single" w:sz="4" w:space="0" w:color="auto"/>
              <w:left w:val="single" w:sz="4" w:space="0" w:color="auto"/>
              <w:bottom w:val="single" w:sz="4" w:space="0" w:color="auto"/>
              <w:right w:val="single" w:sz="4" w:space="0" w:color="auto"/>
            </w:tcBorders>
            <w:vAlign w:val="center"/>
          </w:tcPr>
          <w:p w14:paraId="127596BE" w14:textId="77777777" w:rsidR="00A50A73" w:rsidRPr="004C4FBD" w:rsidRDefault="00A50A73" w:rsidP="00241513">
            <w:pPr>
              <w:ind w:right="3"/>
              <w:contextualSpacing/>
              <w:jc w:val="center"/>
              <w:rPr>
                <w:rFonts w:cs="Times New Roman"/>
                <w:b/>
                <w:bCs/>
                <w:sz w:val="14"/>
                <w:szCs w:val="14"/>
              </w:rPr>
            </w:pPr>
            <w:r w:rsidRPr="004C4FBD">
              <w:rPr>
                <w:sz w:val="14"/>
                <w:szCs w:val="14"/>
              </w:rPr>
              <w:t>Date de décision prévue</w:t>
            </w:r>
          </w:p>
          <w:p w14:paraId="4424BB0F" w14:textId="77777777" w:rsidR="00A50A73" w:rsidRPr="004C4FBD" w:rsidRDefault="00A50A73" w:rsidP="00241513">
            <w:pPr>
              <w:ind w:right="3"/>
              <w:contextualSpacing/>
              <w:jc w:val="center"/>
              <w:rPr>
                <w:rFonts w:cs="Times New Roman"/>
                <w:b/>
                <w:bCs/>
                <w:sz w:val="14"/>
                <w:szCs w:val="14"/>
              </w:rPr>
            </w:pPr>
          </w:p>
          <w:p w14:paraId="50290597" w14:textId="77777777" w:rsidR="00A50A73" w:rsidRPr="004C4FBD" w:rsidRDefault="00A50A73" w:rsidP="00241513">
            <w:pPr>
              <w:ind w:right="3"/>
              <w:contextualSpacing/>
              <w:jc w:val="center"/>
              <w:rPr>
                <w:rFonts w:cs="Times New Roman"/>
                <w:b/>
                <w:bCs/>
                <w:sz w:val="14"/>
                <w:szCs w:val="14"/>
              </w:rPr>
            </w:pPr>
          </w:p>
        </w:tc>
        <w:tc>
          <w:tcPr>
            <w:tcW w:w="365" w:type="pct"/>
            <w:vMerge w:val="restart"/>
            <w:tcBorders>
              <w:top w:val="single" w:sz="4" w:space="0" w:color="auto"/>
              <w:left w:val="single" w:sz="4" w:space="0" w:color="auto"/>
              <w:bottom w:val="single" w:sz="4" w:space="0" w:color="auto"/>
              <w:right w:val="single" w:sz="4" w:space="0" w:color="auto"/>
            </w:tcBorders>
            <w:vAlign w:val="center"/>
            <w:hideMark/>
          </w:tcPr>
          <w:p w14:paraId="50C85536" w14:textId="77777777" w:rsidR="00A50A73" w:rsidRPr="004C4FBD" w:rsidRDefault="00A50A73" w:rsidP="00241513">
            <w:pPr>
              <w:ind w:right="3"/>
              <w:contextualSpacing/>
              <w:jc w:val="center"/>
              <w:rPr>
                <w:sz w:val="14"/>
                <w:szCs w:val="14"/>
              </w:rPr>
            </w:pPr>
            <w:r w:rsidRPr="004C4FBD">
              <w:rPr>
                <w:sz w:val="14"/>
                <w:szCs w:val="14"/>
              </w:rPr>
              <w:t xml:space="preserve">Résultat de la décision : décrire la </w:t>
            </w:r>
            <w:r w:rsidRPr="004C4FBD">
              <w:rPr>
                <w:w w:val="105"/>
                <w:sz w:val="14"/>
                <w:szCs w:val="14"/>
              </w:rPr>
              <w:t>solution proposée par l'Office/ Autorités locales</w:t>
            </w:r>
          </w:p>
          <w:p w14:paraId="3079CCEA" w14:textId="77777777" w:rsidR="00A50A73" w:rsidRPr="004C4FBD" w:rsidRDefault="00A50A73" w:rsidP="00241513">
            <w:pPr>
              <w:ind w:right="3"/>
              <w:contextualSpacing/>
              <w:jc w:val="center"/>
              <w:rPr>
                <w:rFonts w:cs="Times New Roman"/>
                <w:b/>
                <w:bCs/>
                <w:sz w:val="14"/>
                <w:szCs w:val="14"/>
              </w:rPr>
            </w:pPr>
            <w:r w:rsidRPr="004C4FBD">
              <w:rPr>
                <w:sz w:val="14"/>
                <w:szCs w:val="14"/>
              </w:rPr>
              <w:t>(inclure les noms des participants et la date de la décision)</w:t>
            </w:r>
          </w:p>
        </w:tc>
        <w:tc>
          <w:tcPr>
            <w:tcW w:w="483" w:type="pct"/>
            <w:gridSpan w:val="2"/>
            <w:tcBorders>
              <w:top w:val="single" w:sz="4" w:space="0" w:color="auto"/>
              <w:left w:val="single" w:sz="4" w:space="0" w:color="auto"/>
              <w:bottom w:val="single" w:sz="4" w:space="0" w:color="auto"/>
              <w:right w:val="single" w:sz="4" w:space="0" w:color="auto"/>
            </w:tcBorders>
            <w:vAlign w:val="center"/>
            <w:hideMark/>
          </w:tcPr>
          <w:p w14:paraId="4BB6EDBF" w14:textId="4231A0CD" w:rsidR="00A50A73" w:rsidRPr="004C4FBD" w:rsidRDefault="00A50A73" w:rsidP="00241513">
            <w:pPr>
              <w:ind w:right="3"/>
              <w:contextualSpacing/>
              <w:jc w:val="center"/>
              <w:rPr>
                <w:rFonts w:cs="Times New Roman"/>
                <w:b/>
                <w:bCs/>
                <w:sz w:val="14"/>
                <w:szCs w:val="14"/>
              </w:rPr>
            </w:pPr>
            <w:r w:rsidRPr="004C4FBD">
              <w:rPr>
                <w:sz w:val="14"/>
                <w:szCs w:val="14"/>
              </w:rPr>
              <w:t>La décision a-t</w:t>
            </w:r>
            <w:r w:rsidR="00023853">
              <w:rPr>
                <w:sz w:val="14"/>
                <w:szCs w:val="14"/>
              </w:rPr>
              <w:t>-</w:t>
            </w:r>
            <w:r w:rsidRPr="004C4FBD">
              <w:rPr>
                <w:sz w:val="14"/>
                <w:szCs w:val="14"/>
              </w:rPr>
              <w:t xml:space="preserve">elle été communiquée au plaignant ? (O / N)                                 </w:t>
            </w:r>
            <w:r w:rsidRPr="004C4FBD">
              <w:rPr>
                <w:b/>
                <w:bCs/>
                <w:sz w:val="14"/>
                <w:szCs w:val="14"/>
              </w:rPr>
              <w:t>Si oui, indiquez quand, par qui et par quel moyen de communication</w:t>
            </w:r>
          </w:p>
        </w:tc>
        <w:tc>
          <w:tcPr>
            <w:tcW w:w="412" w:type="pct"/>
            <w:gridSpan w:val="2"/>
            <w:tcBorders>
              <w:top w:val="single" w:sz="4" w:space="0" w:color="auto"/>
              <w:left w:val="single" w:sz="4" w:space="0" w:color="auto"/>
              <w:bottom w:val="single" w:sz="4" w:space="0" w:color="auto"/>
              <w:right w:val="single" w:sz="4" w:space="0" w:color="auto"/>
            </w:tcBorders>
            <w:vAlign w:val="center"/>
            <w:hideMark/>
          </w:tcPr>
          <w:p w14:paraId="43CB8FD4" w14:textId="77777777" w:rsidR="00A50A73" w:rsidRPr="004C4FBD" w:rsidRDefault="00A50A73" w:rsidP="00241513">
            <w:pPr>
              <w:ind w:right="3"/>
              <w:contextualSpacing/>
              <w:jc w:val="center"/>
              <w:rPr>
                <w:sz w:val="14"/>
                <w:szCs w:val="14"/>
              </w:rPr>
            </w:pPr>
            <w:r w:rsidRPr="004C4FBD">
              <w:rPr>
                <w:sz w:val="14"/>
                <w:szCs w:val="14"/>
              </w:rPr>
              <w:t xml:space="preserve">Le plaignant était-il satisfait de la décision ? (O / N) </w:t>
            </w:r>
          </w:p>
          <w:p w14:paraId="735990E1" w14:textId="77777777" w:rsidR="00A50A73" w:rsidRPr="004C4FBD" w:rsidRDefault="00A50A73" w:rsidP="00241513">
            <w:pPr>
              <w:ind w:right="3"/>
              <w:contextualSpacing/>
              <w:jc w:val="center"/>
              <w:rPr>
                <w:sz w:val="14"/>
                <w:szCs w:val="14"/>
              </w:rPr>
            </w:pPr>
            <w:r w:rsidRPr="004C4FBD">
              <w:rPr>
                <w:sz w:val="14"/>
                <w:szCs w:val="14"/>
              </w:rPr>
              <w:t xml:space="preserve">Énoncez la décision. </w:t>
            </w:r>
          </w:p>
          <w:p w14:paraId="4E17F1E9" w14:textId="77777777" w:rsidR="00A50A73" w:rsidRPr="004C4FBD" w:rsidRDefault="00A50A73" w:rsidP="00241513">
            <w:pPr>
              <w:ind w:right="3"/>
              <w:contextualSpacing/>
              <w:jc w:val="center"/>
              <w:rPr>
                <w:rFonts w:cs="Times New Roman"/>
                <w:b/>
                <w:bCs/>
                <w:sz w:val="14"/>
                <w:szCs w:val="14"/>
              </w:rPr>
            </w:pPr>
            <w:r w:rsidRPr="004C4FBD">
              <w:rPr>
                <w:b/>
                <w:bCs/>
                <w:sz w:val="14"/>
                <w:szCs w:val="14"/>
              </w:rPr>
              <w:t>Si non, expliquez pourquoi et proposé à la négociation en fixant une date.</w:t>
            </w:r>
          </w:p>
        </w:tc>
        <w:tc>
          <w:tcPr>
            <w:tcW w:w="412" w:type="pct"/>
            <w:gridSpan w:val="2"/>
            <w:tcBorders>
              <w:top w:val="single" w:sz="4" w:space="0" w:color="auto"/>
              <w:left w:val="single" w:sz="4" w:space="0" w:color="auto"/>
              <w:bottom w:val="single" w:sz="4" w:space="0" w:color="auto"/>
              <w:right w:val="single" w:sz="4" w:space="0" w:color="auto"/>
            </w:tcBorders>
            <w:vAlign w:val="center"/>
            <w:hideMark/>
          </w:tcPr>
          <w:p w14:paraId="07A86053" w14:textId="77777777" w:rsidR="00A50A73" w:rsidRPr="004C4FBD" w:rsidRDefault="00A50A73" w:rsidP="00241513">
            <w:pPr>
              <w:ind w:right="3"/>
              <w:contextualSpacing/>
              <w:jc w:val="center"/>
              <w:rPr>
                <w:sz w:val="14"/>
                <w:szCs w:val="14"/>
              </w:rPr>
            </w:pPr>
            <w:r w:rsidRPr="004C4FBD">
              <w:rPr>
                <w:sz w:val="14"/>
                <w:szCs w:val="14"/>
              </w:rPr>
              <w:t xml:space="preserve">Négociation : Le plaignant était-il satisfait de la   négociation ? (O / N)  </w:t>
            </w:r>
          </w:p>
          <w:p w14:paraId="6183FA1C" w14:textId="77777777" w:rsidR="00A50A73" w:rsidRPr="004C4FBD" w:rsidRDefault="00A50A73" w:rsidP="00241513">
            <w:pPr>
              <w:ind w:right="3"/>
              <w:contextualSpacing/>
              <w:jc w:val="center"/>
              <w:rPr>
                <w:b/>
                <w:bCs/>
                <w:sz w:val="14"/>
                <w:szCs w:val="14"/>
              </w:rPr>
            </w:pPr>
            <w:r w:rsidRPr="004C4FBD">
              <w:rPr>
                <w:b/>
                <w:bCs/>
                <w:sz w:val="14"/>
                <w:szCs w:val="14"/>
              </w:rPr>
              <w:t xml:space="preserve">Si non, expliquez les procédures de recours en justice </w:t>
            </w:r>
          </w:p>
          <w:p w14:paraId="1F1EF996" w14:textId="77777777" w:rsidR="00A50A73" w:rsidRPr="004C4FBD" w:rsidRDefault="00A50A73" w:rsidP="00241513">
            <w:pPr>
              <w:ind w:right="3"/>
              <w:contextualSpacing/>
              <w:jc w:val="center"/>
              <w:rPr>
                <w:sz w:val="14"/>
                <w:szCs w:val="14"/>
              </w:rPr>
            </w:pPr>
            <w:r w:rsidRPr="004C4FBD">
              <w:rPr>
                <w:sz w:val="14"/>
                <w:szCs w:val="14"/>
              </w:rPr>
              <w:t>(inclure les noms des participants)</w:t>
            </w:r>
          </w:p>
        </w:tc>
        <w:tc>
          <w:tcPr>
            <w:tcW w:w="249" w:type="pct"/>
            <w:vMerge w:val="restart"/>
            <w:tcBorders>
              <w:top w:val="single" w:sz="4" w:space="0" w:color="auto"/>
              <w:left w:val="single" w:sz="4" w:space="0" w:color="auto"/>
              <w:bottom w:val="single" w:sz="4" w:space="0" w:color="auto"/>
              <w:right w:val="single" w:sz="4" w:space="0" w:color="auto"/>
            </w:tcBorders>
            <w:vAlign w:val="center"/>
            <w:hideMark/>
          </w:tcPr>
          <w:p w14:paraId="0259BB2D" w14:textId="77777777" w:rsidR="00A50A73" w:rsidRPr="004C4FBD" w:rsidRDefault="00A50A73" w:rsidP="00241513">
            <w:pPr>
              <w:ind w:right="3"/>
              <w:contextualSpacing/>
              <w:jc w:val="center"/>
              <w:rPr>
                <w:sz w:val="14"/>
                <w:szCs w:val="14"/>
              </w:rPr>
            </w:pPr>
            <w:r w:rsidRPr="004C4FBD">
              <w:rPr>
                <w:sz w:val="14"/>
                <w:szCs w:val="14"/>
              </w:rPr>
              <w:t>Une action de suivi (par qui, à quelle date)?</w:t>
            </w:r>
          </w:p>
        </w:tc>
        <w:tc>
          <w:tcPr>
            <w:tcW w:w="265" w:type="pct"/>
            <w:vMerge w:val="restart"/>
            <w:tcBorders>
              <w:top w:val="single" w:sz="4" w:space="0" w:color="auto"/>
              <w:left w:val="single" w:sz="4" w:space="0" w:color="auto"/>
              <w:bottom w:val="single" w:sz="4" w:space="0" w:color="auto"/>
              <w:right w:val="single" w:sz="4" w:space="0" w:color="auto"/>
            </w:tcBorders>
            <w:vAlign w:val="center"/>
            <w:hideMark/>
          </w:tcPr>
          <w:p w14:paraId="476E4BFE" w14:textId="77777777" w:rsidR="00A50A73" w:rsidRPr="004C4FBD" w:rsidRDefault="00A50A73" w:rsidP="00241513">
            <w:pPr>
              <w:ind w:right="3"/>
              <w:contextualSpacing/>
              <w:jc w:val="center"/>
              <w:rPr>
                <w:sz w:val="14"/>
                <w:szCs w:val="14"/>
              </w:rPr>
            </w:pPr>
            <w:r w:rsidRPr="004C4FBD">
              <w:rPr>
                <w:sz w:val="14"/>
                <w:szCs w:val="14"/>
              </w:rPr>
              <w:t>Date de clôture du dossier</w:t>
            </w:r>
          </w:p>
        </w:tc>
      </w:tr>
      <w:tr w:rsidR="00A50A73" w:rsidRPr="004C4FBD" w14:paraId="21A324DE" w14:textId="77777777" w:rsidTr="00241513">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4F072F2" w14:textId="77777777" w:rsidR="00A50A73" w:rsidRPr="004C4FBD" w:rsidRDefault="00A50A73" w:rsidP="00241513">
            <w:pPr>
              <w:spacing w:before="0" w:after="0" w:line="240" w:lineRule="auto"/>
              <w:jc w:val="left"/>
              <w:rPr>
                <w:rFonts w:cs="Times New Roman"/>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77657CD" w14:textId="77777777" w:rsidR="00A50A73" w:rsidRPr="004C4FBD" w:rsidRDefault="00A50A73" w:rsidP="00241513">
            <w:pPr>
              <w:spacing w:before="0" w:after="0" w:line="240" w:lineRule="auto"/>
              <w:jc w:val="left"/>
              <w:rPr>
                <w:rFonts w:cs="Times New Roman"/>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2131B8E" w14:textId="77777777" w:rsidR="00A50A73" w:rsidRPr="004C4FBD" w:rsidRDefault="00A50A73" w:rsidP="00241513">
            <w:pPr>
              <w:spacing w:before="0" w:after="0" w:line="240" w:lineRule="auto"/>
              <w:jc w:val="left"/>
              <w:rPr>
                <w:rFonts w:cs="Times New Roman"/>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214E663" w14:textId="77777777" w:rsidR="00A50A73" w:rsidRPr="004C4FBD" w:rsidRDefault="00A50A73" w:rsidP="00241513">
            <w:pPr>
              <w:spacing w:before="0" w:after="0" w:line="240" w:lineRule="auto"/>
              <w:jc w:val="left"/>
              <w:rPr>
                <w:rFonts w:cs="Times New Roman"/>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6D7289A" w14:textId="77777777" w:rsidR="00A50A73" w:rsidRPr="004C4FBD" w:rsidRDefault="00A50A73" w:rsidP="00241513">
            <w:pPr>
              <w:spacing w:before="0" w:after="0" w:line="240" w:lineRule="auto"/>
              <w:jc w:val="left"/>
              <w:rPr>
                <w:rFonts w:cs="Times New Roman"/>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73D5E1B" w14:textId="77777777" w:rsidR="00A50A73" w:rsidRPr="004C4FBD" w:rsidRDefault="00A50A73" w:rsidP="00241513">
            <w:pPr>
              <w:spacing w:before="0" w:after="0" w:line="240" w:lineRule="auto"/>
              <w:jc w:val="left"/>
              <w:rPr>
                <w:rFonts w:cs="Times New Roman"/>
                <w:b/>
                <w:bCs/>
                <w:sz w:val="14"/>
                <w:szCs w:val="14"/>
              </w:rPr>
            </w:pPr>
          </w:p>
        </w:tc>
        <w:tc>
          <w:tcPr>
            <w:tcW w:w="242" w:type="pct"/>
            <w:tcBorders>
              <w:top w:val="single" w:sz="4" w:space="0" w:color="auto"/>
              <w:left w:val="single" w:sz="4" w:space="0" w:color="auto"/>
              <w:bottom w:val="single" w:sz="4" w:space="0" w:color="auto"/>
              <w:right w:val="single" w:sz="4" w:space="0" w:color="auto"/>
            </w:tcBorders>
            <w:vAlign w:val="center"/>
            <w:hideMark/>
          </w:tcPr>
          <w:p w14:paraId="68501A8E" w14:textId="77777777" w:rsidR="00A50A73" w:rsidRPr="004C4FBD" w:rsidRDefault="00A50A73" w:rsidP="00241513">
            <w:pPr>
              <w:ind w:right="3"/>
              <w:contextualSpacing/>
              <w:jc w:val="center"/>
              <w:rPr>
                <w:sz w:val="16"/>
                <w:szCs w:val="18"/>
              </w:rPr>
            </w:pPr>
            <w:r w:rsidRPr="004C4FBD">
              <w:rPr>
                <w:sz w:val="16"/>
                <w:szCs w:val="18"/>
              </w:rPr>
              <w:t>Oui</w:t>
            </w:r>
          </w:p>
        </w:tc>
        <w:tc>
          <w:tcPr>
            <w:tcW w:w="241" w:type="pct"/>
            <w:tcBorders>
              <w:top w:val="single" w:sz="4" w:space="0" w:color="auto"/>
              <w:left w:val="single" w:sz="4" w:space="0" w:color="auto"/>
              <w:bottom w:val="single" w:sz="4" w:space="0" w:color="auto"/>
              <w:right w:val="single" w:sz="4" w:space="0" w:color="auto"/>
            </w:tcBorders>
            <w:vAlign w:val="center"/>
            <w:hideMark/>
          </w:tcPr>
          <w:p w14:paraId="6417B73D" w14:textId="77777777" w:rsidR="00A50A73" w:rsidRPr="004C4FBD" w:rsidRDefault="00A50A73" w:rsidP="00241513">
            <w:pPr>
              <w:ind w:right="3"/>
              <w:contextualSpacing/>
              <w:jc w:val="center"/>
              <w:rPr>
                <w:sz w:val="16"/>
                <w:szCs w:val="18"/>
              </w:rPr>
            </w:pPr>
            <w:r w:rsidRPr="004C4FBD">
              <w:rPr>
                <w:sz w:val="16"/>
                <w:szCs w:val="18"/>
              </w:rPr>
              <w:t>Non</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CDD9073" w14:textId="77777777" w:rsidR="00A50A73" w:rsidRPr="004C4FBD" w:rsidRDefault="00A50A73" w:rsidP="00241513">
            <w:pPr>
              <w:spacing w:before="0" w:after="0" w:line="240" w:lineRule="auto"/>
              <w:jc w:val="left"/>
              <w:rPr>
                <w:rFonts w:cs="Times New Roman"/>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AFB7E31" w14:textId="77777777" w:rsidR="00A50A73" w:rsidRPr="004C4FBD" w:rsidRDefault="00A50A73" w:rsidP="00241513">
            <w:pPr>
              <w:spacing w:before="0" w:after="0" w:line="240" w:lineRule="auto"/>
              <w:jc w:val="left"/>
              <w:rPr>
                <w:rFonts w:cs="Times New Roman"/>
                <w:b/>
                <w:bCs/>
                <w:sz w:val="14"/>
                <w:szCs w:val="14"/>
              </w:rPr>
            </w:pPr>
          </w:p>
        </w:tc>
        <w:tc>
          <w:tcPr>
            <w:tcW w:w="258" w:type="pct"/>
            <w:tcBorders>
              <w:top w:val="single" w:sz="4" w:space="0" w:color="auto"/>
              <w:left w:val="single" w:sz="4" w:space="0" w:color="auto"/>
              <w:bottom w:val="single" w:sz="4" w:space="0" w:color="auto"/>
              <w:right w:val="single" w:sz="4" w:space="0" w:color="auto"/>
            </w:tcBorders>
            <w:vAlign w:val="center"/>
            <w:hideMark/>
          </w:tcPr>
          <w:p w14:paraId="7D2505B9" w14:textId="77777777" w:rsidR="00A50A73" w:rsidRPr="004C4FBD" w:rsidRDefault="00A50A73" w:rsidP="00241513">
            <w:pPr>
              <w:ind w:right="3"/>
              <w:contextualSpacing/>
              <w:jc w:val="center"/>
              <w:rPr>
                <w:sz w:val="16"/>
                <w:szCs w:val="18"/>
              </w:rPr>
            </w:pPr>
            <w:r w:rsidRPr="004C4FBD">
              <w:rPr>
                <w:sz w:val="16"/>
                <w:szCs w:val="18"/>
              </w:rPr>
              <w:t>Oui</w:t>
            </w:r>
          </w:p>
        </w:tc>
        <w:tc>
          <w:tcPr>
            <w:tcW w:w="225" w:type="pct"/>
            <w:tcBorders>
              <w:top w:val="single" w:sz="4" w:space="0" w:color="auto"/>
              <w:left w:val="single" w:sz="4" w:space="0" w:color="auto"/>
              <w:bottom w:val="single" w:sz="4" w:space="0" w:color="auto"/>
              <w:right w:val="single" w:sz="4" w:space="0" w:color="auto"/>
            </w:tcBorders>
            <w:vAlign w:val="center"/>
            <w:hideMark/>
          </w:tcPr>
          <w:p w14:paraId="105987F1" w14:textId="77777777" w:rsidR="00A50A73" w:rsidRPr="004C4FBD" w:rsidRDefault="00A50A73" w:rsidP="00241513">
            <w:pPr>
              <w:ind w:right="3"/>
              <w:contextualSpacing/>
              <w:jc w:val="center"/>
              <w:rPr>
                <w:sz w:val="16"/>
                <w:szCs w:val="18"/>
              </w:rPr>
            </w:pPr>
            <w:r w:rsidRPr="004C4FBD">
              <w:rPr>
                <w:sz w:val="16"/>
                <w:szCs w:val="18"/>
              </w:rPr>
              <w:t>Non</w:t>
            </w:r>
          </w:p>
        </w:tc>
        <w:tc>
          <w:tcPr>
            <w:tcW w:w="198" w:type="pct"/>
            <w:tcBorders>
              <w:top w:val="single" w:sz="4" w:space="0" w:color="auto"/>
              <w:left w:val="single" w:sz="4" w:space="0" w:color="auto"/>
              <w:bottom w:val="single" w:sz="4" w:space="0" w:color="auto"/>
              <w:right w:val="single" w:sz="4" w:space="0" w:color="auto"/>
            </w:tcBorders>
            <w:vAlign w:val="center"/>
            <w:hideMark/>
          </w:tcPr>
          <w:p w14:paraId="55C0D43C" w14:textId="77777777" w:rsidR="00A50A73" w:rsidRPr="004C4FBD" w:rsidRDefault="00A50A73" w:rsidP="00241513">
            <w:pPr>
              <w:ind w:right="3"/>
              <w:contextualSpacing/>
              <w:jc w:val="center"/>
              <w:rPr>
                <w:sz w:val="16"/>
                <w:szCs w:val="18"/>
              </w:rPr>
            </w:pPr>
            <w:r w:rsidRPr="004C4FBD">
              <w:rPr>
                <w:sz w:val="16"/>
                <w:szCs w:val="18"/>
              </w:rPr>
              <w:t>Oui</w:t>
            </w:r>
          </w:p>
        </w:tc>
        <w:tc>
          <w:tcPr>
            <w:tcW w:w="214" w:type="pct"/>
            <w:tcBorders>
              <w:top w:val="single" w:sz="4" w:space="0" w:color="auto"/>
              <w:left w:val="single" w:sz="4" w:space="0" w:color="auto"/>
              <w:bottom w:val="single" w:sz="4" w:space="0" w:color="auto"/>
              <w:right w:val="single" w:sz="4" w:space="0" w:color="auto"/>
            </w:tcBorders>
            <w:vAlign w:val="center"/>
            <w:hideMark/>
          </w:tcPr>
          <w:p w14:paraId="619AD7AA" w14:textId="77777777" w:rsidR="00A50A73" w:rsidRPr="004C4FBD" w:rsidRDefault="00A50A73" w:rsidP="00241513">
            <w:pPr>
              <w:ind w:right="3"/>
              <w:contextualSpacing/>
              <w:jc w:val="center"/>
              <w:rPr>
                <w:sz w:val="16"/>
                <w:szCs w:val="18"/>
              </w:rPr>
            </w:pPr>
            <w:r w:rsidRPr="004C4FBD">
              <w:rPr>
                <w:sz w:val="16"/>
                <w:szCs w:val="18"/>
              </w:rPr>
              <w:t>Non</w:t>
            </w:r>
          </w:p>
        </w:tc>
        <w:tc>
          <w:tcPr>
            <w:tcW w:w="198" w:type="pct"/>
            <w:tcBorders>
              <w:top w:val="single" w:sz="4" w:space="0" w:color="auto"/>
              <w:left w:val="single" w:sz="4" w:space="0" w:color="auto"/>
              <w:bottom w:val="single" w:sz="4" w:space="0" w:color="auto"/>
              <w:right w:val="single" w:sz="4" w:space="0" w:color="auto"/>
            </w:tcBorders>
            <w:vAlign w:val="center"/>
            <w:hideMark/>
          </w:tcPr>
          <w:p w14:paraId="0C5074BF" w14:textId="77777777" w:rsidR="00A50A73" w:rsidRPr="004C4FBD" w:rsidRDefault="00A50A73" w:rsidP="00241513">
            <w:pPr>
              <w:ind w:right="3"/>
              <w:contextualSpacing/>
              <w:jc w:val="center"/>
              <w:rPr>
                <w:sz w:val="16"/>
                <w:szCs w:val="18"/>
              </w:rPr>
            </w:pPr>
            <w:r w:rsidRPr="004C4FBD">
              <w:rPr>
                <w:sz w:val="16"/>
                <w:szCs w:val="18"/>
              </w:rPr>
              <w:t>Oui</w:t>
            </w:r>
          </w:p>
        </w:tc>
        <w:tc>
          <w:tcPr>
            <w:tcW w:w="214" w:type="pct"/>
            <w:tcBorders>
              <w:top w:val="single" w:sz="4" w:space="0" w:color="auto"/>
              <w:left w:val="single" w:sz="4" w:space="0" w:color="auto"/>
              <w:bottom w:val="single" w:sz="4" w:space="0" w:color="auto"/>
              <w:right w:val="single" w:sz="4" w:space="0" w:color="auto"/>
            </w:tcBorders>
            <w:vAlign w:val="center"/>
            <w:hideMark/>
          </w:tcPr>
          <w:p w14:paraId="059B6AA7" w14:textId="77777777" w:rsidR="00A50A73" w:rsidRPr="004C4FBD" w:rsidRDefault="00A50A73" w:rsidP="00241513">
            <w:pPr>
              <w:ind w:right="3"/>
              <w:contextualSpacing/>
              <w:jc w:val="center"/>
              <w:rPr>
                <w:sz w:val="16"/>
                <w:szCs w:val="18"/>
              </w:rPr>
            </w:pPr>
            <w:r w:rsidRPr="004C4FBD">
              <w:rPr>
                <w:sz w:val="16"/>
                <w:szCs w:val="18"/>
              </w:rPr>
              <w:t>Non</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657430A" w14:textId="77777777" w:rsidR="00A50A73" w:rsidRPr="004C4FBD" w:rsidRDefault="00A50A73" w:rsidP="00241513">
            <w:pPr>
              <w:spacing w:before="0" w:after="0" w:line="240" w:lineRule="auto"/>
              <w:jc w:val="left"/>
              <w:rPr>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CB39D37" w14:textId="77777777" w:rsidR="00A50A73" w:rsidRPr="004C4FBD" w:rsidRDefault="00A50A73" w:rsidP="00241513">
            <w:pPr>
              <w:spacing w:before="0" w:after="0" w:line="240" w:lineRule="auto"/>
              <w:jc w:val="left"/>
              <w:rPr>
                <w:sz w:val="14"/>
                <w:szCs w:val="14"/>
              </w:rPr>
            </w:pPr>
          </w:p>
        </w:tc>
      </w:tr>
      <w:tr w:rsidR="00A50A73" w:rsidRPr="004C4FBD" w14:paraId="5F67C13D" w14:textId="77777777" w:rsidTr="00241513">
        <w:trPr>
          <w:jc w:val="center"/>
        </w:trPr>
        <w:tc>
          <w:tcPr>
            <w:tcW w:w="312" w:type="pct"/>
            <w:tcBorders>
              <w:top w:val="single" w:sz="4" w:space="0" w:color="auto"/>
              <w:left w:val="single" w:sz="4" w:space="0" w:color="auto"/>
              <w:bottom w:val="single" w:sz="4" w:space="0" w:color="auto"/>
              <w:right w:val="single" w:sz="4" w:space="0" w:color="auto"/>
            </w:tcBorders>
          </w:tcPr>
          <w:p w14:paraId="0ACA22FB" w14:textId="77777777" w:rsidR="00A50A73" w:rsidRPr="004C4FBD" w:rsidRDefault="00A50A73" w:rsidP="00241513">
            <w:pPr>
              <w:ind w:right="3"/>
              <w:contextualSpacing/>
              <w:jc w:val="center"/>
              <w:rPr>
                <w:b/>
                <w:bCs/>
                <w:szCs w:val="24"/>
              </w:rPr>
            </w:pPr>
          </w:p>
        </w:tc>
        <w:tc>
          <w:tcPr>
            <w:tcW w:w="317" w:type="pct"/>
            <w:tcBorders>
              <w:top w:val="single" w:sz="4" w:space="0" w:color="auto"/>
              <w:left w:val="single" w:sz="4" w:space="0" w:color="auto"/>
              <w:bottom w:val="single" w:sz="4" w:space="0" w:color="auto"/>
              <w:right w:val="single" w:sz="4" w:space="0" w:color="auto"/>
            </w:tcBorders>
          </w:tcPr>
          <w:p w14:paraId="07ACB1DB" w14:textId="77777777" w:rsidR="00A50A73" w:rsidRPr="004C4FBD" w:rsidRDefault="00A50A73" w:rsidP="00241513">
            <w:pPr>
              <w:ind w:right="3"/>
              <w:contextualSpacing/>
              <w:jc w:val="center"/>
              <w:rPr>
                <w:b/>
                <w:bCs/>
                <w:szCs w:val="24"/>
              </w:rPr>
            </w:pPr>
          </w:p>
        </w:tc>
        <w:tc>
          <w:tcPr>
            <w:tcW w:w="314" w:type="pct"/>
            <w:tcBorders>
              <w:top w:val="single" w:sz="4" w:space="0" w:color="auto"/>
              <w:left w:val="single" w:sz="4" w:space="0" w:color="auto"/>
              <w:bottom w:val="single" w:sz="4" w:space="0" w:color="auto"/>
              <w:right w:val="single" w:sz="4" w:space="0" w:color="auto"/>
            </w:tcBorders>
          </w:tcPr>
          <w:p w14:paraId="072FDAA8" w14:textId="77777777" w:rsidR="00A50A73" w:rsidRPr="004C4FBD" w:rsidRDefault="00A50A73" w:rsidP="00241513">
            <w:pPr>
              <w:ind w:right="3"/>
              <w:contextualSpacing/>
              <w:jc w:val="center"/>
              <w:rPr>
                <w:b/>
                <w:bCs/>
                <w:szCs w:val="24"/>
              </w:rPr>
            </w:pPr>
          </w:p>
        </w:tc>
        <w:tc>
          <w:tcPr>
            <w:tcW w:w="317" w:type="pct"/>
            <w:tcBorders>
              <w:top w:val="single" w:sz="4" w:space="0" w:color="auto"/>
              <w:left w:val="single" w:sz="4" w:space="0" w:color="auto"/>
              <w:bottom w:val="single" w:sz="4" w:space="0" w:color="auto"/>
              <w:right w:val="single" w:sz="4" w:space="0" w:color="auto"/>
            </w:tcBorders>
          </w:tcPr>
          <w:p w14:paraId="51E40611" w14:textId="77777777" w:rsidR="00A50A73" w:rsidRPr="004C4FBD" w:rsidRDefault="00A50A73" w:rsidP="00241513">
            <w:pPr>
              <w:ind w:right="3"/>
              <w:contextualSpacing/>
              <w:jc w:val="center"/>
              <w:rPr>
                <w:b/>
                <w:bCs/>
                <w:szCs w:val="24"/>
              </w:rPr>
            </w:pPr>
          </w:p>
        </w:tc>
        <w:tc>
          <w:tcPr>
            <w:tcW w:w="312" w:type="pct"/>
            <w:tcBorders>
              <w:top w:val="single" w:sz="4" w:space="0" w:color="auto"/>
              <w:left w:val="single" w:sz="4" w:space="0" w:color="auto"/>
              <w:bottom w:val="single" w:sz="4" w:space="0" w:color="auto"/>
              <w:right w:val="single" w:sz="4" w:space="0" w:color="auto"/>
            </w:tcBorders>
          </w:tcPr>
          <w:p w14:paraId="33C9AC5E" w14:textId="77777777" w:rsidR="00A50A73" w:rsidRPr="004C4FBD" w:rsidRDefault="00A50A73" w:rsidP="00241513">
            <w:pPr>
              <w:ind w:right="3"/>
              <w:contextualSpacing/>
              <w:jc w:val="center"/>
              <w:rPr>
                <w:b/>
                <w:bCs/>
                <w:szCs w:val="24"/>
              </w:rPr>
            </w:pPr>
          </w:p>
        </w:tc>
        <w:tc>
          <w:tcPr>
            <w:tcW w:w="470" w:type="pct"/>
            <w:tcBorders>
              <w:top w:val="single" w:sz="4" w:space="0" w:color="auto"/>
              <w:left w:val="single" w:sz="4" w:space="0" w:color="auto"/>
              <w:bottom w:val="single" w:sz="4" w:space="0" w:color="auto"/>
              <w:right w:val="single" w:sz="4" w:space="0" w:color="auto"/>
            </w:tcBorders>
          </w:tcPr>
          <w:p w14:paraId="5AE66518" w14:textId="77777777" w:rsidR="00A50A73" w:rsidRPr="004C4FBD" w:rsidRDefault="00A50A73" w:rsidP="00241513">
            <w:pPr>
              <w:ind w:right="3"/>
              <w:contextualSpacing/>
              <w:jc w:val="center"/>
              <w:rPr>
                <w:b/>
                <w:bCs/>
                <w:szCs w:val="24"/>
              </w:rPr>
            </w:pPr>
          </w:p>
        </w:tc>
        <w:tc>
          <w:tcPr>
            <w:tcW w:w="242" w:type="pct"/>
            <w:tcBorders>
              <w:top w:val="single" w:sz="4" w:space="0" w:color="auto"/>
              <w:left w:val="single" w:sz="4" w:space="0" w:color="auto"/>
              <w:bottom w:val="single" w:sz="4" w:space="0" w:color="auto"/>
              <w:right w:val="single" w:sz="4" w:space="0" w:color="auto"/>
            </w:tcBorders>
          </w:tcPr>
          <w:p w14:paraId="53C1267B" w14:textId="77777777" w:rsidR="00A50A73" w:rsidRPr="004C4FBD" w:rsidRDefault="00A50A73" w:rsidP="00241513">
            <w:pPr>
              <w:ind w:right="3"/>
              <w:contextualSpacing/>
              <w:jc w:val="center"/>
              <w:rPr>
                <w:b/>
                <w:bCs/>
                <w:szCs w:val="24"/>
              </w:rPr>
            </w:pPr>
          </w:p>
        </w:tc>
        <w:tc>
          <w:tcPr>
            <w:tcW w:w="241" w:type="pct"/>
            <w:tcBorders>
              <w:top w:val="single" w:sz="4" w:space="0" w:color="auto"/>
              <w:left w:val="single" w:sz="4" w:space="0" w:color="auto"/>
              <w:bottom w:val="single" w:sz="4" w:space="0" w:color="auto"/>
              <w:right w:val="single" w:sz="4" w:space="0" w:color="auto"/>
            </w:tcBorders>
          </w:tcPr>
          <w:p w14:paraId="33EE1194" w14:textId="77777777" w:rsidR="00A50A73" w:rsidRPr="004C4FBD" w:rsidRDefault="00A50A73" w:rsidP="00241513">
            <w:pPr>
              <w:ind w:right="3"/>
              <w:contextualSpacing/>
              <w:jc w:val="center"/>
              <w:rPr>
                <w:b/>
                <w:bCs/>
                <w:szCs w:val="24"/>
              </w:rPr>
            </w:pPr>
          </w:p>
        </w:tc>
        <w:tc>
          <w:tcPr>
            <w:tcW w:w="288" w:type="pct"/>
            <w:tcBorders>
              <w:top w:val="single" w:sz="4" w:space="0" w:color="auto"/>
              <w:left w:val="single" w:sz="4" w:space="0" w:color="auto"/>
              <w:bottom w:val="single" w:sz="4" w:space="0" w:color="auto"/>
              <w:right w:val="single" w:sz="4" w:space="0" w:color="auto"/>
            </w:tcBorders>
          </w:tcPr>
          <w:p w14:paraId="4F252CE3" w14:textId="77777777" w:rsidR="00A50A73" w:rsidRPr="004C4FBD" w:rsidRDefault="00A50A73" w:rsidP="00241513">
            <w:pPr>
              <w:ind w:right="3"/>
              <w:contextualSpacing/>
              <w:jc w:val="center"/>
              <w:rPr>
                <w:b/>
                <w:bCs/>
                <w:szCs w:val="24"/>
              </w:rPr>
            </w:pPr>
          </w:p>
        </w:tc>
        <w:tc>
          <w:tcPr>
            <w:tcW w:w="365" w:type="pct"/>
            <w:tcBorders>
              <w:top w:val="single" w:sz="4" w:space="0" w:color="auto"/>
              <w:left w:val="single" w:sz="4" w:space="0" w:color="auto"/>
              <w:bottom w:val="single" w:sz="4" w:space="0" w:color="auto"/>
              <w:right w:val="single" w:sz="4" w:space="0" w:color="auto"/>
            </w:tcBorders>
          </w:tcPr>
          <w:p w14:paraId="6037DD4D" w14:textId="77777777" w:rsidR="00A50A73" w:rsidRPr="004C4FBD" w:rsidRDefault="00A50A73" w:rsidP="00241513">
            <w:pPr>
              <w:ind w:right="3"/>
              <w:contextualSpacing/>
              <w:jc w:val="center"/>
              <w:rPr>
                <w:b/>
                <w:bCs/>
                <w:szCs w:val="24"/>
              </w:rPr>
            </w:pPr>
          </w:p>
        </w:tc>
        <w:tc>
          <w:tcPr>
            <w:tcW w:w="258" w:type="pct"/>
            <w:tcBorders>
              <w:top w:val="single" w:sz="4" w:space="0" w:color="auto"/>
              <w:left w:val="single" w:sz="4" w:space="0" w:color="auto"/>
              <w:bottom w:val="single" w:sz="4" w:space="0" w:color="auto"/>
              <w:right w:val="single" w:sz="4" w:space="0" w:color="auto"/>
            </w:tcBorders>
          </w:tcPr>
          <w:p w14:paraId="5A31AED5" w14:textId="77777777" w:rsidR="00A50A73" w:rsidRPr="004C4FBD" w:rsidRDefault="00A50A73" w:rsidP="00241513">
            <w:pPr>
              <w:ind w:right="3"/>
              <w:contextualSpacing/>
              <w:jc w:val="center"/>
              <w:rPr>
                <w:b/>
                <w:bCs/>
                <w:szCs w:val="24"/>
              </w:rPr>
            </w:pPr>
          </w:p>
        </w:tc>
        <w:tc>
          <w:tcPr>
            <w:tcW w:w="225" w:type="pct"/>
            <w:tcBorders>
              <w:top w:val="single" w:sz="4" w:space="0" w:color="auto"/>
              <w:left w:val="single" w:sz="4" w:space="0" w:color="auto"/>
              <w:bottom w:val="single" w:sz="4" w:space="0" w:color="auto"/>
              <w:right w:val="single" w:sz="4" w:space="0" w:color="auto"/>
            </w:tcBorders>
          </w:tcPr>
          <w:p w14:paraId="3F0D15BE" w14:textId="77777777" w:rsidR="00A50A73" w:rsidRPr="004C4FBD" w:rsidRDefault="00A50A73" w:rsidP="00241513">
            <w:pPr>
              <w:ind w:right="3"/>
              <w:contextualSpacing/>
              <w:jc w:val="center"/>
              <w:rPr>
                <w:b/>
                <w:bCs/>
                <w:szCs w:val="24"/>
              </w:rPr>
            </w:pPr>
          </w:p>
        </w:tc>
        <w:tc>
          <w:tcPr>
            <w:tcW w:w="198" w:type="pct"/>
            <w:tcBorders>
              <w:top w:val="single" w:sz="4" w:space="0" w:color="auto"/>
              <w:left w:val="single" w:sz="4" w:space="0" w:color="auto"/>
              <w:bottom w:val="single" w:sz="4" w:space="0" w:color="auto"/>
              <w:right w:val="single" w:sz="4" w:space="0" w:color="auto"/>
            </w:tcBorders>
          </w:tcPr>
          <w:p w14:paraId="7407F73B" w14:textId="77777777" w:rsidR="00A50A73" w:rsidRPr="004C4FBD" w:rsidRDefault="00A50A73" w:rsidP="00241513">
            <w:pPr>
              <w:ind w:right="3"/>
              <w:contextualSpacing/>
              <w:jc w:val="center"/>
              <w:rPr>
                <w:b/>
                <w:bCs/>
                <w:szCs w:val="24"/>
              </w:rPr>
            </w:pPr>
          </w:p>
        </w:tc>
        <w:tc>
          <w:tcPr>
            <w:tcW w:w="214" w:type="pct"/>
            <w:tcBorders>
              <w:top w:val="single" w:sz="4" w:space="0" w:color="auto"/>
              <w:left w:val="single" w:sz="4" w:space="0" w:color="auto"/>
              <w:bottom w:val="single" w:sz="4" w:space="0" w:color="auto"/>
              <w:right w:val="single" w:sz="4" w:space="0" w:color="auto"/>
            </w:tcBorders>
          </w:tcPr>
          <w:p w14:paraId="70A49122" w14:textId="77777777" w:rsidR="00A50A73" w:rsidRPr="004C4FBD" w:rsidRDefault="00A50A73" w:rsidP="00241513">
            <w:pPr>
              <w:ind w:right="3"/>
              <w:contextualSpacing/>
              <w:jc w:val="center"/>
              <w:rPr>
                <w:b/>
                <w:bCs/>
                <w:szCs w:val="24"/>
              </w:rPr>
            </w:pPr>
          </w:p>
        </w:tc>
        <w:tc>
          <w:tcPr>
            <w:tcW w:w="198" w:type="pct"/>
            <w:tcBorders>
              <w:top w:val="single" w:sz="4" w:space="0" w:color="auto"/>
              <w:left w:val="single" w:sz="4" w:space="0" w:color="auto"/>
              <w:bottom w:val="single" w:sz="4" w:space="0" w:color="auto"/>
              <w:right w:val="single" w:sz="4" w:space="0" w:color="auto"/>
            </w:tcBorders>
          </w:tcPr>
          <w:p w14:paraId="7460CB8C" w14:textId="77777777" w:rsidR="00A50A73" w:rsidRPr="004C4FBD" w:rsidRDefault="00A50A73" w:rsidP="00241513">
            <w:pPr>
              <w:ind w:right="3"/>
              <w:contextualSpacing/>
              <w:jc w:val="center"/>
              <w:rPr>
                <w:b/>
                <w:bCs/>
                <w:szCs w:val="24"/>
              </w:rPr>
            </w:pPr>
          </w:p>
        </w:tc>
        <w:tc>
          <w:tcPr>
            <w:tcW w:w="214" w:type="pct"/>
            <w:tcBorders>
              <w:top w:val="single" w:sz="4" w:space="0" w:color="auto"/>
              <w:left w:val="single" w:sz="4" w:space="0" w:color="auto"/>
              <w:bottom w:val="single" w:sz="4" w:space="0" w:color="auto"/>
              <w:right w:val="single" w:sz="4" w:space="0" w:color="auto"/>
            </w:tcBorders>
          </w:tcPr>
          <w:p w14:paraId="406D9FFD" w14:textId="77777777" w:rsidR="00A50A73" w:rsidRPr="004C4FBD" w:rsidRDefault="00A50A73" w:rsidP="00241513">
            <w:pPr>
              <w:ind w:right="3"/>
              <w:contextualSpacing/>
              <w:jc w:val="center"/>
              <w:rPr>
                <w:b/>
                <w:bCs/>
                <w:szCs w:val="24"/>
              </w:rPr>
            </w:pPr>
          </w:p>
        </w:tc>
        <w:tc>
          <w:tcPr>
            <w:tcW w:w="249" w:type="pct"/>
            <w:tcBorders>
              <w:top w:val="single" w:sz="4" w:space="0" w:color="auto"/>
              <w:left w:val="single" w:sz="4" w:space="0" w:color="auto"/>
              <w:bottom w:val="single" w:sz="4" w:space="0" w:color="auto"/>
              <w:right w:val="single" w:sz="4" w:space="0" w:color="auto"/>
            </w:tcBorders>
          </w:tcPr>
          <w:p w14:paraId="489F7691" w14:textId="77777777" w:rsidR="00A50A73" w:rsidRPr="004C4FBD" w:rsidRDefault="00A50A73" w:rsidP="00241513">
            <w:pPr>
              <w:ind w:right="3"/>
              <w:contextualSpacing/>
              <w:jc w:val="center"/>
              <w:rPr>
                <w:b/>
                <w:bCs/>
                <w:szCs w:val="24"/>
              </w:rPr>
            </w:pPr>
          </w:p>
        </w:tc>
        <w:tc>
          <w:tcPr>
            <w:tcW w:w="265" w:type="pct"/>
            <w:tcBorders>
              <w:top w:val="single" w:sz="4" w:space="0" w:color="auto"/>
              <w:left w:val="single" w:sz="4" w:space="0" w:color="auto"/>
              <w:bottom w:val="single" w:sz="4" w:space="0" w:color="auto"/>
              <w:right w:val="single" w:sz="4" w:space="0" w:color="auto"/>
            </w:tcBorders>
          </w:tcPr>
          <w:p w14:paraId="2894615C" w14:textId="77777777" w:rsidR="00A50A73" w:rsidRPr="004C4FBD" w:rsidRDefault="00A50A73" w:rsidP="00241513">
            <w:pPr>
              <w:ind w:right="3"/>
              <w:contextualSpacing/>
              <w:jc w:val="center"/>
              <w:rPr>
                <w:b/>
                <w:bCs/>
                <w:szCs w:val="24"/>
              </w:rPr>
            </w:pPr>
          </w:p>
        </w:tc>
      </w:tr>
      <w:tr w:rsidR="00A50A73" w:rsidRPr="004C4FBD" w14:paraId="146C8DE3" w14:textId="77777777" w:rsidTr="00241513">
        <w:trPr>
          <w:jc w:val="center"/>
        </w:trPr>
        <w:tc>
          <w:tcPr>
            <w:tcW w:w="312" w:type="pct"/>
            <w:tcBorders>
              <w:top w:val="single" w:sz="4" w:space="0" w:color="auto"/>
              <w:left w:val="single" w:sz="4" w:space="0" w:color="auto"/>
              <w:bottom w:val="single" w:sz="4" w:space="0" w:color="auto"/>
              <w:right w:val="single" w:sz="4" w:space="0" w:color="auto"/>
            </w:tcBorders>
          </w:tcPr>
          <w:p w14:paraId="2A6D318E" w14:textId="77777777" w:rsidR="00A50A73" w:rsidRPr="004C4FBD" w:rsidRDefault="00A50A73" w:rsidP="00241513">
            <w:pPr>
              <w:ind w:right="3"/>
              <w:contextualSpacing/>
              <w:jc w:val="center"/>
              <w:rPr>
                <w:b/>
                <w:bCs/>
                <w:szCs w:val="24"/>
              </w:rPr>
            </w:pPr>
          </w:p>
        </w:tc>
        <w:tc>
          <w:tcPr>
            <w:tcW w:w="317" w:type="pct"/>
            <w:tcBorders>
              <w:top w:val="single" w:sz="4" w:space="0" w:color="auto"/>
              <w:left w:val="single" w:sz="4" w:space="0" w:color="auto"/>
              <w:bottom w:val="single" w:sz="4" w:space="0" w:color="auto"/>
              <w:right w:val="single" w:sz="4" w:space="0" w:color="auto"/>
            </w:tcBorders>
          </w:tcPr>
          <w:p w14:paraId="3A12D9BF" w14:textId="77777777" w:rsidR="00A50A73" w:rsidRPr="004C4FBD" w:rsidRDefault="00A50A73" w:rsidP="00241513">
            <w:pPr>
              <w:ind w:right="3"/>
              <w:contextualSpacing/>
              <w:jc w:val="center"/>
              <w:rPr>
                <w:b/>
                <w:bCs/>
                <w:szCs w:val="24"/>
              </w:rPr>
            </w:pPr>
          </w:p>
        </w:tc>
        <w:tc>
          <w:tcPr>
            <w:tcW w:w="314" w:type="pct"/>
            <w:tcBorders>
              <w:top w:val="single" w:sz="4" w:space="0" w:color="auto"/>
              <w:left w:val="single" w:sz="4" w:space="0" w:color="auto"/>
              <w:bottom w:val="single" w:sz="4" w:space="0" w:color="auto"/>
              <w:right w:val="single" w:sz="4" w:space="0" w:color="auto"/>
            </w:tcBorders>
          </w:tcPr>
          <w:p w14:paraId="003840F8" w14:textId="77777777" w:rsidR="00A50A73" w:rsidRPr="004C4FBD" w:rsidRDefault="00A50A73" w:rsidP="00241513">
            <w:pPr>
              <w:ind w:right="3"/>
              <w:contextualSpacing/>
              <w:jc w:val="center"/>
              <w:rPr>
                <w:b/>
                <w:bCs/>
                <w:szCs w:val="24"/>
              </w:rPr>
            </w:pPr>
          </w:p>
        </w:tc>
        <w:tc>
          <w:tcPr>
            <w:tcW w:w="317" w:type="pct"/>
            <w:tcBorders>
              <w:top w:val="single" w:sz="4" w:space="0" w:color="auto"/>
              <w:left w:val="single" w:sz="4" w:space="0" w:color="auto"/>
              <w:bottom w:val="single" w:sz="4" w:space="0" w:color="auto"/>
              <w:right w:val="single" w:sz="4" w:space="0" w:color="auto"/>
            </w:tcBorders>
          </w:tcPr>
          <w:p w14:paraId="09210FA3" w14:textId="77777777" w:rsidR="00A50A73" w:rsidRPr="004C4FBD" w:rsidRDefault="00A50A73" w:rsidP="00241513">
            <w:pPr>
              <w:ind w:right="3"/>
              <w:contextualSpacing/>
              <w:jc w:val="center"/>
              <w:rPr>
                <w:b/>
                <w:bCs/>
                <w:szCs w:val="24"/>
              </w:rPr>
            </w:pPr>
          </w:p>
        </w:tc>
        <w:tc>
          <w:tcPr>
            <w:tcW w:w="312" w:type="pct"/>
            <w:tcBorders>
              <w:top w:val="single" w:sz="4" w:space="0" w:color="auto"/>
              <w:left w:val="single" w:sz="4" w:space="0" w:color="auto"/>
              <w:bottom w:val="single" w:sz="4" w:space="0" w:color="auto"/>
              <w:right w:val="single" w:sz="4" w:space="0" w:color="auto"/>
            </w:tcBorders>
          </w:tcPr>
          <w:p w14:paraId="546193C4" w14:textId="77777777" w:rsidR="00A50A73" w:rsidRPr="004C4FBD" w:rsidRDefault="00A50A73" w:rsidP="00241513">
            <w:pPr>
              <w:ind w:right="3"/>
              <w:contextualSpacing/>
              <w:jc w:val="center"/>
              <w:rPr>
                <w:b/>
                <w:bCs/>
                <w:szCs w:val="24"/>
              </w:rPr>
            </w:pPr>
          </w:p>
        </w:tc>
        <w:tc>
          <w:tcPr>
            <w:tcW w:w="470" w:type="pct"/>
            <w:tcBorders>
              <w:top w:val="single" w:sz="4" w:space="0" w:color="auto"/>
              <w:left w:val="single" w:sz="4" w:space="0" w:color="auto"/>
              <w:bottom w:val="single" w:sz="4" w:space="0" w:color="auto"/>
              <w:right w:val="single" w:sz="4" w:space="0" w:color="auto"/>
            </w:tcBorders>
          </w:tcPr>
          <w:p w14:paraId="3E6EAD38" w14:textId="77777777" w:rsidR="00A50A73" w:rsidRPr="004C4FBD" w:rsidRDefault="00A50A73" w:rsidP="00241513">
            <w:pPr>
              <w:ind w:right="3"/>
              <w:contextualSpacing/>
              <w:jc w:val="center"/>
              <w:rPr>
                <w:b/>
                <w:bCs/>
                <w:szCs w:val="24"/>
              </w:rPr>
            </w:pPr>
          </w:p>
        </w:tc>
        <w:tc>
          <w:tcPr>
            <w:tcW w:w="242" w:type="pct"/>
            <w:tcBorders>
              <w:top w:val="single" w:sz="4" w:space="0" w:color="auto"/>
              <w:left w:val="single" w:sz="4" w:space="0" w:color="auto"/>
              <w:bottom w:val="single" w:sz="4" w:space="0" w:color="auto"/>
              <w:right w:val="single" w:sz="4" w:space="0" w:color="auto"/>
            </w:tcBorders>
          </w:tcPr>
          <w:p w14:paraId="36F824E5" w14:textId="77777777" w:rsidR="00A50A73" w:rsidRPr="004C4FBD" w:rsidRDefault="00A50A73" w:rsidP="00241513">
            <w:pPr>
              <w:ind w:right="3"/>
              <w:contextualSpacing/>
              <w:jc w:val="center"/>
              <w:rPr>
                <w:b/>
                <w:bCs/>
                <w:szCs w:val="24"/>
              </w:rPr>
            </w:pPr>
          </w:p>
        </w:tc>
        <w:tc>
          <w:tcPr>
            <w:tcW w:w="241" w:type="pct"/>
            <w:tcBorders>
              <w:top w:val="single" w:sz="4" w:space="0" w:color="auto"/>
              <w:left w:val="single" w:sz="4" w:space="0" w:color="auto"/>
              <w:bottom w:val="single" w:sz="4" w:space="0" w:color="auto"/>
              <w:right w:val="single" w:sz="4" w:space="0" w:color="auto"/>
            </w:tcBorders>
          </w:tcPr>
          <w:p w14:paraId="68AC4014" w14:textId="77777777" w:rsidR="00A50A73" w:rsidRPr="004C4FBD" w:rsidRDefault="00A50A73" w:rsidP="00241513">
            <w:pPr>
              <w:ind w:right="3"/>
              <w:contextualSpacing/>
              <w:jc w:val="center"/>
              <w:rPr>
                <w:b/>
                <w:bCs/>
                <w:szCs w:val="24"/>
              </w:rPr>
            </w:pPr>
          </w:p>
        </w:tc>
        <w:tc>
          <w:tcPr>
            <w:tcW w:w="288" w:type="pct"/>
            <w:tcBorders>
              <w:top w:val="single" w:sz="4" w:space="0" w:color="auto"/>
              <w:left w:val="single" w:sz="4" w:space="0" w:color="auto"/>
              <w:bottom w:val="single" w:sz="4" w:space="0" w:color="auto"/>
              <w:right w:val="single" w:sz="4" w:space="0" w:color="auto"/>
            </w:tcBorders>
          </w:tcPr>
          <w:p w14:paraId="332325C5" w14:textId="77777777" w:rsidR="00A50A73" w:rsidRPr="004C4FBD" w:rsidRDefault="00A50A73" w:rsidP="00241513">
            <w:pPr>
              <w:ind w:right="3"/>
              <w:contextualSpacing/>
              <w:jc w:val="center"/>
              <w:rPr>
                <w:b/>
                <w:bCs/>
                <w:szCs w:val="24"/>
              </w:rPr>
            </w:pPr>
          </w:p>
        </w:tc>
        <w:tc>
          <w:tcPr>
            <w:tcW w:w="365" w:type="pct"/>
            <w:tcBorders>
              <w:top w:val="single" w:sz="4" w:space="0" w:color="auto"/>
              <w:left w:val="single" w:sz="4" w:space="0" w:color="auto"/>
              <w:bottom w:val="single" w:sz="4" w:space="0" w:color="auto"/>
              <w:right w:val="single" w:sz="4" w:space="0" w:color="auto"/>
            </w:tcBorders>
          </w:tcPr>
          <w:p w14:paraId="666CBC9F" w14:textId="77777777" w:rsidR="00A50A73" w:rsidRPr="004C4FBD" w:rsidRDefault="00A50A73" w:rsidP="00241513">
            <w:pPr>
              <w:ind w:right="3"/>
              <w:contextualSpacing/>
              <w:jc w:val="center"/>
              <w:rPr>
                <w:b/>
                <w:bCs/>
                <w:szCs w:val="24"/>
              </w:rPr>
            </w:pPr>
          </w:p>
        </w:tc>
        <w:tc>
          <w:tcPr>
            <w:tcW w:w="258" w:type="pct"/>
            <w:tcBorders>
              <w:top w:val="single" w:sz="4" w:space="0" w:color="auto"/>
              <w:left w:val="single" w:sz="4" w:space="0" w:color="auto"/>
              <w:bottom w:val="single" w:sz="4" w:space="0" w:color="auto"/>
              <w:right w:val="single" w:sz="4" w:space="0" w:color="auto"/>
            </w:tcBorders>
          </w:tcPr>
          <w:p w14:paraId="748D1998" w14:textId="77777777" w:rsidR="00A50A73" w:rsidRPr="004C4FBD" w:rsidRDefault="00A50A73" w:rsidP="00241513">
            <w:pPr>
              <w:ind w:right="3"/>
              <w:contextualSpacing/>
              <w:jc w:val="center"/>
              <w:rPr>
                <w:b/>
                <w:bCs/>
                <w:szCs w:val="24"/>
              </w:rPr>
            </w:pPr>
          </w:p>
        </w:tc>
        <w:tc>
          <w:tcPr>
            <w:tcW w:w="225" w:type="pct"/>
            <w:tcBorders>
              <w:top w:val="single" w:sz="4" w:space="0" w:color="auto"/>
              <w:left w:val="single" w:sz="4" w:space="0" w:color="auto"/>
              <w:bottom w:val="single" w:sz="4" w:space="0" w:color="auto"/>
              <w:right w:val="single" w:sz="4" w:space="0" w:color="auto"/>
            </w:tcBorders>
          </w:tcPr>
          <w:p w14:paraId="641BC365" w14:textId="77777777" w:rsidR="00A50A73" w:rsidRPr="004C4FBD" w:rsidRDefault="00A50A73" w:rsidP="00241513">
            <w:pPr>
              <w:ind w:right="3"/>
              <w:contextualSpacing/>
              <w:jc w:val="center"/>
              <w:rPr>
                <w:b/>
                <w:bCs/>
                <w:szCs w:val="24"/>
              </w:rPr>
            </w:pPr>
          </w:p>
        </w:tc>
        <w:tc>
          <w:tcPr>
            <w:tcW w:w="198" w:type="pct"/>
            <w:tcBorders>
              <w:top w:val="single" w:sz="4" w:space="0" w:color="auto"/>
              <w:left w:val="single" w:sz="4" w:space="0" w:color="auto"/>
              <w:bottom w:val="single" w:sz="4" w:space="0" w:color="auto"/>
              <w:right w:val="single" w:sz="4" w:space="0" w:color="auto"/>
            </w:tcBorders>
          </w:tcPr>
          <w:p w14:paraId="1823D82E" w14:textId="77777777" w:rsidR="00A50A73" w:rsidRPr="004C4FBD" w:rsidRDefault="00A50A73" w:rsidP="00241513">
            <w:pPr>
              <w:ind w:right="3"/>
              <w:contextualSpacing/>
              <w:jc w:val="center"/>
              <w:rPr>
                <w:b/>
                <w:bCs/>
                <w:szCs w:val="24"/>
              </w:rPr>
            </w:pPr>
          </w:p>
        </w:tc>
        <w:tc>
          <w:tcPr>
            <w:tcW w:w="214" w:type="pct"/>
            <w:tcBorders>
              <w:top w:val="single" w:sz="4" w:space="0" w:color="auto"/>
              <w:left w:val="single" w:sz="4" w:space="0" w:color="auto"/>
              <w:bottom w:val="single" w:sz="4" w:space="0" w:color="auto"/>
              <w:right w:val="single" w:sz="4" w:space="0" w:color="auto"/>
            </w:tcBorders>
          </w:tcPr>
          <w:p w14:paraId="32291210" w14:textId="77777777" w:rsidR="00A50A73" w:rsidRPr="004C4FBD" w:rsidRDefault="00A50A73" w:rsidP="00241513">
            <w:pPr>
              <w:ind w:right="3"/>
              <w:contextualSpacing/>
              <w:jc w:val="center"/>
              <w:rPr>
                <w:b/>
                <w:bCs/>
                <w:szCs w:val="24"/>
              </w:rPr>
            </w:pPr>
          </w:p>
        </w:tc>
        <w:tc>
          <w:tcPr>
            <w:tcW w:w="198" w:type="pct"/>
            <w:tcBorders>
              <w:top w:val="single" w:sz="4" w:space="0" w:color="auto"/>
              <w:left w:val="single" w:sz="4" w:space="0" w:color="auto"/>
              <w:bottom w:val="single" w:sz="4" w:space="0" w:color="auto"/>
              <w:right w:val="single" w:sz="4" w:space="0" w:color="auto"/>
            </w:tcBorders>
          </w:tcPr>
          <w:p w14:paraId="6CA6AFE0" w14:textId="77777777" w:rsidR="00A50A73" w:rsidRPr="004C4FBD" w:rsidRDefault="00A50A73" w:rsidP="00241513">
            <w:pPr>
              <w:ind w:right="3"/>
              <w:contextualSpacing/>
              <w:jc w:val="center"/>
              <w:rPr>
                <w:b/>
                <w:bCs/>
                <w:szCs w:val="24"/>
              </w:rPr>
            </w:pPr>
          </w:p>
        </w:tc>
        <w:tc>
          <w:tcPr>
            <w:tcW w:w="214" w:type="pct"/>
            <w:tcBorders>
              <w:top w:val="single" w:sz="4" w:space="0" w:color="auto"/>
              <w:left w:val="single" w:sz="4" w:space="0" w:color="auto"/>
              <w:bottom w:val="single" w:sz="4" w:space="0" w:color="auto"/>
              <w:right w:val="single" w:sz="4" w:space="0" w:color="auto"/>
            </w:tcBorders>
          </w:tcPr>
          <w:p w14:paraId="51B609D4" w14:textId="77777777" w:rsidR="00A50A73" w:rsidRPr="004C4FBD" w:rsidRDefault="00A50A73" w:rsidP="00241513">
            <w:pPr>
              <w:ind w:right="3"/>
              <w:contextualSpacing/>
              <w:jc w:val="center"/>
              <w:rPr>
                <w:b/>
                <w:bCs/>
                <w:szCs w:val="24"/>
              </w:rPr>
            </w:pPr>
          </w:p>
        </w:tc>
        <w:tc>
          <w:tcPr>
            <w:tcW w:w="249" w:type="pct"/>
            <w:tcBorders>
              <w:top w:val="single" w:sz="4" w:space="0" w:color="auto"/>
              <w:left w:val="single" w:sz="4" w:space="0" w:color="auto"/>
              <w:bottom w:val="single" w:sz="4" w:space="0" w:color="auto"/>
              <w:right w:val="single" w:sz="4" w:space="0" w:color="auto"/>
            </w:tcBorders>
          </w:tcPr>
          <w:p w14:paraId="4FA3E1C2" w14:textId="77777777" w:rsidR="00A50A73" w:rsidRPr="004C4FBD" w:rsidRDefault="00A50A73" w:rsidP="00241513">
            <w:pPr>
              <w:ind w:right="3"/>
              <w:contextualSpacing/>
              <w:jc w:val="center"/>
              <w:rPr>
                <w:b/>
                <w:bCs/>
                <w:szCs w:val="24"/>
              </w:rPr>
            </w:pPr>
          </w:p>
        </w:tc>
        <w:tc>
          <w:tcPr>
            <w:tcW w:w="265" w:type="pct"/>
            <w:tcBorders>
              <w:top w:val="single" w:sz="4" w:space="0" w:color="auto"/>
              <w:left w:val="single" w:sz="4" w:space="0" w:color="auto"/>
              <w:bottom w:val="single" w:sz="4" w:space="0" w:color="auto"/>
              <w:right w:val="single" w:sz="4" w:space="0" w:color="auto"/>
            </w:tcBorders>
          </w:tcPr>
          <w:p w14:paraId="5D189DDA" w14:textId="77777777" w:rsidR="00A50A73" w:rsidRPr="004C4FBD" w:rsidRDefault="00A50A73" w:rsidP="00241513">
            <w:pPr>
              <w:ind w:right="3"/>
              <w:contextualSpacing/>
              <w:jc w:val="center"/>
              <w:rPr>
                <w:b/>
                <w:bCs/>
                <w:szCs w:val="24"/>
              </w:rPr>
            </w:pPr>
          </w:p>
        </w:tc>
      </w:tr>
      <w:tr w:rsidR="00A50A73" w:rsidRPr="004C4FBD" w14:paraId="4199A2E9" w14:textId="77777777" w:rsidTr="00241513">
        <w:trPr>
          <w:jc w:val="center"/>
        </w:trPr>
        <w:tc>
          <w:tcPr>
            <w:tcW w:w="312" w:type="pct"/>
            <w:tcBorders>
              <w:top w:val="single" w:sz="4" w:space="0" w:color="auto"/>
              <w:left w:val="single" w:sz="4" w:space="0" w:color="auto"/>
              <w:bottom w:val="single" w:sz="4" w:space="0" w:color="auto"/>
              <w:right w:val="single" w:sz="4" w:space="0" w:color="auto"/>
            </w:tcBorders>
          </w:tcPr>
          <w:p w14:paraId="238C0134" w14:textId="77777777" w:rsidR="00A50A73" w:rsidRPr="004C4FBD" w:rsidRDefault="00A50A73" w:rsidP="00241513">
            <w:pPr>
              <w:ind w:right="3"/>
              <w:contextualSpacing/>
              <w:jc w:val="center"/>
              <w:rPr>
                <w:b/>
                <w:bCs/>
                <w:szCs w:val="24"/>
              </w:rPr>
            </w:pPr>
          </w:p>
        </w:tc>
        <w:tc>
          <w:tcPr>
            <w:tcW w:w="317" w:type="pct"/>
            <w:tcBorders>
              <w:top w:val="single" w:sz="4" w:space="0" w:color="auto"/>
              <w:left w:val="single" w:sz="4" w:space="0" w:color="auto"/>
              <w:bottom w:val="single" w:sz="4" w:space="0" w:color="auto"/>
              <w:right w:val="single" w:sz="4" w:space="0" w:color="auto"/>
            </w:tcBorders>
          </w:tcPr>
          <w:p w14:paraId="4D16E329" w14:textId="77777777" w:rsidR="00A50A73" w:rsidRPr="004C4FBD" w:rsidRDefault="00A50A73" w:rsidP="00241513">
            <w:pPr>
              <w:ind w:right="3"/>
              <w:contextualSpacing/>
              <w:jc w:val="center"/>
              <w:rPr>
                <w:b/>
                <w:bCs/>
                <w:szCs w:val="24"/>
              </w:rPr>
            </w:pPr>
          </w:p>
        </w:tc>
        <w:tc>
          <w:tcPr>
            <w:tcW w:w="314" w:type="pct"/>
            <w:tcBorders>
              <w:top w:val="single" w:sz="4" w:space="0" w:color="auto"/>
              <w:left w:val="single" w:sz="4" w:space="0" w:color="auto"/>
              <w:bottom w:val="single" w:sz="4" w:space="0" w:color="auto"/>
              <w:right w:val="single" w:sz="4" w:space="0" w:color="auto"/>
            </w:tcBorders>
          </w:tcPr>
          <w:p w14:paraId="02156960" w14:textId="77777777" w:rsidR="00A50A73" w:rsidRPr="004C4FBD" w:rsidRDefault="00A50A73" w:rsidP="00241513">
            <w:pPr>
              <w:ind w:right="3"/>
              <w:contextualSpacing/>
              <w:jc w:val="center"/>
              <w:rPr>
                <w:b/>
                <w:bCs/>
                <w:szCs w:val="24"/>
              </w:rPr>
            </w:pPr>
          </w:p>
        </w:tc>
        <w:tc>
          <w:tcPr>
            <w:tcW w:w="317" w:type="pct"/>
            <w:tcBorders>
              <w:top w:val="single" w:sz="4" w:space="0" w:color="auto"/>
              <w:left w:val="single" w:sz="4" w:space="0" w:color="auto"/>
              <w:bottom w:val="single" w:sz="4" w:space="0" w:color="auto"/>
              <w:right w:val="single" w:sz="4" w:space="0" w:color="auto"/>
            </w:tcBorders>
          </w:tcPr>
          <w:p w14:paraId="0A783450" w14:textId="77777777" w:rsidR="00A50A73" w:rsidRPr="004C4FBD" w:rsidRDefault="00A50A73" w:rsidP="00241513">
            <w:pPr>
              <w:ind w:right="3"/>
              <w:contextualSpacing/>
              <w:jc w:val="center"/>
              <w:rPr>
                <w:b/>
                <w:bCs/>
                <w:szCs w:val="24"/>
              </w:rPr>
            </w:pPr>
          </w:p>
        </w:tc>
        <w:tc>
          <w:tcPr>
            <w:tcW w:w="312" w:type="pct"/>
            <w:tcBorders>
              <w:top w:val="single" w:sz="4" w:space="0" w:color="auto"/>
              <w:left w:val="single" w:sz="4" w:space="0" w:color="auto"/>
              <w:bottom w:val="single" w:sz="4" w:space="0" w:color="auto"/>
              <w:right w:val="single" w:sz="4" w:space="0" w:color="auto"/>
            </w:tcBorders>
          </w:tcPr>
          <w:p w14:paraId="407B8987" w14:textId="77777777" w:rsidR="00A50A73" w:rsidRPr="004C4FBD" w:rsidRDefault="00A50A73" w:rsidP="00241513">
            <w:pPr>
              <w:ind w:right="3"/>
              <w:contextualSpacing/>
              <w:jc w:val="center"/>
              <w:rPr>
                <w:b/>
                <w:bCs/>
                <w:szCs w:val="24"/>
              </w:rPr>
            </w:pPr>
          </w:p>
        </w:tc>
        <w:tc>
          <w:tcPr>
            <w:tcW w:w="470" w:type="pct"/>
            <w:tcBorders>
              <w:top w:val="single" w:sz="4" w:space="0" w:color="auto"/>
              <w:left w:val="single" w:sz="4" w:space="0" w:color="auto"/>
              <w:bottom w:val="single" w:sz="4" w:space="0" w:color="auto"/>
              <w:right w:val="single" w:sz="4" w:space="0" w:color="auto"/>
            </w:tcBorders>
          </w:tcPr>
          <w:p w14:paraId="5E57CDCF" w14:textId="77777777" w:rsidR="00A50A73" w:rsidRPr="004C4FBD" w:rsidRDefault="00A50A73" w:rsidP="00241513">
            <w:pPr>
              <w:ind w:right="3"/>
              <w:contextualSpacing/>
              <w:jc w:val="center"/>
              <w:rPr>
                <w:b/>
                <w:bCs/>
                <w:szCs w:val="24"/>
              </w:rPr>
            </w:pPr>
          </w:p>
        </w:tc>
        <w:tc>
          <w:tcPr>
            <w:tcW w:w="242" w:type="pct"/>
            <w:tcBorders>
              <w:top w:val="single" w:sz="4" w:space="0" w:color="auto"/>
              <w:left w:val="single" w:sz="4" w:space="0" w:color="auto"/>
              <w:bottom w:val="single" w:sz="4" w:space="0" w:color="auto"/>
              <w:right w:val="single" w:sz="4" w:space="0" w:color="auto"/>
            </w:tcBorders>
          </w:tcPr>
          <w:p w14:paraId="697F5D95" w14:textId="77777777" w:rsidR="00A50A73" w:rsidRPr="004C4FBD" w:rsidRDefault="00A50A73" w:rsidP="00241513">
            <w:pPr>
              <w:ind w:right="3"/>
              <w:contextualSpacing/>
              <w:jc w:val="center"/>
              <w:rPr>
                <w:b/>
                <w:bCs/>
                <w:szCs w:val="24"/>
              </w:rPr>
            </w:pPr>
          </w:p>
        </w:tc>
        <w:tc>
          <w:tcPr>
            <w:tcW w:w="241" w:type="pct"/>
            <w:tcBorders>
              <w:top w:val="single" w:sz="4" w:space="0" w:color="auto"/>
              <w:left w:val="single" w:sz="4" w:space="0" w:color="auto"/>
              <w:bottom w:val="single" w:sz="4" w:space="0" w:color="auto"/>
              <w:right w:val="single" w:sz="4" w:space="0" w:color="auto"/>
            </w:tcBorders>
          </w:tcPr>
          <w:p w14:paraId="5635FFBC" w14:textId="77777777" w:rsidR="00A50A73" w:rsidRPr="004C4FBD" w:rsidRDefault="00A50A73" w:rsidP="00241513">
            <w:pPr>
              <w:ind w:right="3"/>
              <w:contextualSpacing/>
              <w:jc w:val="center"/>
              <w:rPr>
                <w:b/>
                <w:bCs/>
                <w:szCs w:val="24"/>
              </w:rPr>
            </w:pPr>
          </w:p>
        </w:tc>
        <w:tc>
          <w:tcPr>
            <w:tcW w:w="288" w:type="pct"/>
            <w:tcBorders>
              <w:top w:val="single" w:sz="4" w:space="0" w:color="auto"/>
              <w:left w:val="single" w:sz="4" w:space="0" w:color="auto"/>
              <w:bottom w:val="single" w:sz="4" w:space="0" w:color="auto"/>
              <w:right w:val="single" w:sz="4" w:space="0" w:color="auto"/>
            </w:tcBorders>
          </w:tcPr>
          <w:p w14:paraId="70A0AAA2" w14:textId="77777777" w:rsidR="00A50A73" w:rsidRPr="004C4FBD" w:rsidRDefault="00A50A73" w:rsidP="00241513">
            <w:pPr>
              <w:ind w:right="3"/>
              <w:contextualSpacing/>
              <w:jc w:val="center"/>
              <w:rPr>
                <w:b/>
                <w:bCs/>
                <w:szCs w:val="24"/>
              </w:rPr>
            </w:pPr>
          </w:p>
        </w:tc>
        <w:tc>
          <w:tcPr>
            <w:tcW w:w="365" w:type="pct"/>
            <w:tcBorders>
              <w:top w:val="single" w:sz="4" w:space="0" w:color="auto"/>
              <w:left w:val="single" w:sz="4" w:space="0" w:color="auto"/>
              <w:bottom w:val="single" w:sz="4" w:space="0" w:color="auto"/>
              <w:right w:val="single" w:sz="4" w:space="0" w:color="auto"/>
            </w:tcBorders>
          </w:tcPr>
          <w:p w14:paraId="5EBEF2CC" w14:textId="77777777" w:rsidR="00A50A73" w:rsidRPr="004C4FBD" w:rsidRDefault="00A50A73" w:rsidP="00241513">
            <w:pPr>
              <w:ind w:right="3"/>
              <w:contextualSpacing/>
              <w:jc w:val="center"/>
              <w:rPr>
                <w:b/>
                <w:bCs/>
                <w:szCs w:val="24"/>
              </w:rPr>
            </w:pPr>
          </w:p>
        </w:tc>
        <w:tc>
          <w:tcPr>
            <w:tcW w:w="258" w:type="pct"/>
            <w:tcBorders>
              <w:top w:val="single" w:sz="4" w:space="0" w:color="auto"/>
              <w:left w:val="single" w:sz="4" w:space="0" w:color="auto"/>
              <w:bottom w:val="single" w:sz="4" w:space="0" w:color="auto"/>
              <w:right w:val="single" w:sz="4" w:space="0" w:color="auto"/>
            </w:tcBorders>
          </w:tcPr>
          <w:p w14:paraId="5E757651" w14:textId="77777777" w:rsidR="00A50A73" w:rsidRPr="004C4FBD" w:rsidRDefault="00A50A73" w:rsidP="00241513">
            <w:pPr>
              <w:ind w:right="3"/>
              <w:contextualSpacing/>
              <w:jc w:val="center"/>
              <w:rPr>
                <w:b/>
                <w:bCs/>
                <w:szCs w:val="24"/>
              </w:rPr>
            </w:pPr>
          </w:p>
        </w:tc>
        <w:tc>
          <w:tcPr>
            <w:tcW w:w="225" w:type="pct"/>
            <w:tcBorders>
              <w:top w:val="single" w:sz="4" w:space="0" w:color="auto"/>
              <w:left w:val="single" w:sz="4" w:space="0" w:color="auto"/>
              <w:bottom w:val="single" w:sz="4" w:space="0" w:color="auto"/>
              <w:right w:val="single" w:sz="4" w:space="0" w:color="auto"/>
            </w:tcBorders>
          </w:tcPr>
          <w:p w14:paraId="5B48E514" w14:textId="77777777" w:rsidR="00A50A73" w:rsidRPr="004C4FBD" w:rsidRDefault="00A50A73" w:rsidP="00241513">
            <w:pPr>
              <w:ind w:right="3"/>
              <w:contextualSpacing/>
              <w:jc w:val="center"/>
              <w:rPr>
                <w:b/>
                <w:bCs/>
                <w:szCs w:val="24"/>
              </w:rPr>
            </w:pPr>
          </w:p>
        </w:tc>
        <w:tc>
          <w:tcPr>
            <w:tcW w:w="198" w:type="pct"/>
            <w:tcBorders>
              <w:top w:val="single" w:sz="4" w:space="0" w:color="auto"/>
              <w:left w:val="single" w:sz="4" w:space="0" w:color="auto"/>
              <w:bottom w:val="single" w:sz="4" w:space="0" w:color="auto"/>
              <w:right w:val="single" w:sz="4" w:space="0" w:color="auto"/>
            </w:tcBorders>
          </w:tcPr>
          <w:p w14:paraId="16892070" w14:textId="77777777" w:rsidR="00A50A73" w:rsidRPr="004C4FBD" w:rsidRDefault="00A50A73" w:rsidP="00241513">
            <w:pPr>
              <w:ind w:right="3"/>
              <w:contextualSpacing/>
              <w:jc w:val="center"/>
              <w:rPr>
                <w:b/>
                <w:bCs/>
                <w:szCs w:val="24"/>
              </w:rPr>
            </w:pPr>
          </w:p>
        </w:tc>
        <w:tc>
          <w:tcPr>
            <w:tcW w:w="214" w:type="pct"/>
            <w:tcBorders>
              <w:top w:val="single" w:sz="4" w:space="0" w:color="auto"/>
              <w:left w:val="single" w:sz="4" w:space="0" w:color="auto"/>
              <w:bottom w:val="single" w:sz="4" w:space="0" w:color="auto"/>
              <w:right w:val="single" w:sz="4" w:space="0" w:color="auto"/>
            </w:tcBorders>
          </w:tcPr>
          <w:p w14:paraId="25AE18F1" w14:textId="77777777" w:rsidR="00A50A73" w:rsidRPr="004C4FBD" w:rsidRDefault="00A50A73" w:rsidP="00241513">
            <w:pPr>
              <w:ind w:right="3"/>
              <w:contextualSpacing/>
              <w:jc w:val="center"/>
              <w:rPr>
                <w:b/>
                <w:bCs/>
                <w:szCs w:val="24"/>
              </w:rPr>
            </w:pPr>
          </w:p>
        </w:tc>
        <w:tc>
          <w:tcPr>
            <w:tcW w:w="198" w:type="pct"/>
            <w:tcBorders>
              <w:top w:val="single" w:sz="4" w:space="0" w:color="auto"/>
              <w:left w:val="single" w:sz="4" w:space="0" w:color="auto"/>
              <w:bottom w:val="single" w:sz="4" w:space="0" w:color="auto"/>
              <w:right w:val="single" w:sz="4" w:space="0" w:color="auto"/>
            </w:tcBorders>
          </w:tcPr>
          <w:p w14:paraId="22FFAE7E" w14:textId="77777777" w:rsidR="00A50A73" w:rsidRPr="004C4FBD" w:rsidRDefault="00A50A73" w:rsidP="00241513">
            <w:pPr>
              <w:ind w:right="3"/>
              <w:contextualSpacing/>
              <w:jc w:val="center"/>
              <w:rPr>
                <w:b/>
                <w:bCs/>
                <w:szCs w:val="24"/>
              </w:rPr>
            </w:pPr>
          </w:p>
        </w:tc>
        <w:tc>
          <w:tcPr>
            <w:tcW w:w="214" w:type="pct"/>
            <w:tcBorders>
              <w:top w:val="single" w:sz="4" w:space="0" w:color="auto"/>
              <w:left w:val="single" w:sz="4" w:space="0" w:color="auto"/>
              <w:bottom w:val="single" w:sz="4" w:space="0" w:color="auto"/>
              <w:right w:val="single" w:sz="4" w:space="0" w:color="auto"/>
            </w:tcBorders>
          </w:tcPr>
          <w:p w14:paraId="45D5E28D" w14:textId="77777777" w:rsidR="00A50A73" w:rsidRPr="004C4FBD" w:rsidRDefault="00A50A73" w:rsidP="00241513">
            <w:pPr>
              <w:ind w:right="3"/>
              <w:contextualSpacing/>
              <w:jc w:val="center"/>
              <w:rPr>
                <w:b/>
                <w:bCs/>
                <w:szCs w:val="24"/>
              </w:rPr>
            </w:pPr>
          </w:p>
        </w:tc>
        <w:tc>
          <w:tcPr>
            <w:tcW w:w="249" w:type="pct"/>
            <w:tcBorders>
              <w:top w:val="single" w:sz="4" w:space="0" w:color="auto"/>
              <w:left w:val="single" w:sz="4" w:space="0" w:color="auto"/>
              <w:bottom w:val="single" w:sz="4" w:space="0" w:color="auto"/>
              <w:right w:val="single" w:sz="4" w:space="0" w:color="auto"/>
            </w:tcBorders>
          </w:tcPr>
          <w:p w14:paraId="39611FB4" w14:textId="77777777" w:rsidR="00A50A73" w:rsidRPr="004C4FBD" w:rsidRDefault="00A50A73" w:rsidP="00241513">
            <w:pPr>
              <w:ind w:right="3"/>
              <w:contextualSpacing/>
              <w:jc w:val="center"/>
              <w:rPr>
                <w:b/>
                <w:bCs/>
                <w:szCs w:val="24"/>
              </w:rPr>
            </w:pPr>
          </w:p>
        </w:tc>
        <w:tc>
          <w:tcPr>
            <w:tcW w:w="265" w:type="pct"/>
            <w:tcBorders>
              <w:top w:val="single" w:sz="4" w:space="0" w:color="auto"/>
              <w:left w:val="single" w:sz="4" w:space="0" w:color="auto"/>
              <w:bottom w:val="single" w:sz="4" w:space="0" w:color="auto"/>
              <w:right w:val="single" w:sz="4" w:space="0" w:color="auto"/>
            </w:tcBorders>
          </w:tcPr>
          <w:p w14:paraId="5E0A061E" w14:textId="77777777" w:rsidR="00A50A73" w:rsidRPr="004C4FBD" w:rsidRDefault="00A50A73" w:rsidP="00241513">
            <w:pPr>
              <w:ind w:right="3"/>
              <w:contextualSpacing/>
              <w:jc w:val="center"/>
              <w:rPr>
                <w:b/>
                <w:bCs/>
                <w:szCs w:val="24"/>
              </w:rPr>
            </w:pPr>
          </w:p>
        </w:tc>
      </w:tr>
      <w:tr w:rsidR="00A50A73" w:rsidRPr="004C4FBD" w14:paraId="538DF7D2" w14:textId="77777777" w:rsidTr="00241513">
        <w:trPr>
          <w:jc w:val="center"/>
        </w:trPr>
        <w:tc>
          <w:tcPr>
            <w:tcW w:w="312" w:type="pct"/>
            <w:tcBorders>
              <w:top w:val="single" w:sz="4" w:space="0" w:color="auto"/>
              <w:left w:val="single" w:sz="4" w:space="0" w:color="auto"/>
              <w:bottom w:val="single" w:sz="4" w:space="0" w:color="auto"/>
              <w:right w:val="single" w:sz="4" w:space="0" w:color="auto"/>
            </w:tcBorders>
          </w:tcPr>
          <w:p w14:paraId="3E0BA1B5" w14:textId="77777777" w:rsidR="00A50A73" w:rsidRPr="004C4FBD" w:rsidRDefault="00A50A73" w:rsidP="00241513">
            <w:pPr>
              <w:ind w:right="3"/>
              <w:contextualSpacing/>
              <w:jc w:val="center"/>
              <w:rPr>
                <w:b/>
                <w:bCs/>
                <w:szCs w:val="24"/>
              </w:rPr>
            </w:pPr>
          </w:p>
        </w:tc>
        <w:tc>
          <w:tcPr>
            <w:tcW w:w="317" w:type="pct"/>
            <w:tcBorders>
              <w:top w:val="single" w:sz="4" w:space="0" w:color="auto"/>
              <w:left w:val="single" w:sz="4" w:space="0" w:color="auto"/>
              <w:bottom w:val="single" w:sz="4" w:space="0" w:color="auto"/>
              <w:right w:val="single" w:sz="4" w:space="0" w:color="auto"/>
            </w:tcBorders>
          </w:tcPr>
          <w:p w14:paraId="5F476728" w14:textId="77777777" w:rsidR="00A50A73" w:rsidRPr="004C4FBD" w:rsidRDefault="00A50A73" w:rsidP="00241513">
            <w:pPr>
              <w:ind w:right="3"/>
              <w:contextualSpacing/>
              <w:jc w:val="center"/>
              <w:rPr>
                <w:b/>
                <w:bCs/>
                <w:szCs w:val="24"/>
              </w:rPr>
            </w:pPr>
          </w:p>
        </w:tc>
        <w:tc>
          <w:tcPr>
            <w:tcW w:w="314" w:type="pct"/>
            <w:tcBorders>
              <w:top w:val="single" w:sz="4" w:space="0" w:color="auto"/>
              <w:left w:val="single" w:sz="4" w:space="0" w:color="auto"/>
              <w:bottom w:val="single" w:sz="4" w:space="0" w:color="auto"/>
              <w:right w:val="single" w:sz="4" w:space="0" w:color="auto"/>
            </w:tcBorders>
          </w:tcPr>
          <w:p w14:paraId="514D5188" w14:textId="77777777" w:rsidR="00A50A73" w:rsidRPr="004C4FBD" w:rsidRDefault="00A50A73" w:rsidP="00241513">
            <w:pPr>
              <w:ind w:right="3"/>
              <w:contextualSpacing/>
              <w:jc w:val="center"/>
              <w:rPr>
                <w:b/>
                <w:bCs/>
                <w:szCs w:val="24"/>
              </w:rPr>
            </w:pPr>
          </w:p>
        </w:tc>
        <w:tc>
          <w:tcPr>
            <w:tcW w:w="317" w:type="pct"/>
            <w:tcBorders>
              <w:top w:val="single" w:sz="4" w:space="0" w:color="auto"/>
              <w:left w:val="single" w:sz="4" w:space="0" w:color="auto"/>
              <w:bottom w:val="single" w:sz="4" w:space="0" w:color="auto"/>
              <w:right w:val="single" w:sz="4" w:space="0" w:color="auto"/>
            </w:tcBorders>
          </w:tcPr>
          <w:p w14:paraId="1E3DACBE" w14:textId="77777777" w:rsidR="00A50A73" w:rsidRPr="004C4FBD" w:rsidRDefault="00A50A73" w:rsidP="00241513">
            <w:pPr>
              <w:ind w:right="3"/>
              <w:contextualSpacing/>
              <w:jc w:val="center"/>
              <w:rPr>
                <w:b/>
                <w:bCs/>
                <w:szCs w:val="24"/>
              </w:rPr>
            </w:pPr>
          </w:p>
        </w:tc>
        <w:tc>
          <w:tcPr>
            <w:tcW w:w="312" w:type="pct"/>
            <w:tcBorders>
              <w:top w:val="single" w:sz="4" w:space="0" w:color="auto"/>
              <w:left w:val="single" w:sz="4" w:space="0" w:color="auto"/>
              <w:bottom w:val="single" w:sz="4" w:space="0" w:color="auto"/>
              <w:right w:val="single" w:sz="4" w:space="0" w:color="auto"/>
            </w:tcBorders>
          </w:tcPr>
          <w:p w14:paraId="3F18C2CD" w14:textId="77777777" w:rsidR="00A50A73" w:rsidRPr="004C4FBD" w:rsidRDefault="00A50A73" w:rsidP="00241513">
            <w:pPr>
              <w:ind w:right="3"/>
              <w:contextualSpacing/>
              <w:jc w:val="center"/>
              <w:rPr>
                <w:b/>
                <w:bCs/>
                <w:szCs w:val="24"/>
              </w:rPr>
            </w:pPr>
          </w:p>
        </w:tc>
        <w:tc>
          <w:tcPr>
            <w:tcW w:w="470" w:type="pct"/>
            <w:tcBorders>
              <w:top w:val="single" w:sz="4" w:space="0" w:color="auto"/>
              <w:left w:val="single" w:sz="4" w:space="0" w:color="auto"/>
              <w:bottom w:val="single" w:sz="4" w:space="0" w:color="auto"/>
              <w:right w:val="single" w:sz="4" w:space="0" w:color="auto"/>
            </w:tcBorders>
          </w:tcPr>
          <w:p w14:paraId="33F5FAC8" w14:textId="77777777" w:rsidR="00A50A73" w:rsidRPr="004C4FBD" w:rsidRDefault="00A50A73" w:rsidP="00241513">
            <w:pPr>
              <w:ind w:right="3"/>
              <w:contextualSpacing/>
              <w:jc w:val="center"/>
              <w:rPr>
                <w:b/>
                <w:bCs/>
                <w:szCs w:val="24"/>
              </w:rPr>
            </w:pPr>
          </w:p>
        </w:tc>
        <w:tc>
          <w:tcPr>
            <w:tcW w:w="242" w:type="pct"/>
            <w:tcBorders>
              <w:top w:val="single" w:sz="4" w:space="0" w:color="auto"/>
              <w:left w:val="single" w:sz="4" w:space="0" w:color="auto"/>
              <w:bottom w:val="single" w:sz="4" w:space="0" w:color="auto"/>
              <w:right w:val="single" w:sz="4" w:space="0" w:color="auto"/>
            </w:tcBorders>
          </w:tcPr>
          <w:p w14:paraId="7EA288FE" w14:textId="77777777" w:rsidR="00A50A73" w:rsidRPr="004C4FBD" w:rsidRDefault="00A50A73" w:rsidP="00241513">
            <w:pPr>
              <w:ind w:right="3"/>
              <w:contextualSpacing/>
              <w:jc w:val="center"/>
              <w:rPr>
                <w:b/>
                <w:bCs/>
                <w:szCs w:val="24"/>
              </w:rPr>
            </w:pPr>
          </w:p>
        </w:tc>
        <w:tc>
          <w:tcPr>
            <w:tcW w:w="241" w:type="pct"/>
            <w:tcBorders>
              <w:top w:val="single" w:sz="4" w:space="0" w:color="auto"/>
              <w:left w:val="single" w:sz="4" w:space="0" w:color="auto"/>
              <w:bottom w:val="single" w:sz="4" w:space="0" w:color="auto"/>
              <w:right w:val="single" w:sz="4" w:space="0" w:color="auto"/>
            </w:tcBorders>
          </w:tcPr>
          <w:p w14:paraId="3C6E7D46" w14:textId="77777777" w:rsidR="00A50A73" w:rsidRPr="004C4FBD" w:rsidRDefault="00A50A73" w:rsidP="00241513">
            <w:pPr>
              <w:ind w:right="3"/>
              <w:contextualSpacing/>
              <w:jc w:val="center"/>
              <w:rPr>
                <w:b/>
                <w:bCs/>
                <w:szCs w:val="24"/>
              </w:rPr>
            </w:pPr>
          </w:p>
        </w:tc>
        <w:tc>
          <w:tcPr>
            <w:tcW w:w="288" w:type="pct"/>
            <w:tcBorders>
              <w:top w:val="single" w:sz="4" w:space="0" w:color="auto"/>
              <w:left w:val="single" w:sz="4" w:space="0" w:color="auto"/>
              <w:bottom w:val="single" w:sz="4" w:space="0" w:color="auto"/>
              <w:right w:val="single" w:sz="4" w:space="0" w:color="auto"/>
            </w:tcBorders>
          </w:tcPr>
          <w:p w14:paraId="75C8A9CA" w14:textId="77777777" w:rsidR="00A50A73" w:rsidRPr="004C4FBD" w:rsidRDefault="00A50A73" w:rsidP="00241513">
            <w:pPr>
              <w:ind w:right="3"/>
              <w:contextualSpacing/>
              <w:jc w:val="center"/>
              <w:rPr>
                <w:b/>
                <w:bCs/>
                <w:szCs w:val="24"/>
              </w:rPr>
            </w:pPr>
          </w:p>
        </w:tc>
        <w:tc>
          <w:tcPr>
            <w:tcW w:w="365" w:type="pct"/>
            <w:tcBorders>
              <w:top w:val="single" w:sz="4" w:space="0" w:color="auto"/>
              <w:left w:val="single" w:sz="4" w:space="0" w:color="auto"/>
              <w:bottom w:val="single" w:sz="4" w:space="0" w:color="auto"/>
              <w:right w:val="single" w:sz="4" w:space="0" w:color="auto"/>
            </w:tcBorders>
          </w:tcPr>
          <w:p w14:paraId="2E268F8A" w14:textId="77777777" w:rsidR="00A50A73" w:rsidRPr="004C4FBD" w:rsidRDefault="00A50A73" w:rsidP="00241513">
            <w:pPr>
              <w:ind w:right="3"/>
              <w:contextualSpacing/>
              <w:jc w:val="center"/>
              <w:rPr>
                <w:b/>
                <w:bCs/>
                <w:szCs w:val="24"/>
              </w:rPr>
            </w:pPr>
          </w:p>
        </w:tc>
        <w:tc>
          <w:tcPr>
            <w:tcW w:w="258" w:type="pct"/>
            <w:tcBorders>
              <w:top w:val="single" w:sz="4" w:space="0" w:color="auto"/>
              <w:left w:val="single" w:sz="4" w:space="0" w:color="auto"/>
              <w:bottom w:val="single" w:sz="4" w:space="0" w:color="auto"/>
              <w:right w:val="single" w:sz="4" w:space="0" w:color="auto"/>
            </w:tcBorders>
          </w:tcPr>
          <w:p w14:paraId="185D5D01" w14:textId="77777777" w:rsidR="00A50A73" w:rsidRPr="004C4FBD" w:rsidRDefault="00A50A73" w:rsidP="00241513">
            <w:pPr>
              <w:ind w:right="3"/>
              <w:contextualSpacing/>
              <w:jc w:val="center"/>
              <w:rPr>
                <w:b/>
                <w:bCs/>
                <w:szCs w:val="24"/>
              </w:rPr>
            </w:pPr>
          </w:p>
        </w:tc>
        <w:tc>
          <w:tcPr>
            <w:tcW w:w="225" w:type="pct"/>
            <w:tcBorders>
              <w:top w:val="single" w:sz="4" w:space="0" w:color="auto"/>
              <w:left w:val="single" w:sz="4" w:space="0" w:color="auto"/>
              <w:bottom w:val="single" w:sz="4" w:space="0" w:color="auto"/>
              <w:right w:val="single" w:sz="4" w:space="0" w:color="auto"/>
            </w:tcBorders>
          </w:tcPr>
          <w:p w14:paraId="50C5A7DC" w14:textId="77777777" w:rsidR="00A50A73" w:rsidRPr="004C4FBD" w:rsidRDefault="00A50A73" w:rsidP="00241513">
            <w:pPr>
              <w:ind w:right="3"/>
              <w:contextualSpacing/>
              <w:jc w:val="center"/>
              <w:rPr>
                <w:b/>
                <w:bCs/>
                <w:szCs w:val="24"/>
              </w:rPr>
            </w:pPr>
          </w:p>
        </w:tc>
        <w:tc>
          <w:tcPr>
            <w:tcW w:w="198" w:type="pct"/>
            <w:tcBorders>
              <w:top w:val="single" w:sz="4" w:space="0" w:color="auto"/>
              <w:left w:val="single" w:sz="4" w:space="0" w:color="auto"/>
              <w:bottom w:val="single" w:sz="4" w:space="0" w:color="auto"/>
              <w:right w:val="single" w:sz="4" w:space="0" w:color="auto"/>
            </w:tcBorders>
          </w:tcPr>
          <w:p w14:paraId="49C57B1D" w14:textId="77777777" w:rsidR="00A50A73" w:rsidRPr="004C4FBD" w:rsidRDefault="00A50A73" w:rsidP="00241513">
            <w:pPr>
              <w:ind w:right="3"/>
              <w:contextualSpacing/>
              <w:jc w:val="center"/>
              <w:rPr>
                <w:b/>
                <w:bCs/>
                <w:szCs w:val="24"/>
              </w:rPr>
            </w:pPr>
          </w:p>
        </w:tc>
        <w:tc>
          <w:tcPr>
            <w:tcW w:w="214" w:type="pct"/>
            <w:tcBorders>
              <w:top w:val="single" w:sz="4" w:space="0" w:color="auto"/>
              <w:left w:val="single" w:sz="4" w:space="0" w:color="auto"/>
              <w:bottom w:val="single" w:sz="4" w:space="0" w:color="auto"/>
              <w:right w:val="single" w:sz="4" w:space="0" w:color="auto"/>
            </w:tcBorders>
          </w:tcPr>
          <w:p w14:paraId="3810D95C" w14:textId="77777777" w:rsidR="00A50A73" w:rsidRPr="004C4FBD" w:rsidRDefault="00A50A73" w:rsidP="00241513">
            <w:pPr>
              <w:ind w:right="3"/>
              <w:contextualSpacing/>
              <w:jc w:val="center"/>
              <w:rPr>
                <w:b/>
                <w:bCs/>
                <w:szCs w:val="24"/>
              </w:rPr>
            </w:pPr>
          </w:p>
        </w:tc>
        <w:tc>
          <w:tcPr>
            <w:tcW w:w="198" w:type="pct"/>
            <w:tcBorders>
              <w:top w:val="single" w:sz="4" w:space="0" w:color="auto"/>
              <w:left w:val="single" w:sz="4" w:space="0" w:color="auto"/>
              <w:bottom w:val="single" w:sz="4" w:space="0" w:color="auto"/>
              <w:right w:val="single" w:sz="4" w:space="0" w:color="auto"/>
            </w:tcBorders>
          </w:tcPr>
          <w:p w14:paraId="796F5F62" w14:textId="77777777" w:rsidR="00A50A73" w:rsidRPr="004C4FBD" w:rsidRDefault="00A50A73" w:rsidP="00241513">
            <w:pPr>
              <w:ind w:right="3"/>
              <w:contextualSpacing/>
              <w:jc w:val="center"/>
              <w:rPr>
                <w:b/>
                <w:bCs/>
                <w:szCs w:val="24"/>
              </w:rPr>
            </w:pPr>
          </w:p>
        </w:tc>
        <w:tc>
          <w:tcPr>
            <w:tcW w:w="214" w:type="pct"/>
            <w:tcBorders>
              <w:top w:val="single" w:sz="4" w:space="0" w:color="auto"/>
              <w:left w:val="single" w:sz="4" w:space="0" w:color="auto"/>
              <w:bottom w:val="single" w:sz="4" w:space="0" w:color="auto"/>
              <w:right w:val="single" w:sz="4" w:space="0" w:color="auto"/>
            </w:tcBorders>
          </w:tcPr>
          <w:p w14:paraId="40AB1EF3" w14:textId="77777777" w:rsidR="00A50A73" w:rsidRPr="004C4FBD" w:rsidRDefault="00A50A73" w:rsidP="00241513">
            <w:pPr>
              <w:ind w:right="3"/>
              <w:contextualSpacing/>
              <w:jc w:val="center"/>
              <w:rPr>
                <w:b/>
                <w:bCs/>
                <w:szCs w:val="24"/>
              </w:rPr>
            </w:pPr>
          </w:p>
        </w:tc>
        <w:tc>
          <w:tcPr>
            <w:tcW w:w="249" w:type="pct"/>
            <w:tcBorders>
              <w:top w:val="single" w:sz="4" w:space="0" w:color="auto"/>
              <w:left w:val="single" w:sz="4" w:space="0" w:color="auto"/>
              <w:bottom w:val="single" w:sz="4" w:space="0" w:color="auto"/>
              <w:right w:val="single" w:sz="4" w:space="0" w:color="auto"/>
            </w:tcBorders>
          </w:tcPr>
          <w:p w14:paraId="7FCF1CED" w14:textId="77777777" w:rsidR="00A50A73" w:rsidRPr="004C4FBD" w:rsidRDefault="00A50A73" w:rsidP="00241513">
            <w:pPr>
              <w:ind w:right="3"/>
              <w:contextualSpacing/>
              <w:jc w:val="center"/>
              <w:rPr>
                <w:b/>
                <w:bCs/>
                <w:szCs w:val="24"/>
              </w:rPr>
            </w:pPr>
          </w:p>
        </w:tc>
        <w:tc>
          <w:tcPr>
            <w:tcW w:w="265" w:type="pct"/>
            <w:tcBorders>
              <w:top w:val="single" w:sz="4" w:space="0" w:color="auto"/>
              <w:left w:val="single" w:sz="4" w:space="0" w:color="auto"/>
              <w:bottom w:val="single" w:sz="4" w:space="0" w:color="auto"/>
              <w:right w:val="single" w:sz="4" w:space="0" w:color="auto"/>
            </w:tcBorders>
          </w:tcPr>
          <w:p w14:paraId="4795A955" w14:textId="77777777" w:rsidR="00A50A73" w:rsidRPr="004C4FBD" w:rsidRDefault="00A50A73" w:rsidP="00241513">
            <w:pPr>
              <w:ind w:right="3"/>
              <w:contextualSpacing/>
              <w:jc w:val="center"/>
              <w:rPr>
                <w:b/>
                <w:bCs/>
                <w:szCs w:val="24"/>
              </w:rPr>
            </w:pPr>
          </w:p>
        </w:tc>
      </w:tr>
      <w:tr w:rsidR="00A50A73" w:rsidRPr="004C4FBD" w14:paraId="5C698A31" w14:textId="77777777" w:rsidTr="00241513">
        <w:trPr>
          <w:jc w:val="center"/>
        </w:trPr>
        <w:tc>
          <w:tcPr>
            <w:tcW w:w="312" w:type="pct"/>
            <w:tcBorders>
              <w:top w:val="single" w:sz="4" w:space="0" w:color="auto"/>
              <w:left w:val="single" w:sz="4" w:space="0" w:color="auto"/>
              <w:bottom w:val="single" w:sz="4" w:space="0" w:color="auto"/>
              <w:right w:val="single" w:sz="4" w:space="0" w:color="auto"/>
            </w:tcBorders>
          </w:tcPr>
          <w:p w14:paraId="08691A3F" w14:textId="77777777" w:rsidR="00A50A73" w:rsidRPr="004C4FBD" w:rsidRDefault="00A50A73" w:rsidP="00241513">
            <w:pPr>
              <w:ind w:right="3"/>
              <w:contextualSpacing/>
              <w:jc w:val="center"/>
              <w:rPr>
                <w:b/>
                <w:bCs/>
                <w:szCs w:val="24"/>
              </w:rPr>
            </w:pPr>
          </w:p>
        </w:tc>
        <w:tc>
          <w:tcPr>
            <w:tcW w:w="317" w:type="pct"/>
            <w:tcBorders>
              <w:top w:val="single" w:sz="4" w:space="0" w:color="auto"/>
              <w:left w:val="single" w:sz="4" w:space="0" w:color="auto"/>
              <w:bottom w:val="single" w:sz="4" w:space="0" w:color="auto"/>
              <w:right w:val="single" w:sz="4" w:space="0" w:color="auto"/>
            </w:tcBorders>
          </w:tcPr>
          <w:p w14:paraId="43208607" w14:textId="77777777" w:rsidR="00A50A73" w:rsidRPr="004C4FBD" w:rsidRDefault="00A50A73" w:rsidP="00241513">
            <w:pPr>
              <w:ind w:right="3"/>
              <w:contextualSpacing/>
              <w:jc w:val="center"/>
              <w:rPr>
                <w:b/>
                <w:bCs/>
                <w:szCs w:val="24"/>
              </w:rPr>
            </w:pPr>
          </w:p>
        </w:tc>
        <w:tc>
          <w:tcPr>
            <w:tcW w:w="314" w:type="pct"/>
            <w:tcBorders>
              <w:top w:val="single" w:sz="4" w:space="0" w:color="auto"/>
              <w:left w:val="single" w:sz="4" w:space="0" w:color="auto"/>
              <w:bottom w:val="single" w:sz="4" w:space="0" w:color="auto"/>
              <w:right w:val="single" w:sz="4" w:space="0" w:color="auto"/>
            </w:tcBorders>
          </w:tcPr>
          <w:p w14:paraId="51C29BA6" w14:textId="77777777" w:rsidR="00A50A73" w:rsidRPr="004C4FBD" w:rsidRDefault="00A50A73" w:rsidP="00241513">
            <w:pPr>
              <w:ind w:right="3"/>
              <w:contextualSpacing/>
              <w:jc w:val="center"/>
              <w:rPr>
                <w:b/>
                <w:bCs/>
                <w:szCs w:val="24"/>
              </w:rPr>
            </w:pPr>
          </w:p>
        </w:tc>
        <w:tc>
          <w:tcPr>
            <w:tcW w:w="317" w:type="pct"/>
            <w:tcBorders>
              <w:top w:val="single" w:sz="4" w:space="0" w:color="auto"/>
              <w:left w:val="single" w:sz="4" w:space="0" w:color="auto"/>
              <w:bottom w:val="single" w:sz="4" w:space="0" w:color="auto"/>
              <w:right w:val="single" w:sz="4" w:space="0" w:color="auto"/>
            </w:tcBorders>
          </w:tcPr>
          <w:p w14:paraId="31DA18BB" w14:textId="77777777" w:rsidR="00A50A73" w:rsidRPr="004C4FBD" w:rsidRDefault="00A50A73" w:rsidP="00241513">
            <w:pPr>
              <w:ind w:right="3"/>
              <w:contextualSpacing/>
              <w:jc w:val="center"/>
              <w:rPr>
                <w:b/>
                <w:bCs/>
                <w:szCs w:val="24"/>
              </w:rPr>
            </w:pPr>
          </w:p>
        </w:tc>
        <w:tc>
          <w:tcPr>
            <w:tcW w:w="312" w:type="pct"/>
            <w:tcBorders>
              <w:top w:val="single" w:sz="4" w:space="0" w:color="auto"/>
              <w:left w:val="single" w:sz="4" w:space="0" w:color="auto"/>
              <w:bottom w:val="single" w:sz="4" w:space="0" w:color="auto"/>
              <w:right w:val="single" w:sz="4" w:space="0" w:color="auto"/>
            </w:tcBorders>
          </w:tcPr>
          <w:p w14:paraId="16F38737" w14:textId="77777777" w:rsidR="00A50A73" w:rsidRPr="004C4FBD" w:rsidRDefault="00A50A73" w:rsidP="00241513">
            <w:pPr>
              <w:ind w:right="3"/>
              <w:contextualSpacing/>
              <w:jc w:val="center"/>
              <w:rPr>
                <w:b/>
                <w:bCs/>
                <w:szCs w:val="24"/>
              </w:rPr>
            </w:pPr>
          </w:p>
        </w:tc>
        <w:tc>
          <w:tcPr>
            <w:tcW w:w="470" w:type="pct"/>
            <w:tcBorders>
              <w:top w:val="single" w:sz="4" w:space="0" w:color="auto"/>
              <w:left w:val="single" w:sz="4" w:space="0" w:color="auto"/>
              <w:bottom w:val="single" w:sz="4" w:space="0" w:color="auto"/>
              <w:right w:val="single" w:sz="4" w:space="0" w:color="auto"/>
            </w:tcBorders>
          </w:tcPr>
          <w:p w14:paraId="1797152F" w14:textId="77777777" w:rsidR="00A50A73" w:rsidRPr="004C4FBD" w:rsidRDefault="00A50A73" w:rsidP="00241513">
            <w:pPr>
              <w:ind w:right="3"/>
              <w:contextualSpacing/>
              <w:jc w:val="center"/>
              <w:rPr>
                <w:b/>
                <w:bCs/>
                <w:szCs w:val="24"/>
              </w:rPr>
            </w:pPr>
          </w:p>
        </w:tc>
        <w:tc>
          <w:tcPr>
            <w:tcW w:w="242" w:type="pct"/>
            <w:tcBorders>
              <w:top w:val="single" w:sz="4" w:space="0" w:color="auto"/>
              <w:left w:val="single" w:sz="4" w:space="0" w:color="auto"/>
              <w:bottom w:val="single" w:sz="4" w:space="0" w:color="auto"/>
              <w:right w:val="single" w:sz="4" w:space="0" w:color="auto"/>
            </w:tcBorders>
          </w:tcPr>
          <w:p w14:paraId="1A147B80" w14:textId="77777777" w:rsidR="00A50A73" w:rsidRPr="004C4FBD" w:rsidRDefault="00A50A73" w:rsidP="00241513">
            <w:pPr>
              <w:ind w:right="3"/>
              <w:contextualSpacing/>
              <w:jc w:val="center"/>
              <w:rPr>
                <w:b/>
                <w:bCs/>
                <w:szCs w:val="24"/>
              </w:rPr>
            </w:pPr>
          </w:p>
        </w:tc>
        <w:tc>
          <w:tcPr>
            <w:tcW w:w="241" w:type="pct"/>
            <w:tcBorders>
              <w:top w:val="single" w:sz="4" w:space="0" w:color="auto"/>
              <w:left w:val="single" w:sz="4" w:space="0" w:color="auto"/>
              <w:bottom w:val="single" w:sz="4" w:space="0" w:color="auto"/>
              <w:right w:val="single" w:sz="4" w:space="0" w:color="auto"/>
            </w:tcBorders>
          </w:tcPr>
          <w:p w14:paraId="1ED2A5A9" w14:textId="77777777" w:rsidR="00A50A73" w:rsidRPr="004C4FBD" w:rsidRDefault="00A50A73" w:rsidP="00241513">
            <w:pPr>
              <w:ind w:right="3"/>
              <w:contextualSpacing/>
              <w:jc w:val="center"/>
              <w:rPr>
                <w:b/>
                <w:bCs/>
                <w:szCs w:val="24"/>
              </w:rPr>
            </w:pPr>
          </w:p>
        </w:tc>
        <w:tc>
          <w:tcPr>
            <w:tcW w:w="288" w:type="pct"/>
            <w:tcBorders>
              <w:top w:val="single" w:sz="4" w:space="0" w:color="auto"/>
              <w:left w:val="single" w:sz="4" w:space="0" w:color="auto"/>
              <w:bottom w:val="single" w:sz="4" w:space="0" w:color="auto"/>
              <w:right w:val="single" w:sz="4" w:space="0" w:color="auto"/>
            </w:tcBorders>
          </w:tcPr>
          <w:p w14:paraId="1229F4CD" w14:textId="77777777" w:rsidR="00A50A73" w:rsidRPr="004C4FBD" w:rsidRDefault="00A50A73" w:rsidP="00241513">
            <w:pPr>
              <w:ind w:right="3"/>
              <w:contextualSpacing/>
              <w:jc w:val="center"/>
              <w:rPr>
                <w:b/>
                <w:bCs/>
                <w:szCs w:val="24"/>
              </w:rPr>
            </w:pPr>
          </w:p>
        </w:tc>
        <w:tc>
          <w:tcPr>
            <w:tcW w:w="365" w:type="pct"/>
            <w:tcBorders>
              <w:top w:val="single" w:sz="4" w:space="0" w:color="auto"/>
              <w:left w:val="single" w:sz="4" w:space="0" w:color="auto"/>
              <w:bottom w:val="single" w:sz="4" w:space="0" w:color="auto"/>
              <w:right w:val="single" w:sz="4" w:space="0" w:color="auto"/>
            </w:tcBorders>
          </w:tcPr>
          <w:p w14:paraId="6EA11CFC" w14:textId="77777777" w:rsidR="00A50A73" w:rsidRPr="004C4FBD" w:rsidRDefault="00A50A73" w:rsidP="00241513">
            <w:pPr>
              <w:ind w:right="3"/>
              <w:contextualSpacing/>
              <w:jc w:val="center"/>
              <w:rPr>
                <w:b/>
                <w:bCs/>
                <w:szCs w:val="24"/>
              </w:rPr>
            </w:pPr>
          </w:p>
        </w:tc>
        <w:tc>
          <w:tcPr>
            <w:tcW w:w="258" w:type="pct"/>
            <w:tcBorders>
              <w:top w:val="single" w:sz="4" w:space="0" w:color="auto"/>
              <w:left w:val="single" w:sz="4" w:space="0" w:color="auto"/>
              <w:bottom w:val="single" w:sz="4" w:space="0" w:color="auto"/>
              <w:right w:val="single" w:sz="4" w:space="0" w:color="auto"/>
            </w:tcBorders>
          </w:tcPr>
          <w:p w14:paraId="35E1D873" w14:textId="77777777" w:rsidR="00A50A73" w:rsidRPr="004C4FBD" w:rsidRDefault="00A50A73" w:rsidP="00241513">
            <w:pPr>
              <w:ind w:right="3"/>
              <w:contextualSpacing/>
              <w:jc w:val="center"/>
              <w:rPr>
                <w:b/>
                <w:bCs/>
                <w:szCs w:val="24"/>
              </w:rPr>
            </w:pPr>
          </w:p>
        </w:tc>
        <w:tc>
          <w:tcPr>
            <w:tcW w:w="225" w:type="pct"/>
            <w:tcBorders>
              <w:top w:val="single" w:sz="4" w:space="0" w:color="auto"/>
              <w:left w:val="single" w:sz="4" w:space="0" w:color="auto"/>
              <w:bottom w:val="single" w:sz="4" w:space="0" w:color="auto"/>
              <w:right w:val="single" w:sz="4" w:space="0" w:color="auto"/>
            </w:tcBorders>
          </w:tcPr>
          <w:p w14:paraId="343972A5" w14:textId="77777777" w:rsidR="00A50A73" w:rsidRPr="004C4FBD" w:rsidRDefault="00A50A73" w:rsidP="00241513">
            <w:pPr>
              <w:ind w:right="3"/>
              <w:contextualSpacing/>
              <w:jc w:val="center"/>
              <w:rPr>
                <w:b/>
                <w:bCs/>
                <w:szCs w:val="24"/>
              </w:rPr>
            </w:pPr>
          </w:p>
        </w:tc>
        <w:tc>
          <w:tcPr>
            <w:tcW w:w="198" w:type="pct"/>
            <w:tcBorders>
              <w:top w:val="single" w:sz="4" w:space="0" w:color="auto"/>
              <w:left w:val="single" w:sz="4" w:space="0" w:color="auto"/>
              <w:bottom w:val="single" w:sz="4" w:space="0" w:color="auto"/>
              <w:right w:val="single" w:sz="4" w:space="0" w:color="auto"/>
            </w:tcBorders>
          </w:tcPr>
          <w:p w14:paraId="1AEFE6A1" w14:textId="77777777" w:rsidR="00A50A73" w:rsidRPr="004C4FBD" w:rsidRDefault="00A50A73" w:rsidP="00241513">
            <w:pPr>
              <w:ind w:right="3"/>
              <w:contextualSpacing/>
              <w:jc w:val="center"/>
              <w:rPr>
                <w:b/>
                <w:bCs/>
                <w:szCs w:val="24"/>
              </w:rPr>
            </w:pPr>
          </w:p>
        </w:tc>
        <w:tc>
          <w:tcPr>
            <w:tcW w:w="214" w:type="pct"/>
            <w:tcBorders>
              <w:top w:val="single" w:sz="4" w:space="0" w:color="auto"/>
              <w:left w:val="single" w:sz="4" w:space="0" w:color="auto"/>
              <w:bottom w:val="single" w:sz="4" w:space="0" w:color="auto"/>
              <w:right w:val="single" w:sz="4" w:space="0" w:color="auto"/>
            </w:tcBorders>
          </w:tcPr>
          <w:p w14:paraId="006F7B4B" w14:textId="77777777" w:rsidR="00A50A73" w:rsidRPr="004C4FBD" w:rsidRDefault="00A50A73" w:rsidP="00241513">
            <w:pPr>
              <w:ind w:right="3"/>
              <w:contextualSpacing/>
              <w:jc w:val="center"/>
              <w:rPr>
                <w:b/>
                <w:bCs/>
                <w:szCs w:val="24"/>
              </w:rPr>
            </w:pPr>
          </w:p>
        </w:tc>
        <w:tc>
          <w:tcPr>
            <w:tcW w:w="198" w:type="pct"/>
            <w:tcBorders>
              <w:top w:val="single" w:sz="4" w:space="0" w:color="auto"/>
              <w:left w:val="single" w:sz="4" w:space="0" w:color="auto"/>
              <w:bottom w:val="single" w:sz="4" w:space="0" w:color="auto"/>
              <w:right w:val="single" w:sz="4" w:space="0" w:color="auto"/>
            </w:tcBorders>
          </w:tcPr>
          <w:p w14:paraId="4FD9A6B1" w14:textId="77777777" w:rsidR="00A50A73" w:rsidRPr="004C4FBD" w:rsidRDefault="00A50A73" w:rsidP="00241513">
            <w:pPr>
              <w:ind w:right="3"/>
              <w:contextualSpacing/>
              <w:jc w:val="center"/>
              <w:rPr>
                <w:b/>
                <w:bCs/>
                <w:szCs w:val="24"/>
              </w:rPr>
            </w:pPr>
          </w:p>
        </w:tc>
        <w:tc>
          <w:tcPr>
            <w:tcW w:w="214" w:type="pct"/>
            <w:tcBorders>
              <w:top w:val="single" w:sz="4" w:space="0" w:color="auto"/>
              <w:left w:val="single" w:sz="4" w:space="0" w:color="auto"/>
              <w:bottom w:val="single" w:sz="4" w:space="0" w:color="auto"/>
              <w:right w:val="single" w:sz="4" w:space="0" w:color="auto"/>
            </w:tcBorders>
          </w:tcPr>
          <w:p w14:paraId="6BDCA1DA" w14:textId="77777777" w:rsidR="00A50A73" w:rsidRPr="004C4FBD" w:rsidRDefault="00A50A73" w:rsidP="00241513">
            <w:pPr>
              <w:ind w:right="3"/>
              <w:contextualSpacing/>
              <w:jc w:val="center"/>
              <w:rPr>
                <w:b/>
                <w:bCs/>
                <w:szCs w:val="24"/>
              </w:rPr>
            </w:pPr>
          </w:p>
        </w:tc>
        <w:tc>
          <w:tcPr>
            <w:tcW w:w="249" w:type="pct"/>
            <w:tcBorders>
              <w:top w:val="single" w:sz="4" w:space="0" w:color="auto"/>
              <w:left w:val="single" w:sz="4" w:space="0" w:color="auto"/>
              <w:bottom w:val="single" w:sz="4" w:space="0" w:color="auto"/>
              <w:right w:val="single" w:sz="4" w:space="0" w:color="auto"/>
            </w:tcBorders>
          </w:tcPr>
          <w:p w14:paraId="0A3A0D6D" w14:textId="77777777" w:rsidR="00A50A73" w:rsidRPr="004C4FBD" w:rsidRDefault="00A50A73" w:rsidP="00241513">
            <w:pPr>
              <w:ind w:right="3"/>
              <w:contextualSpacing/>
              <w:jc w:val="center"/>
              <w:rPr>
                <w:b/>
                <w:bCs/>
                <w:szCs w:val="24"/>
              </w:rPr>
            </w:pPr>
          </w:p>
        </w:tc>
        <w:tc>
          <w:tcPr>
            <w:tcW w:w="265" w:type="pct"/>
            <w:tcBorders>
              <w:top w:val="single" w:sz="4" w:space="0" w:color="auto"/>
              <w:left w:val="single" w:sz="4" w:space="0" w:color="auto"/>
              <w:bottom w:val="single" w:sz="4" w:space="0" w:color="auto"/>
              <w:right w:val="single" w:sz="4" w:space="0" w:color="auto"/>
            </w:tcBorders>
          </w:tcPr>
          <w:p w14:paraId="7021D15B" w14:textId="77777777" w:rsidR="00A50A73" w:rsidRPr="004C4FBD" w:rsidRDefault="00A50A73" w:rsidP="00241513">
            <w:pPr>
              <w:ind w:right="3"/>
              <w:contextualSpacing/>
              <w:jc w:val="center"/>
              <w:rPr>
                <w:b/>
                <w:bCs/>
                <w:szCs w:val="24"/>
              </w:rPr>
            </w:pPr>
          </w:p>
        </w:tc>
      </w:tr>
      <w:tr w:rsidR="00A50A73" w:rsidRPr="004C4FBD" w14:paraId="657B90D4" w14:textId="77777777" w:rsidTr="00241513">
        <w:trPr>
          <w:jc w:val="center"/>
        </w:trPr>
        <w:tc>
          <w:tcPr>
            <w:tcW w:w="312" w:type="pct"/>
            <w:tcBorders>
              <w:top w:val="single" w:sz="4" w:space="0" w:color="auto"/>
              <w:left w:val="single" w:sz="4" w:space="0" w:color="auto"/>
              <w:bottom w:val="single" w:sz="4" w:space="0" w:color="auto"/>
              <w:right w:val="single" w:sz="4" w:space="0" w:color="auto"/>
            </w:tcBorders>
          </w:tcPr>
          <w:p w14:paraId="57E756A3" w14:textId="77777777" w:rsidR="00A50A73" w:rsidRPr="004C4FBD" w:rsidRDefault="00A50A73" w:rsidP="00241513">
            <w:pPr>
              <w:ind w:right="3"/>
              <w:contextualSpacing/>
              <w:jc w:val="center"/>
              <w:rPr>
                <w:b/>
                <w:bCs/>
                <w:szCs w:val="24"/>
              </w:rPr>
            </w:pPr>
          </w:p>
        </w:tc>
        <w:tc>
          <w:tcPr>
            <w:tcW w:w="317" w:type="pct"/>
            <w:tcBorders>
              <w:top w:val="single" w:sz="4" w:space="0" w:color="auto"/>
              <w:left w:val="single" w:sz="4" w:space="0" w:color="auto"/>
              <w:bottom w:val="single" w:sz="4" w:space="0" w:color="auto"/>
              <w:right w:val="single" w:sz="4" w:space="0" w:color="auto"/>
            </w:tcBorders>
          </w:tcPr>
          <w:p w14:paraId="60F38713" w14:textId="77777777" w:rsidR="00A50A73" w:rsidRPr="004C4FBD" w:rsidRDefault="00A50A73" w:rsidP="00241513">
            <w:pPr>
              <w:ind w:right="3"/>
              <w:contextualSpacing/>
              <w:jc w:val="center"/>
              <w:rPr>
                <w:b/>
                <w:bCs/>
                <w:szCs w:val="24"/>
              </w:rPr>
            </w:pPr>
          </w:p>
        </w:tc>
        <w:tc>
          <w:tcPr>
            <w:tcW w:w="314" w:type="pct"/>
            <w:tcBorders>
              <w:top w:val="single" w:sz="4" w:space="0" w:color="auto"/>
              <w:left w:val="single" w:sz="4" w:space="0" w:color="auto"/>
              <w:bottom w:val="single" w:sz="4" w:space="0" w:color="auto"/>
              <w:right w:val="single" w:sz="4" w:space="0" w:color="auto"/>
            </w:tcBorders>
          </w:tcPr>
          <w:p w14:paraId="7991D843" w14:textId="77777777" w:rsidR="00A50A73" w:rsidRPr="004C4FBD" w:rsidRDefault="00A50A73" w:rsidP="00241513">
            <w:pPr>
              <w:ind w:right="3"/>
              <w:contextualSpacing/>
              <w:jc w:val="center"/>
              <w:rPr>
                <w:b/>
                <w:bCs/>
                <w:szCs w:val="24"/>
              </w:rPr>
            </w:pPr>
          </w:p>
        </w:tc>
        <w:tc>
          <w:tcPr>
            <w:tcW w:w="317" w:type="pct"/>
            <w:tcBorders>
              <w:top w:val="single" w:sz="4" w:space="0" w:color="auto"/>
              <w:left w:val="single" w:sz="4" w:space="0" w:color="auto"/>
              <w:bottom w:val="single" w:sz="4" w:space="0" w:color="auto"/>
              <w:right w:val="single" w:sz="4" w:space="0" w:color="auto"/>
            </w:tcBorders>
          </w:tcPr>
          <w:p w14:paraId="6B2285E9" w14:textId="77777777" w:rsidR="00A50A73" w:rsidRPr="004C4FBD" w:rsidRDefault="00A50A73" w:rsidP="00241513">
            <w:pPr>
              <w:ind w:right="3"/>
              <w:contextualSpacing/>
              <w:jc w:val="center"/>
              <w:rPr>
                <w:b/>
                <w:bCs/>
                <w:szCs w:val="24"/>
              </w:rPr>
            </w:pPr>
          </w:p>
        </w:tc>
        <w:tc>
          <w:tcPr>
            <w:tcW w:w="312" w:type="pct"/>
            <w:tcBorders>
              <w:top w:val="single" w:sz="4" w:space="0" w:color="auto"/>
              <w:left w:val="single" w:sz="4" w:space="0" w:color="auto"/>
              <w:bottom w:val="single" w:sz="4" w:space="0" w:color="auto"/>
              <w:right w:val="single" w:sz="4" w:space="0" w:color="auto"/>
            </w:tcBorders>
          </w:tcPr>
          <w:p w14:paraId="26783A5A" w14:textId="77777777" w:rsidR="00A50A73" w:rsidRPr="004C4FBD" w:rsidRDefault="00A50A73" w:rsidP="00241513">
            <w:pPr>
              <w:ind w:right="3"/>
              <w:contextualSpacing/>
              <w:jc w:val="center"/>
              <w:rPr>
                <w:b/>
                <w:bCs/>
                <w:szCs w:val="24"/>
              </w:rPr>
            </w:pPr>
          </w:p>
        </w:tc>
        <w:tc>
          <w:tcPr>
            <w:tcW w:w="470" w:type="pct"/>
            <w:tcBorders>
              <w:top w:val="single" w:sz="4" w:space="0" w:color="auto"/>
              <w:left w:val="single" w:sz="4" w:space="0" w:color="auto"/>
              <w:bottom w:val="single" w:sz="4" w:space="0" w:color="auto"/>
              <w:right w:val="single" w:sz="4" w:space="0" w:color="auto"/>
            </w:tcBorders>
          </w:tcPr>
          <w:p w14:paraId="6D63482A" w14:textId="77777777" w:rsidR="00A50A73" w:rsidRPr="004C4FBD" w:rsidRDefault="00A50A73" w:rsidP="00241513">
            <w:pPr>
              <w:ind w:right="3"/>
              <w:contextualSpacing/>
              <w:jc w:val="center"/>
              <w:rPr>
                <w:b/>
                <w:bCs/>
                <w:szCs w:val="24"/>
              </w:rPr>
            </w:pPr>
          </w:p>
        </w:tc>
        <w:tc>
          <w:tcPr>
            <w:tcW w:w="242" w:type="pct"/>
            <w:tcBorders>
              <w:top w:val="single" w:sz="4" w:space="0" w:color="auto"/>
              <w:left w:val="single" w:sz="4" w:space="0" w:color="auto"/>
              <w:bottom w:val="single" w:sz="4" w:space="0" w:color="auto"/>
              <w:right w:val="single" w:sz="4" w:space="0" w:color="auto"/>
            </w:tcBorders>
          </w:tcPr>
          <w:p w14:paraId="14D45950" w14:textId="77777777" w:rsidR="00A50A73" w:rsidRPr="004C4FBD" w:rsidRDefault="00A50A73" w:rsidP="00241513">
            <w:pPr>
              <w:ind w:right="3"/>
              <w:contextualSpacing/>
              <w:jc w:val="center"/>
              <w:rPr>
                <w:b/>
                <w:bCs/>
                <w:szCs w:val="24"/>
              </w:rPr>
            </w:pPr>
          </w:p>
        </w:tc>
        <w:tc>
          <w:tcPr>
            <w:tcW w:w="241" w:type="pct"/>
            <w:tcBorders>
              <w:top w:val="single" w:sz="4" w:space="0" w:color="auto"/>
              <w:left w:val="single" w:sz="4" w:space="0" w:color="auto"/>
              <w:bottom w:val="single" w:sz="4" w:space="0" w:color="auto"/>
              <w:right w:val="single" w:sz="4" w:space="0" w:color="auto"/>
            </w:tcBorders>
          </w:tcPr>
          <w:p w14:paraId="317314D3" w14:textId="77777777" w:rsidR="00A50A73" w:rsidRPr="004C4FBD" w:rsidRDefault="00A50A73" w:rsidP="00241513">
            <w:pPr>
              <w:ind w:right="3"/>
              <w:contextualSpacing/>
              <w:jc w:val="center"/>
              <w:rPr>
                <w:b/>
                <w:bCs/>
                <w:szCs w:val="24"/>
              </w:rPr>
            </w:pPr>
          </w:p>
        </w:tc>
        <w:tc>
          <w:tcPr>
            <w:tcW w:w="288" w:type="pct"/>
            <w:tcBorders>
              <w:top w:val="single" w:sz="4" w:space="0" w:color="auto"/>
              <w:left w:val="single" w:sz="4" w:space="0" w:color="auto"/>
              <w:bottom w:val="single" w:sz="4" w:space="0" w:color="auto"/>
              <w:right w:val="single" w:sz="4" w:space="0" w:color="auto"/>
            </w:tcBorders>
          </w:tcPr>
          <w:p w14:paraId="26F2B66D" w14:textId="77777777" w:rsidR="00A50A73" w:rsidRPr="004C4FBD" w:rsidRDefault="00A50A73" w:rsidP="00241513">
            <w:pPr>
              <w:ind w:right="3"/>
              <w:contextualSpacing/>
              <w:jc w:val="center"/>
              <w:rPr>
                <w:b/>
                <w:bCs/>
                <w:szCs w:val="24"/>
              </w:rPr>
            </w:pPr>
          </w:p>
        </w:tc>
        <w:tc>
          <w:tcPr>
            <w:tcW w:w="365" w:type="pct"/>
            <w:tcBorders>
              <w:top w:val="single" w:sz="4" w:space="0" w:color="auto"/>
              <w:left w:val="single" w:sz="4" w:space="0" w:color="auto"/>
              <w:bottom w:val="single" w:sz="4" w:space="0" w:color="auto"/>
              <w:right w:val="single" w:sz="4" w:space="0" w:color="auto"/>
            </w:tcBorders>
          </w:tcPr>
          <w:p w14:paraId="484D29EC" w14:textId="77777777" w:rsidR="00A50A73" w:rsidRPr="004C4FBD" w:rsidRDefault="00A50A73" w:rsidP="00241513">
            <w:pPr>
              <w:ind w:right="3"/>
              <w:contextualSpacing/>
              <w:jc w:val="center"/>
              <w:rPr>
                <w:b/>
                <w:bCs/>
                <w:szCs w:val="24"/>
              </w:rPr>
            </w:pPr>
          </w:p>
        </w:tc>
        <w:tc>
          <w:tcPr>
            <w:tcW w:w="258" w:type="pct"/>
            <w:tcBorders>
              <w:top w:val="single" w:sz="4" w:space="0" w:color="auto"/>
              <w:left w:val="single" w:sz="4" w:space="0" w:color="auto"/>
              <w:bottom w:val="single" w:sz="4" w:space="0" w:color="auto"/>
              <w:right w:val="single" w:sz="4" w:space="0" w:color="auto"/>
            </w:tcBorders>
          </w:tcPr>
          <w:p w14:paraId="534E10A9" w14:textId="77777777" w:rsidR="00A50A73" w:rsidRPr="004C4FBD" w:rsidRDefault="00A50A73" w:rsidP="00241513">
            <w:pPr>
              <w:ind w:right="3"/>
              <w:contextualSpacing/>
              <w:jc w:val="center"/>
              <w:rPr>
                <w:b/>
                <w:bCs/>
                <w:szCs w:val="24"/>
              </w:rPr>
            </w:pPr>
          </w:p>
        </w:tc>
        <w:tc>
          <w:tcPr>
            <w:tcW w:w="225" w:type="pct"/>
            <w:tcBorders>
              <w:top w:val="single" w:sz="4" w:space="0" w:color="auto"/>
              <w:left w:val="single" w:sz="4" w:space="0" w:color="auto"/>
              <w:bottom w:val="single" w:sz="4" w:space="0" w:color="auto"/>
              <w:right w:val="single" w:sz="4" w:space="0" w:color="auto"/>
            </w:tcBorders>
          </w:tcPr>
          <w:p w14:paraId="74E1F9A2" w14:textId="77777777" w:rsidR="00A50A73" w:rsidRPr="004C4FBD" w:rsidRDefault="00A50A73" w:rsidP="00241513">
            <w:pPr>
              <w:ind w:right="3"/>
              <w:contextualSpacing/>
              <w:jc w:val="center"/>
              <w:rPr>
                <w:b/>
                <w:bCs/>
                <w:szCs w:val="24"/>
              </w:rPr>
            </w:pPr>
          </w:p>
        </w:tc>
        <w:tc>
          <w:tcPr>
            <w:tcW w:w="198" w:type="pct"/>
            <w:tcBorders>
              <w:top w:val="single" w:sz="4" w:space="0" w:color="auto"/>
              <w:left w:val="single" w:sz="4" w:space="0" w:color="auto"/>
              <w:bottom w:val="single" w:sz="4" w:space="0" w:color="auto"/>
              <w:right w:val="single" w:sz="4" w:space="0" w:color="auto"/>
            </w:tcBorders>
          </w:tcPr>
          <w:p w14:paraId="1C32BEAE" w14:textId="77777777" w:rsidR="00A50A73" w:rsidRPr="004C4FBD" w:rsidRDefault="00A50A73" w:rsidP="00241513">
            <w:pPr>
              <w:ind w:right="3"/>
              <w:contextualSpacing/>
              <w:jc w:val="center"/>
              <w:rPr>
                <w:b/>
                <w:bCs/>
                <w:szCs w:val="24"/>
              </w:rPr>
            </w:pPr>
          </w:p>
        </w:tc>
        <w:tc>
          <w:tcPr>
            <w:tcW w:w="214" w:type="pct"/>
            <w:tcBorders>
              <w:top w:val="single" w:sz="4" w:space="0" w:color="auto"/>
              <w:left w:val="single" w:sz="4" w:space="0" w:color="auto"/>
              <w:bottom w:val="single" w:sz="4" w:space="0" w:color="auto"/>
              <w:right w:val="single" w:sz="4" w:space="0" w:color="auto"/>
            </w:tcBorders>
          </w:tcPr>
          <w:p w14:paraId="61C9D261" w14:textId="77777777" w:rsidR="00A50A73" w:rsidRPr="004C4FBD" w:rsidRDefault="00A50A73" w:rsidP="00241513">
            <w:pPr>
              <w:ind w:right="3"/>
              <w:contextualSpacing/>
              <w:jc w:val="center"/>
              <w:rPr>
                <w:b/>
                <w:bCs/>
                <w:szCs w:val="24"/>
              </w:rPr>
            </w:pPr>
          </w:p>
        </w:tc>
        <w:tc>
          <w:tcPr>
            <w:tcW w:w="198" w:type="pct"/>
            <w:tcBorders>
              <w:top w:val="single" w:sz="4" w:space="0" w:color="auto"/>
              <w:left w:val="single" w:sz="4" w:space="0" w:color="auto"/>
              <w:bottom w:val="single" w:sz="4" w:space="0" w:color="auto"/>
              <w:right w:val="single" w:sz="4" w:space="0" w:color="auto"/>
            </w:tcBorders>
          </w:tcPr>
          <w:p w14:paraId="1698C3C9" w14:textId="77777777" w:rsidR="00A50A73" w:rsidRPr="004C4FBD" w:rsidRDefault="00A50A73" w:rsidP="00241513">
            <w:pPr>
              <w:ind w:right="3"/>
              <w:contextualSpacing/>
              <w:jc w:val="center"/>
              <w:rPr>
                <w:b/>
                <w:bCs/>
                <w:szCs w:val="24"/>
              </w:rPr>
            </w:pPr>
          </w:p>
        </w:tc>
        <w:tc>
          <w:tcPr>
            <w:tcW w:w="214" w:type="pct"/>
            <w:tcBorders>
              <w:top w:val="single" w:sz="4" w:space="0" w:color="auto"/>
              <w:left w:val="single" w:sz="4" w:space="0" w:color="auto"/>
              <w:bottom w:val="single" w:sz="4" w:space="0" w:color="auto"/>
              <w:right w:val="single" w:sz="4" w:space="0" w:color="auto"/>
            </w:tcBorders>
          </w:tcPr>
          <w:p w14:paraId="7D9BA2C0" w14:textId="77777777" w:rsidR="00A50A73" w:rsidRPr="004C4FBD" w:rsidRDefault="00A50A73" w:rsidP="00241513">
            <w:pPr>
              <w:ind w:right="3"/>
              <w:contextualSpacing/>
              <w:jc w:val="center"/>
              <w:rPr>
                <w:b/>
                <w:bCs/>
                <w:szCs w:val="24"/>
              </w:rPr>
            </w:pPr>
          </w:p>
        </w:tc>
        <w:tc>
          <w:tcPr>
            <w:tcW w:w="249" w:type="pct"/>
            <w:tcBorders>
              <w:top w:val="single" w:sz="4" w:space="0" w:color="auto"/>
              <w:left w:val="single" w:sz="4" w:space="0" w:color="auto"/>
              <w:bottom w:val="single" w:sz="4" w:space="0" w:color="auto"/>
              <w:right w:val="single" w:sz="4" w:space="0" w:color="auto"/>
            </w:tcBorders>
          </w:tcPr>
          <w:p w14:paraId="56BF8A72" w14:textId="77777777" w:rsidR="00A50A73" w:rsidRPr="004C4FBD" w:rsidRDefault="00A50A73" w:rsidP="00241513">
            <w:pPr>
              <w:ind w:right="3"/>
              <w:contextualSpacing/>
              <w:jc w:val="center"/>
              <w:rPr>
                <w:b/>
                <w:bCs/>
                <w:szCs w:val="24"/>
              </w:rPr>
            </w:pPr>
          </w:p>
        </w:tc>
        <w:tc>
          <w:tcPr>
            <w:tcW w:w="265" w:type="pct"/>
            <w:tcBorders>
              <w:top w:val="single" w:sz="4" w:space="0" w:color="auto"/>
              <w:left w:val="single" w:sz="4" w:space="0" w:color="auto"/>
              <w:bottom w:val="single" w:sz="4" w:space="0" w:color="auto"/>
              <w:right w:val="single" w:sz="4" w:space="0" w:color="auto"/>
            </w:tcBorders>
          </w:tcPr>
          <w:p w14:paraId="0D2F2A6F" w14:textId="77777777" w:rsidR="00A50A73" w:rsidRPr="004C4FBD" w:rsidRDefault="00A50A73" w:rsidP="00241513">
            <w:pPr>
              <w:ind w:right="3"/>
              <w:contextualSpacing/>
              <w:jc w:val="center"/>
              <w:rPr>
                <w:b/>
                <w:bCs/>
                <w:szCs w:val="24"/>
              </w:rPr>
            </w:pPr>
          </w:p>
        </w:tc>
      </w:tr>
      <w:tr w:rsidR="00A50A73" w:rsidRPr="004C4FBD" w14:paraId="2277682B" w14:textId="77777777" w:rsidTr="00241513">
        <w:trPr>
          <w:jc w:val="center"/>
        </w:trPr>
        <w:tc>
          <w:tcPr>
            <w:tcW w:w="312" w:type="pct"/>
            <w:tcBorders>
              <w:top w:val="single" w:sz="4" w:space="0" w:color="auto"/>
              <w:left w:val="single" w:sz="4" w:space="0" w:color="auto"/>
              <w:bottom w:val="single" w:sz="4" w:space="0" w:color="auto"/>
              <w:right w:val="single" w:sz="4" w:space="0" w:color="auto"/>
            </w:tcBorders>
          </w:tcPr>
          <w:p w14:paraId="5070112C" w14:textId="77777777" w:rsidR="00A50A73" w:rsidRPr="004C4FBD" w:rsidRDefault="00A50A73" w:rsidP="00241513">
            <w:pPr>
              <w:ind w:right="3"/>
              <w:contextualSpacing/>
              <w:jc w:val="center"/>
              <w:rPr>
                <w:b/>
                <w:bCs/>
                <w:szCs w:val="24"/>
              </w:rPr>
            </w:pPr>
          </w:p>
        </w:tc>
        <w:tc>
          <w:tcPr>
            <w:tcW w:w="317" w:type="pct"/>
            <w:tcBorders>
              <w:top w:val="single" w:sz="4" w:space="0" w:color="auto"/>
              <w:left w:val="single" w:sz="4" w:space="0" w:color="auto"/>
              <w:bottom w:val="single" w:sz="4" w:space="0" w:color="auto"/>
              <w:right w:val="single" w:sz="4" w:space="0" w:color="auto"/>
            </w:tcBorders>
          </w:tcPr>
          <w:p w14:paraId="764F9DFF" w14:textId="77777777" w:rsidR="00A50A73" w:rsidRPr="004C4FBD" w:rsidRDefault="00A50A73" w:rsidP="00241513">
            <w:pPr>
              <w:ind w:right="3"/>
              <w:contextualSpacing/>
              <w:jc w:val="center"/>
              <w:rPr>
                <w:b/>
                <w:bCs/>
                <w:szCs w:val="24"/>
              </w:rPr>
            </w:pPr>
          </w:p>
        </w:tc>
        <w:tc>
          <w:tcPr>
            <w:tcW w:w="314" w:type="pct"/>
            <w:tcBorders>
              <w:top w:val="single" w:sz="4" w:space="0" w:color="auto"/>
              <w:left w:val="single" w:sz="4" w:space="0" w:color="auto"/>
              <w:bottom w:val="single" w:sz="4" w:space="0" w:color="auto"/>
              <w:right w:val="single" w:sz="4" w:space="0" w:color="auto"/>
            </w:tcBorders>
          </w:tcPr>
          <w:p w14:paraId="676D37BF" w14:textId="77777777" w:rsidR="00A50A73" w:rsidRPr="004C4FBD" w:rsidRDefault="00A50A73" w:rsidP="00241513">
            <w:pPr>
              <w:ind w:right="3"/>
              <w:contextualSpacing/>
              <w:jc w:val="center"/>
              <w:rPr>
                <w:b/>
                <w:bCs/>
                <w:szCs w:val="24"/>
              </w:rPr>
            </w:pPr>
          </w:p>
        </w:tc>
        <w:tc>
          <w:tcPr>
            <w:tcW w:w="317" w:type="pct"/>
            <w:tcBorders>
              <w:top w:val="single" w:sz="4" w:space="0" w:color="auto"/>
              <w:left w:val="single" w:sz="4" w:space="0" w:color="auto"/>
              <w:bottom w:val="single" w:sz="4" w:space="0" w:color="auto"/>
              <w:right w:val="single" w:sz="4" w:space="0" w:color="auto"/>
            </w:tcBorders>
          </w:tcPr>
          <w:p w14:paraId="64007AD1" w14:textId="77777777" w:rsidR="00A50A73" w:rsidRPr="004C4FBD" w:rsidRDefault="00A50A73" w:rsidP="00241513">
            <w:pPr>
              <w:ind w:right="3"/>
              <w:contextualSpacing/>
              <w:jc w:val="center"/>
              <w:rPr>
                <w:b/>
                <w:bCs/>
                <w:szCs w:val="24"/>
              </w:rPr>
            </w:pPr>
          </w:p>
        </w:tc>
        <w:tc>
          <w:tcPr>
            <w:tcW w:w="312" w:type="pct"/>
            <w:tcBorders>
              <w:top w:val="single" w:sz="4" w:space="0" w:color="auto"/>
              <w:left w:val="single" w:sz="4" w:space="0" w:color="auto"/>
              <w:bottom w:val="single" w:sz="4" w:space="0" w:color="auto"/>
              <w:right w:val="single" w:sz="4" w:space="0" w:color="auto"/>
            </w:tcBorders>
          </w:tcPr>
          <w:p w14:paraId="01749B5E" w14:textId="77777777" w:rsidR="00A50A73" w:rsidRPr="004C4FBD" w:rsidRDefault="00A50A73" w:rsidP="00241513">
            <w:pPr>
              <w:ind w:right="3"/>
              <w:contextualSpacing/>
              <w:jc w:val="center"/>
              <w:rPr>
                <w:b/>
                <w:bCs/>
                <w:szCs w:val="24"/>
              </w:rPr>
            </w:pPr>
          </w:p>
        </w:tc>
        <w:tc>
          <w:tcPr>
            <w:tcW w:w="470" w:type="pct"/>
            <w:tcBorders>
              <w:top w:val="single" w:sz="4" w:space="0" w:color="auto"/>
              <w:left w:val="single" w:sz="4" w:space="0" w:color="auto"/>
              <w:bottom w:val="single" w:sz="4" w:space="0" w:color="auto"/>
              <w:right w:val="single" w:sz="4" w:space="0" w:color="auto"/>
            </w:tcBorders>
          </w:tcPr>
          <w:p w14:paraId="717906CA" w14:textId="77777777" w:rsidR="00A50A73" w:rsidRPr="004C4FBD" w:rsidRDefault="00A50A73" w:rsidP="00241513">
            <w:pPr>
              <w:ind w:right="3"/>
              <w:contextualSpacing/>
              <w:jc w:val="center"/>
              <w:rPr>
                <w:b/>
                <w:bCs/>
                <w:szCs w:val="24"/>
              </w:rPr>
            </w:pPr>
          </w:p>
        </w:tc>
        <w:tc>
          <w:tcPr>
            <w:tcW w:w="242" w:type="pct"/>
            <w:tcBorders>
              <w:top w:val="single" w:sz="4" w:space="0" w:color="auto"/>
              <w:left w:val="single" w:sz="4" w:space="0" w:color="auto"/>
              <w:bottom w:val="single" w:sz="4" w:space="0" w:color="auto"/>
              <w:right w:val="single" w:sz="4" w:space="0" w:color="auto"/>
            </w:tcBorders>
          </w:tcPr>
          <w:p w14:paraId="4B066294" w14:textId="77777777" w:rsidR="00A50A73" w:rsidRPr="004C4FBD" w:rsidRDefault="00A50A73" w:rsidP="00241513">
            <w:pPr>
              <w:ind w:right="3"/>
              <w:contextualSpacing/>
              <w:jc w:val="center"/>
              <w:rPr>
                <w:b/>
                <w:bCs/>
                <w:szCs w:val="24"/>
              </w:rPr>
            </w:pPr>
          </w:p>
        </w:tc>
        <w:tc>
          <w:tcPr>
            <w:tcW w:w="241" w:type="pct"/>
            <w:tcBorders>
              <w:top w:val="single" w:sz="4" w:space="0" w:color="auto"/>
              <w:left w:val="single" w:sz="4" w:space="0" w:color="auto"/>
              <w:bottom w:val="single" w:sz="4" w:space="0" w:color="auto"/>
              <w:right w:val="single" w:sz="4" w:space="0" w:color="auto"/>
            </w:tcBorders>
          </w:tcPr>
          <w:p w14:paraId="4F009C0F" w14:textId="77777777" w:rsidR="00A50A73" w:rsidRPr="004C4FBD" w:rsidRDefault="00A50A73" w:rsidP="00241513">
            <w:pPr>
              <w:ind w:right="3"/>
              <w:contextualSpacing/>
              <w:jc w:val="center"/>
              <w:rPr>
                <w:b/>
                <w:bCs/>
                <w:szCs w:val="24"/>
              </w:rPr>
            </w:pPr>
          </w:p>
        </w:tc>
        <w:tc>
          <w:tcPr>
            <w:tcW w:w="288" w:type="pct"/>
            <w:tcBorders>
              <w:top w:val="single" w:sz="4" w:space="0" w:color="auto"/>
              <w:left w:val="single" w:sz="4" w:space="0" w:color="auto"/>
              <w:bottom w:val="single" w:sz="4" w:space="0" w:color="auto"/>
              <w:right w:val="single" w:sz="4" w:space="0" w:color="auto"/>
            </w:tcBorders>
          </w:tcPr>
          <w:p w14:paraId="656FD28C" w14:textId="77777777" w:rsidR="00A50A73" w:rsidRPr="004C4FBD" w:rsidRDefault="00A50A73" w:rsidP="00241513">
            <w:pPr>
              <w:ind w:right="3"/>
              <w:contextualSpacing/>
              <w:jc w:val="center"/>
              <w:rPr>
                <w:b/>
                <w:bCs/>
                <w:szCs w:val="24"/>
              </w:rPr>
            </w:pPr>
          </w:p>
        </w:tc>
        <w:tc>
          <w:tcPr>
            <w:tcW w:w="365" w:type="pct"/>
            <w:tcBorders>
              <w:top w:val="single" w:sz="4" w:space="0" w:color="auto"/>
              <w:left w:val="single" w:sz="4" w:space="0" w:color="auto"/>
              <w:bottom w:val="single" w:sz="4" w:space="0" w:color="auto"/>
              <w:right w:val="single" w:sz="4" w:space="0" w:color="auto"/>
            </w:tcBorders>
          </w:tcPr>
          <w:p w14:paraId="0DED42AB" w14:textId="77777777" w:rsidR="00A50A73" w:rsidRPr="004C4FBD" w:rsidRDefault="00A50A73" w:rsidP="00241513">
            <w:pPr>
              <w:ind w:right="3"/>
              <w:contextualSpacing/>
              <w:jc w:val="center"/>
              <w:rPr>
                <w:b/>
                <w:bCs/>
                <w:szCs w:val="24"/>
              </w:rPr>
            </w:pPr>
          </w:p>
        </w:tc>
        <w:tc>
          <w:tcPr>
            <w:tcW w:w="258" w:type="pct"/>
            <w:tcBorders>
              <w:top w:val="single" w:sz="4" w:space="0" w:color="auto"/>
              <w:left w:val="single" w:sz="4" w:space="0" w:color="auto"/>
              <w:bottom w:val="single" w:sz="4" w:space="0" w:color="auto"/>
              <w:right w:val="single" w:sz="4" w:space="0" w:color="auto"/>
            </w:tcBorders>
          </w:tcPr>
          <w:p w14:paraId="62234C9F" w14:textId="77777777" w:rsidR="00A50A73" w:rsidRPr="004C4FBD" w:rsidRDefault="00A50A73" w:rsidP="00241513">
            <w:pPr>
              <w:ind w:right="3"/>
              <w:contextualSpacing/>
              <w:jc w:val="center"/>
              <w:rPr>
                <w:b/>
                <w:bCs/>
                <w:szCs w:val="24"/>
              </w:rPr>
            </w:pPr>
          </w:p>
        </w:tc>
        <w:tc>
          <w:tcPr>
            <w:tcW w:w="225" w:type="pct"/>
            <w:tcBorders>
              <w:top w:val="single" w:sz="4" w:space="0" w:color="auto"/>
              <w:left w:val="single" w:sz="4" w:space="0" w:color="auto"/>
              <w:bottom w:val="single" w:sz="4" w:space="0" w:color="auto"/>
              <w:right w:val="single" w:sz="4" w:space="0" w:color="auto"/>
            </w:tcBorders>
          </w:tcPr>
          <w:p w14:paraId="7F3F59EE" w14:textId="77777777" w:rsidR="00A50A73" w:rsidRPr="004C4FBD" w:rsidRDefault="00A50A73" w:rsidP="00241513">
            <w:pPr>
              <w:ind w:right="3"/>
              <w:contextualSpacing/>
              <w:jc w:val="center"/>
              <w:rPr>
                <w:b/>
                <w:bCs/>
                <w:szCs w:val="24"/>
              </w:rPr>
            </w:pPr>
          </w:p>
        </w:tc>
        <w:tc>
          <w:tcPr>
            <w:tcW w:w="198" w:type="pct"/>
            <w:tcBorders>
              <w:top w:val="single" w:sz="4" w:space="0" w:color="auto"/>
              <w:left w:val="single" w:sz="4" w:space="0" w:color="auto"/>
              <w:bottom w:val="single" w:sz="4" w:space="0" w:color="auto"/>
              <w:right w:val="single" w:sz="4" w:space="0" w:color="auto"/>
            </w:tcBorders>
          </w:tcPr>
          <w:p w14:paraId="3C6A0E6D" w14:textId="77777777" w:rsidR="00A50A73" w:rsidRPr="004C4FBD" w:rsidRDefault="00A50A73" w:rsidP="00241513">
            <w:pPr>
              <w:ind w:right="3"/>
              <w:contextualSpacing/>
              <w:jc w:val="center"/>
              <w:rPr>
                <w:b/>
                <w:bCs/>
                <w:szCs w:val="24"/>
              </w:rPr>
            </w:pPr>
          </w:p>
        </w:tc>
        <w:tc>
          <w:tcPr>
            <w:tcW w:w="214" w:type="pct"/>
            <w:tcBorders>
              <w:top w:val="single" w:sz="4" w:space="0" w:color="auto"/>
              <w:left w:val="single" w:sz="4" w:space="0" w:color="auto"/>
              <w:bottom w:val="single" w:sz="4" w:space="0" w:color="auto"/>
              <w:right w:val="single" w:sz="4" w:space="0" w:color="auto"/>
            </w:tcBorders>
          </w:tcPr>
          <w:p w14:paraId="4BB834F4" w14:textId="77777777" w:rsidR="00A50A73" w:rsidRPr="004C4FBD" w:rsidRDefault="00A50A73" w:rsidP="00241513">
            <w:pPr>
              <w:ind w:right="3"/>
              <w:contextualSpacing/>
              <w:jc w:val="center"/>
              <w:rPr>
                <w:b/>
                <w:bCs/>
                <w:szCs w:val="24"/>
              </w:rPr>
            </w:pPr>
          </w:p>
        </w:tc>
        <w:tc>
          <w:tcPr>
            <w:tcW w:w="198" w:type="pct"/>
            <w:tcBorders>
              <w:top w:val="single" w:sz="4" w:space="0" w:color="auto"/>
              <w:left w:val="single" w:sz="4" w:space="0" w:color="auto"/>
              <w:bottom w:val="single" w:sz="4" w:space="0" w:color="auto"/>
              <w:right w:val="single" w:sz="4" w:space="0" w:color="auto"/>
            </w:tcBorders>
          </w:tcPr>
          <w:p w14:paraId="74D447CF" w14:textId="77777777" w:rsidR="00A50A73" w:rsidRPr="004C4FBD" w:rsidRDefault="00A50A73" w:rsidP="00241513">
            <w:pPr>
              <w:ind w:right="3"/>
              <w:contextualSpacing/>
              <w:jc w:val="center"/>
              <w:rPr>
                <w:b/>
                <w:bCs/>
                <w:szCs w:val="24"/>
              </w:rPr>
            </w:pPr>
          </w:p>
        </w:tc>
        <w:tc>
          <w:tcPr>
            <w:tcW w:w="214" w:type="pct"/>
            <w:tcBorders>
              <w:top w:val="single" w:sz="4" w:space="0" w:color="auto"/>
              <w:left w:val="single" w:sz="4" w:space="0" w:color="auto"/>
              <w:bottom w:val="single" w:sz="4" w:space="0" w:color="auto"/>
              <w:right w:val="single" w:sz="4" w:space="0" w:color="auto"/>
            </w:tcBorders>
          </w:tcPr>
          <w:p w14:paraId="0ED3C1DE" w14:textId="77777777" w:rsidR="00A50A73" w:rsidRPr="004C4FBD" w:rsidRDefault="00A50A73" w:rsidP="00241513">
            <w:pPr>
              <w:ind w:right="3"/>
              <w:contextualSpacing/>
              <w:jc w:val="center"/>
              <w:rPr>
                <w:b/>
                <w:bCs/>
                <w:szCs w:val="24"/>
              </w:rPr>
            </w:pPr>
          </w:p>
        </w:tc>
        <w:tc>
          <w:tcPr>
            <w:tcW w:w="249" w:type="pct"/>
            <w:tcBorders>
              <w:top w:val="single" w:sz="4" w:space="0" w:color="auto"/>
              <w:left w:val="single" w:sz="4" w:space="0" w:color="auto"/>
              <w:bottom w:val="single" w:sz="4" w:space="0" w:color="auto"/>
              <w:right w:val="single" w:sz="4" w:space="0" w:color="auto"/>
            </w:tcBorders>
          </w:tcPr>
          <w:p w14:paraId="6CC12A40" w14:textId="77777777" w:rsidR="00A50A73" w:rsidRPr="004C4FBD" w:rsidRDefault="00A50A73" w:rsidP="00241513">
            <w:pPr>
              <w:ind w:right="3"/>
              <w:contextualSpacing/>
              <w:jc w:val="center"/>
              <w:rPr>
                <w:b/>
                <w:bCs/>
                <w:szCs w:val="24"/>
              </w:rPr>
            </w:pPr>
          </w:p>
        </w:tc>
        <w:tc>
          <w:tcPr>
            <w:tcW w:w="265" w:type="pct"/>
            <w:tcBorders>
              <w:top w:val="single" w:sz="4" w:space="0" w:color="auto"/>
              <w:left w:val="single" w:sz="4" w:space="0" w:color="auto"/>
              <w:bottom w:val="single" w:sz="4" w:space="0" w:color="auto"/>
              <w:right w:val="single" w:sz="4" w:space="0" w:color="auto"/>
            </w:tcBorders>
          </w:tcPr>
          <w:p w14:paraId="497ED9D4" w14:textId="77777777" w:rsidR="00A50A73" w:rsidRPr="004C4FBD" w:rsidRDefault="00A50A73" w:rsidP="00241513">
            <w:pPr>
              <w:ind w:right="3"/>
              <w:contextualSpacing/>
              <w:jc w:val="center"/>
              <w:rPr>
                <w:b/>
                <w:bCs/>
                <w:szCs w:val="24"/>
              </w:rPr>
            </w:pPr>
          </w:p>
        </w:tc>
      </w:tr>
      <w:tr w:rsidR="00A50A73" w:rsidRPr="004C4FBD" w14:paraId="106EFE45" w14:textId="77777777" w:rsidTr="00241513">
        <w:trPr>
          <w:jc w:val="center"/>
        </w:trPr>
        <w:tc>
          <w:tcPr>
            <w:tcW w:w="312" w:type="pct"/>
            <w:tcBorders>
              <w:top w:val="single" w:sz="4" w:space="0" w:color="auto"/>
              <w:left w:val="single" w:sz="4" w:space="0" w:color="auto"/>
              <w:bottom w:val="single" w:sz="4" w:space="0" w:color="auto"/>
              <w:right w:val="single" w:sz="4" w:space="0" w:color="auto"/>
            </w:tcBorders>
          </w:tcPr>
          <w:p w14:paraId="59E3FE67" w14:textId="77777777" w:rsidR="00A50A73" w:rsidRPr="004C4FBD" w:rsidRDefault="00A50A73" w:rsidP="00241513">
            <w:pPr>
              <w:ind w:right="3"/>
              <w:contextualSpacing/>
              <w:jc w:val="center"/>
              <w:rPr>
                <w:b/>
                <w:bCs/>
                <w:szCs w:val="24"/>
              </w:rPr>
            </w:pPr>
          </w:p>
        </w:tc>
        <w:tc>
          <w:tcPr>
            <w:tcW w:w="317" w:type="pct"/>
            <w:tcBorders>
              <w:top w:val="single" w:sz="4" w:space="0" w:color="auto"/>
              <w:left w:val="single" w:sz="4" w:space="0" w:color="auto"/>
              <w:bottom w:val="single" w:sz="4" w:space="0" w:color="auto"/>
              <w:right w:val="single" w:sz="4" w:space="0" w:color="auto"/>
            </w:tcBorders>
          </w:tcPr>
          <w:p w14:paraId="1AA3ABE2" w14:textId="77777777" w:rsidR="00A50A73" w:rsidRPr="004C4FBD" w:rsidRDefault="00A50A73" w:rsidP="00241513">
            <w:pPr>
              <w:ind w:right="3"/>
              <w:contextualSpacing/>
              <w:jc w:val="center"/>
              <w:rPr>
                <w:b/>
                <w:bCs/>
                <w:szCs w:val="24"/>
              </w:rPr>
            </w:pPr>
          </w:p>
        </w:tc>
        <w:tc>
          <w:tcPr>
            <w:tcW w:w="314" w:type="pct"/>
            <w:tcBorders>
              <w:top w:val="single" w:sz="4" w:space="0" w:color="auto"/>
              <w:left w:val="single" w:sz="4" w:space="0" w:color="auto"/>
              <w:bottom w:val="single" w:sz="4" w:space="0" w:color="auto"/>
              <w:right w:val="single" w:sz="4" w:space="0" w:color="auto"/>
            </w:tcBorders>
          </w:tcPr>
          <w:p w14:paraId="1405B740" w14:textId="77777777" w:rsidR="00A50A73" w:rsidRPr="004C4FBD" w:rsidRDefault="00A50A73" w:rsidP="00241513">
            <w:pPr>
              <w:ind w:right="3"/>
              <w:contextualSpacing/>
              <w:jc w:val="center"/>
              <w:rPr>
                <w:b/>
                <w:bCs/>
                <w:szCs w:val="24"/>
              </w:rPr>
            </w:pPr>
          </w:p>
        </w:tc>
        <w:tc>
          <w:tcPr>
            <w:tcW w:w="317" w:type="pct"/>
            <w:tcBorders>
              <w:top w:val="single" w:sz="4" w:space="0" w:color="auto"/>
              <w:left w:val="single" w:sz="4" w:space="0" w:color="auto"/>
              <w:bottom w:val="single" w:sz="4" w:space="0" w:color="auto"/>
              <w:right w:val="single" w:sz="4" w:space="0" w:color="auto"/>
            </w:tcBorders>
          </w:tcPr>
          <w:p w14:paraId="3A53C3EE" w14:textId="77777777" w:rsidR="00A50A73" w:rsidRPr="004C4FBD" w:rsidRDefault="00A50A73" w:rsidP="00241513">
            <w:pPr>
              <w:ind w:right="3"/>
              <w:contextualSpacing/>
              <w:jc w:val="center"/>
              <w:rPr>
                <w:b/>
                <w:bCs/>
                <w:szCs w:val="24"/>
              </w:rPr>
            </w:pPr>
          </w:p>
        </w:tc>
        <w:tc>
          <w:tcPr>
            <w:tcW w:w="312" w:type="pct"/>
            <w:tcBorders>
              <w:top w:val="single" w:sz="4" w:space="0" w:color="auto"/>
              <w:left w:val="single" w:sz="4" w:space="0" w:color="auto"/>
              <w:bottom w:val="single" w:sz="4" w:space="0" w:color="auto"/>
              <w:right w:val="single" w:sz="4" w:space="0" w:color="auto"/>
            </w:tcBorders>
          </w:tcPr>
          <w:p w14:paraId="3A904559" w14:textId="77777777" w:rsidR="00A50A73" w:rsidRPr="004C4FBD" w:rsidRDefault="00A50A73" w:rsidP="00241513">
            <w:pPr>
              <w:ind w:right="3"/>
              <w:contextualSpacing/>
              <w:jc w:val="center"/>
              <w:rPr>
                <w:b/>
                <w:bCs/>
                <w:szCs w:val="24"/>
              </w:rPr>
            </w:pPr>
          </w:p>
        </w:tc>
        <w:tc>
          <w:tcPr>
            <w:tcW w:w="470" w:type="pct"/>
            <w:tcBorders>
              <w:top w:val="single" w:sz="4" w:space="0" w:color="auto"/>
              <w:left w:val="single" w:sz="4" w:space="0" w:color="auto"/>
              <w:bottom w:val="single" w:sz="4" w:space="0" w:color="auto"/>
              <w:right w:val="single" w:sz="4" w:space="0" w:color="auto"/>
            </w:tcBorders>
          </w:tcPr>
          <w:p w14:paraId="4BC13089" w14:textId="77777777" w:rsidR="00A50A73" w:rsidRPr="004C4FBD" w:rsidRDefault="00A50A73" w:rsidP="00241513">
            <w:pPr>
              <w:ind w:right="3"/>
              <w:contextualSpacing/>
              <w:jc w:val="center"/>
              <w:rPr>
                <w:b/>
                <w:bCs/>
                <w:szCs w:val="24"/>
              </w:rPr>
            </w:pPr>
          </w:p>
        </w:tc>
        <w:tc>
          <w:tcPr>
            <w:tcW w:w="242" w:type="pct"/>
            <w:tcBorders>
              <w:top w:val="single" w:sz="4" w:space="0" w:color="auto"/>
              <w:left w:val="single" w:sz="4" w:space="0" w:color="auto"/>
              <w:bottom w:val="single" w:sz="4" w:space="0" w:color="auto"/>
              <w:right w:val="single" w:sz="4" w:space="0" w:color="auto"/>
            </w:tcBorders>
          </w:tcPr>
          <w:p w14:paraId="4D6FE35E" w14:textId="77777777" w:rsidR="00A50A73" w:rsidRPr="004C4FBD" w:rsidRDefault="00A50A73" w:rsidP="00241513">
            <w:pPr>
              <w:ind w:right="3"/>
              <w:contextualSpacing/>
              <w:jc w:val="center"/>
              <w:rPr>
                <w:b/>
                <w:bCs/>
                <w:szCs w:val="24"/>
              </w:rPr>
            </w:pPr>
          </w:p>
        </w:tc>
        <w:tc>
          <w:tcPr>
            <w:tcW w:w="241" w:type="pct"/>
            <w:tcBorders>
              <w:top w:val="single" w:sz="4" w:space="0" w:color="auto"/>
              <w:left w:val="single" w:sz="4" w:space="0" w:color="auto"/>
              <w:bottom w:val="single" w:sz="4" w:space="0" w:color="auto"/>
              <w:right w:val="single" w:sz="4" w:space="0" w:color="auto"/>
            </w:tcBorders>
          </w:tcPr>
          <w:p w14:paraId="587260B1" w14:textId="77777777" w:rsidR="00A50A73" w:rsidRPr="004C4FBD" w:rsidRDefault="00A50A73" w:rsidP="00241513">
            <w:pPr>
              <w:ind w:right="3"/>
              <w:contextualSpacing/>
              <w:jc w:val="center"/>
              <w:rPr>
                <w:b/>
                <w:bCs/>
                <w:szCs w:val="24"/>
              </w:rPr>
            </w:pPr>
          </w:p>
        </w:tc>
        <w:tc>
          <w:tcPr>
            <w:tcW w:w="288" w:type="pct"/>
            <w:tcBorders>
              <w:top w:val="single" w:sz="4" w:space="0" w:color="auto"/>
              <w:left w:val="single" w:sz="4" w:space="0" w:color="auto"/>
              <w:bottom w:val="single" w:sz="4" w:space="0" w:color="auto"/>
              <w:right w:val="single" w:sz="4" w:space="0" w:color="auto"/>
            </w:tcBorders>
          </w:tcPr>
          <w:p w14:paraId="36F45472" w14:textId="77777777" w:rsidR="00A50A73" w:rsidRPr="004C4FBD" w:rsidRDefault="00A50A73" w:rsidP="00241513">
            <w:pPr>
              <w:ind w:right="3"/>
              <w:contextualSpacing/>
              <w:jc w:val="center"/>
              <w:rPr>
                <w:b/>
                <w:bCs/>
                <w:szCs w:val="24"/>
              </w:rPr>
            </w:pPr>
          </w:p>
        </w:tc>
        <w:tc>
          <w:tcPr>
            <w:tcW w:w="365" w:type="pct"/>
            <w:tcBorders>
              <w:top w:val="single" w:sz="4" w:space="0" w:color="auto"/>
              <w:left w:val="single" w:sz="4" w:space="0" w:color="auto"/>
              <w:bottom w:val="single" w:sz="4" w:space="0" w:color="auto"/>
              <w:right w:val="single" w:sz="4" w:space="0" w:color="auto"/>
            </w:tcBorders>
          </w:tcPr>
          <w:p w14:paraId="565873B4" w14:textId="77777777" w:rsidR="00A50A73" w:rsidRPr="004C4FBD" w:rsidRDefault="00A50A73" w:rsidP="00241513">
            <w:pPr>
              <w:ind w:right="3"/>
              <w:contextualSpacing/>
              <w:jc w:val="center"/>
              <w:rPr>
                <w:b/>
                <w:bCs/>
                <w:szCs w:val="24"/>
              </w:rPr>
            </w:pPr>
          </w:p>
        </w:tc>
        <w:tc>
          <w:tcPr>
            <w:tcW w:w="258" w:type="pct"/>
            <w:tcBorders>
              <w:top w:val="single" w:sz="4" w:space="0" w:color="auto"/>
              <w:left w:val="single" w:sz="4" w:space="0" w:color="auto"/>
              <w:bottom w:val="single" w:sz="4" w:space="0" w:color="auto"/>
              <w:right w:val="single" w:sz="4" w:space="0" w:color="auto"/>
            </w:tcBorders>
          </w:tcPr>
          <w:p w14:paraId="1A5B9583" w14:textId="77777777" w:rsidR="00A50A73" w:rsidRPr="004C4FBD" w:rsidRDefault="00A50A73" w:rsidP="00241513">
            <w:pPr>
              <w:ind w:right="3"/>
              <w:contextualSpacing/>
              <w:jc w:val="center"/>
              <w:rPr>
                <w:b/>
                <w:bCs/>
                <w:szCs w:val="24"/>
              </w:rPr>
            </w:pPr>
          </w:p>
        </w:tc>
        <w:tc>
          <w:tcPr>
            <w:tcW w:w="225" w:type="pct"/>
            <w:tcBorders>
              <w:top w:val="single" w:sz="4" w:space="0" w:color="auto"/>
              <w:left w:val="single" w:sz="4" w:space="0" w:color="auto"/>
              <w:bottom w:val="single" w:sz="4" w:space="0" w:color="auto"/>
              <w:right w:val="single" w:sz="4" w:space="0" w:color="auto"/>
            </w:tcBorders>
          </w:tcPr>
          <w:p w14:paraId="46838341" w14:textId="77777777" w:rsidR="00A50A73" w:rsidRPr="004C4FBD" w:rsidRDefault="00A50A73" w:rsidP="00241513">
            <w:pPr>
              <w:ind w:right="3"/>
              <w:contextualSpacing/>
              <w:jc w:val="center"/>
              <w:rPr>
                <w:b/>
                <w:bCs/>
                <w:szCs w:val="24"/>
              </w:rPr>
            </w:pPr>
          </w:p>
        </w:tc>
        <w:tc>
          <w:tcPr>
            <w:tcW w:w="198" w:type="pct"/>
            <w:tcBorders>
              <w:top w:val="single" w:sz="4" w:space="0" w:color="auto"/>
              <w:left w:val="single" w:sz="4" w:space="0" w:color="auto"/>
              <w:bottom w:val="single" w:sz="4" w:space="0" w:color="auto"/>
              <w:right w:val="single" w:sz="4" w:space="0" w:color="auto"/>
            </w:tcBorders>
          </w:tcPr>
          <w:p w14:paraId="3E4F2516" w14:textId="77777777" w:rsidR="00A50A73" w:rsidRPr="004C4FBD" w:rsidRDefault="00A50A73" w:rsidP="00241513">
            <w:pPr>
              <w:ind w:right="3"/>
              <w:contextualSpacing/>
              <w:jc w:val="center"/>
              <w:rPr>
                <w:b/>
                <w:bCs/>
                <w:szCs w:val="24"/>
              </w:rPr>
            </w:pPr>
          </w:p>
        </w:tc>
        <w:tc>
          <w:tcPr>
            <w:tcW w:w="214" w:type="pct"/>
            <w:tcBorders>
              <w:top w:val="single" w:sz="4" w:space="0" w:color="auto"/>
              <w:left w:val="single" w:sz="4" w:space="0" w:color="auto"/>
              <w:bottom w:val="single" w:sz="4" w:space="0" w:color="auto"/>
              <w:right w:val="single" w:sz="4" w:space="0" w:color="auto"/>
            </w:tcBorders>
          </w:tcPr>
          <w:p w14:paraId="7D4E99FA" w14:textId="77777777" w:rsidR="00A50A73" w:rsidRPr="004C4FBD" w:rsidRDefault="00A50A73" w:rsidP="00241513">
            <w:pPr>
              <w:ind w:right="3"/>
              <w:contextualSpacing/>
              <w:jc w:val="center"/>
              <w:rPr>
                <w:b/>
                <w:bCs/>
                <w:szCs w:val="24"/>
              </w:rPr>
            </w:pPr>
          </w:p>
        </w:tc>
        <w:tc>
          <w:tcPr>
            <w:tcW w:w="198" w:type="pct"/>
            <w:tcBorders>
              <w:top w:val="single" w:sz="4" w:space="0" w:color="auto"/>
              <w:left w:val="single" w:sz="4" w:space="0" w:color="auto"/>
              <w:bottom w:val="single" w:sz="4" w:space="0" w:color="auto"/>
              <w:right w:val="single" w:sz="4" w:space="0" w:color="auto"/>
            </w:tcBorders>
          </w:tcPr>
          <w:p w14:paraId="4B75F59E" w14:textId="77777777" w:rsidR="00A50A73" w:rsidRPr="004C4FBD" w:rsidRDefault="00A50A73" w:rsidP="00241513">
            <w:pPr>
              <w:ind w:right="3"/>
              <w:contextualSpacing/>
              <w:jc w:val="center"/>
              <w:rPr>
                <w:b/>
                <w:bCs/>
                <w:szCs w:val="24"/>
              </w:rPr>
            </w:pPr>
          </w:p>
        </w:tc>
        <w:tc>
          <w:tcPr>
            <w:tcW w:w="214" w:type="pct"/>
            <w:tcBorders>
              <w:top w:val="single" w:sz="4" w:space="0" w:color="auto"/>
              <w:left w:val="single" w:sz="4" w:space="0" w:color="auto"/>
              <w:bottom w:val="single" w:sz="4" w:space="0" w:color="auto"/>
              <w:right w:val="single" w:sz="4" w:space="0" w:color="auto"/>
            </w:tcBorders>
          </w:tcPr>
          <w:p w14:paraId="075C9A86" w14:textId="77777777" w:rsidR="00A50A73" w:rsidRPr="004C4FBD" w:rsidRDefault="00A50A73" w:rsidP="00241513">
            <w:pPr>
              <w:ind w:right="3"/>
              <w:contextualSpacing/>
              <w:jc w:val="center"/>
              <w:rPr>
                <w:b/>
                <w:bCs/>
                <w:szCs w:val="24"/>
              </w:rPr>
            </w:pPr>
          </w:p>
        </w:tc>
        <w:tc>
          <w:tcPr>
            <w:tcW w:w="249" w:type="pct"/>
            <w:tcBorders>
              <w:top w:val="single" w:sz="4" w:space="0" w:color="auto"/>
              <w:left w:val="single" w:sz="4" w:space="0" w:color="auto"/>
              <w:bottom w:val="single" w:sz="4" w:space="0" w:color="auto"/>
              <w:right w:val="single" w:sz="4" w:space="0" w:color="auto"/>
            </w:tcBorders>
          </w:tcPr>
          <w:p w14:paraId="06A0BE48" w14:textId="77777777" w:rsidR="00A50A73" w:rsidRPr="004C4FBD" w:rsidRDefault="00A50A73" w:rsidP="00241513">
            <w:pPr>
              <w:ind w:right="3"/>
              <w:contextualSpacing/>
              <w:jc w:val="center"/>
              <w:rPr>
                <w:b/>
                <w:bCs/>
                <w:szCs w:val="24"/>
              </w:rPr>
            </w:pPr>
          </w:p>
        </w:tc>
        <w:tc>
          <w:tcPr>
            <w:tcW w:w="265" w:type="pct"/>
            <w:tcBorders>
              <w:top w:val="single" w:sz="4" w:space="0" w:color="auto"/>
              <w:left w:val="single" w:sz="4" w:space="0" w:color="auto"/>
              <w:bottom w:val="single" w:sz="4" w:space="0" w:color="auto"/>
              <w:right w:val="single" w:sz="4" w:space="0" w:color="auto"/>
            </w:tcBorders>
          </w:tcPr>
          <w:p w14:paraId="5FB07B17" w14:textId="77777777" w:rsidR="00A50A73" w:rsidRPr="004C4FBD" w:rsidRDefault="00A50A73" w:rsidP="00241513">
            <w:pPr>
              <w:ind w:right="3"/>
              <w:contextualSpacing/>
              <w:jc w:val="center"/>
              <w:rPr>
                <w:b/>
                <w:bCs/>
                <w:szCs w:val="24"/>
              </w:rPr>
            </w:pPr>
          </w:p>
        </w:tc>
      </w:tr>
      <w:tr w:rsidR="00A50A73" w:rsidRPr="004C4FBD" w14:paraId="6DACEEC3" w14:textId="77777777" w:rsidTr="00241513">
        <w:trPr>
          <w:jc w:val="center"/>
        </w:trPr>
        <w:tc>
          <w:tcPr>
            <w:tcW w:w="312" w:type="pct"/>
            <w:tcBorders>
              <w:top w:val="single" w:sz="4" w:space="0" w:color="auto"/>
              <w:left w:val="single" w:sz="4" w:space="0" w:color="auto"/>
              <w:bottom w:val="single" w:sz="4" w:space="0" w:color="auto"/>
              <w:right w:val="single" w:sz="4" w:space="0" w:color="auto"/>
            </w:tcBorders>
          </w:tcPr>
          <w:p w14:paraId="0D1D5989" w14:textId="77777777" w:rsidR="00A50A73" w:rsidRPr="004C4FBD" w:rsidRDefault="00A50A73" w:rsidP="00241513">
            <w:pPr>
              <w:ind w:right="3"/>
              <w:contextualSpacing/>
              <w:jc w:val="center"/>
              <w:rPr>
                <w:b/>
                <w:bCs/>
                <w:szCs w:val="24"/>
              </w:rPr>
            </w:pPr>
          </w:p>
        </w:tc>
        <w:tc>
          <w:tcPr>
            <w:tcW w:w="317" w:type="pct"/>
            <w:tcBorders>
              <w:top w:val="single" w:sz="4" w:space="0" w:color="auto"/>
              <w:left w:val="single" w:sz="4" w:space="0" w:color="auto"/>
              <w:bottom w:val="single" w:sz="4" w:space="0" w:color="auto"/>
              <w:right w:val="single" w:sz="4" w:space="0" w:color="auto"/>
            </w:tcBorders>
          </w:tcPr>
          <w:p w14:paraId="3A00A6A6" w14:textId="77777777" w:rsidR="00A50A73" w:rsidRPr="004C4FBD" w:rsidRDefault="00A50A73" w:rsidP="00241513">
            <w:pPr>
              <w:ind w:right="3"/>
              <w:contextualSpacing/>
              <w:jc w:val="center"/>
              <w:rPr>
                <w:b/>
                <w:bCs/>
                <w:szCs w:val="24"/>
              </w:rPr>
            </w:pPr>
          </w:p>
        </w:tc>
        <w:tc>
          <w:tcPr>
            <w:tcW w:w="314" w:type="pct"/>
            <w:tcBorders>
              <w:top w:val="single" w:sz="4" w:space="0" w:color="auto"/>
              <w:left w:val="single" w:sz="4" w:space="0" w:color="auto"/>
              <w:bottom w:val="single" w:sz="4" w:space="0" w:color="auto"/>
              <w:right w:val="single" w:sz="4" w:space="0" w:color="auto"/>
            </w:tcBorders>
          </w:tcPr>
          <w:p w14:paraId="46060BE4" w14:textId="77777777" w:rsidR="00A50A73" w:rsidRPr="004C4FBD" w:rsidRDefault="00A50A73" w:rsidP="00241513">
            <w:pPr>
              <w:ind w:right="3"/>
              <w:contextualSpacing/>
              <w:jc w:val="center"/>
              <w:rPr>
                <w:b/>
                <w:bCs/>
                <w:szCs w:val="24"/>
              </w:rPr>
            </w:pPr>
          </w:p>
        </w:tc>
        <w:tc>
          <w:tcPr>
            <w:tcW w:w="317" w:type="pct"/>
            <w:tcBorders>
              <w:top w:val="single" w:sz="4" w:space="0" w:color="auto"/>
              <w:left w:val="single" w:sz="4" w:space="0" w:color="auto"/>
              <w:bottom w:val="single" w:sz="4" w:space="0" w:color="auto"/>
              <w:right w:val="single" w:sz="4" w:space="0" w:color="auto"/>
            </w:tcBorders>
          </w:tcPr>
          <w:p w14:paraId="7102FEA5" w14:textId="77777777" w:rsidR="00A50A73" w:rsidRPr="004C4FBD" w:rsidRDefault="00A50A73" w:rsidP="00241513">
            <w:pPr>
              <w:ind w:right="3"/>
              <w:contextualSpacing/>
              <w:jc w:val="center"/>
              <w:rPr>
                <w:b/>
                <w:bCs/>
                <w:szCs w:val="24"/>
              </w:rPr>
            </w:pPr>
          </w:p>
        </w:tc>
        <w:tc>
          <w:tcPr>
            <w:tcW w:w="312" w:type="pct"/>
            <w:tcBorders>
              <w:top w:val="single" w:sz="4" w:space="0" w:color="auto"/>
              <w:left w:val="single" w:sz="4" w:space="0" w:color="auto"/>
              <w:bottom w:val="single" w:sz="4" w:space="0" w:color="auto"/>
              <w:right w:val="single" w:sz="4" w:space="0" w:color="auto"/>
            </w:tcBorders>
          </w:tcPr>
          <w:p w14:paraId="1AEFF176" w14:textId="77777777" w:rsidR="00A50A73" w:rsidRPr="004C4FBD" w:rsidRDefault="00A50A73" w:rsidP="00241513">
            <w:pPr>
              <w:ind w:right="3"/>
              <w:contextualSpacing/>
              <w:jc w:val="center"/>
              <w:rPr>
                <w:b/>
                <w:bCs/>
                <w:szCs w:val="24"/>
              </w:rPr>
            </w:pPr>
          </w:p>
        </w:tc>
        <w:tc>
          <w:tcPr>
            <w:tcW w:w="470" w:type="pct"/>
            <w:tcBorders>
              <w:top w:val="single" w:sz="4" w:space="0" w:color="auto"/>
              <w:left w:val="single" w:sz="4" w:space="0" w:color="auto"/>
              <w:bottom w:val="single" w:sz="4" w:space="0" w:color="auto"/>
              <w:right w:val="single" w:sz="4" w:space="0" w:color="auto"/>
            </w:tcBorders>
          </w:tcPr>
          <w:p w14:paraId="020EF68A" w14:textId="77777777" w:rsidR="00A50A73" w:rsidRPr="004C4FBD" w:rsidRDefault="00A50A73" w:rsidP="00241513">
            <w:pPr>
              <w:ind w:right="3"/>
              <w:contextualSpacing/>
              <w:jc w:val="center"/>
              <w:rPr>
                <w:b/>
                <w:bCs/>
                <w:szCs w:val="24"/>
              </w:rPr>
            </w:pPr>
          </w:p>
        </w:tc>
        <w:tc>
          <w:tcPr>
            <w:tcW w:w="242" w:type="pct"/>
            <w:tcBorders>
              <w:top w:val="single" w:sz="4" w:space="0" w:color="auto"/>
              <w:left w:val="single" w:sz="4" w:space="0" w:color="auto"/>
              <w:bottom w:val="single" w:sz="4" w:space="0" w:color="auto"/>
              <w:right w:val="single" w:sz="4" w:space="0" w:color="auto"/>
            </w:tcBorders>
          </w:tcPr>
          <w:p w14:paraId="1314C83A" w14:textId="77777777" w:rsidR="00A50A73" w:rsidRPr="004C4FBD" w:rsidRDefault="00A50A73" w:rsidP="00241513">
            <w:pPr>
              <w:ind w:right="3"/>
              <w:contextualSpacing/>
              <w:jc w:val="center"/>
              <w:rPr>
                <w:b/>
                <w:bCs/>
                <w:szCs w:val="24"/>
              </w:rPr>
            </w:pPr>
          </w:p>
        </w:tc>
        <w:tc>
          <w:tcPr>
            <w:tcW w:w="241" w:type="pct"/>
            <w:tcBorders>
              <w:top w:val="single" w:sz="4" w:space="0" w:color="auto"/>
              <w:left w:val="single" w:sz="4" w:space="0" w:color="auto"/>
              <w:bottom w:val="single" w:sz="4" w:space="0" w:color="auto"/>
              <w:right w:val="single" w:sz="4" w:space="0" w:color="auto"/>
            </w:tcBorders>
          </w:tcPr>
          <w:p w14:paraId="1F52267A" w14:textId="77777777" w:rsidR="00A50A73" w:rsidRPr="004C4FBD" w:rsidRDefault="00A50A73" w:rsidP="00241513">
            <w:pPr>
              <w:ind w:right="3"/>
              <w:contextualSpacing/>
              <w:jc w:val="center"/>
              <w:rPr>
                <w:b/>
                <w:bCs/>
                <w:szCs w:val="24"/>
              </w:rPr>
            </w:pPr>
          </w:p>
        </w:tc>
        <w:tc>
          <w:tcPr>
            <w:tcW w:w="288" w:type="pct"/>
            <w:tcBorders>
              <w:top w:val="single" w:sz="4" w:space="0" w:color="auto"/>
              <w:left w:val="single" w:sz="4" w:space="0" w:color="auto"/>
              <w:bottom w:val="single" w:sz="4" w:space="0" w:color="auto"/>
              <w:right w:val="single" w:sz="4" w:space="0" w:color="auto"/>
            </w:tcBorders>
          </w:tcPr>
          <w:p w14:paraId="2D9AD2CA" w14:textId="77777777" w:rsidR="00A50A73" w:rsidRPr="004C4FBD" w:rsidRDefault="00A50A73" w:rsidP="00241513">
            <w:pPr>
              <w:ind w:right="3"/>
              <w:contextualSpacing/>
              <w:jc w:val="center"/>
              <w:rPr>
                <w:b/>
                <w:bCs/>
                <w:szCs w:val="24"/>
              </w:rPr>
            </w:pPr>
          </w:p>
        </w:tc>
        <w:tc>
          <w:tcPr>
            <w:tcW w:w="365" w:type="pct"/>
            <w:tcBorders>
              <w:top w:val="single" w:sz="4" w:space="0" w:color="auto"/>
              <w:left w:val="single" w:sz="4" w:space="0" w:color="auto"/>
              <w:bottom w:val="single" w:sz="4" w:space="0" w:color="auto"/>
              <w:right w:val="single" w:sz="4" w:space="0" w:color="auto"/>
            </w:tcBorders>
          </w:tcPr>
          <w:p w14:paraId="27955944" w14:textId="77777777" w:rsidR="00A50A73" w:rsidRPr="004C4FBD" w:rsidRDefault="00A50A73" w:rsidP="00241513">
            <w:pPr>
              <w:ind w:right="3"/>
              <w:contextualSpacing/>
              <w:jc w:val="center"/>
              <w:rPr>
                <w:b/>
                <w:bCs/>
                <w:szCs w:val="24"/>
              </w:rPr>
            </w:pPr>
          </w:p>
        </w:tc>
        <w:tc>
          <w:tcPr>
            <w:tcW w:w="258" w:type="pct"/>
            <w:tcBorders>
              <w:top w:val="single" w:sz="4" w:space="0" w:color="auto"/>
              <w:left w:val="single" w:sz="4" w:space="0" w:color="auto"/>
              <w:bottom w:val="single" w:sz="4" w:space="0" w:color="auto"/>
              <w:right w:val="single" w:sz="4" w:space="0" w:color="auto"/>
            </w:tcBorders>
          </w:tcPr>
          <w:p w14:paraId="278E3CED" w14:textId="77777777" w:rsidR="00A50A73" w:rsidRPr="004C4FBD" w:rsidRDefault="00A50A73" w:rsidP="00241513">
            <w:pPr>
              <w:ind w:right="3"/>
              <w:contextualSpacing/>
              <w:jc w:val="center"/>
              <w:rPr>
                <w:b/>
                <w:bCs/>
                <w:szCs w:val="24"/>
              </w:rPr>
            </w:pPr>
          </w:p>
        </w:tc>
        <w:tc>
          <w:tcPr>
            <w:tcW w:w="225" w:type="pct"/>
            <w:tcBorders>
              <w:top w:val="single" w:sz="4" w:space="0" w:color="auto"/>
              <w:left w:val="single" w:sz="4" w:space="0" w:color="auto"/>
              <w:bottom w:val="single" w:sz="4" w:space="0" w:color="auto"/>
              <w:right w:val="single" w:sz="4" w:space="0" w:color="auto"/>
            </w:tcBorders>
          </w:tcPr>
          <w:p w14:paraId="16C424EB" w14:textId="77777777" w:rsidR="00A50A73" w:rsidRPr="004C4FBD" w:rsidRDefault="00A50A73" w:rsidP="00241513">
            <w:pPr>
              <w:ind w:right="3"/>
              <w:contextualSpacing/>
              <w:jc w:val="center"/>
              <w:rPr>
                <w:b/>
                <w:bCs/>
                <w:szCs w:val="24"/>
              </w:rPr>
            </w:pPr>
          </w:p>
        </w:tc>
        <w:tc>
          <w:tcPr>
            <w:tcW w:w="198" w:type="pct"/>
            <w:tcBorders>
              <w:top w:val="single" w:sz="4" w:space="0" w:color="auto"/>
              <w:left w:val="single" w:sz="4" w:space="0" w:color="auto"/>
              <w:bottom w:val="single" w:sz="4" w:space="0" w:color="auto"/>
              <w:right w:val="single" w:sz="4" w:space="0" w:color="auto"/>
            </w:tcBorders>
          </w:tcPr>
          <w:p w14:paraId="7DC91685" w14:textId="77777777" w:rsidR="00A50A73" w:rsidRPr="004C4FBD" w:rsidRDefault="00A50A73" w:rsidP="00241513">
            <w:pPr>
              <w:ind w:right="3"/>
              <w:contextualSpacing/>
              <w:jc w:val="center"/>
              <w:rPr>
                <w:b/>
                <w:bCs/>
                <w:szCs w:val="24"/>
              </w:rPr>
            </w:pPr>
          </w:p>
        </w:tc>
        <w:tc>
          <w:tcPr>
            <w:tcW w:w="214" w:type="pct"/>
            <w:tcBorders>
              <w:top w:val="single" w:sz="4" w:space="0" w:color="auto"/>
              <w:left w:val="single" w:sz="4" w:space="0" w:color="auto"/>
              <w:bottom w:val="single" w:sz="4" w:space="0" w:color="auto"/>
              <w:right w:val="single" w:sz="4" w:space="0" w:color="auto"/>
            </w:tcBorders>
          </w:tcPr>
          <w:p w14:paraId="2671F3A4" w14:textId="77777777" w:rsidR="00A50A73" w:rsidRPr="004C4FBD" w:rsidRDefault="00A50A73" w:rsidP="00241513">
            <w:pPr>
              <w:ind w:right="3"/>
              <w:contextualSpacing/>
              <w:jc w:val="center"/>
              <w:rPr>
                <w:b/>
                <w:bCs/>
                <w:szCs w:val="24"/>
              </w:rPr>
            </w:pPr>
          </w:p>
        </w:tc>
        <w:tc>
          <w:tcPr>
            <w:tcW w:w="198" w:type="pct"/>
            <w:tcBorders>
              <w:top w:val="single" w:sz="4" w:space="0" w:color="auto"/>
              <w:left w:val="single" w:sz="4" w:space="0" w:color="auto"/>
              <w:bottom w:val="single" w:sz="4" w:space="0" w:color="auto"/>
              <w:right w:val="single" w:sz="4" w:space="0" w:color="auto"/>
            </w:tcBorders>
          </w:tcPr>
          <w:p w14:paraId="7C9C8FD9" w14:textId="77777777" w:rsidR="00A50A73" w:rsidRPr="004C4FBD" w:rsidRDefault="00A50A73" w:rsidP="00241513">
            <w:pPr>
              <w:ind w:right="3"/>
              <w:contextualSpacing/>
              <w:jc w:val="center"/>
              <w:rPr>
                <w:b/>
                <w:bCs/>
                <w:szCs w:val="24"/>
              </w:rPr>
            </w:pPr>
          </w:p>
        </w:tc>
        <w:tc>
          <w:tcPr>
            <w:tcW w:w="214" w:type="pct"/>
            <w:tcBorders>
              <w:top w:val="single" w:sz="4" w:space="0" w:color="auto"/>
              <w:left w:val="single" w:sz="4" w:space="0" w:color="auto"/>
              <w:bottom w:val="single" w:sz="4" w:space="0" w:color="auto"/>
              <w:right w:val="single" w:sz="4" w:space="0" w:color="auto"/>
            </w:tcBorders>
          </w:tcPr>
          <w:p w14:paraId="1D477DA8" w14:textId="77777777" w:rsidR="00A50A73" w:rsidRPr="004C4FBD" w:rsidRDefault="00A50A73" w:rsidP="00241513">
            <w:pPr>
              <w:ind w:right="3"/>
              <w:contextualSpacing/>
              <w:jc w:val="center"/>
              <w:rPr>
                <w:b/>
                <w:bCs/>
                <w:szCs w:val="24"/>
              </w:rPr>
            </w:pPr>
          </w:p>
        </w:tc>
        <w:tc>
          <w:tcPr>
            <w:tcW w:w="249" w:type="pct"/>
            <w:tcBorders>
              <w:top w:val="single" w:sz="4" w:space="0" w:color="auto"/>
              <w:left w:val="single" w:sz="4" w:space="0" w:color="auto"/>
              <w:bottom w:val="single" w:sz="4" w:space="0" w:color="auto"/>
              <w:right w:val="single" w:sz="4" w:space="0" w:color="auto"/>
            </w:tcBorders>
          </w:tcPr>
          <w:p w14:paraId="5AAC5964" w14:textId="77777777" w:rsidR="00A50A73" w:rsidRPr="004C4FBD" w:rsidRDefault="00A50A73" w:rsidP="00241513">
            <w:pPr>
              <w:ind w:right="3"/>
              <w:contextualSpacing/>
              <w:jc w:val="center"/>
              <w:rPr>
                <w:b/>
                <w:bCs/>
                <w:szCs w:val="24"/>
              </w:rPr>
            </w:pPr>
          </w:p>
        </w:tc>
        <w:tc>
          <w:tcPr>
            <w:tcW w:w="265" w:type="pct"/>
            <w:tcBorders>
              <w:top w:val="single" w:sz="4" w:space="0" w:color="auto"/>
              <w:left w:val="single" w:sz="4" w:space="0" w:color="auto"/>
              <w:bottom w:val="single" w:sz="4" w:space="0" w:color="auto"/>
              <w:right w:val="single" w:sz="4" w:space="0" w:color="auto"/>
            </w:tcBorders>
          </w:tcPr>
          <w:p w14:paraId="20EE367C" w14:textId="77777777" w:rsidR="00A50A73" w:rsidRPr="004C4FBD" w:rsidRDefault="00A50A73" w:rsidP="00241513">
            <w:pPr>
              <w:ind w:right="3"/>
              <w:contextualSpacing/>
              <w:jc w:val="center"/>
              <w:rPr>
                <w:b/>
                <w:bCs/>
                <w:szCs w:val="24"/>
              </w:rPr>
            </w:pPr>
          </w:p>
        </w:tc>
      </w:tr>
    </w:tbl>
    <w:p w14:paraId="1E50A621" w14:textId="77777777" w:rsidR="00A50A73" w:rsidRPr="004C4FBD" w:rsidRDefault="00A50A73" w:rsidP="00A50A73">
      <w:pPr>
        <w:spacing w:before="0" w:after="0"/>
        <w:jc w:val="left"/>
        <w:rPr>
          <w:b/>
          <w:bCs/>
          <w:szCs w:val="24"/>
        </w:rPr>
        <w:sectPr w:rsidR="00A50A73" w:rsidRPr="004C4FBD" w:rsidSect="00241513">
          <w:footerReference w:type="default" r:id="rId163"/>
          <w:endnotePr>
            <w:numFmt w:val="decimal"/>
          </w:endnotePr>
          <w:pgSz w:w="16838" w:h="11906" w:orient="landscape"/>
          <w:pgMar w:top="1134" w:right="1134" w:bottom="1134" w:left="1134" w:header="720" w:footer="720" w:gutter="0"/>
          <w:cols w:space="720"/>
          <w:docGrid w:linePitch="299"/>
        </w:sectPr>
      </w:pPr>
    </w:p>
    <w:p w14:paraId="1701FA0F" w14:textId="77777777" w:rsidR="00A50A73" w:rsidRPr="004C4FBD" w:rsidRDefault="00A50A73" w:rsidP="00A50A73">
      <w:pPr>
        <w:ind w:right="3"/>
        <w:contextualSpacing/>
        <w:jc w:val="center"/>
        <w:rPr>
          <w:b/>
          <w:bCs/>
          <w:sz w:val="28"/>
          <w:szCs w:val="28"/>
          <w:lang w:bidi="ar-TN"/>
        </w:rPr>
      </w:pPr>
      <w:r w:rsidRPr="004C4FBD">
        <w:rPr>
          <w:b/>
          <w:bCs/>
          <w:sz w:val="28"/>
          <w:szCs w:val="28"/>
          <w:rtl/>
          <w:lang w:bidi="ar-TN"/>
        </w:rPr>
        <w:lastRenderedPageBreak/>
        <w:t xml:space="preserve">ملحق عدد 4 </w:t>
      </w:r>
    </w:p>
    <w:p w14:paraId="41E2E286" w14:textId="77777777" w:rsidR="00A50A73" w:rsidRPr="004C4FBD" w:rsidRDefault="00A50A73" w:rsidP="00A50A73">
      <w:pPr>
        <w:ind w:right="3"/>
        <w:contextualSpacing/>
        <w:jc w:val="center"/>
        <w:rPr>
          <w:b/>
          <w:bCs/>
          <w:sz w:val="28"/>
          <w:szCs w:val="28"/>
          <w:lang w:bidi="ar-TN"/>
        </w:rPr>
      </w:pPr>
      <w:r w:rsidRPr="004C4FBD">
        <w:rPr>
          <w:b/>
          <w:bCs/>
          <w:sz w:val="28"/>
          <w:szCs w:val="28"/>
          <w:rtl/>
          <w:lang w:bidi="ar-TN"/>
        </w:rPr>
        <w:t xml:space="preserve">أنموذج لمحضر جلسة مناقشة الشكاية أو التظلم </w:t>
      </w:r>
    </w:p>
    <w:p w14:paraId="3818F6B0" w14:textId="77777777" w:rsidR="00A50A73" w:rsidRPr="004C4FBD" w:rsidRDefault="00A50A73" w:rsidP="00A50A73">
      <w:pPr>
        <w:ind w:right="3"/>
        <w:contextualSpacing/>
        <w:rPr>
          <w:rFonts w:ascii="Arial"/>
          <w:rtl/>
        </w:rPr>
      </w:pPr>
    </w:p>
    <w:p w14:paraId="30BC86C5" w14:textId="77777777" w:rsidR="00A50A73" w:rsidRPr="004C4FBD" w:rsidRDefault="00A50A73" w:rsidP="00A50A73">
      <w:pPr>
        <w:ind w:right="3"/>
        <w:jc w:val="right"/>
        <w:rPr>
          <w:rFonts w:cs="Calibri"/>
          <w:b/>
          <w:bCs/>
          <w:sz w:val="20"/>
        </w:rPr>
      </w:pPr>
      <w:r w:rsidRPr="004C4FBD">
        <w:rPr>
          <w:rFonts w:cs="Times New Roman"/>
          <w:b/>
          <w:bCs/>
          <w:sz w:val="20"/>
          <w:rtl/>
          <w:lang w:bidi="ar-TN"/>
        </w:rPr>
        <w:t>تاريخ</w:t>
      </w:r>
      <w:r w:rsidRPr="004C4FBD">
        <w:rPr>
          <w:rFonts w:ascii="Times New Roman" w:cs="Times New Roman"/>
          <w:b/>
          <w:bCs/>
          <w:sz w:val="20"/>
          <w:rtl/>
          <w:lang w:bidi="ar-TN"/>
        </w:rPr>
        <w:t xml:space="preserve"> </w:t>
      </w:r>
      <w:r w:rsidRPr="004C4FBD">
        <w:rPr>
          <w:rFonts w:hint="cs"/>
          <w:b/>
          <w:bCs/>
          <w:sz w:val="20"/>
          <w:rtl/>
          <w:lang w:bidi="ar-TN"/>
        </w:rPr>
        <w:t>الجلسة</w:t>
      </w:r>
      <w:r w:rsidRPr="004C4FBD">
        <w:rPr>
          <w:rFonts w:ascii="Arial" w:hint="cs"/>
          <w:b/>
          <w:bCs/>
          <w:sz w:val="20"/>
          <w:rtl/>
          <w:lang w:bidi="ar-TN"/>
        </w:rPr>
        <w:t>:</w:t>
      </w:r>
      <w:r w:rsidRPr="004C4FBD">
        <w:rPr>
          <w:rFonts w:ascii="Times New Roman" w:cs="Times New Roman" w:hint="cs"/>
          <w:b/>
          <w:bCs/>
          <w:rtl/>
        </w:rPr>
        <w:t xml:space="preserve"> ...........................................</w:t>
      </w:r>
      <w:r w:rsidRPr="004C4FBD">
        <w:rPr>
          <w:rFonts w:ascii="Times New Roman" w:cs="Times New Roman"/>
          <w:b/>
          <w:bCs/>
          <w:rtl/>
        </w:rPr>
        <w:t>.</w:t>
      </w:r>
    </w:p>
    <w:p w14:paraId="4B8AFC52" w14:textId="77777777" w:rsidR="00A50A73" w:rsidRPr="004C4FBD" w:rsidRDefault="00A50A73" w:rsidP="00A50A73">
      <w:pPr>
        <w:ind w:right="3" w:firstLine="708"/>
        <w:jc w:val="right"/>
        <w:rPr>
          <w:rFonts w:cs="Times New Roman"/>
          <w:b/>
          <w:bCs/>
          <w:sz w:val="20"/>
          <w:lang w:bidi="ar-TN"/>
        </w:rPr>
      </w:pPr>
      <w:r w:rsidRPr="004C4FBD">
        <w:rPr>
          <w:rFonts w:cs="Times New Roman"/>
          <w:b/>
          <w:bCs/>
          <w:sz w:val="20"/>
          <w:rtl/>
          <w:lang w:bidi="ar-TN"/>
        </w:rPr>
        <w:t xml:space="preserve">شكوى أو تظلم </w:t>
      </w:r>
      <w:r w:rsidRPr="004C4FBD">
        <w:rPr>
          <w:rFonts w:cs="Times New Roman" w:hint="cs"/>
          <w:b/>
          <w:bCs/>
          <w:sz w:val="20"/>
          <w:rtl/>
          <w:lang w:bidi="ar-TN"/>
        </w:rPr>
        <w:t>رقم:</w:t>
      </w:r>
      <w:r w:rsidRPr="004C4FBD">
        <w:rPr>
          <w:rFonts w:cs="Times New Roman"/>
          <w:b/>
          <w:bCs/>
          <w:sz w:val="20"/>
          <w:rtl/>
          <w:lang w:bidi="ar-TN"/>
        </w:rPr>
        <w:t xml:space="preserve"> </w:t>
      </w:r>
      <w:r w:rsidRPr="004C4FBD">
        <w:rPr>
          <w:rFonts w:ascii="Times New Roman" w:cs="Times New Roman"/>
          <w:b/>
          <w:bCs/>
          <w:rtl/>
        </w:rPr>
        <w:t>................................................</w:t>
      </w:r>
      <w:r w:rsidRPr="004C4FBD">
        <w:rPr>
          <w:rFonts w:cs="Times New Roman"/>
          <w:b/>
          <w:bCs/>
          <w:sz w:val="20"/>
          <w:rtl/>
          <w:lang w:bidi="ar-TN"/>
        </w:rPr>
        <w:t xml:space="preserve"> تاريخ التسجيل </w:t>
      </w:r>
      <w:r w:rsidRPr="004C4FBD">
        <w:rPr>
          <w:rFonts w:ascii="Times New Roman" w:cs="Times New Roman"/>
          <w:b/>
          <w:bCs/>
          <w:rtl/>
        </w:rPr>
        <w:t>.......................................................................</w:t>
      </w:r>
    </w:p>
    <w:p w14:paraId="2DFEBDF1" w14:textId="77777777" w:rsidR="00A50A73" w:rsidRPr="004C4FBD" w:rsidRDefault="00A50A73" w:rsidP="00A50A73">
      <w:pPr>
        <w:ind w:right="3" w:firstLine="708"/>
        <w:jc w:val="right"/>
        <w:rPr>
          <w:rFonts w:ascii="Times New Roman" w:cs="Times New Roman"/>
          <w:b/>
          <w:bCs/>
          <w:rtl/>
        </w:rPr>
      </w:pPr>
      <w:r w:rsidRPr="004C4FBD">
        <w:rPr>
          <w:rFonts w:cs="Times New Roman"/>
          <w:b/>
          <w:bCs/>
          <w:sz w:val="20"/>
          <w:rtl/>
          <w:lang w:bidi="ar-TN"/>
        </w:rPr>
        <w:t>إسم</w:t>
      </w:r>
      <w:r w:rsidRPr="004C4FBD">
        <w:rPr>
          <w:rFonts w:ascii="Times New Roman" w:cs="Times New Roman"/>
          <w:b/>
          <w:bCs/>
          <w:sz w:val="20"/>
          <w:rtl/>
          <w:lang w:bidi="ar-TN"/>
        </w:rPr>
        <w:t xml:space="preserve"> </w:t>
      </w:r>
      <w:r w:rsidRPr="004C4FBD">
        <w:rPr>
          <w:rFonts w:cs="Times New Roman" w:hint="cs"/>
          <w:b/>
          <w:bCs/>
          <w:sz w:val="20"/>
          <w:rtl/>
          <w:lang w:bidi="ar-TN"/>
        </w:rPr>
        <w:t>المشتكي</w:t>
      </w:r>
      <w:r w:rsidRPr="004C4FBD">
        <w:rPr>
          <w:rFonts w:ascii="Times New Roman" w:cs="Times New Roman" w:hint="cs"/>
          <w:b/>
          <w:bCs/>
          <w:rtl/>
        </w:rPr>
        <w:t>: ............................................................................</w:t>
      </w:r>
      <w:r w:rsidRPr="004C4FBD">
        <w:rPr>
          <w:rFonts w:ascii="Times New Roman" w:cs="Times New Roman"/>
          <w:b/>
          <w:bCs/>
          <w:rtl/>
        </w:rPr>
        <w:t xml:space="preserve">. </w:t>
      </w:r>
    </w:p>
    <w:p w14:paraId="20C98C76" w14:textId="77777777" w:rsidR="00A50A73" w:rsidRPr="004C4FBD" w:rsidRDefault="00A50A73" w:rsidP="00A50A73">
      <w:pPr>
        <w:ind w:right="3"/>
        <w:jc w:val="right"/>
        <w:rPr>
          <w:rFonts w:cs="Calibri"/>
          <w:b/>
          <w:bCs/>
          <w:sz w:val="20"/>
        </w:rPr>
      </w:pPr>
      <w:r w:rsidRPr="004C4FBD">
        <w:rPr>
          <w:rFonts w:cs="Times New Roman"/>
          <w:b/>
          <w:bCs/>
          <w:sz w:val="20"/>
          <w:rtl/>
          <w:lang w:bidi="ar-TN"/>
        </w:rPr>
        <w:t>الساكن</w:t>
      </w:r>
      <w:r w:rsidRPr="004C4FBD">
        <w:rPr>
          <w:rFonts w:ascii="Times New Roman" w:cs="Times New Roman"/>
          <w:b/>
          <w:bCs/>
          <w:sz w:val="20"/>
          <w:rtl/>
          <w:lang w:bidi="ar-TN"/>
        </w:rPr>
        <w:t xml:space="preserve"> </w:t>
      </w:r>
      <w:r w:rsidRPr="004C4FBD">
        <w:rPr>
          <w:rFonts w:cs="Times New Roman" w:hint="cs"/>
          <w:b/>
          <w:bCs/>
          <w:sz w:val="20"/>
          <w:rtl/>
          <w:lang w:bidi="ar-TN"/>
        </w:rPr>
        <w:t>ب</w:t>
      </w:r>
      <w:r w:rsidRPr="004C4FBD">
        <w:rPr>
          <w:rFonts w:ascii="Times New Roman" w:cs="Times New Roman" w:hint="cs"/>
          <w:b/>
          <w:bCs/>
          <w:rtl/>
        </w:rPr>
        <w:t>: ........................................................................................................................................</w:t>
      </w:r>
      <w:r w:rsidRPr="004C4FBD">
        <w:rPr>
          <w:rFonts w:ascii="Times New Roman" w:cs="Times New Roman"/>
          <w:b/>
          <w:bCs/>
          <w:rtl/>
        </w:rPr>
        <w:t>.</w:t>
      </w:r>
    </w:p>
    <w:p w14:paraId="6F1E5066" w14:textId="77777777" w:rsidR="00A50A73" w:rsidRPr="004C4FBD" w:rsidRDefault="00A50A73" w:rsidP="00A50A73">
      <w:pPr>
        <w:ind w:right="3"/>
        <w:jc w:val="right"/>
        <w:rPr>
          <w:rFonts w:ascii="Arial"/>
          <w:b/>
          <w:bCs/>
          <w:sz w:val="18"/>
          <w:szCs w:val="18"/>
          <w:rtl/>
        </w:rPr>
      </w:pPr>
      <w:r w:rsidRPr="004C4FBD">
        <w:rPr>
          <w:rFonts w:cs="Times New Roman"/>
          <w:b/>
          <w:bCs/>
          <w:sz w:val="20"/>
          <w:rtl/>
          <w:lang w:bidi="ar-TN"/>
        </w:rPr>
        <w:t>موقع</w:t>
      </w:r>
      <w:r w:rsidRPr="004C4FBD">
        <w:rPr>
          <w:rFonts w:ascii="Times New Roman" w:cs="Times New Roman"/>
          <w:b/>
          <w:bCs/>
          <w:sz w:val="20"/>
          <w:rtl/>
          <w:lang w:bidi="ar-TN"/>
        </w:rPr>
        <w:t xml:space="preserve"> </w:t>
      </w:r>
      <w:r w:rsidRPr="004C4FBD">
        <w:rPr>
          <w:rFonts w:cs="Times New Roman" w:hint="cs"/>
          <w:b/>
          <w:bCs/>
          <w:sz w:val="20"/>
          <w:rtl/>
          <w:lang w:bidi="ar-TN"/>
        </w:rPr>
        <w:t>الضرر</w:t>
      </w:r>
      <w:r w:rsidRPr="004C4FBD">
        <w:rPr>
          <w:rFonts w:ascii="Times New Roman" w:cs="Times New Roman" w:hint="cs"/>
          <w:b/>
          <w:bCs/>
          <w:rtl/>
        </w:rPr>
        <w:t>:</w:t>
      </w:r>
      <w:r w:rsidRPr="004C4FBD">
        <w:rPr>
          <w:rFonts w:cs="Times New Roman" w:hint="cs"/>
          <w:b/>
          <w:bCs/>
          <w:sz w:val="20"/>
          <w:rtl/>
          <w:lang w:bidi="ar-TN"/>
        </w:rPr>
        <w:t xml:space="preserve"> الجماع</w:t>
      </w:r>
      <w:r w:rsidRPr="004C4FBD">
        <w:rPr>
          <w:rFonts w:cs="Times New Roman" w:hint="eastAsia"/>
          <w:b/>
          <w:bCs/>
          <w:sz w:val="20"/>
          <w:rtl/>
          <w:lang w:bidi="ar-TN"/>
        </w:rPr>
        <w:t>ة</w:t>
      </w:r>
      <w:r w:rsidRPr="004C4FBD">
        <w:rPr>
          <w:rFonts w:ascii="Times New Roman" w:cs="Times New Roman"/>
          <w:b/>
          <w:bCs/>
          <w:sz w:val="20"/>
          <w:rtl/>
          <w:lang w:bidi="ar-TN"/>
        </w:rPr>
        <w:t xml:space="preserve"> </w:t>
      </w:r>
      <w:r w:rsidRPr="004C4FBD">
        <w:rPr>
          <w:rFonts w:cs="Times New Roman"/>
          <w:b/>
          <w:bCs/>
          <w:sz w:val="20"/>
          <w:rtl/>
          <w:lang w:bidi="ar-TN"/>
        </w:rPr>
        <w:t>الترابية</w:t>
      </w:r>
      <w:r w:rsidRPr="004C4FBD">
        <w:rPr>
          <w:rFonts w:ascii="Times New Roman" w:cs="Times New Roman"/>
          <w:b/>
          <w:bCs/>
          <w:rtl/>
        </w:rPr>
        <w:t>...........................................................</w:t>
      </w:r>
    </w:p>
    <w:p w14:paraId="78FF4878" w14:textId="77777777" w:rsidR="00A50A73" w:rsidRPr="004C4FBD" w:rsidRDefault="00A50A73" w:rsidP="00A50A73">
      <w:pPr>
        <w:ind w:right="3"/>
        <w:jc w:val="right"/>
        <w:rPr>
          <w:rFonts w:ascii="Arial"/>
          <w:sz w:val="2"/>
          <w:szCs w:val="2"/>
          <w:rtl/>
        </w:rPr>
      </w:pPr>
    </w:p>
    <w:tbl>
      <w:tblPr>
        <w:tblW w:w="9747" w:type="dxa"/>
        <w:tblBorders>
          <w:top w:val="single" w:sz="8" w:space="0" w:color="4BACC6"/>
          <w:left w:val="single" w:sz="8" w:space="0" w:color="4BACC6"/>
          <w:bottom w:val="single" w:sz="8" w:space="0" w:color="4BACC6"/>
          <w:right w:val="single" w:sz="8" w:space="0" w:color="4BACC6"/>
        </w:tblBorders>
        <w:tblLook w:val="04A0" w:firstRow="1" w:lastRow="0" w:firstColumn="1" w:lastColumn="0" w:noHBand="0" w:noVBand="1"/>
      </w:tblPr>
      <w:tblGrid>
        <w:gridCol w:w="9955"/>
      </w:tblGrid>
      <w:tr w:rsidR="00A50A73" w:rsidRPr="004C4FBD" w14:paraId="3FDB9422" w14:textId="77777777" w:rsidTr="00241513">
        <w:trPr>
          <w:trHeight w:val="333"/>
        </w:trPr>
        <w:tc>
          <w:tcPr>
            <w:tcW w:w="9747" w:type="dxa"/>
            <w:tcBorders>
              <w:top w:val="single" w:sz="8" w:space="0" w:color="4BACC6"/>
              <w:left w:val="single" w:sz="8" w:space="0" w:color="4BACC6"/>
              <w:bottom w:val="nil"/>
              <w:right w:val="single" w:sz="8" w:space="0" w:color="4BACC6"/>
            </w:tcBorders>
            <w:shd w:val="clear" w:color="auto" w:fill="4BACC6"/>
            <w:vAlign w:val="center"/>
            <w:hideMark/>
          </w:tcPr>
          <w:p w14:paraId="748C27B0" w14:textId="77777777" w:rsidR="00A50A73" w:rsidRPr="004C4FBD" w:rsidRDefault="00A50A73" w:rsidP="00241513">
            <w:pPr>
              <w:spacing w:line="256" w:lineRule="auto"/>
              <w:ind w:right="3"/>
              <w:jc w:val="center"/>
              <w:rPr>
                <w:b/>
                <w:bCs/>
              </w:rPr>
            </w:pPr>
            <w:r w:rsidRPr="004C4FBD">
              <w:rPr>
                <w:b/>
                <w:bCs/>
                <w:rtl/>
                <w:lang w:bidi="ar-TN"/>
              </w:rPr>
              <w:t>تنكير</w:t>
            </w:r>
            <w:r w:rsidRPr="004C4FBD">
              <w:rPr>
                <w:rFonts w:ascii="Arial"/>
                <w:b/>
                <w:bCs/>
                <w:rtl/>
                <w:lang w:bidi="ar-TN"/>
              </w:rPr>
              <w:t xml:space="preserve"> </w:t>
            </w:r>
            <w:r w:rsidRPr="004C4FBD">
              <w:rPr>
                <w:b/>
                <w:bCs/>
                <w:rtl/>
                <w:lang w:bidi="ar-TN"/>
              </w:rPr>
              <w:t>بموضـــــــــــوع</w:t>
            </w:r>
            <w:r w:rsidRPr="004C4FBD">
              <w:rPr>
                <w:rFonts w:ascii="Arial"/>
                <w:b/>
                <w:bCs/>
                <w:rtl/>
                <w:lang w:bidi="ar-TN"/>
              </w:rPr>
              <w:t xml:space="preserve"> </w:t>
            </w:r>
            <w:r w:rsidRPr="004C4FBD">
              <w:rPr>
                <w:b/>
                <w:bCs/>
                <w:rtl/>
                <w:lang w:bidi="ar-TN"/>
              </w:rPr>
              <w:t>الشكـــــايـــــــــــة</w:t>
            </w:r>
            <w:r w:rsidRPr="004C4FBD">
              <w:rPr>
                <w:rFonts w:ascii="Arial"/>
                <w:b/>
                <w:bCs/>
                <w:rtl/>
                <w:lang w:bidi="ar-TN"/>
              </w:rPr>
              <w:t xml:space="preserve"> </w:t>
            </w:r>
            <w:r w:rsidRPr="004C4FBD">
              <w:rPr>
                <w:b/>
                <w:bCs/>
                <w:rtl/>
                <w:lang w:bidi="ar-TN"/>
              </w:rPr>
              <w:t>أو</w:t>
            </w:r>
            <w:r w:rsidRPr="004C4FBD">
              <w:rPr>
                <w:rFonts w:ascii="Arial"/>
                <w:b/>
                <w:bCs/>
                <w:rtl/>
                <w:lang w:bidi="ar-TN"/>
              </w:rPr>
              <w:t xml:space="preserve"> </w:t>
            </w:r>
            <w:r w:rsidRPr="004C4FBD">
              <w:rPr>
                <w:b/>
                <w:bCs/>
                <w:rtl/>
                <w:lang w:bidi="ar-TN"/>
              </w:rPr>
              <w:t>التــظلـــــم</w:t>
            </w:r>
            <w:r w:rsidRPr="004C4FBD">
              <w:rPr>
                <w:rFonts w:ascii="Arial"/>
                <w:b/>
                <w:bCs/>
                <w:rtl/>
                <w:lang w:bidi="ar-TN"/>
              </w:rPr>
              <w:t xml:space="preserve"> </w:t>
            </w:r>
            <w:r w:rsidRPr="004C4FBD">
              <w:rPr>
                <w:b/>
                <w:bCs/>
                <w:rtl/>
                <w:lang w:bidi="ar-TN"/>
              </w:rPr>
              <w:t>أو</w:t>
            </w:r>
            <w:r w:rsidRPr="004C4FBD">
              <w:rPr>
                <w:rFonts w:ascii="Arial"/>
                <w:b/>
                <w:bCs/>
                <w:rtl/>
                <w:lang w:bidi="ar-TN"/>
              </w:rPr>
              <w:t xml:space="preserve"> </w:t>
            </w:r>
            <w:r w:rsidRPr="004C4FBD">
              <w:rPr>
                <w:b/>
                <w:bCs/>
                <w:rtl/>
                <w:lang w:bidi="ar-TN"/>
              </w:rPr>
              <w:t>المــــلاحظـــــــات</w:t>
            </w:r>
          </w:p>
        </w:tc>
      </w:tr>
      <w:tr w:rsidR="00A50A73" w:rsidRPr="004C4FBD" w14:paraId="62D26979" w14:textId="77777777" w:rsidTr="00241513">
        <w:trPr>
          <w:trHeight w:val="2124"/>
        </w:trPr>
        <w:tc>
          <w:tcPr>
            <w:tcW w:w="9747" w:type="dxa"/>
            <w:tcBorders>
              <w:top w:val="single" w:sz="8" w:space="0" w:color="4BACC6"/>
              <w:left w:val="single" w:sz="8" w:space="0" w:color="4BACC6"/>
              <w:bottom w:val="single" w:sz="8" w:space="0" w:color="4BACC6"/>
              <w:right w:val="single" w:sz="8" w:space="0" w:color="4BACC6"/>
            </w:tcBorders>
          </w:tcPr>
          <w:p w14:paraId="65CEA64E" w14:textId="77777777" w:rsidR="00A50A73" w:rsidRPr="004C4FBD" w:rsidRDefault="00A50A73" w:rsidP="00241513">
            <w:pPr>
              <w:spacing w:line="256" w:lineRule="auto"/>
              <w:ind w:right="3"/>
              <w:jc w:val="right"/>
              <w:rPr>
                <w:rFonts w:ascii="Arial"/>
                <w:b/>
                <w:bCs/>
              </w:rPr>
            </w:pPr>
          </w:p>
          <w:p w14:paraId="43CEE2E4" w14:textId="77777777" w:rsidR="00A50A73" w:rsidRPr="004C4FBD" w:rsidRDefault="00A50A73" w:rsidP="00241513">
            <w:pPr>
              <w:spacing w:line="256" w:lineRule="auto"/>
              <w:ind w:right="3"/>
              <w:jc w:val="right"/>
              <w:rPr>
                <w:rFonts w:ascii="Arial"/>
                <w:b/>
                <w:bCs/>
                <w:sz w:val="24"/>
                <w:szCs w:val="24"/>
                <w:rtl/>
              </w:rPr>
            </w:pPr>
            <w:r w:rsidRPr="004C4FBD">
              <w:rPr>
                <w:rFonts w:ascii="Arial"/>
                <w:b/>
                <w:bCs/>
                <w:sz w:val="24"/>
                <w:szCs w:val="24"/>
                <w:rtl/>
              </w:rPr>
              <w:t>..................................................................................................................................................</w:t>
            </w:r>
          </w:p>
          <w:p w14:paraId="72E31586" w14:textId="77777777" w:rsidR="00A50A73" w:rsidRPr="004C4FBD" w:rsidRDefault="00A50A73" w:rsidP="00241513">
            <w:pPr>
              <w:spacing w:line="256" w:lineRule="auto"/>
              <w:ind w:right="3"/>
              <w:jc w:val="right"/>
              <w:rPr>
                <w:rFonts w:ascii="Arial"/>
                <w:b/>
                <w:bCs/>
                <w:sz w:val="24"/>
                <w:szCs w:val="24"/>
                <w:rtl/>
              </w:rPr>
            </w:pPr>
            <w:r w:rsidRPr="004C4FBD">
              <w:rPr>
                <w:rFonts w:ascii="Arial"/>
                <w:b/>
                <w:bCs/>
                <w:sz w:val="24"/>
                <w:szCs w:val="24"/>
                <w:rtl/>
              </w:rPr>
              <w:t>..................................................................................................................................................</w:t>
            </w:r>
          </w:p>
          <w:p w14:paraId="0CBDA793" w14:textId="77777777" w:rsidR="00A50A73" w:rsidRPr="004C4FBD" w:rsidRDefault="00A50A73" w:rsidP="00241513">
            <w:pPr>
              <w:spacing w:line="256" w:lineRule="auto"/>
              <w:ind w:right="3"/>
              <w:jc w:val="right"/>
              <w:rPr>
                <w:b/>
                <w:bCs/>
                <w:sz w:val="24"/>
                <w:szCs w:val="24"/>
                <w:lang w:bidi="ar-TN"/>
              </w:rPr>
            </w:pPr>
            <w:r w:rsidRPr="004C4FBD">
              <w:rPr>
                <w:rFonts w:ascii="Arial"/>
                <w:b/>
                <w:bCs/>
                <w:sz w:val="24"/>
                <w:szCs w:val="24"/>
                <w:rtl/>
              </w:rPr>
              <w:t xml:space="preserve">................................................................................................................................................ </w:t>
            </w:r>
          </w:p>
        </w:tc>
      </w:tr>
    </w:tbl>
    <w:p w14:paraId="3D253434" w14:textId="77777777" w:rsidR="00A50A73" w:rsidRPr="004C4FBD" w:rsidRDefault="00A50A73" w:rsidP="00A50A73">
      <w:pPr>
        <w:bidi/>
        <w:ind w:right="3"/>
        <w:contextualSpacing/>
        <w:rPr>
          <w:rFonts w:cs="Times New Roman"/>
          <w:rtl/>
          <w:lang w:bidi="ar-TN"/>
        </w:rPr>
      </w:pPr>
    </w:p>
    <w:tbl>
      <w:tblPr>
        <w:tblW w:w="9747" w:type="dxa"/>
        <w:tblBorders>
          <w:top w:val="single" w:sz="8" w:space="0" w:color="4BACC6"/>
          <w:left w:val="single" w:sz="8" w:space="0" w:color="4BACC6"/>
          <w:bottom w:val="single" w:sz="8" w:space="0" w:color="4BACC6"/>
          <w:right w:val="single" w:sz="8" w:space="0" w:color="4BACC6"/>
        </w:tblBorders>
        <w:tblLook w:val="04A0" w:firstRow="1" w:lastRow="0" w:firstColumn="1" w:lastColumn="0" w:noHBand="0" w:noVBand="1"/>
      </w:tblPr>
      <w:tblGrid>
        <w:gridCol w:w="9955"/>
      </w:tblGrid>
      <w:tr w:rsidR="00A50A73" w:rsidRPr="004C4FBD" w14:paraId="46A30ABA" w14:textId="77777777" w:rsidTr="00241513">
        <w:trPr>
          <w:trHeight w:val="333"/>
        </w:trPr>
        <w:tc>
          <w:tcPr>
            <w:tcW w:w="9747" w:type="dxa"/>
            <w:tcBorders>
              <w:top w:val="single" w:sz="8" w:space="0" w:color="4BACC6"/>
              <w:left w:val="single" w:sz="8" w:space="0" w:color="4BACC6"/>
              <w:bottom w:val="nil"/>
              <w:right w:val="single" w:sz="8" w:space="0" w:color="4BACC6"/>
            </w:tcBorders>
            <w:shd w:val="clear" w:color="auto" w:fill="4BACC6"/>
            <w:vAlign w:val="center"/>
            <w:hideMark/>
          </w:tcPr>
          <w:p w14:paraId="57508249" w14:textId="77777777" w:rsidR="00A50A73" w:rsidRPr="004C4FBD" w:rsidRDefault="00A50A73" w:rsidP="00241513">
            <w:pPr>
              <w:spacing w:line="256" w:lineRule="auto"/>
              <w:ind w:right="3"/>
              <w:jc w:val="center"/>
              <w:rPr>
                <w:b/>
                <w:bCs/>
              </w:rPr>
            </w:pPr>
            <w:r w:rsidRPr="004C4FBD">
              <w:rPr>
                <w:b/>
                <w:bCs/>
                <w:rtl/>
                <w:lang w:bidi="ar-SA"/>
              </w:rPr>
              <w:t xml:space="preserve">نتــــــــائــــــج الجـــــــلســــــــة </w:t>
            </w:r>
            <w:r w:rsidRPr="004C4FBD">
              <w:rPr>
                <w:rFonts w:ascii="Arial"/>
                <w:b/>
                <w:bCs/>
                <w:rtl/>
              </w:rPr>
              <w:t>(</w:t>
            </w:r>
            <w:r w:rsidRPr="004C4FBD">
              <w:rPr>
                <w:b/>
                <w:bCs/>
                <w:rtl/>
                <w:lang w:bidi="ar-SA"/>
              </w:rPr>
              <w:t>الحــــــل المقتـــــــــرح</w:t>
            </w:r>
            <w:r w:rsidRPr="004C4FBD">
              <w:rPr>
                <w:rFonts w:ascii="Arial"/>
                <w:b/>
                <w:bCs/>
                <w:rtl/>
              </w:rPr>
              <w:t xml:space="preserve">) </w:t>
            </w:r>
          </w:p>
        </w:tc>
      </w:tr>
      <w:tr w:rsidR="00A50A73" w:rsidRPr="004C4FBD" w14:paraId="5720E606" w14:textId="77777777" w:rsidTr="00241513">
        <w:trPr>
          <w:trHeight w:val="3096"/>
        </w:trPr>
        <w:tc>
          <w:tcPr>
            <w:tcW w:w="9747" w:type="dxa"/>
            <w:tcBorders>
              <w:top w:val="single" w:sz="8" w:space="0" w:color="4BACC6"/>
              <w:left w:val="single" w:sz="8" w:space="0" w:color="4BACC6"/>
              <w:bottom w:val="single" w:sz="8" w:space="0" w:color="4BACC6"/>
              <w:right w:val="single" w:sz="8" w:space="0" w:color="4BACC6"/>
            </w:tcBorders>
          </w:tcPr>
          <w:p w14:paraId="77DF6419" w14:textId="77777777" w:rsidR="00A50A73" w:rsidRPr="004C4FBD" w:rsidRDefault="00A50A73" w:rsidP="00241513">
            <w:pPr>
              <w:spacing w:line="256" w:lineRule="auto"/>
              <w:ind w:right="3"/>
              <w:jc w:val="right"/>
              <w:rPr>
                <w:rFonts w:ascii="Arial"/>
                <w:b/>
                <w:bCs/>
                <w:sz w:val="24"/>
                <w:szCs w:val="24"/>
              </w:rPr>
            </w:pPr>
          </w:p>
          <w:p w14:paraId="50100DD0" w14:textId="77777777" w:rsidR="00A50A73" w:rsidRPr="004C4FBD" w:rsidRDefault="00A50A73" w:rsidP="00241513">
            <w:pPr>
              <w:spacing w:line="256" w:lineRule="auto"/>
              <w:ind w:right="3"/>
              <w:jc w:val="right"/>
              <w:rPr>
                <w:rFonts w:ascii="Arial"/>
                <w:b/>
                <w:bCs/>
                <w:sz w:val="24"/>
                <w:szCs w:val="24"/>
                <w:rtl/>
              </w:rPr>
            </w:pPr>
            <w:r w:rsidRPr="004C4FBD">
              <w:rPr>
                <w:rFonts w:ascii="Arial"/>
                <w:b/>
                <w:bCs/>
                <w:sz w:val="24"/>
                <w:szCs w:val="24"/>
                <w:rtl/>
              </w:rPr>
              <w:t>..................................................................................................................................................</w:t>
            </w:r>
          </w:p>
          <w:p w14:paraId="12EED2C9" w14:textId="77777777" w:rsidR="00A50A73" w:rsidRPr="004C4FBD" w:rsidRDefault="00A50A73" w:rsidP="00241513">
            <w:pPr>
              <w:spacing w:line="256" w:lineRule="auto"/>
              <w:ind w:right="3"/>
              <w:jc w:val="right"/>
              <w:rPr>
                <w:rFonts w:ascii="Arial"/>
                <w:b/>
                <w:bCs/>
                <w:sz w:val="24"/>
                <w:szCs w:val="24"/>
                <w:rtl/>
              </w:rPr>
            </w:pPr>
            <w:r w:rsidRPr="004C4FBD">
              <w:rPr>
                <w:rFonts w:ascii="Arial"/>
                <w:b/>
                <w:bCs/>
                <w:sz w:val="24"/>
                <w:szCs w:val="24"/>
                <w:rtl/>
              </w:rPr>
              <w:t>..................................................................................................................................................</w:t>
            </w:r>
          </w:p>
          <w:p w14:paraId="6F1923E9" w14:textId="77777777" w:rsidR="00A50A73" w:rsidRPr="004C4FBD" w:rsidRDefault="00A50A73" w:rsidP="00241513">
            <w:pPr>
              <w:spacing w:line="256" w:lineRule="auto"/>
              <w:ind w:right="3"/>
              <w:jc w:val="right"/>
              <w:rPr>
                <w:rFonts w:ascii="Arial"/>
                <w:b/>
                <w:bCs/>
                <w:sz w:val="24"/>
                <w:szCs w:val="24"/>
                <w:rtl/>
              </w:rPr>
            </w:pPr>
            <w:r w:rsidRPr="004C4FBD">
              <w:rPr>
                <w:rFonts w:ascii="Arial"/>
                <w:b/>
                <w:bCs/>
                <w:sz w:val="24"/>
                <w:szCs w:val="24"/>
                <w:rtl/>
              </w:rPr>
              <w:t xml:space="preserve">................................................................................................................................................ </w:t>
            </w:r>
          </w:p>
          <w:p w14:paraId="32839902" w14:textId="77777777" w:rsidR="00A50A73" w:rsidRPr="004C4FBD" w:rsidRDefault="00A50A73" w:rsidP="00241513">
            <w:pPr>
              <w:spacing w:line="256" w:lineRule="auto"/>
              <w:ind w:right="3"/>
              <w:jc w:val="right"/>
              <w:rPr>
                <w:rFonts w:ascii="Arial"/>
                <w:b/>
                <w:bCs/>
                <w:rtl/>
              </w:rPr>
            </w:pPr>
          </w:p>
          <w:p w14:paraId="7D91A2D6" w14:textId="77777777" w:rsidR="00A50A73" w:rsidRPr="004C4FBD" w:rsidRDefault="00A50A73" w:rsidP="00241513">
            <w:pPr>
              <w:spacing w:line="256" w:lineRule="auto"/>
              <w:ind w:right="3"/>
              <w:jc w:val="center"/>
              <w:rPr>
                <w:u w:val="single"/>
              </w:rPr>
            </w:pPr>
            <w:r w:rsidRPr="004C4FBD">
              <w:rPr>
                <w:b/>
                <w:bCs/>
                <w:u w:val="single"/>
                <w:rtl/>
                <w:lang w:bidi="ar-SA"/>
              </w:rPr>
              <w:t>توقيع الحضور</w:t>
            </w:r>
          </w:p>
        </w:tc>
      </w:tr>
    </w:tbl>
    <w:p w14:paraId="24255ECE" w14:textId="77777777" w:rsidR="00A50A73" w:rsidRPr="004C4FBD" w:rsidRDefault="00A50A73" w:rsidP="00A50A73">
      <w:pPr>
        <w:ind w:right="3"/>
        <w:rPr>
          <w:b/>
          <w:bCs/>
          <w:lang w:bidi="ar-TN"/>
        </w:rPr>
      </w:pPr>
    </w:p>
    <w:p w14:paraId="48B2CA85" w14:textId="77777777" w:rsidR="00A50A73" w:rsidRPr="004C4FBD" w:rsidRDefault="00A50A73" w:rsidP="00A50A73">
      <w:pPr>
        <w:ind w:right="3"/>
        <w:rPr>
          <w:b/>
          <w:bCs/>
          <w:lang w:bidi="ar-TN"/>
        </w:rPr>
      </w:pPr>
      <w:r w:rsidRPr="004C4FBD">
        <w:rPr>
          <w:b/>
          <w:bCs/>
          <w:lang w:bidi="ar-TN"/>
        </w:rPr>
        <w:br w:type="page"/>
      </w:r>
    </w:p>
    <w:p w14:paraId="0E102750" w14:textId="77777777" w:rsidR="00A50A73" w:rsidRPr="004C4FBD" w:rsidRDefault="00A50A73" w:rsidP="00A50A73">
      <w:pPr>
        <w:ind w:right="3"/>
        <w:jc w:val="center"/>
        <w:rPr>
          <w:b/>
          <w:bCs/>
          <w:sz w:val="28"/>
          <w:szCs w:val="28"/>
          <w:lang w:bidi="ar-TN"/>
        </w:rPr>
      </w:pPr>
      <w:r w:rsidRPr="004C4FBD">
        <w:rPr>
          <w:b/>
          <w:bCs/>
          <w:sz w:val="28"/>
          <w:szCs w:val="28"/>
          <w:rtl/>
          <w:lang w:bidi="ar-TN"/>
        </w:rPr>
        <w:lastRenderedPageBreak/>
        <w:t>ملحق عدد 5</w:t>
      </w:r>
    </w:p>
    <w:p w14:paraId="1CC0D71F" w14:textId="77777777" w:rsidR="00A50A73" w:rsidRPr="004C4FBD" w:rsidRDefault="00A50A73" w:rsidP="00A50A73">
      <w:pPr>
        <w:ind w:right="3"/>
        <w:jc w:val="center"/>
        <w:rPr>
          <w:b/>
          <w:bCs/>
          <w:sz w:val="28"/>
          <w:szCs w:val="28"/>
          <w:lang w:bidi="ar-TN"/>
        </w:rPr>
      </w:pPr>
      <w:r w:rsidRPr="004C4FBD">
        <w:rPr>
          <w:b/>
          <w:bCs/>
          <w:sz w:val="28"/>
          <w:szCs w:val="28"/>
          <w:rtl/>
          <w:lang w:bidi="ar-SA"/>
        </w:rPr>
        <w:t>نموذج إقرار</w:t>
      </w:r>
      <w:r w:rsidRPr="004C4FBD">
        <w:rPr>
          <w:b/>
          <w:bCs/>
          <w:sz w:val="28"/>
          <w:szCs w:val="28"/>
          <w:rtl/>
          <w:lang w:bidi="ar-TN"/>
        </w:rPr>
        <w:t xml:space="preserve"> </w:t>
      </w:r>
      <w:r w:rsidRPr="004C4FBD">
        <w:rPr>
          <w:rFonts w:hint="cs"/>
          <w:b/>
          <w:bCs/>
          <w:sz w:val="28"/>
          <w:szCs w:val="28"/>
          <w:rtl/>
          <w:lang w:bidi="ar-TN"/>
        </w:rPr>
        <w:t>استلام</w:t>
      </w:r>
      <w:r w:rsidRPr="004C4FBD">
        <w:rPr>
          <w:b/>
          <w:bCs/>
          <w:sz w:val="28"/>
          <w:szCs w:val="28"/>
          <w:rtl/>
          <w:lang w:bidi="ar-SA"/>
        </w:rPr>
        <w:t xml:space="preserve"> شكوى </w:t>
      </w:r>
      <w:r w:rsidRPr="004C4FBD">
        <w:rPr>
          <w:rFonts w:ascii="Arial"/>
          <w:b/>
          <w:bCs/>
          <w:sz w:val="28"/>
          <w:szCs w:val="28"/>
          <w:rtl/>
        </w:rPr>
        <w:t xml:space="preserve">/ </w:t>
      </w:r>
      <w:r w:rsidRPr="004C4FBD">
        <w:rPr>
          <w:b/>
          <w:bCs/>
          <w:sz w:val="28"/>
          <w:szCs w:val="28"/>
          <w:rtl/>
          <w:lang w:bidi="ar-SA"/>
        </w:rPr>
        <w:t>تظلم</w:t>
      </w:r>
    </w:p>
    <w:p w14:paraId="2D097670" w14:textId="77777777" w:rsidR="00A50A73" w:rsidRPr="004C4FBD" w:rsidRDefault="00A50A73" w:rsidP="00A50A73">
      <w:pPr>
        <w:ind w:right="3"/>
        <w:contextualSpacing/>
        <w:rPr>
          <w:rFonts w:ascii="Arial"/>
          <w:rtl/>
        </w:rPr>
      </w:pPr>
    </w:p>
    <w:p w14:paraId="5F1166AD" w14:textId="77777777" w:rsidR="00A50A73" w:rsidRPr="004C4FBD" w:rsidRDefault="00A50A73" w:rsidP="00A50A73">
      <w:pPr>
        <w:ind w:right="3"/>
        <w:contextualSpacing/>
        <w:rPr>
          <w:b/>
          <w:bCs/>
        </w:rPr>
      </w:pPr>
      <w:r w:rsidRPr="004C4FBD">
        <w:t xml:space="preserve">Nom du maître d'ouvrage : </w:t>
      </w:r>
      <w:r>
        <w:t>Office National des Aéroports</w:t>
      </w:r>
    </w:p>
    <w:p w14:paraId="399CD955" w14:textId="77777777" w:rsidR="00A50A73" w:rsidRPr="004C4FBD" w:rsidRDefault="00A50A73" w:rsidP="00A50A73">
      <w:pPr>
        <w:ind w:right="3"/>
        <w:contextualSpacing/>
      </w:pPr>
    </w:p>
    <w:p w14:paraId="514A6D97" w14:textId="77777777" w:rsidR="00A50A73" w:rsidRPr="004C4FBD" w:rsidRDefault="00A50A73" w:rsidP="00A50A73">
      <w:pPr>
        <w:ind w:right="3"/>
        <w:contextualSpacing/>
      </w:pPr>
      <w:r w:rsidRPr="004C4FBD">
        <w:t>Titre et référence du Projet :</w:t>
      </w:r>
    </w:p>
    <w:p w14:paraId="2F5B2049" w14:textId="77777777" w:rsidR="00A50A73" w:rsidRPr="004C4FBD" w:rsidRDefault="00A50A73" w:rsidP="00A50A73">
      <w:pPr>
        <w:ind w:right="3"/>
        <w:contextualSpacing/>
      </w:pPr>
    </w:p>
    <w:p w14:paraId="55F24F9C" w14:textId="77777777" w:rsidR="00A50A73" w:rsidRPr="004C4FBD" w:rsidRDefault="00A50A73" w:rsidP="00A50A73">
      <w:pPr>
        <w:ind w:right="3"/>
        <w:contextualSpacing/>
      </w:pPr>
    </w:p>
    <w:tbl>
      <w:tblPr>
        <w:tblW w:w="95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98"/>
        <w:gridCol w:w="3260"/>
        <w:gridCol w:w="3468"/>
      </w:tblGrid>
      <w:tr w:rsidR="00A50A73" w:rsidRPr="004C4FBD" w14:paraId="47695702" w14:textId="77777777" w:rsidTr="00241513">
        <w:trPr>
          <w:jc w:val="center"/>
        </w:trPr>
        <w:tc>
          <w:tcPr>
            <w:tcW w:w="2798" w:type="dxa"/>
            <w:tcBorders>
              <w:top w:val="single" w:sz="4" w:space="0" w:color="auto"/>
              <w:left w:val="single" w:sz="4" w:space="0" w:color="auto"/>
              <w:bottom w:val="single" w:sz="4" w:space="0" w:color="auto"/>
              <w:right w:val="single" w:sz="4" w:space="0" w:color="auto"/>
            </w:tcBorders>
            <w:vAlign w:val="center"/>
            <w:hideMark/>
          </w:tcPr>
          <w:p w14:paraId="4BE4EB43" w14:textId="77777777" w:rsidR="00A50A73" w:rsidRPr="004C4FBD" w:rsidRDefault="00A50A73" w:rsidP="00241513">
            <w:pPr>
              <w:ind w:right="3"/>
              <w:contextualSpacing/>
              <w:jc w:val="center"/>
              <w:rPr>
                <w:rFonts w:cs="Times New Roman"/>
                <w:b/>
                <w:bCs/>
              </w:rPr>
            </w:pPr>
            <w:r w:rsidRPr="004C4FBD">
              <w:rPr>
                <w:rFonts w:cs="Times New Roman"/>
                <w:b/>
                <w:bCs/>
              </w:rPr>
              <w:t>Nom de la Structure de Gestion des Plaintes :</w:t>
            </w:r>
          </w:p>
        </w:tc>
        <w:tc>
          <w:tcPr>
            <w:tcW w:w="6728" w:type="dxa"/>
            <w:gridSpan w:val="2"/>
            <w:tcBorders>
              <w:top w:val="single" w:sz="4" w:space="0" w:color="auto"/>
              <w:left w:val="single" w:sz="4" w:space="0" w:color="auto"/>
              <w:bottom w:val="single" w:sz="4" w:space="0" w:color="auto"/>
              <w:right w:val="single" w:sz="4" w:space="0" w:color="auto"/>
            </w:tcBorders>
            <w:vAlign w:val="center"/>
            <w:hideMark/>
          </w:tcPr>
          <w:p w14:paraId="28225025" w14:textId="77777777" w:rsidR="00A50A73" w:rsidRPr="004C4FBD" w:rsidRDefault="00A50A73" w:rsidP="00241513">
            <w:pPr>
              <w:ind w:right="3"/>
              <w:contextualSpacing/>
              <w:jc w:val="center"/>
              <w:rPr>
                <w:rFonts w:cs="Times New Roman"/>
                <w:b/>
                <w:bCs/>
              </w:rPr>
            </w:pPr>
            <w:r w:rsidRPr="004C4FBD">
              <w:rPr>
                <w:rFonts w:cs="Times New Roman"/>
                <w:b/>
                <w:bCs/>
              </w:rPr>
              <w:t>Structure de traitement de plainte</w:t>
            </w:r>
          </w:p>
        </w:tc>
      </w:tr>
      <w:tr w:rsidR="00A50A73" w:rsidRPr="004C4FBD" w14:paraId="72C92567" w14:textId="77777777" w:rsidTr="00241513">
        <w:trPr>
          <w:jc w:val="center"/>
        </w:trPr>
        <w:tc>
          <w:tcPr>
            <w:tcW w:w="2798" w:type="dxa"/>
            <w:tcBorders>
              <w:top w:val="single" w:sz="4" w:space="0" w:color="auto"/>
              <w:left w:val="single" w:sz="4" w:space="0" w:color="auto"/>
              <w:bottom w:val="single" w:sz="4" w:space="0" w:color="auto"/>
              <w:right w:val="single" w:sz="4" w:space="0" w:color="auto"/>
            </w:tcBorders>
            <w:vAlign w:val="center"/>
            <w:hideMark/>
          </w:tcPr>
          <w:p w14:paraId="2F3BD114" w14:textId="77777777" w:rsidR="00A50A73" w:rsidRPr="004C4FBD" w:rsidRDefault="00A50A73" w:rsidP="00241513">
            <w:pPr>
              <w:ind w:right="3"/>
              <w:contextualSpacing/>
              <w:rPr>
                <w:rFonts w:cs="Times New Roman"/>
                <w:b/>
                <w:bCs/>
              </w:rPr>
            </w:pPr>
            <w:r w:rsidRPr="004C4FBD">
              <w:rPr>
                <w:rFonts w:cs="Times New Roman"/>
              </w:rPr>
              <w:t>Localité :</w:t>
            </w:r>
          </w:p>
        </w:tc>
        <w:tc>
          <w:tcPr>
            <w:tcW w:w="3260" w:type="dxa"/>
            <w:tcBorders>
              <w:top w:val="single" w:sz="4" w:space="0" w:color="auto"/>
              <w:left w:val="single" w:sz="4" w:space="0" w:color="auto"/>
              <w:bottom w:val="single" w:sz="4" w:space="0" w:color="auto"/>
              <w:right w:val="single" w:sz="4" w:space="0" w:color="auto"/>
            </w:tcBorders>
            <w:vAlign w:val="center"/>
            <w:hideMark/>
          </w:tcPr>
          <w:p w14:paraId="24D0AE94" w14:textId="77777777" w:rsidR="00A50A73" w:rsidRPr="004C4FBD" w:rsidRDefault="00A50A73" w:rsidP="00241513">
            <w:pPr>
              <w:ind w:right="3"/>
              <w:contextualSpacing/>
              <w:rPr>
                <w:rFonts w:cs="Times New Roman"/>
                <w:b/>
                <w:bCs/>
              </w:rPr>
            </w:pPr>
            <w:r w:rsidRPr="004C4FBD">
              <w:rPr>
                <w:rFonts w:cs="Times New Roman"/>
              </w:rPr>
              <w:t>Date de réception de la plainte</w:t>
            </w:r>
          </w:p>
        </w:tc>
        <w:tc>
          <w:tcPr>
            <w:tcW w:w="3468" w:type="dxa"/>
            <w:tcBorders>
              <w:top w:val="single" w:sz="4" w:space="0" w:color="auto"/>
              <w:left w:val="single" w:sz="4" w:space="0" w:color="auto"/>
              <w:bottom w:val="single" w:sz="4" w:space="0" w:color="auto"/>
              <w:right w:val="single" w:sz="4" w:space="0" w:color="auto"/>
            </w:tcBorders>
            <w:vAlign w:val="center"/>
            <w:hideMark/>
          </w:tcPr>
          <w:p w14:paraId="74C63416" w14:textId="77777777" w:rsidR="00A50A73" w:rsidRPr="004C4FBD" w:rsidRDefault="00A50A73" w:rsidP="00241513">
            <w:pPr>
              <w:ind w:right="3"/>
              <w:contextualSpacing/>
              <w:rPr>
                <w:rFonts w:cs="Times New Roman"/>
                <w:b/>
                <w:bCs/>
              </w:rPr>
            </w:pPr>
            <w:r w:rsidRPr="004C4FBD">
              <w:rPr>
                <w:rFonts w:cs="Times New Roman"/>
              </w:rPr>
              <w:t>JJ/MM/AA et (heure de réception)</w:t>
            </w:r>
          </w:p>
        </w:tc>
      </w:tr>
    </w:tbl>
    <w:p w14:paraId="29ACD289" w14:textId="77777777" w:rsidR="00A50A73" w:rsidRPr="004C4FBD" w:rsidRDefault="00A50A73" w:rsidP="00A50A73">
      <w:pPr>
        <w:ind w:right="3"/>
        <w:contextualSpacing/>
      </w:pPr>
    </w:p>
    <w:p w14:paraId="66159DD2" w14:textId="77777777" w:rsidR="00A50A73" w:rsidRPr="004C4FBD" w:rsidRDefault="00A50A73" w:rsidP="00A50A73">
      <w:pPr>
        <w:ind w:right="3"/>
        <w:contextualSpacing/>
        <w:rPr>
          <w:b/>
          <w:bCs/>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60"/>
        <w:gridCol w:w="3260"/>
        <w:gridCol w:w="3544"/>
      </w:tblGrid>
      <w:tr w:rsidR="00A50A73" w:rsidRPr="004C4FBD" w14:paraId="4F525A7A" w14:textId="77777777" w:rsidTr="00241513">
        <w:tc>
          <w:tcPr>
            <w:tcW w:w="9464" w:type="dxa"/>
            <w:gridSpan w:val="3"/>
            <w:tcBorders>
              <w:top w:val="single" w:sz="4" w:space="0" w:color="auto"/>
              <w:left w:val="single" w:sz="4" w:space="0" w:color="auto"/>
              <w:bottom w:val="single" w:sz="4" w:space="0" w:color="auto"/>
              <w:right w:val="single" w:sz="4" w:space="0" w:color="auto"/>
            </w:tcBorders>
            <w:hideMark/>
          </w:tcPr>
          <w:p w14:paraId="66546923" w14:textId="77777777" w:rsidR="00A50A73" w:rsidRPr="004C4FBD" w:rsidRDefault="00A50A73" w:rsidP="00241513">
            <w:pPr>
              <w:ind w:right="3"/>
              <w:contextualSpacing/>
              <w:rPr>
                <w:b/>
                <w:bCs/>
              </w:rPr>
            </w:pPr>
            <w:r w:rsidRPr="004C4FBD">
              <w:t>N° d’enregistrement :</w:t>
            </w:r>
          </w:p>
        </w:tc>
      </w:tr>
      <w:tr w:rsidR="00A50A73" w:rsidRPr="004C4FBD" w14:paraId="40816E0F" w14:textId="77777777" w:rsidTr="00241513">
        <w:tc>
          <w:tcPr>
            <w:tcW w:w="2660" w:type="dxa"/>
            <w:vMerge w:val="restart"/>
            <w:tcBorders>
              <w:top w:val="single" w:sz="4" w:space="0" w:color="auto"/>
              <w:left w:val="single" w:sz="4" w:space="0" w:color="auto"/>
              <w:bottom w:val="single" w:sz="4" w:space="0" w:color="auto"/>
              <w:right w:val="single" w:sz="4" w:space="0" w:color="auto"/>
            </w:tcBorders>
            <w:vAlign w:val="center"/>
            <w:hideMark/>
          </w:tcPr>
          <w:p w14:paraId="2565D057" w14:textId="77777777" w:rsidR="00A50A73" w:rsidRPr="004C4FBD" w:rsidRDefault="00A50A73" w:rsidP="00241513">
            <w:pPr>
              <w:ind w:right="3"/>
              <w:contextualSpacing/>
            </w:pPr>
            <w:r w:rsidRPr="004C4FBD">
              <w:t>Identité du plaignant :</w:t>
            </w:r>
          </w:p>
        </w:tc>
        <w:tc>
          <w:tcPr>
            <w:tcW w:w="3260" w:type="dxa"/>
            <w:vMerge w:val="restart"/>
            <w:tcBorders>
              <w:top w:val="single" w:sz="4" w:space="0" w:color="auto"/>
              <w:left w:val="single" w:sz="4" w:space="0" w:color="auto"/>
              <w:bottom w:val="single" w:sz="4" w:space="0" w:color="auto"/>
              <w:right w:val="single" w:sz="4" w:space="0" w:color="auto"/>
            </w:tcBorders>
            <w:vAlign w:val="center"/>
            <w:hideMark/>
          </w:tcPr>
          <w:p w14:paraId="4DF66129" w14:textId="77777777" w:rsidR="00A50A73" w:rsidRPr="004C4FBD" w:rsidRDefault="00A50A73" w:rsidP="00241513">
            <w:pPr>
              <w:ind w:right="3"/>
              <w:contextualSpacing/>
            </w:pPr>
            <w:r w:rsidRPr="004C4FBD">
              <w:t>Nom et Prénom : M/Mme……</w:t>
            </w:r>
          </w:p>
        </w:tc>
        <w:tc>
          <w:tcPr>
            <w:tcW w:w="3544" w:type="dxa"/>
            <w:tcBorders>
              <w:top w:val="single" w:sz="4" w:space="0" w:color="auto"/>
              <w:left w:val="single" w:sz="4" w:space="0" w:color="auto"/>
              <w:bottom w:val="single" w:sz="4" w:space="0" w:color="auto"/>
              <w:right w:val="single" w:sz="4" w:space="0" w:color="auto"/>
            </w:tcBorders>
            <w:vAlign w:val="center"/>
            <w:hideMark/>
          </w:tcPr>
          <w:p w14:paraId="7FFA4DA3" w14:textId="77777777" w:rsidR="00A50A73" w:rsidRPr="004C4FBD" w:rsidRDefault="00A50A73" w:rsidP="00241513">
            <w:pPr>
              <w:ind w:right="3"/>
              <w:contextualSpacing/>
            </w:pPr>
            <w:r w:rsidRPr="004C4FBD">
              <w:t>Réf. Pièce d’identité :</w:t>
            </w:r>
          </w:p>
        </w:tc>
      </w:tr>
      <w:tr w:rsidR="00A50A73" w:rsidRPr="004C4FBD" w14:paraId="0C7018F9" w14:textId="77777777" w:rsidTr="00241513">
        <w:tc>
          <w:tcPr>
            <w:tcW w:w="0" w:type="auto"/>
            <w:vMerge/>
            <w:tcBorders>
              <w:top w:val="single" w:sz="4" w:space="0" w:color="auto"/>
              <w:left w:val="single" w:sz="4" w:space="0" w:color="auto"/>
              <w:bottom w:val="single" w:sz="4" w:space="0" w:color="auto"/>
              <w:right w:val="single" w:sz="4" w:space="0" w:color="auto"/>
            </w:tcBorders>
            <w:vAlign w:val="center"/>
            <w:hideMark/>
          </w:tcPr>
          <w:p w14:paraId="40681B6D" w14:textId="77777777" w:rsidR="00A50A73" w:rsidRPr="004C4FBD" w:rsidRDefault="00A50A73" w:rsidP="00241513">
            <w:pPr>
              <w:spacing w:before="0" w:after="0" w:line="240" w:lineRule="auto"/>
              <w:jc w:val="left"/>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4F1069A" w14:textId="77777777" w:rsidR="00A50A73" w:rsidRPr="004C4FBD" w:rsidRDefault="00A50A73" w:rsidP="00241513">
            <w:pPr>
              <w:spacing w:before="0" w:after="0" w:line="240" w:lineRule="auto"/>
              <w:jc w:val="left"/>
            </w:pPr>
          </w:p>
        </w:tc>
        <w:tc>
          <w:tcPr>
            <w:tcW w:w="3544" w:type="dxa"/>
            <w:tcBorders>
              <w:top w:val="single" w:sz="4" w:space="0" w:color="auto"/>
              <w:left w:val="single" w:sz="4" w:space="0" w:color="auto"/>
              <w:bottom w:val="single" w:sz="4" w:space="0" w:color="auto"/>
              <w:right w:val="single" w:sz="4" w:space="0" w:color="auto"/>
            </w:tcBorders>
            <w:vAlign w:val="center"/>
            <w:hideMark/>
          </w:tcPr>
          <w:p w14:paraId="5D973243" w14:textId="77777777" w:rsidR="00A50A73" w:rsidRPr="004C4FBD" w:rsidRDefault="00A50A73" w:rsidP="00241513">
            <w:pPr>
              <w:ind w:right="3"/>
              <w:contextualSpacing/>
              <w:rPr>
                <w:b/>
                <w:bCs/>
              </w:rPr>
            </w:pPr>
            <w:r w:rsidRPr="004C4FBD">
              <w:t>Adresse :</w:t>
            </w:r>
          </w:p>
        </w:tc>
      </w:tr>
      <w:tr w:rsidR="00A50A73" w:rsidRPr="004C4FBD" w14:paraId="44BD8963" w14:textId="77777777" w:rsidTr="00241513">
        <w:tc>
          <w:tcPr>
            <w:tcW w:w="0" w:type="auto"/>
            <w:vMerge/>
            <w:tcBorders>
              <w:top w:val="single" w:sz="4" w:space="0" w:color="auto"/>
              <w:left w:val="single" w:sz="4" w:space="0" w:color="auto"/>
              <w:bottom w:val="single" w:sz="4" w:space="0" w:color="auto"/>
              <w:right w:val="single" w:sz="4" w:space="0" w:color="auto"/>
            </w:tcBorders>
            <w:vAlign w:val="center"/>
            <w:hideMark/>
          </w:tcPr>
          <w:p w14:paraId="437AB9C3" w14:textId="77777777" w:rsidR="00A50A73" w:rsidRPr="004C4FBD" w:rsidRDefault="00A50A73" w:rsidP="00241513">
            <w:pPr>
              <w:spacing w:before="0" w:after="0" w:line="240" w:lineRule="auto"/>
              <w:jc w:val="left"/>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635353F" w14:textId="77777777" w:rsidR="00A50A73" w:rsidRPr="004C4FBD" w:rsidRDefault="00A50A73" w:rsidP="00241513">
            <w:pPr>
              <w:spacing w:before="0" w:after="0" w:line="240" w:lineRule="auto"/>
              <w:jc w:val="left"/>
            </w:pPr>
          </w:p>
        </w:tc>
        <w:tc>
          <w:tcPr>
            <w:tcW w:w="3544" w:type="dxa"/>
            <w:tcBorders>
              <w:top w:val="single" w:sz="4" w:space="0" w:color="auto"/>
              <w:left w:val="single" w:sz="4" w:space="0" w:color="auto"/>
              <w:bottom w:val="single" w:sz="4" w:space="0" w:color="auto"/>
              <w:right w:val="single" w:sz="4" w:space="0" w:color="auto"/>
            </w:tcBorders>
            <w:vAlign w:val="center"/>
            <w:hideMark/>
          </w:tcPr>
          <w:p w14:paraId="52488FB2" w14:textId="77777777" w:rsidR="00A50A73" w:rsidRPr="004C4FBD" w:rsidRDefault="00A50A73" w:rsidP="00241513">
            <w:pPr>
              <w:ind w:right="3"/>
              <w:contextualSpacing/>
              <w:rPr>
                <w:b/>
                <w:bCs/>
              </w:rPr>
            </w:pPr>
            <w:r w:rsidRPr="004C4FBD">
              <w:rPr>
                <w:b/>
                <w:bCs/>
              </w:rPr>
              <w:t>Tel</w:t>
            </w:r>
          </w:p>
        </w:tc>
      </w:tr>
      <w:tr w:rsidR="00A50A73" w:rsidRPr="004C4FBD" w14:paraId="00B9C23F" w14:textId="77777777" w:rsidTr="00241513">
        <w:tc>
          <w:tcPr>
            <w:tcW w:w="0" w:type="auto"/>
            <w:vMerge/>
            <w:tcBorders>
              <w:top w:val="single" w:sz="4" w:space="0" w:color="auto"/>
              <w:left w:val="single" w:sz="4" w:space="0" w:color="auto"/>
              <w:bottom w:val="single" w:sz="4" w:space="0" w:color="auto"/>
              <w:right w:val="single" w:sz="4" w:space="0" w:color="auto"/>
            </w:tcBorders>
            <w:vAlign w:val="center"/>
            <w:hideMark/>
          </w:tcPr>
          <w:p w14:paraId="364C801E" w14:textId="77777777" w:rsidR="00A50A73" w:rsidRPr="004C4FBD" w:rsidRDefault="00A50A73" w:rsidP="00241513">
            <w:pPr>
              <w:spacing w:before="0" w:after="0" w:line="240" w:lineRule="auto"/>
              <w:jc w:val="left"/>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FDBE0FB" w14:textId="77777777" w:rsidR="00A50A73" w:rsidRPr="004C4FBD" w:rsidRDefault="00A50A73" w:rsidP="00241513">
            <w:pPr>
              <w:spacing w:before="0" w:after="0" w:line="240" w:lineRule="auto"/>
              <w:jc w:val="left"/>
            </w:pPr>
          </w:p>
        </w:tc>
        <w:tc>
          <w:tcPr>
            <w:tcW w:w="3544" w:type="dxa"/>
            <w:tcBorders>
              <w:top w:val="single" w:sz="4" w:space="0" w:color="auto"/>
              <w:left w:val="single" w:sz="4" w:space="0" w:color="auto"/>
              <w:bottom w:val="single" w:sz="4" w:space="0" w:color="auto"/>
              <w:right w:val="single" w:sz="4" w:space="0" w:color="auto"/>
            </w:tcBorders>
            <w:vAlign w:val="center"/>
            <w:hideMark/>
          </w:tcPr>
          <w:p w14:paraId="2152CE1C" w14:textId="77777777" w:rsidR="00A50A73" w:rsidRPr="004C4FBD" w:rsidRDefault="00A50A73" w:rsidP="00241513">
            <w:pPr>
              <w:ind w:right="3"/>
              <w:contextualSpacing/>
              <w:rPr>
                <w:b/>
                <w:bCs/>
              </w:rPr>
            </w:pPr>
            <w:r w:rsidRPr="004C4FBD">
              <w:rPr>
                <w:b/>
                <w:bCs/>
              </w:rPr>
              <w:t>E-mail</w:t>
            </w:r>
          </w:p>
        </w:tc>
      </w:tr>
    </w:tbl>
    <w:p w14:paraId="715D9598" w14:textId="77777777" w:rsidR="00A50A73" w:rsidRPr="004C4FBD" w:rsidRDefault="00A50A73" w:rsidP="00A50A73">
      <w:pPr>
        <w:ind w:right="3"/>
        <w:contextualSpacing/>
        <w:rPr>
          <w:b/>
          <w:bCs/>
        </w:rPr>
      </w:pPr>
    </w:p>
    <w:p w14:paraId="2E40D697" w14:textId="77777777" w:rsidR="00A50A73" w:rsidRPr="004C4FBD" w:rsidRDefault="00A50A73" w:rsidP="00A50A73">
      <w:pPr>
        <w:ind w:right="3"/>
        <w:contextualSpacing/>
        <w:rPr>
          <w:b/>
          <w:bCs/>
        </w:rPr>
      </w:pPr>
      <w:r w:rsidRPr="004C4FBD">
        <w:rPr>
          <w:b/>
          <w:bCs/>
        </w:rPr>
        <w:t xml:space="preserve">OBJET : Accusé de réception </w:t>
      </w:r>
    </w:p>
    <w:p w14:paraId="0875334E" w14:textId="77777777" w:rsidR="00A50A73" w:rsidRPr="004C4FBD" w:rsidRDefault="00A50A73" w:rsidP="00A50A73">
      <w:pPr>
        <w:ind w:right="3"/>
        <w:contextualSpacing/>
        <w:rPr>
          <w:b/>
          <w:bCs/>
        </w:rPr>
      </w:pPr>
    </w:p>
    <w:p w14:paraId="133DDFA7" w14:textId="77777777" w:rsidR="00A50A73" w:rsidRPr="004C4FBD" w:rsidRDefault="00A50A73" w:rsidP="00A50A73">
      <w:pPr>
        <w:ind w:right="3"/>
        <w:contextualSpacing/>
      </w:pPr>
      <w:r w:rsidRPr="004C4FBD">
        <w:t xml:space="preserve">Madame / monsieur </w:t>
      </w:r>
    </w:p>
    <w:p w14:paraId="47B9B281" w14:textId="77777777" w:rsidR="00A50A73" w:rsidRPr="004C4FBD" w:rsidRDefault="00A50A73" w:rsidP="00A50A73">
      <w:pPr>
        <w:ind w:right="3"/>
        <w:contextualSpacing/>
      </w:pPr>
    </w:p>
    <w:p w14:paraId="3A01D87A" w14:textId="77777777" w:rsidR="00A50A73" w:rsidRPr="004C4FBD" w:rsidRDefault="00A50A73" w:rsidP="00A50A73">
      <w:pPr>
        <w:ind w:right="3"/>
        <w:contextualSpacing/>
      </w:pPr>
      <w:r w:rsidRPr="004C4FBD">
        <w:t xml:space="preserve">Suite à votre réclamation formelle enregistrée à nos services sus le numéro n°………… en date du JJ/MM/AA à (heure) et portant sur le sujet suivant (Omission de recensement, conflit de droit de propriété avec un voisin, mauvais relevé des caractéristiques de biens, réclamation d’évaluation de biens, etc.) </w:t>
      </w:r>
    </w:p>
    <w:p w14:paraId="73DAA373" w14:textId="77777777" w:rsidR="00A50A73" w:rsidRPr="004C4FBD" w:rsidRDefault="00A50A73" w:rsidP="00A50A73">
      <w:pPr>
        <w:ind w:right="3"/>
        <w:contextualSpacing/>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06"/>
      </w:tblGrid>
      <w:tr w:rsidR="00A50A73" w:rsidRPr="004C4FBD" w14:paraId="76A9DF48" w14:textId="77777777" w:rsidTr="00241513">
        <w:tc>
          <w:tcPr>
            <w:tcW w:w="9606" w:type="dxa"/>
            <w:tcBorders>
              <w:top w:val="single" w:sz="4" w:space="0" w:color="auto"/>
              <w:left w:val="single" w:sz="4" w:space="0" w:color="auto"/>
              <w:bottom w:val="single" w:sz="4" w:space="0" w:color="auto"/>
              <w:right w:val="single" w:sz="4" w:space="0" w:color="auto"/>
            </w:tcBorders>
            <w:hideMark/>
          </w:tcPr>
          <w:p w14:paraId="25BD5888" w14:textId="77777777" w:rsidR="00A50A73" w:rsidRPr="004C4FBD" w:rsidRDefault="00A50A73" w:rsidP="00241513">
            <w:pPr>
              <w:ind w:right="3"/>
              <w:contextualSpacing/>
              <w:jc w:val="center"/>
            </w:pPr>
            <w:r w:rsidRPr="004C4FBD">
              <w:rPr>
                <w:b/>
                <w:bCs/>
              </w:rPr>
              <w:t>Description :</w:t>
            </w:r>
            <w:r w:rsidRPr="004C4FBD">
              <w:t xml:space="preserve"> du motif de la plainte pour une meilleure compréhension</w:t>
            </w:r>
          </w:p>
          <w:p w14:paraId="6BFA26A8" w14:textId="77777777" w:rsidR="00A50A73" w:rsidRPr="004C4FBD" w:rsidRDefault="00A50A73" w:rsidP="00241513">
            <w:pPr>
              <w:ind w:right="3"/>
              <w:contextualSpacing/>
              <w:jc w:val="center"/>
            </w:pPr>
            <w:r w:rsidRPr="004C4FBD">
              <w:t>…………………………………………………………………………………………………………………………………………………………….</w:t>
            </w:r>
          </w:p>
        </w:tc>
      </w:tr>
    </w:tbl>
    <w:p w14:paraId="6DE7CEDB" w14:textId="77777777" w:rsidR="00A50A73" w:rsidRPr="004C4FBD" w:rsidRDefault="00A50A73" w:rsidP="00A50A73">
      <w:pPr>
        <w:ind w:right="3"/>
        <w:contextualSpacing/>
      </w:pPr>
    </w:p>
    <w:p w14:paraId="70F79194" w14:textId="77777777" w:rsidR="00A50A73" w:rsidRPr="004C4FBD" w:rsidRDefault="00A50A73" w:rsidP="00A50A73">
      <w:pPr>
        <w:ind w:right="3"/>
        <w:contextualSpacing/>
      </w:pPr>
      <w:r w:rsidRPr="004C4FBD">
        <w:t xml:space="preserve">Nous accusons réception de votre réclamation et nous vous tiendrons informé de suites qui y seront réservées. </w:t>
      </w:r>
    </w:p>
    <w:p w14:paraId="6498DBDD" w14:textId="77777777" w:rsidR="00A50A73" w:rsidRPr="004C4FBD" w:rsidRDefault="00A50A73" w:rsidP="00A50A73">
      <w:pPr>
        <w:ind w:right="3"/>
        <w:contextualSpacing/>
      </w:pPr>
    </w:p>
    <w:p w14:paraId="5737AC4A" w14:textId="77777777" w:rsidR="00A50A73" w:rsidRPr="004C4FBD" w:rsidRDefault="00A50A73" w:rsidP="00A50A73">
      <w:pPr>
        <w:ind w:right="3"/>
        <w:contextualSpacing/>
      </w:pPr>
      <w:r w:rsidRPr="004C4FBD">
        <w:t xml:space="preserve">(Remarques additionnelles éventuelles - Toutes informations utiles) </w:t>
      </w:r>
    </w:p>
    <w:p w14:paraId="0DD96828" w14:textId="77777777" w:rsidR="00A50A73" w:rsidRPr="004C4FBD" w:rsidRDefault="00A50A73" w:rsidP="00A50A73">
      <w:pPr>
        <w:ind w:right="3"/>
        <w:contextualSpacing/>
      </w:pPr>
    </w:p>
    <w:p w14:paraId="687D6EC4" w14:textId="77777777" w:rsidR="00A50A73" w:rsidRPr="004C4FBD" w:rsidRDefault="00A50A73" w:rsidP="00A50A73">
      <w:pPr>
        <w:ind w:right="3"/>
        <w:contextualSpacing/>
        <w:rPr>
          <w:b/>
          <w:bCs/>
        </w:rPr>
      </w:pPr>
      <w:r w:rsidRPr="004C4FBD">
        <w:t>Veuillez agréer, l’expression de nos sentiments distingués.</w:t>
      </w:r>
    </w:p>
    <w:p w14:paraId="2F0F43CC" w14:textId="77777777" w:rsidR="00A50A73" w:rsidRPr="004C4FBD" w:rsidRDefault="00A50A73" w:rsidP="00A50A73">
      <w:pPr>
        <w:ind w:right="3"/>
        <w:contextualSpacing/>
        <w:rPr>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3"/>
        <w:gridCol w:w="4643"/>
      </w:tblGrid>
      <w:tr w:rsidR="00A50A73" w:rsidRPr="004C4FBD" w14:paraId="0CA3CF35" w14:textId="77777777" w:rsidTr="00241513">
        <w:tc>
          <w:tcPr>
            <w:tcW w:w="4643" w:type="dxa"/>
            <w:tcBorders>
              <w:top w:val="single" w:sz="4" w:space="0" w:color="auto"/>
              <w:left w:val="single" w:sz="4" w:space="0" w:color="auto"/>
              <w:bottom w:val="single" w:sz="4" w:space="0" w:color="auto"/>
              <w:right w:val="single" w:sz="4" w:space="0" w:color="auto"/>
            </w:tcBorders>
            <w:hideMark/>
          </w:tcPr>
          <w:p w14:paraId="77A8C6D7" w14:textId="77777777" w:rsidR="00A50A73" w:rsidRPr="004C4FBD" w:rsidRDefault="00A50A73" w:rsidP="00241513">
            <w:pPr>
              <w:ind w:right="3"/>
              <w:contextualSpacing/>
              <w:jc w:val="center"/>
              <w:rPr>
                <w:b/>
                <w:bCs/>
              </w:rPr>
            </w:pPr>
            <w:r w:rsidRPr="004C4FBD">
              <w:rPr>
                <w:b/>
                <w:bCs/>
              </w:rPr>
              <w:t xml:space="preserve">Pour </w:t>
            </w:r>
            <w:r>
              <w:rPr>
                <w:b/>
                <w:bCs/>
              </w:rPr>
              <w:t>l’ONDA</w:t>
            </w:r>
          </w:p>
          <w:p w14:paraId="20E12F3A" w14:textId="77777777" w:rsidR="00A50A73" w:rsidRPr="004C4FBD" w:rsidRDefault="00A50A73" w:rsidP="00241513">
            <w:pPr>
              <w:ind w:right="3"/>
              <w:contextualSpacing/>
              <w:jc w:val="center"/>
              <w:rPr>
                <w:b/>
                <w:bCs/>
              </w:rPr>
            </w:pPr>
            <w:r w:rsidRPr="004C4FBD">
              <w:rPr>
                <w:b/>
                <w:bCs/>
              </w:rPr>
              <w:t>Nom et Prénom du représentant</w:t>
            </w:r>
          </w:p>
        </w:tc>
        <w:tc>
          <w:tcPr>
            <w:tcW w:w="4643" w:type="dxa"/>
            <w:tcBorders>
              <w:top w:val="single" w:sz="4" w:space="0" w:color="auto"/>
              <w:left w:val="single" w:sz="4" w:space="0" w:color="auto"/>
              <w:bottom w:val="single" w:sz="4" w:space="0" w:color="auto"/>
              <w:right w:val="single" w:sz="4" w:space="0" w:color="auto"/>
            </w:tcBorders>
            <w:hideMark/>
          </w:tcPr>
          <w:p w14:paraId="79DD8721" w14:textId="77777777" w:rsidR="00A50A73" w:rsidRPr="004C4FBD" w:rsidRDefault="00A50A73" w:rsidP="00241513">
            <w:pPr>
              <w:ind w:right="3"/>
              <w:contextualSpacing/>
              <w:jc w:val="center"/>
              <w:rPr>
                <w:b/>
                <w:bCs/>
              </w:rPr>
            </w:pPr>
            <w:r w:rsidRPr="004C4FBD">
              <w:rPr>
                <w:b/>
                <w:bCs/>
              </w:rPr>
              <w:t>Pour réception</w:t>
            </w:r>
          </w:p>
          <w:p w14:paraId="4295ECA2" w14:textId="77777777" w:rsidR="00A50A73" w:rsidRPr="004C4FBD" w:rsidRDefault="00A50A73" w:rsidP="00241513">
            <w:pPr>
              <w:ind w:right="3"/>
              <w:contextualSpacing/>
              <w:jc w:val="center"/>
              <w:rPr>
                <w:b/>
                <w:bCs/>
              </w:rPr>
            </w:pPr>
            <w:r w:rsidRPr="004C4FBD">
              <w:rPr>
                <w:b/>
                <w:bCs/>
              </w:rPr>
              <w:t>Nom et Prénom</w:t>
            </w:r>
          </w:p>
        </w:tc>
      </w:tr>
      <w:tr w:rsidR="00A50A73" w:rsidRPr="004C4FBD" w14:paraId="7A056E8F" w14:textId="77777777" w:rsidTr="00241513">
        <w:trPr>
          <w:trHeight w:val="340"/>
        </w:trPr>
        <w:tc>
          <w:tcPr>
            <w:tcW w:w="4643" w:type="dxa"/>
            <w:tcBorders>
              <w:top w:val="single" w:sz="4" w:space="0" w:color="auto"/>
              <w:left w:val="single" w:sz="4" w:space="0" w:color="auto"/>
              <w:bottom w:val="single" w:sz="4" w:space="0" w:color="auto"/>
              <w:right w:val="single" w:sz="4" w:space="0" w:color="auto"/>
            </w:tcBorders>
            <w:hideMark/>
          </w:tcPr>
          <w:p w14:paraId="0350DB41" w14:textId="77777777" w:rsidR="00A50A73" w:rsidRPr="004C4FBD" w:rsidRDefault="00A50A73" w:rsidP="00241513">
            <w:pPr>
              <w:ind w:right="3"/>
              <w:contextualSpacing/>
              <w:jc w:val="center"/>
              <w:rPr>
                <w:b/>
                <w:bCs/>
              </w:rPr>
            </w:pPr>
            <w:r w:rsidRPr="004C4FBD">
              <w:rPr>
                <w:b/>
                <w:bCs/>
              </w:rPr>
              <w:t>Signature</w:t>
            </w:r>
          </w:p>
        </w:tc>
        <w:tc>
          <w:tcPr>
            <w:tcW w:w="4643" w:type="dxa"/>
            <w:tcBorders>
              <w:top w:val="single" w:sz="4" w:space="0" w:color="auto"/>
              <w:left w:val="single" w:sz="4" w:space="0" w:color="auto"/>
              <w:bottom w:val="single" w:sz="4" w:space="0" w:color="auto"/>
              <w:right w:val="single" w:sz="4" w:space="0" w:color="auto"/>
            </w:tcBorders>
            <w:hideMark/>
          </w:tcPr>
          <w:p w14:paraId="4FF80C87" w14:textId="77777777" w:rsidR="00A50A73" w:rsidRPr="004C4FBD" w:rsidRDefault="00A50A73" w:rsidP="00241513">
            <w:pPr>
              <w:ind w:right="3"/>
              <w:contextualSpacing/>
              <w:jc w:val="center"/>
              <w:rPr>
                <w:b/>
                <w:bCs/>
              </w:rPr>
            </w:pPr>
            <w:r w:rsidRPr="004C4FBD">
              <w:rPr>
                <w:b/>
                <w:bCs/>
              </w:rPr>
              <w:t>Signature</w:t>
            </w:r>
          </w:p>
        </w:tc>
      </w:tr>
    </w:tbl>
    <w:p w14:paraId="3D6F5AC9" w14:textId="77777777" w:rsidR="00A50A73" w:rsidRPr="004C4FBD" w:rsidRDefault="00A50A73" w:rsidP="00A50A73">
      <w:pPr>
        <w:ind w:right="3"/>
        <w:contextualSpacing/>
        <w:rPr>
          <w:b/>
          <w:bCs/>
        </w:rPr>
      </w:pPr>
    </w:p>
    <w:p w14:paraId="73FAAE27" w14:textId="77777777" w:rsidR="00A50A73" w:rsidRPr="004C4FBD" w:rsidRDefault="00A50A73" w:rsidP="00A50A73">
      <w:pPr>
        <w:bidi/>
        <w:ind w:right="3"/>
        <w:contextualSpacing/>
        <w:jc w:val="center"/>
        <w:rPr>
          <w:b/>
          <w:bCs/>
          <w:sz w:val="28"/>
          <w:szCs w:val="28"/>
          <w:rtl/>
          <w:lang w:bidi="ar-TN"/>
        </w:rPr>
        <w:sectPr w:rsidR="00A50A73" w:rsidRPr="004C4FBD" w:rsidSect="00241513">
          <w:footerReference w:type="default" r:id="rId164"/>
          <w:pgSz w:w="11906" w:h="16838" w:code="9"/>
          <w:pgMar w:top="1497" w:right="1134" w:bottom="1276" w:left="1134" w:header="567" w:footer="0" w:gutter="0"/>
          <w:cols w:space="708"/>
          <w:docGrid w:linePitch="360"/>
        </w:sectPr>
      </w:pPr>
    </w:p>
    <w:p w14:paraId="72F805E7" w14:textId="77777777" w:rsidR="00A50A73" w:rsidRPr="004C4FBD" w:rsidRDefault="00A50A73" w:rsidP="00A50A73">
      <w:pPr>
        <w:bidi/>
        <w:ind w:right="3"/>
        <w:contextualSpacing/>
        <w:jc w:val="center"/>
        <w:rPr>
          <w:b/>
          <w:bCs/>
          <w:sz w:val="28"/>
          <w:szCs w:val="28"/>
        </w:rPr>
      </w:pPr>
      <w:r w:rsidRPr="004C4FBD">
        <w:rPr>
          <w:b/>
          <w:bCs/>
          <w:sz w:val="28"/>
          <w:szCs w:val="28"/>
          <w:rtl/>
          <w:lang w:bidi="ar-TN"/>
        </w:rPr>
        <w:lastRenderedPageBreak/>
        <w:t>ملحق</w:t>
      </w:r>
      <w:r w:rsidRPr="004C4FBD">
        <w:rPr>
          <w:rFonts w:ascii="Arial"/>
          <w:b/>
          <w:bCs/>
          <w:sz w:val="28"/>
          <w:szCs w:val="28"/>
          <w:rtl/>
          <w:lang w:bidi="ar-TN"/>
        </w:rPr>
        <w:t xml:space="preserve"> </w:t>
      </w:r>
      <w:r w:rsidRPr="004C4FBD">
        <w:rPr>
          <w:b/>
          <w:bCs/>
          <w:sz w:val="28"/>
          <w:szCs w:val="28"/>
          <w:rtl/>
          <w:lang w:bidi="ar-TN"/>
        </w:rPr>
        <w:t>عدد</w:t>
      </w:r>
      <w:r w:rsidRPr="004C4FBD">
        <w:rPr>
          <w:rFonts w:ascii="Arial"/>
          <w:b/>
          <w:bCs/>
          <w:sz w:val="28"/>
          <w:szCs w:val="28"/>
          <w:rtl/>
        </w:rPr>
        <w:t xml:space="preserve"> </w:t>
      </w:r>
      <w:r w:rsidRPr="004C4FBD">
        <w:rPr>
          <w:rFonts w:ascii="Arial" w:hint="cs"/>
          <w:b/>
          <w:bCs/>
          <w:sz w:val="28"/>
          <w:szCs w:val="28"/>
          <w:rtl/>
        </w:rPr>
        <w:t>6</w:t>
      </w:r>
      <w:r w:rsidRPr="004C4FBD">
        <w:rPr>
          <w:b/>
          <w:bCs/>
          <w:sz w:val="28"/>
          <w:szCs w:val="28"/>
        </w:rPr>
        <w:t xml:space="preserve">: </w:t>
      </w:r>
    </w:p>
    <w:p w14:paraId="300752F3" w14:textId="77777777" w:rsidR="00A50A73" w:rsidRPr="004C4FBD" w:rsidRDefault="00A50A73" w:rsidP="00A50A73">
      <w:pPr>
        <w:ind w:right="3"/>
        <w:contextualSpacing/>
        <w:jc w:val="center"/>
        <w:rPr>
          <w:sz w:val="28"/>
          <w:szCs w:val="28"/>
        </w:rPr>
      </w:pPr>
      <w:r w:rsidRPr="004C4FBD">
        <w:rPr>
          <w:b/>
          <w:bCs/>
          <w:sz w:val="28"/>
          <w:szCs w:val="28"/>
          <w:rtl/>
          <w:lang w:bidi="ar-TN"/>
        </w:rPr>
        <w:t>نموذج</w:t>
      </w:r>
      <w:r w:rsidRPr="004C4FBD">
        <w:rPr>
          <w:rFonts w:ascii="Arial"/>
          <w:b/>
          <w:bCs/>
          <w:sz w:val="28"/>
          <w:szCs w:val="28"/>
          <w:rtl/>
          <w:lang w:bidi="ar-TN"/>
        </w:rPr>
        <w:t xml:space="preserve"> </w:t>
      </w:r>
      <w:r w:rsidRPr="004C4FBD">
        <w:rPr>
          <w:b/>
          <w:bCs/>
          <w:sz w:val="28"/>
          <w:szCs w:val="28"/>
          <w:rtl/>
          <w:lang w:bidi="ar-TN"/>
        </w:rPr>
        <w:t>إجابة</w:t>
      </w:r>
      <w:r w:rsidRPr="004C4FBD">
        <w:rPr>
          <w:rFonts w:ascii="Arial"/>
          <w:b/>
          <w:bCs/>
          <w:sz w:val="28"/>
          <w:szCs w:val="28"/>
          <w:rtl/>
          <w:lang w:bidi="ar-TN"/>
        </w:rPr>
        <w:t xml:space="preserve"> </w:t>
      </w:r>
      <w:r w:rsidRPr="004C4FBD">
        <w:rPr>
          <w:b/>
          <w:bCs/>
          <w:sz w:val="28"/>
          <w:szCs w:val="28"/>
          <w:rtl/>
          <w:lang w:bidi="ar-TN"/>
        </w:rPr>
        <w:t>على</w:t>
      </w:r>
      <w:r w:rsidRPr="004C4FBD">
        <w:rPr>
          <w:rFonts w:ascii="Arial"/>
          <w:b/>
          <w:bCs/>
          <w:sz w:val="28"/>
          <w:szCs w:val="28"/>
          <w:rtl/>
          <w:lang w:bidi="ar-TN"/>
        </w:rPr>
        <w:t xml:space="preserve"> </w:t>
      </w:r>
      <w:r w:rsidRPr="004C4FBD">
        <w:rPr>
          <w:b/>
          <w:bCs/>
          <w:sz w:val="28"/>
          <w:szCs w:val="28"/>
          <w:rtl/>
          <w:lang w:bidi="ar-TN"/>
        </w:rPr>
        <w:t>الشكوى</w:t>
      </w:r>
      <w:r w:rsidRPr="004C4FBD">
        <w:rPr>
          <w:rFonts w:ascii="Arial"/>
          <w:b/>
          <w:bCs/>
          <w:sz w:val="28"/>
          <w:szCs w:val="28"/>
          <w:rtl/>
        </w:rPr>
        <w:t xml:space="preserve"> / </w:t>
      </w:r>
      <w:r w:rsidRPr="004C4FBD">
        <w:rPr>
          <w:b/>
          <w:bCs/>
          <w:sz w:val="28"/>
          <w:szCs w:val="28"/>
          <w:rtl/>
          <w:lang w:bidi="ar-TN"/>
        </w:rPr>
        <w:t>التظلم</w:t>
      </w:r>
      <w:r w:rsidRPr="004C4FBD">
        <w:rPr>
          <w:rFonts w:ascii="Arial"/>
          <w:b/>
          <w:bCs/>
          <w:sz w:val="28"/>
          <w:szCs w:val="28"/>
          <w:rtl/>
          <w:lang w:bidi="ar-TN"/>
        </w:rPr>
        <w:t xml:space="preserve"> </w:t>
      </w:r>
      <w:r w:rsidRPr="004C4FBD">
        <w:rPr>
          <w:b/>
          <w:bCs/>
          <w:sz w:val="28"/>
          <w:szCs w:val="28"/>
          <w:rtl/>
          <w:lang w:bidi="ar-TN"/>
        </w:rPr>
        <w:t>الرسمية</w:t>
      </w:r>
    </w:p>
    <w:p w14:paraId="2405FAA3" w14:textId="77777777" w:rsidR="00A50A73" w:rsidRPr="004C4FBD" w:rsidRDefault="00A50A73" w:rsidP="00A50A73">
      <w:pPr>
        <w:ind w:right="3"/>
        <w:contextualSpacing/>
      </w:pPr>
    </w:p>
    <w:p w14:paraId="146D0833" w14:textId="77777777" w:rsidR="00A50A73" w:rsidRPr="004C4FBD" w:rsidRDefault="00A50A73" w:rsidP="00A50A73">
      <w:pPr>
        <w:ind w:right="3"/>
        <w:contextualSpacing/>
        <w:rPr>
          <w:b/>
          <w:bCs/>
        </w:rPr>
      </w:pPr>
      <w:r w:rsidRPr="004C4FBD">
        <w:t xml:space="preserve">Nom du maître d'ouvrage : </w:t>
      </w:r>
      <w:r>
        <w:t>Office National des Aéroports</w:t>
      </w:r>
    </w:p>
    <w:p w14:paraId="35E03CDB" w14:textId="77777777" w:rsidR="00A50A73" w:rsidRPr="004C4FBD" w:rsidRDefault="00A50A73" w:rsidP="00A50A73">
      <w:pPr>
        <w:ind w:right="3"/>
        <w:contextualSpacing/>
      </w:pPr>
      <w:r w:rsidRPr="004C4FBD">
        <w:t>Titre et référence du Projet :</w:t>
      </w:r>
    </w:p>
    <w:p w14:paraId="768B7D77" w14:textId="77777777" w:rsidR="00A50A73" w:rsidRPr="004C4FBD" w:rsidRDefault="00A50A73" w:rsidP="00A50A73">
      <w:pPr>
        <w:ind w:right="3"/>
        <w:contextualSpacing/>
      </w:pPr>
    </w:p>
    <w:tbl>
      <w:tblPr>
        <w:tblW w:w="95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98"/>
        <w:gridCol w:w="3260"/>
        <w:gridCol w:w="3468"/>
      </w:tblGrid>
      <w:tr w:rsidR="00A50A73" w:rsidRPr="004C4FBD" w14:paraId="586880E3" w14:textId="77777777" w:rsidTr="00241513">
        <w:trPr>
          <w:jc w:val="center"/>
        </w:trPr>
        <w:tc>
          <w:tcPr>
            <w:tcW w:w="2798" w:type="dxa"/>
            <w:tcBorders>
              <w:top w:val="single" w:sz="4" w:space="0" w:color="auto"/>
              <w:left w:val="single" w:sz="4" w:space="0" w:color="auto"/>
              <w:bottom w:val="single" w:sz="4" w:space="0" w:color="auto"/>
              <w:right w:val="single" w:sz="4" w:space="0" w:color="auto"/>
            </w:tcBorders>
            <w:vAlign w:val="center"/>
            <w:hideMark/>
          </w:tcPr>
          <w:p w14:paraId="60592B40" w14:textId="77777777" w:rsidR="00A50A73" w:rsidRPr="004C4FBD" w:rsidRDefault="00A50A73" w:rsidP="00241513">
            <w:pPr>
              <w:ind w:right="3"/>
              <w:contextualSpacing/>
              <w:jc w:val="center"/>
              <w:rPr>
                <w:rFonts w:cs="Times New Roman"/>
                <w:b/>
                <w:bCs/>
              </w:rPr>
            </w:pPr>
            <w:r w:rsidRPr="004C4FBD">
              <w:rPr>
                <w:rFonts w:cs="Times New Roman"/>
                <w:b/>
                <w:bCs/>
              </w:rPr>
              <w:t>Nom de la Structure de Gestion des Plaintes :</w:t>
            </w:r>
          </w:p>
        </w:tc>
        <w:tc>
          <w:tcPr>
            <w:tcW w:w="6728" w:type="dxa"/>
            <w:gridSpan w:val="2"/>
            <w:tcBorders>
              <w:top w:val="single" w:sz="4" w:space="0" w:color="auto"/>
              <w:left w:val="single" w:sz="4" w:space="0" w:color="auto"/>
              <w:bottom w:val="single" w:sz="4" w:space="0" w:color="auto"/>
              <w:right w:val="single" w:sz="4" w:space="0" w:color="auto"/>
            </w:tcBorders>
            <w:vAlign w:val="center"/>
            <w:hideMark/>
          </w:tcPr>
          <w:p w14:paraId="57DD1B2D" w14:textId="77777777" w:rsidR="00A50A73" w:rsidRPr="004C4FBD" w:rsidRDefault="00A50A73" w:rsidP="00241513">
            <w:pPr>
              <w:ind w:right="3"/>
              <w:contextualSpacing/>
              <w:jc w:val="center"/>
              <w:rPr>
                <w:rFonts w:cs="Times New Roman"/>
                <w:b/>
                <w:bCs/>
              </w:rPr>
            </w:pPr>
            <w:r w:rsidRPr="004C4FBD">
              <w:rPr>
                <w:rFonts w:cs="Times New Roman"/>
                <w:b/>
                <w:bCs/>
              </w:rPr>
              <w:t>Structure de traitement de plainte</w:t>
            </w:r>
          </w:p>
        </w:tc>
      </w:tr>
      <w:tr w:rsidR="00A50A73" w:rsidRPr="004C4FBD" w14:paraId="2E956C74" w14:textId="77777777" w:rsidTr="00241513">
        <w:trPr>
          <w:jc w:val="center"/>
        </w:trPr>
        <w:tc>
          <w:tcPr>
            <w:tcW w:w="2798" w:type="dxa"/>
            <w:tcBorders>
              <w:top w:val="single" w:sz="4" w:space="0" w:color="auto"/>
              <w:left w:val="single" w:sz="4" w:space="0" w:color="auto"/>
              <w:bottom w:val="single" w:sz="4" w:space="0" w:color="auto"/>
              <w:right w:val="single" w:sz="4" w:space="0" w:color="auto"/>
            </w:tcBorders>
            <w:vAlign w:val="center"/>
            <w:hideMark/>
          </w:tcPr>
          <w:p w14:paraId="3C2561C0" w14:textId="77777777" w:rsidR="00A50A73" w:rsidRPr="004C4FBD" w:rsidRDefault="00A50A73" w:rsidP="00241513">
            <w:pPr>
              <w:ind w:right="3"/>
              <w:contextualSpacing/>
              <w:rPr>
                <w:rFonts w:cs="Times New Roman"/>
                <w:b/>
                <w:bCs/>
              </w:rPr>
            </w:pPr>
            <w:r w:rsidRPr="004C4FBD">
              <w:rPr>
                <w:rFonts w:cs="Times New Roman"/>
              </w:rPr>
              <w:t>Localité :</w:t>
            </w:r>
          </w:p>
        </w:tc>
        <w:tc>
          <w:tcPr>
            <w:tcW w:w="3260" w:type="dxa"/>
            <w:tcBorders>
              <w:top w:val="single" w:sz="4" w:space="0" w:color="auto"/>
              <w:left w:val="single" w:sz="4" w:space="0" w:color="auto"/>
              <w:bottom w:val="single" w:sz="4" w:space="0" w:color="auto"/>
              <w:right w:val="single" w:sz="4" w:space="0" w:color="auto"/>
            </w:tcBorders>
            <w:vAlign w:val="center"/>
            <w:hideMark/>
          </w:tcPr>
          <w:p w14:paraId="0123E210" w14:textId="77777777" w:rsidR="00A50A73" w:rsidRPr="004C4FBD" w:rsidRDefault="00A50A73" w:rsidP="00241513">
            <w:pPr>
              <w:ind w:right="3"/>
              <w:contextualSpacing/>
              <w:rPr>
                <w:rFonts w:cs="Times New Roman"/>
                <w:b/>
                <w:bCs/>
              </w:rPr>
            </w:pPr>
            <w:r w:rsidRPr="004C4FBD">
              <w:rPr>
                <w:rFonts w:cs="Times New Roman"/>
              </w:rPr>
              <w:t>Date de réception de la plainte</w:t>
            </w:r>
          </w:p>
        </w:tc>
        <w:tc>
          <w:tcPr>
            <w:tcW w:w="3468" w:type="dxa"/>
            <w:tcBorders>
              <w:top w:val="single" w:sz="4" w:space="0" w:color="auto"/>
              <w:left w:val="single" w:sz="4" w:space="0" w:color="auto"/>
              <w:bottom w:val="single" w:sz="4" w:space="0" w:color="auto"/>
              <w:right w:val="single" w:sz="4" w:space="0" w:color="auto"/>
            </w:tcBorders>
            <w:vAlign w:val="center"/>
            <w:hideMark/>
          </w:tcPr>
          <w:p w14:paraId="58A43516" w14:textId="77777777" w:rsidR="00A50A73" w:rsidRPr="004C4FBD" w:rsidRDefault="00A50A73" w:rsidP="00241513">
            <w:pPr>
              <w:ind w:right="3"/>
              <w:contextualSpacing/>
              <w:rPr>
                <w:rFonts w:cs="Times New Roman"/>
                <w:b/>
                <w:bCs/>
              </w:rPr>
            </w:pPr>
            <w:r w:rsidRPr="004C4FBD">
              <w:rPr>
                <w:rFonts w:cs="Times New Roman"/>
              </w:rPr>
              <w:t>JJ/MM/AA et (heure de réception)</w:t>
            </w:r>
          </w:p>
        </w:tc>
      </w:tr>
    </w:tbl>
    <w:p w14:paraId="356E6CD1" w14:textId="77777777" w:rsidR="00A50A73" w:rsidRPr="004C4FBD" w:rsidRDefault="00A50A73" w:rsidP="00A50A73">
      <w:pPr>
        <w:ind w:right="3"/>
        <w:contextualSpacing/>
      </w:pPr>
    </w:p>
    <w:p w14:paraId="68515D1F" w14:textId="77777777" w:rsidR="00A50A73" w:rsidRPr="004C4FBD" w:rsidRDefault="00A50A73" w:rsidP="00A50A73">
      <w:pPr>
        <w:ind w:right="3"/>
        <w:contextualSpacing/>
        <w:rPr>
          <w:b/>
          <w:bCs/>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60"/>
        <w:gridCol w:w="3260"/>
        <w:gridCol w:w="3544"/>
      </w:tblGrid>
      <w:tr w:rsidR="00A50A73" w:rsidRPr="004C4FBD" w14:paraId="6B87FD4A" w14:textId="77777777" w:rsidTr="00241513">
        <w:tc>
          <w:tcPr>
            <w:tcW w:w="9464" w:type="dxa"/>
            <w:gridSpan w:val="3"/>
            <w:tcBorders>
              <w:top w:val="single" w:sz="4" w:space="0" w:color="auto"/>
              <w:left w:val="single" w:sz="4" w:space="0" w:color="auto"/>
              <w:bottom w:val="single" w:sz="4" w:space="0" w:color="auto"/>
              <w:right w:val="single" w:sz="4" w:space="0" w:color="auto"/>
            </w:tcBorders>
            <w:hideMark/>
          </w:tcPr>
          <w:p w14:paraId="146E6E3E" w14:textId="77777777" w:rsidR="00A50A73" w:rsidRPr="004C4FBD" w:rsidRDefault="00A50A73" w:rsidP="00241513">
            <w:pPr>
              <w:ind w:right="3"/>
              <w:contextualSpacing/>
              <w:rPr>
                <w:b/>
                <w:bCs/>
              </w:rPr>
            </w:pPr>
            <w:r w:rsidRPr="004C4FBD">
              <w:t>N° d’enregistrement :</w:t>
            </w:r>
          </w:p>
        </w:tc>
      </w:tr>
      <w:tr w:rsidR="00A50A73" w:rsidRPr="004C4FBD" w14:paraId="2FF3A83C" w14:textId="77777777" w:rsidTr="00241513">
        <w:tc>
          <w:tcPr>
            <w:tcW w:w="2660" w:type="dxa"/>
            <w:vMerge w:val="restart"/>
            <w:tcBorders>
              <w:top w:val="single" w:sz="4" w:space="0" w:color="auto"/>
              <w:left w:val="single" w:sz="4" w:space="0" w:color="auto"/>
              <w:bottom w:val="single" w:sz="4" w:space="0" w:color="auto"/>
              <w:right w:val="single" w:sz="4" w:space="0" w:color="auto"/>
            </w:tcBorders>
            <w:vAlign w:val="center"/>
            <w:hideMark/>
          </w:tcPr>
          <w:p w14:paraId="5B0CE5A2" w14:textId="77777777" w:rsidR="00A50A73" w:rsidRPr="004C4FBD" w:rsidRDefault="00A50A73" w:rsidP="00241513">
            <w:pPr>
              <w:ind w:right="3"/>
              <w:contextualSpacing/>
            </w:pPr>
            <w:r w:rsidRPr="004C4FBD">
              <w:t>Identité du plaignant :</w:t>
            </w:r>
          </w:p>
        </w:tc>
        <w:tc>
          <w:tcPr>
            <w:tcW w:w="3260" w:type="dxa"/>
            <w:vMerge w:val="restart"/>
            <w:tcBorders>
              <w:top w:val="single" w:sz="4" w:space="0" w:color="auto"/>
              <w:left w:val="single" w:sz="4" w:space="0" w:color="auto"/>
              <w:bottom w:val="single" w:sz="4" w:space="0" w:color="auto"/>
              <w:right w:val="single" w:sz="4" w:space="0" w:color="auto"/>
            </w:tcBorders>
            <w:vAlign w:val="center"/>
            <w:hideMark/>
          </w:tcPr>
          <w:p w14:paraId="18D26B78" w14:textId="77777777" w:rsidR="00A50A73" w:rsidRPr="004C4FBD" w:rsidRDefault="00A50A73" w:rsidP="00241513">
            <w:pPr>
              <w:ind w:right="3"/>
              <w:contextualSpacing/>
            </w:pPr>
            <w:r w:rsidRPr="004C4FBD">
              <w:t>Nom et Prénom : M/Mme……</w:t>
            </w:r>
          </w:p>
        </w:tc>
        <w:tc>
          <w:tcPr>
            <w:tcW w:w="3544" w:type="dxa"/>
            <w:tcBorders>
              <w:top w:val="single" w:sz="4" w:space="0" w:color="auto"/>
              <w:left w:val="single" w:sz="4" w:space="0" w:color="auto"/>
              <w:bottom w:val="single" w:sz="4" w:space="0" w:color="auto"/>
              <w:right w:val="single" w:sz="4" w:space="0" w:color="auto"/>
            </w:tcBorders>
            <w:vAlign w:val="center"/>
            <w:hideMark/>
          </w:tcPr>
          <w:p w14:paraId="5B71987C" w14:textId="77777777" w:rsidR="00A50A73" w:rsidRPr="004C4FBD" w:rsidRDefault="00A50A73" w:rsidP="00241513">
            <w:pPr>
              <w:ind w:right="3"/>
              <w:contextualSpacing/>
            </w:pPr>
            <w:r w:rsidRPr="004C4FBD">
              <w:t>Réf. Pièce d’identité :</w:t>
            </w:r>
          </w:p>
        </w:tc>
      </w:tr>
      <w:tr w:rsidR="00A50A73" w:rsidRPr="004C4FBD" w14:paraId="5B9407AA" w14:textId="77777777" w:rsidTr="00241513">
        <w:tc>
          <w:tcPr>
            <w:tcW w:w="0" w:type="auto"/>
            <w:vMerge/>
            <w:tcBorders>
              <w:top w:val="single" w:sz="4" w:space="0" w:color="auto"/>
              <w:left w:val="single" w:sz="4" w:space="0" w:color="auto"/>
              <w:bottom w:val="single" w:sz="4" w:space="0" w:color="auto"/>
              <w:right w:val="single" w:sz="4" w:space="0" w:color="auto"/>
            </w:tcBorders>
            <w:vAlign w:val="center"/>
            <w:hideMark/>
          </w:tcPr>
          <w:p w14:paraId="3189E1CF" w14:textId="77777777" w:rsidR="00A50A73" w:rsidRPr="004C4FBD" w:rsidRDefault="00A50A73" w:rsidP="00241513">
            <w:pPr>
              <w:spacing w:before="0" w:after="0" w:line="240" w:lineRule="auto"/>
              <w:jc w:val="left"/>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1A89E24" w14:textId="77777777" w:rsidR="00A50A73" w:rsidRPr="004C4FBD" w:rsidRDefault="00A50A73" w:rsidP="00241513">
            <w:pPr>
              <w:spacing w:before="0" w:after="0" w:line="240" w:lineRule="auto"/>
              <w:jc w:val="left"/>
            </w:pPr>
          </w:p>
        </w:tc>
        <w:tc>
          <w:tcPr>
            <w:tcW w:w="3544" w:type="dxa"/>
            <w:tcBorders>
              <w:top w:val="single" w:sz="4" w:space="0" w:color="auto"/>
              <w:left w:val="single" w:sz="4" w:space="0" w:color="auto"/>
              <w:bottom w:val="single" w:sz="4" w:space="0" w:color="auto"/>
              <w:right w:val="single" w:sz="4" w:space="0" w:color="auto"/>
            </w:tcBorders>
            <w:vAlign w:val="center"/>
            <w:hideMark/>
          </w:tcPr>
          <w:p w14:paraId="0CC779B0" w14:textId="77777777" w:rsidR="00A50A73" w:rsidRPr="004C4FBD" w:rsidRDefault="00A50A73" w:rsidP="00241513">
            <w:pPr>
              <w:ind w:right="3"/>
              <w:contextualSpacing/>
            </w:pPr>
            <w:r w:rsidRPr="004C4FBD">
              <w:t>Adresse :</w:t>
            </w:r>
          </w:p>
        </w:tc>
      </w:tr>
      <w:tr w:rsidR="00A50A73" w:rsidRPr="004C4FBD" w14:paraId="6389698C" w14:textId="77777777" w:rsidTr="00241513">
        <w:tc>
          <w:tcPr>
            <w:tcW w:w="0" w:type="auto"/>
            <w:vMerge/>
            <w:tcBorders>
              <w:top w:val="single" w:sz="4" w:space="0" w:color="auto"/>
              <w:left w:val="single" w:sz="4" w:space="0" w:color="auto"/>
              <w:bottom w:val="single" w:sz="4" w:space="0" w:color="auto"/>
              <w:right w:val="single" w:sz="4" w:space="0" w:color="auto"/>
            </w:tcBorders>
            <w:vAlign w:val="center"/>
            <w:hideMark/>
          </w:tcPr>
          <w:p w14:paraId="58F6DD79" w14:textId="77777777" w:rsidR="00A50A73" w:rsidRPr="004C4FBD" w:rsidRDefault="00A50A73" w:rsidP="00241513">
            <w:pPr>
              <w:spacing w:before="0" w:after="0" w:line="240" w:lineRule="auto"/>
              <w:jc w:val="left"/>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19B4732" w14:textId="77777777" w:rsidR="00A50A73" w:rsidRPr="004C4FBD" w:rsidRDefault="00A50A73" w:rsidP="00241513">
            <w:pPr>
              <w:spacing w:before="0" w:after="0" w:line="240" w:lineRule="auto"/>
              <w:jc w:val="left"/>
            </w:pPr>
          </w:p>
        </w:tc>
        <w:tc>
          <w:tcPr>
            <w:tcW w:w="3544" w:type="dxa"/>
            <w:tcBorders>
              <w:top w:val="single" w:sz="4" w:space="0" w:color="auto"/>
              <w:left w:val="single" w:sz="4" w:space="0" w:color="auto"/>
              <w:bottom w:val="single" w:sz="4" w:space="0" w:color="auto"/>
              <w:right w:val="single" w:sz="4" w:space="0" w:color="auto"/>
            </w:tcBorders>
            <w:vAlign w:val="center"/>
            <w:hideMark/>
          </w:tcPr>
          <w:p w14:paraId="0D0713A5" w14:textId="77777777" w:rsidR="00A50A73" w:rsidRPr="004C4FBD" w:rsidRDefault="00A50A73" w:rsidP="00241513">
            <w:pPr>
              <w:ind w:right="3"/>
              <w:contextualSpacing/>
            </w:pPr>
            <w:r w:rsidRPr="004C4FBD">
              <w:t>Tel</w:t>
            </w:r>
          </w:p>
        </w:tc>
      </w:tr>
      <w:tr w:rsidR="00A50A73" w:rsidRPr="004C4FBD" w14:paraId="3C768543" w14:textId="77777777" w:rsidTr="00241513">
        <w:tc>
          <w:tcPr>
            <w:tcW w:w="0" w:type="auto"/>
            <w:vMerge/>
            <w:tcBorders>
              <w:top w:val="single" w:sz="4" w:space="0" w:color="auto"/>
              <w:left w:val="single" w:sz="4" w:space="0" w:color="auto"/>
              <w:bottom w:val="single" w:sz="4" w:space="0" w:color="auto"/>
              <w:right w:val="single" w:sz="4" w:space="0" w:color="auto"/>
            </w:tcBorders>
            <w:vAlign w:val="center"/>
            <w:hideMark/>
          </w:tcPr>
          <w:p w14:paraId="29A2FA13" w14:textId="77777777" w:rsidR="00A50A73" w:rsidRPr="004C4FBD" w:rsidRDefault="00A50A73" w:rsidP="00241513">
            <w:pPr>
              <w:spacing w:before="0" w:after="0" w:line="240" w:lineRule="auto"/>
              <w:jc w:val="left"/>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C60790D" w14:textId="77777777" w:rsidR="00A50A73" w:rsidRPr="004C4FBD" w:rsidRDefault="00A50A73" w:rsidP="00241513">
            <w:pPr>
              <w:spacing w:before="0" w:after="0" w:line="240" w:lineRule="auto"/>
              <w:jc w:val="left"/>
            </w:pPr>
          </w:p>
        </w:tc>
        <w:tc>
          <w:tcPr>
            <w:tcW w:w="3544" w:type="dxa"/>
            <w:tcBorders>
              <w:top w:val="single" w:sz="4" w:space="0" w:color="auto"/>
              <w:left w:val="single" w:sz="4" w:space="0" w:color="auto"/>
              <w:bottom w:val="single" w:sz="4" w:space="0" w:color="auto"/>
              <w:right w:val="single" w:sz="4" w:space="0" w:color="auto"/>
            </w:tcBorders>
            <w:vAlign w:val="center"/>
            <w:hideMark/>
          </w:tcPr>
          <w:p w14:paraId="4C10D2DF" w14:textId="77777777" w:rsidR="00A50A73" w:rsidRPr="004C4FBD" w:rsidRDefault="00A50A73" w:rsidP="00241513">
            <w:pPr>
              <w:ind w:right="3"/>
              <w:contextualSpacing/>
            </w:pPr>
            <w:r w:rsidRPr="004C4FBD">
              <w:t>E-mail</w:t>
            </w:r>
          </w:p>
        </w:tc>
      </w:tr>
    </w:tbl>
    <w:p w14:paraId="29E3236C" w14:textId="77777777" w:rsidR="00A50A73" w:rsidRPr="004C4FBD" w:rsidRDefault="00A50A73" w:rsidP="00A50A73">
      <w:pPr>
        <w:ind w:right="3"/>
        <w:contextualSpacing/>
        <w:rPr>
          <w:b/>
          <w:bCs/>
        </w:rPr>
      </w:pPr>
    </w:p>
    <w:p w14:paraId="09D2B609" w14:textId="77777777" w:rsidR="00A50A73" w:rsidRPr="004C4FBD" w:rsidRDefault="00A50A73" w:rsidP="00A50A73">
      <w:pPr>
        <w:ind w:right="3"/>
        <w:contextualSpacing/>
        <w:rPr>
          <w:b/>
          <w:bCs/>
        </w:rPr>
      </w:pPr>
      <w:r w:rsidRPr="004C4FBD">
        <w:rPr>
          <w:b/>
          <w:bCs/>
        </w:rPr>
        <w:t xml:space="preserve">OBJET : Réponse officielle </w:t>
      </w:r>
    </w:p>
    <w:p w14:paraId="739E3BE7" w14:textId="77777777" w:rsidR="00A50A73" w:rsidRPr="004C4FBD" w:rsidRDefault="00A50A73" w:rsidP="00A50A73">
      <w:pPr>
        <w:ind w:right="3"/>
        <w:contextualSpacing/>
        <w:rPr>
          <w:b/>
          <w:bCs/>
        </w:rPr>
      </w:pPr>
    </w:p>
    <w:p w14:paraId="186CF572" w14:textId="77777777" w:rsidR="00A50A73" w:rsidRPr="004C4FBD" w:rsidRDefault="00A50A73" w:rsidP="00A50A73">
      <w:pPr>
        <w:ind w:right="3"/>
        <w:contextualSpacing/>
      </w:pPr>
      <w:r w:rsidRPr="004C4FBD">
        <w:t xml:space="preserve">Madame / monsieur </w:t>
      </w:r>
    </w:p>
    <w:p w14:paraId="2710D8E1" w14:textId="77777777" w:rsidR="00A50A73" w:rsidRPr="004C4FBD" w:rsidRDefault="00A50A73" w:rsidP="00A50A73">
      <w:pPr>
        <w:ind w:right="3"/>
        <w:contextualSpacing/>
      </w:pPr>
    </w:p>
    <w:p w14:paraId="4C5CE7A2" w14:textId="77777777" w:rsidR="00A50A73" w:rsidRPr="004C4FBD" w:rsidRDefault="00A50A73" w:rsidP="00A50A73">
      <w:pPr>
        <w:ind w:right="3"/>
        <w:contextualSpacing/>
      </w:pPr>
      <w:r w:rsidRPr="004C4FBD">
        <w:t>Suite à votre réclamation formelle enregistrée à nos services sus le numéro n°………… en date du JJ/MM/AAAA à (heure) et portant sur le sujet suivant</w:t>
      </w:r>
    </w:p>
    <w:p w14:paraId="232F1F06" w14:textId="77777777" w:rsidR="00A50A73" w:rsidRPr="004C4FBD" w:rsidRDefault="00A50A73" w:rsidP="00A50A73">
      <w:pPr>
        <w:ind w:right="3"/>
        <w:contextualSpacing/>
      </w:pPr>
    </w:p>
    <w:tbl>
      <w:tblPr>
        <w:tblW w:w="96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600"/>
      </w:tblGrid>
      <w:tr w:rsidR="00A50A73" w:rsidRPr="004C4FBD" w14:paraId="09069260" w14:textId="77777777" w:rsidTr="00241513">
        <w:tc>
          <w:tcPr>
            <w:tcW w:w="9606" w:type="dxa"/>
            <w:tcBorders>
              <w:top w:val="single" w:sz="4" w:space="0" w:color="auto"/>
              <w:left w:val="single" w:sz="4" w:space="0" w:color="auto"/>
              <w:bottom w:val="single" w:sz="4" w:space="0" w:color="auto"/>
              <w:right w:val="single" w:sz="4" w:space="0" w:color="auto"/>
            </w:tcBorders>
            <w:hideMark/>
          </w:tcPr>
          <w:p w14:paraId="61C5F59B" w14:textId="77777777" w:rsidR="00A50A73" w:rsidRPr="004C4FBD" w:rsidRDefault="00A50A73" w:rsidP="00241513">
            <w:pPr>
              <w:ind w:right="3"/>
              <w:contextualSpacing/>
              <w:jc w:val="center"/>
            </w:pPr>
            <w:r w:rsidRPr="004C4FBD">
              <w:rPr>
                <w:b/>
                <w:bCs/>
              </w:rPr>
              <w:t>Description :</w:t>
            </w:r>
            <w:r w:rsidRPr="004C4FBD">
              <w:t xml:space="preserve"> du motif de la plainte pour une meilleure compréhension</w:t>
            </w:r>
          </w:p>
          <w:p w14:paraId="026C1FA4" w14:textId="77777777" w:rsidR="00A50A73" w:rsidRPr="004C4FBD" w:rsidRDefault="00A50A73" w:rsidP="00241513">
            <w:pPr>
              <w:ind w:right="3"/>
              <w:contextualSpacing/>
              <w:jc w:val="center"/>
            </w:pPr>
            <w:r w:rsidRPr="004C4FBD">
              <w:t>………………………………………………………………………………………………………………………………………………………………….</w:t>
            </w:r>
          </w:p>
        </w:tc>
      </w:tr>
    </w:tbl>
    <w:p w14:paraId="5C2A1E67" w14:textId="77777777" w:rsidR="00A50A73" w:rsidRPr="004C4FBD" w:rsidRDefault="00A50A73" w:rsidP="00A50A73">
      <w:pPr>
        <w:ind w:right="3"/>
        <w:contextualSpacing/>
      </w:pPr>
    </w:p>
    <w:p w14:paraId="56DD48B9" w14:textId="77777777" w:rsidR="00A50A73" w:rsidRPr="004C4FBD" w:rsidRDefault="00A50A73" w:rsidP="00A50A73">
      <w:pPr>
        <w:ind w:right="3"/>
        <w:contextualSpacing/>
      </w:pPr>
      <w:r w:rsidRPr="004C4FBD">
        <w:t>Nous vous informons qu’après enquête avec les services concernés par la réclamation l’unité de coordination du Projet a pris la décision ci-dessous :</w:t>
      </w:r>
    </w:p>
    <w:p w14:paraId="023BC0AB" w14:textId="77777777" w:rsidR="00A50A73" w:rsidRPr="004C4FBD" w:rsidRDefault="00A50A73" w:rsidP="00A50A73">
      <w:pPr>
        <w:ind w:right="3"/>
        <w:contextualSpacing/>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06"/>
      </w:tblGrid>
      <w:tr w:rsidR="00A50A73" w:rsidRPr="004C4FBD" w14:paraId="3DB8D90C" w14:textId="77777777" w:rsidTr="00241513">
        <w:tc>
          <w:tcPr>
            <w:tcW w:w="9606" w:type="dxa"/>
            <w:tcBorders>
              <w:top w:val="single" w:sz="4" w:space="0" w:color="auto"/>
              <w:left w:val="single" w:sz="4" w:space="0" w:color="auto"/>
              <w:bottom w:val="single" w:sz="4" w:space="0" w:color="auto"/>
              <w:right w:val="single" w:sz="4" w:space="0" w:color="auto"/>
            </w:tcBorders>
            <w:hideMark/>
          </w:tcPr>
          <w:p w14:paraId="495B2355" w14:textId="77777777" w:rsidR="00A50A73" w:rsidRPr="004C4FBD" w:rsidRDefault="00A50A73" w:rsidP="00241513">
            <w:pPr>
              <w:ind w:right="3"/>
              <w:contextualSpacing/>
              <w:jc w:val="center"/>
            </w:pPr>
            <w:r w:rsidRPr="004C4FBD">
              <w:t>Présentation de la solution à la plainte</w:t>
            </w:r>
          </w:p>
          <w:p w14:paraId="48674B19" w14:textId="77777777" w:rsidR="00A50A73" w:rsidRPr="004C4FBD" w:rsidRDefault="00A50A73" w:rsidP="00241513">
            <w:pPr>
              <w:ind w:right="3"/>
              <w:contextualSpacing/>
              <w:jc w:val="center"/>
            </w:pPr>
            <w:r w:rsidRPr="004C4FBD">
              <w:t>……………………………………………………………………………………………………………………………………………………………….</w:t>
            </w:r>
          </w:p>
        </w:tc>
      </w:tr>
    </w:tbl>
    <w:p w14:paraId="776B6877" w14:textId="77777777" w:rsidR="00A50A73" w:rsidRPr="004C4FBD" w:rsidRDefault="00A50A73" w:rsidP="00A50A73">
      <w:pPr>
        <w:ind w:right="3"/>
        <w:contextualSpacing/>
      </w:pPr>
    </w:p>
    <w:p w14:paraId="6E938587" w14:textId="77777777" w:rsidR="00A50A73" w:rsidRPr="004C4FBD" w:rsidRDefault="00A50A73" w:rsidP="00A50A73">
      <w:pPr>
        <w:ind w:right="3"/>
        <w:contextualSpacing/>
      </w:pPr>
      <w:r w:rsidRPr="004C4FBD">
        <w:t>Cette décision est définitive pour les services du traitement des plaintes, mais ne vous prive pas de votre droit de toute action auprès des juridictions compétentes.</w:t>
      </w:r>
    </w:p>
    <w:p w14:paraId="2C768641" w14:textId="77777777" w:rsidR="00A50A73" w:rsidRPr="004C4FBD" w:rsidRDefault="00A50A73" w:rsidP="00A50A73">
      <w:pPr>
        <w:ind w:right="3"/>
        <w:contextualSpacing/>
      </w:pPr>
    </w:p>
    <w:p w14:paraId="5A0928FA" w14:textId="77777777" w:rsidR="00A50A73" w:rsidRPr="004C4FBD" w:rsidRDefault="00A50A73" w:rsidP="00A50A73">
      <w:pPr>
        <w:ind w:right="3"/>
        <w:contextualSpacing/>
        <w:rPr>
          <w:b/>
          <w:bCs/>
        </w:rPr>
      </w:pPr>
      <w:r w:rsidRPr="004C4FBD">
        <w:t>Veuillez agréer, l’expression de nos sentiments distingués.</w:t>
      </w:r>
    </w:p>
    <w:p w14:paraId="2C75F5F5" w14:textId="77777777" w:rsidR="00A50A73" w:rsidRPr="004C4FBD" w:rsidRDefault="00A50A73" w:rsidP="00A50A73">
      <w:pPr>
        <w:ind w:right="3"/>
        <w:contextualSpacing/>
        <w:rPr>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5"/>
        <w:gridCol w:w="4525"/>
      </w:tblGrid>
      <w:tr w:rsidR="00A50A73" w:rsidRPr="004C4FBD" w14:paraId="519FD5E1" w14:textId="77777777" w:rsidTr="00241513">
        <w:tc>
          <w:tcPr>
            <w:tcW w:w="4643" w:type="dxa"/>
            <w:tcBorders>
              <w:top w:val="single" w:sz="4" w:space="0" w:color="auto"/>
              <w:left w:val="single" w:sz="4" w:space="0" w:color="auto"/>
              <w:bottom w:val="single" w:sz="4" w:space="0" w:color="auto"/>
              <w:right w:val="single" w:sz="4" w:space="0" w:color="auto"/>
            </w:tcBorders>
            <w:hideMark/>
          </w:tcPr>
          <w:p w14:paraId="44698A80" w14:textId="77777777" w:rsidR="00A50A73" w:rsidRPr="004C4FBD" w:rsidRDefault="00A50A73" w:rsidP="00241513">
            <w:pPr>
              <w:ind w:right="3"/>
              <w:contextualSpacing/>
              <w:jc w:val="center"/>
              <w:rPr>
                <w:b/>
                <w:bCs/>
              </w:rPr>
            </w:pPr>
            <w:r w:rsidRPr="004C4FBD">
              <w:rPr>
                <w:b/>
                <w:bCs/>
              </w:rPr>
              <w:t xml:space="preserve">Pour </w:t>
            </w:r>
            <w:r>
              <w:rPr>
                <w:b/>
                <w:bCs/>
              </w:rPr>
              <w:t>l’ONDA</w:t>
            </w:r>
          </w:p>
          <w:p w14:paraId="1FF329D1" w14:textId="77777777" w:rsidR="00A50A73" w:rsidRPr="004C4FBD" w:rsidRDefault="00A50A73" w:rsidP="00241513">
            <w:pPr>
              <w:ind w:right="3"/>
              <w:contextualSpacing/>
              <w:jc w:val="center"/>
              <w:rPr>
                <w:b/>
                <w:bCs/>
              </w:rPr>
            </w:pPr>
            <w:r w:rsidRPr="004C4FBD">
              <w:rPr>
                <w:b/>
                <w:bCs/>
              </w:rPr>
              <w:t>Nom et Prénom du représentant</w:t>
            </w:r>
          </w:p>
        </w:tc>
        <w:tc>
          <w:tcPr>
            <w:tcW w:w="4643" w:type="dxa"/>
            <w:tcBorders>
              <w:top w:val="single" w:sz="4" w:space="0" w:color="auto"/>
              <w:left w:val="single" w:sz="4" w:space="0" w:color="auto"/>
              <w:bottom w:val="single" w:sz="4" w:space="0" w:color="auto"/>
              <w:right w:val="single" w:sz="4" w:space="0" w:color="auto"/>
            </w:tcBorders>
            <w:hideMark/>
          </w:tcPr>
          <w:p w14:paraId="4E97FE2F" w14:textId="77777777" w:rsidR="00A50A73" w:rsidRPr="004C4FBD" w:rsidRDefault="00A50A73" w:rsidP="00241513">
            <w:pPr>
              <w:ind w:right="3"/>
              <w:contextualSpacing/>
              <w:jc w:val="center"/>
              <w:rPr>
                <w:b/>
                <w:bCs/>
              </w:rPr>
            </w:pPr>
            <w:r w:rsidRPr="004C4FBD">
              <w:rPr>
                <w:b/>
                <w:bCs/>
              </w:rPr>
              <w:t>Pour réception</w:t>
            </w:r>
          </w:p>
          <w:p w14:paraId="37FF20F3" w14:textId="77777777" w:rsidR="00A50A73" w:rsidRPr="004C4FBD" w:rsidRDefault="00A50A73" w:rsidP="00241513">
            <w:pPr>
              <w:ind w:right="3"/>
              <w:contextualSpacing/>
              <w:jc w:val="center"/>
              <w:rPr>
                <w:b/>
                <w:bCs/>
              </w:rPr>
            </w:pPr>
            <w:r w:rsidRPr="004C4FBD">
              <w:rPr>
                <w:b/>
                <w:bCs/>
              </w:rPr>
              <w:t>Nom et Prénom</w:t>
            </w:r>
          </w:p>
        </w:tc>
      </w:tr>
      <w:tr w:rsidR="00A50A73" w:rsidRPr="00336D8C" w14:paraId="529A99BC" w14:textId="77777777" w:rsidTr="00241513">
        <w:tc>
          <w:tcPr>
            <w:tcW w:w="4643" w:type="dxa"/>
            <w:tcBorders>
              <w:top w:val="single" w:sz="4" w:space="0" w:color="auto"/>
              <w:left w:val="single" w:sz="4" w:space="0" w:color="auto"/>
              <w:bottom w:val="single" w:sz="4" w:space="0" w:color="auto"/>
              <w:right w:val="single" w:sz="4" w:space="0" w:color="auto"/>
            </w:tcBorders>
            <w:hideMark/>
          </w:tcPr>
          <w:p w14:paraId="7BDCFD24" w14:textId="77777777" w:rsidR="00A50A73" w:rsidRPr="004C4FBD" w:rsidRDefault="00A50A73" w:rsidP="00241513">
            <w:pPr>
              <w:ind w:right="3"/>
              <w:contextualSpacing/>
              <w:jc w:val="center"/>
              <w:rPr>
                <w:b/>
                <w:bCs/>
              </w:rPr>
            </w:pPr>
            <w:r w:rsidRPr="004C4FBD">
              <w:rPr>
                <w:b/>
                <w:bCs/>
              </w:rPr>
              <w:t>Signature</w:t>
            </w:r>
          </w:p>
        </w:tc>
        <w:tc>
          <w:tcPr>
            <w:tcW w:w="4643" w:type="dxa"/>
            <w:tcBorders>
              <w:top w:val="single" w:sz="4" w:space="0" w:color="auto"/>
              <w:left w:val="single" w:sz="4" w:space="0" w:color="auto"/>
              <w:bottom w:val="single" w:sz="4" w:space="0" w:color="auto"/>
              <w:right w:val="single" w:sz="4" w:space="0" w:color="auto"/>
            </w:tcBorders>
            <w:hideMark/>
          </w:tcPr>
          <w:p w14:paraId="67E83733" w14:textId="77777777" w:rsidR="00A50A73" w:rsidRPr="008E16EF" w:rsidRDefault="00A50A73" w:rsidP="00241513">
            <w:pPr>
              <w:ind w:right="3"/>
              <w:contextualSpacing/>
              <w:jc w:val="center"/>
              <w:rPr>
                <w:b/>
                <w:bCs/>
              </w:rPr>
            </w:pPr>
            <w:r w:rsidRPr="004C4FBD">
              <w:rPr>
                <w:b/>
                <w:bCs/>
              </w:rPr>
              <w:t>Signature</w:t>
            </w:r>
          </w:p>
        </w:tc>
      </w:tr>
    </w:tbl>
    <w:p w14:paraId="1008A4F4" w14:textId="77777777" w:rsidR="00A50A73" w:rsidRDefault="00A50A73" w:rsidP="00A50A73">
      <w:pPr>
        <w:spacing w:before="0" w:after="0" w:line="240" w:lineRule="auto"/>
        <w:jc w:val="left"/>
      </w:pPr>
    </w:p>
    <w:p w14:paraId="20DD7EFD" w14:textId="68DAB8F3" w:rsidR="00023853" w:rsidRDefault="00023853" w:rsidP="00F738DE">
      <w:pPr>
        <w:pStyle w:val="Title1"/>
        <w:numPr>
          <w:ilvl w:val="0"/>
          <w:numId w:val="0"/>
        </w:numPr>
      </w:pPr>
    </w:p>
    <w:p w14:paraId="3CC7B310" w14:textId="1536DF81" w:rsidR="00023853" w:rsidRPr="00023853" w:rsidRDefault="00023853" w:rsidP="00023853">
      <w:pPr>
        <w:pStyle w:val="Title2"/>
        <w:rPr>
          <w:rFonts w:eastAsia="Times New Roman"/>
        </w:rPr>
      </w:pPr>
      <w:r>
        <w:rPr>
          <w:rFonts w:eastAsia="Times New Roman"/>
        </w:rPr>
        <w:t xml:space="preserve"> </w:t>
      </w:r>
      <w:bookmarkStart w:id="613" w:name="_Toc215131944"/>
      <w:r>
        <w:rPr>
          <w:rFonts w:eastAsia="Times New Roman"/>
        </w:rPr>
        <w:t>Fiche de consultation individuelle</w:t>
      </w:r>
      <w:bookmarkEnd w:id="613"/>
    </w:p>
    <w:p w14:paraId="7C572238" w14:textId="77777777" w:rsidR="00023853" w:rsidRPr="00C268B1" w:rsidRDefault="00023853" w:rsidP="00023853">
      <w:pPr>
        <w:bidi/>
        <w:jc w:val="center"/>
        <w:rPr>
          <w:b/>
          <w:bCs/>
          <w:sz w:val="28"/>
          <w:szCs w:val="28"/>
        </w:rPr>
      </w:pPr>
      <w:r w:rsidRPr="00C268B1">
        <w:rPr>
          <w:b/>
          <w:bCs/>
          <w:sz w:val="44"/>
          <w:szCs w:val="44"/>
          <w:rtl/>
          <w:lang w:bidi="ar-SA"/>
        </w:rPr>
        <w:t>نموذج استمارة الاستشارة الفردية</w:t>
      </w:r>
    </w:p>
    <w:p w14:paraId="72BE4188" w14:textId="77777777" w:rsidR="00023853" w:rsidRDefault="00023853" w:rsidP="00023853">
      <w:pPr>
        <w:bidi/>
      </w:pPr>
      <w:r w:rsidRPr="00C268B1">
        <w:rPr>
          <w:rtl/>
          <w:lang w:bidi="ar-SA"/>
        </w:rPr>
        <w:t>المشروع</w:t>
      </w:r>
      <w:r>
        <w:t> ………………………………………………………………………………………………………………………:</w:t>
      </w:r>
    </w:p>
    <w:p w14:paraId="07E4FE3D" w14:textId="77777777" w:rsidR="00023853" w:rsidRDefault="00023853" w:rsidP="00023853">
      <w:pPr>
        <w:bidi/>
      </w:pPr>
      <w:r w:rsidRPr="00C268B1">
        <w:rPr>
          <w:rtl/>
          <w:lang w:bidi="ar-SA"/>
        </w:rPr>
        <w:t>المسؤول عن الاستشارة</w:t>
      </w:r>
      <w:r>
        <w:rPr>
          <w:rFonts w:ascii="Arial" w:hint="cs"/>
          <w:rtl/>
        </w:rPr>
        <w:t> </w:t>
      </w:r>
      <w:r>
        <w:t xml:space="preserve"> ……………………………………………………………………………………………………….:</w:t>
      </w:r>
    </w:p>
    <w:p w14:paraId="76FA1923" w14:textId="77777777" w:rsidR="00023853" w:rsidRDefault="00023853" w:rsidP="00023853">
      <w:pPr>
        <w:bidi/>
      </w:pPr>
      <w:r w:rsidRPr="00C268B1">
        <w:rPr>
          <w:rtl/>
          <w:lang w:bidi="ar-SA"/>
        </w:rPr>
        <w:t>رمز الشخص المتأثر بالمشروع</w:t>
      </w:r>
      <w:r>
        <w:rPr>
          <w:rFonts w:ascii="Arial" w:hint="cs"/>
          <w:rtl/>
        </w:rPr>
        <w:t> </w:t>
      </w:r>
      <w:r>
        <w:t>………………………………………………………………………………………………..:</w:t>
      </w:r>
    </w:p>
    <w:p w14:paraId="73A34FA5" w14:textId="77777777" w:rsidR="00023853" w:rsidRDefault="00023853" w:rsidP="00023853">
      <w:pPr>
        <w:bidi/>
      </w:pPr>
      <w:r w:rsidRPr="00C268B1">
        <w:rPr>
          <w:rtl/>
          <w:lang w:bidi="ar-SA"/>
        </w:rPr>
        <w:t>الاسم واللقب الكامل للشخص المتأثر بالمشروع أو من يمثله</w:t>
      </w:r>
      <w:r>
        <w:t> ………………………………………………………………………:</w:t>
      </w:r>
    </w:p>
    <w:p w14:paraId="5B335790" w14:textId="77777777" w:rsidR="00023853" w:rsidRDefault="00023853" w:rsidP="00023853">
      <w:pPr>
        <w:bidi/>
      </w:pPr>
      <w:r w:rsidRPr="00C268B1">
        <w:rPr>
          <w:rtl/>
          <w:lang w:bidi="ar-SA"/>
        </w:rPr>
        <w:t>تاريخ الاستمارة</w:t>
      </w:r>
      <w:r>
        <w:t>  ………………………………………………………………………………………………………………..:</w:t>
      </w:r>
    </w:p>
    <w:p w14:paraId="01304F4A" w14:textId="77777777" w:rsidR="00023853" w:rsidRDefault="00023853" w:rsidP="00023853">
      <w:pPr>
        <w:bidi/>
      </w:pPr>
    </w:p>
    <w:tbl>
      <w:tblPr>
        <w:tblStyle w:val="Grilledutableau"/>
        <w:bidiVisual/>
        <w:tblW w:w="0" w:type="auto"/>
        <w:tblLook w:val="04A0" w:firstRow="1" w:lastRow="0" w:firstColumn="1" w:lastColumn="0" w:noHBand="0" w:noVBand="1"/>
      </w:tblPr>
      <w:tblGrid>
        <w:gridCol w:w="3826"/>
        <w:gridCol w:w="703"/>
        <w:gridCol w:w="714"/>
        <w:gridCol w:w="3817"/>
      </w:tblGrid>
      <w:tr w:rsidR="00023853" w:rsidRPr="00CB653F" w14:paraId="03B452D8" w14:textId="77777777" w:rsidTr="00241513">
        <w:trPr>
          <w:trHeight w:val="612"/>
        </w:trPr>
        <w:tc>
          <w:tcPr>
            <w:tcW w:w="9062" w:type="dxa"/>
            <w:gridSpan w:val="4"/>
            <w:vAlign w:val="center"/>
          </w:tcPr>
          <w:p w14:paraId="355E74D1" w14:textId="77777777" w:rsidR="00023853" w:rsidRPr="00CB653F" w:rsidRDefault="00023853" w:rsidP="00241513">
            <w:pPr>
              <w:bidi/>
              <w:jc w:val="center"/>
              <w:rPr>
                <w:rFonts w:ascii="Arial"/>
                <w:rtl/>
              </w:rPr>
            </w:pPr>
            <w:r w:rsidRPr="00CB653F">
              <w:rPr>
                <w:rtl/>
                <w:lang w:bidi="ar-SA"/>
              </w:rPr>
              <w:t>مواضع الاستمارة</w:t>
            </w:r>
          </w:p>
        </w:tc>
      </w:tr>
      <w:tr w:rsidR="00023853" w:rsidRPr="00CB653F" w14:paraId="37246F08" w14:textId="77777777" w:rsidTr="00241513">
        <w:tc>
          <w:tcPr>
            <w:tcW w:w="3827" w:type="dxa"/>
            <w:vMerge w:val="restart"/>
            <w:vAlign w:val="center"/>
          </w:tcPr>
          <w:p w14:paraId="37DACA13" w14:textId="77777777" w:rsidR="00023853" w:rsidRPr="00CB653F" w:rsidRDefault="00023853" w:rsidP="00241513">
            <w:pPr>
              <w:bidi/>
              <w:jc w:val="center"/>
              <w:rPr>
                <w:rFonts w:ascii="Arial"/>
                <w:rtl/>
              </w:rPr>
            </w:pPr>
            <w:r w:rsidRPr="00CB653F">
              <w:rPr>
                <w:rtl/>
                <w:lang w:bidi="ar-SA"/>
              </w:rPr>
              <w:t>الموضوع</w:t>
            </w:r>
          </w:p>
        </w:tc>
        <w:tc>
          <w:tcPr>
            <w:tcW w:w="1417" w:type="dxa"/>
            <w:gridSpan w:val="2"/>
            <w:vAlign w:val="center"/>
          </w:tcPr>
          <w:p w14:paraId="5F87136E" w14:textId="77777777" w:rsidR="00023853" w:rsidRPr="00CB653F" w:rsidRDefault="00023853" w:rsidP="00241513">
            <w:pPr>
              <w:bidi/>
              <w:jc w:val="center"/>
              <w:rPr>
                <w:rFonts w:ascii="Arial"/>
                <w:rtl/>
              </w:rPr>
            </w:pPr>
            <w:r w:rsidRPr="00CB653F">
              <w:rPr>
                <w:rtl/>
                <w:lang w:bidi="ar-SA"/>
              </w:rPr>
              <w:t>تم إعلام الشخص</w:t>
            </w:r>
          </w:p>
        </w:tc>
        <w:tc>
          <w:tcPr>
            <w:tcW w:w="3818" w:type="dxa"/>
            <w:vMerge w:val="restart"/>
            <w:vAlign w:val="center"/>
          </w:tcPr>
          <w:p w14:paraId="5C0140EB" w14:textId="77777777" w:rsidR="00023853" w:rsidRPr="00CB653F" w:rsidRDefault="00023853" w:rsidP="00241513">
            <w:pPr>
              <w:bidi/>
              <w:jc w:val="center"/>
              <w:rPr>
                <w:rFonts w:ascii="Arial"/>
                <w:rtl/>
              </w:rPr>
            </w:pPr>
            <w:r w:rsidRPr="00CB653F">
              <w:rPr>
                <w:rtl/>
                <w:lang w:bidi="ar-SA"/>
              </w:rPr>
              <w:t>ملاحظات</w:t>
            </w:r>
          </w:p>
        </w:tc>
      </w:tr>
      <w:tr w:rsidR="00023853" w:rsidRPr="00CB653F" w14:paraId="0D4ED0C3" w14:textId="77777777" w:rsidTr="00241513">
        <w:tc>
          <w:tcPr>
            <w:tcW w:w="3827" w:type="dxa"/>
            <w:vMerge/>
            <w:vAlign w:val="center"/>
          </w:tcPr>
          <w:p w14:paraId="0BC462D2" w14:textId="77777777" w:rsidR="00023853" w:rsidRPr="00CB653F" w:rsidRDefault="00023853" w:rsidP="00241513">
            <w:pPr>
              <w:bidi/>
              <w:jc w:val="center"/>
              <w:rPr>
                <w:rFonts w:ascii="Arial"/>
                <w:rtl/>
              </w:rPr>
            </w:pPr>
          </w:p>
        </w:tc>
        <w:tc>
          <w:tcPr>
            <w:tcW w:w="703" w:type="dxa"/>
            <w:vAlign w:val="center"/>
          </w:tcPr>
          <w:p w14:paraId="080FCEC3" w14:textId="77777777" w:rsidR="00023853" w:rsidRPr="00CB653F" w:rsidRDefault="00023853" w:rsidP="00241513">
            <w:pPr>
              <w:bidi/>
              <w:jc w:val="center"/>
              <w:rPr>
                <w:rFonts w:ascii="Arial"/>
                <w:rtl/>
              </w:rPr>
            </w:pPr>
            <w:r w:rsidRPr="00CB653F">
              <w:rPr>
                <w:rtl/>
                <w:lang w:bidi="ar-SA"/>
              </w:rPr>
              <w:t>نعم</w:t>
            </w:r>
          </w:p>
        </w:tc>
        <w:tc>
          <w:tcPr>
            <w:tcW w:w="714" w:type="dxa"/>
            <w:vAlign w:val="center"/>
          </w:tcPr>
          <w:p w14:paraId="617BB25B" w14:textId="77777777" w:rsidR="00023853" w:rsidRPr="00CB653F" w:rsidRDefault="00023853" w:rsidP="00241513">
            <w:pPr>
              <w:bidi/>
              <w:jc w:val="center"/>
              <w:rPr>
                <w:rFonts w:ascii="Arial"/>
                <w:rtl/>
              </w:rPr>
            </w:pPr>
            <w:r w:rsidRPr="00CB653F">
              <w:rPr>
                <w:rtl/>
                <w:lang w:bidi="ar-SA"/>
              </w:rPr>
              <w:t>لا</w:t>
            </w:r>
          </w:p>
        </w:tc>
        <w:tc>
          <w:tcPr>
            <w:tcW w:w="3818" w:type="dxa"/>
            <w:vMerge/>
            <w:vAlign w:val="center"/>
          </w:tcPr>
          <w:p w14:paraId="61762AA4" w14:textId="77777777" w:rsidR="00023853" w:rsidRPr="00CB653F" w:rsidRDefault="00023853" w:rsidP="00241513">
            <w:pPr>
              <w:bidi/>
              <w:jc w:val="center"/>
              <w:rPr>
                <w:rFonts w:ascii="Arial"/>
                <w:rtl/>
              </w:rPr>
            </w:pPr>
          </w:p>
        </w:tc>
      </w:tr>
      <w:tr w:rsidR="00023853" w:rsidRPr="00CB653F" w14:paraId="37833C6E" w14:textId="77777777" w:rsidTr="00241513">
        <w:trPr>
          <w:trHeight w:val="396"/>
        </w:trPr>
        <w:tc>
          <w:tcPr>
            <w:tcW w:w="3827" w:type="dxa"/>
            <w:vAlign w:val="center"/>
          </w:tcPr>
          <w:p w14:paraId="23AB93FF" w14:textId="77777777" w:rsidR="00023853" w:rsidRPr="00CB653F" w:rsidRDefault="00023853" w:rsidP="00241513">
            <w:pPr>
              <w:bidi/>
              <w:rPr>
                <w:rFonts w:ascii="Arial"/>
                <w:rtl/>
              </w:rPr>
            </w:pPr>
            <w:r w:rsidRPr="00CB653F">
              <w:rPr>
                <w:rtl/>
                <w:lang w:bidi="ar-SA"/>
              </w:rPr>
              <w:t>معلومات عن المشروع</w:t>
            </w:r>
          </w:p>
        </w:tc>
        <w:tc>
          <w:tcPr>
            <w:tcW w:w="703" w:type="dxa"/>
            <w:vAlign w:val="center"/>
          </w:tcPr>
          <w:p w14:paraId="0859583C" w14:textId="77777777" w:rsidR="00023853" w:rsidRPr="00CB653F" w:rsidRDefault="00023853" w:rsidP="00241513">
            <w:pPr>
              <w:bidi/>
              <w:jc w:val="center"/>
              <w:rPr>
                <w:rFonts w:ascii="Arial"/>
                <w:rtl/>
              </w:rPr>
            </w:pPr>
          </w:p>
        </w:tc>
        <w:tc>
          <w:tcPr>
            <w:tcW w:w="714" w:type="dxa"/>
            <w:vAlign w:val="center"/>
          </w:tcPr>
          <w:p w14:paraId="669AAAEB" w14:textId="77777777" w:rsidR="00023853" w:rsidRPr="00CB653F" w:rsidRDefault="00023853" w:rsidP="00241513">
            <w:pPr>
              <w:bidi/>
              <w:jc w:val="center"/>
              <w:rPr>
                <w:rFonts w:ascii="Arial"/>
                <w:rtl/>
              </w:rPr>
            </w:pPr>
          </w:p>
        </w:tc>
        <w:tc>
          <w:tcPr>
            <w:tcW w:w="3818" w:type="dxa"/>
            <w:vAlign w:val="center"/>
          </w:tcPr>
          <w:p w14:paraId="569BF141" w14:textId="77777777" w:rsidR="00023853" w:rsidRPr="00CB653F" w:rsidRDefault="00023853" w:rsidP="00241513">
            <w:pPr>
              <w:bidi/>
              <w:jc w:val="center"/>
              <w:rPr>
                <w:rFonts w:ascii="Arial"/>
                <w:rtl/>
              </w:rPr>
            </w:pPr>
          </w:p>
        </w:tc>
      </w:tr>
      <w:tr w:rsidR="00023853" w:rsidRPr="00CB653F" w14:paraId="4B358688" w14:textId="77777777" w:rsidTr="00241513">
        <w:trPr>
          <w:trHeight w:val="416"/>
        </w:trPr>
        <w:tc>
          <w:tcPr>
            <w:tcW w:w="3827" w:type="dxa"/>
            <w:vAlign w:val="center"/>
          </w:tcPr>
          <w:p w14:paraId="40B21E6E" w14:textId="77777777" w:rsidR="00023853" w:rsidRPr="00CB653F" w:rsidRDefault="00023853" w:rsidP="00241513">
            <w:pPr>
              <w:bidi/>
              <w:rPr>
                <w:rFonts w:ascii="Arial"/>
                <w:rtl/>
              </w:rPr>
            </w:pPr>
            <w:r w:rsidRPr="00CB653F">
              <w:rPr>
                <w:rtl/>
                <w:lang w:bidi="ar-SA"/>
              </w:rPr>
              <w:t>الاستطلاع الاجتماعي</w:t>
            </w:r>
            <w:r w:rsidRPr="00CB653F">
              <w:rPr>
                <w:rFonts w:ascii="Arial"/>
                <w:rtl/>
              </w:rPr>
              <w:t>-</w:t>
            </w:r>
            <w:r w:rsidRPr="00CB653F">
              <w:rPr>
                <w:rtl/>
                <w:lang w:bidi="ar-SA"/>
              </w:rPr>
              <w:t>الاقتصادي</w:t>
            </w:r>
          </w:p>
        </w:tc>
        <w:tc>
          <w:tcPr>
            <w:tcW w:w="703" w:type="dxa"/>
            <w:vAlign w:val="center"/>
          </w:tcPr>
          <w:p w14:paraId="0C462CF8" w14:textId="77777777" w:rsidR="00023853" w:rsidRPr="00CB653F" w:rsidRDefault="00023853" w:rsidP="00241513">
            <w:pPr>
              <w:bidi/>
              <w:jc w:val="center"/>
              <w:rPr>
                <w:rFonts w:ascii="Arial"/>
                <w:rtl/>
              </w:rPr>
            </w:pPr>
          </w:p>
        </w:tc>
        <w:tc>
          <w:tcPr>
            <w:tcW w:w="714" w:type="dxa"/>
            <w:vAlign w:val="center"/>
          </w:tcPr>
          <w:p w14:paraId="7B37D2BF" w14:textId="77777777" w:rsidR="00023853" w:rsidRPr="00CB653F" w:rsidRDefault="00023853" w:rsidP="00241513">
            <w:pPr>
              <w:bidi/>
              <w:jc w:val="center"/>
              <w:rPr>
                <w:rFonts w:ascii="Arial"/>
                <w:rtl/>
              </w:rPr>
            </w:pPr>
          </w:p>
        </w:tc>
        <w:tc>
          <w:tcPr>
            <w:tcW w:w="3818" w:type="dxa"/>
            <w:vAlign w:val="center"/>
          </w:tcPr>
          <w:p w14:paraId="279CF37B" w14:textId="77777777" w:rsidR="00023853" w:rsidRPr="00CB653F" w:rsidRDefault="00023853" w:rsidP="00241513">
            <w:pPr>
              <w:bidi/>
              <w:jc w:val="center"/>
              <w:rPr>
                <w:rFonts w:ascii="Arial"/>
                <w:rtl/>
              </w:rPr>
            </w:pPr>
          </w:p>
        </w:tc>
      </w:tr>
      <w:tr w:rsidR="00023853" w:rsidRPr="00CB653F" w14:paraId="767CDF49" w14:textId="77777777" w:rsidTr="00241513">
        <w:trPr>
          <w:trHeight w:val="422"/>
        </w:trPr>
        <w:tc>
          <w:tcPr>
            <w:tcW w:w="3827" w:type="dxa"/>
            <w:vAlign w:val="center"/>
          </w:tcPr>
          <w:p w14:paraId="5F76E8DE" w14:textId="77777777" w:rsidR="00023853" w:rsidRPr="00CB653F" w:rsidRDefault="00023853" w:rsidP="00241513">
            <w:pPr>
              <w:bidi/>
              <w:rPr>
                <w:rFonts w:ascii="Arial"/>
                <w:rtl/>
              </w:rPr>
            </w:pPr>
            <w:r w:rsidRPr="00CB653F">
              <w:rPr>
                <w:rtl/>
                <w:lang w:bidi="ar-SA"/>
              </w:rPr>
              <w:t>معلومات حول آليات إدارة شكاوي</w:t>
            </w:r>
          </w:p>
        </w:tc>
        <w:tc>
          <w:tcPr>
            <w:tcW w:w="703" w:type="dxa"/>
            <w:vAlign w:val="center"/>
          </w:tcPr>
          <w:p w14:paraId="6FD08834" w14:textId="77777777" w:rsidR="00023853" w:rsidRPr="00CB653F" w:rsidRDefault="00023853" w:rsidP="00241513">
            <w:pPr>
              <w:bidi/>
              <w:jc w:val="center"/>
              <w:rPr>
                <w:rFonts w:ascii="Arial"/>
                <w:rtl/>
              </w:rPr>
            </w:pPr>
          </w:p>
        </w:tc>
        <w:tc>
          <w:tcPr>
            <w:tcW w:w="714" w:type="dxa"/>
            <w:vAlign w:val="center"/>
          </w:tcPr>
          <w:p w14:paraId="2E0620E3" w14:textId="77777777" w:rsidR="00023853" w:rsidRPr="00CB653F" w:rsidRDefault="00023853" w:rsidP="00241513">
            <w:pPr>
              <w:bidi/>
              <w:jc w:val="center"/>
              <w:rPr>
                <w:rFonts w:ascii="Arial"/>
                <w:rtl/>
              </w:rPr>
            </w:pPr>
          </w:p>
        </w:tc>
        <w:tc>
          <w:tcPr>
            <w:tcW w:w="3818" w:type="dxa"/>
            <w:vAlign w:val="center"/>
          </w:tcPr>
          <w:p w14:paraId="3C2870D1" w14:textId="77777777" w:rsidR="00023853" w:rsidRPr="00CB653F" w:rsidRDefault="00023853" w:rsidP="00241513">
            <w:pPr>
              <w:bidi/>
              <w:jc w:val="center"/>
              <w:rPr>
                <w:rFonts w:ascii="Arial"/>
                <w:rtl/>
              </w:rPr>
            </w:pPr>
          </w:p>
        </w:tc>
      </w:tr>
    </w:tbl>
    <w:p w14:paraId="16463EB4" w14:textId="77777777" w:rsidR="00023853" w:rsidRDefault="00023853" w:rsidP="00023853">
      <w:pPr>
        <w:bidi/>
      </w:pPr>
    </w:p>
    <w:tbl>
      <w:tblPr>
        <w:tblStyle w:val="Grilledutableau"/>
        <w:bidiVisual/>
        <w:tblW w:w="0" w:type="auto"/>
        <w:tblLook w:val="04A0" w:firstRow="1" w:lastRow="0" w:firstColumn="1" w:lastColumn="0" w:noHBand="0" w:noVBand="1"/>
      </w:tblPr>
      <w:tblGrid>
        <w:gridCol w:w="8077"/>
        <w:gridCol w:w="983"/>
      </w:tblGrid>
      <w:tr w:rsidR="00023853" w:rsidRPr="00CB653F" w14:paraId="78FD89F2" w14:textId="77777777" w:rsidTr="00241513">
        <w:trPr>
          <w:trHeight w:val="506"/>
        </w:trPr>
        <w:tc>
          <w:tcPr>
            <w:tcW w:w="9062" w:type="dxa"/>
            <w:gridSpan w:val="2"/>
            <w:vAlign w:val="center"/>
          </w:tcPr>
          <w:p w14:paraId="1FE03FD5" w14:textId="77777777" w:rsidR="00023853" w:rsidRPr="00CB653F" w:rsidRDefault="00023853" w:rsidP="00241513">
            <w:pPr>
              <w:bidi/>
              <w:jc w:val="center"/>
              <w:rPr>
                <w:rFonts w:ascii="Arial"/>
                <w:rtl/>
              </w:rPr>
            </w:pPr>
            <w:r w:rsidRPr="00CB653F">
              <w:rPr>
                <w:rtl/>
                <w:lang w:bidi="ar-SA"/>
              </w:rPr>
              <w:t>المواضيع التي يرغب الشخص المتأثر بالمشروع الحصول فيها على المواكبة</w:t>
            </w:r>
          </w:p>
        </w:tc>
      </w:tr>
      <w:tr w:rsidR="00023853" w:rsidRPr="00CB653F" w14:paraId="704C7284" w14:textId="77777777" w:rsidTr="00241513">
        <w:trPr>
          <w:trHeight w:val="524"/>
        </w:trPr>
        <w:tc>
          <w:tcPr>
            <w:tcW w:w="8079" w:type="dxa"/>
            <w:vAlign w:val="center"/>
          </w:tcPr>
          <w:p w14:paraId="31A1F244" w14:textId="77777777" w:rsidR="00023853" w:rsidRPr="00CB653F" w:rsidRDefault="00023853" w:rsidP="00241513">
            <w:pPr>
              <w:bidi/>
              <w:rPr>
                <w:rFonts w:ascii="Arial"/>
                <w:rtl/>
              </w:rPr>
            </w:pPr>
            <w:r w:rsidRPr="00CB653F">
              <w:rPr>
                <w:rtl/>
                <w:lang w:bidi="ar-SA"/>
              </w:rPr>
              <w:t>التدريب والتكوين</w:t>
            </w:r>
          </w:p>
        </w:tc>
        <w:tc>
          <w:tcPr>
            <w:tcW w:w="983" w:type="dxa"/>
          </w:tcPr>
          <w:p w14:paraId="2CD7DD2B" w14:textId="77777777" w:rsidR="00023853" w:rsidRPr="00CB653F" w:rsidRDefault="00023853" w:rsidP="00241513">
            <w:pPr>
              <w:bidi/>
              <w:rPr>
                <w:rFonts w:ascii="Arial"/>
                <w:rtl/>
              </w:rPr>
            </w:pPr>
          </w:p>
        </w:tc>
      </w:tr>
      <w:tr w:rsidR="00023853" w:rsidRPr="00CB653F" w14:paraId="6AE345EC" w14:textId="77777777" w:rsidTr="00241513">
        <w:trPr>
          <w:trHeight w:val="560"/>
        </w:trPr>
        <w:tc>
          <w:tcPr>
            <w:tcW w:w="8079" w:type="dxa"/>
            <w:vAlign w:val="center"/>
          </w:tcPr>
          <w:p w14:paraId="3FD21F20" w14:textId="77777777" w:rsidR="00023853" w:rsidRPr="00CB653F" w:rsidRDefault="00023853" w:rsidP="00241513">
            <w:pPr>
              <w:bidi/>
              <w:rPr>
                <w:rFonts w:ascii="Arial"/>
                <w:rtl/>
              </w:rPr>
            </w:pPr>
            <w:r w:rsidRPr="00CB653F">
              <w:rPr>
                <w:rtl/>
                <w:lang w:bidi="ar-SA"/>
              </w:rPr>
              <w:t>نقل الخبرة</w:t>
            </w:r>
            <w:r w:rsidRPr="00CB653F">
              <w:t xml:space="preserve"> /</w:t>
            </w:r>
            <w:r w:rsidRPr="00CB653F">
              <w:rPr>
                <w:rtl/>
                <w:lang w:bidi="ar-SA"/>
              </w:rPr>
              <w:t>الكفاءات</w:t>
            </w:r>
          </w:p>
        </w:tc>
        <w:tc>
          <w:tcPr>
            <w:tcW w:w="983" w:type="dxa"/>
          </w:tcPr>
          <w:p w14:paraId="7B00DB20" w14:textId="77777777" w:rsidR="00023853" w:rsidRPr="00CB653F" w:rsidRDefault="00023853" w:rsidP="00241513">
            <w:pPr>
              <w:bidi/>
              <w:rPr>
                <w:rFonts w:ascii="Arial"/>
                <w:rtl/>
              </w:rPr>
            </w:pPr>
          </w:p>
        </w:tc>
      </w:tr>
      <w:tr w:rsidR="00023853" w:rsidRPr="00CB653F" w14:paraId="4027190A" w14:textId="77777777" w:rsidTr="00241513">
        <w:trPr>
          <w:trHeight w:val="553"/>
        </w:trPr>
        <w:tc>
          <w:tcPr>
            <w:tcW w:w="8079" w:type="dxa"/>
            <w:vAlign w:val="center"/>
          </w:tcPr>
          <w:p w14:paraId="2BFE4CC5" w14:textId="77777777" w:rsidR="00023853" w:rsidRPr="00CB653F" w:rsidRDefault="00023853" w:rsidP="00241513">
            <w:pPr>
              <w:bidi/>
              <w:rPr>
                <w:rFonts w:ascii="Arial"/>
                <w:rtl/>
              </w:rPr>
            </w:pPr>
            <w:r w:rsidRPr="00CB653F">
              <w:rPr>
                <w:rtl/>
                <w:lang w:bidi="ar-SA"/>
              </w:rPr>
              <w:t>الدعم المالي</w:t>
            </w:r>
            <w:r w:rsidRPr="00CB653F">
              <w:t xml:space="preserve">/ </w:t>
            </w:r>
            <w:r w:rsidRPr="00CB653F">
              <w:rPr>
                <w:rtl/>
                <w:lang w:bidi="ar-SA"/>
              </w:rPr>
              <w:t>الموارد</w:t>
            </w:r>
          </w:p>
        </w:tc>
        <w:tc>
          <w:tcPr>
            <w:tcW w:w="983" w:type="dxa"/>
          </w:tcPr>
          <w:p w14:paraId="55D3F9E8" w14:textId="77777777" w:rsidR="00023853" w:rsidRPr="00CB653F" w:rsidRDefault="00023853" w:rsidP="00241513">
            <w:pPr>
              <w:bidi/>
              <w:rPr>
                <w:rFonts w:ascii="Arial"/>
                <w:rtl/>
              </w:rPr>
            </w:pPr>
          </w:p>
        </w:tc>
      </w:tr>
      <w:tr w:rsidR="00023853" w:rsidRPr="00CB653F" w14:paraId="58FA9339" w14:textId="77777777" w:rsidTr="00241513">
        <w:trPr>
          <w:trHeight w:val="561"/>
        </w:trPr>
        <w:tc>
          <w:tcPr>
            <w:tcW w:w="8079" w:type="dxa"/>
            <w:vAlign w:val="center"/>
          </w:tcPr>
          <w:p w14:paraId="36F873B8" w14:textId="77777777" w:rsidR="00023853" w:rsidRPr="00CB653F" w:rsidRDefault="00023853" w:rsidP="00241513">
            <w:pPr>
              <w:bidi/>
              <w:rPr>
                <w:rFonts w:ascii="Arial"/>
                <w:rtl/>
              </w:rPr>
            </w:pPr>
            <w:r w:rsidRPr="00CB653F">
              <w:rPr>
                <w:rtl/>
                <w:lang w:bidi="ar-SA"/>
              </w:rPr>
              <w:t>خلق فرص</w:t>
            </w:r>
            <w:r w:rsidRPr="00CB653F">
              <w:t xml:space="preserve"> </w:t>
            </w:r>
            <w:r w:rsidRPr="00CB653F">
              <w:rPr>
                <w:rtl/>
                <w:lang w:bidi="ar-SA"/>
              </w:rPr>
              <w:t>العمل</w:t>
            </w:r>
            <w:r w:rsidRPr="00CB653F">
              <w:t xml:space="preserve"> </w:t>
            </w:r>
          </w:p>
        </w:tc>
        <w:tc>
          <w:tcPr>
            <w:tcW w:w="983" w:type="dxa"/>
          </w:tcPr>
          <w:p w14:paraId="747C2093" w14:textId="77777777" w:rsidR="00023853" w:rsidRPr="00CB653F" w:rsidRDefault="00023853" w:rsidP="00241513">
            <w:pPr>
              <w:bidi/>
              <w:rPr>
                <w:rFonts w:ascii="Arial"/>
                <w:rtl/>
              </w:rPr>
            </w:pPr>
          </w:p>
        </w:tc>
      </w:tr>
    </w:tbl>
    <w:p w14:paraId="3BF5CC5E" w14:textId="77777777" w:rsidR="00023853" w:rsidRDefault="00023853" w:rsidP="00023853">
      <w:pPr>
        <w:bidi/>
      </w:pPr>
    </w:p>
    <w:tbl>
      <w:tblPr>
        <w:tblStyle w:val="Grilledutableau"/>
        <w:bidiVisual/>
        <w:tblW w:w="0" w:type="auto"/>
        <w:tblLook w:val="04A0" w:firstRow="1" w:lastRow="0" w:firstColumn="1" w:lastColumn="0" w:noHBand="0" w:noVBand="1"/>
      </w:tblPr>
      <w:tblGrid>
        <w:gridCol w:w="4530"/>
        <w:gridCol w:w="4530"/>
      </w:tblGrid>
      <w:tr w:rsidR="00023853" w:rsidRPr="008C141B" w14:paraId="1E5C6F47" w14:textId="77777777" w:rsidTr="00241513">
        <w:trPr>
          <w:trHeight w:val="1598"/>
        </w:trPr>
        <w:tc>
          <w:tcPr>
            <w:tcW w:w="4531" w:type="dxa"/>
          </w:tcPr>
          <w:p w14:paraId="5FADFD13" w14:textId="77777777" w:rsidR="00023853" w:rsidRPr="008C141B" w:rsidRDefault="00023853" w:rsidP="00241513">
            <w:pPr>
              <w:bidi/>
              <w:jc w:val="center"/>
              <w:rPr>
                <w:rFonts w:ascii="Arial"/>
                <w:b/>
                <w:bCs/>
                <w:rtl/>
              </w:rPr>
            </w:pPr>
            <w:r w:rsidRPr="008C141B">
              <w:rPr>
                <w:b/>
                <w:bCs/>
                <w:rtl/>
                <w:lang w:bidi="ar-SA"/>
              </w:rPr>
              <w:t>إمضاء الشخص المتأثر بالمشروع أو ممثله</w:t>
            </w:r>
          </w:p>
        </w:tc>
        <w:tc>
          <w:tcPr>
            <w:tcW w:w="4531" w:type="dxa"/>
          </w:tcPr>
          <w:p w14:paraId="30D2B452" w14:textId="77777777" w:rsidR="00023853" w:rsidRPr="008C141B" w:rsidRDefault="00023853" w:rsidP="00241513">
            <w:pPr>
              <w:bidi/>
              <w:jc w:val="center"/>
              <w:rPr>
                <w:rFonts w:ascii="Arial"/>
                <w:b/>
                <w:bCs/>
                <w:rtl/>
              </w:rPr>
            </w:pPr>
            <w:r w:rsidRPr="008C141B">
              <w:rPr>
                <w:b/>
                <w:bCs/>
                <w:rtl/>
                <w:lang w:bidi="ar-SA"/>
              </w:rPr>
              <w:t>إمضاء المسؤول عن الاستمارة</w:t>
            </w:r>
          </w:p>
        </w:tc>
      </w:tr>
    </w:tbl>
    <w:p w14:paraId="5B25C731" w14:textId="77777777" w:rsidR="00023853" w:rsidRPr="00C268B1" w:rsidRDefault="00023853" w:rsidP="00023853">
      <w:pPr>
        <w:bidi/>
      </w:pPr>
    </w:p>
    <w:p w14:paraId="4604D0BB" w14:textId="5F6D7538" w:rsidR="00241513" w:rsidRPr="00241513" w:rsidRDefault="00241513" w:rsidP="00241513">
      <w:pPr>
        <w:pStyle w:val="Title2"/>
        <w:rPr>
          <w:rFonts w:eastAsia="Times New Roman"/>
        </w:rPr>
      </w:pPr>
      <w:r>
        <w:rPr>
          <w:rFonts w:eastAsia="Times New Roman"/>
        </w:rPr>
        <w:lastRenderedPageBreak/>
        <w:t xml:space="preserve"> </w:t>
      </w:r>
      <w:bookmarkStart w:id="614" w:name="_Toc215131945"/>
      <w:r>
        <w:rPr>
          <w:rFonts w:eastAsia="Times New Roman"/>
        </w:rPr>
        <w:t>Fiche d'entente mutuelle</w:t>
      </w:r>
      <w:bookmarkEnd w:id="614"/>
    </w:p>
    <w:p w14:paraId="064A3FC3" w14:textId="77777777" w:rsidR="00241513" w:rsidRDefault="00241513" w:rsidP="00241513">
      <w:pPr>
        <w:jc w:val="center"/>
        <w:rPr>
          <w:b/>
          <w:bCs/>
          <w:sz w:val="20"/>
          <w:szCs w:val="20"/>
        </w:rPr>
      </w:pPr>
      <w:r w:rsidRPr="00C5013C">
        <w:rPr>
          <w:b/>
          <w:bCs/>
          <w:sz w:val="20"/>
          <w:szCs w:val="20"/>
        </w:rPr>
        <w:t>Fiche individuelle d’entente entre la personne affectée par le projet (PAP) et le promoteur</w:t>
      </w:r>
    </w:p>
    <w:p w14:paraId="7224BF60" w14:textId="77777777" w:rsidR="00241513" w:rsidRPr="001D232E" w:rsidRDefault="00241513" w:rsidP="0001633E">
      <w:pPr>
        <w:pStyle w:val="Paragraphedeliste"/>
        <w:numPr>
          <w:ilvl w:val="0"/>
          <w:numId w:val="210"/>
        </w:numPr>
        <w:spacing w:before="0" w:after="160" w:line="259" w:lineRule="auto"/>
        <w:rPr>
          <w:b/>
          <w:bCs/>
          <w:sz w:val="20"/>
          <w:szCs w:val="20"/>
        </w:rPr>
      </w:pPr>
      <w:r w:rsidRPr="001D232E">
        <w:rPr>
          <w:b/>
          <w:bCs/>
          <w:sz w:val="20"/>
          <w:szCs w:val="20"/>
        </w:rPr>
        <w:t>Information de base</w:t>
      </w:r>
    </w:p>
    <w:p w14:paraId="41AF2BC2" w14:textId="77777777" w:rsidR="00241513" w:rsidRPr="00C5013C" w:rsidRDefault="00241513" w:rsidP="0001633E">
      <w:pPr>
        <w:pStyle w:val="Paragraphedeliste"/>
        <w:numPr>
          <w:ilvl w:val="0"/>
          <w:numId w:val="213"/>
        </w:numPr>
        <w:spacing w:before="0" w:after="160" w:line="259" w:lineRule="auto"/>
        <w:rPr>
          <w:sz w:val="20"/>
          <w:szCs w:val="20"/>
        </w:rPr>
      </w:pPr>
      <w:r w:rsidRPr="00C5013C">
        <w:rPr>
          <w:sz w:val="20"/>
          <w:szCs w:val="20"/>
        </w:rPr>
        <w:t>Nom du projet : Projet de modernisation et extension des installations et infrastructures des aéroports d’Agadir, Tanger et Marrakech</w:t>
      </w:r>
    </w:p>
    <w:p w14:paraId="782E9846" w14:textId="77777777" w:rsidR="00241513" w:rsidRPr="00C5013C" w:rsidRDefault="00241513" w:rsidP="0001633E">
      <w:pPr>
        <w:pStyle w:val="Paragraphedeliste"/>
        <w:numPr>
          <w:ilvl w:val="0"/>
          <w:numId w:val="213"/>
        </w:numPr>
        <w:spacing w:before="0" w:after="160" w:line="259" w:lineRule="auto"/>
        <w:rPr>
          <w:sz w:val="20"/>
          <w:szCs w:val="20"/>
        </w:rPr>
      </w:pPr>
      <w:r w:rsidRPr="00C5013C">
        <w:rPr>
          <w:sz w:val="20"/>
          <w:szCs w:val="20"/>
        </w:rPr>
        <w:t>Localités du PAP : ……………………………………………………………….</w:t>
      </w:r>
    </w:p>
    <w:p w14:paraId="2E94BDBA" w14:textId="77777777" w:rsidR="00241513" w:rsidRDefault="00241513" w:rsidP="00241513">
      <w:pPr>
        <w:rPr>
          <w:sz w:val="20"/>
          <w:szCs w:val="20"/>
        </w:rPr>
      </w:pPr>
    </w:p>
    <w:p w14:paraId="1B3F4BA2" w14:textId="77777777" w:rsidR="00241513" w:rsidRPr="001D232E" w:rsidRDefault="00241513" w:rsidP="0001633E">
      <w:pPr>
        <w:pStyle w:val="Paragraphedeliste"/>
        <w:numPr>
          <w:ilvl w:val="0"/>
          <w:numId w:val="210"/>
        </w:numPr>
        <w:spacing w:before="0" w:after="160" w:line="259" w:lineRule="auto"/>
        <w:rPr>
          <w:b/>
          <w:bCs/>
          <w:sz w:val="20"/>
          <w:szCs w:val="20"/>
        </w:rPr>
      </w:pPr>
      <w:r w:rsidRPr="001D232E">
        <w:rPr>
          <w:b/>
          <w:bCs/>
          <w:sz w:val="20"/>
          <w:szCs w:val="20"/>
        </w:rPr>
        <w:t>Identité de la PAP</w:t>
      </w:r>
    </w:p>
    <w:p w14:paraId="0BF9978F" w14:textId="77777777" w:rsidR="00241513" w:rsidRPr="00C5013C" w:rsidRDefault="00241513" w:rsidP="0001633E">
      <w:pPr>
        <w:pStyle w:val="Paragraphedeliste"/>
        <w:numPr>
          <w:ilvl w:val="0"/>
          <w:numId w:val="211"/>
        </w:numPr>
        <w:spacing w:before="0" w:after="160" w:line="259" w:lineRule="auto"/>
        <w:rPr>
          <w:sz w:val="20"/>
          <w:szCs w:val="20"/>
        </w:rPr>
      </w:pPr>
      <w:r w:rsidRPr="00C5013C">
        <w:rPr>
          <w:sz w:val="20"/>
          <w:szCs w:val="20"/>
        </w:rPr>
        <w:t>Code de la PAP : …………………………………………………………………</w:t>
      </w:r>
    </w:p>
    <w:p w14:paraId="0137F204" w14:textId="77777777" w:rsidR="00241513" w:rsidRPr="00C5013C" w:rsidRDefault="00241513" w:rsidP="0001633E">
      <w:pPr>
        <w:pStyle w:val="Paragraphedeliste"/>
        <w:numPr>
          <w:ilvl w:val="0"/>
          <w:numId w:val="211"/>
        </w:numPr>
        <w:spacing w:before="0" w:after="160" w:line="259" w:lineRule="auto"/>
        <w:rPr>
          <w:sz w:val="20"/>
          <w:szCs w:val="20"/>
        </w:rPr>
      </w:pPr>
      <w:r w:rsidRPr="00C5013C">
        <w:rPr>
          <w:sz w:val="20"/>
          <w:szCs w:val="20"/>
        </w:rPr>
        <w:t>Nom et Prénom : ……………………………………………………………….</w:t>
      </w:r>
    </w:p>
    <w:p w14:paraId="5A4C253F" w14:textId="77777777" w:rsidR="00241513" w:rsidRPr="00C5013C" w:rsidRDefault="00241513" w:rsidP="0001633E">
      <w:pPr>
        <w:pStyle w:val="Paragraphedeliste"/>
        <w:numPr>
          <w:ilvl w:val="0"/>
          <w:numId w:val="211"/>
        </w:numPr>
        <w:spacing w:before="0" w:after="160" w:line="259" w:lineRule="auto"/>
        <w:rPr>
          <w:sz w:val="20"/>
          <w:szCs w:val="20"/>
        </w:rPr>
      </w:pPr>
      <w:r w:rsidRPr="00C5013C">
        <w:rPr>
          <w:sz w:val="20"/>
          <w:szCs w:val="20"/>
        </w:rPr>
        <w:t>Age : …………………………………………………………………………………..</w:t>
      </w:r>
    </w:p>
    <w:p w14:paraId="363DB8A8" w14:textId="77777777" w:rsidR="00241513" w:rsidRPr="00C5013C" w:rsidRDefault="00241513" w:rsidP="0001633E">
      <w:pPr>
        <w:pStyle w:val="Paragraphedeliste"/>
        <w:numPr>
          <w:ilvl w:val="0"/>
          <w:numId w:val="211"/>
        </w:numPr>
        <w:spacing w:before="0" w:after="160" w:line="259" w:lineRule="auto"/>
        <w:rPr>
          <w:sz w:val="20"/>
          <w:szCs w:val="20"/>
        </w:rPr>
      </w:pPr>
      <w:r w:rsidRPr="00C5013C">
        <w:rPr>
          <w:sz w:val="20"/>
          <w:szCs w:val="20"/>
        </w:rPr>
        <w:t>Sexe : ………………………………………………………………………………….</w:t>
      </w:r>
    </w:p>
    <w:p w14:paraId="78E1D101" w14:textId="77777777" w:rsidR="00241513" w:rsidRPr="00C5013C" w:rsidRDefault="00241513" w:rsidP="0001633E">
      <w:pPr>
        <w:pStyle w:val="Paragraphedeliste"/>
        <w:numPr>
          <w:ilvl w:val="0"/>
          <w:numId w:val="211"/>
        </w:numPr>
        <w:spacing w:before="0" w:after="160" w:line="259" w:lineRule="auto"/>
        <w:rPr>
          <w:sz w:val="20"/>
          <w:szCs w:val="20"/>
        </w:rPr>
      </w:pPr>
      <w:r w:rsidRPr="00C5013C">
        <w:rPr>
          <w:sz w:val="20"/>
          <w:szCs w:val="20"/>
        </w:rPr>
        <w:t>Représentant ménage ou d’un mineur ? □ Si coché, fournir et attacher la preuve fiche signée.</w:t>
      </w:r>
    </w:p>
    <w:p w14:paraId="0A1C1A9D" w14:textId="77777777" w:rsidR="00241513" w:rsidRPr="00C5013C" w:rsidRDefault="00241513" w:rsidP="0001633E">
      <w:pPr>
        <w:pStyle w:val="Paragraphedeliste"/>
        <w:numPr>
          <w:ilvl w:val="0"/>
          <w:numId w:val="211"/>
        </w:numPr>
        <w:spacing w:before="0" w:after="160" w:line="259" w:lineRule="auto"/>
        <w:jc w:val="left"/>
        <w:rPr>
          <w:sz w:val="20"/>
          <w:szCs w:val="20"/>
        </w:rPr>
      </w:pPr>
      <w:r w:rsidRPr="00C5013C">
        <w:rPr>
          <w:sz w:val="20"/>
          <w:szCs w:val="20"/>
        </w:rPr>
        <w:t>Adresse complète :  ……………………………………………………………………………………</w:t>
      </w:r>
    </w:p>
    <w:p w14:paraId="7335A743" w14:textId="77777777" w:rsidR="00241513" w:rsidRDefault="00241513" w:rsidP="00241513">
      <w:pPr>
        <w:ind w:left="1416" w:firstLine="708"/>
        <w:rPr>
          <w:sz w:val="20"/>
          <w:szCs w:val="20"/>
        </w:rPr>
      </w:pPr>
      <w:r>
        <w:rPr>
          <w:sz w:val="20"/>
          <w:szCs w:val="20"/>
        </w:rPr>
        <w:t xml:space="preserve">          …………………………………………………………………………………..</w:t>
      </w:r>
    </w:p>
    <w:p w14:paraId="6C5EB850" w14:textId="77777777" w:rsidR="00241513" w:rsidRPr="00C5013C" w:rsidRDefault="00241513" w:rsidP="0001633E">
      <w:pPr>
        <w:pStyle w:val="Paragraphedeliste"/>
        <w:numPr>
          <w:ilvl w:val="0"/>
          <w:numId w:val="212"/>
        </w:numPr>
        <w:spacing w:before="0" w:after="160" w:line="259" w:lineRule="auto"/>
        <w:jc w:val="left"/>
        <w:rPr>
          <w:sz w:val="20"/>
          <w:szCs w:val="20"/>
        </w:rPr>
      </w:pPr>
      <w:r w:rsidRPr="00C5013C">
        <w:rPr>
          <w:sz w:val="20"/>
          <w:szCs w:val="20"/>
        </w:rPr>
        <w:t>Téléphone : ………………………………………………………………………..</w:t>
      </w:r>
    </w:p>
    <w:p w14:paraId="08D1C263" w14:textId="77777777" w:rsidR="00241513" w:rsidRPr="00C5013C" w:rsidRDefault="00241513" w:rsidP="0001633E">
      <w:pPr>
        <w:pStyle w:val="Paragraphedeliste"/>
        <w:numPr>
          <w:ilvl w:val="0"/>
          <w:numId w:val="212"/>
        </w:numPr>
        <w:spacing w:before="0" w:after="160" w:line="259" w:lineRule="auto"/>
        <w:jc w:val="left"/>
        <w:rPr>
          <w:sz w:val="20"/>
          <w:szCs w:val="20"/>
        </w:rPr>
      </w:pPr>
      <w:r w:rsidRPr="00C5013C">
        <w:rPr>
          <w:sz w:val="20"/>
          <w:szCs w:val="20"/>
        </w:rPr>
        <w:t>Nature et numéro de la pièce d’identification : ………………………………………………….</w:t>
      </w:r>
    </w:p>
    <w:p w14:paraId="721B040A" w14:textId="77777777" w:rsidR="00241513" w:rsidRDefault="00241513" w:rsidP="00241513">
      <w:pPr>
        <w:rPr>
          <w:sz w:val="20"/>
          <w:szCs w:val="20"/>
        </w:rPr>
      </w:pPr>
    </w:p>
    <w:p w14:paraId="1176D6B1" w14:textId="77777777" w:rsidR="00241513" w:rsidRPr="00C5013C" w:rsidRDefault="00241513" w:rsidP="0001633E">
      <w:pPr>
        <w:pStyle w:val="Paragraphedeliste"/>
        <w:numPr>
          <w:ilvl w:val="0"/>
          <w:numId w:val="210"/>
        </w:numPr>
        <w:spacing w:before="0" w:after="160" w:line="259" w:lineRule="auto"/>
        <w:jc w:val="left"/>
        <w:rPr>
          <w:b/>
          <w:bCs/>
          <w:sz w:val="20"/>
          <w:szCs w:val="20"/>
        </w:rPr>
      </w:pPr>
      <w:r w:rsidRPr="00C5013C">
        <w:rPr>
          <w:b/>
          <w:bCs/>
          <w:sz w:val="20"/>
          <w:szCs w:val="20"/>
        </w:rPr>
        <w:t> Nature de l’assistance apporté à la PAP</w:t>
      </w:r>
    </w:p>
    <w:tbl>
      <w:tblPr>
        <w:tblStyle w:val="Grilledutableau"/>
        <w:tblW w:w="0" w:type="auto"/>
        <w:tblLook w:val="04A0" w:firstRow="1" w:lastRow="0" w:firstColumn="1" w:lastColumn="0" w:noHBand="0" w:noVBand="1"/>
      </w:tblPr>
      <w:tblGrid>
        <w:gridCol w:w="1555"/>
        <w:gridCol w:w="7505"/>
      </w:tblGrid>
      <w:tr w:rsidR="00241513" w:rsidRPr="00C5013C" w14:paraId="287DD847" w14:textId="77777777" w:rsidTr="00527B65">
        <w:tc>
          <w:tcPr>
            <w:tcW w:w="1555" w:type="dxa"/>
          </w:tcPr>
          <w:p w14:paraId="67EFD62B" w14:textId="77777777" w:rsidR="00241513" w:rsidRPr="00C5013C" w:rsidRDefault="00241513" w:rsidP="00241513">
            <w:pPr>
              <w:jc w:val="center"/>
              <w:rPr>
                <w:b/>
                <w:bCs/>
                <w:sz w:val="20"/>
                <w:szCs w:val="20"/>
              </w:rPr>
            </w:pPr>
            <w:r w:rsidRPr="00C5013C">
              <w:rPr>
                <w:b/>
                <w:bCs/>
                <w:sz w:val="20"/>
                <w:szCs w:val="20"/>
              </w:rPr>
              <w:t>N°</w:t>
            </w:r>
          </w:p>
        </w:tc>
        <w:tc>
          <w:tcPr>
            <w:tcW w:w="7505" w:type="dxa"/>
          </w:tcPr>
          <w:p w14:paraId="76F823AF" w14:textId="77777777" w:rsidR="00241513" w:rsidRPr="00C5013C" w:rsidRDefault="00241513" w:rsidP="00241513">
            <w:pPr>
              <w:jc w:val="center"/>
              <w:rPr>
                <w:b/>
                <w:bCs/>
                <w:sz w:val="20"/>
                <w:szCs w:val="20"/>
              </w:rPr>
            </w:pPr>
            <w:r w:rsidRPr="00C5013C">
              <w:rPr>
                <w:b/>
                <w:bCs/>
                <w:sz w:val="20"/>
                <w:szCs w:val="20"/>
              </w:rPr>
              <w:t>Nature de l’assistance demandée par la PAP</w:t>
            </w:r>
          </w:p>
        </w:tc>
      </w:tr>
      <w:tr w:rsidR="00241513" w14:paraId="1648F556" w14:textId="77777777" w:rsidTr="00527B65">
        <w:trPr>
          <w:trHeight w:val="683"/>
        </w:trPr>
        <w:tc>
          <w:tcPr>
            <w:tcW w:w="1555" w:type="dxa"/>
          </w:tcPr>
          <w:p w14:paraId="7EDEDE40" w14:textId="77777777" w:rsidR="00241513" w:rsidRDefault="00241513" w:rsidP="00241513">
            <w:pPr>
              <w:rPr>
                <w:sz w:val="20"/>
                <w:szCs w:val="20"/>
              </w:rPr>
            </w:pPr>
          </w:p>
        </w:tc>
        <w:tc>
          <w:tcPr>
            <w:tcW w:w="7505" w:type="dxa"/>
          </w:tcPr>
          <w:p w14:paraId="470141DF" w14:textId="77777777" w:rsidR="00241513" w:rsidRDefault="00241513" w:rsidP="00241513">
            <w:pPr>
              <w:rPr>
                <w:sz w:val="20"/>
                <w:szCs w:val="20"/>
              </w:rPr>
            </w:pPr>
          </w:p>
        </w:tc>
      </w:tr>
      <w:tr w:rsidR="00241513" w14:paraId="6E3B6993" w14:textId="77777777" w:rsidTr="00527B65">
        <w:trPr>
          <w:trHeight w:val="721"/>
        </w:trPr>
        <w:tc>
          <w:tcPr>
            <w:tcW w:w="1555" w:type="dxa"/>
          </w:tcPr>
          <w:p w14:paraId="07F8983F" w14:textId="77777777" w:rsidR="00241513" w:rsidRDefault="00241513" w:rsidP="00241513">
            <w:pPr>
              <w:rPr>
                <w:sz w:val="20"/>
                <w:szCs w:val="20"/>
              </w:rPr>
            </w:pPr>
          </w:p>
        </w:tc>
        <w:tc>
          <w:tcPr>
            <w:tcW w:w="7505" w:type="dxa"/>
          </w:tcPr>
          <w:p w14:paraId="66F55E9C" w14:textId="77777777" w:rsidR="00241513" w:rsidRDefault="00241513" w:rsidP="00241513">
            <w:pPr>
              <w:rPr>
                <w:sz w:val="20"/>
                <w:szCs w:val="20"/>
              </w:rPr>
            </w:pPr>
          </w:p>
        </w:tc>
      </w:tr>
      <w:tr w:rsidR="00241513" w14:paraId="1FCA3EA4" w14:textId="77777777" w:rsidTr="00527B65">
        <w:trPr>
          <w:trHeight w:val="973"/>
        </w:trPr>
        <w:tc>
          <w:tcPr>
            <w:tcW w:w="1555" w:type="dxa"/>
          </w:tcPr>
          <w:p w14:paraId="784E239C" w14:textId="77777777" w:rsidR="00241513" w:rsidRDefault="00241513" w:rsidP="00241513">
            <w:pPr>
              <w:rPr>
                <w:sz w:val="20"/>
                <w:szCs w:val="20"/>
              </w:rPr>
            </w:pPr>
          </w:p>
        </w:tc>
        <w:tc>
          <w:tcPr>
            <w:tcW w:w="7505" w:type="dxa"/>
          </w:tcPr>
          <w:p w14:paraId="68B91793" w14:textId="77777777" w:rsidR="00241513" w:rsidRDefault="00241513" w:rsidP="00241513">
            <w:pPr>
              <w:rPr>
                <w:sz w:val="20"/>
                <w:szCs w:val="20"/>
              </w:rPr>
            </w:pPr>
          </w:p>
        </w:tc>
      </w:tr>
      <w:tr w:rsidR="00241513" w14:paraId="6CD4DF4C" w14:textId="77777777" w:rsidTr="00527B65">
        <w:trPr>
          <w:trHeight w:val="841"/>
        </w:trPr>
        <w:tc>
          <w:tcPr>
            <w:tcW w:w="1555" w:type="dxa"/>
          </w:tcPr>
          <w:p w14:paraId="2CD1E40F" w14:textId="77777777" w:rsidR="00241513" w:rsidRDefault="00241513" w:rsidP="00241513">
            <w:pPr>
              <w:rPr>
                <w:sz w:val="20"/>
                <w:szCs w:val="20"/>
              </w:rPr>
            </w:pPr>
          </w:p>
        </w:tc>
        <w:tc>
          <w:tcPr>
            <w:tcW w:w="7505" w:type="dxa"/>
          </w:tcPr>
          <w:p w14:paraId="0B26DC0F" w14:textId="77777777" w:rsidR="00241513" w:rsidRDefault="00241513" w:rsidP="00241513">
            <w:pPr>
              <w:rPr>
                <w:sz w:val="20"/>
                <w:szCs w:val="20"/>
              </w:rPr>
            </w:pPr>
          </w:p>
        </w:tc>
      </w:tr>
      <w:tr w:rsidR="00241513" w14:paraId="2E562F1D" w14:textId="77777777" w:rsidTr="00527B65">
        <w:trPr>
          <w:trHeight w:val="851"/>
        </w:trPr>
        <w:tc>
          <w:tcPr>
            <w:tcW w:w="1555" w:type="dxa"/>
          </w:tcPr>
          <w:p w14:paraId="3D875B20" w14:textId="77777777" w:rsidR="00241513" w:rsidRDefault="00241513" w:rsidP="00241513">
            <w:pPr>
              <w:rPr>
                <w:sz w:val="20"/>
                <w:szCs w:val="20"/>
              </w:rPr>
            </w:pPr>
          </w:p>
        </w:tc>
        <w:tc>
          <w:tcPr>
            <w:tcW w:w="7505" w:type="dxa"/>
          </w:tcPr>
          <w:p w14:paraId="0CBF9F7D" w14:textId="77777777" w:rsidR="00241513" w:rsidRDefault="00241513" w:rsidP="00241513">
            <w:pPr>
              <w:rPr>
                <w:sz w:val="20"/>
                <w:szCs w:val="20"/>
              </w:rPr>
            </w:pPr>
          </w:p>
        </w:tc>
      </w:tr>
    </w:tbl>
    <w:p w14:paraId="3B5A47EC" w14:textId="77777777" w:rsidR="00241513" w:rsidRPr="005E3221" w:rsidRDefault="00241513" w:rsidP="00241513">
      <w:pPr>
        <w:rPr>
          <w:sz w:val="20"/>
          <w:szCs w:val="20"/>
        </w:rPr>
      </w:pPr>
    </w:p>
    <w:p w14:paraId="73C59C6F" w14:textId="77777777" w:rsidR="00023853" w:rsidRPr="00023853" w:rsidRDefault="00023853" w:rsidP="00241513"/>
    <w:sectPr w:rsidR="00023853" w:rsidRPr="00023853" w:rsidSect="00B04E36">
      <w:pgSz w:w="11906" w:h="16838"/>
      <w:pgMar w:top="1418" w:right="1418" w:bottom="1276" w:left="1418" w:header="680" w:footer="680"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61173EE1" w16cex:dateUtc="2025-11-10T12:31:00Z"/>
  <w16cex:commentExtensible w16cex:durableId="061EDC26" w16cex:dateUtc="2025-11-10T12:52:00Z"/>
  <w16cex:commentExtensible w16cex:durableId="4280445B" w16cex:dateUtc="2025-11-10T12:53:00Z"/>
  <w16cex:commentExtensible w16cex:durableId="37D3E228" w16cex:dateUtc="2025-11-10T13:02:00Z"/>
  <w16cex:commentExtensible w16cex:durableId="7FA309EC" w16cex:dateUtc="2025-11-10T13:11:00Z"/>
  <w16cex:commentExtensible w16cex:durableId="64B7867C" w16cex:dateUtc="2025-11-10T13:29:00Z"/>
  <w16cex:commentExtensible w16cex:durableId="2191A0B4" w16cex:dateUtc="2025-11-10T16:23:00Z"/>
  <w16cex:commentExtensible w16cex:durableId="2CD8BCAA" w16cex:dateUtc="2025-11-10T16:25:00Z"/>
  <w16cex:commentExtensible w16cex:durableId="1BBC2A40" w16cex:dateUtc="2025-11-10T16:29:00Z"/>
  <w16cex:commentExtensible w16cex:durableId="419E1F1D" w16cex:dateUtc="2025-11-10T16:35:00Z"/>
  <w16cex:commentExtensible w16cex:durableId="3EE4327E" w16cex:dateUtc="2025-11-10T16:3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67EBC7A0" w16cid:durableId="61173EE1"/>
  <w16cid:commentId w16cid:paraId="56220F7F" w16cid:durableId="56220F7F"/>
  <w16cid:commentId w16cid:paraId="5D0F602B" w16cid:durableId="061EDC26"/>
  <w16cid:commentId w16cid:paraId="22E30203" w16cid:durableId="22E30203"/>
  <w16cid:commentId w16cid:paraId="7AED2C25" w16cid:durableId="4280445B"/>
  <w16cid:commentId w16cid:paraId="3A8119FE" w16cid:durableId="3A8119FE"/>
  <w16cid:commentId w16cid:paraId="1BFC5E09" w16cid:durableId="37D3E228"/>
  <w16cid:commentId w16cid:paraId="16703480" w16cid:durableId="16703480"/>
  <w16cid:commentId w16cid:paraId="63D5E822" w16cid:durableId="7FA309EC"/>
  <w16cid:commentId w16cid:paraId="1A218FC3" w16cid:durableId="64B7867C"/>
  <w16cid:commentId w16cid:paraId="005D2A68" w16cid:durableId="005D2A68"/>
  <w16cid:commentId w16cid:paraId="6238ED44" w16cid:durableId="2191A0B4"/>
  <w16cid:commentId w16cid:paraId="65233CAE" w16cid:durableId="2CD8BCAA"/>
  <w16cid:commentId w16cid:paraId="27533C09" w16cid:durableId="27533C09"/>
  <w16cid:commentId w16cid:paraId="531B4924" w16cid:durableId="1BBC2A40"/>
  <w16cid:commentId w16cid:paraId="0E1FE6EE" w16cid:durableId="0E1FE6EE"/>
  <w16cid:commentId w16cid:paraId="40C91F63" w16cid:durableId="419E1F1D"/>
  <w16cid:commentId w16cid:paraId="2135B8A7" w16cid:durableId="2135B8A7"/>
  <w16cid:commentId w16cid:paraId="755C49DF" w16cid:durableId="3EE4327E"/>
  <w16cid:commentId w16cid:paraId="0829ADA0" w16cid:durableId="0829ADA0"/>
  <w16cid:commentId w16cid:paraId="4533F7BA" w16cid:durableId="4533F7BA"/>
  <w16cid:commentId w16cid:paraId="0505624E" w16cid:durableId="0505624E"/>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E4348DD" w14:textId="77777777" w:rsidR="0072072F" w:rsidRDefault="0072072F" w:rsidP="00827584">
      <w:pPr>
        <w:spacing w:before="0" w:after="0" w:line="240" w:lineRule="auto"/>
      </w:pPr>
      <w:r>
        <w:separator/>
      </w:r>
    </w:p>
  </w:endnote>
  <w:endnote w:type="continuationSeparator" w:id="0">
    <w:p w14:paraId="25C3CF76" w14:textId="77777777" w:rsidR="0072072F" w:rsidRDefault="0072072F" w:rsidP="00827584">
      <w:pPr>
        <w:spacing w:before="0" w:after="0" w:line="240" w:lineRule="auto"/>
      </w:pPr>
      <w:r>
        <w:continuationSeparator/>
      </w:r>
    </w:p>
  </w:endnote>
  <w:endnote w:type="continuationNotice" w:id="1">
    <w:p w14:paraId="221761EC" w14:textId="77777777" w:rsidR="0072072F" w:rsidRDefault="0072072F">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ylfaen">
    <w:panose1 w:val="010A0502050306030303"/>
    <w:charset w:val="00"/>
    <w:family w:val="roman"/>
    <w:pitch w:val="variable"/>
    <w:sig w:usb0="04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Arial Gras">
    <w:altName w:val="Times New Roman"/>
    <w:panose1 w:val="020B0704020202020204"/>
    <w:charset w:val="00"/>
    <w:family w:val="roman"/>
    <w:pitch w:val="default"/>
  </w:font>
  <w:font w:name="MapInfo Weather">
    <w:altName w:val="Symbol"/>
    <w:charset w:val="02"/>
    <w:family w:val="roman"/>
    <w:pitch w:val="variable"/>
    <w:sig w:usb0="00000000" w:usb1="10000000" w:usb2="00000000" w:usb3="00000000" w:csb0="80000000" w:csb1="00000000"/>
  </w:font>
  <w:font w:name="Technic">
    <w:charset w:val="02"/>
    <w:family w:val="auto"/>
    <w:pitch w:val="variable"/>
    <w:sig w:usb0="00000000" w:usb1="10000000" w:usb2="00000000" w:usb3="00000000" w:csb0="80000000" w:csb1="00000000"/>
  </w:font>
  <w:font w:name="DengXian">
    <w:altName w:val="SimSun"/>
    <w:panose1 w:val="02010600030101010101"/>
    <w:charset w:val="86"/>
    <w:family w:val="auto"/>
    <w:pitch w:val="variable"/>
    <w:sig w:usb0="A00002BF" w:usb1="38CF7CFA" w:usb2="00000016" w:usb3="00000000" w:csb0="0004000F" w:csb1="00000000"/>
  </w:font>
  <w:font w:name="Cambria">
    <w:panose1 w:val="02040503050406030204"/>
    <w:charset w:val="00"/>
    <w:family w:val="roman"/>
    <w:pitch w:val="variable"/>
    <w:sig w:usb0="E00006FF" w:usb1="420024FF" w:usb2="02000000" w:usb3="00000000" w:csb0="0000019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Times">
    <w:panose1 w:val="02020603050405020304"/>
    <w:charset w:val="00"/>
    <w:family w:val="roman"/>
    <w:pitch w:val="variable"/>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orbel">
    <w:panose1 w:val="020B0503020204020204"/>
    <w:charset w:val="00"/>
    <w:family w:val="swiss"/>
    <w:pitch w:val="variable"/>
    <w:sig w:usb0="A00002EF" w:usb1="4000A44B" w:usb2="00000000" w:usb3="00000000" w:csb0="0000019F" w:csb1="00000000"/>
  </w:font>
  <w:font w:name="Bahnschrift SemiBold">
    <w:panose1 w:val="020B0502040204020203"/>
    <w:charset w:val="00"/>
    <w:family w:val="swiss"/>
    <w:pitch w:val="variable"/>
    <w:sig w:usb0="A00002C7" w:usb1="00000002"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Source Sans Pro">
    <w:altName w:val="Cambria Math"/>
    <w:charset w:val="00"/>
    <w:family w:val="swiss"/>
    <w:pitch w:val="variable"/>
    <w:sig w:usb0="600002F7" w:usb1="02000001" w:usb2="00000000" w:usb3="00000000" w:csb0="0000019F" w:csb1="00000000"/>
  </w:font>
  <w:font w:name="Bahnschrift">
    <w:panose1 w:val="020B0502040204020203"/>
    <w:charset w:val="00"/>
    <w:family w:val="swiss"/>
    <w:pitch w:val="variable"/>
    <w:sig w:usb0="A00002C7" w:usb1="00000002" w:usb2="00000000" w:usb3="00000000" w:csb0="0000019F" w:csb1="00000000"/>
  </w:font>
  <w:font w:name="Bahnschrift SemiLight Condensed">
    <w:panose1 w:val="020B0502040204020203"/>
    <w:charset w:val="00"/>
    <w:family w:val="swiss"/>
    <w:pitch w:val="variable"/>
    <w:sig w:usb0="A00002C7" w:usb1="00000002" w:usb2="00000000" w:usb3="00000000" w:csb0="0000019F" w:csb1="00000000"/>
  </w:font>
  <w:font w:name="Comic Sans MS">
    <w:panose1 w:val="030F0702030302020204"/>
    <w:charset w:val="00"/>
    <w:family w:val="script"/>
    <w:pitch w:val="variable"/>
    <w:sig w:usb0="00000287" w:usb1="00000013" w:usb2="00000000" w:usb3="00000000" w:csb0="0000009F" w:csb1="00000000"/>
  </w:font>
  <w:font w:name="HelveticaNeueLT Std Lt">
    <w:altName w:val="Arial"/>
    <w:panose1 w:val="00000000000000000000"/>
    <w:charset w:val="00"/>
    <w:family w:val="swiss"/>
    <w:notTrueType/>
    <w:pitch w:val="default"/>
    <w:sig w:usb0="00000003" w:usb1="00000000" w:usb2="00000000" w:usb3="00000000" w:csb0="00000001" w:csb1="00000000"/>
  </w:font>
  <w:font w:name="Adobe Gothic Std B">
    <w:panose1 w:val="00000000000000000000"/>
    <w:charset w:val="80"/>
    <w:family w:val="swiss"/>
    <w:notTrueType/>
    <w:pitch w:val="variable"/>
    <w:sig w:usb0="00000203" w:usb1="29D72C10" w:usb2="00000010" w:usb3="00000000" w:csb0="002A0005" w:csb1="00000000"/>
  </w:font>
  <w:font w:name="Microsoft Sans Serif">
    <w:panose1 w:val="020B0604020202020204"/>
    <w:charset w:val="00"/>
    <w:family w:val="swiss"/>
    <w:pitch w:val="variable"/>
    <w:sig w:usb0="E5002EFF" w:usb1="C000605B" w:usb2="00000029" w:usb3="00000000" w:csb0="000101FF" w:csb1="00000000"/>
  </w:font>
  <w:font w:name="Amaranth">
    <w:altName w:val="Amaranth"/>
    <w:panose1 w:val="00000000000000000000"/>
    <w:charset w:val="00"/>
    <w:family w:val="swiss"/>
    <w:notTrueType/>
    <w:pitch w:val="default"/>
    <w:sig w:usb0="00000003" w:usb1="00000000" w:usb2="00000000" w:usb3="00000000" w:csb0="00000001" w:csb1="00000000"/>
  </w:font>
  <w:font w:name="Candara">
    <w:panose1 w:val="020E0502030303020204"/>
    <w:charset w:val="00"/>
    <w:family w:val="swiss"/>
    <w:pitch w:val="variable"/>
    <w:sig w:usb0="A00002EF" w:usb1="4000A44B" w:usb2="00000000" w:usb3="00000000" w:csb0="0000019F" w:csb1="00000000"/>
  </w:font>
  <w:font w:name="Verdana">
    <w:panose1 w:val="020B0604030504040204"/>
    <w:charset w:val="00"/>
    <w:family w:val="swiss"/>
    <w:pitch w:val="variable"/>
    <w:sig w:usb0="A00006FF" w:usb1="4000205B" w:usb2="0000001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Georgia">
    <w:panose1 w:val="02040502050405020303"/>
    <w:charset w:val="00"/>
    <w:family w:val="roman"/>
    <w:pitch w:val="variable"/>
    <w:sig w:usb0="00000287" w:usb1="000000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Arial Narrow">
    <w:panose1 w:val="020B0606020202030204"/>
    <w:charset w:val="00"/>
    <w:family w:val="swiss"/>
    <w:pitch w:val="variable"/>
    <w:sig w:usb0="00000287" w:usb1="00000800" w:usb2="00000000" w:usb3="00000000" w:csb0="0000009F" w:csb1="00000000"/>
  </w:font>
  <w:font w:name="Frutiger 45 Light">
    <w:charset w:val="00"/>
    <w:family w:val="swiss"/>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Palatino">
    <w:altName w:val="Palatino Linotype"/>
    <w:charset w:val="4D"/>
    <w:family w:val="auto"/>
    <w:pitch w:val="variable"/>
    <w:sig w:usb0="A00002FF" w:usb1="7800205A" w:usb2="14600000" w:usb3="00000000" w:csb0="00000193" w:csb1="00000000"/>
  </w:font>
  <w:font w:name="Arial Unicode MS">
    <w:panose1 w:val="020B0604020202020204"/>
    <w:charset w:val="80"/>
    <w:family w:val="swiss"/>
    <w:pitch w:val="variable"/>
    <w:sig w:usb0="F7FFAFFF" w:usb1="E9DFFFFF" w:usb2="0000003F" w:usb3="00000000" w:csb0="003F01FF" w:csb1="00000000"/>
  </w:font>
  <w:font w:name="Consolas">
    <w:panose1 w:val="020B0609020204030204"/>
    <w:charset w:val="00"/>
    <w:family w:val="modern"/>
    <w:pitch w:val="fixed"/>
    <w:sig w:usb0="E00006FF" w:usb1="0000FCFF" w:usb2="00000001" w:usb3="00000000" w:csb0="0000019F" w:csb1="00000000"/>
  </w:font>
  <w:font w:name="Carlito">
    <w:altName w:val="Calibri"/>
    <w:panose1 w:val="00000000000000000000"/>
    <w:charset w:val="00"/>
    <w:family w:val="roman"/>
    <w:notTrueType/>
    <w:pitch w:val="default"/>
  </w:font>
  <w:font w:name="Aptos Narrow">
    <w:altName w:val="Arial"/>
    <w:charset w:val="00"/>
    <w:family w:val="swiss"/>
    <w:pitch w:val="variable"/>
    <w:sig w:usb0="20000287" w:usb1="00000003" w:usb2="00000000" w:usb3="00000000" w:csb0="0000019F" w:csb1="00000000"/>
  </w:font>
  <w:font w:name="Calibri (Corps)">
    <w:altName w:val="Calibri"/>
    <w:charset w:val="00"/>
    <w:family w:val="roman"/>
    <w:pitch w:val="default"/>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86901713"/>
      <w:docPartObj>
        <w:docPartGallery w:val="Page Numbers (Bottom of Page)"/>
        <w:docPartUnique/>
      </w:docPartObj>
    </w:sdtPr>
    <w:sdtEndPr/>
    <w:sdtContent>
      <w:p w14:paraId="46A8F834" w14:textId="7C77CDF4" w:rsidR="00241513" w:rsidRDefault="0072072F" w:rsidP="00163000">
        <w:pPr>
          <w:pStyle w:val="Pieddepage"/>
          <w:jc w:val="right"/>
        </w:pPr>
      </w:p>
    </w:sdtContent>
  </w:sdt>
</w:ftr>
</file>

<file path=word/footer10.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81865495"/>
      <w:docPartObj>
        <w:docPartGallery w:val="Page Numbers (Bottom of Page)"/>
        <w:docPartUnique/>
      </w:docPartObj>
    </w:sdtPr>
    <w:sdtEndPr/>
    <w:sdtContent>
      <w:p w14:paraId="1E392827" w14:textId="7DEE0E67" w:rsidR="00241513" w:rsidRDefault="00241513" w:rsidP="0080688D">
        <w:pPr>
          <w:pStyle w:val="Pieddepage"/>
          <w:spacing w:before="100"/>
          <w:jc w:val="right"/>
        </w:pPr>
        <w:r>
          <w:rPr>
            <w:noProof/>
            <w:lang w:eastAsia="fr-FR" w:bidi="ar-SA"/>
          </w:rPr>
          <w:drawing>
            <wp:inline distT="0" distB="0" distL="0" distR="0" wp14:anchorId="7B2B01BA" wp14:editId="3BEE2519">
              <wp:extent cx="1403350" cy="450215"/>
              <wp:effectExtent l="0" t="0" r="6350" b="6985"/>
              <wp:docPr id="220271568" name="Image 8" descr="LogoNove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Novec.jpg"/>
                      <pic:cNvPicPr/>
                    </pic:nvPicPr>
                    <pic:blipFill>
                      <a:blip r:embed="rId1">
                        <a:extLst>
                          <a:ext uri="{28A0092B-C50C-407E-A947-70E740481C1C}">
                            <a14:useLocalDpi xmlns:a14="http://schemas.microsoft.com/office/drawing/2010/main" val="0"/>
                          </a:ext>
                        </a:extLst>
                      </a:blip>
                      <a:stretch>
                        <a:fillRect/>
                      </a:stretch>
                    </pic:blipFill>
                    <pic:spPr>
                      <a:xfrm>
                        <a:off x="0" y="0"/>
                        <a:ext cx="1403350" cy="450215"/>
                      </a:xfrm>
                      <a:prstGeom prst="rect">
                        <a:avLst/>
                      </a:prstGeom>
                    </pic:spPr>
                  </pic:pic>
                </a:graphicData>
              </a:graphic>
            </wp:inline>
          </w:drawing>
        </w:r>
        <w:r>
          <w:tab/>
        </w:r>
        <w:r>
          <w:tab/>
        </w:r>
        <w:r>
          <w:tab/>
        </w:r>
        <w:r>
          <w:tab/>
        </w:r>
        <w:r>
          <w:tab/>
        </w:r>
        <w:r>
          <w:tab/>
        </w:r>
        <w:r>
          <w:tab/>
        </w:r>
        <w:r>
          <w:tab/>
          <w:t xml:space="preserve">Page | </w:t>
        </w:r>
        <w:r>
          <w:fldChar w:fldCharType="begin"/>
        </w:r>
        <w:r>
          <w:instrText>PAGE   \* MERGEFORMAT</w:instrText>
        </w:r>
        <w:r>
          <w:fldChar w:fldCharType="separate"/>
        </w:r>
        <w:r w:rsidR="008B44A1">
          <w:rPr>
            <w:noProof/>
          </w:rPr>
          <w:t>128</w:t>
        </w:r>
        <w:r>
          <w:fldChar w:fldCharType="end"/>
        </w:r>
        <w:r>
          <w:t xml:space="preserve"> </w:t>
        </w:r>
      </w:p>
    </w:sdtContent>
  </w:sdt>
</w:ftr>
</file>

<file path=word/footer1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33130702"/>
      <w:docPartObj>
        <w:docPartGallery w:val="Page Numbers (Bottom of Page)"/>
        <w:docPartUnique/>
      </w:docPartObj>
    </w:sdtPr>
    <w:sdtEndPr/>
    <w:sdtContent>
      <w:p w14:paraId="6A1FC4C8" w14:textId="2DE2B2D2" w:rsidR="00241513" w:rsidRDefault="00241513" w:rsidP="0080688D">
        <w:pPr>
          <w:pStyle w:val="Pieddepage"/>
          <w:spacing w:before="100"/>
          <w:jc w:val="right"/>
        </w:pPr>
        <w:r>
          <w:rPr>
            <w:noProof/>
            <w:lang w:eastAsia="fr-FR" w:bidi="ar-SA"/>
          </w:rPr>
          <w:drawing>
            <wp:inline distT="0" distB="0" distL="0" distR="0" wp14:anchorId="3F8C4ED9" wp14:editId="04B9AD7B">
              <wp:extent cx="1403350" cy="450215"/>
              <wp:effectExtent l="0" t="0" r="6350" b="6985"/>
              <wp:docPr id="220271571" name="Image 8" descr="LogoNove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Novec.jpg"/>
                      <pic:cNvPicPr/>
                    </pic:nvPicPr>
                    <pic:blipFill>
                      <a:blip r:embed="rId1">
                        <a:extLst>
                          <a:ext uri="{28A0092B-C50C-407E-A947-70E740481C1C}">
                            <a14:useLocalDpi xmlns:a14="http://schemas.microsoft.com/office/drawing/2010/main" val="0"/>
                          </a:ext>
                        </a:extLst>
                      </a:blip>
                      <a:stretch>
                        <a:fillRect/>
                      </a:stretch>
                    </pic:blipFill>
                    <pic:spPr>
                      <a:xfrm>
                        <a:off x="0" y="0"/>
                        <a:ext cx="1403350" cy="450215"/>
                      </a:xfrm>
                      <a:prstGeom prst="rect">
                        <a:avLst/>
                      </a:prstGeom>
                    </pic:spPr>
                  </pic:pic>
                </a:graphicData>
              </a:graphic>
            </wp:inline>
          </w:drawing>
        </w:r>
        <w:r>
          <w:tab/>
        </w:r>
        <w:r>
          <w:tab/>
          <w:t xml:space="preserve">Page | </w:t>
        </w:r>
        <w:r>
          <w:fldChar w:fldCharType="begin"/>
        </w:r>
        <w:r>
          <w:instrText>PAGE   \* MERGEFORMAT</w:instrText>
        </w:r>
        <w:r>
          <w:fldChar w:fldCharType="separate"/>
        </w:r>
        <w:r w:rsidR="008B44A1">
          <w:rPr>
            <w:noProof/>
          </w:rPr>
          <w:t>129</w:t>
        </w:r>
        <w:r>
          <w:fldChar w:fldCharType="end"/>
        </w:r>
        <w:r>
          <w:t xml:space="preserve"> </w:t>
        </w:r>
      </w:p>
    </w:sdtContent>
  </w:sdt>
</w:ftr>
</file>

<file path=word/footer1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70115518"/>
      <w:docPartObj>
        <w:docPartGallery w:val="Page Numbers (Bottom of Page)"/>
        <w:docPartUnique/>
      </w:docPartObj>
    </w:sdtPr>
    <w:sdtEndPr/>
    <w:sdtContent>
      <w:p w14:paraId="55307A3A" w14:textId="1AE1388B" w:rsidR="00241513" w:rsidRDefault="00241513" w:rsidP="0080688D">
        <w:pPr>
          <w:pStyle w:val="Pieddepage"/>
          <w:spacing w:before="100"/>
          <w:jc w:val="right"/>
        </w:pPr>
        <w:r>
          <w:rPr>
            <w:noProof/>
            <w:lang w:eastAsia="fr-FR" w:bidi="ar-SA"/>
          </w:rPr>
          <w:drawing>
            <wp:inline distT="0" distB="0" distL="0" distR="0" wp14:anchorId="3FCDF32A" wp14:editId="5AF661E8">
              <wp:extent cx="1403350" cy="450215"/>
              <wp:effectExtent l="0" t="0" r="6350" b="6985"/>
              <wp:docPr id="220271575" name="Image 8" descr="LogoNove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Novec.jpg"/>
                      <pic:cNvPicPr/>
                    </pic:nvPicPr>
                    <pic:blipFill>
                      <a:blip r:embed="rId1">
                        <a:extLst>
                          <a:ext uri="{28A0092B-C50C-407E-A947-70E740481C1C}">
                            <a14:useLocalDpi xmlns:a14="http://schemas.microsoft.com/office/drawing/2010/main" val="0"/>
                          </a:ext>
                        </a:extLst>
                      </a:blip>
                      <a:stretch>
                        <a:fillRect/>
                      </a:stretch>
                    </pic:blipFill>
                    <pic:spPr>
                      <a:xfrm>
                        <a:off x="0" y="0"/>
                        <a:ext cx="1403350" cy="450215"/>
                      </a:xfrm>
                      <a:prstGeom prst="rect">
                        <a:avLst/>
                      </a:prstGeom>
                    </pic:spPr>
                  </pic:pic>
                </a:graphicData>
              </a:graphic>
            </wp:inline>
          </w:drawing>
        </w:r>
        <w:r>
          <w:tab/>
        </w:r>
        <w:r>
          <w:tab/>
        </w:r>
        <w:r>
          <w:tab/>
        </w:r>
        <w:r>
          <w:tab/>
        </w:r>
        <w:r>
          <w:tab/>
        </w:r>
        <w:r>
          <w:tab/>
        </w:r>
        <w:r>
          <w:tab/>
        </w:r>
        <w:r>
          <w:tab/>
          <w:t xml:space="preserve">Page | </w:t>
        </w:r>
        <w:r>
          <w:fldChar w:fldCharType="begin"/>
        </w:r>
        <w:r>
          <w:instrText>PAGE   \* MERGEFORMAT</w:instrText>
        </w:r>
        <w:r>
          <w:fldChar w:fldCharType="separate"/>
        </w:r>
        <w:r w:rsidR="008B44A1">
          <w:rPr>
            <w:noProof/>
          </w:rPr>
          <w:t>130</w:t>
        </w:r>
        <w:r>
          <w:fldChar w:fldCharType="end"/>
        </w:r>
        <w:r>
          <w:t xml:space="preserve"> </w:t>
        </w:r>
      </w:p>
    </w:sdtContent>
  </w:sdt>
</w:ftr>
</file>

<file path=word/footer1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15222040"/>
      <w:docPartObj>
        <w:docPartGallery w:val="Page Numbers (Bottom of Page)"/>
        <w:docPartUnique/>
      </w:docPartObj>
    </w:sdtPr>
    <w:sdtEndPr/>
    <w:sdtContent>
      <w:p w14:paraId="58E4D391" w14:textId="196E36D8" w:rsidR="00241513" w:rsidRDefault="00241513" w:rsidP="0080688D">
        <w:pPr>
          <w:pStyle w:val="Pieddepage"/>
          <w:spacing w:before="100"/>
          <w:jc w:val="right"/>
        </w:pPr>
        <w:r>
          <w:rPr>
            <w:noProof/>
            <w:lang w:eastAsia="fr-FR" w:bidi="ar-SA"/>
          </w:rPr>
          <w:drawing>
            <wp:inline distT="0" distB="0" distL="0" distR="0" wp14:anchorId="5D9536B8" wp14:editId="406110E7">
              <wp:extent cx="1403350" cy="450215"/>
              <wp:effectExtent l="0" t="0" r="6350" b="6985"/>
              <wp:docPr id="220271578" name="Image 8" descr="LogoNove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Novec.jpg"/>
                      <pic:cNvPicPr/>
                    </pic:nvPicPr>
                    <pic:blipFill>
                      <a:blip r:embed="rId1">
                        <a:extLst>
                          <a:ext uri="{28A0092B-C50C-407E-A947-70E740481C1C}">
                            <a14:useLocalDpi xmlns:a14="http://schemas.microsoft.com/office/drawing/2010/main" val="0"/>
                          </a:ext>
                        </a:extLst>
                      </a:blip>
                      <a:stretch>
                        <a:fillRect/>
                      </a:stretch>
                    </pic:blipFill>
                    <pic:spPr>
                      <a:xfrm>
                        <a:off x="0" y="0"/>
                        <a:ext cx="1403350" cy="450215"/>
                      </a:xfrm>
                      <a:prstGeom prst="rect">
                        <a:avLst/>
                      </a:prstGeom>
                    </pic:spPr>
                  </pic:pic>
                </a:graphicData>
              </a:graphic>
            </wp:inline>
          </w:drawing>
        </w:r>
        <w:r>
          <w:tab/>
        </w:r>
        <w:r>
          <w:tab/>
          <w:t xml:space="preserve">Page | </w:t>
        </w:r>
        <w:r>
          <w:fldChar w:fldCharType="begin"/>
        </w:r>
        <w:r>
          <w:instrText>PAGE   \* MERGEFORMAT</w:instrText>
        </w:r>
        <w:r>
          <w:fldChar w:fldCharType="separate"/>
        </w:r>
        <w:r w:rsidR="008B44A1">
          <w:rPr>
            <w:noProof/>
          </w:rPr>
          <w:t>138</w:t>
        </w:r>
        <w:r>
          <w:fldChar w:fldCharType="end"/>
        </w:r>
        <w:r>
          <w:t xml:space="preserve"> </w:t>
        </w:r>
      </w:p>
    </w:sdtContent>
  </w:sdt>
</w:ftr>
</file>

<file path=word/footer1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99178454"/>
      <w:docPartObj>
        <w:docPartGallery w:val="Page Numbers (Bottom of Page)"/>
        <w:docPartUnique/>
      </w:docPartObj>
    </w:sdtPr>
    <w:sdtEndPr/>
    <w:sdtContent>
      <w:p w14:paraId="1230ABA4" w14:textId="798751FF" w:rsidR="00241513" w:rsidRDefault="00241513" w:rsidP="00902A43">
        <w:pPr>
          <w:pStyle w:val="Pieddepage"/>
          <w:spacing w:before="100"/>
          <w:jc w:val="left"/>
        </w:pPr>
        <w:r>
          <w:rPr>
            <w:noProof/>
            <w:lang w:eastAsia="fr-FR" w:bidi="ar-SA"/>
          </w:rPr>
          <w:drawing>
            <wp:inline distT="0" distB="0" distL="0" distR="0" wp14:anchorId="70356CF2" wp14:editId="4CA16CDC">
              <wp:extent cx="1403350" cy="450215"/>
              <wp:effectExtent l="0" t="0" r="6350" b="6985"/>
              <wp:docPr id="220271580" name="Image 8" descr="LogoNove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Novec.jpg"/>
                      <pic:cNvPicPr/>
                    </pic:nvPicPr>
                    <pic:blipFill>
                      <a:blip r:embed="rId1">
                        <a:extLst>
                          <a:ext uri="{28A0092B-C50C-407E-A947-70E740481C1C}">
                            <a14:useLocalDpi xmlns:a14="http://schemas.microsoft.com/office/drawing/2010/main" val="0"/>
                          </a:ext>
                        </a:extLst>
                      </a:blip>
                      <a:stretch>
                        <a:fillRect/>
                      </a:stretch>
                    </pic:blipFill>
                    <pic:spPr>
                      <a:xfrm>
                        <a:off x="0" y="0"/>
                        <a:ext cx="1403350" cy="450215"/>
                      </a:xfrm>
                      <a:prstGeom prst="rect">
                        <a:avLst/>
                      </a:prstGeom>
                    </pic:spPr>
                  </pic:pic>
                </a:graphicData>
              </a:graphic>
            </wp:inline>
          </w:drawing>
        </w:r>
        <w:r>
          <w:tab/>
        </w:r>
        <w:r>
          <w:tab/>
        </w:r>
        <w:r>
          <w:tab/>
        </w:r>
        <w:r>
          <w:tab/>
        </w:r>
        <w:r>
          <w:tab/>
        </w:r>
        <w:r>
          <w:tab/>
        </w:r>
        <w:r>
          <w:tab/>
        </w:r>
        <w:r>
          <w:tab/>
          <w:t xml:space="preserve">Page | </w:t>
        </w:r>
        <w:r>
          <w:fldChar w:fldCharType="begin"/>
        </w:r>
        <w:r>
          <w:instrText>PAGE   \* MERGEFORMAT</w:instrText>
        </w:r>
        <w:r>
          <w:fldChar w:fldCharType="separate"/>
        </w:r>
        <w:r w:rsidR="008B44A1">
          <w:rPr>
            <w:noProof/>
          </w:rPr>
          <w:t>139</w:t>
        </w:r>
        <w:r>
          <w:fldChar w:fldCharType="end"/>
        </w:r>
        <w:r>
          <w:t xml:space="preserve"> </w:t>
        </w:r>
      </w:p>
    </w:sdtContent>
  </w:sdt>
</w:ftr>
</file>

<file path=word/footer1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50858615"/>
      <w:docPartObj>
        <w:docPartGallery w:val="Page Numbers (Bottom of Page)"/>
        <w:docPartUnique/>
      </w:docPartObj>
    </w:sdtPr>
    <w:sdtEndPr/>
    <w:sdtContent>
      <w:p w14:paraId="3E1F38AB" w14:textId="6B890E1A" w:rsidR="00241513" w:rsidRDefault="00241513" w:rsidP="0080688D">
        <w:pPr>
          <w:pStyle w:val="Pieddepage"/>
          <w:spacing w:before="100"/>
          <w:jc w:val="right"/>
        </w:pPr>
        <w:r>
          <w:rPr>
            <w:noProof/>
            <w:lang w:eastAsia="fr-FR" w:bidi="ar-SA"/>
          </w:rPr>
          <w:drawing>
            <wp:inline distT="0" distB="0" distL="0" distR="0" wp14:anchorId="4ECDDDB9" wp14:editId="4ABFE7BC">
              <wp:extent cx="1403350" cy="450215"/>
              <wp:effectExtent l="0" t="0" r="6350" b="6985"/>
              <wp:docPr id="220271582" name="Image 8" descr="LogoNove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Novec.jpg"/>
                      <pic:cNvPicPr/>
                    </pic:nvPicPr>
                    <pic:blipFill>
                      <a:blip r:embed="rId1">
                        <a:extLst>
                          <a:ext uri="{28A0092B-C50C-407E-A947-70E740481C1C}">
                            <a14:useLocalDpi xmlns:a14="http://schemas.microsoft.com/office/drawing/2010/main" val="0"/>
                          </a:ext>
                        </a:extLst>
                      </a:blip>
                      <a:stretch>
                        <a:fillRect/>
                      </a:stretch>
                    </pic:blipFill>
                    <pic:spPr>
                      <a:xfrm>
                        <a:off x="0" y="0"/>
                        <a:ext cx="1403350" cy="450215"/>
                      </a:xfrm>
                      <a:prstGeom prst="rect">
                        <a:avLst/>
                      </a:prstGeom>
                    </pic:spPr>
                  </pic:pic>
                </a:graphicData>
              </a:graphic>
            </wp:inline>
          </w:drawing>
        </w:r>
        <w:r>
          <w:tab/>
        </w:r>
        <w:r>
          <w:tab/>
          <w:t xml:space="preserve">Page | </w:t>
        </w:r>
        <w:r>
          <w:fldChar w:fldCharType="begin"/>
        </w:r>
        <w:r>
          <w:instrText>PAGE   \* MERGEFORMAT</w:instrText>
        </w:r>
        <w:r>
          <w:fldChar w:fldCharType="separate"/>
        </w:r>
        <w:r w:rsidR="008B44A1">
          <w:rPr>
            <w:noProof/>
          </w:rPr>
          <w:t>142</w:t>
        </w:r>
        <w:r>
          <w:fldChar w:fldCharType="end"/>
        </w:r>
        <w:r>
          <w:t xml:space="preserve"> </w:t>
        </w:r>
      </w:p>
    </w:sdtContent>
  </w:sdt>
</w:ftr>
</file>

<file path=word/footer1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75445561"/>
      <w:docPartObj>
        <w:docPartGallery w:val="Page Numbers (Bottom of Page)"/>
        <w:docPartUnique/>
      </w:docPartObj>
    </w:sdtPr>
    <w:sdtEndPr/>
    <w:sdtContent>
      <w:p w14:paraId="20431941" w14:textId="5917FA05" w:rsidR="00241513" w:rsidRDefault="00241513" w:rsidP="0080688D">
        <w:pPr>
          <w:pStyle w:val="Pieddepage"/>
          <w:spacing w:before="100"/>
          <w:jc w:val="right"/>
        </w:pPr>
        <w:r>
          <w:rPr>
            <w:noProof/>
            <w:lang w:eastAsia="fr-FR" w:bidi="ar-SA"/>
          </w:rPr>
          <w:drawing>
            <wp:inline distT="0" distB="0" distL="0" distR="0" wp14:anchorId="492C88DC" wp14:editId="4C8B4D3E">
              <wp:extent cx="1403350" cy="450215"/>
              <wp:effectExtent l="0" t="0" r="6350" b="6985"/>
              <wp:docPr id="220271584" name="Image 8" descr="LogoNove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Novec.jpg"/>
                      <pic:cNvPicPr/>
                    </pic:nvPicPr>
                    <pic:blipFill>
                      <a:blip r:embed="rId1">
                        <a:extLst>
                          <a:ext uri="{28A0092B-C50C-407E-A947-70E740481C1C}">
                            <a14:useLocalDpi xmlns:a14="http://schemas.microsoft.com/office/drawing/2010/main" val="0"/>
                          </a:ext>
                        </a:extLst>
                      </a:blip>
                      <a:stretch>
                        <a:fillRect/>
                      </a:stretch>
                    </pic:blipFill>
                    <pic:spPr>
                      <a:xfrm>
                        <a:off x="0" y="0"/>
                        <a:ext cx="1403350" cy="450215"/>
                      </a:xfrm>
                      <a:prstGeom prst="rect">
                        <a:avLst/>
                      </a:prstGeom>
                    </pic:spPr>
                  </pic:pic>
                </a:graphicData>
              </a:graphic>
            </wp:inline>
          </w:drawing>
        </w:r>
        <w:r>
          <w:tab/>
        </w:r>
        <w:r>
          <w:tab/>
        </w:r>
        <w:r>
          <w:tab/>
        </w:r>
        <w:r>
          <w:tab/>
        </w:r>
        <w:r>
          <w:tab/>
        </w:r>
        <w:r>
          <w:tab/>
        </w:r>
        <w:r>
          <w:tab/>
        </w:r>
        <w:r>
          <w:tab/>
          <w:t xml:space="preserve">Page | </w:t>
        </w:r>
        <w:r>
          <w:fldChar w:fldCharType="begin"/>
        </w:r>
        <w:r>
          <w:instrText>PAGE   \* MERGEFORMAT</w:instrText>
        </w:r>
        <w:r>
          <w:fldChar w:fldCharType="separate"/>
        </w:r>
        <w:r w:rsidR="008B44A1">
          <w:rPr>
            <w:noProof/>
          </w:rPr>
          <w:t>143</w:t>
        </w:r>
        <w:r>
          <w:fldChar w:fldCharType="end"/>
        </w:r>
        <w:r>
          <w:t xml:space="preserve"> </w:t>
        </w:r>
      </w:p>
    </w:sdtContent>
  </w:sdt>
</w:ftr>
</file>

<file path=word/footer1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31076225"/>
      <w:docPartObj>
        <w:docPartGallery w:val="Page Numbers (Bottom of Page)"/>
        <w:docPartUnique/>
      </w:docPartObj>
    </w:sdtPr>
    <w:sdtEndPr/>
    <w:sdtContent>
      <w:p w14:paraId="323D2EED" w14:textId="7512DC52" w:rsidR="00241513" w:rsidRDefault="00241513" w:rsidP="0080688D">
        <w:pPr>
          <w:pStyle w:val="Pieddepage"/>
          <w:spacing w:before="100"/>
          <w:jc w:val="right"/>
        </w:pPr>
        <w:r>
          <w:rPr>
            <w:noProof/>
            <w:lang w:eastAsia="fr-FR" w:bidi="ar-SA"/>
          </w:rPr>
          <w:drawing>
            <wp:inline distT="0" distB="0" distL="0" distR="0" wp14:anchorId="4F000CDE" wp14:editId="4FFA935D">
              <wp:extent cx="1403350" cy="450215"/>
              <wp:effectExtent l="0" t="0" r="6350" b="6985"/>
              <wp:docPr id="220271586" name="Image 8" descr="LogoNove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Novec.jpg"/>
                      <pic:cNvPicPr/>
                    </pic:nvPicPr>
                    <pic:blipFill>
                      <a:blip r:embed="rId1">
                        <a:extLst>
                          <a:ext uri="{28A0092B-C50C-407E-A947-70E740481C1C}">
                            <a14:useLocalDpi xmlns:a14="http://schemas.microsoft.com/office/drawing/2010/main" val="0"/>
                          </a:ext>
                        </a:extLst>
                      </a:blip>
                      <a:stretch>
                        <a:fillRect/>
                      </a:stretch>
                    </pic:blipFill>
                    <pic:spPr>
                      <a:xfrm>
                        <a:off x="0" y="0"/>
                        <a:ext cx="1403350" cy="450215"/>
                      </a:xfrm>
                      <a:prstGeom prst="rect">
                        <a:avLst/>
                      </a:prstGeom>
                    </pic:spPr>
                  </pic:pic>
                </a:graphicData>
              </a:graphic>
            </wp:inline>
          </w:drawing>
        </w:r>
        <w:r>
          <w:tab/>
        </w:r>
        <w:r>
          <w:tab/>
          <w:t xml:space="preserve">Page | </w:t>
        </w:r>
        <w:r>
          <w:fldChar w:fldCharType="begin"/>
        </w:r>
        <w:r>
          <w:instrText>PAGE   \* MERGEFORMAT</w:instrText>
        </w:r>
        <w:r>
          <w:fldChar w:fldCharType="separate"/>
        </w:r>
        <w:r w:rsidR="008B44A1">
          <w:rPr>
            <w:noProof/>
          </w:rPr>
          <w:t>145</w:t>
        </w:r>
        <w:r>
          <w:fldChar w:fldCharType="end"/>
        </w:r>
        <w:r>
          <w:t xml:space="preserve"> </w:t>
        </w:r>
      </w:p>
    </w:sdtContent>
  </w:sdt>
</w:ftr>
</file>

<file path=word/footer1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56358494"/>
      <w:docPartObj>
        <w:docPartGallery w:val="Page Numbers (Bottom of Page)"/>
        <w:docPartUnique/>
      </w:docPartObj>
    </w:sdtPr>
    <w:sdtEndPr/>
    <w:sdtContent>
      <w:p w14:paraId="000D7229" w14:textId="198F82F6" w:rsidR="00241513" w:rsidRDefault="00241513" w:rsidP="0080688D">
        <w:pPr>
          <w:pStyle w:val="Pieddepage"/>
          <w:spacing w:before="100"/>
          <w:jc w:val="right"/>
        </w:pPr>
        <w:r>
          <w:rPr>
            <w:noProof/>
            <w:lang w:eastAsia="fr-FR" w:bidi="ar-SA"/>
          </w:rPr>
          <w:drawing>
            <wp:inline distT="0" distB="0" distL="0" distR="0" wp14:anchorId="1EE13AE1" wp14:editId="419C951E">
              <wp:extent cx="1403350" cy="450215"/>
              <wp:effectExtent l="0" t="0" r="6350" b="6985"/>
              <wp:docPr id="220271588" name="Image 8" descr="LogoNove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Novec.jpg"/>
                      <pic:cNvPicPr/>
                    </pic:nvPicPr>
                    <pic:blipFill>
                      <a:blip r:embed="rId1">
                        <a:extLst>
                          <a:ext uri="{28A0092B-C50C-407E-A947-70E740481C1C}">
                            <a14:useLocalDpi xmlns:a14="http://schemas.microsoft.com/office/drawing/2010/main" val="0"/>
                          </a:ext>
                        </a:extLst>
                      </a:blip>
                      <a:stretch>
                        <a:fillRect/>
                      </a:stretch>
                    </pic:blipFill>
                    <pic:spPr>
                      <a:xfrm>
                        <a:off x="0" y="0"/>
                        <a:ext cx="1403350" cy="450215"/>
                      </a:xfrm>
                      <a:prstGeom prst="rect">
                        <a:avLst/>
                      </a:prstGeom>
                    </pic:spPr>
                  </pic:pic>
                </a:graphicData>
              </a:graphic>
            </wp:inline>
          </w:drawing>
        </w:r>
        <w:r>
          <w:tab/>
        </w:r>
        <w:r>
          <w:tab/>
        </w:r>
        <w:r>
          <w:tab/>
        </w:r>
        <w:r>
          <w:tab/>
        </w:r>
        <w:r>
          <w:tab/>
        </w:r>
        <w:r>
          <w:tab/>
        </w:r>
        <w:r>
          <w:tab/>
        </w:r>
        <w:r>
          <w:tab/>
          <w:t xml:space="preserve">Page | </w:t>
        </w:r>
        <w:r>
          <w:fldChar w:fldCharType="begin"/>
        </w:r>
        <w:r>
          <w:instrText xml:space="preserve"> PAGE  \* Arabic  \* MERGEFORMAT </w:instrText>
        </w:r>
        <w:r>
          <w:fldChar w:fldCharType="separate"/>
        </w:r>
        <w:r w:rsidR="008B44A1">
          <w:rPr>
            <w:noProof/>
          </w:rPr>
          <w:t>159</w:t>
        </w:r>
        <w:r>
          <w:fldChar w:fldCharType="end"/>
        </w:r>
      </w:p>
    </w:sdtContent>
  </w:sdt>
</w:ftr>
</file>

<file path=word/footer1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13045355"/>
      <w:docPartObj>
        <w:docPartGallery w:val="Page Numbers (Bottom of Page)"/>
        <w:docPartUnique/>
      </w:docPartObj>
    </w:sdtPr>
    <w:sdtEndPr/>
    <w:sdtContent>
      <w:p w14:paraId="55746252" w14:textId="5EDF3945" w:rsidR="00241513" w:rsidRDefault="00241513" w:rsidP="0080688D">
        <w:pPr>
          <w:pStyle w:val="Pieddepage"/>
          <w:spacing w:before="100"/>
          <w:jc w:val="right"/>
        </w:pPr>
        <w:r>
          <w:rPr>
            <w:noProof/>
            <w:lang w:eastAsia="fr-FR" w:bidi="ar-SA"/>
          </w:rPr>
          <w:drawing>
            <wp:inline distT="0" distB="0" distL="0" distR="0" wp14:anchorId="6CECCE56" wp14:editId="53B49E52">
              <wp:extent cx="1403350" cy="450215"/>
              <wp:effectExtent l="0" t="0" r="6350" b="6985"/>
              <wp:docPr id="220271590" name="Image 8" descr="LogoNove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Novec.jpg"/>
                      <pic:cNvPicPr/>
                    </pic:nvPicPr>
                    <pic:blipFill>
                      <a:blip r:embed="rId1">
                        <a:extLst>
                          <a:ext uri="{28A0092B-C50C-407E-A947-70E740481C1C}">
                            <a14:useLocalDpi xmlns:a14="http://schemas.microsoft.com/office/drawing/2010/main" val="0"/>
                          </a:ext>
                        </a:extLst>
                      </a:blip>
                      <a:stretch>
                        <a:fillRect/>
                      </a:stretch>
                    </pic:blipFill>
                    <pic:spPr>
                      <a:xfrm>
                        <a:off x="0" y="0"/>
                        <a:ext cx="1403350" cy="450215"/>
                      </a:xfrm>
                      <a:prstGeom prst="rect">
                        <a:avLst/>
                      </a:prstGeom>
                    </pic:spPr>
                  </pic:pic>
                </a:graphicData>
              </a:graphic>
            </wp:inline>
          </w:drawing>
        </w:r>
        <w:r>
          <w:tab/>
        </w:r>
        <w:r>
          <w:tab/>
          <w:t xml:space="preserve">Page | </w:t>
        </w:r>
        <w:r>
          <w:fldChar w:fldCharType="begin"/>
        </w:r>
        <w:r>
          <w:instrText>PAGE   \* MERGEFORMAT</w:instrText>
        </w:r>
        <w:r>
          <w:fldChar w:fldCharType="separate"/>
        </w:r>
        <w:r w:rsidR="008B44A1">
          <w:rPr>
            <w:noProof/>
          </w:rPr>
          <w:t>170</w:t>
        </w:r>
        <w:r>
          <w:fldChar w:fldCharType="end"/>
        </w:r>
        <w:r>
          <w:t xml:space="preserve"> </w:t>
        </w:r>
      </w:p>
    </w:sdtContent>
  </w:sdt>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705F78" w14:textId="77777777" w:rsidR="00241513" w:rsidRPr="00BA2A5E" w:rsidRDefault="00241513" w:rsidP="000A3EA4">
    <w:pPr>
      <w:pStyle w:val="Pieddepage"/>
    </w:pPr>
  </w:p>
</w:ftr>
</file>

<file path=word/footer20.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43324202"/>
      <w:docPartObj>
        <w:docPartGallery w:val="Page Numbers (Bottom of Page)"/>
        <w:docPartUnique/>
      </w:docPartObj>
    </w:sdtPr>
    <w:sdtEndPr/>
    <w:sdtContent>
      <w:p w14:paraId="702D6377" w14:textId="53DD557B" w:rsidR="00241513" w:rsidRDefault="00241513" w:rsidP="0080688D">
        <w:pPr>
          <w:pStyle w:val="Pieddepage"/>
          <w:spacing w:before="100"/>
          <w:jc w:val="right"/>
        </w:pPr>
        <w:r>
          <w:rPr>
            <w:noProof/>
            <w:lang w:eastAsia="fr-FR" w:bidi="ar-SA"/>
          </w:rPr>
          <w:drawing>
            <wp:inline distT="0" distB="0" distL="0" distR="0" wp14:anchorId="184DBAD4" wp14:editId="79050E62">
              <wp:extent cx="1403350" cy="450215"/>
              <wp:effectExtent l="0" t="0" r="6350" b="6985"/>
              <wp:docPr id="220271592" name="Image 8" descr="LogoNove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Novec.jpg"/>
                      <pic:cNvPicPr/>
                    </pic:nvPicPr>
                    <pic:blipFill>
                      <a:blip r:embed="rId1">
                        <a:extLst>
                          <a:ext uri="{28A0092B-C50C-407E-A947-70E740481C1C}">
                            <a14:useLocalDpi xmlns:a14="http://schemas.microsoft.com/office/drawing/2010/main" val="0"/>
                          </a:ext>
                        </a:extLst>
                      </a:blip>
                      <a:stretch>
                        <a:fillRect/>
                      </a:stretch>
                    </pic:blipFill>
                    <pic:spPr>
                      <a:xfrm>
                        <a:off x="0" y="0"/>
                        <a:ext cx="1403350" cy="450215"/>
                      </a:xfrm>
                      <a:prstGeom prst="rect">
                        <a:avLst/>
                      </a:prstGeom>
                    </pic:spPr>
                  </pic:pic>
                </a:graphicData>
              </a:graphic>
            </wp:inline>
          </w:drawing>
        </w:r>
        <w:r>
          <w:tab/>
        </w:r>
        <w:r>
          <w:tab/>
        </w:r>
        <w:r>
          <w:tab/>
        </w:r>
        <w:r>
          <w:tab/>
        </w:r>
        <w:r>
          <w:tab/>
        </w:r>
        <w:r>
          <w:tab/>
        </w:r>
        <w:r>
          <w:tab/>
        </w:r>
        <w:r>
          <w:tab/>
          <w:t xml:space="preserve">Page | </w:t>
        </w:r>
        <w:r>
          <w:fldChar w:fldCharType="begin"/>
        </w:r>
        <w:r>
          <w:instrText>PAGE   \* MERGEFORMAT</w:instrText>
        </w:r>
        <w:r>
          <w:fldChar w:fldCharType="separate"/>
        </w:r>
        <w:r w:rsidR="008B44A1">
          <w:rPr>
            <w:noProof/>
          </w:rPr>
          <w:t>171</w:t>
        </w:r>
        <w:r>
          <w:fldChar w:fldCharType="end"/>
        </w:r>
        <w:r>
          <w:t xml:space="preserve"> </w:t>
        </w:r>
      </w:p>
    </w:sdtContent>
  </w:sdt>
</w:ftr>
</file>

<file path=word/footer2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7221651"/>
      <w:docPartObj>
        <w:docPartGallery w:val="Page Numbers (Bottom of Page)"/>
        <w:docPartUnique/>
      </w:docPartObj>
    </w:sdtPr>
    <w:sdtEndPr/>
    <w:sdtContent>
      <w:p w14:paraId="4306B50D" w14:textId="3CADB624" w:rsidR="00241513" w:rsidRDefault="00241513" w:rsidP="0080688D">
        <w:pPr>
          <w:pStyle w:val="Pieddepage"/>
          <w:spacing w:before="100"/>
          <w:jc w:val="right"/>
        </w:pPr>
        <w:r>
          <w:rPr>
            <w:noProof/>
            <w:lang w:eastAsia="fr-FR" w:bidi="ar-SA"/>
          </w:rPr>
          <w:drawing>
            <wp:inline distT="0" distB="0" distL="0" distR="0" wp14:anchorId="735C9833" wp14:editId="4247CC9F">
              <wp:extent cx="1403350" cy="450215"/>
              <wp:effectExtent l="0" t="0" r="6350" b="6985"/>
              <wp:docPr id="220271594" name="Image 8" descr="LogoNove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Novec.jpg"/>
                      <pic:cNvPicPr/>
                    </pic:nvPicPr>
                    <pic:blipFill>
                      <a:blip r:embed="rId1">
                        <a:extLst>
                          <a:ext uri="{28A0092B-C50C-407E-A947-70E740481C1C}">
                            <a14:useLocalDpi xmlns:a14="http://schemas.microsoft.com/office/drawing/2010/main" val="0"/>
                          </a:ext>
                        </a:extLst>
                      </a:blip>
                      <a:stretch>
                        <a:fillRect/>
                      </a:stretch>
                    </pic:blipFill>
                    <pic:spPr>
                      <a:xfrm>
                        <a:off x="0" y="0"/>
                        <a:ext cx="1403350" cy="450215"/>
                      </a:xfrm>
                      <a:prstGeom prst="rect">
                        <a:avLst/>
                      </a:prstGeom>
                    </pic:spPr>
                  </pic:pic>
                </a:graphicData>
              </a:graphic>
            </wp:inline>
          </w:drawing>
        </w:r>
        <w:r>
          <w:tab/>
        </w:r>
        <w:r>
          <w:tab/>
          <w:t xml:space="preserve">Page | </w:t>
        </w:r>
        <w:r>
          <w:fldChar w:fldCharType="begin"/>
        </w:r>
        <w:r>
          <w:instrText>PAGE   \* MERGEFORMAT</w:instrText>
        </w:r>
        <w:r>
          <w:fldChar w:fldCharType="separate"/>
        </w:r>
        <w:r w:rsidR="008B44A1">
          <w:rPr>
            <w:noProof/>
          </w:rPr>
          <w:t>172</w:t>
        </w:r>
        <w:r>
          <w:fldChar w:fldCharType="end"/>
        </w:r>
        <w:r>
          <w:t xml:space="preserve"> </w:t>
        </w:r>
      </w:p>
    </w:sdtContent>
  </w:sdt>
</w:ftr>
</file>

<file path=word/footer2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18931187"/>
      <w:docPartObj>
        <w:docPartGallery w:val="Page Numbers (Bottom of Page)"/>
        <w:docPartUnique/>
      </w:docPartObj>
    </w:sdtPr>
    <w:sdtEndPr/>
    <w:sdtContent>
      <w:p w14:paraId="5D0351F4" w14:textId="57F2AE79" w:rsidR="00241513" w:rsidRDefault="00241513" w:rsidP="0080688D">
        <w:pPr>
          <w:pStyle w:val="Pieddepage"/>
          <w:spacing w:before="100"/>
          <w:jc w:val="right"/>
        </w:pPr>
        <w:r>
          <w:rPr>
            <w:noProof/>
            <w:lang w:eastAsia="fr-FR" w:bidi="ar-SA"/>
          </w:rPr>
          <w:drawing>
            <wp:inline distT="0" distB="0" distL="0" distR="0" wp14:anchorId="636BF35A" wp14:editId="3F63AB3F">
              <wp:extent cx="1403350" cy="450215"/>
              <wp:effectExtent l="0" t="0" r="6350" b="6985"/>
              <wp:docPr id="220271596" name="Image 8" descr="LogoNove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Novec.jpg"/>
                      <pic:cNvPicPr/>
                    </pic:nvPicPr>
                    <pic:blipFill>
                      <a:blip r:embed="rId1">
                        <a:extLst>
                          <a:ext uri="{28A0092B-C50C-407E-A947-70E740481C1C}">
                            <a14:useLocalDpi xmlns:a14="http://schemas.microsoft.com/office/drawing/2010/main" val="0"/>
                          </a:ext>
                        </a:extLst>
                      </a:blip>
                      <a:stretch>
                        <a:fillRect/>
                      </a:stretch>
                    </pic:blipFill>
                    <pic:spPr>
                      <a:xfrm>
                        <a:off x="0" y="0"/>
                        <a:ext cx="1403350" cy="450215"/>
                      </a:xfrm>
                      <a:prstGeom prst="rect">
                        <a:avLst/>
                      </a:prstGeom>
                    </pic:spPr>
                  </pic:pic>
                </a:graphicData>
              </a:graphic>
            </wp:inline>
          </w:drawing>
        </w:r>
        <w:r>
          <w:tab/>
        </w:r>
        <w:r>
          <w:tab/>
        </w:r>
        <w:r>
          <w:tab/>
        </w:r>
        <w:r>
          <w:tab/>
        </w:r>
        <w:r>
          <w:tab/>
        </w:r>
        <w:r>
          <w:tab/>
        </w:r>
        <w:r>
          <w:tab/>
        </w:r>
        <w:r>
          <w:tab/>
          <w:t xml:space="preserve">Page | </w:t>
        </w:r>
        <w:r>
          <w:fldChar w:fldCharType="begin"/>
        </w:r>
        <w:r>
          <w:instrText>PAGE   \* MERGEFORMAT</w:instrText>
        </w:r>
        <w:r>
          <w:fldChar w:fldCharType="separate"/>
        </w:r>
        <w:r w:rsidR="008B44A1">
          <w:rPr>
            <w:noProof/>
          </w:rPr>
          <w:t>173</w:t>
        </w:r>
        <w:r>
          <w:fldChar w:fldCharType="end"/>
        </w:r>
        <w:r>
          <w:t xml:space="preserve"> </w:t>
        </w:r>
      </w:p>
    </w:sdtContent>
  </w:sdt>
</w:ftr>
</file>

<file path=word/footer2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53472976"/>
      <w:docPartObj>
        <w:docPartGallery w:val="Page Numbers (Bottom of Page)"/>
        <w:docPartUnique/>
      </w:docPartObj>
    </w:sdtPr>
    <w:sdtEndPr/>
    <w:sdtContent>
      <w:p w14:paraId="1671C7DB" w14:textId="1AFC5A42" w:rsidR="00241513" w:rsidRDefault="00241513" w:rsidP="0080688D">
        <w:pPr>
          <w:pStyle w:val="Pieddepage"/>
          <w:spacing w:before="100"/>
          <w:jc w:val="right"/>
        </w:pPr>
        <w:r>
          <w:rPr>
            <w:noProof/>
            <w:lang w:eastAsia="fr-FR" w:bidi="ar-SA"/>
          </w:rPr>
          <w:drawing>
            <wp:inline distT="0" distB="0" distL="0" distR="0" wp14:anchorId="260CCDB7" wp14:editId="543C9EF3">
              <wp:extent cx="1403350" cy="450215"/>
              <wp:effectExtent l="0" t="0" r="6350" b="6985"/>
              <wp:docPr id="220271598" name="Image 8" descr="LogoNove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Novec.jpg"/>
                      <pic:cNvPicPr/>
                    </pic:nvPicPr>
                    <pic:blipFill>
                      <a:blip r:embed="rId1">
                        <a:extLst>
                          <a:ext uri="{28A0092B-C50C-407E-A947-70E740481C1C}">
                            <a14:useLocalDpi xmlns:a14="http://schemas.microsoft.com/office/drawing/2010/main" val="0"/>
                          </a:ext>
                        </a:extLst>
                      </a:blip>
                      <a:stretch>
                        <a:fillRect/>
                      </a:stretch>
                    </pic:blipFill>
                    <pic:spPr>
                      <a:xfrm>
                        <a:off x="0" y="0"/>
                        <a:ext cx="1403350" cy="450215"/>
                      </a:xfrm>
                      <a:prstGeom prst="rect">
                        <a:avLst/>
                      </a:prstGeom>
                    </pic:spPr>
                  </pic:pic>
                </a:graphicData>
              </a:graphic>
            </wp:inline>
          </w:drawing>
        </w:r>
        <w:r>
          <w:tab/>
        </w:r>
        <w:r>
          <w:tab/>
          <w:t xml:space="preserve">Page | </w:t>
        </w:r>
        <w:r>
          <w:fldChar w:fldCharType="begin"/>
        </w:r>
        <w:r>
          <w:instrText>PAGE   \* MERGEFORMAT</w:instrText>
        </w:r>
        <w:r>
          <w:fldChar w:fldCharType="separate"/>
        </w:r>
        <w:r w:rsidR="008B44A1">
          <w:rPr>
            <w:noProof/>
          </w:rPr>
          <w:t>185</w:t>
        </w:r>
        <w:r>
          <w:fldChar w:fldCharType="end"/>
        </w:r>
        <w:r>
          <w:t xml:space="preserve"> </w:t>
        </w:r>
      </w:p>
    </w:sdtContent>
  </w:sdt>
</w:ftr>
</file>

<file path=word/footer2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18081149"/>
      <w:docPartObj>
        <w:docPartGallery w:val="Page Numbers (Bottom of Page)"/>
        <w:docPartUnique/>
      </w:docPartObj>
    </w:sdtPr>
    <w:sdtEndPr/>
    <w:sdtContent>
      <w:p w14:paraId="3F38D4F6" w14:textId="10C4020F" w:rsidR="00241513" w:rsidRDefault="00241513" w:rsidP="0080688D">
        <w:pPr>
          <w:pStyle w:val="Pieddepage"/>
          <w:spacing w:before="100"/>
          <w:jc w:val="right"/>
        </w:pPr>
        <w:r>
          <w:rPr>
            <w:noProof/>
            <w:lang w:eastAsia="fr-FR" w:bidi="ar-SA"/>
          </w:rPr>
          <w:drawing>
            <wp:inline distT="0" distB="0" distL="0" distR="0" wp14:anchorId="024EAB67" wp14:editId="1F122D37">
              <wp:extent cx="1403350" cy="450215"/>
              <wp:effectExtent l="0" t="0" r="6350" b="6985"/>
              <wp:docPr id="220271600" name="Image 8" descr="LogoNove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Novec.jpg"/>
                      <pic:cNvPicPr/>
                    </pic:nvPicPr>
                    <pic:blipFill>
                      <a:blip r:embed="rId1">
                        <a:extLst>
                          <a:ext uri="{28A0092B-C50C-407E-A947-70E740481C1C}">
                            <a14:useLocalDpi xmlns:a14="http://schemas.microsoft.com/office/drawing/2010/main" val="0"/>
                          </a:ext>
                        </a:extLst>
                      </a:blip>
                      <a:stretch>
                        <a:fillRect/>
                      </a:stretch>
                    </pic:blipFill>
                    <pic:spPr>
                      <a:xfrm>
                        <a:off x="0" y="0"/>
                        <a:ext cx="1403350" cy="450215"/>
                      </a:xfrm>
                      <a:prstGeom prst="rect">
                        <a:avLst/>
                      </a:prstGeom>
                    </pic:spPr>
                  </pic:pic>
                </a:graphicData>
              </a:graphic>
            </wp:inline>
          </w:drawing>
        </w:r>
        <w:r>
          <w:tab/>
        </w:r>
        <w:r>
          <w:tab/>
        </w:r>
        <w:r>
          <w:tab/>
        </w:r>
        <w:r>
          <w:tab/>
        </w:r>
        <w:r>
          <w:tab/>
        </w:r>
        <w:r>
          <w:tab/>
        </w:r>
        <w:r>
          <w:tab/>
        </w:r>
        <w:r>
          <w:tab/>
          <w:t xml:space="preserve">Page | </w:t>
        </w:r>
        <w:r>
          <w:fldChar w:fldCharType="begin"/>
        </w:r>
        <w:r>
          <w:instrText>PAGE   \* MERGEFORMAT</w:instrText>
        </w:r>
        <w:r>
          <w:fldChar w:fldCharType="separate"/>
        </w:r>
        <w:r w:rsidR="008B44A1">
          <w:rPr>
            <w:noProof/>
          </w:rPr>
          <w:t>186</w:t>
        </w:r>
        <w:r>
          <w:fldChar w:fldCharType="end"/>
        </w:r>
        <w:r>
          <w:t xml:space="preserve"> </w:t>
        </w:r>
      </w:p>
    </w:sdtContent>
  </w:sdt>
</w:ftr>
</file>

<file path=word/footer2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68594725"/>
      <w:docPartObj>
        <w:docPartGallery w:val="Page Numbers (Bottom of Page)"/>
        <w:docPartUnique/>
      </w:docPartObj>
    </w:sdtPr>
    <w:sdtEndPr/>
    <w:sdtContent>
      <w:p w14:paraId="499D5CB4" w14:textId="1A5FB654" w:rsidR="00241513" w:rsidRDefault="00241513" w:rsidP="0080688D">
        <w:pPr>
          <w:pStyle w:val="Pieddepage"/>
          <w:spacing w:before="100"/>
          <w:jc w:val="right"/>
        </w:pPr>
        <w:r>
          <w:rPr>
            <w:noProof/>
            <w:lang w:eastAsia="fr-FR" w:bidi="ar-SA"/>
          </w:rPr>
          <w:drawing>
            <wp:inline distT="0" distB="0" distL="0" distR="0" wp14:anchorId="34FA497F" wp14:editId="00E25A64">
              <wp:extent cx="1403350" cy="450215"/>
              <wp:effectExtent l="0" t="0" r="6350" b="6985"/>
              <wp:docPr id="220271602" name="Image 8" descr="LogoNove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Novec.jpg"/>
                      <pic:cNvPicPr/>
                    </pic:nvPicPr>
                    <pic:blipFill>
                      <a:blip r:embed="rId1">
                        <a:extLst>
                          <a:ext uri="{28A0092B-C50C-407E-A947-70E740481C1C}">
                            <a14:useLocalDpi xmlns:a14="http://schemas.microsoft.com/office/drawing/2010/main" val="0"/>
                          </a:ext>
                        </a:extLst>
                      </a:blip>
                      <a:stretch>
                        <a:fillRect/>
                      </a:stretch>
                    </pic:blipFill>
                    <pic:spPr>
                      <a:xfrm>
                        <a:off x="0" y="0"/>
                        <a:ext cx="1403350" cy="450215"/>
                      </a:xfrm>
                      <a:prstGeom prst="rect">
                        <a:avLst/>
                      </a:prstGeom>
                    </pic:spPr>
                  </pic:pic>
                </a:graphicData>
              </a:graphic>
            </wp:inline>
          </w:drawing>
        </w:r>
        <w:r>
          <w:tab/>
        </w:r>
        <w:r>
          <w:tab/>
          <w:t xml:space="preserve">Page | </w:t>
        </w:r>
        <w:r>
          <w:fldChar w:fldCharType="begin"/>
        </w:r>
        <w:r>
          <w:instrText>PAGE   \* MERGEFORMAT</w:instrText>
        </w:r>
        <w:r>
          <w:fldChar w:fldCharType="separate"/>
        </w:r>
        <w:r w:rsidR="008B44A1">
          <w:rPr>
            <w:noProof/>
          </w:rPr>
          <w:t>194</w:t>
        </w:r>
        <w:r>
          <w:fldChar w:fldCharType="end"/>
        </w:r>
        <w:r>
          <w:t xml:space="preserve"> </w:t>
        </w:r>
      </w:p>
    </w:sdtContent>
  </w:sdt>
</w:ftr>
</file>

<file path=word/footer2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88714623"/>
      <w:docPartObj>
        <w:docPartGallery w:val="Page Numbers (Bottom of Page)"/>
        <w:docPartUnique/>
      </w:docPartObj>
    </w:sdtPr>
    <w:sdtEndPr/>
    <w:sdtContent>
      <w:p w14:paraId="425696F7" w14:textId="341CDA86" w:rsidR="00241513" w:rsidRDefault="00241513" w:rsidP="0080688D">
        <w:pPr>
          <w:pStyle w:val="Pieddepage"/>
          <w:spacing w:before="100"/>
          <w:jc w:val="right"/>
        </w:pPr>
        <w:r>
          <w:rPr>
            <w:noProof/>
            <w:lang w:eastAsia="fr-FR" w:bidi="ar-SA"/>
          </w:rPr>
          <w:drawing>
            <wp:inline distT="0" distB="0" distL="0" distR="0" wp14:anchorId="0B0D1976" wp14:editId="109668BC">
              <wp:extent cx="1403350" cy="450215"/>
              <wp:effectExtent l="0" t="0" r="6350" b="6985"/>
              <wp:docPr id="220271604" name="Image 8" descr="LogoNove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Novec.jpg"/>
                      <pic:cNvPicPr/>
                    </pic:nvPicPr>
                    <pic:blipFill>
                      <a:blip r:embed="rId1">
                        <a:extLst>
                          <a:ext uri="{28A0092B-C50C-407E-A947-70E740481C1C}">
                            <a14:useLocalDpi xmlns:a14="http://schemas.microsoft.com/office/drawing/2010/main" val="0"/>
                          </a:ext>
                        </a:extLst>
                      </a:blip>
                      <a:stretch>
                        <a:fillRect/>
                      </a:stretch>
                    </pic:blipFill>
                    <pic:spPr>
                      <a:xfrm>
                        <a:off x="0" y="0"/>
                        <a:ext cx="1403350" cy="450215"/>
                      </a:xfrm>
                      <a:prstGeom prst="rect">
                        <a:avLst/>
                      </a:prstGeom>
                    </pic:spPr>
                  </pic:pic>
                </a:graphicData>
              </a:graphic>
            </wp:inline>
          </w:drawing>
        </w:r>
        <w:r>
          <w:tab/>
        </w:r>
        <w:r>
          <w:tab/>
        </w:r>
        <w:r>
          <w:tab/>
        </w:r>
        <w:r>
          <w:tab/>
        </w:r>
        <w:r>
          <w:tab/>
        </w:r>
        <w:r>
          <w:tab/>
        </w:r>
        <w:r>
          <w:tab/>
        </w:r>
        <w:r>
          <w:tab/>
          <w:t xml:space="preserve">Page | </w:t>
        </w:r>
        <w:r>
          <w:fldChar w:fldCharType="begin"/>
        </w:r>
        <w:r>
          <w:instrText>PAGE   \* MERGEFORMAT</w:instrText>
        </w:r>
        <w:r>
          <w:fldChar w:fldCharType="separate"/>
        </w:r>
        <w:r w:rsidR="008B44A1">
          <w:rPr>
            <w:noProof/>
          </w:rPr>
          <w:t>197</w:t>
        </w:r>
        <w:r>
          <w:fldChar w:fldCharType="end"/>
        </w:r>
        <w:r>
          <w:t xml:space="preserve"> </w:t>
        </w:r>
      </w:p>
    </w:sdtContent>
  </w:sdt>
</w:ftr>
</file>

<file path=word/footer2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6105083"/>
      <w:docPartObj>
        <w:docPartGallery w:val="Page Numbers (Bottom of Page)"/>
        <w:docPartUnique/>
      </w:docPartObj>
    </w:sdtPr>
    <w:sdtEndPr/>
    <w:sdtContent>
      <w:p w14:paraId="6F080102" w14:textId="713D48CA" w:rsidR="00241513" w:rsidRDefault="00241513" w:rsidP="0080688D">
        <w:pPr>
          <w:pStyle w:val="Pieddepage"/>
          <w:spacing w:before="100"/>
          <w:jc w:val="right"/>
        </w:pPr>
        <w:r>
          <w:rPr>
            <w:noProof/>
            <w:lang w:eastAsia="fr-FR" w:bidi="ar-SA"/>
          </w:rPr>
          <w:drawing>
            <wp:inline distT="0" distB="0" distL="0" distR="0" wp14:anchorId="211BAF07" wp14:editId="3E16586A">
              <wp:extent cx="1403350" cy="450215"/>
              <wp:effectExtent l="0" t="0" r="6350" b="6985"/>
              <wp:docPr id="220271605" name="Image 8" descr="LogoNove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Novec.jpg"/>
                      <pic:cNvPicPr/>
                    </pic:nvPicPr>
                    <pic:blipFill>
                      <a:blip r:embed="rId1">
                        <a:extLst>
                          <a:ext uri="{28A0092B-C50C-407E-A947-70E740481C1C}">
                            <a14:useLocalDpi xmlns:a14="http://schemas.microsoft.com/office/drawing/2010/main" val="0"/>
                          </a:ext>
                        </a:extLst>
                      </a:blip>
                      <a:stretch>
                        <a:fillRect/>
                      </a:stretch>
                    </pic:blipFill>
                    <pic:spPr>
                      <a:xfrm>
                        <a:off x="0" y="0"/>
                        <a:ext cx="1403350" cy="450215"/>
                      </a:xfrm>
                      <a:prstGeom prst="rect">
                        <a:avLst/>
                      </a:prstGeom>
                    </pic:spPr>
                  </pic:pic>
                </a:graphicData>
              </a:graphic>
            </wp:inline>
          </w:drawing>
        </w:r>
        <w:r>
          <w:tab/>
        </w:r>
        <w:r>
          <w:tab/>
          <w:t xml:space="preserve">Page | </w:t>
        </w:r>
        <w:r>
          <w:fldChar w:fldCharType="begin"/>
        </w:r>
        <w:r>
          <w:instrText>PAGE   \* MERGEFORMAT</w:instrText>
        </w:r>
        <w:r>
          <w:fldChar w:fldCharType="separate"/>
        </w:r>
        <w:r w:rsidR="008B44A1">
          <w:rPr>
            <w:noProof/>
          </w:rPr>
          <w:t>202</w:t>
        </w:r>
        <w:r>
          <w:fldChar w:fldCharType="end"/>
        </w:r>
        <w:r>
          <w:t xml:space="preserve"> </w:t>
        </w:r>
      </w:p>
    </w:sdtContent>
  </w:sdt>
</w:ftr>
</file>

<file path=word/footer2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9736553"/>
      <w:docPartObj>
        <w:docPartGallery w:val="Page Numbers (Bottom of Page)"/>
        <w:docPartUnique/>
      </w:docPartObj>
    </w:sdtPr>
    <w:sdtEndPr/>
    <w:sdtContent>
      <w:p w14:paraId="2739853F" w14:textId="644898F0" w:rsidR="00241513" w:rsidRDefault="00241513" w:rsidP="0080688D">
        <w:pPr>
          <w:pStyle w:val="Pieddepage"/>
          <w:spacing w:before="100"/>
          <w:jc w:val="right"/>
        </w:pPr>
        <w:r>
          <w:rPr>
            <w:noProof/>
            <w:lang w:eastAsia="fr-FR" w:bidi="ar-SA"/>
          </w:rPr>
          <w:drawing>
            <wp:inline distT="0" distB="0" distL="0" distR="0" wp14:anchorId="64B978A8" wp14:editId="3A56BCC4">
              <wp:extent cx="1403350" cy="450215"/>
              <wp:effectExtent l="0" t="0" r="6350" b="6985"/>
              <wp:docPr id="220271606" name="Image 8" descr="LogoNove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Novec.jpg"/>
                      <pic:cNvPicPr/>
                    </pic:nvPicPr>
                    <pic:blipFill>
                      <a:blip r:embed="rId1">
                        <a:extLst>
                          <a:ext uri="{28A0092B-C50C-407E-A947-70E740481C1C}">
                            <a14:useLocalDpi xmlns:a14="http://schemas.microsoft.com/office/drawing/2010/main" val="0"/>
                          </a:ext>
                        </a:extLst>
                      </a:blip>
                      <a:stretch>
                        <a:fillRect/>
                      </a:stretch>
                    </pic:blipFill>
                    <pic:spPr>
                      <a:xfrm>
                        <a:off x="0" y="0"/>
                        <a:ext cx="1403350" cy="450215"/>
                      </a:xfrm>
                      <a:prstGeom prst="rect">
                        <a:avLst/>
                      </a:prstGeom>
                    </pic:spPr>
                  </pic:pic>
                </a:graphicData>
              </a:graphic>
            </wp:inline>
          </w:drawing>
        </w:r>
        <w:r>
          <w:tab/>
        </w:r>
        <w:r>
          <w:tab/>
          <w:t xml:space="preserve">Page | </w:t>
        </w:r>
        <w:r>
          <w:fldChar w:fldCharType="begin"/>
        </w:r>
        <w:r>
          <w:instrText>PAGE   \* MERGEFORMAT</w:instrText>
        </w:r>
        <w:r>
          <w:fldChar w:fldCharType="separate"/>
        </w:r>
        <w:r w:rsidR="008B44A1">
          <w:rPr>
            <w:noProof/>
          </w:rPr>
          <w:t>211</w:t>
        </w:r>
        <w:r>
          <w:fldChar w:fldCharType="end"/>
        </w:r>
        <w:r>
          <w:t xml:space="preserve"> </w:t>
        </w:r>
      </w:p>
    </w:sdtContent>
  </w:sdt>
</w:ftr>
</file>

<file path=word/footer2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11052085"/>
      <w:docPartObj>
        <w:docPartGallery w:val="Page Numbers (Bottom of Page)"/>
        <w:docPartUnique/>
      </w:docPartObj>
    </w:sdtPr>
    <w:sdtEndPr/>
    <w:sdtContent>
      <w:p w14:paraId="242A2499" w14:textId="022C1F89" w:rsidR="00241513" w:rsidRDefault="00241513" w:rsidP="0080688D">
        <w:pPr>
          <w:pStyle w:val="Pieddepage"/>
          <w:spacing w:before="100"/>
          <w:jc w:val="right"/>
        </w:pPr>
        <w:r>
          <w:rPr>
            <w:noProof/>
            <w:lang w:eastAsia="fr-FR" w:bidi="ar-SA"/>
          </w:rPr>
          <w:drawing>
            <wp:inline distT="0" distB="0" distL="0" distR="0" wp14:anchorId="7FCAB820" wp14:editId="1F06ACD2">
              <wp:extent cx="1403350" cy="450215"/>
              <wp:effectExtent l="0" t="0" r="6350" b="6985"/>
              <wp:docPr id="220271607" name="Image 8" descr="LogoNove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Novec.jpg"/>
                      <pic:cNvPicPr/>
                    </pic:nvPicPr>
                    <pic:blipFill>
                      <a:blip r:embed="rId1">
                        <a:extLst>
                          <a:ext uri="{28A0092B-C50C-407E-A947-70E740481C1C}">
                            <a14:useLocalDpi xmlns:a14="http://schemas.microsoft.com/office/drawing/2010/main" val="0"/>
                          </a:ext>
                        </a:extLst>
                      </a:blip>
                      <a:stretch>
                        <a:fillRect/>
                      </a:stretch>
                    </pic:blipFill>
                    <pic:spPr>
                      <a:xfrm>
                        <a:off x="0" y="0"/>
                        <a:ext cx="1403350" cy="450215"/>
                      </a:xfrm>
                      <a:prstGeom prst="rect">
                        <a:avLst/>
                      </a:prstGeom>
                    </pic:spPr>
                  </pic:pic>
                </a:graphicData>
              </a:graphic>
            </wp:inline>
          </w:drawing>
        </w:r>
        <w:r>
          <w:tab/>
        </w:r>
        <w:r>
          <w:tab/>
          <w:t xml:space="preserve">Page | </w:t>
        </w:r>
        <w:r>
          <w:fldChar w:fldCharType="begin"/>
        </w:r>
        <w:r>
          <w:instrText>PAGE   \* MERGEFORMAT</w:instrText>
        </w:r>
        <w:r>
          <w:fldChar w:fldCharType="separate"/>
        </w:r>
        <w:r w:rsidR="008B44A1">
          <w:rPr>
            <w:noProof/>
          </w:rPr>
          <w:t>217</w:t>
        </w:r>
        <w:r>
          <w:fldChar w:fldCharType="end"/>
        </w:r>
        <w:r>
          <w:t xml:space="preserve"> </w:t>
        </w:r>
      </w:p>
    </w:sdtContent>
  </w:sdt>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8181098"/>
      <w:docPartObj>
        <w:docPartGallery w:val="Page Numbers (Bottom of Page)"/>
        <w:docPartUnique/>
      </w:docPartObj>
    </w:sdtPr>
    <w:sdtEndPr/>
    <w:sdtContent>
      <w:p w14:paraId="72119018" w14:textId="53940C4C" w:rsidR="00241513" w:rsidRDefault="00241513" w:rsidP="0015595B">
        <w:pPr>
          <w:pStyle w:val="Pieddepage"/>
          <w:spacing w:before="100"/>
          <w:jc w:val="right"/>
        </w:pPr>
        <w:r>
          <w:rPr>
            <w:noProof/>
            <w:lang w:eastAsia="fr-FR" w:bidi="ar-SA"/>
          </w:rPr>
          <w:drawing>
            <wp:inline distT="0" distB="0" distL="0" distR="0" wp14:anchorId="184948EA" wp14:editId="4E7EF686">
              <wp:extent cx="1403350" cy="450215"/>
              <wp:effectExtent l="0" t="0" r="6350" b="6985"/>
              <wp:docPr id="59" name="Image 8" descr="LogoNove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Novec.jpg"/>
                      <pic:cNvPicPr/>
                    </pic:nvPicPr>
                    <pic:blipFill>
                      <a:blip r:embed="rId1">
                        <a:extLst>
                          <a:ext uri="{28A0092B-C50C-407E-A947-70E740481C1C}">
                            <a14:useLocalDpi xmlns:a14="http://schemas.microsoft.com/office/drawing/2010/main" val="0"/>
                          </a:ext>
                        </a:extLst>
                      </a:blip>
                      <a:stretch>
                        <a:fillRect/>
                      </a:stretch>
                    </pic:blipFill>
                    <pic:spPr>
                      <a:xfrm>
                        <a:off x="0" y="0"/>
                        <a:ext cx="1403350" cy="450215"/>
                      </a:xfrm>
                      <a:prstGeom prst="rect">
                        <a:avLst/>
                      </a:prstGeom>
                    </pic:spPr>
                  </pic:pic>
                </a:graphicData>
              </a:graphic>
            </wp:inline>
          </w:drawing>
        </w:r>
        <w:r>
          <w:tab/>
        </w:r>
        <w:r>
          <w:tab/>
          <w:t xml:space="preserve">Page | </w:t>
        </w:r>
        <w:r>
          <w:fldChar w:fldCharType="begin"/>
        </w:r>
        <w:r>
          <w:instrText>PAGE   \* MERGEFORMAT</w:instrText>
        </w:r>
        <w:r>
          <w:fldChar w:fldCharType="separate"/>
        </w:r>
        <w:r w:rsidR="008B44A1">
          <w:rPr>
            <w:noProof/>
          </w:rPr>
          <w:t>12</w:t>
        </w:r>
        <w:r>
          <w:fldChar w:fldCharType="end"/>
        </w:r>
        <w:r>
          <w:t xml:space="preserve"> </w:t>
        </w:r>
      </w:p>
    </w:sdtContent>
  </w:sdt>
  <w:p w14:paraId="26D1DEBC" w14:textId="77777777" w:rsidR="00241513" w:rsidRPr="00BA2A5E" w:rsidRDefault="00241513" w:rsidP="000A3EA4">
    <w:pPr>
      <w:pStyle w:val="Pieddepage"/>
    </w:pPr>
  </w:p>
</w:ftr>
</file>

<file path=word/footer30.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37134481"/>
      <w:docPartObj>
        <w:docPartGallery w:val="Page Numbers (Bottom of Page)"/>
        <w:docPartUnique/>
      </w:docPartObj>
    </w:sdtPr>
    <w:sdtEndPr/>
    <w:sdtContent>
      <w:p w14:paraId="03F2C97C" w14:textId="2E5D0CF5" w:rsidR="00241513" w:rsidRDefault="00241513" w:rsidP="0080688D">
        <w:pPr>
          <w:pStyle w:val="Pieddepage"/>
          <w:spacing w:before="100"/>
          <w:jc w:val="right"/>
        </w:pPr>
        <w:r>
          <w:rPr>
            <w:noProof/>
            <w:lang w:eastAsia="fr-FR" w:bidi="ar-SA"/>
          </w:rPr>
          <w:drawing>
            <wp:inline distT="0" distB="0" distL="0" distR="0" wp14:anchorId="68EB0295" wp14:editId="1ACF01D2">
              <wp:extent cx="1403350" cy="450215"/>
              <wp:effectExtent l="0" t="0" r="6350" b="6985"/>
              <wp:docPr id="220271609" name="Image 8" descr="LogoNove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Novec.jpg"/>
                      <pic:cNvPicPr/>
                    </pic:nvPicPr>
                    <pic:blipFill>
                      <a:blip r:embed="rId1">
                        <a:extLst>
                          <a:ext uri="{28A0092B-C50C-407E-A947-70E740481C1C}">
                            <a14:useLocalDpi xmlns:a14="http://schemas.microsoft.com/office/drawing/2010/main" val="0"/>
                          </a:ext>
                        </a:extLst>
                      </a:blip>
                      <a:stretch>
                        <a:fillRect/>
                      </a:stretch>
                    </pic:blipFill>
                    <pic:spPr>
                      <a:xfrm>
                        <a:off x="0" y="0"/>
                        <a:ext cx="1403350" cy="450215"/>
                      </a:xfrm>
                      <a:prstGeom prst="rect">
                        <a:avLst/>
                      </a:prstGeom>
                    </pic:spPr>
                  </pic:pic>
                </a:graphicData>
              </a:graphic>
            </wp:inline>
          </w:drawing>
        </w:r>
        <w:r>
          <w:tab/>
        </w:r>
        <w:r>
          <w:tab/>
        </w:r>
        <w:r>
          <w:tab/>
        </w:r>
        <w:r>
          <w:tab/>
        </w:r>
        <w:r>
          <w:tab/>
        </w:r>
        <w:r>
          <w:tab/>
        </w:r>
        <w:r>
          <w:tab/>
        </w:r>
        <w:r>
          <w:tab/>
          <w:t xml:space="preserve">Page | </w:t>
        </w:r>
        <w:r>
          <w:fldChar w:fldCharType="begin"/>
        </w:r>
        <w:r>
          <w:instrText>PAGE   \* MERGEFORMAT</w:instrText>
        </w:r>
        <w:r>
          <w:fldChar w:fldCharType="separate"/>
        </w:r>
        <w:r w:rsidR="008B44A1">
          <w:rPr>
            <w:noProof/>
          </w:rPr>
          <w:t>220</w:t>
        </w:r>
        <w:r>
          <w:fldChar w:fldCharType="end"/>
        </w:r>
        <w:r>
          <w:t xml:space="preserve"> </w:t>
        </w:r>
      </w:p>
    </w:sdtContent>
  </w:sdt>
</w:ftr>
</file>

<file path=word/footer3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90812081"/>
      <w:docPartObj>
        <w:docPartGallery w:val="Page Numbers (Bottom of Page)"/>
        <w:docPartUnique/>
      </w:docPartObj>
    </w:sdtPr>
    <w:sdtEndPr/>
    <w:sdtContent>
      <w:p w14:paraId="2D4CB0EE" w14:textId="15E3D348" w:rsidR="00241513" w:rsidRDefault="00241513" w:rsidP="0080688D">
        <w:pPr>
          <w:pStyle w:val="Pieddepage"/>
          <w:spacing w:before="100"/>
          <w:jc w:val="right"/>
        </w:pPr>
        <w:r>
          <w:rPr>
            <w:noProof/>
            <w:lang w:eastAsia="fr-FR" w:bidi="ar-SA"/>
          </w:rPr>
          <w:drawing>
            <wp:inline distT="0" distB="0" distL="0" distR="0" wp14:anchorId="722C684F" wp14:editId="2CAA9457">
              <wp:extent cx="1403350" cy="450215"/>
              <wp:effectExtent l="0" t="0" r="6350" b="6985"/>
              <wp:docPr id="220271611" name="Image 8" descr="LogoNove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Novec.jpg"/>
                      <pic:cNvPicPr/>
                    </pic:nvPicPr>
                    <pic:blipFill>
                      <a:blip r:embed="rId1">
                        <a:extLst>
                          <a:ext uri="{28A0092B-C50C-407E-A947-70E740481C1C}">
                            <a14:useLocalDpi xmlns:a14="http://schemas.microsoft.com/office/drawing/2010/main" val="0"/>
                          </a:ext>
                        </a:extLst>
                      </a:blip>
                      <a:stretch>
                        <a:fillRect/>
                      </a:stretch>
                    </pic:blipFill>
                    <pic:spPr>
                      <a:xfrm>
                        <a:off x="0" y="0"/>
                        <a:ext cx="1403350" cy="450215"/>
                      </a:xfrm>
                      <a:prstGeom prst="rect">
                        <a:avLst/>
                      </a:prstGeom>
                    </pic:spPr>
                  </pic:pic>
                </a:graphicData>
              </a:graphic>
            </wp:inline>
          </w:drawing>
        </w:r>
        <w:r>
          <w:tab/>
        </w:r>
        <w:r>
          <w:tab/>
          <w:t xml:space="preserve">Page | </w:t>
        </w:r>
        <w:r>
          <w:fldChar w:fldCharType="begin"/>
        </w:r>
        <w:r>
          <w:instrText>PAGE   \* MERGEFORMAT</w:instrText>
        </w:r>
        <w:r>
          <w:fldChar w:fldCharType="separate"/>
        </w:r>
        <w:r w:rsidR="008B44A1">
          <w:rPr>
            <w:noProof/>
          </w:rPr>
          <w:t>221</w:t>
        </w:r>
        <w:r>
          <w:fldChar w:fldCharType="end"/>
        </w:r>
        <w:r>
          <w:t xml:space="preserve"> </w:t>
        </w:r>
      </w:p>
    </w:sdtContent>
  </w:sdt>
</w:ftr>
</file>

<file path=word/footer3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47379641"/>
      <w:docPartObj>
        <w:docPartGallery w:val="Page Numbers (Bottom of Page)"/>
        <w:docPartUnique/>
      </w:docPartObj>
    </w:sdtPr>
    <w:sdtEndPr/>
    <w:sdtContent>
      <w:p w14:paraId="33E7EC08" w14:textId="0821CD51" w:rsidR="00241513" w:rsidRDefault="00241513" w:rsidP="0080688D">
        <w:pPr>
          <w:pStyle w:val="Pieddepage"/>
          <w:spacing w:before="100"/>
          <w:jc w:val="right"/>
        </w:pPr>
        <w:r>
          <w:rPr>
            <w:noProof/>
            <w:lang w:eastAsia="fr-FR" w:bidi="ar-SA"/>
          </w:rPr>
          <w:drawing>
            <wp:inline distT="0" distB="0" distL="0" distR="0" wp14:anchorId="6356CD77" wp14:editId="141530EA">
              <wp:extent cx="1403350" cy="450215"/>
              <wp:effectExtent l="0" t="0" r="6350" b="6985"/>
              <wp:docPr id="220271613" name="Image 8" descr="LogoNove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Novec.jpg"/>
                      <pic:cNvPicPr/>
                    </pic:nvPicPr>
                    <pic:blipFill>
                      <a:blip r:embed="rId1">
                        <a:extLst>
                          <a:ext uri="{28A0092B-C50C-407E-A947-70E740481C1C}">
                            <a14:useLocalDpi xmlns:a14="http://schemas.microsoft.com/office/drawing/2010/main" val="0"/>
                          </a:ext>
                        </a:extLst>
                      </a:blip>
                      <a:stretch>
                        <a:fillRect/>
                      </a:stretch>
                    </pic:blipFill>
                    <pic:spPr>
                      <a:xfrm>
                        <a:off x="0" y="0"/>
                        <a:ext cx="1403350" cy="450215"/>
                      </a:xfrm>
                      <a:prstGeom prst="rect">
                        <a:avLst/>
                      </a:prstGeom>
                    </pic:spPr>
                  </pic:pic>
                </a:graphicData>
              </a:graphic>
            </wp:inline>
          </w:drawing>
        </w:r>
        <w:r>
          <w:tab/>
        </w:r>
        <w:r>
          <w:tab/>
          <w:t xml:space="preserve">Page | </w:t>
        </w:r>
        <w:r>
          <w:fldChar w:fldCharType="begin"/>
        </w:r>
        <w:r>
          <w:instrText>PAGE   \* MERGEFORMAT</w:instrText>
        </w:r>
        <w:r>
          <w:fldChar w:fldCharType="separate"/>
        </w:r>
        <w:r w:rsidR="008B44A1">
          <w:rPr>
            <w:noProof/>
          </w:rPr>
          <w:t>225</w:t>
        </w:r>
        <w:r>
          <w:fldChar w:fldCharType="end"/>
        </w:r>
        <w:r>
          <w:t xml:space="preserve"> </w:t>
        </w:r>
      </w:p>
    </w:sdtContent>
  </w:sdt>
</w:ftr>
</file>

<file path=word/footer3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48031379"/>
      <w:docPartObj>
        <w:docPartGallery w:val="Page Numbers (Bottom of Page)"/>
        <w:docPartUnique/>
      </w:docPartObj>
    </w:sdtPr>
    <w:sdtEndPr/>
    <w:sdtContent>
      <w:p w14:paraId="7C02D6DD" w14:textId="0523B7A3" w:rsidR="00241513" w:rsidRDefault="00241513" w:rsidP="0080688D">
        <w:pPr>
          <w:pStyle w:val="Pieddepage"/>
          <w:spacing w:before="100"/>
          <w:jc w:val="right"/>
        </w:pPr>
        <w:r>
          <w:rPr>
            <w:noProof/>
            <w:lang w:eastAsia="fr-FR" w:bidi="ar-SA"/>
          </w:rPr>
          <w:drawing>
            <wp:inline distT="0" distB="0" distL="0" distR="0" wp14:anchorId="13F9DB97" wp14:editId="7369FAB5">
              <wp:extent cx="1403350" cy="450215"/>
              <wp:effectExtent l="0" t="0" r="6350" b="6985"/>
              <wp:docPr id="220271615" name="Image 8" descr="LogoNove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Novec.jpg"/>
                      <pic:cNvPicPr/>
                    </pic:nvPicPr>
                    <pic:blipFill>
                      <a:blip r:embed="rId1">
                        <a:extLst>
                          <a:ext uri="{28A0092B-C50C-407E-A947-70E740481C1C}">
                            <a14:useLocalDpi xmlns:a14="http://schemas.microsoft.com/office/drawing/2010/main" val="0"/>
                          </a:ext>
                        </a:extLst>
                      </a:blip>
                      <a:stretch>
                        <a:fillRect/>
                      </a:stretch>
                    </pic:blipFill>
                    <pic:spPr>
                      <a:xfrm>
                        <a:off x="0" y="0"/>
                        <a:ext cx="1403350" cy="450215"/>
                      </a:xfrm>
                      <a:prstGeom prst="rect">
                        <a:avLst/>
                      </a:prstGeom>
                    </pic:spPr>
                  </pic:pic>
                </a:graphicData>
              </a:graphic>
            </wp:inline>
          </w:drawing>
        </w:r>
        <w:r>
          <w:tab/>
        </w:r>
        <w:r>
          <w:tab/>
          <w:t xml:space="preserve">Page | </w:t>
        </w:r>
        <w:r>
          <w:fldChar w:fldCharType="begin"/>
        </w:r>
        <w:r>
          <w:instrText>PAGE   \* MERGEFORMAT</w:instrText>
        </w:r>
        <w:r>
          <w:fldChar w:fldCharType="separate"/>
        </w:r>
        <w:r w:rsidR="008B44A1">
          <w:rPr>
            <w:noProof/>
          </w:rPr>
          <w:t>228</w:t>
        </w:r>
        <w:r>
          <w:fldChar w:fldCharType="end"/>
        </w:r>
        <w:r>
          <w:t xml:space="preserve"> </w:t>
        </w:r>
      </w:p>
    </w:sdtContent>
  </w:sdt>
</w:ftr>
</file>

<file path=word/footer3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91596943"/>
      <w:docPartObj>
        <w:docPartGallery w:val="Page Numbers (Bottom of Page)"/>
        <w:docPartUnique/>
      </w:docPartObj>
    </w:sdtPr>
    <w:sdtEndPr/>
    <w:sdtContent>
      <w:p w14:paraId="4BE6445A" w14:textId="340391DC" w:rsidR="00241513" w:rsidRDefault="00241513" w:rsidP="0080688D">
        <w:pPr>
          <w:pStyle w:val="Pieddepage"/>
          <w:spacing w:before="100"/>
          <w:jc w:val="right"/>
        </w:pPr>
        <w:r>
          <w:rPr>
            <w:noProof/>
            <w:lang w:eastAsia="fr-FR" w:bidi="ar-SA"/>
          </w:rPr>
          <w:drawing>
            <wp:inline distT="0" distB="0" distL="0" distR="0" wp14:anchorId="5BD9207D" wp14:editId="33C0358D">
              <wp:extent cx="1403350" cy="450215"/>
              <wp:effectExtent l="0" t="0" r="6350" b="6985"/>
              <wp:docPr id="65" name="Image 8" descr="LogoNove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Novec.jpg"/>
                      <pic:cNvPicPr/>
                    </pic:nvPicPr>
                    <pic:blipFill>
                      <a:blip r:embed="rId1">
                        <a:extLst>
                          <a:ext uri="{28A0092B-C50C-407E-A947-70E740481C1C}">
                            <a14:useLocalDpi xmlns:a14="http://schemas.microsoft.com/office/drawing/2010/main" val="0"/>
                          </a:ext>
                        </a:extLst>
                      </a:blip>
                      <a:stretch>
                        <a:fillRect/>
                      </a:stretch>
                    </pic:blipFill>
                    <pic:spPr>
                      <a:xfrm>
                        <a:off x="0" y="0"/>
                        <a:ext cx="1403350" cy="450215"/>
                      </a:xfrm>
                      <a:prstGeom prst="rect">
                        <a:avLst/>
                      </a:prstGeom>
                    </pic:spPr>
                  </pic:pic>
                </a:graphicData>
              </a:graphic>
            </wp:inline>
          </w:drawing>
        </w:r>
        <w:r>
          <w:tab/>
        </w:r>
        <w:r>
          <w:tab/>
          <w:t xml:space="preserve">Page | </w:t>
        </w:r>
        <w:r>
          <w:fldChar w:fldCharType="begin"/>
        </w:r>
        <w:r>
          <w:instrText>PAGE   \* MERGEFORMAT</w:instrText>
        </w:r>
        <w:r>
          <w:fldChar w:fldCharType="separate"/>
        </w:r>
        <w:r w:rsidR="008B44A1">
          <w:rPr>
            <w:noProof/>
          </w:rPr>
          <w:t>233</w:t>
        </w:r>
        <w:r>
          <w:fldChar w:fldCharType="end"/>
        </w:r>
        <w:r>
          <w:t xml:space="preserve"> </w:t>
        </w:r>
      </w:p>
    </w:sdtContent>
  </w:sdt>
</w:ftr>
</file>

<file path=word/footer3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21676998"/>
      <w:docPartObj>
        <w:docPartGallery w:val="Page Numbers (Bottom of Page)"/>
        <w:docPartUnique/>
      </w:docPartObj>
    </w:sdtPr>
    <w:sdtEndPr/>
    <w:sdtContent>
      <w:p w14:paraId="38CF15D7" w14:textId="03622138" w:rsidR="00241513" w:rsidRDefault="00241513" w:rsidP="0080688D">
        <w:pPr>
          <w:pStyle w:val="Pieddepage"/>
          <w:spacing w:before="100"/>
          <w:jc w:val="right"/>
        </w:pPr>
        <w:r>
          <w:rPr>
            <w:noProof/>
            <w:lang w:eastAsia="fr-FR" w:bidi="ar-SA"/>
          </w:rPr>
          <w:drawing>
            <wp:inline distT="0" distB="0" distL="0" distR="0" wp14:anchorId="5453F265" wp14:editId="3386E7BB">
              <wp:extent cx="1403350" cy="450215"/>
              <wp:effectExtent l="0" t="0" r="6350" b="6985"/>
              <wp:docPr id="67" name="Image 8" descr="LogoNove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Novec.jpg"/>
                      <pic:cNvPicPr/>
                    </pic:nvPicPr>
                    <pic:blipFill>
                      <a:blip r:embed="rId1">
                        <a:extLst>
                          <a:ext uri="{28A0092B-C50C-407E-A947-70E740481C1C}">
                            <a14:useLocalDpi xmlns:a14="http://schemas.microsoft.com/office/drawing/2010/main" val="0"/>
                          </a:ext>
                        </a:extLst>
                      </a:blip>
                      <a:stretch>
                        <a:fillRect/>
                      </a:stretch>
                    </pic:blipFill>
                    <pic:spPr>
                      <a:xfrm>
                        <a:off x="0" y="0"/>
                        <a:ext cx="1403350" cy="450215"/>
                      </a:xfrm>
                      <a:prstGeom prst="rect">
                        <a:avLst/>
                      </a:prstGeom>
                    </pic:spPr>
                  </pic:pic>
                </a:graphicData>
              </a:graphic>
            </wp:inline>
          </w:drawing>
        </w:r>
        <w:r>
          <w:tab/>
        </w:r>
        <w:r>
          <w:tab/>
          <w:t xml:space="preserve">Page | </w:t>
        </w:r>
        <w:r>
          <w:fldChar w:fldCharType="begin"/>
        </w:r>
        <w:r>
          <w:instrText>PAGE   \* MERGEFORMAT</w:instrText>
        </w:r>
        <w:r>
          <w:fldChar w:fldCharType="separate"/>
        </w:r>
        <w:r w:rsidR="008B44A1">
          <w:rPr>
            <w:noProof/>
          </w:rPr>
          <w:t>237</w:t>
        </w:r>
        <w:r>
          <w:fldChar w:fldCharType="end"/>
        </w:r>
        <w:r>
          <w:t xml:space="preserve"> </w:t>
        </w:r>
      </w:p>
    </w:sdtContent>
  </w:sdt>
</w:ftr>
</file>

<file path=word/footer3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03102456"/>
      <w:docPartObj>
        <w:docPartGallery w:val="Page Numbers (Bottom of Page)"/>
        <w:docPartUnique/>
      </w:docPartObj>
    </w:sdtPr>
    <w:sdtEndPr/>
    <w:sdtContent>
      <w:p w14:paraId="4B7ADCB8" w14:textId="1760A32A" w:rsidR="00241513" w:rsidRDefault="00241513" w:rsidP="0080688D">
        <w:pPr>
          <w:pStyle w:val="Pieddepage"/>
          <w:spacing w:before="100"/>
          <w:jc w:val="right"/>
        </w:pPr>
        <w:r>
          <w:rPr>
            <w:noProof/>
            <w:lang w:eastAsia="fr-FR" w:bidi="ar-SA"/>
          </w:rPr>
          <w:drawing>
            <wp:inline distT="0" distB="0" distL="0" distR="0" wp14:anchorId="17C36097" wp14:editId="3D5D3BF9">
              <wp:extent cx="1403350" cy="450215"/>
              <wp:effectExtent l="0" t="0" r="6350" b="6985"/>
              <wp:docPr id="69" name="Image 8" descr="LogoNove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Novec.jpg"/>
                      <pic:cNvPicPr/>
                    </pic:nvPicPr>
                    <pic:blipFill>
                      <a:blip r:embed="rId1">
                        <a:extLst>
                          <a:ext uri="{28A0092B-C50C-407E-A947-70E740481C1C}">
                            <a14:useLocalDpi xmlns:a14="http://schemas.microsoft.com/office/drawing/2010/main" val="0"/>
                          </a:ext>
                        </a:extLst>
                      </a:blip>
                      <a:stretch>
                        <a:fillRect/>
                      </a:stretch>
                    </pic:blipFill>
                    <pic:spPr>
                      <a:xfrm>
                        <a:off x="0" y="0"/>
                        <a:ext cx="1403350" cy="450215"/>
                      </a:xfrm>
                      <a:prstGeom prst="rect">
                        <a:avLst/>
                      </a:prstGeom>
                    </pic:spPr>
                  </pic:pic>
                </a:graphicData>
              </a:graphic>
            </wp:inline>
          </w:drawing>
        </w:r>
        <w:r>
          <w:tab/>
        </w:r>
        <w:r>
          <w:tab/>
          <w:t xml:space="preserve">Page | </w:t>
        </w:r>
        <w:r>
          <w:fldChar w:fldCharType="begin"/>
        </w:r>
        <w:r>
          <w:instrText>PAGE   \* MERGEFORMAT</w:instrText>
        </w:r>
        <w:r>
          <w:fldChar w:fldCharType="separate"/>
        </w:r>
        <w:r w:rsidR="008B44A1">
          <w:rPr>
            <w:noProof/>
          </w:rPr>
          <w:t>241</w:t>
        </w:r>
        <w:r>
          <w:fldChar w:fldCharType="end"/>
        </w:r>
        <w:r>
          <w:t xml:space="preserve"> </w:t>
        </w:r>
      </w:p>
    </w:sdtContent>
  </w:sdt>
</w:ftr>
</file>

<file path=word/footer3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45424484"/>
      <w:docPartObj>
        <w:docPartGallery w:val="Page Numbers (Bottom of Page)"/>
        <w:docPartUnique/>
      </w:docPartObj>
    </w:sdtPr>
    <w:sdtEndPr/>
    <w:sdtContent>
      <w:p w14:paraId="4FF05C70" w14:textId="7C26FD9D" w:rsidR="00241513" w:rsidRDefault="00241513" w:rsidP="0080688D">
        <w:pPr>
          <w:pStyle w:val="Pieddepage"/>
          <w:spacing w:before="100"/>
          <w:jc w:val="right"/>
        </w:pPr>
        <w:r>
          <w:rPr>
            <w:noProof/>
            <w:lang w:eastAsia="fr-FR" w:bidi="ar-SA"/>
          </w:rPr>
          <w:drawing>
            <wp:inline distT="0" distB="0" distL="0" distR="0" wp14:anchorId="531708FB" wp14:editId="35C06C49">
              <wp:extent cx="1403350" cy="450215"/>
              <wp:effectExtent l="0" t="0" r="6350" b="6985"/>
              <wp:docPr id="71" name="Image 8" descr="LogoNove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Novec.jpg"/>
                      <pic:cNvPicPr/>
                    </pic:nvPicPr>
                    <pic:blipFill>
                      <a:blip r:embed="rId1">
                        <a:extLst>
                          <a:ext uri="{28A0092B-C50C-407E-A947-70E740481C1C}">
                            <a14:useLocalDpi xmlns:a14="http://schemas.microsoft.com/office/drawing/2010/main" val="0"/>
                          </a:ext>
                        </a:extLst>
                      </a:blip>
                      <a:stretch>
                        <a:fillRect/>
                      </a:stretch>
                    </pic:blipFill>
                    <pic:spPr>
                      <a:xfrm>
                        <a:off x="0" y="0"/>
                        <a:ext cx="1403350" cy="450215"/>
                      </a:xfrm>
                      <a:prstGeom prst="rect">
                        <a:avLst/>
                      </a:prstGeom>
                    </pic:spPr>
                  </pic:pic>
                </a:graphicData>
              </a:graphic>
            </wp:inline>
          </w:drawing>
        </w:r>
        <w:r>
          <w:tab/>
        </w:r>
        <w:r>
          <w:tab/>
          <w:t xml:space="preserve">Page | </w:t>
        </w:r>
        <w:r>
          <w:fldChar w:fldCharType="begin"/>
        </w:r>
        <w:r>
          <w:instrText>PAGE   \* MERGEFORMAT</w:instrText>
        </w:r>
        <w:r>
          <w:fldChar w:fldCharType="separate"/>
        </w:r>
        <w:r w:rsidR="008B44A1">
          <w:rPr>
            <w:noProof/>
          </w:rPr>
          <w:t>246</w:t>
        </w:r>
        <w:r>
          <w:fldChar w:fldCharType="end"/>
        </w:r>
        <w:r>
          <w:t xml:space="preserve"> </w:t>
        </w:r>
      </w:p>
    </w:sdtContent>
  </w:sdt>
</w:ftr>
</file>

<file path=word/footer3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64064673"/>
      <w:docPartObj>
        <w:docPartGallery w:val="Page Numbers (Bottom of Page)"/>
        <w:docPartUnique/>
      </w:docPartObj>
    </w:sdtPr>
    <w:sdtEndPr/>
    <w:sdtContent>
      <w:p w14:paraId="0F5E4EE2" w14:textId="5CF6AA76" w:rsidR="00241513" w:rsidRDefault="00241513" w:rsidP="0080688D">
        <w:pPr>
          <w:pStyle w:val="Pieddepage"/>
          <w:spacing w:before="100"/>
          <w:jc w:val="right"/>
        </w:pPr>
        <w:r>
          <w:rPr>
            <w:noProof/>
            <w:lang w:eastAsia="fr-FR" w:bidi="ar-SA"/>
          </w:rPr>
          <w:drawing>
            <wp:inline distT="0" distB="0" distL="0" distR="0" wp14:anchorId="45D35A58" wp14:editId="583DC386">
              <wp:extent cx="1403350" cy="450215"/>
              <wp:effectExtent l="0" t="0" r="6350" b="6985"/>
              <wp:docPr id="73" name="Image 8" descr="LogoNove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Novec.jpg"/>
                      <pic:cNvPicPr/>
                    </pic:nvPicPr>
                    <pic:blipFill>
                      <a:blip r:embed="rId1">
                        <a:extLst>
                          <a:ext uri="{28A0092B-C50C-407E-A947-70E740481C1C}">
                            <a14:useLocalDpi xmlns:a14="http://schemas.microsoft.com/office/drawing/2010/main" val="0"/>
                          </a:ext>
                        </a:extLst>
                      </a:blip>
                      <a:stretch>
                        <a:fillRect/>
                      </a:stretch>
                    </pic:blipFill>
                    <pic:spPr>
                      <a:xfrm>
                        <a:off x="0" y="0"/>
                        <a:ext cx="1403350" cy="450215"/>
                      </a:xfrm>
                      <a:prstGeom prst="rect">
                        <a:avLst/>
                      </a:prstGeom>
                    </pic:spPr>
                  </pic:pic>
                </a:graphicData>
              </a:graphic>
            </wp:inline>
          </w:drawing>
        </w:r>
        <w:r>
          <w:tab/>
        </w:r>
        <w:r>
          <w:tab/>
          <w:t xml:space="preserve">Page | </w:t>
        </w:r>
        <w:r>
          <w:fldChar w:fldCharType="begin"/>
        </w:r>
        <w:r>
          <w:instrText>PAGE   \* MERGEFORMAT</w:instrText>
        </w:r>
        <w:r>
          <w:fldChar w:fldCharType="separate"/>
        </w:r>
        <w:r w:rsidR="008B44A1">
          <w:rPr>
            <w:noProof/>
          </w:rPr>
          <w:t>251</w:t>
        </w:r>
        <w:r>
          <w:fldChar w:fldCharType="end"/>
        </w:r>
        <w:r>
          <w:t xml:space="preserve"> </w:t>
        </w:r>
      </w:p>
    </w:sdtContent>
  </w:sdt>
</w:ftr>
</file>

<file path=word/footer3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29285420"/>
      <w:docPartObj>
        <w:docPartGallery w:val="Page Numbers (Bottom of Page)"/>
        <w:docPartUnique/>
      </w:docPartObj>
    </w:sdtPr>
    <w:sdtEndPr/>
    <w:sdtContent>
      <w:p w14:paraId="1AF268AD" w14:textId="0EDBF634" w:rsidR="00241513" w:rsidRDefault="00241513" w:rsidP="0080688D">
        <w:pPr>
          <w:pStyle w:val="Pieddepage"/>
          <w:spacing w:before="100"/>
          <w:jc w:val="right"/>
        </w:pPr>
        <w:r>
          <w:rPr>
            <w:noProof/>
            <w:lang w:eastAsia="fr-FR" w:bidi="ar-SA"/>
          </w:rPr>
          <w:drawing>
            <wp:inline distT="0" distB="0" distL="0" distR="0" wp14:anchorId="6F6C76BD" wp14:editId="2F141FDB">
              <wp:extent cx="1403350" cy="450215"/>
              <wp:effectExtent l="0" t="0" r="6350" b="6985"/>
              <wp:docPr id="75" name="Image 8" descr="LogoNove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Novec.jpg"/>
                      <pic:cNvPicPr/>
                    </pic:nvPicPr>
                    <pic:blipFill>
                      <a:blip r:embed="rId1">
                        <a:extLst>
                          <a:ext uri="{28A0092B-C50C-407E-A947-70E740481C1C}">
                            <a14:useLocalDpi xmlns:a14="http://schemas.microsoft.com/office/drawing/2010/main" val="0"/>
                          </a:ext>
                        </a:extLst>
                      </a:blip>
                      <a:stretch>
                        <a:fillRect/>
                      </a:stretch>
                    </pic:blipFill>
                    <pic:spPr>
                      <a:xfrm>
                        <a:off x="0" y="0"/>
                        <a:ext cx="1403350" cy="450215"/>
                      </a:xfrm>
                      <a:prstGeom prst="rect">
                        <a:avLst/>
                      </a:prstGeom>
                    </pic:spPr>
                  </pic:pic>
                </a:graphicData>
              </a:graphic>
            </wp:inline>
          </w:drawing>
        </w:r>
        <w:r>
          <w:tab/>
        </w:r>
        <w:r>
          <w:tab/>
          <w:t xml:space="preserve">Page | </w:t>
        </w:r>
        <w:r>
          <w:fldChar w:fldCharType="begin"/>
        </w:r>
        <w:r>
          <w:instrText>PAGE   \* MERGEFORMAT</w:instrText>
        </w:r>
        <w:r>
          <w:fldChar w:fldCharType="separate"/>
        </w:r>
        <w:r w:rsidR="008B44A1">
          <w:rPr>
            <w:noProof/>
          </w:rPr>
          <w:t>264</w:t>
        </w:r>
        <w:r>
          <w:fldChar w:fldCharType="end"/>
        </w:r>
        <w:r>
          <w:t xml:space="preserve"> </w:t>
        </w:r>
      </w:p>
    </w:sdtContent>
  </w:sdt>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90450153"/>
      <w:docPartObj>
        <w:docPartGallery w:val="Page Numbers (Bottom of Page)"/>
        <w:docPartUnique/>
      </w:docPartObj>
    </w:sdtPr>
    <w:sdtEndPr/>
    <w:sdtContent>
      <w:p w14:paraId="61F50423" w14:textId="4099298F" w:rsidR="00241513" w:rsidRDefault="00241513" w:rsidP="0015595B">
        <w:pPr>
          <w:pStyle w:val="Pieddepage"/>
          <w:spacing w:before="100"/>
          <w:jc w:val="right"/>
        </w:pPr>
        <w:r>
          <w:rPr>
            <w:noProof/>
            <w:lang w:eastAsia="fr-FR" w:bidi="ar-SA"/>
          </w:rPr>
          <w:drawing>
            <wp:inline distT="0" distB="0" distL="0" distR="0" wp14:anchorId="6C61D52F" wp14:editId="003C5341">
              <wp:extent cx="1403350" cy="450215"/>
              <wp:effectExtent l="0" t="0" r="6350" b="6985"/>
              <wp:docPr id="62" name="Image 8" descr="LogoNove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Novec.jpg"/>
                      <pic:cNvPicPr/>
                    </pic:nvPicPr>
                    <pic:blipFill>
                      <a:blip r:embed="rId1">
                        <a:extLst>
                          <a:ext uri="{28A0092B-C50C-407E-A947-70E740481C1C}">
                            <a14:useLocalDpi xmlns:a14="http://schemas.microsoft.com/office/drawing/2010/main" val="0"/>
                          </a:ext>
                        </a:extLst>
                      </a:blip>
                      <a:stretch>
                        <a:fillRect/>
                      </a:stretch>
                    </pic:blipFill>
                    <pic:spPr>
                      <a:xfrm>
                        <a:off x="0" y="0"/>
                        <a:ext cx="1403350" cy="450215"/>
                      </a:xfrm>
                      <a:prstGeom prst="rect">
                        <a:avLst/>
                      </a:prstGeom>
                    </pic:spPr>
                  </pic:pic>
                </a:graphicData>
              </a:graphic>
            </wp:inline>
          </w:drawing>
        </w:r>
        <w:r>
          <w:tab/>
        </w:r>
        <w:r>
          <w:tab/>
          <w:t xml:space="preserve">Page | </w:t>
        </w:r>
        <w:r>
          <w:fldChar w:fldCharType="begin"/>
        </w:r>
        <w:r>
          <w:instrText>PAGE   \* MERGEFORMAT</w:instrText>
        </w:r>
        <w:r>
          <w:fldChar w:fldCharType="separate"/>
        </w:r>
        <w:r w:rsidR="008B44A1">
          <w:rPr>
            <w:noProof/>
          </w:rPr>
          <w:t>49</w:t>
        </w:r>
        <w:r>
          <w:fldChar w:fldCharType="end"/>
        </w:r>
        <w:r>
          <w:t xml:space="preserve"> </w:t>
        </w:r>
      </w:p>
    </w:sdtContent>
  </w:sdt>
  <w:p w14:paraId="0FAC9F24" w14:textId="77777777" w:rsidR="00241513" w:rsidRPr="00BA2A5E" w:rsidRDefault="00241513" w:rsidP="000A3EA4">
    <w:pPr>
      <w:pStyle w:val="Pieddepage"/>
    </w:pPr>
  </w:p>
</w:ftr>
</file>

<file path=word/footer40.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2482558"/>
      <w:docPartObj>
        <w:docPartGallery w:val="Page Numbers (Bottom of Page)"/>
        <w:docPartUnique/>
      </w:docPartObj>
    </w:sdtPr>
    <w:sdtEndPr/>
    <w:sdtContent>
      <w:p w14:paraId="1A881E29" w14:textId="5AA3F69D" w:rsidR="00241513" w:rsidRDefault="00241513" w:rsidP="0080688D">
        <w:pPr>
          <w:pStyle w:val="Pieddepage"/>
          <w:spacing w:before="100"/>
          <w:jc w:val="right"/>
        </w:pPr>
        <w:r>
          <w:rPr>
            <w:noProof/>
            <w:lang w:eastAsia="fr-FR" w:bidi="ar-SA"/>
          </w:rPr>
          <w:drawing>
            <wp:inline distT="0" distB="0" distL="0" distR="0" wp14:anchorId="74E33355" wp14:editId="4B3538B1">
              <wp:extent cx="1403350" cy="450215"/>
              <wp:effectExtent l="0" t="0" r="6350" b="6985"/>
              <wp:docPr id="78" name="Image 8" descr="LogoNove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Novec.jpg"/>
                      <pic:cNvPicPr/>
                    </pic:nvPicPr>
                    <pic:blipFill>
                      <a:blip r:embed="rId1">
                        <a:extLst>
                          <a:ext uri="{28A0092B-C50C-407E-A947-70E740481C1C}">
                            <a14:useLocalDpi xmlns:a14="http://schemas.microsoft.com/office/drawing/2010/main" val="0"/>
                          </a:ext>
                        </a:extLst>
                      </a:blip>
                      <a:stretch>
                        <a:fillRect/>
                      </a:stretch>
                    </pic:blipFill>
                    <pic:spPr>
                      <a:xfrm>
                        <a:off x="0" y="0"/>
                        <a:ext cx="1403350" cy="450215"/>
                      </a:xfrm>
                      <a:prstGeom prst="rect">
                        <a:avLst/>
                      </a:prstGeom>
                    </pic:spPr>
                  </pic:pic>
                </a:graphicData>
              </a:graphic>
            </wp:inline>
          </w:drawing>
        </w:r>
        <w:r>
          <w:tab/>
        </w:r>
        <w:r>
          <w:tab/>
          <w:t xml:space="preserve">Page | </w:t>
        </w:r>
        <w:r>
          <w:fldChar w:fldCharType="begin"/>
        </w:r>
        <w:r>
          <w:instrText>PAGE   \* MERGEFORMAT</w:instrText>
        </w:r>
        <w:r>
          <w:fldChar w:fldCharType="separate"/>
        </w:r>
        <w:r w:rsidR="008B44A1">
          <w:rPr>
            <w:noProof/>
          </w:rPr>
          <w:t>277</w:t>
        </w:r>
        <w:r>
          <w:fldChar w:fldCharType="end"/>
        </w:r>
        <w:r>
          <w:t xml:space="preserve"> </w:t>
        </w:r>
      </w:p>
    </w:sdtContent>
  </w:sdt>
</w:ftr>
</file>

<file path=word/footer4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31104039"/>
      <w:docPartObj>
        <w:docPartGallery w:val="Page Numbers (Bottom of Page)"/>
        <w:docPartUnique/>
      </w:docPartObj>
    </w:sdtPr>
    <w:sdtEndPr/>
    <w:sdtContent>
      <w:p w14:paraId="4E16A2BD" w14:textId="678237F2" w:rsidR="00241513" w:rsidRDefault="00241513" w:rsidP="0080688D">
        <w:pPr>
          <w:pStyle w:val="Pieddepage"/>
          <w:spacing w:before="100"/>
          <w:jc w:val="right"/>
        </w:pPr>
        <w:r>
          <w:rPr>
            <w:noProof/>
            <w:lang w:eastAsia="fr-FR" w:bidi="ar-SA"/>
          </w:rPr>
          <w:drawing>
            <wp:inline distT="0" distB="0" distL="0" distR="0" wp14:anchorId="7C5D673E" wp14:editId="264EA877">
              <wp:extent cx="1403350" cy="450215"/>
              <wp:effectExtent l="0" t="0" r="6350" b="6985"/>
              <wp:docPr id="80" name="Image 8" descr="LogoNove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Novec.jpg"/>
                      <pic:cNvPicPr/>
                    </pic:nvPicPr>
                    <pic:blipFill>
                      <a:blip r:embed="rId1">
                        <a:extLst>
                          <a:ext uri="{28A0092B-C50C-407E-A947-70E740481C1C}">
                            <a14:useLocalDpi xmlns:a14="http://schemas.microsoft.com/office/drawing/2010/main" val="0"/>
                          </a:ext>
                        </a:extLst>
                      </a:blip>
                      <a:stretch>
                        <a:fillRect/>
                      </a:stretch>
                    </pic:blipFill>
                    <pic:spPr>
                      <a:xfrm>
                        <a:off x="0" y="0"/>
                        <a:ext cx="1403350" cy="450215"/>
                      </a:xfrm>
                      <a:prstGeom prst="rect">
                        <a:avLst/>
                      </a:prstGeom>
                    </pic:spPr>
                  </pic:pic>
                </a:graphicData>
              </a:graphic>
            </wp:inline>
          </w:drawing>
        </w:r>
        <w:r>
          <w:tab/>
        </w:r>
        <w:r>
          <w:tab/>
        </w:r>
        <w:r>
          <w:tab/>
        </w:r>
        <w:r>
          <w:tab/>
        </w:r>
        <w:r>
          <w:tab/>
        </w:r>
        <w:r>
          <w:tab/>
        </w:r>
        <w:r>
          <w:tab/>
        </w:r>
        <w:r>
          <w:tab/>
          <w:t xml:space="preserve">Page | </w:t>
        </w:r>
        <w:r>
          <w:fldChar w:fldCharType="begin"/>
        </w:r>
        <w:r>
          <w:instrText>PAGE   \* MERGEFORMAT</w:instrText>
        </w:r>
        <w:r>
          <w:fldChar w:fldCharType="separate"/>
        </w:r>
        <w:r w:rsidR="008B44A1">
          <w:rPr>
            <w:noProof/>
          </w:rPr>
          <w:t>279</w:t>
        </w:r>
        <w:r>
          <w:fldChar w:fldCharType="end"/>
        </w:r>
        <w:r>
          <w:t xml:space="preserve"> </w:t>
        </w:r>
      </w:p>
    </w:sdtContent>
  </w:sdt>
</w:ftr>
</file>

<file path=word/footer4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88729811"/>
      <w:docPartObj>
        <w:docPartGallery w:val="Page Numbers (Bottom of Page)"/>
        <w:docPartUnique/>
      </w:docPartObj>
    </w:sdtPr>
    <w:sdtEndPr/>
    <w:sdtContent>
      <w:p w14:paraId="47BD4302" w14:textId="3AAFF856" w:rsidR="00241513" w:rsidRDefault="00241513" w:rsidP="0080688D">
        <w:pPr>
          <w:pStyle w:val="Pieddepage"/>
          <w:spacing w:before="100"/>
          <w:jc w:val="right"/>
        </w:pPr>
        <w:r>
          <w:rPr>
            <w:noProof/>
            <w:lang w:eastAsia="fr-FR" w:bidi="ar-SA"/>
          </w:rPr>
          <w:drawing>
            <wp:inline distT="0" distB="0" distL="0" distR="0" wp14:anchorId="6DDA52A1" wp14:editId="6BA0E06C">
              <wp:extent cx="1403350" cy="450215"/>
              <wp:effectExtent l="0" t="0" r="6350" b="6985"/>
              <wp:docPr id="82" name="Image 8" descr="LogoNove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Novec.jpg"/>
                      <pic:cNvPicPr/>
                    </pic:nvPicPr>
                    <pic:blipFill>
                      <a:blip r:embed="rId1">
                        <a:extLst>
                          <a:ext uri="{28A0092B-C50C-407E-A947-70E740481C1C}">
                            <a14:useLocalDpi xmlns:a14="http://schemas.microsoft.com/office/drawing/2010/main" val="0"/>
                          </a:ext>
                        </a:extLst>
                      </a:blip>
                      <a:stretch>
                        <a:fillRect/>
                      </a:stretch>
                    </pic:blipFill>
                    <pic:spPr>
                      <a:xfrm>
                        <a:off x="0" y="0"/>
                        <a:ext cx="1403350" cy="450215"/>
                      </a:xfrm>
                      <a:prstGeom prst="rect">
                        <a:avLst/>
                      </a:prstGeom>
                    </pic:spPr>
                  </pic:pic>
                </a:graphicData>
              </a:graphic>
            </wp:inline>
          </w:drawing>
        </w:r>
        <w:r>
          <w:tab/>
        </w:r>
        <w:r>
          <w:tab/>
          <w:t xml:space="preserve">Page | </w:t>
        </w:r>
        <w:r>
          <w:fldChar w:fldCharType="begin"/>
        </w:r>
        <w:r>
          <w:instrText>PAGE   \* MERGEFORMAT</w:instrText>
        </w:r>
        <w:r>
          <w:fldChar w:fldCharType="separate"/>
        </w:r>
        <w:r w:rsidR="008B44A1">
          <w:rPr>
            <w:noProof/>
          </w:rPr>
          <w:t>288</w:t>
        </w:r>
        <w:r>
          <w:fldChar w:fldCharType="end"/>
        </w:r>
        <w:r>
          <w:t xml:space="preserve"> </w:t>
        </w:r>
      </w:p>
    </w:sdtContent>
  </w:sdt>
</w:ftr>
</file>

<file path=word/footer4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0665988"/>
      <w:docPartObj>
        <w:docPartGallery w:val="Page Numbers (Bottom of Page)"/>
        <w:docPartUnique/>
      </w:docPartObj>
    </w:sdtPr>
    <w:sdtEndPr/>
    <w:sdtContent>
      <w:p w14:paraId="63DF6F67" w14:textId="530AA8D5" w:rsidR="00241513" w:rsidRDefault="00241513" w:rsidP="0080688D">
        <w:pPr>
          <w:pStyle w:val="Pieddepage"/>
          <w:spacing w:before="100"/>
          <w:jc w:val="right"/>
        </w:pPr>
        <w:r>
          <w:rPr>
            <w:noProof/>
            <w:lang w:eastAsia="fr-FR" w:bidi="ar-SA"/>
          </w:rPr>
          <w:drawing>
            <wp:inline distT="0" distB="0" distL="0" distR="0" wp14:anchorId="586ED7D2" wp14:editId="2F5A6663">
              <wp:extent cx="1403350" cy="450215"/>
              <wp:effectExtent l="0" t="0" r="6350" b="6985"/>
              <wp:docPr id="84" name="Image 8" descr="LogoNove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Novec.jpg"/>
                      <pic:cNvPicPr/>
                    </pic:nvPicPr>
                    <pic:blipFill>
                      <a:blip r:embed="rId1">
                        <a:extLst>
                          <a:ext uri="{28A0092B-C50C-407E-A947-70E740481C1C}">
                            <a14:useLocalDpi xmlns:a14="http://schemas.microsoft.com/office/drawing/2010/main" val="0"/>
                          </a:ext>
                        </a:extLst>
                      </a:blip>
                      <a:stretch>
                        <a:fillRect/>
                      </a:stretch>
                    </pic:blipFill>
                    <pic:spPr>
                      <a:xfrm>
                        <a:off x="0" y="0"/>
                        <a:ext cx="1403350" cy="450215"/>
                      </a:xfrm>
                      <a:prstGeom prst="rect">
                        <a:avLst/>
                      </a:prstGeom>
                    </pic:spPr>
                  </pic:pic>
                </a:graphicData>
              </a:graphic>
            </wp:inline>
          </w:drawing>
        </w:r>
        <w:r>
          <w:tab/>
        </w:r>
        <w:r>
          <w:tab/>
          <w:t xml:space="preserve">Page | </w:t>
        </w:r>
        <w:r>
          <w:fldChar w:fldCharType="begin"/>
        </w:r>
        <w:r>
          <w:instrText>PAGE   \* MERGEFORMAT</w:instrText>
        </w:r>
        <w:r>
          <w:fldChar w:fldCharType="separate"/>
        </w:r>
        <w:r w:rsidR="008B44A1">
          <w:rPr>
            <w:noProof/>
          </w:rPr>
          <w:t>296</w:t>
        </w:r>
        <w:r>
          <w:fldChar w:fldCharType="end"/>
        </w:r>
        <w:r>
          <w:t xml:space="preserve"> </w:t>
        </w:r>
      </w:p>
    </w:sdtContent>
  </w:sdt>
</w:ftr>
</file>

<file path=word/footer4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64505155"/>
      <w:docPartObj>
        <w:docPartGallery w:val="Page Numbers (Bottom of Page)"/>
        <w:docPartUnique/>
      </w:docPartObj>
    </w:sdtPr>
    <w:sdtEndPr/>
    <w:sdtContent>
      <w:p w14:paraId="60CD7486" w14:textId="47AEC7D5" w:rsidR="00241513" w:rsidRDefault="00241513" w:rsidP="0080688D">
        <w:pPr>
          <w:pStyle w:val="Pieddepage"/>
          <w:spacing w:before="100"/>
          <w:jc w:val="right"/>
        </w:pPr>
        <w:r>
          <w:rPr>
            <w:noProof/>
            <w:lang w:eastAsia="fr-FR" w:bidi="ar-SA"/>
          </w:rPr>
          <w:drawing>
            <wp:inline distT="0" distB="0" distL="0" distR="0" wp14:anchorId="1567E99A" wp14:editId="4E7985F9">
              <wp:extent cx="1403350" cy="450215"/>
              <wp:effectExtent l="0" t="0" r="6350" b="6985"/>
              <wp:docPr id="87" name="Image 8" descr="LogoNove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Novec.jpg"/>
                      <pic:cNvPicPr/>
                    </pic:nvPicPr>
                    <pic:blipFill>
                      <a:blip r:embed="rId1">
                        <a:extLst>
                          <a:ext uri="{28A0092B-C50C-407E-A947-70E740481C1C}">
                            <a14:useLocalDpi xmlns:a14="http://schemas.microsoft.com/office/drawing/2010/main" val="0"/>
                          </a:ext>
                        </a:extLst>
                      </a:blip>
                      <a:stretch>
                        <a:fillRect/>
                      </a:stretch>
                    </pic:blipFill>
                    <pic:spPr>
                      <a:xfrm>
                        <a:off x="0" y="0"/>
                        <a:ext cx="1403350" cy="450215"/>
                      </a:xfrm>
                      <a:prstGeom prst="rect">
                        <a:avLst/>
                      </a:prstGeom>
                    </pic:spPr>
                  </pic:pic>
                </a:graphicData>
              </a:graphic>
            </wp:inline>
          </w:drawing>
        </w:r>
        <w:r>
          <w:tab/>
        </w:r>
        <w:r>
          <w:tab/>
          <w:t xml:space="preserve">Page | </w:t>
        </w:r>
        <w:r>
          <w:fldChar w:fldCharType="begin"/>
        </w:r>
        <w:r>
          <w:instrText>PAGE   \* MERGEFORMAT</w:instrText>
        </w:r>
        <w:r>
          <w:fldChar w:fldCharType="separate"/>
        </w:r>
        <w:r w:rsidR="008B44A1">
          <w:rPr>
            <w:noProof/>
          </w:rPr>
          <w:t>301</w:t>
        </w:r>
        <w:r>
          <w:fldChar w:fldCharType="end"/>
        </w:r>
        <w:r>
          <w:t xml:space="preserve"> </w:t>
        </w:r>
      </w:p>
    </w:sdtContent>
  </w:sdt>
</w:ftr>
</file>

<file path=word/footer4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76533669"/>
      <w:docPartObj>
        <w:docPartGallery w:val="Page Numbers (Bottom of Page)"/>
        <w:docPartUnique/>
      </w:docPartObj>
    </w:sdtPr>
    <w:sdtEndPr/>
    <w:sdtContent>
      <w:p w14:paraId="7BCE04C5" w14:textId="35B5EB72" w:rsidR="00241513" w:rsidRDefault="00241513" w:rsidP="0080688D">
        <w:pPr>
          <w:pStyle w:val="Pieddepage"/>
          <w:spacing w:before="100"/>
          <w:jc w:val="right"/>
        </w:pPr>
        <w:r>
          <w:rPr>
            <w:noProof/>
            <w:lang w:eastAsia="fr-FR" w:bidi="ar-SA"/>
          </w:rPr>
          <w:drawing>
            <wp:inline distT="0" distB="0" distL="0" distR="0" wp14:anchorId="14F59663" wp14:editId="2C970113">
              <wp:extent cx="1403350" cy="450215"/>
              <wp:effectExtent l="0" t="0" r="6350" b="6985"/>
              <wp:docPr id="89" name="Image 8" descr="LogoNove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Novec.jpg"/>
                      <pic:cNvPicPr/>
                    </pic:nvPicPr>
                    <pic:blipFill>
                      <a:blip r:embed="rId1">
                        <a:extLst>
                          <a:ext uri="{28A0092B-C50C-407E-A947-70E740481C1C}">
                            <a14:useLocalDpi xmlns:a14="http://schemas.microsoft.com/office/drawing/2010/main" val="0"/>
                          </a:ext>
                        </a:extLst>
                      </a:blip>
                      <a:stretch>
                        <a:fillRect/>
                      </a:stretch>
                    </pic:blipFill>
                    <pic:spPr>
                      <a:xfrm>
                        <a:off x="0" y="0"/>
                        <a:ext cx="1403350" cy="450215"/>
                      </a:xfrm>
                      <a:prstGeom prst="rect">
                        <a:avLst/>
                      </a:prstGeom>
                    </pic:spPr>
                  </pic:pic>
                </a:graphicData>
              </a:graphic>
            </wp:inline>
          </w:drawing>
        </w:r>
        <w:r>
          <w:tab/>
        </w:r>
        <w:r>
          <w:tab/>
          <w:t xml:space="preserve">Page | </w:t>
        </w:r>
        <w:r>
          <w:fldChar w:fldCharType="begin"/>
        </w:r>
        <w:r>
          <w:instrText>PAGE   \* MERGEFORMAT</w:instrText>
        </w:r>
        <w:r>
          <w:fldChar w:fldCharType="separate"/>
        </w:r>
        <w:r w:rsidR="008B44A1">
          <w:rPr>
            <w:noProof/>
          </w:rPr>
          <w:t>322</w:t>
        </w:r>
        <w:r>
          <w:fldChar w:fldCharType="end"/>
        </w:r>
        <w:r>
          <w:t xml:space="preserve"> </w:t>
        </w:r>
      </w:p>
    </w:sdtContent>
  </w:sdt>
</w:ftr>
</file>

<file path=word/footer4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32552176"/>
      <w:docPartObj>
        <w:docPartGallery w:val="Page Numbers (Bottom of Page)"/>
        <w:docPartUnique/>
      </w:docPartObj>
    </w:sdtPr>
    <w:sdtEndPr/>
    <w:sdtContent>
      <w:p w14:paraId="69B50B96" w14:textId="3A80BBC1" w:rsidR="00241513" w:rsidRDefault="00241513" w:rsidP="0080688D">
        <w:pPr>
          <w:pStyle w:val="Pieddepage"/>
          <w:spacing w:before="100"/>
          <w:jc w:val="right"/>
        </w:pPr>
        <w:r>
          <w:rPr>
            <w:noProof/>
            <w:lang w:eastAsia="fr-FR" w:bidi="ar-SA"/>
          </w:rPr>
          <w:drawing>
            <wp:inline distT="0" distB="0" distL="0" distR="0" wp14:anchorId="618A793E" wp14:editId="185A341D">
              <wp:extent cx="1403350" cy="450215"/>
              <wp:effectExtent l="0" t="0" r="6350" b="6985"/>
              <wp:docPr id="91" name="Image 8" descr="LogoNove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Novec.jpg"/>
                      <pic:cNvPicPr/>
                    </pic:nvPicPr>
                    <pic:blipFill>
                      <a:blip r:embed="rId1">
                        <a:extLst>
                          <a:ext uri="{28A0092B-C50C-407E-A947-70E740481C1C}">
                            <a14:useLocalDpi xmlns:a14="http://schemas.microsoft.com/office/drawing/2010/main" val="0"/>
                          </a:ext>
                        </a:extLst>
                      </a:blip>
                      <a:stretch>
                        <a:fillRect/>
                      </a:stretch>
                    </pic:blipFill>
                    <pic:spPr>
                      <a:xfrm>
                        <a:off x="0" y="0"/>
                        <a:ext cx="1403350" cy="450215"/>
                      </a:xfrm>
                      <a:prstGeom prst="rect">
                        <a:avLst/>
                      </a:prstGeom>
                    </pic:spPr>
                  </pic:pic>
                </a:graphicData>
              </a:graphic>
            </wp:inline>
          </w:drawing>
        </w:r>
        <w:r>
          <w:tab/>
        </w:r>
        <w:r>
          <w:tab/>
          <w:t xml:space="preserve">Page | </w:t>
        </w:r>
        <w:r>
          <w:fldChar w:fldCharType="begin"/>
        </w:r>
        <w:r>
          <w:instrText>PAGE   \* MERGEFORMAT</w:instrText>
        </w:r>
        <w:r>
          <w:fldChar w:fldCharType="separate"/>
        </w:r>
        <w:r w:rsidR="008B44A1">
          <w:rPr>
            <w:noProof/>
          </w:rPr>
          <w:t>387</w:t>
        </w:r>
        <w:r>
          <w:fldChar w:fldCharType="end"/>
        </w:r>
        <w:r>
          <w:t xml:space="preserve"> </w:t>
        </w:r>
      </w:p>
    </w:sdtContent>
  </w:sdt>
</w:ftr>
</file>

<file path=word/footer4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74430320"/>
      <w:docPartObj>
        <w:docPartGallery w:val="Page Numbers (Bottom of Page)"/>
        <w:docPartUnique/>
      </w:docPartObj>
    </w:sdtPr>
    <w:sdtEndPr/>
    <w:sdtContent>
      <w:p w14:paraId="55EABC19" w14:textId="708DE588" w:rsidR="00241513" w:rsidRDefault="00241513" w:rsidP="0080688D">
        <w:pPr>
          <w:pStyle w:val="Pieddepage"/>
          <w:spacing w:before="100"/>
          <w:jc w:val="right"/>
        </w:pPr>
        <w:r>
          <w:rPr>
            <w:noProof/>
            <w:lang w:eastAsia="fr-FR" w:bidi="ar-SA"/>
          </w:rPr>
          <w:drawing>
            <wp:inline distT="0" distB="0" distL="0" distR="0" wp14:anchorId="293EE8BE" wp14:editId="6D739CCF">
              <wp:extent cx="1403350" cy="450215"/>
              <wp:effectExtent l="0" t="0" r="6350" b="6985"/>
              <wp:docPr id="93" name="Image 8" descr="LogoNove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Novec.jpg"/>
                      <pic:cNvPicPr/>
                    </pic:nvPicPr>
                    <pic:blipFill>
                      <a:blip r:embed="rId1">
                        <a:extLst>
                          <a:ext uri="{28A0092B-C50C-407E-A947-70E740481C1C}">
                            <a14:useLocalDpi xmlns:a14="http://schemas.microsoft.com/office/drawing/2010/main" val="0"/>
                          </a:ext>
                        </a:extLst>
                      </a:blip>
                      <a:stretch>
                        <a:fillRect/>
                      </a:stretch>
                    </pic:blipFill>
                    <pic:spPr>
                      <a:xfrm>
                        <a:off x="0" y="0"/>
                        <a:ext cx="1403350" cy="450215"/>
                      </a:xfrm>
                      <a:prstGeom prst="rect">
                        <a:avLst/>
                      </a:prstGeom>
                    </pic:spPr>
                  </pic:pic>
                </a:graphicData>
              </a:graphic>
            </wp:inline>
          </w:drawing>
        </w:r>
        <w:r>
          <w:tab/>
        </w:r>
        <w:r>
          <w:tab/>
          <w:t xml:space="preserve">Page | </w:t>
        </w:r>
        <w:r>
          <w:fldChar w:fldCharType="begin"/>
        </w:r>
        <w:r>
          <w:instrText>PAGE   \* MERGEFORMAT</w:instrText>
        </w:r>
        <w:r>
          <w:fldChar w:fldCharType="separate"/>
        </w:r>
        <w:r w:rsidR="008B44A1">
          <w:rPr>
            <w:noProof/>
          </w:rPr>
          <w:t>394</w:t>
        </w:r>
        <w:r>
          <w:fldChar w:fldCharType="end"/>
        </w:r>
        <w:r>
          <w:t xml:space="preserve"> </w:t>
        </w:r>
      </w:p>
    </w:sdtContent>
  </w:sdt>
</w:ftr>
</file>

<file path=word/footer4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38027320"/>
      <w:docPartObj>
        <w:docPartGallery w:val="Page Numbers (Bottom of Page)"/>
        <w:docPartUnique/>
      </w:docPartObj>
    </w:sdtPr>
    <w:sdtEndPr/>
    <w:sdtContent>
      <w:p w14:paraId="22DE43CE" w14:textId="2EEFEE57" w:rsidR="00241513" w:rsidRDefault="00241513" w:rsidP="0080688D">
        <w:pPr>
          <w:pStyle w:val="Pieddepage"/>
          <w:spacing w:before="100"/>
          <w:jc w:val="right"/>
        </w:pPr>
        <w:r>
          <w:rPr>
            <w:noProof/>
            <w:lang w:eastAsia="fr-FR" w:bidi="ar-SA"/>
          </w:rPr>
          <w:drawing>
            <wp:inline distT="0" distB="0" distL="0" distR="0" wp14:anchorId="43DBEAA9" wp14:editId="66C63168">
              <wp:extent cx="1403350" cy="450215"/>
              <wp:effectExtent l="0" t="0" r="6350" b="6985"/>
              <wp:docPr id="95" name="Image 8" descr="LogoNove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Novec.jpg"/>
                      <pic:cNvPicPr/>
                    </pic:nvPicPr>
                    <pic:blipFill>
                      <a:blip r:embed="rId1">
                        <a:extLst>
                          <a:ext uri="{28A0092B-C50C-407E-A947-70E740481C1C}">
                            <a14:useLocalDpi xmlns:a14="http://schemas.microsoft.com/office/drawing/2010/main" val="0"/>
                          </a:ext>
                        </a:extLst>
                      </a:blip>
                      <a:stretch>
                        <a:fillRect/>
                      </a:stretch>
                    </pic:blipFill>
                    <pic:spPr>
                      <a:xfrm>
                        <a:off x="0" y="0"/>
                        <a:ext cx="1403350" cy="450215"/>
                      </a:xfrm>
                      <a:prstGeom prst="rect">
                        <a:avLst/>
                      </a:prstGeom>
                    </pic:spPr>
                  </pic:pic>
                </a:graphicData>
              </a:graphic>
            </wp:inline>
          </w:drawing>
        </w:r>
        <w:r>
          <w:tab/>
        </w:r>
        <w:r>
          <w:tab/>
          <w:t xml:space="preserve">Page | </w:t>
        </w:r>
        <w:r>
          <w:fldChar w:fldCharType="begin"/>
        </w:r>
        <w:r>
          <w:instrText>PAGE   \* MERGEFORMAT</w:instrText>
        </w:r>
        <w:r>
          <w:fldChar w:fldCharType="separate"/>
        </w:r>
        <w:r w:rsidR="008B44A1">
          <w:rPr>
            <w:noProof/>
          </w:rPr>
          <w:t>398</w:t>
        </w:r>
        <w:r>
          <w:fldChar w:fldCharType="end"/>
        </w:r>
        <w:r>
          <w:t xml:space="preserve"> </w:t>
        </w:r>
      </w:p>
    </w:sdtContent>
  </w:sdt>
</w:ftr>
</file>

<file path=word/footer4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7470662"/>
      <w:docPartObj>
        <w:docPartGallery w:val="Page Numbers (Bottom of Page)"/>
        <w:docPartUnique/>
      </w:docPartObj>
    </w:sdtPr>
    <w:sdtEndPr/>
    <w:sdtContent>
      <w:p w14:paraId="1D8FE051" w14:textId="6303909C" w:rsidR="00241513" w:rsidRDefault="00241513" w:rsidP="0080688D">
        <w:pPr>
          <w:pStyle w:val="Pieddepage"/>
          <w:spacing w:before="100"/>
          <w:jc w:val="right"/>
        </w:pPr>
        <w:r>
          <w:rPr>
            <w:noProof/>
            <w:lang w:eastAsia="fr-FR" w:bidi="ar-SA"/>
          </w:rPr>
          <w:drawing>
            <wp:inline distT="0" distB="0" distL="0" distR="0" wp14:anchorId="339D4E35" wp14:editId="34CE055F">
              <wp:extent cx="1403350" cy="450215"/>
              <wp:effectExtent l="0" t="0" r="6350" b="6985"/>
              <wp:docPr id="97" name="Image 8" descr="LogoNove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Novec.jpg"/>
                      <pic:cNvPicPr/>
                    </pic:nvPicPr>
                    <pic:blipFill>
                      <a:blip r:embed="rId1">
                        <a:extLst>
                          <a:ext uri="{28A0092B-C50C-407E-A947-70E740481C1C}">
                            <a14:useLocalDpi xmlns:a14="http://schemas.microsoft.com/office/drawing/2010/main" val="0"/>
                          </a:ext>
                        </a:extLst>
                      </a:blip>
                      <a:stretch>
                        <a:fillRect/>
                      </a:stretch>
                    </pic:blipFill>
                    <pic:spPr>
                      <a:xfrm>
                        <a:off x="0" y="0"/>
                        <a:ext cx="1403350" cy="450215"/>
                      </a:xfrm>
                      <a:prstGeom prst="rect">
                        <a:avLst/>
                      </a:prstGeom>
                    </pic:spPr>
                  </pic:pic>
                </a:graphicData>
              </a:graphic>
            </wp:inline>
          </w:drawing>
        </w:r>
        <w:r>
          <w:tab/>
        </w:r>
        <w:r>
          <w:tab/>
          <w:t xml:space="preserve">Page | </w:t>
        </w:r>
        <w:r>
          <w:fldChar w:fldCharType="begin"/>
        </w:r>
        <w:r>
          <w:instrText>PAGE   \* MERGEFORMAT</w:instrText>
        </w:r>
        <w:r>
          <w:fldChar w:fldCharType="separate"/>
        </w:r>
        <w:r w:rsidR="008B44A1">
          <w:rPr>
            <w:noProof/>
          </w:rPr>
          <w:t>404</w:t>
        </w:r>
        <w:r>
          <w:fldChar w:fldCharType="end"/>
        </w:r>
        <w:r>
          <w:t xml:space="preserve"> </w:t>
        </w:r>
      </w:p>
    </w:sdtContent>
  </w:sdt>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53221987"/>
      <w:docPartObj>
        <w:docPartGallery w:val="Page Numbers (Bottom of Page)"/>
        <w:docPartUnique/>
      </w:docPartObj>
    </w:sdtPr>
    <w:sdtEndPr/>
    <w:sdtContent>
      <w:p w14:paraId="73CB5EDD" w14:textId="41823015" w:rsidR="00241513" w:rsidRDefault="00241513" w:rsidP="0015595B">
        <w:pPr>
          <w:pStyle w:val="Pieddepage"/>
          <w:spacing w:before="100"/>
          <w:jc w:val="right"/>
        </w:pPr>
        <w:r>
          <w:rPr>
            <w:noProof/>
            <w:lang w:eastAsia="fr-FR" w:bidi="ar-SA"/>
          </w:rPr>
          <w:drawing>
            <wp:inline distT="0" distB="0" distL="0" distR="0" wp14:anchorId="02F191F9" wp14:editId="0879B61B">
              <wp:extent cx="1403350" cy="450215"/>
              <wp:effectExtent l="0" t="0" r="6350" b="6985"/>
              <wp:docPr id="220271553" name="Image 8" descr="LogoNove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Novec.jpg"/>
                      <pic:cNvPicPr/>
                    </pic:nvPicPr>
                    <pic:blipFill>
                      <a:blip r:embed="rId1">
                        <a:extLst>
                          <a:ext uri="{28A0092B-C50C-407E-A947-70E740481C1C}">
                            <a14:useLocalDpi xmlns:a14="http://schemas.microsoft.com/office/drawing/2010/main" val="0"/>
                          </a:ext>
                        </a:extLst>
                      </a:blip>
                      <a:stretch>
                        <a:fillRect/>
                      </a:stretch>
                    </pic:blipFill>
                    <pic:spPr>
                      <a:xfrm>
                        <a:off x="0" y="0"/>
                        <a:ext cx="1403350" cy="450215"/>
                      </a:xfrm>
                      <a:prstGeom prst="rect">
                        <a:avLst/>
                      </a:prstGeom>
                    </pic:spPr>
                  </pic:pic>
                </a:graphicData>
              </a:graphic>
            </wp:inline>
          </w:drawing>
        </w:r>
        <w:r>
          <w:tab/>
        </w:r>
        <w:r>
          <w:tab/>
          <w:t xml:space="preserve">Page | </w:t>
        </w:r>
        <w:r>
          <w:fldChar w:fldCharType="begin"/>
        </w:r>
        <w:r>
          <w:instrText>PAGE   \* MERGEFORMAT</w:instrText>
        </w:r>
        <w:r>
          <w:fldChar w:fldCharType="separate"/>
        </w:r>
        <w:r w:rsidR="008B44A1">
          <w:rPr>
            <w:noProof/>
          </w:rPr>
          <w:t>81</w:t>
        </w:r>
        <w:r>
          <w:fldChar w:fldCharType="end"/>
        </w:r>
        <w:r>
          <w:t xml:space="preserve"> </w:t>
        </w:r>
      </w:p>
    </w:sdtContent>
  </w:sdt>
  <w:p w14:paraId="5C033ABF" w14:textId="77777777" w:rsidR="00241513" w:rsidRPr="00BA2A5E" w:rsidRDefault="00241513" w:rsidP="000A3EA4">
    <w:pPr>
      <w:pStyle w:val="Pieddepage"/>
    </w:pPr>
  </w:p>
</w:ftr>
</file>

<file path=word/footer50.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01956911"/>
      <w:docPartObj>
        <w:docPartGallery w:val="Page Numbers (Bottom of Page)"/>
        <w:docPartUnique/>
      </w:docPartObj>
    </w:sdtPr>
    <w:sdtEndPr/>
    <w:sdtContent>
      <w:p w14:paraId="2E7EC691" w14:textId="5F4A6CDC" w:rsidR="00241513" w:rsidRDefault="00241513" w:rsidP="0080688D">
        <w:pPr>
          <w:pStyle w:val="Pieddepage"/>
          <w:spacing w:before="100"/>
          <w:jc w:val="right"/>
        </w:pPr>
        <w:r>
          <w:rPr>
            <w:noProof/>
            <w:lang w:eastAsia="fr-FR" w:bidi="ar-SA"/>
          </w:rPr>
          <w:drawing>
            <wp:inline distT="0" distB="0" distL="0" distR="0" wp14:anchorId="50946B83" wp14:editId="68ED5B53">
              <wp:extent cx="1403350" cy="450215"/>
              <wp:effectExtent l="0" t="0" r="6350" b="6985"/>
              <wp:docPr id="99" name="Image 8" descr="LogoNove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Novec.jpg"/>
                      <pic:cNvPicPr/>
                    </pic:nvPicPr>
                    <pic:blipFill>
                      <a:blip r:embed="rId1">
                        <a:extLst>
                          <a:ext uri="{28A0092B-C50C-407E-A947-70E740481C1C}">
                            <a14:useLocalDpi xmlns:a14="http://schemas.microsoft.com/office/drawing/2010/main" val="0"/>
                          </a:ext>
                        </a:extLst>
                      </a:blip>
                      <a:stretch>
                        <a:fillRect/>
                      </a:stretch>
                    </pic:blipFill>
                    <pic:spPr>
                      <a:xfrm>
                        <a:off x="0" y="0"/>
                        <a:ext cx="1403350" cy="450215"/>
                      </a:xfrm>
                      <a:prstGeom prst="rect">
                        <a:avLst/>
                      </a:prstGeom>
                    </pic:spPr>
                  </pic:pic>
                </a:graphicData>
              </a:graphic>
            </wp:inline>
          </w:drawing>
        </w:r>
        <w:r>
          <w:tab/>
        </w:r>
        <w:r>
          <w:tab/>
          <w:t xml:space="preserve">Page | </w:t>
        </w:r>
        <w:r>
          <w:fldChar w:fldCharType="begin"/>
        </w:r>
        <w:r>
          <w:instrText>PAGE   \* MERGEFORMAT</w:instrText>
        </w:r>
        <w:r>
          <w:fldChar w:fldCharType="separate"/>
        </w:r>
        <w:r w:rsidR="008B44A1">
          <w:rPr>
            <w:noProof/>
          </w:rPr>
          <w:t>411</w:t>
        </w:r>
        <w:r>
          <w:fldChar w:fldCharType="end"/>
        </w:r>
        <w:r>
          <w:t xml:space="preserve"> </w:t>
        </w:r>
      </w:p>
    </w:sdtContent>
  </w:sdt>
</w:ftr>
</file>

<file path=word/footer5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74045720"/>
      <w:docPartObj>
        <w:docPartGallery w:val="Page Numbers (Bottom of Page)"/>
        <w:docPartUnique/>
      </w:docPartObj>
    </w:sdtPr>
    <w:sdtEndPr/>
    <w:sdtContent>
      <w:p w14:paraId="2D0E481A" w14:textId="287E4403" w:rsidR="00241513" w:rsidRDefault="00241513" w:rsidP="00346B16">
        <w:pPr>
          <w:pStyle w:val="Pieddepage"/>
          <w:spacing w:before="100"/>
          <w:jc w:val="left"/>
        </w:pPr>
        <w:r>
          <w:rPr>
            <w:noProof/>
            <w:lang w:eastAsia="fr-FR" w:bidi="ar-SA"/>
          </w:rPr>
          <w:drawing>
            <wp:inline distT="0" distB="0" distL="0" distR="0" wp14:anchorId="17F0C951" wp14:editId="0B67E0ED">
              <wp:extent cx="1403350" cy="450215"/>
              <wp:effectExtent l="0" t="0" r="6350" b="6985"/>
              <wp:docPr id="101" name="Image 8" descr="LogoNove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Novec.jpg"/>
                      <pic:cNvPicPr/>
                    </pic:nvPicPr>
                    <pic:blipFill>
                      <a:blip r:embed="rId1">
                        <a:extLst>
                          <a:ext uri="{28A0092B-C50C-407E-A947-70E740481C1C}">
                            <a14:useLocalDpi xmlns:a14="http://schemas.microsoft.com/office/drawing/2010/main" val="0"/>
                          </a:ext>
                        </a:extLst>
                      </a:blip>
                      <a:stretch>
                        <a:fillRect/>
                      </a:stretch>
                    </pic:blipFill>
                    <pic:spPr>
                      <a:xfrm>
                        <a:off x="0" y="0"/>
                        <a:ext cx="1403350" cy="450215"/>
                      </a:xfrm>
                      <a:prstGeom prst="rect">
                        <a:avLst/>
                      </a:prstGeom>
                    </pic:spPr>
                  </pic:pic>
                </a:graphicData>
              </a:graphic>
            </wp:inline>
          </w:drawing>
        </w:r>
        <w:r>
          <w:tab/>
        </w:r>
        <w:r>
          <w:tab/>
          <w:t xml:space="preserve">Page | </w:t>
        </w:r>
        <w:r>
          <w:fldChar w:fldCharType="begin"/>
        </w:r>
        <w:r>
          <w:instrText>PAGE   \* MERGEFORMAT</w:instrText>
        </w:r>
        <w:r>
          <w:fldChar w:fldCharType="separate"/>
        </w:r>
        <w:r w:rsidR="008B44A1">
          <w:rPr>
            <w:noProof/>
          </w:rPr>
          <w:t>425</w:t>
        </w:r>
        <w:r>
          <w:fldChar w:fldCharType="end"/>
        </w:r>
        <w:r>
          <w:t xml:space="preserve"> </w:t>
        </w:r>
      </w:p>
    </w:sdtContent>
  </w:sdt>
</w:ftr>
</file>

<file path=word/footer5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76439650"/>
      <w:docPartObj>
        <w:docPartGallery w:val="Page Numbers (Bottom of Page)"/>
        <w:docPartUnique/>
      </w:docPartObj>
    </w:sdtPr>
    <w:sdtEndPr/>
    <w:sdtContent>
      <w:p w14:paraId="50EFB0E3" w14:textId="515CD3B2" w:rsidR="00241513" w:rsidRDefault="00241513" w:rsidP="0080688D">
        <w:pPr>
          <w:pStyle w:val="Pieddepage"/>
          <w:spacing w:before="100"/>
          <w:jc w:val="right"/>
        </w:pPr>
        <w:r>
          <w:rPr>
            <w:noProof/>
            <w:lang w:eastAsia="fr-FR" w:bidi="ar-SA"/>
          </w:rPr>
          <w:drawing>
            <wp:inline distT="0" distB="0" distL="0" distR="0" wp14:anchorId="1661E143" wp14:editId="440B974A">
              <wp:extent cx="1403350" cy="450215"/>
              <wp:effectExtent l="0" t="0" r="6350" b="6985"/>
              <wp:docPr id="103" name="Image 8" descr="LogoNove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Novec.jpg"/>
                      <pic:cNvPicPr/>
                    </pic:nvPicPr>
                    <pic:blipFill>
                      <a:blip r:embed="rId1">
                        <a:extLst>
                          <a:ext uri="{28A0092B-C50C-407E-A947-70E740481C1C}">
                            <a14:useLocalDpi xmlns:a14="http://schemas.microsoft.com/office/drawing/2010/main" val="0"/>
                          </a:ext>
                        </a:extLst>
                      </a:blip>
                      <a:stretch>
                        <a:fillRect/>
                      </a:stretch>
                    </pic:blipFill>
                    <pic:spPr>
                      <a:xfrm>
                        <a:off x="0" y="0"/>
                        <a:ext cx="1403350" cy="450215"/>
                      </a:xfrm>
                      <a:prstGeom prst="rect">
                        <a:avLst/>
                      </a:prstGeom>
                    </pic:spPr>
                  </pic:pic>
                </a:graphicData>
              </a:graphic>
            </wp:inline>
          </w:drawing>
        </w:r>
        <w:r>
          <w:tab/>
        </w:r>
        <w:r>
          <w:tab/>
          <w:t xml:space="preserve">Page | </w:t>
        </w:r>
        <w:r>
          <w:fldChar w:fldCharType="begin"/>
        </w:r>
        <w:r>
          <w:instrText>PAGE   \* MERGEFORMAT</w:instrText>
        </w:r>
        <w:r>
          <w:fldChar w:fldCharType="separate"/>
        </w:r>
        <w:r w:rsidR="008B44A1">
          <w:rPr>
            <w:noProof/>
          </w:rPr>
          <w:t>441</w:t>
        </w:r>
        <w:r>
          <w:fldChar w:fldCharType="end"/>
        </w:r>
        <w:r>
          <w:t xml:space="preserve"> </w:t>
        </w:r>
      </w:p>
    </w:sdtContent>
  </w:sdt>
</w:ftr>
</file>

<file path=word/footer5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06175380"/>
      <w:docPartObj>
        <w:docPartGallery w:val="Page Numbers (Bottom of Page)"/>
        <w:docPartUnique/>
      </w:docPartObj>
    </w:sdtPr>
    <w:sdtEndPr/>
    <w:sdtContent>
      <w:p w14:paraId="038699AC" w14:textId="019F3F48" w:rsidR="00241513" w:rsidRDefault="00241513" w:rsidP="0080688D">
        <w:pPr>
          <w:pStyle w:val="Pieddepage"/>
          <w:spacing w:before="100"/>
          <w:jc w:val="right"/>
        </w:pPr>
        <w:r>
          <w:rPr>
            <w:noProof/>
            <w:lang w:eastAsia="fr-FR" w:bidi="ar-SA"/>
          </w:rPr>
          <w:drawing>
            <wp:inline distT="0" distB="0" distL="0" distR="0" wp14:anchorId="5DC21CD2" wp14:editId="7AD88D1C">
              <wp:extent cx="1403350" cy="450215"/>
              <wp:effectExtent l="0" t="0" r="6350" b="6985"/>
              <wp:docPr id="105" name="Image 8" descr="LogoNove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Novec.jpg"/>
                      <pic:cNvPicPr/>
                    </pic:nvPicPr>
                    <pic:blipFill>
                      <a:blip r:embed="rId1">
                        <a:extLst>
                          <a:ext uri="{28A0092B-C50C-407E-A947-70E740481C1C}">
                            <a14:useLocalDpi xmlns:a14="http://schemas.microsoft.com/office/drawing/2010/main" val="0"/>
                          </a:ext>
                        </a:extLst>
                      </a:blip>
                      <a:stretch>
                        <a:fillRect/>
                      </a:stretch>
                    </pic:blipFill>
                    <pic:spPr>
                      <a:xfrm>
                        <a:off x="0" y="0"/>
                        <a:ext cx="1403350" cy="450215"/>
                      </a:xfrm>
                      <a:prstGeom prst="rect">
                        <a:avLst/>
                      </a:prstGeom>
                    </pic:spPr>
                  </pic:pic>
                </a:graphicData>
              </a:graphic>
            </wp:inline>
          </w:drawing>
        </w:r>
        <w:r>
          <w:tab/>
        </w:r>
        <w:r>
          <w:tab/>
          <w:t xml:space="preserve">Page | </w:t>
        </w:r>
        <w:r>
          <w:fldChar w:fldCharType="begin"/>
        </w:r>
        <w:r>
          <w:instrText>PAGE   \* MERGEFORMAT</w:instrText>
        </w:r>
        <w:r>
          <w:fldChar w:fldCharType="separate"/>
        </w:r>
        <w:r w:rsidR="008B44A1">
          <w:rPr>
            <w:noProof/>
          </w:rPr>
          <w:t>442</w:t>
        </w:r>
        <w:r>
          <w:fldChar w:fldCharType="end"/>
        </w:r>
        <w:r>
          <w:t xml:space="preserve"> </w:t>
        </w:r>
      </w:p>
    </w:sdtContent>
  </w:sdt>
</w:ftr>
</file>

<file path=word/footer5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04890668"/>
      <w:docPartObj>
        <w:docPartGallery w:val="Page Numbers (Bottom of Page)"/>
        <w:docPartUnique/>
      </w:docPartObj>
    </w:sdtPr>
    <w:sdtEndPr/>
    <w:sdtContent>
      <w:p w14:paraId="42304FBB" w14:textId="05E7FF3D" w:rsidR="00241513" w:rsidRDefault="00241513" w:rsidP="0080688D">
        <w:pPr>
          <w:pStyle w:val="Pieddepage"/>
          <w:spacing w:before="100"/>
          <w:jc w:val="right"/>
        </w:pPr>
        <w:r>
          <w:rPr>
            <w:noProof/>
            <w:lang w:eastAsia="fr-FR" w:bidi="ar-SA"/>
          </w:rPr>
          <w:drawing>
            <wp:inline distT="0" distB="0" distL="0" distR="0" wp14:anchorId="526F815A" wp14:editId="1AC235B6">
              <wp:extent cx="1403350" cy="450215"/>
              <wp:effectExtent l="0" t="0" r="6350" b="6985"/>
              <wp:docPr id="107" name="Image 8" descr="LogoNove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Novec.jpg"/>
                      <pic:cNvPicPr/>
                    </pic:nvPicPr>
                    <pic:blipFill>
                      <a:blip r:embed="rId1">
                        <a:extLst>
                          <a:ext uri="{28A0092B-C50C-407E-A947-70E740481C1C}">
                            <a14:useLocalDpi xmlns:a14="http://schemas.microsoft.com/office/drawing/2010/main" val="0"/>
                          </a:ext>
                        </a:extLst>
                      </a:blip>
                      <a:stretch>
                        <a:fillRect/>
                      </a:stretch>
                    </pic:blipFill>
                    <pic:spPr>
                      <a:xfrm>
                        <a:off x="0" y="0"/>
                        <a:ext cx="1403350" cy="450215"/>
                      </a:xfrm>
                      <a:prstGeom prst="rect">
                        <a:avLst/>
                      </a:prstGeom>
                    </pic:spPr>
                  </pic:pic>
                </a:graphicData>
              </a:graphic>
            </wp:inline>
          </w:drawing>
        </w:r>
        <w:r>
          <w:tab/>
        </w:r>
        <w:r>
          <w:tab/>
          <w:t xml:space="preserve">Page | </w:t>
        </w:r>
        <w:r>
          <w:fldChar w:fldCharType="begin"/>
        </w:r>
        <w:r>
          <w:instrText>PAGE   \* MERGEFORMAT</w:instrText>
        </w:r>
        <w:r>
          <w:fldChar w:fldCharType="separate"/>
        </w:r>
        <w:r w:rsidR="008B44A1">
          <w:rPr>
            <w:noProof/>
          </w:rPr>
          <w:t>486</w:t>
        </w:r>
        <w:r>
          <w:fldChar w:fldCharType="end"/>
        </w:r>
        <w:r>
          <w:t xml:space="preserve"> </w:t>
        </w:r>
      </w:p>
    </w:sdtContent>
  </w:sdt>
</w:ftr>
</file>

<file path=word/footer5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96021124"/>
      <w:docPartObj>
        <w:docPartGallery w:val="Page Numbers (Bottom of Page)"/>
        <w:docPartUnique/>
      </w:docPartObj>
    </w:sdtPr>
    <w:sdtEndPr/>
    <w:sdtContent>
      <w:p w14:paraId="5124DB02" w14:textId="6A4DE6EC" w:rsidR="00241513" w:rsidRDefault="00241513" w:rsidP="0080688D">
        <w:pPr>
          <w:pStyle w:val="Pieddepage"/>
          <w:spacing w:before="100"/>
          <w:jc w:val="right"/>
        </w:pPr>
        <w:r>
          <w:rPr>
            <w:noProof/>
            <w:lang w:eastAsia="fr-FR" w:bidi="ar-SA"/>
          </w:rPr>
          <w:drawing>
            <wp:inline distT="0" distB="0" distL="0" distR="0" wp14:anchorId="0DF2AA08" wp14:editId="3171A144">
              <wp:extent cx="1403350" cy="450215"/>
              <wp:effectExtent l="0" t="0" r="6350" b="6985"/>
              <wp:docPr id="109" name="Image 8" descr="LogoNove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Novec.jpg"/>
                      <pic:cNvPicPr/>
                    </pic:nvPicPr>
                    <pic:blipFill>
                      <a:blip r:embed="rId1">
                        <a:extLst>
                          <a:ext uri="{28A0092B-C50C-407E-A947-70E740481C1C}">
                            <a14:useLocalDpi xmlns:a14="http://schemas.microsoft.com/office/drawing/2010/main" val="0"/>
                          </a:ext>
                        </a:extLst>
                      </a:blip>
                      <a:stretch>
                        <a:fillRect/>
                      </a:stretch>
                    </pic:blipFill>
                    <pic:spPr>
                      <a:xfrm>
                        <a:off x="0" y="0"/>
                        <a:ext cx="1403350" cy="450215"/>
                      </a:xfrm>
                      <a:prstGeom prst="rect">
                        <a:avLst/>
                      </a:prstGeom>
                    </pic:spPr>
                  </pic:pic>
                </a:graphicData>
              </a:graphic>
            </wp:inline>
          </w:drawing>
        </w:r>
        <w:r>
          <w:tab/>
        </w:r>
        <w:r>
          <w:tab/>
          <w:t xml:space="preserve">Page | </w:t>
        </w:r>
        <w:r>
          <w:fldChar w:fldCharType="begin"/>
        </w:r>
        <w:r>
          <w:instrText>PAGE   \* MERGEFORMAT</w:instrText>
        </w:r>
        <w:r>
          <w:fldChar w:fldCharType="separate"/>
        </w:r>
        <w:r w:rsidR="008B44A1">
          <w:rPr>
            <w:noProof/>
          </w:rPr>
          <w:t>487</w:t>
        </w:r>
        <w:r>
          <w:fldChar w:fldCharType="end"/>
        </w:r>
        <w:r>
          <w:t xml:space="preserve"> </w:t>
        </w:r>
      </w:p>
    </w:sdtContent>
  </w:sdt>
</w:ftr>
</file>

<file path=word/footer5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30493297"/>
      <w:docPartObj>
        <w:docPartGallery w:val="Page Numbers (Bottom of Page)"/>
        <w:docPartUnique/>
      </w:docPartObj>
    </w:sdtPr>
    <w:sdtEndPr/>
    <w:sdtContent>
      <w:p w14:paraId="219BE88D" w14:textId="20D35F22" w:rsidR="00241513" w:rsidRDefault="00241513" w:rsidP="0080688D">
        <w:pPr>
          <w:pStyle w:val="Pieddepage"/>
          <w:spacing w:before="100"/>
          <w:jc w:val="right"/>
        </w:pPr>
        <w:r>
          <w:rPr>
            <w:noProof/>
            <w:lang w:eastAsia="fr-FR" w:bidi="ar-SA"/>
          </w:rPr>
          <w:drawing>
            <wp:inline distT="0" distB="0" distL="0" distR="0" wp14:anchorId="75352098" wp14:editId="1230579D">
              <wp:extent cx="1403350" cy="450215"/>
              <wp:effectExtent l="0" t="0" r="6350" b="6985"/>
              <wp:docPr id="111" name="Image 8" descr="LogoNove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Novec.jpg"/>
                      <pic:cNvPicPr/>
                    </pic:nvPicPr>
                    <pic:blipFill>
                      <a:blip r:embed="rId1">
                        <a:extLst>
                          <a:ext uri="{28A0092B-C50C-407E-A947-70E740481C1C}">
                            <a14:useLocalDpi xmlns:a14="http://schemas.microsoft.com/office/drawing/2010/main" val="0"/>
                          </a:ext>
                        </a:extLst>
                      </a:blip>
                      <a:stretch>
                        <a:fillRect/>
                      </a:stretch>
                    </pic:blipFill>
                    <pic:spPr>
                      <a:xfrm>
                        <a:off x="0" y="0"/>
                        <a:ext cx="1403350" cy="450215"/>
                      </a:xfrm>
                      <a:prstGeom prst="rect">
                        <a:avLst/>
                      </a:prstGeom>
                    </pic:spPr>
                  </pic:pic>
                </a:graphicData>
              </a:graphic>
            </wp:inline>
          </w:drawing>
        </w:r>
        <w:r>
          <w:tab/>
        </w:r>
        <w:r>
          <w:tab/>
          <w:t xml:space="preserve">Page | </w:t>
        </w:r>
        <w:r>
          <w:fldChar w:fldCharType="begin"/>
        </w:r>
        <w:r>
          <w:instrText>PAGE   \* MERGEFORMAT</w:instrText>
        </w:r>
        <w:r>
          <w:fldChar w:fldCharType="separate"/>
        </w:r>
        <w:r w:rsidR="008B44A1">
          <w:rPr>
            <w:noProof/>
          </w:rPr>
          <w:t>506</w:t>
        </w:r>
        <w:r>
          <w:fldChar w:fldCharType="end"/>
        </w:r>
        <w:r>
          <w:t xml:space="preserve"> </w:t>
        </w:r>
      </w:p>
    </w:sdtContent>
  </w:sdt>
</w:ftr>
</file>

<file path=word/footer5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97261140"/>
      <w:docPartObj>
        <w:docPartGallery w:val="Page Numbers (Bottom of Page)"/>
        <w:docPartUnique/>
      </w:docPartObj>
    </w:sdtPr>
    <w:sdtEndPr/>
    <w:sdtContent>
      <w:p w14:paraId="75F4F6CE" w14:textId="6A9F143A" w:rsidR="00241513" w:rsidRDefault="00241513" w:rsidP="0080688D">
        <w:pPr>
          <w:pStyle w:val="Pieddepage"/>
          <w:spacing w:before="100"/>
          <w:jc w:val="right"/>
        </w:pPr>
        <w:r>
          <w:rPr>
            <w:noProof/>
            <w:lang w:eastAsia="fr-FR" w:bidi="ar-SA"/>
          </w:rPr>
          <w:drawing>
            <wp:inline distT="0" distB="0" distL="0" distR="0" wp14:anchorId="51AD341F" wp14:editId="7CB569B1">
              <wp:extent cx="1403350" cy="450215"/>
              <wp:effectExtent l="0" t="0" r="6350" b="6985"/>
              <wp:docPr id="4" name="Image 8" descr="LogoNove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Novec.jpg"/>
                      <pic:cNvPicPr/>
                    </pic:nvPicPr>
                    <pic:blipFill>
                      <a:blip r:embed="rId1">
                        <a:extLst>
                          <a:ext uri="{28A0092B-C50C-407E-A947-70E740481C1C}">
                            <a14:useLocalDpi xmlns:a14="http://schemas.microsoft.com/office/drawing/2010/main" val="0"/>
                          </a:ext>
                        </a:extLst>
                      </a:blip>
                      <a:stretch>
                        <a:fillRect/>
                      </a:stretch>
                    </pic:blipFill>
                    <pic:spPr>
                      <a:xfrm>
                        <a:off x="0" y="0"/>
                        <a:ext cx="1403350" cy="450215"/>
                      </a:xfrm>
                      <a:prstGeom prst="rect">
                        <a:avLst/>
                      </a:prstGeom>
                    </pic:spPr>
                  </pic:pic>
                </a:graphicData>
              </a:graphic>
            </wp:inline>
          </w:drawing>
        </w:r>
        <w:r>
          <w:tab/>
        </w:r>
        <w:r>
          <w:tab/>
          <w:t xml:space="preserve">Page | </w:t>
        </w:r>
        <w:r>
          <w:fldChar w:fldCharType="begin"/>
        </w:r>
        <w:r>
          <w:instrText>PAGE   \* MERGEFORMAT</w:instrText>
        </w:r>
        <w:r>
          <w:fldChar w:fldCharType="separate"/>
        </w:r>
        <w:r w:rsidR="008B44A1">
          <w:rPr>
            <w:noProof/>
          </w:rPr>
          <w:t>525</w:t>
        </w:r>
        <w:r>
          <w:fldChar w:fldCharType="end"/>
        </w:r>
        <w:r>
          <w:t xml:space="preserve"> </w:t>
        </w:r>
      </w:p>
    </w:sdtContent>
  </w:sdt>
</w:ftr>
</file>

<file path=word/footer5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40833152"/>
      <w:docPartObj>
        <w:docPartGallery w:val="Page Numbers (Bottom of Page)"/>
        <w:docPartUnique/>
      </w:docPartObj>
    </w:sdtPr>
    <w:sdtEndPr/>
    <w:sdtContent>
      <w:p w14:paraId="53D0B6F2" w14:textId="7019FC90" w:rsidR="0093129E" w:rsidRDefault="0093129E">
        <w:pPr>
          <w:pStyle w:val="Pieddepage"/>
          <w:jc w:val="right"/>
        </w:pPr>
        <w:r>
          <w:fldChar w:fldCharType="begin"/>
        </w:r>
        <w:r>
          <w:instrText>PAGE   \* MERGEFORMAT</w:instrText>
        </w:r>
        <w:r>
          <w:fldChar w:fldCharType="separate"/>
        </w:r>
        <w:r w:rsidR="008B44A1">
          <w:rPr>
            <w:noProof/>
          </w:rPr>
          <w:t>528</w:t>
        </w:r>
        <w:r>
          <w:fldChar w:fldCharType="end"/>
        </w:r>
      </w:p>
    </w:sdtContent>
  </w:sdt>
  <w:p w14:paraId="0A475A27" w14:textId="77777777" w:rsidR="00241513" w:rsidRDefault="00241513"/>
</w:ftr>
</file>

<file path=word/footer5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01506051"/>
      <w:docPartObj>
        <w:docPartGallery w:val="Page Numbers (Bottom of Page)"/>
        <w:docPartUnique/>
      </w:docPartObj>
    </w:sdtPr>
    <w:sdtEndPr/>
    <w:sdtContent>
      <w:p w14:paraId="2192904A" w14:textId="0F45196E" w:rsidR="0093129E" w:rsidRDefault="0093129E">
        <w:pPr>
          <w:pStyle w:val="Pieddepage"/>
          <w:jc w:val="right"/>
        </w:pPr>
        <w:r>
          <w:fldChar w:fldCharType="begin"/>
        </w:r>
        <w:r>
          <w:instrText>PAGE   \* MERGEFORMAT</w:instrText>
        </w:r>
        <w:r>
          <w:fldChar w:fldCharType="separate"/>
        </w:r>
        <w:r w:rsidR="008B44A1">
          <w:rPr>
            <w:noProof/>
          </w:rPr>
          <w:t>529</w:t>
        </w:r>
        <w:r>
          <w:fldChar w:fldCharType="end"/>
        </w:r>
      </w:p>
    </w:sdtContent>
  </w:sdt>
  <w:p w14:paraId="6F8EB490" w14:textId="77777777" w:rsidR="00241513" w:rsidRDefault="00241513"/>
</w:ftr>
</file>

<file path=word/footer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65356069"/>
      <w:docPartObj>
        <w:docPartGallery w:val="Page Numbers (Bottom of Page)"/>
        <w:docPartUnique/>
      </w:docPartObj>
    </w:sdtPr>
    <w:sdtEndPr/>
    <w:sdtContent>
      <w:p w14:paraId="2E214AA2" w14:textId="37A8A1BF" w:rsidR="00241513" w:rsidRDefault="00241513" w:rsidP="0015595B">
        <w:pPr>
          <w:pStyle w:val="Pieddepage"/>
          <w:spacing w:before="100"/>
          <w:jc w:val="right"/>
        </w:pPr>
        <w:r>
          <w:rPr>
            <w:noProof/>
            <w:lang w:eastAsia="fr-FR" w:bidi="ar-SA"/>
          </w:rPr>
          <w:drawing>
            <wp:inline distT="0" distB="0" distL="0" distR="0" wp14:anchorId="5550EBE4" wp14:editId="1C767D98">
              <wp:extent cx="1403350" cy="450215"/>
              <wp:effectExtent l="0" t="0" r="6350" b="6985"/>
              <wp:docPr id="220271556" name="Image 8" descr="LogoNove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Novec.jpg"/>
                      <pic:cNvPicPr/>
                    </pic:nvPicPr>
                    <pic:blipFill>
                      <a:blip r:embed="rId1">
                        <a:extLst>
                          <a:ext uri="{28A0092B-C50C-407E-A947-70E740481C1C}">
                            <a14:useLocalDpi xmlns:a14="http://schemas.microsoft.com/office/drawing/2010/main" val="0"/>
                          </a:ext>
                        </a:extLst>
                      </a:blip>
                      <a:stretch>
                        <a:fillRect/>
                      </a:stretch>
                    </pic:blipFill>
                    <pic:spPr>
                      <a:xfrm>
                        <a:off x="0" y="0"/>
                        <a:ext cx="1403350" cy="450215"/>
                      </a:xfrm>
                      <a:prstGeom prst="rect">
                        <a:avLst/>
                      </a:prstGeom>
                    </pic:spPr>
                  </pic:pic>
                </a:graphicData>
              </a:graphic>
            </wp:inline>
          </w:drawing>
        </w:r>
        <w:r>
          <w:tab/>
        </w:r>
        <w:r>
          <w:tab/>
        </w:r>
        <w:r>
          <w:tab/>
        </w:r>
        <w:r>
          <w:tab/>
        </w:r>
        <w:r>
          <w:tab/>
        </w:r>
        <w:r>
          <w:tab/>
        </w:r>
        <w:r>
          <w:tab/>
        </w:r>
        <w:r>
          <w:tab/>
          <w:t xml:space="preserve">Page | </w:t>
        </w:r>
        <w:r>
          <w:fldChar w:fldCharType="begin"/>
        </w:r>
        <w:r>
          <w:instrText>PAGE   \* MERGEFORMAT</w:instrText>
        </w:r>
        <w:r>
          <w:fldChar w:fldCharType="separate"/>
        </w:r>
        <w:r w:rsidR="008B44A1">
          <w:rPr>
            <w:noProof/>
          </w:rPr>
          <w:t>88</w:t>
        </w:r>
        <w:r>
          <w:fldChar w:fldCharType="end"/>
        </w:r>
        <w:r>
          <w:t xml:space="preserve"> </w:t>
        </w:r>
      </w:p>
    </w:sdtContent>
  </w:sdt>
  <w:p w14:paraId="4E38E3D2" w14:textId="77777777" w:rsidR="00241513" w:rsidRPr="00BA2A5E" w:rsidRDefault="00241513" w:rsidP="000A3EA4">
    <w:pPr>
      <w:pStyle w:val="Pieddepage"/>
    </w:pPr>
  </w:p>
</w:ftr>
</file>

<file path=word/footer60.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56168118"/>
      <w:docPartObj>
        <w:docPartGallery w:val="Page Numbers (Bottom of Page)"/>
        <w:docPartUnique/>
      </w:docPartObj>
    </w:sdtPr>
    <w:sdtEndPr/>
    <w:sdtContent>
      <w:p w14:paraId="7B689F1C" w14:textId="087FBEE4" w:rsidR="0093129E" w:rsidRDefault="0093129E">
        <w:pPr>
          <w:pStyle w:val="Pieddepage"/>
          <w:jc w:val="right"/>
        </w:pPr>
        <w:r>
          <w:fldChar w:fldCharType="begin"/>
        </w:r>
        <w:r>
          <w:instrText>PAGE   \* MERGEFORMAT</w:instrText>
        </w:r>
        <w:r>
          <w:fldChar w:fldCharType="separate"/>
        </w:r>
        <w:r w:rsidR="008B44A1">
          <w:rPr>
            <w:noProof/>
          </w:rPr>
          <w:t>534</w:t>
        </w:r>
        <w:r>
          <w:fldChar w:fldCharType="end"/>
        </w:r>
      </w:p>
    </w:sdtContent>
  </w:sdt>
  <w:p w14:paraId="686F5E99" w14:textId="77777777" w:rsidR="00241513" w:rsidRDefault="00241513"/>
</w:ftr>
</file>

<file path=word/footer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70481176"/>
      <w:docPartObj>
        <w:docPartGallery w:val="Page Numbers (Bottom of Page)"/>
        <w:docPartUnique/>
      </w:docPartObj>
    </w:sdtPr>
    <w:sdtEndPr/>
    <w:sdtContent>
      <w:p w14:paraId="45DC808E" w14:textId="119DB0B3" w:rsidR="00241513" w:rsidRDefault="00241513" w:rsidP="0015595B">
        <w:pPr>
          <w:pStyle w:val="Pieddepage"/>
          <w:spacing w:before="100"/>
          <w:jc w:val="right"/>
        </w:pPr>
        <w:r>
          <w:rPr>
            <w:noProof/>
            <w:lang w:eastAsia="fr-FR" w:bidi="ar-SA"/>
          </w:rPr>
          <w:drawing>
            <wp:inline distT="0" distB="0" distL="0" distR="0" wp14:anchorId="2BE725D3" wp14:editId="5DA2CDC4">
              <wp:extent cx="1403350" cy="450215"/>
              <wp:effectExtent l="0" t="0" r="6350" b="6985"/>
              <wp:docPr id="220271559" name="Image 8" descr="LogoNove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Novec.jpg"/>
                      <pic:cNvPicPr/>
                    </pic:nvPicPr>
                    <pic:blipFill>
                      <a:blip r:embed="rId1">
                        <a:extLst>
                          <a:ext uri="{28A0092B-C50C-407E-A947-70E740481C1C}">
                            <a14:useLocalDpi xmlns:a14="http://schemas.microsoft.com/office/drawing/2010/main" val="0"/>
                          </a:ext>
                        </a:extLst>
                      </a:blip>
                      <a:stretch>
                        <a:fillRect/>
                      </a:stretch>
                    </pic:blipFill>
                    <pic:spPr>
                      <a:xfrm>
                        <a:off x="0" y="0"/>
                        <a:ext cx="1403350" cy="450215"/>
                      </a:xfrm>
                      <a:prstGeom prst="rect">
                        <a:avLst/>
                      </a:prstGeom>
                    </pic:spPr>
                  </pic:pic>
                </a:graphicData>
              </a:graphic>
            </wp:inline>
          </w:drawing>
        </w:r>
        <w:r>
          <w:tab/>
        </w:r>
        <w:r>
          <w:tab/>
          <w:t xml:space="preserve">Page | </w:t>
        </w:r>
        <w:r>
          <w:fldChar w:fldCharType="begin"/>
        </w:r>
        <w:r>
          <w:instrText>PAGE   \* MERGEFORMAT</w:instrText>
        </w:r>
        <w:r>
          <w:fldChar w:fldCharType="separate"/>
        </w:r>
        <w:r w:rsidR="008B44A1">
          <w:rPr>
            <w:noProof/>
          </w:rPr>
          <w:t>89</w:t>
        </w:r>
        <w:r>
          <w:fldChar w:fldCharType="end"/>
        </w:r>
        <w:r>
          <w:t xml:space="preserve"> </w:t>
        </w:r>
      </w:p>
    </w:sdtContent>
  </w:sdt>
</w:ftr>
</file>

<file path=word/footer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69858610"/>
      <w:docPartObj>
        <w:docPartGallery w:val="Page Numbers (Bottom of Page)"/>
        <w:docPartUnique/>
      </w:docPartObj>
    </w:sdtPr>
    <w:sdtEndPr/>
    <w:sdtContent>
      <w:sdt>
        <w:sdtPr>
          <w:id w:val="-676498758"/>
          <w:docPartObj>
            <w:docPartGallery w:val="Page Numbers (Bottom of Page)"/>
            <w:docPartUnique/>
          </w:docPartObj>
        </w:sdtPr>
        <w:sdtEndPr/>
        <w:sdtContent>
          <w:p w14:paraId="2E3B2E51" w14:textId="31785795" w:rsidR="00241513" w:rsidRDefault="00241513" w:rsidP="00231363">
            <w:pPr>
              <w:pStyle w:val="Pieddepage"/>
              <w:spacing w:before="100"/>
              <w:jc w:val="left"/>
            </w:pPr>
            <w:r>
              <w:rPr>
                <w:noProof/>
                <w:lang w:eastAsia="fr-FR" w:bidi="ar-SA"/>
              </w:rPr>
              <w:drawing>
                <wp:inline distT="0" distB="0" distL="0" distR="0" wp14:anchorId="4C900394" wp14:editId="4BE6268C">
                  <wp:extent cx="1403350" cy="450215"/>
                  <wp:effectExtent l="0" t="0" r="6350" b="6985"/>
                  <wp:docPr id="220271562" name="Image 8" descr="LogoNove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Novec.jpg"/>
                          <pic:cNvPicPr/>
                        </pic:nvPicPr>
                        <pic:blipFill>
                          <a:blip r:embed="rId1">
                            <a:extLst>
                              <a:ext uri="{28A0092B-C50C-407E-A947-70E740481C1C}">
                                <a14:useLocalDpi xmlns:a14="http://schemas.microsoft.com/office/drawing/2010/main" val="0"/>
                              </a:ext>
                            </a:extLst>
                          </a:blip>
                          <a:stretch>
                            <a:fillRect/>
                          </a:stretch>
                        </pic:blipFill>
                        <pic:spPr>
                          <a:xfrm>
                            <a:off x="0" y="0"/>
                            <a:ext cx="1403350" cy="450215"/>
                          </a:xfrm>
                          <a:prstGeom prst="rect">
                            <a:avLst/>
                          </a:prstGeom>
                        </pic:spPr>
                      </pic:pic>
                    </a:graphicData>
                  </a:graphic>
                </wp:inline>
              </w:drawing>
            </w:r>
            <w:r>
              <w:tab/>
            </w:r>
            <w:r>
              <w:tab/>
            </w:r>
            <w:r>
              <w:tab/>
            </w:r>
            <w:r>
              <w:tab/>
            </w:r>
            <w:r>
              <w:tab/>
            </w:r>
            <w:r>
              <w:tab/>
            </w:r>
            <w:r>
              <w:tab/>
            </w:r>
            <w:r>
              <w:tab/>
              <w:t xml:space="preserve">Page | </w:t>
            </w:r>
            <w:r>
              <w:fldChar w:fldCharType="begin"/>
            </w:r>
            <w:r>
              <w:instrText>PAGE   \* MERGEFORMAT</w:instrText>
            </w:r>
            <w:r>
              <w:fldChar w:fldCharType="separate"/>
            </w:r>
            <w:r w:rsidR="008B44A1">
              <w:rPr>
                <w:noProof/>
              </w:rPr>
              <w:t>98</w:t>
            </w:r>
            <w:r>
              <w:fldChar w:fldCharType="end"/>
            </w:r>
            <w:r>
              <w:t xml:space="preserve"> </w:t>
            </w:r>
          </w:p>
        </w:sdtContent>
      </w:sdt>
      <w:p w14:paraId="2F6CB72A" w14:textId="77777777" w:rsidR="00241513" w:rsidRDefault="0072072F" w:rsidP="00F8629E">
        <w:pPr>
          <w:pStyle w:val="Pieddepage"/>
          <w:spacing w:before="100"/>
          <w:jc w:val="left"/>
        </w:pPr>
      </w:p>
    </w:sdtContent>
  </w:sdt>
</w:ftr>
</file>

<file path=word/footer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82382129"/>
      <w:docPartObj>
        <w:docPartGallery w:val="Page Numbers (Bottom of Page)"/>
        <w:docPartUnique/>
      </w:docPartObj>
    </w:sdtPr>
    <w:sdtEndPr/>
    <w:sdtContent>
      <w:p w14:paraId="2C30E2A2" w14:textId="0DE841C9" w:rsidR="00241513" w:rsidRDefault="00241513" w:rsidP="00F8629E">
        <w:pPr>
          <w:pStyle w:val="Pieddepage"/>
          <w:spacing w:before="100"/>
          <w:jc w:val="left"/>
        </w:pPr>
        <w:r>
          <w:rPr>
            <w:noProof/>
            <w:lang w:eastAsia="fr-FR" w:bidi="ar-SA"/>
          </w:rPr>
          <w:drawing>
            <wp:inline distT="0" distB="0" distL="0" distR="0" wp14:anchorId="5CE2608C" wp14:editId="739EC0FC">
              <wp:extent cx="1403350" cy="450215"/>
              <wp:effectExtent l="0" t="0" r="6350" b="6985"/>
              <wp:docPr id="220271565" name="Image 8" descr="LogoNove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Novec.jpg"/>
                      <pic:cNvPicPr/>
                    </pic:nvPicPr>
                    <pic:blipFill>
                      <a:blip r:embed="rId1">
                        <a:extLst>
                          <a:ext uri="{28A0092B-C50C-407E-A947-70E740481C1C}">
                            <a14:useLocalDpi xmlns:a14="http://schemas.microsoft.com/office/drawing/2010/main" val="0"/>
                          </a:ext>
                        </a:extLst>
                      </a:blip>
                      <a:stretch>
                        <a:fillRect/>
                      </a:stretch>
                    </pic:blipFill>
                    <pic:spPr>
                      <a:xfrm>
                        <a:off x="0" y="0"/>
                        <a:ext cx="1403350" cy="450215"/>
                      </a:xfrm>
                      <a:prstGeom prst="rect">
                        <a:avLst/>
                      </a:prstGeom>
                    </pic:spPr>
                  </pic:pic>
                </a:graphicData>
              </a:graphic>
            </wp:inline>
          </w:drawing>
        </w:r>
        <w:r>
          <w:tab/>
        </w:r>
        <w:r>
          <w:tab/>
        </w:r>
        <w:r>
          <w:tab/>
          <w:t xml:space="preserve">Page | </w:t>
        </w:r>
        <w:r>
          <w:fldChar w:fldCharType="begin"/>
        </w:r>
        <w:r>
          <w:instrText>PAGE   \* MERGEFORMAT</w:instrText>
        </w:r>
        <w:r>
          <w:fldChar w:fldCharType="separate"/>
        </w:r>
        <w:r w:rsidR="008B44A1">
          <w:rPr>
            <w:noProof/>
          </w:rPr>
          <w:t>127</w:t>
        </w:r>
        <w:r>
          <w:fldChar w:fldCharType="end"/>
        </w:r>
        <w:r>
          <w:t xml:space="preserve"> </w:t>
        </w:r>
      </w:p>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FB2B608" w14:textId="77777777" w:rsidR="0072072F" w:rsidRDefault="0072072F" w:rsidP="00827584">
      <w:pPr>
        <w:spacing w:before="0" w:after="0" w:line="240" w:lineRule="auto"/>
      </w:pPr>
      <w:bookmarkStart w:id="0" w:name="_Hlk181875134"/>
      <w:bookmarkEnd w:id="0"/>
      <w:r>
        <w:separator/>
      </w:r>
    </w:p>
  </w:footnote>
  <w:footnote w:type="continuationSeparator" w:id="0">
    <w:p w14:paraId="42F71058" w14:textId="77777777" w:rsidR="0072072F" w:rsidRDefault="0072072F" w:rsidP="00827584">
      <w:pPr>
        <w:spacing w:before="0" w:after="0" w:line="240" w:lineRule="auto"/>
      </w:pPr>
      <w:r>
        <w:continuationSeparator/>
      </w:r>
    </w:p>
  </w:footnote>
  <w:footnote w:type="continuationNotice" w:id="1">
    <w:p w14:paraId="3A38DD97" w14:textId="77777777" w:rsidR="0072072F" w:rsidRDefault="0072072F">
      <w:pPr>
        <w:spacing w:before="0" w:after="0" w:line="240" w:lineRule="auto"/>
      </w:pPr>
    </w:p>
  </w:footnote>
  <w:footnote w:id="2">
    <w:p w14:paraId="7AB7CCAA" w14:textId="77777777" w:rsidR="00241513" w:rsidRPr="00E57366" w:rsidRDefault="00241513" w:rsidP="008637EF">
      <w:pPr>
        <w:pStyle w:val="Notedebasdepage"/>
        <w:rPr>
          <w:lang w:val="fr-FR"/>
        </w:rPr>
      </w:pPr>
      <w:r>
        <w:rPr>
          <w:rStyle w:val="Appelnotedebasdep"/>
        </w:rPr>
        <w:footnoteRef/>
      </w:r>
      <w:r w:rsidRPr="00EE7891">
        <w:rPr>
          <w:lang w:val="fr-FR"/>
        </w:rPr>
        <w:t xml:space="preserve"> MRTV : </w:t>
      </w:r>
      <w:r w:rsidRPr="00E57366">
        <w:rPr>
          <w:lang w:val="fr-FR"/>
        </w:rPr>
        <w:t>Minorités rurales très vulnérables</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EBCA02" w14:textId="3B3FAA32" w:rsidR="00241513" w:rsidRDefault="00241513" w:rsidP="00713BAD">
    <w:pPr>
      <w:pStyle w:val="En-tte"/>
      <w:jc w:val="center"/>
    </w:pPr>
    <w:r>
      <w:rPr>
        <w:noProof/>
        <w:lang w:eastAsia="fr-FR" w:bidi="ar-SA"/>
      </w:rPr>
      <w:drawing>
        <wp:inline distT="0" distB="0" distL="0" distR="0" wp14:anchorId="14712120" wp14:editId="4C5DA0EA">
          <wp:extent cx="1392072" cy="962461"/>
          <wp:effectExtent l="0" t="0" r="0" b="0"/>
          <wp:docPr id="1679491011" name="Image 16794910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rotWithShape="1">
                  <a:blip r:embed="rId1">
                    <a:extLst>
                      <a:ext uri="{28A0092B-C50C-407E-A947-70E740481C1C}">
                        <a14:useLocalDpi xmlns:a14="http://schemas.microsoft.com/office/drawing/2010/main" val="0"/>
                      </a:ext>
                    </a:extLst>
                  </a:blip>
                  <a:srcRect l="4785" t="10882" r="5195" b="11147"/>
                  <a:stretch/>
                </pic:blipFill>
                <pic:spPr bwMode="auto">
                  <a:xfrm>
                    <a:off x="0" y="0"/>
                    <a:ext cx="1412749" cy="976756"/>
                  </a:xfrm>
                  <a:prstGeom prst="rect">
                    <a:avLst/>
                  </a:prstGeom>
                  <a:ln>
                    <a:noFill/>
                  </a:ln>
                  <a:extLst>
                    <a:ext uri="{53640926-AAD7-44D8-BBD7-CCE9431645EC}">
                      <a14:shadowObscured xmlns:a14="http://schemas.microsoft.com/office/drawing/2010/main"/>
                    </a:ext>
                  </a:extLst>
                </pic:spPr>
              </pic:pic>
            </a:graphicData>
          </a:graphic>
        </wp:inline>
      </w:drawing>
    </w:r>
  </w:p>
</w:hdr>
</file>

<file path=word/header10.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5E737E" w14:textId="51933E43" w:rsidR="00241513" w:rsidRDefault="00241513" w:rsidP="0087014D">
    <w:pPr>
      <w:pStyle w:val="En-tte"/>
      <w:ind w:left="4536" w:hanging="4536"/>
      <w:jc w:val="right"/>
      <w:rPr>
        <w:b/>
        <w:bCs/>
        <w:color w:val="0028A8"/>
      </w:rPr>
    </w:pPr>
    <w:r>
      <w:rPr>
        <w:noProof/>
        <w:lang w:eastAsia="fr-FR" w:bidi="ar-SA"/>
      </w:rPr>
      <w:drawing>
        <wp:anchor distT="0" distB="0" distL="114300" distR="114300" simplePos="0" relativeHeight="251717120" behindDoc="0" locked="0" layoutInCell="1" allowOverlap="1" wp14:anchorId="0390CF72" wp14:editId="63CA0E9D">
          <wp:simplePos x="0" y="0"/>
          <wp:positionH relativeFrom="margin">
            <wp:posOffset>-180975</wp:posOffset>
          </wp:positionH>
          <wp:positionV relativeFrom="paragraph">
            <wp:posOffset>-190500</wp:posOffset>
          </wp:positionV>
          <wp:extent cx="1009650" cy="597535"/>
          <wp:effectExtent l="0" t="0" r="0" b="0"/>
          <wp:wrapSquare wrapText="bothSides"/>
          <wp:docPr id="220271566" name="Image 220271566" descr="cid:image003.jpg@01DC490A.067BF5C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3" descr="cid:image003.jpg@01DC490A.067BF5C0"/>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009650" cy="597535"/>
                  </a:xfrm>
                  <a:prstGeom prst="rect">
                    <a:avLst/>
                  </a:prstGeom>
                  <a:noFill/>
                  <a:ln>
                    <a:noFill/>
                  </a:ln>
                </pic:spPr>
              </pic:pic>
            </a:graphicData>
          </a:graphic>
          <wp14:sizeRelH relativeFrom="page">
            <wp14:pctWidth>0</wp14:pctWidth>
          </wp14:sizeRelH>
          <wp14:sizeRelV relativeFrom="page">
            <wp14:pctHeight>0</wp14:pctHeight>
          </wp14:sizeRelV>
        </wp:anchor>
      </w:drawing>
    </w:r>
    <w:r>
      <w:rPr>
        <w:b/>
        <w:bCs/>
        <w:color w:val="0028A8"/>
      </w:rPr>
      <w:tab/>
    </w:r>
    <w:r>
      <w:rPr>
        <w:b/>
        <w:bCs/>
        <w:color w:val="0028A8"/>
      </w:rPr>
      <w:tab/>
    </w:r>
    <w:r>
      <w:rPr>
        <w:b/>
        <w:bCs/>
        <w:color w:val="0028A8"/>
      </w:rPr>
      <w:tab/>
    </w:r>
    <w:r w:rsidRPr="0087014D">
      <w:rPr>
        <w:b/>
        <w:bCs/>
        <w:color w:val="808080" w:themeColor="background1" w:themeShade="80"/>
      </w:rPr>
      <w:t xml:space="preserve">EIE </w:t>
    </w:r>
    <w:r>
      <w:rPr>
        <w:b/>
        <w:bCs/>
        <w:color w:val="808080" w:themeColor="background1" w:themeShade="80"/>
      </w:rPr>
      <w:t>DE L</w:t>
    </w:r>
    <w:r w:rsidRPr="0087014D">
      <w:rPr>
        <w:b/>
        <w:bCs/>
        <w:color w:val="808080" w:themeColor="background1" w:themeShade="80"/>
      </w:rPr>
      <w:t xml:space="preserve">’EXTENSION ET REAMENAGEMENT DE L’AEROPORT </w:t>
    </w:r>
    <w:r>
      <w:rPr>
        <w:b/>
        <w:bCs/>
        <w:color w:val="808080" w:themeColor="background1" w:themeShade="80"/>
      </w:rPr>
      <w:t>MARRAKECH MENARA</w:t>
    </w:r>
  </w:p>
  <w:p w14:paraId="3E816AA3" w14:textId="73EB38B2" w:rsidR="00241513" w:rsidRPr="001D3F76" w:rsidRDefault="00241513" w:rsidP="0087014D">
    <w:pPr>
      <w:pStyle w:val="En-tte"/>
      <w:ind w:left="1842" w:hanging="1842"/>
      <w:jc w:val="right"/>
      <w:rPr>
        <w:b/>
        <w:bCs/>
        <w:color w:val="0028A8"/>
      </w:rPr>
    </w:pPr>
    <w:r>
      <w:rPr>
        <w:b/>
        <w:bCs/>
        <w:color w:val="0028A8"/>
      </w:rPr>
      <w:tab/>
    </w:r>
    <w:r>
      <w:rPr>
        <w:b/>
        <w:bCs/>
        <w:color w:val="0028A8"/>
      </w:rPr>
      <w:tab/>
    </w:r>
    <w:r>
      <w:rPr>
        <w:b/>
        <w:bCs/>
        <w:color w:val="0028A8"/>
      </w:rPr>
      <w:tab/>
    </w:r>
    <w:r w:rsidRPr="006F6AD0">
      <w:rPr>
        <w:b/>
        <w:bCs/>
        <w:color w:val="0028A8"/>
      </w:rPr>
      <w:t>RAPPORT</w:t>
    </w:r>
    <w:r>
      <w:rPr>
        <w:b/>
        <w:bCs/>
        <w:color w:val="0028A8"/>
      </w:rPr>
      <w:t xml:space="preserve"> EIES</w:t>
    </w:r>
  </w:p>
</w:hdr>
</file>

<file path=word/header1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258228" w14:textId="4E91EF07" w:rsidR="00241513" w:rsidRDefault="00241513" w:rsidP="0087014D">
    <w:pPr>
      <w:pStyle w:val="En-tte"/>
      <w:ind w:left="4536" w:hanging="4536"/>
      <w:jc w:val="right"/>
      <w:rPr>
        <w:b/>
        <w:bCs/>
        <w:color w:val="0028A8"/>
      </w:rPr>
    </w:pPr>
    <w:r>
      <w:rPr>
        <w:noProof/>
        <w:lang w:eastAsia="fr-FR" w:bidi="ar-SA"/>
      </w:rPr>
      <w:drawing>
        <wp:anchor distT="0" distB="0" distL="114300" distR="114300" simplePos="0" relativeHeight="251719168" behindDoc="0" locked="0" layoutInCell="1" allowOverlap="1" wp14:anchorId="586AC4E1" wp14:editId="66AA2873">
          <wp:simplePos x="0" y="0"/>
          <wp:positionH relativeFrom="margin">
            <wp:posOffset>-323850</wp:posOffset>
          </wp:positionH>
          <wp:positionV relativeFrom="paragraph">
            <wp:posOffset>-133985</wp:posOffset>
          </wp:positionV>
          <wp:extent cx="1009650" cy="597535"/>
          <wp:effectExtent l="0" t="0" r="0" b="0"/>
          <wp:wrapSquare wrapText="bothSides"/>
          <wp:docPr id="220271569" name="Image 220271569" descr="cid:image003.jpg@01DC490A.067BF5C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3" descr="cid:image003.jpg@01DC490A.067BF5C0"/>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009650" cy="597535"/>
                  </a:xfrm>
                  <a:prstGeom prst="rect">
                    <a:avLst/>
                  </a:prstGeom>
                  <a:noFill/>
                  <a:ln>
                    <a:noFill/>
                  </a:ln>
                </pic:spPr>
              </pic:pic>
            </a:graphicData>
          </a:graphic>
          <wp14:sizeRelH relativeFrom="page">
            <wp14:pctWidth>0</wp14:pctWidth>
          </wp14:sizeRelH>
          <wp14:sizeRelV relativeFrom="page">
            <wp14:pctHeight>0</wp14:pctHeight>
          </wp14:sizeRelV>
        </wp:anchor>
      </w:drawing>
    </w:r>
    <w:r>
      <w:rPr>
        <w:b/>
        <w:bCs/>
        <w:color w:val="0028A8"/>
      </w:rPr>
      <w:tab/>
    </w:r>
    <w:r>
      <w:rPr>
        <w:b/>
        <w:bCs/>
        <w:color w:val="0028A8"/>
      </w:rPr>
      <w:tab/>
    </w:r>
    <w:r w:rsidRPr="008375F7">
      <w:rPr>
        <w:b/>
        <w:bCs/>
        <w:color w:val="808080"/>
      </w:rPr>
      <w:t xml:space="preserve">EIE DE L’EXTENSION ET REAMENAGEMENT DE L’AEROPORT </w:t>
    </w:r>
    <w:r>
      <w:rPr>
        <w:b/>
        <w:bCs/>
        <w:color w:val="808080"/>
      </w:rPr>
      <w:t>MARRAKECH MENARA</w:t>
    </w:r>
  </w:p>
  <w:p w14:paraId="24FF1D9D" w14:textId="77777777" w:rsidR="00241513" w:rsidRPr="001D3F76" w:rsidRDefault="00241513" w:rsidP="0015595B">
    <w:pPr>
      <w:pStyle w:val="En-tte"/>
      <w:ind w:left="1842" w:hanging="1842"/>
      <w:jc w:val="right"/>
      <w:rPr>
        <w:b/>
        <w:bCs/>
        <w:color w:val="0028A8"/>
      </w:rPr>
    </w:pPr>
    <w:r>
      <w:rPr>
        <w:b/>
        <w:bCs/>
        <w:color w:val="0028A8"/>
      </w:rPr>
      <w:tab/>
    </w:r>
    <w:r>
      <w:rPr>
        <w:b/>
        <w:bCs/>
        <w:color w:val="0028A8"/>
      </w:rPr>
      <w:tab/>
    </w:r>
    <w:r w:rsidRPr="00C300C6">
      <w:rPr>
        <w:b/>
        <w:bCs/>
        <w:color w:val="0028A8"/>
      </w:rPr>
      <w:t xml:space="preserve">RAPPORT </w:t>
    </w:r>
    <w:r>
      <w:rPr>
        <w:b/>
        <w:bCs/>
        <w:color w:val="0028A8"/>
      </w:rPr>
      <w:t>EIE</w:t>
    </w:r>
    <w:r>
      <w:rPr>
        <w:b/>
        <w:bCs/>
        <w:color w:val="0028A8"/>
      </w:rPr>
      <w:tab/>
    </w:r>
    <w:r>
      <w:rPr>
        <w:b/>
        <w:bCs/>
        <w:color w:val="0028A8"/>
      </w:rPr>
      <w:tab/>
    </w:r>
  </w:p>
</w:hdr>
</file>

<file path=word/header1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703398" w14:textId="24F268D0" w:rsidR="00241513" w:rsidRDefault="00241513" w:rsidP="0087014D">
    <w:pPr>
      <w:pStyle w:val="En-tte"/>
      <w:ind w:left="4536" w:hanging="4536"/>
      <w:jc w:val="right"/>
      <w:rPr>
        <w:b/>
        <w:bCs/>
        <w:color w:val="0028A8"/>
      </w:rPr>
    </w:pPr>
    <w:r>
      <w:rPr>
        <w:noProof/>
        <w:lang w:eastAsia="fr-FR" w:bidi="ar-SA"/>
      </w:rPr>
      <w:drawing>
        <wp:anchor distT="0" distB="0" distL="114300" distR="114300" simplePos="0" relativeHeight="251721216" behindDoc="0" locked="0" layoutInCell="1" allowOverlap="1" wp14:anchorId="432A3FD0" wp14:editId="231C0685">
          <wp:simplePos x="0" y="0"/>
          <wp:positionH relativeFrom="margin">
            <wp:posOffset>-209550</wp:posOffset>
          </wp:positionH>
          <wp:positionV relativeFrom="paragraph">
            <wp:posOffset>-161925</wp:posOffset>
          </wp:positionV>
          <wp:extent cx="1009650" cy="597535"/>
          <wp:effectExtent l="0" t="0" r="0" b="0"/>
          <wp:wrapSquare wrapText="bothSides"/>
          <wp:docPr id="220271573" name="Image 220271573" descr="cid:image003.jpg@01DC490A.067BF5C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3" descr="cid:image003.jpg@01DC490A.067BF5C0"/>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009650" cy="597535"/>
                  </a:xfrm>
                  <a:prstGeom prst="rect">
                    <a:avLst/>
                  </a:prstGeom>
                  <a:noFill/>
                  <a:ln>
                    <a:noFill/>
                  </a:ln>
                </pic:spPr>
              </pic:pic>
            </a:graphicData>
          </a:graphic>
          <wp14:sizeRelH relativeFrom="page">
            <wp14:pctWidth>0</wp14:pctWidth>
          </wp14:sizeRelH>
          <wp14:sizeRelV relativeFrom="page">
            <wp14:pctHeight>0</wp14:pctHeight>
          </wp14:sizeRelV>
        </wp:anchor>
      </w:drawing>
    </w:r>
    <w:r>
      <w:rPr>
        <w:b/>
        <w:bCs/>
        <w:color w:val="0028A8"/>
      </w:rPr>
      <w:tab/>
    </w:r>
    <w:r>
      <w:rPr>
        <w:b/>
        <w:bCs/>
        <w:color w:val="0028A8"/>
      </w:rPr>
      <w:tab/>
    </w:r>
    <w:r>
      <w:rPr>
        <w:b/>
        <w:bCs/>
        <w:color w:val="0028A8"/>
      </w:rPr>
      <w:tab/>
    </w:r>
    <w:r w:rsidRPr="0087014D">
      <w:rPr>
        <w:b/>
        <w:bCs/>
        <w:color w:val="808080" w:themeColor="background1" w:themeShade="80"/>
      </w:rPr>
      <w:t xml:space="preserve">EIE </w:t>
    </w:r>
    <w:r>
      <w:rPr>
        <w:b/>
        <w:bCs/>
        <w:color w:val="808080" w:themeColor="background1" w:themeShade="80"/>
      </w:rPr>
      <w:t>DE L</w:t>
    </w:r>
    <w:r w:rsidRPr="0087014D">
      <w:rPr>
        <w:b/>
        <w:bCs/>
        <w:color w:val="808080" w:themeColor="background1" w:themeShade="80"/>
      </w:rPr>
      <w:t xml:space="preserve">’EXTENSION ET REAMENAGEMENT DE L’AEROPORT </w:t>
    </w:r>
    <w:r>
      <w:rPr>
        <w:b/>
        <w:bCs/>
        <w:color w:val="808080" w:themeColor="background1" w:themeShade="80"/>
      </w:rPr>
      <w:t>MARRAKECH MENARA</w:t>
    </w:r>
  </w:p>
  <w:p w14:paraId="797838D7" w14:textId="5B574B3D" w:rsidR="00241513" w:rsidRPr="001D3F76" w:rsidRDefault="00241513" w:rsidP="0087014D">
    <w:pPr>
      <w:pStyle w:val="En-tte"/>
      <w:ind w:left="1842" w:hanging="1842"/>
      <w:jc w:val="right"/>
      <w:rPr>
        <w:b/>
        <w:bCs/>
        <w:color w:val="0028A8"/>
      </w:rPr>
    </w:pPr>
    <w:r>
      <w:rPr>
        <w:b/>
        <w:bCs/>
        <w:color w:val="0028A8"/>
      </w:rPr>
      <w:tab/>
    </w:r>
    <w:r>
      <w:rPr>
        <w:b/>
        <w:bCs/>
        <w:color w:val="0028A8"/>
      </w:rPr>
      <w:tab/>
    </w:r>
    <w:r>
      <w:rPr>
        <w:b/>
        <w:bCs/>
        <w:color w:val="0028A8"/>
      </w:rPr>
      <w:tab/>
    </w:r>
    <w:r w:rsidRPr="00C300C6">
      <w:rPr>
        <w:b/>
        <w:bCs/>
        <w:color w:val="0028A8"/>
      </w:rPr>
      <w:t xml:space="preserve">RAPPORT </w:t>
    </w:r>
    <w:r>
      <w:rPr>
        <w:b/>
        <w:bCs/>
        <w:color w:val="0028A8"/>
      </w:rPr>
      <w:t>EIES</w:t>
    </w:r>
  </w:p>
</w:hdr>
</file>

<file path=word/header1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AED1D4" w14:textId="3F7E31B1" w:rsidR="00241513" w:rsidRDefault="00241513" w:rsidP="0087014D">
    <w:pPr>
      <w:pStyle w:val="En-tte"/>
      <w:ind w:left="4536" w:hanging="4536"/>
      <w:jc w:val="right"/>
      <w:rPr>
        <w:b/>
        <w:bCs/>
        <w:color w:val="0028A8"/>
      </w:rPr>
    </w:pPr>
    <w:r>
      <w:rPr>
        <w:noProof/>
        <w:lang w:eastAsia="fr-FR" w:bidi="ar-SA"/>
      </w:rPr>
      <w:drawing>
        <wp:anchor distT="0" distB="0" distL="114300" distR="114300" simplePos="0" relativeHeight="251723264" behindDoc="0" locked="0" layoutInCell="1" allowOverlap="1" wp14:anchorId="60287F0F" wp14:editId="3A363A4F">
          <wp:simplePos x="0" y="0"/>
          <wp:positionH relativeFrom="margin">
            <wp:posOffset>-161925</wp:posOffset>
          </wp:positionH>
          <wp:positionV relativeFrom="paragraph">
            <wp:posOffset>-172085</wp:posOffset>
          </wp:positionV>
          <wp:extent cx="1009650" cy="597535"/>
          <wp:effectExtent l="0" t="0" r="0" b="0"/>
          <wp:wrapSquare wrapText="bothSides"/>
          <wp:docPr id="220271576" name="Image 220271576" descr="cid:image003.jpg@01DC490A.067BF5C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3" descr="cid:image003.jpg@01DC490A.067BF5C0"/>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009650" cy="597535"/>
                  </a:xfrm>
                  <a:prstGeom prst="rect">
                    <a:avLst/>
                  </a:prstGeom>
                  <a:noFill/>
                  <a:ln>
                    <a:noFill/>
                  </a:ln>
                </pic:spPr>
              </pic:pic>
            </a:graphicData>
          </a:graphic>
          <wp14:sizeRelH relativeFrom="page">
            <wp14:pctWidth>0</wp14:pctWidth>
          </wp14:sizeRelH>
          <wp14:sizeRelV relativeFrom="page">
            <wp14:pctHeight>0</wp14:pctHeight>
          </wp14:sizeRelV>
        </wp:anchor>
      </w:drawing>
    </w:r>
    <w:r>
      <w:rPr>
        <w:b/>
        <w:bCs/>
        <w:color w:val="0028A8"/>
      </w:rPr>
      <w:tab/>
    </w:r>
    <w:r>
      <w:rPr>
        <w:b/>
        <w:bCs/>
        <w:color w:val="0028A8"/>
      </w:rPr>
      <w:tab/>
    </w:r>
    <w:r w:rsidRPr="0087014D">
      <w:rPr>
        <w:b/>
        <w:bCs/>
        <w:color w:val="808080" w:themeColor="background1" w:themeShade="80"/>
      </w:rPr>
      <w:t xml:space="preserve">EIE </w:t>
    </w:r>
    <w:r>
      <w:rPr>
        <w:b/>
        <w:bCs/>
        <w:color w:val="808080" w:themeColor="background1" w:themeShade="80"/>
      </w:rPr>
      <w:t>DE L</w:t>
    </w:r>
    <w:r w:rsidRPr="0087014D">
      <w:rPr>
        <w:b/>
        <w:bCs/>
        <w:color w:val="808080" w:themeColor="background1" w:themeShade="80"/>
      </w:rPr>
      <w:t xml:space="preserve">’EXTENSION ET REAMENAGEMENT DE L’AEROPORT </w:t>
    </w:r>
    <w:r>
      <w:rPr>
        <w:b/>
        <w:bCs/>
        <w:color w:val="808080" w:themeColor="background1" w:themeShade="80"/>
      </w:rPr>
      <w:t>MARRAKECH MENARA</w:t>
    </w:r>
  </w:p>
  <w:p w14:paraId="08B4A4A9" w14:textId="53644A55" w:rsidR="00241513" w:rsidRPr="001D3F76" w:rsidRDefault="00241513" w:rsidP="007815F7">
    <w:pPr>
      <w:pStyle w:val="En-tte"/>
      <w:ind w:left="8080" w:hanging="1842"/>
      <w:jc w:val="right"/>
      <w:rPr>
        <w:b/>
        <w:bCs/>
        <w:color w:val="0028A8"/>
      </w:rPr>
    </w:pPr>
    <w:r>
      <w:rPr>
        <w:b/>
        <w:bCs/>
        <w:color w:val="0028A8"/>
      </w:rPr>
      <w:tab/>
    </w:r>
    <w:r>
      <w:rPr>
        <w:b/>
        <w:bCs/>
        <w:color w:val="0028A8"/>
      </w:rPr>
      <w:tab/>
    </w:r>
    <w:r w:rsidRPr="00C300C6">
      <w:rPr>
        <w:b/>
        <w:bCs/>
        <w:color w:val="0028A8"/>
      </w:rPr>
      <w:t xml:space="preserve">RAPPORT </w:t>
    </w:r>
    <w:r>
      <w:rPr>
        <w:b/>
        <w:bCs/>
        <w:color w:val="0028A8"/>
      </w:rPr>
      <w:t>EIES</w:t>
    </w:r>
    <w:r>
      <w:rPr>
        <w:b/>
        <w:bCs/>
        <w:color w:val="0028A8"/>
      </w:rPr>
      <w:tab/>
    </w:r>
  </w:p>
</w:hdr>
</file>

<file path=word/header1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83F816" w14:textId="492C7919" w:rsidR="00241513" w:rsidRDefault="00241513" w:rsidP="0087014D">
    <w:pPr>
      <w:pStyle w:val="En-tte"/>
      <w:ind w:left="4536" w:hanging="4536"/>
      <w:jc w:val="right"/>
      <w:rPr>
        <w:b/>
        <w:bCs/>
        <w:color w:val="0028A8"/>
      </w:rPr>
    </w:pPr>
    <w:r>
      <w:rPr>
        <w:b/>
        <w:bCs/>
        <w:noProof/>
        <w:color w:val="0028A8"/>
        <w:lang w:eastAsia="fr-FR" w:bidi="ar-SA"/>
      </w:rPr>
      <w:drawing>
        <wp:anchor distT="0" distB="0" distL="114300" distR="114300" simplePos="0" relativeHeight="251618816" behindDoc="0" locked="0" layoutInCell="1" allowOverlap="1" wp14:anchorId="2F33149C" wp14:editId="55AA7CF0">
          <wp:simplePos x="0" y="0"/>
          <wp:positionH relativeFrom="margin">
            <wp:posOffset>-320040</wp:posOffset>
          </wp:positionH>
          <wp:positionV relativeFrom="paragraph">
            <wp:posOffset>-145102</wp:posOffset>
          </wp:positionV>
          <wp:extent cx="1092480" cy="723331"/>
          <wp:effectExtent l="0" t="0" r="0" b="635"/>
          <wp:wrapSquare wrapText="bothSides"/>
          <wp:docPr id="220271579" name="Image 220271579" descr="Une image contenant capture d’écran, conception&#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 28" descr="Une image contenant capture d’écran, conception&#10;&#10;Description générée automatiquement"/>
                  <pic:cNvPicPr/>
                </pic:nvPicPr>
                <pic:blipFill rotWithShape="1">
                  <a:blip r:embed="rId1">
                    <a:extLst>
                      <a:ext uri="{28A0092B-C50C-407E-A947-70E740481C1C}">
                        <a14:useLocalDpi xmlns:a14="http://schemas.microsoft.com/office/drawing/2010/main" val="0"/>
                      </a:ext>
                    </a:extLst>
                  </a:blip>
                  <a:srcRect b="8505"/>
                  <a:stretch/>
                </pic:blipFill>
                <pic:spPr bwMode="auto">
                  <a:xfrm>
                    <a:off x="0" y="0"/>
                    <a:ext cx="1092480" cy="723331"/>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b/>
        <w:bCs/>
        <w:color w:val="0028A8"/>
      </w:rPr>
      <w:tab/>
    </w:r>
    <w:r>
      <w:rPr>
        <w:b/>
        <w:bCs/>
        <w:color w:val="0028A8"/>
      </w:rPr>
      <w:tab/>
    </w:r>
    <w:r>
      <w:rPr>
        <w:b/>
        <w:bCs/>
        <w:color w:val="0028A8"/>
      </w:rPr>
      <w:tab/>
    </w:r>
    <w:r w:rsidRPr="0087014D">
      <w:rPr>
        <w:b/>
        <w:bCs/>
        <w:color w:val="808080" w:themeColor="background1" w:themeShade="80"/>
      </w:rPr>
      <w:t xml:space="preserve">EIE </w:t>
    </w:r>
    <w:r>
      <w:rPr>
        <w:b/>
        <w:bCs/>
        <w:color w:val="808080" w:themeColor="background1" w:themeShade="80"/>
      </w:rPr>
      <w:t>DE L</w:t>
    </w:r>
    <w:r w:rsidRPr="0087014D">
      <w:rPr>
        <w:b/>
        <w:bCs/>
        <w:color w:val="808080" w:themeColor="background1" w:themeShade="80"/>
      </w:rPr>
      <w:t xml:space="preserve">’EXTENSION ET REAMENAGEMENT DE L’AEROPORT </w:t>
    </w:r>
    <w:r>
      <w:rPr>
        <w:b/>
        <w:bCs/>
        <w:color w:val="808080" w:themeColor="background1" w:themeShade="80"/>
      </w:rPr>
      <w:t>MARRAKECH MENARA</w:t>
    </w:r>
  </w:p>
  <w:p w14:paraId="61D122DB" w14:textId="2DD4D228" w:rsidR="00241513" w:rsidRPr="001D3F76" w:rsidRDefault="00241513" w:rsidP="00AE7DDF">
    <w:pPr>
      <w:pStyle w:val="En-tte"/>
      <w:ind w:left="1842" w:hanging="1842"/>
      <w:jc w:val="right"/>
      <w:rPr>
        <w:b/>
        <w:bCs/>
        <w:color w:val="0028A8"/>
      </w:rPr>
    </w:pPr>
    <w:r>
      <w:rPr>
        <w:b/>
        <w:bCs/>
        <w:color w:val="0028A8"/>
      </w:rPr>
      <w:tab/>
    </w:r>
    <w:r>
      <w:rPr>
        <w:b/>
        <w:bCs/>
        <w:color w:val="0028A8"/>
      </w:rPr>
      <w:tab/>
    </w:r>
    <w:r>
      <w:rPr>
        <w:b/>
        <w:bCs/>
        <w:color w:val="0028A8"/>
      </w:rPr>
      <w:tab/>
      <w:t xml:space="preserve">  </w:t>
    </w:r>
    <w:r w:rsidRPr="006F6AD0">
      <w:rPr>
        <w:b/>
        <w:bCs/>
        <w:color w:val="0028A8"/>
      </w:rPr>
      <w:t>RAPPORT</w:t>
    </w:r>
    <w:r>
      <w:rPr>
        <w:b/>
        <w:bCs/>
        <w:color w:val="0028A8"/>
      </w:rPr>
      <w:t xml:space="preserve"> EIE</w:t>
    </w:r>
  </w:p>
</w:hdr>
</file>

<file path=word/header1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3E895E" w14:textId="2FDF4D7D" w:rsidR="00241513" w:rsidRDefault="00241513" w:rsidP="0087014D">
    <w:pPr>
      <w:pStyle w:val="En-tte"/>
      <w:ind w:left="4536" w:hanging="4536"/>
      <w:jc w:val="right"/>
      <w:rPr>
        <w:b/>
        <w:bCs/>
        <w:color w:val="0028A8"/>
      </w:rPr>
    </w:pPr>
    <w:r>
      <w:rPr>
        <w:noProof/>
        <w:lang w:eastAsia="fr-FR" w:bidi="ar-SA"/>
      </w:rPr>
      <w:drawing>
        <wp:anchor distT="0" distB="0" distL="114300" distR="114300" simplePos="0" relativeHeight="251725312" behindDoc="0" locked="0" layoutInCell="1" allowOverlap="1" wp14:anchorId="24AC7154" wp14:editId="3A9126E2">
          <wp:simplePos x="0" y="0"/>
          <wp:positionH relativeFrom="margin">
            <wp:posOffset>-304800</wp:posOffset>
          </wp:positionH>
          <wp:positionV relativeFrom="paragraph">
            <wp:posOffset>-143510</wp:posOffset>
          </wp:positionV>
          <wp:extent cx="1009650" cy="597535"/>
          <wp:effectExtent l="0" t="0" r="0" b="0"/>
          <wp:wrapSquare wrapText="bothSides"/>
          <wp:docPr id="220271581" name="Image 220271581" descr="cid:image003.jpg@01DC490A.067BF5C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3" descr="cid:image003.jpg@01DC490A.067BF5C0"/>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009650" cy="597535"/>
                  </a:xfrm>
                  <a:prstGeom prst="rect">
                    <a:avLst/>
                  </a:prstGeom>
                  <a:noFill/>
                  <a:ln>
                    <a:noFill/>
                  </a:ln>
                </pic:spPr>
              </pic:pic>
            </a:graphicData>
          </a:graphic>
          <wp14:sizeRelH relativeFrom="page">
            <wp14:pctWidth>0</wp14:pctWidth>
          </wp14:sizeRelH>
          <wp14:sizeRelV relativeFrom="page">
            <wp14:pctHeight>0</wp14:pctHeight>
          </wp14:sizeRelV>
        </wp:anchor>
      </w:drawing>
    </w:r>
    <w:r>
      <w:rPr>
        <w:b/>
        <w:bCs/>
        <w:color w:val="0028A8"/>
      </w:rPr>
      <w:tab/>
    </w:r>
    <w:r>
      <w:rPr>
        <w:b/>
        <w:bCs/>
        <w:color w:val="0028A8"/>
      </w:rPr>
      <w:tab/>
    </w:r>
    <w:r w:rsidRPr="0087014D">
      <w:rPr>
        <w:b/>
        <w:bCs/>
        <w:color w:val="808080" w:themeColor="background1" w:themeShade="80"/>
      </w:rPr>
      <w:t xml:space="preserve">EIE </w:t>
    </w:r>
    <w:r>
      <w:rPr>
        <w:b/>
        <w:bCs/>
        <w:color w:val="808080" w:themeColor="background1" w:themeShade="80"/>
      </w:rPr>
      <w:t>DE L</w:t>
    </w:r>
    <w:r w:rsidRPr="0087014D">
      <w:rPr>
        <w:b/>
        <w:bCs/>
        <w:color w:val="808080" w:themeColor="background1" w:themeShade="80"/>
      </w:rPr>
      <w:t xml:space="preserve">’EXTENSION ET REAMENAGEMENT DE L’AEROPORT </w:t>
    </w:r>
    <w:r>
      <w:rPr>
        <w:b/>
        <w:bCs/>
        <w:color w:val="808080" w:themeColor="background1" w:themeShade="80"/>
      </w:rPr>
      <w:t>MARRAKECH MENARA</w:t>
    </w:r>
  </w:p>
  <w:p w14:paraId="7228B8E2" w14:textId="77777777" w:rsidR="00241513" w:rsidRPr="001D3F76" w:rsidRDefault="00241513" w:rsidP="0087014D">
    <w:pPr>
      <w:pStyle w:val="En-tte"/>
      <w:ind w:left="1842" w:hanging="1842"/>
      <w:jc w:val="right"/>
      <w:rPr>
        <w:b/>
        <w:bCs/>
        <w:color w:val="0028A8"/>
      </w:rPr>
    </w:pPr>
    <w:r>
      <w:rPr>
        <w:b/>
        <w:bCs/>
        <w:color w:val="0028A8"/>
      </w:rPr>
      <w:tab/>
    </w:r>
    <w:r>
      <w:rPr>
        <w:b/>
        <w:bCs/>
        <w:color w:val="0028A8"/>
      </w:rPr>
      <w:tab/>
    </w:r>
    <w:r w:rsidRPr="006F6AD0">
      <w:rPr>
        <w:b/>
        <w:bCs/>
        <w:color w:val="0028A8"/>
      </w:rPr>
      <w:t>RAPPORT</w:t>
    </w:r>
    <w:r>
      <w:rPr>
        <w:b/>
        <w:bCs/>
        <w:color w:val="0028A8"/>
      </w:rPr>
      <w:t xml:space="preserve"> EIE</w:t>
    </w:r>
    <w:r>
      <w:rPr>
        <w:b/>
        <w:bCs/>
        <w:color w:val="0028A8"/>
      </w:rPr>
      <w:tab/>
    </w:r>
    <w:r>
      <w:rPr>
        <w:b/>
        <w:bCs/>
        <w:color w:val="0028A8"/>
      </w:rPr>
      <w:tab/>
    </w:r>
  </w:p>
</w:hdr>
</file>

<file path=word/header1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5B5695" w14:textId="1CE274C4" w:rsidR="00241513" w:rsidRDefault="00241513" w:rsidP="0087014D">
    <w:pPr>
      <w:pStyle w:val="En-tte"/>
      <w:ind w:left="4536" w:hanging="4536"/>
      <w:jc w:val="right"/>
      <w:rPr>
        <w:b/>
        <w:bCs/>
        <w:color w:val="0028A8"/>
      </w:rPr>
    </w:pPr>
    <w:r>
      <w:rPr>
        <w:noProof/>
        <w:lang w:eastAsia="fr-FR" w:bidi="ar-SA"/>
      </w:rPr>
      <w:drawing>
        <wp:anchor distT="0" distB="0" distL="114300" distR="114300" simplePos="0" relativeHeight="251729408" behindDoc="0" locked="0" layoutInCell="1" allowOverlap="1" wp14:anchorId="36A63901" wp14:editId="16E115FB">
          <wp:simplePos x="0" y="0"/>
          <wp:positionH relativeFrom="margin">
            <wp:align>left</wp:align>
          </wp:positionH>
          <wp:positionV relativeFrom="paragraph">
            <wp:posOffset>-180975</wp:posOffset>
          </wp:positionV>
          <wp:extent cx="1009650" cy="597535"/>
          <wp:effectExtent l="0" t="0" r="0" b="0"/>
          <wp:wrapSquare wrapText="bothSides"/>
          <wp:docPr id="220271583" name="Image 220271583" descr="cid:image003.jpg@01DC490A.067BF5C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3" descr="cid:image003.jpg@01DC490A.067BF5C0"/>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009650" cy="597535"/>
                  </a:xfrm>
                  <a:prstGeom prst="rect">
                    <a:avLst/>
                  </a:prstGeom>
                  <a:noFill/>
                  <a:ln>
                    <a:noFill/>
                  </a:ln>
                </pic:spPr>
              </pic:pic>
            </a:graphicData>
          </a:graphic>
          <wp14:sizeRelH relativeFrom="page">
            <wp14:pctWidth>0</wp14:pctWidth>
          </wp14:sizeRelH>
          <wp14:sizeRelV relativeFrom="page">
            <wp14:pctHeight>0</wp14:pctHeight>
          </wp14:sizeRelV>
        </wp:anchor>
      </w:drawing>
    </w:r>
    <w:r>
      <w:rPr>
        <w:b/>
        <w:bCs/>
        <w:color w:val="0028A8"/>
      </w:rPr>
      <w:tab/>
    </w:r>
    <w:r>
      <w:rPr>
        <w:b/>
        <w:bCs/>
        <w:color w:val="0028A8"/>
      </w:rPr>
      <w:tab/>
    </w:r>
    <w:r>
      <w:rPr>
        <w:b/>
        <w:bCs/>
        <w:color w:val="0028A8"/>
      </w:rPr>
      <w:tab/>
    </w:r>
    <w:r w:rsidRPr="0087014D">
      <w:rPr>
        <w:b/>
        <w:bCs/>
        <w:color w:val="808080" w:themeColor="background1" w:themeShade="80"/>
      </w:rPr>
      <w:t xml:space="preserve">EIE </w:t>
    </w:r>
    <w:r>
      <w:rPr>
        <w:b/>
        <w:bCs/>
        <w:color w:val="808080" w:themeColor="background1" w:themeShade="80"/>
      </w:rPr>
      <w:t>DE L</w:t>
    </w:r>
    <w:r w:rsidRPr="0087014D">
      <w:rPr>
        <w:b/>
        <w:bCs/>
        <w:color w:val="808080" w:themeColor="background1" w:themeShade="80"/>
      </w:rPr>
      <w:t xml:space="preserve">’EXTENSION ET REAMENAGEMENT DE L’AEROPORT </w:t>
    </w:r>
    <w:r>
      <w:rPr>
        <w:b/>
        <w:bCs/>
        <w:color w:val="808080" w:themeColor="background1" w:themeShade="80"/>
      </w:rPr>
      <w:t>MARRAKECH MENARA</w:t>
    </w:r>
  </w:p>
  <w:p w14:paraId="0B156108" w14:textId="6D88B3BC" w:rsidR="00241513" w:rsidRPr="001D3F76" w:rsidRDefault="00241513" w:rsidP="008E4B42">
    <w:pPr>
      <w:pStyle w:val="En-tte"/>
      <w:ind w:left="1842" w:hanging="1842"/>
      <w:jc w:val="right"/>
      <w:rPr>
        <w:b/>
        <w:bCs/>
        <w:color w:val="0028A8"/>
      </w:rPr>
    </w:pPr>
    <w:r>
      <w:rPr>
        <w:b/>
        <w:bCs/>
        <w:color w:val="0028A8"/>
      </w:rPr>
      <w:tab/>
    </w:r>
    <w:r>
      <w:rPr>
        <w:b/>
        <w:bCs/>
        <w:color w:val="0028A8"/>
      </w:rPr>
      <w:tab/>
    </w:r>
    <w:r>
      <w:rPr>
        <w:b/>
        <w:bCs/>
        <w:color w:val="0028A8"/>
      </w:rPr>
      <w:tab/>
    </w:r>
    <w:r>
      <w:rPr>
        <w:b/>
        <w:bCs/>
        <w:color w:val="0028A8"/>
      </w:rPr>
      <w:tab/>
    </w:r>
    <w:r>
      <w:rPr>
        <w:b/>
        <w:bCs/>
        <w:color w:val="0028A8"/>
      </w:rPr>
      <w:tab/>
    </w:r>
    <w:r w:rsidRPr="006F6AD0">
      <w:rPr>
        <w:b/>
        <w:bCs/>
        <w:color w:val="0028A8"/>
      </w:rPr>
      <w:t>RAPPORT</w:t>
    </w:r>
    <w:r>
      <w:rPr>
        <w:b/>
        <w:bCs/>
        <w:color w:val="0028A8"/>
      </w:rPr>
      <w:t xml:space="preserve"> EIE</w:t>
    </w:r>
  </w:p>
</w:hdr>
</file>

<file path=word/header1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71DEF8" w14:textId="6B6CF91A" w:rsidR="00241513" w:rsidRDefault="00241513" w:rsidP="0087014D">
    <w:pPr>
      <w:pStyle w:val="En-tte"/>
      <w:ind w:left="4536" w:hanging="4536"/>
      <w:jc w:val="right"/>
      <w:rPr>
        <w:b/>
        <w:bCs/>
        <w:color w:val="0028A8"/>
      </w:rPr>
    </w:pPr>
    <w:r>
      <w:rPr>
        <w:noProof/>
        <w:lang w:eastAsia="fr-FR" w:bidi="ar-SA"/>
      </w:rPr>
      <w:drawing>
        <wp:anchor distT="0" distB="0" distL="114300" distR="114300" simplePos="0" relativeHeight="251727360" behindDoc="0" locked="0" layoutInCell="1" allowOverlap="1" wp14:anchorId="4E9D5627" wp14:editId="5C53F0F3">
          <wp:simplePos x="0" y="0"/>
          <wp:positionH relativeFrom="margin">
            <wp:posOffset>-152400</wp:posOffset>
          </wp:positionH>
          <wp:positionV relativeFrom="paragraph">
            <wp:posOffset>-162560</wp:posOffset>
          </wp:positionV>
          <wp:extent cx="1009650" cy="597535"/>
          <wp:effectExtent l="0" t="0" r="0" b="0"/>
          <wp:wrapSquare wrapText="bothSides"/>
          <wp:docPr id="220271585" name="Image 220271585" descr="cid:image003.jpg@01DC490A.067BF5C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3" descr="cid:image003.jpg@01DC490A.067BF5C0"/>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009650" cy="597535"/>
                  </a:xfrm>
                  <a:prstGeom prst="rect">
                    <a:avLst/>
                  </a:prstGeom>
                  <a:noFill/>
                  <a:ln>
                    <a:noFill/>
                  </a:ln>
                </pic:spPr>
              </pic:pic>
            </a:graphicData>
          </a:graphic>
          <wp14:sizeRelH relativeFrom="page">
            <wp14:pctWidth>0</wp14:pctWidth>
          </wp14:sizeRelH>
          <wp14:sizeRelV relativeFrom="page">
            <wp14:pctHeight>0</wp14:pctHeight>
          </wp14:sizeRelV>
        </wp:anchor>
      </w:drawing>
    </w:r>
    <w:r>
      <w:rPr>
        <w:b/>
        <w:bCs/>
        <w:color w:val="0028A8"/>
      </w:rPr>
      <w:tab/>
    </w:r>
    <w:r>
      <w:rPr>
        <w:b/>
        <w:bCs/>
        <w:color w:val="0028A8"/>
      </w:rPr>
      <w:tab/>
    </w:r>
    <w:r w:rsidRPr="0087014D">
      <w:rPr>
        <w:b/>
        <w:bCs/>
        <w:color w:val="808080" w:themeColor="background1" w:themeShade="80"/>
      </w:rPr>
      <w:t xml:space="preserve">EIE </w:t>
    </w:r>
    <w:r>
      <w:rPr>
        <w:b/>
        <w:bCs/>
        <w:color w:val="808080" w:themeColor="background1" w:themeShade="80"/>
      </w:rPr>
      <w:t>DE L</w:t>
    </w:r>
    <w:r w:rsidRPr="0087014D">
      <w:rPr>
        <w:b/>
        <w:bCs/>
        <w:color w:val="808080" w:themeColor="background1" w:themeShade="80"/>
      </w:rPr>
      <w:t xml:space="preserve">’EXTENSION ET REAMENAGEMENT DE L’AEROPORT </w:t>
    </w:r>
    <w:r>
      <w:rPr>
        <w:b/>
        <w:bCs/>
        <w:color w:val="808080" w:themeColor="background1" w:themeShade="80"/>
      </w:rPr>
      <w:t>MARRAKECH MENARA</w:t>
    </w:r>
  </w:p>
  <w:p w14:paraId="2283B82C" w14:textId="77777777" w:rsidR="00241513" w:rsidRPr="001D3F76" w:rsidRDefault="00241513" w:rsidP="0087014D">
    <w:pPr>
      <w:pStyle w:val="En-tte"/>
      <w:ind w:left="1842" w:hanging="1842"/>
      <w:jc w:val="right"/>
      <w:rPr>
        <w:b/>
        <w:bCs/>
        <w:color w:val="0028A8"/>
      </w:rPr>
    </w:pPr>
    <w:r>
      <w:rPr>
        <w:b/>
        <w:bCs/>
        <w:color w:val="0028A8"/>
      </w:rPr>
      <w:tab/>
    </w:r>
    <w:r>
      <w:rPr>
        <w:b/>
        <w:bCs/>
        <w:color w:val="0028A8"/>
      </w:rPr>
      <w:tab/>
    </w:r>
    <w:r w:rsidRPr="006F6AD0">
      <w:rPr>
        <w:b/>
        <w:bCs/>
        <w:color w:val="0028A8"/>
      </w:rPr>
      <w:t>RAPPORT</w:t>
    </w:r>
    <w:r>
      <w:rPr>
        <w:b/>
        <w:bCs/>
        <w:color w:val="0028A8"/>
      </w:rPr>
      <w:t xml:space="preserve"> EIE</w:t>
    </w:r>
    <w:r>
      <w:rPr>
        <w:b/>
        <w:bCs/>
        <w:color w:val="0028A8"/>
      </w:rPr>
      <w:tab/>
    </w:r>
    <w:r>
      <w:rPr>
        <w:b/>
        <w:bCs/>
        <w:color w:val="0028A8"/>
      </w:rPr>
      <w:tab/>
    </w:r>
  </w:p>
</w:hdr>
</file>

<file path=word/header1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5E2CB2" w14:textId="179FB37E" w:rsidR="00241513" w:rsidRDefault="00241513" w:rsidP="0087014D">
    <w:pPr>
      <w:pStyle w:val="En-tte"/>
      <w:ind w:left="4536" w:hanging="4536"/>
      <w:jc w:val="right"/>
      <w:rPr>
        <w:b/>
        <w:bCs/>
        <w:color w:val="0028A8"/>
      </w:rPr>
    </w:pPr>
    <w:r>
      <w:rPr>
        <w:noProof/>
        <w:lang w:eastAsia="fr-FR" w:bidi="ar-SA"/>
      </w:rPr>
      <w:drawing>
        <wp:anchor distT="0" distB="0" distL="114300" distR="114300" simplePos="0" relativeHeight="251731456" behindDoc="0" locked="0" layoutInCell="1" allowOverlap="1" wp14:anchorId="64B596B4" wp14:editId="403874D1">
          <wp:simplePos x="0" y="0"/>
          <wp:positionH relativeFrom="margin">
            <wp:align>left</wp:align>
          </wp:positionH>
          <wp:positionV relativeFrom="paragraph">
            <wp:posOffset>-104775</wp:posOffset>
          </wp:positionV>
          <wp:extent cx="1009650" cy="597535"/>
          <wp:effectExtent l="0" t="0" r="0" b="0"/>
          <wp:wrapSquare wrapText="bothSides"/>
          <wp:docPr id="220271587" name="Image 220271587" descr="cid:image003.jpg@01DC490A.067BF5C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3" descr="cid:image003.jpg@01DC490A.067BF5C0"/>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009650" cy="597535"/>
                  </a:xfrm>
                  <a:prstGeom prst="rect">
                    <a:avLst/>
                  </a:prstGeom>
                  <a:noFill/>
                  <a:ln>
                    <a:noFill/>
                  </a:ln>
                </pic:spPr>
              </pic:pic>
            </a:graphicData>
          </a:graphic>
          <wp14:sizeRelH relativeFrom="page">
            <wp14:pctWidth>0</wp14:pctWidth>
          </wp14:sizeRelH>
          <wp14:sizeRelV relativeFrom="page">
            <wp14:pctHeight>0</wp14:pctHeight>
          </wp14:sizeRelV>
        </wp:anchor>
      </w:drawing>
    </w:r>
    <w:r>
      <w:rPr>
        <w:b/>
        <w:bCs/>
        <w:color w:val="0028A8"/>
      </w:rPr>
      <w:tab/>
    </w:r>
    <w:r>
      <w:rPr>
        <w:b/>
        <w:bCs/>
        <w:color w:val="0028A8"/>
      </w:rPr>
      <w:tab/>
    </w:r>
    <w:r>
      <w:rPr>
        <w:b/>
        <w:bCs/>
        <w:color w:val="0028A8"/>
      </w:rPr>
      <w:tab/>
    </w:r>
    <w:r w:rsidRPr="0087014D">
      <w:rPr>
        <w:b/>
        <w:bCs/>
        <w:color w:val="808080" w:themeColor="background1" w:themeShade="80"/>
      </w:rPr>
      <w:t xml:space="preserve">EIE </w:t>
    </w:r>
    <w:r>
      <w:rPr>
        <w:b/>
        <w:bCs/>
        <w:color w:val="808080" w:themeColor="background1" w:themeShade="80"/>
      </w:rPr>
      <w:t>DE L</w:t>
    </w:r>
    <w:r w:rsidRPr="0087014D">
      <w:rPr>
        <w:b/>
        <w:bCs/>
        <w:color w:val="808080" w:themeColor="background1" w:themeShade="80"/>
      </w:rPr>
      <w:t xml:space="preserve">’EXTENSION ET REAMENAGEMENT DE L’AEROPORT </w:t>
    </w:r>
    <w:r>
      <w:rPr>
        <w:b/>
        <w:bCs/>
        <w:color w:val="808080" w:themeColor="background1" w:themeShade="80"/>
      </w:rPr>
      <w:t>MARRAKECH MENARA</w:t>
    </w:r>
  </w:p>
  <w:p w14:paraId="1EE5534D" w14:textId="5007789F" w:rsidR="00241513" w:rsidRPr="001D3F76" w:rsidRDefault="00241513" w:rsidP="00144390">
    <w:pPr>
      <w:pStyle w:val="En-tte"/>
      <w:ind w:left="1842" w:hanging="1842"/>
      <w:jc w:val="right"/>
      <w:rPr>
        <w:b/>
        <w:bCs/>
        <w:color w:val="0028A8"/>
      </w:rPr>
    </w:pPr>
    <w:r>
      <w:rPr>
        <w:b/>
        <w:bCs/>
        <w:color w:val="0028A8"/>
      </w:rPr>
      <w:tab/>
    </w:r>
    <w:r>
      <w:rPr>
        <w:b/>
        <w:bCs/>
        <w:color w:val="0028A8"/>
      </w:rPr>
      <w:tab/>
    </w:r>
    <w:r>
      <w:rPr>
        <w:b/>
        <w:bCs/>
        <w:color w:val="0028A8"/>
      </w:rPr>
      <w:tab/>
    </w:r>
    <w:r w:rsidRPr="006F6AD0">
      <w:rPr>
        <w:b/>
        <w:bCs/>
        <w:color w:val="0028A8"/>
      </w:rPr>
      <w:t>RAPPORT</w:t>
    </w:r>
    <w:r>
      <w:rPr>
        <w:b/>
        <w:bCs/>
        <w:color w:val="0028A8"/>
      </w:rPr>
      <w:t xml:space="preserve"> EIES</w:t>
    </w:r>
  </w:p>
</w:hdr>
</file>

<file path=word/header1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F9F4DC" w14:textId="68909CC9" w:rsidR="00241513" w:rsidRDefault="00241513" w:rsidP="0087014D">
    <w:pPr>
      <w:pStyle w:val="En-tte"/>
      <w:ind w:left="4536" w:hanging="4536"/>
      <w:jc w:val="right"/>
      <w:rPr>
        <w:b/>
        <w:bCs/>
        <w:color w:val="0028A8"/>
      </w:rPr>
    </w:pPr>
    <w:r>
      <w:rPr>
        <w:noProof/>
        <w:lang w:eastAsia="fr-FR" w:bidi="ar-SA"/>
      </w:rPr>
      <w:drawing>
        <wp:anchor distT="0" distB="0" distL="114300" distR="114300" simplePos="0" relativeHeight="251733504" behindDoc="0" locked="0" layoutInCell="1" allowOverlap="1" wp14:anchorId="0EDBC90D" wp14:editId="4210BF2C">
          <wp:simplePos x="0" y="0"/>
          <wp:positionH relativeFrom="margin">
            <wp:posOffset>-123825</wp:posOffset>
          </wp:positionH>
          <wp:positionV relativeFrom="paragraph">
            <wp:posOffset>-191135</wp:posOffset>
          </wp:positionV>
          <wp:extent cx="1009650" cy="597535"/>
          <wp:effectExtent l="0" t="0" r="0" b="0"/>
          <wp:wrapSquare wrapText="bothSides"/>
          <wp:docPr id="220271589" name="Image 220271589" descr="cid:image003.jpg@01DC490A.067BF5C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3" descr="cid:image003.jpg@01DC490A.067BF5C0"/>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009650" cy="597535"/>
                  </a:xfrm>
                  <a:prstGeom prst="rect">
                    <a:avLst/>
                  </a:prstGeom>
                  <a:noFill/>
                  <a:ln>
                    <a:noFill/>
                  </a:ln>
                </pic:spPr>
              </pic:pic>
            </a:graphicData>
          </a:graphic>
          <wp14:sizeRelH relativeFrom="page">
            <wp14:pctWidth>0</wp14:pctWidth>
          </wp14:sizeRelH>
          <wp14:sizeRelV relativeFrom="page">
            <wp14:pctHeight>0</wp14:pctHeight>
          </wp14:sizeRelV>
        </wp:anchor>
      </w:drawing>
    </w:r>
    <w:r>
      <w:rPr>
        <w:b/>
        <w:bCs/>
        <w:color w:val="0028A8"/>
      </w:rPr>
      <w:tab/>
    </w:r>
    <w:r>
      <w:rPr>
        <w:b/>
        <w:bCs/>
        <w:color w:val="0028A8"/>
      </w:rPr>
      <w:tab/>
    </w:r>
    <w:r w:rsidRPr="0087014D">
      <w:rPr>
        <w:b/>
        <w:bCs/>
        <w:color w:val="808080" w:themeColor="background1" w:themeShade="80"/>
      </w:rPr>
      <w:t xml:space="preserve">EIE </w:t>
    </w:r>
    <w:r>
      <w:rPr>
        <w:b/>
        <w:bCs/>
        <w:color w:val="808080" w:themeColor="background1" w:themeShade="80"/>
      </w:rPr>
      <w:t>DE L</w:t>
    </w:r>
    <w:r w:rsidRPr="0087014D">
      <w:rPr>
        <w:b/>
        <w:bCs/>
        <w:color w:val="808080" w:themeColor="background1" w:themeShade="80"/>
      </w:rPr>
      <w:t xml:space="preserve">’EXTENSION ET REAMENAGEMENT DE L’AEROPORT </w:t>
    </w:r>
    <w:r>
      <w:rPr>
        <w:b/>
        <w:bCs/>
        <w:color w:val="808080" w:themeColor="background1" w:themeShade="80"/>
      </w:rPr>
      <w:t>MARRAKECH MENARA</w:t>
    </w:r>
  </w:p>
  <w:p w14:paraId="7A33827F" w14:textId="3E01F1FE" w:rsidR="00241513" w:rsidRPr="001D3F76" w:rsidRDefault="00241513" w:rsidP="0087014D">
    <w:pPr>
      <w:pStyle w:val="En-tte"/>
      <w:ind w:left="1842" w:hanging="1842"/>
      <w:jc w:val="right"/>
      <w:rPr>
        <w:b/>
        <w:bCs/>
        <w:color w:val="0028A8"/>
      </w:rPr>
    </w:pPr>
    <w:r>
      <w:rPr>
        <w:b/>
        <w:bCs/>
        <w:color w:val="0028A8"/>
      </w:rPr>
      <w:tab/>
    </w:r>
    <w:r>
      <w:rPr>
        <w:b/>
        <w:bCs/>
        <w:color w:val="0028A8"/>
      </w:rPr>
      <w:tab/>
    </w:r>
    <w:r w:rsidRPr="006F6AD0">
      <w:rPr>
        <w:b/>
        <w:bCs/>
        <w:color w:val="0028A8"/>
      </w:rPr>
      <w:t>RAPPORT</w:t>
    </w:r>
    <w:r>
      <w:rPr>
        <w:b/>
        <w:bCs/>
        <w:color w:val="0028A8"/>
      </w:rPr>
      <w:t xml:space="preserve"> EIES</w:t>
    </w:r>
    <w:r>
      <w:rPr>
        <w:b/>
        <w:bCs/>
        <w:color w:val="0028A8"/>
      </w:rPr>
      <w:tab/>
    </w:r>
    <w:r>
      <w:rPr>
        <w:b/>
        <w:bCs/>
        <w:color w:val="0028A8"/>
      </w:rPr>
      <w:tab/>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42A6C5" w14:textId="7986CE60" w:rsidR="00241513" w:rsidRPr="0015595B" w:rsidRDefault="00241513" w:rsidP="00132352">
    <w:pPr>
      <w:pStyle w:val="En-tte"/>
      <w:ind w:left="4536" w:hanging="4536"/>
      <w:jc w:val="right"/>
    </w:pPr>
    <w:r>
      <w:rPr>
        <w:b/>
        <w:bCs/>
        <w:color w:val="0028A8"/>
      </w:rPr>
      <w:tab/>
    </w:r>
  </w:p>
  <w:p w14:paraId="75CEE310" w14:textId="418481B8" w:rsidR="00241513" w:rsidRPr="0015595B" w:rsidRDefault="00241513" w:rsidP="0015595B">
    <w:pPr>
      <w:pStyle w:val="En-tte"/>
    </w:pPr>
  </w:p>
</w:hdr>
</file>

<file path=word/header20.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8251C9" w14:textId="2F001144" w:rsidR="00241513" w:rsidRDefault="00241513" w:rsidP="0087014D">
    <w:pPr>
      <w:pStyle w:val="En-tte"/>
      <w:ind w:left="4536" w:hanging="4536"/>
      <w:jc w:val="right"/>
      <w:rPr>
        <w:b/>
        <w:bCs/>
        <w:color w:val="0028A8"/>
      </w:rPr>
    </w:pPr>
    <w:r>
      <w:rPr>
        <w:noProof/>
        <w:lang w:eastAsia="fr-FR" w:bidi="ar-SA"/>
      </w:rPr>
      <w:drawing>
        <wp:anchor distT="0" distB="0" distL="114300" distR="114300" simplePos="0" relativeHeight="251735552" behindDoc="0" locked="0" layoutInCell="1" allowOverlap="1" wp14:anchorId="30A32DCD" wp14:editId="63474E98">
          <wp:simplePos x="0" y="0"/>
          <wp:positionH relativeFrom="margin">
            <wp:align>left</wp:align>
          </wp:positionH>
          <wp:positionV relativeFrom="paragraph">
            <wp:posOffset>-209550</wp:posOffset>
          </wp:positionV>
          <wp:extent cx="1009650" cy="597535"/>
          <wp:effectExtent l="0" t="0" r="0" b="0"/>
          <wp:wrapSquare wrapText="bothSides"/>
          <wp:docPr id="220271591" name="Image 220271591" descr="cid:image003.jpg@01DC490A.067BF5C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3" descr="cid:image003.jpg@01DC490A.067BF5C0"/>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009650" cy="597535"/>
                  </a:xfrm>
                  <a:prstGeom prst="rect">
                    <a:avLst/>
                  </a:prstGeom>
                  <a:noFill/>
                  <a:ln>
                    <a:noFill/>
                  </a:ln>
                </pic:spPr>
              </pic:pic>
            </a:graphicData>
          </a:graphic>
          <wp14:sizeRelH relativeFrom="page">
            <wp14:pctWidth>0</wp14:pctWidth>
          </wp14:sizeRelH>
          <wp14:sizeRelV relativeFrom="page">
            <wp14:pctHeight>0</wp14:pctHeight>
          </wp14:sizeRelV>
        </wp:anchor>
      </w:drawing>
    </w:r>
    <w:r>
      <w:rPr>
        <w:b/>
        <w:bCs/>
        <w:color w:val="0028A8"/>
      </w:rPr>
      <w:tab/>
    </w:r>
    <w:r>
      <w:rPr>
        <w:b/>
        <w:bCs/>
        <w:color w:val="0028A8"/>
      </w:rPr>
      <w:tab/>
    </w:r>
    <w:r>
      <w:rPr>
        <w:b/>
        <w:bCs/>
        <w:color w:val="0028A8"/>
      </w:rPr>
      <w:tab/>
    </w:r>
    <w:r w:rsidRPr="0087014D">
      <w:rPr>
        <w:b/>
        <w:bCs/>
        <w:color w:val="808080" w:themeColor="background1" w:themeShade="80"/>
      </w:rPr>
      <w:t xml:space="preserve">EIE </w:t>
    </w:r>
    <w:r>
      <w:rPr>
        <w:b/>
        <w:bCs/>
        <w:color w:val="808080" w:themeColor="background1" w:themeShade="80"/>
      </w:rPr>
      <w:t>DE L</w:t>
    </w:r>
    <w:r w:rsidRPr="0087014D">
      <w:rPr>
        <w:b/>
        <w:bCs/>
        <w:color w:val="808080" w:themeColor="background1" w:themeShade="80"/>
      </w:rPr>
      <w:t xml:space="preserve">’EXTENSION ET REAMENAGEMENT DE L’AEROPORT </w:t>
    </w:r>
    <w:r>
      <w:rPr>
        <w:b/>
        <w:bCs/>
        <w:color w:val="808080" w:themeColor="background1" w:themeShade="80"/>
      </w:rPr>
      <w:t>MARRAKECH MENARA</w:t>
    </w:r>
  </w:p>
  <w:p w14:paraId="17888388" w14:textId="496F7D70" w:rsidR="00241513" w:rsidRPr="001D3F76" w:rsidRDefault="00241513" w:rsidP="00AA1AD7">
    <w:pPr>
      <w:pStyle w:val="En-tte"/>
      <w:ind w:left="1842" w:hanging="1842"/>
      <w:jc w:val="right"/>
      <w:rPr>
        <w:b/>
        <w:bCs/>
        <w:color w:val="0028A8"/>
      </w:rPr>
    </w:pPr>
    <w:r>
      <w:rPr>
        <w:b/>
        <w:bCs/>
        <w:color w:val="0028A8"/>
      </w:rPr>
      <w:tab/>
    </w:r>
    <w:r>
      <w:rPr>
        <w:b/>
        <w:bCs/>
        <w:color w:val="0028A8"/>
      </w:rPr>
      <w:tab/>
    </w:r>
    <w:r>
      <w:rPr>
        <w:b/>
        <w:bCs/>
        <w:color w:val="0028A8"/>
      </w:rPr>
      <w:tab/>
    </w:r>
    <w:r w:rsidRPr="006F6AD0">
      <w:rPr>
        <w:b/>
        <w:bCs/>
        <w:color w:val="0028A8"/>
      </w:rPr>
      <w:t>RAPPORT</w:t>
    </w:r>
    <w:r>
      <w:rPr>
        <w:b/>
        <w:bCs/>
        <w:color w:val="0028A8"/>
      </w:rPr>
      <w:t xml:space="preserve"> EIE</w:t>
    </w:r>
  </w:p>
</w:hdr>
</file>

<file path=word/header2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C62551" w14:textId="0E65A27B" w:rsidR="00241513" w:rsidRDefault="00241513" w:rsidP="0087014D">
    <w:pPr>
      <w:pStyle w:val="En-tte"/>
      <w:ind w:left="4536" w:hanging="4536"/>
      <w:jc w:val="right"/>
      <w:rPr>
        <w:b/>
        <w:bCs/>
        <w:color w:val="0028A8"/>
      </w:rPr>
    </w:pPr>
    <w:r>
      <w:rPr>
        <w:noProof/>
        <w:lang w:eastAsia="fr-FR" w:bidi="ar-SA"/>
      </w:rPr>
      <w:drawing>
        <wp:anchor distT="0" distB="0" distL="114300" distR="114300" simplePos="0" relativeHeight="251737600" behindDoc="0" locked="0" layoutInCell="1" allowOverlap="1" wp14:anchorId="6C16F44A" wp14:editId="6C23D1C0">
          <wp:simplePos x="0" y="0"/>
          <wp:positionH relativeFrom="margin">
            <wp:posOffset>-228600</wp:posOffset>
          </wp:positionH>
          <wp:positionV relativeFrom="paragraph">
            <wp:posOffset>-133985</wp:posOffset>
          </wp:positionV>
          <wp:extent cx="1009650" cy="597535"/>
          <wp:effectExtent l="0" t="0" r="0" b="0"/>
          <wp:wrapSquare wrapText="bothSides"/>
          <wp:docPr id="220271593" name="Image 220271593" descr="cid:image003.jpg@01DC490A.067BF5C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3" descr="cid:image003.jpg@01DC490A.067BF5C0"/>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009650" cy="597535"/>
                  </a:xfrm>
                  <a:prstGeom prst="rect">
                    <a:avLst/>
                  </a:prstGeom>
                  <a:noFill/>
                  <a:ln>
                    <a:noFill/>
                  </a:ln>
                </pic:spPr>
              </pic:pic>
            </a:graphicData>
          </a:graphic>
          <wp14:sizeRelH relativeFrom="page">
            <wp14:pctWidth>0</wp14:pctWidth>
          </wp14:sizeRelH>
          <wp14:sizeRelV relativeFrom="page">
            <wp14:pctHeight>0</wp14:pctHeight>
          </wp14:sizeRelV>
        </wp:anchor>
      </w:drawing>
    </w:r>
    <w:r>
      <w:rPr>
        <w:b/>
        <w:bCs/>
        <w:color w:val="0028A8"/>
      </w:rPr>
      <w:tab/>
    </w:r>
    <w:r>
      <w:rPr>
        <w:b/>
        <w:bCs/>
        <w:color w:val="0028A8"/>
      </w:rPr>
      <w:tab/>
    </w:r>
    <w:r w:rsidRPr="0087014D">
      <w:rPr>
        <w:b/>
        <w:bCs/>
        <w:color w:val="808080" w:themeColor="background1" w:themeShade="80"/>
      </w:rPr>
      <w:t xml:space="preserve">EIE </w:t>
    </w:r>
    <w:r>
      <w:rPr>
        <w:b/>
        <w:bCs/>
        <w:color w:val="808080" w:themeColor="background1" w:themeShade="80"/>
      </w:rPr>
      <w:t>DE L</w:t>
    </w:r>
    <w:r w:rsidRPr="0087014D">
      <w:rPr>
        <w:b/>
        <w:bCs/>
        <w:color w:val="808080" w:themeColor="background1" w:themeShade="80"/>
      </w:rPr>
      <w:t xml:space="preserve">’EXTENSION ET REAMENAGEMENT DE L’AEROPORT </w:t>
    </w:r>
    <w:r>
      <w:rPr>
        <w:b/>
        <w:bCs/>
        <w:color w:val="808080" w:themeColor="background1" w:themeShade="80"/>
      </w:rPr>
      <w:t>MARRAKECH MENARA</w:t>
    </w:r>
  </w:p>
  <w:p w14:paraId="129291A2" w14:textId="77777777" w:rsidR="00241513" w:rsidRPr="001D3F76" w:rsidRDefault="00241513" w:rsidP="0087014D">
    <w:pPr>
      <w:pStyle w:val="En-tte"/>
      <w:ind w:left="1842" w:hanging="1842"/>
      <w:jc w:val="right"/>
      <w:rPr>
        <w:b/>
        <w:bCs/>
        <w:color w:val="0028A8"/>
      </w:rPr>
    </w:pPr>
    <w:r>
      <w:rPr>
        <w:b/>
        <w:bCs/>
        <w:color w:val="0028A8"/>
      </w:rPr>
      <w:tab/>
    </w:r>
    <w:r>
      <w:rPr>
        <w:b/>
        <w:bCs/>
        <w:color w:val="0028A8"/>
      </w:rPr>
      <w:tab/>
    </w:r>
    <w:r w:rsidRPr="006F6AD0">
      <w:rPr>
        <w:b/>
        <w:bCs/>
        <w:color w:val="0028A8"/>
      </w:rPr>
      <w:t>RAPPORT</w:t>
    </w:r>
    <w:r>
      <w:rPr>
        <w:b/>
        <w:bCs/>
        <w:color w:val="0028A8"/>
      </w:rPr>
      <w:t xml:space="preserve"> EIE</w:t>
    </w:r>
    <w:r>
      <w:rPr>
        <w:b/>
        <w:bCs/>
        <w:color w:val="0028A8"/>
      </w:rPr>
      <w:tab/>
    </w:r>
    <w:r>
      <w:rPr>
        <w:b/>
        <w:bCs/>
        <w:color w:val="0028A8"/>
      </w:rPr>
      <w:tab/>
    </w:r>
  </w:p>
</w:hdr>
</file>

<file path=word/header2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08C575" w14:textId="45AF6E9F" w:rsidR="00241513" w:rsidRDefault="00241513" w:rsidP="0087014D">
    <w:pPr>
      <w:pStyle w:val="En-tte"/>
      <w:ind w:left="4536" w:hanging="4536"/>
      <w:jc w:val="right"/>
      <w:rPr>
        <w:b/>
        <w:bCs/>
        <w:color w:val="0028A8"/>
      </w:rPr>
    </w:pPr>
    <w:r>
      <w:rPr>
        <w:b/>
        <w:bCs/>
        <w:noProof/>
        <w:color w:val="0028A8"/>
        <w:lang w:eastAsia="fr-FR" w:bidi="ar-SA"/>
      </w:rPr>
      <w:drawing>
        <wp:anchor distT="0" distB="0" distL="114300" distR="114300" simplePos="0" relativeHeight="251629056" behindDoc="0" locked="0" layoutInCell="1" allowOverlap="1" wp14:anchorId="40F514CC" wp14:editId="152BB340">
          <wp:simplePos x="0" y="0"/>
          <wp:positionH relativeFrom="margin">
            <wp:posOffset>-320040</wp:posOffset>
          </wp:positionH>
          <wp:positionV relativeFrom="paragraph">
            <wp:posOffset>-145102</wp:posOffset>
          </wp:positionV>
          <wp:extent cx="1092480" cy="723331"/>
          <wp:effectExtent l="0" t="0" r="0" b="635"/>
          <wp:wrapSquare wrapText="bothSides"/>
          <wp:docPr id="220271595" name="Image 220271595" descr="Une image contenant capture d’écran, conception&#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 28" descr="Une image contenant capture d’écran, conception&#10;&#10;Description générée automatiquement"/>
                  <pic:cNvPicPr/>
                </pic:nvPicPr>
                <pic:blipFill rotWithShape="1">
                  <a:blip r:embed="rId1">
                    <a:extLst>
                      <a:ext uri="{28A0092B-C50C-407E-A947-70E740481C1C}">
                        <a14:useLocalDpi xmlns:a14="http://schemas.microsoft.com/office/drawing/2010/main" val="0"/>
                      </a:ext>
                    </a:extLst>
                  </a:blip>
                  <a:srcRect b="8505"/>
                  <a:stretch/>
                </pic:blipFill>
                <pic:spPr bwMode="auto">
                  <a:xfrm>
                    <a:off x="0" y="0"/>
                    <a:ext cx="1092480" cy="723331"/>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b/>
        <w:bCs/>
        <w:color w:val="0028A8"/>
      </w:rPr>
      <w:tab/>
    </w:r>
    <w:r>
      <w:rPr>
        <w:b/>
        <w:bCs/>
        <w:color w:val="0028A8"/>
      </w:rPr>
      <w:tab/>
    </w:r>
    <w:r>
      <w:rPr>
        <w:b/>
        <w:bCs/>
        <w:color w:val="0028A8"/>
      </w:rPr>
      <w:tab/>
    </w:r>
    <w:r w:rsidRPr="0087014D">
      <w:rPr>
        <w:b/>
        <w:bCs/>
        <w:color w:val="808080" w:themeColor="background1" w:themeShade="80"/>
      </w:rPr>
      <w:t xml:space="preserve">EIE </w:t>
    </w:r>
    <w:r>
      <w:rPr>
        <w:b/>
        <w:bCs/>
        <w:color w:val="808080" w:themeColor="background1" w:themeShade="80"/>
      </w:rPr>
      <w:t>DE L</w:t>
    </w:r>
    <w:r w:rsidRPr="0087014D">
      <w:rPr>
        <w:b/>
        <w:bCs/>
        <w:color w:val="808080" w:themeColor="background1" w:themeShade="80"/>
      </w:rPr>
      <w:t xml:space="preserve">’EXTENSION ET REAMENAGEMENT DE L’AEROPORT </w:t>
    </w:r>
    <w:r>
      <w:rPr>
        <w:b/>
        <w:bCs/>
        <w:color w:val="808080" w:themeColor="background1" w:themeShade="80"/>
      </w:rPr>
      <w:t>MARRAKECH MENARA</w:t>
    </w:r>
  </w:p>
  <w:p w14:paraId="068BEC4E" w14:textId="05AAAC63" w:rsidR="00241513" w:rsidRPr="001D3F76" w:rsidRDefault="00241513" w:rsidP="0087014D">
    <w:pPr>
      <w:pStyle w:val="En-tte"/>
      <w:ind w:left="1842" w:hanging="1842"/>
      <w:jc w:val="right"/>
      <w:rPr>
        <w:b/>
        <w:bCs/>
        <w:color w:val="0028A8"/>
      </w:rPr>
    </w:pPr>
    <w:r>
      <w:rPr>
        <w:b/>
        <w:bCs/>
        <w:color w:val="0028A8"/>
      </w:rPr>
      <w:tab/>
    </w:r>
    <w:r>
      <w:rPr>
        <w:b/>
        <w:bCs/>
        <w:color w:val="0028A8"/>
      </w:rPr>
      <w:tab/>
    </w:r>
    <w:r>
      <w:rPr>
        <w:b/>
        <w:bCs/>
        <w:color w:val="0028A8"/>
      </w:rPr>
      <w:tab/>
    </w:r>
    <w:r w:rsidRPr="006F6AD0">
      <w:rPr>
        <w:b/>
        <w:bCs/>
        <w:color w:val="0028A8"/>
      </w:rPr>
      <w:t>RAPPORT</w:t>
    </w:r>
    <w:r>
      <w:rPr>
        <w:b/>
        <w:bCs/>
        <w:color w:val="0028A8"/>
      </w:rPr>
      <w:t xml:space="preserve"> EIE</w:t>
    </w:r>
  </w:p>
</w:hdr>
</file>

<file path=word/header2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AB312E" w14:textId="4FC1CCBF" w:rsidR="00241513" w:rsidRDefault="00241513" w:rsidP="0087014D">
    <w:pPr>
      <w:pStyle w:val="En-tte"/>
      <w:ind w:left="4536" w:hanging="4536"/>
      <w:jc w:val="right"/>
      <w:rPr>
        <w:b/>
        <w:bCs/>
        <w:color w:val="0028A8"/>
      </w:rPr>
    </w:pPr>
    <w:r>
      <w:rPr>
        <w:noProof/>
        <w:lang w:eastAsia="fr-FR" w:bidi="ar-SA"/>
      </w:rPr>
      <w:drawing>
        <wp:anchor distT="0" distB="0" distL="114300" distR="114300" simplePos="0" relativeHeight="251739648" behindDoc="0" locked="0" layoutInCell="1" allowOverlap="1" wp14:anchorId="58D894DA" wp14:editId="457D5435">
          <wp:simplePos x="0" y="0"/>
          <wp:positionH relativeFrom="margin">
            <wp:posOffset>-295275</wp:posOffset>
          </wp:positionH>
          <wp:positionV relativeFrom="paragraph">
            <wp:posOffset>-133985</wp:posOffset>
          </wp:positionV>
          <wp:extent cx="1009650" cy="597535"/>
          <wp:effectExtent l="0" t="0" r="0" b="0"/>
          <wp:wrapSquare wrapText="bothSides"/>
          <wp:docPr id="220271597" name="Image 220271597" descr="cid:image003.jpg@01DC490A.067BF5C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3" descr="cid:image003.jpg@01DC490A.067BF5C0"/>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009650" cy="597535"/>
                  </a:xfrm>
                  <a:prstGeom prst="rect">
                    <a:avLst/>
                  </a:prstGeom>
                  <a:noFill/>
                  <a:ln>
                    <a:noFill/>
                  </a:ln>
                </pic:spPr>
              </pic:pic>
            </a:graphicData>
          </a:graphic>
          <wp14:sizeRelH relativeFrom="page">
            <wp14:pctWidth>0</wp14:pctWidth>
          </wp14:sizeRelH>
          <wp14:sizeRelV relativeFrom="page">
            <wp14:pctHeight>0</wp14:pctHeight>
          </wp14:sizeRelV>
        </wp:anchor>
      </w:drawing>
    </w:r>
    <w:r>
      <w:rPr>
        <w:b/>
        <w:bCs/>
        <w:color w:val="0028A8"/>
      </w:rPr>
      <w:tab/>
    </w:r>
    <w:r>
      <w:rPr>
        <w:b/>
        <w:bCs/>
        <w:color w:val="0028A8"/>
      </w:rPr>
      <w:tab/>
    </w:r>
    <w:r w:rsidRPr="0087014D">
      <w:rPr>
        <w:b/>
        <w:bCs/>
        <w:color w:val="808080" w:themeColor="background1" w:themeShade="80"/>
      </w:rPr>
      <w:t xml:space="preserve">EIE </w:t>
    </w:r>
    <w:r>
      <w:rPr>
        <w:b/>
        <w:bCs/>
        <w:color w:val="808080" w:themeColor="background1" w:themeShade="80"/>
      </w:rPr>
      <w:t>DE L</w:t>
    </w:r>
    <w:r w:rsidRPr="0087014D">
      <w:rPr>
        <w:b/>
        <w:bCs/>
        <w:color w:val="808080" w:themeColor="background1" w:themeShade="80"/>
      </w:rPr>
      <w:t xml:space="preserve">’EXTENSION ET REAMENAGEMENT DE L’AEROPORT </w:t>
    </w:r>
    <w:r>
      <w:rPr>
        <w:b/>
        <w:bCs/>
        <w:color w:val="808080" w:themeColor="background1" w:themeShade="80"/>
      </w:rPr>
      <w:t>MARRAKECH MENARA</w:t>
    </w:r>
  </w:p>
  <w:p w14:paraId="0D8A8C14" w14:textId="77777777" w:rsidR="00241513" w:rsidRPr="001D3F76" w:rsidRDefault="00241513" w:rsidP="0087014D">
    <w:pPr>
      <w:pStyle w:val="En-tte"/>
      <w:ind w:left="1842" w:hanging="1842"/>
      <w:jc w:val="right"/>
      <w:rPr>
        <w:b/>
        <w:bCs/>
        <w:color w:val="0028A8"/>
      </w:rPr>
    </w:pPr>
    <w:r>
      <w:rPr>
        <w:b/>
        <w:bCs/>
        <w:color w:val="0028A8"/>
      </w:rPr>
      <w:tab/>
    </w:r>
    <w:r>
      <w:rPr>
        <w:b/>
        <w:bCs/>
        <w:color w:val="0028A8"/>
      </w:rPr>
      <w:tab/>
    </w:r>
    <w:r w:rsidRPr="006F6AD0">
      <w:rPr>
        <w:b/>
        <w:bCs/>
        <w:color w:val="0028A8"/>
      </w:rPr>
      <w:t>RAPPORT</w:t>
    </w:r>
    <w:r>
      <w:rPr>
        <w:b/>
        <w:bCs/>
        <w:color w:val="0028A8"/>
      </w:rPr>
      <w:t xml:space="preserve"> EIE</w:t>
    </w:r>
    <w:r>
      <w:rPr>
        <w:b/>
        <w:bCs/>
        <w:color w:val="0028A8"/>
      </w:rPr>
      <w:tab/>
    </w:r>
    <w:r>
      <w:rPr>
        <w:b/>
        <w:bCs/>
        <w:color w:val="0028A8"/>
      </w:rPr>
      <w:tab/>
    </w:r>
  </w:p>
</w:hdr>
</file>

<file path=word/header2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4E2D68" w14:textId="2A5ADA02" w:rsidR="00241513" w:rsidRDefault="00241513" w:rsidP="0087014D">
    <w:pPr>
      <w:pStyle w:val="En-tte"/>
      <w:ind w:left="4536" w:hanging="4536"/>
      <w:jc w:val="right"/>
      <w:rPr>
        <w:b/>
        <w:bCs/>
        <w:color w:val="0028A8"/>
      </w:rPr>
    </w:pPr>
    <w:r>
      <w:rPr>
        <w:noProof/>
        <w:lang w:eastAsia="fr-FR" w:bidi="ar-SA"/>
      </w:rPr>
      <w:drawing>
        <wp:anchor distT="0" distB="0" distL="114300" distR="114300" simplePos="0" relativeHeight="251741696" behindDoc="0" locked="0" layoutInCell="1" allowOverlap="1" wp14:anchorId="7A6A59B0" wp14:editId="77EC7417">
          <wp:simplePos x="0" y="0"/>
          <wp:positionH relativeFrom="margin">
            <wp:posOffset>-38100</wp:posOffset>
          </wp:positionH>
          <wp:positionV relativeFrom="paragraph">
            <wp:posOffset>-180975</wp:posOffset>
          </wp:positionV>
          <wp:extent cx="1009650" cy="597535"/>
          <wp:effectExtent l="0" t="0" r="0" b="0"/>
          <wp:wrapSquare wrapText="bothSides"/>
          <wp:docPr id="220271599" name="Image 220271599" descr="cid:image003.jpg@01DC490A.067BF5C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3" descr="cid:image003.jpg@01DC490A.067BF5C0"/>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009650" cy="597535"/>
                  </a:xfrm>
                  <a:prstGeom prst="rect">
                    <a:avLst/>
                  </a:prstGeom>
                  <a:noFill/>
                  <a:ln>
                    <a:noFill/>
                  </a:ln>
                </pic:spPr>
              </pic:pic>
            </a:graphicData>
          </a:graphic>
          <wp14:sizeRelH relativeFrom="page">
            <wp14:pctWidth>0</wp14:pctWidth>
          </wp14:sizeRelH>
          <wp14:sizeRelV relativeFrom="page">
            <wp14:pctHeight>0</wp14:pctHeight>
          </wp14:sizeRelV>
        </wp:anchor>
      </w:drawing>
    </w:r>
    <w:r>
      <w:rPr>
        <w:b/>
        <w:bCs/>
        <w:color w:val="0028A8"/>
      </w:rPr>
      <w:tab/>
    </w:r>
    <w:r>
      <w:rPr>
        <w:b/>
        <w:bCs/>
        <w:color w:val="0028A8"/>
      </w:rPr>
      <w:tab/>
    </w:r>
    <w:r>
      <w:rPr>
        <w:b/>
        <w:bCs/>
        <w:color w:val="0028A8"/>
      </w:rPr>
      <w:tab/>
    </w:r>
    <w:r w:rsidRPr="0087014D">
      <w:rPr>
        <w:b/>
        <w:bCs/>
        <w:color w:val="808080" w:themeColor="background1" w:themeShade="80"/>
      </w:rPr>
      <w:t xml:space="preserve">EIE </w:t>
    </w:r>
    <w:r>
      <w:rPr>
        <w:b/>
        <w:bCs/>
        <w:color w:val="808080" w:themeColor="background1" w:themeShade="80"/>
      </w:rPr>
      <w:t>DE L</w:t>
    </w:r>
    <w:r w:rsidRPr="0087014D">
      <w:rPr>
        <w:b/>
        <w:bCs/>
        <w:color w:val="808080" w:themeColor="background1" w:themeShade="80"/>
      </w:rPr>
      <w:t xml:space="preserve">’EXTENSION ET REAMENAGEMENT DE L’AEROPORT </w:t>
    </w:r>
    <w:r>
      <w:rPr>
        <w:b/>
        <w:bCs/>
        <w:color w:val="808080" w:themeColor="background1" w:themeShade="80"/>
      </w:rPr>
      <w:t>MARRAKECH MENARA</w:t>
    </w:r>
  </w:p>
  <w:p w14:paraId="0230DCA1" w14:textId="6C71B19C" w:rsidR="00241513" w:rsidRPr="001D3F76" w:rsidRDefault="00241513" w:rsidP="0087014D">
    <w:pPr>
      <w:pStyle w:val="En-tte"/>
      <w:ind w:left="1842" w:hanging="1842"/>
      <w:jc w:val="right"/>
      <w:rPr>
        <w:b/>
        <w:bCs/>
        <w:color w:val="0028A8"/>
      </w:rPr>
    </w:pPr>
    <w:r>
      <w:rPr>
        <w:b/>
        <w:bCs/>
        <w:color w:val="0028A8"/>
      </w:rPr>
      <w:tab/>
    </w:r>
    <w:r>
      <w:rPr>
        <w:b/>
        <w:bCs/>
        <w:color w:val="0028A8"/>
      </w:rPr>
      <w:tab/>
    </w:r>
    <w:r>
      <w:rPr>
        <w:b/>
        <w:bCs/>
        <w:color w:val="0028A8"/>
      </w:rPr>
      <w:tab/>
    </w:r>
    <w:r w:rsidRPr="006F6AD0">
      <w:rPr>
        <w:b/>
        <w:bCs/>
        <w:color w:val="0028A8"/>
      </w:rPr>
      <w:t>RAPPORT</w:t>
    </w:r>
    <w:r>
      <w:rPr>
        <w:b/>
        <w:bCs/>
        <w:color w:val="0028A8"/>
      </w:rPr>
      <w:t xml:space="preserve"> EIE</w:t>
    </w:r>
  </w:p>
</w:hdr>
</file>

<file path=word/header2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AFBB22" w14:textId="4E68842E" w:rsidR="00241513" w:rsidRDefault="00241513" w:rsidP="0087014D">
    <w:pPr>
      <w:pStyle w:val="En-tte"/>
      <w:ind w:left="4536" w:hanging="4536"/>
      <w:jc w:val="right"/>
      <w:rPr>
        <w:b/>
        <w:bCs/>
        <w:color w:val="0028A8"/>
      </w:rPr>
    </w:pPr>
    <w:r>
      <w:rPr>
        <w:noProof/>
        <w:lang w:eastAsia="fr-FR" w:bidi="ar-SA"/>
      </w:rPr>
      <w:drawing>
        <wp:anchor distT="0" distB="0" distL="114300" distR="114300" simplePos="0" relativeHeight="251743744" behindDoc="0" locked="0" layoutInCell="1" allowOverlap="1" wp14:anchorId="1AA3C163" wp14:editId="7EC98E50">
          <wp:simplePos x="0" y="0"/>
          <wp:positionH relativeFrom="margin">
            <wp:posOffset>-295275</wp:posOffset>
          </wp:positionH>
          <wp:positionV relativeFrom="paragraph">
            <wp:posOffset>-172085</wp:posOffset>
          </wp:positionV>
          <wp:extent cx="1009650" cy="597535"/>
          <wp:effectExtent l="0" t="0" r="0" b="0"/>
          <wp:wrapSquare wrapText="bothSides"/>
          <wp:docPr id="220271601" name="Image 220271601" descr="cid:image003.jpg@01DC490A.067BF5C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3" descr="cid:image003.jpg@01DC490A.067BF5C0"/>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009650" cy="597535"/>
                  </a:xfrm>
                  <a:prstGeom prst="rect">
                    <a:avLst/>
                  </a:prstGeom>
                  <a:noFill/>
                  <a:ln>
                    <a:noFill/>
                  </a:ln>
                </pic:spPr>
              </pic:pic>
            </a:graphicData>
          </a:graphic>
          <wp14:sizeRelH relativeFrom="page">
            <wp14:pctWidth>0</wp14:pctWidth>
          </wp14:sizeRelH>
          <wp14:sizeRelV relativeFrom="page">
            <wp14:pctHeight>0</wp14:pctHeight>
          </wp14:sizeRelV>
        </wp:anchor>
      </w:drawing>
    </w:r>
    <w:r>
      <w:rPr>
        <w:b/>
        <w:bCs/>
        <w:color w:val="0028A8"/>
      </w:rPr>
      <w:tab/>
    </w:r>
    <w:r>
      <w:rPr>
        <w:b/>
        <w:bCs/>
        <w:color w:val="0028A8"/>
      </w:rPr>
      <w:tab/>
    </w:r>
    <w:r w:rsidRPr="0087014D">
      <w:rPr>
        <w:b/>
        <w:bCs/>
        <w:color w:val="808080" w:themeColor="background1" w:themeShade="80"/>
      </w:rPr>
      <w:t xml:space="preserve">EIE </w:t>
    </w:r>
    <w:r>
      <w:rPr>
        <w:b/>
        <w:bCs/>
        <w:color w:val="808080" w:themeColor="background1" w:themeShade="80"/>
      </w:rPr>
      <w:t>DE L</w:t>
    </w:r>
    <w:r w:rsidRPr="0087014D">
      <w:rPr>
        <w:b/>
        <w:bCs/>
        <w:color w:val="808080" w:themeColor="background1" w:themeShade="80"/>
      </w:rPr>
      <w:t xml:space="preserve">’EXTENSION ET REAMENAGEMENT DE L’AEROPORT </w:t>
    </w:r>
    <w:r>
      <w:rPr>
        <w:b/>
        <w:bCs/>
        <w:color w:val="808080" w:themeColor="background1" w:themeShade="80"/>
      </w:rPr>
      <w:t>MARRAKECH MENARA</w:t>
    </w:r>
  </w:p>
  <w:p w14:paraId="75AAEA07" w14:textId="77777777" w:rsidR="00241513" w:rsidRPr="001D3F76" w:rsidRDefault="00241513" w:rsidP="0087014D">
    <w:pPr>
      <w:pStyle w:val="En-tte"/>
      <w:ind w:left="1842" w:hanging="1842"/>
      <w:jc w:val="right"/>
      <w:rPr>
        <w:b/>
        <w:bCs/>
        <w:color w:val="0028A8"/>
      </w:rPr>
    </w:pPr>
    <w:r>
      <w:rPr>
        <w:b/>
        <w:bCs/>
        <w:color w:val="0028A8"/>
      </w:rPr>
      <w:tab/>
    </w:r>
    <w:r>
      <w:rPr>
        <w:b/>
        <w:bCs/>
        <w:color w:val="0028A8"/>
      </w:rPr>
      <w:tab/>
    </w:r>
    <w:r w:rsidRPr="006F6AD0">
      <w:rPr>
        <w:b/>
        <w:bCs/>
        <w:color w:val="0028A8"/>
      </w:rPr>
      <w:t>RAPPORT</w:t>
    </w:r>
    <w:r>
      <w:rPr>
        <w:b/>
        <w:bCs/>
        <w:color w:val="0028A8"/>
      </w:rPr>
      <w:t xml:space="preserve"> EIE</w:t>
    </w:r>
    <w:r>
      <w:rPr>
        <w:b/>
        <w:bCs/>
        <w:color w:val="0028A8"/>
      </w:rPr>
      <w:tab/>
    </w:r>
    <w:r>
      <w:rPr>
        <w:b/>
        <w:bCs/>
        <w:color w:val="0028A8"/>
      </w:rPr>
      <w:tab/>
    </w:r>
  </w:p>
</w:hdr>
</file>

<file path=word/header2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8FB024" w14:textId="56AA02F8" w:rsidR="00241513" w:rsidRDefault="00241513" w:rsidP="0087014D">
    <w:pPr>
      <w:pStyle w:val="En-tte"/>
      <w:ind w:left="4536" w:hanging="4536"/>
      <w:jc w:val="right"/>
      <w:rPr>
        <w:b/>
        <w:bCs/>
        <w:color w:val="0028A8"/>
      </w:rPr>
    </w:pPr>
    <w:r>
      <w:rPr>
        <w:noProof/>
        <w:lang w:eastAsia="fr-FR" w:bidi="ar-SA"/>
      </w:rPr>
      <w:drawing>
        <wp:anchor distT="0" distB="0" distL="114300" distR="114300" simplePos="0" relativeHeight="251745792" behindDoc="0" locked="0" layoutInCell="1" allowOverlap="1" wp14:anchorId="63EC00AF" wp14:editId="09A555DB">
          <wp:simplePos x="0" y="0"/>
          <wp:positionH relativeFrom="margin">
            <wp:align>left</wp:align>
          </wp:positionH>
          <wp:positionV relativeFrom="paragraph">
            <wp:posOffset>-166370</wp:posOffset>
          </wp:positionV>
          <wp:extent cx="1009650" cy="597535"/>
          <wp:effectExtent l="0" t="0" r="0" b="0"/>
          <wp:wrapSquare wrapText="bothSides"/>
          <wp:docPr id="220271603" name="Image 220271603" descr="cid:image003.jpg@01DC490A.067BF5C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3" descr="cid:image003.jpg@01DC490A.067BF5C0"/>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009650" cy="597535"/>
                  </a:xfrm>
                  <a:prstGeom prst="rect">
                    <a:avLst/>
                  </a:prstGeom>
                  <a:noFill/>
                  <a:ln>
                    <a:noFill/>
                  </a:ln>
                </pic:spPr>
              </pic:pic>
            </a:graphicData>
          </a:graphic>
          <wp14:sizeRelH relativeFrom="page">
            <wp14:pctWidth>0</wp14:pctWidth>
          </wp14:sizeRelH>
          <wp14:sizeRelV relativeFrom="page">
            <wp14:pctHeight>0</wp14:pctHeight>
          </wp14:sizeRelV>
        </wp:anchor>
      </w:drawing>
    </w:r>
    <w:r>
      <w:rPr>
        <w:b/>
        <w:bCs/>
        <w:color w:val="0028A8"/>
      </w:rPr>
      <w:tab/>
    </w:r>
    <w:r>
      <w:rPr>
        <w:b/>
        <w:bCs/>
        <w:color w:val="0028A8"/>
      </w:rPr>
      <w:tab/>
    </w:r>
    <w:r w:rsidRPr="0087014D">
      <w:rPr>
        <w:b/>
        <w:bCs/>
        <w:color w:val="808080" w:themeColor="background1" w:themeShade="80"/>
      </w:rPr>
      <w:t xml:space="preserve">EIE </w:t>
    </w:r>
    <w:r>
      <w:rPr>
        <w:b/>
        <w:bCs/>
        <w:color w:val="808080" w:themeColor="background1" w:themeShade="80"/>
      </w:rPr>
      <w:t>DE L</w:t>
    </w:r>
    <w:r w:rsidRPr="0087014D">
      <w:rPr>
        <w:b/>
        <w:bCs/>
        <w:color w:val="808080" w:themeColor="background1" w:themeShade="80"/>
      </w:rPr>
      <w:t xml:space="preserve">’EXTENSION ET REAMENAGEMENT DE L’AEROPORT </w:t>
    </w:r>
    <w:r>
      <w:rPr>
        <w:b/>
        <w:bCs/>
        <w:color w:val="808080" w:themeColor="background1" w:themeShade="80"/>
      </w:rPr>
      <w:t>MARRAKECH MENARA</w:t>
    </w:r>
  </w:p>
  <w:p w14:paraId="4B6527B9" w14:textId="73D1E779" w:rsidR="00241513" w:rsidRPr="001D3F76" w:rsidRDefault="00241513" w:rsidP="0087014D">
    <w:pPr>
      <w:pStyle w:val="En-tte"/>
      <w:ind w:left="1842" w:hanging="1842"/>
      <w:jc w:val="right"/>
      <w:rPr>
        <w:b/>
        <w:bCs/>
        <w:color w:val="0028A8"/>
      </w:rPr>
    </w:pPr>
    <w:r>
      <w:rPr>
        <w:b/>
        <w:bCs/>
        <w:color w:val="0028A8"/>
      </w:rPr>
      <w:tab/>
    </w:r>
    <w:r>
      <w:rPr>
        <w:b/>
        <w:bCs/>
        <w:color w:val="0028A8"/>
      </w:rPr>
      <w:tab/>
    </w:r>
    <w:r>
      <w:rPr>
        <w:b/>
        <w:bCs/>
        <w:color w:val="0028A8"/>
      </w:rPr>
      <w:tab/>
    </w:r>
    <w:r w:rsidRPr="006F6AD0">
      <w:rPr>
        <w:b/>
        <w:bCs/>
        <w:color w:val="0028A8"/>
      </w:rPr>
      <w:t>RAPPORT</w:t>
    </w:r>
    <w:r>
      <w:rPr>
        <w:b/>
        <w:bCs/>
        <w:color w:val="0028A8"/>
      </w:rPr>
      <w:t xml:space="preserve"> EIES</w:t>
    </w:r>
  </w:p>
</w:hdr>
</file>

<file path=word/header2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B1EA39" w14:textId="178E75CE" w:rsidR="00241513" w:rsidRDefault="00241513" w:rsidP="0087014D">
    <w:pPr>
      <w:pStyle w:val="En-tte"/>
      <w:ind w:left="4536" w:hanging="4536"/>
      <w:jc w:val="right"/>
      <w:rPr>
        <w:b/>
        <w:bCs/>
        <w:color w:val="0028A8"/>
      </w:rPr>
    </w:pPr>
    <w:r>
      <w:rPr>
        <w:noProof/>
        <w:lang w:eastAsia="fr-FR" w:bidi="ar-SA"/>
      </w:rPr>
      <w:drawing>
        <wp:anchor distT="0" distB="0" distL="114300" distR="114300" simplePos="0" relativeHeight="251747840" behindDoc="0" locked="0" layoutInCell="1" allowOverlap="1" wp14:anchorId="4F4A1928" wp14:editId="1F4937DE">
          <wp:simplePos x="0" y="0"/>
          <wp:positionH relativeFrom="margin">
            <wp:align>left</wp:align>
          </wp:positionH>
          <wp:positionV relativeFrom="paragraph">
            <wp:posOffset>-190500</wp:posOffset>
          </wp:positionV>
          <wp:extent cx="1009650" cy="597535"/>
          <wp:effectExtent l="0" t="0" r="0" b="0"/>
          <wp:wrapSquare wrapText="bothSides"/>
          <wp:docPr id="220271608" name="Image 220271608" descr="cid:image003.jpg@01DC490A.067BF5C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3" descr="cid:image003.jpg@01DC490A.067BF5C0"/>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009650" cy="597535"/>
                  </a:xfrm>
                  <a:prstGeom prst="rect">
                    <a:avLst/>
                  </a:prstGeom>
                  <a:noFill/>
                  <a:ln>
                    <a:noFill/>
                  </a:ln>
                </pic:spPr>
              </pic:pic>
            </a:graphicData>
          </a:graphic>
          <wp14:sizeRelH relativeFrom="page">
            <wp14:pctWidth>0</wp14:pctWidth>
          </wp14:sizeRelH>
          <wp14:sizeRelV relativeFrom="page">
            <wp14:pctHeight>0</wp14:pctHeight>
          </wp14:sizeRelV>
        </wp:anchor>
      </w:drawing>
    </w:r>
    <w:r>
      <w:rPr>
        <w:b/>
        <w:bCs/>
        <w:color w:val="0028A8"/>
      </w:rPr>
      <w:tab/>
    </w:r>
    <w:r>
      <w:rPr>
        <w:b/>
        <w:bCs/>
        <w:color w:val="0028A8"/>
      </w:rPr>
      <w:tab/>
    </w:r>
    <w:r>
      <w:rPr>
        <w:b/>
        <w:bCs/>
        <w:color w:val="0028A8"/>
      </w:rPr>
      <w:tab/>
    </w:r>
    <w:r w:rsidRPr="0087014D">
      <w:rPr>
        <w:b/>
        <w:bCs/>
        <w:color w:val="808080" w:themeColor="background1" w:themeShade="80"/>
      </w:rPr>
      <w:t xml:space="preserve">EIE </w:t>
    </w:r>
    <w:r>
      <w:rPr>
        <w:b/>
        <w:bCs/>
        <w:color w:val="808080" w:themeColor="background1" w:themeShade="80"/>
      </w:rPr>
      <w:t>DE L</w:t>
    </w:r>
    <w:r w:rsidRPr="0087014D">
      <w:rPr>
        <w:b/>
        <w:bCs/>
        <w:color w:val="808080" w:themeColor="background1" w:themeShade="80"/>
      </w:rPr>
      <w:t xml:space="preserve">’EXTENSION ET REAMENAGEMENT DE L’AEROPORT </w:t>
    </w:r>
    <w:r>
      <w:rPr>
        <w:b/>
        <w:bCs/>
        <w:color w:val="808080" w:themeColor="background1" w:themeShade="80"/>
      </w:rPr>
      <w:t>MARRAKECH MENARA</w:t>
    </w:r>
  </w:p>
  <w:p w14:paraId="3E735EE7" w14:textId="6A4A8F1F" w:rsidR="00241513" w:rsidRPr="001D3F76" w:rsidRDefault="00241513" w:rsidP="007E2C1D">
    <w:pPr>
      <w:pStyle w:val="En-tte"/>
      <w:ind w:left="1842" w:hanging="1842"/>
      <w:jc w:val="right"/>
      <w:rPr>
        <w:b/>
        <w:bCs/>
        <w:color w:val="0028A8"/>
      </w:rPr>
    </w:pPr>
    <w:r>
      <w:rPr>
        <w:b/>
        <w:bCs/>
        <w:color w:val="0028A8"/>
      </w:rPr>
      <w:tab/>
    </w:r>
    <w:r>
      <w:rPr>
        <w:b/>
        <w:bCs/>
        <w:color w:val="0028A8"/>
      </w:rPr>
      <w:tab/>
    </w:r>
    <w:r w:rsidRPr="006F6AD0">
      <w:rPr>
        <w:b/>
        <w:bCs/>
        <w:color w:val="0028A8"/>
      </w:rPr>
      <w:t>RAPPORT</w:t>
    </w:r>
    <w:r>
      <w:rPr>
        <w:b/>
        <w:bCs/>
        <w:color w:val="0028A8"/>
      </w:rPr>
      <w:t xml:space="preserve"> EIE</w:t>
    </w:r>
  </w:p>
</w:hdr>
</file>

<file path=word/header2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63D5CE" w14:textId="4B139049" w:rsidR="00241513" w:rsidRDefault="00241513" w:rsidP="0087014D">
    <w:pPr>
      <w:pStyle w:val="En-tte"/>
      <w:ind w:left="4536" w:hanging="4536"/>
      <w:jc w:val="right"/>
      <w:rPr>
        <w:b/>
        <w:bCs/>
        <w:color w:val="0028A8"/>
      </w:rPr>
    </w:pPr>
    <w:r>
      <w:rPr>
        <w:noProof/>
        <w:lang w:eastAsia="fr-FR" w:bidi="ar-SA"/>
      </w:rPr>
      <w:drawing>
        <wp:anchor distT="0" distB="0" distL="114300" distR="114300" simplePos="0" relativeHeight="251749888" behindDoc="0" locked="0" layoutInCell="1" allowOverlap="1" wp14:anchorId="489315A3" wp14:editId="505F454B">
          <wp:simplePos x="0" y="0"/>
          <wp:positionH relativeFrom="margin">
            <wp:posOffset>-314325</wp:posOffset>
          </wp:positionH>
          <wp:positionV relativeFrom="paragraph">
            <wp:posOffset>-76200</wp:posOffset>
          </wp:positionV>
          <wp:extent cx="1009650" cy="597535"/>
          <wp:effectExtent l="0" t="0" r="0" b="0"/>
          <wp:wrapSquare wrapText="bothSides"/>
          <wp:docPr id="220271610" name="Image 220271610" descr="cid:image003.jpg@01DC490A.067BF5C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3" descr="cid:image003.jpg@01DC490A.067BF5C0"/>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009650" cy="597535"/>
                  </a:xfrm>
                  <a:prstGeom prst="rect">
                    <a:avLst/>
                  </a:prstGeom>
                  <a:noFill/>
                  <a:ln>
                    <a:noFill/>
                  </a:ln>
                </pic:spPr>
              </pic:pic>
            </a:graphicData>
          </a:graphic>
          <wp14:sizeRelH relativeFrom="page">
            <wp14:pctWidth>0</wp14:pctWidth>
          </wp14:sizeRelH>
          <wp14:sizeRelV relativeFrom="page">
            <wp14:pctHeight>0</wp14:pctHeight>
          </wp14:sizeRelV>
        </wp:anchor>
      </w:drawing>
    </w:r>
    <w:r>
      <w:rPr>
        <w:b/>
        <w:bCs/>
        <w:color w:val="0028A8"/>
      </w:rPr>
      <w:tab/>
    </w:r>
    <w:r>
      <w:rPr>
        <w:b/>
        <w:bCs/>
        <w:color w:val="0028A8"/>
      </w:rPr>
      <w:tab/>
    </w:r>
    <w:r w:rsidRPr="0087014D">
      <w:rPr>
        <w:b/>
        <w:bCs/>
        <w:color w:val="808080" w:themeColor="background1" w:themeShade="80"/>
      </w:rPr>
      <w:t xml:space="preserve">EIE </w:t>
    </w:r>
    <w:r>
      <w:rPr>
        <w:b/>
        <w:bCs/>
        <w:color w:val="808080" w:themeColor="background1" w:themeShade="80"/>
      </w:rPr>
      <w:t>DE L</w:t>
    </w:r>
    <w:r w:rsidRPr="0087014D">
      <w:rPr>
        <w:b/>
        <w:bCs/>
        <w:color w:val="808080" w:themeColor="background1" w:themeShade="80"/>
      </w:rPr>
      <w:t xml:space="preserve">’EXTENSION ET REAMENAGEMENT DE L’AEROPORT </w:t>
    </w:r>
    <w:r>
      <w:rPr>
        <w:b/>
        <w:bCs/>
        <w:color w:val="808080" w:themeColor="background1" w:themeShade="80"/>
      </w:rPr>
      <w:t>MARRAKECH MENARA</w:t>
    </w:r>
  </w:p>
  <w:p w14:paraId="620DF808" w14:textId="77777777" w:rsidR="00241513" w:rsidRPr="001D3F76" w:rsidRDefault="00241513" w:rsidP="007E2C1D">
    <w:pPr>
      <w:pStyle w:val="En-tte"/>
      <w:ind w:left="1842" w:hanging="1842"/>
      <w:jc w:val="right"/>
      <w:rPr>
        <w:b/>
        <w:bCs/>
        <w:color w:val="0028A8"/>
      </w:rPr>
    </w:pPr>
    <w:r>
      <w:rPr>
        <w:b/>
        <w:bCs/>
        <w:color w:val="0028A8"/>
      </w:rPr>
      <w:tab/>
    </w:r>
    <w:r>
      <w:rPr>
        <w:b/>
        <w:bCs/>
        <w:color w:val="0028A8"/>
      </w:rPr>
      <w:tab/>
    </w:r>
    <w:r w:rsidRPr="006F6AD0">
      <w:rPr>
        <w:b/>
        <w:bCs/>
        <w:color w:val="0028A8"/>
      </w:rPr>
      <w:t>RAPPORT</w:t>
    </w:r>
    <w:r>
      <w:rPr>
        <w:b/>
        <w:bCs/>
        <w:color w:val="0028A8"/>
      </w:rPr>
      <w:t xml:space="preserve"> EIE</w:t>
    </w:r>
  </w:p>
</w:hdr>
</file>

<file path=word/header2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B67A05" w14:textId="779CABEF" w:rsidR="00241513" w:rsidRDefault="00241513" w:rsidP="0087014D">
    <w:pPr>
      <w:pStyle w:val="En-tte"/>
      <w:ind w:left="4536" w:hanging="4536"/>
      <w:jc w:val="right"/>
      <w:rPr>
        <w:b/>
        <w:bCs/>
        <w:color w:val="0028A8"/>
      </w:rPr>
    </w:pPr>
    <w:r>
      <w:rPr>
        <w:noProof/>
        <w:lang w:eastAsia="fr-FR" w:bidi="ar-SA"/>
      </w:rPr>
      <w:drawing>
        <wp:anchor distT="0" distB="0" distL="114300" distR="114300" simplePos="0" relativeHeight="251751936" behindDoc="0" locked="0" layoutInCell="1" allowOverlap="1" wp14:anchorId="507CE8C2" wp14:editId="010E3F8B">
          <wp:simplePos x="0" y="0"/>
          <wp:positionH relativeFrom="margin">
            <wp:posOffset>-200025</wp:posOffset>
          </wp:positionH>
          <wp:positionV relativeFrom="paragraph">
            <wp:posOffset>-114935</wp:posOffset>
          </wp:positionV>
          <wp:extent cx="1009650" cy="597535"/>
          <wp:effectExtent l="0" t="0" r="0" b="0"/>
          <wp:wrapSquare wrapText="bothSides"/>
          <wp:docPr id="220271612" name="Image 220271612" descr="cid:image003.jpg@01DC490A.067BF5C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3" descr="cid:image003.jpg@01DC490A.067BF5C0"/>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009650" cy="597535"/>
                  </a:xfrm>
                  <a:prstGeom prst="rect">
                    <a:avLst/>
                  </a:prstGeom>
                  <a:noFill/>
                  <a:ln>
                    <a:noFill/>
                  </a:ln>
                </pic:spPr>
              </pic:pic>
            </a:graphicData>
          </a:graphic>
          <wp14:sizeRelH relativeFrom="page">
            <wp14:pctWidth>0</wp14:pctWidth>
          </wp14:sizeRelH>
          <wp14:sizeRelV relativeFrom="page">
            <wp14:pctHeight>0</wp14:pctHeight>
          </wp14:sizeRelV>
        </wp:anchor>
      </w:drawing>
    </w:r>
    <w:r>
      <w:rPr>
        <w:b/>
        <w:bCs/>
        <w:color w:val="0028A8"/>
      </w:rPr>
      <w:tab/>
    </w:r>
    <w:r>
      <w:rPr>
        <w:b/>
        <w:bCs/>
        <w:color w:val="0028A8"/>
      </w:rPr>
      <w:tab/>
    </w:r>
    <w:r w:rsidRPr="0087014D">
      <w:rPr>
        <w:b/>
        <w:bCs/>
        <w:color w:val="808080" w:themeColor="background1" w:themeShade="80"/>
      </w:rPr>
      <w:t xml:space="preserve">EIE </w:t>
    </w:r>
    <w:r>
      <w:rPr>
        <w:b/>
        <w:bCs/>
        <w:color w:val="808080" w:themeColor="background1" w:themeShade="80"/>
      </w:rPr>
      <w:t>DE L</w:t>
    </w:r>
    <w:r w:rsidRPr="0087014D">
      <w:rPr>
        <w:b/>
        <w:bCs/>
        <w:color w:val="808080" w:themeColor="background1" w:themeShade="80"/>
      </w:rPr>
      <w:t xml:space="preserve">’EXTENSION ET REAMENAGEMENT DE L’AEROPORT </w:t>
    </w:r>
    <w:r>
      <w:rPr>
        <w:b/>
        <w:bCs/>
        <w:color w:val="808080" w:themeColor="background1" w:themeShade="80"/>
      </w:rPr>
      <w:t>MARRAKECH MENARA</w:t>
    </w:r>
  </w:p>
  <w:p w14:paraId="1D73E092" w14:textId="3738E02B" w:rsidR="00241513" w:rsidRPr="001D3F76" w:rsidRDefault="00241513" w:rsidP="0087014D">
    <w:pPr>
      <w:pStyle w:val="En-tte"/>
      <w:ind w:left="1842" w:hanging="1842"/>
      <w:jc w:val="right"/>
      <w:rPr>
        <w:b/>
        <w:bCs/>
        <w:color w:val="0028A8"/>
      </w:rPr>
    </w:pPr>
    <w:r>
      <w:rPr>
        <w:b/>
        <w:bCs/>
        <w:color w:val="0028A8"/>
      </w:rPr>
      <w:tab/>
    </w:r>
    <w:r>
      <w:rPr>
        <w:b/>
        <w:bCs/>
        <w:color w:val="0028A8"/>
      </w:rPr>
      <w:tab/>
    </w:r>
    <w:r w:rsidRPr="006F6AD0">
      <w:rPr>
        <w:b/>
        <w:bCs/>
        <w:color w:val="0028A8"/>
      </w:rPr>
      <w:t>RAPPORT</w:t>
    </w:r>
    <w:r>
      <w:rPr>
        <w:b/>
        <w:bCs/>
        <w:color w:val="0028A8"/>
      </w:rPr>
      <w:t xml:space="preserve"> EIE</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339415" w14:textId="23AD5978" w:rsidR="00241513" w:rsidRDefault="00241513" w:rsidP="0015595B">
    <w:pPr>
      <w:pStyle w:val="En-tte"/>
      <w:ind w:left="4536" w:hanging="4536"/>
      <w:jc w:val="right"/>
      <w:rPr>
        <w:b/>
        <w:bCs/>
        <w:color w:val="0028A8"/>
      </w:rPr>
    </w:pPr>
    <w:r>
      <w:rPr>
        <w:noProof/>
        <w:lang w:eastAsia="fr-FR" w:bidi="ar-SA"/>
      </w:rPr>
      <w:drawing>
        <wp:anchor distT="0" distB="0" distL="114300" distR="114300" simplePos="0" relativeHeight="251702784" behindDoc="0" locked="0" layoutInCell="1" allowOverlap="1" wp14:anchorId="242F3857" wp14:editId="43C1EBDC">
          <wp:simplePos x="0" y="0"/>
          <wp:positionH relativeFrom="margin">
            <wp:posOffset>-170180</wp:posOffset>
          </wp:positionH>
          <wp:positionV relativeFrom="paragraph">
            <wp:posOffset>-327025</wp:posOffset>
          </wp:positionV>
          <wp:extent cx="1009650" cy="597535"/>
          <wp:effectExtent l="0" t="0" r="0" b="0"/>
          <wp:wrapSquare wrapText="bothSides"/>
          <wp:docPr id="43" name="Image 43" descr="cid:image003.jpg@01DC490A.067BF5C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3" descr="cid:image003.jpg@01DC490A.067BF5C0"/>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009650" cy="597535"/>
                  </a:xfrm>
                  <a:prstGeom prst="rect">
                    <a:avLst/>
                  </a:prstGeom>
                  <a:noFill/>
                  <a:ln>
                    <a:noFill/>
                  </a:ln>
                </pic:spPr>
              </pic:pic>
            </a:graphicData>
          </a:graphic>
          <wp14:sizeRelH relativeFrom="page">
            <wp14:pctWidth>0</wp14:pctWidth>
          </wp14:sizeRelH>
          <wp14:sizeRelV relativeFrom="page">
            <wp14:pctHeight>0</wp14:pctHeight>
          </wp14:sizeRelV>
        </wp:anchor>
      </w:drawing>
    </w:r>
    <w:r>
      <w:rPr>
        <w:b/>
        <w:bCs/>
        <w:color w:val="0028A8"/>
      </w:rPr>
      <w:tab/>
    </w:r>
    <w:r>
      <w:rPr>
        <w:b/>
        <w:bCs/>
        <w:color w:val="0028A8"/>
      </w:rPr>
      <w:tab/>
    </w:r>
    <w:r w:rsidRPr="00132352">
      <w:rPr>
        <w:b/>
        <w:bCs/>
        <w:color w:val="808080"/>
      </w:rPr>
      <w:t xml:space="preserve">EIE DE L’EXTENSION ET REAMENAGEMENT DE L’AEROPORT </w:t>
    </w:r>
    <w:r>
      <w:rPr>
        <w:b/>
        <w:bCs/>
        <w:color w:val="808080"/>
      </w:rPr>
      <w:t>MARRAKECH MENARA</w:t>
    </w:r>
  </w:p>
  <w:p w14:paraId="6DC4F36B" w14:textId="7F5A4F3D" w:rsidR="00241513" w:rsidRDefault="00241513" w:rsidP="0015595B">
    <w:pPr>
      <w:pStyle w:val="En-tte"/>
      <w:rPr>
        <w:b/>
        <w:bCs/>
        <w:color w:val="0028A8"/>
      </w:rPr>
    </w:pPr>
    <w:r>
      <w:rPr>
        <w:b/>
        <w:bCs/>
        <w:color w:val="0028A8"/>
      </w:rPr>
      <w:tab/>
    </w:r>
    <w:r>
      <w:rPr>
        <w:b/>
        <w:bCs/>
        <w:color w:val="0028A8"/>
      </w:rPr>
      <w:tab/>
    </w:r>
    <w:r w:rsidRPr="006F6AD0">
      <w:rPr>
        <w:b/>
        <w:bCs/>
        <w:color w:val="0028A8"/>
      </w:rPr>
      <w:t>RAPPORT</w:t>
    </w:r>
    <w:r>
      <w:rPr>
        <w:b/>
        <w:bCs/>
        <w:color w:val="0028A8"/>
      </w:rPr>
      <w:t xml:space="preserve"> EIES</w:t>
    </w:r>
  </w:p>
  <w:p w14:paraId="37BB5193" w14:textId="77777777" w:rsidR="00241513" w:rsidRPr="0015595B" w:rsidRDefault="00241513" w:rsidP="0015595B">
    <w:pPr>
      <w:pStyle w:val="En-tte"/>
    </w:pPr>
  </w:p>
</w:hdr>
</file>

<file path=word/header30.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800894" w14:textId="150DAA2E" w:rsidR="00241513" w:rsidRDefault="00241513" w:rsidP="0087014D">
    <w:pPr>
      <w:pStyle w:val="En-tte"/>
      <w:ind w:left="4536" w:hanging="4536"/>
      <w:jc w:val="right"/>
      <w:rPr>
        <w:b/>
        <w:bCs/>
        <w:color w:val="0028A8"/>
      </w:rPr>
    </w:pPr>
    <w:r>
      <w:rPr>
        <w:noProof/>
        <w:lang w:eastAsia="fr-FR" w:bidi="ar-SA"/>
      </w:rPr>
      <w:drawing>
        <wp:anchor distT="0" distB="0" distL="114300" distR="114300" simplePos="0" relativeHeight="251753984" behindDoc="0" locked="0" layoutInCell="1" allowOverlap="1" wp14:anchorId="48466B45" wp14:editId="2E6B9C84">
          <wp:simplePos x="0" y="0"/>
          <wp:positionH relativeFrom="margin">
            <wp:align>left</wp:align>
          </wp:positionH>
          <wp:positionV relativeFrom="paragraph">
            <wp:posOffset>-161925</wp:posOffset>
          </wp:positionV>
          <wp:extent cx="1009650" cy="597535"/>
          <wp:effectExtent l="0" t="0" r="0" b="0"/>
          <wp:wrapSquare wrapText="bothSides"/>
          <wp:docPr id="220271614" name="Image 220271614" descr="cid:image003.jpg@01DC490A.067BF5C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3" descr="cid:image003.jpg@01DC490A.067BF5C0"/>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009650" cy="597535"/>
                  </a:xfrm>
                  <a:prstGeom prst="rect">
                    <a:avLst/>
                  </a:prstGeom>
                  <a:noFill/>
                  <a:ln>
                    <a:noFill/>
                  </a:ln>
                </pic:spPr>
              </pic:pic>
            </a:graphicData>
          </a:graphic>
          <wp14:sizeRelH relativeFrom="page">
            <wp14:pctWidth>0</wp14:pctWidth>
          </wp14:sizeRelH>
          <wp14:sizeRelV relativeFrom="page">
            <wp14:pctHeight>0</wp14:pctHeight>
          </wp14:sizeRelV>
        </wp:anchor>
      </w:drawing>
    </w:r>
    <w:r>
      <w:rPr>
        <w:b/>
        <w:bCs/>
        <w:color w:val="0028A8"/>
      </w:rPr>
      <w:tab/>
    </w:r>
    <w:r>
      <w:rPr>
        <w:b/>
        <w:bCs/>
        <w:color w:val="0028A8"/>
      </w:rPr>
      <w:tab/>
    </w:r>
    <w:r w:rsidRPr="0087014D">
      <w:rPr>
        <w:b/>
        <w:bCs/>
        <w:color w:val="808080" w:themeColor="background1" w:themeShade="80"/>
      </w:rPr>
      <w:t xml:space="preserve">EIE </w:t>
    </w:r>
    <w:r>
      <w:rPr>
        <w:b/>
        <w:bCs/>
        <w:color w:val="808080" w:themeColor="background1" w:themeShade="80"/>
      </w:rPr>
      <w:t>DE L</w:t>
    </w:r>
    <w:r w:rsidRPr="0087014D">
      <w:rPr>
        <w:b/>
        <w:bCs/>
        <w:color w:val="808080" w:themeColor="background1" w:themeShade="80"/>
      </w:rPr>
      <w:t xml:space="preserve">’EXTENSION ET REAMENAGEMENT DE L’AEROPORT </w:t>
    </w:r>
    <w:r>
      <w:rPr>
        <w:b/>
        <w:bCs/>
        <w:color w:val="808080" w:themeColor="background1" w:themeShade="80"/>
      </w:rPr>
      <w:t>MARRAKECH MENARA</w:t>
    </w:r>
  </w:p>
  <w:p w14:paraId="1ED5F108" w14:textId="77777777" w:rsidR="00241513" w:rsidRPr="001D3F76" w:rsidRDefault="00241513" w:rsidP="0087014D">
    <w:pPr>
      <w:pStyle w:val="En-tte"/>
      <w:ind w:left="1842" w:hanging="1842"/>
      <w:jc w:val="right"/>
      <w:rPr>
        <w:b/>
        <w:bCs/>
        <w:color w:val="0028A8"/>
      </w:rPr>
    </w:pPr>
    <w:r>
      <w:rPr>
        <w:b/>
        <w:bCs/>
        <w:color w:val="0028A8"/>
      </w:rPr>
      <w:tab/>
    </w:r>
    <w:r>
      <w:rPr>
        <w:b/>
        <w:bCs/>
        <w:color w:val="0028A8"/>
      </w:rPr>
      <w:tab/>
    </w:r>
    <w:r w:rsidRPr="006F6AD0">
      <w:rPr>
        <w:b/>
        <w:bCs/>
        <w:color w:val="0028A8"/>
      </w:rPr>
      <w:t>RAPPORT</w:t>
    </w:r>
    <w:r>
      <w:rPr>
        <w:b/>
        <w:bCs/>
        <w:color w:val="0028A8"/>
      </w:rPr>
      <w:t xml:space="preserve"> EIE</w:t>
    </w:r>
  </w:p>
</w:hdr>
</file>

<file path=word/header3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5E3AA0" w14:textId="40869DD5" w:rsidR="00241513" w:rsidRDefault="00241513" w:rsidP="0087014D">
    <w:pPr>
      <w:pStyle w:val="En-tte"/>
      <w:ind w:left="4536" w:hanging="4536"/>
      <w:jc w:val="right"/>
      <w:rPr>
        <w:b/>
        <w:bCs/>
        <w:color w:val="0028A8"/>
      </w:rPr>
    </w:pPr>
    <w:r>
      <w:rPr>
        <w:noProof/>
        <w:lang w:eastAsia="fr-FR" w:bidi="ar-SA"/>
      </w:rPr>
      <w:drawing>
        <wp:anchor distT="0" distB="0" distL="114300" distR="114300" simplePos="0" relativeHeight="251756032" behindDoc="0" locked="0" layoutInCell="1" allowOverlap="1" wp14:anchorId="0761BD23" wp14:editId="75C51CBB">
          <wp:simplePos x="0" y="0"/>
          <wp:positionH relativeFrom="margin">
            <wp:posOffset>-204470</wp:posOffset>
          </wp:positionH>
          <wp:positionV relativeFrom="paragraph">
            <wp:posOffset>-191135</wp:posOffset>
          </wp:positionV>
          <wp:extent cx="1009650" cy="597535"/>
          <wp:effectExtent l="0" t="0" r="0" b="0"/>
          <wp:wrapSquare wrapText="bothSides"/>
          <wp:docPr id="64" name="Image 64" descr="cid:image003.jpg@01DC490A.067BF5C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3" descr="cid:image003.jpg@01DC490A.067BF5C0"/>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009650" cy="597535"/>
                  </a:xfrm>
                  <a:prstGeom prst="rect">
                    <a:avLst/>
                  </a:prstGeom>
                  <a:noFill/>
                  <a:ln>
                    <a:noFill/>
                  </a:ln>
                </pic:spPr>
              </pic:pic>
            </a:graphicData>
          </a:graphic>
          <wp14:sizeRelH relativeFrom="page">
            <wp14:pctWidth>0</wp14:pctWidth>
          </wp14:sizeRelH>
          <wp14:sizeRelV relativeFrom="page">
            <wp14:pctHeight>0</wp14:pctHeight>
          </wp14:sizeRelV>
        </wp:anchor>
      </w:drawing>
    </w:r>
    <w:r>
      <w:rPr>
        <w:b/>
        <w:bCs/>
        <w:color w:val="0028A8"/>
      </w:rPr>
      <w:tab/>
    </w:r>
    <w:r>
      <w:rPr>
        <w:b/>
        <w:bCs/>
        <w:color w:val="0028A8"/>
      </w:rPr>
      <w:tab/>
    </w:r>
    <w:r w:rsidRPr="0087014D">
      <w:rPr>
        <w:b/>
        <w:bCs/>
        <w:color w:val="808080" w:themeColor="background1" w:themeShade="80"/>
      </w:rPr>
      <w:t xml:space="preserve">EIE </w:t>
    </w:r>
    <w:r>
      <w:rPr>
        <w:b/>
        <w:bCs/>
        <w:color w:val="808080" w:themeColor="background1" w:themeShade="80"/>
      </w:rPr>
      <w:t>DE L</w:t>
    </w:r>
    <w:r w:rsidRPr="0087014D">
      <w:rPr>
        <w:b/>
        <w:bCs/>
        <w:color w:val="808080" w:themeColor="background1" w:themeShade="80"/>
      </w:rPr>
      <w:t xml:space="preserve">’EXTENSION ET REAMENAGEMENT DE L’AEROPORT </w:t>
    </w:r>
    <w:r>
      <w:rPr>
        <w:b/>
        <w:bCs/>
        <w:color w:val="808080" w:themeColor="background1" w:themeShade="80"/>
      </w:rPr>
      <w:t>MARRAKECH MENARA</w:t>
    </w:r>
  </w:p>
  <w:p w14:paraId="50FBB64F" w14:textId="77777777" w:rsidR="00241513" w:rsidRPr="001D3F76" w:rsidRDefault="00241513" w:rsidP="0087014D">
    <w:pPr>
      <w:pStyle w:val="En-tte"/>
      <w:ind w:left="1842" w:hanging="1842"/>
      <w:jc w:val="right"/>
      <w:rPr>
        <w:b/>
        <w:bCs/>
        <w:color w:val="0028A8"/>
      </w:rPr>
    </w:pPr>
    <w:r>
      <w:rPr>
        <w:b/>
        <w:bCs/>
        <w:color w:val="0028A8"/>
      </w:rPr>
      <w:tab/>
    </w:r>
    <w:r>
      <w:rPr>
        <w:b/>
        <w:bCs/>
        <w:color w:val="0028A8"/>
      </w:rPr>
      <w:tab/>
    </w:r>
    <w:r w:rsidRPr="006F6AD0">
      <w:rPr>
        <w:b/>
        <w:bCs/>
        <w:color w:val="0028A8"/>
      </w:rPr>
      <w:t>RAPPORT</w:t>
    </w:r>
    <w:r>
      <w:rPr>
        <w:b/>
        <w:bCs/>
        <w:color w:val="0028A8"/>
      </w:rPr>
      <w:t xml:space="preserve"> EIE</w:t>
    </w:r>
  </w:p>
</w:hdr>
</file>

<file path=word/header3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27E27E" w14:textId="65D85A1E" w:rsidR="00241513" w:rsidRDefault="00241513" w:rsidP="0087014D">
    <w:pPr>
      <w:pStyle w:val="En-tte"/>
      <w:ind w:left="4536" w:hanging="4536"/>
      <w:jc w:val="right"/>
      <w:rPr>
        <w:b/>
        <w:bCs/>
        <w:color w:val="0028A8"/>
      </w:rPr>
    </w:pPr>
    <w:r>
      <w:rPr>
        <w:noProof/>
        <w:lang w:eastAsia="fr-FR" w:bidi="ar-SA"/>
      </w:rPr>
      <w:drawing>
        <wp:anchor distT="0" distB="0" distL="114300" distR="114300" simplePos="0" relativeHeight="251758080" behindDoc="0" locked="0" layoutInCell="1" allowOverlap="1" wp14:anchorId="38062603" wp14:editId="55B0EE8F">
          <wp:simplePos x="0" y="0"/>
          <wp:positionH relativeFrom="margin">
            <wp:posOffset>-276225</wp:posOffset>
          </wp:positionH>
          <wp:positionV relativeFrom="paragraph">
            <wp:posOffset>-172085</wp:posOffset>
          </wp:positionV>
          <wp:extent cx="1009650" cy="597535"/>
          <wp:effectExtent l="0" t="0" r="0" b="0"/>
          <wp:wrapSquare wrapText="bothSides"/>
          <wp:docPr id="66" name="Image 66" descr="cid:image003.jpg@01DC490A.067BF5C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3" descr="cid:image003.jpg@01DC490A.067BF5C0"/>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009650" cy="597535"/>
                  </a:xfrm>
                  <a:prstGeom prst="rect">
                    <a:avLst/>
                  </a:prstGeom>
                  <a:noFill/>
                  <a:ln>
                    <a:noFill/>
                  </a:ln>
                </pic:spPr>
              </pic:pic>
            </a:graphicData>
          </a:graphic>
          <wp14:sizeRelH relativeFrom="page">
            <wp14:pctWidth>0</wp14:pctWidth>
          </wp14:sizeRelH>
          <wp14:sizeRelV relativeFrom="page">
            <wp14:pctHeight>0</wp14:pctHeight>
          </wp14:sizeRelV>
        </wp:anchor>
      </w:drawing>
    </w:r>
    <w:r>
      <w:rPr>
        <w:b/>
        <w:bCs/>
        <w:color w:val="0028A8"/>
      </w:rPr>
      <w:tab/>
    </w:r>
    <w:r>
      <w:rPr>
        <w:b/>
        <w:bCs/>
        <w:color w:val="0028A8"/>
      </w:rPr>
      <w:tab/>
    </w:r>
    <w:r w:rsidRPr="0087014D">
      <w:rPr>
        <w:b/>
        <w:bCs/>
        <w:color w:val="808080" w:themeColor="background1" w:themeShade="80"/>
      </w:rPr>
      <w:t xml:space="preserve">EIE </w:t>
    </w:r>
    <w:r>
      <w:rPr>
        <w:b/>
        <w:bCs/>
        <w:color w:val="808080" w:themeColor="background1" w:themeShade="80"/>
      </w:rPr>
      <w:t>DE L</w:t>
    </w:r>
    <w:r w:rsidRPr="0087014D">
      <w:rPr>
        <w:b/>
        <w:bCs/>
        <w:color w:val="808080" w:themeColor="background1" w:themeShade="80"/>
      </w:rPr>
      <w:t xml:space="preserve">’EXTENSION ET REAMENAGEMENT DE L’AEROPORT </w:t>
    </w:r>
    <w:r>
      <w:rPr>
        <w:b/>
        <w:bCs/>
        <w:color w:val="808080" w:themeColor="background1" w:themeShade="80"/>
      </w:rPr>
      <w:t>MARRAKECH MENARA</w:t>
    </w:r>
  </w:p>
  <w:p w14:paraId="4228C6B4" w14:textId="77777777" w:rsidR="00241513" w:rsidRPr="001D3F76" w:rsidRDefault="00241513" w:rsidP="0087014D">
    <w:pPr>
      <w:pStyle w:val="En-tte"/>
      <w:ind w:left="1842" w:hanging="1842"/>
      <w:jc w:val="right"/>
      <w:rPr>
        <w:b/>
        <w:bCs/>
        <w:color w:val="0028A8"/>
      </w:rPr>
    </w:pPr>
    <w:r>
      <w:rPr>
        <w:b/>
        <w:bCs/>
        <w:color w:val="0028A8"/>
      </w:rPr>
      <w:tab/>
    </w:r>
    <w:r>
      <w:rPr>
        <w:b/>
        <w:bCs/>
        <w:color w:val="0028A8"/>
      </w:rPr>
      <w:tab/>
    </w:r>
    <w:r w:rsidRPr="006F6AD0">
      <w:rPr>
        <w:b/>
        <w:bCs/>
        <w:color w:val="0028A8"/>
      </w:rPr>
      <w:t>RAPPORT</w:t>
    </w:r>
    <w:r>
      <w:rPr>
        <w:b/>
        <w:bCs/>
        <w:color w:val="0028A8"/>
      </w:rPr>
      <w:t xml:space="preserve"> EIE</w:t>
    </w:r>
  </w:p>
</w:hdr>
</file>

<file path=word/header3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74BF02" w14:textId="07A7BD96" w:rsidR="00241513" w:rsidRDefault="00241513" w:rsidP="0087014D">
    <w:pPr>
      <w:pStyle w:val="En-tte"/>
      <w:ind w:left="4536" w:hanging="4536"/>
      <w:jc w:val="right"/>
      <w:rPr>
        <w:b/>
        <w:bCs/>
        <w:color w:val="0028A8"/>
      </w:rPr>
    </w:pPr>
    <w:r>
      <w:rPr>
        <w:noProof/>
        <w:lang w:eastAsia="fr-FR" w:bidi="ar-SA"/>
      </w:rPr>
      <w:drawing>
        <wp:anchor distT="0" distB="0" distL="114300" distR="114300" simplePos="0" relativeHeight="251760128" behindDoc="0" locked="0" layoutInCell="1" allowOverlap="1" wp14:anchorId="4920CAE7" wp14:editId="5696382A">
          <wp:simplePos x="0" y="0"/>
          <wp:positionH relativeFrom="margin">
            <wp:posOffset>-200025</wp:posOffset>
          </wp:positionH>
          <wp:positionV relativeFrom="paragraph">
            <wp:posOffset>-161925</wp:posOffset>
          </wp:positionV>
          <wp:extent cx="1009650" cy="597535"/>
          <wp:effectExtent l="0" t="0" r="0" b="0"/>
          <wp:wrapSquare wrapText="bothSides"/>
          <wp:docPr id="68" name="Image 68" descr="cid:image003.jpg@01DC490A.067BF5C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3" descr="cid:image003.jpg@01DC490A.067BF5C0"/>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009650" cy="597535"/>
                  </a:xfrm>
                  <a:prstGeom prst="rect">
                    <a:avLst/>
                  </a:prstGeom>
                  <a:noFill/>
                  <a:ln>
                    <a:noFill/>
                  </a:ln>
                </pic:spPr>
              </pic:pic>
            </a:graphicData>
          </a:graphic>
          <wp14:sizeRelH relativeFrom="page">
            <wp14:pctWidth>0</wp14:pctWidth>
          </wp14:sizeRelH>
          <wp14:sizeRelV relativeFrom="page">
            <wp14:pctHeight>0</wp14:pctHeight>
          </wp14:sizeRelV>
        </wp:anchor>
      </w:drawing>
    </w:r>
    <w:r>
      <w:rPr>
        <w:b/>
        <w:bCs/>
        <w:color w:val="0028A8"/>
      </w:rPr>
      <w:tab/>
    </w:r>
    <w:r>
      <w:rPr>
        <w:b/>
        <w:bCs/>
        <w:color w:val="0028A8"/>
      </w:rPr>
      <w:tab/>
    </w:r>
    <w:r>
      <w:rPr>
        <w:b/>
        <w:bCs/>
        <w:color w:val="0028A8"/>
      </w:rPr>
      <w:tab/>
    </w:r>
    <w:r w:rsidRPr="0087014D">
      <w:rPr>
        <w:b/>
        <w:bCs/>
        <w:color w:val="808080" w:themeColor="background1" w:themeShade="80"/>
      </w:rPr>
      <w:t xml:space="preserve">EIE </w:t>
    </w:r>
    <w:r>
      <w:rPr>
        <w:b/>
        <w:bCs/>
        <w:color w:val="808080" w:themeColor="background1" w:themeShade="80"/>
      </w:rPr>
      <w:t>DE L</w:t>
    </w:r>
    <w:r w:rsidRPr="0087014D">
      <w:rPr>
        <w:b/>
        <w:bCs/>
        <w:color w:val="808080" w:themeColor="background1" w:themeShade="80"/>
      </w:rPr>
      <w:t xml:space="preserve">’EXTENSION ET REAMENAGEMENT DE L’AEROPORT </w:t>
    </w:r>
    <w:r>
      <w:rPr>
        <w:b/>
        <w:bCs/>
        <w:color w:val="808080" w:themeColor="background1" w:themeShade="80"/>
      </w:rPr>
      <w:t>MARRAKECH MENARA</w:t>
    </w:r>
  </w:p>
  <w:p w14:paraId="6ED093E7" w14:textId="77777777" w:rsidR="00241513" w:rsidRPr="001D3F76" w:rsidRDefault="00241513" w:rsidP="0087014D">
    <w:pPr>
      <w:pStyle w:val="En-tte"/>
      <w:ind w:left="1842" w:hanging="1842"/>
      <w:jc w:val="right"/>
      <w:rPr>
        <w:b/>
        <w:bCs/>
        <w:color w:val="0028A8"/>
      </w:rPr>
    </w:pPr>
    <w:r>
      <w:rPr>
        <w:b/>
        <w:bCs/>
        <w:color w:val="0028A8"/>
      </w:rPr>
      <w:tab/>
    </w:r>
    <w:r>
      <w:rPr>
        <w:b/>
        <w:bCs/>
        <w:color w:val="0028A8"/>
      </w:rPr>
      <w:tab/>
    </w:r>
    <w:r w:rsidRPr="006F6AD0">
      <w:rPr>
        <w:b/>
        <w:bCs/>
        <w:color w:val="0028A8"/>
      </w:rPr>
      <w:t>RAPPORT</w:t>
    </w:r>
    <w:r>
      <w:rPr>
        <w:b/>
        <w:bCs/>
        <w:color w:val="0028A8"/>
      </w:rPr>
      <w:t xml:space="preserve"> EIE</w:t>
    </w:r>
  </w:p>
</w:hdr>
</file>

<file path=word/header3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F63215" w14:textId="63370F09" w:rsidR="00241513" w:rsidRDefault="00241513" w:rsidP="0087014D">
    <w:pPr>
      <w:pStyle w:val="En-tte"/>
      <w:ind w:left="4536" w:hanging="4536"/>
      <w:jc w:val="right"/>
      <w:rPr>
        <w:b/>
        <w:bCs/>
        <w:color w:val="0028A8"/>
      </w:rPr>
    </w:pPr>
    <w:r>
      <w:rPr>
        <w:noProof/>
        <w:lang w:eastAsia="fr-FR" w:bidi="ar-SA"/>
      </w:rPr>
      <w:drawing>
        <wp:anchor distT="0" distB="0" distL="114300" distR="114300" simplePos="0" relativeHeight="251762176" behindDoc="0" locked="0" layoutInCell="1" allowOverlap="1" wp14:anchorId="5248BD69" wp14:editId="295FDD53">
          <wp:simplePos x="0" y="0"/>
          <wp:positionH relativeFrom="margin">
            <wp:posOffset>-209550</wp:posOffset>
          </wp:positionH>
          <wp:positionV relativeFrom="paragraph">
            <wp:posOffset>-133985</wp:posOffset>
          </wp:positionV>
          <wp:extent cx="1009650" cy="597535"/>
          <wp:effectExtent l="0" t="0" r="0" b="0"/>
          <wp:wrapSquare wrapText="bothSides"/>
          <wp:docPr id="70" name="Image 70" descr="cid:image003.jpg@01DC490A.067BF5C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3" descr="cid:image003.jpg@01DC490A.067BF5C0"/>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009650" cy="597535"/>
                  </a:xfrm>
                  <a:prstGeom prst="rect">
                    <a:avLst/>
                  </a:prstGeom>
                  <a:noFill/>
                  <a:ln>
                    <a:noFill/>
                  </a:ln>
                </pic:spPr>
              </pic:pic>
            </a:graphicData>
          </a:graphic>
          <wp14:sizeRelH relativeFrom="page">
            <wp14:pctWidth>0</wp14:pctWidth>
          </wp14:sizeRelH>
          <wp14:sizeRelV relativeFrom="page">
            <wp14:pctHeight>0</wp14:pctHeight>
          </wp14:sizeRelV>
        </wp:anchor>
      </w:drawing>
    </w:r>
    <w:r>
      <w:rPr>
        <w:b/>
        <w:bCs/>
        <w:color w:val="0028A8"/>
      </w:rPr>
      <w:tab/>
    </w:r>
    <w:r>
      <w:rPr>
        <w:b/>
        <w:bCs/>
        <w:color w:val="0028A8"/>
      </w:rPr>
      <w:tab/>
    </w:r>
    <w:r w:rsidRPr="0087014D">
      <w:rPr>
        <w:b/>
        <w:bCs/>
        <w:color w:val="808080" w:themeColor="background1" w:themeShade="80"/>
      </w:rPr>
      <w:t xml:space="preserve">EIE </w:t>
    </w:r>
    <w:r>
      <w:rPr>
        <w:b/>
        <w:bCs/>
        <w:color w:val="808080" w:themeColor="background1" w:themeShade="80"/>
      </w:rPr>
      <w:t>DE L</w:t>
    </w:r>
    <w:r w:rsidRPr="0087014D">
      <w:rPr>
        <w:b/>
        <w:bCs/>
        <w:color w:val="808080" w:themeColor="background1" w:themeShade="80"/>
      </w:rPr>
      <w:t xml:space="preserve">’EXTENSION ET REAMENAGEMENT DE L’AEROPORT </w:t>
    </w:r>
    <w:r>
      <w:rPr>
        <w:b/>
        <w:bCs/>
        <w:color w:val="808080" w:themeColor="background1" w:themeShade="80"/>
      </w:rPr>
      <w:t>MARRAKECH MENARA</w:t>
    </w:r>
  </w:p>
  <w:p w14:paraId="1DEC12D8" w14:textId="77777777" w:rsidR="00241513" w:rsidRPr="001D3F76" w:rsidRDefault="00241513" w:rsidP="0087014D">
    <w:pPr>
      <w:pStyle w:val="En-tte"/>
      <w:ind w:left="1842" w:hanging="1842"/>
      <w:jc w:val="right"/>
      <w:rPr>
        <w:b/>
        <w:bCs/>
        <w:color w:val="0028A8"/>
      </w:rPr>
    </w:pPr>
    <w:r>
      <w:rPr>
        <w:b/>
        <w:bCs/>
        <w:color w:val="0028A8"/>
      </w:rPr>
      <w:tab/>
    </w:r>
    <w:r>
      <w:rPr>
        <w:b/>
        <w:bCs/>
        <w:color w:val="0028A8"/>
      </w:rPr>
      <w:tab/>
    </w:r>
    <w:r w:rsidRPr="006F6AD0">
      <w:rPr>
        <w:b/>
        <w:bCs/>
        <w:color w:val="0028A8"/>
      </w:rPr>
      <w:t>RAPPORT</w:t>
    </w:r>
    <w:r>
      <w:rPr>
        <w:b/>
        <w:bCs/>
        <w:color w:val="0028A8"/>
      </w:rPr>
      <w:t xml:space="preserve"> EIE</w:t>
    </w:r>
  </w:p>
</w:hdr>
</file>

<file path=word/header3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330D00" w14:textId="102FF923" w:rsidR="00241513" w:rsidRDefault="00241513" w:rsidP="0087014D">
    <w:pPr>
      <w:pStyle w:val="En-tte"/>
      <w:ind w:left="4536" w:hanging="4536"/>
      <w:jc w:val="right"/>
      <w:rPr>
        <w:b/>
        <w:bCs/>
        <w:color w:val="0028A8"/>
      </w:rPr>
    </w:pPr>
    <w:r>
      <w:rPr>
        <w:noProof/>
        <w:lang w:eastAsia="fr-FR" w:bidi="ar-SA"/>
      </w:rPr>
      <w:drawing>
        <wp:anchor distT="0" distB="0" distL="114300" distR="114300" simplePos="0" relativeHeight="251764224" behindDoc="0" locked="0" layoutInCell="1" allowOverlap="1" wp14:anchorId="1B757DBF" wp14:editId="39EA9DFA">
          <wp:simplePos x="0" y="0"/>
          <wp:positionH relativeFrom="margin">
            <wp:posOffset>-276225</wp:posOffset>
          </wp:positionH>
          <wp:positionV relativeFrom="paragraph">
            <wp:posOffset>-143510</wp:posOffset>
          </wp:positionV>
          <wp:extent cx="1009650" cy="597535"/>
          <wp:effectExtent l="0" t="0" r="0" b="0"/>
          <wp:wrapSquare wrapText="bothSides"/>
          <wp:docPr id="72" name="Image 72" descr="cid:image003.jpg@01DC490A.067BF5C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3" descr="cid:image003.jpg@01DC490A.067BF5C0"/>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009650" cy="597535"/>
                  </a:xfrm>
                  <a:prstGeom prst="rect">
                    <a:avLst/>
                  </a:prstGeom>
                  <a:noFill/>
                  <a:ln>
                    <a:noFill/>
                  </a:ln>
                </pic:spPr>
              </pic:pic>
            </a:graphicData>
          </a:graphic>
          <wp14:sizeRelH relativeFrom="page">
            <wp14:pctWidth>0</wp14:pctWidth>
          </wp14:sizeRelH>
          <wp14:sizeRelV relativeFrom="page">
            <wp14:pctHeight>0</wp14:pctHeight>
          </wp14:sizeRelV>
        </wp:anchor>
      </w:drawing>
    </w:r>
    <w:r>
      <w:rPr>
        <w:b/>
        <w:bCs/>
        <w:color w:val="0028A8"/>
      </w:rPr>
      <w:tab/>
    </w:r>
    <w:r>
      <w:rPr>
        <w:b/>
        <w:bCs/>
        <w:color w:val="0028A8"/>
      </w:rPr>
      <w:tab/>
    </w:r>
    <w:r w:rsidRPr="0087014D">
      <w:rPr>
        <w:b/>
        <w:bCs/>
        <w:color w:val="808080" w:themeColor="background1" w:themeShade="80"/>
      </w:rPr>
      <w:t xml:space="preserve">EIE </w:t>
    </w:r>
    <w:r>
      <w:rPr>
        <w:b/>
        <w:bCs/>
        <w:color w:val="808080" w:themeColor="background1" w:themeShade="80"/>
      </w:rPr>
      <w:t>DE L</w:t>
    </w:r>
    <w:r w:rsidRPr="0087014D">
      <w:rPr>
        <w:b/>
        <w:bCs/>
        <w:color w:val="808080" w:themeColor="background1" w:themeShade="80"/>
      </w:rPr>
      <w:t xml:space="preserve">’EXTENSION ET REAMENAGEMENT DE L’AEROPORT </w:t>
    </w:r>
    <w:r>
      <w:rPr>
        <w:b/>
        <w:bCs/>
        <w:color w:val="808080" w:themeColor="background1" w:themeShade="80"/>
      </w:rPr>
      <w:t>MARRAKECH MENARA</w:t>
    </w:r>
  </w:p>
  <w:p w14:paraId="2C86B1B6" w14:textId="77777777" w:rsidR="00241513" w:rsidRPr="001D3F76" w:rsidRDefault="00241513" w:rsidP="0087014D">
    <w:pPr>
      <w:pStyle w:val="En-tte"/>
      <w:ind w:left="1842" w:hanging="1842"/>
      <w:jc w:val="right"/>
      <w:rPr>
        <w:b/>
        <w:bCs/>
        <w:color w:val="0028A8"/>
      </w:rPr>
    </w:pPr>
    <w:r>
      <w:rPr>
        <w:b/>
        <w:bCs/>
        <w:color w:val="0028A8"/>
      </w:rPr>
      <w:tab/>
    </w:r>
    <w:r>
      <w:rPr>
        <w:b/>
        <w:bCs/>
        <w:color w:val="0028A8"/>
      </w:rPr>
      <w:tab/>
    </w:r>
    <w:r w:rsidRPr="006F6AD0">
      <w:rPr>
        <w:b/>
        <w:bCs/>
        <w:color w:val="0028A8"/>
      </w:rPr>
      <w:t>RAPPORT</w:t>
    </w:r>
    <w:r>
      <w:rPr>
        <w:b/>
        <w:bCs/>
        <w:color w:val="0028A8"/>
      </w:rPr>
      <w:t xml:space="preserve"> EIE</w:t>
    </w:r>
  </w:p>
</w:hdr>
</file>

<file path=word/header3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82D88D" w14:textId="2E643C4C" w:rsidR="00241513" w:rsidRDefault="00241513" w:rsidP="0087014D">
    <w:pPr>
      <w:pStyle w:val="En-tte"/>
      <w:ind w:left="4536" w:hanging="4536"/>
      <w:jc w:val="right"/>
      <w:rPr>
        <w:b/>
        <w:bCs/>
        <w:color w:val="0028A8"/>
      </w:rPr>
    </w:pPr>
    <w:r>
      <w:rPr>
        <w:noProof/>
        <w:lang w:eastAsia="fr-FR" w:bidi="ar-SA"/>
      </w:rPr>
      <w:drawing>
        <wp:anchor distT="0" distB="0" distL="114300" distR="114300" simplePos="0" relativeHeight="251766272" behindDoc="0" locked="0" layoutInCell="1" allowOverlap="1" wp14:anchorId="566A0015" wp14:editId="3769950E">
          <wp:simplePos x="0" y="0"/>
          <wp:positionH relativeFrom="margin">
            <wp:align>left</wp:align>
          </wp:positionH>
          <wp:positionV relativeFrom="paragraph">
            <wp:posOffset>-229235</wp:posOffset>
          </wp:positionV>
          <wp:extent cx="1009650" cy="597535"/>
          <wp:effectExtent l="0" t="0" r="0" b="0"/>
          <wp:wrapSquare wrapText="bothSides"/>
          <wp:docPr id="74" name="Image 74" descr="cid:image003.jpg@01DC490A.067BF5C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3" descr="cid:image003.jpg@01DC490A.067BF5C0"/>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009650" cy="597535"/>
                  </a:xfrm>
                  <a:prstGeom prst="rect">
                    <a:avLst/>
                  </a:prstGeom>
                  <a:noFill/>
                  <a:ln>
                    <a:noFill/>
                  </a:ln>
                </pic:spPr>
              </pic:pic>
            </a:graphicData>
          </a:graphic>
          <wp14:sizeRelH relativeFrom="page">
            <wp14:pctWidth>0</wp14:pctWidth>
          </wp14:sizeRelH>
          <wp14:sizeRelV relativeFrom="page">
            <wp14:pctHeight>0</wp14:pctHeight>
          </wp14:sizeRelV>
        </wp:anchor>
      </w:drawing>
    </w:r>
    <w:r>
      <w:rPr>
        <w:b/>
        <w:bCs/>
        <w:color w:val="0028A8"/>
      </w:rPr>
      <w:tab/>
    </w:r>
    <w:r>
      <w:rPr>
        <w:b/>
        <w:bCs/>
        <w:color w:val="0028A8"/>
      </w:rPr>
      <w:tab/>
    </w:r>
    <w:r w:rsidRPr="0087014D">
      <w:rPr>
        <w:b/>
        <w:bCs/>
        <w:color w:val="808080" w:themeColor="background1" w:themeShade="80"/>
      </w:rPr>
      <w:t xml:space="preserve">EIE </w:t>
    </w:r>
    <w:r>
      <w:rPr>
        <w:b/>
        <w:bCs/>
        <w:color w:val="808080" w:themeColor="background1" w:themeShade="80"/>
      </w:rPr>
      <w:t>DE L</w:t>
    </w:r>
    <w:r w:rsidRPr="0087014D">
      <w:rPr>
        <w:b/>
        <w:bCs/>
        <w:color w:val="808080" w:themeColor="background1" w:themeShade="80"/>
      </w:rPr>
      <w:t xml:space="preserve">’EXTENSION ET REAMENAGEMENT DE L’AEROPORT </w:t>
    </w:r>
    <w:r>
      <w:rPr>
        <w:b/>
        <w:bCs/>
        <w:color w:val="808080" w:themeColor="background1" w:themeShade="80"/>
      </w:rPr>
      <w:t>MARRAKECH MENARA</w:t>
    </w:r>
  </w:p>
  <w:p w14:paraId="3ABA7024" w14:textId="248B88EF" w:rsidR="00241513" w:rsidRPr="001D3F76" w:rsidRDefault="00241513" w:rsidP="0087014D">
    <w:pPr>
      <w:pStyle w:val="En-tte"/>
      <w:ind w:left="1842" w:hanging="1842"/>
      <w:jc w:val="right"/>
      <w:rPr>
        <w:b/>
        <w:bCs/>
        <w:color w:val="0028A8"/>
      </w:rPr>
    </w:pPr>
    <w:r>
      <w:rPr>
        <w:b/>
        <w:bCs/>
        <w:color w:val="0028A8"/>
      </w:rPr>
      <w:tab/>
    </w:r>
    <w:r>
      <w:rPr>
        <w:b/>
        <w:bCs/>
        <w:color w:val="0028A8"/>
      </w:rPr>
      <w:tab/>
    </w:r>
    <w:r w:rsidRPr="006F6AD0">
      <w:rPr>
        <w:b/>
        <w:bCs/>
        <w:color w:val="0028A8"/>
      </w:rPr>
      <w:t>RAPPORT</w:t>
    </w:r>
    <w:r>
      <w:rPr>
        <w:b/>
        <w:bCs/>
        <w:color w:val="0028A8"/>
      </w:rPr>
      <w:t xml:space="preserve"> EIES</w:t>
    </w:r>
  </w:p>
</w:hdr>
</file>

<file path=word/header3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7E1223" w14:textId="5055A234" w:rsidR="00241513" w:rsidRDefault="00241513" w:rsidP="00F50ABB">
    <w:pPr>
      <w:pStyle w:val="En-tte"/>
      <w:ind w:left="4536" w:hanging="4536"/>
      <w:jc w:val="right"/>
      <w:rPr>
        <w:b/>
        <w:bCs/>
        <w:color w:val="808080" w:themeColor="background1" w:themeShade="80"/>
      </w:rPr>
    </w:pPr>
    <w:r>
      <w:rPr>
        <w:noProof/>
        <w:lang w:eastAsia="fr-FR" w:bidi="ar-SA"/>
      </w:rPr>
      <w:drawing>
        <wp:anchor distT="0" distB="0" distL="114300" distR="114300" simplePos="0" relativeHeight="251768320" behindDoc="0" locked="0" layoutInCell="1" allowOverlap="1" wp14:anchorId="003C882D" wp14:editId="3072641A">
          <wp:simplePos x="0" y="0"/>
          <wp:positionH relativeFrom="margin">
            <wp:posOffset>-152400</wp:posOffset>
          </wp:positionH>
          <wp:positionV relativeFrom="paragraph">
            <wp:posOffset>-105410</wp:posOffset>
          </wp:positionV>
          <wp:extent cx="1009650" cy="597535"/>
          <wp:effectExtent l="0" t="0" r="0" b="0"/>
          <wp:wrapSquare wrapText="bothSides"/>
          <wp:docPr id="76" name="Image 76" descr="cid:image003.jpg@01DC490A.067BF5C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3" descr="cid:image003.jpg@01DC490A.067BF5C0"/>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009650" cy="597535"/>
                  </a:xfrm>
                  <a:prstGeom prst="rect">
                    <a:avLst/>
                  </a:prstGeom>
                  <a:noFill/>
                  <a:ln>
                    <a:noFill/>
                  </a:ln>
                </pic:spPr>
              </pic:pic>
            </a:graphicData>
          </a:graphic>
          <wp14:sizeRelH relativeFrom="page">
            <wp14:pctWidth>0</wp14:pctWidth>
          </wp14:sizeRelH>
          <wp14:sizeRelV relativeFrom="page">
            <wp14:pctHeight>0</wp14:pctHeight>
          </wp14:sizeRelV>
        </wp:anchor>
      </w:drawing>
    </w:r>
    <w:r>
      <w:rPr>
        <w:b/>
        <w:bCs/>
        <w:color w:val="0028A8"/>
      </w:rPr>
      <w:tab/>
    </w:r>
    <w:r>
      <w:rPr>
        <w:b/>
        <w:bCs/>
        <w:color w:val="0028A8"/>
      </w:rPr>
      <w:tab/>
    </w:r>
    <w:r w:rsidRPr="0087014D">
      <w:rPr>
        <w:b/>
        <w:bCs/>
        <w:color w:val="808080" w:themeColor="background1" w:themeShade="80"/>
      </w:rPr>
      <w:t xml:space="preserve">EIE </w:t>
    </w:r>
    <w:r>
      <w:rPr>
        <w:b/>
        <w:bCs/>
        <w:color w:val="808080" w:themeColor="background1" w:themeShade="80"/>
      </w:rPr>
      <w:t>DE L</w:t>
    </w:r>
    <w:r w:rsidRPr="0087014D">
      <w:rPr>
        <w:b/>
        <w:bCs/>
        <w:color w:val="808080" w:themeColor="background1" w:themeShade="80"/>
      </w:rPr>
      <w:t xml:space="preserve">’EXTENSION ET REAMENAGEMENT DE L’AEROPORT </w:t>
    </w:r>
    <w:r>
      <w:rPr>
        <w:b/>
        <w:bCs/>
        <w:color w:val="808080" w:themeColor="background1" w:themeShade="80"/>
      </w:rPr>
      <w:t>MARRAKECH MENARA</w:t>
    </w:r>
  </w:p>
  <w:p w14:paraId="330C4996" w14:textId="43796CCB" w:rsidR="00241513" w:rsidRPr="001D3F76" w:rsidRDefault="00241513" w:rsidP="00F50ABB">
    <w:pPr>
      <w:pStyle w:val="En-tte"/>
      <w:ind w:left="4536" w:hanging="4536"/>
      <w:jc w:val="right"/>
      <w:rPr>
        <w:b/>
        <w:bCs/>
        <w:color w:val="0028A8"/>
      </w:rPr>
    </w:pPr>
    <w:r>
      <w:rPr>
        <w:b/>
        <w:bCs/>
        <w:color w:val="0028A8"/>
      </w:rPr>
      <w:tab/>
    </w:r>
    <w:r w:rsidRPr="006F6AD0">
      <w:rPr>
        <w:b/>
        <w:bCs/>
        <w:color w:val="0028A8"/>
      </w:rPr>
      <w:t>RAPPORT</w:t>
    </w:r>
    <w:r>
      <w:rPr>
        <w:b/>
        <w:bCs/>
        <w:color w:val="0028A8"/>
      </w:rPr>
      <w:t xml:space="preserve"> EIES</w:t>
    </w:r>
  </w:p>
</w:hdr>
</file>

<file path=word/header3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CCBF08" w14:textId="4418201C" w:rsidR="00241513" w:rsidRDefault="00241513" w:rsidP="0087014D">
    <w:pPr>
      <w:pStyle w:val="En-tte"/>
      <w:ind w:left="4536" w:hanging="4536"/>
      <w:jc w:val="right"/>
      <w:rPr>
        <w:b/>
        <w:bCs/>
        <w:color w:val="808080" w:themeColor="background1" w:themeShade="80"/>
      </w:rPr>
    </w:pPr>
    <w:r>
      <w:rPr>
        <w:noProof/>
        <w:lang w:eastAsia="fr-FR" w:bidi="ar-SA"/>
      </w:rPr>
      <w:drawing>
        <wp:anchor distT="0" distB="0" distL="114300" distR="114300" simplePos="0" relativeHeight="251770368" behindDoc="0" locked="0" layoutInCell="1" allowOverlap="1" wp14:anchorId="6C94B753" wp14:editId="453E69BA">
          <wp:simplePos x="0" y="0"/>
          <wp:positionH relativeFrom="margin">
            <wp:align>left</wp:align>
          </wp:positionH>
          <wp:positionV relativeFrom="paragraph">
            <wp:posOffset>-153035</wp:posOffset>
          </wp:positionV>
          <wp:extent cx="1009650" cy="597535"/>
          <wp:effectExtent l="0" t="0" r="0" b="0"/>
          <wp:wrapSquare wrapText="bothSides"/>
          <wp:docPr id="79" name="Image 79" descr="cid:image003.jpg@01DC490A.067BF5C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3" descr="cid:image003.jpg@01DC490A.067BF5C0"/>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009650" cy="597535"/>
                  </a:xfrm>
                  <a:prstGeom prst="rect">
                    <a:avLst/>
                  </a:prstGeom>
                  <a:noFill/>
                  <a:ln>
                    <a:noFill/>
                  </a:ln>
                </pic:spPr>
              </pic:pic>
            </a:graphicData>
          </a:graphic>
          <wp14:sizeRelH relativeFrom="page">
            <wp14:pctWidth>0</wp14:pctWidth>
          </wp14:sizeRelH>
          <wp14:sizeRelV relativeFrom="page">
            <wp14:pctHeight>0</wp14:pctHeight>
          </wp14:sizeRelV>
        </wp:anchor>
      </w:drawing>
    </w:r>
    <w:r>
      <w:rPr>
        <w:b/>
        <w:bCs/>
        <w:color w:val="0028A8"/>
      </w:rPr>
      <w:tab/>
    </w:r>
    <w:r>
      <w:rPr>
        <w:b/>
        <w:bCs/>
        <w:color w:val="0028A8"/>
      </w:rPr>
      <w:tab/>
    </w:r>
    <w:r w:rsidRPr="0087014D">
      <w:rPr>
        <w:b/>
        <w:bCs/>
        <w:color w:val="808080" w:themeColor="background1" w:themeShade="80"/>
      </w:rPr>
      <w:t xml:space="preserve">EIE </w:t>
    </w:r>
    <w:r>
      <w:rPr>
        <w:b/>
        <w:bCs/>
        <w:color w:val="808080" w:themeColor="background1" w:themeShade="80"/>
      </w:rPr>
      <w:t>DE L</w:t>
    </w:r>
    <w:r w:rsidRPr="0087014D">
      <w:rPr>
        <w:b/>
        <w:bCs/>
        <w:color w:val="808080" w:themeColor="background1" w:themeShade="80"/>
      </w:rPr>
      <w:t xml:space="preserve">’EXTENSION ET REAMENAGEMENT DE </w:t>
    </w:r>
  </w:p>
  <w:p w14:paraId="70C982D9" w14:textId="431F678C" w:rsidR="00241513" w:rsidRDefault="00241513" w:rsidP="0087014D">
    <w:pPr>
      <w:pStyle w:val="En-tte"/>
      <w:ind w:left="4536" w:hanging="4536"/>
      <w:jc w:val="right"/>
      <w:rPr>
        <w:b/>
        <w:bCs/>
        <w:color w:val="0028A8"/>
      </w:rPr>
    </w:pPr>
    <w:r w:rsidRPr="0087014D">
      <w:rPr>
        <w:b/>
        <w:bCs/>
        <w:color w:val="808080" w:themeColor="background1" w:themeShade="80"/>
      </w:rPr>
      <w:t xml:space="preserve">L’AEROPORT </w:t>
    </w:r>
    <w:r>
      <w:rPr>
        <w:b/>
        <w:bCs/>
        <w:color w:val="808080" w:themeColor="background1" w:themeShade="80"/>
      </w:rPr>
      <w:t>MARRAKECH MENARA</w:t>
    </w:r>
  </w:p>
  <w:p w14:paraId="7DADC314" w14:textId="77777777" w:rsidR="00241513" w:rsidRPr="001D3F76" w:rsidRDefault="00241513" w:rsidP="0087014D">
    <w:pPr>
      <w:pStyle w:val="En-tte"/>
      <w:ind w:left="1842" w:hanging="1842"/>
      <w:jc w:val="right"/>
      <w:rPr>
        <w:b/>
        <w:bCs/>
        <w:color w:val="0028A8"/>
      </w:rPr>
    </w:pPr>
    <w:r>
      <w:rPr>
        <w:b/>
        <w:bCs/>
        <w:color w:val="0028A8"/>
      </w:rPr>
      <w:tab/>
    </w:r>
    <w:r>
      <w:rPr>
        <w:b/>
        <w:bCs/>
        <w:color w:val="0028A8"/>
      </w:rPr>
      <w:tab/>
    </w:r>
    <w:r w:rsidRPr="006F6AD0">
      <w:rPr>
        <w:b/>
        <w:bCs/>
        <w:color w:val="0028A8"/>
      </w:rPr>
      <w:t>RAPPORT</w:t>
    </w:r>
    <w:r>
      <w:rPr>
        <w:b/>
        <w:bCs/>
        <w:color w:val="0028A8"/>
      </w:rPr>
      <w:t xml:space="preserve"> EIE</w:t>
    </w:r>
  </w:p>
</w:hdr>
</file>

<file path=word/header3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81C4EA" w14:textId="16430AD4" w:rsidR="00241513" w:rsidRDefault="00241513" w:rsidP="0087014D">
    <w:pPr>
      <w:pStyle w:val="En-tte"/>
      <w:ind w:left="4536" w:hanging="4536"/>
      <w:jc w:val="right"/>
      <w:rPr>
        <w:b/>
        <w:bCs/>
        <w:color w:val="0028A8"/>
      </w:rPr>
    </w:pPr>
    <w:r>
      <w:rPr>
        <w:noProof/>
        <w:lang w:eastAsia="fr-FR" w:bidi="ar-SA"/>
      </w:rPr>
      <w:drawing>
        <wp:anchor distT="0" distB="0" distL="114300" distR="114300" simplePos="0" relativeHeight="251772416" behindDoc="0" locked="0" layoutInCell="1" allowOverlap="1" wp14:anchorId="250315FF" wp14:editId="12FC1D09">
          <wp:simplePos x="0" y="0"/>
          <wp:positionH relativeFrom="margin">
            <wp:posOffset>-171450</wp:posOffset>
          </wp:positionH>
          <wp:positionV relativeFrom="paragraph">
            <wp:posOffset>-200660</wp:posOffset>
          </wp:positionV>
          <wp:extent cx="1009650" cy="597535"/>
          <wp:effectExtent l="0" t="0" r="0" b="0"/>
          <wp:wrapSquare wrapText="bothSides"/>
          <wp:docPr id="81" name="Image 81" descr="cid:image003.jpg@01DC490A.067BF5C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3" descr="cid:image003.jpg@01DC490A.067BF5C0"/>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009650" cy="597535"/>
                  </a:xfrm>
                  <a:prstGeom prst="rect">
                    <a:avLst/>
                  </a:prstGeom>
                  <a:noFill/>
                  <a:ln>
                    <a:noFill/>
                  </a:ln>
                </pic:spPr>
              </pic:pic>
            </a:graphicData>
          </a:graphic>
          <wp14:sizeRelH relativeFrom="page">
            <wp14:pctWidth>0</wp14:pctWidth>
          </wp14:sizeRelH>
          <wp14:sizeRelV relativeFrom="page">
            <wp14:pctHeight>0</wp14:pctHeight>
          </wp14:sizeRelV>
        </wp:anchor>
      </w:drawing>
    </w:r>
    <w:r>
      <w:rPr>
        <w:b/>
        <w:bCs/>
        <w:color w:val="0028A8"/>
      </w:rPr>
      <w:tab/>
    </w:r>
    <w:r>
      <w:rPr>
        <w:b/>
        <w:bCs/>
        <w:color w:val="0028A8"/>
      </w:rPr>
      <w:tab/>
    </w:r>
    <w:r w:rsidRPr="0087014D">
      <w:rPr>
        <w:b/>
        <w:bCs/>
        <w:color w:val="808080" w:themeColor="background1" w:themeShade="80"/>
      </w:rPr>
      <w:t xml:space="preserve">EIE </w:t>
    </w:r>
    <w:r>
      <w:rPr>
        <w:b/>
        <w:bCs/>
        <w:color w:val="808080" w:themeColor="background1" w:themeShade="80"/>
      </w:rPr>
      <w:t>DE L</w:t>
    </w:r>
    <w:r w:rsidRPr="0087014D">
      <w:rPr>
        <w:b/>
        <w:bCs/>
        <w:color w:val="808080" w:themeColor="background1" w:themeShade="80"/>
      </w:rPr>
      <w:t xml:space="preserve">’EXTENSION ET REAMENAGEMENT DE L’AEROPORT </w:t>
    </w:r>
    <w:r>
      <w:rPr>
        <w:b/>
        <w:bCs/>
        <w:color w:val="808080" w:themeColor="background1" w:themeShade="80"/>
      </w:rPr>
      <w:t>MARRAKECH MENARA</w:t>
    </w:r>
  </w:p>
  <w:p w14:paraId="3B6BF3EA" w14:textId="1FCD01B6" w:rsidR="00241513" w:rsidRPr="001D3F76" w:rsidRDefault="00241513" w:rsidP="0087014D">
    <w:pPr>
      <w:pStyle w:val="En-tte"/>
      <w:ind w:left="1842" w:hanging="1842"/>
      <w:jc w:val="right"/>
      <w:rPr>
        <w:b/>
        <w:bCs/>
        <w:color w:val="0028A8"/>
      </w:rPr>
    </w:pPr>
    <w:r>
      <w:rPr>
        <w:b/>
        <w:bCs/>
        <w:color w:val="0028A8"/>
      </w:rPr>
      <w:tab/>
    </w:r>
    <w:r>
      <w:rPr>
        <w:b/>
        <w:bCs/>
        <w:color w:val="0028A8"/>
      </w:rPr>
      <w:tab/>
    </w:r>
    <w:r w:rsidRPr="006F6AD0">
      <w:rPr>
        <w:b/>
        <w:bCs/>
        <w:color w:val="0028A8"/>
      </w:rPr>
      <w:t>RAPPORT</w:t>
    </w:r>
    <w:r>
      <w:rPr>
        <w:b/>
        <w:bCs/>
        <w:color w:val="0028A8"/>
      </w:rPr>
      <w:t xml:space="preserve"> EIES</w:t>
    </w: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E7CF92" w14:textId="3676312E" w:rsidR="00241513" w:rsidRDefault="00241513" w:rsidP="0015595B">
    <w:pPr>
      <w:pStyle w:val="En-tte"/>
      <w:ind w:left="4536" w:hanging="4536"/>
      <w:jc w:val="right"/>
      <w:rPr>
        <w:b/>
        <w:bCs/>
        <w:color w:val="0028A8"/>
      </w:rPr>
    </w:pPr>
    <w:r>
      <w:rPr>
        <w:noProof/>
        <w:lang w:eastAsia="fr-FR" w:bidi="ar-SA"/>
      </w:rPr>
      <w:drawing>
        <wp:anchor distT="0" distB="0" distL="114300" distR="114300" simplePos="0" relativeHeight="251706880" behindDoc="0" locked="0" layoutInCell="1" allowOverlap="1" wp14:anchorId="0D898C47" wp14:editId="3EAF42AD">
          <wp:simplePos x="0" y="0"/>
          <wp:positionH relativeFrom="margin">
            <wp:align>left</wp:align>
          </wp:positionH>
          <wp:positionV relativeFrom="paragraph">
            <wp:posOffset>-133985</wp:posOffset>
          </wp:positionV>
          <wp:extent cx="1009650" cy="597535"/>
          <wp:effectExtent l="0" t="0" r="0" b="0"/>
          <wp:wrapSquare wrapText="bothSides"/>
          <wp:docPr id="60" name="Image 60" descr="cid:image003.jpg@01DC490A.067BF5C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3" descr="cid:image003.jpg@01DC490A.067BF5C0"/>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009650" cy="597535"/>
                  </a:xfrm>
                  <a:prstGeom prst="rect">
                    <a:avLst/>
                  </a:prstGeom>
                  <a:noFill/>
                  <a:ln>
                    <a:noFill/>
                  </a:ln>
                </pic:spPr>
              </pic:pic>
            </a:graphicData>
          </a:graphic>
          <wp14:sizeRelH relativeFrom="page">
            <wp14:pctWidth>0</wp14:pctWidth>
          </wp14:sizeRelH>
          <wp14:sizeRelV relativeFrom="page">
            <wp14:pctHeight>0</wp14:pctHeight>
          </wp14:sizeRelV>
        </wp:anchor>
      </w:drawing>
    </w:r>
    <w:r>
      <w:rPr>
        <w:b/>
        <w:bCs/>
        <w:color w:val="0028A8"/>
      </w:rPr>
      <w:tab/>
    </w:r>
    <w:r>
      <w:rPr>
        <w:b/>
        <w:bCs/>
        <w:color w:val="0028A8"/>
      </w:rPr>
      <w:tab/>
    </w:r>
    <w:r w:rsidRPr="00132352">
      <w:rPr>
        <w:b/>
        <w:bCs/>
        <w:color w:val="808080"/>
      </w:rPr>
      <w:t xml:space="preserve">EIE DE L’EXTENSION ET REAMENAGEMENT DE L’AEROPORT </w:t>
    </w:r>
    <w:r>
      <w:rPr>
        <w:b/>
        <w:bCs/>
        <w:color w:val="808080"/>
      </w:rPr>
      <w:t>MARRAKECH MENARA</w:t>
    </w:r>
  </w:p>
  <w:p w14:paraId="0412D65B" w14:textId="77777777" w:rsidR="00241513" w:rsidRDefault="00241513" w:rsidP="0015595B">
    <w:pPr>
      <w:pStyle w:val="En-tte"/>
      <w:rPr>
        <w:b/>
        <w:bCs/>
        <w:color w:val="0028A8"/>
      </w:rPr>
    </w:pPr>
    <w:r>
      <w:rPr>
        <w:b/>
        <w:bCs/>
        <w:color w:val="0028A8"/>
      </w:rPr>
      <w:tab/>
    </w:r>
    <w:r>
      <w:rPr>
        <w:b/>
        <w:bCs/>
        <w:color w:val="0028A8"/>
      </w:rPr>
      <w:tab/>
    </w:r>
    <w:r w:rsidRPr="006F6AD0">
      <w:rPr>
        <w:b/>
        <w:bCs/>
        <w:color w:val="0028A8"/>
      </w:rPr>
      <w:t>RAPPORT</w:t>
    </w:r>
    <w:r>
      <w:rPr>
        <w:b/>
        <w:bCs/>
        <w:color w:val="0028A8"/>
      </w:rPr>
      <w:t xml:space="preserve"> EIE</w:t>
    </w:r>
  </w:p>
  <w:p w14:paraId="61B60B04" w14:textId="77777777" w:rsidR="00241513" w:rsidRPr="0015595B" w:rsidRDefault="00241513" w:rsidP="0015595B">
    <w:pPr>
      <w:pStyle w:val="En-tte"/>
    </w:pPr>
  </w:p>
</w:hdr>
</file>

<file path=word/header40.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CE8BD8" w14:textId="50F6FDDE" w:rsidR="00241513" w:rsidRDefault="00241513" w:rsidP="0087014D">
    <w:pPr>
      <w:pStyle w:val="En-tte"/>
      <w:ind w:left="4536" w:hanging="4536"/>
      <w:jc w:val="right"/>
      <w:rPr>
        <w:b/>
        <w:bCs/>
        <w:color w:val="0028A8"/>
      </w:rPr>
    </w:pPr>
    <w:r>
      <w:rPr>
        <w:noProof/>
        <w:lang w:eastAsia="fr-FR" w:bidi="ar-SA"/>
      </w:rPr>
      <w:drawing>
        <wp:anchor distT="0" distB="0" distL="114300" distR="114300" simplePos="0" relativeHeight="251774464" behindDoc="0" locked="0" layoutInCell="1" allowOverlap="1" wp14:anchorId="2E7604A4" wp14:editId="222275B3">
          <wp:simplePos x="0" y="0"/>
          <wp:positionH relativeFrom="margin">
            <wp:posOffset>-133350</wp:posOffset>
          </wp:positionH>
          <wp:positionV relativeFrom="paragraph">
            <wp:posOffset>-229235</wp:posOffset>
          </wp:positionV>
          <wp:extent cx="1009650" cy="597535"/>
          <wp:effectExtent l="0" t="0" r="0" b="0"/>
          <wp:wrapSquare wrapText="bothSides"/>
          <wp:docPr id="83" name="Image 83" descr="cid:image003.jpg@01DC490A.067BF5C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3" descr="cid:image003.jpg@01DC490A.067BF5C0"/>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009650" cy="597535"/>
                  </a:xfrm>
                  <a:prstGeom prst="rect">
                    <a:avLst/>
                  </a:prstGeom>
                  <a:noFill/>
                  <a:ln>
                    <a:noFill/>
                  </a:ln>
                </pic:spPr>
              </pic:pic>
            </a:graphicData>
          </a:graphic>
          <wp14:sizeRelH relativeFrom="page">
            <wp14:pctWidth>0</wp14:pctWidth>
          </wp14:sizeRelH>
          <wp14:sizeRelV relativeFrom="page">
            <wp14:pctHeight>0</wp14:pctHeight>
          </wp14:sizeRelV>
        </wp:anchor>
      </w:drawing>
    </w:r>
    <w:r>
      <w:rPr>
        <w:b/>
        <w:bCs/>
        <w:color w:val="0028A8"/>
      </w:rPr>
      <w:tab/>
    </w:r>
    <w:r>
      <w:rPr>
        <w:b/>
        <w:bCs/>
        <w:color w:val="0028A8"/>
      </w:rPr>
      <w:tab/>
    </w:r>
    <w:r>
      <w:rPr>
        <w:b/>
        <w:bCs/>
        <w:color w:val="0028A8"/>
      </w:rPr>
      <w:tab/>
    </w:r>
    <w:r w:rsidRPr="0087014D">
      <w:rPr>
        <w:b/>
        <w:bCs/>
        <w:color w:val="808080" w:themeColor="background1" w:themeShade="80"/>
      </w:rPr>
      <w:t xml:space="preserve">EIE </w:t>
    </w:r>
    <w:r>
      <w:rPr>
        <w:b/>
        <w:bCs/>
        <w:color w:val="808080" w:themeColor="background1" w:themeShade="80"/>
      </w:rPr>
      <w:t>DE L</w:t>
    </w:r>
    <w:r w:rsidRPr="0087014D">
      <w:rPr>
        <w:b/>
        <w:bCs/>
        <w:color w:val="808080" w:themeColor="background1" w:themeShade="80"/>
      </w:rPr>
      <w:t xml:space="preserve">’EXTENSION ET REAMENAGEMENT DE L’AEROPORT </w:t>
    </w:r>
    <w:r>
      <w:rPr>
        <w:b/>
        <w:bCs/>
        <w:color w:val="808080" w:themeColor="background1" w:themeShade="80"/>
      </w:rPr>
      <w:t>MARRAKECH MENARA</w:t>
    </w:r>
  </w:p>
  <w:p w14:paraId="2FD793A5" w14:textId="77777777" w:rsidR="00241513" w:rsidRPr="001D3F76" w:rsidRDefault="00241513" w:rsidP="0087014D">
    <w:pPr>
      <w:pStyle w:val="En-tte"/>
      <w:ind w:left="1842" w:hanging="1842"/>
      <w:jc w:val="right"/>
      <w:rPr>
        <w:b/>
        <w:bCs/>
        <w:color w:val="0028A8"/>
      </w:rPr>
    </w:pPr>
    <w:r>
      <w:rPr>
        <w:b/>
        <w:bCs/>
        <w:color w:val="0028A8"/>
      </w:rPr>
      <w:tab/>
    </w:r>
    <w:r>
      <w:rPr>
        <w:b/>
        <w:bCs/>
        <w:color w:val="0028A8"/>
      </w:rPr>
      <w:tab/>
    </w:r>
    <w:r w:rsidRPr="006F6AD0">
      <w:rPr>
        <w:b/>
        <w:bCs/>
        <w:color w:val="0028A8"/>
      </w:rPr>
      <w:t>RAPPORT</w:t>
    </w:r>
    <w:r>
      <w:rPr>
        <w:b/>
        <w:bCs/>
        <w:color w:val="0028A8"/>
      </w:rPr>
      <w:t xml:space="preserve"> EIE</w:t>
    </w:r>
  </w:p>
</w:hdr>
</file>

<file path=word/header4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16A84D" w14:textId="29B77AD7" w:rsidR="00241513" w:rsidRDefault="00241513" w:rsidP="0087014D">
    <w:pPr>
      <w:pStyle w:val="En-tte"/>
      <w:ind w:left="4536" w:hanging="4536"/>
      <w:jc w:val="right"/>
      <w:rPr>
        <w:b/>
        <w:bCs/>
        <w:color w:val="0028A8"/>
      </w:rPr>
    </w:pPr>
    <w:r>
      <w:rPr>
        <w:noProof/>
        <w:lang w:eastAsia="fr-FR" w:bidi="ar-SA"/>
      </w:rPr>
      <w:drawing>
        <wp:anchor distT="0" distB="0" distL="114300" distR="114300" simplePos="0" relativeHeight="251776512" behindDoc="0" locked="0" layoutInCell="1" allowOverlap="1" wp14:anchorId="7EF0648A" wp14:editId="3EDBB10F">
          <wp:simplePos x="0" y="0"/>
          <wp:positionH relativeFrom="margin">
            <wp:posOffset>-209550</wp:posOffset>
          </wp:positionH>
          <wp:positionV relativeFrom="paragraph">
            <wp:posOffset>-191135</wp:posOffset>
          </wp:positionV>
          <wp:extent cx="1009650" cy="597535"/>
          <wp:effectExtent l="0" t="0" r="0" b="0"/>
          <wp:wrapSquare wrapText="bothSides"/>
          <wp:docPr id="86" name="Image 86" descr="cid:image003.jpg@01DC490A.067BF5C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3" descr="cid:image003.jpg@01DC490A.067BF5C0"/>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009650" cy="597535"/>
                  </a:xfrm>
                  <a:prstGeom prst="rect">
                    <a:avLst/>
                  </a:prstGeom>
                  <a:noFill/>
                  <a:ln>
                    <a:noFill/>
                  </a:ln>
                </pic:spPr>
              </pic:pic>
            </a:graphicData>
          </a:graphic>
          <wp14:sizeRelH relativeFrom="page">
            <wp14:pctWidth>0</wp14:pctWidth>
          </wp14:sizeRelH>
          <wp14:sizeRelV relativeFrom="page">
            <wp14:pctHeight>0</wp14:pctHeight>
          </wp14:sizeRelV>
        </wp:anchor>
      </w:drawing>
    </w:r>
    <w:r>
      <w:rPr>
        <w:b/>
        <w:bCs/>
        <w:color w:val="0028A8"/>
      </w:rPr>
      <w:tab/>
    </w:r>
    <w:r>
      <w:rPr>
        <w:b/>
        <w:bCs/>
        <w:color w:val="0028A8"/>
      </w:rPr>
      <w:tab/>
    </w:r>
    <w:r w:rsidRPr="0087014D">
      <w:rPr>
        <w:b/>
        <w:bCs/>
        <w:color w:val="808080" w:themeColor="background1" w:themeShade="80"/>
      </w:rPr>
      <w:t xml:space="preserve">EIE </w:t>
    </w:r>
    <w:r>
      <w:rPr>
        <w:b/>
        <w:bCs/>
        <w:color w:val="808080" w:themeColor="background1" w:themeShade="80"/>
      </w:rPr>
      <w:t>DE L</w:t>
    </w:r>
    <w:r w:rsidRPr="0087014D">
      <w:rPr>
        <w:b/>
        <w:bCs/>
        <w:color w:val="808080" w:themeColor="background1" w:themeShade="80"/>
      </w:rPr>
      <w:t xml:space="preserve">’EXTENSION ET REAMENAGEMENT DE L’AEROPORT </w:t>
    </w:r>
    <w:r>
      <w:rPr>
        <w:b/>
        <w:bCs/>
        <w:color w:val="808080" w:themeColor="background1" w:themeShade="80"/>
      </w:rPr>
      <w:t>MARRAKECH MENARA</w:t>
    </w:r>
  </w:p>
  <w:p w14:paraId="12435EA1" w14:textId="77777777" w:rsidR="00241513" w:rsidRPr="001D3F76" w:rsidRDefault="00241513" w:rsidP="0087014D">
    <w:pPr>
      <w:pStyle w:val="En-tte"/>
      <w:ind w:left="1842" w:hanging="1842"/>
      <w:jc w:val="right"/>
      <w:rPr>
        <w:b/>
        <w:bCs/>
        <w:color w:val="0028A8"/>
      </w:rPr>
    </w:pPr>
    <w:r>
      <w:rPr>
        <w:b/>
        <w:bCs/>
        <w:color w:val="0028A8"/>
      </w:rPr>
      <w:tab/>
    </w:r>
    <w:r>
      <w:rPr>
        <w:b/>
        <w:bCs/>
        <w:color w:val="0028A8"/>
      </w:rPr>
      <w:tab/>
    </w:r>
    <w:r w:rsidRPr="006F6AD0">
      <w:rPr>
        <w:b/>
        <w:bCs/>
        <w:color w:val="0028A8"/>
      </w:rPr>
      <w:t>RAPPORT</w:t>
    </w:r>
    <w:r>
      <w:rPr>
        <w:b/>
        <w:bCs/>
        <w:color w:val="0028A8"/>
      </w:rPr>
      <w:t xml:space="preserve"> EIE</w:t>
    </w:r>
  </w:p>
</w:hdr>
</file>

<file path=word/header4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1570CF" w14:textId="0447F143" w:rsidR="00241513" w:rsidRDefault="00241513" w:rsidP="0087014D">
    <w:pPr>
      <w:pStyle w:val="En-tte"/>
      <w:ind w:left="4536" w:hanging="4536"/>
      <w:jc w:val="right"/>
      <w:rPr>
        <w:b/>
        <w:bCs/>
        <w:color w:val="0028A8"/>
      </w:rPr>
    </w:pPr>
    <w:r>
      <w:rPr>
        <w:noProof/>
        <w:lang w:eastAsia="fr-FR" w:bidi="ar-SA"/>
      </w:rPr>
      <w:drawing>
        <wp:anchor distT="0" distB="0" distL="114300" distR="114300" simplePos="0" relativeHeight="251778560" behindDoc="0" locked="0" layoutInCell="1" allowOverlap="1" wp14:anchorId="56FF3EE7" wp14:editId="195B4B84">
          <wp:simplePos x="0" y="0"/>
          <wp:positionH relativeFrom="margin">
            <wp:align>left</wp:align>
          </wp:positionH>
          <wp:positionV relativeFrom="paragraph">
            <wp:posOffset>-276860</wp:posOffset>
          </wp:positionV>
          <wp:extent cx="1009650" cy="597535"/>
          <wp:effectExtent l="0" t="0" r="0" b="0"/>
          <wp:wrapSquare wrapText="bothSides"/>
          <wp:docPr id="88" name="Image 88" descr="cid:image003.jpg@01DC490A.067BF5C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3" descr="cid:image003.jpg@01DC490A.067BF5C0"/>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009650" cy="597535"/>
                  </a:xfrm>
                  <a:prstGeom prst="rect">
                    <a:avLst/>
                  </a:prstGeom>
                  <a:noFill/>
                  <a:ln>
                    <a:noFill/>
                  </a:ln>
                </pic:spPr>
              </pic:pic>
            </a:graphicData>
          </a:graphic>
          <wp14:sizeRelH relativeFrom="page">
            <wp14:pctWidth>0</wp14:pctWidth>
          </wp14:sizeRelH>
          <wp14:sizeRelV relativeFrom="page">
            <wp14:pctHeight>0</wp14:pctHeight>
          </wp14:sizeRelV>
        </wp:anchor>
      </w:drawing>
    </w:r>
    <w:r>
      <w:rPr>
        <w:b/>
        <w:bCs/>
        <w:color w:val="0028A8"/>
      </w:rPr>
      <w:tab/>
    </w:r>
    <w:r w:rsidRPr="0087014D">
      <w:rPr>
        <w:b/>
        <w:bCs/>
        <w:color w:val="808080" w:themeColor="background1" w:themeShade="80"/>
      </w:rPr>
      <w:t xml:space="preserve">EIE </w:t>
    </w:r>
    <w:r>
      <w:rPr>
        <w:b/>
        <w:bCs/>
        <w:color w:val="808080" w:themeColor="background1" w:themeShade="80"/>
      </w:rPr>
      <w:t>DE L</w:t>
    </w:r>
    <w:r w:rsidRPr="0087014D">
      <w:rPr>
        <w:b/>
        <w:bCs/>
        <w:color w:val="808080" w:themeColor="background1" w:themeShade="80"/>
      </w:rPr>
      <w:t xml:space="preserve">’EXTENSION ET REAMENAGEMENT DE L’AEROPORT </w:t>
    </w:r>
    <w:r>
      <w:rPr>
        <w:b/>
        <w:bCs/>
        <w:color w:val="808080" w:themeColor="background1" w:themeShade="80"/>
      </w:rPr>
      <w:t>MARRAKECH MENARA</w:t>
    </w:r>
  </w:p>
  <w:p w14:paraId="7C957662" w14:textId="77777777" w:rsidR="00241513" w:rsidRPr="001D3F76" w:rsidRDefault="00241513" w:rsidP="0087014D">
    <w:pPr>
      <w:pStyle w:val="En-tte"/>
      <w:ind w:left="1842" w:hanging="1842"/>
      <w:jc w:val="right"/>
      <w:rPr>
        <w:b/>
        <w:bCs/>
        <w:color w:val="0028A8"/>
      </w:rPr>
    </w:pPr>
    <w:r>
      <w:rPr>
        <w:b/>
        <w:bCs/>
        <w:color w:val="0028A8"/>
      </w:rPr>
      <w:tab/>
    </w:r>
    <w:r>
      <w:rPr>
        <w:b/>
        <w:bCs/>
        <w:color w:val="0028A8"/>
      </w:rPr>
      <w:tab/>
    </w:r>
    <w:r w:rsidRPr="006F6AD0">
      <w:rPr>
        <w:b/>
        <w:bCs/>
        <w:color w:val="0028A8"/>
      </w:rPr>
      <w:t>RAPPORT</w:t>
    </w:r>
    <w:r>
      <w:rPr>
        <w:b/>
        <w:bCs/>
        <w:color w:val="0028A8"/>
      </w:rPr>
      <w:t xml:space="preserve"> EIE</w:t>
    </w:r>
  </w:p>
</w:hdr>
</file>

<file path=word/header4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61D775" w14:textId="7F673173" w:rsidR="00241513" w:rsidRDefault="00241513" w:rsidP="0087014D">
    <w:pPr>
      <w:pStyle w:val="En-tte"/>
      <w:ind w:left="4536" w:hanging="4536"/>
      <w:jc w:val="right"/>
      <w:rPr>
        <w:b/>
        <w:bCs/>
        <w:color w:val="0028A8"/>
      </w:rPr>
    </w:pPr>
    <w:r>
      <w:rPr>
        <w:noProof/>
        <w:lang w:eastAsia="fr-FR" w:bidi="ar-SA"/>
      </w:rPr>
      <w:drawing>
        <wp:anchor distT="0" distB="0" distL="114300" distR="114300" simplePos="0" relativeHeight="251780608" behindDoc="0" locked="0" layoutInCell="1" allowOverlap="1" wp14:anchorId="34E0FE44" wp14:editId="5B10C51C">
          <wp:simplePos x="0" y="0"/>
          <wp:positionH relativeFrom="margin">
            <wp:posOffset>-42545</wp:posOffset>
          </wp:positionH>
          <wp:positionV relativeFrom="paragraph">
            <wp:posOffset>-143510</wp:posOffset>
          </wp:positionV>
          <wp:extent cx="1009650" cy="597535"/>
          <wp:effectExtent l="0" t="0" r="0" b="0"/>
          <wp:wrapSquare wrapText="bothSides"/>
          <wp:docPr id="90" name="Image 90" descr="cid:image003.jpg@01DC490A.067BF5C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3" descr="cid:image003.jpg@01DC490A.067BF5C0"/>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009650" cy="597535"/>
                  </a:xfrm>
                  <a:prstGeom prst="rect">
                    <a:avLst/>
                  </a:prstGeom>
                  <a:noFill/>
                  <a:ln>
                    <a:noFill/>
                  </a:ln>
                </pic:spPr>
              </pic:pic>
            </a:graphicData>
          </a:graphic>
          <wp14:sizeRelH relativeFrom="page">
            <wp14:pctWidth>0</wp14:pctWidth>
          </wp14:sizeRelH>
          <wp14:sizeRelV relativeFrom="page">
            <wp14:pctHeight>0</wp14:pctHeight>
          </wp14:sizeRelV>
        </wp:anchor>
      </w:drawing>
    </w:r>
    <w:r>
      <w:rPr>
        <w:b/>
        <w:bCs/>
        <w:color w:val="0028A8"/>
      </w:rPr>
      <w:tab/>
    </w:r>
    <w:r>
      <w:rPr>
        <w:b/>
        <w:bCs/>
        <w:color w:val="0028A8"/>
      </w:rPr>
      <w:tab/>
    </w:r>
    <w:r w:rsidRPr="0087014D">
      <w:rPr>
        <w:b/>
        <w:bCs/>
        <w:color w:val="808080" w:themeColor="background1" w:themeShade="80"/>
      </w:rPr>
      <w:t xml:space="preserve">EIE </w:t>
    </w:r>
    <w:r>
      <w:rPr>
        <w:b/>
        <w:bCs/>
        <w:color w:val="808080" w:themeColor="background1" w:themeShade="80"/>
      </w:rPr>
      <w:t>DE L</w:t>
    </w:r>
    <w:r w:rsidRPr="0087014D">
      <w:rPr>
        <w:b/>
        <w:bCs/>
        <w:color w:val="808080" w:themeColor="background1" w:themeShade="80"/>
      </w:rPr>
      <w:t xml:space="preserve">’EXTENSION ET REAMENAGEMENT DE L’AEROPORT </w:t>
    </w:r>
    <w:r>
      <w:rPr>
        <w:b/>
        <w:bCs/>
        <w:color w:val="808080" w:themeColor="background1" w:themeShade="80"/>
      </w:rPr>
      <w:t>MARRAKECH MENARA</w:t>
    </w:r>
  </w:p>
  <w:p w14:paraId="10937B53" w14:textId="7C1B6C30" w:rsidR="00241513" w:rsidRDefault="00241513" w:rsidP="0087014D">
    <w:pPr>
      <w:pStyle w:val="En-tte"/>
      <w:ind w:left="1842" w:hanging="1842"/>
      <w:jc w:val="right"/>
      <w:rPr>
        <w:b/>
        <w:bCs/>
        <w:color w:val="0028A8"/>
      </w:rPr>
    </w:pPr>
    <w:r>
      <w:rPr>
        <w:b/>
        <w:bCs/>
        <w:color w:val="0028A8"/>
      </w:rPr>
      <w:tab/>
    </w:r>
    <w:r>
      <w:rPr>
        <w:b/>
        <w:bCs/>
        <w:color w:val="0028A8"/>
      </w:rPr>
      <w:tab/>
    </w:r>
    <w:r w:rsidRPr="006F6AD0">
      <w:rPr>
        <w:b/>
        <w:bCs/>
        <w:color w:val="0028A8"/>
      </w:rPr>
      <w:t>RAPPORT</w:t>
    </w:r>
    <w:r>
      <w:rPr>
        <w:b/>
        <w:bCs/>
        <w:color w:val="0028A8"/>
      </w:rPr>
      <w:t xml:space="preserve"> EIES</w:t>
    </w:r>
  </w:p>
  <w:p w14:paraId="4A54158B" w14:textId="77777777" w:rsidR="00241513" w:rsidRPr="001D3F76" w:rsidRDefault="00241513" w:rsidP="0087014D">
    <w:pPr>
      <w:pStyle w:val="En-tte"/>
      <w:ind w:left="1842" w:hanging="1842"/>
      <w:jc w:val="right"/>
      <w:rPr>
        <w:b/>
        <w:bCs/>
        <w:color w:val="0028A8"/>
      </w:rPr>
    </w:pPr>
  </w:p>
</w:hdr>
</file>

<file path=word/header4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DD3BD8" w14:textId="6DB7E9A6" w:rsidR="00241513" w:rsidRDefault="00241513" w:rsidP="0087014D">
    <w:pPr>
      <w:pStyle w:val="En-tte"/>
      <w:ind w:left="4536" w:hanging="4536"/>
      <w:jc w:val="right"/>
      <w:rPr>
        <w:b/>
        <w:bCs/>
        <w:color w:val="0028A8"/>
      </w:rPr>
    </w:pPr>
    <w:r>
      <w:rPr>
        <w:noProof/>
        <w:lang w:eastAsia="fr-FR" w:bidi="ar-SA"/>
      </w:rPr>
      <w:drawing>
        <wp:anchor distT="0" distB="0" distL="114300" distR="114300" simplePos="0" relativeHeight="251782656" behindDoc="0" locked="0" layoutInCell="1" allowOverlap="1" wp14:anchorId="438B8189" wp14:editId="4061A22F">
          <wp:simplePos x="0" y="0"/>
          <wp:positionH relativeFrom="margin">
            <wp:align>left</wp:align>
          </wp:positionH>
          <wp:positionV relativeFrom="paragraph">
            <wp:posOffset>-276860</wp:posOffset>
          </wp:positionV>
          <wp:extent cx="1009650" cy="597535"/>
          <wp:effectExtent l="0" t="0" r="0" b="0"/>
          <wp:wrapSquare wrapText="bothSides"/>
          <wp:docPr id="92" name="Image 92" descr="cid:image003.jpg@01DC490A.067BF5C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3" descr="cid:image003.jpg@01DC490A.067BF5C0"/>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009650" cy="597535"/>
                  </a:xfrm>
                  <a:prstGeom prst="rect">
                    <a:avLst/>
                  </a:prstGeom>
                  <a:noFill/>
                  <a:ln>
                    <a:noFill/>
                  </a:ln>
                </pic:spPr>
              </pic:pic>
            </a:graphicData>
          </a:graphic>
          <wp14:sizeRelH relativeFrom="page">
            <wp14:pctWidth>0</wp14:pctWidth>
          </wp14:sizeRelH>
          <wp14:sizeRelV relativeFrom="page">
            <wp14:pctHeight>0</wp14:pctHeight>
          </wp14:sizeRelV>
        </wp:anchor>
      </w:drawing>
    </w:r>
    <w:r>
      <w:rPr>
        <w:b/>
        <w:bCs/>
        <w:color w:val="0028A8"/>
      </w:rPr>
      <w:tab/>
    </w:r>
    <w:r>
      <w:rPr>
        <w:b/>
        <w:bCs/>
        <w:color w:val="0028A8"/>
      </w:rPr>
      <w:tab/>
    </w:r>
    <w:r w:rsidRPr="0087014D">
      <w:rPr>
        <w:b/>
        <w:bCs/>
        <w:color w:val="808080" w:themeColor="background1" w:themeShade="80"/>
      </w:rPr>
      <w:t xml:space="preserve">EIE </w:t>
    </w:r>
    <w:r>
      <w:rPr>
        <w:b/>
        <w:bCs/>
        <w:color w:val="808080" w:themeColor="background1" w:themeShade="80"/>
      </w:rPr>
      <w:t>DE L</w:t>
    </w:r>
    <w:r w:rsidRPr="0087014D">
      <w:rPr>
        <w:b/>
        <w:bCs/>
        <w:color w:val="808080" w:themeColor="background1" w:themeShade="80"/>
      </w:rPr>
      <w:t xml:space="preserve">’EXTENSION ET REAMENAGEMENT DE L’AEROPORT </w:t>
    </w:r>
    <w:r>
      <w:rPr>
        <w:b/>
        <w:bCs/>
        <w:color w:val="808080" w:themeColor="background1" w:themeShade="80"/>
      </w:rPr>
      <w:t>MARRAKECH MENARA</w:t>
    </w:r>
  </w:p>
  <w:p w14:paraId="744DA488" w14:textId="22B91CB7" w:rsidR="00241513" w:rsidRPr="001D3F76" w:rsidRDefault="00241513" w:rsidP="0087014D">
    <w:pPr>
      <w:pStyle w:val="En-tte"/>
      <w:ind w:left="1842" w:hanging="1842"/>
      <w:jc w:val="right"/>
      <w:rPr>
        <w:b/>
        <w:bCs/>
        <w:color w:val="0028A8"/>
      </w:rPr>
    </w:pPr>
    <w:r>
      <w:rPr>
        <w:b/>
        <w:bCs/>
        <w:color w:val="0028A8"/>
      </w:rPr>
      <w:tab/>
    </w:r>
    <w:r>
      <w:rPr>
        <w:b/>
        <w:bCs/>
        <w:color w:val="0028A8"/>
      </w:rPr>
      <w:tab/>
    </w:r>
    <w:r w:rsidRPr="006F6AD0">
      <w:rPr>
        <w:b/>
        <w:bCs/>
        <w:color w:val="0028A8"/>
      </w:rPr>
      <w:t>RAPPORT</w:t>
    </w:r>
    <w:r>
      <w:rPr>
        <w:b/>
        <w:bCs/>
        <w:color w:val="0028A8"/>
      </w:rPr>
      <w:t xml:space="preserve"> EIES</w:t>
    </w:r>
  </w:p>
</w:hdr>
</file>

<file path=word/header4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B66881" w14:textId="1FBA138A" w:rsidR="00241513" w:rsidRDefault="00241513" w:rsidP="0087014D">
    <w:pPr>
      <w:pStyle w:val="En-tte"/>
      <w:ind w:left="4536" w:hanging="4536"/>
      <w:jc w:val="right"/>
      <w:rPr>
        <w:b/>
        <w:bCs/>
        <w:color w:val="0028A8"/>
      </w:rPr>
    </w:pPr>
    <w:r>
      <w:rPr>
        <w:noProof/>
        <w:lang w:eastAsia="fr-FR" w:bidi="ar-SA"/>
      </w:rPr>
      <w:drawing>
        <wp:anchor distT="0" distB="0" distL="114300" distR="114300" simplePos="0" relativeHeight="251784704" behindDoc="0" locked="0" layoutInCell="1" allowOverlap="1" wp14:anchorId="408C62FC" wp14:editId="7E6D7FBB">
          <wp:simplePos x="0" y="0"/>
          <wp:positionH relativeFrom="margin">
            <wp:posOffset>-76200</wp:posOffset>
          </wp:positionH>
          <wp:positionV relativeFrom="paragraph">
            <wp:posOffset>-133985</wp:posOffset>
          </wp:positionV>
          <wp:extent cx="1009650" cy="597535"/>
          <wp:effectExtent l="0" t="0" r="0" b="0"/>
          <wp:wrapSquare wrapText="bothSides"/>
          <wp:docPr id="94" name="Image 94" descr="cid:image003.jpg@01DC490A.067BF5C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3" descr="cid:image003.jpg@01DC490A.067BF5C0"/>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009650" cy="597535"/>
                  </a:xfrm>
                  <a:prstGeom prst="rect">
                    <a:avLst/>
                  </a:prstGeom>
                  <a:noFill/>
                  <a:ln>
                    <a:noFill/>
                  </a:ln>
                </pic:spPr>
              </pic:pic>
            </a:graphicData>
          </a:graphic>
          <wp14:sizeRelH relativeFrom="page">
            <wp14:pctWidth>0</wp14:pctWidth>
          </wp14:sizeRelH>
          <wp14:sizeRelV relativeFrom="page">
            <wp14:pctHeight>0</wp14:pctHeight>
          </wp14:sizeRelV>
        </wp:anchor>
      </w:drawing>
    </w:r>
    <w:r>
      <w:rPr>
        <w:b/>
        <w:bCs/>
        <w:color w:val="0028A8"/>
      </w:rPr>
      <w:tab/>
    </w:r>
    <w:r>
      <w:rPr>
        <w:b/>
        <w:bCs/>
        <w:color w:val="0028A8"/>
      </w:rPr>
      <w:tab/>
    </w:r>
    <w:r w:rsidRPr="0087014D">
      <w:rPr>
        <w:b/>
        <w:bCs/>
        <w:color w:val="808080" w:themeColor="background1" w:themeShade="80"/>
      </w:rPr>
      <w:t xml:space="preserve">EIE </w:t>
    </w:r>
    <w:r>
      <w:rPr>
        <w:b/>
        <w:bCs/>
        <w:color w:val="808080" w:themeColor="background1" w:themeShade="80"/>
      </w:rPr>
      <w:t>DE L</w:t>
    </w:r>
    <w:r w:rsidRPr="0087014D">
      <w:rPr>
        <w:b/>
        <w:bCs/>
        <w:color w:val="808080" w:themeColor="background1" w:themeShade="80"/>
      </w:rPr>
      <w:t xml:space="preserve">’EXTENSION ET REAMENAGEMENT DE L’AEROPORT </w:t>
    </w:r>
    <w:r>
      <w:rPr>
        <w:b/>
        <w:bCs/>
        <w:color w:val="808080" w:themeColor="background1" w:themeShade="80"/>
      </w:rPr>
      <w:t>MARRAKECH MENARA</w:t>
    </w:r>
  </w:p>
  <w:p w14:paraId="5BD41AF7" w14:textId="77777777" w:rsidR="00241513" w:rsidRDefault="00241513" w:rsidP="0087014D">
    <w:pPr>
      <w:pStyle w:val="En-tte"/>
      <w:ind w:left="1842" w:hanging="1842"/>
      <w:jc w:val="right"/>
      <w:rPr>
        <w:b/>
        <w:bCs/>
        <w:color w:val="0028A8"/>
      </w:rPr>
    </w:pPr>
    <w:r>
      <w:rPr>
        <w:b/>
        <w:bCs/>
        <w:color w:val="0028A8"/>
      </w:rPr>
      <w:tab/>
    </w:r>
    <w:r>
      <w:rPr>
        <w:b/>
        <w:bCs/>
        <w:color w:val="0028A8"/>
      </w:rPr>
      <w:tab/>
    </w:r>
    <w:r w:rsidRPr="006F6AD0">
      <w:rPr>
        <w:b/>
        <w:bCs/>
        <w:color w:val="0028A8"/>
      </w:rPr>
      <w:t>RAPPORT</w:t>
    </w:r>
    <w:r>
      <w:rPr>
        <w:b/>
        <w:bCs/>
        <w:color w:val="0028A8"/>
      </w:rPr>
      <w:t xml:space="preserve"> EIE</w:t>
    </w:r>
  </w:p>
  <w:p w14:paraId="5295CB63" w14:textId="77777777" w:rsidR="00241513" w:rsidRPr="001D3F76" w:rsidRDefault="00241513" w:rsidP="0087014D">
    <w:pPr>
      <w:pStyle w:val="En-tte"/>
      <w:ind w:left="1842" w:hanging="1842"/>
      <w:jc w:val="right"/>
      <w:rPr>
        <w:b/>
        <w:bCs/>
        <w:color w:val="0028A8"/>
      </w:rPr>
    </w:pPr>
  </w:p>
</w:hdr>
</file>

<file path=word/header4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7A78BF" w14:textId="06A27D00" w:rsidR="00241513" w:rsidRDefault="00241513" w:rsidP="0087014D">
    <w:pPr>
      <w:pStyle w:val="En-tte"/>
      <w:ind w:left="4536" w:hanging="4536"/>
      <w:jc w:val="right"/>
      <w:rPr>
        <w:b/>
        <w:bCs/>
        <w:color w:val="0028A8"/>
      </w:rPr>
    </w:pPr>
    <w:r>
      <w:rPr>
        <w:noProof/>
        <w:lang w:eastAsia="fr-FR" w:bidi="ar-SA"/>
      </w:rPr>
      <w:drawing>
        <wp:anchor distT="0" distB="0" distL="114300" distR="114300" simplePos="0" relativeHeight="251786752" behindDoc="0" locked="0" layoutInCell="1" allowOverlap="1" wp14:anchorId="22A20ACB" wp14:editId="57057A67">
          <wp:simplePos x="0" y="0"/>
          <wp:positionH relativeFrom="margin">
            <wp:posOffset>-43180</wp:posOffset>
          </wp:positionH>
          <wp:positionV relativeFrom="paragraph">
            <wp:posOffset>-172085</wp:posOffset>
          </wp:positionV>
          <wp:extent cx="1009650" cy="597535"/>
          <wp:effectExtent l="0" t="0" r="0" b="0"/>
          <wp:wrapSquare wrapText="bothSides"/>
          <wp:docPr id="96" name="Image 96" descr="cid:image003.jpg@01DC490A.067BF5C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3" descr="cid:image003.jpg@01DC490A.067BF5C0"/>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009650" cy="597535"/>
                  </a:xfrm>
                  <a:prstGeom prst="rect">
                    <a:avLst/>
                  </a:prstGeom>
                  <a:noFill/>
                  <a:ln>
                    <a:noFill/>
                  </a:ln>
                </pic:spPr>
              </pic:pic>
            </a:graphicData>
          </a:graphic>
          <wp14:sizeRelH relativeFrom="page">
            <wp14:pctWidth>0</wp14:pctWidth>
          </wp14:sizeRelH>
          <wp14:sizeRelV relativeFrom="page">
            <wp14:pctHeight>0</wp14:pctHeight>
          </wp14:sizeRelV>
        </wp:anchor>
      </w:drawing>
    </w:r>
    <w:r>
      <w:rPr>
        <w:b/>
        <w:bCs/>
        <w:color w:val="0028A8"/>
      </w:rPr>
      <w:tab/>
    </w:r>
    <w:r>
      <w:rPr>
        <w:b/>
        <w:bCs/>
        <w:color w:val="0028A8"/>
      </w:rPr>
      <w:tab/>
    </w:r>
    <w:r w:rsidRPr="0087014D">
      <w:rPr>
        <w:b/>
        <w:bCs/>
        <w:color w:val="808080" w:themeColor="background1" w:themeShade="80"/>
      </w:rPr>
      <w:t xml:space="preserve">EIE </w:t>
    </w:r>
    <w:r>
      <w:rPr>
        <w:b/>
        <w:bCs/>
        <w:color w:val="808080" w:themeColor="background1" w:themeShade="80"/>
      </w:rPr>
      <w:t>DE L</w:t>
    </w:r>
    <w:r w:rsidRPr="0087014D">
      <w:rPr>
        <w:b/>
        <w:bCs/>
        <w:color w:val="808080" w:themeColor="background1" w:themeShade="80"/>
      </w:rPr>
      <w:t xml:space="preserve">’EXTENSION ET REAMENAGEMENT DE L’AEROPORT </w:t>
    </w:r>
    <w:r>
      <w:rPr>
        <w:b/>
        <w:bCs/>
        <w:color w:val="808080" w:themeColor="background1" w:themeShade="80"/>
      </w:rPr>
      <w:t>MARRAKECH MENARA</w:t>
    </w:r>
  </w:p>
  <w:p w14:paraId="77771A97" w14:textId="2A29CF70" w:rsidR="00241513" w:rsidRDefault="00241513" w:rsidP="0087014D">
    <w:pPr>
      <w:pStyle w:val="En-tte"/>
      <w:ind w:left="1842" w:hanging="1842"/>
      <w:jc w:val="right"/>
      <w:rPr>
        <w:b/>
        <w:bCs/>
        <w:color w:val="0028A8"/>
      </w:rPr>
    </w:pPr>
    <w:r>
      <w:rPr>
        <w:b/>
        <w:bCs/>
        <w:color w:val="0028A8"/>
      </w:rPr>
      <w:tab/>
    </w:r>
    <w:r>
      <w:rPr>
        <w:b/>
        <w:bCs/>
        <w:color w:val="0028A8"/>
      </w:rPr>
      <w:tab/>
    </w:r>
    <w:r w:rsidRPr="006F6AD0">
      <w:rPr>
        <w:b/>
        <w:bCs/>
        <w:color w:val="0028A8"/>
      </w:rPr>
      <w:t>RAPPORT</w:t>
    </w:r>
    <w:r>
      <w:rPr>
        <w:b/>
        <w:bCs/>
        <w:color w:val="0028A8"/>
      </w:rPr>
      <w:t xml:space="preserve"> EIES</w:t>
    </w:r>
  </w:p>
  <w:p w14:paraId="2F43FF94" w14:textId="77777777" w:rsidR="00241513" w:rsidRPr="001D3F76" w:rsidRDefault="00241513" w:rsidP="0087014D">
    <w:pPr>
      <w:pStyle w:val="En-tte"/>
      <w:ind w:left="1842" w:hanging="1842"/>
      <w:jc w:val="right"/>
      <w:rPr>
        <w:b/>
        <w:bCs/>
        <w:color w:val="0028A8"/>
      </w:rPr>
    </w:pPr>
  </w:p>
</w:hdr>
</file>

<file path=word/header4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0BB097" w14:textId="081BA91C" w:rsidR="00241513" w:rsidRDefault="00241513" w:rsidP="0087014D">
    <w:pPr>
      <w:pStyle w:val="En-tte"/>
      <w:ind w:left="4536" w:hanging="4536"/>
      <w:jc w:val="right"/>
      <w:rPr>
        <w:b/>
        <w:bCs/>
        <w:color w:val="0028A8"/>
      </w:rPr>
    </w:pPr>
    <w:r>
      <w:rPr>
        <w:noProof/>
        <w:lang w:eastAsia="fr-FR" w:bidi="ar-SA"/>
      </w:rPr>
      <w:drawing>
        <wp:anchor distT="0" distB="0" distL="114300" distR="114300" simplePos="0" relativeHeight="251788800" behindDoc="0" locked="0" layoutInCell="1" allowOverlap="1" wp14:anchorId="28334F4C" wp14:editId="3EB5A6E4">
          <wp:simplePos x="0" y="0"/>
          <wp:positionH relativeFrom="margin">
            <wp:align>left</wp:align>
          </wp:positionH>
          <wp:positionV relativeFrom="paragraph">
            <wp:posOffset>-133985</wp:posOffset>
          </wp:positionV>
          <wp:extent cx="1009650" cy="597535"/>
          <wp:effectExtent l="0" t="0" r="0" b="0"/>
          <wp:wrapSquare wrapText="bothSides"/>
          <wp:docPr id="98" name="Image 98" descr="cid:image003.jpg@01DC490A.067BF5C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3" descr="cid:image003.jpg@01DC490A.067BF5C0"/>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009650" cy="597535"/>
                  </a:xfrm>
                  <a:prstGeom prst="rect">
                    <a:avLst/>
                  </a:prstGeom>
                  <a:noFill/>
                  <a:ln>
                    <a:noFill/>
                  </a:ln>
                </pic:spPr>
              </pic:pic>
            </a:graphicData>
          </a:graphic>
          <wp14:sizeRelH relativeFrom="page">
            <wp14:pctWidth>0</wp14:pctWidth>
          </wp14:sizeRelH>
          <wp14:sizeRelV relativeFrom="page">
            <wp14:pctHeight>0</wp14:pctHeight>
          </wp14:sizeRelV>
        </wp:anchor>
      </w:drawing>
    </w:r>
    <w:r>
      <w:rPr>
        <w:b/>
        <w:bCs/>
        <w:color w:val="0028A8"/>
      </w:rPr>
      <w:tab/>
    </w:r>
    <w:r>
      <w:rPr>
        <w:b/>
        <w:bCs/>
        <w:color w:val="0028A8"/>
      </w:rPr>
      <w:tab/>
    </w:r>
    <w:r w:rsidRPr="0087014D">
      <w:rPr>
        <w:b/>
        <w:bCs/>
        <w:color w:val="808080" w:themeColor="background1" w:themeShade="80"/>
      </w:rPr>
      <w:t xml:space="preserve">EIE </w:t>
    </w:r>
    <w:r>
      <w:rPr>
        <w:b/>
        <w:bCs/>
        <w:color w:val="808080" w:themeColor="background1" w:themeShade="80"/>
      </w:rPr>
      <w:t>DE L</w:t>
    </w:r>
    <w:r w:rsidRPr="0087014D">
      <w:rPr>
        <w:b/>
        <w:bCs/>
        <w:color w:val="808080" w:themeColor="background1" w:themeShade="80"/>
      </w:rPr>
      <w:t xml:space="preserve">’EXTENSION ET REAMENAGEMENT DE L’AEROPORT </w:t>
    </w:r>
    <w:r>
      <w:rPr>
        <w:b/>
        <w:bCs/>
        <w:color w:val="808080" w:themeColor="background1" w:themeShade="80"/>
      </w:rPr>
      <w:t>MARRAKECH MENARA</w:t>
    </w:r>
  </w:p>
  <w:p w14:paraId="368253C4" w14:textId="39FDA155" w:rsidR="00241513" w:rsidRDefault="00241513" w:rsidP="0087014D">
    <w:pPr>
      <w:pStyle w:val="En-tte"/>
      <w:ind w:left="1842" w:hanging="1842"/>
      <w:jc w:val="right"/>
      <w:rPr>
        <w:b/>
        <w:bCs/>
        <w:color w:val="0028A8"/>
      </w:rPr>
    </w:pPr>
    <w:r>
      <w:rPr>
        <w:b/>
        <w:bCs/>
        <w:color w:val="0028A8"/>
      </w:rPr>
      <w:tab/>
    </w:r>
    <w:r>
      <w:rPr>
        <w:b/>
        <w:bCs/>
        <w:color w:val="0028A8"/>
      </w:rPr>
      <w:tab/>
    </w:r>
    <w:r w:rsidRPr="006F6AD0">
      <w:rPr>
        <w:b/>
        <w:bCs/>
        <w:color w:val="0028A8"/>
      </w:rPr>
      <w:t>RAPPORT</w:t>
    </w:r>
    <w:r>
      <w:rPr>
        <w:b/>
        <w:bCs/>
        <w:color w:val="0028A8"/>
      </w:rPr>
      <w:t xml:space="preserve"> EIES</w:t>
    </w:r>
  </w:p>
  <w:p w14:paraId="40D467E9" w14:textId="77777777" w:rsidR="00241513" w:rsidRPr="001D3F76" w:rsidRDefault="00241513" w:rsidP="0087014D">
    <w:pPr>
      <w:pStyle w:val="En-tte"/>
      <w:ind w:left="1842" w:hanging="1842"/>
      <w:jc w:val="right"/>
      <w:rPr>
        <w:b/>
        <w:bCs/>
        <w:color w:val="0028A8"/>
      </w:rPr>
    </w:pPr>
  </w:p>
</w:hdr>
</file>

<file path=word/header4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992CE0" w14:textId="31D0290B" w:rsidR="00241513" w:rsidRDefault="00241513" w:rsidP="0087014D">
    <w:pPr>
      <w:pStyle w:val="En-tte"/>
      <w:ind w:left="4536" w:hanging="4536"/>
      <w:jc w:val="right"/>
      <w:rPr>
        <w:b/>
        <w:bCs/>
        <w:color w:val="808080" w:themeColor="background1" w:themeShade="80"/>
      </w:rPr>
    </w:pPr>
    <w:r>
      <w:rPr>
        <w:noProof/>
        <w:lang w:eastAsia="fr-FR" w:bidi="ar-SA"/>
      </w:rPr>
      <w:drawing>
        <wp:anchor distT="0" distB="0" distL="114300" distR="114300" simplePos="0" relativeHeight="251790848" behindDoc="0" locked="0" layoutInCell="1" allowOverlap="1" wp14:anchorId="19C35E65" wp14:editId="5BE6CBC4">
          <wp:simplePos x="0" y="0"/>
          <wp:positionH relativeFrom="margin">
            <wp:align>left</wp:align>
          </wp:positionH>
          <wp:positionV relativeFrom="paragraph">
            <wp:posOffset>-172085</wp:posOffset>
          </wp:positionV>
          <wp:extent cx="1009650" cy="597535"/>
          <wp:effectExtent l="0" t="0" r="0" b="0"/>
          <wp:wrapSquare wrapText="bothSides"/>
          <wp:docPr id="100" name="Image 100" descr="cid:image003.jpg@01DC490A.067BF5C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3" descr="cid:image003.jpg@01DC490A.067BF5C0"/>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009650" cy="597535"/>
                  </a:xfrm>
                  <a:prstGeom prst="rect">
                    <a:avLst/>
                  </a:prstGeom>
                  <a:noFill/>
                  <a:ln>
                    <a:noFill/>
                  </a:ln>
                </pic:spPr>
              </pic:pic>
            </a:graphicData>
          </a:graphic>
          <wp14:sizeRelH relativeFrom="page">
            <wp14:pctWidth>0</wp14:pctWidth>
          </wp14:sizeRelH>
          <wp14:sizeRelV relativeFrom="page">
            <wp14:pctHeight>0</wp14:pctHeight>
          </wp14:sizeRelV>
        </wp:anchor>
      </w:drawing>
    </w:r>
    <w:r>
      <w:rPr>
        <w:b/>
        <w:bCs/>
        <w:color w:val="0028A8"/>
      </w:rPr>
      <w:tab/>
    </w:r>
    <w:r>
      <w:rPr>
        <w:b/>
        <w:bCs/>
        <w:color w:val="0028A8"/>
      </w:rPr>
      <w:tab/>
    </w:r>
    <w:r w:rsidRPr="0087014D">
      <w:rPr>
        <w:b/>
        <w:bCs/>
        <w:color w:val="808080" w:themeColor="background1" w:themeShade="80"/>
      </w:rPr>
      <w:t xml:space="preserve">EIE </w:t>
    </w:r>
    <w:r>
      <w:rPr>
        <w:b/>
        <w:bCs/>
        <w:color w:val="808080" w:themeColor="background1" w:themeShade="80"/>
      </w:rPr>
      <w:t>DE L</w:t>
    </w:r>
    <w:r w:rsidRPr="0087014D">
      <w:rPr>
        <w:b/>
        <w:bCs/>
        <w:color w:val="808080" w:themeColor="background1" w:themeShade="80"/>
      </w:rPr>
      <w:t xml:space="preserve">’EXTENSION ET REAMENAGEMENT DE </w:t>
    </w:r>
  </w:p>
  <w:p w14:paraId="3F27A8A6" w14:textId="685C4C05" w:rsidR="00241513" w:rsidRDefault="00241513" w:rsidP="0087014D">
    <w:pPr>
      <w:pStyle w:val="En-tte"/>
      <w:ind w:left="4536" w:hanging="4536"/>
      <w:jc w:val="right"/>
      <w:rPr>
        <w:b/>
        <w:bCs/>
        <w:color w:val="0028A8"/>
      </w:rPr>
    </w:pPr>
    <w:r w:rsidRPr="0087014D">
      <w:rPr>
        <w:b/>
        <w:bCs/>
        <w:color w:val="808080" w:themeColor="background1" w:themeShade="80"/>
      </w:rPr>
      <w:t xml:space="preserve">L’AEROPORT </w:t>
    </w:r>
    <w:r>
      <w:rPr>
        <w:b/>
        <w:bCs/>
        <w:color w:val="808080" w:themeColor="background1" w:themeShade="80"/>
      </w:rPr>
      <w:t>MARRAKECH MENARA</w:t>
    </w:r>
  </w:p>
  <w:p w14:paraId="6F7DB04F" w14:textId="072E1BAC" w:rsidR="00241513" w:rsidRDefault="00241513" w:rsidP="0087014D">
    <w:pPr>
      <w:pStyle w:val="En-tte"/>
      <w:ind w:left="1842" w:hanging="1842"/>
      <w:jc w:val="right"/>
      <w:rPr>
        <w:b/>
        <w:bCs/>
        <w:color w:val="0028A8"/>
      </w:rPr>
    </w:pPr>
    <w:r>
      <w:rPr>
        <w:b/>
        <w:bCs/>
        <w:color w:val="0028A8"/>
      </w:rPr>
      <w:tab/>
    </w:r>
    <w:r>
      <w:rPr>
        <w:b/>
        <w:bCs/>
        <w:color w:val="0028A8"/>
      </w:rPr>
      <w:tab/>
    </w:r>
    <w:r w:rsidRPr="006F6AD0">
      <w:rPr>
        <w:b/>
        <w:bCs/>
        <w:color w:val="0028A8"/>
      </w:rPr>
      <w:t>RAPPORT</w:t>
    </w:r>
    <w:r>
      <w:rPr>
        <w:b/>
        <w:bCs/>
        <w:color w:val="0028A8"/>
      </w:rPr>
      <w:t xml:space="preserve"> EIES</w:t>
    </w:r>
  </w:p>
  <w:p w14:paraId="43E1B5E5" w14:textId="77777777" w:rsidR="00241513" w:rsidRPr="001D3F76" w:rsidRDefault="00241513" w:rsidP="0087014D">
    <w:pPr>
      <w:pStyle w:val="En-tte"/>
      <w:ind w:left="1842" w:hanging="1842"/>
      <w:jc w:val="right"/>
      <w:rPr>
        <w:b/>
        <w:bCs/>
        <w:color w:val="0028A8"/>
      </w:rPr>
    </w:pPr>
  </w:p>
</w:hdr>
</file>

<file path=word/header4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2AB242" w14:textId="02F24BB5" w:rsidR="00241513" w:rsidRDefault="00241513" w:rsidP="0087014D">
    <w:pPr>
      <w:pStyle w:val="En-tte"/>
      <w:ind w:left="4536" w:hanging="4536"/>
      <w:jc w:val="right"/>
      <w:rPr>
        <w:b/>
        <w:bCs/>
        <w:color w:val="0028A8"/>
      </w:rPr>
    </w:pPr>
    <w:r>
      <w:rPr>
        <w:noProof/>
        <w:lang w:eastAsia="fr-FR" w:bidi="ar-SA"/>
      </w:rPr>
      <w:drawing>
        <wp:anchor distT="0" distB="0" distL="114300" distR="114300" simplePos="0" relativeHeight="251792896" behindDoc="0" locked="0" layoutInCell="1" allowOverlap="1" wp14:anchorId="244F1F58" wp14:editId="4A648AD3">
          <wp:simplePos x="0" y="0"/>
          <wp:positionH relativeFrom="margin">
            <wp:posOffset>-185420</wp:posOffset>
          </wp:positionH>
          <wp:positionV relativeFrom="paragraph">
            <wp:posOffset>-153035</wp:posOffset>
          </wp:positionV>
          <wp:extent cx="1009650" cy="597535"/>
          <wp:effectExtent l="0" t="0" r="0" b="0"/>
          <wp:wrapSquare wrapText="bothSides"/>
          <wp:docPr id="102" name="Image 102" descr="cid:image003.jpg@01DC490A.067BF5C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3" descr="cid:image003.jpg@01DC490A.067BF5C0"/>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009650" cy="597535"/>
                  </a:xfrm>
                  <a:prstGeom prst="rect">
                    <a:avLst/>
                  </a:prstGeom>
                  <a:noFill/>
                  <a:ln>
                    <a:noFill/>
                  </a:ln>
                </pic:spPr>
              </pic:pic>
            </a:graphicData>
          </a:graphic>
          <wp14:sizeRelH relativeFrom="page">
            <wp14:pctWidth>0</wp14:pctWidth>
          </wp14:sizeRelH>
          <wp14:sizeRelV relativeFrom="page">
            <wp14:pctHeight>0</wp14:pctHeight>
          </wp14:sizeRelV>
        </wp:anchor>
      </w:drawing>
    </w:r>
    <w:r>
      <w:rPr>
        <w:b/>
        <w:bCs/>
        <w:color w:val="0028A8"/>
      </w:rPr>
      <w:tab/>
    </w:r>
    <w:r>
      <w:rPr>
        <w:b/>
        <w:bCs/>
        <w:color w:val="0028A8"/>
      </w:rPr>
      <w:tab/>
    </w:r>
    <w:r w:rsidRPr="0087014D">
      <w:rPr>
        <w:b/>
        <w:bCs/>
        <w:color w:val="808080" w:themeColor="background1" w:themeShade="80"/>
      </w:rPr>
      <w:t xml:space="preserve">EIE </w:t>
    </w:r>
    <w:r>
      <w:rPr>
        <w:b/>
        <w:bCs/>
        <w:color w:val="808080" w:themeColor="background1" w:themeShade="80"/>
      </w:rPr>
      <w:t>DE L</w:t>
    </w:r>
    <w:r w:rsidRPr="0087014D">
      <w:rPr>
        <w:b/>
        <w:bCs/>
        <w:color w:val="808080" w:themeColor="background1" w:themeShade="80"/>
      </w:rPr>
      <w:t xml:space="preserve">’EXTENSION ET REAMENAGEMENT DE L’AEROPORT </w:t>
    </w:r>
    <w:r>
      <w:rPr>
        <w:b/>
        <w:bCs/>
        <w:color w:val="808080" w:themeColor="background1" w:themeShade="80"/>
      </w:rPr>
      <w:t>MARRAKECH MENARA</w:t>
    </w:r>
  </w:p>
  <w:p w14:paraId="0C055370" w14:textId="716D9134" w:rsidR="00241513" w:rsidRDefault="00241513" w:rsidP="0087014D">
    <w:pPr>
      <w:pStyle w:val="En-tte"/>
      <w:ind w:left="1842" w:hanging="1842"/>
      <w:jc w:val="right"/>
      <w:rPr>
        <w:b/>
        <w:bCs/>
        <w:color w:val="0028A8"/>
      </w:rPr>
    </w:pPr>
    <w:r>
      <w:rPr>
        <w:b/>
        <w:bCs/>
        <w:color w:val="0028A8"/>
      </w:rPr>
      <w:tab/>
    </w:r>
    <w:r>
      <w:rPr>
        <w:b/>
        <w:bCs/>
        <w:color w:val="0028A8"/>
      </w:rPr>
      <w:tab/>
    </w:r>
    <w:r w:rsidRPr="006F6AD0">
      <w:rPr>
        <w:b/>
        <w:bCs/>
        <w:color w:val="0028A8"/>
      </w:rPr>
      <w:t>RAPPORT</w:t>
    </w:r>
    <w:r>
      <w:rPr>
        <w:b/>
        <w:bCs/>
        <w:color w:val="0028A8"/>
      </w:rPr>
      <w:t xml:space="preserve"> EIES</w:t>
    </w:r>
  </w:p>
  <w:p w14:paraId="435EB1C6" w14:textId="77777777" w:rsidR="00241513" w:rsidRPr="001D3F76" w:rsidRDefault="00241513" w:rsidP="0087014D">
    <w:pPr>
      <w:pStyle w:val="En-tte"/>
      <w:ind w:left="1842" w:hanging="1842"/>
      <w:jc w:val="right"/>
      <w:rPr>
        <w:b/>
        <w:bCs/>
        <w:color w:val="0028A8"/>
      </w:rPr>
    </w:pP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5DF31F" w14:textId="2A9EFD3F" w:rsidR="00241513" w:rsidRDefault="00241513" w:rsidP="0015595B">
    <w:pPr>
      <w:pStyle w:val="En-tte"/>
      <w:ind w:left="4536" w:hanging="4536"/>
      <w:jc w:val="right"/>
      <w:rPr>
        <w:b/>
        <w:bCs/>
        <w:color w:val="0028A8"/>
      </w:rPr>
    </w:pPr>
    <w:r>
      <w:rPr>
        <w:noProof/>
        <w:lang w:eastAsia="fr-FR" w:bidi="ar-SA"/>
      </w:rPr>
      <w:drawing>
        <wp:anchor distT="0" distB="0" distL="114300" distR="114300" simplePos="0" relativeHeight="251704832" behindDoc="0" locked="0" layoutInCell="1" allowOverlap="1" wp14:anchorId="28AE8177" wp14:editId="47C0CB6A">
          <wp:simplePos x="0" y="0"/>
          <wp:positionH relativeFrom="margin">
            <wp:align>left</wp:align>
          </wp:positionH>
          <wp:positionV relativeFrom="paragraph">
            <wp:posOffset>8890</wp:posOffset>
          </wp:positionV>
          <wp:extent cx="1009650" cy="597535"/>
          <wp:effectExtent l="0" t="0" r="0" b="0"/>
          <wp:wrapSquare wrapText="bothSides"/>
          <wp:docPr id="63" name="Image 63" descr="cid:image003.jpg@01DC490A.067BF5C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3" descr="cid:image003.jpg@01DC490A.067BF5C0"/>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009650" cy="597535"/>
                  </a:xfrm>
                  <a:prstGeom prst="rect">
                    <a:avLst/>
                  </a:prstGeom>
                  <a:noFill/>
                  <a:ln>
                    <a:noFill/>
                  </a:ln>
                </pic:spPr>
              </pic:pic>
            </a:graphicData>
          </a:graphic>
          <wp14:sizeRelH relativeFrom="page">
            <wp14:pctWidth>0</wp14:pctWidth>
          </wp14:sizeRelH>
          <wp14:sizeRelV relativeFrom="page">
            <wp14:pctHeight>0</wp14:pctHeight>
          </wp14:sizeRelV>
        </wp:anchor>
      </w:drawing>
    </w:r>
    <w:r>
      <w:rPr>
        <w:b/>
        <w:bCs/>
        <w:color w:val="0028A8"/>
      </w:rPr>
      <w:tab/>
    </w:r>
    <w:r>
      <w:rPr>
        <w:b/>
        <w:bCs/>
        <w:color w:val="0028A8"/>
      </w:rPr>
      <w:tab/>
    </w:r>
    <w:r w:rsidRPr="00132352">
      <w:rPr>
        <w:b/>
        <w:bCs/>
        <w:color w:val="808080"/>
      </w:rPr>
      <w:t>EIE</w:t>
    </w:r>
    <w:r>
      <w:rPr>
        <w:b/>
        <w:bCs/>
        <w:color w:val="808080"/>
      </w:rPr>
      <w:t>S</w:t>
    </w:r>
    <w:r w:rsidRPr="00132352">
      <w:rPr>
        <w:b/>
        <w:bCs/>
        <w:color w:val="808080"/>
      </w:rPr>
      <w:t xml:space="preserve"> DE L’EXTENSION ET REAMENAGEMENT DE L’AEROPORT </w:t>
    </w:r>
    <w:r>
      <w:rPr>
        <w:b/>
        <w:bCs/>
        <w:color w:val="808080"/>
      </w:rPr>
      <w:t>MARRAKECH MENARA</w:t>
    </w:r>
  </w:p>
  <w:p w14:paraId="2244A6EF" w14:textId="366644DD" w:rsidR="00241513" w:rsidRDefault="00241513" w:rsidP="0015595B">
    <w:pPr>
      <w:pStyle w:val="En-tte"/>
      <w:rPr>
        <w:b/>
        <w:bCs/>
        <w:color w:val="0028A8"/>
      </w:rPr>
    </w:pPr>
    <w:r>
      <w:rPr>
        <w:b/>
        <w:bCs/>
        <w:color w:val="0028A8"/>
      </w:rPr>
      <w:tab/>
    </w:r>
    <w:r>
      <w:rPr>
        <w:b/>
        <w:bCs/>
        <w:color w:val="0028A8"/>
      </w:rPr>
      <w:tab/>
    </w:r>
    <w:r w:rsidRPr="006F6AD0">
      <w:rPr>
        <w:b/>
        <w:bCs/>
        <w:color w:val="0028A8"/>
      </w:rPr>
      <w:t>RAPPORT</w:t>
    </w:r>
    <w:r>
      <w:rPr>
        <w:b/>
        <w:bCs/>
        <w:color w:val="0028A8"/>
      </w:rPr>
      <w:t xml:space="preserve"> EIES</w:t>
    </w:r>
  </w:p>
  <w:p w14:paraId="3EC4DAEB" w14:textId="77777777" w:rsidR="00241513" w:rsidRPr="0015595B" w:rsidRDefault="00241513" w:rsidP="0015595B">
    <w:pPr>
      <w:pStyle w:val="En-tte"/>
    </w:pPr>
  </w:p>
</w:hdr>
</file>

<file path=word/header50.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0C456A" w14:textId="6302B0AA" w:rsidR="00241513" w:rsidRDefault="00241513" w:rsidP="0087014D">
    <w:pPr>
      <w:pStyle w:val="En-tte"/>
      <w:ind w:left="4536" w:hanging="4536"/>
      <w:jc w:val="right"/>
      <w:rPr>
        <w:b/>
        <w:bCs/>
        <w:color w:val="0028A8"/>
      </w:rPr>
    </w:pPr>
    <w:r>
      <w:rPr>
        <w:noProof/>
        <w:lang w:eastAsia="fr-FR" w:bidi="ar-SA"/>
      </w:rPr>
      <w:drawing>
        <wp:anchor distT="0" distB="0" distL="114300" distR="114300" simplePos="0" relativeHeight="251794944" behindDoc="0" locked="0" layoutInCell="1" allowOverlap="1" wp14:anchorId="7940567A" wp14:editId="5D37361E">
          <wp:simplePos x="0" y="0"/>
          <wp:positionH relativeFrom="margin">
            <wp:align>left</wp:align>
          </wp:positionH>
          <wp:positionV relativeFrom="paragraph">
            <wp:posOffset>-219710</wp:posOffset>
          </wp:positionV>
          <wp:extent cx="1009650" cy="597535"/>
          <wp:effectExtent l="0" t="0" r="0" b="0"/>
          <wp:wrapSquare wrapText="bothSides"/>
          <wp:docPr id="104" name="Image 104" descr="cid:image003.jpg@01DC490A.067BF5C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3" descr="cid:image003.jpg@01DC490A.067BF5C0"/>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009650" cy="597535"/>
                  </a:xfrm>
                  <a:prstGeom prst="rect">
                    <a:avLst/>
                  </a:prstGeom>
                  <a:noFill/>
                  <a:ln>
                    <a:noFill/>
                  </a:ln>
                </pic:spPr>
              </pic:pic>
            </a:graphicData>
          </a:graphic>
          <wp14:sizeRelH relativeFrom="page">
            <wp14:pctWidth>0</wp14:pctWidth>
          </wp14:sizeRelH>
          <wp14:sizeRelV relativeFrom="page">
            <wp14:pctHeight>0</wp14:pctHeight>
          </wp14:sizeRelV>
        </wp:anchor>
      </w:drawing>
    </w:r>
    <w:r>
      <w:rPr>
        <w:b/>
        <w:bCs/>
        <w:color w:val="0028A8"/>
      </w:rPr>
      <w:tab/>
    </w:r>
    <w:r>
      <w:rPr>
        <w:b/>
        <w:bCs/>
        <w:color w:val="0028A8"/>
      </w:rPr>
      <w:tab/>
    </w:r>
    <w:r w:rsidRPr="0087014D">
      <w:rPr>
        <w:b/>
        <w:bCs/>
        <w:color w:val="808080" w:themeColor="background1" w:themeShade="80"/>
      </w:rPr>
      <w:t xml:space="preserve">EIE </w:t>
    </w:r>
    <w:r>
      <w:rPr>
        <w:b/>
        <w:bCs/>
        <w:color w:val="808080" w:themeColor="background1" w:themeShade="80"/>
      </w:rPr>
      <w:t>DE L</w:t>
    </w:r>
    <w:r w:rsidRPr="0087014D">
      <w:rPr>
        <w:b/>
        <w:bCs/>
        <w:color w:val="808080" w:themeColor="background1" w:themeShade="80"/>
      </w:rPr>
      <w:t xml:space="preserve">’EXTENSION ET REAMENAGEMENT DE L’AEROPORT </w:t>
    </w:r>
    <w:r>
      <w:rPr>
        <w:b/>
        <w:bCs/>
        <w:color w:val="808080" w:themeColor="background1" w:themeShade="80"/>
      </w:rPr>
      <w:t>MARRAKECH MENARA</w:t>
    </w:r>
  </w:p>
  <w:p w14:paraId="61CFCDCB" w14:textId="77777777" w:rsidR="00241513" w:rsidRDefault="00241513" w:rsidP="0087014D">
    <w:pPr>
      <w:pStyle w:val="En-tte"/>
      <w:ind w:left="1842" w:hanging="1842"/>
      <w:jc w:val="right"/>
      <w:rPr>
        <w:b/>
        <w:bCs/>
        <w:color w:val="0028A8"/>
      </w:rPr>
    </w:pPr>
    <w:r>
      <w:rPr>
        <w:b/>
        <w:bCs/>
        <w:color w:val="0028A8"/>
      </w:rPr>
      <w:tab/>
    </w:r>
    <w:r>
      <w:rPr>
        <w:b/>
        <w:bCs/>
        <w:color w:val="0028A8"/>
      </w:rPr>
      <w:tab/>
    </w:r>
    <w:r w:rsidRPr="006F6AD0">
      <w:rPr>
        <w:b/>
        <w:bCs/>
        <w:color w:val="0028A8"/>
      </w:rPr>
      <w:t>RAPPORT</w:t>
    </w:r>
    <w:r>
      <w:rPr>
        <w:b/>
        <w:bCs/>
        <w:color w:val="0028A8"/>
      </w:rPr>
      <w:t xml:space="preserve"> EIE</w:t>
    </w:r>
  </w:p>
</w:hdr>
</file>

<file path=word/header5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E9B944" w14:textId="1FA28961" w:rsidR="00241513" w:rsidRDefault="00241513" w:rsidP="0087014D">
    <w:pPr>
      <w:pStyle w:val="En-tte"/>
      <w:ind w:left="4536" w:hanging="4536"/>
      <w:jc w:val="right"/>
      <w:rPr>
        <w:b/>
        <w:bCs/>
        <w:color w:val="0028A8"/>
      </w:rPr>
    </w:pPr>
    <w:r>
      <w:rPr>
        <w:noProof/>
        <w:lang w:eastAsia="fr-FR" w:bidi="ar-SA"/>
      </w:rPr>
      <w:drawing>
        <wp:anchor distT="0" distB="0" distL="114300" distR="114300" simplePos="0" relativeHeight="251796992" behindDoc="0" locked="0" layoutInCell="1" allowOverlap="1" wp14:anchorId="397D1439" wp14:editId="0512DD2C">
          <wp:simplePos x="0" y="0"/>
          <wp:positionH relativeFrom="margin">
            <wp:posOffset>-52070</wp:posOffset>
          </wp:positionH>
          <wp:positionV relativeFrom="paragraph">
            <wp:posOffset>-133985</wp:posOffset>
          </wp:positionV>
          <wp:extent cx="1009650" cy="597535"/>
          <wp:effectExtent l="0" t="0" r="0" b="0"/>
          <wp:wrapSquare wrapText="bothSides"/>
          <wp:docPr id="106" name="Image 106" descr="cid:image003.jpg@01DC490A.067BF5C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3" descr="cid:image003.jpg@01DC490A.067BF5C0"/>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009650" cy="597535"/>
                  </a:xfrm>
                  <a:prstGeom prst="rect">
                    <a:avLst/>
                  </a:prstGeom>
                  <a:noFill/>
                  <a:ln>
                    <a:noFill/>
                  </a:ln>
                </pic:spPr>
              </pic:pic>
            </a:graphicData>
          </a:graphic>
          <wp14:sizeRelH relativeFrom="page">
            <wp14:pctWidth>0</wp14:pctWidth>
          </wp14:sizeRelH>
          <wp14:sizeRelV relativeFrom="page">
            <wp14:pctHeight>0</wp14:pctHeight>
          </wp14:sizeRelV>
        </wp:anchor>
      </w:drawing>
    </w:r>
    <w:r>
      <w:rPr>
        <w:b/>
        <w:bCs/>
        <w:color w:val="0028A8"/>
      </w:rPr>
      <w:tab/>
    </w:r>
    <w:r>
      <w:rPr>
        <w:b/>
        <w:bCs/>
        <w:color w:val="0028A8"/>
      </w:rPr>
      <w:tab/>
    </w:r>
    <w:r w:rsidRPr="0087014D">
      <w:rPr>
        <w:b/>
        <w:bCs/>
        <w:color w:val="808080" w:themeColor="background1" w:themeShade="80"/>
      </w:rPr>
      <w:t xml:space="preserve">EIE </w:t>
    </w:r>
    <w:r>
      <w:rPr>
        <w:b/>
        <w:bCs/>
        <w:color w:val="808080" w:themeColor="background1" w:themeShade="80"/>
      </w:rPr>
      <w:t>DE L</w:t>
    </w:r>
    <w:r w:rsidRPr="0087014D">
      <w:rPr>
        <w:b/>
        <w:bCs/>
        <w:color w:val="808080" w:themeColor="background1" w:themeShade="80"/>
      </w:rPr>
      <w:t xml:space="preserve">’EXTENSION ET REAMENAGEMENT DE L’AEROPORT </w:t>
    </w:r>
    <w:r>
      <w:rPr>
        <w:b/>
        <w:bCs/>
        <w:color w:val="808080" w:themeColor="background1" w:themeShade="80"/>
      </w:rPr>
      <w:t>MARRAKECH MENARA</w:t>
    </w:r>
  </w:p>
  <w:p w14:paraId="72751189" w14:textId="7F952B9C" w:rsidR="00241513" w:rsidRDefault="00241513" w:rsidP="0087014D">
    <w:pPr>
      <w:pStyle w:val="En-tte"/>
      <w:ind w:left="1842" w:hanging="1842"/>
      <w:jc w:val="right"/>
      <w:rPr>
        <w:b/>
        <w:bCs/>
        <w:color w:val="0028A8"/>
      </w:rPr>
    </w:pPr>
    <w:r>
      <w:rPr>
        <w:b/>
        <w:bCs/>
        <w:color w:val="0028A8"/>
      </w:rPr>
      <w:tab/>
    </w:r>
    <w:r>
      <w:rPr>
        <w:b/>
        <w:bCs/>
        <w:color w:val="0028A8"/>
      </w:rPr>
      <w:tab/>
    </w:r>
    <w:r w:rsidRPr="006F6AD0">
      <w:rPr>
        <w:b/>
        <w:bCs/>
        <w:color w:val="0028A8"/>
      </w:rPr>
      <w:t>RAPPORT</w:t>
    </w:r>
    <w:r>
      <w:rPr>
        <w:b/>
        <w:bCs/>
        <w:color w:val="0028A8"/>
      </w:rPr>
      <w:t xml:space="preserve"> EIES</w:t>
    </w:r>
  </w:p>
  <w:p w14:paraId="102E9894" w14:textId="77777777" w:rsidR="00241513" w:rsidRPr="001D3F76" w:rsidRDefault="00241513" w:rsidP="0087014D">
    <w:pPr>
      <w:pStyle w:val="En-tte"/>
      <w:ind w:left="1842" w:hanging="1842"/>
      <w:jc w:val="right"/>
      <w:rPr>
        <w:b/>
        <w:bCs/>
        <w:color w:val="0028A8"/>
      </w:rPr>
    </w:pPr>
  </w:p>
</w:hdr>
</file>

<file path=word/header5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8B6B8C" w14:textId="4157F121" w:rsidR="00241513" w:rsidRDefault="00241513" w:rsidP="0087014D">
    <w:pPr>
      <w:pStyle w:val="En-tte"/>
      <w:ind w:left="4536" w:hanging="4536"/>
      <w:jc w:val="right"/>
      <w:rPr>
        <w:b/>
        <w:bCs/>
        <w:color w:val="0028A8"/>
      </w:rPr>
    </w:pPr>
    <w:r>
      <w:rPr>
        <w:noProof/>
        <w:lang w:eastAsia="fr-FR" w:bidi="ar-SA"/>
      </w:rPr>
      <w:drawing>
        <wp:anchor distT="0" distB="0" distL="114300" distR="114300" simplePos="0" relativeHeight="251799040" behindDoc="0" locked="0" layoutInCell="1" allowOverlap="1" wp14:anchorId="65CA46FE" wp14:editId="23C03B20">
          <wp:simplePos x="0" y="0"/>
          <wp:positionH relativeFrom="margin">
            <wp:posOffset>-228600</wp:posOffset>
          </wp:positionH>
          <wp:positionV relativeFrom="paragraph">
            <wp:posOffset>-209550</wp:posOffset>
          </wp:positionV>
          <wp:extent cx="1009650" cy="597535"/>
          <wp:effectExtent l="0" t="0" r="0" b="0"/>
          <wp:wrapSquare wrapText="bothSides"/>
          <wp:docPr id="108" name="Image 108" descr="cid:image003.jpg@01DC490A.067BF5C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3" descr="cid:image003.jpg@01DC490A.067BF5C0"/>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009650" cy="597535"/>
                  </a:xfrm>
                  <a:prstGeom prst="rect">
                    <a:avLst/>
                  </a:prstGeom>
                  <a:noFill/>
                  <a:ln>
                    <a:noFill/>
                  </a:ln>
                </pic:spPr>
              </pic:pic>
            </a:graphicData>
          </a:graphic>
          <wp14:sizeRelH relativeFrom="page">
            <wp14:pctWidth>0</wp14:pctWidth>
          </wp14:sizeRelH>
          <wp14:sizeRelV relativeFrom="page">
            <wp14:pctHeight>0</wp14:pctHeight>
          </wp14:sizeRelV>
        </wp:anchor>
      </w:drawing>
    </w:r>
    <w:r>
      <w:rPr>
        <w:b/>
        <w:bCs/>
        <w:color w:val="0028A8"/>
      </w:rPr>
      <w:tab/>
    </w:r>
    <w:r>
      <w:rPr>
        <w:b/>
        <w:bCs/>
        <w:color w:val="0028A8"/>
      </w:rPr>
      <w:tab/>
    </w:r>
    <w:r w:rsidRPr="0087014D">
      <w:rPr>
        <w:b/>
        <w:bCs/>
        <w:color w:val="808080" w:themeColor="background1" w:themeShade="80"/>
      </w:rPr>
      <w:t xml:space="preserve">EIE </w:t>
    </w:r>
    <w:r>
      <w:rPr>
        <w:b/>
        <w:bCs/>
        <w:color w:val="808080" w:themeColor="background1" w:themeShade="80"/>
      </w:rPr>
      <w:t>DE L</w:t>
    </w:r>
    <w:r w:rsidRPr="0087014D">
      <w:rPr>
        <w:b/>
        <w:bCs/>
        <w:color w:val="808080" w:themeColor="background1" w:themeShade="80"/>
      </w:rPr>
      <w:t xml:space="preserve">’EXTENSION ET REAMENAGEMENT DE L’AEROPORT </w:t>
    </w:r>
    <w:r>
      <w:rPr>
        <w:b/>
        <w:bCs/>
        <w:color w:val="808080" w:themeColor="background1" w:themeShade="80"/>
      </w:rPr>
      <w:t>MARRAKECH MENARA</w:t>
    </w:r>
  </w:p>
  <w:p w14:paraId="10A9BE7E" w14:textId="77777777" w:rsidR="00241513" w:rsidRPr="001D3F76" w:rsidRDefault="00241513" w:rsidP="0087014D">
    <w:pPr>
      <w:pStyle w:val="En-tte"/>
      <w:ind w:left="1842" w:hanging="1842"/>
      <w:jc w:val="right"/>
      <w:rPr>
        <w:b/>
        <w:bCs/>
        <w:color w:val="0028A8"/>
      </w:rPr>
    </w:pPr>
    <w:r>
      <w:rPr>
        <w:b/>
        <w:bCs/>
        <w:color w:val="0028A8"/>
      </w:rPr>
      <w:tab/>
    </w:r>
    <w:r>
      <w:rPr>
        <w:b/>
        <w:bCs/>
        <w:color w:val="0028A8"/>
      </w:rPr>
      <w:tab/>
    </w:r>
    <w:r w:rsidRPr="006F6AD0">
      <w:rPr>
        <w:b/>
        <w:bCs/>
        <w:color w:val="0028A8"/>
      </w:rPr>
      <w:t>RAPPORT</w:t>
    </w:r>
    <w:r>
      <w:rPr>
        <w:b/>
        <w:bCs/>
        <w:color w:val="0028A8"/>
      </w:rPr>
      <w:t xml:space="preserve"> EIE</w:t>
    </w:r>
  </w:p>
</w:hdr>
</file>

<file path=word/header5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0F2E36" w14:textId="737333EA" w:rsidR="00241513" w:rsidRDefault="00241513" w:rsidP="0087014D">
    <w:pPr>
      <w:pStyle w:val="En-tte"/>
      <w:ind w:left="4536" w:hanging="4536"/>
      <w:jc w:val="right"/>
      <w:rPr>
        <w:b/>
        <w:bCs/>
        <w:color w:val="0028A8"/>
      </w:rPr>
    </w:pPr>
    <w:r>
      <w:rPr>
        <w:noProof/>
        <w:lang w:eastAsia="fr-FR" w:bidi="ar-SA"/>
      </w:rPr>
      <w:drawing>
        <wp:anchor distT="0" distB="0" distL="114300" distR="114300" simplePos="0" relativeHeight="251801088" behindDoc="0" locked="0" layoutInCell="1" allowOverlap="1" wp14:anchorId="259B9F8E" wp14:editId="54305F6D">
          <wp:simplePos x="0" y="0"/>
          <wp:positionH relativeFrom="margin">
            <wp:posOffset>-47625</wp:posOffset>
          </wp:positionH>
          <wp:positionV relativeFrom="paragraph">
            <wp:posOffset>-133985</wp:posOffset>
          </wp:positionV>
          <wp:extent cx="1009650" cy="597535"/>
          <wp:effectExtent l="0" t="0" r="0" b="0"/>
          <wp:wrapSquare wrapText="bothSides"/>
          <wp:docPr id="110" name="Image 110" descr="cid:image003.jpg@01DC490A.067BF5C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3" descr="cid:image003.jpg@01DC490A.067BF5C0"/>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009650" cy="597535"/>
                  </a:xfrm>
                  <a:prstGeom prst="rect">
                    <a:avLst/>
                  </a:prstGeom>
                  <a:noFill/>
                  <a:ln>
                    <a:noFill/>
                  </a:ln>
                </pic:spPr>
              </pic:pic>
            </a:graphicData>
          </a:graphic>
          <wp14:sizeRelH relativeFrom="page">
            <wp14:pctWidth>0</wp14:pctWidth>
          </wp14:sizeRelH>
          <wp14:sizeRelV relativeFrom="page">
            <wp14:pctHeight>0</wp14:pctHeight>
          </wp14:sizeRelV>
        </wp:anchor>
      </w:drawing>
    </w:r>
    <w:r>
      <w:rPr>
        <w:b/>
        <w:bCs/>
        <w:color w:val="0028A8"/>
      </w:rPr>
      <w:tab/>
    </w:r>
    <w:r>
      <w:rPr>
        <w:b/>
        <w:bCs/>
        <w:color w:val="0028A8"/>
      </w:rPr>
      <w:tab/>
    </w:r>
    <w:r w:rsidRPr="0087014D">
      <w:rPr>
        <w:b/>
        <w:bCs/>
        <w:color w:val="808080" w:themeColor="background1" w:themeShade="80"/>
      </w:rPr>
      <w:t xml:space="preserve">EIE </w:t>
    </w:r>
    <w:r>
      <w:rPr>
        <w:b/>
        <w:bCs/>
        <w:color w:val="808080" w:themeColor="background1" w:themeShade="80"/>
      </w:rPr>
      <w:t>DE L</w:t>
    </w:r>
    <w:r w:rsidRPr="0087014D">
      <w:rPr>
        <w:b/>
        <w:bCs/>
        <w:color w:val="808080" w:themeColor="background1" w:themeShade="80"/>
      </w:rPr>
      <w:t xml:space="preserve">’EXTENSION ET REAMENAGEMENT DE L’AEROPORT </w:t>
    </w:r>
    <w:r>
      <w:rPr>
        <w:b/>
        <w:bCs/>
        <w:color w:val="808080" w:themeColor="background1" w:themeShade="80"/>
      </w:rPr>
      <w:t>MARRAKECH MENARA</w:t>
    </w:r>
  </w:p>
  <w:p w14:paraId="3B6C95D9" w14:textId="77777777" w:rsidR="00241513" w:rsidRPr="001D3F76" w:rsidRDefault="00241513" w:rsidP="0087014D">
    <w:pPr>
      <w:pStyle w:val="En-tte"/>
      <w:ind w:left="1842" w:hanging="1842"/>
      <w:jc w:val="right"/>
      <w:rPr>
        <w:b/>
        <w:bCs/>
        <w:color w:val="0028A8"/>
      </w:rPr>
    </w:pPr>
    <w:r>
      <w:rPr>
        <w:b/>
        <w:bCs/>
        <w:color w:val="0028A8"/>
      </w:rPr>
      <w:tab/>
    </w:r>
    <w:r>
      <w:rPr>
        <w:b/>
        <w:bCs/>
        <w:color w:val="0028A8"/>
      </w:rPr>
      <w:tab/>
    </w:r>
    <w:r w:rsidRPr="006F6AD0">
      <w:rPr>
        <w:b/>
        <w:bCs/>
        <w:color w:val="0028A8"/>
      </w:rPr>
      <w:t>RAPPORT</w:t>
    </w:r>
    <w:r>
      <w:rPr>
        <w:b/>
        <w:bCs/>
        <w:color w:val="0028A8"/>
      </w:rPr>
      <w:t xml:space="preserve"> EIE</w:t>
    </w:r>
  </w:p>
</w:hdr>
</file>

<file path=word/header5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41CBDF" w14:textId="44C5F999" w:rsidR="00241513" w:rsidRDefault="00241513" w:rsidP="0087014D">
    <w:pPr>
      <w:pStyle w:val="En-tte"/>
      <w:ind w:left="4536" w:hanging="4536"/>
      <w:jc w:val="right"/>
      <w:rPr>
        <w:b/>
        <w:bCs/>
        <w:color w:val="0028A8"/>
      </w:rPr>
    </w:pPr>
    <w:r>
      <w:rPr>
        <w:noProof/>
        <w:lang w:eastAsia="fr-FR" w:bidi="ar-SA"/>
      </w:rPr>
      <w:drawing>
        <wp:anchor distT="0" distB="0" distL="114300" distR="114300" simplePos="0" relativeHeight="251803136" behindDoc="0" locked="0" layoutInCell="1" allowOverlap="1" wp14:anchorId="7A054808" wp14:editId="505B499B">
          <wp:simplePos x="0" y="0"/>
          <wp:positionH relativeFrom="margin">
            <wp:align>left</wp:align>
          </wp:positionH>
          <wp:positionV relativeFrom="paragraph">
            <wp:posOffset>-286385</wp:posOffset>
          </wp:positionV>
          <wp:extent cx="1009650" cy="597535"/>
          <wp:effectExtent l="0" t="0" r="0" b="0"/>
          <wp:wrapSquare wrapText="bothSides"/>
          <wp:docPr id="3" name="Image 3" descr="cid:image003.jpg@01DC490A.067BF5C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3" descr="cid:image003.jpg@01DC490A.067BF5C0"/>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009650" cy="597535"/>
                  </a:xfrm>
                  <a:prstGeom prst="rect">
                    <a:avLst/>
                  </a:prstGeom>
                  <a:noFill/>
                  <a:ln>
                    <a:noFill/>
                  </a:ln>
                </pic:spPr>
              </pic:pic>
            </a:graphicData>
          </a:graphic>
          <wp14:sizeRelH relativeFrom="page">
            <wp14:pctWidth>0</wp14:pctWidth>
          </wp14:sizeRelH>
          <wp14:sizeRelV relativeFrom="page">
            <wp14:pctHeight>0</wp14:pctHeight>
          </wp14:sizeRelV>
        </wp:anchor>
      </w:drawing>
    </w:r>
    <w:r>
      <w:rPr>
        <w:b/>
        <w:bCs/>
        <w:color w:val="0028A8"/>
      </w:rPr>
      <w:tab/>
    </w:r>
    <w:r>
      <w:rPr>
        <w:b/>
        <w:bCs/>
        <w:color w:val="0028A8"/>
      </w:rPr>
      <w:tab/>
    </w:r>
    <w:r w:rsidRPr="0087014D">
      <w:rPr>
        <w:b/>
        <w:bCs/>
        <w:color w:val="808080" w:themeColor="background1" w:themeShade="80"/>
      </w:rPr>
      <w:t xml:space="preserve">EIE </w:t>
    </w:r>
    <w:r>
      <w:rPr>
        <w:b/>
        <w:bCs/>
        <w:color w:val="808080" w:themeColor="background1" w:themeShade="80"/>
      </w:rPr>
      <w:t>DE L</w:t>
    </w:r>
    <w:r w:rsidRPr="0087014D">
      <w:rPr>
        <w:b/>
        <w:bCs/>
        <w:color w:val="808080" w:themeColor="background1" w:themeShade="80"/>
      </w:rPr>
      <w:t xml:space="preserve">’EXTENSION ET REAMENAGEMENT DE L’AEROPORT </w:t>
    </w:r>
    <w:r>
      <w:rPr>
        <w:b/>
        <w:bCs/>
        <w:color w:val="808080" w:themeColor="background1" w:themeShade="80"/>
      </w:rPr>
      <w:t>MARRAKECH MENARA</w:t>
    </w:r>
  </w:p>
  <w:p w14:paraId="6936FB28" w14:textId="10F7ECA4" w:rsidR="00241513" w:rsidRPr="001D3F76" w:rsidRDefault="00241513" w:rsidP="0087014D">
    <w:pPr>
      <w:pStyle w:val="En-tte"/>
      <w:ind w:left="1842" w:hanging="1842"/>
      <w:jc w:val="right"/>
      <w:rPr>
        <w:b/>
        <w:bCs/>
        <w:color w:val="0028A8"/>
      </w:rPr>
    </w:pPr>
    <w:r>
      <w:rPr>
        <w:b/>
        <w:bCs/>
        <w:color w:val="0028A8"/>
      </w:rPr>
      <w:tab/>
    </w:r>
    <w:r>
      <w:rPr>
        <w:b/>
        <w:bCs/>
        <w:color w:val="0028A8"/>
      </w:rPr>
      <w:tab/>
    </w:r>
    <w:r w:rsidRPr="006F6AD0">
      <w:rPr>
        <w:b/>
        <w:bCs/>
        <w:color w:val="0028A8"/>
      </w:rPr>
      <w:t>RAPPORT</w:t>
    </w:r>
    <w:r>
      <w:rPr>
        <w:b/>
        <w:bCs/>
        <w:color w:val="0028A8"/>
      </w:rPr>
      <w:t xml:space="preserve"> EIES</w:t>
    </w:r>
  </w:p>
</w:hdr>
</file>

<file path=word/header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C45163" w14:textId="0C64FB73" w:rsidR="00241513" w:rsidRDefault="00241513" w:rsidP="0015595B">
    <w:pPr>
      <w:pStyle w:val="En-tte"/>
      <w:ind w:left="4536" w:hanging="4536"/>
      <w:jc w:val="right"/>
      <w:rPr>
        <w:b/>
        <w:bCs/>
        <w:color w:val="0028A8"/>
      </w:rPr>
    </w:pPr>
    <w:r>
      <w:rPr>
        <w:noProof/>
        <w:lang w:eastAsia="fr-FR" w:bidi="ar-SA"/>
      </w:rPr>
      <w:drawing>
        <wp:anchor distT="0" distB="0" distL="114300" distR="114300" simplePos="0" relativeHeight="251708928" behindDoc="0" locked="0" layoutInCell="1" allowOverlap="1" wp14:anchorId="4DDBB2E1" wp14:editId="5328006C">
          <wp:simplePos x="0" y="0"/>
          <wp:positionH relativeFrom="margin">
            <wp:align>left</wp:align>
          </wp:positionH>
          <wp:positionV relativeFrom="paragraph">
            <wp:posOffset>-257810</wp:posOffset>
          </wp:positionV>
          <wp:extent cx="1009650" cy="597535"/>
          <wp:effectExtent l="0" t="0" r="0" b="0"/>
          <wp:wrapSquare wrapText="bothSides"/>
          <wp:docPr id="220271554" name="Image 220271554" descr="cid:image003.jpg@01DC490A.067BF5C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3" descr="cid:image003.jpg@01DC490A.067BF5C0"/>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009650" cy="597535"/>
                  </a:xfrm>
                  <a:prstGeom prst="rect">
                    <a:avLst/>
                  </a:prstGeom>
                  <a:noFill/>
                  <a:ln>
                    <a:noFill/>
                  </a:ln>
                </pic:spPr>
              </pic:pic>
            </a:graphicData>
          </a:graphic>
          <wp14:sizeRelH relativeFrom="page">
            <wp14:pctWidth>0</wp14:pctWidth>
          </wp14:sizeRelH>
          <wp14:sizeRelV relativeFrom="page">
            <wp14:pctHeight>0</wp14:pctHeight>
          </wp14:sizeRelV>
        </wp:anchor>
      </w:drawing>
    </w:r>
    <w:r>
      <w:rPr>
        <w:b/>
        <w:bCs/>
        <w:color w:val="0028A8"/>
      </w:rPr>
      <w:tab/>
    </w:r>
    <w:r>
      <w:rPr>
        <w:b/>
        <w:bCs/>
        <w:color w:val="0028A8"/>
      </w:rPr>
      <w:tab/>
    </w:r>
    <w:r>
      <w:rPr>
        <w:b/>
        <w:bCs/>
        <w:color w:val="0028A8"/>
      </w:rPr>
      <w:tab/>
    </w:r>
    <w:r w:rsidRPr="0087014D">
      <w:rPr>
        <w:b/>
        <w:bCs/>
        <w:color w:val="808080" w:themeColor="background1" w:themeShade="80"/>
      </w:rPr>
      <w:t xml:space="preserve">EIE </w:t>
    </w:r>
    <w:r>
      <w:rPr>
        <w:b/>
        <w:bCs/>
        <w:color w:val="808080" w:themeColor="background1" w:themeShade="80"/>
      </w:rPr>
      <w:t>DE L</w:t>
    </w:r>
    <w:r w:rsidRPr="0087014D">
      <w:rPr>
        <w:b/>
        <w:bCs/>
        <w:color w:val="808080" w:themeColor="background1" w:themeShade="80"/>
      </w:rPr>
      <w:t xml:space="preserve">’EXTENSION ET REAMENAGEMENT DE L’AEROPORT </w:t>
    </w:r>
    <w:r>
      <w:rPr>
        <w:b/>
        <w:bCs/>
        <w:color w:val="808080" w:themeColor="background1" w:themeShade="80"/>
      </w:rPr>
      <w:t>MARRAKECH MENARA</w:t>
    </w:r>
  </w:p>
  <w:p w14:paraId="41733395" w14:textId="2F97B5E1" w:rsidR="00241513" w:rsidRPr="001D3F76" w:rsidRDefault="00241513" w:rsidP="0015595B">
    <w:pPr>
      <w:pStyle w:val="En-tte"/>
      <w:ind w:left="1842" w:hanging="1842"/>
      <w:jc w:val="right"/>
      <w:rPr>
        <w:b/>
        <w:bCs/>
        <w:color w:val="0028A8"/>
      </w:rPr>
    </w:pPr>
    <w:r>
      <w:rPr>
        <w:b/>
        <w:bCs/>
        <w:color w:val="0028A8"/>
      </w:rPr>
      <w:tab/>
    </w:r>
    <w:r>
      <w:rPr>
        <w:b/>
        <w:bCs/>
        <w:color w:val="0028A8"/>
      </w:rPr>
      <w:tab/>
    </w:r>
    <w:r>
      <w:rPr>
        <w:b/>
        <w:bCs/>
        <w:color w:val="0028A8"/>
      </w:rPr>
      <w:tab/>
    </w:r>
    <w:r w:rsidRPr="00C300C6">
      <w:rPr>
        <w:b/>
        <w:bCs/>
        <w:color w:val="0028A8"/>
      </w:rPr>
      <w:t xml:space="preserve">RAPPORT </w:t>
    </w:r>
    <w:r>
      <w:rPr>
        <w:b/>
        <w:bCs/>
        <w:color w:val="0028A8"/>
      </w:rPr>
      <w:t>EIES</w:t>
    </w:r>
  </w:p>
</w:hdr>
</file>

<file path=word/header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BCFC0D" w14:textId="4C288724" w:rsidR="00241513" w:rsidRPr="001D3F76" w:rsidRDefault="00241513" w:rsidP="000A3EA4">
    <w:pPr>
      <w:pStyle w:val="En-tte"/>
      <w:tabs>
        <w:tab w:val="clear" w:pos="4536"/>
      </w:tabs>
      <w:ind w:left="1843" w:hanging="1843"/>
      <w:jc w:val="right"/>
      <w:rPr>
        <w:b/>
        <w:bCs/>
        <w:color w:val="0028A8"/>
      </w:rPr>
    </w:pPr>
    <w:r>
      <w:rPr>
        <w:noProof/>
        <w:lang w:eastAsia="fr-FR" w:bidi="ar-SA"/>
      </w:rPr>
      <w:drawing>
        <wp:anchor distT="0" distB="0" distL="114300" distR="114300" simplePos="0" relativeHeight="251713024" behindDoc="0" locked="0" layoutInCell="1" allowOverlap="1" wp14:anchorId="775B0FFC" wp14:editId="29B0D18B">
          <wp:simplePos x="0" y="0"/>
          <wp:positionH relativeFrom="margin">
            <wp:posOffset>-190500</wp:posOffset>
          </wp:positionH>
          <wp:positionV relativeFrom="paragraph">
            <wp:posOffset>8255</wp:posOffset>
          </wp:positionV>
          <wp:extent cx="1009650" cy="597535"/>
          <wp:effectExtent l="0" t="0" r="0" b="0"/>
          <wp:wrapSquare wrapText="bothSides"/>
          <wp:docPr id="220271557" name="Image 220271557" descr="cid:image003.jpg@01DC490A.067BF5C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3" descr="cid:image003.jpg@01DC490A.067BF5C0"/>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009650" cy="59753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51E2B4E" w14:textId="1876253B" w:rsidR="00241513" w:rsidRDefault="00241513" w:rsidP="0015595B">
    <w:pPr>
      <w:pStyle w:val="En-tte"/>
      <w:ind w:left="4536" w:hanging="4536"/>
      <w:jc w:val="right"/>
      <w:rPr>
        <w:b/>
        <w:bCs/>
        <w:color w:val="0028A8"/>
      </w:rPr>
    </w:pPr>
    <w:r>
      <w:rPr>
        <w:b/>
        <w:bCs/>
        <w:color w:val="0028A8"/>
      </w:rPr>
      <w:tab/>
    </w:r>
    <w:r>
      <w:rPr>
        <w:b/>
        <w:bCs/>
        <w:color w:val="0028A8"/>
      </w:rPr>
      <w:tab/>
    </w:r>
    <w:r w:rsidRPr="0087014D">
      <w:rPr>
        <w:b/>
        <w:bCs/>
        <w:color w:val="808080" w:themeColor="background1" w:themeShade="80"/>
      </w:rPr>
      <w:t xml:space="preserve">EIE </w:t>
    </w:r>
    <w:r>
      <w:rPr>
        <w:b/>
        <w:bCs/>
        <w:color w:val="808080" w:themeColor="background1" w:themeShade="80"/>
      </w:rPr>
      <w:t>DE L</w:t>
    </w:r>
    <w:r w:rsidRPr="0087014D">
      <w:rPr>
        <w:b/>
        <w:bCs/>
        <w:color w:val="808080" w:themeColor="background1" w:themeShade="80"/>
      </w:rPr>
      <w:t xml:space="preserve">’EXTENSION ET REAMENAGEMENT DE L’AEROPORT </w:t>
    </w:r>
    <w:r>
      <w:rPr>
        <w:b/>
        <w:bCs/>
        <w:color w:val="808080" w:themeColor="background1" w:themeShade="80"/>
      </w:rPr>
      <w:t>MARRAKECH MENARA</w:t>
    </w:r>
  </w:p>
  <w:p w14:paraId="01702C1A" w14:textId="77777777" w:rsidR="00241513" w:rsidRDefault="00241513" w:rsidP="0015595B">
    <w:pPr>
      <w:pStyle w:val="En-tte"/>
      <w:rPr>
        <w:b/>
        <w:bCs/>
        <w:color w:val="0028A8"/>
      </w:rPr>
    </w:pPr>
    <w:r>
      <w:rPr>
        <w:b/>
        <w:bCs/>
        <w:color w:val="0028A8"/>
      </w:rPr>
      <w:tab/>
    </w:r>
    <w:r>
      <w:rPr>
        <w:b/>
        <w:bCs/>
        <w:color w:val="0028A8"/>
      </w:rPr>
      <w:tab/>
    </w:r>
    <w:r w:rsidRPr="006F6AD0">
      <w:rPr>
        <w:b/>
        <w:bCs/>
        <w:color w:val="0028A8"/>
      </w:rPr>
      <w:t>RAPPORT</w:t>
    </w:r>
    <w:r>
      <w:rPr>
        <w:b/>
        <w:bCs/>
        <w:color w:val="0028A8"/>
      </w:rPr>
      <w:t xml:space="preserve"> EIE</w:t>
    </w:r>
  </w:p>
  <w:p w14:paraId="47588FFA" w14:textId="77777777" w:rsidR="00241513" w:rsidRPr="0015595B" w:rsidRDefault="00241513" w:rsidP="0015595B">
    <w:pPr>
      <w:pStyle w:val="En-tte"/>
    </w:pPr>
  </w:p>
</w:hdr>
</file>

<file path=word/header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BCC84C" w14:textId="0C0FEA97" w:rsidR="00241513" w:rsidRDefault="00241513" w:rsidP="0087014D">
    <w:pPr>
      <w:pStyle w:val="En-tte"/>
      <w:ind w:left="4536" w:hanging="4536"/>
      <w:jc w:val="right"/>
      <w:rPr>
        <w:b/>
        <w:bCs/>
        <w:color w:val="808080" w:themeColor="background1" w:themeShade="80"/>
      </w:rPr>
    </w:pPr>
    <w:r>
      <w:rPr>
        <w:noProof/>
        <w:lang w:eastAsia="fr-FR" w:bidi="ar-SA"/>
      </w:rPr>
      <w:drawing>
        <wp:anchor distT="0" distB="0" distL="114300" distR="114300" simplePos="0" relativeHeight="251710976" behindDoc="0" locked="0" layoutInCell="1" allowOverlap="1" wp14:anchorId="78AB6A2C" wp14:editId="191C0556">
          <wp:simplePos x="0" y="0"/>
          <wp:positionH relativeFrom="margin">
            <wp:align>left</wp:align>
          </wp:positionH>
          <wp:positionV relativeFrom="paragraph">
            <wp:posOffset>-133985</wp:posOffset>
          </wp:positionV>
          <wp:extent cx="1009650" cy="597535"/>
          <wp:effectExtent l="0" t="0" r="0" b="0"/>
          <wp:wrapSquare wrapText="bothSides"/>
          <wp:docPr id="220271560" name="Image 220271560" descr="cid:image003.jpg@01DC490A.067BF5C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3" descr="cid:image003.jpg@01DC490A.067BF5C0"/>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009650" cy="597535"/>
                  </a:xfrm>
                  <a:prstGeom prst="rect">
                    <a:avLst/>
                  </a:prstGeom>
                  <a:noFill/>
                  <a:ln>
                    <a:noFill/>
                  </a:ln>
                </pic:spPr>
              </pic:pic>
            </a:graphicData>
          </a:graphic>
          <wp14:sizeRelH relativeFrom="page">
            <wp14:pctWidth>0</wp14:pctWidth>
          </wp14:sizeRelH>
          <wp14:sizeRelV relativeFrom="page">
            <wp14:pctHeight>0</wp14:pctHeight>
          </wp14:sizeRelV>
        </wp:anchor>
      </w:drawing>
    </w:r>
    <w:r>
      <w:rPr>
        <w:b/>
        <w:bCs/>
        <w:color w:val="0028A8"/>
      </w:rPr>
      <w:tab/>
    </w:r>
    <w:r>
      <w:rPr>
        <w:b/>
        <w:bCs/>
        <w:color w:val="0028A8"/>
      </w:rPr>
      <w:tab/>
    </w:r>
    <w:r w:rsidRPr="0087014D">
      <w:rPr>
        <w:b/>
        <w:bCs/>
        <w:color w:val="808080" w:themeColor="background1" w:themeShade="80"/>
      </w:rPr>
      <w:t xml:space="preserve">EIE </w:t>
    </w:r>
    <w:r>
      <w:rPr>
        <w:b/>
        <w:bCs/>
        <w:color w:val="808080" w:themeColor="background1" w:themeShade="80"/>
      </w:rPr>
      <w:t>DE L</w:t>
    </w:r>
    <w:r w:rsidRPr="0087014D">
      <w:rPr>
        <w:b/>
        <w:bCs/>
        <w:color w:val="808080" w:themeColor="background1" w:themeShade="80"/>
      </w:rPr>
      <w:t xml:space="preserve">’EXTENSION ET REAMENAGEMENT DE </w:t>
    </w:r>
  </w:p>
  <w:p w14:paraId="6A5CDB42" w14:textId="330C3C77" w:rsidR="00241513" w:rsidRDefault="00241513" w:rsidP="0087014D">
    <w:pPr>
      <w:pStyle w:val="En-tte"/>
      <w:ind w:left="4536" w:hanging="4536"/>
      <w:jc w:val="right"/>
      <w:rPr>
        <w:b/>
        <w:bCs/>
        <w:color w:val="0028A8"/>
      </w:rPr>
    </w:pPr>
    <w:r w:rsidRPr="0087014D">
      <w:rPr>
        <w:b/>
        <w:bCs/>
        <w:color w:val="808080" w:themeColor="background1" w:themeShade="80"/>
      </w:rPr>
      <w:t xml:space="preserve">L’AEROPORT </w:t>
    </w:r>
    <w:r>
      <w:rPr>
        <w:b/>
        <w:bCs/>
        <w:color w:val="808080" w:themeColor="background1" w:themeShade="80"/>
      </w:rPr>
      <w:t>MARRAKECH MENARA</w:t>
    </w:r>
  </w:p>
  <w:p w14:paraId="0754500B" w14:textId="77777777" w:rsidR="00241513" w:rsidRPr="001D3F76" w:rsidRDefault="00241513" w:rsidP="00F8629E">
    <w:pPr>
      <w:pStyle w:val="En-tte"/>
      <w:ind w:left="1842" w:hanging="1842"/>
      <w:jc w:val="right"/>
      <w:rPr>
        <w:b/>
        <w:bCs/>
        <w:color w:val="0028A8"/>
      </w:rPr>
    </w:pPr>
    <w:r>
      <w:rPr>
        <w:b/>
        <w:bCs/>
        <w:color w:val="0028A8"/>
      </w:rPr>
      <w:tab/>
    </w:r>
    <w:r>
      <w:rPr>
        <w:b/>
        <w:bCs/>
        <w:color w:val="0028A8"/>
      </w:rPr>
      <w:tab/>
    </w:r>
    <w:r w:rsidRPr="006F6AD0">
      <w:rPr>
        <w:b/>
        <w:bCs/>
        <w:color w:val="0028A8"/>
      </w:rPr>
      <w:t>RAPPORT</w:t>
    </w:r>
    <w:r>
      <w:rPr>
        <w:b/>
        <w:bCs/>
        <w:color w:val="0028A8"/>
      </w:rPr>
      <w:t xml:space="preserve"> EIE</w:t>
    </w:r>
  </w:p>
</w:hdr>
</file>

<file path=word/header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B77E7F" w14:textId="069C8F28" w:rsidR="00241513" w:rsidRDefault="00241513" w:rsidP="0087014D">
    <w:pPr>
      <w:pStyle w:val="En-tte"/>
      <w:ind w:left="4536" w:hanging="4536"/>
      <w:jc w:val="right"/>
      <w:rPr>
        <w:b/>
        <w:bCs/>
        <w:color w:val="0028A8"/>
      </w:rPr>
    </w:pPr>
    <w:r>
      <w:rPr>
        <w:noProof/>
        <w:lang w:eastAsia="fr-FR" w:bidi="ar-SA"/>
      </w:rPr>
      <w:drawing>
        <wp:anchor distT="0" distB="0" distL="114300" distR="114300" simplePos="0" relativeHeight="251715072" behindDoc="0" locked="0" layoutInCell="1" allowOverlap="1" wp14:anchorId="6037D873" wp14:editId="1ECB1C32">
          <wp:simplePos x="0" y="0"/>
          <wp:positionH relativeFrom="margin">
            <wp:posOffset>-209550</wp:posOffset>
          </wp:positionH>
          <wp:positionV relativeFrom="paragraph">
            <wp:posOffset>-124460</wp:posOffset>
          </wp:positionV>
          <wp:extent cx="1009650" cy="597535"/>
          <wp:effectExtent l="0" t="0" r="0" b="0"/>
          <wp:wrapSquare wrapText="bothSides"/>
          <wp:docPr id="220271563" name="Image 220271563" descr="cid:image003.jpg@01DC490A.067BF5C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3" descr="cid:image003.jpg@01DC490A.067BF5C0"/>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009650" cy="597535"/>
                  </a:xfrm>
                  <a:prstGeom prst="rect">
                    <a:avLst/>
                  </a:prstGeom>
                  <a:noFill/>
                  <a:ln>
                    <a:noFill/>
                  </a:ln>
                </pic:spPr>
              </pic:pic>
            </a:graphicData>
          </a:graphic>
          <wp14:sizeRelH relativeFrom="page">
            <wp14:pctWidth>0</wp14:pctWidth>
          </wp14:sizeRelH>
          <wp14:sizeRelV relativeFrom="page">
            <wp14:pctHeight>0</wp14:pctHeight>
          </wp14:sizeRelV>
        </wp:anchor>
      </w:drawing>
    </w:r>
    <w:r>
      <w:rPr>
        <w:b/>
        <w:bCs/>
        <w:color w:val="0028A8"/>
      </w:rPr>
      <w:tab/>
    </w:r>
    <w:r>
      <w:rPr>
        <w:b/>
        <w:bCs/>
        <w:color w:val="0028A8"/>
      </w:rPr>
      <w:tab/>
    </w:r>
    <w:r w:rsidRPr="0087014D">
      <w:rPr>
        <w:b/>
        <w:bCs/>
        <w:color w:val="808080" w:themeColor="background1" w:themeShade="80"/>
      </w:rPr>
      <w:t xml:space="preserve">EIE </w:t>
    </w:r>
    <w:r>
      <w:rPr>
        <w:b/>
        <w:bCs/>
        <w:color w:val="808080" w:themeColor="background1" w:themeShade="80"/>
      </w:rPr>
      <w:t>DE L</w:t>
    </w:r>
    <w:r w:rsidRPr="0087014D">
      <w:rPr>
        <w:b/>
        <w:bCs/>
        <w:color w:val="808080" w:themeColor="background1" w:themeShade="80"/>
      </w:rPr>
      <w:t xml:space="preserve">’EXTENSION ET REAMENAGEMENT DE L’AEROPORT </w:t>
    </w:r>
    <w:r>
      <w:rPr>
        <w:b/>
        <w:bCs/>
        <w:color w:val="808080" w:themeColor="background1" w:themeShade="80"/>
      </w:rPr>
      <w:t>MARRAKECH MENARA</w:t>
    </w:r>
  </w:p>
  <w:p w14:paraId="567CAFC4" w14:textId="04BAAB2D" w:rsidR="00241513" w:rsidRPr="001D3F76" w:rsidRDefault="00241513" w:rsidP="00F8629E">
    <w:pPr>
      <w:pStyle w:val="En-tte"/>
      <w:ind w:left="1842" w:hanging="1842"/>
      <w:jc w:val="right"/>
      <w:rPr>
        <w:b/>
        <w:bCs/>
        <w:color w:val="0028A8"/>
      </w:rPr>
    </w:pPr>
    <w:r>
      <w:rPr>
        <w:b/>
        <w:bCs/>
        <w:color w:val="0028A8"/>
      </w:rPr>
      <w:tab/>
    </w:r>
    <w:r>
      <w:rPr>
        <w:b/>
        <w:bCs/>
        <w:color w:val="0028A8"/>
      </w:rPr>
      <w:tab/>
    </w:r>
    <w:r w:rsidRPr="006F6AD0">
      <w:rPr>
        <w:b/>
        <w:bCs/>
        <w:color w:val="0028A8"/>
      </w:rPr>
      <w:t>RAPPORT</w:t>
    </w:r>
    <w:r>
      <w:rPr>
        <w:b/>
        <w:bCs/>
        <w:color w:val="0028A8"/>
      </w:rPr>
      <w:t xml:space="preserve"> EIES</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92B6E59E"/>
    <w:lvl w:ilvl="0">
      <w:start w:val="1"/>
      <w:numFmt w:val="decimal"/>
      <w:pStyle w:val="Listenumros51"/>
      <w:lvlText w:val="%1."/>
      <w:lvlJc w:val="left"/>
      <w:pPr>
        <w:tabs>
          <w:tab w:val="num" w:pos="1800"/>
        </w:tabs>
        <w:ind w:left="1800" w:hanging="360"/>
      </w:pPr>
    </w:lvl>
  </w:abstractNum>
  <w:abstractNum w:abstractNumId="1" w15:restartNumberingAfterBreak="0">
    <w:nsid w:val="FFFFFF7D"/>
    <w:multiLevelType w:val="singleLevel"/>
    <w:tmpl w:val="E4A4FB3A"/>
    <w:lvl w:ilvl="0">
      <w:start w:val="1"/>
      <w:numFmt w:val="decimal"/>
      <w:pStyle w:val="Listenumros41"/>
      <w:lvlText w:val="%1."/>
      <w:lvlJc w:val="left"/>
      <w:pPr>
        <w:tabs>
          <w:tab w:val="num" w:pos="1440"/>
        </w:tabs>
        <w:ind w:left="1440" w:hanging="360"/>
      </w:pPr>
    </w:lvl>
  </w:abstractNum>
  <w:abstractNum w:abstractNumId="2" w15:restartNumberingAfterBreak="0">
    <w:nsid w:val="FFFFFF7E"/>
    <w:multiLevelType w:val="singleLevel"/>
    <w:tmpl w:val="4322E05E"/>
    <w:lvl w:ilvl="0">
      <w:start w:val="1"/>
      <w:numFmt w:val="decimal"/>
      <w:pStyle w:val="Listenumros3"/>
      <w:lvlText w:val="%1."/>
      <w:lvlJc w:val="left"/>
      <w:pPr>
        <w:tabs>
          <w:tab w:val="num" w:pos="926"/>
        </w:tabs>
        <w:ind w:left="926" w:hanging="360"/>
      </w:pPr>
    </w:lvl>
  </w:abstractNum>
  <w:abstractNum w:abstractNumId="3" w15:restartNumberingAfterBreak="0">
    <w:nsid w:val="FFFFFF7F"/>
    <w:multiLevelType w:val="singleLevel"/>
    <w:tmpl w:val="EEC82EE4"/>
    <w:lvl w:ilvl="0">
      <w:start w:val="1"/>
      <w:numFmt w:val="decimal"/>
      <w:pStyle w:val="Listenumros2"/>
      <w:lvlText w:val="%1."/>
      <w:lvlJc w:val="left"/>
      <w:pPr>
        <w:tabs>
          <w:tab w:val="num" w:pos="643"/>
        </w:tabs>
        <w:ind w:left="643" w:hanging="360"/>
      </w:pPr>
    </w:lvl>
  </w:abstractNum>
  <w:abstractNum w:abstractNumId="4" w15:restartNumberingAfterBreak="0">
    <w:nsid w:val="FFFFFF80"/>
    <w:multiLevelType w:val="singleLevel"/>
    <w:tmpl w:val="D27EC352"/>
    <w:lvl w:ilvl="0">
      <w:start w:val="1"/>
      <w:numFmt w:val="bullet"/>
      <w:pStyle w:val="Listepuces51"/>
      <w:lvlText w:val=""/>
      <w:lvlJc w:val="left"/>
      <w:pPr>
        <w:tabs>
          <w:tab w:val="num" w:pos="1800"/>
        </w:tabs>
        <w:ind w:left="1800" w:hanging="360"/>
      </w:pPr>
      <w:rPr>
        <w:rFonts w:ascii="Symbol" w:hAnsi="Symbol" w:hint="default"/>
      </w:rPr>
    </w:lvl>
  </w:abstractNum>
  <w:abstractNum w:abstractNumId="5" w15:restartNumberingAfterBreak="0">
    <w:nsid w:val="FFFFFF82"/>
    <w:multiLevelType w:val="singleLevel"/>
    <w:tmpl w:val="C67064E6"/>
    <w:lvl w:ilvl="0">
      <w:start w:val="1"/>
      <w:numFmt w:val="bullet"/>
      <w:pStyle w:val="Listepuces3"/>
      <w:lvlText w:val=""/>
      <w:lvlJc w:val="left"/>
      <w:pPr>
        <w:tabs>
          <w:tab w:val="num" w:pos="926"/>
        </w:tabs>
        <w:ind w:left="926" w:hanging="360"/>
      </w:pPr>
      <w:rPr>
        <w:rFonts w:ascii="Symbol" w:hAnsi="Symbol" w:hint="default"/>
      </w:rPr>
    </w:lvl>
  </w:abstractNum>
  <w:abstractNum w:abstractNumId="6" w15:restartNumberingAfterBreak="0">
    <w:nsid w:val="FFFFFF83"/>
    <w:multiLevelType w:val="singleLevel"/>
    <w:tmpl w:val="6CF8002E"/>
    <w:lvl w:ilvl="0">
      <w:start w:val="1"/>
      <w:numFmt w:val="bullet"/>
      <w:pStyle w:val="Listepuces2"/>
      <w:lvlText w:val=""/>
      <w:lvlJc w:val="left"/>
      <w:pPr>
        <w:tabs>
          <w:tab w:val="num" w:pos="643"/>
        </w:tabs>
        <w:ind w:left="643" w:hanging="360"/>
      </w:pPr>
      <w:rPr>
        <w:rFonts w:ascii="Symbol" w:hAnsi="Symbol" w:hint="default"/>
      </w:rPr>
    </w:lvl>
  </w:abstractNum>
  <w:abstractNum w:abstractNumId="7" w15:restartNumberingAfterBreak="0">
    <w:nsid w:val="FFFFFFFE"/>
    <w:multiLevelType w:val="singleLevel"/>
    <w:tmpl w:val="596C0F68"/>
    <w:lvl w:ilvl="0">
      <w:numFmt w:val="decimal"/>
      <w:pStyle w:val="puce1-3pts"/>
      <w:lvlText w:val="*"/>
      <w:lvlJc w:val="left"/>
    </w:lvl>
  </w:abstractNum>
  <w:abstractNum w:abstractNumId="8" w15:restartNumberingAfterBreak="0">
    <w:nsid w:val="0134467B"/>
    <w:multiLevelType w:val="multilevel"/>
    <w:tmpl w:val="4D5AD2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1D73AC6"/>
    <w:multiLevelType w:val="multilevel"/>
    <w:tmpl w:val="1E0ACF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1F551EE"/>
    <w:multiLevelType w:val="multilevel"/>
    <w:tmpl w:val="784C7D2A"/>
    <w:lvl w:ilvl="0">
      <w:start w:val="1"/>
      <w:numFmt w:val="decimal"/>
      <w:lvlText w:val="%1"/>
      <w:lvlJc w:val="left"/>
      <w:pPr>
        <w:ind w:left="432" w:hanging="432"/>
      </w:pPr>
    </w:lvl>
    <w:lvl w:ilvl="1">
      <w:start w:val="1"/>
      <w:numFmt w:val="decimal"/>
      <w:lvlText w:val="%1.%2"/>
      <w:lvlJc w:val="left"/>
      <w:pPr>
        <w:ind w:left="3554"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bullet"/>
      <w:pStyle w:val="Souspartie"/>
      <w:lvlText w:val=""/>
      <w:lvlJc w:val="left"/>
      <w:pPr>
        <w:ind w:left="1008" w:hanging="1008"/>
      </w:pPr>
      <w:rPr>
        <w:rFonts w:ascii="Wingdings" w:hAnsi="Wingdings" w:hint="default"/>
      </w:r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1" w15:restartNumberingAfterBreak="0">
    <w:nsid w:val="02BA5789"/>
    <w:multiLevelType w:val="multilevel"/>
    <w:tmpl w:val="E760DCAC"/>
    <w:lvl w:ilvl="0">
      <w:start w:val="1"/>
      <w:numFmt w:val="bullet"/>
      <w:lvlText w:val=""/>
      <w:lvlJc w:val="left"/>
      <w:pPr>
        <w:ind w:left="1146" w:hanging="360"/>
      </w:pPr>
      <w:rPr>
        <w:rFonts w:ascii="Wingdings" w:hAnsi="Wingdings" w:hint="default"/>
      </w:rPr>
    </w:lvl>
    <w:lvl w:ilvl="1">
      <w:start w:val="1"/>
      <w:numFmt w:val="lowerLetter"/>
      <w:lvlText w:val="%2."/>
      <w:lvlJc w:val="left"/>
      <w:pPr>
        <w:ind w:left="1866" w:hanging="360"/>
      </w:pPr>
    </w:lvl>
    <w:lvl w:ilvl="2">
      <w:start w:val="1"/>
      <w:numFmt w:val="lowerRoman"/>
      <w:lvlText w:val="%3."/>
      <w:lvlJc w:val="right"/>
      <w:pPr>
        <w:ind w:left="2586" w:hanging="180"/>
      </w:pPr>
    </w:lvl>
    <w:lvl w:ilvl="3">
      <w:start w:val="1"/>
      <w:numFmt w:val="decimal"/>
      <w:lvlText w:val="%4."/>
      <w:lvlJc w:val="left"/>
      <w:pPr>
        <w:ind w:left="3306" w:hanging="360"/>
      </w:pPr>
    </w:lvl>
    <w:lvl w:ilvl="4">
      <w:start w:val="1"/>
      <w:numFmt w:val="lowerLetter"/>
      <w:lvlText w:val="%5."/>
      <w:lvlJc w:val="left"/>
      <w:pPr>
        <w:ind w:left="4026" w:hanging="360"/>
      </w:pPr>
    </w:lvl>
    <w:lvl w:ilvl="5">
      <w:start w:val="1"/>
      <w:numFmt w:val="lowerRoman"/>
      <w:lvlText w:val="%6."/>
      <w:lvlJc w:val="right"/>
      <w:pPr>
        <w:ind w:left="4746" w:hanging="180"/>
      </w:pPr>
    </w:lvl>
    <w:lvl w:ilvl="6">
      <w:start w:val="1"/>
      <w:numFmt w:val="decimal"/>
      <w:lvlText w:val="%7."/>
      <w:lvlJc w:val="left"/>
      <w:pPr>
        <w:ind w:left="5466" w:hanging="360"/>
      </w:pPr>
    </w:lvl>
    <w:lvl w:ilvl="7">
      <w:start w:val="1"/>
      <w:numFmt w:val="lowerLetter"/>
      <w:lvlText w:val="%8."/>
      <w:lvlJc w:val="left"/>
      <w:pPr>
        <w:ind w:left="6186" w:hanging="360"/>
      </w:pPr>
    </w:lvl>
    <w:lvl w:ilvl="8">
      <w:start w:val="1"/>
      <w:numFmt w:val="lowerRoman"/>
      <w:lvlText w:val="%9."/>
      <w:lvlJc w:val="right"/>
      <w:pPr>
        <w:ind w:left="6906" w:hanging="180"/>
      </w:pPr>
    </w:lvl>
  </w:abstractNum>
  <w:abstractNum w:abstractNumId="12" w15:restartNumberingAfterBreak="0">
    <w:nsid w:val="059C6427"/>
    <w:multiLevelType w:val="hybridMultilevel"/>
    <w:tmpl w:val="CE620116"/>
    <w:lvl w:ilvl="0" w:tplc="040C0011">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 w15:restartNumberingAfterBreak="0">
    <w:nsid w:val="06047943"/>
    <w:multiLevelType w:val="hybridMultilevel"/>
    <w:tmpl w:val="9B849254"/>
    <w:lvl w:ilvl="0" w:tplc="67ACAD02">
      <w:numFmt w:val="bullet"/>
      <w:lvlText w:val="-"/>
      <w:lvlJc w:val="left"/>
      <w:pPr>
        <w:ind w:left="720" w:hanging="360"/>
      </w:pPr>
      <w:rPr>
        <w:rFonts w:ascii="Arial" w:eastAsia="Arial" w:hAnsi="Arial" w:cs="Arial" w:hint="default"/>
        <w:b w:val="0"/>
        <w:bCs w:val="0"/>
        <w:i w:val="0"/>
        <w:iCs w:val="0"/>
        <w:spacing w:val="0"/>
        <w:w w:val="100"/>
        <w:sz w:val="22"/>
        <w:szCs w:val="22"/>
        <w:lang w:val="fr-FR" w:eastAsia="en-US" w:bidi="ar-SA"/>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065233E9"/>
    <w:multiLevelType w:val="multilevel"/>
    <w:tmpl w:val="44B67F74"/>
    <w:styleLink w:val="StyleAvecpucesSymbolsymboleGauche063cmSuspendu0"/>
    <w:lvl w:ilvl="0">
      <w:start w:val="1"/>
      <w:numFmt w:val="bullet"/>
      <w:lvlText w:val="-"/>
      <w:lvlJc w:val="left"/>
      <w:pPr>
        <w:tabs>
          <w:tab w:val="num" w:pos="720"/>
        </w:tabs>
        <w:ind w:left="720" w:hanging="360"/>
      </w:pPr>
      <w:rPr>
        <w:rFonts w:ascii="Courier New" w:hAnsi="Courier New" w:hint="default"/>
        <w:sz w:val="22"/>
      </w:rPr>
    </w:lvl>
    <w:lvl w:ilvl="1">
      <w:start w:val="1"/>
      <w:numFmt w:val="bullet"/>
      <w:lvlText w:val=""/>
      <w:lvlJc w:val="left"/>
      <w:pPr>
        <w:tabs>
          <w:tab w:val="num" w:pos="1440"/>
        </w:tabs>
        <w:ind w:left="1440" w:hanging="360"/>
      </w:pPr>
      <w:rPr>
        <w:rFonts w:ascii="Wingdings" w:hAnsi="Wingdings" w:cs="Courier New"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o"/>
      <w:lvlJc w:val="left"/>
      <w:pPr>
        <w:tabs>
          <w:tab w:val="num" w:pos="2880"/>
        </w:tabs>
        <w:ind w:left="2880" w:hanging="360"/>
      </w:pPr>
      <w:rPr>
        <w:rFonts w:ascii="Courier New" w:hAnsi="Courier New"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07173E25"/>
    <w:multiLevelType w:val="hybridMultilevel"/>
    <w:tmpl w:val="14EAA5C8"/>
    <w:lvl w:ilvl="0" w:tplc="9B4AD846">
      <w:numFmt w:val="bullet"/>
      <w:lvlText w:val="-"/>
      <w:lvlJc w:val="left"/>
      <w:pPr>
        <w:ind w:left="720" w:hanging="360"/>
      </w:pPr>
      <w:rPr>
        <w:rFonts w:ascii="Arial" w:eastAsia="Arial" w:hAnsi="Arial" w:cs="Arial" w:hint="default"/>
        <w:b w:val="0"/>
        <w:bCs w:val="0"/>
        <w:i w:val="0"/>
        <w:iCs w:val="0"/>
        <w:color w:val="auto"/>
        <w:spacing w:val="0"/>
        <w:w w:val="100"/>
        <w:sz w:val="22"/>
        <w:szCs w:val="22"/>
        <w:lang w:val="fr-FR" w:eastAsia="en-US" w:bidi="ar-SA"/>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087C2933"/>
    <w:multiLevelType w:val="multilevel"/>
    <w:tmpl w:val="981E21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095B2C1D"/>
    <w:multiLevelType w:val="hybridMultilevel"/>
    <w:tmpl w:val="FF44A2B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0A4C2A88"/>
    <w:multiLevelType w:val="multilevel"/>
    <w:tmpl w:val="BBAAEA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0A521E43"/>
    <w:multiLevelType w:val="hybridMultilevel"/>
    <w:tmpl w:val="F4E45B22"/>
    <w:lvl w:ilvl="0" w:tplc="8C4CA0B0">
      <w:start w:val="1"/>
      <w:numFmt w:val="bullet"/>
      <w:pStyle w:val="Tablebullet"/>
      <w:lvlText w:val="■"/>
      <w:lvlJc w:val="left"/>
      <w:pPr>
        <w:ind w:left="360" w:hanging="360"/>
      </w:pPr>
      <w:rPr>
        <w:rFonts w:ascii="Arial" w:hAnsi="Arial" w:hint="default"/>
        <w:color w:val="44546A" w:themeColor="text2"/>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0AE409D4"/>
    <w:multiLevelType w:val="hybridMultilevel"/>
    <w:tmpl w:val="515815AE"/>
    <w:lvl w:ilvl="0" w:tplc="ED1AA476">
      <w:start w:val="1"/>
      <w:numFmt w:val="decimal"/>
      <w:pStyle w:val="Textnumbering1"/>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1" w15:restartNumberingAfterBreak="0">
    <w:nsid w:val="0B1B38E2"/>
    <w:multiLevelType w:val="multilevel"/>
    <w:tmpl w:val="E93C64EE"/>
    <w:styleLink w:val="STYLEDELISTEPARARAGRAPHE"/>
    <w:lvl w:ilvl="0">
      <w:start w:val="1"/>
      <w:numFmt w:val="decimal"/>
      <w:lvlText w:val="%1."/>
      <w:lvlJc w:val="left"/>
      <w:pPr>
        <w:tabs>
          <w:tab w:val="num" w:pos="454"/>
        </w:tabs>
        <w:ind w:left="454" w:hanging="454"/>
      </w:pPr>
      <w:rPr>
        <w:rFonts w:hint="default"/>
      </w:rPr>
    </w:lvl>
    <w:lvl w:ilvl="1">
      <w:start w:val="1"/>
      <w:numFmt w:val="decimal"/>
      <w:pStyle w:val="StyleStyleTitre2"/>
      <w:lvlText w:val="%1.%2."/>
      <w:lvlJc w:val="left"/>
      <w:pPr>
        <w:tabs>
          <w:tab w:val="num" w:pos="454"/>
        </w:tabs>
        <w:ind w:left="680" w:hanging="680"/>
      </w:pPr>
      <w:rPr>
        <w:rFonts w:hint="default"/>
      </w:rPr>
    </w:lvl>
    <w:lvl w:ilvl="2">
      <w:start w:val="1"/>
      <w:numFmt w:val="decimal"/>
      <w:lvlText w:val="%2.%1.%3."/>
      <w:lvlJc w:val="left"/>
      <w:pPr>
        <w:tabs>
          <w:tab w:val="num" w:pos="454"/>
        </w:tabs>
        <w:ind w:left="964" w:hanging="964"/>
      </w:pPr>
      <w:rPr>
        <w:rFonts w:hint="default"/>
      </w:rPr>
    </w:lvl>
    <w:lvl w:ilvl="3">
      <w:start w:val="1"/>
      <w:numFmt w:val="decimal"/>
      <w:lvlText w:val="%3.%1.%2.%4."/>
      <w:lvlJc w:val="left"/>
      <w:pPr>
        <w:tabs>
          <w:tab w:val="num" w:pos="454"/>
        </w:tabs>
        <w:ind w:left="1191" w:hanging="1191"/>
      </w:pPr>
      <w:rPr>
        <w:rFonts w:hint="default"/>
      </w:rPr>
    </w:lvl>
    <w:lvl w:ilvl="4">
      <w:start w:val="1"/>
      <w:numFmt w:val="none"/>
      <w:lvlText w:val="1.1.1.1.1."/>
      <w:lvlJc w:val="left"/>
      <w:pPr>
        <w:tabs>
          <w:tab w:val="num" w:pos="454"/>
        </w:tabs>
        <w:ind w:left="1588" w:hanging="1588"/>
      </w:pPr>
      <w:rPr>
        <w:rFonts w:hint="default"/>
      </w:rPr>
    </w:lvl>
    <w:lvl w:ilvl="5">
      <w:start w:val="1"/>
      <w:numFmt w:val="decimal"/>
      <w:lvlText w:val="%5%1.%2.%3.%4.%6."/>
      <w:lvlJc w:val="left"/>
      <w:pPr>
        <w:tabs>
          <w:tab w:val="num" w:pos="454"/>
        </w:tabs>
        <w:ind w:left="454" w:hanging="454"/>
      </w:pPr>
      <w:rPr>
        <w:rFonts w:hint="default"/>
      </w:rPr>
    </w:lvl>
    <w:lvl w:ilvl="6">
      <w:start w:val="1"/>
      <w:numFmt w:val="decimal"/>
      <w:lvlText w:val="%1.%2.%3.%4.%5.%6.%7."/>
      <w:lvlJc w:val="left"/>
      <w:pPr>
        <w:tabs>
          <w:tab w:val="num" w:pos="454"/>
        </w:tabs>
        <w:ind w:left="454" w:hanging="454"/>
      </w:pPr>
      <w:rPr>
        <w:rFonts w:hint="default"/>
      </w:rPr>
    </w:lvl>
    <w:lvl w:ilvl="7">
      <w:start w:val="1"/>
      <w:numFmt w:val="decimal"/>
      <w:lvlText w:val="%1.%2.%3.%4.%5.%6.%7.%8."/>
      <w:lvlJc w:val="left"/>
      <w:pPr>
        <w:tabs>
          <w:tab w:val="num" w:pos="454"/>
        </w:tabs>
        <w:ind w:left="454" w:hanging="454"/>
      </w:pPr>
      <w:rPr>
        <w:rFonts w:hint="default"/>
      </w:rPr>
    </w:lvl>
    <w:lvl w:ilvl="8">
      <w:start w:val="1"/>
      <w:numFmt w:val="decimal"/>
      <w:lvlText w:val="%1.%2.%3.%4.%5.%6.%7.%8.%9."/>
      <w:lvlJc w:val="left"/>
      <w:pPr>
        <w:tabs>
          <w:tab w:val="num" w:pos="454"/>
        </w:tabs>
        <w:ind w:left="454" w:hanging="454"/>
      </w:pPr>
      <w:rPr>
        <w:rFonts w:hint="default"/>
      </w:rPr>
    </w:lvl>
  </w:abstractNum>
  <w:abstractNum w:abstractNumId="22" w15:restartNumberingAfterBreak="0">
    <w:nsid w:val="0B381547"/>
    <w:multiLevelType w:val="hybridMultilevel"/>
    <w:tmpl w:val="97CAA840"/>
    <w:lvl w:ilvl="0" w:tplc="3B76775C">
      <w:start w:val="1"/>
      <w:numFmt w:val="bullet"/>
      <w:pStyle w:val="BGP-Retraittexte3"/>
      <w:lvlText w:val=""/>
      <w:lvlJc w:val="left"/>
      <w:pPr>
        <w:tabs>
          <w:tab w:val="num" w:pos="927"/>
        </w:tabs>
        <w:ind w:left="907" w:hanging="340"/>
      </w:pPr>
      <w:rPr>
        <w:rFonts w:ascii="Symbol" w:hAnsi="Symbol" w:hint="default"/>
      </w:rPr>
    </w:lvl>
    <w:lvl w:ilvl="1" w:tplc="7772BECA">
      <w:numFmt w:val="decimal"/>
      <w:lvlText w:val=""/>
      <w:lvlJc w:val="left"/>
    </w:lvl>
    <w:lvl w:ilvl="2" w:tplc="C7524D1E">
      <w:numFmt w:val="decimal"/>
      <w:lvlText w:val=""/>
      <w:lvlJc w:val="left"/>
    </w:lvl>
    <w:lvl w:ilvl="3" w:tplc="DECCECB8">
      <w:numFmt w:val="decimal"/>
      <w:lvlText w:val=""/>
      <w:lvlJc w:val="left"/>
    </w:lvl>
    <w:lvl w:ilvl="4" w:tplc="FDC87F86">
      <w:numFmt w:val="decimal"/>
      <w:lvlText w:val=""/>
      <w:lvlJc w:val="left"/>
    </w:lvl>
    <w:lvl w:ilvl="5" w:tplc="D2383F44">
      <w:numFmt w:val="decimal"/>
      <w:lvlText w:val=""/>
      <w:lvlJc w:val="left"/>
    </w:lvl>
    <w:lvl w:ilvl="6" w:tplc="A3DCD95A">
      <w:numFmt w:val="decimal"/>
      <w:lvlText w:val=""/>
      <w:lvlJc w:val="left"/>
    </w:lvl>
    <w:lvl w:ilvl="7" w:tplc="E3B09AFE">
      <w:numFmt w:val="decimal"/>
      <w:lvlText w:val=""/>
      <w:lvlJc w:val="left"/>
    </w:lvl>
    <w:lvl w:ilvl="8" w:tplc="72E6616E">
      <w:numFmt w:val="decimal"/>
      <w:lvlText w:val=""/>
      <w:lvlJc w:val="left"/>
    </w:lvl>
  </w:abstractNum>
  <w:abstractNum w:abstractNumId="23" w15:restartNumberingAfterBreak="0">
    <w:nsid w:val="0C45658F"/>
    <w:multiLevelType w:val="multilevel"/>
    <w:tmpl w:val="E3EA29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0C9F6135"/>
    <w:multiLevelType w:val="multilevel"/>
    <w:tmpl w:val="F2B6D5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0D454E50"/>
    <w:multiLevelType w:val="singleLevel"/>
    <w:tmpl w:val="9EBAEC96"/>
    <w:numStyleLink w:val="StyleAvecpuces"/>
  </w:abstractNum>
  <w:abstractNum w:abstractNumId="26" w15:restartNumberingAfterBreak="0">
    <w:nsid w:val="0F4C769F"/>
    <w:multiLevelType w:val="multilevel"/>
    <w:tmpl w:val="8BD044D2"/>
    <w:lvl w:ilvl="0">
      <w:start w:val="1"/>
      <w:numFmt w:val="decimal"/>
      <w:pStyle w:val="liste0"/>
      <w:lvlText w:val="%1"/>
      <w:lvlJc w:val="left"/>
      <w:pPr>
        <w:tabs>
          <w:tab w:val="num" w:pos="432"/>
        </w:tabs>
        <w:ind w:left="432" w:hanging="432"/>
      </w:pPr>
      <w:rPr>
        <w:rFonts w:ascii="Times New Roman" w:hAnsi="Times New Roman"/>
      </w:rPr>
    </w:lvl>
    <w:lvl w:ilvl="1">
      <w:start w:val="1"/>
      <w:numFmt w:val="decimal"/>
      <w:lvlText w:val="%1.%2"/>
      <w:lvlJc w:val="left"/>
      <w:pPr>
        <w:tabs>
          <w:tab w:val="num" w:pos="576"/>
        </w:tabs>
        <w:ind w:left="576" w:hanging="576"/>
      </w:pPr>
      <w:rPr>
        <w:rFonts w:ascii="Times New Roman" w:hAnsi="Times New Roman"/>
      </w:rPr>
    </w:lvl>
    <w:lvl w:ilvl="2">
      <w:start w:val="1"/>
      <w:numFmt w:val="decimal"/>
      <w:lvlText w:val="%1.%2.%3"/>
      <w:lvlJc w:val="left"/>
      <w:pPr>
        <w:tabs>
          <w:tab w:val="num" w:pos="720"/>
        </w:tabs>
        <w:ind w:left="720" w:hanging="720"/>
      </w:pPr>
      <w:rPr>
        <w:rFonts w:ascii="Times New Roman" w:hAnsi="Times New Roman"/>
      </w:rPr>
    </w:lvl>
    <w:lvl w:ilvl="3">
      <w:start w:val="1"/>
      <w:numFmt w:val="decimal"/>
      <w:lvlText w:val="%1.%2.%3.%4"/>
      <w:lvlJc w:val="left"/>
      <w:pPr>
        <w:tabs>
          <w:tab w:val="num" w:pos="864"/>
        </w:tabs>
        <w:ind w:left="864" w:hanging="864"/>
      </w:pPr>
      <w:rPr>
        <w:rFonts w:ascii="Times New Roman" w:hAnsi="Times New Roman"/>
      </w:rPr>
    </w:lvl>
    <w:lvl w:ilvl="4">
      <w:start w:val="1"/>
      <w:numFmt w:val="decimal"/>
      <w:lvlText w:val="%1.%2.%3.%4.%5"/>
      <w:lvlJc w:val="left"/>
      <w:pPr>
        <w:tabs>
          <w:tab w:val="num" w:pos="1008"/>
        </w:tabs>
        <w:ind w:left="1008" w:hanging="1008"/>
      </w:pPr>
      <w:rPr>
        <w:rFonts w:ascii="Times New Roman" w:hAnsi="Times New Roman"/>
      </w:rPr>
    </w:lvl>
    <w:lvl w:ilvl="5">
      <w:start w:val="1"/>
      <w:numFmt w:val="decimal"/>
      <w:lvlText w:val="%1.%2.%3.%4.%5.%6"/>
      <w:lvlJc w:val="left"/>
      <w:pPr>
        <w:tabs>
          <w:tab w:val="num" w:pos="1152"/>
        </w:tabs>
        <w:ind w:left="1152" w:hanging="1152"/>
      </w:pPr>
      <w:rPr>
        <w:rFonts w:ascii="Times New Roman" w:hAnsi="Times New Roman"/>
      </w:rPr>
    </w:lvl>
    <w:lvl w:ilvl="6">
      <w:start w:val="1"/>
      <w:numFmt w:val="decimal"/>
      <w:lvlText w:val="%1.%2.%3.%4.%5.%6.%7"/>
      <w:lvlJc w:val="left"/>
      <w:pPr>
        <w:tabs>
          <w:tab w:val="num" w:pos="1296"/>
        </w:tabs>
        <w:ind w:left="1296" w:hanging="1296"/>
      </w:pPr>
      <w:rPr>
        <w:rFonts w:ascii="Times New Roman" w:hAnsi="Times New Roman"/>
      </w:rPr>
    </w:lvl>
    <w:lvl w:ilvl="7">
      <w:start w:val="1"/>
      <w:numFmt w:val="decimal"/>
      <w:lvlText w:val="%1.%2.%3.%4.%5.%6.%7.%8"/>
      <w:lvlJc w:val="left"/>
      <w:pPr>
        <w:tabs>
          <w:tab w:val="num" w:pos="1440"/>
        </w:tabs>
        <w:ind w:left="1440" w:hanging="1440"/>
      </w:pPr>
      <w:rPr>
        <w:rFonts w:ascii="Times New Roman" w:hAnsi="Times New Roman"/>
      </w:rPr>
    </w:lvl>
    <w:lvl w:ilvl="8">
      <w:start w:val="1"/>
      <w:numFmt w:val="decimal"/>
      <w:lvlText w:val="%1.%2.%3.%4.%5.%6.%7.%8.%9"/>
      <w:lvlJc w:val="left"/>
      <w:pPr>
        <w:tabs>
          <w:tab w:val="num" w:pos="1584"/>
        </w:tabs>
        <w:ind w:left="1584" w:hanging="1584"/>
      </w:pPr>
      <w:rPr>
        <w:rFonts w:ascii="Times New Roman" w:hAnsi="Times New Roman"/>
      </w:rPr>
    </w:lvl>
  </w:abstractNum>
  <w:abstractNum w:abstractNumId="27" w15:restartNumberingAfterBreak="0">
    <w:nsid w:val="100D7598"/>
    <w:multiLevelType w:val="multilevel"/>
    <w:tmpl w:val="3A9CCF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102A587E"/>
    <w:multiLevelType w:val="multilevel"/>
    <w:tmpl w:val="3FF872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107B015B"/>
    <w:multiLevelType w:val="hybridMultilevel"/>
    <w:tmpl w:val="3C702708"/>
    <w:lvl w:ilvl="0" w:tplc="6B562A34">
      <w:numFmt w:val="bullet"/>
      <w:lvlText w:val="-"/>
      <w:lvlJc w:val="left"/>
      <w:pPr>
        <w:ind w:left="720" w:hanging="360"/>
      </w:pPr>
      <w:rPr>
        <w:rFonts w:ascii="Sylfaen" w:eastAsia="Times New Roman" w:hAnsi="Sylfaen" w:hint="default"/>
        <w:b/>
      </w:rPr>
    </w:lvl>
    <w:lvl w:ilvl="1" w:tplc="040C0003" w:tentative="1">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0" w15:restartNumberingAfterBreak="0">
    <w:nsid w:val="119B0ABB"/>
    <w:multiLevelType w:val="hybridMultilevel"/>
    <w:tmpl w:val="C85872B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1" w15:restartNumberingAfterBreak="0">
    <w:nsid w:val="11E47C25"/>
    <w:multiLevelType w:val="multilevel"/>
    <w:tmpl w:val="B77E14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123955CC"/>
    <w:multiLevelType w:val="hybridMultilevel"/>
    <w:tmpl w:val="80AA5EE6"/>
    <w:lvl w:ilvl="0" w:tplc="A434F566">
      <w:start w:val="1"/>
      <w:numFmt w:val="bullet"/>
      <w:lvlText w:val=""/>
      <w:lvlJc w:val="left"/>
      <w:pPr>
        <w:ind w:left="720" w:hanging="360"/>
      </w:pPr>
      <w:rPr>
        <w:rFonts w:ascii="Wingdings" w:hAnsi="Wingdings" w:hint="default"/>
        <w:color w:val="0028A8"/>
      </w:rPr>
    </w:lvl>
    <w:lvl w:ilvl="1" w:tplc="380C0003" w:tentative="1">
      <w:start w:val="1"/>
      <w:numFmt w:val="bullet"/>
      <w:lvlText w:val="o"/>
      <w:lvlJc w:val="left"/>
      <w:pPr>
        <w:ind w:left="1440" w:hanging="360"/>
      </w:pPr>
      <w:rPr>
        <w:rFonts w:ascii="Courier New" w:hAnsi="Courier New" w:cs="Courier New" w:hint="default"/>
      </w:rPr>
    </w:lvl>
    <w:lvl w:ilvl="2" w:tplc="380C0005" w:tentative="1">
      <w:start w:val="1"/>
      <w:numFmt w:val="bullet"/>
      <w:lvlText w:val=""/>
      <w:lvlJc w:val="left"/>
      <w:pPr>
        <w:ind w:left="2160" w:hanging="360"/>
      </w:pPr>
      <w:rPr>
        <w:rFonts w:ascii="Wingdings" w:hAnsi="Wingdings" w:hint="default"/>
      </w:rPr>
    </w:lvl>
    <w:lvl w:ilvl="3" w:tplc="380C0001" w:tentative="1">
      <w:start w:val="1"/>
      <w:numFmt w:val="bullet"/>
      <w:lvlText w:val=""/>
      <w:lvlJc w:val="left"/>
      <w:pPr>
        <w:ind w:left="2880" w:hanging="360"/>
      </w:pPr>
      <w:rPr>
        <w:rFonts w:ascii="Symbol" w:hAnsi="Symbol" w:hint="default"/>
      </w:rPr>
    </w:lvl>
    <w:lvl w:ilvl="4" w:tplc="380C0003" w:tentative="1">
      <w:start w:val="1"/>
      <w:numFmt w:val="bullet"/>
      <w:lvlText w:val="o"/>
      <w:lvlJc w:val="left"/>
      <w:pPr>
        <w:ind w:left="3600" w:hanging="360"/>
      </w:pPr>
      <w:rPr>
        <w:rFonts w:ascii="Courier New" w:hAnsi="Courier New" w:cs="Courier New" w:hint="default"/>
      </w:rPr>
    </w:lvl>
    <w:lvl w:ilvl="5" w:tplc="380C0005" w:tentative="1">
      <w:start w:val="1"/>
      <w:numFmt w:val="bullet"/>
      <w:lvlText w:val=""/>
      <w:lvlJc w:val="left"/>
      <w:pPr>
        <w:ind w:left="4320" w:hanging="360"/>
      </w:pPr>
      <w:rPr>
        <w:rFonts w:ascii="Wingdings" w:hAnsi="Wingdings" w:hint="default"/>
      </w:rPr>
    </w:lvl>
    <w:lvl w:ilvl="6" w:tplc="380C0001" w:tentative="1">
      <w:start w:val="1"/>
      <w:numFmt w:val="bullet"/>
      <w:lvlText w:val=""/>
      <w:lvlJc w:val="left"/>
      <w:pPr>
        <w:ind w:left="5040" w:hanging="360"/>
      </w:pPr>
      <w:rPr>
        <w:rFonts w:ascii="Symbol" w:hAnsi="Symbol" w:hint="default"/>
      </w:rPr>
    </w:lvl>
    <w:lvl w:ilvl="7" w:tplc="380C0003" w:tentative="1">
      <w:start w:val="1"/>
      <w:numFmt w:val="bullet"/>
      <w:lvlText w:val="o"/>
      <w:lvlJc w:val="left"/>
      <w:pPr>
        <w:ind w:left="5760" w:hanging="360"/>
      </w:pPr>
      <w:rPr>
        <w:rFonts w:ascii="Courier New" w:hAnsi="Courier New" w:cs="Courier New" w:hint="default"/>
      </w:rPr>
    </w:lvl>
    <w:lvl w:ilvl="8" w:tplc="380C0005" w:tentative="1">
      <w:start w:val="1"/>
      <w:numFmt w:val="bullet"/>
      <w:lvlText w:val=""/>
      <w:lvlJc w:val="left"/>
      <w:pPr>
        <w:ind w:left="6480" w:hanging="360"/>
      </w:pPr>
      <w:rPr>
        <w:rFonts w:ascii="Wingdings" w:hAnsi="Wingdings" w:hint="default"/>
      </w:rPr>
    </w:lvl>
  </w:abstractNum>
  <w:abstractNum w:abstractNumId="33" w15:restartNumberingAfterBreak="0">
    <w:nsid w:val="12F31871"/>
    <w:multiLevelType w:val="multilevel"/>
    <w:tmpl w:val="A7D05E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1355648B"/>
    <w:multiLevelType w:val="hybridMultilevel"/>
    <w:tmpl w:val="E6641598"/>
    <w:lvl w:ilvl="0" w:tplc="67ACAD02">
      <w:numFmt w:val="bullet"/>
      <w:lvlText w:val="-"/>
      <w:lvlJc w:val="left"/>
      <w:pPr>
        <w:ind w:left="720" w:hanging="360"/>
      </w:pPr>
      <w:rPr>
        <w:rFonts w:ascii="Arial" w:eastAsia="Arial" w:hAnsi="Arial" w:cs="Arial" w:hint="default"/>
        <w:b w:val="0"/>
        <w:bCs w:val="0"/>
        <w:i w:val="0"/>
        <w:iCs w:val="0"/>
        <w:spacing w:val="0"/>
        <w:w w:val="100"/>
        <w:sz w:val="22"/>
        <w:szCs w:val="22"/>
        <w:lang w:val="fr-FR" w:eastAsia="en-US" w:bidi="ar-SA"/>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5" w15:restartNumberingAfterBreak="0">
    <w:nsid w:val="135B4237"/>
    <w:multiLevelType w:val="hybridMultilevel"/>
    <w:tmpl w:val="868AFF84"/>
    <w:lvl w:ilvl="0" w:tplc="0034142A">
      <w:start w:val="5"/>
      <w:numFmt w:val="bullet"/>
      <w:pStyle w:val="Puce21"/>
      <w:lvlText w:val=""/>
      <w:lvlJc w:val="left"/>
      <w:pPr>
        <w:ind w:left="1364" w:hanging="360"/>
      </w:pPr>
      <w:rPr>
        <w:rFonts w:ascii="Calibri" w:eastAsia="Times New Roman" w:hAnsi="Calibri" w:hint="default"/>
      </w:rPr>
    </w:lvl>
    <w:lvl w:ilvl="1" w:tplc="040C0003" w:tentative="1">
      <w:start w:val="1"/>
      <w:numFmt w:val="bullet"/>
      <w:lvlText w:val="o"/>
      <w:lvlJc w:val="left"/>
      <w:pPr>
        <w:ind w:left="2084" w:hanging="360"/>
      </w:pPr>
      <w:rPr>
        <w:rFonts w:ascii="Courier New" w:hAnsi="Courier New" w:cs="Courier New" w:hint="default"/>
      </w:rPr>
    </w:lvl>
    <w:lvl w:ilvl="2" w:tplc="040C0005" w:tentative="1">
      <w:start w:val="1"/>
      <w:numFmt w:val="bullet"/>
      <w:lvlText w:val=""/>
      <w:lvlJc w:val="left"/>
      <w:pPr>
        <w:ind w:left="2804" w:hanging="360"/>
      </w:pPr>
      <w:rPr>
        <w:rFonts w:ascii="Wingdings" w:hAnsi="Wingdings" w:hint="default"/>
      </w:rPr>
    </w:lvl>
    <w:lvl w:ilvl="3" w:tplc="040C0001" w:tentative="1">
      <w:start w:val="1"/>
      <w:numFmt w:val="bullet"/>
      <w:lvlText w:val=""/>
      <w:lvlJc w:val="left"/>
      <w:pPr>
        <w:ind w:left="3524" w:hanging="360"/>
      </w:pPr>
      <w:rPr>
        <w:rFonts w:ascii="Symbol" w:hAnsi="Symbol" w:hint="default"/>
      </w:rPr>
    </w:lvl>
    <w:lvl w:ilvl="4" w:tplc="040C0003" w:tentative="1">
      <w:start w:val="1"/>
      <w:numFmt w:val="bullet"/>
      <w:lvlText w:val="o"/>
      <w:lvlJc w:val="left"/>
      <w:pPr>
        <w:ind w:left="4244" w:hanging="360"/>
      </w:pPr>
      <w:rPr>
        <w:rFonts w:ascii="Courier New" w:hAnsi="Courier New" w:cs="Courier New" w:hint="default"/>
      </w:rPr>
    </w:lvl>
    <w:lvl w:ilvl="5" w:tplc="040C0005" w:tentative="1">
      <w:start w:val="1"/>
      <w:numFmt w:val="bullet"/>
      <w:lvlText w:val=""/>
      <w:lvlJc w:val="left"/>
      <w:pPr>
        <w:ind w:left="4964" w:hanging="360"/>
      </w:pPr>
      <w:rPr>
        <w:rFonts w:ascii="Wingdings" w:hAnsi="Wingdings" w:hint="default"/>
      </w:rPr>
    </w:lvl>
    <w:lvl w:ilvl="6" w:tplc="040C0001" w:tentative="1">
      <w:start w:val="1"/>
      <w:numFmt w:val="bullet"/>
      <w:lvlText w:val=""/>
      <w:lvlJc w:val="left"/>
      <w:pPr>
        <w:ind w:left="5684" w:hanging="360"/>
      </w:pPr>
      <w:rPr>
        <w:rFonts w:ascii="Symbol" w:hAnsi="Symbol" w:hint="default"/>
      </w:rPr>
    </w:lvl>
    <w:lvl w:ilvl="7" w:tplc="040C0003" w:tentative="1">
      <w:start w:val="1"/>
      <w:numFmt w:val="bullet"/>
      <w:lvlText w:val="o"/>
      <w:lvlJc w:val="left"/>
      <w:pPr>
        <w:ind w:left="6404" w:hanging="360"/>
      </w:pPr>
      <w:rPr>
        <w:rFonts w:ascii="Courier New" w:hAnsi="Courier New" w:cs="Courier New" w:hint="default"/>
      </w:rPr>
    </w:lvl>
    <w:lvl w:ilvl="8" w:tplc="040C0005" w:tentative="1">
      <w:start w:val="1"/>
      <w:numFmt w:val="bullet"/>
      <w:lvlText w:val=""/>
      <w:lvlJc w:val="left"/>
      <w:pPr>
        <w:ind w:left="7124" w:hanging="360"/>
      </w:pPr>
      <w:rPr>
        <w:rFonts w:ascii="Wingdings" w:hAnsi="Wingdings" w:hint="default"/>
      </w:rPr>
    </w:lvl>
  </w:abstractNum>
  <w:abstractNum w:abstractNumId="36" w15:restartNumberingAfterBreak="0">
    <w:nsid w:val="13D75A49"/>
    <w:multiLevelType w:val="hybridMultilevel"/>
    <w:tmpl w:val="647427DC"/>
    <w:lvl w:ilvl="0" w:tplc="984AB47E">
      <w:start w:val="1"/>
      <w:numFmt w:val="bullet"/>
      <w:pStyle w:val="ap"/>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7" w15:restartNumberingAfterBreak="0">
    <w:nsid w:val="141D55EC"/>
    <w:multiLevelType w:val="hybridMultilevel"/>
    <w:tmpl w:val="E114636A"/>
    <w:lvl w:ilvl="0" w:tplc="6A301D30">
      <w:start w:val="1"/>
      <w:numFmt w:val="bullet"/>
      <w:pStyle w:val="Style4"/>
      <w:lvlText w:val=""/>
      <w:lvlJc w:val="left"/>
      <w:pPr>
        <w:ind w:left="720" w:hanging="360"/>
      </w:pPr>
      <w:rPr>
        <w:rFonts w:ascii="Wingdings" w:hAnsi="Wingdings" w:cs="Times New Roman" w:hint="default"/>
        <w:color w:val="4472C4" w:themeColor="accent1"/>
        <w:sz w:val="16"/>
        <w:szCs w:val="16"/>
      </w:rPr>
    </w:lvl>
    <w:lvl w:ilvl="1" w:tplc="380C0003" w:tentative="1">
      <w:start w:val="1"/>
      <w:numFmt w:val="bullet"/>
      <w:lvlText w:val="o"/>
      <w:lvlJc w:val="left"/>
      <w:pPr>
        <w:ind w:left="1440" w:hanging="360"/>
      </w:pPr>
      <w:rPr>
        <w:rFonts w:ascii="Courier New" w:hAnsi="Courier New" w:cs="Courier New" w:hint="default"/>
      </w:rPr>
    </w:lvl>
    <w:lvl w:ilvl="2" w:tplc="380C0005" w:tentative="1">
      <w:start w:val="1"/>
      <w:numFmt w:val="bullet"/>
      <w:lvlText w:val=""/>
      <w:lvlJc w:val="left"/>
      <w:pPr>
        <w:ind w:left="2160" w:hanging="360"/>
      </w:pPr>
      <w:rPr>
        <w:rFonts w:ascii="Wingdings" w:hAnsi="Wingdings" w:hint="default"/>
      </w:rPr>
    </w:lvl>
    <w:lvl w:ilvl="3" w:tplc="380C0001" w:tentative="1">
      <w:start w:val="1"/>
      <w:numFmt w:val="bullet"/>
      <w:lvlText w:val=""/>
      <w:lvlJc w:val="left"/>
      <w:pPr>
        <w:ind w:left="2880" w:hanging="360"/>
      </w:pPr>
      <w:rPr>
        <w:rFonts w:ascii="Symbol" w:hAnsi="Symbol" w:hint="default"/>
      </w:rPr>
    </w:lvl>
    <w:lvl w:ilvl="4" w:tplc="380C0003" w:tentative="1">
      <w:start w:val="1"/>
      <w:numFmt w:val="bullet"/>
      <w:lvlText w:val="o"/>
      <w:lvlJc w:val="left"/>
      <w:pPr>
        <w:ind w:left="3600" w:hanging="360"/>
      </w:pPr>
      <w:rPr>
        <w:rFonts w:ascii="Courier New" w:hAnsi="Courier New" w:cs="Courier New" w:hint="default"/>
      </w:rPr>
    </w:lvl>
    <w:lvl w:ilvl="5" w:tplc="380C0005" w:tentative="1">
      <w:start w:val="1"/>
      <w:numFmt w:val="bullet"/>
      <w:lvlText w:val=""/>
      <w:lvlJc w:val="left"/>
      <w:pPr>
        <w:ind w:left="4320" w:hanging="360"/>
      </w:pPr>
      <w:rPr>
        <w:rFonts w:ascii="Wingdings" w:hAnsi="Wingdings" w:hint="default"/>
      </w:rPr>
    </w:lvl>
    <w:lvl w:ilvl="6" w:tplc="380C0001" w:tentative="1">
      <w:start w:val="1"/>
      <w:numFmt w:val="bullet"/>
      <w:lvlText w:val=""/>
      <w:lvlJc w:val="left"/>
      <w:pPr>
        <w:ind w:left="5040" w:hanging="360"/>
      </w:pPr>
      <w:rPr>
        <w:rFonts w:ascii="Symbol" w:hAnsi="Symbol" w:hint="default"/>
      </w:rPr>
    </w:lvl>
    <w:lvl w:ilvl="7" w:tplc="380C0003" w:tentative="1">
      <w:start w:val="1"/>
      <w:numFmt w:val="bullet"/>
      <w:lvlText w:val="o"/>
      <w:lvlJc w:val="left"/>
      <w:pPr>
        <w:ind w:left="5760" w:hanging="360"/>
      </w:pPr>
      <w:rPr>
        <w:rFonts w:ascii="Courier New" w:hAnsi="Courier New" w:cs="Courier New" w:hint="default"/>
      </w:rPr>
    </w:lvl>
    <w:lvl w:ilvl="8" w:tplc="380C0005" w:tentative="1">
      <w:start w:val="1"/>
      <w:numFmt w:val="bullet"/>
      <w:lvlText w:val=""/>
      <w:lvlJc w:val="left"/>
      <w:pPr>
        <w:ind w:left="6480" w:hanging="360"/>
      </w:pPr>
      <w:rPr>
        <w:rFonts w:ascii="Wingdings" w:hAnsi="Wingdings" w:hint="default"/>
      </w:rPr>
    </w:lvl>
  </w:abstractNum>
  <w:abstractNum w:abstractNumId="38" w15:restartNumberingAfterBreak="0">
    <w:nsid w:val="16A730FE"/>
    <w:multiLevelType w:val="multilevel"/>
    <w:tmpl w:val="B48C0D2A"/>
    <w:name w:val="DEPA"/>
    <w:lvl w:ilvl="0">
      <w:start w:val="1"/>
      <w:numFmt w:val="decimal"/>
      <w:pStyle w:val="Titre-1"/>
      <w:lvlText w:val="%1."/>
      <w:lvlJc w:val="left"/>
      <w:pPr>
        <w:ind w:left="360" w:hanging="360"/>
      </w:pPr>
      <w:rPr>
        <w:rFonts w:hint="default"/>
      </w:rPr>
    </w:lvl>
    <w:lvl w:ilvl="1">
      <w:start w:val="1"/>
      <w:numFmt w:val="decimal"/>
      <w:pStyle w:val="Titre-2"/>
      <w:lvlText w:val="%1.%2."/>
      <w:lvlJc w:val="left"/>
      <w:pPr>
        <w:ind w:left="432" w:hanging="432"/>
      </w:pPr>
      <w:rPr>
        <w:rFonts w:hint="default"/>
      </w:rPr>
    </w:lvl>
    <w:lvl w:ilvl="2">
      <w:start w:val="1"/>
      <w:numFmt w:val="decimal"/>
      <w:pStyle w:val="Titre-3"/>
      <w:lvlText w:val="%1.%2.%3."/>
      <w:lvlJc w:val="left"/>
      <w:pPr>
        <w:ind w:left="1224" w:hanging="504"/>
      </w:pPr>
      <w:rPr>
        <w:rFonts w:hint="default"/>
      </w:rPr>
    </w:lvl>
    <w:lvl w:ilvl="3">
      <w:start w:val="1"/>
      <w:numFmt w:val="decimal"/>
      <w:pStyle w:val="Titre-4"/>
      <w:lvlText w:val="%1.%2.%3.%4."/>
      <w:lvlJc w:val="left"/>
      <w:pPr>
        <w:ind w:left="648" w:hanging="648"/>
      </w:pPr>
      <w:rPr>
        <w:rFonts w:hint="default"/>
      </w:rPr>
    </w:lvl>
    <w:lvl w:ilvl="4">
      <w:start w:val="1"/>
      <w:numFmt w:val="decimal"/>
      <w:pStyle w:val="Titre-5"/>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 w15:restartNumberingAfterBreak="0">
    <w:nsid w:val="16C07C1A"/>
    <w:multiLevelType w:val="multilevel"/>
    <w:tmpl w:val="CB7E53B8"/>
    <w:styleLink w:val="ERMNumLIst"/>
    <w:lvl w:ilvl="0">
      <w:start w:val="1"/>
      <w:numFmt w:val="decimal"/>
      <w:lvlText w:val="%1."/>
      <w:lvlJc w:val="left"/>
      <w:pPr>
        <w:ind w:left="794" w:hanging="794"/>
      </w:pPr>
      <w:rPr>
        <w:rFonts w:hint="default"/>
      </w:rPr>
    </w:lvl>
    <w:lvl w:ilvl="1">
      <w:start w:val="1"/>
      <w:numFmt w:val="decimal"/>
      <w:lvlText w:val="%1.%2"/>
      <w:lvlJc w:val="left"/>
      <w:pPr>
        <w:ind w:left="794" w:hanging="794"/>
      </w:pPr>
      <w:rPr>
        <w:rFonts w:hint="default"/>
      </w:rPr>
    </w:lvl>
    <w:lvl w:ilvl="2">
      <w:start w:val="1"/>
      <w:numFmt w:val="decimal"/>
      <w:lvlText w:val="%1.%2.%3"/>
      <w:lvlJc w:val="left"/>
      <w:pPr>
        <w:ind w:left="794" w:hanging="794"/>
      </w:pPr>
      <w:rPr>
        <w:rFonts w:hint="default"/>
      </w:rPr>
    </w:lvl>
    <w:lvl w:ilvl="3">
      <w:start w:val="1"/>
      <w:numFmt w:val="decimal"/>
      <w:lvlText w:val="%1.%2.%3.%4"/>
      <w:lvlJc w:val="left"/>
      <w:pPr>
        <w:ind w:left="794" w:hanging="794"/>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decimal"/>
      <w:lvlText w:val="%7."/>
      <w:lvlJc w:val="left"/>
      <w:pPr>
        <w:ind w:left="397" w:hanging="397"/>
      </w:pPr>
      <w:rPr>
        <w:rFonts w:hint="default"/>
      </w:rPr>
    </w:lvl>
    <w:lvl w:ilvl="7">
      <w:start w:val="1"/>
      <w:numFmt w:val="lowerLetter"/>
      <w:lvlText w:val="%8."/>
      <w:lvlJc w:val="left"/>
      <w:pPr>
        <w:tabs>
          <w:tab w:val="num" w:pos="397"/>
        </w:tabs>
        <w:ind w:left="397" w:firstLine="0"/>
      </w:pPr>
      <w:rPr>
        <w:rFonts w:hint="default"/>
      </w:rPr>
    </w:lvl>
    <w:lvl w:ilvl="8">
      <w:start w:val="1"/>
      <w:numFmt w:val="lowerRoman"/>
      <w:lvlText w:val="%9."/>
      <w:lvlJc w:val="left"/>
      <w:pPr>
        <w:tabs>
          <w:tab w:val="num" w:pos="397"/>
        </w:tabs>
        <w:ind w:left="794" w:hanging="397"/>
      </w:pPr>
      <w:rPr>
        <w:rFonts w:hint="default"/>
      </w:rPr>
    </w:lvl>
  </w:abstractNum>
  <w:abstractNum w:abstractNumId="40" w15:restartNumberingAfterBreak="0">
    <w:nsid w:val="177B0F10"/>
    <w:multiLevelType w:val="multilevel"/>
    <w:tmpl w:val="349E1DA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181F03B9"/>
    <w:multiLevelType w:val="hybridMultilevel"/>
    <w:tmpl w:val="0978905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2" w15:restartNumberingAfterBreak="0">
    <w:nsid w:val="18576961"/>
    <w:multiLevelType w:val="multilevel"/>
    <w:tmpl w:val="1B2A7E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189E1A57"/>
    <w:multiLevelType w:val="hybridMultilevel"/>
    <w:tmpl w:val="7070F8D0"/>
    <w:lvl w:ilvl="0" w:tplc="FFFFFFFF">
      <w:start w:val="1"/>
      <w:numFmt w:val="bullet"/>
      <w:pStyle w:val="StyleComicSansMSItaliqueSoulignementJustifi"/>
      <w:lvlText w:val=""/>
      <w:lvlJc w:val="left"/>
      <w:pPr>
        <w:tabs>
          <w:tab w:val="num" w:pos="720"/>
        </w:tabs>
        <w:ind w:left="720" w:hanging="360"/>
      </w:pPr>
      <w:rPr>
        <w:rFonts w:ascii="Symbol" w:hAnsi="Symbol" w:hint="default"/>
        <w:color w:val="0000FF"/>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B43E2BF8" w:tentative="1">
      <w:start w:val="1"/>
      <w:numFmt w:val="bullet"/>
      <w:pStyle w:val="PhenixaTitre3"/>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18AB0E50"/>
    <w:multiLevelType w:val="multilevel"/>
    <w:tmpl w:val="9B0A5862"/>
    <w:lvl w:ilvl="0">
      <w:start w:val="1"/>
      <w:numFmt w:val="decimal"/>
      <w:pStyle w:val="Bigtitre"/>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5" w15:restartNumberingAfterBreak="0">
    <w:nsid w:val="18F92BAD"/>
    <w:multiLevelType w:val="multilevel"/>
    <w:tmpl w:val="040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6" w15:restartNumberingAfterBreak="0">
    <w:nsid w:val="1926778E"/>
    <w:multiLevelType w:val="multilevel"/>
    <w:tmpl w:val="CBE21C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19BA3A35"/>
    <w:multiLevelType w:val="hybridMultilevel"/>
    <w:tmpl w:val="CBD40BE4"/>
    <w:styleLink w:val="ERMBulletList"/>
    <w:lvl w:ilvl="0" w:tplc="90D01244">
      <w:start w:val="1"/>
      <w:numFmt w:val="bullet"/>
      <w:lvlText w:val=""/>
      <w:lvlJc w:val="left"/>
      <w:pPr>
        <w:ind w:left="397" w:hanging="397"/>
      </w:pPr>
      <w:rPr>
        <w:rFonts w:ascii="Wingdings" w:hAnsi="Wingdings" w:cs="Times New Roman" w:hint="default"/>
        <w:color w:val="44546A" w:themeColor="text2"/>
        <w:sz w:val="16"/>
        <w:szCs w:val="16"/>
      </w:rPr>
    </w:lvl>
    <w:lvl w:ilvl="1" w:tplc="3EB6363E">
      <w:start w:val="1"/>
      <w:numFmt w:val="bullet"/>
      <w:lvlText w:val="-"/>
      <w:lvlJc w:val="left"/>
      <w:pPr>
        <w:tabs>
          <w:tab w:val="num" w:pos="397"/>
        </w:tabs>
        <w:ind w:left="397" w:firstLine="0"/>
      </w:pPr>
      <w:rPr>
        <w:rFonts w:ascii="Arial" w:hAnsi="Arial" w:cs="Arial" w:hint="default"/>
      </w:rPr>
    </w:lvl>
    <w:lvl w:ilvl="2" w:tplc="7A160628">
      <w:start w:val="1"/>
      <w:numFmt w:val="bullet"/>
      <w:lvlText w:val=""/>
      <w:lvlJc w:val="left"/>
      <w:pPr>
        <w:tabs>
          <w:tab w:val="num" w:pos="794"/>
        </w:tabs>
        <w:ind w:left="794" w:hanging="397"/>
      </w:pPr>
      <w:rPr>
        <w:rFonts w:ascii="Wingdings" w:hAnsi="Wingdings" w:cs="Times New Roman" w:hint="default"/>
      </w:rPr>
    </w:lvl>
    <w:lvl w:ilvl="3" w:tplc="8020D014">
      <w:start w:val="1"/>
      <w:numFmt w:val="bullet"/>
      <w:lvlText w:val="○"/>
      <w:lvlJc w:val="left"/>
      <w:pPr>
        <w:tabs>
          <w:tab w:val="num" w:pos="397"/>
        </w:tabs>
        <w:ind w:left="1191" w:hanging="794"/>
      </w:pPr>
      <w:rPr>
        <w:rFonts w:ascii="Arial" w:hAnsi="Arial" w:cs="Arial" w:hint="default"/>
      </w:rPr>
    </w:lvl>
    <w:lvl w:ilvl="4" w:tplc="1936A0D2">
      <w:start w:val="1"/>
      <w:numFmt w:val="none"/>
      <w:lvlText w:val=""/>
      <w:lvlJc w:val="left"/>
      <w:pPr>
        <w:tabs>
          <w:tab w:val="num" w:pos="397"/>
        </w:tabs>
        <w:ind w:left="1588" w:hanging="1191"/>
      </w:pPr>
      <w:rPr>
        <w:rFonts w:hint="default"/>
      </w:rPr>
    </w:lvl>
    <w:lvl w:ilvl="5" w:tplc="218EAEDE">
      <w:start w:val="1"/>
      <w:numFmt w:val="none"/>
      <w:lvlText w:val=""/>
      <w:lvlJc w:val="left"/>
      <w:pPr>
        <w:ind w:left="4320" w:hanging="360"/>
      </w:pPr>
      <w:rPr>
        <w:rFonts w:hint="default"/>
      </w:rPr>
    </w:lvl>
    <w:lvl w:ilvl="6" w:tplc="0E424050">
      <w:start w:val="1"/>
      <w:numFmt w:val="none"/>
      <w:lvlText w:val=""/>
      <w:lvlJc w:val="left"/>
      <w:pPr>
        <w:ind w:left="5040" w:hanging="360"/>
      </w:pPr>
      <w:rPr>
        <w:rFonts w:hint="default"/>
      </w:rPr>
    </w:lvl>
    <w:lvl w:ilvl="7" w:tplc="9E18A082">
      <w:start w:val="1"/>
      <w:numFmt w:val="none"/>
      <w:lvlText w:val=""/>
      <w:lvlJc w:val="left"/>
      <w:pPr>
        <w:ind w:left="5760" w:hanging="360"/>
      </w:pPr>
      <w:rPr>
        <w:rFonts w:hint="default"/>
      </w:rPr>
    </w:lvl>
    <w:lvl w:ilvl="8" w:tplc="38986BFA">
      <w:start w:val="1"/>
      <w:numFmt w:val="none"/>
      <w:lvlText w:val=""/>
      <w:lvlJc w:val="left"/>
      <w:pPr>
        <w:ind w:left="6480" w:hanging="360"/>
      </w:pPr>
      <w:rPr>
        <w:rFonts w:hint="default"/>
      </w:rPr>
    </w:lvl>
  </w:abstractNum>
  <w:abstractNum w:abstractNumId="48" w15:restartNumberingAfterBreak="0">
    <w:nsid w:val="1A586555"/>
    <w:multiLevelType w:val="multilevel"/>
    <w:tmpl w:val="5B9AAA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1A5F7343"/>
    <w:multiLevelType w:val="multilevel"/>
    <w:tmpl w:val="2296614C"/>
    <w:lvl w:ilvl="0">
      <w:start w:val="1"/>
      <w:numFmt w:val="decimal"/>
      <w:lvlText w:val="%1."/>
      <w:lvlJc w:val="left"/>
      <w:pPr>
        <w:tabs>
          <w:tab w:val="num" w:pos="720"/>
        </w:tabs>
        <w:ind w:left="720" w:hanging="360"/>
      </w:pPr>
    </w:lvl>
    <w:lvl w:ilvl="1">
      <w:numFmt w:val="bullet"/>
      <w:lvlText w:val="-"/>
      <w:lvlJc w:val="left"/>
      <w:pPr>
        <w:ind w:left="1440" w:hanging="360"/>
      </w:pPr>
      <w:rPr>
        <w:rFonts w:ascii="Calibri" w:eastAsia="Calibri" w:hAnsi="Calibri" w:cs="Calibri" w:hint="default"/>
        <w:b/>
        <w:bCs/>
        <w:i w:val="0"/>
        <w:iCs w:val="0"/>
        <w:spacing w:val="0"/>
        <w:w w:val="100"/>
        <w:sz w:val="24"/>
        <w:szCs w:val="24"/>
        <w:lang w:val="fr-FR" w:eastAsia="en-US" w:bidi="ar-SA"/>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0" w15:restartNumberingAfterBreak="0">
    <w:nsid w:val="1ACB22D9"/>
    <w:multiLevelType w:val="hybridMultilevel"/>
    <w:tmpl w:val="31E6A10E"/>
    <w:lvl w:ilvl="0" w:tplc="DF242226">
      <w:start w:val="1"/>
      <w:numFmt w:val="bullet"/>
      <w:pStyle w:val="AltTitle"/>
      <w:lvlText w:val=""/>
      <w:lvlJc w:val="left"/>
      <w:pPr>
        <w:ind w:left="720" w:hanging="360"/>
      </w:pPr>
      <w:rPr>
        <w:rFonts w:ascii="Wingdings" w:hAnsi="Wingdings" w:hint="default"/>
      </w:rPr>
    </w:lvl>
    <w:lvl w:ilvl="1" w:tplc="380C0003" w:tentative="1">
      <w:start w:val="1"/>
      <w:numFmt w:val="bullet"/>
      <w:lvlText w:val="o"/>
      <w:lvlJc w:val="left"/>
      <w:pPr>
        <w:ind w:left="1440" w:hanging="360"/>
      </w:pPr>
      <w:rPr>
        <w:rFonts w:ascii="Courier New" w:hAnsi="Courier New" w:cs="Courier New" w:hint="default"/>
      </w:rPr>
    </w:lvl>
    <w:lvl w:ilvl="2" w:tplc="380C0005" w:tentative="1">
      <w:start w:val="1"/>
      <w:numFmt w:val="bullet"/>
      <w:lvlText w:val=""/>
      <w:lvlJc w:val="left"/>
      <w:pPr>
        <w:ind w:left="2160" w:hanging="360"/>
      </w:pPr>
      <w:rPr>
        <w:rFonts w:ascii="Wingdings" w:hAnsi="Wingdings" w:hint="default"/>
      </w:rPr>
    </w:lvl>
    <w:lvl w:ilvl="3" w:tplc="380C0001" w:tentative="1">
      <w:start w:val="1"/>
      <w:numFmt w:val="bullet"/>
      <w:lvlText w:val=""/>
      <w:lvlJc w:val="left"/>
      <w:pPr>
        <w:ind w:left="2880" w:hanging="360"/>
      </w:pPr>
      <w:rPr>
        <w:rFonts w:ascii="Symbol" w:hAnsi="Symbol" w:hint="default"/>
      </w:rPr>
    </w:lvl>
    <w:lvl w:ilvl="4" w:tplc="380C0003" w:tentative="1">
      <w:start w:val="1"/>
      <w:numFmt w:val="bullet"/>
      <w:lvlText w:val="o"/>
      <w:lvlJc w:val="left"/>
      <w:pPr>
        <w:ind w:left="3600" w:hanging="360"/>
      </w:pPr>
      <w:rPr>
        <w:rFonts w:ascii="Courier New" w:hAnsi="Courier New" w:cs="Courier New" w:hint="default"/>
      </w:rPr>
    </w:lvl>
    <w:lvl w:ilvl="5" w:tplc="380C0005" w:tentative="1">
      <w:start w:val="1"/>
      <w:numFmt w:val="bullet"/>
      <w:lvlText w:val=""/>
      <w:lvlJc w:val="left"/>
      <w:pPr>
        <w:ind w:left="4320" w:hanging="360"/>
      </w:pPr>
      <w:rPr>
        <w:rFonts w:ascii="Wingdings" w:hAnsi="Wingdings" w:hint="default"/>
      </w:rPr>
    </w:lvl>
    <w:lvl w:ilvl="6" w:tplc="380C0001" w:tentative="1">
      <w:start w:val="1"/>
      <w:numFmt w:val="bullet"/>
      <w:lvlText w:val=""/>
      <w:lvlJc w:val="left"/>
      <w:pPr>
        <w:ind w:left="5040" w:hanging="360"/>
      </w:pPr>
      <w:rPr>
        <w:rFonts w:ascii="Symbol" w:hAnsi="Symbol" w:hint="default"/>
      </w:rPr>
    </w:lvl>
    <w:lvl w:ilvl="7" w:tplc="380C0003" w:tentative="1">
      <w:start w:val="1"/>
      <w:numFmt w:val="bullet"/>
      <w:lvlText w:val="o"/>
      <w:lvlJc w:val="left"/>
      <w:pPr>
        <w:ind w:left="5760" w:hanging="360"/>
      </w:pPr>
      <w:rPr>
        <w:rFonts w:ascii="Courier New" w:hAnsi="Courier New" w:cs="Courier New" w:hint="default"/>
      </w:rPr>
    </w:lvl>
    <w:lvl w:ilvl="8" w:tplc="380C0005" w:tentative="1">
      <w:start w:val="1"/>
      <w:numFmt w:val="bullet"/>
      <w:lvlText w:val=""/>
      <w:lvlJc w:val="left"/>
      <w:pPr>
        <w:ind w:left="6480" w:hanging="360"/>
      </w:pPr>
      <w:rPr>
        <w:rFonts w:ascii="Wingdings" w:hAnsi="Wingdings" w:hint="default"/>
      </w:rPr>
    </w:lvl>
  </w:abstractNum>
  <w:abstractNum w:abstractNumId="51" w15:restartNumberingAfterBreak="0">
    <w:nsid w:val="1AFE27C5"/>
    <w:multiLevelType w:val="multilevel"/>
    <w:tmpl w:val="D21287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1BBF270E"/>
    <w:multiLevelType w:val="multilevel"/>
    <w:tmpl w:val="C276BC18"/>
    <w:lvl w:ilvl="0">
      <w:start w:val="1"/>
      <w:numFmt w:val="bullet"/>
      <w:lvlText w:val="▬"/>
      <w:lvlJc w:val="left"/>
      <w:pPr>
        <w:tabs>
          <w:tab w:val="num" w:pos="340"/>
        </w:tabs>
        <w:ind w:left="340" w:hanging="340"/>
      </w:pPr>
      <w:rPr>
        <w:rFonts w:ascii="Segoe UI" w:hAnsi="Segoe UI" w:hint="default"/>
        <w:color w:val="4472C4" w:themeColor="accent1"/>
      </w:rPr>
    </w:lvl>
    <w:lvl w:ilvl="1">
      <w:start w:val="1"/>
      <w:numFmt w:val="bullet"/>
      <w:lvlText w:val="▬"/>
      <w:lvlJc w:val="left"/>
      <w:pPr>
        <w:tabs>
          <w:tab w:val="num" w:pos="680"/>
        </w:tabs>
        <w:ind w:left="680" w:hanging="340"/>
      </w:pPr>
      <w:rPr>
        <w:rFonts w:ascii="Segoe UI" w:hAnsi="Segoe UI" w:hint="default"/>
        <w:color w:val="ED7D31" w:themeColor="accent2"/>
      </w:rPr>
    </w:lvl>
    <w:lvl w:ilvl="2">
      <w:start w:val="1"/>
      <w:numFmt w:val="bullet"/>
      <w:pStyle w:val="Puce3"/>
      <w:lvlText w:val=""/>
      <w:lvlJc w:val="left"/>
      <w:pPr>
        <w:tabs>
          <w:tab w:val="num" w:pos="907"/>
        </w:tabs>
        <w:ind w:left="907" w:hanging="227"/>
      </w:pPr>
      <w:rPr>
        <w:rFonts w:ascii="Wingdings 2" w:hAnsi="Wingdings 2" w:hint="default"/>
        <w:color w:val="ED7D31" w:themeColor="accent2"/>
      </w:rPr>
    </w:lvl>
    <w:lvl w:ilvl="3">
      <w:start w:val="1"/>
      <w:numFmt w:val="bullet"/>
      <w:pStyle w:val="Puce4"/>
      <w:lvlText w:val=""/>
      <w:lvlJc w:val="left"/>
      <w:pPr>
        <w:tabs>
          <w:tab w:val="num" w:pos="1134"/>
        </w:tabs>
        <w:ind w:left="1134" w:hanging="227"/>
      </w:pPr>
      <w:rPr>
        <w:rFonts w:ascii="Wingdings 2" w:hAnsi="Wingdings 2" w:hint="default"/>
        <w:color w:val="4472C4" w:themeColor="accent1"/>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3" w15:restartNumberingAfterBreak="0">
    <w:nsid w:val="1BEB33F9"/>
    <w:multiLevelType w:val="singleLevel"/>
    <w:tmpl w:val="CE1EEB3A"/>
    <w:lvl w:ilvl="0">
      <w:start w:val="1"/>
      <w:numFmt w:val="bullet"/>
      <w:pStyle w:val="puce1"/>
      <w:lvlText w:val=""/>
      <w:lvlJc w:val="left"/>
      <w:pPr>
        <w:tabs>
          <w:tab w:val="num" w:pos="502"/>
        </w:tabs>
        <w:ind w:left="502" w:hanging="360"/>
      </w:pPr>
      <w:rPr>
        <w:rFonts w:ascii="Symbol" w:hAnsi="Symbol" w:hint="default"/>
      </w:rPr>
    </w:lvl>
  </w:abstractNum>
  <w:abstractNum w:abstractNumId="54" w15:restartNumberingAfterBreak="0">
    <w:nsid w:val="1CB04DC8"/>
    <w:multiLevelType w:val="multilevel"/>
    <w:tmpl w:val="7A64C37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1F012C98"/>
    <w:multiLevelType w:val="multilevel"/>
    <w:tmpl w:val="09CC40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1F6B71BC"/>
    <w:multiLevelType w:val="multilevel"/>
    <w:tmpl w:val="5BC85FE6"/>
    <w:lvl w:ilvl="0">
      <w:start w:val="1"/>
      <w:numFmt w:val="bullet"/>
      <w:pStyle w:val="Bullet3"/>
      <w:lvlText w:val=""/>
      <w:lvlJc w:val="left"/>
      <w:pPr>
        <w:ind w:left="717" w:hanging="360"/>
      </w:pPr>
      <w:rPr>
        <w:rFonts w:ascii="Symbol" w:hAnsi="Symbol" w:hint="default"/>
        <w:b w:val="0"/>
        <w:i w:val="0"/>
        <w:caps/>
        <w:strike w:val="0"/>
        <w:dstrike w:val="0"/>
        <w:vanish w:val="0"/>
        <w:color w:val="2E74B5" w:themeColor="accent5" w:themeShade="BF"/>
        <w:spacing w:val="0"/>
        <w:sz w:val="20"/>
        <w:szCs w:val="14"/>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suff w:val="nothing"/>
      <w:lvlText w:val="%1.%2. - "/>
      <w:lvlJc w:val="left"/>
      <w:pPr>
        <w:ind w:left="6453" w:hanging="567"/>
      </w:pPr>
      <w:rPr>
        <w:rFonts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suff w:val="nothing"/>
      <w:lvlText w:val="%1.%2.%3. - "/>
      <w:lvlJc w:val="left"/>
      <w:pPr>
        <w:ind w:left="924" w:hanging="567"/>
      </w:pPr>
      <w:rPr>
        <w:rFonts w:asciiTheme="minorHAnsi" w:hAnsiTheme="minorHAnsi" w:cstheme="minorHAnsi" w:hint="default"/>
        <w:b/>
        <w:i w:val="0"/>
        <w:caps w:val="0"/>
        <w:strike w:val="0"/>
        <w:dstrike w:val="0"/>
        <w:vanish w:val="0"/>
        <w:color w:val="000000" w:themeColor="text1"/>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lvlText w:val="%4)"/>
      <w:lvlJc w:val="left"/>
      <w:pPr>
        <w:tabs>
          <w:tab w:val="num" w:pos="1437"/>
        </w:tabs>
        <w:ind w:left="1208" w:hanging="851"/>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lowerLetter"/>
      <w:lvlText w:val="%5)"/>
      <w:lvlJc w:val="left"/>
      <w:pPr>
        <w:tabs>
          <w:tab w:val="num" w:pos="1491"/>
        </w:tabs>
        <w:ind w:left="1491" w:hanging="567"/>
      </w:pPr>
      <w:rPr>
        <w:rFonts w:ascii="Garamond" w:hAnsi="Garamond" w:hint="default"/>
        <w:b w:val="0"/>
        <w:i w:val="0"/>
        <w:caps w:val="0"/>
        <w:strike w:val="0"/>
        <w:dstrike w:val="0"/>
        <w:vanish w:val="0"/>
        <w:color w:val="335A8F"/>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lowerRoman"/>
      <w:lvlText w:val="%6)"/>
      <w:lvlJc w:val="left"/>
      <w:pPr>
        <w:tabs>
          <w:tab w:val="num" w:pos="1509"/>
        </w:tabs>
        <w:ind w:left="1509" w:hanging="1152"/>
      </w:pPr>
      <w:rPr>
        <w:rFonts w:hint="default"/>
      </w:rPr>
    </w:lvl>
    <w:lvl w:ilvl="6">
      <w:start w:val="1"/>
      <w:numFmt w:val="lowerRoman"/>
      <w:lvlText w:val="(%7)"/>
      <w:lvlJc w:val="right"/>
      <w:pPr>
        <w:tabs>
          <w:tab w:val="num" w:pos="862"/>
        </w:tabs>
        <w:ind w:left="709" w:hanging="567"/>
      </w:pPr>
      <w:rPr>
        <w:rFonts w:asciiTheme="minorHAnsi" w:hAnsiTheme="minorHAnsi" w:hint="default"/>
        <w:b w:val="0"/>
        <w:i w:val="0"/>
        <w:color w:val="E7E6E6" w:themeColor="background2"/>
        <w:sz w:val="20"/>
        <w:szCs w:val="14"/>
      </w:rPr>
    </w:lvl>
    <w:lvl w:ilvl="7">
      <w:start w:val="1"/>
      <w:numFmt w:val="decimal"/>
      <w:lvlRestart w:val="1"/>
      <w:lvlText w:val="%8)"/>
      <w:lvlJc w:val="left"/>
      <w:pPr>
        <w:tabs>
          <w:tab w:val="num" w:pos="1491"/>
        </w:tabs>
        <w:ind w:left="1491" w:hanging="567"/>
      </w:pPr>
      <w:rPr>
        <w:rFonts w:ascii="Garamond" w:hAnsi="Garamond" w:hint="default"/>
        <w:b w:val="0"/>
        <w:i w:val="0"/>
        <w:caps w:val="0"/>
        <w:strike w:val="0"/>
        <w:dstrike w:val="0"/>
        <w:vanish w:val="0"/>
        <w:color w:val="auto"/>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lowerLetter"/>
      <w:lvlRestart w:val="1"/>
      <w:lvlText w:val="%9)"/>
      <w:lvlJc w:val="left"/>
      <w:pPr>
        <w:tabs>
          <w:tab w:val="num" w:pos="924"/>
        </w:tabs>
        <w:ind w:left="924" w:hanging="567"/>
      </w:pPr>
      <w:rPr>
        <w:rFonts w:hint="default"/>
      </w:rPr>
    </w:lvl>
  </w:abstractNum>
  <w:abstractNum w:abstractNumId="57" w15:restartNumberingAfterBreak="0">
    <w:nsid w:val="1F787C7C"/>
    <w:multiLevelType w:val="multilevel"/>
    <w:tmpl w:val="D89218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20AB7DEA"/>
    <w:multiLevelType w:val="hybridMultilevel"/>
    <w:tmpl w:val="B5F4D1C0"/>
    <w:lvl w:ilvl="0" w:tplc="040C0001">
      <w:start w:val="1"/>
      <w:numFmt w:val="bullet"/>
      <w:pStyle w:val="Listenumros"/>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9" w15:restartNumberingAfterBreak="0">
    <w:nsid w:val="224A255E"/>
    <w:multiLevelType w:val="multilevel"/>
    <w:tmpl w:val="85F6AC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22555202"/>
    <w:multiLevelType w:val="hybridMultilevel"/>
    <w:tmpl w:val="110C5574"/>
    <w:styleLink w:val="STYLEDELISTEPARARAGRAPHE1"/>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1" w15:restartNumberingAfterBreak="0">
    <w:nsid w:val="228453D4"/>
    <w:multiLevelType w:val="hybridMultilevel"/>
    <w:tmpl w:val="1D106DAE"/>
    <w:lvl w:ilvl="0" w:tplc="2AEAA0D4">
      <w:start w:val="1"/>
      <w:numFmt w:val="bullet"/>
      <w:pStyle w:val="Listeflches"/>
      <w:lvlText w:val=""/>
      <w:lvlJc w:val="left"/>
      <w:pPr>
        <w:tabs>
          <w:tab w:val="num" w:pos="227"/>
        </w:tabs>
        <w:ind w:left="227" w:hanging="227"/>
      </w:pPr>
      <w:rPr>
        <w:rFonts w:ascii="Wingdings" w:hAnsi="Wingdings" w:hint="default"/>
        <w:color w:val="6E87A9"/>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2" w15:restartNumberingAfterBreak="0">
    <w:nsid w:val="22DF74A6"/>
    <w:multiLevelType w:val="hybridMultilevel"/>
    <w:tmpl w:val="631C94D0"/>
    <w:lvl w:ilvl="0" w:tplc="E56C2756">
      <w:numFmt w:val="bullet"/>
      <w:lvlText w:val="-"/>
      <w:lvlJc w:val="left"/>
      <w:pPr>
        <w:ind w:left="720" w:hanging="360"/>
      </w:pPr>
      <w:rPr>
        <w:rFonts w:ascii="Times New Roman" w:eastAsia="Times New Roman" w:hAnsi="Times New Roman"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63" w15:restartNumberingAfterBreak="0">
    <w:nsid w:val="237F75E3"/>
    <w:multiLevelType w:val="multilevel"/>
    <w:tmpl w:val="B3BE32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23954D37"/>
    <w:multiLevelType w:val="multilevel"/>
    <w:tmpl w:val="29DC4E84"/>
    <w:lvl w:ilvl="0">
      <w:numFmt w:val="decimal"/>
      <w:pStyle w:val="Style3"/>
      <w:lvlText w:val="Chapitre %1."/>
      <w:lvlJc w:val="left"/>
      <w:pPr>
        <w:ind w:left="3970" w:firstLine="0"/>
      </w:pPr>
      <w:rPr>
        <w:rFonts w:ascii="Arial Gras" w:hAnsi="Arial Gras" w:cs="Arial Gras" w:hint="default"/>
        <w:b/>
        <w:bCs w:val="0"/>
        <w:i/>
        <w:caps/>
        <w:color w:val="17365D"/>
        <w:sz w:val="24"/>
        <w:szCs w:val="24"/>
      </w:rPr>
    </w:lvl>
    <w:lvl w:ilvl="1">
      <w:start w:val="1"/>
      <w:numFmt w:val="decimal"/>
      <w:pStyle w:val="Style5"/>
      <w:lvlText w:val="%2."/>
      <w:lvlJc w:val="left"/>
      <w:pPr>
        <w:ind w:left="426" w:firstLine="0"/>
      </w:pPr>
      <w:rPr>
        <w:rFonts w:ascii="Arial" w:hAnsi="Arial" w:hint="default"/>
        <w:i w:val="0"/>
        <w:iCs w:val="0"/>
        <w:caps/>
        <w:color w:val="800080"/>
        <w:sz w:val="24"/>
        <w:szCs w:val="72"/>
        <w:u w:val="none"/>
      </w:rPr>
    </w:lvl>
    <w:lvl w:ilvl="2">
      <w:start w:val="1"/>
      <w:numFmt w:val="decimal"/>
      <w:pStyle w:val="Style6"/>
      <w:lvlText w:val="%2.%3."/>
      <w:lvlJc w:val="left"/>
      <w:pPr>
        <w:ind w:left="141" w:firstLine="0"/>
      </w:pPr>
      <w:rPr>
        <w:rFonts w:hint="default"/>
        <w:b/>
        <w:i w:val="0"/>
        <w:caps w:val="0"/>
        <w:color w:val="808080"/>
        <w:sz w:val="20"/>
        <w:szCs w:val="52"/>
      </w:rPr>
    </w:lvl>
    <w:lvl w:ilvl="3">
      <w:start w:val="1"/>
      <w:numFmt w:val="decimal"/>
      <w:pStyle w:val="Style7"/>
      <w:lvlText w:val="%2.%3.%4"/>
      <w:lvlJc w:val="left"/>
      <w:pPr>
        <w:ind w:left="1106" w:hanging="964"/>
      </w:pPr>
      <w:rPr>
        <w:rFonts w:hint="default"/>
      </w:rPr>
    </w:lvl>
    <w:lvl w:ilvl="4">
      <w:start w:val="1"/>
      <w:numFmt w:val="decimal"/>
      <w:pStyle w:val="Style8"/>
      <w:lvlText w:val="%2.%3.%4.%5"/>
      <w:lvlJc w:val="left"/>
      <w:pPr>
        <w:ind w:left="2326" w:hanging="1191"/>
      </w:pPr>
      <w:rPr>
        <w:rFonts w:hint="default"/>
      </w:rPr>
    </w:lvl>
    <w:lvl w:ilvl="5">
      <w:start w:val="1"/>
      <w:numFmt w:val="decimal"/>
      <w:lvlText w:val="%1.%2.%3.%4.%5.%6."/>
      <w:lvlJc w:val="left"/>
      <w:pPr>
        <w:ind w:left="11667" w:hanging="936"/>
      </w:pPr>
      <w:rPr>
        <w:rFonts w:hint="default"/>
      </w:rPr>
    </w:lvl>
    <w:lvl w:ilvl="6">
      <w:start w:val="1"/>
      <w:numFmt w:val="decimal"/>
      <w:lvlText w:val="%1.%2.%3.%4.%5.%6.%7."/>
      <w:lvlJc w:val="left"/>
      <w:pPr>
        <w:ind w:left="12171" w:hanging="1080"/>
      </w:pPr>
      <w:rPr>
        <w:rFonts w:hint="default"/>
      </w:rPr>
    </w:lvl>
    <w:lvl w:ilvl="7">
      <w:start w:val="1"/>
      <w:numFmt w:val="decimal"/>
      <w:lvlText w:val="%1.%2.%3.%4.%5.%6.%7.%8."/>
      <w:lvlJc w:val="left"/>
      <w:pPr>
        <w:ind w:left="12675" w:hanging="1224"/>
      </w:pPr>
      <w:rPr>
        <w:rFonts w:hint="default"/>
      </w:rPr>
    </w:lvl>
    <w:lvl w:ilvl="8">
      <w:start w:val="1"/>
      <w:numFmt w:val="decimal"/>
      <w:lvlText w:val="%1.%2.%3.%4.%5.%6.%7.%8.%9."/>
      <w:lvlJc w:val="left"/>
      <w:pPr>
        <w:ind w:left="13251" w:hanging="1440"/>
      </w:pPr>
      <w:rPr>
        <w:rFonts w:hint="default"/>
      </w:rPr>
    </w:lvl>
  </w:abstractNum>
  <w:abstractNum w:abstractNumId="65" w15:restartNumberingAfterBreak="0">
    <w:nsid w:val="23D3040F"/>
    <w:multiLevelType w:val="multilevel"/>
    <w:tmpl w:val="B46ACF48"/>
    <w:lvl w:ilvl="0">
      <w:start w:val="1"/>
      <w:numFmt w:val="decimal"/>
      <w:pStyle w:val="En-ttedetabledesmatires1"/>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6" w15:restartNumberingAfterBreak="0">
    <w:nsid w:val="24434C13"/>
    <w:multiLevelType w:val="multilevel"/>
    <w:tmpl w:val="7FF2F886"/>
    <w:lvl w:ilvl="0">
      <w:start w:val="1"/>
      <w:numFmt w:val="decimal"/>
      <w:pStyle w:val="Annexe-Titredelannexe"/>
      <w:suff w:val="space"/>
      <w:lvlText w:val="Annexe %1."/>
      <w:lvlJc w:val="left"/>
      <w:pPr>
        <w:ind w:left="0" w:firstLine="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7" w15:restartNumberingAfterBreak="0">
    <w:nsid w:val="24B85EE4"/>
    <w:multiLevelType w:val="hybridMultilevel"/>
    <w:tmpl w:val="32987E18"/>
    <w:lvl w:ilvl="0" w:tplc="67ACAD02">
      <w:numFmt w:val="bullet"/>
      <w:lvlText w:val="-"/>
      <w:lvlJc w:val="left"/>
      <w:pPr>
        <w:ind w:left="720" w:hanging="360"/>
      </w:pPr>
      <w:rPr>
        <w:rFonts w:ascii="Arial" w:eastAsia="Arial" w:hAnsi="Arial" w:cs="Arial" w:hint="default"/>
        <w:b w:val="0"/>
        <w:bCs w:val="0"/>
        <w:i w:val="0"/>
        <w:iCs w:val="0"/>
        <w:spacing w:val="0"/>
        <w:w w:val="100"/>
        <w:sz w:val="22"/>
        <w:szCs w:val="22"/>
        <w:lang w:val="fr-FR" w:eastAsia="en-US" w:bidi="ar-SA"/>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8" w15:restartNumberingAfterBreak="0">
    <w:nsid w:val="252D6847"/>
    <w:multiLevelType w:val="hybridMultilevel"/>
    <w:tmpl w:val="01B03C7E"/>
    <w:lvl w:ilvl="0" w:tplc="8DA0D844">
      <w:start w:val="1"/>
      <w:numFmt w:val="decimal"/>
      <w:pStyle w:val="ListeNumros1"/>
      <w:lvlText w:val="%1."/>
      <w:lvlJc w:val="left"/>
      <w:pPr>
        <w:ind w:left="360" w:hanging="360"/>
      </w:pPr>
      <w:rPr>
        <w:rFonts w:hint="default"/>
        <w:sz w:val="20"/>
      </w:rPr>
    </w:lvl>
    <w:lvl w:ilvl="1" w:tplc="040C0019">
      <w:start w:val="1"/>
      <w:numFmt w:val="bullet"/>
      <w:lvlText w:val="o"/>
      <w:lvlJc w:val="left"/>
      <w:pPr>
        <w:tabs>
          <w:tab w:val="num" w:pos="1080"/>
        </w:tabs>
        <w:ind w:left="1080" w:hanging="360"/>
      </w:pPr>
      <w:rPr>
        <w:rFonts w:ascii="Courier New" w:hAnsi="Courier New" w:cs="Courier New" w:hint="default"/>
        <w:sz w:val="16"/>
      </w:rPr>
    </w:lvl>
    <w:lvl w:ilvl="2" w:tplc="040C001B">
      <w:numFmt w:val="bullet"/>
      <w:lvlText w:val=""/>
      <w:lvlJc w:val="left"/>
      <w:pPr>
        <w:tabs>
          <w:tab w:val="num" w:pos="1800"/>
        </w:tabs>
        <w:ind w:left="1800" w:hanging="360"/>
      </w:pPr>
      <w:rPr>
        <w:rFonts w:ascii="Symbol" w:eastAsia="Times New Roman" w:hAnsi="Symbol" w:cs="Times New Roman" w:hint="default"/>
        <w:color w:val="auto"/>
        <w:sz w:val="16"/>
      </w:rPr>
    </w:lvl>
    <w:lvl w:ilvl="3" w:tplc="040C000F" w:tentative="1">
      <w:start w:val="1"/>
      <w:numFmt w:val="bullet"/>
      <w:lvlText w:val=""/>
      <w:lvlJc w:val="left"/>
      <w:pPr>
        <w:tabs>
          <w:tab w:val="num" w:pos="2520"/>
        </w:tabs>
        <w:ind w:left="2520" w:hanging="360"/>
      </w:pPr>
      <w:rPr>
        <w:rFonts w:ascii="Symbol" w:hAnsi="Symbol" w:hint="default"/>
      </w:rPr>
    </w:lvl>
    <w:lvl w:ilvl="4" w:tplc="040C0019" w:tentative="1">
      <w:start w:val="1"/>
      <w:numFmt w:val="bullet"/>
      <w:lvlText w:val="o"/>
      <w:lvlJc w:val="left"/>
      <w:pPr>
        <w:tabs>
          <w:tab w:val="num" w:pos="3240"/>
        </w:tabs>
        <w:ind w:left="3240" w:hanging="360"/>
      </w:pPr>
      <w:rPr>
        <w:rFonts w:ascii="Courier New" w:hAnsi="Courier New" w:cs="Courier New" w:hint="default"/>
      </w:rPr>
    </w:lvl>
    <w:lvl w:ilvl="5" w:tplc="040C001B" w:tentative="1">
      <w:start w:val="1"/>
      <w:numFmt w:val="bullet"/>
      <w:lvlText w:val=""/>
      <w:lvlJc w:val="left"/>
      <w:pPr>
        <w:tabs>
          <w:tab w:val="num" w:pos="3960"/>
        </w:tabs>
        <w:ind w:left="3960" w:hanging="360"/>
      </w:pPr>
      <w:rPr>
        <w:rFonts w:ascii="Wingdings" w:hAnsi="Wingdings" w:hint="default"/>
      </w:rPr>
    </w:lvl>
    <w:lvl w:ilvl="6" w:tplc="040C000F" w:tentative="1">
      <w:start w:val="1"/>
      <w:numFmt w:val="bullet"/>
      <w:lvlText w:val=""/>
      <w:lvlJc w:val="left"/>
      <w:pPr>
        <w:tabs>
          <w:tab w:val="num" w:pos="4680"/>
        </w:tabs>
        <w:ind w:left="4680" w:hanging="360"/>
      </w:pPr>
      <w:rPr>
        <w:rFonts w:ascii="Symbol" w:hAnsi="Symbol" w:hint="default"/>
      </w:rPr>
    </w:lvl>
    <w:lvl w:ilvl="7" w:tplc="040C0019" w:tentative="1">
      <w:start w:val="1"/>
      <w:numFmt w:val="bullet"/>
      <w:lvlText w:val="o"/>
      <w:lvlJc w:val="left"/>
      <w:pPr>
        <w:tabs>
          <w:tab w:val="num" w:pos="5400"/>
        </w:tabs>
        <w:ind w:left="5400" w:hanging="360"/>
      </w:pPr>
      <w:rPr>
        <w:rFonts w:ascii="Courier New" w:hAnsi="Courier New" w:cs="Courier New" w:hint="default"/>
      </w:rPr>
    </w:lvl>
    <w:lvl w:ilvl="8" w:tplc="040C001B" w:tentative="1">
      <w:start w:val="1"/>
      <w:numFmt w:val="bullet"/>
      <w:lvlText w:val=""/>
      <w:lvlJc w:val="left"/>
      <w:pPr>
        <w:tabs>
          <w:tab w:val="num" w:pos="6120"/>
        </w:tabs>
        <w:ind w:left="6120" w:hanging="360"/>
      </w:pPr>
      <w:rPr>
        <w:rFonts w:ascii="Wingdings" w:hAnsi="Wingdings" w:hint="default"/>
      </w:rPr>
    </w:lvl>
  </w:abstractNum>
  <w:abstractNum w:abstractNumId="69" w15:restartNumberingAfterBreak="0">
    <w:nsid w:val="256F5173"/>
    <w:multiLevelType w:val="multilevel"/>
    <w:tmpl w:val="B8BED7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15:restartNumberingAfterBreak="0">
    <w:nsid w:val="257242B5"/>
    <w:multiLevelType w:val="multilevel"/>
    <w:tmpl w:val="BE8C9F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15:restartNumberingAfterBreak="0">
    <w:nsid w:val="27715E8A"/>
    <w:multiLevelType w:val="hybridMultilevel"/>
    <w:tmpl w:val="5B9CD7C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2" w15:restartNumberingAfterBreak="0">
    <w:nsid w:val="29153F8D"/>
    <w:multiLevelType w:val="hybridMultilevel"/>
    <w:tmpl w:val="274266D6"/>
    <w:lvl w:ilvl="0" w:tplc="E65633B4">
      <w:numFmt w:val="bullet"/>
      <w:lvlText w:val=""/>
      <w:lvlJc w:val="left"/>
      <w:pPr>
        <w:ind w:left="720" w:hanging="360"/>
      </w:pPr>
      <w:rPr>
        <w:rFonts w:ascii="Wingdings" w:hAnsi="Wingdings" w:cs="Wingdings" w:hint="default"/>
        <w:b w:val="0"/>
        <w:bCs w:val="0"/>
        <w:i w:val="0"/>
        <w:iCs w:val="0"/>
        <w:color w:val="4472C4" w:themeColor="accent1"/>
        <w:spacing w:val="0"/>
        <w:w w:val="100"/>
        <w:sz w:val="16"/>
        <w:szCs w:val="16"/>
        <w:lang w:val="fr-FR" w:eastAsia="en-US" w:bidi="ar-SA"/>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3" w15:restartNumberingAfterBreak="0">
    <w:nsid w:val="2A747142"/>
    <w:multiLevelType w:val="multilevel"/>
    <w:tmpl w:val="80E0A1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15:restartNumberingAfterBreak="0">
    <w:nsid w:val="2AEF44A7"/>
    <w:multiLevelType w:val="multilevel"/>
    <w:tmpl w:val="205E18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 w15:restartNumberingAfterBreak="0">
    <w:nsid w:val="2BD13C23"/>
    <w:multiLevelType w:val="hybridMultilevel"/>
    <w:tmpl w:val="C8C6DCAC"/>
    <w:lvl w:ilvl="0" w:tplc="7550E8A0">
      <w:start w:val="1"/>
      <w:numFmt w:val="lowerLetter"/>
      <w:pStyle w:val="Textenumrotationa"/>
      <w:lvlText w:val="%1."/>
      <w:lvlJc w:val="left"/>
      <w:pPr>
        <w:ind w:left="1077" w:hanging="360"/>
      </w:pPr>
    </w:lvl>
    <w:lvl w:ilvl="1" w:tplc="040C0019" w:tentative="1">
      <w:start w:val="1"/>
      <w:numFmt w:val="lowerLetter"/>
      <w:lvlText w:val="%2."/>
      <w:lvlJc w:val="left"/>
      <w:pPr>
        <w:ind w:left="1797" w:hanging="360"/>
      </w:pPr>
    </w:lvl>
    <w:lvl w:ilvl="2" w:tplc="040C001B" w:tentative="1">
      <w:start w:val="1"/>
      <w:numFmt w:val="lowerRoman"/>
      <w:lvlText w:val="%3."/>
      <w:lvlJc w:val="right"/>
      <w:pPr>
        <w:ind w:left="2517" w:hanging="180"/>
      </w:pPr>
    </w:lvl>
    <w:lvl w:ilvl="3" w:tplc="040C000F" w:tentative="1">
      <w:start w:val="1"/>
      <w:numFmt w:val="decimal"/>
      <w:lvlText w:val="%4."/>
      <w:lvlJc w:val="left"/>
      <w:pPr>
        <w:ind w:left="3237" w:hanging="360"/>
      </w:pPr>
    </w:lvl>
    <w:lvl w:ilvl="4" w:tplc="040C0019" w:tentative="1">
      <w:start w:val="1"/>
      <w:numFmt w:val="lowerLetter"/>
      <w:lvlText w:val="%5."/>
      <w:lvlJc w:val="left"/>
      <w:pPr>
        <w:ind w:left="3957" w:hanging="360"/>
      </w:pPr>
    </w:lvl>
    <w:lvl w:ilvl="5" w:tplc="040C001B" w:tentative="1">
      <w:start w:val="1"/>
      <w:numFmt w:val="lowerRoman"/>
      <w:lvlText w:val="%6."/>
      <w:lvlJc w:val="right"/>
      <w:pPr>
        <w:ind w:left="4677" w:hanging="180"/>
      </w:pPr>
    </w:lvl>
    <w:lvl w:ilvl="6" w:tplc="040C000F" w:tentative="1">
      <w:start w:val="1"/>
      <w:numFmt w:val="decimal"/>
      <w:lvlText w:val="%7."/>
      <w:lvlJc w:val="left"/>
      <w:pPr>
        <w:ind w:left="5397" w:hanging="360"/>
      </w:pPr>
    </w:lvl>
    <w:lvl w:ilvl="7" w:tplc="040C0019" w:tentative="1">
      <w:start w:val="1"/>
      <w:numFmt w:val="lowerLetter"/>
      <w:lvlText w:val="%8."/>
      <w:lvlJc w:val="left"/>
      <w:pPr>
        <w:ind w:left="6117" w:hanging="360"/>
      </w:pPr>
    </w:lvl>
    <w:lvl w:ilvl="8" w:tplc="040C001B" w:tentative="1">
      <w:start w:val="1"/>
      <w:numFmt w:val="lowerRoman"/>
      <w:lvlText w:val="%9."/>
      <w:lvlJc w:val="right"/>
      <w:pPr>
        <w:ind w:left="6837" w:hanging="180"/>
      </w:pPr>
    </w:lvl>
  </w:abstractNum>
  <w:abstractNum w:abstractNumId="76" w15:restartNumberingAfterBreak="0">
    <w:nsid w:val="2D6E0A5A"/>
    <w:multiLevelType w:val="multilevel"/>
    <w:tmpl w:val="B830B6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7" w15:restartNumberingAfterBreak="0">
    <w:nsid w:val="2E855031"/>
    <w:multiLevelType w:val="hybridMultilevel"/>
    <w:tmpl w:val="1D20A338"/>
    <w:lvl w:ilvl="0" w:tplc="7ED667F0">
      <w:start w:val="1"/>
      <w:numFmt w:val="upperRoman"/>
      <w:pStyle w:val="Titre0"/>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8" w15:restartNumberingAfterBreak="0">
    <w:nsid w:val="2ED6021E"/>
    <w:multiLevelType w:val="hybridMultilevel"/>
    <w:tmpl w:val="92CC2596"/>
    <w:lvl w:ilvl="0" w:tplc="713C9724">
      <w:start w:val="1"/>
      <w:numFmt w:val="bullet"/>
      <w:pStyle w:val="Style11"/>
      <w:lvlText w:val=""/>
      <w:lvlJc w:val="left"/>
      <w:pPr>
        <w:ind w:left="720" w:hanging="360"/>
      </w:pPr>
      <w:rPr>
        <w:rFonts w:ascii="Wingdings" w:hAnsi="Wingdings" w:hint="default"/>
      </w:rPr>
    </w:lvl>
    <w:lvl w:ilvl="1" w:tplc="380C0003" w:tentative="1">
      <w:start w:val="1"/>
      <w:numFmt w:val="bullet"/>
      <w:lvlText w:val="o"/>
      <w:lvlJc w:val="left"/>
      <w:pPr>
        <w:ind w:left="1440" w:hanging="360"/>
      </w:pPr>
      <w:rPr>
        <w:rFonts w:ascii="Courier New" w:hAnsi="Courier New" w:cs="Courier New" w:hint="default"/>
      </w:rPr>
    </w:lvl>
    <w:lvl w:ilvl="2" w:tplc="380C0005" w:tentative="1">
      <w:start w:val="1"/>
      <w:numFmt w:val="bullet"/>
      <w:lvlText w:val=""/>
      <w:lvlJc w:val="left"/>
      <w:pPr>
        <w:ind w:left="2160" w:hanging="360"/>
      </w:pPr>
      <w:rPr>
        <w:rFonts w:ascii="Wingdings" w:hAnsi="Wingdings" w:hint="default"/>
      </w:rPr>
    </w:lvl>
    <w:lvl w:ilvl="3" w:tplc="380C0001" w:tentative="1">
      <w:start w:val="1"/>
      <w:numFmt w:val="bullet"/>
      <w:lvlText w:val=""/>
      <w:lvlJc w:val="left"/>
      <w:pPr>
        <w:ind w:left="2880" w:hanging="360"/>
      </w:pPr>
      <w:rPr>
        <w:rFonts w:ascii="Symbol" w:hAnsi="Symbol" w:hint="default"/>
      </w:rPr>
    </w:lvl>
    <w:lvl w:ilvl="4" w:tplc="380C0003" w:tentative="1">
      <w:start w:val="1"/>
      <w:numFmt w:val="bullet"/>
      <w:lvlText w:val="o"/>
      <w:lvlJc w:val="left"/>
      <w:pPr>
        <w:ind w:left="3600" w:hanging="360"/>
      </w:pPr>
      <w:rPr>
        <w:rFonts w:ascii="Courier New" w:hAnsi="Courier New" w:cs="Courier New" w:hint="default"/>
      </w:rPr>
    </w:lvl>
    <w:lvl w:ilvl="5" w:tplc="380C0005" w:tentative="1">
      <w:start w:val="1"/>
      <w:numFmt w:val="bullet"/>
      <w:lvlText w:val=""/>
      <w:lvlJc w:val="left"/>
      <w:pPr>
        <w:ind w:left="4320" w:hanging="360"/>
      </w:pPr>
      <w:rPr>
        <w:rFonts w:ascii="Wingdings" w:hAnsi="Wingdings" w:hint="default"/>
      </w:rPr>
    </w:lvl>
    <w:lvl w:ilvl="6" w:tplc="380C0001" w:tentative="1">
      <w:start w:val="1"/>
      <w:numFmt w:val="bullet"/>
      <w:lvlText w:val=""/>
      <w:lvlJc w:val="left"/>
      <w:pPr>
        <w:ind w:left="5040" w:hanging="360"/>
      </w:pPr>
      <w:rPr>
        <w:rFonts w:ascii="Symbol" w:hAnsi="Symbol" w:hint="default"/>
      </w:rPr>
    </w:lvl>
    <w:lvl w:ilvl="7" w:tplc="380C0003" w:tentative="1">
      <w:start w:val="1"/>
      <w:numFmt w:val="bullet"/>
      <w:lvlText w:val="o"/>
      <w:lvlJc w:val="left"/>
      <w:pPr>
        <w:ind w:left="5760" w:hanging="360"/>
      </w:pPr>
      <w:rPr>
        <w:rFonts w:ascii="Courier New" w:hAnsi="Courier New" w:cs="Courier New" w:hint="default"/>
      </w:rPr>
    </w:lvl>
    <w:lvl w:ilvl="8" w:tplc="380C0005" w:tentative="1">
      <w:start w:val="1"/>
      <w:numFmt w:val="bullet"/>
      <w:lvlText w:val=""/>
      <w:lvlJc w:val="left"/>
      <w:pPr>
        <w:ind w:left="6480" w:hanging="360"/>
      </w:pPr>
      <w:rPr>
        <w:rFonts w:ascii="Wingdings" w:hAnsi="Wingdings" w:hint="default"/>
      </w:rPr>
    </w:lvl>
  </w:abstractNum>
  <w:abstractNum w:abstractNumId="79" w15:restartNumberingAfterBreak="0">
    <w:nsid w:val="2F2C6827"/>
    <w:multiLevelType w:val="multilevel"/>
    <w:tmpl w:val="DABA9F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0" w15:restartNumberingAfterBreak="0">
    <w:nsid w:val="2F905DBC"/>
    <w:multiLevelType w:val="hybridMultilevel"/>
    <w:tmpl w:val="84EA82C6"/>
    <w:lvl w:ilvl="0" w:tplc="393403FA">
      <w:numFmt w:val="bullet"/>
      <w:lvlText w:val="-"/>
      <w:lvlJc w:val="left"/>
      <w:pPr>
        <w:ind w:left="720" w:hanging="360"/>
      </w:pPr>
      <w:rPr>
        <w:rFonts w:ascii="Sylfaen" w:eastAsia="Sylfaen" w:hAnsi="Sylfaen" w:cs="Sylfaen" w:hint="default"/>
        <w:b/>
        <w:bCs/>
        <w:w w:val="101"/>
        <w:sz w:val="22"/>
        <w:szCs w:val="22"/>
        <w:lang w:val="fr-FR" w:eastAsia="en-US" w:bidi="ar-SA"/>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1" w15:restartNumberingAfterBreak="0">
    <w:nsid w:val="2FCA149F"/>
    <w:multiLevelType w:val="singleLevel"/>
    <w:tmpl w:val="3EDE410E"/>
    <w:lvl w:ilvl="0">
      <w:start w:val="1"/>
      <w:numFmt w:val="bullet"/>
      <w:pStyle w:val="Enumration1"/>
      <w:lvlText w:val=""/>
      <w:lvlJc w:val="left"/>
      <w:pPr>
        <w:tabs>
          <w:tab w:val="num" w:pos="360"/>
        </w:tabs>
        <w:ind w:left="284" w:hanging="284"/>
      </w:pPr>
      <w:rPr>
        <w:rFonts w:ascii="Wingdings" w:hAnsi="Wingdings" w:hint="default"/>
      </w:rPr>
    </w:lvl>
  </w:abstractNum>
  <w:abstractNum w:abstractNumId="82" w15:restartNumberingAfterBreak="0">
    <w:nsid w:val="304804C8"/>
    <w:multiLevelType w:val="hybridMultilevel"/>
    <w:tmpl w:val="09C8AEFC"/>
    <w:lvl w:ilvl="0" w:tplc="94D66C36">
      <w:start w:val="1"/>
      <w:numFmt w:val="bullet"/>
      <w:pStyle w:val="Puceniveau2"/>
      <w:lvlText w:val=""/>
      <w:lvlJc w:val="left"/>
      <w:pPr>
        <w:tabs>
          <w:tab w:val="num" w:pos="454"/>
        </w:tabs>
        <w:ind w:left="454" w:hanging="227"/>
      </w:pPr>
      <w:rPr>
        <w:rFonts w:ascii="Symbol" w:hAnsi="Symbol" w:hint="default"/>
        <w:color w:val="999999"/>
        <w:sz w:val="20"/>
      </w:rPr>
    </w:lvl>
    <w:lvl w:ilvl="1" w:tplc="AD44AC0A">
      <w:start w:val="1"/>
      <w:numFmt w:val="bullet"/>
      <w:lvlText w:val="o"/>
      <w:lvlJc w:val="left"/>
      <w:pPr>
        <w:tabs>
          <w:tab w:val="num" w:pos="1440"/>
        </w:tabs>
        <w:ind w:left="1440" w:hanging="360"/>
      </w:pPr>
      <w:rPr>
        <w:rFonts w:ascii="Courier New" w:hAnsi="Courier New" w:cs="Courier New" w:hint="default"/>
      </w:rPr>
    </w:lvl>
    <w:lvl w:ilvl="2" w:tplc="937EC9A2" w:tentative="1">
      <w:start w:val="1"/>
      <w:numFmt w:val="bullet"/>
      <w:lvlText w:val=""/>
      <w:lvlJc w:val="left"/>
      <w:pPr>
        <w:tabs>
          <w:tab w:val="num" w:pos="2160"/>
        </w:tabs>
        <w:ind w:left="2160" w:hanging="360"/>
      </w:pPr>
      <w:rPr>
        <w:rFonts w:ascii="Wingdings" w:hAnsi="Wingdings" w:hint="default"/>
      </w:rPr>
    </w:lvl>
    <w:lvl w:ilvl="3" w:tplc="02946474" w:tentative="1">
      <w:start w:val="1"/>
      <w:numFmt w:val="bullet"/>
      <w:lvlText w:val=""/>
      <w:lvlJc w:val="left"/>
      <w:pPr>
        <w:tabs>
          <w:tab w:val="num" w:pos="2880"/>
        </w:tabs>
        <w:ind w:left="2880" w:hanging="360"/>
      </w:pPr>
      <w:rPr>
        <w:rFonts w:ascii="Symbol" w:hAnsi="Symbol" w:hint="default"/>
      </w:rPr>
    </w:lvl>
    <w:lvl w:ilvl="4" w:tplc="41A232D4" w:tentative="1">
      <w:start w:val="1"/>
      <w:numFmt w:val="bullet"/>
      <w:lvlText w:val="o"/>
      <w:lvlJc w:val="left"/>
      <w:pPr>
        <w:tabs>
          <w:tab w:val="num" w:pos="3600"/>
        </w:tabs>
        <w:ind w:left="3600" w:hanging="360"/>
      </w:pPr>
      <w:rPr>
        <w:rFonts w:ascii="Courier New" w:hAnsi="Courier New" w:cs="Courier New" w:hint="default"/>
      </w:rPr>
    </w:lvl>
    <w:lvl w:ilvl="5" w:tplc="52B6991C" w:tentative="1">
      <w:start w:val="1"/>
      <w:numFmt w:val="bullet"/>
      <w:lvlText w:val=""/>
      <w:lvlJc w:val="left"/>
      <w:pPr>
        <w:tabs>
          <w:tab w:val="num" w:pos="4320"/>
        </w:tabs>
        <w:ind w:left="4320" w:hanging="360"/>
      </w:pPr>
      <w:rPr>
        <w:rFonts w:ascii="Wingdings" w:hAnsi="Wingdings" w:hint="default"/>
      </w:rPr>
    </w:lvl>
    <w:lvl w:ilvl="6" w:tplc="5F3CFCCE" w:tentative="1">
      <w:start w:val="1"/>
      <w:numFmt w:val="bullet"/>
      <w:lvlText w:val=""/>
      <w:lvlJc w:val="left"/>
      <w:pPr>
        <w:tabs>
          <w:tab w:val="num" w:pos="5040"/>
        </w:tabs>
        <w:ind w:left="5040" w:hanging="360"/>
      </w:pPr>
      <w:rPr>
        <w:rFonts w:ascii="Symbol" w:hAnsi="Symbol" w:hint="default"/>
      </w:rPr>
    </w:lvl>
    <w:lvl w:ilvl="7" w:tplc="11E28D38" w:tentative="1">
      <w:start w:val="1"/>
      <w:numFmt w:val="bullet"/>
      <w:lvlText w:val="o"/>
      <w:lvlJc w:val="left"/>
      <w:pPr>
        <w:tabs>
          <w:tab w:val="num" w:pos="5760"/>
        </w:tabs>
        <w:ind w:left="5760" w:hanging="360"/>
      </w:pPr>
      <w:rPr>
        <w:rFonts w:ascii="Courier New" w:hAnsi="Courier New" w:cs="Courier New" w:hint="default"/>
      </w:rPr>
    </w:lvl>
    <w:lvl w:ilvl="8" w:tplc="41D293EA" w:tentative="1">
      <w:start w:val="1"/>
      <w:numFmt w:val="bullet"/>
      <w:lvlText w:val=""/>
      <w:lvlJc w:val="left"/>
      <w:pPr>
        <w:tabs>
          <w:tab w:val="num" w:pos="6480"/>
        </w:tabs>
        <w:ind w:left="6480" w:hanging="360"/>
      </w:pPr>
      <w:rPr>
        <w:rFonts w:ascii="Wingdings" w:hAnsi="Wingdings" w:hint="default"/>
      </w:rPr>
    </w:lvl>
  </w:abstractNum>
  <w:abstractNum w:abstractNumId="83" w15:restartNumberingAfterBreak="0">
    <w:nsid w:val="308B7062"/>
    <w:multiLevelType w:val="multilevel"/>
    <w:tmpl w:val="4830EC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4" w15:restartNumberingAfterBreak="0">
    <w:nsid w:val="30BD0013"/>
    <w:multiLevelType w:val="multilevel"/>
    <w:tmpl w:val="061EFE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5" w15:restartNumberingAfterBreak="0">
    <w:nsid w:val="312813A6"/>
    <w:multiLevelType w:val="hybridMultilevel"/>
    <w:tmpl w:val="8BCE08AC"/>
    <w:lvl w:ilvl="0" w:tplc="EF763C48">
      <w:start w:val="1"/>
      <w:numFmt w:val="decimal"/>
      <w:pStyle w:val="Prambule"/>
      <w:lvlText w:val="1.%1"/>
      <w:lvlJc w:val="left"/>
      <w:pPr>
        <w:ind w:left="1080" w:hanging="360"/>
      </w:pPr>
      <w:rPr>
        <w:rFonts w:hint="default"/>
      </w:rPr>
    </w:lvl>
    <w:lvl w:ilvl="1" w:tplc="380C0019" w:tentative="1">
      <w:start w:val="1"/>
      <w:numFmt w:val="lowerLetter"/>
      <w:lvlText w:val="%2."/>
      <w:lvlJc w:val="left"/>
      <w:pPr>
        <w:ind w:left="1800" w:hanging="360"/>
      </w:pPr>
    </w:lvl>
    <w:lvl w:ilvl="2" w:tplc="380C001B" w:tentative="1">
      <w:start w:val="1"/>
      <w:numFmt w:val="lowerRoman"/>
      <w:lvlText w:val="%3."/>
      <w:lvlJc w:val="right"/>
      <w:pPr>
        <w:ind w:left="2520" w:hanging="180"/>
      </w:pPr>
    </w:lvl>
    <w:lvl w:ilvl="3" w:tplc="380C000F" w:tentative="1">
      <w:start w:val="1"/>
      <w:numFmt w:val="decimal"/>
      <w:lvlText w:val="%4."/>
      <w:lvlJc w:val="left"/>
      <w:pPr>
        <w:ind w:left="3240" w:hanging="360"/>
      </w:pPr>
    </w:lvl>
    <w:lvl w:ilvl="4" w:tplc="380C0019" w:tentative="1">
      <w:start w:val="1"/>
      <w:numFmt w:val="lowerLetter"/>
      <w:lvlText w:val="%5."/>
      <w:lvlJc w:val="left"/>
      <w:pPr>
        <w:ind w:left="3960" w:hanging="360"/>
      </w:pPr>
    </w:lvl>
    <w:lvl w:ilvl="5" w:tplc="380C001B" w:tentative="1">
      <w:start w:val="1"/>
      <w:numFmt w:val="lowerRoman"/>
      <w:lvlText w:val="%6."/>
      <w:lvlJc w:val="right"/>
      <w:pPr>
        <w:ind w:left="4680" w:hanging="180"/>
      </w:pPr>
    </w:lvl>
    <w:lvl w:ilvl="6" w:tplc="380C000F" w:tentative="1">
      <w:start w:val="1"/>
      <w:numFmt w:val="decimal"/>
      <w:lvlText w:val="%7."/>
      <w:lvlJc w:val="left"/>
      <w:pPr>
        <w:ind w:left="5400" w:hanging="360"/>
      </w:pPr>
    </w:lvl>
    <w:lvl w:ilvl="7" w:tplc="380C0019" w:tentative="1">
      <w:start w:val="1"/>
      <w:numFmt w:val="lowerLetter"/>
      <w:lvlText w:val="%8."/>
      <w:lvlJc w:val="left"/>
      <w:pPr>
        <w:ind w:left="6120" w:hanging="360"/>
      </w:pPr>
    </w:lvl>
    <w:lvl w:ilvl="8" w:tplc="380C001B" w:tentative="1">
      <w:start w:val="1"/>
      <w:numFmt w:val="lowerRoman"/>
      <w:lvlText w:val="%9."/>
      <w:lvlJc w:val="right"/>
      <w:pPr>
        <w:ind w:left="6840" w:hanging="180"/>
      </w:pPr>
    </w:lvl>
  </w:abstractNum>
  <w:abstractNum w:abstractNumId="86" w15:restartNumberingAfterBreak="0">
    <w:nsid w:val="3194277B"/>
    <w:multiLevelType w:val="multilevel"/>
    <w:tmpl w:val="B19673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7" w15:restartNumberingAfterBreak="0">
    <w:nsid w:val="31F8305D"/>
    <w:multiLevelType w:val="multilevel"/>
    <w:tmpl w:val="36CCBA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8" w15:restartNumberingAfterBreak="0">
    <w:nsid w:val="32047D54"/>
    <w:multiLevelType w:val="hybridMultilevel"/>
    <w:tmpl w:val="ADCACCE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9" w15:restartNumberingAfterBreak="0">
    <w:nsid w:val="325241BA"/>
    <w:multiLevelType w:val="multilevel"/>
    <w:tmpl w:val="0AE0A0E0"/>
    <w:lvl w:ilvl="0">
      <w:start w:val="1"/>
      <w:numFmt w:val="decimal"/>
      <w:pStyle w:val="Title1"/>
      <w:lvlText w:val="%1."/>
      <w:lvlJc w:val="left"/>
      <w:pPr>
        <w:ind w:left="360" w:hanging="360"/>
      </w:pPr>
    </w:lvl>
    <w:lvl w:ilvl="1">
      <w:start w:val="1"/>
      <w:numFmt w:val="decimal"/>
      <w:pStyle w:val="Title2"/>
      <w:lvlText w:val="%1.%2."/>
      <w:lvlJc w:val="left"/>
      <w:pPr>
        <w:ind w:left="574" w:hanging="432"/>
      </w:pPr>
    </w:lvl>
    <w:lvl w:ilvl="2">
      <w:start w:val="1"/>
      <w:numFmt w:val="decimal"/>
      <w:pStyle w:val="Title3"/>
      <w:lvlText w:val="%1.%2.%3."/>
      <w:lvlJc w:val="left"/>
      <w:pPr>
        <w:ind w:left="1214" w:hanging="504"/>
      </w:pPr>
    </w:lvl>
    <w:lvl w:ilvl="3">
      <w:start w:val="1"/>
      <w:numFmt w:val="decimal"/>
      <w:pStyle w:val="Title4"/>
      <w:lvlText w:val="%1.%2.%3.%4."/>
      <w:lvlJc w:val="left"/>
      <w:pPr>
        <w:ind w:left="1498" w:hanging="648"/>
      </w:pPr>
    </w:lvl>
    <w:lvl w:ilvl="4">
      <w:start w:val="1"/>
      <w:numFmt w:val="decimal"/>
      <w:pStyle w:val="Title5"/>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0" w15:restartNumberingAfterBreak="0">
    <w:nsid w:val="32552970"/>
    <w:multiLevelType w:val="multilevel"/>
    <w:tmpl w:val="D10410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1" w15:restartNumberingAfterBreak="0">
    <w:nsid w:val="33824579"/>
    <w:multiLevelType w:val="hybridMultilevel"/>
    <w:tmpl w:val="0A5A5982"/>
    <w:lvl w:ilvl="0" w:tplc="59905648">
      <w:start w:val="1"/>
      <w:numFmt w:val="bullet"/>
      <w:pStyle w:val="bullets"/>
      <w:lvlText w:val=""/>
      <w:lvlJc w:val="left"/>
      <w:pPr>
        <w:ind w:left="720" w:hanging="360"/>
      </w:pPr>
      <w:rPr>
        <w:rFonts w:ascii="Symbol" w:hAnsi="Symbol" w:hint="default"/>
        <w:color w:val="000000" w:themeColor="text1"/>
        <w:sz w:val="20"/>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2" w15:restartNumberingAfterBreak="0">
    <w:nsid w:val="345673D7"/>
    <w:multiLevelType w:val="hybridMultilevel"/>
    <w:tmpl w:val="A832211C"/>
    <w:lvl w:ilvl="0" w:tplc="BD782012">
      <w:numFmt w:val="bullet"/>
      <w:pStyle w:val="Listenumros4"/>
      <w:lvlText w:val=""/>
      <w:lvlJc w:val="left"/>
      <w:pPr>
        <w:ind w:left="720" w:hanging="360"/>
      </w:pPr>
      <w:rPr>
        <w:rFonts w:ascii="Wingdings" w:eastAsia="Times New Roman" w:hAnsi="Wingdings" w:cs="Arial" w:hint="default"/>
      </w:rPr>
    </w:lvl>
    <w:lvl w:ilvl="1" w:tplc="380C0003" w:tentative="1">
      <w:start w:val="1"/>
      <w:numFmt w:val="bullet"/>
      <w:lvlText w:val="o"/>
      <w:lvlJc w:val="left"/>
      <w:pPr>
        <w:ind w:left="1440" w:hanging="360"/>
      </w:pPr>
      <w:rPr>
        <w:rFonts w:ascii="Courier New" w:hAnsi="Courier New" w:cs="Courier New" w:hint="default"/>
      </w:rPr>
    </w:lvl>
    <w:lvl w:ilvl="2" w:tplc="380C0005" w:tentative="1">
      <w:start w:val="1"/>
      <w:numFmt w:val="bullet"/>
      <w:lvlText w:val=""/>
      <w:lvlJc w:val="left"/>
      <w:pPr>
        <w:ind w:left="2160" w:hanging="360"/>
      </w:pPr>
      <w:rPr>
        <w:rFonts w:ascii="Wingdings" w:hAnsi="Wingdings" w:hint="default"/>
      </w:rPr>
    </w:lvl>
    <w:lvl w:ilvl="3" w:tplc="380C0001" w:tentative="1">
      <w:start w:val="1"/>
      <w:numFmt w:val="bullet"/>
      <w:lvlText w:val=""/>
      <w:lvlJc w:val="left"/>
      <w:pPr>
        <w:ind w:left="2880" w:hanging="360"/>
      </w:pPr>
      <w:rPr>
        <w:rFonts w:ascii="Symbol" w:hAnsi="Symbol" w:hint="default"/>
      </w:rPr>
    </w:lvl>
    <w:lvl w:ilvl="4" w:tplc="380C0003" w:tentative="1">
      <w:start w:val="1"/>
      <w:numFmt w:val="bullet"/>
      <w:lvlText w:val="o"/>
      <w:lvlJc w:val="left"/>
      <w:pPr>
        <w:ind w:left="3600" w:hanging="360"/>
      </w:pPr>
      <w:rPr>
        <w:rFonts w:ascii="Courier New" w:hAnsi="Courier New" w:cs="Courier New" w:hint="default"/>
      </w:rPr>
    </w:lvl>
    <w:lvl w:ilvl="5" w:tplc="380C0005" w:tentative="1">
      <w:start w:val="1"/>
      <w:numFmt w:val="bullet"/>
      <w:lvlText w:val=""/>
      <w:lvlJc w:val="left"/>
      <w:pPr>
        <w:ind w:left="4320" w:hanging="360"/>
      </w:pPr>
      <w:rPr>
        <w:rFonts w:ascii="Wingdings" w:hAnsi="Wingdings" w:hint="default"/>
      </w:rPr>
    </w:lvl>
    <w:lvl w:ilvl="6" w:tplc="380C0001" w:tentative="1">
      <w:start w:val="1"/>
      <w:numFmt w:val="bullet"/>
      <w:lvlText w:val=""/>
      <w:lvlJc w:val="left"/>
      <w:pPr>
        <w:ind w:left="5040" w:hanging="360"/>
      </w:pPr>
      <w:rPr>
        <w:rFonts w:ascii="Symbol" w:hAnsi="Symbol" w:hint="default"/>
      </w:rPr>
    </w:lvl>
    <w:lvl w:ilvl="7" w:tplc="380C0003" w:tentative="1">
      <w:start w:val="1"/>
      <w:numFmt w:val="bullet"/>
      <w:lvlText w:val="o"/>
      <w:lvlJc w:val="left"/>
      <w:pPr>
        <w:ind w:left="5760" w:hanging="360"/>
      </w:pPr>
      <w:rPr>
        <w:rFonts w:ascii="Courier New" w:hAnsi="Courier New" w:cs="Courier New" w:hint="default"/>
      </w:rPr>
    </w:lvl>
    <w:lvl w:ilvl="8" w:tplc="380C0005" w:tentative="1">
      <w:start w:val="1"/>
      <w:numFmt w:val="bullet"/>
      <w:lvlText w:val=""/>
      <w:lvlJc w:val="left"/>
      <w:pPr>
        <w:ind w:left="6480" w:hanging="360"/>
      </w:pPr>
      <w:rPr>
        <w:rFonts w:ascii="Wingdings" w:hAnsi="Wingdings" w:hint="default"/>
      </w:rPr>
    </w:lvl>
  </w:abstractNum>
  <w:abstractNum w:abstractNumId="93" w15:restartNumberingAfterBreak="0">
    <w:nsid w:val="34B417FF"/>
    <w:multiLevelType w:val="multilevel"/>
    <w:tmpl w:val="800A84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4" w15:restartNumberingAfterBreak="0">
    <w:nsid w:val="34DD2F3D"/>
    <w:multiLevelType w:val="multilevel"/>
    <w:tmpl w:val="D3389D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5" w15:restartNumberingAfterBreak="0">
    <w:nsid w:val="35512D67"/>
    <w:multiLevelType w:val="hybridMultilevel"/>
    <w:tmpl w:val="156E7536"/>
    <w:lvl w:ilvl="0" w:tplc="E932B6E4">
      <w:start w:val="1"/>
      <w:numFmt w:val="bullet"/>
      <w:pStyle w:val="StyleLatinGrasPetitesmajusculesJustifiAvant12pt"/>
      <w:lvlText w:val=""/>
      <w:lvlJc w:val="left"/>
      <w:pPr>
        <w:tabs>
          <w:tab w:val="num" w:pos="720"/>
        </w:tabs>
        <w:ind w:left="720" w:hanging="360"/>
      </w:pPr>
      <w:rPr>
        <w:rFonts w:ascii="Symbol" w:hAnsi="Symbol"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96" w15:restartNumberingAfterBreak="0">
    <w:nsid w:val="35A70F6F"/>
    <w:multiLevelType w:val="hybridMultilevel"/>
    <w:tmpl w:val="72E6634E"/>
    <w:lvl w:ilvl="0" w:tplc="380C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7" w15:restartNumberingAfterBreak="0">
    <w:nsid w:val="35B050CD"/>
    <w:multiLevelType w:val="multilevel"/>
    <w:tmpl w:val="A8B6F1EC"/>
    <w:lvl w:ilvl="0">
      <w:start w:val="1"/>
      <w:numFmt w:val="bullet"/>
      <w:pStyle w:val="Puces1"/>
      <w:lvlText w:val=""/>
      <w:lvlJc w:val="left"/>
      <w:pPr>
        <w:tabs>
          <w:tab w:val="num" w:pos="1134"/>
        </w:tabs>
        <w:ind w:left="1134" w:hanging="567"/>
      </w:pPr>
      <w:rPr>
        <w:rFonts w:ascii="Wingdings" w:hAnsi="Wingdings" w:hint="default"/>
        <w:b w:val="0"/>
        <w:i w:val="0"/>
        <w:color w:val="04617B"/>
        <w:sz w:val="18"/>
      </w:rPr>
    </w:lvl>
    <w:lvl w:ilvl="1">
      <w:start w:val="1"/>
      <w:numFmt w:val="bullet"/>
      <w:pStyle w:val="Puces2"/>
      <w:lvlText w:val=""/>
      <w:lvlJc w:val="left"/>
      <w:pPr>
        <w:tabs>
          <w:tab w:val="num" w:pos="1134"/>
        </w:tabs>
        <w:ind w:left="1134" w:firstLine="0"/>
      </w:pPr>
      <w:rPr>
        <w:rFonts w:ascii="Wingdings" w:hAnsi="Wingdings" w:hint="default"/>
        <w:b w:val="0"/>
        <w:i w:val="0"/>
        <w:color w:val="04617B"/>
        <w:sz w:val="20"/>
      </w:rPr>
    </w:lvl>
    <w:lvl w:ilvl="2">
      <w:start w:val="1"/>
      <w:numFmt w:val="bullet"/>
      <w:lvlText w:val=""/>
      <w:lvlJc w:val="left"/>
      <w:pPr>
        <w:tabs>
          <w:tab w:val="num" w:pos="2268"/>
        </w:tabs>
        <w:ind w:left="2268" w:hanging="567"/>
      </w:pPr>
      <w:rPr>
        <w:rFonts w:ascii="Wingdings" w:hAnsi="Wingdings" w:hint="default"/>
        <w:color w:val="04617B"/>
      </w:rPr>
    </w:lvl>
    <w:lvl w:ilvl="3">
      <w:start w:val="1"/>
      <w:numFmt w:val="bullet"/>
      <w:lvlText w:val=""/>
      <w:lvlJc w:val="left"/>
      <w:pPr>
        <w:tabs>
          <w:tab w:val="num" w:pos="2835"/>
        </w:tabs>
        <w:ind w:left="2835" w:hanging="567"/>
      </w:pPr>
      <w:rPr>
        <w:rFonts w:ascii="Symbol" w:hAnsi="Symbol" w:hint="default"/>
      </w:rPr>
    </w:lvl>
    <w:lvl w:ilvl="4">
      <w:start w:val="1"/>
      <w:numFmt w:val="bullet"/>
      <w:lvlText w:val="o"/>
      <w:lvlJc w:val="left"/>
      <w:pPr>
        <w:tabs>
          <w:tab w:val="num" w:pos="3402"/>
        </w:tabs>
        <w:ind w:left="3402" w:hanging="567"/>
      </w:pPr>
      <w:rPr>
        <w:rFonts w:ascii="Courier New" w:hAnsi="Courier New" w:cs="Courier New" w:hint="default"/>
      </w:rPr>
    </w:lvl>
    <w:lvl w:ilvl="5">
      <w:start w:val="1"/>
      <w:numFmt w:val="bullet"/>
      <w:lvlText w:val=""/>
      <w:lvlJc w:val="left"/>
      <w:pPr>
        <w:tabs>
          <w:tab w:val="num" w:pos="3969"/>
        </w:tabs>
        <w:ind w:left="3969" w:hanging="567"/>
      </w:pPr>
      <w:rPr>
        <w:rFonts w:ascii="Wingdings" w:hAnsi="Wingdings" w:hint="default"/>
      </w:rPr>
    </w:lvl>
    <w:lvl w:ilvl="6">
      <w:start w:val="1"/>
      <w:numFmt w:val="bullet"/>
      <w:lvlText w:val=""/>
      <w:lvlJc w:val="left"/>
      <w:pPr>
        <w:tabs>
          <w:tab w:val="num" w:pos="4536"/>
        </w:tabs>
        <w:ind w:left="4536" w:hanging="567"/>
      </w:pPr>
      <w:rPr>
        <w:rFonts w:ascii="Symbol" w:hAnsi="Symbol" w:hint="default"/>
      </w:rPr>
    </w:lvl>
    <w:lvl w:ilvl="7">
      <w:start w:val="1"/>
      <w:numFmt w:val="bullet"/>
      <w:lvlText w:val="o"/>
      <w:lvlJc w:val="left"/>
      <w:pPr>
        <w:tabs>
          <w:tab w:val="num" w:pos="5103"/>
        </w:tabs>
        <w:ind w:left="5103" w:hanging="567"/>
      </w:pPr>
      <w:rPr>
        <w:rFonts w:ascii="Courier New" w:hAnsi="Courier New" w:cs="Courier New" w:hint="default"/>
      </w:rPr>
    </w:lvl>
    <w:lvl w:ilvl="8">
      <w:start w:val="1"/>
      <w:numFmt w:val="bullet"/>
      <w:lvlText w:val=""/>
      <w:lvlJc w:val="left"/>
      <w:pPr>
        <w:tabs>
          <w:tab w:val="num" w:pos="5670"/>
        </w:tabs>
        <w:ind w:left="5670" w:hanging="567"/>
      </w:pPr>
      <w:rPr>
        <w:rFonts w:ascii="Wingdings" w:hAnsi="Wingdings" w:hint="default"/>
      </w:rPr>
    </w:lvl>
  </w:abstractNum>
  <w:abstractNum w:abstractNumId="98" w15:restartNumberingAfterBreak="0">
    <w:nsid w:val="366A4D58"/>
    <w:multiLevelType w:val="hybridMultilevel"/>
    <w:tmpl w:val="2ECEDF66"/>
    <w:lvl w:ilvl="0" w:tplc="FC004B2C">
      <w:start w:val="12"/>
      <w:numFmt w:val="bullet"/>
      <w:lvlText w:val=""/>
      <w:lvlJc w:val="left"/>
      <w:pPr>
        <w:ind w:left="720" w:hanging="360"/>
      </w:pPr>
      <w:rPr>
        <w:rFonts w:ascii="Wingdings" w:eastAsia="Times New Roman" w:hAnsi="Wingdings" w:cs="Arial" w:hint="default"/>
      </w:rPr>
    </w:lvl>
    <w:lvl w:ilvl="1" w:tplc="380C0003" w:tentative="1">
      <w:start w:val="1"/>
      <w:numFmt w:val="bullet"/>
      <w:lvlText w:val="o"/>
      <w:lvlJc w:val="left"/>
      <w:pPr>
        <w:ind w:left="1440" w:hanging="360"/>
      </w:pPr>
      <w:rPr>
        <w:rFonts w:ascii="Courier New" w:hAnsi="Courier New" w:cs="Courier New" w:hint="default"/>
      </w:rPr>
    </w:lvl>
    <w:lvl w:ilvl="2" w:tplc="380C0005" w:tentative="1">
      <w:start w:val="1"/>
      <w:numFmt w:val="bullet"/>
      <w:lvlText w:val=""/>
      <w:lvlJc w:val="left"/>
      <w:pPr>
        <w:ind w:left="2160" w:hanging="360"/>
      </w:pPr>
      <w:rPr>
        <w:rFonts w:ascii="Wingdings" w:hAnsi="Wingdings" w:hint="default"/>
      </w:rPr>
    </w:lvl>
    <w:lvl w:ilvl="3" w:tplc="380C0001" w:tentative="1">
      <w:start w:val="1"/>
      <w:numFmt w:val="bullet"/>
      <w:lvlText w:val=""/>
      <w:lvlJc w:val="left"/>
      <w:pPr>
        <w:ind w:left="2880" w:hanging="360"/>
      </w:pPr>
      <w:rPr>
        <w:rFonts w:ascii="Symbol" w:hAnsi="Symbol" w:hint="default"/>
      </w:rPr>
    </w:lvl>
    <w:lvl w:ilvl="4" w:tplc="380C0003" w:tentative="1">
      <w:start w:val="1"/>
      <w:numFmt w:val="bullet"/>
      <w:lvlText w:val="o"/>
      <w:lvlJc w:val="left"/>
      <w:pPr>
        <w:ind w:left="3600" w:hanging="360"/>
      </w:pPr>
      <w:rPr>
        <w:rFonts w:ascii="Courier New" w:hAnsi="Courier New" w:cs="Courier New" w:hint="default"/>
      </w:rPr>
    </w:lvl>
    <w:lvl w:ilvl="5" w:tplc="380C0005" w:tentative="1">
      <w:start w:val="1"/>
      <w:numFmt w:val="bullet"/>
      <w:lvlText w:val=""/>
      <w:lvlJc w:val="left"/>
      <w:pPr>
        <w:ind w:left="4320" w:hanging="360"/>
      </w:pPr>
      <w:rPr>
        <w:rFonts w:ascii="Wingdings" w:hAnsi="Wingdings" w:hint="default"/>
      </w:rPr>
    </w:lvl>
    <w:lvl w:ilvl="6" w:tplc="380C0001" w:tentative="1">
      <w:start w:val="1"/>
      <w:numFmt w:val="bullet"/>
      <w:lvlText w:val=""/>
      <w:lvlJc w:val="left"/>
      <w:pPr>
        <w:ind w:left="5040" w:hanging="360"/>
      </w:pPr>
      <w:rPr>
        <w:rFonts w:ascii="Symbol" w:hAnsi="Symbol" w:hint="default"/>
      </w:rPr>
    </w:lvl>
    <w:lvl w:ilvl="7" w:tplc="380C0003" w:tentative="1">
      <w:start w:val="1"/>
      <w:numFmt w:val="bullet"/>
      <w:lvlText w:val="o"/>
      <w:lvlJc w:val="left"/>
      <w:pPr>
        <w:ind w:left="5760" w:hanging="360"/>
      </w:pPr>
      <w:rPr>
        <w:rFonts w:ascii="Courier New" w:hAnsi="Courier New" w:cs="Courier New" w:hint="default"/>
      </w:rPr>
    </w:lvl>
    <w:lvl w:ilvl="8" w:tplc="380C0005" w:tentative="1">
      <w:start w:val="1"/>
      <w:numFmt w:val="bullet"/>
      <w:lvlText w:val=""/>
      <w:lvlJc w:val="left"/>
      <w:pPr>
        <w:ind w:left="6480" w:hanging="360"/>
      </w:pPr>
      <w:rPr>
        <w:rFonts w:ascii="Wingdings" w:hAnsi="Wingdings" w:hint="default"/>
      </w:rPr>
    </w:lvl>
  </w:abstractNum>
  <w:abstractNum w:abstractNumId="99" w15:restartNumberingAfterBreak="0">
    <w:nsid w:val="36A87ABF"/>
    <w:multiLevelType w:val="hybridMultilevel"/>
    <w:tmpl w:val="7D8A8D24"/>
    <w:lvl w:ilvl="0" w:tplc="67ACAD02">
      <w:numFmt w:val="bullet"/>
      <w:lvlText w:val="-"/>
      <w:lvlJc w:val="left"/>
      <w:pPr>
        <w:ind w:left="720" w:hanging="360"/>
      </w:pPr>
      <w:rPr>
        <w:rFonts w:ascii="Arial" w:eastAsia="Arial" w:hAnsi="Arial" w:cs="Arial" w:hint="default"/>
        <w:b w:val="0"/>
        <w:bCs w:val="0"/>
        <w:i w:val="0"/>
        <w:iCs w:val="0"/>
        <w:spacing w:val="0"/>
        <w:w w:val="100"/>
        <w:sz w:val="22"/>
        <w:szCs w:val="22"/>
        <w:lang w:val="fr-FR" w:eastAsia="en-US" w:bidi="ar-SA"/>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0" w15:restartNumberingAfterBreak="0">
    <w:nsid w:val="36CA128D"/>
    <w:multiLevelType w:val="multilevel"/>
    <w:tmpl w:val="DF5A3B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1" w15:restartNumberingAfterBreak="0">
    <w:nsid w:val="36FD45C4"/>
    <w:multiLevelType w:val="hybridMultilevel"/>
    <w:tmpl w:val="751AE89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2" w15:restartNumberingAfterBreak="0">
    <w:nsid w:val="37EB00EA"/>
    <w:multiLevelType w:val="hybridMultilevel"/>
    <w:tmpl w:val="A29263A6"/>
    <w:lvl w:ilvl="0" w:tplc="67ACAD02">
      <w:numFmt w:val="bullet"/>
      <w:lvlText w:val="-"/>
      <w:lvlJc w:val="left"/>
      <w:pPr>
        <w:ind w:left="831" w:hanging="360"/>
      </w:pPr>
      <w:rPr>
        <w:rFonts w:ascii="Arial" w:eastAsia="Arial" w:hAnsi="Arial" w:cs="Arial" w:hint="default"/>
        <w:b w:val="0"/>
        <w:bCs w:val="0"/>
        <w:i w:val="0"/>
        <w:iCs w:val="0"/>
        <w:spacing w:val="0"/>
        <w:w w:val="100"/>
        <w:sz w:val="22"/>
        <w:szCs w:val="22"/>
        <w:lang w:val="fr-FR" w:eastAsia="en-US" w:bidi="ar-SA"/>
      </w:rPr>
    </w:lvl>
    <w:lvl w:ilvl="1" w:tplc="380C0003" w:tentative="1">
      <w:start w:val="1"/>
      <w:numFmt w:val="bullet"/>
      <w:lvlText w:val="o"/>
      <w:lvlJc w:val="left"/>
      <w:pPr>
        <w:ind w:left="1551" w:hanging="360"/>
      </w:pPr>
      <w:rPr>
        <w:rFonts w:ascii="Courier New" w:hAnsi="Courier New" w:cs="Courier New" w:hint="default"/>
      </w:rPr>
    </w:lvl>
    <w:lvl w:ilvl="2" w:tplc="380C0005" w:tentative="1">
      <w:start w:val="1"/>
      <w:numFmt w:val="bullet"/>
      <w:lvlText w:val=""/>
      <w:lvlJc w:val="left"/>
      <w:pPr>
        <w:ind w:left="2271" w:hanging="360"/>
      </w:pPr>
      <w:rPr>
        <w:rFonts w:ascii="Wingdings" w:hAnsi="Wingdings" w:hint="default"/>
      </w:rPr>
    </w:lvl>
    <w:lvl w:ilvl="3" w:tplc="380C0001" w:tentative="1">
      <w:start w:val="1"/>
      <w:numFmt w:val="bullet"/>
      <w:lvlText w:val=""/>
      <w:lvlJc w:val="left"/>
      <w:pPr>
        <w:ind w:left="2991" w:hanging="360"/>
      </w:pPr>
      <w:rPr>
        <w:rFonts w:ascii="Symbol" w:hAnsi="Symbol" w:hint="default"/>
      </w:rPr>
    </w:lvl>
    <w:lvl w:ilvl="4" w:tplc="380C0003" w:tentative="1">
      <w:start w:val="1"/>
      <w:numFmt w:val="bullet"/>
      <w:lvlText w:val="o"/>
      <w:lvlJc w:val="left"/>
      <w:pPr>
        <w:ind w:left="3711" w:hanging="360"/>
      </w:pPr>
      <w:rPr>
        <w:rFonts w:ascii="Courier New" w:hAnsi="Courier New" w:cs="Courier New" w:hint="default"/>
      </w:rPr>
    </w:lvl>
    <w:lvl w:ilvl="5" w:tplc="380C0005" w:tentative="1">
      <w:start w:val="1"/>
      <w:numFmt w:val="bullet"/>
      <w:lvlText w:val=""/>
      <w:lvlJc w:val="left"/>
      <w:pPr>
        <w:ind w:left="4431" w:hanging="360"/>
      </w:pPr>
      <w:rPr>
        <w:rFonts w:ascii="Wingdings" w:hAnsi="Wingdings" w:hint="default"/>
      </w:rPr>
    </w:lvl>
    <w:lvl w:ilvl="6" w:tplc="380C0001" w:tentative="1">
      <w:start w:val="1"/>
      <w:numFmt w:val="bullet"/>
      <w:lvlText w:val=""/>
      <w:lvlJc w:val="left"/>
      <w:pPr>
        <w:ind w:left="5151" w:hanging="360"/>
      </w:pPr>
      <w:rPr>
        <w:rFonts w:ascii="Symbol" w:hAnsi="Symbol" w:hint="default"/>
      </w:rPr>
    </w:lvl>
    <w:lvl w:ilvl="7" w:tplc="380C0003" w:tentative="1">
      <w:start w:val="1"/>
      <w:numFmt w:val="bullet"/>
      <w:lvlText w:val="o"/>
      <w:lvlJc w:val="left"/>
      <w:pPr>
        <w:ind w:left="5871" w:hanging="360"/>
      </w:pPr>
      <w:rPr>
        <w:rFonts w:ascii="Courier New" w:hAnsi="Courier New" w:cs="Courier New" w:hint="default"/>
      </w:rPr>
    </w:lvl>
    <w:lvl w:ilvl="8" w:tplc="380C0005" w:tentative="1">
      <w:start w:val="1"/>
      <w:numFmt w:val="bullet"/>
      <w:lvlText w:val=""/>
      <w:lvlJc w:val="left"/>
      <w:pPr>
        <w:ind w:left="6591" w:hanging="360"/>
      </w:pPr>
      <w:rPr>
        <w:rFonts w:ascii="Wingdings" w:hAnsi="Wingdings" w:hint="default"/>
      </w:rPr>
    </w:lvl>
  </w:abstractNum>
  <w:abstractNum w:abstractNumId="103" w15:restartNumberingAfterBreak="0">
    <w:nsid w:val="38850463"/>
    <w:multiLevelType w:val="hybridMultilevel"/>
    <w:tmpl w:val="20FCD02A"/>
    <w:lvl w:ilvl="0" w:tplc="C02C0BDE">
      <w:start w:val="1"/>
      <w:numFmt w:val="decimal"/>
      <w:pStyle w:val="Titre2"/>
      <w:lvlText w:val="3.%1"/>
      <w:lvlJc w:val="left"/>
      <w:pPr>
        <w:ind w:left="360" w:hanging="360"/>
      </w:pPr>
      <w:rPr>
        <w:rFonts w:hint="default"/>
      </w:rPr>
    </w:lvl>
    <w:lvl w:ilvl="1" w:tplc="380C0019">
      <w:start w:val="1"/>
      <w:numFmt w:val="lowerLetter"/>
      <w:lvlText w:val="%2."/>
      <w:lvlJc w:val="left"/>
      <w:pPr>
        <w:ind w:left="1440" w:hanging="360"/>
      </w:pPr>
    </w:lvl>
    <w:lvl w:ilvl="2" w:tplc="380C001B" w:tentative="1">
      <w:start w:val="1"/>
      <w:numFmt w:val="lowerRoman"/>
      <w:lvlText w:val="%3."/>
      <w:lvlJc w:val="right"/>
      <w:pPr>
        <w:ind w:left="2160" w:hanging="180"/>
      </w:pPr>
    </w:lvl>
    <w:lvl w:ilvl="3" w:tplc="380C000F" w:tentative="1">
      <w:start w:val="1"/>
      <w:numFmt w:val="decimal"/>
      <w:lvlText w:val="%4."/>
      <w:lvlJc w:val="left"/>
      <w:pPr>
        <w:ind w:left="2880" w:hanging="360"/>
      </w:pPr>
    </w:lvl>
    <w:lvl w:ilvl="4" w:tplc="380C0019" w:tentative="1">
      <w:start w:val="1"/>
      <w:numFmt w:val="lowerLetter"/>
      <w:lvlText w:val="%5."/>
      <w:lvlJc w:val="left"/>
      <w:pPr>
        <w:ind w:left="3600" w:hanging="360"/>
      </w:pPr>
    </w:lvl>
    <w:lvl w:ilvl="5" w:tplc="380C001B" w:tentative="1">
      <w:start w:val="1"/>
      <w:numFmt w:val="lowerRoman"/>
      <w:lvlText w:val="%6."/>
      <w:lvlJc w:val="right"/>
      <w:pPr>
        <w:ind w:left="4320" w:hanging="180"/>
      </w:pPr>
    </w:lvl>
    <w:lvl w:ilvl="6" w:tplc="380C000F" w:tentative="1">
      <w:start w:val="1"/>
      <w:numFmt w:val="decimal"/>
      <w:lvlText w:val="%7."/>
      <w:lvlJc w:val="left"/>
      <w:pPr>
        <w:ind w:left="5040" w:hanging="360"/>
      </w:pPr>
    </w:lvl>
    <w:lvl w:ilvl="7" w:tplc="380C0019" w:tentative="1">
      <w:start w:val="1"/>
      <w:numFmt w:val="lowerLetter"/>
      <w:lvlText w:val="%8."/>
      <w:lvlJc w:val="left"/>
      <w:pPr>
        <w:ind w:left="5760" w:hanging="360"/>
      </w:pPr>
    </w:lvl>
    <w:lvl w:ilvl="8" w:tplc="380C001B" w:tentative="1">
      <w:start w:val="1"/>
      <w:numFmt w:val="lowerRoman"/>
      <w:lvlText w:val="%9."/>
      <w:lvlJc w:val="right"/>
      <w:pPr>
        <w:ind w:left="6480" w:hanging="180"/>
      </w:pPr>
    </w:lvl>
  </w:abstractNum>
  <w:abstractNum w:abstractNumId="104" w15:restartNumberingAfterBreak="0">
    <w:nsid w:val="38E27755"/>
    <w:multiLevelType w:val="multilevel"/>
    <w:tmpl w:val="30DA60A6"/>
    <w:styleLink w:val="EstiloEstiloConvietasEsquemanumerado"/>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05" w15:restartNumberingAfterBreak="0">
    <w:nsid w:val="38FD0A0A"/>
    <w:multiLevelType w:val="hybridMultilevel"/>
    <w:tmpl w:val="AA169A50"/>
    <w:lvl w:ilvl="0" w:tplc="67FE099C">
      <w:numFmt w:val="bullet"/>
      <w:pStyle w:val="Listepuce2"/>
      <w:lvlText w:val=""/>
      <w:lvlJc w:val="left"/>
      <w:pPr>
        <w:ind w:left="1778" w:hanging="360"/>
      </w:pPr>
      <w:rPr>
        <w:rFonts w:ascii="Symbol" w:eastAsia="Times New Roman" w:hAnsi="Symbol" w:cs="Arial" w:hint="default"/>
      </w:rPr>
    </w:lvl>
    <w:lvl w:ilvl="1" w:tplc="040C0003">
      <w:start w:val="1"/>
      <w:numFmt w:val="bullet"/>
      <w:lvlText w:val="o"/>
      <w:lvlJc w:val="left"/>
      <w:pPr>
        <w:ind w:left="2498" w:hanging="360"/>
      </w:pPr>
      <w:rPr>
        <w:rFonts w:ascii="Courier New" w:hAnsi="Courier New" w:cs="Courier New" w:hint="default"/>
      </w:rPr>
    </w:lvl>
    <w:lvl w:ilvl="2" w:tplc="040C0005" w:tentative="1">
      <w:start w:val="1"/>
      <w:numFmt w:val="bullet"/>
      <w:lvlText w:val=""/>
      <w:lvlJc w:val="left"/>
      <w:pPr>
        <w:ind w:left="3218" w:hanging="360"/>
      </w:pPr>
      <w:rPr>
        <w:rFonts w:ascii="Wingdings" w:hAnsi="Wingdings" w:hint="default"/>
      </w:rPr>
    </w:lvl>
    <w:lvl w:ilvl="3" w:tplc="040C0001" w:tentative="1">
      <w:start w:val="1"/>
      <w:numFmt w:val="bullet"/>
      <w:lvlText w:val=""/>
      <w:lvlJc w:val="left"/>
      <w:pPr>
        <w:ind w:left="3938" w:hanging="360"/>
      </w:pPr>
      <w:rPr>
        <w:rFonts w:ascii="Symbol" w:hAnsi="Symbol" w:hint="default"/>
      </w:rPr>
    </w:lvl>
    <w:lvl w:ilvl="4" w:tplc="040C0003" w:tentative="1">
      <w:start w:val="1"/>
      <w:numFmt w:val="bullet"/>
      <w:lvlText w:val="o"/>
      <w:lvlJc w:val="left"/>
      <w:pPr>
        <w:ind w:left="4658" w:hanging="360"/>
      </w:pPr>
      <w:rPr>
        <w:rFonts w:ascii="Courier New" w:hAnsi="Courier New" w:cs="Courier New" w:hint="default"/>
      </w:rPr>
    </w:lvl>
    <w:lvl w:ilvl="5" w:tplc="040C0005" w:tentative="1">
      <w:start w:val="1"/>
      <w:numFmt w:val="bullet"/>
      <w:lvlText w:val=""/>
      <w:lvlJc w:val="left"/>
      <w:pPr>
        <w:ind w:left="5378" w:hanging="360"/>
      </w:pPr>
      <w:rPr>
        <w:rFonts w:ascii="Wingdings" w:hAnsi="Wingdings" w:hint="default"/>
      </w:rPr>
    </w:lvl>
    <w:lvl w:ilvl="6" w:tplc="040C0001" w:tentative="1">
      <w:start w:val="1"/>
      <w:numFmt w:val="bullet"/>
      <w:lvlText w:val=""/>
      <w:lvlJc w:val="left"/>
      <w:pPr>
        <w:ind w:left="6098" w:hanging="360"/>
      </w:pPr>
      <w:rPr>
        <w:rFonts w:ascii="Symbol" w:hAnsi="Symbol" w:hint="default"/>
      </w:rPr>
    </w:lvl>
    <w:lvl w:ilvl="7" w:tplc="040C0003" w:tentative="1">
      <w:start w:val="1"/>
      <w:numFmt w:val="bullet"/>
      <w:lvlText w:val="o"/>
      <w:lvlJc w:val="left"/>
      <w:pPr>
        <w:ind w:left="6818" w:hanging="360"/>
      </w:pPr>
      <w:rPr>
        <w:rFonts w:ascii="Courier New" w:hAnsi="Courier New" w:cs="Courier New" w:hint="default"/>
      </w:rPr>
    </w:lvl>
    <w:lvl w:ilvl="8" w:tplc="040C0005" w:tentative="1">
      <w:start w:val="1"/>
      <w:numFmt w:val="bullet"/>
      <w:lvlText w:val=""/>
      <w:lvlJc w:val="left"/>
      <w:pPr>
        <w:ind w:left="7538" w:hanging="360"/>
      </w:pPr>
      <w:rPr>
        <w:rFonts w:ascii="Wingdings" w:hAnsi="Wingdings" w:hint="default"/>
      </w:rPr>
    </w:lvl>
  </w:abstractNum>
  <w:abstractNum w:abstractNumId="106" w15:restartNumberingAfterBreak="0">
    <w:nsid w:val="39CF7ED5"/>
    <w:multiLevelType w:val="hybridMultilevel"/>
    <w:tmpl w:val="F22E821C"/>
    <w:lvl w:ilvl="0" w:tplc="76841526">
      <w:start w:val="1"/>
      <w:numFmt w:val="upp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7" w15:restartNumberingAfterBreak="0">
    <w:nsid w:val="3AF87BD9"/>
    <w:multiLevelType w:val="hybridMultilevel"/>
    <w:tmpl w:val="4378B796"/>
    <w:lvl w:ilvl="0" w:tplc="C786EAB6">
      <w:start w:val="1"/>
      <w:numFmt w:val="bullet"/>
      <w:pStyle w:val="Retrait1"/>
      <w:lvlText w:val=""/>
      <w:lvlJc w:val="left"/>
      <w:pPr>
        <w:ind w:left="360" w:hanging="360"/>
      </w:pPr>
      <w:rPr>
        <w:rFonts w:ascii="Symbol" w:hAnsi="Symbol" w:hint="default"/>
        <w:color w:val="7030A0"/>
        <w:sz w:val="18"/>
      </w:rPr>
    </w:lvl>
    <w:lvl w:ilvl="1" w:tplc="040C0003">
      <w:start w:val="1"/>
      <w:numFmt w:val="bullet"/>
      <w:lvlText w:val="o"/>
      <w:lvlJc w:val="left"/>
      <w:pPr>
        <w:ind w:left="1080" w:hanging="360"/>
      </w:pPr>
      <w:rPr>
        <w:rFonts w:ascii="Courier New" w:hAnsi="Courier New" w:hint="default"/>
      </w:rPr>
    </w:lvl>
    <w:lvl w:ilvl="2" w:tplc="EA545F1A"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08" w15:restartNumberingAfterBreak="0">
    <w:nsid w:val="3B707519"/>
    <w:multiLevelType w:val="hybridMultilevel"/>
    <w:tmpl w:val="26A2962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9" w15:restartNumberingAfterBreak="0">
    <w:nsid w:val="3BC77AFF"/>
    <w:multiLevelType w:val="multilevel"/>
    <w:tmpl w:val="C8FCDF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0" w15:restartNumberingAfterBreak="0">
    <w:nsid w:val="3CFB2688"/>
    <w:multiLevelType w:val="multilevel"/>
    <w:tmpl w:val="B428F2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1" w15:restartNumberingAfterBreak="0">
    <w:nsid w:val="3D4C3BA0"/>
    <w:multiLevelType w:val="multilevel"/>
    <w:tmpl w:val="A992C924"/>
    <w:lvl w:ilvl="0">
      <w:start w:val="1"/>
      <w:numFmt w:val="decimal"/>
      <w:pStyle w:val="Listenumros5"/>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12" w15:restartNumberingAfterBreak="0">
    <w:nsid w:val="3D8F5DF5"/>
    <w:multiLevelType w:val="hybridMultilevel"/>
    <w:tmpl w:val="2E2E193A"/>
    <w:lvl w:ilvl="0" w:tplc="3C200166">
      <w:start w:val="1"/>
      <w:numFmt w:val="bullet"/>
      <w:pStyle w:val="Style9"/>
      <w:lvlText w:val=""/>
      <w:lvlJc w:val="left"/>
      <w:pPr>
        <w:ind w:left="1506" w:hanging="360"/>
      </w:pPr>
      <w:rPr>
        <w:rFonts w:ascii="Wingdings" w:hAnsi="Wingdings" w:hint="default"/>
      </w:rPr>
    </w:lvl>
    <w:lvl w:ilvl="1" w:tplc="04090003" w:tentative="1">
      <w:start w:val="1"/>
      <w:numFmt w:val="bullet"/>
      <w:lvlText w:val="o"/>
      <w:lvlJc w:val="left"/>
      <w:pPr>
        <w:ind w:left="2226" w:hanging="360"/>
      </w:pPr>
      <w:rPr>
        <w:rFonts w:ascii="Courier New" w:hAnsi="Courier New" w:cs="Courier New" w:hint="default"/>
      </w:rPr>
    </w:lvl>
    <w:lvl w:ilvl="2" w:tplc="04090005" w:tentative="1">
      <w:start w:val="1"/>
      <w:numFmt w:val="bullet"/>
      <w:lvlText w:val=""/>
      <w:lvlJc w:val="left"/>
      <w:pPr>
        <w:ind w:left="2946" w:hanging="360"/>
      </w:pPr>
      <w:rPr>
        <w:rFonts w:ascii="Wingdings" w:hAnsi="Wingdings" w:hint="default"/>
      </w:rPr>
    </w:lvl>
    <w:lvl w:ilvl="3" w:tplc="04090001" w:tentative="1">
      <w:start w:val="1"/>
      <w:numFmt w:val="bullet"/>
      <w:lvlText w:val=""/>
      <w:lvlJc w:val="left"/>
      <w:pPr>
        <w:ind w:left="3666" w:hanging="360"/>
      </w:pPr>
      <w:rPr>
        <w:rFonts w:ascii="Symbol" w:hAnsi="Symbol" w:hint="default"/>
      </w:rPr>
    </w:lvl>
    <w:lvl w:ilvl="4" w:tplc="04090003" w:tentative="1">
      <w:start w:val="1"/>
      <w:numFmt w:val="bullet"/>
      <w:lvlText w:val="o"/>
      <w:lvlJc w:val="left"/>
      <w:pPr>
        <w:ind w:left="4386" w:hanging="360"/>
      </w:pPr>
      <w:rPr>
        <w:rFonts w:ascii="Courier New" w:hAnsi="Courier New" w:cs="Courier New" w:hint="default"/>
      </w:rPr>
    </w:lvl>
    <w:lvl w:ilvl="5" w:tplc="04090005" w:tentative="1">
      <w:start w:val="1"/>
      <w:numFmt w:val="bullet"/>
      <w:lvlText w:val=""/>
      <w:lvlJc w:val="left"/>
      <w:pPr>
        <w:ind w:left="5106" w:hanging="360"/>
      </w:pPr>
      <w:rPr>
        <w:rFonts w:ascii="Wingdings" w:hAnsi="Wingdings" w:hint="default"/>
      </w:rPr>
    </w:lvl>
    <w:lvl w:ilvl="6" w:tplc="04090001" w:tentative="1">
      <w:start w:val="1"/>
      <w:numFmt w:val="bullet"/>
      <w:lvlText w:val=""/>
      <w:lvlJc w:val="left"/>
      <w:pPr>
        <w:ind w:left="5826" w:hanging="360"/>
      </w:pPr>
      <w:rPr>
        <w:rFonts w:ascii="Symbol" w:hAnsi="Symbol" w:hint="default"/>
      </w:rPr>
    </w:lvl>
    <w:lvl w:ilvl="7" w:tplc="04090003" w:tentative="1">
      <w:start w:val="1"/>
      <w:numFmt w:val="bullet"/>
      <w:lvlText w:val="o"/>
      <w:lvlJc w:val="left"/>
      <w:pPr>
        <w:ind w:left="6546" w:hanging="360"/>
      </w:pPr>
      <w:rPr>
        <w:rFonts w:ascii="Courier New" w:hAnsi="Courier New" w:cs="Courier New" w:hint="default"/>
      </w:rPr>
    </w:lvl>
    <w:lvl w:ilvl="8" w:tplc="04090005" w:tentative="1">
      <w:start w:val="1"/>
      <w:numFmt w:val="bullet"/>
      <w:lvlText w:val=""/>
      <w:lvlJc w:val="left"/>
      <w:pPr>
        <w:ind w:left="7266" w:hanging="360"/>
      </w:pPr>
      <w:rPr>
        <w:rFonts w:ascii="Wingdings" w:hAnsi="Wingdings" w:hint="default"/>
      </w:rPr>
    </w:lvl>
  </w:abstractNum>
  <w:abstractNum w:abstractNumId="113" w15:restartNumberingAfterBreak="0">
    <w:nsid w:val="3E4D627E"/>
    <w:multiLevelType w:val="multilevel"/>
    <w:tmpl w:val="B44EC3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4" w15:restartNumberingAfterBreak="0">
    <w:nsid w:val="400F4396"/>
    <w:multiLevelType w:val="multilevel"/>
    <w:tmpl w:val="1DA6C0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5" w15:restartNumberingAfterBreak="0">
    <w:nsid w:val="40D97569"/>
    <w:multiLevelType w:val="hybridMultilevel"/>
    <w:tmpl w:val="892CE4E8"/>
    <w:lvl w:ilvl="0" w:tplc="FCD29FEA">
      <w:start w:val="1"/>
      <w:numFmt w:val="decimal"/>
      <w:pStyle w:val="Textenumrotation1"/>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6" w15:restartNumberingAfterBreak="0">
    <w:nsid w:val="412B53F2"/>
    <w:multiLevelType w:val="hybridMultilevel"/>
    <w:tmpl w:val="607840DC"/>
    <w:lvl w:ilvl="0" w:tplc="380C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7" w15:restartNumberingAfterBreak="0">
    <w:nsid w:val="416E498D"/>
    <w:multiLevelType w:val="hybridMultilevel"/>
    <w:tmpl w:val="A1D6F69C"/>
    <w:lvl w:ilvl="0" w:tplc="8FE81C6C">
      <w:numFmt w:val="bullet"/>
      <w:lvlText w:val="-"/>
      <w:lvlJc w:val="left"/>
      <w:pPr>
        <w:ind w:left="720" w:hanging="360"/>
      </w:pPr>
      <w:rPr>
        <w:rFonts w:ascii="Times New Roman" w:eastAsia="Times New Roman" w:hAnsi="Times New Roman"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118" w15:restartNumberingAfterBreak="0">
    <w:nsid w:val="41C0244B"/>
    <w:multiLevelType w:val="hybridMultilevel"/>
    <w:tmpl w:val="206C550E"/>
    <w:lvl w:ilvl="0" w:tplc="19B6A72C">
      <w:start w:val="1"/>
      <w:numFmt w:val="bullet"/>
      <w:lvlText w:val=""/>
      <w:lvlJc w:val="left"/>
      <w:pPr>
        <w:ind w:left="720" w:hanging="360"/>
      </w:pPr>
      <w:rPr>
        <w:rFonts w:ascii="Wingdings" w:hAnsi="Wingdings" w:hint="default"/>
      </w:rPr>
    </w:lvl>
    <w:lvl w:ilvl="1" w:tplc="BA20051A" w:tentative="1">
      <w:start w:val="1"/>
      <w:numFmt w:val="bullet"/>
      <w:lvlText w:val="o"/>
      <w:lvlJc w:val="left"/>
      <w:pPr>
        <w:ind w:left="1440" w:hanging="360"/>
      </w:pPr>
      <w:rPr>
        <w:rFonts w:ascii="Courier New" w:hAnsi="Courier New" w:cs="Courier New" w:hint="default"/>
      </w:rPr>
    </w:lvl>
    <w:lvl w:ilvl="2" w:tplc="1E842E72" w:tentative="1">
      <w:start w:val="1"/>
      <w:numFmt w:val="bullet"/>
      <w:lvlText w:val=""/>
      <w:lvlJc w:val="left"/>
      <w:pPr>
        <w:ind w:left="2160" w:hanging="360"/>
      </w:pPr>
      <w:rPr>
        <w:rFonts w:ascii="Wingdings" w:hAnsi="Wingdings" w:hint="default"/>
      </w:rPr>
    </w:lvl>
    <w:lvl w:ilvl="3" w:tplc="390256AA" w:tentative="1">
      <w:start w:val="1"/>
      <w:numFmt w:val="bullet"/>
      <w:lvlText w:val=""/>
      <w:lvlJc w:val="left"/>
      <w:pPr>
        <w:ind w:left="2880" w:hanging="360"/>
      </w:pPr>
      <w:rPr>
        <w:rFonts w:ascii="Symbol" w:hAnsi="Symbol" w:hint="default"/>
      </w:rPr>
    </w:lvl>
    <w:lvl w:ilvl="4" w:tplc="2B302B56" w:tentative="1">
      <w:start w:val="1"/>
      <w:numFmt w:val="bullet"/>
      <w:lvlText w:val="o"/>
      <w:lvlJc w:val="left"/>
      <w:pPr>
        <w:ind w:left="3600" w:hanging="360"/>
      </w:pPr>
      <w:rPr>
        <w:rFonts w:ascii="Courier New" w:hAnsi="Courier New" w:cs="Courier New" w:hint="default"/>
      </w:rPr>
    </w:lvl>
    <w:lvl w:ilvl="5" w:tplc="0C7C6326" w:tentative="1">
      <w:start w:val="1"/>
      <w:numFmt w:val="bullet"/>
      <w:lvlText w:val=""/>
      <w:lvlJc w:val="left"/>
      <w:pPr>
        <w:ind w:left="4320" w:hanging="360"/>
      </w:pPr>
      <w:rPr>
        <w:rFonts w:ascii="Wingdings" w:hAnsi="Wingdings" w:hint="default"/>
      </w:rPr>
    </w:lvl>
    <w:lvl w:ilvl="6" w:tplc="FF0298A4" w:tentative="1">
      <w:start w:val="1"/>
      <w:numFmt w:val="bullet"/>
      <w:lvlText w:val=""/>
      <w:lvlJc w:val="left"/>
      <w:pPr>
        <w:ind w:left="5040" w:hanging="360"/>
      </w:pPr>
      <w:rPr>
        <w:rFonts w:ascii="Symbol" w:hAnsi="Symbol" w:hint="default"/>
      </w:rPr>
    </w:lvl>
    <w:lvl w:ilvl="7" w:tplc="3E4EBAD8" w:tentative="1">
      <w:start w:val="1"/>
      <w:numFmt w:val="bullet"/>
      <w:lvlText w:val="o"/>
      <w:lvlJc w:val="left"/>
      <w:pPr>
        <w:ind w:left="5760" w:hanging="360"/>
      </w:pPr>
      <w:rPr>
        <w:rFonts w:ascii="Courier New" w:hAnsi="Courier New" w:cs="Courier New" w:hint="default"/>
      </w:rPr>
    </w:lvl>
    <w:lvl w:ilvl="8" w:tplc="A34291D0" w:tentative="1">
      <w:start w:val="1"/>
      <w:numFmt w:val="bullet"/>
      <w:lvlText w:val=""/>
      <w:lvlJc w:val="left"/>
      <w:pPr>
        <w:ind w:left="6480" w:hanging="360"/>
      </w:pPr>
      <w:rPr>
        <w:rFonts w:ascii="Wingdings" w:hAnsi="Wingdings" w:hint="default"/>
      </w:rPr>
    </w:lvl>
  </w:abstractNum>
  <w:abstractNum w:abstractNumId="119" w15:restartNumberingAfterBreak="0">
    <w:nsid w:val="41FD505C"/>
    <w:multiLevelType w:val="multilevel"/>
    <w:tmpl w:val="008A1858"/>
    <w:lvl w:ilvl="0">
      <w:start w:val="1"/>
      <w:numFmt w:val="decimal"/>
      <w:lvlText w:val="%1."/>
      <w:lvlJc w:val="left"/>
      <w:pPr>
        <w:ind w:left="360" w:hanging="360"/>
      </w:pPr>
      <w:rPr>
        <w:rFonts w:hint="default"/>
      </w:rPr>
    </w:lvl>
    <w:lvl w:ilvl="1">
      <w:start w:val="1"/>
      <w:numFmt w:val="decimal"/>
      <w:pStyle w:val="Moyentitre"/>
      <w:lvlText w:val="%1.%2."/>
      <w:lvlJc w:val="left"/>
      <w:pPr>
        <w:ind w:left="792" w:hanging="432"/>
      </w:pPr>
      <w:rPr>
        <w:rFonts w:hint="default"/>
      </w:rPr>
    </w:lvl>
    <w:lvl w:ilvl="2">
      <w:start w:val="1"/>
      <w:numFmt w:val="decimal"/>
      <w:pStyle w:val="Petittitre"/>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0" w15:restartNumberingAfterBreak="0">
    <w:nsid w:val="42B96563"/>
    <w:multiLevelType w:val="multilevel"/>
    <w:tmpl w:val="938CC4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1" w15:restartNumberingAfterBreak="0">
    <w:nsid w:val="44972A77"/>
    <w:multiLevelType w:val="multilevel"/>
    <w:tmpl w:val="8B06C9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2" w15:restartNumberingAfterBreak="0">
    <w:nsid w:val="45C54F71"/>
    <w:multiLevelType w:val="multilevel"/>
    <w:tmpl w:val="DE26F8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3" w15:restartNumberingAfterBreak="0">
    <w:nsid w:val="46A45588"/>
    <w:multiLevelType w:val="multilevel"/>
    <w:tmpl w:val="F006C046"/>
    <w:lvl w:ilvl="0">
      <w:start w:val="1"/>
      <w:numFmt w:val="bullet"/>
      <w:pStyle w:val="Style1"/>
      <w:lvlText w:val=""/>
      <w:lvlJc w:val="left"/>
      <w:pPr>
        <w:ind w:left="1146" w:hanging="360"/>
      </w:pPr>
      <w:rPr>
        <w:rFonts w:ascii="Wingdings" w:hAnsi="Wingdings" w:hint="default"/>
        <w:sz w:val="22"/>
        <w:szCs w:val="28"/>
      </w:rPr>
    </w:lvl>
    <w:lvl w:ilvl="1">
      <w:start w:val="1"/>
      <w:numFmt w:val="bullet"/>
      <w:lvlText w:val="o"/>
      <w:lvlJc w:val="left"/>
      <w:pPr>
        <w:ind w:left="1866" w:hanging="360"/>
      </w:pPr>
      <w:rPr>
        <w:rFonts w:ascii="Courier New" w:hAnsi="Courier New" w:cs="Courier New" w:hint="default"/>
      </w:rPr>
    </w:lvl>
    <w:lvl w:ilvl="2">
      <w:start w:val="1"/>
      <w:numFmt w:val="bullet"/>
      <w:lvlText w:val=""/>
      <w:lvlJc w:val="left"/>
      <w:pPr>
        <w:ind w:left="2586" w:hanging="360"/>
      </w:pPr>
      <w:rPr>
        <w:rFonts w:ascii="Wingdings" w:hAnsi="Wingdings" w:hint="default"/>
      </w:rPr>
    </w:lvl>
    <w:lvl w:ilvl="3">
      <w:start w:val="1"/>
      <w:numFmt w:val="bullet"/>
      <w:lvlText w:val=""/>
      <w:lvlJc w:val="left"/>
      <w:pPr>
        <w:ind w:left="3306" w:hanging="360"/>
      </w:pPr>
      <w:rPr>
        <w:rFonts w:ascii="Symbol" w:hAnsi="Symbol" w:hint="default"/>
      </w:rPr>
    </w:lvl>
    <w:lvl w:ilvl="4">
      <w:start w:val="1"/>
      <w:numFmt w:val="bullet"/>
      <w:lvlText w:val="o"/>
      <w:lvlJc w:val="left"/>
      <w:pPr>
        <w:ind w:left="4026" w:hanging="360"/>
      </w:pPr>
      <w:rPr>
        <w:rFonts w:ascii="Courier New" w:hAnsi="Courier New" w:cs="Courier New" w:hint="default"/>
      </w:rPr>
    </w:lvl>
    <w:lvl w:ilvl="5">
      <w:start w:val="1"/>
      <w:numFmt w:val="bullet"/>
      <w:lvlText w:val=""/>
      <w:lvlJc w:val="left"/>
      <w:pPr>
        <w:ind w:left="4746" w:hanging="360"/>
      </w:pPr>
      <w:rPr>
        <w:rFonts w:ascii="Wingdings" w:hAnsi="Wingdings" w:hint="default"/>
      </w:rPr>
    </w:lvl>
    <w:lvl w:ilvl="6">
      <w:start w:val="1"/>
      <w:numFmt w:val="bullet"/>
      <w:lvlText w:val=""/>
      <w:lvlJc w:val="left"/>
      <w:pPr>
        <w:ind w:left="5466" w:hanging="360"/>
      </w:pPr>
      <w:rPr>
        <w:rFonts w:ascii="Symbol" w:hAnsi="Symbol" w:hint="default"/>
      </w:rPr>
    </w:lvl>
    <w:lvl w:ilvl="7">
      <w:start w:val="1"/>
      <w:numFmt w:val="bullet"/>
      <w:lvlText w:val="o"/>
      <w:lvlJc w:val="left"/>
      <w:pPr>
        <w:ind w:left="6186" w:hanging="360"/>
      </w:pPr>
      <w:rPr>
        <w:rFonts w:ascii="Courier New" w:hAnsi="Courier New" w:cs="Courier New" w:hint="default"/>
      </w:rPr>
    </w:lvl>
    <w:lvl w:ilvl="8">
      <w:start w:val="1"/>
      <w:numFmt w:val="bullet"/>
      <w:lvlText w:val=""/>
      <w:lvlJc w:val="left"/>
      <w:pPr>
        <w:ind w:left="6906" w:hanging="360"/>
      </w:pPr>
      <w:rPr>
        <w:rFonts w:ascii="Wingdings" w:hAnsi="Wingdings" w:hint="default"/>
      </w:rPr>
    </w:lvl>
  </w:abstractNum>
  <w:abstractNum w:abstractNumId="124" w15:restartNumberingAfterBreak="0">
    <w:nsid w:val="48065C77"/>
    <w:multiLevelType w:val="hybridMultilevel"/>
    <w:tmpl w:val="DFF68F90"/>
    <w:lvl w:ilvl="0" w:tplc="C5EA2BA6">
      <w:start w:val="1"/>
      <w:numFmt w:val="bullet"/>
      <w:pStyle w:val="ListepucesModele"/>
      <w:lvlText w:val=""/>
      <w:lvlJc w:val="left"/>
      <w:pPr>
        <w:ind w:left="927" w:hanging="360"/>
      </w:pPr>
      <w:rPr>
        <w:rFonts w:ascii="MapInfo Weather" w:hAnsi="MapInfo Weather" w:hint="default"/>
        <w:b w:val="0"/>
        <w:bCs w:val="0"/>
        <w:i w:val="0"/>
        <w:iCs w:val="0"/>
        <w:caps w:val="0"/>
        <w:strike w:val="0"/>
        <w:dstrike w:val="0"/>
        <w:vanish w:val="0"/>
        <w:color w:val="92D050"/>
        <w:spacing w:val="0"/>
        <w:kern w:val="0"/>
        <w:position w:val="0"/>
        <w:u w:val="none"/>
        <w:effect w:val="none"/>
        <w:vertAlign w:val="baseline"/>
        <w:em w:val="none"/>
      </w:rPr>
    </w:lvl>
    <w:lvl w:ilvl="1" w:tplc="F98E66AA">
      <w:start w:val="1"/>
      <w:numFmt w:val="lowerLetter"/>
      <w:lvlText w:val="%2)"/>
      <w:lvlJc w:val="left"/>
      <w:pPr>
        <w:ind w:left="1440" w:hanging="360"/>
      </w:pPr>
      <w:rPr>
        <w:rFonts w:hint="default"/>
        <w:b w:val="0"/>
        <w:bCs w:val="0"/>
        <w:i w:val="0"/>
        <w:iCs w:val="0"/>
        <w:caps w:val="0"/>
        <w:smallCaps w:val="0"/>
        <w:strike w:val="0"/>
        <w:dstrike w:val="0"/>
        <w:noProof w:val="0"/>
        <w:vanish w:val="0"/>
        <w:color w:val="92D050"/>
        <w:spacing w:val="0"/>
        <w:kern w:val="0"/>
        <w:position w:val="0"/>
        <w:u w:val="none"/>
        <w:effect w:val="none"/>
        <w:vertAlign w:val="baseline"/>
        <w:em w:val="none"/>
        <w:specVanish w:val="0"/>
      </w:rPr>
    </w:lvl>
    <w:lvl w:ilvl="2" w:tplc="1F6CBCE2" w:tentative="1">
      <w:start w:val="1"/>
      <w:numFmt w:val="bullet"/>
      <w:lvlText w:val=""/>
      <w:lvlJc w:val="left"/>
      <w:pPr>
        <w:ind w:left="2160" w:hanging="360"/>
      </w:pPr>
      <w:rPr>
        <w:rFonts w:ascii="Wingdings" w:hAnsi="Wingdings" w:hint="default"/>
      </w:rPr>
    </w:lvl>
    <w:lvl w:ilvl="3" w:tplc="E06417A4" w:tentative="1">
      <w:start w:val="1"/>
      <w:numFmt w:val="bullet"/>
      <w:lvlText w:val=""/>
      <w:lvlJc w:val="left"/>
      <w:pPr>
        <w:ind w:left="2880" w:hanging="360"/>
      </w:pPr>
      <w:rPr>
        <w:rFonts w:ascii="Symbol" w:hAnsi="Symbol" w:hint="default"/>
      </w:rPr>
    </w:lvl>
    <w:lvl w:ilvl="4" w:tplc="703E846E" w:tentative="1">
      <w:start w:val="1"/>
      <w:numFmt w:val="bullet"/>
      <w:lvlText w:val="o"/>
      <w:lvlJc w:val="left"/>
      <w:pPr>
        <w:ind w:left="3600" w:hanging="360"/>
      </w:pPr>
      <w:rPr>
        <w:rFonts w:ascii="Courier New" w:hAnsi="Courier New" w:cs="Courier New" w:hint="default"/>
      </w:rPr>
    </w:lvl>
    <w:lvl w:ilvl="5" w:tplc="EB2C748A" w:tentative="1">
      <w:start w:val="1"/>
      <w:numFmt w:val="bullet"/>
      <w:lvlText w:val=""/>
      <w:lvlJc w:val="left"/>
      <w:pPr>
        <w:ind w:left="4320" w:hanging="360"/>
      </w:pPr>
      <w:rPr>
        <w:rFonts w:ascii="Wingdings" w:hAnsi="Wingdings" w:hint="default"/>
      </w:rPr>
    </w:lvl>
    <w:lvl w:ilvl="6" w:tplc="3654B728" w:tentative="1">
      <w:start w:val="1"/>
      <w:numFmt w:val="bullet"/>
      <w:lvlText w:val=""/>
      <w:lvlJc w:val="left"/>
      <w:pPr>
        <w:ind w:left="5040" w:hanging="360"/>
      </w:pPr>
      <w:rPr>
        <w:rFonts w:ascii="Symbol" w:hAnsi="Symbol" w:hint="default"/>
      </w:rPr>
    </w:lvl>
    <w:lvl w:ilvl="7" w:tplc="FDC636BA" w:tentative="1">
      <w:start w:val="1"/>
      <w:numFmt w:val="bullet"/>
      <w:lvlText w:val="o"/>
      <w:lvlJc w:val="left"/>
      <w:pPr>
        <w:ind w:left="5760" w:hanging="360"/>
      </w:pPr>
      <w:rPr>
        <w:rFonts w:ascii="Courier New" w:hAnsi="Courier New" w:cs="Courier New" w:hint="default"/>
      </w:rPr>
    </w:lvl>
    <w:lvl w:ilvl="8" w:tplc="03124154" w:tentative="1">
      <w:start w:val="1"/>
      <w:numFmt w:val="bullet"/>
      <w:lvlText w:val=""/>
      <w:lvlJc w:val="left"/>
      <w:pPr>
        <w:ind w:left="6480" w:hanging="360"/>
      </w:pPr>
      <w:rPr>
        <w:rFonts w:ascii="Wingdings" w:hAnsi="Wingdings" w:hint="default"/>
      </w:rPr>
    </w:lvl>
  </w:abstractNum>
  <w:abstractNum w:abstractNumId="125" w15:restartNumberingAfterBreak="0">
    <w:nsid w:val="485F3A68"/>
    <w:multiLevelType w:val="hybridMultilevel"/>
    <w:tmpl w:val="C43E1940"/>
    <w:lvl w:ilvl="0" w:tplc="380C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6" w15:restartNumberingAfterBreak="0">
    <w:nsid w:val="4875623E"/>
    <w:multiLevelType w:val="multilevel"/>
    <w:tmpl w:val="7AA6C8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7" w15:restartNumberingAfterBreak="0">
    <w:nsid w:val="48CE4170"/>
    <w:multiLevelType w:val="hybridMultilevel"/>
    <w:tmpl w:val="1A1E37F8"/>
    <w:lvl w:ilvl="0" w:tplc="D54A1082">
      <w:start w:val="1"/>
      <w:numFmt w:val="bullet"/>
      <w:pStyle w:val="Listepuces30"/>
      <w:lvlText w:val="•"/>
      <w:lvlJc w:val="left"/>
      <w:pPr>
        <w:tabs>
          <w:tab w:val="num" w:pos="360"/>
        </w:tabs>
        <w:ind w:left="0" w:firstLine="0"/>
      </w:pPr>
      <w:rPr>
        <w:rFonts w:hint="default"/>
        <w:sz w:val="24"/>
      </w:rPr>
    </w:lvl>
    <w:lvl w:ilvl="1" w:tplc="A2982AC0" w:tentative="1">
      <w:start w:val="1"/>
      <w:numFmt w:val="bullet"/>
      <w:lvlText w:val="o"/>
      <w:lvlJc w:val="left"/>
      <w:pPr>
        <w:tabs>
          <w:tab w:val="num" w:pos="1440"/>
        </w:tabs>
        <w:ind w:left="1440" w:hanging="360"/>
      </w:pPr>
      <w:rPr>
        <w:rFonts w:ascii="Courier New" w:hAnsi="Courier New" w:hint="default"/>
      </w:rPr>
    </w:lvl>
    <w:lvl w:ilvl="2" w:tplc="7CFC4226" w:tentative="1">
      <w:start w:val="1"/>
      <w:numFmt w:val="bullet"/>
      <w:lvlText w:val=""/>
      <w:lvlJc w:val="left"/>
      <w:pPr>
        <w:tabs>
          <w:tab w:val="num" w:pos="2160"/>
        </w:tabs>
        <w:ind w:left="2160" w:hanging="360"/>
      </w:pPr>
      <w:rPr>
        <w:rFonts w:ascii="Wingdings" w:hAnsi="Wingdings" w:hint="default"/>
      </w:rPr>
    </w:lvl>
    <w:lvl w:ilvl="3" w:tplc="109A501A" w:tentative="1">
      <w:start w:val="1"/>
      <w:numFmt w:val="bullet"/>
      <w:lvlText w:val=""/>
      <w:lvlJc w:val="left"/>
      <w:pPr>
        <w:tabs>
          <w:tab w:val="num" w:pos="2880"/>
        </w:tabs>
        <w:ind w:left="2880" w:hanging="360"/>
      </w:pPr>
      <w:rPr>
        <w:rFonts w:ascii="Symbol" w:hAnsi="Symbol" w:hint="default"/>
      </w:rPr>
    </w:lvl>
    <w:lvl w:ilvl="4" w:tplc="78189EC4" w:tentative="1">
      <w:start w:val="1"/>
      <w:numFmt w:val="bullet"/>
      <w:lvlText w:val="o"/>
      <w:lvlJc w:val="left"/>
      <w:pPr>
        <w:tabs>
          <w:tab w:val="num" w:pos="3600"/>
        </w:tabs>
        <w:ind w:left="3600" w:hanging="360"/>
      </w:pPr>
      <w:rPr>
        <w:rFonts w:ascii="Courier New" w:hAnsi="Courier New" w:hint="default"/>
      </w:rPr>
    </w:lvl>
    <w:lvl w:ilvl="5" w:tplc="2F42474A" w:tentative="1">
      <w:start w:val="1"/>
      <w:numFmt w:val="bullet"/>
      <w:lvlText w:val=""/>
      <w:lvlJc w:val="left"/>
      <w:pPr>
        <w:tabs>
          <w:tab w:val="num" w:pos="4320"/>
        </w:tabs>
        <w:ind w:left="4320" w:hanging="360"/>
      </w:pPr>
      <w:rPr>
        <w:rFonts w:ascii="Wingdings" w:hAnsi="Wingdings" w:hint="default"/>
      </w:rPr>
    </w:lvl>
    <w:lvl w:ilvl="6" w:tplc="40986286" w:tentative="1">
      <w:start w:val="1"/>
      <w:numFmt w:val="bullet"/>
      <w:lvlText w:val=""/>
      <w:lvlJc w:val="left"/>
      <w:pPr>
        <w:tabs>
          <w:tab w:val="num" w:pos="5040"/>
        </w:tabs>
        <w:ind w:left="5040" w:hanging="360"/>
      </w:pPr>
      <w:rPr>
        <w:rFonts w:ascii="Symbol" w:hAnsi="Symbol" w:hint="default"/>
      </w:rPr>
    </w:lvl>
    <w:lvl w:ilvl="7" w:tplc="3F18E306" w:tentative="1">
      <w:start w:val="1"/>
      <w:numFmt w:val="bullet"/>
      <w:lvlText w:val="o"/>
      <w:lvlJc w:val="left"/>
      <w:pPr>
        <w:tabs>
          <w:tab w:val="num" w:pos="5760"/>
        </w:tabs>
        <w:ind w:left="5760" w:hanging="360"/>
      </w:pPr>
      <w:rPr>
        <w:rFonts w:ascii="Courier New" w:hAnsi="Courier New" w:hint="default"/>
      </w:rPr>
    </w:lvl>
    <w:lvl w:ilvl="8" w:tplc="232009EE" w:tentative="1">
      <w:start w:val="1"/>
      <w:numFmt w:val="bullet"/>
      <w:lvlText w:val=""/>
      <w:lvlJc w:val="left"/>
      <w:pPr>
        <w:tabs>
          <w:tab w:val="num" w:pos="6480"/>
        </w:tabs>
        <w:ind w:left="6480" w:hanging="360"/>
      </w:pPr>
      <w:rPr>
        <w:rFonts w:ascii="Wingdings" w:hAnsi="Wingdings" w:hint="default"/>
      </w:rPr>
    </w:lvl>
  </w:abstractNum>
  <w:abstractNum w:abstractNumId="128" w15:restartNumberingAfterBreak="0">
    <w:nsid w:val="49644974"/>
    <w:multiLevelType w:val="multilevel"/>
    <w:tmpl w:val="43A47B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9" w15:restartNumberingAfterBreak="0">
    <w:nsid w:val="49DF4218"/>
    <w:multiLevelType w:val="hybridMultilevel"/>
    <w:tmpl w:val="BC9C4AE2"/>
    <w:lvl w:ilvl="0" w:tplc="67ACAD02">
      <w:numFmt w:val="bullet"/>
      <w:lvlText w:val="-"/>
      <w:lvlJc w:val="left"/>
      <w:pPr>
        <w:ind w:left="720" w:hanging="360"/>
      </w:pPr>
      <w:rPr>
        <w:rFonts w:ascii="Arial" w:eastAsia="Arial" w:hAnsi="Arial" w:cs="Arial" w:hint="default"/>
        <w:b w:val="0"/>
        <w:bCs w:val="0"/>
        <w:i w:val="0"/>
        <w:iCs w:val="0"/>
        <w:spacing w:val="0"/>
        <w:w w:val="100"/>
        <w:sz w:val="22"/>
        <w:szCs w:val="22"/>
        <w:lang w:val="fr-FR" w:eastAsia="en-US" w:bidi="ar-SA"/>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0" w15:restartNumberingAfterBreak="0">
    <w:nsid w:val="4A804D17"/>
    <w:multiLevelType w:val="multilevel"/>
    <w:tmpl w:val="7ABCF7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1" w15:restartNumberingAfterBreak="0">
    <w:nsid w:val="4B6D6324"/>
    <w:multiLevelType w:val="hybridMultilevel"/>
    <w:tmpl w:val="6EE24596"/>
    <w:lvl w:ilvl="0" w:tplc="040C0001">
      <w:start w:val="1"/>
      <w:numFmt w:val="bullet"/>
      <w:pStyle w:val="puce"/>
      <w:lvlText w:val=""/>
      <w:lvlJc w:val="left"/>
      <w:pPr>
        <w:tabs>
          <w:tab w:val="num" w:pos="720"/>
        </w:tabs>
        <w:ind w:left="720" w:hanging="360"/>
      </w:pPr>
      <w:rPr>
        <w:rFonts w:ascii="Wingdings" w:hAnsi="Wingdings" w:hint="default"/>
        <w:sz w:val="16"/>
      </w:rPr>
    </w:lvl>
    <w:lvl w:ilvl="1" w:tplc="040C0003">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32" w15:restartNumberingAfterBreak="0">
    <w:nsid w:val="4B7A59E5"/>
    <w:multiLevelType w:val="multilevel"/>
    <w:tmpl w:val="C512B8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3" w15:restartNumberingAfterBreak="0">
    <w:nsid w:val="4BC62AF4"/>
    <w:multiLevelType w:val="hybridMultilevel"/>
    <w:tmpl w:val="3B64C4B4"/>
    <w:lvl w:ilvl="0" w:tplc="D6B0BFA2">
      <w:start w:val="1"/>
      <w:numFmt w:val="bullet"/>
      <w:pStyle w:val="Listeflches3"/>
      <w:lvlText w:val=""/>
      <w:lvlJc w:val="left"/>
      <w:pPr>
        <w:tabs>
          <w:tab w:val="num" w:pos="680"/>
        </w:tabs>
        <w:ind w:left="680" w:hanging="226"/>
      </w:pPr>
      <w:rPr>
        <w:rFonts w:ascii="Wingdings" w:hAnsi="Wingdings" w:hint="default"/>
        <w:color w:val="6E87A9"/>
        <w:sz w:val="16"/>
      </w:rPr>
    </w:lvl>
    <w:lvl w:ilvl="1" w:tplc="F528B0C8" w:tentative="1">
      <w:start w:val="1"/>
      <w:numFmt w:val="bullet"/>
      <w:lvlText w:val="o"/>
      <w:lvlJc w:val="left"/>
      <w:pPr>
        <w:ind w:left="1440" w:hanging="360"/>
      </w:pPr>
      <w:rPr>
        <w:rFonts w:ascii="Courier New" w:hAnsi="Courier New" w:hint="default"/>
      </w:rPr>
    </w:lvl>
    <w:lvl w:ilvl="2" w:tplc="6F2EA2BA" w:tentative="1">
      <w:start w:val="1"/>
      <w:numFmt w:val="bullet"/>
      <w:lvlText w:val=""/>
      <w:lvlJc w:val="left"/>
      <w:pPr>
        <w:ind w:left="2160" w:hanging="360"/>
      </w:pPr>
      <w:rPr>
        <w:rFonts w:ascii="Wingdings" w:hAnsi="Wingdings" w:hint="default"/>
      </w:rPr>
    </w:lvl>
    <w:lvl w:ilvl="3" w:tplc="519C5992" w:tentative="1">
      <w:start w:val="1"/>
      <w:numFmt w:val="bullet"/>
      <w:lvlText w:val=""/>
      <w:lvlJc w:val="left"/>
      <w:pPr>
        <w:ind w:left="2880" w:hanging="360"/>
      </w:pPr>
      <w:rPr>
        <w:rFonts w:ascii="Symbol" w:hAnsi="Symbol" w:hint="default"/>
      </w:rPr>
    </w:lvl>
    <w:lvl w:ilvl="4" w:tplc="9A960748" w:tentative="1">
      <w:start w:val="1"/>
      <w:numFmt w:val="bullet"/>
      <w:lvlText w:val="o"/>
      <w:lvlJc w:val="left"/>
      <w:pPr>
        <w:ind w:left="3600" w:hanging="360"/>
      </w:pPr>
      <w:rPr>
        <w:rFonts w:ascii="Courier New" w:hAnsi="Courier New" w:hint="default"/>
      </w:rPr>
    </w:lvl>
    <w:lvl w:ilvl="5" w:tplc="8F869EC2" w:tentative="1">
      <w:start w:val="1"/>
      <w:numFmt w:val="bullet"/>
      <w:lvlText w:val=""/>
      <w:lvlJc w:val="left"/>
      <w:pPr>
        <w:ind w:left="4320" w:hanging="360"/>
      </w:pPr>
      <w:rPr>
        <w:rFonts w:ascii="Wingdings" w:hAnsi="Wingdings" w:hint="default"/>
      </w:rPr>
    </w:lvl>
    <w:lvl w:ilvl="6" w:tplc="248EA902" w:tentative="1">
      <w:start w:val="1"/>
      <w:numFmt w:val="bullet"/>
      <w:lvlText w:val=""/>
      <w:lvlJc w:val="left"/>
      <w:pPr>
        <w:ind w:left="5040" w:hanging="360"/>
      </w:pPr>
      <w:rPr>
        <w:rFonts w:ascii="Symbol" w:hAnsi="Symbol" w:hint="default"/>
      </w:rPr>
    </w:lvl>
    <w:lvl w:ilvl="7" w:tplc="3AE83480" w:tentative="1">
      <w:start w:val="1"/>
      <w:numFmt w:val="bullet"/>
      <w:lvlText w:val="o"/>
      <w:lvlJc w:val="left"/>
      <w:pPr>
        <w:ind w:left="5760" w:hanging="360"/>
      </w:pPr>
      <w:rPr>
        <w:rFonts w:ascii="Courier New" w:hAnsi="Courier New" w:hint="default"/>
      </w:rPr>
    </w:lvl>
    <w:lvl w:ilvl="8" w:tplc="6D220872" w:tentative="1">
      <w:start w:val="1"/>
      <w:numFmt w:val="bullet"/>
      <w:lvlText w:val=""/>
      <w:lvlJc w:val="left"/>
      <w:pPr>
        <w:ind w:left="6480" w:hanging="360"/>
      </w:pPr>
      <w:rPr>
        <w:rFonts w:ascii="Wingdings" w:hAnsi="Wingdings" w:hint="default"/>
      </w:rPr>
    </w:lvl>
  </w:abstractNum>
  <w:abstractNum w:abstractNumId="134" w15:restartNumberingAfterBreak="0">
    <w:nsid w:val="4C615FD3"/>
    <w:multiLevelType w:val="hybridMultilevel"/>
    <w:tmpl w:val="0268C3CA"/>
    <w:lvl w:ilvl="0" w:tplc="040C0015">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5" w15:restartNumberingAfterBreak="0">
    <w:nsid w:val="4E320EBE"/>
    <w:multiLevelType w:val="multilevel"/>
    <w:tmpl w:val="734A37CA"/>
    <w:styleLink w:val="MALIST"/>
    <w:lvl w:ilvl="0">
      <w:start w:val="1"/>
      <w:numFmt w:val="decimal"/>
      <w:pStyle w:val="STYL1"/>
      <w:lvlText w:val="%1."/>
      <w:lvlJc w:val="left"/>
      <w:pPr>
        <w:ind w:left="357" w:hanging="357"/>
      </w:pPr>
      <w:rPr>
        <w:rFonts w:hint="default"/>
      </w:rPr>
    </w:lvl>
    <w:lvl w:ilvl="1">
      <w:start w:val="1"/>
      <w:numFmt w:val="decimal"/>
      <w:pStyle w:val="STYL2"/>
      <w:lvlText w:val="%1.%2."/>
      <w:lvlJc w:val="left"/>
      <w:pPr>
        <w:ind w:left="714" w:hanging="357"/>
      </w:pPr>
      <w:rPr>
        <w:rFonts w:hint="default"/>
      </w:rPr>
    </w:lvl>
    <w:lvl w:ilvl="2">
      <w:start w:val="1"/>
      <w:numFmt w:val="decimal"/>
      <w:pStyle w:val="STYL3"/>
      <w:lvlText w:val="%2.%3.1"/>
      <w:lvlJc w:val="left"/>
      <w:pPr>
        <w:ind w:left="1071" w:hanging="357"/>
      </w:pPr>
      <w:rPr>
        <w:rFonts w:hint="default"/>
      </w:rPr>
    </w:lvl>
    <w:lvl w:ilvl="3">
      <w:start w:val="1"/>
      <w:numFmt w:val="decimal"/>
      <w:lvlText w:val="(%4)"/>
      <w:lvlJc w:val="left"/>
      <w:pPr>
        <w:ind w:left="1428" w:hanging="357"/>
      </w:pPr>
      <w:rPr>
        <w:rFonts w:hint="default"/>
      </w:rPr>
    </w:lvl>
    <w:lvl w:ilvl="4">
      <w:start w:val="1"/>
      <w:numFmt w:val="lowerLetter"/>
      <w:lvlText w:val="(%5)"/>
      <w:lvlJc w:val="left"/>
      <w:pPr>
        <w:ind w:left="1785" w:hanging="357"/>
      </w:pPr>
      <w:rPr>
        <w:rFonts w:hint="default"/>
      </w:rPr>
    </w:lvl>
    <w:lvl w:ilvl="5">
      <w:start w:val="1"/>
      <w:numFmt w:val="lowerRoman"/>
      <w:lvlText w:val="(%6)"/>
      <w:lvlJc w:val="left"/>
      <w:pPr>
        <w:ind w:left="2142" w:hanging="357"/>
      </w:pPr>
      <w:rPr>
        <w:rFonts w:hint="default"/>
      </w:rPr>
    </w:lvl>
    <w:lvl w:ilvl="6">
      <w:start w:val="1"/>
      <w:numFmt w:val="decimal"/>
      <w:lvlText w:val="%7."/>
      <w:lvlJc w:val="left"/>
      <w:pPr>
        <w:ind w:left="2499" w:hanging="357"/>
      </w:pPr>
      <w:rPr>
        <w:rFonts w:hint="default"/>
      </w:rPr>
    </w:lvl>
    <w:lvl w:ilvl="7">
      <w:start w:val="1"/>
      <w:numFmt w:val="lowerLetter"/>
      <w:lvlText w:val="%8."/>
      <w:lvlJc w:val="left"/>
      <w:pPr>
        <w:ind w:left="2856" w:hanging="357"/>
      </w:pPr>
      <w:rPr>
        <w:rFonts w:hint="default"/>
      </w:rPr>
    </w:lvl>
    <w:lvl w:ilvl="8">
      <w:start w:val="1"/>
      <w:numFmt w:val="lowerRoman"/>
      <w:lvlText w:val="%9."/>
      <w:lvlJc w:val="left"/>
      <w:pPr>
        <w:ind w:left="3213" w:hanging="357"/>
      </w:pPr>
      <w:rPr>
        <w:rFonts w:hint="default"/>
      </w:rPr>
    </w:lvl>
  </w:abstractNum>
  <w:abstractNum w:abstractNumId="136" w15:restartNumberingAfterBreak="0">
    <w:nsid w:val="4EC52758"/>
    <w:multiLevelType w:val="hybridMultilevel"/>
    <w:tmpl w:val="F4725BE0"/>
    <w:lvl w:ilvl="0" w:tplc="9612A370">
      <w:numFmt w:val="bullet"/>
      <w:pStyle w:val="Tirets"/>
      <w:lvlText w:val="-"/>
      <w:lvlJc w:val="left"/>
      <w:pPr>
        <w:ind w:left="1800" w:hanging="360"/>
      </w:pPr>
      <w:rPr>
        <w:rFonts w:ascii="Sylfaen" w:eastAsia="Times New Roman" w:hAnsi="Sylfaen" w:hint="default"/>
        <w:b/>
      </w:rPr>
    </w:lvl>
    <w:lvl w:ilvl="1" w:tplc="FFFFFFFF" w:tentative="1">
      <w:start w:val="1"/>
      <w:numFmt w:val="bullet"/>
      <w:lvlText w:val="o"/>
      <w:lvlJc w:val="left"/>
      <w:pPr>
        <w:ind w:left="2520" w:hanging="360"/>
      </w:pPr>
      <w:rPr>
        <w:rFonts w:ascii="Courier New" w:hAnsi="Courier New" w:cs="Courier New" w:hint="default"/>
      </w:rPr>
    </w:lvl>
    <w:lvl w:ilvl="2" w:tplc="FFFFFFFF" w:tentative="1">
      <w:start w:val="1"/>
      <w:numFmt w:val="bullet"/>
      <w:lvlText w:val=""/>
      <w:lvlJc w:val="left"/>
      <w:pPr>
        <w:ind w:left="3240" w:hanging="360"/>
      </w:pPr>
      <w:rPr>
        <w:rFonts w:ascii="Wingdings" w:hAnsi="Wingdings" w:hint="default"/>
      </w:rPr>
    </w:lvl>
    <w:lvl w:ilvl="3" w:tplc="FFFFFFFF" w:tentative="1">
      <w:start w:val="1"/>
      <w:numFmt w:val="bullet"/>
      <w:lvlText w:val=""/>
      <w:lvlJc w:val="left"/>
      <w:pPr>
        <w:ind w:left="3960" w:hanging="360"/>
      </w:pPr>
      <w:rPr>
        <w:rFonts w:ascii="Symbol" w:hAnsi="Symbol" w:hint="default"/>
      </w:rPr>
    </w:lvl>
    <w:lvl w:ilvl="4" w:tplc="FFFFFFFF" w:tentative="1">
      <w:start w:val="1"/>
      <w:numFmt w:val="bullet"/>
      <w:lvlText w:val="o"/>
      <w:lvlJc w:val="left"/>
      <w:pPr>
        <w:ind w:left="4680" w:hanging="360"/>
      </w:pPr>
      <w:rPr>
        <w:rFonts w:ascii="Courier New" w:hAnsi="Courier New" w:cs="Courier New" w:hint="default"/>
      </w:rPr>
    </w:lvl>
    <w:lvl w:ilvl="5" w:tplc="FFFFFFFF" w:tentative="1">
      <w:start w:val="1"/>
      <w:numFmt w:val="bullet"/>
      <w:lvlText w:val=""/>
      <w:lvlJc w:val="left"/>
      <w:pPr>
        <w:ind w:left="5400" w:hanging="360"/>
      </w:pPr>
      <w:rPr>
        <w:rFonts w:ascii="Wingdings" w:hAnsi="Wingdings" w:hint="default"/>
      </w:rPr>
    </w:lvl>
    <w:lvl w:ilvl="6" w:tplc="FFFFFFFF" w:tentative="1">
      <w:start w:val="1"/>
      <w:numFmt w:val="bullet"/>
      <w:lvlText w:val=""/>
      <w:lvlJc w:val="left"/>
      <w:pPr>
        <w:ind w:left="6120" w:hanging="360"/>
      </w:pPr>
      <w:rPr>
        <w:rFonts w:ascii="Symbol" w:hAnsi="Symbol" w:hint="default"/>
      </w:rPr>
    </w:lvl>
    <w:lvl w:ilvl="7" w:tplc="FFFFFFFF" w:tentative="1">
      <w:start w:val="1"/>
      <w:numFmt w:val="bullet"/>
      <w:lvlText w:val="o"/>
      <w:lvlJc w:val="left"/>
      <w:pPr>
        <w:ind w:left="6840" w:hanging="360"/>
      </w:pPr>
      <w:rPr>
        <w:rFonts w:ascii="Courier New" w:hAnsi="Courier New" w:cs="Courier New" w:hint="default"/>
      </w:rPr>
    </w:lvl>
    <w:lvl w:ilvl="8" w:tplc="FFFFFFFF" w:tentative="1">
      <w:start w:val="1"/>
      <w:numFmt w:val="bullet"/>
      <w:lvlText w:val=""/>
      <w:lvlJc w:val="left"/>
      <w:pPr>
        <w:ind w:left="7560" w:hanging="360"/>
      </w:pPr>
      <w:rPr>
        <w:rFonts w:ascii="Wingdings" w:hAnsi="Wingdings" w:hint="default"/>
      </w:rPr>
    </w:lvl>
  </w:abstractNum>
  <w:abstractNum w:abstractNumId="137" w15:restartNumberingAfterBreak="0">
    <w:nsid w:val="4FA52375"/>
    <w:multiLevelType w:val="multilevel"/>
    <w:tmpl w:val="E39A0B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8" w15:restartNumberingAfterBreak="0">
    <w:nsid w:val="509B14CF"/>
    <w:multiLevelType w:val="hybridMultilevel"/>
    <w:tmpl w:val="015CA2F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9" w15:restartNumberingAfterBreak="0">
    <w:nsid w:val="514C08A5"/>
    <w:multiLevelType w:val="hybridMultilevel"/>
    <w:tmpl w:val="A8E6F310"/>
    <w:lvl w:ilvl="0" w:tplc="74B830D0">
      <w:start w:val="1"/>
      <w:numFmt w:val="upperLetter"/>
      <w:pStyle w:val="Appendixheading1"/>
      <w:lvlText w:val="Appendix %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0" w15:restartNumberingAfterBreak="0">
    <w:nsid w:val="52DC1418"/>
    <w:multiLevelType w:val="multilevel"/>
    <w:tmpl w:val="2E6A1F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1" w15:restartNumberingAfterBreak="0">
    <w:nsid w:val="53647469"/>
    <w:multiLevelType w:val="multilevel"/>
    <w:tmpl w:val="3E3E291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2" w15:restartNumberingAfterBreak="0">
    <w:nsid w:val="54295DEE"/>
    <w:multiLevelType w:val="multilevel"/>
    <w:tmpl w:val="A11087E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3" w15:restartNumberingAfterBreak="0">
    <w:nsid w:val="5466214F"/>
    <w:multiLevelType w:val="hybridMultilevel"/>
    <w:tmpl w:val="8F063C20"/>
    <w:lvl w:ilvl="0" w:tplc="78B8D040">
      <w:start w:val="1"/>
      <w:numFmt w:val="bullet"/>
      <w:pStyle w:val="Listepuces-OrganigrammesSchmasetc"/>
      <w:lvlText w:val=""/>
      <w:lvlJc w:val="left"/>
      <w:pPr>
        <w:tabs>
          <w:tab w:val="num" w:pos="510"/>
        </w:tabs>
        <w:ind w:left="510" w:hanging="226"/>
      </w:pPr>
      <w:rPr>
        <w:rFonts w:ascii="Symbol" w:hAnsi="Symbol" w:hint="default"/>
        <w:color w:val="0071B9"/>
        <w:sz w:val="20"/>
      </w:rPr>
    </w:lvl>
    <w:lvl w:ilvl="1" w:tplc="040C0003">
      <w:start w:val="1"/>
      <w:numFmt w:val="bullet"/>
      <w:lvlText w:val="o"/>
      <w:lvlJc w:val="left"/>
      <w:pPr>
        <w:tabs>
          <w:tab w:val="num" w:pos="1440"/>
        </w:tabs>
        <w:ind w:left="1440" w:hanging="360"/>
      </w:pPr>
      <w:rPr>
        <w:rFonts w:ascii="Courier New" w:hAnsi="Courier New" w:cs="Courier New" w:hint="default"/>
      </w:rPr>
    </w:lvl>
    <w:lvl w:ilvl="2" w:tplc="040C0005">
      <w:start w:val="1"/>
      <w:numFmt w:val="bullet"/>
      <w:lvlText w:val=""/>
      <w:lvlJc w:val="left"/>
      <w:pPr>
        <w:tabs>
          <w:tab w:val="num" w:pos="2160"/>
        </w:tabs>
        <w:ind w:left="2160" w:hanging="360"/>
      </w:pPr>
      <w:rPr>
        <w:rFonts w:ascii="Wingdings" w:hAnsi="Wingdings" w:hint="default"/>
      </w:rPr>
    </w:lvl>
    <w:lvl w:ilvl="3" w:tplc="040C0001">
      <w:start w:val="1"/>
      <w:numFmt w:val="bullet"/>
      <w:lvlText w:val=""/>
      <w:lvlJc w:val="left"/>
      <w:pPr>
        <w:tabs>
          <w:tab w:val="num" w:pos="2880"/>
        </w:tabs>
        <w:ind w:left="2880" w:hanging="360"/>
      </w:pPr>
      <w:rPr>
        <w:rFonts w:ascii="Symbol" w:hAnsi="Symbol" w:hint="default"/>
      </w:rPr>
    </w:lvl>
    <w:lvl w:ilvl="4" w:tplc="040C0003">
      <w:start w:val="1"/>
      <w:numFmt w:val="bullet"/>
      <w:lvlText w:val="o"/>
      <w:lvlJc w:val="left"/>
      <w:pPr>
        <w:tabs>
          <w:tab w:val="num" w:pos="3600"/>
        </w:tabs>
        <w:ind w:left="3600" w:hanging="360"/>
      </w:pPr>
      <w:rPr>
        <w:rFonts w:ascii="Courier New" w:hAnsi="Courier New" w:cs="Courier New" w:hint="default"/>
      </w:rPr>
    </w:lvl>
    <w:lvl w:ilvl="5" w:tplc="040C0005">
      <w:start w:val="1"/>
      <w:numFmt w:val="bullet"/>
      <w:lvlText w:val=""/>
      <w:lvlJc w:val="left"/>
      <w:pPr>
        <w:tabs>
          <w:tab w:val="num" w:pos="4320"/>
        </w:tabs>
        <w:ind w:left="4320" w:hanging="360"/>
      </w:pPr>
      <w:rPr>
        <w:rFonts w:ascii="Wingdings" w:hAnsi="Wingdings" w:hint="default"/>
      </w:rPr>
    </w:lvl>
    <w:lvl w:ilvl="6" w:tplc="040C0001">
      <w:start w:val="1"/>
      <w:numFmt w:val="bullet"/>
      <w:lvlText w:val=""/>
      <w:lvlJc w:val="left"/>
      <w:pPr>
        <w:tabs>
          <w:tab w:val="num" w:pos="5040"/>
        </w:tabs>
        <w:ind w:left="5040" w:hanging="360"/>
      </w:pPr>
      <w:rPr>
        <w:rFonts w:ascii="Symbol" w:hAnsi="Symbol" w:hint="default"/>
      </w:rPr>
    </w:lvl>
    <w:lvl w:ilvl="7" w:tplc="040C0003">
      <w:start w:val="1"/>
      <w:numFmt w:val="bullet"/>
      <w:lvlText w:val="o"/>
      <w:lvlJc w:val="left"/>
      <w:pPr>
        <w:tabs>
          <w:tab w:val="num" w:pos="5760"/>
        </w:tabs>
        <w:ind w:left="5760" w:hanging="360"/>
      </w:pPr>
      <w:rPr>
        <w:rFonts w:ascii="Courier New" w:hAnsi="Courier New" w:cs="Courier New" w:hint="default"/>
      </w:rPr>
    </w:lvl>
    <w:lvl w:ilvl="8" w:tplc="040C0005">
      <w:start w:val="1"/>
      <w:numFmt w:val="bullet"/>
      <w:lvlText w:val=""/>
      <w:lvlJc w:val="left"/>
      <w:pPr>
        <w:tabs>
          <w:tab w:val="num" w:pos="6480"/>
        </w:tabs>
        <w:ind w:left="6480" w:hanging="360"/>
      </w:pPr>
      <w:rPr>
        <w:rFonts w:ascii="Wingdings" w:hAnsi="Wingdings" w:hint="default"/>
      </w:rPr>
    </w:lvl>
  </w:abstractNum>
  <w:abstractNum w:abstractNumId="144" w15:restartNumberingAfterBreak="0">
    <w:nsid w:val="550E3ADD"/>
    <w:multiLevelType w:val="multilevel"/>
    <w:tmpl w:val="FFB442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5" w15:restartNumberingAfterBreak="0">
    <w:nsid w:val="55B24BC1"/>
    <w:multiLevelType w:val="hybridMultilevel"/>
    <w:tmpl w:val="9086EEA4"/>
    <w:lvl w:ilvl="0" w:tplc="F794AF68">
      <w:start w:val="1"/>
      <w:numFmt w:val="decimal"/>
      <w:pStyle w:val="annexe"/>
      <w:lvlText w:val="Annexe %1."/>
      <w:lvlJc w:val="left"/>
      <w:pPr>
        <w:tabs>
          <w:tab w:val="num" w:pos="720"/>
        </w:tabs>
        <w:ind w:left="720" w:hanging="360"/>
      </w:pPr>
      <w:rPr>
        <w:rFonts w:hint="default"/>
        <w:b/>
        <w:i w:val="0"/>
        <w:sz w:val="28"/>
        <w:szCs w:val="28"/>
      </w:rPr>
    </w:lvl>
    <w:lvl w:ilvl="1" w:tplc="B85C17A2" w:tentative="1">
      <w:start w:val="1"/>
      <w:numFmt w:val="lowerLetter"/>
      <w:lvlText w:val="%2."/>
      <w:lvlJc w:val="left"/>
      <w:pPr>
        <w:tabs>
          <w:tab w:val="num" w:pos="1440"/>
        </w:tabs>
        <w:ind w:left="1440" w:hanging="360"/>
      </w:pPr>
    </w:lvl>
    <w:lvl w:ilvl="2" w:tplc="F2843E2E" w:tentative="1">
      <w:start w:val="1"/>
      <w:numFmt w:val="lowerRoman"/>
      <w:lvlText w:val="%3."/>
      <w:lvlJc w:val="right"/>
      <w:pPr>
        <w:tabs>
          <w:tab w:val="num" w:pos="2160"/>
        </w:tabs>
        <w:ind w:left="2160" w:hanging="180"/>
      </w:pPr>
    </w:lvl>
    <w:lvl w:ilvl="3" w:tplc="F0B0518E" w:tentative="1">
      <w:start w:val="1"/>
      <w:numFmt w:val="decimal"/>
      <w:lvlText w:val="%4."/>
      <w:lvlJc w:val="left"/>
      <w:pPr>
        <w:tabs>
          <w:tab w:val="num" w:pos="2880"/>
        </w:tabs>
        <w:ind w:left="2880" w:hanging="360"/>
      </w:pPr>
    </w:lvl>
    <w:lvl w:ilvl="4" w:tplc="093ED704" w:tentative="1">
      <w:start w:val="1"/>
      <w:numFmt w:val="lowerLetter"/>
      <w:lvlText w:val="%5."/>
      <w:lvlJc w:val="left"/>
      <w:pPr>
        <w:tabs>
          <w:tab w:val="num" w:pos="3600"/>
        </w:tabs>
        <w:ind w:left="3600" w:hanging="360"/>
      </w:pPr>
    </w:lvl>
    <w:lvl w:ilvl="5" w:tplc="2C10CD80" w:tentative="1">
      <w:start w:val="1"/>
      <w:numFmt w:val="lowerRoman"/>
      <w:lvlText w:val="%6."/>
      <w:lvlJc w:val="right"/>
      <w:pPr>
        <w:tabs>
          <w:tab w:val="num" w:pos="4320"/>
        </w:tabs>
        <w:ind w:left="4320" w:hanging="180"/>
      </w:pPr>
    </w:lvl>
    <w:lvl w:ilvl="6" w:tplc="5F026D62" w:tentative="1">
      <w:start w:val="1"/>
      <w:numFmt w:val="decimal"/>
      <w:lvlText w:val="%7."/>
      <w:lvlJc w:val="left"/>
      <w:pPr>
        <w:tabs>
          <w:tab w:val="num" w:pos="5040"/>
        </w:tabs>
        <w:ind w:left="5040" w:hanging="360"/>
      </w:pPr>
    </w:lvl>
    <w:lvl w:ilvl="7" w:tplc="B9EAD926" w:tentative="1">
      <w:start w:val="1"/>
      <w:numFmt w:val="lowerLetter"/>
      <w:lvlText w:val="%8."/>
      <w:lvlJc w:val="left"/>
      <w:pPr>
        <w:tabs>
          <w:tab w:val="num" w:pos="5760"/>
        </w:tabs>
        <w:ind w:left="5760" w:hanging="360"/>
      </w:pPr>
    </w:lvl>
    <w:lvl w:ilvl="8" w:tplc="49046E14" w:tentative="1">
      <w:start w:val="1"/>
      <w:numFmt w:val="lowerRoman"/>
      <w:lvlText w:val="%9."/>
      <w:lvlJc w:val="right"/>
      <w:pPr>
        <w:tabs>
          <w:tab w:val="num" w:pos="6480"/>
        </w:tabs>
        <w:ind w:left="6480" w:hanging="180"/>
      </w:pPr>
    </w:lvl>
  </w:abstractNum>
  <w:abstractNum w:abstractNumId="146" w15:restartNumberingAfterBreak="0">
    <w:nsid w:val="57B03C4F"/>
    <w:multiLevelType w:val="multilevel"/>
    <w:tmpl w:val="C04247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7" w15:restartNumberingAfterBreak="0">
    <w:nsid w:val="59C0700D"/>
    <w:multiLevelType w:val="multilevel"/>
    <w:tmpl w:val="E4289452"/>
    <w:styleLink w:val="ArticleSection"/>
    <w:lvl w:ilvl="0">
      <w:start w:val="1"/>
      <w:numFmt w:val="upperRoman"/>
      <w:lvlText w:val="Article %1."/>
      <w:lvlJc w:val="left"/>
      <w:pPr>
        <w:tabs>
          <w:tab w:val="num" w:pos="2160"/>
        </w:tabs>
        <w:ind w:left="0" w:firstLine="0"/>
      </w:pPr>
    </w:lvl>
    <w:lvl w:ilvl="1">
      <w:start w:val="1"/>
      <w:numFmt w:val="decimalZero"/>
      <w:isLgl/>
      <w:lvlText w:val="Section %1.%2"/>
      <w:lvlJc w:val="left"/>
      <w:pPr>
        <w:tabs>
          <w:tab w:val="num" w:pos="2160"/>
        </w:tabs>
        <w:ind w:left="0" w:firstLine="0"/>
      </w:pPr>
    </w:lvl>
    <w:lvl w:ilvl="2">
      <w:start w:val="1"/>
      <w:numFmt w:val="lowerLetter"/>
      <w:lvlText w:val="(%3)"/>
      <w:lvlJc w:val="left"/>
      <w:pPr>
        <w:tabs>
          <w:tab w:val="num" w:pos="1008"/>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48" w15:restartNumberingAfterBreak="0">
    <w:nsid w:val="5AFB09C6"/>
    <w:multiLevelType w:val="hybridMultilevel"/>
    <w:tmpl w:val="4E8E2FA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9" w15:restartNumberingAfterBreak="0">
    <w:nsid w:val="5C992D47"/>
    <w:multiLevelType w:val="multilevel"/>
    <w:tmpl w:val="635630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0" w15:restartNumberingAfterBreak="0">
    <w:nsid w:val="5D6421D3"/>
    <w:multiLevelType w:val="hybridMultilevel"/>
    <w:tmpl w:val="912E2FF4"/>
    <w:lvl w:ilvl="0" w:tplc="380C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1" w15:restartNumberingAfterBreak="0">
    <w:nsid w:val="5F5339BC"/>
    <w:multiLevelType w:val="multilevel"/>
    <w:tmpl w:val="278697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2" w15:restartNumberingAfterBreak="0">
    <w:nsid w:val="608634DB"/>
    <w:multiLevelType w:val="hybridMultilevel"/>
    <w:tmpl w:val="919A51A0"/>
    <w:lvl w:ilvl="0" w:tplc="7BB2FBB8">
      <w:start w:val="1"/>
      <w:numFmt w:val="lowerLetter"/>
      <w:pStyle w:val="Textnumberinga"/>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53" w15:restartNumberingAfterBreak="0">
    <w:nsid w:val="60EA4F25"/>
    <w:multiLevelType w:val="hybridMultilevel"/>
    <w:tmpl w:val="12B8936E"/>
    <w:lvl w:ilvl="0" w:tplc="50DC7C66">
      <w:start w:val="1"/>
      <w:numFmt w:val="bullet"/>
      <w:pStyle w:val="Style2"/>
      <w:lvlText w:val=""/>
      <w:lvlJc w:val="left"/>
      <w:pPr>
        <w:ind w:left="720" w:hanging="360"/>
      </w:pPr>
      <w:rPr>
        <w:rFonts w:ascii="Wingdings" w:hAnsi="Wingdings" w:cs="Times New Roman" w:hint="default"/>
        <w:color w:val="44546A" w:themeColor="text2"/>
        <w:sz w:val="16"/>
        <w:szCs w:val="16"/>
      </w:rPr>
    </w:lvl>
    <w:lvl w:ilvl="1" w:tplc="380C0003" w:tentative="1">
      <w:start w:val="1"/>
      <w:numFmt w:val="bullet"/>
      <w:lvlText w:val="o"/>
      <w:lvlJc w:val="left"/>
      <w:pPr>
        <w:ind w:left="1440" w:hanging="360"/>
      </w:pPr>
      <w:rPr>
        <w:rFonts w:ascii="Courier New" w:hAnsi="Courier New" w:cs="Courier New" w:hint="default"/>
      </w:rPr>
    </w:lvl>
    <w:lvl w:ilvl="2" w:tplc="380C0005" w:tentative="1">
      <w:start w:val="1"/>
      <w:numFmt w:val="bullet"/>
      <w:lvlText w:val=""/>
      <w:lvlJc w:val="left"/>
      <w:pPr>
        <w:ind w:left="2160" w:hanging="360"/>
      </w:pPr>
      <w:rPr>
        <w:rFonts w:ascii="Wingdings" w:hAnsi="Wingdings" w:hint="default"/>
      </w:rPr>
    </w:lvl>
    <w:lvl w:ilvl="3" w:tplc="380C0001" w:tentative="1">
      <w:start w:val="1"/>
      <w:numFmt w:val="bullet"/>
      <w:lvlText w:val=""/>
      <w:lvlJc w:val="left"/>
      <w:pPr>
        <w:ind w:left="2880" w:hanging="360"/>
      </w:pPr>
      <w:rPr>
        <w:rFonts w:ascii="Symbol" w:hAnsi="Symbol" w:hint="default"/>
      </w:rPr>
    </w:lvl>
    <w:lvl w:ilvl="4" w:tplc="380C0003" w:tentative="1">
      <w:start w:val="1"/>
      <w:numFmt w:val="bullet"/>
      <w:lvlText w:val="o"/>
      <w:lvlJc w:val="left"/>
      <w:pPr>
        <w:ind w:left="3600" w:hanging="360"/>
      </w:pPr>
      <w:rPr>
        <w:rFonts w:ascii="Courier New" w:hAnsi="Courier New" w:cs="Courier New" w:hint="default"/>
      </w:rPr>
    </w:lvl>
    <w:lvl w:ilvl="5" w:tplc="380C0005" w:tentative="1">
      <w:start w:val="1"/>
      <w:numFmt w:val="bullet"/>
      <w:lvlText w:val=""/>
      <w:lvlJc w:val="left"/>
      <w:pPr>
        <w:ind w:left="4320" w:hanging="360"/>
      </w:pPr>
      <w:rPr>
        <w:rFonts w:ascii="Wingdings" w:hAnsi="Wingdings" w:hint="default"/>
      </w:rPr>
    </w:lvl>
    <w:lvl w:ilvl="6" w:tplc="380C0001" w:tentative="1">
      <w:start w:val="1"/>
      <w:numFmt w:val="bullet"/>
      <w:lvlText w:val=""/>
      <w:lvlJc w:val="left"/>
      <w:pPr>
        <w:ind w:left="5040" w:hanging="360"/>
      </w:pPr>
      <w:rPr>
        <w:rFonts w:ascii="Symbol" w:hAnsi="Symbol" w:hint="default"/>
      </w:rPr>
    </w:lvl>
    <w:lvl w:ilvl="7" w:tplc="380C0003" w:tentative="1">
      <w:start w:val="1"/>
      <w:numFmt w:val="bullet"/>
      <w:lvlText w:val="o"/>
      <w:lvlJc w:val="left"/>
      <w:pPr>
        <w:ind w:left="5760" w:hanging="360"/>
      </w:pPr>
      <w:rPr>
        <w:rFonts w:ascii="Courier New" w:hAnsi="Courier New" w:cs="Courier New" w:hint="default"/>
      </w:rPr>
    </w:lvl>
    <w:lvl w:ilvl="8" w:tplc="380C0005" w:tentative="1">
      <w:start w:val="1"/>
      <w:numFmt w:val="bullet"/>
      <w:lvlText w:val=""/>
      <w:lvlJc w:val="left"/>
      <w:pPr>
        <w:ind w:left="6480" w:hanging="360"/>
      </w:pPr>
      <w:rPr>
        <w:rFonts w:ascii="Wingdings" w:hAnsi="Wingdings" w:hint="default"/>
      </w:rPr>
    </w:lvl>
  </w:abstractNum>
  <w:abstractNum w:abstractNumId="154" w15:restartNumberingAfterBreak="0">
    <w:nsid w:val="61873D08"/>
    <w:multiLevelType w:val="hybridMultilevel"/>
    <w:tmpl w:val="6DAAB576"/>
    <w:lvl w:ilvl="0" w:tplc="E65633B4">
      <w:numFmt w:val="bullet"/>
      <w:lvlText w:val=""/>
      <w:lvlJc w:val="left"/>
      <w:pPr>
        <w:ind w:left="720" w:hanging="360"/>
      </w:pPr>
      <w:rPr>
        <w:rFonts w:ascii="Wingdings" w:hAnsi="Wingdings" w:cs="Wingdings" w:hint="default"/>
        <w:b w:val="0"/>
        <w:bCs w:val="0"/>
        <w:i w:val="0"/>
        <w:iCs w:val="0"/>
        <w:color w:val="4472C4" w:themeColor="accent1"/>
        <w:spacing w:val="0"/>
        <w:w w:val="100"/>
        <w:sz w:val="16"/>
        <w:szCs w:val="16"/>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5" w15:restartNumberingAfterBreak="0">
    <w:nsid w:val="625938A6"/>
    <w:multiLevelType w:val="hybridMultilevel"/>
    <w:tmpl w:val="A7D29F42"/>
    <w:lvl w:ilvl="0" w:tplc="040C0009">
      <w:start w:val="1"/>
      <w:numFmt w:val="bullet"/>
      <w:pStyle w:val="titresoulign"/>
      <w:lvlText w:val="."/>
      <w:lvlJc w:val="left"/>
      <w:pPr>
        <w:tabs>
          <w:tab w:val="num" w:pos="360"/>
        </w:tabs>
        <w:ind w:left="360" w:hanging="360"/>
      </w:pPr>
      <w:rPr>
        <w:rFonts w:hAnsi="Courier New" w:hint="default"/>
        <w:sz w:val="20"/>
      </w:rPr>
    </w:lvl>
    <w:lvl w:ilvl="1" w:tplc="040C0003">
      <w:start w:val="1"/>
      <w:numFmt w:val="bullet"/>
      <w:lvlText w:val="o"/>
      <w:lvlJc w:val="left"/>
      <w:pPr>
        <w:tabs>
          <w:tab w:val="num" w:pos="22"/>
        </w:tabs>
        <w:ind w:left="22" w:hanging="360"/>
      </w:pPr>
      <w:rPr>
        <w:rFonts w:ascii="Courier New" w:hAnsi="Courier New" w:hint="default"/>
      </w:rPr>
    </w:lvl>
    <w:lvl w:ilvl="2" w:tplc="040C0005">
      <w:start w:val="1"/>
      <w:numFmt w:val="bullet"/>
      <w:lvlText w:val=""/>
      <w:lvlJc w:val="left"/>
      <w:pPr>
        <w:tabs>
          <w:tab w:val="num" w:pos="742"/>
        </w:tabs>
        <w:ind w:left="742" w:hanging="360"/>
      </w:pPr>
      <w:rPr>
        <w:rFonts w:ascii="Wingdings" w:hAnsi="Wingdings" w:hint="default"/>
      </w:rPr>
    </w:lvl>
    <w:lvl w:ilvl="3" w:tplc="040C0001">
      <w:start w:val="1"/>
      <w:numFmt w:val="bullet"/>
      <w:lvlText w:val=""/>
      <w:lvlJc w:val="left"/>
      <w:pPr>
        <w:tabs>
          <w:tab w:val="num" w:pos="1462"/>
        </w:tabs>
        <w:ind w:left="1462" w:hanging="360"/>
      </w:pPr>
      <w:rPr>
        <w:rFonts w:ascii="Symbol" w:hAnsi="Symbol" w:hint="default"/>
      </w:rPr>
    </w:lvl>
    <w:lvl w:ilvl="4" w:tplc="040C0003" w:tentative="1">
      <w:start w:val="1"/>
      <w:numFmt w:val="bullet"/>
      <w:lvlText w:val="o"/>
      <w:lvlJc w:val="left"/>
      <w:pPr>
        <w:tabs>
          <w:tab w:val="num" w:pos="2182"/>
        </w:tabs>
        <w:ind w:left="2182" w:hanging="360"/>
      </w:pPr>
      <w:rPr>
        <w:rFonts w:ascii="Courier New" w:hAnsi="Courier New" w:hint="default"/>
      </w:rPr>
    </w:lvl>
    <w:lvl w:ilvl="5" w:tplc="040C0005" w:tentative="1">
      <w:start w:val="1"/>
      <w:numFmt w:val="bullet"/>
      <w:lvlText w:val=""/>
      <w:lvlJc w:val="left"/>
      <w:pPr>
        <w:tabs>
          <w:tab w:val="num" w:pos="2902"/>
        </w:tabs>
        <w:ind w:left="2902" w:hanging="360"/>
      </w:pPr>
      <w:rPr>
        <w:rFonts w:ascii="Wingdings" w:hAnsi="Wingdings" w:hint="default"/>
      </w:rPr>
    </w:lvl>
    <w:lvl w:ilvl="6" w:tplc="040C0001" w:tentative="1">
      <w:start w:val="1"/>
      <w:numFmt w:val="bullet"/>
      <w:lvlText w:val=""/>
      <w:lvlJc w:val="left"/>
      <w:pPr>
        <w:tabs>
          <w:tab w:val="num" w:pos="3622"/>
        </w:tabs>
        <w:ind w:left="3622" w:hanging="360"/>
      </w:pPr>
      <w:rPr>
        <w:rFonts w:ascii="Symbol" w:hAnsi="Symbol" w:hint="default"/>
      </w:rPr>
    </w:lvl>
    <w:lvl w:ilvl="7" w:tplc="040C0003" w:tentative="1">
      <w:start w:val="1"/>
      <w:numFmt w:val="bullet"/>
      <w:lvlText w:val="o"/>
      <w:lvlJc w:val="left"/>
      <w:pPr>
        <w:tabs>
          <w:tab w:val="num" w:pos="4342"/>
        </w:tabs>
        <w:ind w:left="4342" w:hanging="360"/>
      </w:pPr>
      <w:rPr>
        <w:rFonts w:ascii="Courier New" w:hAnsi="Courier New" w:hint="default"/>
      </w:rPr>
    </w:lvl>
    <w:lvl w:ilvl="8" w:tplc="040C0005" w:tentative="1">
      <w:start w:val="1"/>
      <w:numFmt w:val="bullet"/>
      <w:lvlText w:val=""/>
      <w:lvlJc w:val="left"/>
      <w:pPr>
        <w:tabs>
          <w:tab w:val="num" w:pos="5062"/>
        </w:tabs>
        <w:ind w:left="5062" w:hanging="360"/>
      </w:pPr>
      <w:rPr>
        <w:rFonts w:ascii="Wingdings" w:hAnsi="Wingdings" w:hint="default"/>
      </w:rPr>
    </w:lvl>
  </w:abstractNum>
  <w:abstractNum w:abstractNumId="156" w15:restartNumberingAfterBreak="0">
    <w:nsid w:val="626A4DD4"/>
    <w:multiLevelType w:val="hybridMultilevel"/>
    <w:tmpl w:val="D9FC2154"/>
    <w:lvl w:ilvl="0" w:tplc="0AF819EC">
      <w:start w:val="1"/>
      <w:numFmt w:val="lowerLetter"/>
      <w:pStyle w:val="TextAlpha"/>
      <w:lvlText w:val="%1)"/>
      <w:lvlJc w:val="left"/>
      <w:pPr>
        <w:ind w:left="720" w:hanging="360"/>
      </w:pPr>
    </w:lvl>
    <w:lvl w:ilvl="1" w:tplc="380C0019" w:tentative="1">
      <w:start w:val="1"/>
      <w:numFmt w:val="lowerLetter"/>
      <w:lvlText w:val="%2."/>
      <w:lvlJc w:val="left"/>
      <w:pPr>
        <w:ind w:left="1440" w:hanging="360"/>
      </w:pPr>
    </w:lvl>
    <w:lvl w:ilvl="2" w:tplc="380C001B" w:tentative="1">
      <w:start w:val="1"/>
      <w:numFmt w:val="lowerRoman"/>
      <w:lvlText w:val="%3."/>
      <w:lvlJc w:val="right"/>
      <w:pPr>
        <w:ind w:left="2160" w:hanging="180"/>
      </w:pPr>
    </w:lvl>
    <w:lvl w:ilvl="3" w:tplc="380C000F" w:tentative="1">
      <w:start w:val="1"/>
      <w:numFmt w:val="decimal"/>
      <w:lvlText w:val="%4."/>
      <w:lvlJc w:val="left"/>
      <w:pPr>
        <w:ind w:left="2880" w:hanging="360"/>
      </w:pPr>
    </w:lvl>
    <w:lvl w:ilvl="4" w:tplc="380C0019" w:tentative="1">
      <w:start w:val="1"/>
      <w:numFmt w:val="lowerLetter"/>
      <w:lvlText w:val="%5."/>
      <w:lvlJc w:val="left"/>
      <w:pPr>
        <w:ind w:left="3600" w:hanging="360"/>
      </w:pPr>
    </w:lvl>
    <w:lvl w:ilvl="5" w:tplc="380C001B" w:tentative="1">
      <w:start w:val="1"/>
      <w:numFmt w:val="lowerRoman"/>
      <w:lvlText w:val="%6."/>
      <w:lvlJc w:val="right"/>
      <w:pPr>
        <w:ind w:left="4320" w:hanging="180"/>
      </w:pPr>
    </w:lvl>
    <w:lvl w:ilvl="6" w:tplc="380C000F" w:tentative="1">
      <w:start w:val="1"/>
      <w:numFmt w:val="decimal"/>
      <w:lvlText w:val="%7."/>
      <w:lvlJc w:val="left"/>
      <w:pPr>
        <w:ind w:left="5040" w:hanging="360"/>
      </w:pPr>
    </w:lvl>
    <w:lvl w:ilvl="7" w:tplc="380C0019" w:tentative="1">
      <w:start w:val="1"/>
      <w:numFmt w:val="lowerLetter"/>
      <w:lvlText w:val="%8."/>
      <w:lvlJc w:val="left"/>
      <w:pPr>
        <w:ind w:left="5760" w:hanging="360"/>
      </w:pPr>
    </w:lvl>
    <w:lvl w:ilvl="8" w:tplc="380C001B" w:tentative="1">
      <w:start w:val="1"/>
      <w:numFmt w:val="lowerRoman"/>
      <w:lvlText w:val="%9."/>
      <w:lvlJc w:val="right"/>
      <w:pPr>
        <w:ind w:left="6480" w:hanging="180"/>
      </w:pPr>
    </w:lvl>
  </w:abstractNum>
  <w:abstractNum w:abstractNumId="157" w15:restartNumberingAfterBreak="0">
    <w:nsid w:val="62970AE1"/>
    <w:multiLevelType w:val="hybridMultilevel"/>
    <w:tmpl w:val="F89AB2C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8" w15:restartNumberingAfterBreak="0">
    <w:nsid w:val="639513A2"/>
    <w:multiLevelType w:val="multilevel"/>
    <w:tmpl w:val="BE0ED6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9" w15:restartNumberingAfterBreak="0">
    <w:nsid w:val="646D750F"/>
    <w:multiLevelType w:val="multilevel"/>
    <w:tmpl w:val="1388A68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0" w15:restartNumberingAfterBreak="0">
    <w:nsid w:val="650E1154"/>
    <w:multiLevelType w:val="multilevel"/>
    <w:tmpl w:val="FE3877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1" w15:restartNumberingAfterBreak="0">
    <w:nsid w:val="65286A07"/>
    <w:multiLevelType w:val="multilevel"/>
    <w:tmpl w:val="53041BBC"/>
    <w:lvl w:ilvl="0">
      <w:start w:val="1"/>
      <w:numFmt w:val="decimal"/>
      <w:pStyle w:val="SETECTitre1"/>
      <w:lvlText w:val="%1 —"/>
      <w:lvlJc w:val="left"/>
      <w:pPr>
        <w:tabs>
          <w:tab w:val="num" w:pos="624"/>
        </w:tabs>
        <w:ind w:left="624" w:hanging="624"/>
      </w:pPr>
      <w:rPr>
        <w:rFonts w:hint="default"/>
      </w:rPr>
    </w:lvl>
    <w:lvl w:ilvl="1">
      <w:start w:val="1"/>
      <w:numFmt w:val="decimal"/>
      <w:pStyle w:val="SETECTitre2"/>
      <w:lvlText w:val="%1.%2"/>
      <w:lvlJc w:val="left"/>
      <w:pPr>
        <w:tabs>
          <w:tab w:val="num" w:pos="397"/>
        </w:tabs>
        <w:ind w:left="624" w:hanging="624"/>
      </w:pPr>
      <w:rPr>
        <w:rFonts w:hint="default"/>
      </w:rPr>
    </w:lvl>
    <w:lvl w:ilvl="2">
      <w:start w:val="1"/>
      <w:numFmt w:val="decimal"/>
      <w:pStyle w:val="SETECTitre3"/>
      <w:suff w:val="space"/>
      <w:lvlText w:val="%1.%2.%3"/>
      <w:lvlJc w:val="left"/>
      <w:pPr>
        <w:ind w:left="142" w:firstLine="0"/>
      </w:pPr>
      <w:rPr>
        <w:rFonts w:hint="default"/>
      </w:rPr>
    </w:lvl>
    <w:lvl w:ilvl="3">
      <w:start w:val="1"/>
      <w:numFmt w:val="decimal"/>
      <w:pStyle w:val="SETECTitre4"/>
      <w:suff w:val="space"/>
      <w:lvlText w:val="%1.%2.%3.%4"/>
      <w:lvlJc w:val="left"/>
      <w:pPr>
        <w:ind w:left="1134" w:firstLine="0"/>
      </w:pPr>
      <w:rPr>
        <w:rFonts w:hint="default"/>
      </w:rPr>
    </w:lvl>
    <w:lvl w:ilvl="4">
      <w:start w:val="1"/>
      <w:numFmt w:val="decimal"/>
      <w:pStyle w:val="SETECTitre5"/>
      <w:suff w:val="space"/>
      <w:lvlText w:val="%1.%2.%3.%4.%5"/>
      <w:lvlJc w:val="left"/>
      <w:pPr>
        <w:ind w:left="0" w:firstLine="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1069" w:hanging="360"/>
      </w:pPr>
      <w:rPr>
        <w:rFonts w:hint="default"/>
        <w:b/>
        <w:bCs/>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2" w15:restartNumberingAfterBreak="0">
    <w:nsid w:val="65762830"/>
    <w:multiLevelType w:val="multilevel"/>
    <w:tmpl w:val="E10646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3" w15:restartNumberingAfterBreak="0">
    <w:nsid w:val="657D46D5"/>
    <w:multiLevelType w:val="hybridMultilevel"/>
    <w:tmpl w:val="C794FF1A"/>
    <w:lvl w:ilvl="0" w:tplc="98601E4C">
      <w:start w:val="1"/>
      <w:numFmt w:val="bullet"/>
      <w:pStyle w:val="Listadevietas"/>
      <w:lvlText w:val=""/>
      <w:lvlJc w:val="left"/>
      <w:pPr>
        <w:tabs>
          <w:tab w:val="num" w:pos="1212"/>
        </w:tabs>
        <w:ind w:left="1212" w:hanging="360"/>
      </w:pPr>
      <w:rPr>
        <w:rFonts w:ascii="Symbol" w:hAnsi="Symbol" w:hint="default"/>
      </w:rPr>
    </w:lvl>
    <w:lvl w:ilvl="1" w:tplc="040C0019" w:tentative="1">
      <w:start w:val="1"/>
      <w:numFmt w:val="bullet"/>
      <w:lvlText w:val="o"/>
      <w:lvlJc w:val="left"/>
      <w:pPr>
        <w:tabs>
          <w:tab w:val="num" w:pos="1440"/>
        </w:tabs>
        <w:ind w:left="1440" w:hanging="360"/>
      </w:pPr>
      <w:rPr>
        <w:rFonts w:ascii="Courier New" w:hAnsi="Courier New" w:cs="Courier New" w:hint="default"/>
      </w:rPr>
    </w:lvl>
    <w:lvl w:ilvl="2" w:tplc="040C001B" w:tentative="1">
      <w:start w:val="1"/>
      <w:numFmt w:val="bullet"/>
      <w:lvlText w:val=""/>
      <w:lvlJc w:val="left"/>
      <w:pPr>
        <w:tabs>
          <w:tab w:val="num" w:pos="2160"/>
        </w:tabs>
        <w:ind w:left="2160" w:hanging="360"/>
      </w:pPr>
      <w:rPr>
        <w:rFonts w:ascii="Wingdings" w:hAnsi="Wingdings" w:hint="default"/>
      </w:rPr>
    </w:lvl>
    <w:lvl w:ilvl="3" w:tplc="040C000F" w:tentative="1">
      <w:start w:val="1"/>
      <w:numFmt w:val="bullet"/>
      <w:lvlText w:val=""/>
      <w:lvlJc w:val="left"/>
      <w:pPr>
        <w:tabs>
          <w:tab w:val="num" w:pos="2880"/>
        </w:tabs>
        <w:ind w:left="2880" w:hanging="360"/>
      </w:pPr>
      <w:rPr>
        <w:rFonts w:ascii="Symbol" w:hAnsi="Symbol" w:hint="default"/>
      </w:rPr>
    </w:lvl>
    <w:lvl w:ilvl="4" w:tplc="040C0019" w:tentative="1">
      <w:start w:val="1"/>
      <w:numFmt w:val="bullet"/>
      <w:lvlText w:val="o"/>
      <w:lvlJc w:val="left"/>
      <w:pPr>
        <w:tabs>
          <w:tab w:val="num" w:pos="3600"/>
        </w:tabs>
        <w:ind w:left="3600" w:hanging="360"/>
      </w:pPr>
      <w:rPr>
        <w:rFonts w:ascii="Courier New" w:hAnsi="Courier New" w:cs="Courier New" w:hint="default"/>
      </w:rPr>
    </w:lvl>
    <w:lvl w:ilvl="5" w:tplc="040C001B" w:tentative="1">
      <w:start w:val="1"/>
      <w:numFmt w:val="bullet"/>
      <w:lvlText w:val=""/>
      <w:lvlJc w:val="left"/>
      <w:pPr>
        <w:tabs>
          <w:tab w:val="num" w:pos="4320"/>
        </w:tabs>
        <w:ind w:left="4320" w:hanging="360"/>
      </w:pPr>
      <w:rPr>
        <w:rFonts w:ascii="Wingdings" w:hAnsi="Wingdings" w:hint="default"/>
      </w:rPr>
    </w:lvl>
    <w:lvl w:ilvl="6" w:tplc="040C000F" w:tentative="1">
      <w:start w:val="1"/>
      <w:numFmt w:val="bullet"/>
      <w:lvlText w:val=""/>
      <w:lvlJc w:val="left"/>
      <w:pPr>
        <w:tabs>
          <w:tab w:val="num" w:pos="5040"/>
        </w:tabs>
        <w:ind w:left="5040" w:hanging="360"/>
      </w:pPr>
      <w:rPr>
        <w:rFonts w:ascii="Symbol" w:hAnsi="Symbol" w:hint="default"/>
      </w:rPr>
    </w:lvl>
    <w:lvl w:ilvl="7" w:tplc="040C0019" w:tentative="1">
      <w:start w:val="1"/>
      <w:numFmt w:val="bullet"/>
      <w:lvlText w:val="o"/>
      <w:lvlJc w:val="left"/>
      <w:pPr>
        <w:tabs>
          <w:tab w:val="num" w:pos="5760"/>
        </w:tabs>
        <w:ind w:left="5760" w:hanging="360"/>
      </w:pPr>
      <w:rPr>
        <w:rFonts w:ascii="Courier New" w:hAnsi="Courier New" w:cs="Courier New" w:hint="default"/>
      </w:rPr>
    </w:lvl>
    <w:lvl w:ilvl="8" w:tplc="040C001B" w:tentative="1">
      <w:start w:val="1"/>
      <w:numFmt w:val="bullet"/>
      <w:lvlText w:val=""/>
      <w:lvlJc w:val="left"/>
      <w:pPr>
        <w:tabs>
          <w:tab w:val="num" w:pos="6480"/>
        </w:tabs>
        <w:ind w:left="6480" w:hanging="360"/>
      </w:pPr>
      <w:rPr>
        <w:rFonts w:ascii="Wingdings" w:hAnsi="Wingdings" w:hint="default"/>
      </w:rPr>
    </w:lvl>
  </w:abstractNum>
  <w:abstractNum w:abstractNumId="164" w15:restartNumberingAfterBreak="0">
    <w:nsid w:val="67085F6A"/>
    <w:multiLevelType w:val="hybridMultilevel"/>
    <w:tmpl w:val="6E201D1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5" w15:restartNumberingAfterBreak="0">
    <w:nsid w:val="672A7CBD"/>
    <w:multiLevelType w:val="hybridMultilevel"/>
    <w:tmpl w:val="3604A18C"/>
    <w:lvl w:ilvl="0" w:tplc="8DAA3B7A">
      <w:start w:val="1"/>
      <w:numFmt w:val="bullet"/>
      <w:pStyle w:val="Phenixapuce1"/>
      <w:lvlText w:val=""/>
      <w:lvlJc w:val="left"/>
      <w:pPr>
        <w:ind w:left="720" w:hanging="360"/>
      </w:pPr>
      <w:rPr>
        <w:rFonts w:ascii="Symbol" w:hAnsi="Symbol" w:hint="default"/>
        <w:color w:val="0070C0"/>
        <w:u w:color="0070C0"/>
      </w:rPr>
    </w:lvl>
    <w:lvl w:ilvl="1" w:tplc="10C48550">
      <w:start w:val="1"/>
      <w:numFmt w:val="bullet"/>
      <w:lvlText w:val="o"/>
      <w:lvlJc w:val="left"/>
      <w:pPr>
        <w:ind w:left="1440" w:hanging="360"/>
      </w:pPr>
      <w:rPr>
        <w:rFonts w:ascii="Courier New" w:hAnsi="Courier New" w:cs="Courier New" w:hint="default"/>
      </w:rPr>
    </w:lvl>
    <w:lvl w:ilvl="2" w:tplc="D9B2073C" w:tentative="1">
      <w:start w:val="1"/>
      <w:numFmt w:val="bullet"/>
      <w:lvlText w:val=""/>
      <w:lvlJc w:val="left"/>
      <w:pPr>
        <w:ind w:left="2160" w:hanging="360"/>
      </w:pPr>
      <w:rPr>
        <w:rFonts w:ascii="Wingdings" w:hAnsi="Wingdings" w:hint="default"/>
      </w:rPr>
    </w:lvl>
    <w:lvl w:ilvl="3" w:tplc="0BE0F136" w:tentative="1">
      <w:start w:val="1"/>
      <w:numFmt w:val="bullet"/>
      <w:lvlText w:val=""/>
      <w:lvlJc w:val="left"/>
      <w:pPr>
        <w:ind w:left="2880" w:hanging="360"/>
      </w:pPr>
      <w:rPr>
        <w:rFonts w:ascii="Symbol" w:hAnsi="Symbol" w:hint="default"/>
      </w:rPr>
    </w:lvl>
    <w:lvl w:ilvl="4" w:tplc="47A028C2" w:tentative="1">
      <w:start w:val="1"/>
      <w:numFmt w:val="bullet"/>
      <w:lvlText w:val="o"/>
      <w:lvlJc w:val="left"/>
      <w:pPr>
        <w:ind w:left="3600" w:hanging="360"/>
      </w:pPr>
      <w:rPr>
        <w:rFonts w:ascii="Courier New" w:hAnsi="Courier New" w:cs="Courier New" w:hint="default"/>
      </w:rPr>
    </w:lvl>
    <w:lvl w:ilvl="5" w:tplc="1A8AAA7C" w:tentative="1">
      <w:start w:val="1"/>
      <w:numFmt w:val="bullet"/>
      <w:lvlText w:val=""/>
      <w:lvlJc w:val="left"/>
      <w:pPr>
        <w:ind w:left="4320" w:hanging="360"/>
      </w:pPr>
      <w:rPr>
        <w:rFonts w:ascii="Wingdings" w:hAnsi="Wingdings" w:hint="default"/>
      </w:rPr>
    </w:lvl>
    <w:lvl w:ilvl="6" w:tplc="07802760" w:tentative="1">
      <w:start w:val="1"/>
      <w:numFmt w:val="bullet"/>
      <w:lvlText w:val=""/>
      <w:lvlJc w:val="left"/>
      <w:pPr>
        <w:ind w:left="5040" w:hanging="360"/>
      </w:pPr>
      <w:rPr>
        <w:rFonts w:ascii="Symbol" w:hAnsi="Symbol" w:hint="default"/>
      </w:rPr>
    </w:lvl>
    <w:lvl w:ilvl="7" w:tplc="D10E9754" w:tentative="1">
      <w:start w:val="1"/>
      <w:numFmt w:val="bullet"/>
      <w:lvlText w:val="o"/>
      <w:lvlJc w:val="left"/>
      <w:pPr>
        <w:ind w:left="5760" w:hanging="360"/>
      </w:pPr>
      <w:rPr>
        <w:rFonts w:ascii="Courier New" w:hAnsi="Courier New" w:cs="Courier New" w:hint="default"/>
      </w:rPr>
    </w:lvl>
    <w:lvl w:ilvl="8" w:tplc="D7489468" w:tentative="1">
      <w:start w:val="1"/>
      <w:numFmt w:val="bullet"/>
      <w:lvlText w:val=""/>
      <w:lvlJc w:val="left"/>
      <w:pPr>
        <w:ind w:left="6480" w:hanging="360"/>
      </w:pPr>
      <w:rPr>
        <w:rFonts w:ascii="Wingdings" w:hAnsi="Wingdings" w:hint="default"/>
      </w:rPr>
    </w:lvl>
  </w:abstractNum>
  <w:abstractNum w:abstractNumId="166" w15:restartNumberingAfterBreak="0">
    <w:nsid w:val="68154362"/>
    <w:multiLevelType w:val="hybridMultilevel"/>
    <w:tmpl w:val="F7505DDE"/>
    <w:lvl w:ilvl="0" w:tplc="9090824C">
      <w:start w:val="1"/>
      <w:numFmt w:val="bullet"/>
      <w:pStyle w:val="Bulletlevel1"/>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7" w15:restartNumberingAfterBreak="0">
    <w:nsid w:val="682F0F7E"/>
    <w:multiLevelType w:val="multilevel"/>
    <w:tmpl w:val="25A8E45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8" w15:restartNumberingAfterBreak="0">
    <w:nsid w:val="684E3BE9"/>
    <w:multiLevelType w:val="hybridMultilevel"/>
    <w:tmpl w:val="5F14EF2A"/>
    <w:lvl w:ilvl="0" w:tplc="04090005">
      <w:start w:val="1"/>
      <w:numFmt w:val="bullet"/>
      <w:lvlText w:val=""/>
      <w:lvlJc w:val="left"/>
      <w:pPr>
        <w:ind w:left="720" w:hanging="360"/>
      </w:pPr>
      <w:rPr>
        <w:rFonts w:ascii="Wingdings" w:hAnsi="Wingdings" w:hint="default"/>
        <w:b/>
        <w:bCs/>
        <w:w w:val="101"/>
        <w:sz w:val="22"/>
        <w:szCs w:val="22"/>
        <w:lang w:val="fr-FR" w:eastAsia="en-US" w:bidi="ar-SA"/>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9" w15:restartNumberingAfterBreak="0">
    <w:nsid w:val="695F4051"/>
    <w:multiLevelType w:val="multilevel"/>
    <w:tmpl w:val="695F4051"/>
    <w:lvl w:ilvl="0">
      <w:numFmt w:val="bullet"/>
      <w:lvlText w:val="-"/>
      <w:lvlJc w:val="left"/>
      <w:pPr>
        <w:ind w:left="1572" w:hanging="360"/>
      </w:pPr>
      <w:rPr>
        <w:rFonts w:ascii="Sylfaen" w:eastAsia="Times New Roman" w:hAnsi="Sylfaen" w:hint="default"/>
        <w:b/>
      </w:rPr>
    </w:lvl>
    <w:lvl w:ilvl="1">
      <w:start w:val="1"/>
      <w:numFmt w:val="bullet"/>
      <w:lvlText w:val="o"/>
      <w:lvlJc w:val="left"/>
      <w:pPr>
        <w:ind w:left="1866" w:hanging="360"/>
      </w:pPr>
      <w:rPr>
        <w:rFonts w:ascii="Courier New" w:hAnsi="Courier New" w:cs="Courier New" w:hint="default"/>
      </w:rPr>
    </w:lvl>
    <w:lvl w:ilvl="2">
      <w:start w:val="1"/>
      <w:numFmt w:val="bullet"/>
      <w:lvlText w:val=""/>
      <w:lvlJc w:val="left"/>
      <w:pPr>
        <w:ind w:left="2586" w:hanging="360"/>
      </w:pPr>
      <w:rPr>
        <w:rFonts w:ascii="Wingdings" w:hAnsi="Wingdings" w:hint="default"/>
      </w:rPr>
    </w:lvl>
    <w:lvl w:ilvl="3">
      <w:start w:val="1"/>
      <w:numFmt w:val="bullet"/>
      <w:lvlText w:val=""/>
      <w:lvlJc w:val="left"/>
      <w:pPr>
        <w:ind w:left="3306" w:hanging="360"/>
      </w:pPr>
      <w:rPr>
        <w:rFonts w:ascii="Symbol" w:hAnsi="Symbol" w:hint="default"/>
      </w:rPr>
    </w:lvl>
    <w:lvl w:ilvl="4">
      <w:start w:val="1"/>
      <w:numFmt w:val="bullet"/>
      <w:lvlText w:val="o"/>
      <w:lvlJc w:val="left"/>
      <w:pPr>
        <w:ind w:left="4026" w:hanging="360"/>
      </w:pPr>
      <w:rPr>
        <w:rFonts w:ascii="Courier New" w:hAnsi="Courier New" w:cs="Courier New" w:hint="default"/>
      </w:rPr>
    </w:lvl>
    <w:lvl w:ilvl="5">
      <w:start w:val="1"/>
      <w:numFmt w:val="bullet"/>
      <w:lvlText w:val=""/>
      <w:lvlJc w:val="left"/>
      <w:pPr>
        <w:ind w:left="4746" w:hanging="360"/>
      </w:pPr>
      <w:rPr>
        <w:rFonts w:ascii="Wingdings" w:hAnsi="Wingdings" w:hint="default"/>
      </w:rPr>
    </w:lvl>
    <w:lvl w:ilvl="6">
      <w:start w:val="1"/>
      <w:numFmt w:val="bullet"/>
      <w:lvlText w:val=""/>
      <w:lvlJc w:val="left"/>
      <w:pPr>
        <w:ind w:left="5466" w:hanging="360"/>
      </w:pPr>
      <w:rPr>
        <w:rFonts w:ascii="Symbol" w:hAnsi="Symbol" w:hint="default"/>
      </w:rPr>
    </w:lvl>
    <w:lvl w:ilvl="7">
      <w:start w:val="1"/>
      <w:numFmt w:val="bullet"/>
      <w:lvlText w:val="o"/>
      <w:lvlJc w:val="left"/>
      <w:pPr>
        <w:ind w:left="6186" w:hanging="360"/>
      </w:pPr>
      <w:rPr>
        <w:rFonts w:ascii="Courier New" w:hAnsi="Courier New" w:cs="Courier New" w:hint="default"/>
      </w:rPr>
    </w:lvl>
    <w:lvl w:ilvl="8">
      <w:start w:val="1"/>
      <w:numFmt w:val="bullet"/>
      <w:lvlText w:val=""/>
      <w:lvlJc w:val="left"/>
      <w:pPr>
        <w:ind w:left="6906" w:hanging="360"/>
      </w:pPr>
      <w:rPr>
        <w:rFonts w:ascii="Wingdings" w:hAnsi="Wingdings" w:hint="default"/>
      </w:rPr>
    </w:lvl>
  </w:abstractNum>
  <w:abstractNum w:abstractNumId="170" w15:restartNumberingAfterBreak="0">
    <w:nsid w:val="6A191FFC"/>
    <w:multiLevelType w:val="hybridMultilevel"/>
    <w:tmpl w:val="7DA20ED8"/>
    <w:styleLink w:val="111111"/>
    <w:lvl w:ilvl="0" w:tplc="040C0001">
      <w:numFmt w:val="bullet"/>
      <w:lvlText w:val="-"/>
      <w:lvlJc w:val="left"/>
      <w:pPr>
        <w:ind w:left="720" w:hanging="360"/>
      </w:pPr>
      <w:rPr>
        <w:rFonts w:ascii="Arial" w:eastAsia="Times New Roman" w:hAnsi="Arial" w:hint="default"/>
        <w:b/>
        <w:bCs w:val="0"/>
        <w:i w:val="0"/>
        <w:iCs w:val="0"/>
        <w:caps w:val="0"/>
        <w:smallCaps w:val="0"/>
        <w:strike w:val="0"/>
        <w:dstrike w:val="0"/>
        <w:vanish w:val="0"/>
        <w:color w:val="auto"/>
        <w:spacing w:val="0"/>
        <w:kern w:val="0"/>
        <w:position w:val="0"/>
        <w:u w:val="none"/>
        <w:vertAlign w:val="baseline"/>
        <w:em w:val="none"/>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1" w15:restartNumberingAfterBreak="0">
    <w:nsid w:val="6AD77BC5"/>
    <w:multiLevelType w:val="hybridMultilevel"/>
    <w:tmpl w:val="2752FE5C"/>
    <w:lvl w:ilvl="0" w:tplc="380C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2" w15:restartNumberingAfterBreak="0">
    <w:nsid w:val="6BD22FE1"/>
    <w:multiLevelType w:val="multilevel"/>
    <w:tmpl w:val="0194EC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3" w15:restartNumberingAfterBreak="0">
    <w:nsid w:val="6BDC35E5"/>
    <w:multiLevelType w:val="multilevel"/>
    <w:tmpl w:val="ACA4A8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4" w15:restartNumberingAfterBreak="0">
    <w:nsid w:val="6D79179E"/>
    <w:multiLevelType w:val="multilevel"/>
    <w:tmpl w:val="764EFC62"/>
    <w:styleLink w:val="WWOutlineListStyle"/>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864" w:hanging="864"/>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75" w15:restartNumberingAfterBreak="0">
    <w:nsid w:val="6D983C2D"/>
    <w:multiLevelType w:val="hybridMultilevel"/>
    <w:tmpl w:val="82C2D640"/>
    <w:lvl w:ilvl="0" w:tplc="380C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6" w15:restartNumberingAfterBreak="0">
    <w:nsid w:val="6DAF2C6B"/>
    <w:multiLevelType w:val="multilevel"/>
    <w:tmpl w:val="6DAF2C6B"/>
    <w:lvl w:ilvl="0">
      <w:start w:val="1"/>
      <w:numFmt w:val="bullet"/>
      <w:lvlText w:val=""/>
      <w:lvlJc w:val="left"/>
      <w:pPr>
        <w:ind w:left="1146" w:hanging="360"/>
      </w:pPr>
      <w:rPr>
        <w:rFonts w:ascii="Wingdings" w:hAnsi="Wingdings" w:hint="default"/>
      </w:rPr>
    </w:lvl>
    <w:lvl w:ilvl="1">
      <w:start w:val="1"/>
      <w:numFmt w:val="bullet"/>
      <w:lvlText w:val="o"/>
      <w:lvlJc w:val="left"/>
      <w:pPr>
        <w:ind w:left="1866" w:hanging="360"/>
      </w:pPr>
      <w:rPr>
        <w:rFonts w:ascii="Courier New" w:hAnsi="Courier New" w:cs="Courier New" w:hint="default"/>
      </w:rPr>
    </w:lvl>
    <w:lvl w:ilvl="2">
      <w:start w:val="1"/>
      <w:numFmt w:val="bullet"/>
      <w:lvlText w:val=""/>
      <w:lvlJc w:val="left"/>
      <w:pPr>
        <w:ind w:left="2586" w:hanging="360"/>
      </w:pPr>
      <w:rPr>
        <w:rFonts w:ascii="Wingdings" w:hAnsi="Wingdings" w:hint="default"/>
      </w:rPr>
    </w:lvl>
    <w:lvl w:ilvl="3">
      <w:start w:val="1"/>
      <w:numFmt w:val="bullet"/>
      <w:lvlText w:val=""/>
      <w:lvlJc w:val="left"/>
      <w:pPr>
        <w:ind w:left="3306" w:hanging="360"/>
      </w:pPr>
      <w:rPr>
        <w:rFonts w:ascii="Symbol" w:hAnsi="Symbol" w:hint="default"/>
      </w:rPr>
    </w:lvl>
    <w:lvl w:ilvl="4">
      <w:start w:val="1"/>
      <w:numFmt w:val="bullet"/>
      <w:lvlText w:val="o"/>
      <w:lvlJc w:val="left"/>
      <w:pPr>
        <w:ind w:left="4026" w:hanging="360"/>
      </w:pPr>
      <w:rPr>
        <w:rFonts w:ascii="Courier New" w:hAnsi="Courier New" w:cs="Courier New" w:hint="default"/>
      </w:rPr>
    </w:lvl>
    <w:lvl w:ilvl="5">
      <w:start w:val="1"/>
      <w:numFmt w:val="bullet"/>
      <w:lvlText w:val=""/>
      <w:lvlJc w:val="left"/>
      <w:pPr>
        <w:ind w:left="4746" w:hanging="360"/>
      </w:pPr>
      <w:rPr>
        <w:rFonts w:ascii="Wingdings" w:hAnsi="Wingdings" w:hint="default"/>
      </w:rPr>
    </w:lvl>
    <w:lvl w:ilvl="6">
      <w:start w:val="1"/>
      <w:numFmt w:val="bullet"/>
      <w:lvlText w:val=""/>
      <w:lvlJc w:val="left"/>
      <w:pPr>
        <w:ind w:left="5466" w:hanging="360"/>
      </w:pPr>
      <w:rPr>
        <w:rFonts w:ascii="Symbol" w:hAnsi="Symbol" w:hint="default"/>
      </w:rPr>
    </w:lvl>
    <w:lvl w:ilvl="7">
      <w:start w:val="1"/>
      <w:numFmt w:val="bullet"/>
      <w:lvlText w:val="o"/>
      <w:lvlJc w:val="left"/>
      <w:pPr>
        <w:ind w:left="6186" w:hanging="360"/>
      </w:pPr>
      <w:rPr>
        <w:rFonts w:ascii="Courier New" w:hAnsi="Courier New" w:cs="Courier New" w:hint="default"/>
      </w:rPr>
    </w:lvl>
    <w:lvl w:ilvl="8">
      <w:start w:val="1"/>
      <w:numFmt w:val="bullet"/>
      <w:lvlText w:val=""/>
      <w:lvlJc w:val="left"/>
      <w:pPr>
        <w:ind w:left="6906" w:hanging="360"/>
      </w:pPr>
      <w:rPr>
        <w:rFonts w:ascii="Wingdings" w:hAnsi="Wingdings" w:hint="default"/>
      </w:rPr>
    </w:lvl>
  </w:abstractNum>
  <w:abstractNum w:abstractNumId="177" w15:restartNumberingAfterBreak="0">
    <w:nsid w:val="6DD31270"/>
    <w:multiLevelType w:val="multilevel"/>
    <w:tmpl w:val="123011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8" w15:restartNumberingAfterBreak="0">
    <w:nsid w:val="6E0E4E38"/>
    <w:multiLevelType w:val="multilevel"/>
    <w:tmpl w:val="08BA35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9" w15:restartNumberingAfterBreak="0">
    <w:nsid w:val="6F68397B"/>
    <w:multiLevelType w:val="hybridMultilevel"/>
    <w:tmpl w:val="3958595C"/>
    <w:lvl w:ilvl="0" w:tplc="5B1A82CA">
      <w:start w:val="1"/>
      <w:numFmt w:val="bullet"/>
      <w:pStyle w:val="E2"/>
      <w:lvlText w:val="-"/>
      <w:lvlJc w:val="left"/>
      <w:pPr>
        <w:tabs>
          <w:tab w:val="num" w:pos="567"/>
        </w:tabs>
        <w:ind w:left="568" w:hanging="284"/>
      </w:pPr>
      <w:rPr>
        <w:rFonts w:ascii="Arial" w:hAnsi="Arial" w:cs="Times New Roman" w:hint="default"/>
        <w:b w:val="0"/>
        <w:i w:val="0"/>
        <w:sz w:val="20"/>
      </w:rPr>
    </w:lvl>
    <w:lvl w:ilvl="1" w:tplc="EAA08C62">
      <w:numFmt w:val="decimal"/>
      <w:lvlText w:val=""/>
      <w:lvlJc w:val="left"/>
    </w:lvl>
    <w:lvl w:ilvl="2" w:tplc="2A626C90">
      <w:numFmt w:val="decimal"/>
      <w:lvlText w:val=""/>
      <w:lvlJc w:val="left"/>
    </w:lvl>
    <w:lvl w:ilvl="3" w:tplc="4F7CD800">
      <w:numFmt w:val="decimal"/>
      <w:lvlText w:val=""/>
      <w:lvlJc w:val="left"/>
    </w:lvl>
    <w:lvl w:ilvl="4" w:tplc="296800D0">
      <w:numFmt w:val="decimal"/>
      <w:lvlText w:val=""/>
      <w:lvlJc w:val="left"/>
    </w:lvl>
    <w:lvl w:ilvl="5" w:tplc="82BA8636">
      <w:numFmt w:val="decimal"/>
      <w:lvlText w:val=""/>
      <w:lvlJc w:val="left"/>
    </w:lvl>
    <w:lvl w:ilvl="6" w:tplc="5002D400">
      <w:numFmt w:val="decimal"/>
      <w:lvlText w:val=""/>
      <w:lvlJc w:val="left"/>
    </w:lvl>
    <w:lvl w:ilvl="7" w:tplc="9AA07D68">
      <w:numFmt w:val="decimal"/>
      <w:lvlText w:val=""/>
      <w:lvlJc w:val="left"/>
    </w:lvl>
    <w:lvl w:ilvl="8" w:tplc="5C5C88F0">
      <w:numFmt w:val="decimal"/>
      <w:lvlText w:val=""/>
      <w:lvlJc w:val="left"/>
    </w:lvl>
  </w:abstractNum>
  <w:abstractNum w:abstractNumId="180" w15:restartNumberingAfterBreak="0">
    <w:nsid w:val="6F987355"/>
    <w:multiLevelType w:val="multilevel"/>
    <w:tmpl w:val="CE4819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1" w15:restartNumberingAfterBreak="0">
    <w:nsid w:val="709C4DCB"/>
    <w:multiLevelType w:val="hybridMultilevel"/>
    <w:tmpl w:val="6C567E72"/>
    <w:lvl w:ilvl="0" w:tplc="380C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2" w15:restartNumberingAfterBreak="0">
    <w:nsid w:val="71051582"/>
    <w:multiLevelType w:val="multilevel"/>
    <w:tmpl w:val="A69AFD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3" w15:restartNumberingAfterBreak="0">
    <w:nsid w:val="71DC4C99"/>
    <w:multiLevelType w:val="multilevel"/>
    <w:tmpl w:val="93D26E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4" w15:restartNumberingAfterBreak="0">
    <w:nsid w:val="723B0E20"/>
    <w:multiLevelType w:val="hybridMultilevel"/>
    <w:tmpl w:val="2F5E81BC"/>
    <w:lvl w:ilvl="0" w:tplc="67ACAD02">
      <w:numFmt w:val="bullet"/>
      <w:lvlText w:val="-"/>
      <w:lvlJc w:val="left"/>
      <w:pPr>
        <w:ind w:left="720" w:hanging="360"/>
      </w:pPr>
      <w:rPr>
        <w:rFonts w:ascii="Arial" w:eastAsia="Arial" w:hAnsi="Arial" w:cs="Arial" w:hint="default"/>
        <w:b w:val="0"/>
        <w:bCs w:val="0"/>
        <w:i w:val="0"/>
        <w:iCs w:val="0"/>
        <w:spacing w:val="0"/>
        <w:w w:val="100"/>
        <w:sz w:val="22"/>
        <w:szCs w:val="22"/>
        <w:lang w:val="fr-FR" w:eastAsia="en-US" w:bidi="ar-SA"/>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5" w15:restartNumberingAfterBreak="0">
    <w:nsid w:val="73321A0A"/>
    <w:multiLevelType w:val="multilevel"/>
    <w:tmpl w:val="9600E584"/>
    <w:lvl w:ilvl="0">
      <w:start w:val="1"/>
      <w:numFmt w:val="bullet"/>
      <w:pStyle w:val="Puce10"/>
      <w:lvlText w:val="▬"/>
      <w:lvlJc w:val="left"/>
      <w:pPr>
        <w:tabs>
          <w:tab w:val="num" w:pos="680"/>
        </w:tabs>
        <w:ind w:left="680" w:hanging="340"/>
      </w:pPr>
      <w:rPr>
        <w:rFonts w:ascii="Segoe UI" w:hAnsi="Segoe UI" w:hint="default"/>
        <w:color w:val="4472C4" w:themeColor="accent1"/>
      </w:rPr>
    </w:lvl>
    <w:lvl w:ilvl="1">
      <w:start w:val="1"/>
      <w:numFmt w:val="bullet"/>
      <w:pStyle w:val="Puce2"/>
      <w:lvlText w:val="▬"/>
      <w:lvlJc w:val="left"/>
      <w:pPr>
        <w:tabs>
          <w:tab w:val="num" w:pos="1020"/>
        </w:tabs>
        <w:ind w:left="1020" w:hanging="340"/>
      </w:pPr>
      <w:rPr>
        <w:rFonts w:ascii="Segoe UI" w:hAnsi="Segoe UI" w:hint="default"/>
        <w:color w:val="ED7D31" w:themeColor="accent2"/>
      </w:rPr>
    </w:lvl>
    <w:lvl w:ilvl="2">
      <w:start w:val="1"/>
      <w:numFmt w:val="bullet"/>
      <w:lvlText w:val=""/>
      <w:lvlJc w:val="left"/>
      <w:pPr>
        <w:tabs>
          <w:tab w:val="num" w:pos="1247"/>
        </w:tabs>
        <w:ind w:left="1247" w:hanging="227"/>
      </w:pPr>
      <w:rPr>
        <w:rFonts w:ascii="Wingdings" w:hAnsi="Wingdings" w:hint="default"/>
        <w:color w:val="ED7D31" w:themeColor="accent2"/>
      </w:rPr>
    </w:lvl>
    <w:lvl w:ilvl="3">
      <w:start w:val="1"/>
      <w:numFmt w:val="bullet"/>
      <w:lvlText w:val="●"/>
      <w:lvlJc w:val="left"/>
      <w:pPr>
        <w:tabs>
          <w:tab w:val="num" w:pos="1474"/>
        </w:tabs>
        <w:ind w:left="1474" w:hanging="227"/>
      </w:pPr>
      <w:rPr>
        <w:rFonts w:ascii="Segoe UI" w:hAnsi="Segoe UI" w:hint="default"/>
        <w:color w:val="4472C4" w:themeColor="accent1"/>
      </w:rPr>
    </w:lvl>
    <w:lvl w:ilvl="4">
      <w:start w:val="1"/>
      <w:numFmt w:val="lowerLetter"/>
      <w:lvlText w:val="(%5)"/>
      <w:lvlJc w:val="left"/>
      <w:pPr>
        <w:ind w:left="2140" w:hanging="360"/>
      </w:pPr>
      <w:rPr>
        <w:rFonts w:hint="default"/>
      </w:rPr>
    </w:lvl>
    <w:lvl w:ilvl="5">
      <w:start w:val="1"/>
      <w:numFmt w:val="lowerRoman"/>
      <w:lvlText w:val="(%6)"/>
      <w:lvlJc w:val="left"/>
      <w:pPr>
        <w:ind w:left="2500" w:hanging="360"/>
      </w:pPr>
      <w:rPr>
        <w:rFonts w:hint="default"/>
      </w:rPr>
    </w:lvl>
    <w:lvl w:ilvl="6">
      <w:start w:val="1"/>
      <w:numFmt w:val="decimal"/>
      <w:lvlText w:val="%7."/>
      <w:lvlJc w:val="left"/>
      <w:pPr>
        <w:ind w:left="2860" w:hanging="360"/>
      </w:pPr>
      <w:rPr>
        <w:rFonts w:hint="default"/>
      </w:rPr>
    </w:lvl>
    <w:lvl w:ilvl="7">
      <w:start w:val="1"/>
      <w:numFmt w:val="lowerLetter"/>
      <w:lvlText w:val="%8."/>
      <w:lvlJc w:val="left"/>
      <w:pPr>
        <w:ind w:left="3220" w:hanging="360"/>
      </w:pPr>
      <w:rPr>
        <w:rFonts w:hint="default"/>
      </w:rPr>
    </w:lvl>
    <w:lvl w:ilvl="8">
      <w:start w:val="1"/>
      <w:numFmt w:val="lowerRoman"/>
      <w:lvlText w:val="%9."/>
      <w:lvlJc w:val="left"/>
      <w:pPr>
        <w:ind w:left="3580" w:hanging="360"/>
      </w:pPr>
      <w:rPr>
        <w:rFonts w:hint="default"/>
      </w:rPr>
    </w:lvl>
  </w:abstractNum>
  <w:abstractNum w:abstractNumId="186" w15:restartNumberingAfterBreak="0">
    <w:nsid w:val="73D0320A"/>
    <w:multiLevelType w:val="hybridMultilevel"/>
    <w:tmpl w:val="0B04F0FA"/>
    <w:lvl w:ilvl="0" w:tplc="6B90E3FC">
      <w:start w:val="1"/>
      <w:numFmt w:val="bullet"/>
      <w:pStyle w:val="Puce20"/>
      <w:lvlText w:val=""/>
      <w:lvlJc w:val="left"/>
      <w:pPr>
        <w:tabs>
          <w:tab w:val="num" w:pos="737"/>
        </w:tabs>
        <w:ind w:left="737" w:hanging="397"/>
      </w:pPr>
      <w:rPr>
        <w:rFonts w:ascii="Wingdings" w:hAnsi="Wingdings" w:hint="default"/>
        <w:sz w:val="14"/>
      </w:rPr>
    </w:lvl>
    <w:lvl w:ilvl="1" w:tplc="F59ABB0E">
      <w:start w:val="1"/>
      <w:numFmt w:val="bullet"/>
      <w:lvlText w:val="o"/>
      <w:lvlJc w:val="left"/>
      <w:pPr>
        <w:tabs>
          <w:tab w:val="num" w:pos="1156"/>
        </w:tabs>
        <w:ind w:left="1156" w:hanging="360"/>
      </w:pPr>
      <w:rPr>
        <w:rFonts w:ascii="Courier New" w:hAnsi="Courier New" w:hint="default"/>
      </w:rPr>
    </w:lvl>
    <w:lvl w:ilvl="2" w:tplc="7FCADB46">
      <w:start w:val="1"/>
      <w:numFmt w:val="bullet"/>
      <w:lvlText w:val=""/>
      <w:lvlJc w:val="left"/>
      <w:pPr>
        <w:tabs>
          <w:tab w:val="num" w:pos="1876"/>
        </w:tabs>
        <w:ind w:left="1876" w:hanging="360"/>
      </w:pPr>
      <w:rPr>
        <w:rFonts w:ascii="Wingdings" w:hAnsi="Wingdings" w:hint="default"/>
      </w:rPr>
    </w:lvl>
    <w:lvl w:ilvl="3" w:tplc="CD966DE2" w:tentative="1">
      <w:start w:val="1"/>
      <w:numFmt w:val="bullet"/>
      <w:lvlText w:val=""/>
      <w:lvlJc w:val="left"/>
      <w:pPr>
        <w:tabs>
          <w:tab w:val="num" w:pos="2596"/>
        </w:tabs>
        <w:ind w:left="2596" w:hanging="360"/>
      </w:pPr>
      <w:rPr>
        <w:rFonts w:ascii="Symbol" w:hAnsi="Symbol" w:hint="default"/>
      </w:rPr>
    </w:lvl>
    <w:lvl w:ilvl="4" w:tplc="DA2C80AC" w:tentative="1">
      <w:start w:val="1"/>
      <w:numFmt w:val="bullet"/>
      <w:lvlText w:val="o"/>
      <w:lvlJc w:val="left"/>
      <w:pPr>
        <w:tabs>
          <w:tab w:val="num" w:pos="3316"/>
        </w:tabs>
        <w:ind w:left="3316" w:hanging="360"/>
      </w:pPr>
      <w:rPr>
        <w:rFonts w:ascii="Courier New" w:hAnsi="Courier New" w:hint="default"/>
      </w:rPr>
    </w:lvl>
    <w:lvl w:ilvl="5" w:tplc="A42E13BC" w:tentative="1">
      <w:start w:val="1"/>
      <w:numFmt w:val="bullet"/>
      <w:lvlText w:val=""/>
      <w:lvlJc w:val="left"/>
      <w:pPr>
        <w:tabs>
          <w:tab w:val="num" w:pos="4036"/>
        </w:tabs>
        <w:ind w:left="4036" w:hanging="360"/>
      </w:pPr>
      <w:rPr>
        <w:rFonts w:ascii="Wingdings" w:hAnsi="Wingdings" w:hint="default"/>
      </w:rPr>
    </w:lvl>
    <w:lvl w:ilvl="6" w:tplc="5C72E984" w:tentative="1">
      <w:start w:val="1"/>
      <w:numFmt w:val="bullet"/>
      <w:lvlText w:val=""/>
      <w:lvlJc w:val="left"/>
      <w:pPr>
        <w:tabs>
          <w:tab w:val="num" w:pos="4756"/>
        </w:tabs>
        <w:ind w:left="4756" w:hanging="360"/>
      </w:pPr>
      <w:rPr>
        <w:rFonts w:ascii="Symbol" w:hAnsi="Symbol" w:hint="default"/>
      </w:rPr>
    </w:lvl>
    <w:lvl w:ilvl="7" w:tplc="1702F1B8" w:tentative="1">
      <w:start w:val="1"/>
      <w:numFmt w:val="bullet"/>
      <w:lvlText w:val="o"/>
      <w:lvlJc w:val="left"/>
      <w:pPr>
        <w:tabs>
          <w:tab w:val="num" w:pos="5476"/>
        </w:tabs>
        <w:ind w:left="5476" w:hanging="360"/>
      </w:pPr>
      <w:rPr>
        <w:rFonts w:ascii="Courier New" w:hAnsi="Courier New" w:hint="default"/>
      </w:rPr>
    </w:lvl>
    <w:lvl w:ilvl="8" w:tplc="D7D48D8E" w:tentative="1">
      <w:start w:val="1"/>
      <w:numFmt w:val="bullet"/>
      <w:lvlText w:val=""/>
      <w:lvlJc w:val="left"/>
      <w:pPr>
        <w:tabs>
          <w:tab w:val="num" w:pos="6196"/>
        </w:tabs>
        <w:ind w:left="6196" w:hanging="360"/>
      </w:pPr>
      <w:rPr>
        <w:rFonts w:ascii="Wingdings" w:hAnsi="Wingdings" w:hint="default"/>
      </w:rPr>
    </w:lvl>
  </w:abstractNum>
  <w:abstractNum w:abstractNumId="187" w15:restartNumberingAfterBreak="0">
    <w:nsid w:val="73DB7389"/>
    <w:multiLevelType w:val="multilevel"/>
    <w:tmpl w:val="73DB7389"/>
    <w:lvl w:ilvl="0">
      <w:start w:val="1"/>
      <w:numFmt w:val="bullet"/>
      <w:lvlText w:val=""/>
      <w:lvlJc w:val="left"/>
      <w:pPr>
        <w:ind w:left="1146" w:hanging="360"/>
      </w:pPr>
      <w:rPr>
        <w:rFonts w:ascii="Wingdings" w:hAnsi="Wingdings" w:hint="default"/>
      </w:rPr>
    </w:lvl>
    <w:lvl w:ilvl="1">
      <w:start w:val="1"/>
      <w:numFmt w:val="bullet"/>
      <w:lvlText w:val="o"/>
      <w:lvlJc w:val="left"/>
      <w:pPr>
        <w:ind w:left="1866" w:hanging="360"/>
      </w:pPr>
      <w:rPr>
        <w:rFonts w:ascii="Courier New" w:hAnsi="Courier New" w:cs="Courier New" w:hint="default"/>
      </w:rPr>
    </w:lvl>
    <w:lvl w:ilvl="2">
      <w:start w:val="1"/>
      <w:numFmt w:val="bullet"/>
      <w:lvlText w:val=""/>
      <w:lvlJc w:val="left"/>
      <w:pPr>
        <w:ind w:left="2586" w:hanging="360"/>
      </w:pPr>
      <w:rPr>
        <w:rFonts w:ascii="Wingdings" w:hAnsi="Wingdings" w:hint="default"/>
      </w:rPr>
    </w:lvl>
    <w:lvl w:ilvl="3">
      <w:start w:val="1"/>
      <w:numFmt w:val="bullet"/>
      <w:lvlText w:val=""/>
      <w:lvlJc w:val="left"/>
      <w:pPr>
        <w:ind w:left="3306" w:hanging="360"/>
      </w:pPr>
      <w:rPr>
        <w:rFonts w:ascii="Symbol" w:hAnsi="Symbol" w:hint="default"/>
      </w:rPr>
    </w:lvl>
    <w:lvl w:ilvl="4">
      <w:start w:val="1"/>
      <w:numFmt w:val="bullet"/>
      <w:lvlText w:val="o"/>
      <w:lvlJc w:val="left"/>
      <w:pPr>
        <w:ind w:left="4026" w:hanging="360"/>
      </w:pPr>
      <w:rPr>
        <w:rFonts w:ascii="Courier New" w:hAnsi="Courier New" w:cs="Courier New" w:hint="default"/>
      </w:rPr>
    </w:lvl>
    <w:lvl w:ilvl="5">
      <w:start w:val="1"/>
      <w:numFmt w:val="bullet"/>
      <w:lvlText w:val=""/>
      <w:lvlJc w:val="left"/>
      <w:pPr>
        <w:ind w:left="4746" w:hanging="360"/>
      </w:pPr>
      <w:rPr>
        <w:rFonts w:ascii="Wingdings" w:hAnsi="Wingdings" w:hint="default"/>
      </w:rPr>
    </w:lvl>
    <w:lvl w:ilvl="6">
      <w:start w:val="1"/>
      <w:numFmt w:val="bullet"/>
      <w:lvlText w:val=""/>
      <w:lvlJc w:val="left"/>
      <w:pPr>
        <w:ind w:left="5466" w:hanging="360"/>
      </w:pPr>
      <w:rPr>
        <w:rFonts w:ascii="Symbol" w:hAnsi="Symbol" w:hint="default"/>
      </w:rPr>
    </w:lvl>
    <w:lvl w:ilvl="7">
      <w:start w:val="1"/>
      <w:numFmt w:val="bullet"/>
      <w:lvlText w:val="o"/>
      <w:lvlJc w:val="left"/>
      <w:pPr>
        <w:ind w:left="6186" w:hanging="360"/>
      </w:pPr>
      <w:rPr>
        <w:rFonts w:ascii="Courier New" w:hAnsi="Courier New" w:cs="Courier New" w:hint="default"/>
      </w:rPr>
    </w:lvl>
    <w:lvl w:ilvl="8">
      <w:start w:val="1"/>
      <w:numFmt w:val="bullet"/>
      <w:lvlText w:val=""/>
      <w:lvlJc w:val="left"/>
      <w:pPr>
        <w:ind w:left="6906" w:hanging="360"/>
      </w:pPr>
      <w:rPr>
        <w:rFonts w:ascii="Wingdings" w:hAnsi="Wingdings" w:hint="default"/>
      </w:rPr>
    </w:lvl>
  </w:abstractNum>
  <w:abstractNum w:abstractNumId="188" w15:restartNumberingAfterBreak="0">
    <w:nsid w:val="747F0FE7"/>
    <w:multiLevelType w:val="hybridMultilevel"/>
    <w:tmpl w:val="A46681F8"/>
    <w:lvl w:ilvl="0" w:tplc="A80ECAE4">
      <w:start w:val="1"/>
      <w:numFmt w:val="decimal"/>
      <w:pStyle w:val="Listenumrote"/>
      <w:lvlText w:val="%1)"/>
      <w:lvlJc w:val="left"/>
      <w:pPr>
        <w:tabs>
          <w:tab w:val="num" w:pos="284"/>
        </w:tabs>
        <w:ind w:left="284" w:hanging="284"/>
      </w:pPr>
      <w:rPr>
        <w:rFonts w:hint="default"/>
      </w:rPr>
    </w:lvl>
    <w:lvl w:ilvl="1" w:tplc="464ADAFC" w:tentative="1">
      <w:start w:val="1"/>
      <w:numFmt w:val="lowerLetter"/>
      <w:lvlText w:val="%2."/>
      <w:lvlJc w:val="left"/>
      <w:pPr>
        <w:tabs>
          <w:tab w:val="num" w:pos="1440"/>
        </w:tabs>
        <w:ind w:left="1440" w:hanging="360"/>
      </w:pPr>
    </w:lvl>
    <w:lvl w:ilvl="2" w:tplc="95B83A7C" w:tentative="1">
      <w:start w:val="1"/>
      <w:numFmt w:val="lowerRoman"/>
      <w:lvlText w:val="%3."/>
      <w:lvlJc w:val="right"/>
      <w:pPr>
        <w:tabs>
          <w:tab w:val="num" w:pos="2160"/>
        </w:tabs>
        <w:ind w:left="2160" w:hanging="180"/>
      </w:pPr>
    </w:lvl>
    <w:lvl w:ilvl="3" w:tplc="30A20F68" w:tentative="1">
      <w:start w:val="1"/>
      <w:numFmt w:val="decimal"/>
      <w:lvlText w:val="%4."/>
      <w:lvlJc w:val="left"/>
      <w:pPr>
        <w:tabs>
          <w:tab w:val="num" w:pos="2880"/>
        </w:tabs>
        <w:ind w:left="2880" w:hanging="360"/>
      </w:pPr>
    </w:lvl>
    <w:lvl w:ilvl="4" w:tplc="63762110" w:tentative="1">
      <w:start w:val="1"/>
      <w:numFmt w:val="lowerLetter"/>
      <w:lvlText w:val="%5."/>
      <w:lvlJc w:val="left"/>
      <w:pPr>
        <w:tabs>
          <w:tab w:val="num" w:pos="3600"/>
        </w:tabs>
        <w:ind w:left="3600" w:hanging="360"/>
      </w:pPr>
    </w:lvl>
    <w:lvl w:ilvl="5" w:tplc="B1BAA408" w:tentative="1">
      <w:start w:val="1"/>
      <w:numFmt w:val="lowerRoman"/>
      <w:lvlText w:val="%6."/>
      <w:lvlJc w:val="right"/>
      <w:pPr>
        <w:tabs>
          <w:tab w:val="num" w:pos="4320"/>
        </w:tabs>
        <w:ind w:left="4320" w:hanging="180"/>
      </w:pPr>
    </w:lvl>
    <w:lvl w:ilvl="6" w:tplc="7092F41E" w:tentative="1">
      <w:start w:val="1"/>
      <w:numFmt w:val="decimal"/>
      <w:lvlText w:val="%7."/>
      <w:lvlJc w:val="left"/>
      <w:pPr>
        <w:tabs>
          <w:tab w:val="num" w:pos="5040"/>
        </w:tabs>
        <w:ind w:left="5040" w:hanging="360"/>
      </w:pPr>
    </w:lvl>
    <w:lvl w:ilvl="7" w:tplc="D0282E4A" w:tentative="1">
      <w:start w:val="1"/>
      <w:numFmt w:val="lowerLetter"/>
      <w:lvlText w:val="%8."/>
      <w:lvlJc w:val="left"/>
      <w:pPr>
        <w:tabs>
          <w:tab w:val="num" w:pos="5760"/>
        </w:tabs>
        <w:ind w:left="5760" w:hanging="360"/>
      </w:pPr>
    </w:lvl>
    <w:lvl w:ilvl="8" w:tplc="4E3E27E2" w:tentative="1">
      <w:start w:val="1"/>
      <w:numFmt w:val="lowerRoman"/>
      <w:lvlText w:val="%9."/>
      <w:lvlJc w:val="right"/>
      <w:pPr>
        <w:tabs>
          <w:tab w:val="num" w:pos="6480"/>
        </w:tabs>
        <w:ind w:left="6480" w:hanging="180"/>
      </w:pPr>
    </w:lvl>
  </w:abstractNum>
  <w:abstractNum w:abstractNumId="189" w15:restartNumberingAfterBreak="0">
    <w:nsid w:val="74DF69B6"/>
    <w:multiLevelType w:val="multilevel"/>
    <w:tmpl w:val="6D8AA8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0" w15:restartNumberingAfterBreak="0">
    <w:nsid w:val="75620039"/>
    <w:multiLevelType w:val="hybridMultilevel"/>
    <w:tmpl w:val="850CA01E"/>
    <w:lvl w:ilvl="0" w:tplc="67ACAD02">
      <w:numFmt w:val="bullet"/>
      <w:lvlText w:val="-"/>
      <w:lvlJc w:val="left"/>
      <w:pPr>
        <w:ind w:left="720" w:hanging="360"/>
      </w:pPr>
      <w:rPr>
        <w:rFonts w:ascii="Arial" w:eastAsia="Arial" w:hAnsi="Arial" w:cs="Arial" w:hint="default"/>
        <w:b w:val="0"/>
        <w:bCs w:val="0"/>
        <w:i w:val="0"/>
        <w:iCs w:val="0"/>
        <w:spacing w:val="0"/>
        <w:w w:val="100"/>
        <w:sz w:val="22"/>
        <w:szCs w:val="22"/>
        <w:lang w:val="fr-FR" w:eastAsia="en-US" w:bidi="ar-SA"/>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1" w15:restartNumberingAfterBreak="0">
    <w:nsid w:val="76057016"/>
    <w:multiLevelType w:val="hybridMultilevel"/>
    <w:tmpl w:val="ABCE8E1C"/>
    <w:lvl w:ilvl="0" w:tplc="2904D818">
      <w:start w:val="1"/>
      <w:numFmt w:val="decimal"/>
      <w:pStyle w:val="TextNum"/>
      <w:lvlText w:val="%1)"/>
      <w:lvlJc w:val="left"/>
      <w:pPr>
        <w:ind w:left="720" w:hanging="360"/>
      </w:pPr>
      <w:rPr>
        <w:rFonts w:hint="default"/>
      </w:rPr>
    </w:lvl>
    <w:lvl w:ilvl="1" w:tplc="380C0019" w:tentative="1">
      <w:start w:val="1"/>
      <w:numFmt w:val="lowerLetter"/>
      <w:lvlText w:val="%2."/>
      <w:lvlJc w:val="left"/>
      <w:pPr>
        <w:ind w:left="1440" w:hanging="360"/>
      </w:pPr>
    </w:lvl>
    <w:lvl w:ilvl="2" w:tplc="380C001B" w:tentative="1">
      <w:start w:val="1"/>
      <w:numFmt w:val="lowerRoman"/>
      <w:lvlText w:val="%3."/>
      <w:lvlJc w:val="right"/>
      <w:pPr>
        <w:ind w:left="2160" w:hanging="180"/>
      </w:pPr>
    </w:lvl>
    <w:lvl w:ilvl="3" w:tplc="380C000F" w:tentative="1">
      <w:start w:val="1"/>
      <w:numFmt w:val="decimal"/>
      <w:lvlText w:val="%4."/>
      <w:lvlJc w:val="left"/>
      <w:pPr>
        <w:ind w:left="2880" w:hanging="360"/>
      </w:pPr>
    </w:lvl>
    <w:lvl w:ilvl="4" w:tplc="380C0019" w:tentative="1">
      <w:start w:val="1"/>
      <w:numFmt w:val="lowerLetter"/>
      <w:lvlText w:val="%5."/>
      <w:lvlJc w:val="left"/>
      <w:pPr>
        <w:ind w:left="3600" w:hanging="360"/>
      </w:pPr>
    </w:lvl>
    <w:lvl w:ilvl="5" w:tplc="380C001B" w:tentative="1">
      <w:start w:val="1"/>
      <w:numFmt w:val="lowerRoman"/>
      <w:lvlText w:val="%6."/>
      <w:lvlJc w:val="right"/>
      <w:pPr>
        <w:ind w:left="4320" w:hanging="180"/>
      </w:pPr>
    </w:lvl>
    <w:lvl w:ilvl="6" w:tplc="380C000F" w:tentative="1">
      <w:start w:val="1"/>
      <w:numFmt w:val="decimal"/>
      <w:lvlText w:val="%7."/>
      <w:lvlJc w:val="left"/>
      <w:pPr>
        <w:ind w:left="5040" w:hanging="360"/>
      </w:pPr>
    </w:lvl>
    <w:lvl w:ilvl="7" w:tplc="380C0019" w:tentative="1">
      <w:start w:val="1"/>
      <w:numFmt w:val="lowerLetter"/>
      <w:lvlText w:val="%8."/>
      <w:lvlJc w:val="left"/>
      <w:pPr>
        <w:ind w:left="5760" w:hanging="360"/>
      </w:pPr>
    </w:lvl>
    <w:lvl w:ilvl="8" w:tplc="380C001B" w:tentative="1">
      <w:start w:val="1"/>
      <w:numFmt w:val="lowerRoman"/>
      <w:lvlText w:val="%9."/>
      <w:lvlJc w:val="right"/>
      <w:pPr>
        <w:ind w:left="6480" w:hanging="180"/>
      </w:pPr>
    </w:lvl>
  </w:abstractNum>
  <w:abstractNum w:abstractNumId="192" w15:restartNumberingAfterBreak="0">
    <w:nsid w:val="76A84F36"/>
    <w:multiLevelType w:val="hybridMultilevel"/>
    <w:tmpl w:val="1FD46ACC"/>
    <w:lvl w:ilvl="0" w:tplc="67ACAD02">
      <w:numFmt w:val="bullet"/>
      <w:lvlText w:val="-"/>
      <w:lvlJc w:val="left"/>
      <w:pPr>
        <w:ind w:left="720" w:hanging="360"/>
      </w:pPr>
      <w:rPr>
        <w:rFonts w:ascii="Arial" w:eastAsia="Arial" w:hAnsi="Arial" w:cs="Arial" w:hint="default"/>
        <w:b w:val="0"/>
        <w:bCs w:val="0"/>
        <w:i w:val="0"/>
        <w:iCs w:val="0"/>
        <w:spacing w:val="0"/>
        <w:w w:val="100"/>
        <w:sz w:val="22"/>
        <w:szCs w:val="22"/>
        <w:lang w:val="fr-FR" w:eastAsia="en-US" w:bidi="ar-SA"/>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3" w15:restartNumberingAfterBreak="0">
    <w:nsid w:val="770667E4"/>
    <w:multiLevelType w:val="multilevel"/>
    <w:tmpl w:val="C9A091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4" w15:restartNumberingAfterBreak="0">
    <w:nsid w:val="77DE5E56"/>
    <w:multiLevelType w:val="multilevel"/>
    <w:tmpl w:val="930A5C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5" w15:restartNumberingAfterBreak="0">
    <w:nsid w:val="78437AC6"/>
    <w:multiLevelType w:val="hybridMultilevel"/>
    <w:tmpl w:val="AFD28D7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6" w15:restartNumberingAfterBreak="0">
    <w:nsid w:val="784821FC"/>
    <w:multiLevelType w:val="singleLevel"/>
    <w:tmpl w:val="9EBAEC96"/>
    <w:styleLink w:val="StyleAvecpuces"/>
    <w:lvl w:ilvl="0">
      <w:start w:val="1"/>
      <w:numFmt w:val="bullet"/>
      <w:pStyle w:val="TITRESANSN"/>
      <w:lvlText w:val=""/>
      <w:lvlJc w:val="left"/>
      <w:pPr>
        <w:tabs>
          <w:tab w:val="num" w:pos="720"/>
        </w:tabs>
        <w:ind w:left="720" w:hanging="360"/>
      </w:pPr>
      <w:rPr>
        <w:rFonts w:ascii="Wingdings" w:hAnsi="Wingdings" w:hint="default"/>
        <w:b/>
        <w:sz w:val="22"/>
        <w:szCs w:val="22"/>
      </w:rPr>
    </w:lvl>
  </w:abstractNum>
  <w:abstractNum w:abstractNumId="197" w15:restartNumberingAfterBreak="0">
    <w:nsid w:val="784F3792"/>
    <w:multiLevelType w:val="hybridMultilevel"/>
    <w:tmpl w:val="40E033CE"/>
    <w:lvl w:ilvl="0" w:tplc="A434F566">
      <w:start w:val="1"/>
      <w:numFmt w:val="bullet"/>
      <w:pStyle w:val="Style10"/>
      <w:lvlText w:val=""/>
      <w:lvlJc w:val="left"/>
      <w:pPr>
        <w:ind w:left="720" w:hanging="360"/>
      </w:pPr>
      <w:rPr>
        <w:rFonts w:ascii="Wingdings" w:hAnsi="Wingdings" w:hint="default"/>
        <w:color w:val="0028A8"/>
      </w:rPr>
    </w:lvl>
    <w:lvl w:ilvl="1" w:tplc="380C0003" w:tentative="1">
      <w:start w:val="1"/>
      <w:numFmt w:val="bullet"/>
      <w:lvlText w:val="o"/>
      <w:lvlJc w:val="left"/>
      <w:pPr>
        <w:ind w:left="1440" w:hanging="360"/>
      </w:pPr>
      <w:rPr>
        <w:rFonts w:ascii="Courier New" w:hAnsi="Courier New" w:cs="Courier New" w:hint="default"/>
      </w:rPr>
    </w:lvl>
    <w:lvl w:ilvl="2" w:tplc="380C0005" w:tentative="1">
      <w:start w:val="1"/>
      <w:numFmt w:val="bullet"/>
      <w:lvlText w:val=""/>
      <w:lvlJc w:val="left"/>
      <w:pPr>
        <w:ind w:left="2160" w:hanging="360"/>
      </w:pPr>
      <w:rPr>
        <w:rFonts w:ascii="Wingdings" w:hAnsi="Wingdings" w:hint="default"/>
      </w:rPr>
    </w:lvl>
    <w:lvl w:ilvl="3" w:tplc="380C0001" w:tentative="1">
      <w:start w:val="1"/>
      <w:numFmt w:val="bullet"/>
      <w:lvlText w:val=""/>
      <w:lvlJc w:val="left"/>
      <w:pPr>
        <w:ind w:left="2880" w:hanging="360"/>
      </w:pPr>
      <w:rPr>
        <w:rFonts w:ascii="Symbol" w:hAnsi="Symbol" w:hint="default"/>
      </w:rPr>
    </w:lvl>
    <w:lvl w:ilvl="4" w:tplc="380C0003" w:tentative="1">
      <w:start w:val="1"/>
      <w:numFmt w:val="bullet"/>
      <w:lvlText w:val="o"/>
      <w:lvlJc w:val="left"/>
      <w:pPr>
        <w:ind w:left="3600" w:hanging="360"/>
      </w:pPr>
      <w:rPr>
        <w:rFonts w:ascii="Courier New" w:hAnsi="Courier New" w:cs="Courier New" w:hint="default"/>
      </w:rPr>
    </w:lvl>
    <w:lvl w:ilvl="5" w:tplc="380C0005" w:tentative="1">
      <w:start w:val="1"/>
      <w:numFmt w:val="bullet"/>
      <w:lvlText w:val=""/>
      <w:lvlJc w:val="left"/>
      <w:pPr>
        <w:ind w:left="4320" w:hanging="360"/>
      </w:pPr>
      <w:rPr>
        <w:rFonts w:ascii="Wingdings" w:hAnsi="Wingdings" w:hint="default"/>
      </w:rPr>
    </w:lvl>
    <w:lvl w:ilvl="6" w:tplc="380C0001" w:tentative="1">
      <w:start w:val="1"/>
      <w:numFmt w:val="bullet"/>
      <w:lvlText w:val=""/>
      <w:lvlJc w:val="left"/>
      <w:pPr>
        <w:ind w:left="5040" w:hanging="360"/>
      </w:pPr>
      <w:rPr>
        <w:rFonts w:ascii="Symbol" w:hAnsi="Symbol" w:hint="default"/>
      </w:rPr>
    </w:lvl>
    <w:lvl w:ilvl="7" w:tplc="380C0003" w:tentative="1">
      <w:start w:val="1"/>
      <w:numFmt w:val="bullet"/>
      <w:lvlText w:val="o"/>
      <w:lvlJc w:val="left"/>
      <w:pPr>
        <w:ind w:left="5760" w:hanging="360"/>
      </w:pPr>
      <w:rPr>
        <w:rFonts w:ascii="Courier New" w:hAnsi="Courier New" w:cs="Courier New" w:hint="default"/>
      </w:rPr>
    </w:lvl>
    <w:lvl w:ilvl="8" w:tplc="380C0005" w:tentative="1">
      <w:start w:val="1"/>
      <w:numFmt w:val="bullet"/>
      <w:lvlText w:val=""/>
      <w:lvlJc w:val="left"/>
      <w:pPr>
        <w:ind w:left="6480" w:hanging="360"/>
      </w:pPr>
      <w:rPr>
        <w:rFonts w:ascii="Wingdings" w:hAnsi="Wingdings" w:hint="default"/>
      </w:rPr>
    </w:lvl>
  </w:abstractNum>
  <w:abstractNum w:abstractNumId="198" w15:restartNumberingAfterBreak="0">
    <w:nsid w:val="788C69CF"/>
    <w:multiLevelType w:val="hybridMultilevel"/>
    <w:tmpl w:val="D5A6FE72"/>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9" w15:restartNumberingAfterBreak="0">
    <w:nsid w:val="79551245"/>
    <w:multiLevelType w:val="multilevel"/>
    <w:tmpl w:val="2BD6FE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0" w15:restartNumberingAfterBreak="0">
    <w:nsid w:val="798B1F77"/>
    <w:multiLevelType w:val="multilevel"/>
    <w:tmpl w:val="80CCA5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1" w15:restartNumberingAfterBreak="0">
    <w:nsid w:val="7A14195D"/>
    <w:multiLevelType w:val="hybridMultilevel"/>
    <w:tmpl w:val="75C8EEA4"/>
    <w:lvl w:ilvl="0" w:tplc="BC56E3B6">
      <w:start w:val="1"/>
      <w:numFmt w:val="bullet"/>
      <w:pStyle w:val="Tabletextbullet"/>
      <w:lvlText w:val="-"/>
      <w:lvlJc w:val="left"/>
      <w:pPr>
        <w:ind w:left="502" w:hanging="360"/>
      </w:pPr>
      <w:rPr>
        <w:rFonts w:ascii="Arial" w:hAnsi="Arial" w:hint="default"/>
        <w:color w:val="007A5F"/>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2" w15:restartNumberingAfterBreak="0">
    <w:nsid w:val="7B024F9C"/>
    <w:multiLevelType w:val="hybridMultilevel"/>
    <w:tmpl w:val="C08C2E28"/>
    <w:lvl w:ilvl="0" w:tplc="67ACAD02">
      <w:numFmt w:val="bullet"/>
      <w:lvlText w:val="-"/>
      <w:lvlJc w:val="left"/>
      <w:pPr>
        <w:ind w:left="720" w:hanging="360"/>
      </w:pPr>
      <w:rPr>
        <w:rFonts w:ascii="Arial" w:eastAsia="Arial" w:hAnsi="Arial" w:cs="Arial" w:hint="default"/>
        <w:b w:val="0"/>
        <w:bCs w:val="0"/>
        <w:i w:val="0"/>
        <w:iCs w:val="0"/>
        <w:spacing w:val="0"/>
        <w:w w:val="100"/>
        <w:sz w:val="22"/>
        <w:szCs w:val="22"/>
        <w:lang w:val="fr-FR" w:eastAsia="en-US" w:bidi="ar-SA"/>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3" w15:restartNumberingAfterBreak="0">
    <w:nsid w:val="7BB77CDA"/>
    <w:multiLevelType w:val="multilevel"/>
    <w:tmpl w:val="26284B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4" w15:restartNumberingAfterBreak="0">
    <w:nsid w:val="7D1D1991"/>
    <w:multiLevelType w:val="hybridMultilevel"/>
    <w:tmpl w:val="FB0CB80E"/>
    <w:lvl w:ilvl="0" w:tplc="380C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5" w15:restartNumberingAfterBreak="0">
    <w:nsid w:val="7D9475E2"/>
    <w:multiLevelType w:val="multilevel"/>
    <w:tmpl w:val="66BA88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6" w15:restartNumberingAfterBreak="0">
    <w:nsid w:val="7F384FD2"/>
    <w:multiLevelType w:val="hybridMultilevel"/>
    <w:tmpl w:val="D5EC704A"/>
    <w:lvl w:ilvl="0" w:tplc="040C0001">
      <w:start w:val="1"/>
      <w:numFmt w:val="bullet"/>
      <w:pStyle w:val="Puce0"/>
      <w:lvlText w:val=""/>
      <w:lvlJc w:val="left"/>
      <w:pPr>
        <w:tabs>
          <w:tab w:val="num" w:pos="1758"/>
        </w:tabs>
        <w:ind w:left="1758" w:hanging="266"/>
      </w:pPr>
      <w:rPr>
        <w:rFonts w:ascii="Technic" w:hAnsi="Technic" w:hint="default"/>
        <w:color w:val="0000FF"/>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07" w15:restartNumberingAfterBreak="0">
    <w:nsid w:val="7FAD6420"/>
    <w:multiLevelType w:val="multilevel"/>
    <w:tmpl w:val="DD2C86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8" w15:restartNumberingAfterBreak="0">
    <w:nsid w:val="7FD60681"/>
    <w:multiLevelType w:val="multilevel"/>
    <w:tmpl w:val="6284FD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19"/>
  </w:num>
  <w:num w:numId="2">
    <w:abstractNumId w:val="85"/>
  </w:num>
  <w:num w:numId="3">
    <w:abstractNumId w:val="103"/>
  </w:num>
  <w:num w:numId="4">
    <w:abstractNumId w:val="44"/>
  </w:num>
  <w:num w:numId="5">
    <w:abstractNumId w:val="89"/>
  </w:num>
  <w:num w:numId="6">
    <w:abstractNumId w:val="187"/>
  </w:num>
  <w:num w:numId="7">
    <w:abstractNumId w:val="176"/>
  </w:num>
  <w:num w:numId="8">
    <w:abstractNumId w:val="123"/>
  </w:num>
  <w:num w:numId="9">
    <w:abstractNumId w:val="11"/>
  </w:num>
  <w:num w:numId="10">
    <w:abstractNumId w:val="169"/>
  </w:num>
  <w:num w:numId="11">
    <w:abstractNumId w:val="191"/>
  </w:num>
  <w:num w:numId="12">
    <w:abstractNumId w:val="50"/>
  </w:num>
  <w:num w:numId="13">
    <w:abstractNumId w:val="156"/>
  </w:num>
  <w:num w:numId="14">
    <w:abstractNumId w:val="64"/>
  </w:num>
  <w:num w:numId="15">
    <w:abstractNumId w:val="197"/>
  </w:num>
  <w:num w:numId="16">
    <w:abstractNumId w:val="136"/>
  </w:num>
  <w:num w:numId="17">
    <w:abstractNumId w:val="163"/>
  </w:num>
  <w:num w:numId="18">
    <w:abstractNumId w:val="118"/>
  </w:num>
  <w:num w:numId="19">
    <w:abstractNumId w:val="37"/>
  </w:num>
  <w:num w:numId="20">
    <w:abstractNumId w:val="153"/>
  </w:num>
  <w:num w:numId="21">
    <w:abstractNumId w:val="102"/>
  </w:num>
  <w:num w:numId="22">
    <w:abstractNumId w:val="101"/>
  </w:num>
  <w:num w:numId="23">
    <w:abstractNumId w:val="112"/>
  </w:num>
  <w:num w:numId="24">
    <w:abstractNumId w:val="5"/>
  </w:num>
  <w:num w:numId="25">
    <w:abstractNumId w:val="168"/>
  </w:num>
  <w:num w:numId="26">
    <w:abstractNumId w:val="106"/>
  </w:num>
  <w:num w:numId="27">
    <w:abstractNumId w:val="150"/>
  </w:num>
  <w:num w:numId="28">
    <w:abstractNumId w:val="96"/>
  </w:num>
  <w:num w:numId="29">
    <w:abstractNumId w:val="175"/>
  </w:num>
  <w:num w:numId="30">
    <w:abstractNumId w:val="125"/>
  </w:num>
  <w:num w:numId="31">
    <w:abstractNumId w:val="116"/>
  </w:num>
  <w:num w:numId="32">
    <w:abstractNumId w:val="171"/>
  </w:num>
  <w:num w:numId="33">
    <w:abstractNumId w:val="204"/>
  </w:num>
  <w:num w:numId="34">
    <w:abstractNumId w:val="181"/>
  </w:num>
  <w:num w:numId="35">
    <w:abstractNumId w:val="58"/>
  </w:num>
  <w:num w:numId="36">
    <w:abstractNumId w:val="92"/>
  </w:num>
  <w:num w:numId="37">
    <w:abstractNumId w:val="111"/>
  </w:num>
  <w:num w:numId="38">
    <w:abstractNumId w:val="65"/>
  </w:num>
  <w:num w:numId="39">
    <w:abstractNumId w:val="185"/>
  </w:num>
  <w:num w:numId="40">
    <w:abstractNumId w:val="115"/>
  </w:num>
  <w:num w:numId="41">
    <w:abstractNumId w:val="75"/>
  </w:num>
  <w:num w:numId="42">
    <w:abstractNumId w:val="52"/>
  </w:num>
  <w:num w:numId="43">
    <w:abstractNumId w:val="77"/>
  </w:num>
  <w:num w:numId="44">
    <w:abstractNumId w:val="97"/>
    <w:lvlOverride w:ilvl="0">
      <w:lvl w:ilvl="0">
        <w:start w:val="1"/>
        <w:numFmt w:val="bullet"/>
        <w:pStyle w:val="Puces1"/>
        <w:lvlText w:val=""/>
        <w:lvlJc w:val="left"/>
        <w:pPr>
          <w:tabs>
            <w:tab w:val="num" w:pos="567"/>
          </w:tabs>
          <w:ind w:left="567" w:hanging="283"/>
        </w:pPr>
        <w:rPr>
          <w:rFonts w:ascii="Wingdings" w:hAnsi="Wingdings" w:hint="default"/>
          <w:b w:val="0"/>
          <w:i w:val="0"/>
          <w:color w:val="04617B"/>
          <w:sz w:val="18"/>
        </w:rPr>
      </w:lvl>
    </w:lvlOverride>
    <w:lvlOverride w:ilvl="1">
      <w:lvl w:ilvl="1">
        <w:start w:val="1"/>
        <w:numFmt w:val="bullet"/>
        <w:pStyle w:val="Puces2"/>
        <w:lvlText w:val=""/>
        <w:lvlJc w:val="left"/>
        <w:pPr>
          <w:tabs>
            <w:tab w:val="num" w:pos="1134"/>
          </w:tabs>
          <w:ind w:left="1134" w:hanging="283"/>
        </w:pPr>
        <w:rPr>
          <w:rFonts w:ascii="Wingdings" w:hAnsi="Wingdings" w:hint="default"/>
          <w:b w:val="0"/>
          <w:i w:val="0"/>
          <w:color w:val="04617B"/>
          <w:sz w:val="20"/>
        </w:rPr>
      </w:lvl>
    </w:lvlOverride>
    <w:lvlOverride w:ilvl="2">
      <w:lvl w:ilvl="2">
        <w:start w:val="1"/>
        <w:numFmt w:val="bullet"/>
        <w:lvlText w:val=""/>
        <w:lvlJc w:val="left"/>
        <w:pPr>
          <w:tabs>
            <w:tab w:val="num" w:pos="2268"/>
          </w:tabs>
          <w:ind w:left="2268" w:hanging="567"/>
        </w:pPr>
        <w:rPr>
          <w:rFonts w:ascii="Wingdings" w:hAnsi="Wingdings" w:hint="default"/>
          <w:color w:val="04617B"/>
        </w:rPr>
      </w:lvl>
    </w:lvlOverride>
    <w:lvlOverride w:ilvl="3">
      <w:lvl w:ilvl="3">
        <w:start w:val="1"/>
        <w:numFmt w:val="bullet"/>
        <w:lvlText w:val=""/>
        <w:lvlJc w:val="left"/>
        <w:pPr>
          <w:tabs>
            <w:tab w:val="num" w:pos="2835"/>
          </w:tabs>
          <w:ind w:left="2835" w:hanging="567"/>
        </w:pPr>
        <w:rPr>
          <w:rFonts w:ascii="Symbol" w:hAnsi="Symbol" w:hint="default"/>
        </w:rPr>
      </w:lvl>
    </w:lvlOverride>
    <w:lvlOverride w:ilvl="4">
      <w:lvl w:ilvl="4">
        <w:start w:val="1"/>
        <w:numFmt w:val="bullet"/>
        <w:lvlText w:val="o"/>
        <w:lvlJc w:val="left"/>
        <w:pPr>
          <w:tabs>
            <w:tab w:val="num" w:pos="3402"/>
          </w:tabs>
          <w:ind w:left="3402" w:hanging="567"/>
        </w:pPr>
        <w:rPr>
          <w:rFonts w:ascii="Courier New" w:hAnsi="Courier New" w:cs="Courier New" w:hint="default"/>
        </w:rPr>
      </w:lvl>
    </w:lvlOverride>
    <w:lvlOverride w:ilvl="5">
      <w:lvl w:ilvl="5">
        <w:start w:val="1"/>
        <w:numFmt w:val="bullet"/>
        <w:lvlText w:val=""/>
        <w:lvlJc w:val="left"/>
        <w:pPr>
          <w:tabs>
            <w:tab w:val="num" w:pos="3969"/>
          </w:tabs>
          <w:ind w:left="3969" w:hanging="567"/>
        </w:pPr>
        <w:rPr>
          <w:rFonts w:ascii="Wingdings" w:hAnsi="Wingdings" w:hint="default"/>
        </w:rPr>
      </w:lvl>
    </w:lvlOverride>
    <w:lvlOverride w:ilvl="6">
      <w:lvl w:ilvl="6">
        <w:start w:val="1"/>
        <w:numFmt w:val="bullet"/>
        <w:lvlText w:val=""/>
        <w:lvlJc w:val="left"/>
        <w:pPr>
          <w:tabs>
            <w:tab w:val="num" w:pos="4536"/>
          </w:tabs>
          <w:ind w:left="4536" w:hanging="567"/>
        </w:pPr>
        <w:rPr>
          <w:rFonts w:ascii="Symbol" w:hAnsi="Symbol" w:hint="default"/>
        </w:rPr>
      </w:lvl>
    </w:lvlOverride>
    <w:lvlOverride w:ilvl="7">
      <w:lvl w:ilvl="7">
        <w:start w:val="1"/>
        <w:numFmt w:val="bullet"/>
        <w:lvlText w:val="o"/>
        <w:lvlJc w:val="left"/>
        <w:pPr>
          <w:tabs>
            <w:tab w:val="num" w:pos="5103"/>
          </w:tabs>
          <w:ind w:left="5103" w:hanging="567"/>
        </w:pPr>
        <w:rPr>
          <w:rFonts w:ascii="Courier New" w:hAnsi="Courier New" w:cs="Courier New" w:hint="default"/>
        </w:rPr>
      </w:lvl>
    </w:lvlOverride>
    <w:lvlOverride w:ilvl="8">
      <w:lvl w:ilvl="8">
        <w:start w:val="1"/>
        <w:numFmt w:val="bullet"/>
        <w:lvlText w:val=""/>
        <w:lvlJc w:val="left"/>
        <w:pPr>
          <w:tabs>
            <w:tab w:val="num" w:pos="5670"/>
          </w:tabs>
          <w:ind w:left="5670" w:hanging="567"/>
        </w:pPr>
        <w:rPr>
          <w:rFonts w:ascii="Wingdings" w:hAnsi="Wingdings" w:hint="default"/>
        </w:rPr>
      </w:lvl>
    </w:lvlOverride>
  </w:num>
  <w:num w:numId="45">
    <w:abstractNumId w:val="56"/>
  </w:num>
  <w:num w:numId="46">
    <w:abstractNumId w:val="20"/>
  </w:num>
  <w:num w:numId="47">
    <w:abstractNumId w:val="152"/>
  </w:num>
  <w:num w:numId="48">
    <w:abstractNumId w:val="124"/>
  </w:num>
  <w:num w:numId="49">
    <w:abstractNumId w:val="161"/>
  </w:num>
  <w:num w:numId="50">
    <w:abstractNumId w:val="78"/>
  </w:num>
  <w:num w:numId="51">
    <w:abstractNumId w:val="6"/>
  </w:num>
  <w:num w:numId="52">
    <w:abstractNumId w:val="68"/>
  </w:num>
  <w:num w:numId="53">
    <w:abstractNumId w:val="3"/>
  </w:num>
  <w:num w:numId="54">
    <w:abstractNumId w:val="2"/>
  </w:num>
  <w:num w:numId="55">
    <w:abstractNumId w:val="35"/>
  </w:num>
  <w:num w:numId="56">
    <w:abstractNumId w:val="127"/>
  </w:num>
  <w:num w:numId="57">
    <w:abstractNumId w:val="81"/>
  </w:num>
  <w:num w:numId="58">
    <w:abstractNumId w:val="82"/>
  </w:num>
  <w:num w:numId="59">
    <w:abstractNumId w:val="206"/>
  </w:num>
  <w:num w:numId="60">
    <w:abstractNumId w:val="104"/>
  </w:num>
  <w:num w:numId="61">
    <w:abstractNumId w:val="131"/>
  </w:num>
  <w:num w:numId="62">
    <w:abstractNumId w:val="7"/>
    <w:lvlOverride w:ilvl="0">
      <w:lvl w:ilvl="0">
        <w:start w:val="1"/>
        <w:numFmt w:val="bullet"/>
        <w:pStyle w:val="puce1-3pts"/>
        <w:lvlText w:val=""/>
        <w:lvlJc w:val="left"/>
        <w:pPr>
          <w:tabs>
            <w:tab w:val="num" w:pos="2061"/>
          </w:tabs>
          <w:ind w:left="1984" w:hanging="283"/>
        </w:pPr>
        <w:rPr>
          <w:rFonts w:ascii="Symbol" w:hAnsi="Symbol" w:hint="default"/>
          <w:sz w:val="28"/>
        </w:rPr>
      </w:lvl>
    </w:lvlOverride>
  </w:num>
  <w:num w:numId="63">
    <w:abstractNumId w:val="43"/>
  </w:num>
  <w:num w:numId="64">
    <w:abstractNumId w:val="170"/>
  </w:num>
  <w:num w:numId="65">
    <w:abstractNumId w:val="135"/>
    <w:lvlOverride w:ilvl="0">
      <w:lvl w:ilvl="0">
        <w:start w:val="1"/>
        <w:numFmt w:val="decimal"/>
        <w:pStyle w:val="STYL1"/>
        <w:lvlText w:val="%1."/>
        <w:lvlJc w:val="left"/>
        <w:pPr>
          <w:ind w:left="357" w:hanging="357"/>
        </w:pPr>
        <w:rPr>
          <w:rFonts w:hint="default"/>
        </w:rPr>
      </w:lvl>
    </w:lvlOverride>
    <w:lvlOverride w:ilvl="1">
      <w:lvl w:ilvl="1">
        <w:start w:val="1"/>
        <w:numFmt w:val="decimal"/>
        <w:pStyle w:val="STYL2"/>
        <w:lvlText w:val="%1.%2."/>
        <w:lvlJc w:val="left"/>
        <w:pPr>
          <w:ind w:left="714" w:hanging="357"/>
        </w:pPr>
        <w:rPr>
          <w:rFonts w:hint="default"/>
        </w:rPr>
      </w:lvl>
    </w:lvlOverride>
    <w:lvlOverride w:ilvl="2">
      <w:lvl w:ilvl="2">
        <w:start w:val="1"/>
        <w:numFmt w:val="decimal"/>
        <w:pStyle w:val="STYL3"/>
        <w:lvlText w:val="%2.%3.1"/>
        <w:lvlJc w:val="left"/>
        <w:pPr>
          <w:ind w:left="1071" w:hanging="357"/>
        </w:pPr>
        <w:rPr>
          <w:rFonts w:hint="default"/>
        </w:rPr>
      </w:lvl>
    </w:lvlOverride>
    <w:lvlOverride w:ilvl="3">
      <w:lvl w:ilvl="3">
        <w:start w:val="1"/>
        <w:numFmt w:val="decimal"/>
        <w:lvlText w:val="(%4)"/>
        <w:lvlJc w:val="left"/>
        <w:pPr>
          <w:ind w:left="1428" w:hanging="357"/>
        </w:pPr>
        <w:rPr>
          <w:rFonts w:hint="default"/>
        </w:rPr>
      </w:lvl>
    </w:lvlOverride>
    <w:lvlOverride w:ilvl="4">
      <w:lvl w:ilvl="4">
        <w:start w:val="1"/>
        <w:numFmt w:val="lowerLetter"/>
        <w:lvlText w:val="(%5)"/>
        <w:lvlJc w:val="left"/>
        <w:pPr>
          <w:ind w:left="1785" w:hanging="357"/>
        </w:pPr>
        <w:rPr>
          <w:rFonts w:hint="default"/>
        </w:rPr>
      </w:lvl>
    </w:lvlOverride>
    <w:lvlOverride w:ilvl="5">
      <w:lvl w:ilvl="5">
        <w:start w:val="1"/>
        <w:numFmt w:val="lowerRoman"/>
        <w:lvlText w:val="(%6)"/>
        <w:lvlJc w:val="left"/>
        <w:pPr>
          <w:ind w:left="2142" w:hanging="357"/>
        </w:pPr>
        <w:rPr>
          <w:rFonts w:hint="default"/>
        </w:rPr>
      </w:lvl>
    </w:lvlOverride>
    <w:lvlOverride w:ilvl="6">
      <w:lvl w:ilvl="6">
        <w:start w:val="1"/>
        <w:numFmt w:val="decimal"/>
        <w:lvlText w:val="%7."/>
        <w:lvlJc w:val="left"/>
        <w:pPr>
          <w:ind w:left="2499" w:hanging="357"/>
        </w:pPr>
        <w:rPr>
          <w:rFonts w:hint="default"/>
        </w:rPr>
      </w:lvl>
    </w:lvlOverride>
    <w:lvlOverride w:ilvl="7">
      <w:lvl w:ilvl="7">
        <w:start w:val="1"/>
        <w:numFmt w:val="lowerLetter"/>
        <w:lvlText w:val="%8."/>
        <w:lvlJc w:val="left"/>
        <w:pPr>
          <w:ind w:left="2856" w:hanging="357"/>
        </w:pPr>
        <w:rPr>
          <w:rFonts w:hint="default"/>
        </w:rPr>
      </w:lvl>
    </w:lvlOverride>
    <w:lvlOverride w:ilvl="8">
      <w:lvl w:ilvl="8">
        <w:start w:val="1"/>
        <w:numFmt w:val="lowerRoman"/>
        <w:lvlText w:val="%9."/>
        <w:lvlJc w:val="left"/>
        <w:pPr>
          <w:ind w:left="3213" w:hanging="357"/>
        </w:pPr>
        <w:rPr>
          <w:rFonts w:hint="default"/>
        </w:rPr>
      </w:lvl>
    </w:lvlOverride>
  </w:num>
  <w:num w:numId="66">
    <w:abstractNumId w:val="145"/>
  </w:num>
  <w:num w:numId="67">
    <w:abstractNumId w:val="155"/>
  </w:num>
  <w:num w:numId="68">
    <w:abstractNumId w:val="95"/>
  </w:num>
  <w:num w:numId="69">
    <w:abstractNumId w:val="196"/>
  </w:num>
  <w:num w:numId="70">
    <w:abstractNumId w:val="25"/>
  </w:num>
  <w:num w:numId="71">
    <w:abstractNumId w:val="26"/>
  </w:num>
  <w:num w:numId="72">
    <w:abstractNumId w:val="14"/>
  </w:num>
  <w:num w:numId="73">
    <w:abstractNumId w:val="186"/>
  </w:num>
  <w:num w:numId="74">
    <w:abstractNumId w:val="38"/>
  </w:num>
  <w:num w:numId="75">
    <w:abstractNumId w:val="60"/>
  </w:num>
  <w:num w:numId="76">
    <w:abstractNumId w:val="4"/>
  </w:num>
  <w:num w:numId="77">
    <w:abstractNumId w:val="107"/>
  </w:num>
  <w:num w:numId="78">
    <w:abstractNumId w:val="21"/>
  </w:num>
  <w:num w:numId="79">
    <w:abstractNumId w:val="61"/>
  </w:num>
  <w:num w:numId="80">
    <w:abstractNumId w:val="133"/>
  </w:num>
  <w:num w:numId="81">
    <w:abstractNumId w:val="105"/>
  </w:num>
  <w:num w:numId="82">
    <w:abstractNumId w:val="36"/>
  </w:num>
  <w:num w:numId="83">
    <w:abstractNumId w:val="53"/>
  </w:num>
  <w:num w:numId="84">
    <w:abstractNumId w:val="10"/>
  </w:num>
  <w:num w:numId="85">
    <w:abstractNumId w:val="39"/>
  </w:num>
  <w:num w:numId="86">
    <w:abstractNumId w:val="201"/>
  </w:num>
  <w:num w:numId="87">
    <w:abstractNumId w:val="165"/>
  </w:num>
  <w:num w:numId="88">
    <w:abstractNumId w:val="19"/>
  </w:num>
  <w:num w:numId="89">
    <w:abstractNumId w:val="47"/>
  </w:num>
  <w:num w:numId="90">
    <w:abstractNumId w:val="1"/>
  </w:num>
  <w:num w:numId="91">
    <w:abstractNumId w:val="0"/>
  </w:num>
  <w:num w:numId="92">
    <w:abstractNumId w:val="45"/>
  </w:num>
  <w:num w:numId="93">
    <w:abstractNumId w:val="147"/>
  </w:num>
  <w:num w:numId="94">
    <w:abstractNumId w:val="139"/>
  </w:num>
  <w:num w:numId="95">
    <w:abstractNumId w:val="91"/>
  </w:num>
  <w:num w:numId="96">
    <w:abstractNumId w:val="179"/>
  </w:num>
  <w:num w:numId="97">
    <w:abstractNumId w:val="66"/>
  </w:num>
  <w:num w:numId="98">
    <w:abstractNumId w:val="22"/>
  </w:num>
  <w:num w:numId="99">
    <w:abstractNumId w:val="188"/>
  </w:num>
  <w:num w:numId="100">
    <w:abstractNumId w:val="166"/>
  </w:num>
  <w:num w:numId="101">
    <w:abstractNumId w:val="143"/>
  </w:num>
  <w:num w:numId="102">
    <w:abstractNumId w:val="174"/>
  </w:num>
  <w:num w:numId="103">
    <w:abstractNumId w:val="135"/>
  </w:num>
  <w:num w:numId="104">
    <w:abstractNumId w:val="149"/>
  </w:num>
  <w:num w:numId="105">
    <w:abstractNumId w:val="114"/>
  </w:num>
  <w:num w:numId="106">
    <w:abstractNumId w:val="72"/>
  </w:num>
  <w:num w:numId="107">
    <w:abstractNumId w:val="15"/>
  </w:num>
  <w:num w:numId="108">
    <w:abstractNumId w:val="8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9">
    <w:abstractNumId w:val="146"/>
  </w:num>
  <w:num w:numId="110">
    <w:abstractNumId w:val="207"/>
  </w:num>
  <w:num w:numId="111">
    <w:abstractNumId w:val="158"/>
  </w:num>
  <w:num w:numId="112">
    <w:abstractNumId w:val="113"/>
  </w:num>
  <w:num w:numId="113">
    <w:abstractNumId w:val="140"/>
  </w:num>
  <w:num w:numId="114">
    <w:abstractNumId w:val="80"/>
  </w:num>
  <w:num w:numId="115">
    <w:abstractNumId w:val="128"/>
  </w:num>
  <w:num w:numId="116">
    <w:abstractNumId w:val="8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7">
    <w:abstractNumId w:val="193"/>
  </w:num>
  <w:num w:numId="118">
    <w:abstractNumId w:val="76"/>
  </w:num>
  <w:num w:numId="119">
    <w:abstractNumId w:val="27"/>
  </w:num>
  <w:num w:numId="120">
    <w:abstractNumId w:val="137"/>
  </w:num>
  <w:num w:numId="121">
    <w:abstractNumId w:val="13"/>
  </w:num>
  <w:num w:numId="122">
    <w:abstractNumId w:val="84"/>
  </w:num>
  <w:num w:numId="123">
    <w:abstractNumId w:val="190"/>
  </w:num>
  <w:num w:numId="124">
    <w:abstractNumId w:val="99"/>
  </w:num>
  <w:num w:numId="125">
    <w:abstractNumId w:val="192"/>
  </w:num>
  <w:num w:numId="126">
    <w:abstractNumId w:val="129"/>
  </w:num>
  <w:num w:numId="127">
    <w:abstractNumId w:val="184"/>
  </w:num>
  <w:num w:numId="128">
    <w:abstractNumId w:val="67"/>
  </w:num>
  <w:num w:numId="129">
    <w:abstractNumId w:val="73"/>
  </w:num>
  <w:num w:numId="130">
    <w:abstractNumId w:val="42"/>
  </w:num>
  <w:num w:numId="131">
    <w:abstractNumId w:val="130"/>
  </w:num>
  <w:num w:numId="132">
    <w:abstractNumId w:val="34"/>
  </w:num>
  <w:num w:numId="133">
    <w:abstractNumId w:val="154"/>
  </w:num>
  <w:num w:numId="134">
    <w:abstractNumId w:val="16"/>
  </w:num>
  <w:num w:numId="135">
    <w:abstractNumId w:val="151"/>
  </w:num>
  <w:num w:numId="136">
    <w:abstractNumId w:val="202"/>
  </w:num>
  <w:num w:numId="137">
    <w:abstractNumId w:val="9"/>
  </w:num>
  <w:num w:numId="138">
    <w:abstractNumId w:val="183"/>
  </w:num>
  <w:num w:numId="139">
    <w:abstractNumId w:val="55"/>
  </w:num>
  <w:num w:numId="140">
    <w:abstractNumId w:val="90"/>
  </w:num>
  <w:num w:numId="141">
    <w:abstractNumId w:val="69"/>
  </w:num>
  <w:num w:numId="142">
    <w:abstractNumId w:val="74"/>
  </w:num>
  <w:num w:numId="143">
    <w:abstractNumId w:val="200"/>
  </w:num>
  <w:num w:numId="144">
    <w:abstractNumId w:val="24"/>
  </w:num>
  <w:num w:numId="145">
    <w:abstractNumId w:val="180"/>
  </w:num>
  <w:num w:numId="146">
    <w:abstractNumId w:val="122"/>
  </w:num>
  <w:num w:numId="147">
    <w:abstractNumId w:val="144"/>
  </w:num>
  <w:num w:numId="148">
    <w:abstractNumId w:val="205"/>
  </w:num>
  <w:num w:numId="149">
    <w:abstractNumId w:val="182"/>
  </w:num>
  <w:num w:numId="150">
    <w:abstractNumId w:val="132"/>
  </w:num>
  <w:num w:numId="151">
    <w:abstractNumId w:val="203"/>
  </w:num>
  <w:num w:numId="152">
    <w:abstractNumId w:val="172"/>
  </w:num>
  <w:num w:numId="153">
    <w:abstractNumId w:val="110"/>
  </w:num>
  <w:num w:numId="154">
    <w:abstractNumId w:val="8"/>
  </w:num>
  <w:num w:numId="155">
    <w:abstractNumId w:val="33"/>
  </w:num>
  <w:num w:numId="156">
    <w:abstractNumId w:val="121"/>
  </w:num>
  <w:num w:numId="157">
    <w:abstractNumId w:val="189"/>
  </w:num>
  <w:num w:numId="158">
    <w:abstractNumId w:val="126"/>
  </w:num>
  <w:num w:numId="159">
    <w:abstractNumId w:val="178"/>
  </w:num>
  <w:num w:numId="160">
    <w:abstractNumId w:val="109"/>
  </w:num>
  <w:num w:numId="161">
    <w:abstractNumId w:val="167"/>
  </w:num>
  <w:num w:numId="162">
    <w:abstractNumId w:val="199"/>
  </w:num>
  <w:num w:numId="163">
    <w:abstractNumId w:val="57"/>
  </w:num>
  <w:num w:numId="164">
    <w:abstractNumId w:val="93"/>
  </w:num>
  <w:num w:numId="165">
    <w:abstractNumId w:val="173"/>
  </w:num>
  <w:num w:numId="166">
    <w:abstractNumId w:val="40"/>
  </w:num>
  <w:num w:numId="167">
    <w:abstractNumId w:val="141"/>
  </w:num>
  <w:num w:numId="168">
    <w:abstractNumId w:val="46"/>
  </w:num>
  <w:num w:numId="169">
    <w:abstractNumId w:val="86"/>
  </w:num>
  <w:num w:numId="170">
    <w:abstractNumId w:val="83"/>
  </w:num>
  <w:num w:numId="171">
    <w:abstractNumId w:val="142"/>
  </w:num>
  <w:num w:numId="172">
    <w:abstractNumId w:val="54"/>
  </w:num>
  <w:num w:numId="173">
    <w:abstractNumId w:val="49"/>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4">
    <w:abstractNumId w:val="62"/>
  </w:num>
  <w:num w:numId="175">
    <w:abstractNumId w:val="117"/>
  </w:num>
  <w:num w:numId="176">
    <w:abstractNumId w:val="18"/>
  </w:num>
  <w:num w:numId="177">
    <w:abstractNumId w:val="108"/>
  </w:num>
  <w:num w:numId="178">
    <w:abstractNumId w:val="28"/>
  </w:num>
  <w:num w:numId="179">
    <w:abstractNumId w:val="87"/>
  </w:num>
  <w:num w:numId="180">
    <w:abstractNumId w:val="63"/>
  </w:num>
  <w:num w:numId="181">
    <w:abstractNumId w:val="59"/>
  </w:num>
  <w:num w:numId="182">
    <w:abstractNumId w:val="159"/>
  </w:num>
  <w:num w:numId="183">
    <w:abstractNumId w:val="100"/>
  </w:num>
  <w:num w:numId="184">
    <w:abstractNumId w:val="70"/>
  </w:num>
  <w:num w:numId="185">
    <w:abstractNumId w:val="51"/>
  </w:num>
  <w:num w:numId="186">
    <w:abstractNumId w:val="8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7">
    <w:abstractNumId w:val="31"/>
  </w:num>
  <w:num w:numId="188">
    <w:abstractNumId w:val="177"/>
  </w:num>
  <w:num w:numId="189">
    <w:abstractNumId w:val="79"/>
  </w:num>
  <w:num w:numId="190">
    <w:abstractNumId w:val="208"/>
  </w:num>
  <w:num w:numId="191">
    <w:abstractNumId w:val="23"/>
  </w:num>
  <w:num w:numId="192">
    <w:abstractNumId w:val="32"/>
  </w:num>
  <w:num w:numId="193">
    <w:abstractNumId w:val="17"/>
  </w:num>
  <w:num w:numId="194">
    <w:abstractNumId w:val="12"/>
  </w:num>
  <w:num w:numId="195">
    <w:abstractNumId w:val="98"/>
  </w:num>
  <w:num w:numId="196">
    <w:abstractNumId w:val="41"/>
  </w:num>
  <w:num w:numId="197">
    <w:abstractNumId w:val="29"/>
  </w:num>
  <w:num w:numId="198">
    <w:abstractNumId w:val="48"/>
  </w:num>
  <w:num w:numId="199">
    <w:abstractNumId w:val="164"/>
  </w:num>
  <w:num w:numId="200">
    <w:abstractNumId w:val="30"/>
  </w:num>
  <w:num w:numId="201">
    <w:abstractNumId w:val="148"/>
  </w:num>
  <w:num w:numId="202">
    <w:abstractNumId w:val="198"/>
  </w:num>
  <w:num w:numId="203">
    <w:abstractNumId w:val="160"/>
  </w:num>
  <w:num w:numId="204">
    <w:abstractNumId w:val="194"/>
  </w:num>
  <w:num w:numId="205">
    <w:abstractNumId w:val="120"/>
  </w:num>
  <w:num w:numId="206">
    <w:abstractNumId w:val="162"/>
  </w:num>
  <w:num w:numId="207">
    <w:abstractNumId w:val="94"/>
  </w:num>
  <w:num w:numId="208">
    <w:abstractNumId w:val="157"/>
  </w:num>
  <w:num w:numId="209">
    <w:abstractNumId w:val="71"/>
  </w:num>
  <w:num w:numId="210">
    <w:abstractNumId w:val="134"/>
  </w:num>
  <w:num w:numId="211">
    <w:abstractNumId w:val="195"/>
  </w:num>
  <w:num w:numId="212">
    <w:abstractNumId w:val="138"/>
  </w:num>
  <w:num w:numId="213">
    <w:abstractNumId w:val="88"/>
  </w:num>
  <w:numIdMacAtCleanup w:val="2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1ED6"/>
    <w:rsid w:val="00000F82"/>
    <w:rsid w:val="00002245"/>
    <w:rsid w:val="0000293F"/>
    <w:rsid w:val="00003654"/>
    <w:rsid w:val="0000441A"/>
    <w:rsid w:val="000048F7"/>
    <w:rsid w:val="00004C36"/>
    <w:rsid w:val="00005190"/>
    <w:rsid w:val="00005237"/>
    <w:rsid w:val="000052C4"/>
    <w:rsid w:val="00006B4C"/>
    <w:rsid w:val="00006C74"/>
    <w:rsid w:val="00006DDB"/>
    <w:rsid w:val="00007BDC"/>
    <w:rsid w:val="00007E02"/>
    <w:rsid w:val="000124BB"/>
    <w:rsid w:val="00012928"/>
    <w:rsid w:val="00012D1D"/>
    <w:rsid w:val="00013393"/>
    <w:rsid w:val="0001374D"/>
    <w:rsid w:val="00013A4E"/>
    <w:rsid w:val="00013AC9"/>
    <w:rsid w:val="00013B46"/>
    <w:rsid w:val="000141D6"/>
    <w:rsid w:val="000143CD"/>
    <w:rsid w:val="00014F48"/>
    <w:rsid w:val="0001633E"/>
    <w:rsid w:val="00016600"/>
    <w:rsid w:val="00016823"/>
    <w:rsid w:val="00017C66"/>
    <w:rsid w:val="00017ED9"/>
    <w:rsid w:val="00020DB6"/>
    <w:rsid w:val="0002131D"/>
    <w:rsid w:val="0002185F"/>
    <w:rsid w:val="000219E2"/>
    <w:rsid w:val="00021AEF"/>
    <w:rsid w:val="00021D91"/>
    <w:rsid w:val="00022AC8"/>
    <w:rsid w:val="00022CF4"/>
    <w:rsid w:val="00023407"/>
    <w:rsid w:val="00023748"/>
    <w:rsid w:val="00023766"/>
    <w:rsid w:val="00023853"/>
    <w:rsid w:val="00023A87"/>
    <w:rsid w:val="00024224"/>
    <w:rsid w:val="00024287"/>
    <w:rsid w:val="0002491E"/>
    <w:rsid w:val="000249F4"/>
    <w:rsid w:val="00024EFE"/>
    <w:rsid w:val="00025C90"/>
    <w:rsid w:val="00025DB4"/>
    <w:rsid w:val="000269B9"/>
    <w:rsid w:val="000275DA"/>
    <w:rsid w:val="0002790D"/>
    <w:rsid w:val="00027C73"/>
    <w:rsid w:val="00030087"/>
    <w:rsid w:val="00030104"/>
    <w:rsid w:val="000301ED"/>
    <w:rsid w:val="00030787"/>
    <w:rsid w:val="00030C3B"/>
    <w:rsid w:val="0003121D"/>
    <w:rsid w:val="00031CE9"/>
    <w:rsid w:val="0003231A"/>
    <w:rsid w:val="00033038"/>
    <w:rsid w:val="0003380F"/>
    <w:rsid w:val="0003486A"/>
    <w:rsid w:val="00035368"/>
    <w:rsid w:val="000353B6"/>
    <w:rsid w:val="00035DE9"/>
    <w:rsid w:val="0003649F"/>
    <w:rsid w:val="00036867"/>
    <w:rsid w:val="00037A7A"/>
    <w:rsid w:val="00037CD1"/>
    <w:rsid w:val="00037EC1"/>
    <w:rsid w:val="00040587"/>
    <w:rsid w:val="00040C10"/>
    <w:rsid w:val="0004103F"/>
    <w:rsid w:val="000410D7"/>
    <w:rsid w:val="0004152D"/>
    <w:rsid w:val="00041C5A"/>
    <w:rsid w:val="00041F45"/>
    <w:rsid w:val="0004206F"/>
    <w:rsid w:val="0004281A"/>
    <w:rsid w:val="0004299C"/>
    <w:rsid w:val="000433C8"/>
    <w:rsid w:val="0004341D"/>
    <w:rsid w:val="000437FC"/>
    <w:rsid w:val="000439DE"/>
    <w:rsid w:val="00043A34"/>
    <w:rsid w:val="000445CA"/>
    <w:rsid w:val="00045CFB"/>
    <w:rsid w:val="00045E00"/>
    <w:rsid w:val="000467A0"/>
    <w:rsid w:val="00047E8E"/>
    <w:rsid w:val="00047FE5"/>
    <w:rsid w:val="0005245D"/>
    <w:rsid w:val="000529EF"/>
    <w:rsid w:val="00052C54"/>
    <w:rsid w:val="0005306A"/>
    <w:rsid w:val="00053819"/>
    <w:rsid w:val="00053A9A"/>
    <w:rsid w:val="00053D5F"/>
    <w:rsid w:val="0005435C"/>
    <w:rsid w:val="000547A6"/>
    <w:rsid w:val="000556E6"/>
    <w:rsid w:val="00056118"/>
    <w:rsid w:val="00056F64"/>
    <w:rsid w:val="00057478"/>
    <w:rsid w:val="0005776C"/>
    <w:rsid w:val="00060071"/>
    <w:rsid w:val="000603EC"/>
    <w:rsid w:val="00060C6D"/>
    <w:rsid w:val="000615C8"/>
    <w:rsid w:val="00061DB0"/>
    <w:rsid w:val="0006255E"/>
    <w:rsid w:val="00062E25"/>
    <w:rsid w:val="00062EF5"/>
    <w:rsid w:val="00063036"/>
    <w:rsid w:val="00063583"/>
    <w:rsid w:val="0006411E"/>
    <w:rsid w:val="00064581"/>
    <w:rsid w:val="00065104"/>
    <w:rsid w:val="00065997"/>
    <w:rsid w:val="00066268"/>
    <w:rsid w:val="00066D0B"/>
    <w:rsid w:val="0006730F"/>
    <w:rsid w:val="00067A81"/>
    <w:rsid w:val="00067ECA"/>
    <w:rsid w:val="000706D7"/>
    <w:rsid w:val="000718FB"/>
    <w:rsid w:val="00071B43"/>
    <w:rsid w:val="00071D1D"/>
    <w:rsid w:val="00072A22"/>
    <w:rsid w:val="00072BB2"/>
    <w:rsid w:val="00073640"/>
    <w:rsid w:val="0007383F"/>
    <w:rsid w:val="00074072"/>
    <w:rsid w:val="0007488D"/>
    <w:rsid w:val="00075573"/>
    <w:rsid w:val="00075F06"/>
    <w:rsid w:val="000767BD"/>
    <w:rsid w:val="000768DA"/>
    <w:rsid w:val="000768E4"/>
    <w:rsid w:val="000776A4"/>
    <w:rsid w:val="00077F54"/>
    <w:rsid w:val="0008063F"/>
    <w:rsid w:val="0008091E"/>
    <w:rsid w:val="00080D3F"/>
    <w:rsid w:val="0008107F"/>
    <w:rsid w:val="000815D4"/>
    <w:rsid w:val="00081A8B"/>
    <w:rsid w:val="000823E9"/>
    <w:rsid w:val="000827D1"/>
    <w:rsid w:val="000836EA"/>
    <w:rsid w:val="000837AB"/>
    <w:rsid w:val="00083923"/>
    <w:rsid w:val="00083BB8"/>
    <w:rsid w:val="00084994"/>
    <w:rsid w:val="00084D1E"/>
    <w:rsid w:val="00084DCB"/>
    <w:rsid w:val="00084E08"/>
    <w:rsid w:val="00085980"/>
    <w:rsid w:val="00085A43"/>
    <w:rsid w:val="00086091"/>
    <w:rsid w:val="000861DA"/>
    <w:rsid w:val="00086FE1"/>
    <w:rsid w:val="00087459"/>
    <w:rsid w:val="000874D9"/>
    <w:rsid w:val="00087799"/>
    <w:rsid w:val="00087BEB"/>
    <w:rsid w:val="00087DC2"/>
    <w:rsid w:val="00090197"/>
    <w:rsid w:val="00090277"/>
    <w:rsid w:val="00090C81"/>
    <w:rsid w:val="00090DBF"/>
    <w:rsid w:val="00092719"/>
    <w:rsid w:val="00092C38"/>
    <w:rsid w:val="000931D1"/>
    <w:rsid w:val="00093C9A"/>
    <w:rsid w:val="0009417A"/>
    <w:rsid w:val="000942FD"/>
    <w:rsid w:val="000952E7"/>
    <w:rsid w:val="00095BD7"/>
    <w:rsid w:val="00096250"/>
    <w:rsid w:val="0009632F"/>
    <w:rsid w:val="000966E0"/>
    <w:rsid w:val="00096ADF"/>
    <w:rsid w:val="000978E9"/>
    <w:rsid w:val="000A07A8"/>
    <w:rsid w:val="000A0A8A"/>
    <w:rsid w:val="000A0DAA"/>
    <w:rsid w:val="000A1306"/>
    <w:rsid w:val="000A1410"/>
    <w:rsid w:val="000A1934"/>
    <w:rsid w:val="000A1DCB"/>
    <w:rsid w:val="000A2300"/>
    <w:rsid w:val="000A27E7"/>
    <w:rsid w:val="000A3CEE"/>
    <w:rsid w:val="000A3EA4"/>
    <w:rsid w:val="000A4870"/>
    <w:rsid w:val="000A5B68"/>
    <w:rsid w:val="000A5BE3"/>
    <w:rsid w:val="000A60AE"/>
    <w:rsid w:val="000A60D6"/>
    <w:rsid w:val="000A696D"/>
    <w:rsid w:val="000A6DE6"/>
    <w:rsid w:val="000A6E37"/>
    <w:rsid w:val="000A70DD"/>
    <w:rsid w:val="000A7299"/>
    <w:rsid w:val="000A756F"/>
    <w:rsid w:val="000A7940"/>
    <w:rsid w:val="000A7CA5"/>
    <w:rsid w:val="000A7E76"/>
    <w:rsid w:val="000A7EF2"/>
    <w:rsid w:val="000B07F6"/>
    <w:rsid w:val="000B0E7C"/>
    <w:rsid w:val="000B19DC"/>
    <w:rsid w:val="000B1ECC"/>
    <w:rsid w:val="000B2BBF"/>
    <w:rsid w:val="000B2C30"/>
    <w:rsid w:val="000B2C55"/>
    <w:rsid w:val="000B346A"/>
    <w:rsid w:val="000B3A99"/>
    <w:rsid w:val="000B3B41"/>
    <w:rsid w:val="000B5708"/>
    <w:rsid w:val="000B5742"/>
    <w:rsid w:val="000B594A"/>
    <w:rsid w:val="000B5B22"/>
    <w:rsid w:val="000B6D2D"/>
    <w:rsid w:val="000B6DB1"/>
    <w:rsid w:val="000B6F16"/>
    <w:rsid w:val="000B73AD"/>
    <w:rsid w:val="000B753D"/>
    <w:rsid w:val="000C038A"/>
    <w:rsid w:val="000C0A77"/>
    <w:rsid w:val="000C137E"/>
    <w:rsid w:val="000C168D"/>
    <w:rsid w:val="000C271A"/>
    <w:rsid w:val="000C27A1"/>
    <w:rsid w:val="000C2F90"/>
    <w:rsid w:val="000C31D0"/>
    <w:rsid w:val="000C3AAA"/>
    <w:rsid w:val="000C432F"/>
    <w:rsid w:val="000C44CD"/>
    <w:rsid w:val="000C45DF"/>
    <w:rsid w:val="000C4FA9"/>
    <w:rsid w:val="000C5012"/>
    <w:rsid w:val="000C62C1"/>
    <w:rsid w:val="000C63CE"/>
    <w:rsid w:val="000C6BCF"/>
    <w:rsid w:val="000C6D92"/>
    <w:rsid w:val="000C7177"/>
    <w:rsid w:val="000C72C6"/>
    <w:rsid w:val="000D08DF"/>
    <w:rsid w:val="000D09F9"/>
    <w:rsid w:val="000D09FA"/>
    <w:rsid w:val="000D0DE5"/>
    <w:rsid w:val="000D1106"/>
    <w:rsid w:val="000D1184"/>
    <w:rsid w:val="000D122A"/>
    <w:rsid w:val="000D1D71"/>
    <w:rsid w:val="000D1D86"/>
    <w:rsid w:val="000D2BAD"/>
    <w:rsid w:val="000D36F8"/>
    <w:rsid w:val="000D37AE"/>
    <w:rsid w:val="000D3FAE"/>
    <w:rsid w:val="000D418D"/>
    <w:rsid w:val="000D42F5"/>
    <w:rsid w:val="000D4410"/>
    <w:rsid w:val="000D501B"/>
    <w:rsid w:val="000D7661"/>
    <w:rsid w:val="000E0648"/>
    <w:rsid w:val="000E1430"/>
    <w:rsid w:val="000E14C5"/>
    <w:rsid w:val="000E18C4"/>
    <w:rsid w:val="000E2732"/>
    <w:rsid w:val="000E2814"/>
    <w:rsid w:val="000E2D0D"/>
    <w:rsid w:val="000E351C"/>
    <w:rsid w:val="000E43FF"/>
    <w:rsid w:val="000E4910"/>
    <w:rsid w:val="000E5A51"/>
    <w:rsid w:val="000E5DF0"/>
    <w:rsid w:val="000E5F37"/>
    <w:rsid w:val="000E5F88"/>
    <w:rsid w:val="000E6805"/>
    <w:rsid w:val="000E7096"/>
    <w:rsid w:val="000E7EA5"/>
    <w:rsid w:val="000F01A7"/>
    <w:rsid w:val="000F0F76"/>
    <w:rsid w:val="000F11A9"/>
    <w:rsid w:val="000F153C"/>
    <w:rsid w:val="000F1552"/>
    <w:rsid w:val="000F1D5C"/>
    <w:rsid w:val="000F2617"/>
    <w:rsid w:val="000F2886"/>
    <w:rsid w:val="000F2AA7"/>
    <w:rsid w:val="000F2C6D"/>
    <w:rsid w:val="000F312D"/>
    <w:rsid w:val="000F403B"/>
    <w:rsid w:val="000F415D"/>
    <w:rsid w:val="000F4292"/>
    <w:rsid w:val="000F4443"/>
    <w:rsid w:val="000F47F8"/>
    <w:rsid w:val="000F541A"/>
    <w:rsid w:val="000F5903"/>
    <w:rsid w:val="000F5C7D"/>
    <w:rsid w:val="000F7395"/>
    <w:rsid w:val="000F74A3"/>
    <w:rsid w:val="000F7515"/>
    <w:rsid w:val="000F7A93"/>
    <w:rsid w:val="000F7AF9"/>
    <w:rsid w:val="00100624"/>
    <w:rsid w:val="0010065A"/>
    <w:rsid w:val="00100884"/>
    <w:rsid w:val="00100E98"/>
    <w:rsid w:val="0010226E"/>
    <w:rsid w:val="0010244E"/>
    <w:rsid w:val="00102D88"/>
    <w:rsid w:val="00103055"/>
    <w:rsid w:val="0010467D"/>
    <w:rsid w:val="00104DA4"/>
    <w:rsid w:val="00105CCB"/>
    <w:rsid w:val="00106CA5"/>
    <w:rsid w:val="001076CE"/>
    <w:rsid w:val="0010775B"/>
    <w:rsid w:val="00107FB1"/>
    <w:rsid w:val="00110372"/>
    <w:rsid w:val="00110571"/>
    <w:rsid w:val="00110804"/>
    <w:rsid w:val="001116B9"/>
    <w:rsid w:val="00111A3C"/>
    <w:rsid w:val="00112035"/>
    <w:rsid w:val="00112348"/>
    <w:rsid w:val="00112702"/>
    <w:rsid w:val="00112767"/>
    <w:rsid w:val="001127DE"/>
    <w:rsid w:val="00112CEC"/>
    <w:rsid w:val="00114AEF"/>
    <w:rsid w:val="00115380"/>
    <w:rsid w:val="001153BE"/>
    <w:rsid w:val="001154C9"/>
    <w:rsid w:val="00115653"/>
    <w:rsid w:val="0011590B"/>
    <w:rsid w:val="00115DA3"/>
    <w:rsid w:val="00115DB1"/>
    <w:rsid w:val="00116323"/>
    <w:rsid w:val="001164F2"/>
    <w:rsid w:val="00117291"/>
    <w:rsid w:val="0011766C"/>
    <w:rsid w:val="001179A1"/>
    <w:rsid w:val="001202F3"/>
    <w:rsid w:val="00120779"/>
    <w:rsid w:val="00120B68"/>
    <w:rsid w:val="00120DFE"/>
    <w:rsid w:val="00121579"/>
    <w:rsid w:val="00121761"/>
    <w:rsid w:val="00121DAE"/>
    <w:rsid w:val="00122F4B"/>
    <w:rsid w:val="00124011"/>
    <w:rsid w:val="001244CD"/>
    <w:rsid w:val="00125818"/>
    <w:rsid w:val="001258B6"/>
    <w:rsid w:val="00125E6E"/>
    <w:rsid w:val="00125ED2"/>
    <w:rsid w:val="00126E3F"/>
    <w:rsid w:val="00126EDE"/>
    <w:rsid w:val="001303C8"/>
    <w:rsid w:val="00130549"/>
    <w:rsid w:val="00130E7D"/>
    <w:rsid w:val="00130F72"/>
    <w:rsid w:val="0013192F"/>
    <w:rsid w:val="0013204C"/>
    <w:rsid w:val="00132352"/>
    <w:rsid w:val="00132D39"/>
    <w:rsid w:val="001337F9"/>
    <w:rsid w:val="00133BF1"/>
    <w:rsid w:val="00133EEC"/>
    <w:rsid w:val="00134909"/>
    <w:rsid w:val="00134C1E"/>
    <w:rsid w:val="00135293"/>
    <w:rsid w:val="00135613"/>
    <w:rsid w:val="00135AB1"/>
    <w:rsid w:val="001362D1"/>
    <w:rsid w:val="001370D3"/>
    <w:rsid w:val="0013757C"/>
    <w:rsid w:val="00137CA2"/>
    <w:rsid w:val="00140026"/>
    <w:rsid w:val="00140329"/>
    <w:rsid w:val="00140833"/>
    <w:rsid w:val="001409CF"/>
    <w:rsid w:val="00140B49"/>
    <w:rsid w:val="00140B85"/>
    <w:rsid w:val="0014128A"/>
    <w:rsid w:val="00141E72"/>
    <w:rsid w:val="001424FF"/>
    <w:rsid w:val="00142C70"/>
    <w:rsid w:val="00142DB3"/>
    <w:rsid w:val="001435F2"/>
    <w:rsid w:val="00143E30"/>
    <w:rsid w:val="00144390"/>
    <w:rsid w:val="00144395"/>
    <w:rsid w:val="00144842"/>
    <w:rsid w:val="00144DC2"/>
    <w:rsid w:val="00144DC8"/>
    <w:rsid w:val="0014532F"/>
    <w:rsid w:val="00145D77"/>
    <w:rsid w:val="00145F25"/>
    <w:rsid w:val="00145F40"/>
    <w:rsid w:val="00146023"/>
    <w:rsid w:val="001464C7"/>
    <w:rsid w:val="00147771"/>
    <w:rsid w:val="00147A73"/>
    <w:rsid w:val="00147EB5"/>
    <w:rsid w:val="0015002E"/>
    <w:rsid w:val="001502DC"/>
    <w:rsid w:val="00150A37"/>
    <w:rsid w:val="00150AAE"/>
    <w:rsid w:val="001511D7"/>
    <w:rsid w:val="0015269F"/>
    <w:rsid w:val="00153CB0"/>
    <w:rsid w:val="00153FCE"/>
    <w:rsid w:val="0015409F"/>
    <w:rsid w:val="00154145"/>
    <w:rsid w:val="001542C1"/>
    <w:rsid w:val="0015431F"/>
    <w:rsid w:val="00154657"/>
    <w:rsid w:val="0015595B"/>
    <w:rsid w:val="00155D4B"/>
    <w:rsid w:val="00155D87"/>
    <w:rsid w:val="001568B2"/>
    <w:rsid w:val="00156DFF"/>
    <w:rsid w:val="00157490"/>
    <w:rsid w:val="00157A27"/>
    <w:rsid w:val="00160175"/>
    <w:rsid w:val="001610F5"/>
    <w:rsid w:val="001613FA"/>
    <w:rsid w:val="00162AA3"/>
    <w:rsid w:val="00163000"/>
    <w:rsid w:val="00163EAD"/>
    <w:rsid w:val="00164220"/>
    <w:rsid w:val="00164F0E"/>
    <w:rsid w:val="00165BEF"/>
    <w:rsid w:val="0016618C"/>
    <w:rsid w:val="001667F3"/>
    <w:rsid w:val="00167755"/>
    <w:rsid w:val="001679CF"/>
    <w:rsid w:val="00167CA6"/>
    <w:rsid w:val="00170032"/>
    <w:rsid w:val="001703BF"/>
    <w:rsid w:val="00170479"/>
    <w:rsid w:val="0017068C"/>
    <w:rsid w:val="001707D2"/>
    <w:rsid w:val="0017088C"/>
    <w:rsid w:val="00170A06"/>
    <w:rsid w:val="00170A2F"/>
    <w:rsid w:val="00171011"/>
    <w:rsid w:val="001710DB"/>
    <w:rsid w:val="001716BC"/>
    <w:rsid w:val="00171BBE"/>
    <w:rsid w:val="001723D4"/>
    <w:rsid w:val="001732CE"/>
    <w:rsid w:val="00173737"/>
    <w:rsid w:val="0017397C"/>
    <w:rsid w:val="00174433"/>
    <w:rsid w:val="0017466B"/>
    <w:rsid w:val="00174B00"/>
    <w:rsid w:val="00175E06"/>
    <w:rsid w:val="00175F18"/>
    <w:rsid w:val="00176212"/>
    <w:rsid w:val="00176484"/>
    <w:rsid w:val="00176A39"/>
    <w:rsid w:val="00176B1F"/>
    <w:rsid w:val="001776B6"/>
    <w:rsid w:val="00180EC0"/>
    <w:rsid w:val="00180EEB"/>
    <w:rsid w:val="00181A73"/>
    <w:rsid w:val="00181E08"/>
    <w:rsid w:val="00182782"/>
    <w:rsid w:val="00182974"/>
    <w:rsid w:val="001829AD"/>
    <w:rsid w:val="00182AB4"/>
    <w:rsid w:val="00182B6B"/>
    <w:rsid w:val="0018308C"/>
    <w:rsid w:val="00183815"/>
    <w:rsid w:val="001838C8"/>
    <w:rsid w:val="00183C3A"/>
    <w:rsid w:val="001854D5"/>
    <w:rsid w:val="001857EF"/>
    <w:rsid w:val="001858B0"/>
    <w:rsid w:val="00185BE1"/>
    <w:rsid w:val="00186993"/>
    <w:rsid w:val="00187460"/>
    <w:rsid w:val="00187F32"/>
    <w:rsid w:val="00187FB3"/>
    <w:rsid w:val="0019028A"/>
    <w:rsid w:val="001902D0"/>
    <w:rsid w:val="0019046C"/>
    <w:rsid w:val="00190929"/>
    <w:rsid w:val="001912E2"/>
    <w:rsid w:val="001916BB"/>
    <w:rsid w:val="00191955"/>
    <w:rsid w:val="00192177"/>
    <w:rsid w:val="0019267A"/>
    <w:rsid w:val="00192A20"/>
    <w:rsid w:val="00193164"/>
    <w:rsid w:val="001936F9"/>
    <w:rsid w:val="00193D3A"/>
    <w:rsid w:val="0019407B"/>
    <w:rsid w:val="001950D8"/>
    <w:rsid w:val="001953EF"/>
    <w:rsid w:val="00195687"/>
    <w:rsid w:val="00195E07"/>
    <w:rsid w:val="0019611E"/>
    <w:rsid w:val="00196598"/>
    <w:rsid w:val="0019681C"/>
    <w:rsid w:val="00196D7B"/>
    <w:rsid w:val="0019794C"/>
    <w:rsid w:val="00197DB3"/>
    <w:rsid w:val="001A052E"/>
    <w:rsid w:val="001A1D1C"/>
    <w:rsid w:val="001A1EC6"/>
    <w:rsid w:val="001A2491"/>
    <w:rsid w:val="001A27E5"/>
    <w:rsid w:val="001A3004"/>
    <w:rsid w:val="001A3678"/>
    <w:rsid w:val="001A38DB"/>
    <w:rsid w:val="001A4649"/>
    <w:rsid w:val="001A47D0"/>
    <w:rsid w:val="001A5074"/>
    <w:rsid w:val="001A5FD3"/>
    <w:rsid w:val="001A6AEE"/>
    <w:rsid w:val="001A7231"/>
    <w:rsid w:val="001A749D"/>
    <w:rsid w:val="001B04CE"/>
    <w:rsid w:val="001B15DD"/>
    <w:rsid w:val="001B1C21"/>
    <w:rsid w:val="001B21ED"/>
    <w:rsid w:val="001B30E3"/>
    <w:rsid w:val="001B3B10"/>
    <w:rsid w:val="001B4989"/>
    <w:rsid w:val="001B4B7B"/>
    <w:rsid w:val="001B4CAC"/>
    <w:rsid w:val="001B5042"/>
    <w:rsid w:val="001B6454"/>
    <w:rsid w:val="001B673F"/>
    <w:rsid w:val="001B6D79"/>
    <w:rsid w:val="001B6E20"/>
    <w:rsid w:val="001B7F43"/>
    <w:rsid w:val="001C05BC"/>
    <w:rsid w:val="001C0BE5"/>
    <w:rsid w:val="001C0EBC"/>
    <w:rsid w:val="001C13A1"/>
    <w:rsid w:val="001C1570"/>
    <w:rsid w:val="001C1CFB"/>
    <w:rsid w:val="001C2242"/>
    <w:rsid w:val="001C2255"/>
    <w:rsid w:val="001C25D4"/>
    <w:rsid w:val="001C26A5"/>
    <w:rsid w:val="001C26EA"/>
    <w:rsid w:val="001C5774"/>
    <w:rsid w:val="001C63CC"/>
    <w:rsid w:val="001C662C"/>
    <w:rsid w:val="001C7A66"/>
    <w:rsid w:val="001C7A88"/>
    <w:rsid w:val="001D0685"/>
    <w:rsid w:val="001D07E6"/>
    <w:rsid w:val="001D11E7"/>
    <w:rsid w:val="001D151A"/>
    <w:rsid w:val="001D1B02"/>
    <w:rsid w:val="001D1FED"/>
    <w:rsid w:val="001D21EF"/>
    <w:rsid w:val="001D2379"/>
    <w:rsid w:val="001D267F"/>
    <w:rsid w:val="001D28F9"/>
    <w:rsid w:val="001D3014"/>
    <w:rsid w:val="001D3931"/>
    <w:rsid w:val="001D3F76"/>
    <w:rsid w:val="001D420D"/>
    <w:rsid w:val="001D422B"/>
    <w:rsid w:val="001D44F1"/>
    <w:rsid w:val="001D4CE2"/>
    <w:rsid w:val="001D547D"/>
    <w:rsid w:val="001D6A1B"/>
    <w:rsid w:val="001D6AAE"/>
    <w:rsid w:val="001D6CAC"/>
    <w:rsid w:val="001D6CB1"/>
    <w:rsid w:val="001D73A2"/>
    <w:rsid w:val="001D75E2"/>
    <w:rsid w:val="001E0171"/>
    <w:rsid w:val="001E0BAA"/>
    <w:rsid w:val="001E2CCA"/>
    <w:rsid w:val="001E385F"/>
    <w:rsid w:val="001E3D51"/>
    <w:rsid w:val="001E434A"/>
    <w:rsid w:val="001E4C26"/>
    <w:rsid w:val="001E4E08"/>
    <w:rsid w:val="001E645D"/>
    <w:rsid w:val="001E722F"/>
    <w:rsid w:val="001E79D1"/>
    <w:rsid w:val="001E7A74"/>
    <w:rsid w:val="001E7BB0"/>
    <w:rsid w:val="001F0AAA"/>
    <w:rsid w:val="001F107C"/>
    <w:rsid w:val="001F22D8"/>
    <w:rsid w:val="001F2720"/>
    <w:rsid w:val="001F2B4F"/>
    <w:rsid w:val="001F2B5D"/>
    <w:rsid w:val="001F31AD"/>
    <w:rsid w:val="001F41D2"/>
    <w:rsid w:val="001F518B"/>
    <w:rsid w:val="001F57EC"/>
    <w:rsid w:val="001F667F"/>
    <w:rsid w:val="001F7157"/>
    <w:rsid w:val="001F72B9"/>
    <w:rsid w:val="001F7AEF"/>
    <w:rsid w:val="001F7D97"/>
    <w:rsid w:val="001F7DF4"/>
    <w:rsid w:val="001F7F0E"/>
    <w:rsid w:val="00200046"/>
    <w:rsid w:val="002004BB"/>
    <w:rsid w:val="002004C8"/>
    <w:rsid w:val="00200DB5"/>
    <w:rsid w:val="00201084"/>
    <w:rsid w:val="002011E3"/>
    <w:rsid w:val="00201473"/>
    <w:rsid w:val="002014E7"/>
    <w:rsid w:val="00201ACD"/>
    <w:rsid w:val="00201D3F"/>
    <w:rsid w:val="00202161"/>
    <w:rsid w:val="002027AE"/>
    <w:rsid w:val="0020280C"/>
    <w:rsid w:val="00203FB8"/>
    <w:rsid w:val="002042E5"/>
    <w:rsid w:val="00204E82"/>
    <w:rsid w:val="0020512E"/>
    <w:rsid w:val="002058C9"/>
    <w:rsid w:val="00205B36"/>
    <w:rsid w:val="00206530"/>
    <w:rsid w:val="0020788D"/>
    <w:rsid w:val="002107BD"/>
    <w:rsid w:val="00210A68"/>
    <w:rsid w:val="00210F53"/>
    <w:rsid w:val="00211B3A"/>
    <w:rsid w:val="00211B4B"/>
    <w:rsid w:val="002123BF"/>
    <w:rsid w:val="00212BEE"/>
    <w:rsid w:val="00212CA0"/>
    <w:rsid w:val="00212CBF"/>
    <w:rsid w:val="00213BFD"/>
    <w:rsid w:val="0021412A"/>
    <w:rsid w:val="00214701"/>
    <w:rsid w:val="002168ED"/>
    <w:rsid w:val="00216D98"/>
    <w:rsid w:val="00217ACE"/>
    <w:rsid w:val="00217CCF"/>
    <w:rsid w:val="002208EE"/>
    <w:rsid w:val="00221688"/>
    <w:rsid w:val="0022256B"/>
    <w:rsid w:val="00222756"/>
    <w:rsid w:val="00222AF3"/>
    <w:rsid w:val="00222BC2"/>
    <w:rsid w:val="0022306F"/>
    <w:rsid w:val="002237B6"/>
    <w:rsid w:val="00223F8A"/>
    <w:rsid w:val="00224642"/>
    <w:rsid w:val="00224910"/>
    <w:rsid w:val="00225838"/>
    <w:rsid w:val="00226409"/>
    <w:rsid w:val="00226DCA"/>
    <w:rsid w:val="00227173"/>
    <w:rsid w:val="002277FE"/>
    <w:rsid w:val="00227DC4"/>
    <w:rsid w:val="002300F0"/>
    <w:rsid w:val="0023027B"/>
    <w:rsid w:val="00230A6B"/>
    <w:rsid w:val="00230C13"/>
    <w:rsid w:val="00231363"/>
    <w:rsid w:val="00232A70"/>
    <w:rsid w:val="00232AD0"/>
    <w:rsid w:val="00232C0D"/>
    <w:rsid w:val="0023387A"/>
    <w:rsid w:val="00233B08"/>
    <w:rsid w:val="00233E31"/>
    <w:rsid w:val="00234CC3"/>
    <w:rsid w:val="00235D50"/>
    <w:rsid w:val="00236032"/>
    <w:rsid w:val="002365E1"/>
    <w:rsid w:val="00237B3A"/>
    <w:rsid w:val="00237B7F"/>
    <w:rsid w:val="00237F5F"/>
    <w:rsid w:val="002407E6"/>
    <w:rsid w:val="00240A71"/>
    <w:rsid w:val="00240D7A"/>
    <w:rsid w:val="00240E7E"/>
    <w:rsid w:val="0024121A"/>
    <w:rsid w:val="00241513"/>
    <w:rsid w:val="0024165C"/>
    <w:rsid w:val="00241C59"/>
    <w:rsid w:val="00241C5F"/>
    <w:rsid w:val="00241E1D"/>
    <w:rsid w:val="002422B2"/>
    <w:rsid w:val="002423D4"/>
    <w:rsid w:val="00242AB5"/>
    <w:rsid w:val="00242D0E"/>
    <w:rsid w:val="00242E73"/>
    <w:rsid w:val="002444F5"/>
    <w:rsid w:val="002449AD"/>
    <w:rsid w:val="002449FB"/>
    <w:rsid w:val="00244E64"/>
    <w:rsid w:val="002459B4"/>
    <w:rsid w:val="00245C75"/>
    <w:rsid w:val="00245D03"/>
    <w:rsid w:val="002467B6"/>
    <w:rsid w:val="00246EBC"/>
    <w:rsid w:val="00246F91"/>
    <w:rsid w:val="0024787F"/>
    <w:rsid w:val="00247BC4"/>
    <w:rsid w:val="00247D26"/>
    <w:rsid w:val="00247E08"/>
    <w:rsid w:val="00250024"/>
    <w:rsid w:val="00250529"/>
    <w:rsid w:val="00250C18"/>
    <w:rsid w:val="00251989"/>
    <w:rsid w:val="00251C02"/>
    <w:rsid w:val="002521C6"/>
    <w:rsid w:val="0025276A"/>
    <w:rsid w:val="0025278C"/>
    <w:rsid w:val="00252B82"/>
    <w:rsid w:val="002532E2"/>
    <w:rsid w:val="00253B2C"/>
    <w:rsid w:val="00254E60"/>
    <w:rsid w:val="00255C56"/>
    <w:rsid w:val="00255C9D"/>
    <w:rsid w:val="002561A7"/>
    <w:rsid w:val="0025632E"/>
    <w:rsid w:val="002566F0"/>
    <w:rsid w:val="00257185"/>
    <w:rsid w:val="002572D1"/>
    <w:rsid w:val="00257552"/>
    <w:rsid w:val="002577BA"/>
    <w:rsid w:val="00257AC3"/>
    <w:rsid w:val="00257B8F"/>
    <w:rsid w:val="002611D5"/>
    <w:rsid w:val="00261F78"/>
    <w:rsid w:val="00262317"/>
    <w:rsid w:val="0026235A"/>
    <w:rsid w:val="00263151"/>
    <w:rsid w:val="002638FA"/>
    <w:rsid w:val="00265705"/>
    <w:rsid w:val="00265AA7"/>
    <w:rsid w:val="002663DA"/>
    <w:rsid w:val="002666B3"/>
    <w:rsid w:val="00267ACF"/>
    <w:rsid w:val="00267E9F"/>
    <w:rsid w:val="00267FAE"/>
    <w:rsid w:val="00270862"/>
    <w:rsid w:val="00270C68"/>
    <w:rsid w:val="00270DAE"/>
    <w:rsid w:val="00270F5C"/>
    <w:rsid w:val="00271172"/>
    <w:rsid w:val="00271843"/>
    <w:rsid w:val="00271CE3"/>
    <w:rsid w:val="0027310D"/>
    <w:rsid w:val="002731FE"/>
    <w:rsid w:val="0027338D"/>
    <w:rsid w:val="00273CFA"/>
    <w:rsid w:val="002742C2"/>
    <w:rsid w:val="002744A3"/>
    <w:rsid w:val="00274E71"/>
    <w:rsid w:val="0027520C"/>
    <w:rsid w:val="002757D9"/>
    <w:rsid w:val="00275D5D"/>
    <w:rsid w:val="0028005D"/>
    <w:rsid w:val="002804C2"/>
    <w:rsid w:val="00281210"/>
    <w:rsid w:val="00282690"/>
    <w:rsid w:val="00282A57"/>
    <w:rsid w:val="002832D7"/>
    <w:rsid w:val="0028355F"/>
    <w:rsid w:val="002839F8"/>
    <w:rsid w:val="00283F23"/>
    <w:rsid w:val="002842B2"/>
    <w:rsid w:val="0028459E"/>
    <w:rsid w:val="00284D2B"/>
    <w:rsid w:val="0028529C"/>
    <w:rsid w:val="002852C2"/>
    <w:rsid w:val="002859D4"/>
    <w:rsid w:val="00285C01"/>
    <w:rsid w:val="00285E34"/>
    <w:rsid w:val="00286629"/>
    <w:rsid w:val="00286B91"/>
    <w:rsid w:val="00286C8B"/>
    <w:rsid w:val="0028719C"/>
    <w:rsid w:val="00287902"/>
    <w:rsid w:val="00290A82"/>
    <w:rsid w:val="002911AD"/>
    <w:rsid w:val="0029131B"/>
    <w:rsid w:val="002917FA"/>
    <w:rsid w:val="00292657"/>
    <w:rsid w:val="0029289E"/>
    <w:rsid w:val="00292CBC"/>
    <w:rsid w:val="00293296"/>
    <w:rsid w:val="002940B0"/>
    <w:rsid w:val="00294442"/>
    <w:rsid w:val="0029558B"/>
    <w:rsid w:val="002957DD"/>
    <w:rsid w:val="002957E3"/>
    <w:rsid w:val="00295A2D"/>
    <w:rsid w:val="00295F78"/>
    <w:rsid w:val="00296299"/>
    <w:rsid w:val="002965EA"/>
    <w:rsid w:val="00296614"/>
    <w:rsid w:val="00296EB5"/>
    <w:rsid w:val="00297234"/>
    <w:rsid w:val="002974D2"/>
    <w:rsid w:val="002979F2"/>
    <w:rsid w:val="00297A43"/>
    <w:rsid w:val="002A05A3"/>
    <w:rsid w:val="002A0709"/>
    <w:rsid w:val="002A0860"/>
    <w:rsid w:val="002A0CBE"/>
    <w:rsid w:val="002A1725"/>
    <w:rsid w:val="002A1FA5"/>
    <w:rsid w:val="002A219E"/>
    <w:rsid w:val="002A2228"/>
    <w:rsid w:val="002A2387"/>
    <w:rsid w:val="002A2FCF"/>
    <w:rsid w:val="002A3B6B"/>
    <w:rsid w:val="002A3C9B"/>
    <w:rsid w:val="002A3EBC"/>
    <w:rsid w:val="002A5179"/>
    <w:rsid w:val="002A5269"/>
    <w:rsid w:val="002A55B6"/>
    <w:rsid w:val="002A584E"/>
    <w:rsid w:val="002A654A"/>
    <w:rsid w:val="002A68B9"/>
    <w:rsid w:val="002A6913"/>
    <w:rsid w:val="002A6F07"/>
    <w:rsid w:val="002B020D"/>
    <w:rsid w:val="002B09A9"/>
    <w:rsid w:val="002B0A5A"/>
    <w:rsid w:val="002B1B0F"/>
    <w:rsid w:val="002B29F6"/>
    <w:rsid w:val="002B2B61"/>
    <w:rsid w:val="002B32D5"/>
    <w:rsid w:val="002B330A"/>
    <w:rsid w:val="002B3CDE"/>
    <w:rsid w:val="002B3DB6"/>
    <w:rsid w:val="002B47A7"/>
    <w:rsid w:val="002B6F4F"/>
    <w:rsid w:val="002B7569"/>
    <w:rsid w:val="002B78C6"/>
    <w:rsid w:val="002C015E"/>
    <w:rsid w:val="002C0661"/>
    <w:rsid w:val="002C0FFC"/>
    <w:rsid w:val="002C11A2"/>
    <w:rsid w:val="002C124E"/>
    <w:rsid w:val="002C12A2"/>
    <w:rsid w:val="002C185E"/>
    <w:rsid w:val="002C1902"/>
    <w:rsid w:val="002C2301"/>
    <w:rsid w:val="002C2487"/>
    <w:rsid w:val="002C2763"/>
    <w:rsid w:val="002C419A"/>
    <w:rsid w:val="002C4591"/>
    <w:rsid w:val="002C4E5F"/>
    <w:rsid w:val="002C5D18"/>
    <w:rsid w:val="002C651D"/>
    <w:rsid w:val="002C6AEA"/>
    <w:rsid w:val="002C6E7F"/>
    <w:rsid w:val="002C7C75"/>
    <w:rsid w:val="002D012C"/>
    <w:rsid w:val="002D014B"/>
    <w:rsid w:val="002D0208"/>
    <w:rsid w:val="002D121A"/>
    <w:rsid w:val="002D12A3"/>
    <w:rsid w:val="002D267B"/>
    <w:rsid w:val="002D3018"/>
    <w:rsid w:val="002D430D"/>
    <w:rsid w:val="002D5E7B"/>
    <w:rsid w:val="002D65D6"/>
    <w:rsid w:val="002D6F66"/>
    <w:rsid w:val="002D78DA"/>
    <w:rsid w:val="002D7E5F"/>
    <w:rsid w:val="002E0164"/>
    <w:rsid w:val="002E0359"/>
    <w:rsid w:val="002E0D2A"/>
    <w:rsid w:val="002E0EF5"/>
    <w:rsid w:val="002E18E8"/>
    <w:rsid w:val="002E1ECD"/>
    <w:rsid w:val="002E215A"/>
    <w:rsid w:val="002E24D5"/>
    <w:rsid w:val="002E2559"/>
    <w:rsid w:val="002E2593"/>
    <w:rsid w:val="002E2B46"/>
    <w:rsid w:val="002E3D34"/>
    <w:rsid w:val="002E4337"/>
    <w:rsid w:val="002E44BD"/>
    <w:rsid w:val="002E4574"/>
    <w:rsid w:val="002E5B6B"/>
    <w:rsid w:val="002E7194"/>
    <w:rsid w:val="002E7385"/>
    <w:rsid w:val="002E76E9"/>
    <w:rsid w:val="002F046B"/>
    <w:rsid w:val="002F0722"/>
    <w:rsid w:val="002F0BB1"/>
    <w:rsid w:val="002F146D"/>
    <w:rsid w:val="002F1798"/>
    <w:rsid w:val="002F1D7D"/>
    <w:rsid w:val="002F31BA"/>
    <w:rsid w:val="002F532B"/>
    <w:rsid w:val="002F5812"/>
    <w:rsid w:val="002F5B6C"/>
    <w:rsid w:val="002F5EC1"/>
    <w:rsid w:val="002F64BB"/>
    <w:rsid w:val="002F6534"/>
    <w:rsid w:val="002F663A"/>
    <w:rsid w:val="002F6855"/>
    <w:rsid w:val="002F7349"/>
    <w:rsid w:val="002F73B5"/>
    <w:rsid w:val="002F7436"/>
    <w:rsid w:val="002F7643"/>
    <w:rsid w:val="002F76F6"/>
    <w:rsid w:val="002F7AC8"/>
    <w:rsid w:val="0030057F"/>
    <w:rsid w:val="00300609"/>
    <w:rsid w:val="003007E8"/>
    <w:rsid w:val="00300DCF"/>
    <w:rsid w:val="00300FB7"/>
    <w:rsid w:val="00302932"/>
    <w:rsid w:val="00302C31"/>
    <w:rsid w:val="00302E1C"/>
    <w:rsid w:val="003032E2"/>
    <w:rsid w:val="00303483"/>
    <w:rsid w:val="003035B1"/>
    <w:rsid w:val="0030369C"/>
    <w:rsid w:val="00303894"/>
    <w:rsid w:val="0030395C"/>
    <w:rsid w:val="00303EF0"/>
    <w:rsid w:val="00303F89"/>
    <w:rsid w:val="003046DA"/>
    <w:rsid w:val="00304817"/>
    <w:rsid w:val="00304E44"/>
    <w:rsid w:val="003056C5"/>
    <w:rsid w:val="00306247"/>
    <w:rsid w:val="00306BA8"/>
    <w:rsid w:val="00306DC0"/>
    <w:rsid w:val="003072D7"/>
    <w:rsid w:val="00307583"/>
    <w:rsid w:val="00307D57"/>
    <w:rsid w:val="00307F63"/>
    <w:rsid w:val="00310148"/>
    <w:rsid w:val="00310399"/>
    <w:rsid w:val="00310427"/>
    <w:rsid w:val="00310A42"/>
    <w:rsid w:val="00310BCF"/>
    <w:rsid w:val="00310C04"/>
    <w:rsid w:val="00310EAC"/>
    <w:rsid w:val="00311E49"/>
    <w:rsid w:val="003125DD"/>
    <w:rsid w:val="0031286F"/>
    <w:rsid w:val="00312B5A"/>
    <w:rsid w:val="00312C69"/>
    <w:rsid w:val="00312DAB"/>
    <w:rsid w:val="003130D9"/>
    <w:rsid w:val="0031433A"/>
    <w:rsid w:val="003144A4"/>
    <w:rsid w:val="00314890"/>
    <w:rsid w:val="003148C7"/>
    <w:rsid w:val="003149A1"/>
    <w:rsid w:val="00314E74"/>
    <w:rsid w:val="00315E45"/>
    <w:rsid w:val="003161BB"/>
    <w:rsid w:val="003161EA"/>
    <w:rsid w:val="00316C56"/>
    <w:rsid w:val="003170A9"/>
    <w:rsid w:val="00317316"/>
    <w:rsid w:val="003174E5"/>
    <w:rsid w:val="00317693"/>
    <w:rsid w:val="00317A9C"/>
    <w:rsid w:val="00317D8C"/>
    <w:rsid w:val="00317DC3"/>
    <w:rsid w:val="00320091"/>
    <w:rsid w:val="00320402"/>
    <w:rsid w:val="003208CD"/>
    <w:rsid w:val="003208D0"/>
    <w:rsid w:val="00321148"/>
    <w:rsid w:val="0032128F"/>
    <w:rsid w:val="00321BD9"/>
    <w:rsid w:val="00321D92"/>
    <w:rsid w:val="0032268E"/>
    <w:rsid w:val="0032286B"/>
    <w:rsid w:val="00322DE6"/>
    <w:rsid w:val="00322FD9"/>
    <w:rsid w:val="003237C8"/>
    <w:rsid w:val="003239B0"/>
    <w:rsid w:val="00323B0F"/>
    <w:rsid w:val="00323BD6"/>
    <w:rsid w:val="00323EBB"/>
    <w:rsid w:val="0032486A"/>
    <w:rsid w:val="0032619C"/>
    <w:rsid w:val="003307A7"/>
    <w:rsid w:val="00330A59"/>
    <w:rsid w:val="00330FD2"/>
    <w:rsid w:val="003310FD"/>
    <w:rsid w:val="003311CB"/>
    <w:rsid w:val="00331860"/>
    <w:rsid w:val="00332926"/>
    <w:rsid w:val="0033345E"/>
    <w:rsid w:val="0033351F"/>
    <w:rsid w:val="0033361B"/>
    <w:rsid w:val="00334477"/>
    <w:rsid w:val="003344A4"/>
    <w:rsid w:val="0033486E"/>
    <w:rsid w:val="00334979"/>
    <w:rsid w:val="00335813"/>
    <w:rsid w:val="00335AAA"/>
    <w:rsid w:val="00335E3A"/>
    <w:rsid w:val="00335F54"/>
    <w:rsid w:val="00336CEE"/>
    <w:rsid w:val="00337442"/>
    <w:rsid w:val="0033749D"/>
    <w:rsid w:val="003379EB"/>
    <w:rsid w:val="0034020B"/>
    <w:rsid w:val="00340E50"/>
    <w:rsid w:val="00341128"/>
    <w:rsid w:val="003416C2"/>
    <w:rsid w:val="0034176D"/>
    <w:rsid w:val="00341C58"/>
    <w:rsid w:val="003420DE"/>
    <w:rsid w:val="003428D3"/>
    <w:rsid w:val="003429AB"/>
    <w:rsid w:val="00342C86"/>
    <w:rsid w:val="00342DE5"/>
    <w:rsid w:val="00342EDF"/>
    <w:rsid w:val="00343AE2"/>
    <w:rsid w:val="00344059"/>
    <w:rsid w:val="0034432F"/>
    <w:rsid w:val="003445E0"/>
    <w:rsid w:val="003445E3"/>
    <w:rsid w:val="003445E9"/>
    <w:rsid w:val="0034543A"/>
    <w:rsid w:val="00345C02"/>
    <w:rsid w:val="00345F2B"/>
    <w:rsid w:val="0034644E"/>
    <w:rsid w:val="003469D4"/>
    <w:rsid w:val="00346AD3"/>
    <w:rsid w:val="00346B16"/>
    <w:rsid w:val="00347053"/>
    <w:rsid w:val="0034739C"/>
    <w:rsid w:val="0034740C"/>
    <w:rsid w:val="003500AD"/>
    <w:rsid w:val="003508E3"/>
    <w:rsid w:val="0035105A"/>
    <w:rsid w:val="003511C0"/>
    <w:rsid w:val="00351742"/>
    <w:rsid w:val="00352623"/>
    <w:rsid w:val="0035267A"/>
    <w:rsid w:val="00353FF3"/>
    <w:rsid w:val="00354C31"/>
    <w:rsid w:val="00354C6C"/>
    <w:rsid w:val="003555BA"/>
    <w:rsid w:val="0035659D"/>
    <w:rsid w:val="00356934"/>
    <w:rsid w:val="0035792A"/>
    <w:rsid w:val="00357C42"/>
    <w:rsid w:val="00357DA1"/>
    <w:rsid w:val="00357FEC"/>
    <w:rsid w:val="00360C67"/>
    <w:rsid w:val="00361364"/>
    <w:rsid w:val="00361BAE"/>
    <w:rsid w:val="00361D91"/>
    <w:rsid w:val="00363D1F"/>
    <w:rsid w:val="00363ED9"/>
    <w:rsid w:val="0036454F"/>
    <w:rsid w:val="00364D24"/>
    <w:rsid w:val="00364F69"/>
    <w:rsid w:val="00365EBD"/>
    <w:rsid w:val="003668E5"/>
    <w:rsid w:val="003669ED"/>
    <w:rsid w:val="00366D0C"/>
    <w:rsid w:val="003675B2"/>
    <w:rsid w:val="00367924"/>
    <w:rsid w:val="00367BBA"/>
    <w:rsid w:val="0037051A"/>
    <w:rsid w:val="003705FE"/>
    <w:rsid w:val="00370D64"/>
    <w:rsid w:val="00370FB4"/>
    <w:rsid w:val="00371783"/>
    <w:rsid w:val="00371798"/>
    <w:rsid w:val="0037181E"/>
    <w:rsid w:val="00371B35"/>
    <w:rsid w:val="00371DFB"/>
    <w:rsid w:val="00372345"/>
    <w:rsid w:val="0037291F"/>
    <w:rsid w:val="00372985"/>
    <w:rsid w:val="00372BDE"/>
    <w:rsid w:val="0037316E"/>
    <w:rsid w:val="00373217"/>
    <w:rsid w:val="003739F2"/>
    <w:rsid w:val="00373C3A"/>
    <w:rsid w:val="00373D17"/>
    <w:rsid w:val="003741C0"/>
    <w:rsid w:val="0037598E"/>
    <w:rsid w:val="00375E26"/>
    <w:rsid w:val="0037648C"/>
    <w:rsid w:val="003771BD"/>
    <w:rsid w:val="003776C0"/>
    <w:rsid w:val="0038058A"/>
    <w:rsid w:val="00380C06"/>
    <w:rsid w:val="00380D85"/>
    <w:rsid w:val="00381A0B"/>
    <w:rsid w:val="00381BD8"/>
    <w:rsid w:val="0038292C"/>
    <w:rsid w:val="00382C2B"/>
    <w:rsid w:val="003833B7"/>
    <w:rsid w:val="00384810"/>
    <w:rsid w:val="00385905"/>
    <w:rsid w:val="00385956"/>
    <w:rsid w:val="00386E11"/>
    <w:rsid w:val="00386E92"/>
    <w:rsid w:val="00386ECC"/>
    <w:rsid w:val="00387828"/>
    <w:rsid w:val="003918B5"/>
    <w:rsid w:val="00391B81"/>
    <w:rsid w:val="00391BD3"/>
    <w:rsid w:val="00392907"/>
    <w:rsid w:val="00393059"/>
    <w:rsid w:val="0039310E"/>
    <w:rsid w:val="00393DE5"/>
    <w:rsid w:val="003944A4"/>
    <w:rsid w:val="003957EB"/>
    <w:rsid w:val="00396665"/>
    <w:rsid w:val="00396A37"/>
    <w:rsid w:val="0039730A"/>
    <w:rsid w:val="0039759F"/>
    <w:rsid w:val="003A0995"/>
    <w:rsid w:val="003A0B21"/>
    <w:rsid w:val="003A2510"/>
    <w:rsid w:val="003A2C3E"/>
    <w:rsid w:val="003A2D0E"/>
    <w:rsid w:val="003A2DFC"/>
    <w:rsid w:val="003A3E58"/>
    <w:rsid w:val="003A529B"/>
    <w:rsid w:val="003A556B"/>
    <w:rsid w:val="003A603B"/>
    <w:rsid w:val="003A64E1"/>
    <w:rsid w:val="003A7301"/>
    <w:rsid w:val="003A75ED"/>
    <w:rsid w:val="003B07D2"/>
    <w:rsid w:val="003B108D"/>
    <w:rsid w:val="003B1345"/>
    <w:rsid w:val="003B1C78"/>
    <w:rsid w:val="003B1D47"/>
    <w:rsid w:val="003B307E"/>
    <w:rsid w:val="003B3D87"/>
    <w:rsid w:val="003B44B5"/>
    <w:rsid w:val="003B48CE"/>
    <w:rsid w:val="003B4A8B"/>
    <w:rsid w:val="003B4FB0"/>
    <w:rsid w:val="003B5502"/>
    <w:rsid w:val="003B5936"/>
    <w:rsid w:val="003B5E0D"/>
    <w:rsid w:val="003B5E55"/>
    <w:rsid w:val="003B6DBA"/>
    <w:rsid w:val="003B73D3"/>
    <w:rsid w:val="003B7B08"/>
    <w:rsid w:val="003C0059"/>
    <w:rsid w:val="003C0937"/>
    <w:rsid w:val="003C0A24"/>
    <w:rsid w:val="003C0FE4"/>
    <w:rsid w:val="003C19DA"/>
    <w:rsid w:val="003C1A95"/>
    <w:rsid w:val="003C3B69"/>
    <w:rsid w:val="003C400C"/>
    <w:rsid w:val="003C451C"/>
    <w:rsid w:val="003C54FD"/>
    <w:rsid w:val="003C5A6E"/>
    <w:rsid w:val="003C5E4E"/>
    <w:rsid w:val="003C5EBA"/>
    <w:rsid w:val="003C6530"/>
    <w:rsid w:val="003C66BB"/>
    <w:rsid w:val="003C68E5"/>
    <w:rsid w:val="003C69C7"/>
    <w:rsid w:val="003C7ABE"/>
    <w:rsid w:val="003D003D"/>
    <w:rsid w:val="003D08EB"/>
    <w:rsid w:val="003D0D57"/>
    <w:rsid w:val="003D13FE"/>
    <w:rsid w:val="003D1F64"/>
    <w:rsid w:val="003D1F8C"/>
    <w:rsid w:val="003D275E"/>
    <w:rsid w:val="003D2F1E"/>
    <w:rsid w:val="003D2FC2"/>
    <w:rsid w:val="003D32B2"/>
    <w:rsid w:val="003D346C"/>
    <w:rsid w:val="003D369D"/>
    <w:rsid w:val="003D3772"/>
    <w:rsid w:val="003D3865"/>
    <w:rsid w:val="003D4343"/>
    <w:rsid w:val="003D4402"/>
    <w:rsid w:val="003D45D1"/>
    <w:rsid w:val="003D4CE0"/>
    <w:rsid w:val="003D51E3"/>
    <w:rsid w:val="003D5591"/>
    <w:rsid w:val="003D5B01"/>
    <w:rsid w:val="003D6677"/>
    <w:rsid w:val="003D69B9"/>
    <w:rsid w:val="003D6B3F"/>
    <w:rsid w:val="003D7009"/>
    <w:rsid w:val="003E093C"/>
    <w:rsid w:val="003E0ABE"/>
    <w:rsid w:val="003E0E14"/>
    <w:rsid w:val="003E176B"/>
    <w:rsid w:val="003E1C5F"/>
    <w:rsid w:val="003E224F"/>
    <w:rsid w:val="003E23EE"/>
    <w:rsid w:val="003E24D9"/>
    <w:rsid w:val="003E3DA1"/>
    <w:rsid w:val="003E3DFB"/>
    <w:rsid w:val="003E4367"/>
    <w:rsid w:val="003E487E"/>
    <w:rsid w:val="003E4EF5"/>
    <w:rsid w:val="003E5EE3"/>
    <w:rsid w:val="003E62FC"/>
    <w:rsid w:val="003E649C"/>
    <w:rsid w:val="003E68FF"/>
    <w:rsid w:val="003E7122"/>
    <w:rsid w:val="003E7331"/>
    <w:rsid w:val="003E75EA"/>
    <w:rsid w:val="003E7B5E"/>
    <w:rsid w:val="003E7DA0"/>
    <w:rsid w:val="003F04E8"/>
    <w:rsid w:val="003F111E"/>
    <w:rsid w:val="003F1766"/>
    <w:rsid w:val="003F1866"/>
    <w:rsid w:val="003F1932"/>
    <w:rsid w:val="003F2310"/>
    <w:rsid w:val="003F44D2"/>
    <w:rsid w:val="003F4D6E"/>
    <w:rsid w:val="003F5174"/>
    <w:rsid w:val="003F5B85"/>
    <w:rsid w:val="003F5C77"/>
    <w:rsid w:val="003F6178"/>
    <w:rsid w:val="003F64C8"/>
    <w:rsid w:val="003F6918"/>
    <w:rsid w:val="003F6FF1"/>
    <w:rsid w:val="003F719B"/>
    <w:rsid w:val="004000AC"/>
    <w:rsid w:val="00400F1B"/>
    <w:rsid w:val="0040150D"/>
    <w:rsid w:val="0040262D"/>
    <w:rsid w:val="00402B1A"/>
    <w:rsid w:val="00402E33"/>
    <w:rsid w:val="00402EAF"/>
    <w:rsid w:val="004036B7"/>
    <w:rsid w:val="0040387B"/>
    <w:rsid w:val="00403AF3"/>
    <w:rsid w:val="00403C3C"/>
    <w:rsid w:val="004041C3"/>
    <w:rsid w:val="00404512"/>
    <w:rsid w:val="00404CE3"/>
    <w:rsid w:val="00405181"/>
    <w:rsid w:val="004058B8"/>
    <w:rsid w:val="00405B51"/>
    <w:rsid w:val="004063C9"/>
    <w:rsid w:val="004067EC"/>
    <w:rsid w:val="00407102"/>
    <w:rsid w:val="0040717A"/>
    <w:rsid w:val="00407352"/>
    <w:rsid w:val="00407517"/>
    <w:rsid w:val="00407935"/>
    <w:rsid w:val="0041081B"/>
    <w:rsid w:val="00410C78"/>
    <w:rsid w:val="00411471"/>
    <w:rsid w:val="00411755"/>
    <w:rsid w:val="00411B6F"/>
    <w:rsid w:val="0041270E"/>
    <w:rsid w:val="00412CB9"/>
    <w:rsid w:val="00413B59"/>
    <w:rsid w:val="00413E55"/>
    <w:rsid w:val="00414189"/>
    <w:rsid w:val="0041536A"/>
    <w:rsid w:val="004155DD"/>
    <w:rsid w:val="00415C8E"/>
    <w:rsid w:val="00415F81"/>
    <w:rsid w:val="00416380"/>
    <w:rsid w:val="00416899"/>
    <w:rsid w:val="00416E9C"/>
    <w:rsid w:val="00417843"/>
    <w:rsid w:val="00417C9F"/>
    <w:rsid w:val="00417EDD"/>
    <w:rsid w:val="00417F0E"/>
    <w:rsid w:val="0042036B"/>
    <w:rsid w:val="00420800"/>
    <w:rsid w:val="004209B3"/>
    <w:rsid w:val="00420B58"/>
    <w:rsid w:val="00420D47"/>
    <w:rsid w:val="004213FF"/>
    <w:rsid w:val="004216A7"/>
    <w:rsid w:val="00421713"/>
    <w:rsid w:val="00421C82"/>
    <w:rsid w:val="00421F9E"/>
    <w:rsid w:val="00422F31"/>
    <w:rsid w:val="00422FA1"/>
    <w:rsid w:val="00423141"/>
    <w:rsid w:val="004232AE"/>
    <w:rsid w:val="00424A42"/>
    <w:rsid w:val="0042540A"/>
    <w:rsid w:val="0042559B"/>
    <w:rsid w:val="004257E0"/>
    <w:rsid w:val="00426166"/>
    <w:rsid w:val="00426BDE"/>
    <w:rsid w:val="004272EC"/>
    <w:rsid w:val="00427390"/>
    <w:rsid w:val="00427403"/>
    <w:rsid w:val="004279E7"/>
    <w:rsid w:val="0043003F"/>
    <w:rsid w:val="00430A65"/>
    <w:rsid w:val="004313F2"/>
    <w:rsid w:val="00431477"/>
    <w:rsid w:val="00431E20"/>
    <w:rsid w:val="00432132"/>
    <w:rsid w:val="004331E0"/>
    <w:rsid w:val="004348C7"/>
    <w:rsid w:val="00435CA8"/>
    <w:rsid w:val="0043622E"/>
    <w:rsid w:val="004362C5"/>
    <w:rsid w:val="00436374"/>
    <w:rsid w:val="004364A1"/>
    <w:rsid w:val="00436968"/>
    <w:rsid w:val="00436BA0"/>
    <w:rsid w:val="00437749"/>
    <w:rsid w:val="00437BD3"/>
    <w:rsid w:val="00437F3E"/>
    <w:rsid w:val="00440DF3"/>
    <w:rsid w:val="004410D0"/>
    <w:rsid w:val="004413AC"/>
    <w:rsid w:val="004420A1"/>
    <w:rsid w:val="004435C1"/>
    <w:rsid w:val="00443941"/>
    <w:rsid w:val="00443B33"/>
    <w:rsid w:val="00443D43"/>
    <w:rsid w:val="00443D6F"/>
    <w:rsid w:val="0044416D"/>
    <w:rsid w:val="004446C3"/>
    <w:rsid w:val="004446E9"/>
    <w:rsid w:val="00445CBF"/>
    <w:rsid w:val="0044653E"/>
    <w:rsid w:val="00446A41"/>
    <w:rsid w:val="004471FF"/>
    <w:rsid w:val="00447FC4"/>
    <w:rsid w:val="004506C3"/>
    <w:rsid w:val="00450A30"/>
    <w:rsid w:val="00450DDC"/>
    <w:rsid w:val="00451050"/>
    <w:rsid w:val="004512AC"/>
    <w:rsid w:val="00451B3C"/>
    <w:rsid w:val="0045402D"/>
    <w:rsid w:val="004543C4"/>
    <w:rsid w:val="00454936"/>
    <w:rsid w:val="00454F16"/>
    <w:rsid w:val="004550B3"/>
    <w:rsid w:val="0045520B"/>
    <w:rsid w:val="0045584B"/>
    <w:rsid w:val="004558F5"/>
    <w:rsid w:val="00456992"/>
    <w:rsid w:val="004569EE"/>
    <w:rsid w:val="00456DBD"/>
    <w:rsid w:val="00456E8F"/>
    <w:rsid w:val="00456FEA"/>
    <w:rsid w:val="004576C5"/>
    <w:rsid w:val="00457BD3"/>
    <w:rsid w:val="00457FB7"/>
    <w:rsid w:val="0046023C"/>
    <w:rsid w:val="0046053A"/>
    <w:rsid w:val="00460835"/>
    <w:rsid w:val="00460E57"/>
    <w:rsid w:val="004616C4"/>
    <w:rsid w:val="00461950"/>
    <w:rsid w:val="004620BD"/>
    <w:rsid w:val="00462C9F"/>
    <w:rsid w:val="00462D38"/>
    <w:rsid w:val="004637C7"/>
    <w:rsid w:val="00463A8F"/>
    <w:rsid w:val="0046420A"/>
    <w:rsid w:val="0046455C"/>
    <w:rsid w:val="00464656"/>
    <w:rsid w:val="004648FE"/>
    <w:rsid w:val="00464E93"/>
    <w:rsid w:val="0046545B"/>
    <w:rsid w:val="00465D44"/>
    <w:rsid w:val="004662BD"/>
    <w:rsid w:val="00466C40"/>
    <w:rsid w:val="00466D42"/>
    <w:rsid w:val="0046703C"/>
    <w:rsid w:val="004679AB"/>
    <w:rsid w:val="00470758"/>
    <w:rsid w:val="00470B40"/>
    <w:rsid w:val="00470BED"/>
    <w:rsid w:val="0047113A"/>
    <w:rsid w:val="004714AD"/>
    <w:rsid w:val="0047151C"/>
    <w:rsid w:val="004722FF"/>
    <w:rsid w:val="00472383"/>
    <w:rsid w:val="00472437"/>
    <w:rsid w:val="0047288A"/>
    <w:rsid w:val="00474202"/>
    <w:rsid w:val="0047479B"/>
    <w:rsid w:val="004748B8"/>
    <w:rsid w:val="00475E3F"/>
    <w:rsid w:val="00475F9F"/>
    <w:rsid w:val="004763E0"/>
    <w:rsid w:val="00476628"/>
    <w:rsid w:val="0047749B"/>
    <w:rsid w:val="00477A0A"/>
    <w:rsid w:val="00477E3E"/>
    <w:rsid w:val="0048194A"/>
    <w:rsid w:val="00481B02"/>
    <w:rsid w:val="00481D97"/>
    <w:rsid w:val="00482353"/>
    <w:rsid w:val="004827DB"/>
    <w:rsid w:val="004832E9"/>
    <w:rsid w:val="0048332B"/>
    <w:rsid w:val="00483561"/>
    <w:rsid w:val="00483706"/>
    <w:rsid w:val="004846DD"/>
    <w:rsid w:val="0048479A"/>
    <w:rsid w:val="004868D7"/>
    <w:rsid w:val="0048753B"/>
    <w:rsid w:val="00487D62"/>
    <w:rsid w:val="00487DB1"/>
    <w:rsid w:val="00490843"/>
    <w:rsid w:val="0049088B"/>
    <w:rsid w:val="00492326"/>
    <w:rsid w:val="00492424"/>
    <w:rsid w:val="004924D3"/>
    <w:rsid w:val="004928CD"/>
    <w:rsid w:val="00492BE0"/>
    <w:rsid w:val="00492F37"/>
    <w:rsid w:val="00493072"/>
    <w:rsid w:val="00493174"/>
    <w:rsid w:val="004933C4"/>
    <w:rsid w:val="00493BB7"/>
    <w:rsid w:val="004944A9"/>
    <w:rsid w:val="00494A47"/>
    <w:rsid w:val="00494AD6"/>
    <w:rsid w:val="00494C4B"/>
    <w:rsid w:val="00494DD6"/>
    <w:rsid w:val="00495725"/>
    <w:rsid w:val="004959A3"/>
    <w:rsid w:val="00495C8B"/>
    <w:rsid w:val="004965CD"/>
    <w:rsid w:val="00496A22"/>
    <w:rsid w:val="00496DA1"/>
    <w:rsid w:val="00497416"/>
    <w:rsid w:val="004974BD"/>
    <w:rsid w:val="00497AD5"/>
    <w:rsid w:val="00497CEA"/>
    <w:rsid w:val="004A03B2"/>
    <w:rsid w:val="004A07ED"/>
    <w:rsid w:val="004A0A2E"/>
    <w:rsid w:val="004A10B0"/>
    <w:rsid w:val="004A2FE2"/>
    <w:rsid w:val="004A36BE"/>
    <w:rsid w:val="004A37AB"/>
    <w:rsid w:val="004A38B5"/>
    <w:rsid w:val="004A4687"/>
    <w:rsid w:val="004A4AF4"/>
    <w:rsid w:val="004A4EC4"/>
    <w:rsid w:val="004A54FD"/>
    <w:rsid w:val="004A5546"/>
    <w:rsid w:val="004A61DF"/>
    <w:rsid w:val="004A670A"/>
    <w:rsid w:val="004A7D4E"/>
    <w:rsid w:val="004B0838"/>
    <w:rsid w:val="004B123A"/>
    <w:rsid w:val="004B19D3"/>
    <w:rsid w:val="004B1FCD"/>
    <w:rsid w:val="004B2125"/>
    <w:rsid w:val="004B2D7D"/>
    <w:rsid w:val="004B3166"/>
    <w:rsid w:val="004B3260"/>
    <w:rsid w:val="004B34DC"/>
    <w:rsid w:val="004B3BF1"/>
    <w:rsid w:val="004B3CCD"/>
    <w:rsid w:val="004B422B"/>
    <w:rsid w:val="004B4D12"/>
    <w:rsid w:val="004B4F6D"/>
    <w:rsid w:val="004B513B"/>
    <w:rsid w:val="004B5F67"/>
    <w:rsid w:val="004B60BD"/>
    <w:rsid w:val="004B6B7A"/>
    <w:rsid w:val="004B6CF1"/>
    <w:rsid w:val="004B6EE0"/>
    <w:rsid w:val="004B753D"/>
    <w:rsid w:val="004B78FE"/>
    <w:rsid w:val="004B7BE0"/>
    <w:rsid w:val="004B7F95"/>
    <w:rsid w:val="004C0852"/>
    <w:rsid w:val="004C0C89"/>
    <w:rsid w:val="004C17C6"/>
    <w:rsid w:val="004C1850"/>
    <w:rsid w:val="004C1B2B"/>
    <w:rsid w:val="004C1FBC"/>
    <w:rsid w:val="004C3856"/>
    <w:rsid w:val="004C48A3"/>
    <w:rsid w:val="004C54AD"/>
    <w:rsid w:val="004C5554"/>
    <w:rsid w:val="004C57E3"/>
    <w:rsid w:val="004C5866"/>
    <w:rsid w:val="004C5C3A"/>
    <w:rsid w:val="004C65CC"/>
    <w:rsid w:val="004C79F7"/>
    <w:rsid w:val="004C7BAE"/>
    <w:rsid w:val="004D1829"/>
    <w:rsid w:val="004D1BD2"/>
    <w:rsid w:val="004D1C6B"/>
    <w:rsid w:val="004D26EF"/>
    <w:rsid w:val="004D292C"/>
    <w:rsid w:val="004D2F71"/>
    <w:rsid w:val="004D30F8"/>
    <w:rsid w:val="004D32A7"/>
    <w:rsid w:val="004D340A"/>
    <w:rsid w:val="004D3AA3"/>
    <w:rsid w:val="004D3AA6"/>
    <w:rsid w:val="004D41A2"/>
    <w:rsid w:val="004D4331"/>
    <w:rsid w:val="004D444B"/>
    <w:rsid w:val="004D4E20"/>
    <w:rsid w:val="004D5080"/>
    <w:rsid w:val="004D5485"/>
    <w:rsid w:val="004D646F"/>
    <w:rsid w:val="004D660E"/>
    <w:rsid w:val="004D67EF"/>
    <w:rsid w:val="004D719D"/>
    <w:rsid w:val="004D75AC"/>
    <w:rsid w:val="004D7887"/>
    <w:rsid w:val="004E044A"/>
    <w:rsid w:val="004E045A"/>
    <w:rsid w:val="004E05F2"/>
    <w:rsid w:val="004E080B"/>
    <w:rsid w:val="004E0F4A"/>
    <w:rsid w:val="004E1603"/>
    <w:rsid w:val="004E1F67"/>
    <w:rsid w:val="004E20F7"/>
    <w:rsid w:val="004E37FA"/>
    <w:rsid w:val="004E3D0A"/>
    <w:rsid w:val="004E402E"/>
    <w:rsid w:val="004E5185"/>
    <w:rsid w:val="004E5393"/>
    <w:rsid w:val="004E5A5B"/>
    <w:rsid w:val="004E6C00"/>
    <w:rsid w:val="004E6F23"/>
    <w:rsid w:val="004E78F9"/>
    <w:rsid w:val="004F002B"/>
    <w:rsid w:val="004F004B"/>
    <w:rsid w:val="004F07ED"/>
    <w:rsid w:val="004F09F8"/>
    <w:rsid w:val="004F0F4C"/>
    <w:rsid w:val="004F16D6"/>
    <w:rsid w:val="004F223D"/>
    <w:rsid w:val="004F25F5"/>
    <w:rsid w:val="004F2E06"/>
    <w:rsid w:val="004F2E8F"/>
    <w:rsid w:val="004F3100"/>
    <w:rsid w:val="004F3CB7"/>
    <w:rsid w:val="004F3ECE"/>
    <w:rsid w:val="004F56F7"/>
    <w:rsid w:val="004F5809"/>
    <w:rsid w:val="004F593A"/>
    <w:rsid w:val="004F75BC"/>
    <w:rsid w:val="004F7AFA"/>
    <w:rsid w:val="004F7D64"/>
    <w:rsid w:val="005000F8"/>
    <w:rsid w:val="00500549"/>
    <w:rsid w:val="0050084E"/>
    <w:rsid w:val="0050093E"/>
    <w:rsid w:val="005011EE"/>
    <w:rsid w:val="005015CA"/>
    <w:rsid w:val="005020E7"/>
    <w:rsid w:val="00502822"/>
    <w:rsid w:val="00502AAE"/>
    <w:rsid w:val="005033A2"/>
    <w:rsid w:val="005039E6"/>
    <w:rsid w:val="0050438C"/>
    <w:rsid w:val="00506216"/>
    <w:rsid w:val="0050643C"/>
    <w:rsid w:val="00506E3F"/>
    <w:rsid w:val="00507931"/>
    <w:rsid w:val="00510364"/>
    <w:rsid w:val="005120E5"/>
    <w:rsid w:val="0051267A"/>
    <w:rsid w:val="00512C36"/>
    <w:rsid w:val="0051348A"/>
    <w:rsid w:val="00513587"/>
    <w:rsid w:val="005135E9"/>
    <w:rsid w:val="005139CD"/>
    <w:rsid w:val="00513DBD"/>
    <w:rsid w:val="0051408D"/>
    <w:rsid w:val="00514CD9"/>
    <w:rsid w:val="0051509E"/>
    <w:rsid w:val="005152D8"/>
    <w:rsid w:val="00516F84"/>
    <w:rsid w:val="00517398"/>
    <w:rsid w:val="00517B31"/>
    <w:rsid w:val="00517F3E"/>
    <w:rsid w:val="005207F1"/>
    <w:rsid w:val="00520E88"/>
    <w:rsid w:val="00520F32"/>
    <w:rsid w:val="0052197B"/>
    <w:rsid w:val="00522011"/>
    <w:rsid w:val="00522319"/>
    <w:rsid w:val="0052261C"/>
    <w:rsid w:val="005230C0"/>
    <w:rsid w:val="00523CF7"/>
    <w:rsid w:val="00523D82"/>
    <w:rsid w:val="00523F21"/>
    <w:rsid w:val="00524E18"/>
    <w:rsid w:val="00524E2B"/>
    <w:rsid w:val="005251F6"/>
    <w:rsid w:val="00525271"/>
    <w:rsid w:val="00526392"/>
    <w:rsid w:val="00526640"/>
    <w:rsid w:val="00527222"/>
    <w:rsid w:val="00527915"/>
    <w:rsid w:val="005279FF"/>
    <w:rsid w:val="00527B65"/>
    <w:rsid w:val="005301FD"/>
    <w:rsid w:val="0053035F"/>
    <w:rsid w:val="00530D86"/>
    <w:rsid w:val="005319C1"/>
    <w:rsid w:val="00532D7C"/>
    <w:rsid w:val="00533C2E"/>
    <w:rsid w:val="00533CFD"/>
    <w:rsid w:val="005358A4"/>
    <w:rsid w:val="005358FD"/>
    <w:rsid w:val="00535D59"/>
    <w:rsid w:val="00535E8E"/>
    <w:rsid w:val="00537092"/>
    <w:rsid w:val="005370B3"/>
    <w:rsid w:val="00537346"/>
    <w:rsid w:val="00537642"/>
    <w:rsid w:val="005377E7"/>
    <w:rsid w:val="0053791B"/>
    <w:rsid w:val="00537940"/>
    <w:rsid w:val="005379E4"/>
    <w:rsid w:val="00540377"/>
    <w:rsid w:val="0054078A"/>
    <w:rsid w:val="005409D2"/>
    <w:rsid w:val="005416E5"/>
    <w:rsid w:val="00541A96"/>
    <w:rsid w:val="0054278A"/>
    <w:rsid w:val="00542D04"/>
    <w:rsid w:val="00542FE1"/>
    <w:rsid w:val="00544714"/>
    <w:rsid w:val="00544EEE"/>
    <w:rsid w:val="005452DF"/>
    <w:rsid w:val="005453CA"/>
    <w:rsid w:val="005459D3"/>
    <w:rsid w:val="00545D6C"/>
    <w:rsid w:val="00546175"/>
    <w:rsid w:val="005463EE"/>
    <w:rsid w:val="005468BA"/>
    <w:rsid w:val="005472C0"/>
    <w:rsid w:val="00547436"/>
    <w:rsid w:val="00547626"/>
    <w:rsid w:val="00547F05"/>
    <w:rsid w:val="00547F36"/>
    <w:rsid w:val="00550117"/>
    <w:rsid w:val="00550FC1"/>
    <w:rsid w:val="0055126B"/>
    <w:rsid w:val="00551D4F"/>
    <w:rsid w:val="00552124"/>
    <w:rsid w:val="00552310"/>
    <w:rsid w:val="0055268C"/>
    <w:rsid w:val="00552BF1"/>
    <w:rsid w:val="00554F7F"/>
    <w:rsid w:val="00555132"/>
    <w:rsid w:val="005552CF"/>
    <w:rsid w:val="00555E13"/>
    <w:rsid w:val="00556C67"/>
    <w:rsid w:val="0055732A"/>
    <w:rsid w:val="00557BEE"/>
    <w:rsid w:val="00560B46"/>
    <w:rsid w:val="00561579"/>
    <w:rsid w:val="0056247E"/>
    <w:rsid w:val="005627E5"/>
    <w:rsid w:val="00563295"/>
    <w:rsid w:val="00563303"/>
    <w:rsid w:val="005637ED"/>
    <w:rsid w:val="00563E1E"/>
    <w:rsid w:val="0056420D"/>
    <w:rsid w:val="005644AC"/>
    <w:rsid w:val="00564E05"/>
    <w:rsid w:val="005650CC"/>
    <w:rsid w:val="005651D7"/>
    <w:rsid w:val="0056734D"/>
    <w:rsid w:val="00570885"/>
    <w:rsid w:val="00570913"/>
    <w:rsid w:val="005713E9"/>
    <w:rsid w:val="00571749"/>
    <w:rsid w:val="0057224D"/>
    <w:rsid w:val="005725C8"/>
    <w:rsid w:val="0057287F"/>
    <w:rsid w:val="00572C02"/>
    <w:rsid w:val="00573613"/>
    <w:rsid w:val="00573981"/>
    <w:rsid w:val="00573A14"/>
    <w:rsid w:val="005752BD"/>
    <w:rsid w:val="0057629F"/>
    <w:rsid w:val="00576494"/>
    <w:rsid w:val="00576E85"/>
    <w:rsid w:val="00576E8A"/>
    <w:rsid w:val="0057718A"/>
    <w:rsid w:val="00577E5D"/>
    <w:rsid w:val="0058072F"/>
    <w:rsid w:val="00580AA2"/>
    <w:rsid w:val="0058154D"/>
    <w:rsid w:val="005823A8"/>
    <w:rsid w:val="00582C1F"/>
    <w:rsid w:val="005834F4"/>
    <w:rsid w:val="005842EF"/>
    <w:rsid w:val="00584420"/>
    <w:rsid w:val="00584632"/>
    <w:rsid w:val="005852A0"/>
    <w:rsid w:val="00585A80"/>
    <w:rsid w:val="00586845"/>
    <w:rsid w:val="00586999"/>
    <w:rsid w:val="00586BAE"/>
    <w:rsid w:val="00586D2C"/>
    <w:rsid w:val="00586E06"/>
    <w:rsid w:val="005872A2"/>
    <w:rsid w:val="00587CD6"/>
    <w:rsid w:val="00587ED2"/>
    <w:rsid w:val="00590100"/>
    <w:rsid w:val="0059207C"/>
    <w:rsid w:val="00592528"/>
    <w:rsid w:val="00592603"/>
    <w:rsid w:val="00593337"/>
    <w:rsid w:val="00594318"/>
    <w:rsid w:val="0059431F"/>
    <w:rsid w:val="00594C0A"/>
    <w:rsid w:val="00595883"/>
    <w:rsid w:val="00595AAF"/>
    <w:rsid w:val="00595B0F"/>
    <w:rsid w:val="00595BA4"/>
    <w:rsid w:val="005963BC"/>
    <w:rsid w:val="00596462"/>
    <w:rsid w:val="00596743"/>
    <w:rsid w:val="00596B86"/>
    <w:rsid w:val="00596C80"/>
    <w:rsid w:val="00597618"/>
    <w:rsid w:val="00597E9C"/>
    <w:rsid w:val="005A0765"/>
    <w:rsid w:val="005A0973"/>
    <w:rsid w:val="005A0ADF"/>
    <w:rsid w:val="005A0C6D"/>
    <w:rsid w:val="005A17C5"/>
    <w:rsid w:val="005A1A12"/>
    <w:rsid w:val="005A1A3A"/>
    <w:rsid w:val="005A3669"/>
    <w:rsid w:val="005A36D6"/>
    <w:rsid w:val="005A40C6"/>
    <w:rsid w:val="005A4612"/>
    <w:rsid w:val="005A50A4"/>
    <w:rsid w:val="005A5B5D"/>
    <w:rsid w:val="005A5BE0"/>
    <w:rsid w:val="005A6399"/>
    <w:rsid w:val="005A69F7"/>
    <w:rsid w:val="005A7136"/>
    <w:rsid w:val="005A73A4"/>
    <w:rsid w:val="005A7661"/>
    <w:rsid w:val="005A7989"/>
    <w:rsid w:val="005A7ABF"/>
    <w:rsid w:val="005A7D7C"/>
    <w:rsid w:val="005B053F"/>
    <w:rsid w:val="005B0F3B"/>
    <w:rsid w:val="005B131D"/>
    <w:rsid w:val="005B17C8"/>
    <w:rsid w:val="005B1C1F"/>
    <w:rsid w:val="005B2B79"/>
    <w:rsid w:val="005B31A3"/>
    <w:rsid w:val="005B3289"/>
    <w:rsid w:val="005B3317"/>
    <w:rsid w:val="005B406F"/>
    <w:rsid w:val="005B466C"/>
    <w:rsid w:val="005B4B20"/>
    <w:rsid w:val="005B4B2A"/>
    <w:rsid w:val="005B4EE1"/>
    <w:rsid w:val="005B51B5"/>
    <w:rsid w:val="005B54E3"/>
    <w:rsid w:val="005B553D"/>
    <w:rsid w:val="005B5DD5"/>
    <w:rsid w:val="005B6370"/>
    <w:rsid w:val="005B63FF"/>
    <w:rsid w:val="005B6B31"/>
    <w:rsid w:val="005B6BF8"/>
    <w:rsid w:val="005B72A7"/>
    <w:rsid w:val="005B7547"/>
    <w:rsid w:val="005B7E9B"/>
    <w:rsid w:val="005C04D4"/>
    <w:rsid w:val="005C0513"/>
    <w:rsid w:val="005C098D"/>
    <w:rsid w:val="005C0E5E"/>
    <w:rsid w:val="005C0F24"/>
    <w:rsid w:val="005C0F84"/>
    <w:rsid w:val="005C1129"/>
    <w:rsid w:val="005C15CC"/>
    <w:rsid w:val="005C180B"/>
    <w:rsid w:val="005C183E"/>
    <w:rsid w:val="005C197D"/>
    <w:rsid w:val="005C1B94"/>
    <w:rsid w:val="005C279B"/>
    <w:rsid w:val="005C2D87"/>
    <w:rsid w:val="005C2F71"/>
    <w:rsid w:val="005C39A5"/>
    <w:rsid w:val="005C40C8"/>
    <w:rsid w:val="005C48F3"/>
    <w:rsid w:val="005C5292"/>
    <w:rsid w:val="005C548C"/>
    <w:rsid w:val="005C5A91"/>
    <w:rsid w:val="005C5B71"/>
    <w:rsid w:val="005C5D66"/>
    <w:rsid w:val="005C6221"/>
    <w:rsid w:val="005C76A2"/>
    <w:rsid w:val="005C7AE5"/>
    <w:rsid w:val="005C7F50"/>
    <w:rsid w:val="005D1DA6"/>
    <w:rsid w:val="005D2181"/>
    <w:rsid w:val="005D2CF3"/>
    <w:rsid w:val="005D3394"/>
    <w:rsid w:val="005D44BE"/>
    <w:rsid w:val="005D45CF"/>
    <w:rsid w:val="005D4DBF"/>
    <w:rsid w:val="005D5D4C"/>
    <w:rsid w:val="005D609E"/>
    <w:rsid w:val="005D6B18"/>
    <w:rsid w:val="005D7FB9"/>
    <w:rsid w:val="005E07A4"/>
    <w:rsid w:val="005E0B86"/>
    <w:rsid w:val="005E142D"/>
    <w:rsid w:val="005E1ABC"/>
    <w:rsid w:val="005E25B3"/>
    <w:rsid w:val="005E31E7"/>
    <w:rsid w:val="005E5194"/>
    <w:rsid w:val="005E51CE"/>
    <w:rsid w:val="005E55E0"/>
    <w:rsid w:val="005E5B48"/>
    <w:rsid w:val="005E604A"/>
    <w:rsid w:val="005E6086"/>
    <w:rsid w:val="005E6165"/>
    <w:rsid w:val="005E6B1B"/>
    <w:rsid w:val="005E74E7"/>
    <w:rsid w:val="005E7B56"/>
    <w:rsid w:val="005E7B5F"/>
    <w:rsid w:val="005F047A"/>
    <w:rsid w:val="005F04FE"/>
    <w:rsid w:val="005F07C3"/>
    <w:rsid w:val="005F0D28"/>
    <w:rsid w:val="005F1A5D"/>
    <w:rsid w:val="005F1DCE"/>
    <w:rsid w:val="005F210F"/>
    <w:rsid w:val="005F21F6"/>
    <w:rsid w:val="005F2C8E"/>
    <w:rsid w:val="005F2D5E"/>
    <w:rsid w:val="005F30B6"/>
    <w:rsid w:val="005F32DC"/>
    <w:rsid w:val="005F3306"/>
    <w:rsid w:val="005F44A9"/>
    <w:rsid w:val="005F47C6"/>
    <w:rsid w:val="005F4C79"/>
    <w:rsid w:val="005F4DBF"/>
    <w:rsid w:val="005F56CF"/>
    <w:rsid w:val="005F59CA"/>
    <w:rsid w:val="005F5FF1"/>
    <w:rsid w:val="005F6076"/>
    <w:rsid w:val="005F74A6"/>
    <w:rsid w:val="005F7967"/>
    <w:rsid w:val="005F7985"/>
    <w:rsid w:val="005F7A1F"/>
    <w:rsid w:val="005F7F2E"/>
    <w:rsid w:val="00601099"/>
    <w:rsid w:val="00601649"/>
    <w:rsid w:val="00601F28"/>
    <w:rsid w:val="00602061"/>
    <w:rsid w:val="0060258F"/>
    <w:rsid w:val="006029A1"/>
    <w:rsid w:val="006033F8"/>
    <w:rsid w:val="00603E32"/>
    <w:rsid w:val="00603F7D"/>
    <w:rsid w:val="0060412C"/>
    <w:rsid w:val="0060480A"/>
    <w:rsid w:val="00604847"/>
    <w:rsid w:val="00605767"/>
    <w:rsid w:val="0060600E"/>
    <w:rsid w:val="00606297"/>
    <w:rsid w:val="00606953"/>
    <w:rsid w:val="006078CF"/>
    <w:rsid w:val="006078DD"/>
    <w:rsid w:val="006079CE"/>
    <w:rsid w:val="00610F4C"/>
    <w:rsid w:val="00611A98"/>
    <w:rsid w:val="0061215F"/>
    <w:rsid w:val="006123FE"/>
    <w:rsid w:val="006124AB"/>
    <w:rsid w:val="00612532"/>
    <w:rsid w:val="0061278F"/>
    <w:rsid w:val="00612AB5"/>
    <w:rsid w:val="00612C8D"/>
    <w:rsid w:val="00612E2E"/>
    <w:rsid w:val="00612FA6"/>
    <w:rsid w:val="00613389"/>
    <w:rsid w:val="00613525"/>
    <w:rsid w:val="00613569"/>
    <w:rsid w:val="00613BC3"/>
    <w:rsid w:val="00613DCE"/>
    <w:rsid w:val="00613DF0"/>
    <w:rsid w:val="0061486A"/>
    <w:rsid w:val="00615880"/>
    <w:rsid w:val="0061604D"/>
    <w:rsid w:val="00616ADE"/>
    <w:rsid w:val="0062081B"/>
    <w:rsid w:val="00620B47"/>
    <w:rsid w:val="00620BDC"/>
    <w:rsid w:val="00621025"/>
    <w:rsid w:val="0062124E"/>
    <w:rsid w:val="00621327"/>
    <w:rsid w:val="006221AF"/>
    <w:rsid w:val="00622BE1"/>
    <w:rsid w:val="00622D6B"/>
    <w:rsid w:val="00623BF2"/>
    <w:rsid w:val="00624BF1"/>
    <w:rsid w:val="00625808"/>
    <w:rsid w:val="00625910"/>
    <w:rsid w:val="00626B7A"/>
    <w:rsid w:val="00626D8F"/>
    <w:rsid w:val="00626F47"/>
    <w:rsid w:val="00627219"/>
    <w:rsid w:val="00627B39"/>
    <w:rsid w:val="00627F08"/>
    <w:rsid w:val="006305E3"/>
    <w:rsid w:val="00630A20"/>
    <w:rsid w:val="0063105B"/>
    <w:rsid w:val="00631C74"/>
    <w:rsid w:val="00631FB7"/>
    <w:rsid w:val="0063240E"/>
    <w:rsid w:val="006328F8"/>
    <w:rsid w:val="00633ED0"/>
    <w:rsid w:val="00633F44"/>
    <w:rsid w:val="00634DE4"/>
    <w:rsid w:val="00634EF4"/>
    <w:rsid w:val="0063543B"/>
    <w:rsid w:val="006354D8"/>
    <w:rsid w:val="006354E2"/>
    <w:rsid w:val="00637518"/>
    <w:rsid w:val="00637C9A"/>
    <w:rsid w:val="00640068"/>
    <w:rsid w:val="00640221"/>
    <w:rsid w:val="00641A85"/>
    <w:rsid w:val="00641C6F"/>
    <w:rsid w:val="00642479"/>
    <w:rsid w:val="00642971"/>
    <w:rsid w:val="00642BE5"/>
    <w:rsid w:val="00642F6F"/>
    <w:rsid w:val="00643372"/>
    <w:rsid w:val="0064380E"/>
    <w:rsid w:val="00643A2A"/>
    <w:rsid w:val="0064445D"/>
    <w:rsid w:val="00645133"/>
    <w:rsid w:val="00646007"/>
    <w:rsid w:val="006466DB"/>
    <w:rsid w:val="0064704B"/>
    <w:rsid w:val="00650482"/>
    <w:rsid w:val="006506A6"/>
    <w:rsid w:val="00650A7B"/>
    <w:rsid w:val="00650DBF"/>
    <w:rsid w:val="00650F62"/>
    <w:rsid w:val="00651325"/>
    <w:rsid w:val="00651DC9"/>
    <w:rsid w:val="00652026"/>
    <w:rsid w:val="0065202E"/>
    <w:rsid w:val="0065212D"/>
    <w:rsid w:val="006523C6"/>
    <w:rsid w:val="00652975"/>
    <w:rsid w:val="006529CE"/>
    <w:rsid w:val="00652A9D"/>
    <w:rsid w:val="00653477"/>
    <w:rsid w:val="00653729"/>
    <w:rsid w:val="00653CFA"/>
    <w:rsid w:val="00653F89"/>
    <w:rsid w:val="006541F0"/>
    <w:rsid w:val="0065457D"/>
    <w:rsid w:val="006548A8"/>
    <w:rsid w:val="00654FA4"/>
    <w:rsid w:val="00655B94"/>
    <w:rsid w:val="00655F1B"/>
    <w:rsid w:val="00656177"/>
    <w:rsid w:val="00657EEA"/>
    <w:rsid w:val="0066021E"/>
    <w:rsid w:val="00660B96"/>
    <w:rsid w:val="006614A3"/>
    <w:rsid w:val="00662713"/>
    <w:rsid w:val="00662B50"/>
    <w:rsid w:val="00662F07"/>
    <w:rsid w:val="006631E5"/>
    <w:rsid w:val="00663A78"/>
    <w:rsid w:val="00663FBC"/>
    <w:rsid w:val="00664065"/>
    <w:rsid w:val="006641A5"/>
    <w:rsid w:val="00664234"/>
    <w:rsid w:val="0066451D"/>
    <w:rsid w:val="00664A82"/>
    <w:rsid w:val="00664F3E"/>
    <w:rsid w:val="006660AE"/>
    <w:rsid w:val="00666138"/>
    <w:rsid w:val="00666996"/>
    <w:rsid w:val="006701F3"/>
    <w:rsid w:val="00670E4A"/>
    <w:rsid w:val="00671180"/>
    <w:rsid w:val="0067170E"/>
    <w:rsid w:val="00671EE8"/>
    <w:rsid w:val="00672A42"/>
    <w:rsid w:val="00673464"/>
    <w:rsid w:val="0067473B"/>
    <w:rsid w:val="006754C7"/>
    <w:rsid w:val="00676771"/>
    <w:rsid w:val="00677023"/>
    <w:rsid w:val="006771EF"/>
    <w:rsid w:val="00677384"/>
    <w:rsid w:val="00677419"/>
    <w:rsid w:val="00677A01"/>
    <w:rsid w:val="00681E6D"/>
    <w:rsid w:val="00682B8D"/>
    <w:rsid w:val="00682C86"/>
    <w:rsid w:val="006830A8"/>
    <w:rsid w:val="00683673"/>
    <w:rsid w:val="006841BB"/>
    <w:rsid w:val="00684357"/>
    <w:rsid w:val="00684736"/>
    <w:rsid w:val="006849BE"/>
    <w:rsid w:val="00684A3E"/>
    <w:rsid w:val="00684B84"/>
    <w:rsid w:val="00685D07"/>
    <w:rsid w:val="006861C9"/>
    <w:rsid w:val="006868E5"/>
    <w:rsid w:val="0069020B"/>
    <w:rsid w:val="0069021B"/>
    <w:rsid w:val="006920F7"/>
    <w:rsid w:val="0069211A"/>
    <w:rsid w:val="00692F9C"/>
    <w:rsid w:val="006930A5"/>
    <w:rsid w:val="00693B36"/>
    <w:rsid w:val="00693ED1"/>
    <w:rsid w:val="00694209"/>
    <w:rsid w:val="0069450E"/>
    <w:rsid w:val="00694C40"/>
    <w:rsid w:val="00694CF5"/>
    <w:rsid w:val="00694CF9"/>
    <w:rsid w:val="00695C20"/>
    <w:rsid w:val="00696575"/>
    <w:rsid w:val="006968FC"/>
    <w:rsid w:val="00696C8B"/>
    <w:rsid w:val="006A04ED"/>
    <w:rsid w:val="006A0622"/>
    <w:rsid w:val="006A0B7A"/>
    <w:rsid w:val="006A11F7"/>
    <w:rsid w:val="006A1231"/>
    <w:rsid w:val="006A1AB3"/>
    <w:rsid w:val="006A1B66"/>
    <w:rsid w:val="006A1DAB"/>
    <w:rsid w:val="006A2766"/>
    <w:rsid w:val="006A27B2"/>
    <w:rsid w:val="006A2C0F"/>
    <w:rsid w:val="006A37AE"/>
    <w:rsid w:val="006A3BF1"/>
    <w:rsid w:val="006A3C8F"/>
    <w:rsid w:val="006A4B56"/>
    <w:rsid w:val="006A4C6E"/>
    <w:rsid w:val="006A5260"/>
    <w:rsid w:val="006A55FD"/>
    <w:rsid w:val="006A581E"/>
    <w:rsid w:val="006A5F6D"/>
    <w:rsid w:val="006A60A8"/>
    <w:rsid w:val="006A69ED"/>
    <w:rsid w:val="006A6D22"/>
    <w:rsid w:val="006A752C"/>
    <w:rsid w:val="006A7AE4"/>
    <w:rsid w:val="006A7B38"/>
    <w:rsid w:val="006B060F"/>
    <w:rsid w:val="006B082F"/>
    <w:rsid w:val="006B0FEC"/>
    <w:rsid w:val="006B1462"/>
    <w:rsid w:val="006B18FD"/>
    <w:rsid w:val="006B1DAA"/>
    <w:rsid w:val="006B2699"/>
    <w:rsid w:val="006B28C9"/>
    <w:rsid w:val="006B2BA9"/>
    <w:rsid w:val="006B2CAF"/>
    <w:rsid w:val="006B38A3"/>
    <w:rsid w:val="006B3A1C"/>
    <w:rsid w:val="006B3E83"/>
    <w:rsid w:val="006B5225"/>
    <w:rsid w:val="006B5583"/>
    <w:rsid w:val="006B62E6"/>
    <w:rsid w:val="006B7B62"/>
    <w:rsid w:val="006B7EB5"/>
    <w:rsid w:val="006C029E"/>
    <w:rsid w:val="006C0454"/>
    <w:rsid w:val="006C1174"/>
    <w:rsid w:val="006C1442"/>
    <w:rsid w:val="006C1613"/>
    <w:rsid w:val="006C1FCB"/>
    <w:rsid w:val="006C2B90"/>
    <w:rsid w:val="006C2CE5"/>
    <w:rsid w:val="006C3160"/>
    <w:rsid w:val="006C3F91"/>
    <w:rsid w:val="006C44DC"/>
    <w:rsid w:val="006C483E"/>
    <w:rsid w:val="006C4857"/>
    <w:rsid w:val="006C49DE"/>
    <w:rsid w:val="006C4A6F"/>
    <w:rsid w:val="006C752E"/>
    <w:rsid w:val="006C75D9"/>
    <w:rsid w:val="006C7B3E"/>
    <w:rsid w:val="006C7DD3"/>
    <w:rsid w:val="006D02B9"/>
    <w:rsid w:val="006D042A"/>
    <w:rsid w:val="006D0CBA"/>
    <w:rsid w:val="006D0CBB"/>
    <w:rsid w:val="006D10BF"/>
    <w:rsid w:val="006D1363"/>
    <w:rsid w:val="006D1412"/>
    <w:rsid w:val="006D1649"/>
    <w:rsid w:val="006D1A99"/>
    <w:rsid w:val="006D209E"/>
    <w:rsid w:val="006D20FF"/>
    <w:rsid w:val="006D2ADE"/>
    <w:rsid w:val="006D2CE8"/>
    <w:rsid w:val="006D2DE9"/>
    <w:rsid w:val="006D3096"/>
    <w:rsid w:val="006D3842"/>
    <w:rsid w:val="006D3BBF"/>
    <w:rsid w:val="006D3EAE"/>
    <w:rsid w:val="006D46D6"/>
    <w:rsid w:val="006D4DB8"/>
    <w:rsid w:val="006D50E6"/>
    <w:rsid w:val="006D562F"/>
    <w:rsid w:val="006D58ED"/>
    <w:rsid w:val="006D5C09"/>
    <w:rsid w:val="006D619E"/>
    <w:rsid w:val="006D693D"/>
    <w:rsid w:val="006D6C86"/>
    <w:rsid w:val="006D7697"/>
    <w:rsid w:val="006D7B97"/>
    <w:rsid w:val="006E0486"/>
    <w:rsid w:val="006E15AB"/>
    <w:rsid w:val="006E1C45"/>
    <w:rsid w:val="006E1E74"/>
    <w:rsid w:val="006E21EA"/>
    <w:rsid w:val="006E310D"/>
    <w:rsid w:val="006E41F9"/>
    <w:rsid w:val="006E4B9A"/>
    <w:rsid w:val="006E532E"/>
    <w:rsid w:val="006E53A9"/>
    <w:rsid w:val="006E554C"/>
    <w:rsid w:val="006E6017"/>
    <w:rsid w:val="006E67DE"/>
    <w:rsid w:val="006E7DA6"/>
    <w:rsid w:val="006F011C"/>
    <w:rsid w:val="006F0C6F"/>
    <w:rsid w:val="006F0CF4"/>
    <w:rsid w:val="006F0DAC"/>
    <w:rsid w:val="006F0FBC"/>
    <w:rsid w:val="006F1208"/>
    <w:rsid w:val="006F1283"/>
    <w:rsid w:val="006F2D32"/>
    <w:rsid w:val="006F3285"/>
    <w:rsid w:val="006F3D9E"/>
    <w:rsid w:val="006F4090"/>
    <w:rsid w:val="006F419D"/>
    <w:rsid w:val="006F4C65"/>
    <w:rsid w:val="006F4C87"/>
    <w:rsid w:val="006F5F48"/>
    <w:rsid w:val="006F6899"/>
    <w:rsid w:val="006F6AD0"/>
    <w:rsid w:val="006F74CC"/>
    <w:rsid w:val="006F7B23"/>
    <w:rsid w:val="006F7BC6"/>
    <w:rsid w:val="007003A4"/>
    <w:rsid w:val="00701B6A"/>
    <w:rsid w:val="00701E3B"/>
    <w:rsid w:val="00702899"/>
    <w:rsid w:val="007030DE"/>
    <w:rsid w:val="007037A0"/>
    <w:rsid w:val="007037CA"/>
    <w:rsid w:val="00704270"/>
    <w:rsid w:val="007045A7"/>
    <w:rsid w:val="00704687"/>
    <w:rsid w:val="007050BD"/>
    <w:rsid w:val="007055B4"/>
    <w:rsid w:val="0070570D"/>
    <w:rsid w:val="007066F5"/>
    <w:rsid w:val="007067AF"/>
    <w:rsid w:val="0070735A"/>
    <w:rsid w:val="00707737"/>
    <w:rsid w:val="00707B1B"/>
    <w:rsid w:val="00707C82"/>
    <w:rsid w:val="00707C8D"/>
    <w:rsid w:val="007104BD"/>
    <w:rsid w:val="00710E15"/>
    <w:rsid w:val="00710EBC"/>
    <w:rsid w:val="00711A5E"/>
    <w:rsid w:val="00711E3A"/>
    <w:rsid w:val="00712036"/>
    <w:rsid w:val="00712B57"/>
    <w:rsid w:val="00712C86"/>
    <w:rsid w:val="007133D3"/>
    <w:rsid w:val="007135FD"/>
    <w:rsid w:val="00713BAD"/>
    <w:rsid w:val="00714276"/>
    <w:rsid w:val="007142FC"/>
    <w:rsid w:val="007143E8"/>
    <w:rsid w:val="0071443C"/>
    <w:rsid w:val="007145B5"/>
    <w:rsid w:val="0071509C"/>
    <w:rsid w:val="007152E0"/>
    <w:rsid w:val="00715380"/>
    <w:rsid w:val="00715640"/>
    <w:rsid w:val="007162A7"/>
    <w:rsid w:val="00716FFF"/>
    <w:rsid w:val="0071747B"/>
    <w:rsid w:val="007177AA"/>
    <w:rsid w:val="0072072F"/>
    <w:rsid w:val="007208E1"/>
    <w:rsid w:val="00720DC2"/>
    <w:rsid w:val="007218B4"/>
    <w:rsid w:val="00721A15"/>
    <w:rsid w:val="00722563"/>
    <w:rsid w:val="00722638"/>
    <w:rsid w:val="00722E43"/>
    <w:rsid w:val="00722ECD"/>
    <w:rsid w:val="00723A14"/>
    <w:rsid w:val="00724EB3"/>
    <w:rsid w:val="007256FB"/>
    <w:rsid w:val="0072572E"/>
    <w:rsid w:val="00725B74"/>
    <w:rsid w:val="00726603"/>
    <w:rsid w:val="00726AC2"/>
    <w:rsid w:val="007272E8"/>
    <w:rsid w:val="00727559"/>
    <w:rsid w:val="007275B9"/>
    <w:rsid w:val="007279B8"/>
    <w:rsid w:val="00727C2F"/>
    <w:rsid w:val="00727E03"/>
    <w:rsid w:val="0073025D"/>
    <w:rsid w:val="00730AFF"/>
    <w:rsid w:val="00731085"/>
    <w:rsid w:val="0073133D"/>
    <w:rsid w:val="00731AAB"/>
    <w:rsid w:val="00731B79"/>
    <w:rsid w:val="00731C9F"/>
    <w:rsid w:val="00731D9E"/>
    <w:rsid w:val="00731DEA"/>
    <w:rsid w:val="00731FFC"/>
    <w:rsid w:val="0073226F"/>
    <w:rsid w:val="007322AF"/>
    <w:rsid w:val="007324AD"/>
    <w:rsid w:val="00732719"/>
    <w:rsid w:val="00732B11"/>
    <w:rsid w:val="00732D59"/>
    <w:rsid w:val="00735489"/>
    <w:rsid w:val="00735CCC"/>
    <w:rsid w:val="007363CF"/>
    <w:rsid w:val="007366DD"/>
    <w:rsid w:val="00737748"/>
    <w:rsid w:val="00737967"/>
    <w:rsid w:val="00740869"/>
    <w:rsid w:val="00740DB9"/>
    <w:rsid w:val="0074120E"/>
    <w:rsid w:val="0074162C"/>
    <w:rsid w:val="00741909"/>
    <w:rsid w:val="00741F73"/>
    <w:rsid w:val="00743290"/>
    <w:rsid w:val="0074329F"/>
    <w:rsid w:val="00744155"/>
    <w:rsid w:val="007444A5"/>
    <w:rsid w:val="007449F6"/>
    <w:rsid w:val="0074600A"/>
    <w:rsid w:val="0074652B"/>
    <w:rsid w:val="0074783F"/>
    <w:rsid w:val="00747A30"/>
    <w:rsid w:val="007500B5"/>
    <w:rsid w:val="00750710"/>
    <w:rsid w:val="0075114B"/>
    <w:rsid w:val="00751833"/>
    <w:rsid w:val="00751A30"/>
    <w:rsid w:val="00751ED6"/>
    <w:rsid w:val="00752E56"/>
    <w:rsid w:val="00752F78"/>
    <w:rsid w:val="0075348F"/>
    <w:rsid w:val="0075363D"/>
    <w:rsid w:val="0075394E"/>
    <w:rsid w:val="0075413C"/>
    <w:rsid w:val="00754C16"/>
    <w:rsid w:val="00756215"/>
    <w:rsid w:val="00756A24"/>
    <w:rsid w:val="00756AED"/>
    <w:rsid w:val="0075704D"/>
    <w:rsid w:val="0075721B"/>
    <w:rsid w:val="00757C5F"/>
    <w:rsid w:val="00760030"/>
    <w:rsid w:val="007603FA"/>
    <w:rsid w:val="00760471"/>
    <w:rsid w:val="00760ACF"/>
    <w:rsid w:val="00760BB0"/>
    <w:rsid w:val="00760DCF"/>
    <w:rsid w:val="00762133"/>
    <w:rsid w:val="00762683"/>
    <w:rsid w:val="00762AB9"/>
    <w:rsid w:val="00762E53"/>
    <w:rsid w:val="007632BA"/>
    <w:rsid w:val="00763C9C"/>
    <w:rsid w:val="00763E2C"/>
    <w:rsid w:val="00763F21"/>
    <w:rsid w:val="00763F99"/>
    <w:rsid w:val="00764C74"/>
    <w:rsid w:val="0076501C"/>
    <w:rsid w:val="00765089"/>
    <w:rsid w:val="007650E1"/>
    <w:rsid w:val="00766AF5"/>
    <w:rsid w:val="00766C14"/>
    <w:rsid w:val="0076730F"/>
    <w:rsid w:val="007674B1"/>
    <w:rsid w:val="00767DF8"/>
    <w:rsid w:val="007703F6"/>
    <w:rsid w:val="0077064F"/>
    <w:rsid w:val="00770C3D"/>
    <w:rsid w:val="00771086"/>
    <w:rsid w:val="00771567"/>
    <w:rsid w:val="0077178B"/>
    <w:rsid w:val="007719C8"/>
    <w:rsid w:val="007731F6"/>
    <w:rsid w:val="0077330F"/>
    <w:rsid w:val="00774FC4"/>
    <w:rsid w:val="0077533A"/>
    <w:rsid w:val="007761A8"/>
    <w:rsid w:val="007761C5"/>
    <w:rsid w:val="007761DF"/>
    <w:rsid w:val="007762C6"/>
    <w:rsid w:val="00776550"/>
    <w:rsid w:val="00776A89"/>
    <w:rsid w:val="0077767B"/>
    <w:rsid w:val="00777CAE"/>
    <w:rsid w:val="00780939"/>
    <w:rsid w:val="00780CEC"/>
    <w:rsid w:val="007811A8"/>
    <w:rsid w:val="007815F7"/>
    <w:rsid w:val="00781B87"/>
    <w:rsid w:val="0078275B"/>
    <w:rsid w:val="00782B0A"/>
    <w:rsid w:val="00782B10"/>
    <w:rsid w:val="007832C6"/>
    <w:rsid w:val="00783433"/>
    <w:rsid w:val="007838FF"/>
    <w:rsid w:val="00783A5C"/>
    <w:rsid w:val="00784E91"/>
    <w:rsid w:val="0078503B"/>
    <w:rsid w:val="00785832"/>
    <w:rsid w:val="0078588F"/>
    <w:rsid w:val="00785A93"/>
    <w:rsid w:val="00785BFE"/>
    <w:rsid w:val="00785ED1"/>
    <w:rsid w:val="0078620F"/>
    <w:rsid w:val="00786A00"/>
    <w:rsid w:val="0078783C"/>
    <w:rsid w:val="00787CAA"/>
    <w:rsid w:val="00790050"/>
    <w:rsid w:val="00791479"/>
    <w:rsid w:val="0079165B"/>
    <w:rsid w:val="00792421"/>
    <w:rsid w:val="00792523"/>
    <w:rsid w:val="00793411"/>
    <w:rsid w:val="00793A5D"/>
    <w:rsid w:val="00793AB6"/>
    <w:rsid w:val="00793FB7"/>
    <w:rsid w:val="0079501E"/>
    <w:rsid w:val="0079508E"/>
    <w:rsid w:val="00795204"/>
    <w:rsid w:val="00795E14"/>
    <w:rsid w:val="0079608B"/>
    <w:rsid w:val="00797072"/>
    <w:rsid w:val="0079788B"/>
    <w:rsid w:val="00797E5A"/>
    <w:rsid w:val="007A04E3"/>
    <w:rsid w:val="007A13BD"/>
    <w:rsid w:val="007A247A"/>
    <w:rsid w:val="007A2B90"/>
    <w:rsid w:val="007A2E0D"/>
    <w:rsid w:val="007A2E4B"/>
    <w:rsid w:val="007A3951"/>
    <w:rsid w:val="007A3B58"/>
    <w:rsid w:val="007A4251"/>
    <w:rsid w:val="007A48A9"/>
    <w:rsid w:val="007A4AF6"/>
    <w:rsid w:val="007A57C1"/>
    <w:rsid w:val="007A5A09"/>
    <w:rsid w:val="007A6057"/>
    <w:rsid w:val="007A6CA9"/>
    <w:rsid w:val="007A6F83"/>
    <w:rsid w:val="007A7D58"/>
    <w:rsid w:val="007B0568"/>
    <w:rsid w:val="007B0C9B"/>
    <w:rsid w:val="007B163C"/>
    <w:rsid w:val="007B1A86"/>
    <w:rsid w:val="007B260E"/>
    <w:rsid w:val="007B269A"/>
    <w:rsid w:val="007B27AA"/>
    <w:rsid w:val="007B2B9F"/>
    <w:rsid w:val="007B2BF1"/>
    <w:rsid w:val="007B339A"/>
    <w:rsid w:val="007B356E"/>
    <w:rsid w:val="007B3625"/>
    <w:rsid w:val="007B39FB"/>
    <w:rsid w:val="007B41A9"/>
    <w:rsid w:val="007B42ED"/>
    <w:rsid w:val="007B481F"/>
    <w:rsid w:val="007B4B66"/>
    <w:rsid w:val="007B4DEC"/>
    <w:rsid w:val="007B52DD"/>
    <w:rsid w:val="007B58FB"/>
    <w:rsid w:val="007B5985"/>
    <w:rsid w:val="007B5DC3"/>
    <w:rsid w:val="007B6251"/>
    <w:rsid w:val="007B6B64"/>
    <w:rsid w:val="007B723B"/>
    <w:rsid w:val="007C1082"/>
    <w:rsid w:val="007C12A1"/>
    <w:rsid w:val="007C1FFA"/>
    <w:rsid w:val="007C2226"/>
    <w:rsid w:val="007C31E7"/>
    <w:rsid w:val="007C3E9F"/>
    <w:rsid w:val="007C4007"/>
    <w:rsid w:val="007C4641"/>
    <w:rsid w:val="007C567B"/>
    <w:rsid w:val="007C6493"/>
    <w:rsid w:val="007C6C72"/>
    <w:rsid w:val="007C7B39"/>
    <w:rsid w:val="007D001D"/>
    <w:rsid w:val="007D0390"/>
    <w:rsid w:val="007D0D1A"/>
    <w:rsid w:val="007D0D5F"/>
    <w:rsid w:val="007D0E95"/>
    <w:rsid w:val="007D0F91"/>
    <w:rsid w:val="007D117A"/>
    <w:rsid w:val="007D15A4"/>
    <w:rsid w:val="007D17A3"/>
    <w:rsid w:val="007D2085"/>
    <w:rsid w:val="007D2807"/>
    <w:rsid w:val="007D3336"/>
    <w:rsid w:val="007D34D9"/>
    <w:rsid w:val="007D3A97"/>
    <w:rsid w:val="007D40B9"/>
    <w:rsid w:val="007D4572"/>
    <w:rsid w:val="007D532D"/>
    <w:rsid w:val="007D5957"/>
    <w:rsid w:val="007D5DEC"/>
    <w:rsid w:val="007D6040"/>
    <w:rsid w:val="007D6167"/>
    <w:rsid w:val="007D6AF4"/>
    <w:rsid w:val="007D6C6B"/>
    <w:rsid w:val="007D6C8E"/>
    <w:rsid w:val="007D6D8B"/>
    <w:rsid w:val="007D7626"/>
    <w:rsid w:val="007E01B6"/>
    <w:rsid w:val="007E0498"/>
    <w:rsid w:val="007E0532"/>
    <w:rsid w:val="007E054B"/>
    <w:rsid w:val="007E083F"/>
    <w:rsid w:val="007E09C8"/>
    <w:rsid w:val="007E0C2B"/>
    <w:rsid w:val="007E0D08"/>
    <w:rsid w:val="007E1AAD"/>
    <w:rsid w:val="007E263D"/>
    <w:rsid w:val="007E2896"/>
    <w:rsid w:val="007E2C1D"/>
    <w:rsid w:val="007E4D6F"/>
    <w:rsid w:val="007E5331"/>
    <w:rsid w:val="007E537F"/>
    <w:rsid w:val="007E5843"/>
    <w:rsid w:val="007E5C3F"/>
    <w:rsid w:val="007E5F7D"/>
    <w:rsid w:val="007E709E"/>
    <w:rsid w:val="007E735B"/>
    <w:rsid w:val="007F1649"/>
    <w:rsid w:val="007F1933"/>
    <w:rsid w:val="007F2158"/>
    <w:rsid w:val="007F2164"/>
    <w:rsid w:val="007F232A"/>
    <w:rsid w:val="007F25C6"/>
    <w:rsid w:val="007F2E11"/>
    <w:rsid w:val="007F3636"/>
    <w:rsid w:val="007F3A77"/>
    <w:rsid w:val="007F3E31"/>
    <w:rsid w:val="007F4AB9"/>
    <w:rsid w:val="007F4F11"/>
    <w:rsid w:val="007F5942"/>
    <w:rsid w:val="007F62FB"/>
    <w:rsid w:val="007F64CC"/>
    <w:rsid w:val="007F7942"/>
    <w:rsid w:val="0080063F"/>
    <w:rsid w:val="0080077E"/>
    <w:rsid w:val="00800FA3"/>
    <w:rsid w:val="008016BE"/>
    <w:rsid w:val="0080171D"/>
    <w:rsid w:val="00801ECC"/>
    <w:rsid w:val="00802F68"/>
    <w:rsid w:val="00803848"/>
    <w:rsid w:val="00803B3E"/>
    <w:rsid w:val="00804443"/>
    <w:rsid w:val="008045F5"/>
    <w:rsid w:val="00804EE4"/>
    <w:rsid w:val="00804EE7"/>
    <w:rsid w:val="0080603C"/>
    <w:rsid w:val="008064AB"/>
    <w:rsid w:val="008065E2"/>
    <w:rsid w:val="0080688D"/>
    <w:rsid w:val="00806A2F"/>
    <w:rsid w:val="0080744C"/>
    <w:rsid w:val="00807D26"/>
    <w:rsid w:val="008106BC"/>
    <w:rsid w:val="0081139E"/>
    <w:rsid w:val="00811803"/>
    <w:rsid w:val="00811BC6"/>
    <w:rsid w:val="00811C0D"/>
    <w:rsid w:val="00812709"/>
    <w:rsid w:val="00812AA6"/>
    <w:rsid w:val="008131AA"/>
    <w:rsid w:val="00813488"/>
    <w:rsid w:val="008134F2"/>
    <w:rsid w:val="008137F7"/>
    <w:rsid w:val="00813B1C"/>
    <w:rsid w:val="00813BC2"/>
    <w:rsid w:val="00813F45"/>
    <w:rsid w:val="00814416"/>
    <w:rsid w:val="0081460F"/>
    <w:rsid w:val="0081522A"/>
    <w:rsid w:val="00815ED9"/>
    <w:rsid w:val="00816470"/>
    <w:rsid w:val="00816503"/>
    <w:rsid w:val="008167EA"/>
    <w:rsid w:val="00816D22"/>
    <w:rsid w:val="0081710B"/>
    <w:rsid w:val="0081767A"/>
    <w:rsid w:val="008206A2"/>
    <w:rsid w:val="008208AA"/>
    <w:rsid w:val="00820C81"/>
    <w:rsid w:val="00820DCF"/>
    <w:rsid w:val="008211F2"/>
    <w:rsid w:val="00822529"/>
    <w:rsid w:val="00822EB1"/>
    <w:rsid w:val="00823668"/>
    <w:rsid w:val="008238D2"/>
    <w:rsid w:val="0082394B"/>
    <w:rsid w:val="00824B5E"/>
    <w:rsid w:val="00825991"/>
    <w:rsid w:val="00825B02"/>
    <w:rsid w:val="00826B4D"/>
    <w:rsid w:val="00827584"/>
    <w:rsid w:val="00827D44"/>
    <w:rsid w:val="00830322"/>
    <w:rsid w:val="008307F1"/>
    <w:rsid w:val="00830E9B"/>
    <w:rsid w:val="00831583"/>
    <w:rsid w:val="00831F15"/>
    <w:rsid w:val="008324AB"/>
    <w:rsid w:val="00832E21"/>
    <w:rsid w:val="00833370"/>
    <w:rsid w:val="008335A1"/>
    <w:rsid w:val="00833BF3"/>
    <w:rsid w:val="00833EB8"/>
    <w:rsid w:val="00834214"/>
    <w:rsid w:val="008348A2"/>
    <w:rsid w:val="00834BB8"/>
    <w:rsid w:val="0083569D"/>
    <w:rsid w:val="008356CF"/>
    <w:rsid w:val="0083588F"/>
    <w:rsid w:val="00836ECD"/>
    <w:rsid w:val="008371F8"/>
    <w:rsid w:val="00837518"/>
    <w:rsid w:val="008375F7"/>
    <w:rsid w:val="008377EC"/>
    <w:rsid w:val="00837A50"/>
    <w:rsid w:val="00837E9F"/>
    <w:rsid w:val="008401B3"/>
    <w:rsid w:val="008405B8"/>
    <w:rsid w:val="008409AA"/>
    <w:rsid w:val="008409D4"/>
    <w:rsid w:val="00840AEA"/>
    <w:rsid w:val="0084110D"/>
    <w:rsid w:val="00841906"/>
    <w:rsid w:val="0084243E"/>
    <w:rsid w:val="00842E51"/>
    <w:rsid w:val="008436E8"/>
    <w:rsid w:val="00843A74"/>
    <w:rsid w:val="00843F70"/>
    <w:rsid w:val="008449C3"/>
    <w:rsid w:val="00845A29"/>
    <w:rsid w:val="00845A73"/>
    <w:rsid w:val="00845F43"/>
    <w:rsid w:val="0084729D"/>
    <w:rsid w:val="008479E8"/>
    <w:rsid w:val="0085001A"/>
    <w:rsid w:val="008503A3"/>
    <w:rsid w:val="00850510"/>
    <w:rsid w:val="00850668"/>
    <w:rsid w:val="00850AD5"/>
    <w:rsid w:val="00850BCD"/>
    <w:rsid w:val="0085147F"/>
    <w:rsid w:val="0085169F"/>
    <w:rsid w:val="00852026"/>
    <w:rsid w:val="00852904"/>
    <w:rsid w:val="00852D7C"/>
    <w:rsid w:val="008535C6"/>
    <w:rsid w:val="00853D24"/>
    <w:rsid w:val="00853E73"/>
    <w:rsid w:val="00854043"/>
    <w:rsid w:val="008544E5"/>
    <w:rsid w:val="00854D35"/>
    <w:rsid w:val="00855A9A"/>
    <w:rsid w:val="00856143"/>
    <w:rsid w:val="008567BA"/>
    <w:rsid w:val="00857169"/>
    <w:rsid w:val="00857EEB"/>
    <w:rsid w:val="0086048F"/>
    <w:rsid w:val="0086069C"/>
    <w:rsid w:val="00860775"/>
    <w:rsid w:val="00860B4B"/>
    <w:rsid w:val="008612C7"/>
    <w:rsid w:val="008612D4"/>
    <w:rsid w:val="00861C21"/>
    <w:rsid w:val="008623C0"/>
    <w:rsid w:val="00862C9D"/>
    <w:rsid w:val="008637EF"/>
    <w:rsid w:val="00864236"/>
    <w:rsid w:val="008653BB"/>
    <w:rsid w:val="00865845"/>
    <w:rsid w:val="00865EC9"/>
    <w:rsid w:val="00866973"/>
    <w:rsid w:val="00866D71"/>
    <w:rsid w:val="00866E60"/>
    <w:rsid w:val="0087014D"/>
    <w:rsid w:val="008706A2"/>
    <w:rsid w:val="00870B0B"/>
    <w:rsid w:val="008715BD"/>
    <w:rsid w:val="00872A6B"/>
    <w:rsid w:val="00872AD3"/>
    <w:rsid w:val="00872C3D"/>
    <w:rsid w:val="008730B4"/>
    <w:rsid w:val="00873E86"/>
    <w:rsid w:val="00874CE6"/>
    <w:rsid w:val="00874EC5"/>
    <w:rsid w:val="00876272"/>
    <w:rsid w:val="00876824"/>
    <w:rsid w:val="0087687D"/>
    <w:rsid w:val="00876C98"/>
    <w:rsid w:val="00877A73"/>
    <w:rsid w:val="00877C43"/>
    <w:rsid w:val="00877CAE"/>
    <w:rsid w:val="008800EA"/>
    <w:rsid w:val="00880D67"/>
    <w:rsid w:val="00881EB3"/>
    <w:rsid w:val="0088240D"/>
    <w:rsid w:val="0088250D"/>
    <w:rsid w:val="0088275A"/>
    <w:rsid w:val="00882C80"/>
    <w:rsid w:val="00882CA8"/>
    <w:rsid w:val="008840C0"/>
    <w:rsid w:val="008840D8"/>
    <w:rsid w:val="00884497"/>
    <w:rsid w:val="00884EFB"/>
    <w:rsid w:val="008852B6"/>
    <w:rsid w:val="008858D5"/>
    <w:rsid w:val="008859CB"/>
    <w:rsid w:val="00886976"/>
    <w:rsid w:val="0088698D"/>
    <w:rsid w:val="00886B1E"/>
    <w:rsid w:val="00886B2E"/>
    <w:rsid w:val="0088758D"/>
    <w:rsid w:val="00887EA2"/>
    <w:rsid w:val="008902BC"/>
    <w:rsid w:val="008906E4"/>
    <w:rsid w:val="008915E8"/>
    <w:rsid w:val="00891625"/>
    <w:rsid w:val="008922C5"/>
    <w:rsid w:val="00892BAB"/>
    <w:rsid w:val="00892D2D"/>
    <w:rsid w:val="0089314A"/>
    <w:rsid w:val="00893CA7"/>
    <w:rsid w:val="00893CDA"/>
    <w:rsid w:val="00893CF1"/>
    <w:rsid w:val="00894154"/>
    <w:rsid w:val="008941CB"/>
    <w:rsid w:val="008945C8"/>
    <w:rsid w:val="00895498"/>
    <w:rsid w:val="008972A8"/>
    <w:rsid w:val="0089746D"/>
    <w:rsid w:val="00897940"/>
    <w:rsid w:val="008A06D3"/>
    <w:rsid w:val="008A0A52"/>
    <w:rsid w:val="008A1120"/>
    <w:rsid w:val="008A122E"/>
    <w:rsid w:val="008A15D7"/>
    <w:rsid w:val="008A1A0D"/>
    <w:rsid w:val="008A1B0A"/>
    <w:rsid w:val="008A1D50"/>
    <w:rsid w:val="008A49C2"/>
    <w:rsid w:val="008A570C"/>
    <w:rsid w:val="008A7237"/>
    <w:rsid w:val="008A72E6"/>
    <w:rsid w:val="008B0002"/>
    <w:rsid w:val="008B06E3"/>
    <w:rsid w:val="008B15E4"/>
    <w:rsid w:val="008B1776"/>
    <w:rsid w:val="008B20DB"/>
    <w:rsid w:val="008B2C6E"/>
    <w:rsid w:val="008B2D3C"/>
    <w:rsid w:val="008B3397"/>
    <w:rsid w:val="008B3ABF"/>
    <w:rsid w:val="008B44A1"/>
    <w:rsid w:val="008B4990"/>
    <w:rsid w:val="008B4D09"/>
    <w:rsid w:val="008B4E2F"/>
    <w:rsid w:val="008B4E80"/>
    <w:rsid w:val="008B4F5F"/>
    <w:rsid w:val="008B61D9"/>
    <w:rsid w:val="008B6542"/>
    <w:rsid w:val="008B6742"/>
    <w:rsid w:val="008B675A"/>
    <w:rsid w:val="008B6B36"/>
    <w:rsid w:val="008B721A"/>
    <w:rsid w:val="008B7652"/>
    <w:rsid w:val="008B7939"/>
    <w:rsid w:val="008B7C51"/>
    <w:rsid w:val="008C1850"/>
    <w:rsid w:val="008C1DD8"/>
    <w:rsid w:val="008C26E8"/>
    <w:rsid w:val="008C2949"/>
    <w:rsid w:val="008C2B28"/>
    <w:rsid w:val="008C2D4D"/>
    <w:rsid w:val="008C332F"/>
    <w:rsid w:val="008C35EE"/>
    <w:rsid w:val="008C4723"/>
    <w:rsid w:val="008C4759"/>
    <w:rsid w:val="008C4A7F"/>
    <w:rsid w:val="008C5691"/>
    <w:rsid w:val="008C631D"/>
    <w:rsid w:val="008C6641"/>
    <w:rsid w:val="008C682A"/>
    <w:rsid w:val="008C68CA"/>
    <w:rsid w:val="008C6CCF"/>
    <w:rsid w:val="008C70AA"/>
    <w:rsid w:val="008C7CF0"/>
    <w:rsid w:val="008D05A4"/>
    <w:rsid w:val="008D06E7"/>
    <w:rsid w:val="008D0817"/>
    <w:rsid w:val="008D11C4"/>
    <w:rsid w:val="008D2004"/>
    <w:rsid w:val="008D2CF6"/>
    <w:rsid w:val="008D2EF4"/>
    <w:rsid w:val="008D31FC"/>
    <w:rsid w:val="008D378F"/>
    <w:rsid w:val="008D44BF"/>
    <w:rsid w:val="008D44E9"/>
    <w:rsid w:val="008D50F8"/>
    <w:rsid w:val="008D5504"/>
    <w:rsid w:val="008D55F2"/>
    <w:rsid w:val="008D57EA"/>
    <w:rsid w:val="008D5953"/>
    <w:rsid w:val="008D63D3"/>
    <w:rsid w:val="008D63E5"/>
    <w:rsid w:val="008D64D0"/>
    <w:rsid w:val="008D6C1D"/>
    <w:rsid w:val="008D6F2B"/>
    <w:rsid w:val="008D6FEE"/>
    <w:rsid w:val="008D7BF2"/>
    <w:rsid w:val="008D7CD8"/>
    <w:rsid w:val="008D7FD7"/>
    <w:rsid w:val="008E1E1C"/>
    <w:rsid w:val="008E1E67"/>
    <w:rsid w:val="008E270F"/>
    <w:rsid w:val="008E3C39"/>
    <w:rsid w:val="008E4164"/>
    <w:rsid w:val="008E4B42"/>
    <w:rsid w:val="008E5365"/>
    <w:rsid w:val="008E55CD"/>
    <w:rsid w:val="008E56E7"/>
    <w:rsid w:val="008E7C81"/>
    <w:rsid w:val="008E7E42"/>
    <w:rsid w:val="008F00A5"/>
    <w:rsid w:val="008F031A"/>
    <w:rsid w:val="008F04DD"/>
    <w:rsid w:val="008F1183"/>
    <w:rsid w:val="008F16AD"/>
    <w:rsid w:val="008F1CE1"/>
    <w:rsid w:val="008F1F09"/>
    <w:rsid w:val="008F29D2"/>
    <w:rsid w:val="008F2A8E"/>
    <w:rsid w:val="008F2AA7"/>
    <w:rsid w:val="008F2F1D"/>
    <w:rsid w:val="008F3171"/>
    <w:rsid w:val="008F3DD3"/>
    <w:rsid w:val="008F45A8"/>
    <w:rsid w:val="008F475B"/>
    <w:rsid w:val="008F4FE6"/>
    <w:rsid w:val="008F5918"/>
    <w:rsid w:val="008F5AE6"/>
    <w:rsid w:val="008F5DB4"/>
    <w:rsid w:val="008F5FE1"/>
    <w:rsid w:val="008F6179"/>
    <w:rsid w:val="008F6451"/>
    <w:rsid w:val="008F6CC2"/>
    <w:rsid w:val="008F6DEE"/>
    <w:rsid w:val="008F7C8C"/>
    <w:rsid w:val="008F7F24"/>
    <w:rsid w:val="00900CEE"/>
    <w:rsid w:val="009010AF"/>
    <w:rsid w:val="0090172B"/>
    <w:rsid w:val="00901968"/>
    <w:rsid w:val="00902A43"/>
    <w:rsid w:val="00903670"/>
    <w:rsid w:val="00903924"/>
    <w:rsid w:val="00903D55"/>
    <w:rsid w:val="00903E6C"/>
    <w:rsid w:val="00903FB7"/>
    <w:rsid w:val="009043A0"/>
    <w:rsid w:val="00904F0A"/>
    <w:rsid w:val="00904FE9"/>
    <w:rsid w:val="00905CB6"/>
    <w:rsid w:val="009066F1"/>
    <w:rsid w:val="00906AD2"/>
    <w:rsid w:val="00907376"/>
    <w:rsid w:val="0091057C"/>
    <w:rsid w:val="0091074B"/>
    <w:rsid w:val="009115A8"/>
    <w:rsid w:val="0091166A"/>
    <w:rsid w:val="00911732"/>
    <w:rsid w:val="009118BF"/>
    <w:rsid w:val="00911A3C"/>
    <w:rsid w:val="00911FA2"/>
    <w:rsid w:val="00912089"/>
    <w:rsid w:val="00912465"/>
    <w:rsid w:val="009125F8"/>
    <w:rsid w:val="0091304C"/>
    <w:rsid w:val="00913917"/>
    <w:rsid w:val="00913D99"/>
    <w:rsid w:val="009141C5"/>
    <w:rsid w:val="00914916"/>
    <w:rsid w:val="0091578E"/>
    <w:rsid w:val="00915975"/>
    <w:rsid w:val="009160D5"/>
    <w:rsid w:val="0091652B"/>
    <w:rsid w:val="00916B22"/>
    <w:rsid w:val="0092123A"/>
    <w:rsid w:val="00921C5F"/>
    <w:rsid w:val="00922AE2"/>
    <w:rsid w:val="00922C57"/>
    <w:rsid w:val="00923B6D"/>
    <w:rsid w:val="00924467"/>
    <w:rsid w:val="0092479B"/>
    <w:rsid w:val="00924F3F"/>
    <w:rsid w:val="0092502E"/>
    <w:rsid w:val="00925066"/>
    <w:rsid w:val="00925B32"/>
    <w:rsid w:val="00925BB1"/>
    <w:rsid w:val="009264EC"/>
    <w:rsid w:val="009304B2"/>
    <w:rsid w:val="0093062B"/>
    <w:rsid w:val="009309FC"/>
    <w:rsid w:val="00930B37"/>
    <w:rsid w:val="00930D87"/>
    <w:rsid w:val="00930E01"/>
    <w:rsid w:val="00931082"/>
    <w:rsid w:val="0093129E"/>
    <w:rsid w:val="009313AE"/>
    <w:rsid w:val="00931CCF"/>
    <w:rsid w:val="00931D50"/>
    <w:rsid w:val="0093205F"/>
    <w:rsid w:val="00932355"/>
    <w:rsid w:val="00932406"/>
    <w:rsid w:val="0093348C"/>
    <w:rsid w:val="00933550"/>
    <w:rsid w:val="00933FE7"/>
    <w:rsid w:val="00934072"/>
    <w:rsid w:val="009342D3"/>
    <w:rsid w:val="0093439D"/>
    <w:rsid w:val="009352C6"/>
    <w:rsid w:val="00935621"/>
    <w:rsid w:val="00935C5E"/>
    <w:rsid w:val="00935DF3"/>
    <w:rsid w:val="00936710"/>
    <w:rsid w:val="00936919"/>
    <w:rsid w:val="00936978"/>
    <w:rsid w:val="0093718A"/>
    <w:rsid w:val="0093759A"/>
    <w:rsid w:val="009378F4"/>
    <w:rsid w:val="00937C36"/>
    <w:rsid w:val="009403DF"/>
    <w:rsid w:val="00940B3C"/>
    <w:rsid w:val="009420DA"/>
    <w:rsid w:val="009423E9"/>
    <w:rsid w:val="009428D8"/>
    <w:rsid w:val="00943852"/>
    <w:rsid w:val="00943B12"/>
    <w:rsid w:val="00943E28"/>
    <w:rsid w:val="00943EF7"/>
    <w:rsid w:val="009447B8"/>
    <w:rsid w:val="00945702"/>
    <w:rsid w:val="00945828"/>
    <w:rsid w:val="00945F91"/>
    <w:rsid w:val="0094624A"/>
    <w:rsid w:val="00946C67"/>
    <w:rsid w:val="00947282"/>
    <w:rsid w:val="00947EC6"/>
    <w:rsid w:val="009505A2"/>
    <w:rsid w:val="00950710"/>
    <w:rsid w:val="0095086B"/>
    <w:rsid w:val="009510A2"/>
    <w:rsid w:val="00951473"/>
    <w:rsid w:val="00951DC5"/>
    <w:rsid w:val="009525FB"/>
    <w:rsid w:val="00954037"/>
    <w:rsid w:val="00954875"/>
    <w:rsid w:val="00954895"/>
    <w:rsid w:val="00954D51"/>
    <w:rsid w:val="00954ED9"/>
    <w:rsid w:val="00956435"/>
    <w:rsid w:val="00957C0F"/>
    <w:rsid w:val="009602F4"/>
    <w:rsid w:val="00960339"/>
    <w:rsid w:val="0096075B"/>
    <w:rsid w:val="00960B63"/>
    <w:rsid w:val="00960F9F"/>
    <w:rsid w:val="00960FF8"/>
    <w:rsid w:val="009619C5"/>
    <w:rsid w:val="009619F9"/>
    <w:rsid w:val="00962E60"/>
    <w:rsid w:val="009630CB"/>
    <w:rsid w:val="009645AF"/>
    <w:rsid w:val="009645F3"/>
    <w:rsid w:val="00964639"/>
    <w:rsid w:val="009657FF"/>
    <w:rsid w:val="00966A96"/>
    <w:rsid w:val="00966C2F"/>
    <w:rsid w:val="00966D45"/>
    <w:rsid w:val="00966FA7"/>
    <w:rsid w:val="009672DB"/>
    <w:rsid w:val="009674F4"/>
    <w:rsid w:val="00967A20"/>
    <w:rsid w:val="00970A2A"/>
    <w:rsid w:val="00970DFC"/>
    <w:rsid w:val="009716D3"/>
    <w:rsid w:val="00971A87"/>
    <w:rsid w:val="009738A3"/>
    <w:rsid w:val="0097454F"/>
    <w:rsid w:val="009756E0"/>
    <w:rsid w:val="00976178"/>
    <w:rsid w:val="009768F5"/>
    <w:rsid w:val="009775C8"/>
    <w:rsid w:val="009779F9"/>
    <w:rsid w:val="00977AAE"/>
    <w:rsid w:val="009803E2"/>
    <w:rsid w:val="009806ED"/>
    <w:rsid w:val="009810F8"/>
    <w:rsid w:val="00981B3C"/>
    <w:rsid w:val="0098223F"/>
    <w:rsid w:val="0098272F"/>
    <w:rsid w:val="00982B02"/>
    <w:rsid w:val="00982C5F"/>
    <w:rsid w:val="00982E01"/>
    <w:rsid w:val="00983025"/>
    <w:rsid w:val="00983485"/>
    <w:rsid w:val="0098365E"/>
    <w:rsid w:val="0098370A"/>
    <w:rsid w:val="009848FD"/>
    <w:rsid w:val="00984A97"/>
    <w:rsid w:val="0098645E"/>
    <w:rsid w:val="0098670B"/>
    <w:rsid w:val="00986821"/>
    <w:rsid w:val="0098688D"/>
    <w:rsid w:val="009868A8"/>
    <w:rsid w:val="0098795E"/>
    <w:rsid w:val="00987C27"/>
    <w:rsid w:val="00990061"/>
    <w:rsid w:val="0099055E"/>
    <w:rsid w:val="009914B8"/>
    <w:rsid w:val="00991B60"/>
    <w:rsid w:val="00993B81"/>
    <w:rsid w:val="0099404F"/>
    <w:rsid w:val="0099407D"/>
    <w:rsid w:val="00994AB4"/>
    <w:rsid w:val="009963E9"/>
    <w:rsid w:val="0099689F"/>
    <w:rsid w:val="00996B4F"/>
    <w:rsid w:val="00996F36"/>
    <w:rsid w:val="00996FC0"/>
    <w:rsid w:val="0099708E"/>
    <w:rsid w:val="00997629"/>
    <w:rsid w:val="009977DF"/>
    <w:rsid w:val="009977EE"/>
    <w:rsid w:val="009A037A"/>
    <w:rsid w:val="009A0F3D"/>
    <w:rsid w:val="009A184C"/>
    <w:rsid w:val="009A333C"/>
    <w:rsid w:val="009A443A"/>
    <w:rsid w:val="009A49AE"/>
    <w:rsid w:val="009A4DC1"/>
    <w:rsid w:val="009A6771"/>
    <w:rsid w:val="009A6940"/>
    <w:rsid w:val="009A6CF1"/>
    <w:rsid w:val="009A71C8"/>
    <w:rsid w:val="009A7AD3"/>
    <w:rsid w:val="009B0114"/>
    <w:rsid w:val="009B1235"/>
    <w:rsid w:val="009B12AC"/>
    <w:rsid w:val="009B23EC"/>
    <w:rsid w:val="009B2694"/>
    <w:rsid w:val="009B27CF"/>
    <w:rsid w:val="009B2BEC"/>
    <w:rsid w:val="009B2CD9"/>
    <w:rsid w:val="009B2D64"/>
    <w:rsid w:val="009B353D"/>
    <w:rsid w:val="009B356C"/>
    <w:rsid w:val="009B3A89"/>
    <w:rsid w:val="009B3FDF"/>
    <w:rsid w:val="009B4360"/>
    <w:rsid w:val="009B46D0"/>
    <w:rsid w:val="009B4851"/>
    <w:rsid w:val="009B48F0"/>
    <w:rsid w:val="009B4AD2"/>
    <w:rsid w:val="009B4C9B"/>
    <w:rsid w:val="009B52DB"/>
    <w:rsid w:val="009B5345"/>
    <w:rsid w:val="009B55CF"/>
    <w:rsid w:val="009B5760"/>
    <w:rsid w:val="009B5BE6"/>
    <w:rsid w:val="009B6E16"/>
    <w:rsid w:val="009B6F90"/>
    <w:rsid w:val="009B71E6"/>
    <w:rsid w:val="009C0695"/>
    <w:rsid w:val="009C08A0"/>
    <w:rsid w:val="009C0F75"/>
    <w:rsid w:val="009C1D76"/>
    <w:rsid w:val="009C1E34"/>
    <w:rsid w:val="009C22E6"/>
    <w:rsid w:val="009C4248"/>
    <w:rsid w:val="009C43AE"/>
    <w:rsid w:val="009C4C27"/>
    <w:rsid w:val="009C5007"/>
    <w:rsid w:val="009C50D5"/>
    <w:rsid w:val="009C5378"/>
    <w:rsid w:val="009C691C"/>
    <w:rsid w:val="009C7144"/>
    <w:rsid w:val="009C74DE"/>
    <w:rsid w:val="009C7887"/>
    <w:rsid w:val="009D027B"/>
    <w:rsid w:val="009D0761"/>
    <w:rsid w:val="009D07E9"/>
    <w:rsid w:val="009D0A59"/>
    <w:rsid w:val="009D0A6F"/>
    <w:rsid w:val="009D0D9A"/>
    <w:rsid w:val="009D0EF0"/>
    <w:rsid w:val="009D1212"/>
    <w:rsid w:val="009D1758"/>
    <w:rsid w:val="009D1BBB"/>
    <w:rsid w:val="009D2032"/>
    <w:rsid w:val="009D299A"/>
    <w:rsid w:val="009D2FA3"/>
    <w:rsid w:val="009D33EC"/>
    <w:rsid w:val="009D34F5"/>
    <w:rsid w:val="009D3935"/>
    <w:rsid w:val="009D3E9C"/>
    <w:rsid w:val="009D4AE4"/>
    <w:rsid w:val="009D4EE9"/>
    <w:rsid w:val="009D5F91"/>
    <w:rsid w:val="009D67D5"/>
    <w:rsid w:val="009D6CAB"/>
    <w:rsid w:val="009D75C9"/>
    <w:rsid w:val="009D7B66"/>
    <w:rsid w:val="009D7CF0"/>
    <w:rsid w:val="009E0756"/>
    <w:rsid w:val="009E0F04"/>
    <w:rsid w:val="009E11AE"/>
    <w:rsid w:val="009E1D76"/>
    <w:rsid w:val="009E27B0"/>
    <w:rsid w:val="009E2B48"/>
    <w:rsid w:val="009E2E49"/>
    <w:rsid w:val="009E2F9B"/>
    <w:rsid w:val="009E2FE6"/>
    <w:rsid w:val="009E4621"/>
    <w:rsid w:val="009E521F"/>
    <w:rsid w:val="009E5FFD"/>
    <w:rsid w:val="009E62E4"/>
    <w:rsid w:val="009E70C6"/>
    <w:rsid w:val="009E7246"/>
    <w:rsid w:val="009E7B53"/>
    <w:rsid w:val="009E7C5F"/>
    <w:rsid w:val="009F067E"/>
    <w:rsid w:val="009F0F18"/>
    <w:rsid w:val="009F1170"/>
    <w:rsid w:val="009F12C9"/>
    <w:rsid w:val="009F175B"/>
    <w:rsid w:val="009F1872"/>
    <w:rsid w:val="009F187C"/>
    <w:rsid w:val="009F1AB7"/>
    <w:rsid w:val="009F1C32"/>
    <w:rsid w:val="009F1D5D"/>
    <w:rsid w:val="009F21FC"/>
    <w:rsid w:val="009F2467"/>
    <w:rsid w:val="009F271A"/>
    <w:rsid w:val="009F2973"/>
    <w:rsid w:val="009F3163"/>
    <w:rsid w:val="009F377A"/>
    <w:rsid w:val="009F3A2F"/>
    <w:rsid w:val="009F3B4C"/>
    <w:rsid w:val="009F3BF6"/>
    <w:rsid w:val="009F4308"/>
    <w:rsid w:val="009F437F"/>
    <w:rsid w:val="009F4B37"/>
    <w:rsid w:val="009F5960"/>
    <w:rsid w:val="009F59AB"/>
    <w:rsid w:val="009F64B7"/>
    <w:rsid w:val="009F7694"/>
    <w:rsid w:val="009F76C3"/>
    <w:rsid w:val="009F7799"/>
    <w:rsid w:val="009F7EFC"/>
    <w:rsid w:val="00A0061B"/>
    <w:rsid w:val="00A00CD4"/>
    <w:rsid w:val="00A00E19"/>
    <w:rsid w:val="00A01024"/>
    <w:rsid w:val="00A01301"/>
    <w:rsid w:val="00A01978"/>
    <w:rsid w:val="00A01A66"/>
    <w:rsid w:val="00A01B08"/>
    <w:rsid w:val="00A02E6D"/>
    <w:rsid w:val="00A02F6C"/>
    <w:rsid w:val="00A032FD"/>
    <w:rsid w:val="00A04156"/>
    <w:rsid w:val="00A057DF"/>
    <w:rsid w:val="00A059E9"/>
    <w:rsid w:val="00A05C75"/>
    <w:rsid w:val="00A06D6C"/>
    <w:rsid w:val="00A06D9C"/>
    <w:rsid w:val="00A0753D"/>
    <w:rsid w:val="00A1034C"/>
    <w:rsid w:val="00A10756"/>
    <w:rsid w:val="00A1078D"/>
    <w:rsid w:val="00A10CA8"/>
    <w:rsid w:val="00A10E1E"/>
    <w:rsid w:val="00A112E2"/>
    <w:rsid w:val="00A113F6"/>
    <w:rsid w:val="00A11A50"/>
    <w:rsid w:val="00A11BD0"/>
    <w:rsid w:val="00A123E0"/>
    <w:rsid w:val="00A126F1"/>
    <w:rsid w:val="00A1299B"/>
    <w:rsid w:val="00A12CC2"/>
    <w:rsid w:val="00A12E93"/>
    <w:rsid w:val="00A12EDE"/>
    <w:rsid w:val="00A12F1E"/>
    <w:rsid w:val="00A12FBC"/>
    <w:rsid w:val="00A131CA"/>
    <w:rsid w:val="00A131D5"/>
    <w:rsid w:val="00A136AA"/>
    <w:rsid w:val="00A13A57"/>
    <w:rsid w:val="00A13FD9"/>
    <w:rsid w:val="00A142E1"/>
    <w:rsid w:val="00A148F1"/>
    <w:rsid w:val="00A14A5D"/>
    <w:rsid w:val="00A14C83"/>
    <w:rsid w:val="00A14F92"/>
    <w:rsid w:val="00A156D9"/>
    <w:rsid w:val="00A16917"/>
    <w:rsid w:val="00A16E41"/>
    <w:rsid w:val="00A17DB5"/>
    <w:rsid w:val="00A20568"/>
    <w:rsid w:val="00A2070E"/>
    <w:rsid w:val="00A20A3E"/>
    <w:rsid w:val="00A21308"/>
    <w:rsid w:val="00A222EA"/>
    <w:rsid w:val="00A223FC"/>
    <w:rsid w:val="00A22BB2"/>
    <w:rsid w:val="00A230AE"/>
    <w:rsid w:val="00A2369C"/>
    <w:rsid w:val="00A2498A"/>
    <w:rsid w:val="00A24D57"/>
    <w:rsid w:val="00A251CD"/>
    <w:rsid w:val="00A25E88"/>
    <w:rsid w:val="00A261E3"/>
    <w:rsid w:val="00A26568"/>
    <w:rsid w:val="00A2719C"/>
    <w:rsid w:val="00A279AB"/>
    <w:rsid w:val="00A27E2B"/>
    <w:rsid w:val="00A27EDC"/>
    <w:rsid w:val="00A320BE"/>
    <w:rsid w:val="00A32461"/>
    <w:rsid w:val="00A33266"/>
    <w:rsid w:val="00A33B43"/>
    <w:rsid w:val="00A34016"/>
    <w:rsid w:val="00A3439F"/>
    <w:rsid w:val="00A35C10"/>
    <w:rsid w:val="00A35C9A"/>
    <w:rsid w:val="00A35D60"/>
    <w:rsid w:val="00A35E82"/>
    <w:rsid w:val="00A3603D"/>
    <w:rsid w:val="00A364D3"/>
    <w:rsid w:val="00A36778"/>
    <w:rsid w:val="00A36BE7"/>
    <w:rsid w:val="00A37040"/>
    <w:rsid w:val="00A375FD"/>
    <w:rsid w:val="00A37D36"/>
    <w:rsid w:val="00A400C2"/>
    <w:rsid w:val="00A403F7"/>
    <w:rsid w:val="00A40B51"/>
    <w:rsid w:val="00A40CAD"/>
    <w:rsid w:val="00A41759"/>
    <w:rsid w:val="00A41B79"/>
    <w:rsid w:val="00A41CF6"/>
    <w:rsid w:val="00A41D76"/>
    <w:rsid w:val="00A4201B"/>
    <w:rsid w:val="00A421C6"/>
    <w:rsid w:val="00A42AD9"/>
    <w:rsid w:val="00A43714"/>
    <w:rsid w:val="00A43928"/>
    <w:rsid w:val="00A43A0A"/>
    <w:rsid w:val="00A43A24"/>
    <w:rsid w:val="00A441DE"/>
    <w:rsid w:val="00A44798"/>
    <w:rsid w:val="00A44B49"/>
    <w:rsid w:val="00A45253"/>
    <w:rsid w:val="00A4551B"/>
    <w:rsid w:val="00A46A06"/>
    <w:rsid w:val="00A46B13"/>
    <w:rsid w:val="00A46ED6"/>
    <w:rsid w:val="00A46F20"/>
    <w:rsid w:val="00A471E1"/>
    <w:rsid w:val="00A507B9"/>
    <w:rsid w:val="00A507C5"/>
    <w:rsid w:val="00A50850"/>
    <w:rsid w:val="00A50A73"/>
    <w:rsid w:val="00A5172F"/>
    <w:rsid w:val="00A51C6B"/>
    <w:rsid w:val="00A51DC4"/>
    <w:rsid w:val="00A52AB2"/>
    <w:rsid w:val="00A52EC1"/>
    <w:rsid w:val="00A53446"/>
    <w:rsid w:val="00A552D8"/>
    <w:rsid w:val="00A554CF"/>
    <w:rsid w:val="00A56D41"/>
    <w:rsid w:val="00A60B01"/>
    <w:rsid w:val="00A6104B"/>
    <w:rsid w:val="00A61DB8"/>
    <w:rsid w:val="00A6211D"/>
    <w:rsid w:val="00A636A8"/>
    <w:rsid w:val="00A63D63"/>
    <w:rsid w:val="00A648D2"/>
    <w:rsid w:val="00A649D3"/>
    <w:rsid w:val="00A64ACB"/>
    <w:rsid w:val="00A65052"/>
    <w:rsid w:val="00A66368"/>
    <w:rsid w:val="00A665EE"/>
    <w:rsid w:val="00A66E2A"/>
    <w:rsid w:val="00A67DD0"/>
    <w:rsid w:val="00A67F24"/>
    <w:rsid w:val="00A7032E"/>
    <w:rsid w:val="00A710D1"/>
    <w:rsid w:val="00A712E1"/>
    <w:rsid w:val="00A7172A"/>
    <w:rsid w:val="00A71E21"/>
    <w:rsid w:val="00A7250D"/>
    <w:rsid w:val="00A728C9"/>
    <w:rsid w:val="00A72C97"/>
    <w:rsid w:val="00A72EEA"/>
    <w:rsid w:val="00A733CD"/>
    <w:rsid w:val="00A73D43"/>
    <w:rsid w:val="00A74C8A"/>
    <w:rsid w:val="00A75AC1"/>
    <w:rsid w:val="00A764FE"/>
    <w:rsid w:val="00A76CBF"/>
    <w:rsid w:val="00A77578"/>
    <w:rsid w:val="00A7759A"/>
    <w:rsid w:val="00A77887"/>
    <w:rsid w:val="00A77E85"/>
    <w:rsid w:val="00A80279"/>
    <w:rsid w:val="00A804EA"/>
    <w:rsid w:val="00A80809"/>
    <w:rsid w:val="00A81A50"/>
    <w:rsid w:val="00A81B65"/>
    <w:rsid w:val="00A82920"/>
    <w:rsid w:val="00A8295B"/>
    <w:rsid w:val="00A82E71"/>
    <w:rsid w:val="00A8365A"/>
    <w:rsid w:val="00A8376B"/>
    <w:rsid w:val="00A83F11"/>
    <w:rsid w:val="00A84611"/>
    <w:rsid w:val="00A84786"/>
    <w:rsid w:val="00A847B7"/>
    <w:rsid w:val="00A84AF0"/>
    <w:rsid w:val="00A84B5D"/>
    <w:rsid w:val="00A84BBD"/>
    <w:rsid w:val="00A84D3E"/>
    <w:rsid w:val="00A84EF9"/>
    <w:rsid w:val="00A84F8C"/>
    <w:rsid w:val="00A8500C"/>
    <w:rsid w:val="00A85ADA"/>
    <w:rsid w:val="00A85BB1"/>
    <w:rsid w:val="00A85E4F"/>
    <w:rsid w:val="00A867D5"/>
    <w:rsid w:val="00A86EC3"/>
    <w:rsid w:val="00A86F12"/>
    <w:rsid w:val="00A86FD8"/>
    <w:rsid w:val="00A87503"/>
    <w:rsid w:val="00A87BFF"/>
    <w:rsid w:val="00A90301"/>
    <w:rsid w:val="00A9054D"/>
    <w:rsid w:val="00A9076C"/>
    <w:rsid w:val="00A90D3D"/>
    <w:rsid w:val="00A925C5"/>
    <w:rsid w:val="00A92ED0"/>
    <w:rsid w:val="00A9395F"/>
    <w:rsid w:val="00A94A22"/>
    <w:rsid w:val="00A9570A"/>
    <w:rsid w:val="00A95837"/>
    <w:rsid w:val="00A959FE"/>
    <w:rsid w:val="00A95D6F"/>
    <w:rsid w:val="00A96EB8"/>
    <w:rsid w:val="00A97188"/>
    <w:rsid w:val="00A971C4"/>
    <w:rsid w:val="00A976CD"/>
    <w:rsid w:val="00A9796C"/>
    <w:rsid w:val="00AA0253"/>
    <w:rsid w:val="00AA0503"/>
    <w:rsid w:val="00AA0A95"/>
    <w:rsid w:val="00AA0AE0"/>
    <w:rsid w:val="00AA0D74"/>
    <w:rsid w:val="00AA17C3"/>
    <w:rsid w:val="00AA1AD7"/>
    <w:rsid w:val="00AA1D6D"/>
    <w:rsid w:val="00AA2064"/>
    <w:rsid w:val="00AA22F2"/>
    <w:rsid w:val="00AA249D"/>
    <w:rsid w:val="00AA3011"/>
    <w:rsid w:val="00AA3DAC"/>
    <w:rsid w:val="00AA3F33"/>
    <w:rsid w:val="00AA4687"/>
    <w:rsid w:val="00AA4F92"/>
    <w:rsid w:val="00AA50CD"/>
    <w:rsid w:val="00AA61B4"/>
    <w:rsid w:val="00AA6728"/>
    <w:rsid w:val="00AA7208"/>
    <w:rsid w:val="00AA78EE"/>
    <w:rsid w:val="00AB0188"/>
    <w:rsid w:val="00AB0ACF"/>
    <w:rsid w:val="00AB0F31"/>
    <w:rsid w:val="00AB1190"/>
    <w:rsid w:val="00AB12B7"/>
    <w:rsid w:val="00AB12E8"/>
    <w:rsid w:val="00AB1345"/>
    <w:rsid w:val="00AB1E1A"/>
    <w:rsid w:val="00AB1FBD"/>
    <w:rsid w:val="00AB233C"/>
    <w:rsid w:val="00AB2B5D"/>
    <w:rsid w:val="00AB3B6B"/>
    <w:rsid w:val="00AB3F13"/>
    <w:rsid w:val="00AB4FD6"/>
    <w:rsid w:val="00AB59AD"/>
    <w:rsid w:val="00AB65A8"/>
    <w:rsid w:val="00AB6C7C"/>
    <w:rsid w:val="00AB7976"/>
    <w:rsid w:val="00AB7F9D"/>
    <w:rsid w:val="00AC0385"/>
    <w:rsid w:val="00AC03E6"/>
    <w:rsid w:val="00AC060C"/>
    <w:rsid w:val="00AC0687"/>
    <w:rsid w:val="00AC08EB"/>
    <w:rsid w:val="00AC11C3"/>
    <w:rsid w:val="00AC237A"/>
    <w:rsid w:val="00AC258B"/>
    <w:rsid w:val="00AC2854"/>
    <w:rsid w:val="00AC2BFE"/>
    <w:rsid w:val="00AC2F52"/>
    <w:rsid w:val="00AC439C"/>
    <w:rsid w:val="00AC54E1"/>
    <w:rsid w:val="00AC6250"/>
    <w:rsid w:val="00AC673B"/>
    <w:rsid w:val="00AC6C44"/>
    <w:rsid w:val="00AC7EA1"/>
    <w:rsid w:val="00AD0005"/>
    <w:rsid w:val="00AD04B2"/>
    <w:rsid w:val="00AD06AB"/>
    <w:rsid w:val="00AD0795"/>
    <w:rsid w:val="00AD0BC0"/>
    <w:rsid w:val="00AD0CB4"/>
    <w:rsid w:val="00AD12D8"/>
    <w:rsid w:val="00AD1A90"/>
    <w:rsid w:val="00AD2871"/>
    <w:rsid w:val="00AD2EF1"/>
    <w:rsid w:val="00AD39A9"/>
    <w:rsid w:val="00AD3D25"/>
    <w:rsid w:val="00AD40DE"/>
    <w:rsid w:val="00AD426B"/>
    <w:rsid w:val="00AD4531"/>
    <w:rsid w:val="00AD492F"/>
    <w:rsid w:val="00AD4D39"/>
    <w:rsid w:val="00AD4DBE"/>
    <w:rsid w:val="00AD5014"/>
    <w:rsid w:val="00AD5A79"/>
    <w:rsid w:val="00AD77FB"/>
    <w:rsid w:val="00AD7E4F"/>
    <w:rsid w:val="00AE0681"/>
    <w:rsid w:val="00AE0AD7"/>
    <w:rsid w:val="00AE111C"/>
    <w:rsid w:val="00AE1785"/>
    <w:rsid w:val="00AE1A43"/>
    <w:rsid w:val="00AE233A"/>
    <w:rsid w:val="00AE29E0"/>
    <w:rsid w:val="00AE34DC"/>
    <w:rsid w:val="00AE3A8F"/>
    <w:rsid w:val="00AE426D"/>
    <w:rsid w:val="00AE45D9"/>
    <w:rsid w:val="00AE486F"/>
    <w:rsid w:val="00AE4B25"/>
    <w:rsid w:val="00AE53CE"/>
    <w:rsid w:val="00AE5809"/>
    <w:rsid w:val="00AE59F1"/>
    <w:rsid w:val="00AE5BEC"/>
    <w:rsid w:val="00AE6B2B"/>
    <w:rsid w:val="00AE6B74"/>
    <w:rsid w:val="00AE6F5A"/>
    <w:rsid w:val="00AE72AD"/>
    <w:rsid w:val="00AE7A20"/>
    <w:rsid w:val="00AE7D95"/>
    <w:rsid w:val="00AE7DDF"/>
    <w:rsid w:val="00AF001D"/>
    <w:rsid w:val="00AF0084"/>
    <w:rsid w:val="00AF08B6"/>
    <w:rsid w:val="00AF1B1F"/>
    <w:rsid w:val="00AF1FDE"/>
    <w:rsid w:val="00AF26B8"/>
    <w:rsid w:val="00AF2C89"/>
    <w:rsid w:val="00AF2C8A"/>
    <w:rsid w:val="00AF2F8A"/>
    <w:rsid w:val="00AF31A4"/>
    <w:rsid w:val="00AF332D"/>
    <w:rsid w:val="00AF3758"/>
    <w:rsid w:val="00AF3867"/>
    <w:rsid w:val="00AF3B64"/>
    <w:rsid w:val="00AF444E"/>
    <w:rsid w:val="00AF4DFA"/>
    <w:rsid w:val="00AF4F38"/>
    <w:rsid w:val="00AF52F2"/>
    <w:rsid w:val="00AF5EC7"/>
    <w:rsid w:val="00AF5FD9"/>
    <w:rsid w:val="00AF6CCA"/>
    <w:rsid w:val="00AF6F81"/>
    <w:rsid w:val="00AF78BA"/>
    <w:rsid w:val="00AF7B75"/>
    <w:rsid w:val="00AF7D17"/>
    <w:rsid w:val="00B002C1"/>
    <w:rsid w:val="00B003EE"/>
    <w:rsid w:val="00B005A7"/>
    <w:rsid w:val="00B013BF"/>
    <w:rsid w:val="00B01473"/>
    <w:rsid w:val="00B01B7F"/>
    <w:rsid w:val="00B01F3D"/>
    <w:rsid w:val="00B02518"/>
    <w:rsid w:val="00B027DD"/>
    <w:rsid w:val="00B028A1"/>
    <w:rsid w:val="00B036E3"/>
    <w:rsid w:val="00B03E48"/>
    <w:rsid w:val="00B04951"/>
    <w:rsid w:val="00B049A7"/>
    <w:rsid w:val="00B04C11"/>
    <w:rsid w:val="00B04E36"/>
    <w:rsid w:val="00B04F5E"/>
    <w:rsid w:val="00B051F2"/>
    <w:rsid w:val="00B053A1"/>
    <w:rsid w:val="00B0668F"/>
    <w:rsid w:val="00B06ECB"/>
    <w:rsid w:val="00B06F79"/>
    <w:rsid w:val="00B074A1"/>
    <w:rsid w:val="00B108F5"/>
    <w:rsid w:val="00B11132"/>
    <w:rsid w:val="00B12101"/>
    <w:rsid w:val="00B12B1A"/>
    <w:rsid w:val="00B12C04"/>
    <w:rsid w:val="00B12EA4"/>
    <w:rsid w:val="00B135BF"/>
    <w:rsid w:val="00B15136"/>
    <w:rsid w:val="00B159D9"/>
    <w:rsid w:val="00B15CEB"/>
    <w:rsid w:val="00B1600F"/>
    <w:rsid w:val="00B16638"/>
    <w:rsid w:val="00B16A47"/>
    <w:rsid w:val="00B16D10"/>
    <w:rsid w:val="00B16DC8"/>
    <w:rsid w:val="00B17BD9"/>
    <w:rsid w:val="00B17D71"/>
    <w:rsid w:val="00B17DB4"/>
    <w:rsid w:val="00B20880"/>
    <w:rsid w:val="00B214AB"/>
    <w:rsid w:val="00B2295F"/>
    <w:rsid w:val="00B23175"/>
    <w:rsid w:val="00B2447C"/>
    <w:rsid w:val="00B24559"/>
    <w:rsid w:val="00B25A33"/>
    <w:rsid w:val="00B25A4E"/>
    <w:rsid w:val="00B25F6B"/>
    <w:rsid w:val="00B260BB"/>
    <w:rsid w:val="00B26AE0"/>
    <w:rsid w:val="00B26B23"/>
    <w:rsid w:val="00B2723B"/>
    <w:rsid w:val="00B27741"/>
    <w:rsid w:val="00B278E3"/>
    <w:rsid w:val="00B27998"/>
    <w:rsid w:val="00B300AC"/>
    <w:rsid w:val="00B3014E"/>
    <w:rsid w:val="00B30339"/>
    <w:rsid w:val="00B3062D"/>
    <w:rsid w:val="00B30896"/>
    <w:rsid w:val="00B309D9"/>
    <w:rsid w:val="00B30D26"/>
    <w:rsid w:val="00B30F24"/>
    <w:rsid w:val="00B311A7"/>
    <w:rsid w:val="00B31A04"/>
    <w:rsid w:val="00B31A4D"/>
    <w:rsid w:val="00B31BB3"/>
    <w:rsid w:val="00B32597"/>
    <w:rsid w:val="00B32757"/>
    <w:rsid w:val="00B332B0"/>
    <w:rsid w:val="00B33A44"/>
    <w:rsid w:val="00B33A61"/>
    <w:rsid w:val="00B342A9"/>
    <w:rsid w:val="00B34417"/>
    <w:rsid w:val="00B351CC"/>
    <w:rsid w:val="00B3688B"/>
    <w:rsid w:val="00B3710B"/>
    <w:rsid w:val="00B3721E"/>
    <w:rsid w:val="00B37473"/>
    <w:rsid w:val="00B37B5D"/>
    <w:rsid w:val="00B40162"/>
    <w:rsid w:val="00B40433"/>
    <w:rsid w:val="00B40D36"/>
    <w:rsid w:val="00B41F49"/>
    <w:rsid w:val="00B42501"/>
    <w:rsid w:val="00B429AB"/>
    <w:rsid w:val="00B43B87"/>
    <w:rsid w:val="00B43F99"/>
    <w:rsid w:val="00B442A9"/>
    <w:rsid w:val="00B4479D"/>
    <w:rsid w:val="00B44D35"/>
    <w:rsid w:val="00B44E88"/>
    <w:rsid w:val="00B450FD"/>
    <w:rsid w:val="00B45661"/>
    <w:rsid w:val="00B457BE"/>
    <w:rsid w:val="00B458FF"/>
    <w:rsid w:val="00B46B89"/>
    <w:rsid w:val="00B46CC5"/>
    <w:rsid w:val="00B47BA9"/>
    <w:rsid w:val="00B507D7"/>
    <w:rsid w:val="00B50B68"/>
    <w:rsid w:val="00B5157B"/>
    <w:rsid w:val="00B517AB"/>
    <w:rsid w:val="00B522AB"/>
    <w:rsid w:val="00B5247B"/>
    <w:rsid w:val="00B5291C"/>
    <w:rsid w:val="00B529E1"/>
    <w:rsid w:val="00B52B91"/>
    <w:rsid w:val="00B53871"/>
    <w:rsid w:val="00B5397F"/>
    <w:rsid w:val="00B54AFE"/>
    <w:rsid w:val="00B54FA4"/>
    <w:rsid w:val="00B55C27"/>
    <w:rsid w:val="00B56C53"/>
    <w:rsid w:val="00B56DB6"/>
    <w:rsid w:val="00B57C69"/>
    <w:rsid w:val="00B60889"/>
    <w:rsid w:val="00B60DD0"/>
    <w:rsid w:val="00B61573"/>
    <w:rsid w:val="00B615E7"/>
    <w:rsid w:val="00B61873"/>
    <w:rsid w:val="00B6295D"/>
    <w:rsid w:val="00B62C4C"/>
    <w:rsid w:val="00B62E99"/>
    <w:rsid w:val="00B63358"/>
    <w:rsid w:val="00B635F4"/>
    <w:rsid w:val="00B637B9"/>
    <w:rsid w:val="00B644D7"/>
    <w:rsid w:val="00B646D1"/>
    <w:rsid w:val="00B64AC2"/>
    <w:rsid w:val="00B6533B"/>
    <w:rsid w:val="00B66583"/>
    <w:rsid w:val="00B66FE0"/>
    <w:rsid w:val="00B67098"/>
    <w:rsid w:val="00B67AFD"/>
    <w:rsid w:val="00B7052B"/>
    <w:rsid w:val="00B71044"/>
    <w:rsid w:val="00B71654"/>
    <w:rsid w:val="00B717F7"/>
    <w:rsid w:val="00B71FEA"/>
    <w:rsid w:val="00B7214D"/>
    <w:rsid w:val="00B72215"/>
    <w:rsid w:val="00B722B5"/>
    <w:rsid w:val="00B72949"/>
    <w:rsid w:val="00B72C74"/>
    <w:rsid w:val="00B72FA9"/>
    <w:rsid w:val="00B73B44"/>
    <w:rsid w:val="00B74C5C"/>
    <w:rsid w:val="00B75053"/>
    <w:rsid w:val="00B75D75"/>
    <w:rsid w:val="00B76B74"/>
    <w:rsid w:val="00B77115"/>
    <w:rsid w:val="00B8044A"/>
    <w:rsid w:val="00B808C4"/>
    <w:rsid w:val="00B80BEB"/>
    <w:rsid w:val="00B80E32"/>
    <w:rsid w:val="00B8186F"/>
    <w:rsid w:val="00B83347"/>
    <w:rsid w:val="00B84795"/>
    <w:rsid w:val="00B84904"/>
    <w:rsid w:val="00B85080"/>
    <w:rsid w:val="00B85192"/>
    <w:rsid w:val="00B85223"/>
    <w:rsid w:val="00B85CAD"/>
    <w:rsid w:val="00B86F6E"/>
    <w:rsid w:val="00B871D2"/>
    <w:rsid w:val="00B87F72"/>
    <w:rsid w:val="00B90488"/>
    <w:rsid w:val="00B9121D"/>
    <w:rsid w:val="00B9171F"/>
    <w:rsid w:val="00B929DD"/>
    <w:rsid w:val="00B9329B"/>
    <w:rsid w:val="00B932B2"/>
    <w:rsid w:val="00B9366C"/>
    <w:rsid w:val="00B9378C"/>
    <w:rsid w:val="00B94114"/>
    <w:rsid w:val="00B945D0"/>
    <w:rsid w:val="00B94611"/>
    <w:rsid w:val="00B94734"/>
    <w:rsid w:val="00B947AC"/>
    <w:rsid w:val="00B9493B"/>
    <w:rsid w:val="00B94BAA"/>
    <w:rsid w:val="00B95058"/>
    <w:rsid w:val="00B9508A"/>
    <w:rsid w:val="00B95585"/>
    <w:rsid w:val="00B9609D"/>
    <w:rsid w:val="00B968D1"/>
    <w:rsid w:val="00B96C3E"/>
    <w:rsid w:val="00B973F3"/>
    <w:rsid w:val="00B976BF"/>
    <w:rsid w:val="00B97747"/>
    <w:rsid w:val="00B97848"/>
    <w:rsid w:val="00B97BB8"/>
    <w:rsid w:val="00B97BD7"/>
    <w:rsid w:val="00BA00CE"/>
    <w:rsid w:val="00BA04BE"/>
    <w:rsid w:val="00BA0BAF"/>
    <w:rsid w:val="00BA1744"/>
    <w:rsid w:val="00BA20E1"/>
    <w:rsid w:val="00BA2758"/>
    <w:rsid w:val="00BA2A4D"/>
    <w:rsid w:val="00BA3146"/>
    <w:rsid w:val="00BA330A"/>
    <w:rsid w:val="00BA35BA"/>
    <w:rsid w:val="00BA438F"/>
    <w:rsid w:val="00BA4ABF"/>
    <w:rsid w:val="00BA509A"/>
    <w:rsid w:val="00BA50C6"/>
    <w:rsid w:val="00BA56E8"/>
    <w:rsid w:val="00BA5C2F"/>
    <w:rsid w:val="00BA5D1C"/>
    <w:rsid w:val="00BA6382"/>
    <w:rsid w:val="00BA69FF"/>
    <w:rsid w:val="00BA708E"/>
    <w:rsid w:val="00BA76F2"/>
    <w:rsid w:val="00BA7BE7"/>
    <w:rsid w:val="00BB0386"/>
    <w:rsid w:val="00BB0B28"/>
    <w:rsid w:val="00BB0C51"/>
    <w:rsid w:val="00BB0FB2"/>
    <w:rsid w:val="00BB1B47"/>
    <w:rsid w:val="00BB1DB5"/>
    <w:rsid w:val="00BB3514"/>
    <w:rsid w:val="00BB3596"/>
    <w:rsid w:val="00BB41DC"/>
    <w:rsid w:val="00BB49EE"/>
    <w:rsid w:val="00BB5273"/>
    <w:rsid w:val="00BB5306"/>
    <w:rsid w:val="00BB59EA"/>
    <w:rsid w:val="00BB6978"/>
    <w:rsid w:val="00BB69B2"/>
    <w:rsid w:val="00BB6F90"/>
    <w:rsid w:val="00BB71E0"/>
    <w:rsid w:val="00BB783D"/>
    <w:rsid w:val="00BB7A13"/>
    <w:rsid w:val="00BC012C"/>
    <w:rsid w:val="00BC0A46"/>
    <w:rsid w:val="00BC0DAC"/>
    <w:rsid w:val="00BC0F55"/>
    <w:rsid w:val="00BC1015"/>
    <w:rsid w:val="00BC12AD"/>
    <w:rsid w:val="00BC14A3"/>
    <w:rsid w:val="00BC14E7"/>
    <w:rsid w:val="00BC2EEE"/>
    <w:rsid w:val="00BC356C"/>
    <w:rsid w:val="00BC4218"/>
    <w:rsid w:val="00BC4380"/>
    <w:rsid w:val="00BC5547"/>
    <w:rsid w:val="00BC5A75"/>
    <w:rsid w:val="00BC5EC3"/>
    <w:rsid w:val="00BC62B8"/>
    <w:rsid w:val="00BC665F"/>
    <w:rsid w:val="00BC6B69"/>
    <w:rsid w:val="00BC6F4C"/>
    <w:rsid w:val="00BC79CC"/>
    <w:rsid w:val="00BD0FBF"/>
    <w:rsid w:val="00BD1B0B"/>
    <w:rsid w:val="00BD1BBC"/>
    <w:rsid w:val="00BD1F4E"/>
    <w:rsid w:val="00BD268E"/>
    <w:rsid w:val="00BD2714"/>
    <w:rsid w:val="00BD282D"/>
    <w:rsid w:val="00BD2CA0"/>
    <w:rsid w:val="00BD2EBD"/>
    <w:rsid w:val="00BD349F"/>
    <w:rsid w:val="00BD35D4"/>
    <w:rsid w:val="00BD471C"/>
    <w:rsid w:val="00BD4D87"/>
    <w:rsid w:val="00BD4EC7"/>
    <w:rsid w:val="00BD5299"/>
    <w:rsid w:val="00BD5E5C"/>
    <w:rsid w:val="00BD6FA6"/>
    <w:rsid w:val="00BD79FF"/>
    <w:rsid w:val="00BE0416"/>
    <w:rsid w:val="00BE0650"/>
    <w:rsid w:val="00BE091D"/>
    <w:rsid w:val="00BE1C34"/>
    <w:rsid w:val="00BE1C44"/>
    <w:rsid w:val="00BE2FE9"/>
    <w:rsid w:val="00BE3482"/>
    <w:rsid w:val="00BE34AF"/>
    <w:rsid w:val="00BE34D7"/>
    <w:rsid w:val="00BE35B0"/>
    <w:rsid w:val="00BE3B56"/>
    <w:rsid w:val="00BE44F0"/>
    <w:rsid w:val="00BE45CB"/>
    <w:rsid w:val="00BE4DEF"/>
    <w:rsid w:val="00BE5C8D"/>
    <w:rsid w:val="00BE61A9"/>
    <w:rsid w:val="00BE6A5B"/>
    <w:rsid w:val="00BE6FF6"/>
    <w:rsid w:val="00BE72DA"/>
    <w:rsid w:val="00BE7439"/>
    <w:rsid w:val="00BE7A2D"/>
    <w:rsid w:val="00BE7AC0"/>
    <w:rsid w:val="00BF0B34"/>
    <w:rsid w:val="00BF1EDD"/>
    <w:rsid w:val="00BF3343"/>
    <w:rsid w:val="00BF40F5"/>
    <w:rsid w:val="00BF440D"/>
    <w:rsid w:val="00BF4611"/>
    <w:rsid w:val="00BF498D"/>
    <w:rsid w:val="00BF4A6C"/>
    <w:rsid w:val="00BF4F87"/>
    <w:rsid w:val="00BF56E2"/>
    <w:rsid w:val="00BF5B02"/>
    <w:rsid w:val="00BF637E"/>
    <w:rsid w:val="00BF6401"/>
    <w:rsid w:val="00BF7FE5"/>
    <w:rsid w:val="00C0016A"/>
    <w:rsid w:val="00C00CF6"/>
    <w:rsid w:val="00C00E92"/>
    <w:rsid w:val="00C0125A"/>
    <w:rsid w:val="00C01F59"/>
    <w:rsid w:val="00C020E8"/>
    <w:rsid w:val="00C027CE"/>
    <w:rsid w:val="00C02FF7"/>
    <w:rsid w:val="00C037FC"/>
    <w:rsid w:val="00C03885"/>
    <w:rsid w:val="00C03DE0"/>
    <w:rsid w:val="00C03E07"/>
    <w:rsid w:val="00C04241"/>
    <w:rsid w:val="00C044CC"/>
    <w:rsid w:val="00C04734"/>
    <w:rsid w:val="00C05462"/>
    <w:rsid w:val="00C05704"/>
    <w:rsid w:val="00C05BB3"/>
    <w:rsid w:val="00C06333"/>
    <w:rsid w:val="00C06B35"/>
    <w:rsid w:val="00C07341"/>
    <w:rsid w:val="00C074D6"/>
    <w:rsid w:val="00C0769B"/>
    <w:rsid w:val="00C0784E"/>
    <w:rsid w:val="00C07ADB"/>
    <w:rsid w:val="00C10000"/>
    <w:rsid w:val="00C107CD"/>
    <w:rsid w:val="00C10A6B"/>
    <w:rsid w:val="00C10D8C"/>
    <w:rsid w:val="00C12375"/>
    <w:rsid w:val="00C12718"/>
    <w:rsid w:val="00C13B4F"/>
    <w:rsid w:val="00C13E5F"/>
    <w:rsid w:val="00C13EEF"/>
    <w:rsid w:val="00C1400C"/>
    <w:rsid w:val="00C140A5"/>
    <w:rsid w:val="00C143D5"/>
    <w:rsid w:val="00C146E6"/>
    <w:rsid w:val="00C14952"/>
    <w:rsid w:val="00C14D55"/>
    <w:rsid w:val="00C15118"/>
    <w:rsid w:val="00C15162"/>
    <w:rsid w:val="00C1539C"/>
    <w:rsid w:val="00C15A96"/>
    <w:rsid w:val="00C162B8"/>
    <w:rsid w:val="00C169BA"/>
    <w:rsid w:val="00C16C30"/>
    <w:rsid w:val="00C1719D"/>
    <w:rsid w:val="00C17959"/>
    <w:rsid w:val="00C17AB9"/>
    <w:rsid w:val="00C2008F"/>
    <w:rsid w:val="00C207D7"/>
    <w:rsid w:val="00C212F3"/>
    <w:rsid w:val="00C21319"/>
    <w:rsid w:val="00C22133"/>
    <w:rsid w:val="00C22AF4"/>
    <w:rsid w:val="00C2339A"/>
    <w:rsid w:val="00C23B2A"/>
    <w:rsid w:val="00C24406"/>
    <w:rsid w:val="00C273E7"/>
    <w:rsid w:val="00C27FB1"/>
    <w:rsid w:val="00C300C6"/>
    <w:rsid w:val="00C301DB"/>
    <w:rsid w:val="00C30991"/>
    <w:rsid w:val="00C30B69"/>
    <w:rsid w:val="00C30CBC"/>
    <w:rsid w:val="00C30D92"/>
    <w:rsid w:val="00C30E77"/>
    <w:rsid w:val="00C30E83"/>
    <w:rsid w:val="00C3114F"/>
    <w:rsid w:val="00C3175E"/>
    <w:rsid w:val="00C34E02"/>
    <w:rsid w:val="00C34F5F"/>
    <w:rsid w:val="00C355E5"/>
    <w:rsid w:val="00C359F7"/>
    <w:rsid w:val="00C35E6C"/>
    <w:rsid w:val="00C36397"/>
    <w:rsid w:val="00C367D4"/>
    <w:rsid w:val="00C3744E"/>
    <w:rsid w:val="00C378BB"/>
    <w:rsid w:val="00C40C47"/>
    <w:rsid w:val="00C40E69"/>
    <w:rsid w:val="00C411D7"/>
    <w:rsid w:val="00C41E72"/>
    <w:rsid w:val="00C427A4"/>
    <w:rsid w:val="00C4321D"/>
    <w:rsid w:val="00C43B1B"/>
    <w:rsid w:val="00C4451B"/>
    <w:rsid w:val="00C44675"/>
    <w:rsid w:val="00C45DA2"/>
    <w:rsid w:val="00C46509"/>
    <w:rsid w:val="00C46E0B"/>
    <w:rsid w:val="00C46FEB"/>
    <w:rsid w:val="00C4716B"/>
    <w:rsid w:val="00C50388"/>
    <w:rsid w:val="00C5038E"/>
    <w:rsid w:val="00C5092E"/>
    <w:rsid w:val="00C50FF7"/>
    <w:rsid w:val="00C52126"/>
    <w:rsid w:val="00C526E7"/>
    <w:rsid w:val="00C52A60"/>
    <w:rsid w:val="00C530F6"/>
    <w:rsid w:val="00C53111"/>
    <w:rsid w:val="00C532B8"/>
    <w:rsid w:val="00C535C1"/>
    <w:rsid w:val="00C53B08"/>
    <w:rsid w:val="00C53C6C"/>
    <w:rsid w:val="00C5412E"/>
    <w:rsid w:val="00C544B3"/>
    <w:rsid w:val="00C54A54"/>
    <w:rsid w:val="00C54BD1"/>
    <w:rsid w:val="00C55604"/>
    <w:rsid w:val="00C55ECE"/>
    <w:rsid w:val="00C55F0E"/>
    <w:rsid w:val="00C563FA"/>
    <w:rsid w:val="00C565DA"/>
    <w:rsid w:val="00C568C9"/>
    <w:rsid w:val="00C56B20"/>
    <w:rsid w:val="00C57606"/>
    <w:rsid w:val="00C57A0C"/>
    <w:rsid w:val="00C600AD"/>
    <w:rsid w:val="00C60625"/>
    <w:rsid w:val="00C608A2"/>
    <w:rsid w:val="00C60D76"/>
    <w:rsid w:val="00C60E13"/>
    <w:rsid w:val="00C61164"/>
    <w:rsid w:val="00C61BAB"/>
    <w:rsid w:val="00C61D4B"/>
    <w:rsid w:val="00C62D95"/>
    <w:rsid w:val="00C631B3"/>
    <w:rsid w:val="00C63FDA"/>
    <w:rsid w:val="00C64596"/>
    <w:rsid w:val="00C64928"/>
    <w:rsid w:val="00C6508E"/>
    <w:rsid w:val="00C65CC2"/>
    <w:rsid w:val="00C65FD5"/>
    <w:rsid w:val="00C66068"/>
    <w:rsid w:val="00C6668E"/>
    <w:rsid w:val="00C66920"/>
    <w:rsid w:val="00C66A37"/>
    <w:rsid w:val="00C66A44"/>
    <w:rsid w:val="00C67509"/>
    <w:rsid w:val="00C70858"/>
    <w:rsid w:val="00C70AB1"/>
    <w:rsid w:val="00C71113"/>
    <w:rsid w:val="00C71D6F"/>
    <w:rsid w:val="00C71F8F"/>
    <w:rsid w:val="00C72044"/>
    <w:rsid w:val="00C72258"/>
    <w:rsid w:val="00C72540"/>
    <w:rsid w:val="00C7291D"/>
    <w:rsid w:val="00C7316E"/>
    <w:rsid w:val="00C73894"/>
    <w:rsid w:val="00C73A74"/>
    <w:rsid w:val="00C73ACA"/>
    <w:rsid w:val="00C73AE7"/>
    <w:rsid w:val="00C741EE"/>
    <w:rsid w:val="00C74FCF"/>
    <w:rsid w:val="00C75345"/>
    <w:rsid w:val="00C757C7"/>
    <w:rsid w:val="00C75952"/>
    <w:rsid w:val="00C75DCA"/>
    <w:rsid w:val="00C767DC"/>
    <w:rsid w:val="00C7687E"/>
    <w:rsid w:val="00C7714E"/>
    <w:rsid w:val="00C771A0"/>
    <w:rsid w:val="00C77ABB"/>
    <w:rsid w:val="00C80215"/>
    <w:rsid w:val="00C80F0C"/>
    <w:rsid w:val="00C810FF"/>
    <w:rsid w:val="00C81669"/>
    <w:rsid w:val="00C81C29"/>
    <w:rsid w:val="00C82A3D"/>
    <w:rsid w:val="00C82B27"/>
    <w:rsid w:val="00C82BF5"/>
    <w:rsid w:val="00C83265"/>
    <w:rsid w:val="00C8547C"/>
    <w:rsid w:val="00C85EF8"/>
    <w:rsid w:val="00C8734A"/>
    <w:rsid w:val="00C90DBC"/>
    <w:rsid w:val="00C91729"/>
    <w:rsid w:val="00C91D83"/>
    <w:rsid w:val="00C9221C"/>
    <w:rsid w:val="00C92313"/>
    <w:rsid w:val="00C92597"/>
    <w:rsid w:val="00C92AAF"/>
    <w:rsid w:val="00C93C6A"/>
    <w:rsid w:val="00C93DDE"/>
    <w:rsid w:val="00C93ECC"/>
    <w:rsid w:val="00C93FCF"/>
    <w:rsid w:val="00C94E32"/>
    <w:rsid w:val="00C94E72"/>
    <w:rsid w:val="00C95694"/>
    <w:rsid w:val="00C965DA"/>
    <w:rsid w:val="00C96604"/>
    <w:rsid w:val="00C9699C"/>
    <w:rsid w:val="00C96B91"/>
    <w:rsid w:val="00C96DE9"/>
    <w:rsid w:val="00C97A3D"/>
    <w:rsid w:val="00C97FBB"/>
    <w:rsid w:val="00CA001E"/>
    <w:rsid w:val="00CA07D5"/>
    <w:rsid w:val="00CA0B2C"/>
    <w:rsid w:val="00CA1A27"/>
    <w:rsid w:val="00CA2282"/>
    <w:rsid w:val="00CA2382"/>
    <w:rsid w:val="00CA30F6"/>
    <w:rsid w:val="00CA3CD2"/>
    <w:rsid w:val="00CA3DBE"/>
    <w:rsid w:val="00CA3E64"/>
    <w:rsid w:val="00CA417F"/>
    <w:rsid w:val="00CA4A70"/>
    <w:rsid w:val="00CA4AEC"/>
    <w:rsid w:val="00CA4AF3"/>
    <w:rsid w:val="00CA57D7"/>
    <w:rsid w:val="00CA63D5"/>
    <w:rsid w:val="00CA655F"/>
    <w:rsid w:val="00CA69C2"/>
    <w:rsid w:val="00CA6A07"/>
    <w:rsid w:val="00CA6A13"/>
    <w:rsid w:val="00CA6E00"/>
    <w:rsid w:val="00CA7415"/>
    <w:rsid w:val="00CA751D"/>
    <w:rsid w:val="00CB01E5"/>
    <w:rsid w:val="00CB0246"/>
    <w:rsid w:val="00CB0752"/>
    <w:rsid w:val="00CB0953"/>
    <w:rsid w:val="00CB0B09"/>
    <w:rsid w:val="00CB0E80"/>
    <w:rsid w:val="00CB1182"/>
    <w:rsid w:val="00CB2761"/>
    <w:rsid w:val="00CB287C"/>
    <w:rsid w:val="00CB33CE"/>
    <w:rsid w:val="00CB3ED9"/>
    <w:rsid w:val="00CB43AA"/>
    <w:rsid w:val="00CB5D6A"/>
    <w:rsid w:val="00CB61DE"/>
    <w:rsid w:val="00CB64EA"/>
    <w:rsid w:val="00CB657B"/>
    <w:rsid w:val="00CB6A39"/>
    <w:rsid w:val="00CB6B6C"/>
    <w:rsid w:val="00CB72D7"/>
    <w:rsid w:val="00CB7418"/>
    <w:rsid w:val="00CB7EEA"/>
    <w:rsid w:val="00CC02B4"/>
    <w:rsid w:val="00CC02D9"/>
    <w:rsid w:val="00CC12D2"/>
    <w:rsid w:val="00CC174A"/>
    <w:rsid w:val="00CC1D5D"/>
    <w:rsid w:val="00CC33B8"/>
    <w:rsid w:val="00CC3471"/>
    <w:rsid w:val="00CC37DB"/>
    <w:rsid w:val="00CC3AB7"/>
    <w:rsid w:val="00CC3C7B"/>
    <w:rsid w:val="00CC3FAB"/>
    <w:rsid w:val="00CC440C"/>
    <w:rsid w:val="00CC4858"/>
    <w:rsid w:val="00CC4C41"/>
    <w:rsid w:val="00CC5039"/>
    <w:rsid w:val="00CC517E"/>
    <w:rsid w:val="00CC534E"/>
    <w:rsid w:val="00CC5996"/>
    <w:rsid w:val="00CC6026"/>
    <w:rsid w:val="00CC60CE"/>
    <w:rsid w:val="00CC705D"/>
    <w:rsid w:val="00CC75B4"/>
    <w:rsid w:val="00CC797B"/>
    <w:rsid w:val="00CD04BC"/>
    <w:rsid w:val="00CD14D9"/>
    <w:rsid w:val="00CD1CFE"/>
    <w:rsid w:val="00CD1E60"/>
    <w:rsid w:val="00CD2036"/>
    <w:rsid w:val="00CD21F6"/>
    <w:rsid w:val="00CD2670"/>
    <w:rsid w:val="00CD2BE7"/>
    <w:rsid w:val="00CD2F77"/>
    <w:rsid w:val="00CD4DBC"/>
    <w:rsid w:val="00CD538A"/>
    <w:rsid w:val="00CD5766"/>
    <w:rsid w:val="00CD6372"/>
    <w:rsid w:val="00CD6A05"/>
    <w:rsid w:val="00CD6AB8"/>
    <w:rsid w:val="00CD6B9F"/>
    <w:rsid w:val="00CD6CB9"/>
    <w:rsid w:val="00CD6D91"/>
    <w:rsid w:val="00CD6E77"/>
    <w:rsid w:val="00CD759A"/>
    <w:rsid w:val="00CD7FB7"/>
    <w:rsid w:val="00CE0300"/>
    <w:rsid w:val="00CE1CA6"/>
    <w:rsid w:val="00CE237F"/>
    <w:rsid w:val="00CE2F51"/>
    <w:rsid w:val="00CE2F99"/>
    <w:rsid w:val="00CE34E0"/>
    <w:rsid w:val="00CE3681"/>
    <w:rsid w:val="00CE36B5"/>
    <w:rsid w:val="00CE45B6"/>
    <w:rsid w:val="00CE4A5B"/>
    <w:rsid w:val="00CE4B52"/>
    <w:rsid w:val="00CE4CE4"/>
    <w:rsid w:val="00CE536F"/>
    <w:rsid w:val="00CE5C04"/>
    <w:rsid w:val="00CE7389"/>
    <w:rsid w:val="00CF0526"/>
    <w:rsid w:val="00CF08A4"/>
    <w:rsid w:val="00CF0A3C"/>
    <w:rsid w:val="00CF2087"/>
    <w:rsid w:val="00CF231E"/>
    <w:rsid w:val="00CF3455"/>
    <w:rsid w:val="00CF350C"/>
    <w:rsid w:val="00CF4E7E"/>
    <w:rsid w:val="00CF5BA0"/>
    <w:rsid w:val="00CF60E1"/>
    <w:rsid w:val="00CF7408"/>
    <w:rsid w:val="00CF7C2E"/>
    <w:rsid w:val="00D0072B"/>
    <w:rsid w:val="00D00A1B"/>
    <w:rsid w:val="00D00ACE"/>
    <w:rsid w:val="00D01272"/>
    <w:rsid w:val="00D024D2"/>
    <w:rsid w:val="00D033BC"/>
    <w:rsid w:val="00D04A3C"/>
    <w:rsid w:val="00D04D17"/>
    <w:rsid w:val="00D05073"/>
    <w:rsid w:val="00D056C0"/>
    <w:rsid w:val="00D05C99"/>
    <w:rsid w:val="00D05F44"/>
    <w:rsid w:val="00D0680A"/>
    <w:rsid w:val="00D1070A"/>
    <w:rsid w:val="00D1091E"/>
    <w:rsid w:val="00D11930"/>
    <w:rsid w:val="00D12CB2"/>
    <w:rsid w:val="00D12F45"/>
    <w:rsid w:val="00D12FFD"/>
    <w:rsid w:val="00D1392C"/>
    <w:rsid w:val="00D13B86"/>
    <w:rsid w:val="00D13E49"/>
    <w:rsid w:val="00D143E1"/>
    <w:rsid w:val="00D143FF"/>
    <w:rsid w:val="00D14671"/>
    <w:rsid w:val="00D146D1"/>
    <w:rsid w:val="00D149CC"/>
    <w:rsid w:val="00D14D45"/>
    <w:rsid w:val="00D15293"/>
    <w:rsid w:val="00D1534C"/>
    <w:rsid w:val="00D16092"/>
    <w:rsid w:val="00D16648"/>
    <w:rsid w:val="00D1677C"/>
    <w:rsid w:val="00D16E2F"/>
    <w:rsid w:val="00D16E51"/>
    <w:rsid w:val="00D17201"/>
    <w:rsid w:val="00D1751E"/>
    <w:rsid w:val="00D17925"/>
    <w:rsid w:val="00D20202"/>
    <w:rsid w:val="00D20DBB"/>
    <w:rsid w:val="00D21269"/>
    <w:rsid w:val="00D21377"/>
    <w:rsid w:val="00D214FC"/>
    <w:rsid w:val="00D21E0B"/>
    <w:rsid w:val="00D220DA"/>
    <w:rsid w:val="00D222D7"/>
    <w:rsid w:val="00D22B0F"/>
    <w:rsid w:val="00D22E86"/>
    <w:rsid w:val="00D22F64"/>
    <w:rsid w:val="00D23D0B"/>
    <w:rsid w:val="00D25083"/>
    <w:rsid w:val="00D25A3E"/>
    <w:rsid w:val="00D26001"/>
    <w:rsid w:val="00D26046"/>
    <w:rsid w:val="00D2654F"/>
    <w:rsid w:val="00D26A2F"/>
    <w:rsid w:val="00D26B6E"/>
    <w:rsid w:val="00D276D2"/>
    <w:rsid w:val="00D2793C"/>
    <w:rsid w:val="00D27FC8"/>
    <w:rsid w:val="00D30181"/>
    <w:rsid w:val="00D3024F"/>
    <w:rsid w:val="00D305CB"/>
    <w:rsid w:val="00D30709"/>
    <w:rsid w:val="00D30818"/>
    <w:rsid w:val="00D3081F"/>
    <w:rsid w:val="00D30AD3"/>
    <w:rsid w:val="00D30D12"/>
    <w:rsid w:val="00D31162"/>
    <w:rsid w:val="00D312D6"/>
    <w:rsid w:val="00D314B9"/>
    <w:rsid w:val="00D32D88"/>
    <w:rsid w:val="00D333DC"/>
    <w:rsid w:val="00D33A6A"/>
    <w:rsid w:val="00D345C0"/>
    <w:rsid w:val="00D34D3E"/>
    <w:rsid w:val="00D350EE"/>
    <w:rsid w:val="00D35340"/>
    <w:rsid w:val="00D36954"/>
    <w:rsid w:val="00D3739D"/>
    <w:rsid w:val="00D37877"/>
    <w:rsid w:val="00D37BAD"/>
    <w:rsid w:val="00D37EB6"/>
    <w:rsid w:val="00D40BB8"/>
    <w:rsid w:val="00D40D49"/>
    <w:rsid w:val="00D40F27"/>
    <w:rsid w:val="00D418DB"/>
    <w:rsid w:val="00D41C6D"/>
    <w:rsid w:val="00D41F4E"/>
    <w:rsid w:val="00D424E1"/>
    <w:rsid w:val="00D42998"/>
    <w:rsid w:val="00D42C11"/>
    <w:rsid w:val="00D43145"/>
    <w:rsid w:val="00D43AA8"/>
    <w:rsid w:val="00D43E4F"/>
    <w:rsid w:val="00D4418E"/>
    <w:rsid w:val="00D4451D"/>
    <w:rsid w:val="00D445CC"/>
    <w:rsid w:val="00D446B6"/>
    <w:rsid w:val="00D45746"/>
    <w:rsid w:val="00D45D0B"/>
    <w:rsid w:val="00D46107"/>
    <w:rsid w:val="00D46418"/>
    <w:rsid w:val="00D4643E"/>
    <w:rsid w:val="00D464C6"/>
    <w:rsid w:val="00D46BD7"/>
    <w:rsid w:val="00D46DF9"/>
    <w:rsid w:val="00D472B3"/>
    <w:rsid w:val="00D47ABA"/>
    <w:rsid w:val="00D50193"/>
    <w:rsid w:val="00D50A51"/>
    <w:rsid w:val="00D50FB4"/>
    <w:rsid w:val="00D510C7"/>
    <w:rsid w:val="00D5115E"/>
    <w:rsid w:val="00D51DF7"/>
    <w:rsid w:val="00D51E6A"/>
    <w:rsid w:val="00D5244F"/>
    <w:rsid w:val="00D52E8E"/>
    <w:rsid w:val="00D53796"/>
    <w:rsid w:val="00D5395A"/>
    <w:rsid w:val="00D53B24"/>
    <w:rsid w:val="00D54161"/>
    <w:rsid w:val="00D55EE9"/>
    <w:rsid w:val="00D560D8"/>
    <w:rsid w:val="00D562AF"/>
    <w:rsid w:val="00D567F1"/>
    <w:rsid w:val="00D568C3"/>
    <w:rsid w:val="00D569D5"/>
    <w:rsid w:val="00D56DBD"/>
    <w:rsid w:val="00D57428"/>
    <w:rsid w:val="00D57602"/>
    <w:rsid w:val="00D602F0"/>
    <w:rsid w:val="00D6030F"/>
    <w:rsid w:val="00D60642"/>
    <w:rsid w:val="00D606E5"/>
    <w:rsid w:val="00D60FC9"/>
    <w:rsid w:val="00D6194E"/>
    <w:rsid w:val="00D61C21"/>
    <w:rsid w:val="00D62B63"/>
    <w:rsid w:val="00D6380B"/>
    <w:rsid w:val="00D639E3"/>
    <w:rsid w:val="00D63A22"/>
    <w:rsid w:val="00D63C52"/>
    <w:rsid w:val="00D6420C"/>
    <w:rsid w:val="00D64278"/>
    <w:rsid w:val="00D64C21"/>
    <w:rsid w:val="00D6585A"/>
    <w:rsid w:val="00D6587F"/>
    <w:rsid w:val="00D66131"/>
    <w:rsid w:val="00D668A3"/>
    <w:rsid w:val="00D6704D"/>
    <w:rsid w:val="00D67D8B"/>
    <w:rsid w:val="00D67E57"/>
    <w:rsid w:val="00D700BA"/>
    <w:rsid w:val="00D703C7"/>
    <w:rsid w:val="00D70B87"/>
    <w:rsid w:val="00D7166F"/>
    <w:rsid w:val="00D71D7B"/>
    <w:rsid w:val="00D71F1B"/>
    <w:rsid w:val="00D721E0"/>
    <w:rsid w:val="00D72929"/>
    <w:rsid w:val="00D72C6A"/>
    <w:rsid w:val="00D74281"/>
    <w:rsid w:val="00D74660"/>
    <w:rsid w:val="00D74662"/>
    <w:rsid w:val="00D74FB8"/>
    <w:rsid w:val="00D7509B"/>
    <w:rsid w:val="00D75525"/>
    <w:rsid w:val="00D75A0C"/>
    <w:rsid w:val="00D761D7"/>
    <w:rsid w:val="00D76F29"/>
    <w:rsid w:val="00D80192"/>
    <w:rsid w:val="00D8053C"/>
    <w:rsid w:val="00D81041"/>
    <w:rsid w:val="00D8116D"/>
    <w:rsid w:val="00D811FE"/>
    <w:rsid w:val="00D81E44"/>
    <w:rsid w:val="00D81E61"/>
    <w:rsid w:val="00D8215D"/>
    <w:rsid w:val="00D824B5"/>
    <w:rsid w:val="00D82E20"/>
    <w:rsid w:val="00D83BF2"/>
    <w:rsid w:val="00D84A6A"/>
    <w:rsid w:val="00D84AF6"/>
    <w:rsid w:val="00D853A3"/>
    <w:rsid w:val="00D85758"/>
    <w:rsid w:val="00D85DE0"/>
    <w:rsid w:val="00D86AF4"/>
    <w:rsid w:val="00D8702A"/>
    <w:rsid w:val="00D87959"/>
    <w:rsid w:val="00D904A4"/>
    <w:rsid w:val="00D90FDB"/>
    <w:rsid w:val="00D91529"/>
    <w:rsid w:val="00D917A8"/>
    <w:rsid w:val="00D9246E"/>
    <w:rsid w:val="00D92C15"/>
    <w:rsid w:val="00D92FE2"/>
    <w:rsid w:val="00D938A9"/>
    <w:rsid w:val="00D93F58"/>
    <w:rsid w:val="00D947C1"/>
    <w:rsid w:val="00D94D40"/>
    <w:rsid w:val="00D956F5"/>
    <w:rsid w:val="00D95CA3"/>
    <w:rsid w:val="00D95D7F"/>
    <w:rsid w:val="00D969CA"/>
    <w:rsid w:val="00D96C62"/>
    <w:rsid w:val="00D96EE0"/>
    <w:rsid w:val="00D9744C"/>
    <w:rsid w:val="00DA1835"/>
    <w:rsid w:val="00DA1F62"/>
    <w:rsid w:val="00DA2161"/>
    <w:rsid w:val="00DA29CD"/>
    <w:rsid w:val="00DA317F"/>
    <w:rsid w:val="00DA3A73"/>
    <w:rsid w:val="00DA3AC4"/>
    <w:rsid w:val="00DA3D9A"/>
    <w:rsid w:val="00DA525D"/>
    <w:rsid w:val="00DA5451"/>
    <w:rsid w:val="00DA5497"/>
    <w:rsid w:val="00DA59D3"/>
    <w:rsid w:val="00DA5AA9"/>
    <w:rsid w:val="00DA5C72"/>
    <w:rsid w:val="00DA69BB"/>
    <w:rsid w:val="00DA73D0"/>
    <w:rsid w:val="00DA7530"/>
    <w:rsid w:val="00DA7D41"/>
    <w:rsid w:val="00DB08A1"/>
    <w:rsid w:val="00DB0B61"/>
    <w:rsid w:val="00DB1B37"/>
    <w:rsid w:val="00DB2088"/>
    <w:rsid w:val="00DB3688"/>
    <w:rsid w:val="00DB3916"/>
    <w:rsid w:val="00DB3DBB"/>
    <w:rsid w:val="00DB4244"/>
    <w:rsid w:val="00DB43E6"/>
    <w:rsid w:val="00DB4BDF"/>
    <w:rsid w:val="00DB4E75"/>
    <w:rsid w:val="00DB602E"/>
    <w:rsid w:val="00DB6353"/>
    <w:rsid w:val="00DB663D"/>
    <w:rsid w:val="00DB79DC"/>
    <w:rsid w:val="00DB7B35"/>
    <w:rsid w:val="00DC0696"/>
    <w:rsid w:val="00DC0CE9"/>
    <w:rsid w:val="00DC2891"/>
    <w:rsid w:val="00DC33FB"/>
    <w:rsid w:val="00DC4158"/>
    <w:rsid w:val="00DC5906"/>
    <w:rsid w:val="00DC5C3E"/>
    <w:rsid w:val="00DC6065"/>
    <w:rsid w:val="00DC6AC0"/>
    <w:rsid w:val="00DC6E82"/>
    <w:rsid w:val="00DC7C9D"/>
    <w:rsid w:val="00DC7D45"/>
    <w:rsid w:val="00DD0432"/>
    <w:rsid w:val="00DD0792"/>
    <w:rsid w:val="00DD1376"/>
    <w:rsid w:val="00DD16B1"/>
    <w:rsid w:val="00DD1705"/>
    <w:rsid w:val="00DD2BF9"/>
    <w:rsid w:val="00DD3018"/>
    <w:rsid w:val="00DD301A"/>
    <w:rsid w:val="00DD3C16"/>
    <w:rsid w:val="00DD3FB5"/>
    <w:rsid w:val="00DD40EF"/>
    <w:rsid w:val="00DD453F"/>
    <w:rsid w:val="00DD478C"/>
    <w:rsid w:val="00DD48A0"/>
    <w:rsid w:val="00DD6097"/>
    <w:rsid w:val="00DD68C8"/>
    <w:rsid w:val="00DD79A0"/>
    <w:rsid w:val="00DD7C08"/>
    <w:rsid w:val="00DE05E0"/>
    <w:rsid w:val="00DE0819"/>
    <w:rsid w:val="00DE0A27"/>
    <w:rsid w:val="00DE10DB"/>
    <w:rsid w:val="00DE1192"/>
    <w:rsid w:val="00DE1B52"/>
    <w:rsid w:val="00DE1CFD"/>
    <w:rsid w:val="00DE1DBD"/>
    <w:rsid w:val="00DE2005"/>
    <w:rsid w:val="00DE23CF"/>
    <w:rsid w:val="00DE258C"/>
    <w:rsid w:val="00DE2755"/>
    <w:rsid w:val="00DE2E85"/>
    <w:rsid w:val="00DE2F95"/>
    <w:rsid w:val="00DE323D"/>
    <w:rsid w:val="00DE3A69"/>
    <w:rsid w:val="00DE49F1"/>
    <w:rsid w:val="00DE4D39"/>
    <w:rsid w:val="00DE5491"/>
    <w:rsid w:val="00DE57DD"/>
    <w:rsid w:val="00DE5CF5"/>
    <w:rsid w:val="00DE5FBB"/>
    <w:rsid w:val="00DE66D5"/>
    <w:rsid w:val="00DE7D21"/>
    <w:rsid w:val="00DF0933"/>
    <w:rsid w:val="00DF0C90"/>
    <w:rsid w:val="00DF18AA"/>
    <w:rsid w:val="00DF210A"/>
    <w:rsid w:val="00DF23B5"/>
    <w:rsid w:val="00DF2D85"/>
    <w:rsid w:val="00DF3390"/>
    <w:rsid w:val="00DF3974"/>
    <w:rsid w:val="00DF4CC2"/>
    <w:rsid w:val="00DF5513"/>
    <w:rsid w:val="00DF5542"/>
    <w:rsid w:val="00DF55C1"/>
    <w:rsid w:val="00DF5E7A"/>
    <w:rsid w:val="00DF6093"/>
    <w:rsid w:val="00DF636A"/>
    <w:rsid w:val="00DF652E"/>
    <w:rsid w:val="00DF690A"/>
    <w:rsid w:val="00DF6F84"/>
    <w:rsid w:val="00DF714E"/>
    <w:rsid w:val="00DF7476"/>
    <w:rsid w:val="00DF7A71"/>
    <w:rsid w:val="00DF7E21"/>
    <w:rsid w:val="00E005CC"/>
    <w:rsid w:val="00E007A6"/>
    <w:rsid w:val="00E01FD5"/>
    <w:rsid w:val="00E02F8E"/>
    <w:rsid w:val="00E030B9"/>
    <w:rsid w:val="00E031DA"/>
    <w:rsid w:val="00E03381"/>
    <w:rsid w:val="00E0436B"/>
    <w:rsid w:val="00E04379"/>
    <w:rsid w:val="00E056CD"/>
    <w:rsid w:val="00E05F04"/>
    <w:rsid w:val="00E05F72"/>
    <w:rsid w:val="00E0611F"/>
    <w:rsid w:val="00E07304"/>
    <w:rsid w:val="00E074A3"/>
    <w:rsid w:val="00E077FE"/>
    <w:rsid w:val="00E078E4"/>
    <w:rsid w:val="00E078E9"/>
    <w:rsid w:val="00E07D23"/>
    <w:rsid w:val="00E10FA4"/>
    <w:rsid w:val="00E110E8"/>
    <w:rsid w:val="00E114F6"/>
    <w:rsid w:val="00E11714"/>
    <w:rsid w:val="00E119F4"/>
    <w:rsid w:val="00E11BE2"/>
    <w:rsid w:val="00E11EA8"/>
    <w:rsid w:val="00E12202"/>
    <w:rsid w:val="00E12696"/>
    <w:rsid w:val="00E131CE"/>
    <w:rsid w:val="00E14ABE"/>
    <w:rsid w:val="00E15031"/>
    <w:rsid w:val="00E151F6"/>
    <w:rsid w:val="00E153C4"/>
    <w:rsid w:val="00E15648"/>
    <w:rsid w:val="00E15C80"/>
    <w:rsid w:val="00E160C3"/>
    <w:rsid w:val="00E161CA"/>
    <w:rsid w:val="00E16DFD"/>
    <w:rsid w:val="00E17BFB"/>
    <w:rsid w:val="00E17D10"/>
    <w:rsid w:val="00E20061"/>
    <w:rsid w:val="00E20861"/>
    <w:rsid w:val="00E20F3D"/>
    <w:rsid w:val="00E21B73"/>
    <w:rsid w:val="00E22110"/>
    <w:rsid w:val="00E2214E"/>
    <w:rsid w:val="00E232B0"/>
    <w:rsid w:val="00E24D5A"/>
    <w:rsid w:val="00E2502F"/>
    <w:rsid w:val="00E27269"/>
    <w:rsid w:val="00E276CD"/>
    <w:rsid w:val="00E27A34"/>
    <w:rsid w:val="00E27BFE"/>
    <w:rsid w:val="00E308C6"/>
    <w:rsid w:val="00E31B68"/>
    <w:rsid w:val="00E331A0"/>
    <w:rsid w:val="00E33451"/>
    <w:rsid w:val="00E337AB"/>
    <w:rsid w:val="00E345D5"/>
    <w:rsid w:val="00E348A4"/>
    <w:rsid w:val="00E3568F"/>
    <w:rsid w:val="00E357CD"/>
    <w:rsid w:val="00E3591F"/>
    <w:rsid w:val="00E36343"/>
    <w:rsid w:val="00E36D09"/>
    <w:rsid w:val="00E36EE1"/>
    <w:rsid w:val="00E36F4A"/>
    <w:rsid w:val="00E37687"/>
    <w:rsid w:val="00E40AF3"/>
    <w:rsid w:val="00E412D6"/>
    <w:rsid w:val="00E41944"/>
    <w:rsid w:val="00E41CCF"/>
    <w:rsid w:val="00E42153"/>
    <w:rsid w:val="00E42410"/>
    <w:rsid w:val="00E42F72"/>
    <w:rsid w:val="00E435C6"/>
    <w:rsid w:val="00E4483C"/>
    <w:rsid w:val="00E45A2B"/>
    <w:rsid w:val="00E45CF0"/>
    <w:rsid w:val="00E45D0E"/>
    <w:rsid w:val="00E467DF"/>
    <w:rsid w:val="00E471E3"/>
    <w:rsid w:val="00E47245"/>
    <w:rsid w:val="00E479EA"/>
    <w:rsid w:val="00E47BA6"/>
    <w:rsid w:val="00E47F42"/>
    <w:rsid w:val="00E50114"/>
    <w:rsid w:val="00E50465"/>
    <w:rsid w:val="00E504A0"/>
    <w:rsid w:val="00E50636"/>
    <w:rsid w:val="00E507C6"/>
    <w:rsid w:val="00E51A23"/>
    <w:rsid w:val="00E51CA0"/>
    <w:rsid w:val="00E523CE"/>
    <w:rsid w:val="00E52B4C"/>
    <w:rsid w:val="00E52F02"/>
    <w:rsid w:val="00E53784"/>
    <w:rsid w:val="00E54493"/>
    <w:rsid w:val="00E5580F"/>
    <w:rsid w:val="00E56408"/>
    <w:rsid w:val="00E567FF"/>
    <w:rsid w:val="00E56FD1"/>
    <w:rsid w:val="00E57844"/>
    <w:rsid w:val="00E6027B"/>
    <w:rsid w:val="00E60AD9"/>
    <w:rsid w:val="00E613E7"/>
    <w:rsid w:val="00E61905"/>
    <w:rsid w:val="00E6270C"/>
    <w:rsid w:val="00E627EA"/>
    <w:rsid w:val="00E63143"/>
    <w:rsid w:val="00E637CE"/>
    <w:rsid w:val="00E644BE"/>
    <w:rsid w:val="00E64925"/>
    <w:rsid w:val="00E65BAE"/>
    <w:rsid w:val="00E66334"/>
    <w:rsid w:val="00E66CCE"/>
    <w:rsid w:val="00E66DDA"/>
    <w:rsid w:val="00E66DEE"/>
    <w:rsid w:val="00E67280"/>
    <w:rsid w:val="00E677C7"/>
    <w:rsid w:val="00E679D6"/>
    <w:rsid w:val="00E67C1C"/>
    <w:rsid w:val="00E700EF"/>
    <w:rsid w:val="00E70A90"/>
    <w:rsid w:val="00E70EEB"/>
    <w:rsid w:val="00E7103D"/>
    <w:rsid w:val="00E71843"/>
    <w:rsid w:val="00E7190E"/>
    <w:rsid w:val="00E71A65"/>
    <w:rsid w:val="00E72835"/>
    <w:rsid w:val="00E72AF6"/>
    <w:rsid w:val="00E72CBC"/>
    <w:rsid w:val="00E732B8"/>
    <w:rsid w:val="00E73389"/>
    <w:rsid w:val="00E7349B"/>
    <w:rsid w:val="00E7359C"/>
    <w:rsid w:val="00E742EA"/>
    <w:rsid w:val="00E74479"/>
    <w:rsid w:val="00E74D32"/>
    <w:rsid w:val="00E752B4"/>
    <w:rsid w:val="00E75344"/>
    <w:rsid w:val="00E753ED"/>
    <w:rsid w:val="00E757CB"/>
    <w:rsid w:val="00E76E2F"/>
    <w:rsid w:val="00E76E83"/>
    <w:rsid w:val="00E77483"/>
    <w:rsid w:val="00E80250"/>
    <w:rsid w:val="00E810F1"/>
    <w:rsid w:val="00E81585"/>
    <w:rsid w:val="00E81803"/>
    <w:rsid w:val="00E81F22"/>
    <w:rsid w:val="00E81FE0"/>
    <w:rsid w:val="00E82A37"/>
    <w:rsid w:val="00E82C3C"/>
    <w:rsid w:val="00E83370"/>
    <w:rsid w:val="00E835C1"/>
    <w:rsid w:val="00E83EE0"/>
    <w:rsid w:val="00E83FB3"/>
    <w:rsid w:val="00E83FD5"/>
    <w:rsid w:val="00E84F27"/>
    <w:rsid w:val="00E85064"/>
    <w:rsid w:val="00E852F0"/>
    <w:rsid w:val="00E85508"/>
    <w:rsid w:val="00E85855"/>
    <w:rsid w:val="00E85883"/>
    <w:rsid w:val="00E85B93"/>
    <w:rsid w:val="00E86A9D"/>
    <w:rsid w:val="00E86C0E"/>
    <w:rsid w:val="00E86D62"/>
    <w:rsid w:val="00E872C4"/>
    <w:rsid w:val="00E87D7A"/>
    <w:rsid w:val="00E902C3"/>
    <w:rsid w:val="00E90371"/>
    <w:rsid w:val="00E90BD8"/>
    <w:rsid w:val="00E90EFB"/>
    <w:rsid w:val="00E9115A"/>
    <w:rsid w:val="00E913A1"/>
    <w:rsid w:val="00E91490"/>
    <w:rsid w:val="00E91604"/>
    <w:rsid w:val="00E918A8"/>
    <w:rsid w:val="00E92325"/>
    <w:rsid w:val="00E92C86"/>
    <w:rsid w:val="00E938EC"/>
    <w:rsid w:val="00E94185"/>
    <w:rsid w:val="00E945DA"/>
    <w:rsid w:val="00E94626"/>
    <w:rsid w:val="00E9464E"/>
    <w:rsid w:val="00E946E4"/>
    <w:rsid w:val="00E948E4"/>
    <w:rsid w:val="00E94A68"/>
    <w:rsid w:val="00E94C80"/>
    <w:rsid w:val="00E94F20"/>
    <w:rsid w:val="00E94F9D"/>
    <w:rsid w:val="00E94FE4"/>
    <w:rsid w:val="00E9568D"/>
    <w:rsid w:val="00E96277"/>
    <w:rsid w:val="00E9632F"/>
    <w:rsid w:val="00E971DA"/>
    <w:rsid w:val="00E97F00"/>
    <w:rsid w:val="00EA04C9"/>
    <w:rsid w:val="00EA0592"/>
    <w:rsid w:val="00EA0768"/>
    <w:rsid w:val="00EA0BE8"/>
    <w:rsid w:val="00EA3158"/>
    <w:rsid w:val="00EA34CE"/>
    <w:rsid w:val="00EA3548"/>
    <w:rsid w:val="00EA366C"/>
    <w:rsid w:val="00EA3700"/>
    <w:rsid w:val="00EA42EF"/>
    <w:rsid w:val="00EA4495"/>
    <w:rsid w:val="00EA506C"/>
    <w:rsid w:val="00EA563A"/>
    <w:rsid w:val="00EA5C4B"/>
    <w:rsid w:val="00EA5E83"/>
    <w:rsid w:val="00EA7022"/>
    <w:rsid w:val="00EA716F"/>
    <w:rsid w:val="00EA7255"/>
    <w:rsid w:val="00EA77DD"/>
    <w:rsid w:val="00EA7A32"/>
    <w:rsid w:val="00EB0111"/>
    <w:rsid w:val="00EB057F"/>
    <w:rsid w:val="00EB1001"/>
    <w:rsid w:val="00EB16A1"/>
    <w:rsid w:val="00EB16C4"/>
    <w:rsid w:val="00EB249F"/>
    <w:rsid w:val="00EB2D0A"/>
    <w:rsid w:val="00EB3D3C"/>
    <w:rsid w:val="00EB3FA8"/>
    <w:rsid w:val="00EB41FF"/>
    <w:rsid w:val="00EB4B03"/>
    <w:rsid w:val="00EB4F52"/>
    <w:rsid w:val="00EB554B"/>
    <w:rsid w:val="00EB5BF3"/>
    <w:rsid w:val="00EB6D0A"/>
    <w:rsid w:val="00EB6FFF"/>
    <w:rsid w:val="00EB7E91"/>
    <w:rsid w:val="00EC040E"/>
    <w:rsid w:val="00EC0DCF"/>
    <w:rsid w:val="00EC0E13"/>
    <w:rsid w:val="00EC12B0"/>
    <w:rsid w:val="00EC1319"/>
    <w:rsid w:val="00EC1F2C"/>
    <w:rsid w:val="00EC30E7"/>
    <w:rsid w:val="00EC3545"/>
    <w:rsid w:val="00EC4116"/>
    <w:rsid w:val="00EC41FA"/>
    <w:rsid w:val="00EC4286"/>
    <w:rsid w:val="00EC4CF4"/>
    <w:rsid w:val="00EC5226"/>
    <w:rsid w:val="00EC578C"/>
    <w:rsid w:val="00EC5BF3"/>
    <w:rsid w:val="00EC615C"/>
    <w:rsid w:val="00EC66AA"/>
    <w:rsid w:val="00EC73DF"/>
    <w:rsid w:val="00EC7591"/>
    <w:rsid w:val="00EC7B74"/>
    <w:rsid w:val="00EC7FB3"/>
    <w:rsid w:val="00ED0F33"/>
    <w:rsid w:val="00ED1374"/>
    <w:rsid w:val="00ED1DF7"/>
    <w:rsid w:val="00ED1E78"/>
    <w:rsid w:val="00ED1F7F"/>
    <w:rsid w:val="00ED2028"/>
    <w:rsid w:val="00ED2E47"/>
    <w:rsid w:val="00ED3180"/>
    <w:rsid w:val="00ED3490"/>
    <w:rsid w:val="00ED34D8"/>
    <w:rsid w:val="00ED374B"/>
    <w:rsid w:val="00ED3E55"/>
    <w:rsid w:val="00ED4254"/>
    <w:rsid w:val="00ED4D0E"/>
    <w:rsid w:val="00ED4E57"/>
    <w:rsid w:val="00ED5BF8"/>
    <w:rsid w:val="00ED5F3F"/>
    <w:rsid w:val="00ED7460"/>
    <w:rsid w:val="00ED75AF"/>
    <w:rsid w:val="00ED799A"/>
    <w:rsid w:val="00EE0542"/>
    <w:rsid w:val="00EE07C2"/>
    <w:rsid w:val="00EE0E4A"/>
    <w:rsid w:val="00EE1137"/>
    <w:rsid w:val="00EE22DC"/>
    <w:rsid w:val="00EE2907"/>
    <w:rsid w:val="00EE2E8C"/>
    <w:rsid w:val="00EE3B6C"/>
    <w:rsid w:val="00EE3E8E"/>
    <w:rsid w:val="00EE4AFA"/>
    <w:rsid w:val="00EE5323"/>
    <w:rsid w:val="00EE5F3A"/>
    <w:rsid w:val="00EE6098"/>
    <w:rsid w:val="00EE6142"/>
    <w:rsid w:val="00EE6509"/>
    <w:rsid w:val="00EE6766"/>
    <w:rsid w:val="00EE6862"/>
    <w:rsid w:val="00EE6BCC"/>
    <w:rsid w:val="00EE6D28"/>
    <w:rsid w:val="00EE7875"/>
    <w:rsid w:val="00EF0569"/>
    <w:rsid w:val="00EF0F82"/>
    <w:rsid w:val="00EF12C7"/>
    <w:rsid w:val="00EF166C"/>
    <w:rsid w:val="00EF179A"/>
    <w:rsid w:val="00EF1E26"/>
    <w:rsid w:val="00EF2511"/>
    <w:rsid w:val="00EF31D4"/>
    <w:rsid w:val="00EF376B"/>
    <w:rsid w:val="00EF3770"/>
    <w:rsid w:val="00EF380D"/>
    <w:rsid w:val="00EF3DFE"/>
    <w:rsid w:val="00EF4165"/>
    <w:rsid w:val="00EF4167"/>
    <w:rsid w:val="00EF4244"/>
    <w:rsid w:val="00EF460B"/>
    <w:rsid w:val="00EF4672"/>
    <w:rsid w:val="00EF4810"/>
    <w:rsid w:val="00EF497B"/>
    <w:rsid w:val="00EF4B88"/>
    <w:rsid w:val="00EF51FA"/>
    <w:rsid w:val="00EF5AD4"/>
    <w:rsid w:val="00EF743A"/>
    <w:rsid w:val="00EF752A"/>
    <w:rsid w:val="00EF7537"/>
    <w:rsid w:val="00EF76E2"/>
    <w:rsid w:val="00EF7CD4"/>
    <w:rsid w:val="00F00461"/>
    <w:rsid w:val="00F0083A"/>
    <w:rsid w:val="00F0086C"/>
    <w:rsid w:val="00F00C4C"/>
    <w:rsid w:val="00F01025"/>
    <w:rsid w:val="00F0120D"/>
    <w:rsid w:val="00F0122A"/>
    <w:rsid w:val="00F01444"/>
    <w:rsid w:val="00F01F34"/>
    <w:rsid w:val="00F02AAE"/>
    <w:rsid w:val="00F034DF"/>
    <w:rsid w:val="00F045C1"/>
    <w:rsid w:val="00F0460D"/>
    <w:rsid w:val="00F049E8"/>
    <w:rsid w:val="00F0511C"/>
    <w:rsid w:val="00F05147"/>
    <w:rsid w:val="00F0564D"/>
    <w:rsid w:val="00F05797"/>
    <w:rsid w:val="00F05EC5"/>
    <w:rsid w:val="00F06252"/>
    <w:rsid w:val="00F068F2"/>
    <w:rsid w:val="00F06F6A"/>
    <w:rsid w:val="00F07038"/>
    <w:rsid w:val="00F1034F"/>
    <w:rsid w:val="00F1077B"/>
    <w:rsid w:val="00F10D44"/>
    <w:rsid w:val="00F114BE"/>
    <w:rsid w:val="00F1159D"/>
    <w:rsid w:val="00F11E91"/>
    <w:rsid w:val="00F12029"/>
    <w:rsid w:val="00F12A70"/>
    <w:rsid w:val="00F12AA3"/>
    <w:rsid w:val="00F12DB4"/>
    <w:rsid w:val="00F131B6"/>
    <w:rsid w:val="00F13218"/>
    <w:rsid w:val="00F13428"/>
    <w:rsid w:val="00F1364F"/>
    <w:rsid w:val="00F13D67"/>
    <w:rsid w:val="00F142D3"/>
    <w:rsid w:val="00F150F2"/>
    <w:rsid w:val="00F154B0"/>
    <w:rsid w:val="00F1592A"/>
    <w:rsid w:val="00F15AEF"/>
    <w:rsid w:val="00F16125"/>
    <w:rsid w:val="00F167D2"/>
    <w:rsid w:val="00F16B6B"/>
    <w:rsid w:val="00F1700F"/>
    <w:rsid w:val="00F1718F"/>
    <w:rsid w:val="00F17CCA"/>
    <w:rsid w:val="00F20135"/>
    <w:rsid w:val="00F20803"/>
    <w:rsid w:val="00F20ABE"/>
    <w:rsid w:val="00F21A52"/>
    <w:rsid w:val="00F21B50"/>
    <w:rsid w:val="00F247B0"/>
    <w:rsid w:val="00F2555A"/>
    <w:rsid w:val="00F25F51"/>
    <w:rsid w:val="00F262C9"/>
    <w:rsid w:val="00F27094"/>
    <w:rsid w:val="00F278F3"/>
    <w:rsid w:val="00F302FE"/>
    <w:rsid w:val="00F30701"/>
    <w:rsid w:val="00F308E7"/>
    <w:rsid w:val="00F30AC7"/>
    <w:rsid w:val="00F31333"/>
    <w:rsid w:val="00F3142D"/>
    <w:rsid w:val="00F31CBA"/>
    <w:rsid w:val="00F32897"/>
    <w:rsid w:val="00F3339F"/>
    <w:rsid w:val="00F334B2"/>
    <w:rsid w:val="00F335F5"/>
    <w:rsid w:val="00F3366F"/>
    <w:rsid w:val="00F34946"/>
    <w:rsid w:val="00F34F03"/>
    <w:rsid w:val="00F352A4"/>
    <w:rsid w:val="00F356BA"/>
    <w:rsid w:val="00F359B6"/>
    <w:rsid w:val="00F35BA9"/>
    <w:rsid w:val="00F35E72"/>
    <w:rsid w:val="00F36AA0"/>
    <w:rsid w:val="00F37D96"/>
    <w:rsid w:val="00F37F43"/>
    <w:rsid w:val="00F40977"/>
    <w:rsid w:val="00F4099B"/>
    <w:rsid w:val="00F413EA"/>
    <w:rsid w:val="00F415B3"/>
    <w:rsid w:val="00F41DD6"/>
    <w:rsid w:val="00F42022"/>
    <w:rsid w:val="00F4206C"/>
    <w:rsid w:val="00F42647"/>
    <w:rsid w:val="00F429F0"/>
    <w:rsid w:val="00F42CF8"/>
    <w:rsid w:val="00F42FC2"/>
    <w:rsid w:val="00F4305F"/>
    <w:rsid w:val="00F43143"/>
    <w:rsid w:val="00F433DD"/>
    <w:rsid w:val="00F43723"/>
    <w:rsid w:val="00F43BE0"/>
    <w:rsid w:val="00F43EE5"/>
    <w:rsid w:val="00F4411F"/>
    <w:rsid w:val="00F444F4"/>
    <w:rsid w:val="00F4667D"/>
    <w:rsid w:val="00F46A48"/>
    <w:rsid w:val="00F473CA"/>
    <w:rsid w:val="00F4786E"/>
    <w:rsid w:val="00F50057"/>
    <w:rsid w:val="00F50674"/>
    <w:rsid w:val="00F50822"/>
    <w:rsid w:val="00F50ABB"/>
    <w:rsid w:val="00F51262"/>
    <w:rsid w:val="00F51769"/>
    <w:rsid w:val="00F51B27"/>
    <w:rsid w:val="00F51BF2"/>
    <w:rsid w:val="00F52B7A"/>
    <w:rsid w:val="00F535E1"/>
    <w:rsid w:val="00F536F2"/>
    <w:rsid w:val="00F537B2"/>
    <w:rsid w:val="00F53890"/>
    <w:rsid w:val="00F53ABD"/>
    <w:rsid w:val="00F54550"/>
    <w:rsid w:val="00F54C1F"/>
    <w:rsid w:val="00F5543B"/>
    <w:rsid w:val="00F5546A"/>
    <w:rsid w:val="00F55894"/>
    <w:rsid w:val="00F55B42"/>
    <w:rsid w:val="00F55B72"/>
    <w:rsid w:val="00F55F92"/>
    <w:rsid w:val="00F5645C"/>
    <w:rsid w:val="00F56ED3"/>
    <w:rsid w:val="00F57335"/>
    <w:rsid w:val="00F57F12"/>
    <w:rsid w:val="00F601C3"/>
    <w:rsid w:val="00F60631"/>
    <w:rsid w:val="00F606CD"/>
    <w:rsid w:val="00F607AC"/>
    <w:rsid w:val="00F6096E"/>
    <w:rsid w:val="00F60C21"/>
    <w:rsid w:val="00F6182C"/>
    <w:rsid w:val="00F6193B"/>
    <w:rsid w:val="00F61C75"/>
    <w:rsid w:val="00F62704"/>
    <w:rsid w:val="00F62936"/>
    <w:rsid w:val="00F6309D"/>
    <w:rsid w:val="00F63783"/>
    <w:rsid w:val="00F6391F"/>
    <w:rsid w:val="00F6443C"/>
    <w:rsid w:val="00F6444D"/>
    <w:rsid w:val="00F64DA8"/>
    <w:rsid w:val="00F6766C"/>
    <w:rsid w:val="00F67EA1"/>
    <w:rsid w:val="00F701DF"/>
    <w:rsid w:val="00F702D4"/>
    <w:rsid w:val="00F71564"/>
    <w:rsid w:val="00F715AD"/>
    <w:rsid w:val="00F72232"/>
    <w:rsid w:val="00F72596"/>
    <w:rsid w:val="00F73446"/>
    <w:rsid w:val="00F73824"/>
    <w:rsid w:val="00F738DE"/>
    <w:rsid w:val="00F739DF"/>
    <w:rsid w:val="00F7421C"/>
    <w:rsid w:val="00F74D2B"/>
    <w:rsid w:val="00F76A5B"/>
    <w:rsid w:val="00F7755E"/>
    <w:rsid w:val="00F77EA1"/>
    <w:rsid w:val="00F80631"/>
    <w:rsid w:val="00F80802"/>
    <w:rsid w:val="00F809DC"/>
    <w:rsid w:val="00F80B79"/>
    <w:rsid w:val="00F815C9"/>
    <w:rsid w:val="00F81DB6"/>
    <w:rsid w:val="00F8200C"/>
    <w:rsid w:val="00F8254C"/>
    <w:rsid w:val="00F82E68"/>
    <w:rsid w:val="00F82EF1"/>
    <w:rsid w:val="00F8302A"/>
    <w:rsid w:val="00F83834"/>
    <w:rsid w:val="00F83970"/>
    <w:rsid w:val="00F839AE"/>
    <w:rsid w:val="00F83FD7"/>
    <w:rsid w:val="00F8414C"/>
    <w:rsid w:val="00F847D4"/>
    <w:rsid w:val="00F850FA"/>
    <w:rsid w:val="00F854FD"/>
    <w:rsid w:val="00F859E3"/>
    <w:rsid w:val="00F85A1F"/>
    <w:rsid w:val="00F85A7D"/>
    <w:rsid w:val="00F8629E"/>
    <w:rsid w:val="00F86EB2"/>
    <w:rsid w:val="00F86F94"/>
    <w:rsid w:val="00F8701B"/>
    <w:rsid w:val="00F87754"/>
    <w:rsid w:val="00F87F54"/>
    <w:rsid w:val="00F906F1"/>
    <w:rsid w:val="00F90A76"/>
    <w:rsid w:val="00F9107B"/>
    <w:rsid w:val="00F91867"/>
    <w:rsid w:val="00F920D4"/>
    <w:rsid w:val="00F9214B"/>
    <w:rsid w:val="00F9254B"/>
    <w:rsid w:val="00F9303D"/>
    <w:rsid w:val="00F9325E"/>
    <w:rsid w:val="00F939AF"/>
    <w:rsid w:val="00F93B1C"/>
    <w:rsid w:val="00F94558"/>
    <w:rsid w:val="00F946BB"/>
    <w:rsid w:val="00F94B05"/>
    <w:rsid w:val="00F94F70"/>
    <w:rsid w:val="00F95105"/>
    <w:rsid w:val="00F951CB"/>
    <w:rsid w:val="00F952DD"/>
    <w:rsid w:val="00F95C0E"/>
    <w:rsid w:val="00F95F4E"/>
    <w:rsid w:val="00F96AC6"/>
    <w:rsid w:val="00F96CEC"/>
    <w:rsid w:val="00F96F0C"/>
    <w:rsid w:val="00F97113"/>
    <w:rsid w:val="00FA0229"/>
    <w:rsid w:val="00FA0339"/>
    <w:rsid w:val="00FA05E6"/>
    <w:rsid w:val="00FA0D17"/>
    <w:rsid w:val="00FA0DDB"/>
    <w:rsid w:val="00FA1292"/>
    <w:rsid w:val="00FA15AA"/>
    <w:rsid w:val="00FA1A43"/>
    <w:rsid w:val="00FA2226"/>
    <w:rsid w:val="00FA260E"/>
    <w:rsid w:val="00FA28C6"/>
    <w:rsid w:val="00FA2A8B"/>
    <w:rsid w:val="00FA3A65"/>
    <w:rsid w:val="00FA3B70"/>
    <w:rsid w:val="00FA4641"/>
    <w:rsid w:val="00FA4F7E"/>
    <w:rsid w:val="00FA570E"/>
    <w:rsid w:val="00FA5BC9"/>
    <w:rsid w:val="00FA5FEC"/>
    <w:rsid w:val="00FA62AF"/>
    <w:rsid w:val="00FA62EC"/>
    <w:rsid w:val="00FA6AFC"/>
    <w:rsid w:val="00FA6CC2"/>
    <w:rsid w:val="00FA6F44"/>
    <w:rsid w:val="00FA71B7"/>
    <w:rsid w:val="00FA735E"/>
    <w:rsid w:val="00FA7785"/>
    <w:rsid w:val="00FA7C5C"/>
    <w:rsid w:val="00FA7C87"/>
    <w:rsid w:val="00FB02B3"/>
    <w:rsid w:val="00FB08CF"/>
    <w:rsid w:val="00FB0961"/>
    <w:rsid w:val="00FB1BD3"/>
    <w:rsid w:val="00FB216F"/>
    <w:rsid w:val="00FB24A2"/>
    <w:rsid w:val="00FB2C43"/>
    <w:rsid w:val="00FB32F6"/>
    <w:rsid w:val="00FB3B57"/>
    <w:rsid w:val="00FB3C75"/>
    <w:rsid w:val="00FB5113"/>
    <w:rsid w:val="00FB5578"/>
    <w:rsid w:val="00FB5B32"/>
    <w:rsid w:val="00FB6A5C"/>
    <w:rsid w:val="00FB6B2C"/>
    <w:rsid w:val="00FB6E4D"/>
    <w:rsid w:val="00FB6E81"/>
    <w:rsid w:val="00FB7AC9"/>
    <w:rsid w:val="00FB7E8E"/>
    <w:rsid w:val="00FC0288"/>
    <w:rsid w:val="00FC0610"/>
    <w:rsid w:val="00FC0B73"/>
    <w:rsid w:val="00FC0C21"/>
    <w:rsid w:val="00FC149F"/>
    <w:rsid w:val="00FC177C"/>
    <w:rsid w:val="00FC19DB"/>
    <w:rsid w:val="00FC20EF"/>
    <w:rsid w:val="00FC241B"/>
    <w:rsid w:val="00FC2DF3"/>
    <w:rsid w:val="00FC3556"/>
    <w:rsid w:val="00FC46AD"/>
    <w:rsid w:val="00FC4894"/>
    <w:rsid w:val="00FC5AF0"/>
    <w:rsid w:val="00FC5DE5"/>
    <w:rsid w:val="00FC64DE"/>
    <w:rsid w:val="00FC6D30"/>
    <w:rsid w:val="00FC6D66"/>
    <w:rsid w:val="00FC6E34"/>
    <w:rsid w:val="00FC7514"/>
    <w:rsid w:val="00FC7809"/>
    <w:rsid w:val="00FC7D60"/>
    <w:rsid w:val="00FD0710"/>
    <w:rsid w:val="00FD1ED5"/>
    <w:rsid w:val="00FD222F"/>
    <w:rsid w:val="00FD2AE7"/>
    <w:rsid w:val="00FD2E6B"/>
    <w:rsid w:val="00FD32D5"/>
    <w:rsid w:val="00FD3608"/>
    <w:rsid w:val="00FD4003"/>
    <w:rsid w:val="00FD4F34"/>
    <w:rsid w:val="00FD4F69"/>
    <w:rsid w:val="00FD50E4"/>
    <w:rsid w:val="00FD5199"/>
    <w:rsid w:val="00FD57AF"/>
    <w:rsid w:val="00FD58ED"/>
    <w:rsid w:val="00FD59D3"/>
    <w:rsid w:val="00FD5B8F"/>
    <w:rsid w:val="00FD5E9B"/>
    <w:rsid w:val="00FD6472"/>
    <w:rsid w:val="00FD6827"/>
    <w:rsid w:val="00FD6868"/>
    <w:rsid w:val="00FD694C"/>
    <w:rsid w:val="00FD6E11"/>
    <w:rsid w:val="00FD7323"/>
    <w:rsid w:val="00FD745B"/>
    <w:rsid w:val="00FD7BF2"/>
    <w:rsid w:val="00FD7D7C"/>
    <w:rsid w:val="00FD7FB7"/>
    <w:rsid w:val="00FD7FEF"/>
    <w:rsid w:val="00FE09F4"/>
    <w:rsid w:val="00FE0F23"/>
    <w:rsid w:val="00FE1B9C"/>
    <w:rsid w:val="00FE20DD"/>
    <w:rsid w:val="00FE2505"/>
    <w:rsid w:val="00FE2556"/>
    <w:rsid w:val="00FE2A85"/>
    <w:rsid w:val="00FE2C2B"/>
    <w:rsid w:val="00FE3754"/>
    <w:rsid w:val="00FE3D16"/>
    <w:rsid w:val="00FE3E1A"/>
    <w:rsid w:val="00FE42CB"/>
    <w:rsid w:val="00FE47BA"/>
    <w:rsid w:val="00FE496F"/>
    <w:rsid w:val="00FE5018"/>
    <w:rsid w:val="00FE544F"/>
    <w:rsid w:val="00FE5981"/>
    <w:rsid w:val="00FE5E19"/>
    <w:rsid w:val="00FE647C"/>
    <w:rsid w:val="00FE6877"/>
    <w:rsid w:val="00FE7032"/>
    <w:rsid w:val="00FE7041"/>
    <w:rsid w:val="00FE7157"/>
    <w:rsid w:val="00FE78B2"/>
    <w:rsid w:val="00FE78CF"/>
    <w:rsid w:val="00FE7A15"/>
    <w:rsid w:val="00FE7C66"/>
    <w:rsid w:val="00FE7C7C"/>
    <w:rsid w:val="00FF0320"/>
    <w:rsid w:val="00FF0341"/>
    <w:rsid w:val="00FF0581"/>
    <w:rsid w:val="00FF05B3"/>
    <w:rsid w:val="00FF0FA2"/>
    <w:rsid w:val="00FF11C3"/>
    <w:rsid w:val="00FF1B1E"/>
    <w:rsid w:val="00FF2753"/>
    <w:rsid w:val="00FF3126"/>
    <w:rsid w:val="00FF327C"/>
    <w:rsid w:val="00FF4503"/>
    <w:rsid w:val="00FF487D"/>
    <w:rsid w:val="00FF4C6B"/>
    <w:rsid w:val="00FF51FC"/>
    <w:rsid w:val="00FF5568"/>
    <w:rsid w:val="00FF648E"/>
    <w:rsid w:val="00FF7420"/>
    <w:rsid w:val="00FF7714"/>
    <w:rsid w:val="00FF776F"/>
    <w:rsid w:val="10944F5D"/>
    <w:rsid w:val="510FA643"/>
  </w:rsids>
  <m:mathPr>
    <m:mathFont m:val="Cambria Math"/>
    <m:brkBin m:val="before"/>
    <m:brkBinSub m:val="--"/>
    <m:smallFrac m:val="0"/>
    <m:dispDef/>
    <m:lMargin m:val="0"/>
    <m:rMargin m:val="0"/>
    <m:defJc m:val="centerGroup"/>
    <m:wrapIndent m:val="1440"/>
    <m:intLim m:val="subSup"/>
    <m:naryLim m:val="undOvr"/>
  </m:mathPr>
  <w:themeFontLang w:val="fr-MA"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F7B64B1"/>
  <w15:docId w15:val="{D84299FA-B687-4245-B6D0-C1D7D5C8AD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fr-M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qFormat="1"/>
    <w:lsdException w:name="List Bullet 3" w:semiHidden="1" w:uiPriority="0" w:unhideWhenUsed="1" w:qFormat="1"/>
    <w:lsdException w:name="List Bullet 4" w:semiHidden="1" w:uiPriority="0" w:unhideWhenUsed="1" w:qFormat="1"/>
    <w:lsdException w:name="List Bullet 5" w:semiHidden="1" w:uiPriority="0" w:unhideWhenUsed="1"/>
    <w:lsdException w:name="List Number 2" w:semiHidden="1" w:unhideWhenUsed="1"/>
    <w:lsdException w:name="List Number 3" w:semiHidden="1" w:uiPriority="0"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iPriority="0" w:unhideWhenUsed="1"/>
    <w:lsdException w:name="Subtitle"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qFormat="1"/>
    <w:lsdException w:name="Hyperlink" w:semiHidden="1" w:unhideWhenUsed="1" w:qFormat="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nhideWhenUsed="1"/>
    <w:lsdException w:name="annotation subject" w:semiHidden="1" w:unhideWhenUsed="1"/>
    <w:lsdException w:name="No List" w:semiHidden="1" w:unhideWhenUsed="1"/>
    <w:lsdException w:name="Outline List 1" w:semiHidden="1" w:uiPriority="0" w:unhideWhenUsed="1"/>
    <w:lsdException w:name="Outline List 2" w:semiHidden="1" w:unhideWhenUsed="1"/>
    <w:lsdException w:name="Outline List 3" w:semiHidden="1" w:uiPriority="0"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lsdException w:name="Medium List 2 Accent 2" w:uiPriority="66"/>
    <w:lsdException w:name="Medium Grid 1 Accent 2"/>
    <w:lsdException w:name="Medium Grid 2 Accent 2" w:uiPriority="68"/>
    <w:lsdException w:name="Medium Grid 3 Accent 2" w:uiPriority="69"/>
    <w:lsdException w:name="Dark List Accent 2"/>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uiPriority="21" w:qFormat="1"/>
    <w:lsdException w:name="Subtle Reference" w:qFormat="1"/>
    <w:lsdException w:name="Intense Reference" w:qFormat="1"/>
    <w:lsdException w:name="Book Title"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vec"/>
    <w:qFormat/>
    <w:rsid w:val="00E86D62"/>
    <w:pPr>
      <w:spacing w:before="120" w:after="120" w:line="276" w:lineRule="auto"/>
      <w:jc w:val="both"/>
    </w:pPr>
    <w:rPr>
      <w:rFonts w:ascii="Calibri" w:eastAsia="Times New Roman" w:hAnsi="Calibri" w:cs="Arial"/>
      <w:lang w:val="fr-FR" w:bidi="en-US"/>
    </w:rPr>
  </w:style>
  <w:style w:type="paragraph" w:styleId="Titre1">
    <w:name w:val="heading 1"/>
    <w:aliases w:val="Grand titre,Titre 1 Car Car,TITRE 1,TITRE 1 + Avant : 0 cm,Première ligne : 0 cm,Après ...,Chapitre,Main Heading,chapitre,Intitulé,título 1,~SectionHeading,Head 1wsa,Outline1,1 ghost,g,Oscar Faber 1,Heading 1 TXC,My Heading 1,CES Heading 1,L1"/>
    <w:basedOn w:val="Normal"/>
    <w:next w:val="Normal"/>
    <w:link w:val="Titre1Car"/>
    <w:uiPriority w:val="9"/>
    <w:qFormat/>
    <w:rsid w:val="00EC578C"/>
    <w:pPr>
      <w:keepNext/>
      <w:keepLines/>
      <w:spacing w:before="240" w:after="0"/>
      <w:outlineLvl w:val="0"/>
    </w:pPr>
    <w:rPr>
      <w:rFonts w:ascii="Cambria" w:eastAsiaTheme="majorEastAsia" w:hAnsi="Cambria" w:cstheme="majorBidi"/>
      <w:b/>
      <w:color w:val="0028A8"/>
      <w:sz w:val="32"/>
      <w:szCs w:val="32"/>
    </w:rPr>
  </w:style>
  <w:style w:type="paragraph" w:styleId="Titre2">
    <w:name w:val="heading 2"/>
    <w:aliases w:val="Titre 2 Car Car,Titre 2 Car Car Car Car Car,Titre 2 Car1,sous-chapitre,Titre 2 - DRRT,Paranum,Sous-Titre,T2,H2,article,h2,EBAHeading 2,Titre 2 tamarins,TITRE 2 Car Car,~SubHeading,2,Reset numbering,h21,Head wsa2,Major Heading,Major,(Alt+2)"/>
    <w:basedOn w:val="Normal"/>
    <w:next w:val="Normal"/>
    <w:link w:val="Titre2Car"/>
    <w:uiPriority w:val="9"/>
    <w:unhideWhenUsed/>
    <w:qFormat/>
    <w:rsid w:val="00FC64DE"/>
    <w:pPr>
      <w:keepNext/>
      <w:keepLines/>
      <w:numPr>
        <w:numId w:val="3"/>
      </w:numPr>
      <w:spacing w:before="40" w:after="0"/>
      <w:outlineLvl w:val="1"/>
    </w:pPr>
    <w:rPr>
      <w:rFonts w:ascii="Cambria" w:eastAsiaTheme="majorEastAsia" w:hAnsi="Cambria" w:cstheme="majorBidi"/>
      <w:color w:val="2F5496" w:themeColor="accent1" w:themeShade="BF"/>
      <w:sz w:val="26"/>
      <w:szCs w:val="26"/>
    </w:rPr>
  </w:style>
  <w:style w:type="paragraph" w:styleId="Titre3">
    <w:name w:val="heading 3"/>
    <w:aliases w:val="sous article,T3,Section,Titre 3 Car Car,enumération a),Titre 3 section,InterTitre,Sous titre de pièce,Titre 3 re,Section1,retrait2,Heading 3 Char Char Char,TITRE 3,H3,T3-Seureca,Titre 3 Car Car Car Car Car,Heading 31,título3, Titulo 3"/>
    <w:basedOn w:val="Normal"/>
    <w:next w:val="Normal"/>
    <w:link w:val="Titre3Car"/>
    <w:unhideWhenUsed/>
    <w:qFormat/>
    <w:rsid w:val="0080077E"/>
    <w:pPr>
      <w:keepNext/>
      <w:keepLines/>
      <w:spacing w:line="271" w:lineRule="auto"/>
      <w:ind w:left="720" w:hanging="720"/>
      <w:outlineLvl w:val="2"/>
    </w:pPr>
    <w:rPr>
      <w:rFonts w:ascii="Cambria" w:hAnsi="Cambria" w:cs="Times New Roman"/>
      <w:b/>
      <w:bCs/>
    </w:rPr>
  </w:style>
  <w:style w:type="paragraph" w:styleId="Titre4">
    <w:name w:val="heading 4"/>
    <w:aliases w:val="Sous-Section,Car1,~Level4Heading,Component heading,Sub title,Sub-heading 2,RPS Heading 4,RSKH4,RSKHeading 4,Oscar Faber Appendix,Minor Heading,level 4,Sub-Minor,h4,H4,OG Heading 4,Heading 4 Char,4,h41,Título 4B,Level 2 - a,Strat Imp,aa"/>
    <w:basedOn w:val="Normal"/>
    <w:next w:val="Normal"/>
    <w:link w:val="Titre4Car"/>
    <w:unhideWhenUsed/>
    <w:qFormat/>
    <w:rsid w:val="005C6221"/>
    <w:pPr>
      <w:keepNext/>
      <w:keepLines/>
      <w:outlineLvl w:val="3"/>
    </w:pPr>
    <w:rPr>
      <w:rFonts w:ascii="Cambria" w:hAnsi="Cambria" w:cs="Times New Roman"/>
      <w:b/>
      <w:bCs/>
      <w:i/>
      <w:iCs/>
      <w:sz w:val="20"/>
    </w:rPr>
  </w:style>
  <w:style w:type="paragraph" w:styleId="Titre5">
    <w:name w:val="heading 5"/>
    <w:aliases w:val="sous section de pièce,Side,Heading 51,Titulo 5,H5,style5, Side,a,(1.1.1.1.1.),Titre 5 LP,heading 5,T5,dash,ds,dd,ssc,5 sub-bullet,sb,dubai5,T5 Seureca,corps de texte,Heading 5.§1.1.1.1.1.,Titre pad 5,Fig,Car7,Titre 5 Car Car"/>
    <w:basedOn w:val="Normal"/>
    <w:next w:val="Normal"/>
    <w:link w:val="Titre5Car"/>
    <w:unhideWhenUsed/>
    <w:qFormat/>
    <w:rsid w:val="0080077E"/>
    <w:pPr>
      <w:ind w:left="1008" w:hanging="1008"/>
      <w:outlineLvl w:val="4"/>
    </w:pPr>
    <w:rPr>
      <w:rFonts w:ascii="Cambria" w:hAnsi="Cambria" w:cs="Times New Roman"/>
      <w:b/>
      <w:bCs/>
      <w:color w:val="7F7F7F"/>
    </w:rPr>
  </w:style>
  <w:style w:type="paragraph" w:styleId="Titre6">
    <w:name w:val="heading 6"/>
    <w:aliases w:val="Heading 61,H6,ann,(a,..),Titre6,T6"/>
    <w:basedOn w:val="Normal"/>
    <w:next w:val="Normal"/>
    <w:link w:val="Titre6Car"/>
    <w:uiPriority w:val="99"/>
    <w:unhideWhenUsed/>
    <w:qFormat/>
    <w:rsid w:val="0080077E"/>
    <w:pPr>
      <w:keepNext/>
      <w:keepLines/>
      <w:spacing w:line="271" w:lineRule="auto"/>
      <w:ind w:left="2285" w:hanging="1151"/>
      <w:outlineLvl w:val="5"/>
    </w:pPr>
    <w:rPr>
      <w:rFonts w:ascii="Cambria" w:hAnsi="Cambria" w:cs="Times New Roman"/>
      <w:b/>
      <w:bCs/>
      <w:i/>
      <w:iCs/>
      <w:color w:val="7F7F7F"/>
    </w:rPr>
  </w:style>
  <w:style w:type="paragraph" w:styleId="Titre7">
    <w:name w:val="heading 7"/>
    <w:aliases w:val="Titre tableau,figure caption,Titre centré,Heading 71,Do Not Use 7,Edf Titre 7,Titre 2',CHAPITRE,Titre 7 NUDEC,Titre 7 _ IS,Capsis Titre 7,Titre Niveau 7,E7,Annexes,Titre 7 Car Car"/>
    <w:basedOn w:val="Normal"/>
    <w:next w:val="Normal"/>
    <w:link w:val="Titre7Car"/>
    <w:unhideWhenUsed/>
    <w:qFormat/>
    <w:rsid w:val="0080077E"/>
    <w:pPr>
      <w:ind w:left="1296" w:hanging="1296"/>
      <w:outlineLvl w:val="6"/>
    </w:pPr>
    <w:rPr>
      <w:rFonts w:ascii="Cambria" w:hAnsi="Cambria" w:cs="Times New Roman"/>
      <w:i/>
      <w:iCs/>
    </w:rPr>
  </w:style>
  <w:style w:type="paragraph" w:styleId="Titre8">
    <w:name w:val="heading 8"/>
    <w:aliases w:val="Titre figure,Heading 81,Titre4,table caption,(Appendici),Titre 8 Car Car Car Car Car,Titre 8 Car Car Car,Do Not Use 8,Ignore5,Ignore!!,Edf Titre 8,titre 5,Titre 3',Titre 8 NUDEC,Titre 8 _ IS,Capsis Titre 8"/>
    <w:basedOn w:val="Normal"/>
    <w:next w:val="Normal"/>
    <w:link w:val="Titre8Car"/>
    <w:unhideWhenUsed/>
    <w:qFormat/>
    <w:rsid w:val="0080077E"/>
    <w:pPr>
      <w:ind w:left="2574" w:hanging="1440"/>
      <w:outlineLvl w:val="7"/>
    </w:pPr>
    <w:rPr>
      <w:rFonts w:ascii="Cambria" w:hAnsi="Cambria" w:cs="Times New Roman"/>
      <w:sz w:val="20"/>
      <w:szCs w:val="20"/>
    </w:rPr>
  </w:style>
  <w:style w:type="paragraph" w:styleId="Titre9">
    <w:name w:val="heading 9"/>
    <w:aliases w:val="Heading 9-paranum,(Bibliografia),T9,Heading 91,Titre 10,Do Not Use 9,Edf Titre 9,Titre 9 NUDEC,Titre 9 _ IS,Puce sous texte"/>
    <w:basedOn w:val="Normal"/>
    <w:next w:val="Normal"/>
    <w:link w:val="Titre9Car"/>
    <w:unhideWhenUsed/>
    <w:qFormat/>
    <w:rsid w:val="0080077E"/>
    <w:pPr>
      <w:ind w:left="2716" w:hanging="1582"/>
      <w:outlineLvl w:val="8"/>
    </w:pPr>
    <w:rPr>
      <w:rFonts w:ascii="Cambria" w:hAnsi="Cambria" w:cs="Times New Roman"/>
      <w:i/>
      <w:iCs/>
      <w:spacing w:val="5"/>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itre">
    <w:name w:val="Title"/>
    <w:aliases w:val="Titre 31,~MinorSubHeading,Heading 3 Char2,Head 3 WSA,Sub-heading,L3,Lev 3,h3,(Alt+3),level 3,Report text,Apx par,Outline3,3 bullet,Bullet,B1,SECOND,Second,b1,bullet pt,6 bullet,List 1,Знак,Subhead C,ËÑÇ¢éÍ 3,hseHeading 3,ËÑÇ¢ˆmÍ 3,Re,b,h31,3"/>
    <w:basedOn w:val="Normal"/>
    <w:next w:val="Normal"/>
    <w:link w:val="TitreCar"/>
    <w:uiPriority w:val="10"/>
    <w:qFormat/>
    <w:rsid w:val="00827584"/>
    <w:pPr>
      <w:pBdr>
        <w:bottom w:val="single" w:sz="4" w:space="1" w:color="auto"/>
      </w:pBdr>
      <w:spacing w:line="240" w:lineRule="auto"/>
      <w:contextualSpacing/>
      <w:jc w:val="center"/>
    </w:pPr>
    <w:rPr>
      <w:rFonts w:ascii="Cambria" w:hAnsi="Cambria" w:cs="Times New Roman"/>
      <w:spacing w:val="5"/>
      <w:sz w:val="52"/>
      <w:szCs w:val="52"/>
    </w:rPr>
  </w:style>
  <w:style w:type="character" w:customStyle="1" w:styleId="TitreCar">
    <w:name w:val="Titre Car"/>
    <w:aliases w:val="Titre 31 Car,~MinorSubHeading Car,Heading 3 Char2 Car,Head 3 WSA Car,Sub-heading Car,L3 Car,Lev 3 Car,h3 Car,(Alt+3) Car,level 3 Car,Report text Car,Apx par Car,Outline3 Car,3 bullet Car,Bullet Car,B1 Car,SECOND Car,Second Car,b1 Car,Знак Car"/>
    <w:basedOn w:val="Policepardfaut"/>
    <w:link w:val="Titre"/>
    <w:uiPriority w:val="10"/>
    <w:rsid w:val="00827584"/>
    <w:rPr>
      <w:rFonts w:ascii="Cambria" w:eastAsia="Times New Roman" w:hAnsi="Cambria" w:cs="Times New Roman"/>
      <w:spacing w:val="5"/>
      <w:sz w:val="52"/>
      <w:szCs w:val="52"/>
      <w:lang w:val="fr-FR" w:bidi="en-US"/>
    </w:rPr>
  </w:style>
  <w:style w:type="paragraph" w:styleId="Sous-titre">
    <w:name w:val="Subtitle"/>
    <w:basedOn w:val="Normal"/>
    <w:next w:val="Normal"/>
    <w:link w:val="Sous-titreCar"/>
    <w:uiPriority w:val="99"/>
    <w:qFormat/>
    <w:rsid w:val="00827584"/>
    <w:pPr>
      <w:spacing w:after="600"/>
      <w:jc w:val="center"/>
    </w:pPr>
    <w:rPr>
      <w:rFonts w:ascii="Cambria" w:hAnsi="Cambria" w:cs="Times New Roman"/>
      <w:iCs/>
      <w:spacing w:val="13"/>
      <w:sz w:val="28"/>
      <w:szCs w:val="24"/>
    </w:rPr>
  </w:style>
  <w:style w:type="character" w:customStyle="1" w:styleId="Sous-titreCar">
    <w:name w:val="Sous-titre Car"/>
    <w:basedOn w:val="Policepardfaut"/>
    <w:link w:val="Sous-titre"/>
    <w:uiPriority w:val="99"/>
    <w:rsid w:val="00827584"/>
    <w:rPr>
      <w:rFonts w:ascii="Cambria" w:eastAsia="Times New Roman" w:hAnsi="Cambria" w:cs="Times New Roman"/>
      <w:iCs/>
      <w:spacing w:val="13"/>
      <w:sz w:val="28"/>
      <w:szCs w:val="24"/>
      <w:lang w:val="fr-FR" w:bidi="en-US"/>
    </w:rPr>
  </w:style>
  <w:style w:type="paragraph" w:styleId="Citation">
    <w:name w:val="Quote"/>
    <w:basedOn w:val="Normal"/>
    <w:next w:val="Normal"/>
    <w:link w:val="CitationCar"/>
    <w:uiPriority w:val="99"/>
    <w:qFormat/>
    <w:rsid w:val="00827584"/>
    <w:pPr>
      <w:spacing w:before="200" w:after="0"/>
      <w:ind w:left="360" w:right="360"/>
    </w:pPr>
    <w:rPr>
      <w:i/>
      <w:iCs/>
    </w:rPr>
  </w:style>
  <w:style w:type="character" w:customStyle="1" w:styleId="CitationCar">
    <w:name w:val="Citation Car"/>
    <w:basedOn w:val="Policepardfaut"/>
    <w:link w:val="Citation"/>
    <w:uiPriority w:val="99"/>
    <w:rsid w:val="00827584"/>
    <w:rPr>
      <w:rFonts w:ascii="Calibri" w:eastAsia="Times New Roman" w:hAnsi="Calibri" w:cs="Arial"/>
      <w:i/>
      <w:iCs/>
      <w:lang w:val="fr-FR" w:bidi="en-US"/>
    </w:rPr>
  </w:style>
  <w:style w:type="paragraph" w:styleId="En-tte">
    <w:name w:val="header"/>
    <w:aliases w:val="En-tête client,En-tête seureca,En-tête-Nom du client,encabezado,ho,header odd,En-tête-1,En-tête-2,base,pied de page verdicité,Ju-titre1,En-tête Chapitre,Topline,heading 3 after h2,h,h3+,ContentsHeader,hd,Subheading (body),address,Header/Footer"/>
    <w:basedOn w:val="Normal"/>
    <w:link w:val="En-tteCar"/>
    <w:uiPriority w:val="99"/>
    <w:unhideWhenUsed/>
    <w:rsid w:val="00827584"/>
    <w:pPr>
      <w:tabs>
        <w:tab w:val="center" w:pos="4536"/>
        <w:tab w:val="right" w:pos="9072"/>
      </w:tabs>
      <w:spacing w:before="0" w:after="0" w:line="240" w:lineRule="auto"/>
    </w:pPr>
  </w:style>
  <w:style w:type="character" w:customStyle="1" w:styleId="En-tteCar">
    <w:name w:val="En-tête Car"/>
    <w:aliases w:val="En-tête client Car,En-tête seureca Car,En-tête-Nom du client Car,encabezado Car,ho Car,header odd Car,En-tête-1 Car,En-tête-2 Car,base Car,pied de page verdicité Car,Ju-titre1 Car,En-tête Chapitre Car,Topline Car,heading 3 after h2 Car,h Car"/>
    <w:basedOn w:val="Policepardfaut"/>
    <w:link w:val="En-tte"/>
    <w:uiPriority w:val="99"/>
    <w:rsid w:val="00827584"/>
    <w:rPr>
      <w:rFonts w:ascii="Calibri" w:eastAsia="Times New Roman" w:hAnsi="Calibri" w:cs="Arial"/>
      <w:lang w:val="fr-FR" w:bidi="en-US"/>
    </w:rPr>
  </w:style>
  <w:style w:type="paragraph" w:styleId="Pieddepage">
    <w:name w:val="footer"/>
    <w:basedOn w:val="Normal"/>
    <w:link w:val="PieddepageCar"/>
    <w:uiPriority w:val="99"/>
    <w:unhideWhenUsed/>
    <w:rsid w:val="00827584"/>
    <w:pPr>
      <w:tabs>
        <w:tab w:val="center" w:pos="4536"/>
        <w:tab w:val="right" w:pos="9072"/>
      </w:tabs>
      <w:spacing w:before="0" w:after="0" w:line="240" w:lineRule="auto"/>
    </w:pPr>
  </w:style>
  <w:style w:type="character" w:customStyle="1" w:styleId="PieddepageCar">
    <w:name w:val="Pied de page Car"/>
    <w:basedOn w:val="Policepardfaut"/>
    <w:link w:val="Pieddepage"/>
    <w:uiPriority w:val="99"/>
    <w:rsid w:val="00827584"/>
    <w:rPr>
      <w:rFonts w:ascii="Calibri" w:eastAsia="Times New Roman" w:hAnsi="Calibri" w:cs="Arial"/>
      <w:lang w:val="fr-FR" w:bidi="en-US"/>
    </w:rPr>
  </w:style>
  <w:style w:type="paragraph" w:styleId="Corpsdetexte">
    <w:name w:val="Body Text"/>
    <w:aliases w:val="Texte fragment"/>
    <w:basedOn w:val="Normal"/>
    <w:link w:val="CorpsdetexteCar"/>
    <w:unhideWhenUsed/>
    <w:qFormat/>
    <w:rsid w:val="0098795E"/>
    <w:pPr>
      <w:spacing w:before="0" w:after="160" w:line="259" w:lineRule="auto"/>
      <w:jc w:val="left"/>
    </w:pPr>
    <w:rPr>
      <w:rFonts w:eastAsiaTheme="minorEastAsia" w:cs="Times New Roman"/>
      <w:szCs w:val="24"/>
      <w:lang w:val="zh-CN" w:eastAsia="fr-FR" w:bidi="ar-SA"/>
    </w:rPr>
  </w:style>
  <w:style w:type="character" w:customStyle="1" w:styleId="CorpsdetexteCar">
    <w:name w:val="Corps de texte Car"/>
    <w:aliases w:val="Texte fragment Car"/>
    <w:basedOn w:val="Policepardfaut"/>
    <w:link w:val="Corpsdetexte"/>
    <w:rsid w:val="0098795E"/>
    <w:rPr>
      <w:rFonts w:ascii="Calibri" w:eastAsiaTheme="minorEastAsia" w:hAnsi="Calibri" w:cs="Times New Roman"/>
      <w:szCs w:val="24"/>
      <w:lang w:val="zh-CN" w:eastAsia="fr-FR"/>
    </w:rPr>
  </w:style>
  <w:style w:type="paragraph" w:customStyle="1" w:styleId="TableParagraph">
    <w:name w:val="Table Paragraph"/>
    <w:basedOn w:val="Normal"/>
    <w:uiPriority w:val="1"/>
    <w:qFormat/>
    <w:rsid w:val="0098795E"/>
    <w:pPr>
      <w:widowControl w:val="0"/>
      <w:spacing w:before="0" w:after="160" w:line="259" w:lineRule="auto"/>
      <w:jc w:val="left"/>
    </w:pPr>
    <w:rPr>
      <w:rFonts w:eastAsia="Calibri" w:cs="Times New Roman"/>
      <w:szCs w:val="24"/>
      <w:lang w:val="zh-CN" w:bidi="ar-SA"/>
    </w:rPr>
  </w:style>
  <w:style w:type="table" w:customStyle="1" w:styleId="NormalTable1">
    <w:name w:val="Normal Table1"/>
    <w:uiPriority w:val="2"/>
    <w:semiHidden/>
    <w:unhideWhenUsed/>
    <w:qFormat/>
    <w:rsid w:val="0098795E"/>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Paragraphedeliste">
    <w:name w:val="List Paragraph"/>
    <w:aliases w:val="puce lettre,List Paragraph (numbered (a)),List Paragraph1,List Bullet Mary,Numbered List Paragraph,Bullets,List Bullet-OpsManual,References,Title Style 1,Colorful List - Accent 11,Main numbered paragraph,Paragraphe de liste num,titre"/>
    <w:basedOn w:val="Normal"/>
    <w:link w:val="ParagraphedelisteCar"/>
    <w:uiPriority w:val="34"/>
    <w:qFormat/>
    <w:rsid w:val="00EC578C"/>
    <w:pPr>
      <w:ind w:left="720"/>
      <w:contextualSpacing/>
    </w:pPr>
  </w:style>
  <w:style w:type="paragraph" w:customStyle="1" w:styleId="Prambule">
    <w:name w:val="Préambule"/>
    <w:basedOn w:val="Titre1"/>
    <w:uiPriority w:val="99"/>
    <w:qFormat/>
    <w:rsid w:val="005F3306"/>
    <w:pPr>
      <w:numPr>
        <w:numId w:val="2"/>
      </w:numPr>
      <w:spacing w:before="120" w:after="100"/>
      <w:ind w:left="1068"/>
      <w:contextualSpacing/>
      <w:jc w:val="center"/>
    </w:pPr>
    <w:rPr>
      <w:rFonts w:eastAsia="Times New Roman" w:cs="Times New Roman"/>
      <w:b w:val="0"/>
      <w:bCs/>
      <w:smallCaps/>
      <w:color w:val="548DD4"/>
      <w:sz w:val="26"/>
      <w:szCs w:val="28"/>
      <w:lang w:val="x-none"/>
    </w:rPr>
  </w:style>
  <w:style w:type="character" w:customStyle="1" w:styleId="ParagraphedelisteCar">
    <w:name w:val="Paragraphe de liste Car"/>
    <w:aliases w:val="puce lettre Car,List Paragraph (numbered (a)) Car,List Paragraph1 Car,List Bullet Mary Car,Numbered List Paragraph Car,Bullets Car,List Bullet-OpsManual Car,References Car,Title Style 1 Car,Colorful List - Accent 11 Car,titre Car"/>
    <w:link w:val="Paragraphedeliste"/>
    <w:uiPriority w:val="34"/>
    <w:qFormat/>
    <w:rsid w:val="00EC578C"/>
    <w:rPr>
      <w:rFonts w:ascii="Calibri" w:eastAsia="Times New Roman" w:hAnsi="Calibri" w:cs="Arial"/>
      <w:lang w:val="fr-FR" w:bidi="en-US"/>
    </w:rPr>
  </w:style>
  <w:style w:type="character" w:customStyle="1" w:styleId="Titre1Car">
    <w:name w:val="Titre 1 Car"/>
    <w:aliases w:val="Grand titre Car,Titre 1 Car Car Car,TITRE 1 Car,TITRE 1 + Avant : 0 cm Car,Première ligne : 0 cm Car,Après ... Car,Chapitre Car,Main Heading Car,chapitre Car,Intitulé Car,título 1 Car,~SectionHeading Car,Head 1wsa Car,Outline1 Car,g Car"/>
    <w:basedOn w:val="Policepardfaut"/>
    <w:link w:val="Titre1"/>
    <w:rsid w:val="00EC578C"/>
    <w:rPr>
      <w:rFonts w:ascii="Cambria" w:eastAsiaTheme="majorEastAsia" w:hAnsi="Cambria" w:cstheme="majorBidi"/>
      <w:b/>
      <w:color w:val="0028A8"/>
      <w:sz w:val="32"/>
      <w:szCs w:val="32"/>
      <w:lang w:val="fr-FR" w:bidi="en-US"/>
    </w:rPr>
  </w:style>
  <w:style w:type="character" w:customStyle="1" w:styleId="Titre2Car">
    <w:name w:val="Titre 2 Car"/>
    <w:aliases w:val="Titre 2 Car Car Car,Titre 2 Car Car Car Car Car Car,Titre 2 Car1 Car,sous-chapitre Car,Titre 2 - DRRT Car,Paranum Car,Sous-Titre Car,T2 Car,H2 Car,article Car,h2 Car,EBAHeading 2 Car,Titre 2 tamarins Car,TITRE 2 Car Car Car,~SubHeading Car"/>
    <w:basedOn w:val="Policepardfaut"/>
    <w:link w:val="Titre2"/>
    <w:uiPriority w:val="9"/>
    <w:rsid w:val="003D4402"/>
    <w:rPr>
      <w:rFonts w:ascii="Cambria" w:eastAsiaTheme="majorEastAsia" w:hAnsi="Cambria" w:cstheme="majorBidi"/>
      <w:color w:val="2F5496" w:themeColor="accent1" w:themeShade="BF"/>
      <w:sz w:val="26"/>
      <w:szCs w:val="26"/>
      <w:lang w:val="fr-FR" w:bidi="en-US"/>
    </w:rPr>
  </w:style>
  <w:style w:type="character" w:customStyle="1" w:styleId="Titre3Car">
    <w:name w:val="Titre 3 Car"/>
    <w:aliases w:val="sous article Car,T3 Car,Section Car,Titre 3 Car Car Car,enumération a) Car,Titre 3 section Car,InterTitre Car,Sous titre de pièce Car,Titre 3 re Car,Section1 Car,retrait2 Car,Heading 3 Char Char Char Car,TITRE 3 Car,H3 Car,T3-Seureca Car"/>
    <w:basedOn w:val="Policepardfaut"/>
    <w:link w:val="Titre3"/>
    <w:rsid w:val="0080077E"/>
    <w:rPr>
      <w:rFonts w:ascii="Cambria" w:eastAsia="Times New Roman" w:hAnsi="Cambria" w:cs="Times New Roman"/>
      <w:b/>
      <w:bCs/>
      <w:lang w:val="fr-FR" w:bidi="en-US"/>
    </w:rPr>
  </w:style>
  <w:style w:type="character" w:customStyle="1" w:styleId="Titre4Car">
    <w:name w:val="Titre 4 Car"/>
    <w:aliases w:val="Sous-Section Car,Car1 Car,~Level4Heading Car,Component heading Car,Sub title Car,Sub-heading 2 Car,RPS Heading 4 Car,RSKH4 Car,RSKHeading 4 Car,Oscar Faber Appendix Car,Minor Heading Car,level 4 Car,Sub-Minor Car,h4 Car,H4 Car,4 Car,h41 Car"/>
    <w:basedOn w:val="Policepardfaut"/>
    <w:link w:val="Titre4"/>
    <w:rsid w:val="005C6221"/>
    <w:rPr>
      <w:rFonts w:ascii="Cambria" w:eastAsia="Times New Roman" w:hAnsi="Cambria" w:cs="Times New Roman"/>
      <w:b/>
      <w:bCs/>
      <w:i/>
      <w:iCs/>
      <w:sz w:val="20"/>
      <w:lang w:val="fr-FR" w:bidi="en-US"/>
    </w:rPr>
  </w:style>
  <w:style w:type="character" w:customStyle="1" w:styleId="Titre5Car">
    <w:name w:val="Titre 5 Car"/>
    <w:aliases w:val="sous section de pièce Car,Side Car,Heading 51 Car,Titulo 5 Car,H5 Car,style5 Car, Side Car,a Car,(1.1.1.1.1.) Car,Titre 5 LP Car,heading 5 Car,T5 Car,dash Car,ds Car,dd Car,ssc Car,5 sub-bullet Car,sb Car,dubai5 Car,T5 Seureca Car,Fig Car"/>
    <w:basedOn w:val="Policepardfaut"/>
    <w:link w:val="Titre5"/>
    <w:rsid w:val="0080077E"/>
    <w:rPr>
      <w:rFonts w:ascii="Cambria" w:eastAsia="Times New Roman" w:hAnsi="Cambria" w:cs="Times New Roman"/>
      <w:b/>
      <w:bCs/>
      <w:color w:val="7F7F7F"/>
      <w:lang w:val="fr-FR" w:bidi="en-US"/>
    </w:rPr>
  </w:style>
  <w:style w:type="character" w:customStyle="1" w:styleId="Titre6Car">
    <w:name w:val="Titre 6 Car"/>
    <w:aliases w:val="Heading 61 Car,H6 Car,ann Car,(a Car,..) Car,Titre6 Car,T6 Car"/>
    <w:basedOn w:val="Policepardfaut"/>
    <w:link w:val="Titre6"/>
    <w:uiPriority w:val="99"/>
    <w:rsid w:val="0080077E"/>
    <w:rPr>
      <w:rFonts w:ascii="Cambria" w:eastAsia="Times New Roman" w:hAnsi="Cambria" w:cs="Times New Roman"/>
      <w:b/>
      <w:bCs/>
      <w:i/>
      <w:iCs/>
      <w:color w:val="7F7F7F"/>
      <w:lang w:val="fr-FR" w:bidi="en-US"/>
    </w:rPr>
  </w:style>
  <w:style w:type="character" w:customStyle="1" w:styleId="Titre7Car">
    <w:name w:val="Titre 7 Car"/>
    <w:aliases w:val="Titre tableau Car,figure caption Car,Titre centré Car,Heading 71 Car,Do Not Use 7 Car,Edf Titre 7 Car,Titre 2' Car,CHAPITRE Car,Titre 7 NUDEC Car,Titre 7 _ IS Car,Capsis Titre 7 Car,Titre Niveau 7 Car,E7 Car,Annexes Car,Titre 7 Car Car Car"/>
    <w:basedOn w:val="Policepardfaut"/>
    <w:link w:val="Titre7"/>
    <w:rsid w:val="0080077E"/>
    <w:rPr>
      <w:rFonts w:ascii="Cambria" w:eastAsia="Times New Roman" w:hAnsi="Cambria" w:cs="Times New Roman"/>
      <w:i/>
      <w:iCs/>
      <w:lang w:val="fr-FR" w:bidi="en-US"/>
    </w:rPr>
  </w:style>
  <w:style w:type="character" w:customStyle="1" w:styleId="Titre8Car">
    <w:name w:val="Titre 8 Car"/>
    <w:aliases w:val="Titre figure Car,Heading 81 Car,Titre4 Car,table caption Car,(Appendici) Car,Titre 8 Car Car Car Car Car Car,Titre 8 Car Car Car Car,Do Not Use 8 Car,Ignore5 Car,Ignore!! Car,Edf Titre 8 Car,titre 5 Car,Titre 3' Car,Titre 8 NUDEC Car"/>
    <w:basedOn w:val="Policepardfaut"/>
    <w:link w:val="Titre8"/>
    <w:rsid w:val="0080077E"/>
    <w:rPr>
      <w:rFonts w:ascii="Cambria" w:eastAsia="Times New Roman" w:hAnsi="Cambria" w:cs="Times New Roman"/>
      <w:sz w:val="20"/>
      <w:szCs w:val="20"/>
      <w:lang w:val="fr-FR" w:bidi="en-US"/>
    </w:rPr>
  </w:style>
  <w:style w:type="character" w:customStyle="1" w:styleId="Titre9Car">
    <w:name w:val="Titre 9 Car"/>
    <w:aliases w:val="Heading 9-paranum Car,(Bibliografia) Car,T9 Car,Heading 91 Car,Titre 10 Car,Do Not Use 9 Car,Edf Titre 9 Car,Titre 9 NUDEC Car,Titre 9 _ IS Car,Puce sous texte Car"/>
    <w:basedOn w:val="Policepardfaut"/>
    <w:link w:val="Titre9"/>
    <w:rsid w:val="0080077E"/>
    <w:rPr>
      <w:rFonts w:ascii="Cambria" w:eastAsia="Times New Roman" w:hAnsi="Cambria" w:cs="Times New Roman"/>
      <w:i/>
      <w:iCs/>
      <w:spacing w:val="5"/>
      <w:sz w:val="20"/>
      <w:szCs w:val="20"/>
      <w:lang w:val="fr-FR" w:bidi="en-US"/>
    </w:rPr>
  </w:style>
  <w:style w:type="paragraph" w:customStyle="1" w:styleId="Titre33">
    <w:name w:val="Titre 33"/>
    <w:basedOn w:val="Normal"/>
    <w:link w:val="Titre33Car"/>
    <w:rsid w:val="00676771"/>
    <w:rPr>
      <w:rFonts w:ascii="Cambria" w:hAnsi="Cambria"/>
      <w:b/>
    </w:rPr>
  </w:style>
  <w:style w:type="character" w:customStyle="1" w:styleId="Titre33Car">
    <w:name w:val="Titre 33 Car"/>
    <w:basedOn w:val="Policepardfaut"/>
    <w:link w:val="Titre33"/>
    <w:rsid w:val="00676771"/>
    <w:rPr>
      <w:rFonts w:ascii="Cambria" w:eastAsia="Times New Roman" w:hAnsi="Cambria" w:cs="Arial"/>
      <w:b/>
      <w:lang w:val="fr-FR" w:bidi="en-US"/>
    </w:rPr>
  </w:style>
  <w:style w:type="table" w:styleId="Grilledutableau">
    <w:name w:val="Table Grid"/>
    <w:aliases w:val="TABLEAU BURGEAP,5 C's table,Table long document,ASSENTIO TABLEAU 1,Tableau Inexia"/>
    <w:basedOn w:val="TableauNormal"/>
    <w:uiPriority w:val="39"/>
    <w:qFormat/>
    <w:rsid w:val="000B0E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auListe3-Accentuation1">
    <w:name w:val="List Table 3 Accent 1"/>
    <w:basedOn w:val="TableauNormal"/>
    <w:uiPriority w:val="48"/>
    <w:rsid w:val="00DD478C"/>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character" w:styleId="Lienhypertexte">
    <w:name w:val="Hyperlink"/>
    <w:basedOn w:val="Policepardfaut"/>
    <w:uiPriority w:val="99"/>
    <w:unhideWhenUsed/>
    <w:qFormat/>
    <w:rsid w:val="00BA438F"/>
    <w:rPr>
      <w:color w:val="0000FF"/>
      <w:u w:val="single"/>
    </w:rPr>
  </w:style>
  <w:style w:type="character" w:styleId="lev">
    <w:name w:val="Strong"/>
    <w:aliases w:val="Source_Tableau,Bold"/>
    <w:basedOn w:val="Policepardfaut"/>
    <w:uiPriority w:val="22"/>
    <w:qFormat/>
    <w:rsid w:val="000E5F88"/>
    <w:rPr>
      <w:b/>
      <w:bCs/>
    </w:rPr>
  </w:style>
  <w:style w:type="paragraph" w:customStyle="1" w:styleId="Secondtitre">
    <w:name w:val="Second titre"/>
    <w:basedOn w:val="Titre2"/>
    <w:link w:val="SecondtitreCar"/>
    <w:rsid w:val="006F0C6F"/>
    <w:pPr>
      <w:numPr>
        <w:numId w:val="0"/>
      </w:numPr>
      <w:spacing w:before="100" w:after="100"/>
    </w:pPr>
    <w:rPr>
      <w:color w:val="2F5496"/>
    </w:rPr>
  </w:style>
  <w:style w:type="paragraph" w:customStyle="1" w:styleId="Petittitre">
    <w:name w:val="Petit titre"/>
    <w:basedOn w:val="Titre2"/>
    <w:link w:val="PetittitreCar"/>
    <w:rsid w:val="006E67DE"/>
    <w:pPr>
      <w:numPr>
        <w:ilvl w:val="2"/>
        <w:numId w:val="1"/>
      </w:numPr>
      <w:spacing w:before="120" w:after="120"/>
    </w:pPr>
    <w:rPr>
      <w:b/>
      <w:color w:val="auto"/>
      <w:sz w:val="22"/>
    </w:rPr>
  </w:style>
  <w:style w:type="character" w:customStyle="1" w:styleId="SecondtitreCar">
    <w:name w:val="Second titre Car"/>
    <w:basedOn w:val="Titre2Car"/>
    <w:link w:val="Secondtitre"/>
    <w:rsid w:val="006F0C6F"/>
    <w:rPr>
      <w:rFonts w:ascii="Cambria" w:eastAsiaTheme="majorEastAsia" w:hAnsi="Cambria" w:cstheme="majorBidi"/>
      <w:color w:val="2F5496"/>
      <w:sz w:val="26"/>
      <w:szCs w:val="26"/>
      <w:lang w:val="fr-FR" w:bidi="en-US"/>
    </w:rPr>
  </w:style>
  <w:style w:type="paragraph" w:customStyle="1" w:styleId="Moyentitre">
    <w:name w:val="Moyen titre"/>
    <w:basedOn w:val="Secondtitre"/>
    <w:link w:val="MoyentitreCar"/>
    <w:rsid w:val="006E67DE"/>
    <w:pPr>
      <w:numPr>
        <w:ilvl w:val="1"/>
        <w:numId w:val="1"/>
      </w:numPr>
      <w:ind w:left="432"/>
    </w:pPr>
  </w:style>
  <w:style w:type="character" w:customStyle="1" w:styleId="PetittitreCar">
    <w:name w:val="Petit titre Car"/>
    <w:basedOn w:val="Titre2Car"/>
    <w:link w:val="Petittitre"/>
    <w:rsid w:val="006E67DE"/>
    <w:rPr>
      <w:rFonts w:ascii="Cambria" w:eastAsiaTheme="majorEastAsia" w:hAnsi="Cambria" w:cstheme="majorBidi"/>
      <w:b/>
      <w:color w:val="2F5496" w:themeColor="accent1" w:themeShade="BF"/>
      <w:sz w:val="26"/>
      <w:szCs w:val="26"/>
      <w:lang w:val="fr-FR" w:bidi="en-US"/>
    </w:rPr>
  </w:style>
  <w:style w:type="paragraph" w:customStyle="1" w:styleId="Bigtitre">
    <w:name w:val="Big titre"/>
    <w:basedOn w:val="Titre1"/>
    <w:link w:val="BigtitreCar"/>
    <w:rsid w:val="006E67DE"/>
    <w:pPr>
      <w:numPr>
        <w:numId w:val="4"/>
      </w:numPr>
      <w:ind w:left="1068"/>
    </w:pPr>
    <w:rPr>
      <w:szCs w:val="28"/>
    </w:rPr>
  </w:style>
  <w:style w:type="character" w:customStyle="1" w:styleId="MoyentitreCar">
    <w:name w:val="Moyen titre Car"/>
    <w:basedOn w:val="SecondtitreCar"/>
    <w:link w:val="Moyentitre"/>
    <w:rsid w:val="006E67DE"/>
    <w:rPr>
      <w:rFonts w:ascii="Cambria" w:eastAsiaTheme="majorEastAsia" w:hAnsi="Cambria" w:cstheme="majorBidi"/>
      <w:color w:val="2F5496"/>
      <w:sz w:val="26"/>
      <w:szCs w:val="26"/>
      <w:lang w:val="fr-FR" w:bidi="en-US"/>
    </w:rPr>
  </w:style>
  <w:style w:type="paragraph" w:customStyle="1" w:styleId="Smalltitre">
    <w:name w:val="Small titre"/>
    <w:basedOn w:val="Petittitre"/>
    <w:link w:val="SmalltitreCar"/>
    <w:rsid w:val="00462C9F"/>
    <w:pPr>
      <w:tabs>
        <w:tab w:val="left" w:pos="1134"/>
      </w:tabs>
      <w:ind w:left="0" w:firstLine="56"/>
    </w:pPr>
  </w:style>
  <w:style w:type="character" w:customStyle="1" w:styleId="BigtitreCar">
    <w:name w:val="Big titre Car"/>
    <w:basedOn w:val="Titre1Car"/>
    <w:link w:val="Bigtitre"/>
    <w:rsid w:val="006E67DE"/>
    <w:rPr>
      <w:rFonts w:ascii="Cambria" w:eastAsiaTheme="majorEastAsia" w:hAnsi="Cambria" w:cstheme="majorBidi"/>
      <w:b/>
      <w:color w:val="0028A8"/>
      <w:sz w:val="32"/>
      <w:szCs w:val="28"/>
      <w:lang w:val="fr-FR" w:bidi="en-US"/>
    </w:rPr>
  </w:style>
  <w:style w:type="paragraph" w:customStyle="1" w:styleId="Maintitre">
    <w:name w:val="Main titre"/>
    <w:basedOn w:val="Bigtitre"/>
    <w:link w:val="MaintitreCar"/>
    <w:rsid w:val="000D09FA"/>
    <w:pPr>
      <w:spacing w:before="100" w:after="100"/>
      <w:ind w:left="723"/>
    </w:pPr>
  </w:style>
  <w:style w:type="character" w:customStyle="1" w:styleId="SmalltitreCar">
    <w:name w:val="Small titre Car"/>
    <w:basedOn w:val="PetittitreCar"/>
    <w:link w:val="Smalltitre"/>
    <w:rsid w:val="00462C9F"/>
    <w:rPr>
      <w:rFonts w:ascii="Cambria" w:eastAsiaTheme="majorEastAsia" w:hAnsi="Cambria" w:cstheme="majorBidi"/>
      <w:b/>
      <w:color w:val="2F5496" w:themeColor="accent1" w:themeShade="BF"/>
      <w:sz w:val="26"/>
      <w:szCs w:val="26"/>
      <w:lang w:val="fr-FR" w:bidi="en-US"/>
    </w:rPr>
  </w:style>
  <w:style w:type="paragraph" w:customStyle="1" w:styleId="Smalltitle">
    <w:name w:val="Small title"/>
    <w:basedOn w:val="Smalltitre"/>
    <w:link w:val="SmalltitleCar"/>
    <w:rsid w:val="00462C9F"/>
    <w:pPr>
      <w:tabs>
        <w:tab w:val="clear" w:pos="1134"/>
        <w:tab w:val="left" w:pos="567"/>
      </w:tabs>
    </w:pPr>
  </w:style>
  <w:style w:type="character" w:customStyle="1" w:styleId="MaintitreCar">
    <w:name w:val="Main titre Car"/>
    <w:basedOn w:val="BigtitreCar"/>
    <w:link w:val="Maintitre"/>
    <w:rsid w:val="000D09FA"/>
    <w:rPr>
      <w:rFonts w:ascii="Cambria" w:eastAsiaTheme="majorEastAsia" w:hAnsi="Cambria" w:cstheme="majorBidi"/>
      <w:b/>
      <w:color w:val="0028A8"/>
      <w:sz w:val="32"/>
      <w:szCs w:val="28"/>
      <w:lang w:val="fr-FR" w:bidi="en-US"/>
    </w:rPr>
  </w:style>
  <w:style w:type="paragraph" w:customStyle="1" w:styleId="Moyentitle">
    <w:name w:val="Moyen title"/>
    <w:basedOn w:val="Moyentitre"/>
    <w:next w:val="Moyentitre"/>
    <w:link w:val="MoyentitleCar"/>
    <w:rsid w:val="00610F4C"/>
    <w:pPr>
      <w:numPr>
        <w:ilvl w:val="0"/>
        <w:numId w:val="0"/>
      </w:numPr>
    </w:pPr>
    <w:rPr>
      <w:color w:val="4472C4" w:themeColor="accent1"/>
    </w:rPr>
  </w:style>
  <w:style w:type="character" w:customStyle="1" w:styleId="SmalltitleCar">
    <w:name w:val="Small title Car"/>
    <w:basedOn w:val="SmalltitreCar"/>
    <w:link w:val="Smalltitle"/>
    <w:rsid w:val="00462C9F"/>
    <w:rPr>
      <w:rFonts w:ascii="Cambria" w:eastAsiaTheme="majorEastAsia" w:hAnsi="Cambria" w:cstheme="majorBidi"/>
      <w:b/>
      <w:color w:val="2F5496" w:themeColor="accent1" w:themeShade="BF"/>
      <w:sz w:val="26"/>
      <w:szCs w:val="26"/>
      <w:lang w:val="fr-FR" w:bidi="en-US"/>
    </w:rPr>
  </w:style>
  <w:style w:type="paragraph" w:customStyle="1" w:styleId="Title1">
    <w:name w:val="Title1"/>
    <w:basedOn w:val="Maintitre"/>
    <w:link w:val="Title1Car"/>
    <w:qFormat/>
    <w:rsid w:val="00B60DD0"/>
    <w:pPr>
      <w:numPr>
        <w:numId w:val="5"/>
      </w:numPr>
    </w:pPr>
    <w:rPr>
      <w:bCs/>
      <w:szCs w:val="32"/>
    </w:rPr>
  </w:style>
  <w:style w:type="character" w:customStyle="1" w:styleId="MoyentitleCar">
    <w:name w:val="Moyen title Car"/>
    <w:basedOn w:val="ParagraphedelisteCar"/>
    <w:link w:val="Moyentitle"/>
    <w:rsid w:val="00610F4C"/>
    <w:rPr>
      <w:rFonts w:ascii="Cambria" w:eastAsiaTheme="majorEastAsia" w:hAnsi="Cambria" w:cstheme="majorBidi"/>
      <w:color w:val="4472C4" w:themeColor="accent1"/>
      <w:sz w:val="26"/>
      <w:szCs w:val="26"/>
      <w:lang w:val="fr-FR" w:bidi="en-US"/>
    </w:rPr>
  </w:style>
  <w:style w:type="paragraph" w:customStyle="1" w:styleId="Title2">
    <w:name w:val="Title2"/>
    <w:basedOn w:val="Titre2"/>
    <w:link w:val="Title2Car"/>
    <w:qFormat/>
    <w:rsid w:val="00BB0B28"/>
    <w:pPr>
      <w:numPr>
        <w:ilvl w:val="1"/>
        <w:numId w:val="5"/>
      </w:numPr>
    </w:pPr>
    <w:rPr>
      <w:color w:val="808080" w:themeColor="background1" w:themeShade="80"/>
    </w:rPr>
  </w:style>
  <w:style w:type="character" w:customStyle="1" w:styleId="Title1Car">
    <w:name w:val="Title1 Car"/>
    <w:basedOn w:val="ParagraphedelisteCar"/>
    <w:link w:val="Title1"/>
    <w:rsid w:val="00B60DD0"/>
    <w:rPr>
      <w:rFonts w:ascii="Cambria" w:eastAsiaTheme="majorEastAsia" w:hAnsi="Cambria" w:cstheme="majorBidi"/>
      <w:b/>
      <w:bCs/>
      <w:color w:val="0028A8"/>
      <w:sz w:val="32"/>
      <w:szCs w:val="32"/>
      <w:lang w:val="fr-FR" w:bidi="en-US"/>
    </w:rPr>
  </w:style>
  <w:style w:type="paragraph" w:customStyle="1" w:styleId="Title3">
    <w:name w:val="Title3"/>
    <w:basedOn w:val="Titre3"/>
    <w:link w:val="Title3Car"/>
    <w:qFormat/>
    <w:rsid w:val="001710DB"/>
    <w:pPr>
      <w:numPr>
        <w:ilvl w:val="2"/>
        <w:numId w:val="5"/>
      </w:numPr>
    </w:pPr>
    <w:rPr>
      <w:bCs w:val="0"/>
      <w:szCs w:val="24"/>
    </w:rPr>
  </w:style>
  <w:style w:type="character" w:customStyle="1" w:styleId="Title2Car">
    <w:name w:val="Title2 Car"/>
    <w:basedOn w:val="ParagraphedelisteCar"/>
    <w:link w:val="Title2"/>
    <w:rsid w:val="00BB0B28"/>
    <w:rPr>
      <w:rFonts w:ascii="Cambria" w:eastAsiaTheme="majorEastAsia" w:hAnsi="Cambria" w:cstheme="majorBidi"/>
      <w:color w:val="808080" w:themeColor="background1" w:themeShade="80"/>
      <w:sz w:val="26"/>
      <w:szCs w:val="26"/>
      <w:lang w:val="fr-FR" w:bidi="en-US"/>
    </w:rPr>
  </w:style>
  <w:style w:type="character" w:customStyle="1" w:styleId="Title3Car">
    <w:name w:val="Title3 Car"/>
    <w:basedOn w:val="Policepardfaut"/>
    <w:link w:val="Title3"/>
    <w:rsid w:val="001710DB"/>
    <w:rPr>
      <w:rFonts w:ascii="Cambria" w:eastAsia="Times New Roman" w:hAnsi="Cambria" w:cs="Times New Roman"/>
      <w:b/>
      <w:szCs w:val="24"/>
      <w:lang w:val="fr-FR" w:bidi="en-US"/>
    </w:rPr>
  </w:style>
  <w:style w:type="paragraph" w:customStyle="1" w:styleId="Title4">
    <w:name w:val="Title4"/>
    <w:basedOn w:val="Titre4"/>
    <w:link w:val="Title4Car"/>
    <w:qFormat/>
    <w:rsid w:val="00053D5F"/>
    <w:pPr>
      <w:numPr>
        <w:ilvl w:val="3"/>
        <w:numId w:val="5"/>
      </w:numPr>
      <w:tabs>
        <w:tab w:val="left" w:pos="1134"/>
      </w:tabs>
      <w:spacing w:before="100" w:beforeAutospacing="1" w:after="100" w:afterAutospacing="1" w:line="259" w:lineRule="auto"/>
    </w:pPr>
    <w:rPr>
      <w:rFonts w:eastAsiaTheme="minorEastAsia"/>
      <w:i w:val="0"/>
      <w:color w:val="0028A8"/>
      <w:sz w:val="22"/>
      <w:szCs w:val="21"/>
      <w:lang w:eastAsia="fr-FR" w:bidi="ar-SA"/>
    </w:rPr>
  </w:style>
  <w:style w:type="paragraph" w:customStyle="1" w:styleId="Title5">
    <w:name w:val="Title5"/>
    <w:basedOn w:val="Titre5"/>
    <w:link w:val="Title5Car"/>
    <w:qFormat/>
    <w:rsid w:val="00E60AD9"/>
    <w:pPr>
      <w:numPr>
        <w:ilvl w:val="4"/>
        <w:numId w:val="5"/>
      </w:numPr>
      <w:tabs>
        <w:tab w:val="left" w:pos="993"/>
      </w:tabs>
    </w:pPr>
    <w:rPr>
      <w:b w:val="0"/>
      <w:bCs w:val="0"/>
      <w:i/>
      <w:iCs/>
      <w:color w:val="4472C4" w:themeColor="accent1"/>
    </w:rPr>
  </w:style>
  <w:style w:type="character" w:customStyle="1" w:styleId="Title4Car">
    <w:name w:val="Title4 Car"/>
    <w:basedOn w:val="Titre4Car"/>
    <w:link w:val="Title4"/>
    <w:rsid w:val="00053D5F"/>
    <w:rPr>
      <w:rFonts w:ascii="Cambria" w:eastAsia="Times New Roman" w:hAnsi="Cambria" w:cs="Times New Roman"/>
      <w:b/>
      <w:bCs/>
      <w:i w:val="0"/>
      <w:iCs/>
      <w:color w:val="0028A8"/>
      <w:sz w:val="20"/>
      <w:szCs w:val="21"/>
      <w:lang w:val="fr-FR" w:eastAsia="fr-FR" w:bidi="en-US"/>
    </w:rPr>
  </w:style>
  <w:style w:type="table" w:styleId="TableauGrille4-Accentuation1">
    <w:name w:val="Grid Table 4 Accent 1"/>
    <w:basedOn w:val="TableauNormal"/>
    <w:uiPriority w:val="49"/>
    <w:rsid w:val="00572C02"/>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customStyle="1" w:styleId="Title5Car">
    <w:name w:val="Title5 Car"/>
    <w:basedOn w:val="ParagraphedelisteCar"/>
    <w:link w:val="Title5"/>
    <w:rsid w:val="00E60AD9"/>
    <w:rPr>
      <w:rFonts w:ascii="Cambria" w:eastAsia="Times New Roman" w:hAnsi="Cambria" w:cs="Times New Roman"/>
      <w:i/>
      <w:iCs/>
      <w:color w:val="4472C4" w:themeColor="accent1"/>
      <w:lang w:val="fr-FR" w:bidi="en-US"/>
    </w:rPr>
  </w:style>
  <w:style w:type="table" w:customStyle="1" w:styleId="Grilledutableau11">
    <w:name w:val="Grille du tableau11"/>
    <w:basedOn w:val="TableauNormal"/>
    <w:uiPriority w:val="39"/>
    <w:rsid w:val="00F51769"/>
    <w:rPr>
      <w:rFonts w:ascii="Times New Roman" w:hAnsi="Times New Roman" w:cs="Times New Roman"/>
      <w:sz w:val="20"/>
      <w:szCs w:val="20"/>
      <w:lang w:val="fr-FR"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auGrille5Fonc-Accentuation1">
    <w:name w:val="Grid Table 5 Dark Accent 1"/>
    <w:basedOn w:val="TableauNormal"/>
    <w:uiPriority w:val="50"/>
    <w:rsid w:val="00D26A2F"/>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 w:type="table" w:styleId="TableauListe7Couleur-Accentuation1">
    <w:name w:val="List Table 7 Colorful Accent 1"/>
    <w:basedOn w:val="TableauNormal"/>
    <w:uiPriority w:val="52"/>
    <w:rsid w:val="001679CF"/>
    <w:pPr>
      <w:spacing w:after="0" w:line="240" w:lineRule="auto"/>
    </w:pPr>
    <w:rPr>
      <w:color w:val="2F5496"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472C4"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472C4"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472C4"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472C4" w:themeColor="accent1"/>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auGrille3-Accentuation1">
    <w:name w:val="Grid Table 3 Accent 1"/>
    <w:basedOn w:val="TableauNormal"/>
    <w:uiPriority w:val="48"/>
    <w:rsid w:val="001679CF"/>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bottom w:val="single" w:sz="4" w:space="0" w:color="8EAADB" w:themeColor="accent1" w:themeTint="99"/>
        </w:tcBorders>
      </w:tcPr>
    </w:tblStylePr>
    <w:tblStylePr w:type="nwCell">
      <w:tblPr/>
      <w:tcPr>
        <w:tcBorders>
          <w:bottom w:val="single" w:sz="4" w:space="0" w:color="8EAADB" w:themeColor="accent1" w:themeTint="99"/>
        </w:tcBorders>
      </w:tcPr>
    </w:tblStylePr>
    <w:tblStylePr w:type="seCell">
      <w:tblPr/>
      <w:tcPr>
        <w:tcBorders>
          <w:top w:val="single" w:sz="4" w:space="0" w:color="8EAADB" w:themeColor="accent1" w:themeTint="99"/>
        </w:tcBorders>
      </w:tcPr>
    </w:tblStylePr>
    <w:tblStylePr w:type="swCell">
      <w:tblPr/>
      <w:tcPr>
        <w:tcBorders>
          <w:top w:val="single" w:sz="4" w:space="0" w:color="8EAADB" w:themeColor="accent1" w:themeTint="99"/>
        </w:tcBorders>
      </w:tcPr>
    </w:tblStylePr>
  </w:style>
  <w:style w:type="table" w:styleId="TableauGrille5Fonc-Accentuation5">
    <w:name w:val="Grid Table 5 Dark Accent 5"/>
    <w:basedOn w:val="TableauNormal"/>
    <w:uiPriority w:val="50"/>
    <w:rsid w:val="001679CF"/>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5"/>
      </w:tcPr>
    </w:tblStylePr>
    <w:tblStylePr w:type="band1Vert">
      <w:tblPr/>
      <w:tcPr>
        <w:shd w:val="clear" w:color="auto" w:fill="BDD6EE" w:themeFill="accent5" w:themeFillTint="66"/>
      </w:tcPr>
    </w:tblStylePr>
    <w:tblStylePr w:type="band1Horz">
      <w:tblPr/>
      <w:tcPr>
        <w:shd w:val="clear" w:color="auto" w:fill="BDD6EE" w:themeFill="accent5" w:themeFillTint="66"/>
      </w:tcPr>
    </w:tblStylePr>
  </w:style>
  <w:style w:type="table" w:styleId="TableauListe3-Accentuation5">
    <w:name w:val="List Table 3 Accent 5"/>
    <w:basedOn w:val="TableauNormal"/>
    <w:uiPriority w:val="48"/>
    <w:rsid w:val="001679CF"/>
    <w:pPr>
      <w:spacing w:after="0" w:line="240" w:lineRule="auto"/>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paragraph" w:styleId="Lgende">
    <w:name w:val="caption"/>
    <w:aliases w:val="Légende re,Légende Car Car Car Car Car,Car1 Car Car,Car11,Légende Car Car Car1,Légende Car Car Car Car Car Car1,Légende Car Car Car Car Car1,Légende11,légende,légende Car Car Car,légende Car Car Car Car Car Car Car,(Tabla, Car1 Car Car, Car1 Car"/>
    <w:basedOn w:val="Normal"/>
    <w:next w:val="Normal"/>
    <w:link w:val="LgendeCar"/>
    <w:uiPriority w:val="35"/>
    <w:qFormat/>
    <w:rsid w:val="006C44DC"/>
    <w:pPr>
      <w:spacing w:before="0" w:after="160" w:line="264" w:lineRule="auto"/>
      <w:jc w:val="center"/>
    </w:pPr>
    <w:rPr>
      <w:rFonts w:eastAsiaTheme="minorEastAsia" w:cs="Times New Roman"/>
      <w:b/>
      <w:bCs/>
      <w:sz w:val="20"/>
      <w:szCs w:val="20"/>
      <w:lang w:val="zh-CN" w:eastAsia="fr-FR" w:bidi="ar-SA"/>
    </w:rPr>
  </w:style>
  <w:style w:type="character" w:customStyle="1" w:styleId="LgendeCar">
    <w:name w:val="Légende Car"/>
    <w:aliases w:val="Légende re Car,Légende Car Car Car Car Car Car,Car1 Car Car Car,Car11 Car,Légende Car Car Car1 Car,Légende Car Car Car Car Car Car1 Car,Légende Car Car Car Car Car1 Car,Légende11 Car,légende Car,légende Car Car Car Car,(Tabla Car"/>
    <w:basedOn w:val="Policepardfaut"/>
    <w:link w:val="Lgende"/>
    <w:uiPriority w:val="35"/>
    <w:locked/>
    <w:rsid w:val="006C44DC"/>
    <w:rPr>
      <w:rFonts w:ascii="Calibri" w:eastAsiaTheme="minorEastAsia" w:hAnsi="Calibri" w:cs="Times New Roman"/>
      <w:b/>
      <w:bCs/>
      <w:sz w:val="20"/>
      <w:szCs w:val="20"/>
      <w:lang w:val="zh-CN" w:eastAsia="fr-FR"/>
    </w:rPr>
  </w:style>
  <w:style w:type="paragraph" w:customStyle="1" w:styleId="AltTitle">
    <w:name w:val="AltTitle"/>
    <w:basedOn w:val="Normal"/>
    <w:link w:val="AltTitleCar"/>
    <w:qFormat/>
    <w:rsid w:val="00E72AF6"/>
    <w:pPr>
      <w:numPr>
        <w:numId w:val="12"/>
      </w:numPr>
    </w:pPr>
    <w:rPr>
      <w:rFonts w:ascii="Century Gothic" w:hAnsi="Century Gothic"/>
      <w:b/>
      <w:bCs/>
      <w:color w:val="0028A8"/>
    </w:rPr>
  </w:style>
  <w:style w:type="paragraph" w:customStyle="1" w:styleId="TextNum">
    <w:name w:val="TextNum"/>
    <w:basedOn w:val="Paragraphedeliste"/>
    <w:link w:val="TextNumCar"/>
    <w:qFormat/>
    <w:rsid w:val="008B1776"/>
    <w:pPr>
      <w:numPr>
        <w:numId w:val="11"/>
      </w:numPr>
    </w:pPr>
  </w:style>
  <w:style w:type="character" w:customStyle="1" w:styleId="AltTitleCar">
    <w:name w:val="AltTitle Car"/>
    <w:basedOn w:val="Policepardfaut"/>
    <w:link w:val="AltTitle"/>
    <w:rsid w:val="00E72AF6"/>
    <w:rPr>
      <w:rFonts w:ascii="Century Gothic" w:eastAsia="Times New Roman" w:hAnsi="Century Gothic" w:cs="Arial"/>
      <w:b/>
      <w:bCs/>
      <w:color w:val="0028A8"/>
      <w:lang w:val="fr-FR" w:bidi="en-US"/>
    </w:rPr>
  </w:style>
  <w:style w:type="paragraph" w:customStyle="1" w:styleId="AltTitle2">
    <w:name w:val="AltTitle2"/>
    <w:basedOn w:val="Normal"/>
    <w:link w:val="AltTitle2Car"/>
    <w:qFormat/>
    <w:rsid w:val="00F045C1"/>
    <w:pPr>
      <w:spacing w:before="0" w:after="0"/>
    </w:pPr>
    <w:rPr>
      <w:rFonts w:ascii="Century Gothic" w:hAnsi="Century Gothic"/>
      <w:b/>
      <w:color w:val="4472C4" w:themeColor="accent1"/>
      <w:sz w:val="20"/>
      <w:u w:val="single"/>
    </w:rPr>
  </w:style>
  <w:style w:type="character" w:customStyle="1" w:styleId="TextNumCar">
    <w:name w:val="TextNum Car"/>
    <w:basedOn w:val="ParagraphedelisteCar"/>
    <w:link w:val="TextNum"/>
    <w:rsid w:val="008B1776"/>
    <w:rPr>
      <w:rFonts w:ascii="Calibri" w:eastAsia="Times New Roman" w:hAnsi="Calibri" w:cs="Arial"/>
      <w:lang w:val="fr-FR" w:bidi="en-US"/>
    </w:rPr>
  </w:style>
  <w:style w:type="paragraph" w:customStyle="1" w:styleId="TextAlpha">
    <w:name w:val="TextAlpha"/>
    <w:basedOn w:val="Paragraphedeliste"/>
    <w:link w:val="TextAlphaCar"/>
    <w:qFormat/>
    <w:rsid w:val="005752BD"/>
    <w:pPr>
      <w:numPr>
        <w:numId w:val="13"/>
      </w:numPr>
      <w:spacing w:before="240" w:after="240"/>
    </w:pPr>
  </w:style>
  <w:style w:type="character" w:customStyle="1" w:styleId="AltTitle2Car">
    <w:name w:val="AltTitle2 Car"/>
    <w:basedOn w:val="Policepardfaut"/>
    <w:link w:val="AltTitle2"/>
    <w:rsid w:val="00F045C1"/>
    <w:rPr>
      <w:rFonts w:ascii="Century Gothic" w:eastAsia="Times New Roman" w:hAnsi="Century Gothic" w:cs="Arial"/>
      <w:b/>
      <w:color w:val="4472C4" w:themeColor="accent1"/>
      <w:sz w:val="20"/>
      <w:u w:val="single"/>
      <w:lang w:val="fr-FR" w:bidi="en-US"/>
    </w:rPr>
  </w:style>
  <w:style w:type="paragraph" w:customStyle="1" w:styleId="Style1">
    <w:name w:val="Style1"/>
    <w:basedOn w:val="Normal"/>
    <w:link w:val="Style1Car"/>
    <w:qFormat/>
    <w:rsid w:val="005F7A1F"/>
    <w:pPr>
      <w:numPr>
        <w:numId w:val="8"/>
      </w:numPr>
      <w:spacing w:before="0" w:after="0"/>
    </w:pPr>
  </w:style>
  <w:style w:type="character" w:customStyle="1" w:styleId="TextAlphaCar">
    <w:name w:val="TextAlpha Car"/>
    <w:basedOn w:val="ParagraphedelisteCar"/>
    <w:link w:val="TextAlpha"/>
    <w:rsid w:val="005752BD"/>
    <w:rPr>
      <w:rFonts w:ascii="Calibri" w:eastAsia="Times New Roman" w:hAnsi="Calibri" w:cs="Arial"/>
      <w:lang w:val="fr-FR" w:bidi="en-US"/>
    </w:rPr>
  </w:style>
  <w:style w:type="table" w:styleId="TableauListe4-Accentuation1">
    <w:name w:val="List Table 4 Accent 1"/>
    <w:basedOn w:val="TableauNormal"/>
    <w:uiPriority w:val="49"/>
    <w:rsid w:val="004576C5"/>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tcBorders>
        <w:shd w:val="clear" w:color="auto" w:fill="4472C4" w:themeFill="accent1"/>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customStyle="1" w:styleId="Style1Car">
    <w:name w:val="Style1 Car"/>
    <w:basedOn w:val="Policepardfaut"/>
    <w:link w:val="Style1"/>
    <w:rsid w:val="005F7A1F"/>
    <w:rPr>
      <w:rFonts w:ascii="Calibri" w:eastAsia="Times New Roman" w:hAnsi="Calibri" w:cs="Arial"/>
      <w:lang w:val="fr-FR" w:bidi="en-US"/>
    </w:rPr>
  </w:style>
  <w:style w:type="paragraph" w:customStyle="1" w:styleId="ListePuces1">
    <w:name w:val="Liste à Puces 1"/>
    <w:basedOn w:val="Normal"/>
    <w:link w:val="ListePuces1Car"/>
    <w:autoRedefine/>
    <w:uiPriority w:val="1"/>
    <w:qFormat/>
    <w:locked/>
    <w:rsid w:val="00226DCA"/>
    <w:pPr>
      <w:jc w:val="center"/>
    </w:pPr>
    <w:rPr>
      <w:rFonts w:cs="Times"/>
      <w:szCs w:val="20"/>
      <w:lang w:eastAsia="fr-FR" w:bidi="ar-SA"/>
    </w:rPr>
  </w:style>
  <w:style w:type="character" w:customStyle="1" w:styleId="ListePuces1Car">
    <w:name w:val="Liste à Puces 1 Car"/>
    <w:basedOn w:val="Policepardfaut"/>
    <w:link w:val="ListePuces1"/>
    <w:uiPriority w:val="1"/>
    <w:rsid w:val="00226DCA"/>
    <w:rPr>
      <w:rFonts w:ascii="Calibri" w:eastAsia="Times New Roman" w:hAnsi="Calibri" w:cs="Times"/>
      <w:szCs w:val="20"/>
      <w:lang w:val="fr-FR" w:eastAsia="fr-FR"/>
    </w:rPr>
  </w:style>
  <w:style w:type="paragraph" w:customStyle="1" w:styleId="Default">
    <w:name w:val="Default"/>
    <w:link w:val="DefaultCar"/>
    <w:rsid w:val="00785BFE"/>
    <w:pPr>
      <w:autoSpaceDE w:val="0"/>
      <w:autoSpaceDN w:val="0"/>
      <w:adjustRightInd w:val="0"/>
      <w:spacing w:after="0" w:line="240" w:lineRule="auto"/>
    </w:pPr>
    <w:rPr>
      <w:rFonts w:ascii="Calibri" w:eastAsia="Times New Roman" w:hAnsi="Calibri" w:cs="Calibri"/>
      <w:color w:val="000000"/>
      <w:sz w:val="24"/>
      <w:szCs w:val="24"/>
      <w:lang w:val="fr-FR" w:eastAsia="fr-FR"/>
    </w:rPr>
  </w:style>
  <w:style w:type="character" w:customStyle="1" w:styleId="DefaultCar">
    <w:name w:val="Default Car"/>
    <w:link w:val="Default"/>
    <w:rsid w:val="00785BFE"/>
    <w:rPr>
      <w:rFonts w:ascii="Calibri" w:eastAsia="Times New Roman" w:hAnsi="Calibri" w:cs="Calibri"/>
      <w:color w:val="000000"/>
      <w:sz w:val="24"/>
      <w:szCs w:val="24"/>
      <w:lang w:val="fr-FR" w:eastAsia="fr-FR"/>
    </w:rPr>
  </w:style>
  <w:style w:type="table" w:styleId="TableauListe4-Accentuation5">
    <w:name w:val="List Table 4 Accent 5"/>
    <w:basedOn w:val="TableauNormal"/>
    <w:uiPriority w:val="49"/>
    <w:rsid w:val="00732D59"/>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tcBorders>
        <w:shd w:val="clear" w:color="auto" w:fill="5B9BD5" w:themeFill="accent5"/>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paragraph" w:customStyle="1" w:styleId="Style3">
    <w:name w:val="Style3"/>
    <w:basedOn w:val="Normal"/>
    <w:link w:val="Style3Car"/>
    <w:qFormat/>
    <w:rsid w:val="006641A5"/>
    <w:pPr>
      <w:keepNext/>
      <w:numPr>
        <w:numId w:val="14"/>
      </w:numPr>
      <w:suppressAutoHyphens/>
      <w:spacing w:before="240" w:line="240" w:lineRule="auto"/>
      <w:jc w:val="left"/>
      <w:outlineLvl w:val="0"/>
    </w:pPr>
    <w:rPr>
      <w:rFonts w:ascii="Arial Gras" w:hAnsi="Arial Gras" w:cs="Times New Roman"/>
      <w:b/>
      <w:bCs/>
      <w:i/>
      <w:iCs/>
      <w:caps/>
      <w:color w:val="943634"/>
      <w:kern w:val="32"/>
      <w:sz w:val="52"/>
      <w:szCs w:val="52"/>
      <w:u w:val="single"/>
      <w:lang w:val="x-none" w:eastAsia="x-none" w:bidi="ar-SA"/>
    </w:rPr>
  </w:style>
  <w:style w:type="paragraph" w:customStyle="1" w:styleId="Style5">
    <w:name w:val="Style5"/>
    <w:basedOn w:val="Style3"/>
    <w:link w:val="Style5Car"/>
    <w:qFormat/>
    <w:rsid w:val="006641A5"/>
    <w:pPr>
      <w:numPr>
        <w:ilvl w:val="1"/>
      </w:numPr>
      <w:pBdr>
        <w:bottom w:val="single" w:sz="4" w:space="1" w:color="800080"/>
      </w:pBdr>
      <w:tabs>
        <w:tab w:val="left" w:pos="284"/>
      </w:tabs>
      <w:outlineLvl w:val="1"/>
    </w:pPr>
    <w:rPr>
      <w:rFonts w:ascii="Arial" w:hAnsi="Arial"/>
      <w:i w:val="0"/>
      <w:color w:val="800080"/>
      <w:sz w:val="24"/>
      <w:u w:val="none"/>
    </w:rPr>
  </w:style>
  <w:style w:type="paragraph" w:customStyle="1" w:styleId="Style6">
    <w:name w:val="Style6"/>
    <w:basedOn w:val="Style5"/>
    <w:link w:val="Style6Car"/>
    <w:uiPriority w:val="99"/>
    <w:rsid w:val="006641A5"/>
    <w:pPr>
      <w:numPr>
        <w:ilvl w:val="2"/>
      </w:numPr>
      <w:pBdr>
        <w:bottom w:val="none" w:sz="0" w:space="0" w:color="auto"/>
      </w:pBdr>
      <w:outlineLvl w:val="2"/>
    </w:pPr>
    <w:rPr>
      <w:rFonts w:ascii="Arial Gras" w:hAnsi="Arial Gras"/>
      <w:smallCaps/>
      <w:color w:val="808080"/>
      <w:sz w:val="22"/>
    </w:rPr>
  </w:style>
  <w:style w:type="paragraph" w:customStyle="1" w:styleId="Style7">
    <w:name w:val="Style7"/>
    <w:basedOn w:val="Style6"/>
    <w:link w:val="Style7Car"/>
    <w:rsid w:val="006641A5"/>
    <w:pPr>
      <w:numPr>
        <w:ilvl w:val="3"/>
      </w:numPr>
    </w:pPr>
    <w:rPr>
      <w:rFonts w:ascii="Calibri" w:hAnsi="Calibri"/>
      <w:color w:val="E36C0A"/>
      <w:lang w:val="fr-FR" w:bidi="ar-QA"/>
    </w:rPr>
  </w:style>
  <w:style w:type="character" w:customStyle="1" w:styleId="Style7Car">
    <w:name w:val="Style7 Car"/>
    <w:link w:val="Style7"/>
    <w:rsid w:val="006641A5"/>
    <w:rPr>
      <w:rFonts w:ascii="Calibri" w:eastAsia="Times New Roman" w:hAnsi="Calibri" w:cs="Times New Roman"/>
      <w:b/>
      <w:bCs/>
      <w:iCs/>
      <w:caps/>
      <w:smallCaps/>
      <w:color w:val="E36C0A"/>
      <w:kern w:val="32"/>
      <w:szCs w:val="52"/>
      <w:lang w:val="fr-FR" w:eastAsia="x-none" w:bidi="ar-QA"/>
    </w:rPr>
  </w:style>
  <w:style w:type="paragraph" w:customStyle="1" w:styleId="Style8">
    <w:name w:val="Style8"/>
    <w:basedOn w:val="Style7"/>
    <w:rsid w:val="006641A5"/>
    <w:pPr>
      <w:numPr>
        <w:ilvl w:val="4"/>
      </w:numPr>
      <w:ind w:left="3600" w:hanging="360"/>
    </w:pPr>
    <w:rPr>
      <w:smallCaps w:val="0"/>
      <w:color w:val="auto"/>
      <w:sz w:val="20"/>
      <w:szCs w:val="20"/>
    </w:rPr>
  </w:style>
  <w:style w:type="paragraph" w:styleId="Corpsdetexte2">
    <w:name w:val="Body Text 2"/>
    <w:basedOn w:val="Normal"/>
    <w:link w:val="Corpsdetexte2Car"/>
    <w:unhideWhenUsed/>
    <w:rsid w:val="001D1B02"/>
    <w:pPr>
      <w:spacing w:line="480" w:lineRule="auto"/>
    </w:pPr>
  </w:style>
  <w:style w:type="character" w:customStyle="1" w:styleId="Corpsdetexte2Car">
    <w:name w:val="Corps de texte 2 Car"/>
    <w:basedOn w:val="Policepardfaut"/>
    <w:link w:val="Corpsdetexte2"/>
    <w:rsid w:val="001D1B02"/>
    <w:rPr>
      <w:rFonts w:ascii="Calibri" w:eastAsia="Times New Roman" w:hAnsi="Calibri" w:cs="Arial"/>
      <w:lang w:val="fr-FR" w:bidi="en-US"/>
    </w:rPr>
  </w:style>
  <w:style w:type="character" w:customStyle="1" w:styleId="ng-star-inserted">
    <w:name w:val="ng-star-inserted"/>
    <w:basedOn w:val="Policepardfaut"/>
    <w:rsid w:val="002842B2"/>
  </w:style>
  <w:style w:type="table" w:styleId="TableauGrille1Clair-Accentuation1">
    <w:name w:val="Grid Table 1 Light Accent 1"/>
    <w:basedOn w:val="TableauNormal"/>
    <w:uiPriority w:val="46"/>
    <w:rsid w:val="002842B2"/>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styleId="TableauGrille6Couleur-Accentuation1">
    <w:name w:val="Grid Table 6 Colorful Accent 1"/>
    <w:basedOn w:val="TableauNormal"/>
    <w:uiPriority w:val="51"/>
    <w:rsid w:val="00357C42"/>
    <w:pPr>
      <w:spacing w:after="0" w:line="240" w:lineRule="auto"/>
    </w:pPr>
    <w:rPr>
      <w:color w:val="2F5496" w:themeColor="accent1" w:themeShade="BF"/>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paragraph" w:customStyle="1" w:styleId="Tirets">
    <w:name w:val="Tirets"/>
    <w:basedOn w:val="Normal"/>
    <w:link w:val="TiretsCar"/>
    <w:qFormat/>
    <w:rsid w:val="00616ADE"/>
    <w:pPr>
      <w:numPr>
        <w:numId w:val="16"/>
      </w:numPr>
      <w:spacing w:before="0" w:after="0"/>
    </w:pPr>
  </w:style>
  <w:style w:type="character" w:customStyle="1" w:styleId="Style6Car">
    <w:name w:val="Style6 Car"/>
    <w:link w:val="Style6"/>
    <w:uiPriority w:val="99"/>
    <w:rsid w:val="00FF51FC"/>
    <w:rPr>
      <w:rFonts w:ascii="Arial Gras" w:eastAsia="Times New Roman" w:hAnsi="Arial Gras" w:cs="Times New Roman"/>
      <w:b/>
      <w:bCs/>
      <w:iCs/>
      <w:caps/>
      <w:smallCaps/>
      <w:color w:val="808080"/>
      <w:kern w:val="32"/>
      <w:szCs w:val="52"/>
      <w:lang w:val="x-none" w:eastAsia="x-none"/>
    </w:rPr>
  </w:style>
  <w:style w:type="character" w:customStyle="1" w:styleId="TiretsCar">
    <w:name w:val="Tirets Car"/>
    <w:basedOn w:val="Policepardfaut"/>
    <w:link w:val="Tirets"/>
    <w:rsid w:val="00616ADE"/>
    <w:rPr>
      <w:rFonts w:ascii="Calibri" w:eastAsia="Times New Roman" w:hAnsi="Calibri" w:cs="Arial"/>
      <w:lang w:val="fr-FR" w:bidi="en-US"/>
    </w:rPr>
  </w:style>
  <w:style w:type="paragraph" w:styleId="NormalWeb">
    <w:name w:val="Normal (Web)"/>
    <w:basedOn w:val="Normal"/>
    <w:uiPriority w:val="99"/>
    <w:unhideWhenUsed/>
    <w:rsid w:val="00FF327C"/>
    <w:pPr>
      <w:spacing w:line="240" w:lineRule="auto"/>
      <w:jc w:val="left"/>
    </w:pPr>
    <w:rPr>
      <w:rFonts w:ascii="Times New Roman" w:hAnsi="Times New Roman" w:cs="Times New Roman"/>
      <w:sz w:val="24"/>
      <w:szCs w:val="24"/>
      <w:lang w:val="fr-MA" w:eastAsia="fr-MA" w:bidi="ar-SA"/>
    </w:rPr>
  </w:style>
  <w:style w:type="character" w:styleId="Accentuation">
    <w:name w:val="Emphasis"/>
    <w:aliases w:val="Italics"/>
    <w:basedOn w:val="Policepardfaut"/>
    <w:uiPriority w:val="20"/>
    <w:qFormat/>
    <w:rsid w:val="00F86F94"/>
    <w:rPr>
      <w:i/>
      <w:iCs/>
    </w:rPr>
  </w:style>
  <w:style w:type="paragraph" w:customStyle="1" w:styleId="Listadevietas">
    <w:name w:val="Lista de viñetas"/>
    <w:basedOn w:val="Normal"/>
    <w:qFormat/>
    <w:rsid w:val="005C76A2"/>
    <w:pPr>
      <w:numPr>
        <w:numId w:val="17"/>
      </w:numPr>
      <w:spacing w:line="360" w:lineRule="auto"/>
    </w:pPr>
    <w:rPr>
      <w:rFonts w:cs="Times New Roman"/>
      <w:snapToGrid w:val="0"/>
      <w:szCs w:val="24"/>
      <w:lang w:eastAsia="ko-KR" w:bidi="ar-SA"/>
    </w:rPr>
  </w:style>
  <w:style w:type="character" w:customStyle="1" w:styleId="Mentionnonrsolue1">
    <w:name w:val="Mention non résolue1"/>
    <w:basedOn w:val="Policepardfaut"/>
    <w:uiPriority w:val="99"/>
    <w:semiHidden/>
    <w:unhideWhenUsed/>
    <w:rsid w:val="00255C9D"/>
    <w:rPr>
      <w:color w:val="605E5C"/>
      <w:shd w:val="clear" w:color="auto" w:fill="E1DFDD"/>
    </w:rPr>
  </w:style>
  <w:style w:type="table" w:styleId="TableauGrille1Clair-Accentuation5">
    <w:name w:val="Grid Table 1 Light Accent 5"/>
    <w:basedOn w:val="TableauNormal"/>
    <w:uiPriority w:val="46"/>
    <w:rsid w:val="00255C9D"/>
    <w:pPr>
      <w:spacing w:after="0" w:line="240" w:lineRule="auto"/>
    </w:pPr>
    <w:tblPr>
      <w:tblStyleRowBandSize w:val="1"/>
      <w:tblStyleColBandSize w:val="1"/>
      <w:tbl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insideH w:val="single" w:sz="4" w:space="0" w:color="BDD6EE" w:themeColor="accent5" w:themeTint="66"/>
        <w:insideV w:val="single" w:sz="4" w:space="0" w:color="BDD6EE" w:themeColor="accent5" w:themeTint="66"/>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2" w:space="0" w:color="9CC2E5" w:themeColor="accent5" w:themeTint="99"/>
        </w:tcBorders>
      </w:tcPr>
    </w:tblStylePr>
    <w:tblStylePr w:type="firstCol">
      <w:rPr>
        <w:b/>
        <w:bCs/>
      </w:rPr>
    </w:tblStylePr>
    <w:tblStylePr w:type="lastCol">
      <w:rPr>
        <w:b/>
        <w:bCs/>
      </w:rPr>
    </w:tblStylePr>
  </w:style>
  <w:style w:type="table" w:customStyle="1" w:styleId="ERMTablestyle">
    <w:name w:val="ERM Table style"/>
    <w:basedOn w:val="TableauNormal"/>
    <w:uiPriority w:val="99"/>
    <w:rsid w:val="00255C9D"/>
    <w:pPr>
      <w:spacing w:after="0" w:line="240" w:lineRule="auto"/>
    </w:pPr>
    <w:rPr>
      <w:rFonts w:ascii="Arial" w:eastAsia="SimSun" w:hAnsi="Arial" w:cs="Times New Roman"/>
      <w:sz w:val="18"/>
      <w:szCs w:val="18"/>
      <w:lang w:val="en-GB" w:eastAsia="zh-CN"/>
    </w:rPr>
    <w:tblPr>
      <w:tblBorders>
        <w:top w:val="single" w:sz="2" w:space="0" w:color="666F74"/>
        <w:bottom w:val="single" w:sz="2" w:space="0" w:color="666F74"/>
        <w:insideH w:val="single" w:sz="2" w:space="0" w:color="666F74"/>
        <w:insideV w:val="single" w:sz="2" w:space="0" w:color="666F74"/>
      </w:tblBorders>
      <w:tblCellMar>
        <w:top w:w="28" w:type="dxa"/>
        <w:left w:w="113" w:type="dxa"/>
        <w:bottom w:w="57" w:type="dxa"/>
        <w:right w:w="113" w:type="dxa"/>
      </w:tblCellMar>
    </w:tblPr>
    <w:tblStylePr w:type="firstRow">
      <w:rPr>
        <w:b w:val="0"/>
        <w:color w:val="007A5F"/>
      </w:rPr>
      <w:tblPr/>
      <w:tcPr>
        <w:tcBorders>
          <w:top w:val="single" w:sz="8" w:space="0" w:color="007A5F"/>
          <w:bottom w:val="single" w:sz="8" w:space="0" w:color="007A5F"/>
        </w:tcBorders>
      </w:tcPr>
    </w:tblStylePr>
  </w:style>
  <w:style w:type="table" w:customStyle="1" w:styleId="ERMTablestyle1">
    <w:name w:val="ERM Table style1"/>
    <w:basedOn w:val="TableauNormal"/>
    <w:uiPriority w:val="99"/>
    <w:rsid w:val="00255C9D"/>
    <w:pPr>
      <w:spacing w:after="0" w:line="240" w:lineRule="auto"/>
    </w:pPr>
    <w:rPr>
      <w:rFonts w:ascii="Arial" w:eastAsia="SimSun" w:hAnsi="Arial" w:cs="Times New Roman"/>
      <w:sz w:val="18"/>
      <w:szCs w:val="18"/>
      <w:lang w:val="en-GB" w:eastAsia="zh-CN"/>
    </w:rPr>
    <w:tblPr>
      <w:tblBorders>
        <w:top w:val="single" w:sz="2" w:space="0" w:color="666F74"/>
        <w:bottom w:val="single" w:sz="2" w:space="0" w:color="666F74"/>
        <w:insideH w:val="single" w:sz="2" w:space="0" w:color="666F74"/>
        <w:insideV w:val="single" w:sz="2" w:space="0" w:color="666F74"/>
      </w:tblBorders>
      <w:tblCellMar>
        <w:top w:w="28" w:type="dxa"/>
        <w:left w:w="113" w:type="dxa"/>
        <w:bottom w:w="57" w:type="dxa"/>
        <w:right w:w="113" w:type="dxa"/>
      </w:tblCellMar>
    </w:tblPr>
    <w:tblStylePr w:type="firstRow">
      <w:rPr>
        <w:b w:val="0"/>
        <w:color w:val="007A5F"/>
      </w:rPr>
      <w:tblPr/>
      <w:tcPr>
        <w:tcBorders>
          <w:top w:val="single" w:sz="8" w:space="0" w:color="007A5F"/>
          <w:bottom w:val="single" w:sz="8" w:space="0" w:color="007A5F"/>
        </w:tcBorders>
      </w:tcPr>
    </w:tblStylePr>
  </w:style>
  <w:style w:type="paragraph" w:customStyle="1" w:styleId="Tableheadingcentered">
    <w:name w:val="Table heading centered"/>
    <w:basedOn w:val="Normal"/>
    <w:qFormat/>
    <w:rsid w:val="00255C9D"/>
    <w:pPr>
      <w:overflowPunct w:val="0"/>
      <w:autoSpaceDE w:val="0"/>
      <w:autoSpaceDN w:val="0"/>
      <w:adjustRightInd w:val="0"/>
      <w:spacing w:before="0" w:after="0" w:line="260" w:lineRule="atLeast"/>
      <w:jc w:val="center"/>
      <w:textAlignment w:val="baseline"/>
    </w:pPr>
    <w:rPr>
      <w:rFonts w:asciiTheme="minorHAnsi" w:eastAsiaTheme="minorEastAsia" w:hAnsiTheme="minorHAnsi"/>
      <w:b/>
      <w:sz w:val="20"/>
      <w:szCs w:val="20"/>
      <w:lang w:eastAsia="fr-FR" w:bidi="ar-SA"/>
    </w:rPr>
  </w:style>
  <w:style w:type="paragraph" w:customStyle="1" w:styleId="Tableheadingleft">
    <w:name w:val="Table heading left"/>
    <w:basedOn w:val="Tableheadingcentered"/>
    <w:qFormat/>
    <w:rsid w:val="00255C9D"/>
    <w:pPr>
      <w:jc w:val="left"/>
    </w:pPr>
  </w:style>
  <w:style w:type="paragraph" w:customStyle="1" w:styleId="Tabletextcentered">
    <w:name w:val="Table text centered"/>
    <w:basedOn w:val="Normal"/>
    <w:qFormat/>
    <w:rsid w:val="00255C9D"/>
    <w:pPr>
      <w:spacing w:before="0" w:after="0" w:line="260" w:lineRule="atLeast"/>
      <w:jc w:val="center"/>
    </w:pPr>
    <w:rPr>
      <w:rFonts w:asciiTheme="minorHAnsi" w:eastAsiaTheme="minorEastAsia" w:hAnsiTheme="minorHAnsi"/>
      <w:sz w:val="20"/>
      <w:szCs w:val="20"/>
      <w:lang w:eastAsia="fr-FR" w:bidi="ar-SA"/>
    </w:rPr>
  </w:style>
  <w:style w:type="paragraph" w:customStyle="1" w:styleId="Tabletextleft">
    <w:name w:val="Table text left"/>
    <w:basedOn w:val="Tabletextcentered"/>
    <w:link w:val="TabletextleftChar"/>
    <w:qFormat/>
    <w:rsid w:val="00255C9D"/>
    <w:pPr>
      <w:jc w:val="left"/>
    </w:pPr>
  </w:style>
  <w:style w:type="character" w:customStyle="1" w:styleId="TabletextleftChar">
    <w:name w:val="Table text left Char"/>
    <w:basedOn w:val="Policepardfaut"/>
    <w:link w:val="Tabletextleft"/>
    <w:rsid w:val="00255C9D"/>
    <w:rPr>
      <w:rFonts w:cs="Arial"/>
      <w:sz w:val="20"/>
      <w:szCs w:val="20"/>
      <w:lang w:val="fr-FR" w:eastAsia="fr-FR"/>
    </w:rPr>
  </w:style>
  <w:style w:type="table" w:customStyle="1" w:styleId="TableNormal1">
    <w:name w:val="Table Normal1"/>
    <w:uiPriority w:val="2"/>
    <w:semiHidden/>
    <w:unhideWhenUsed/>
    <w:qFormat/>
    <w:rsid w:val="00255C9D"/>
    <w:pPr>
      <w:widowControl w:val="0"/>
      <w:autoSpaceDE w:val="0"/>
      <w:autoSpaceDN w:val="0"/>
      <w:spacing w:after="0" w:line="240" w:lineRule="auto"/>
    </w:pPr>
    <w:rPr>
      <w:rFonts w:eastAsiaTheme="minorHAnsi"/>
      <w:lang w:val="en-US"/>
    </w:rPr>
    <w:tblPr>
      <w:tblInd w:w="0" w:type="dxa"/>
      <w:tblCellMar>
        <w:top w:w="0" w:type="dxa"/>
        <w:left w:w="0" w:type="dxa"/>
        <w:bottom w:w="0" w:type="dxa"/>
        <w:right w:w="0" w:type="dxa"/>
      </w:tblCellMar>
    </w:tblPr>
  </w:style>
  <w:style w:type="character" w:customStyle="1" w:styleId="ng-star-inserted1">
    <w:name w:val="ng-star-inserted1"/>
    <w:basedOn w:val="Policepardfaut"/>
    <w:rsid w:val="00255C9D"/>
  </w:style>
  <w:style w:type="table" w:styleId="TableauListe6Couleur-Accentuation1">
    <w:name w:val="List Table 6 Colorful Accent 1"/>
    <w:basedOn w:val="TableauNormal"/>
    <w:uiPriority w:val="51"/>
    <w:rsid w:val="00255C9D"/>
    <w:pPr>
      <w:spacing w:after="0" w:line="240" w:lineRule="auto"/>
    </w:pPr>
    <w:rPr>
      <w:color w:val="2F5496" w:themeColor="accent1" w:themeShade="BF"/>
    </w:rPr>
    <w:tblPr>
      <w:tblStyleRowBandSize w:val="1"/>
      <w:tblStyleColBandSize w:val="1"/>
      <w:tblBorders>
        <w:top w:val="single" w:sz="4" w:space="0" w:color="4472C4" w:themeColor="accent1"/>
        <w:bottom w:val="single" w:sz="4" w:space="0" w:color="4472C4" w:themeColor="accent1"/>
      </w:tblBorders>
    </w:tblPr>
    <w:tblStylePr w:type="firstRow">
      <w:rPr>
        <w:b/>
        <w:bCs/>
      </w:rPr>
      <w:tblPr/>
      <w:tcPr>
        <w:tcBorders>
          <w:bottom w:val="single" w:sz="4" w:space="0" w:color="4472C4" w:themeColor="accent1"/>
        </w:tcBorders>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TableauListe7Couleur-Accentuation5">
    <w:name w:val="List Table 7 Colorful Accent 5"/>
    <w:basedOn w:val="TableauNormal"/>
    <w:uiPriority w:val="52"/>
    <w:rsid w:val="00255C9D"/>
    <w:pPr>
      <w:spacing w:after="0" w:line="240" w:lineRule="auto"/>
    </w:pPr>
    <w:rPr>
      <w:color w:val="2E74B5"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B9BD5"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B9BD5"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B9BD5"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B9BD5" w:themeColor="accent5"/>
        </w:tcBorders>
        <w:shd w:val="clear" w:color="auto" w:fill="FFFFFF" w:themeFill="background1"/>
      </w:tcPr>
    </w:tblStylePr>
    <w:tblStylePr w:type="band1Vert">
      <w:tblPr/>
      <w:tcPr>
        <w:shd w:val="clear" w:color="auto" w:fill="DEEAF6" w:themeFill="accent5" w:themeFillTint="33"/>
      </w:tcPr>
    </w:tblStylePr>
    <w:tblStylePr w:type="band1Horz">
      <w:tblPr/>
      <w:tcPr>
        <w:shd w:val="clear" w:color="auto" w:fill="DEEAF6"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auGrille2-Accentuation1">
    <w:name w:val="Grid Table 2 Accent 1"/>
    <w:basedOn w:val="TableauNormal"/>
    <w:uiPriority w:val="47"/>
    <w:rsid w:val="00255C9D"/>
    <w:pPr>
      <w:spacing w:after="0" w:line="240" w:lineRule="auto"/>
    </w:pPr>
    <w:tblPr>
      <w:tblStyleRowBandSize w:val="1"/>
      <w:tblStyleColBandSize w:val="1"/>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TableauGrille2-Accentuation5">
    <w:name w:val="Grid Table 2 Accent 5"/>
    <w:basedOn w:val="TableauNormal"/>
    <w:uiPriority w:val="47"/>
    <w:rsid w:val="00255C9D"/>
    <w:pPr>
      <w:spacing w:after="0" w:line="240" w:lineRule="auto"/>
    </w:pPr>
    <w:tblPr>
      <w:tblStyleRowBandSize w:val="1"/>
      <w:tblStyleColBandSize w:val="1"/>
      <w:tblBorders>
        <w:top w:val="single" w:sz="2" w:space="0" w:color="9CC2E5" w:themeColor="accent5" w:themeTint="99"/>
        <w:bottom w:val="single" w:sz="2" w:space="0" w:color="9CC2E5" w:themeColor="accent5" w:themeTint="99"/>
        <w:insideH w:val="single" w:sz="2" w:space="0" w:color="9CC2E5" w:themeColor="accent5" w:themeTint="99"/>
        <w:insideV w:val="single" w:sz="2" w:space="0" w:color="9CC2E5" w:themeColor="accent5" w:themeTint="99"/>
      </w:tblBorders>
    </w:tblPr>
    <w:tblStylePr w:type="firstRow">
      <w:rPr>
        <w:b/>
        <w:bCs/>
      </w:rPr>
      <w:tblPr/>
      <w:tcPr>
        <w:tcBorders>
          <w:top w:val="nil"/>
          <w:bottom w:val="single" w:sz="12" w:space="0" w:color="9CC2E5" w:themeColor="accent5" w:themeTint="99"/>
          <w:insideH w:val="nil"/>
          <w:insideV w:val="nil"/>
        </w:tcBorders>
        <w:shd w:val="clear" w:color="auto" w:fill="FFFFFF" w:themeFill="background1"/>
      </w:tcPr>
    </w:tblStylePr>
    <w:tblStylePr w:type="lastRow">
      <w:rPr>
        <w:b/>
        <w:bCs/>
      </w:rPr>
      <w:tblPr/>
      <w:tcPr>
        <w:tcBorders>
          <w:top w:val="double" w:sz="2" w:space="0" w:color="9CC2E5"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TableauListe2-Accentuation1">
    <w:name w:val="List Table 2 Accent 1"/>
    <w:basedOn w:val="TableauNormal"/>
    <w:uiPriority w:val="47"/>
    <w:rsid w:val="00255C9D"/>
    <w:pPr>
      <w:spacing w:after="0" w:line="240" w:lineRule="auto"/>
    </w:pPr>
    <w:tblPr>
      <w:tblStyleRowBandSize w:val="1"/>
      <w:tblStyleColBandSize w:val="1"/>
      <w:tblBorders>
        <w:top w:val="single" w:sz="4" w:space="0" w:color="8EAADB" w:themeColor="accent1" w:themeTint="99"/>
        <w:bottom w:val="single" w:sz="4" w:space="0" w:color="8EAADB" w:themeColor="accent1" w:themeTint="99"/>
        <w:insideH w:val="single" w:sz="4" w:space="0" w:color="8EAADB"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paragraph" w:customStyle="1" w:styleId="Style2">
    <w:name w:val="Style2"/>
    <w:basedOn w:val="AltTitle2"/>
    <w:link w:val="Style2Car"/>
    <w:qFormat/>
    <w:rsid w:val="00255C9D"/>
    <w:pPr>
      <w:numPr>
        <w:numId w:val="20"/>
      </w:numPr>
    </w:pPr>
    <w:rPr>
      <w:b w:val="0"/>
    </w:rPr>
  </w:style>
  <w:style w:type="paragraph" w:customStyle="1" w:styleId="Style4">
    <w:name w:val="Style4"/>
    <w:basedOn w:val="Style2"/>
    <w:link w:val="Style4Car"/>
    <w:qFormat/>
    <w:rsid w:val="00D947C1"/>
    <w:pPr>
      <w:numPr>
        <w:numId w:val="19"/>
      </w:numPr>
    </w:pPr>
    <w:rPr>
      <w:u w:val="none"/>
    </w:rPr>
  </w:style>
  <w:style w:type="character" w:customStyle="1" w:styleId="Style2Car">
    <w:name w:val="Style2 Car"/>
    <w:basedOn w:val="AltTitle2Car"/>
    <w:link w:val="Style2"/>
    <w:rsid w:val="00255C9D"/>
    <w:rPr>
      <w:rFonts w:ascii="Century Gothic" w:eastAsia="Times New Roman" w:hAnsi="Century Gothic" w:cs="Arial"/>
      <w:b w:val="0"/>
      <w:color w:val="4472C4" w:themeColor="accent1"/>
      <w:sz w:val="20"/>
      <w:u w:val="single"/>
      <w:lang w:val="fr-FR" w:bidi="en-US"/>
    </w:rPr>
  </w:style>
  <w:style w:type="character" w:customStyle="1" w:styleId="Style4Car">
    <w:name w:val="Style4 Car"/>
    <w:basedOn w:val="Style2Car"/>
    <w:link w:val="Style4"/>
    <w:rsid w:val="00D947C1"/>
    <w:rPr>
      <w:rFonts w:ascii="Century Gothic" w:eastAsia="Times New Roman" w:hAnsi="Century Gothic" w:cs="Arial"/>
      <w:b w:val="0"/>
      <w:color w:val="4472C4" w:themeColor="accent1"/>
      <w:sz w:val="20"/>
      <w:u w:val="single"/>
      <w:lang w:val="fr-FR" w:bidi="en-US"/>
    </w:rPr>
  </w:style>
  <w:style w:type="table" w:customStyle="1" w:styleId="TableNormal10">
    <w:name w:val="Table Normal1"/>
    <w:uiPriority w:val="2"/>
    <w:semiHidden/>
    <w:qFormat/>
    <w:rsid w:val="007142FC"/>
    <w:pPr>
      <w:widowControl w:val="0"/>
      <w:autoSpaceDE w:val="0"/>
      <w:autoSpaceDN w:val="0"/>
      <w:spacing w:after="0" w:line="240" w:lineRule="auto"/>
    </w:pPr>
    <w:rPr>
      <w:rFonts w:ascii="Calibri" w:eastAsia="Calibri" w:hAnsi="Calibri" w:cs="Arial"/>
      <w:lang w:val="en-US"/>
    </w:rPr>
    <w:tblPr>
      <w:tblCellMar>
        <w:top w:w="0" w:type="dxa"/>
        <w:left w:w="0" w:type="dxa"/>
        <w:bottom w:w="0" w:type="dxa"/>
        <w:right w:w="0" w:type="dxa"/>
      </w:tblCellMar>
    </w:tblPr>
  </w:style>
  <w:style w:type="paragraph" w:styleId="TM1">
    <w:name w:val="toc 1"/>
    <w:basedOn w:val="Normal"/>
    <w:next w:val="Normal"/>
    <w:autoRedefine/>
    <w:uiPriority w:val="39"/>
    <w:unhideWhenUsed/>
    <w:rsid w:val="00EB7E91"/>
    <w:pPr>
      <w:spacing w:after="100"/>
    </w:pPr>
  </w:style>
  <w:style w:type="paragraph" w:styleId="TM2">
    <w:name w:val="toc 2"/>
    <w:basedOn w:val="Normal"/>
    <w:next w:val="Normal"/>
    <w:autoRedefine/>
    <w:uiPriority w:val="39"/>
    <w:unhideWhenUsed/>
    <w:rsid w:val="006C75D9"/>
    <w:pPr>
      <w:tabs>
        <w:tab w:val="left" w:pos="851"/>
        <w:tab w:val="left" w:pos="1100"/>
        <w:tab w:val="right" w:leader="dot" w:pos="9062"/>
      </w:tabs>
      <w:spacing w:after="100"/>
      <w:ind w:left="220"/>
    </w:pPr>
  </w:style>
  <w:style w:type="paragraph" w:styleId="TM3">
    <w:name w:val="toc 3"/>
    <w:basedOn w:val="Normal"/>
    <w:next w:val="Normal"/>
    <w:autoRedefine/>
    <w:uiPriority w:val="39"/>
    <w:unhideWhenUsed/>
    <w:rsid w:val="006E4B9A"/>
    <w:pPr>
      <w:tabs>
        <w:tab w:val="left" w:pos="1320"/>
        <w:tab w:val="right" w:leader="dot" w:pos="9062"/>
      </w:tabs>
      <w:spacing w:after="100"/>
      <w:ind w:left="440"/>
    </w:pPr>
  </w:style>
  <w:style w:type="paragraph" w:styleId="TM4">
    <w:name w:val="toc 4"/>
    <w:basedOn w:val="Normal"/>
    <w:next w:val="Normal"/>
    <w:autoRedefine/>
    <w:uiPriority w:val="39"/>
    <w:unhideWhenUsed/>
    <w:rsid w:val="00EB7E91"/>
    <w:pPr>
      <w:spacing w:before="0" w:after="100" w:line="259" w:lineRule="auto"/>
      <w:ind w:left="660"/>
      <w:jc w:val="left"/>
    </w:pPr>
    <w:rPr>
      <w:rFonts w:asciiTheme="minorHAnsi" w:eastAsiaTheme="minorEastAsia" w:hAnsiTheme="minorHAnsi" w:cstheme="minorBidi"/>
      <w:lang w:val="fr-MA" w:eastAsia="fr-MA" w:bidi="ar-SA"/>
    </w:rPr>
  </w:style>
  <w:style w:type="paragraph" w:styleId="TM5">
    <w:name w:val="toc 5"/>
    <w:basedOn w:val="Normal"/>
    <w:next w:val="Normal"/>
    <w:autoRedefine/>
    <w:uiPriority w:val="39"/>
    <w:unhideWhenUsed/>
    <w:rsid w:val="00EB7E91"/>
    <w:pPr>
      <w:spacing w:before="0" w:after="100" w:line="259" w:lineRule="auto"/>
      <w:ind w:left="880"/>
      <w:jc w:val="left"/>
    </w:pPr>
    <w:rPr>
      <w:rFonts w:asciiTheme="minorHAnsi" w:eastAsiaTheme="minorEastAsia" w:hAnsiTheme="minorHAnsi" w:cstheme="minorBidi"/>
      <w:lang w:val="fr-MA" w:eastAsia="fr-MA" w:bidi="ar-SA"/>
    </w:rPr>
  </w:style>
  <w:style w:type="paragraph" w:styleId="TM6">
    <w:name w:val="toc 6"/>
    <w:basedOn w:val="Normal"/>
    <w:next w:val="Normal"/>
    <w:autoRedefine/>
    <w:uiPriority w:val="39"/>
    <w:unhideWhenUsed/>
    <w:rsid w:val="00EB7E91"/>
    <w:pPr>
      <w:spacing w:before="0" w:after="100" w:line="259" w:lineRule="auto"/>
      <w:ind w:left="1100"/>
      <w:jc w:val="left"/>
    </w:pPr>
    <w:rPr>
      <w:rFonts w:asciiTheme="minorHAnsi" w:eastAsiaTheme="minorEastAsia" w:hAnsiTheme="minorHAnsi" w:cstheme="minorBidi"/>
      <w:lang w:val="fr-MA" w:eastAsia="fr-MA" w:bidi="ar-SA"/>
    </w:rPr>
  </w:style>
  <w:style w:type="paragraph" w:styleId="TM7">
    <w:name w:val="toc 7"/>
    <w:basedOn w:val="Normal"/>
    <w:next w:val="Normal"/>
    <w:autoRedefine/>
    <w:uiPriority w:val="39"/>
    <w:unhideWhenUsed/>
    <w:rsid w:val="00EB7E91"/>
    <w:pPr>
      <w:spacing w:before="0" w:after="100" w:line="259" w:lineRule="auto"/>
      <w:ind w:left="1320"/>
      <w:jc w:val="left"/>
    </w:pPr>
    <w:rPr>
      <w:rFonts w:asciiTheme="minorHAnsi" w:eastAsiaTheme="minorEastAsia" w:hAnsiTheme="minorHAnsi" w:cstheme="minorBidi"/>
      <w:lang w:val="fr-MA" w:eastAsia="fr-MA" w:bidi="ar-SA"/>
    </w:rPr>
  </w:style>
  <w:style w:type="paragraph" w:styleId="TM8">
    <w:name w:val="toc 8"/>
    <w:basedOn w:val="Normal"/>
    <w:next w:val="Normal"/>
    <w:autoRedefine/>
    <w:uiPriority w:val="39"/>
    <w:unhideWhenUsed/>
    <w:rsid w:val="00EB7E91"/>
    <w:pPr>
      <w:spacing w:before="0" w:after="100" w:line="259" w:lineRule="auto"/>
      <w:ind w:left="1540"/>
      <w:jc w:val="left"/>
    </w:pPr>
    <w:rPr>
      <w:rFonts w:asciiTheme="minorHAnsi" w:eastAsiaTheme="minorEastAsia" w:hAnsiTheme="minorHAnsi" w:cstheme="minorBidi"/>
      <w:lang w:val="fr-MA" w:eastAsia="fr-MA" w:bidi="ar-SA"/>
    </w:rPr>
  </w:style>
  <w:style w:type="paragraph" w:styleId="TM9">
    <w:name w:val="toc 9"/>
    <w:basedOn w:val="Normal"/>
    <w:next w:val="Normal"/>
    <w:autoRedefine/>
    <w:uiPriority w:val="39"/>
    <w:unhideWhenUsed/>
    <w:rsid w:val="00EB7E91"/>
    <w:pPr>
      <w:spacing w:before="0" w:after="100" w:line="259" w:lineRule="auto"/>
      <w:ind w:left="1760"/>
      <w:jc w:val="left"/>
    </w:pPr>
    <w:rPr>
      <w:rFonts w:asciiTheme="minorHAnsi" w:eastAsiaTheme="minorEastAsia" w:hAnsiTheme="minorHAnsi" w:cstheme="minorBidi"/>
      <w:lang w:val="fr-MA" w:eastAsia="fr-MA" w:bidi="ar-SA"/>
    </w:rPr>
  </w:style>
  <w:style w:type="character" w:styleId="Marquedecommentaire">
    <w:name w:val="annotation reference"/>
    <w:basedOn w:val="Policepardfaut"/>
    <w:uiPriority w:val="99"/>
    <w:unhideWhenUsed/>
    <w:rsid w:val="006B5225"/>
    <w:rPr>
      <w:sz w:val="16"/>
      <w:szCs w:val="16"/>
    </w:rPr>
  </w:style>
  <w:style w:type="paragraph" w:styleId="Commentaire">
    <w:name w:val="annotation text"/>
    <w:basedOn w:val="Normal"/>
    <w:link w:val="CommentaireCar"/>
    <w:uiPriority w:val="99"/>
    <w:unhideWhenUsed/>
    <w:rsid w:val="006B5225"/>
    <w:pPr>
      <w:spacing w:line="240" w:lineRule="auto"/>
    </w:pPr>
    <w:rPr>
      <w:sz w:val="20"/>
      <w:szCs w:val="20"/>
    </w:rPr>
  </w:style>
  <w:style w:type="character" w:customStyle="1" w:styleId="CommentaireCar">
    <w:name w:val="Commentaire Car"/>
    <w:basedOn w:val="Policepardfaut"/>
    <w:link w:val="Commentaire"/>
    <w:uiPriority w:val="99"/>
    <w:rsid w:val="006B5225"/>
    <w:rPr>
      <w:rFonts w:ascii="Calibri" w:eastAsia="Times New Roman" w:hAnsi="Calibri" w:cs="Arial"/>
      <w:sz w:val="20"/>
      <w:szCs w:val="20"/>
      <w:lang w:val="fr-FR" w:bidi="en-US"/>
    </w:rPr>
  </w:style>
  <w:style w:type="paragraph" w:styleId="Objetducommentaire">
    <w:name w:val="annotation subject"/>
    <w:basedOn w:val="Commentaire"/>
    <w:next w:val="Commentaire"/>
    <w:link w:val="ObjetducommentaireCar"/>
    <w:uiPriority w:val="99"/>
    <w:semiHidden/>
    <w:unhideWhenUsed/>
    <w:rsid w:val="006B5225"/>
    <w:rPr>
      <w:b/>
      <w:bCs/>
    </w:rPr>
  </w:style>
  <w:style w:type="character" w:customStyle="1" w:styleId="ObjetducommentaireCar">
    <w:name w:val="Objet du commentaire Car"/>
    <w:basedOn w:val="CommentaireCar"/>
    <w:link w:val="Objetducommentaire"/>
    <w:uiPriority w:val="99"/>
    <w:semiHidden/>
    <w:rsid w:val="006B5225"/>
    <w:rPr>
      <w:rFonts w:ascii="Calibri" w:eastAsia="Times New Roman" w:hAnsi="Calibri" w:cs="Arial"/>
      <w:b/>
      <w:bCs/>
      <w:sz w:val="20"/>
      <w:szCs w:val="20"/>
      <w:lang w:val="fr-FR" w:bidi="en-US"/>
    </w:rPr>
  </w:style>
  <w:style w:type="paragraph" w:styleId="Textedebulles">
    <w:name w:val="Balloon Text"/>
    <w:basedOn w:val="Normal"/>
    <w:link w:val="TextedebullesCar"/>
    <w:uiPriority w:val="99"/>
    <w:semiHidden/>
    <w:unhideWhenUsed/>
    <w:rsid w:val="006B5225"/>
    <w:pPr>
      <w:spacing w:before="0"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6B5225"/>
    <w:rPr>
      <w:rFonts w:ascii="Segoe UI" w:eastAsia="Times New Roman" w:hAnsi="Segoe UI" w:cs="Segoe UI"/>
      <w:sz w:val="18"/>
      <w:szCs w:val="18"/>
      <w:lang w:val="fr-FR" w:bidi="en-US"/>
    </w:rPr>
  </w:style>
  <w:style w:type="paragraph" w:styleId="Rvision">
    <w:name w:val="Revision"/>
    <w:hidden/>
    <w:uiPriority w:val="99"/>
    <w:semiHidden/>
    <w:rsid w:val="00244E64"/>
    <w:pPr>
      <w:spacing w:after="0" w:line="240" w:lineRule="auto"/>
    </w:pPr>
    <w:rPr>
      <w:rFonts w:ascii="Calibri" w:eastAsia="Times New Roman" w:hAnsi="Calibri" w:cs="Arial"/>
      <w:lang w:val="fr-FR" w:bidi="en-US"/>
    </w:rPr>
  </w:style>
  <w:style w:type="character" w:customStyle="1" w:styleId="Mentionnonrsolue2">
    <w:name w:val="Mention non résolue2"/>
    <w:basedOn w:val="Policepardfaut"/>
    <w:uiPriority w:val="99"/>
    <w:semiHidden/>
    <w:unhideWhenUsed/>
    <w:rsid w:val="00F1592A"/>
    <w:rPr>
      <w:color w:val="605E5C"/>
      <w:shd w:val="clear" w:color="auto" w:fill="E1DFDD"/>
    </w:rPr>
  </w:style>
  <w:style w:type="table" w:customStyle="1" w:styleId="Tablelongdocument1">
    <w:name w:val="Table long document1"/>
    <w:basedOn w:val="TableauNormal"/>
    <w:next w:val="Grilledutableau"/>
    <w:uiPriority w:val="39"/>
    <w:rsid w:val="00D30D12"/>
    <w:rPr>
      <w:rFonts w:ascii="Calibri" w:hAnsi="Calibri" w:cs="Arial"/>
      <w:sz w:val="20"/>
      <w:szCs w:val="20"/>
      <w:lang w:val="fr-FR"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ftableau">
    <w:name w:val="ref tableau"/>
    <w:basedOn w:val="Lgende"/>
    <w:link w:val="reftableauCar"/>
    <w:qFormat/>
    <w:rsid w:val="00E85B93"/>
    <w:pPr>
      <w:keepNext/>
    </w:pPr>
  </w:style>
  <w:style w:type="paragraph" w:customStyle="1" w:styleId="Style9">
    <w:name w:val="Style9"/>
    <w:basedOn w:val="Paragraphedeliste"/>
    <w:link w:val="Style9Car"/>
    <w:qFormat/>
    <w:rsid w:val="00D37BAD"/>
    <w:pPr>
      <w:numPr>
        <w:numId w:val="23"/>
      </w:numPr>
      <w:spacing w:before="0" w:after="0" w:line="240" w:lineRule="auto"/>
    </w:pPr>
    <w:rPr>
      <w:rFonts w:eastAsia="Calibri"/>
      <w:lang w:val="fr-MA" w:bidi="ar-SA"/>
    </w:rPr>
  </w:style>
  <w:style w:type="character" w:customStyle="1" w:styleId="reftableauCar">
    <w:name w:val="ref tableau Car"/>
    <w:basedOn w:val="LgendeCar"/>
    <w:link w:val="reftableau"/>
    <w:rsid w:val="00E85B93"/>
    <w:rPr>
      <w:rFonts w:ascii="Calibri" w:eastAsiaTheme="minorEastAsia" w:hAnsi="Calibri" w:cs="Times New Roman"/>
      <w:b/>
      <w:bCs/>
      <w:sz w:val="20"/>
      <w:szCs w:val="20"/>
      <w:lang w:val="zh-CN" w:eastAsia="fr-FR"/>
    </w:rPr>
  </w:style>
  <w:style w:type="character" w:customStyle="1" w:styleId="ParagraphedelisteCar1">
    <w:name w:val="Paragraphe de liste Car1"/>
    <w:aliases w:val="Colorful List - Accent 11 Car1,Indent Paragraph Car,Lettre d'introduction Car,Heading 2_sj Car,Dot pt Car,List Paragraph Char Char Char Car,Indicator Text Car,Numbered Para 1 Car,List Paragraph12 Car,Bullet Points Car"/>
    <w:uiPriority w:val="34"/>
    <w:locked/>
    <w:rsid w:val="00176B1F"/>
    <w:rPr>
      <w:rFonts w:ascii="Tahoma" w:hAnsi="Tahoma"/>
      <w:szCs w:val="24"/>
      <w:lang w:val="en-GB" w:eastAsia="en-GB"/>
    </w:rPr>
  </w:style>
  <w:style w:type="character" w:customStyle="1" w:styleId="Style9Car">
    <w:name w:val="Style9 Car"/>
    <w:basedOn w:val="ParagraphedelisteCar"/>
    <w:link w:val="Style9"/>
    <w:rsid w:val="00D37BAD"/>
    <w:rPr>
      <w:rFonts w:ascii="Calibri" w:eastAsia="Calibri" w:hAnsi="Calibri" w:cs="Arial"/>
      <w:lang w:val="fr-FR" w:bidi="en-US"/>
    </w:rPr>
  </w:style>
  <w:style w:type="paragraph" w:styleId="Listepuces3">
    <w:name w:val="List Bullet 3"/>
    <w:basedOn w:val="Normal"/>
    <w:qFormat/>
    <w:rsid w:val="00176B1F"/>
    <w:pPr>
      <w:numPr>
        <w:numId w:val="24"/>
      </w:numPr>
      <w:spacing w:before="100" w:beforeAutospacing="1" w:after="100" w:afterAutospacing="1"/>
      <w:contextualSpacing/>
    </w:pPr>
    <w:rPr>
      <w:szCs w:val="20"/>
      <w:lang w:eastAsia="fr-FR" w:bidi="ar-SA"/>
    </w:rPr>
  </w:style>
  <w:style w:type="paragraph" w:customStyle="1" w:styleId="numerodepage">
    <w:name w:val="numero de page"/>
    <w:rsid w:val="00176B1F"/>
    <w:pPr>
      <w:spacing w:after="0" w:line="240" w:lineRule="auto"/>
      <w:jc w:val="center"/>
    </w:pPr>
    <w:rPr>
      <w:rFonts w:ascii="Corbel" w:eastAsia="Calibri" w:hAnsi="Corbel" w:cs="Times New Roman"/>
      <w:color w:val="AB9F94"/>
      <w:szCs w:val="24"/>
      <w:lang w:val="fr-FR"/>
    </w:rPr>
  </w:style>
  <w:style w:type="paragraph" w:styleId="Notedebasdepage">
    <w:name w:val="footnote text"/>
    <w:aliases w:val="Geneva 9,Font: Geneva 9,Boston 10,f,fn,Footnote Text Char1,Footnote Text Char2 Char,Footnote Text Char1 Char Char,Footnote Text Char2 Char Char Char,Footnote Text Char1 Char Char Char Char,Footnote Text1,single space,Fußnotentextf"/>
    <w:basedOn w:val="Normal"/>
    <w:link w:val="NotedebasdepageCar"/>
    <w:uiPriority w:val="99"/>
    <w:unhideWhenUsed/>
    <w:qFormat/>
    <w:rsid w:val="0081139E"/>
    <w:pPr>
      <w:spacing w:before="0" w:after="0" w:line="240" w:lineRule="auto"/>
    </w:pPr>
    <w:rPr>
      <w:rFonts w:asciiTheme="minorHAnsi" w:eastAsiaTheme="minorEastAsia" w:hAnsiTheme="minorHAnsi" w:cstheme="minorBidi"/>
      <w:sz w:val="20"/>
      <w:szCs w:val="20"/>
      <w:lang w:val="en-GB" w:eastAsia="fr-FR" w:bidi="ar-SA"/>
    </w:rPr>
  </w:style>
  <w:style w:type="character" w:customStyle="1" w:styleId="NotedebasdepageCar">
    <w:name w:val="Note de bas de page Car"/>
    <w:aliases w:val="Geneva 9 Car,Font: Geneva 9 Car,Boston 10 Car,f Car,fn Car,Footnote Text Char1 Car,Footnote Text Char2 Char Car,Footnote Text Char1 Char Char Car,Footnote Text Char2 Char Char Char Car,Footnote Text Char1 Char Char Char Char Car"/>
    <w:basedOn w:val="Policepardfaut"/>
    <w:link w:val="Notedebasdepage"/>
    <w:uiPriority w:val="99"/>
    <w:qFormat/>
    <w:rsid w:val="0081139E"/>
    <w:rPr>
      <w:sz w:val="20"/>
      <w:szCs w:val="20"/>
      <w:lang w:val="en-GB" w:eastAsia="fr-FR"/>
    </w:rPr>
  </w:style>
  <w:style w:type="character" w:styleId="Appelnotedebasdep">
    <w:name w:val="footnote reference"/>
    <w:aliases w:val="16 Point,Superscript 6 Point,ftref,Note de bas de page Car1,E FNZ,-E Fußnotenzeichen,Footnote#,BVI fnr, BVI fnr,number,SUPERS,Footnote Reference Superscript,stylish,Superscript 6 Point + 11 pt,Footnote Reference Number,note bp"/>
    <w:basedOn w:val="Policepardfaut"/>
    <w:link w:val="Char2"/>
    <w:uiPriority w:val="99"/>
    <w:qFormat/>
    <w:rsid w:val="0081139E"/>
    <w:rPr>
      <w:rFonts w:cs="Arial"/>
      <w:szCs w:val="24"/>
      <w:vertAlign w:val="superscript"/>
      <w:lang w:eastAsia="en-AU"/>
    </w:rPr>
  </w:style>
  <w:style w:type="paragraph" w:customStyle="1" w:styleId="Char2">
    <w:name w:val="Char2"/>
    <w:basedOn w:val="Normal"/>
    <w:link w:val="Appelnotedebasdep"/>
    <w:uiPriority w:val="99"/>
    <w:rsid w:val="0081139E"/>
    <w:pPr>
      <w:spacing w:after="0" w:line="240" w:lineRule="auto"/>
      <w:jc w:val="left"/>
    </w:pPr>
    <w:rPr>
      <w:rFonts w:asciiTheme="minorHAnsi" w:eastAsiaTheme="minorEastAsia" w:hAnsiTheme="minorHAnsi"/>
      <w:szCs w:val="24"/>
      <w:vertAlign w:val="superscript"/>
      <w:lang w:val="fr-MA" w:eastAsia="en-AU" w:bidi="ar-SA"/>
    </w:rPr>
  </w:style>
  <w:style w:type="table" w:customStyle="1" w:styleId="TableauGrille1Clair-Accentuation31">
    <w:name w:val="Tableau Grille 1 Clair - Accentuation 31"/>
    <w:basedOn w:val="TableauNormal"/>
    <w:next w:val="TableauGrille1Clair-Accentuation3"/>
    <w:uiPriority w:val="46"/>
    <w:rsid w:val="00BD5E5C"/>
    <w:pPr>
      <w:spacing w:after="0" w:line="240" w:lineRule="auto"/>
    </w:pPr>
    <w:rPr>
      <w:rFonts w:ascii="Calibri" w:eastAsia="Times New Roman" w:hAnsi="Calibri" w:cs="Arial"/>
      <w:sz w:val="20"/>
      <w:szCs w:val="20"/>
      <w:lang w:val="fr-FR" w:eastAsia="fr-FR"/>
    </w:rPr>
    <w:tblPr>
      <w:tblStyleRowBandSize w:val="1"/>
      <w:tblStyleColBandSize w:val="1"/>
      <w:tblBorders>
        <w:top w:val="single" w:sz="4" w:space="0" w:color="A8CBEE"/>
        <w:left w:val="single" w:sz="4" w:space="0" w:color="A8CBEE"/>
        <w:bottom w:val="single" w:sz="4" w:space="0" w:color="A8CBEE"/>
        <w:right w:val="single" w:sz="4" w:space="0" w:color="A8CBEE"/>
        <w:insideH w:val="single" w:sz="4" w:space="0" w:color="A8CBEE"/>
        <w:insideV w:val="single" w:sz="4" w:space="0" w:color="A8CBEE"/>
      </w:tblBorders>
    </w:tblPr>
    <w:tblStylePr w:type="firstRow">
      <w:rPr>
        <w:b/>
        <w:bCs/>
      </w:rPr>
      <w:tblPr/>
      <w:tcPr>
        <w:tcBorders>
          <w:bottom w:val="single" w:sz="12" w:space="0" w:color="7EB1E6"/>
        </w:tcBorders>
      </w:tcPr>
    </w:tblStylePr>
    <w:tblStylePr w:type="lastRow">
      <w:rPr>
        <w:b/>
        <w:bCs/>
      </w:rPr>
      <w:tblPr/>
      <w:tcPr>
        <w:tcBorders>
          <w:top w:val="double" w:sz="2" w:space="0" w:color="7EB1E6"/>
        </w:tcBorders>
      </w:tcPr>
    </w:tblStylePr>
    <w:tblStylePr w:type="firstCol">
      <w:rPr>
        <w:b/>
        <w:bCs/>
      </w:rPr>
    </w:tblStylePr>
    <w:tblStylePr w:type="lastCol">
      <w:rPr>
        <w:b/>
        <w:bCs/>
      </w:rPr>
    </w:tblStylePr>
  </w:style>
  <w:style w:type="table" w:styleId="TableauGrille1Clair-Accentuation3">
    <w:name w:val="Grid Table 1 Light Accent 3"/>
    <w:basedOn w:val="TableauNormal"/>
    <w:uiPriority w:val="46"/>
    <w:rsid w:val="00BD5E5C"/>
    <w:pPr>
      <w:spacing w:after="0" w:line="240" w:lineRule="auto"/>
    </w:pPr>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table" w:customStyle="1" w:styleId="Tablelongdocument11">
    <w:name w:val="Table long document11"/>
    <w:basedOn w:val="TableauNormal"/>
    <w:next w:val="Grilledutableau"/>
    <w:rsid w:val="00D146D1"/>
    <w:pPr>
      <w:spacing w:line="240" w:lineRule="auto"/>
      <w:jc w:val="both"/>
    </w:pPr>
    <w:rPr>
      <w:rFonts w:ascii="Calibri" w:eastAsia="Calibri" w:hAnsi="Calibri" w:cs="Arial"/>
      <w:sz w:val="20"/>
      <w:szCs w:val="20"/>
      <w:lang w:val="fr-FR"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auInexia4">
    <w:name w:val="Tableau Inexia4"/>
    <w:basedOn w:val="TableauNormal"/>
    <w:next w:val="Grilledutableau"/>
    <w:uiPriority w:val="39"/>
    <w:qFormat/>
    <w:rsid w:val="00D445CC"/>
    <w:pPr>
      <w:spacing w:after="0" w:line="240" w:lineRule="auto"/>
      <w:jc w:val="both"/>
    </w:pPr>
    <w:rPr>
      <w:rFonts w:eastAsia="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NormalTable11">
    <w:name w:val="Normal Table11"/>
    <w:uiPriority w:val="2"/>
    <w:semiHidden/>
    <w:unhideWhenUsed/>
    <w:qFormat/>
    <w:rsid w:val="00BB49EE"/>
    <w:pPr>
      <w:widowControl w:val="0"/>
      <w:autoSpaceDE w:val="0"/>
      <w:autoSpaceDN w:val="0"/>
      <w:spacing w:after="0" w:line="240" w:lineRule="auto"/>
      <w:jc w:val="both"/>
    </w:pPr>
    <w:rPr>
      <w:rFonts w:eastAsia="Calibri"/>
      <w:sz w:val="20"/>
      <w:szCs w:val="20"/>
      <w:lang w:val="en-US"/>
    </w:rPr>
    <w:tblPr>
      <w:tblInd w:w="0" w:type="dxa"/>
      <w:tblCellMar>
        <w:top w:w="0" w:type="dxa"/>
        <w:left w:w="0" w:type="dxa"/>
        <w:bottom w:w="0" w:type="dxa"/>
        <w:right w:w="0" w:type="dxa"/>
      </w:tblCellMar>
    </w:tblPr>
  </w:style>
  <w:style w:type="table" w:customStyle="1" w:styleId="TableauInexia1">
    <w:name w:val="Tableau Inexia1"/>
    <w:basedOn w:val="TableauNormal"/>
    <w:next w:val="Grilledutableau"/>
    <w:uiPriority w:val="39"/>
    <w:qFormat/>
    <w:rsid w:val="00BB49EE"/>
    <w:pPr>
      <w:spacing w:after="0" w:line="240" w:lineRule="auto"/>
      <w:jc w:val="both"/>
    </w:pPr>
    <w:rPr>
      <w:rFonts w:eastAsia="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auListe3-Accentuation11">
    <w:name w:val="Tableau Liste 3 - Accentuation 11"/>
    <w:basedOn w:val="TableauNormal"/>
    <w:next w:val="TableauListe3-Accentuation1"/>
    <w:uiPriority w:val="48"/>
    <w:rsid w:val="00BB49EE"/>
    <w:pPr>
      <w:spacing w:after="0" w:line="240" w:lineRule="auto"/>
      <w:jc w:val="both"/>
    </w:pPr>
    <w:rPr>
      <w:rFonts w:eastAsia="Calibri"/>
      <w:sz w:val="20"/>
      <w:szCs w:val="20"/>
    </w:rPr>
    <w:tblPr>
      <w:tblStyleRowBandSize w:val="1"/>
      <w:tblStyleColBandSize w:val="1"/>
      <w:tblBorders>
        <w:top w:val="single" w:sz="4" w:space="0" w:color="4A66AC"/>
        <w:left w:val="single" w:sz="4" w:space="0" w:color="4A66AC"/>
        <w:bottom w:val="single" w:sz="4" w:space="0" w:color="4A66AC"/>
        <w:right w:val="single" w:sz="4" w:space="0" w:color="4A66AC"/>
      </w:tblBorders>
    </w:tblPr>
    <w:tblStylePr w:type="firstRow">
      <w:rPr>
        <w:b/>
        <w:bCs/>
        <w:color w:val="FFFFFF"/>
      </w:rPr>
      <w:tblPr/>
      <w:tcPr>
        <w:shd w:val="clear" w:color="auto" w:fill="4A66AC"/>
      </w:tcPr>
    </w:tblStylePr>
    <w:tblStylePr w:type="lastRow">
      <w:rPr>
        <w:b/>
        <w:bCs/>
      </w:rPr>
      <w:tblPr/>
      <w:tcPr>
        <w:tcBorders>
          <w:top w:val="double" w:sz="4" w:space="0" w:color="4A66AC"/>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4A66AC"/>
          <w:right w:val="single" w:sz="4" w:space="0" w:color="4A66AC"/>
        </w:tcBorders>
      </w:tcPr>
    </w:tblStylePr>
    <w:tblStylePr w:type="band1Horz">
      <w:tblPr/>
      <w:tcPr>
        <w:tcBorders>
          <w:top w:val="single" w:sz="4" w:space="0" w:color="4A66AC"/>
          <w:bottom w:val="single" w:sz="4" w:space="0" w:color="4A66AC"/>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A66AC"/>
          <w:left w:val="nil"/>
        </w:tcBorders>
      </w:tcPr>
    </w:tblStylePr>
    <w:tblStylePr w:type="swCell">
      <w:tblPr/>
      <w:tcPr>
        <w:tcBorders>
          <w:top w:val="double" w:sz="4" w:space="0" w:color="4A66AC"/>
          <w:right w:val="nil"/>
        </w:tcBorders>
      </w:tcPr>
    </w:tblStylePr>
  </w:style>
  <w:style w:type="table" w:customStyle="1" w:styleId="TableauGrille4-Accentuation11">
    <w:name w:val="Tableau Grille 4 - Accentuation 11"/>
    <w:basedOn w:val="TableauNormal"/>
    <w:next w:val="TableauGrille4-Accentuation1"/>
    <w:uiPriority w:val="49"/>
    <w:rsid w:val="00BB49EE"/>
    <w:pPr>
      <w:spacing w:after="0" w:line="240" w:lineRule="auto"/>
      <w:jc w:val="both"/>
    </w:pPr>
    <w:rPr>
      <w:rFonts w:eastAsia="Calibri"/>
      <w:sz w:val="20"/>
      <w:szCs w:val="20"/>
    </w:rPr>
    <w:tblPr>
      <w:tblStyleRowBandSize w:val="1"/>
      <w:tblStyleColBandSize w:val="1"/>
      <w:tblBorders>
        <w:top w:val="single" w:sz="4" w:space="0" w:color="90A1CF"/>
        <w:left w:val="single" w:sz="4" w:space="0" w:color="90A1CF"/>
        <w:bottom w:val="single" w:sz="4" w:space="0" w:color="90A1CF"/>
        <w:right w:val="single" w:sz="4" w:space="0" w:color="90A1CF"/>
        <w:insideH w:val="single" w:sz="4" w:space="0" w:color="90A1CF"/>
        <w:insideV w:val="single" w:sz="4" w:space="0" w:color="90A1CF"/>
      </w:tblBorders>
    </w:tblPr>
    <w:tblStylePr w:type="firstRow">
      <w:rPr>
        <w:b/>
        <w:bCs/>
        <w:color w:val="FFFFFF"/>
      </w:rPr>
      <w:tblPr/>
      <w:tcPr>
        <w:tcBorders>
          <w:top w:val="single" w:sz="4" w:space="0" w:color="4A66AC"/>
          <w:left w:val="single" w:sz="4" w:space="0" w:color="4A66AC"/>
          <w:bottom w:val="single" w:sz="4" w:space="0" w:color="4A66AC"/>
          <w:right w:val="single" w:sz="4" w:space="0" w:color="4A66AC"/>
          <w:insideH w:val="nil"/>
          <w:insideV w:val="nil"/>
        </w:tcBorders>
        <w:shd w:val="clear" w:color="auto" w:fill="4A66AC"/>
      </w:tcPr>
    </w:tblStylePr>
    <w:tblStylePr w:type="lastRow">
      <w:rPr>
        <w:b/>
        <w:bCs/>
      </w:rPr>
      <w:tblPr/>
      <w:tcPr>
        <w:tcBorders>
          <w:top w:val="double" w:sz="4" w:space="0" w:color="4A66AC"/>
        </w:tcBorders>
      </w:tcPr>
    </w:tblStylePr>
    <w:tblStylePr w:type="firstCol">
      <w:rPr>
        <w:b/>
        <w:bCs/>
      </w:rPr>
    </w:tblStylePr>
    <w:tblStylePr w:type="lastCol">
      <w:rPr>
        <w:b/>
        <w:bCs/>
      </w:rPr>
    </w:tblStylePr>
    <w:tblStylePr w:type="band1Vert">
      <w:tblPr/>
      <w:tcPr>
        <w:shd w:val="clear" w:color="auto" w:fill="D9DFEF"/>
      </w:tcPr>
    </w:tblStylePr>
    <w:tblStylePr w:type="band1Horz">
      <w:tblPr/>
      <w:tcPr>
        <w:shd w:val="clear" w:color="auto" w:fill="D9DFEF"/>
      </w:tcPr>
    </w:tblStylePr>
  </w:style>
  <w:style w:type="table" w:customStyle="1" w:styleId="Grilledutableau111">
    <w:name w:val="Grille du tableau111"/>
    <w:basedOn w:val="TableauNormal"/>
    <w:uiPriority w:val="39"/>
    <w:rsid w:val="00BB49EE"/>
    <w:pPr>
      <w:spacing w:line="240" w:lineRule="auto"/>
      <w:jc w:val="both"/>
    </w:pPr>
    <w:rPr>
      <w:rFonts w:ascii="Times New Roman" w:eastAsia="Calibri" w:hAnsi="Times New Roman" w:cs="Times New Roman"/>
      <w:sz w:val="20"/>
      <w:szCs w:val="20"/>
      <w:lang w:val="fr-FR"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auGrille5Fonc-Accentuation11">
    <w:name w:val="Tableau Grille 5 Foncé - Accentuation 11"/>
    <w:basedOn w:val="TableauNormal"/>
    <w:next w:val="TableauGrille5Fonc-Accentuation1"/>
    <w:uiPriority w:val="50"/>
    <w:rsid w:val="00BB49EE"/>
    <w:pPr>
      <w:spacing w:after="0" w:line="240" w:lineRule="auto"/>
      <w:jc w:val="both"/>
    </w:pPr>
    <w:rPr>
      <w:rFonts w:eastAsia="Calibri"/>
      <w:sz w:val="20"/>
      <w:szCs w:val="20"/>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9DFEF"/>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A66AC"/>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A66AC"/>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A66AC"/>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A66AC"/>
      </w:tcPr>
    </w:tblStylePr>
    <w:tblStylePr w:type="band1Vert">
      <w:tblPr/>
      <w:tcPr>
        <w:shd w:val="clear" w:color="auto" w:fill="B5C0DF"/>
      </w:tcPr>
    </w:tblStylePr>
    <w:tblStylePr w:type="band1Horz">
      <w:tblPr/>
      <w:tcPr>
        <w:shd w:val="clear" w:color="auto" w:fill="B5C0DF"/>
      </w:tcPr>
    </w:tblStylePr>
  </w:style>
  <w:style w:type="table" w:customStyle="1" w:styleId="TableauListe7Couleur-Accentuation11">
    <w:name w:val="Tableau Liste 7 Couleur - Accentuation 11"/>
    <w:basedOn w:val="TableauNormal"/>
    <w:next w:val="TableauListe7Couleur-Accentuation1"/>
    <w:uiPriority w:val="52"/>
    <w:rsid w:val="00BB49EE"/>
    <w:pPr>
      <w:spacing w:after="0" w:line="240" w:lineRule="auto"/>
      <w:jc w:val="both"/>
    </w:pPr>
    <w:rPr>
      <w:rFonts w:eastAsia="Calibri"/>
      <w:color w:val="374C80"/>
      <w:sz w:val="20"/>
      <w:szCs w:val="20"/>
    </w:rPr>
    <w:tblPr>
      <w:tblStyleRowBandSize w:val="1"/>
      <w:tblStyleColBandSize w:val="1"/>
    </w:tblPr>
    <w:tblStylePr w:type="firstRow">
      <w:rPr>
        <w:rFonts w:ascii="Calibri Light" w:eastAsia="Bahnschrift SemiBold" w:hAnsi="Calibri Light" w:cs="Times New Roman"/>
        <w:i/>
        <w:iCs/>
        <w:sz w:val="26"/>
      </w:rPr>
      <w:tblPr/>
      <w:tcPr>
        <w:tcBorders>
          <w:bottom w:val="single" w:sz="4" w:space="0" w:color="4A66AC"/>
        </w:tcBorders>
        <w:shd w:val="clear" w:color="auto" w:fill="FFFFFF"/>
      </w:tcPr>
    </w:tblStylePr>
    <w:tblStylePr w:type="lastRow">
      <w:rPr>
        <w:rFonts w:ascii="Calibri Light" w:eastAsia="Bahnschrift SemiBold" w:hAnsi="Calibri Light" w:cs="Times New Roman"/>
        <w:i/>
        <w:iCs/>
        <w:sz w:val="26"/>
      </w:rPr>
      <w:tblPr/>
      <w:tcPr>
        <w:tcBorders>
          <w:top w:val="single" w:sz="4" w:space="0" w:color="4A66AC"/>
        </w:tcBorders>
        <w:shd w:val="clear" w:color="auto" w:fill="FFFFFF"/>
      </w:tcPr>
    </w:tblStylePr>
    <w:tblStylePr w:type="firstCol">
      <w:pPr>
        <w:jc w:val="right"/>
      </w:pPr>
      <w:rPr>
        <w:rFonts w:ascii="Calibri Light" w:eastAsia="Bahnschrift SemiBold" w:hAnsi="Calibri Light" w:cs="Times New Roman"/>
        <w:i/>
        <w:iCs/>
        <w:sz w:val="26"/>
      </w:rPr>
      <w:tblPr/>
      <w:tcPr>
        <w:tcBorders>
          <w:right w:val="single" w:sz="4" w:space="0" w:color="4A66AC"/>
        </w:tcBorders>
        <w:shd w:val="clear" w:color="auto" w:fill="FFFFFF"/>
      </w:tcPr>
    </w:tblStylePr>
    <w:tblStylePr w:type="lastCol">
      <w:rPr>
        <w:rFonts w:ascii="Calibri Light" w:eastAsia="Bahnschrift SemiBold" w:hAnsi="Calibri Light" w:cs="Times New Roman"/>
        <w:i/>
        <w:iCs/>
        <w:sz w:val="26"/>
      </w:rPr>
      <w:tblPr/>
      <w:tcPr>
        <w:tcBorders>
          <w:left w:val="single" w:sz="4" w:space="0" w:color="4A66AC"/>
        </w:tcBorders>
        <w:shd w:val="clear" w:color="auto" w:fill="FFFFFF"/>
      </w:tcPr>
    </w:tblStylePr>
    <w:tblStylePr w:type="band1Vert">
      <w:tblPr/>
      <w:tcPr>
        <w:shd w:val="clear" w:color="auto" w:fill="D9DFEF"/>
      </w:tcPr>
    </w:tblStylePr>
    <w:tblStylePr w:type="band1Horz">
      <w:tblPr/>
      <w:tcPr>
        <w:shd w:val="clear" w:color="auto" w:fill="D9DFEF"/>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eauGrille3-Accentuation11">
    <w:name w:val="Tableau Grille 3 - Accentuation 11"/>
    <w:basedOn w:val="TableauNormal"/>
    <w:next w:val="TableauGrille3-Accentuation1"/>
    <w:uiPriority w:val="48"/>
    <w:rsid w:val="00BB49EE"/>
    <w:pPr>
      <w:spacing w:after="0" w:line="240" w:lineRule="auto"/>
      <w:jc w:val="both"/>
    </w:pPr>
    <w:rPr>
      <w:rFonts w:eastAsia="Calibri"/>
      <w:sz w:val="20"/>
      <w:szCs w:val="20"/>
    </w:rPr>
    <w:tblPr>
      <w:tblStyleRowBandSize w:val="1"/>
      <w:tblStyleColBandSize w:val="1"/>
      <w:tblBorders>
        <w:top w:val="single" w:sz="4" w:space="0" w:color="90A1CF"/>
        <w:left w:val="single" w:sz="4" w:space="0" w:color="90A1CF"/>
        <w:bottom w:val="single" w:sz="4" w:space="0" w:color="90A1CF"/>
        <w:right w:val="single" w:sz="4" w:space="0" w:color="90A1CF"/>
        <w:insideH w:val="single" w:sz="4" w:space="0" w:color="90A1CF"/>
        <w:insideV w:val="single" w:sz="4" w:space="0" w:color="90A1CF"/>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9DFEF"/>
      </w:tcPr>
    </w:tblStylePr>
    <w:tblStylePr w:type="band1Horz">
      <w:tblPr/>
      <w:tcPr>
        <w:shd w:val="clear" w:color="auto" w:fill="D9DFEF"/>
      </w:tcPr>
    </w:tblStylePr>
    <w:tblStylePr w:type="neCell">
      <w:tblPr/>
      <w:tcPr>
        <w:tcBorders>
          <w:bottom w:val="single" w:sz="4" w:space="0" w:color="90A1CF"/>
        </w:tcBorders>
      </w:tcPr>
    </w:tblStylePr>
    <w:tblStylePr w:type="nwCell">
      <w:tblPr/>
      <w:tcPr>
        <w:tcBorders>
          <w:bottom w:val="single" w:sz="4" w:space="0" w:color="90A1CF"/>
        </w:tcBorders>
      </w:tcPr>
    </w:tblStylePr>
    <w:tblStylePr w:type="seCell">
      <w:tblPr/>
      <w:tcPr>
        <w:tcBorders>
          <w:top w:val="single" w:sz="4" w:space="0" w:color="90A1CF"/>
        </w:tcBorders>
      </w:tcPr>
    </w:tblStylePr>
    <w:tblStylePr w:type="swCell">
      <w:tblPr/>
      <w:tcPr>
        <w:tcBorders>
          <w:top w:val="single" w:sz="4" w:space="0" w:color="90A1CF"/>
        </w:tcBorders>
      </w:tcPr>
    </w:tblStylePr>
  </w:style>
  <w:style w:type="table" w:customStyle="1" w:styleId="TableauGrille5Fonc-Accentuation51">
    <w:name w:val="Tableau Grille 5 Foncé - Accentuation 51"/>
    <w:basedOn w:val="TableauNormal"/>
    <w:next w:val="TableauGrille5Fonc-Accentuation5"/>
    <w:uiPriority w:val="50"/>
    <w:rsid w:val="00BB49EE"/>
    <w:pPr>
      <w:spacing w:after="0" w:line="240" w:lineRule="auto"/>
      <w:jc w:val="both"/>
    </w:pPr>
    <w:rPr>
      <w:rFonts w:eastAsia="Calibri"/>
      <w:sz w:val="20"/>
      <w:szCs w:val="20"/>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DECEE"/>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AA2AE"/>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AA2AE"/>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AA2AE"/>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AA2AE"/>
      </w:tcPr>
    </w:tblStylePr>
    <w:tblStylePr w:type="band1Vert">
      <w:tblPr/>
      <w:tcPr>
        <w:shd w:val="clear" w:color="auto" w:fill="BCD9DE"/>
      </w:tcPr>
    </w:tblStylePr>
    <w:tblStylePr w:type="band1Horz">
      <w:tblPr/>
      <w:tcPr>
        <w:shd w:val="clear" w:color="auto" w:fill="BCD9DE"/>
      </w:tcPr>
    </w:tblStylePr>
  </w:style>
  <w:style w:type="table" w:customStyle="1" w:styleId="TableauListe3-Accentuation51">
    <w:name w:val="Tableau Liste 3 - Accentuation 51"/>
    <w:basedOn w:val="TableauNormal"/>
    <w:next w:val="TableauListe3-Accentuation5"/>
    <w:uiPriority w:val="48"/>
    <w:rsid w:val="00BB49EE"/>
    <w:pPr>
      <w:spacing w:after="0" w:line="240" w:lineRule="auto"/>
      <w:jc w:val="both"/>
    </w:pPr>
    <w:rPr>
      <w:rFonts w:eastAsia="Calibri"/>
      <w:sz w:val="20"/>
      <w:szCs w:val="20"/>
    </w:rPr>
    <w:tblPr>
      <w:tblStyleRowBandSize w:val="1"/>
      <w:tblStyleColBandSize w:val="1"/>
      <w:tblBorders>
        <w:top w:val="single" w:sz="4" w:space="0" w:color="5AA2AE"/>
        <w:left w:val="single" w:sz="4" w:space="0" w:color="5AA2AE"/>
        <w:bottom w:val="single" w:sz="4" w:space="0" w:color="5AA2AE"/>
        <w:right w:val="single" w:sz="4" w:space="0" w:color="5AA2AE"/>
      </w:tblBorders>
    </w:tblPr>
    <w:tblStylePr w:type="firstRow">
      <w:rPr>
        <w:b/>
        <w:bCs/>
        <w:color w:val="FFFFFF"/>
      </w:rPr>
      <w:tblPr/>
      <w:tcPr>
        <w:shd w:val="clear" w:color="auto" w:fill="5AA2AE"/>
      </w:tcPr>
    </w:tblStylePr>
    <w:tblStylePr w:type="lastRow">
      <w:rPr>
        <w:b/>
        <w:bCs/>
      </w:rPr>
      <w:tblPr/>
      <w:tcPr>
        <w:tcBorders>
          <w:top w:val="double" w:sz="4" w:space="0" w:color="5AA2AE"/>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5AA2AE"/>
          <w:right w:val="single" w:sz="4" w:space="0" w:color="5AA2AE"/>
        </w:tcBorders>
      </w:tcPr>
    </w:tblStylePr>
    <w:tblStylePr w:type="band1Horz">
      <w:tblPr/>
      <w:tcPr>
        <w:tcBorders>
          <w:top w:val="single" w:sz="4" w:space="0" w:color="5AA2AE"/>
          <w:bottom w:val="single" w:sz="4" w:space="0" w:color="5AA2AE"/>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AA2AE"/>
          <w:left w:val="nil"/>
        </w:tcBorders>
      </w:tcPr>
    </w:tblStylePr>
    <w:tblStylePr w:type="swCell">
      <w:tblPr/>
      <w:tcPr>
        <w:tcBorders>
          <w:top w:val="double" w:sz="4" w:space="0" w:color="5AA2AE"/>
          <w:right w:val="nil"/>
        </w:tcBorders>
      </w:tcPr>
    </w:tblStylePr>
  </w:style>
  <w:style w:type="table" w:customStyle="1" w:styleId="TableauListe4-Accentuation11">
    <w:name w:val="Tableau Liste 4 - Accentuation 11"/>
    <w:basedOn w:val="TableauNormal"/>
    <w:next w:val="TableauListe4-Accentuation1"/>
    <w:uiPriority w:val="49"/>
    <w:rsid w:val="00BB49EE"/>
    <w:pPr>
      <w:spacing w:after="0" w:line="240" w:lineRule="auto"/>
      <w:jc w:val="both"/>
    </w:pPr>
    <w:rPr>
      <w:rFonts w:eastAsia="Calibri"/>
      <w:sz w:val="20"/>
      <w:szCs w:val="20"/>
    </w:rPr>
    <w:tblPr>
      <w:tblStyleRowBandSize w:val="1"/>
      <w:tblStyleColBandSize w:val="1"/>
      <w:tblBorders>
        <w:top w:val="single" w:sz="4" w:space="0" w:color="90A1CF"/>
        <w:left w:val="single" w:sz="4" w:space="0" w:color="90A1CF"/>
        <w:bottom w:val="single" w:sz="4" w:space="0" w:color="90A1CF"/>
        <w:right w:val="single" w:sz="4" w:space="0" w:color="90A1CF"/>
        <w:insideH w:val="single" w:sz="4" w:space="0" w:color="90A1CF"/>
      </w:tblBorders>
    </w:tblPr>
    <w:tblStylePr w:type="firstRow">
      <w:rPr>
        <w:b/>
        <w:bCs/>
        <w:color w:val="FFFFFF"/>
      </w:rPr>
      <w:tblPr/>
      <w:tcPr>
        <w:tcBorders>
          <w:top w:val="single" w:sz="4" w:space="0" w:color="4A66AC"/>
          <w:left w:val="single" w:sz="4" w:space="0" w:color="4A66AC"/>
          <w:bottom w:val="single" w:sz="4" w:space="0" w:color="4A66AC"/>
          <w:right w:val="single" w:sz="4" w:space="0" w:color="4A66AC"/>
          <w:insideH w:val="nil"/>
        </w:tcBorders>
        <w:shd w:val="clear" w:color="auto" w:fill="4A66AC"/>
      </w:tcPr>
    </w:tblStylePr>
    <w:tblStylePr w:type="lastRow">
      <w:rPr>
        <w:b/>
        <w:bCs/>
      </w:rPr>
      <w:tblPr/>
      <w:tcPr>
        <w:tcBorders>
          <w:top w:val="double" w:sz="4" w:space="0" w:color="90A1CF"/>
        </w:tcBorders>
      </w:tcPr>
    </w:tblStylePr>
    <w:tblStylePr w:type="firstCol">
      <w:rPr>
        <w:b/>
        <w:bCs/>
      </w:rPr>
    </w:tblStylePr>
    <w:tblStylePr w:type="lastCol">
      <w:rPr>
        <w:b/>
        <w:bCs/>
      </w:rPr>
    </w:tblStylePr>
    <w:tblStylePr w:type="band1Vert">
      <w:tblPr/>
      <w:tcPr>
        <w:shd w:val="clear" w:color="auto" w:fill="D9DFEF"/>
      </w:tcPr>
    </w:tblStylePr>
    <w:tblStylePr w:type="band1Horz">
      <w:tblPr/>
      <w:tcPr>
        <w:shd w:val="clear" w:color="auto" w:fill="D9DFEF"/>
      </w:tcPr>
    </w:tblStylePr>
  </w:style>
  <w:style w:type="table" w:customStyle="1" w:styleId="TableauListe4-Accentuation51">
    <w:name w:val="Tableau Liste 4 - Accentuation 51"/>
    <w:basedOn w:val="TableauNormal"/>
    <w:next w:val="TableauListe4-Accentuation5"/>
    <w:uiPriority w:val="49"/>
    <w:rsid w:val="00BB49EE"/>
    <w:pPr>
      <w:spacing w:after="0" w:line="240" w:lineRule="auto"/>
      <w:jc w:val="both"/>
    </w:pPr>
    <w:rPr>
      <w:rFonts w:eastAsia="Calibri"/>
      <w:sz w:val="20"/>
      <w:szCs w:val="20"/>
    </w:rPr>
    <w:tblPr>
      <w:tblStyleRowBandSize w:val="1"/>
      <w:tblStyleColBandSize w:val="1"/>
      <w:tblBorders>
        <w:top w:val="single" w:sz="4" w:space="0" w:color="9BC7CE"/>
        <w:left w:val="single" w:sz="4" w:space="0" w:color="9BC7CE"/>
        <w:bottom w:val="single" w:sz="4" w:space="0" w:color="9BC7CE"/>
        <w:right w:val="single" w:sz="4" w:space="0" w:color="9BC7CE"/>
        <w:insideH w:val="single" w:sz="4" w:space="0" w:color="9BC7CE"/>
      </w:tblBorders>
    </w:tblPr>
    <w:tblStylePr w:type="firstRow">
      <w:rPr>
        <w:b/>
        <w:bCs/>
        <w:color w:val="FFFFFF"/>
      </w:rPr>
      <w:tblPr/>
      <w:tcPr>
        <w:tcBorders>
          <w:top w:val="single" w:sz="4" w:space="0" w:color="5AA2AE"/>
          <w:left w:val="single" w:sz="4" w:space="0" w:color="5AA2AE"/>
          <w:bottom w:val="single" w:sz="4" w:space="0" w:color="5AA2AE"/>
          <w:right w:val="single" w:sz="4" w:space="0" w:color="5AA2AE"/>
          <w:insideH w:val="nil"/>
        </w:tcBorders>
        <w:shd w:val="clear" w:color="auto" w:fill="5AA2AE"/>
      </w:tcPr>
    </w:tblStylePr>
    <w:tblStylePr w:type="lastRow">
      <w:rPr>
        <w:b/>
        <w:bCs/>
      </w:rPr>
      <w:tblPr/>
      <w:tcPr>
        <w:tcBorders>
          <w:top w:val="double" w:sz="4" w:space="0" w:color="9BC7CE"/>
        </w:tcBorders>
      </w:tcPr>
    </w:tblStylePr>
    <w:tblStylePr w:type="firstCol">
      <w:rPr>
        <w:b/>
        <w:bCs/>
      </w:rPr>
    </w:tblStylePr>
    <w:tblStylePr w:type="lastCol">
      <w:rPr>
        <w:b/>
        <w:bCs/>
      </w:rPr>
    </w:tblStylePr>
    <w:tblStylePr w:type="band1Vert">
      <w:tblPr/>
      <w:tcPr>
        <w:shd w:val="clear" w:color="auto" w:fill="DDECEE"/>
      </w:tcPr>
    </w:tblStylePr>
    <w:tblStylePr w:type="band1Horz">
      <w:tblPr/>
      <w:tcPr>
        <w:shd w:val="clear" w:color="auto" w:fill="DDECEE"/>
      </w:tcPr>
    </w:tblStylePr>
  </w:style>
  <w:style w:type="table" w:customStyle="1" w:styleId="TableauGrille1Clair-Accentuation11">
    <w:name w:val="Tableau Grille 1 Clair - Accentuation 11"/>
    <w:basedOn w:val="TableauNormal"/>
    <w:next w:val="TableauGrille1Clair-Accentuation1"/>
    <w:uiPriority w:val="46"/>
    <w:rsid w:val="00BB49EE"/>
    <w:pPr>
      <w:spacing w:after="0" w:line="240" w:lineRule="auto"/>
      <w:jc w:val="both"/>
    </w:pPr>
    <w:rPr>
      <w:rFonts w:eastAsia="Calibri"/>
      <w:sz w:val="20"/>
      <w:szCs w:val="20"/>
    </w:rPr>
    <w:tblPr>
      <w:tblStyleRowBandSize w:val="1"/>
      <w:tblStyleColBandSize w:val="1"/>
      <w:tblBorders>
        <w:top w:val="single" w:sz="4" w:space="0" w:color="B5C0DF"/>
        <w:left w:val="single" w:sz="4" w:space="0" w:color="B5C0DF"/>
        <w:bottom w:val="single" w:sz="4" w:space="0" w:color="B5C0DF"/>
        <w:right w:val="single" w:sz="4" w:space="0" w:color="B5C0DF"/>
        <w:insideH w:val="single" w:sz="4" w:space="0" w:color="B5C0DF"/>
        <w:insideV w:val="single" w:sz="4" w:space="0" w:color="B5C0DF"/>
      </w:tblBorders>
    </w:tblPr>
    <w:tblStylePr w:type="firstRow">
      <w:rPr>
        <w:b/>
        <w:bCs/>
      </w:rPr>
      <w:tblPr/>
      <w:tcPr>
        <w:tcBorders>
          <w:bottom w:val="single" w:sz="12" w:space="0" w:color="90A1CF"/>
        </w:tcBorders>
      </w:tcPr>
    </w:tblStylePr>
    <w:tblStylePr w:type="lastRow">
      <w:rPr>
        <w:b/>
        <w:bCs/>
      </w:rPr>
      <w:tblPr/>
      <w:tcPr>
        <w:tcBorders>
          <w:top w:val="double" w:sz="2" w:space="0" w:color="90A1CF"/>
        </w:tcBorders>
      </w:tcPr>
    </w:tblStylePr>
    <w:tblStylePr w:type="firstCol">
      <w:rPr>
        <w:b/>
        <w:bCs/>
      </w:rPr>
    </w:tblStylePr>
    <w:tblStylePr w:type="lastCol">
      <w:rPr>
        <w:b/>
        <w:bCs/>
      </w:rPr>
    </w:tblStylePr>
  </w:style>
  <w:style w:type="table" w:customStyle="1" w:styleId="TableauGrille6Couleur-Accentuation11">
    <w:name w:val="Tableau Grille 6 Couleur - Accentuation 11"/>
    <w:basedOn w:val="TableauNormal"/>
    <w:next w:val="TableauGrille6Couleur-Accentuation1"/>
    <w:uiPriority w:val="51"/>
    <w:rsid w:val="00BB49EE"/>
    <w:pPr>
      <w:spacing w:after="0" w:line="240" w:lineRule="auto"/>
      <w:jc w:val="both"/>
    </w:pPr>
    <w:rPr>
      <w:rFonts w:eastAsia="Calibri"/>
      <w:color w:val="374C80"/>
      <w:sz w:val="20"/>
      <w:szCs w:val="20"/>
    </w:rPr>
    <w:tblPr>
      <w:tblStyleRowBandSize w:val="1"/>
      <w:tblStyleColBandSize w:val="1"/>
      <w:tblBorders>
        <w:top w:val="single" w:sz="4" w:space="0" w:color="90A1CF"/>
        <w:left w:val="single" w:sz="4" w:space="0" w:color="90A1CF"/>
        <w:bottom w:val="single" w:sz="4" w:space="0" w:color="90A1CF"/>
        <w:right w:val="single" w:sz="4" w:space="0" w:color="90A1CF"/>
        <w:insideH w:val="single" w:sz="4" w:space="0" w:color="90A1CF"/>
        <w:insideV w:val="single" w:sz="4" w:space="0" w:color="90A1CF"/>
      </w:tblBorders>
    </w:tblPr>
    <w:tblStylePr w:type="firstRow">
      <w:rPr>
        <w:b/>
        <w:bCs/>
      </w:rPr>
      <w:tblPr/>
      <w:tcPr>
        <w:tcBorders>
          <w:bottom w:val="single" w:sz="12" w:space="0" w:color="90A1CF"/>
        </w:tcBorders>
      </w:tcPr>
    </w:tblStylePr>
    <w:tblStylePr w:type="lastRow">
      <w:rPr>
        <w:b/>
        <w:bCs/>
      </w:rPr>
      <w:tblPr/>
      <w:tcPr>
        <w:tcBorders>
          <w:top w:val="double" w:sz="4" w:space="0" w:color="90A1CF"/>
        </w:tcBorders>
      </w:tcPr>
    </w:tblStylePr>
    <w:tblStylePr w:type="firstCol">
      <w:rPr>
        <w:b/>
        <w:bCs/>
      </w:rPr>
    </w:tblStylePr>
    <w:tblStylePr w:type="lastCol">
      <w:rPr>
        <w:b/>
        <w:bCs/>
      </w:rPr>
    </w:tblStylePr>
    <w:tblStylePr w:type="band1Vert">
      <w:tblPr/>
      <w:tcPr>
        <w:shd w:val="clear" w:color="auto" w:fill="D9DFEF"/>
      </w:tcPr>
    </w:tblStylePr>
    <w:tblStylePr w:type="band1Horz">
      <w:tblPr/>
      <w:tcPr>
        <w:shd w:val="clear" w:color="auto" w:fill="D9DFEF"/>
      </w:tcPr>
    </w:tblStylePr>
  </w:style>
  <w:style w:type="table" w:customStyle="1" w:styleId="TableauGrille1Clair-Accentuation51">
    <w:name w:val="Tableau Grille 1 Clair - Accentuation 51"/>
    <w:basedOn w:val="TableauNormal"/>
    <w:next w:val="TableauGrille1Clair-Accentuation5"/>
    <w:uiPriority w:val="46"/>
    <w:rsid w:val="00BB49EE"/>
    <w:pPr>
      <w:spacing w:after="0" w:line="240" w:lineRule="auto"/>
      <w:jc w:val="both"/>
    </w:pPr>
    <w:rPr>
      <w:rFonts w:eastAsia="Calibri"/>
      <w:sz w:val="20"/>
      <w:szCs w:val="20"/>
    </w:rPr>
    <w:tblPr>
      <w:tblStyleRowBandSize w:val="1"/>
      <w:tblStyleColBandSize w:val="1"/>
      <w:tblBorders>
        <w:top w:val="single" w:sz="4" w:space="0" w:color="BCD9DE"/>
        <w:left w:val="single" w:sz="4" w:space="0" w:color="BCD9DE"/>
        <w:bottom w:val="single" w:sz="4" w:space="0" w:color="BCD9DE"/>
        <w:right w:val="single" w:sz="4" w:space="0" w:color="BCD9DE"/>
        <w:insideH w:val="single" w:sz="4" w:space="0" w:color="BCD9DE"/>
        <w:insideV w:val="single" w:sz="4" w:space="0" w:color="BCD9DE"/>
      </w:tblBorders>
    </w:tblPr>
    <w:tblStylePr w:type="firstRow">
      <w:rPr>
        <w:b/>
        <w:bCs/>
      </w:rPr>
      <w:tblPr/>
      <w:tcPr>
        <w:tcBorders>
          <w:bottom w:val="single" w:sz="12" w:space="0" w:color="9BC7CE"/>
        </w:tcBorders>
      </w:tcPr>
    </w:tblStylePr>
    <w:tblStylePr w:type="lastRow">
      <w:rPr>
        <w:b/>
        <w:bCs/>
      </w:rPr>
      <w:tblPr/>
      <w:tcPr>
        <w:tcBorders>
          <w:top w:val="double" w:sz="2" w:space="0" w:color="9BC7CE"/>
        </w:tcBorders>
      </w:tcPr>
    </w:tblStylePr>
    <w:tblStylePr w:type="firstCol">
      <w:rPr>
        <w:b/>
        <w:bCs/>
      </w:rPr>
    </w:tblStylePr>
    <w:tblStylePr w:type="lastCol">
      <w:rPr>
        <w:b/>
        <w:bCs/>
      </w:rPr>
    </w:tblStylePr>
  </w:style>
  <w:style w:type="table" w:customStyle="1" w:styleId="ERMTablestyle2">
    <w:name w:val="ERM Table style2"/>
    <w:basedOn w:val="TableauNormal"/>
    <w:uiPriority w:val="99"/>
    <w:rsid w:val="00BB49EE"/>
    <w:pPr>
      <w:spacing w:after="0" w:line="240" w:lineRule="auto"/>
      <w:jc w:val="both"/>
    </w:pPr>
    <w:rPr>
      <w:rFonts w:ascii="Arial" w:eastAsia="SimSun" w:hAnsi="Arial" w:cs="Times New Roman"/>
      <w:sz w:val="18"/>
      <w:szCs w:val="18"/>
      <w:lang w:val="en-GB" w:eastAsia="zh-CN"/>
    </w:rPr>
    <w:tblPr>
      <w:tblBorders>
        <w:top w:val="single" w:sz="2" w:space="0" w:color="666F74"/>
        <w:bottom w:val="single" w:sz="2" w:space="0" w:color="666F74"/>
        <w:insideH w:val="single" w:sz="2" w:space="0" w:color="666F74"/>
        <w:insideV w:val="single" w:sz="2" w:space="0" w:color="666F74"/>
      </w:tblBorders>
      <w:tblCellMar>
        <w:top w:w="28" w:type="dxa"/>
        <w:left w:w="113" w:type="dxa"/>
        <w:bottom w:w="57" w:type="dxa"/>
        <w:right w:w="113" w:type="dxa"/>
      </w:tblCellMar>
    </w:tblPr>
    <w:tblStylePr w:type="firstRow">
      <w:rPr>
        <w:b w:val="0"/>
        <w:color w:val="007A5F"/>
      </w:rPr>
      <w:tblPr/>
      <w:tcPr>
        <w:tcBorders>
          <w:top w:val="single" w:sz="8" w:space="0" w:color="007A5F"/>
          <w:bottom w:val="single" w:sz="8" w:space="0" w:color="007A5F"/>
        </w:tcBorders>
      </w:tcPr>
    </w:tblStylePr>
  </w:style>
  <w:style w:type="table" w:customStyle="1" w:styleId="ERMTablestyle11">
    <w:name w:val="ERM Table style11"/>
    <w:basedOn w:val="TableauNormal"/>
    <w:uiPriority w:val="99"/>
    <w:rsid w:val="00BB49EE"/>
    <w:pPr>
      <w:spacing w:after="0" w:line="240" w:lineRule="auto"/>
      <w:jc w:val="both"/>
    </w:pPr>
    <w:rPr>
      <w:rFonts w:ascii="Arial" w:eastAsia="SimSun" w:hAnsi="Arial" w:cs="Times New Roman"/>
      <w:sz w:val="18"/>
      <w:szCs w:val="18"/>
      <w:lang w:val="en-GB" w:eastAsia="zh-CN"/>
    </w:rPr>
    <w:tblPr>
      <w:tblBorders>
        <w:top w:val="single" w:sz="2" w:space="0" w:color="666F74"/>
        <w:bottom w:val="single" w:sz="2" w:space="0" w:color="666F74"/>
        <w:insideH w:val="single" w:sz="2" w:space="0" w:color="666F74"/>
        <w:insideV w:val="single" w:sz="2" w:space="0" w:color="666F74"/>
      </w:tblBorders>
      <w:tblCellMar>
        <w:top w:w="28" w:type="dxa"/>
        <w:left w:w="113" w:type="dxa"/>
        <w:bottom w:w="57" w:type="dxa"/>
        <w:right w:w="113" w:type="dxa"/>
      </w:tblCellMar>
    </w:tblPr>
    <w:tblStylePr w:type="firstRow">
      <w:rPr>
        <w:b w:val="0"/>
        <w:color w:val="007A5F"/>
      </w:rPr>
      <w:tblPr/>
      <w:tcPr>
        <w:tcBorders>
          <w:top w:val="single" w:sz="8" w:space="0" w:color="007A5F"/>
          <w:bottom w:val="single" w:sz="8" w:space="0" w:color="007A5F"/>
        </w:tcBorders>
      </w:tcPr>
    </w:tblStylePr>
  </w:style>
  <w:style w:type="table" w:customStyle="1" w:styleId="TableNormal100">
    <w:name w:val="Table Normal10"/>
    <w:uiPriority w:val="2"/>
    <w:semiHidden/>
    <w:qFormat/>
    <w:rsid w:val="00BB49EE"/>
    <w:pPr>
      <w:widowControl w:val="0"/>
      <w:autoSpaceDE w:val="0"/>
      <w:autoSpaceDN w:val="0"/>
      <w:spacing w:after="0" w:line="240" w:lineRule="auto"/>
      <w:jc w:val="both"/>
    </w:pPr>
    <w:rPr>
      <w:rFonts w:ascii="Calibri" w:eastAsia="Calibri" w:hAnsi="Calibri" w:cs="Arial"/>
      <w:sz w:val="20"/>
      <w:szCs w:val="20"/>
      <w:lang w:val="en-US"/>
    </w:rPr>
    <w:tblPr>
      <w:tblCellMar>
        <w:top w:w="0" w:type="dxa"/>
        <w:left w:w="0" w:type="dxa"/>
        <w:bottom w:w="0" w:type="dxa"/>
        <w:right w:w="0" w:type="dxa"/>
      </w:tblCellMar>
    </w:tblPr>
  </w:style>
  <w:style w:type="table" w:customStyle="1" w:styleId="TableauListe6Couleur-Accentuation11">
    <w:name w:val="Tableau Liste 6 Couleur - Accentuation 11"/>
    <w:basedOn w:val="TableauNormal"/>
    <w:next w:val="TableauListe6Couleur-Accentuation1"/>
    <w:uiPriority w:val="51"/>
    <w:rsid w:val="00BB49EE"/>
    <w:pPr>
      <w:spacing w:after="0" w:line="240" w:lineRule="auto"/>
      <w:jc w:val="both"/>
    </w:pPr>
    <w:rPr>
      <w:rFonts w:eastAsia="Calibri"/>
      <w:color w:val="374C80"/>
      <w:sz w:val="20"/>
      <w:szCs w:val="20"/>
    </w:rPr>
    <w:tblPr>
      <w:tblStyleRowBandSize w:val="1"/>
      <w:tblStyleColBandSize w:val="1"/>
      <w:tblBorders>
        <w:top w:val="single" w:sz="4" w:space="0" w:color="4A66AC"/>
        <w:bottom w:val="single" w:sz="4" w:space="0" w:color="4A66AC"/>
      </w:tblBorders>
    </w:tblPr>
    <w:tblStylePr w:type="firstRow">
      <w:rPr>
        <w:b/>
        <w:bCs/>
      </w:rPr>
      <w:tblPr/>
      <w:tcPr>
        <w:tcBorders>
          <w:bottom w:val="single" w:sz="4" w:space="0" w:color="4A66AC"/>
        </w:tcBorders>
      </w:tcPr>
    </w:tblStylePr>
    <w:tblStylePr w:type="lastRow">
      <w:rPr>
        <w:b/>
        <w:bCs/>
      </w:rPr>
      <w:tblPr/>
      <w:tcPr>
        <w:tcBorders>
          <w:top w:val="double" w:sz="4" w:space="0" w:color="4A66AC"/>
        </w:tcBorders>
      </w:tcPr>
    </w:tblStylePr>
    <w:tblStylePr w:type="firstCol">
      <w:rPr>
        <w:b/>
        <w:bCs/>
      </w:rPr>
    </w:tblStylePr>
    <w:tblStylePr w:type="lastCol">
      <w:rPr>
        <w:b/>
        <w:bCs/>
      </w:rPr>
    </w:tblStylePr>
    <w:tblStylePr w:type="band1Vert">
      <w:tblPr/>
      <w:tcPr>
        <w:shd w:val="clear" w:color="auto" w:fill="D9DFEF"/>
      </w:tcPr>
    </w:tblStylePr>
    <w:tblStylePr w:type="band1Horz">
      <w:tblPr/>
      <w:tcPr>
        <w:shd w:val="clear" w:color="auto" w:fill="D9DFEF"/>
      </w:tcPr>
    </w:tblStylePr>
  </w:style>
  <w:style w:type="table" w:customStyle="1" w:styleId="TableauListe7Couleur-Accentuation51">
    <w:name w:val="Tableau Liste 7 Couleur - Accentuation 51"/>
    <w:basedOn w:val="TableauNormal"/>
    <w:next w:val="TableauListe7Couleur-Accentuation5"/>
    <w:uiPriority w:val="52"/>
    <w:rsid w:val="00BB49EE"/>
    <w:pPr>
      <w:spacing w:after="0" w:line="240" w:lineRule="auto"/>
      <w:jc w:val="both"/>
    </w:pPr>
    <w:rPr>
      <w:rFonts w:eastAsia="Calibri"/>
      <w:color w:val="417A84"/>
      <w:sz w:val="20"/>
      <w:szCs w:val="20"/>
    </w:rPr>
    <w:tblPr>
      <w:tblStyleRowBandSize w:val="1"/>
      <w:tblStyleColBandSize w:val="1"/>
    </w:tblPr>
    <w:tblStylePr w:type="firstRow">
      <w:rPr>
        <w:rFonts w:ascii="Calibri Light" w:eastAsia="Bahnschrift SemiBold" w:hAnsi="Calibri Light" w:cs="Times New Roman"/>
        <w:i/>
        <w:iCs/>
        <w:sz w:val="26"/>
      </w:rPr>
      <w:tblPr/>
      <w:tcPr>
        <w:tcBorders>
          <w:bottom w:val="single" w:sz="4" w:space="0" w:color="5AA2AE"/>
        </w:tcBorders>
        <w:shd w:val="clear" w:color="auto" w:fill="FFFFFF"/>
      </w:tcPr>
    </w:tblStylePr>
    <w:tblStylePr w:type="lastRow">
      <w:rPr>
        <w:rFonts w:ascii="Calibri Light" w:eastAsia="Bahnschrift SemiBold" w:hAnsi="Calibri Light" w:cs="Times New Roman"/>
        <w:i/>
        <w:iCs/>
        <w:sz w:val="26"/>
      </w:rPr>
      <w:tblPr/>
      <w:tcPr>
        <w:tcBorders>
          <w:top w:val="single" w:sz="4" w:space="0" w:color="5AA2AE"/>
        </w:tcBorders>
        <w:shd w:val="clear" w:color="auto" w:fill="FFFFFF"/>
      </w:tcPr>
    </w:tblStylePr>
    <w:tblStylePr w:type="firstCol">
      <w:pPr>
        <w:jc w:val="right"/>
      </w:pPr>
      <w:rPr>
        <w:rFonts w:ascii="Calibri Light" w:eastAsia="Bahnschrift SemiBold" w:hAnsi="Calibri Light" w:cs="Times New Roman"/>
        <w:i/>
        <w:iCs/>
        <w:sz w:val="26"/>
      </w:rPr>
      <w:tblPr/>
      <w:tcPr>
        <w:tcBorders>
          <w:right w:val="single" w:sz="4" w:space="0" w:color="5AA2AE"/>
        </w:tcBorders>
        <w:shd w:val="clear" w:color="auto" w:fill="FFFFFF"/>
      </w:tcPr>
    </w:tblStylePr>
    <w:tblStylePr w:type="lastCol">
      <w:rPr>
        <w:rFonts w:ascii="Calibri Light" w:eastAsia="Bahnschrift SemiBold" w:hAnsi="Calibri Light" w:cs="Times New Roman"/>
        <w:i/>
        <w:iCs/>
        <w:sz w:val="26"/>
      </w:rPr>
      <w:tblPr/>
      <w:tcPr>
        <w:tcBorders>
          <w:left w:val="single" w:sz="4" w:space="0" w:color="5AA2AE"/>
        </w:tcBorders>
        <w:shd w:val="clear" w:color="auto" w:fill="FFFFFF"/>
      </w:tcPr>
    </w:tblStylePr>
    <w:tblStylePr w:type="band1Vert">
      <w:tblPr/>
      <w:tcPr>
        <w:shd w:val="clear" w:color="auto" w:fill="DDECEE"/>
      </w:tcPr>
    </w:tblStylePr>
    <w:tblStylePr w:type="band1Horz">
      <w:tblPr/>
      <w:tcPr>
        <w:shd w:val="clear" w:color="auto" w:fill="DDECEE"/>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eauGrille2-Accentuation11">
    <w:name w:val="Tableau Grille 2 - Accentuation 11"/>
    <w:basedOn w:val="TableauNormal"/>
    <w:next w:val="TableauGrille2-Accentuation1"/>
    <w:uiPriority w:val="47"/>
    <w:rsid w:val="00BB49EE"/>
    <w:pPr>
      <w:spacing w:after="0" w:line="240" w:lineRule="auto"/>
      <w:jc w:val="both"/>
    </w:pPr>
    <w:rPr>
      <w:rFonts w:eastAsia="Calibri"/>
      <w:sz w:val="20"/>
      <w:szCs w:val="20"/>
    </w:rPr>
    <w:tblPr>
      <w:tblStyleRowBandSize w:val="1"/>
      <w:tblStyleColBandSize w:val="1"/>
      <w:tblBorders>
        <w:top w:val="single" w:sz="2" w:space="0" w:color="90A1CF"/>
        <w:bottom w:val="single" w:sz="2" w:space="0" w:color="90A1CF"/>
        <w:insideH w:val="single" w:sz="2" w:space="0" w:color="90A1CF"/>
        <w:insideV w:val="single" w:sz="2" w:space="0" w:color="90A1CF"/>
      </w:tblBorders>
    </w:tblPr>
    <w:tblStylePr w:type="firstRow">
      <w:rPr>
        <w:b/>
        <w:bCs/>
      </w:rPr>
      <w:tblPr/>
      <w:tcPr>
        <w:tcBorders>
          <w:top w:val="nil"/>
          <w:bottom w:val="single" w:sz="12" w:space="0" w:color="90A1CF"/>
          <w:insideH w:val="nil"/>
          <w:insideV w:val="nil"/>
        </w:tcBorders>
        <w:shd w:val="clear" w:color="auto" w:fill="FFFFFF"/>
      </w:tcPr>
    </w:tblStylePr>
    <w:tblStylePr w:type="lastRow">
      <w:rPr>
        <w:b/>
        <w:bCs/>
      </w:rPr>
      <w:tblPr/>
      <w:tcPr>
        <w:tcBorders>
          <w:top w:val="double" w:sz="2" w:space="0" w:color="90A1CF"/>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9DFEF"/>
      </w:tcPr>
    </w:tblStylePr>
    <w:tblStylePr w:type="band1Horz">
      <w:tblPr/>
      <w:tcPr>
        <w:shd w:val="clear" w:color="auto" w:fill="D9DFEF"/>
      </w:tcPr>
    </w:tblStylePr>
  </w:style>
  <w:style w:type="table" w:customStyle="1" w:styleId="TableauGrille2-Accentuation51">
    <w:name w:val="Tableau Grille 2 - Accentuation 51"/>
    <w:basedOn w:val="TableauNormal"/>
    <w:next w:val="TableauGrille2-Accentuation5"/>
    <w:uiPriority w:val="47"/>
    <w:rsid w:val="00BB49EE"/>
    <w:pPr>
      <w:spacing w:after="0" w:line="240" w:lineRule="auto"/>
      <w:jc w:val="both"/>
    </w:pPr>
    <w:rPr>
      <w:rFonts w:eastAsia="Calibri"/>
      <w:sz w:val="20"/>
      <w:szCs w:val="20"/>
    </w:rPr>
    <w:tblPr>
      <w:tblStyleRowBandSize w:val="1"/>
      <w:tblStyleColBandSize w:val="1"/>
      <w:tblBorders>
        <w:top w:val="single" w:sz="2" w:space="0" w:color="9BC7CE"/>
        <w:bottom w:val="single" w:sz="2" w:space="0" w:color="9BC7CE"/>
        <w:insideH w:val="single" w:sz="2" w:space="0" w:color="9BC7CE"/>
        <w:insideV w:val="single" w:sz="2" w:space="0" w:color="9BC7CE"/>
      </w:tblBorders>
    </w:tblPr>
    <w:tblStylePr w:type="firstRow">
      <w:rPr>
        <w:b/>
        <w:bCs/>
      </w:rPr>
      <w:tblPr/>
      <w:tcPr>
        <w:tcBorders>
          <w:top w:val="nil"/>
          <w:bottom w:val="single" w:sz="12" w:space="0" w:color="9BC7CE"/>
          <w:insideH w:val="nil"/>
          <w:insideV w:val="nil"/>
        </w:tcBorders>
        <w:shd w:val="clear" w:color="auto" w:fill="FFFFFF"/>
      </w:tcPr>
    </w:tblStylePr>
    <w:tblStylePr w:type="lastRow">
      <w:rPr>
        <w:b/>
        <w:bCs/>
      </w:rPr>
      <w:tblPr/>
      <w:tcPr>
        <w:tcBorders>
          <w:top w:val="double" w:sz="2" w:space="0" w:color="9BC7CE"/>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DECEE"/>
      </w:tcPr>
    </w:tblStylePr>
    <w:tblStylePr w:type="band1Horz">
      <w:tblPr/>
      <w:tcPr>
        <w:shd w:val="clear" w:color="auto" w:fill="DDECEE"/>
      </w:tcPr>
    </w:tblStylePr>
  </w:style>
  <w:style w:type="table" w:customStyle="1" w:styleId="TableauListe2-Accentuation11">
    <w:name w:val="Tableau Liste 2 - Accentuation 11"/>
    <w:basedOn w:val="TableauNormal"/>
    <w:next w:val="TableauListe2-Accentuation1"/>
    <w:uiPriority w:val="47"/>
    <w:rsid w:val="00BB49EE"/>
    <w:pPr>
      <w:spacing w:after="0" w:line="240" w:lineRule="auto"/>
      <w:jc w:val="both"/>
    </w:pPr>
    <w:rPr>
      <w:rFonts w:eastAsia="Calibri"/>
      <w:sz w:val="20"/>
      <w:szCs w:val="20"/>
    </w:rPr>
    <w:tblPr>
      <w:tblStyleRowBandSize w:val="1"/>
      <w:tblStyleColBandSize w:val="1"/>
      <w:tblBorders>
        <w:top w:val="single" w:sz="4" w:space="0" w:color="90A1CF"/>
        <w:bottom w:val="single" w:sz="4" w:space="0" w:color="90A1CF"/>
        <w:insideH w:val="single" w:sz="4" w:space="0" w:color="90A1CF"/>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DFEF"/>
      </w:tcPr>
    </w:tblStylePr>
    <w:tblStylePr w:type="band1Horz">
      <w:tblPr/>
      <w:tcPr>
        <w:shd w:val="clear" w:color="auto" w:fill="D9DFEF"/>
      </w:tcPr>
    </w:tblStylePr>
  </w:style>
  <w:style w:type="table" w:customStyle="1" w:styleId="TableNormal11">
    <w:name w:val="Table Normal11"/>
    <w:uiPriority w:val="2"/>
    <w:semiHidden/>
    <w:qFormat/>
    <w:rsid w:val="00BB49EE"/>
    <w:pPr>
      <w:widowControl w:val="0"/>
      <w:autoSpaceDE w:val="0"/>
      <w:autoSpaceDN w:val="0"/>
      <w:spacing w:after="0" w:line="240" w:lineRule="auto"/>
      <w:jc w:val="both"/>
    </w:pPr>
    <w:rPr>
      <w:rFonts w:ascii="Calibri" w:eastAsia="Calibri" w:hAnsi="Calibri" w:cs="Arial"/>
      <w:sz w:val="20"/>
      <w:szCs w:val="20"/>
      <w:lang w:val="en-US"/>
    </w:rPr>
    <w:tblPr>
      <w:tblCellMar>
        <w:top w:w="0" w:type="dxa"/>
        <w:left w:w="0" w:type="dxa"/>
        <w:bottom w:w="0" w:type="dxa"/>
        <w:right w:w="0" w:type="dxa"/>
      </w:tblCellMar>
    </w:tblPr>
  </w:style>
  <w:style w:type="table" w:customStyle="1" w:styleId="Tablelongdocument12">
    <w:name w:val="Table long document12"/>
    <w:basedOn w:val="TableauNormal"/>
    <w:next w:val="Grilledutableau"/>
    <w:rsid w:val="00BB49EE"/>
    <w:pPr>
      <w:spacing w:line="240" w:lineRule="auto"/>
      <w:jc w:val="both"/>
    </w:pPr>
    <w:rPr>
      <w:rFonts w:ascii="Calibri" w:eastAsia="Calibri" w:hAnsi="Calibri" w:cs="Arial"/>
      <w:sz w:val="20"/>
      <w:szCs w:val="20"/>
      <w:lang w:val="fr-FR"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0">
    <w:name w:val="Style10"/>
    <w:basedOn w:val="Style4"/>
    <w:link w:val="Style10Car"/>
    <w:rsid w:val="00BB49EE"/>
    <w:pPr>
      <w:numPr>
        <w:numId w:val="15"/>
      </w:numPr>
      <w:spacing w:line="240" w:lineRule="auto"/>
    </w:pPr>
    <w:rPr>
      <w:rFonts w:eastAsia="Calibri"/>
      <w:szCs w:val="20"/>
      <w:u w:val="single"/>
    </w:rPr>
  </w:style>
  <w:style w:type="character" w:customStyle="1" w:styleId="Style10Car">
    <w:name w:val="Style10 Car"/>
    <w:basedOn w:val="Style4Car"/>
    <w:link w:val="Style10"/>
    <w:rsid w:val="00BB49EE"/>
    <w:rPr>
      <w:rFonts w:ascii="Century Gothic" w:eastAsia="Calibri" w:hAnsi="Century Gothic" w:cs="Arial"/>
      <w:b w:val="0"/>
      <w:color w:val="4472C4" w:themeColor="accent1"/>
      <w:sz w:val="20"/>
      <w:szCs w:val="20"/>
      <w:u w:val="single"/>
      <w:lang w:val="fr-FR" w:bidi="en-US"/>
    </w:rPr>
  </w:style>
  <w:style w:type="table" w:customStyle="1" w:styleId="TableauGrille1Clair-Accentuation21">
    <w:name w:val="Tableau Grille 1 Clair - Accentuation 21"/>
    <w:basedOn w:val="TableauNormal"/>
    <w:next w:val="TableauGrille1Clair-Accentuation2"/>
    <w:uiPriority w:val="46"/>
    <w:rsid w:val="00BB49EE"/>
    <w:pPr>
      <w:spacing w:after="0" w:line="240" w:lineRule="auto"/>
      <w:jc w:val="both"/>
    </w:pPr>
    <w:rPr>
      <w:rFonts w:eastAsia="Calibri"/>
      <w:sz w:val="20"/>
      <w:szCs w:val="20"/>
    </w:rPr>
    <w:tblPr>
      <w:tblStyleRowBandSize w:val="1"/>
      <w:tblStyleColBandSize w:val="1"/>
      <w:tblBorders>
        <w:top w:val="single" w:sz="4" w:space="0" w:color="C0D7EC"/>
        <w:left w:val="single" w:sz="4" w:space="0" w:color="C0D7EC"/>
        <w:bottom w:val="single" w:sz="4" w:space="0" w:color="C0D7EC"/>
        <w:right w:val="single" w:sz="4" w:space="0" w:color="C0D7EC"/>
        <w:insideH w:val="single" w:sz="4" w:space="0" w:color="C0D7EC"/>
        <w:insideV w:val="single" w:sz="4" w:space="0" w:color="C0D7EC"/>
      </w:tblBorders>
    </w:tblPr>
    <w:tblStylePr w:type="firstRow">
      <w:rPr>
        <w:b/>
        <w:bCs/>
      </w:rPr>
      <w:tblPr/>
      <w:tcPr>
        <w:tcBorders>
          <w:bottom w:val="single" w:sz="12" w:space="0" w:color="A0C3E3"/>
        </w:tcBorders>
      </w:tcPr>
    </w:tblStylePr>
    <w:tblStylePr w:type="lastRow">
      <w:rPr>
        <w:b/>
        <w:bCs/>
      </w:rPr>
      <w:tblPr/>
      <w:tcPr>
        <w:tcBorders>
          <w:top w:val="double" w:sz="2" w:space="0" w:color="A0C3E3"/>
        </w:tcBorders>
      </w:tcPr>
    </w:tblStylePr>
    <w:tblStylePr w:type="firstCol">
      <w:rPr>
        <w:b/>
        <w:bCs/>
      </w:rPr>
    </w:tblStylePr>
    <w:tblStylePr w:type="lastCol">
      <w:rPr>
        <w:b/>
        <w:bCs/>
      </w:rPr>
    </w:tblStylePr>
  </w:style>
  <w:style w:type="table" w:customStyle="1" w:styleId="TableauGrille6Couleur-Accentuation51">
    <w:name w:val="Tableau Grille 6 Couleur - Accentuation 51"/>
    <w:basedOn w:val="TableauNormal"/>
    <w:next w:val="TableauGrille6Couleur-Accentuation5"/>
    <w:uiPriority w:val="51"/>
    <w:rsid w:val="00BB49EE"/>
    <w:pPr>
      <w:spacing w:after="0" w:line="240" w:lineRule="auto"/>
      <w:jc w:val="both"/>
    </w:pPr>
    <w:rPr>
      <w:rFonts w:eastAsia="Calibri"/>
      <w:color w:val="417A84"/>
      <w:sz w:val="20"/>
      <w:szCs w:val="20"/>
    </w:rPr>
    <w:tblPr>
      <w:tblStyleRowBandSize w:val="1"/>
      <w:tblStyleColBandSize w:val="1"/>
      <w:tblBorders>
        <w:top w:val="single" w:sz="4" w:space="0" w:color="9BC7CE"/>
        <w:left w:val="single" w:sz="4" w:space="0" w:color="9BC7CE"/>
        <w:bottom w:val="single" w:sz="4" w:space="0" w:color="9BC7CE"/>
        <w:right w:val="single" w:sz="4" w:space="0" w:color="9BC7CE"/>
        <w:insideH w:val="single" w:sz="4" w:space="0" w:color="9BC7CE"/>
        <w:insideV w:val="single" w:sz="4" w:space="0" w:color="9BC7CE"/>
      </w:tblBorders>
    </w:tblPr>
    <w:tblStylePr w:type="firstRow">
      <w:rPr>
        <w:b/>
        <w:bCs/>
      </w:rPr>
      <w:tblPr/>
      <w:tcPr>
        <w:tcBorders>
          <w:bottom w:val="single" w:sz="12" w:space="0" w:color="9BC7CE"/>
        </w:tcBorders>
      </w:tcPr>
    </w:tblStylePr>
    <w:tblStylePr w:type="lastRow">
      <w:rPr>
        <w:b/>
        <w:bCs/>
      </w:rPr>
      <w:tblPr/>
      <w:tcPr>
        <w:tcBorders>
          <w:top w:val="double" w:sz="4" w:space="0" w:color="9BC7CE"/>
        </w:tcBorders>
      </w:tcPr>
    </w:tblStylePr>
    <w:tblStylePr w:type="firstCol">
      <w:rPr>
        <w:b/>
        <w:bCs/>
      </w:rPr>
    </w:tblStylePr>
    <w:tblStylePr w:type="lastCol">
      <w:rPr>
        <w:b/>
        <w:bCs/>
      </w:rPr>
    </w:tblStylePr>
    <w:tblStylePr w:type="band1Vert">
      <w:tblPr/>
      <w:tcPr>
        <w:shd w:val="clear" w:color="auto" w:fill="DDECEE"/>
      </w:tcPr>
    </w:tblStylePr>
    <w:tblStylePr w:type="band1Horz">
      <w:tblPr/>
      <w:tcPr>
        <w:shd w:val="clear" w:color="auto" w:fill="DDECEE"/>
      </w:tcPr>
    </w:tblStylePr>
  </w:style>
  <w:style w:type="table" w:customStyle="1" w:styleId="TableauListe1Clair-Accentuation11">
    <w:name w:val="Tableau Liste 1 Clair - Accentuation 11"/>
    <w:basedOn w:val="TableauNormal"/>
    <w:next w:val="TableauListe1Clair-Accentuation1"/>
    <w:uiPriority w:val="46"/>
    <w:rsid w:val="00BB49EE"/>
    <w:pPr>
      <w:spacing w:after="0" w:line="240" w:lineRule="auto"/>
      <w:jc w:val="both"/>
    </w:pPr>
    <w:rPr>
      <w:rFonts w:eastAsia="Calibri"/>
      <w:sz w:val="20"/>
      <w:szCs w:val="20"/>
    </w:rPr>
    <w:tblPr>
      <w:tblStyleRowBandSize w:val="1"/>
      <w:tblStyleColBandSize w:val="1"/>
    </w:tblPr>
    <w:tblStylePr w:type="firstRow">
      <w:rPr>
        <w:b/>
        <w:bCs/>
      </w:rPr>
      <w:tblPr/>
      <w:tcPr>
        <w:tcBorders>
          <w:bottom w:val="single" w:sz="4" w:space="0" w:color="90A1CF"/>
        </w:tcBorders>
      </w:tcPr>
    </w:tblStylePr>
    <w:tblStylePr w:type="lastRow">
      <w:rPr>
        <w:b/>
        <w:bCs/>
      </w:rPr>
      <w:tblPr/>
      <w:tcPr>
        <w:tcBorders>
          <w:top w:val="single" w:sz="4" w:space="0" w:color="90A1CF"/>
        </w:tcBorders>
      </w:tcPr>
    </w:tblStylePr>
    <w:tblStylePr w:type="firstCol">
      <w:rPr>
        <w:b/>
        <w:bCs/>
      </w:rPr>
    </w:tblStylePr>
    <w:tblStylePr w:type="lastCol">
      <w:rPr>
        <w:b/>
        <w:bCs/>
      </w:rPr>
    </w:tblStylePr>
    <w:tblStylePr w:type="band1Vert">
      <w:tblPr/>
      <w:tcPr>
        <w:shd w:val="clear" w:color="auto" w:fill="D9DFEF"/>
      </w:tcPr>
    </w:tblStylePr>
    <w:tblStylePr w:type="band1Horz">
      <w:tblPr/>
      <w:tcPr>
        <w:shd w:val="clear" w:color="auto" w:fill="D9DFEF"/>
      </w:tcPr>
    </w:tblStylePr>
  </w:style>
  <w:style w:type="table" w:customStyle="1" w:styleId="TableauGrille1Clair1">
    <w:name w:val="Tableau Grille 1 Clair1"/>
    <w:basedOn w:val="TableauNormal"/>
    <w:next w:val="TableauGrille1Clair"/>
    <w:uiPriority w:val="46"/>
    <w:rsid w:val="00BB49EE"/>
    <w:pPr>
      <w:spacing w:after="0" w:line="240" w:lineRule="auto"/>
      <w:jc w:val="both"/>
    </w:pPr>
    <w:rPr>
      <w:rFonts w:eastAsia="Calibri"/>
      <w:sz w:val="20"/>
      <w:szCs w:val="20"/>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paragraph" w:customStyle="1" w:styleId="Documenttype">
    <w:name w:val="_Document type"/>
    <w:link w:val="DocumenttypeChar"/>
    <w:uiPriority w:val="4"/>
    <w:rsid w:val="00BB49EE"/>
    <w:pPr>
      <w:spacing w:after="0" w:line="180" w:lineRule="auto"/>
      <w:jc w:val="right"/>
    </w:pPr>
    <w:rPr>
      <w:rFonts w:eastAsia="Calibri"/>
      <w:b/>
      <w:caps/>
      <w:color w:val="4A66AC"/>
      <w:sz w:val="52"/>
      <w:szCs w:val="48"/>
      <w:lang w:val="fr-FR" w:eastAsia="fr-FR"/>
    </w:rPr>
  </w:style>
  <w:style w:type="character" w:customStyle="1" w:styleId="DocumenttypeChar">
    <w:name w:val="_Document type Char"/>
    <w:basedOn w:val="Policepardfaut"/>
    <w:link w:val="Documenttype"/>
    <w:uiPriority w:val="4"/>
    <w:rsid w:val="00BB49EE"/>
    <w:rPr>
      <w:rFonts w:eastAsia="Calibri"/>
      <w:b/>
      <w:caps/>
      <w:color w:val="4A66AC"/>
      <w:sz w:val="52"/>
      <w:szCs w:val="48"/>
      <w:lang w:val="fr-FR" w:eastAsia="fr-FR"/>
    </w:rPr>
  </w:style>
  <w:style w:type="paragraph" w:customStyle="1" w:styleId="Documentnom">
    <w:name w:val="_Document nom"/>
    <w:link w:val="DocumentnomChar"/>
    <w:uiPriority w:val="4"/>
    <w:rsid w:val="00BB49EE"/>
    <w:pPr>
      <w:spacing w:after="0" w:line="240" w:lineRule="auto"/>
      <w:jc w:val="right"/>
    </w:pPr>
    <w:rPr>
      <w:rFonts w:eastAsia="Calibri"/>
      <w:b/>
      <w:caps/>
      <w:color w:val="629DD1"/>
      <w:sz w:val="36"/>
      <w:szCs w:val="20"/>
      <w:lang w:val="fr-FR" w:eastAsia="fr-FR"/>
    </w:rPr>
  </w:style>
  <w:style w:type="character" w:customStyle="1" w:styleId="DocumentnomChar">
    <w:name w:val="_Document nom Char"/>
    <w:basedOn w:val="Policepardfaut"/>
    <w:link w:val="Documentnom"/>
    <w:uiPriority w:val="4"/>
    <w:rsid w:val="00BB49EE"/>
    <w:rPr>
      <w:rFonts w:eastAsia="Calibri"/>
      <w:b/>
      <w:caps/>
      <w:color w:val="629DD1"/>
      <w:sz w:val="36"/>
      <w:szCs w:val="20"/>
      <w:lang w:val="fr-FR" w:eastAsia="fr-FR"/>
    </w:rPr>
  </w:style>
  <w:style w:type="character" w:styleId="Textedelespacerserv">
    <w:name w:val="Placeholder Text"/>
    <w:basedOn w:val="Policepardfaut"/>
    <w:uiPriority w:val="99"/>
    <w:semiHidden/>
    <w:rsid w:val="00BB49EE"/>
    <w:rPr>
      <w:color w:val="808080"/>
    </w:rPr>
  </w:style>
  <w:style w:type="paragraph" w:customStyle="1" w:styleId="Textetableau">
    <w:name w:val="Texte tableau"/>
    <w:basedOn w:val="Normal"/>
    <w:link w:val="TextetableauCar"/>
    <w:qFormat/>
    <w:rsid w:val="00BB49EE"/>
    <w:pPr>
      <w:spacing w:before="20" w:after="20" w:line="240" w:lineRule="auto"/>
      <w:ind w:left="57" w:right="-57"/>
      <w:jc w:val="left"/>
    </w:pPr>
    <w:rPr>
      <w:rFonts w:ascii="Segoe UI" w:eastAsia="Calibri" w:hAnsi="Segoe UI" w:cs="Times New Roman"/>
      <w:sz w:val="18"/>
      <w:szCs w:val="24"/>
      <w:lang w:val="fr-MA" w:bidi="ar-SA"/>
    </w:rPr>
  </w:style>
  <w:style w:type="character" w:customStyle="1" w:styleId="TextetableauCar">
    <w:name w:val="Texte tableau Car"/>
    <w:basedOn w:val="Policepardfaut"/>
    <w:link w:val="Textetableau"/>
    <w:rsid w:val="00BB49EE"/>
    <w:rPr>
      <w:rFonts w:ascii="Segoe UI" w:eastAsia="Calibri" w:hAnsi="Segoe UI" w:cs="Times New Roman"/>
      <w:sz w:val="18"/>
      <w:szCs w:val="24"/>
    </w:rPr>
  </w:style>
  <w:style w:type="paragraph" w:customStyle="1" w:styleId="Tabledesillustrations1">
    <w:name w:val="Table des illustrations1"/>
    <w:basedOn w:val="Normal"/>
    <w:next w:val="Normal"/>
    <w:uiPriority w:val="99"/>
    <w:unhideWhenUsed/>
    <w:qFormat/>
    <w:rsid w:val="00BB49EE"/>
    <w:pPr>
      <w:spacing w:before="0" w:after="0" w:line="240" w:lineRule="auto"/>
    </w:pPr>
    <w:rPr>
      <w:rFonts w:eastAsia="Calibri"/>
      <w:sz w:val="20"/>
      <w:szCs w:val="20"/>
      <w:lang w:val="fr-MA" w:bidi="ar-SA"/>
    </w:rPr>
  </w:style>
  <w:style w:type="paragraph" w:customStyle="1" w:styleId="Puce10">
    <w:name w:val="– Puce 1"/>
    <w:link w:val="Puce1Car"/>
    <w:qFormat/>
    <w:rsid w:val="00BB49EE"/>
    <w:pPr>
      <w:numPr>
        <w:numId w:val="39"/>
      </w:numPr>
      <w:spacing w:before="80" w:after="80" w:line="240" w:lineRule="auto"/>
      <w:jc w:val="both"/>
    </w:pPr>
    <w:rPr>
      <w:rFonts w:eastAsia="Calibri" w:cs="Arial"/>
      <w:sz w:val="20"/>
      <w:szCs w:val="20"/>
    </w:rPr>
  </w:style>
  <w:style w:type="character" w:customStyle="1" w:styleId="Puce1Car">
    <w:name w:val="– Puce 1 Car"/>
    <w:basedOn w:val="Policepardfaut"/>
    <w:link w:val="Puce10"/>
    <w:rsid w:val="00BB49EE"/>
    <w:rPr>
      <w:rFonts w:eastAsia="Calibri" w:cs="Arial"/>
      <w:sz w:val="20"/>
      <w:szCs w:val="20"/>
    </w:rPr>
  </w:style>
  <w:style w:type="paragraph" w:customStyle="1" w:styleId="Puce2">
    <w:name w:val="– Puce 2"/>
    <w:link w:val="Puce2Car"/>
    <w:qFormat/>
    <w:rsid w:val="00BB49EE"/>
    <w:pPr>
      <w:numPr>
        <w:ilvl w:val="1"/>
        <w:numId w:val="39"/>
      </w:numPr>
      <w:spacing w:before="80" w:after="80" w:line="240" w:lineRule="auto"/>
      <w:jc w:val="both"/>
    </w:pPr>
    <w:rPr>
      <w:rFonts w:eastAsia="Calibri" w:cs="Arial"/>
      <w:sz w:val="20"/>
      <w:szCs w:val="20"/>
    </w:rPr>
  </w:style>
  <w:style w:type="character" w:customStyle="1" w:styleId="Puce2Car">
    <w:name w:val="– Puce 2 Car"/>
    <w:basedOn w:val="Policepardfaut"/>
    <w:link w:val="Puce2"/>
    <w:rsid w:val="00BB49EE"/>
    <w:rPr>
      <w:rFonts w:eastAsia="Calibri" w:cs="Arial"/>
      <w:sz w:val="20"/>
      <w:szCs w:val="20"/>
    </w:rPr>
  </w:style>
  <w:style w:type="paragraph" w:customStyle="1" w:styleId="Textedeconclusion">
    <w:name w:val="| Texte de conclusion"/>
    <w:link w:val="TextedeconclusionCar"/>
    <w:uiPriority w:val="2"/>
    <w:qFormat/>
    <w:rsid w:val="00BB49EE"/>
    <w:pPr>
      <w:pBdr>
        <w:top w:val="single" w:sz="48" w:space="7" w:color="E5E5E5"/>
        <w:left w:val="single" w:sz="48" w:space="7" w:color="E5E5E5"/>
        <w:bottom w:val="single" w:sz="48" w:space="7" w:color="E5E5E5"/>
        <w:right w:val="single" w:sz="48" w:space="7" w:color="E5E5E5"/>
      </w:pBdr>
      <w:shd w:val="clear" w:color="auto" w:fill="F2F2F2"/>
      <w:spacing w:before="240" w:after="240" w:line="240" w:lineRule="auto"/>
      <w:ind w:left="284" w:right="284"/>
      <w:jc w:val="both"/>
    </w:pPr>
    <w:rPr>
      <w:rFonts w:eastAsia="Calibri" w:cs="Arial"/>
      <w:sz w:val="24"/>
      <w:szCs w:val="20"/>
    </w:rPr>
  </w:style>
  <w:style w:type="character" w:customStyle="1" w:styleId="TextedeconclusionCar">
    <w:name w:val="| Texte de conclusion Car"/>
    <w:basedOn w:val="Policepardfaut"/>
    <w:link w:val="Textedeconclusion"/>
    <w:uiPriority w:val="2"/>
    <w:rsid w:val="00BB49EE"/>
    <w:rPr>
      <w:rFonts w:eastAsia="Calibri" w:cs="Arial"/>
      <w:sz w:val="24"/>
      <w:szCs w:val="20"/>
      <w:shd w:val="clear" w:color="auto" w:fill="F2F2F2"/>
    </w:rPr>
  </w:style>
  <w:style w:type="paragraph" w:customStyle="1" w:styleId="Texteencadr">
    <w:name w:val="| Texte encadré"/>
    <w:link w:val="TexteencadrCar"/>
    <w:uiPriority w:val="2"/>
    <w:qFormat/>
    <w:rsid w:val="00BB49EE"/>
    <w:pPr>
      <w:pBdr>
        <w:top w:val="single" w:sz="4" w:space="10" w:color="9D90A0"/>
        <w:left w:val="single" w:sz="4" w:space="12" w:color="9D90A0"/>
        <w:bottom w:val="single" w:sz="4" w:space="10" w:color="9D90A0"/>
        <w:right w:val="single" w:sz="4" w:space="12" w:color="9D90A0"/>
      </w:pBdr>
      <w:spacing w:before="240" w:after="240" w:line="240" w:lineRule="auto"/>
      <w:ind w:left="284" w:right="284"/>
      <w:jc w:val="both"/>
    </w:pPr>
    <w:rPr>
      <w:rFonts w:eastAsia="Calibri" w:cs="Arial"/>
      <w:color w:val="297FD5"/>
      <w:sz w:val="20"/>
      <w:szCs w:val="20"/>
      <w:lang w:val="pt-BR"/>
    </w:rPr>
  </w:style>
  <w:style w:type="character" w:customStyle="1" w:styleId="TexteencadrCar">
    <w:name w:val="| Texte encadré Car"/>
    <w:basedOn w:val="Policepardfaut"/>
    <w:link w:val="Texteencadr"/>
    <w:uiPriority w:val="2"/>
    <w:rsid w:val="00BB49EE"/>
    <w:rPr>
      <w:rFonts w:eastAsia="Calibri" w:cs="Arial"/>
      <w:color w:val="297FD5"/>
      <w:sz w:val="20"/>
      <w:szCs w:val="20"/>
      <w:lang w:val="pt-BR"/>
    </w:rPr>
  </w:style>
  <w:style w:type="paragraph" w:customStyle="1" w:styleId="Textesous-titre">
    <w:name w:val="| Texte sous-titre"/>
    <w:link w:val="Textesous-titreChar"/>
    <w:uiPriority w:val="2"/>
    <w:qFormat/>
    <w:rsid w:val="00BB49EE"/>
    <w:pPr>
      <w:pBdr>
        <w:bottom w:val="single" w:sz="4" w:space="1" w:color="4A66AC"/>
      </w:pBdr>
      <w:spacing w:before="240" w:after="240" w:line="240" w:lineRule="auto"/>
      <w:jc w:val="both"/>
    </w:pPr>
    <w:rPr>
      <w:rFonts w:eastAsia="Calibri" w:cs="Arial"/>
      <w:caps/>
      <w:color w:val="4A66AC"/>
      <w:spacing w:val="10"/>
      <w:sz w:val="28"/>
      <w:szCs w:val="32"/>
    </w:rPr>
  </w:style>
  <w:style w:type="character" w:customStyle="1" w:styleId="Textesous-titreChar">
    <w:name w:val="| Texte sous-titre Char"/>
    <w:basedOn w:val="Policepardfaut"/>
    <w:link w:val="Textesous-titre"/>
    <w:uiPriority w:val="2"/>
    <w:rsid w:val="00BB49EE"/>
    <w:rPr>
      <w:rFonts w:eastAsia="Calibri" w:cs="Arial"/>
      <w:caps/>
      <w:color w:val="4A66AC"/>
      <w:spacing w:val="10"/>
      <w:sz w:val="28"/>
      <w:szCs w:val="32"/>
    </w:rPr>
  </w:style>
  <w:style w:type="paragraph" w:customStyle="1" w:styleId="Textenumrotation1">
    <w:name w:val="| Texte numérotation 1"/>
    <w:link w:val="Textenumrotation1Car"/>
    <w:uiPriority w:val="2"/>
    <w:qFormat/>
    <w:rsid w:val="00BB49EE"/>
    <w:pPr>
      <w:numPr>
        <w:numId w:val="40"/>
      </w:numPr>
      <w:spacing w:after="120" w:line="240" w:lineRule="auto"/>
      <w:jc w:val="both"/>
    </w:pPr>
    <w:rPr>
      <w:rFonts w:eastAsia="Calibri"/>
      <w:sz w:val="20"/>
      <w:szCs w:val="20"/>
      <w:lang w:val="pt-BR"/>
    </w:rPr>
  </w:style>
  <w:style w:type="character" w:customStyle="1" w:styleId="Textenumrotation1Car">
    <w:name w:val="| Texte numérotation 1 Car"/>
    <w:basedOn w:val="Policepardfaut"/>
    <w:link w:val="Textenumrotation1"/>
    <w:uiPriority w:val="2"/>
    <w:rsid w:val="00BB49EE"/>
    <w:rPr>
      <w:rFonts w:eastAsia="Calibri"/>
      <w:sz w:val="20"/>
      <w:szCs w:val="20"/>
      <w:lang w:val="pt-BR"/>
    </w:rPr>
  </w:style>
  <w:style w:type="paragraph" w:customStyle="1" w:styleId="Textenumrotationa">
    <w:name w:val="| Texte numérotation a"/>
    <w:link w:val="TextenumrotationaCar"/>
    <w:uiPriority w:val="2"/>
    <w:qFormat/>
    <w:rsid w:val="00BB49EE"/>
    <w:pPr>
      <w:numPr>
        <w:numId w:val="41"/>
      </w:numPr>
      <w:spacing w:after="120" w:line="240" w:lineRule="auto"/>
      <w:jc w:val="both"/>
    </w:pPr>
    <w:rPr>
      <w:rFonts w:eastAsia="Calibri"/>
      <w:sz w:val="20"/>
      <w:szCs w:val="20"/>
      <w:lang w:val="pt-BR"/>
    </w:rPr>
  </w:style>
  <w:style w:type="character" w:customStyle="1" w:styleId="TextenumrotationaCar">
    <w:name w:val="| Texte numérotation a Car"/>
    <w:basedOn w:val="Policepardfaut"/>
    <w:link w:val="Textenumrotationa"/>
    <w:uiPriority w:val="2"/>
    <w:rsid w:val="00BB49EE"/>
    <w:rPr>
      <w:rFonts w:eastAsia="Calibri"/>
      <w:sz w:val="20"/>
      <w:szCs w:val="20"/>
      <w:lang w:val="pt-BR"/>
    </w:rPr>
  </w:style>
  <w:style w:type="paragraph" w:customStyle="1" w:styleId="Puce3">
    <w:name w:val="– Puce 3"/>
    <w:link w:val="Puce3Car"/>
    <w:qFormat/>
    <w:rsid w:val="00BB49EE"/>
    <w:pPr>
      <w:numPr>
        <w:ilvl w:val="2"/>
        <w:numId w:val="42"/>
      </w:numPr>
      <w:spacing w:before="80" w:after="80" w:line="240" w:lineRule="auto"/>
      <w:jc w:val="both"/>
    </w:pPr>
    <w:rPr>
      <w:rFonts w:eastAsia="Calibri"/>
      <w:sz w:val="20"/>
      <w:szCs w:val="20"/>
    </w:rPr>
  </w:style>
  <w:style w:type="character" w:customStyle="1" w:styleId="Puce3Car">
    <w:name w:val="– Puce 3 Car"/>
    <w:basedOn w:val="Policepardfaut"/>
    <w:link w:val="Puce3"/>
    <w:rsid w:val="00BB49EE"/>
    <w:rPr>
      <w:rFonts w:eastAsia="Calibri"/>
      <w:sz w:val="20"/>
      <w:szCs w:val="20"/>
    </w:rPr>
  </w:style>
  <w:style w:type="paragraph" w:customStyle="1" w:styleId="Puce4">
    <w:name w:val="– Puce 4"/>
    <w:link w:val="Puce4Car"/>
    <w:qFormat/>
    <w:rsid w:val="00BB49EE"/>
    <w:pPr>
      <w:numPr>
        <w:ilvl w:val="3"/>
        <w:numId w:val="42"/>
      </w:numPr>
      <w:spacing w:before="40" w:after="40" w:line="240" w:lineRule="auto"/>
      <w:jc w:val="both"/>
    </w:pPr>
    <w:rPr>
      <w:rFonts w:eastAsia="Calibri"/>
      <w:sz w:val="20"/>
      <w:szCs w:val="24"/>
    </w:rPr>
  </w:style>
  <w:style w:type="character" w:customStyle="1" w:styleId="Puce4Car">
    <w:name w:val="– Puce 4 Car"/>
    <w:basedOn w:val="Policepardfaut"/>
    <w:link w:val="Puce4"/>
    <w:rsid w:val="00BB49EE"/>
    <w:rPr>
      <w:rFonts w:eastAsia="Calibri"/>
      <w:sz w:val="20"/>
      <w:szCs w:val="24"/>
    </w:rPr>
  </w:style>
  <w:style w:type="paragraph" w:customStyle="1" w:styleId="Titre0">
    <w:name w:val="Titre 0"/>
    <w:next w:val="Normal"/>
    <w:link w:val="Titre0Car"/>
    <w:uiPriority w:val="1"/>
    <w:qFormat/>
    <w:rsid w:val="00BB49EE"/>
    <w:pPr>
      <w:numPr>
        <w:numId w:val="43"/>
      </w:numPr>
      <w:spacing w:after="120" w:line="216" w:lineRule="auto"/>
      <w:jc w:val="both"/>
    </w:pPr>
    <w:rPr>
      <w:rFonts w:eastAsia="Calibri"/>
      <w:b/>
      <w:caps/>
      <w:color w:val="4A66AC"/>
      <w:sz w:val="28"/>
      <w:szCs w:val="44"/>
    </w:rPr>
  </w:style>
  <w:style w:type="character" w:customStyle="1" w:styleId="Titre0Car">
    <w:name w:val="Titre 0 Car"/>
    <w:basedOn w:val="Policepardfaut"/>
    <w:link w:val="Titre0"/>
    <w:uiPriority w:val="1"/>
    <w:rsid w:val="00BB49EE"/>
    <w:rPr>
      <w:rFonts w:eastAsia="Calibri"/>
      <w:b/>
      <w:caps/>
      <w:color w:val="4A66AC"/>
      <w:sz w:val="28"/>
      <w:szCs w:val="44"/>
    </w:rPr>
  </w:style>
  <w:style w:type="paragraph" w:customStyle="1" w:styleId="Tableaudescription">
    <w:name w:val="= Tableau description"/>
    <w:link w:val="TableaudescriptionCar"/>
    <w:uiPriority w:val="3"/>
    <w:qFormat/>
    <w:rsid w:val="00BB49EE"/>
    <w:pPr>
      <w:spacing w:after="0" w:line="240" w:lineRule="auto"/>
      <w:jc w:val="both"/>
    </w:pPr>
    <w:rPr>
      <w:rFonts w:eastAsia="Calibri" w:cs="Arial"/>
      <w:b/>
      <w:sz w:val="20"/>
      <w:szCs w:val="16"/>
    </w:rPr>
  </w:style>
  <w:style w:type="character" w:customStyle="1" w:styleId="TableaudescriptionCar">
    <w:name w:val="= Tableau description Car"/>
    <w:basedOn w:val="Policepardfaut"/>
    <w:link w:val="Tableaudescription"/>
    <w:uiPriority w:val="3"/>
    <w:rsid w:val="00BB49EE"/>
    <w:rPr>
      <w:rFonts w:eastAsia="Calibri" w:cs="Arial"/>
      <w:b/>
      <w:sz w:val="20"/>
      <w:szCs w:val="16"/>
    </w:rPr>
  </w:style>
  <w:style w:type="paragraph" w:customStyle="1" w:styleId="Tableauchiffres">
    <w:name w:val="= Tableau chiffres"/>
    <w:link w:val="TableauchiffresCar"/>
    <w:uiPriority w:val="3"/>
    <w:qFormat/>
    <w:rsid w:val="00BB49EE"/>
    <w:pPr>
      <w:spacing w:before="40" w:after="40" w:line="240" w:lineRule="auto"/>
      <w:jc w:val="right"/>
    </w:pPr>
    <w:rPr>
      <w:rFonts w:eastAsia="Calibri" w:cs="Arial"/>
      <w:sz w:val="20"/>
      <w:szCs w:val="16"/>
    </w:rPr>
  </w:style>
  <w:style w:type="character" w:customStyle="1" w:styleId="TableauchiffresCar">
    <w:name w:val="= Tableau chiffres Car"/>
    <w:basedOn w:val="Policepardfaut"/>
    <w:link w:val="Tableauchiffres"/>
    <w:uiPriority w:val="3"/>
    <w:rsid w:val="00BB49EE"/>
    <w:rPr>
      <w:rFonts w:eastAsia="Calibri" w:cs="Arial"/>
      <w:sz w:val="20"/>
      <w:szCs w:val="16"/>
    </w:rPr>
  </w:style>
  <w:style w:type="paragraph" w:customStyle="1" w:styleId="Tableausous-titre">
    <w:name w:val="= Tableau sous-titre"/>
    <w:link w:val="Tableausous-titreCar"/>
    <w:uiPriority w:val="3"/>
    <w:qFormat/>
    <w:rsid w:val="00BB49EE"/>
    <w:pPr>
      <w:spacing w:after="0" w:line="240" w:lineRule="auto"/>
      <w:jc w:val="both"/>
    </w:pPr>
    <w:rPr>
      <w:rFonts w:eastAsia="Calibri" w:cs="Calibri"/>
      <w:color w:val="ACCBF9"/>
      <w:sz w:val="16"/>
      <w:szCs w:val="15"/>
    </w:rPr>
  </w:style>
  <w:style w:type="character" w:customStyle="1" w:styleId="Tableausous-titreCar">
    <w:name w:val="= Tableau sous-titre Car"/>
    <w:basedOn w:val="Policepardfaut"/>
    <w:link w:val="Tableausous-titre"/>
    <w:uiPriority w:val="3"/>
    <w:rsid w:val="00BB49EE"/>
    <w:rPr>
      <w:rFonts w:eastAsia="Calibri" w:cs="Calibri"/>
      <w:color w:val="ACCBF9"/>
      <w:sz w:val="16"/>
      <w:szCs w:val="15"/>
    </w:rPr>
  </w:style>
  <w:style w:type="paragraph" w:customStyle="1" w:styleId="Tableautitrecolonne">
    <w:name w:val="= Tableau titre colonne"/>
    <w:link w:val="TableautitrecolonneCar"/>
    <w:uiPriority w:val="3"/>
    <w:qFormat/>
    <w:rsid w:val="00BB49EE"/>
    <w:pPr>
      <w:pBdr>
        <w:bottom w:val="single" w:sz="4" w:space="1" w:color="7F8FA9"/>
      </w:pBdr>
      <w:spacing w:after="0" w:line="240" w:lineRule="auto"/>
      <w:jc w:val="both"/>
    </w:pPr>
    <w:rPr>
      <w:rFonts w:eastAsia="Calibri" w:cs="Arial"/>
      <w:caps/>
      <w:color w:val="7F8FA9"/>
      <w:sz w:val="18"/>
      <w:szCs w:val="16"/>
    </w:rPr>
  </w:style>
  <w:style w:type="character" w:customStyle="1" w:styleId="TableautitrecolonneCar">
    <w:name w:val="= Tableau titre colonne Car"/>
    <w:basedOn w:val="Policepardfaut"/>
    <w:link w:val="Tableautitrecolonne"/>
    <w:uiPriority w:val="3"/>
    <w:rsid w:val="00BB49EE"/>
    <w:rPr>
      <w:rFonts w:eastAsia="Calibri" w:cs="Arial"/>
      <w:caps/>
      <w:color w:val="7F8FA9"/>
      <w:sz w:val="18"/>
      <w:szCs w:val="16"/>
    </w:rPr>
  </w:style>
  <w:style w:type="paragraph" w:customStyle="1" w:styleId="Tableautotal">
    <w:name w:val="= Tableau total"/>
    <w:link w:val="TableautotalCar"/>
    <w:uiPriority w:val="3"/>
    <w:qFormat/>
    <w:rsid w:val="00BB49EE"/>
    <w:pPr>
      <w:spacing w:after="0" w:line="240" w:lineRule="auto"/>
      <w:jc w:val="both"/>
    </w:pPr>
    <w:rPr>
      <w:rFonts w:eastAsia="Calibri" w:cs="Arial"/>
      <w:b/>
      <w:color w:val="7F8FA9"/>
      <w:sz w:val="20"/>
      <w:szCs w:val="16"/>
    </w:rPr>
  </w:style>
  <w:style w:type="character" w:customStyle="1" w:styleId="TableautotalCar">
    <w:name w:val="= Tableau total Car"/>
    <w:basedOn w:val="Policepardfaut"/>
    <w:link w:val="Tableautotal"/>
    <w:uiPriority w:val="3"/>
    <w:rsid w:val="00BB49EE"/>
    <w:rPr>
      <w:rFonts w:eastAsia="Calibri" w:cs="Arial"/>
      <w:b/>
      <w:color w:val="7F8FA9"/>
      <w:sz w:val="20"/>
      <w:szCs w:val="16"/>
    </w:rPr>
  </w:style>
  <w:style w:type="paragraph" w:customStyle="1" w:styleId="Tableautitrecolonnebleu">
    <w:name w:val="= Tableau titre colonne bleu"/>
    <w:link w:val="TableautitrecolonnebleuCar"/>
    <w:uiPriority w:val="3"/>
    <w:qFormat/>
    <w:rsid w:val="00BB49EE"/>
    <w:pPr>
      <w:pBdr>
        <w:top w:val="single" w:sz="18" w:space="2" w:color="7F8FA9"/>
        <w:left w:val="single" w:sz="18" w:space="2" w:color="7F8FA9"/>
        <w:bottom w:val="single" w:sz="18" w:space="2" w:color="7F8FA9"/>
        <w:right w:val="single" w:sz="18" w:space="2" w:color="7F8FA9"/>
      </w:pBdr>
      <w:shd w:val="clear" w:color="auto" w:fill="7F8FA9"/>
      <w:spacing w:after="0" w:line="240" w:lineRule="auto"/>
      <w:jc w:val="both"/>
    </w:pPr>
    <w:rPr>
      <w:rFonts w:eastAsia="Calibri" w:cs="Calibri"/>
      <w:b/>
      <w:caps/>
      <w:color w:val="FFFFFF"/>
      <w:sz w:val="18"/>
      <w:szCs w:val="16"/>
    </w:rPr>
  </w:style>
  <w:style w:type="character" w:customStyle="1" w:styleId="TableautitrecolonnebleuCar">
    <w:name w:val="= Tableau titre colonne bleu Car"/>
    <w:basedOn w:val="Policepardfaut"/>
    <w:link w:val="Tableautitrecolonnebleu"/>
    <w:uiPriority w:val="3"/>
    <w:locked/>
    <w:rsid w:val="00BB49EE"/>
    <w:rPr>
      <w:rFonts w:eastAsia="Calibri" w:cs="Calibri"/>
      <w:b/>
      <w:caps/>
      <w:color w:val="FFFFFF"/>
      <w:sz w:val="18"/>
      <w:szCs w:val="16"/>
      <w:shd w:val="clear" w:color="auto" w:fill="7F8FA9"/>
    </w:rPr>
  </w:style>
  <w:style w:type="paragraph" w:customStyle="1" w:styleId="Texteitalique">
    <w:name w:val="| Texte italique"/>
    <w:link w:val="TexteitaliqueCar"/>
    <w:uiPriority w:val="2"/>
    <w:qFormat/>
    <w:rsid w:val="00BB49EE"/>
    <w:pPr>
      <w:spacing w:before="80" w:after="80" w:line="240" w:lineRule="auto"/>
      <w:jc w:val="both"/>
    </w:pPr>
    <w:rPr>
      <w:rFonts w:eastAsia="Calibri"/>
      <w:i/>
      <w:color w:val="7F8FA9"/>
      <w:sz w:val="20"/>
      <w:szCs w:val="20"/>
    </w:rPr>
  </w:style>
  <w:style w:type="character" w:customStyle="1" w:styleId="TexteitaliqueCar">
    <w:name w:val="| Texte italique Car"/>
    <w:basedOn w:val="Policepardfaut"/>
    <w:link w:val="Texteitalique"/>
    <w:uiPriority w:val="2"/>
    <w:rsid w:val="00BB49EE"/>
    <w:rPr>
      <w:rFonts w:eastAsia="Calibri"/>
      <w:i/>
      <w:color w:val="7F8FA9"/>
      <w:sz w:val="20"/>
      <w:szCs w:val="20"/>
    </w:rPr>
  </w:style>
  <w:style w:type="paragraph" w:customStyle="1" w:styleId="N2">
    <w:name w:val="N2"/>
    <w:basedOn w:val="Normal"/>
    <w:qFormat/>
    <w:rsid w:val="00BB49EE"/>
    <w:pPr>
      <w:spacing w:before="0" w:after="0" w:line="240" w:lineRule="auto"/>
      <w:ind w:left="57"/>
      <w:jc w:val="left"/>
    </w:pPr>
    <w:rPr>
      <w:rFonts w:ascii="Segoe UI" w:eastAsia="Calibri" w:hAnsi="Segoe UI" w:cs="Times New Roman"/>
      <w:sz w:val="12"/>
      <w:szCs w:val="12"/>
      <w:lang w:val="fr-MA" w:bidi="ar-SA"/>
    </w:rPr>
  </w:style>
  <w:style w:type="paragraph" w:customStyle="1" w:styleId="Puces1">
    <w:name w:val="Puces 1"/>
    <w:basedOn w:val="Normal"/>
    <w:link w:val="Puces1Car"/>
    <w:qFormat/>
    <w:rsid w:val="00BB49EE"/>
    <w:pPr>
      <w:widowControl w:val="0"/>
      <w:numPr>
        <w:numId w:val="44"/>
      </w:numPr>
      <w:spacing w:before="0" w:after="100" w:afterAutospacing="1" w:line="240" w:lineRule="auto"/>
    </w:pPr>
    <w:rPr>
      <w:rFonts w:ascii="Calibri Light" w:eastAsia="Calibri" w:hAnsi="Calibri Light" w:cs="Times New Roman"/>
      <w:color w:val="000000"/>
      <w:sz w:val="20"/>
      <w:szCs w:val="24"/>
      <w:lang w:val="fr-MA" w:bidi="ar-SA"/>
    </w:rPr>
  </w:style>
  <w:style w:type="character" w:customStyle="1" w:styleId="Puces1Car">
    <w:name w:val="Puces 1 Car"/>
    <w:link w:val="Puces1"/>
    <w:locked/>
    <w:rsid w:val="00BB49EE"/>
    <w:rPr>
      <w:rFonts w:ascii="Calibri Light" w:eastAsia="Calibri" w:hAnsi="Calibri Light" w:cs="Times New Roman"/>
      <w:color w:val="000000"/>
      <w:sz w:val="20"/>
      <w:szCs w:val="24"/>
    </w:rPr>
  </w:style>
  <w:style w:type="paragraph" w:customStyle="1" w:styleId="Puces2">
    <w:name w:val="Puces 2"/>
    <w:basedOn w:val="Puces1"/>
    <w:qFormat/>
    <w:rsid w:val="00BB49EE"/>
    <w:pPr>
      <w:numPr>
        <w:ilvl w:val="1"/>
      </w:numPr>
      <w:tabs>
        <w:tab w:val="clear" w:pos="1134"/>
        <w:tab w:val="num" w:pos="360"/>
        <w:tab w:val="num" w:pos="680"/>
      </w:tabs>
      <w:ind w:left="1440" w:hanging="360"/>
    </w:pPr>
  </w:style>
  <w:style w:type="paragraph" w:customStyle="1" w:styleId="Paragraphe">
    <w:name w:val="Paragraphe"/>
    <w:basedOn w:val="Normal"/>
    <w:link w:val="ParagrapheCar"/>
    <w:qFormat/>
    <w:rsid w:val="00BB49EE"/>
    <w:pPr>
      <w:spacing w:before="100" w:beforeAutospacing="1" w:after="100" w:afterAutospacing="1" w:line="312" w:lineRule="auto"/>
    </w:pPr>
    <w:rPr>
      <w:rFonts w:ascii="Segoe UI" w:eastAsia="DengXian" w:hAnsi="Segoe UI"/>
      <w:sz w:val="20"/>
      <w:szCs w:val="20"/>
      <w:lang w:val="fr-MA" w:bidi="ar-SA"/>
    </w:rPr>
  </w:style>
  <w:style w:type="character" w:customStyle="1" w:styleId="ParagrapheCar">
    <w:name w:val="Paragraphe Car"/>
    <w:link w:val="Paragraphe"/>
    <w:rsid w:val="00BB49EE"/>
    <w:rPr>
      <w:rFonts w:ascii="Segoe UI" w:eastAsia="DengXian" w:hAnsi="Segoe UI" w:cs="Arial"/>
      <w:sz w:val="20"/>
      <w:szCs w:val="20"/>
    </w:rPr>
  </w:style>
  <w:style w:type="paragraph" w:customStyle="1" w:styleId="Bullet1">
    <w:name w:val="– Bullet 1"/>
    <w:link w:val="Bullet1Char"/>
    <w:qFormat/>
    <w:rsid w:val="00BB49EE"/>
    <w:pPr>
      <w:tabs>
        <w:tab w:val="left" w:pos="340"/>
      </w:tabs>
      <w:spacing w:before="80" w:after="80" w:line="240" w:lineRule="auto"/>
      <w:ind w:left="717" w:hanging="360"/>
      <w:jc w:val="both"/>
    </w:pPr>
    <w:rPr>
      <w:rFonts w:eastAsia="Calibri" w:cs="Arial"/>
      <w:sz w:val="18"/>
      <w:szCs w:val="20"/>
      <w:lang w:val="en-GB"/>
    </w:rPr>
  </w:style>
  <w:style w:type="character" w:customStyle="1" w:styleId="Bullet1Char">
    <w:name w:val="– Bullet 1 Char"/>
    <w:basedOn w:val="Policepardfaut"/>
    <w:link w:val="Bullet1"/>
    <w:rsid w:val="00BB49EE"/>
    <w:rPr>
      <w:rFonts w:eastAsia="Calibri" w:cs="Arial"/>
      <w:sz w:val="18"/>
      <w:szCs w:val="20"/>
      <w:lang w:val="en-GB"/>
    </w:rPr>
  </w:style>
  <w:style w:type="paragraph" w:customStyle="1" w:styleId="Bullet3">
    <w:name w:val="– Bullet 3"/>
    <w:basedOn w:val="Bullet1"/>
    <w:link w:val="Bullet3Char"/>
    <w:qFormat/>
    <w:rsid w:val="00BB49EE"/>
    <w:pPr>
      <w:numPr>
        <w:numId w:val="45"/>
      </w:numPr>
      <w:tabs>
        <w:tab w:val="clear" w:pos="340"/>
      </w:tabs>
      <w:spacing w:before="0" w:after="120"/>
    </w:pPr>
    <w:rPr>
      <w:rFonts w:ascii="Segoe UI" w:hAnsi="Segoe UI" w:cs="Segoe UI"/>
    </w:rPr>
  </w:style>
  <w:style w:type="character" w:customStyle="1" w:styleId="Bullet3Char">
    <w:name w:val="– Bullet 3 Char"/>
    <w:basedOn w:val="Policepardfaut"/>
    <w:link w:val="Bullet3"/>
    <w:rsid w:val="00BB49EE"/>
    <w:rPr>
      <w:rFonts w:ascii="Segoe UI" w:eastAsia="Calibri" w:hAnsi="Segoe UI" w:cs="Segoe UI"/>
      <w:sz w:val="18"/>
      <w:szCs w:val="20"/>
      <w:lang w:val="en-GB"/>
    </w:rPr>
  </w:style>
  <w:style w:type="paragraph" w:customStyle="1" w:styleId="Bullet2">
    <w:name w:val="– Bullet 2"/>
    <w:link w:val="Bullet2Char"/>
    <w:qFormat/>
    <w:rsid w:val="00BB49EE"/>
    <w:pPr>
      <w:tabs>
        <w:tab w:val="num" w:pos="680"/>
      </w:tabs>
      <w:spacing w:before="80" w:after="80" w:line="240" w:lineRule="auto"/>
      <w:ind w:left="680" w:hanging="340"/>
      <w:jc w:val="both"/>
    </w:pPr>
    <w:rPr>
      <w:rFonts w:eastAsia="Calibri" w:cs="Arial"/>
      <w:color w:val="4A66AC"/>
      <w:sz w:val="20"/>
      <w:szCs w:val="20"/>
      <w:lang w:val="en-GB"/>
    </w:rPr>
  </w:style>
  <w:style w:type="character" w:customStyle="1" w:styleId="Bullet2Char">
    <w:name w:val="– Bullet 2 Char"/>
    <w:basedOn w:val="Policepardfaut"/>
    <w:link w:val="Bullet2"/>
    <w:rsid w:val="00BB49EE"/>
    <w:rPr>
      <w:rFonts w:eastAsia="Calibri" w:cs="Arial"/>
      <w:color w:val="4A66AC"/>
      <w:sz w:val="20"/>
      <w:szCs w:val="20"/>
      <w:lang w:val="en-GB"/>
    </w:rPr>
  </w:style>
  <w:style w:type="paragraph" w:customStyle="1" w:styleId="Bullet4">
    <w:name w:val="– Bullet 4"/>
    <w:basedOn w:val="Normal"/>
    <w:qFormat/>
    <w:rsid w:val="00BB49EE"/>
    <w:pPr>
      <w:tabs>
        <w:tab w:val="num" w:pos="1134"/>
      </w:tabs>
      <w:spacing w:before="40" w:after="40" w:line="240" w:lineRule="auto"/>
      <w:ind w:left="1134" w:hanging="227"/>
    </w:pPr>
    <w:rPr>
      <w:rFonts w:eastAsia="Calibri"/>
      <w:sz w:val="20"/>
      <w:szCs w:val="24"/>
      <w:lang w:val="en-GB" w:bidi="ar-SA"/>
    </w:rPr>
  </w:style>
  <w:style w:type="paragraph" w:customStyle="1" w:styleId="Textnumbering1">
    <w:name w:val="| Text numbering 1"/>
    <w:uiPriority w:val="2"/>
    <w:qFormat/>
    <w:rsid w:val="00BB49EE"/>
    <w:pPr>
      <w:numPr>
        <w:numId w:val="46"/>
      </w:numPr>
      <w:spacing w:after="120" w:line="240" w:lineRule="auto"/>
      <w:jc w:val="both"/>
    </w:pPr>
    <w:rPr>
      <w:rFonts w:eastAsia="Calibri"/>
      <w:sz w:val="20"/>
      <w:szCs w:val="20"/>
    </w:rPr>
  </w:style>
  <w:style w:type="paragraph" w:customStyle="1" w:styleId="Textnumberinga">
    <w:name w:val="| Text numbering a"/>
    <w:uiPriority w:val="2"/>
    <w:qFormat/>
    <w:rsid w:val="00BB49EE"/>
    <w:pPr>
      <w:numPr>
        <w:numId w:val="47"/>
      </w:numPr>
      <w:tabs>
        <w:tab w:val="num" w:pos="720"/>
      </w:tabs>
      <w:spacing w:after="120" w:line="240" w:lineRule="auto"/>
      <w:jc w:val="both"/>
    </w:pPr>
    <w:rPr>
      <w:rFonts w:eastAsia="Calibri"/>
      <w:sz w:val="20"/>
      <w:szCs w:val="20"/>
    </w:rPr>
  </w:style>
  <w:style w:type="paragraph" w:customStyle="1" w:styleId="ListepucesModele">
    <w:name w:val="Liste à puces Modele"/>
    <w:basedOn w:val="Normal"/>
    <w:link w:val="ListepucesModeleCar"/>
    <w:qFormat/>
    <w:rsid w:val="00BB49EE"/>
    <w:pPr>
      <w:numPr>
        <w:numId w:val="48"/>
      </w:numPr>
      <w:spacing w:before="0" w:after="0" w:line="336" w:lineRule="auto"/>
    </w:pPr>
    <w:rPr>
      <w:rFonts w:eastAsia="Calibri"/>
      <w:color w:val="000000"/>
      <w:w w:val="90"/>
      <w:sz w:val="20"/>
      <w:szCs w:val="20"/>
      <w:lang w:val="fr-MA" w:bidi="ar-SA"/>
    </w:rPr>
  </w:style>
  <w:style w:type="character" w:customStyle="1" w:styleId="ListepucesModeleCar">
    <w:name w:val="Liste à puces Modele Car"/>
    <w:link w:val="ListepucesModele"/>
    <w:rsid w:val="00BB49EE"/>
    <w:rPr>
      <w:rFonts w:ascii="Calibri" w:eastAsia="Calibri" w:hAnsi="Calibri" w:cs="Arial"/>
      <w:color w:val="000000"/>
      <w:w w:val="90"/>
      <w:sz w:val="20"/>
      <w:szCs w:val="20"/>
    </w:rPr>
  </w:style>
  <w:style w:type="paragraph" w:customStyle="1" w:styleId="Corpsdetexteespaces0">
    <w:name w:val="Corps de texte espaces 0"/>
    <w:basedOn w:val="Corpsdetexte"/>
    <w:qFormat/>
    <w:rsid w:val="00BB49EE"/>
    <w:pPr>
      <w:spacing w:after="0" w:line="240" w:lineRule="auto"/>
      <w:jc w:val="center"/>
    </w:pPr>
    <w:rPr>
      <w:rFonts w:eastAsia="Times New Roman"/>
      <w:color w:val="000000"/>
      <w:w w:val="90"/>
      <w:sz w:val="20"/>
      <w:szCs w:val="20"/>
      <w:lang w:val="fr-MA" w:eastAsia="en-US"/>
    </w:rPr>
  </w:style>
  <w:style w:type="paragraph" w:customStyle="1" w:styleId="Sous-titrecaen">
    <w:name w:val="Sous-titre caen"/>
    <w:basedOn w:val="Corpsdetexte"/>
    <w:next w:val="Corpsdetexte"/>
    <w:qFormat/>
    <w:rsid w:val="00BB49EE"/>
    <w:pPr>
      <w:keepNext/>
      <w:spacing w:before="120" w:after="0" w:line="336" w:lineRule="auto"/>
      <w:jc w:val="both"/>
    </w:pPr>
    <w:rPr>
      <w:rFonts w:eastAsia="Times New Roman" w:cs="Arial"/>
      <w:b/>
      <w:color w:val="92D050"/>
      <w:w w:val="90"/>
      <w:sz w:val="28"/>
      <w:szCs w:val="28"/>
      <w:lang w:val="fr-MA" w:eastAsia="en-US"/>
    </w:rPr>
  </w:style>
  <w:style w:type="paragraph" w:customStyle="1" w:styleId="Tabledescription">
    <w:name w:val="= Table description"/>
    <w:link w:val="TabledescriptionCar"/>
    <w:uiPriority w:val="3"/>
    <w:qFormat/>
    <w:rsid w:val="00BB49EE"/>
    <w:pPr>
      <w:spacing w:after="0" w:line="240" w:lineRule="auto"/>
      <w:jc w:val="both"/>
    </w:pPr>
    <w:rPr>
      <w:rFonts w:eastAsia="MS Mincho" w:cs="Arial"/>
      <w:b/>
      <w:sz w:val="20"/>
      <w:szCs w:val="16"/>
      <w:lang w:val="en-GB"/>
    </w:rPr>
  </w:style>
  <w:style w:type="character" w:customStyle="1" w:styleId="TabledescriptionCar">
    <w:name w:val="= Table description Car"/>
    <w:basedOn w:val="Policepardfaut"/>
    <w:link w:val="Tabledescription"/>
    <w:uiPriority w:val="3"/>
    <w:rsid w:val="00BB49EE"/>
    <w:rPr>
      <w:rFonts w:eastAsia="MS Mincho" w:cs="Arial"/>
      <w:b/>
      <w:sz w:val="20"/>
      <w:szCs w:val="16"/>
      <w:lang w:val="en-GB"/>
    </w:rPr>
  </w:style>
  <w:style w:type="paragraph" w:customStyle="1" w:styleId="Tablenumbers">
    <w:name w:val="= Table numbers"/>
    <w:link w:val="TablenumbersChar"/>
    <w:uiPriority w:val="3"/>
    <w:qFormat/>
    <w:rsid w:val="00BB49EE"/>
    <w:pPr>
      <w:spacing w:before="40" w:after="40" w:line="240" w:lineRule="auto"/>
      <w:jc w:val="right"/>
    </w:pPr>
    <w:rPr>
      <w:rFonts w:eastAsia="MS Mincho" w:cs="Arial"/>
      <w:sz w:val="20"/>
      <w:szCs w:val="16"/>
      <w:lang w:val="en-GB"/>
    </w:rPr>
  </w:style>
  <w:style w:type="character" w:customStyle="1" w:styleId="TablenumbersChar">
    <w:name w:val="= Table numbers Char"/>
    <w:basedOn w:val="Policepardfaut"/>
    <w:link w:val="Tablenumbers"/>
    <w:uiPriority w:val="3"/>
    <w:rsid w:val="00BB49EE"/>
    <w:rPr>
      <w:rFonts w:eastAsia="MS Mincho" w:cs="Arial"/>
      <w:sz w:val="20"/>
      <w:szCs w:val="16"/>
      <w:lang w:val="en-GB"/>
    </w:rPr>
  </w:style>
  <w:style w:type="paragraph" w:customStyle="1" w:styleId="Tablecolumnsheading">
    <w:name w:val="= Table columns heading"/>
    <w:link w:val="TablecolumnsheadingChar"/>
    <w:uiPriority w:val="3"/>
    <w:qFormat/>
    <w:rsid w:val="00BB49EE"/>
    <w:pPr>
      <w:pBdr>
        <w:bottom w:val="single" w:sz="4" w:space="1" w:color="7F8FA9"/>
      </w:pBdr>
      <w:spacing w:after="0" w:line="240" w:lineRule="auto"/>
      <w:jc w:val="both"/>
    </w:pPr>
    <w:rPr>
      <w:rFonts w:eastAsia="MS Mincho" w:cs="Arial"/>
      <w:caps/>
      <w:color w:val="7F8FA9"/>
      <w:sz w:val="18"/>
      <w:szCs w:val="16"/>
      <w:lang w:val="en-GB"/>
    </w:rPr>
  </w:style>
  <w:style w:type="character" w:customStyle="1" w:styleId="TablecolumnsheadingChar">
    <w:name w:val="= Table columns heading Char"/>
    <w:basedOn w:val="Policepardfaut"/>
    <w:link w:val="Tablecolumnsheading"/>
    <w:uiPriority w:val="3"/>
    <w:rsid w:val="00BB49EE"/>
    <w:rPr>
      <w:rFonts w:eastAsia="MS Mincho" w:cs="Arial"/>
      <w:caps/>
      <w:color w:val="7F8FA9"/>
      <w:sz w:val="18"/>
      <w:szCs w:val="16"/>
      <w:lang w:val="en-GB"/>
    </w:rPr>
  </w:style>
  <w:style w:type="paragraph" w:customStyle="1" w:styleId="Table">
    <w:name w:val="Table"/>
    <w:basedOn w:val="Lgende"/>
    <w:link w:val="TableCar"/>
    <w:qFormat/>
    <w:rsid w:val="00BB49EE"/>
    <w:pPr>
      <w:spacing w:before="20" w:after="0" w:line="216" w:lineRule="auto"/>
    </w:pPr>
    <w:rPr>
      <w:rFonts w:eastAsia="Segoe UI" w:cs="Calibri"/>
      <w:i/>
      <w:sz w:val="18"/>
      <w:szCs w:val="15"/>
      <w:lang w:val="en-GB" w:eastAsia="en-US"/>
    </w:rPr>
  </w:style>
  <w:style w:type="character" w:customStyle="1" w:styleId="TableCar">
    <w:name w:val="Table Car"/>
    <w:basedOn w:val="Policepardfaut"/>
    <w:link w:val="Table"/>
    <w:rsid w:val="00BB49EE"/>
    <w:rPr>
      <w:rFonts w:ascii="Calibri" w:eastAsia="Segoe UI" w:hAnsi="Calibri" w:cs="Calibri"/>
      <w:b/>
      <w:bCs/>
      <w:i/>
      <w:sz w:val="18"/>
      <w:szCs w:val="15"/>
      <w:lang w:val="en-GB"/>
    </w:rPr>
  </w:style>
  <w:style w:type="paragraph" w:customStyle="1" w:styleId="SETECTitre1">
    <w:name w:val="SETEC_Titre 1"/>
    <w:basedOn w:val="Normal"/>
    <w:next w:val="Normal"/>
    <w:uiPriority w:val="1"/>
    <w:qFormat/>
    <w:rsid w:val="00BB49EE"/>
    <w:pPr>
      <w:keepNext/>
      <w:numPr>
        <w:numId w:val="49"/>
      </w:numPr>
      <w:tabs>
        <w:tab w:val="clear" w:pos="624"/>
      </w:tabs>
      <w:spacing w:before="360" w:after="240" w:line="228" w:lineRule="auto"/>
      <w:ind w:left="720" w:hanging="360"/>
      <w:outlineLvl w:val="0"/>
    </w:pPr>
    <w:rPr>
      <w:rFonts w:eastAsia="Calibri"/>
      <w:b/>
      <w:color w:val="4A66AC"/>
      <w:sz w:val="28"/>
      <w:szCs w:val="18"/>
      <w:lang w:val="fr-MA" w:bidi="ar-SA"/>
    </w:rPr>
  </w:style>
  <w:style w:type="paragraph" w:customStyle="1" w:styleId="SETECTitre2">
    <w:name w:val="SETEC_Titre 2"/>
    <w:basedOn w:val="Normal"/>
    <w:next w:val="Normal"/>
    <w:uiPriority w:val="1"/>
    <w:qFormat/>
    <w:rsid w:val="00BB49EE"/>
    <w:pPr>
      <w:keepNext/>
      <w:numPr>
        <w:ilvl w:val="1"/>
        <w:numId w:val="49"/>
      </w:numPr>
      <w:tabs>
        <w:tab w:val="clear" w:pos="397"/>
      </w:tabs>
      <w:spacing w:before="360" w:after="240" w:line="240" w:lineRule="auto"/>
      <w:ind w:left="1440" w:hanging="360"/>
      <w:outlineLvl w:val="1"/>
    </w:pPr>
    <w:rPr>
      <w:rFonts w:eastAsia="Calibri"/>
      <w:b/>
      <w:sz w:val="24"/>
      <w:szCs w:val="18"/>
      <w:lang w:val="fr-MA" w:bidi="ar-SA"/>
    </w:rPr>
  </w:style>
  <w:style w:type="paragraph" w:customStyle="1" w:styleId="SETECTitre3">
    <w:name w:val="SETEC_Titre 3"/>
    <w:basedOn w:val="Normal"/>
    <w:next w:val="Normal"/>
    <w:uiPriority w:val="1"/>
    <w:qFormat/>
    <w:rsid w:val="00BB49EE"/>
    <w:pPr>
      <w:keepNext/>
      <w:numPr>
        <w:ilvl w:val="2"/>
        <w:numId w:val="49"/>
      </w:numPr>
      <w:spacing w:before="360" w:after="240" w:line="240" w:lineRule="auto"/>
      <w:jc w:val="left"/>
      <w:outlineLvl w:val="2"/>
    </w:pPr>
    <w:rPr>
      <w:rFonts w:eastAsia="Calibri"/>
      <w:b/>
      <w:sz w:val="20"/>
      <w:szCs w:val="20"/>
      <w:lang w:val="fr-MA" w:bidi="ar-SA"/>
    </w:rPr>
  </w:style>
  <w:style w:type="paragraph" w:customStyle="1" w:styleId="SETECTitre4">
    <w:name w:val="SETEC_Titre 4"/>
    <w:basedOn w:val="SETECTitre3"/>
    <w:next w:val="Normal"/>
    <w:uiPriority w:val="1"/>
    <w:qFormat/>
    <w:rsid w:val="00BB49EE"/>
    <w:pPr>
      <w:numPr>
        <w:ilvl w:val="3"/>
      </w:numPr>
      <w:outlineLvl w:val="3"/>
    </w:pPr>
    <w:rPr>
      <w:color w:val="00B050"/>
    </w:rPr>
  </w:style>
  <w:style w:type="paragraph" w:customStyle="1" w:styleId="SETECTitre5">
    <w:name w:val="SETEC_Titre 5"/>
    <w:basedOn w:val="SETECTitre4"/>
    <w:next w:val="Normal"/>
    <w:uiPriority w:val="1"/>
    <w:qFormat/>
    <w:rsid w:val="00BB49EE"/>
    <w:pPr>
      <w:numPr>
        <w:ilvl w:val="4"/>
      </w:numPr>
      <w:ind w:left="3600" w:hanging="360"/>
      <w:outlineLvl w:val="4"/>
    </w:pPr>
    <w:rPr>
      <w:b w:val="0"/>
      <w:szCs w:val="18"/>
    </w:rPr>
  </w:style>
  <w:style w:type="paragraph" w:customStyle="1" w:styleId="Normal0">
    <w:name w:val="_Normal"/>
    <w:basedOn w:val="Normal"/>
    <w:link w:val="NormalCar"/>
    <w:qFormat/>
    <w:rsid w:val="00BB49EE"/>
    <w:pPr>
      <w:spacing w:before="60" w:after="60" w:line="240" w:lineRule="auto"/>
    </w:pPr>
    <w:rPr>
      <w:rFonts w:ascii="Source Sans Pro" w:eastAsia="Calibri" w:hAnsi="Source Sans Pro"/>
      <w:sz w:val="20"/>
      <w:szCs w:val="19"/>
      <w:lang w:val="fr-MA" w:bidi="ar-SA"/>
    </w:rPr>
  </w:style>
  <w:style w:type="character" w:customStyle="1" w:styleId="NormalCar">
    <w:name w:val="_Normal Car"/>
    <w:basedOn w:val="Policepardfaut"/>
    <w:link w:val="Normal0"/>
    <w:locked/>
    <w:rsid w:val="00BB49EE"/>
    <w:rPr>
      <w:rFonts w:ascii="Source Sans Pro" w:eastAsia="Calibri" w:hAnsi="Source Sans Pro" w:cs="Arial"/>
      <w:sz w:val="20"/>
      <w:szCs w:val="19"/>
    </w:rPr>
  </w:style>
  <w:style w:type="paragraph" w:customStyle="1" w:styleId="Pucestiret">
    <w:name w:val="Puces: tiret"/>
    <w:basedOn w:val="Normal"/>
    <w:qFormat/>
    <w:rsid w:val="00BB49EE"/>
    <w:pPr>
      <w:spacing w:before="0" w:after="60" w:line="240" w:lineRule="auto"/>
      <w:ind w:left="1440" w:hanging="360"/>
    </w:pPr>
    <w:rPr>
      <w:rFonts w:eastAsia="Calibri" w:cs="Times New Roman"/>
      <w:w w:val="90"/>
      <w:sz w:val="20"/>
      <w:szCs w:val="20"/>
      <w:lang w:val="fr-MA" w:bidi="ar-SA"/>
    </w:rPr>
  </w:style>
  <w:style w:type="paragraph" w:customStyle="1" w:styleId="Templatereport">
    <w:name w:val="Template report"/>
    <w:basedOn w:val="Normal"/>
    <w:link w:val="TemplatereportCar"/>
    <w:qFormat/>
    <w:rsid w:val="00BB49EE"/>
    <w:pPr>
      <w:spacing w:before="0" w:after="0" w:line="240" w:lineRule="auto"/>
    </w:pPr>
    <w:rPr>
      <w:rFonts w:eastAsia="Calibri"/>
      <w:color w:val="828282"/>
      <w:sz w:val="18"/>
      <w:szCs w:val="18"/>
      <w:lang w:val="fr-MA" w:bidi="ar-SA"/>
    </w:rPr>
  </w:style>
  <w:style w:type="character" w:customStyle="1" w:styleId="TemplatereportCar">
    <w:name w:val="Template report Car"/>
    <w:basedOn w:val="Policepardfaut"/>
    <w:link w:val="Templatereport"/>
    <w:rsid w:val="00BB49EE"/>
    <w:rPr>
      <w:rFonts w:ascii="Calibri" w:eastAsia="Calibri" w:hAnsi="Calibri" w:cs="Arial"/>
      <w:color w:val="828282"/>
      <w:sz w:val="18"/>
      <w:szCs w:val="18"/>
    </w:rPr>
  </w:style>
  <w:style w:type="paragraph" w:styleId="Sansinterligne">
    <w:name w:val="No Spacing"/>
    <w:link w:val="SansinterligneCar"/>
    <w:uiPriority w:val="99"/>
    <w:qFormat/>
    <w:rsid w:val="00BB49EE"/>
    <w:pPr>
      <w:spacing w:after="0" w:line="240" w:lineRule="auto"/>
      <w:jc w:val="both"/>
    </w:pPr>
    <w:rPr>
      <w:rFonts w:ascii="Calibri" w:eastAsia="Calibri" w:hAnsi="Calibri" w:cs="Times New Roman"/>
      <w:sz w:val="20"/>
      <w:szCs w:val="20"/>
      <w:lang w:val="en-US"/>
    </w:rPr>
  </w:style>
  <w:style w:type="character" w:customStyle="1" w:styleId="SansinterligneCar">
    <w:name w:val="Sans interligne Car"/>
    <w:link w:val="Sansinterligne"/>
    <w:uiPriority w:val="99"/>
    <w:rsid w:val="00BB49EE"/>
    <w:rPr>
      <w:rFonts w:ascii="Calibri" w:eastAsia="Calibri" w:hAnsi="Calibri" w:cs="Times New Roman"/>
      <w:sz w:val="20"/>
      <w:szCs w:val="20"/>
      <w:lang w:val="en-US"/>
    </w:rPr>
  </w:style>
  <w:style w:type="paragraph" w:customStyle="1" w:styleId="En-ttedetabledesmatires1">
    <w:name w:val="En-tête de table des matières1"/>
    <w:basedOn w:val="Titre1"/>
    <w:next w:val="Normal"/>
    <w:uiPriority w:val="39"/>
    <w:unhideWhenUsed/>
    <w:qFormat/>
    <w:rsid w:val="00BB49EE"/>
    <w:pPr>
      <w:numPr>
        <w:numId w:val="38"/>
      </w:numPr>
      <w:tabs>
        <w:tab w:val="clear" w:pos="720"/>
        <w:tab w:val="num" w:pos="360"/>
      </w:tabs>
      <w:spacing w:line="259" w:lineRule="auto"/>
      <w:ind w:left="432" w:hanging="432"/>
      <w:jc w:val="left"/>
      <w:outlineLvl w:val="9"/>
    </w:pPr>
    <w:rPr>
      <w:rFonts w:ascii="Calibri Light" w:hAnsi="Calibri Light"/>
      <w:b w:val="0"/>
      <w:color w:val="374C80"/>
      <w:lang w:val="fr-MA" w:bidi="ar-SA"/>
    </w:rPr>
  </w:style>
  <w:style w:type="table" w:customStyle="1" w:styleId="TableauGrille4-Accentuation111">
    <w:name w:val="Tableau Grille 4 - Accentuation 111"/>
    <w:basedOn w:val="TableauNormal"/>
    <w:next w:val="TableauGrille4-Accentuation1"/>
    <w:uiPriority w:val="49"/>
    <w:rsid w:val="00BB49EE"/>
    <w:pPr>
      <w:spacing w:after="0" w:line="240" w:lineRule="auto"/>
    </w:pPr>
    <w:rPr>
      <w:rFonts w:eastAsia="DengXian"/>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paragraph" w:customStyle="1" w:styleId="Style11">
    <w:name w:val="Style11"/>
    <w:basedOn w:val="Style1"/>
    <w:link w:val="Style11Car"/>
    <w:qFormat/>
    <w:rsid w:val="00BB49EE"/>
    <w:pPr>
      <w:numPr>
        <w:numId w:val="50"/>
      </w:numPr>
      <w:spacing w:line="240" w:lineRule="auto"/>
    </w:pPr>
    <w:rPr>
      <w:rFonts w:eastAsia="Calibri"/>
      <w:b/>
      <w:bCs/>
      <w:color w:val="0028A8"/>
    </w:rPr>
  </w:style>
  <w:style w:type="character" w:customStyle="1" w:styleId="Style11Car">
    <w:name w:val="Style11 Car"/>
    <w:basedOn w:val="Style1Car"/>
    <w:link w:val="Style11"/>
    <w:rsid w:val="00BB49EE"/>
    <w:rPr>
      <w:rFonts w:ascii="Calibri" w:eastAsia="Calibri" w:hAnsi="Calibri" w:cs="Arial"/>
      <w:b/>
      <w:bCs/>
      <w:color w:val="0028A8"/>
      <w:lang w:val="fr-FR" w:bidi="en-US"/>
    </w:rPr>
  </w:style>
  <w:style w:type="paragraph" w:customStyle="1" w:styleId="Normal1">
    <w:name w:val="Normal1"/>
    <w:basedOn w:val="Normal"/>
    <w:link w:val="normalCar0"/>
    <w:autoRedefine/>
    <w:qFormat/>
    <w:rsid w:val="00BB49EE"/>
    <w:pPr>
      <w:spacing w:before="0" w:after="160" w:line="480" w:lineRule="auto"/>
    </w:pPr>
    <w:rPr>
      <w:rFonts w:ascii="Calibri Light" w:eastAsia="DengXian" w:hAnsi="Calibri Light"/>
      <w:lang w:val="fr-MA" w:eastAsia="zh-CN" w:bidi="ar-MA"/>
    </w:rPr>
  </w:style>
  <w:style w:type="character" w:customStyle="1" w:styleId="normalCar0">
    <w:name w:val="normal Car"/>
    <w:basedOn w:val="Policepardfaut"/>
    <w:link w:val="Normal1"/>
    <w:rsid w:val="00BB49EE"/>
    <w:rPr>
      <w:rFonts w:ascii="Calibri Light" w:eastAsia="DengXian" w:hAnsi="Calibri Light" w:cs="Arial"/>
      <w:lang w:eastAsia="zh-CN" w:bidi="ar-MA"/>
    </w:rPr>
  </w:style>
  <w:style w:type="paragraph" w:styleId="Listepuces2">
    <w:name w:val="List Bullet 2"/>
    <w:basedOn w:val="Normal"/>
    <w:qFormat/>
    <w:rsid w:val="00BB49EE"/>
    <w:pPr>
      <w:numPr>
        <w:numId w:val="51"/>
      </w:numPr>
      <w:spacing w:before="100" w:beforeAutospacing="1" w:after="100" w:afterAutospacing="1"/>
      <w:contextualSpacing/>
    </w:pPr>
    <w:rPr>
      <w:szCs w:val="20"/>
      <w:lang w:eastAsia="fr-FR" w:bidi="ar-SA"/>
    </w:rPr>
  </w:style>
  <w:style w:type="table" w:styleId="Thmedutableau">
    <w:name w:val="Table Theme"/>
    <w:basedOn w:val="TableauNormal"/>
    <w:uiPriority w:val="99"/>
    <w:rsid w:val="00BB49EE"/>
    <w:pPr>
      <w:spacing w:before="120" w:after="120" w:line="240" w:lineRule="auto"/>
      <w:jc w:val="both"/>
    </w:pPr>
    <w:rPr>
      <w:rFonts w:ascii="Times New Roman" w:eastAsia="Times New Roman" w:hAnsi="Times New Roman" w:cs="Times New Roman"/>
      <w:sz w:val="20"/>
      <w:szCs w:val="20"/>
      <w:lang w:val="fr-FR"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auInexia5">
    <w:name w:val="Tableau Inexia5"/>
    <w:basedOn w:val="TableauNormal"/>
    <w:next w:val="Grilledutableau"/>
    <w:uiPriority w:val="39"/>
    <w:qFormat/>
    <w:rsid w:val="009D6CAB"/>
    <w:pPr>
      <w:spacing w:after="0" w:line="240" w:lineRule="auto"/>
      <w:jc w:val="both"/>
    </w:pPr>
    <w:rPr>
      <w:rFonts w:eastAsia="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rps">
    <w:name w:val="Corps"/>
    <w:basedOn w:val="Normal"/>
    <w:link w:val="CorpsCar"/>
    <w:autoRedefine/>
    <w:uiPriority w:val="99"/>
    <w:locked/>
    <w:rsid w:val="00BB49EE"/>
    <w:pPr>
      <w:spacing w:before="100" w:beforeAutospacing="1" w:after="100" w:afterAutospacing="1"/>
    </w:pPr>
    <w:rPr>
      <w:szCs w:val="20"/>
      <w:lang w:eastAsia="fr-FR" w:bidi="ar-SA"/>
    </w:rPr>
  </w:style>
  <w:style w:type="character" w:customStyle="1" w:styleId="CorpsCar">
    <w:name w:val="Corps Car"/>
    <w:basedOn w:val="Policepardfaut"/>
    <w:link w:val="Corps"/>
    <w:uiPriority w:val="99"/>
    <w:rsid w:val="00BB49EE"/>
    <w:rPr>
      <w:rFonts w:ascii="Calibri" w:eastAsia="Times New Roman" w:hAnsi="Calibri" w:cs="Arial"/>
      <w:szCs w:val="20"/>
      <w:lang w:val="fr-FR" w:eastAsia="fr-FR"/>
    </w:rPr>
  </w:style>
  <w:style w:type="paragraph" w:customStyle="1" w:styleId="Tabledematires">
    <w:name w:val="Table de matières"/>
    <w:basedOn w:val="En-ttedetabledesmatires"/>
    <w:uiPriority w:val="99"/>
    <w:locked/>
    <w:rsid w:val="00BB49EE"/>
    <w:pPr>
      <w:tabs>
        <w:tab w:val="num" w:pos="720"/>
      </w:tabs>
      <w:spacing w:before="100" w:beforeAutospacing="1" w:after="100" w:afterAutospacing="1"/>
      <w:ind w:left="720" w:hanging="360"/>
      <w:contextualSpacing/>
    </w:pPr>
    <w:rPr>
      <w:rFonts w:ascii="Cambria" w:eastAsia="Times New Roman" w:hAnsi="Cambria" w:cs="Times New Roman"/>
      <w:bCs/>
      <w:color w:val="365F91"/>
      <w:sz w:val="28"/>
      <w:szCs w:val="28"/>
      <w:lang w:eastAsia="fr-FR" w:bidi="ar-SA"/>
    </w:rPr>
  </w:style>
  <w:style w:type="table" w:styleId="Listemoyenne1-Accent2">
    <w:name w:val="Medium List 1 Accent 2"/>
    <w:basedOn w:val="TableauNormal"/>
    <w:uiPriority w:val="99"/>
    <w:rsid w:val="00BB49EE"/>
    <w:pPr>
      <w:spacing w:after="0" w:line="240" w:lineRule="auto"/>
    </w:pPr>
    <w:rPr>
      <w:rFonts w:ascii="Calibri" w:eastAsia="Times New Roman" w:hAnsi="Calibri" w:cs="Arial"/>
      <w:color w:val="000000"/>
      <w:sz w:val="20"/>
      <w:szCs w:val="20"/>
      <w:lang w:val="fr-FR" w:eastAsia="fr-FR"/>
    </w:rPr>
    <w:tblPr>
      <w:tblStyleRowBandSize w:val="1"/>
      <w:tblStyleColBandSize w:val="1"/>
      <w:tblBorders>
        <w:top w:val="single" w:sz="8" w:space="0" w:color="C0504D"/>
        <w:bottom w:val="single" w:sz="8" w:space="0" w:color="C0504D"/>
      </w:tblBorders>
    </w:tblPr>
    <w:tblStylePr w:type="firstRow">
      <w:rPr>
        <w:rFonts w:ascii="Bahnschrift" w:eastAsia="Times New Roman" w:hAnsi="Bahnschrift"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paragraph" w:styleId="Citationintense">
    <w:name w:val="Intense Quote"/>
    <w:basedOn w:val="Normal"/>
    <w:next w:val="Normal"/>
    <w:link w:val="CitationintenseCar"/>
    <w:uiPriority w:val="99"/>
    <w:qFormat/>
    <w:rsid w:val="00BB49EE"/>
    <w:pPr>
      <w:pBdr>
        <w:bottom w:val="single" w:sz="4" w:space="1" w:color="auto"/>
      </w:pBdr>
      <w:spacing w:before="200" w:beforeAutospacing="1" w:after="280" w:afterAutospacing="1"/>
      <w:ind w:left="1008" w:right="1152"/>
    </w:pPr>
    <w:rPr>
      <w:b/>
      <w:bCs/>
      <w:i/>
      <w:iCs/>
      <w:szCs w:val="20"/>
      <w:lang w:eastAsia="fr-FR" w:bidi="ar-SA"/>
    </w:rPr>
  </w:style>
  <w:style w:type="character" w:customStyle="1" w:styleId="CitationintenseCar">
    <w:name w:val="Citation intense Car"/>
    <w:basedOn w:val="Policepardfaut"/>
    <w:link w:val="Citationintense"/>
    <w:uiPriority w:val="99"/>
    <w:rsid w:val="00BB49EE"/>
    <w:rPr>
      <w:rFonts w:ascii="Calibri" w:eastAsia="Times New Roman" w:hAnsi="Calibri" w:cs="Arial"/>
      <w:b/>
      <w:bCs/>
      <w:i/>
      <w:iCs/>
      <w:szCs w:val="20"/>
      <w:lang w:val="fr-FR" w:eastAsia="fr-FR"/>
    </w:rPr>
  </w:style>
  <w:style w:type="character" w:styleId="Emphaseple">
    <w:name w:val="Subtle Emphasis"/>
    <w:uiPriority w:val="99"/>
    <w:unhideWhenUsed/>
    <w:qFormat/>
    <w:rsid w:val="00BB49EE"/>
    <w:rPr>
      <w:i/>
      <w:iCs/>
    </w:rPr>
  </w:style>
  <w:style w:type="character" w:styleId="Rfrenceple">
    <w:name w:val="Subtle Reference"/>
    <w:uiPriority w:val="99"/>
    <w:qFormat/>
    <w:rsid w:val="00BB49EE"/>
    <w:rPr>
      <w:smallCaps/>
    </w:rPr>
  </w:style>
  <w:style w:type="character" w:styleId="Rfrenceintense">
    <w:name w:val="Intense Reference"/>
    <w:uiPriority w:val="99"/>
    <w:qFormat/>
    <w:rsid w:val="00BB49EE"/>
    <w:rPr>
      <w:smallCaps/>
      <w:spacing w:val="5"/>
      <w:u w:val="single"/>
    </w:rPr>
  </w:style>
  <w:style w:type="character" w:styleId="Titredulivre">
    <w:name w:val="Book Title"/>
    <w:uiPriority w:val="99"/>
    <w:qFormat/>
    <w:rsid w:val="00BB49EE"/>
    <w:rPr>
      <w:i/>
      <w:iCs/>
      <w:smallCaps/>
      <w:spacing w:val="5"/>
    </w:rPr>
  </w:style>
  <w:style w:type="character" w:styleId="Numrodeligne">
    <w:name w:val="line number"/>
    <w:basedOn w:val="Policepardfaut"/>
    <w:uiPriority w:val="99"/>
    <w:semiHidden/>
    <w:unhideWhenUsed/>
    <w:rsid w:val="00BB49EE"/>
  </w:style>
  <w:style w:type="paragraph" w:customStyle="1" w:styleId="ListeNumros1">
    <w:name w:val="Liste à Numéros 1"/>
    <w:basedOn w:val="ListePuces1"/>
    <w:link w:val="ListeNumros1Car"/>
    <w:uiPriority w:val="99"/>
    <w:qFormat/>
    <w:locked/>
    <w:rsid w:val="00BB49EE"/>
    <w:pPr>
      <w:numPr>
        <w:numId w:val="52"/>
      </w:numPr>
      <w:spacing w:before="60" w:beforeAutospacing="1" w:after="0" w:afterAutospacing="1"/>
      <w:jc w:val="both"/>
    </w:pPr>
  </w:style>
  <w:style w:type="table" w:styleId="Grillemoyenne1-Accent2">
    <w:name w:val="Medium Grid 1 Accent 2"/>
    <w:basedOn w:val="TableauNormal"/>
    <w:uiPriority w:val="99"/>
    <w:rsid w:val="00BB49EE"/>
    <w:pPr>
      <w:spacing w:after="0" w:line="240" w:lineRule="auto"/>
    </w:pPr>
    <w:rPr>
      <w:rFonts w:ascii="Calibri" w:eastAsia="Times New Roman" w:hAnsi="Calibri" w:cs="Arial"/>
      <w:sz w:val="20"/>
      <w:szCs w:val="20"/>
      <w:lang w:val="fr-FR" w:eastAsia="fr-FR"/>
    </w:r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character" w:customStyle="1" w:styleId="ListeNumros1Car">
    <w:name w:val="Liste à Numéros 1 Car"/>
    <w:basedOn w:val="ListePuces1Car"/>
    <w:link w:val="ListeNumros1"/>
    <w:uiPriority w:val="99"/>
    <w:rsid w:val="00BB49EE"/>
    <w:rPr>
      <w:rFonts w:ascii="Calibri" w:eastAsia="Times New Roman" w:hAnsi="Calibri" w:cs="Times"/>
      <w:szCs w:val="20"/>
      <w:lang w:val="fr-FR" w:eastAsia="fr-FR"/>
    </w:rPr>
  </w:style>
  <w:style w:type="table" w:styleId="Listefonce-Accent2">
    <w:name w:val="Dark List Accent 2"/>
    <w:basedOn w:val="TableauNormal"/>
    <w:uiPriority w:val="99"/>
    <w:rsid w:val="00BB49EE"/>
    <w:pPr>
      <w:spacing w:after="0" w:line="240" w:lineRule="auto"/>
    </w:pPr>
    <w:rPr>
      <w:rFonts w:ascii="Calibri" w:eastAsia="Times New Roman" w:hAnsi="Calibri" w:cs="Arial"/>
      <w:color w:val="FFFFFF"/>
      <w:sz w:val="20"/>
      <w:szCs w:val="20"/>
      <w:lang w:val="fr-FR" w:eastAsia="fr-FR"/>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paragraph" w:styleId="Listenumros2">
    <w:name w:val="List Number 2"/>
    <w:basedOn w:val="Normal"/>
    <w:uiPriority w:val="99"/>
    <w:rsid w:val="00BB49EE"/>
    <w:pPr>
      <w:numPr>
        <w:numId w:val="53"/>
      </w:numPr>
      <w:spacing w:before="100" w:beforeAutospacing="1" w:after="100" w:afterAutospacing="1"/>
      <w:contextualSpacing/>
    </w:pPr>
    <w:rPr>
      <w:szCs w:val="20"/>
      <w:lang w:eastAsia="fr-FR" w:bidi="ar-SA"/>
    </w:rPr>
  </w:style>
  <w:style w:type="paragraph" w:styleId="Listenumros3">
    <w:name w:val="List Number 3"/>
    <w:basedOn w:val="Normal"/>
    <w:rsid w:val="00BB49EE"/>
    <w:pPr>
      <w:numPr>
        <w:numId w:val="54"/>
      </w:numPr>
      <w:spacing w:before="100" w:beforeAutospacing="1" w:after="100" w:afterAutospacing="1"/>
      <w:contextualSpacing/>
    </w:pPr>
    <w:rPr>
      <w:szCs w:val="20"/>
      <w:lang w:eastAsia="fr-FR" w:bidi="ar-SA"/>
    </w:rPr>
  </w:style>
  <w:style w:type="paragraph" w:customStyle="1" w:styleId="PUCESNormales">
    <w:name w:val="PUCES Normales"/>
    <w:basedOn w:val="Normal"/>
    <w:link w:val="PUCESNormalesCar"/>
    <w:rsid w:val="00BB49EE"/>
    <w:pPr>
      <w:tabs>
        <w:tab w:val="num" w:pos="624"/>
      </w:tabs>
      <w:spacing w:before="0" w:after="0" w:line="240" w:lineRule="auto"/>
      <w:ind w:left="454" w:hanging="284"/>
      <w:jc w:val="left"/>
    </w:pPr>
    <w:rPr>
      <w:rFonts w:ascii="Times New Roman" w:hAnsi="Times New Roman" w:cs="Times New Roman"/>
      <w:szCs w:val="24"/>
      <w:lang w:eastAsia="fr-FR" w:bidi="ar-SA"/>
    </w:rPr>
  </w:style>
  <w:style w:type="paragraph" w:customStyle="1" w:styleId="Puce21">
    <w:name w:val="Puce21"/>
    <w:basedOn w:val="Normal"/>
    <w:next w:val="Normal"/>
    <w:autoRedefine/>
    <w:rsid w:val="00BB49EE"/>
    <w:pPr>
      <w:numPr>
        <w:numId w:val="55"/>
      </w:numPr>
      <w:spacing w:before="0" w:after="0" w:line="360" w:lineRule="auto"/>
    </w:pPr>
    <w:rPr>
      <w:rFonts w:cs="Times New Roman"/>
      <w:szCs w:val="20"/>
      <w:lang w:eastAsia="fr-FR" w:bidi="ar-SA"/>
    </w:rPr>
  </w:style>
  <w:style w:type="paragraph" w:styleId="Listepuces">
    <w:name w:val="List Bullet"/>
    <w:basedOn w:val="Normal"/>
    <w:link w:val="ListepucesCar"/>
    <w:unhideWhenUsed/>
    <w:qFormat/>
    <w:rsid w:val="00BB49EE"/>
    <w:pPr>
      <w:tabs>
        <w:tab w:val="num" w:pos="360"/>
      </w:tabs>
      <w:spacing w:after="240" w:line="240" w:lineRule="auto"/>
      <w:ind w:left="360" w:hanging="360"/>
      <w:contextualSpacing/>
    </w:pPr>
    <w:rPr>
      <w:sz w:val="24"/>
      <w:szCs w:val="20"/>
      <w:lang w:eastAsia="fr-FR" w:bidi="ar-SA"/>
    </w:rPr>
  </w:style>
  <w:style w:type="paragraph" w:customStyle="1" w:styleId="listanumerada">
    <w:name w:val="lista numerada"/>
    <w:basedOn w:val="Normal"/>
    <w:autoRedefine/>
    <w:qFormat/>
    <w:rsid w:val="00BB49EE"/>
    <w:pPr>
      <w:spacing w:before="0" w:after="240" w:line="360" w:lineRule="auto"/>
      <w:ind w:left="714" w:hanging="357"/>
    </w:pPr>
    <w:rPr>
      <w:rFonts w:cs="Times New Roman"/>
      <w:snapToGrid w:val="0"/>
      <w:szCs w:val="24"/>
      <w:lang w:val="es-ES" w:eastAsia="ko-KR" w:bidi="ar-SA"/>
    </w:rPr>
  </w:style>
  <w:style w:type="table" w:styleId="Listeclaire-Accent5">
    <w:name w:val="Light List Accent 5"/>
    <w:basedOn w:val="TableauNormal"/>
    <w:uiPriority w:val="61"/>
    <w:rsid w:val="00BB49EE"/>
    <w:pPr>
      <w:spacing w:after="0" w:line="240" w:lineRule="auto"/>
    </w:pPr>
    <w:rPr>
      <w:rFonts w:ascii="Calibri" w:eastAsia="Times New Roman" w:hAnsi="Calibri" w:cs="Arial"/>
      <w:sz w:val="20"/>
      <w:szCs w:val="20"/>
      <w:lang w:val="fr-FR" w:eastAsia="fr-FR"/>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character" w:customStyle="1" w:styleId="st1">
    <w:name w:val="st1"/>
    <w:rsid w:val="00BB49EE"/>
  </w:style>
  <w:style w:type="table" w:customStyle="1" w:styleId="TableauGrille1Clair-Accentuation61">
    <w:name w:val="Tableau Grille 1 Clair - Accentuation 61"/>
    <w:basedOn w:val="TableauNormal"/>
    <w:uiPriority w:val="46"/>
    <w:rsid w:val="00BB49EE"/>
    <w:pPr>
      <w:spacing w:after="0" w:line="240" w:lineRule="auto"/>
    </w:pPr>
    <w:rPr>
      <w:rFonts w:ascii="Calibri" w:eastAsia="Calibri" w:hAnsi="Calibri" w:cs="Times New Roman"/>
      <w:lang w:val="fr-FR"/>
    </w:rPr>
    <w:tblPr>
      <w:tblStyleRowBandSize w:val="1"/>
      <w:tblStyleColBandSize w:val="1"/>
      <w:tblBorders>
        <w:top w:val="single" w:sz="4" w:space="0" w:color="C5E0B3"/>
        <w:left w:val="single" w:sz="4" w:space="0" w:color="C5E0B3"/>
        <w:bottom w:val="single" w:sz="4" w:space="0" w:color="C5E0B3"/>
        <w:right w:val="single" w:sz="4" w:space="0" w:color="C5E0B3"/>
        <w:insideH w:val="single" w:sz="4" w:space="0" w:color="C5E0B3"/>
        <w:insideV w:val="single" w:sz="4" w:space="0" w:color="C5E0B3"/>
      </w:tblBorders>
    </w:tblPr>
    <w:tblStylePr w:type="firstRow">
      <w:rPr>
        <w:b/>
        <w:bCs/>
      </w:rPr>
      <w:tblPr/>
      <w:tcPr>
        <w:tcBorders>
          <w:bottom w:val="single" w:sz="12" w:space="0" w:color="A8D08D"/>
        </w:tcBorders>
      </w:tcPr>
    </w:tblStylePr>
    <w:tblStylePr w:type="lastRow">
      <w:rPr>
        <w:b/>
        <w:bCs/>
      </w:rPr>
      <w:tblPr/>
      <w:tcPr>
        <w:tcBorders>
          <w:top w:val="double" w:sz="2" w:space="0" w:color="A8D08D"/>
        </w:tcBorders>
      </w:tcPr>
    </w:tblStylePr>
    <w:tblStylePr w:type="firstCol">
      <w:rPr>
        <w:b/>
        <w:bCs/>
      </w:rPr>
    </w:tblStylePr>
    <w:tblStylePr w:type="lastCol">
      <w:rPr>
        <w:b/>
        <w:bCs/>
      </w:rPr>
    </w:tblStylePr>
  </w:style>
  <w:style w:type="table" w:customStyle="1" w:styleId="Grilledetableauclaire1">
    <w:name w:val="Grille de tableau claire1"/>
    <w:basedOn w:val="TableauNormal"/>
    <w:uiPriority w:val="40"/>
    <w:rsid w:val="00BB49EE"/>
    <w:pPr>
      <w:spacing w:after="0" w:line="240" w:lineRule="auto"/>
    </w:pPr>
    <w:rPr>
      <w:rFonts w:ascii="Calibri" w:eastAsia="Calibri" w:hAnsi="Calibri" w:cs="Times New Roman"/>
      <w:lang w:val="fr-FR"/>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Listeclaire-Accent11">
    <w:name w:val="Liste claire - Accent 11"/>
    <w:basedOn w:val="TableauNormal"/>
    <w:uiPriority w:val="61"/>
    <w:rsid w:val="00BB49EE"/>
    <w:pPr>
      <w:spacing w:after="0" w:line="240" w:lineRule="auto"/>
    </w:pPr>
    <w:rPr>
      <w:rFonts w:ascii="Calibri" w:eastAsia="Times New Roman" w:hAnsi="Calibri" w:cs="Arial"/>
      <w:sz w:val="20"/>
      <w:szCs w:val="20"/>
      <w:lang w:val="fr-FR"/>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styleId="Retraitcorpsdetexte3">
    <w:name w:val="Body Text Indent 3"/>
    <w:basedOn w:val="Normal"/>
    <w:link w:val="Retraitcorpsdetexte3Car"/>
    <w:uiPriority w:val="99"/>
    <w:semiHidden/>
    <w:unhideWhenUsed/>
    <w:rsid w:val="00BB49EE"/>
    <w:pPr>
      <w:spacing w:afterAutospacing="1"/>
      <w:ind w:left="283"/>
    </w:pPr>
    <w:rPr>
      <w:sz w:val="16"/>
      <w:szCs w:val="16"/>
      <w:lang w:eastAsia="fr-FR" w:bidi="ar-SA"/>
    </w:rPr>
  </w:style>
  <w:style w:type="character" w:customStyle="1" w:styleId="Retraitcorpsdetexte3Car">
    <w:name w:val="Retrait corps de texte 3 Car"/>
    <w:basedOn w:val="Policepardfaut"/>
    <w:link w:val="Retraitcorpsdetexte3"/>
    <w:uiPriority w:val="99"/>
    <w:semiHidden/>
    <w:rsid w:val="00BB49EE"/>
    <w:rPr>
      <w:rFonts w:ascii="Calibri" w:eastAsia="Times New Roman" w:hAnsi="Calibri" w:cs="Arial"/>
      <w:sz w:val="16"/>
      <w:szCs w:val="16"/>
      <w:lang w:val="fr-FR" w:eastAsia="fr-FR"/>
    </w:rPr>
  </w:style>
  <w:style w:type="character" w:styleId="Lienhypertextesuivivisit">
    <w:name w:val="FollowedHyperlink"/>
    <w:unhideWhenUsed/>
    <w:rsid w:val="00BB49EE"/>
    <w:rPr>
      <w:color w:val="800080"/>
      <w:u w:val="single"/>
    </w:rPr>
  </w:style>
  <w:style w:type="paragraph" w:customStyle="1" w:styleId="xl65">
    <w:name w:val="xl65"/>
    <w:basedOn w:val="Normal"/>
    <w:rsid w:val="00BB49EE"/>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hAnsi="Times New Roman" w:cs="Times New Roman"/>
      <w:sz w:val="24"/>
      <w:szCs w:val="24"/>
      <w:lang w:eastAsia="fr-FR" w:bidi="ar-SA"/>
    </w:rPr>
  </w:style>
  <w:style w:type="paragraph" w:customStyle="1" w:styleId="xl66">
    <w:name w:val="xl66"/>
    <w:basedOn w:val="Normal"/>
    <w:rsid w:val="00BB49EE"/>
    <w:pPr>
      <w:pBdr>
        <w:top w:val="single" w:sz="4"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hAnsi="Times New Roman" w:cs="Times New Roman"/>
      <w:sz w:val="24"/>
      <w:szCs w:val="24"/>
      <w:lang w:eastAsia="fr-FR" w:bidi="ar-SA"/>
    </w:rPr>
  </w:style>
  <w:style w:type="paragraph" w:customStyle="1" w:styleId="xl67">
    <w:name w:val="xl67"/>
    <w:basedOn w:val="Normal"/>
    <w:rsid w:val="00BB49EE"/>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hAnsi="Times New Roman" w:cs="Times New Roman"/>
      <w:sz w:val="24"/>
      <w:szCs w:val="24"/>
      <w:lang w:eastAsia="fr-FR" w:bidi="ar-SA"/>
    </w:rPr>
  </w:style>
  <w:style w:type="paragraph" w:customStyle="1" w:styleId="xl68">
    <w:name w:val="xl68"/>
    <w:basedOn w:val="Normal"/>
    <w:rsid w:val="00BB49EE"/>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hAnsi="Times New Roman" w:cs="Times New Roman"/>
      <w:sz w:val="24"/>
      <w:szCs w:val="24"/>
      <w:lang w:eastAsia="fr-FR" w:bidi="ar-SA"/>
    </w:rPr>
  </w:style>
  <w:style w:type="paragraph" w:customStyle="1" w:styleId="xl69">
    <w:name w:val="xl69"/>
    <w:basedOn w:val="Normal"/>
    <w:rsid w:val="00BB49EE"/>
    <w:pPr>
      <w:pBdr>
        <w:top w:val="single" w:sz="4"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hAnsi="Times New Roman" w:cs="Times New Roman"/>
      <w:sz w:val="24"/>
      <w:szCs w:val="24"/>
      <w:lang w:eastAsia="fr-FR" w:bidi="ar-SA"/>
    </w:rPr>
  </w:style>
  <w:style w:type="paragraph" w:customStyle="1" w:styleId="xl70">
    <w:name w:val="xl70"/>
    <w:basedOn w:val="Normal"/>
    <w:rsid w:val="00BB49EE"/>
    <w:pPr>
      <w:pBdr>
        <w:top w:val="single" w:sz="8" w:space="0" w:color="auto"/>
        <w:left w:val="single" w:sz="8" w:space="0" w:color="auto"/>
        <w:bottom w:val="single" w:sz="8" w:space="0" w:color="auto"/>
        <w:right w:val="single" w:sz="4" w:space="0" w:color="auto"/>
      </w:pBdr>
      <w:spacing w:before="100" w:beforeAutospacing="1" w:after="100" w:afterAutospacing="1" w:line="240" w:lineRule="auto"/>
      <w:jc w:val="center"/>
    </w:pPr>
    <w:rPr>
      <w:rFonts w:ascii="Times New Roman" w:hAnsi="Times New Roman" w:cs="Times New Roman"/>
      <w:sz w:val="24"/>
      <w:szCs w:val="24"/>
      <w:lang w:eastAsia="fr-FR" w:bidi="ar-SA"/>
    </w:rPr>
  </w:style>
  <w:style w:type="paragraph" w:customStyle="1" w:styleId="xl71">
    <w:name w:val="xl71"/>
    <w:basedOn w:val="Normal"/>
    <w:rsid w:val="00BB49EE"/>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pPr>
    <w:rPr>
      <w:rFonts w:ascii="Times New Roman" w:hAnsi="Times New Roman" w:cs="Times New Roman"/>
      <w:sz w:val="24"/>
      <w:szCs w:val="24"/>
      <w:lang w:eastAsia="fr-FR" w:bidi="ar-SA"/>
    </w:rPr>
  </w:style>
  <w:style w:type="paragraph" w:customStyle="1" w:styleId="xl72">
    <w:name w:val="xl72"/>
    <w:basedOn w:val="Normal"/>
    <w:rsid w:val="00BB49EE"/>
    <w:pPr>
      <w:pBdr>
        <w:bottom w:val="single" w:sz="8" w:space="0" w:color="auto"/>
        <w:right w:val="single" w:sz="8" w:space="0" w:color="auto"/>
      </w:pBdr>
      <w:spacing w:before="100" w:beforeAutospacing="1" w:after="100" w:afterAutospacing="1" w:line="240" w:lineRule="auto"/>
      <w:jc w:val="center"/>
      <w:textAlignment w:val="center"/>
    </w:pPr>
    <w:rPr>
      <w:rFonts w:ascii="Times New Roman" w:hAnsi="Times New Roman" w:cs="Times New Roman"/>
      <w:b/>
      <w:bCs/>
      <w:color w:val="BFBFBF"/>
      <w:sz w:val="16"/>
      <w:szCs w:val="16"/>
      <w:lang w:eastAsia="fr-FR" w:bidi="ar-SA"/>
    </w:rPr>
  </w:style>
  <w:style w:type="paragraph" w:customStyle="1" w:styleId="xl73">
    <w:name w:val="xl73"/>
    <w:basedOn w:val="Normal"/>
    <w:rsid w:val="00BB49EE"/>
    <w:pPr>
      <w:pBdr>
        <w:top w:val="single" w:sz="12" w:space="0" w:color="auto"/>
        <w:left w:val="single" w:sz="12" w:space="0" w:color="auto"/>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Times New Roman" w:hAnsi="Times New Roman" w:cs="Times New Roman"/>
      <w:b/>
      <w:bCs/>
      <w:color w:val="808080"/>
      <w:sz w:val="18"/>
      <w:szCs w:val="18"/>
      <w:lang w:eastAsia="fr-FR" w:bidi="ar-SA"/>
    </w:rPr>
  </w:style>
  <w:style w:type="paragraph" w:customStyle="1" w:styleId="xl74">
    <w:name w:val="xl74"/>
    <w:basedOn w:val="Normal"/>
    <w:rsid w:val="00BB49EE"/>
    <w:pPr>
      <w:pBdr>
        <w:top w:val="single" w:sz="12" w:space="0" w:color="auto"/>
        <w:bottom w:val="single" w:sz="8" w:space="0" w:color="auto"/>
        <w:right w:val="single" w:sz="12" w:space="0" w:color="auto"/>
      </w:pBdr>
      <w:shd w:val="clear" w:color="000000" w:fill="FFFF00"/>
      <w:spacing w:before="100" w:beforeAutospacing="1" w:after="100" w:afterAutospacing="1" w:line="240" w:lineRule="auto"/>
      <w:jc w:val="center"/>
      <w:textAlignment w:val="center"/>
    </w:pPr>
    <w:rPr>
      <w:rFonts w:ascii="Times New Roman" w:hAnsi="Times New Roman" w:cs="Times New Roman"/>
      <w:b/>
      <w:bCs/>
      <w:color w:val="808080"/>
      <w:sz w:val="18"/>
      <w:szCs w:val="18"/>
      <w:lang w:eastAsia="fr-FR" w:bidi="ar-SA"/>
    </w:rPr>
  </w:style>
  <w:style w:type="paragraph" w:customStyle="1" w:styleId="xl75">
    <w:name w:val="xl75"/>
    <w:basedOn w:val="Normal"/>
    <w:rsid w:val="00BB49EE"/>
    <w:pPr>
      <w:pBdr>
        <w:top w:val="single" w:sz="12"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hAnsi="Times New Roman" w:cs="Times New Roman"/>
      <w:b/>
      <w:bCs/>
      <w:color w:val="BFBFBF"/>
      <w:sz w:val="18"/>
      <w:szCs w:val="18"/>
      <w:lang w:eastAsia="fr-FR" w:bidi="ar-SA"/>
    </w:rPr>
  </w:style>
  <w:style w:type="paragraph" w:customStyle="1" w:styleId="xl76">
    <w:name w:val="xl76"/>
    <w:basedOn w:val="Normal"/>
    <w:rsid w:val="00BB49EE"/>
    <w:pPr>
      <w:pBdr>
        <w:top w:val="single" w:sz="12" w:space="0" w:color="auto"/>
        <w:bottom w:val="single" w:sz="8" w:space="0" w:color="auto"/>
        <w:right w:val="single" w:sz="12" w:space="0" w:color="auto"/>
      </w:pBdr>
      <w:spacing w:before="100" w:beforeAutospacing="1" w:after="100" w:afterAutospacing="1" w:line="240" w:lineRule="auto"/>
      <w:jc w:val="center"/>
      <w:textAlignment w:val="center"/>
    </w:pPr>
    <w:rPr>
      <w:rFonts w:ascii="Times New Roman" w:hAnsi="Times New Roman" w:cs="Times New Roman"/>
      <w:b/>
      <w:bCs/>
      <w:color w:val="BFBFBF"/>
      <w:sz w:val="18"/>
      <w:szCs w:val="18"/>
      <w:lang w:eastAsia="fr-FR" w:bidi="ar-SA"/>
    </w:rPr>
  </w:style>
  <w:style w:type="paragraph" w:customStyle="1" w:styleId="xl77">
    <w:name w:val="xl77"/>
    <w:basedOn w:val="Normal"/>
    <w:rsid w:val="00BB49EE"/>
    <w:pPr>
      <w:pBdr>
        <w:top w:val="single" w:sz="12" w:space="0" w:color="auto"/>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Times New Roman" w:hAnsi="Times New Roman" w:cs="Times New Roman"/>
      <w:b/>
      <w:bCs/>
      <w:color w:val="808080"/>
      <w:sz w:val="18"/>
      <w:szCs w:val="18"/>
      <w:lang w:eastAsia="fr-FR" w:bidi="ar-SA"/>
    </w:rPr>
  </w:style>
  <w:style w:type="paragraph" w:customStyle="1" w:styleId="xl78">
    <w:name w:val="xl78"/>
    <w:basedOn w:val="Normal"/>
    <w:rsid w:val="00BB49EE"/>
    <w:pPr>
      <w:pBdr>
        <w:top w:val="single" w:sz="12" w:space="0" w:color="auto"/>
        <w:bottom w:val="single" w:sz="8" w:space="0" w:color="auto"/>
        <w:right w:val="single" w:sz="8" w:space="0" w:color="auto"/>
      </w:pBdr>
      <w:shd w:val="clear" w:color="000000" w:fill="FFC000"/>
      <w:spacing w:before="100" w:beforeAutospacing="1" w:after="100" w:afterAutospacing="1" w:line="240" w:lineRule="auto"/>
      <w:jc w:val="center"/>
      <w:textAlignment w:val="center"/>
    </w:pPr>
    <w:rPr>
      <w:rFonts w:ascii="Times New Roman" w:hAnsi="Times New Roman" w:cs="Times New Roman"/>
      <w:b/>
      <w:bCs/>
      <w:color w:val="808080"/>
      <w:sz w:val="18"/>
      <w:szCs w:val="18"/>
      <w:lang w:eastAsia="fr-FR" w:bidi="ar-SA"/>
    </w:rPr>
  </w:style>
  <w:style w:type="paragraph" w:customStyle="1" w:styleId="xl79">
    <w:name w:val="xl79"/>
    <w:basedOn w:val="Normal"/>
    <w:rsid w:val="00BB49EE"/>
    <w:pPr>
      <w:pBdr>
        <w:top w:val="single" w:sz="12" w:space="0" w:color="auto"/>
        <w:bottom w:val="single" w:sz="8" w:space="0" w:color="auto"/>
        <w:right w:val="single" w:sz="12" w:space="0" w:color="auto"/>
      </w:pBdr>
      <w:shd w:val="clear" w:color="000000" w:fill="FFC000"/>
      <w:spacing w:before="100" w:beforeAutospacing="1" w:after="100" w:afterAutospacing="1" w:line="240" w:lineRule="auto"/>
      <w:jc w:val="center"/>
      <w:textAlignment w:val="center"/>
    </w:pPr>
    <w:rPr>
      <w:rFonts w:ascii="Times New Roman" w:hAnsi="Times New Roman" w:cs="Times New Roman"/>
      <w:b/>
      <w:bCs/>
      <w:color w:val="808080"/>
      <w:sz w:val="18"/>
      <w:szCs w:val="18"/>
      <w:lang w:eastAsia="fr-FR" w:bidi="ar-SA"/>
    </w:rPr>
  </w:style>
  <w:style w:type="paragraph" w:customStyle="1" w:styleId="xl80">
    <w:name w:val="xl80"/>
    <w:basedOn w:val="Normal"/>
    <w:rsid w:val="00BB49EE"/>
    <w:pPr>
      <w:pBdr>
        <w:left w:val="single" w:sz="12" w:space="0" w:color="auto"/>
        <w:bottom w:val="single" w:sz="12" w:space="0" w:color="auto"/>
        <w:right w:val="single" w:sz="8" w:space="0" w:color="auto"/>
      </w:pBdr>
      <w:shd w:val="clear" w:color="000000" w:fill="FFFF00"/>
      <w:spacing w:before="100" w:beforeAutospacing="1" w:after="100" w:afterAutospacing="1" w:line="240" w:lineRule="auto"/>
      <w:jc w:val="center"/>
      <w:textAlignment w:val="center"/>
    </w:pPr>
    <w:rPr>
      <w:rFonts w:ascii="Times New Roman" w:hAnsi="Times New Roman" w:cs="Times New Roman"/>
      <w:b/>
      <w:bCs/>
      <w:color w:val="808080"/>
      <w:sz w:val="18"/>
      <w:szCs w:val="18"/>
      <w:lang w:eastAsia="fr-FR" w:bidi="ar-SA"/>
    </w:rPr>
  </w:style>
  <w:style w:type="paragraph" w:customStyle="1" w:styleId="xl81">
    <w:name w:val="xl81"/>
    <w:basedOn w:val="Normal"/>
    <w:rsid w:val="00BB49EE"/>
    <w:pPr>
      <w:pBdr>
        <w:bottom w:val="single" w:sz="12" w:space="0" w:color="auto"/>
        <w:right w:val="single" w:sz="12" w:space="0" w:color="auto"/>
      </w:pBdr>
      <w:shd w:val="clear" w:color="000000" w:fill="FFFF00"/>
      <w:spacing w:before="100" w:beforeAutospacing="1" w:after="100" w:afterAutospacing="1" w:line="240" w:lineRule="auto"/>
      <w:jc w:val="center"/>
      <w:textAlignment w:val="center"/>
    </w:pPr>
    <w:rPr>
      <w:rFonts w:ascii="Times New Roman" w:hAnsi="Times New Roman" w:cs="Times New Roman"/>
      <w:b/>
      <w:bCs/>
      <w:color w:val="808080"/>
      <w:sz w:val="18"/>
      <w:szCs w:val="18"/>
      <w:lang w:eastAsia="fr-FR" w:bidi="ar-SA"/>
    </w:rPr>
  </w:style>
  <w:style w:type="paragraph" w:customStyle="1" w:styleId="xl82">
    <w:name w:val="xl82"/>
    <w:basedOn w:val="Normal"/>
    <w:rsid w:val="00BB49EE"/>
    <w:pPr>
      <w:pBdr>
        <w:bottom w:val="single" w:sz="12" w:space="0" w:color="auto"/>
        <w:right w:val="single" w:sz="8" w:space="0" w:color="auto"/>
      </w:pBdr>
      <w:spacing w:before="100" w:beforeAutospacing="1" w:after="100" w:afterAutospacing="1" w:line="240" w:lineRule="auto"/>
      <w:jc w:val="center"/>
      <w:textAlignment w:val="center"/>
    </w:pPr>
    <w:rPr>
      <w:rFonts w:ascii="Times New Roman" w:hAnsi="Times New Roman" w:cs="Times New Roman"/>
      <w:b/>
      <w:bCs/>
      <w:color w:val="BFBFBF"/>
      <w:sz w:val="18"/>
      <w:szCs w:val="18"/>
      <w:lang w:eastAsia="fr-FR" w:bidi="ar-SA"/>
    </w:rPr>
  </w:style>
  <w:style w:type="paragraph" w:customStyle="1" w:styleId="xl83">
    <w:name w:val="xl83"/>
    <w:basedOn w:val="Normal"/>
    <w:rsid w:val="00BB49EE"/>
    <w:pPr>
      <w:pBdr>
        <w:bottom w:val="single" w:sz="12" w:space="0" w:color="auto"/>
        <w:right w:val="single" w:sz="12" w:space="0" w:color="auto"/>
      </w:pBdr>
      <w:spacing w:before="100" w:beforeAutospacing="1" w:after="100" w:afterAutospacing="1" w:line="240" w:lineRule="auto"/>
      <w:jc w:val="center"/>
      <w:textAlignment w:val="center"/>
    </w:pPr>
    <w:rPr>
      <w:rFonts w:ascii="Times New Roman" w:hAnsi="Times New Roman" w:cs="Times New Roman"/>
      <w:b/>
      <w:bCs/>
      <w:color w:val="BFBFBF"/>
      <w:sz w:val="18"/>
      <w:szCs w:val="18"/>
      <w:lang w:eastAsia="fr-FR" w:bidi="ar-SA"/>
    </w:rPr>
  </w:style>
  <w:style w:type="paragraph" w:customStyle="1" w:styleId="xl84">
    <w:name w:val="xl84"/>
    <w:basedOn w:val="Normal"/>
    <w:rsid w:val="00BB49EE"/>
    <w:pPr>
      <w:pBdr>
        <w:bottom w:val="single" w:sz="12" w:space="0" w:color="auto"/>
        <w:right w:val="single" w:sz="8" w:space="0" w:color="auto"/>
      </w:pBdr>
      <w:shd w:val="clear" w:color="000000" w:fill="FFFF00"/>
      <w:spacing w:before="100" w:beforeAutospacing="1" w:after="100" w:afterAutospacing="1" w:line="240" w:lineRule="auto"/>
      <w:jc w:val="center"/>
      <w:textAlignment w:val="center"/>
    </w:pPr>
    <w:rPr>
      <w:rFonts w:ascii="Times New Roman" w:hAnsi="Times New Roman" w:cs="Times New Roman"/>
      <w:b/>
      <w:bCs/>
      <w:color w:val="808080"/>
      <w:sz w:val="18"/>
      <w:szCs w:val="18"/>
      <w:lang w:eastAsia="fr-FR" w:bidi="ar-SA"/>
    </w:rPr>
  </w:style>
  <w:style w:type="paragraph" w:customStyle="1" w:styleId="xl85">
    <w:name w:val="xl85"/>
    <w:basedOn w:val="Normal"/>
    <w:rsid w:val="00BB49EE"/>
    <w:pPr>
      <w:pBdr>
        <w:bottom w:val="single" w:sz="12" w:space="0" w:color="auto"/>
        <w:right w:val="single" w:sz="8" w:space="0" w:color="auto"/>
      </w:pBdr>
      <w:shd w:val="clear" w:color="000000" w:fill="FFC000"/>
      <w:spacing w:before="100" w:beforeAutospacing="1" w:after="100" w:afterAutospacing="1" w:line="240" w:lineRule="auto"/>
      <w:jc w:val="center"/>
      <w:textAlignment w:val="center"/>
    </w:pPr>
    <w:rPr>
      <w:rFonts w:ascii="Times New Roman" w:hAnsi="Times New Roman" w:cs="Times New Roman"/>
      <w:b/>
      <w:bCs/>
      <w:color w:val="808080"/>
      <w:sz w:val="18"/>
      <w:szCs w:val="18"/>
      <w:lang w:eastAsia="fr-FR" w:bidi="ar-SA"/>
    </w:rPr>
  </w:style>
  <w:style w:type="paragraph" w:customStyle="1" w:styleId="xl86">
    <w:name w:val="xl86"/>
    <w:basedOn w:val="Normal"/>
    <w:rsid w:val="00BB49EE"/>
    <w:pPr>
      <w:pBdr>
        <w:bottom w:val="single" w:sz="12" w:space="0" w:color="auto"/>
        <w:right w:val="single" w:sz="12" w:space="0" w:color="auto"/>
      </w:pBdr>
      <w:shd w:val="clear" w:color="000000" w:fill="FFC000"/>
      <w:spacing w:before="100" w:beforeAutospacing="1" w:after="100" w:afterAutospacing="1" w:line="240" w:lineRule="auto"/>
      <w:jc w:val="center"/>
      <w:textAlignment w:val="center"/>
    </w:pPr>
    <w:rPr>
      <w:rFonts w:ascii="Times New Roman" w:hAnsi="Times New Roman" w:cs="Times New Roman"/>
      <w:b/>
      <w:bCs/>
      <w:color w:val="808080"/>
      <w:sz w:val="18"/>
      <w:szCs w:val="18"/>
      <w:lang w:eastAsia="fr-FR" w:bidi="ar-SA"/>
    </w:rPr>
  </w:style>
  <w:style w:type="paragraph" w:customStyle="1" w:styleId="xl87">
    <w:name w:val="xl87"/>
    <w:basedOn w:val="Normal"/>
    <w:rsid w:val="00BB49EE"/>
    <w:pPr>
      <w:pBdr>
        <w:bottom w:val="single" w:sz="12" w:space="0" w:color="auto"/>
        <w:right w:val="single" w:sz="12" w:space="0" w:color="auto"/>
      </w:pBdr>
      <w:shd w:val="clear" w:color="000000" w:fill="FF0000"/>
      <w:spacing w:before="100" w:beforeAutospacing="1" w:after="100" w:afterAutospacing="1" w:line="240" w:lineRule="auto"/>
      <w:jc w:val="center"/>
      <w:textAlignment w:val="center"/>
    </w:pPr>
    <w:rPr>
      <w:rFonts w:ascii="Times New Roman" w:hAnsi="Times New Roman" w:cs="Times New Roman"/>
      <w:b/>
      <w:bCs/>
      <w:color w:val="808080"/>
      <w:sz w:val="18"/>
      <w:szCs w:val="18"/>
      <w:lang w:eastAsia="fr-FR" w:bidi="ar-SA"/>
    </w:rPr>
  </w:style>
  <w:style w:type="paragraph" w:customStyle="1" w:styleId="xl88">
    <w:name w:val="xl88"/>
    <w:basedOn w:val="Normal"/>
    <w:rsid w:val="00BB49EE"/>
    <w:pPr>
      <w:pBdr>
        <w:bottom w:val="single" w:sz="12" w:space="0" w:color="auto"/>
        <w:right w:val="single" w:sz="8" w:space="0" w:color="auto"/>
      </w:pBdr>
      <w:shd w:val="clear" w:color="000000" w:fill="FF0000"/>
      <w:spacing w:before="100" w:beforeAutospacing="1" w:after="100" w:afterAutospacing="1" w:line="240" w:lineRule="auto"/>
      <w:jc w:val="center"/>
      <w:textAlignment w:val="center"/>
    </w:pPr>
    <w:rPr>
      <w:rFonts w:ascii="Times New Roman" w:hAnsi="Times New Roman" w:cs="Times New Roman"/>
      <w:b/>
      <w:bCs/>
      <w:color w:val="808080"/>
      <w:sz w:val="18"/>
      <w:szCs w:val="18"/>
      <w:lang w:eastAsia="fr-FR" w:bidi="ar-SA"/>
    </w:rPr>
  </w:style>
  <w:style w:type="paragraph" w:customStyle="1" w:styleId="xl89">
    <w:name w:val="xl89"/>
    <w:basedOn w:val="Normal"/>
    <w:rsid w:val="00BB49EE"/>
    <w:pPr>
      <w:pBdr>
        <w:left w:val="single" w:sz="12" w:space="0" w:color="auto"/>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Times New Roman" w:hAnsi="Times New Roman" w:cs="Times New Roman"/>
      <w:b/>
      <w:bCs/>
      <w:color w:val="808080"/>
      <w:sz w:val="18"/>
      <w:szCs w:val="18"/>
      <w:lang w:eastAsia="fr-FR" w:bidi="ar-SA"/>
    </w:rPr>
  </w:style>
  <w:style w:type="paragraph" w:customStyle="1" w:styleId="xl90">
    <w:name w:val="xl90"/>
    <w:basedOn w:val="Normal"/>
    <w:rsid w:val="00BB49EE"/>
    <w:pPr>
      <w:pBdr>
        <w:bottom w:val="single" w:sz="8" w:space="0" w:color="auto"/>
        <w:right w:val="single" w:sz="12" w:space="0" w:color="auto"/>
      </w:pBdr>
      <w:shd w:val="clear" w:color="000000" w:fill="FFFF00"/>
      <w:spacing w:before="100" w:beforeAutospacing="1" w:after="100" w:afterAutospacing="1" w:line="240" w:lineRule="auto"/>
      <w:jc w:val="center"/>
      <w:textAlignment w:val="center"/>
    </w:pPr>
    <w:rPr>
      <w:rFonts w:ascii="Times New Roman" w:hAnsi="Times New Roman" w:cs="Times New Roman"/>
      <w:b/>
      <w:bCs/>
      <w:color w:val="808080"/>
      <w:sz w:val="18"/>
      <w:szCs w:val="18"/>
      <w:lang w:eastAsia="fr-FR" w:bidi="ar-SA"/>
    </w:rPr>
  </w:style>
  <w:style w:type="paragraph" w:customStyle="1" w:styleId="xl91">
    <w:name w:val="xl91"/>
    <w:basedOn w:val="Normal"/>
    <w:rsid w:val="00BB49EE"/>
    <w:pPr>
      <w:pBdr>
        <w:bottom w:val="single" w:sz="8" w:space="0" w:color="auto"/>
        <w:right w:val="single" w:sz="8" w:space="0" w:color="auto"/>
      </w:pBdr>
      <w:spacing w:before="100" w:beforeAutospacing="1" w:after="100" w:afterAutospacing="1" w:line="240" w:lineRule="auto"/>
      <w:jc w:val="center"/>
      <w:textAlignment w:val="center"/>
    </w:pPr>
    <w:rPr>
      <w:rFonts w:ascii="Times New Roman" w:hAnsi="Times New Roman" w:cs="Times New Roman"/>
      <w:b/>
      <w:bCs/>
      <w:color w:val="BFBFBF"/>
      <w:sz w:val="18"/>
      <w:szCs w:val="18"/>
      <w:lang w:eastAsia="fr-FR" w:bidi="ar-SA"/>
    </w:rPr>
  </w:style>
  <w:style w:type="paragraph" w:customStyle="1" w:styleId="xl92">
    <w:name w:val="xl92"/>
    <w:basedOn w:val="Normal"/>
    <w:rsid w:val="00BB49EE"/>
    <w:pPr>
      <w:pBdr>
        <w:bottom w:val="single" w:sz="8" w:space="0" w:color="auto"/>
        <w:right w:val="single" w:sz="12" w:space="0" w:color="auto"/>
      </w:pBdr>
      <w:spacing w:before="100" w:beforeAutospacing="1" w:after="100" w:afterAutospacing="1" w:line="240" w:lineRule="auto"/>
      <w:jc w:val="center"/>
      <w:textAlignment w:val="center"/>
    </w:pPr>
    <w:rPr>
      <w:rFonts w:ascii="Times New Roman" w:hAnsi="Times New Roman" w:cs="Times New Roman"/>
      <w:b/>
      <w:bCs/>
      <w:color w:val="BFBFBF"/>
      <w:sz w:val="18"/>
      <w:szCs w:val="18"/>
      <w:lang w:eastAsia="fr-FR" w:bidi="ar-SA"/>
    </w:rPr>
  </w:style>
  <w:style w:type="paragraph" w:customStyle="1" w:styleId="xl93">
    <w:name w:val="xl93"/>
    <w:basedOn w:val="Normal"/>
    <w:rsid w:val="00BB49EE"/>
    <w:pPr>
      <w:pBdr>
        <w:bottom w:val="single" w:sz="8" w:space="0" w:color="auto"/>
        <w:right w:val="single" w:sz="8" w:space="0" w:color="auto"/>
      </w:pBdr>
      <w:shd w:val="clear" w:color="000000" w:fill="FFC000"/>
      <w:spacing w:before="100" w:beforeAutospacing="1" w:after="100" w:afterAutospacing="1" w:line="240" w:lineRule="auto"/>
      <w:jc w:val="center"/>
      <w:textAlignment w:val="center"/>
    </w:pPr>
    <w:rPr>
      <w:rFonts w:ascii="Times New Roman" w:hAnsi="Times New Roman" w:cs="Times New Roman"/>
      <w:b/>
      <w:bCs/>
      <w:color w:val="808080"/>
      <w:sz w:val="18"/>
      <w:szCs w:val="18"/>
      <w:lang w:eastAsia="fr-FR" w:bidi="ar-SA"/>
    </w:rPr>
  </w:style>
  <w:style w:type="paragraph" w:customStyle="1" w:styleId="xl94">
    <w:name w:val="xl94"/>
    <w:basedOn w:val="Normal"/>
    <w:rsid w:val="00BB49EE"/>
    <w:pPr>
      <w:pBdr>
        <w:bottom w:val="single" w:sz="8" w:space="0" w:color="auto"/>
        <w:right w:val="single" w:sz="12" w:space="0" w:color="auto"/>
      </w:pBdr>
      <w:shd w:val="clear" w:color="000000" w:fill="FFC000"/>
      <w:spacing w:before="100" w:beforeAutospacing="1" w:after="100" w:afterAutospacing="1" w:line="240" w:lineRule="auto"/>
      <w:jc w:val="center"/>
      <w:textAlignment w:val="center"/>
    </w:pPr>
    <w:rPr>
      <w:rFonts w:ascii="Times New Roman" w:hAnsi="Times New Roman" w:cs="Times New Roman"/>
      <w:b/>
      <w:bCs/>
      <w:color w:val="808080"/>
      <w:sz w:val="18"/>
      <w:szCs w:val="18"/>
      <w:lang w:eastAsia="fr-FR" w:bidi="ar-SA"/>
    </w:rPr>
  </w:style>
  <w:style w:type="paragraph" w:customStyle="1" w:styleId="xl95">
    <w:name w:val="xl95"/>
    <w:basedOn w:val="Normal"/>
    <w:rsid w:val="00BB49EE"/>
    <w:pPr>
      <w:pBdr>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Times New Roman" w:hAnsi="Times New Roman" w:cs="Times New Roman"/>
      <w:b/>
      <w:bCs/>
      <w:color w:val="808080"/>
      <w:sz w:val="18"/>
      <w:szCs w:val="18"/>
      <w:lang w:eastAsia="fr-FR" w:bidi="ar-SA"/>
    </w:rPr>
  </w:style>
  <w:style w:type="paragraph" w:customStyle="1" w:styleId="xl96">
    <w:name w:val="xl96"/>
    <w:basedOn w:val="Normal"/>
    <w:rsid w:val="00BB49EE"/>
    <w:pPr>
      <w:pBdr>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Times New Roman" w:hAnsi="Times New Roman" w:cs="Times New Roman"/>
      <w:b/>
      <w:bCs/>
      <w:color w:val="BFBFBF"/>
      <w:sz w:val="18"/>
      <w:szCs w:val="18"/>
      <w:lang w:eastAsia="fr-FR" w:bidi="ar-SA"/>
    </w:rPr>
  </w:style>
  <w:style w:type="paragraph" w:customStyle="1" w:styleId="xl97">
    <w:name w:val="xl97"/>
    <w:basedOn w:val="Normal"/>
    <w:rsid w:val="00BB49EE"/>
    <w:pPr>
      <w:pBdr>
        <w:bottom w:val="single" w:sz="8" w:space="0" w:color="auto"/>
        <w:right w:val="single" w:sz="12" w:space="0" w:color="auto"/>
      </w:pBdr>
      <w:shd w:val="clear" w:color="000000" w:fill="FFFF00"/>
      <w:spacing w:before="100" w:beforeAutospacing="1" w:after="100" w:afterAutospacing="1" w:line="240" w:lineRule="auto"/>
      <w:jc w:val="center"/>
      <w:textAlignment w:val="center"/>
    </w:pPr>
    <w:rPr>
      <w:rFonts w:ascii="Times New Roman" w:hAnsi="Times New Roman" w:cs="Times New Roman"/>
      <w:b/>
      <w:bCs/>
      <w:color w:val="BFBFBF"/>
      <w:sz w:val="18"/>
      <w:szCs w:val="18"/>
      <w:lang w:eastAsia="fr-FR" w:bidi="ar-SA"/>
    </w:rPr>
  </w:style>
  <w:style w:type="paragraph" w:customStyle="1" w:styleId="xl98">
    <w:name w:val="xl98"/>
    <w:basedOn w:val="Normal"/>
    <w:rsid w:val="00BB49EE"/>
    <w:pPr>
      <w:pBdr>
        <w:left w:val="single" w:sz="12"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hAnsi="Times New Roman" w:cs="Times New Roman"/>
      <w:b/>
      <w:bCs/>
      <w:color w:val="BFBFBF"/>
      <w:sz w:val="18"/>
      <w:szCs w:val="18"/>
      <w:lang w:eastAsia="fr-FR" w:bidi="ar-SA"/>
    </w:rPr>
  </w:style>
  <w:style w:type="paragraph" w:customStyle="1" w:styleId="xl99">
    <w:name w:val="xl99"/>
    <w:basedOn w:val="Normal"/>
    <w:rsid w:val="00BB49EE"/>
    <w:pPr>
      <w:pBdr>
        <w:left w:val="single" w:sz="12" w:space="0" w:color="auto"/>
        <w:bottom w:val="single" w:sz="12" w:space="0" w:color="auto"/>
        <w:right w:val="single" w:sz="8" w:space="0" w:color="auto"/>
      </w:pBdr>
      <w:spacing w:before="100" w:beforeAutospacing="1" w:after="100" w:afterAutospacing="1" w:line="240" w:lineRule="auto"/>
      <w:jc w:val="center"/>
      <w:textAlignment w:val="center"/>
    </w:pPr>
    <w:rPr>
      <w:rFonts w:ascii="Times New Roman" w:hAnsi="Times New Roman" w:cs="Times New Roman"/>
      <w:b/>
      <w:bCs/>
      <w:color w:val="BFBFBF"/>
      <w:sz w:val="18"/>
      <w:szCs w:val="18"/>
      <w:lang w:eastAsia="fr-FR" w:bidi="ar-SA"/>
    </w:rPr>
  </w:style>
  <w:style w:type="paragraph" w:customStyle="1" w:styleId="xl100">
    <w:name w:val="xl100"/>
    <w:basedOn w:val="Normal"/>
    <w:rsid w:val="00BB49EE"/>
    <w:pPr>
      <w:pBdr>
        <w:bottom w:val="single" w:sz="8" w:space="0" w:color="auto"/>
        <w:right w:val="single" w:sz="8" w:space="0" w:color="auto"/>
      </w:pBdr>
      <w:shd w:val="clear" w:color="000000" w:fill="FF0000"/>
      <w:spacing w:before="100" w:beforeAutospacing="1" w:after="100" w:afterAutospacing="1" w:line="240" w:lineRule="auto"/>
      <w:jc w:val="center"/>
      <w:textAlignment w:val="center"/>
    </w:pPr>
    <w:rPr>
      <w:rFonts w:ascii="Times New Roman" w:hAnsi="Times New Roman" w:cs="Times New Roman"/>
      <w:b/>
      <w:bCs/>
      <w:color w:val="808080"/>
      <w:sz w:val="18"/>
      <w:szCs w:val="18"/>
      <w:lang w:eastAsia="fr-FR" w:bidi="ar-SA"/>
    </w:rPr>
  </w:style>
  <w:style w:type="paragraph" w:customStyle="1" w:styleId="xl101">
    <w:name w:val="xl101"/>
    <w:basedOn w:val="Normal"/>
    <w:rsid w:val="00BB49EE"/>
    <w:pPr>
      <w:pBdr>
        <w:bottom w:val="single" w:sz="8" w:space="0" w:color="auto"/>
        <w:right w:val="single" w:sz="12" w:space="0" w:color="auto"/>
      </w:pBdr>
      <w:shd w:val="clear" w:color="000000" w:fill="FF0000"/>
      <w:spacing w:before="100" w:beforeAutospacing="1" w:after="100" w:afterAutospacing="1" w:line="240" w:lineRule="auto"/>
      <w:jc w:val="center"/>
      <w:textAlignment w:val="center"/>
    </w:pPr>
    <w:rPr>
      <w:rFonts w:ascii="Times New Roman" w:hAnsi="Times New Roman" w:cs="Times New Roman"/>
      <w:b/>
      <w:bCs/>
      <w:color w:val="808080"/>
      <w:sz w:val="18"/>
      <w:szCs w:val="18"/>
      <w:lang w:eastAsia="fr-FR" w:bidi="ar-SA"/>
    </w:rPr>
  </w:style>
  <w:style w:type="paragraph" w:customStyle="1" w:styleId="xl102">
    <w:name w:val="xl102"/>
    <w:basedOn w:val="Normal"/>
    <w:rsid w:val="00BB49EE"/>
    <w:pPr>
      <w:pBdr>
        <w:bottom w:val="single" w:sz="8" w:space="0" w:color="auto"/>
        <w:right w:val="single" w:sz="8" w:space="0" w:color="auto"/>
      </w:pBdr>
      <w:shd w:val="clear" w:color="000000" w:fill="00B0F0"/>
      <w:spacing w:before="100" w:beforeAutospacing="1" w:after="100" w:afterAutospacing="1" w:line="240" w:lineRule="auto"/>
      <w:jc w:val="center"/>
      <w:textAlignment w:val="center"/>
    </w:pPr>
    <w:rPr>
      <w:rFonts w:ascii="Times New Roman" w:hAnsi="Times New Roman" w:cs="Times New Roman"/>
      <w:b/>
      <w:bCs/>
      <w:color w:val="808080"/>
      <w:sz w:val="18"/>
      <w:szCs w:val="18"/>
      <w:lang w:eastAsia="fr-FR" w:bidi="ar-SA"/>
    </w:rPr>
  </w:style>
  <w:style w:type="paragraph" w:customStyle="1" w:styleId="xl103">
    <w:name w:val="xl103"/>
    <w:basedOn w:val="Normal"/>
    <w:rsid w:val="00BB49EE"/>
    <w:pPr>
      <w:pBdr>
        <w:bottom w:val="single" w:sz="8" w:space="0" w:color="auto"/>
        <w:right w:val="single" w:sz="12" w:space="0" w:color="auto"/>
      </w:pBdr>
      <w:shd w:val="clear" w:color="000000" w:fill="00B0F0"/>
      <w:spacing w:before="100" w:beforeAutospacing="1" w:after="100" w:afterAutospacing="1" w:line="240" w:lineRule="auto"/>
      <w:jc w:val="center"/>
      <w:textAlignment w:val="center"/>
    </w:pPr>
    <w:rPr>
      <w:rFonts w:ascii="Times New Roman" w:hAnsi="Times New Roman" w:cs="Times New Roman"/>
      <w:b/>
      <w:bCs/>
      <w:color w:val="808080"/>
      <w:sz w:val="18"/>
      <w:szCs w:val="18"/>
      <w:lang w:eastAsia="fr-FR" w:bidi="ar-SA"/>
    </w:rPr>
  </w:style>
  <w:style w:type="paragraph" w:customStyle="1" w:styleId="xl104">
    <w:name w:val="xl104"/>
    <w:basedOn w:val="Normal"/>
    <w:rsid w:val="00BB49EE"/>
    <w:pPr>
      <w:pBdr>
        <w:bottom w:val="single" w:sz="12" w:space="0" w:color="auto"/>
        <w:right w:val="single" w:sz="8" w:space="0" w:color="auto"/>
      </w:pBdr>
      <w:shd w:val="clear" w:color="000000" w:fill="00B0F0"/>
      <w:spacing w:before="100" w:beforeAutospacing="1" w:after="100" w:afterAutospacing="1" w:line="240" w:lineRule="auto"/>
      <w:jc w:val="center"/>
      <w:textAlignment w:val="center"/>
    </w:pPr>
    <w:rPr>
      <w:rFonts w:ascii="Times New Roman" w:hAnsi="Times New Roman" w:cs="Times New Roman"/>
      <w:b/>
      <w:bCs/>
      <w:color w:val="808080"/>
      <w:sz w:val="18"/>
      <w:szCs w:val="18"/>
      <w:lang w:eastAsia="fr-FR" w:bidi="ar-SA"/>
    </w:rPr>
  </w:style>
  <w:style w:type="paragraph" w:customStyle="1" w:styleId="xl105">
    <w:name w:val="xl105"/>
    <w:basedOn w:val="Normal"/>
    <w:rsid w:val="00BB49EE"/>
    <w:pPr>
      <w:pBdr>
        <w:bottom w:val="single" w:sz="12" w:space="0" w:color="auto"/>
        <w:right w:val="single" w:sz="12" w:space="0" w:color="auto"/>
      </w:pBdr>
      <w:shd w:val="clear" w:color="000000" w:fill="00B0F0"/>
      <w:spacing w:before="100" w:beforeAutospacing="1" w:after="100" w:afterAutospacing="1" w:line="240" w:lineRule="auto"/>
      <w:jc w:val="center"/>
      <w:textAlignment w:val="center"/>
    </w:pPr>
    <w:rPr>
      <w:rFonts w:ascii="Times New Roman" w:hAnsi="Times New Roman" w:cs="Times New Roman"/>
      <w:b/>
      <w:bCs/>
      <w:color w:val="808080"/>
      <w:sz w:val="18"/>
      <w:szCs w:val="18"/>
      <w:lang w:eastAsia="fr-FR" w:bidi="ar-SA"/>
    </w:rPr>
  </w:style>
  <w:style w:type="paragraph" w:customStyle="1" w:styleId="xl106">
    <w:name w:val="xl106"/>
    <w:basedOn w:val="Normal"/>
    <w:rsid w:val="00BB49EE"/>
    <w:pPr>
      <w:pBdr>
        <w:bottom w:val="single" w:sz="8" w:space="0" w:color="auto"/>
        <w:right w:val="single" w:sz="8" w:space="0" w:color="auto"/>
      </w:pBdr>
      <w:shd w:val="clear" w:color="000000" w:fill="0070C0"/>
      <w:spacing w:before="100" w:beforeAutospacing="1" w:after="100" w:afterAutospacing="1" w:line="240" w:lineRule="auto"/>
      <w:jc w:val="center"/>
      <w:textAlignment w:val="center"/>
    </w:pPr>
    <w:rPr>
      <w:rFonts w:ascii="Times New Roman" w:hAnsi="Times New Roman" w:cs="Times New Roman"/>
      <w:b/>
      <w:bCs/>
      <w:color w:val="BFBFBF"/>
      <w:sz w:val="16"/>
      <w:szCs w:val="16"/>
      <w:lang w:eastAsia="fr-FR" w:bidi="ar-SA"/>
    </w:rPr>
  </w:style>
  <w:style w:type="table" w:customStyle="1" w:styleId="Grilledetableauclaire3">
    <w:name w:val="Grille de tableau claire3"/>
    <w:basedOn w:val="TableauNormal"/>
    <w:uiPriority w:val="40"/>
    <w:rsid w:val="00BB49EE"/>
    <w:pPr>
      <w:spacing w:after="0" w:line="240" w:lineRule="auto"/>
    </w:pPr>
    <w:rPr>
      <w:rFonts w:ascii="Calibri" w:eastAsia="Times New Roman" w:hAnsi="Calibri" w:cs="Arial"/>
      <w:sz w:val="20"/>
      <w:szCs w:val="20"/>
      <w:lang w:val="fr-FR" w:eastAsia="fr-FR"/>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character" w:customStyle="1" w:styleId="apple-converted-space">
    <w:name w:val="apple-converted-space"/>
    <w:rsid w:val="00BB49EE"/>
  </w:style>
  <w:style w:type="paragraph" w:customStyle="1" w:styleId="Paragraphedeliste1">
    <w:name w:val="Paragraphe de liste1"/>
    <w:basedOn w:val="Normal"/>
    <w:uiPriority w:val="99"/>
    <w:qFormat/>
    <w:rsid w:val="00BB49EE"/>
    <w:pPr>
      <w:spacing w:before="0" w:after="200"/>
      <w:ind w:left="720"/>
      <w:contextualSpacing/>
      <w:jc w:val="left"/>
    </w:pPr>
    <w:rPr>
      <w:rFonts w:cs="Times New Roman"/>
      <w:szCs w:val="20"/>
      <w:lang w:eastAsia="fr-FR" w:bidi="ar-SA"/>
    </w:rPr>
  </w:style>
  <w:style w:type="character" w:customStyle="1" w:styleId="tl8wme">
    <w:name w:val="tl8wme"/>
    <w:basedOn w:val="Policepardfaut"/>
    <w:rsid w:val="00BB49EE"/>
  </w:style>
  <w:style w:type="character" w:customStyle="1" w:styleId="Mentionnonrsolue6">
    <w:name w:val="Mention non résolue6"/>
    <w:basedOn w:val="Policepardfaut"/>
    <w:uiPriority w:val="99"/>
    <w:semiHidden/>
    <w:unhideWhenUsed/>
    <w:rsid w:val="00BB49EE"/>
    <w:rPr>
      <w:color w:val="605E5C"/>
      <w:shd w:val="clear" w:color="auto" w:fill="E1DFDD"/>
    </w:rPr>
  </w:style>
  <w:style w:type="table" w:customStyle="1" w:styleId="Listemoyenne1-Accent21">
    <w:name w:val="Liste moyenne 1 - Accent 21"/>
    <w:basedOn w:val="TableauNormal"/>
    <w:next w:val="Listemoyenne1-Accent2"/>
    <w:uiPriority w:val="65"/>
    <w:rsid w:val="00BB49EE"/>
    <w:pPr>
      <w:spacing w:after="0" w:line="240" w:lineRule="auto"/>
    </w:pPr>
    <w:rPr>
      <w:rFonts w:ascii="Calibri" w:eastAsia="Times New Roman" w:hAnsi="Calibri" w:cs="Arial"/>
      <w:color w:val="000000"/>
      <w:sz w:val="20"/>
      <w:szCs w:val="20"/>
      <w:lang w:val="fr-FR" w:eastAsia="fr-FR"/>
    </w:rPr>
    <w:tblPr>
      <w:tblStyleRowBandSize w:val="1"/>
      <w:tblStyleColBandSize w:val="1"/>
      <w:tblBorders>
        <w:top w:val="single" w:sz="8" w:space="0" w:color="C0504D"/>
        <w:bottom w:val="single" w:sz="8" w:space="0" w:color="C0504D"/>
      </w:tblBorders>
    </w:tblPr>
    <w:tblStylePr w:type="firstRow">
      <w:rPr>
        <w:rFonts w:ascii="Bahnschrift SemiLight Condensed" w:eastAsia="Times New Roman" w:hAnsi="Bahnschrift SemiLight Condensed"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customStyle="1" w:styleId="Grilledutableau1">
    <w:name w:val="Grille du tableau1"/>
    <w:basedOn w:val="TableauNormal"/>
    <w:next w:val="Grilledutableau"/>
    <w:uiPriority w:val="59"/>
    <w:rsid w:val="00BB49EE"/>
    <w:pPr>
      <w:spacing w:after="0" w:line="240" w:lineRule="auto"/>
    </w:pPr>
    <w:rPr>
      <w:rFonts w:ascii="Calibri" w:eastAsia="Times New Roman" w:hAnsi="Calibri" w:cs="Arial"/>
      <w:sz w:val="20"/>
      <w:szCs w:val="20"/>
      <w:lang w:val="fr-FR"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moyenne1-Accent21">
    <w:name w:val="Grille moyenne 1 - Accent 21"/>
    <w:basedOn w:val="TableauNormal"/>
    <w:next w:val="Grillemoyenne1-Accent2"/>
    <w:uiPriority w:val="67"/>
    <w:rsid w:val="00BB49EE"/>
    <w:pPr>
      <w:spacing w:after="0" w:line="240" w:lineRule="auto"/>
    </w:pPr>
    <w:rPr>
      <w:rFonts w:ascii="Calibri" w:eastAsia="Times New Roman" w:hAnsi="Calibri" w:cs="Arial"/>
      <w:sz w:val="20"/>
      <w:szCs w:val="20"/>
      <w:lang w:val="fr-FR" w:eastAsia="fr-FR"/>
    </w:r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customStyle="1" w:styleId="Listefonce-Accent21">
    <w:name w:val="Liste foncée - Accent 21"/>
    <w:basedOn w:val="TableauNormal"/>
    <w:next w:val="Listefonce-Accent2"/>
    <w:uiPriority w:val="70"/>
    <w:rsid w:val="00BB49EE"/>
    <w:pPr>
      <w:spacing w:after="0" w:line="240" w:lineRule="auto"/>
    </w:pPr>
    <w:rPr>
      <w:rFonts w:ascii="Calibri" w:eastAsia="Times New Roman" w:hAnsi="Calibri" w:cs="Arial"/>
      <w:color w:val="FFFFFF"/>
      <w:sz w:val="20"/>
      <w:szCs w:val="20"/>
      <w:lang w:val="fr-FR" w:eastAsia="fr-FR"/>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paragraph" w:customStyle="1" w:styleId="Style9ptAvant0ptAprs0pt">
    <w:name w:val="Style 9 pt Avant : 0 pt Après : 0 pt"/>
    <w:basedOn w:val="Normal"/>
    <w:autoRedefine/>
    <w:rsid w:val="00BB49EE"/>
    <w:pPr>
      <w:spacing w:before="0" w:after="0" w:line="240" w:lineRule="auto"/>
    </w:pPr>
    <w:rPr>
      <w:rFonts w:ascii="Comic Sans MS" w:hAnsi="Comic Sans MS" w:cs="Times New Roman"/>
      <w:sz w:val="16"/>
      <w:szCs w:val="20"/>
      <w:lang w:eastAsia="fr-FR" w:bidi="ar-SA"/>
    </w:rPr>
  </w:style>
  <w:style w:type="paragraph" w:customStyle="1" w:styleId="StyleStylebasdutableau6ptGrasItaliqueGaucheGauche01">
    <w:name w:val="Style Style bas du tableau + 6 pt Gras Italique Gauche Gauche :  01..."/>
    <w:basedOn w:val="Normal"/>
    <w:autoRedefine/>
    <w:rsid w:val="00BB49EE"/>
    <w:pPr>
      <w:keepNext/>
      <w:keepLines/>
      <w:spacing w:before="60" w:after="60" w:line="240" w:lineRule="auto"/>
      <w:ind w:left="57" w:right="113"/>
      <w:jc w:val="left"/>
    </w:pPr>
    <w:rPr>
      <w:rFonts w:ascii="Comic Sans MS" w:hAnsi="Comic Sans MS" w:cs="Times New Roman"/>
      <w:b/>
      <w:bCs/>
      <w:sz w:val="12"/>
      <w:szCs w:val="20"/>
      <w:lang w:val="fr-CA" w:eastAsia="fr-FR" w:bidi="ar-SA"/>
    </w:rPr>
  </w:style>
  <w:style w:type="paragraph" w:customStyle="1" w:styleId="Listepuces30">
    <w:name w:val="Liste à puces3"/>
    <w:basedOn w:val="Normal"/>
    <w:autoRedefine/>
    <w:rsid w:val="00BB49EE"/>
    <w:pPr>
      <w:numPr>
        <w:numId w:val="56"/>
      </w:numPr>
      <w:spacing w:before="0" w:after="0" w:line="240" w:lineRule="auto"/>
    </w:pPr>
    <w:rPr>
      <w:rFonts w:ascii="Comic Sans MS" w:hAnsi="Comic Sans MS" w:cs="Times New Roman"/>
      <w:sz w:val="20"/>
      <w:szCs w:val="20"/>
      <w:lang w:eastAsia="fr-FR" w:bidi="ar-SA"/>
    </w:rPr>
  </w:style>
  <w:style w:type="paragraph" w:customStyle="1" w:styleId="Puce22">
    <w:name w:val="Puce2"/>
    <w:basedOn w:val="Normal"/>
    <w:autoRedefine/>
    <w:uiPriority w:val="99"/>
    <w:rsid w:val="00BB49EE"/>
    <w:pPr>
      <w:spacing w:before="0" w:after="0" w:line="240" w:lineRule="auto"/>
    </w:pPr>
    <w:rPr>
      <w:rFonts w:ascii="Comic Sans MS" w:hAnsi="Comic Sans MS" w:cs="Times New Roman"/>
      <w:szCs w:val="20"/>
      <w:lang w:eastAsia="fr-FR" w:bidi="ar-SA"/>
    </w:rPr>
  </w:style>
  <w:style w:type="paragraph" w:customStyle="1" w:styleId="puces">
    <w:name w:val="puces"/>
    <w:basedOn w:val="Normal"/>
    <w:uiPriority w:val="99"/>
    <w:rsid w:val="00BB49EE"/>
    <w:pPr>
      <w:tabs>
        <w:tab w:val="num" w:pos="1134"/>
      </w:tabs>
      <w:spacing w:before="60" w:after="60" w:line="240" w:lineRule="auto"/>
      <w:ind w:left="1134" w:hanging="397"/>
    </w:pPr>
    <w:rPr>
      <w:rFonts w:ascii="Arial" w:hAnsi="Arial" w:cs="Times New Roman"/>
      <w:szCs w:val="24"/>
      <w:lang w:val="fr-CA" w:eastAsia="fr-FR" w:bidi="ar-SA"/>
    </w:rPr>
  </w:style>
  <w:style w:type="paragraph" w:customStyle="1" w:styleId="figure">
    <w:name w:val="figure"/>
    <w:basedOn w:val="Normal"/>
    <w:next w:val="Lgende"/>
    <w:rsid w:val="00BB49EE"/>
    <w:pPr>
      <w:spacing w:before="0" w:after="0" w:line="240" w:lineRule="atLeast"/>
      <w:jc w:val="center"/>
    </w:pPr>
    <w:rPr>
      <w:rFonts w:ascii="Comic Sans MS" w:hAnsi="Comic Sans MS" w:cs="Times New Roman"/>
      <w:szCs w:val="20"/>
      <w:lang w:eastAsia="fr-FR" w:bidi="ar-SA"/>
    </w:rPr>
  </w:style>
  <w:style w:type="paragraph" w:customStyle="1" w:styleId="PS">
    <w:name w:val="PS"/>
    <w:basedOn w:val="Normal"/>
    <w:rsid w:val="00BB49EE"/>
    <w:pPr>
      <w:spacing w:before="240" w:after="0" w:line="240" w:lineRule="auto"/>
    </w:pPr>
    <w:rPr>
      <w:rFonts w:ascii="Times New Roman" w:hAnsi="Times New Roman" w:cs="Times New Roman"/>
      <w:sz w:val="24"/>
      <w:szCs w:val="20"/>
      <w:lang w:eastAsia="fr-FR" w:bidi="ar-SA"/>
    </w:rPr>
  </w:style>
  <w:style w:type="paragraph" w:customStyle="1" w:styleId="ps0">
    <w:name w:val="ps"/>
    <w:aliases w:val="heading 3,TITRE 33,heading,imageading 3,heading + Centré,eang 3"/>
    <w:basedOn w:val="Normal"/>
    <w:link w:val="psCar"/>
    <w:qFormat/>
    <w:rsid w:val="00BB49EE"/>
    <w:pPr>
      <w:keepLines/>
      <w:spacing w:before="240" w:after="0" w:line="240" w:lineRule="auto"/>
    </w:pPr>
    <w:rPr>
      <w:rFonts w:ascii="Times New Roman" w:hAnsi="Times New Roman" w:cs="Times New Roman"/>
      <w:sz w:val="24"/>
      <w:szCs w:val="20"/>
      <w:lang w:eastAsia="fr-FR" w:bidi="ar-SA"/>
    </w:rPr>
  </w:style>
  <w:style w:type="character" w:customStyle="1" w:styleId="psCar">
    <w:name w:val="ps Car"/>
    <w:aliases w:val="heading Car,TITRE 33 Car,imageading 3 Car,heading + Centré Car,eang 3 Car,heading 3 Car"/>
    <w:link w:val="ps0"/>
    <w:rsid w:val="00BB49EE"/>
    <w:rPr>
      <w:rFonts w:ascii="Times New Roman" w:eastAsia="Times New Roman" w:hAnsi="Times New Roman" w:cs="Times New Roman"/>
      <w:sz w:val="24"/>
      <w:szCs w:val="20"/>
      <w:lang w:val="fr-FR" w:eastAsia="fr-FR"/>
    </w:rPr>
  </w:style>
  <w:style w:type="paragraph" w:customStyle="1" w:styleId="Enumration1">
    <w:name w:val="Enumération 1"/>
    <w:basedOn w:val="Normal"/>
    <w:link w:val="Enumration1CarCar"/>
    <w:rsid w:val="00BB49EE"/>
    <w:pPr>
      <w:numPr>
        <w:numId w:val="57"/>
      </w:numPr>
      <w:spacing w:before="0" w:line="240" w:lineRule="auto"/>
    </w:pPr>
    <w:rPr>
      <w:rFonts w:ascii="Arial" w:hAnsi="Arial" w:cs="Times New Roman"/>
      <w:sz w:val="20"/>
      <w:szCs w:val="20"/>
      <w:lang w:eastAsia="fr-FR" w:bidi="ar-SA"/>
    </w:rPr>
  </w:style>
  <w:style w:type="character" w:customStyle="1" w:styleId="Enumration1CarCar">
    <w:name w:val="Enumération 1 Car Car"/>
    <w:link w:val="Enumration1"/>
    <w:rsid w:val="00BB49EE"/>
    <w:rPr>
      <w:rFonts w:ascii="Arial" w:eastAsia="Times New Roman" w:hAnsi="Arial" w:cs="Times New Roman"/>
      <w:sz w:val="20"/>
      <w:szCs w:val="20"/>
      <w:lang w:val="fr-FR" w:eastAsia="fr-FR"/>
    </w:rPr>
  </w:style>
  <w:style w:type="paragraph" w:customStyle="1" w:styleId="Resum2">
    <w:name w:val="Resum2"/>
    <w:basedOn w:val="Normal"/>
    <w:next w:val="Normal"/>
    <w:rsid w:val="00BB49EE"/>
    <w:pPr>
      <w:tabs>
        <w:tab w:val="num" w:pos="454"/>
      </w:tabs>
      <w:spacing w:before="360" w:after="240" w:line="240" w:lineRule="auto"/>
      <w:ind w:left="454" w:hanging="454"/>
    </w:pPr>
    <w:rPr>
      <w:rFonts w:ascii="Arial" w:hAnsi="Arial" w:cs="Times New Roman"/>
      <w:b/>
      <w:i/>
      <w:smallCaps/>
      <w:sz w:val="24"/>
      <w:szCs w:val="20"/>
      <w:u w:val="single"/>
      <w:lang w:eastAsia="fr-FR" w:bidi="ar-SA"/>
    </w:rPr>
  </w:style>
  <w:style w:type="character" w:customStyle="1" w:styleId="A0">
    <w:name w:val="A0"/>
    <w:rsid w:val="00BB49EE"/>
    <w:rPr>
      <w:rFonts w:cs="HelveticaNeueLT Std Lt"/>
      <w:color w:val="000000"/>
    </w:rPr>
  </w:style>
  <w:style w:type="paragraph" w:customStyle="1" w:styleId="Puceniveau2">
    <w:name w:val="Puce niveau 2"/>
    <w:rsid w:val="00BB49EE"/>
    <w:pPr>
      <w:numPr>
        <w:numId w:val="58"/>
      </w:numPr>
      <w:spacing w:after="0" w:line="264" w:lineRule="auto"/>
      <w:jc w:val="both"/>
    </w:pPr>
    <w:rPr>
      <w:rFonts w:ascii="Arial" w:eastAsia="Times New Roman" w:hAnsi="Arial" w:cs="Times New Roman"/>
      <w:sz w:val="20"/>
      <w:szCs w:val="20"/>
      <w:lang w:val="fr-FR" w:eastAsia="fr-FR"/>
    </w:rPr>
  </w:style>
  <w:style w:type="paragraph" w:customStyle="1" w:styleId="Style9ptGrasCentrAvant0ptAprs0pt">
    <w:name w:val="Style 9 pt Gras Centré Avant : 0 pt Après : 0 pt"/>
    <w:basedOn w:val="Normal"/>
    <w:autoRedefine/>
    <w:rsid w:val="00BB49EE"/>
    <w:pPr>
      <w:spacing w:before="0" w:beforeAutospacing="1" w:after="0" w:afterAutospacing="1"/>
      <w:jc w:val="center"/>
    </w:pPr>
    <w:rPr>
      <w:rFonts w:ascii="Cambria" w:eastAsia="Adobe Gothic Std B" w:hAnsi="Cambria" w:cs="Times New Roman"/>
      <w:b/>
      <w:bCs/>
      <w:sz w:val="20"/>
      <w:szCs w:val="20"/>
      <w:lang w:eastAsia="fr-FR" w:bidi="ar-SA"/>
    </w:rPr>
  </w:style>
  <w:style w:type="paragraph" w:customStyle="1" w:styleId="basdutableau">
    <w:name w:val="bas du tableau"/>
    <w:basedOn w:val="Normal"/>
    <w:rsid w:val="00BB49EE"/>
    <w:pPr>
      <w:spacing w:before="0" w:after="0" w:line="240" w:lineRule="auto"/>
      <w:jc w:val="center"/>
    </w:pPr>
    <w:rPr>
      <w:rFonts w:ascii="Comic Sans MS" w:hAnsi="Comic Sans MS" w:cs="Times New Roman"/>
      <w:sz w:val="16"/>
      <w:szCs w:val="20"/>
      <w:lang w:eastAsia="fr-FR" w:bidi="ar-SA"/>
    </w:rPr>
  </w:style>
  <w:style w:type="paragraph" w:customStyle="1" w:styleId="Stylebasdutableau6ptGrasItaliqueGaucheGauche01">
    <w:name w:val="Style bas du tableau + 6 pt Gras Italique Gauche Gauche :  01 ..."/>
    <w:basedOn w:val="basdutableau"/>
    <w:autoRedefine/>
    <w:rsid w:val="00BB49EE"/>
    <w:pPr>
      <w:spacing w:before="60" w:after="60"/>
      <w:ind w:left="57" w:right="113"/>
      <w:jc w:val="left"/>
    </w:pPr>
    <w:rPr>
      <w:b/>
      <w:bCs/>
      <w:iCs/>
      <w:sz w:val="14"/>
    </w:rPr>
  </w:style>
  <w:style w:type="paragraph" w:customStyle="1" w:styleId="StylebasdutableauGrasItalique">
    <w:name w:val="Style bas du tableau + Gras Italique"/>
    <w:basedOn w:val="basdutableau"/>
    <w:autoRedefine/>
    <w:rsid w:val="00BB49EE"/>
    <w:pPr>
      <w:keepNext/>
      <w:keepLines/>
    </w:pPr>
    <w:rPr>
      <w:b/>
      <w:bCs/>
      <w:iCs/>
      <w:sz w:val="12"/>
    </w:rPr>
  </w:style>
  <w:style w:type="paragraph" w:customStyle="1" w:styleId="Stylebasdutableau10ptGrasItalique">
    <w:name w:val="Style bas du tableau + 10 pt Gras Italique"/>
    <w:basedOn w:val="basdutableau"/>
    <w:autoRedefine/>
    <w:rsid w:val="00BB49EE"/>
    <w:pPr>
      <w:jc w:val="left"/>
    </w:pPr>
    <w:rPr>
      <w:rFonts w:ascii="Cambria" w:hAnsi="Cambria"/>
      <w:b/>
      <w:bCs/>
      <w:iCs/>
      <w:sz w:val="32"/>
      <w:szCs w:val="32"/>
    </w:rPr>
  </w:style>
  <w:style w:type="paragraph" w:customStyle="1" w:styleId="Puce0">
    <w:name w:val="Puce"/>
    <w:basedOn w:val="Normal"/>
    <w:autoRedefine/>
    <w:rsid w:val="00BB49EE"/>
    <w:pPr>
      <w:numPr>
        <w:numId w:val="59"/>
      </w:numPr>
      <w:tabs>
        <w:tab w:val="clear" w:pos="1758"/>
      </w:tabs>
      <w:spacing w:before="0" w:after="0" w:line="240" w:lineRule="auto"/>
      <w:ind w:left="780"/>
    </w:pPr>
    <w:rPr>
      <w:rFonts w:ascii="Comic Sans MS" w:hAnsi="Comic Sans MS" w:cs="Times New Roman"/>
      <w:sz w:val="20"/>
      <w:szCs w:val="24"/>
      <w:lang w:val="fr-CA" w:eastAsia="fr-FR" w:bidi="ar-SA"/>
    </w:rPr>
  </w:style>
  <w:style w:type="character" w:customStyle="1" w:styleId="PUCESNormalesCar">
    <w:name w:val="PUCES Normales Car"/>
    <w:link w:val="PUCESNormales"/>
    <w:rsid w:val="00BB49EE"/>
    <w:rPr>
      <w:rFonts w:ascii="Times New Roman" w:eastAsia="Times New Roman" w:hAnsi="Times New Roman" w:cs="Times New Roman"/>
      <w:szCs w:val="24"/>
      <w:lang w:val="fr-FR" w:eastAsia="fr-FR"/>
    </w:rPr>
  </w:style>
  <w:style w:type="paragraph" w:customStyle="1" w:styleId="StylePUCESNormalesGrasItaliqueJustifi">
    <w:name w:val="Style PUCES Normales + Gras Italique Justifié"/>
    <w:basedOn w:val="PUCESNormales"/>
    <w:autoRedefine/>
    <w:rsid w:val="00BB49EE"/>
    <w:pPr>
      <w:tabs>
        <w:tab w:val="clear" w:pos="624"/>
      </w:tabs>
      <w:ind w:left="720" w:hanging="360"/>
      <w:jc w:val="both"/>
    </w:pPr>
    <w:rPr>
      <w:bCs/>
      <w:i/>
      <w:iCs/>
      <w:sz w:val="24"/>
      <w:szCs w:val="20"/>
    </w:rPr>
  </w:style>
  <w:style w:type="paragraph" w:customStyle="1" w:styleId="Car">
    <w:name w:val="Car"/>
    <w:basedOn w:val="Normal"/>
    <w:rsid w:val="00BB49EE"/>
    <w:pPr>
      <w:spacing w:before="0" w:line="240" w:lineRule="auto"/>
      <w:jc w:val="center"/>
    </w:pPr>
    <w:rPr>
      <w:rFonts w:ascii="Microsoft Sans Serif" w:hAnsi="Microsoft Sans Serif" w:cs="Times New Roman"/>
      <w:b/>
      <w:sz w:val="20"/>
      <w:szCs w:val="24"/>
      <w:lang w:val="en-US" w:eastAsia="fr-FR" w:bidi="he-IL"/>
    </w:rPr>
  </w:style>
  <w:style w:type="numbering" w:customStyle="1" w:styleId="EstiloEstiloConvietasEsquemanumerado">
    <w:name w:val="Estilo Estilo Con viñetas + Esquema numerado"/>
    <w:basedOn w:val="Aucuneliste"/>
    <w:rsid w:val="00BB49EE"/>
    <w:pPr>
      <w:numPr>
        <w:numId w:val="60"/>
      </w:numPr>
    </w:pPr>
  </w:style>
  <w:style w:type="paragraph" w:customStyle="1" w:styleId="Formel3">
    <w:name w:val="Formel3"/>
    <w:basedOn w:val="Normal"/>
    <w:rsid w:val="00BB49EE"/>
    <w:pPr>
      <w:tabs>
        <w:tab w:val="left" w:pos="1134"/>
        <w:tab w:val="left" w:pos="1701"/>
        <w:tab w:val="left" w:pos="4253"/>
        <w:tab w:val="left" w:pos="5103"/>
        <w:tab w:val="right" w:pos="6237"/>
        <w:tab w:val="decimal" w:pos="7088"/>
        <w:tab w:val="left" w:pos="7371"/>
      </w:tabs>
      <w:spacing w:before="0" w:after="240" w:line="240" w:lineRule="atLeast"/>
      <w:ind w:left="851" w:hanging="284"/>
      <w:jc w:val="left"/>
    </w:pPr>
    <w:rPr>
      <w:rFonts w:ascii="Arial" w:hAnsi="Arial" w:cs="Times New Roman"/>
      <w:szCs w:val="20"/>
      <w:lang w:val="de-DE" w:eastAsia="fr-FR" w:bidi="ar-SA"/>
    </w:rPr>
  </w:style>
  <w:style w:type="paragraph" w:styleId="Corpsdetexte3">
    <w:name w:val="Body Text 3"/>
    <w:basedOn w:val="Normal"/>
    <w:link w:val="Corpsdetexte3Car"/>
    <w:uiPriority w:val="99"/>
    <w:unhideWhenUsed/>
    <w:rsid w:val="00BB49EE"/>
    <w:pPr>
      <w:spacing w:before="100" w:beforeAutospacing="1" w:afterAutospacing="1"/>
    </w:pPr>
    <w:rPr>
      <w:sz w:val="16"/>
      <w:szCs w:val="16"/>
      <w:lang w:eastAsia="fr-FR" w:bidi="ar-SA"/>
    </w:rPr>
  </w:style>
  <w:style w:type="character" w:customStyle="1" w:styleId="Corpsdetexte3Car">
    <w:name w:val="Corps de texte 3 Car"/>
    <w:basedOn w:val="Policepardfaut"/>
    <w:link w:val="Corpsdetexte3"/>
    <w:uiPriority w:val="99"/>
    <w:rsid w:val="00BB49EE"/>
    <w:rPr>
      <w:rFonts w:ascii="Calibri" w:eastAsia="Times New Roman" w:hAnsi="Calibri" w:cs="Arial"/>
      <w:sz w:val="16"/>
      <w:szCs w:val="16"/>
      <w:lang w:val="fr-FR" w:eastAsia="fr-FR"/>
    </w:rPr>
  </w:style>
  <w:style w:type="paragraph" w:customStyle="1" w:styleId="sot">
    <w:name w:val="sot"/>
    <w:basedOn w:val="Normal"/>
    <w:rsid w:val="00BB49EE"/>
    <w:pPr>
      <w:spacing w:before="100" w:beforeAutospacing="1" w:after="100" w:afterAutospacing="1" w:line="240" w:lineRule="auto"/>
      <w:jc w:val="left"/>
    </w:pPr>
    <w:rPr>
      <w:rFonts w:ascii="Times New Roman" w:hAnsi="Times New Roman" w:cs="Times New Roman"/>
      <w:sz w:val="24"/>
      <w:szCs w:val="24"/>
      <w:lang w:eastAsia="fr-FR" w:bidi="ar-SA"/>
    </w:rPr>
  </w:style>
  <w:style w:type="table" w:customStyle="1" w:styleId="Listeclaire-Accent111">
    <w:name w:val="Liste claire - Accent 111"/>
    <w:basedOn w:val="TableauNormal"/>
    <w:uiPriority w:val="61"/>
    <w:rsid w:val="00BB49EE"/>
    <w:pPr>
      <w:spacing w:after="0" w:line="240" w:lineRule="auto"/>
    </w:pPr>
    <w:rPr>
      <w:rFonts w:ascii="Calibri" w:eastAsia="Times New Roman" w:hAnsi="Calibri" w:cs="Arial"/>
      <w:sz w:val="20"/>
      <w:szCs w:val="20"/>
      <w:lang w:val="fr-FR"/>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customStyle="1" w:styleId="puce">
    <w:name w:val="puce"/>
    <w:basedOn w:val="Normal"/>
    <w:rsid w:val="00BB49EE"/>
    <w:pPr>
      <w:numPr>
        <w:numId w:val="61"/>
      </w:numPr>
      <w:spacing w:line="240" w:lineRule="auto"/>
    </w:pPr>
    <w:rPr>
      <w:rFonts w:ascii="Comic Sans MS" w:hAnsi="Comic Sans MS" w:cs="Times New Roman"/>
      <w:szCs w:val="24"/>
      <w:lang w:eastAsia="fr-FR" w:bidi="ar-SA"/>
    </w:rPr>
  </w:style>
  <w:style w:type="paragraph" w:customStyle="1" w:styleId="StyleC1PlainTextComicSansMS11pt">
    <w:name w:val="Style C1 Plain Text + Comic Sans MS 11 pt"/>
    <w:basedOn w:val="Normal"/>
    <w:link w:val="StyleC1PlainTextComicSansMS11ptCar"/>
    <w:autoRedefine/>
    <w:rsid w:val="00BB49EE"/>
    <w:pPr>
      <w:overflowPunct w:val="0"/>
      <w:autoSpaceDE w:val="0"/>
      <w:autoSpaceDN w:val="0"/>
      <w:adjustRightInd w:val="0"/>
      <w:spacing w:line="240" w:lineRule="auto"/>
      <w:textAlignment w:val="baseline"/>
    </w:pPr>
    <w:rPr>
      <w:rFonts w:ascii="Comic Sans MS" w:hAnsi="Comic Sans MS" w:cs="Times New Roman"/>
      <w:szCs w:val="20"/>
      <w:lang w:eastAsia="fr-FR" w:bidi="ar-SA"/>
    </w:rPr>
  </w:style>
  <w:style w:type="character" w:customStyle="1" w:styleId="StyleC1PlainTextComicSansMS11ptCar">
    <w:name w:val="Style C1 Plain Text + Comic Sans MS 11 pt Car"/>
    <w:link w:val="StyleC1PlainTextComicSansMS11pt"/>
    <w:rsid w:val="00BB49EE"/>
    <w:rPr>
      <w:rFonts w:ascii="Comic Sans MS" w:eastAsia="Times New Roman" w:hAnsi="Comic Sans MS" w:cs="Times New Roman"/>
      <w:szCs w:val="20"/>
      <w:lang w:val="fr-FR" w:eastAsia="fr-FR"/>
    </w:rPr>
  </w:style>
  <w:style w:type="paragraph" w:customStyle="1" w:styleId="puce1-3pts">
    <w:name w:val="puce1-3pts"/>
    <w:basedOn w:val="Normal"/>
    <w:rsid w:val="00BB49EE"/>
    <w:pPr>
      <w:numPr>
        <w:numId w:val="62"/>
      </w:numPr>
      <w:tabs>
        <w:tab w:val="clear" w:pos="2061"/>
        <w:tab w:val="left" w:pos="1560"/>
      </w:tabs>
      <w:spacing w:before="60" w:after="0" w:line="240" w:lineRule="auto"/>
      <w:ind w:left="1560" w:hanging="284"/>
    </w:pPr>
    <w:rPr>
      <w:rFonts w:ascii="Arial" w:hAnsi="Arial" w:cs="Times New Roman"/>
      <w:sz w:val="21"/>
      <w:szCs w:val="20"/>
      <w:lang w:eastAsia="fr-FR" w:bidi="ar-SA"/>
    </w:rPr>
  </w:style>
  <w:style w:type="paragraph" w:customStyle="1" w:styleId="Puce1-8pts">
    <w:name w:val="Puce1-8 pts"/>
    <w:basedOn w:val="puce1-3pts"/>
    <w:rsid w:val="00BB49EE"/>
    <w:pPr>
      <w:tabs>
        <w:tab w:val="clear" w:pos="1560"/>
        <w:tab w:val="num" w:pos="2061"/>
      </w:tabs>
      <w:spacing w:before="160"/>
      <w:ind w:left="1984" w:hanging="283"/>
    </w:pPr>
  </w:style>
  <w:style w:type="paragraph" w:customStyle="1" w:styleId="StyleComicSansMSItaliqueSoulignementJustifi">
    <w:name w:val="Style Comic Sans MS Italique Soulignement  Justifié"/>
    <w:basedOn w:val="Normal"/>
    <w:autoRedefine/>
    <w:rsid w:val="00BB49EE"/>
    <w:pPr>
      <w:numPr>
        <w:numId w:val="63"/>
      </w:numPr>
      <w:spacing w:before="0" w:after="0" w:line="240" w:lineRule="auto"/>
      <w:ind w:right="851"/>
    </w:pPr>
    <w:rPr>
      <w:rFonts w:ascii="Comic Sans MS" w:hAnsi="Comic Sans MS" w:cs="Times New Roman"/>
      <w:b/>
      <w:i/>
      <w:iCs/>
      <w:color w:val="0000FF"/>
      <w:sz w:val="24"/>
      <w:szCs w:val="20"/>
      <w:u w:val="single"/>
      <w:lang w:eastAsia="fr-FR" w:bidi="ar-SA"/>
    </w:rPr>
  </w:style>
  <w:style w:type="paragraph" w:customStyle="1" w:styleId="C1PlainText">
    <w:name w:val="C1 Plain Text"/>
    <w:basedOn w:val="Normal"/>
    <w:link w:val="C1PlainTextChar"/>
    <w:rsid w:val="00BB49EE"/>
    <w:pPr>
      <w:overflowPunct w:val="0"/>
      <w:autoSpaceDE w:val="0"/>
      <w:autoSpaceDN w:val="0"/>
      <w:adjustRightInd w:val="0"/>
      <w:spacing w:line="240" w:lineRule="auto"/>
      <w:ind w:left="1298"/>
      <w:textAlignment w:val="baseline"/>
    </w:pPr>
    <w:rPr>
      <w:rFonts w:ascii="Times New Roman" w:hAnsi="Times New Roman" w:cs="Times New Roman"/>
      <w:sz w:val="24"/>
      <w:szCs w:val="20"/>
      <w:lang w:eastAsia="fr-FR" w:bidi="ar-SA"/>
    </w:rPr>
  </w:style>
  <w:style w:type="character" w:customStyle="1" w:styleId="C1PlainTextChar">
    <w:name w:val="C1 Plain Text Char"/>
    <w:basedOn w:val="Policepardfaut"/>
    <w:link w:val="C1PlainText"/>
    <w:rsid w:val="00BB49EE"/>
    <w:rPr>
      <w:rFonts w:ascii="Times New Roman" w:eastAsia="Times New Roman" w:hAnsi="Times New Roman" w:cs="Times New Roman"/>
      <w:sz w:val="24"/>
      <w:szCs w:val="20"/>
      <w:lang w:val="fr-FR" w:eastAsia="fr-FR"/>
    </w:rPr>
  </w:style>
  <w:style w:type="paragraph" w:styleId="Explorateurdedocuments">
    <w:name w:val="Document Map"/>
    <w:basedOn w:val="Normal"/>
    <w:link w:val="ExplorateurdedocumentsCar"/>
    <w:uiPriority w:val="99"/>
    <w:semiHidden/>
    <w:unhideWhenUsed/>
    <w:rsid w:val="00BB49EE"/>
    <w:pPr>
      <w:spacing w:before="0" w:after="0" w:afterAutospacing="1" w:line="240" w:lineRule="auto"/>
    </w:pPr>
    <w:rPr>
      <w:rFonts w:ascii="Tahoma" w:hAnsi="Tahoma" w:cs="Tahoma"/>
      <w:sz w:val="16"/>
      <w:szCs w:val="16"/>
      <w:lang w:eastAsia="fr-FR" w:bidi="ar-SA"/>
    </w:rPr>
  </w:style>
  <w:style w:type="character" w:customStyle="1" w:styleId="ExplorateurdedocumentsCar">
    <w:name w:val="Explorateur de documents Car"/>
    <w:basedOn w:val="Policepardfaut"/>
    <w:link w:val="Explorateurdedocuments"/>
    <w:uiPriority w:val="99"/>
    <w:semiHidden/>
    <w:rsid w:val="00BB49EE"/>
    <w:rPr>
      <w:rFonts w:ascii="Tahoma" w:eastAsia="Times New Roman" w:hAnsi="Tahoma" w:cs="Tahoma"/>
      <w:sz w:val="16"/>
      <w:szCs w:val="16"/>
      <w:lang w:val="fr-FR" w:eastAsia="fr-FR"/>
    </w:rPr>
  </w:style>
  <w:style w:type="paragraph" w:customStyle="1" w:styleId="CM37">
    <w:name w:val="CM37"/>
    <w:basedOn w:val="Default"/>
    <w:next w:val="Default"/>
    <w:uiPriority w:val="99"/>
    <w:rsid w:val="00BB49EE"/>
    <w:pPr>
      <w:widowControl w:val="0"/>
      <w:spacing w:after="400"/>
    </w:pPr>
    <w:rPr>
      <w:rFonts w:ascii="Arial" w:eastAsia="DengXian" w:hAnsi="Arial" w:cs="Arial"/>
      <w:color w:val="auto"/>
    </w:rPr>
  </w:style>
  <w:style w:type="paragraph" w:customStyle="1" w:styleId="CM36">
    <w:name w:val="CM36"/>
    <w:basedOn w:val="Default"/>
    <w:next w:val="Default"/>
    <w:rsid w:val="00BB49EE"/>
    <w:pPr>
      <w:widowControl w:val="0"/>
      <w:spacing w:after="243"/>
    </w:pPr>
    <w:rPr>
      <w:rFonts w:ascii="Arial" w:eastAsia="DengXian" w:hAnsi="Arial" w:cs="Arial"/>
      <w:color w:val="auto"/>
    </w:rPr>
  </w:style>
  <w:style w:type="paragraph" w:customStyle="1" w:styleId="CM59">
    <w:name w:val="CM59"/>
    <w:basedOn w:val="Default"/>
    <w:next w:val="Default"/>
    <w:uiPriority w:val="99"/>
    <w:rsid w:val="00BB49EE"/>
    <w:pPr>
      <w:widowControl w:val="0"/>
      <w:spacing w:after="338"/>
    </w:pPr>
    <w:rPr>
      <w:rFonts w:ascii="Arial" w:eastAsia="DengXian" w:hAnsi="Arial" w:cs="Arial"/>
      <w:color w:val="auto"/>
    </w:rPr>
  </w:style>
  <w:style w:type="table" w:customStyle="1" w:styleId="TableauGrille1Clair-Accentuation52">
    <w:name w:val="Tableau Grille 1 Clair - Accentuation 52"/>
    <w:basedOn w:val="TableauNormal"/>
    <w:uiPriority w:val="46"/>
    <w:rsid w:val="00BB49EE"/>
    <w:pPr>
      <w:spacing w:after="0" w:line="240" w:lineRule="auto"/>
    </w:pPr>
    <w:rPr>
      <w:rFonts w:ascii="Calibri" w:eastAsia="Times New Roman" w:hAnsi="Calibri" w:cs="Arial"/>
      <w:sz w:val="20"/>
      <w:szCs w:val="20"/>
      <w:lang w:val="fr-FR" w:eastAsia="fr-FR"/>
    </w:rPr>
    <w:tblPr>
      <w:tblStyleRowBandSize w:val="1"/>
      <w:tblStyleColBandSize w:val="1"/>
      <w:tblBorders>
        <w:top w:val="single" w:sz="4" w:space="0" w:color="BCD9DE"/>
        <w:left w:val="single" w:sz="4" w:space="0" w:color="BCD9DE"/>
        <w:bottom w:val="single" w:sz="4" w:space="0" w:color="BCD9DE"/>
        <w:right w:val="single" w:sz="4" w:space="0" w:color="BCD9DE"/>
        <w:insideH w:val="single" w:sz="4" w:space="0" w:color="BCD9DE"/>
        <w:insideV w:val="single" w:sz="4" w:space="0" w:color="BCD9DE"/>
      </w:tblBorders>
    </w:tblPr>
    <w:tblStylePr w:type="firstRow">
      <w:rPr>
        <w:b/>
        <w:bCs/>
      </w:rPr>
      <w:tblPr/>
      <w:tcPr>
        <w:tcBorders>
          <w:bottom w:val="single" w:sz="12" w:space="0" w:color="9BC7CE"/>
        </w:tcBorders>
      </w:tcPr>
    </w:tblStylePr>
    <w:tblStylePr w:type="lastRow">
      <w:rPr>
        <w:b/>
        <w:bCs/>
      </w:rPr>
      <w:tblPr/>
      <w:tcPr>
        <w:tcBorders>
          <w:top w:val="double" w:sz="2" w:space="0" w:color="9BC7CE"/>
        </w:tcBorders>
      </w:tcPr>
    </w:tblStylePr>
    <w:tblStylePr w:type="firstCol">
      <w:rPr>
        <w:b/>
        <w:bCs/>
      </w:rPr>
    </w:tblStylePr>
    <w:tblStylePr w:type="lastCol">
      <w:rPr>
        <w:b/>
        <w:bCs/>
      </w:rPr>
    </w:tblStylePr>
  </w:style>
  <w:style w:type="numbering" w:styleId="111111">
    <w:name w:val="Outline List 2"/>
    <w:basedOn w:val="Aucuneliste"/>
    <w:uiPriority w:val="99"/>
    <w:semiHidden/>
    <w:unhideWhenUsed/>
    <w:rsid w:val="00BB49EE"/>
    <w:pPr>
      <w:numPr>
        <w:numId w:val="64"/>
      </w:numPr>
    </w:pPr>
  </w:style>
  <w:style w:type="paragraph" w:customStyle="1" w:styleId="Para1">
    <w:name w:val="Para 1"/>
    <w:link w:val="Para1Car1"/>
    <w:uiPriority w:val="99"/>
    <w:rsid w:val="00BB49EE"/>
    <w:pPr>
      <w:spacing w:after="240" w:line="360" w:lineRule="auto"/>
      <w:jc w:val="both"/>
    </w:pPr>
    <w:rPr>
      <w:rFonts w:ascii="Arial" w:eastAsia="Times New Roman" w:hAnsi="Arial" w:cs="Arial"/>
      <w:sz w:val="20"/>
      <w:szCs w:val="20"/>
      <w:lang w:val="fr-FR" w:eastAsia="fr-FR"/>
    </w:rPr>
  </w:style>
  <w:style w:type="character" w:customStyle="1" w:styleId="Para1Car1">
    <w:name w:val="Para 1 Car1"/>
    <w:basedOn w:val="Policepardfaut"/>
    <w:link w:val="Para1"/>
    <w:uiPriority w:val="99"/>
    <w:locked/>
    <w:rsid w:val="00BB49EE"/>
    <w:rPr>
      <w:rFonts w:ascii="Arial" w:eastAsia="Times New Roman" w:hAnsi="Arial" w:cs="Arial"/>
      <w:sz w:val="20"/>
      <w:szCs w:val="20"/>
      <w:lang w:val="fr-FR" w:eastAsia="fr-FR"/>
    </w:rPr>
  </w:style>
  <w:style w:type="table" w:customStyle="1" w:styleId="TableauGrille1Clair-Accentuation611">
    <w:name w:val="Tableau Grille 1 Clair - Accentuation 611"/>
    <w:basedOn w:val="TableauNormal"/>
    <w:uiPriority w:val="46"/>
    <w:rsid w:val="00BB49EE"/>
    <w:pPr>
      <w:spacing w:after="0" w:line="240" w:lineRule="auto"/>
    </w:pPr>
    <w:rPr>
      <w:rFonts w:eastAsia="Calibri"/>
      <w:lang w:val="fr-FR"/>
    </w:rPr>
    <w:tblPr>
      <w:tblStyleRowBandSize w:val="1"/>
      <w:tblStyleColBandSize w:val="1"/>
      <w:tblBorders>
        <w:top w:val="single" w:sz="4" w:space="0" w:color="D7D2D9"/>
        <w:left w:val="single" w:sz="4" w:space="0" w:color="D7D2D9"/>
        <w:bottom w:val="single" w:sz="4" w:space="0" w:color="D7D2D9"/>
        <w:right w:val="single" w:sz="4" w:space="0" w:color="D7D2D9"/>
        <w:insideH w:val="single" w:sz="4" w:space="0" w:color="D7D2D9"/>
        <w:insideV w:val="single" w:sz="4" w:space="0" w:color="D7D2D9"/>
      </w:tblBorders>
    </w:tblPr>
    <w:tblStylePr w:type="firstRow">
      <w:rPr>
        <w:b/>
        <w:bCs/>
      </w:rPr>
      <w:tblPr/>
      <w:tcPr>
        <w:tcBorders>
          <w:bottom w:val="single" w:sz="12" w:space="0" w:color="C4BCC6"/>
        </w:tcBorders>
      </w:tcPr>
    </w:tblStylePr>
    <w:tblStylePr w:type="lastRow">
      <w:rPr>
        <w:b/>
        <w:bCs/>
      </w:rPr>
      <w:tblPr/>
      <w:tcPr>
        <w:tcBorders>
          <w:top w:val="double" w:sz="2" w:space="0" w:color="C4BCC6"/>
        </w:tcBorders>
      </w:tcPr>
    </w:tblStylePr>
    <w:tblStylePr w:type="firstCol">
      <w:rPr>
        <w:b/>
        <w:bCs/>
      </w:rPr>
    </w:tblStylePr>
    <w:tblStylePr w:type="lastCol">
      <w:rPr>
        <w:b/>
        <w:bCs/>
      </w:rPr>
    </w:tblStylePr>
  </w:style>
  <w:style w:type="paragraph" w:styleId="Retraitcorpsdetexte">
    <w:name w:val="Body Text Indent"/>
    <w:basedOn w:val="Normal"/>
    <w:link w:val="RetraitcorpsdetexteCar"/>
    <w:rsid w:val="00BB49EE"/>
    <w:pPr>
      <w:spacing w:before="0" w:after="0" w:line="240" w:lineRule="auto"/>
      <w:jc w:val="left"/>
    </w:pPr>
    <w:rPr>
      <w:rFonts w:ascii="Arial" w:hAnsi="Arial" w:cs="Times New Roman"/>
      <w:color w:val="0000FF"/>
      <w:sz w:val="16"/>
      <w:szCs w:val="16"/>
      <w:lang w:eastAsia="fr-FR" w:bidi="ar-SA"/>
    </w:rPr>
  </w:style>
  <w:style w:type="character" w:customStyle="1" w:styleId="RetraitcorpsdetexteCar">
    <w:name w:val="Retrait corps de texte Car"/>
    <w:basedOn w:val="Policepardfaut"/>
    <w:link w:val="Retraitcorpsdetexte"/>
    <w:rsid w:val="00BB49EE"/>
    <w:rPr>
      <w:rFonts w:ascii="Arial" w:eastAsia="Times New Roman" w:hAnsi="Arial" w:cs="Times New Roman"/>
      <w:color w:val="0000FF"/>
      <w:sz w:val="16"/>
      <w:szCs w:val="16"/>
      <w:lang w:val="fr-FR" w:eastAsia="fr-FR"/>
    </w:rPr>
  </w:style>
  <w:style w:type="character" w:customStyle="1" w:styleId="texte1">
    <w:name w:val="texte1"/>
    <w:rsid w:val="00BB49EE"/>
    <w:rPr>
      <w:rFonts w:ascii="Arial" w:hAnsi="Arial" w:cs="Arial" w:hint="default"/>
      <w:sz w:val="18"/>
      <w:szCs w:val="18"/>
      <w:lang w:val="fr-FR" w:eastAsia="fr-FR" w:bidi="ar-SA"/>
    </w:rPr>
  </w:style>
  <w:style w:type="table" w:customStyle="1" w:styleId="Trameclaire-Accent12">
    <w:name w:val="Trame claire - Accent 12"/>
    <w:basedOn w:val="TableauNormal"/>
    <w:uiPriority w:val="60"/>
    <w:rsid w:val="00BB49EE"/>
    <w:pPr>
      <w:spacing w:after="0" w:line="240" w:lineRule="auto"/>
    </w:pPr>
    <w:rPr>
      <w:rFonts w:ascii="Calibri" w:eastAsia="Times New Roman" w:hAnsi="Calibri" w:cs="Arial"/>
      <w:color w:val="365F91"/>
      <w:sz w:val="20"/>
      <w:szCs w:val="20"/>
      <w:lang w:val="fr-FR" w:eastAsia="fr-FR"/>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A3">
    <w:name w:val="A3"/>
    <w:uiPriority w:val="99"/>
    <w:rsid w:val="00BB49EE"/>
    <w:rPr>
      <w:rFonts w:cs="Amaranth"/>
      <w:color w:val="000000"/>
    </w:rPr>
  </w:style>
  <w:style w:type="paragraph" w:customStyle="1" w:styleId="Pa8">
    <w:name w:val="Pa8"/>
    <w:basedOn w:val="Default"/>
    <w:next w:val="Default"/>
    <w:uiPriority w:val="99"/>
    <w:rsid w:val="00BB49EE"/>
    <w:pPr>
      <w:spacing w:line="221" w:lineRule="atLeast"/>
    </w:pPr>
    <w:rPr>
      <w:rFonts w:ascii="Amaranth" w:hAnsi="Amaranth" w:cs="Arial"/>
      <w:color w:val="auto"/>
    </w:rPr>
  </w:style>
  <w:style w:type="character" w:customStyle="1" w:styleId="A17">
    <w:name w:val="A17"/>
    <w:uiPriority w:val="99"/>
    <w:rsid w:val="00BB49EE"/>
    <w:rPr>
      <w:rFonts w:ascii="Symbol" w:hAnsi="Symbol" w:cs="Symbol"/>
      <w:color w:val="000000"/>
    </w:rPr>
  </w:style>
  <w:style w:type="paragraph" w:customStyle="1" w:styleId="Tableau">
    <w:name w:val="Tableau"/>
    <w:basedOn w:val="Lgende"/>
    <w:next w:val="Normal"/>
    <w:link w:val="TableauCar"/>
    <w:qFormat/>
    <w:rsid w:val="00BB49EE"/>
    <w:pPr>
      <w:spacing w:before="240" w:after="120" w:line="240" w:lineRule="auto"/>
    </w:pPr>
    <w:rPr>
      <w:rFonts w:ascii="Times New Roman" w:eastAsia="Times New Roman" w:hAnsi="Times New Roman"/>
      <w:b w:val="0"/>
      <w:bCs w:val="0"/>
      <w:i/>
      <w:sz w:val="24"/>
      <w:lang w:val="fr-FR"/>
    </w:rPr>
  </w:style>
  <w:style w:type="table" w:styleId="Trameclaire-Accent3">
    <w:name w:val="Light Shading Accent 3"/>
    <w:basedOn w:val="TableauNormal"/>
    <w:uiPriority w:val="60"/>
    <w:rsid w:val="00BB49EE"/>
    <w:pPr>
      <w:spacing w:after="80" w:line="240" w:lineRule="auto"/>
    </w:pPr>
    <w:rPr>
      <w:rFonts w:ascii="Arial" w:eastAsia="Times New Roman" w:hAnsi="Arial" w:cs="Arial"/>
      <w:color w:val="852010"/>
      <w:sz w:val="20"/>
      <w:szCs w:val="20"/>
      <w:lang w:val="fr-FR" w:eastAsia="fr-FR"/>
    </w:rPr>
    <w:tblPr>
      <w:tblStyleRowBandSize w:val="1"/>
      <w:tblStyleColBandSize w:val="1"/>
      <w:tblBorders>
        <w:top w:val="single" w:sz="8" w:space="0" w:color="B32C16"/>
        <w:bottom w:val="single" w:sz="8" w:space="0" w:color="B32C16"/>
      </w:tblBorders>
    </w:tblPr>
    <w:tblStylePr w:type="firstRow">
      <w:pPr>
        <w:spacing w:before="0" w:after="0" w:line="240" w:lineRule="auto"/>
      </w:pPr>
      <w:rPr>
        <w:b/>
        <w:bCs/>
      </w:rPr>
      <w:tblPr/>
      <w:tcPr>
        <w:tcBorders>
          <w:top w:val="single" w:sz="8" w:space="0" w:color="B32C16"/>
          <w:left w:val="nil"/>
          <w:bottom w:val="single" w:sz="8" w:space="0" w:color="B32C16"/>
          <w:right w:val="nil"/>
          <w:insideH w:val="nil"/>
          <w:insideV w:val="nil"/>
        </w:tcBorders>
      </w:tcPr>
    </w:tblStylePr>
    <w:tblStylePr w:type="lastRow">
      <w:pPr>
        <w:spacing w:before="0" w:after="0" w:line="240" w:lineRule="auto"/>
      </w:pPr>
      <w:rPr>
        <w:b/>
        <w:bCs/>
      </w:rPr>
      <w:tblPr/>
      <w:tcPr>
        <w:tcBorders>
          <w:top w:val="single" w:sz="8" w:space="0" w:color="B32C16"/>
          <w:left w:val="nil"/>
          <w:bottom w:val="single" w:sz="8" w:space="0" w:color="B32C1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6C2BA"/>
      </w:tcPr>
    </w:tblStylePr>
    <w:tblStylePr w:type="band1Horz">
      <w:tblPr/>
      <w:tcPr>
        <w:tcBorders>
          <w:left w:val="nil"/>
          <w:right w:val="nil"/>
          <w:insideH w:val="nil"/>
          <w:insideV w:val="nil"/>
        </w:tcBorders>
        <w:shd w:val="clear" w:color="auto" w:fill="F6C2BA"/>
      </w:tcPr>
    </w:tblStylePr>
  </w:style>
  <w:style w:type="paragraph" w:customStyle="1" w:styleId="StylePTRC">
    <w:name w:val="Style PTRC"/>
    <w:basedOn w:val="Normal"/>
    <w:link w:val="StylePTRCCar"/>
    <w:qFormat/>
    <w:rsid w:val="00BB49EE"/>
    <w:pPr>
      <w:spacing w:after="160" w:line="259" w:lineRule="auto"/>
      <w:jc w:val="left"/>
    </w:pPr>
    <w:rPr>
      <w:rFonts w:ascii="Arial" w:eastAsia="Calibri" w:hAnsi="Arial"/>
      <w:b/>
      <w:color w:val="FFCC00"/>
      <w:sz w:val="26"/>
      <w:szCs w:val="20"/>
      <w:lang w:eastAsia="fr-FR" w:bidi="ar-SA"/>
    </w:rPr>
  </w:style>
  <w:style w:type="character" w:customStyle="1" w:styleId="StylePTRCCar">
    <w:name w:val="Style PTRC Car"/>
    <w:basedOn w:val="Policepardfaut"/>
    <w:link w:val="StylePTRC"/>
    <w:rsid w:val="00BB49EE"/>
    <w:rPr>
      <w:rFonts w:ascii="Arial" w:eastAsia="Calibri" w:hAnsi="Arial" w:cs="Arial"/>
      <w:b/>
      <w:color w:val="FFCC00"/>
      <w:sz w:val="26"/>
      <w:szCs w:val="20"/>
      <w:lang w:val="fr-FR" w:eastAsia="fr-FR"/>
    </w:rPr>
  </w:style>
  <w:style w:type="table" w:customStyle="1" w:styleId="Trameclaire-Accent51">
    <w:name w:val="Trame claire - Accent 51"/>
    <w:basedOn w:val="TableauNormal"/>
    <w:next w:val="Trameclaire-Accent5"/>
    <w:uiPriority w:val="60"/>
    <w:rsid w:val="00BB49EE"/>
    <w:pPr>
      <w:spacing w:after="0" w:line="240" w:lineRule="auto"/>
    </w:pPr>
    <w:rPr>
      <w:rFonts w:ascii="Calibri" w:eastAsia="Calibri" w:hAnsi="Calibri" w:cs="Arial"/>
      <w:color w:val="31849B"/>
      <w:lang w:val="fr-FR"/>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Trameclaire-Accent52">
    <w:name w:val="Trame claire - Accent 52"/>
    <w:basedOn w:val="TableauNormal"/>
    <w:next w:val="Trameclaire-Accent5"/>
    <w:uiPriority w:val="60"/>
    <w:unhideWhenUsed/>
    <w:rsid w:val="00BB49EE"/>
    <w:pPr>
      <w:spacing w:after="0" w:line="240" w:lineRule="auto"/>
    </w:pPr>
    <w:rPr>
      <w:rFonts w:ascii="Calibri" w:eastAsia="Times New Roman" w:hAnsi="Calibri" w:cs="Arial"/>
      <w:color w:val="417A84"/>
      <w:sz w:val="20"/>
      <w:szCs w:val="20"/>
      <w:lang w:val="fr-FR" w:eastAsia="fr-FR"/>
    </w:rPr>
    <w:tblPr>
      <w:tblStyleRowBandSize w:val="1"/>
      <w:tblStyleColBandSize w:val="1"/>
      <w:tblBorders>
        <w:top w:val="single" w:sz="8" w:space="0" w:color="5AA2AE"/>
        <w:bottom w:val="single" w:sz="8" w:space="0" w:color="5AA2AE"/>
      </w:tblBorders>
    </w:tblPr>
    <w:tblStylePr w:type="firstRow">
      <w:pPr>
        <w:spacing w:before="0" w:after="0" w:line="240" w:lineRule="auto"/>
      </w:pPr>
      <w:rPr>
        <w:b/>
        <w:bCs/>
      </w:rPr>
      <w:tblPr/>
      <w:tcPr>
        <w:tcBorders>
          <w:top w:val="single" w:sz="8" w:space="0" w:color="5AA2AE"/>
          <w:left w:val="nil"/>
          <w:bottom w:val="single" w:sz="8" w:space="0" w:color="5AA2AE"/>
          <w:right w:val="nil"/>
          <w:insideH w:val="nil"/>
          <w:insideV w:val="nil"/>
        </w:tcBorders>
      </w:tcPr>
    </w:tblStylePr>
    <w:tblStylePr w:type="lastRow">
      <w:pPr>
        <w:spacing w:before="0" w:after="0" w:line="240" w:lineRule="auto"/>
      </w:pPr>
      <w:rPr>
        <w:b/>
        <w:bCs/>
      </w:rPr>
      <w:tblPr/>
      <w:tcPr>
        <w:tcBorders>
          <w:top w:val="single" w:sz="8" w:space="0" w:color="5AA2AE"/>
          <w:left w:val="nil"/>
          <w:bottom w:val="single" w:sz="8" w:space="0" w:color="5AA2A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7EB"/>
      </w:tcPr>
    </w:tblStylePr>
    <w:tblStylePr w:type="band1Horz">
      <w:tblPr/>
      <w:tcPr>
        <w:tcBorders>
          <w:left w:val="nil"/>
          <w:right w:val="nil"/>
          <w:insideH w:val="nil"/>
          <w:insideV w:val="nil"/>
        </w:tcBorders>
        <w:shd w:val="clear" w:color="auto" w:fill="D6E7EB"/>
      </w:tcPr>
    </w:tblStylePr>
  </w:style>
  <w:style w:type="paragraph" w:customStyle="1" w:styleId="STYL1">
    <w:name w:val="STYL1"/>
    <w:basedOn w:val="Normal"/>
    <w:qFormat/>
    <w:rsid w:val="00BB49EE"/>
    <w:pPr>
      <w:numPr>
        <w:numId w:val="65"/>
      </w:numPr>
      <w:tabs>
        <w:tab w:val="num" w:pos="360"/>
      </w:tabs>
      <w:spacing w:before="0" w:after="0" w:line="240" w:lineRule="auto"/>
      <w:ind w:left="0" w:firstLine="0"/>
      <w:jc w:val="left"/>
    </w:pPr>
    <w:rPr>
      <w:rFonts w:ascii="Candara" w:hAnsi="Candara" w:cs="Calibri"/>
      <w:b/>
      <w:bCs/>
      <w:color w:val="1B1D3D"/>
      <w:sz w:val="28"/>
      <w:szCs w:val="28"/>
      <w:u w:val="single"/>
      <w:lang w:eastAsia="fr-FR" w:bidi="ar-SA"/>
    </w:rPr>
  </w:style>
  <w:style w:type="paragraph" w:customStyle="1" w:styleId="STYL2">
    <w:name w:val="STYL2"/>
    <w:basedOn w:val="Normal"/>
    <w:link w:val="STYL2Car"/>
    <w:qFormat/>
    <w:rsid w:val="00BB49EE"/>
    <w:pPr>
      <w:numPr>
        <w:ilvl w:val="1"/>
        <w:numId w:val="65"/>
      </w:numPr>
      <w:spacing w:before="0" w:after="0" w:line="240" w:lineRule="auto"/>
      <w:jc w:val="left"/>
    </w:pPr>
    <w:rPr>
      <w:rFonts w:ascii="Calibri Light" w:hAnsi="Calibri Light" w:cs="Times New Roman"/>
      <w:b/>
      <w:bCs/>
      <w:color w:val="4A66AC"/>
      <w:sz w:val="24"/>
      <w:szCs w:val="24"/>
      <w:u w:val="single"/>
      <w:lang w:eastAsia="fr-FR" w:bidi="ar-SA"/>
    </w:rPr>
  </w:style>
  <w:style w:type="paragraph" w:customStyle="1" w:styleId="STYL3">
    <w:name w:val="STYL3"/>
    <w:basedOn w:val="Normal"/>
    <w:qFormat/>
    <w:rsid w:val="00BB49EE"/>
    <w:pPr>
      <w:numPr>
        <w:ilvl w:val="2"/>
        <w:numId w:val="65"/>
      </w:numPr>
      <w:spacing w:line="240" w:lineRule="atLeast"/>
    </w:pPr>
    <w:rPr>
      <w:rFonts w:cs="Times New Roman"/>
      <w:b/>
      <w:bCs/>
      <w:iCs/>
      <w:color w:val="0070C0"/>
      <w:sz w:val="28"/>
      <w:szCs w:val="28"/>
      <w:lang w:eastAsia="fr-FR" w:bidi="ar-SA"/>
    </w:rPr>
  </w:style>
  <w:style w:type="character" w:customStyle="1" w:styleId="STYL2Car">
    <w:name w:val="STYL2 Car"/>
    <w:basedOn w:val="Policepardfaut"/>
    <w:link w:val="STYL2"/>
    <w:rsid w:val="00BB49EE"/>
    <w:rPr>
      <w:rFonts w:ascii="Calibri Light" w:eastAsia="Times New Roman" w:hAnsi="Calibri Light" w:cs="Times New Roman"/>
      <w:b/>
      <w:bCs/>
      <w:color w:val="4A66AC"/>
      <w:sz w:val="24"/>
      <w:szCs w:val="24"/>
      <w:u w:val="single"/>
      <w:lang w:val="fr-FR" w:eastAsia="fr-FR"/>
    </w:rPr>
  </w:style>
  <w:style w:type="numbering" w:customStyle="1" w:styleId="MALIST">
    <w:name w:val="MALIST"/>
    <w:uiPriority w:val="99"/>
    <w:rsid w:val="00BB49EE"/>
    <w:pPr>
      <w:numPr>
        <w:numId w:val="103"/>
      </w:numPr>
    </w:pPr>
  </w:style>
  <w:style w:type="paragraph" w:customStyle="1" w:styleId="Paragraphedeliste3">
    <w:name w:val="Paragraphe de liste3"/>
    <w:basedOn w:val="Normal"/>
    <w:rsid w:val="00BB49EE"/>
    <w:pPr>
      <w:spacing w:line="320" w:lineRule="exact"/>
      <w:ind w:left="720"/>
    </w:pPr>
    <w:rPr>
      <w:rFonts w:ascii="Arial" w:eastAsia="MS Mincho" w:hAnsi="Arial" w:cs="Times New Roman"/>
      <w:b/>
      <w:bCs/>
      <w:smallCaps/>
      <w:sz w:val="21"/>
      <w:szCs w:val="24"/>
      <w:lang w:eastAsia="fr-FR" w:bidi="ar-SA"/>
    </w:rPr>
  </w:style>
  <w:style w:type="paragraph" w:customStyle="1" w:styleId="STYL4">
    <w:name w:val="STYL4"/>
    <w:basedOn w:val="Normal"/>
    <w:link w:val="STYL4Car"/>
    <w:qFormat/>
    <w:rsid w:val="00BB49EE"/>
    <w:pPr>
      <w:spacing w:before="60" w:after="60" w:line="240" w:lineRule="auto"/>
    </w:pPr>
    <w:rPr>
      <w:rFonts w:cs="Times New Roman"/>
      <w:b/>
      <w:bCs/>
      <w:iCs/>
      <w:color w:val="77697A"/>
      <w:sz w:val="24"/>
      <w:szCs w:val="24"/>
      <w:u w:val="single"/>
      <w:lang w:eastAsia="fr-FR" w:bidi="ar-SA"/>
    </w:rPr>
  </w:style>
  <w:style w:type="character" w:customStyle="1" w:styleId="STYL4Car">
    <w:name w:val="STYL4 Car"/>
    <w:basedOn w:val="Policepardfaut"/>
    <w:link w:val="STYL4"/>
    <w:rsid w:val="00BB49EE"/>
    <w:rPr>
      <w:rFonts w:ascii="Calibri" w:eastAsia="Times New Roman" w:hAnsi="Calibri" w:cs="Times New Roman"/>
      <w:b/>
      <w:bCs/>
      <w:iCs/>
      <w:color w:val="77697A"/>
      <w:sz w:val="24"/>
      <w:szCs w:val="24"/>
      <w:u w:val="single"/>
      <w:lang w:val="fr-FR" w:eastAsia="fr-FR"/>
    </w:rPr>
  </w:style>
  <w:style w:type="paragraph" w:customStyle="1" w:styleId="TEXT">
    <w:name w:val="TEXT"/>
    <w:basedOn w:val="Normal"/>
    <w:link w:val="TEXTCar"/>
    <w:qFormat/>
    <w:rsid w:val="00BB49EE"/>
    <w:pPr>
      <w:spacing w:before="0" w:after="0" w:line="240" w:lineRule="auto"/>
      <w:ind w:left="-357"/>
      <w:jc w:val="left"/>
    </w:pPr>
    <w:rPr>
      <w:rFonts w:cs="Calibri"/>
      <w:sz w:val="24"/>
      <w:szCs w:val="24"/>
      <w:lang w:eastAsia="fr-FR" w:bidi="ar-SA"/>
    </w:rPr>
  </w:style>
  <w:style w:type="character" w:customStyle="1" w:styleId="TEXTCar">
    <w:name w:val="TEXT Car"/>
    <w:basedOn w:val="Policepardfaut"/>
    <w:link w:val="TEXT"/>
    <w:rsid w:val="00BB49EE"/>
    <w:rPr>
      <w:rFonts w:ascii="Calibri" w:eastAsia="Times New Roman" w:hAnsi="Calibri" w:cs="Calibri"/>
      <w:sz w:val="24"/>
      <w:szCs w:val="24"/>
      <w:lang w:val="fr-FR" w:eastAsia="fr-FR"/>
    </w:rPr>
  </w:style>
  <w:style w:type="paragraph" w:customStyle="1" w:styleId="Style">
    <w:name w:val="Style"/>
    <w:uiPriority w:val="99"/>
    <w:rsid w:val="00BB49EE"/>
    <w:pPr>
      <w:widowControl w:val="0"/>
      <w:autoSpaceDE w:val="0"/>
      <w:autoSpaceDN w:val="0"/>
      <w:adjustRightInd w:val="0"/>
      <w:spacing w:after="0" w:line="240" w:lineRule="auto"/>
    </w:pPr>
    <w:rPr>
      <w:rFonts w:ascii="Times New Roman" w:eastAsia="Times New Roman" w:hAnsi="Times New Roman" w:cs="Times New Roman"/>
      <w:sz w:val="24"/>
      <w:szCs w:val="24"/>
      <w:lang w:val="fr-FR" w:eastAsia="fr-FR"/>
    </w:rPr>
  </w:style>
  <w:style w:type="character" w:customStyle="1" w:styleId="CorpsdetexteCar1">
    <w:name w:val="Corps de texte Car1"/>
    <w:basedOn w:val="Policepardfaut"/>
    <w:uiPriority w:val="99"/>
    <w:rsid w:val="00BB49EE"/>
    <w:rPr>
      <w:rFonts w:ascii="Cambria" w:eastAsia="Calibri" w:hAnsi="Cambria" w:cs="Arial"/>
    </w:rPr>
  </w:style>
  <w:style w:type="paragraph" w:customStyle="1" w:styleId="cc">
    <w:name w:val="cc"/>
    <w:basedOn w:val="Normal"/>
    <w:rsid w:val="00BB49EE"/>
    <w:pPr>
      <w:keepLines/>
      <w:widowControl w:val="0"/>
      <w:spacing w:before="80" w:after="80" w:line="240" w:lineRule="auto"/>
      <w:jc w:val="center"/>
    </w:pPr>
    <w:rPr>
      <w:rFonts w:ascii="Arial" w:hAnsi="Arial" w:cs="Times New Roman"/>
      <w:noProof/>
      <w:sz w:val="20"/>
      <w:szCs w:val="20"/>
      <w:lang w:eastAsia="fr-FR" w:bidi="ar-SA"/>
    </w:rPr>
  </w:style>
  <w:style w:type="paragraph" w:customStyle="1" w:styleId="titresoulign">
    <w:name w:val="titresouligné"/>
    <w:basedOn w:val="Normal"/>
    <w:rsid w:val="00BB49EE"/>
    <w:pPr>
      <w:numPr>
        <w:numId w:val="67"/>
      </w:numPr>
      <w:spacing w:before="360" w:after="60" w:line="360" w:lineRule="auto"/>
    </w:pPr>
    <w:rPr>
      <w:rFonts w:ascii="Arial" w:hAnsi="Arial"/>
      <w:noProof/>
      <w:szCs w:val="20"/>
      <w:u w:val="single"/>
      <w:lang w:eastAsia="fr-FR" w:bidi="ar-SA"/>
    </w:rPr>
  </w:style>
  <w:style w:type="paragraph" w:customStyle="1" w:styleId="titrett2">
    <w:name w:val="titrett2"/>
    <w:basedOn w:val="Normal"/>
    <w:rsid w:val="00BB49EE"/>
    <w:pPr>
      <w:spacing w:before="180" w:after="0" w:line="360" w:lineRule="auto"/>
    </w:pPr>
    <w:rPr>
      <w:rFonts w:ascii="Arial" w:hAnsi="Arial"/>
      <w:b/>
      <w:bCs/>
      <w:noProof/>
      <w:spacing w:val="-3"/>
      <w:sz w:val="20"/>
      <w:szCs w:val="20"/>
      <w:u w:val="single"/>
      <w:lang w:eastAsia="fr-FR" w:bidi="ar-SA"/>
    </w:rPr>
  </w:style>
  <w:style w:type="paragraph" w:customStyle="1" w:styleId="titrett3">
    <w:name w:val="titrett3"/>
    <w:basedOn w:val="titrett2"/>
    <w:rsid w:val="00BB49EE"/>
    <w:rPr>
      <w:i/>
      <w:u w:val="none"/>
    </w:rPr>
  </w:style>
  <w:style w:type="paragraph" w:customStyle="1" w:styleId="annexe">
    <w:name w:val="annexe"/>
    <w:basedOn w:val="Normal"/>
    <w:rsid w:val="00BB49EE"/>
    <w:pPr>
      <w:numPr>
        <w:numId w:val="66"/>
      </w:numPr>
      <w:pBdr>
        <w:top w:val="single" w:sz="4" w:space="1" w:color="auto"/>
        <w:left w:val="single" w:sz="4" w:space="16" w:color="auto"/>
        <w:bottom w:val="single" w:sz="4" w:space="1" w:color="auto"/>
        <w:right w:val="single" w:sz="4" w:space="2" w:color="auto"/>
      </w:pBdr>
      <w:tabs>
        <w:tab w:val="left" w:pos="1620"/>
      </w:tabs>
      <w:spacing w:line="240" w:lineRule="auto"/>
      <w:jc w:val="center"/>
    </w:pPr>
    <w:rPr>
      <w:rFonts w:ascii="Arial" w:eastAsia="MS Mincho" w:hAnsi="Arial" w:cs="Times New Roman"/>
      <w:b/>
      <w:bCs/>
      <w:noProof/>
      <w:sz w:val="20"/>
      <w:szCs w:val="24"/>
      <w:lang w:eastAsia="fr-FR" w:bidi="ar-SA"/>
    </w:rPr>
  </w:style>
  <w:style w:type="paragraph" w:styleId="Retraitcorpsdetexte2">
    <w:name w:val="Body Text Indent 2"/>
    <w:basedOn w:val="Normal"/>
    <w:link w:val="Retraitcorpsdetexte2Car"/>
    <w:rsid w:val="00BB49EE"/>
    <w:pPr>
      <w:widowControl w:val="0"/>
      <w:tabs>
        <w:tab w:val="left" w:pos="1080"/>
      </w:tabs>
      <w:autoSpaceDE w:val="0"/>
      <w:autoSpaceDN w:val="0"/>
      <w:adjustRightInd w:val="0"/>
      <w:spacing w:before="0" w:after="0" w:line="240" w:lineRule="auto"/>
      <w:ind w:firstLine="360"/>
      <w:jc w:val="left"/>
    </w:pPr>
    <w:rPr>
      <w:rFonts w:ascii="Times New Roman" w:hAnsi="Times New Roman" w:cs="Times New Roman"/>
      <w:noProof/>
      <w:sz w:val="24"/>
      <w:szCs w:val="24"/>
      <w:lang w:eastAsia="fr-FR" w:bidi="ar-SA"/>
    </w:rPr>
  </w:style>
  <w:style w:type="character" w:customStyle="1" w:styleId="Retraitcorpsdetexte2Car">
    <w:name w:val="Retrait corps de texte 2 Car"/>
    <w:basedOn w:val="Policepardfaut"/>
    <w:link w:val="Retraitcorpsdetexte2"/>
    <w:rsid w:val="00BB49EE"/>
    <w:rPr>
      <w:rFonts w:ascii="Times New Roman" w:eastAsia="Times New Roman" w:hAnsi="Times New Roman" w:cs="Times New Roman"/>
      <w:noProof/>
      <w:sz w:val="24"/>
      <w:szCs w:val="24"/>
      <w:lang w:val="fr-FR" w:eastAsia="fr-FR"/>
    </w:rPr>
  </w:style>
  <w:style w:type="paragraph" w:customStyle="1" w:styleId="StyleLatinGrasPetitesmajusculesJustifiAvant12pt">
    <w:name w:val="Style (Latin) Gras Petites majuscules Justifié Avant : 12 pt"/>
    <w:basedOn w:val="Normal"/>
    <w:rsid w:val="00BB49EE"/>
    <w:pPr>
      <w:numPr>
        <w:numId w:val="68"/>
      </w:numPr>
      <w:spacing w:before="240" w:line="240" w:lineRule="auto"/>
    </w:pPr>
    <w:rPr>
      <w:rFonts w:ascii="Arial" w:hAnsi="Arial" w:cs="Times New Roman"/>
      <w:b/>
      <w:smallCaps/>
      <w:noProof/>
      <w:szCs w:val="20"/>
      <w:lang w:eastAsia="fr-FR" w:bidi="ar-SA"/>
    </w:rPr>
  </w:style>
  <w:style w:type="character" w:styleId="Numrodepage">
    <w:name w:val="page number"/>
    <w:basedOn w:val="Policepardfaut"/>
    <w:rsid w:val="00BB49EE"/>
  </w:style>
  <w:style w:type="paragraph" w:styleId="Liste">
    <w:name w:val="List"/>
    <w:basedOn w:val="Normal"/>
    <w:uiPriority w:val="99"/>
    <w:rsid w:val="00BB49EE"/>
    <w:pPr>
      <w:spacing w:before="0" w:after="0" w:line="240" w:lineRule="auto"/>
      <w:ind w:left="283" w:hanging="283"/>
      <w:jc w:val="left"/>
    </w:pPr>
    <w:rPr>
      <w:rFonts w:ascii="Arial" w:hAnsi="Arial"/>
      <w:noProof/>
      <w:color w:val="000000"/>
      <w:szCs w:val="20"/>
      <w:lang w:eastAsia="fr-FR" w:bidi="ar-SA"/>
    </w:rPr>
  </w:style>
  <w:style w:type="paragraph" w:styleId="En-ttedemessage">
    <w:name w:val="Message Header"/>
    <w:basedOn w:val="Normal"/>
    <w:link w:val="En-ttedemessageCar"/>
    <w:rsid w:val="00BB49EE"/>
    <w:pPr>
      <w:pBdr>
        <w:top w:val="single" w:sz="6" w:space="1" w:color="auto"/>
        <w:left w:val="single" w:sz="6" w:space="1" w:color="auto"/>
        <w:bottom w:val="single" w:sz="6" w:space="1" w:color="auto"/>
        <w:right w:val="single" w:sz="6" w:space="1" w:color="auto"/>
      </w:pBdr>
      <w:shd w:val="pct20" w:color="auto" w:fill="auto"/>
      <w:spacing w:before="0" w:after="0" w:line="240" w:lineRule="auto"/>
      <w:ind w:left="1134" w:hanging="1134"/>
      <w:jc w:val="left"/>
    </w:pPr>
    <w:rPr>
      <w:rFonts w:ascii="Arial" w:hAnsi="Arial"/>
      <w:noProof/>
      <w:color w:val="000000"/>
      <w:szCs w:val="20"/>
      <w:lang w:eastAsia="fr-FR" w:bidi="ar-SA"/>
    </w:rPr>
  </w:style>
  <w:style w:type="character" w:customStyle="1" w:styleId="En-ttedemessageCar">
    <w:name w:val="En-tête de message Car"/>
    <w:basedOn w:val="Policepardfaut"/>
    <w:link w:val="En-ttedemessage"/>
    <w:rsid w:val="00BB49EE"/>
    <w:rPr>
      <w:rFonts w:ascii="Arial" w:eastAsia="Times New Roman" w:hAnsi="Arial" w:cs="Arial"/>
      <w:noProof/>
      <w:color w:val="000000"/>
      <w:szCs w:val="20"/>
      <w:shd w:val="pct20" w:color="auto" w:fill="auto"/>
      <w:lang w:val="fr-FR" w:eastAsia="fr-FR"/>
    </w:rPr>
  </w:style>
  <w:style w:type="paragraph" w:customStyle="1" w:styleId="Arial">
    <w:name w:val="Arial"/>
    <w:basedOn w:val="Normal"/>
    <w:rsid w:val="00BB49EE"/>
    <w:pPr>
      <w:spacing w:before="0" w:after="0" w:line="240" w:lineRule="auto"/>
      <w:jc w:val="right"/>
    </w:pPr>
    <w:rPr>
      <w:rFonts w:ascii="Tahoma" w:hAnsi="Tahoma" w:cs="Tahoma"/>
      <w:noProof/>
      <w:szCs w:val="20"/>
      <w:lang w:eastAsia="fr-FR" w:bidi="ar-SA"/>
    </w:rPr>
  </w:style>
  <w:style w:type="paragraph" w:styleId="Liste2">
    <w:name w:val="List 2"/>
    <w:basedOn w:val="Normal"/>
    <w:rsid w:val="00BB49EE"/>
    <w:pPr>
      <w:spacing w:before="0" w:after="0" w:line="240" w:lineRule="auto"/>
      <w:ind w:left="566" w:hanging="283"/>
      <w:jc w:val="left"/>
    </w:pPr>
    <w:rPr>
      <w:rFonts w:ascii="Arial" w:hAnsi="Arial"/>
      <w:noProof/>
      <w:color w:val="000000"/>
      <w:szCs w:val="20"/>
      <w:lang w:eastAsia="fr-FR" w:bidi="ar-SA"/>
    </w:rPr>
  </w:style>
  <w:style w:type="paragraph" w:styleId="Normalcentr">
    <w:name w:val="Block Text"/>
    <w:aliases w:val="Block Quote"/>
    <w:basedOn w:val="Normal"/>
    <w:link w:val="NormalcentrCar"/>
    <w:qFormat/>
    <w:rsid w:val="00BB49EE"/>
    <w:pPr>
      <w:tabs>
        <w:tab w:val="left" w:pos="-1276"/>
        <w:tab w:val="right" w:leader="dot" w:pos="9071"/>
      </w:tabs>
      <w:spacing w:before="0" w:after="0" w:line="240" w:lineRule="auto"/>
      <w:ind w:left="142" w:right="-3" w:hanging="142"/>
    </w:pPr>
    <w:rPr>
      <w:rFonts w:ascii="Arial" w:hAnsi="Arial"/>
      <w:noProof/>
      <w:color w:val="000000"/>
      <w:szCs w:val="20"/>
      <w:lang w:eastAsia="fr-FR" w:bidi="ar-SA"/>
    </w:rPr>
  </w:style>
  <w:style w:type="paragraph" w:styleId="z-Basduformulaire">
    <w:name w:val="HTML Bottom of Form"/>
    <w:basedOn w:val="Normal"/>
    <w:next w:val="Normal"/>
    <w:link w:val="z-BasduformulaireCar"/>
    <w:hidden/>
    <w:rsid w:val="00BB49EE"/>
    <w:pPr>
      <w:pBdr>
        <w:top w:val="single" w:sz="6" w:space="1" w:color="auto"/>
      </w:pBdr>
      <w:spacing w:before="0" w:after="0" w:line="240" w:lineRule="auto"/>
      <w:jc w:val="center"/>
    </w:pPr>
    <w:rPr>
      <w:rFonts w:ascii="Arial" w:hAnsi="Arial"/>
      <w:noProof/>
      <w:vanish/>
      <w:sz w:val="16"/>
      <w:szCs w:val="16"/>
      <w:lang w:eastAsia="fr-FR" w:bidi="ar-SA"/>
    </w:rPr>
  </w:style>
  <w:style w:type="character" w:customStyle="1" w:styleId="z-BasduformulaireCar">
    <w:name w:val="z-Bas du formulaire Car"/>
    <w:basedOn w:val="Policepardfaut"/>
    <w:link w:val="z-Basduformulaire"/>
    <w:rsid w:val="00BB49EE"/>
    <w:rPr>
      <w:rFonts w:ascii="Arial" w:eastAsia="Times New Roman" w:hAnsi="Arial" w:cs="Arial"/>
      <w:noProof/>
      <w:vanish/>
      <w:sz w:val="16"/>
      <w:szCs w:val="16"/>
      <w:lang w:val="fr-FR" w:eastAsia="fr-FR"/>
    </w:rPr>
  </w:style>
  <w:style w:type="paragraph" w:customStyle="1" w:styleId="spip">
    <w:name w:val="spip"/>
    <w:basedOn w:val="Normal"/>
    <w:rsid w:val="00BB49EE"/>
    <w:pPr>
      <w:spacing w:before="100" w:beforeAutospacing="1" w:after="100" w:afterAutospacing="1" w:line="240" w:lineRule="auto"/>
      <w:jc w:val="left"/>
    </w:pPr>
    <w:rPr>
      <w:rFonts w:ascii="Times New Roman" w:hAnsi="Times New Roman" w:cs="Times New Roman"/>
      <w:noProof/>
      <w:color w:val="000000"/>
      <w:sz w:val="24"/>
      <w:szCs w:val="24"/>
      <w:lang w:eastAsia="fr-FR" w:bidi="ar-SA"/>
    </w:rPr>
  </w:style>
  <w:style w:type="character" w:customStyle="1" w:styleId="textenoircentre1">
    <w:name w:val="textenoircentre1"/>
    <w:basedOn w:val="Policepardfaut"/>
    <w:rsid w:val="00BB49EE"/>
    <w:rPr>
      <w:rFonts w:ascii="Arial" w:hAnsi="Arial" w:cs="Arial" w:hint="default"/>
      <w:color w:val="000000"/>
      <w:sz w:val="19"/>
      <w:szCs w:val="19"/>
    </w:rPr>
  </w:style>
  <w:style w:type="paragraph" w:customStyle="1" w:styleId="Corpsdetexte4">
    <w:name w:val="Corps de texte 4"/>
    <w:basedOn w:val="Normal"/>
    <w:rsid w:val="00BB49EE"/>
    <w:pPr>
      <w:tabs>
        <w:tab w:val="num" w:pos="2160"/>
      </w:tabs>
      <w:spacing w:before="0" w:after="240" w:line="240" w:lineRule="auto"/>
      <w:ind w:left="2160" w:hanging="720"/>
    </w:pPr>
    <w:rPr>
      <w:rFonts w:ascii="Times New Roman" w:hAnsi="Times New Roman" w:cs="Times New Roman"/>
      <w:noProof/>
      <w:szCs w:val="20"/>
      <w:lang w:eastAsia="fr-FR" w:bidi="ar-SA"/>
    </w:rPr>
  </w:style>
  <w:style w:type="paragraph" w:customStyle="1" w:styleId="txt">
    <w:name w:val="txt"/>
    <w:basedOn w:val="Normal"/>
    <w:rsid w:val="00BB49EE"/>
    <w:pPr>
      <w:spacing w:before="100" w:beforeAutospacing="1" w:after="100" w:afterAutospacing="1" w:line="240" w:lineRule="auto"/>
    </w:pPr>
    <w:rPr>
      <w:rFonts w:ascii="Verdana" w:hAnsi="Verdana" w:cs="Times New Roman"/>
      <w:noProof/>
      <w:color w:val="706D7E"/>
      <w:sz w:val="20"/>
      <w:szCs w:val="20"/>
      <w:lang w:eastAsia="fr-FR" w:bidi="ar-SA"/>
    </w:rPr>
  </w:style>
  <w:style w:type="paragraph" w:customStyle="1" w:styleId="Titre30">
    <w:name w:val="Titre3"/>
    <w:basedOn w:val="Normal"/>
    <w:rsid w:val="00BB49EE"/>
    <w:pPr>
      <w:spacing w:before="240" w:after="360" w:line="240" w:lineRule="atLeast"/>
      <w:jc w:val="left"/>
    </w:pPr>
    <w:rPr>
      <w:rFonts w:ascii="Times New Roman" w:hAnsi="Times New Roman"/>
      <w:b/>
      <w:bCs/>
      <w:smallCaps/>
      <w:noProof/>
      <w:sz w:val="24"/>
      <w:szCs w:val="24"/>
      <w:lang w:eastAsia="fr-FR" w:bidi="ar-MA"/>
    </w:rPr>
  </w:style>
  <w:style w:type="paragraph" w:styleId="Textebrut">
    <w:name w:val="Plain Text"/>
    <w:basedOn w:val="Normal"/>
    <w:link w:val="TextebrutCar"/>
    <w:rsid w:val="00BB49EE"/>
    <w:pPr>
      <w:spacing w:before="0" w:after="0" w:line="240" w:lineRule="auto"/>
      <w:jc w:val="left"/>
    </w:pPr>
    <w:rPr>
      <w:rFonts w:ascii="Courier New" w:hAnsi="Courier New" w:cs="Courier New"/>
      <w:noProof/>
      <w:sz w:val="20"/>
      <w:szCs w:val="20"/>
      <w:lang w:eastAsia="fr-FR" w:bidi="ar-SA"/>
    </w:rPr>
  </w:style>
  <w:style w:type="character" w:customStyle="1" w:styleId="TextebrutCar">
    <w:name w:val="Texte brut Car"/>
    <w:basedOn w:val="Policepardfaut"/>
    <w:link w:val="Textebrut"/>
    <w:rsid w:val="00BB49EE"/>
    <w:rPr>
      <w:rFonts w:ascii="Courier New" w:eastAsia="Times New Roman" w:hAnsi="Courier New" w:cs="Courier New"/>
      <w:noProof/>
      <w:sz w:val="20"/>
      <w:szCs w:val="20"/>
      <w:lang w:val="fr-FR" w:eastAsia="fr-FR"/>
    </w:rPr>
  </w:style>
  <w:style w:type="paragraph" w:customStyle="1" w:styleId="znormal">
    <w:name w:val="znormal"/>
    <w:rsid w:val="00BB49EE"/>
    <w:pPr>
      <w:spacing w:after="0" w:line="240" w:lineRule="auto"/>
    </w:pPr>
    <w:rPr>
      <w:rFonts w:ascii="Times New Roman" w:eastAsia="Times New Roman" w:hAnsi="Times New Roman" w:cs="Times New Roman"/>
      <w:sz w:val="24"/>
      <w:szCs w:val="20"/>
      <w:lang w:val="fr-FR" w:eastAsia="fr-FR"/>
    </w:rPr>
  </w:style>
  <w:style w:type="paragraph" w:customStyle="1" w:styleId="CharChar1">
    <w:name w:val="Char Char1"/>
    <w:basedOn w:val="Normal"/>
    <w:rsid w:val="00BB49EE"/>
    <w:pPr>
      <w:spacing w:before="0" w:after="160" w:line="240" w:lineRule="exact"/>
      <w:jc w:val="left"/>
    </w:pPr>
    <w:rPr>
      <w:rFonts w:ascii="Verdana" w:eastAsia="PMingLiU" w:hAnsi="Verdana" w:cs="Times New Roman"/>
      <w:noProof/>
      <w:sz w:val="20"/>
      <w:szCs w:val="20"/>
      <w:lang w:val="en-US" w:eastAsia="fr-FR" w:bidi="ar-SA"/>
    </w:rPr>
  </w:style>
  <w:style w:type="paragraph" w:customStyle="1" w:styleId="TIT1">
    <w:name w:val="TIT1"/>
    <w:basedOn w:val="Normal"/>
    <w:autoRedefine/>
    <w:rsid w:val="00BB49EE"/>
    <w:pPr>
      <w:spacing w:before="0" w:after="0" w:line="240" w:lineRule="auto"/>
      <w:jc w:val="center"/>
    </w:pPr>
    <w:rPr>
      <w:rFonts w:ascii="Arial" w:hAnsi="Arial"/>
      <w:b/>
      <w:bCs/>
      <w:noProof/>
      <w:color w:val="0000FF"/>
      <w:sz w:val="32"/>
      <w:szCs w:val="32"/>
      <w:lang w:eastAsia="fr-FR" w:bidi="ar-SA"/>
    </w:rPr>
  </w:style>
  <w:style w:type="paragraph" w:styleId="Date">
    <w:name w:val="Date"/>
    <w:basedOn w:val="Normal"/>
    <w:next w:val="Normal"/>
    <w:link w:val="DateCar"/>
    <w:rsid w:val="00BB49EE"/>
    <w:pPr>
      <w:spacing w:before="100" w:beforeAutospacing="1" w:after="100" w:afterAutospacing="1"/>
    </w:pPr>
    <w:rPr>
      <w:noProof/>
      <w:szCs w:val="20"/>
      <w:lang w:eastAsia="fr-FR" w:bidi="ar-SA"/>
    </w:rPr>
  </w:style>
  <w:style w:type="character" w:customStyle="1" w:styleId="DateCar">
    <w:name w:val="Date Car"/>
    <w:basedOn w:val="Policepardfaut"/>
    <w:link w:val="Date"/>
    <w:rsid w:val="00BB49EE"/>
    <w:rPr>
      <w:rFonts w:ascii="Calibri" w:eastAsia="Times New Roman" w:hAnsi="Calibri" w:cs="Arial"/>
      <w:noProof/>
      <w:szCs w:val="20"/>
      <w:lang w:val="fr-FR" w:eastAsia="fr-FR"/>
    </w:rPr>
  </w:style>
  <w:style w:type="paragraph" w:styleId="Retraitnormal">
    <w:name w:val="Normal Indent"/>
    <w:basedOn w:val="Normal"/>
    <w:rsid w:val="00BB49EE"/>
    <w:pPr>
      <w:spacing w:before="0" w:after="0" w:line="240" w:lineRule="auto"/>
      <w:ind w:left="708"/>
      <w:jc w:val="left"/>
    </w:pPr>
    <w:rPr>
      <w:rFonts w:ascii="Times New Roman" w:hAnsi="Times New Roman" w:cs="Times New Roman"/>
      <w:noProof/>
      <w:sz w:val="24"/>
      <w:szCs w:val="20"/>
      <w:lang w:eastAsia="fr-FR" w:bidi="ar-SA"/>
    </w:rPr>
  </w:style>
  <w:style w:type="table" w:customStyle="1" w:styleId="Grilleclaire1">
    <w:name w:val="Grille claire1"/>
    <w:basedOn w:val="TableauNormal"/>
    <w:uiPriority w:val="62"/>
    <w:rsid w:val="00BB49EE"/>
    <w:pPr>
      <w:spacing w:after="0" w:line="240" w:lineRule="auto"/>
    </w:pPr>
    <w:rPr>
      <w:rFonts w:ascii="Calibri" w:eastAsia="Times New Roman" w:hAnsi="Calibri" w:cs="Arial"/>
      <w:sz w:val="20"/>
      <w:szCs w:val="20"/>
      <w:lang w:val="fr-FR" w:eastAsia="fr-FR"/>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libri Light" w:eastAsia="Bahnschrift SemiBold" w:hAnsi="Calibri Ligh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libri Light" w:eastAsia="Bahnschrift SemiBold" w:hAnsi="Calibri Ligh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Bahnschrift SemiBold" w:hAnsi="Calibri Light" w:cs="Times New Roman"/>
        <w:b/>
        <w:bCs/>
      </w:rPr>
    </w:tblStylePr>
    <w:tblStylePr w:type="lastCol">
      <w:rPr>
        <w:rFonts w:ascii="Calibri Light" w:eastAsia="Bahnschrift SemiBold" w:hAnsi="Calibri Ligh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paragraph" w:customStyle="1" w:styleId="texte">
    <w:name w:val="texte"/>
    <w:basedOn w:val="Normal"/>
    <w:rsid w:val="00BB49EE"/>
    <w:pPr>
      <w:spacing w:before="100" w:beforeAutospacing="1" w:after="100" w:afterAutospacing="1" w:line="240" w:lineRule="auto"/>
    </w:pPr>
    <w:rPr>
      <w:rFonts w:ascii="Verdana" w:hAnsi="Verdana" w:cs="Times New Roman"/>
      <w:color w:val="2150A4"/>
      <w:sz w:val="19"/>
      <w:szCs w:val="19"/>
      <w:lang w:eastAsia="fr-FR" w:bidi="ar-SA"/>
    </w:rPr>
  </w:style>
  <w:style w:type="paragraph" w:customStyle="1" w:styleId="yiv3524125191msobodytext">
    <w:name w:val="yiv3524125191msobodytext"/>
    <w:basedOn w:val="Normal"/>
    <w:rsid w:val="00BB49EE"/>
    <w:pPr>
      <w:spacing w:before="100" w:beforeAutospacing="1" w:after="100" w:afterAutospacing="1" w:line="240" w:lineRule="auto"/>
      <w:jc w:val="left"/>
    </w:pPr>
    <w:rPr>
      <w:rFonts w:ascii="Times New Roman" w:hAnsi="Times New Roman" w:cs="Times New Roman"/>
      <w:sz w:val="24"/>
      <w:szCs w:val="24"/>
      <w:lang w:eastAsia="fr-FR" w:bidi="ar-SA"/>
    </w:rPr>
  </w:style>
  <w:style w:type="character" w:customStyle="1" w:styleId="xbe">
    <w:name w:val="_xbe"/>
    <w:basedOn w:val="Policepardfaut"/>
    <w:rsid w:val="00BB49EE"/>
  </w:style>
  <w:style w:type="paragraph" w:styleId="Notedefin">
    <w:name w:val="endnote text"/>
    <w:basedOn w:val="Normal"/>
    <w:link w:val="NotedefinCar"/>
    <w:uiPriority w:val="99"/>
    <w:unhideWhenUsed/>
    <w:rsid w:val="00BB49EE"/>
    <w:pPr>
      <w:spacing w:before="0" w:after="0" w:afterAutospacing="1" w:line="240" w:lineRule="auto"/>
    </w:pPr>
    <w:rPr>
      <w:sz w:val="20"/>
      <w:szCs w:val="20"/>
      <w:lang w:eastAsia="fr-FR" w:bidi="ar-SA"/>
    </w:rPr>
  </w:style>
  <w:style w:type="character" w:customStyle="1" w:styleId="NotedefinCar">
    <w:name w:val="Note de fin Car"/>
    <w:basedOn w:val="Policepardfaut"/>
    <w:link w:val="Notedefin"/>
    <w:uiPriority w:val="99"/>
    <w:rsid w:val="00BB49EE"/>
    <w:rPr>
      <w:rFonts w:ascii="Calibri" w:eastAsia="Times New Roman" w:hAnsi="Calibri" w:cs="Arial"/>
      <w:sz w:val="20"/>
      <w:szCs w:val="20"/>
      <w:lang w:val="fr-FR" w:eastAsia="fr-FR"/>
    </w:rPr>
  </w:style>
  <w:style w:type="character" w:styleId="Appeldenotedefin">
    <w:name w:val="endnote reference"/>
    <w:basedOn w:val="Policepardfaut"/>
    <w:uiPriority w:val="99"/>
    <w:semiHidden/>
    <w:unhideWhenUsed/>
    <w:rsid w:val="00BB49EE"/>
    <w:rPr>
      <w:vertAlign w:val="superscript"/>
    </w:rPr>
  </w:style>
  <w:style w:type="character" w:customStyle="1" w:styleId="lang-ar">
    <w:name w:val="lang-ar"/>
    <w:basedOn w:val="Policepardfaut"/>
    <w:rsid w:val="00BB49EE"/>
  </w:style>
  <w:style w:type="table" w:customStyle="1" w:styleId="Ombrageclair1">
    <w:name w:val="Ombrage clair1"/>
    <w:basedOn w:val="TableauNormal"/>
    <w:uiPriority w:val="60"/>
    <w:rsid w:val="00BB49EE"/>
    <w:pPr>
      <w:spacing w:after="0" w:line="240" w:lineRule="auto"/>
    </w:pPr>
    <w:rPr>
      <w:rFonts w:ascii="Calibri" w:eastAsia="Times New Roman" w:hAnsi="Calibri" w:cs="Arial"/>
      <w:color w:val="000000"/>
      <w:sz w:val="20"/>
      <w:szCs w:val="20"/>
      <w:lang w:val="fr-FR" w:eastAsia="fr-F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fontstyle01">
    <w:name w:val="fontstyle01"/>
    <w:basedOn w:val="Policepardfaut"/>
    <w:rsid w:val="00BB49EE"/>
    <w:rPr>
      <w:rFonts w:ascii="Georgia" w:hAnsi="Georgia" w:hint="default"/>
      <w:b w:val="0"/>
      <w:bCs w:val="0"/>
      <w:i w:val="0"/>
      <w:iCs w:val="0"/>
      <w:color w:val="000000"/>
      <w:sz w:val="24"/>
      <w:szCs w:val="24"/>
    </w:rPr>
  </w:style>
  <w:style w:type="numbering" w:customStyle="1" w:styleId="StyleAvecpuces">
    <w:name w:val="Style Avec puces"/>
    <w:rsid w:val="00BB49EE"/>
    <w:pPr>
      <w:numPr>
        <w:numId w:val="69"/>
      </w:numPr>
    </w:pPr>
  </w:style>
  <w:style w:type="paragraph" w:customStyle="1" w:styleId="TITRESANSN">
    <w:name w:val="TITRE_SANS_N°"/>
    <w:basedOn w:val="Normal"/>
    <w:autoRedefine/>
    <w:rsid w:val="00BB49EE"/>
    <w:pPr>
      <w:keepNext/>
      <w:keepLines/>
      <w:numPr>
        <w:numId w:val="70"/>
      </w:numPr>
      <w:spacing w:after="60" w:line="240" w:lineRule="auto"/>
    </w:pPr>
    <w:rPr>
      <w:rFonts w:ascii="Arial" w:hAnsi="Arial"/>
      <w:b/>
      <w:sz w:val="20"/>
      <w:szCs w:val="20"/>
      <w:lang w:eastAsia="fr-FR" w:bidi="ar-SA"/>
    </w:rPr>
  </w:style>
  <w:style w:type="paragraph" w:customStyle="1" w:styleId="liste0">
    <w:name w:val="liste 0"/>
    <w:basedOn w:val="Corpsdetexte"/>
    <w:rsid w:val="00BB49EE"/>
    <w:pPr>
      <w:keepNext/>
      <w:numPr>
        <w:numId w:val="71"/>
      </w:numPr>
      <w:spacing w:before="80" w:after="80" w:line="240" w:lineRule="auto"/>
      <w:jc w:val="both"/>
    </w:pPr>
    <w:rPr>
      <w:rFonts w:ascii="Arial" w:eastAsia="Times New Roman" w:hAnsi="Arial" w:cs="Courier New"/>
      <w:b/>
      <w:sz w:val="20"/>
      <w:szCs w:val="20"/>
      <w:u w:val="single"/>
      <w:lang w:val="fr-FR"/>
    </w:rPr>
  </w:style>
  <w:style w:type="paragraph" w:customStyle="1" w:styleId="default0">
    <w:name w:val="default"/>
    <w:basedOn w:val="Normal"/>
    <w:rsid w:val="00BB49EE"/>
    <w:pPr>
      <w:spacing w:before="100" w:beforeAutospacing="1" w:after="100" w:afterAutospacing="1" w:line="240" w:lineRule="auto"/>
      <w:jc w:val="left"/>
    </w:pPr>
    <w:rPr>
      <w:rFonts w:ascii="Times New Roman" w:hAnsi="Times New Roman" w:cs="Times New Roman"/>
      <w:sz w:val="24"/>
      <w:szCs w:val="24"/>
      <w:lang w:val="en-GB" w:eastAsia="en-GB" w:bidi="ar-SA"/>
    </w:rPr>
  </w:style>
  <w:style w:type="paragraph" w:styleId="z-Hautduformulaire">
    <w:name w:val="HTML Top of Form"/>
    <w:basedOn w:val="Normal"/>
    <w:next w:val="Normal"/>
    <w:link w:val="z-HautduformulaireCar"/>
    <w:hidden/>
    <w:uiPriority w:val="99"/>
    <w:semiHidden/>
    <w:unhideWhenUsed/>
    <w:rsid w:val="00BB49EE"/>
    <w:pPr>
      <w:pBdr>
        <w:bottom w:val="single" w:sz="6" w:space="1" w:color="auto"/>
      </w:pBdr>
      <w:spacing w:before="0" w:after="0" w:line="240" w:lineRule="auto"/>
      <w:jc w:val="center"/>
    </w:pPr>
    <w:rPr>
      <w:rFonts w:ascii="Arial" w:hAnsi="Arial"/>
      <w:vanish/>
      <w:sz w:val="16"/>
      <w:szCs w:val="16"/>
      <w:lang w:val="en-GB" w:eastAsia="en-GB" w:bidi="ar-SA"/>
    </w:rPr>
  </w:style>
  <w:style w:type="character" w:customStyle="1" w:styleId="z-HautduformulaireCar">
    <w:name w:val="z-Haut du formulaire Car"/>
    <w:basedOn w:val="Policepardfaut"/>
    <w:link w:val="z-Hautduformulaire"/>
    <w:uiPriority w:val="99"/>
    <w:semiHidden/>
    <w:rsid w:val="00BB49EE"/>
    <w:rPr>
      <w:rFonts w:ascii="Arial" w:eastAsia="Times New Roman" w:hAnsi="Arial" w:cs="Arial"/>
      <w:vanish/>
      <w:sz w:val="16"/>
      <w:szCs w:val="16"/>
      <w:lang w:val="en-GB" w:eastAsia="en-GB"/>
    </w:rPr>
  </w:style>
  <w:style w:type="character" w:customStyle="1" w:styleId="fontstyle21">
    <w:name w:val="fontstyle21"/>
    <w:basedOn w:val="Policepardfaut"/>
    <w:rsid w:val="00BB49EE"/>
    <w:rPr>
      <w:rFonts w:ascii="Wingdings" w:hAnsi="Wingdings" w:hint="default"/>
      <w:b w:val="0"/>
      <w:bCs w:val="0"/>
      <w:i w:val="0"/>
      <w:iCs w:val="0"/>
      <w:color w:val="000000"/>
      <w:sz w:val="24"/>
      <w:szCs w:val="24"/>
    </w:rPr>
  </w:style>
  <w:style w:type="numbering" w:customStyle="1" w:styleId="StyleAvecpucesSymbolsymboleGauche063cmSuspendu0">
    <w:name w:val="Style Avec puces Symbol (symbole) Gauche :  063 cm Suspendu : 0..."/>
    <w:basedOn w:val="Aucuneliste"/>
    <w:rsid w:val="00BB49EE"/>
    <w:pPr>
      <w:numPr>
        <w:numId w:val="72"/>
      </w:numPr>
    </w:pPr>
  </w:style>
  <w:style w:type="table" w:customStyle="1" w:styleId="Tramecouleur-Accent11">
    <w:name w:val="Trame couleur - Accent 11"/>
    <w:basedOn w:val="TableauNormal"/>
    <w:next w:val="Tramecouleur-Accent1"/>
    <w:uiPriority w:val="71"/>
    <w:rsid w:val="00BB49EE"/>
    <w:pPr>
      <w:spacing w:after="0" w:line="240" w:lineRule="auto"/>
    </w:pPr>
    <w:rPr>
      <w:rFonts w:ascii="Calibri" w:eastAsia="Times New Roman" w:hAnsi="Calibri" w:cs="Arial"/>
      <w:color w:val="000000"/>
      <w:sz w:val="20"/>
      <w:szCs w:val="20"/>
      <w:lang w:val="fr-FR" w:eastAsia="fr-FR"/>
    </w:rPr>
    <w:tblPr>
      <w:tblStyleRowBandSize w:val="1"/>
      <w:tblStyleColBandSize w:val="1"/>
      <w:tblBorders>
        <w:top w:val="single" w:sz="24" w:space="0" w:color="629DD1"/>
        <w:left w:val="single" w:sz="4" w:space="0" w:color="4A66AC"/>
        <w:bottom w:val="single" w:sz="4" w:space="0" w:color="4A66AC"/>
        <w:right w:val="single" w:sz="4" w:space="0" w:color="4A66AC"/>
        <w:insideH w:val="single" w:sz="4" w:space="0" w:color="FFFFFF"/>
        <w:insideV w:val="single" w:sz="4" w:space="0" w:color="FFFFFF"/>
      </w:tblBorders>
    </w:tblPr>
    <w:tcPr>
      <w:shd w:val="clear" w:color="auto" w:fill="ECEFF7"/>
    </w:tcPr>
    <w:tblStylePr w:type="firstRow">
      <w:rPr>
        <w:b/>
        <w:bCs/>
      </w:rPr>
      <w:tblPr/>
      <w:tcPr>
        <w:tcBorders>
          <w:top w:val="nil"/>
          <w:left w:val="nil"/>
          <w:bottom w:val="single" w:sz="24" w:space="0" w:color="629DD1"/>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3C66"/>
      </w:tcPr>
    </w:tblStylePr>
    <w:tblStylePr w:type="firstCol">
      <w:rPr>
        <w:color w:val="FFFFFF"/>
      </w:rPr>
      <w:tblPr/>
      <w:tcPr>
        <w:tcBorders>
          <w:top w:val="nil"/>
          <w:left w:val="nil"/>
          <w:bottom w:val="nil"/>
          <w:right w:val="nil"/>
          <w:insideH w:val="single" w:sz="4" w:space="0" w:color="2C3C66"/>
          <w:insideV w:val="nil"/>
        </w:tcBorders>
        <w:shd w:val="clear" w:color="auto" w:fill="2C3C66"/>
      </w:tcPr>
    </w:tblStylePr>
    <w:tblStylePr w:type="lastCol">
      <w:rPr>
        <w:color w:val="FFFFFF"/>
      </w:rPr>
      <w:tblPr/>
      <w:tcPr>
        <w:tcBorders>
          <w:top w:val="nil"/>
          <w:left w:val="nil"/>
          <w:bottom w:val="nil"/>
          <w:right w:val="nil"/>
          <w:insideH w:val="nil"/>
          <w:insideV w:val="nil"/>
        </w:tcBorders>
        <w:shd w:val="clear" w:color="auto" w:fill="2C3C66"/>
      </w:tcPr>
    </w:tblStylePr>
    <w:tblStylePr w:type="band1Vert">
      <w:tblPr/>
      <w:tcPr>
        <w:shd w:val="clear" w:color="auto" w:fill="B5C0DF"/>
      </w:tcPr>
    </w:tblStylePr>
    <w:tblStylePr w:type="band1Horz">
      <w:tblPr/>
      <w:tcPr>
        <w:shd w:val="clear" w:color="auto" w:fill="A2B1D7"/>
      </w:tcPr>
    </w:tblStylePr>
    <w:tblStylePr w:type="neCell">
      <w:rPr>
        <w:color w:val="000000"/>
      </w:rPr>
    </w:tblStylePr>
    <w:tblStylePr w:type="nwCell">
      <w:rPr>
        <w:color w:val="000000"/>
      </w:rPr>
    </w:tblStylePr>
  </w:style>
  <w:style w:type="paragraph" w:customStyle="1" w:styleId="content">
    <w:name w:val="content"/>
    <w:basedOn w:val="Normal"/>
    <w:rsid w:val="00BB49EE"/>
    <w:pPr>
      <w:spacing w:before="100" w:beforeAutospacing="1" w:after="100" w:afterAutospacing="1" w:line="240" w:lineRule="auto"/>
      <w:jc w:val="left"/>
    </w:pPr>
    <w:rPr>
      <w:rFonts w:ascii="Arial" w:hAnsi="Arial"/>
      <w:color w:val="000000"/>
      <w:sz w:val="16"/>
      <w:szCs w:val="16"/>
      <w:lang w:eastAsia="fr-FR" w:bidi="ar-SA"/>
    </w:rPr>
  </w:style>
  <w:style w:type="paragraph" w:customStyle="1" w:styleId="SCETTableauCorps">
    <w:name w:val="SCET_Tableau_Corps"/>
    <w:basedOn w:val="Normal"/>
    <w:rsid w:val="00BB49EE"/>
    <w:pPr>
      <w:spacing w:before="0" w:after="0" w:line="240" w:lineRule="auto"/>
      <w:jc w:val="center"/>
    </w:pPr>
    <w:rPr>
      <w:rFonts w:ascii="Arial" w:hAnsi="Arial"/>
      <w:sz w:val="20"/>
      <w:szCs w:val="20"/>
      <w:lang w:eastAsia="fr-FR" w:bidi="ar-SA"/>
    </w:rPr>
  </w:style>
  <w:style w:type="paragraph" w:customStyle="1" w:styleId="SCETTableauEntete">
    <w:name w:val="SCET_Tableau_Entete"/>
    <w:basedOn w:val="SCETTableauCorps"/>
    <w:rsid w:val="00BB49EE"/>
    <w:rPr>
      <w:b/>
    </w:rPr>
  </w:style>
  <w:style w:type="paragraph" w:customStyle="1" w:styleId="TxBrp2">
    <w:name w:val="TxBr_p2"/>
    <w:basedOn w:val="Normal"/>
    <w:rsid w:val="00BB49EE"/>
    <w:pPr>
      <w:widowControl w:val="0"/>
      <w:tabs>
        <w:tab w:val="left" w:pos="204"/>
      </w:tabs>
      <w:autoSpaceDE w:val="0"/>
      <w:autoSpaceDN w:val="0"/>
      <w:adjustRightInd w:val="0"/>
      <w:spacing w:before="0" w:after="0" w:line="240" w:lineRule="atLeast"/>
      <w:jc w:val="left"/>
    </w:pPr>
    <w:rPr>
      <w:rFonts w:ascii="Times New Roman" w:hAnsi="Times New Roman" w:cs="Times New Roman"/>
      <w:sz w:val="20"/>
      <w:szCs w:val="24"/>
      <w:lang w:val="en-US" w:eastAsia="fr-FR" w:bidi="ar-SA"/>
    </w:rPr>
  </w:style>
  <w:style w:type="paragraph" w:customStyle="1" w:styleId="TxBrp0">
    <w:name w:val="TxBr_p0"/>
    <w:basedOn w:val="Normal"/>
    <w:rsid w:val="00BB49EE"/>
    <w:pPr>
      <w:widowControl w:val="0"/>
      <w:tabs>
        <w:tab w:val="left" w:pos="204"/>
      </w:tabs>
      <w:autoSpaceDE w:val="0"/>
      <w:autoSpaceDN w:val="0"/>
      <w:adjustRightInd w:val="0"/>
      <w:spacing w:line="240" w:lineRule="atLeast"/>
    </w:pPr>
    <w:rPr>
      <w:rFonts w:ascii="Times New Roman" w:hAnsi="Times New Roman" w:cs="Times New Roman"/>
      <w:sz w:val="20"/>
      <w:szCs w:val="24"/>
      <w:lang w:val="en-US" w:eastAsia="fr-FR" w:bidi="ar-SA"/>
    </w:rPr>
  </w:style>
  <w:style w:type="paragraph" w:customStyle="1" w:styleId="Car4">
    <w:name w:val="Car4"/>
    <w:basedOn w:val="Normal"/>
    <w:rsid w:val="00BB49EE"/>
    <w:pPr>
      <w:spacing w:before="0" w:line="240" w:lineRule="auto"/>
      <w:jc w:val="center"/>
    </w:pPr>
    <w:rPr>
      <w:rFonts w:ascii="Microsoft Sans Serif" w:hAnsi="Microsoft Sans Serif" w:cs="Times New Roman"/>
      <w:b/>
      <w:sz w:val="20"/>
      <w:szCs w:val="24"/>
      <w:lang w:val="en-US" w:eastAsia="fr-FR" w:bidi="he-IL"/>
    </w:rPr>
  </w:style>
  <w:style w:type="paragraph" w:customStyle="1" w:styleId="Car3">
    <w:name w:val="Car3"/>
    <w:basedOn w:val="Normal"/>
    <w:rsid w:val="00BB49EE"/>
    <w:pPr>
      <w:spacing w:before="0" w:after="160" w:line="240" w:lineRule="exact"/>
      <w:jc w:val="left"/>
    </w:pPr>
    <w:rPr>
      <w:rFonts w:ascii="Verdana" w:hAnsi="Verdana" w:cs="Times New Roman"/>
      <w:sz w:val="20"/>
      <w:szCs w:val="20"/>
      <w:lang w:val="en-US" w:eastAsia="fr-FR" w:bidi="ar-SA"/>
    </w:rPr>
  </w:style>
  <w:style w:type="paragraph" w:customStyle="1" w:styleId="style110">
    <w:name w:val="style110"/>
    <w:basedOn w:val="Normal"/>
    <w:rsid w:val="00BB49EE"/>
    <w:pPr>
      <w:spacing w:before="100" w:beforeAutospacing="1" w:after="100" w:afterAutospacing="1" w:line="240" w:lineRule="auto"/>
      <w:jc w:val="left"/>
    </w:pPr>
    <w:rPr>
      <w:rFonts w:ascii="Arial" w:hAnsi="Arial"/>
      <w:sz w:val="24"/>
      <w:szCs w:val="24"/>
      <w:lang w:eastAsia="fr-FR" w:bidi="ar-SA"/>
    </w:rPr>
  </w:style>
  <w:style w:type="table" w:customStyle="1" w:styleId="Tramemoyenne1-Accent51">
    <w:name w:val="Trame moyenne 1 - Accent 51"/>
    <w:basedOn w:val="TableauNormal"/>
    <w:next w:val="Tramemoyenne1-Accent5"/>
    <w:uiPriority w:val="63"/>
    <w:rsid w:val="00BB49EE"/>
    <w:pPr>
      <w:spacing w:after="0" w:line="240" w:lineRule="auto"/>
    </w:pPr>
    <w:rPr>
      <w:rFonts w:ascii="Calibri" w:eastAsia="Times New Roman" w:hAnsi="Calibri" w:cs="Arial"/>
      <w:sz w:val="20"/>
      <w:szCs w:val="20"/>
      <w:lang w:val="fr-FR" w:eastAsia="fr-FR"/>
    </w:rPr>
    <w:tblPr>
      <w:tblStyleRowBandSize w:val="1"/>
      <w:tblStyleColBandSize w:val="1"/>
      <w:tblBorders>
        <w:top w:val="single" w:sz="8" w:space="0" w:color="83B9C2"/>
        <w:left w:val="single" w:sz="8" w:space="0" w:color="83B9C2"/>
        <w:bottom w:val="single" w:sz="8" w:space="0" w:color="83B9C2"/>
        <w:right w:val="single" w:sz="8" w:space="0" w:color="83B9C2"/>
        <w:insideH w:val="single" w:sz="8" w:space="0" w:color="83B9C2"/>
      </w:tblBorders>
    </w:tblPr>
    <w:tblStylePr w:type="firstRow">
      <w:pPr>
        <w:spacing w:before="0" w:after="0" w:line="240" w:lineRule="auto"/>
      </w:pPr>
      <w:rPr>
        <w:b/>
        <w:bCs/>
        <w:color w:val="FFFFFF"/>
      </w:rPr>
      <w:tblPr/>
      <w:tcPr>
        <w:tcBorders>
          <w:top w:val="single" w:sz="8" w:space="0" w:color="83B9C2"/>
          <w:left w:val="single" w:sz="8" w:space="0" w:color="83B9C2"/>
          <w:bottom w:val="single" w:sz="8" w:space="0" w:color="83B9C2"/>
          <w:right w:val="single" w:sz="8" w:space="0" w:color="83B9C2"/>
          <w:insideH w:val="nil"/>
          <w:insideV w:val="nil"/>
        </w:tcBorders>
        <w:shd w:val="clear" w:color="auto" w:fill="5AA2AE"/>
      </w:tcPr>
    </w:tblStylePr>
    <w:tblStylePr w:type="lastRow">
      <w:pPr>
        <w:spacing w:before="0" w:after="0" w:line="240" w:lineRule="auto"/>
      </w:pPr>
      <w:rPr>
        <w:b/>
        <w:bCs/>
      </w:rPr>
      <w:tblPr/>
      <w:tcPr>
        <w:tcBorders>
          <w:top w:val="double" w:sz="6" w:space="0" w:color="83B9C2"/>
          <w:left w:val="single" w:sz="8" w:space="0" w:color="83B9C2"/>
          <w:bottom w:val="single" w:sz="8" w:space="0" w:color="83B9C2"/>
          <w:right w:val="single" w:sz="8" w:space="0" w:color="83B9C2"/>
          <w:insideH w:val="nil"/>
          <w:insideV w:val="nil"/>
        </w:tcBorders>
      </w:tcPr>
    </w:tblStylePr>
    <w:tblStylePr w:type="firstCol">
      <w:rPr>
        <w:b/>
        <w:bCs/>
      </w:rPr>
    </w:tblStylePr>
    <w:tblStylePr w:type="lastCol">
      <w:rPr>
        <w:b/>
        <w:bCs/>
      </w:rPr>
    </w:tblStylePr>
    <w:tblStylePr w:type="band1Vert">
      <w:tblPr/>
      <w:tcPr>
        <w:shd w:val="clear" w:color="auto" w:fill="D6E7EB"/>
      </w:tcPr>
    </w:tblStylePr>
    <w:tblStylePr w:type="band1Horz">
      <w:tblPr/>
      <w:tcPr>
        <w:tcBorders>
          <w:insideH w:val="nil"/>
          <w:insideV w:val="nil"/>
        </w:tcBorders>
        <w:shd w:val="clear" w:color="auto" w:fill="D6E7EB"/>
      </w:tcPr>
    </w:tblStylePr>
    <w:tblStylePr w:type="band2Horz">
      <w:tblPr/>
      <w:tcPr>
        <w:tcBorders>
          <w:insideH w:val="nil"/>
          <w:insideV w:val="nil"/>
        </w:tcBorders>
      </w:tcPr>
    </w:tblStylePr>
  </w:style>
  <w:style w:type="table" w:customStyle="1" w:styleId="Grilleclaire-Accent51">
    <w:name w:val="Grille claire - Accent 51"/>
    <w:basedOn w:val="TableauNormal"/>
    <w:next w:val="Grilleclaire-Accent5"/>
    <w:uiPriority w:val="62"/>
    <w:rsid w:val="00BB49EE"/>
    <w:pPr>
      <w:spacing w:after="0" w:line="240" w:lineRule="auto"/>
    </w:pPr>
    <w:rPr>
      <w:rFonts w:ascii="Calibri" w:eastAsia="Times New Roman" w:hAnsi="Calibri" w:cs="Arial"/>
      <w:sz w:val="20"/>
      <w:szCs w:val="20"/>
      <w:lang w:val="fr-FR" w:eastAsia="fr-FR"/>
    </w:rPr>
    <w:tblPr>
      <w:tblStyleRowBandSize w:val="1"/>
      <w:tblStyleColBandSize w:val="1"/>
      <w:tblBorders>
        <w:top w:val="single" w:sz="8" w:space="0" w:color="5AA2AE"/>
        <w:left w:val="single" w:sz="8" w:space="0" w:color="5AA2AE"/>
        <w:bottom w:val="single" w:sz="8" w:space="0" w:color="5AA2AE"/>
        <w:right w:val="single" w:sz="8" w:space="0" w:color="5AA2AE"/>
        <w:insideH w:val="single" w:sz="8" w:space="0" w:color="5AA2AE"/>
        <w:insideV w:val="single" w:sz="8" w:space="0" w:color="5AA2AE"/>
      </w:tblBorders>
    </w:tblPr>
    <w:tblStylePr w:type="firstRow">
      <w:pPr>
        <w:spacing w:before="0" w:after="0" w:line="240" w:lineRule="auto"/>
      </w:pPr>
      <w:rPr>
        <w:rFonts w:ascii="Calibri Light" w:eastAsia="Bahnschrift SemiBold" w:hAnsi="Calibri Light" w:cs="Times New Roman"/>
        <w:b/>
        <w:bCs/>
      </w:rPr>
      <w:tblPr/>
      <w:tcPr>
        <w:tcBorders>
          <w:top w:val="single" w:sz="8" w:space="0" w:color="5AA2AE"/>
          <w:left w:val="single" w:sz="8" w:space="0" w:color="5AA2AE"/>
          <w:bottom w:val="single" w:sz="18" w:space="0" w:color="5AA2AE"/>
          <w:right w:val="single" w:sz="8" w:space="0" w:color="5AA2AE"/>
          <w:insideH w:val="nil"/>
          <w:insideV w:val="single" w:sz="8" w:space="0" w:color="5AA2AE"/>
        </w:tcBorders>
      </w:tcPr>
    </w:tblStylePr>
    <w:tblStylePr w:type="lastRow">
      <w:pPr>
        <w:spacing w:before="0" w:after="0" w:line="240" w:lineRule="auto"/>
      </w:pPr>
      <w:rPr>
        <w:rFonts w:ascii="Calibri Light" w:eastAsia="Bahnschrift SemiBold" w:hAnsi="Calibri Light" w:cs="Times New Roman"/>
        <w:b/>
        <w:bCs/>
      </w:rPr>
      <w:tblPr/>
      <w:tcPr>
        <w:tcBorders>
          <w:top w:val="double" w:sz="6" w:space="0" w:color="5AA2AE"/>
          <w:left w:val="single" w:sz="8" w:space="0" w:color="5AA2AE"/>
          <w:bottom w:val="single" w:sz="8" w:space="0" w:color="5AA2AE"/>
          <w:right w:val="single" w:sz="8" w:space="0" w:color="5AA2AE"/>
          <w:insideH w:val="nil"/>
          <w:insideV w:val="single" w:sz="8" w:space="0" w:color="5AA2AE"/>
        </w:tcBorders>
      </w:tcPr>
    </w:tblStylePr>
    <w:tblStylePr w:type="firstCol">
      <w:rPr>
        <w:rFonts w:ascii="Calibri Light" w:eastAsia="Bahnschrift SemiBold" w:hAnsi="Calibri Light" w:cs="Times New Roman"/>
        <w:b/>
        <w:bCs/>
      </w:rPr>
    </w:tblStylePr>
    <w:tblStylePr w:type="lastCol">
      <w:rPr>
        <w:rFonts w:ascii="Calibri Light" w:eastAsia="Bahnschrift SemiBold" w:hAnsi="Calibri Light" w:cs="Times New Roman"/>
        <w:b/>
        <w:bCs/>
      </w:rPr>
      <w:tblPr/>
      <w:tcPr>
        <w:tcBorders>
          <w:top w:val="single" w:sz="8" w:space="0" w:color="5AA2AE"/>
          <w:left w:val="single" w:sz="8" w:space="0" w:color="5AA2AE"/>
          <w:bottom w:val="single" w:sz="8" w:space="0" w:color="5AA2AE"/>
          <w:right w:val="single" w:sz="8" w:space="0" w:color="5AA2AE"/>
        </w:tcBorders>
      </w:tcPr>
    </w:tblStylePr>
    <w:tblStylePr w:type="band1Vert">
      <w:tblPr/>
      <w:tcPr>
        <w:tcBorders>
          <w:top w:val="single" w:sz="8" w:space="0" w:color="5AA2AE"/>
          <w:left w:val="single" w:sz="8" w:space="0" w:color="5AA2AE"/>
          <w:bottom w:val="single" w:sz="8" w:space="0" w:color="5AA2AE"/>
          <w:right w:val="single" w:sz="8" w:space="0" w:color="5AA2AE"/>
        </w:tcBorders>
        <w:shd w:val="clear" w:color="auto" w:fill="D6E7EB"/>
      </w:tcPr>
    </w:tblStylePr>
    <w:tblStylePr w:type="band1Horz">
      <w:tblPr/>
      <w:tcPr>
        <w:tcBorders>
          <w:top w:val="single" w:sz="8" w:space="0" w:color="5AA2AE"/>
          <w:left w:val="single" w:sz="8" w:space="0" w:color="5AA2AE"/>
          <w:bottom w:val="single" w:sz="8" w:space="0" w:color="5AA2AE"/>
          <w:right w:val="single" w:sz="8" w:space="0" w:color="5AA2AE"/>
          <w:insideV w:val="single" w:sz="8" w:space="0" w:color="5AA2AE"/>
        </w:tcBorders>
        <w:shd w:val="clear" w:color="auto" w:fill="D6E7EB"/>
      </w:tcPr>
    </w:tblStylePr>
    <w:tblStylePr w:type="band2Horz">
      <w:tblPr/>
      <w:tcPr>
        <w:tcBorders>
          <w:top w:val="single" w:sz="8" w:space="0" w:color="5AA2AE"/>
          <w:left w:val="single" w:sz="8" w:space="0" w:color="5AA2AE"/>
          <w:bottom w:val="single" w:sz="8" w:space="0" w:color="5AA2AE"/>
          <w:right w:val="single" w:sz="8" w:space="0" w:color="5AA2AE"/>
          <w:insideV w:val="single" w:sz="8" w:space="0" w:color="5AA2AE"/>
        </w:tcBorders>
      </w:tcPr>
    </w:tblStylePr>
  </w:style>
  <w:style w:type="paragraph" w:customStyle="1" w:styleId="Sansinterligne1">
    <w:name w:val="Sans interligne1"/>
    <w:aliases w:val="- tiret,Sans interligne11"/>
    <w:basedOn w:val="Normal"/>
    <w:uiPriority w:val="2"/>
    <w:qFormat/>
    <w:rsid w:val="00BB49EE"/>
    <w:pPr>
      <w:spacing w:before="100" w:beforeAutospacing="1" w:after="0" w:afterAutospacing="1" w:line="240" w:lineRule="auto"/>
    </w:pPr>
    <w:rPr>
      <w:szCs w:val="20"/>
      <w:lang w:eastAsia="fr-FR" w:bidi="ar-SA"/>
    </w:rPr>
  </w:style>
  <w:style w:type="paragraph" w:customStyle="1" w:styleId="Citation1">
    <w:name w:val="Citation1"/>
    <w:basedOn w:val="Normal"/>
    <w:next w:val="Normal"/>
    <w:link w:val="QuoteChar"/>
    <w:uiPriority w:val="29"/>
    <w:qFormat/>
    <w:rsid w:val="00BB49EE"/>
    <w:pPr>
      <w:spacing w:before="200" w:beforeAutospacing="1" w:after="0" w:afterAutospacing="1"/>
      <w:ind w:left="360" w:right="360"/>
    </w:pPr>
    <w:rPr>
      <w:i/>
      <w:iCs/>
      <w:sz w:val="20"/>
      <w:szCs w:val="20"/>
      <w:lang w:eastAsia="fr-FR" w:bidi="ar-SA"/>
    </w:rPr>
  </w:style>
  <w:style w:type="character" w:customStyle="1" w:styleId="QuoteChar">
    <w:name w:val="Quote Char"/>
    <w:basedOn w:val="Policepardfaut"/>
    <w:link w:val="Citation1"/>
    <w:uiPriority w:val="29"/>
    <w:locked/>
    <w:rsid w:val="00BB49EE"/>
    <w:rPr>
      <w:rFonts w:ascii="Calibri" w:eastAsia="Times New Roman" w:hAnsi="Calibri" w:cs="Arial"/>
      <w:i/>
      <w:iCs/>
      <w:sz w:val="20"/>
      <w:szCs w:val="20"/>
      <w:lang w:val="fr-FR" w:eastAsia="fr-FR"/>
    </w:rPr>
  </w:style>
  <w:style w:type="paragraph" w:customStyle="1" w:styleId="Citationintense1">
    <w:name w:val="Citation intense1"/>
    <w:basedOn w:val="Normal"/>
    <w:next w:val="Normal"/>
    <w:link w:val="IntenseQuoteChar"/>
    <w:uiPriority w:val="30"/>
    <w:qFormat/>
    <w:rsid w:val="00BB49EE"/>
    <w:pPr>
      <w:pBdr>
        <w:bottom w:val="single" w:sz="4" w:space="1" w:color="auto"/>
      </w:pBdr>
      <w:spacing w:before="200" w:beforeAutospacing="1" w:after="280" w:afterAutospacing="1"/>
      <w:ind w:left="1008" w:right="1152"/>
    </w:pPr>
    <w:rPr>
      <w:b/>
      <w:bCs/>
      <w:i/>
      <w:iCs/>
      <w:sz w:val="20"/>
      <w:szCs w:val="20"/>
      <w:lang w:eastAsia="fr-FR" w:bidi="ar-SA"/>
    </w:rPr>
  </w:style>
  <w:style w:type="character" w:customStyle="1" w:styleId="IntenseQuoteChar">
    <w:name w:val="Intense Quote Char"/>
    <w:basedOn w:val="Policepardfaut"/>
    <w:link w:val="Citationintense1"/>
    <w:uiPriority w:val="30"/>
    <w:locked/>
    <w:rsid w:val="00BB49EE"/>
    <w:rPr>
      <w:rFonts w:ascii="Calibri" w:eastAsia="Times New Roman" w:hAnsi="Calibri" w:cs="Arial"/>
      <w:b/>
      <w:bCs/>
      <w:i/>
      <w:iCs/>
      <w:sz w:val="20"/>
      <w:szCs w:val="20"/>
      <w:lang w:val="fr-FR" w:eastAsia="fr-FR"/>
    </w:rPr>
  </w:style>
  <w:style w:type="character" w:customStyle="1" w:styleId="Emphaseple1">
    <w:name w:val="Emphase pâle1"/>
    <w:basedOn w:val="Policepardfaut"/>
    <w:uiPriority w:val="19"/>
    <w:qFormat/>
    <w:rsid w:val="00BB49EE"/>
    <w:rPr>
      <w:i/>
    </w:rPr>
  </w:style>
  <w:style w:type="character" w:customStyle="1" w:styleId="Rfrenceple1">
    <w:name w:val="Référence pâle1"/>
    <w:basedOn w:val="Policepardfaut"/>
    <w:uiPriority w:val="31"/>
    <w:qFormat/>
    <w:rsid w:val="00BB49EE"/>
    <w:rPr>
      <w:smallCaps/>
    </w:rPr>
  </w:style>
  <w:style w:type="character" w:customStyle="1" w:styleId="Rfrenceintense1">
    <w:name w:val="Référence intense1"/>
    <w:basedOn w:val="Policepardfaut"/>
    <w:uiPriority w:val="32"/>
    <w:qFormat/>
    <w:rsid w:val="00BB49EE"/>
    <w:rPr>
      <w:smallCaps/>
      <w:spacing w:val="5"/>
      <w:u w:val="single"/>
    </w:rPr>
  </w:style>
  <w:style w:type="character" w:customStyle="1" w:styleId="Titredulivre1">
    <w:name w:val="Titre du livre1"/>
    <w:basedOn w:val="Policepardfaut"/>
    <w:uiPriority w:val="33"/>
    <w:qFormat/>
    <w:rsid w:val="00BB49EE"/>
    <w:rPr>
      <w:i/>
      <w:smallCaps/>
      <w:spacing w:val="5"/>
    </w:rPr>
  </w:style>
  <w:style w:type="table" w:customStyle="1" w:styleId="Trameclaire-Accent41">
    <w:name w:val="Trame claire - Accent 41"/>
    <w:basedOn w:val="TableauNormal"/>
    <w:next w:val="Trameclaire-Accent4"/>
    <w:uiPriority w:val="60"/>
    <w:rsid w:val="00BB49EE"/>
    <w:pPr>
      <w:spacing w:after="0" w:line="240" w:lineRule="auto"/>
    </w:pPr>
    <w:rPr>
      <w:rFonts w:eastAsia="Calibri"/>
      <w:color w:val="596984"/>
      <w:lang w:val="fr-FR"/>
    </w:rPr>
    <w:tblPr>
      <w:tblStyleRowBandSize w:val="1"/>
      <w:tblStyleColBandSize w:val="1"/>
      <w:tblBorders>
        <w:top w:val="single" w:sz="8" w:space="0" w:color="7F8FA9"/>
        <w:bottom w:val="single" w:sz="8" w:space="0" w:color="7F8FA9"/>
      </w:tblBorders>
    </w:tblPr>
    <w:tblStylePr w:type="firstRow">
      <w:pPr>
        <w:spacing w:before="0" w:after="0" w:line="240" w:lineRule="auto"/>
      </w:pPr>
      <w:rPr>
        <w:b/>
        <w:bCs/>
      </w:rPr>
      <w:tblPr/>
      <w:tcPr>
        <w:tcBorders>
          <w:top w:val="single" w:sz="8" w:space="0" w:color="7F8FA9"/>
          <w:left w:val="nil"/>
          <w:bottom w:val="single" w:sz="8" w:space="0" w:color="7F8FA9"/>
          <w:right w:val="nil"/>
          <w:insideH w:val="nil"/>
          <w:insideV w:val="nil"/>
        </w:tcBorders>
      </w:tcPr>
    </w:tblStylePr>
    <w:tblStylePr w:type="lastRow">
      <w:pPr>
        <w:spacing w:before="0" w:after="0" w:line="240" w:lineRule="auto"/>
      </w:pPr>
      <w:rPr>
        <w:b/>
        <w:bCs/>
      </w:rPr>
      <w:tblPr/>
      <w:tcPr>
        <w:tcBorders>
          <w:top w:val="single" w:sz="8" w:space="0" w:color="7F8FA9"/>
          <w:left w:val="nil"/>
          <w:bottom w:val="single" w:sz="8" w:space="0" w:color="7F8FA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E3E9"/>
      </w:tcPr>
    </w:tblStylePr>
    <w:tblStylePr w:type="band1Horz">
      <w:tblPr/>
      <w:tcPr>
        <w:tcBorders>
          <w:left w:val="nil"/>
          <w:right w:val="nil"/>
          <w:insideH w:val="nil"/>
          <w:insideV w:val="nil"/>
        </w:tcBorders>
        <w:shd w:val="clear" w:color="auto" w:fill="DFE3E9"/>
      </w:tcPr>
    </w:tblStylePr>
  </w:style>
  <w:style w:type="paragraph" w:customStyle="1" w:styleId="intro1">
    <w:name w:val="intro1"/>
    <w:basedOn w:val="Normal"/>
    <w:rsid w:val="00BB49EE"/>
    <w:pPr>
      <w:spacing w:before="0" w:after="0" w:line="312" w:lineRule="atLeast"/>
      <w:jc w:val="left"/>
    </w:pPr>
    <w:rPr>
      <w:rFonts w:ascii="Verdana" w:hAnsi="Verdana" w:cs="Times New Roman"/>
      <w:b/>
      <w:bCs/>
      <w:color w:val="333333"/>
      <w:sz w:val="24"/>
      <w:szCs w:val="24"/>
      <w:lang w:eastAsia="fr-FR" w:bidi="ar-SA"/>
    </w:rPr>
  </w:style>
  <w:style w:type="paragraph" w:customStyle="1" w:styleId="Listadesub-vietas">
    <w:name w:val="Lista de sub-viñetas"/>
    <w:basedOn w:val="Normal"/>
    <w:autoRedefine/>
    <w:qFormat/>
    <w:rsid w:val="00BB49EE"/>
    <w:pPr>
      <w:tabs>
        <w:tab w:val="num" w:pos="720"/>
      </w:tabs>
      <w:spacing w:before="100" w:beforeAutospacing="1" w:after="100" w:afterAutospacing="1" w:line="360" w:lineRule="auto"/>
      <w:ind w:left="720" w:hanging="360"/>
    </w:pPr>
    <w:rPr>
      <w:rFonts w:cs="Times New Roman"/>
      <w:snapToGrid w:val="0"/>
      <w:szCs w:val="24"/>
      <w:lang w:eastAsia="ko-KR" w:bidi="ar-SA"/>
    </w:rPr>
  </w:style>
  <w:style w:type="character" w:customStyle="1" w:styleId="ListepucesCar">
    <w:name w:val="Liste à puces Car"/>
    <w:basedOn w:val="Policepardfaut"/>
    <w:link w:val="Listepuces"/>
    <w:rsid w:val="00BB49EE"/>
    <w:rPr>
      <w:rFonts w:ascii="Calibri" w:eastAsia="Times New Roman" w:hAnsi="Calibri" w:cs="Arial"/>
      <w:sz w:val="24"/>
      <w:szCs w:val="20"/>
      <w:lang w:val="fr-FR" w:eastAsia="fr-FR"/>
    </w:rPr>
  </w:style>
  <w:style w:type="paragraph" w:styleId="Listepuces4">
    <w:name w:val="List Bullet 4"/>
    <w:basedOn w:val="Normal"/>
    <w:autoRedefine/>
    <w:qFormat/>
    <w:rsid w:val="00BB49EE"/>
    <w:pPr>
      <w:keepNext/>
      <w:spacing w:before="240" w:after="0" w:line="240" w:lineRule="auto"/>
      <w:jc w:val="center"/>
    </w:pPr>
    <w:rPr>
      <w:rFonts w:ascii="Comic Sans MS" w:hAnsi="Comic Sans MS" w:cs="Times New Roman"/>
      <w:b/>
      <w:bCs/>
      <w:sz w:val="24"/>
      <w:szCs w:val="20"/>
      <w:lang w:eastAsia="fr-FR" w:bidi="ar-SA"/>
    </w:rPr>
  </w:style>
  <w:style w:type="paragraph" w:customStyle="1" w:styleId="BGP-TextecourantCar">
    <w:name w:val="BGP - Texte courant Car"/>
    <w:rsid w:val="00BB49EE"/>
    <w:pPr>
      <w:spacing w:after="0" w:line="240" w:lineRule="auto"/>
      <w:jc w:val="both"/>
    </w:pPr>
    <w:rPr>
      <w:rFonts w:ascii="Tahoma" w:eastAsia="Times New Roman" w:hAnsi="Tahoma" w:cs="Tahoma"/>
      <w:color w:val="000000"/>
      <w:sz w:val="20"/>
      <w:szCs w:val="20"/>
      <w:lang w:val="fr-FR" w:eastAsia="fr-FR"/>
    </w:rPr>
  </w:style>
  <w:style w:type="paragraph" w:customStyle="1" w:styleId="CM71">
    <w:name w:val="CM71"/>
    <w:basedOn w:val="Normal"/>
    <w:next w:val="Normal"/>
    <w:rsid w:val="00BB49EE"/>
    <w:pPr>
      <w:widowControl w:val="0"/>
      <w:autoSpaceDE w:val="0"/>
      <w:autoSpaceDN w:val="0"/>
      <w:adjustRightInd w:val="0"/>
      <w:spacing w:before="0" w:after="0" w:line="240" w:lineRule="auto"/>
      <w:jc w:val="left"/>
    </w:pPr>
    <w:rPr>
      <w:rFonts w:ascii="Arial" w:eastAsia="DengXian" w:hAnsi="Arial"/>
      <w:sz w:val="24"/>
      <w:szCs w:val="24"/>
      <w:lang w:val="en-US" w:eastAsia="fr-FR" w:bidi="ar-SA"/>
    </w:rPr>
  </w:style>
  <w:style w:type="paragraph" w:customStyle="1" w:styleId="StyleHeading211ptJustified">
    <w:name w:val="Style Heading 2 + 11 pt Justified"/>
    <w:basedOn w:val="Titre2"/>
    <w:next w:val="Titre2"/>
    <w:autoRedefine/>
    <w:rsid w:val="00BB49EE"/>
    <w:pPr>
      <w:keepLines w:val="0"/>
      <w:numPr>
        <w:numId w:val="0"/>
      </w:numPr>
      <w:tabs>
        <w:tab w:val="num" w:pos="1080"/>
      </w:tabs>
      <w:spacing w:before="480" w:after="60" w:line="240" w:lineRule="auto"/>
      <w:ind w:left="1080" w:hanging="360"/>
    </w:pPr>
    <w:rPr>
      <w:rFonts w:ascii="Times New Roman" w:eastAsia="Times New Roman" w:hAnsi="Times New Roman" w:cs="Times New Roman"/>
      <w:b/>
      <w:bCs/>
      <w:caps/>
      <w:color w:val="008000"/>
      <w:sz w:val="24"/>
      <w:szCs w:val="24"/>
      <w:lang w:eastAsia="fr-FR" w:bidi="ar-SA"/>
    </w:rPr>
  </w:style>
  <w:style w:type="character" w:customStyle="1" w:styleId="Enumration1ZchnZchn">
    <w:name w:val="Enumération 1 Zchn Zchn"/>
    <w:basedOn w:val="CorpsdetexteCar"/>
    <w:rsid w:val="00BB49EE"/>
    <w:rPr>
      <w:rFonts w:ascii="Arial" w:eastAsia="Calibri" w:hAnsi="Arial" w:cs="Times New Roman"/>
      <w:sz w:val="22"/>
      <w:szCs w:val="20"/>
      <w:lang w:val="fr-FR" w:eastAsia="de-DE"/>
    </w:rPr>
  </w:style>
  <w:style w:type="table" w:styleId="Tableausimple1">
    <w:name w:val="Table Simple 1"/>
    <w:basedOn w:val="TableauNormal"/>
    <w:rsid w:val="00BB49EE"/>
    <w:pPr>
      <w:spacing w:before="120" w:after="0" w:line="360" w:lineRule="auto"/>
      <w:ind w:left="1134"/>
    </w:pPr>
    <w:rPr>
      <w:rFonts w:ascii="Times New Roman" w:eastAsia="Times New Roman" w:hAnsi="Times New Roman" w:cs="Times New Roman"/>
      <w:sz w:val="20"/>
      <w:szCs w:val="20"/>
      <w:lang w:val="fr-FR" w:eastAsia="fr-FR"/>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customStyle="1" w:styleId="Tableau1centr">
    <w:name w:val="Tableau 1_centré"/>
    <w:basedOn w:val="Normal"/>
    <w:rsid w:val="00BB49EE"/>
    <w:pPr>
      <w:spacing w:before="40" w:after="40" w:line="240" w:lineRule="auto"/>
      <w:jc w:val="center"/>
    </w:pPr>
    <w:rPr>
      <w:rFonts w:ascii="Arial" w:hAnsi="Arial" w:cs="Times New Roman"/>
      <w:szCs w:val="20"/>
      <w:lang w:eastAsia="de-DE" w:bidi="ar-SA"/>
    </w:rPr>
  </w:style>
  <w:style w:type="paragraph" w:customStyle="1" w:styleId="Enumration1a">
    <w:name w:val="Enumération 1a"/>
    <w:basedOn w:val="Enumration1"/>
    <w:rsid w:val="00BB49EE"/>
    <w:pPr>
      <w:numPr>
        <w:numId w:val="0"/>
      </w:numPr>
      <w:tabs>
        <w:tab w:val="left" w:pos="284"/>
        <w:tab w:val="left" w:pos="567"/>
        <w:tab w:val="left" w:pos="851"/>
        <w:tab w:val="left" w:pos="1418"/>
        <w:tab w:val="left" w:pos="1701"/>
        <w:tab w:val="left" w:pos="2268"/>
        <w:tab w:val="left" w:pos="2835"/>
        <w:tab w:val="left" w:pos="3402"/>
      </w:tabs>
      <w:spacing w:before="120" w:after="0" w:line="312" w:lineRule="auto"/>
      <w:ind w:left="720" w:hanging="360"/>
      <w:jc w:val="left"/>
    </w:pPr>
    <w:rPr>
      <w:sz w:val="22"/>
      <w:lang w:eastAsia="de-DE"/>
    </w:rPr>
  </w:style>
  <w:style w:type="table" w:customStyle="1" w:styleId="TableauGrille1Clair-Accentuation511">
    <w:name w:val="Tableau Grille 1 Clair - Accentuation 511"/>
    <w:basedOn w:val="TableauNormal"/>
    <w:uiPriority w:val="46"/>
    <w:rsid w:val="00BB49EE"/>
    <w:pPr>
      <w:spacing w:after="0" w:line="240" w:lineRule="auto"/>
    </w:pPr>
    <w:rPr>
      <w:rFonts w:eastAsia="Calibri"/>
      <w:lang w:val="fr-FR"/>
    </w:rPr>
    <w:tblPr>
      <w:tblStyleRowBandSize w:val="1"/>
      <w:tblStyleColBandSize w:val="1"/>
      <w:tblBorders>
        <w:top w:val="single" w:sz="4" w:space="0" w:color="BCD9DE"/>
        <w:left w:val="single" w:sz="4" w:space="0" w:color="BCD9DE"/>
        <w:bottom w:val="single" w:sz="4" w:space="0" w:color="BCD9DE"/>
        <w:right w:val="single" w:sz="4" w:space="0" w:color="BCD9DE"/>
        <w:insideH w:val="single" w:sz="4" w:space="0" w:color="BCD9DE"/>
        <w:insideV w:val="single" w:sz="4" w:space="0" w:color="BCD9DE"/>
      </w:tblBorders>
    </w:tblPr>
    <w:tblStylePr w:type="firstRow">
      <w:rPr>
        <w:b/>
        <w:bCs/>
      </w:rPr>
      <w:tblPr/>
      <w:tcPr>
        <w:tcBorders>
          <w:bottom w:val="single" w:sz="12" w:space="0" w:color="9BC7CE"/>
        </w:tcBorders>
      </w:tcPr>
    </w:tblStylePr>
    <w:tblStylePr w:type="lastRow">
      <w:rPr>
        <w:b/>
        <w:bCs/>
      </w:rPr>
      <w:tblPr/>
      <w:tcPr>
        <w:tcBorders>
          <w:top w:val="double" w:sz="2" w:space="0" w:color="9BC7CE"/>
        </w:tcBorders>
      </w:tcPr>
    </w:tblStylePr>
    <w:tblStylePr w:type="firstCol">
      <w:rPr>
        <w:b/>
        <w:bCs/>
      </w:rPr>
    </w:tblStylePr>
    <w:tblStylePr w:type="lastCol">
      <w:rPr>
        <w:b/>
        <w:bCs/>
      </w:rPr>
    </w:tblStylePr>
  </w:style>
  <w:style w:type="paragraph" w:customStyle="1" w:styleId="Puce20">
    <w:name w:val="Puce 2"/>
    <w:basedOn w:val="Normal"/>
    <w:qFormat/>
    <w:rsid w:val="00BB49EE"/>
    <w:pPr>
      <w:numPr>
        <w:numId w:val="73"/>
      </w:numPr>
      <w:spacing w:before="240" w:after="240" w:line="240" w:lineRule="auto"/>
    </w:pPr>
    <w:rPr>
      <w:rFonts w:ascii="Arial" w:hAnsi="Arial"/>
      <w:b/>
      <w:sz w:val="20"/>
      <w:szCs w:val="20"/>
      <w:lang w:eastAsia="fr-FR" w:bidi="ar-SA"/>
    </w:rPr>
  </w:style>
  <w:style w:type="paragraph" w:customStyle="1" w:styleId="p4">
    <w:name w:val="p4"/>
    <w:basedOn w:val="Normal"/>
    <w:rsid w:val="00BB49EE"/>
    <w:pPr>
      <w:widowControl w:val="0"/>
      <w:spacing w:after="0" w:line="-260" w:lineRule="auto"/>
    </w:pPr>
    <w:rPr>
      <w:rFonts w:ascii="Times New Roman" w:eastAsia="Batang" w:hAnsi="Times New Roman" w:cs="Times New Roman"/>
      <w:sz w:val="24"/>
      <w:szCs w:val="24"/>
      <w:lang w:eastAsia="fr-FR" w:bidi="ar-SA"/>
    </w:rPr>
  </w:style>
  <w:style w:type="paragraph" w:customStyle="1" w:styleId="Titre-1">
    <w:name w:val="Titre-1"/>
    <w:basedOn w:val="Titre1"/>
    <w:next w:val="Normal"/>
    <w:autoRedefine/>
    <w:uiPriority w:val="99"/>
    <w:qFormat/>
    <w:rsid w:val="00BB49EE"/>
    <w:pPr>
      <w:keepLines w:val="0"/>
      <w:numPr>
        <w:numId w:val="74"/>
      </w:numPr>
      <w:spacing w:after="120" w:line="240" w:lineRule="auto"/>
    </w:pPr>
    <w:rPr>
      <w:rFonts w:ascii="Calibri" w:eastAsia="Times New Roman" w:hAnsi="Calibri" w:cs="Times New Roman"/>
      <w:caps/>
      <w:color w:val="auto"/>
      <w:kern w:val="28"/>
      <w:sz w:val="28"/>
      <w:szCs w:val="28"/>
      <w:lang w:eastAsia="fr-FR" w:bidi="ar-SA"/>
    </w:rPr>
  </w:style>
  <w:style w:type="paragraph" w:customStyle="1" w:styleId="Titre-2">
    <w:name w:val="Titre-2"/>
    <w:basedOn w:val="Normal"/>
    <w:next w:val="Normal"/>
    <w:autoRedefine/>
    <w:uiPriority w:val="99"/>
    <w:qFormat/>
    <w:rsid w:val="00BB49EE"/>
    <w:pPr>
      <w:keepNext/>
      <w:numPr>
        <w:ilvl w:val="1"/>
        <w:numId w:val="74"/>
      </w:numPr>
      <w:spacing w:line="240" w:lineRule="auto"/>
      <w:outlineLvl w:val="1"/>
    </w:pPr>
    <w:rPr>
      <w:rFonts w:cs="Tahoma"/>
      <w:b/>
      <w:bCs/>
      <w:iCs/>
      <w:caps/>
      <w:sz w:val="26"/>
      <w:szCs w:val="20"/>
      <w:lang w:eastAsia="fr-FR" w:bidi="ar-SA"/>
    </w:rPr>
  </w:style>
  <w:style w:type="paragraph" w:customStyle="1" w:styleId="Titre-3">
    <w:name w:val="Titre-3"/>
    <w:basedOn w:val="Titre3"/>
    <w:next w:val="Normal"/>
    <w:autoRedefine/>
    <w:uiPriority w:val="99"/>
    <w:qFormat/>
    <w:rsid w:val="00BB49EE"/>
    <w:pPr>
      <w:keepLines w:val="0"/>
      <w:numPr>
        <w:ilvl w:val="2"/>
        <w:numId w:val="74"/>
      </w:numPr>
      <w:tabs>
        <w:tab w:val="left" w:pos="851"/>
      </w:tabs>
      <w:spacing w:line="312" w:lineRule="auto"/>
    </w:pPr>
    <w:rPr>
      <w:rFonts w:ascii="Calibri" w:hAnsi="Calibri" w:cs="Tahoma"/>
      <w:iCs/>
      <w:sz w:val="26"/>
      <w:szCs w:val="20"/>
      <w:lang w:eastAsia="fr-FR" w:bidi="ar-SA"/>
    </w:rPr>
  </w:style>
  <w:style w:type="paragraph" w:customStyle="1" w:styleId="Titre-4">
    <w:name w:val="Titre-4"/>
    <w:basedOn w:val="Titre4"/>
    <w:next w:val="Normal"/>
    <w:autoRedefine/>
    <w:uiPriority w:val="99"/>
    <w:qFormat/>
    <w:rsid w:val="00BB49EE"/>
    <w:pPr>
      <w:keepLines w:val="0"/>
      <w:numPr>
        <w:ilvl w:val="3"/>
        <w:numId w:val="74"/>
      </w:numPr>
      <w:tabs>
        <w:tab w:val="left" w:pos="851"/>
      </w:tabs>
      <w:spacing w:line="240" w:lineRule="auto"/>
    </w:pPr>
    <w:rPr>
      <w:rFonts w:ascii="Calibri" w:hAnsi="Calibri"/>
      <w:i w:val="0"/>
      <w:iCs w:val="0"/>
      <w:color w:val="000000"/>
      <w:sz w:val="22"/>
      <w:szCs w:val="20"/>
      <w:lang w:eastAsia="fr-FR" w:bidi="ar-SA"/>
    </w:rPr>
  </w:style>
  <w:style w:type="paragraph" w:customStyle="1" w:styleId="Titre-5">
    <w:name w:val="Titre-5"/>
    <w:basedOn w:val="Titre5"/>
    <w:next w:val="Normal"/>
    <w:autoRedefine/>
    <w:uiPriority w:val="99"/>
    <w:qFormat/>
    <w:rsid w:val="00BB49EE"/>
    <w:pPr>
      <w:numPr>
        <w:ilvl w:val="4"/>
        <w:numId w:val="74"/>
      </w:numPr>
      <w:spacing w:before="240" w:line="240" w:lineRule="auto"/>
      <w:jc w:val="left"/>
    </w:pPr>
    <w:rPr>
      <w:rFonts w:ascii="Calibri" w:hAnsi="Calibri"/>
      <w:b w:val="0"/>
      <w:bCs w:val="0"/>
      <w:i/>
      <w:color w:val="000000"/>
      <w:sz w:val="20"/>
      <w:szCs w:val="20"/>
      <w:lang w:eastAsia="fr-FR" w:bidi="ar-SA"/>
    </w:rPr>
  </w:style>
  <w:style w:type="paragraph" w:customStyle="1" w:styleId="Titre3Safi">
    <w:name w:val="Titre3_Safi"/>
    <w:basedOn w:val="Titre3"/>
    <w:rsid w:val="00BB49EE"/>
    <w:pPr>
      <w:keepLines w:val="0"/>
      <w:widowControl w:val="0"/>
      <w:tabs>
        <w:tab w:val="left" w:pos="340"/>
        <w:tab w:val="left" w:pos="567"/>
        <w:tab w:val="num" w:pos="1800"/>
      </w:tabs>
      <w:spacing w:before="0" w:after="0" w:line="240" w:lineRule="auto"/>
      <w:ind w:left="1800" w:hanging="360"/>
    </w:pPr>
    <w:rPr>
      <w:rFonts w:ascii="Arial" w:hAnsi="Arial" w:cs="Arial"/>
      <w:color w:val="800080"/>
      <w:szCs w:val="20"/>
      <w:lang w:eastAsia="fr-FR" w:bidi="ar-MA"/>
    </w:rPr>
  </w:style>
  <w:style w:type="paragraph" w:customStyle="1" w:styleId="Lignederfrence">
    <w:name w:val="Ligne de référence"/>
    <w:basedOn w:val="Corpsdetexte"/>
    <w:uiPriority w:val="99"/>
    <w:rsid w:val="00BB49EE"/>
    <w:pPr>
      <w:spacing w:after="0" w:line="240" w:lineRule="auto"/>
      <w:jc w:val="both"/>
    </w:pPr>
    <w:rPr>
      <w:rFonts w:ascii="Arial" w:eastAsia="Times New Roman" w:hAnsi="Arial" w:cs="Arial"/>
      <w:szCs w:val="20"/>
      <w:lang w:val="fr-FR"/>
    </w:rPr>
  </w:style>
  <w:style w:type="character" w:customStyle="1" w:styleId="Style12pt">
    <w:name w:val="Style 12 pt"/>
    <w:rsid w:val="00BB49EE"/>
    <w:rPr>
      <w:rFonts w:ascii="Arial" w:hAnsi="Arial"/>
      <w:sz w:val="22"/>
      <w:szCs w:val="24"/>
    </w:rPr>
  </w:style>
  <w:style w:type="character" w:customStyle="1" w:styleId="Style13pt">
    <w:name w:val="Style 13 pt"/>
    <w:rsid w:val="00BB49EE"/>
    <w:rPr>
      <w:rFonts w:ascii="Arial" w:hAnsi="Arial"/>
      <w:sz w:val="22"/>
      <w:szCs w:val="26"/>
    </w:rPr>
  </w:style>
  <w:style w:type="character" w:customStyle="1" w:styleId="Style12ptSoulignement">
    <w:name w:val="Style 12 pt Soulignement"/>
    <w:rsid w:val="00BB49EE"/>
    <w:rPr>
      <w:rFonts w:ascii="Arial" w:hAnsi="Arial"/>
      <w:sz w:val="22"/>
      <w:szCs w:val="24"/>
      <w:u w:val="none"/>
    </w:rPr>
  </w:style>
  <w:style w:type="character" w:customStyle="1" w:styleId="NotedefinCar1">
    <w:name w:val="Note de fin Car1"/>
    <w:basedOn w:val="Policepardfaut"/>
    <w:uiPriority w:val="99"/>
    <w:semiHidden/>
    <w:rsid w:val="00BB49EE"/>
    <w:rPr>
      <w:lang w:eastAsia="en-US" w:bidi="en-US"/>
    </w:rPr>
  </w:style>
  <w:style w:type="paragraph" w:customStyle="1" w:styleId="StyleLatinTahomaComplexeTahoma11ptBleuJustifiAva">
    <w:name w:val="Style (Latin) Tahoma (Complexe) Tahoma 11 pt Bleu Justifié Ava..."/>
    <w:basedOn w:val="Normal"/>
    <w:rsid w:val="00BB49EE"/>
    <w:pPr>
      <w:spacing w:before="240" w:line="264" w:lineRule="auto"/>
    </w:pPr>
    <w:rPr>
      <w:rFonts w:ascii="Tahoma" w:hAnsi="Tahoma" w:cs="Tahoma"/>
      <w:color w:val="0000FF"/>
      <w:szCs w:val="20"/>
      <w:lang w:eastAsia="fr-FR" w:bidi="ar-SA"/>
    </w:rPr>
  </w:style>
  <w:style w:type="paragraph" w:customStyle="1" w:styleId="DBY-tableau">
    <w:name w:val="DBY-tableau"/>
    <w:basedOn w:val="Normal"/>
    <w:link w:val="DBY-tableauCar"/>
    <w:qFormat/>
    <w:rsid w:val="00BB49EE"/>
    <w:pPr>
      <w:keepNext/>
      <w:spacing w:before="100" w:beforeAutospacing="1" w:after="0" w:line="264" w:lineRule="auto"/>
      <w:jc w:val="center"/>
    </w:pPr>
    <w:rPr>
      <w:rFonts w:cs="Times New Roman"/>
      <w:b/>
      <w:bCs/>
      <w:color w:val="595959"/>
      <w:spacing w:val="-3"/>
      <w:szCs w:val="20"/>
      <w:lang w:eastAsia="fr-FR" w:bidi="ar-SA"/>
    </w:rPr>
  </w:style>
  <w:style w:type="character" w:customStyle="1" w:styleId="DBY-tableauCar">
    <w:name w:val="DBY-tableau Car"/>
    <w:link w:val="DBY-tableau"/>
    <w:rsid w:val="00BB49EE"/>
    <w:rPr>
      <w:rFonts w:ascii="Calibri" w:eastAsia="Times New Roman" w:hAnsi="Calibri" w:cs="Times New Roman"/>
      <w:b/>
      <w:bCs/>
      <w:color w:val="595959"/>
      <w:spacing w:val="-3"/>
      <w:szCs w:val="20"/>
      <w:lang w:val="fr-FR" w:eastAsia="fr-FR"/>
    </w:rPr>
  </w:style>
  <w:style w:type="character" w:customStyle="1" w:styleId="MSGENFONTSTYLENAMETEMPLATEROLENUMBERMSGENFONTSTYLENAMEBYROLETEXT2">
    <w:name w:val="MSG_EN_FONT_STYLE_NAME_TEMPLATE_ROLE_NUMBER MSG_EN_FONT_STYLE_NAME_BY_ROLE_TEXT 2_"/>
    <w:link w:val="MSGENFONTSTYLENAMETEMPLATEROLENUMBERMSGENFONTSTYLENAMEBYROLETEXT20"/>
    <w:locked/>
    <w:rsid w:val="00BB49EE"/>
    <w:rPr>
      <w:rFonts w:ascii="Arial" w:hAnsi="Arial"/>
      <w:shd w:val="clear" w:color="auto" w:fill="FFFFFF"/>
    </w:rPr>
  </w:style>
  <w:style w:type="paragraph" w:customStyle="1" w:styleId="MSGENFONTSTYLENAMETEMPLATEROLENUMBERMSGENFONTSTYLENAMEBYROLETEXT20">
    <w:name w:val="MSG_EN_FONT_STYLE_NAME_TEMPLATE_ROLE_NUMBER MSG_EN_FONT_STYLE_NAME_BY_ROLE_TEXT 2"/>
    <w:basedOn w:val="Normal"/>
    <w:link w:val="MSGENFONTSTYLENAMETEMPLATEROLENUMBERMSGENFONTSTYLENAMEBYROLETEXT2"/>
    <w:rsid w:val="00BB49EE"/>
    <w:pPr>
      <w:widowControl w:val="0"/>
      <w:shd w:val="clear" w:color="auto" w:fill="FFFFFF"/>
      <w:spacing w:before="0" w:after="0" w:line="379" w:lineRule="exact"/>
      <w:ind w:hanging="360"/>
    </w:pPr>
    <w:rPr>
      <w:rFonts w:ascii="Arial" w:eastAsiaTheme="minorEastAsia" w:hAnsi="Arial" w:cstheme="minorBidi"/>
      <w:lang w:val="fr-MA" w:bidi="ar-SA"/>
    </w:rPr>
  </w:style>
  <w:style w:type="paragraph" w:customStyle="1" w:styleId="pr">
    <w:name w:val="pré"/>
    <w:basedOn w:val="ps0"/>
    <w:rsid w:val="00BB49EE"/>
    <w:pPr>
      <w:keepLines w:val="0"/>
      <w:spacing w:before="300"/>
    </w:pPr>
    <w:rPr>
      <w:rFonts w:ascii="Verdana" w:eastAsia="Arial Narrow" w:hAnsi="Verdana" w:cs="Arial"/>
      <w:sz w:val="20"/>
    </w:rPr>
  </w:style>
  <w:style w:type="paragraph" w:customStyle="1" w:styleId="PhenixaTitre3">
    <w:name w:val="Phenixa. Titre 3"/>
    <w:basedOn w:val="Normal"/>
    <w:link w:val="PhenixaTitre3Car"/>
    <w:uiPriority w:val="14"/>
    <w:qFormat/>
    <w:rsid w:val="00BB49EE"/>
    <w:pPr>
      <w:keepNext/>
      <w:keepLines/>
      <w:numPr>
        <w:ilvl w:val="2"/>
        <w:numId w:val="63"/>
      </w:numPr>
      <w:tabs>
        <w:tab w:val="left" w:pos="4678"/>
        <w:tab w:val="num" w:pos="5614"/>
      </w:tabs>
      <w:suppressAutoHyphens/>
      <w:spacing w:before="360" w:after="100" w:line="240" w:lineRule="auto"/>
      <w:ind w:left="5274"/>
      <w:jc w:val="left"/>
      <w:outlineLvl w:val="2"/>
    </w:pPr>
    <w:rPr>
      <w:rFonts w:ascii="Arial" w:eastAsia="DengXian Light" w:hAnsi="Arial" w:cs="Times New Roman"/>
      <w:b/>
      <w:bCs/>
      <w:color w:val="7F8FA9"/>
      <w:sz w:val="23"/>
      <w:szCs w:val="24"/>
      <w:lang w:eastAsia="fr-FR" w:bidi="ar-SA"/>
    </w:rPr>
  </w:style>
  <w:style w:type="character" w:customStyle="1" w:styleId="CarattereCar">
    <w:name w:val="Carattere Car"/>
    <w:aliases w:val="Char Car,Legenda Carácter Car,... + 10 Car,5 pt Car,N... + 10 Car,Non... Car, Car Car, Carattere Car, Char Car, Carácter Carácter Car, Char Char Char Char Char Car, Char Char Char Char Char Char Char Char Char Car"/>
    <w:basedOn w:val="Policepardfaut"/>
    <w:locked/>
    <w:rsid w:val="00BB49EE"/>
    <w:rPr>
      <w:rFonts w:eastAsia="Times New Roman" w:cs="Times New Roman"/>
      <w:b/>
      <w:bCs/>
      <w:sz w:val="20"/>
      <w:szCs w:val="20"/>
      <w:lang w:eastAsia="fr-FR"/>
    </w:rPr>
  </w:style>
  <w:style w:type="character" w:customStyle="1" w:styleId="Mentionnonrsolue20">
    <w:name w:val="Mention non résolue2"/>
    <w:basedOn w:val="Policepardfaut"/>
    <w:uiPriority w:val="99"/>
    <w:semiHidden/>
    <w:unhideWhenUsed/>
    <w:rsid w:val="00BB49EE"/>
    <w:rPr>
      <w:color w:val="605E5C"/>
      <w:shd w:val="clear" w:color="auto" w:fill="E1DFDD"/>
    </w:rPr>
  </w:style>
  <w:style w:type="character" w:customStyle="1" w:styleId="Mentionnonrsolue3">
    <w:name w:val="Mention non résolue3"/>
    <w:basedOn w:val="Policepardfaut"/>
    <w:uiPriority w:val="99"/>
    <w:semiHidden/>
    <w:unhideWhenUsed/>
    <w:rsid w:val="00BB49EE"/>
    <w:rPr>
      <w:color w:val="605E5C"/>
      <w:shd w:val="clear" w:color="auto" w:fill="E1DFDD"/>
    </w:rPr>
  </w:style>
  <w:style w:type="paragraph" w:customStyle="1" w:styleId="DBY-figure">
    <w:name w:val="DBY-figure"/>
    <w:basedOn w:val="Normal"/>
    <w:autoRedefine/>
    <w:qFormat/>
    <w:rsid w:val="00BB49EE"/>
    <w:pPr>
      <w:keepNext/>
      <w:spacing w:before="100" w:beforeAutospacing="1" w:after="0" w:line="264" w:lineRule="auto"/>
      <w:ind w:left="720"/>
      <w:jc w:val="center"/>
    </w:pPr>
    <w:rPr>
      <w:rFonts w:cs="Calibri"/>
      <w:b/>
      <w:color w:val="595959"/>
      <w:szCs w:val="20"/>
      <w:lang w:eastAsia="fr-FR" w:bidi="ar-SA"/>
    </w:rPr>
  </w:style>
  <w:style w:type="character" w:customStyle="1" w:styleId="LgendetableaudbyCar1">
    <w:name w:val="Légende tableau dby Car1"/>
    <w:aliases w:val="TITRE Car1,Car Car1 Car1,Légende Car Car Car Car Car Car Car1,Légende Car Car Car Car Car Car Car Car1,Légende Car Car Car Car Car Car Car Car Car,Légende2 Car Car,Carattere Car1,Légende Car Car Car Car Car Car Car2"/>
    <w:locked/>
    <w:rsid w:val="00BB49EE"/>
    <w:rPr>
      <w:rFonts w:cs="Times New Roman"/>
      <w:b/>
      <w:bCs/>
      <w:lang w:bidi="en-US"/>
    </w:rPr>
  </w:style>
  <w:style w:type="paragraph" w:customStyle="1" w:styleId="NormalAPD">
    <w:name w:val="Normal APD"/>
    <w:rsid w:val="00BB49EE"/>
    <w:pPr>
      <w:tabs>
        <w:tab w:val="left" w:pos="851"/>
      </w:tabs>
      <w:spacing w:after="0" w:line="240" w:lineRule="auto"/>
      <w:jc w:val="both"/>
    </w:pPr>
    <w:rPr>
      <w:rFonts w:ascii="Frutiger 45 Light" w:eastAsia="Times New Roman" w:hAnsi="Frutiger 45 Light" w:cs="Times New Roman"/>
      <w:sz w:val="24"/>
      <w:szCs w:val="24"/>
      <w:lang w:val="fr-FR" w:eastAsia="fr-FR"/>
    </w:rPr>
  </w:style>
  <w:style w:type="paragraph" w:customStyle="1" w:styleId="TitreDoc">
    <w:name w:val="Titre Doc"/>
    <w:basedOn w:val="Normal"/>
    <w:rsid w:val="00BB49EE"/>
    <w:pPr>
      <w:spacing w:before="0" w:after="0" w:line="240" w:lineRule="auto"/>
      <w:jc w:val="center"/>
    </w:pPr>
    <w:rPr>
      <w:rFonts w:ascii="Arial" w:hAnsi="Arial"/>
      <w:b/>
      <w:bCs/>
      <w:caps/>
      <w:color w:val="000080"/>
      <w:sz w:val="36"/>
      <w:szCs w:val="46"/>
      <w:lang w:eastAsia="fr-FR" w:bidi="ar-SA"/>
    </w:rPr>
  </w:style>
  <w:style w:type="paragraph" w:customStyle="1" w:styleId="Listepuces51">
    <w:name w:val="Liste à puces 51"/>
    <w:basedOn w:val="Normal"/>
    <w:next w:val="Listepuces5"/>
    <w:semiHidden/>
    <w:rsid w:val="00BB49EE"/>
    <w:pPr>
      <w:numPr>
        <w:numId w:val="76"/>
      </w:numPr>
      <w:tabs>
        <w:tab w:val="clear" w:pos="1800"/>
      </w:tabs>
      <w:spacing w:before="0" w:after="0" w:line="260" w:lineRule="atLeast"/>
      <w:ind w:left="360"/>
      <w:jc w:val="left"/>
    </w:pPr>
    <w:rPr>
      <w:sz w:val="20"/>
      <w:szCs w:val="20"/>
      <w:lang w:eastAsia="fr-FR" w:bidi="ar-SA"/>
    </w:rPr>
  </w:style>
  <w:style w:type="character" w:customStyle="1" w:styleId="ms-rtethemeforecolor-2-2">
    <w:name w:val="ms-rtethemeforecolor-2-2"/>
    <w:basedOn w:val="Policepardfaut"/>
    <w:rsid w:val="00BB49EE"/>
  </w:style>
  <w:style w:type="table" w:customStyle="1" w:styleId="Grilledutableau2">
    <w:name w:val="Grille du tableau2"/>
    <w:basedOn w:val="TableauNormal"/>
    <w:next w:val="Grilledutableau"/>
    <w:uiPriority w:val="59"/>
    <w:rsid w:val="00BB49EE"/>
    <w:pPr>
      <w:spacing w:after="0" w:line="240" w:lineRule="auto"/>
    </w:pPr>
    <w:rPr>
      <w:rFonts w:ascii="Calibri" w:eastAsia="Calibri" w:hAnsi="Calibri" w:cs="Arial"/>
      <w:lang w:val="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auGrille1Clair-Accentuation111">
    <w:name w:val="Tableau Grille 1 Clair - Accentuation 111"/>
    <w:basedOn w:val="TableauNormal"/>
    <w:uiPriority w:val="46"/>
    <w:rsid w:val="00AA22F2"/>
    <w:pPr>
      <w:spacing w:after="0" w:line="240" w:lineRule="auto"/>
    </w:pPr>
    <w:rPr>
      <w:rFonts w:ascii="Calibri" w:eastAsia="Calibri" w:hAnsi="Calibri" w:cs="Arial"/>
      <w:sz w:val="20"/>
      <w:lang w:val="fr-FR"/>
    </w:rPr>
    <w:tblPr>
      <w:tblStyleRowBandSize w:val="1"/>
      <w:tblStyleColBandSize w:val="1"/>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Pr>
    <w:tcPr>
      <w:shd w:val="clear" w:color="auto" w:fill="FFFFFF" w:themeFill="background1"/>
    </w:tcPr>
    <w:tblStylePr w:type="firstRow">
      <w:rPr>
        <w:b/>
        <w:bCs/>
      </w:rPr>
      <w:tblPr/>
      <w:tcPr>
        <w:shd w:val="clear" w:color="auto" w:fill="8EAADB" w:themeFill="accent1" w:themeFillTint="99"/>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character" w:customStyle="1" w:styleId="Style5Car">
    <w:name w:val="Style5 Car"/>
    <w:basedOn w:val="Titre5Car"/>
    <w:link w:val="Style5"/>
    <w:rsid w:val="00BB49EE"/>
    <w:rPr>
      <w:rFonts w:ascii="Arial" w:eastAsia="Times New Roman" w:hAnsi="Arial" w:cs="Times New Roman"/>
      <w:b/>
      <w:bCs/>
      <w:iCs/>
      <w:caps/>
      <w:color w:val="800080"/>
      <w:kern w:val="32"/>
      <w:sz w:val="24"/>
      <w:szCs w:val="52"/>
      <w:lang w:val="x-none" w:eastAsia="x-none" w:bidi="en-US"/>
    </w:rPr>
  </w:style>
  <w:style w:type="table" w:customStyle="1" w:styleId="Listemoyenne1-Accent22">
    <w:name w:val="Liste moyenne 1 - Accent 22"/>
    <w:basedOn w:val="TableauNormal"/>
    <w:next w:val="Listemoyenne1-Accent2"/>
    <w:uiPriority w:val="99"/>
    <w:rsid w:val="00BB49EE"/>
    <w:pPr>
      <w:spacing w:after="0" w:line="240" w:lineRule="auto"/>
    </w:pPr>
    <w:rPr>
      <w:rFonts w:ascii="Calibri" w:eastAsia="Times New Roman" w:hAnsi="Calibri" w:cs="Arial"/>
      <w:color w:val="000000"/>
      <w:sz w:val="20"/>
      <w:szCs w:val="20"/>
      <w:lang w:val="fr-FR" w:eastAsia="fr-FR"/>
    </w:rPr>
    <w:tblPr>
      <w:tblStyleRowBandSize w:val="1"/>
      <w:tblStyleColBandSize w:val="1"/>
      <w:tblBorders>
        <w:top w:val="single" w:sz="8" w:space="0" w:color="C0504D"/>
        <w:bottom w:val="single" w:sz="8" w:space="0" w:color="C0504D"/>
      </w:tblBorders>
    </w:tblPr>
    <w:tblStylePr w:type="firstRow">
      <w:rPr>
        <w:rFonts w:ascii="Bahnschrift" w:eastAsia="Times New Roman" w:hAnsi="Bahnschrift"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customStyle="1" w:styleId="Grillemoyenne1-Accent22">
    <w:name w:val="Grille moyenne 1 - Accent 22"/>
    <w:basedOn w:val="TableauNormal"/>
    <w:next w:val="Grillemoyenne1-Accent2"/>
    <w:uiPriority w:val="99"/>
    <w:rsid w:val="00BB49EE"/>
    <w:pPr>
      <w:spacing w:after="0" w:line="240" w:lineRule="auto"/>
    </w:pPr>
    <w:rPr>
      <w:rFonts w:ascii="Calibri" w:eastAsia="Times New Roman" w:hAnsi="Calibri" w:cs="Arial"/>
      <w:sz w:val="20"/>
      <w:szCs w:val="20"/>
      <w:lang w:val="fr-FR" w:eastAsia="fr-FR"/>
    </w:r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customStyle="1" w:styleId="Listefonce-Accent22">
    <w:name w:val="Liste foncée - Accent 22"/>
    <w:basedOn w:val="TableauNormal"/>
    <w:next w:val="Listefonce-Accent2"/>
    <w:uiPriority w:val="99"/>
    <w:rsid w:val="00BB49EE"/>
    <w:pPr>
      <w:spacing w:after="0" w:line="240" w:lineRule="auto"/>
    </w:pPr>
    <w:rPr>
      <w:rFonts w:ascii="Calibri" w:eastAsia="Times New Roman" w:hAnsi="Calibri" w:cs="Arial"/>
      <w:color w:val="FFFFFF"/>
      <w:sz w:val="20"/>
      <w:szCs w:val="20"/>
      <w:lang w:val="fr-FR" w:eastAsia="fr-FR"/>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paragraph" w:customStyle="1" w:styleId="StylepucesGras">
    <w:name w:val="Style puces + Gras"/>
    <w:basedOn w:val="puces"/>
    <w:link w:val="StylepucesGrasCarCar"/>
    <w:autoRedefine/>
    <w:uiPriority w:val="99"/>
    <w:rsid w:val="00BB49EE"/>
    <w:pPr>
      <w:tabs>
        <w:tab w:val="clear" w:pos="1134"/>
        <w:tab w:val="num" w:pos="1416"/>
      </w:tabs>
      <w:overflowPunct w:val="0"/>
      <w:autoSpaceDE w:val="0"/>
      <w:autoSpaceDN w:val="0"/>
      <w:adjustRightInd w:val="0"/>
      <w:spacing w:before="120" w:after="120"/>
      <w:ind w:left="1416" w:hanging="360"/>
      <w:textAlignment w:val="baseline"/>
    </w:pPr>
    <w:rPr>
      <w:b/>
      <w:bCs/>
      <w:noProof/>
      <w:szCs w:val="20"/>
      <w:lang w:val="fr-FR"/>
    </w:rPr>
  </w:style>
  <w:style w:type="character" w:customStyle="1" w:styleId="StylepucesGrasCarCar">
    <w:name w:val="Style puces + Gras Car Car"/>
    <w:basedOn w:val="Policepardfaut"/>
    <w:link w:val="StylepucesGras"/>
    <w:uiPriority w:val="99"/>
    <w:rsid w:val="00BB49EE"/>
    <w:rPr>
      <w:rFonts w:ascii="Arial" w:eastAsia="Times New Roman" w:hAnsi="Arial" w:cs="Times New Roman"/>
      <w:b/>
      <w:bCs/>
      <w:noProof/>
      <w:szCs w:val="20"/>
      <w:lang w:val="fr-FR" w:eastAsia="fr-FR"/>
    </w:rPr>
  </w:style>
  <w:style w:type="paragraph" w:customStyle="1" w:styleId="StyleJustifi">
    <w:name w:val="Style Justifié"/>
    <w:basedOn w:val="Normal"/>
    <w:uiPriority w:val="99"/>
    <w:rsid w:val="00BB49EE"/>
    <w:pPr>
      <w:autoSpaceDE w:val="0"/>
      <w:autoSpaceDN w:val="0"/>
      <w:adjustRightInd w:val="0"/>
      <w:spacing w:before="0" w:after="0" w:line="240" w:lineRule="auto"/>
    </w:pPr>
    <w:rPr>
      <w:rFonts w:ascii="Times New Roman" w:hAnsi="Times New Roman" w:cs="Times New Roman"/>
      <w:sz w:val="24"/>
      <w:szCs w:val="20"/>
      <w:lang w:eastAsia="fr-FR" w:bidi="ar-SA"/>
    </w:rPr>
  </w:style>
  <w:style w:type="paragraph" w:customStyle="1" w:styleId="Interlude">
    <w:name w:val="Interlude"/>
    <w:basedOn w:val="Normal"/>
    <w:uiPriority w:val="99"/>
    <w:rsid w:val="00BB49EE"/>
    <w:pPr>
      <w:autoSpaceDE w:val="0"/>
      <w:autoSpaceDN w:val="0"/>
      <w:adjustRightInd w:val="0"/>
      <w:spacing w:before="0" w:after="0" w:line="240" w:lineRule="auto"/>
    </w:pPr>
    <w:rPr>
      <w:rFonts w:ascii="Arial" w:hAnsi="Arial" w:cs="Times New Roman"/>
      <w:b/>
      <w:sz w:val="6"/>
      <w:szCs w:val="6"/>
      <w:lang w:eastAsia="fr-FR" w:bidi="ar-SA"/>
    </w:rPr>
  </w:style>
  <w:style w:type="paragraph" w:customStyle="1" w:styleId="Retrait1">
    <w:name w:val="Retrait 1"/>
    <w:basedOn w:val="Normal"/>
    <w:next w:val="Normal"/>
    <w:link w:val="Retrait1Car"/>
    <w:rsid w:val="00BB49EE"/>
    <w:pPr>
      <w:numPr>
        <w:numId w:val="77"/>
      </w:numPr>
      <w:autoSpaceDE w:val="0"/>
      <w:autoSpaceDN w:val="0"/>
      <w:adjustRightInd w:val="0"/>
      <w:spacing w:after="0" w:line="240" w:lineRule="auto"/>
    </w:pPr>
    <w:rPr>
      <w:rFonts w:ascii="Arial" w:hAnsi="Arial" w:cs="Times New Roman"/>
      <w:sz w:val="20"/>
      <w:szCs w:val="20"/>
      <w:lang w:eastAsia="fr-FR" w:bidi="ar-SA"/>
    </w:rPr>
  </w:style>
  <w:style w:type="character" w:customStyle="1" w:styleId="Retrait1Car">
    <w:name w:val="Retrait 1 Car"/>
    <w:link w:val="Retrait1"/>
    <w:locked/>
    <w:rsid w:val="00BB49EE"/>
    <w:rPr>
      <w:rFonts w:ascii="Arial" w:eastAsia="Times New Roman" w:hAnsi="Arial" w:cs="Times New Roman"/>
      <w:sz w:val="20"/>
      <w:szCs w:val="20"/>
      <w:lang w:val="fr-FR" w:eastAsia="fr-FR"/>
    </w:rPr>
  </w:style>
  <w:style w:type="paragraph" w:customStyle="1" w:styleId="puce23">
    <w:name w:val="puce 2"/>
    <w:basedOn w:val="Normal"/>
    <w:uiPriority w:val="99"/>
    <w:rsid w:val="00BB49EE"/>
    <w:pPr>
      <w:tabs>
        <w:tab w:val="num" w:pos="926"/>
        <w:tab w:val="num" w:pos="1418"/>
      </w:tabs>
      <w:autoSpaceDE w:val="0"/>
      <w:autoSpaceDN w:val="0"/>
      <w:adjustRightInd w:val="0"/>
      <w:spacing w:after="0" w:line="240" w:lineRule="auto"/>
      <w:ind w:left="1418" w:hanging="284"/>
    </w:pPr>
    <w:rPr>
      <w:rFonts w:ascii="Arial" w:hAnsi="Arial" w:cs="Tahoma"/>
      <w:szCs w:val="20"/>
      <w:lang w:eastAsia="fr-FR" w:bidi="ar-SA"/>
    </w:rPr>
  </w:style>
  <w:style w:type="paragraph" w:customStyle="1" w:styleId="Grandinterlude">
    <w:name w:val="Grand interlude"/>
    <w:basedOn w:val="Normal"/>
    <w:rsid w:val="00BB49EE"/>
    <w:pPr>
      <w:autoSpaceDE w:val="0"/>
      <w:autoSpaceDN w:val="0"/>
      <w:adjustRightInd w:val="0"/>
      <w:spacing w:before="0" w:after="0" w:line="240" w:lineRule="auto"/>
    </w:pPr>
    <w:rPr>
      <w:rFonts w:ascii="Arial" w:hAnsi="Arial" w:cs="Times New Roman"/>
      <w:szCs w:val="20"/>
      <w:lang w:eastAsia="fr-FR" w:bidi="ar-SA"/>
    </w:rPr>
  </w:style>
  <w:style w:type="character" w:customStyle="1" w:styleId="hps">
    <w:name w:val="hps"/>
    <w:basedOn w:val="Policepardfaut"/>
    <w:rsid w:val="00BB49EE"/>
    <w:rPr>
      <w:rFonts w:cs="Times New Roman"/>
    </w:rPr>
  </w:style>
  <w:style w:type="table" w:customStyle="1" w:styleId="TableauGrille1Clair-Accentuation612">
    <w:name w:val="Tableau Grille 1 Clair - Accentuation 612"/>
    <w:basedOn w:val="TableauNormal"/>
    <w:uiPriority w:val="46"/>
    <w:rsid w:val="00BB49EE"/>
    <w:pPr>
      <w:spacing w:after="0" w:line="240" w:lineRule="auto"/>
    </w:pPr>
    <w:rPr>
      <w:rFonts w:ascii="Calibri" w:eastAsia="Calibri" w:hAnsi="Calibri" w:cs="Arial"/>
      <w:lang w:val="fr-FR"/>
    </w:rPr>
    <w:tblPr>
      <w:tblStyleRowBandSize w:val="1"/>
      <w:tblStyleColBandSize w:val="1"/>
      <w:tblBorders>
        <w:top w:val="single" w:sz="4" w:space="0" w:color="C5E0B3"/>
        <w:left w:val="single" w:sz="4" w:space="0" w:color="C5E0B3"/>
        <w:bottom w:val="single" w:sz="4" w:space="0" w:color="C5E0B3"/>
        <w:right w:val="single" w:sz="4" w:space="0" w:color="C5E0B3"/>
        <w:insideH w:val="single" w:sz="4" w:space="0" w:color="C5E0B3"/>
        <w:insideV w:val="single" w:sz="4" w:space="0" w:color="C5E0B3"/>
      </w:tblBorders>
    </w:tblPr>
    <w:tblStylePr w:type="firstRow">
      <w:rPr>
        <w:b/>
        <w:bCs/>
      </w:rPr>
      <w:tblPr/>
      <w:tcPr>
        <w:tcBorders>
          <w:bottom w:val="single" w:sz="12" w:space="0" w:color="A8D08D"/>
        </w:tcBorders>
      </w:tcPr>
    </w:tblStylePr>
    <w:tblStylePr w:type="lastRow">
      <w:rPr>
        <w:b/>
        <w:bCs/>
      </w:rPr>
      <w:tblPr/>
      <w:tcPr>
        <w:tcBorders>
          <w:top w:val="double" w:sz="2" w:space="0" w:color="A8D08D"/>
        </w:tcBorders>
      </w:tcPr>
    </w:tblStylePr>
    <w:tblStylePr w:type="firstCol">
      <w:rPr>
        <w:b/>
        <w:bCs/>
      </w:rPr>
    </w:tblStylePr>
    <w:tblStylePr w:type="lastCol">
      <w:rPr>
        <w:b/>
        <w:bCs/>
      </w:rPr>
    </w:tblStylePr>
  </w:style>
  <w:style w:type="character" w:customStyle="1" w:styleId="mw-headline">
    <w:name w:val="mw-headline"/>
    <w:basedOn w:val="Policepardfaut"/>
    <w:rsid w:val="00BB49EE"/>
  </w:style>
  <w:style w:type="character" w:customStyle="1" w:styleId="mw-editsection">
    <w:name w:val="mw-editsection"/>
    <w:basedOn w:val="Policepardfaut"/>
    <w:rsid w:val="00BB49EE"/>
  </w:style>
  <w:style w:type="character" w:customStyle="1" w:styleId="mw-editsection-bracket">
    <w:name w:val="mw-editsection-bracket"/>
    <w:basedOn w:val="Policepardfaut"/>
    <w:rsid w:val="00BB49EE"/>
  </w:style>
  <w:style w:type="character" w:customStyle="1" w:styleId="mw-editsection-divider">
    <w:name w:val="mw-editsection-divider"/>
    <w:basedOn w:val="Policepardfaut"/>
    <w:rsid w:val="00BB49EE"/>
  </w:style>
  <w:style w:type="paragraph" w:customStyle="1" w:styleId="Encadr">
    <w:name w:val="Encadré"/>
    <w:basedOn w:val="Normal"/>
    <w:rsid w:val="00BB49EE"/>
    <w:pPr>
      <w:pBdr>
        <w:top w:val="single" w:sz="6" w:space="10" w:color="1F497D" w:shadow="1"/>
        <w:left w:val="single" w:sz="6" w:space="10" w:color="1F497D" w:shadow="1"/>
        <w:bottom w:val="single" w:sz="6" w:space="10" w:color="1F497D" w:shadow="1"/>
        <w:right w:val="single" w:sz="6" w:space="10" w:color="1F497D" w:shadow="1"/>
      </w:pBdr>
      <w:autoSpaceDE w:val="0"/>
      <w:autoSpaceDN w:val="0"/>
      <w:adjustRightInd w:val="0"/>
      <w:spacing w:before="220" w:after="0" w:line="360" w:lineRule="auto"/>
    </w:pPr>
    <w:rPr>
      <w:rFonts w:cs="Calibri"/>
      <w:szCs w:val="20"/>
      <w:lang w:eastAsia="fr-FR" w:bidi="ar-SA"/>
    </w:rPr>
  </w:style>
  <w:style w:type="paragraph" w:customStyle="1" w:styleId="Italique">
    <w:name w:val="Italique"/>
    <w:basedOn w:val="Normal"/>
    <w:rsid w:val="00BB49EE"/>
    <w:pPr>
      <w:autoSpaceDE w:val="0"/>
      <w:autoSpaceDN w:val="0"/>
      <w:adjustRightInd w:val="0"/>
      <w:spacing w:before="220" w:after="0" w:line="360" w:lineRule="auto"/>
    </w:pPr>
    <w:rPr>
      <w:rFonts w:cs="Calibri"/>
      <w:i/>
      <w:szCs w:val="20"/>
      <w:lang w:eastAsia="fr-FR" w:bidi="ar-SA"/>
    </w:rPr>
  </w:style>
  <w:style w:type="paragraph" w:customStyle="1" w:styleId="ListePuces1encadr">
    <w:name w:val="Liste à Puces 1 encadré"/>
    <w:basedOn w:val="ListePuces1"/>
    <w:rsid w:val="00BB49EE"/>
    <w:pPr>
      <w:pBdr>
        <w:top w:val="single" w:sz="6" w:space="10" w:color="1F497D" w:shadow="1"/>
        <w:left w:val="single" w:sz="6" w:space="10" w:color="1F497D" w:shadow="1"/>
        <w:bottom w:val="single" w:sz="6" w:space="10" w:color="1F497D" w:shadow="1"/>
        <w:right w:val="single" w:sz="6" w:space="10" w:color="1F497D" w:shadow="1"/>
      </w:pBdr>
      <w:autoSpaceDE w:val="0"/>
      <w:autoSpaceDN w:val="0"/>
      <w:adjustRightInd w:val="0"/>
      <w:spacing w:before="100" w:beforeAutospacing="1" w:after="100" w:afterAutospacing="1"/>
      <w:ind w:left="432" w:hanging="432"/>
      <w:jc w:val="both"/>
    </w:pPr>
    <w:rPr>
      <w:rFonts w:eastAsia="Calibri"/>
      <w:szCs w:val="22"/>
    </w:rPr>
  </w:style>
  <w:style w:type="numbering" w:customStyle="1" w:styleId="STYLEDELISTEPARARAGRAPHE">
    <w:name w:val="STYLE DE LISTE PARARAGRAPHE"/>
    <w:basedOn w:val="Aucuneliste"/>
    <w:uiPriority w:val="99"/>
    <w:rsid w:val="00BB49EE"/>
    <w:pPr>
      <w:numPr>
        <w:numId w:val="78"/>
      </w:numPr>
    </w:pPr>
  </w:style>
  <w:style w:type="paragraph" w:customStyle="1" w:styleId="Normalsansretrait">
    <w:name w:val="Normal sans retrait"/>
    <w:basedOn w:val="Normal"/>
    <w:qFormat/>
    <w:rsid w:val="00BB49EE"/>
    <w:pPr>
      <w:autoSpaceDE w:val="0"/>
      <w:autoSpaceDN w:val="0"/>
      <w:adjustRightInd w:val="0"/>
      <w:spacing w:line="360" w:lineRule="auto"/>
    </w:pPr>
    <w:rPr>
      <w:rFonts w:eastAsia="Calibri" w:cs="Times New Roman"/>
      <w:color w:val="44484B"/>
      <w:szCs w:val="24"/>
      <w:lang w:eastAsia="fr-FR" w:bidi="ar-SA"/>
    </w:rPr>
  </w:style>
  <w:style w:type="paragraph" w:customStyle="1" w:styleId="Listeflches">
    <w:name w:val="Liste à flèches"/>
    <w:basedOn w:val="Liste"/>
    <w:qFormat/>
    <w:rsid w:val="00BB49EE"/>
    <w:pPr>
      <w:numPr>
        <w:numId w:val="79"/>
      </w:numPr>
      <w:tabs>
        <w:tab w:val="clear" w:pos="227"/>
      </w:tabs>
      <w:autoSpaceDE w:val="0"/>
      <w:autoSpaceDN w:val="0"/>
      <w:adjustRightInd w:val="0"/>
      <w:spacing w:before="120" w:after="120" w:line="288" w:lineRule="exact"/>
      <w:ind w:left="360" w:hanging="360"/>
      <w:contextualSpacing/>
      <w:jc w:val="both"/>
    </w:pPr>
    <w:rPr>
      <w:rFonts w:ascii="Calibri" w:eastAsia="Calibri" w:hAnsi="Calibri" w:cs="Times New Roman"/>
      <w:b/>
      <w:noProof w:val="0"/>
      <w:color w:val="6E87A9"/>
      <w:szCs w:val="24"/>
    </w:rPr>
  </w:style>
  <w:style w:type="paragraph" w:customStyle="1" w:styleId="Listeflches3">
    <w:name w:val="Liste à flèches 3"/>
    <w:basedOn w:val="Liste3"/>
    <w:qFormat/>
    <w:rsid w:val="00BB49EE"/>
    <w:pPr>
      <w:numPr>
        <w:numId w:val="80"/>
      </w:numPr>
      <w:tabs>
        <w:tab w:val="clear" w:pos="680"/>
      </w:tabs>
      <w:spacing w:before="60" w:after="60" w:line="240" w:lineRule="auto"/>
      <w:ind w:left="714" w:hanging="357"/>
    </w:pPr>
    <w:rPr>
      <w:rFonts w:eastAsia="Calibri" w:cs="Times New Roman"/>
      <w:szCs w:val="24"/>
    </w:rPr>
  </w:style>
  <w:style w:type="paragraph" w:customStyle="1" w:styleId="StyleStyleTitre2">
    <w:name w:val="Style Style Titre 2"/>
    <w:aliases w:val="Paranum + 14 pt Non Gras Après : 18 pt Interlig..."/>
    <w:basedOn w:val="Normal"/>
    <w:autoRedefine/>
    <w:rsid w:val="00BB49EE"/>
    <w:pPr>
      <w:numPr>
        <w:ilvl w:val="1"/>
        <w:numId w:val="78"/>
      </w:numPr>
      <w:autoSpaceDE w:val="0"/>
      <w:autoSpaceDN w:val="0"/>
      <w:adjustRightInd w:val="0"/>
      <w:spacing w:before="240" w:after="240" w:line="360" w:lineRule="auto"/>
      <w:outlineLvl w:val="1"/>
    </w:pPr>
    <w:rPr>
      <w:rFonts w:cs="Times New Roman"/>
      <w:caps/>
      <w:sz w:val="28"/>
      <w:szCs w:val="20"/>
      <w:lang w:val="pt-PT" w:eastAsia="fr-FR" w:bidi="ar-SA"/>
    </w:rPr>
  </w:style>
  <w:style w:type="paragraph" w:styleId="Liste3">
    <w:name w:val="List 3"/>
    <w:basedOn w:val="Normal"/>
    <w:uiPriority w:val="99"/>
    <w:semiHidden/>
    <w:unhideWhenUsed/>
    <w:rsid w:val="00BB49EE"/>
    <w:pPr>
      <w:autoSpaceDE w:val="0"/>
      <w:autoSpaceDN w:val="0"/>
      <w:adjustRightInd w:val="0"/>
      <w:spacing w:before="220" w:after="0" w:line="360" w:lineRule="auto"/>
      <w:ind w:left="849" w:hanging="283"/>
      <w:contextualSpacing/>
    </w:pPr>
    <w:rPr>
      <w:rFonts w:cs="Calibri"/>
      <w:szCs w:val="20"/>
      <w:lang w:eastAsia="fr-FR" w:bidi="ar-SA"/>
    </w:rPr>
  </w:style>
  <w:style w:type="character" w:customStyle="1" w:styleId="Style3Car">
    <w:name w:val="Style3 Car"/>
    <w:basedOn w:val="ParagraphedelisteCar"/>
    <w:link w:val="Style3"/>
    <w:rsid w:val="00BB49EE"/>
    <w:rPr>
      <w:rFonts w:ascii="Arial Gras" w:eastAsia="Times New Roman" w:hAnsi="Arial Gras" w:cs="Times New Roman"/>
      <w:b/>
      <w:bCs/>
      <w:i/>
      <w:iCs/>
      <w:caps/>
      <w:color w:val="943634"/>
      <w:kern w:val="32"/>
      <w:sz w:val="52"/>
      <w:szCs w:val="52"/>
      <w:u w:val="single"/>
      <w:lang w:val="x-none" w:eastAsia="x-none" w:bidi="en-US"/>
    </w:rPr>
  </w:style>
  <w:style w:type="paragraph" w:customStyle="1" w:styleId="StyleNOVEC">
    <w:name w:val="Style NOVEC"/>
    <w:basedOn w:val="Normal"/>
    <w:link w:val="StyleNOVECCar"/>
    <w:qFormat/>
    <w:rsid w:val="00BB49EE"/>
    <w:pPr>
      <w:autoSpaceDE w:val="0"/>
      <w:autoSpaceDN w:val="0"/>
      <w:adjustRightInd w:val="0"/>
      <w:spacing w:before="0" w:after="0" w:line="360" w:lineRule="auto"/>
    </w:pPr>
    <w:rPr>
      <w:rFonts w:cs="Calibri"/>
      <w:color w:val="000000"/>
      <w:sz w:val="23"/>
      <w:szCs w:val="23"/>
      <w:lang w:eastAsia="fr-FR" w:bidi="ar-SA"/>
    </w:rPr>
  </w:style>
  <w:style w:type="character" w:customStyle="1" w:styleId="StyleNOVECCar">
    <w:name w:val="Style NOVEC Car"/>
    <w:basedOn w:val="Policepardfaut"/>
    <w:link w:val="StyleNOVEC"/>
    <w:rsid w:val="00BB49EE"/>
    <w:rPr>
      <w:rFonts w:ascii="Calibri" w:eastAsia="Times New Roman" w:hAnsi="Calibri" w:cs="Calibri"/>
      <w:color w:val="000000"/>
      <w:sz w:val="23"/>
      <w:szCs w:val="23"/>
      <w:lang w:val="fr-FR" w:eastAsia="fr-FR"/>
    </w:rPr>
  </w:style>
  <w:style w:type="paragraph" w:customStyle="1" w:styleId="p1">
    <w:name w:val="p1"/>
    <w:basedOn w:val="puce1"/>
    <w:link w:val="p1Car"/>
    <w:rsid w:val="00BB49EE"/>
  </w:style>
  <w:style w:type="paragraph" w:customStyle="1" w:styleId="p2">
    <w:name w:val="p2"/>
    <w:basedOn w:val="ListePuces1"/>
    <w:link w:val="p2Car"/>
    <w:rsid w:val="00BB49EE"/>
    <w:pPr>
      <w:autoSpaceDE w:val="0"/>
      <w:autoSpaceDN w:val="0"/>
      <w:adjustRightInd w:val="0"/>
      <w:spacing w:line="360" w:lineRule="auto"/>
      <w:ind w:left="432" w:hanging="432"/>
      <w:jc w:val="both"/>
    </w:pPr>
  </w:style>
  <w:style w:type="character" w:customStyle="1" w:styleId="p1Car">
    <w:name w:val="p1 Car"/>
    <w:basedOn w:val="Policepardfaut"/>
    <w:link w:val="p1"/>
    <w:rsid w:val="00BB49EE"/>
    <w:rPr>
      <w:rFonts w:ascii="Calibri" w:eastAsia="Batang" w:hAnsi="Calibri" w:cs="Tahoma"/>
      <w:szCs w:val="20"/>
      <w:lang w:val="fr-FR" w:eastAsia="fr-FR"/>
    </w:rPr>
  </w:style>
  <w:style w:type="character" w:customStyle="1" w:styleId="p2Car">
    <w:name w:val="p2 Car"/>
    <w:basedOn w:val="Policepardfaut"/>
    <w:link w:val="p2"/>
    <w:rsid w:val="00BB49EE"/>
    <w:rPr>
      <w:rFonts w:ascii="Calibri" w:eastAsia="Times New Roman" w:hAnsi="Calibri" w:cs="Times"/>
      <w:szCs w:val="20"/>
      <w:lang w:val="fr-FR" w:eastAsia="fr-FR"/>
    </w:rPr>
  </w:style>
  <w:style w:type="character" w:customStyle="1" w:styleId="fontstyle31">
    <w:name w:val="fontstyle31"/>
    <w:basedOn w:val="Policepardfaut"/>
    <w:rsid w:val="00BB49EE"/>
    <w:rPr>
      <w:rFonts w:ascii="Wingdings" w:hAnsi="Wingdings" w:hint="default"/>
      <w:b w:val="0"/>
      <w:bCs w:val="0"/>
      <w:i w:val="0"/>
      <w:iCs w:val="0"/>
      <w:color w:val="000000"/>
      <w:sz w:val="22"/>
      <w:szCs w:val="22"/>
    </w:rPr>
  </w:style>
  <w:style w:type="paragraph" w:customStyle="1" w:styleId="Listepuce2">
    <w:name w:val="Liste à puce 2"/>
    <w:basedOn w:val="Normal"/>
    <w:link w:val="Listepuce2Char"/>
    <w:qFormat/>
    <w:rsid w:val="00BB49EE"/>
    <w:pPr>
      <w:numPr>
        <w:numId w:val="81"/>
      </w:numPr>
      <w:autoSpaceDE w:val="0"/>
      <w:autoSpaceDN w:val="0"/>
      <w:adjustRightInd w:val="0"/>
      <w:spacing w:before="20" w:after="20" w:line="360" w:lineRule="auto"/>
    </w:pPr>
    <w:rPr>
      <w:rFonts w:eastAsia="Batang" w:cs="Times New Roman"/>
      <w:szCs w:val="20"/>
      <w:lang w:eastAsia="fr-FR" w:bidi="ar-SA"/>
    </w:rPr>
  </w:style>
  <w:style w:type="character" w:customStyle="1" w:styleId="Listepuce2Char">
    <w:name w:val="Liste à puce 2 Char"/>
    <w:link w:val="Listepuce2"/>
    <w:rsid w:val="00BB49EE"/>
    <w:rPr>
      <w:rFonts w:ascii="Calibri" w:eastAsia="Batang" w:hAnsi="Calibri" w:cs="Times New Roman"/>
      <w:szCs w:val="20"/>
      <w:lang w:val="fr-FR" w:eastAsia="fr-FR"/>
    </w:rPr>
  </w:style>
  <w:style w:type="paragraph" w:customStyle="1" w:styleId="ap">
    <w:name w:val="ap"/>
    <w:basedOn w:val="Paragraphedeliste"/>
    <w:link w:val="apCar"/>
    <w:qFormat/>
    <w:rsid w:val="00BB49EE"/>
    <w:pPr>
      <w:numPr>
        <w:numId w:val="82"/>
      </w:numPr>
      <w:autoSpaceDE w:val="0"/>
      <w:autoSpaceDN w:val="0"/>
      <w:adjustRightInd w:val="0"/>
      <w:spacing w:before="20" w:after="20" w:line="360" w:lineRule="auto"/>
    </w:pPr>
    <w:rPr>
      <w:rFonts w:eastAsia="Batang" w:cs="Calibri"/>
      <w:szCs w:val="20"/>
      <w:lang w:eastAsia="fr-FR"/>
    </w:rPr>
  </w:style>
  <w:style w:type="character" w:customStyle="1" w:styleId="apCar">
    <w:name w:val="ap Car"/>
    <w:basedOn w:val="ParagraphedelisteCar"/>
    <w:link w:val="ap"/>
    <w:rsid w:val="00BB49EE"/>
    <w:rPr>
      <w:rFonts w:ascii="Calibri" w:eastAsia="Batang" w:hAnsi="Calibri" w:cs="Calibri"/>
      <w:szCs w:val="20"/>
      <w:lang w:val="fr-FR" w:eastAsia="fr-FR" w:bidi="en-US"/>
    </w:rPr>
  </w:style>
  <w:style w:type="character" w:customStyle="1" w:styleId="Accentuationintense1">
    <w:name w:val="Accentuation intense1"/>
    <w:basedOn w:val="Policepardfaut"/>
    <w:uiPriority w:val="21"/>
    <w:qFormat/>
    <w:rsid w:val="00BB49EE"/>
    <w:rPr>
      <w:b/>
      <w:bCs/>
      <w:i/>
      <w:iCs/>
      <w:color w:val="4472C4"/>
    </w:rPr>
  </w:style>
  <w:style w:type="table" w:customStyle="1" w:styleId="Tramemoyenne1-Accent31">
    <w:name w:val="Trame moyenne 1 - Accent 31"/>
    <w:basedOn w:val="TableauNormal"/>
    <w:next w:val="Tramemoyenne1-Accent3"/>
    <w:uiPriority w:val="63"/>
    <w:rsid w:val="00BB49EE"/>
    <w:pPr>
      <w:spacing w:after="0" w:line="240" w:lineRule="auto"/>
    </w:pPr>
    <w:rPr>
      <w:rFonts w:ascii="Calibri" w:eastAsia="Calibri" w:hAnsi="Calibri" w:cs="Arial"/>
      <w:lang w:val="fr-FR"/>
    </w:rPr>
    <w:tblPr>
      <w:tblStyleRowBandSize w:val="1"/>
      <w:tblStyleColBandSize w:val="1"/>
      <w:tblBorders>
        <w:top w:val="single" w:sz="8" w:space="0" w:color="BBBBBB"/>
        <w:left w:val="single" w:sz="8" w:space="0" w:color="BBBBBB"/>
        <w:bottom w:val="single" w:sz="8" w:space="0" w:color="BBBBBB"/>
        <w:right w:val="single" w:sz="8" w:space="0" w:color="BBBBBB"/>
        <w:insideH w:val="single" w:sz="8" w:space="0" w:color="BBBBBB"/>
      </w:tblBorders>
    </w:tblPr>
    <w:tblStylePr w:type="firstRow">
      <w:pPr>
        <w:spacing w:before="0" w:after="0" w:line="240" w:lineRule="auto"/>
      </w:pPr>
      <w:rPr>
        <w:b/>
        <w:bCs/>
        <w:color w:val="FFFFFF"/>
      </w:rPr>
      <w:tblPr/>
      <w:tcPr>
        <w:tcBorders>
          <w:top w:val="single" w:sz="8" w:space="0" w:color="BBBBBB"/>
          <w:left w:val="single" w:sz="8" w:space="0" w:color="BBBBBB"/>
          <w:bottom w:val="single" w:sz="8" w:space="0" w:color="BBBBBB"/>
          <w:right w:val="single" w:sz="8" w:space="0" w:color="BBBBBB"/>
          <w:insideH w:val="nil"/>
          <w:insideV w:val="nil"/>
        </w:tcBorders>
        <w:shd w:val="clear" w:color="auto" w:fill="A5A5A5"/>
      </w:tcPr>
    </w:tblStylePr>
    <w:tblStylePr w:type="lastRow">
      <w:pPr>
        <w:spacing w:before="0" w:after="0" w:line="240" w:lineRule="auto"/>
      </w:pPr>
      <w:rPr>
        <w:b/>
        <w:bCs/>
      </w:rPr>
      <w:tblPr/>
      <w:tcPr>
        <w:tcBorders>
          <w:top w:val="double" w:sz="6" w:space="0" w:color="BBBBBB"/>
          <w:left w:val="single" w:sz="8" w:space="0" w:color="BBBBBB"/>
          <w:bottom w:val="single" w:sz="8" w:space="0" w:color="BBBBBB"/>
          <w:right w:val="single" w:sz="8" w:space="0" w:color="BBBBBB"/>
          <w:insideH w:val="nil"/>
          <w:insideV w:val="nil"/>
        </w:tcBorders>
      </w:tcPr>
    </w:tblStylePr>
    <w:tblStylePr w:type="firstCol">
      <w:rPr>
        <w:b/>
        <w:bCs/>
      </w:rPr>
    </w:tblStylePr>
    <w:tblStylePr w:type="lastCol">
      <w:rPr>
        <w:b/>
        <w:bCs/>
      </w:rPr>
    </w:tblStylePr>
    <w:tblStylePr w:type="band1Vert">
      <w:tblPr/>
      <w:tcPr>
        <w:shd w:val="clear" w:color="auto" w:fill="E8E8E8"/>
      </w:tcPr>
    </w:tblStylePr>
    <w:tblStylePr w:type="band1Horz">
      <w:tblPr/>
      <w:tcPr>
        <w:tcBorders>
          <w:insideH w:val="nil"/>
          <w:insideV w:val="nil"/>
        </w:tcBorders>
        <w:shd w:val="clear" w:color="auto" w:fill="E8E8E8"/>
      </w:tcPr>
    </w:tblStylePr>
    <w:tblStylePr w:type="band2Horz">
      <w:tblPr/>
      <w:tcPr>
        <w:tcBorders>
          <w:insideH w:val="nil"/>
          <w:insideV w:val="nil"/>
        </w:tcBorders>
      </w:tcPr>
    </w:tblStylePr>
  </w:style>
  <w:style w:type="table" w:customStyle="1" w:styleId="Tramemoyenne2-Accent31">
    <w:name w:val="Trame moyenne 2 - Accent 31"/>
    <w:basedOn w:val="TableauNormal"/>
    <w:next w:val="Tramemoyenne2-Accent3"/>
    <w:uiPriority w:val="64"/>
    <w:rsid w:val="00BB49EE"/>
    <w:pPr>
      <w:spacing w:after="0" w:line="240" w:lineRule="auto"/>
    </w:pPr>
    <w:rPr>
      <w:rFonts w:ascii="Calibri" w:eastAsia="Calibri" w:hAnsi="Calibri" w:cs="Arial"/>
      <w:lang w:val="fr-FR"/>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A5A5A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A5A5A5"/>
      </w:tcPr>
    </w:tblStylePr>
    <w:tblStylePr w:type="lastCol">
      <w:rPr>
        <w:b/>
        <w:bCs/>
        <w:color w:val="FFFFFF"/>
      </w:rPr>
      <w:tblPr/>
      <w:tcPr>
        <w:tcBorders>
          <w:left w:val="nil"/>
          <w:right w:val="nil"/>
          <w:insideH w:val="nil"/>
          <w:insideV w:val="nil"/>
        </w:tcBorders>
        <w:shd w:val="clear" w:color="auto" w:fill="A5A5A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paragraph" w:customStyle="1" w:styleId="puce1">
    <w:name w:val="puce 1"/>
    <w:basedOn w:val="Corpsdetexte"/>
    <w:link w:val="puce1Car0"/>
    <w:qFormat/>
    <w:rsid w:val="00BB49EE"/>
    <w:pPr>
      <w:numPr>
        <w:numId w:val="83"/>
      </w:numPr>
      <w:autoSpaceDE w:val="0"/>
      <w:autoSpaceDN w:val="0"/>
      <w:adjustRightInd w:val="0"/>
      <w:spacing w:before="120" w:after="0" w:line="360" w:lineRule="auto"/>
      <w:jc w:val="both"/>
    </w:pPr>
    <w:rPr>
      <w:rFonts w:eastAsia="Batang" w:cs="Tahoma"/>
      <w:szCs w:val="20"/>
      <w:lang w:val="fr-FR"/>
    </w:rPr>
  </w:style>
  <w:style w:type="character" w:customStyle="1" w:styleId="puce1Car0">
    <w:name w:val="puce 1 Car"/>
    <w:link w:val="puce1"/>
    <w:rsid w:val="00BB49EE"/>
    <w:rPr>
      <w:rFonts w:ascii="Calibri" w:eastAsia="Batang" w:hAnsi="Calibri" w:cs="Tahoma"/>
      <w:szCs w:val="20"/>
      <w:lang w:val="fr-FR" w:eastAsia="fr-FR"/>
    </w:rPr>
  </w:style>
  <w:style w:type="paragraph" w:customStyle="1" w:styleId="Souspartie">
    <w:name w:val="Sous partie"/>
    <w:basedOn w:val="Titre4"/>
    <w:link w:val="SouspartieCar"/>
    <w:qFormat/>
    <w:rsid w:val="00BB49EE"/>
    <w:pPr>
      <w:keepNext w:val="0"/>
      <w:numPr>
        <w:ilvl w:val="4"/>
        <w:numId w:val="84"/>
      </w:numPr>
      <w:autoSpaceDE w:val="0"/>
      <w:autoSpaceDN w:val="0"/>
      <w:adjustRightInd w:val="0"/>
      <w:spacing w:line="240" w:lineRule="auto"/>
      <w:ind w:left="1872" w:hanging="454"/>
      <w:jc w:val="left"/>
      <w:outlineLvl w:val="5"/>
    </w:pPr>
    <w:rPr>
      <w:rFonts w:ascii="Calibri" w:hAnsi="Calibri" w:cs="Calibri"/>
      <w:iCs w:val="0"/>
      <w:color w:val="E76E13"/>
      <w:sz w:val="22"/>
      <w:szCs w:val="23"/>
      <w:u w:val="single"/>
      <w:lang w:eastAsia="fr-FR" w:bidi="ar-SA"/>
    </w:rPr>
  </w:style>
  <w:style w:type="character" w:customStyle="1" w:styleId="SouspartieCar">
    <w:name w:val="Sous partie Car"/>
    <w:basedOn w:val="Policepardfaut"/>
    <w:link w:val="Souspartie"/>
    <w:rsid w:val="00BB49EE"/>
    <w:rPr>
      <w:rFonts w:ascii="Calibri" w:eastAsia="Times New Roman" w:hAnsi="Calibri" w:cs="Calibri"/>
      <w:b/>
      <w:bCs/>
      <w:i/>
      <w:color w:val="E76E13"/>
      <w:szCs w:val="23"/>
      <w:u w:val="single"/>
      <w:lang w:val="fr-FR" w:eastAsia="fr-FR"/>
    </w:rPr>
  </w:style>
  <w:style w:type="paragraph" w:customStyle="1" w:styleId="paragraph">
    <w:name w:val="paragraph"/>
    <w:basedOn w:val="Normal"/>
    <w:rsid w:val="00BB49EE"/>
    <w:pPr>
      <w:spacing w:before="100" w:beforeAutospacing="1" w:after="100" w:afterAutospacing="1" w:line="240" w:lineRule="auto"/>
      <w:jc w:val="left"/>
    </w:pPr>
    <w:rPr>
      <w:rFonts w:ascii="Times New Roman" w:hAnsi="Times New Roman" w:cs="Times New Roman"/>
      <w:sz w:val="24"/>
      <w:szCs w:val="24"/>
      <w:lang w:eastAsia="fr-FR" w:bidi="ar-SA"/>
    </w:rPr>
  </w:style>
  <w:style w:type="character" w:customStyle="1" w:styleId="normaltextrun">
    <w:name w:val="normaltextrun"/>
    <w:basedOn w:val="Policepardfaut"/>
    <w:rsid w:val="00BB49EE"/>
  </w:style>
  <w:style w:type="character" w:customStyle="1" w:styleId="eop">
    <w:name w:val="eop"/>
    <w:basedOn w:val="Policepardfaut"/>
    <w:rsid w:val="00BB49EE"/>
  </w:style>
  <w:style w:type="table" w:customStyle="1" w:styleId="TableNormal111">
    <w:name w:val="Table Normal111"/>
    <w:uiPriority w:val="2"/>
    <w:semiHidden/>
    <w:unhideWhenUsed/>
    <w:qFormat/>
    <w:rsid w:val="00BB49EE"/>
    <w:pPr>
      <w:widowControl w:val="0"/>
      <w:autoSpaceDE w:val="0"/>
      <w:autoSpaceDN w:val="0"/>
      <w:spacing w:after="0" w:line="240" w:lineRule="auto"/>
    </w:pPr>
    <w:rPr>
      <w:rFonts w:ascii="Calibri" w:eastAsia="Calibri" w:hAnsi="Calibri" w:cs="Arial"/>
      <w:lang w:val="en-US"/>
    </w:rPr>
    <w:tblPr>
      <w:tblInd w:w="0" w:type="dxa"/>
      <w:tblCellMar>
        <w:top w:w="0" w:type="dxa"/>
        <w:left w:w="0" w:type="dxa"/>
        <w:bottom w:w="0" w:type="dxa"/>
        <w:right w:w="0" w:type="dxa"/>
      </w:tblCellMar>
    </w:tblPr>
  </w:style>
  <w:style w:type="table" w:customStyle="1" w:styleId="Grilledetableauclaire2">
    <w:name w:val="Grille de tableau claire2"/>
    <w:basedOn w:val="TableauNormal"/>
    <w:next w:val="Grilledetableauclaire"/>
    <w:uiPriority w:val="40"/>
    <w:rsid w:val="00BB49EE"/>
    <w:pPr>
      <w:spacing w:after="0" w:line="240" w:lineRule="auto"/>
    </w:pPr>
    <w:rPr>
      <w:rFonts w:ascii="Calibri" w:eastAsia="Times New Roman" w:hAnsi="Calibri" w:cs="Arial"/>
      <w:sz w:val="20"/>
      <w:szCs w:val="20"/>
      <w:lang w:val="fr-FR" w:eastAsia="fr-FR"/>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customStyle="1" w:styleId="titredoc0">
    <w:name w:val="titre_doc"/>
    <w:basedOn w:val="Normal"/>
    <w:uiPriority w:val="99"/>
    <w:rsid w:val="00BB49EE"/>
    <w:pPr>
      <w:spacing w:before="240" w:after="240" w:line="240" w:lineRule="auto"/>
      <w:jc w:val="center"/>
    </w:pPr>
    <w:rPr>
      <w:rFonts w:ascii="Arial" w:hAnsi="Arial"/>
      <w:b/>
      <w:bCs/>
      <w:caps/>
      <w:sz w:val="28"/>
      <w:szCs w:val="28"/>
      <w:lang w:eastAsia="fr-FR" w:bidi="ar-SA"/>
    </w:rPr>
  </w:style>
  <w:style w:type="character" w:customStyle="1" w:styleId="text-bold">
    <w:name w:val="text-bold"/>
    <w:basedOn w:val="Policepardfaut"/>
    <w:rsid w:val="00BB49EE"/>
  </w:style>
  <w:style w:type="paragraph" w:customStyle="1" w:styleId="Para10">
    <w:name w:val="Para_1"/>
    <w:basedOn w:val="Normal"/>
    <w:rsid w:val="00BB49EE"/>
    <w:pPr>
      <w:spacing w:before="240" w:after="0" w:line="240" w:lineRule="auto"/>
    </w:pPr>
    <w:rPr>
      <w:rFonts w:ascii="Arial" w:hAnsi="Arial"/>
      <w:bCs/>
      <w:noProof/>
      <w:szCs w:val="20"/>
      <w:lang w:val="en-GB" w:eastAsia="fr-FR" w:bidi="ar-SA"/>
    </w:rPr>
  </w:style>
  <w:style w:type="paragraph" w:customStyle="1" w:styleId="msonormal0">
    <w:name w:val="msonormal"/>
    <w:basedOn w:val="Normal"/>
    <w:rsid w:val="00BB49EE"/>
    <w:pPr>
      <w:spacing w:before="100" w:beforeAutospacing="1" w:after="100" w:afterAutospacing="1" w:line="240" w:lineRule="auto"/>
      <w:jc w:val="left"/>
    </w:pPr>
    <w:rPr>
      <w:rFonts w:ascii="Times New Roman" w:hAnsi="Times New Roman" w:cs="Times New Roman"/>
      <w:sz w:val="24"/>
      <w:szCs w:val="24"/>
      <w:lang w:eastAsia="fr-FR" w:bidi="ar-SA"/>
    </w:rPr>
  </w:style>
  <w:style w:type="table" w:customStyle="1" w:styleId="Grilledutableau21">
    <w:name w:val="Grille du tableau21"/>
    <w:basedOn w:val="TableauNormal"/>
    <w:next w:val="Grilledutableau"/>
    <w:uiPriority w:val="39"/>
    <w:rsid w:val="00BB49EE"/>
    <w:pPr>
      <w:spacing w:after="0" w:line="240" w:lineRule="auto"/>
    </w:pPr>
    <w:rPr>
      <w:rFonts w:ascii="Times New Roman" w:eastAsia="Times New Roman" w:hAnsi="Times New Roman" w:cs="Times New Roman"/>
      <w:sz w:val="20"/>
      <w:szCs w:val="20"/>
      <w:lang w:val="fr-FR"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
    <w:name w:val="Grille du tableau3"/>
    <w:basedOn w:val="TableauNormal"/>
    <w:next w:val="Grilledutableau"/>
    <w:uiPriority w:val="39"/>
    <w:rsid w:val="00BB49EE"/>
    <w:pPr>
      <w:spacing w:after="0" w:line="240" w:lineRule="auto"/>
    </w:pPr>
    <w:rPr>
      <w:rFonts w:ascii="Times New Roman" w:eastAsia="Times New Roman" w:hAnsi="Times New Roman" w:cs="Times New Roman"/>
      <w:sz w:val="20"/>
      <w:szCs w:val="20"/>
      <w:lang w:val="fr-FR"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
    <w:name w:val="Grille du tableau4"/>
    <w:basedOn w:val="TableauNormal"/>
    <w:next w:val="Grilledutableau"/>
    <w:uiPriority w:val="39"/>
    <w:rsid w:val="00BB49EE"/>
    <w:pPr>
      <w:spacing w:after="0" w:line="240" w:lineRule="auto"/>
    </w:pPr>
    <w:rPr>
      <w:rFonts w:ascii="Times New Roman" w:eastAsia="Times New Roman" w:hAnsi="Times New Roman" w:cs="Times New Roman"/>
      <w:sz w:val="20"/>
      <w:szCs w:val="20"/>
      <w:lang w:val="fr-FR"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auGrille5Fonc-Accentuation511">
    <w:name w:val="Tableau Grille 5 Foncé - Accentuation 511"/>
    <w:basedOn w:val="TableauNormal"/>
    <w:next w:val="TableauGrille5Fonc-Accentuation5"/>
    <w:uiPriority w:val="50"/>
    <w:rsid w:val="00BB49EE"/>
    <w:pPr>
      <w:spacing w:after="0" w:line="240" w:lineRule="auto"/>
    </w:pPr>
    <w:rPr>
      <w:rFonts w:ascii="Calibri" w:eastAsia="Times New Roman" w:hAnsi="Calibri" w:cs="Arial"/>
      <w:sz w:val="20"/>
      <w:szCs w:val="20"/>
      <w:lang w:val="fr-FR" w:eastAsia="fr-FR"/>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table" w:customStyle="1" w:styleId="TableauGrille4-Accentuation51">
    <w:name w:val="Tableau Grille 4 - Accentuation 51"/>
    <w:basedOn w:val="TableauNormal"/>
    <w:next w:val="TableauGrille4-Accentuation5"/>
    <w:uiPriority w:val="49"/>
    <w:rsid w:val="00BB49EE"/>
    <w:pPr>
      <w:spacing w:after="0" w:line="240" w:lineRule="auto"/>
    </w:pPr>
    <w:rPr>
      <w:rFonts w:ascii="Calibri" w:eastAsia="Times New Roman" w:hAnsi="Calibri" w:cs="Arial"/>
      <w:sz w:val="20"/>
      <w:szCs w:val="20"/>
      <w:lang w:val="fr-FR" w:eastAsia="fr-FR"/>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leauGrille5Fonc-Accentuation61">
    <w:name w:val="Tableau Grille 5 Foncé - Accentuation 61"/>
    <w:basedOn w:val="TableauNormal"/>
    <w:next w:val="TableauGrille5Fonc-Accentuation6"/>
    <w:uiPriority w:val="50"/>
    <w:rsid w:val="00BB49EE"/>
    <w:pPr>
      <w:spacing w:after="0" w:line="240" w:lineRule="auto"/>
    </w:pPr>
    <w:rPr>
      <w:rFonts w:ascii="Calibri" w:eastAsia="Calibri" w:hAnsi="Calibri" w:cs="Arial"/>
      <w:lang w:val="fr-FR"/>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2EFD9"/>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70AD47"/>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70AD47"/>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70AD47"/>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70AD47"/>
      </w:tcPr>
    </w:tblStylePr>
    <w:tblStylePr w:type="band1Vert">
      <w:tblPr/>
      <w:tcPr>
        <w:shd w:val="clear" w:color="auto" w:fill="C5E0B3"/>
      </w:tcPr>
    </w:tblStylePr>
    <w:tblStylePr w:type="band1Horz">
      <w:tblPr/>
      <w:tcPr>
        <w:shd w:val="clear" w:color="auto" w:fill="C5E0B3"/>
      </w:tcPr>
    </w:tblStylePr>
  </w:style>
  <w:style w:type="paragraph" w:styleId="Listepuces5">
    <w:name w:val="List Bullet 5"/>
    <w:basedOn w:val="Normal"/>
    <w:semiHidden/>
    <w:unhideWhenUsed/>
    <w:rsid w:val="00BB49EE"/>
    <w:pPr>
      <w:tabs>
        <w:tab w:val="num" w:pos="1800"/>
      </w:tabs>
      <w:spacing w:before="100" w:beforeAutospacing="1" w:after="100" w:afterAutospacing="1"/>
      <w:ind w:left="1800" w:hanging="360"/>
      <w:contextualSpacing/>
    </w:pPr>
    <w:rPr>
      <w:szCs w:val="20"/>
      <w:lang w:eastAsia="fr-FR" w:bidi="ar-SA"/>
    </w:rPr>
  </w:style>
  <w:style w:type="character" w:customStyle="1" w:styleId="Accentuationintense2">
    <w:name w:val="Accentuation intense2"/>
    <w:basedOn w:val="Policepardfaut"/>
    <w:uiPriority w:val="21"/>
    <w:qFormat/>
    <w:rsid w:val="00BB49EE"/>
    <w:rPr>
      <w:i/>
      <w:iCs/>
      <w:color w:val="4A66AC"/>
    </w:rPr>
  </w:style>
  <w:style w:type="table" w:customStyle="1" w:styleId="Tramemoyenne1-Accent32">
    <w:name w:val="Trame moyenne 1 - Accent 32"/>
    <w:basedOn w:val="TableauNormal"/>
    <w:next w:val="Tramemoyenne1-Accent3"/>
    <w:uiPriority w:val="63"/>
    <w:unhideWhenUsed/>
    <w:rsid w:val="00BB49EE"/>
    <w:pPr>
      <w:spacing w:after="0" w:line="240" w:lineRule="auto"/>
    </w:pPr>
    <w:rPr>
      <w:rFonts w:ascii="Calibri" w:eastAsia="Times New Roman" w:hAnsi="Calibri" w:cs="Arial"/>
      <w:sz w:val="20"/>
      <w:szCs w:val="20"/>
      <w:lang w:val="fr-FR" w:eastAsia="fr-FR"/>
    </w:rPr>
    <w:tblPr>
      <w:tblStyleRowBandSize w:val="1"/>
      <w:tblStyleColBandSize w:val="1"/>
      <w:tblBorders>
        <w:top w:val="single" w:sz="8" w:space="0" w:color="5D9EE0"/>
        <w:left w:val="single" w:sz="8" w:space="0" w:color="5D9EE0"/>
        <w:bottom w:val="single" w:sz="8" w:space="0" w:color="5D9EE0"/>
        <w:right w:val="single" w:sz="8" w:space="0" w:color="5D9EE0"/>
        <w:insideH w:val="single" w:sz="8" w:space="0" w:color="5D9EE0"/>
      </w:tblBorders>
    </w:tblPr>
    <w:tblStylePr w:type="firstRow">
      <w:pPr>
        <w:spacing w:before="0" w:after="0" w:line="240" w:lineRule="auto"/>
      </w:pPr>
      <w:rPr>
        <w:b/>
        <w:bCs/>
        <w:color w:val="FFFFFF"/>
      </w:rPr>
      <w:tblPr/>
      <w:tcPr>
        <w:tcBorders>
          <w:top w:val="single" w:sz="8" w:space="0" w:color="5D9EE0"/>
          <w:left w:val="single" w:sz="8" w:space="0" w:color="5D9EE0"/>
          <w:bottom w:val="single" w:sz="8" w:space="0" w:color="5D9EE0"/>
          <w:right w:val="single" w:sz="8" w:space="0" w:color="5D9EE0"/>
          <w:insideH w:val="nil"/>
          <w:insideV w:val="nil"/>
        </w:tcBorders>
        <w:shd w:val="clear" w:color="auto" w:fill="297FD5"/>
      </w:tcPr>
    </w:tblStylePr>
    <w:tblStylePr w:type="lastRow">
      <w:pPr>
        <w:spacing w:before="0" w:after="0" w:line="240" w:lineRule="auto"/>
      </w:pPr>
      <w:rPr>
        <w:b/>
        <w:bCs/>
      </w:rPr>
      <w:tblPr/>
      <w:tcPr>
        <w:tcBorders>
          <w:top w:val="double" w:sz="6" w:space="0" w:color="5D9EE0"/>
          <w:left w:val="single" w:sz="8" w:space="0" w:color="5D9EE0"/>
          <w:bottom w:val="single" w:sz="8" w:space="0" w:color="5D9EE0"/>
          <w:right w:val="single" w:sz="8" w:space="0" w:color="5D9EE0"/>
          <w:insideH w:val="nil"/>
          <w:insideV w:val="nil"/>
        </w:tcBorders>
      </w:tcPr>
    </w:tblStylePr>
    <w:tblStylePr w:type="firstCol">
      <w:rPr>
        <w:b/>
        <w:bCs/>
      </w:rPr>
    </w:tblStylePr>
    <w:tblStylePr w:type="lastCol">
      <w:rPr>
        <w:b/>
        <w:bCs/>
      </w:rPr>
    </w:tblStylePr>
    <w:tblStylePr w:type="band1Vert">
      <w:tblPr/>
      <w:tcPr>
        <w:shd w:val="clear" w:color="auto" w:fill="C9DFF4"/>
      </w:tcPr>
    </w:tblStylePr>
    <w:tblStylePr w:type="band1Horz">
      <w:tblPr/>
      <w:tcPr>
        <w:tcBorders>
          <w:insideH w:val="nil"/>
          <w:insideV w:val="nil"/>
        </w:tcBorders>
        <w:shd w:val="clear" w:color="auto" w:fill="C9DFF4"/>
      </w:tcPr>
    </w:tblStylePr>
    <w:tblStylePr w:type="band2Horz">
      <w:tblPr/>
      <w:tcPr>
        <w:tcBorders>
          <w:insideH w:val="nil"/>
          <w:insideV w:val="nil"/>
        </w:tcBorders>
      </w:tcPr>
    </w:tblStylePr>
  </w:style>
  <w:style w:type="table" w:customStyle="1" w:styleId="Tramemoyenne2-Accent32">
    <w:name w:val="Trame moyenne 2 - Accent 32"/>
    <w:basedOn w:val="TableauNormal"/>
    <w:next w:val="Tramemoyenne2-Accent3"/>
    <w:uiPriority w:val="64"/>
    <w:unhideWhenUsed/>
    <w:rsid w:val="00BB49EE"/>
    <w:pPr>
      <w:spacing w:after="0" w:line="240" w:lineRule="auto"/>
    </w:pPr>
    <w:rPr>
      <w:rFonts w:ascii="Calibri" w:eastAsia="Times New Roman" w:hAnsi="Calibri" w:cs="Arial"/>
      <w:sz w:val="20"/>
      <w:szCs w:val="20"/>
      <w:lang w:val="fr-FR" w:eastAsia="fr-FR"/>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297F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297FD5"/>
      </w:tcPr>
    </w:tblStylePr>
    <w:tblStylePr w:type="lastCol">
      <w:rPr>
        <w:b/>
        <w:bCs/>
        <w:color w:val="FFFFFF"/>
      </w:rPr>
      <w:tblPr/>
      <w:tcPr>
        <w:tcBorders>
          <w:left w:val="nil"/>
          <w:right w:val="nil"/>
          <w:insideH w:val="nil"/>
          <w:insideV w:val="nil"/>
        </w:tcBorders>
        <w:shd w:val="clear" w:color="auto" w:fill="297F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Grilledetableauclaire4">
    <w:name w:val="Grille de tableau claire4"/>
    <w:basedOn w:val="TableauNormal"/>
    <w:next w:val="Grilledetableauclaire"/>
    <w:uiPriority w:val="40"/>
    <w:rsid w:val="00BB49EE"/>
    <w:pPr>
      <w:spacing w:after="0" w:line="240" w:lineRule="auto"/>
    </w:pPr>
    <w:rPr>
      <w:rFonts w:ascii="Calibri" w:eastAsia="Times New Roman" w:hAnsi="Calibri" w:cs="Arial"/>
      <w:sz w:val="20"/>
      <w:szCs w:val="20"/>
      <w:lang w:val="fr-FR" w:eastAsia="fr-FR"/>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TableauGrille4-Accentuation52">
    <w:name w:val="Tableau Grille 4 - Accentuation 52"/>
    <w:basedOn w:val="TableauNormal"/>
    <w:next w:val="TableauGrille4-Accentuation5"/>
    <w:uiPriority w:val="49"/>
    <w:rsid w:val="00BB49EE"/>
    <w:pPr>
      <w:spacing w:after="0" w:line="240" w:lineRule="auto"/>
    </w:pPr>
    <w:rPr>
      <w:rFonts w:ascii="Calibri" w:eastAsia="Times New Roman" w:hAnsi="Calibri" w:cs="Arial"/>
      <w:sz w:val="20"/>
      <w:szCs w:val="20"/>
      <w:lang w:val="fr-FR" w:eastAsia="fr-FR"/>
    </w:rPr>
    <w:tblPr>
      <w:tblStyleRowBandSize w:val="1"/>
      <w:tblStyleColBandSize w:val="1"/>
      <w:tblBorders>
        <w:top w:val="single" w:sz="4" w:space="0" w:color="9BC7CE"/>
        <w:left w:val="single" w:sz="4" w:space="0" w:color="9BC7CE"/>
        <w:bottom w:val="single" w:sz="4" w:space="0" w:color="9BC7CE"/>
        <w:right w:val="single" w:sz="4" w:space="0" w:color="9BC7CE"/>
        <w:insideH w:val="single" w:sz="4" w:space="0" w:color="9BC7CE"/>
        <w:insideV w:val="single" w:sz="4" w:space="0" w:color="9BC7CE"/>
      </w:tblBorders>
    </w:tblPr>
    <w:tblStylePr w:type="firstRow">
      <w:rPr>
        <w:b/>
        <w:bCs/>
        <w:color w:val="FFFFFF"/>
      </w:rPr>
      <w:tblPr/>
      <w:tcPr>
        <w:tcBorders>
          <w:top w:val="single" w:sz="4" w:space="0" w:color="5AA2AE"/>
          <w:left w:val="single" w:sz="4" w:space="0" w:color="5AA2AE"/>
          <w:bottom w:val="single" w:sz="4" w:space="0" w:color="5AA2AE"/>
          <w:right w:val="single" w:sz="4" w:space="0" w:color="5AA2AE"/>
          <w:insideH w:val="nil"/>
          <w:insideV w:val="nil"/>
        </w:tcBorders>
        <w:shd w:val="clear" w:color="auto" w:fill="5AA2AE"/>
      </w:tcPr>
    </w:tblStylePr>
    <w:tblStylePr w:type="lastRow">
      <w:rPr>
        <w:b/>
        <w:bCs/>
      </w:rPr>
      <w:tblPr/>
      <w:tcPr>
        <w:tcBorders>
          <w:top w:val="double" w:sz="4" w:space="0" w:color="5AA2AE"/>
        </w:tcBorders>
      </w:tcPr>
    </w:tblStylePr>
    <w:tblStylePr w:type="firstCol">
      <w:rPr>
        <w:b/>
        <w:bCs/>
      </w:rPr>
    </w:tblStylePr>
    <w:tblStylePr w:type="lastCol">
      <w:rPr>
        <w:b/>
        <w:bCs/>
      </w:rPr>
    </w:tblStylePr>
    <w:tblStylePr w:type="band1Vert">
      <w:tblPr/>
      <w:tcPr>
        <w:shd w:val="clear" w:color="auto" w:fill="DDECEE"/>
      </w:tcPr>
    </w:tblStylePr>
    <w:tblStylePr w:type="band1Horz">
      <w:tblPr/>
      <w:tcPr>
        <w:shd w:val="clear" w:color="auto" w:fill="DDECEE"/>
      </w:tcPr>
    </w:tblStylePr>
  </w:style>
  <w:style w:type="table" w:customStyle="1" w:styleId="TableauGrille5Fonc-Accentuation62">
    <w:name w:val="Tableau Grille 5 Foncé - Accentuation 62"/>
    <w:basedOn w:val="TableauNormal"/>
    <w:next w:val="TableauGrille5Fonc-Accentuation6"/>
    <w:uiPriority w:val="50"/>
    <w:rsid w:val="00BB49EE"/>
    <w:pPr>
      <w:spacing w:after="0" w:line="240" w:lineRule="auto"/>
    </w:pPr>
    <w:rPr>
      <w:rFonts w:ascii="Calibri" w:eastAsia="Times New Roman" w:hAnsi="Calibri" w:cs="Arial"/>
      <w:sz w:val="20"/>
      <w:szCs w:val="20"/>
      <w:lang w:val="fr-FR" w:eastAsia="fr-FR"/>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BE8EC"/>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9D90A0"/>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9D90A0"/>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9D90A0"/>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9D90A0"/>
      </w:tcPr>
    </w:tblStylePr>
    <w:tblStylePr w:type="band1Vert">
      <w:tblPr/>
      <w:tcPr>
        <w:shd w:val="clear" w:color="auto" w:fill="D7D2D9"/>
      </w:tcPr>
    </w:tblStylePr>
    <w:tblStylePr w:type="band1Horz">
      <w:tblPr/>
      <w:tcPr>
        <w:shd w:val="clear" w:color="auto" w:fill="D7D2D9"/>
      </w:tcPr>
    </w:tblStylePr>
  </w:style>
  <w:style w:type="table" w:customStyle="1" w:styleId="Grilledutableau5">
    <w:name w:val="Grille du tableau5"/>
    <w:basedOn w:val="TableauNormal"/>
    <w:next w:val="Grilledutableau"/>
    <w:uiPriority w:val="59"/>
    <w:rsid w:val="00BB49EE"/>
    <w:pPr>
      <w:spacing w:after="0" w:line="240" w:lineRule="auto"/>
    </w:pPr>
    <w:rPr>
      <w:rFonts w:ascii="Calibri" w:eastAsia="Calibri" w:hAnsi="Calibri" w:cs="Arial"/>
      <w:lang w:val="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auGrille1Clair-Accentuation12">
    <w:name w:val="Tableau Grille 1 Clair - Accentuation 12"/>
    <w:basedOn w:val="TableauNormal"/>
    <w:next w:val="TableauGrille1Clair-Accentuation1"/>
    <w:uiPriority w:val="46"/>
    <w:rsid w:val="00BB49EE"/>
    <w:pPr>
      <w:spacing w:after="0" w:line="240" w:lineRule="auto"/>
    </w:pPr>
    <w:rPr>
      <w:rFonts w:ascii="Calibri" w:eastAsia="Calibri" w:hAnsi="Calibri" w:cs="Arial"/>
      <w:lang w:val="fr-FR"/>
    </w:rPr>
    <w:tblPr>
      <w:tblStyleRowBandSize w:val="1"/>
      <w:tblStyleColBandSize w:val="1"/>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table" w:customStyle="1" w:styleId="Tableausimple31">
    <w:name w:val="Tableau simple 31"/>
    <w:basedOn w:val="TableauNormal"/>
    <w:uiPriority w:val="43"/>
    <w:rsid w:val="00BB49EE"/>
    <w:pPr>
      <w:spacing w:after="0" w:line="240" w:lineRule="auto"/>
    </w:pPr>
    <w:rPr>
      <w:rFonts w:ascii="Calibri" w:eastAsia="Times New Roman" w:hAnsi="Calibri" w:cs="Arial"/>
      <w:sz w:val="20"/>
      <w:szCs w:val="20"/>
      <w:lang w:val="fr-FR" w:eastAsia="fr-FR"/>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Grilledutableau6">
    <w:name w:val="Grille du tableau6"/>
    <w:basedOn w:val="TableauNormal"/>
    <w:next w:val="Grilledutableau"/>
    <w:uiPriority w:val="59"/>
    <w:rsid w:val="00BB49EE"/>
    <w:pPr>
      <w:spacing w:after="0" w:line="240" w:lineRule="auto"/>
    </w:pPr>
    <w:rPr>
      <w:rFonts w:ascii="Calibri" w:eastAsia="Calibri" w:hAnsi="Calibri" w:cs="Arial"/>
      <w:lang w:val="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auGrille1Clair-Accentuation13">
    <w:name w:val="Tableau Grille 1 Clair - Accentuation 13"/>
    <w:basedOn w:val="TableauNormal"/>
    <w:next w:val="TableauGrille1Clair-Accentuation1"/>
    <w:uiPriority w:val="46"/>
    <w:rsid w:val="00BB49EE"/>
    <w:pPr>
      <w:spacing w:after="0" w:line="240" w:lineRule="auto"/>
    </w:pPr>
    <w:rPr>
      <w:rFonts w:ascii="Calibri" w:eastAsia="Calibri" w:hAnsi="Calibri" w:cs="Arial"/>
      <w:lang w:val="fr-FR"/>
    </w:rPr>
    <w:tblPr>
      <w:tblStyleRowBandSize w:val="1"/>
      <w:tblStyleColBandSize w:val="1"/>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table" w:customStyle="1" w:styleId="TableauGrille1Clair-Accentuation613">
    <w:name w:val="Tableau Grille 1 Clair - Accentuation 613"/>
    <w:basedOn w:val="TableauNormal"/>
    <w:uiPriority w:val="46"/>
    <w:rsid w:val="00BB49EE"/>
    <w:pPr>
      <w:spacing w:after="0" w:line="240" w:lineRule="auto"/>
    </w:pPr>
    <w:rPr>
      <w:rFonts w:ascii="Calibri" w:eastAsia="Calibri" w:hAnsi="Calibri" w:cs="Arial"/>
      <w:lang w:val="fr-FR"/>
    </w:rPr>
    <w:tblPr>
      <w:tblStyleRowBandSize w:val="1"/>
      <w:tblStyleColBandSize w:val="1"/>
      <w:tblBorders>
        <w:top w:val="single" w:sz="4" w:space="0" w:color="C5E0B3"/>
        <w:left w:val="single" w:sz="4" w:space="0" w:color="C5E0B3"/>
        <w:bottom w:val="single" w:sz="4" w:space="0" w:color="C5E0B3"/>
        <w:right w:val="single" w:sz="4" w:space="0" w:color="C5E0B3"/>
        <w:insideH w:val="single" w:sz="4" w:space="0" w:color="C5E0B3"/>
        <w:insideV w:val="single" w:sz="4" w:space="0" w:color="C5E0B3"/>
      </w:tblBorders>
    </w:tblPr>
    <w:tblStylePr w:type="firstRow">
      <w:rPr>
        <w:b/>
        <w:bCs/>
      </w:rPr>
      <w:tblPr/>
      <w:tcPr>
        <w:tcBorders>
          <w:bottom w:val="single" w:sz="12" w:space="0" w:color="A8D08D"/>
        </w:tcBorders>
      </w:tcPr>
    </w:tblStylePr>
    <w:tblStylePr w:type="lastRow">
      <w:rPr>
        <w:b/>
        <w:bCs/>
      </w:rPr>
      <w:tblPr/>
      <w:tcPr>
        <w:tcBorders>
          <w:top w:val="double" w:sz="2" w:space="0" w:color="A8D08D"/>
        </w:tcBorders>
      </w:tcPr>
    </w:tblStylePr>
    <w:tblStylePr w:type="firstCol">
      <w:rPr>
        <w:b/>
        <w:bCs/>
      </w:rPr>
    </w:tblStylePr>
    <w:tblStylePr w:type="lastCol">
      <w:rPr>
        <w:b/>
        <w:bCs/>
      </w:rPr>
    </w:tblStylePr>
  </w:style>
  <w:style w:type="numbering" w:customStyle="1" w:styleId="STYLEDELISTEPARARAGRAPHE1">
    <w:name w:val="STYLE DE LISTE PARARAGRAPHE1"/>
    <w:basedOn w:val="Aucuneliste"/>
    <w:uiPriority w:val="99"/>
    <w:rsid w:val="00BB49EE"/>
    <w:pPr>
      <w:numPr>
        <w:numId w:val="75"/>
      </w:numPr>
    </w:pPr>
  </w:style>
  <w:style w:type="table" w:customStyle="1" w:styleId="Tramemoyenne1-Accent321">
    <w:name w:val="Trame moyenne 1 - Accent 321"/>
    <w:basedOn w:val="TableauNormal"/>
    <w:next w:val="Tramemoyenne1-Accent3"/>
    <w:uiPriority w:val="63"/>
    <w:rsid w:val="00BB49EE"/>
    <w:pPr>
      <w:spacing w:after="0" w:line="240" w:lineRule="auto"/>
    </w:pPr>
    <w:rPr>
      <w:rFonts w:ascii="Calibri" w:eastAsia="Calibri" w:hAnsi="Calibri" w:cs="Arial"/>
      <w:lang w:val="fr-FR"/>
    </w:rPr>
    <w:tblPr>
      <w:tblStyleRowBandSize w:val="1"/>
      <w:tblStyleColBandSize w:val="1"/>
      <w:tblBorders>
        <w:top w:val="single" w:sz="8" w:space="0" w:color="BBBBBB"/>
        <w:left w:val="single" w:sz="8" w:space="0" w:color="BBBBBB"/>
        <w:bottom w:val="single" w:sz="8" w:space="0" w:color="BBBBBB"/>
        <w:right w:val="single" w:sz="8" w:space="0" w:color="BBBBBB"/>
        <w:insideH w:val="single" w:sz="8" w:space="0" w:color="BBBBBB"/>
      </w:tblBorders>
    </w:tblPr>
    <w:tblStylePr w:type="firstRow">
      <w:pPr>
        <w:spacing w:before="0" w:after="0" w:line="240" w:lineRule="auto"/>
      </w:pPr>
      <w:rPr>
        <w:b/>
        <w:bCs/>
        <w:color w:val="FFFFFF"/>
      </w:rPr>
      <w:tblPr/>
      <w:tcPr>
        <w:tcBorders>
          <w:top w:val="single" w:sz="8" w:space="0" w:color="BBBBBB"/>
          <w:left w:val="single" w:sz="8" w:space="0" w:color="BBBBBB"/>
          <w:bottom w:val="single" w:sz="8" w:space="0" w:color="BBBBBB"/>
          <w:right w:val="single" w:sz="8" w:space="0" w:color="BBBBBB"/>
          <w:insideH w:val="nil"/>
          <w:insideV w:val="nil"/>
        </w:tcBorders>
        <w:shd w:val="clear" w:color="auto" w:fill="A5A5A5"/>
      </w:tcPr>
    </w:tblStylePr>
    <w:tblStylePr w:type="lastRow">
      <w:pPr>
        <w:spacing w:before="0" w:after="0" w:line="240" w:lineRule="auto"/>
      </w:pPr>
      <w:rPr>
        <w:b/>
        <w:bCs/>
      </w:rPr>
      <w:tblPr/>
      <w:tcPr>
        <w:tcBorders>
          <w:top w:val="double" w:sz="6" w:space="0" w:color="BBBBBB"/>
          <w:left w:val="single" w:sz="8" w:space="0" w:color="BBBBBB"/>
          <w:bottom w:val="single" w:sz="8" w:space="0" w:color="BBBBBB"/>
          <w:right w:val="single" w:sz="8" w:space="0" w:color="BBBBBB"/>
          <w:insideH w:val="nil"/>
          <w:insideV w:val="nil"/>
        </w:tcBorders>
      </w:tcPr>
    </w:tblStylePr>
    <w:tblStylePr w:type="firstCol">
      <w:rPr>
        <w:b/>
        <w:bCs/>
      </w:rPr>
    </w:tblStylePr>
    <w:tblStylePr w:type="lastCol">
      <w:rPr>
        <w:b/>
        <w:bCs/>
      </w:rPr>
    </w:tblStylePr>
    <w:tblStylePr w:type="band1Vert">
      <w:tblPr/>
      <w:tcPr>
        <w:shd w:val="clear" w:color="auto" w:fill="E8E8E8"/>
      </w:tcPr>
    </w:tblStylePr>
    <w:tblStylePr w:type="band1Horz">
      <w:tblPr/>
      <w:tcPr>
        <w:tcBorders>
          <w:insideH w:val="nil"/>
          <w:insideV w:val="nil"/>
        </w:tcBorders>
        <w:shd w:val="clear" w:color="auto" w:fill="E8E8E8"/>
      </w:tcPr>
    </w:tblStylePr>
    <w:tblStylePr w:type="band2Horz">
      <w:tblPr/>
      <w:tcPr>
        <w:tcBorders>
          <w:insideH w:val="nil"/>
          <w:insideV w:val="nil"/>
        </w:tcBorders>
      </w:tcPr>
    </w:tblStylePr>
  </w:style>
  <w:style w:type="table" w:customStyle="1" w:styleId="Tramemoyenne2-Accent321">
    <w:name w:val="Trame moyenne 2 - Accent 321"/>
    <w:basedOn w:val="TableauNormal"/>
    <w:next w:val="Tramemoyenne2-Accent3"/>
    <w:uiPriority w:val="64"/>
    <w:rsid w:val="00BB49EE"/>
    <w:pPr>
      <w:spacing w:after="0" w:line="240" w:lineRule="auto"/>
    </w:pPr>
    <w:rPr>
      <w:rFonts w:ascii="Calibri" w:eastAsia="Calibri" w:hAnsi="Calibri" w:cs="Arial"/>
      <w:lang w:val="fr-FR"/>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A5A5A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A5A5A5"/>
      </w:tcPr>
    </w:tblStylePr>
    <w:tblStylePr w:type="lastCol">
      <w:rPr>
        <w:b/>
        <w:bCs/>
        <w:color w:val="FFFFFF"/>
      </w:rPr>
      <w:tblPr/>
      <w:tcPr>
        <w:tcBorders>
          <w:left w:val="nil"/>
          <w:right w:val="nil"/>
          <w:insideH w:val="nil"/>
          <w:insideV w:val="nil"/>
        </w:tcBorders>
        <w:shd w:val="clear" w:color="auto" w:fill="A5A5A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TableNormal12">
    <w:name w:val="Table Normal12"/>
    <w:uiPriority w:val="2"/>
    <w:semiHidden/>
    <w:unhideWhenUsed/>
    <w:qFormat/>
    <w:rsid w:val="00BB49EE"/>
    <w:pPr>
      <w:widowControl w:val="0"/>
      <w:autoSpaceDE w:val="0"/>
      <w:autoSpaceDN w:val="0"/>
      <w:spacing w:after="0" w:line="240" w:lineRule="auto"/>
    </w:pPr>
    <w:rPr>
      <w:rFonts w:ascii="Calibri" w:eastAsia="Calibri" w:hAnsi="Calibri" w:cs="Arial"/>
      <w:lang w:val="en-US"/>
    </w:rPr>
    <w:tblPr>
      <w:tblInd w:w="0" w:type="dxa"/>
      <w:tblCellMar>
        <w:top w:w="0" w:type="dxa"/>
        <w:left w:w="0" w:type="dxa"/>
        <w:bottom w:w="0" w:type="dxa"/>
        <w:right w:w="0" w:type="dxa"/>
      </w:tblCellMar>
    </w:tblPr>
  </w:style>
  <w:style w:type="table" w:customStyle="1" w:styleId="Grilledutableau12">
    <w:name w:val="Grille du tableau12"/>
    <w:basedOn w:val="TableauNormal"/>
    <w:next w:val="Grilledutableau"/>
    <w:uiPriority w:val="39"/>
    <w:rsid w:val="00BB49EE"/>
    <w:pPr>
      <w:spacing w:after="0" w:line="240" w:lineRule="auto"/>
    </w:pPr>
    <w:rPr>
      <w:rFonts w:ascii="Times New Roman" w:eastAsia="Times New Roman" w:hAnsi="Times New Roman" w:cs="Times New Roman"/>
      <w:sz w:val="20"/>
      <w:szCs w:val="20"/>
      <w:lang w:val="fr-FR"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22">
    <w:name w:val="Grille du tableau22"/>
    <w:basedOn w:val="TableauNormal"/>
    <w:next w:val="Grilledutableau"/>
    <w:uiPriority w:val="39"/>
    <w:rsid w:val="00BB49EE"/>
    <w:pPr>
      <w:spacing w:after="0" w:line="240" w:lineRule="auto"/>
    </w:pPr>
    <w:rPr>
      <w:rFonts w:ascii="Times New Roman" w:eastAsia="Times New Roman" w:hAnsi="Times New Roman" w:cs="Times New Roman"/>
      <w:sz w:val="20"/>
      <w:szCs w:val="20"/>
      <w:lang w:val="fr-FR"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auGrille5Fonc-Accentuation52">
    <w:name w:val="Tableau Grille 5 Foncé - Accentuation 52"/>
    <w:basedOn w:val="TableauNormal"/>
    <w:next w:val="TableauGrille5Fonc-Accentuation5"/>
    <w:uiPriority w:val="50"/>
    <w:rsid w:val="00BB49EE"/>
    <w:pPr>
      <w:spacing w:after="0" w:line="240" w:lineRule="auto"/>
    </w:pPr>
    <w:rPr>
      <w:rFonts w:ascii="Calibri" w:eastAsia="Times New Roman" w:hAnsi="Calibri" w:cs="Arial"/>
      <w:sz w:val="20"/>
      <w:szCs w:val="20"/>
      <w:lang w:val="fr-FR" w:eastAsia="fr-FR"/>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table" w:customStyle="1" w:styleId="TableauGrille4-Accentuation521">
    <w:name w:val="Tableau Grille 4 - Accentuation 521"/>
    <w:basedOn w:val="TableauNormal"/>
    <w:next w:val="TableauGrille4-Accentuation5"/>
    <w:uiPriority w:val="49"/>
    <w:rsid w:val="00BB49EE"/>
    <w:pPr>
      <w:spacing w:after="0" w:line="240" w:lineRule="auto"/>
    </w:pPr>
    <w:rPr>
      <w:rFonts w:ascii="Calibri" w:eastAsia="Times New Roman" w:hAnsi="Calibri" w:cs="Arial"/>
      <w:sz w:val="20"/>
      <w:szCs w:val="20"/>
      <w:lang w:val="fr-FR" w:eastAsia="fr-FR"/>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leauGrille5Fonc-Accentuation621">
    <w:name w:val="Tableau Grille 5 Foncé - Accentuation 621"/>
    <w:basedOn w:val="TableauNormal"/>
    <w:next w:val="TableauGrille5Fonc-Accentuation6"/>
    <w:uiPriority w:val="50"/>
    <w:rsid w:val="00BB49EE"/>
    <w:pPr>
      <w:spacing w:after="0" w:line="240" w:lineRule="auto"/>
    </w:pPr>
    <w:rPr>
      <w:rFonts w:ascii="Calibri" w:eastAsia="Calibri" w:hAnsi="Calibri" w:cs="Arial"/>
      <w:lang w:val="fr-FR"/>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2EFD9"/>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70AD47"/>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70AD47"/>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70AD47"/>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70AD47"/>
      </w:tcPr>
    </w:tblStylePr>
    <w:tblStylePr w:type="band1Vert">
      <w:tblPr/>
      <w:tcPr>
        <w:shd w:val="clear" w:color="auto" w:fill="C5E0B3"/>
      </w:tcPr>
    </w:tblStylePr>
    <w:tblStylePr w:type="band1Horz">
      <w:tblPr/>
      <w:tcPr>
        <w:shd w:val="clear" w:color="auto" w:fill="C5E0B3"/>
      </w:tcPr>
    </w:tblStylePr>
  </w:style>
  <w:style w:type="numbering" w:customStyle="1" w:styleId="ERMNumLIst">
    <w:name w:val="ERMNumLIst"/>
    <w:uiPriority w:val="99"/>
    <w:rsid w:val="00BB49EE"/>
    <w:pPr>
      <w:numPr>
        <w:numId w:val="85"/>
      </w:numPr>
    </w:pPr>
  </w:style>
  <w:style w:type="paragraph" w:customStyle="1" w:styleId="Listenumros10">
    <w:name w:val="Liste à numéros1"/>
    <w:basedOn w:val="Corpsdetexte"/>
    <w:next w:val="Listenumros"/>
    <w:qFormat/>
    <w:rsid w:val="00BB49EE"/>
    <w:pPr>
      <w:spacing w:before="120" w:after="60" w:line="260" w:lineRule="exact"/>
      <w:ind w:left="397" w:hanging="397"/>
    </w:pPr>
    <w:rPr>
      <w:rFonts w:cs="Arial"/>
      <w:sz w:val="20"/>
      <w:szCs w:val="20"/>
      <w:lang w:val="fr-FR"/>
    </w:rPr>
  </w:style>
  <w:style w:type="character" w:customStyle="1" w:styleId="AGTESIACar">
    <w:name w:val="AGT ESIA Car"/>
    <w:aliases w:val="Map Car,Annexe Car,liste de tableaux Car,Caption Char Char Char Char Char Char Char Car,Caption Char Char Char Car,Caption Char Char Car,Caption Char Char Char Char Char Char Car,Caption Char1 Car,Caption Char Char1 Car,Tab. Car"/>
    <w:basedOn w:val="Policepardfaut"/>
    <w:qFormat/>
    <w:rsid w:val="00BB49EE"/>
    <w:rPr>
      <w:rFonts w:ascii="Calibri" w:eastAsia="DengXian" w:hAnsi="Calibri" w:cs="Arial"/>
      <w:b/>
      <w:sz w:val="24"/>
      <w:lang w:eastAsia="en-AU"/>
    </w:rPr>
  </w:style>
  <w:style w:type="paragraph" w:customStyle="1" w:styleId="ListNumberalpha">
    <w:name w:val="List Number alpha"/>
    <w:basedOn w:val="Corpsdetexte"/>
    <w:uiPriority w:val="99"/>
    <w:rsid w:val="00BB49EE"/>
    <w:pPr>
      <w:tabs>
        <w:tab w:val="num" w:pos="397"/>
      </w:tabs>
      <w:spacing w:before="120" w:after="60" w:line="260" w:lineRule="atLeast"/>
      <w:ind w:left="794" w:hanging="397"/>
    </w:pPr>
    <w:rPr>
      <w:rFonts w:cs="Arial"/>
      <w:sz w:val="20"/>
      <w:szCs w:val="20"/>
      <w:lang w:val="fr-FR"/>
    </w:rPr>
  </w:style>
  <w:style w:type="paragraph" w:customStyle="1" w:styleId="ListNumberroman">
    <w:name w:val="List Number roman"/>
    <w:basedOn w:val="Corpsdetexte"/>
    <w:uiPriority w:val="99"/>
    <w:rsid w:val="00BB49EE"/>
    <w:pPr>
      <w:tabs>
        <w:tab w:val="num" w:pos="397"/>
      </w:tabs>
      <w:spacing w:before="120" w:after="60" w:line="260" w:lineRule="atLeast"/>
      <w:ind w:left="1191" w:hanging="397"/>
    </w:pPr>
    <w:rPr>
      <w:rFonts w:cs="Arial"/>
      <w:sz w:val="20"/>
      <w:szCs w:val="20"/>
      <w:lang w:val="fr-FR"/>
    </w:rPr>
  </w:style>
  <w:style w:type="paragraph" w:customStyle="1" w:styleId="Tabletextbullet">
    <w:name w:val="Table text bullet"/>
    <w:basedOn w:val="Tabletextcentered"/>
    <w:rsid w:val="00BB49EE"/>
    <w:pPr>
      <w:numPr>
        <w:numId w:val="86"/>
      </w:numPr>
      <w:tabs>
        <w:tab w:val="num" w:pos="360"/>
      </w:tabs>
      <w:spacing w:before="60" w:after="60" w:line="240" w:lineRule="auto"/>
      <w:ind w:left="0" w:firstLine="0"/>
      <w:jc w:val="left"/>
    </w:pPr>
    <w:rPr>
      <w:sz w:val="18"/>
      <w:szCs w:val="18"/>
      <w:lang w:eastAsia="zh-CN"/>
    </w:rPr>
  </w:style>
  <w:style w:type="paragraph" w:customStyle="1" w:styleId="PhenixaCorpsdetexte">
    <w:name w:val="Phenixa.Corps de texte"/>
    <w:basedOn w:val="Normal"/>
    <w:link w:val="PhenixaCorpsdetexteCar"/>
    <w:uiPriority w:val="14"/>
    <w:qFormat/>
    <w:rsid w:val="00BB49EE"/>
    <w:pPr>
      <w:autoSpaceDE w:val="0"/>
      <w:autoSpaceDN w:val="0"/>
      <w:adjustRightInd w:val="0"/>
      <w:spacing w:after="100" w:line="240" w:lineRule="auto"/>
    </w:pPr>
    <w:rPr>
      <w:rFonts w:cs="Calibri"/>
      <w:sz w:val="20"/>
      <w:szCs w:val="24"/>
      <w:lang w:eastAsia="fr-FR" w:bidi="ar-SA"/>
    </w:rPr>
  </w:style>
  <w:style w:type="character" w:customStyle="1" w:styleId="PhenixaCorpsdetexteCar">
    <w:name w:val="Phenixa.Corps de texte Car"/>
    <w:basedOn w:val="Policepardfaut"/>
    <w:link w:val="PhenixaCorpsdetexte"/>
    <w:uiPriority w:val="14"/>
    <w:rsid w:val="00BB49EE"/>
    <w:rPr>
      <w:rFonts w:ascii="Calibri" w:eastAsia="Times New Roman" w:hAnsi="Calibri" w:cs="Calibri"/>
      <w:sz w:val="20"/>
      <w:szCs w:val="24"/>
      <w:lang w:val="fr-FR" w:eastAsia="fr-FR"/>
    </w:rPr>
  </w:style>
  <w:style w:type="paragraph" w:customStyle="1" w:styleId="Phenixapuce1">
    <w:name w:val="Phenixa. puce 1"/>
    <w:basedOn w:val="PhenixaCorpsdetexte"/>
    <w:link w:val="Phenixapuce1Car"/>
    <w:uiPriority w:val="14"/>
    <w:qFormat/>
    <w:rsid w:val="00BB49EE"/>
    <w:pPr>
      <w:numPr>
        <w:numId w:val="87"/>
      </w:numPr>
    </w:pPr>
  </w:style>
  <w:style w:type="character" w:customStyle="1" w:styleId="Phenixapuce1Car">
    <w:name w:val="Phenixa. puce 1 Car"/>
    <w:basedOn w:val="PhenixaCorpsdetexteCar"/>
    <w:link w:val="Phenixapuce1"/>
    <w:uiPriority w:val="14"/>
    <w:rsid w:val="00BB49EE"/>
    <w:rPr>
      <w:rFonts w:ascii="Calibri" w:eastAsia="Times New Roman" w:hAnsi="Calibri" w:cs="Calibri"/>
      <w:sz w:val="20"/>
      <w:szCs w:val="24"/>
      <w:lang w:val="fr-FR" w:eastAsia="fr-FR"/>
    </w:rPr>
  </w:style>
  <w:style w:type="paragraph" w:customStyle="1" w:styleId="PhenixaPuce2">
    <w:name w:val="Phenixa. Puce 2"/>
    <w:basedOn w:val="Titre6"/>
    <w:link w:val="PhenixaPuce2Car"/>
    <w:uiPriority w:val="14"/>
    <w:qFormat/>
    <w:rsid w:val="00BB49EE"/>
    <w:pPr>
      <w:spacing w:before="200" w:after="0" w:line="240" w:lineRule="auto"/>
      <w:ind w:left="0" w:firstLine="0"/>
    </w:pPr>
    <w:rPr>
      <w:rFonts w:ascii="Arial" w:eastAsia="DengXian Light" w:hAnsi="Arial"/>
      <w:bCs w:val="0"/>
      <w:i w:val="0"/>
      <w:color w:val="4A66AC"/>
      <w:sz w:val="20"/>
      <w:szCs w:val="24"/>
      <w:lang w:eastAsia="fr-FR" w:bidi="ar-SA"/>
    </w:rPr>
  </w:style>
  <w:style w:type="character" w:customStyle="1" w:styleId="PhenixaPuce2Car">
    <w:name w:val="Phenixa. Puce 2 Car"/>
    <w:basedOn w:val="Policepardfaut"/>
    <w:link w:val="PhenixaPuce2"/>
    <w:uiPriority w:val="14"/>
    <w:rsid w:val="00BB49EE"/>
    <w:rPr>
      <w:rFonts w:ascii="Arial" w:eastAsia="DengXian Light" w:hAnsi="Arial" w:cs="Times New Roman"/>
      <w:b/>
      <w:iCs/>
      <w:color w:val="4A66AC"/>
      <w:sz w:val="20"/>
      <w:szCs w:val="24"/>
      <w:lang w:val="fr-FR" w:eastAsia="fr-FR"/>
    </w:rPr>
  </w:style>
  <w:style w:type="paragraph" w:customStyle="1" w:styleId="Tablebullet">
    <w:name w:val="Table bullet"/>
    <w:basedOn w:val="Listepuces"/>
    <w:qFormat/>
    <w:rsid w:val="00BB49EE"/>
    <w:pPr>
      <w:numPr>
        <w:numId w:val="88"/>
      </w:numPr>
      <w:spacing w:before="0" w:after="0"/>
      <w:jc w:val="left"/>
    </w:pPr>
    <w:rPr>
      <w:rFonts w:eastAsia="DengXian"/>
      <w:sz w:val="20"/>
      <w:lang w:eastAsia="en-US"/>
    </w:rPr>
  </w:style>
  <w:style w:type="paragraph" w:customStyle="1" w:styleId="Index71">
    <w:name w:val="Index 71"/>
    <w:basedOn w:val="Normal"/>
    <w:next w:val="Normal"/>
    <w:autoRedefine/>
    <w:semiHidden/>
    <w:rsid w:val="00BB49EE"/>
    <w:pPr>
      <w:spacing w:before="0" w:after="0" w:line="260" w:lineRule="atLeast"/>
      <w:ind w:left="1680" w:hanging="240"/>
      <w:jc w:val="left"/>
    </w:pPr>
    <w:rPr>
      <w:rFonts w:eastAsia="DengXian"/>
      <w:sz w:val="20"/>
      <w:szCs w:val="20"/>
      <w:lang w:bidi="ar-SA"/>
    </w:rPr>
  </w:style>
  <w:style w:type="numbering" w:customStyle="1" w:styleId="ERMBulletList">
    <w:name w:val="ERMBulletList"/>
    <w:uiPriority w:val="99"/>
    <w:rsid w:val="00BB49EE"/>
    <w:pPr>
      <w:numPr>
        <w:numId w:val="89"/>
      </w:numPr>
    </w:pPr>
  </w:style>
  <w:style w:type="paragraph" w:customStyle="1" w:styleId="BGP-Textecourant">
    <w:name w:val="BGP - Texte courant"/>
    <w:qFormat/>
    <w:rsid w:val="00BB49EE"/>
    <w:pPr>
      <w:spacing w:before="120" w:after="0" w:line="240" w:lineRule="auto"/>
      <w:jc w:val="both"/>
    </w:pPr>
    <w:rPr>
      <w:rFonts w:ascii="Tahoma" w:eastAsia="Calibri" w:hAnsi="Tahoma"/>
      <w:lang w:eastAsia="fr-FR"/>
    </w:rPr>
  </w:style>
  <w:style w:type="character" w:customStyle="1" w:styleId="Mentionnonrsolue4">
    <w:name w:val="Mention non résolue4"/>
    <w:basedOn w:val="Policepardfaut"/>
    <w:uiPriority w:val="99"/>
    <w:semiHidden/>
    <w:unhideWhenUsed/>
    <w:rsid w:val="00BB49EE"/>
    <w:rPr>
      <w:color w:val="605E5C"/>
      <w:shd w:val="clear" w:color="auto" w:fill="E1DFDD"/>
    </w:rPr>
  </w:style>
  <w:style w:type="character" w:customStyle="1" w:styleId="Mentionnonrsolue5">
    <w:name w:val="Mention non résolue5"/>
    <w:basedOn w:val="Policepardfaut"/>
    <w:uiPriority w:val="99"/>
    <w:semiHidden/>
    <w:unhideWhenUsed/>
    <w:rsid w:val="00BB49EE"/>
    <w:rPr>
      <w:color w:val="605E5C"/>
      <w:shd w:val="clear" w:color="auto" w:fill="E1DFDD"/>
    </w:rPr>
  </w:style>
  <w:style w:type="character" w:customStyle="1" w:styleId="NichtaufgelsteErwhnung1">
    <w:name w:val="Nicht aufgelöste Erwähnung1"/>
    <w:basedOn w:val="Policepardfaut"/>
    <w:uiPriority w:val="99"/>
    <w:semiHidden/>
    <w:unhideWhenUsed/>
    <w:rsid w:val="00BB49EE"/>
    <w:rPr>
      <w:color w:val="605E5C"/>
      <w:shd w:val="clear" w:color="auto" w:fill="E1DFDD"/>
    </w:rPr>
  </w:style>
  <w:style w:type="table" w:customStyle="1" w:styleId="TableauListe6Couleur1">
    <w:name w:val="Tableau Liste 6 Couleur1"/>
    <w:basedOn w:val="TableauNormal"/>
    <w:uiPriority w:val="51"/>
    <w:rsid w:val="00BB49EE"/>
    <w:pPr>
      <w:spacing w:after="0" w:line="240" w:lineRule="auto"/>
    </w:pPr>
    <w:rPr>
      <w:rFonts w:ascii="Calibri" w:eastAsia="Times New Roman" w:hAnsi="Calibri" w:cs="Arial"/>
      <w:color w:val="000000"/>
      <w:sz w:val="20"/>
      <w:szCs w:val="20"/>
      <w:lang w:val="fr-FR" w:eastAsia="fr-FR"/>
    </w:rPr>
    <w:tblPr>
      <w:tblStyleRowBandSize w:val="1"/>
      <w:tblStyleColBandSize w:val="1"/>
      <w:tblBorders>
        <w:top w:val="single" w:sz="4" w:space="0" w:color="000000"/>
        <w:bottom w:val="single" w:sz="4" w:space="0" w:color="000000"/>
      </w:tblBorders>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TableauListe1Clair-Accentuation111">
    <w:name w:val="Tableau Liste 1 Clair - Accentuation 111"/>
    <w:basedOn w:val="TableauNormal"/>
    <w:uiPriority w:val="46"/>
    <w:rsid w:val="00BB49EE"/>
    <w:pPr>
      <w:spacing w:after="0" w:line="240" w:lineRule="auto"/>
    </w:pPr>
    <w:rPr>
      <w:rFonts w:ascii="Calibri" w:eastAsia="Times New Roman" w:hAnsi="Calibri" w:cs="Arial"/>
      <w:sz w:val="20"/>
      <w:szCs w:val="20"/>
      <w:lang w:val="fr-FR" w:eastAsia="fr-FR"/>
    </w:rPr>
    <w:tblPr>
      <w:tblStyleRowBandSize w:val="1"/>
      <w:tblStyleColBandSize w:val="1"/>
    </w:tblPr>
    <w:tblStylePr w:type="firstRow">
      <w:rPr>
        <w:b/>
        <w:bCs/>
      </w:rPr>
      <w:tblPr/>
      <w:tcPr>
        <w:tcBorders>
          <w:bottom w:val="single" w:sz="4" w:space="0" w:color="90A1CF"/>
        </w:tcBorders>
      </w:tcPr>
    </w:tblStylePr>
    <w:tblStylePr w:type="lastRow">
      <w:rPr>
        <w:b/>
        <w:bCs/>
      </w:rPr>
      <w:tblPr/>
      <w:tcPr>
        <w:tcBorders>
          <w:top w:val="single" w:sz="4" w:space="0" w:color="90A1CF"/>
        </w:tcBorders>
      </w:tcPr>
    </w:tblStylePr>
    <w:tblStylePr w:type="firstCol">
      <w:rPr>
        <w:b/>
        <w:bCs/>
      </w:rPr>
    </w:tblStylePr>
    <w:tblStylePr w:type="lastCol">
      <w:rPr>
        <w:b/>
        <w:bCs/>
      </w:rPr>
    </w:tblStylePr>
    <w:tblStylePr w:type="band1Vert">
      <w:tblPr/>
      <w:tcPr>
        <w:shd w:val="clear" w:color="auto" w:fill="D9DFEF"/>
      </w:tcPr>
    </w:tblStylePr>
    <w:tblStylePr w:type="band1Horz">
      <w:tblPr/>
      <w:tcPr>
        <w:shd w:val="clear" w:color="auto" w:fill="D9DFEF"/>
      </w:tcPr>
    </w:tblStylePr>
  </w:style>
  <w:style w:type="table" w:customStyle="1" w:styleId="TableauGrille4-Accentuation31">
    <w:name w:val="Tableau Grille 4 - Accentuation 31"/>
    <w:basedOn w:val="TableauNormal"/>
    <w:uiPriority w:val="49"/>
    <w:rsid w:val="00BB49EE"/>
    <w:pPr>
      <w:spacing w:after="0" w:line="240" w:lineRule="auto"/>
    </w:pPr>
    <w:rPr>
      <w:rFonts w:ascii="Calibri" w:eastAsia="Times New Roman" w:hAnsi="Calibri" w:cs="Arial"/>
      <w:sz w:val="20"/>
      <w:szCs w:val="20"/>
      <w:lang w:val="fr-FR" w:eastAsia="fr-FR"/>
    </w:rPr>
    <w:tblPr>
      <w:tblStyleRowBandSize w:val="1"/>
      <w:tblStyleColBandSize w:val="1"/>
      <w:tblBorders>
        <w:top w:val="single" w:sz="4" w:space="0" w:color="7EB1E6"/>
        <w:left w:val="single" w:sz="4" w:space="0" w:color="7EB1E6"/>
        <w:bottom w:val="single" w:sz="4" w:space="0" w:color="7EB1E6"/>
        <w:right w:val="single" w:sz="4" w:space="0" w:color="7EB1E6"/>
        <w:insideH w:val="single" w:sz="4" w:space="0" w:color="7EB1E6"/>
        <w:insideV w:val="single" w:sz="4" w:space="0" w:color="7EB1E6"/>
      </w:tblBorders>
    </w:tblPr>
    <w:tblStylePr w:type="firstRow">
      <w:rPr>
        <w:b/>
        <w:bCs/>
        <w:color w:val="FFFFFF"/>
      </w:rPr>
      <w:tblPr/>
      <w:tcPr>
        <w:tcBorders>
          <w:top w:val="single" w:sz="4" w:space="0" w:color="297FD5"/>
          <w:left w:val="single" w:sz="4" w:space="0" w:color="297FD5"/>
          <w:bottom w:val="single" w:sz="4" w:space="0" w:color="297FD5"/>
          <w:right w:val="single" w:sz="4" w:space="0" w:color="297FD5"/>
          <w:insideH w:val="nil"/>
          <w:insideV w:val="nil"/>
        </w:tcBorders>
        <w:shd w:val="clear" w:color="auto" w:fill="297FD5"/>
      </w:tcPr>
    </w:tblStylePr>
    <w:tblStylePr w:type="lastRow">
      <w:rPr>
        <w:b/>
        <w:bCs/>
      </w:rPr>
      <w:tblPr/>
      <w:tcPr>
        <w:tcBorders>
          <w:top w:val="double" w:sz="4" w:space="0" w:color="297FD5"/>
        </w:tcBorders>
      </w:tcPr>
    </w:tblStylePr>
    <w:tblStylePr w:type="firstCol">
      <w:rPr>
        <w:b/>
        <w:bCs/>
      </w:rPr>
    </w:tblStylePr>
    <w:tblStylePr w:type="lastCol">
      <w:rPr>
        <w:b/>
        <w:bCs/>
      </w:rPr>
    </w:tblStylePr>
    <w:tblStylePr w:type="band1Vert">
      <w:tblPr/>
      <w:tcPr>
        <w:shd w:val="clear" w:color="auto" w:fill="D3E5F6"/>
      </w:tcPr>
    </w:tblStylePr>
    <w:tblStylePr w:type="band1Horz">
      <w:tblPr/>
      <w:tcPr>
        <w:shd w:val="clear" w:color="auto" w:fill="D3E5F6"/>
      </w:tcPr>
    </w:tblStylePr>
  </w:style>
  <w:style w:type="table" w:customStyle="1" w:styleId="TableauGrille2-Accentuation31">
    <w:name w:val="Tableau Grille 2 - Accentuation 31"/>
    <w:basedOn w:val="TableauNormal"/>
    <w:uiPriority w:val="47"/>
    <w:rsid w:val="00BB49EE"/>
    <w:pPr>
      <w:spacing w:after="0" w:line="240" w:lineRule="auto"/>
    </w:pPr>
    <w:rPr>
      <w:rFonts w:ascii="Calibri" w:eastAsia="Times New Roman" w:hAnsi="Calibri" w:cs="Arial"/>
      <w:sz w:val="20"/>
      <w:szCs w:val="20"/>
      <w:lang w:val="fr-FR" w:eastAsia="fr-FR"/>
    </w:rPr>
    <w:tblPr>
      <w:tblStyleRowBandSize w:val="1"/>
      <w:tblStyleColBandSize w:val="1"/>
      <w:tblBorders>
        <w:top w:val="single" w:sz="2" w:space="0" w:color="7EB1E6"/>
        <w:bottom w:val="single" w:sz="2" w:space="0" w:color="7EB1E6"/>
        <w:insideH w:val="single" w:sz="2" w:space="0" w:color="7EB1E6"/>
        <w:insideV w:val="single" w:sz="2" w:space="0" w:color="7EB1E6"/>
      </w:tblBorders>
    </w:tblPr>
    <w:tblStylePr w:type="firstRow">
      <w:rPr>
        <w:b/>
        <w:bCs/>
      </w:rPr>
      <w:tblPr/>
      <w:tcPr>
        <w:tcBorders>
          <w:top w:val="nil"/>
          <w:bottom w:val="single" w:sz="12" w:space="0" w:color="7EB1E6"/>
          <w:insideH w:val="nil"/>
          <w:insideV w:val="nil"/>
        </w:tcBorders>
        <w:shd w:val="clear" w:color="auto" w:fill="FFFFFF"/>
      </w:tcPr>
    </w:tblStylePr>
    <w:tblStylePr w:type="lastRow">
      <w:rPr>
        <w:b/>
        <w:bCs/>
      </w:rPr>
      <w:tblPr/>
      <w:tcPr>
        <w:tcBorders>
          <w:top w:val="double" w:sz="2" w:space="0" w:color="7EB1E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3E5F6"/>
      </w:tcPr>
    </w:tblStylePr>
    <w:tblStylePr w:type="band1Horz">
      <w:tblPr/>
      <w:tcPr>
        <w:shd w:val="clear" w:color="auto" w:fill="D3E5F6"/>
      </w:tcPr>
    </w:tblStylePr>
  </w:style>
  <w:style w:type="table" w:customStyle="1" w:styleId="TableauGrille1Clair-Accentuation311">
    <w:name w:val="Tableau Grille 1 Clair - Accentuation 311"/>
    <w:basedOn w:val="TableauNormal"/>
    <w:uiPriority w:val="46"/>
    <w:rsid w:val="00BB49EE"/>
    <w:pPr>
      <w:spacing w:after="0" w:line="240" w:lineRule="auto"/>
    </w:pPr>
    <w:rPr>
      <w:rFonts w:ascii="Calibri" w:eastAsia="Times New Roman" w:hAnsi="Calibri" w:cs="Arial"/>
      <w:sz w:val="20"/>
      <w:szCs w:val="20"/>
      <w:lang w:val="fr-FR" w:eastAsia="fr-FR"/>
    </w:rPr>
    <w:tblPr>
      <w:tblStyleRowBandSize w:val="1"/>
      <w:tblStyleColBandSize w:val="1"/>
      <w:tblBorders>
        <w:top w:val="single" w:sz="4" w:space="0" w:color="A8CBEE"/>
        <w:left w:val="single" w:sz="4" w:space="0" w:color="A8CBEE"/>
        <w:bottom w:val="single" w:sz="4" w:space="0" w:color="A8CBEE"/>
        <w:right w:val="single" w:sz="4" w:space="0" w:color="A8CBEE"/>
        <w:insideH w:val="single" w:sz="4" w:space="0" w:color="A8CBEE"/>
        <w:insideV w:val="single" w:sz="4" w:space="0" w:color="A8CBEE"/>
      </w:tblBorders>
    </w:tblPr>
    <w:tblStylePr w:type="firstRow">
      <w:rPr>
        <w:b/>
        <w:bCs/>
      </w:rPr>
      <w:tblPr/>
      <w:tcPr>
        <w:tcBorders>
          <w:bottom w:val="single" w:sz="12" w:space="0" w:color="7EB1E6"/>
        </w:tcBorders>
      </w:tcPr>
    </w:tblStylePr>
    <w:tblStylePr w:type="lastRow">
      <w:rPr>
        <w:b/>
        <w:bCs/>
      </w:rPr>
      <w:tblPr/>
      <w:tcPr>
        <w:tcBorders>
          <w:top w:val="double" w:sz="2" w:space="0" w:color="7EB1E6"/>
        </w:tcBorders>
      </w:tcPr>
    </w:tblStylePr>
    <w:tblStylePr w:type="firstCol">
      <w:rPr>
        <w:b/>
        <w:bCs/>
      </w:rPr>
    </w:tblStylePr>
    <w:tblStylePr w:type="lastCol">
      <w:rPr>
        <w:b/>
        <w:bCs/>
      </w:rPr>
    </w:tblStylePr>
  </w:style>
  <w:style w:type="paragraph" w:customStyle="1" w:styleId="StyleCorpsdetexteCalibri">
    <w:name w:val="Style Corps de texte + Calibri"/>
    <w:basedOn w:val="Corpsdetexte"/>
    <w:rsid w:val="00BB49EE"/>
    <w:pPr>
      <w:autoSpaceDE w:val="0"/>
      <w:autoSpaceDN w:val="0"/>
      <w:adjustRightInd w:val="0"/>
      <w:spacing w:after="240" w:line="240" w:lineRule="auto"/>
      <w:jc w:val="both"/>
    </w:pPr>
    <w:rPr>
      <w:rFonts w:eastAsia="Times New Roman"/>
      <w:lang w:val="fr-FR"/>
    </w:rPr>
  </w:style>
  <w:style w:type="paragraph" w:customStyle="1" w:styleId="font5">
    <w:name w:val="font5"/>
    <w:basedOn w:val="Normal"/>
    <w:rsid w:val="00BB49EE"/>
    <w:pPr>
      <w:spacing w:before="100" w:beforeAutospacing="1" w:after="100" w:afterAutospacing="1" w:line="240" w:lineRule="auto"/>
      <w:jc w:val="left"/>
    </w:pPr>
    <w:rPr>
      <w:rFonts w:cs="Calibri"/>
      <w:b/>
      <w:bCs/>
      <w:lang w:eastAsia="fr-FR" w:bidi="ar-SA"/>
    </w:rPr>
  </w:style>
  <w:style w:type="paragraph" w:customStyle="1" w:styleId="font6">
    <w:name w:val="font6"/>
    <w:basedOn w:val="Normal"/>
    <w:rsid w:val="00BB49EE"/>
    <w:pPr>
      <w:spacing w:before="100" w:beforeAutospacing="1" w:after="100" w:afterAutospacing="1" w:line="240" w:lineRule="auto"/>
      <w:jc w:val="left"/>
    </w:pPr>
    <w:rPr>
      <w:rFonts w:cs="Calibri"/>
      <w:b/>
      <w:bCs/>
      <w:lang w:eastAsia="fr-FR" w:bidi="ar-SA"/>
    </w:rPr>
  </w:style>
  <w:style w:type="paragraph" w:customStyle="1" w:styleId="xl161">
    <w:name w:val="xl161"/>
    <w:basedOn w:val="Normal"/>
    <w:rsid w:val="00BB49EE"/>
    <w:pPr>
      <w:shd w:val="clear" w:color="000000" w:fill="FFFFFF"/>
      <w:spacing w:before="100" w:beforeAutospacing="1" w:after="100" w:afterAutospacing="1" w:line="240" w:lineRule="auto"/>
      <w:jc w:val="left"/>
      <w:textAlignment w:val="center"/>
    </w:pPr>
    <w:rPr>
      <w:rFonts w:ascii="Times New Roman" w:hAnsi="Times New Roman" w:cs="Times New Roman"/>
      <w:sz w:val="24"/>
      <w:szCs w:val="24"/>
      <w:lang w:eastAsia="fr-FR" w:bidi="ar-SA"/>
    </w:rPr>
  </w:style>
  <w:style w:type="paragraph" w:customStyle="1" w:styleId="xl162">
    <w:name w:val="xl162"/>
    <w:basedOn w:val="Normal"/>
    <w:rsid w:val="00BB49EE"/>
    <w:pPr>
      <w:shd w:val="clear" w:color="000000" w:fill="FFFFFF"/>
      <w:spacing w:before="100" w:beforeAutospacing="1" w:after="100" w:afterAutospacing="1" w:line="240" w:lineRule="auto"/>
      <w:jc w:val="center"/>
      <w:textAlignment w:val="center"/>
    </w:pPr>
    <w:rPr>
      <w:rFonts w:ascii="Times New Roman" w:hAnsi="Times New Roman" w:cs="Times New Roman"/>
      <w:sz w:val="24"/>
      <w:szCs w:val="24"/>
      <w:lang w:eastAsia="fr-FR" w:bidi="ar-SA"/>
    </w:rPr>
  </w:style>
  <w:style w:type="paragraph" w:customStyle="1" w:styleId="xl163">
    <w:name w:val="xl163"/>
    <w:basedOn w:val="Normal"/>
    <w:rsid w:val="00BB49EE"/>
    <w:pPr>
      <w:shd w:val="clear" w:color="000000" w:fill="FFFFFF"/>
      <w:spacing w:before="100" w:beforeAutospacing="1" w:after="100" w:afterAutospacing="1" w:line="240" w:lineRule="auto"/>
      <w:jc w:val="left"/>
      <w:textAlignment w:val="center"/>
    </w:pPr>
    <w:rPr>
      <w:rFonts w:ascii="Times New Roman" w:hAnsi="Times New Roman" w:cs="Times New Roman"/>
      <w:sz w:val="24"/>
      <w:szCs w:val="24"/>
      <w:lang w:eastAsia="fr-FR" w:bidi="ar-SA"/>
    </w:rPr>
  </w:style>
  <w:style w:type="paragraph" w:customStyle="1" w:styleId="xl164">
    <w:name w:val="xl164"/>
    <w:basedOn w:val="Normal"/>
    <w:rsid w:val="00BB49EE"/>
    <w:pPr>
      <w:shd w:val="clear" w:color="000000" w:fill="FFFFFF"/>
      <w:spacing w:before="100" w:beforeAutospacing="1" w:after="100" w:afterAutospacing="1" w:line="240" w:lineRule="auto"/>
      <w:jc w:val="left"/>
      <w:textAlignment w:val="center"/>
    </w:pPr>
    <w:rPr>
      <w:rFonts w:ascii="Times New Roman" w:hAnsi="Times New Roman" w:cs="Times New Roman"/>
      <w:b/>
      <w:bCs/>
      <w:sz w:val="24"/>
      <w:szCs w:val="24"/>
      <w:lang w:eastAsia="fr-FR" w:bidi="ar-SA"/>
    </w:rPr>
  </w:style>
  <w:style w:type="paragraph" w:customStyle="1" w:styleId="xl165">
    <w:name w:val="xl165"/>
    <w:basedOn w:val="Normal"/>
    <w:rsid w:val="00BB49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cs="Times New Roman"/>
      <w:sz w:val="24"/>
      <w:szCs w:val="24"/>
      <w:lang w:eastAsia="fr-FR" w:bidi="ar-SA"/>
    </w:rPr>
  </w:style>
  <w:style w:type="paragraph" w:customStyle="1" w:styleId="xl166">
    <w:name w:val="xl166"/>
    <w:basedOn w:val="Normal"/>
    <w:rsid w:val="00BB49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cs="Times New Roman"/>
      <w:sz w:val="24"/>
      <w:szCs w:val="24"/>
      <w:lang w:eastAsia="fr-FR" w:bidi="ar-SA"/>
    </w:rPr>
  </w:style>
  <w:style w:type="paragraph" w:customStyle="1" w:styleId="xl167">
    <w:name w:val="xl167"/>
    <w:basedOn w:val="Normal"/>
    <w:rsid w:val="00BB49EE"/>
    <w:pPr>
      <w:shd w:val="clear" w:color="000000" w:fill="FFFFFF"/>
      <w:spacing w:before="100" w:beforeAutospacing="1" w:after="100" w:afterAutospacing="1" w:line="240" w:lineRule="auto"/>
      <w:jc w:val="center"/>
      <w:textAlignment w:val="center"/>
    </w:pPr>
    <w:rPr>
      <w:rFonts w:ascii="Times New Roman" w:hAnsi="Times New Roman" w:cs="Times New Roman"/>
      <w:sz w:val="24"/>
      <w:szCs w:val="24"/>
      <w:lang w:eastAsia="fr-FR" w:bidi="ar-SA"/>
    </w:rPr>
  </w:style>
  <w:style w:type="paragraph" w:customStyle="1" w:styleId="xl168">
    <w:name w:val="xl168"/>
    <w:basedOn w:val="Normal"/>
    <w:rsid w:val="00BB49EE"/>
    <w:pPr>
      <w:pBdr>
        <w:top w:val="single" w:sz="4" w:space="0" w:color="auto"/>
        <w:left w:val="single" w:sz="4" w:space="0" w:color="auto"/>
        <w:bottom w:val="single" w:sz="4" w:space="0" w:color="auto"/>
        <w:right w:val="single" w:sz="4" w:space="0" w:color="auto"/>
      </w:pBdr>
      <w:shd w:val="clear" w:color="000000" w:fill="DDEBF7"/>
      <w:spacing w:before="100" w:beforeAutospacing="1" w:after="100" w:afterAutospacing="1" w:line="240" w:lineRule="auto"/>
      <w:jc w:val="center"/>
      <w:textAlignment w:val="center"/>
    </w:pPr>
    <w:rPr>
      <w:rFonts w:ascii="Times New Roman" w:hAnsi="Times New Roman" w:cs="Times New Roman"/>
      <w:b/>
      <w:bCs/>
      <w:sz w:val="24"/>
      <w:szCs w:val="24"/>
      <w:lang w:eastAsia="fr-FR" w:bidi="ar-SA"/>
    </w:rPr>
  </w:style>
  <w:style w:type="paragraph" w:customStyle="1" w:styleId="xl169">
    <w:name w:val="xl169"/>
    <w:basedOn w:val="Normal"/>
    <w:rsid w:val="00BB49EE"/>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line="240" w:lineRule="auto"/>
      <w:jc w:val="center"/>
      <w:textAlignment w:val="center"/>
    </w:pPr>
    <w:rPr>
      <w:rFonts w:ascii="Times New Roman" w:hAnsi="Times New Roman" w:cs="Times New Roman"/>
      <w:b/>
      <w:bCs/>
      <w:sz w:val="24"/>
      <w:szCs w:val="24"/>
      <w:lang w:eastAsia="fr-FR" w:bidi="ar-SA"/>
    </w:rPr>
  </w:style>
  <w:style w:type="paragraph" w:customStyle="1" w:styleId="xl170">
    <w:name w:val="xl170"/>
    <w:basedOn w:val="Normal"/>
    <w:rsid w:val="00BB49EE"/>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line="240" w:lineRule="auto"/>
      <w:jc w:val="left"/>
      <w:textAlignment w:val="center"/>
    </w:pPr>
    <w:rPr>
      <w:rFonts w:ascii="Times New Roman" w:hAnsi="Times New Roman" w:cs="Times New Roman"/>
      <w:b/>
      <w:bCs/>
      <w:sz w:val="24"/>
      <w:szCs w:val="24"/>
      <w:lang w:eastAsia="fr-FR" w:bidi="ar-SA"/>
    </w:rPr>
  </w:style>
  <w:style w:type="paragraph" w:customStyle="1" w:styleId="xl171">
    <w:name w:val="xl171"/>
    <w:basedOn w:val="Normal"/>
    <w:rsid w:val="00BB49EE"/>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cs="Times New Roman"/>
      <w:sz w:val="24"/>
      <w:szCs w:val="24"/>
      <w:lang w:eastAsia="fr-FR" w:bidi="ar-SA"/>
    </w:rPr>
  </w:style>
  <w:style w:type="paragraph" w:customStyle="1" w:styleId="xl172">
    <w:name w:val="xl172"/>
    <w:basedOn w:val="Normal"/>
    <w:rsid w:val="00BB49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left"/>
      <w:textAlignment w:val="center"/>
    </w:pPr>
    <w:rPr>
      <w:rFonts w:ascii="Times New Roman" w:hAnsi="Times New Roman" w:cs="Times New Roman"/>
      <w:sz w:val="24"/>
      <w:szCs w:val="24"/>
      <w:lang w:eastAsia="fr-FR" w:bidi="ar-SA"/>
    </w:rPr>
  </w:style>
  <w:style w:type="paragraph" w:customStyle="1" w:styleId="xl173">
    <w:name w:val="xl173"/>
    <w:basedOn w:val="Normal"/>
    <w:rsid w:val="00BB49EE"/>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left"/>
      <w:textAlignment w:val="center"/>
    </w:pPr>
    <w:rPr>
      <w:rFonts w:ascii="Times New Roman" w:hAnsi="Times New Roman" w:cs="Times New Roman"/>
      <w:sz w:val="24"/>
      <w:szCs w:val="24"/>
      <w:lang w:eastAsia="fr-FR" w:bidi="ar-SA"/>
    </w:rPr>
  </w:style>
  <w:style w:type="paragraph" w:customStyle="1" w:styleId="xl174">
    <w:name w:val="xl174"/>
    <w:basedOn w:val="Normal"/>
    <w:rsid w:val="00BB49EE"/>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cs="Times New Roman"/>
      <w:sz w:val="24"/>
      <w:szCs w:val="24"/>
      <w:lang w:eastAsia="fr-FR" w:bidi="ar-SA"/>
    </w:rPr>
  </w:style>
  <w:style w:type="paragraph" w:customStyle="1" w:styleId="xl175">
    <w:name w:val="xl175"/>
    <w:basedOn w:val="Normal"/>
    <w:rsid w:val="00BB49EE"/>
    <w:pPr>
      <w:pBdr>
        <w:top w:val="single" w:sz="8" w:space="0" w:color="auto"/>
        <w:left w:val="single" w:sz="8" w:space="0" w:color="auto"/>
        <w:bottom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cs="Times New Roman"/>
      <w:b/>
      <w:bCs/>
      <w:sz w:val="24"/>
      <w:szCs w:val="24"/>
      <w:lang w:eastAsia="fr-FR" w:bidi="ar-SA"/>
    </w:rPr>
  </w:style>
  <w:style w:type="paragraph" w:customStyle="1" w:styleId="xl176">
    <w:name w:val="xl176"/>
    <w:basedOn w:val="Normal"/>
    <w:rsid w:val="00BB49EE"/>
    <w:pPr>
      <w:pBdr>
        <w:top w:val="single" w:sz="8"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jc w:val="left"/>
      <w:textAlignment w:val="center"/>
    </w:pPr>
    <w:rPr>
      <w:rFonts w:ascii="Times New Roman" w:hAnsi="Times New Roman" w:cs="Times New Roman"/>
      <w:b/>
      <w:bCs/>
      <w:sz w:val="24"/>
      <w:szCs w:val="24"/>
      <w:lang w:eastAsia="fr-FR" w:bidi="ar-SA"/>
    </w:rPr>
  </w:style>
  <w:style w:type="paragraph" w:customStyle="1" w:styleId="xl177">
    <w:name w:val="xl177"/>
    <w:basedOn w:val="Normal"/>
    <w:rsid w:val="00BB49EE"/>
    <w:pPr>
      <w:pBdr>
        <w:top w:val="single" w:sz="8"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cs="Times New Roman"/>
      <w:b/>
      <w:bCs/>
      <w:sz w:val="24"/>
      <w:szCs w:val="24"/>
      <w:lang w:eastAsia="fr-FR" w:bidi="ar-SA"/>
    </w:rPr>
  </w:style>
  <w:style w:type="paragraph" w:customStyle="1" w:styleId="xl178">
    <w:name w:val="xl178"/>
    <w:basedOn w:val="Normal"/>
    <w:rsid w:val="00BB49EE"/>
    <w:pPr>
      <w:pBdr>
        <w:top w:val="single" w:sz="8"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cs="Times New Roman"/>
      <w:b/>
      <w:bCs/>
      <w:sz w:val="24"/>
      <w:szCs w:val="24"/>
      <w:lang w:eastAsia="fr-FR" w:bidi="ar-SA"/>
    </w:rPr>
  </w:style>
  <w:style w:type="paragraph" w:customStyle="1" w:styleId="xl179">
    <w:name w:val="xl179"/>
    <w:basedOn w:val="Normal"/>
    <w:rsid w:val="00BB49EE"/>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line="240" w:lineRule="auto"/>
      <w:jc w:val="center"/>
      <w:textAlignment w:val="center"/>
    </w:pPr>
    <w:rPr>
      <w:rFonts w:ascii="Times New Roman" w:hAnsi="Times New Roman" w:cs="Times New Roman"/>
      <w:b/>
      <w:bCs/>
      <w:sz w:val="24"/>
      <w:szCs w:val="24"/>
      <w:lang w:eastAsia="fr-FR" w:bidi="ar-SA"/>
    </w:rPr>
  </w:style>
  <w:style w:type="paragraph" w:customStyle="1" w:styleId="xl180">
    <w:name w:val="xl180"/>
    <w:basedOn w:val="Normal"/>
    <w:rsid w:val="00BB49EE"/>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cs="Times New Roman"/>
      <w:sz w:val="24"/>
      <w:szCs w:val="24"/>
      <w:lang w:eastAsia="fr-FR" w:bidi="ar-SA"/>
    </w:rPr>
  </w:style>
  <w:style w:type="paragraph" w:customStyle="1" w:styleId="xl181">
    <w:name w:val="xl181"/>
    <w:basedOn w:val="Normal"/>
    <w:rsid w:val="00BB49EE"/>
    <w:pPr>
      <w:pBdr>
        <w:top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cs="Times New Roman"/>
      <w:b/>
      <w:bCs/>
      <w:sz w:val="24"/>
      <w:szCs w:val="24"/>
      <w:lang w:eastAsia="fr-FR" w:bidi="ar-SA"/>
    </w:rPr>
  </w:style>
  <w:style w:type="paragraph" w:customStyle="1" w:styleId="xl182">
    <w:name w:val="xl182"/>
    <w:basedOn w:val="Normal"/>
    <w:rsid w:val="00BB49EE"/>
    <w:pPr>
      <w:pBdr>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cs="Times New Roman"/>
      <w:b/>
      <w:bCs/>
      <w:sz w:val="24"/>
      <w:szCs w:val="24"/>
      <w:lang w:eastAsia="fr-FR" w:bidi="ar-SA"/>
    </w:rPr>
  </w:style>
  <w:style w:type="paragraph" w:customStyle="1" w:styleId="xl183">
    <w:name w:val="xl183"/>
    <w:basedOn w:val="Normal"/>
    <w:rsid w:val="00BB49EE"/>
    <w:pPr>
      <w:pBdr>
        <w:bottom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cs="Times New Roman"/>
      <w:b/>
      <w:bCs/>
      <w:sz w:val="24"/>
      <w:szCs w:val="24"/>
      <w:lang w:eastAsia="fr-FR" w:bidi="ar-SA"/>
    </w:rPr>
  </w:style>
  <w:style w:type="paragraph" w:customStyle="1" w:styleId="xl184">
    <w:name w:val="xl184"/>
    <w:basedOn w:val="Normal"/>
    <w:rsid w:val="00BB49EE"/>
    <w:pPr>
      <w:pBdr>
        <w:top w:val="single" w:sz="4" w:space="0" w:color="auto"/>
        <w:left w:val="single" w:sz="4" w:space="0" w:color="auto"/>
        <w:bottom w:val="single" w:sz="4" w:space="0" w:color="auto"/>
        <w:right w:val="single" w:sz="4" w:space="0" w:color="auto"/>
      </w:pBdr>
      <w:shd w:val="clear" w:color="000000" w:fill="DDEBF7"/>
      <w:spacing w:before="100" w:beforeAutospacing="1" w:after="100" w:afterAutospacing="1" w:line="240" w:lineRule="auto"/>
      <w:jc w:val="center"/>
      <w:textAlignment w:val="center"/>
    </w:pPr>
    <w:rPr>
      <w:rFonts w:ascii="Times New Roman" w:hAnsi="Times New Roman" w:cs="Times New Roman"/>
      <w:b/>
      <w:bCs/>
      <w:sz w:val="24"/>
      <w:szCs w:val="24"/>
      <w:lang w:eastAsia="fr-FR" w:bidi="ar-SA"/>
    </w:rPr>
  </w:style>
  <w:style w:type="paragraph" w:customStyle="1" w:styleId="xl185">
    <w:name w:val="xl185"/>
    <w:basedOn w:val="Normal"/>
    <w:rsid w:val="00BB49EE"/>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cs="Times New Roman"/>
      <w:sz w:val="24"/>
      <w:szCs w:val="24"/>
      <w:lang w:eastAsia="fr-FR" w:bidi="ar-SA"/>
    </w:rPr>
  </w:style>
  <w:style w:type="paragraph" w:customStyle="1" w:styleId="xl186">
    <w:name w:val="xl186"/>
    <w:basedOn w:val="Normal"/>
    <w:rsid w:val="00BB49EE"/>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cs="Times New Roman"/>
      <w:b/>
      <w:bCs/>
      <w:sz w:val="24"/>
      <w:szCs w:val="24"/>
      <w:lang w:eastAsia="fr-FR" w:bidi="ar-SA"/>
    </w:rPr>
  </w:style>
  <w:style w:type="paragraph" w:customStyle="1" w:styleId="xl187">
    <w:name w:val="xl187"/>
    <w:basedOn w:val="Normal"/>
    <w:rsid w:val="00BB49EE"/>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cs="Times New Roman"/>
      <w:b/>
      <w:bCs/>
      <w:sz w:val="24"/>
      <w:szCs w:val="24"/>
      <w:lang w:eastAsia="fr-FR" w:bidi="ar-SA"/>
    </w:rPr>
  </w:style>
  <w:style w:type="paragraph" w:customStyle="1" w:styleId="xl188">
    <w:name w:val="xl188"/>
    <w:basedOn w:val="Normal"/>
    <w:rsid w:val="00BB49EE"/>
    <w:pPr>
      <w:pBdr>
        <w:top w:val="single" w:sz="8"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cs="Times New Roman"/>
      <w:sz w:val="24"/>
      <w:szCs w:val="24"/>
      <w:lang w:eastAsia="fr-FR" w:bidi="ar-SA"/>
    </w:rPr>
  </w:style>
  <w:style w:type="paragraph" w:customStyle="1" w:styleId="xl189">
    <w:name w:val="xl189"/>
    <w:basedOn w:val="Normal"/>
    <w:rsid w:val="00BB49EE"/>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cs="Times New Roman"/>
      <w:sz w:val="24"/>
      <w:szCs w:val="24"/>
      <w:lang w:eastAsia="fr-FR" w:bidi="ar-SA"/>
    </w:rPr>
  </w:style>
  <w:style w:type="paragraph" w:customStyle="1" w:styleId="xl190">
    <w:name w:val="xl190"/>
    <w:basedOn w:val="Normal"/>
    <w:rsid w:val="00BB49EE"/>
    <w:pPr>
      <w:pBdr>
        <w:left w:val="single" w:sz="4" w:space="0" w:color="auto"/>
        <w:bottom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cs="Times New Roman"/>
      <w:sz w:val="24"/>
      <w:szCs w:val="24"/>
      <w:lang w:eastAsia="fr-FR" w:bidi="ar-SA"/>
    </w:rPr>
  </w:style>
  <w:style w:type="paragraph" w:customStyle="1" w:styleId="Index11">
    <w:name w:val="Index 11"/>
    <w:basedOn w:val="Normal"/>
    <w:next w:val="Normal"/>
    <w:autoRedefine/>
    <w:semiHidden/>
    <w:rsid w:val="00BB49EE"/>
    <w:pPr>
      <w:spacing w:before="0" w:after="0" w:line="260" w:lineRule="atLeast"/>
      <w:ind w:left="240" w:hanging="240"/>
      <w:jc w:val="left"/>
    </w:pPr>
    <w:rPr>
      <w:rFonts w:eastAsia="DengXian"/>
      <w:sz w:val="20"/>
      <w:szCs w:val="20"/>
      <w:lang w:bidi="ar-SA"/>
    </w:rPr>
  </w:style>
  <w:style w:type="paragraph" w:customStyle="1" w:styleId="Index21">
    <w:name w:val="Index 21"/>
    <w:basedOn w:val="Normal"/>
    <w:next w:val="Normal"/>
    <w:autoRedefine/>
    <w:semiHidden/>
    <w:rsid w:val="00BB49EE"/>
    <w:pPr>
      <w:spacing w:before="0" w:after="0" w:line="260" w:lineRule="atLeast"/>
      <w:ind w:left="480" w:hanging="240"/>
      <w:jc w:val="left"/>
    </w:pPr>
    <w:rPr>
      <w:rFonts w:eastAsia="DengXian"/>
      <w:sz w:val="20"/>
      <w:szCs w:val="20"/>
      <w:lang w:bidi="ar-SA"/>
    </w:rPr>
  </w:style>
  <w:style w:type="paragraph" w:customStyle="1" w:styleId="Index31">
    <w:name w:val="Index 31"/>
    <w:basedOn w:val="Normal"/>
    <w:next w:val="Normal"/>
    <w:autoRedefine/>
    <w:semiHidden/>
    <w:rsid w:val="00BB49EE"/>
    <w:pPr>
      <w:spacing w:before="0" w:after="0" w:line="260" w:lineRule="atLeast"/>
      <w:ind w:left="720" w:hanging="240"/>
      <w:jc w:val="left"/>
    </w:pPr>
    <w:rPr>
      <w:rFonts w:eastAsia="DengXian"/>
      <w:sz w:val="20"/>
      <w:szCs w:val="20"/>
      <w:lang w:bidi="ar-SA"/>
    </w:rPr>
  </w:style>
  <w:style w:type="paragraph" w:customStyle="1" w:styleId="Index41">
    <w:name w:val="Index 41"/>
    <w:basedOn w:val="Normal"/>
    <w:next w:val="Normal"/>
    <w:autoRedefine/>
    <w:semiHidden/>
    <w:rsid w:val="00BB49EE"/>
    <w:pPr>
      <w:spacing w:before="0" w:after="0" w:line="260" w:lineRule="atLeast"/>
      <w:ind w:left="960" w:hanging="240"/>
      <w:jc w:val="left"/>
    </w:pPr>
    <w:rPr>
      <w:rFonts w:eastAsia="DengXian"/>
      <w:sz w:val="20"/>
      <w:szCs w:val="20"/>
      <w:lang w:bidi="ar-SA"/>
    </w:rPr>
  </w:style>
  <w:style w:type="paragraph" w:customStyle="1" w:styleId="Index51">
    <w:name w:val="Index 51"/>
    <w:basedOn w:val="Normal"/>
    <w:next w:val="Normal"/>
    <w:autoRedefine/>
    <w:semiHidden/>
    <w:rsid w:val="00BB49EE"/>
    <w:pPr>
      <w:spacing w:before="0" w:after="0" w:line="260" w:lineRule="atLeast"/>
      <w:ind w:left="1200" w:hanging="240"/>
      <w:jc w:val="left"/>
    </w:pPr>
    <w:rPr>
      <w:rFonts w:eastAsia="DengXian"/>
      <w:sz w:val="20"/>
      <w:szCs w:val="20"/>
      <w:lang w:bidi="ar-SA"/>
    </w:rPr>
  </w:style>
  <w:style w:type="paragraph" w:customStyle="1" w:styleId="Index61">
    <w:name w:val="Index 61"/>
    <w:basedOn w:val="Normal"/>
    <w:next w:val="Normal"/>
    <w:autoRedefine/>
    <w:semiHidden/>
    <w:rsid w:val="00BB49EE"/>
    <w:pPr>
      <w:spacing w:before="0" w:after="0" w:line="260" w:lineRule="atLeast"/>
      <w:ind w:left="1440" w:hanging="240"/>
      <w:jc w:val="left"/>
    </w:pPr>
    <w:rPr>
      <w:rFonts w:eastAsia="DengXian"/>
      <w:sz w:val="20"/>
      <w:szCs w:val="20"/>
      <w:lang w:bidi="ar-SA"/>
    </w:rPr>
  </w:style>
  <w:style w:type="paragraph" w:customStyle="1" w:styleId="Index81">
    <w:name w:val="Index 81"/>
    <w:basedOn w:val="Normal"/>
    <w:next w:val="Normal"/>
    <w:autoRedefine/>
    <w:semiHidden/>
    <w:rsid w:val="00BB49EE"/>
    <w:pPr>
      <w:spacing w:before="0" w:after="0" w:line="260" w:lineRule="atLeast"/>
      <w:ind w:left="1920" w:hanging="240"/>
      <w:jc w:val="left"/>
    </w:pPr>
    <w:rPr>
      <w:rFonts w:eastAsia="DengXian"/>
      <w:sz w:val="20"/>
      <w:szCs w:val="20"/>
      <w:lang w:bidi="ar-SA"/>
    </w:rPr>
  </w:style>
  <w:style w:type="paragraph" w:customStyle="1" w:styleId="Index91">
    <w:name w:val="Index 91"/>
    <w:basedOn w:val="Normal"/>
    <w:next w:val="Normal"/>
    <w:autoRedefine/>
    <w:semiHidden/>
    <w:rsid w:val="00BB49EE"/>
    <w:pPr>
      <w:spacing w:before="0" w:after="0" w:line="260" w:lineRule="atLeast"/>
      <w:ind w:left="2160" w:hanging="240"/>
      <w:jc w:val="left"/>
    </w:pPr>
    <w:rPr>
      <w:rFonts w:eastAsia="DengXian"/>
      <w:sz w:val="20"/>
      <w:szCs w:val="20"/>
      <w:lang w:bidi="ar-SA"/>
    </w:rPr>
  </w:style>
  <w:style w:type="paragraph" w:customStyle="1" w:styleId="Titreindex1">
    <w:name w:val="Titre index1"/>
    <w:basedOn w:val="Normal"/>
    <w:next w:val="Index1"/>
    <w:semiHidden/>
    <w:rsid w:val="00BB49EE"/>
    <w:pPr>
      <w:spacing w:before="0" w:after="0" w:line="260" w:lineRule="atLeast"/>
      <w:jc w:val="left"/>
    </w:pPr>
    <w:rPr>
      <w:rFonts w:eastAsia="DengXian"/>
      <w:b/>
      <w:bCs/>
      <w:sz w:val="20"/>
      <w:szCs w:val="20"/>
      <w:lang w:bidi="ar-SA"/>
    </w:rPr>
  </w:style>
  <w:style w:type="paragraph" w:customStyle="1" w:styleId="Textedemacro1">
    <w:name w:val="Texte de macro1"/>
    <w:next w:val="Textedemacro"/>
    <w:link w:val="TextedemacroCar"/>
    <w:semiHidden/>
    <w:rsid w:val="00BB49EE"/>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DengXian" w:hAnsi="Courier New" w:cs="Courier New"/>
      <w:lang w:val="en-US" w:eastAsia="en-AU"/>
    </w:rPr>
  </w:style>
  <w:style w:type="character" w:customStyle="1" w:styleId="TextedemacroCar">
    <w:name w:val="Texte de macro Car"/>
    <w:basedOn w:val="Policepardfaut"/>
    <w:link w:val="Textedemacro1"/>
    <w:semiHidden/>
    <w:rsid w:val="00BB49EE"/>
    <w:rPr>
      <w:rFonts w:ascii="Courier New" w:eastAsia="DengXian" w:hAnsi="Courier New" w:cs="Courier New"/>
      <w:lang w:val="en-US" w:eastAsia="en-AU"/>
    </w:rPr>
  </w:style>
  <w:style w:type="paragraph" w:customStyle="1" w:styleId="Tabledesrfrencesjuridiques1">
    <w:name w:val="Table des références juridiques1"/>
    <w:basedOn w:val="Normal"/>
    <w:next w:val="Normal"/>
    <w:semiHidden/>
    <w:rsid w:val="00BB49EE"/>
    <w:pPr>
      <w:spacing w:before="0" w:after="0" w:line="260" w:lineRule="atLeast"/>
      <w:ind w:left="240" w:hanging="240"/>
      <w:jc w:val="left"/>
    </w:pPr>
    <w:rPr>
      <w:rFonts w:eastAsia="DengXian"/>
      <w:sz w:val="20"/>
      <w:szCs w:val="20"/>
      <w:lang w:bidi="ar-SA"/>
    </w:rPr>
  </w:style>
  <w:style w:type="paragraph" w:customStyle="1" w:styleId="TitreTR1">
    <w:name w:val="Titre TR1"/>
    <w:basedOn w:val="Normal"/>
    <w:next w:val="Normal"/>
    <w:semiHidden/>
    <w:rsid w:val="00BB49EE"/>
    <w:pPr>
      <w:spacing w:after="0" w:line="260" w:lineRule="atLeast"/>
      <w:jc w:val="left"/>
    </w:pPr>
    <w:rPr>
      <w:rFonts w:eastAsia="DengXian"/>
      <w:b/>
      <w:bCs/>
      <w:sz w:val="20"/>
      <w:szCs w:val="20"/>
      <w:lang w:bidi="ar-SA"/>
    </w:rPr>
  </w:style>
  <w:style w:type="paragraph" w:customStyle="1" w:styleId="TOC-title">
    <w:name w:val="TOC - title"/>
    <w:basedOn w:val="Normal"/>
    <w:next w:val="Corpsdetexte"/>
    <w:semiHidden/>
    <w:rsid w:val="00BB49EE"/>
    <w:pPr>
      <w:keepNext/>
      <w:spacing w:before="0" w:after="360" w:line="260" w:lineRule="atLeast"/>
      <w:jc w:val="center"/>
    </w:pPr>
    <w:rPr>
      <w:rFonts w:eastAsia="DengXian"/>
      <w:b/>
      <w:bCs/>
      <w:caps/>
      <w:sz w:val="28"/>
      <w:szCs w:val="20"/>
      <w:lang w:bidi="ar-SA"/>
    </w:rPr>
  </w:style>
  <w:style w:type="paragraph" w:customStyle="1" w:styleId="TOC-othertext">
    <w:name w:val="TOC - other text"/>
    <w:basedOn w:val="TM2"/>
    <w:semiHidden/>
    <w:rsid w:val="00BB49EE"/>
    <w:pPr>
      <w:tabs>
        <w:tab w:val="clear" w:pos="851"/>
        <w:tab w:val="clear" w:pos="1100"/>
        <w:tab w:val="clear" w:pos="9062"/>
        <w:tab w:val="left" w:pos="880"/>
        <w:tab w:val="right" w:leader="dot" w:pos="9356"/>
        <w:tab w:val="right" w:leader="underscore" w:pos="9628"/>
      </w:tabs>
      <w:spacing w:before="60" w:after="0" w:line="240" w:lineRule="exact"/>
      <w:ind w:left="1276" w:right="454" w:hanging="709"/>
      <w:contextualSpacing/>
      <w:jc w:val="left"/>
    </w:pPr>
    <w:rPr>
      <w:rFonts w:eastAsia="DengXian"/>
      <w:b/>
      <w:bCs/>
      <w:smallCaps/>
      <w:sz w:val="18"/>
      <w:szCs w:val="20"/>
      <w:lang w:bidi="ar-SA"/>
    </w:rPr>
  </w:style>
  <w:style w:type="paragraph" w:customStyle="1" w:styleId="PrefaceHeading">
    <w:name w:val="Preface Heading"/>
    <w:basedOn w:val="Titre1"/>
    <w:next w:val="Corpsdetexte"/>
    <w:semiHidden/>
    <w:rsid w:val="00BB49EE"/>
    <w:pPr>
      <w:keepLines w:val="0"/>
      <w:spacing w:before="0" w:after="240" w:line="260" w:lineRule="atLeast"/>
      <w:jc w:val="left"/>
    </w:pPr>
    <w:rPr>
      <w:rFonts w:ascii="Calibri" w:eastAsia="DengXian" w:hAnsi="Calibri" w:cs="Arial"/>
      <w:bCs/>
      <w:caps/>
      <w:color w:val="242852"/>
      <w:sz w:val="24"/>
      <w:szCs w:val="20"/>
      <w:lang w:bidi="ar-SA"/>
    </w:rPr>
  </w:style>
  <w:style w:type="paragraph" w:customStyle="1" w:styleId="TOC-otherhead">
    <w:name w:val="TOC - other head"/>
    <w:basedOn w:val="TM1"/>
    <w:next w:val="TOC-othertext"/>
    <w:semiHidden/>
    <w:rsid w:val="00BB49EE"/>
    <w:pPr>
      <w:tabs>
        <w:tab w:val="right" w:leader="dot" w:pos="8280"/>
        <w:tab w:val="right" w:leader="dot" w:pos="9356"/>
      </w:tabs>
      <w:spacing w:before="0" w:after="0" w:line="280" w:lineRule="exact"/>
      <w:ind w:left="567" w:right="454" w:hanging="567"/>
      <w:jc w:val="left"/>
    </w:pPr>
    <w:rPr>
      <w:rFonts w:eastAsia="DengXian"/>
      <w:b/>
      <w:bCs/>
      <w:i/>
      <w:iCs/>
      <w:color w:val="242852"/>
      <w:sz w:val="24"/>
      <w:szCs w:val="20"/>
      <w:u w:val="single"/>
      <w:lang w:bidi="ar-SA"/>
    </w:rPr>
  </w:style>
  <w:style w:type="paragraph" w:customStyle="1" w:styleId="Tab-head">
    <w:name w:val="Tab - head"/>
    <w:basedOn w:val="TOC-title"/>
    <w:semiHidden/>
    <w:rsid w:val="00BB49EE"/>
    <w:pPr>
      <w:spacing w:before="1920"/>
    </w:pPr>
  </w:style>
  <w:style w:type="paragraph" w:customStyle="1" w:styleId="PageLeftBlank">
    <w:name w:val="Page Left Blank"/>
    <w:basedOn w:val="Corpsdetexte"/>
    <w:next w:val="Corpsdetexte"/>
    <w:rsid w:val="00BB49EE"/>
    <w:pPr>
      <w:spacing w:before="1440" w:after="0" w:line="240" w:lineRule="auto"/>
      <w:jc w:val="center"/>
    </w:pPr>
    <w:rPr>
      <w:rFonts w:cs="Arial"/>
      <w:sz w:val="20"/>
      <w:szCs w:val="20"/>
      <w:lang w:val="fr-FR" w:eastAsia="en-US"/>
    </w:rPr>
  </w:style>
  <w:style w:type="paragraph" w:customStyle="1" w:styleId="Retrait1religne1">
    <w:name w:val="Retrait 1re ligne1"/>
    <w:basedOn w:val="Corpsdetexte"/>
    <w:next w:val="Retrait1religne"/>
    <w:link w:val="Retrait1religneCar"/>
    <w:semiHidden/>
    <w:rsid w:val="00BB49EE"/>
    <w:pPr>
      <w:spacing w:after="120" w:line="240" w:lineRule="auto"/>
      <w:ind w:firstLine="210"/>
    </w:pPr>
    <w:rPr>
      <w:lang w:val="fr-FR"/>
    </w:rPr>
  </w:style>
  <w:style w:type="character" w:customStyle="1" w:styleId="Retrait1religneCar">
    <w:name w:val="Retrait 1re ligne Car"/>
    <w:basedOn w:val="CorpsdetexteCar"/>
    <w:link w:val="Retrait1religne1"/>
    <w:semiHidden/>
    <w:rsid w:val="00BB49EE"/>
    <w:rPr>
      <w:rFonts w:ascii="Calibri" w:eastAsiaTheme="minorEastAsia" w:hAnsi="Calibri" w:cs="Times New Roman"/>
      <w:szCs w:val="24"/>
      <w:lang w:val="fr-FR" w:eastAsia="fr-FR"/>
    </w:rPr>
  </w:style>
  <w:style w:type="numbering" w:styleId="1ai">
    <w:name w:val="Outline List 1"/>
    <w:basedOn w:val="Aucuneliste"/>
    <w:semiHidden/>
    <w:rsid w:val="00BB49EE"/>
    <w:pPr>
      <w:numPr>
        <w:numId w:val="92"/>
      </w:numPr>
    </w:pPr>
  </w:style>
  <w:style w:type="numbering" w:styleId="ArticleSection">
    <w:name w:val="Outline List 3"/>
    <w:basedOn w:val="Aucuneliste"/>
    <w:semiHidden/>
    <w:rsid w:val="00BB49EE"/>
    <w:pPr>
      <w:numPr>
        <w:numId w:val="93"/>
      </w:numPr>
    </w:pPr>
  </w:style>
  <w:style w:type="paragraph" w:customStyle="1" w:styleId="Retraitcorpset1relig1">
    <w:name w:val="Retrait corps et 1re lig.1"/>
    <w:basedOn w:val="Retraitcorpsdetexte"/>
    <w:next w:val="Retraitcorpset1relig"/>
    <w:link w:val="Retraitcorpset1religCar"/>
    <w:semiHidden/>
    <w:rsid w:val="00BB49EE"/>
    <w:pPr>
      <w:spacing w:after="120" w:line="260" w:lineRule="atLeast"/>
      <w:ind w:left="360" w:firstLine="210"/>
    </w:pPr>
    <w:rPr>
      <w:rFonts w:eastAsia="DengXian"/>
    </w:rPr>
  </w:style>
  <w:style w:type="character" w:customStyle="1" w:styleId="Retraitcorpset1religCar">
    <w:name w:val="Retrait corps et 1re lig. Car"/>
    <w:basedOn w:val="RetraitcorpsdetexteCar"/>
    <w:link w:val="Retraitcorpset1relig1"/>
    <w:semiHidden/>
    <w:rsid w:val="00BB49EE"/>
    <w:rPr>
      <w:rFonts w:ascii="Arial" w:eastAsia="DengXian" w:hAnsi="Arial" w:cs="Times New Roman"/>
      <w:color w:val="0000FF"/>
      <w:sz w:val="16"/>
      <w:szCs w:val="16"/>
      <w:lang w:val="fr-FR" w:eastAsia="fr-FR"/>
    </w:rPr>
  </w:style>
  <w:style w:type="paragraph" w:customStyle="1" w:styleId="Formuledepolitesse1">
    <w:name w:val="Formule de politesse1"/>
    <w:basedOn w:val="Normal"/>
    <w:next w:val="Formuledepolitesse"/>
    <w:link w:val="FormuledepolitesseCar"/>
    <w:semiHidden/>
    <w:rsid w:val="00BB49EE"/>
    <w:pPr>
      <w:spacing w:before="0" w:after="0" w:line="260" w:lineRule="atLeast"/>
      <w:ind w:left="4320"/>
      <w:jc w:val="left"/>
    </w:pPr>
    <w:rPr>
      <w:rFonts w:asciiTheme="minorHAnsi" w:eastAsia="DengXian" w:hAnsiTheme="minorHAnsi" w:cstheme="minorBidi"/>
      <w:lang w:bidi="ar-SA"/>
    </w:rPr>
  </w:style>
  <w:style w:type="character" w:customStyle="1" w:styleId="FormuledepolitesseCar">
    <w:name w:val="Formule de politesse Car"/>
    <w:basedOn w:val="Policepardfaut"/>
    <w:link w:val="Formuledepolitesse1"/>
    <w:semiHidden/>
    <w:rsid w:val="00BB49EE"/>
    <w:rPr>
      <w:rFonts w:eastAsia="DengXian"/>
      <w:lang w:val="fr-FR"/>
    </w:rPr>
  </w:style>
  <w:style w:type="paragraph" w:customStyle="1" w:styleId="Signaturelectronique1">
    <w:name w:val="Signature électronique1"/>
    <w:basedOn w:val="Normal"/>
    <w:next w:val="Signaturelectronique"/>
    <w:link w:val="SignaturelectroniqueCar"/>
    <w:semiHidden/>
    <w:rsid w:val="00BB49EE"/>
    <w:pPr>
      <w:spacing w:before="0" w:after="0" w:line="260" w:lineRule="atLeast"/>
      <w:jc w:val="left"/>
    </w:pPr>
    <w:rPr>
      <w:rFonts w:asciiTheme="minorHAnsi" w:eastAsia="DengXian" w:hAnsiTheme="minorHAnsi" w:cstheme="minorBidi"/>
      <w:lang w:bidi="ar-SA"/>
    </w:rPr>
  </w:style>
  <w:style w:type="character" w:customStyle="1" w:styleId="SignaturelectroniqueCar">
    <w:name w:val="Signature électronique Car"/>
    <w:basedOn w:val="Policepardfaut"/>
    <w:link w:val="Signaturelectronique1"/>
    <w:semiHidden/>
    <w:rsid w:val="00BB49EE"/>
    <w:rPr>
      <w:rFonts w:eastAsia="DengXian"/>
      <w:lang w:val="fr-FR"/>
    </w:rPr>
  </w:style>
  <w:style w:type="paragraph" w:customStyle="1" w:styleId="Adressedestinataire1">
    <w:name w:val="Adresse destinataire1"/>
    <w:basedOn w:val="Normal"/>
    <w:next w:val="Adressedestinataire"/>
    <w:semiHidden/>
    <w:rsid w:val="00BB49EE"/>
    <w:pPr>
      <w:framePr w:w="7920" w:h="1980" w:hRule="exact" w:hSpace="180" w:wrap="auto" w:hAnchor="page" w:xAlign="center" w:yAlign="bottom"/>
      <w:spacing w:before="0" w:after="0" w:line="260" w:lineRule="atLeast"/>
      <w:ind w:left="2880"/>
      <w:jc w:val="left"/>
    </w:pPr>
    <w:rPr>
      <w:rFonts w:eastAsia="DengXian"/>
      <w:sz w:val="20"/>
      <w:szCs w:val="20"/>
      <w:lang w:bidi="ar-SA"/>
    </w:rPr>
  </w:style>
  <w:style w:type="paragraph" w:customStyle="1" w:styleId="Adresseexpditeur1">
    <w:name w:val="Adresse expéditeur1"/>
    <w:basedOn w:val="Normal"/>
    <w:next w:val="Adresseexpditeur"/>
    <w:semiHidden/>
    <w:rsid w:val="00BB49EE"/>
    <w:pPr>
      <w:spacing w:before="0" w:after="0" w:line="260" w:lineRule="atLeast"/>
      <w:jc w:val="left"/>
    </w:pPr>
    <w:rPr>
      <w:rFonts w:eastAsia="DengXian"/>
      <w:sz w:val="20"/>
      <w:szCs w:val="20"/>
      <w:lang w:bidi="ar-SA"/>
    </w:rPr>
  </w:style>
  <w:style w:type="character" w:styleId="AcronymeHTML">
    <w:name w:val="HTML Acronym"/>
    <w:basedOn w:val="Policepardfaut"/>
    <w:semiHidden/>
    <w:rsid w:val="00BB49EE"/>
  </w:style>
  <w:style w:type="paragraph" w:customStyle="1" w:styleId="AdresseHTML1">
    <w:name w:val="Adresse HTML1"/>
    <w:basedOn w:val="Normal"/>
    <w:next w:val="AdresseHTML"/>
    <w:link w:val="AdresseHTMLCar"/>
    <w:semiHidden/>
    <w:rsid w:val="00BB49EE"/>
    <w:pPr>
      <w:spacing w:before="0" w:after="0" w:line="260" w:lineRule="atLeast"/>
      <w:jc w:val="left"/>
    </w:pPr>
    <w:rPr>
      <w:rFonts w:asciiTheme="minorHAnsi" w:eastAsia="DengXian" w:hAnsiTheme="minorHAnsi" w:cstheme="minorBidi"/>
      <w:i/>
      <w:iCs/>
      <w:lang w:bidi="ar-SA"/>
    </w:rPr>
  </w:style>
  <w:style w:type="character" w:customStyle="1" w:styleId="AdresseHTMLCar">
    <w:name w:val="Adresse HTML Car"/>
    <w:basedOn w:val="Policepardfaut"/>
    <w:link w:val="AdresseHTML1"/>
    <w:semiHidden/>
    <w:rsid w:val="00BB49EE"/>
    <w:rPr>
      <w:rFonts w:eastAsia="DengXian"/>
      <w:i/>
      <w:iCs/>
      <w:lang w:val="fr-FR"/>
    </w:rPr>
  </w:style>
  <w:style w:type="character" w:styleId="CitationHTML">
    <w:name w:val="HTML Cite"/>
    <w:basedOn w:val="Policepardfaut"/>
    <w:semiHidden/>
    <w:rsid w:val="00BB49EE"/>
    <w:rPr>
      <w:i/>
      <w:iCs/>
    </w:rPr>
  </w:style>
  <w:style w:type="character" w:styleId="CodeHTML">
    <w:name w:val="HTML Code"/>
    <w:basedOn w:val="Policepardfaut"/>
    <w:semiHidden/>
    <w:rsid w:val="00BB49EE"/>
    <w:rPr>
      <w:rFonts w:ascii="Courier New" w:hAnsi="Courier New" w:cs="Courier New"/>
      <w:sz w:val="20"/>
      <w:szCs w:val="20"/>
    </w:rPr>
  </w:style>
  <w:style w:type="character" w:styleId="DfinitionHTML">
    <w:name w:val="HTML Definition"/>
    <w:basedOn w:val="Policepardfaut"/>
    <w:semiHidden/>
    <w:rsid w:val="00BB49EE"/>
    <w:rPr>
      <w:i/>
      <w:iCs/>
    </w:rPr>
  </w:style>
  <w:style w:type="character" w:styleId="ClavierHTML">
    <w:name w:val="HTML Keyboard"/>
    <w:basedOn w:val="Policepardfaut"/>
    <w:semiHidden/>
    <w:rsid w:val="00BB49EE"/>
    <w:rPr>
      <w:rFonts w:ascii="Courier New" w:hAnsi="Courier New" w:cs="Courier New"/>
      <w:sz w:val="20"/>
      <w:szCs w:val="20"/>
    </w:rPr>
  </w:style>
  <w:style w:type="paragraph" w:customStyle="1" w:styleId="PrformatHTML1">
    <w:name w:val="Préformaté HTML1"/>
    <w:basedOn w:val="Normal"/>
    <w:next w:val="PrformatHTML"/>
    <w:link w:val="PrformatHTMLCar"/>
    <w:semiHidden/>
    <w:rsid w:val="00BB49EE"/>
    <w:pPr>
      <w:spacing w:before="0" w:after="0" w:line="260" w:lineRule="atLeast"/>
      <w:jc w:val="left"/>
    </w:pPr>
    <w:rPr>
      <w:rFonts w:ascii="Courier New" w:eastAsia="DengXian" w:hAnsi="Courier New" w:cs="Courier New"/>
      <w:lang w:bidi="ar-SA"/>
    </w:rPr>
  </w:style>
  <w:style w:type="character" w:customStyle="1" w:styleId="PrformatHTMLCar">
    <w:name w:val="Préformaté HTML Car"/>
    <w:basedOn w:val="Policepardfaut"/>
    <w:link w:val="PrformatHTML1"/>
    <w:semiHidden/>
    <w:rsid w:val="00BB49EE"/>
    <w:rPr>
      <w:rFonts w:ascii="Courier New" w:eastAsia="DengXian" w:hAnsi="Courier New" w:cs="Courier New"/>
      <w:lang w:val="fr-FR"/>
    </w:rPr>
  </w:style>
  <w:style w:type="character" w:styleId="ExempleHTML">
    <w:name w:val="HTML Sample"/>
    <w:basedOn w:val="Policepardfaut"/>
    <w:semiHidden/>
    <w:rsid w:val="00BB49EE"/>
    <w:rPr>
      <w:rFonts w:ascii="Courier New" w:hAnsi="Courier New" w:cs="Courier New"/>
    </w:rPr>
  </w:style>
  <w:style w:type="character" w:styleId="MachinecrireHTML">
    <w:name w:val="HTML Typewriter"/>
    <w:basedOn w:val="Policepardfaut"/>
    <w:semiHidden/>
    <w:rsid w:val="00BB49EE"/>
    <w:rPr>
      <w:rFonts w:ascii="Courier New" w:hAnsi="Courier New" w:cs="Courier New"/>
      <w:sz w:val="20"/>
      <w:szCs w:val="20"/>
    </w:rPr>
  </w:style>
  <w:style w:type="character" w:styleId="VariableHTML">
    <w:name w:val="HTML Variable"/>
    <w:basedOn w:val="Policepardfaut"/>
    <w:semiHidden/>
    <w:rsid w:val="00BB49EE"/>
    <w:rPr>
      <w:i/>
      <w:iCs/>
    </w:rPr>
  </w:style>
  <w:style w:type="paragraph" w:customStyle="1" w:styleId="Liste41">
    <w:name w:val="Liste 41"/>
    <w:basedOn w:val="Normal"/>
    <w:next w:val="Liste4"/>
    <w:semiHidden/>
    <w:rsid w:val="00BB49EE"/>
    <w:pPr>
      <w:spacing w:before="0" w:after="0" w:line="260" w:lineRule="atLeast"/>
      <w:ind w:left="1440" w:hanging="360"/>
      <w:jc w:val="left"/>
    </w:pPr>
    <w:rPr>
      <w:rFonts w:eastAsia="DengXian"/>
      <w:sz w:val="20"/>
      <w:szCs w:val="20"/>
      <w:lang w:bidi="ar-SA"/>
    </w:rPr>
  </w:style>
  <w:style w:type="paragraph" w:customStyle="1" w:styleId="Liste51">
    <w:name w:val="Liste 51"/>
    <w:basedOn w:val="Normal"/>
    <w:next w:val="Liste5"/>
    <w:semiHidden/>
    <w:rsid w:val="00BB49EE"/>
    <w:pPr>
      <w:spacing w:before="0" w:after="0" w:line="260" w:lineRule="atLeast"/>
      <w:ind w:left="1800" w:hanging="360"/>
      <w:jc w:val="left"/>
    </w:pPr>
    <w:rPr>
      <w:rFonts w:eastAsia="DengXian"/>
      <w:sz w:val="20"/>
      <w:szCs w:val="20"/>
      <w:lang w:bidi="ar-SA"/>
    </w:rPr>
  </w:style>
  <w:style w:type="paragraph" w:customStyle="1" w:styleId="Listecontinue1">
    <w:name w:val="Liste continue1"/>
    <w:basedOn w:val="Normal"/>
    <w:next w:val="Listecontinue"/>
    <w:semiHidden/>
    <w:rsid w:val="00BB49EE"/>
    <w:pPr>
      <w:spacing w:before="0" w:line="260" w:lineRule="atLeast"/>
      <w:ind w:left="360"/>
      <w:jc w:val="left"/>
    </w:pPr>
    <w:rPr>
      <w:rFonts w:eastAsia="DengXian"/>
      <w:sz w:val="20"/>
      <w:szCs w:val="20"/>
      <w:lang w:bidi="ar-SA"/>
    </w:rPr>
  </w:style>
  <w:style w:type="paragraph" w:customStyle="1" w:styleId="Listecontinue21">
    <w:name w:val="Liste continue 21"/>
    <w:basedOn w:val="Normal"/>
    <w:next w:val="Listecontinue2"/>
    <w:semiHidden/>
    <w:rsid w:val="00BB49EE"/>
    <w:pPr>
      <w:spacing w:before="0" w:line="260" w:lineRule="atLeast"/>
      <w:ind w:left="720"/>
      <w:jc w:val="left"/>
    </w:pPr>
    <w:rPr>
      <w:rFonts w:eastAsia="DengXian"/>
      <w:sz w:val="20"/>
      <w:szCs w:val="20"/>
      <w:lang w:bidi="ar-SA"/>
    </w:rPr>
  </w:style>
  <w:style w:type="paragraph" w:customStyle="1" w:styleId="Listecontinue31">
    <w:name w:val="Liste continue 31"/>
    <w:basedOn w:val="Normal"/>
    <w:next w:val="Listecontinue3"/>
    <w:semiHidden/>
    <w:rsid w:val="00BB49EE"/>
    <w:pPr>
      <w:spacing w:before="0" w:line="260" w:lineRule="atLeast"/>
      <w:ind w:left="1080"/>
      <w:jc w:val="left"/>
    </w:pPr>
    <w:rPr>
      <w:rFonts w:eastAsia="DengXian"/>
      <w:sz w:val="20"/>
      <w:szCs w:val="20"/>
      <w:lang w:bidi="ar-SA"/>
    </w:rPr>
  </w:style>
  <w:style w:type="paragraph" w:customStyle="1" w:styleId="Listecontinue41">
    <w:name w:val="Liste continue 41"/>
    <w:basedOn w:val="Normal"/>
    <w:next w:val="Listecontinue4"/>
    <w:semiHidden/>
    <w:rsid w:val="00BB49EE"/>
    <w:pPr>
      <w:spacing w:before="0" w:line="260" w:lineRule="atLeast"/>
      <w:ind w:left="1440"/>
      <w:jc w:val="left"/>
    </w:pPr>
    <w:rPr>
      <w:rFonts w:eastAsia="DengXian"/>
      <w:sz w:val="20"/>
      <w:szCs w:val="20"/>
      <w:lang w:bidi="ar-SA"/>
    </w:rPr>
  </w:style>
  <w:style w:type="paragraph" w:customStyle="1" w:styleId="Listecontinue51">
    <w:name w:val="Liste continue 51"/>
    <w:basedOn w:val="Normal"/>
    <w:next w:val="Listecontinue5"/>
    <w:semiHidden/>
    <w:rsid w:val="00BB49EE"/>
    <w:pPr>
      <w:spacing w:before="0" w:line="260" w:lineRule="atLeast"/>
      <w:ind w:left="1800"/>
      <w:jc w:val="left"/>
    </w:pPr>
    <w:rPr>
      <w:rFonts w:eastAsia="DengXian"/>
      <w:sz w:val="20"/>
      <w:szCs w:val="20"/>
      <w:lang w:bidi="ar-SA"/>
    </w:rPr>
  </w:style>
  <w:style w:type="paragraph" w:customStyle="1" w:styleId="Listenumros41">
    <w:name w:val="Liste à numéros 41"/>
    <w:basedOn w:val="Normal"/>
    <w:next w:val="Listenumros4"/>
    <w:semiHidden/>
    <w:rsid w:val="00BB49EE"/>
    <w:pPr>
      <w:numPr>
        <w:numId w:val="90"/>
      </w:numPr>
      <w:tabs>
        <w:tab w:val="clear" w:pos="1440"/>
        <w:tab w:val="num" w:pos="360"/>
      </w:tabs>
      <w:spacing w:before="0" w:after="0" w:line="260" w:lineRule="atLeast"/>
      <w:ind w:left="0" w:firstLine="0"/>
      <w:jc w:val="left"/>
    </w:pPr>
    <w:rPr>
      <w:rFonts w:eastAsia="DengXian"/>
      <w:sz w:val="20"/>
      <w:szCs w:val="20"/>
      <w:lang w:bidi="ar-SA"/>
    </w:rPr>
  </w:style>
  <w:style w:type="paragraph" w:customStyle="1" w:styleId="Listenumros51">
    <w:name w:val="Liste à numéros 51"/>
    <w:basedOn w:val="Normal"/>
    <w:next w:val="Listenumros5"/>
    <w:semiHidden/>
    <w:rsid w:val="00BB49EE"/>
    <w:pPr>
      <w:numPr>
        <w:numId w:val="91"/>
      </w:numPr>
      <w:tabs>
        <w:tab w:val="clear" w:pos="1800"/>
        <w:tab w:val="num" w:pos="360"/>
      </w:tabs>
      <w:spacing w:before="0" w:after="0" w:line="260" w:lineRule="atLeast"/>
      <w:ind w:left="0" w:firstLine="0"/>
      <w:jc w:val="left"/>
    </w:pPr>
    <w:rPr>
      <w:rFonts w:eastAsia="DengXian"/>
      <w:sz w:val="20"/>
      <w:szCs w:val="20"/>
      <w:lang w:bidi="ar-SA"/>
    </w:rPr>
  </w:style>
  <w:style w:type="paragraph" w:customStyle="1" w:styleId="Signature1">
    <w:name w:val="Signature1"/>
    <w:basedOn w:val="Normal"/>
    <w:next w:val="Signature"/>
    <w:link w:val="SignatureCar"/>
    <w:semiHidden/>
    <w:rsid w:val="00BB49EE"/>
    <w:pPr>
      <w:spacing w:before="0" w:after="0" w:line="260" w:lineRule="atLeast"/>
      <w:ind w:left="4320"/>
      <w:jc w:val="left"/>
    </w:pPr>
    <w:rPr>
      <w:rFonts w:asciiTheme="minorHAnsi" w:eastAsia="DengXian" w:hAnsiTheme="minorHAnsi" w:cstheme="minorBidi"/>
      <w:lang w:bidi="ar-SA"/>
    </w:rPr>
  </w:style>
  <w:style w:type="character" w:customStyle="1" w:styleId="SignatureCar">
    <w:name w:val="Signature Car"/>
    <w:basedOn w:val="Policepardfaut"/>
    <w:link w:val="Signature1"/>
    <w:semiHidden/>
    <w:rsid w:val="00BB49EE"/>
    <w:rPr>
      <w:rFonts w:eastAsia="DengXian"/>
      <w:lang w:val="fr-FR"/>
    </w:rPr>
  </w:style>
  <w:style w:type="table" w:customStyle="1" w:styleId="Effetsdetableau3D11">
    <w:name w:val="Effets de tableau 3D 11"/>
    <w:basedOn w:val="TableauNormal"/>
    <w:next w:val="Effetsdetableau3D1"/>
    <w:semiHidden/>
    <w:rsid w:val="00BB49EE"/>
    <w:pPr>
      <w:spacing w:after="0" w:line="240" w:lineRule="auto"/>
    </w:pPr>
    <w:rPr>
      <w:sz w:val="20"/>
      <w:szCs w:val="20"/>
      <w:lang w:val="en-US"/>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Effetsdetableau3D21">
    <w:name w:val="Effets de tableau 3D 21"/>
    <w:basedOn w:val="TableauNormal"/>
    <w:next w:val="Effetsdetableau3D2"/>
    <w:semiHidden/>
    <w:rsid w:val="00BB49EE"/>
    <w:pPr>
      <w:spacing w:after="0" w:line="240" w:lineRule="auto"/>
    </w:pPr>
    <w:rPr>
      <w:sz w:val="20"/>
      <w:szCs w:val="20"/>
      <w:lang w:val="en-US"/>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Effetsdetableau3D31">
    <w:name w:val="Effets de tableau 3D 31"/>
    <w:basedOn w:val="TableauNormal"/>
    <w:next w:val="Effetsdetableau3D3"/>
    <w:semiHidden/>
    <w:rsid w:val="00BB49EE"/>
    <w:pPr>
      <w:spacing w:after="0" w:line="240" w:lineRule="auto"/>
    </w:pPr>
    <w:rPr>
      <w:sz w:val="20"/>
      <w:szCs w:val="20"/>
      <w:lang w:val="en-US"/>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11">
    <w:name w:val="Tableau classique 11"/>
    <w:basedOn w:val="TableauNormal"/>
    <w:next w:val="Tableauclassique1"/>
    <w:semiHidden/>
    <w:rsid w:val="00BB49EE"/>
    <w:pPr>
      <w:spacing w:after="0" w:line="240" w:lineRule="auto"/>
    </w:pPr>
    <w:rPr>
      <w:sz w:val="20"/>
      <w:szCs w:val="20"/>
      <w:lang w:val="en-US"/>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21">
    <w:name w:val="Tableau classique 21"/>
    <w:basedOn w:val="TableauNormal"/>
    <w:next w:val="Tableauclassique2"/>
    <w:semiHidden/>
    <w:rsid w:val="00BB49EE"/>
    <w:pPr>
      <w:spacing w:after="0" w:line="240" w:lineRule="auto"/>
    </w:pPr>
    <w:rPr>
      <w:sz w:val="20"/>
      <w:szCs w:val="20"/>
      <w:lang w:val="en-US"/>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auclassique31">
    <w:name w:val="Tableau classique 31"/>
    <w:basedOn w:val="TableauNormal"/>
    <w:next w:val="Tableauclassique3"/>
    <w:semiHidden/>
    <w:rsid w:val="00BB49EE"/>
    <w:pPr>
      <w:spacing w:after="0" w:line="240" w:lineRule="auto"/>
    </w:pPr>
    <w:rPr>
      <w:color w:val="000080"/>
      <w:sz w:val="20"/>
      <w:szCs w:val="20"/>
      <w:lang w:val="en-US"/>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auclassique41">
    <w:name w:val="Tableau classique 41"/>
    <w:basedOn w:val="TableauNormal"/>
    <w:next w:val="Tableauclassique4"/>
    <w:semiHidden/>
    <w:rsid w:val="00BB49EE"/>
    <w:pPr>
      <w:spacing w:after="0" w:line="240" w:lineRule="auto"/>
    </w:pPr>
    <w:rPr>
      <w:sz w:val="20"/>
      <w:szCs w:val="20"/>
      <w:lang w:val="en-US"/>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aucolor11">
    <w:name w:val="Tableau coloré 11"/>
    <w:basedOn w:val="TableauNormal"/>
    <w:next w:val="Tableaucolor1"/>
    <w:semiHidden/>
    <w:rsid w:val="00BB49EE"/>
    <w:pPr>
      <w:spacing w:after="0" w:line="240" w:lineRule="auto"/>
    </w:pPr>
    <w:rPr>
      <w:color w:val="FFFFFF"/>
      <w:sz w:val="20"/>
      <w:szCs w:val="20"/>
      <w:lang w:val="en-US"/>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21">
    <w:name w:val="Tableau coloré 21"/>
    <w:basedOn w:val="TableauNormal"/>
    <w:next w:val="Tableaucolor2"/>
    <w:rsid w:val="00BB49EE"/>
    <w:pPr>
      <w:spacing w:after="0" w:line="240" w:lineRule="auto"/>
    </w:pPr>
    <w:rPr>
      <w:sz w:val="20"/>
      <w:szCs w:val="20"/>
      <w:lang w:val="en-US"/>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31">
    <w:name w:val="Tableau coloré 31"/>
    <w:basedOn w:val="TableauNormal"/>
    <w:next w:val="Tableaucolor3"/>
    <w:semiHidden/>
    <w:rsid w:val="00BB49EE"/>
    <w:pPr>
      <w:spacing w:after="0" w:line="240" w:lineRule="auto"/>
    </w:pPr>
    <w:rPr>
      <w:sz w:val="20"/>
      <w:szCs w:val="20"/>
      <w:lang w:val="en-US"/>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Colonnesdetableau11">
    <w:name w:val="Colonnes de tableau 11"/>
    <w:basedOn w:val="TableauNormal"/>
    <w:next w:val="Colonnesdetableau1"/>
    <w:semiHidden/>
    <w:rsid w:val="00BB49EE"/>
    <w:pPr>
      <w:spacing w:after="0" w:line="240" w:lineRule="auto"/>
    </w:pPr>
    <w:rPr>
      <w:b/>
      <w:bCs/>
      <w:sz w:val="20"/>
      <w:szCs w:val="20"/>
      <w:lang w:val="en-U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21">
    <w:name w:val="Colonnes de tableau 21"/>
    <w:basedOn w:val="TableauNormal"/>
    <w:next w:val="Colonnesdetableau2"/>
    <w:semiHidden/>
    <w:rsid w:val="00BB49EE"/>
    <w:pPr>
      <w:spacing w:after="0" w:line="240" w:lineRule="auto"/>
    </w:pPr>
    <w:rPr>
      <w:b/>
      <w:bCs/>
      <w:sz w:val="20"/>
      <w:szCs w:val="20"/>
      <w:lang w:val="en-U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31">
    <w:name w:val="Colonnes de tableau 31"/>
    <w:basedOn w:val="TableauNormal"/>
    <w:next w:val="Colonnesdetableau3"/>
    <w:semiHidden/>
    <w:rsid w:val="00BB49EE"/>
    <w:pPr>
      <w:spacing w:after="0" w:line="240" w:lineRule="auto"/>
    </w:pPr>
    <w:rPr>
      <w:b/>
      <w:bCs/>
      <w:sz w:val="20"/>
      <w:szCs w:val="20"/>
      <w:lang w:val="en-U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Colonnesdetableau41">
    <w:name w:val="Colonnes de tableau 41"/>
    <w:basedOn w:val="TableauNormal"/>
    <w:next w:val="Colonnesdetableau4"/>
    <w:semiHidden/>
    <w:rsid w:val="00BB49EE"/>
    <w:pPr>
      <w:spacing w:after="0" w:line="240" w:lineRule="auto"/>
    </w:pPr>
    <w:rPr>
      <w:sz w:val="20"/>
      <w:szCs w:val="20"/>
      <w:lang w:val="en-US"/>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Colonnesdetableau51">
    <w:name w:val="Colonnes de tableau 51"/>
    <w:basedOn w:val="TableauNormal"/>
    <w:next w:val="Colonnesdetableau5"/>
    <w:semiHidden/>
    <w:rsid w:val="00BB49EE"/>
    <w:pPr>
      <w:spacing w:after="0" w:line="240" w:lineRule="auto"/>
    </w:pPr>
    <w:rPr>
      <w:sz w:val="20"/>
      <w:szCs w:val="20"/>
      <w:lang w:val="en-US"/>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aucontemporain1">
    <w:name w:val="Tableau contemporain1"/>
    <w:basedOn w:val="TableauNormal"/>
    <w:next w:val="Tableaucontemporain"/>
    <w:semiHidden/>
    <w:rsid w:val="00BB49EE"/>
    <w:pPr>
      <w:spacing w:after="0" w:line="240" w:lineRule="auto"/>
    </w:pPr>
    <w:rPr>
      <w:sz w:val="20"/>
      <w:szCs w:val="20"/>
      <w:lang w:val="en-US"/>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aulgant1">
    <w:name w:val="Tableau élégant1"/>
    <w:basedOn w:val="TableauNormal"/>
    <w:next w:val="Tableaulgant"/>
    <w:semiHidden/>
    <w:rsid w:val="00BB49EE"/>
    <w:pPr>
      <w:spacing w:after="0" w:line="240" w:lineRule="auto"/>
    </w:pPr>
    <w:rPr>
      <w:sz w:val="20"/>
      <w:szCs w:val="20"/>
      <w:lang w:val="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Grilledetableau11">
    <w:name w:val="Grille de tableau 11"/>
    <w:basedOn w:val="TableauNormal"/>
    <w:next w:val="Grilledetableau1"/>
    <w:semiHidden/>
    <w:rsid w:val="00BB49EE"/>
    <w:pPr>
      <w:spacing w:after="0" w:line="240" w:lineRule="auto"/>
    </w:pPr>
    <w:rPr>
      <w:sz w:val="20"/>
      <w:szCs w:val="20"/>
      <w:lang w:val="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Grilledetableau21">
    <w:name w:val="Grille de tableau 21"/>
    <w:basedOn w:val="TableauNormal"/>
    <w:next w:val="Grilledetableau2"/>
    <w:semiHidden/>
    <w:rsid w:val="00BB49EE"/>
    <w:pPr>
      <w:spacing w:after="0" w:line="240" w:lineRule="auto"/>
    </w:pPr>
    <w:rPr>
      <w:sz w:val="20"/>
      <w:szCs w:val="20"/>
      <w:lang w:val="en-US"/>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31">
    <w:name w:val="Grille de tableau 31"/>
    <w:basedOn w:val="TableauNormal"/>
    <w:next w:val="Grilledetableau3"/>
    <w:semiHidden/>
    <w:rsid w:val="00BB49EE"/>
    <w:pPr>
      <w:spacing w:after="0" w:line="240" w:lineRule="auto"/>
    </w:pPr>
    <w:rPr>
      <w:sz w:val="20"/>
      <w:szCs w:val="20"/>
      <w:lang w:val="en-US"/>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41">
    <w:name w:val="Grille de tableau 41"/>
    <w:basedOn w:val="TableauNormal"/>
    <w:next w:val="Grilledetableau4"/>
    <w:semiHidden/>
    <w:rsid w:val="00BB49EE"/>
    <w:pPr>
      <w:spacing w:after="0" w:line="240" w:lineRule="auto"/>
    </w:pPr>
    <w:rPr>
      <w:sz w:val="20"/>
      <w:szCs w:val="20"/>
      <w:lang w:val="en-US"/>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Grilledetableau51">
    <w:name w:val="Grille de tableau 51"/>
    <w:basedOn w:val="TableauNormal"/>
    <w:next w:val="Grilledetableau5"/>
    <w:semiHidden/>
    <w:rsid w:val="00BB49EE"/>
    <w:pPr>
      <w:spacing w:after="0" w:line="240" w:lineRule="auto"/>
    </w:pPr>
    <w:rPr>
      <w:sz w:val="20"/>
      <w:szCs w:val="20"/>
      <w:lang w:val="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61">
    <w:name w:val="Grille de tableau 61"/>
    <w:basedOn w:val="TableauNormal"/>
    <w:next w:val="Grilledetableau6"/>
    <w:semiHidden/>
    <w:rsid w:val="00BB49EE"/>
    <w:pPr>
      <w:spacing w:after="0" w:line="240" w:lineRule="auto"/>
    </w:pPr>
    <w:rPr>
      <w:sz w:val="20"/>
      <w:szCs w:val="20"/>
      <w:lang w:val="en-US"/>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71">
    <w:name w:val="Grille de tableau 71"/>
    <w:basedOn w:val="TableauNormal"/>
    <w:next w:val="Grilledetableau7"/>
    <w:semiHidden/>
    <w:rsid w:val="00BB49EE"/>
    <w:pPr>
      <w:spacing w:after="0" w:line="240" w:lineRule="auto"/>
    </w:pPr>
    <w:rPr>
      <w:b/>
      <w:bCs/>
      <w:sz w:val="20"/>
      <w:szCs w:val="20"/>
      <w:lang w:val="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81">
    <w:name w:val="Grille de tableau 81"/>
    <w:basedOn w:val="TableauNormal"/>
    <w:next w:val="Grilledetableau8"/>
    <w:semiHidden/>
    <w:rsid w:val="00BB49EE"/>
    <w:pPr>
      <w:spacing w:after="0" w:line="240" w:lineRule="auto"/>
    </w:pPr>
    <w:rPr>
      <w:sz w:val="20"/>
      <w:szCs w:val="20"/>
      <w:lang w:val="en-U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auliste11">
    <w:name w:val="Tableau liste 11"/>
    <w:basedOn w:val="TableauNormal"/>
    <w:next w:val="Tableauliste1"/>
    <w:semiHidden/>
    <w:rsid w:val="00BB49EE"/>
    <w:pPr>
      <w:spacing w:after="0" w:line="240" w:lineRule="auto"/>
    </w:pPr>
    <w:rPr>
      <w:sz w:val="20"/>
      <w:szCs w:val="20"/>
      <w:lang w:val="en-US"/>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21">
    <w:name w:val="Tableau liste 21"/>
    <w:basedOn w:val="TableauNormal"/>
    <w:next w:val="Tableauliste2"/>
    <w:semiHidden/>
    <w:rsid w:val="00BB49EE"/>
    <w:pPr>
      <w:spacing w:after="0" w:line="240" w:lineRule="auto"/>
    </w:pPr>
    <w:rPr>
      <w:sz w:val="20"/>
      <w:szCs w:val="20"/>
      <w:lang w:val="en-US"/>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31">
    <w:name w:val="Tableau liste 31"/>
    <w:basedOn w:val="TableauNormal"/>
    <w:next w:val="Tableauliste3"/>
    <w:semiHidden/>
    <w:rsid w:val="00BB49EE"/>
    <w:pPr>
      <w:spacing w:after="0" w:line="240" w:lineRule="auto"/>
    </w:pPr>
    <w:rPr>
      <w:sz w:val="20"/>
      <w:szCs w:val="20"/>
      <w:lang w:val="en-US"/>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auliste41">
    <w:name w:val="Tableau liste 41"/>
    <w:basedOn w:val="TableauNormal"/>
    <w:next w:val="Tableauliste4"/>
    <w:semiHidden/>
    <w:rsid w:val="00BB49EE"/>
    <w:pPr>
      <w:spacing w:after="0" w:line="240" w:lineRule="auto"/>
    </w:pPr>
    <w:rPr>
      <w:sz w:val="20"/>
      <w:szCs w:val="20"/>
      <w:lang w:val="en-US"/>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auliste51">
    <w:name w:val="Tableau liste 51"/>
    <w:basedOn w:val="TableauNormal"/>
    <w:next w:val="Tableauliste5"/>
    <w:semiHidden/>
    <w:rsid w:val="00BB49EE"/>
    <w:pPr>
      <w:spacing w:after="0" w:line="240" w:lineRule="auto"/>
    </w:pPr>
    <w:rPr>
      <w:sz w:val="20"/>
      <w:szCs w:val="20"/>
      <w:lang w:val="en-US"/>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auliste61">
    <w:name w:val="Tableau liste 61"/>
    <w:basedOn w:val="TableauNormal"/>
    <w:next w:val="Tableauliste6"/>
    <w:semiHidden/>
    <w:rsid w:val="00BB49EE"/>
    <w:pPr>
      <w:spacing w:after="0" w:line="240" w:lineRule="auto"/>
    </w:pPr>
    <w:rPr>
      <w:sz w:val="20"/>
      <w:szCs w:val="20"/>
      <w:lang w:val="en-US"/>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auliste71">
    <w:name w:val="Tableau liste 71"/>
    <w:basedOn w:val="TableauNormal"/>
    <w:next w:val="Tableauliste7"/>
    <w:semiHidden/>
    <w:rsid w:val="00BB49EE"/>
    <w:pPr>
      <w:spacing w:after="0" w:line="240" w:lineRule="auto"/>
    </w:pPr>
    <w:rPr>
      <w:sz w:val="20"/>
      <w:szCs w:val="20"/>
      <w:lang w:val="en-US"/>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auliste81">
    <w:name w:val="Tableau liste 81"/>
    <w:basedOn w:val="TableauNormal"/>
    <w:next w:val="Tableauliste8"/>
    <w:semiHidden/>
    <w:rsid w:val="00BB49EE"/>
    <w:pPr>
      <w:spacing w:after="0" w:line="240" w:lineRule="auto"/>
    </w:pPr>
    <w:rPr>
      <w:sz w:val="20"/>
      <w:szCs w:val="20"/>
      <w:lang w:val="en-US"/>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auprofessionnel1">
    <w:name w:val="Tableau professionnel1"/>
    <w:basedOn w:val="TableauNormal"/>
    <w:next w:val="Tableauprofessionnel"/>
    <w:semiHidden/>
    <w:rsid w:val="00BB49EE"/>
    <w:pPr>
      <w:spacing w:after="0" w:line="240" w:lineRule="auto"/>
    </w:pPr>
    <w:rPr>
      <w:sz w:val="20"/>
      <w:szCs w:val="20"/>
      <w:lang w:val="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ausimple21">
    <w:name w:val="Tableau simple 21"/>
    <w:basedOn w:val="TableauNormal"/>
    <w:next w:val="Tableausimple2"/>
    <w:semiHidden/>
    <w:rsid w:val="00BB49EE"/>
    <w:pPr>
      <w:spacing w:after="0" w:line="240" w:lineRule="auto"/>
    </w:pPr>
    <w:rPr>
      <w:sz w:val="20"/>
      <w:szCs w:val="20"/>
      <w:lang w:val="en-US"/>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ausimple310">
    <w:name w:val="Tableau simple 31"/>
    <w:basedOn w:val="TableauNormal"/>
    <w:next w:val="Tableausimple3"/>
    <w:semiHidden/>
    <w:rsid w:val="00BB49EE"/>
    <w:pPr>
      <w:spacing w:after="0" w:line="240" w:lineRule="auto"/>
    </w:pPr>
    <w:rPr>
      <w:sz w:val="20"/>
      <w:szCs w:val="20"/>
      <w:lang w:val="en-US"/>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auple11">
    <w:name w:val="Tableau pâle 11"/>
    <w:basedOn w:val="TableauNormal"/>
    <w:next w:val="Tableauple1"/>
    <w:semiHidden/>
    <w:rsid w:val="00BB49EE"/>
    <w:pPr>
      <w:spacing w:after="0" w:line="240" w:lineRule="auto"/>
    </w:pPr>
    <w:rPr>
      <w:sz w:val="20"/>
      <w:szCs w:val="20"/>
      <w:lang w:val="en-US"/>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ple21">
    <w:name w:val="Tableau pâle 21"/>
    <w:basedOn w:val="TableauNormal"/>
    <w:next w:val="Tableauple2"/>
    <w:semiHidden/>
    <w:rsid w:val="00BB49EE"/>
    <w:pPr>
      <w:spacing w:after="0" w:line="240" w:lineRule="auto"/>
    </w:pPr>
    <w:rPr>
      <w:sz w:val="20"/>
      <w:szCs w:val="20"/>
      <w:lang w:val="en-US"/>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web11">
    <w:name w:val="Tableau web 11"/>
    <w:basedOn w:val="TableauNormal"/>
    <w:next w:val="Tableauweb1"/>
    <w:semiHidden/>
    <w:rsid w:val="00BB49EE"/>
    <w:pPr>
      <w:spacing w:after="0" w:line="240" w:lineRule="auto"/>
    </w:pPr>
    <w:rPr>
      <w:sz w:val="20"/>
      <w:szCs w:val="20"/>
      <w:lang w:val="en-US"/>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auweb21">
    <w:name w:val="Tableau web 21"/>
    <w:basedOn w:val="TableauNormal"/>
    <w:next w:val="Tableauweb2"/>
    <w:semiHidden/>
    <w:rsid w:val="00BB49EE"/>
    <w:pPr>
      <w:spacing w:after="0" w:line="240" w:lineRule="auto"/>
    </w:pPr>
    <w:rPr>
      <w:sz w:val="20"/>
      <w:szCs w:val="20"/>
      <w:lang w:val="en-US"/>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auweb31">
    <w:name w:val="Tableau web 31"/>
    <w:basedOn w:val="TableauNormal"/>
    <w:next w:val="Tableauweb3"/>
    <w:semiHidden/>
    <w:rsid w:val="00BB49EE"/>
    <w:pPr>
      <w:spacing w:after="0" w:line="240" w:lineRule="auto"/>
    </w:pPr>
    <w:rPr>
      <w:sz w:val="20"/>
      <w:szCs w:val="20"/>
      <w:lang w:val="en-US"/>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ab-title">
    <w:name w:val="Tab - title"/>
    <w:basedOn w:val="Tab-head"/>
    <w:semiHidden/>
    <w:rsid w:val="00BB49EE"/>
    <w:pPr>
      <w:spacing w:before="240" w:after="0"/>
    </w:pPr>
    <w:rPr>
      <w:caps w:val="0"/>
      <w:sz w:val="24"/>
    </w:rPr>
  </w:style>
  <w:style w:type="paragraph" w:customStyle="1" w:styleId="Appendixheading1">
    <w:name w:val="Appendix heading 1"/>
    <w:basedOn w:val="Corpsdetexte"/>
    <w:next w:val="Corpsdetexte"/>
    <w:uiPriority w:val="99"/>
    <w:rsid w:val="00BB49EE"/>
    <w:pPr>
      <w:numPr>
        <w:numId w:val="94"/>
      </w:numPr>
      <w:tabs>
        <w:tab w:val="num" w:pos="360"/>
      </w:tabs>
      <w:spacing w:before="3800" w:after="240" w:line="240" w:lineRule="auto"/>
      <w:ind w:left="2268" w:hanging="2268"/>
    </w:pPr>
    <w:rPr>
      <w:rFonts w:cs="Arial"/>
      <w:b/>
      <w:caps/>
      <w:color w:val="242852"/>
      <w:sz w:val="24"/>
      <w:szCs w:val="20"/>
      <w:lang w:val="fr-FR" w:eastAsia="en-US"/>
    </w:rPr>
  </w:style>
  <w:style w:type="paragraph" w:customStyle="1" w:styleId="Tableheadingright">
    <w:name w:val="Table heading right"/>
    <w:basedOn w:val="Tableheadingcentered"/>
    <w:qFormat/>
    <w:rsid w:val="00BB49EE"/>
    <w:pPr>
      <w:jc w:val="right"/>
    </w:pPr>
    <w:rPr>
      <w:lang w:eastAsia="en-US"/>
    </w:rPr>
  </w:style>
  <w:style w:type="paragraph" w:customStyle="1" w:styleId="Tabletextright">
    <w:name w:val="Table text right"/>
    <w:basedOn w:val="Tabletextcentered"/>
    <w:qFormat/>
    <w:rsid w:val="00BB49EE"/>
    <w:pPr>
      <w:jc w:val="right"/>
    </w:pPr>
    <w:rPr>
      <w:lang w:eastAsia="en-US"/>
    </w:rPr>
  </w:style>
  <w:style w:type="paragraph" w:customStyle="1" w:styleId="GraphicElementtable">
    <w:name w:val="Graphic Element (table)"/>
    <w:basedOn w:val="Normal"/>
    <w:next w:val="Corpsdetexte"/>
    <w:semiHidden/>
    <w:rsid w:val="00BB49EE"/>
    <w:pPr>
      <w:spacing w:before="0" w:after="0" w:line="260" w:lineRule="atLeast"/>
      <w:jc w:val="left"/>
    </w:pPr>
    <w:rPr>
      <w:rFonts w:eastAsia="DengXian"/>
      <w:sz w:val="20"/>
      <w:szCs w:val="20"/>
      <w:lang w:bidi="ar-SA"/>
    </w:rPr>
  </w:style>
  <w:style w:type="paragraph" w:customStyle="1" w:styleId="Figureplacement">
    <w:name w:val="Figure placement"/>
    <w:basedOn w:val="Normal"/>
    <w:next w:val="Corpsdetexte"/>
    <w:rsid w:val="00BB49EE"/>
    <w:pPr>
      <w:keepNext/>
      <w:spacing w:before="360" w:line="260" w:lineRule="atLeast"/>
      <w:jc w:val="center"/>
    </w:pPr>
    <w:rPr>
      <w:rFonts w:eastAsia="DengXian"/>
      <w:sz w:val="24"/>
      <w:szCs w:val="20"/>
      <w:lang w:bidi="ar-SA"/>
    </w:rPr>
  </w:style>
  <w:style w:type="paragraph" w:customStyle="1" w:styleId="PhotoPlacement">
    <w:name w:val="Photo Placement"/>
    <w:basedOn w:val="Normal"/>
    <w:next w:val="Cutlinephoto"/>
    <w:rsid w:val="00BB49EE"/>
    <w:pPr>
      <w:keepNext/>
      <w:spacing w:line="260" w:lineRule="atLeast"/>
      <w:jc w:val="center"/>
    </w:pPr>
    <w:rPr>
      <w:rFonts w:eastAsia="DengXian"/>
      <w:sz w:val="24"/>
      <w:szCs w:val="20"/>
      <w:lang w:bidi="ar-SA"/>
    </w:rPr>
  </w:style>
  <w:style w:type="paragraph" w:customStyle="1" w:styleId="Cutlinephoto">
    <w:name w:val="Cutline (photo)"/>
    <w:basedOn w:val="Normal"/>
    <w:next w:val="Corpsdetexte"/>
    <w:uiPriority w:val="99"/>
    <w:semiHidden/>
    <w:rsid w:val="00BB49EE"/>
    <w:pPr>
      <w:tabs>
        <w:tab w:val="left" w:pos="1440"/>
      </w:tabs>
      <w:spacing w:after="240" w:line="260" w:lineRule="atLeast"/>
      <w:contextualSpacing/>
      <w:jc w:val="center"/>
    </w:pPr>
    <w:rPr>
      <w:rFonts w:eastAsia="DengXian"/>
      <w:b/>
      <w:caps/>
      <w:sz w:val="20"/>
      <w:szCs w:val="20"/>
      <w:lang w:bidi="ar-SA"/>
    </w:rPr>
  </w:style>
  <w:style w:type="paragraph" w:customStyle="1" w:styleId="ERMStrapline">
    <w:name w:val="ERM Strapline"/>
    <w:semiHidden/>
    <w:rsid w:val="00BB49EE"/>
    <w:pPr>
      <w:spacing w:after="0" w:line="240" w:lineRule="auto"/>
    </w:pPr>
    <w:rPr>
      <w:rFonts w:ascii="Arial" w:hAnsi="Arial"/>
      <w:i/>
      <w:noProof/>
      <w:color w:val="999999"/>
      <w:szCs w:val="20"/>
      <w:lang w:val="en-US"/>
    </w:rPr>
  </w:style>
  <w:style w:type="paragraph" w:customStyle="1" w:styleId="SigPg-title">
    <w:name w:val="Sig Pg - title"/>
    <w:basedOn w:val="Normal"/>
    <w:uiPriority w:val="99"/>
    <w:semiHidden/>
    <w:rsid w:val="00BB49EE"/>
    <w:pPr>
      <w:spacing w:before="600" w:after="0" w:line="360" w:lineRule="auto"/>
      <w:contextualSpacing/>
      <w:jc w:val="center"/>
    </w:pPr>
    <w:rPr>
      <w:rFonts w:eastAsia="DengXian"/>
      <w:b/>
      <w:sz w:val="32"/>
      <w:szCs w:val="20"/>
      <w:lang w:bidi="ar-SA"/>
    </w:rPr>
  </w:style>
  <w:style w:type="paragraph" w:customStyle="1" w:styleId="SigPg-subtitle">
    <w:name w:val="Sig Pg - subtitle"/>
    <w:basedOn w:val="Normal"/>
    <w:uiPriority w:val="99"/>
    <w:semiHidden/>
    <w:rsid w:val="00BB49EE"/>
    <w:pPr>
      <w:spacing w:before="360" w:after="0" w:line="360" w:lineRule="auto"/>
      <w:contextualSpacing/>
      <w:jc w:val="center"/>
    </w:pPr>
    <w:rPr>
      <w:rFonts w:eastAsia="DengXian"/>
      <w:b/>
      <w:sz w:val="26"/>
      <w:szCs w:val="20"/>
      <w:lang w:bidi="ar-SA"/>
    </w:rPr>
  </w:style>
  <w:style w:type="paragraph" w:customStyle="1" w:styleId="SigPg-date">
    <w:name w:val="Sig Pg - date"/>
    <w:basedOn w:val="Normal"/>
    <w:next w:val="Normal"/>
    <w:uiPriority w:val="99"/>
    <w:semiHidden/>
    <w:rsid w:val="00BB49EE"/>
    <w:pPr>
      <w:spacing w:before="360" w:after="0" w:line="260" w:lineRule="atLeast"/>
      <w:jc w:val="center"/>
    </w:pPr>
    <w:rPr>
      <w:rFonts w:eastAsia="DengXian"/>
      <w:b/>
      <w:sz w:val="24"/>
      <w:szCs w:val="20"/>
      <w:lang w:bidi="ar-SA"/>
    </w:rPr>
  </w:style>
  <w:style w:type="paragraph" w:customStyle="1" w:styleId="SigPg-project">
    <w:name w:val="Sig Pg - project #"/>
    <w:basedOn w:val="Normal"/>
    <w:next w:val="SigPg-preparedreviewedby"/>
    <w:uiPriority w:val="99"/>
    <w:semiHidden/>
    <w:rsid w:val="00BB49EE"/>
    <w:pPr>
      <w:spacing w:before="360" w:after="1920" w:line="260" w:lineRule="atLeast"/>
      <w:jc w:val="center"/>
    </w:pPr>
    <w:rPr>
      <w:rFonts w:eastAsia="DengXian"/>
      <w:b/>
      <w:sz w:val="24"/>
      <w:szCs w:val="20"/>
      <w:lang w:bidi="ar-SA"/>
    </w:rPr>
  </w:style>
  <w:style w:type="paragraph" w:customStyle="1" w:styleId="SigPg-ERMaddress">
    <w:name w:val="Sig Pg - ERM address"/>
    <w:basedOn w:val="Normal"/>
    <w:uiPriority w:val="99"/>
    <w:semiHidden/>
    <w:rsid w:val="00BB49EE"/>
    <w:pPr>
      <w:spacing w:before="960" w:after="0" w:line="260" w:lineRule="atLeast"/>
      <w:contextualSpacing/>
      <w:jc w:val="center"/>
    </w:pPr>
    <w:rPr>
      <w:rFonts w:eastAsia="DengXian"/>
      <w:sz w:val="24"/>
      <w:szCs w:val="20"/>
      <w:lang w:bidi="ar-SA"/>
    </w:rPr>
  </w:style>
  <w:style w:type="paragraph" w:customStyle="1" w:styleId="SigPg-preparedreviewedby">
    <w:name w:val="Sig Pg - prepared &amp; reviewed by"/>
    <w:basedOn w:val="Normal"/>
    <w:uiPriority w:val="99"/>
    <w:semiHidden/>
    <w:rsid w:val="00BB49EE"/>
    <w:pPr>
      <w:spacing w:before="720" w:after="0" w:line="260" w:lineRule="atLeast"/>
      <w:ind w:left="1800"/>
      <w:jc w:val="left"/>
    </w:pPr>
    <w:rPr>
      <w:rFonts w:eastAsia="DengXian"/>
      <w:sz w:val="24"/>
      <w:szCs w:val="20"/>
      <w:lang w:bidi="ar-SA"/>
    </w:rPr>
  </w:style>
  <w:style w:type="paragraph" w:customStyle="1" w:styleId="SigPg-sigblock">
    <w:name w:val="Sig Pg - sig block"/>
    <w:basedOn w:val="Normal"/>
    <w:uiPriority w:val="99"/>
    <w:semiHidden/>
    <w:rsid w:val="00BB49EE"/>
    <w:pPr>
      <w:spacing w:before="0" w:after="0" w:line="260" w:lineRule="atLeast"/>
      <w:ind w:left="3240"/>
      <w:jc w:val="left"/>
    </w:pPr>
    <w:rPr>
      <w:rFonts w:eastAsia="DengXian"/>
      <w:sz w:val="24"/>
      <w:szCs w:val="20"/>
      <w:lang w:bidi="ar-SA"/>
    </w:rPr>
  </w:style>
  <w:style w:type="paragraph" w:customStyle="1" w:styleId="TableSource">
    <w:name w:val="Table Source"/>
    <w:basedOn w:val="Corpsdetexte"/>
    <w:next w:val="Corpsdetexte"/>
    <w:link w:val="TableSourceChar"/>
    <w:rsid w:val="00BB49EE"/>
    <w:pPr>
      <w:spacing w:before="120" w:after="120" w:line="240" w:lineRule="auto"/>
    </w:pPr>
    <w:rPr>
      <w:rFonts w:eastAsia="Times New Roman" w:cs="Arial"/>
      <w:sz w:val="18"/>
      <w:lang w:val="fr-FR"/>
    </w:rPr>
  </w:style>
  <w:style w:type="paragraph" w:customStyle="1" w:styleId="TableNote">
    <w:name w:val="Table Note"/>
    <w:basedOn w:val="TableSource"/>
    <w:next w:val="Corpsdetexte"/>
    <w:link w:val="TableNoteChar"/>
    <w:rsid w:val="00BB49EE"/>
    <w:pPr>
      <w:spacing w:before="0" w:after="0"/>
    </w:pPr>
    <w:rPr>
      <w:i/>
    </w:rPr>
  </w:style>
  <w:style w:type="paragraph" w:customStyle="1" w:styleId="FigureSource">
    <w:name w:val="Figure Source"/>
    <w:basedOn w:val="TableSource"/>
    <w:rsid w:val="00BB49EE"/>
    <w:pPr>
      <w:keepNext/>
    </w:pPr>
  </w:style>
  <w:style w:type="character" w:customStyle="1" w:styleId="TableSourceChar">
    <w:name w:val="Table Source Char"/>
    <w:basedOn w:val="CorpsdetexteCar"/>
    <w:link w:val="TableSource"/>
    <w:rsid w:val="00BB49EE"/>
    <w:rPr>
      <w:rFonts w:ascii="Calibri" w:eastAsia="Times New Roman" w:hAnsi="Calibri" w:cs="Arial"/>
      <w:sz w:val="18"/>
      <w:szCs w:val="24"/>
      <w:lang w:val="fr-FR" w:eastAsia="fr-FR"/>
    </w:rPr>
  </w:style>
  <w:style w:type="character" w:customStyle="1" w:styleId="TableNoteChar">
    <w:name w:val="Table Note Char"/>
    <w:basedOn w:val="TableSourceChar"/>
    <w:link w:val="TableNote"/>
    <w:rsid w:val="00BB49EE"/>
    <w:rPr>
      <w:rFonts w:ascii="Calibri" w:eastAsia="Times New Roman" w:hAnsi="Calibri" w:cs="Arial"/>
      <w:i/>
      <w:sz w:val="18"/>
      <w:szCs w:val="24"/>
      <w:lang w:val="fr-FR" w:eastAsia="fr-FR"/>
    </w:rPr>
  </w:style>
  <w:style w:type="character" w:customStyle="1" w:styleId="NormalcentrCar">
    <w:name w:val="Normal centré Car"/>
    <w:aliases w:val="Block Quote Car"/>
    <w:basedOn w:val="Policepardfaut"/>
    <w:link w:val="Normalcentr"/>
    <w:rsid w:val="00BB49EE"/>
    <w:rPr>
      <w:rFonts w:ascii="Arial" w:eastAsia="Times New Roman" w:hAnsi="Arial" w:cs="Arial"/>
      <w:noProof/>
      <w:color w:val="000000"/>
      <w:szCs w:val="20"/>
      <w:lang w:val="fr-FR" w:eastAsia="fr-FR"/>
    </w:rPr>
  </w:style>
  <w:style w:type="table" w:customStyle="1" w:styleId="Trameclaire-Accent11">
    <w:name w:val="Trame claire - Accent 11"/>
    <w:basedOn w:val="TableauNormal"/>
    <w:next w:val="Trameclaire-Accent1"/>
    <w:uiPriority w:val="60"/>
    <w:rsid w:val="00BB49EE"/>
    <w:pPr>
      <w:spacing w:after="0" w:line="240" w:lineRule="auto"/>
    </w:pPr>
    <w:rPr>
      <w:color w:val="374C80"/>
      <w:lang w:val="en-US" w:eastAsia="ja-JP"/>
    </w:rPr>
    <w:tblPr>
      <w:tblStyleRowBandSize w:val="1"/>
      <w:tblStyleColBandSize w:val="1"/>
      <w:tblBorders>
        <w:top w:val="single" w:sz="8" w:space="0" w:color="4A66AC"/>
        <w:bottom w:val="single" w:sz="8" w:space="0" w:color="4A66AC"/>
      </w:tblBorders>
    </w:tblPr>
    <w:tblStylePr w:type="firstRow">
      <w:pPr>
        <w:spacing w:before="0" w:after="0" w:line="240" w:lineRule="auto"/>
      </w:pPr>
      <w:rPr>
        <w:b/>
        <w:bCs/>
        <w:color w:val="374C80"/>
      </w:rPr>
      <w:tblPr/>
      <w:tcPr>
        <w:tcBorders>
          <w:top w:val="single" w:sz="8" w:space="0" w:color="4A66AC"/>
          <w:left w:val="nil"/>
          <w:bottom w:val="single" w:sz="8" w:space="0" w:color="4A66AC"/>
          <w:right w:val="nil"/>
          <w:insideH w:val="nil"/>
          <w:insideV w:val="nil"/>
        </w:tcBorders>
      </w:tcPr>
    </w:tblStylePr>
    <w:tblStylePr w:type="lastRow">
      <w:pPr>
        <w:spacing w:before="0" w:after="0" w:line="240" w:lineRule="auto"/>
      </w:pPr>
      <w:rPr>
        <w:b/>
        <w:bCs/>
        <w:color w:val="374C80"/>
      </w:rPr>
      <w:tblPr/>
      <w:tcPr>
        <w:tcBorders>
          <w:top w:val="single" w:sz="8" w:space="0" w:color="4A66AC"/>
          <w:left w:val="nil"/>
          <w:bottom w:val="single" w:sz="8" w:space="0" w:color="4A66AC"/>
          <w:right w:val="nil"/>
          <w:insideH w:val="nil"/>
          <w:insideV w:val="nil"/>
        </w:tcBorders>
      </w:tcPr>
    </w:tblStylePr>
    <w:tblStylePr w:type="firstCol">
      <w:rPr>
        <w:b/>
        <w:bCs/>
        <w:color w:val="374C80"/>
      </w:rPr>
    </w:tblStylePr>
    <w:tblStylePr w:type="lastCol">
      <w:rPr>
        <w:b/>
        <w:bCs/>
        <w:color w:val="374C80"/>
      </w:rPr>
    </w:tblStylePr>
    <w:tblStylePr w:type="band1Vert">
      <w:tblPr/>
      <w:tcPr>
        <w:tcBorders>
          <w:left w:val="nil"/>
          <w:right w:val="nil"/>
          <w:insideH w:val="nil"/>
          <w:insideV w:val="nil"/>
        </w:tcBorders>
        <w:shd w:val="clear" w:color="auto" w:fill="D1D8EB"/>
      </w:tcPr>
    </w:tblStylePr>
    <w:tblStylePr w:type="band1Horz">
      <w:tblPr/>
      <w:tcPr>
        <w:tcBorders>
          <w:left w:val="nil"/>
          <w:right w:val="nil"/>
          <w:insideH w:val="nil"/>
          <w:insideV w:val="nil"/>
        </w:tcBorders>
        <w:shd w:val="clear" w:color="auto" w:fill="D1D8EB"/>
      </w:tcPr>
    </w:tblStylePr>
  </w:style>
  <w:style w:type="paragraph" w:customStyle="1" w:styleId="FigureNote">
    <w:name w:val="Figure Note"/>
    <w:basedOn w:val="TableNote"/>
    <w:next w:val="Corpsdetexte"/>
    <w:rsid w:val="00BB49EE"/>
    <w:pPr>
      <w:keepNext/>
    </w:pPr>
  </w:style>
  <w:style w:type="paragraph" w:customStyle="1" w:styleId="Documenttitle">
    <w:name w:val="Document title"/>
    <w:basedOn w:val="Normal"/>
    <w:next w:val="Documentsubtitle"/>
    <w:rsid w:val="00BB49EE"/>
    <w:pPr>
      <w:spacing w:before="0" w:after="0" w:line="216" w:lineRule="auto"/>
      <w:jc w:val="left"/>
    </w:pPr>
    <w:rPr>
      <w:rFonts w:eastAsia="DengXian"/>
      <w:b/>
      <w:color w:val="242852"/>
      <w:spacing w:val="-2"/>
      <w:kern w:val="18"/>
      <w:sz w:val="48"/>
      <w:lang w:eastAsia="zh-CN" w:bidi="ar-SA"/>
    </w:rPr>
  </w:style>
  <w:style w:type="paragraph" w:customStyle="1" w:styleId="Documentsubtitle">
    <w:name w:val="Document subtitle"/>
    <w:basedOn w:val="Normal"/>
    <w:next w:val="Normal"/>
    <w:rsid w:val="00BB49EE"/>
    <w:pPr>
      <w:spacing w:before="360" w:after="0" w:line="360" w:lineRule="atLeast"/>
      <w:jc w:val="left"/>
    </w:pPr>
    <w:rPr>
      <w:rFonts w:eastAsia="DengXian"/>
      <w:spacing w:val="-2"/>
      <w:kern w:val="18"/>
      <w:sz w:val="30"/>
      <w:lang w:eastAsia="zh-CN" w:bidi="ar-SA"/>
    </w:rPr>
  </w:style>
  <w:style w:type="paragraph" w:customStyle="1" w:styleId="DocumentDate">
    <w:name w:val="Document Date"/>
    <w:basedOn w:val="Normal"/>
    <w:next w:val="Normal"/>
    <w:semiHidden/>
    <w:rsid w:val="00BB49EE"/>
    <w:pPr>
      <w:spacing w:before="0" w:after="0" w:line="360" w:lineRule="atLeast"/>
      <w:jc w:val="left"/>
    </w:pPr>
    <w:rPr>
      <w:rFonts w:eastAsia="DengXian"/>
      <w:spacing w:val="-2"/>
      <w:kern w:val="18"/>
      <w:sz w:val="20"/>
      <w:lang w:eastAsia="zh-CN" w:bidi="ar-SA"/>
    </w:rPr>
  </w:style>
  <w:style w:type="paragraph" w:customStyle="1" w:styleId="DocumentProjectNo">
    <w:name w:val="Document Project No"/>
    <w:basedOn w:val="Normal"/>
    <w:next w:val="Normal"/>
    <w:semiHidden/>
    <w:rsid w:val="00BB49EE"/>
    <w:pPr>
      <w:spacing w:before="0" w:after="0" w:line="360" w:lineRule="atLeast"/>
      <w:jc w:val="left"/>
    </w:pPr>
    <w:rPr>
      <w:rFonts w:eastAsia="DengXian"/>
      <w:spacing w:val="-2"/>
      <w:kern w:val="18"/>
      <w:sz w:val="20"/>
      <w:lang w:eastAsia="zh-CN" w:bidi="ar-SA"/>
    </w:rPr>
  </w:style>
  <w:style w:type="paragraph" w:customStyle="1" w:styleId="DocDate">
    <w:name w:val="DocDate"/>
    <w:basedOn w:val="Normal"/>
    <w:next w:val="Normal"/>
    <w:semiHidden/>
    <w:rsid w:val="00BB49EE"/>
    <w:pPr>
      <w:spacing w:before="0" w:after="0" w:line="220" w:lineRule="atLeast"/>
      <w:jc w:val="left"/>
    </w:pPr>
    <w:rPr>
      <w:rFonts w:eastAsia="DengXian"/>
      <w:spacing w:val="-2"/>
      <w:kern w:val="18"/>
      <w:sz w:val="18"/>
      <w:lang w:eastAsia="zh-CN" w:bidi="ar-SA"/>
    </w:rPr>
  </w:style>
  <w:style w:type="paragraph" w:customStyle="1" w:styleId="DocRef">
    <w:name w:val="DocRef"/>
    <w:basedOn w:val="Normal"/>
    <w:next w:val="Normal"/>
    <w:semiHidden/>
    <w:rsid w:val="00BB49EE"/>
    <w:pPr>
      <w:spacing w:before="0" w:after="0" w:line="220" w:lineRule="atLeast"/>
      <w:jc w:val="left"/>
    </w:pPr>
    <w:rPr>
      <w:rFonts w:eastAsia="DengXian"/>
      <w:spacing w:val="-2"/>
      <w:kern w:val="18"/>
      <w:sz w:val="18"/>
      <w:lang w:eastAsia="zh-CN" w:bidi="ar-SA"/>
    </w:rPr>
  </w:style>
  <w:style w:type="paragraph" w:customStyle="1" w:styleId="DocVers">
    <w:name w:val="DocVers"/>
    <w:basedOn w:val="Normal"/>
    <w:next w:val="Normal"/>
    <w:semiHidden/>
    <w:rsid w:val="00BB49EE"/>
    <w:pPr>
      <w:spacing w:before="0" w:after="0" w:line="220" w:lineRule="atLeast"/>
      <w:jc w:val="left"/>
    </w:pPr>
    <w:rPr>
      <w:rFonts w:eastAsia="DengXian"/>
      <w:spacing w:val="-2"/>
      <w:kern w:val="18"/>
      <w:sz w:val="18"/>
      <w:szCs w:val="18"/>
      <w:lang w:eastAsia="zh-CN" w:bidi="ar-SA"/>
    </w:rPr>
  </w:style>
  <w:style w:type="paragraph" w:customStyle="1" w:styleId="DocAuthor">
    <w:name w:val="DocAuthor"/>
    <w:basedOn w:val="Normal"/>
    <w:next w:val="Normal"/>
    <w:semiHidden/>
    <w:rsid w:val="00BB49EE"/>
    <w:pPr>
      <w:spacing w:before="0" w:after="0" w:line="220" w:lineRule="atLeast"/>
      <w:jc w:val="left"/>
    </w:pPr>
    <w:rPr>
      <w:rFonts w:eastAsia="DengXian"/>
      <w:spacing w:val="-2"/>
      <w:kern w:val="18"/>
      <w:sz w:val="18"/>
      <w:szCs w:val="18"/>
      <w:lang w:eastAsia="zh-CN" w:bidi="ar-SA"/>
    </w:rPr>
  </w:style>
  <w:style w:type="paragraph" w:customStyle="1" w:styleId="DocClient">
    <w:name w:val="DocClient"/>
    <w:basedOn w:val="Normal"/>
    <w:next w:val="Normal"/>
    <w:semiHidden/>
    <w:rsid w:val="00BB49EE"/>
    <w:pPr>
      <w:spacing w:before="0" w:after="0" w:line="220" w:lineRule="atLeast"/>
      <w:jc w:val="left"/>
    </w:pPr>
    <w:rPr>
      <w:rFonts w:eastAsia="DengXian"/>
      <w:spacing w:val="-2"/>
      <w:kern w:val="18"/>
      <w:sz w:val="18"/>
      <w:szCs w:val="18"/>
      <w:lang w:eastAsia="zh-CN" w:bidi="ar-SA"/>
    </w:rPr>
  </w:style>
  <w:style w:type="paragraph" w:customStyle="1" w:styleId="Section1heading">
    <w:name w:val="Section 1 heading"/>
    <w:basedOn w:val="Corpsdetexte"/>
    <w:next w:val="Corpsdetexte"/>
    <w:uiPriority w:val="99"/>
    <w:semiHidden/>
    <w:rsid w:val="00BB49EE"/>
    <w:pPr>
      <w:spacing w:after="240" w:line="240" w:lineRule="auto"/>
    </w:pPr>
    <w:rPr>
      <w:rFonts w:cs="Arial"/>
      <w:b/>
      <w:color w:val="242852"/>
      <w:sz w:val="20"/>
      <w:szCs w:val="20"/>
      <w:lang w:val="fr-FR" w:eastAsia="en-US"/>
    </w:rPr>
  </w:style>
  <w:style w:type="paragraph" w:customStyle="1" w:styleId="DocTitle">
    <w:name w:val="DocTitle"/>
    <w:basedOn w:val="Normal"/>
    <w:uiPriority w:val="99"/>
    <w:semiHidden/>
    <w:rsid w:val="00BB49EE"/>
    <w:pPr>
      <w:spacing w:before="0" w:after="0" w:line="220" w:lineRule="atLeast"/>
      <w:jc w:val="left"/>
    </w:pPr>
    <w:rPr>
      <w:rFonts w:eastAsia="DengXian"/>
      <w:color w:val="242852"/>
      <w:sz w:val="18"/>
      <w:szCs w:val="20"/>
      <w:lang w:bidi="ar-SA"/>
    </w:rPr>
  </w:style>
  <w:style w:type="paragraph" w:customStyle="1" w:styleId="DocSubtitle">
    <w:name w:val="DocSubtitle"/>
    <w:basedOn w:val="Normal"/>
    <w:uiPriority w:val="99"/>
    <w:semiHidden/>
    <w:rsid w:val="00BB49EE"/>
    <w:pPr>
      <w:spacing w:before="0" w:after="0" w:line="220" w:lineRule="atLeast"/>
      <w:jc w:val="left"/>
    </w:pPr>
    <w:rPr>
      <w:rFonts w:eastAsia="DengXian"/>
      <w:color w:val="242852"/>
      <w:sz w:val="18"/>
      <w:szCs w:val="20"/>
      <w:lang w:bidi="ar-SA"/>
    </w:rPr>
  </w:style>
  <w:style w:type="paragraph" w:customStyle="1" w:styleId="TOCListheadings">
    <w:name w:val="TOC List headings"/>
    <w:basedOn w:val="Corpsdetexte"/>
    <w:next w:val="Corpsdetexte"/>
    <w:uiPriority w:val="99"/>
    <w:rsid w:val="00BB49EE"/>
    <w:pPr>
      <w:spacing w:before="120" w:after="0" w:line="260" w:lineRule="exact"/>
    </w:pPr>
    <w:rPr>
      <w:rFonts w:cs="Arial"/>
      <w:b/>
      <w:noProof/>
      <w:color w:val="242852"/>
      <w:sz w:val="20"/>
      <w:szCs w:val="20"/>
      <w:lang w:val="fr-FR" w:eastAsia="en-US"/>
    </w:rPr>
  </w:style>
  <w:style w:type="paragraph" w:customStyle="1" w:styleId="AppendixHeading2">
    <w:name w:val="Appendix Heading 2"/>
    <w:basedOn w:val="Corpsdetexte"/>
    <w:next w:val="Corpsdetexte"/>
    <w:uiPriority w:val="99"/>
    <w:rsid w:val="00BB49EE"/>
    <w:pPr>
      <w:spacing w:before="240" w:after="60" w:line="240" w:lineRule="auto"/>
    </w:pPr>
    <w:rPr>
      <w:rFonts w:cs="Arial"/>
      <w:color w:val="242852"/>
      <w:sz w:val="24"/>
      <w:szCs w:val="20"/>
      <w:lang w:val="fr-FR" w:eastAsia="en-US"/>
    </w:rPr>
  </w:style>
  <w:style w:type="paragraph" w:customStyle="1" w:styleId="TableTitle">
    <w:name w:val="Table Title"/>
    <w:basedOn w:val="Normal"/>
    <w:next w:val="Normal"/>
    <w:qFormat/>
    <w:rsid w:val="00BB49EE"/>
    <w:pPr>
      <w:keepNext/>
      <w:spacing w:before="240" w:line="260" w:lineRule="atLeast"/>
      <w:contextualSpacing/>
      <w:jc w:val="left"/>
    </w:pPr>
    <w:rPr>
      <w:rFonts w:eastAsia="DengXian"/>
      <w:b/>
      <w:sz w:val="24"/>
      <w:szCs w:val="20"/>
      <w:lang w:val="en-US" w:eastAsia="en-AU" w:bidi="ar-SA"/>
    </w:rPr>
  </w:style>
  <w:style w:type="character" w:customStyle="1" w:styleId="SubtleEmphasis1">
    <w:name w:val="Subtle Emphasis1"/>
    <w:rsid w:val="00BB49EE"/>
    <w:rPr>
      <w:rFonts w:ascii="Times New Roman" w:hAnsi="Times New Roman" w:cs="Times New Roman"/>
      <w:i/>
      <w:iCs/>
      <w:color w:val="365338"/>
    </w:rPr>
  </w:style>
  <w:style w:type="table" w:customStyle="1" w:styleId="PlainTable51">
    <w:name w:val="Plain Table 51"/>
    <w:basedOn w:val="TableauNormal"/>
    <w:uiPriority w:val="45"/>
    <w:rsid w:val="00BB49EE"/>
    <w:pPr>
      <w:spacing w:after="0" w:line="240" w:lineRule="auto"/>
    </w:pPr>
    <w:rPr>
      <w:sz w:val="20"/>
      <w:szCs w:val="20"/>
      <w:lang w:val="en-US"/>
    </w:rPr>
    <w:tblPr>
      <w:tblStyleRowBandSize w:val="1"/>
      <w:tblStyleColBandSize w:val="1"/>
    </w:tblPr>
    <w:tblStylePr w:type="firstRow">
      <w:rPr>
        <w:rFonts w:ascii="Calibri Light" w:eastAsia="Bahnschrift SemiBold" w:hAnsi="Calibri Light" w:cs="Times New Roman"/>
        <w:i/>
        <w:iCs/>
        <w:sz w:val="26"/>
      </w:rPr>
      <w:tblPr/>
      <w:tcPr>
        <w:tcBorders>
          <w:bottom w:val="single" w:sz="4" w:space="0" w:color="7F7F7F"/>
        </w:tcBorders>
        <w:shd w:val="clear" w:color="auto" w:fill="FFFFFF"/>
      </w:tcPr>
    </w:tblStylePr>
    <w:tblStylePr w:type="lastRow">
      <w:rPr>
        <w:rFonts w:ascii="Calibri Light" w:eastAsia="Bahnschrift SemiBold" w:hAnsi="Calibri Light" w:cs="Times New Roman"/>
        <w:i/>
        <w:iCs/>
        <w:sz w:val="26"/>
      </w:rPr>
      <w:tblPr/>
      <w:tcPr>
        <w:tcBorders>
          <w:top w:val="single" w:sz="4" w:space="0" w:color="7F7F7F"/>
        </w:tcBorders>
        <w:shd w:val="clear" w:color="auto" w:fill="FFFFFF"/>
      </w:tcPr>
    </w:tblStylePr>
    <w:tblStylePr w:type="firstCol">
      <w:pPr>
        <w:jc w:val="right"/>
      </w:pPr>
      <w:rPr>
        <w:rFonts w:ascii="Calibri Light" w:eastAsia="Bahnschrift SemiBold" w:hAnsi="Calibri Light" w:cs="Times New Roman"/>
        <w:i/>
        <w:iCs/>
        <w:sz w:val="26"/>
      </w:rPr>
      <w:tblPr/>
      <w:tcPr>
        <w:tcBorders>
          <w:right w:val="single" w:sz="4" w:space="0" w:color="7F7F7F"/>
        </w:tcBorders>
        <w:shd w:val="clear" w:color="auto" w:fill="FFFFFF"/>
      </w:tcPr>
    </w:tblStylePr>
    <w:tblStylePr w:type="lastCol">
      <w:rPr>
        <w:rFonts w:ascii="Calibri Light" w:eastAsia="Bahnschrift SemiBold" w:hAnsi="Calibri Light"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dualreport">
    <w:name w:val="dualreport"/>
    <w:basedOn w:val="Normal"/>
    <w:rsid w:val="00BB49EE"/>
    <w:pPr>
      <w:widowControl w:val="0"/>
      <w:tabs>
        <w:tab w:val="left" w:pos="-720"/>
      </w:tabs>
      <w:suppressAutoHyphens/>
      <w:spacing w:before="0" w:after="0" w:line="240" w:lineRule="auto"/>
      <w:ind w:left="173"/>
    </w:pPr>
    <w:rPr>
      <w:rFonts w:ascii="Book Antiqua" w:hAnsi="Book Antiqua" w:cs="Times New Roman"/>
      <w:snapToGrid w:val="0"/>
      <w:kern w:val="28"/>
      <w:szCs w:val="20"/>
      <w:lang w:val="en-US" w:bidi="ar-SA"/>
    </w:rPr>
  </w:style>
  <w:style w:type="paragraph" w:customStyle="1" w:styleId="LeftColumnText">
    <w:name w:val="Left Column Text"/>
    <w:basedOn w:val="Normal"/>
    <w:rsid w:val="00BB49EE"/>
    <w:pPr>
      <w:tabs>
        <w:tab w:val="left" w:pos="360"/>
        <w:tab w:val="left" w:pos="720"/>
        <w:tab w:val="left" w:pos="1080"/>
        <w:tab w:val="left" w:pos="1440"/>
      </w:tabs>
      <w:spacing w:before="0" w:after="0" w:line="220" w:lineRule="atLeast"/>
    </w:pPr>
    <w:rPr>
      <w:rFonts w:ascii="Palatino" w:hAnsi="Palatino" w:cs="Times New Roman"/>
      <w:kern w:val="28"/>
      <w:szCs w:val="20"/>
      <w:lang w:val="en-US" w:bidi="ar-SA"/>
    </w:rPr>
  </w:style>
  <w:style w:type="paragraph" w:customStyle="1" w:styleId="flush">
    <w:name w:val="flush"/>
    <w:basedOn w:val="En-tte"/>
    <w:rsid w:val="00BB49EE"/>
    <w:pPr>
      <w:tabs>
        <w:tab w:val="clear" w:pos="4536"/>
        <w:tab w:val="clear" w:pos="9072"/>
        <w:tab w:val="right" w:pos="7920"/>
      </w:tabs>
    </w:pPr>
    <w:rPr>
      <w:rFonts w:ascii="Book Antiqua" w:hAnsi="Book Antiqua" w:cs="Times New Roman"/>
      <w:b/>
      <w:i/>
      <w:sz w:val="20"/>
      <w:szCs w:val="20"/>
      <w:lang w:val="en-US" w:bidi="ar-SA"/>
    </w:rPr>
  </w:style>
  <w:style w:type="paragraph" w:customStyle="1" w:styleId="Spec3">
    <w:name w:val="Spec3"/>
    <w:basedOn w:val="Normal"/>
    <w:rsid w:val="00BB49EE"/>
    <w:pPr>
      <w:tabs>
        <w:tab w:val="left" w:pos="2160"/>
      </w:tabs>
      <w:spacing w:before="0" w:after="0" w:line="240" w:lineRule="auto"/>
      <w:ind w:left="2160" w:hanging="720"/>
    </w:pPr>
    <w:rPr>
      <w:rFonts w:ascii="Book Antiqua" w:hAnsi="Book Antiqua" w:cs="Times New Roman"/>
      <w:szCs w:val="20"/>
      <w:lang w:val="en-US" w:bidi="ar-SA"/>
    </w:rPr>
  </w:style>
  <w:style w:type="paragraph" w:customStyle="1" w:styleId="Spec4">
    <w:name w:val="Spec4"/>
    <w:basedOn w:val="Spec3"/>
    <w:rsid w:val="00BB49EE"/>
    <w:pPr>
      <w:ind w:left="2880"/>
    </w:pPr>
  </w:style>
  <w:style w:type="paragraph" w:customStyle="1" w:styleId="Spec1">
    <w:name w:val="Spec1"/>
    <w:basedOn w:val="Normal"/>
    <w:rsid w:val="00BB49EE"/>
    <w:pPr>
      <w:spacing w:before="0" w:after="0" w:line="240" w:lineRule="auto"/>
    </w:pPr>
    <w:rPr>
      <w:rFonts w:ascii="Book Antiqua" w:hAnsi="Book Antiqua" w:cs="Times New Roman"/>
      <w:caps/>
      <w:color w:val="000000"/>
      <w:szCs w:val="20"/>
      <w:u w:val="single"/>
      <w:lang w:val="en-US" w:bidi="ar-SA"/>
    </w:rPr>
  </w:style>
  <w:style w:type="paragraph" w:customStyle="1" w:styleId="Spec2">
    <w:name w:val="Spec2"/>
    <w:basedOn w:val="Normal"/>
    <w:rsid w:val="00BB49EE"/>
    <w:pPr>
      <w:spacing w:before="0" w:after="0" w:line="240" w:lineRule="auto"/>
      <w:ind w:left="1440" w:hanging="1440"/>
    </w:pPr>
    <w:rPr>
      <w:rFonts w:ascii="Book Antiqua" w:hAnsi="Book Antiqua" w:cs="Times New Roman"/>
      <w:color w:val="000000"/>
      <w:szCs w:val="20"/>
      <w:lang w:val="en-US" w:bidi="ar-SA"/>
    </w:rPr>
  </w:style>
  <w:style w:type="paragraph" w:customStyle="1" w:styleId="ReportCover">
    <w:name w:val="ReportCover"/>
    <w:basedOn w:val="Normal"/>
    <w:rsid w:val="00BB49EE"/>
    <w:pPr>
      <w:spacing w:before="0" w:after="0" w:line="240" w:lineRule="auto"/>
      <w:ind w:left="2880"/>
    </w:pPr>
    <w:rPr>
      <w:rFonts w:ascii="Book Antiqua" w:hAnsi="Book Antiqua" w:cs="Times New Roman"/>
      <w:b/>
      <w:sz w:val="40"/>
      <w:szCs w:val="20"/>
      <w:lang w:val="en-US" w:bidi="ar-SA"/>
    </w:rPr>
  </w:style>
  <w:style w:type="paragraph" w:customStyle="1" w:styleId="ReportSigs">
    <w:name w:val="ReportSigs"/>
    <w:basedOn w:val="Normal"/>
    <w:rsid w:val="00BB49EE"/>
    <w:pPr>
      <w:spacing w:before="0" w:after="0" w:line="240" w:lineRule="auto"/>
      <w:jc w:val="center"/>
    </w:pPr>
    <w:rPr>
      <w:rFonts w:ascii="Book Antiqua" w:hAnsi="Book Antiqua" w:cs="Times New Roman"/>
      <w:b/>
      <w:sz w:val="32"/>
      <w:szCs w:val="20"/>
      <w:lang w:val="en-US" w:bidi="ar-SA"/>
    </w:rPr>
  </w:style>
  <w:style w:type="paragraph" w:customStyle="1" w:styleId="fFourElements3">
    <w:name w:val="fFour Elements3"/>
    <w:rsid w:val="00BB49EE"/>
    <w:pPr>
      <w:overflowPunct w:val="0"/>
      <w:autoSpaceDE w:val="0"/>
      <w:autoSpaceDN w:val="0"/>
      <w:adjustRightInd w:val="0"/>
      <w:spacing w:after="0" w:line="264" w:lineRule="auto"/>
      <w:textAlignment w:val="baseline"/>
    </w:pPr>
    <w:rPr>
      <w:rFonts w:ascii="Book Antiqua" w:eastAsia="Times New Roman" w:hAnsi="Book Antiqua" w:cs="Times New Roman"/>
      <w:szCs w:val="20"/>
      <w:lang w:val="en-GB"/>
    </w:rPr>
  </w:style>
  <w:style w:type="paragraph" w:customStyle="1" w:styleId="CoverClientName">
    <w:name w:val="CoverClientName"/>
    <w:basedOn w:val="Normal"/>
    <w:next w:val="Normal"/>
    <w:rsid w:val="00BB49EE"/>
    <w:pPr>
      <w:overflowPunct w:val="0"/>
      <w:autoSpaceDE w:val="0"/>
      <w:autoSpaceDN w:val="0"/>
      <w:adjustRightInd w:val="0"/>
      <w:spacing w:before="0" w:after="240" w:line="264" w:lineRule="auto"/>
      <w:textAlignment w:val="baseline"/>
    </w:pPr>
    <w:rPr>
      <w:rFonts w:ascii="Book Antiqua" w:hAnsi="Book Antiqua" w:cs="Times New Roman"/>
      <w:szCs w:val="20"/>
      <w:lang w:bidi="ar-SA"/>
    </w:rPr>
  </w:style>
  <w:style w:type="paragraph" w:customStyle="1" w:styleId="CoverMainTitle">
    <w:name w:val="CoverMainTitle"/>
    <w:basedOn w:val="Normal"/>
    <w:next w:val="Normal"/>
    <w:rsid w:val="00BB49EE"/>
    <w:pPr>
      <w:overflowPunct w:val="0"/>
      <w:autoSpaceDE w:val="0"/>
      <w:autoSpaceDN w:val="0"/>
      <w:adjustRightInd w:val="0"/>
      <w:spacing w:before="0" w:after="0" w:line="240" w:lineRule="auto"/>
      <w:ind w:left="3456"/>
      <w:textAlignment w:val="baseline"/>
    </w:pPr>
    <w:rPr>
      <w:rFonts w:ascii="Book Antiqua" w:hAnsi="Book Antiqua" w:cs="Times New Roman"/>
      <w:b/>
      <w:sz w:val="36"/>
      <w:szCs w:val="20"/>
      <w:lang w:bidi="ar-SA"/>
    </w:rPr>
  </w:style>
  <w:style w:type="paragraph" w:customStyle="1" w:styleId="FirstStyle">
    <w:name w:val="FirstStyle"/>
    <w:basedOn w:val="Normal"/>
    <w:rsid w:val="00BB49EE"/>
    <w:pPr>
      <w:overflowPunct w:val="0"/>
      <w:autoSpaceDE w:val="0"/>
      <w:autoSpaceDN w:val="0"/>
      <w:adjustRightInd w:val="0"/>
      <w:spacing w:before="220" w:after="0" w:line="240" w:lineRule="auto"/>
      <w:textAlignment w:val="baseline"/>
    </w:pPr>
    <w:rPr>
      <w:rFonts w:ascii="Arial" w:hAnsi="Arial" w:cs="Times New Roman"/>
      <w:i/>
      <w:szCs w:val="20"/>
      <w:lang w:bidi="ar-SA"/>
    </w:rPr>
  </w:style>
  <w:style w:type="paragraph" w:customStyle="1" w:styleId="Captions-Tables">
    <w:name w:val="Captions - Tables"/>
    <w:basedOn w:val="Retraitcorpsdetexte"/>
    <w:qFormat/>
    <w:rsid w:val="00BB49EE"/>
    <w:pPr>
      <w:ind w:left="-1440"/>
      <w:jc w:val="both"/>
    </w:pPr>
    <w:rPr>
      <w:rFonts w:ascii="Book Antiqua" w:hAnsi="Book Antiqua"/>
      <w:b/>
      <w:i/>
      <w:snapToGrid w:val="0"/>
      <w:color w:val="auto"/>
      <w:sz w:val="22"/>
      <w:szCs w:val="20"/>
      <w:lang w:val="en-US" w:eastAsia="en-US"/>
    </w:rPr>
  </w:style>
  <w:style w:type="paragraph" w:customStyle="1" w:styleId="Captions-Figures">
    <w:name w:val="Captions - Figures"/>
    <w:basedOn w:val="Retraitcorpsdetexte"/>
    <w:qFormat/>
    <w:rsid w:val="00BB49EE"/>
    <w:pPr>
      <w:ind w:left="-1440"/>
      <w:jc w:val="both"/>
    </w:pPr>
    <w:rPr>
      <w:rFonts w:ascii="Book Antiqua" w:hAnsi="Book Antiqua"/>
      <w:b/>
      <w:i/>
      <w:snapToGrid w:val="0"/>
      <w:color w:val="auto"/>
      <w:sz w:val="22"/>
      <w:szCs w:val="20"/>
      <w:lang w:val="en-US" w:eastAsia="en-US"/>
    </w:rPr>
  </w:style>
  <w:style w:type="paragraph" w:customStyle="1" w:styleId="bullets">
    <w:name w:val="bullets"/>
    <w:basedOn w:val="Normal"/>
    <w:link w:val="bulletsChar"/>
    <w:qFormat/>
    <w:rsid w:val="00BB49EE"/>
    <w:pPr>
      <w:numPr>
        <w:numId w:val="95"/>
      </w:numPr>
      <w:spacing w:after="0" w:line="240" w:lineRule="auto"/>
      <w:ind w:left="360"/>
    </w:pPr>
    <w:rPr>
      <w:rFonts w:ascii="Book Antiqua" w:hAnsi="Book Antiqua" w:cs="Times New Roman"/>
      <w:szCs w:val="20"/>
      <w:lang w:val="en-US" w:bidi="ar-SA"/>
    </w:rPr>
  </w:style>
  <w:style w:type="character" w:customStyle="1" w:styleId="bulletsChar">
    <w:name w:val="bullets Char"/>
    <w:basedOn w:val="Policepardfaut"/>
    <w:link w:val="bullets"/>
    <w:rsid w:val="00BB49EE"/>
    <w:rPr>
      <w:rFonts w:ascii="Book Antiqua" w:eastAsia="Times New Roman" w:hAnsi="Book Antiqua" w:cs="Times New Roman"/>
      <w:szCs w:val="20"/>
      <w:lang w:val="en-US"/>
    </w:rPr>
  </w:style>
  <w:style w:type="paragraph" w:customStyle="1" w:styleId="Heading1Unnumbered">
    <w:name w:val="Heading1_Unnumbered"/>
    <w:basedOn w:val="Titre1"/>
    <w:qFormat/>
    <w:rsid w:val="00BB49EE"/>
    <w:pPr>
      <w:keepLines w:val="0"/>
      <w:spacing w:before="0" w:after="240" w:line="260" w:lineRule="atLeast"/>
      <w:ind w:hanging="1440"/>
      <w:jc w:val="left"/>
    </w:pPr>
    <w:rPr>
      <w:rFonts w:ascii="Book Antiqua" w:eastAsia="Times New Roman" w:hAnsi="Book Antiqua" w:cs="Times New Roman"/>
      <w:i/>
      <w:caps/>
      <w:color w:val="auto"/>
      <w:kern w:val="28"/>
      <w:sz w:val="22"/>
      <w:szCs w:val="20"/>
      <w:lang w:val="es-MX" w:bidi="ar-SA"/>
    </w:rPr>
  </w:style>
  <w:style w:type="paragraph" w:customStyle="1" w:styleId="Bullet-lebon">
    <w:name w:val="Bullet - le bon"/>
    <w:basedOn w:val="Normal"/>
    <w:link w:val="Bullet-lebonChar"/>
    <w:qFormat/>
    <w:rsid w:val="00BB49EE"/>
    <w:pPr>
      <w:overflowPunct w:val="0"/>
      <w:autoSpaceDE w:val="0"/>
      <w:autoSpaceDN w:val="0"/>
      <w:adjustRightInd w:val="0"/>
      <w:spacing w:before="0" w:after="0" w:line="240" w:lineRule="auto"/>
      <w:textAlignment w:val="baseline"/>
    </w:pPr>
    <w:rPr>
      <w:rFonts w:ascii="Book Antiqua" w:hAnsi="Book Antiqua" w:cs="Times New Roman"/>
      <w:szCs w:val="20"/>
      <w:lang w:bidi="ar-SA"/>
    </w:rPr>
  </w:style>
  <w:style w:type="character" w:customStyle="1" w:styleId="Bullet-lebonChar">
    <w:name w:val="Bullet - le bon Char"/>
    <w:link w:val="Bullet-lebon"/>
    <w:rsid w:val="00BB49EE"/>
    <w:rPr>
      <w:rFonts w:ascii="Book Antiqua" w:eastAsia="Times New Roman" w:hAnsi="Book Antiqua" w:cs="Times New Roman"/>
      <w:szCs w:val="20"/>
      <w:lang w:val="fr-FR"/>
    </w:rPr>
  </w:style>
  <w:style w:type="paragraph" w:customStyle="1" w:styleId="GraphicsText">
    <w:name w:val="Graphics Text"/>
    <w:basedOn w:val="Normal"/>
    <w:rsid w:val="00BB49EE"/>
    <w:pPr>
      <w:overflowPunct w:val="0"/>
      <w:autoSpaceDE w:val="0"/>
      <w:autoSpaceDN w:val="0"/>
      <w:adjustRightInd w:val="0"/>
      <w:spacing w:before="0" w:after="0" w:line="264" w:lineRule="auto"/>
      <w:textAlignment w:val="baseline"/>
    </w:pPr>
    <w:rPr>
      <w:rFonts w:ascii="Arial Narrow" w:hAnsi="Arial Narrow" w:cs="Times New Roman"/>
      <w:sz w:val="18"/>
      <w:szCs w:val="20"/>
      <w:lang w:bidi="ar-SA"/>
    </w:rPr>
  </w:style>
  <w:style w:type="character" w:customStyle="1" w:styleId="E2Char">
    <w:name w:val="E2 Char"/>
    <w:link w:val="E2"/>
    <w:locked/>
    <w:rsid w:val="00BB49EE"/>
    <w:rPr>
      <w:rFonts w:ascii="Arial" w:eastAsia="SimSun" w:hAnsi="Arial" w:cs="Arial"/>
    </w:rPr>
  </w:style>
  <w:style w:type="paragraph" w:customStyle="1" w:styleId="E2">
    <w:name w:val="E2"/>
    <w:basedOn w:val="Normal"/>
    <w:link w:val="E2Char"/>
    <w:rsid w:val="00BB49EE"/>
    <w:pPr>
      <w:widowControl w:val="0"/>
      <w:numPr>
        <w:numId w:val="96"/>
      </w:numPr>
      <w:spacing w:before="40" w:after="0" w:line="240" w:lineRule="auto"/>
    </w:pPr>
    <w:rPr>
      <w:rFonts w:ascii="Arial" w:eastAsia="SimSun" w:hAnsi="Arial"/>
      <w:lang w:val="fr-MA" w:bidi="ar-SA"/>
    </w:rPr>
  </w:style>
  <w:style w:type="table" w:customStyle="1" w:styleId="Tableausimple210">
    <w:name w:val="Tableau simple 21"/>
    <w:basedOn w:val="TableauNormal"/>
    <w:uiPriority w:val="42"/>
    <w:rsid w:val="00BB49EE"/>
    <w:pPr>
      <w:spacing w:after="0" w:line="240" w:lineRule="auto"/>
    </w:pPr>
    <w:rPr>
      <w:sz w:val="20"/>
      <w:szCs w:val="20"/>
      <w:lang w:val="en-US"/>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paragraph" w:customStyle="1" w:styleId="En-tteclient">
    <w:name w:val="En-tête (client)"/>
    <w:basedOn w:val="En-tte"/>
    <w:uiPriority w:val="49"/>
    <w:semiHidden/>
    <w:qFormat/>
    <w:rsid w:val="00BB49EE"/>
    <w:pPr>
      <w:tabs>
        <w:tab w:val="clear" w:pos="4536"/>
        <w:tab w:val="clear" w:pos="9072"/>
      </w:tabs>
      <w:suppressAutoHyphens/>
      <w:spacing w:before="20" w:after="80"/>
      <w:ind w:left="2835"/>
      <w:jc w:val="right"/>
    </w:pPr>
    <w:rPr>
      <w:rFonts w:ascii="Arial" w:hAnsi="Arial" w:cs="Times New Roman"/>
      <w:caps/>
      <w:color w:val="0E57C4"/>
      <w:sz w:val="17"/>
      <w:szCs w:val="24"/>
      <w:lang w:eastAsia="fr-FR" w:bidi="ar-SA"/>
    </w:rPr>
  </w:style>
  <w:style w:type="paragraph" w:customStyle="1" w:styleId="Sommaire">
    <w:name w:val="Sommaire"/>
    <w:basedOn w:val="Normal"/>
    <w:next w:val="Normal"/>
    <w:uiPriority w:val="7"/>
    <w:locked/>
    <w:rsid w:val="00BB49EE"/>
    <w:pPr>
      <w:keepNext/>
      <w:suppressAutoHyphens/>
      <w:spacing w:before="600" w:after="200" w:line="240" w:lineRule="auto"/>
      <w:jc w:val="left"/>
    </w:pPr>
    <w:rPr>
      <w:rFonts w:ascii="Arial" w:hAnsi="Arial" w:cs="Times New Roman"/>
      <w:b/>
      <w:caps/>
      <w:color w:val="4A66AC"/>
      <w:sz w:val="36"/>
      <w:szCs w:val="24"/>
      <w:lang w:eastAsia="fr-FR" w:bidi="ar-SA"/>
    </w:rPr>
  </w:style>
  <w:style w:type="paragraph" w:customStyle="1" w:styleId="Espace4pt">
    <w:name w:val="Espace 4 pt"/>
    <w:basedOn w:val="Normal"/>
    <w:next w:val="Normal"/>
    <w:uiPriority w:val="49"/>
    <w:semiHidden/>
    <w:rsid w:val="00BB49EE"/>
    <w:pPr>
      <w:suppressAutoHyphens/>
      <w:spacing w:before="0" w:after="0" w:line="80" w:lineRule="exact"/>
      <w:jc w:val="left"/>
    </w:pPr>
    <w:rPr>
      <w:rFonts w:ascii="Arial" w:hAnsi="Arial" w:cs="Times New Roman"/>
      <w:sz w:val="8"/>
      <w:szCs w:val="24"/>
      <w:lang w:eastAsia="fr-FR" w:bidi="ar-SA"/>
    </w:rPr>
  </w:style>
  <w:style w:type="paragraph" w:customStyle="1" w:styleId="CLIENT">
    <w:name w:val="CLIENT"/>
    <w:basedOn w:val="Normal"/>
    <w:next w:val="Normal"/>
    <w:rsid w:val="00BB49EE"/>
    <w:pPr>
      <w:suppressAutoHyphens/>
      <w:spacing w:before="240" w:after="300" w:line="240" w:lineRule="auto"/>
      <w:jc w:val="center"/>
    </w:pPr>
    <w:rPr>
      <w:rFonts w:ascii="Arial" w:hAnsi="Arial" w:cs="Times New Roman"/>
      <w:b/>
      <w:caps/>
      <w:color w:val="498CF1"/>
      <w:sz w:val="48"/>
      <w:szCs w:val="24"/>
      <w:lang w:eastAsia="fr-FR" w:bidi="ar-SA"/>
    </w:rPr>
  </w:style>
  <w:style w:type="paragraph" w:customStyle="1" w:styleId="Adressedusite">
    <w:name w:val="Adresse du site"/>
    <w:basedOn w:val="Normal"/>
    <w:next w:val="Normal"/>
    <w:uiPriority w:val="1"/>
    <w:rsid w:val="00BB49EE"/>
    <w:pPr>
      <w:suppressAutoHyphens/>
      <w:spacing w:before="360" w:after="300" w:line="240" w:lineRule="auto"/>
      <w:jc w:val="center"/>
    </w:pPr>
    <w:rPr>
      <w:rFonts w:ascii="Arial" w:hAnsi="Arial" w:cs="Times New Roman"/>
      <w:color w:val="7F8FA9"/>
      <w:sz w:val="36"/>
      <w:szCs w:val="24"/>
      <w:lang w:eastAsia="fr-FR" w:bidi="ar-SA"/>
    </w:rPr>
  </w:style>
  <w:style w:type="paragraph" w:customStyle="1" w:styleId="Titredurapport">
    <w:name w:val="Titre du rapport"/>
    <w:basedOn w:val="Normal"/>
    <w:next w:val="Normal"/>
    <w:uiPriority w:val="2"/>
    <w:rsid w:val="00BB49EE"/>
    <w:pPr>
      <w:suppressAutoHyphens/>
      <w:spacing w:before="300" w:after="300" w:line="240" w:lineRule="auto"/>
      <w:jc w:val="center"/>
    </w:pPr>
    <w:rPr>
      <w:rFonts w:ascii="Arial" w:hAnsi="Arial" w:cs="Times New Roman"/>
      <w:b/>
      <w:color w:val="4A66AC"/>
      <w:sz w:val="48"/>
      <w:szCs w:val="24"/>
      <w:lang w:eastAsia="fr-FR" w:bidi="ar-SA"/>
    </w:rPr>
  </w:style>
  <w:style w:type="paragraph" w:customStyle="1" w:styleId="Typedudocument">
    <w:name w:val="Type du document"/>
    <w:basedOn w:val="Normal"/>
    <w:next w:val="Normal"/>
    <w:uiPriority w:val="3"/>
    <w:rsid w:val="00BB49EE"/>
    <w:pPr>
      <w:suppressAutoHyphens/>
      <w:spacing w:before="600" w:after="200" w:line="240" w:lineRule="auto"/>
      <w:jc w:val="center"/>
    </w:pPr>
    <w:rPr>
      <w:rFonts w:ascii="Arial" w:hAnsi="Arial" w:cs="Times New Roman"/>
      <w:color w:val="498CF1"/>
      <w:szCs w:val="24"/>
      <w:lang w:eastAsia="fr-FR" w:bidi="ar-SA"/>
    </w:rPr>
  </w:style>
  <w:style w:type="paragraph" w:customStyle="1" w:styleId="Rfrences">
    <w:name w:val="Référence(s)"/>
    <w:basedOn w:val="Normal"/>
    <w:next w:val="Normal"/>
    <w:uiPriority w:val="4"/>
    <w:rsid w:val="00BB49EE"/>
    <w:pPr>
      <w:suppressAutoHyphens/>
      <w:spacing w:before="200" w:after="200" w:line="240" w:lineRule="auto"/>
      <w:jc w:val="center"/>
    </w:pPr>
    <w:rPr>
      <w:rFonts w:ascii="Arial" w:hAnsi="Arial" w:cs="Times New Roman"/>
      <w:sz w:val="20"/>
      <w:szCs w:val="24"/>
      <w:lang w:eastAsia="fr-FR" w:bidi="ar-SA"/>
    </w:rPr>
  </w:style>
  <w:style w:type="paragraph" w:customStyle="1" w:styleId="RdacteurVrificationValidation">
    <w:name w:val="Rédacteur / Vérification / Validation"/>
    <w:basedOn w:val="Normal"/>
    <w:next w:val="Normal"/>
    <w:uiPriority w:val="5"/>
    <w:rsid w:val="00BB49EE"/>
    <w:pPr>
      <w:suppressAutoHyphens/>
      <w:spacing w:before="200" w:after="200" w:line="240" w:lineRule="auto"/>
      <w:jc w:val="center"/>
    </w:pPr>
    <w:rPr>
      <w:rFonts w:ascii="Arial" w:hAnsi="Arial" w:cs="Times New Roman"/>
      <w:sz w:val="19"/>
      <w:szCs w:val="24"/>
      <w:lang w:eastAsia="fr-FR" w:bidi="ar-SA"/>
    </w:rPr>
  </w:style>
  <w:style w:type="table" w:customStyle="1" w:styleId="BURGEAP-PIEDDEPAGE">
    <w:name w:val="BURGEAP - PIED DE PAGE"/>
    <w:basedOn w:val="TableauNormal"/>
    <w:uiPriority w:val="99"/>
    <w:qFormat/>
    <w:rsid w:val="00BB49EE"/>
    <w:pPr>
      <w:spacing w:after="0" w:line="240" w:lineRule="auto"/>
    </w:pPr>
    <w:rPr>
      <w:rFonts w:ascii="Times New Roman" w:eastAsia="Times New Roman" w:hAnsi="Times New Roman" w:cs="Times New Roman"/>
      <w:sz w:val="20"/>
      <w:szCs w:val="20"/>
      <w:lang w:val="fr-FR" w:eastAsia="fr-FR"/>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Pr>
    <w:trPr>
      <w:jc w:val="center"/>
    </w:trPr>
    <w:tcPr>
      <w:vAlign w:val="center"/>
    </w:tcPr>
  </w:style>
  <w:style w:type="paragraph" w:customStyle="1" w:styleId="En-ttetitredurapport">
    <w:name w:val="En-tête (titre du rapport)"/>
    <w:basedOn w:val="En-tte"/>
    <w:uiPriority w:val="49"/>
    <w:semiHidden/>
    <w:qFormat/>
    <w:rsid w:val="00BB49EE"/>
    <w:pPr>
      <w:tabs>
        <w:tab w:val="clear" w:pos="4536"/>
        <w:tab w:val="clear" w:pos="9072"/>
      </w:tabs>
      <w:suppressAutoHyphens/>
      <w:spacing w:before="10" w:after="10"/>
      <w:ind w:left="2835"/>
      <w:jc w:val="right"/>
    </w:pPr>
    <w:rPr>
      <w:rFonts w:ascii="Arial" w:hAnsi="Arial" w:cs="Times New Roman"/>
      <w:color w:val="0E57C4"/>
      <w:sz w:val="17"/>
      <w:szCs w:val="24"/>
      <w:lang w:eastAsia="fr-FR" w:bidi="ar-SA"/>
    </w:rPr>
  </w:style>
  <w:style w:type="paragraph" w:customStyle="1" w:styleId="En-tterenvoititre1">
    <w:name w:val="En-tête (renvoi titre 1)"/>
    <w:basedOn w:val="En-tte"/>
    <w:uiPriority w:val="49"/>
    <w:semiHidden/>
    <w:qFormat/>
    <w:rsid w:val="00BB49EE"/>
    <w:pPr>
      <w:tabs>
        <w:tab w:val="clear" w:pos="4536"/>
        <w:tab w:val="clear" w:pos="9072"/>
      </w:tabs>
      <w:suppressAutoHyphens/>
      <w:spacing w:before="10" w:after="10"/>
      <w:ind w:left="2835"/>
      <w:jc w:val="right"/>
    </w:pPr>
    <w:rPr>
      <w:rFonts w:ascii="Arial" w:hAnsi="Arial" w:cs="Times New Roman"/>
      <w:color w:val="0E57C4"/>
      <w:sz w:val="17"/>
      <w:szCs w:val="24"/>
      <w:lang w:eastAsia="fr-FR" w:bidi="ar-SA"/>
    </w:rPr>
  </w:style>
  <w:style w:type="paragraph" w:customStyle="1" w:styleId="Annexe-Titredelannexe">
    <w:name w:val="Annexe - Titre de l'annexe"/>
    <w:basedOn w:val="Normal"/>
    <w:next w:val="Normal"/>
    <w:uiPriority w:val="44"/>
    <w:qFormat/>
    <w:rsid w:val="00BB49EE"/>
    <w:pPr>
      <w:pageBreakBefore/>
      <w:numPr>
        <w:numId w:val="97"/>
      </w:numPr>
      <w:suppressAutoHyphens/>
      <w:spacing w:before="4000" w:after="500" w:line="240" w:lineRule="auto"/>
      <w:jc w:val="center"/>
      <w:outlineLvl w:val="6"/>
    </w:pPr>
    <w:rPr>
      <w:rFonts w:ascii="Arial" w:hAnsi="Arial" w:cs="Times New Roman"/>
      <w:b/>
      <w:sz w:val="40"/>
      <w:szCs w:val="24"/>
      <w:lang w:eastAsia="fr-FR" w:bidi="ar-SA"/>
    </w:rPr>
  </w:style>
  <w:style w:type="paragraph" w:customStyle="1" w:styleId="AGENCE">
    <w:name w:val="AGENCE"/>
    <w:basedOn w:val="Normal"/>
    <w:uiPriority w:val="7"/>
    <w:rsid w:val="00BB49EE"/>
    <w:pPr>
      <w:framePr w:w="7938" w:wrap="around" w:vAnchor="page" w:hAnchor="page" w:x="1986" w:y="12532" w:anchorLock="1"/>
      <w:spacing w:before="40" w:after="40" w:line="220" w:lineRule="atLeast"/>
      <w:jc w:val="center"/>
    </w:pPr>
    <w:rPr>
      <w:rFonts w:ascii="Arial" w:hAnsi="Arial" w:cs="Times New Roman"/>
      <w:color w:val="242852"/>
      <w:sz w:val="18"/>
      <w:szCs w:val="24"/>
      <w:lang w:eastAsia="fr-FR" w:bidi="ar-SA"/>
    </w:rPr>
  </w:style>
  <w:style w:type="paragraph" w:customStyle="1" w:styleId="Sautdesection">
    <w:name w:val="Saut de section"/>
    <w:basedOn w:val="Normal"/>
    <w:uiPriority w:val="49"/>
    <w:semiHidden/>
    <w:qFormat/>
    <w:rsid w:val="00BB49EE"/>
    <w:pPr>
      <w:keepLines/>
      <w:suppressAutoHyphens/>
      <w:spacing w:before="0" w:after="0" w:line="100" w:lineRule="exact"/>
      <w:jc w:val="left"/>
    </w:pPr>
    <w:rPr>
      <w:rFonts w:ascii="Arial" w:hAnsi="Arial" w:cs="Times New Roman"/>
      <w:color w:val="FF0000"/>
      <w:w w:val="500"/>
      <w:sz w:val="20"/>
      <w:szCs w:val="24"/>
      <w:lang w:eastAsia="fr-FR" w:bidi="ar-SA"/>
    </w:rPr>
  </w:style>
  <w:style w:type="paragraph" w:customStyle="1" w:styleId="Pieddepage2">
    <w:name w:val="Pied de page 2"/>
    <w:basedOn w:val="Pieddepage"/>
    <w:uiPriority w:val="14"/>
    <w:rsid w:val="00BB49EE"/>
    <w:pPr>
      <w:pBdr>
        <w:top w:val="single" w:sz="4" w:space="7" w:color="auto"/>
      </w:pBdr>
      <w:tabs>
        <w:tab w:val="clear" w:pos="4536"/>
        <w:tab w:val="clear" w:pos="9072"/>
        <w:tab w:val="center" w:pos="5245"/>
        <w:tab w:val="center" w:pos="8080"/>
        <w:tab w:val="right" w:pos="9639"/>
      </w:tabs>
      <w:spacing w:before="120" w:after="10"/>
      <w:ind w:right="-1"/>
      <w:jc w:val="right"/>
    </w:pPr>
    <w:rPr>
      <w:rFonts w:ascii="Arial" w:hAnsi="Arial" w:cs="Times New Roman"/>
      <w:noProof/>
      <w:sz w:val="11"/>
      <w:szCs w:val="16"/>
      <w:lang w:eastAsia="fr-FR" w:bidi="ar-SA"/>
    </w:rPr>
  </w:style>
  <w:style w:type="paragraph" w:customStyle="1" w:styleId="BGP-Titretableauoufigure">
    <w:name w:val="BGP - Titre tableau ou figure"/>
    <w:basedOn w:val="Normal"/>
    <w:next w:val="Normal"/>
    <w:rsid w:val="00BB49EE"/>
    <w:pPr>
      <w:tabs>
        <w:tab w:val="left" w:pos="0"/>
        <w:tab w:val="left" w:pos="680"/>
        <w:tab w:val="left" w:pos="1985"/>
      </w:tabs>
      <w:spacing w:line="240" w:lineRule="auto"/>
      <w:ind w:left="1985" w:hanging="1985"/>
      <w:jc w:val="left"/>
      <w:outlineLvl w:val="2"/>
    </w:pPr>
    <w:rPr>
      <w:rFonts w:ascii="Tahoma" w:hAnsi="Tahoma" w:cs="Times New Roman"/>
      <w:b/>
      <w:sz w:val="20"/>
      <w:lang w:eastAsia="fr-FR" w:bidi="ar-SA"/>
    </w:rPr>
  </w:style>
  <w:style w:type="paragraph" w:customStyle="1" w:styleId="ms-rteelement-p">
    <w:name w:val="ms-rteelement-p"/>
    <w:basedOn w:val="Normal"/>
    <w:rsid w:val="00BB49EE"/>
    <w:pPr>
      <w:spacing w:before="100" w:beforeAutospacing="1" w:after="100" w:afterAutospacing="1" w:line="240" w:lineRule="auto"/>
      <w:jc w:val="left"/>
    </w:pPr>
    <w:rPr>
      <w:rFonts w:ascii="Times New Roman" w:hAnsi="Times New Roman" w:cs="Times New Roman"/>
      <w:sz w:val="24"/>
      <w:szCs w:val="24"/>
      <w:lang w:eastAsia="fr-FR" w:bidi="ar-SA"/>
    </w:rPr>
  </w:style>
  <w:style w:type="paragraph" w:customStyle="1" w:styleId="Normal2">
    <w:name w:val="Normal2"/>
    <w:basedOn w:val="Normal"/>
    <w:rsid w:val="00BB49EE"/>
    <w:pPr>
      <w:spacing w:before="0" w:after="0" w:line="240" w:lineRule="auto"/>
    </w:pPr>
    <w:rPr>
      <w:rFonts w:ascii="Tahoma" w:hAnsi="Tahoma" w:cs="Tahoma"/>
      <w:bCs/>
      <w:sz w:val="20"/>
      <w:szCs w:val="20"/>
      <w:lang w:eastAsia="fr-FR" w:bidi="ar-SA"/>
    </w:rPr>
  </w:style>
  <w:style w:type="paragraph" w:customStyle="1" w:styleId="BGP-Retraittexte3">
    <w:name w:val="BGP - Retrait texte 3"/>
    <w:basedOn w:val="Normal"/>
    <w:uiPriority w:val="99"/>
    <w:rsid w:val="00BB49EE"/>
    <w:pPr>
      <w:numPr>
        <w:numId w:val="98"/>
      </w:numPr>
      <w:tabs>
        <w:tab w:val="left" w:pos="1491"/>
      </w:tabs>
      <w:spacing w:after="0" w:line="240" w:lineRule="auto"/>
    </w:pPr>
    <w:rPr>
      <w:rFonts w:ascii="Tahoma" w:hAnsi="Tahoma" w:cs="Times New Roman"/>
      <w:sz w:val="20"/>
      <w:szCs w:val="20"/>
      <w:lang w:eastAsia="fr-FR" w:bidi="ar-SA"/>
    </w:rPr>
  </w:style>
  <w:style w:type="character" w:customStyle="1" w:styleId="BGP-TextecourantCar4">
    <w:name w:val="BGP - Texte courant Car4"/>
    <w:locked/>
    <w:rsid w:val="00BB49EE"/>
    <w:rPr>
      <w:rFonts w:ascii="Tahoma" w:hAnsi="Tahoma"/>
    </w:rPr>
  </w:style>
  <w:style w:type="paragraph" w:customStyle="1" w:styleId="Listenumrote">
    <w:name w:val="Liste numérotée"/>
    <w:basedOn w:val="Normal"/>
    <w:uiPriority w:val="21"/>
    <w:semiHidden/>
    <w:qFormat/>
    <w:rsid w:val="00BB49EE"/>
    <w:pPr>
      <w:numPr>
        <w:numId w:val="99"/>
      </w:numPr>
      <w:spacing w:before="0" w:after="0" w:line="240" w:lineRule="auto"/>
      <w:jc w:val="left"/>
    </w:pPr>
    <w:rPr>
      <w:rFonts w:ascii="Arial" w:hAnsi="Arial" w:cs="Times New Roman"/>
      <w:sz w:val="20"/>
      <w:szCs w:val="24"/>
      <w:lang w:eastAsia="fr-FR" w:bidi="ar-SA"/>
    </w:rPr>
  </w:style>
  <w:style w:type="paragraph" w:customStyle="1" w:styleId="lep">
    <w:name w:val="lep"/>
    <w:basedOn w:val="Normal"/>
    <w:rsid w:val="00BB49EE"/>
    <w:pPr>
      <w:spacing w:before="100" w:beforeAutospacing="1" w:after="100" w:afterAutospacing="1" w:line="240" w:lineRule="auto"/>
      <w:jc w:val="left"/>
    </w:pPr>
    <w:rPr>
      <w:rFonts w:ascii="Times New Roman" w:hAnsi="Times New Roman" w:cs="Times New Roman"/>
      <w:sz w:val="24"/>
      <w:szCs w:val="24"/>
      <w:lang w:eastAsia="fr-FR" w:bidi="ar-SA"/>
    </w:rPr>
  </w:style>
  <w:style w:type="table" w:customStyle="1" w:styleId="ERMTablestyle21">
    <w:name w:val="ERM Table style21"/>
    <w:basedOn w:val="TableauNormal"/>
    <w:uiPriority w:val="99"/>
    <w:rsid w:val="00BB49EE"/>
    <w:pPr>
      <w:spacing w:after="0" w:line="240" w:lineRule="auto"/>
    </w:pPr>
    <w:rPr>
      <w:sz w:val="18"/>
      <w:szCs w:val="18"/>
      <w:lang w:val="en-GB" w:eastAsia="zh-CN"/>
    </w:rPr>
    <w:tblPr>
      <w:tblBorders>
        <w:top w:val="single" w:sz="2" w:space="0" w:color="ACCBF9"/>
        <w:bottom w:val="single" w:sz="2" w:space="0" w:color="ACCBF9"/>
        <w:insideH w:val="single" w:sz="2" w:space="0" w:color="ACCBF9"/>
        <w:insideV w:val="single" w:sz="2" w:space="0" w:color="ACCBF9"/>
      </w:tblBorders>
      <w:tblCellMar>
        <w:top w:w="28" w:type="dxa"/>
        <w:left w:w="113" w:type="dxa"/>
        <w:bottom w:w="57" w:type="dxa"/>
        <w:right w:w="113" w:type="dxa"/>
      </w:tblCellMar>
    </w:tblPr>
    <w:tblStylePr w:type="firstRow">
      <w:rPr>
        <w:b w:val="0"/>
        <w:color w:val="242852"/>
      </w:rPr>
      <w:tblPr/>
      <w:tcPr>
        <w:tcBorders>
          <w:top w:val="single" w:sz="8" w:space="0" w:color="242852"/>
          <w:bottom w:val="single" w:sz="8" w:space="0" w:color="242852"/>
        </w:tcBorders>
      </w:tcPr>
    </w:tblStylePr>
  </w:style>
  <w:style w:type="table" w:customStyle="1" w:styleId="5Cstable1">
    <w:name w:val="5 C's table1"/>
    <w:basedOn w:val="TableauNormal"/>
    <w:next w:val="Grilledutableau"/>
    <w:rsid w:val="00BB49EE"/>
    <w:pPr>
      <w:spacing w:after="0" w:line="240" w:lineRule="auto"/>
    </w:pPr>
    <w:rPr>
      <w:sz w:val="20"/>
      <w:lang w:val="en-GB" w:eastAsia="zh-CN"/>
    </w:rPr>
    <w:tblPr/>
  </w:style>
  <w:style w:type="paragraph" w:customStyle="1" w:styleId="Bulletlevel1">
    <w:name w:val="Bullet level 1"/>
    <w:basedOn w:val="Paragraphedeliste"/>
    <w:qFormat/>
    <w:rsid w:val="00BB49EE"/>
    <w:pPr>
      <w:numPr>
        <w:numId w:val="100"/>
      </w:numPr>
      <w:overflowPunct w:val="0"/>
      <w:autoSpaceDE w:val="0"/>
      <w:autoSpaceDN w:val="0"/>
      <w:adjustRightInd w:val="0"/>
      <w:spacing w:before="0" w:after="0" w:line="264" w:lineRule="auto"/>
      <w:ind w:left="360"/>
      <w:jc w:val="left"/>
      <w:textAlignment w:val="baseline"/>
    </w:pPr>
    <w:rPr>
      <w:rFonts w:ascii="Book Antiqua" w:hAnsi="Book Antiqua" w:cs="Times New Roman"/>
      <w:szCs w:val="20"/>
      <w:lang w:bidi="ar-SA"/>
    </w:rPr>
  </w:style>
  <w:style w:type="table" w:customStyle="1" w:styleId="Listeclaire-Accent12">
    <w:name w:val="Liste claire - Accent 12"/>
    <w:basedOn w:val="TableauNormal"/>
    <w:next w:val="Listeclaire-Accent1"/>
    <w:uiPriority w:val="61"/>
    <w:rsid w:val="00BB49EE"/>
    <w:pPr>
      <w:spacing w:after="0" w:line="240" w:lineRule="auto"/>
    </w:pPr>
    <w:rPr>
      <w:rFonts w:eastAsia="Calibri"/>
      <w:lang w:val="fr-FR"/>
    </w:rPr>
    <w:tblPr>
      <w:tblStyleRowBandSize w:val="1"/>
      <w:tblStyleColBandSize w:val="1"/>
      <w:tblBorders>
        <w:top w:val="single" w:sz="8" w:space="0" w:color="4A66AC"/>
        <w:left w:val="single" w:sz="8" w:space="0" w:color="4A66AC"/>
        <w:bottom w:val="single" w:sz="8" w:space="0" w:color="4A66AC"/>
        <w:right w:val="single" w:sz="8" w:space="0" w:color="4A66AC"/>
      </w:tblBorders>
    </w:tblPr>
    <w:tblStylePr w:type="firstRow">
      <w:pPr>
        <w:spacing w:before="0" w:after="0" w:line="240" w:lineRule="auto"/>
      </w:pPr>
      <w:rPr>
        <w:b/>
        <w:bCs/>
        <w:color w:val="FFFFFF"/>
      </w:rPr>
      <w:tblPr/>
      <w:tcPr>
        <w:shd w:val="clear" w:color="auto" w:fill="4A66AC"/>
      </w:tcPr>
    </w:tblStylePr>
    <w:tblStylePr w:type="lastRow">
      <w:pPr>
        <w:spacing w:before="0" w:after="0" w:line="240" w:lineRule="auto"/>
      </w:pPr>
      <w:rPr>
        <w:b/>
        <w:bCs/>
      </w:rPr>
      <w:tblPr/>
      <w:tcPr>
        <w:tcBorders>
          <w:top w:val="double" w:sz="6" w:space="0" w:color="4A66AC"/>
          <w:left w:val="single" w:sz="8" w:space="0" w:color="4A66AC"/>
          <w:bottom w:val="single" w:sz="8" w:space="0" w:color="4A66AC"/>
          <w:right w:val="single" w:sz="8" w:space="0" w:color="4A66AC"/>
        </w:tcBorders>
      </w:tcPr>
    </w:tblStylePr>
    <w:tblStylePr w:type="firstCol">
      <w:rPr>
        <w:b/>
        <w:bCs/>
      </w:rPr>
    </w:tblStylePr>
    <w:tblStylePr w:type="lastCol">
      <w:rPr>
        <w:b/>
        <w:bCs/>
      </w:rPr>
    </w:tblStylePr>
    <w:tblStylePr w:type="band1Vert">
      <w:tblPr/>
      <w:tcPr>
        <w:tcBorders>
          <w:top w:val="single" w:sz="8" w:space="0" w:color="4A66AC"/>
          <w:left w:val="single" w:sz="8" w:space="0" w:color="4A66AC"/>
          <w:bottom w:val="single" w:sz="8" w:space="0" w:color="4A66AC"/>
          <w:right w:val="single" w:sz="8" w:space="0" w:color="4A66AC"/>
        </w:tcBorders>
      </w:tcPr>
    </w:tblStylePr>
    <w:tblStylePr w:type="band1Horz">
      <w:tblPr/>
      <w:tcPr>
        <w:tcBorders>
          <w:top w:val="single" w:sz="8" w:space="0" w:color="4A66AC"/>
          <w:left w:val="single" w:sz="8" w:space="0" w:color="4A66AC"/>
          <w:bottom w:val="single" w:sz="8" w:space="0" w:color="4A66AC"/>
          <w:right w:val="single" w:sz="8" w:space="0" w:color="4A66AC"/>
        </w:tcBorders>
      </w:tcPr>
    </w:tblStylePr>
  </w:style>
  <w:style w:type="paragraph" w:customStyle="1" w:styleId="Pa5">
    <w:name w:val="Pa5"/>
    <w:basedOn w:val="Default"/>
    <w:next w:val="Default"/>
    <w:uiPriority w:val="99"/>
    <w:rsid w:val="00BB49EE"/>
    <w:pPr>
      <w:spacing w:line="241" w:lineRule="atLeast"/>
    </w:pPr>
    <w:rPr>
      <w:rFonts w:ascii="Candara" w:eastAsia="DengXian" w:hAnsi="Candara" w:cs="Arial"/>
      <w:color w:val="auto"/>
      <w:lang w:eastAsia="en-US"/>
    </w:rPr>
  </w:style>
  <w:style w:type="character" w:customStyle="1" w:styleId="A6">
    <w:name w:val="A6"/>
    <w:uiPriority w:val="99"/>
    <w:rsid w:val="00BB49EE"/>
    <w:rPr>
      <w:rFonts w:cs="Candara"/>
      <w:color w:val="000000"/>
      <w:sz w:val="22"/>
      <w:szCs w:val="22"/>
    </w:rPr>
  </w:style>
  <w:style w:type="paragraph" w:customStyle="1" w:styleId="Corpsdetexte31">
    <w:name w:val="Corps de texte 31"/>
    <w:basedOn w:val="Normal"/>
    <w:rsid w:val="00BB49EE"/>
    <w:pPr>
      <w:tabs>
        <w:tab w:val="left" w:pos="9072"/>
      </w:tabs>
      <w:overflowPunct w:val="0"/>
      <w:autoSpaceDE w:val="0"/>
      <w:autoSpaceDN w:val="0"/>
      <w:adjustRightInd w:val="0"/>
      <w:spacing w:line="320" w:lineRule="atLeast"/>
    </w:pPr>
    <w:rPr>
      <w:rFonts w:cs="Times New Roman"/>
      <w:sz w:val="24"/>
      <w:szCs w:val="20"/>
      <w:lang w:bidi="ar-SA"/>
    </w:rPr>
  </w:style>
  <w:style w:type="paragraph" w:customStyle="1" w:styleId="Corpsdetext">
    <w:name w:val="Corps de text"/>
    <w:basedOn w:val="Normal"/>
    <w:link w:val="CorpsdetextCar"/>
    <w:autoRedefine/>
    <w:qFormat/>
    <w:rsid w:val="00BB49EE"/>
    <w:pPr>
      <w:spacing w:line="288" w:lineRule="auto"/>
      <w:ind w:right="-2"/>
    </w:pPr>
    <w:rPr>
      <w:rFonts w:ascii="Segoe UI" w:hAnsi="Segoe UI" w:cs="Segoe UI"/>
      <w:lang w:eastAsia="fr-FR" w:bidi="ar-SA"/>
    </w:rPr>
  </w:style>
  <w:style w:type="character" w:customStyle="1" w:styleId="CorpsdetextCar">
    <w:name w:val="Corps de text Car"/>
    <w:basedOn w:val="Policepardfaut"/>
    <w:link w:val="Corpsdetext"/>
    <w:rsid w:val="00BB49EE"/>
    <w:rPr>
      <w:rFonts w:ascii="Segoe UI" w:eastAsia="Times New Roman" w:hAnsi="Segoe UI" w:cs="Segoe UI"/>
      <w:lang w:val="fr-FR" w:eastAsia="fr-FR"/>
    </w:rPr>
  </w:style>
  <w:style w:type="paragraph" w:customStyle="1" w:styleId="Puce11">
    <w:name w:val="Puce 1"/>
    <w:basedOn w:val="Corpsdetext"/>
    <w:link w:val="Puce1Car1"/>
    <w:qFormat/>
    <w:rsid w:val="00BB49EE"/>
    <w:pPr>
      <w:ind w:left="720" w:hanging="360"/>
    </w:pPr>
  </w:style>
  <w:style w:type="character" w:customStyle="1" w:styleId="Puce1Car1">
    <w:name w:val="Puce 1 Car"/>
    <w:basedOn w:val="CorpsdetextCar"/>
    <w:link w:val="Puce11"/>
    <w:rsid w:val="00BB49EE"/>
    <w:rPr>
      <w:rFonts w:ascii="Segoe UI" w:eastAsia="Times New Roman" w:hAnsi="Segoe UI" w:cs="Segoe UI"/>
      <w:lang w:val="fr-FR" w:eastAsia="fr-FR"/>
    </w:rPr>
  </w:style>
  <w:style w:type="paragraph" w:customStyle="1" w:styleId="ImportantYC">
    <w:name w:val="Important YC"/>
    <w:basedOn w:val="Normal"/>
    <w:rsid w:val="00BB49EE"/>
    <w:pPr>
      <w:pBdr>
        <w:top w:val="single" w:sz="4" w:space="6" w:color="auto"/>
        <w:left w:val="single" w:sz="4" w:space="6" w:color="auto"/>
        <w:bottom w:val="single" w:sz="4" w:space="6" w:color="auto"/>
        <w:right w:val="single" w:sz="4" w:space="6" w:color="auto"/>
      </w:pBdr>
      <w:shd w:val="clear" w:color="auto" w:fill="CCFFFF"/>
      <w:spacing w:before="240" w:after="240" w:line="240" w:lineRule="auto"/>
      <w:ind w:left="113" w:right="113"/>
    </w:pPr>
    <w:rPr>
      <w:rFonts w:ascii="Arial" w:hAnsi="Arial" w:cs="Times New Roman"/>
      <w:b/>
      <w:bCs/>
      <w:kern w:val="3"/>
      <w:sz w:val="20"/>
      <w:szCs w:val="20"/>
      <w:lang w:eastAsia="de-DE" w:bidi="ar-SA"/>
    </w:rPr>
  </w:style>
  <w:style w:type="paragraph" w:customStyle="1" w:styleId="Listepuces-OrganigrammesSchmasetc">
    <w:name w:val="Liste à puces - Organigrammes/Schémas/etc"/>
    <w:basedOn w:val="Normal"/>
    <w:uiPriority w:val="20"/>
    <w:qFormat/>
    <w:rsid w:val="00BB49EE"/>
    <w:pPr>
      <w:numPr>
        <w:numId w:val="101"/>
      </w:numPr>
      <w:spacing w:after="100" w:line="240" w:lineRule="auto"/>
      <w:contextualSpacing/>
    </w:pPr>
    <w:rPr>
      <w:rFonts w:ascii="Arial" w:hAnsi="Arial" w:cs="Times New Roman"/>
      <w:sz w:val="20"/>
      <w:szCs w:val="24"/>
      <w:lang w:eastAsia="fr-FR" w:bidi="ar-SA"/>
    </w:rPr>
  </w:style>
  <w:style w:type="paragraph" w:customStyle="1" w:styleId="gmail-msobodytext">
    <w:name w:val="gmail-msobodytext"/>
    <w:basedOn w:val="Normal"/>
    <w:rsid w:val="00BB49EE"/>
    <w:pPr>
      <w:spacing w:before="100" w:beforeAutospacing="1" w:after="100" w:afterAutospacing="1" w:line="240" w:lineRule="auto"/>
      <w:jc w:val="left"/>
    </w:pPr>
    <w:rPr>
      <w:rFonts w:eastAsia="Calibri" w:cs="Calibri"/>
      <w:lang w:eastAsia="fr-FR" w:bidi="ar-SA"/>
    </w:rPr>
  </w:style>
  <w:style w:type="table" w:customStyle="1" w:styleId="Tableausimple22">
    <w:name w:val="Tableau simple 22"/>
    <w:basedOn w:val="TableauNormal"/>
    <w:uiPriority w:val="42"/>
    <w:rsid w:val="00BB49EE"/>
    <w:pPr>
      <w:spacing w:after="0" w:line="240" w:lineRule="auto"/>
    </w:pPr>
    <w:rPr>
      <w:sz w:val="20"/>
      <w:szCs w:val="20"/>
      <w:lang w:val="en-US"/>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Tableausimple41">
    <w:name w:val="Tableau simple 41"/>
    <w:basedOn w:val="TableauNormal"/>
    <w:uiPriority w:val="44"/>
    <w:rsid w:val="00BB49EE"/>
    <w:pPr>
      <w:spacing w:after="0" w:line="240" w:lineRule="auto"/>
    </w:pPr>
    <w:rPr>
      <w:sz w:val="20"/>
      <w:szCs w:val="20"/>
      <w:lang w:val="en-US"/>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eausimple11">
    <w:name w:val="Tableau simple 11"/>
    <w:basedOn w:val="TableauNormal"/>
    <w:uiPriority w:val="41"/>
    <w:rsid w:val="00BB49EE"/>
    <w:pPr>
      <w:spacing w:after="0" w:line="240" w:lineRule="auto"/>
    </w:pPr>
    <w:rPr>
      <w:sz w:val="20"/>
      <w:szCs w:val="20"/>
      <w:lang w:val="en-US"/>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customStyle="1" w:styleId="Bodytext61">
    <w:name w:val="Body text (6)1"/>
    <w:basedOn w:val="Normal"/>
    <w:uiPriority w:val="99"/>
    <w:rsid w:val="00BB49EE"/>
    <w:pPr>
      <w:shd w:val="clear" w:color="auto" w:fill="FFFFFF"/>
      <w:spacing w:before="660" w:after="0" w:line="256" w:lineRule="exact"/>
      <w:ind w:hanging="2160"/>
    </w:pPr>
    <w:rPr>
      <w:rFonts w:ascii="Arial" w:eastAsia="Arial Unicode MS" w:hAnsi="Arial"/>
      <w:sz w:val="21"/>
      <w:szCs w:val="21"/>
      <w:lang w:eastAsia="fr-FR" w:bidi="ar-SA"/>
    </w:rPr>
  </w:style>
  <w:style w:type="character" w:customStyle="1" w:styleId="Bodytext3">
    <w:name w:val="Body text (3)_"/>
    <w:basedOn w:val="Policepardfaut"/>
    <w:link w:val="Bodytext31"/>
    <w:rsid w:val="00BB49EE"/>
    <w:rPr>
      <w:rFonts w:ascii="Arial" w:hAnsi="Arial"/>
      <w:b/>
      <w:bCs/>
      <w:sz w:val="19"/>
      <w:szCs w:val="19"/>
      <w:shd w:val="clear" w:color="auto" w:fill="FFFFFF"/>
    </w:rPr>
  </w:style>
  <w:style w:type="paragraph" w:customStyle="1" w:styleId="Bodytext31">
    <w:name w:val="Body text (3)1"/>
    <w:basedOn w:val="Normal"/>
    <w:link w:val="Bodytext3"/>
    <w:rsid w:val="00BB49EE"/>
    <w:pPr>
      <w:shd w:val="clear" w:color="auto" w:fill="FFFFFF"/>
      <w:spacing w:before="1200" w:after="3540" w:line="240" w:lineRule="atLeast"/>
      <w:jc w:val="left"/>
    </w:pPr>
    <w:rPr>
      <w:rFonts w:ascii="Arial" w:eastAsiaTheme="minorEastAsia" w:hAnsi="Arial" w:cstheme="minorBidi"/>
      <w:b/>
      <w:bCs/>
      <w:sz w:val="19"/>
      <w:szCs w:val="19"/>
      <w:lang w:val="fr-MA" w:bidi="ar-SA"/>
    </w:rPr>
  </w:style>
  <w:style w:type="character" w:customStyle="1" w:styleId="Bodytext10">
    <w:name w:val="Body text + 10"/>
    <w:aliases w:val="5 pt6"/>
    <w:basedOn w:val="Policepardfaut"/>
    <w:uiPriority w:val="99"/>
    <w:rsid w:val="00BB49EE"/>
    <w:rPr>
      <w:rFonts w:ascii="Arial" w:hAnsi="Arial" w:cs="Arial"/>
      <w:spacing w:val="0"/>
      <w:sz w:val="21"/>
      <w:szCs w:val="21"/>
    </w:rPr>
  </w:style>
  <w:style w:type="character" w:customStyle="1" w:styleId="Bodytext691">
    <w:name w:val="Body text (6) + 91"/>
    <w:aliases w:val="5 pt5,Bold2"/>
    <w:basedOn w:val="Policepardfaut"/>
    <w:uiPriority w:val="99"/>
    <w:rsid w:val="00BB49EE"/>
    <w:rPr>
      <w:rFonts w:ascii="Arial" w:hAnsi="Arial" w:cs="Arial"/>
      <w:b/>
      <w:bCs/>
      <w:noProof/>
      <w:spacing w:val="0"/>
      <w:sz w:val="19"/>
      <w:szCs w:val="19"/>
      <w:shd w:val="clear" w:color="auto" w:fill="FFFFFF"/>
    </w:rPr>
  </w:style>
  <w:style w:type="character" w:customStyle="1" w:styleId="Bodytext22">
    <w:name w:val="Body text (22)_"/>
    <w:basedOn w:val="Policepardfaut"/>
    <w:link w:val="Bodytext220"/>
    <w:rsid w:val="00BB49EE"/>
    <w:rPr>
      <w:rFonts w:ascii="Arial" w:hAnsi="Arial"/>
      <w:noProof/>
      <w:sz w:val="8"/>
      <w:szCs w:val="8"/>
      <w:shd w:val="clear" w:color="auto" w:fill="FFFFFF"/>
    </w:rPr>
  </w:style>
  <w:style w:type="paragraph" w:customStyle="1" w:styleId="Bodytext220">
    <w:name w:val="Body text (22)"/>
    <w:basedOn w:val="Normal"/>
    <w:link w:val="Bodytext22"/>
    <w:rsid w:val="00BB49EE"/>
    <w:pPr>
      <w:shd w:val="clear" w:color="auto" w:fill="FFFFFF"/>
      <w:spacing w:before="0" w:after="0" w:line="240" w:lineRule="atLeast"/>
      <w:jc w:val="left"/>
    </w:pPr>
    <w:rPr>
      <w:rFonts w:ascii="Arial" w:eastAsiaTheme="minorEastAsia" w:hAnsi="Arial" w:cstheme="minorBidi"/>
      <w:noProof/>
      <w:sz w:val="8"/>
      <w:szCs w:val="8"/>
      <w:lang w:val="fr-MA" w:bidi="ar-SA"/>
    </w:rPr>
  </w:style>
  <w:style w:type="paragraph" w:customStyle="1" w:styleId="Corpsdetexte21">
    <w:name w:val="Corps de texte 21"/>
    <w:basedOn w:val="Normal"/>
    <w:rsid w:val="00BB49EE"/>
    <w:pPr>
      <w:overflowPunct w:val="0"/>
      <w:autoSpaceDE w:val="0"/>
      <w:autoSpaceDN w:val="0"/>
      <w:adjustRightInd w:val="0"/>
      <w:spacing w:before="0" w:line="240" w:lineRule="auto"/>
      <w:ind w:left="283"/>
      <w:jc w:val="left"/>
    </w:pPr>
    <w:rPr>
      <w:rFonts w:ascii="Times New Roman" w:hAnsi="Times New Roman" w:cs="Times New Roman"/>
      <w:sz w:val="20"/>
      <w:szCs w:val="20"/>
      <w:lang w:eastAsia="zh-CN" w:bidi="ar-SA"/>
    </w:rPr>
  </w:style>
  <w:style w:type="paragraph" w:customStyle="1" w:styleId="Corpsdetexte22">
    <w:name w:val="Corps de texte 22"/>
    <w:basedOn w:val="Normal"/>
    <w:rsid w:val="00BB49EE"/>
    <w:pPr>
      <w:overflowPunct w:val="0"/>
      <w:autoSpaceDE w:val="0"/>
      <w:autoSpaceDN w:val="0"/>
      <w:adjustRightInd w:val="0"/>
      <w:spacing w:before="0" w:line="240" w:lineRule="auto"/>
      <w:ind w:left="283"/>
      <w:jc w:val="left"/>
    </w:pPr>
    <w:rPr>
      <w:rFonts w:ascii="Times New Roman" w:hAnsi="Times New Roman" w:cs="Times New Roman"/>
      <w:sz w:val="20"/>
      <w:szCs w:val="20"/>
      <w:lang w:eastAsia="zh-CN" w:bidi="ar-SA"/>
    </w:rPr>
  </w:style>
  <w:style w:type="table" w:customStyle="1" w:styleId="TableNormal2">
    <w:name w:val="Table Normal2"/>
    <w:uiPriority w:val="2"/>
    <w:semiHidden/>
    <w:unhideWhenUsed/>
    <w:qFormat/>
    <w:rsid w:val="00BB49EE"/>
    <w:pPr>
      <w:widowControl w:val="0"/>
      <w:autoSpaceDE w:val="0"/>
      <w:autoSpaceDN w:val="0"/>
      <w:spacing w:after="0" w:line="240" w:lineRule="auto"/>
    </w:pPr>
    <w:rPr>
      <w:rFonts w:eastAsia="Calibri"/>
      <w:lang w:val="en-US"/>
    </w:rPr>
    <w:tblPr>
      <w:tblInd w:w="0" w:type="dxa"/>
      <w:tblCellMar>
        <w:top w:w="0" w:type="dxa"/>
        <w:left w:w="0" w:type="dxa"/>
        <w:bottom w:w="0" w:type="dxa"/>
        <w:right w:w="0" w:type="dxa"/>
      </w:tblCellMar>
    </w:tblPr>
  </w:style>
  <w:style w:type="character" w:customStyle="1" w:styleId="BodytextSpacing2pt">
    <w:name w:val="Body text + Spacing 2 pt"/>
    <w:basedOn w:val="Policepardfaut"/>
    <w:uiPriority w:val="99"/>
    <w:rsid w:val="00BB49EE"/>
    <w:rPr>
      <w:rFonts w:ascii="Arial" w:hAnsi="Arial" w:cs="Arial"/>
      <w:spacing w:val="40"/>
      <w:sz w:val="24"/>
      <w:szCs w:val="24"/>
    </w:rPr>
  </w:style>
  <w:style w:type="character" w:customStyle="1" w:styleId="Bodytext63">
    <w:name w:val="Body text (6)3"/>
    <w:basedOn w:val="Policepardfaut"/>
    <w:uiPriority w:val="99"/>
    <w:rsid w:val="00BB49EE"/>
    <w:rPr>
      <w:rFonts w:ascii="Arial" w:hAnsi="Arial" w:cs="Arial"/>
      <w:noProof/>
      <w:spacing w:val="0"/>
      <w:sz w:val="21"/>
      <w:szCs w:val="21"/>
      <w:u w:val="single"/>
      <w:shd w:val="clear" w:color="auto" w:fill="FFFFFF"/>
    </w:rPr>
  </w:style>
  <w:style w:type="character" w:customStyle="1" w:styleId="ff2">
    <w:name w:val="ff2"/>
    <w:basedOn w:val="Policepardfaut"/>
    <w:rsid w:val="00BB49EE"/>
  </w:style>
  <w:style w:type="paragraph" w:customStyle="1" w:styleId="BGP-Titre1">
    <w:name w:val="BGP - Titre 1"/>
    <w:next w:val="BGP-Textecourant"/>
    <w:link w:val="BGP-Titre1Car"/>
    <w:uiPriority w:val="99"/>
    <w:rsid w:val="00BB49EE"/>
    <w:pPr>
      <w:tabs>
        <w:tab w:val="num" w:pos="432"/>
        <w:tab w:val="left" w:pos="680"/>
      </w:tabs>
      <w:spacing w:before="360" w:after="200" w:line="240" w:lineRule="auto"/>
      <w:ind w:left="432" w:hanging="432"/>
      <w:jc w:val="both"/>
      <w:outlineLvl w:val="0"/>
    </w:pPr>
    <w:rPr>
      <w:rFonts w:ascii="Tahoma" w:eastAsia="Times New Roman" w:hAnsi="Tahoma" w:cs="Times New Roman"/>
      <w:b/>
      <w:color w:val="000000"/>
      <w:sz w:val="28"/>
      <w:szCs w:val="20"/>
      <w:lang w:val="fr-FR" w:eastAsia="fr-FR"/>
    </w:rPr>
  </w:style>
  <w:style w:type="character" w:customStyle="1" w:styleId="BGP-Titre1Car">
    <w:name w:val="BGP - Titre 1 Car"/>
    <w:basedOn w:val="Policepardfaut"/>
    <w:link w:val="BGP-Titre1"/>
    <w:uiPriority w:val="99"/>
    <w:rsid w:val="00BB49EE"/>
    <w:rPr>
      <w:rFonts w:ascii="Tahoma" w:eastAsia="Times New Roman" w:hAnsi="Tahoma" w:cs="Times New Roman"/>
      <w:b/>
      <w:color w:val="000000"/>
      <w:sz w:val="28"/>
      <w:szCs w:val="20"/>
      <w:lang w:val="fr-FR" w:eastAsia="fr-FR"/>
    </w:rPr>
  </w:style>
  <w:style w:type="character" w:customStyle="1" w:styleId="Mentionnonrsolue7">
    <w:name w:val="Mention non résolue7"/>
    <w:basedOn w:val="Policepardfaut"/>
    <w:uiPriority w:val="99"/>
    <w:semiHidden/>
    <w:unhideWhenUsed/>
    <w:rsid w:val="00BB49EE"/>
    <w:rPr>
      <w:color w:val="605E5C"/>
      <w:shd w:val="clear" w:color="auto" w:fill="E1DFDD"/>
    </w:rPr>
  </w:style>
  <w:style w:type="character" w:customStyle="1" w:styleId="cf01">
    <w:name w:val="cf01"/>
    <w:basedOn w:val="Policepardfaut"/>
    <w:rsid w:val="00BB49EE"/>
    <w:rPr>
      <w:rFonts w:ascii="Segoe UI" w:hAnsi="Segoe UI" w:cs="Segoe UI" w:hint="default"/>
      <w:sz w:val="18"/>
      <w:szCs w:val="18"/>
    </w:rPr>
  </w:style>
  <w:style w:type="character" w:customStyle="1" w:styleId="hpsatn">
    <w:name w:val="hps atn"/>
    <w:rsid w:val="00BB49EE"/>
    <w:rPr>
      <w:rFonts w:cs="Times New Roman"/>
    </w:rPr>
  </w:style>
  <w:style w:type="character" w:customStyle="1" w:styleId="shorttext">
    <w:name w:val="short_text"/>
    <w:basedOn w:val="Policepardfaut"/>
    <w:rsid w:val="00BB49EE"/>
  </w:style>
  <w:style w:type="character" w:customStyle="1" w:styleId="hpsalt-edited">
    <w:name w:val="hps alt-edited"/>
    <w:basedOn w:val="Policepardfaut"/>
    <w:rsid w:val="00BB49EE"/>
  </w:style>
  <w:style w:type="character" w:customStyle="1" w:styleId="Mentionnonrsolue8">
    <w:name w:val="Mention non résolue8"/>
    <w:basedOn w:val="Policepardfaut"/>
    <w:uiPriority w:val="99"/>
    <w:semiHidden/>
    <w:unhideWhenUsed/>
    <w:rsid w:val="00BB49EE"/>
    <w:rPr>
      <w:color w:val="605E5C"/>
      <w:shd w:val="clear" w:color="auto" w:fill="E1DFDD"/>
    </w:rPr>
  </w:style>
  <w:style w:type="character" w:customStyle="1" w:styleId="PhenixaTitre3Car">
    <w:name w:val="Phenixa. Titre 3 Car"/>
    <w:basedOn w:val="Policepardfaut"/>
    <w:link w:val="PhenixaTitre3"/>
    <w:uiPriority w:val="14"/>
    <w:rsid w:val="00BB49EE"/>
    <w:rPr>
      <w:rFonts w:ascii="Arial" w:eastAsia="DengXian Light" w:hAnsi="Arial" w:cs="Times New Roman"/>
      <w:b/>
      <w:bCs/>
      <w:color w:val="7F8FA9"/>
      <w:sz w:val="23"/>
      <w:szCs w:val="24"/>
      <w:lang w:val="fr-FR" w:eastAsia="fr-FR"/>
    </w:rPr>
  </w:style>
  <w:style w:type="table" w:customStyle="1" w:styleId="TableauListe5Fonc1">
    <w:name w:val="Tableau Liste 5 Foncé1"/>
    <w:basedOn w:val="TableauNormal"/>
    <w:next w:val="TableauListe5Fonc"/>
    <w:uiPriority w:val="50"/>
    <w:rsid w:val="00BB49EE"/>
    <w:pPr>
      <w:spacing w:after="0" w:line="240" w:lineRule="auto"/>
      <w:jc w:val="both"/>
    </w:pPr>
    <w:rPr>
      <w:rFonts w:eastAsia="Calibri"/>
      <w:color w:val="FFFFFF"/>
      <w:sz w:val="20"/>
      <w:szCs w:val="20"/>
    </w:rPr>
    <w:tblPr>
      <w:tblStyleRowBandSize w:val="1"/>
      <w:tblStyleColBandSize w:val="1"/>
      <w:tblBorders>
        <w:top w:val="single" w:sz="24" w:space="0" w:color="000000"/>
        <w:left w:val="single" w:sz="24" w:space="0" w:color="000000"/>
        <w:bottom w:val="single" w:sz="24" w:space="0" w:color="000000"/>
        <w:right w:val="single" w:sz="24" w:space="0" w:color="000000"/>
      </w:tblBorders>
    </w:tblPr>
    <w:tcPr>
      <w:shd w:val="clear" w:color="auto" w:fill="000000"/>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TableauListe2-Accentuation41">
    <w:name w:val="Tableau Liste 2 - Accentuation 41"/>
    <w:basedOn w:val="TableauNormal"/>
    <w:next w:val="TableauListe2-Accentuation4"/>
    <w:uiPriority w:val="47"/>
    <w:rsid w:val="00BB49EE"/>
    <w:pPr>
      <w:spacing w:after="0" w:line="240" w:lineRule="auto"/>
      <w:jc w:val="both"/>
    </w:pPr>
    <w:rPr>
      <w:rFonts w:eastAsia="Calibri"/>
      <w:sz w:val="20"/>
      <w:szCs w:val="20"/>
    </w:rPr>
    <w:tblPr>
      <w:tblStyleRowBandSize w:val="1"/>
      <w:tblStyleColBandSize w:val="1"/>
      <w:tblBorders>
        <w:top w:val="single" w:sz="4" w:space="0" w:color="B2BBCB"/>
        <w:bottom w:val="single" w:sz="4" w:space="0" w:color="B2BBCB"/>
        <w:insideH w:val="single" w:sz="4" w:space="0" w:color="B2BBCB"/>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5E8ED"/>
      </w:tcPr>
    </w:tblStylePr>
    <w:tblStylePr w:type="band1Horz">
      <w:tblPr/>
      <w:tcPr>
        <w:shd w:val="clear" w:color="auto" w:fill="E5E8ED"/>
      </w:tcPr>
    </w:tblStylePr>
  </w:style>
  <w:style w:type="table" w:customStyle="1" w:styleId="Tableausimple23">
    <w:name w:val="Tableau simple 23"/>
    <w:basedOn w:val="TableauNormal"/>
    <w:next w:val="Tableausimple20"/>
    <w:uiPriority w:val="42"/>
    <w:rsid w:val="00BB49EE"/>
    <w:pPr>
      <w:spacing w:after="0" w:line="240" w:lineRule="auto"/>
      <w:jc w:val="both"/>
    </w:pPr>
    <w:rPr>
      <w:rFonts w:eastAsia="Calibri"/>
      <w:sz w:val="20"/>
      <w:szCs w:val="20"/>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paragraph" w:customStyle="1" w:styleId="Bien">
    <w:name w:val="Bien"/>
    <w:basedOn w:val="Normal"/>
    <w:link w:val="BienCar"/>
    <w:qFormat/>
    <w:rsid w:val="00BB49EE"/>
    <w:pPr>
      <w:spacing w:before="0" w:after="200"/>
      <w:jc w:val="left"/>
    </w:pPr>
    <w:rPr>
      <w:rFonts w:eastAsia="DengXian"/>
      <w:lang w:bidi="ar-SA"/>
    </w:rPr>
  </w:style>
  <w:style w:type="character" w:customStyle="1" w:styleId="BienCar">
    <w:name w:val="Bien Car"/>
    <w:basedOn w:val="Policepardfaut"/>
    <w:link w:val="Bien"/>
    <w:rsid w:val="00BB49EE"/>
    <w:rPr>
      <w:rFonts w:ascii="Calibri" w:eastAsia="DengXian" w:hAnsi="Calibri" w:cs="Arial"/>
      <w:lang w:val="fr-FR"/>
    </w:rPr>
  </w:style>
  <w:style w:type="table" w:customStyle="1" w:styleId="TableauGrille1Clair-Accentuation32">
    <w:name w:val="Tableau Grille 1 Clair - Accentuation 32"/>
    <w:basedOn w:val="TableauNormal"/>
    <w:next w:val="TableauGrille1Clair-Accentuation3"/>
    <w:uiPriority w:val="46"/>
    <w:rsid w:val="00BB49EE"/>
    <w:pPr>
      <w:spacing w:after="0" w:line="240" w:lineRule="auto"/>
    </w:pPr>
    <w:rPr>
      <w:rFonts w:ascii="Calibri" w:eastAsia="Times New Roman" w:hAnsi="Calibri" w:cs="Arial"/>
      <w:sz w:val="20"/>
      <w:szCs w:val="20"/>
      <w:lang w:val="fr-FR" w:eastAsia="fr-FR"/>
    </w:rPr>
    <w:tblPr>
      <w:tblStyleRowBandSize w:val="1"/>
      <w:tblStyleColBandSize w:val="1"/>
      <w:tblBorders>
        <w:top w:val="single" w:sz="4" w:space="0" w:color="A8CBEE"/>
        <w:left w:val="single" w:sz="4" w:space="0" w:color="A8CBEE"/>
        <w:bottom w:val="single" w:sz="4" w:space="0" w:color="A8CBEE"/>
        <w:right w:val="single" w:sz="4" w:space="0" w:color="A8CBEE"/>
        <w:insideH w:val="single" w:sz="4" w:space="0" w:color="A8CBEE"/>
        <w:insideV w:val="single" w:sz="4" w:space="0" w:color="A8CBEE"/>
      </w:tblBorders>
    </w:tblPr>
    <w:tblStylePr w:type="firstRow">
      <w:rPr>
        <w:b/>
        <w:bCs/>
      </w:rPr>
      <w:tblPr/>
      <w:tcPr>
        <w:tcBorders>
          <w:bottom w:val="single" w:sz="12" w:space="0" w:color="7EB1E6"/>
        </w:tcBorders>
      </w:tcPr>
    </w:tblStylePr>
    <w:tblStylePr w:type="lastRow">
      <w:rPr>
        <w:b/>
        <w:bCs/>
      </w:rPr>
      <w:tblPr/>
      <w:tcPr>
        <w:tcBorders>
          <w:top w:val="double" w:sz="2" w:space="0" w:color="7EB1E6"/>
        </w:tcBorders>
      </w:tcPr>
    </w:tblStylePr>
    <w:tblStylePr w:type="firstCol">
      <w:rPr>
        <w:b/>
        <w:bCs/>
      </w:rPr>
    </w:tblStylePr>
    <w:tblStylePr w:type="lastCol">
      <w:rPr>
        <w:b/>
        <w:bCs/>
      </w:rPr>
    </w:tblStylePr>
  </w:style>
  <w:style w:type="numbering" w:customStyle="1" w:styleId="WWOutlineListStyle">
    <w:name w:val="WW_OutlineListStyle"/>
    <w:basedOn w:val="Aucuneliste"/>
    <w:rsid w:val="00BB49EE"/>
    <w:pPr>
      <w:numPr>
        <w:numId w:val="102"/>
      </w:numPr>
    </w:pPr>
  </w:style>
  <w:style w:type="table" w:customStyle="1" w:styleId="TableGrid">
    <w:name w:val="TableGrid"/>
    <w:rsid w:val="00BB49EE"/>
    <w:pPr>
      <w:spacing w:after="0" w:line="240" w:lineRule="auto"/>
    </w:pPr>
    <w:rPr>
      <w:lang w:val="fr-FR" w:eastAsia="fr-FR"/>
    </w:rPr>
    <w:tblPr>
      <w:tblCellMar>
        <w:top w:w="0" w:type="dxa"/>
        <w:left w:w="0" w:type="dxa"/>
        <w:bottom w:w="0" w:type="dxa"/>
        <w:right w:w="0" w:type="dxa"/>
      </w:tblCellMar>
    </w:tblPr>
  </w:style>
  <w:style w:type="character" w:customStyle="1" w:styleId="cf11">
    <w:name w:val="cf11"/>
    <w:basedOn w:val="Policepardfaut"/>
    <w:rsid w:val="00BB49EE"/>
    <w:rPr>
      <w:rFonts w:ascii="Segoe UI" w:hAnsi="Segoe UI" w:cs="Segoe UI" w:hint="default"/>
      <w:sz w:val="18"/>
      <w:szCs w:val="18"/>
      <w:shd w:val="clear" w:color="auto" w:fill="FFFFFF"/>
    </w:rPr>
  </w:style>
  <w:style w:type="paragraph" w:customStyle="1" w:styleId="pf0">
    <w:name w:val="pf0"/>
    <w:basedOn w:val="Normal"/>
    <w:rsid w:val="00BB49EE"/>
    <w:pPr>
      <w:spacing w:before="100" w:beforeAutospacing="1" w:after="100" w:afterAutospacing="1" w:line="240" w:lineRule="auto"/>
      <w:jc w:val="left"/>
    </w:pPr>
    <w:rPr>
      <w:rFonts w:ascii="Times New Roman" w:hAnsi="Times New Roman" w:cs="Times New Roman"/>
      <w:sz w:val="24"/>
      <w:szCs w:val="24"/>
      <w:lang w:eastAsia="zh-CN" w:bidi="ar-SA"/>
    </w:rPr>
  </w:style>
  <w:style w:type="paragraph" w:customStyle="1" w:styleId="CharCharChar1">
    <w:name w:val="Char Char Char1"/>
    <w:basedOn w:val="Normal"/>
    <w:next w:val="Notedebasdepage"/>
    <w:qFormat/>
    <w:rsid w:val="00BB49EE"/>
    <w:pPr>
      <w:suppressAutoHyphens/>
      <w:autoSpaceDN w:val="0"/>
      <w:spacing w:after="0" w:line="240" w:lineRule="auto"/>
      <w:ind w:left="709"/>
      <w:jc w:val="left"/>
    </w:pPr>
    <w:rPr>
      <w:rFonts w:eastAsia="DengXian"/>
      <w:sz w:val="18"/>
      <w:szCs w:val="20"/>
      <w:lang w:bidi="ar-SA"/>
    </w:rPr>
  </w:style>
  <w:style w:type="table" w:customStyle="1" w:styleId="5Cstable12">
    <w:name w:val="5 C's table12"/>
    <w:basedOn w:val="TableauNormal"/>
    <w:uiPriority w:val="59"/>
    <w:rsid w:val="00BB49EE"/>
    <w:pPr>
      <w:spacing w:after="0" w:line="240" w:lineRule="auto"/>
    </w:pPr>
    <w:rPr>
      <w:rFonts w:ascii="Times New Roman" w:eastAsia="Times New Roman" w:hAnsi="Times New Roman" w:cs="Times New Roman"/>
      <w:kern w:val="2"/>
      <w:sz w:val="20"/>
      <w:szCs w:val="20"/>
      <w:lang w:val="fr-FR" w:eastAsia="fr-FR"/>
      <w14:ligatures w14:val="standardContextual"/>
    </w:rPr>
    <w:tblPr>
      <w:tblInd w:w="0" w:type="nil"/>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Pr>
    <w:tblStylePr w:type="firstRow">
      <w:pPr>
        <w:wordWrap/>
      </w:pPr>
      <w:rPr>
        <w:b/>
        <w:i w:val="0"/>
        <w:color w:val="FFFFFF"/>
      </w:rPr>
      <w:tblPr/>
      <w:tcPr>
        <w:shd w:val="clear" w:color="auto" w:fill="156082"/>
      </w:tcPr>
    </w:tblStylePr>
    <w:tblStylePr w:type="lastRow">
      <w:tblPr/>
      <w:tcPr>
        <w:tcBorders>
          <w:top w:val="nil"/>
          <w:left w:val="single" w:sz="4" w:space="0" w:color="808080"/>
          <w:bottom w:val="single" w:sz="12" w:space="0" w:color="808080"/>
          <w:right w:val="single" w:sz="4" w:space="0" w:color="808080"/>
          <w:insideH w:val="nil"/>
          <w:insideV w:val="single" w:sz="4" w:space="0" w:color="808080"/>
          <w:tl2br w:val="nil"/>
          <w:tr2bl w:val="nil"/>
        </w:tcBorders>
      </w:tcPr>
    </w:tblStylePr>
    <w:tblStylePr w:type="firstCol">
      <w:rPr>
        <w:b w:val="0"/>
        <w:i w:val="0"/>
      </w:rPr>
    </w:tblStylePr>
  </w:style>
  <w:style w:type="table" w:customStyle="1" w:styleId="5Cstable13">
    <w:name w:val="5 C's table13"/>
    <w:basedOn w:val="TableauNormal"/>
    <w:uiPriority w:val="59"/>
    <w:rsid w:val="00BB49EE"/>
    <w:pPr>
      <w:spacing w:after="0" w:line="240" w:lineRule="auto"/>
    </w:pPr>
    <w:rPr>
      <w:rFonts w:ascii="Times New Roman" w:eastAsia="Times New Roman" w:hAnsi="Times New Roman" w:cs="Times New Roman"/>
      <w:kern w:val="2"/>
      <w:sz w:val="20"/>
      <w:szCs w:val="20"/>
      <w:lang w:val="fr-FR" w:eastAsia="fr-FR"/>
      <w14:ligatures w14:val="standardContextual"/>
    </w:rPr>
    <w:tblPr>
      <w:tblInd w:w="0" w:type="nil"/>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Pr>
    <w:tblStylePr w:type="firstRow">
      <w:pPr>
        <w:wordWrap/>
      </w:pPr>
      <w:rPr>
        <w:b/>
        <w:i w:val="0"/>
        <w:color w:val="FFFFFF"/>
      </w:rPr>
      <w:tblPr/>
      <w:tcPr>
        <w:shd w:val="clear" w:color="auto" w:fill="156082"/>
      </w:tcPr>
    </w:tblStylePr>
    <w:tblStylePr w:type="lastRow">
      <w:tblPr/>
      <w:tcPr>
        <w:tcBorders>
          <w:top w:val="nil"/>
          <w:left w:val="single" w:sz="4" w:space="0" w:color="808080"/>
          <w:bottom w:val="single" w:sz="12" w:space="0" w:color="808080"/>
          <w:right w:val="single" w:sz="4" w:space="0" w:color="808080"/>
          <w:insideH w:val="nil"/>
          <w:insideV w:val="single" w:sz="4" w:space="0" w:color="808080"/>
          <w:tl2br w:val="nil"/>
          <w:tr2bl w:val="nil"/>
        </w:tcBorders>
      </w:tcPr>
    </w:tblStylePr>
    <w:tblStylePr w:type="firstCol">
      <w:rPr>
        <w:b w:val="0"/>
        <w:i w:val="0"/>
      </w:rPr>
    </w:tblStylePr>
  </w:style>
  <w:style w:type="character" w:customStyle="1" w:styleId="TableauCar">
    <w:name w:val="Tableau Car"/>
    <w:basedOn w:val="Policepardfaut"/>
    <w:link w:val="Tableau"/>
    <w:rsid w:val="00BB49EE"/>
    <w:rPr>
      <w:rFonts w:ascii="Times New Roman" w:eastAsia="Times New Roman" w:hAnsi="Times New Roman" w:cs="Times New Roman"/>
      <w:i/>
      <w:sz w:val="24"/>
      <w:szCs w:val="20"/>
      <w:lang w:val="fr-FR" w:eastAsia="fr-FR"/>
    </w:rPr>
  </w:style>
  <w:style w:type="table" w:styleId="TableauGrille1Clair-Accentuation2">
    <w:name w:val="Grid Table 1 Light Accent 2"/>
    <w:basedOn w:val="TableauNormal"/>
    <w:uiPriority w:val="46"/>
    <w:rsid w:val="00BB49EE"/>
    <w:pPr>
      <w:spacing w:after="0" w:line="240" w:lineRule="auto"/>
    </w:pPr>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table" w:styleId="TableauGrille6Couleur-Accentuation5">
    <w:name w:val="Grid Table 6 Colorful Accent 5"/>
    <w:basedOn w:val="TableauNormal"/>
    <w:uiPriority w:val="51"/>
    <w:rsid w:val="00BB49EE"/>
    <w:pPr>
      <w:spacing w:after="0" w:line="240" w:lineRule="auto"/>
    </w:pPr>
    <w:rPr>
      <w:color w:val="2E74B5" w:themeColor="accent5" w:themeShade="BF"/>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TableauListe1Clair-Accentuation1">
    <w:name w:val="List Table 1 Light Accent 1"/>
    <w:basedOn w:val="TableauNormal"/>
    <w:uiPriority w:val="46"/>
    <w:rsid w:val="00BB49EE"/>
    <w:pPr>
      <w:spacing w:after="0" w:line="240" w:lineRule="auto"/>
    </w:pPr>
    <w:tblPr>
      <w:tblStyleRowBandSize w:val="1"/>
      <w:tblStyleColBandSize w:val="1"/>
    </w:tblPr>
    <w:tblStylePr w:type="firstRow">
      <w:rPr>
        <w:b/>
        <w:bCs/>
      </w:rPr>
      <w:tblPr/>
      <w:tcPr>
        <w:tcBorders>
          <w:bottom w:val="single" w:sz="4" w:space="0" w:color="8EAADB" w:themeColor="accent1" w:themeTint="99"/>
        </w:tcBorders>
      </w:tcPr>
    </w:tblStylePr>
    <w:tblStylePr w:type="lastRow">
      <w:rPr>
        <w:b/>
        <w:bCs/>
      </w:rPr>
      <w:tblPr/>
      <w:tcPr>
        <w:tcBorders>
          <w:top w:val="sing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TableauGrille1Clair">
    <w:name w:val="Grid Table 1 Light"/>
    <w:basedOn w:val="TableauNormal"/>
    <w:uiPriority w:val="46"/>
    <w:rsid w:val="00BB49EE"/>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En-ttedetabledesmatires">
    <w:name w:val="TOC Heading"/>
    <w:basedOn w:val="Titre1"/>
    <w:next w:val="Normal"/>
    <w:uiPriority w:val="39"/>
    <w:semiHidden/>
    <w:unhideWhenUsed/>
    <w:qFormat/>
    <w:rsid w:val="00BB49EE"/>
    <w:pPr>
      <w:outlineLvl w:val="9"/>
    </w:pPr>
    <w:rPr>
      <w:rFonts w:asciiTheme="majorHAnsi" w:hAnsiTheme="majorHAnsi"/>
      <w:b w:val="0"/>
      <w:color w:val="2F5496" w:themeColor="accent1" w:themeShade="BF"/>
    </w:rPr>
  </w:style>
  <w:style w:type="table" w:styleId="Trameclaire-Accent5">
    <w:name w:val="Light Shading Accent 5"/>
    <w:basedOn w:val="TableauNormal"/>
    <w:uiPriority w:val="60"/>
    <w:semiHidden/>
    <w:unhideWhenUsed/>
    <w:rsid w:val="00BB49EE"/>
    <w:pPr>
      <w:spacing w:after="0" w:line="240" w:lineRule="auto"/>
    </w:pPr>
    <w:rPr>
      <w:color w:val="2E74B5" w:themeColor="accent5" w:themeShade="BF"/>
    </w:rPr>
    <w:tblPr>
      <w:tblStyleRowBandSize w:val="1"/>
      <w:tblStyleColBandSize w:val="1"/>
      <w:tblBorders>
        <w:top w:val="single" w:sz="8" w:space="0" w:color="5B9BD5" w:themeColor="accent5"/>
        <w:bottom w:val="single" w:sz="8" w:space="0" w:color="5B9BD5" w:themeColor="accent5"/>
      </w:tblBorders>
    </w:tblPr>
    <w:tblStylePr w:type="fir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la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left w:val="nil"/>
          <w:right w:val="nil"/>
          <w:insideH w:val="nil"/>
          <w:insideV w:val="nil"/>
        </w:tcBorders>
        <w:shd w:val="clear" w:color="auto" w:fill="D6E6F4" w:themeFill="accent5" w:themeFillTint="3F"/>
      </w:tcPr>
    </w:tblStylePr>
  </w:style>
  <w:style w:type="table" w:styleId="Tramecouleur-Accent1">
    <w:name w:val="Colorful Shading Accent 1"/>
    <w:basedOn w:val="TableauNormal"/>
    <w:uiPriority w:val="71"/>
    <w:semiHidden/>
    <w:unhideWhenUsed/>
    <w:rsid w:val="00BB49EE"/>
    <w:pPr>
      <w:spacing w:after="0" w:line="240" w:lineRule="auto"/>
    </w:pPr>
    <w:rPr>
      <w:color w:val="000000" w:themeColor="text1"/>
    </w:rPr>
    <w:tblPr>
      <w:tblStyleRowBandSize w:val="1"/>
      <w:tblStyleColBandSize w:val="1"/>
      <w:tblBorders>
        <w:top w:val="single" w:sz="24" w:space="0" w:color="ED7D31" w:themeColor="accent2"/>
        <w:left w:val="single" w:sz="4" w:space="0" w:color="4472C4" w:themeColor="accent1"/>
        <w:bottom w:val="single" w:sz="4" w:space="0" w:color="4472C4" w:themeColor="accent1"/>
        <w:right w:val="single" w:sz="4" w:space="0" w:color="4472C4" w:themeColor="accent1"/>
        <w:insideH w:val="single" w:sz="4" w:space="0" w:color="FFFFFF" w:themeColor="background1"/>
        <w:insideV w:val="single" w:sz="4" w:space="0" w:color="FFFFFF" w:themeColor="background1"/>
      </w:tblBorders>
    </w:tblPr>
    <w:tcPr>
      <w:shd w:val="clear" w:color="auto" w:fill="ECF1F9" w:themeFill="accen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64378" w:themeFill="accent1" w:themeFillShade="99"/>
      </w:tcPr>
    </w:tblStylePr>
    <w:tblStylePr w:type="firstCol">
      <w:rPr>
        <w:color w:val="FFFFFF" w:themeColor="background1"/>
      </w:rPr>
      <w:tblPr/>
      <w:tcPr>
        <w:tcBorders>
          <w:top w:val="nil"/>
          <w:left w:val="nil"/>
          <w:bottom w:val="nil"/>
          <w:right w:val="nil"/>
          <w:insideH w:val="single" w:sz="4" w:space="0" w:color="264378" w:themeColor="accent1" w:themeShade="99"/>
          <w:insideV w:val="nil"/>
        </w:tcBorders>
        <w:shd w:val="clear" w:color="auto" w:fill="264378"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64378" w:themeFill="accent1" w:themeFillShade="99"/>
      </w:tcPr>
    </w:tblStylePr>
    <w:tblStylePr w:type="band1Vert">
      <w:tblPr/>
      <w:tcPr>
        <w:shd w:val="clear" w:color="auto" w:fill="B4C6E7" w:themeFill="accent1" w:themeFillTint="66"/>
      </w:tcPr>
    </w:tblStylePr>
    <w:tblStylePr w:type="band1Horz">
      <w:tblPr/>
      <w:tcPr>
        <w:shd w:val="clear" w:color="auto" w:fill="A1B8E1" w:themeFill="accent1" w:themeFillTint="7F"/>
      </w:tcPr>
    </w:tblStylePr>
    <w:tblStylePr w:type="neCell">
      <w:rPr>
        <w:color w:val="000000" w:themeColor="text1"/>
      </w:rPr>
    </w:tblStylePr>
    <w:tblStylePr w:type="nwCell">
      <w:rPr>
        <w:color w:val="000000" w:themeColor="text1"/>
      </w:rPr>
    </w:tblStylePr>
  </w:style>
  <w:style w:type="table" w:styleId="Tramemoyenne1-Accent5">
    <w:name w:val="Medium Shading 1 Accent 5"/>
    <w:basedOn w:val="TableauNormal"/>
    <w:uiPriority w:val="63"/>
    <w:semiHidden/>
    <w:unhideWhenUsed/>
    <w:rsid w:val="00BB49EE"/>
    <w:pPr>
      <w:spacing w:after="0" w:line="240" w:lineRule="auto"/>
    </w:pPr>
    <w:tblPr>
      <w:tblStyleRowBandSize w:val="1"/>
      <w:tblStyleColBandSize w:val="1"/>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tblBorders>
    </w:tblPr>
    <w:tblStylePr w:type="firstRow">
      <w:pPr>
        <w:spacing w:before="0" w:after="0" w:line="240" w:lineRule="auto"/>
      </w:pPr>
      <w:rPr>
        <w:b/>
        <w:bCs/>
        <w:color w:val="FFFFFF" w:themeColor="background1"/>
      </w:rPr>
      <w:tblPr/>
      <w:tcPr>
        <w:tc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shd w:val="clear" w:color="auto" w:fill="5B9BD5" w:themeFill="accent5"/>
      </w:tcPr>
    </w:tblStylePr>
    <w:tblStylePr w:type="lastRow">
      <w:pPr>
        <w:spacing w:before="0" w:after="0" w:line="240" w:lineRule="auto"/>
      </w:pPr>
      <w:rPr>
        <w:b/>
        <w:bCs/>
      </w:rPr>
      <w:tblPr/>
      <w:tcPr>
        <w:tcBorders>
          <w:top w:val="double" w:sz="6"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5" w:themeFillTint="3F"/>
      </w:tcPr>
    </w:tblStylePr>
    <w:tblStylePr w:type="band1Horz">
      <w:tblPr/>
      <w:tcPr>
        <w:tcBorders>
          <w:insideH w:val="nil"/>
          <w:insideV w:val="nil"/>
        </w:tcBorders>
        <w:shd w:val="clear" w:color="auto" w:fill="D6E6F4" w:themeFill="accent5" w:themeFillTint="3F"/>
      </w:tcPr>
    </w:tblStylePr>
    <w:tblStylePr w:type="band2Horz">
      <w:tblPr/>
      <w:tcPr>
        <w:tcBorders>
          <w:insideH w:val="nil"/>
          <w:insideV w:val="nil"/>
        </w:tcBorders>
      </w:tcPr>
    </w:tblStylePr>
  </w:style>
  <w:style w:type="table" w:styleId="Grilleclaire-Accent5">
    <w:name w:val="Light Grid Accent 5"/>
    <w:basedOn w:val="TableauNormal"/>
    <w:uiPriority w:val="62"/>
    <w:semiHidden/>
    <w:unhideWhenUsed/>
    <w:rsid w:val="00BB49EE"/>
    <w:pPr>
      <w:spacing w:after="0" w:line="240" w:lineRule="auto"/>
    </w:p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18" w:space="0" w:color="5B9BD5" w:themeColor="accent5"/>
          <w:right w:val="single" w:sz="8" w:space="0" w:color="5B9BD5" w:themeColor="accent5"/>
          <w:insideH w:val="nil"/>
          <w:insideV w:val="single" w:sz="8" w:space="0" w:color="5B9BD5"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insideH w:val="nil"/>
          <w:insideV w:val="single" w:sz="8" w:space="0" w:color="5B9BD5"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shd w:val="clear" w:color="auto" w:fill="D6E6F4" w:themeFill="accent5" w:themeFillTint="3F"/>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shd w:val="clear" w:color="auto" w:fill="D6E6F4" w:themeFill="accent5" w:themeFillTint="3F"/>
      </w:tcPr>
    </w:tblStylePr>
    <w:tblStylePr w:type="band2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tcPr>
    </w:tblStylePr>
  </w:style>
  <w:style w:type="table" w:styleId="Trameclaire-Accent4">
    <w:name w:val="Light Shading Accent 4"/>
    <w:basedOn w:val="TableauNormal"/>
    <w:uiPriority w:val="60"/>
    <w:semiHidden/>
    <w:unhideWhenUsed/>
    <w:rsid w:val="00BB49EE"/>
    <w:pPr>
      <w:spacing w:after="0" w:line="240" w:lineRule="auto"/>
    </w:pPr>
    <w:rPr>
      <w:color w:val="BF8F00" w:themeColor="accent4" w:themeShade="BF"/>
    </w:rPr>
    <w:tblPr>
      <w:tblStyleRowBandSize w:val="1"/>
      <w:tblStyleColBandSize w:val="1"/>
      <w:tblBorders>
        <w:top w:val="single" w:sz="8" w:space="0" w:color="FFC000" w:themeColor="accent4"/>
        <w:bottom w:val="single" w:sz="8" w:space="0" w:color="FFC000" w:themeColor="accent4"/>
      </w:tblBorders>
    </w:tblPr>
    <w:tblStylePr w:type="fir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table" w:styleId="Tramemoyenne1-Accent3">
    <w:name w:val="Medium Shading 1 Accent 3"/>
    <w:basedOn w:val="TableauNormal"/>
    <w:uiPriority w:val="63"/>
    <w:semiHidden/>
    <w:unhideWhenUsed/>
    <w:rsid w:val="00BB49EE"/>
    <w:pPr>
      <w:spacing w:after="0" w:line="240" w:lineRule="auto"/>
    </w:p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tblBorders>
    </w:tblPr>
    <w:tblStylePr w:type="firstRow">
      <w:pPr>
        <w:spacing w:before="0" w:after="0" w:line="240" w:lineRule="auto"/>
      </w:pPr>
      <w:rPr>
        <w:b/>
        <w:bCs/>
        <w:color w:val="FFFFFF" w:themeColor="background1"/>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0" w:after="0" w:line="240" w:lineRule="auto"/>
      </w:pPr>
      <w:rPr>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table" w:styleId="Tramemoyenne2-Accent3">
    <w:name w:val="Medium Shading 2 Accent 3"/>
    <w:basedOn w:val="TableauNormal"/>
    <w:uiPriority w:val="64"/>
    <w:semiHidden/>
    <w:unhideWhenUsed/>
    <w:rsid w:val="00BB49EE"/>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rilledetableauclaire">
    <w:name w:val="Grid Table Light"/>
    <w:basedOn w:val="TableauNormal"/>
    <w:uiPriority w:val="40"/>
    <w:rsid w:val="00BB49EE"/>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auGrille4-Accentuation5">
    <w:name w:val="Grid Table 4 Accent 5"/>
    <w:basedOn w:val="TableauNormal"/>
    <w:uiPriority w:val="49"/>
    <w:rsid w:val="00BB49EE"/>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TableauGrille5Fonc-Accentuation6">
    <w:name w:val="Grid Table 5 Dark Accent 6"/>
    <w:basedOn w:val="TableauNormal"/>
    <w:uiPriority w:val="50"/>
    <w:rsid w:val="00BB49E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character" w:styleId="Emphaseintense">
    <w:name w:val="Intense Emphasis"/>
    <w:basedOn w:val="Policepardfaut"/>
    <w:uiPriority w:val="21"/>
    <w:qFormat/>
    <w:rsid w:val="00BB49EE"/>
    <w:rPr>
      <w:i/>
      <w:iCs/>
      <w:color w:val="4472C4" w:themeColor="accent1"/>
    </w:rPr>
  </w:style>
  <w:style w:type="paragraph" w:styleId="Listenumros">
    <w:name w:val="List Number"/>
    <w:basedOn w:val="Normal"/>
    <w:uiPriority w:val="99"/>
    <w:semiHidden/>
    <w:unhideWhenUsed/>
    <w:rsid w:val="00BB49EE"/>
    <w:pPr>
      <w:numPr>
        <w:numId w:val="35"/>
      </w:numPr>
      <w:contextualSpacing/>
    </w:pPr>
  </w:style>
  <w:style w:type="paragraph" w:styleId="Index1">
    <w:name w:val="index 1"/>
    <w:basedOn w:val="Normal"/>
    <w:next w:val="Normal"/>
    <w:autoRedefine/>
    <w:uiPriority w:val="99"/>
    <w:semiHidden/>
    <w:unhideWhenUsed/>
    <w:rsid w:val="00BB49EE"/>
    <w:pPr>
      <w:spacing w:before="0" w:after="0" w:line="240" w:lineRule="auto"/>
      <w:ind w:left="220" w:hanging="220"/>
    </w:pPr>
  </w:style>
  <w:style w:type="paragraph" w:styleId="Textedemacro">
    <w:name w:val="macro"/>
    <w:link w:val="TextedemacroCar1"/>
    <w:uiPriority w:val="99"/>
    <w:semiHidden/>
    <w:unhideWhenUsed/>
    <w:rsid w:val="00BB49EE"/>
    <w:pPr>
      <w:tabs>
        <w:tab w:val="left" w:pos="480"/>
        <w:tab w:val="left" w:pos="960"/>
        <w:tab w:val="left" w:pos="1440"/>
        <w:tab w:val="left" w:pos="1920"/>
        <w:tab w:val="left" w:pos="2400"/>
        <w:tab w:val="left" w:pos="2880"/>
        <w:tab w:val="left" w:pos="3360"/>
        <w:tab w:val="left" w:pos="3840"/>
        <w:tab w:val="left" w:pos="4320"/>
      </w:tabs>
      <w:spacing w:before="120" w:after="0" w:line="276" w:lineRule="auto"/>
      <w:jc w:val="both"/>
    </w:pPr>
    <w:rPr>
      <w:rFonts w:ascii="Consolas" w:eastAsia="Times New Roman" w:hAnsi="Consolas" w:cs="Arial"/>
      <w:sz w:val="20"/>
      <w:szCs w:val="20"/>
      <w:lang w:val="fr-FR" w:bidi="en-US"/>
    </w:rPr>
  </w:style>
  <w:style w:type="character" w:customStyle="1" w:styleId="TextedemacroCar1">
    <w:name w:val="Texte de macro Car1"/>
    <w:basedOn w:val="Policepardfaut"/>
    <w:link w:val="Textedemacro"/>
    <w:uiPriority w:val="99"/>
    <w:semiHidden/>
    <w:rsid w:val="00BB49EE"/>
    <w:rPr>
      <w:rFonts w:ascii="Consolas" w:eastAsia="Times New Roman" w:hAnsi="Consolas" w:cs="Arial"/>
      <w:sz w:val="20"/>
      <w:szCs w:val="20"/>
      <w:lang w:val="fr-FR" w:bidi="en-US"/>
    </w:rPr>
  </w:style>
  <w:style w:type="paragraph" w:styleId="Retrait1religne">
    <w:name w:val="Body Text First Indent"/>
    <w:basedOn w:val="Corpsdetexte"/>
    <w:link w:val="Retrait1religneCar1"/>
    <w:uiPriority w:val="99"/>
    <w:semiHidden/>
    <w:unhideWhenUsed/>
    <w:rsid w:val="00BB49EE"/>
    <w:pPr>
      <w:spacing w:before="120" w:after="120" w:line="276" w:lineRule="auto"/>
      <w:ind w:firstLine="360"/>
      <w:jc w:val="both"/>
    </w:pPr>
    <w:rPr>
      <w:rFonts w:eastAsia="Times New Roman" w:cs="Arial"/>
      <w:szCs w:val="22"/>
      <w:lang w:val="fr-FR" w:eastAsia="en-US" w:bidi="en-US"/>
    </w:rPr>
  </w:style>
  <w:style w:type="character" w:customStyle="1" w:styleId="Retrait1religneCar1">
    <w:name w:val="Retrait 1re ligne Car1"/>
    <w:basedOn w:val="CorpsdetexteCar"/>
    <w:link w:val="Retrait1religne"/>
    <w:uiPriority w:val="99"/>
    <w:semiHidden/>
    <w:rsid w:val="00BB49EE"/>
    <w:rPr>
      <w:rFonts w:ascii="Calibri" w:eastAsia="Times New Roman" w:hAnsi="Calibri" w:cs="Arial"/>
      <w:szCs w:val="24"/>
      <w:lang w:val="fr-FR" w:eastAsia="fr-FR" w:bidi="en-US"/>
    </w:rPr>
  </w:style>
  <w:style w:type="paragraph" w:styleId="Retraitcorpset1relig">
    <w:name w:val="Body Text First Indent 2"/>
    <w:basedOn w:val="Retraitcorpsdetexte"/>
    <w:link w:val="Retraitcorpset1religCar1"/>
    <w:uiPriority w:val="99"/>
    <w:semiHidden/>
    <w:unhideWhenUsed/>
    <w:rsid w:val="00BB49EE"/>
    <w:pPr>
      <w:spacing w:before="120" w:after="120" w:line="276" w:lineRule="auto"/>
      <w:ind w:left="360" w:firstLine="360"/>
      <w:jc w:val="both"/>
    </w:pPr>
    <w:rPr>
      <w:rFonts w:ascii="Calibri" w:hAnsi="Calibri" w:cs="Arial"/>
      <w:color w:val="auto"/>
      <w:sz w:val="22"/>
      <w:szCs w:val="22"/>
      <w:lang w:eastAsia="en-US" w:bidi="en-US"/>
    </w:rPr>
  </w:style>
  <w:style w:type="character" w:customStyle="1" w:styleId="Retraitcorpset1religCar1">
    <w:name w:val="Retrait corps et 1re lig. Car1"/>
    <w:basedOn w:val="RetraitcorpsdetexteCar"/>
    <w:link w:val="Retraitcorpset1relig"/>
    <w:uiPriority w:val="99"/>
    <w:semiHidden/>
    <w:rsid w:val="00BB49EE"/>
    <w:rPr>
      <w:rFonts w:ascii="Arial" w:eastAsia="Times New Roman" w:hAnsi="Arial" w:cs="Times New Roman"/>
      <w:color w:val="0000FF"/>
      <w:sz w:val="16"/>
      <w:szCs w:val="16"/>
      <w:lang w:val="fr-FR" w:eastAsia="fr-FR"/>
    </w:rPr>
  </w:style>
  <w:style w:type="paragraph" w:styleId="Formuledepolitesse">
    <w:name w:val="Closing"/>
    <w:basedOn w:val="Normal"/>
    <w:link w:val="FormuledepolitesseCar1"/>
    <w:uiPriority w:val="99"/>
    <w:semiHidden/>
    <w:unhideWhenUsed/>
    <w:rsid w:val="00BB49EE"/>
    <w:pPr>
      <w:spacing w:before="0" w:after="0" w:line="240" w:lineRule="auto"/>
      <w:ind w:left="4252"/>
    </w:pPr>
  </w:style>
  <w:style w:type="character" w:customStyle="1" w:styleId="FormuledepolitesseCar1">
    <w:name w:val="Formule de politesse Car1"/>
    <w:basedOn w:val="Policepardfaut"/>
    <w:link w:val="Formuledepolitesse"/>
    <w:uiPriority w:val="99"/>
    <w:semiHidden/>
    <w:rsid w:val="00BB49EE"/>
    <w:rPr>
      <w:rFonts w:ascii="Calibri" w:eastAsia="Times New Roman" w:hAnsi="Calibri" w:cs="Arial"/>
      <w:lang w:val="fr-FR" w:bidi="en-US"/>
    </w:rPr>
  </w:style>
  <w:style w:type="paragraph" w:styleId="Signaturelectronique">
    <w:name w:val="E-mail Signature"/>
    <w:basedOn w:val="Normal"/>
    <w:link w:val="SignaturelectroniqueCar1"/>
    <w:uiPriority w:val="99"/>
    <w:semiHidden/>
    <w:unhideWhenUsed/>
    <w:rsid w:val="00BB49EE"/>
    <w:pPr>
      <w:spacing w:before="0" w:after="0" w:line="240" w:lineRule="auto"/>
    </w:pPr>
  </w:style>
  <w:style w:type="character" w:customStyle="1" w:styleId="SignaturelectroniqueCar1">
    <w:name w:val="Signature électronique Car1"/>
    <w:basedOn w:val="Policepardfaut"/>
    <w:link w:val="Signaturelectronique"/>
    <w:uiPriority w:val="99"/>
    <w:semiHidden/>
    <w:rsid w:val="00BB49EE"/>
    <w:rPr>
      <w:rFonts w:ascii="Calibri" w:eastAsia="Times New Roman" w:hAnsi="Calibri" w:cs="Arial"/>
      <w:lang w:val="fr-FR" w:bidi="en-US"/>
    </w:rPr>
  </w:style>
  <w:style w:type="paragraph" w:styleId="Adressedestinataire">
    <w:name w:val="envelope address"/>
    <w:basedOn w:val="Normal"/>
    <w:uiPriority w:val="99"/>
    <w:semiHidden/>
    <w:unhideWhenUsed/>
    <w:rsid w:val="00BB49EE"/>
    <w:pPr>
      <w:framePr w:w="7920" w:h="1980" w:hRule="exact" w:hSpace="180" w:wrap="auto" w:hAnchor="page" w:xAlign="center" w:yAlign="bottom"/>
      <w:spacing w:before="0" w:after="0" w:line="240" w:lineRule="auto"/>
      <w:ind w:left="2880"/>
    </w:pPr>
    <w:rPr>
      <w:rFonts w:asciiTheme="majorHAnsi" w:eastAsiaTheme="majorEastAsia" w:hAnsiTheme="majorHAnsi" w:cstheme="majorBidi"/>
      <w:sz w:val="24"/>
      <w:szCs w:val="24"/>
    </w:rPr>
  </w:style>
  <w:style w:type="paragraph" w:styleId="Adresseexpditeur">
    <w:name w:val="envelope return"/>
    <w:basedOn w:val="Normal"/>
    <w:uiPriority w:val="99"/>
    <w:semiHidden/>
    <w:unhideWhenUsed/>
    <w:rsid w:val="00BB49EE"/>
    <w:pPr>
      <w:spacing w:before="0" w:after="0" w:line="240" w:lineRule="auto"/>
    </w:pPr>
    <w:rPr>
      <w:rFonts w:asciiTheme="majorHAnsi" w:eastAsiaTheme="majorEastAsia" w:hAnsiTheme="majorHAnsi" w:cstheme="majorBidi"/>
      <w:sz w:val="20"/>
      <w:szCs w:val="20"/>
    </w:rPr>
  </w:style>
  <w:style w:type="paragraph" w:styleId="AdresseHTML">
    <w:name w:val="HTML Address"/>
    <w:basedOn w:val="Normal"/>
    <w:link w:val="AdresseHTMLCar1"/>
    <w:uiPriority w:val="99"/>
    <w:semiHidden/>
    <w:unhideWhenUsed/>
    <w:rsid w:val="00BB49EE"/>
    <w:pPr>
      <w:spacing w:before="0" w:after="0" w:line="240" w:lineRule="auto"/>
    </w:pPr>
    <w:rPr>
      <w:i/>
      <w:iCs/>
    </w:rPr>
  </w:style>
  <w:style w:type="character" w:customStyle="1" w:styleId="AdresseHTMLCar1">
    <w:name w:val="Adresse HTML Car1"/>
    <w:basedOn w:val="Policepardfaut"/>
    <w:link w:val="AdresseHTML"/>
    <w:uiPriority w:val="99"/>
    <w:semiHidden/>
    <w:rsid w:val="00BB49EE"/>
    <w:rPr>
      <w:rFonts w:ascii="Calibri" w:eastAsia="Times New Roman" w:hAnsi="Calibri" w:cs="Arial"/>
      <w:i/>
      <w:iCs/>
      <w:lang w:val="fr-FR" w:bidi="en-US"/>
    </w:rPr>
  </w:style>
  <w:style w:type="paragraph" w:styleId="PrformatHTML">
    <w:name w:val="HTML Preformatted"/>
    <w:basedOn w:val="Normal"/>
    <w:link w:val="PrformatHTMLCar1"/>
    <w:uiPriority w:val="99"/>
    <w:semiHidden/>
    <w:unhideWhenUsed/>
    <w:rsid w:val="00BB49EE"/>
    <w:pPr>
      <w:spacing w:before="0" w:after="0" w:line="240" w:lineRule="auto"/>
    </w:pPr>
    <w:rPr>
      <w:rFonts w:ascii="Consolas" w:hAnsi="Consolas"/>
      <w:sz w:val="20"/>
      <w:szCs w:val="20"/>
    </w:rPr>
  </w:style>
  <w:style w:type="character" w:customStyle="1" w:styleId="PrformatHTMLCar1">
    <w:name w:val="Préformaté HTML Car1"/>
    <w:basedOn w:val="Policepardfaut"/>
    <w:link w:val="PrformatHTML"/>
    <w:uiPriority w:val="99"/>
    <w:semiHidden/>
    <w:rsid w:val="00BB49EE"/>
    <w:rPr>
      <w:rFonts w:ascii="Consolas" w:eastAsia="Times New Roman" w:hAnsi="Consolas" w:cs="Arial"/>
      <w:sz w:val="20"/>
      <w:szCs w:val="20"/>
      <w:lang w:val="fr-FR" w:bidi="en-US"/>
    </w:rPr>
  </w:style>
  <w:style w:type="paragraph" w:styleId="Liste4">
    <w:name w:val="List 4"/>
    <w:basedOn w:val="Normal"/>
    <w:uiPriority w:val="99"/>
    <w:semiHidden/>
    <w:unhideWhenUsed/>
    <w:rsid w:val="00BB49EE"/>
    <w:pPr>
      <w:ind w:left="1132" w:hanging="283"/>
      <w:contextualSpacing/>
    </w:pPr>
  </w:style>
  <w:style w:type="paragraph" w:styleId="Liste5">
    <w:name w:val="List 5"/>
    <w:basedOn w:val="Normal"/>
    <w:uiPriority w:val="99"/>
    <w:semiHidden/>
    <w:unhideWhenUsed/>
    <w:rsid w:val="00BB49EE"/>
    <w:pPr>
      <w:ind w:left="1415" w:hanging="283"/>
      <w:contextualSpacing/>
    </w:pPr>
  </w:style>
  <w:style w:type="paragraph" w:styleId="Listecontinue">
    <w:name w:val="List Continue"/>
    <w:basedOn w:val="Normal"/>
    <w:uiPriority w:val="99"/>
    <w:semiHidden/>
    <w:unhideWhenUsed/>
    <w:rsid w:val="00BB49EE"/>
    <w:pPr>
      <w:ind w:left="283"/>
      <w:contextualSpacing/>
    </w:pPr>
  </w:style>
  <w:style w:type="paragraph" w:styleId="Listecontinue2">
    <w:name w:val="List Continue 2"/>
    <w:basedOn w:val="Normal"/>
    <w:uiPriority w:val="99"/>
    <w:semiHidden/>
    <w:unhideWhenUsed/>
    <w:rsid w:val="00BB49EE"/>
    <w:pPr>
      <w:ind w:left="566"/>
      <w:contextualSpacing/>
    </w:pPr>
  </w:style>
  <w:style w:type="paragraph" w:styleId="Listecontinue3">
    <w:name w:val="List Continue 3"/>
    <w:basedOn w:val="Normal"/>
    <w:uiPriority w:val="99"/>
    <w:semiHidden/>
    <w:unhideWhenUsed/>
    <w:rsid w:val="00BB49EE"/>
    <w:pPr>
      <w:ind w:left="849"/>
      <w:contextualSpacing/>
    </w:pPr>
  </w:style>
  <w:style w:type="paragraph" w:styleId="Listecontinue4">
    <w:name w:val="List Continue 4"/>
    <w:basedOn w:val="Normal"/>
    <w:uiPriority w:val="99"/>
    <w:semiHidden/>
    <w:unhideWhenUsed/>
    <w:rsid w:val="00BB49EE"/>
    <w:pPr>
      <w:ind w:left="1132"/>
      <w:contextualSpacing/>
    </w:pPr>
  </w:style>
  <w:style w:type="paragraph" w:styleId="Listecontinue5">
    <w:name w:val="List Continue 5"/>
    <w:basedOn w:val="Normal"/>
    <w:uiPriority w:val="99"/>
    <w:semiHidden/>
    <w:unhideWhenUsed/>
    <w:rsid w:val="00BB49EE"/>
    <w:pPr>
      <w:ind w:left="1415"/>
      <w:contextualSpacing/>
    </w:pPr>
  </w:style>
  <w:style w:type="paragraph" w:styleId="Listenumros4">
    <w:name w:val="List Number 4"/>
    <w:basedOn w:val="Normal"/>
    <w:uiPriority w:val="99"/>
    <w:semiHidden/>
    <w:unhideWhenUsed/>
    <w:rsid w:val="00BB49EE"/>
    <w:pPr>
      <w:numPr>
        <w:numId w:val="36"/>
      </w:numPr>
      <w:contextualSpacing/>
    </w:pPr>
  </w:style>
  <w:style w:type="paragraph" w:styleId="Listenumros5">
    <w:name w:val="List Number 5"/>
    <w:basedOn w:val="Normal"/>
    <w:uiPriority w:val="99"/>
    <w:semiHidden/>
    <w:unhideWhenUsed/>
    <w:rsid w:val="00BB49EE"/>
    <w:pPr>
      <w:numPr>
        <w:numId w:val="37"/>
      </w:numPr>
      <w:contextualSpacing/>
    </w:pPr>
  </w:style>
  <w:style w:type="paragraph" w:styleId="Signature">
    <w:name w:val="Signature"/>
    <w:basedOn w:val="Normal"/>
    <w:link w:val="SignatureCar1"/>
    <w:uiPriority w:val="99"/>
    <w:semiHidden/>
    <w:unhideWhenUsed/>
    <w:rsid w:val="00BB49EE"/>
    <w:pPr>
      <w:spacing w:before="0" w:after="0" w:line="240" w:lineRule="auto"/>
      <w:ind w:left="4252"/>
    </w:pPr>
  </w:style>
  <w:style w:type="character" w:customStyle="1" w:styleId="SignatureCar1">
    <w:name w:val="Signature Car1"/>
    <w:basedOn w:val="Policepardfaut"/>
    <w:link w:val="Signature"/>
    <w:uiPriority w:val="99"/>
    <w:semiHidden/>
    <w:rsid w:val="00BB49EE"/>
    <w:rPr>
      <w:rFonts w:ascii="Calibri" w:eastAsia="Times New Roman" w:hAnsi="Calibri" w:cs="Arial"/>
      <w:lang w:val="fr-FR" w:bidi="en-US"/>
    </w:rPr>
  </w:style>
  <w:style w:type="table" w:styleId="Effetsdetableau3D1">
    <w:name w:val="Table 3D effects 1"/>
    <w:basedOn w:val="TableauNormal"/>
    <w:uiPriority w:val="99"/>
    <w:semiHidden/>
    <w:unhideWhenUsed/>
    <w:rsid w:val="00BB49EE"/>
    <w:pPr>
      <w:spacing w:before="120" w:after="120" w:line="276" w:lineRule="auto"/>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Effetsdetableau3D2">
    <w:name w:val="Table 3D effects 2"/>
    <w:basedOn w:val="TableauNormal"/>
    <w:uiPriority w:val="99"/>
    <w:semiHidden/>
    <w:unhideWhenUsed/>
    <w:rsid w:val="00BB49EE"/>
    <w:pPr>
      <w:spacing w:before="120" w:after="120" w:line="276" w:lineRule="auto"/>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ffetsdetableau3D3">
    <w:name w:val="Table 3D effects 3"/>
    <w:basedOn w:val="TableauNormal"/>
    <w:uiPriority w:val="99"/>
    <w:semiHidden/>
    <w:unhideWhenUsed/>
    <w:rsid w:val="00BB49EE"/>
    <w:pPr>
      <w:spacing w:before="120" w:after="120" w:line="276" w:lineRule="auto"/>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classique1">
    <w:name w:val="Table Classic 1"/>
    <w:basedOn w:val="TableauNormal"/>
    <w:uiPriority w:val="99"/>
    <w:semiHidden/>
    <w:unhideWhenUsed/>
    <w:rsid w:val="00BB49EE"/>
    <w:pPr>
      <w:spacing w:before="120" w:after="120" w:line="276" w:lineRule="auto"/>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classique2">
    <w:name w:val="Table Classic 2"/>
    <w:basedOn w:val="TableauNormal"/>
    <w:uiPriority w:val="99"/>
    <w:semiHidden/>
    <w:unhideWhenUsed/>
    <w:rsid w:val="00BB49EE"/>
    <w:pPr>
      <w:spacing w:before="120" w:after="120" w:line="276" w:lineRule="auto"/>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auclassique3">
    <w:name w:val="Table Classic 3"/>
    <w:basedOn w:val="TableauNormal"/>
    <w:uiPriority w:val="99"/>
    <w:semiHidden/>
    <w:unhideWhenUsed/>
    <w:rsid w:val="00BB49EE"/>
    <w:pPr>
      <w:spacing w:before="120" w:after="120" w:line="276" w:lineRule="auto"/>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auclassique4">
    <w:name w:val="Table Classic 4"/>
    <w:basedOn w:val="TableauNormal"/>
    <w:uiPriority w:val="99"/>
    <w:semiHidden/>
    <w:unhideWhenUsed/>
    <w:rsid w:val="00BB49EE"/>
    <w:pPr>
      <w:spacing w:before="120" w:after="120" w:line="276" w:lineRule="auto"/>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aucolor1">
    <w:name w:val="Table Colorful 1"/>
    <w:basedOn w:val="TableauNormal"/>
    <w:uiPriority w:val="99"/>
    <w:semiHidden/>
    <w:unhideWhenUsed/>
    <w:rsid w:val="00BB49EE"/>
    <w:pPr>
      <w:spacing w:before="120" w:after="120" w:line="276" w:lineRule="auto"/>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aucolor2">
    <w:name w:val="Table Colorful 2"/>
    <w:basedOn w:val="TableauNormal"/>
    <w:uiPriority w:val="99"/>
    <w:semiHidden/>
    <w:unhideWhenUsed/>
    <w:rsid w:val="00BB49EE"/>
    <w:pPr>
      <w:spacing w:before="120" w:after="120" w:line="276" w:lineRule="auto"/>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aucolor3">
    <w:name w:val="Table Colorful 3"/>
    <w:basedOn w:val="TableauNormal"/>
    <w:uiPriority w:val="99"/>
    <w:semiHidden/>
    <w:unhideWhenUsed/>
    <w:rsid w:val="00BB49EE"/>
    <w:pPr>
      <w:spacing w:before="120" w:after="120" w:line="276" w:lineRule="auto"/>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Colonnesdetableau1">
    <w:name w:val="Table Columns 1"/>
    <w:basedOn w:val="TableauNormal"/>
    <w:uiPriority w:val="99"/>
    <w:semiHidden/>
    <w:unhideWhenUsed/>
    <w:rsid w:val="00BB49EE"/>
    <w:pPr>
      <w:spacing w:before="120" w:after="120" w:line="276" w:lineRule="auto"/>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Colonnesdetableau2">
    <w:name w:val="Table Columns 2"/>
    <w:basedOn w:val="TableauNormal"/>
    <w:uiPriority w:val="99"/>
    <w:semiHidden/>
    <w:unhideWhenUsed/>
    <w:rsid w:val="00BB49EE"/>
    <w:pPr>
      <w:spacing w:before="120" w:after="120" w:line="276" w:lineRule="auto"/>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Colonnesdetableau3">
    <w:name w:val="Table Columns 3"/>
    <w:basedOn w:val="TableauNormal"/>
    <w:uiPriority w:val="99"/>
    <w:semiHidden/>
    <w:unhideWhenUsed/>
    <w:rsid w:val="00BB49EE"/>
    <w:pPr>
      <w:spacing w:before="120" w:after="120" w:line="276" w:lineRule="auto"/>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Colonnesdetableau4">
    <w:name w:val="Table Columns 4"/>
    <w:basedOn w:val="TableauNormal"/>
    <w:uiPriority w:val="99"/>
    <w:semiHidden/>
    <w:unhideWhenUsed/>
    <w:rsid w:val="00BB49EE"/>
    <w:pPr>
      <w:spacing w:before="120" w:after="120" w:line="276" w:lineRule="auto"/>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Colonnesdetableau5">
    <w:name w:val="Table Columns 5"/>
    <w:basedOn w:val="TableauNormal"/>
    <w:uiPriority w:val="99"/>
    <w:semiHidden/>
    <w:unhideWhenUsed/>
    <w:rsid w:val="00BB49EE"/>
    <w:pPr>
      <w:spacing w:before="120" w:after="120" w:line="276" w:lineRule="auto"/>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aucontemporain">
    <w:name w:val="Table Contemporary"/>
    <w:basedOn w:val="TableauNormal"/>
    <w:uiPriority w:val="99"/>
    <w:semiHidden/>
    <w:unhideWhenUsed/>
    <w:rsid w:val="00BB49EE"/>
    <w:pPr>
      <w:spacing w:before="120" w:after="120" w:line="276" w:lineRule="auto"/>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aulgant">
    <w:name w:val="Table Elegant"/>
    <w:basedOn w:val="TableauNormal"/>
    <w:uiPriority w:val="99"/>
    <w:semiHidden/>
    <w:unhideWhenUsed/>
    <w:rsid w:val="00BB49EE"/>
    <w:pPr>
      <w:spacing w:before="120" w:after="120" w:line="276" w:lineRule="auto"/>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Grilledetableau1">
    <w:name w:val="Table Grid 1"/>
    <w:basedOn w:val="TableauNormal"/>
    <w:uiPriority w:val="99"/>
    <w:semiHidden/>
    <w:unhideWhenUsed/>
    <w:rsid w:val="00BB49EE"/>
    <w:pPr>
      <w:spacing w:before="120" w:after="120" w:line="276" w:lineRule="auto"/>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Grilledetableau2">
    <w:name w:val="Table Grid 2"/>
    <w:basedOn w:val="TableauNormal"/>
    <w:uiPriority w:val="99"/>
    <w:semiHidden/>
    <w:unhideWhenUsed/>
    <w:rsid w:val="00BB49EE"/>
    <w:pPr>
      <w:spacing w:before="120" w:after="120" w:line="276" w:lineRule="auto"/>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Grilledetableau3">
    <w:name w:val="Table Grid 3"/>
    <w:basedOn w:val="TableauNormal"/>
    <w:uiPriority w:val="99"/>
    <w:semiHidden/>
    <w:unhideWhenUsed/>
    <w:rsid w:val="00BB49EE"/>
    <w:pPr>
      <w:spacing w:before="120" w:after="120" w:line="276" w:lineRule="auto"/>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Grilledetableau4">
    <w:name w:val="Table Grid 4"/>
    <w:basedOn w:val="TableauNormal"/>
    <w:uiPriority w:val="99"/>
    <w:semiHidden/>
    <w:unhideWhenUsed/>
    <w:rsid w:val="00BB49EE"/>
    <w:pPr>
      <w:spacing w:before="120" w:after="120" w:line="276" w:lineRule="auto"/>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Grilledetableau5">
    <w:name w:val="Table Grid 5"/>
    <w:basedOn w:val="TableauNormal"/>
    <w:uiPriority w:val="99"/>
    <w:semiHidden/>
    <w:unhideWhenUsed/>
    <w:rsid w:val="00BB49EE"/>
    <w:pPr>
      <w:spacing w:before="120" w:after="120" w:line="276" w:lineRule="auto"/>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Grilledetableau6">
    <w:name w:val="Table Grid 6"/>
    <w:basedOn w:val="TableauNormal"/>
    <w:uiPriority w:val="99"/>
    <w:semiHidden/>
    <w:unhideWhenUsed/>
    <w:rsid w:val="00BB49EE"/>
    <w:pPr>
      <w:spacing w:before="120" w:after="120" w:line="276" w:lineRule="auto"/>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Grilledetableau7">
    <w:name w:val="Table Grid 7"/>
    <w:basedOn w:val="TableauNormal"/>
    <w:uiPriority w:val="99"/>
    <w:semiHidden/>
    <w:unhideWhenUsed/>
    <w:rsid w:val="00BB49EE"/>
    <w:pPr>
      <w:spacing w:before="120" w:after="120" w:line="276" w:lineRule="auto"/>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Grilledetableau8">
    <w:name w:val="Table Grid 8"/>
    <w:basedOn w:val="TableauNormal"/>
    <w:uiPriority w:val="99"/>
    <w:semiHidden/>
    <w:unhideWhenUsed/>
    <w:rsid w:val="00BB49EE"/>
    <w:pPr>
      <w:spacing w:before="120" w:after="120" w:line="276" w:lineRule="auto"/>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auliste1">
    <w:name w:val="Table List 1"/>
    <w:basedOn w:val="TableauNormal"/>
    <w:uiPriority w:val="99"/>
    <w:semiHidden/>
    <w:unhideWhenUsed/>
    <w:rsid w:val="00BB49EE"/>
    <w:pPr>
      <w:spacing w:before="120" w:after="120" w:line="276" w:lineRule="auto"/>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liste2">
    <w:name w:val="Table List 2"/>
    <w:basedOn w:val="TableauNormal"/>
    <w:uiPriority w:val="99"/>
    <w:semiHidden/>
    <w:unhideWhenUsed/>
    <w:rsid w:val="00BB49EE"/>
    <w:pPr>
      <w:spacing w:before="120" w:after="120" w:line="276" w:lineRule="auto"/>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liste3">
    <w:name w:val="Table List 3"/>
    <w:basedOn w:val="TableauNormal"/>
    <w:uiPriority w:val="99"/>
    <w:semiHidden/>
    <w:unhideWhenUsed/>
    <w:rsid w:val="00BB49EE"/>
    <w:pPr>
      <w:spacing w:before="120" w:after="120" w:line="276" w:lineRule="auto"/>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auliste4">
    <w:name w:val="Table List 4"/>
    <w:basedOn w:val="TableauNormal"/>
    <w:uiPriority w:val="99"/>
    <w:semiHidden/>
    <w:unhideWhenUsed/>
    <w:rsid w:val="00BB49EE"/>
    <w:pPr>
      <w:spacing w:before="120" w:after="120" w:line="276" w:lineRule="auto"/>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auliste5">
    <w:name w:val="Table List 5"/>
    <w:basedOn w:val="TableauNormal"/>
    <w:uiPriority w:val="99"/>
    <w:semiHidden/>
    <w:unhideWhenUsed/>
    <w:rsid w:val="00BB49EE"/>
    <w:pPr>
      <w:spacing w:before="120" w:after="120" w:line="276" w:lineRule="auto"/>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auliste6">
    <w:name w:val="Table List 6"/>
    <w:basedOn w:val="TableauNormal"/>
    <w:uiPriority w:val="99"/>
    <w:semiHidden/>
    <w:unhideWhenUsed/>
    <w:rsid w:val="00BB49EE"/>
    <w:pPr>
      <w:spacing w:before="120" w:after="120" w:line="276" w:lineRule="auto"/>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auliste7">
    <w:name w:val="Table List 7"/>
    <w:basedOn w:val="TableauNormal"/>
    <w:uiPriority w:val="99"/>
    <w:semiHidden/>
    <w:unhideWhenUsed/>
    <w:rsid w:val="00BB49EE"/>
    <w:pPr>
      <w:spacing w:before="120" w:after="120" w:line="276" w:lineRule="auto"/>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auliste8">
    <w:name w:val="Table List 8"/>
    <w:basedOn w:val="TableauNormal"/>
    <w:uiPriority w:val="99"/>
    <w:semiHidden/>
    <w:unhideWhenUsed/>
    <w:rsid w:val="00BB49EE"/>
    <w:pPr>
      <w:spacing w:before="120" w:after="120" w:line="276" w:lineRule="auto"/>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auprofessionnel">
    <w:name w:val="Table Professional"/>
    <w:basedOn w:val="TableauNormal"/>
    <w:uiPriority w:val="99"/>
    <w:semiHidden/>
    <w:unhideWhenUsed/>
    <w:rsid w:val="00BB49EE"/>
    <w:pPr>
      <w:spacing w:before="120" w:after="120" w:line="276" w:lineRule="auto"/>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ausimple2">
    <w:name w:val="Table Simple 2"/>
    <w:basedOn w:val="TableauNormal"/>
    <w:uiPriority w:val="99"/>
    <w:semiHidden/>
    <w:unhideWhenUsed/>
    <w:rsid w:val="00BB49EE"/>
    <w:pPr>
      <w:spacing w:before="120" w:after="120" w:line="276" w:lineRule="auto"/>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ausimple3">
    <w:name w:val="Table Simple 3"/>
    <w:basedOn w:val="TableauNormal"/>
    <w:uiPriority w:val="99"/>
    <w:semiHidden/>
    <w:unhideWhenUsed/>
    <w:rsid w:val="00BB49EE"/>
    <w:pPr>
      <w:spacing w:before="120" w:after="120" w:line="276" w:lineRule="auto"/>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auple1">
    <w:name w:val="Table Subtle 1"/>
    <w:basedOn w:val="TableauNormal"/>
    <w:uiPriority w:val="99"/>
    <w:semiHidden/>
    <w:unhideWhenUsed/>
    <w:rsid w:val="00BB49EE"/>
    <w:pPr>
      <w:spacing w:before="120" w:after="120" w:line="276" w:lineRule="auto"/>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ple2">
    <w:name w:val="Table Subtle 2"/>
    <w:basedOn w:val="TableauNormal"/>
    <w:uiPriority w:val="99"/>
    <w:semiHidden/>
    <w:unhideWhenUsed/>
    <w:rsid w:val="00BB49EE"/>
    <w:pPr>
      <w:spacing w:before="120" w:after="120" w:line="276" w:lineRule="auto"/>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web1">
    <w:name w:val="Table Web 1"/>
    <w:basedOn w:val="TableauNormal"/>
    <w:uiPriority w:val="99"/>
    <w:semiHidden/>
    <w:unhideWhenUsed/>
    <w:rsid w:val="00BB49EE"/>
    <w:pPr>
      <w:spacing w:before="120" w:after="120" w:line="276" w:lineRule="auto"/>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auweb2">
    <w:name w:val="Table Web 2"/>
    <w:basedOn w:val="TableauNormal"/>
    <w:uiPriority w:val="99"/>
    <w:semiHidden/>
    <w:unhideWhenUsed/>
    <w:rsid w:val="00BB49EE"/>
    <w:pPr>
      <w:spacing w:before="120" w:after="120" w:line="276" w:lineRule="auto"/>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auweb3">
    <w:name w:val="Table Web 3"/>
    <w:basedOn w:val="TableauNormal"/>
    <w:uiPriority w:val="99"/>
    <w:semiHidden/>
    <w:unhideWhenUsed/>
    <w:rsid w:val="00BB49EE"/>
    <w:pPr>
      <w:spacing w:before="120" w:after="120" w:line="276" w:lineRule="auto"/>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rameclaire-Accent1">
    <w:name w:val="Light Shading Accent 1"/>
    <w:basedOn w:val="TableauNormal"/>
    <w:uiPriority w:val="60"/>
    <w:semiHidden/>
    <w:unhideWhenUsed/>
    <w:rsid w:val="00BB49EE"/>
    <w:pPr>
      <w:spacing w:after="0" w:line="240" w:lineRule="auto"/>
    </w:pPr>
    <w:rPr>
      <w:color w:val="2F5496" w:themeColor="accent1" w:themeShade="BF"/>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styleId="Listeclaire-Accent1">
    <w:name w:val="Light List Accent 1"/>
    <w:basedOn w:val="TableauNormal"/>
    <w:uiPriority w:val="61"/>
    <w:semiHidden/>
    <w:unhideWhenUsed/>
    <w:rsid w:val="00BB49EE"/>
    <w:pPr>
      <w:spacing w:after="0" w:line="240" w:lineRule="auto"/>
    </w:p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pPr>
        <w:spacing w:before="0" w:after="0" w:line="240" w:lineRule="auto"/>
      </w:pPr>
      <w:rPr>
        <w:b/>
        <w:bCs/>
        <w:color w:val="FFFFFF" w:themeColor="background1"/>
      </w:rPr>
      <w:tblPr/>
      <w:tcPr>
        <w:shd w:val="clear" w:color="auto" w:fill="4472C4" w:themeFill="accent1"/>
      </w:tcPr>
    </w:tblStylePr>
    <w:tblStylePr w:type="lastRow">
      <w:pPr>
        <w:spacing w:before="0" w:after="0" w:line="240" w:lineRule="auto"/>
      </w:pPr>
      <w:rPr>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tcBorders>
      </w:tcPr>
    </w:tblStylePr>
    <w:tblStylePr w:type="firstCol">
      <w:rPr>
        <w:b/>
        <w:bCs/>
      </w:rPr>
    </w:tblStylePr>
    <w:tblStylePr w:type="lastCol">
      <w:rPr>
        <w:b/>
        <w:bCs/>
      </w:r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style>
  <w:style w:type="table" w:styleId="TableauListe5Fonc">
    <w:name w:val="List Table 5 Dark"/>
    <w:basedOn w:val="TableauNormal"/>
    <w:uiPriority w:val="50"/>
    <w:rsid w:val="00BB49EE"/>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leauListe2-Accentuation4">
    <w:name w:val="List Table 2 Accent 4"/>
    <w:basedOn w:val="TableauNormal"/>
    <w:uiPriority w:val="47"/>
    <w:rsid w:val="00BB49EE"/>
    <w:pPr>
      <w:spacing w:after="0" w:line="240" w:lineRule="auto"/>
    </w:pPr>
    <w:tblPr>
      <w:tblStyleRowBandSize w:val="1"/>
      <w:tblStyleColBandSize w:val="1"/>
      <w:tblBorders>
        <w:top w:val="single" w:sz="4" w:space="0" w:color="FFD966" w:themeColor="accent4" w:themeTint="99"/>
        <w:bottom w:val="single" w:sz="4" w:space="0" w:color="FFD966" w:themeColor="accent4" w:themeTint="99"/>
        <w:insideH w:val="single" w:sz="4" w:space="0" w:color="FFD966"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Tableausimple20">
    <w:name w:val="Plain Table 2"/>
    <w:basedOn w:val="TableauNormal"/>
    <w:uiPriority w:val="42"/>
    <w:rsid w:val="00BB49EE"/>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TableauInexia2">
    <w:name w:val="Tableau Inexia2"/>
    <w:basedOn w:val="TableauNormal"/>
    <w:next w:val="Grilledutableau"/>
    <w:uiPriority w:val="39"/>
    <w:qFormat/>
    <w:rsid w:val="007C4007"/>
    <w:pPr>
      <w:spacing w:after="0" w:line="240" w:lineRule="auto"/>
      <w:jc w:val="both"/>
    </w:pPr>
    <w:rPr>
      <w:rFonts w:eastAsia="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aux">
    <w:name w:val="Tableaux"/>
    <w:basedOn w:val="Normal"/>
    <w:link w:val="TableauxCar"/>
    <w:qFormat/>
    <w:rsid w:val="005D1DA6"/>
    <w:pPr>
      <w:jc w:val="center"/>
    </w:pPr>
    <w:rPr>
      <w:rFonts w:eastAsia="Calibri"/>
      <w:b/>
      <w:bCs/>
      <w:sz w:val="18"/>
      <w:szCs w:val="18"/>
      <w:lang w:val="fr-MA" w:eastAsia="fr-FR" w:bidi="ar-SA"/>
    </w:rPr>
  </w:style>
  <w:style w:type="table" w:customStyle="1" w:styleId="TableauListe3-Accentuation12">
    <w:name w:val="Tableau Liste 3 - Accentuation 12"/>
    <w:basedOn w:val="TableauNormal"/>
    <w:next w:val="TableauListe3-Accentuation1"/>
    <w:uiPriority w:val="48"/>
    <w:rsid w:val="004B7F95"/>
    <w:pPr>
      <w:spacing w:after="0" w:line="240" w:lineRule="auto"/>
      <w:jc w:val="both"/>
    </w:pPr>
    <w:rPr>
      <w:rFonts w:eastAsia="Calibri"/>
      <w:sz w:val="20"/>
      <w:szCs w:val="20"/>
    </w:rPr>
    <w:tblPr>
      <w:tblStyleRowBandSize w:val="1"/>
      <w:tblStyleColBandSize w:val="1"/>
      <w:tblBorders>
        <w:top w:val="single" w:sz="4" w:space="0" w:color="4A66AC"/>
        <w:left w:val="single" w:sz="4" w:space="0" w:color="4A66AC"/>
        <w:bottom w:val="single" w:sz="4" w:space="0" w:color="4A66AC"/>
        <w:right w:val="single" w:sz="4" w:space="0" w:color="4A66AC"/>
      </w:tblBorders>
    </w:tblPr>
    <w:tblStylePr w:type="firstRow">
      <w:rPr>
        <w:b/>
        <w:bCs/>
        <w:color w:val="FFFFFF"/>
      </w:rPr>
      <w:tblPr/>
      <w:tcPr>
        <w:shd w:val="clear" w:color="auto" w:fill="4A66AC"/>
      </w:tcPr>
    </w:tblStylePr>
    <w:tblStylePr w:type="lastRow">
      <w:rPr>
        <w:b/>
        <w:bCs/>
      </w:rPr>
      <w:tblPr/>
      <w:tcPr>
        <w:tcBorders>
          <w:top w:val="double" w:sz="4" w:space="0" w:color="4A66AC"/>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4A66AC"/>
          <w:right w:val="single" w:sz="4" w:space="0" w:color="4A66AC"/>
        </w:tcBorders>
      </w:tcPr>
    </w:tblStylePr>
    <w:tblStylePr w:type="band1Horz">
      <w:tblPr/>
      <w:tcPr>
        <w:tcBorders>
          <w:top w:val="single" w:sz="4" w:space="0" w:color="4A66AC"/>
          <w:bottom w:val="single" w:sz="4" w:space="0" w:color="4A66AC"/>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A66AC"/>
          <w:left w:val="nil"/>
        </w:tcBorders>
      </w:tcPr>
    </w:tblStylePr>
    <w:tblStylePr w:type="swCell">
      <w:tblPr/>
      <w:tcPr>
        <w:tcBorders>
          <w:top w:val="double" w:sz="4" w:space="0" w:color="4A66AC"/>
          <w:right w:val="nil"/>
        </w:tcBorders>
      </w:tcPr>
    </w:tblStylePr>
  </w:style>
  <w:style w:type="character" w:customStyle="1" w:styleId="TableauxCar">
    <w:name w:val="Tableaux Car"/>
    <w:basedOn w:val="Policepardfaut"/>
    <w:link w:val="Tableaux"/>
    <w:rsid w:val="005D1DA6"/>
    <w:rPr>
      <w:rFonts w:ascii="Calibri" w:eastAsia="Calibri" w:hAnsi="Calibri" w:cs="Arial"/>
      <w:b/>
      <w:bCs/>
      <w:sz w:val="18"/>
      <w:szCs w:val="18"/>
      <w:lang w:eastAsia="fr-FR"/>
    </w:rPr>
  </w:style>
  <w:style w:type="table" w:customStyle="1" w:styleId="TableauInexia3">
    <w:name w:val="Tableau Inexia3"/>
    <w:basedOn w:val="TableauNormal"/>
    <w:next w:val="Grilledutableau"/>
    <w:uiPriority w:val="39"/>
    <w:qFormat/>
    <w:rsid w:val="00A26568"/>
    <w:pPr>
      <w:spacing w:after="0" w:line="240" w:lineRule="auto"/>
      <w:jc w:val="both"/>
    </w:pPr>
    <w:rPr>
      <w:rFonts w:eastAsia="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auGrille6Couleur-Accentuation12">
    <w:name w:val="Tableau Grille 6 Couleur - Accentuation 12"/>
    <w:basedOn w:val="TableauNormal"/>
    <w:next w:val="TableauGrille6Couleur-Accentuation1"/>
    <w:uiPriority w:val="51"/>
    <w:rsid w:val="00A26568"/>
    <w:pPr>
      <w:spacing w:after="0" w:line="240" w:lineRule="auto"/>
      <w:jc w:val="both"/>
    </w:pPr>
    <w:rPr>
      <w:rFonts w:eastAsia="Calibri"/>
      <w:color w:val="374C80"/>
      <w:sz w:val="20"/>
      <w:szCs w:val="20"/>
    </w:rPr>
    <w:tblPr>
      <w:tblStyleRowBandSize w:val="1"/>
      <w:tblStyleColBandSize w:val="1"/>
      <w:tblBorders>
        <w:top w:val="single" w:sz="4" w:space="0" w:color="90A1CF"/>
        <w:left w:val="single" w:sz="4" w:space="0" w:color="90A1CF"/>
        <w:bottom w:val="single" w:sz="4" w:space="0" w:color="90A1CF"/>
        <w:right w:val="single" w:sz="4" w:space="0" w:color="90A1CF"/>
        <w:insideH w:val="single" w:sz="4" w:space="0" w:color="90A1CF"/>
        <w:insideV w:val="single" w:sz="4" w:space="0" w:color="90A1CF"/>
      </w:tblBorders>
    </w:tblPr>
    <w:tblStylePr w:type="firstRow">
      <w:rPr>
        <w:b/>
        <w:bCs/>
      </w:rPr>
      <w:tblPr/>
      <w:tcPr>
        <w:tcBorders>
          <w:bottom w:val="single" w:sz="12" w:space="0" w:color="90A1CF"/>
        </w:tcBorders>
      </w:tcPr>
    </w:tblStylePr>
    <w:tblStylePr w:type="lastRow">
      <w:rPr>
        <w:b/>
        <w:bCs/>
      </w:rPr>
      <w:tblPr/>
      <w:tcPr>
        <w:tcBorders>
          <w:top w:val="double" w:sz="4" w:space="0" w:color="90A1CF"/>
        </w:tcBorders>
      </w:tcPr>
    </w:tblStylePr>
    <w:tblStylePr w:type="firstCol">
      <w:rPr>
        <w:b/>
        <w:bCs/>
      </w:rPr>
    </w:tblStylePr>
    <w:tblStylePr w:type="lastCol">
      <w:rPr>
        <w:b/>
        <w:bCs/>
      </w:rPr>
    </w:tblStylePr>
    <w:tblStylePr w:type="band1Vert">
      <w:tblPr/>
      <w:tcPr>
        <w:shd w:val="clear" w:color="auto" w:fill="D9DFEF"/>
      </w:tcPr>
    </w:tblStylePr>
    <w:tblStylePr w:type="band1Horz">
      <w:tblPr/>
      <w:tcPr>
        <w:shd w:val="clear" w:color="auto" w:fill="D9DFEF"/>
      </w:tcPr>
    </w:tblStylePr>
  </w:style>
  <w:style w:type="table" w:customStyle="1" w:styleId="TableauInexia6">
    <w:name w:val="Tableau Inexia6"/>
    <w:basedOn w:val="TableauNormal"/>
    <w:next w:val="Grilledutableau"/>
    <w:uiPriority w:val="39"/>
    <w:qFormat/>
    <w:rsid w:val="00966FA7"/>
    <w:pPr>
      <w:spacing w:after="0" w:line="240" w:lineRule="auto"/>
      <w:jc w:val="both"/>
    </w:pPr>
    <w:rPr>
      <w:rFonts w:eastAsia="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auListe1Clair-Accentuation112">
    <w:name w:val="Tableau Liste 1 Clair - Accentuation 112"/>
    <w:basedOn w:val="TableauNormal"/>
    <w:uiPriority w:val="46"/>
    <w:rsid w:val="00A64ACB"/>
    <w:pPr>
      <w:spacing w:after="0" w:line="240" w:lineRule="auto"/>
    </w:pPr>
    <w:rPr>
      <w:rFonts w:ascii="Calibri" w:eastAsia="Times New Roman" w:hAnsi="Calibri" w:cs="Arial"/>
      <w:sz w:val="20"/>
      <w:szCs w:val="20"/>
      <w:lang w:val="fr-FR" w:eastAsia="fr-FR"/>
    </w:rPr>
    <w:tblPr>
      <w:tblStyleRowBandSize w:val="1"/>
      <w:tblStyleColBandSize w:val="1"/>
    </w:tblPr>
    <w:tblStylePr w:type="firstRow">
      <w:rPr>
        <w:b/>
        <w:bCs/>
      </w:rPr>
      <w:tblPr/>
      <w:tcPr>
        <w:tcBorders>
          <w:bottom w:val="single" w:sz="4" w:space="0" w:color="90A1CF"/>
        </w:tcBorders>
      </w:tcPr>
    </w:tblStylePr>
    <w:tblStylePr w:type="lastRow">
      <w:rPr>
        <w:b/>
        <w:bCs/>
      </w:rPr>
      <w:tblPr/>
      <w:tcPr>
        <w:tcBorders>
          <w:top w:val="single" w:sz="4" w:space="0" w:color="90A1CF"/>
        </w:tcBorders>
      </w:tcPr>
    </w:tblStylePr>
    <w:tblStylePr w:type="firstCol">
      <w:rPr>
        <w:b/>
        <w:bCs/>
      </w:rPr>
    </w:tblStylePr>
    <w:tblStylePr w:type="lastCol">
      <w:rPr>
        <w:b/>
        <w:bCs/>
      </w:rPr>
    </w:tblStylePr>
    <w:tblStylePr w:type="band1Vert">
      <w:tblPr/>
      <w:tcPr>
        <w:shd w:val="clear" w:color="auto" w:fill="D9DFEF"/>
      </w:tcPr>
    </w:tblStylePr>
    <w:tblStylePr w:type="band1Horz">
      <w:tblPr/>
      <w:tcPr>
        <w:shd w:val="clear" w:color="auto" w:fill="D9DFEF"/>
      </w:tcPr>
    </w:tblStylePr>
  </w:style>
  <w:style w:type="table" w:customStyle="1" w:styleId="Tableausimple221">
    <w:name w:val="Tableau simple 221"/>
    <w:basedOn w:val="TableauNormal"/>
    <w:uiPriority w:val="42"/>
    <w:rsid w:val="00A64ACB"/>
    <w:pPr>
      <w:spacing w:after="0" w:line="240" w:lineRule="auto"/>
    </w:pPr>
    <w:rPr>
      <w:sz w:val="20"/>
      <w:szCs w:val="20"/>
      <w:lang w:val="en-US"/>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Tableausimple24">
    <w:name w:val="Tableau simple 24"/>
    <w:basedOn w:val="TableauNormal"/>
    <w:next w:val="Tableausimple20"/>
    <w:uiPriority w:val="42"/>
    <w:rsid w:val="00A64ACB"/>
    <w:pPr>
      <w:spacing w:after="0" w:line="240" w:lineRule="auto"/>
      <w:jc w:val="both"/>
    </w:pPr>
    <w:rPr>
      <w:rFonts w:eastAsia="Calibri"/>
      <w:sz w:val="20"/>
      <w:szCs w:val="20"/>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TableauListe1Clair-Accentuation113">
    <w:name w:val="Tableau Liste 1 Clair - Accentuation 113"/>
    <w:basedOn w:val="TableauNormal"/>
    <w:uiPriority w:val="46"/>
    <w:rsid w:val="006C3160"/>
    <w:pPr>
      <w:spacing w:after="0" w:line="240" w:lineRule="auto"/>
    </w:pPr>
    <w:rPr>
      <w:rFonts w:ascii="Calibri" w:eastAsia="Times New Roman" w:hAnsi="Calibri" w:cs="Arial"/>
      <w:sz w:val="20"/>
      <w:szCs w:val="20"/>
      <w:lang w:val="fr-FR" w:eastAsia="fr-FR"/>
    </w:rPr>
    <w:tblPr>
      <w:tblStyleRowBandSize w:val="1"/>
      <w:tblStyleColBandSize w:val="1"/>
    </w:tblPr>
    <w:tblStylePr w:type="firstRow">
      <w:rPr>
        <w:b/>
        <w:bCs/>
      </w:rPr>
      <w:tblPr/>
      <w:tcPr>
        <w:tcBorders>
          <w:bottom w:val="single" w:sz="4" w:space="0" w:color="90A1CF"/>
        </w:tcBorders>
      </w:tcPr>
    </w:tblStylePr>
    <w:tblStylePr w:type="lastRow">
      <w:rPr>
        <w:b/>
        <w:bCs/>
      </w:rPr>
      <w:tblPr/>
      <w:tcPr>
        <w:tcBorders>
          <w:top w:val="single" w:sz="4" w:space="0" w:color="90A1CF"/>
        </w:tcBorders>
      </w:tcPr>
    </w:tblStylePr>
    <w:tblStylePr w:type="firstCol">
      <w:rPr>
        <w:b/>
        <w:bCs/>
      </w:rPr>
    </w:tblStylePr>
    <w:tblStylePr w:type="lastCol">
      <w:rPr>
        <w:b/>
        <w:bCs/>
      </w:rPr>
    </w:tblStylePr>
    <w:tblStylePr w:type="band1Vert">
      <w:tblPr/>
      <w:tcPr>
        <w:shd w:val="clear" w:color="auto" w:fill="D9DFEF"/>
      </w:tcPr>
    </w:tblStylePr>
    <w:tblStylePr w:type="band1Horz">
      <w:tblPr/>
      <w:tcPr>
        <w:shd w:val="clear" w:color="auto" w:fill="D9DFEF"/>
      </w:tcPr>
    </w:tblStylePr>
  </w:style>
  <w:style w:type="table" w:customStyle="1" w:styleId="TableauListe2-Accentuation42">
    <w:name w:val="Tableau Liste 2 - Accentuation 42"/>
    <w:basedOn w:val="TableauNormal"/>
    <w:next w:val="TableauListe2-Accentuation4"/>
    <w:uiPriority w:val="47"/>
    <w:rsid w:val="0080603C"/>
    <w:pPr>
      <w:spacing w:after="0" w:line="240" w:lineRule="auto"/>
      <w:jc w:val="both"/>
    </w:pPr>
    <w:rPr>
      <w:rFonts w:eastAsia="Calibri"/>
      <w:sz w:val="20"/>
      <w:szCs w:val="20"/>
    </w:rPr>
    <w:tblPr>
      <w:tblStyleRowBandSize w:val="1"/>
      <w:tblStyleColBandSize w:val="1"/>
      <w:tblBorders>
        <w:top w:val="single" w:sz="4" w:space="0" w:color="B2BBCB"/>
        <w:bottom w:val="single" w:sz="4" w:space="0" w:color="B2BBCB"/>
        <w:insideH w:val="single" w:sz="4" w:space="0" w:color="B2BBCB"/>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5E8ED"/>
      </w:tcPr>
    </w:tblStylePr>
    <w:tblStylePr w:type="band1Horz">
      <w:tblPr/>
      <w:tcPr>
        <w:shd w:val="clear" w:color="auto" w:fill="E5E8ED"/>
      </w:tcPr>
    </w:tblStylePr>
  </w:style>
  <w:style w:type="table" w:customStyle="1" w:styleId="TableauInexia7">
    <w:name w:val="Tableau Inexia7"/>
    <w:basedOn w:val="TableauNormal"/>
    <w:next w:val="Grilledutableau"/>
    <w:uiPriority w:val="39"/>
    <w:qFormat/>
    <w:rsid w:val="00132352"/>
    <w:pPr>
      <w:spacing w:after="0" w:line="240" w:lineRule="auto"/>
      <w:jc w:val="both"/>
    </w:pPr>
    <w:rPr>
      <w:rFonts w:eastAsia="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abledesillustrations">
    <w:name w:val="table of figures"/>
    <w:basedOn w:val="Normal"/>
    <w:next w:val="Normal"/>
    <w:uiPriority w:val="99"/>
    <w:unhideWhenUsed/>
    <w:rsid w:val="00203FB8"/>
    <w:pPr>
      <w:spacing w:after="0"/>
    </w:pPr>
  </w:style>
  <w:style w:type="paragraph" w:customStyle="1" w:styleId="FirstParagraph">
    <w:name w:val="First Paragraph"/>
    <w:basedOn w:val="Corpsdetexte"/>
    <w:next w:val="Corpsdetexte"/>
    <w:qFormat/>
    <w:rsid w:val="00273CFA"/>
    <w:pPr>
      <w:spacing w:before="180" w:after="180" w:line="240" w:lineRule="auto"/>
    </w:pPr>
    <w:rPr>
      <w:rFonts w:asciiTheme="minorHAnsi" w:eastAsiaTheme="minorHAnsi" w:hAnsiTheme="minorHAnsi" w:cstheme="minorBidi"/>
      <w:sz w:val="24"/>
      <w:lang w:val="en-US" w:eastAsia="en-US"/>
    </w:rPr>
  </w:style>
  <w:style w:type="paragraph" w:customStyle="1" w:styleId="Compact">
    <w:name w:val="Compact"/>
    <w:basedOn w:val="Corpsdetexte"/>
    <w:qFormat/>
    <w:rsid w:val="003F5C77"/>
    <w:pPr>
      <w:spacing w:before="36" w:after="36" w:line="240" w:lineRule="auto"/>
    </w:pPr>
    <w:rPr>
      <w:rFonts w:asciiTheme="minorHAnsi" w:eastAsiaTheme="minorHAnsi" w:hAnsiTheme="minorHAnsi" w:cstheme="minorBidi"/>
      <w:sz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3375981">
      <w:bodyDiv w:val="1"/>
      <w:marLeft w:val="0"/>
      <w:marRight w:val="0"/>
      <w:marTop w:val="0"/>
      <w:marBottom w:val="0"/>
      <w:divBdr>
        <w:top w:val="none" w:sz="0" w:space="0" w:color="auto"/>
        <w:left w:val="none" w:sz="0" w:space="0" w:color="auto"/>
        <w:bottom w:val="none" w:sz="0" w:space="0" w:color="auto"/>
        <w:right w:val="none" w:sz="0" w:space="0" w:color="auto"/>
      </w:divBdr>
    </w:div>
    <w:div w:id="95836649">
      <w:bodyDiv w:val="1"/>
      <w:marLeft w:val="0"/>
      <w:marRight w:val="0"/>
      <w:marTop w:val="0"/>
      <w:marBottom w:val="0"/>
      <w:divBdr>
        <w:top w:val="none" w:sz="0" w:space="0" w:color="auto"/>
        <w:left w:val="none" w:sz="0" w:space="0" w:color="auto"/>
        <w:bottom w:val="none" w:sz="0" w:space="0" w:color="auto"/>
        <w:right w:val="none" w:sz="0" w:space="0" w:color="auto"/>
      </w:divBdr>
    </w:div>
    <w:div w:id="108479132">
      <w:bodyDiv w:val="1"/>
      <w:marLeft w:val="0"/>
      <w:marRight w:val="0"/>
      <w:marTop w:val="0"/>
      <w:marBottom w:val="0"/>
      <w:divBdr>
        <w:top w:val="none" w:sz="0" w:space="0" w:color="auto"/>
        <w:left w:val="none" w:sz="0" w:space="0" w:color="auto"/>
        <w:bottom w:val="none" w:sz="0" w:space="0" w:color="auto"/>
        <w:right w:val="none" w:sz="0" w:space="0" w:color="auto"/>
      </w:divBdr>
    </w:div>
    <w:div w:id="134180900">
      <w:bodyDiv w:val="1"/>
      <w:marLeft w:val="0"/>
      <w:marRight w:val="0"/>
      <w:marTop w:val="0"/>
      <w:marBottom w:val="0"/>
      <w:divBdr>
        <w:top w:val="none" w:sz="0" w:space="0" w:color="auto"/>
        <w:left w:val="none" w:sz="0" w:space="0" w:color="auto"/>
        <w:bottom w:val="none" w:sz="0" w:space="0" w:color="auto"/>
        <w:right w:val="none" w:sz="0" w:space="0" w:color="auto"/>
      </w:divBdr>
    </w:div>
    <w:div w:id="141968691">
      <w:bodyDiv w:val="1"/>
      <w:marLeft w:val="0"/>
      <w:marRight w:val="0"/>
      <w:marTop w:val="0"/>
      <w:marBottom w:val="0"/>
      <w:divBdr>
        <w:top w:val="none" w:sz="0" w:space="0" w:color="auto"/>
        <w:left w:val="none" w:sz="0" w:space="0" w:color="auto"/>
        <w:bottom w:val="none" w:sz="0" w:space="0" w:color="auto"/>
        <w:right w:val="none" w:sz="0" w:space="0" w:color="auto"/>
      </w:divBdr>
    </w:div>
    <w:div w:id="154683687">
      <w:bodyDiv w:val="1"/>
      <w:marLeft w:val="0"/>
      <w:marRight w:val="0"/>
      <w:marTop w:val="0"/>
      <w:marBottom w:val="0"/>
      <w:divBdr>
        <w:top w:val="none" w:sz="0" w:space="0" w:color="auto"/>
        <w:left w:val="none" w:sz="0" w:space="0" w:color="auto"/>
        <w:bottom w:val="none" w:sz="0" w:space="0" w:color="auto"/>
        <w:right w:val="none" w:sz="0" w:space="0" w:color="auto"/>
      </w:divBdr>
    </w:div>
    <w:div w:id="165943392">
      <w:bodyDiv w:val="1"/>
      <w:marLeft w:val="0"/>
      <w:marRight w:val="0"/>
      <w:marTop w:val="0"/>
      <w:marBottom w:val="0"/>
      <w:divBdr>
        <w:top w:val="none" w:sz="0" w:space="0" w:color="auto"/>
        <w:left w:val="none" w:sz="0" w:space="0" w:color="auto"/>
        <w:bottom w:val="none" w:sz="0" w:space="0" w:color="auto"/>
        <w:right w:val="none" w:sz="0" w:space="0" w:color="auto"/>
      </w:divBdr>
    </w:div>
    <w:div w:id="175534982">
      <w:bodyDiv w:val="1"/>
      <w:marLeft w:val="0"/>
      <w:marRight w:val="0"/>
      <w:marTop w:val="0"/>
      <w:marBottom w:val="0"/>
      <w:divBdr>
        <w:top w:val="none" w:sz="0" w:space="0" w:color="auto"/>
        <w:left w:val="none" w:sz="0" w:space="0" w:color="auto"/>
        <w:bottom w:val="none" w:sz="0" w:space="0" w:color="auto"/>
        <w:right w:val="none" w:sz="0" w:space="0" w:color="auto"/>
      </w:divBdr>
    </w:div>
    <w:div w:id="198518336">
      <w:bodyDiv w:val="1"/>
      <w:marLeft w:val="0"/>
      <w:marRight w:val="0"/>
      <w:marTop w:val="0"/>
      <w:marBottom w:val="0"/>
      <w:divBdr>
        <w:top w:val="none" w:sz="0" w:space="0" w:color="auto"/>
        <w:left w:val="none" w:sz="0" w:space="0" w:color="auto"/>
        <w:bottom w:val="none" w:sz="0" w:space="0" w:color="auto"/>
        <w:right w:val="none" w:sz="0" w:space="0" w:color="auto"/>
      </w:divBdr>
    </w:div>
    <w:div w:id="239291709">
      <w:bodyDiv w:val="1"/>
      <w:marLeft w:val="0"/>
      <w:marRight w:val="0"/>
      <w:marTop w:val="0"/>
      <w:marBottom w:val="0"/>
      <w:divBdr>
        <w:top w:val="none" w:sz="0" w:space="0" w:color="auto"/>
        <w:left w:val="none" w:sz="0" w:space="0" w:color="auto"/>
        <w:bottom w:val="none" w:sz="0" w:space="0" w:color="auto"/>
        <w:right w:val="none" w:sz="0" w:space="0" w:color="auto"/>
      </w:divBdr>
    </w:div>
    <w:div w:id="290668189">
      <w:bodyDiv w:val="1"/>
      <w:marLeft w:val="0"/>
      <w:marRight w:val="0"/>
      <w:marTop w:val="0"/>
      <w:marBottom w:val="0"/>
      <w:divBdr>
        <w:top w:val="none" w:sz="0" w:space="0" w:color="auto"/>
        <w:left w:val="none" w:sz="0" w:space="0" w:color="auto"/>
        <w:bottom w:val="none" w:sz="0" w:space="0" w:color="auto"/>
        <w:right w:val="none" w:sz="0" w:space="0" w:color="auto"/>
      </w:divBdr>
    </w:div>
    <w:div w:id="318772738">
      <w:bodyDiv w:val="1"/>
      <w:marLeft w:val="0"/>
      <w:marRight w:val="0"/>
      <w:marTop w:val="0"/>
      <w:marBottom w:val="0"/>
      <w:divBdr>
        <w:top w:val="none" w:sz="0" w:space="0" w:color="auto"/>
        <w:left w:val="none" w:sz="0" w:space="0" w:color="auto"/>
        <w:bottom w:val="none" w:sz="0" w:space="0" w:color="auto"/>
        <w:right w:val="none" w:sz="0" w:space="0" w:color="auto"/>
      </w:divBdr>
    </w:div>
    <w:div w:id="322393155">
      <w:bodyDiv w:val="1"/>
      <w:marLeft w:val="0"/>
      <w:marRight w:val="0"/>
      <w:marTop w:val="0"/>
      <w:marBottom w:val="0"/>
      <w:divBdr>
        <w:top w:val="none" w:sz="0" w:space="0" w:color="auto"/>
        <w:left w:val="none" w:sz="0" w:space="0" w:color="auto"/>
        <w:bottom w:val="none" w:sz="0" w:space="0" w:color="auto"/>
        <w:right w:val="none" w:sz="0" w:space="0" w:color="auto"/>
      </w:divBdr>
    </w:div>
    <w:div w:id="397171837">
      <w:bodyDiv w:val="1"/>
      <w:marLeft w:val="0"/>
      <w:marRight w:val="0"/>
      <w:marTop w:val="0"/>
      <w:marBottom w:val="0"/>
      <w:divBdr>
        <w:top w:val="none" w:sz="0" w:space="0" w:color="auto"/>
        <w:left w:val="none" w:sz="0" w:space="0" w:color="auto"/>
        <w:bottom w:val="none" w:sz="0" w:space="0" w:color="auto"/>
        <w:right w:val="none" w:sz="0" w:space="0" w:color="auto"/>
      </w:divBdr>
    </w:div>
    <w:div w:id="405612578">
      <w:bodyDiv w:val="1"/>
      <w:marLeft w:val="0"/>
      <w:marRight w:val="0"/>
      <w:marTop w:val="0"/>
      <w:marBottom w:val="0"/>
      <w:divBdr>
        <w:top w:val="none" w:sz="0" w:space="0" w:color="auto"/>
        <w:left w:val="none" w:sz="0" w:space="0" w:color="auto"/>
        <w:bottom w:val="none" w:sz="0" w:space="0" w:color="auto"/>
        <w:right w:val="none" w:sz="0" w:space="0" w:color="auto"/>
      </w:divBdr>
    </w:div>
    <w:div w:id="416757742">
      <w:bodyDiv w:val="1"/>
      <w:marLeft w:val="0"/>
      <w:marRight w:val="0"/>
      <w:marTop w:val="0"/>
      <w:marBottom w:val="0"/>
      <w:divBdr>
        <w:top w:val="none" w:sz="0" w:space="0" w:color="auto"/>
        <w:left w:val="none" w:sz="0" w:space="0" w:color="auto"/>
        <w:bottom w:val="none" w:sz="0" w:space="0" w:color="auto"/>
        <w:right w:val="none" w:sz="0" w:space="0" w:color="auto"/>
      </w:divBdr>
    </w:div>
    <w:div w:id="443430268">
      <w:bodyDiv w:val="1"/>
      <w:marLeft w:val="0"/>
      <w:marRight w:val="0"/>
      <w:marTop w:val="0"/>
      <w:marBottom w:val="0"/>
      <w:divBdr>
        <w:top w:val="none" w:sz="0" w:space="0" w:color="auto"/>
        <w:left w:val="none" w:sz="0" w:space="0" w:color="auto"/>
        <w:bottom w:val="none" w:sz="0" w:space="0" w:color="auto"/>
        <w:right w:val="none" w:sz="0" w:space="0" w:color="auto"/>
      </w:divBdr>
    </w:div>
    <w:div w:id="443890219">
      <w:bodyDiv w:val="1"/>
      <w:marLeft w:val="0"/>
      <w:marRight w:val="0"/>
      <w:marTop w:val="0"/>
      <w:marBottom w:val="0"/>
      <w:divBdr>
        <w:top w:val="none" w:sz="0" w:space="0" w:color="auto"/>
        <w:left w:val="none" w:sz="0" w:space="0" w:color="auto"/>
        <w:bottom w:val="none" w:sz="0" w:space="0" w:color="auto"/>
        <w:right w:val="none" w:sz="0" w:space="0" w:color="auto"/>
      </w:divBdr>
    </w:div>
    <w:div w:id="448087893">
      <w:bodyDiv w:val="1"/>
      <w:marLeft w:val="0"/>
      <w:marRight w:val="0"/>
      <w:marTop w:val="0"/>
      <w:marBottom w:val="0"/>
      <w:divBdr>
        <w:top w:val="none" w:sz="0" w:space="0" w:color="auto"/>
        <w:left w:val="none" w:sz="0" w:space="0" w:color="auto"/>
        <w:bottom w:val="none" w:sz="0" w:space="0" w:color="auto"/>
        <w:right w:val="none" w:sz="0" w:space="0" w:color="auto"/>
      </w:divBdr>
    </w:div>
    <w:div w:id="487941179">
      <w:bodyDiv w:val="1"/>
      <w:marLeft w:val="0"/>
      <w:marRight w:val="0"/>
      <w:marTop w:val="0"/>
      <w:marBottom w:val="0"/>
      <w:divBdr>
        <w:top w:val="none" w:sz="0" w:space="0" w:color="auto"/>
        <w:left w:val="none" w:sz="0" w:space="0" w:color="auto"/>
        <w:bottom w:val="none" w:sz="0" w:space="0" w:color="auto"/>
        <w:right w:val="none" w:sz="0" w:space="0" w:color="auto"/>
      </w:divBdr>
    </w:div>
    <w:div w:id="504975634">
      <w:bodyDiv w:val="1"/>
      <w:marLeft w:val="0"/>
      <w:marRight w:val="0"/>
      <w:marTop w:val="0"/>
      <w:marBottom w:val="0"/>
      <w:divBdr>
        <w:top w:val="none" w:sz="0" w:space="0" w:color="auto"/>
        <w:left w:val="none" w:sz="0" w:space="0" w:color="auto"/>
        <w:bottom w:val="none" w:sz="0" w:space="0" w:color="auto"/>
        <w:right w:val="none" w:sz="0" w:space="0" w:color="auto"/>
      </w:divBdr>
      <w:divsChild>
        <w:div w:id="880095463">
          <w:marLeft w:val="0"/>
          <w:marRight w:val="0"/>
          <w:marTop w:val="0"/>
          <w:marBottom w:val="330"/>
          <w:divBdr>
            <w:top w:val="none" w:sz="0" w:space="0" w:color="auto"/>
            <w:left w:val="none" w:sz="0" w:space="0" w:color="auto"/>
            <w:bottom w:val="none" w:sz="0" w:space="0" w:color="auto"/>
            <w:right w:val="none" w:sz="0" w:space="0" w:color="auto"/>
          </w:divBdr>
        </w:div>
      </w:divsChild>
    </w:div>
    <w:div w:id="509099941">
      <w:bodyDiv w:val="1"/>
      <w:marLeft w:val="0"/>
      <w:marRight w:val="0"/>
      <w:marTop w:val="0"/>
      <w:marBottom w:val="0"/>
      <w:divBdr>
        <w:top w:val="none" w:sz="0" w:space="0" w:color="auto"/>
        <w:left w:val="none" w:sz="0" w:space="0" w:color="auto"/>
        <w:bottom w:val="none" w:sz="0" w:space="0" w:color="auto"/>
        <w:right w:val="none" w:sz="0" w:space="0" w:color="auto"/>
      </w:divBdr>
    </w:div>
    <w:div w:id="526797156">
      <w:bodyDiv w:val="1"/>
      <w:marLeft w:val="0"/>
      <w:marRight w:val="0"/>
      <w:marTop w:val="0"/>
      <w:marBottom w:val="0"/>
      <w:divBdr>
        <w:top w:val="none" w:sz="0" w:space="0" w:color="auto"/>
        <w:left w:val="none" w:sz="0" w:space="0" w:color="auto"/>
        <w:bottom w:val="none" w:sz="0" w:space="0" w:color="auto"/>
        <w:right w:val="none" w:sz="0" w:space="0" w:color="auto"/>
      </w:divBdr>
    </w:div>
    <w:div w:id="560792659">
      <w:bodyDiv w:val="1"/>
      <w:marLeft w:val="0"/>
      <w:marRight w:val="0"/>
      <w:marTop w:val="0"/>
      <w:marBottom w:val="0"/>
      <w:divBdr>
        <w:top w:val="none" w:sz="0" w:space="0" w:color="auto"/>
        <w:left w:val="none" w:sz="0" w:space="0" w:color="auto"/>
        <w:bottom w:val="none" w:sz="0" w:space="0" w:color="auto"/>
        <w:right w:val="none" w:sz="0" w:space="0" w:color="auto"/>
      </w:divBdr>
    </w:div>
    <w:div w:id="608857430">
      <w:bodyDiv w:val="1"/>
      <w:marLeft w:val="0"/>
      <w:marRight w:val="0"/>
      <w:marTop w:val="0"/>
      <w:marBottom w:val="0"/>
      <w:divBdr>
        <w:top w:val="none" w:sz="0" w:space="0" w:color="auto"/>
        <w:left w:val="none" w:sz="0" w:space="0" w:color="auto"/>
        <w:bottom w:val="none" w:sz="0" w:space="0" w:color="auto"/>
        <w:right w:val="none" w:sz="0" w:space="0" w:color="auto"/>
      </w:divBdr>
      <w:divsChild>
        <w:div w:id="1717966964">
          <w:marLeft w:val="0"/>
          <w:marRight w:val="0"/>
          <w:marTop w:val="0"/>
          <w:marBottom w:val="0"/>
          <w:divBdr>
            <w:top w:val="none" w:sz="0" w:space="0" w:color="auto"/>
            <w:left w:val="none" w:sz="0" w:space="0" w:color="auto"/>
            <w:bottom w:val="none" w:sz="0" w:space="0" w:color="auto"/>
            <w:right w:val="none" w:sz="0" w:space="0" w:color="auto"/>
          </w:divBdr>
        </w:div>
      </w:divsChild>
    </w:div>
    <w:div w:id="621113945">
      <w:bodyDiv w:val="1"/>
      <w:marLeft w:val="0"/>
      <w:marRight w:val="0"/>
      <w:marTop w:val="0"/>
      <w:marBottom w:val="0"/>
      <w:divBdr>
        <w:top w:val="none" w:sz="0" w:space="0" w:color="auto"/>
        <w:left w:val="none" w:sz="0" w:space="0" w:color="auto"/>
        <w:bottom w:val="none" w:sz="0" w:space="0" w:color="auto"/>
        <w:right w:val="none" w:sz="0" w:space="0" w:color="auto"/>
      </w:divBdr>
    </w:div>
    <w:div w:id="657460553">
      <w:bodyDiv w:val="1"/>
      <w:marLeft w:val="0"/>
      <w:marRight w:val="0"/>
      <w:marTop w:val="0"/>
      <w:marBottom w:val="0"/>
      <w:divBdr>
        <w:top w:val="none" w:sz="0" w:space="0" w:color="auto"/>
        <w:left w:val="none" w:sz="0" w:space="0" w:color="auto"/>
        <w:bottom w:val="none" w:sz="0" w:space="0" w:color="auto"/>
        <w:right w:val="none" w:sz="0" w:space="0" w:color="auto"/>
      </w:divBdr>
    </w:div>
    <w:div w:id="739907558">
      <w:bodyDiv w:val="1"/>
      <w:marLeft w:val="0"/>
      <w:marRight w:val="0"/>
      <w:marTop w:val="0"/>
      <w:marBottom w:val="0"/>
      <w:divBdr>
        <w:top w:val="none" w:sz="0" w:space="0" w:color="auto"/>
        <w:left w:val="none" w:sz="0" w:space="0" w:color="auto"/>
        <w:bottom w:val="none" w:sz="0" w:space="0" w:color="auto"/>
        <w:right w:val="none" w:sz="0" w:space="0" w:color="auto"/>
      </w:divBdr>
    </w:div>
    <w:div w:id="756290054">
      <w:bodyDiv w:val="1"/>
      <w:marLeft w:val="0"/>
      <w:marRight w:val="0"/>
      <w:marTop w:val="0"/>
      <w:marBottom w:val="0"/>
      <w:divBdr>
        <w:top w:val="none" w:sz="0" w:space="0" w:color="auto"/>
        <w:left w:val="none" w:sz="0" w:space="0" w:color="auto"/>
        <w:bottom w:val="none" w:sz="0" w:space="0" w:color="auto"/>
        <w:right w:val="none" w:sz="0" w:space="0" w:color="auto"/>
      </w:divBdr>
    </w:div>
    <w:div w:id="785153758">
      <w:bodyDiv w:val="1"/>
      <w:marLeft w:val="0"/>
      <w:marRight w:val="0"/>
      <w:marTop w:val="0"/>
      <w:marBottom w:val="0"/>
      <w:divBdr>
        <w:top w:val="none" w:sz="0" w:space="0" w:color="auto"/>
        <w:left w:val="none" w:sz="0" w:space="0" w:color="auto"/>
        <w:bottom w:val="none" w:sz="0" w:space="0" w:color="auto"/>
        <w:right w:val="none" w:sz="0" w:space="0" w:color="auto"/>
      </w:divBdr>
    </w:div>
    <w:div w:id="802425778">
      <w:bodyDiv w:val="1"/>
      <w:marLeft w:val="0"/>
      <w:marRight w:val="0"/>
      <w:marTop w:val="0"/>
      <w:marBottom w:val="0"/>
      <w:divBdr>
        <w:top w:val="none" w:sz="0" w:space="0" w:color="auto"/>
        <w:left w:val="none" w:sz="0" w:space="0" w:color="auto"/>
        <w:bottom w:val="none" w:sz="0" w:space="0" w:color="auto"/>
        <w:right w:val="none" w:sz="0" w:space="0" w:color="auto"/>
      </w:divBdr>
    </w:div>
    <w:div w:id="811559317">
      <w:bodyDiv w:val="1"/>
      <w:marLeft w:val="0"/>
      <w:marRight w:val="0"/>
      <w:marTop w:val="0"/>
      <w:marBottom w:val="0"/>
      <w:divBdr>
        <w:top w:val="none" w:sz="0" w:space="0" w:color="auto"/>
        <w:left w:val="none" w:sz="0" w:space="0" w:color="auto"/>
        <w:bottom w:val="none" w:sz="0" w:space="0" w:color="auto"/>
        <w:right w:val="none" w:sz="0" w:space="0" w:color="auto"/>
      </w:divBdr>
    </w:div>
    <w:div w:id="814100512">
      <w:bodyDiv w:val="1"/>
      <w:marLeft w:val="0"/>
      <w:marRight w:val="0"/>
      <w:marTop w:val="0"/>
      <w:marBottom w:val="0"/>
      <w:divBdr>
        <w:top w:val="none" w:sz="0" w:space="0" w:color="auto"/>
        <w:left w:val="none" w:sz="0" w:space="0" w:color="auto"/>
        <w:bottom w:val="none" w:sz="0" w:space="0" w:color="auto"/>
        <w:right w:val="none" w:sz="0" w:space="0" w:color="auto"/>
      </w:divBdr>
    </w:div>
    <w:div w:id="823663690">
      <w:bodyDiv w:val="1"/>
      <w:marLeft w:val="0"/>
      <w:marRight w:val="0"/>
      <w:marTop w:val="0"/>
      <w:marBottom w:val="0"/>
      <w:divBdr>
        <w:top w:val="none" w:sz="0" w:space="0" w:color="auto"/>
        <w:left w:val="none" w:sz="0" w:space="0" w:color="auto"/>
        <w:bottom w:val="none" w:sz="0" w:space="0" w:color="auto"/>
        <w:right w:val="none" w:sz="0" w:space="0" w:color="auto"/>
      </w:divBdr>
    </w:div>
    <w:div w:id="838617960">
      <w:bodyDiv w:val="1"/>
      <w:marLeft w:val="0"/>
      <w:marRight w:val="0"/>
      <w:marTop w:val="0"/>
      <w:marBottom w:val="0"/>
      <w:divBdr>
        <w:top w:val="none" w:sz="0" w:space="0" w:color="auto"/>
        <w:left w:val="none" w:sz="0" w:space="0" w:color="auto"/>
        <w:bottom w:val="none" w:sz="0" w:space="0" w:color="auto"/>
        <w:right w:val="none" w:sz="0" w:space="0" w:color="auto"/>
      </w:divBdr>
    </w:div>
    <w:div w:id="864244973">
      <w:bodyDiv w:val="1"/>
      <w:marLeft w:val="0"/>
      <w:marRight w:val="0"/>
      <w:marTop w:val="0"/>
      <w:marBottom w:val="0"/>
      <w:divBdr>
        <w:top w:val="none" w:sz="0" w:space="0" w:color="auto"/>
        <w:left w:val="none" w:sz="0" w:space="0" w:color="auto"/>
        <w:bottom w:val="none" w:sz="0" w:space="0" w:color="auto"/>
        <w:right w:val="none" w:sz="0" w:space="0" w:color="auto"/>
      </w:divBdr>
    </w:div>
    <w:div w:id="903486530">
      <w:bodyDiv w:val="1"/>
      <w:marLeft w:val="0"/>
      <w:marRight w:val="0"/>
      <w:marTop w:val="0"/>
      <w:marBottom w:val="0"/>
      <w:divBdr>
        <w:top w:val="none" w:sz="0" w:space="0" w:color="auto"/>
        <w:left w:val="none" w:sz="0" w:space="0" w:color="auto"/>
        <w:bottom w:val="none" w:sz="0" w:space="0" w:color="auto"/>
        <w:right w:val="none" w:sz="0" w:space="0" w:color="auto"/>
      </w:divBdr>
    </w:div>
    <w:div w:id="940064675">
      <w:bodyDiv w:val="1"/>
      <w:marLeft w:val="0"/>
      <w:marRight w:val="0"/>
      <w:marTop w:val="0"/>
      <w:marBottom w:val="0"/>
      <w:divBdr>
        <w:top w:val="none" w:sz="0" w:space="0" w:color="auto"/>
        <w:left w:val="none" w:sz="0" w:space="0" w:color="auto"/>
        <w:bottom w:val="none" w:sz="0" w:space="0" w:color="auto"/>
        <w:right w:val="none" w:sz="0" w:space="0" w:color="auto"/>
      </w:divBdr>
    </w:div>
    <w:div w:id="961347742">
      <w:bodyDiv w:val="1"/>
      <w:marLeft w:val="0"/>
      <w:marRight w:val="0"/>
      <w:marTop w:val="0"/>
      <w:marBottom w:val="0"/>
      <w:divBdr>
        <w:top w:val="none" w:sz="0" w:space="0" w:color="auto"/>
        <w:left w:val="none" w:sz="0" w:space="0" w:color="auto"/>
        <w:bottom w:val="none" w:sz="0" w:space="0" w:color="auto"/>
        <w:right w:val="none" w:sz="0" w:space="0" w:color="auto"/>
      </w:divBdr>
    </w:div>
    <w:div w:id="971637384">
      <w:bodyDiv w:val="1"/>
      <w:marLeft w:val="0"/>
      <w:marRight w:val="0"/>
      <w:marTop w:val="0"/>
      <w:marBottom w:val="0"/>
      <w:divBdr>
        <w:top w:val="none" w:sz="0" w:space="0" w:color="auto"/>
        <w:left w:val="none" w:sz="0" w:space="0" w:color="auto"/>
        <w:bottom w:val="none" w:sz="0" w:space="0" w:color="auto"/>
        <w:right w:val="none" w:sz="0" w:space="0" w:color="auto"/>
      </w:divBdr>
    </w:div>
    <w:div w:id="1020398510">
      <w:bodyDiv w:val="1"/>
      <w:marLeft w:val="0"/>
      <w:marRight w:val="0"/>
      <w:marTop w:val="0"/>
      <w:marBottom w:val="0"/>
      <w:divBdr>
        <w:top w:val="none" w:sz="0" w:space="0" w:color="auto"/>
        <w:left w:val="none" w:sz="0" w:space="0" w:color="auto"/>
        <w:bottom w:val="none" w:sz="0" w:space="0" w:color="auto"/>
        <w:right w:val="none" w:sz="0" w:space="0" w:color="auto"/>
      </w:divBdr>
    </w:div>
    <w:div w:id="1041321539">
      <w:bodyDiv w:val="1"/>
      <w:marLeft w:val="0"/>
      <w:marRight w:val="0"/>
      <w:marTop w:val="0"/>
      <w:marBottom w:val="0"/>
      <w:divBdr>
        <w:top w:val="none" w:sz="0" w:space="0" w:color="auto"/>
        <w:left w:val="none" w:sz="0" w:space="0" w:color="auto"/>
        <w:bottom w:val="none" w:sz="0" w:space="0" w:color="auto"/>
        <w:right w:val="none" w:sz="0" w:space="0" w:color="auto"/>
      </w:divBdr>
    </w:div>
    <w:div w:id="1049383545">
      <w:bodyDiv w:val="1"/>
      <w:marLeft w:val="0"/>
      <w:marRight w:val="0"/>
      <w:marTop w:val="0"/>
      <w:marBottom w:val="0"/>
      <w:divBdr>
        <w:top w:val="none" w:sz="0" w:space="0" w:color="auto"/>
        <w:left w:val="none" w:sz="0" w:space="0" w:color="auto"/>
        <w:bottom w:val="none" w:sz="0" w:space="0" w:color="auto"/>
        <w:right w:val="none" w:sz="0" w:space="0" w:color="auto"/>
      </w:divBdr>
      <w:divsChild>
        <w:div w:id="1351105979">
          <w:marLeft w:val="0"/>
          <w:marRight w:val="0"/>
          <w:marTop w:val="0"/>
          <w:marBottom w:val="0"/>
          <w:divBdr>
            <w:top w:val="none" w:sz="0" w:space="0" w:color="auto"/>
            <w:left w:val="none" w:sz="0" w:space="0" w:color="auto"/>
            <w:bottom w:val="none" w:sz="0" w:space="0" w:color="auto"/>
            <w:right w:val="none" w:sz="0" w:space="0" w:color="auto"/>
          </w:divBdr>
          <w:divsChild>
            <w:div w:id="1338656391">
              <w:marLeft w:val="0"/>
              <w:marRight w:val="0"/>
              <w:marTop w:val="0"/>
              <w:marBottom w:val="0"/>
              <w:divBdr>
                <w:top w:val="none" w:sz="0" w:space="0" w:color="auto"/>
                <w:left w:val="none" w:sz="0" w:space="0" w:color="auto"/>
                <w:bottom w:val="none" w:sz="0" w:space="0" w:color="auto"/>
                <w:right w:val="none" w:sz="0" w:space="0" w:color="auto"/>
              </w:divBdr>
              <w:divsChild>
                <w:div w:id="574903497">
                  <w:marLeft w:val="0"/>
                  <w:marRight w:val="0"/>
                  <w:marTop w:val="0"/>
                  <w:marBottom w:val="0"/>
                  <w:divBdr>
                    <w:top w:val="none" w:sz="0" w:space="0" w:color="auto"/>
                    <w:left w:val="none" w:sz="0" w:space="0" w:color="auto"/>
                    <w:bottom w:val="none" w:sz="0" w:space="0" w:color="auto"/>
                    <w:right w:val="none" w:sz="0" w:space="0" w:color="auto"/>
                  </w:divBdr>
                  <w:divsChild>
                    <w:div w:id="1158305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57823279">
      <w:bodyDiv w:val="1"/>
      <w:marLeft w:val="0"/>
      <w:marRight w:val="0"/>
      <w:marTop w:val="0"/>
      <w:marBottom w:val="0"/>
      <w:divBdr>
        <w:top w:val="none" w:sz="0" w:space="0" w:color="auto"/>
        <w:left w:val="none" w:sz="0" w:space="0" w:color="auto"/>
        <w:bottom w:val="none" w:sz="0" w:space="0" w:color="auto"/>
        <w:right w:val="none" w:sz="0" w:space="0" w:color="auto"/>
      </w:divBdr>
      <w:divsChild>
        <w:div w:id="1094134835">
          <w:marLeft w:val="0"/>
          <w:marRight w:val="0"/>
          <w:marTop w:val="0"/>
          <w:marBottom w:val="0"/>
          <w:divBdr>
            <w:top w:val="none" w:sz="0" w:space="0" w:color="auto"/>
            <w:left w:val="none" w:sz="0" w:space="0" w:color="auto"/>
            <w:bottom w:val="none" w:sz="0" w:space="0" w:color="auto"/>
            <w:right w:val="none" w:sz="0" w:space="0" w:color="auto"/>
          </w:divBdr>
          <w:divsChild>
            <w:div w:id="983124468">
              <w:marLeft w:val="0"/>
              <w:marRight w:val="0"/>
              <w:marTop w:val="0"/>
              <w:marBottom w:val="0"/>
              <w:divBdr>
                <w:top w:val="none" w:sz="0" w:space="0" w:color="auto"/>
                <w:left w:val="none" w:sz="0" w:space="0" w:color="auto"/>
                <w:bottom w:val="none" w:sz="0" w:space="0" w:color="auto"/>
                <w:right w:val="none" w:sz="0" w:space="0" w:color="auto"/>
              </w:divBdr>
              <w:divsChild>
                <w:div w:id="514617687">
                  <w:marLeft w:val="0"/>
                  <w:marRight w:val="0"/>
                  <w:marTop w:val="0"/>
                  <w:marBottom w:val="0"/>
                  <w:divBdr>
                    <w:top w:val="none" w:sz="0" w:space="0" w:color="auto"/>
                    <w:left w:val="none" w:sz="0" w:space="0" w:color="auto"/>
                    <w:bottom w:val="none" w:sz="0" w:space="0" w:color="auto"/>
                    <w:right w:val="none" w:sz="0" w:space="0" w:color="auto"/>
                  </w:divBdr>
                  <w:divsChild>
                    <w:div w:id="1949309517">
                      <w:marLeft w:val="0"/>
                      <w:marRight w:val="0"/>
                      <w:marTop w:val="0"/>
                      <w:marBottom w:val="60"/>
                      <w:divBdr>
                        <w:top w:val="none" w:sz="0" w:space="0" w:color="auto"/>
                        <w:left w:val="none" w:sz="0" w:space="0" w:color="auto"/>
                        <w:bottom w:val="none" w:sz="0" w:space="0" w:color="auto"/>
                        <w:right w:val="none" w:sz="0" w:space="0" w:color="auto"/>
                      </w:divBdr>
                      <w:divsChild>
                        <w:div w:id="1894001730">
                          <w:marLeft w:val="0"/>
                          <w:marRight w:val="0"/>
                          <w:marTop w:val="0"/>
                          <w:marBottom w:val="0"/>
                          <w:divBdr>
                            <w:top w:val="none" w:sz="0" w:space="0" w:color="auto"/>
                            <w:left w:val="none" w:sz="0" w:space="0" w:color="auto"/>
                            <w:bottom w:val="none" w:sz="0" w:space="0" w:color="auto"/>
                            <w:right w:val="none" w:sz="0" w:space="0" w:color="auto"/>
                          </w:divBdr>
                          <w:divsChild>
                            <w:div w:id="212815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94089741">
      <w:bodyDiv w:val="1"/>
      <w:marLeft w:val="0"/>
      <w:marRight w:val="0"/>
      <w:marTop w:val="0"/>
      <w:marBottom w:val="0"/>
      <w:divBdr>
        <w:top w:val="none" w:sz="0" w:space="0" w:color="auto"/>
        <w:left w:val="none" w:sz="0" w:space="0" w:color="auto"/>
        <w:bottom w:val="none" w:sz="0" w:space="0" w:color="auto"/>
        <w:right w:val="none" w:sz="0" w:space="0" w:color="auto"/>
      </w:divBdr>
    </w:div>
    <w:div w:id="1095326021">
      <w:bodyDiv w:val="1"/>
      <w:marLeft w:val="0"/>
      <w:marRight w:val="0"/>
      <w:marTop w:val="0"/>
      <w:marBottom w:val="0"/>
      <w:divBdr>
        <w:top w:val="none" w:sz="0" w:space="0" w:color="auto"/>
        <w:left w:val="none" w:sz="0" w:space="0" w:color="auto"/>
        <w:bottom w:val="none" w:sz="0" w:space="0" w:color="auto"/>
        <w:right w:val="none" w:sz="0" w:space="0" w:color="auto"/>
      </w:divBdr>
    </w:div>
    <w:div w:id="1116363269">
      <w:bodyDiv w:val="1"/>
      <w:marLeft w:val="0"/>
      <w:marRight w:val="0"/>
      <w:marTop w:val="0"/>
      <w:marBottom w:val="0"/>
      <w:divBdr>
        <w:top w:val="none" w:sz="0" w:space="0" w:color="auto"/>
        <w:left w:val="none" w:sz="0" w:space="0" w:color="auto"/>
        <w:bottom w:val="none" w:sz="0" w:space="0" w:color="auto"/>
        <w:right w:val="none" w:sz="0" w:space="0" w:color="auto"/>
      </w:divBdr>
    </w:div>
    <w:div w:id="1119569684">
      <w:bodyDiv w:val="1"/>
      <w:marLeft w:val="0"/>
      <w:marRight w:val="0"/>
      <w:marTop w:val="0"/>
      <w:marBottom w:val="0"/>
      <w:divBdr>
        <w:top w:val="none" w:sz="0" w:space="0" w:color="auto"/>
        <w:left w:val="none" w:sz="0" w:space="0" w:color="auto"/>
        <w:bottom w:val="none" w:sz="0" w:space="0" w:color="auto"/>
        <w:right w:val="none" w:sz="0" w:space="0" w:color="auto"/>
      </w:divBdr>
    </w:div>
    <w:div w:id="1135679690">
      <w:bodyDiv w:val="1"/>
      <w:marLeft w:val="0"/>
      <w:marRight w:val="0"/>
      <w:marTop w:val="0"/>
      <w:marBottom w:val="0"/>
      <w:divBdr>
        <w:top w:val="none" w:sz="0" w:space="0" w:color="auto"/>
        <w:left w:val="none" w:sz="0" w:space="0" w:color="auto"/>
        <w:bottom w:val="none" w:sz="0" w:space="0" w:color="auto"/>
        <w:right w:val="none" w:sz="0" w:space="0" w:color="auto"/>
      </w:divBdr>
    </w:div>
    <w:div w:id="1143111316">
      <w:bodyDiv w:val="1"/>
      <w:marLeft w:val="0"/>
      <w:marRight w:val="0"/>
      <w:marTop w:val="0"/>
      <w:marBottom w:val="0"/>
      <w:divBdr>
        <w:top w:val="none" w:sz="0" w:space="0" w:color="auto"/>
        <w:left w:val="none" w:sz="0" w:space="0" w:color="auto"/>
        <w:bottom w:val="none" w:sz="0" w:space="0" w:color="auto"/>
        <w:right w:val="none" w:sz="0" w:space="0" w:color="auto"/>
      </w:divBdr>
    </w:div>
    <w:div w:id="1171219838">
      <w:bodyDiv w:val="1"/>
      <w:marLeft w:val="0"/>
      <w:marRight w:val="0"/>
      <w:marTop w:val="0"/>
      <w:marBottom w:val="0"/>
      <w:divBdr>
        <w:top w:val="none" w:sz="0" w:space="0" w:color="auto"/>
        <w:left w:val="none" w:sz="0" w:space="0" w:color="auto"/>
        <w:bottom w:val="none" w:sz="0" w:space="0" w:color="auto"/>
        <w:right w:val="none" w:sz="0" w:space="0" w:color="auto"/>
      </w:divBdr>
    </w:div>
    <w:div w:id="1174416536">
      <w:bodyDiv w:val="1"/>
      <w:marLeft w:val="0"/>
      <w:marRight w:val="0"/>
      <w:marTop w:val="0"/>
      <w:marBottom w:val="0"/>
      <w:divBdr>
        <w:top w:val="none" w:sz="0" w:space="0" w:color="auto"/>
        <w:left w:val="none" w:sz="0" w:space="0" w:color="auto"/>
        <w:bottom w:val="none" w:sz="0" w:space="0" w:color="auto"/>
        <w:right w:val="none" w:sz="0" w:space="0" w:color="auto"/>
      </w:divBdr>
    </w:div>
    <w:div w:id="1176112001">
      <w:bodyDiv w:val="1"/>
      <w:marLeft w:val="0"/>
      <w:marRight w:val="0"/>
      <w:marTop w:val="0"/>
      <w:marBottom w:val="0"/>
      <w:divBdr>
        <w:top w:val="none" w:sz="0" w:space="0" w:color="auto"/>
        <w:left w:val="none" w:sz="0" w:space="0" w:color="auto"/>
        <w:bottom w:val="none" w:sz="0" w:space="0" w:color="auto"/>
        <w:right w:val="none" w:sz="0" w:space="0" w:color="auto"/>
      </w:divBdr>
    </w:div>
    <w:div w:id="1178545263">
      <w:bodyDiv w:val="1"/>
      <w:marLeft w:val="0"/>
      <w:marRight w:val="0"/>
      <w:marTop w:val="0"/>
      <w:marBottom w:val="0"/>
      <w:divBdr>
        <w:top w:val="none" w:sz="0" w:space="0" w:color="auto"/>
        <w:left w:val="none" w:sz="0" w:space="0" w:color="auto"/>
        <w:bottom w:val="none" w:sz="0" w:space="0" w:color="auto"/>
        <w:right w:val="none" w:sz="0" w:space="0" w:color="auto"/>
      </w:divBdr>
    </w:div>
    <w:div w:id="1206211704">
      <w:bodyDiv w:val="1"/>
      <w:marLeft w:val="0"/>
      <w:marRight w:val="0"/>
      <w:marTop w:val="0"/>
      <w:marBottom w:val="0"/>
      <w:divBdr>
        <w:top w:val="none" w:sz="0" w:space="0" w:color="auto"/>
        <w:left w:val="none" w:sz="0" w:space="0" w:color="auto"/>
        <w:bottom w:val="none" w:sz="0" w:space="0" w:color="auto"/>
        <w:right w:val="none" w:sz="0" w:space="0" w:color="auto"/>
      </w:divBdr>
    </w:div>
    <w:div w:id="1250962123">
      <w:bodyDiv w:val="1"/>
      <w:marLeft w:val="0"/>
      <w:marRight w:val="0"/>
      <w:marTop w:val="0"/>
      <w:marBottom w:val="0"/>
      <w:divBdr>
        <w:top w:val="none" w:sz="0" w:space="0" w:color="auto"/>
        <w:left w:val="none" w:sz="0" w:space="0" w:color="auto"/>
        <w:bottom w:val="none" w:sz="0" w:space="0" w:color="auto"/>
        <w:right w:val="none" w:sz="0" w:space="0" w:color="auto"/>
      </w:divBdr>
    </w:div>
    <w:div w:id="1263801365">
      <w:bodyDiv w:val="1"/>
      <w:marLeft w:val="0"/>
      <w:marRight w:val="0"/>
      <w:marTop w:val="0"/>
      <w:marBottom w:val="0"/>
      <w:divBdr>
        <w:top w:val="none" w:sz="0" w:space="0" w:color="auto"/>
        <w:left w:val="none" w:sz="0" w:space="0" w:color="auto"/>
        <w:bottom w:val="none" w:sz="0" w:space="0" w:color="auto"/>
        <w:right w:val="none" w:sz="0" w:space="0" w:color="auto"/>
      </w:divBdr>
    </w:div>
    <w:div w:id="1281760614">
      <w:bodyDiv w:val="1"/>
      <w:marLeft w:val="0"/>
      <w:marRight w:val="0"/>
      <w:marTop w:val="0"/>
      <w:marBottom w:val="0"/>
      <w:divBdr>
        <w:top w:val="none" w:sz="0" w:space="0" w:color="auto"/>
        <w:left w:val="none" w:sz="0" w:space="0" w:color="auto"/>
        <w:bottom w:val="none" w:sz="0" w:space="0" w:color="auto"/>
        <w:right w:val="none" w:sz="0" w:space="0" w:color="auto"/>
      </w:divBdr>
    </w:div>
    <w:div w:id="1300115986">
      <w:bodyDiv w:val="1"/>
      <w:marLeft w:val="0"/>
      <w:marRight w:val="0"/>
      <w:marTop w:val="0"/>
      <w:marBottom w:val="0"/>
      <w:divBdr>
        <w:top w:val="none" w:sz="0" w:space="0" w:color="auto"/>
        <w:left w:val="none" w:sz="0" w:space="0" w:color="auto"/>
        <w:bottom w:val="none" w:sz="0" w:space="0" w:color="auto"/>
        <w:right w:val="none" w:sz="0" w:space="0" w:color="auto"/>
      </w:divBdr>
    </w:div>
    <w:div w:id="1315721928">
      <w:bodyDiv w:val="1"/>
      <w:marLeft w:val="0"/>
      <w:marRight w:val="0"/>
      <w:marTop w:val="0"/>
      <w:marBottom w:val="0"/>
      <w:divBdr>
        <w:top w:val="none" w:sz="0" w:space="0" w:color="auto"/>
        <w:left w:val="none" w:sz="0" w:space="0" w:color="auto"/>
        <w:bottom w:val="none" w:sz="0" w:space="0" w:color="auto"/>
        <w:right w:val="none" w:sz="0" w:space="0" w:color="auto"/>
      </w:divBdr>
    </w:div>
    <w:div w:id="1347907136">
      <w:bodyDiv w:val="1"/>
      <w:marLeft w:val="0"/>
      <w:marRight w:val="0"/>
      <w:marTop w:val="0"/>
      <w:marBottom w:val="0"/>
      <w:divBdr>
        <w:top w:val="none" w:sz="0" w:space="0" w:color="auto"/>
        <w:left w:val="none" w:sz="0" w:space="0" w:color="auto"/>
        <w:bottom w:val="none" w:sz="0" w:space="0" w:color="auto"/>
        <w:right w:val="none" w:sz="0" w:space="0" w:color="auto"/>
      </w:divBdr>
    </w:div>
    <w:div w:id="1351492897">
      <w:bodyDiv w:val="1"/>
      <w:marLeft w:val="0"/>
      <w:marRight w:val="0"/>
      <w:marTop w:val="0"/>
      <w:marBottom w:val="0"/>
      <w:divBdr>
        <w:top w:val="none" w:sz="0" w:space="0" w:color="auto"/>
        <w:left w:val="none" w:sz="0" w:space="0" w:color="auto"/>
        <w:bottom w:val="none" w:sz="0" w:space="0" w:color="auto"/>
        <w:right w:val="none" w:sz="0" w:space="0" w:color="auto"/>
      </w:divBdr>
    </w:div>
    <w:div w:id="1391155640">
      <w:bodyDiv w:val="1"/>
      <w:marLeft w:val="0"/>
      <w:marRight w:val="0"/>
      <w:marTop w:val="0"/>
      <w:marBottom w:val="0"/>
      <w:divBdr>
        <w:top w:val="none" w:sz="0" w:space="0" w:color="auto"/>
        <w:left w:val="none" w:sz="0" w:space="0" w:color="auto"/>
        <w:bottom w:val="none" w:sz="0" w:space="0" w:color="auto"/>
        <w:right w:val="none" w:sz="0" w:space="0" w:color="auto"/>
      </w:divBdr>
    </w:div>
    <w:div w:id="1402554752">
      <w:bodyDiv w:val="1"/>
      <w:marLeft w:val="0"/>
      <w:marRight w:val="0"/>
      <w:marTop w:val="0"/>
      <w:marBottom w:val="0"/>
      <w:divBdr>
        <w:top w:val="none" w:sz="0" w:space="0" w:color="auto"/>
        <w:left w:val="none" w:sz="0" w:space="0" w:color="auto"/>
        <w:bottom w:val="none" w:sz="0" w:space="0" w:color="auto"/>
        <w:right w:val="none" w:sz="0" w:space="0" w:color="auto"/>
      </w:divBdr>
    </w:div>
    <w:div w:id="1473643910">
      <w:bodyDiv w:val="1"/>
      <w:marLeft w:val="0"/>
      <w:marRight w:val="0"/>
      <w:marTop w:val="0"/>
      <w:marBottom w:val="0"/>
      <w:divBdr>
        <w:top w:val="none" w:sz="0" w:space="0" w:color="auto"/>
        <w:left w:val="none" w:sz="0" w:space="0" w:color="auto"/>
        <w:bottom w:val="none" w:sz="0" w:space="0" w:color="auto"/>
        <w:right w:val="none" w:sz="0" w:space="0" w:color="auto"/>
      </w:divBdr>
      <w:divsChild>
        <w:div w:id="865212430">
          <w:marLeft w:val="0"/>
          <w:marRight w:val="0"/>
          <w:marTop w:val="0"/>
          <w:marBottom w:val="0"/>
          <w:divBdr>
            <w:top w:val="none" w:sz="0" w:space="0" w:color="auto"/>
            <w:left w:val="none" w:sz="0" w:space="0" w:color="auto"/>
            <w:bottom w:val="none" w:sz="0" w:space="0" w:color="auto"/>
            <w:right w:val="none" w:sz="0" w:space="0" w:color="auto"/>
          </w:divBdr>
        </w:div>
      </w:divsChild>
    </w:div>
    <w:div w:id="1509951273">
      <w:bodyDiv w:val="1"/>
      <w:marLeft w:val="0"/>
      <w:marRight w:val="0"/>
      <w:marTop w:val="0"/>
      <w:marBottom w:val="0"/>
      <w:divBdr>
        <w:top w:val="none" w:sz="0" w:space="0" w:color="auto"/>
        <w:left w:val="none" w:sz="0" w:space="0" w:color="auto"/>
        <w:bottom w:val="none" w:sz="0" w:space="0" w:color="auto"/>
        <w:right w:val="none" w:sz="0" w:space="0" w:color="auto"/>
      </w:divBdr>
    </w:div>
    <w:div w:id="1521355005">
      <w:bodyDiv w:val="1"/>
      <w:marLeft w:val="0"/>
      <w:marRight w:val="0"/>
      <w:marTop w:val="0"/>
      <w:marBottom w:val="0"/>
      <w:divBdr>
        <w:top w:val="none" w:sz="0" w:space="0" w:color="auto"/>
        <w:left w:val="none" w:sz="0" w:space="0" w:color="auto"/>
        <w:bottom w:val="none" w:sz="0" w:space="0" w:color="auto"/>
        <w:right w:val="none" w:sz="0" w:space="0" w:color="auto"/>
      </w:divBdr>
    </w:div>
    <w:div w:id="1536965556">
      <w:bodyDiv w:val="1"/>
      <w:marLeft w:val="0"/>
      <w:marRight w:val="0"/>
      <w:marTop w:val="0"/>
      <w:marBottom w:val="0"/>
      <w:divBdr>
        <w:top w:val="none" w:sz="0" w:space="0" w:color="auto"/>
        <w:left w:val="none" w:sz="0" w:space="0" w:color="auto"/>
        <w:bottom w:val="none" w:sz="0" w:space="0" w:color="auto"/>
        <w:right w:val="none" w:sz="0" w:space="0" w:color="auto"/>
      </w:divBdr>
    </w:div>
    <w:div w:id="1566913219">
      <w:bodyDiv w:val="1"/>
      <w:marLeft w:val="0"/>
      <w:marRight w:val="0"/>
      <w:marTop w:val="0"/>
      <w:marBottom w:val="0"/>
      <w:divBdr>
        <w:top w:val="none" w:sz="0" w:space="0" w:color="auto"/>
        <w:left w:val="none" w:sz="0" w:space="0" w:color="auto"/>
        <w:bottom w:val="none" w:sz="0" w:space="0" w:color="auto"/>
        <w:right w:val="none" w:sz="0" w:space="0" w:color="auto"/>
      </w:divBdr>
    </w:div>
    <w:div w:id="1607347224">
      <w:bodyDiv w:val="1"/>
      <w:marLeft w:val="0"/>
      <w:marRight w:val="0"/>
      <w:marTop w:val="0"/>
      <w:marBottom w:val="0"/>
      <w:divBdr>
        <w:top w:val="none" w:sz="0" w:space="0" w:color="auto"/>
        <w:left w:val="none" w:sz="0" w:space="0" w:color="auto"/>
        <w:bottom w:val="none" w:sz="0" w:space="0" w:color="auto"/>
        <w:right w:val="none" w:sz="0" w:space="0" w:color="auto"/>
      </w:divBdr>
    </w:div>
    <w:div w:id="1625235576">
      <w:bodyDiv w:val="1"/>
      <w:marLeft w:val="0"/>
      <w:marRight w:val="0"/>
      <w:marTop w:val="0"/>
      <w:marBottom w:val="0"/>
      <w:divBdr>
        <w:top w:val="none" w:sz="0" w:space="0" w:color="auto"/>
        <w:left w:val="none" w:sz="0" w:space="0" w:color="auto"/>
        <w:bottom w:val="none" w:sz="0" w:space="0" w:color="auto"/>
        <w:right w:val="none" w:sz="0" w:space="0" w:color="auto"/>
      </w:divBdr>
    </w:div>
    <w:div w:id="1625649518">
      <w:bodyDiv w:val="1"/>
      <w:marLeft w:val="0"/>
      <w:marRight w:val="0"/>
      <w:marTop w:val="0"/>
      <w:marBottom w:val="0"/>
      <w:divBdr>
        <w:top w:val="none" w:sz="0" w:space="0" w:color="auto"/>
        <w:left w:val="none" w:sz="0" w:space="0" w:color="auto"/>
        <w:bottom w:val="none" w:sz="0" w:space="0" w:color="auto"/>
        <w:right w:val="none" w:sz="0" w:space="0" w:color="auto"/>
      </w:divBdr>
    </w:div>
    <w:div w:id="1658920350">
      <w:bodyDiv w:val="1"/>
      <w:marLeft w:val="0"/>
      <w:marRight w:val="0"/>
      <w:marTop w:val="0"/>
      <w:marBottom w:val="0"/>
      <w:divBdr>
        <w:top w:val="none" w:sz="0" w:space="0" w:color="auto"/>
        <w:left w:val="none" w:sz="0" w:space="0" w:color="auto"/>
        <w:bottom w:val="none" w:sz="0" w:space="0" w:color="auto"/>
        <w:right w:val="none" w:sz="0" w:space="0" w:color="auto"/>
      </w:divBdr>
    </w:div>
    <w:div w:id="1662004489">
      <w:bodyDiv w:val="1"/>
      <w:marLeft w:val="0"/>
      <w:marRight w:val="0"/>
      <w:marTop w:val="0"/>
      <w:marBottom w:val="0"/>
      <w:divBdr>
        <w:top w:val="none" w:sz="0" w:space="0" w:color="auto"/>
        <w:left w:val="none" w:sz="0" w:space="0" w:color="auto"/>
        <w:bottom w:val="none" w:sz="0" w:space="0" w:color="auto"/>
        <w:right w:val="none" w:sz="0" w:space="0" w:color="auto"/>
      </w:divBdr>
    </w:div>
    <w:div w:id="1670324327">
      <w:bodyDiv w:val="1"/>
      <w:marLeft w:val="0"/>
      <w:marRight w:val="0"/>
      <w:marTop w:val="0"/>
      <w:marBottom w:val="0"/>
      <w:divBdr>
        <w:top w:val="none" w:sz="0" w:space="0" w:color="auto"/>
        <w:left w:val="none" w:sz="0" w:space="0" w:color="auto"/>
        <w:bottom w:val="none" w:sz="0" w:space="0" w:color="auto"/>
        <w:right w:val="none" w:sz="0" w:space="0" w:color="auto"/>
      </w:divBdr>
    </w:div>
    <w:div w:id="1757557024">
      <w:bodyDiv w:val="1"/>
      <w:marLeft w:val="0"/>
      <w:marRight w:val="0"/>
      <w:marTop w:val="0"/>
      <w:marBottom w:val="0"/>
      <w:divBdr>
        <w:top w:val="none" w:sz="0" w:space="0" w:color="auto"/>
        <w:left w:val="none" w:sz="0" w:space="0" w:color="auto"/>
        <w:bottom w:val="none" w:sz="0" w:space="0" w:color="auto"/>
        <w:right w:val="none" w:sz="0" w:space="0" w:color="auto"/>
      </w:divBdr>
    </w:div>
    <w:div w:id="1775199893">
      <w:bodyDiv w:val="1"/>
      <w:marLeft w:val="0"/>
      <w:marRight w:val="0"/>
      <w:marTop w:val="0"/>
      <w:marBottom w:val="0"/>
      <w:divBdr>
        <w:top w:val="none" w:sz="0" w:space="0" w:color="auto"/>
        <w:left w:val="none" w:sz="0" w:space="0" w:color="auto"/>
        <w:bottom w:val="none" w:sz="0" w:space="0" w:color="auto"/>
        <w:right w:val="none" w:sz="0" w:space="0" w:color="auto"/>
      </w:divBdr>
    </w:div>
    <w:div w:id="1815835770">
      <w:bodyDiv w:val="1"/>
      <w:marLeft w:val="0"/>
      <w:marRight w:val="0"/>
      <w:marTop w:val="0"/>
      <w:marBottom w:val="0"/>
      <w:divBdr>
        <w:top w:val="none" w:sz="0" w:space="0" w:color="auto"/>
        <w:left w:val="none" w:sz="0" w:space="0" w:color="auto"/>
        <w:bottom w:val="none" w:sz="0" w:space="0" w:color="auto"/>
        <w:right w:val="none" w:sz="0" w:space="0" w:color="auto"/>
      </w:divBdr>
    </w:div>
    <w:div w:id="1857882065">
      <w:bodyDiv w:val="1"/>
      <w:marLeft w:val="0"/>
      <w:marRight w:val="0"/>
      <w:marTop w:val="0"/>
      <w:marBottom w:val="0"/>
      <w:divBdr>
        <w:top w:val="none" w:sz="0" w:space="0" w:color="auto"/>
        <w:left w:val="none" w:sz="0" w:space="0" w:color="auto"/>
        <w:bottom w:val="none" w:sz="0" w:space="0" w:color="auto"/>
        <w:right w:val="none" w:sz="0" w:space="0" w:color="auto"/>
      </w:divBdr>
    </w:div>
    <w:div w:id="1893811049">
      <w:bodyDiv w:val="1"/>
      <w:marLeft w:val="0"/>
      <w:marRight w:val="0"/>
      <w:marTop w:val="0"/>
      <w:marBottom w:val="0"/>
      <w:divBdr>
        <w:top w:val="none" w:sz="0" w:space="0" w:color="auto"/>
        <w:left w:val="none" w:sz="0" w:space="0" w:color="auto"/>
        <w:bottom w:val="none" w:sz="0" w:space="0" w:color="auto"/>
        <w:right w:val="none" w:sz="0" w:space="0" w:color="auto"/>
      </w:divBdr>
      <w:divsChild>
        <w:div w:id="1956138726">
          <w:marLeft w:val="0"/>
          <w:marRight w:val="0"/>
          <w:marTop w:val="0"/>
          <w:marBottom w:val="0"/>
          <w:divBdr>
            <w:top w:val="none" w:sz="0" w:space="0" w:color="auto"/>
            <w:left w:val="none" w:sz="0" w:space="0" w:color="auto"/>
            <w:bottom w:val="none" w:sz="0" w:space="0" w:color="auto"/>
            <w:right w:val="none" w:sz="0" w:space="0" w:color="auto"/>
          </w:divBdr>
          <w:divsChild>
            <w:div w:id="373625056">
              <w:marLeft w:val="0"/>
              <w:marRight w:val="0"/>
              <w:marTop w:val="0"/>
              <w:marBottom w:val="0"/>
              <w:divBdr>
                <w:top w:val="none" w:sz="0" w:space="0" w:color="auto"/>
                <w:left w:val="none" w:sz="0" w:space="0" w:color="auto"/>
                <w:bottom w:val="none" w:sz="0" w:space="0" w:color="auto"/>
                <w:right w:val="none" w:sz="0" w:space="0" w:color="auto"/>
              </w:divBdr>
              <w:divsChild>
                <w:div w:id="1550845389">
                  <w:marLeft w:val="0"/>
                  <w:marRight w:val="0"/>
                  <w:marTop w:val="0"/>
                  <w:marBottom w:val="0"/>
                  <w:divBdr>
                    <w:top w:val="none" w:sz="0" w:space="0" w:color="auto"/>
                    <w:left w:val="none" w:sz="0" w:space="0" w:color="auto"/>
                    <w:bottom w:val="none" w:sz="0" w:space="0" w:color="auto"/>
                    <w:right w:val="none" w:sz="0" w:space="0" w:color="auto"/>
                  </w:divBdr>
                  <w:divsChild>
                    <w:div w:id="1431967638">
                      <w:marLeft w:val="0"/>
                      <w:marRight w:val="0"/>
                      <w:marTop w:val="0"/>
                      <w:marBottom w:val="60"/>
                      <w:divBdr>
                        <w:top w:val="none" w:sz="0" w:space="0" w:color="auto"/>
                        <w:left w:val="none" w:sz="0" w:space="0" w:color="auto"/>
                        <w:bottom w:val="none" w:sz="0" w:space="0" w:color="auto"/>
                        <w:right w:val="none" w:sz="0" w:space="0" w:color="auto"/>
                      </w:divBdr>
                      <w:divsChild>
                        <w:div w:id="1887641928">
                          <w:marLeft w:val="0"/>
                          <w:marRight w:val="0"/>
                          <w:marTop w:val="0"/>
                          <w:marBottom w:val="0"/>
                          <w:divBdr>
                            <w:top w:val="none" w:sz="0" w:space="0" w:color="auto"/>
                            <w:left w:val="none" w:sz="0" w:space="0" w:color="auto"/>
                            <w:bottom w:val="none" w:sz="0" w:space="0" w:color="auto"/>
                            <w:right w:val="none" w:sz="0" w:space="0" w:color="auto"/>
                          </w:divBdr>
                          <w:divsChild>
                            <w:div w:id="1799563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40023989">
      <w:bodyDiv w:val="1"/>
      <w:marLeft w:val="0"/>
      <w:marRight w:val="0"/>
      <w:marTop w:val="0"/>
      <w:marBottom w:val="0"/>
      <w:divBdr>
        <w:top w:val="none" w:sz="0" w:space="0" w:color="auto"/>
        <w:left w:val="none" w:sz="0" w:space="0" w:color="auto"/>
        <w:bottom w:val="none" w:sz="0" w:space="0" w:color="auto"/>
        <w:right w:val="none" w:sz="0" w:space="0" w:color="auto"/>
      </w:divBdr>
    </w:div>
    <w:div w:id="1969511720">
      <w:bodyDiv w:val="1"/>
      <w:marLeft w:val="0"/>
      <w:marRight w:val="0"/>
      <w:marTop w:val="0"/>
      <w:marBottom w:val="0"/>
      <w:divBdr>
        <w:top w:val="none" w:sz="0" w:space="0" w:color="auto"/>
        <w:left w:val="none" w:sz="0" w:space="0" w:color="auto"/>
        <w:bottom w:val="none" w:sz="0" w:space="0" w:color="auto"/>
        <w:right w:val="none" w:sz="0" w:space="0" w:color="auto"/>
      </w:divBdr>
    </w:div>
    <w:div w:id="1987280458">
      <w:bodyDiv w:val="1"/>
      <w:marLeft w:val="0"/>
      <w:marRight w:val="0"/>
      <w:marTop w:val="0"/>
      <w:marBottom w:val="0"/>
      <w:divBdr>
        <w:top w:val="none" w:sz="0" w:space="0" w:color="auto"/>
        <w:left w:val="none" w:sz="0" w:space="0" w:color="auto"/>
        <w:bottom w:val="none" w:sz="0" w:space="0" w:color="auto"/>
        <w:right w:val="none" w:sz="0" w:space="0" w:color="auto"/>
      </w:divBdr>
    </w:div>
    <w:div w:id="2009163659">
      <w:bodyDiv w:val="1"/>
      <w:marLeft w:val="0"/>
      <w:marRight w:val="0"/>
      <w:marTop w:val="0"/>
      <w:marBottom w:val="0"/>
      <w:divBdr>
        <w:top w:val="none" w:sz="0" w:space="0" w:color="auto"/>
        <w:left w:val="none" w:sz="0" w:space="0" w:color="auto"/>
        <w:bottom w:val="none" w:sz="0" w:space="0" w:color="auto"/>
        <w:right w:val="none" w:sz="0" w:space="0" w:color="auto"/>
      </w:divBdr>
    </w:div>
    <w:div w:id="2065711758">
      <w:bodyDiv w:val="1"/>
      <w:marLeft w:val="0"/>
      <w:marRight w:val="0"/>
      <w:marTop w:val="0"/>
      <w:marBottom w:val="0"/>
      <w:divBdr>
        <w:top w:val="none" w:sz="0" w:space="0" w:color="auto"/>
        <w:left w:val="none" w:sz="0" w:space="0" w:color="auto"/>
        <w:bottom w:val="none" w:sz="0" w:space="0" w:color="auto"/>
        <w:right w:val="none" w:sz="0" w:space="0" w:color="auto"/>
      </w:divBdr>
    </w:div>
    <w:div w:id="2069068051">
      <w:bodyDiv w:val="1"/>
      <w:marLeft w:val="0"/>
      <w:marRight w:val="0"/>
      <w:marTop w:val="0"/>
      <w:marBottom w:val="0"/>
      <w:divBdr>
        <w:top w:val="none" w:sz="0" w:space="0" w:color="auto"/>
        <w:left w:val="none" w:sz="0" w:space="0" w:color="auto"/>
        <w:bottom w:val="none" w:sz="0" w:space="0" w:color="auto"/>
        <w:right w:val="none" w:sz="0" w:space="0" w:color="auto"/>
      </w:divBdr>
    </w:div>
    <w:div w:id="2106069775">
      <w:bodyDiv w:val="1"/>
      <w:marLeft w:val="0"/>
      <w:marRight w:val="0"/>
      <w:marTop w:val="0"/>
      <w:marBottom w:val="0"/>
      <w:divBdr>
        <w:top w:val="none" w:sz="0" w:space="0" w:color="auto"/>
        <w:left w:val="none" w:sz="0" w:space="0" w:color="auto"/>
        <w:bottom w:val="none" w:sz="0" w:space="0" w:color="auto"/>
        <w:right w:val="none" w:sz="0" w:space="0" w:color="auto"/>
      </w:divBdr>
    </w:div>
    <w:div w:id="2106920887">
      <w:bodyDiv w:val="1"/>
      <w:marLeft w:val="0"/>
      <w:marRight w:val="0"/>
      <w:marTop w:val="0"/>
      <w:marBottom w:val="0"/>
      <w:divBdr>
        <w:top w:val="none" w:sz="0" w:space="0" w:color="auto"/>
        <w:left w:val="none" w:sz="0" w:space="0" w:color="auto"/>
        <w:bottom w:val="none" w:sz="0" w:space="0" w:color="auto"/>
        <w:right w:val="none" w:sz="0" w:space="0" w:color="auto"/>
      </w:divBdr>
    </w:div>
    <w:div w:id="2112387173">
      <w:bodyDiv w:val="1"/>
      <w:marLeft w:val="0"/>
      <w:marRight w:val="0"/>
      <w:marTop w:val="0"/>
      <w:marBottom w:val="0"/>
      <w:divBdr>
        <w:top w:val="none" w:sz="0" w:space="0" w:color="auto"/>
        <w:left w:val="none" w:sz="0" w:space="0" w:color="auto"/>
        <w:bottom w:val="none" w:sz="0" w:space="0" w:color="auto"/>
        <w:right w:val="none" w:sz="0" w:space="0" w:color="auto"/>
      </w:divBdr>
    </w:div>
    <w:div w:id="2138137783">
      <w:bodyDiv w:val="1"/>
      <w:marLeft w:val="0"/>
      <w:marRight w:val="0"/>
      <w:marTop w:val="0"/>
      <w:marBottom w:val="0"/>
      <w:divBdr>
        <w:top w:val="none" w:sz="0" w:space="0" w:color="auto"/>
        <w:left w:val="none" w:sz="0" w:space="0" w:color="auto"/>
        <w:bottom w:val="none" w:sz="0" w:space="0" w:color="auto"/>
        <w:right w:val="none" w:sz="0" w:space="0" w:color="auto"/>
      </w:divBdr>
    </w:div>
    <w:div w:id="2140024067">
      <w:bodyDiv w:val="1"/>
      <w:marLeft w:val="0"/>
      <w:marRight w:val="0"/>
      <w:marTop w:val="0"/>
      <w:marBottom w:val="0"/>
      <w:divBdr>
        <w:top w:val="none" w:sz="0" w:space="0" w:color="auto"/>
        <w:left w:val="none" w:sz="0" w:space="0" w:color="auto"/>
        <w:bottom w:val="none" w:sz="0" w:space="0" w:color="auto"/>
        <w:right w:val="none" w:sz="0" w:space="0" w:color="auto"/>
      </w:divBdr>
    </w:div>
    <w:div w:id="214404009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17" Type="http://schemas.openxmlformats.org/officeDocument/2006/relationships/footer" Target="footer38.xml"/><Relationship Id="rId21" Type="http://schemas.openxmlformats.org/officeDocument/2006/relationships/header" Target="header5.xml"/><Relationship Id="rId42" Type="http://schemas.openxmlformats.org/officeDocument/2006/relationships/image" Target="media/image10.png"/><Relationship Id="rId63" Type="http://schemas.openxmlformats.org/officeDocument/2006/relationships/image" Target="media/image23.png"/><Relationship Id="rId84" Type="http://schemas.openxmlformats.org/officeDocument/2006/relationships/footer" Target="footer21.xml"/><Relationship Id="rId138" Type="http://schemas.openxmlformats.org/officeDocument/2006/relationships/header" Target="header46.xml"/><Relationship Id="rId159" Type="http://schemas.openxmlformats.org/officeDocument/2006/relationships/image" Target="media/image4.jpeg"/><Relationship Id="rId107" Type="http://schemas.openxmlformats.org/officeDocument/2006/relationships/footer" Target="footer33.xml"/><Relationship Id="rId11" Type="http://schemas.openxmlformats.org/officeDocument/2006/relationships/image" Target="media/image1.jpeg"/><Relationship Id="rId32" Type="http://schemas.openxmlformats.org/officeDocument/2006/relationships/image" Target="media/image6.png"/><Relationship Id="rId53" Type="http://schemas.openxmlformats.org/officeDocument/2006/relationships/footer" Target="footer13.xml"/><Relationship Id="rId74" Type="http://schemas.openxmlformats.org/officeDocument/2006/relationships/image" Target="media/image30.jpeg"/><Relationship Id="rId128" Type="http://schemas.openxmlformats.org/officeDocument/2006/relationships/header" Target="header41.xml"/><Relationship Id="rId149" Type="http://schemas.openxmlformats.org/officeDocument/2006/relationships/footer" Target="footer54.xml"/><Relationship Id="rId5" Type="http://schemas.openxmlformats.org/officeDocument/2006/relationships/numbering" Target="numbering.xml"/><Relationship Id="rId95" Type="http://schemas.openxmlformats.org/officeDocument/2006/relationships/header" Target="header26.xml"/><Relationship Id="rId160" Type="http://schemas.openxmlformats.org/officeDocument/2006/relationships/image" Target="cid:image003.jpg@01DC490A.067BF5C0" TargetMode="External"/><Relationship Id="rId22" Type="http://schemas.openxmlformats.org/officeDocument/2006/relationships/footer" Target="footer5.xml"/><Relationship Id="rId43" Type="http://schemas.openxmlformats.org/officeDocument/2006/relationships/image" Target="media/image11.png"/><Relationship Id="rId64" Type="http://schemas.openxmlformats.org/officeDocument/2006/relationships/header" Target="header17.xml"/><Relationship Id="rId118" Type="http://schemas.openxmlformats.org/officeDocument/2006/relationships/header" Target="header36.xml"/><Relationship Id="rId139" Type="http://schemas.openxmlformats.org/officeDocument/2006/relationships/footer" Target="footer49.xml"/><Relationship Id="rId85" Type="http://schemas.openxmlformats.org/officeDocument/2006/relationships/image" Target="media/image35.jpeg"/><Relationship Id="rId150" Type="http://schemas.openxmlformats.org/officeDocument/2006/relationships/header" Target="header52.xml"/><Relationship Id="rId12" Type="http://schemas.openxmlformats.org/officeDocument/2006/relationships/image" Target="media/image2.jpeg"/><Relationship Id="rId33" Type="http://schemas.openxmlformats.org/officeDocument/2006/relationships/image" Target="media/image7.jpeg"/><Relationship Id="rId108" Type="http://schemas.openxmlformats.org/officeDocument/2006/relationships/header" Target="header31.xml"/><Relationship Id="rId129" Type="http://schemas.openxmlformats.org/officeDocument/2006/relationships/footer" Target="footer44.xml"/><Relationship Id="rId54" Type="http://schemas.openxmlformats.org/officeDocument/2006/relationships/image" Target="media/image19.png"/><Relationship Id="rId70" Type="http://schemas.openxmlformats.org/officeDocument/2006/relationships/image" Target="media/image26.jpeg"/><Relationship Id="rId75" Type="http://schemas.openxmlformats.org/officeDocument/2006/relationships/image" Target="media/image31.jpeg"/><Relationship Id="rId91" Type="http://schemas.openxmlformats.org/officeDocument/2006/relationships/header" Target="header24.xml"/><Relationship Id="rId96" Type="http://schemas.openxmlformats.org/officeDocument/2006/relationships/footer" Target="footer26.xml"/><Relationship Id="rId140" Type="http://schemas.openxmlformats.org/officeDocument/2006/relationships/header" Target="header47.xml"/><Relationship Id="rId145" Type="http://schemas.openxmlformats.org/officeDocument/2006/relationships/footer" Target="footer52.xml"/><Relationship Id="rId161" Type="http://schemas.openxmlformats.org/officeDocument/2006/relationships/image" Target="media/image40.png"/><Relationship Id="rId16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23" Type="http://schemas.openxmlformats.org/officeDocument/2006/relationships/header" Target="header6.xml"/><Relationship Id="rId28" Type="http://schemas.openxmlformats.org/officeDocument/2006/relationships/footer" Target="footer8.xml"/><Relationship Id="rId49" Type="http://schemas.openxmlformats.org/officeDocument/2006/relationships/hyperlink" Target="http://www.Metoeblue.fr" TargetMode="External"/><Relationship Id="rId114" Type="http://schemas.openxmlformats.org/officeDocument/2006/relationships/header" Target="header34.xml"/><Relationship Id="rId119" Type="http://schemas.openxmlformats.org/officeDocument/2006/relationships/footer" Target="footer39.xml"/><Relationship Id="rId44" Type="http://schemas.openxmlformats.org/officeDocument/2006/relationships/image" Target="media/image12.png"/><Relationship Id="rId60" Type="http://schemas.openxmlformats.org/officeDocument/2006/relationships/image" Target="media/image22.jpeg"/><Relationship Id="rId65" Type="http://schemas.openxmlformats.org/officeDocument/2006/relationships/footer" Target="footer17.xml"/><Relationship Id="rId81" Type="http://schemas.openxmlformats.org/officeDocument/2006/relationships/header" Target="header20.xml"/><Relationship Id="rId86" Type="http://schemas.openxmlformats.org/officeDocument/2006/relationships/header" Target="header22.xml"/><Relationship Id="rId130" Type="http://schemas.openxmlformats.org/officeDocument/2006/relationships/header" Target="header42.xml"/><Relationship Id="rId135" Type="http://schemas.openxmlformats.org/officeDocument/2006/relationships/footer" Target="footer47.xml"/><Relationship Id="rId151" Type="http://schemas.openxmlformats.org/officeDocument/2006/relationships/footer" Target="footer55.xml"/><Relationship Id="rId156" Type="http://schemas.openxmlformats.org/officeDocument/2006/relationships/footer" Target="footer57.xml"/><Relationship Id="rId13" Type="http://schemas.openxmlformats.org/officeDocument/2006/relationships/header" Target="header1.xml"/><Relationship Id="rId18" Type="http://schemas.openxmlformats.org/officeDocument/2006/relationships/footer" Target="footer3.xml"/><Relationship Id="rId39" Type="http://schemas.openxmlformats.org/officeDocument/2006/relationships/header" Target="header12.xml"/><Relationship Id="rId109" Type="http://schemas.openxmlformats.org/officeDocument/2006/relationships/footer" Target="footer34.xml"/><Relationship Id="rId34" Type="http://schemas.openxmlformats.org/officeDocument/2006/relationships/header" Target="header10.xml"/><Relationship Id="rId50" Type="http://schemas.openxmlformats.org/officeDocument/2006/relationships/image" Target="media/image17.png"/><Relationship Id="rId55" Type="http://schemas.openxmlformats.org/officeDocument/2006/relationships/header" Target="header14.xml"/><Relationship Id="rId76" Type="http://schemas.openxmlformats.org/officeDocument/2006/relationships/image" Target="media/image32.jpeg"/><Relationship Id="rId97" Type="http://schemas.openxmlformats.org/officeDocument/2006/relationships/footer" Target="footer27.xml"/><Relationship Id="rId104" Type="http://schemas.openxmlformats.org/officeDocument/2006/relationships/header" Target="header29.xml"/><Relationship Id="rId120" Type="http://schemas.openxmlformats.org/officeDocument/2006/relationships/header" Target="header37.xml"/><Relationship Id="rId125" Type="http://schemas.openxmlformats.org/officeDocument/2006/relationships/footer" Target="footer42.xml"/><Relationship Id="rId141" Type="http://schemas.openxmlformats.org/officeDocument/2006/relationships/footer" Target="footer50.xml"/><Relationship Id="rId146" Type="http://schemas.openxmlformats.org/officeDocument/2006/relationships/header" Target="header50.xml"/><Relationship Id="rId167" Type="http://schemas.openxmlformats.org/officeDocument/2006/relationships/theme" Target="theme/theme1.xml"/><Relationship Id="rId7" Type="http://schemas.openxmlformats.org/officeDocument/2006/relationships/settings" Target="settings.xml"/><Relationship Id="rId71" Type="http://schemas.openxmlformats.org/officeDocument/2006/relationships/image" Target="media/image27.jpeg"/><Relationship Id="rId92" Type="http://schemas.openxmlformats.org/officeDocument/2006/relationships/footer" Target="footer24.xml"/><Relationship Id="rId162" Type="http://schemas.openxmlformats.org/officeDocument/2006/relationships/footer" Target="footer58.xml"/><Relationship Id="rId2" Type="http://schemas.openxmlformats.org/officeDocument/2006/relationships/customXml" Target="../customXml/item2.xml"/><Relationship Id="rId29" Type="http://schemas.openxmlformats.org/officeDocument/2006/relationships/header" Target="header9.xml"/><Relationship Id="rId24" Type="http://schemas.openxmlformats.org/officeDocument/2006/relationships/footer" Target="footer6.xml"/><Relationship Id="rId40" Type="http://schemas.openxmlformats.org/officeDocument/2006/relationships/footer" Target="footer12.xml"/><Relationship Id="rId45" Type="http://schemas.openxmlformats.org/officeDocument/2006/relationships/image" Target="media/image13.png"/><Relationship Id="rId66" Type="http://schemas.openxmlformats.org/officeDocument/2006/relationships/image" Target="media/image24.jpeg"/><Relationship Id="rId87" Type="http://schemas.openxmlformats.org/officeDocument/2006/relationships/footer" Target="footer22.xml"/><Relationship Id="rId110" Type="http://schemas.openxmlformats.org/officeDocument/2006/relationships/header" Target="header32.xml"/><Relationship Id="rId115" Type="http://schemas.openxmlformats.org/officeDocument/2006/relationships/footer" Target="footer37.xml"/><Relationship Id="rId131" Type="http://schemas.openxmlformats.org/officeDocument/2006/relationships/footer" Target="footer45.xml"/><Relationship Id="rId136" Type="http://schemas.openxmlformats.org/officeDocument/2006/relationships/header" Target="header45.xml"/><Relationship Id="rId157" Type="http://schemas.openxmlformats.org/officeDocument/2006/relationships/image" Target="media/image38.png"/><Relationship Id="rId61" Type="http://schemas.openxmlformats.org/officeDocument/2006/relationships/header" Target="header16.xml"/><Relationship Id="rId82" Type="http://schemas.openxmlformats.org/officeDocument/2006/relationships/footer" Target="footer20.xml"/><Relationship Id="rId152" Type="http://schemas.openxmlformats.org/officeDocument/2006/relationships/image" Target="media/image37.png"/><Relationship Id="rId19" Type="http://schemas.openxmlformats.org/officeDocument/2006/relationships/header" Target="header4.xml"/><Relationship Id="rId14" Type="http://schemas.openxmlformats.org/officeDocument/2006/relationships/footer" Target="footer1.xml"/><Relationship Id="rId30" Type="http://schemas.openxmlformats.org/officeDocument/2006/relationships/footer" Target="footer9.xml"/><Relationship Id="rId35" Type="http://schemas.openxmlformats.org/officeDocument/2006/relationships/footer" Target="footer10.xml"/><Relationship Id="rId56" Type="http://schemas.openxmlformats.org/officeDocument/2006/relationships/footer" Target="footer14.xml"/><Relationship Id="rId77" Type="http://schemas.openxmlformats.org/officeDocument/2006/relationships/image" Target="media/image33.jpeg"/><Relationship Id="rId100" Type="http://schemas.openxmlformats.org/officeDocument/2006/relationships/header" Target="header27.xml"/><Relationship Id="rId105" Type="http://schemas.openxmlformats.org/officeDocument/2006/relationships/footer" Target="footer32.xml"/><Relationship Id="rId126" Type="http://schemas.openxmlformats.org/officeDocument/2006/relationships/header" Target="header40.xml"/><Relationship Id="rId147" Type="http://schemas.openxmlformats.org/officeDocument/2006/relationships/footer" Target="footer53.xml"/><Relationship Id="rId168" Type="http://schemas.microsoft.com/office/2016/09/relationships/commentsIds" Target="commentsIds.xml"/><Relationship Id="rId8" Type="http://schemas.openxmlformats.org/officeDocument/2006/relationships/webSettings" Target="webSettings.xml"/><Relationship Id="rId51" Type="http://schemas.openxmlformats.org/officeDocument/2006/relationships/image" Target="media/image18.png"/><Relationship Id="rId72" Type="http://schemas.openxmlformats.org/officeDocument/2006/relationships/image" Target="media/image28.jpeg"/><Relationship Id="rId93" Type="http://schemas.openxmlformats.org/officeDocument/2006/relationships/header" Target="header25.xml"/><Relationship Id="rId98" Type="http://schemas.openxmlformats.org/officeDocument/2006/relationships/footer" Target="footer28.xml"/><Relationship Id="rId121" Type="http://schemas.openxmlformats.org/officeDocument/2006/relationships/footer" Target="footer40.xml"/><Relationship Id="rId142" Type="http://schemas.openxmlformats.org/officeDocument/2006/relationships/header" Target="header48.xml"/><Relationship Id="rId163" Type="http://schemas.openxmlformats.org/officeDocument/2006/relationships/footer" Target="footer59.xml"/><Relationship Id="rId3" Type="http://schemas.openxmlformats.org/officeDocument/2006/relationships/customXml" Target="../customXml/item3.xml"/><Relationship Id="rId25" Type="http://schemas.openxmlformats.org/officeDocument/2006/relationships/header" Target="header7.xml"/><Relationship Id="rId46" Type="http://schemas.openxmlformats.org/officeDocument/2006/relationships/image" Target="media/image14.png"/><Relationship Id="rId67" Type="http://schemas.openxmlformats.org/officeDocument/2006/relationships/header" Target="header18.xml"/><Relationship Id="rId116" Type="http://schemas.openxmlformats.org/officeDocument/2006/relationships/header" Target="header35.xml"/><Relationship Id="rId137" Type="http://schemas.openxmlformats.org/officeDocument/2006/relationships/footer" Target="footer48.xml"/><Relationship Id="rId158" Type="http://schemas.openxmlformats.org/officeDocument/2006/relationships/image" Target="media/image39.png"/><Relationship Id="rId20" Type="http://schemas.openxmlformats.org/officeDocument/2006/relationships/footer" Target="footer4.xml"/><Relationship Id="rId41" Type="http://schemas.openxmlformats.org/officeDocument/2006/relationships/image" Target="media/image9.png"/><Relationship Id="rId62" Type="http://schemas.openxmlformats.org/officeDocument/2006/relationships/footer" Target="footer16.xml"/><Relationship Id="rId83" Type="http://schemas.openxmlformats.org/officeDocument/2006/relationships/header" Target="header21.xml"/><Relationship Id="rId88" Type="http://schemas.openxmlformats.org/officeDocument/2006/relationships/header" Target="header23.xml"/><Relationship Id="rId111" Type="http://schemas.openxmlformats.org/officeDocument/2006/relationships/footer" Target="footer35.xml"/><Relationship Id="rId132" Type="http://schemas.openxmlformats.org/officeDocument/2006/relationships/header" Target="header43.xml"/><Relationship Id="rId153" Type="http://schemas.openxmlformats.org/officeDocument/2006/relationships/header" Target="header53.xml"/><Relationship Id="rId15" Type="http://schemas.openxmlformats.org/officeDocument/2006/relationships/header" Target="header2.xml"/><Relationship Id="rId36" Type="http://schemas.openxmlformats.org/officeDocument/2006/relationships/header" Target="header11.xml"/><Relationship Id="rId57" Type="http://schemas.openxmlformats.org/officeDocument/2006/relationships/image" Target="media/image21.png"/><Relationship Id="rId106" Type="http://schemas.openxmlformats.org/officeDocument/2006/relationships/header" Target="header30.xml"/><Relationship Id="rId127" Type="http://schemas.openxmlformats.org/officeDocument/2006/relationships/footer" Target="footer43.xml"/><Relationship Id="rId10" Type="http://schemas.openxmlformats.org/officeDocument/2006/relationships/endnotes" Target="endnotes.xml"/><Relationship Id="rId31" Type="http://schemas.openxmlformats.org/officeDocument/2006/relationships/image" Target="media/image5.png"/><Relationship Id="rId52" Type="http://schemas.openxmlformats.org/officeDocument/2006/relationships/header" Target="header13.xml"/><Relationship Id="rId73" Type="http://schemas.openxmlformats.org/officeDocument/2006/relationships/image" Target="media/image29.jpeg"/><Relationship Id="rId78" Type="http://schemas.openxmlformats.org/officeDocument/2006/relationships/header" Target="header19.xml"/><Relationship Id="rId94" Type="http://schemas.openxmlformats.org/officeDocument/2006/relationships/footer" Target="footer25.xml"/><Relationship Id="rId99" Type="http://schemas.openxmlformats.org/officeDocument/2006/relationships/footer" Target="footer29.xml"/><Relationship Id="rId101" Type="http://schemas.openxmlformats.org/officeDocument/2006/relationships/footer" Target="footer30.xml"/><Relationship Id="rId122" Type="http://schemas.openxmlformats.org/officeDocument/2006/relationships/header" Target="header38.xml"/><Relationship Id="rId143" Type="http://schemas.openxmlformats.org/officeDocument/2006/relationships/footer" Target="footer51.xml"/><Relationship Id="rId148" Type="http://schemas.openxmlformats.org/officeDocument/2006/relationships/header" Target="header51.xml"/><Relationship Id="rId164" Type="http://schemas.openxmlformats.org/officeDocument/2006/relationships/footer" Target="footer60.xml"/><Relationship Id="rId169" Type="http://schemas.microsoft.com/office/2018/08/relationships/commentsExtensible" Target="commentsExtensible.xml"/><Relationship Id="rId4" Type="http://schemas.openxmlformats.org/officeDocument/2006/relationships/customXml" Target="../customXml/item4.xml"/><Relationship Id="rId9" Type="http://schemas.openxmlformats.org/officeDocument/2006/relationships/footnotes" Target="footnotes.xml"/><Relationship Id="rId26" Type="http://schemas.openxmlformats.org/officeDocument/2006/relationships/footer" Target="footer7.xml"/><Relationship Id="rId47" Type="http://schemas.openxmlformats.org/officeDocument/2006/relationships/image" Target="media/image15.png"/><Relationship Id="rId68" Type="http://schemas.openxmlformats.org/officeDocument/2006/relationships/footer" Target="footer18.xml"/><Relationship Id="rId89" Type="http://schemas.openxmlformats.org/officeDocument/2006/relationships/footer" Target="footer23.xml"/><Relationship Id="rId112" Type="http://schemas.openxmlformats.org/officeDocument/2006/relationships/header" Target="header33.xml"/><Relationship Id="rId133" Type="http://schemas.openxmlformats.org/officeDocument/2006/relationships/footer" Target="footer46.xml"/><Relationship Id="rId154" Type="http://schemas.openxmlformats.org/officeDocument/2006/relationships/footer" Target="footer56.xml"/><Relationship Id="rId16" Type="http://schemas.openxmlformats.org/officeDocument/2006/relationships/footer" Target="footer2.xml"/><Relationship Id="rId37" Type="http://schemas.openxmlformats.org/officeDocument/2006/relationships/footer" Target="footer11.xml"/><Relationship Id="rId58" Type="http://schemas.openxmlformats.org/officeDocument/2006/relationships/header" Target="header15.xml"/><Relationship Id="rId79" Type="http://schemas.openxmlformats.org/officeDocument/2006/relationships/footer" Target="footer19.xml"/><Relationship Id="rId102" Type="http://schemas.openxmlformats.org/officeDocument/2006/relationships/header" Target="header28.xml"/><Relationship Id="rId123" Type="http://schemas.openxmlformats.org/officeDocument/2006/relationships/footer" Target="footer41.xml"/><Relationship Id="rId144" Type="http://schemas.openxmlformats.org/officeDocument/2006/relationships/header" Target="header49.xml"/><Relationship Id="rId90" Type="http://schemas.openxmlformats.org/officeDocument/2006/relationships/image" Target="media/image36.jpeg"/><Relationship Id="rId165" Type="http://schemas.openxmlformats.org/officeDocument/2006/relationships/fontTable" Target="fontTable.xml"/><Relationship Id="rId27" Type="http://schemas.openxmlformats.org/officeDocument/2006/relationships/header" Target="header8.xml"/><Relationship Id="rId48" Type="http://schemas.openxmlformats.org/officeDocument/2006/relationships/image" Target="media/image16.png"/><Relationship Id="rId69" Type="http://schemas.openxmlformats.org/officeDocument/2006/relationships/image" Target="media/image25.png"/><Relationship Id="rId113" Type="http://schemas.openxmlformats.org/officeDocument/2006/relationships/footer" Target="footer36.xml"/><Relationship Id="rId134" Type="http://schemas.openxmlformats.org/officeDocument/2006/relationships/header" Target="header44.xml"/><Relationship Id="rId80" Type="http://schemas.openxmlformats.org/officeDocument/2006/relationships/image" Target="media/image34.png"/><Relationship Id="rId155" Type="http://schemas.openxmlformats.org/officeDocument/2006/relationships/header" Target="header54.xml"/><Relationship Id="rId17" Type="http://schemas.openxmlformats.org/officeDocument/2006/relationships/header" Target="header3.xml"/><Relationship Id="rId38" Type="http://schemas.openxmlformats.org/officeDocument/2006/relationships/image" Target="media/image8.jpeg"/><Relationship Id="rId59" Type="http://schemas.openxmlformats.org/officeDocument/2006/relationships/footer" Target="footer15.xml"/><Relationship Id="rId103" Type="http://schemas.openxmlformats.org/officeDocument/2006/relationships/footer" Target="footer31.xml"/><Relationship Id="rId124" Type="http://schemas.openxmlformats.org/officeDocument/2006/relationships/header" Target="header39.xml"/></Relationships>
</file>

<file path=word/_rels/footer10.xml.rels><?xml version="1.0" encoding="UTF-8" standalone="yes"?>
<Relationships xmlns="http://schemas.openxmlformats.org/package/2006/relationships"><Relationship Id="rId1" Type="http://schemas.openxmlformats.org/officeDocument/2006/relationships/image" Target="media/image2.jpeg"/></Relationships>
</file>

<file path=word/_rels/footer11.xml.rels><?xml version="1.0" encoding="UTF-8" standalone="yes"?>
<Relationships xmlns="http://schemas.openxmlformats.org/package/2006/relationships"><Relationship Id="rId1" Type="http://schemas.openxmlformats.org/officeDocument/2006/relationships/image" Target="media/image2.jpeg"/></Relationships>
</file>

<file path=word/_rels/footer12.xml.rels><?xml version="1.0" encoding="UTF-8" standalone="yes"?>
<Relationships xmlns="http://schemas.openxmlformats.org/package/2006/relationships"><Relationship Id="rId1" Type="http://schemas.openxmlformats.org/officeDocument/2006/relationships/image" Target="media/image2.jpeg"/></Relationships>
</file>

<file path=word/_rels/footer13.xml.rels><?xml version="1.0" encoding="UTF-8" standalone="yes"?>
<Relationships xmlns="http://schemas.openxmlformats.org/package/2006/relationships"><Relationship Id="rId1" Type="http://schemas.openxmlformats.org/officeDocument/2006/relationships/image" Target="media/image2.jpeg"/></Relationships>
</file>

<file path=word/_rels/footer14.xml.rels><?xml version="1.0" encoding="UTF-8" standalone="yes"?>
<Relationships xmlns="http://schemas.openxmlformats.org/package/2006/relationships"><Relationship Id="rId1" Type="http://schemas.openxmlformats.org/officeDocument/2006/relationships/image" Target="media/image2.jpeg"/></Relationships>
</file>

<file path=word/_rels/footer15.xml.rels><?xml version="1.0" encoding="UTF-8" standalone="yes"?>
<Relationships xmlns="http://schemas.openxmlformats.org/package/2006/relationships"><Relationship Id="rId1" Type="http://schemas.openxmlformats.org/officeDocument/2006/relationships/image" Target="media/image2.jpeg"/></Relationships>
</file>

<file path=word/_rels/footer16.xml.rels><?xml version="1.0" encoding="UTF-8" standalone="yes"?>
<Relationships xmlns="http://schemas.openxmlformats.org/package/2006/relationships"><Relationship Id="rId1" Type="http://schemas.openxmlformats.org/officeDocument/2006/relationships/image" Target="media/image2.jpeg"/></Relationships>
</file>

<file path=word/_rels/footer17.xml.rels><?xml version="1.0" encoding="UTF-8" standalone="yes"?>
<Relationships xmlns="http://schemas.openxmlformats.org/package/2006/relationships"><Relationship Id="rId1" Type="http://schemas.openxmlformats.org/officeDocument/2006/relationships/image" Target="media/image2.jpeg"/></Relationships>
</file>

<file path=word/_rels/footer18.xml.rels><?xml version="1.0" encoding="UTF-8" standalone="yes"?>
<Relationships xmlns="http://schemas.openxmlformats.org/package/2006/relationships"><Relationship Id="rId1" Type="http://schemas.openxmlformats.org/officeDocument/2006/relationships/image" Target="media/image2.jpeg"/></Relationships>
</file>

<file path=word/_rels/footer19.xml.rels><?xml version="1.0" encoding="UTF-8" standalone="yes"?>
<Relationships xmlns="http://schemas.openxmlformats.org/package/2006/relationships"><Relationship Id="rId1" Type="http://schemas.openxmlformats.org/officeDocument/2006/relationships/image" Target="media/image2.jpeg"/></Relationships>
</file>

<file path=word/_rels/footer20.xml.rels><?xml version="1.0" encoding="UTF-8" standalone="yes"?>
<Relationships xmlns="http://schemas.openxmlformats.org/package/2006/relationships"><Relationship Id="rId1" Type="http://schemas.openxmlformats.org/officeDocument/2006/relationships/image" Target="media/image2.jpeg"/></Relationships>
</file>

<file path=word/_rels/footer21.xml.rels><?xml version="1.0" encoding="UTF-8" standalone="yes"?>
<Relationships xmlns="http://schemas.openxmlformats.org/package/2006/relationships"><Relationship Id="rId1" Type="http://schemas.openxmlformats.org/officeDocument/2006/relationships/image" Target="media/image2.jpeg"/></Relationships>
</file>

<file path=word/_rels/footer22.xml.rels><?xml version="1.0" encoding="UTF-8" standalone="yes"?>
<Relationships xmlns="http://schemas.openxmlformats.org/package/2006/relationships"><Relationship Id="rId1" Type="http://schemas.openxmlformats.org/officeDocument/2006/relationships/image" Target="media/image2.jpeg"/></Relationships>
</file>

<file path=word/_rels/footer23.xml.rels><?xml version="1.0" encoding="UTF-8" standalone="yes"?>
<Relationships xmlns="http://schemas.openxmlformats.org/package/2006/relationships"><Relationship Id="rId1" Type="http://schemas.openxmlformats.org/officeDocument/2006/relationships/image" Target="media/image2.jpeg"/></Relationships>
</file>

<file path=word/_rels/footer24.xml.rels><?xml version="1.0" encoding="UTF-8" standalone="yes"?>
<Relationships xmlns="http://schemas.openxmlformats.org/package/2006/relationships"><Relationship Id="rId1" Type="http://schemas.openxmlformats.org/officeDocument/2006/relationships/image" Target="media/image2.jpeg"/></Relationships>
</file>

<file path=word/_rels/footer25.xml.rels><?xml version="1.0" encoding="UTF-8" standalone="yes"?>
<Relationships xmlns="http://schemas.openxmlformats.org/package/2006/relationships"><Relationship Id="rId1" Type="http://schemas.openxmlformats.org/officeDocument/2006/relationships/image" Target="media/image2.jpeg"/></Relationships>
</file>

<file path=word/_rels/footer26.xml.rels><?xml version="1.0" encoding="UTF-8" standalone="yes"?>
<Relationships xmlns="http://schemas.openxmlformats.org/package/2006/relationships"><Relationship Id="rId1" Type="http://schemas.openxmlformats.org/officeDocument/2006/relationships/image" Target="media/image2.jpeg"/></Relationships>
</file>

<file path=word/_rels/footer27.xml.rels><?xml version="1.0" encoding="UTF-8" standalone="yes"?>
<Relationships xmlns="http://schemas.openxmlformats.org/package/2006/relationships"><Relationship Id="rId1" Type="http://schemas.openxmlformats.org/officeDocument/2006/relationships/image" Target="media/image2.jpeg"/></Relationships>
</file>

<file path=word/_rels/footer28.xml.rels><?xml version="1.0" encoding="UTF-8" standalone="yes"?>
<Relationships xmlns="http://schemas.openxmlformats.org/package/2006/relationships"><Relationship Id="rId1" Type="http://schemas.openxmlformats.org/officeDocument/2006/relationships/image" Target="media/image2.jpeg"/></Relationships>
</file>

<file path=word/_rels/footer29.xml.rels><?xml version="1.0" encoding="UTF-8" standalone="yes"?>
<Relationships xmlns="http://schemas.openxmlformats.org/package/2006/relationships"><Relationship Id="rId1" Type="http://schemas.openxmlformats.org/officeDocument/2006/relationships/image" Target="media/image2.jpeg"/></Relationships>
</file>

<file path=word/_rels/footer3.xml.rels><?xml version="1.0" encoding="UTF-8" standalone="yes"?>
<Relationships xmlns="http://schemas.openxmlformats.org/package/2006/relationships"><Relationship Id="rId1" Type="http://schemas.openxmlformats.org/officeDocument/2006/relationships/image" Target="media/image2.jpeg"/></Relationships>
</file>

<file path=word/_rels/footer30.xml.rels><?xml version="1.0" encoding="UTF-8" standalone="yes"?>
<Relationships xmlns="http://schemas.openxmlformats.org/package/2006/relationships"><Relationship Id="rId1" Type="http://schemas.openxmlformats.org/officeDocument/2006/relationships/image" Target="media/image2.jpeg"/></Relationships>
</file>

<file path=word/_rels/footer31.xml.rels><?xml version="1.0" encoding="UTF-8" standalone="yes"?>
<Relationships xmlns="http://schemas.openxmlformats.org/package/2006/relationships"><Relationship Id="rId1" Type="http://schemas.openxmlformats.org/officeDocument/2006/relationships/image" Target="media/image2.jpeg"/></Relationships>
</file>

<file path=word/_rels/footer32.xml.rels><?xml version="1.0" encoding="UTF-8" standalone="yes"?>
<Relationships xmlns="http://schemas.openxmlformats.org/package/2006/relationships"><Relationship Id="rId1" Type="http://schemas.openxmlformats.org/officeDocument/2006/relationships/image" Target="media/image2.jpeg"/></Relationships>
</file>

<file path=word/_rels/footer33.xml.rels><?xml version="1.0" encoding="UTF-8" standalone="yes"?>
<Relationships xmlns="http://schemas.openxmlformats.org/package/2006/relationships"><Relationship Id="rId1" Type="http://schemas.openxmlformats.org/officeDocument/2006/relationships/image" Target="media/image2.jpeg"/></Relationships>
</file>

<file path=word/_rels/footer34.xml.rels><?xml version="1.0" encoding="UTF-8" standalone="yes"?>
<Relationships xmlns="http://schemas.openxmlformats.org/package/2006/relationships"><Relationship Id="rId1" Type="http://schemas.openxmlformats.org/officeDocument/2006/relationships/image" Target="media/image2.jpeg"/></Relationships>
</file>

<file path=word/_rels/footer35.xml.rels><?xml version="1.0" encoding="UTF-8" standalone="yes"?>
<Relationships xmlns="http://schemas.openxmlformats.org/package/2006/relationships"><Relationship Id="rId1" Type="http://schemas.openxmlformats.org/officeDocument/2006/relationships/image" Target="media/image2.jpeg"/></Relationships>
</file>

<file path=word/_rels/footer36.xml.rels><?xml version="1.0" encoding="UTF-8" standalone="yes"?>
<Relationships xmlns="http://schemas.openxmlformats.org/package/2006/relationships"><Relationship Id="rId1" Type="http://schemas.openxmlformats.org/officeDocument/2006/relationships/image" Target="media/image2.jpeg"/></Relationships>
</file>

<file path=word/_rels/footer37.xml.rels><?xml version="1.0" encoding="UTF-8" standalone="yes"?>
<Relationships xmlns="http://schemas.openxmlformats.org/package/2006/relationships"><Relationship Id="rId1" Type="http://schemas.openxmlformats.org/officeDocument/2006/relationships/image" Target="media/image2.jpeg"/></Relationships>
</file>

<file path=word/_rels/footer38.xml.rels><?xml version="1.0" encoding="UTF-8" standalone="yes"?>
<Relationships xmlns="http://schemas.openxmlformats.org/package/2006/relationships"><Relationship Id="rId1" Type="http://schemas.openxmlformats.org/officeDocument/2006/relationships/image" Target="media/image2.jpeg"/></Relationships>
</file>

<file path=word/_rels/footer39.xml.rels><?xml version="1.0" encoding="UTF-8" standalone="yes"?>
<Relationships xmlns="http://schemas.openxmlformats.org/package/2006/relationships"><Relationship Id="rId1" Type="http://schemas.openxmlformats.org/officeDocument/2006/relationships/image" Target="media/image2.jpeg"/></Relationships>
</file>

<file path=word/_rels/footer4.xml.rels><?xml version="1.0" encoding="UTF-8" standalone="yes"?>
<Relationships xmlns="http://schemas.openxmlformats.org/package/2006/relationships"><Relationship Id="rId1" Type="http://schemas.openxmlformats.org/officeDocument/2006/relationships/image" Target="media/image2.jpeg"/></Relationships>
</file>

<file path=word/_rels/footer40.xml.rels><?xml version="1.0" encoding="UTF-8" standalone="yes"?>
<Relationships xmlns="http://schemas.openxmlformats.org/package/2006/relationships"><Relationship Id="rId1" Type="http://schemas.openxmlformats.org/officeDocument/2006/relationships/image" Target="media/image2.jpeg"/></Relationships>
</file>

<file path=word/_rels/footer41.xml.rels><?xml version="1.0" encoding="UTF-8" standalone="yes"?>
<Relationships xmlns="http://schemas.openxmlformats.org/package/2006/relationships"><Relationship Id="rId1" Type="http://schemas.openxmlformats.org/officeDocument/2006/relationships/image" Target="media/image2.jpeg"/></Relationships>
</file>

<file path=word/_rels/footer42.xml.rels><?xml version="1.0" encoding="UTF-8" standalone="yes"?>
<Relationships xmlns="http://schemas.openxmlformats.org/package/2006/relationships"><Relationship Id="rId1" Type="http://schemas.openxmlformats.org/officeDocument/2006/relationships/image" Target="media/image2.jpeg"/></Relationships>
</file>

<file path=word/_rels/footer43.xml.rels><?xml version="1.0" encoding="UTF-8" standalone="yes"?>
<Relationships xmlns="http://schemas.openxmlformats.org/package/2006/relationships"><Relationship Id="rId1" Type="http://schemas.openxmlformats.org/officeDocument/2006/relationships/image" Target="media/image2.jpeg"/></Relationships>
</file>

<file path=word/_rels/footer44.xml.rels><?xml version="1.0" encoding="UTF-8" standalone="yes"?>
<Relationships xmlns="http://schemas.openxmlformats.org/package/2006/relationships"><Relationship Id="rId1" Type="http://schemas.openxmlformats.org/officeDocument/2006/relationships/image" Target="media/image2.jpeg"/></Relationships>
</file>

<file path=word/_rels/footer45.xml.rels><?xml version="1.0" encoding="UTF-8" standalone="yes"?>
<Relationships xmlns="http://schemas.openxmlformats.org/package/2006/relationships"><Relationship Id="rId1" Type="http://schemas.openxmlformats.org/officeDocument/2006/relationships/image" Target="media/image2.jpeg"/></Relationships>
</file>

<file path=word/_rels/footer46.xml.rels><?xml version="1.0" encoding="UTF-8" standalone="yes"?>
<Relationships xmlns="http://schemas.openxmlformats.org/package/2006/relationships"><Relationship Id="rId1" Type="http://schemas.openxmlformats.org/officeDocument/2006/relationships/image" Target="media/image2.jpeg"/></Relationships>
</file>

<file path=word/_rels/footer47.xml.rels><?xml version="1.0" encoding="UTF-8" standalone="yes"?>
<Relationships xmlns="http://schemas.openxmlformats.org/package/2006/relationships"><Relationship Id="rId1" Type="http://schemas.openxmlformats.org/officeDocument/2006/relationships/image" Target="media/image2.jpeg"/></Relationships>
</file>

<file path=word/_rels/footer48.xml.rels><?xml version="1.0" encoding="UTF-8" standalone="yes"?>
<Relationships xmlns="http://schemas.openxmlformats.org/package/2006/relationships"><Relationship Id="rId1" Type="http://schemas.openxmlformats.org/officeDocument/2006/relationships/image" Target="media/image2.jpeg"/></Relationships>
</file>

<file path=word/_rels/footer49.xml.rels><?xml version="1.0" encoding="UTF-8" standalone="yes"?>
<Relationships xmlns="http://schemas.openxmlformats.org/package/2006/relationships"><Relationship Id="rId1" Type="http://schemas.openxmlformats.org/officeDocument/2006/relationships/image" Target="media/image2.jpeg"/></Relationships>
</file>

<file path=word/_rels/footer5.xml.rels><?xml version="1.0" encoding="UTF-8" standalone="yes"?>
<Relationships xmlns="http://schemas.openxmlformats.org/package/2006/relationships"><Relationship Id="rId1" Type="http://schemas.openxmlformats.org/officeDocument/2006/relationships/image" Target="media/image2.jpeg"/></Relationships>
</file>

<file path=word/_rels/footer50.xml.rels><?xml version="1.0" encoding="UTF-8" standalone="yes"?>
<Relationships xmlns="http://schemas.openxmlformats.org/package/2006/relationships"><Relationship Id="rId1" Type="http://schemas.openxmlformats.org/officeDocument/2006/relationships/image" Target="media/image2.jpeg"/></Relationships>
</file>

<file path=word/_rels/footer51.xml.rels><?xml version="1.0" encoding="UTF-8" standalone="yes"?>
<Relationships xmlns="http://schemas.openxmlformats.org/package/2006/relationships"><Relationship Id="rId1" Type="http://schemas.openxmlformats.org/officeDocument/2006/relationships/image" Target="media/image2.jpeg"/></Relationships>
</file>

<file path=word/_rels/footer52.xml.rels><?xml version="1.0" encoding="UTF-8" standalone="yes"?>
<Relationships xmlns="http://schemas.openxmlformats.org/package/2006/relationships"><Relationship Id="rId1" Type="http://schemas.openxmlformats.org/officeDocument/2006/relationships/image" Target="media/image2.jpeg"/></Relationships>
</file>

<file path=word/_rels/footer53.xml.rels><?xml version="1.0" encoding="UTF-8" standalone="yes"?>
<Relationships xmlns="http://schemas.openxmlformats.org/package/2006/relationships"><Relationship Id="rId1" Type="http://schemas.openxmlformats.org/officeDocument/2006/relationships/image" Target="media/image2.jpeg"/></Relationships>
</file>

<file path=word/_rels/footer54.xml.rels><?xml version="1.0" encoding="UTF-8" standalone="yes"?>
<Relationships xmlns="http://schemas.openxmlformats.org/package/2006/relationships"><Relationship Id="rId1" Type="http://schemas.openxmlformats.org/officeDocument/2006/relationships/image" Target="media/image2.jpeg"/></Relationships>
</file>

<file path=word/_rels/footer55.xml.rels><?xml version="1.0" encoding="UTF-8" standalone="yes"?>
<Relationships xmlns="http://schemas.openxmlformats.org/package/2006/relationships"><Relationship Id="rId1" Type="http://schemas.openxmlformats.org/officeDocument/2006/relationships/image" Target="media/image2.jpeg"/></Relationships>
</file>

<file path=word/_rels/footer56.xml.rels><?xml version="1.0" encoding="UTF-8" standalone="yes"?>
<Relationships xmlns="http://schemas.openxmlformats.org/package/2006/relationships"><Relationship Id="rId1" Type="http://schemas.openxmlformats.org/officeDocument/2006/relationships/image" Target="media/image2.jpeg"/></Relationships>
</file>

<file path=word/_rels/footer57.xml.rels><?xml version="1.0" encoding="UTF-8" standalone="yes"?>
<Relationships xmlns="http://schemas.openxmlformats.org/package/2006/relationships"><Relationship Id="rId1" Type="http://schemas.openxmlformats.org/officeDocument/2006/relationships/image" Target="media/image2.jpeg"/></Relationships>
</file>

<file path=word/_rels/footer6.xml.rels><?xml version="1.0" encoding="UTF-8" standalone="yes"?>
<Relationships xmlns="http://schemas.openxmlformats.org/package/2006/relationships"><Relationship Id="rId1" Type="http://schemas.openxmlformats.org/officeDocument/2006/relationships/image" Target="media/image2.jpeg"/></Relationships>
</file>

<file path=word/_rels/footer7.xml.rels><?xml version="1.0" encoding="UTF-8" standalone="yes"?>
<Relationships xmlns="http://schemas.openxmlformats.org/package/2006/relationships"><Relationship Id="rId1" Type="http://schemas.openxmlformats.org/officeDocument/2006/relationships/image" Target="media/image2.jpeg"/></Relationships>
</file>

<file path=word/_rels/footer8.xml.rels><?xml version="1.0" encoding="UTF-8" standalone="yes"?>
<Relationships xmlns="http://schemas.openxmlformats.org/package/2006/relationships"><Relationship Id="rId1" Type="http://schemas.openxmlformats.org/officeDocument/2006/relationships/image" Target="media/image2.jpeg"/></Relationships>
</file>

<file path=word/_rels/footer9.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10.xml.rels><?xml version="1.0" encoding="UTF-8" standalone="yes"?>
<Relationships xmlns="http://schemas.openxmlformats.org/package/2006/relationships"><Relationship Id="rId2" Type="http://schemas.openxmlformats.org/officeDocument/2006/relationships/image" Target="cid:image003.jpg@01DC490A.067BF5C0" TargetMode="External"/><Relationship Id="rId1" Type="http://schemas.openxmlformats.org/officeDocument/2006/relationships/image" Target="media/image4.jpeg"/></Relationships>
</file>

<file path=word/_rels/header11.xml.rels><?xml version="1.0" encoding="UTF-8" standalone="yes"?>
<Relationships xmlns="http://schemas.openxmlformats.org/package/2006/relationships"><Relationship Id="rId2" Type="http://schemas.openxmlformats.org/officeDocument/2006/relationships/image" Target="cid:image003.jpg@01DC490A.067BF5C0" TargetMode="External"/><Relationship Id="rId1" Type="http://schemas.openxmlformats.org/officeDocument/2006/relationships/image" Target="media/image4.jpeg"/></Relationships>
</file>

<file path=word/_rels/header12.xml.rels><?xml version="1.0" encoding="UTF-8" standalone="yes"?>
<Relationships xmlns="http://schemas.openxmlformats.org/package/2006/relationships"><Relationship Id="rId2" Type="http://schemas.openxmlformats.org/officeDocument/2006/relationships/image" Target="cid:image003.jpg@01DC490A.067BF5C0" TargetMode="External"/><Relationship Id="rId1" Type="http://schemas.openxmlformats.org/officeDocument/2006/relationships/image" Target="media/image4.jpeg"/></Relationships>
</file>

<file path=word/_rels/header13.xml.rels><?xml version="1.0" encoding="UTF-8" standalone="yes"?>
<Relationships xmlns="http://schemas.openxmlformats.org/package/2006/relationships"><Relationship Id="rId2" Type="http://schemas.openxmlformats.org/officeDocument/2006/relationships/image" Target="cid:image003.jpg@01DC490A.067BF5C0" TargetMode="External"/><Relationship Id="rId1" Type="http://schemas.openxmlformats.org/officeDocument/2006/relationships/image" Target="media/image4.jpeg"/></Relationships>
</file>

<file path=word/_rels/header14.xml.rels><?xml version="1.0" encoding="UTF-8" standalone="yes"?>
<Relationships xmlns="http://schemas.openxmlformats.org/package/2006/relationships"><Relationship Id="rId1" Type="http://schemas.openxmlformats.org/officeDocument/2006/relationships/image" Target="media/image20.png"/></Relationships>
</file>

<file path=word/_rels/header15.xml.rels><?xml version="1.0" encoding="UTF-8" standalone="yes"?>
<Relationships xmlns="http://schemas.openxmlformats.org/package/2006/relationships"><Relationship Id="rId2" Type="http://schemas.openxmlformats.org/officeDocument/2006/relationships/image" Target="cid:image003.jpg@01DC490A.067BF5C0" TargetMode="External"/><Relationship Id="rId1" Type="http://schemas.openxmlformats.org/officeDocument/2006/relationships/image" Target="media/image4.jpeg"/></Relationships>
</file>

<file path=word/_rels/header16.xml.rels><?xml version="1.0" encoding="UTF-8" standalone="yes"?>
<Relationships xmlns="http://schemas.openxmlformats.org/package/2006/relationships"><Relationship Id="rId2" Type="http://schemas.openxmlformats.org/officeDocument/2006/relationships/image" Target="cid:image003.jpg@01DC490A.067BF5C0" TargetMode="External"/><Relationship Id="rId1" Type="http://schemas.openxmlformats.org/officeDocument/2006/relationships/image" Target="media/image4.jpeg"/></Relationships>
</file>

<file path=word/_rels/header17.xml.rels><?xml version="1.0" encoding="UTF-8" standalone="yes"?>
<Relationships xmlns="http://schemas.openxmlformats.org/package/2006/relationships"><Relationship Id="rId2" Type="http://schemas.openxmlformats.org/officeDocument/2006/relationships/image" Target="cid:image003.jpg@01DC490A.067BF5C0" TargetMode="External"/><Relationship Id="rId1" Type="http://schemas.openxmlformats.org/officeDocument/2006/relationships/image" Target="media/image4.jpeg"/></Relationships>
</file>

<file path=word/_rels/header18.xml.rels><?xml version="1.0" encoding="UTF-8" standalone="yes"?>
<Relationships xmlns="http://schemas.openxmlformats.org/package/2006/relationships"><Relationship Id="rId2" Type="http://schemas.openxmlformats.org/officeDocument/2006/relationships/image" Target="cid:image003.jpg@01DC490A.067BF5C0" TargetMode="External"/><Relationship Id="rId1" Type="http://schemas.openxmlformats.org/officeDocument/2006/relationships/image" Target="media/image4.jpeg"/></Relationships>
</file>

<file path=word/_rels/header19.xml.rels><?xml version="1.0" encoding="UTF-8" standalone="yes"?>
<Relationships xmlns="http://schemas.openxmlformats.org/package/2006/relationships"><Relationship Id="rId2" Type="http://schemas.openxmlformats.org/officeDocument/2006/relationships/image" Target="cid:image003.jpg@01DC490A.067BF5C0" TargetMode="External"/><Relationship Id="rId1" Type="http://schemas.openxmlformats.org/officeDocument/2006/relationships/image" Target="media/image4.jpeg"/></Relationships>
</file>

<file path=word/_rels/header20.xml.rels><?xml version="1.0" encoding="UTF-8" standalone="yes"?>
<Relationships xmlns="http://schemas.openxmlformats.org/package/2006/relationships"><Relationship Id="rId2" Type="http://schemas.openxmlformats.org/officeDocument/2006/relationships/image" Target="cid:image003.jpg@01DC490A.067BF5C0" TargetMode="External"/><Relationship Id="rId1" Type="http://schemas.openxmlformats.org/officeDocument/2006/relationships/image" Target="media/image4.jpeg"/></Relationships>
</file>

<file path=word/_rels/header21.xml.rels><?xml version="1.0" encoding="UTF-8" standalone="yes"?>
<Relationships xmlns="http://schemas.openxmlformats.org/package/2006/relationships"><Relationship Id="rId2" Type="http://schemas.openxmlformats.org/officeDocument/2006/relationships/image" Target="cid:image003.jpg@01DC490A.067BF5C0" TargetMode="External"/><Relationship Id="rId1" Type="http://schemas.openxmlformats.org/officeDocument/2006/relationships/image" Target="media/image4.jpeg"/></Relationships>
</file>

<file path=word/_rels/header22.xml.rels><?xml version="1.0" encoding="UTF-8" standalone="yes"?>
<Relationships xmlns="http://schemas.openxmlformats.org/package/2006/relationships"><Relationship Id="rId1" Type="http://schemas.openxmlformats.org/officeDocument/2006/relationships/image" Target="media/image20.png"/></Relationships>
</file>

<file path=word/_rels/header23.xml.rels><?xml version="1.0" encoding="UTF-8" standalone="yes"?>
<Relationships xmlns="http://schemas.openxmlformats.org/package/2006/relationships"><Relationship Id="rId2" Type="http://schemas.openxmlformats.org/officeDocument/2006/relationships/image" Target="cid:image003.jpg@01DC490A.067BF5C0" TargetMode="External"/><Relationship Id="rId1" Type="http://schemas.openxmlformats.org/officeDocument/2006/relationships/image" Target="media/image4.jpeg"/></Relationships>
</file>

<file path=word/_rels/header24.xml.rels><?xml version="1.0" encoding="UTF-8" standalone="yes"?>
<Relationships xmlns="http://schemas.openxmlformats.org/package/2006/relationships"><Relationship Id="rId2" Type="http://schemas.openxmlformats.org/officeDocument/2006/relationships/image" Target="cid:image003.jpg@01DC490A.067BF5C0" TargetMode="External"/><Relationship Id="rId1" Type="http://schemas.openxmlformats.org/officeDocument/2006/relationships/image" Target="media/image4.jpeg"/></Relationships>
</file>

<file path=word/_rels/header25.xml.rels><?xml version="1.0" encoding="UTF-8" standalone="yes"?>
<Relationships xmlns="http://schemas.openxmlformats.org/package/2006/relationships"><Relationship Id="rId2" Type="http://schemas.openxmlformats.org/officeDocument/2006/relationships/image" Target="cid:image003.jpg@01DC490A.067BF5C0" TargetMode="External"/><Relationship Id="rId1" Type="http://schemas.openxmlformats.org/officeDocument/2006/relationships/image" Target="media/image4.jpeg"/></Relationships>
</file>

<file path=word/_rels/header26.xml.rels><?xml version="1.0" encoding="UTF-8" standalone="yes"?>
<Relationships xmlns="http://schemas.openxmlformats.org/package/2006/relationships"><Relationship Id="rId2" Type="http://schemas.openxmlformats.org/officeDocument/2006/relationships/image" Target="cid:image003.jpg@01DC490A.067BF5C0" TargetMode="External"/><Relationship Id="rId1" Type="http://schemas.openxmlformats.org/officeDocument/2006/relationships/image" Target="media/image4.jpeg"/></Relationships>
</file>

<file path=word/_rels/header27.xml.rels><?xml version="1.0" encoding="UTF-8" standalone="yes"?>
<Relationships xmlns="http://schemas.openxmlformats.org/package/2006/relationships"><Relationship Id="rId2" Type="http://schemas.openxmlformats.org/officeDocument/2006/relationships/image" Target="cid:image003.jpg@01DC490A.067BF5C0" TargetMode="External"/><Relationship Id="rId1" Type="http://schemas.openxmlformats.org/officeDocument/2006/relationships/image" Target="media/image4.jpeg"/></Relationships>
</file>

<file path=word/_rels/header28.xml.rels><?xml version="1.0" encoding="UTF-8" standalone="yes"?>
<Relationships xmlns="http://schemas.openxmlformats.org/package/2006/relationships"><Relationship Id="rId2" Type="http://schemas.openxmlformats.org/officeDocument/2006/relationships/image" Target="cid:image003.jpg@01DC490A.067BF5C0" TargetMode="External"/><Relationship Id="rId1" Type="http://schemas.openxmlformats.org/officeDocument/2006/relationships/image" Target="media/image4.jpeg"/></Relationships>
</file>

<file path=word/_rels/header29.xml.rels><?xml version="1.0" encoding="UTF-8" standalone="yes"?>
<Relationships xmlns="http://schemas.openxmlformats.org/package/2006/relationships"><Relationship Id="rId2" Type="http://schemas.openxmlformats.org/officeDocument/2006/relationships/image" Target="cid:image003.jpg@01DC490A.067BF5C0" TargetMode="External"/><Relationship Id="rId1" Type="http://schemas.openxmlformats.org/officeDocument/2006/relationships/image" Target="media/image4.jpeg"/></Relationships>
</file>

<file path=word/_rels/header3.xml.rels><?xml version="1.0" encoding="UTF-8" standalone="yes"?>
<Relationships xmlns="http://schemas.openxmlformats.org/package/2006/relationships"><Relationship Id="rId2" Type="http://schemas.openxmlformats.org/officeDocument/2006/relationships/image" Target="cid:image003.jpg@01DC490A.067BF5C0" TargetMode="External"/><Relationship Id="rId1" Type="http://schemas.openxmlformats.org/officeDocument/2006/relationships/image" Target="media/image4.jpeg"/></Relationships>
</file>

<file path=word/_rels/header30.xml.rels><?xml version="1.0" encoding="UTF-8" standalone="yes"?>
<Relationships xmlns="http://schemas.openxmlformats.org/package/2006/relationships"><Relationship Id="rId2" Type="http://schemas.openxmlformats.org/officeDocument/2006/relationships/image" Target="cid:image003.jpg@01DC490A.067BF5C0" TargetMode="External"/><Relationship Id="rId1" Type="http://schemas.openxmlformats.org/officeDocument/2006/relationships/image" Target="media/image4.jpeg"/></Relationships>
</file>

<file path=word/_rels/header31.xml.rels><?xml version="1.0" encoding="UTF-8" standalone="yes"?>
<Relationships xmlns="http://schemas.openxmlformats.org/package/2006/relationships"><Relationship Id="rId2" Type="http://schemas.openxmlformats.org/officeDocument/2006/relationships/image" Target="cid:image003.jpg@01DC490A.067BF5C0" TargetMode="External"/><Relationship Id="rId1" Type="http://schemas.openxmlformats.org/officeDocument/2006/relationships/image" Target="media/image4.jpeg"/></Relationships>
</file>

<file path=word/_rels/header32.xml.rels><?xml version="1.0" encoding="UTF-8" standalone="yes"?>
<Relationships xmlns="http://schemas.openxmlformats.org/package/2006/relationships"><Relationship Id="rId2" Type="http://schemas.openxmlformats.org/officeDocument/2006/relationships/image" Target="cid:image003.jpg@01DC490A.067BF5C0" TargetMode="External"/><Relationship Id="rId1" Type="http://schemas.openxmlformats.org/officeDocument/2006/relationships/image" Target="media/image4.jpeg"/></Relationships>
</file>

<file path=word/_rels/header33.xml.rels><?xml version="1.0" encoding="UTF-8" standalone="yes"?>
<Relationships xmlns="http://schemas.openxmlformats.org/package/2006/relationships"><Relationship Id="rId2" Type="http://schemas.openxmlformats.org/officeDocument/2006/relationships/image" Target="cid:image003.jpg@01DC490A.067BF5C0" TargetMode="External"/><Relationship Id="rId1" Type="http://schemas.openxmlformats.org/officeDocument/2006/relationships/image" Target="media/image4.jpeg"/></Relationships>
</file>

<file path=word/_rels/header34.xml.rels><?xml version="1.0" encoding="UTF-8" standalone="yes"?>
<Relationships xmlns="http://schemas.openxmlformats.org/package/2006/relationships"><Relationship Id="rId2" Type="http://schemas.openxmlformats.org/officeDocument/2006/relationships/image" Target="cid:image003.jpg@01DC490A.067BF5C0" TargetMode="External"/><Relationship Id="rId1" Type="http://schemas.openxmlformats.org/officeDocument/2006/relationships/image" Target="media/image4.jpeg"/></Relationships>
</file>

<file path=word/_rels/header35.xml.rels><?xml version="1.0" encoding="UTF-8" standalone="yes"?>
<Relationships xmlns="http://schemas.openxmlformats.org/package/2006/relationships"><Relationship Id="rId2" Type="http://schemas.openxmlformats.org/officeDocument/2006/relationships/image" Target="cid:image003.jpg@01DC490A.067BF5C0" TargetMode="External"/><Relationship Id="rId1" Type="http://schemas.openxmlformats.org/officeDocument/2006/relationships/image" Target="media/image4.jpeg"/></Relationships>
</file>

<file path=word/_rels/header36.xml.rels><?xml version="1.0" encoding="UTF-8" standalone="yes"?>
<Relationships xmlns="http://schemas.openxmlformats.org/package/2006/relationships"><Relationship Id="rId2" Type="http://schemas.openxmlformats.org/officeDocument/2006/relationships/image" Target="cid:image003.jpg@01DC490A.067BF5C0" TargetMode="External"/><Relationship Id="rId1" Type="http://schemas.openxmlformats.org/officeDocument/2006/relationships/image" Target="media/image4.jpeg"/></Relationships>
</file>

<file path=word/_rels/header37.xml.rels><?xml version="1.0" encoding="UTF-8" standalone="yes"?>
<Relationships xmlns="http://schemas.openxmlformats.org/package/2006/relationships"><Relationship Id="rId2" Type="http://schemas.openxmlformats.org/officeDocument/2006/relationships/image" Target="cid:image003.jpg@01DC490A.067BF5C0" TargetMode="External"/><Relationship Id="rId1" Type="http://schemas.openxmlformats.org/officeDocument/2006/relationships/image" Target="media/image4.jpeg"/></Relationships>
</file>

<file path=word/_rels/header38.xml.rels><?xml version="1.0" encoding="UTF-8" standalone="yes"?>
<Relationships xmlns="http://schemas.openxmlformats.org/package/2006/relationships"><Relationship Id="rId2" Type="http://schemas.openxmlformats.org/officeDocument/2006/relationships/image" Target="cid:image003.jpg@01DC490A.067BF5C0" TargetMode="External"/><Relationship Id="rId1" Type="http://schemas.openxmlformats.org/officeDocument/2006/relationships/image" Target="media/image4.jpeg"/></Relationships>
</file>

<file path=word/_rels/header39.xml.rels><?xml version="1.0" encoding="UTF-8" standalone="yes"?>
<Relationships xmlns="http://schemas.openxmlformats.org/package/2006/relationships"><Relationship Id="rId2" Type="http://schemas.openxmlformats.org/officeDocument/2006/relationships/image" Target="cid:image003.jpg@01DC490A.067BF5C0" TargetMode="External"/><Relationship Id="rId1" Type="http://schemas.openxmlformats.org/officeDocument/2006/relationships/image" Target="media/image4.jpeg"/></Relationships>
</file>

<file path=word/_rels/header4.xml.rels><?xml version="1.0" encoding="UTF-8" standalone="yes"?>
<Relationships xmlns="http://schemas.openxmlformats.org/package/2006/relationships"><Relationship Id="rId2" Type="http://schemas.openxmlformats.org/officeDocument/2006/relationships/image" Target="cid:image003.jpg@01DC490A.067BF5C0" TargetMode="External"/><Relationship Id="rId1" Type="http://schemas.openxmlformats.org/officeDocument/2006/relationships/image" Target="media/image4.jpeg"/></Relationships>
</file>

<file path=word/_rels/header40.xml.rels><?xml version="1.0" encoding="UTF-8" standalone="yes"?>
<Relationships xmlns="http://schemas.openxmlformats.org/package/2006/relationships"><Relationship Id="rId2" Type="http://schemas.openxmlformats.org/officeDocument/2006/relationships/image" Target="cid:image003.jpg@01DC490A.067BF5C0" TargetMode="External"/><Relationship Id="rId1" Type="http://schemas.openxmlformats.org/officeDocument/2006/relationships/image" Target="media/image4.jpeg"/></Relationships>
</file>

<file path=word/_rels/header41.xml.rels><?xml version="1.0" encoding="UTF-8" standalone="yes"?>
<Relationships xmlns="http://schemas.openxmlformats.org/package/2006/relationships"><Relationship Id="rId2" Type="http://schemas.openxmlformats.org/officeDocument/2006/relationships/image" Target="cid:image003.jpg@01DC490A.067BF5C0" TargetMode="External"/><Relationship Id="rId1" Type="http://schemas.openxmlformats.org/officeDocument/2006/relationships/image" Target="media/image4.jpeg"/></Relationships>
</file>

<file path=word/_rels/header42.xml.rels><?xml version="1.0" encoding="UTF-8" standalone="yes"?>
<Relationships xmlns="http://schemas.openxmlformats.org/package/2006/relationships"><Relationship Id="rId2" Type="http://schemas.openxmlformats.org/officeDocument/2006/relationships/image" Target="cid:image003.jpg@01DC490A.067BF5C0" TargetMode="External"/><Relationship Id="rId1" Type="http://schemas.openxmlformats.org/officeDocument/2006/relationships/image" Target="media/image4.jpeg"/></Relationships>
</file>

<file path=word/_rels/header43.xml.rels><?xml version="1.0" encoding="UTF-8" standalone="yes"?>
<Relationships xmlns="http://schemas.openxmlformats.org/package/2006/relationships"><Relationship Id="rId2" Type="http://schemas.openxmlformats.org/officeDocument/2006/relationships/image" Target="cid:image003.jpg@01DC490A.067BF5C0" TargetMode="External"/><Relationship Id="rId1" Type="http://schemas.openxmlformats.org/officeDocument/2006/relationships/image" Target="media/image4.jpeg"/></Relationships>
</file>

<file path=word/_rels/header44.xml.rels><?xml version="1.0" encoding="UTF-8" standalone="yes"?>
<Relationships xmlns="http://schemas.openxmlformats.org/package/2006/relationships"><Relationship Id="rId2" Type="http://schemas.openxmlformats.org/officeDocument/2006/relationships/image" Target="cid:image003.jpg@01DC490A.067BF5C0" TargetMode="External"/><Relationship Id="rId1" Type="http://schemas.openxmlformats.org/officeDocument/2006/relationships/image" Target="media/image4.jpeg"/></Relationships>
</file>

<file path=word/_rels/header45.xml.rels><?xml version="1.0" encoding="UTF-8" standalone="yes"?>
<Relationships xmlns="http://schemas.openxmlformats.org/package/2006/relationships"><Relationship Id="rId2" Type="http://schemas.openxmlformats.org/officeDocument/2006/relationships/image" Target="cid:image003.jpg@01DC490A.067BF5C0" TargetMode="External"/><Relationship Id="rId1" Type="http://schemas.openxmlformats.org/officeDocument/2006/relationships/image" Target="media/image4.jpeg"/></Relationships>
</file>

<file path=word/_rels/header46.xml.rels><?xml version="1.0" encoding="UTF-8" standalone="yes"?>
<Relationships xmlns="http://schemas.openxmlformats.org/package/2006/relationships"><Relationship Id="rId2" Type="http://schemas.openxmlformats.org/officeDocument/2006/relationships/image" Target="cid:image003.jpg@01DC490A.067BF5C0" TargetMode="External"/><Relationship Id="rId1" Type="http://schemas.openxmlformats.org/officeDocument/2006/relationships/image" Target="media/image4.jpeg"/></Relationships>
</file>

<file path=word/_rels/header47.xml.rels><?xml version="1.0" encoding="UTF-8" standalone="yes"?>
<Relationships xmlns="http://schemas.openxmlformats.org/package/2006/relationships"><Relationship Id="rId2" Type="http://schemas.openxmlformats.org/officeDocument/2006/relationships/image" Target="cid:image003.jpg@01DC490A.067BF5C0" TargetMode="External"/><Relationship Id="rId1" Type="http://schemas.openxmlformats.org/officeDocument/2006/relationships/image" Target="media/image4.jpeg"/></Relationships>
</file>

<file path=word/_rels/header48.xml.rels><?xml version="1.0" encoding="UTF-8" standalone="yes"?>
<Relationships xmlns="http://schemas.openxmlformats.org/package/2006/relationships"><Relationship Id="rId2" Type="http://schemas.openxmlformats.org/officeDocument/2006/relationships/image" Target="cid:image003.jpg@01DC490A.067BF5C0" TargetMode="External"/><Relationship Id="rId1" Type="http://schemas.openxmlformats.org/officeDocument/2006/relationships/image" Target="media/image4.jpeg"/></Relationships>
</file>

<file path=word/_rels/header49.xml.rels><?xml version="1.0" encoding="UTF-8" standalone="yes"?>
<Relationships xmlns="http://schemas.openxmlformats.org/package/2006/relationships"><Relationship Id="rId2" Type="http://schemas.openxmlformats.org/officeDocument/2006/relationships/image" Target="cid:image003.jpg@01DC490A.067BF5C0" TargetMode="External"/><Relationship Id="rId1" Type="http://schemas.openxmlformats.org/officeDocument/2006/relationships/image" Target="media/image4.jpeg"/></Relationships>
</file>

<file path=word/_rels/header5.xml.rels><?xml version="1.0" encoding="UTF-8" standalone="yes"?>
<Relationships xmlns="http://schemas.openxmlformats.org/package/2006/relationships"><Relationship Id="rId2" Type="http://schemas.openxmlformats.org/officeDocument/2006/relationships/image" Target="cid:image003.jpg@01DC490A.067BF5C0" TargetMode="External"/><Relationship Id="rId1" Type="http://schemas.openxmlformats.org/officeDocument/2006/relationships/image" Target="media/image4.jpeg"/></Relationships>
</file>

<file path=word/_rels/header50.xml.rels><?xml version="1.0" encoding="UTF-8" standalone="yes"?>
<Relationships xmlns="http://schemas.openxmlformats.org/package/2006/relationships"><Relationship Id="rId2" Type="http://schemas.openxmlformats.org/officeDocument/2006/relationships/image" Target="cid:image003.jpg@01DC490A.067BF5C0" TargetMode="External"/><Relationship Id="rId1" Type="http://schemas.openxmlformats.org/officeDocument/2006/relationships/image" Target="media/image4.jpeg"/></Relationships>
</file>

<file path=word/_rels/header51.xml.rels><?xml version="1.0" encoding="UTF-8" standalone="yes"?>
<Relationships xmlns="http://schemas.openxmlformats.org/package/2006/relationships"><Relationship Id="rId2" Type="http://schemas.openxmlformats.org/officeDocument/2006/relationships/image" Target="cid:image003.jpg@01DC490A.067BF5C0" TargetMode="External"/><Relationship Id="rId1" Type="http://schemas.openxmlformats.org/officeDocument/2006/relationships/image" Target="media/image4.jpeg"/></Relationships>
</file>

<file path=word/_rels/header52.xml.rels><?xml version="1.0" encoding="UTF-8" standalone="yes"?>
<Relationships xmlns="http://schemas.openxmlformats.org/package/2006/relationships"><Relationship Id="rId2" Type="http://schemas.openxmlformats.org/officeDocument/2006/relationships/image" Target="cid:image003.jpg@01DC490A.067BF5C0" TargetMode="External"/><Relationship Id="rId1" Type="http://schemas.openxmlformats.org/officeDocument/2006/relationships/image" Target="media/image4.jpeg"/></Relationships>
</file>

<file path=word/_rels/header53.xml.rels><?xml version="1.0" encoding="UTF-8" standalone="yes"?>
<Relationships xmlns="http://schemas.openxmlformats.org/package/2006/relationships"><Relationship Id="rId2" Type="http://schemas.openxmlformats.org/officeDocument/2006/relationships/image" Target="cid:image003.jpg@01DC490A.067BF5C0" TargetMode="External"/><Relationship Id="rId1" Type="http://schemas.openxmlformats.org/officeDocument/2006/relationships/image" Target="media/image4.jpeg"/></Relationships>
</file>

<file path=word/_rels/header54.xml.rels><?xml version="1.0" encoding="UTF-8" standalone="yes"?>
<Relationships xmlns="http://schemas.openxmlformats.org/package/2006/relationships"><Relationship Id="rId2" Type="http://schemas.openxmlformats.org/officeDocument/2006/relationships/image" Target="cid:image003.jpg@01DC490A.067BF5C0" TargetMode="External"/><Relationship Id="rId1" Type="http://schemas.openxmlformats.org/officeDocument/2006/relationships/image" Target="media/image4.jpeg"/></Relationships>
</file>

<file path=word/_rels/header6.xml.rels><?xml version="1.0" encoding="UTF-8" standalone="yes"?>
<Relationships xmlns="http://schemas.openxmlformats.org/package/2006/relationships"><Relationship Id="rId2" Type="http://schemas.openxmlformats.org/officeDocument/2006/relationships/image" Target="cid:image003.jpg@01DC490A.067BF5C0" TargetMode="External"/><Relationship Id="rId1" Type="http://schemas.openxmlformats.org/officeDocument/2006/relationships/image" Target="media/image4.jpeg"/></Relationships>
</file>

<file path=word/_rels/header7.xml.rels><?xml version="1.0" encoding="UTF-8" standalone="yes"?>
<Relationships xmlns="http://schemas.openxmlformats.org/package/2006/relationships"><Relationship Id="rId2" Type="http://schemas.openxmlformats.org/officeDocument/2006/relationships/image" Target="cid:image003.jpg@01DC490A.067BF5C0" TargetMode="External"/><Relationship Id="rId1" Type="http://schemas.openxmlformats.org/officeDocument/2006/relationships/image" Target="media/image4.jpeg"/></Relationships>
</file>

<file path=word/_rels/header8.xml.rels><?xml version="1.0" encoding="UTF-8" standalone="yes"?>
<Relationships xmlns="http://schemas.openxmlformats.org/package/2006/relationships"><Relationship Id="rId2" Type="http://schemas.openxmlformats.org/officeDocument/2006/relationships/image" Target="cid:image003.jpg@01DC490A.067BF5C0" TargetMode="External"/><Relationship Id="rId1" Type="http://schemas.openxmlformats.org/officeDocument/2006/relationships/image" Target="media/image4.jpeg"/></Relationships>
</file>

<file path=word/_rels/header9.xml.rels><?xml version="1.0" encoding="UTF-8" standalone="yes"?>
<Relationships xmlns="http://schemas.openxmlformats.org/package/2006/relationships"><Relationship Id="rId2" Type="http://schemas.openxmlformats.org/officeDocument/2006/relationships/image" Target="cid:image003.jpg@01DC490A.067BF5C0" TargetMode="External"/><Relationship Id="rId1" Type="http://schemas.openxmlformats.org/officeDocument/2006/relationships/image" Target="media/image4.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49295C19F65842929D480FE1CBC6A235"/>
        <w:category>
          <w:name w:val="Général"/>
          <w:gallery w:val="placeholder"/>
        </w:category>
        <w:types>
          <w:type w:val="bbPlcHdr"/>
        </w:types>
        <w:behaviors>
          <w:behavior w:val="content"/>
        </w:behaviors>
        <w:guid w:val="{198A4A5F-7CFA-482F-A69B-CEDAE8AFBB84}"/>
      </w:docPartPr>
      <w:docPartBody>
        <w:p w:rsidR="000E6E0F" w:rsidRDefault="00A123E0" w:rsidP="00A123E0">
          <w:pPr>
            <w:pStyle w:val="49295C19F65842929D480FE1CBC6A235"/>
          </w:pPr>
          <w:r w:rsidRPr="001F3A56">
            <w:rPr>
              <w:rStyle w:val="Textedelespacerserv"/>
            </w:rPr>
            <w:t>[Subject]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ylfaen">
    <w:panose1 w:val="010A0502050306030303"/>
    <w:charset w:val="00"/>
    <w:family w:val="roman"/>
    <w:pitch w:val="variable"/>
    <w:sig w:usb0="04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Arial Gras">
    <w:altName w:val="Times New Roman"/>
    <w:panose1 w:val="020B0704020202020204"/>
    <w:charset w:val="00"/>
    <w:family w:val="roman"/>
    <w:pitch w:val="default"/>
  </w:font>
  <w:font w:name="MapInfo Weather">
    <w:altName w:val="Symbol"/>
    <w:charset w:val="02"/>
    <w:family w:val="roman"/>
    <w:pitch w:val="variable"/>
    <w:sig w:usb0="00000000" w:usb1="10000000" w:usb2="00000000" w:usb3="00000000" w:csb0="80000000" w:csb1="00000000"/>
  </w:font>
  <w:font w:name="Technic">
    <w:charset w:val="02"/>
    <w:family w:val="auto"/>
    <w:pitch w:val="variable"/>
    <w:sig w:usb0="00000000" w:usb1="10000000" w:usb2="00000000" w:usb3="00000000" w:csb0="80000000" w:csb1="00000000"/>
  </w:font>
  <w:font w:name="DengXian">
    <w:altName w:val="SimSun"/>
    <w:panose1 w:val="02010600030101010101"/>
    <w:charset w:val="86"/>
    <w:family w:val="auto"/>
    <w:pitch w:val="variable"/>
    <w:sig w:usb0="A00002BF" w:usb1="38CF7CFA" w:usb2="00000016" w:usb3="00000000" w:csb0="0004000F" w:csb1="00000000"/>
  </w:font>
  <w:font w:name="Cambria">
    <w:panose1 w:val="02040503050406030204"/>
    <w:charset w:val="00"/>
    <w:family w:val="roman"/>
    <w:pitch w:val="variable"/>
    <w:sig w:usb0="E00006FF" w:usb1="420024FF" w:usb2="02000000" w:usb3="00000000" w:csb0="0000019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Times">
    <w:panose1 w:val="02020603050405020304"/>
    <w:charset w:val="00"/>
    <w:family w:val="roman"/>
    <w:pitch w:val="variable"/>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orbel">
    <w:panose1 w:val="020B0503020204020204"/>
    <w:charset w:val="00"/>
    <w:family w:val="swiss"/>
    <w:pitch w:val="variable"/>
    <w:sig w:usb0="A00002EF" w:usb1="4000A44B" w:usb2="00000000" w:usb3="00000000" w:csb0="0000019F" w:csb1="00000000"/>
  </w:font>
  <w:font w:name="Bahnschrift SemiBold">
    <w:panose1 w:val="020B0502040204020203"/>
    <w:charset w:val="00"/>
    <w:family w:val="swiss"/>
    <w:pitch w:val="variable"/>
    <w:sig w:usb0="A00002C7" w:usb1="00000002"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Source Sans Pro">
    <w:altName w:val="Cambria Math"/>
    <w:charset w:val="00"/>
    <w:family w:val="swiss"/>
    <w:pitch w:val="variable"/>
    <w:sig w:usb0="600002F7" w:usb1="02000001" w:usb2="00000000" w:usb3="00000000" w:csb0="0000019F" w:csb1="00000000"/>
  </w:font>
  <w:font w:name="Bahnschrift">
    <w:panose1 w:val="020B0502040204020203"/>
    <w:charset w:val="00"/>
    <w:family w:val="swiss"/>
    <w:pitch w:val="variable"/>
    <w:sig w:usb0="A00002C7" w:usb1="00000002" w:usb2="00000000" w:usb3="00000000" w:csb0="0000019F" w:csb1="00000000"/>
  </w:font>
  <w:font w:name="Bahnschrift SemiLight Condensed">
    <w:panose1 w:val="020B0502040204020203"/>
    <w:charset w:val="00"/>
    <w:family w:val="swiss"/>
    <w:pitch w:val="variable"/>
    <w:sig w:usb0="A00002C7" w:usb1="00000002" w:usb2="00000000" w:usb3="00000000" w:csb0="0000019F" w:csb1="00000000"/>
  </w:font>
  <w:font w:name="Comic Sans MS">
    <w:panose1 w:val="030F0702030302020204"/>
    <w:charset w:val="00"/>
    <w:family w:val="script"/>
    <w:pitch w:val="variable"/>
    <w:sig w:usb0="00000287" w:usb1="00000013" w:usb2="00000000" w:usb3="00000000" w:csb0="0000009F" w:csb1="00000000"/>
  </w:font>
  <w:font w:name="HelveticaNeueLT Std Lt">
    <w:altName w:val="Arial"/>
    <w:panose1 w:val="00000000000000000000"/>
    <w:charset w:val="00"/>
    <w:family w:val="swiss"/>
    <w:notTrueType/>
    <w:pitch w:val="default"/>
    <w:sig w:usb0="00000003" w:usb1="00000000" w:usb2="00000000" w:usb3="00000000" w:csb0="00000001" w:csb1="00000000"/>
  </w:font>
  <w:font w:name="Adobe Gothic Std B">
    <w:panose1 w:val="00000000000000000000"/>
    <w:charset w:val="80"/>
    <w:family w:val="swiss"/>
    <w:notTrueType/>
    <w:pitch w:val="variable"/>
    <w:sig w:usb0="00000203" w:usb1="29D72C10" w:usb2="00000010" w:usb3="00000000" w:csb0="002A0005" w:csb1="00000000"/>
  </w:font>
  <w:font w:name="Microsoft Sans Serif">
    <w:panose1 w:val="020B0604020202020204"/>
    <w:charset w:val="00"/>
    <w:family w:val="swiss"/>
    <w:pitch w:val="variable"/>
    <w:sig w:usb0="E5002EFF" w:usb1="C000605B" w:usb2="00000029" w:usb3="00000000" w:csb0="000101FF" w:csb1="00000000"/>
  </w:font>
  <w:font w:name="Amaranth">
    <w:altName w:val="Amaranth"/>
    <w:panose1 w:val="00000000000000000000"/>
    <w:charset w:val="00"/>
    <w:family w:val="swiss"/>
    <w:notTrueType/>
    <w:pitch w:val="default"/>
    <w:sig w:usb0="00000003" w:usb1="00000000" w:usb2="00000000" w:usb3="00000000" w:csb0="00000001" w:csb1="00000000"/>
  </w:font>
  <w:font w:name="Candara">
    <w:panose1 w:val="020E0502030303020204"/>
    <w:charset w:val="00"/>
    <w:family w:val="swiss"/>
    <w:pitch w:val="variable"/>
    <w:sig w:usb0="A00002EF" w:usb1="4000A44B" w:usb2="00000000" w:usb3="00000000" w:csb0="0000019F" w:csb1="00000000"/>
  </w:font>
  <w:font w:name="Verdana">
    <w:panose1 w:val="020B0604030504040204"/>
    <w:charset w:val="00"/>
    <w:family w:val="swiss"/>
    <w:pitch w:val="variable"/>
    <w:sig w:usb0="A00006FF" w:usb1="4000205B" w:usb2="0000001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Georgia">
    <w:panose1 w:val="02040502050405020303"/>
    <w:charset w:val="00"/>
    <w:family w:val="roman"/>
    <w:pitch w:val="variable"/>
    <w:sig w:usb0="00000287" w:usb1="000000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Arial Narrow">
    <w:panose1 w:val="020B0606020202030204"/>
    <w:charset w:val="00"/>
    <w:family w:val="swiss"/>
    <w:pitch w:val="variable"/>
    <w:sig w:usb0="00000287" w:usb1="00000800" w:usb2="00000000" w:usb3="00000000" w:csb0="0000009F" w:csb1="00000000"/>
  </w:font>
  <w:font w:name="Frutiger 45 Light">
    <w:charset w:val="00"/>
    <w:family w:val="swiss"/>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Palatino">
    <w:altName w:val="Palatino Linotype"/>
    <w:charset w:val="4D"/>
    <w:family w:val="auto"/>
    <w:pitch w:val="variable"/>
    <w:sig w:usb0="A00002FF" w:usb1="7800205A" w:usb2="14600000" w:usb3="00000000" w:csb0="00000193" w:csb1="00000000"/>
  </w:font>
  <w:font w:name="Arial Unicode MS">
    <w:panose1 w:val="020B0604020202020204"/>
    <w:charset w:val="80"/>
    <w:family w:val="swiss"/>
    <w:pitch w:val="variable"/>
    <w:sig w:usb0="F7FFAFFF" w:usb1="E9DFFFFF" w:usb2="0000003F" w:usb3="00000000" w:csb0="003F01FF" w:csb1="00000000"/>
  </w:font>
  <w:font w:name="Consolas">
    <w:panose1 w:val="020B0609020204030204"/>
    <w:charset w:val="00"/>
    <w:family w:val="modern"/>
    <w:pitch w:val="fixed"/>
    <w:sig w:usb0="E00006FF" w:usb1="0000FCFF" w:usb2="00000001" w:usb3="00000000" w:csb0="0000019F" w:csb1="00000000"/>
  </w:font>
  <w:font w:name="Carlito">
    <w:altName w:val="Calibri"/>
    <w:panose1 w:val="00000000000000000000"/>
    <w:charset w:val="00"/>
    <w:family w:val="roman"/>
    <w:notTrueType/>
    <w:pitch w:val="default"/>
  </w:font>
  <w:font w:name="Aptos Narrow">
    <w:altName w:val="Arial"/>
    <w:charset w:val="00"/>
    <w:family w:val="swiss"/>
    <w:pitch w:val="variable"/>
    <w:sig w:usb0="20000287" w:usb1="00000003" w:usb2="00000000" w:usb3="00000000" w:csb0="0000019F" w:csb1="00000000"/>
  </w:font>
  <w:font w:name="Calibri (Corps)">
    <w:altName w:val="Calibri"/>
    <w:charset w:val="00"/>
    <w:family w:val="roman"/>
    <w:pitch w:val="default"/>
  </w:font>
  <w:font w:name="Cambria Math">
    <w:panose1 w:val="02040503050406030204"/>
    <w:charset w:val="00"/>
    <w:family w:val="roman"/>
    <w:pitch w:val="variable"/>
    <w:sig w:usb0="E00006FF" w:usb1="420024FF" w:usb2="02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23E0"/>
    <w:rsid w:val="0002149C"/>
    <w:rsid w:val="00025C90"/>
    <w:rsid w:val="0004103F"/>
    <w:rsid w:val="000426C4"/>
    <w:rsid w:val="000537A6"/>
    <w:rsid w:val="00060ECA"/>
    <w:rsid w:val="000963F9"/>
    <w:rsid w:val="000A5AB5"/>
    <w:rsid w:val="000D1754"/>
    <w:rsid w:val="000E6E0F"/>
    <w:rsid w:val="000F0E58"/>
    <w:rsid w:val="000F2C6D"/>
    <w:rsid w:val="00133720"/>
    <w:rsid w:val="001527E1"/>
    <w:rsid w:val="00167FC9"/>
    <w:rsid w:val="001866A5"/>
    <w:rsid w:val="001F22D8"/>
    <w:rsid w:val="00223C43"/>
    <w:rsid w:val="0024021D"/>
    <w:rsid w:val="00242D0E"/>
    <w:rsid w:val="00266436"/>
    <w:rsid w:val="002829B0"/>
    <w:rsid w:val="00295B91"/>
    <w:rsid w:val="002C215D"/>
    <w:rsid w:val="00307F2C"/>
    <w:rsid w:val="00322B6F"/>
    <w:rsid w:val="003239B0"/>
    <w:rsid w:val="00342D34"/>
    <w:rsid w:val="00351DD8"/>
    <w:rsid w:val="003533DB"/>
    <w:rsid w:val="003A5105"/>
    <w:rsid w:val="003C6530"/>
    <w:rsid w:val="00427390"/>
    <w:rsid w:val="00436C9A"/>
    <w:rsid w:val="0045584B"/>
    <w:rsid w:val="00455E24"/>
    <w:rsid w:val="004701DA"/>
    <w:rsid w:val="004728DB"/>
    <w:rsid w:val="004E080B"/>
    <w:rsid w:val="0051408D"/>
    <w:rsid w:val="005436CE"/>
    <w:rsid w:val="0057721A"/>
    <w:rsid w:val="0059431F"/>
    <w:rsid w:val="005D39FA"/>
    <w:rsid w:val="00612AB5"/>
    <w:rsid w:val="0063563E"/>
    <w:rsid w:val="00687245"/>
    <w:rsid w:val="00696A00"/>
    <w:rsid w:val="006B49D1"/>
    <w:rsid w:val="00702D7E"/>
    <w:rsid w:val="007311D3"/>
    <w:rsid w:val="00743290"/>
    <w:rsid w:val="00753564"/>
    <w:rsid w:val="007762C6"/>
    <w:rsid w:val="007A2F8C"/>
    <w:rsid w:val="007E5DBB"/>
    <w:rsid w:val="008131AA"/>
    <w:rsid w:val="00826B4D"/>
    <w:rsid w:val="00833EB8"/>
    <w:rsid w:val="00842BFF"/>
    <w:rsid w:val="00864FA9"/>
    <w:rsid w:val="0088440E"/>
    <w:rsid w:val="008E220E"/>
    <w:rsid w:val="008F639E"/>
    <w:rsid w:val="009125F8"/>
    <w:rsid w:val="009132D0"/>
    <w:rsid w:val="00921A0E"/>
    <w:rsid w:val="00930B3C"/>
    <w:rsid w:val="00934072"/>
    <w:rsid w:val="009451C9"/>
    <w:rsid w:val="009454A1"/>
    <w:rsid w:val="00946B98"/>
    <w:rsid w:val="009729D7"/>
    <w:rsid w:val="009F12C9"/>
    <w:rsid w:val="00A1104C"/>
    <w:rsid w:val="00A123E0"/>
    <w:rsid w:val="00A13A14"/>
    <w:rsid w:val="00A41FE2"/>
    <w:rsid w:val="00A42209"/>
    <w:rsid w:val="00AD2871"/>
    <w:rsid w:val="00AD6E8B"/>
    <w:rsid w:val="00AE7A20"/>
    <w:rsid w:val="00B679E1"/>
    <w:rsid w:val="00BA20E1"/>
    <w:rsid w:val="00BA37C1"/>
    <w:rsid w:val="00BA69FF"/>
    <w:rsid w:val="00C074D6"/>
    <w:rsid w:val="00C1400C"/>
    <w:rsid w:val="00C41D62"/>
    <w:rsid w:val="00C46E0B"/>
    <w:rsid w:val="00C91729"/>
    <w:rsid w:val="00CB64EA"/>
    <w:rsid w:val="00CD6CB9"/>
    <w:rsid w:val="00D16068"/>
    <w:rsid w:val="00D2472C"/>
    <w:rsid w:val="00D5148F"/>
    <w:rsid w:val="00D6672D"/>
    <w:rsid w:val="00D93791"/>
    <w:rsid w:val="00DB1C4B"/>
    <w:rsid w:val="00DB3E32"/>
    <w:rsid w:val="00E03C10"/>
    <w:rsid w:val="00E46B79"/>
    <w:rsid w:val="00E65CD5"/>
    <w:rsid w:val="00E65D09"/>
    <w:rsid w:val="00E9749E"/>
    <w:rsid w:val="00EA1975"/>
    <w:rsid w:val="00F358E7"/>
    <w:rsid w:val="00F557AF"/>
    <w:rsid w:val="00F55894"/>
    <w:rsid w:val="00F6696D"/>
    <w:rsid w:val="00F66C40"/>
    <w:rsid w:val="00F715AD"/>
    <w:rsid w:val="00FF655E"/>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bidi/>
    </w:p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Textedelespacerserv">
    <w:name w:val="Placeholder Text"/>
    <w:basedOn w:val="Policepardfaut"/>
    <w:uiPriority w:val="99"/>
    <w:semiHidden/>
    <w:rsid w:val="00A123E0"/>
    <w:rPr>
      <w:color w:val="808080"/>
    </w:rPr>
  </w:style>
  <w:style w:type="paragraph" w:customStyle="1" w:styleId="49295C19F65842929D480FE1CBC6A235">
    <w:name w:val="49295C19F65842929D480FE1CBC6A235"/>
    <w:rsid w:val="00A123E0"/>
    <w:pPr>
      <w:bidi/>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3F05BCC830AF64799981F43203019FD" ma:contentTypeVersion="15" ma:contentTypeDescription="Crée un document." ma:contentTypeScope="" ma:versionID="ae50c506e01c79c48d8ab37600463bf4">
  <xsd:schema xmlns:xsd="http://www.w3.org/2001/XMLSchema" xmlns:xs="http://www.w3.org/2001/XMLSchema" xmlns:p="http://schemas.microsoft.com/office/2006/metadata/properties" xmlns:ns3="12968025-5536-4622-9032-13c9ce9908ba" xmlns:ns4="3736a4af-4650-48fe-ab40-2010480ed8b1" targetNamespace="http://schemas.microsoft.com/office/2006/metadata/properties" ma:root="true" ma:fieldsID="fafb49a4bf59c6fb86d9ea8119c52976" ns3:_="" ns4:_="">
    <xsd:import namespace="12968025-5536-4622-9032-13c9ce9908ba"/>
    <xsd:import namespace="3736a4af-4650-48fe-ab40-2010480ed8b1"/>
    <xsd:element name="properties">
      <xsd:complexType>
        <xsd:sequence>
          <xsd:element name="documentManagement">
            <xsd:complexType>
              <xsd:all>
                <xsd:element ref="ns3:MediaServiceMetadata" minOccurs="0"/>
                <xsd:element ref="ns3:MediaServiceFastMetadata" minOccurs="0"/>
                <xsd:element ref="ns3:MediaServiceSearchProperties" minOccurs="0"/>
                <xsd:element ref="ns3:MediaServiceObjectDetectorVersions" minOccurs="0"/>
                <xsd:element ref="ns3:MediaServiceDateTaken" minOccurs="0"/>
                <xsd:element ref="ns3:MediaServiceSystemTags" minOccurs="0"/>
                <xsd:element ref="ns3:MediaServiceOCR" minOccurs="0"/>
                <xsd:element ref="ns3:MediaServiceGenerationTime" minOccurs="0"/>
                <xsd:element ref="ns3:MediaServiceEventHashCode" minOccurs="0"/>
                <xsd:element ref="ns4:SharedWithUsers" minOccurs="0"/>
                <xsd:element ref="ns4:SharedWithDetails" minOccurs="0"/>
                <xsd:element ref="ns4:SharingHintHash" minOccurs="0"/>
                <xsd:element ref="ns3:_activity" minOccurs="0"/>
                <xsd:element ref="ns3:MediaServiceLocatio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2968025-5536-4622-9032-13c9ce9908b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SystemTags" ma:index="13" nillable="true" ma:displayName="MediaServiceSystemTags" ma:hidden="true" ma:internalName="MediaServiceSystemTags" ma:readOnly="true">
      <xsd:simpleType>
        <xsd:restriction base="dms:Note"/>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_activity" ma:index="20" nillable="true" ma:displayName="_activity" ma:hidden="true" ma:internalName="_activity">
      <xsd:simpleType>
        <xsd:restriction base="dms:Note"/>
      </xsd:simpleType>
    </xsd:element>
    <xsd:element name="MediaServiceLocation" ma:index="21"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736a4af-4650-48fe-ab40-2010480ed8b1" elementFormDefault="qualified">
    <xsd:import namespace="http://schemas.microsoft.com/office/2006/documentManagement/types"/>
    <xsd:import namespace="http://schemas.microsoft.com/office/infopath/2007/PartnerControls"/>
    <xsd:element name="SharedWithUsers" ma:index="17"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Partagé avec détails" ma:internalName="SharedWithDetails" ma:readOnly="true">
      <xsd:simpleType>
        <xsd:restriction base="dms:Note">
          <xsd:maxLength value="255"/>
        </xsd:restriction>
      </xsd:simpleType>
    </xsd:element>
    <xsd:element name="SharingHintHash" ma:index="19" nillable="true" ma:displayName="Partage du hachage d’indicateur"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activity xmlns="12968025-5536-4622-9032-13c9ce9908ba"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1C2354-20E8-422B-93E6-13B3259720D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2968025-5536-4622-9032-13c9ce9908ba"/>
    <ds:schemaRef ds:uri="3736a4af-4650-48fe-ab40-2010480ed8b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7BCB4B3-C29C-4F51-8C53-C876407274EC}">
  <ds:schemaRefs>
    <ds:schemaRef ds:uri="http://schemas.microsoft.com/office/2006/metadata/properties"/>
    <ds:schemaRef ds:uri="http://schemas.microsoft.com/office/infopath/2007/PartnerControls"/>
    <ds:schemaRef ds:uri="12968025-5536-4622-9032-13c9ce9908ba"/>
  </ds:schemaRefs>
</ds:datastoreItem>
</file>

<file path=customXml/itemProps3.xml><?xml version="1.0" encoding="utf-8"?>
<ds:datastoreItem xmlns:ds="http://schemas.openxmlformats.org/officeDocument/2006/customXml" ds:itemID="{51603417-C05F-48DD-91AF-6DDC58E99342}">
  <ds:schemaRefs>
    <ds:schemaRef ds:uri="http://schemas.microsoft.com/sharepoint/v3/contenttype/forms"/>
  </ds:schemaRefs>
</ds:datastoreItem>
</file>

<file path=customXml/itemProps4.xml><?xml version="1.0" encoding="utf-8"?>
<ds:datastoreItem xmlns:ds="http://schemas.openxmlformats.org/officeDocument/2006/customXml" ds:itemID="{487002B1-DFEE-4190-8D73-7385AF41AF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1398</TotalTime>
  <Pages>534</Pages>
  <Words>134106</Words>
  <Characters>737589</Characters>
  <Application>Microsoft Office Word</Application>
  <DocSecurity>0</DocSecurity>
  <Lines>6146</Lines>
  <Paragraphs>1739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869956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Projet de Modernisation et d’Extension des Infrastructures Aéroportuaires de l’Aéroport Marrakech Ménara</dc:subject>
  <dc:creator>BENMOUSSA Doha</dc:creator>
  <cp:keywords/>
  <dc:description/>
  <cp:lastModifiedBy>Utilisateur</cp:lastModifiedBy>
  <cp:revision>15</cp:revision>
  <cp:lastPrinted>2024-11-05T15:24:00Z</cp:lastPrinted>
  <dcterms:created xsi:type="dcterms:W3CDTF">2025-11-26T10:06:00Z</dcterms:created>
  <dcterms:modified xsi:type="dcterms:W3CDTF">2025-11-27T09:29:00Z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c8191968-2c7a-40d9-9412-69c85eae90c3</vt:lpwstr>
  </property>
  <property fmtid="{D5CDD505-2E9C-101B-9397-08002B2CF9AE}" pid="3" name="ContentTypeId">
    <vt:lpwstr>0x01010053F05BCC830AF64799981F43203019FD</vt:lpwstr>
  </property>
  <property fmtid="{D5CDD505-2E9C-101B-9397-08002B2CF9AE}" pid="4" name="_activity">
    <vt:lpwstr/>
  </property>
</Properties>
</file>